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72B7C8BA" w14:textId="1057538A" w:rsidR="0014651C" w:rsidRDefault="0014651C">
          <w:pPr>
            <w:pStyle w:val="En-ttedetabledesmatires"/>
          </w:pPr>
          <w:r w:rsidRPr="0014651C">
            <w:t>TABLE DES MATIÈRES</w:t>
          </w:r>
        </w:p>
        <w:p w14:paraId="3D6BDD71" w14:textId="7F06ECD4" w:rsidR="0014651C" w:rsidRDefault="00000000">
          <w:pPr>
            <w:pStyle w:val="TM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"1-9" \h \z \u  \t " Author-eSectionHeading1,1,Author-eSectionHeading2,2,Author-eSectionHeading3,3,Author-eSectionHeading4,4,Author-eSectionHeading5,5,Author-eSectionHeading6,6"</w:instrText>
          </w:r>
          <w:r>
            <w:fldChar w:fldCharType="separate"/>
          </w:r>
          <w:hyperlink w:anchor="_Toc220495175" w:history="1">
            <w:r w:rsidR="0014651C" w:rsidRPr="00F45DCA">
              <w:rPr>
                <w:rStyle w:val="Lienhypertexte"/>
                <w:noProof/>
              </w:rPr>
              <w:t>2 T2 Superstructures CCTB 01.13</w:t>
            </w:r>
            <w:r w:rsidR="0014651C">
              <w:rPr>
                <w:noProof/>
                <w:webHidden/>
              </w:rPr>
              <w:tab/>
            </w:r>
            <w:r w:rsidR="0014651C">
              <w:rPr>
                <w:noProof/>
                <w:webHidden/>
              </w:rPr>
              <w:fldChar w:fldCharType="begin"/>
            </w:r>
            <w:r w:rsidR="0014651C">
              <w:rPr>
                <w:noProof/>
                <w:webHidden/>
              </w:rPr>
              <w:instrText xml:space="preserve"> PAGEREF _Toc220495175 \h </w:instrText>
            </w:r>
            <w:r w:rsidR="0014651C">
              <w:rPr>
                <w:noProof/>
                <w:webHidden/>
              </w:rPr>
            </w:r>
            <w:r w:rsidR="0014651C">
              <w:rPr>
                <w:noProof/>
                <w:webHidden/>
              </w:rPr>
              <w:fldChar w:fldCharType="separate"/>
            </w:r>
            <w:r w:rsidR="0014651C">
              <w:rPr>
                <w:noProof/>
                <w:webHidden/>
              </w:rPr>
              <w:t>54</w:t>
            </w:r>
            <w:r w:rsidR="0014651C">
              <w:rPr>
                <w:noProof/>
                <w:webHidden/>
              </w:rPr>
              <w:fldChar w:fldCharType="end"/>
            </w:r>
          </w:hyperlink>
        </w:p>
        <w:p w14:paraId="6E1AFDCE" w14:textId="0B845BA1" w:rsidR="0014651C" w:rsidRDefault="0014651C">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5176" w:history="1">
            <w:r w:rsidRPr="00F45DCA">
              <w:rPr>
                <w:rStyle w:val="Lienhypertexte"/>
                <w:noProof/>
              </w:rPr>
              <w:t>21 Superstructures en maçonnerie CCTB 01.12</w:t>
            </w:r>
            <w:r>
              <w:rPr>
                <w:noProof/>
                <w:webHidden/>
              </w:rPr>
              <w:tab/>
            </w:r>
            <w:r>
              <w:rPr>
                <w:noProof/>
                <w:webHidden/>
              </w:rPr>
              <w:fldChar w:fldCharType="begin"/>
            </w:r>
            <w:r>
              <w:rPr>
                <w:noProof/>
                <w:webHidden/>
              </w:rPr>
              <w:instrText xml:space="preserve"> PAGEREF _Toc220495176 \h </w:instrText>
            </w:r>
            <w:r>
              <w:rPr>
                <w:noProof/>
                <w:webHidden/>
              </w:rPr>
            </w:r>
            <w:r>
              <w:rPr>
                <w:noProof/>
                <w:webHidden/>
              </w:rPr>
              <w:fldChar w:fldCharType="separate"/>
            </w:r>
            <w:r>
              <w:rPr>
                <w:noProof/>
                <w:webHidden/>
              </w:rPr>
              <w:t>55</w:t>
            </w:r>
            <w:r>
              <w:rPr>
                <w:noProof/>
                <w:webHidden/>
              </w:rPr>
              <w:fldChar w:fldCharType="end"/>
            </w:r>
          </w:hyperlink>
        </w:p>
        <w:p w14:paraId="1C87CC29" w14:textId="177D3E34"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177" w:history="1">
            <w:r w:rsidRPr="00F45DCA">
              <w:rPr>
                <w:rStyle w:val="Lienhypertexte"/>
                <w:noProof/>
              </w:rPr>
              <w:t>21.1 Maçonneries portantes CCTB 01.11</w:t>
            </w:r>
            <w:r>
              <w:rPr>
                <w:noProof/>
                <w:webHidden/>
              </w:rPr>
              <w:tab/>
            </w:r>
            <w:r>
              <w:rPr>
                <w:noProof/>
                <w:webHidden/>
              </w:rPr>
              <w:fldChar w:fldCharType="begin"/>
            </w:r>
            <w:r>
              <w:rPr>
                <w:noProof/>
                <w:webHidden/>
              </w:rPr>
              <w:instrText xml:space="preserve"> PAGEREF _Toc220495177 \h </w:instrText>
            </w:r>
            <w:r>
              <w:rPr>
                <w:noProof/>
                <w:webHidden/>
              </w:rPr>
            </w:r>
            <w:r>
              <w:rPr>
                <w:noProof/>
                <w:webHidden/>
              </w:rPr>
              <w:fldChar w:fldCharType="separate"/>
            </w:r>
            <w:r>
              <w:rPr>
                <w:noProof/>
                <w:webHidden/>
              </w:rPr>
              <w:t>70</w:t>
            </w:r>
            <w:r>
              <w:rPr>
                <w:noProof/>
                <w:webHidden/>
              </w:rPr>
              <w:fldChar w:fldCharType="end"/>
            </w:r>
          </w:hyperlink>
        </w:p>
        <w:p w14:paraId="20B01258" w14:textId="2A672D4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178" w:history="1">
            <w:r w:rsidRPr="00F45DCA">
              <w:rPr>
                <w:rStyle w:val="Lienhypertexte"/>
                <w:noProof/>
              </w:rPr>
              <w:t>21.11 Maçonneries portantes en briques CCTB 01.11</w:t>
            </w:r>
            <w:r>
              <w:rPr>
                <w:noProof/>
                <w:webHidden/>
              </w:rPr>
              <w:tab/>
            </w:r>
            <w:r>
              <w:rPr>
                <w:noProof/>
                <w:webHidden/>
              </w:rPr>
              <w:fldChar w:fldCharType="begin"/>
            </w:r>
            <w:r>
              <w:rPr>
                <w:noProof/>
                <w:webHidden/>
              </w:rPr>
              <w:instrText xml:space="preserve"> PAGEREF _Toc220495178 \h </w:instrText>
            </w:r>
            <w:r>
              <w:rPr>
                <w:noProof/>
                <w:webHidden/>
              </w:rPr>
            </w:r>
            <w:r>
              <w:rPr>
                <w:noProof/>
                <w:webHidden/>
              </w:rPr>
              <w:fldChar w:fldCharType="separate"/>
            </w:r>
            <w:r>
              <w:rPr>
                <w:noProof/>
                <w:webHidden/>
              </w:rPr>
              <w:t>70</w:t>
            </w:r>
            <w:r>
              <w:rPr>
                <w:noProof/>
                <w:webHidden/>
              </w:rPr>
              <w:fldChar w:fldCharType="end"/>
            </w:r>
          </w:hyperlink>
        </w:p>
        <w:p w14:paraId="1DBC7E75" w14:textId="64498A6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179" w:history="1">
            <w:r w:rsidRPr="00F45DCA">
              <w:rPr>
                <w:rStyle w:val="Lienhypertexte"/>
                <w:noProof/>
              </w:rPr>
              <w:t>21.11.1 Maçonneries portantes en briques de terre cuite CCTB 01.11</w:t>
            </w:r>
            <w:r>
              <w:rPr>
                <w:noProof/>
                <w:webHidden/>
              </w:rPr>
              <w:tab/>
            </w:r>
            <w:r>
              <w:rPr>
                <w:noProof/>
                <w:webHidden/>
              </w:rPr>
              <w:fldChar w:fldCharType="begin"/>
            </w:r>
            <w:r>
              <w:rPr>
                <w:noProof/>
                <w:webHidden/>
              </w:rPr>
              <w:instrText xml:space="preserve"> PAGEREF _Toc220495179 \h </w:instrText>
            </w:r>
            <w:r>
              <w:rPr>
                <w:noProof/>
                <w:webHidden/>
              </w:rPr>
            </w:r>
            <w:r>
              <w:rPr>
                <w:noProof/>
                <w:webHidden/>
              </w:rPr>
              <w:fldChar w:fldCharType="separate"/>
            </w:r>
            <w:r>
              <w:rPr>
                <w:noProof/>
                <w:webHidden/>
              </w:rPr>
              <w:t>71</w:t>
            </w:r>
            <w:r>
              <w:rPr>
                <w:noProof/>
                <w:webHidden/>
              </w:rPr>
              <w:fldChar w:fldCharType="end"/>
            </w:r>
          </w:hyperlink>
        </w:p>
        <w:p w14:paraId="634C02BA" w14:textId="516F1E5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80" w:history="1">
            <w:r w:rsidRPr="00F45DCA">
              <w:rPr>
                <w:rStyle w:val="Lienhypertexte"/>
                <w:noProof/>
              </w:rPr>
              <w:t>21.11.1a Maçonneries portantes en briques de terre cuite à maçonner CCTB 01.12</w:t>
            </w:r>
            <w:r>
              <w:rPr>
                <w:noProof/>
                <w:webHidden/>
              </w:rPr>
              <w:tab/>
            </w:r>
            <w:r>
              <w:rPr>
                <w:noProof/>
                <w:webHidden/>
              </w:rPr>
              <w:fldChar w:fldCharType="begin"/>
            </w:r>
            <w:r>
              <w:rPr>
                <w:noProof/>
                <w:webHidden/>
              </w:rPr>
              <w:instrText xml:space="preserve"> PAGEREF _Toc220495180 \h </w:instrText>
            </w:r>
            <w:r>
              <w:rPr>
                <w:noProof/>
                <w:webHidden/>
              </w:rPr>
            </w:r>
            <w:r>
              <w:rPr>
                <w:noProof/>
                <w:webHidden/>
              </w:rPr>
              <w:fldChar w:fldCharType="separate"/>
            </w:r>
            <w:r>
              <w:rPr>
                <w:noProof/>
                <w:webHidden/>
              </w:rPr>
              <w:t>73</w:t>
            </w:r>
            <w:r>
              <w:rPr>
                <w:noProof/>
                <w:webHidden/>
              </w:rPr>
              <w:fldChar w:fldCharType="end"/>
            </w:r>
          </w:hyperlink>
        </w:p>
        <w:p w14:paraId="76118A8F" w14:textId="30C2772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81" w:history="1">
            <w:r w:rsidRPr="00F45DCA">
              <w:rPr>
                <w:rStyle w:val="Lienhypertexte"/>
                <w:noProof/>
              </w:rPr>
              <w:t>21.11.1b Maçonneries portantes en briques de terre cuite à coller CCTB 01.11</w:t>
            </w:r>
            <w:r>
              <w:rPr>
                <w:noProof/>
                <w:webHidden/>
              </w:rPr>
              <w:tab/>
            </w:r>
            <w:r>
              <w:rPr>
                <w:noProof/>
                <w:webHidden/>
              </w:rPr>
              <w:fldChar w:fldCharType="begin"/>
            </w:r>
            <w:r>
              <w:rPr>
                <w:noProof/>
                <w:webHidden/>
              </w:rPr>
              <w:instrText xml:space="preserve"> PAGEREF _Toc220495181 \h </w:instrText>
            </w:r>
            <w:r>
              <w:rPr>
                <w:noProof/>
                <w:webHidden/>
              </w:rPr>
            </w:r>
            <w:r>
              <w:rPr>
                <w:noProof/>
                <w:webHidden/>
              </w:rPr>
              <w:fldChar w:fldCharType="separate"/>
            </w:r>
            <w:r>
              <w:rPr>
                <w:noProof/>
                <w:webHidden/>
              </w:rPr>
              <w:t>76</w:t>
            </w:r>
            <w:r>
              <w:rPr>
                <w:noProof/>
                <w:webHidden/>
              </w:rPr>
              <w:fldChar w:fldCharType="end"/>
            </w:r>
          </w:hyperlink>
        </w:p>
        <w:p w14:paraId="19FD8CDB" w14:textId="7C9A722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182" w:history="1">
            <w:r w:rsidRPr="00F45DCA">
              <w:rPr>
                <w:rStyle w:val="Lienhypertexte"/>
                <w:noProof/>
              </w:rPr>
              <w:t>21.11.2 Maçonneries portantes en briques de béton CCTB 01.11</w:t>
            </w:r>
            <w:r>
              <w:rPr>
                <w:noProof/>
                <w:webHidden/>
              </w:rPr>
              <w:tab/>
            </w:r>
            <w:r>
              <w:rPr>
                <w:noProof/>
                <w:webHidden/>
              </w:rPr>
              <w:fldChar w:fldCharType="begin"/>
            </w:r>
            <w:r>
              <w:rPr>
                <w:noProof/>
                <w:webHidden/>
              </w:rPr>
              <w:instrText xml:space="preserve"> PAGEREF _Toc220495182 \h </w:instrText>
            </w:r>
            <w:r>
              <w:rPr>
                <w:noProof/>
                <w:webHidden/>
              </w:rPr>
            </w:r>
            <w:r>
              <w:rPr>
                <w:noProof/>
                <w:webHidden/>
              </w:rPr>
              <w:fldChar w:fldCharType="separate"/>
            </w:r>
            <w:r>
              <w:rPr>
                <w:noProof/>
                <w:webHidden/>
              </w:rPr>
              <w:t>78</w:t>
            </w:r>
            <w:r>
              <w:rPr>
                <w:noProof/>
                <w:webHidden/>
              </w:rPr>
              <w:fldChar w:fldCharType="end"/>
            </w:r>
          </w:hyperlink>
        </w:p>
        <w:p w14:paraId="2F117F9B" w14:textId="7C2D6F0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83" w:history="1">
            <w:r w:rsidRPr="00F45DCA">
              <w:rPr>
                <w:rStyle w:val="Lienhypertexte"/>
                <w:noProof/>
              </w:rPr>
              <w:t>21.11.2a Maçonneries portantes en briques de béton à maçonner CCTB 01.13</w:t>
            </w:r>
            <w:r>
              <w:rPr>
                <w:noProof/>
                <w:webHidden/>
              </w:rPr>
              <w:tab/>
            </w:r>
            <w:r>
              <w:rPr>
                <w:noProof/>
                <w:webHidden/>
              </w:rPr>
              <w:fldChar w:fldCharType="begin"/>
            </w:r>
            <w:r>
              <w:rPr>
                <w:noProof/>
                <w:webHidden/>
              </w:rPr>
              <w:instrText xml:space="preserve"> PAGEREF _Toc220495183 \h </w:instrText>
            </w:r>
            <w:r>
              <w:rPr>
                <w:noProof/>
                <w:webHidden/>
              </w:rPr>
            </w:r>
            <w:r>
              <w:rPr>
                <w:noProof/>
                <w:webHidden/>
              </w:rPr>
              <w:fldChar w:fldCharType="separate"/>
            </w:r>
            <w:r>
              <w:rPr>
                <w:noProof/>
                <w:webHidden/>
              </w:rPr>
              <w:t>79</w:t>
            </w:r>
            <w:r>
              <w:rPr>
                <w:noProof/>
                <w:webHidden/>
              </w:rPr>
              <w:fldChar w:fldCharType="end"/>
            </w:r>
          </w:hyperlink>
        </w:p>
        <w:p w14:paraId="4D59332D" w14:textId="6F12EE4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84" w:history="1">
            <w:r w:rsidRPr="00F45DCA">
              <w:rPr>
                <w:rStyle w:val="Lienhypertexte"/>
                <w:noProof/>
              </w:rPr>
              <w:t>21.11.2b Maçonneries portantes en briques de béton à coller CCTB 01.13</w:t>
            </w:r>
            <w:r>
              <w:rPr>
                <w:noProof/>
                <w:webHidden/>
              </w:rPr>
              <w:tab/>
            </w:r>
            <w:r>
              <w:rPr>
                <w:noProof/>
                <w:webHidden/>
              </w:rPr>
              <w:fldChar w:fldCharType="begin"/>
            </w:r>
            <w:r>
              <w:rPr>
                <w:noProof/>
                <w:webHidden/>
              </w:rPr>
              <w:instrText xml:space="preserve"> PAGEREF _Toc220495184 \h </w:instrText>
            </w:r>
            <w:r>
              <w:rPr>
                <w:noProof/>
                <w:webHidden/>
              </w:rPr>
            </w:r>
            <w:r>
              <w:rPr>
                <w:noProof/>
                <w:webHidden/>
              </w:rPr>
              <w:fldChar w:fldCharType="separate"/>
            </w:r>
            <w:r>
              <w:rPr>
                <w:noProof/>
                <w:webHidden/>
              </w:rPr>
              <w:t>81</w:t>
            </w:r>
            <w:r>
              <w:rPr>
                <w:noProof/>
                <w:webHidden/>
              </w:rPr>
              <w:fldChar w:fldCharType="end"/>
            </w:r>
          </w:hyperlink>
        </w:p>
        <w:p w14:paraId="720D2554" w14:textId="399BFA3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85" w:history="1">
            <w:r w:rsidRPr="00F45DCA">
              <w:rPr>
                <w:rStyle w:val="Lienhypertexte"/>
                <w:noProof/>
              </w:rPr>
              <w:t>21.11.2c Maçonneries portantes en briques de béton avec système de dosage pour liant hydraulique CCTB 01.13</w:t>
            </w:r>
            <w:r>
              <w:rPr>
                <w:noProof/>
                <w:webHidden/>
              </w:rPr>
              <w:tab/>
            </w:r>
            <w:r>
              <w:rPr>
                <w:noProof/>
                <w:webHidden/>
              </w:rPr>
              <w:fldChar w:fldCharType="begin"/>
            </w:r>
            <w:r>
              <w:rPr>
                <w:noProof/>
                <w:webHidden/>
              </w:rPr>
              <w:instrText xml:space="preserve"> PAGEREF _Toc220495185 \h </w:instrText>
            </w:r>
            <w:r>
              <w:rPr>
                <w:noProof/>
                <w:webHidden/>
              </w:rPr>
            </w:r>
            <w:r>
              <w:rPr>
                <w:noProof/>
                <w:webHidden/>
              </w:rPr>
              <w:fldChar w:fldCharType="separate"/>
            </w:r>
            <w:r>
              <w:rPr>
                <w:noProof/>
                <w:webHidden/>
              </w:rPr>
              <w:t>83</w:t>
            </w:r>
            <w:r>
              <w:rPr>
                <w:noProof/>
                <w:webHidden/>
              </w:rPr>
              <w:fldChar w:fldCharType="end"/>
            </w:r>
          </w:hyperlink>
        </w:p>
        <w:p w14:paraId="7D5DFB80" w14:textId="7081969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186" w:history="1">
            <w:r w:rsidRPr="00F45DCA">
              <w:rPr>
                <w:rStyle w:val="Lienhypertexte"/>
                <w:noProof/>
              </w:rPr>
              <w:t>21.11.3 Maçonneries portantes en briques de silico-calcaire CCTB 01.11</w:t>
            </w:r>
            <w:r>
              <w:rPr>
                <w:noProof/>
                <w:webHidden/>
              </w:rPr>
              <w:tab/>
            </w:r>
            <w:r>
              <w:rPr>
                <w:noProof/>
                <w:webHidden/>
              </w:rPr>
              <w:fldChar w:fldCharType="begin"/>
            </w:r>
            <w:r>
              <w:rPr>
                <w:noProof/>
                <w:webHidden/>
              </w:rPr>
              <w:instrText xml:space="preserve"> PAGEREF _Toc220495186 \h </w:instrText>
            </w:r>
            <w:r>
              <w:rPr>
                <w:noProof/>
                <w:webHidden/>
              </w:rPr>
            </w:r>
            <w:r>
              <w:rPr>
                <w:noProof/>
                <w:webHidden/>
              </w:rPr>
              <w:fldChar w:fldCharType="separate"/>
            </w:r>
            <w:r>
              <w:rPr>
                <w:noProof/>
                <w:webHidden/>
              </w:rPr>
              <w:t>86</w:t>
            </w:r>
            <w:r>
              <w:rPr>
                <w:noProof/>
                <w:webHidden/>
              </w:rPr>
              <w:fldChar w:fldCharType="end"/>
            </w:r>
          </w:hyperlink>
        </w:p>
        <w:p w14:paraId="19866499" w14:textId="5881380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87" w:history="1">
            <w:r w:rsidRPr="00F45DCA">
              <w:rPr>
                <w:rStyle w:val="Lienhypertexte"/>
                <w:noProof/>
              </w:rPr>
              <w:t>21.11.3a Maçonneries portantes en briques de silico-calcaire à maçonner CCTB 01.12</w:t>
            </w:r>
            <w:r>
              <w:rPr>
                <w:noProof/>
                <w:webHidden/>
              </w:rPr>
              <w:tab/>
            </w:r>
            <w:r>
              <w:rPr>
                <w:noProof/>
                <w:webHidden/>
              </w:rPr>
              <w:fldChar w:fldCharType="begin"/>
            </w:r>
            <w:r>
              <w:rPr>
                <w:noProof/>
                <w:webHidden/>
              </w:rPr>
              <w:instrText xml:space="preserve"> PAGEREF _Toc220495187 \h </w:instrText>
            </w:r>
            <w:r>
              <w:rPr>
                <w:noProof/>
                <w:webHidden/>
              </w:rPr>
            </w:r>
            <w:r>
              <w:rPr>
                <w:noProof/>
                <w:webHidden/>
              </w:rPr>
              <w:fldChar w:fldCharType="separate"/>
            </w:r>
            <w:r>
              <w:rPr>
                <w:noProof/>
                <w:webHidden/>
              </w:rPr>
              <w:t>86</w:t>
            </w:r>
            <w:r>
              <w:rPr>
                <w:noProof/>
                <w:webHidden/>
              </w:rPr>
              <w:fldChar w:fldCharType="end"/>
            </w:r>
          </w:hyperlink>
        </w:p>
        <w:p w14:paraId="53CE083D" w14:textId="02707B9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88" w:history="1">
            <w:r w:rsidRPr="00F45DCA">
              <w:rPr>
                <w:rStyle w:val="Lienhypertexte"/>
                <w:noProof/>
              </w:rPr>
              <w:t>21.11.3b Maçonneries portantes en briques de silico-calcaire à coller CCTB 01.11</w:t>
            </w:r>
            <w:r>
              <w:rPr>
                <w:noProof/>
                <w:webHidden/>
              </w:rPr>
              <w:tab/>
            </w:r>
            <w:r>
              <w:rPr>
                <w:noProof/>
                <w:webHidden/>
              </w:rPr>
              <w:fldChar w:fldCharType="begin"/>
            </w:r>
            <w:r>
              <w:rPr>
                <w:noProof/>
                <w:webHidden/>
              </w:rPr>
              <w:instrText xml:space="preserve"> PAGEREF _Toc220495188 \h </w:instrText>
            </w:r>
            <w:r>
              <w:rPr>
                <w:noProof/>
                <w:webHidden/>
              </w:rPr>
            </w:r>
            <w:r>
              <w:rPr>
                <w:noProof/>
                <w:webHidden/>
              </w:rPr>
              <w:fldChar w:fldCharType="separate"/>
            </w:r>
            <w:r>
              <w:rPr>
                <w:noProof/>
                <w:webHidden/>
              </w:rPr>
              <w:t>88</w:t>
            </w:r>
            <w:r>
              <w:rPr>
                <w:noProof/>
                <w:webHidden/>
              </w:rPr>
              <w:fldChar w:fldCharType="end"/>
            </w:r>
          </w:hyperlink>
        </w:p>
        <w:p w14:paraId="221EF104" w14:textId="4CD4752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189" w:history="1">
            <w:r w:rsidRPr="00F45DCA">
              <w:rPr>
                <w:rStyle w:val="Lienhypertexte"/>
                <w:noProof/>
              </w:rPr>
              <w:t>21.11.4 Maçonneries portantes en briques de terre crue CCTB 01.11</w:t>
            </w:r>
            <w:r>
              <w:rPr>
                <w:noProof/>
                <w:webHidden/>
              </w:rPr>
              <w:tab/>
            </w:r>
            <w:r>
              <w:rPr>
                <w:noProof/>
                <w:webHidden/>
              </w:rPr>
              <w:fldChar w:fldCharType="begin"/>
            </w:r>
            <w:r>
              <w:rPr>
                <w:noProof/>
                <w:webHidden/>
              </w:rPr>
              <w:instrText xml:space="preserve"> PAGEREF _Toc220495189 \h </w:instrText>
            </w:r>
            <w:r>
              <w:rPr>
                <w:noProof/>
                <w:webHidden/>
              </w:rPr>
            </w:r>
            <w:r>
              <w:rPr>
                <w:noProof/>
                <w:webHidden/>
              </w:rPr>
              <w:fldChar w:fldCharType="separate"/>
            </w:r>
            <w:r>
              <w:rPr>
                <w:noProof/>
                <w:webHidden/>
              </w:rPr>
              <w:t>90</w:t>
            </w:r>
            <w:r>
              <w:rPr>
                <w:noProof/>
                <w:webHidden/>
              </w:rPr>
              <w:fldChar w:fldCharType="end"/>
            </w:r>
          </w:hyperlink>
        </w:p>
        <w:p w14:paraId="1810ECAA" w14:textId="49731A0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90" w:history="1">
            <w:r w:rsidRPr="00F45DCA">
              <w:rPr>
                <w:rStyle w:val="Lienhypertexte"/>
                <w:noProof/>
              </w:rPr>
              <w:t>21.11.4a Maçonneries portantes en briques de terre crue stabilisée à maçonner CCTB 01.11</w:t>
            </w:r>
            <w:r>
              <w:rPr>
                <w:noProof/>
                <w:webHidden/>
              </w:rPr>
              <w:tab/>
            </w:r>
            <w:r>
              <w:rPr>
                <w:noProof/>
                <w:webHidden/>
              </w:rPr>
              <w:fldChar w:fldCharType="begin"/>
            </w:r>
            <w:r>
              <w:rPr>
                <w:noProof/>
                <w:webHidden/>
              </w:rPr>
              <w:instrText xml:space="preserve"> PAGEREF _Toc220495190 \h </w:instrText>
            </w:r>
            <w:r>
              <w:rPr>
                <w:noProof/>
                <w:webHidden/>
              </w:rPr>
            </w:r>
            <w:r>
              <w:rPr>
                <w:noProof/>
                <w:webHidden/>
              </w:rPr>
              <w:fldChar w:fldCharType="separate"/>
            </w:r>
            <w:r>
              <w:rPr>
                <w:noProof/>
                <w:webHidden/>
              </w:rPr>
              <w:t>91</w:t>
            </w:r>
            <w:r>
              <w:rPr>
                <w:noProof/>
                <w:webHidden/>
              </w:rPr>
              <w:fldChar w:fldCharType="end"/>
            </w:r>
          </w:hyperlink>
        </w:p>
        <w:p w14:paraId="5C53F0CD" w14:textId="6FE2100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191" w:history="1">
            <w:r w:rsidRPr="00F45DCA">
              <w:rPr>
                <w:rStyle w:val="Lienhypertexte"/>
                <w:noProof/>
              </w:rPr>
              <w:t>21.12 Maçonneries portantes en blocs CCTB 01.04</w:t>
            </w:r>
            <w:r>
              <w:rPr>
                <w:noProof/>
                <w:webHidden/>
              </w:rPr>
              <w:tab/>
            </w:r>
            <w:r>
              <w:rPr>
                <w:noProof/>
                <w:webHidden/>
              </w:rPr>
              <w:fldChar w:fldCharType="begin"/>
            </w:r>
            <w:r>
              <w:rPr>
                <w:noProof/>
                <w:webHidden/>
              </w:rPr>
              <w:instrText xml:space="preserve"> PAGEREF _Toc220495191 \h </w:instrText>
            </w:r>
            <w:r>
              <w:rPr>
                <w:noProof/>
                <w:webHidden/>
              </w:rPr>
            </w:r>
            <w:r>
              <w:rPr>
                <w:noProof/>
                <w:webHidden/>
              </w:rPr>
              <w:fldChar w:fldCharType="separate"/>
            </w:r>
            <w:r>
              <w:rPr>
                <w:noProof/>
                <w:webHidden/>
              </w:rPr>
              <w:t>95</w:t>
            </w:r>
            <w:r>
              <w:rPr>
                <w:noProof/>
                <w:webHidden/>
              </w:rPr>
              <w:fldChar w:fldCharType="end"/>
            </w:r>
          </w:hyperlink>
        </w:p>
        <w:p w14:paraId="1B49C769" w14:textId="454EAE6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192" w:history="1">
            <w:r w:rsidRPr="00F45DCA">
              <w:rPr>
                <w:rStyle w:val="Lienhypertexte"/>
                <w:noProof/>
              </w:rPr>
              <w:t>21.12.1 Maçonneries portantes de fondation en blocs CCTB 01.11</w:t>
            </w:r>
            <w:r>
              <w:rPr>
                <w:noProof/>
                <w:webHidden/>
              </w:rPr>
              <w:tab/>
            </w:r>
            <w:r>
              <w:rPr>
                <w:noProof/>
                <w:webHidden/>
              </w:rPr>
              <w:fldChar w:fldCharType="begin"/>
            </w:r>
            <w:r>
              <w:rPr>
                <w:noProof/>
                <w:webHidden/>
              </w:rPr>
              <w:instrText xml:space="preserve"> PAGEREF _Toc220495192 \h </w:instrText>
            </w:r>
            <w:r>
              <w:rPr>
                <w:noProof/>
                <w:webHidden/>
              </w:rPr>
            </w:r>
            <w:r>
              <w:rPr>
                <w:noProof/>
                <w:webHidden/>
              </w:rPr>
              <w:fldChar w:fldCharType="separate"/>
            </w:r>
            <w:r>
              <w:rPr>
                <w:noProof/>
                <w:webHidden/>
              </w:rPr>
              <w:t>95</w:t>
            </w:r>
            <w:r>
              <w:rPr>
                <w:noProof/>
                <w:webHidden/>
              </w:rPr>
              <w:fldChar w:fldCharType="end"/>
            </w:r>
          </w:hyperlink>
        </w:p>
        <w:p w14:paraId="7873BFF0" w14:textId="0F0A8B5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93" w:history="1">
            <w:r w:rsidRPr="00F45DCA">
              <w:rPr>
                <w:rStyle w:val="Lienhypertexte"/>
                <w:noProof/>
              </w:rPr>
              <w:t>21.12.1a Maçonneries portantes de fondation en blocs de béton pleins à maçonner CCTB 01.13</w:t>
            </w:r>
            <w:r>
              <w:rPr>
                <w:noProof/>
                <w:webHidden/>
              </w:rPr>
              <w:tab/>
            </w:r>
            <w:r>
              <w:rPr>
                <w:noProof/>
                <w:webHidden/>
              </w:rPr>
              <w:fldChar w:fldCharType="begin"/>
            </w:r>
            <w:r>
              <w:rPr>
                <w:noProof/>
                <w:webHidden/>
              </w:rPr>
              <w:instrText xml:space="preserve"> PAGEREF _Toc220495193 \h </w:instrText>
            </w:r>
            <w:r>
              <w:rPr>
                <w:noProof/>
                <w:webHidden/>
              </w:rPr>
            </w:r>
            <w:r>
              <w:rPr>
                <w:noProof/>
                <w:webHidden/>
              </w:rPr>
              <w:fldChar w:fldCharType="separate"/>
            </w:r>
            <w:r>
              <w:rPr>
                <w:noProof/>
                <w:webHidden/>
              </w:rPr>
              <w:t>96</w:t>
            </w:r>
            <w:r>
              <w:rPr>
                <w:noProof/>
                <w:webHidden/>
              </w:rPr>
              <w:fldChar w:fldCharType="end"/>
            </w:r>
          </w:hyperlink>
        </w:p>
        <w:p w14:paraId="0B974E41" w14:textId="11A00BD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94" w:history="1">
            <w:r w:rsidRPr="00F45DCA">
              <w:rPr>
                <w:rStyle w:val="Lienhypertexte"/>
                <w:noProof/>
              </w:rPr>
              <w:t>21.12.1b Maçonneries portantes de fondation en blocs de coffrage en béton CCTB 01.11</w:t>
            </w:r>
            <w:r>
              <w:rPr>
                <w:noProof/>
                <w:webHidden/>
              </w:rPr>
              <w:tab/>
            </w:r>
            <w:r>
              <w:rPr>
                <w:noProof/>
                <w:webHidden/>
              </w:rPr>
              <w:fldChar w:fldCharType="begin"/>
            </w:r>
            <w:r>
              <w:rPr>
                <w:noProof/>
                <w:webHidden/>
              </w:rPr>
              <w:instrText xml:space="preserve"> PAGEREF _Toc220495194 \h </w:instrText>
            </w:r>
            <w:r>
              <w:rPr>
                <w:noProof/>
                <w:webHidden/>
              </w:rPr>
            </w:r>
            <w:r>
              <w:rPr>
                <w:noProof/>
                <w:webHidden/>
              </w:rPr>
              <w:fldChar w:fldCharType="separate"/>
            </w:r>
            <w:r>
              <w:rPr>
                <w:noProof/>
                <w:webHidden/>
              </w:rPr>
              <w:t>98</w:t>
            </w:r>
            <w:r>
              <w:rPr>
                <w:noProof/>
                <w:webHidden/>
              </w:rPr>
              <w:fldChar w:fldCharType="end"/>
            </w:r>
          </w:hyperlink>
        </w:p>
        <w:p w14:paraId="46A1D507" w14:textId="599122A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195" w:history="1">
            <w:r w:rsidRPr="00F45DCA">
              <w:rPr>
                <w:rStyle w:val="Lienhypertexte"/>
                <w:noProof/>
              </w:rPr>
              <w:t>21.12.2 Maçonneries portantes en blocs pour murs en contact direct avec la terre CCTB 01.11</w:t>
            </w:r>
            <w:r>
              <w:rPr>
                <w:noProof/>
                <w:webHidden/>
              </w:rPr>
              <w:tab/>
            </w:r>
            <w:r>
              <w:rPr>
                <w:noProof/>
                <w:webHidden/>
              </w:rPr>
              <w:fldChar w:fldCharType="begin"/>
            </w:r>
            <w:r>
              <w:rPr>
                <w:noProof/>
                <w:webHidden/>
              </w:rPr>
              <w:instrText xml:space="preserve"> PAGEREF _Toc220495195 \h </w:instrText>
            </w:r>
            <w:r>
              <w:rPr>
                <w:noProof/>
                <w:webHidden/>
              </w:rPr>
            </w:r>
            <w:r>
              <w:rPr>
                <w:noProof/>
                <w:webHidden/>
              </w:rPr>
              <w:fldChar w:fldCharType="separate"/>
            </w:r>
            <w:r>
              <w:rPr>
                <w:noProof/>
                <w:webHidden/>
              </w:rPr>
              <w:t>99</w:t>
            </w:r>
            <w:r>
              <w:rPr>
                <w:noProof/>
                <w:webHidden/>
              </w:rPr>
              <w:fldChar w:fldCharType="end"/>
            </w:r>
          </w:hyperlink>
        </w:p>
        <w:p w14:paraId="497636F9" w14:textId="49EBC09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96" w:history="1">
            <w:r w:rsidRPr="00F45DCA">
              <w:rPr>
                <w:rStyle w:val="Lienhypertexte"/>
                <w:noProof/>
              </w:rPr>
              <w:t>21.12.2a Maçonneries portantes en blocs de béton pleins à maçonner CCTB 01.13</w:t>
            </w:r>
            <w:r>
              <w:rPr>
                <w:noProof/>
                <w:webHidden/>
              </w:rPr>
              <w:tab/>
            </w:r>
            <w:r>
              <w:rPr>
                <w:noProof/>
                <w:webHidden/>
              </w:rPr>
              <w:fldChar w:fldCharType="begin"/>
            </w:r>
            <w:r>
              <w:rPr>
                <w:noProof/>
                <w:webHidden/>
              </w:rPr>
              <w:instrText xml:space="preserve"> PAGEREF _Toc220495196 \h </w:instrText>
            </w:r>
            <w:r>
              <w:rPr>
                <w:noProof/>
                <w:webHidden/>
              </w:rPr>
            </w:r>
            <w:r>
              <w:rPr>
                <w:noProof/>
                <w:webHidden/>
              </w:rPr>
              <w:fldChar w:fldCharType="separate"/>
            </w:r>
            <w:r>
              <w:rPr>
                <w:noProof/>
                <w:webHidden/>
              </w:rPr>
              <w:t>100</w:t>
            </w:r>
            <w:r>
              <w:rPr>
                <w:noProof/>
                <w:webHidden/>
              </w:rPr>
              <w:fldChar w:fldCharType="end"/>
            </w:r>
          </w:hyperlink>
        </w:p>
        <w:p w14:paraId="5727C898" w14:textId="3FC5013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97" w:history="1">
            <w:r w:rsidRPr="00F45DCA">
              <w:rPr>
                <w:rStyle w:val="Lienhypertexte"/>
                <w:noProof/>
              </w:rPr>
              <w:t>21.12.2b Maçonneries portantes en blocs de béton pleins à coller CCTB 01.13</w:t>
            </w:r>
            <w:r>
              <w:rPr>
                <w:noProof/>
                <w:webHidden/>
              </w:rPr>
              <w:tab/>
            </w:r>
            <w:r>
              <w:rPr>
                <w:noProof/>
                <w:webHidden/>
              </w:rPr>
              <w:fldChar w:fldCharType="begin"/>
            </w:r>
            <w:r>
              <w:rPr>
                <w:noProof/>
                <w:webHidden/>
              </w:rPr>
              <w:instrText xml:space="preserve"> PAGEREF _Toc220495197 \h </w:instrText>
            </w:r>
            <w:r>
              <w:rPr>
                <w:noProof/>
                <w:webHidden/>
              </w:rPr>
            </w:r>
            <w:r>
              <w:rPr>
                <w:noProof/>
                <w:webHidden/>
              </w:rPr>
              <w:fldChar w:fldCharType="separate"/>
            </w:r>
            <w:r>
              <w:rPr>
                <w:noProof/>
                <w:webHidden/>
              </w:rPr>
              <w:t>102</w:t>
            </w:r>
            <w:r>
              <w:rPr>
                <w:noProof/>
                <w:webHidden/>
              </w:rPr>
              <w:fldChar w:fldCharType="end"/>
            </w:r>
          </w:hyperlink>
        </w:p>
        <w:p w14:paraId="2C475CC4" w14:textId="453A2B4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98" w:history="1">
            <w:r w:rsidRPr="00F45DCA">
              <w:rPr>
                <w:rStyle w:val="Lienhypertexte"/>
                <w:noProof/>
              </w:rPr>
              <w:t>21.12.2c Maçonneries portantes en blocs de béton creux à maçonner CCTB 01.13</w:t>
            </w:r>
            <w:r>
              <w:rPr>
                <w:noProof/>
                <w:webHidden/>
              </w:rPr>
              <w:tab/>
            </w:r>
            <w:r>
              <w:rPr>
                <w:noProof/>
                <w:webHidden/>
              </w:rPr>
              <w:fldChar w:fldCharType="begin"/>
            </w:r>
            <w:r>
              <w:rPr>
                <w:noProof/>
                <w:webHidden/>
              </w:rPr>
              <w:instrText xml:space="preserve"> PAGEREF _Toc220495198 \h </w:instrText>
            </w:r>
            <w:r>
              <w:rPr>
                <w:noProof/>
                <w:webHidden/>
              </w:rPr>
            </w:r>
            <w:r>
              <w:rPr>
                <w:noProof/>
                <w:webHidden/>
              </w:rPr>
              <w:fldChar w:fldCharType="separate"/>
            </w:r>
            <w:r>
              <w:rPr>
                <w:noProof/>
                <w:webHidden/>
              </w:rPr>
              <w:t>105</w:t>
            </w:r>
            <w:r>
              <w:rPr>
                <w:noProof/>
                <w:webHidden/>
              </w:rPr>
              <w:fldChar w:fldCharType="end"/>
            </w:r>
          </w:hyperlink>
        </w:p>
        <w:p w14:paraId="48BE941C" w14:textId="691AEAD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199" w:history="1">
            <w:r w:rsidRPr="00F45DCA">
              <w:rPr>
                <w:rStyle w:val="Lienhypertexte"/>
                <w:noProof/>
              </w:rPr>
              <w:t>21.12.2d Maçonneries portantes en blocs de béton creux à coller CCTB 01.13</w:t>
            </w:r>
            <w:r>
              <w:rPr>
                <w:noProof/>
                <w:webHidden/>
              </w:rPr>
              <w:tab/>
            </w:r>
            <w:r>
              <w:rPr>
                <w:noProof/>
                <w:webHidden/>
              </w:rPr>
              <w:fldChar w:fldCharType="begin"/>
            </w:r>
            <w:r>
              <w:rPr>
                <w:noProof/>
                <w:webHidden/>
              </w:rPr>
              <w:instrText xml:space="preserve"> PAGEREF _Toc220495199 \h </w:instrText>
            </w:r>
            <w:r>
              <w:rPr>
                <w:noProof/>
                <w:webHidden/>
              </w:rPr>
            </w:r>
            <w:r>
              <w:rPr>
                <w:noProof/>
                <w:webHidden/>
              </w:rPr>
              <w:fldChar w:fldCharType="separate"/>
            </w:r>
            <w:r>
              <w:rPr>
                <w:noProof/>
                <w:webHidden/>
              </w:rPr>
              <w:t>107</w:t>
            </w:r>
            <w:r>
              <w:rPr>
                <w:noProof/>
                <w:webHidden/>
              </w:rPr>
              <w:fldChar w:fldCharType="end"/>
            </w:r>
          </w:hyperlink>
        </w:p>
        <w:p w14:paraId="5244C5E5" w14:textId="375BB46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00" w:history="1">
            <w:r w:rsidRPr="00F45DCA">
              <w:rPr>
                <w:rStyle w:val="Lienhypertexte"/>
                <w:noProof/>
              </w:rPr>
              <w:t>21.12.2e Maçonneries portantes en blocs de béton empilables CCTB 01.11</w:t>
            </w:r>
            <w:r>
              <w:rPr>
                <w:noProof/>
                <w:webHidden/>
              </w:rPr>
              <w:tab/>
            </w:r>
            <w:r>
              <w:rPr>
                <w:noProof/>
                <w:webHidden/>
              </w:rPr>
              <w:fldChar w:fldCharType="begin"/>
            </w:r>
            <w:r>
              <w:rPr>
                <w:noProof/>
                <w:webHidden/>
              </w:rPr>
              <w:instrText xml:space="preserve"> PAGEREF _Toc220495200 \h </w:instrText>
            </w:r>
            <w:r>
              <w:rPr>
                <w:noProof/>
                <w:webHidden/>
              </w:rPr>
            </w:r>
            <w:r>
              <w:rPr>
                <w:noProof/>
                <w:webHidden/>
              </w:rPr>
              <w:fldChar w:fldCharType="separate"/>
            </w:r>
            <w:r>
              <w:rPr>
                <w:noProof/>
                <w:webHidden/>
              </w:rPr>
              <w:t>109</w:t>
            </w:r>
            <w:r>
              <w:rPr>
                <w:noProof/>
                <w:webHidden/>
              </w:rPr>
              <w:fldChar w:fldCharType="end"/>
            </w:r>
          </w:hyperlink>
        </w:p>
        <w:p w14:paraId="3368C639" w14:textId="0B1DA93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01" w:history="1">
            <w:r w:rsidRPr="00F45DCA">
              <w:rPr>
                <w:rStyle w:val="Lienhypertexte"/>
                <w:noProof/>
              </w:rPr>
              <w:t>21.12.2f Maçonneries portantes en blocs de béton avec système de dosage pour liant hydraulique CCTB 01.13</w:t>
            </w:r>
            <w:r>
              <w:rPr>
                <w:noProof/>
                <w:webHidden/>
              </w:rPr>
              <w:tab/>
            </w:r>
            <w:r>
              <w:rPr>
                <w:noProof/>
                <w:webHidden/>
              </w:rPr>
              <w:fldChar w:fldCharType="begin"/>
            </w:r>
            <w:r>
              <w:rPr>
                <w:noProof/>
                <w:webHidden/>
              </w:rPr>
              <w:instrText xml:space="preserve"> PAGEREF _Toc220495201 \h </w:instrText>
            </w:r>
            <w:r>
              <w:rPr>
                <w:noProof/>
                <w:webHidden/>
              </w:rPr>
            </w:r>
            <w:r>
              <w:rPr>
                <w:noProof/>
                <w:webHidden/>
              </w:rPr>
              <w:fldChar w:fldCharType="separate"/>
            </w:r>
            <w:r>
              <w:rPr>
                <w:noProof/>
                <w:webHidden/>
              </w:rPr>
              <w:t>110</w:t>
            </w:r>
            <w:r>
              <w:rPr>
                <w:noProof/>
                <w:webHidden/>
              </w:rPr>
              <w:fldChar w:fldCharType="end"/>
            </w:r>
          </w:hyperlink>
        </w:p>
        <w:p w14:paraId="55893EFD" w14:textId="41DCB73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02" w:history="1">
            <w:r w:rsidRPr="00F45DCA">
              <w:rPr>
                <w:rStyle w:val="Lienhypertexte"/>
                <w:noProof/>
              </w:rPr>
              <w:t>21.12.2g Maçonneries portantes en blocs de coffrage en béton CCTB 01.13</w:t>
            </w:r>
            <w:r>
              <w:rPr>
                <w:noProof/>
                <w:webHidden/>
              </w:rPr>
              <w:tab/>
            </w:r>
            <w:r>
              <w:rPr>
                <w:noProof/>
                <w:webHidden/>
              </w:rPr>
              <w:fldChar w:fldCharType="begin"/>
            </w:r>
            <w:r>
              <w:rPr>
                <w:noProof/>
                <w:webHidden/>
              </w:rPr>
              <w:instrText xml:space="preserve"> PAGEREF _Toc220495202 \h </w:instrText>
            </w:r>
            <w:r>
              <w:rPr>
                <w:noProof/>
                <w:webHidden/>
              </w:rPr>
            </w:r>
            <w:r>
              <w:rPr>
                <w:noProof/>
                <w:webHidden/>
              </w:rPr>
              <w:fldChar w:fldCharType="separate"/>
            </w:r>
            <w:r>
              <w:rPr>
                <w:noProof/>
                <w:webHidden/>
              </w:rPr>
              <w:t>113</w:t>
            </w:r>
            <w:r>
              <w:rPr>
                <w:noProof/>
                <w:webHidden/>
              </w:rPr>
              <w:fldChar w:fldCharType="end"/>
            </w:r>
          </w:hyperlink>
        </w:p>
        <w:p w14:paraId="0D42584A" w14:textId="4453233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03" w:history="1">
            <w:r w:rsidRPr="00F45DCA">
              <w:rPr>
                <w:rStyle w:val="Lienhypertexte"/>
                <w:noProof/>
              </w:rPr>
              <w:t>21.12.2h Maçonneries portantes en blocs de coffrage en béton cellulaire CCTB 01.13</w:t>
            </w:r>
            <w:r>
              <w:rPr>
                <w:noProof/>
                <w:webHidden/>
              </w:rPr>
              <w:tab/>
            </w:r>
            <w:r>
              <w:rPr>
                <w:noProof/>
                <w:webHidden/>
              </w:rPr>
              <w:fldChar w:fldCharType="begin"/>
            </w:r>
            <w:r>
              <w:rPr>
                <w:noProof/>
                <w:webHidden/>
              </w:rPr>
              <w:instrText xml:space="preserve"> PAGEREF _Toc220495203 \h </w:instrText>
            </w:r>
            <w:r>
              <w:rPr>
                <w:noProof/>
                <w:webHidden/>
              </w:rPr>
            </w:r>
            <w:r>
              <w:rPr>
                <w:noProof/>
                <w:webHidden/>
              </w:rPr>
              <w:fldChar w:fldCharType="separate"/>
            </w:r>
            <w:r>
              <w:rPr>
                <w:noProof/>
                <w:webHidden/>
              </w:rPr>
              <w:t>115</w:t>
            </w:r>
            <w:r>
              <w:rPr>
                <w:noProof/>
                <w:webHidden/>
              </w:rPr>
              <w:fldChar w:fldCharType="end"/>
            </w:r>
          </w:hyperlink>
        </w:p>
        <w:p w14:paraId="4541C355" w14:textId="3FEE31C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04" w:history="1">
            <w:r w:rsidRPr="00F45DCA">
              <w:rPr>
                <w:rStyle w:val="Lienhypertexte"/>
                <w:noProof/>
              </w:rPr>
              <w:t>21.12.2i Maçonneries portantes en blocs treillis de terre cuite à maçonner CCTB 01.11</w:t>
            </w:r>
            <w:r>
              <w:rPr>
                <w:noProof/>
                <w:webHidden/>
              </w:rPr>
              <w:tab/>
            </w:r>
            <w:r>
              <w:rPr>
                <w:noProof/>
                <w:webHidden/>
              </w:rPr>
              <w:fldChar w:fldCharType="begin"/>
            </w:r>
            <w:r>
              <w:rPr>
                <w:noProof/>
                <w:webHidden/>
              </w:rPr>
              <w:instrText xml:space="preserve"> PAGEREF _Toc220495204 \h </w:instrText>
            </w:r>
            <w:r>
              <w:rPr>
                <w:noProof/>
                <w:webHidden/>
              </w:rPr>
            </w:r>
            <w:r>
              <w:rPr>
                <w:noProof/>
                <w:webHidden/>
              </w:rPr>
              <w:fldChar w:fldCharType="separate"/>
            </w:r>
            <w:r>
              <w:rPr>
                <w:noProof/>
                <w:webHidden/>
              </w:rPr>
              <w:t>117</w:t>
            </w:r>
            <w:r>
              <w:rPr>
                <w:noProof/>
                <w:webHidden/>
              </w:rPr>
              <w:fldChar w:fldCharType="end"/>
            </w:r>
          </w:hyperlink>
        </w:p>
        <w:p w14:paraId="06EF736B" w14:textId="673842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05" w:history="1">
            <w:r w:rsidRPr="00F45DCA">
              <w:rPr>
                <w:rStyle w:val="Lienhypertexte"/>
                <w:noProof/>
              </w:rPr>
              <w:t>21.12.2j Maçonneries portantes en blocs treillis de terre cuite à coller CCTB 01.11</w:t>
            </w:r>
            <w:r>
              <w:rPr>
                <w:noProof/>
                <w:webHidden/>
              </w:rPr>
              <w:tab/>
            </w:r>
            <w:r>
              <w:rPr>
                <w:noProof/>
                <w:webHidden/>
              </w:rPr>
              <w:fldChar w:fldCharType="begin"/>
            </w:r>
            <w:r>
              <w:rPr>
                <w:noProof/>
                <w:webHidden/>
              </w:rPr>
              <w:instrText xml:space="preserve"> PAGEREF _Toc220495205 \h </w:instrText>
            </w:r>
            <w:r>
              <w:rPr>
                <w:noProof/>
                <w:webHidden/>
              </w:rPr>
            </w:r>
            <w:r>
              <w:rPr>
                <w:noProof/>
                <w:webHidden/>
              </w:rPr>
              <w:fldChar w:fldCharType="separate"/>
            </w:r>
            <w:r>
              <w:rPr>
                <w:noProof/>
                <w:webHidden/>
              </w:rPr>
              <w:t>118</w:t>
            </w:r>
            <w:r>
              <w:rPr>
                <w:noProof/>
                <w:webHidden/>
              </w:rPr>
              <w:fldChar w:fldCharType="end"/>
            </w:r>
          </w:hyperlink>
        </w:p>
        <w:p w14:paraId="2B2B73B0" w14:textId="4C0251B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06" w:history="1">
            <w:r w:rsidRPr="00F45DCA">
              <w:rPr>
                <w:rStyle w:val="Lienhypertexte"/>
                <w:noProof/>
              </w:rPr>
              <w:t>21.12.3 Maçonneries portantes en blocs treillis de terre cuite CCTB 01.11</w:t>
            </w:r>
            <w:r>
              <w:rPr>
                <w:noProof/>
                <w:webHidden/>
              </w:rPr>
              <w:tab/>
            </w:r>
            <w:r>
              <w:rPr>
                <w:noProof/>
                <w:webHidden/>
              </w:rPr>
              <w:fldChar w:fldCharType="begin"/>
            </w:r>
            <w:r>
              <w:rPr>
                <w:noProof/>
                <w:webHidden/>
              </w:rPr>
              <w:instrText xml:space="preserve"> PAGEREF _Toc220495206 \h </w:instrText>
            </w:r>
            <w:r>
              <w:rPr>
                <w:noProof/>
                <w:webHidden/>
              </w:rPr>
            </w:r>
            <w:r>
              <w:rPr>
                <w:noProof/>
                <w:webHidden/>
              </w:rPr>
              <w:fldChar w:fldCharType="separate"/>
            </w:r>
            <w:r>
              <w:rPr>
                <w:noProof/>
                <w:webHidden/>
              </w:rPr>
              <w:t>119</w:t>
            </w:r>
            <w:r>
              <w:rPr>
                <w:noProof/>
                <w:webHidden/>
              </w:rPr>
              <w:fldChar w:fldCharType="end"/>
            </w:r>
          </w:hyperlink>
        </w:p>
        <w:p w14:paraId="3D01FA09" w14:textId="390734D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07" w:history="1">
            <w:r w:rsidRPr="00F45DCA">
              <w:rPr>
                <w:rStyle w:val="Lienhypertexte"/>
                <w:noProof/>
              </w:rPr>
              <w:t>21.12.3a Maçonneries portantes en blocs treillis de terre cuite à maçonner CCTB 01.12</w:t>
            </w:r>
            <w:r>
              <w:rPr>
                <w:noProof/>
                <w:webHidden/>
              </w:rPr>
              <w:tab/>
            </w:r>
            <w:r>
              <w:rPr>
                <w:noProof/>
                <w:webHidden/>
              </w:rPr>
              <w:fldChar w:fldCharType="begin"/>
            </w:r>
            <w:r>
              <w:rPr>
                <w:noProof/>
                <w:webHidden/>
              </w:rPr>
              <w:instrText xml:space="preserve"> PAGEREF _Toc220495207 \h </w:instrText>
            </w:r>
            <w:r>
              <w:rPr>
                <w:noProof/>
                <w:webHidden/>
              </w:rPr>
            </w:r>
            <w:r>
              <w:rPr>
                <w:noProof/>
                <w:webHidden/>
              </w:rPr>
              <w:fldChar w:fldCharType="separate"/>
            </w:r>
            <w:r>
              <w:rPr>
                <w:noProof/>
                <w:webHidden/>
              </w:rPr>
              <w:t>120</w:t>
            </w:r>
            <w:r>
              <w:rPr>
                <w:noProof/>
                <w:webHidden/>
              </w:rPr>
              <w:fldChar w:fldCharType="end"/>
            </w:r>
          </w:hyperlink>
        </w:p>
        <w:p w14:paraId="0FE1EF9B" w14:textId="298526A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08" w:history="1">
            <w:r w:rsidRPr="00F45DCA">
              <w:rPr>
                <w:rStyle w:val="Lienhypertexte"/>
                <w:noProof/>
              </w:rPr>
              <w:t>21.12.3b Maçonneries portantes en blocs treillis de terre cuite à coller avec mortier-colle CCTB 01.11</w:t>
            </w:r>
            <w:r>
              <w:rPr>
                <w:noProof/>
                <w:webHidden/>
              </w:rPr>
              <w:tab/>
            </w:r>
            <w:r>
              <w:rPr>
                <w:noProof/>
                <w:webHidden/>
              </w:rPr>
              <w:fldChar w:fldCharType="begin"/>
            </w:r>
            <w:r>
              <w:rPr>
                <w:noProof/>
                <w:webHidden/>
              </w:rPr>
              <w:instrText xml:space="preserve"> PAGEREF _Toc220495208 \h </w:instrText>
            </w:r>
            <w:r>
              <w:rPr>
                <w:noProof/>
                <w:webHidden/>
              </w:rPr>
            </w:r>
            <w:r>
              <w:rPr>
                <w:noProof/>
                <w:webHidden/>
              </w:rPr>
              <w:fldChar w:fldCharType="separate"/>
            </w:r>
            <w:r>
              <w:rPr>
                <w:noProof/>
                <w:webHidden/>
              </w:rPr>
              <w:t>122</w:t>
            </w:r>
            <w:r>
              <w:rPr>
                <w:noProof/>
                <w:webHidden/>
              </w:rPr>
              <w:fldChar w:fldCharType="end"/>
            </w:r>
          </w:hyperlink>
        </w:p>
        <w:p w14:paraId="69B1D9F5" w14:textId="71DF55D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09" w:history="1">
            <w:r w:rsidRPr="00F45DCA">
              <w:rPr>
                <w:rStyle w:val="Lienhypertexte"/>
                <w:noProof/>
              </w:rPr>
              <w:t>21.12.3c Maçonneries portantes en blocs treillis de terre cuite avec colle PU uni-composante CCTB 01.12</w:t>
            </w:r>
            <w:r>
              <w:rPr>
                <w:noProof/>
                <w:webHidden/>
              </w:rPr>
              <w:tab/>
            </w:r>
            <w:r>
              <w:rPr>
                <w:noProof/>
                <w:webHidden/>
              </w:rPr>
              <w:fldChar w:fldCharType="begin"/>
            </w:r>
            <w:r>
              <w:rPr>
                <w:noProof/>
                <w:webHidden/>
              </w:rPr>
              <w:instrText xml:space="preserve"> PAGEREF _Toc220495209 \h </w:instrText>
            </w:r>
            <w:r>
              <w:rPr>
                <w:noProof/>
                <w:webHidden/>
              </w:rPr>
            </w:r>
            <w:r>
              <w:rPr>
                <w:noProof/>
                <w:webHidden/>
              </w:rPr>
              <w:fldChar w:fldCharType="separate"/>
            </w:r>
            <w:r>
              <w:rPr>
                <w:noProof/>
                <w:webHidden/>
              </w:rPr>
              <w:t>124</w:t>
            </w:r>
            <w:r>
              <w:rPr>
                <w:noProof/>
                <w:webHidden/>
              </w:rPr>
              <w:fldChar w:fldCharType="end"/>
            </w:r>
          </w:hyperlink>
        </w:p>
        <w:p w14:paraId="6703853C" w14:textId="4E734BF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10" w:history="1">
            <w:r w:rsidRPr="00F45DCA">
              <w:rPr>
                <w:rStyle w:val="Lienhypertexte"/>
                <w:noProof/>
              </w:rPr>
              <w:t>21.12.4 Maçonneries portantes en blocs de béton CCTB 01.11</w:t>
            </w:r>
            <w:r>
              <w:rPr>
                <w:noProof/>
                <w:webHidden/>
              </w:rPr>
              <w:tab/>
            </w:r>
            <w:r>
              <w:rPr>
                <w:noProof/>
                <w:webHidden/>
              </w:rPr>
              <w:fldChar w:fldCharType="begin"/>
            </w:r>
            <w:r>
              <w:rPr>
                <w:noProof/>
                <w:webHidden/>
              </w:rPr>
              <w:instrText xml:space="preserve"> PAGEREF _Toc220495210 \h </w:instrText>
            </w:r>
            <w:r>
              <w:rPr>
                <w:noProof/>
                <w:webHidden/>
              </w:rPr>
            </w:r>
            <w:r>
              <w:rPr>
                <w:noProof/>
                <w:webHidden/>
              </w:rPr>
              <w:fldChar w:fldCharType="separate"/>
            </w:r>
            <w:r>
              <w:rPr>
                <w:noProof/>
                <w:webHidden/>
              </w:rPr>
              <w:t>126</w:t>
            </w:r>
            <w:r>
              <w:rPr>
                <w:noProof/>
                <w:webHidden/>
              </w:rPr>
              <w:fldChar w:fldCharType="end"/>
            </w:r>
          </w:hyperlink>
        </w:p>
        <w:p w14:paraId="0D1B4AF5" w14:textId="3C5873D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11" w:history="1">
            <w:r w:rsidRPr="00F45DCA">
              <w:rPr>
                <w:rStyle w:val="Lienhypertexte"/>
                <w:noProof/>
              </w:rPr>
              <w:t>21.12.4a Maçonneries portantes en blocs de béton pleins à maçonner CCTB 01.13</w:t>
            </w:r>
            <w:r>
              <w:rPr>
                <w:noProof/>
                <w:webHidden/>
              </w:rPr>
              <w:tab/>
            </w:r>
            <w:r>
              <w:rPr>
                <w:noProof/>
                <w:webHidden/>
              </w:rPr>
              <w:fldChar w:fldCharType="begin"/>
            </w:r>
            <w:r>
              <w:rPr>
                <w:noProof/>
                <w:webHidden/>
              </w:rPr>
              <w:instrText xml:space="preserve"> PAGEREF _Toc220495211 \h </w:instrText>
            </w:r>
            <w:r>
              <w:rPr>
                <w:noProof/>
                <w:webHidden/>
              </w:rPr>
            </w:r>
            <w:r>
              <w:rPr>
                <w:noProof/>
                <w:webHidden/>
              </w:rPr>
              <w:fldChar w:fldCharType="separate"/>
            </w:r>
            <w:r>
              <w:rPr>
                <w:noProof/>
                <w:webHidden/>
              </w:rPr>
              <w:t>127</w:t>
            </w:r>
            <w:r>
              <w:rPr>
                <w:noProof/>
                <w:webHidden/>
              </w:rPr>
              <w:fldChar w:fldCharType="end"/>
            </w:r>
          </w:hyperlink>
        </w:p>
        <w:p w14:paraId="6B174BA7" w14:textId="301A7E3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12" w:history="1">
            <w:r w:rsidRPr="00F45DCA">
              <w:rPr>
                <w:rStyle w:val="Lienhypertexte"/>
                <w:noProof/>
              </w:rPr>
              <w:t>21.12.4b Maçonneries portantes en blocs de béton pleins à coller CCTB 01.13</w:t>
            </w:r>
            <w:r>
              <w:rPr>
                <w:noProof/>
                <w:webHidden/>
              </w:rPr>
              <w:tab/>
            </w:r>
            <w:r>
              <w:rPr>
                <w:noProof/>
                <w:webHidden/>
              </w:rPr>
              <w:fldChar w:fldCharType="begin"/>
            </w:r>
            <w:r>
              <w:rPr>
                <w:noProof/>
                <w:webHidden/>
              </w:rPr>
              <w:instrText xml:space="preserve"> PAGEREF _Toc220495212 \h </w:instrText>
            </w:r>
            <w:r>
              <w:rPr>
                <w:noProof/>
                <w:webHidden/>
              </w:rPr>
            </w:r>
            <w:r>
              <w:rPr>
                <w:noProof/>
                <w:webHidden/>
              </w:rPr>
              <w:fldChar w:fldCharType="separate"/>
            </w:r>
            <w:r>
              <w:rPr>
                <w:noProof/>
                <w:webHidden/>
              </w:rPr>
              <w:t>129</w:t>
            </w:r>
            <w:r>
              <w:rPr>
                <w:noProof/>
                <w:webHidden/>
              </w:rPr>
              <w:fldChar w:fldCharType="end"/>
            </w:r>
          </w:hyperlink>
        </w:p>
        <w:p w14:paraId="77BE3DC6" w14:textId="08AE46E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13" w:history="1">
            <w:r w:rsidRPr="00F45DCA">
              <w:rPr>
                <w:rStyle w:val="Lienhypertexte"/>
                <w:noProof/>
              </w:rPr>
              <w:t>21.12.4c Maçonneries portantes en blocs de béton creux à maçonner CCTB 01.12</w:t>
            </w:r>
            <w:r>
              <w:rPr>
                <w:noProof/>
                <w:webHidden/>
              </w:rPr>
              <w:tab/>
            </w:r>
            <w:r>
              <w:rPr>
                <w:noProof/>
                <w:webHidden/>
              </w:rPr>
              <w:fldChar w:fldCharType="begin"/>
            </w:r>
            <w:r>
              <w:rPr>
                <w:noProof/>
                <w:webHidden/>
              </w:rPr>
              <w:instrText xml:space="preserve"> PAGEREF _Toc220495213 \h </w:instrText>
            </w:r>
            <w:r>
              <w:rPr>
                <w:noProof/>
                <w:webHidden/>
              </w:rPr>
            </w:r>
            <w:r>
              <w:rPr>
                <w:noProof/>
                <w:webHidden/>
              </w:rPr>
              <w:fldChar w:fldCharType="separate"/>
            </w:r>
            <w:r>
              <w:rPr>
                <w:noProof/>
                <w:webHidden/>
              </w:rPr>
              <w:t>131</w:t>
            </w:r>
            <w:r>
              <w:rPr>
                <w:noProof/>
                <w:webHidden/>
              </w:rPr>
              <w:fldChar w:fldCharType="end"/>
            </w:r>
          </w:hyperlink>
        </w:p>
        <w:p w14:paraId="5854DBB9" w14:textId="44C18B7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14" w:history="1">
            <w:r w:rsidRPr="00F45DCA">
              <w:rPr>
                <w:rStyle w:val="Lienhypertexte"/>
                <w:noProof/>
              </w:rPr>
              <w:t>21.12.4d Maçonneries portantes en blocs de béton creux à coller CCTB 01.13</w:t>
            </w:r>
            <w:r>
              <w:rPr>
                <w:noProof/>
                <w:webHidden/>
              </w:rPr>
              <w:tab/>
            </w:r>
            <w:r>
              <w:rPr>
                <w:noProof/>
                <w:webHidden/>
              </w:rPr>
              <w:fldChar w:fldCharType="begin"/>
            </w:r>
            <w:r>
              <w:rPr>
                <w:noProof/>
                <w:webHidden/>
              </w:rPr>
              <w:instrText xml:space="preserve"> PAGEREF _Toc220495214 \h </w:instrText>
            </w:r>
            <w:r>
              <w:rPr>
                <w:noProof/>
                <w:webHidden/>
              </w:rPr>
            </w:r>
            <w:r>
              <w:rPr>
                <w:noProof/>
                <w:webHidden/>
              </w:rPr>
              <w:fldChar w:fldCharType="separate"/>
            </w:r>
            <w:r>
              <w:rPr>
                <w:noProof/>
                <w:webHidden/>
              </w:rPr>
              <w:t>134</w:t>
            </w:r>
            <w:r>
              <w:rPr>
                <w:noProof/>
                <w:webHidden/>
              </w:rPr>
              <w:fldChar w:fldCharType="end"/>
            </w:r>
          </w:hyperlink>
        </w:p>
        <w:p w14:paraId="4A7E3FB8" w14:textId="3B8D3E0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15" w:history="1">
            <w:r w:rsidRPr="00F45DCA">
              <w:rPr>
                <w:rStyle w:val="Lienhypertexte"/>
                <w:noProof/>
              </w:rPr>
              <w:t>21.12.4e Maçonneries portantes en blocs de béton avec système de dosage pour liant hydraulique CCTB 01.13</w:t>
            </w:r>
            <w:r>
              <w:rPr>
                <w:noProof/>
                <w:webHidden/>
              </w:rPr>
              <w:tab/>
            </w:r>
            <w:r>
              <w:rPr>
                <w:noProof/>
                <w:webHidden/>
              </w:rPr>
              <w:fldChar w:fldCharType="begin"/>
            </w:r>
            <w:r>
              <w:rPr>
                <w:noProof/>
                <w:webHidden/>
              </w:rPr>
              <w:instrText xml:space="preserve"> PAGEREF _Toc220495215 \h </w:instrText>
            </w:r>
            <w:r>
              <w:rPr>
                <w:noProof/>
                <w:webHidden/>
              </w:rPr>
            </w:r>
            <w:r>
              <w:rPr>
                <w:noProof/>
                <w:webHidden/>
              </w:rPr>
              <w:fldChar w:fldCharType="separate"/>
            </w:r>
            <w:r>
              <w:rPr>
                <w:noProof/>
                <w:webHidden/>
              </w:rPr>
              <w:t>136</w:t>
            </w:r>
            <w:r>
              <w:rPr>
                <w:noProof/>
                <w:webHidden/>
              </w:rPr>
              <w:fldChar w:fldCharType="end"/>
            </w:r>
          </w:hyperlink>
        </w:p>
        <w:p w14:paraId="685F44D1" w14:textId="6A5CA82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16" w:history="1">
            <w:r w:rsidRPr="00F45DCA">
              <w:rPr>
                <w:rStyle w:val="Lienhypertexte"/>
                <w:noProof/>
              </w:rPr>
              <w:t>21.12.4f Maçonneries portantes en blocs de béton acoustiques CCTB 01.13</w:t>
            </w:r>
            <w:r>
              <w:rPr>
                <w:noProof/>
                <w:webHidden/>
              </w:rPr>
              <w:tab/>
            </w:r>
            <w:r>
              <w:rPr>
                <w:noProof/>
                <w:webHidden/>
              </w:rPr>
              <w:fldChar w:fldCharType="begin"/>
            </w:r>
            <w:r>
              <w:rPr>
                <w:noProof/>
                <w:webHidden/>
              </w:rPr>
              <w:instrText xml:space="preserve"> PAGEREF _Toc220495216 \h </w:instrText>
            </w:r>
            <w:r>
              <w:rPr>
                <w:noProof/>
                <w:webHidden/>
              </w:rPr>
            </w:r>
            <w:r>
              <w:rPr>
                <w:noProof/>
                <w:webHidden/>
              </w:rPr>
              <w:fldChar w:fldCharType="separate"/>
            </w:r>
            <w:r>
              <w:rPr>
                <w:noProof/>
                <w:webHidden/>
              </w:rPr>
              <w:t>138</w:t>
            </w:r>
            <w:r>
              <w:rPr>
                <w:noProof/>
                <w:webHidden/>
              </w:rPr>
              <w:fldChar w:fldCharType="end"/>
            </w:r>
          </w:hyperlink>
        </w:p>
        <w:p w14:paraId="29DFF100" w14:textId="117AC28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17" w:history="1">
            <w:r w:rsidRPr="00F45DCA">
              <w:rPr>
                <w:rStyle w:val="Lienhypertexte"/>
                <w:noProof/>
              </w:rPr>
              <w:t>21.12.4g Maçonneries portantes en blocs de coffrage en béton CCTB 01.11</w:t>
            </w:r>
            <w:r>
              <w:rPr>
                <w:noProof/>
                <w:webHidden/>
              </w:rPr>
              <w:tab/>
            </w:r>
            <w:r>
              <w:rPr>
                <w:noProof/>
                <w:webHidden/>
              </w:rPr>
              <w:fldChar w:fldCharType="begin"/>
            </w:r>
            <w:r>
              <w:rPr>
                <w:noProof/>
                <w:webHidden/>
              </w:rPr>
              <w:instrText xml:space="preserve"> PAGEREF _Toc220495217 \h </w:instrText>
            </w:r>
            <w:r>
              <w:rPr>
                <w:noProof/>
                <w:webHidden/>
              </w:rPr>
            </w:r>
            <w:r>
              <w:rPr>
                <w:noProof/>
                <w:webHidden/>
              </w:rPr>
              <w:fldChar w:fldCharType="separate"/>
            </w:r>
            <w:r>
              <w:rPr>
                <w:noProof/>
                <w:webHidden/>
              </w:rPr>
              <w:t>140</w:t>
            </w:r>
            <w:r>
              <w:rPr>
                <w:noProof/>
                <w:webHidden/>
              </w:rPr>
              <w:fldChar w:fldCharType="end"/>
            </w:r>
          </w:hyperlink>
        </w:p>
        <w:p w14:paraId="0F2D5622" w14:textId="48A424A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18" w:history="1">
            <w:r w:rsidRPr="00F45DCA">
              <w:rPr>
                <w:rStyle w:val="Lienhypertexte"/>
                <w:noProof/>
              </w:rPr>
              <w:t>21.12.5 Maçonneries portantes en blocs de silico-calcaire CCTB 01.11</w:t>
            </w:r>
            <w:r>
              <w:rPr>
                <w:noProof/>
                <w:webHidden/>
              </w:rPr>
              <w:tab/>
            </w:r>
            <w:r>
              <w:rPr>
                <w:noProof/>
                <w:webHidden/>
              </w:rPr>
              <w:fldChar w:fldCharType="begin"/>
            </w:r>
            <w:r>
              <w:rPr>
                <w:noProof/>
                <w:webHidden/>
              </w:rPr>
              <w:instrText xml:space="preserve"> PAGEREF _Toc220495218 \h </w:instrText>
            </w:r>
            <w:r>
              <w:rPr>
                <w:noProof/>
                <w:webHidden/>
              </w:rPr>
            </w:r>
            <w:r>
              <w:rPr>
                <w:noProof/>
                <w:webHidden/>
              </w:rPr>
              <w:fldChar w:fldCharType="separate"/>
            </w:r>
            <w:r>
              <w:rPr>
                <w:noProof/>
                <w:webHidden/>
              </w:rPr>
              <w:t>141</w:t>
            </w:r>
            <w:r>
              <w:rPr>
                <w:noProof/>
                <w:webHidden/>
              </w:rPr>
              <w:fldChar w:fldCharType="end"/>
            </w:r>
          </w:hyperlink>
        </w:p>
        <w:p w14:paraId="594E149E" w14:textId="584462C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19" w:history="1">
            <w:r w:rsidRPr="00F45DCA">
              <w:rPr>
                <w:rStyle w:val="Lienhypertexte"/>
                <w:noProof/>
              </w:rPr>
              <w:t>21.12.5a Maçonneries portantes en blocs de silico-calcaire creux à maçonner CCTB 01.12</w:t>
            </w:r>
            <w:r>
              <w:rPr>
                <w:noProof/>
                <w:webHidden/>
              </w:rPr>
              <w:tab/>
            </w:r>
            <w:r>
              <w:rPr>
                <w:noProof/>
                <w:webHidden/>
              </w:rPr>
              <w:fldChar w:fldCharType="begin"/>
            </w:r>
            <w:r>
              <w:rPr>
                <w:noProof/>
                <w:webHidden/>
              </w:rPr>
              <w:instrText xml:space="preserve"> PAGEREF _Toc220495219 \h </w:instrText>
            </w:r>
            <w:r>
              <w:rPr>
                <w:noProof/>
                <w:webHidden/>
              </w:rPr>
            </w:r>
            <w:r>
              <w:rPr>
                <w:noProof/>
                <w:webHidden/>
              </w:rPr>
              <w:fldChar w:fldCharType="separate"/>
            </w:r>
            <w:r>
              <w:rPr>
                <w:noProof/>
                <w:webHidden/>
              </w:rPr>
              <w:t>142</w:t>
            </w:r>
            <w:r>
              <w:rPr>
                <w:noProof/>
                <w:webHidden/>
              </w:rPr>
              <w:fldChar w:fldCharType="end"/>
            </w:r>
          </w:hyperlink>
        </w:p>
        <w:p w14:paraId="2379C911" w14:textId="599E0AF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20" w:history="1">
            <w:r w:rsidRPr="00F45DCA">
              <w:rPr>
                <w:rStyle w:val="Lienhypertexte"/>
                <w:noProof/>
              </w:rPr>
              <w:t>21.12.5b Maçonneries portantes en blocs de silico-calcaire pleins à coller CCTB 01.12</w:t>
            </w:r>
            <w:r>
              <w:rPr>
                <w:noProof/>
                <w:webHidden/>
              </w:rPr>
              <w:tab/>
            </w:r>
            <w:r>
              <w:rPr>
                <w:noProof/>
                <w:webHidden/>
              </w:rPr>
              <w:fldChar w:fldCharType="begin"/>
            </w:r>
            <w:r>
              <w:rPr>
                <w:noProof/>
                <w:webHidden/>
              </w:rPr>
              <w:instrText xml:space="preserve"> PAGEREF _Toc220495220 \h </w:instrText>
            </w:r>
            <w:r>
              <w:rPr>
                <w:noProof/>
                <w:webHidden/>
              </w:rPr>
            </w:r>
            <w:r>
              <w:rPr>
                <w:noProof/>
                <w:webHidden/>
              </w:rPr>
              <w:fldChar w:fldCharType="separate"/>
            </w:r>
            <w:r>
              <w:rPr>
                <w:noProof/>
                <w:webHidden/>
              </w:rPr>
              <w:t>144</w:t>
            </w:r>
            <w:r>
              <w:rPr>
                <w:noProof/>
                <w:webHidden/>
              </w:rPr>
              <w:fldChar w:fldCharType="end"/>
            </w:r>
          </w:hyperlink>
        </w:p>
        <w:p w14:paraId="12235896" w14:textId="0CEEF8C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21" w:history="1">
            <w:r w:rsidRPr="00F45DCA">
              <w:rPr>
                <w:rStyle w:val="Lienhypertexte"/>
                <w:noProof/>
              </w:rPr>
              <w:t>21.12.5c Maçonneries portantes en blocs de silico-calcaire creux à coller CCTB 01.12</w:t>
            </w:r>
            <w:r>
              <w:rPr>
                <w:noProof/>
                <w:webHidden/>
              </w:rPr>
              <w:tab/>
            </w:r>
            <w:r>
              <w:rPr>
                <w:noProof/>
                <w:webHidden/>
              </w:rPr>
              <w:fldChar w:fldCharType="begin"/>
            </w:r>
            <w:r>
              <w:rPr>
                <w:noProof/>
                <w:webHidden/>
              </w:rPr>
              <w:instrText xml:space="preserve"> PAGEREF _Toc220495221 \h </w:instrText>
            </w:r>
            <w:r>
              <w:rPr>
                <w:noProof/>
                <w:webHidden/>
              </w:rPr>
            </w:r>
            <w:r>
              <w:rPr>
                <w:noProof/>
                <w:webHidden/>
              </w:rPr>
              <w:fldChar w:fldCharType="separate"/>
            </w:r>
            <w:r>
              <w:rPr>
                <w:noProof/>
                <w:webHidden/>
              </w:rPr>
              <w:t>147</w:t>
            </w:r>
            <w:r>
              <w:rPr>
                <w:noProof/>
                <w:webHidden/>
              </w:rPr>
              <w:fldChar w:fldCharType="end"/>
            </w:r>
          </w:hyperlink>
        </w:p>
        <w:p w14:paraId="710A29F0" w14:textId="4E06354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22" w:history="1">
            <w:r w:rsidRPr="00F45DCA">
              <w:rPr>
                <w:rStyle w:val="Lienhypertexte"/>
                <w:noProof/>
              </w:rPr>
              <w:t>21.12.5d Maçonneries portantes en blocs de silico-calcaire apparents à coller avec chanfreins CCTB 01.12</w:t>
            </w:r>
            <w:r>
              <w:rPr>
                <w:noProof/>
                <w:webHidden/>
              </w:rPr>
              <w:tab/>
            </w:r>
            <w:r>
              <w:rPr>
                <w:noProof/>
                <w:webHidden/>
              </w:rPr>
              <w:fldChar w:fldCharType="begin"/>
            </w:r>
            <w:r>
              <w:rPr>
                <w:noProof/>
                <w:webHidden/>
              </w:rPr>
              <w:instrText xml:space="preserve"> PAGEREF _Toc220495222 \h </w:instrText>
            </w:r>
            <w:r>
              <w:rPr>
                <w:noProof/>
                <w:webHidden/>
              </w:rPr>
            </w:r>
            <w:r>
              <w:rPr>
                <w:noProof/>
                <w:webHidden/>
              </w:rPr>
              <w:fldChar w:fldCharType="separate"/>
            </w:r>
            <w:r>
              <w:rPr>
                <w:noProof/>
                <w:webHidden/>
              </w:rPr>
              <w:t>149</w:t>
            </w:r>
            <w:r>
              <w:rPr>
                <w:noProof/>
                <w:webHidden/>
              </w:rPr>
              <w:fldChar w:fldCharType="end"/>
            </w:r>
          </w:hyperlink>
        </w:p>
        <w:p w14:paraId="2DF7C5EA" w14:textId="303C262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23" w:history="1">
            <w:r w:rsidRPr="00F45DCA">
              <w:rPr>
                <w:rStyle w:val="Lienhypertexte"/>
                <w:noProof/>
              </w:rPr>
              <w:t>21.12.6 Maçonneries portantes en blocs de béton d'argile expansée CCTB 01.11</w:t>
            </w:r>
            <w:r>
              <w:rPr>
                <w:noProof/>
                <w:webHidden/>
              </w:rPr>
              <w:tab/>
            </w:r>
            <w:r>
              <w:rPr>
                <w:noProof/>
                <w:webHidden/>
              </w:rPr>
              <w:fldChar w:fldCharType="begin"/>
            </w:r>
            <w:r>
              <w:rPr>
                <w:noProof/>
                <w:webHidden/>
              </w:rPr>
              <w:instrText xml:space="preserve"> PAGEREF _Toc220495223 \h </w:instrText>
            </w:r>
            <w:r>
              <w:rPr>
                <w:noProof/>
                <w:webHidden/>
              </w:rPr>
            </w:r>
            <w:r>
              <w:rPr>
                <w:noProof/>
                <w:webHidden/>
              </w:rPr>
              <w:fldChar w:fldCharType="separate"/>
            </w:r>
            <w:r>
              <w:rPr>
                <w:noProof/>
                <w:webHidden/>
              </w:rPr>
              <w:t>151</w:t>
            </w:r>
            <w:r>
              <w:rPr>
                <w:noProof/>
                <w:webHidden/>
              </w:rPr>
              <w:fldChar w:fldCharType="end"/>
            </w:r>
          </w:hyperlink>
        </w:p>
        <w:p w14:paraId="157060E0" w14:textId="2C0EDEC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24" w:history="1">
            <w:r w:rsidRPr="00F45DCA">
              <w:rPr>
                <w:rStyle w:val="Lienhypertexte"/>
                <w:noProof/>
              </w:rPr>
              <w:t>21.12.6a Maçonneries portantes en blocs de béton d'argile expansée pleins à maçonner CCTB 01.13</w:t>
            </w:r>
            <w:r>
              <w:rPr>
                <w:noProof/>
                <w:webHidden/>
              </w:rPr>
              <w:tab/>
            </w:r>
            <w:r>
              <w:rPr>
                <w:noProof/>
                <w:webHidden/>
              </w:rPr>
              <w:fldChar w:fldCharType="begin"/>
            </w:r>
            <w:r>
              <w:rPr>
                <w:noProof/>
                <w:webHidden/>
              </w:rPr>
              <w:instrText xml:space="preserve"> PAGEREF _Toc220495224 \h </w:instrText>
            </w:r>
            <w:r>
              <w:rPr>
                <w:noProof/>
                <w:webHidden/>
              </w:rPr>
            </w:r>
            <w:r>
              <w:rPr>
                <w:noProof/>
                <w:webHidden/>
              </w:rPr>
              <w:fldChar w:fldCharType="separate"/>
            </w:r>
            <w:r>
              <w:rPr>
                <w:noProof/>
                <w:webHidden/>
              </w:rPr>
              <w:t>152</w:t>
            </w:r>
            <w:r>
              <w:rPr>
                <w:noProof/>
                <w:webHidden/>
              </w:rPr>
              <w:fldChar w:fldCharType="end"/>
            </w:r>
          </w:hyperlink>
        </w:p>
        <w:p w14:paraId="13413410" w14:textId="1196084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25" w:history="1">
            <w:r w:rsidRPr="00F45DCA">
              <w:rPr>
                <w:rStyle w:val="Lienhypertexte"/>
                <w:noProof/>
              </w:rPr>
              <w:t>21.12.6b Maçonneries portantes en blocs de béton d'argile expansée pleins à coller CCTB 01.13</w:t>
            </w:r>
            <w:r>
              <w:rPr>
                <w:noProof/>
                <w:webHidden/>
              </w:rPr>
              <w:tab/>
            </w:r>
            <w:r>
              <w:rPr>
                <w:noProof/>
                <w:webHidden/>
              </w:rPr>
              <w:fldChar w:fldCharType="begin"/>
            </w:r>
            <w:r>
              <w:rPr>
                <w:noProof/>
                <w:webHidden/>
              </w:rPr>
              <w:instrText xml:space="preserve"> PAGEREF _Toc220495225 \h </w:instrText>
            </w:r>
            <w:r>
              <w:rPr>
                <w:noProof/>
                <w:webHidden/>
              </w:rPr>
            </w:r>
            <w:r>
              <w:rPr>
                <w:noProof/>
                <w:webHidden/>
              </w:rPr>
              <w:fldChar w:fldCharType="separate"/>
            </w:r>
            <w:r>
              <w:rPr>
                <w:noProof/>
                <w:webHidden/>
              </w:rPr>
              <w:t>154</w:t>
            </w:r>
            <w:r>
              <w:rPr>
                <w:noProof/>
                <w:webHidden/>
              </w:rPr>
              <w:fldChar w:fldCharType="end"/>
            </w:r>
          </w:hyperlink>
        </w:p>
        <w:p w14:paraId="4777169D" w14:textId="7BD8738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26" w:history="1">
            <w:r w:rsidRPr="00F45DCA">
              <w:rPr>
                <w:rStyle w:val="Lienhypertexte"/>
                <w:noProof/>
              </w:rPr>
              <w:t>21.12.6c Maçonneries portantes en blocs de béton d'argile expansée creux à maçonner CCTB 01.13</w:t>
            </w:r>
            <w:r>
              <w:rPr>
                <w:noProof/>
                <w:webHidden/>
              </w:rPr>
              <w:tab/>
            </w:r>
            <w:r>
              <w:rPr>
                <w:noProof/>
                <w:webHidden/>
              </w:rPr>
              <w:fldChar w:fldCharType="begin"/>
            </w:r>
            <w:r>
              <w:rPr>
                <w:noProof/>
                <w:webHidden/>
              </w:rPr>
              <w:instrText xml:space="preserve"> PAGEREF _Toc220495226 \h </w:instrText>
            </w:r>
            <w:r>
              <w:rPr>
                <w:noProof/>
                <w:webHidden/>
              </w:rPr>
            </w:r>
            <w:r>
              <w:rPr>
                <w:noProof/>
                <w:webHidden/>
              </w:rPr>
              <w:fldChar w:fldCharType="separate"/>
            </w:r>
            <w:r>
              <w:rPr>
                <w:noProof/>
                <w:webHidden/>
              </w:rPr>
              <w:t>156</w:t>
            </w:r>
            <w:r>
              <w:rPr>
                <w:noProof/>
                <w:webHidden/>
              </w:rPr>
              <w:fldChar w:fldCharType="end"/>
            </w:r>
          </w:hyperlink>
        </w:p>
        <w:p w14:paraId="3EAB65D8" w14:textId="45B10A4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27" w:history="1">
            <w:r w:rsidRPr="00F45DCA">
              <w:rPr>
                <w:rStyle w:val="Lienhypertexte"/>
                <w:noProof/>
              </w:rPr>
              <w:t>21.12.6d Maçonneries portantes en blocs de béton d'argile expansée creux à coller CCTB 01.13</w:t>
            </w:r>
            <w:r>
              <w:rPr>
                <w:noProof/>
                <w:webHidden/>
              </w:rPr>
              <w:tab/>
            </w:r>
            <w:r>
              <w:rPr>
                <w:noProof/>
                <w:webHidden/>
              </w:rPr>
              <w:fldChar w:fldCharType="begin"/>
            </w:r>
            <w:r>
              <w:rPr>
                <w:noProof/>
                <w:webHidden/>
              </w:rPr>
              <w:instrText xml:space="preserve"> PAGEREF _Toc220495227 \h </w:instrText>
            </w:r>
            <w:r>
              <w:rPr>
                <w:noProof/>
                <w:webHidden/>
              </w:rPr>
            </w:r>
            <w:r>
              <w:rPr>
                <w:noProof/>
                <w:webHidden/>
              </w:rPr>
              <w:fldChar w:fldCharType="separate"/>
            </w:r>
            <w:r>
              <w:rPr>
                <w:noProof/>
                <w:webHidden/>
              </w:rPr>
              <w:t>158</w:t>
            </w:r>
            <w:r>
              <w:rPr>
                <w:noProof/>
                <w:webHidden/>
              </w:rPr>
              <w:fldChar w:fldCharType="end"/>
            </w:r>
          </w:hyperlink>
        </w:p>
        <w:p w14:paraId="506EDD05" w14:textId="00CFDBF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28" w:history="1">
            <w:r w:rsidRPr="00F45DCA">
              <w:rPr>
                <w:rStyle w:val="Lienhypertexte"/>
                <w:noProof/>
              </w:rPr>
              <w:t>21.12.6e Maçonneries portantes en blocs de béton d'argile expansée avec système de dosage pour liant hydraulique CCTB 01.13</w:t>
            </w:r>
            <w:r>
              <w:rPr>
                <w:noProof/>
                <w:webHidden/>
              </w:rPr>
              <w:tab/>
            </w:r>
            <w:r>
              <w:rPr>
                <w:noProof/>
                <w:webHidden/>
              </w:rPr>
              <w:fldChar w:fldCharType="begin"/>
            </w:r>
            <w:r>
              <w:rPr>
                <w:noProof/>
                <w:webHidden/>
              </w:rPr>
              <w:instrText xml:space="preserve"> PAGEREF _Toc220495228 \h </w:instrText>
            </w:r>
            <w:r>
              <w:rPr>
                <w:noProof/>
                <w:webHidden/>
              </w:rPr>
            </w:r>
            <w:r>
              <w:rPr>
                <w:noProof/>
                <w:webHidden/>
              </w:rPr>
              <w:fldChar w:fldCharType="separate"/>
            </w:r>
            <w:r>
              <w:rPr>
                <w:noProof/>
                <w:webHidden/>
              </w:rPr>
              <w:t>160</w:t>
            </w:r>
            <w:r>
              <w:rPr>
                <w:noProof/>
                <w:webHidden/>
              </w:rPr>
              <w:fldChar w:fldCharType="end"/>
            </w:r>
          </w:hyperlink>
        </w:p>
        <w:p w14:paraId="4821E295" w14:textId="62C72DF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29" w:history="1">
            <w:r w:rsidRPr="00F45DCA">
              <w:rPr>
                <w:rStyle w:val="Lienhypertexte"/>
                <w:noProof/>
              </w:rPr>
              <w:t>21.12.6f Maçonneries portantes en blocs de béton d'argile expansée acoustiques CCTB 01.13</w:t>
            </w:r>
            <w:r>
              <w:rPr>
                <w:noProof/>
                <w:webHidden/>
              </w:rPr>
              <w:tab/>
            </w:r>
            <w:r>
              <w:rPr>
                <w:noProof/>
                <w:webHidden/>
              </w:rPr>
              <w:fldChar w:fldCharType="begin"/>
            </w:r>
            <w:r>
              <w:rPr>
                <w:noProof/>
                <w:webHidden/>
              </w:rPr>
              <w:instrText xml:space="preserve"> PAGEREF _Toc220495229 \h </w:instrText>
            </w:r>
            <w:r>
              <w:rPr>
                <w:noProof/>
                <w:webHidden/>
              </w:rPr>
            </w:r>
            <w:r>
              <w:rPr>
                <w:noProof/>
                <w:webHidden/>
              </w:rPr>
              <w:fldChar w:fldCharType="separate"/>
            </w:r>
            <w:r>
              <w:rPr>
                <w:noProof/>
                <w:webHidden/>
              </w:rPr>
              <w:t>163</w:t>
            </w:r>
            <w:r>
              <w:rPr>
                <w:noProof/>
                <w:webHidden/>
              </w:rPr>
              <w:fldChar w:fldCharType="end"/>
            </w:r>
          </w:hyperlink>
        </w:p>
        <w:p w14:paraId="56FE38D5" w14:textId="398879F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30" w:history="1">
            <w:r w:rsidRPr="00F45DCA">
              <w:rPr>
                <w:rStyle w:val="Lienhypertexte"/>
                <w:noProof/>
              </w:rPr>
              <w:t>21.12.7 Maçonneries portantes en blocs de béton cellulaire CCTB 01.11</w:t>
            </w:r>
            <w:r>
              <w:rPr>
                <w:noProof/>
                <w:webHidden/>
              </w:rPr>
              <w:tab/>
            </w:r>
            <w:r>
              <w:rPr>
                <w:noProof/>
                <w:webHidden/>
              </w:rPr>
              <w:fldChar w:fldCharType="begin"/>
            </w:r>
            <w:r>
              <w:rPr>
                <w:noProof/>
                <w:webHidden/>
              </w:rPr>
              <w:instrText xml:space="preserve"> PAGEREF _Toc220495230 \h </w:instrText>
            </w:r>
            <w:r>
              <w:rPr>
                <w:noProof/>
                <w:webHidden/>
              </w:rPr>
            </w:r>
            <w:r>
              <w:rPr>
                <w:noProof/>
                <w:webHidden/>
              </w:rPr>
              <w:fldChar w:fldCharType="separate"/>
            </w:r>
            <w:r>
              <w:rPr>
                <w:noProof/>
                <w:webHidden/>
              </w:rPr>
              <w:t>165</w:t>
            </w:r>
            <w:r>
              <w:rPr>
                <w:noProof/>
                <w:webHidden/>
              </w:rPr>
              <w:fldChar w:fldCharType="end"/>
            </w:r>
          </w:hyperlink>
        </w:p>
        <w:p w14:paraId="71D720E3" w14:textId="1761BE8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31" w:history="1">
            <w:r w:rsidRPr="00F45DCA">
              <w:rPr>
                <w:rStyle w:val="Lienhypertexte"/>
                <w:noProof/>
              </w:rPr>
              <w:t>21.12.7a Maçonneries portantes en blocs de béton cellulaire CCTB 01.12</w:t>
            </w:r>
            <w:r>
              <w:rPr>
                <w:noProof/>
                <w:webHidden/>
              </w:rPr>
              <w:tab/>
            </w:r>
            <w:r>
              <w:rPr>
                <w:noProof/>
                <w:webHidden/>
              </w:rPr>
              <w:fldChar w:fldCharType="begin"/>
            </w:r>
            <w:r>
              <w:rPr>
                <w:noProof/>
                <w:webHidden/>
              </w:rPr>
              <w:instrText xml:space="preserve"> PAGEREF _Toc220495231 \h </w:instrText>
            </w:r>
            <w:r>
              <w:rPr>
                <w:noProof/>
                <w:webHidden/>
              </w:rPr>
            </w:r>
            <w:r>
              <w:rPr>
                <w:noProof/>
                <w:webHidden/>
              </w:rPr>
              <w:fldChar w:fldCharType="separate"/>
            </w:r>
            <w:r>
              <w:rPr>
                <w:noProof/>
                <w:webHidden/>
              </w:rPr>
              <w:t>166</w:t>
            </w:r>
            <w:r>
              <w:rPr>
                <w:noProof/>
                <w:webHidden/>
              </w:rPr>
              <w:fldChar w:fldCharType="end"/>
            </w:r>
          </w:hyperlink>
        </w:p>
        <w:p w14:paraId="651598AD" w14:textId="1D84059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32" w:history="1">
            <w:r w:rsidRPr="00F45DCA">
              <w:rPr>
                <w:rStyle w:val="Lienhypertexte"/>
                <w:noProof/>
              </w:rPr>
              <w:t>21.12.7b Maçonneries portantes en blocs de coffrage de béton cellulaire CCTB 01.04</w:t>
            </w:r>
            <w:r>
              <w:rPr>
                <w:noProof/>
                <w:webHidden/>
              </w:rPr>
              <w:tab/>
            </w:r>
            <w:r>
              <w:rPr>
                <w:noProof/>
                <w:webHidden/>
              </w:rPr>
              <w:fldChar w:fldCharType="begin"/>
            </w:r>
            <w:r>
              <w:rPr>
                <w:noProof/>
                <w:webHidden/>
              </w:rPr>
              <w:instrText xml:space="preserve"> PAGEREF _Toc220495232 \h </w:instrText>
            </w:r>
            <w:r>
              <w:rPr>
                <w:noProof/>
                <w:webHidden/>
              </w:rPr>
            </w:r>
            <w:r>
              <w:rPr>
                <w:noProof/>
                <w:webHidden/>
              </w:rPr>
              <w:fldChar w:fldCharType="separate"/>
            </w:r>
            <w:r>
              <w:rPr>
                <w:noProof/>
                <w:webHidden/>
              </w:rPr>
              <w:t>168</w:t>
            </w:r>
            <w:r>
              <w:rPr>
                <w:noProof/>
                <w:webHidden/>
              </w:rPr>
              <w:fldChar w:fldCharType="end"/>
            </w:r>
          </w:hyperlink>
        </w:p>
        <w:p w14:paraId="088F1A90" w14:textId="3C85757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33" w:history="1">
            <w:r w:rsidRPr="00F45DCA">
              <w:rPr>
                <w:rStyle w:val="Lienhypertexte"/>
                <w:noProof/>
              </w:rPr>
              <w:t>21.12.8 Maçonneries portantes en blocs de terre crue CCTB 01.11</w:t>
            </w:r>
            <w:r>
              <w:rPr>
                <w:noProof/>
                <w:webHidden/>
              </w:rPr>
              <w:tab/>
            </w:r>
            <w:r>
              <w:rPr>
                <w:noProof/>
                <w:webHidden/>
              </w:rPr>
              <w:fldChar w:fldCharType="begin"/>
            </w:r>
            <w:r>
              <w:rPr>
                <w:noProof/>
                <w:webHidden/>
              </w:rPr>
              <w:instrText xml:space="preserve"> PAGEREF _Toc220495233 \h </w:instrText>
            </w:r>
            <w:r>
              <w:rPr>
                <w:noProof/>
                <w:webHidden/>
              </w:rPr>
            </w:r>
            <w:r>
              <w:rPr>
                <w:noProof/>
                <w:webHidden/>
              </w:rPr>
              <w:fldChar w:fldCharType="separate"/>
            </w:r>
            <w:r>
              <w:rPr>
                <w:noProof/>
                <w:webHidden/>
              </w:rPr>
              <w:t>168</w:t>
            </w:r>
            <w:r>
              <w:rPr>
                <w:noProof/>
                <w:webHidden/>
              </w:rPr>
              <w:fldChar w:fldCharType="end"/>
            </w:r>
          </w:hyperlink>
        </w:p>
        <w:p w14:paraId="74FAC77F" w14:textId="6E780C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34" w:history="1">
            <w:r w:rsidRPr="00F45DCA">
              <w:rPr>
                <w:rStyle w:val="Lienhypertexte"/>
                <w:noProof/>
              </w:rPr>
              <w:t>21.12.8a Maçonneries portantes en blocs de terre crue stabilisée à maçonner CCTB 01.12</w:t>
            </w:r>
            <w:r>
              <w:rPr>
                <w:noProof/>
                <w:webHidden/>
              </w:rPr>
              <w:tab/>
            </w:r>
            <w:r>
              <w:rPr>
                <w:noProof/>
                <w:webHidden/>
              </w:rPr>
              <w:fldChar w:fldCharType="begin"/>
            </w:r>
            <w:r>
              <w:rPr>
                <w:noProof/>
                <w:webHidden/>
              </w:rPr>
              <w:instrText xml:space="preserve"> PAGEREF _Toc220495234 \h </w:instrText>
            </w:r>
            <w:r>
              <w:rPr>
                <w:noProof/>
                <w:webHidden/>
              </w:rPr>
            </w:r>
            <w:r>
              <w:rPr>
                <w:noProof/>
                <w:webHidden/>
              </w:rPr>
              <w:fldChar w:fldCharType="separate"/>
            </w:r>
            <w:r>
              <w:rPr>
                <w:noProof/>
                <w:webHidden/>
              </w:rPr>
              <w:t>169</w:t>
            </w:r>
            <w:r>
              <w:rPr>
                <w:noProof/>
                <w:webHidden/>
              </w:rPr>
              <w:fldChar w:fldCharType="end"/>
            </w:r>
          </w:hyperlink>
        </w:p>
        <w:p w14:paraId="53C45463" w14:textId="4B9BA76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235" w:history="1">
            <w:r w:rsidRPr="00F45DCA">
              <w:rPr>
                <w:rStyle w:val="Lienhypertexte"/>
                <w:noProof/>
              </w:rPr>
              <w:t>21.13 Maçonneries portantes en pierre CCTB 01.02</w:t>
            </w:r>
            <w:r>
              <w:rPr>
                <w:noProof/>
                <w:webHidden/>
              </w:rPr>
              <w:tab/>
            </w:r>
            <w:r>
              <w:rPr>
                <w:noProof/>
                <w:webHidden/>
              </w:rPr>
              <w:fldChar w:fldCharType="begin"/>
            </w:r>
            <w:r>
              <w:rPr>
                <w:noProof/>
                <w:webHidden/>
              </w:rPr>
              <w:instrText xml:space="preserve"> PAGEREF _Toc220495235 \h </w:instrText>
            </w:r>
            <w:r>
              <w:rPr>
                <w:noProof/>
                <w:webHidden/>
              </w:rPr>
            </w:r>
            <w:r>
              <w:rPr>
                <w:noProof/>
                <w:webHidden/>
              </w:rPr>
              <w:fldChar w:fldCharType="separate"/>
            </w:r>
            <w:r>
              <w:rPr>
                <w:noProof/>
                <w:webHidden/>
              </w:rPr>
              <w:t>174</w:t>
            </w:r>
            <w:r>
              <w:rPr>
                <w:noProof/>
                <w:webHidden/>
              </w:rPr>
              <w:fldChar w:fldCharType="end"/>
            </w:r>
          </w:hyperlink>
        </w:p>
        <w:p w14:paraId="2DE6408B" w14:textId="6CC46FE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36" w:history="1">
            <w:r w:rsidRPr="00F45DCA">
              <w:rPr>
                <w:rStyle w:val="Lienhypertexte"/>
                <w:noProof/>
              </w:rPr>
              <w:t>21.13.1 Maçonneries portantes en pierre de taille CCTB 01.02</w:t>
            </w:r>
            <w:r>
              <w:rPr>
                <w:noProof/>
                <w:webHidden/>
              </w:rPr>
              <w:tab/>
            </w:r>
            <w:r>
              <w:rPr>
                <w:noProof/>
                <w:webHidden/>
              </w:rPr>
              <w:fldChar w:fldCharType="begin"/>
            </w:r>
            <w:r>
              <w:rPr>
                <w:noProof/>
                <w:webHidden/>
              </w:rPr>
              <w:instrText xml:space="preserve"> PAGEREF _Toc220495236 \h </w:instrText>
            </w:r>
            <w:r>
              <w:rPr>
                <w:noProof/>
                <w:webHidden/>
              </w:rPr>
            </w:r>
            <w:r>
              <w:rPr>
                <w:noProof/>
                <w:webHidden/>
              </w:rPr>
              <w:fldChar w:fldCharType="separate"/>
            </w:r>
            <w:r>
              <w:rPr>
                <w:noProof/>
                <w:webHidden/>
              </w:rPr>
              <w:t>174</w:t>
            </w:r>
            <w:r>
              <w:rPr>
                <w:noProof/>
                <w:webHidden/>
              </w:rPr>
              <w:fldChar w:fldCharType="end"/>
            </w:r>
          </w:hyperlink>
        </w:p>
        <w:p w14:paraId="7546E185" w14:textId="427CFA9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37" w:history="1">
            <w:r w:rsidRPr="00F45DCA">
              <w:rPr>
                <w:rStyle w:val="Lienhypertexte"/>
                <w:noProof/>
              </w:rPr>
              <w:t>21.13.1a Maçonneries portantes en petit granit - pierre bleue CCTB 01.04</w:t>
            </w:r>
            <w:r>
              <w:rPr>
                <w:noProof/>
                <w:webHidden/>
              </w:rPr>
              <w:tab/>
            </w:r>
            <w:r>
              <w:rPr>
                <w:noProof/>
                <w:webHidden/>
              </w:rPr>
              <w:fldChar w:fldCharType="begin"/>
            </w:r>
            <w:r>
              <w:rPr>
                <w:noProof/>
                <w:webHidden/>
              </w:rPr>
              <w:instrText xml:space="preserve"> PAGEREF _Toc220495237 \h </w:instrText>
            </w:r>
            <w:r>
              <w:rPr>
                <w:noProof/>
                <w:webHidden/>
              </w:rPr>
            </w:r>
            <w:r>
              <w:rPr>
                <w:noProof/>
                <w:webHidden/>
              </w:rPr>
              <w:fldChar w:fldCharType="separate"/>
            </w:r>
            <w:r>
              <w:rPr>
                <w:noProof/>
                <w:webHidden/>
              </w:rPr>
              <w:t>174</w:t>
            </w:r>
            <w:r>
              <w:rPr>
                <w:noProof/>
                <w:webHidden/>
              </w:rPr>
              <w:fldChar w:fldCharType="end"/>
            </w:r>
          </w:hyperlink>
        </w:p>
        <w:p w14:paraId="3B46A108" w14:textId="4C57655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38" w:history="1">
            <w:r w:rsidRPr="00F45DCA">
              <w:rPr>
                <w:rStyle w:val="Lienhypertexte"/>
                <w:noProof/>
              </w:rPr>
              <w:t>21.13.1b Maçonneries portantes en pierre calcaire CCTB 01.04</w:t>
            </w:r>
            <w:r>
              <w:rPr>
                <w:noProof/>
                <w:webHidden/>
              </w:rPr>
              <w:tab/>
            </w:r>
            <w:r>
              <w:rPr>
                <w:noProof/>
                <w:webHidden/>
              </w:rPr>
              <w:fldChar w:fldCharType="begin"/>
            </w:r>
            <w:r>
              <w:rPr>
                <w:noProof/>
                <w:webHidden/>
              </w:rPr>
              <w:instrText xml:space="preserve"> PAGEREF _Toc220495238 \h </w:instrText>
            </w:r>
            <w:r>
              <w:rPr>
                <w:noProof/>
                <w:webHidden/>
              </w:rPr>
            </w:r>
            <w:r>
              <w:rPr>
                <w:noProof/>
                <w:webHidden/>
              </w:rPr>
              <w:fldChar w:fldCharType="separate"/>
            </w:r>
            <w:r>
              <w:rPr>
                <w:noProof/>
                <w:webHidden/>
              </w:rPr>
              <w:t>174</w:t>
            </w:r>
            <w:r>
              <w:rPr>
                <w:noProof/>
                <w:webHidden/>
              </w:rPr>
              <w:fldChar w:fldCharType="end"/>
            </w:r>
          </w:hyperlink>
        </w:p>
        <w:p w14:paraId="1F9C712C" w14:textId="1705C90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39" w:history="1">
            <w:r w:rsidRPr="00F45DCA">
              <w:rPr>
                <w:rStyle w:val="Lienhypertexte"/>
                <w:noProof/>
              </w:rPr>
              <w:t>21.13.2 Maçonneries portantes en moellons de pierre calcaire CCTB 01.02</w:t>
            </w:r>
            <w:r>
              <w:rPr>
                <w:noProof/>
                <w:webHidden/>
              </w:rPr>
              <w:tab/>
            </w:r>
            <w:r>
              <w:rPr>
                <w:noProof/>
                <w:webHidden/>
              </w:rPr>
              <w:fldChar w:fldCharType="begin"/>
            </w:r>
            <w:r>
              <w:rPr>
                <w:noProof/>
                <w:webHidden/>
              </w:rPr>
              <w:instrText xml:space="preserve"> PAGEREF _Toc220495239 \h </w:instrText>
            </w:r>
            <w:r>
              <w:rPr>
                <w:noProof/>
                <w:webHidden/>
              </w:rPr>
            </w:r>
            <w:r>
              <w:rPr>
                <w:noProof/>
                <w:webHidden/>
              </w:rPr>
              <w:fldChar w:fldCharType="separate"/>
            </w:r>
            <w:r>
              <w:rPr>
                <w:noProof/>
                <w:webHidden/>
              </w:rPr>
              <w:t>174</w:t>
            </w:r>
            <w:r>
              <w:rPr>
                <w:noProof/>
                <w:webHidden/>
              </w:rPr>
              <w:fldChar w:fldCharType="end"/>
            </w:r>
          </w:hyperlink>
        </w:p>
        <w:p w14:paraId="4FAE607A" w14:textId="578820B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40" w:history="1">
            <w:r w:rsidRPr="00F45DCA">
              <w:rPr>
                <w:rStyle w:val="Lienhypertexte"/>
                <w:noProof/>
              </w:rPr>
              <w:t>21.13.2a Maçonneries portantes en moellons de pierre bleue CCTB 01.04</w:t>
            </w:r>
            <w:r>
              <w:rPr>
                <w:noProof/>
                <w:webHidden/>
              </w:rPr>
              <w:tab/>
            </w:r>
            <w:r>
              <w:rPr>
                <w:noProof/>
                <w:webHidden/>
              </w:rPr>
              <w:fldChar w:fldCharType="begin"/>
            </w:r>
            <w:r>
              <w:rPr>
                <w:noProof/>
                <w:webHidden/>
              </w:rPr>
              <w:instrText xml:space="preserve"> PAGEREF _Toc220495240 \h </w:instrText>
            </w:r>
            <w:r>
              <w:rPr>
                <w:noProof/>
                <w:webHidden/>
              </w:rPr>
            </w:r>
            <w:r>
              <w:rPr>
                <w:noProof/>
                <w:webHidden/>
              </w:rPr>
              <w:fldChar w:fldCharType="separate"/>
            </w:r>
            <w:r>
              <w:rPr>
                <w:noProof/>
                <w:webHidden/>
              </w:rPr>
              <w:t>174</w:t>
            </w:r>
            <w:r>
              <w:rPr>
                <w:noProof/>
                <w:webHidden/>
              </w:rPr>
              <w:fldChar w:fldCharType="end"/>
            </w:r>
          </w:hyperlink>
        </w:p>
        <w:p w14:paraId="6FB80AB3" w14:textId="7918EA5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41" w:history="1">
            <w:r w:rsidRPr="00F45DCA">
              <w:rPr>
                <w:rStyle w:val="Lienhypertexte"/>
                <w:noProof/>
              </w:rPr>
              <w:t>21.13.2b Maçonneries portantes en moellons de pierre blanche CCTB 01.04</w:t>
            </w:r>
            <w:r>
              <w:rPr>
                <w:noProof/>
                <w:webHidden/>
              </w:rPr>
              <w:tab/>
            </w:r>
            <w:r>
              <w:rPr>
                <w:noProof/>
                <w:webHidden/>
              </w:rPr>
              <w:fldChar w:fldCharType="begin"/>
            </w:r>
            <w:r>
              <w:rPr>
                <w:noProof/>
                <w:webHidden/>
              </w:rPr>
              <w:instrText xml:space="preserve"> PAGEREF _Toc220495241 \h </w:instrText>
            </w:r>
            <w:r>
              <w:rPr>
                <w:noProof/>
                <w:webHidden/>
              </w:rPr>
            </w:r>
            <w:r>
              <w:rPr>
                <w:noProof/>
                <w:webHidden/>
              </w:rPr>
              <w:fldChar w:fldCharType="separate"/>
            </w:r>
            <w:r>
              <w:rPr>
                <w:noProof/>
                <w:webHidden/>
              </w:rPr>
              <w:t>174</w:t>
            </w:r>
            <w:r>
              <w:rPr>
                <w:noProof/>
                <w:webHidden/>
              </w:rPr>
              <w:fldChar w:fldCharType="end"/>
            </w:r>
          </w:hyperlink>
        </w:p>
        <w:p w14:paraId="027F61D4" w14:textId="7619FAB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42" w:history="1">
            <w:r w:rsidRPr="00F45DCA">
              <w:rPr>
                <w:rStyle w:val="Lienhypertexte"/>
                <w:noProof/>
              </w:rPr>
              <w:t>21.13.2c Maçonneries portantes en moellons de marbre CCTB 01.04</w:t>
            </w:r>
            <w:r>
              <w:rPr>
                <w:noProof/>
                <w:webHidden/>
              </w:rPr>
              <w:tab/>
            </w:r>
            <w:r>
              <w:rPr>
                <w:noProof/>
                <w:webHidden/>
              </w:rPr>
              <w:fldChar w:fldCharType="begin"/>
            </w:r>
            <w:r>
              <w:rPr>
                <w:noProof/>
                <w:webHidden/>
              </w:rPr>
              <w:instrText xml:space="preserve"> PAGEREF _Toc220495242 \h </w:instrText>
            </w:r>
            <w:r>
              <w:rPr>
                <w:noProof/>
                <w:webHidden/>
              </w:rPr>
            </w:r>
            <w:r>
              <w:rPr>
                <w:noProof/>
                <w:webHidden/>
              </w:rPr>
              <w:fldChar w:fldCharType="separate"/>
            </w:r>
            <w:r>
              <w:rPr>
                <w:noProof/>
                <w:webHidden/>
              </w:rPr>
              <w:t>174</w:t>
            </w:r>
            <w:r>
              <w:rPr>
                <w:noProof/>
                <w:webHidden/>
              </w:rPr>
              <w:fldChar w:fldCharType="end"/>
            </w:r>
          </w:hyperlink>
        </w:p>
        <w:p w14:paraId="6BD8AB99" w14:textId="0734BC8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43" w:history="1">
            <w:r w:rsidRPr="00F45DCA">
              <w:rPr>
                <w:rStyle w:val="Lienhypertexte"/>
                <w:noProof/>
              </w:rPr>
              <w:t>21.13.3 Maçonneries portantes en moellons de pierres siliceuses CCTB 01.02</w:t>
            </w:r>
            <w:r>
              <w:rPr>
                <w:noProof/>
                <w:webHidden/>
              </w:rPr>
              <w:tab/>
            </w:r>
            <w:r>
              <w:rPr>
                <w:noProof/>
                <w:webHidden/>
              </w:rPr>
              <w:fldChar w:fldCharType="begin"/>
            </w:r>
            <w:r>
              <w:rPr>
                <w:noProof/>
                <w:webHidden/>
              </w:rPr>
              <w:instrText xml:space="preserve"> PAGEREF _Toc220495243 \h </w:instrText>
            </w:r>
            <w:r>
              <w:rPr>
                <w:noProof/>
                <w:webHidden/>
              </w:rPr>
            </w:r>
            <w:r>
              <w:rPr>
                <w:noProof/>
                <w:webHidden/>
              </w:rPr>
              <w:fldChar w:fldCharType="separate"/>
            </w:r>
            <w:r>
              <w:rPr>
                <w:noProof/>
                <w:webHidden/>
              </w:rPr>
              <w:t>174</w:t>
            </w:r>
            <w:r>
              <w:rPr>
                <w:noProof/>
                <w:webHidden/>
              </w:rPr>
              <w:fldChar w:fldCharType="end"/>
            </w:r>
          </w:hyperlink>
        </w:p>
        <w:p w14:paraId="723C0584" w14:textId="5AE039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44" w:history="1">
            <w:r w:rsidRPr="00F45DCA">
              <w:rPr>
                <w:rStyle w:val="Lienhypertexte"/>
                <w:noProof/>
              </w:rPr>
              <w:t>21.13.3a Maçonneries portantes en moellons d'arkose CCTB 01.04</w:t>
            </w:r>
            <w:r>
              <w:rPr>
                <w:noProof/>
                <w:webHidden/>
              </w:rPr>
              <w:tab/>
            </w:r>
            <w:r>
              <w:rPr>
                <w:noProof/>
                <w:webHidden/>
              </w:rPr>
              <w:fldChar w:fldCharType="begin"/>
            </w:r>
            <w:r>
              <w:rPr>
                <w:noProof/>
                <w:webHidden/>
              </w:rPr>
              <w:instrText xml:space="preserve"> PAGEREF _Toc220495244 \h </w:instrText>
            </w:r>
            <w:r>
              <w:rPr>
                <w:noProof/>
                <w:webHidden/>
              </w:rPr>
            </w:r>
            <w:r>
              <w:rPr>
                <w:noProof/>
                <w:webHidden/>
              </w:rPr>
              <w:fldChar w:fldCharType="separate"/>
            </w:r>
            <w:r>
              <w:rPr>
                <w:noProof/>
                <w:webHidden/>
              </w:rPr>
              <w:t>174</w:t>
            </w:r>
            <w:r>
              <w:rPr>
                <w:noProof/>
                <w:webHidden/>
              </w:rPr>
              <w:fldChar w:fldCharType="end"/>
            </w:r>
          </w:hyperlink>
        </w:p>
        <w:p w14:paraId="03AC9051" w14:textId="6A19AB0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45" w:history="1">
            <w:r w:rsidRPr="00F45DCA">
              <w:rPr>
                <w:rStyle w:val="Lienhypertexte"/>
                <w:noProof/>
              </w:rPr>
              <w:t>21.13.3b Maçonneries portantes en moellons de schiste CCTB 01.04</w:t>
            </w:r>
            <w:r>
              <w:rPr>
                <w:noProof/>
                <w:webHidden/>
              </w:rPr>
              <w:tab/>
            </w:r>
            <w:r>
              <w:rPr>
                <w:noProof/>
                <w:webHidden/>
              </w:rPr>
              <w:fldChar w:fldCharType="begin"/>
            </w:r>
            <w:r>
              <w:rPr>
                <w:noProof/>
                <w:webHidden/>
              </w:rPr>
              <w:instrText xml:space="preserve"> PAGEREF _Toc220495245 \h </w:instrText>
            </w:r>
            <w:r>
              <w:rPr>
                <w:noProof/>
                <w:webHidden/>
              </w:rPr>
            </w:r>
            <w:r>
              <w:rPr>
                <w:noProof/>
                <w:webHidden/>
              </w:rPr>
              <w:fldChar w:fldCharType="separate"/>
            </w:r>
            <w:r>
              <w:rPr>
                <w:noProof/>
                <w:webHidden/>
              </w:rPr>
              <w:t>174</w:t>
            </w:r>
            <w:r>
              <w:rPr>
                <w:noProof/>
                <w:webHidden/>
              </w:rPr>
              <w:fldChar w:fldCharType="end"/>
            </w:r>
          </w:hyperlink>
        </w:p>
        <w:p w14:paraId="0E29348B" w14:textId="4F433C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46" w:history="1">
            <w:r w:rsidRPr="00F45DCA">
              <w:rPr>
                <w:rStyle w:val="Lienhypertexte"/>
                <w:noProof/>
              </w:rPr>
              <w:t>21.13.3c Maçonneries portantes en moellons de grès CCTB 01.02</w:t>
            </w:r>
            <w:r>
              <w:rPr>
                <w:noProof/>
                <w:webHidden/>
              </w:rPr>
              <w:tab/>
            </w:r>
            <w:r>
              <w:rPr>
                <w:noProof/>
                <w:webHidden/>
              </w:rPr>
              <w:fldChar w:fldCharType="begin"/>
            </w:r>
            <w:r>
              <w:rPr>
                <w:noProof/>
                <w:webHidden/>
              </w:rPr>
              <w:instrText xml:space="preserve"> PAGEREF _Toc220495246 \h </w:instrText>
            </w:r>
            <w:r>
              <w:rPr>
                <w:noProof/>
                <w:webHidden/>
              </w:rPr>
            </w:r>
            <w:r>
              <w:rPr>
                <w:noProof/>
                <w:webHidden/>
              </w:rPr>
              <w:fldChar w:fldCharType="separate"/>
            </w:r>
            <w:r>
              <w:rPr>
                <w:noProof/>
                <w:webHidden/>
              </w:rPr>
              <w:t>174</w:t>
            </w:r>
            <w:r>
              <w:rPr>
                <w:noProof/>
                <w:webHidden/>
              </w:rPr>
              <w:fldChar w:fldCharType="end"/>
            </w:r>
          </w:hyperlink>
        </w:p>
        <w:p w14:paraId="5DD1660D" w14:textId="252A423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47" w:history="1">
            <w:r w:rsidRPr="00F45DCA">
              <w:rPr>
                <w:rStyle w:val="Lienhypertexte"/>
                <w:noProof/>
              </w:rPr>
              <w:t>21.13.3d Maçonneries portantes en moellons de quartzite CCTB 01.04</w:t>
            </w:r>
            <w:r>
              <w:rPr>
                <w:noProof/>
                <w:webHidden/>
              </w:rPr>
              <w:tab/>
            </w:r>
            <w:r>
              <w:rPr>
                <w:noProof/>
                <w:webHidden/>
              </w:rPr>
              <w:fldChar w:fldCharType="begin"/>
            </w:r>
            <w:r>
              <w:rPr>
                <w:noProof/>
                <w:webHidden/>
              </w:rPr>
              <w:instrText xml:space="preserve"> PAGEREF _Toc220495247 \h </w:instrText>
            </w:r>
            <w:r>
              <w:rPr>
                <w:noProof/>
                <w:webHidden/>
              </w:rPr>
            </w:r>
            <w:r>
              <w:rPr>
                <w:noProof/>
                <w:webHidden/>
              </w:rPr>
              <w:fldChar w:fldCharType="separate"/>
            </w:r>
            <w:r>
              <w:rPr>
                <w:noProof/>
                <w:webHidden/>
              </w:rPr>
              <w:t>174</w:t>
            </w:r>
            <w:r>
              <w:rPr>
                <w:noProof/>
                <w:webHidden/>
              </w:rPr>
              <w:fldChar w:fldCharType="end"/>
            </w:r>
          </w:hyperlink>
        </w:p>
        <w:p w14:paraId="4544EB58" w14:textId="1BE077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48" w:history="1">
            <w:r w:rsidRPr="00F45DCA">
              <w:rPr>
                <w:rStyle w:val="Lienhypertexte"/>
                <w:noProof/>
              </w:rPr>
              <w:t>21.13.3e Maçonneries portantes en moellons de silex CCTB 01.04</w:t>
            </w:r>
            <w:r>
              <w:rPr>
                <w:noProof/>
                <w:webHidden/>
              </w:rPr>
              <w:tab/>
            </w:r>
            <w:r>
              <w:rPr>
                <w:noProof/>
                <w:webHidden/>
              </w:rPr>
              <w:fldChar w:fldCharType="begin"/>
            </w:r>
            <w:r>
              <w:rPr>
                <w:noProof/>
                <w:webHidden/>
              </w:rPr>
              <w:instrText xml:space="preserve"> PAGEREF _Toc220495248 \h </w:instrText>
            </w:r>
            <w:r>
              <w:rPr>
                <w:noProof/>
                <w:webHidden/>
              </w:rPr>
            </w:r>
            <w:r>
              <w:rPr>
                <w:noProof/>
                <w:webHidden/>
              </w:rPr>
              <w:fldChar w:fldCharType="separate"/>
            </w:r>
            <w:r>
              <w:rPr>
                <w:noProof/>
                <w:webHidden/>
              </w:rPr>
              <w:t>174</w:t>
            </w:r>
            <w:r>
              <w:rPr>
                <w:noProof/>
                <w:webHidden/>
              </w:rPr>
              <w:fldChar w:fldCharType="end"/>
            </w:r>
          </w:hyperlink>
        </w:p>
        <w:p w14:paraId="00057B05" w14:textId="5AE91269"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249" w:history="1">
            <w:r w:rsidRPr="00F45DCA">
              <w:rPr>
                <w:rStyle w:val="Lienhypertexte"/>
                <w:noProof/>
              </w:rPr>
              <w:t>21.14 Maçonneries portantes en grands éléments CCTB 01.04</w:t>
            </w:r>
            <w:r>
              <w:rPr>
                <w:noProof/>
                <w:webHidden/>
              </w:rPr>
              <w:tab/>
            </w:r>
            <w:r>
              <w:rPr>
                <w:noProof/>
                <w:webHidden/>
              </w:rPr>
              <w:fldChar w:fldCharType="begin"/>
            </w:r>
            <w:r>
              <w:rPr>
                <w:noProof/>
                <w:webHidden/>
              </w:rPr>
              <w:instrText xml:space="preserve"> PAGEREF _Toc220495249 \h </w:instrText>
            </w:r>
            <w:r>
              <w:rPr>
                <w:noProof/>
                <w:webHidden/>
              </w:rPr>
            </w:r>
            <w:r>
              <w:rPr>
                <w:noProof/>
                <w:webHidden/>
              </w:rPr>
              <w:fldChar w:fldCharType="separate"/>
            </w:r>
            <w:r>
              <w:rPr>
                <w:noProof/>
                <w:webHidden/>
              </w:rPr>
              <w:t>174</w:t>
            </w:r>
            <w:r>
              <w:rPr>
                <w:noProof/>
                <w:webHidden/>
              </w:rPr>
              <w:fldChar w:fldCharType="end"/>
            </w:r>
          </w:hyperlink>
        </w:p>
        <w:p w14:paraId="6D4D1F71" w14:textId="1857260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50" w:history="1">
            <w:r w:rsidRPr="00F45DCA">
              <w:rPr>
                <w:rStyle w:val="Lienhypertexte"/>
                <w:noProof/>
              </w:rPr>
              <w:t>21.14.1 Maçonneries portantes en éléments de grand format CCTB 01.11</w:t>
            </w:r>
            <w:r>
              <w:rPr>
                <w:noProof/>
                <w:webHidden/>
              </w:rPr>
              <w:tab/>
            </w:r>
            <w:r>
              <w:rPr>
                <w:noProof/>
                <w:webHidden/>
              </w:rPr>
              <w:fldChar w:fldCharType="begin"/>
            </w:r>
            <w:r>
              <w:rPr>
                <w:noProof/>
                <w:webHidden/>
              </w:rPr>
              <w:instrText xml:space="preserve"> PAGEREF _Toc220495250 \h </w:instrText>
            </w:r>
            <w:r>
              <w:rPr>
                <w:noProof/>
                <w:webHidden/>
              </w:rPr>
            </w:r>
            <w:r>
              <w:rPr>
                <w:noProof/>
                <w:webHidden/>
              </w:rPr>
              <w:fldChar w:fldCharType="separate"/>
            </w:r>
            <w:r>
              <w:rPr>
                <w:noProof/>
                <w:webHidden/>
              </w:rPr>
              <w:t>174</w:t>
            </w:r>
            <w:r>
              <w:rPr>
                <w:noProof/>
                <w:webHidden/>
              </w:rPr>
              <w:fldChar w:fldCharType="end"/>
            </w:r>
          </w:hyperlink>
        </w:p>
        <w:p w14:paraId="42BC2DD5" w14:textId="5FCC4A3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51" w:history="1">
            <w:r w:rsidRPr="00F45DCA">
              <w:rPr>
                <w:rStyle w:val="Lienhypertexte"/>
                <w:noProof/>
              </w:rPr>
              <w:t>21.14.1a Maçonneries portantes en éléments de grand format de silico-calcaire CCTB 01.12</w:t>
            </w:r>
            <w:r>
              <w:rPr>
                <w:noProof/>
                <w:webHidden/>
              </w:rPr>
              <w:tab/>
            </w:r>
            <w:r>
              <w:rPr>
                <w:noProof/>
                <w:webHidden/>
              </w:rPr>
              <w:fldChar w:fldCharType="begin"/>
            </w:r>
            <w:r>
              <w:rPr>
                <w:noProof/>
                <w:webHidden/>
              </w:rPr>
              <w:instrText xml:space="preserve"> PAGEREF _Toc220495251 \h </w:instrText>
            </w:r>
            <w:r>
              <w:rPr>
                <w:noProof/>
                <w:webHidden/>
              </w:rPr>
            </w:r>
            <w:r>
              <w:rPr>
                <w:noProof/>
                <w:webHidden/>
              </w:rPr>
              <w:fldChar w:fldCharType="separate"/>
            </w:r>
            <w:r>
              <w:rPr>
                <w:noProof/>
                <w:webHidden/>
              </w:rPr>
              <w:t>175</w:t>
            </w:r>
            <w:r>
              <w:rPr>
                <w:noProof/>
                <w:webHidden/>
              </w:rPr>
              <w:fldChar w:fldCharType="end"/>
            </w:r>
          </w:hyperlink>
        </w:p>
        <w:p w14:paraId="48372EDA" w14:textId="36A0090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52" w:history="1">
            <w:r w:rsidRPr="00F45DCA">
              <w:rPr>
                <w:rStyle w:val="Lienhypertexte"/>
                <w:noProof/>
              </w:rPr>
              <w:t>21.14.2 Maçonneries portantes préfabriquées CCTB 01.04</w:t>
            </w:r>
            <w:r>
              <w:rPr>
                <w:noProof/>
                <w:webHidden/>
              </w:rPr>
              <w:tab/>
            </w:r>
            <w:r>
              <w:rPr>
                <w:noProof/>
                <w:webHidden/>
              </w:rPr>
              <w:fldChar w:fldCharType="begin"/>
            </w:r>
            <w:r>
              <w:rPr>
                <w:noProof/>
                <w:webHidden/>
              </w:rPr>
              <w:instrText xml:space="preserve"> PAGEREF _Toc220495252 \h </w:instrText>
            </w:r>
            <w:r>
              <w:rPr>
                <w:noProof/>
                <w:webHidden/>
              </w:rPr>
            </w:r>
            <w:r>
              <w:rPr>
                <w:noProof/>
                <w:webHidden/>
              </w:rPr>
              <w:fldChar w:fldCharType="separate"/>
            </w:r>
            <w:r>
              <w:rPr>
                <w:noProof/>
                <w:webHidden/>
              </w:rPr>
              <w:t>177</w:t>
            </w:r>
            <w:r>
              <w:rPr>
                <w:noProof/>
                <w:webHidden/>
              </w:rPr>
              <w:fldChar w:fldCharType="end"/>
            </w:r>
          </w:hyperlink>
        </w:p>
        <w:p w14:paraId="080D3F4F" w14:textId="1917A73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53" w:history="1">
            <w:r w:rsidRPr="00F45DCA">
              <w:rPr>
                <w:rStyle w:val="Lienhypertexte"/>
                <w:noProof/>
              </w:rPr>
              <w:t>21.14.2a Maçonneries portantes préfabriquées en blocs de terre cuite CCTB 01.12</w:t>
            </w:r>
            <w:r>
              <w:rPr>
                <w:noProof/>
                <w:webHidden/>
              </w:rPr>
              <w:tab/>
            </w:r>
            <w:r>
              <w:rPr>
                <w:noProof/>
                <w:webHidden/>
              </w:rPr>
              <w:fldChar w:fldCharType="begin"/>
            </w:r>
            <w:r>
              <w:rPr>
                <w:noProof/>
                <w:webHidden/>
              </w:rPr>
              <w:instrText xml:space="preserve"> PAGEREF _Toc220495253 \h </w:instrText>
            </w:r>
            <w:r>
              <w:rPr>
                <w:noProof/>
                <w:webHidden/>
              </w:rPr>
            </w:r>
            <w:r>
              <w:rPr>
                <w:noProof/>
                <w:webHidden/>
              </w:rPr>
              <w:fldChar w:fldCharType="separate"/>
            </w:r>
            <w:r>
              <w:rPr>
                <w:noProof/>
                <w:webHidden/>
              </w:rPr>
              <w:t>177</w:t>
            </w:r>
            <w:r>
              <w:rPr>
                <w:noProof/>
                <w:webHidden/>
              </w:rPr>
              <w:fldChar w:fldCharType="end"/>
            </w:r>
          </w:hyperlink>
        </w:p>
        <w:p w14:paraId="7F427291" w14:textId="7DC57B2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54" w:history="1">
            <w:r w:rsidRPr="00F45DCA">
              <w:rPr>
                <w:rStyle w:val="Lienhypertexte"/>
                <w:noProof/>
              </w:rPr>
              <w:t>21.14.2b Maçonneries portantes préfabriquées en blocs de béton CCTB 01.11</w:t>
            </w:r>
            <w:r>
              <w:rPr>
                <w:noProof/>
                <w:webHidden/>
              </w:rPr>
              <w:tab/>
            </w:r>
            <w:r>
              <w:rPr>
                <w:noProof/>
                <w:webHidden/>
              </w:rPr>
              <w:fldChar w:fldCharType="begin"/>
            </w:r>
            <w:r>
              <w:rPr>
                <w:noProof/>
                <w:webHidden/>
              </w:rPr>
              <w:instrText xml:space="preserve"> PAGEREF _Toc220495254 \h </w:instrText>
            </w:r>
            <w:r>
              <w:rPr>
                <w:noProof/>
                <w:webHidden/>
              </w:rPr>
            </w:r>
            <w:r>
              <w:rPr>
                <w:noProof/>
                <w:webHidden/>
              </w:rPr>
              <w:fldChar w:fldCharType="separate"/>
            </w:r>
            <w:r>
              <w:rPr>
                <w:noProof/>
                <w:webHidden/>
              </w:rPr>
              <w:t>178</w:t>
            </w:r>
            <w:r>
              <w:rPr>
                <w:noProof/>
                <w:webHidden/>
              </w:rPr>
              <w:fldChar w:fldCharType="end"/>
            </w:r>
          </w:hyperlink>
        </w:p>
        <w:p w14:paraId="33321FB6" w14:textId="33ABA5F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55" w:history="1">
            <w:r w:rsidRPr="00F45DCA">
              <w:rPr>
                <w:rStyle w:val="Lienhypertexte"/>
                <w:noProof/>
              </w:rPr>
              <w:t>21.14.2c Maçonneries portantes préfabriquées en blocs de béton d'argile expansée CCTB 01.11</w:t>
            </w:r>
            <w:r>
              <w:rPr>
                <w:noProof/>
                <w:webHidden/>
              </w:rPr>
              <w:tab/>
            </w:r>
            <w:r>
              <w:rPr>
                <w:noProof/>
                <w:webHidden/>
              </w:rPr>
              <w:fldChar w:fldCharType="begin"/>
            </w:r>
            <w:r>
              <w:rPr>
                <w:noProof/>
                <w:webHidden/>
              </w:rPr>
              <w:instrText xml:space="preserve"> PAGEREF _Toc220495255 \h </w:instrText>
            </w:r>
            <w:r>
              <w:rPr>
                <w:noProof/>
                <w:webHidden/>
              </w:rPr>
            </w:r>
            <w:r>
              <w:rPr>
                <w:noProof/>
                <w:webHidden/>
              </w:rPr>
              <w:fldChar w:fldCharType="separate"/>
            </w:r>
            <w:r>
              <w:rPr>
                <w:noProof/>
                <w:webHidden/>
              </w:rPr>
              <w:t>179</w:t>
            </w:r>
            <w:r>
              <w:rPr>
                <w:noProof/>
                <w:webHidden/>
              </w:rPr>
              <w:fldChar w:fldCharType="end"/>
            </w:r>
          </w:hyperlink>
        </w:p>
        <w:p w14:paraId="24F7467C" w14:textId="2F460CD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56" w:history="1">
            <w:r w:rsidRPr="00F45DCA">
              <w:rPr>
                <w:rStyle w:val="Lienhypertexte"/>
                <w:noProof/>
              </w:rPr>
              <w:t>21.14.2d Maçonneries portantes préfabriquées en blocs de silico-calcaire CCTB 01.12</w:t>
            </w:r>
            <w:r>
              <w:rPr>
                <w:noProof/>
                <w:webHidden/>
              </w:rPr>
              <w:tab/>
            </w:r>
            <w:r>
              <w:rPr>
                <w:noProof/>
                <w:webHidden/>
              </w:rPr>
              <w:fldChar w:fldCharType="begin"/>
            </w:r>
            <w:r>
              <w:rPr>
                <w:noProof/>
                <w:webHidden/>
              </w:rPr>
              <w:instrText xml:space="preserve"> PAGEREF _Toc220495256 \h </w:instrText>
            </w:r>
            <w:r>
              <w:rPr>
                <w:noProof/>
                <w:webHidden/>
              </w:rPr>
            </w:r>
            <w:r>
              <w:rPr>
                <w:noProof/>
                <w:webHidden/>
              </w:rPr>
              <w:fldChar w:fldCharType="separate"/>
            </w:r>
            <w:r>
              <w:rPr>
                <w:noProof/>
                <w:webHidden/>
              </w:rPr>
              <w:t>180</w:t>
            </w:r>
            <w:r>
              <w:rPr>
                <w:noProof/>
                <w:webHidden/>
              </w:rPr>
              <w:fldChar w:fldCharType="end"/>
            </w:r>
          </w:hyperlink>
        </w:p>
        <w:p w14:paraId="3D57D3D2" w14:textId="0EB39A6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257" w:history="1">
            <w:r w:rsidRPr="00F45DCA">
              <w:rPr>
                <w:rStyle w:val="Lienhypertexte"/>
                <w:noProof/>
              </w:rPr>
              <w:t>21.15 Maçonneries portantes particulières CCTB 01.02</w:t>
            </w:r>
            <w:r>
              <w:rPr>
                <w:noProof/>
                <w:webHidden/>
              </w:rPr>
              <w:tab/>
            </w:r>
            <w:r>
              <w:rPr>
                <w:noProof/>
                <w:webHidden/>
              </w:rPr>
              <w:fldChar w:fldCharType="begin"/>
            </w:r>
            <w:r>
              <w:rPr>
                <w:noProof/>
                <w:webHidden/>
              </w:rPr>
              <w:instrText xml:space="preserve"> PAGEREF _Toc220495257 \h </w:instrText>
            </w:r>
            <w:r>
              <w:rPr>
                <w:noProof/>
                <w:webHidden/>
              </w:rPr>
            </w:r>
            <w:r>
              <w:rPr>
                <w:noProof/>
                <w:webHidden/>
              </w:rPr>
              <w:fldChar w:fldCharType="separate"/>
            </w:r>
            <w:r>
              <w:rPr>
                <w:noProof/>
                <w:webHidden/>
              </w:rPr>
              <w:t>183</w:t>
            </w:r>
            <w:r>
              <w:rPr>
                <w:noProof/>
                <w:webHidden/>
              </w:rPr>
              <w:fldChar w:fldCharType="end"/>
            </w:r>
          </w:hyperlink>
        </w:p>
        <w:p w14:paraId="6D65F1C8" w14:textId="30EC048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58" w:history="1">
            <w:r w:rsidRPr="00F45DCA">
              <w:rPr>
                <w:rStyle w:val="Lienhypertexte"/>
                <w:noProof/>
              </w:rPr>
              <w:t>21.15.1 Escaliers en maçonnerie CCTB 01.13</w:t>
            </w:r>
            <w:r>
              <w:rPr>
                <w:noProof/>
                <w:webHidden/>
              </w:rPr>
              <w:tab/>
            </w:r>
            <w:r>
              <w:rPr>
                <w:noProof/>
                <w:webHidden/>
              </w:rPr>
              <w:fldChar w:fldCharType="begin"/>
            </w:r>
            <w:r>
              <w:rPr>
                <w:noProof/>
                <w:webHidden/>
              </w:rPr>
              <w:instrText xml:space="preserve"> PAGEREF _Toc220495258 \h </w:instrText>
            </w:r>
            <w:r>
              <w:rPr>
                <w:noProof/>
                <w:webHidden/>
              </w:rPr>
            </w:r>
            <w:r>
              <w:rPr>
                <w:noProof/>
                <w:webHidden/>
              </w:rPr>
              <w:fldChar w:fldCharType="separate"/>
            </w:r>
            <w:r>
              <w:rPr>
                <w:noProof/>
                <w:webHidden/>
              </w:rPr>
              <w:t>183</w:t>
            </w:r>
            <w:r>
              <w:rPr>
                <w:noProof/>
                <w:webHidden/>
              </w:rPr>
              <w:fldChar w:fldCharType="end"/>
            </w:r>
          </w:hyperlink>
        </w:p>
        <w:p w14:paraId="7AF98555" w14:textId="773F441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59" w:history="1">
            <w:r w:rsidRPr="00F45DCA">
              <w:rPr>
                <w:rStyle w:val="Lienhypertexte"/>
                <w:noProof/>
              </w:rPr>
              <w:t>21.15.1a Assises d'escaliers en maçonnerie (pour finition ultérieure) CCTB 01.04</w:t>
            </w:r>
            <w:r>
              <w:rPr>
                <w:noProof/>
                <w:webHidden/>
              </w:rPr>
              <w:tab/>
            </w:r>
            <w:r>
              <w:rPr>
                <w:noProof/>
                <w:webHidden/>
              </w:rPr>
              <w:fldChar w:fldCharType="begin"/>
            </w:r>
            <w:r>
              <w:rPr>
                <w:noProof/>
                <w:webHidden/>
              </w:rPr>
              <w:instrText xml:space="preserve"> PAGEREF _Toc220495259 \h </w:instrText>
            </w:r>
            <w:r>
              <w:rPr>
                <w:noProof/>
                <w:webHidden/>
              </w:rPr>
            </w:r>
            <w:r>
              <w:rPr>
                <w:noProof/>
                <w:webHidden/>
              </w:rPr>
              <w:fldChar w:fldCharType="separate"/>
            </w:r>
            <w:r>
              <w:rPr>
                <w:noProof/>
                <w:webHidden/>
              </w:rPr>
              <w:t>184</w:t>
            </w:r>
            <w:r>
              <w:rPr>
                <w:noProof/>
                <w:webHidden/>
              </w:rPr>
              <w:fldChar w:fldCharType="end"/>
            </w:r>
          </w:hyperlink>
        </w:p>
        <w:p w14:paraId="517CFB80" w14:textId="70448C0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60" w:history="1">
            <w:r w:rsidRPr="00F45DCA">
              <w:rPr>
                <w:rStyle w:val="Lienhypertexte"/>
                <w:noProof/>
              </w:rPr>
              <w:t>21.15.1b Escaliers en briques CCTB 01.02</w:t>
            </w:r>
            <w:r>
              <w:rPr>
                <w:noProof/>
                <w:webHidden/>
              </w:rPr>
              <w:tab/>
            </w:r>
            <w:r>
              <w:rPr>
                <w:noProof/>
                <w:webHidden/>
              </w:rPr>
              <w:fldChar w:fldCharType="begin"/>
            </w:r>
            <w:r>
              <w:rPr>
                <w:noProof/>
                <w:webHidden/>
              </w:rPr>
              <w:instrText xml:space="preserve"> PAGEREF _Toc220495260 \h </w:instrText>
            </w:r>
            <w:r>
              <w:rPr>
                <w:noProof/>
                <w:webHidden/>
              </w:rPr>
            </w:r>
            <w:r>
              <w:rPr>
                <w:noProof/>
                <w:webHidden/>
              </w:rPr>
              <w:fldChar w:fldCharType="separate"/>
            </w:r>
            <w:r>
              <w:rPr>
                <w:noProof/>
                <w:webHidden/>
              </w:rPr>
              <w:t>184</w:t>
            </w:r>
            <w:r>
              <w:rPr>
                <w:noProof/>
                <w:webHidden/>
              </w:rPr>
              <w:fldChar w:fldCharType="end"/>
            </w:r>
          </w:hyperlink>
        </w:p>
        <w:p w14:paraId="42C92D73" w14:textId="1ED114E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61" w:history="1">
            <w:r w:rsidRPr="00F45DCA">
              <w:rPr>
                <w:rStyle w:val="Lienhypertexte"/>
                <w:noProof/>
              </w:rPr>
              <w:t>21.15.1c Escaliers en pierre naturelle CCTB 01.02</w:t>
            </w:r>
            <w:r>
              <w:rPr>
                <w:noProof/>
                <w:webHidden/>
              </w:rPr>
              <w:tab/>
            </w:r>
            <w:r>
              <w:rPr>
                <w:noProof/>
                <w:webHidden/>
              </w:rPr>
              <w:fldChar w:fldCharType="begin"/>
            </w:r>
            <w:r>
              <w:rPr>
                <w:noProof/>
                <w:webHidden/>
              </w:rPr>
              <w:instrText xml:space="preserve"> PAGEREF _Toc220495261 \h </w:instrText>
            </w:r>
            <w:r>
              <w:rPr>
                <w:noProof/>
                <w:webHidden/>
              </w:rPr>
            </w:r>
            <w:r>
              <w:rPr>
                <w:noProof/>
                <w:webHidden/>
              </w:rPr>
              <w:fldChar w:fldCharType="separate"/>
            </w:r>
            <w:r>
              <w:rPr>
                <w:noProof/>
                <w:webHidden/>
              </w:rPr>
              <w:t>184</w:t>
            </w:r>
            <w:r>
              <w:rPr>
                <w:noProof/>
                <w:webHidden/>
              </w:rPr>
              <w:fldChar w:fldCharType="end"/>
            </w:r>
          </w:hyperlink>
        </w:p>
        <w:p w14:paraId="3AE16759" w14:textId="730414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62" w:history="1">
            <w:r w:rsidRPr="00F45DCA">
              <w:rPr>
                <w:rStyle w:val="Lienhypertexte"/>
                <w:noProof/>
              </w:rPr>
              <w:t>21.15.1d Assises d'escaliers en maçonnerie en blocs de béton CCTB 01.04</w:t>
            </w:r>
            <w:r>
              <w:rPr>
                <w:noProof/>
                <w:webHidden/>
              </w:rPr>
              <w:tab/>
            </w:r>
            <w:r>
              <w:rPr>
                <w:noProof/>
                <w:webHidden/>
              </w:rPr>
              <w:fldChar w:fldCharType="begin"/>
            </w:r>
            <w:r>
              <w:rPr>
                <w:noProof/>
                <w:webHidden/>
              </w:rPr>
              <w:instrText xml:space="preserve"> PAGEREF _Toc220495262 \h </w:instrText>
            </w:r>
            <w:r>
              <w:rPr>
                <w:noProof/>
                <w:webHidden/>
              </w:rPr>
            </w:r>
            <w:r>
              <w:rPr>
                <w:noProof/>
                <w:webHidden/>
              </w:rPr>
              <w:fldChar w:fldCharType="separate"/>
            </w:r>
            <w:r>
              <w:rPr>
                <w:noProof/>
                <w:webHidden/>
              </w:rPr>
              <w:t>184</w:t>
            </w:r>
            <w:r>
              <w:rPr>
                <w:noProof/>
                <w:webHidden/>
              </w:rPr>
              <w:fldChar w:fldCharType="end"/>
            </w:r>
          </w:hyperlink>
        </w:p>
        <w:p w14:paraId="7446A19D" w14:textId="7E2B69F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63" w:history="1">
            <w:r w:rsidRPr="00F45DCA">
              <w:rPr>
                <w:rStyle w:val="Lienhypertexte"/>
                <w:noProof/>
              </w:rPr>
              <w:t>21.15.1e Assises d'escaliers en maçonnerie en briques CCTB 01.04</w:t>
            </w:r>
            <w:r>
              <w:rPr>
                <w:noProof/>
                <w:webHidden/>
              </w:rPr>
              <w:tab/>
            </w:r>
            <w:r>
              <w:rPr>
                <w:noProof/>
                <w:webHidden/>
              </w:rPr>
              <w:fldChar w:fldCharType="begin"/>
            </w:r>
            <w:r>
              <w:rPr>
                <w:noProof/>
                <w:webHidden/>
              </w:rPr>
              <w:instrText xml:space="preserve"> PAGEREF _Toc220495263 \h </w:instrText>
            </w:r>
            <w:r>
              <w:rPr>
                <w:noProof/>
                <w:webHidden/>
              </w:rPr>
            </w:r>
            <w:r>
              <w:rPr>
                <w:noProof/>
                <w:webHidden/>
              </w:rPr>
              <w:fldChar w:fldCharType="separate"/>
            </w:r>
            <w:r>
              <w:rPr>
                <w:noProof/>
                <w:webHidden/>
              </w:rPr>
              <w:t>184</w:t>
            </w:r>
            <w:r>
              <w:rPr>
                <w:noProof/>
                <w:webHidden/>
              </w:rPr>
              <w:fldChar w:fldCharType="end"/>
            </w:r>
          </w:hyperlink>
        </w:p>
        <w:p w14:paraId="54B2ED89" w14:textId="3976BD0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64" w:history="1">
            <w:r w:rsidRPr="00F45DCA">
              <w:rPr>
                <w:rStyle w:val="Lienhypertexte"/>
                <w:noProof/>
              </w:rPr>
              <w:t>21.15.1f Finitions d'escaliers CCTB 01.04</w:t>
            </w:r>
            <w:r>
              <w:rPr>
                <w:noProof/>
                <w:webHidden/>
              </w:rPr>
              <w:tab/>
            </w:r>
            <w:r>
              <w:rPr>
                <w:noProof/>
                <w:webHidden/>
              </w:rPr>
              <w:fldChar w:fldCharType="begin"/>
            </w:r>
            <w:r>
              <w:rPr>
                <w:noProof/>
                <w:webHidden/>
              </w:rPr>
              <w:instrText xml:space="preserve"> PAGEREF _Toc220495264 \h </w:instrText>
            </w:r>
            <w:r>
              <w:rPr>
                <w:noProof/>
                <w:webHidden/>
              </w:rPr>
            </w:r>
            <w:r>
              <w:rPr>
                <w:noProof/>
                <w:webHidden/>
              </w:rPr>
              <w:fldChar w:fldCharType="separate"/>
            </w:r>
            <w:r>
              <w:rPr>
                <w:noProof/>
                <w:webHidden/>
              </w:rPr>
              <w:t>184</w:t>
            </w:r>
            <w:r>
              <w:rPr>
                <w:noProof/>
                <w:webHidden/>
              </w:rPr>
              <w:fldChar w:fldCharType="end"/>
            </w:r>
          </w:hyperlink>
        </w:p>
        <w:p w14:paraId="6F4F7104" w14:textId="527E332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65" w:history="1">
            <w:r w:rsidRPr="00F45DCA">
              <w:rPr>
                <w:rStyle w:val="Lienhypertexte"/>
                <w:noProof/>
              </w:rPr>
              <w:t>21.15.2 Garde-corps et rampes en maçonnerie CCTB 01.13</w:t>
            </w:r>
            <w:r>
              <w:rPr>
                <w:noProof/>
                <w:webHidden/>
              </w:rPr>
              <w:tab/>
            </w:r>
            <w:r>
              <w:rPr>
                <w:noProof/>
                <w:webHidden/>
              </w:rPr>
              <w:fldChar w:fldCharType="begin"/>
            </w:r>
            <w:r>
              <w:rPr>
                <w:noProof/>
                <w:webHidden/>
              </w:rPr>
              <w:instrText xml:space="preserve"> PAGEREF _Toc220495265 \h </w:instrText>
            </w:r>
            <w:r>
              <w:rPr>
                <w:noProof/>
                <w:webHidden/>
              </w:rPr>
            </w:r>
            <w:r>
              <w:rPr>
                <w:noProof/>
                <w:webHidden/>
              </w:rPr>
              <w:fldChar w:fldCharType="separate"/>
            </w:r>
            <w:r>
              <w:rPr>
                <w:noProof/>
                <w:webHidden/>
              </w:rPr>
              <w:t>184</w:t>
            </w:r>
            <w:r>
              <w:rPr>
                <w:noProof/>
                <w:webHidden/>
              </w:rPr>
              <w:fldChar w:fldCharType="end"/>
            </w:r>
          </w:hyperlink>
        </w:p>
        <w:p w14:paraId="55AF94E5" w14:textId="310FE0C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66" w:history="1">
            <w:r w:rsidRPr="00F45DCA">
              <w:rPr>
                <w:rStyle w:val="Lienhypertexte"/>
                <w:noProof/>
              </w:rPr>
              <w:t>21.15.2a Garde-corps en briques de terre cuite CCTB 01.04</w:t>
            </w:r>
            <w:r>
              <w:rPr>
                <w:noProof/>
                <w:webHidden/>
              </w:rPr>
              <w:tab/>
            </w:r>
            <w:r>
              <w:rPr>
                <w:noProof/>
                <w:webHidden/>
              </w:rPr>
              <w:fldChar w:fldCharType="begin"/>
            </w:r>
            <w:r>
              <w:rPr>
                <w:noProof/>
                <w:webHidden/>
              </w:rPr>
              <w:instrText xml:space="preserve"> PAGEREF _Toc220495266 \h </w:instrText>
            </w:r>
            <w:r>
              <w:rPr>
                <w:noProof/>
                <w:webHidden/>
              </w:rPr>
            </w:r>
            <w:r>
              <w:rPr>
                <w:noProof/>
                <w:webHidden/>
              </w:rPr>
              <w:fldChar w:fldCharType="separate"/>
            </w:r>
            <w:r>
              <w:rPr>
                <w:noProof/>
                <w:webHidden/>
              </w:rPr>
              <w:t>185</w:t>
            </w:r>
            <w:r>
              <w:rPr>
                <w:noProof/>
                <w:webHidden/>
              </w:rPr>
              <w:fldChar w:fldCharType="end"/>
            </w:r>
          </w:hyperlink>
        </w:p>
        <w:p w14:paraId="4BF00B81" w14:textId="422CF17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67" w:history="1">
            <w:r w:rsidRPr="00F45DCA">
              <w:rPr>
                <w:rStyle w:val="Lienhypertexte"/>
                <w:noProof/>
              </w:rPr>
              <w:t>21.15.2b Garde-corps en briques de béton CCTB 01.04</w:t>
            </w:r>
            <w:r>
              <w:rPr>
                <w:noProof/>
                <w:webHidden/>
              </w:rPr>
              <w:tab/>
            </w:r>
            <w:r>
              <w:rPr>
                <w:noProof/>
                <w:webHidden/>
              </w:rPr>
              <w:fldChar w:fldCharType="begin"/>
            </w:r>
            <w:r>
              <w:rPr>
                <w:noProof/>
                <w:webHidden/>
              </w:rPr>
              <w:instrText xml:space="preserve"> PAGEREF _Toc220495267 \h </w:instrText>
            </w:r>
            <w:r>
              <w:rPr>
                <w:noProof/>
                <w:webHidden/>
              </w:rPr>
            </w:r>
            <w:r>
              <w:rPr>
                <w:noProof/>
                <w:webHidden/>
              </w:rPr>
              <w:fldChar w:fldCharType="separate"/>
            </w:r>
            <w:r>
              <w:rPr>
                <w:noProof/>
                <w:webHidden/>
              </w:rPr>
              <w:t>185</w:t>
            </w:r>
            <w:r>
              <w:rPr>
                <w:noProof/>
                <w:webHidden/>
              </w:rPr>
              <w:fldChar w:fldCharType="end"/>
            </w:r>
          </w:hyperlink>
        </w:p>
        <w:p w14:paraId="52F6266F" w14:textId="7A4D77B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68" w:history="1">
            <w:r w:rsidRPr="00F45DCA">
              <w:rPr>
                <w:rStyle w:val="Lienhypertexte"/>
                <w:noProof/>
              </w:rPr>
              <w:t>21.15.2c Garde-corps en blocs de béton CCTB 01.04</w:t>
            </w:r>
            <w:r>
              <w:rPr>
                <w:noProof/>
                <w:webHidden/>
              </w:rPr>
              <w:tab/>
            </w:r>
            <w:r>
              <w:rPr>
                <w:noProof/>
                <w:webHidden/>
              </w:rPr>
              <w:fldChar w:fldCharType="begin"/>
            </w:r>
            <w:r>
              <w:rPr>
                <w:noProof/>
                <w:webHidden/>
              </w:rPr>
              <w:instrText xml:space="preserve"> PAGEREF _Toc220495268 \h </w:instrText>
            </w:r>
            <w:r>
              <w:rPr>
                <w:noProof/>
                <w:webHidden/>
              </w:rPr>
            </w:r>
            <w:r>
              <w:rPr>
                <w:noProof/>
                <w:webHidden/>
              </w:rPr>
              <w:fldChar w:fldCharType="separate"/>
            </w:r>
            <w:r>
              <w:rPr>
                <w:noProof/>
                <w:webHidden/>
              </w:rPr>
              <w:t>185</w:t>
            </w:r>
            <w:r>
              <w:rPr>
                <w:noProof/>
                <w:webHidden/>
              </w:rPr>
              <w:fldChar w:fldCharType="end"/>
            </w:r>
          </w:hyperlink>
        </w:p>
        <w:p w14:paraId="482D509B" w14:textId="574F60B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69" w:history="1">
            <w:r w:rsidRPr="00F45DCA">
              <w:rPr>
                <w:rStyle w:val="Lienhypertexte"/>
                <w:noProof/>
              </w:rPr>
              <w:t>21.15.2d Garde-corps en pierre naturelle CCTB 01.02</w:t>
            </w:r>
            <w:r>
              <w:rPr>
                <w:noProof/>
                <w:webHidden/>
              </w:rPr>
              <w:tab/>
            </w:r>
            <w:r>
              <w:rPr>
                <w:noProof/>
                <w:webHidden/>
              </w:rPr>
              <w:fldChar w:fldCharType="begin"/>
            </w:r>
            <w:r>
              <w:rPr>
                <w:noProof/>
                <w:webHidden/>
              </w:rPr>
              <w:instrText xml:space="preserve"> PAGEREF _Toc220495269 \h </w:instrText>
            </w:r>
            <w:r>
              <w:rPr>
                <w:noProof/>
                <w:webHidden/>
              </w:rPr>
            </w:r>
            <w:r>
              <w:rPr>
                <w:noProof/>
                <w:webHidden/>
              </w:rPr>
              <w:fldChar w:fldCharType="separate"/>
            </w:r>
            <w:r>
              <w:rPr>
                <w:noProof/>
                <w:webHidden/>
              </w:rPr>
              <w:t>185</w:t>
            </w:r>
            <w:r>
              <w:rPr>
                <w:noProof/>
                <w:webHidden/>
              </w:rPr>
              <w:fldChar w:fldCharType="end"/>
            </w:r>
          </w:hyperlink>
        </w:p>
        <w:p w14:paraId="0D7A33D0" w14:textId="33E1D39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70" w:history="1">
            <w:r w:rsidRPr="00F45DCA">
              <w:rPr>
                <w:rStyle w:val="Lienhypertexte"/>
                <w:noProof/>
              </w:rPr>
              <w:t>21.15.3 Colonnes et piliers CCTB 01.11</w:t>
            </w:r>
            <w:r>
              <w:rPr>
                <w:noProof/>
                <w:webHidden/>
              </w:rPr>
              <w:tab/>
            </w:r>
            <w:r>
              <w:rPr>
                <w:noProof/>
                <w:webHidden/>
              </w:rPr>
              <w:fldChar w:fldCharType="begin"/>
            </w:r>
            <w:r>
              <w:rPr>
                <w:noProof/>
                <w:webHidden/>
              </w:rPr>
              <w:instrText xml:space="preserve"> PAGEREF _Toc220495270 \h </w:instrText>
            </w:r>
            <w:r>
              <w:rPr>
                <w:noProof/>
                <w:webHidden/>
              </w:rPr>
            </w:r>
            <w:r>
              <w:rPr>
                <w:noProof/>
                <w:webHidden/>
              </w:rPr>
              <w:fldChar w:fldCharType="separate"/>
            </w:r>
            <w:r>
              <w:rPr>
                <w:noProof/>
                <w:webHidden/>
              </w:rPr>
              <w:t>185</w:t>
            </w:r>
            <w:r>
              <w:rPr>
                <w:noProof/>
                <w:webHidden/>
              </w:rPr>
              <w:fldChar w:fldCharType="end"/>
            </w:r>
          </w:hyperlink>
        </w:p>
        <w:p w14:paraId="24225C73" w14:textId="781A870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71" w:history="1">
            <w:r w:rsidRPr="00F45DCA">
              <w:rPr>
                <w:rStyle w:val="Lienhypertexte"/>
                <w:noProof/>
              </w:rPr>
              <w:t>21.15.3a Colonnes et piliers en briques de terre cuite CCTB 01.12</w:t>
            </w:r>
            <w:r>
              <w:rPr>
                <w:noProof/>
                <w:webHidden/>
              </w:rPr>
              <w:tab/>
            </w:r>
            <w:r>
              <w:rPr>
                <w:noProof/>
                <w:webHidden/>
              </w:rPr>
              <w:fldChar w:fldCharType="begin"/>
            </w:r>
            <w:r>
              <w:rPr>
                <w:noProof/>
                <w:webHidden/>
              </w:rPr>
              <w:instrText xml:space="preserve"> PAGEREF _Toc220495271 \h </w:instrText>
            </w:r>
            <w:r>
              <w:rPr>
                <w:noProof/>
                <w:webHidden/>
              </w:rPr>
            </w:r>
            <w:r>
              <w:rPr>
                <w:noProof/>
                <w:webHidden/>
              </w:rPr>
              <w:fldChar w:fldCharType="separate"/>
            </w:r>
            <w:r>
              <w:rPr>
                <w:noProof/>
                <w:webHidden/>
              </w:rPr>
              <w:t>185</w:t>
            </w:r>
            <w:r>
              <w:rPr>
                <w:noProof/>
                <w:webHidden/>
              </w:rPr>
              <w:fldChar w:fldCharType="end"/>
            </w:r>
          </w:hyperlink>
        </w:p>
        <w:p w14:paraId="55416FDB" w14:textId="0AE4C57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72" w:history="1">
            <w:r w:rsidRPr="00F45DCA">
              <w:rPr>
                <w:rStyle w:val="Lienhypertexte"/>
                <w:noProof/>
              </w:rPr>
              <w:t>21.15.3b Colonnes et piliers en briques de béton CCTB 01.11</w:t>
            </w:r>
            <w:r>
              <w:rPr>
                <w:noProof/>
                <w:webHidden/>
              </w:rPr>
              <w:tab/>
            </w:r>
            <w:r>
              <w:rPr>
                <w:noProof/>
                <w:webHidden/>
              </w:rPr>
              <w:fldChar w:fldCharType="begin"/>
            </w:r>
            <w:r>
              <w:rPr>
                <w:noProof/>
                <w:webHidden/>
              </w:rPr>
              <w:instrText xml:space="preserve"> PAGEREF _Toc220495272 \h </w:instrText>
            </w:r>
            <w:r>
              <w:rPr>
                <w:noProof/>
                <w:webHidden/>
              </w:rPr>
            </w:r>
            <w:r>
              <w:rPr>
                <w:noProof/>
                <w:webHidden/>
              </w:rPr>
              <w:fldChar w:fldCharType="separate"/>
            </w:r>
            <w:r>
              <w:rPr>
                <w:noProof/>
                <w:webHidden/>
              </w:rPr>
              <w:t>187</w:t>
            </w:r>
            <w:r>
              <w:rPr>
                <w:noProof/>
                <w:webHidden/>
              </w:rPr>
              <w:fldChar w:fldCharType="end"/>
            </w:r>
          </w:hyperlink>
        </w:p>
        <w:p w14:paraId="4A6D1AB8" w14:textId="7E594D4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73" w:history="1">
            <w:r w:rsidRPr="00F45DCA">
              <w:rPr>
                <w:rStyle w:val="Lienhypertexte"/>
                <w:noProof/>
              </w:rPr>
              <w:t>21.15.3c Colonnes et piliers en blocs de béton CCTB 01.04</w:t>
            </w:r>
            <w:r>
              <w:rPr>
                <w:noProof/>
                <w:webHidden/>
              </w:rPr>
              <w:tab/>
            </w:r>
            <w:r>
              <w:rPr>
                <w:noProof/>
                <w:webHidden/>
              </w:rPr>
              <w:fldChar w:fldCharType="begin"/>
            </w:r>
            <w:r>
              <w:rPr>
                <w:noProof/>
                <w:webHidden/>
              </w:rPr>
              <w:instrText xml:space="preserve"> PAGEREF _Toc220495273 \h </w:instrText>
            </w:r>
            <w:r>
              <w:rPr>
                <w:noProof/>
                <w:webHidden/>
              </w:rPr>
            </w:r>
            <w:r>
              <w:rPr>
                <w:noProof/>
                <w:webHidden/>
              </w:rPr>
              <w:fldChar w:fldCharType="separate"/>
            </w:r>
            <w:r>
              <w:rPr>
                <w:noProof/>
                <w:webHidden/>
              </w:rPr>
              <w:t>187</w:t>
            </w:r>
            <w:r>
              <w:rPr>
                <w:noProof/>
                <w:webHidden/>
              </w:rPr>
              <w:fldChar w:fldCharType="end"/>
            </w:r>
          </w:hyperlink>
        </w:p>
        <w:p w14:paraId="56A6EFD7" w14:textId="134C289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74" w:history="1">
            <w:r w:rsidRPr="00F45DCA">
              <w:rPr>
                <w:rStyle w:val="Lienhypertexte"/>
                <w:noProof/>
              </w:rPr>
              <w:t>21.15.3d Colonnes et piliers en pierre naturelle CCTB 01.13</w:t>
            </w:r>
            <w:r>
              <w:rPr>
                <w:noProof/>
                <w:webHidden/>
              </w:rPr>
              <w:tab/>
            </w:r>
            <w:r>
              <w:rPr>
                <w:noProof/>
                <w:webHidden/>
              </w:rPr>
              <w:fldChar w:fldCharType="begin"/>
            </w:r>
            <w:r>
              <w:rPr>
                <w:noProof/>
                <w:webHidden/>
              </w:rPr>
              <w:instrText xml:space="preserve"> PAGEREF _Toc220495274 \h </w:instrText>
            </w:r>
            <w:r>
              <w:rPr>
                <w:noProof/>
                <w:webHidden/>
              </w:rPr>
            </w:r>
            <w:r>
              <w:rPr>
                <w:noProof/>
                <w:webHidden/>
              </w:rPr>
              <w:fldChar w:fldCharType="separate"/>
            </w:r>
            <w:r>
              <w:rPr>
                <w:noProof/>
                <w:webHidden/>
              </w:rPr>
              <w:t>187</w:t>
            </w:r>
            <w:r>
              <w:rPr>
                <w:noProof/>
                <w:webHidden/>
              </w:rPr>
              <w:fldChar w:fldCharType="end"/>
            </w:r>
          </w:hyperlink>
        </w:p>
        <w:p w14:paraId="5D4BF3A1" w14:textId="65237D7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75" w:history="1">
            <w:r w:rsidRPr="00F45DCA">
              <w:rPr>
                <w:rStyle w:val="Lienhypertexte"/>
                <w:noProof/>
              </w:rPr>
              <w:t>21.15.4 Socles et embases CCTB 01.02</w:t>
            </w:r>
            <w:r>
              <w:rPr>
                <w:noProof/>
                <w:webHidden/>
              </w:rPr>
              <w:tab/>
            </w:r>
            <w:r>
              <w:rPr>
                <w:noProof/>
                <w:webHidden/>
              </w:rPr>
              <w:fldChar w:fldCharType="begin"/>
            </w:r>
            <w:r>
              <w:rPr>
                <w:noProof/>
                <w:webHidden/>
              </w:rPr>
              <w:instrText xml:space="preserve"> PAGEREF _Toc220495275 \h </w:instrText>
            </w:r>
            <w:r>
              <w:rPr>
                <w:noProof/>
                <w:webHidden/>
              </w:rPr>
            </w:r>
            <w:r>
              <w:rPr>
                <w:noProof/>
                <w:webHidden/>
              </w:rPr>
              <w:fldChar w:fldCharType="separate"/>
            </w:r>
            <w:r>
              <w:rPr>
                <w:noProof/>
                <w:webHidden/>
              </w:rPr>
              <w:t>189</w:t>
            </w:r>
            <w:r>
              <w:rPr>
                <w:noProof/>
                <w:webHidden/>
              </w:rPr>
              <w:fldChar w:fldCharType="end"/>
            </w:r>
          </w:hyperlink>
        </w:p>
        <w:p w14:paraId="45CE503D" w14:textId="000B260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76" w:history="1">
            <w:r w:rsidRPr="00F45DCA">
              <w:rPr>
                <w:rStyle w:val="Lienhypertexte"/>
                <w:noProof/>
              </w:rPr>
              <w:t>21.15.4a Socles et embases en briques de terre cuite CCTB 01.04</w:t>
            </w:r>
            <w:r>
              <w:rPr>
                <w:noProof/>
                <w:webHidden/>
              </w:rPr>
              <w:tab/>
            </w:r>
            <w:r>
              <w:rPr>
                <w:noProof/>
                <w:webHidden/>
              </w:rPr>
              <w:fldChar w:fldCharType="begin"/>
            </w:r>
            <w:r>
              <w:rPr>
                <w:noProof/>
                <w:webHidden/>
              </w:rPr>
              <w:instrText xml:space="preserve"> PAGEREF _Toc220495276 \h </w:instrText>
            </w:r>
            <w:r>
              <w:rPr>
                <w:noProof/>
                <w:webHidden/>
              </w:rPr>
            </w:r>
            <w:r>
              <w:rPr>
                <w:noProof/>
                <w:webHidden/>
              </w:rPr>
              <w:fldChar w:fldCharType="separate"/>
            </w:r>
            <w:r>
              <w:rPr>
                <w:noProof/>
                <w:webHidden/>
              </w:rPr>
              <w:t>189</w:t>
            </w:r>
            <w:r>
              <w:rPr>
                <w:noProof/>
                <w:webHidden/>
              </w:rPr>
              <w:fldChar w:fldCharType="end"/>
            </w:r>
          </w:hyperlink>
        </w:p>
        <w:p w14:paraId="16E90B74" w14:textId="0A6BBC7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77" w:history="1">
            <w:r w:rsidRPr="00F45DCA">
              <w:rPr>
                <w:rStyle w:val="Lienhypertexte"/>
                <w:noProof/>
              </w:rPr>
              <w:t>21.15.4b Socles et embases en briques de béton CCTB 01.04</w:t>
            </w:r>
            <w:r>
              <w:rPr>
                <w:noProof/>
                <w:webHidden/>
              </w:rPr>
              <w:tab/>
            </w:r>
            <w:r>
              <w:rPr>
                <w:noProof/>
                <w:webHidden/>
              </w:rPr>
              <w:fldChar w:fldCharType="begin"/>
            </w:r>
            <w:r>
              <w:rPr>
                <w:noProof/>
                <w:webHidden/>
              </w:rPr>
              <w:instrText xml:space="preserve"> PAGEREF _Toc220495277 \h </w:instrText>
            </w:r>
            <w:r>
              <w:rPr>
                <w:noProof/>
                <w:webHidden/>
              </w:rPr>
            </w:r>
            <w:r>
              <w:rPr>
                <w:noProof/>
                <w:webHidden/>
              </w:rPr>
              <w:fldChar w:fldCharType="separate"/>
            </w:r>
            <w:r>
              <w:rPr>
                <w:noProof/>
                <w:webHidden/>
              </w:rPr>
              <w:t>189</w:t>
            </w:r>
            <w:r>
              <w:rPr>
                <w:noProof/>
                <w:webHidden/>
              </w:rPr>
              <w:fldChar w:fldCharType="end"/>
            </w:r>
          </w:hyperlink>
        </w:p>
        <w:p w14:paraId="05692C13" w14:textId="0B9B289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78" w:history="1">
            <w:r w:rsidRPr="00F45DCA">
              <w:rPr>
                <w:rStyle w:val="Lienhypertexte"/>
                <w:noProof/>
              </w:rPr>
              <w:t>21.15.4c Socles et embases en blocs de béton CCTB 01.04</w:t>
            </w:r>
            <w:r>
              <w:rPr>
                <w:noProof/>
                <w:webHidden/>
              </w:rPr>
              <w:tab/>
            </w:r>
            <w:r>
              <w:rPr>
                <w:noProof/>
                <w:webHidden/>
              </w:rPr>
              <w:fldChar w:fldCharType="begin"/>
            </w:r>
            <w:r>
              <w:rPr>
                <w:noProof/>
                <w:webHidden/>
              </w:rPr>
              <w:instrText xml:space="preserve"> PAGEREF _Toc220495278 \h </w:instrText>
            </w:r>
            <w:r>
              <w:rPr>
                <w:noProof/>
                <w:webHidden/>
              </w:rPr>
            </w:r>
            <w:r>
              <w:rPr>
                <w:noProof/>
                <w:webHidden/>
              </w:rPr>
              <w:fldChar w:fldCharType="separate"/>
            </w:r>
            <w:r>
              <w:rPr>
                <w:noProof/>
                <w:webHidden/>
              </w:rPr>
              <w:t>189</w:t>
            </w:r>
            <w:r>
              <w:rPr>
                <w:noProof/>
                <w:webHidden/>
              </w:rPr>
              <w:fldChar w:fldCharType="end"/>
            </w:r>
          </w:hyperlink>
        </w:p>
        <w:p w14:paraId="2ECC7A98" w14:textId="248B0C5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79" w:history="1">
            <w:r w:rsidRPr="00F45DCA">
              <w:rPr>
                <w:rStyle w:val="Lienhypertexte"/>
                <w:noProof/>
              </w:rPr>
              <w:t>21.15.4d Socles et embases en pierre naturelle CCTB 01.02</w:t>
            </w:r>
            <w:r>
              <w:rPr>
                <w:noProof/>
                <w:webHidden/>
              </w:rPr>
              <w:tab/>
            </w:r>
            <w:r>
              <w:rPr>
                <w:noProof/>
                <w:webHidden/>
              </w:rPr>
              <w:fldChar w:fldCharType="begin"/>
            </w:r>
            <w:r>
              <w:rPr>
                <w:noProof/>
                <w:webHidden/>
              </w:rPr>
              <w:instrText xml:space="preserve"> PAGEREF _Toc220495279 \h </w:instrText>
            </w:r>
            <w:r>
              <w:rPr>
                <w:noProof/>
                <w:webHidden/>
              </w:rPr>
            </w:r>
            <w:r>
              <w:rPr>
                <w:noProof/>
                <w:webHidden/>
              </w:rPr>
              <w:fldChar w:fldCharType="separate"/>
            </w:r>
            <w:r>
              <w:rPr>
                <w:noProof/>
                <w:webHidden/>
              </w:rPr>
              <w:t>189</w:t>
            </w:r>
            <w:r>
              <w:rPr>
                <w:noProof/>
                <w:webHidden/>
              </w:rPr>
              <w:fldChar w:fldCharType="end"/>
            </w:r>
          </w:hyperlink>
        </w:p>
        <w:p w14:paraId="7587DAB4" w14:textId="770EC85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80" w:history="1">
            <w:r w:rsidRPr="00F45DCA">
              <w:rPr>
                <w:rStyle w:val="Lienhypertexte"/>
                <w:noProof/>
              </w:rPr>
              <w:t>21.15.5 Voûtes et voussettes CCTB 01.02</w:t>
            </w:r>
            <w:r>
              <w:rPr>
                <w:noProof/>
                <w:webHidden/>
              </w:rPr>
              <w:tab/>
            </w:r>
            <w:r>
              <w:rPr>
                <w:noProof/>
                <w:webHidden/>
              </w:rPr>
              <w:fldChar w:fldCharType="begin"/>
            </w:r>
            <w:r>
              <w:rPr>
                <w:noProof/>
                <w:webHidden/>
              </w:rPr>
              <w:instrText xml:space="preserve"> PAGEREF _Toc220495280 \h </w:instrText>
            </w:r>
            <w:r>
              <w:rPr>
                <w:noProof/>
                <w:webHidden/>
              </w:rPr>
            </w:r>
            <w:r>
              <w:rPr>
                <w:noProof/>
                <w:webHidden/>
              </w:rPr>
              <w:fldChar w:fldCharType="separate"/>
            </w:r>
            <w:r>
              <w:rPr>
                <w:noProof/>
                <w:webHidden/>
              </w:rPr>
              <w:t>189</w:t>
            </w:r>
            <w:r>
              <w:rPr>
                <w:noProof/>
                <w:webHidden/>
              </w:rPr>
              <w:fldChar w:fldCharType="end"/>
            </w:r>
          </w:hyperlink>
        </w:p>
        <w:p w14:paraId="77DE2226" w14:textId="1880718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81" w:history="1">
            <w:r w:rsidRPr="00F45DCA">
              <w:rPr>
                <w:rStyle w:val="Lienhypertexte"/>
                <w:noProof/>
              </w:rPr>
              <w:t>21.15.5a Voûtes et voussettes en briques de terre cuite CCTB 01.04</w:t>
            </w:r>
            <w:r>
              <w:rPr>
                <w:noProof/>
                <w:webHidden/>
              </w:rPr>
              <w:tab/>
            </w:r>
            <w:r>
              <w:rPr>
                <w:noProof/>
                <w:webHidden/>
              </w:rPr>
              <w:fldChar w:fldCharType="begin"/>
            </w:r>
            <w:r>
              <w:rPr>
                <w:noProof/>
                <w:webHidden/>
              </w:rPr>
              <w:instrText xml:space="preserve"> PAGEREF _Toc220495281 \h </w:instrText>
            </w:r>
            <w:r>
              <w:rPr>
                <w:noProof/>
                <w:webHidden/>
              </w:rPr>
            </w:r>
            <w:r>
              <w:rPr>
                <w:noProof/>
                <w:webHidden/>
              </w:rPr>
              <w:fldChar w:fldCharType="separate"/>
            </w:r>
            <w:r>
              <w:rPr>
                <w:noProof/>
                <w:webHidden/>
              </w:rPr>
              <w:t>189</w:t>
            </w:r>
            <w:r>
              <w:rPr>
                <w:noProof/>
                <w:webHidden/>
              </w:rPr>
              <w:fldChar w:fldCharType="end"/>
            </w:r>
          </w:hyperlink>
        </w:p>
        <w:p w14:paraId="1FD10843" w14:textId="39A543F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82" w:history="1">
            <w:r w:rsidRPr="00F45DCA">
              <w:rPr>
                <w:rStyle w:val="Lienhypertexte"/>
                <w:noProof/>
              </w:rPr>
              <w:t>21.15.5b Voûtes et voussettes en briques de béton CCTB 01.04</w:t>
            </w:r>
            <w:r>
              <w:rPr>
                <w:noProof/>
                <w:webHidden/>
              </w:rPr>
              <w:tab/>
            </w:r>
            <w:r>
              <w:rPr>
                <w:noProof/>
                <w:webHidden/>
              </w:rPr>
              <w:fldChar w:fldCharType="begin"/>
            </w:r>
            <w:r>
              <w:rPr>
                <w:noProof/>
                <w:webHidden/>
              </w:rPr>
              <w:instrText xml:space="preserve"> PAGEREF _Toc220495282 \h </w:instrText>
            </w:r>
            <w:r>
              <w:rPr>
                <w:noProof/>
                <w:webHidden/>
              </w:rPr>
            </w:r>
            <w:r>
              <w:rPr>
                <w:noProof/>
                <w:webHidden/>
              </w:rPr>
              <w:fldChar w:fldCharType="separate"/>
            </w:r>
            <w:r>
              <w:rPr>
                <w:noProof/>
                <w:webHidden/>
              </w:rPr>
              <w:t>189</w:t>
            </w:r>
            <w:r>
              <w:rPr>
                <w:noProof/>
                <w:webHidden/>
              </w:rPr>
              <w:fldChar w:fldCharType="end"/>
            </w:r>
          </w:hyperlink>
        </w:p>
        <w:p w14:paraId="3136C0F1" w14:textId="5272AE6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83" w:history="1">
            <w:r w:rsidRPr="00F45DCA">
              <w:rPr>
                <w:rStyle w:val="Lienhypertexte"/>
                <w:noProof/>
              </w:rPr>
              <w:t>21.15.5c Voûtes et voussettes en pierre naturelle CCTB 01.02</w:t>
            </w:r>
            <w:r>
              <w:rPr>
                <w:noProof/>
                <w:webHidden/>
              </w:rPr>
              <w:tab/>
            </w:r>
            <w:r>
              <w:rPr>
                <w:noProof/>
                <w:webHidden/>
              </w:rPr>
              <w:fldChar w:fldCharType="begin"/>
            </w:r>
            <w:r>
              <w:rPr>
                <w:noProof/>
                <w:webHidden/>
              </w:rPr>
              <w:instrText xml:space="preserve"> PAGEREF _Toc220495283 \h </w:instrText>
            </w:r>
            <w:r>
              <w:rPr>
                <w:noProof/>
                <w:webHidden/>
              </w:rPr>
            </w:r>
            <w:r>
              <w:rPr>
                <w:noProof/>
                <w:webHidden/>
              </w:rPr>
              <w:fldChar w:fldCharType="separate"/>
            </w:r>
            <w:r>
              <w:rPr>
                <w:noProof/>
                <w:webHidden/>
              </w:rPr>
              <w:t>189</w:t>
            </w:r>
            <w:r>
              <w:rPr>
                <w:noProof/>
                <w:webHidden/>
              </w:rPr>
              <w:fldChar w:fldCharType="end"/>
            </w:r>
          </w:hyperlink>
        </w:p>
        <w:p w14:paraId="1C94A5C9" w14:textId="0CB7B22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84" w:history="1">
            <w:r w:rsidRPr="00F45DCA">
              <w:rPr>
                <w:rStyle w:val="Lienhypertexte"/>
                <w:noProof/>
              </w:rPr>
              <w:t>21.15.6 Arcs CCTB 01.02</w:t>
            </w:r>
            <w:r>
              <w:rPr>
                <w:noProof/>
                <w:webHidden/>
              </w:rPr>
              <w:tab/>
            </w:r>
            <w:r>
              <w:rPr>
                <w:noProof/>
                <w:webHidden/>
              </w:rPr>
              <w:fldChar w:fldCharType="begin"/>
            </w:r>
            <w:r>
              <w:rPr>
                <w:noProof/>
                <w:webHidden/>
              </w:rPr>
              <w:instrText xml:space="preserve"> PAGEREF _Toc220495284 \h </w:instrText>
            </w:r>
            <w:r>
              <w:rPr>
                <w:noProof/>
                <w:webHidden/>
              </w:rPr>
            </w:r>
            <w:r>
              <w:rPr>
                <w:noProof/>
                <w:webHidden/>
              </w:rPr>
              <w:fldChar w:fldCharType="separate"/>
            </w:r>
            <w:r>
              <w:rPr>
                <w:noProof/>
                <w:webHidden/>
              </w:rPr>
              <w:t>189</w:t>
            </w:r>
            <w:r>
              <w:rPr>
                <w:noProof/>
                <w:webHidden/>
              </w:rPr>
              <w:fldChar w:fldCharType="end"/>
            </w:r>
          </w:hyperlink>
        </w:p>
        <w:p w14:paraId="0DA8C765" w14:textId="4A1244C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85" w:history="1">
            <w:r w:rsidRPr="00F45DCA">
              <w:rPr>
                <w:rStyle w:val="Lienhypertexte"/>
                <w:noProof/>
              </w:rPr>
              <w:t>21.15.6a Arcs en briques de terre cuite CCTB 01.04</w:t>
            </w:r>
            <w:r>
              <w:rPr>
                <w:noProof/>
                <w:webHidden/>
              </w:rPr>
              <w:tab/>
            </w:r>
            <w:r>
              <w:rPr>
                <w:noProof/>
                <w:webHidden/>
              </w:rPr>
              <w:fldChar w:fldCharType="begin"/>
            </w:r>
            <w:r>
              <w:rPr>
                <w:noProof/>
                <w:webHidden/>
              </w:rPr>
              <w:instrText xml:space="preserve"> PAGEREF _Toc220495285 \h </w:instrText>
            </w:r>
            <w:r>
              <w:rPr>
                <w:noProof/>
                <w:webHidden/>
              </w:rPr>
            </w:r>
            <w:r>
              <w:rPr>
                <w:noProof/>
                <w:webHidden/>
              </w:rPr>
              <w:fldChar w:fldCharType="separate"/>
            </w:r>
            <w:r>
              <w:rPr>
                <w:noProof/>
                <w:webHidden/>
              </w:rPr>
              <w:t>189</w:t>
            </w:r>
            <w:r>
              <w:rPr>
                <w:noProof/>
                <w:webHidden/>
              </w:rPr>
              <w:fldChar w:fldCharType="end"/>
            </w:r>
          </w:hyperlink>
        </w:p>
        <w:p w14:paraId="1EF62A16" w14:textId="3337E0E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86" w:history="1">
            <w:r w:rsidRPr="00F45DCA">
              <w:rPr>
                <w:rStyle w:val="Lienhypertexte"/>
                <w:noProof/>
              </w:rPr>
              <w:t>21.15.6b Arcs en briques de béton CCTB 01.04</w:t>
            </w:r>
            <w:r>
              <w:rPr>
                <w:noProof/>
                <w:webHidden/>
              </w:rPr>
              <w:tab/>
            </w:r>
            <w:r>
              <w:rPr>
                <w:noProof/>
                <w:webHidden/>
              </w:rPr>
              <w:fldChar w:fldCharType="begin"/>
            </w:r>
            <w:r>
              <w:rPr>
                <w:noProof/>
                <w:webHidden/>
              </w:rPr>
              <w:instrText xml:space="preserve"> PAGEREF _Toc220495286 \h </w:instrText>
            </w:r>
            <w:r>
              <w:rPr>
                <w:noProof/>
                <w:webHidden/>
              </w:rPr>
            </w:r>
            <w:r>
              <w:rPr>
                <w:noProof/>
                <w:webHidden/>
              </w:rPr>
              <w:fldChar w:fldCharType="separate"/>
            </w:r>
            <w:r>
              <w:rPr>
                <w:noProof/>
                <w:webHidden/>
              </w:rPr>
              <w:t>189</w:t>
            </w:r>
            <w:r>
              <w:rPr>
                <w:noProof/>
                <w:webHidden/>
              </w:rPr>
              <w:fldChar w:fldCharType="end"/>
            </w:r>
          </w:hyperlink>
        </w:p>
        <w:p w14:paraId="64B950E7" w14:textId="17944CB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87" w:history="1">
            <w:r w:rsidRPr="00F45DCA">
              <w:rPr>
                <w:rStyle w:val="Lienhypertexte"/>
                <w:noProof/>
              </w:rPr>
              <w:t>21.15.6c Arcs en pierre naturelle CCTB 01.02</w:t>
            </w:r>
            <w:r>
              <w:rPr>
                <w:noProof/>
                <w:webHidden/>
              </w:rPr>
              <w:tab/>
            </w:r>
            <w:r>
              <w:rPr>
                <w:noProof/>
                <w:webHidden/>
              </w:rPr>
              <w:fldChar w:fldCharType="begin"/>
            </w:r>
            <w:r>
              <w:rPr>
                <w:noProof/>
                <w:webHidden/>
              </w:rPr>
              <w:instrText xml:space="preserve"> PAGEREF _Toc220495287 \h </w:instrText>
            </w:r>
            <w:r>
              <w:rPr>
                <w:noProof/>
                <w:webHidden/>
              </w:rPr>
            </w:r>
            <w:r>
              <w:rPr>
                <w:noProof/>
                <w:webHidden/>
              </w:rPr>
              <w:fldChar w:fldCharType="separate"/>
            </w:r>
            <w:r>
              <w:rPr>
                <w:noProof/>
                <w:webHidden/>
              </w:rPr>
              <w:t>189</w:t>
            </w:r>
            <w:r>
              <w:rPr>
                <w:noProof/>
                <w:webHidden/>
              </w:rPr>
              <w:fldChar w:fldCharType="end"/>
            </w:r>
          </w:hyperlink>
        </w:p>
        <w:p w14:paraId="34618FA0" w14:textId="51721FBB"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288" w:history="1">
            <w:r w:rsidRPr="00F45DCA">
              <w:rPr>
                <w:rStyle w:val="Lienhypertexte"/>
                <w:noProof/>
              </w:rPr>
              <w:t>21.2 Maçonneries non portantes CCTB 01.09</w:t>
            </w:r>
            <w:r>
              <w:rPr>
                <w:noProof/>
                <w:webHidden/>
              </w:rPr>
              <w:tab/>
            </w:r>
            <w:r>
              <w:rPr>
                <w:noProof/>
                <w:webHidden/>
              </w:rPr>
              <w:fldChar w:fldCharType="begin"/>
            </w:r>
            <w:r>
              <w:rPr>
                <w:noProof/>
                <w:webHidden/>
              </w:rPr>
              <w:instrText xml:space="preserve"> PAGEREF _Toc220495288 \h </w:instrText>
            </w:r>
            <w:r>
              <w:rPr>
                <w:noProof/>
                <w:webHidden/>
              </w:rPr>
            </w:r>
            <w:r>
              <w:rPr>
                <w:noProof/>
                <w:webHidden/>
              </w:rPr>
              <w:fldChar w:fldCharType="separate"/>
            </w:r>
            <w:r>
              <w:rPr>
                <w:noProof/>
                <w:webHidden/>
              </w:rPr>
              <w:t>189</w:t>
            </w:r>
            <w:r>
              <w:rPr>
                <w:noProof/>
                <w:webHidden/>
              </w:rPr>
              <w:fldChar w:fldCharType="end"/>
            </w:r>
          </w:hyperlink>
        </w:p>
        <w:p w14:paraId="1DCFC192" w14:textId="6155582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289" w:history="1">
            <w:r w:rsidRPr="00F45DCA">
              <w:rPr>
                <w:rStyle w:val="Lienhypertexte"/>
                <w:noProof/>
              </w:rPr>
              <w:t>21.21 Maçonneries non portantes en briques CCTB 01.02</w:t>
            </w:r>
            <w:r>
              <w:rPr>
                <w:noProof/>
                <w:webHidden/>
              </w:rPr>
              <w:tab/>
            </w:r>
            <w:r>
              <w:rPr>
                <w:noProof/>
                <w:webHidden/>
              </w:rPr>
              <w:fldChar w:fldCharType="begin"/>
            </w:r>
            <w:r>
              <w:rPr>
                <w:noProof/>
                <w:webHidden/>
              </w:rPr>
              <w:instrText xml:space="preserve"> PAGEREF _Toc220495289 \h </w:instrText>
            </w:r>
            <w:r>
              <w:rPr>
                <w:noProof/>
                <w:webHidden/>
              </w:rPr>
            </w:r>
            <w:r>
              <w:rPr>
                <w:noProof/>
                <w:webHidden/>
              </w:rPr>
              <w:fldChar w:fldCharType="separate"/>
            </w:r>
            <w:r>
              <w:rPr>
                <w:noProof/>
                <w:webHidden/>
              </w:rPr>
              <w:t>190</w:t>
            </w:r>
            <w:r>
              <w:rPr>
                <w:noProof/>
                <w:webHidden/>
              </w:rPr>
              <w:fldChar w:fldCharType="end"/>
            </w:r>
          </w:hyperlink>
        </w:p>
        <w:p w14:paraId="4641CCB7" w14:textId="6F12BAB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90" w:history="1">
            <w:r w:rsidRPr="00F45DCA">
              <w:rPr>
                <w:rStyle w:val="Lienhypertexte"/>
                <w:noProof/>
              </w:rPr>
              <w:t>21.21.1 Maçonneries non portantes en briques de terre cuite CCTB 01.11</w:t>
            </w:r>
            <w:r>
              <w:rPr>
                <w:noProof/>
                <w:webHidden/>
              </w:rPr>
              <w:tab/>
            </w:r>
            <w:r>
              <w:rPr>
                <w:noProof/>
                <w:webHidden/>
              </w:rPr>
              <w:fldChar w:fldCharType="begin"/>
            </w:r>
            <w:r>
              <w:rPr>
                <w:noProof/>
                <w:webHidden/>
              </w:rPr>
              <w:instrText xml:space="preserve"> PAGEREF _Toc220495290 \h </w:instrText>
            </w:r>
            <w:r>
              <w:rPr>
                <w:noProof/>
                <w:webHidden/>
              </w:rPr>
            </w:r>
            <w:r>
              <w:rPr>
                <w:noProof/>
                <w:webHidden/>
              </w:rPr>
              <w:fldChar w:fldCharType="separate"/>
            </w:r>
            <w:r>
              <w:rPr>
                <w:noProof/>
                <w:webHidden/>
              </w:rPr>
              <w:t>190</w:t>
            </w:r>
            <w:r>
              <w:rPr>
                <w:noProof/>
                <w:webHidden/>
              </w:rPr>
              <w:fldChar w:fldCharType="end"/>
            </w:r>
          </w:hyperlink>
        </w:p>
        <w:p w14:paraId="655757AD" w14:textId="668310B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91" w:history="1">
            <w:r w:rsidRPr="00F45DCA">
              <w:rPr>
                <w:rStyle w:val="Lienhypertexte"/>
                <w:noProof/>
              </w:rPr>
              <w:t>21.21.1a Maçonneries non portantes en briques de terre cuite à maçonner CCTB 01.12</w:t>
            </w:r>
            <w:r>
              <w:rPr>
                <w:noProof/>
                <w:webHidden/>
              </w:rPr>
              <w:tab/>
            </w:r>
            <w:r>
              <w:rPr>
                <w:noProof/>
                <w:webHidden/>
              </w:rPr>
              <w:fldChar w:fldCharType="begin"/>
            </w:r>
            <w:r>
              <w:rPr>
                <w:noProof/>
                <w:webHidden/>
              </w:rPr>
              <w:instrText xml:space="preserve"> PAGEREF _Toc220495291 \h </w:instrText>
            </w:r>
            <w:r>
              <w:rPr>
                <w:noProof/>
                <w:webHidden/>
              </w:rPr>
            </w:r>
            <w:r>
              <w:rPr>
                <w:noProof/>
                <w:webHidden/>
              </w:rPr>
              <w:fldChar w:fldCharType="separate"/>
            </w:r>
            <w:r>
              <w:rPr>
                <w:noProof/>
                <w:webHidden/>
              </w:rPr>
              <w:t>190</w:t>
            </w:r>
            <w:r>
              <w:rPr>
                <w:noProof/>
                <w:webHidden/>
              </w:rPr>
              <w:fldChar w:fldCharType="end"/>
            </w:r>
          </w:hyperlink>
        </w:p>
        <w:p w14:paraId="62CB87D3" w14:textId="30B419B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92" w:history="1">
            <w:r w:rsidRPr="00F45DCA">
              <w:rPr>
                <w:rStyle w:val="Lienhypertexte"/>
                <w:noProof/>
              </w:rPr>
              <w:t>21.21.1b Maçonneries non portantes en briques de terre cuite à coller CCTB 01.11</w:t>
            </w:r>
            <w:r>
              <w:rPr>
                <w:noProof/>
                <w:webHidden/>
              </w:rPr>
              <w:tab/>
            </w:r>
            <w:r>
              <w:rPr>
                <w:noProof/>
                <w:webHidden/>
              </w:rPr>
              <w:fldChar w:fldCharType="begin"/>
            </w:r>
            <w:r>
              <w:rPr>
                <w:noProof/>
                <w:webHidden/>
              </w:rPr>
              <w:instrText xml:space="preserve"> PAGEREF _Toc220495292 \h </w:instrText>
            </w:r>
            <w:r>
              <w:rPr>
                <w:noProof/>
                <w:webHidden/>
              </w:rPr>
            </w:r>
            <w:r>
              <w:rPr>
                <w:noProof/>
                <w:webHidden/>
              </w:rPr>
              <w:fldChar w:fldCharType="separate"/>
            </w:r>
            <w:r>
              <w:rPr>
                <w:noProof/>
                <w:webHidden/>
              </w:rPr>
              <w:t>192</w:t>
            </w:r>
            <w:r>
              <w:rPr>
                <w:noProof/>
                <w:webHidden/>
              </w:rPr>
              <w:fldChar w:fldCharType="end"/>
            </w:r>
          </w:hyperlink>
        </w:p>
        <w:p w14:paraId="35268CC9" w14:textId="7813A59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93" w:history="1">
            <w:r w:rsidRPr="00F45DCA">
              <w:rPr>
                <w:rStyle w:val="Lienhypertexte"/>
                <w:noProof/>
              </w:rPr>
              <w:t>21.21.1c Maçonneries non portantes en briques de terre cuite de réemploi CCTB 01.12</w:t>
            </w:r>
            <w:r>
              <w:rPr>
                <w:noProof/>
                <w:webHidden/>
              </w:rPr>
              <w:tab/>
            </w:r>
            <w:r>
              <w:rPr>
                <w:noProof/>
                <w:webHidden/>
              </w:rPr>
              <w:fldChar w:fldCharType="begin"/>
            </w:r>
            <w:r>
              <w:rPr>
                <w:noProof/>
                <w:webHidden/>
              </w:rPr>
              <w:instrText xml:space="preserve"> PAGEREF _Toc220495293 \h </w:instrText>
            </w:r>
            <w:r>
              <w:rPr>
                <w:noProof/>
                <w:webHidden/>
              </w:rPr>
            </w:r>
            <w:r>
              <w:rPr>
                <w:noProof/>
                <w:webHidden/>
              </w:rPr>
              <w:fldChar w:fldCharType="separate"/>
            </w:r>
            <w:r>
              <w:rPr>
                <w:noProof/>
                <w:webHidden/>
              </w:rPr>
              <w:t>194</w:t>
            </w:r>
            <w:r>
              <w:rPr>
                <w:noProof/>
                <w:webHidden/>
              </w:rPr>
              <w:fldChar w:fldCharType="end"/>
            </w:r>
          </w:hyperlink>
        </w:p>
        <w:p w14:paraId="22F3BA69" w14:textId="48269C8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94" w:history="1">
            <w:r w:rsidRPr="00F45DCA">
              <w:rPr>
                <w:rStyle w:val="Lienhypertexte"/>
                <w:noProof/>
              </w:rPr>
              <w:t>21.21.2 Maçonneries non portantes en briques de béton CCTB 01.12</w:t>
            </w:r>
            <w:r>
              <w:rPr>
                <w:noProof/>
                <w:webHidden/>
              </w:rPr>
              <w:tab/>
            </w:r>
            <w:r>
              <w:rPr>
                <w:noProof/>
                <w:webHidden/>
              </w:rPr>
              <w:fldChar w:fldCharType="begin"/>
            </w:r>
            <w:r>
              <w:rPr>
                <w:noProof/>
                <w:webHidden/>
              </w:rPr>
              <w:instrText xml:space="preserve"> PAGEREF _Toc220495294 \h </w:instrText>
            </w:r>
            <w:r>
              <w:rPr>
                <w:noProof/>
                <w:webHidden/>
              </w:rPr>
            </w:r>
            <w:r>
              <w:rPr>
                <w:noProof/>
                <w:webHidden/>
              </w:rPr>
              <w:fldChar w:fldCharType="separate"/>
            </w:r>
            <w:r>
              <w:rPr>
                <w:noProof/>
                <w:webHidden/>
              </w:rPr>
              <w:t>196</w:t>
            </w:r>
            <w:r>
              <w:rPr>
                <w:noProof/>
                <w:webHidden/>
              </w:rPr>
              <w:fldChar w:fldCharType="end"/>
            </w:r>
          </w:hyperlink>
        </w:p>
        <w:p w14:paraId="7B431B3E" w14:textId="640A5BF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95" w:history="1">
            <w:r w:rsidRPr="00F45DCA">
              <w:rPr>
                <w:rStyle w:val="Lienhypertexte"/>
                <w:noProof/>
              </w:rPr>
              <w:t>21.21.2a Maçonneries non portantes en briques de béton à maçonner CCTB 01.13</w:t>
            </w:r>
            <w:r>
              <w:rPr>
                <w:noProof/>
                <w:webHidden/>
              </w:rPr>
              <w:tab/>
            </w:r>
            <w:r>
              <w:rPr>
                <w:noProof/>
                <w:webHidden/>
              </w:rPr>
              <w:fldChar w:fldCharType="begin"/>
            </w:r>
            <w:r>
              <w:rPr>
                <w:noProof/>
                <w:webHidden/>
              </w:rPr>
              <w:instrText xml:space="preserve"> PAGEREF _Toc220495295 \h </w:instrText>
            </w:r>
            <w:r>
              <w:rPr>
                <w:noProof/>
                <w:webHidden/>
              </w:rPr>
            </w:r>
            <w:r>
              <w:rPr>
                <w:noProof/>
                <w:webHidden/>
              </w:rPr>
              <w:fldChar w:fldCharType="separate"/>
            </w:r>
            <w:r>
              <w:rPr>
                <w:noProof/>
                <w:webHidden/>
              </w:rPr>
              <w:t>197</w:t>
            </w:r>
            <w:r>
              <w:rPr>
                <w:noProof/>
                <w:webHidden/>
              </w:rPr>
              <w:fldChar w:fldCharType="end"/>
            </w:r>
          </w:hyperlink>
        </w:p>
        <w:p w14:paraId="58791634" w14:textId="5E1E089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96" w:history="1">
            <w:r w:rsidRPr="00F45DCA">
              <w:rPr>
                <w:rStyle w:val="Lienhypertexte"/>
                <w:noProof/>
              </w:rPr>
              <w:t>21.21.2b Maçonneries non portantes en briques de béton à coller CCTB 01.13</w:t>
            </w:r>
            <w:r>
              <w:rPr>
                <w:noProof/>
                <w:webHidden/>
              </w:rPr>
              <w:tab/>
            </w:r>
            <w:r>
              <w:rPr>
                <w:noProof/>
                <w:webHidden/>
              </w:rPr>
              <w:fldChar w:fldCharType="begin"/>
            </w:r>
            <w:r>
              <w:rPr>
                <w:noProof/>
                <w:webHidden/>
              </w:rPr>
              <w:instrText xml:space="preserve"> PAGEREF _Toc220495296 \h </w:instrText>
            </w:r>
            <w:r>
              <w:rPr>
                <w:noProof/>
                <w:webHidden/>
              </w:rPr>
            </w:r>
            <w:r>
              <w:rPr>
                <w:noProof/>
                <w:webHidden/>
              </w:rPr>
              <w:fldChar w:fldCharType="separate"/>
            </w:r>
            <w:r>
              <w:rPr>
                <w:noProof/>
                <w:webHidden/>
              </w:rPr>
              <w:t>199</w:t>
            </w:r>
            <w:r>
              <w:rPr>
                <w:noProof/>
                <w:webHidden/>
              </w:rPr>
              <w:fldChar w:fldCharType="end"/>
            </w:r>
          </w:hyperlink>
        </w:p>
        <w:p w14:paraId="3855AC52" w14:textId="3D2E6E3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97" w:history="1">
            <w:r w:rsidRPr="00F45DCA">
              <w:rPr>
                <w:rStyle w:val="Lienhypertexte"/>
                <w:noProof/>
              </w:rPr>
              <w:t>21.21.2c Maçonneries non portantes en briques de béton avec système de dosage pour liant hydraulique CCTB 01.13</w:t>
            </w:r>
            <w:r>
              <w:rPr>
                <w:noProof/>
                <w:webHidden/>
              </w:rPr>
              <w:tab/>
            </w:r>
            <w:r>
              <w:rPr>
                <w:noProof/>
                <w:webHidden/>
              </w:rPr>
              <w:fldChar w:fldCharType="begin"/>
            </w:r>
            <w:r>
              <w:rPr>
                <w:noProof/>
                <w:webHidden/>
              </w:rPr>
              <w:instrText xml:space="preserve"> PAGEREF _Toc220495297 \h </w:instrText>
            </w:r>
            <w:r>
              <w:rPr>
                <w:noProof/>
                <w:webHidden/>
              </w:rPr>
            </w:r>
            <w:r>
              <w:rPr>
                <w:noProof/>
                <w:webHidden/>
              </w:rPr>
              <w:fldChar w:fldCharType="separate"/>
            </w:r>
            <w:r>
              <w:rPr>
                <w:noProof/>
                <w:webHidden/>
              </w:rPr>
              <w:t>201</w:t>
            </w:r>
            <w:r>
              <w:rPr>
                <w:noProof/>
                <w:webHidden/>
              </w:rPr>
              <w:fldChar w:fldCharType="end"/>
            </w:r>
          </w:hyperlink>
        </w:p>
        <w:p w14:paraId="49C0A10D" w14:textId="6C3C327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298" w:history="1">
            <w:r w:rsidRPr="00F45DCA">
              <w:rPr>
                <w:rStyle w:val="Lienhypertexte"/>
                <w:noProof/>
              </w:rPr>
              <w:t>21.21.3 Maçonneries non portantes en briques de silico-calcaire CCTB 01.12</w:t>
            </w:r>
            <w:r>
              <w:rPr>
                <w:noProof/>
                <w:webHidden/>
              </w:rPr>
              <w:tab/>
            </w:r>
            <w:r>
              <w:rPr>
                <w:noProof/>
                <w:webHidden/>
              </w:rPr>
              <w:fldChar w:fldCharType="begin"/>
            </w:r>
            <w:r>
              <w:rPr>
                <w:noProof/>
                <w:webHidden/>
              </w:rPr>
              <w:instrText xml:space="preserve"> PAGEREF _Toc220495298 \h </w:instrText>
            </w:r>
            <w:r>
              <w:rPr>
                <w:noProof/>
                <w:webHidden/>
              </w:rPr>
            </w:r>
            <w:r>
              <w:rPr>
                <w:noProof/>
                <w:webHidden/>
              </w:rPr>
              <w:fldChar w:fldCharType="separate"/>
            </w:r>
            <w:r>
              <w:rPr>
                <w:noProof/>
                <w:webHidden/>
              </w:rPr>
              <w:t>203</w:t>
            </w:r>
            <w:r>
              <w:rPr>
                <w:noProof/>
                <w:webHidden/>
              </w:rPr>
              <w:fldChar w:fldCharType="end"/>
            </w:r>
          </w:hyperlink>
        </w:p>
        <w:p w14:paraId="7DEF52B3" w14:textId="187C81F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299" w:history="1">
            <w:r w:rsidRPr="00F45DCA">
              <w:rPr>
                <w:rStyle w:val="Lienhypertexte"/>
                <w:noProof/>
              </w:rPr>
              <w:t>21.21.3a Maçonneries non portantes en briques de silico-calcaire à maçonner CCTB 01.12</w:t>
            </w:r>
            <w:r>
              <w:rPr>
                <w:noProof/>
                <w:webHidden/>
              </w:rPr>
              <w:tab/>
            </w:r>
            <w:r>
              <w:rPr>
                <w:noProof/>
                <w:webHidden/>
              </w:rPr>
              <w:fldChar w:fldCharType="begin"/>
            </w:r>
            <w:r>
              <w:rPr>
                <w:noProof/>
                <w:webHidden/>
              </w:rPr>
              <w:instrText xml:space="preserve"> PAGEREF _Toc220495299 \h </w:instrText>
            </w:r>
            <w:r>
              <w:rPr>
                <w:noProof/>
                <w:webHidden/>
              </w:rPr>
            </w:r>
            <w:r>
              <w:rPr>
                <w:noProof/>
                <w:webHidden/>
              </w:rPr>
              <w:fldChar w:fldCharType="separate"/>
            </w:r>
            <w:r>
              <w:rPr>
                <w:noProof/>
                <w:webHidden/>
              </w:rPr>
              <w:t>204</w:t>
            </w:r>
            <w:r>
              <w:rPr>
                <w:noProof/>
                <w:webHidden/>
              </w:rPr>
              <w:fldChar w:fldCharType="end"/>
            </w:r>
          </w:hyperlink>
        </w:p>
        <w:p w14:paraId="61449B34" w14:textId="6EF718F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00" w:history="1">
            <w:r w:rsidRPr="00F45DCA">
              <w:rPr>
                <w:rStyle w:val="Lienhypertexte"/>
                <w:noProof/>
              </w:rPr>
              <w:t>21.21.3b Maçonneries non portantes en briques de silico-calcaire à coller CCTB 01.12</w:t>
            </w:r>
            <w:r>
              <w:rPr>
                <w:noProof/>
                <w:webHidden/>
              </w:rPr>
              <w:tab/>
            </w:r>
            <w:r>
              <w:rPr>
                <w:noProof/>
                <w:webHidden/>
              </w:rPr>
              <w:fldChar w:fldCharType="begin"/>
            </w:r>
            <w:r>
              <w:rPr>
                <w:noProof/>
                <w:webHidden/>
              </w:rPr>
              <w:instrText xml:space="preserve"> PAGEREF _Toc220495300 \h </w:instrText>
            </w:r>
            <w:r>
              <w:rPr>
                <w:noProof/>
                <w:webHidden/>
              </w:rPr>
            </w:r>
            <w:r>
              <w:rPr>
                <w:noProof/>
                <w:webHidden/>
              </w:rPr>
              <w:fldChar w:fldCharType="separate"/>
            </w:r>
            <w:r>
              <w:rPr>
                <w:noProof/>
                <w:webHidden/>
              </w:rPr>
              <w:t>206</w:t>
            </w:r>
            <w:r>
              <w:rPr>
                <w:noProof/>
                <w:webHidden/>
              </w:rPr>
              <w:fldChar w:fldCharType="end"/>
            </w:r>
          </w:hyperlink>
        </w:p>
        <w:p w14:paraId="20031599" w14:textId="4CE3913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301" w:history="1">
            <w:r w:rsidRPr="00F45DCA">
              <w:rPr>
                <w:rStyle w:val="Lienhypertexte"/>
                <w:noProof/>
              </w:rPr>
              <w:t>21.22 Maçonneries non portantes en blocs CCTB 01.02</w:t>
            </w:r>
            <w:r>
              <w:rPr>
                <w:noProof/>
                <w:webHidden/>
              </w:rPr>
              <w:tab/>
            </w:r>
            <w:r>
              <w:rPr>
                <w:noProof/>
                <w:webHidden/>
              </w:rPr>
              <w:fldChar w:fldCharType="begin"/>
            </w:r>
            <w:r>
              <w:rPr>
                <w:noProof/>
                <w:webHidden/>
              </w:rPr>
              <w:instrText xml:space="preserve"> PAGEREF _Toc220495301 \h </w:instrText>
            </w:r>
            <w:r>
              <w:rPr>
                <w:noProof/>
                <w:webHidden/>
              </w:rPr>
            </w:r>
            <w:r>
              <w:rPr>
                <w:noProof/>
                <w:webHidden/>
              </w:rPr>
              <w:fldChar w:fldCharType="separate"/>
            </w:r>
            <w:r>
              <w:rPr>
                <w:noProof/>
                <w:webHidden/>
              </w:rPr>
              <w:t>209</w:t>
            </w:r>
            <w:r>
              <w:rPr>
                <w:noProof/>
                <w:webHidden/>
              </w:rPr>
              <w:fldChar w:fldCharType="end"/>
            </w:r>
          </w:hyperlink>
        </w:p>
        <w:p w14:paraId="31606427" w14:textId="3C17BCA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02" w:history="1">
            <w:r w:rsidRPr="00F45DCA">
              <w:rPr>
                <w:rStyle w:val="Lienhypertexte"/>
                <w:noProof/>
              </w:rPr>
              <w:t>21.22.1 Maçonneries non portantes en blocs treillis de terre cuite CCTB 01.11</w:t>
            </w:r>
            <w:r>
              <w:rPr>
                <w:noProof/>
                <w:webHidden/>
              </w:rPr>
              <w:tab/>
            </w:r>
            <w:r>
              <w:rPr>
                <w:noProof/>
                <w:webHidden/>
              </w:rPr>
              <w:fldChar w:fldCharType="begin"/>
            </w:r>
            <w:r>
              <w:rPr>
                <w:noProof/>
                <w:webHidden/>
              </w:rPr>
              <w:instrText xml:space="preserve"> PAGEREF _Toc220495302 \h </w:instrText>
            </w:r>
            <w:r>
              <w:rPr>
                <w:noProof/>
                <w:webHidden/>
              </w:rPr>
            </w:r>
            <w:r>
              <w:rPr>
                <w:noProof/>
                <w:webHidden/>
              </w:rPr>
              <w:fldChar w:fldCharType="separate"/>
            </w:r>
            <w:r>
              <w:rPr>
                <w:noProof/>
                <w:webHidden/>
              </w:rPr>
              <w:t>209</w:t>
            </w:r>
            <w:r>
              <w:rPr>
                <w:noProof/>
                <w:webHidden/>
              </w:rPr>
              <w:fldChar w:fldCharType="end"/>
            </w:r>
          </w:hyperlink>
        </w:p>
        <w:p w14:paraId="59EEF047" w14:textId="1941F94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03" w:history="1">
            <w:r w:rsidRPr="00F45DCA">
              <w:rPr>
                <w:rStyle w:val="Lienhypertexte"/>
                <w:noProof/>
              </w:rPr>
              <w:t>21.22.1a Maçonneries non portantes en blocs treillis de terre cuite à maçonner CCTB 01.11</w:t>
            </w:r>
            <w:r>
              <w:rPr>
                <w:noProof/>
                <w:webHidden/>
              </w:rPr>
              <w:tab/>
            </w:r>
            <w:r>
              <w:rPr>
                <w:noProof/>
                <w:webHidden/>
              </w:rPr>
              <w:fldChar w:fldCharType="begin"/>
            </w:r>
            <w:r>
              <w:rPr>
                <w:noProof/>
                <w:webHidden/>
              </w:rPr>
              <w:instrText xml:space="preserve"> PAGEREF _Toc220495303 \h </w:instrText>
            </w:r>
            <w:r>
              <w:rPr>
                <w:noProof/>
                <w:webHidden/>
              </w:rPr>
            </w:r>
            <w:r>
              <w:rPr>
                <w:noProof/>
                <w:webHidden/>
              </w:rPr>
              <w:fldChar w:fldCharType="separate"/>
            </w:r>
            <w:r>
              <w:rPr>
                <w:noProof/>
                <w:webHidden/>
              </w:rPr>
              <w:t>209</w:t>
            </w:r>
            <w:r>
              <w:rPr>
                <w:noProof/>
                <w:webHidden/>
              </w:rPr>
              <w:fldChar w:fldCharType="end"/>
            </w:r>
          </w:hyperlink>
        </w:p>
        <w:p w14:paraId="3E84B1E7" w14:textId="52BFE8F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04" w:history="1">
            <w:r w:rsidRPr="00F45DCA">
              <w:rPr>
                <w:rStyle w:val="Lienhypertexte"/>
                <w:noProof/>
              </w:rPr>
              <w:t>21.22.1b Maçonneries non portantes en blocs treillis de terre cuite à coller CCTB 01.12</w:t>
            </w:r>
            <w:r>
              <w:rPr>
                <w:noProof/>
                <w:webHidden/>
              </w:rPr>
              <w:tab/>
            </w:r>
            <w:r>
              <w:rPr>
                <w:noProof/>
                <w:webHidden/>
              </w:rPr>
              <w:fldChar w:fldCharType="begin"/>
            </w:r>
            <w:r>
              <w:rPr>
                <w:noProof/>
                <w:webHidden/>
              </w:rPr>
              <w:instrText xml:space="preserve"> PAGEREF _Toc220495304 \h </w:instrText>
            </w:r>
            <w:r>
              <w:rPr>
                <w:noProof/>
                <w:webHidden/>
              </w:rPr>
            </w:r>
            <w:r>
              <w:rPr>
                <w:noProof/>
                <w:webHidden/>
              </w:rPr>
              <w:fldChar w:fldCharType="separate"/>
            </w:r>
            <w:r>
              <w:rPr>
                <w:noProof/>
                <w:webHidden/>
              </w:rPr>
              <w:t>211</w:t>
            </w:r>
            <w:r>
              <w:rPr>
                <w:noProof/>
                <w:webHidden/>
              </w:rPr>
              <w:fldChar w:fldCharType="end"/>
            </w:r>
          </w:hyperlink>
        </w:p>
        <w:p w14:paraId="03A9CA28" w14:textId="51C17DD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05" w:history="1">
            <w:r w:rsidRPr="00F45DCA">
              <w:rPr>
                <w:rStyle w:val="Lienhypertexte"/>
                <w:noProof/>
              </w:rPr>
              <w:t>21.22.1c Maçonneries non portantes en blocs treillis de terre cuite à coller avec colle PU uni-composante CCTB 01.11</w:t>
            </w:r>
            <w:r>
              <w:rPr>
                <w:noProof/>
                <w:webHidden/>
              </w:rPr>
              <w:tab/>
            </w:r>
            <w:r>
              <w:rPr>
                <w:noProof/>
                <w:webHidden/>
              </w:rPr>
              <w:fldChar w:fldCharType="begin"/>
            </w:r>
            <w:r>
              <w:rPr>
                <w:noProof/>
                <w:webHidden/>
              </w:rPr>
              <w:instrText xml:space="preserve"> PAGEREF _Toc220495305 \h </w:instrText>
            </w:r>
            <w:r>
              <w:rPr>
                <w:noProof/>
                <w:webHidden/>
              </w:rPr>
            </w:r>
            <w:r>
              <w:rPr>
                <w:noProof/>
                <w:webHidden/>
              </w:rPr>
              <w:fldChar w:fldCharType="separate"/>
            </w:r>
            <w:r>
              <w:rPr>
                <w:noProof/>
                <w:webHidden/>
              </w:rPr>
              <w:t>213</w:t>
            </w:r>
            <w:r>
              <w:rPr>
                <w:noProof/>
                <w:webHidden/>
              </w:rPr>
              <w:fldChar w:fldCharType="end"/>
            </w:r>
          </w:hyperlink>
        </w:p>
        <w:p w14:paraId="23BD0ED7" w14:textId="571F259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06" w:history="1">
            <w:r w:rsidRPr="00F45DCA">
              <w:rPr>
                <w:rStyle w:val="Lienhypertexte"/>
                <w:noProof/>
              </w:rPr>
              <w:t>21.22.2 Maçonneries non portantes en blocs de béton CCTB 01.11</w:t>
            </w:r>
            <w:r>
              <w:rPr>
                <w:noProof/>
                <w:webHidden/>
              </w:rPr>
              <w:tab/>
            </w:r>
            <w:r>
              <w:rPr>
                <w:noProof/>
                <w:webHidden/>
              </w:rPr>
              <w:fldChar w:fldCharType="begin"/>
            </w:r>
            <w:r>
              <w:rPr>
                <w:noProof/>
                <w:webHidden/>
              </w:rPr>
              <w:instrText xml:space="preserve"> PAGEREF _Toc220495306 \h </w:instrText>
            </w:r>
            <w:r>
              <w:rPr>
                <w:noProof/>
                <w:webHidden/>
              </w:rPr>
            </w:r>
            <w:r>
              <w:rPr>
                <w:noProof/>
                <w:webHidden/>
              </w:rPr>
              <w:fldChar w:fldCharType="separate"/>
            </w:r>
            <w:r>
              <w:rPr>
                <w:noProof/>
                <w:webHidden/>
              </w:rPr>
              <w:t>216</w:t>
            </w:r>
            <w:r>
              <w:rPr>
                <w:noProof/>
                <w:webHidden/>
              </w:rPr>
              <w:fldChar w:fldCharType="end"/>
            </w:r>
          </w:hyperlink>
        </w:p>
        <w:p w14:paraId="26EF0B53" w14:textId="60363B5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07" w:history="1">
            <w:r w:rsidRPr="00F45DCA">
              <w:rPr>
                <w:rStyle w:val="Lienhypertexte"/>
                <w:noProof/>
              </w:rPr>
              <w:t>21.22.2a Maçonneries non portantes en blocs de béton pleins à maçonner CCTB 01.13</w:t>
            </w:r>
            <w:r>
              <w:rPr>
                <w:noProof/>
                <w:webHidden/>
              </w:rPr>
              <w:tab/>
            </w:r>
            <w:r>
              <w:rPr>
                <w:noProof/>
                <w:webHidden/>
              </w:rPr>
              <w:fldChar w:fldCharType="begin"/>
            </w:r>
            <w:r>
              <w:rPr>
                <w:noProof/>
                <w:webHidden/>
              </w:rPr>
              <w:instrText xml:space="preserve"> PAGEREF _Toc220495307 \h </w:instrText>
            </w:r>
            <w:r>
              <w:rPr>
                <w:noProof/>
                <w:webHidden/>
              </w:rPr>
            </w:r>
            <w:r>
              <w:rPr>
                <w:noProof/>
                <w:webHidden/>
              </w:rPr>
              <w:fldChar w:fldCharType="separate"/>
            </w:r>
            <w:r>
              <w:rPr>
                <w:noProof/>
                <w:webHidden/>
              </w:rPr>
              <w:t>217</w:t>
            </w:r>
            <w:r>
              <w:rPr>
                <w:noProof/>
                <w:webHidden/>
              </w:rPr>
              <w:fldChar w:fldCharType="end"/>
            </w:r>
          </w:hyperlink>
        </w:p>
        <w:p w14:paraId="3B9231FD" w14:textId="7A34756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08" w:history="1">
            <w:r w:rsidRPr="00F45DCA">
              <w:rPr>
                <w:rStyle w:val="Lienhypertexte"/>
                <w:noProof/>
              </w:rPr>
              <w:t>21.22.2b Maçonneries non portantes en blocs de béton pleins à coller CCTB 01.13</w:t>
            </w:r>
            <w:r>
              <w:rPr>
                <w:noProof/>
                <w:webHidden/>
              </w:rPr>
              <w:tab/>
            </w:r>
            <w:r>
              <w:rPr>
                <w:noProof/>
                <w:webHidden/>
              </w:rPr>
              <w:fldChar w:fldCharType="begin"/>
            </w:r>
            <w:r>
              <w:rPr>
                <w:noProof/>
                <w:webHidden/>
              </w:rPr>
              <w:instrText xml:space="preserve"> PAGEREF _Toc220495308 \h </w:instrText>
            </w:r>
            <w:r>
              <w:rPr>
                <w:noProof/>
                <w:webHidden/>
              </w:rPr>
            </w:r>
            <w:r>
              <w:rPr>
                <w:noProof/>
                <w:webHidden/>
              </w:rPr>
              <w:fldChar w:fldCharType="separate"/>
            </w:r>
            <w:r>
              <w:rPr>
                <w:noProof/>
                <w:webHidden/>
              </w:rPr>
              <w:t>219</w:t>
            </w:r>
            <w:r>
              <w:rPr>
                <w:noProof/>
                <w:webHidden/>
              </w:rPr>
              <w:fldChar w:fldCharType="end"/>
            </w:r>
          </w:hyperlink>
        </w:p>
        <w:p w14:paraId="729491A5" w14:textId="3672927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09" w:history="1">
            <w:r w:rsidRPr="00F45DCA">
              <w:rPr>
                <w:rStyle w:val="Lienhypertexte"/>
                <w:noProof/>
              </w:rPr>
              <w:t>21.22.2c Maçonneries non portantes en blocs de béton creux à maçonner CCTB 01.13</w:t>
            </w:r>
            <w:r>
              <w:rPr>
                <w:noProof/>
                <w:webHidden/>
              </w:rPr>
              <w:tab/>
            </w:r>
            <w:r>
              <w:rPr>
                <w:noProof/>
                <w:webHidden/>
              </w:rPr>
              <w:fldChar w:fldCharType="begin"/>
            </w:r>
            <w:r>
              <w:rPr>
                <w:noProof/>
                <w:webHidden/>
              </w:rPr>
              <w:instrText xml:space="preserve"> PAGEREF _Toc220495309 \h </w:instrText>
            </w:r>
            <w:r>
              <w:rPr>
                <w:noProof/>
                <w:webHidden/>
              </w:rPr>
            </w:r>
            <w:r>
              <w:rPr>
                <w:noProof/>
                <w:webHidden/>
              </w:rPr>
              <w:fldChar w:fldCharType="separate"/>
            </w:r>
            <w:r>
              <w:rPr>
                <w:noProof/>
                <w:webHidden/>
              </w:rPr>
              <w:t>221</w:t>
            </w:r>
            <w:r>
              <w:rPr>
                <w:noProof/>
                <w:webHidden/>
              </w:rPr>
              <w:fldChar w:fldCharType="end"/>
            </w:r>
          </w:hyperlink>
        </w:p>
        <w:p w14:paraId="48A465DF" w14:textId="64B2025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10" w:history="1">
            <w:r w:rsidRPr="00F45DCA">
              <w:rPr>
                <w:rStyle w:val="Lienhypertexte"/>
                <w:noProof/>
              </w:rPr>
              <w:t>21.22.2d Maçonneries non portantes en blocs de béton creux à coller CCTB 01.13</w:t>
            </w:r>
            <w:r>
              <w:rPr>
                <w:noProof/>
                <w:webHidden/>
              </w:rPr>
              <w:tab/>
            </w:r>
            <w:r>
              <w:rPr>
                <w:noProof/>
                <w:webHidden/>
              </w:rPr>
              <w:fldChar w:fldCharType="begin"/>
            </w:r>
            <w:r>
              <w:rPr>
                <w:noProof/>
                <w:webHidden/>
              </w:rPr>
              <w:instrText xml:space="preserve"> PAGEREF _Toc220495310 \h </w:instrText>
            </w:r>
            <w:r>
              <w:rPr>
                <w:noProof/>
                <w:webHidden/>
              </w:rPr>
            </w:r>
            <w:r>
              <w:rPr>
                <w:noProof/>
                <w:webHidden/>
              </w:rPr>
              <w:fldChar w:fldCharType="separate"/>
            </w:r>
            <w:r>
              <w:rPr>
                <w:noProof/>
                <w:webHidden/>
              </w:rPr>
              <w:t>223</w:t>
            </w:r>
            <w:r>
              <w:rPr>
                <w:noProof/>
                <w:webHidden/>
              </w:rPr>
              <w:fldChar w:fldCharType="end"/>
            </w:r>
          </w:hyperlink>
        </w:p>
        <w:p w14:paraId="65E4EA76" w14:textId="6DEC727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11" w:history="1">
            <w:r w:rsidRPr="00F45DCA">
              <w:rPr>
                <w:rStyle w:val="Lienhypertexte"/>
                <w:noProof/>
              </w:rPr>
              <w:t>21.22.2e Maçonneries non portantes en blocs de béton à système de dosage pour liant hydraulique CCTB 01.13</w:t>
            </w:r>
            <w:r>
              <w:rPr>
                <w:noProof/>
                <w:webHidden/>
              </w:rPr>
              <w:tab/>
            </w:r>
            <w:r>
              <w:rPr>
                <w:noProof/>
                <w:webHidden/>
              </w:rPr>
              <w:fldChar w:fldCharType="begin"/>
            </w:r>
            <w:r>
              <w:rPr>
                <w:noProof/>
                <w:webHidden/>
              </w:rPr>
              <w:instrText xml:space="preserve"> PAGEREF _Toc220495311 \h </w:instrText>
            </w:r>
            <w:r>
              <w:rPr>
                <w:noProof/>
                <w:webHidden/>
              </w:rPr>
            </w:r>
            <w:r>
              <w:rPr>
                <w:noProof/>
                <w:webHidden/>
              </w:rPr>
              <w:fldChar w:fldCharType="separate"/>
            </w:r>
            <w:r>
              <w:rPr>
                <w:noProof/>
                <w:webHidden/>
              </w:rPr>
              <w:t>225</w:t>
            </w:r>
            <w:r>
              <w:rPr>
                <w:noProof/>
                <w:webHidden/>
              </w:rPr>
              <w:fldChar w:fldCharType="end"/>
            </w:r>
          </w:hyperlink>
        </w:p>
        <w:p w14:paraId="1A039187" w14:textId="0E585BC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12" w:history="1">
            <w:r w:rsidRPr="00F45DCA">
              <w:rPr>
                <w:rStyle w:val="Lienhypertexte"/>
                <w:noProof/>
              </w:rPr>
              <w:t>21.22.2f Maçonneries non portantes en blocs de béton acoustiques CCTB 01.13</w:t>
            </w:r>
            <w:r>
              <w:rPr>
                <w:noProof/>
                <w:webHidden/>
              </w:rPr>
              <w:tab/>
            </w:r>
            <w:r>
              <w:rPr>
                <w:noProof/>
                <w:webHidden/>
              </w:rPr>
              <w:fldChar w:fldCharType="begin"/>
            </w:r>
            <w:r>
              <w:rPr>
                <w:noProof/>
                <w:webHidden/>
              </w:rPr>
              <w:instrText xml:space="preserve"> PAGEREF _Toc220495312 \h </w:instrText>
            </w:r>
            <w:r>
              <w:rPr>
                <w:noProof/>
                <w:webHidden/>
              </w:rPr>
            </w:r>
            <w:r>
              <w:rPr>
                <w:noProof/>
                <w:webHidden/>
              </w:rPr>
              <w:fldChar w:fldCharType="separate"/>
            </w:r>
            <w:r>
              <w:rPr>
                <w:noProof/>
                <w:webHidden/>
              </w:rPr>
              <w:t>227</w:t>
            </w:r>
            <w:r>
              <w:rPr>
                <w:noProof/>
                <w:webHidden/>
              </w:rPr>
              <w:fldChar w:fldCharType="end"/>
            </w:r>
          </w:hyperlink>
        </w:p>
        <w:p w14:paraId="15F2A7A9" w14:textId="499970C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13" w:history="1">
            <w:r w:rsidRPr="00F45DCA">
              <w:rPr>
                <w:rStyle w:val="Lienhypertexte"/>
                <w:noProof/>
              </w:rPr>
              <w:t>21.22.2g Maçonneries non portantes en blocs de coffrage en béton CCTB 01.11</w:t>
            </w:r>
            <w:r>
              <w:rPr>
                <w:noProof/>
                <w:webHidden/>
              </w:rPr>
              <w:tab/>
            </w:r>
            <w:r>
              <w:rPr>
                <w:noProof/>
                <w:webHidden/>
              </w:rPr>
              <w:fldChar w:fldCharType="begin"/>
            </w:r>
            <w:r>
              <w:rPr>
                <w:noProof/>
                <w:webHidden/>
              </w:rPr>
              <w:instrText xml:space="preserve"> PAGEREF _Toc220495313 \h </w:instrText>
            </w:r>
            <w:r>
              <w:rPr>
                <w:noProof/>
                <w:webHidden/>
              </w:rPr>
            </w:r>
            <w:r>
              <w:rPr>
                <w:noProof/>
                <w:webHidden/>
              </w:rPr>
              <w:fldChar w:fldCharType="separate"/>
            </w:r>
            <w:r>
              <w:rPr>
                <w:noProof/>
                <w:webHidden/>
              </w:rPr>
              <w:t>229</w:t>
            </w:r>
            <w:r>
              <w:rPr>
                <w:noProof/>
                <w:webHidden/>
              </w:rPr>
              <w:fldChar w:fldCharType="end"/>
            </w:r>
          </w:hyperlink>
        </w:p>
        <w:p w14:paraId="1916BA0A" w14:textId="2149616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14" w:history="1">
            <w:r w:rsidRPr="00F45DCA">
              <w:rPr>
                <w:rStyle w:val="Lienhypertexte"/>
                <w:noProof/>
              </w:rPr>
              <w:t>21.22.3 Maçonneries non portantes en blocs de silico-calcaire CCTB 01.11</w:t>
            </w:r>
            <w:r>
              <w:rPr>
                <w:noProof/>
                <w:webHidden/>
              </w:rPr>
              <w:tab/>
            </w:r>
            <w:r>
              <w:rPr>
                <w:noProof/>
                <w:webHidden/>
              </w:rPr>
              <w:fldChar w:fldCharType="begin"/>
            </w:r>
            <w:r>
              <w:rPr>
                <w:noProof/>
                <w:webHidden/>
              </w:rPr>
              <w:instrText xml:space="preserve"> PAGEREF _Toc220495314 \h </w:instrText>
            </w:r>
            <w:r>
              <w:rPr>
                <w:noProof/>
                <w:webHidden/>
              </w:rPr>
            </w:r>
            <w:r>
              <w:rPr>
                <w:noProof/>
                <w:webHidden/>
              </w:rPr>
              <w:fldChar w:fldCharType="separate"/>
            </w:r>
            <w:r>
              <w:rPr>
                <w:noProof/>
                <w:webHidden/>
              </w:rPr>
              <w:t>230</w:t>
            </w:r>
            <w:r>
              <w:rPr>
                <w:noProof/>
                <w:webHidden/>
              </w:rPr>
              <w:fldChar w:fldCharType="end"/>
            </w:r>
          </w:hyperlink>
        </w:p>
        <w:p w14:paraId="17EBDB97" w14:textId="3E576D8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15" w:history="1">
            <w:r w:rsidRPr="00F45DCA">
              <w:rPr>
                <w:rStyle w:val="Lienhypertexte"/>
                <w:noProof/>
              </w:rPr>
              <w:t>21.22.3a Maçonneries non portantes en blocs de silico-calcaire à maçonner CCTB 01.12</w:t>
            </w:r>
            <w:r>
              <w:rPr>
                <w:noProof/>
                <w:webHidden/>
              </w:rPr>
              <w:tab/>
            </w:r>
            <w:r>
              <w:rPr>
                <w:noProof/>
                <w:webHidden/>
              </w:rPr>
              <w:fldChar w:fldCharType="begin"/>
            </w:r>
            <w:r>
              <w:rPr>
                <w:noProof/>
                <w:webHidden/>
              </w:rPr>
              <w:instrText xml:space="preserve"> PAGEREF _Toc220495315 \h </w:instrText>
            </w:r>
            <w:r>
              <w:rPr>
                <w:noProof/>
                <w:webHidden/>
              </w:rPr>
            </w:r>
            <w:r>
              <w:rPr>
                <w:noProof/>
                <w:webHidden/>
              </w:rPr>
              <w:fldChar w:fldCharType="separate"/>
            </w:r>
            <w:r>
              <w:rPr>
                <w:noProof/>
                <w:webHidden/>
              </w:rPr>
              <w:t>231</w:t>
            </w:r>
            <w:r>
              <w:rPr>
                <w:noProof/>
                <w:webHidden/>
              </w:rPr>
              <w:fldChar w:fldCharType="end"/>
            </w:r>
          </w:hyperlink>
        </w:p>
        <w:p w14:paraId="4E53EE0C" w14:textId="46674A0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16" w:history="1">
            <w:r w:rsidRPr="00F45DCA">
              <w:rPr>
                <w:rStyle w:val="Lienhypertexte"/>
                <w:noProof/>
              </w:rPr>
              <w:t>21.22.3b Maçonneries non portantes en blocs de silico-calcaire pleins à coller CCTB 01.12</w:t>
            </w:r>
            <w:r>
              <w:rPr>
                <w:noProof/>
                <w:webHidden/>
              </w:rPr>
              <w:tab/>
            </w:r>
            <w:r>
              <w:rPr>
                <w:noProof/>
                <w:webHidden/>
              </w:rPr>
              <w:fldChar w:fldCharType="begin"/>
            </w:r>
            <w:r>
              <w:rPr>
                <w:noProof/>
                <w:webHidden/>
              </w:rPr>
              <w:instrText xml:space="preserve"> PAGEREF _Toc220495316 \h </w:instrText>
            </w:r>
            <w:r>
              <w:rPr>
                <w:noProof/>
                <w:webHidden/>
              </w:rPr>
            </w:r>
            <w:r>
              <w:rPr>
                <w:noProof/>
                <w:webHidden/>
              </w:rPr>
              <w:fldChar w:fldCharType="separate"/>
            </w:r>
            <w:r>
              <w:rPr>
                <w:noProof/>
                <w:webHidden/>
              </w:rPr>
              <w:t>233</w:t>
            </w:r>
            <w:r>
              <w:rPr>
                <w:noProof/>
                <w:webHidden/>
              </w:rPr>
              <w:fldChar w:fldCharType="end"/>
            </w:r>
          </w:hyperlink>
        </w:p>
        <w:p w14:paraId="04E01310" w14:textId="17E5607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17" w:history="1">
            <w:r w:rsidRPr="00F45DCA">
              <w:rPr>
                <w:rStyle w:val="Lienhypertexte"/>
                <w:noProof/>
              </w:rPr>
              <w:t>21.22.3c Maçonneries non portantes en blocs de silico-calcaire creux à coller CCTB 01.12</w:t>
            </w:r>
            <w:r>
              <w:rPr>
                <w:noProof/>
                <w:webHidden/>
              </w:rPr>
              <w:tab/>
            </w:r>
            <w:r>
              <w:rPr>
                <w:noProof/>
                <w:webHidden/>
              </w:rPr>
              <w:fldChar w:fldCharType="begin"/>
            </w:r>
            <w:r>
              <w:rPr>
                <w:noProof/>
                <w:webHidden/>
              </w:rPr>
              <w:instrText xml:space="preserve"> PAGEREF _Toc220495317 \h </w:instrText>
            </w:r>
            <w:r>
              <w:rPr>
                <w:noProof/>
                <w:webHidden/>
              </w:rPr>
            </w:r>
            <w:r>
              <w:rPr>
                <w:noProof/>
                <w:webHidden/>
              </w:rPr>
              <w:fldChar w:fldCharType="separate"/>
            </w:r>
            <w:r>
              <w:rPr>
                <w:noProof/>
                <w:webHidden/>
              </w:rPr>
              <w:t>235</w:t>
            </w:r>
            <w:r>
              <w:rPr>
                <w:noProof/>
                <w:webHidden/>
              </w:rPr>
              <w:fldChar w:fldCharType="end"/>
            </w:r>
          </w:hyperlink>
        </w:p>
        <w:p w14:paraId="2347F1FB" w14:textId="3CF6C4E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18" w:history="1">
            <w:r w:rsidRPr="00F45DCA">
              <w:rPr>
                <w:rStyle w:val="Lienhypertexte"/>
                <w:noProof/>
              </w:rPr>
              <w:t>21.22.3d Maçonneries non portantes en blocs de silico-calcaire apparents à coller avec chanfreins CCTB 01.11</w:t>
            </w:r>
            <w:r>
              <w:rPr>
                <w:noProof/>
                <w:webHidden/>
              </w:rPr>
              <w:tab/>
            </w:r>
            <w:r>
              <w:rPr>
                <w:noProof/>
                <w:webHidden/>
              </w:rPr>
              <w:fldChar w:fldCharType="begin"/>
            </w:r>
            <w:r>
              <w:rPr>
                <w:noProof/>
                <w:webHidden/>
              </w:rPr>
              <w:instrText xml:space="preserve"> PAGEREF _Toc220495318 \h </w:instrText>
            </w:r>
            <w:r>
              <w:rPr>
                <w:noProof/>
                <w:webHidden/>
              </w:rPr>
            </w:r>
            <w:r>
              <w:rPr>
                <w:noProof/>
                <w:webHidden/>
              </w:rPr>
              <w:fldChar w:fldCharType="separate"/>
            </w:r>
            <w:r>
              <w:rPr>
                <w:noProof/>
                <w:webHidden/>
              </w:rPr>
              <w:t>237</w:t>
            </w:r>
            <w:r>
              <w:rPr>
                <w:noProof/>
                <w:webHidden/>
              </w:rPr>
              <w:fldChar w:fldCharType="end"/>
            </w:r>
          </w:hyperlink>
        </w:p>
        <w:p w14:paraId="1A1AE142" w14:textId="68ACE17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19" w:history="1">
            <w:r w:rsidRPr="00F45DCA">
              <w:rPr>
                <w:rStyle w:val="Lienhypertexte"/>
                <w:noProof/>
              </w:rPr>
              <w:t>21.22.4 Maçonneries non portantes en blocs de béton d'argile expansée CCTB 01.11</w:t>
            </w:r>
            <w:r>
              <w:rPr>
                <w:noProof/>
                <w:webHidden/>
              </w:rPr>
              <w:tab/>
            </w:r>
            <w:r>
              <w:rPr>
                <w:noProof/>
                <w:webHidden/>
              </w:rPr>
              <w:fldChar w:fldCharType="begin"/>
            </w:r>
            <w:r>
              <w:rPr>
                <w:noProof/>
                <w:webHidden/>
              </w:rPr>
              <w:instrText xml:space="preserve"> PAGEREF _Toc220495319 \h </w:instrText>
            </w:r>
            <w:r>
              <w:rPr>
                <w:noProof/>
                <w:webHidden/>
              </w:rPr>
            </w:r>
            <w:r>
              <w:rPr>
                <w:noProof/>
                <w:webHidden/>
              </w:rPr>
              <w:fldChar w:fldCharType="separate"/>
            </w:r>
            <w:r>
              <w:rPr>
                <w:noProof/>
                <w:webHidden/>
              </w:rPr>
              <w:t>240</w:t>
            </w:r>
            <w:r>
              <w:rPr>
                <w:noProof/>
                <w:webHidden/>
              </w:rPr>
              <w:fldChar w:fldCharType="end"/>
            </w:r>
          </w:hyperlink>
        </w:p>
        <w:p w14:paraId="144067DD" w14:textId="2A9FEC9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20" w:history="1">
            <w:r w:rsidRPr="00F45DCA">
              <w:rPr>
                <w:rStyle w:val="Lienhypertexte"/>
                <w:noProof/>
              </w:rPr>
              <w:t>21.22.4a Maçonneries non portantes en blocs de béton d'argile expansée pleins à maçonner CCTB 01.13</w:t>
            </w:r>
            <w:r>
              <w:rPr>
                <w:noProof/>
                <w:webHidden/>
              </w:rPr>
              <w:tab/>
            </w:r>
            <w:r>
              <w:rPr>
                <w:noProof/>
                <w:webHidden/>
              </w:rPr>
              <w:fldChar w:fldCharType="begin"/>
            </w:r>
            <w:r>
              <w:rPr>
                <w:noProof/>
                <w:webHidden/>
              </w:rPr>
              <w:instrText xml:space="preserve"> PAGEREF _Toc220495320 \h </w:instrText>
            </w:r>
            <w:r>
              <w:rPr>
                <w:noProof/>
                <w:webHidden/>
              </w:rPr>
            </w:r>
            <w:r>
              <w:rPr>
                <w:noProof/>
                <w:webHidden/>
              </w:rPr>
              <w:fldChar w:fldCharType="separate"/>
            </w:r>
            <w:r>
              <w:rPr>
                <w:noProof/>
                <w:webHidden/>
              </w:rPr>
              <w:t>240</w:t>
            </w:r>
            <w:r>
              <w:rPr>
                <w:noProof/>
                <w:webHidden/>
              </w:rPr>
              <w:fldChar w:fldCharType="end"/>
            </w:r>
          </w:hyperlink>
        </w:p>
        <w:p w14:paraId="05DD3652" w14:textId="523EDE0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21" w:history="1">
            <w:r w:rsidRPr="00F45DCA">
              <w:rPr>
                <w:rStyle w:val="Lienhypertexte"/>
                <w:noProof/>
              </w:rPr>
              <w:t>21.22.4b Maçonneries non portantes en blocs de béton d'argile expansée pleins à coller CCTB 01.13</w:t>
            </w:r>
            <w:r>
              <w:rPr>
                <w:noProof/>
                <w:webHidden/>
              </w:rPr>
              <w:tab/>
            </w:r>
            <w:r>
              <w:rPr>
                <w:noProof/>
                <w:webHidden/>
              </w:rPr>
              <w:fldChar w:fldCharType="begin"/>
            </w:r>
            <w:r>
              <w:rPr>
                <w:noProof/>
                <w:webHidden/>
              </w:rPr>
              <w:instrText xml:space="preserve"> PAGEREF _Toc220495321 \h </w:instrText>
            </w:r>
            <w:r>
              <w:rPr>
                <w:noProof/>
                <w:webHidden/>
              </w:rPr>
            </w:r>
            <w:r>
              <w:rPr>
                <w:noProof/>
                <w:webHidden/>
              </w:rPr>
              <w:fldChar w:fldCharType="separate"/>
            </w:r>
            <w:r>
              <w:rPr>
                <w:noProof/>
                <w:webHidden/>
              </w:rPr>
              <w:t>242</w:t>
            </w:r>
            <w:r>
              <w:rPr>
                <w:noProof/>
                <w:webHidden/>
              </w:rPr>
              <w:fldChar w:fldCharType="end"/>
            </w:r>
          </w:hyperlink>
        </w:p>
        <w:p w14:paraId="1279A1A3" w14:textId="2784361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22" w:history="1">
            <w:r w:rsidRPr="00F45DCA">
              <w:rPr>
                <w:rStyle w:val="Lienhypertexte"/>
                <w:noProof/>
              </w:rPr>
              <w:t>21.22.4c Maçonneries non portantes en blocs de béton d'argile expansée creux à maçonner CCTB 01.13</w:t>
            </w:r>
            <w:r>
              <w:rPr>
                <w:noProof/>
                <w:webHidden/>
              </w:rPr>
              <w:tab/>
            </w:r>
            <w:r>
              <w:rPr>
                <w:noProof/>
                <w:webHidden/>
              </w:rPr>
              <w:fldChar w:fldCharType="begin"/>
            </w:r>
            <w:r>
              <w:rPr>
                <w:noProof/>
                <w:webHidden/>
              </w:rPr>
              <w:instrText xml:space="preserve"> PAGEREF _Toc220495322 \h </w:instrText>
            </w:r>
            <w:r>
              <w:rPr>
                <w:noProof/>
                <w:webHidden/>
              </w:rPr>
            </w:r>
            <w:r>
              <w:rPr>
                <w:noProof/>
                <w:webHidden/>
              </w:rPr>
              <w:fldChar w:fldCharType="separate"/>
            </w:r>
            <w:r>
              <w:rPr>
                <w:noProof/>
                <w:webHidden/>
              </w:rPr>
              <w:t>244</w:t>
            </w:r>
            <w:r>
              <w:rPr>
                <w:noProof/>
                <w:webHidden/>
              </w:rPr>
              <w:fldChar w:fldCharType="end"/>
            </w:r>
          </w:hyperlink>
        </w:p>
        <w:p w14:paraId="5F3AA661" w14:textId="2CBC8B5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23" w:history="1">
            <w:r w:rsidRPr="00F45DCA">
              <w:rPr>
                <w:rStyle w:val="Lienhypertexte"/>
                <w:noProof/>
              </w:rPr>
              <w:t>21.22.4d Maçonneries non portantes en blocs de béton d'argile expansée creux à coller CCTB 01.13</w:t>
            </w:r>
            <w:r>
              <w:rPr>
                <w:noProof/>
                <w:webHidden/>
              </w:rPr>
              <w:tab/>
            </w:r>
            <w:r>
              <w:rPr>
                <w:noProof/>
                <w:webHidden/>
              </w:rPr>
              <w:fldChar w:fldCharType="begin"/>
            </w:r>
            <w:r>
              <w:rPr>
                <w:noProof/>
                <w:webHidden/>
              </w:rPr>
              <w:instrText xml:space="preserve"> PAGEREF _Toc220495323 \h </w:instrText>
            </w:r>
            <w:r>
              <w:rPr>
                <w:noProof/>
                <w:webHidden/>
              </w:rPr>
            </w:r>
            <w:r>
              <w:rPr>
                <w:noProof/>
                <w:webHidden/>
              </w:rPr>
              <w:fldChar w:fldCharType="separate"/>
            </w:r>
            <w:r>
              <w:rPr>
                <w:noProof/>
                <w:webHidden/>
              </w:rPr>
              <w:t>247</w:t>
            </w:r>
            <w:r>
              <w:rPr>
                <w:noProof/>
                <w:webHidden/>
              </w:rPr>
              <w:fldChar w:fldCharType="end"/>
            </w:r>
          </w:hyperlink>
        </w:p>
        <w:p w14:paraId="680DD1F8" w14:textId="384E731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24" w:history="1">
            <w:r w:rsidRPr="00F45DCA">
              <w:rPr>
                <w:rStyle w:val="Lienhypertexte"/>
                <w:noProof/>
              </w:rPr>
              <w:t>21.22.4e Maçonneries non portantes en blocs de béton d'argile expansée avec système de dosage pour liant hydraulique CCTB 01.13</w:t>
            </w:r>
            <w:r>
              <w:rPr>
                <w:noProof/>
                <w:webHidden/>
              </w:rPr>
              <w:tab/>
            </w:r>
            <w:r>
              <w:rPr>
                <w:noProof/>
                <w:webHidden/>
              </w:rPr>
              <w:fldChar w:fldCharType="begin"/>
            </w:r>
            <w:r>
              <w:rPr>
                <w:noProof/>
                <w:webHidden/>
              </w:rPr>
              <w:instrText xml:space="preserve"> PAGEREF _Toc220495324 \h </w:instrText>
            </w:r>
            <w:r>
              <w:rPr>
                <w:noProof/>
                <w:webHidden/>
              </w:rPr>
            </w:r>
            <w:r>
              <w:rPr>
                <w:noProof/>
                <w:webHidden/>
              </w:rPr>
              <w:fldChar w:fldCharType="separate"/>
            </w:r>
            <w:r>
              <w:rPr>
                <w:noProof/>
                <w:webHidden/>
              </w:rPr>
              <w:t>249</w:t>
            </w:r>
            <w:r>
              <w:rPr>
                <w:noProof/>
                <w:webHidden/>
              </w:rPr>
              <w:fldChar w:fldCharType="end"/>
            </w:r>
          </w:hyperlink>
        </w:p>
        <w:p w14:paraId="753D0529" w14:textId="2CE2F81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25" w:history="1">
            <w:r w:rsidRPr="00F45DCA">
              <w:rPr>
                <w:rStyle w:val="Lienhypertexte"/>
                <w:noProof/>
              </w:rPr>
              <w:t>21.22.4f Maçonneries non portantes en blocs de béton d'argile expansée acoustiques CCTB 01.13</w:t>
            </w:r>
            <w:r>
              <w:rPr>
                <w:noProof/>
                <w:webHidden/>
              </w:rPr>
              <w:tab/>
            </w:r>
            <w:r>
              <w:rPr>
                <w:noProof/>
                <w:webHidden/>
              </w:rPr>
              <w:fldChar w:fldCharType="begin"/>
            </w:r>
            <w:r>
              <w:rPr>
                <w:noProof/>
                <w:webHidden/>
              </w:rPr>
              <w:instrText xml:space="preserve"> PAGEREF _Toc220495325 \h </w:instrText>
            </w:r>
            <w:r>
              <w:rPr>
                <w:noProof/>
                <w:webHidden/>
              </w:rPr>
            </w:r>
            <w:r>
              <w:rPr>
                <w:noProof/>
                <w:webHidden/>
              </w:rPr>
              <w:fldChar w:fldCharType="separate"/>
            </w:r>
            <w:r>
              <w:rPr>
                <w:noProof/>
                <w:webHidden/>
              </w:rPr>
              <w:t>251</w:t>
            </w:r>
            <w:r>
              <w:rPr>
                <w:noProof/>
                <w:webHidden/>
              </w:rPr>
              <w:fldChar w:fldCharType="end"/>
            </w:r>
          </w:hyperlink>
        </w:p>
        <w:p w14:paraId="40FBEF94" w14:textId="261273E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26" w:history="1">
            <w:r w:rsidRPr="00F45DCA">
              <w:rPr>
                <w:rStyle w:val="Lienhypertexte"/>
                <w:noProof/>
              </w:rPr>
              <w:t>21.22.5 Maçonneries non portantes en béton cellulaire CCTB 01.11</w:t>
            </w:r>
            <w:r>
              <w:rPr>
                <w:noProof/>
                <w:webHidden/>
              </w:rPr>
              <w:tab/>
            </w:r>
            <w:r>
              <w:rPr>
                <w:noProof/>
                <w:webHidden/>
              </w:rPr>
              <w:fldChar w:fldCharType="begin"/>
            </w:r>
            <w:r>
              <w:rPr>
                <w:noProof/>
                <w:webHidden/>
              </w:rPr>
              <w:instrText xml:space="preserve"> PAGEREF _Toc220495326 \h </w:instrText>
            </w:r>
            <w:r>
              <w:rPr>
                <w:noProof/>
                <w:webHidden/>
              </w:rPr>
            </w:r>
            <w:r>
              <w:rPr>
                <w:noProof/>
                <w:webHidden/>
              </w:rPr>
              <w:fldChar w:fldCharType="separate"/>
            </w:r>
            <w:r>
              <w:rPr>
                <w:noProof/>
                <w:webHidden/>
              </w:rPr>
              <w:t>253</w:t>
            </w:r>
            <w:r>
              <w:rPr>
                <w:noProof/>
                <w:webHidden/>
              </w:rPr>
              <w:fldChar w:fldCharType="end"/>
            </w:r>
          </w:hyperlink>
        </w:p>
        <w:p w14:paraId="1C22DA02" w14:textId="5B3B3EB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27" w:history="1">
            <w:r w:rsidRPr="00F45DCA">
              <w:rPr>
                <w:rStyle w:val="Lienhypertexte"/>
                <w:noProof/>
              </w:rPr>
              <w:t>21.22.5a Maçonneries non portantes en blocs de béton cellulaire CCTB 01.12</w:t>
            </w:r>
            <w:r>
              <w:rPr>
                <w:noProof/>
                <w:webHidden/>
              </w:rPr>
              <w:tab/>
            </w:r>
            <w:r>
              <w:rPr>
                <w:noProof/>
                <w:webHidden/>
              </w:rPr>
              <w:fldChar w:fldCharType="begin"/>
            </w:r>
            <w:r>
              <w:rPr>
                <w:noProof/>
                <w:webHidden/>
              </w:rPr>
              <w:instrText xml:space="preserve"> PAGEREF _Toc220495327 \h </w:instrText>
            </w:r>
            <w:r>
              <w:rPr>
                <w:noProof/>
                <w:webHidden/>
              </w:rPr>
            </w:r>
            <w:r>
              <w:rPr>
                <w:noProof/>
                <w:webHidden/>
              </w:rPr>
              <w:fldChar w:fldCharType="separate"/>
            </w:r>
            <w:r>
              <w:rPr>
                <w:noProof/>
                <w:webHidden/>
              </w:rPr>
              <w:t>254</w:t>
            </w:r>
            <w:r>
              <w:rPr>
                <w:noProof/>
                <w:webHidden/>
              </w:rPr>
              <w:fldChar w:fldCharType="end"/>
            </w:r>
          </w:hyperlink>
        </w:p>
        <w:p w14:paraId="00123F05" w14:textId="760E49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28" w:history="1">
            <w:r w:rsidRPr="00F45DCA">
              <w:rPr>
                <w:rStyle w:val="Lienhypertexte"/>
                <w:noProof/>
              </w:rPr>
              <w:t>21.22.5b Maçonneries non portantes en carreaux de béton cellulaire CCTB 01.12</w:t>
            </w:r>
            <w:r>
              <w:rPr>
                <w:noProof/>
                <w:webHidden/>
              </w:rPr>
              <w:tab/>
            </w:r>
            <w:r>
              <w:rPr>
                <w:noProof/>
                <w:webHidden/>
              </w:rPr>
              <w:fldChar w:fldCharType="begin"/>
            </w:r>
            <w:r>
              <w:rPr>
                <w:noProof/>
                <w:webHidden/>
              </w:rPr>
              <w:instrText xml:space="preserve"> PAGEREF _Toc220495328 \h </w:instrText>
            </w:r>
            <w:r>
              <w:rPr>
                <w:noProof/>
                <w:webHidden/>
              </w:rPr>
            </w:r>
            <w:r>
              <w:rPr>
                <w:noProof/>
                <w:webHidden/>
              </w:rPr>
              <w:fldChar w:fldCharType="separate"/>
            </w:r>
            <w:r>
              <w:rPr>
                <w:noProof/>
                <w:webHidden/>
              </w:rPr>
              <w:t>256</w:t>
            </w:r>
            <w:r>
              <w:rPr>
                <w:noProof/>
                <w:webHidden/>
              </w:rPr>
              <w:fldChar w:fldCharType="end"/>
            </w:r>
          </w:hyperlink>
        </w:p>
        <w:p w14:paraId="57085072" w14:textId="0691574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29" w:history="1">
            <w:r w:rsidRPr="00F45DCA">
              <w:rPr>
                <w:rStyle w:val="Lienhypertexte"/>
                <w:noProof/>
              </w:rPr>
              <w:t>21.22.6 Maçonneries non portantes en blocs de plâtre CCTB 01.04</w:t>
            </w:r>
            <w:r>
              <w:rPr>
                <w:noProof/>
                <w:webHidden/>
              </w:rPr>
              <w:tab/>
            </w:r>
            <w:r>
              <w:rPr>
                <w:noProof/>
                <w:webHidden/>
              </w:rPr>
              <w:fldChar w:fldCharType="begin"/>
            </w:r>
            <w:r>
              <w:rPr>
                <w:noProof/>
                <w:webHidden/>
              </w:rPr>
              <w:instrText xml:space="preserve"> PAGEREF _Toc220495329 \h </w:instrText>
            </w:r>
            <w:r>
              <w:rPr>
                <w:noProof/>
                <w:webHidden/>
              </w:rPr>
            </w:r>
            <w:r>
              <w:rPr>
                <w:noProof/>
                <w:webHidden/>
              </w:rPr>
              <w:fldChar w:fldCharType="separate"/>
            </w:r>
            <w:r>
              <w:rPr>
                <w:noProof/>
                <w:webHidden/>
              </w:rPr>
              <w:t>258</w:t>
            </w:r>
            <w:r>
              <w:rPr>
                <w:noProof/>
                <w:webHidden/>
              </w:rPr>
              <w:fldChar w:fldCharType="end"/>
            </w:r>
          </w:hyperlink>
        </w:p>
        <w:p w14:paraId="75031701" w14:textId="1E4591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30" w:history="1">
            <w:r w:rsidRPr="00F45DCA">
              <w:rPr>
                <w:rStyle w:val="Lienhypertexte"/>
                <w:noProof/>
              </w:rPr>
              <w:t>21.22.6a Maçonneries non portantes en blocs de plâtre CCTB 01.11</w:t>
            </w:r>
            <w:r>
              <w:rPr>
                <w:noProof/>
                <w:webHidden/>
              </w:rPr>
              <w:tab/>
            </w:r>
            <w:r>
              <w:rPr>
                <w:noProof/>
                <w:webHidden/>
              </w:rPr>
              <w:fldChar w:fldCharType="begin"/>
            </w:r>
            <w:r>
              <w:rPr>
                <w:noProof/>
                <w:webHidden/>
              </w:rPr>
              <w:instrText xml:space="preserve"> PAGEREF _Toc220495330 \h </w:instrText>
            </w:r>
            <w:r>
              <w:rPr>
                <w:noProof/>
                <w:webHidden/>
              </w:rPr>
            </w:r>
            <w:r>
              <w:rPr>
                <w:noProof/>
                <w:webHidden/>
              </w:rPr>
              <w:fldChar w:fldCharType="separate"/>
            </w:r>
            <w:r>
              <w:rPr>
                <w:noProof/>
                <w:webHidden/>
              </w:rPr>
              <w:t>258</w:t>
            </w:r>
            <w:r>
              <w:rPr>
                <w:noProof/>
                <w:webHidden/>
              </w:rPr>
              <w:fldChar w:fldCharType="end"/>
            </w:r>
          </w:hyperlink>
        </w:p>
        <w:p w14:paraId="129676EE" w14:textId="4C14608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31" w:history="1">
            <w:r w:rsidRPr="00F45DCA">
              <w:rPr>
                <w:rStyle w:val="Lienhypertexte"/>
                <w:noProof/>
              </w:rPr>
              <w:t>21.22.7 Maçonneries non portantes en blocs de terre crue CCTB 01.11</w:t>
            </w:r>
            <w:r>
              <w:rPr>
                <w:noProof/>
                <w:webHidden/>
              </w:rPr>
              <w:tab/>
            </w:r>
            <w:r>
              <w:rPr>
                <w:noProof/>
                <w:webHidden/>
              </w:rPr>
              <w:fldChar w:fldCharType="begin"/>
            </w:r>
            <w:r>
              <w:rPr>
                <w:noProof/>
                <w:webHidden/>
              </w:rPr>
              <w:instrText xml:space="preserve"> PAGEREF _Toc220495331 \h </w:instrText>
            </w:r>
            <w:r>
              <w:rPr>
                <w:noProof/>
                <w:webHidden/>
              </w:rPr>
            </w:r>
            <w:r>
              <w:rPr>
                <w:noProof/>
                <w:webHidden/>
              </w:rPr>
              <w:fldChar w:fldCharType="separate"/>
            </w:r>
            <w:r>
              <w:rPr>
                <w:noProof/>
                <w:webHidden/>
              </w:rPr>
              <w:t>260</w:t>
            </w:r>
            <w:r>
              <w:rPr>
                <w:noProof/>
                <w:webHidden/>
              </w:rPr>
              <w:fldChar w:fldCharType="end"/>
            </w:r>
          </w:hyperlink>
        </w:p>
        <w:p w14:paraId="315D3BCA" w14:textId="2B73860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32" w:history="1">
            <w:r w:rsidRPr="00F45DCA">
              <w:rPr>
                <w:rStyle w:val="Lienhypertexte"/>
                <w:noProof/>
              </w:rPr>
              <w:t>21.22.7a Maçonneries non portantes en blocs de terre crue à maçonner CCTB 01.11</w:t>
            </w:r>
            <w:r>
              <w:rPr>
                <w:noProof/>
                <w:webHidden/>
              </w:rPr>
              <w:tab/>
            </w:r>
            <w:r>
              <w:rPr>
                <w:noProof/>
                <w:webHidden/>
              </w:rPr>
              <w:fldChar w:fldCharType="begin"/>
            </w:r>
            <w:r>
              <w:rPr>
                <w:noProof/>
                <w:webHidden/>
              </w:rPr>
              <w:instrText xml:space="preserve"> PAGEREF _Toc220495332 \h </w:instrText>
            </w:r>
            <w:r>
              <w:rPr>
                <w:noProof/>
                <w:webHidden/>
              </w:rPr>
            </w:r>
            <w:r>
              <w:rPr>
                <w:noProof/>
                <w:webHidden/>
              </w:rPr>
              <w:fldChar w:fldCharType="separate"/>
            </w:r>
            <w:r>
              <w:rPr>
                <w:noProof/>
                <w:webHidden/>
              </w:rPr>
              <w:t>261</w:t>
            </w:r>
            <w:r>
              <w:rPr>
                <w:noProof/>
                <w:webHidden/>
              </w:rPr>
              <w:fldChar w:fldCharType="end"/>
            </w:r>
          </w:hyperlink>
        </w:p>
        <w:p w14:paraId="60CB781E" w14:textId="51C5B3D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33" w:history="1">
            <w:r w:rsidRPr="00F45DCA">
              <w:rPr>
                <w:rStyle w:val="Lienhypertexte"/>
                <w:noProof/>
              </w:rPr>
              <w:t>21.22.8 Maçonneries non portantes en blocs de chaux-chanvre CCTB 01.11</w:t>
            </w:r>
            <w:r>
              <w:rPr>
                <w:noProof/>
                <w:webHidden/>
              </w:rPr>
              <w:tab/>
            </w:r>
            <w:r>
              <w:rPr>
                <w:noProof/>
                <w:webHidden/>
              </w:rPr>
              <w:fldChar w:fldCharType="begin"/>
            </w:r>
            <w:r>
              <w:rPr>
                <w:noProof/>
                <w:webHidden/>
              </w:rPr>
              <w:instrText xml:space="preserve"> PAGEREF _Toc220495333 \h </w:instrText>
            </w:r>
            <w:r>
              <w:rPr>
                <w:noProof/>
                <w:webHidden/>
              </w:rPr>
            </w:r>
            <w:r>
              <w:rPr>
                <w:noProof/>
                <w:webHidden/>
              </w:rPr>
              <w:fldChar w:fldCharType="separate"/>
            </w:r>
            <w:r>
              <w:rPr>
                <w:noProof/>
                <w:webHidden/>
              </w:rPr>
              <w:t>265</w:t>
            </w:r>
            <w:r>
              <w:rPr>
                <w:noProof/>
                <w:webHidden/>
              </w:rPr>
              <w:fldChar w:fldCharType="end"/>
            </w:r>
          </w:hyperlink>
        </w:p>
        <w:p w14:paraId="78CBF887" w14:textId="0400BFC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34" w:history="1">
            <w:r w:rsidRPr="00F45DCA">
              <w:rPr>
                <w:rStyle w:val="Lienhypertexte"/>
                <w:noProof/>
              </w:rPr>
              <w:t>21.22.8a Maçonneries non portantes en blocs de chaux-chanvre CCTB 01.12</w:t>
            </w:r>
            <w:r>
              <w:rPr>
                <w:noProof/>
                <w:webHidden/>
              </w:rPr>
              <w:tab/>
            </w:r>
            <w:r>
              <w:rPr>
                <w:noProof/>
                <w:webHidden/>
              </w:rPr>
              <w:fldChar w:fldCharType="begin"/>
            </w:r>
            <w:r>
              <w:rPr>
                <w:noProof/>
                <w:webHidden/>
              </w:rPr>
              <w:instrText xml:space="preserve"> PAGEREF _Toc220495334 \h </w:instrText>
            </w:r>
            <w:r>
              <w:rPr>
                <w:noProof/>
                <w:webHidden/>
              </w:rPr>
            </w:r>
            <w:r>
              <w:rPr>
                <w:noProof/>
                <w:webHidden/>
              </w:rPr>
              <w:fldChar w:fldCharType="separate"/>
            </w:r>
            <w:r>
              <w:rPr>
                <w:noProof/>
                <w:webHidden/>
              </w:rPr>
              <w:t>266</w:t>
            </w:r>
            <w:r>
              <w:rPr>
                <w:noProof/>
                <w:webHidden/>
              </w:rPr>
              <w:fldChar w:fldCharType="end"/>
            </w:r>
          </w:hyperlink>
        </w:p>
        <w:p w14:paraId="440A46E2" w14:textId="04E9780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335" w:history="1">
            <w:r w:rsidRPr="00F45DCA">
              <w:rPr>
                <w:rStyle w:val="Lienhypertexte"/>
                <w:noProof/>
              </w:rPr>
              <w:t>21.23 Maçonneries non portantes en pierre CCTB 01.12</w:t>
            </w:r>
            <w:r>
              <w:rPr>
                <w:noProof/>
                <w:webHidden/>
              </w:rPr>
              <w:tab/>
            </w:r>
            <w:r>
              <w:rPr>
                <w:noProof/>
                <w:webHidden/>
              </w:rPr>
              <w:fldChar w:fldCharType="begin"/>
            </w:r>
            <w:r>
              <w:rPr>
                <w:noProof/>
                <w:webHidden/>
              </w:rPr>
              <w:instrText xml:space="preserve"> PAGEREF _Toc220495335 \h </w:instrText>
            </w:r>
            <w:r>
              <w:rPr>
                <w:noProof/>
                <w:webHidden/>
              </w:rPr>
            </w:r>
            <w:r>
              <w:rPr>
                <w:noProof/>
                <w:webHidden/>
              </w:rPr>
              <w:fldChar w:fldCharType="separate"/>
            </w:r>
            <w:r>
              <w:rPr>
                <w:noProof/>
                <w:webHidden/>
              </w:rPr>
              <w:t>270</w:t>
            </w:r>
            <w:r>
              <w:rPr>
                <w:noProof/>
                <w:webHidden/>
              </w:rPr>
              <w:fldChar w:fldCharType="end"/>
            </w:r>
          </w:hyperlink>
        </w:p>
        <w:p w14:paraId="594E1F0C" w14:textId="4D39B14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36" w:history="1">
            <w:r w:rsidRPr="00F45DCA">
              <w:rPr>
                <w:rStyle w:val="Lienhypertexte"/>
                <w:noProof/>
              </w:rPr>
              <w:t>21.23.1 Maçonneries non portantes en pierre de taille CCTB 01.02</w:t>
            </w:r>
            <w:r>
              <w:rPr>
                <w:noProof/>
                <w:webHidden/>
              </w:rPr>
              <w:tab/>
            </w:r>
            <w:r>
              <w:rPr>
                <w:noProof/>
                <w:webHidden/>
              </w:rPr>
              <w:fldChar w:fldCharType="begin"/>
            </w:r>
            <w:r>
              <w:rPr>
                <w:noProof/>
                <w:webHidden/>
              </w:rPr>
              <w:instrText xml:space="preserve"> PAGEREF _Toc220495336 \h </w:instrText>
            </w:r>
            <w:r>
              <w:rPr>
                <w:noProof/>
                <w:webHidden/>
              </w:rPr>
            </w:r>
            <w:r>
              <w:rPr>
                <w:noProof/>
                <w:webHidden/>
              </w:rPr>
              <w:fldChar w:fldCharType="separate"/>
            </w:r>
            <w:r>
              <w:rPr>
                <w:noProof/>
                <w:webHidden/>
              </w:rPr>
              <w:t>270</w:t>
            </w:r>
            <w:r>
              <w:rPr>
                <w:noProof/>
                <w:webHidden/>
              </w:rPr>
              <w:fldChar w:fldCharType="end"/>
            </w:r>
          </w:hyperlink>
        </w:p>
        <w:p w14:paraId="2509EC1F" w14:textId="17E3AEB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37" w:history="1">
            <w:r w:rsidRPr="00F45DCA">
              <w:rPr>
                <w:rStyle w:val="Lienhypertexte"/>
                <w:noProof/>
              </w:rPr>
              <w:t>21.23.1a Maçonneries non portantes en petit granit - pierre bleue CCTB 01.04</w:t>
            </w:r>
            <w:r>
              <w:rPr>
                <w:noProof/>
                <w:webHidden/>
              </w:rPr>
              <w:tab/>
            </w:r>
            <w:r>
              <w:rPr>
                <w:noProof/>
                <w:webHidden/>
              </w:rPr>
              <w:fldChar w:fldCharType="begin"/>
            </w:r>
            <w:r>
              <w:rPr>
                <w:noProof/>
                <w:webHidden/>
              </w:rPr>
              <w:instrText xml:space="preserve"> PAGEREF _Toc220495337 \h </w:instrText>
            </w:r>
            <w:r>
              <w:rPr>
                <w:noProof/>
                <w:webHidden/>
              </w:rPr>
            </w:r>
            <w:r>
              <w:rPr>
                <w:noProof/>
                <w:webHidden/>
              </w:rPr>
              <w:fldChar w:fldCharType="separate"/>
            </w:r>
            <w:r>
              <w:rPr>
                <w:noProof/>
                <w:webHidden/>
              </w:rPr>
              <w:t>270</w:t>
            </w:r>
            <w:r>
              <w:rPr>
                <w:noProof/>
                <w:webHidden/>
              </w:rPr>
              <w:fldChar w:fldCharType="end"/>
            </w:r>
          </w:hyperlink>
        </w:p>
        <w:p w14:paraId="08B43629" w14:textId="2AB2193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38" w:history="1">
            <w:r w:rsidRPr="00F45DCA">
              <w:rPr>
                <w:rStyle w:val="Lienhypertexte"/>
                <w:noProof/>
              </w:rPr>
              <w:t>21.23.1b Maçonneries non portantes en pierre calcaire CCTB 01.04</w:t>
            </w:r>
            <w:r>
              <w:rPr>
                <w:noProof/>
                <w:webHidden/>
              </w:rPr>
              <w:tab/>
            </w:r>
            <w:r>
              <w:rPr>
                <w:noProof/>
                <w:webHidden/>
              </w:rPr>
              <w:fldChar w:fldCharType="begin"/>
            </w:r>
            <w:r>
              <w:rPr>
                <w:noProof/>
                <w:webHidden/>
              </w:rPr>
              <w:instrText xml:space="preserve"> PAGEREF _Toc220495338 \h </w:instrText>
            </w:r>
            <w:r>
              <w:rPr>
                <w:noProof/>
                <w:webHidden/>
              </w:rPr>
            </w:r>
            <w:r>
              <w:rPr>
                <w:noProof/>
                <w:webHidden/>
              </w:rPr>
              <w:fldChar w:fldCharType="separate"/>
            </w:r>
            <w:r>
              <w:rPr>
                <w:noProof/>
                <w:webHidden/>
              </w:rPr>
              <w:t>270</w:t>
            </w:r>
            <w:r>
              <w:rPr>
                <w:noProof/>
                <w:webHidden/>
              </w:rPr>
              <w:fldChar w:fldCharType="end"/>
            </w:r>
          </w:hyperlink>
        </w:p>
        <w:p w14:paraId="048E6EA8" w14:textId="2A48583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39" w:history="1">
            <w:r w:rsidRPr="00F45DCA">
              <w:rPr>
                <w:rStyle w:val="Lienhypertexte"/>
                <w:noProof/>
              </w:rPr>
              <w:t>21.23.2 Maçonneries non portantes en moellons de pierre calcaire CCTB 01.02</w:t>
            </w:r>
            <w:r>
              <w:rPr>
                <w:noProof/>
                <w:webHidden/>
              </w:rPr>
              <w:tab/>
            </w:r>
            <w:r>
              <w:rPr>
                <w:noProof/>
                <w:webHidden/>
              </w:rPr>
              <w:fldChar w:fldCharType="begin"/>
            </w:r>
            <w:r>
              <w:rPr>
                <w:noProof/>
                <w:webHidden/>
              </w:rPr>
              <w:instrText xml:space="preserve"> PAGEREF _Toc220495339 \h </w:instrText>
            </w:r>
            <w:r>
              <w:rPr>
                <w:noProof/>
                <w:webHidden/>
              </w:rPr>
            </w:r>
            <w:r>
              <w:rPr>
                <w:noProof/>
                <w:webHidden/>
              </w:rPr>
              <w:fldChar w:fldCharType="separate"/>
            </w:r>
            <w:r>
              <w:rPr>
                <w:noProof/>
                <w:webHidden/>
              </w:rPr>
              <w:t>270</w:t>
            </w:r>
            <w:r>
              <w:rPr>
                <w:noProof/>
                <w:webHidden/>
              </w:rPr>
              <w:fldChar w:fldCharType="end"/>
            </w:r>
          </w:hyperlink>
        </w:p>
        <w:p w14:paraId="6737D981" w14:textId="0308C20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40" w:history="1">
            <w:r w:rsidRPr="00F45DCA">
              <w:rPr>
                <w:rStyle w:val="Lienhypertexte"/>
                <w:noProof/>
              </w:rPr>
              <w:t>21.23.2a Maçonneries non portantes en moellons de pierre bleue CCTB 01.04</w:t>
            </w:r>
            <w:r>
              <w:rPr>
                <w:noProof/>
                <w:webHidden/>
              </w:rPr>
              <w:tab/>
            </w:r>
            <w:r>
              <w:rPr>
                <w:noProof/>
                <w:webHidden/>
              </w:rPr>
              <w:fldChar w:fldCharType="begin"/>
            </w:r>
            <w:r>
              <w:rPr>
                <w:noProof/>
                <w:webHidden/>
              </w:rPr>
              <w:instrText xml:space="preserve"> PAGEREF _Toc220495340 \h </w:instrText>
            </w:r>
            <w:r>
              <w:rPr>
                <w:noProof/>
                <w:webHidden/>
              </w:rPr>
            </w:r>
            <w:r>
              <w:rPr>
                <w:noProof/>
                <w:webHidden/>
              </w:rPr>
              <w:fldChar w:fldCharType="separate"/>
            </w:r>
            <w:r>
              <w:rPr>
                <w:noProof/>
                <w:webHidden/>
              </w:rPr>
              <w:t>270</w:t>
            </w:r>
            <w:r>
              <w:rPr>
                <w:noProof/>
                <w:webHidden/>
              </w:rPr>
              <w:fldChar w:fldCharType="end"/>
            </w:r>
          </w:hyperlink>
        </w:p>
        <w:p w14:paraId="64A005B9" w14:textId="734CB5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41" w:history="1">
            <w:r w:rsidRPr="00F45DCA">
              <w:rPr>
                <w:rStyle w:val="Lienhypertexte"/>
                <w:noProof/>
              </w:rPr>
              <w:t>21.23.2b Maçonneries non portantes en moellons de pierre blanche CCTB 01.04</w:t>
            </w:r>
            <w:r>
              <w:rPr>
                <w:noProof/>
                <w:webHidden/>
              </w:rPr>
              <w:tab/>
            </w:r>
            <w:r>
              <w:rPr>
                <w:noProof/>
                <w:webHidden/>
              </w:rPr>
              <w:fldChar w:fldCharType="begin"/>
            </w:r>
            <w:r>
              <w:rPr>
                <w:noProof/>
                <w:webHidden/>
              </w:rPr>
              <w:instrText xml:space="preserve"> PAGEREF _Toc220495341 \h </w:instrText>
            </w:r>
            <w:r>
              <w:rPr>
                <w:noProof/>
                <w:webHidden/>
              </w:rPr>
            </w:r>
            <w:r>
              <w:rPr>
                <w:noProof/>
                <w:webHidden/>
              </w:rPr>
              <w:fldChar w:fldCharType="separate"/>
            </w:r>
            <w:r>
              <w:rPr>
                <w:noProof/>
                <w:webHidden/>
              </w:rPr>
              <w:t>270</w:t>
            </w:r>
            <w:r>
              <w:rPr>
                <w:noProof/>
                <w:webHidden/>
              </w:rPr>
              <w:fldChar w:fldCharType="end"/>
            </w:r>
          </w:hyperlink>
        </w:p>
        <w:p w14:paraId="6A087E92" w14:textId="32009E1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42" w:history="1">
            <w:r w:rsidRPr="00F45DCA">
              <w:rPr>
                <w:rStyle w:val="Lienhypertexte"/>
                <w:noProof/>
              </w:rPr>
              <w:t>21.23.2c Maçonneries non portantes en moellons de marbre CCTB 01.04</w:t>
            </w:r>
            <w:r>
              <w:rPr>
                <w:noProof/>
                <w:webHidden/>
              </w:rPr>
              <w:tab/>
            </w:r>
            <w:r>
              <w:rPr>
                <w:noProof/>
                <w:webHidden/>
              </w:rPr>
              <w:fldChar w:fldCharType="begin"/>
            </w:r>
            <w:r>
              <w:rPr>
                <w:noProof/>
                <w:webHidden/>
              </w:rPr>
              <w:instrText xml:space="preserve"> PAGEREF _Toc220495342 \h </w:instrText>
            </w:r>
            <w:r>
              <w:rPr>
                <w:noProof/>
                <w:webHidden/>
              </w:rPr>
            </w:r>
            <w:r>
              <w:rPr>
                <w:noProof/>
                <w:webHidden/>
              </w:rPr>
              <w:fldChar w:fldCharType="separate"/>
            </w:r>
            <w:r>
              <w:rPr>
                <w:noProof/>
                <w:webHidden/>
              </w:rPr>
              <w:t>270</w:t>
            </w:r>
            <w:r>
              <w:rPr>
                <w:noProof/>
                <w:webHidden/>
              </w:rPr>
              <w:fldChar w:fldCharType="end"/>
            </w:r>
          </w:hyperlink>
        </w:p>
        <w:p w14:paraId="62EC8440" w14:textId="0DFB335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43" w:history="1">
            <w:r w:rsidRPr="00F45DCA">
              <w:rPr>
                <w:rStyle w:val="Lienhypertexte"/>
                <w:noProof/>
              </w:rPr>
              <w:t>21.23.3 Maçonneries non portantes en moellons de pierres siliceuses CCTB 01.12</w:t>
            </w:r>
            <w:r>
              <w:rPr>
                <w:noProof/>
                <w:webHidden/>
              </w:rPr>
              <w:tab/>
            </w:r>
            <w:r>
              <w:rPr>
                <w:noProof/>
                <w:webHidden/>
              </w:rPr>
              <w:fldChar w:fldCharType="begin"/>
            </w:r>
            <w:r>
              <w:rPr>
                <w:noProof/>
                <w:webHidden/>
              </w:rPr>
              <w:instrText xml:space="preserve"> PAGEREF _Toc220495343 \h </w:instrText>
            </w:r>
            <w:r>
              <w:rPr>
                <w:noProof/>
                <w:webHidden/>
              </w:rPr>
            </w:r>
            <w:r>
              <w:rPr>
                <w:noProof/>
                <w:webHidden/>
              </w:rPr>
              <w:fldChar w:fldCharType="separate"/>
            </w:r>
            <w:r>
              <w:rPr>
                <w:noProof/>
                <w:webHidden/>
              </w:rPr>
              <w:t>271</w:t>
            </w:r>
            <w:r>
              <w:rPr>
                <w:noProof/>
                <w:webHidden/>
              </w:rPr>
              <w:fldChar w:fldCharType="end"/>
            </w:r>
          </w:hyperlink>
        </w:p>
        <w:p w14:paraId="269A6398" w14:textId="6614244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44" w:history="1">
            <w:r w:rsidRPr="00F45DCA">
              <w:rPr>
                <w:rStyle w:val="Lienhypertexte"/>
                <w:noProof/>
              </w:rPr>
              <w:t>21.23.3a Maçonneries non portantes en moellons d'arkose CCTB 01.04</w:t>
            </w:r>
            <w:r>
              <w:rPr>
                <w:noProof/>
                <w:webHidden/>
              </w:rPr>
              <w:tab/>
            </w:r>
            <w:r>
              <w:rPr>
                <w:noProof/>
                <w:webHidden/>
              </w:rPr>
              <w:fldChar w:fldCharType="begin"/>
            </w:r>
            <w:r>
              <w:rPr>
                <w:noProof/>
                <w:webHidden/>
              </w:rPr>
              <w:instrText xml:space="preserve"> PAGEREF _Toc220495344 \h </w:instrText>
            </w:r>
            <w:r>
              <w:rPr>
                <w:noProof/>
                <w:webHidden/>
              </w:rPr>
            </w:r>
            <w:r>
              <w:rPr>
                <w:noProof/>
                <w:webHidden/>
              </w:rPr>
              <w:fldChar w:fldCharType="separate"/>
            </w:r>
            <w:r>
              <w:rPr>
                <w:noProof/>
                <w:webHidden/>
              </w:rPr>
              <w:t>271</w:t>
            </w:r>
            <w:r>
              <w:rPr>
                <w:noProof/>
                <w:webHidden/>
              </w:rPr>
              <w:fldChar w:fldCharType="end"/>
            </w:r>
          </w:hyperlink>
        </w:p>
        <w:p w14:paraId="0BEB779E" w14:textId="4D669F2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45" w:history="1">
            <w:r w:rsidRPr="00F45DCA">
              <w:rPr>
                <w:rStyle w:val="Lienhypertexte"/>
                <w:noProof/>
              </w:rPr>
              <w:t>21.23.3b Maçonneries non portantes en moellons de schiste CCTB 01.04</w:t>
            </w:r>
            <w:r>
              <w:rPr>
                <w:noProof/>
                <w:webHidden/>
              </w:rPr>
              <w:tab/>
            </w:r>
            <w:r>
              <w:rPr>
                <w:noProof/>
                <w:webHidden/>
              </w:rPr>
              <w:fldChar w:fldCharType="begin"/>
            </w:r>
            <w:r>
              <w:rPr>
                <w:noProof/>
                <w:webHidden/>
              </w:rPr>
              <w:instrText xml:space="preserve"> PAGEREF _Toc220495345 \h </w:instrText>
            </w:r>
            <w:r>
              <w:rPr>
                <w:noProof/>
                <w:webHidden/>
              </w:rPr>
            </w:r>
            <w:r>
              <w:rPr>
                <w:noProof/>
                <w:webHidden/>
              </w:rPr>
              <w:fldChar w:fldCharType="separate"/>
            </w:r>
            <w:r>
              <w:rPr>
                <w:noProof/>
                <w:webHidden/>
              </w:rPr>
              <w:t>271</w:t>
            </w:r>
            <w:r>
              <w:rPr>
                <w:noProof/>
                <w:webHidden/>
              </w:rPr>
              <w:fldChar w:fldCharType="end"/>
            </w:r>
          </w:hyperlink>
        </w:p>
        <w:p w14:paraId="6358A11E" w14:textId="40369B9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46" w:history="1">
            <w:r w:rsidRPr="00F45DCA">
              <w:rPr>
                <w:rStyle w:val="Lienhypertexte"/>
                <w:noProof/>
              </w:rPr>
              <w:t>21.23.3c Maçonneries non portantes en moellons de grès CCTB 01.13</w:t>
            </w:r>
            <w:r>
              <w:rPr>
                <w:noProof/>
                <w:webHidden/>
              </w:rPr>
              <w:tab/>
            </w:r>
            <w:r>
              <w:rPr>
                <w:noProof/>
                <w:webHidden/>
              </w:rPr>
              <w:fldChar w:fldCharType="begin"/>
            </w:r>
            <w:r>
              <w:rPr>
                <w:noProof/>
                <w:webHidden/>
              </w:rPr>
              <w:instrText xml:space="preserve"> PAGEREF _Toc220495346 \h </w:instrText>
            </w:r>
            <w:r>
              <w:rPr>
                <w:noProof/>
                <w:webHidden/>
              </w:rPr>
            </w:r>
            <w:r>
              <w:rPr>
                <w:noProof/>
                <w:webHidden/>
              </w:rPr>
              <w:fldChar w:fldCharType="separate"/>
            </w:r>
            <w:r>
              <w:rPr>
                <w:noProof/>
                <w:webHidden/>
              </w:rPr>
              <w:t>271</w:t>
            </w:r>
            <w:r>
              <w:rPr>
                <w:noProof/>
                <w:webHidden/>
              </w:rPr>
              <w:fldChar w:fldCharType="end"/>
            </w:r>
          </w:hyperlink>
        </w:p>
        <w:p w14:paraId="5A29E8FE" w14:textId="429FC03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47" w:history="1">
            <w:r w:rsidRPr="00F45DCA">
              <w:rPr>
                <w:rStyle w:val="Lienhypertexte"/>
                <w:noProof/>
              </w:rPr>
              <w:t>21.23.3d Maçonneries non portantes en moellons de quartzite CCTB 01.04</w:t>
            </w:r>
            <w:r>
              <w:rPr>
                <w:noProof/>
                <w:webHidden/>
              </w:rPr>
              <w:tab/>
            </w:r>
            <w:r>
              <w:rPr>
                <w:noProof/>
                <w:webHidden/>
              </w:rPr>
              <w:fldChar w:fldCharType="begin"/>
            </w:r>
            <w:r>
              <w:rPr>
                <w:noProof/>
                <w:webHidden/>
              </w:rPr>
              <w:instrText xml:space="preserve"> PAGEREF _Toc220495347 \h </w:instrText>
            </w:r>
            <w:r>
              <w:rPr>
                <w:noProof/>
                <w:webHidden/>
              </w:rPr>
            </w:r>
            <w:r>
              <w:rPr>
                <w:noProof/>
                <w:webHidden/>
              </w:rPr>
              <w:fldChar w:fldCharType="separate"/>
            </w:r>
            <w:r>
              <w:rPr>
                <w:noProof/>
                <w:webHidden/>
              </w:rPr>
              <w:t>277</w:t>
            </w:r>
            <w:r>
              <w:rPr>
                <w:noProof/>
                <w:webHidden/>
              </w:rPr>
              <w:fldChar w:fldCharType="end"/>
            </w:r>
          </w:hyperlink>
        </w:p>
        <w:p w14:paraId="14DC4419" w14:textId="4325FF5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48" w:history="1">
            <w:r w:rsidRPr="00F45DCA">
              <w:rPr>
                <w:rStyle w:val="Lienhypertexte"/>
                <w:noProof/>
              </w:rPr>
              <w:t>21.23.3e Maçonneries non portantes en moellons de silex CCTB 01.04</w:t>
            </w:r>
            <w:r>
              <w:rPr>
                <w:noProof/>
                <w:webHidden/>
              </w:rPr>
              <w:tab/>
            </w:r>
            <w:r>
              <w:rPr>
                <w:noProof/>
                <w:webHidden/>
              </w:rPr>
              <w:fldChar w:fldCharType="begin"/>
            </w:r>
            <w:r>
              <w:rPr>
                <w:noProof/>
                <w:webHidden/>
              </w:rPr>
              <w:instrText xml:space="preserve"> PAGEREF _Toc220495348 \h </w:instrText>
            </w:r>
            <w:r>
              <w:rPr>
                <w:noProof/>
                <w:webHidden/>
              </w:rPr>
            </w:r>
            <w:r>
              <w:rPr>
                <w:noProof/>
                <w:webHidden/>
              </w:rPr>
              <w:fldChar w:fldCharType="separate"/>
            </w:r>
            <w:r>
              <w:rPr>
                <w:noProof/>
                <w:webHidden/>
              </w:rPr>
              <w:t>277</w:t>
            </w:r>
            <w:r>
              <w:rPr>
                <w:noProof/>
                <w:webHidden/>
              </w:rPr>
              <w:fldChar w:fldCharType="end"/>
            </w:r>
          </w:hyperlink>
        </w:p>
        <w:p w14:paraId="612D352B" w14:textId="3DE0007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349" w:history="1">
            <w:r w:rsidRPr="00F45DCA">
              <w:rPr>
                <w:rStyle w:val="Lienhypertexte"/>
                <w:noProof/>
              </w:rPr>
              <w:t>21.24 Maçonneries non portantes en grands éléments CCTB 01.04</w:t>
            </w:r>
            <w:r>
              <w:rPr>
                <w:noProof/>
                <w:webHidden/>
              </w:rPr>
              <w:tab/>
            </w:r>
            <w:r>
              <w:rPr>
                <w:noProof/>
                <w:webHidden/>
              </w:rPr>
              <w:fldChar w:fldCharType="begin"/>
            </w:r>
            <w:r>
              <w:rPr>
                <w:noProof/>
                <w:webHidden/>
              </w:rPr>
              <w:instrText xml:space="preserve"> PAGEREF _Toc220495349 \h </w:instrText>
            </w:r>
            <w:r>
              <w:rPr>
                <w:noProof/>
                <w:webHidden/>
              </w:rPr>
            </w:r>
            <w:r>
              <w:rPr>
                <w:noProof/>
                <w:webHidden/>
              </w:rPr>
              <w:fldChar w:fldCharType="separate"/>
            </w:r>
            <w:r>
              <w:rPr>
                <w:noProof/>
                <w:webHidden/>
              </w:rPr>
              <w:t>277</w:t>
            </w:r>
            <w:r>
              <w:rPr>
                <w:noProof/>
                <w:webHidden/>
              </w:rPr>
              <w:fldChar w:fldCharType="end"/>
            </w:r>
          </w:hyperlink>
        </w:p>
        <w:p w14:paraId="1E5D9468" w14:textId="6F69BAC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50" w:history="1">
            <w:r w:rsidRPr="00F45DCA">
              <w:rPr>
                <w:rStyle w:val="Lienhypertexte"/>
                <w:noProof/>
              </w:rPr>
              <w:t>21.24.1 Maçonneries non portantes en éléments de grand format CCTB 01.04</w:t>
            </w:r>
            <w:r>
              <w:rPr>
                <w:noProof/>
                <w:webHidden/>
              </w:rPr>
              <w:tab/>
            </w:r>
            <w:r>
              <w:rPr>
                <w:noProof/>
                <w:webHidden/>
              </w:rPr>
              <w:fldChar w:fldCharType="begin"/>
            </w:r>
            <w:r>
              <w:rPr>
                <w:noProof/>
                <w:webHidden/>
              </w:rPr>
              <w:instrText xml:space="preserve"> PAGEREF _Toc220495350 \h </w:instrText>
            </w:r>
            <w:r>
              <w:rPr>
                <w:noProof/>
                <w:webHidden/>
              </w:rPr>
            </w:r>
            <w:r>
              <w:rPr>
                <w:noProof/>
                <w:webHidden/>
              </w:rPr>
              <w:fldChar w:fldCharType="separate"/>
            </w:r>
            <w:r>
              <w:rPr>
                <w:noProof/>
                <w:webHidden/>
              </w:rPr>
              <w:t>277</w:t>
            </w:r>
            <w:r>
              <w:rPr>
                <w:noProof/>
                <w:webHidden/>
              </w:rPr>
              <w:fldChar w:fldCharType="end"/>
            </w:r>
          </w:hyperlink>
        </w:p>
        <w:p w14:paraId="07130ED6" w14:textId="32B97AE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51" w:history="1">
            <w:r w:rsidRPr="00F45DCA">
              <w:rPr>
                <w:rStyle w:val="Lienhypertexte"/>
                <w:noProof/>
              </w:rPr>
              <w:t>21.24.1a Maçonneries non portantes en éléments de grand format de silico-calcaire CCTB 01.12</w:t>
            </w:r>
            <w:r>
              <w:rPr>
                <w:noProof/>
                <w:webHidden/>
              </w:rPr>
              <w:tab/>
            </w:r>
            <w:r>
              <w:rPr>
                <w:noProof/>
                <w:webHidden/>
              </w:rPr>
              <w:fldChar w:fldCharType="begin"/>
            </w:r>
            <w:r>
              <w:rPr>
                <w:noProof/>
                <w:webHidden/>
              </w:rPr>
              <w:instrText xml:space="preserve"> PAGEREF _Toc220495351 \h </w:instrText>
            </w:r>
            <w:r>
              <w:rPr>
                <w:noProof/>
                <w:webHidden/>
              </w:rPr>
            </w:r>
            <w:r>
              <w:rPr>
                <w:noProof/>
                <w:webHidden/>
              </w:rPr>
              <w:fldChar w:fldCharType="separate"/>
            </w:r>
            <w:r>
              <w:rPr>
                <w:noProof/>
                <w:webHidden/>
              </w:rPr>
              <w:t>277</w:t>
            </w:r>
            <w:r>
              <w:rPr>
                <w:noProof/>
                <w:webHidden/>
              </w:rPr>
              <w:fldChar w:fldCharType="end"/>
            </w:r>
          </w:hyperlink>
        </w:p>
        <w:p w14:paraId="012CCBF0" w14:textId="47226C9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52" w:history="1">
            <w:r w:rsidRPr="00F45DCA">
              <w:rPr>
                <w:rStyle w:val="Lienhypertexte"/>
                <w:noProof/>
              </w:rPr>
              <w:t>21.24.1b Maçonneries non portantes en panneaux verticaux collés en béton cellulaire CCTB 01.11</w:t>
            </w:r>
            <w:r>
              <w:rPr>
                <w:noProof/>
                <w:webHidden/>
              </w:rPr>
              <w:tab/>
            </w:r>
            <w:r>
              <w:rPr>
                <w:noProof/>
                <w:webHidden/>
              </w:rPr>
              <w:fldChar w:fldCharType="begin"/>
            </w:r>
            <w:r>
              <w:rPr>
                <w:noProof/>
                <w:webHidden/>
              </w:rPr>
              <w:instrText xml:space="preserve"> PAGEREF _Toc220495352 \h </w:instrText>
            </w:r>
            <w:r>
              <w:rPr>
                <w:noProof/>
                <w:webHidden/>
              </w:rPr>
            </w:r>
            <w:r>
              <w:rPr>
                <w:noProof/>
                <w:webHidden/>
              </w:rPr>
              <w:fldChar w:fldCharType="separate"/>
            </w:r>
            <w:r>
              <w:rPr>
                <w:noProof/>
                <w:webHidden/>
              </w:rPr>
              <w:t>280</w:t>
            </w:r>
            <w:r>
              <w:rPr>
                <w:noProof/>
                <w:webHidden/>
              </w:rPr>
              <w:fldChar w:fldCharType="end"/>
            </w:r>
          </w:hyperlink>
        </w:p>
        <w:p w14:paraId="2E985F66" w14:textId="21D5D07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53" w:history="1">
            <w:r w:rsidRPr="00F45DCA">
              <w:rPr>
                <w:rStyle w:val="Lienhypertexte"/>
                <w:noProof/>
              </w:rPr>
              <w:t>21.24.2 Maçonneries non portantes préfabriquées CCTB 01.04</w:t>
            </w:r>
            <w:r>
              <w:rPr>
                <w:noProof/>
                <w:webHidden/>
              </w:rPr>
              <w:tab/>
            </w:r>
            <w:r>
              <w:rPr>
                <w:noProof/>
                <w:webHidden/>
              </w:rPr>
              <w:fldChar w:fldCharType="begin"/>
            </w:r>
            <w:r>
              <w:rPr>
                <w:noProof/>
                <w:webHidden/>
              </w:rPr>
              <w:instrText xml:space="preserve"> PAGEREF _Toc220495353 \h </w:instrText>
            </w:r>
            <w:r>
              <w:rPr>
                <w:noProof/>
                <w:webHidden/>
              </w:rPr>
            </w:r>
            <w:r>
              <w:rPr>
                <w:noProof/>
                <w:webHidden/>
              </w:rPr>
              <w:fldChar w:fldCharType="separate"/>
            </w:r>
            <w:r>
              <w:rPr>
                <w:noProof/>
                <w:webHidden/>
              </w:rPr>
              <w:t>282</w:t>
            </w:r>
            <w:r>
              <w:rPr>
                <w:noProof/>
                <w:webHidden/>
              </w:rPr>
              <w:fldChar w:fldCharType="end"/>
            </w:r>
          </w:hyperlink>
        </w:p>
        <w:p w14:paraId="2690A226" w14:textId="1A2A3A8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54" w:history="1">
            <w:r w:rsidRPr="00F45DCA">
              <w:rPr>
                <w:rStyle w:val="Lienhypertexte"/>
                <w:noProof/>
              </w:rPr>
              <w:t>21.24.2a Maçonneries non portantes préfabriquées en blocs de terre cuite CCTB 01.11</w:t>
            </w:r>
            <w:r>
              <w:rPr>
                <w:noProof/>
                <w:webHidden/>
              </w:rPr>
              <w:tab/>
            </w:r>
            <w:r>
              <w:rPr>
                <w:noProof/>
                <w:webHidden/>
              </w:rPr>
              <w:fldChar w:fldCharType="begin"/>
            </w:r>
            <w:r>
              <w:rPr>
                <w:noProof/>
                <w:webHidden/>
              </w:rPr>
              <w:instrText xml:space="preserve"> PAGEREF _Toc220495354 \h </w:instrText>
            </w:r>
            <w:r>
              <w:rPr>
                <w:noProof/>
                <w:webHidden/>
              </w:rPr>
            </w:r>
            <w:r>
              <w:rPr>
                <w:noProof/>
                <w:webHidden/>
              </w:rPr>
              <w:fldChar w:fldCharType="separate"/>
            </w:r>
            <w:r>
              <w:rPr>
                <w:noProof/>
                <w:webHidden/>
              </w:rPr>
              <w:t>282</w:t>
            </w:r>
            <w:r>
              <w:rPr>
                <w:noProof/>
                <w:webHidden/>
              </w:rPr>
              <w:fldChar w:fldCharType="end"/>
            </w:r>
          </w:hyperlink>
        </w:p>
        <w:p w14:paraId="15A965D5" w14:textId="034926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55" w:history="1">
            <w:r w:rsidRPr="00F45DCA">
              <w:rPr>
                <w:rStyle w:val="Lienhypertexte"/>
                <w:noProof/>
              </w:rPr>
              <w:t>21.24.2b Maçonneries non portantes préfabriquées en blocs de béton CCTB 01.11</w:t>
            </w:r>
            <w:r>
              <w:rPr>
                <w:noProof/>
                <w:webHidden/>
              </w:rPr>
              <w:tab/>
            </w:r>
            <w:r>
              <w:rPr>
                <w:noProof/>
                <w:webHidden/>
              </w:rPr>
              <w:fldChar w:fldCharType="begin"/>
            </w:r>
            <w:r>
              <w:rPr>
                <w:noProof/>
                <w:webHidden/>
              </w:rPr>
              <w:instrText xml:space="preserve"> PAGEREF _Toc220495355 \h </w:instrText>
            </w:r>
            <w:r>
              <w:rPr>
                <w:noProof/>
                <w:webHidden/>
              </w:rPr>
            </w:r>
            <w:r>
              <w:rPr>
                <w:noProof/>
                <w:webHidden/>
              </w:rPr>
              <w:fldChar w:fldCharType="separate"/>
            </w:r>
            <w:r>
              <w:rPr>
                <w:noProof/>
                <w:webHidden/>
              </w:rPr>
              <w:t>283</w:t>
            </w:r>
            <w:r>
              <w:rPr>
                <w:noProof/>
                <w:webHidden/>
              </w:rPr>
              <w:fldChar w:fldCharType="end"/>
            </w:r>
          </w:hyperlink>
        </w:p>
        <w:p w14:paraId="1EB46C4B" w14:textId="61DCCED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56" w:history="1">
            <w:r w:rsidRPr="00F45DCA">
              <w:rPr>
                <w:rStyle w:val="Lienhypertexte"/>
                <w:noProof/>
              </w:rPr>
              <w:t>21.24.2c Maçonneries non portantes préfabriquées en blocs de béton d'argile expansée CCTB 01.11</w:t>
            </w:r>
            <w:r>
              <w:rPr>
                <w:noProof/>
                <w:webHidden/>
              </w:rPr>
              <w:tab/>
            </w:r>
            <w:r>
              <w:rPr>
                <w:noProof/>
                <w:webHidden/>
              </w:rPr>
              <w:fldChar w:fldCharType="begin"/>
            </w:r>
            <w:r>
              <w:rPr>
                <w:noProof/>
                <w:webHidden/>
              </w:rPr>
              <w:instrText xml:space="preserve"> PAGEREF _Toc220495356 \h </w:instrText>
            </w:r>
            <w:r>
              <w:rPr>
                <w:noProof/>
                <w:webHidden/>
              </w:rPr>
            </w:r>
            <w:r>
              <w:rPr>
                <w:noProof/>
                <w:webHidden/>
              </w:rPr>
              <w:fldChar w:fldCharType="separate"/>
            </w:r>
            <w:r>
              <w:rPr>
                <w:noProof/>
                <w:webHidden/>
              </w:rPr>
              <w:t>284</w:t>
            </w:r>
            <w:r>
              <w:rPr>
                <w:noProof/>
                <w:webHidden/>
              </w:rPr>
              <w:fldChar w:fldCharType="end"/>
            </w:r>
          </w:hyperlink>
        </w:p>
        <w:p w14:paraId="0AAB3528" w14:textId="119635B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57" w:history="1">
            <w:r w:rsidRPr="00F45DCA">
              <w:rPr>
                <w:rStyle w:val="Lienhypertexte"/>
                <w:noProof/>
              </w:rPr>
              <w:t>21.24.2d Maçonneries non portantes préfabriquées en blocs de silico-calcaire CCTB 01.12</w:t>
            </w:r>
            <w:r>
              <w:rPr>
                <w:noProof/>
                <w:webHidden/>
              </w:rPr>
              <w:tab/>
            </w:r>
            <w:r>
              <w:rPr>
                <w:noProof/>
                <w:webHidden/>
              </w:rPr>
              <w:fldChar w:fldCharType="begin"/>
            </w:r>
            <w:r>
              <w:rPr>
                <w:noProof/>
                <w:webHidden/>
              </w:rPr>
              <w:instrText xml:space="preserve"> PAGEREF _Toc220495357 \h </w:instrText>
            </w:r>
            <w:r>
              <w:rPr>
                <w:noProof/>
                <w:webHidden/>
              </w:rPr>
            </w:r>
            <w:r>
              <w:rPr>
                <w:noProof/>
                <w:webHidden/>
              </w:rPr>
              <w:fldChar w:fldCharType="separate"/>
            </w:r>
            <w:r>
              <w:rPr>
                <w:noProof/>
                <w:webHidden/>
              </w:rPr>
              <w:t>285</w:t>
            </w:r>
            <w:r>
              <w:rPr>
                <w:noProof/>
                <w:webHidden/>
              </w:rPr>
              <w:fldChar w:fldCharType="end"/>
            </w:r>
          </w:hyperlink>
        </w:p>
        <w:p w14:paraId="6522E854" w14:textId="2722A5B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358" w:history="1">
            <w:r w:rsidRPr="00F45DCA">
              <w:rPr>
                <w:rStyle w:val="Lienhypertexte"/>
                <w:noProof/>
              </w:rPr>
              <w:t>21.25 Maçonneries non portantes en ensembles de blocs de verre CCTB 01.10</w:t>
            </w:r>
            <w:r>
              <w:rPr>
                <w:noProof/>
                <w:webHidden/>
              </w:rPr>
              <w:tab/>
            </w:r>
            <w:r>
              <w:rPr>
                <w:noProof/>
                <w:webHidden/>
              </w:rPr>
              <w:fldChar w:fldCharType="begin"/>
            </w:r>
            <w:r>
              <w:rPr>
                <w:noProof/>
                <w:webHidden/>
              </w:rPr>
              <w:instrText xml:space="preserve"> PAGEREF _Toc220495358 \h </w:instrText>
            </w:r>
            <w:r>
              <w:rPr>
                <w:noProof/>
                <w:webHidden/>
              </w:rPr>
            </w:r>
            <w:r>
              <w:rPr>
                <w:noProof/>
                <w:webHidden/>
              </w:rPr>
              <w:fldChar w:fldCharType="separate"/>
            </w:r>
            <w:r>
              <w:rPr>
                <w:noProof/>
                <w:webHidden/>
              </w:rPr>
              <w:t>288</w:t>
            </w:r>
            <w:r>
              <w:rPr>
                <w:noProof/>
                <w:webHidden/>
              </w:rPr>
              <w:fldChar w:fldCharType="end"/>
            </w:r>
          </w:hyperlink>
        </w:p>
        <w:p w14:paraId="0737C7D5" w14:textId="601CA8A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59" w:history="1">
            <w:r w:rsidRPr="00F45DCA">
              <w:rPr>
                <w:rStyle w:val="Lienhypertexte"/>
                <w:noProof/>
              </w:rPr>
              <w:t>21.25.1 Maçonneries non portantes en ensembles de blocs de verre CCTB 01.11</w:t>
            </w:r>
            <w:r>
              <w:rPr>
                <w:noProof/>
                <w:webHidden/>
              </w:rPr>
              <w:tab/>
            </w:r>
            <w:r>
              <w:rPr>
                <w:noProof/>
                <w:webHidden/>
              </w:rPr>
              <w:fldChar w:fldCharType="begin"/>
            </w:r>
            <w:r>
              <w:rPr>
                <w:noProof/>
                <w:webHidden/>
              </w:rPr>
              <w:instrText xml:space="preserve"> PAGEREF _Toc220495359 \h </w:instrText>
            </w:r>
            <w:r>
              <w:rPr>
                <w:noProof/>
                <w:webHidden/>
              </w:rPr>
            </w:r>
            <w:r>
              <w:rPr>
                <w:noProof/>
                <w:webHidden/>
              </w:rPr>
              <w:fldChar w:fldCharType="separate"/>
            </w:r>
            <w:r>
              <w:rPr>
                <w:noProof/>
                <w:webHidden/>
              </w:rPr>
              <w:t>288</w:t>
            </w:r>
            <w:r>
              <w:rPr>
                <w:noProof/>
                <w:webHidden/>
              </w:rPr>
              <w:fldChar w:fldCharType="end"/>
            </w:r>
          </w:hyperlink>
        </w:p>
        <w:p w14:paraId="01F9E1FE" w14:textId="35AF47F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60" w:history="1">
            <w:r w:rsidRPr="00F45DCA">
              <w:rPr>
                <w:rStyle w:val="Lienhypertexte"/>
                <w:noProof/>
              </w:rPr>
              <w:t>21.25.1a Maçonneries non portantes en ensembles de blocs de verre CCTB 01.11</w:t>
            </w:r>
            <w:r>
              <w:rPr>
                <w:noProof/>
                <w:webHidden/>
              </w:rPr>
              <w:tab/>
            </w:r>
            <w:r>
              <w:rPr>
                <w:noProof/>
                <w:webHidden/>
              </w:rPr>
              <w:fldChar w:fldCharType="begin"/>
            </w:r>
            <w:r>
              <w:rPr>
                <w:noProof/>
                <w:webHidden/>
              </w:rPr>
              <w:instrText xml:space="preserve"> PAGEREF _Toc220495360 \h </w:instrText>
            </w:r>
            <w:r>
              <w:rPr>
                <w:noProof/>
                <w:webHidden/>
              </w:rPr>
            </w:r>
            <w:r>
              <w:rPr>
                <w:noProof/>
                <w:webHidden/>
              </w:rPr>
              <w:fldChar w:fldCharType="separate"/>
            </w:r>
            <w:r>
              <w:rPr>
                <w:noProof/>
                <w:webHidden/>
              </w:rPr>
              <w:t>289</w:t>
            </w:r>
            <w:r>
              <w:rPr>
                <w:noProof/>
                <w:webHidden/>
              </w:rPr>
              <w:fldChar w:fldCharType="end"/>
            </w:r>
          </w:hyperlink>
        </w:p>
        <w:p w14:paraId="6A5F75CF" w14:textId="01DFE8C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61" w:history="1">
            <w:r w:rsidRPr="00F45DCA">
              <w:rPr>
                <w:rStyle w:val="Lienhypertexte"/>
                <w:noProof/>
              </w:rPr>
              <w:t>21.25.1b Maçonneries non portantes en panneaux préfabriqués en blocs de verre CCTB 01.11</w:t>
            </w:r>
            <w:r>
              <w:rPr>
                <w:noProof/>
                <w:webHidden/>
              </w:rPr>
              <w:tab/>
            </w:r>
            <w:r>
              <w:rPr>
                <w:noProof/>
                <w:webHidden/>
              </w:rPr>
              <w:fldChar w:fldCharType="begin"/>
            </w:r>
            <w:r>
              <w:rPr>
                <w:noProof/>
                <w:webHidden/>
              </w:rPr>
              <w:instrText xml:space="preserve"> PAGEREF _Toc220495361 \h </w:instrText>
            </w:r>
            <w:r>
              <w:rPr>
                <w:noProof/>
                <w:webHidden/>
              </w:rPr>
            </w:r>
            <w:r>
              <w:rPr>
                <w:noProof/>
                <w:webHidden/>
              </w:rPr>
              <w:fldChar w:fldCharType="separate"/>
            </w:r>
            <w:r>
              <w:rPr>
                <w:noProof/>
                <w:webHidden/>
              </w:rPr>
              <w:t>291</w:t>
            </w:r>
            <w:r>
              <w:rPr>
                <w:noProof/>
                <w:webHidden/>
              </w:rPr>
              <w:fldChar w:fldCharType="end"/>
            </w:r>
          </w:hyperlink>
        </w:p>
        <w:p w14:paraId="6B376A4E" w14:textId="4DA023EA"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362" w:history="1">
            <w:r w:rsidRPr="00F45DCA">
              <w:rPr>
                <w:rStyle w:val="Lienhypertexte"/>
                <w:noProof/>
              </w:rPr>
              <w:t>21.3 Maçonneries de parement CCTB 01.11</w:t>
            </w:r>
            <w:r>
              <w:rPr>
                <w:noProof/>
                <w:webHidden/>
              </w:rPr>
              <w:tab/>
            </w:r>
            <w:r>
              <w:rPr>
                <w:noProof/>
                <w:webHidden/>
              </w:rPr>
              <w:fldChar w:fldCharType="begin"/>
            </w:r>
            <w:r>
              <w:rPr>
                <w:noProof/>
                <w:webHidden/>
              </w:rPr>
              <w:instrText xml:space="preserve"> PAGEREF _Toc220495362 \h </w:instrText>
            </w:r>
            <w:r>
              <w:rPr>
                <w:noProof/>
                <w:webHidden/>
              </w:rPr>
            </w:r>
            <w:r>
              <w:rPr>
                <w:noProof/>
                <w:webHidden/>
              </w:rPr>
              <w:fldChar w:fldCharType="separate"/>
            </w:r>
            <w:r>
              <w:rPr>
                <w:noProof/>
                <w:webHidden/>
              </w:rPr>
              <w:t>293</w:t>
            </w:r>
            <w:r>
              <w:rPr>
                <w:noProof/>
                <w:webHidden/>
              </w:rPr>
              <w:fldChar w:fldCharType="end"/>
            </w:r>
          </w:hyperlink>
        </w:p>
        <w:p w14:paraId="47F61697" w14:textId="60C6E44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363" w:history="1">
            <w:r w:rsidRPr="00F45DCA">
              <w:rPr>
                <w:rStyle w:val="Lienhypertexte"/>
                <w:noProof/>
              </w:rPr>
              <w:t>21.31 Maçonneries de parement en briques CCTB 01.09</w:t>
            </w:r>
            <w:r>
              <w:rPr>
                <w:noProof/>
                <w:webHidden/>
              </w:rPr>
              <w:tab/>
            </w:r>
            <w:r>
              <w:rPr>
                <w:noProof/>
                <w:webHidden/>
              </w:rPr>
              <w:fldChar w:fldCharType="begin"/>
            </w:r>
            <w:r>
              <w:rPr>
                <w:noProof/>
                <w:webHidden/>
              </w:rPr>
              <w:instrText xml:space="preserve"> PAGEREF _Toc220495363 \h </w:instrText>
            </w:r>
            <w:r>
              <w:rPr>
                <w:noProof/>
                <w:webHidden/>
              </w:rPr>
            </w:r>
            <w:r>
              <w:rPr>
                <w:noProof/>
                <w:webHidden/>
              </w:rPr>
              <w:fldChar w:fldCharType="separate"/>
            </w:r>
            <w:r>
              <w:rPr>
                <w:noProof/>
                <w:webHidden/>
              </w:rPr>
              <w:t>298</w:t>
            </w:r>
            <w:r>
              <w:rPr>
                <w:noProof/>
                <w:webHidden/>
              </w:rPr>
              <w:fldChar w:fldCharType="end"/>
            </w:r>
          </w:hyperlink>
        </w:p>
        <w:p w14:paraId="46CD7A31" w14:textId="77FBF70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64" w:history="1">
            <w:r w:rsidRPr="00F45DCA">
              <w:rPr>
                <w:rStyle w:val="Lienhypertexte"/>
                <w:noProof/>
              </w:rPr>
              <w:t>21.31.1 Maçonneries de parement en briques de terre cuite CCTB 01.11</w:t>
            </w:r>
            <w:r>
              <w:rPr>
                <w:noProof/>
                <w:webHidden/>
              </w:rPr>
              <w:tab/>
            </w:r>
            <w:r>
              <w:rPr>
                <w:noProof/>
                <w:webHidden/>
              </w:rPr>
              <w:fldChar w:fldCharType="begin"/>
            </w:r>
            <w:r>
              <w:rPr>
                <w:noProof/>
                <w:webHidden/>
              </w:rPr>
              <w:instrText xml:space="preserve"> PAGEREF _Toc220495364 \h </w:instrText>
            </w:r>
            <w:r>
              <w:rPr>
                <w:noProof/>
                <w:webHidden/>
              </w:rPr>
            </w:r>
            <w:r>
              <w:rPr>
                <w:noProof/>
                <w:webHidden/>
              </w:rPr>
              <w:fldChar w:fldCharType="separate"/>
            </w:r>
            <w:r>
              <w:rPr>
                <w:noProof/>
                <w:webHidden/>
              </w:rPr>
              <w:t>298</w:t>
            </w:r>
            <w:r>
              <w:rPr>
                <w:noProof/>
                <w:webHidden/>
              </w:rPr>
              <w:fldChar w:fldCharType="end"/>
            </w:r>
          </w:hyperlink>
        </w:p>
        <w:p w14:paraId="53D593C0" w14:textId="06AC2E0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65" w:history="1">
            <w:r w:rsidRPr="00F45DCA">
              <w:rPr>
                <w:rStyle w:val="Lienhypertexte"/>
                <w:noProof/>
              </w:rPr>
              <w:t>21.31.1a Maçonneries de parement en briques de terre cuite à maçonner CCTB 01.13</w:t>
            </w:r>
            <w:r>
              <w:rPr>
                <w:noProof/>
                <w:webHidden/>
              </w:rPr>
              <w:tab/>
            </w:r>
            <w:r>
              <w:rPr>
                <w:noProof/>
                <w:webHidden/>
              </w:rPr>
              <w:fldChar w:fldCharType="begin"/>
            </w:r>
            <w:r>
              <w:rPr>
                <w:noProof/>
                <w:webHidden/>
              </w:rPr>
              <w:instrText xml:space="preserve"> PAGEREF _Toc220495365 \h </w:instrText>
            </w:r>
            <w:r>
              <w:rPr>
                <w:noProof/>
                <w:webHidden/>
              </w:rPr>
            </w:r>
            <w:r>
              <w:rPr>
                <w:noProof/>
                <w:webHidden/>
              </w:rPr>
              <w:fldChar w:fldCharType="separate"/>
            </w:r>
            <w:r>
              <w:rPr>
                <w:noProof/>
                <w:webHidden/>
              </w:rPr>
              <w:t>299</w:t>
            </w:r>
            <w:r>
              <w:rPr>
                <w:noProof/>
                <w:webHidden/>
              </w:rPr>
              <w:fldChar w:fldCharType="end"/>
            </w:r>
          </w:hyperlink>
        </w:p>
        <w:p w14:paraId="43920072" w14:textId="377BCE2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66" w:history="1">
            <w:r w:rsidRPr="00F45DCA">
              <w:rPr>
                <w:rStyle w:val="Lienhypertexte"/>
                <w:noProof/>
              </w:rPr>
              <w:t>21.31.1b Maçonneries de parement en briques de terre cuite à coller CCTB 01.13</w:t>
            </w:r>
            <w:r>
              <w:rPr>
                <w:noProof/>
                <w:webHidden/>
              </w:rPr>
              <w:tab/>
            </w:r>
            <w:r>
              <w:rPr>
                <w:noProof/>
                <w:webHidden/>
              </w:rPr>
              <w:fldChar w:fldCharType="begin"/>
            </w:r>
            <w:r>
              <w:rPr>
                <w:noProof/>
                <w:webHidden/>
              </w:rPr>
              <w:instrText xml:space="preserve"> PAGEREF _Toc220495366 \h </w:instrText>
            </w:r>
            <w:r>
              <w:rPr>
                <w:noProof/>
                <w:webHidden/>
              </w:rPr>
            </w:r>
            <w:r>
              <w:rPr>
                <w:noProof/>
                <w:webHidden/>
              </w:rPr>
              <w:fldChar w:fldCharType="separate"/>
            </w:r>
            <w:r>
              <w:rPr>
                <w:noProof/>
                <w:webHidden/>
              </w:rPr>
              <w:t>302</w:t>
            </w:r>
            <w:r>
              <w:rPr>
                <w:noProof/>
                <w:webHidden/>
              </w:rPr>
              <w:fldChar w:fldCharType="end"/>
            </w:r>
          </w:hyperlink>
        </w:p>
        <w:p w14:paraId="5327EB22" w14:textId="5750D0D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67" w:history="1">
            <w:r w:rsidRPr="00F45DCA">
              <w:rPr>
                <w:rStyle w:val="Lienhypertexte"/>
                <w:noProof/>
              </w:rPr>
              <w:t>21.31.1c Maçonneries de parement en briques de terre cuite de réemploi CCTB 01.13</w:t>
            </w:r>
            <w:r>
              <w:rPr>
                <w:noProof/>
                <w:webHidden/>
              </w:rPr>
              <w:tab/>
            </w:r>
            <w:r>
              <w:rPr>
                <w:noProof/>
                <w:webHidden/>
              </w:rPr>
              <w:fldChar w:fldCharType="begin"/>
            </w:r>
            <w:r>
              <w:rPr>
                <w:noProof/>
                <w:webHidden/>
              </w:rPr>
              <w:instrText xml:space="preserve"> PAGEREF _Toc220495367 \h </w:instrText>
            </w:r>
            <w:r>
              <w:rPr>
                <w:noProof/>
                <w:webHidden/>
              </w:rPr>
            </w:r>
            <w:r>
              <w:rPr>
                <w:noProof/>
                <w:webHidden/>
              </w:rPr>
              <w:fldChar w:fldCharType="separate"/>
            </w:r>
            <w:r>
              <w:rPr>
                <w:noProof/>
                <w:webHidden/>
              </w:rPr>
              <w:t>305</w:t>
            </w:r>
            <w:r>
              <w:rPr>
                <w:noProof/>
                <w:webHidden/>
              </w:rPr>
              <w:fldChar w:fldCharType="end"/>
            </w:r>
          </w:hyperlink>
        </w:p>
        <w:p w14:paraId="3D744966" w14:textId="09E19CC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68" w:history="1">
            <w:r w:rsidRPr="00F45DCA">
              <w:rPr>
                <w:rStyle w:val="Lienhypertexte"/>
                <w:noProof/>
              </w:rPr>
              <w:t>21.31.2 Maçonneries de parement en briques de béton CCTB 01.11</w:t>
            </w:r>
            <w:r>
              <w:rPr>
                <w:noProof/>
                <w:webHidden/>
              </w:rPr>
              <w:tab/>
            </w:r>
            <w:r>
              <w:rPr>
                <w:noProof/>
                <w:webHidden/>
              </w:rPr>
              <w:fldChar w:fldCharType="begin"/>
            </w:r>
            <w:r>
              <w:rPr>
                <w:noProof/>
                <w:webHidden/>
              </w:rPr>
              <w:instrText xml:space="preserve"> PAGEREF _Toc220495368 \h </w:instrText>
            </w:r>
            <w:r>
              <w:rPr>
                <w:noProof/>
                <w:webHidden/>
              </w:rPr>
            </w:r>
            <w:r>
              <w:rPr>
                <w:noProof/>
                <w:webHidden/>
              </w:rPr>
              <w:fldChar w:fldCharType="separate"/>
            </w:r>
            <w:r>
              <w:rPr>
                <w:noProof/>
                <w:webHidden/>
              </w:rPr>
              <w:t>308</w:t>
            </w:r>
            <w:r>
              <w:rPr>
                <w:noProof/>
                <w:webHidden/>
              </w:rPr>
              <w:fldChar w:fldCharType="end"/>
            </w:r>
          </w:hyperlink>
        </w:p>
        <w:p w14:paraId="3130A3EC" w14:textId="6F763ED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69" w:history="1">
            <w:r w:rsidRPr="00F45DCA">
              <w:rPr>
                <w:rStyle w:val="Lienhypertexte"/>
                <w:noProof/>
              </w:rPr>
              <w:t>21.31.2a Maçonneries de parement en briques de béton à maçonner CCTB 01.11</w:t>
            </w:r>
            <w:r>
              <w:rPr>
                <w:noProof/>
                <w:webHidden/>
              </w:rPr>
              <w:tab/>
            </w:r>
            <w:r>
              <w:rPr>
                <w:noProof/>
                <w:webHidden/>
              </w:rPr>
              <w:fldChar w:fldCharType="begin"/>
            </w:r>
            <w:r>
              <w:rPr>
                <w:noProof/>
                <w:webHidden/>
              </w:rPr>
              <w:instrText xml:space="preserve"> PAGEREF _Toc220495369 \h </w:instrText>
            </w:r>
            <w:r>
              <w:rPr>
                <w:noProof/>
                <w:webHidden/>
              </w:rPr>
            </w:r>
            <w:r>
              <w:rPr>
                <w:noProof/>
                <w:webHidden/>
              </w:rPr>
              <w:fldChar w:fldCharType="separate"/>
            </w:r>
            <w:r>
              <w:rPr>
                <w:noProof/>
                <w:webHidden/>
              </w:rPr>
              <w:t>308</w:t>
            </w:r>
            <w:r>
              <w:rPr>
                <w:noProof/>
                <w:webHidden/>
              </w:rPr>
              <w:fldChar w:fldCharType="end"/>
            </w:r>
          </w:hyperlink>
        </w:p>
        <w:p w14:paraId="320D74B8" w14:textId="53AF080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70" w:history="1">
            <w:r w:rsidRPr="00F45DCA">
              <w:rPr>
                <w:rStyle w:val="Lienhypertexte"/>
                <w:noProof/>
              </w:rPr>
              <w:t>21.31.2b Maçonneries de parement en briques de béton à coller CCTB 01.11</w:t>
            </w:r>
            <w:r>
              <w:rPr>
                <w:noProof/>
                <w:webHidden/>
              </w:rPr>
              <w:tab/>
            </w:r>
            <w:r>
              <w:rPr>
                <w:noProof/>
                <w:webHidden/>
              </w:rPr>
              <w:fldChar w:fldCharType="begin"/>
            </w:r>
            <w:r>
              <w:rPr>
                <w:noProof/>
                <w:webHidden/>
              </w:rPr>
              <w:instrText xml:space="preserve"> PAGEREF _Toc220495370 \h </w:instrText>
            </w:r>
            <w:r>
              <w:rPr>
                <w:noProof/>
                <w:webHidden/>
              </w:rPr>
            </w:r>
            <w:r>
              <w:rPr>
                <w:noProof/>
                <w:webHidden/>
              </w:rPr>
              <w:fldChar w:fldCharType="separate"/>
            </w:r>
            <w:r>
              <w:rPr>
                <w:noProof/>
                <w:webHidden/>
              </w:rPr>
              <w:t>311</w:t>
            </w:r>
            <w:r>
              <w:rPr>
                <w:noProof/>
                <w:webHidden/>
              </w:rPr>
              <w:fldChar w:fldCharType="end"/>
            </w:r>
          </w:hyperlink>
        </w:p>
        <w:p w14:paraId="49438478" w14:textId="44C6662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71" w:history="1">
            <w:r w:rsidRPr="00F45DCA">
              <w:rPr>
                <w:rStyle w:val="Lienhypertexte"/>
                <w:noProof/>
              </w:rPr>
              <w:t>21.31.2c Maçonneries de parement en briques de béton à système de dosage pour liant hydraulique CCTB 01.11</w:t>
            </w:r>
            <w:r>
              <w:rPr>
                <w:noProof/>
                <w:webHidden/>
              </w:rPr>
              <w:tab/>
            </w:r>
            <w:r>
              <w:rPr>
                <w:noProof/>
                <w:webHidden/>
              </w:rPr>
              <w:fldChar w:fldCharType="begin"/>
            </w:r>
            <w:r>
              <w:rPr>
                <w:noProof/>
                <w:webHidden/>
              </w:rPr>
              <w:instrText xml:space="preserve"> PAGEREF _Toc220495371 \h </w:instrText>
            </w:r>
            <w:r>
              <w:rPr>
                <w:noProof/>
                <w:webHidden/>
              </w:rPr>
            </w:r>
            <w:r>
              <w:rPr>
                <w:noProof/>
                <w:webHidden/>
              </w:rPr>
              <w:fldChar w:fldCharType="separate"/>
            </w:r>
            <w:r>
              <w:rPr>
                <w:noProof/>
                <w:webHidden/>
              </w:rPr>
              <w:t>313</w:t>
            </w:r>
            <w:r>
              <w:rPr>
                <w:noProof/>
                <w:webHidden/>
              </w:rPr>
              <w:fldChar w:fldCharType="end"/>
            </w:r>
          </w:hyperlink>
        </w:p>
        <w:p w14:paraId="3E3DD054" w14:textId="65A0E42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72" w:history="1">
            <w:r w:rsidRPr="00F45DCA">
              <w:rPr>
                <w:rStyle w:val="Lienhypertexte"/>
                <w:noProof/>
              </w:rPr>
              <w:t>21.31.2d Maçonneries de parement en briques de béton clivé à maçonner CCTB 01.11</w:t>
            </w:r>
            <w:r>
              <w:rPr>
                <w:noProof/>
                <w:webHidden/>
              </w:rPr>
              <w:tab/>
            </w:r>
            <w:r>
              <w:rPr>
                <w:noProof/>
                <w:webHidden/>
              </w:rPr>
              <w:fldChar w:fldCharType="begin"/>
            </w:r>
            <w:r>
              <w:rPr>
                <w:noProof/>
                <w:webHidden/>
              </w:rPr>
              <w:instrText xml:space="preserve"> PAGEREF _Toc220495372 \h </w:instrText>
            </w:r>
            <w:r>
              <w:rPr>
                <w:noProof/>
                <w:webHidden/>
              </w:rPr>
            </w:r>
            <w:r>
              <w:rPr>
                <w:noProof/>
                <w:webHidden/>
              </w:rPr>
              <w:fldChar w:fldCharType="separate"/>
            </w:r>
            <w:r>
              <w:rPr>
                <w:noProof/>
                <w:webHidden/>
              </w:rPr>
              <w:t>317</w:t>
            </w:r>
            <w:r>
              <w:rPr>
                <w:noProof/>
                <w:webHidden/>
              </w:rPr>
              <w:fldChar w:fldCharType="end"/>
            </w:r>
          </w:hyperlink>
        </w:p>
        <w:p w14:paraId="646DED19" w14:textId="4FA6D85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73" w:history="1">
            <w:r w:rsidRPr="00F45DCA">
              <w:rPr>
                <w:rStyle w:val="Lienhypertexte"/>
                <w:noProof/>
              </w:rPr>
              <w:t>21.31.2e Maçonneries de parement en briques de béton clivé à coller CCTB 01.11</w:t>
            </w:r>
            <w:r>
              <w:rPr>
                <w:noProof/>
                <w:webHidden/>
              </w:rPr>
              <w:tab/>
            </w:r>
            <w:r>
              <w:rPr>
                <w:noProof/>
                <w:webHidden/>
              </w:rPr>
              <w:fldChar w:fldCharType="begin"/>
            </w:r>
            <w:r>
              <w:rPr>
                <w:noProof/>
                <w:webHidden/>
              </w:rPr>
              <w:instrText xml:space="preserve"> PAGEREF _Toc220495373 \h </w:instrText>
            </w:r>
            <w:r>
              <w:rPr>
                <w:noProof/>
                <w:webHidden/>
              </w:rPr>
            </w:r>
            <w:r>
              <w:rPr>
                <w:noProof/>
                <w:webHidden/>
              </w:rPr>
              <w:fldChar w:fldCharType="separate"/>
            </w:r>
            <w:r>
              <w:rPr>
                <w:noProof/>
                <w:webHidden/>
              </w:rPr>
              <w:t>319</w:t>
            </w:r>
            <w:r>
              <w:rPr>
                <w:noProof/>
                <w:webHidden/>
              </w:rPr>
              <w:fldChar w:fldCharType="end"/>
            </w:r>
          </w:hyperlink>
        </w:p>
        <w:p w14:paraId="682DB5F7" w14:textId="4AAF458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74" w:history="1">
            <w:r w:rsidRPr="00F45DCA">
              <w:rPr>
                <w:rStyle w:val="Lienhypertexte"/>
                <w:noProof/>
              </w:rPr>
              <w:t>21.31.2f Maçonneries de parement en briques de béton clivé à système de dosage pour liant hydraulique CCTB 01.11</w:t>
            </w:r>
            <w:r>
              <w:rPr>
                <w:noProof/>
                <w:webHidden/>
              </w:rPr>
              <w:tab/>
            </w:r>
            <w:r>
              <w:rPr>
                <w:noProof/>
                <w:webHidden/>
              </w:rPr>
              <w:fldChar w:fldCharType="begin"/>
            </w:r>
            <w:r>
              <w:rPr>
                <w:noProof/>
                <w:webHidden/>
              </w:rPr>
              <w:instrText xml:space="preserve"> PAGEREF _Toc220495374 \h </w:instrText>
            </w:r>
            <w:r>
              <w:rPr>
                <w:noProof/>
                <w:webHidden/>
              </w:rPr>
            </w:r>
            <w:r>
              <w:rPr>
                <w:noProof/>
                <w:webHidden/>
              </w:rPr>
              <w:fldChar w:fldCharType="separate"/>
            </w:r>
            <w:r>
              <w:rPr>
                <w:noProof/>
                <w:webHidden/>
              </w:rPr>
              <w:t>322</w:t>
            </w:r>
            <w:r>
              <w:rPr>
                <w:noProof/>
                <w:webHidden/>
              </w:rPr>
              <w:fldChar w:fldCharType="end"/>
            </w:r>
          </w:hyperlink>
        </w:p>
        <w:p w14:paraId="3CAAB56C" w14:textId="4608F6B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75" w:history="1">
            <w:r w:rsidRPr="00F45DCA">
              <w:rPr>
                <w:rStyle w:val="Lienhypertexte"/>
                <w:noProof/>
              </w:rPr>
              <w:t>21.31.3 Maçonneries de parement en briques de silico-calcaire CCTB 01.11</w:t>
            </w:r>
            <w:r>
              <w:rPr>
                <w:noProof/>
                <w:webHidden/>
              </w:rPr>
              <w:tab/>
            </w:r>
            <w:r>
              <w:rPr>
                <w:noProof/>
                <w:webHidden/>
              </w:rPr>
              <w:fldChar w:fldCharType="begin"/>
            </w:r>
            <w:r>
              <w:rPr>
                <w:noProof/>
                <w:webHidden/>
              </w:rPr>
              <w:instrText xml:space="preserve"> PAGEREF _Toc220495375 \h </w:instrText>
            </w:r>
            <w:r>
              <w:rPr>
                <w:noProof/>
                <w:webHidden/>
              </w:rPr>
            </w:r>
            <w:r>
              <w:rPr>
                <w:noProof/>
                <w:webHidden/>
              </w:rPr>
              <w:fldChar w:fldCharType="separate"/>
            </w:r>
            <w:r>
              <w:rPr>
                <w:noProof/>
                <w:webHidden/>
              </w:rPr>
              <w:t>326</w:t>
            </w:r>
            <w:r>
              <w:rPr>
                <w:noProof/>
                <w:webHidden/>
              </w:rPr>
              <w:fldChar w:fldCharType="end"/>
            </w:r>
          </w:hyperlink>
        </w:p>
        <w:p w14:paraId="7BFED143" w14:textId="121730E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76" w:history="1">
            <w:r w:rsidRPr="00F45DCA">
              <w:rPr>
                <w:rStyle w:val="Lienhypertexte"/>
                <w:noProof/>
              </w:rPr>
              <w:t>21.31.3a Maçonneries de parement à briques de silico-calcaire à maçonner CCTB 01.12</w:t>
            </w:r>
            <w:r>
              <w:rPr>
                <w:noProof/>
                <w:webHidden/>
              </w:rPr>
              <w:tab/>
            </w:r>
            <w:r>
              <w:rPr>
                <w:noProof/>
                <w:webHidden/>
              </w:rPr>
              <w:fldChar w:fldCharType="begin"/>
            </w:r>
            <w:r>
              <w:rPr>
                <w:noProof/>
                <w:webHidden/>
              </w:rPr>
              <w:instrText xml:space="preserve"> PAGEREF _Toc220495376 \h </w:instrText>
            </w:r>
            <w:r>
              <w:rPr>
                <w:noProof/>
                <w:webHidden/>
              </w:rPr>
            </w:r>
            <w:r>
              <w:rPr>
                <w:noProof/>
                <w:webHidden/>
              </w:rPr>
              <w:fldChar w:fldCharType="separate"/>
            </w:r>
            <w:r>
              <w:rPr>
                <w:noProof/>
                <w:webHidden/>
              </w:rPr>
              <w:t>326</w:t>
            </w:r>
            <w:r>
              <w:rPr>
                <w:noProof/>
                <w:webHidden/>
              </w:rPr>
              <w:fldChar w:fldCharType="end"/>
            </w:r>
          </w:hyperlink>
        </w:p>
        <w:p w14:paraId="79AF0028" w14:textId="25F0FA9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77" w:history="1">
            <w:r w:rsidRPr="00F45DCA">
              <w:rPr>
                <w:rStyle w:val="Lienhypertexte"/>
                <w:noProof/>
              </w:rPr>
              <w:t>21.31.3b Maçonneries de parement en briques de silico-calcaire à coller CCTB 01.12</w:t>
            </w:r>
            <w:r>
              <w:rPr>
                <w:noProof/>
                <w:webHidden/>
              </w:rPr>
              <w:tab/>
            </w:r>
            <w:r>
              <w:rPr>
                <w:noProof/>
                <w:webHidden/>
              </w:rPr>
              <w:fldChar w:fldCharType="begin"/>
            </w:r>
            <w:r>
              <w:rPr>
                <w:noProof/>
                <w:webHidden/>
              </w:rPr>
              <w:instrText xml:space="preserve"> PAGEREF _Toc220495377 \h </w:instrText>
            </w:r>
            <w:r>
              <w:rPr>
                <w:noProof/>
                <w:webHidden/>
              </w:rPr>
            </w:r>
            <w:r>
              <w:rPr>
                <w:noProof/>
                <w:webHidden/>
              </w:rPr>
              <w:fldChar w:fldCharType="separate"/>
            </w:r>
            <w:r>
              <w:rPr>
                <w:noProof/>
                <w:webHidden/>
              </w:rPr>
              <w:t>329</w:t>
            </w:r>
            <w:r>
              <w:rPr>
                <w:noProof/>
                <w:webHidden/>
              </w:rPr>
              <w:fldChar w:fldCharType="end"/>
            </w:r>
          </w:hyperlink>
        </w:p>
        <w:p w14:paraId="49A5F272" w14:textId="05A50E4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78" w:history="1">
            <w:r w:rsidRPr="00F45DCA">
              <w:rPr>
                <w:rStyle w:val="Lienhypertexte"/>
                <w:noProof/>
              </w:rPr>
              <w:t>21.31.4 Maçonneries de parement en briquettes CCTB 01.04</w:t>
            </w:r>
            <w:r>
              <w:rPr>
                <w:noProof/>
                <w:webHidden/>
              </w:rPr>
              <w:tab/>
            </w:r>
            <w:r>
              <w:rPr>
                <w:noProof/>
                <w:webHidden/>
              </w:rPr>
              <w:fldChar w:fldCharType="begin"/>
            </w:r>
            <w:r>
              <w:rPr>
                <w:noProof/>
                <w:webHidden/>
              </w:rPr>
              <w:instrText xml:space="preserve"> PAGEREF _Toc220495378 \h </w:instrText>
            </w:r>
            <w:r>
              <w:rPr>
                <w:noProof/>
                <w:webHidden/>
              </w:rPr>
            </w:r>
            <w:r>
              <w:rPr>
                <w:noProof/>
                <w:webHidden/>
              </w:rPr>
              <w:fldChar w:fldCharType="separate"/>
            </w:r>
            <w:r>
              <w:rPr>
                <w:noProof/>
                <w:webHidden/>
              </w:rPr>
              <w:t>331</w:t>
            </w:r>
            <w:r>
              <w:rPr>
                <w:noProof/>
                <w:webHidden/>
              </w:rPr>
              <w:fldChar w:fldCharType="end"/>
            </w:r>
          </w:hyperlink>
        </w:p>
        <w:p w14:paraId="7E52D940" w14:textId="11282B0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379" w:history="1">
            <w:r w:rsidRPr="00F45DCA">
              <w:rPr>
                <w:rStyle w:val="Lienhypertexte"/>
                <w:noProof/>
              </w:rPr>
              <w:t>21.32 Maçonneries de parement en blocs CCTB 01.02</w:t>
            </w:r>
            <w:r>
              <w:rPr>
                <w:noProof/>
                <w:webHidden/>
              </w:rPr>
              <w:tab/>
            </w:r>
            <w:r>
              <w:rPr>
                <w:noProof/>
                <w:webHidden/>
              </w:rPr>
              <w:fldChar w:fldCharType="begin"/>
            </w:r>
            <w:r>
              <w:rPr>
                <w:noProof/>
                <w:webHidden/>
              </w:rPr>
              <w:instrText xml:space="preserve"> PAGEREF _Toc220495379 \h </w:instrText>
            </w:r>
            <w:r>
              <w:rPr>
                <w:noProof/>
                <w:webHidden/>
              </w:rPr>
            </w:r>
            <w:r>
              <w:rPr>
                <w:noProof/>
                <w:webHidden/>
              </w:rPr>
              <w:fldChar w:fldCharType="separate"/>
            </w:r>
            <w:r>
              <w:rPr>
                <w:noProof/>
                <w:webHidden/>
              </w:rPr>
              <w:t>331</w:t>
            </w:r>
            <w:r>
              <w:rPr>
                <w:noProof/>
                <w:webHidden/>
              </w:rPr>
              <w:fldChar w:fldCharType="end"/>
            </w:r>
          </w:hyperlink>
        </w:p>
        <w:p w14:paraId="4B656449" w14:textId="4A4C182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80" w:history="1">
            <w:r w:rsidRPr="00F45DCA">
              <w:rPr>
                <w:rStyle w:val="Lienhypertexte"/>
                <w:noProof/>
              </w:rPr>
              <w:t>21.32.1 Maçonneries de parement en blocs treillis de terre cuite CCTB 01.13</w:t>
            </w:r>
            <w:r>
              <w:rPr>
                <w:noProof/>
                <w:webHidden/>
              </w:rPr>
              <w:tab/>
            </w:r>
            <w:r>
              <w:rPr>
                <w:noProof/>
                <w:webHidden/>
              </w:rPr>
              <w:fldChar w:fldCharType="begin"/>
            </w:r>
            <w:r>
              <w:rPr>
                <w:noProof/>
                <w:webHidden/>
              </w:rPr>
              <w:instrText xml:space="preserve"> PAGEREF _Toc220495380 \h </w:instrText>
            </w:r>
            <w:r>
              <w:rPr>
                <w:noProof/>
                <w:webHidden/>
              </w:rPr>
            </w:r>
            <w:r>
              <w:rPr>
                <w:noProof/>
                <w:webHidden/>
              </w:rPr>
              <w:fldChar w:fldCharType="separate"/>
            </w:r>
            <w:r>
              <w:rPr>
                <w:noProof/>
                <w:webHidden/>
              </w:rPr>
              <w:t>331</w:t>
            </w:r>
            <w:r>
              <w:rPr>
                <w:noProof/>
                <w:webHidden/>
              </w:rPr>
              <w:fldChar w:fldCharType="end"/>
            </w:r>
          </w:hyperlink>
        </w:p>
        <w:p w14:paraId="0BC51E10" w14:textId="29D34EA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81" w:history="1">
            <w:r w:rsidRPr="00F45DCA">
              <w:rPr>
                <w:rStyle w:val="Lienhypertexte"/>
                <w:noProof/>
              </w:rPr>
              <w:t>21.32.1a Maçonneries de parement en blocs treillis de terre cuite à maçonner CCTB 01.13</w:t>
            </w:r>
            <w:r>
              <w:rPr>
                <w:noProof/>
                <w:webHidden/>
              </w:rPr>
              <w:tab/>
            </w:r>
            <w:r>
              <w:rPr>
                <w:noProof/>
                <w:webHidden/>
              </w:rPr>
              <w:fldChar w:fldCharType="begin"/>
            </w:r>
            <w:r>
              <w:rPr>
                <w:noProof/>
                <w:webHidden/>
              </w:rPr>
              <w:instrText xml:space="preserve"> PAGEREF _Toc220495381 \h </w:instrText>
            </w:r>
            <w:r>
              <w:rPr>
                <w:noProof/>
                <w:webHidden/>
              </w:rPr>
            </w:r>
            <w:r>
              <w:rPr>
                <w:noProof/>
                <w:webHidden/>
              </w:rPr>
              <w:fldChar w:fldCharType="separate"/>
            </w:r>
            <w:r>
              <w:rPr>
                <w:noProof/>
                <w:webHidden/>
              </w:rPr>
              <w:t>331</w:t>
            </w:r>
            <w:r>
              <w:rPr>
                <w:noProof/>
                <w:webHidden/>
              </w:rPr>
              <w:fldChar w:fldCharType="end"/>
            </w:r>
          </w:hyperlink>
        </w:p>
        <w:p w14:paraId="241F019D" w14:textId="326FDDC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82" w:history="1">
            <w:r w:rsidRPr="00F45DCA">
              <w:rPr>
                <w:rStyle w:val="Lienhypertexte"/>
                <w:noProof/>
              </w:rPr>
              <w:t>21.32.1b Maçonneries de parement en blocs treillis de terre cuite à coller CCTB 01.13</w:t>
            </w:r>
            <w:r>
              <w:rPr>
                <w:noProof/>
                <w:webHidden/>
              </w:rPr>
              <w:tab/>
            </w:r>
            <w:r>
              <w:rPr>
                <w:noProof/>
                <w:webHidden/>
              </w:rPr>
              <w:fldChar w:fldCharType="begin"/>
            </w:r>
            <w:r>
              <w:rPr>
                <w:noProof/>
                <w:webHidden/>
              </w:rPr>
              <w:instrText xml:space="preserve"> PAGEREF _Toc220495382 \h </w:instrText>
            </w:r>
            <w:r>
              <w:rPr>
                <w:noProof/>
                <w:webHidden/>
              </w:rPr>
            </w:r>
            <w:r>
              <w:rPr>
                <w:noProof/>
                <w:webHidden/>
              </w:rPr>
              <w:fldChar w:fldCharType="separate"/>
            </w:r>
            <w:r>
              <w:rPr>
                <w:noProof/>
                <w:webHidden/>
              </w:rPr>
              <w:t>334</w:t>
            </w:r>
            <w:r>
              <w:rPr>
                <w:noProof/>
                <w:webHidden/>
              </w:rPr>
              <w:fldChar w:fldCharType="end"/>
            </w:r>
          </w:hyperlink>
        </w:p>
        <w:p w14:paraId="548DA78B" w14:textId="7123BDB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83" w:history="1">
            <w:r w:rsidRPr="00F45DCA">
              <w:rPr>
                <w:rStyle w:val="Lienhypertexte"/>
                <w:noProof/>
              </w:rPr>
              <w:t>21.32.2 Maçonneries de parement en blocs de béton CCTB 01.02</w:t>
            </w:r>
            <w:r>
              <w:rPr>
                <w:noProof/>
                <w:webHidden/>
              </w:rPr>
              <w:tab/>
            </w:r>
            <w:r>
              <w:rPr>
                <w:noProof/>
                <w:webHidden/>
              </w:rPr>
              <w:fldChar w:fldCharType="begin"/>
            </w:r>
            <w:r>
              <w:rPr>
                <w:noProof/>
                <w:webHidden/>
              </w:rPr>
              <w:instrText xml:space="preserve"> PAGEREF _Toc220495383 \h </w:instrText>
            </w:r>
            <w:r>
              <w:rPr>
                <w:noProof/>
                <w:webHidden/>
              </w:rPr>
            </w:r>
            <w:r>
              <w:rPr>
                <w:noProof/>
                <w:webHidden/>
              </w:rPr>
              <w:fldChar w:fldCharType="separate"/>
            </w:r>
            <w:r>
              <w:rPr>
                <w:noProof/>
                <w:webHidden/>
              </w:rPr>
              <w:t>337</w:t>
            </w:r>
            <w:r>
              <w:rPr>
                <w:noProof/>
                <w:webHidden/>
              </w:rPr>
              <w:fldChar w:fldCharType="end"/>
            </w:r>
          </w:hyperlink>
        </w:p>
        <w:p w14:paraId="59617296" w14:textId="3F35650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84" w:history="1">
            <w:r w:rsidRPr="00F45DCA">
              <w:rPr>
                <w:rStyle w:val="Lienhypertexte"/>
                <w:noProof/>
              </w:rPr>
              <w:t>21.32.2a Maçonneries de parement en blocs de béton pleins à maçonner CCTB 01.11</w:t>
            </w:r>
            <w:r>
              <w:rPr>
                <w:noProof/>
                <w:webHidden/>
              </w:rPr>
              <w:tab/>
            </w:r>
            <w:r>
              <w:rPr>
                <w:noProof/>
                <w:webHidden/>
              </w:rPr>
              <w:fldChar w:fldCharType="begin"/>
            </w:r>
            <w:r>
              <w:rPr>
                <w:noProof/>
                <w:webHidden/>
              </w:rPr>
              <w:instrText xml:space="preserve"> PAGEREF _Toc220495384 \h </w:instrText>
            </w:r>
            <w:r>
              <w:rPr>
                <w:noProof/>
                <w:webHidden/>
              </w:rPr>
            </w:r>
            <w:r>
              <w:rPr>
                <w:noProof/>
                <w:webHidden/>
              </w:rPr>
              <w:fldChar w:fldCharType="separate"/>
            </w:r>
            <w:r>
              <w:rPr>
                <w:noProof/>
                <w:webHidden/>
              </w:rPr>
              <w:t>337</w:t>
            </w:r>
            <w:r>
              <w:rPr>
                <w:noProof/>
                <w:webHidden/>
              </w:rPr>
              <w:fldChar w:fldCharType="end"/>
            </w:r>
          </w:hyperlink>
        </w:p>
        <w:p w14:paraId="0A75BE56" w14:textId="026B950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85" w:history="1">
            <w:r w:rsidRPr="00F45DCA">
              <w:rPr>
                <w:rStyle w:val="Lienhypertexte"/>
                <w:noProof/>
              </w:rPr>
              <w:t>21.32.2b Maçonneries de parement en blocs de béton pleins à coller CCTB 01.11</w:t>
            </w:r>
            <w:r>
              <w:rPr>
                <w:noProof/>
                <w:webHidden/>
              </w:rPr>
              <w:tab/>
            </w:r>
            <w:r>
              <w:rPr>
                <w:noProof/>
                <w:webHidden/>
              </w:rPr>
              <w:fldChar w:fldCharType="begin"/>
            </w:r>
            <w:r>
              <w:rPr>
                <w:noProof/>
                <w:webHidden/>
              </w:rPr>
              <w:instrText xml:space="preserve"> PAGEREF _Toc220495385 \h </w:instrText>
            </w:r>
            <w:r>
              <w:rPr>
                <w:noProof/>
                <w:webHidden/>
              </w:rPr>
            </w:r>
            <w:r>
              <w:rPr>
                <w:noProof/>
                <w:webHidden/>
              </w:rPr>
              <w:fldChar w:fldCharType="separate"/>
            </w:r>
            <w:r>
              <w:rPr>
                <w:noProof/>
                <w:webHidden/>
              </w:rPr>
              <w:t>339</w:t>
            </w:r>
            <w:r>
              <w:rPr>
                <w:noProof/>
                <w:webHidden/>
              </w:rPr>
              <w:fldChar w:fldCharType="end"/>
            </w:r>
          </w:hyperlink>
        </w:p>
        <w:p w14:paraId="6213948D" w14:textId="5D857FB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86" w:history="1">
            <w:r w:rsidRPr="00F45DCA">
              <w:rPr>
                <w:rStyle w:val="Lienhypertexte"/>
                <w:noProof/>
              </w:rPr>
              <w:t>21.32.2c Maçonneries de parement en blocs de béton creux à maçonner CCTB 01.11</w:t>
            </w:r>
            <w:r>
              <w:rPr>
                <w:noProof/>
                <w:webHidden/>
              </w:rPr>
              <w:tab/>
            </w:r>
            <w:r>
              <w:rPr>
                <w:noProof/>
                <w:webHidden/>
              </w:rPr>
              <w:fldChar w:fldCharType="begin"/>
            </w:r>
            <w:r>
              <w:rPr>
                <w:noProof/>
                <w:webHidden/>
              </w:rPr>
              <w:instrText xml:space="preserve"> PAGEREF _Toc220495386 \h </w:instrText>
            </w:r>
            <w:r>
              <w:rPr>
                <w:noProof/>
                <w:webHidden/>
              </w:rPr>
            </w:r>
            <w:r>
              <w:rPr>
                <w:noProof/>
                <w:webHidden/>
              </w:rPr>
              <w:fldChar w:fldCharType="separate"/>
            </w:r>
            <w:r>
              <w:rPr>
                <w:noProof/>
                <w:webHidden/>
              </w:rPr>
              <w:t>342</w:t>
            </w:r>
            <w:r>
              <w:rPr>
                <w:noProof/>
                <w:webHidden/>
              </w:rPr>
              <w:fldChar w:fldCharType="end"/>
            </w:r>
          </w:hyperlink>
        </w:p>
        <w:p w14:paraId="2436BE9D" w14:textId="1A4E825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87" w:history="1">
            <w:r w:rsidRPr="00F45DCA">
              <w:rPr>
                <w:rStyle w:val="Lienhypertexte"/>
                <w:noProof/>
              </w:rPr>
              <w:t>21.32.2d Maçonneries de parement en blocs de béton creux à coller CCTB 01.11</w:t>
            </w:r>
            <w:r>
              <w:rPr>
                <w:noProof/>
                <w:webHidden/>
              </w:rPr>
              <w:tab/>
            </w:r>
            <w:r>
              <w:rPr>
                <w:noProof/>
                <w:webHidden/>
              </w:rPr>
              <w:fldChar w:fldCharType="begin"/>
            </w:r>
            <w:r>
              <w:rPr>
                <w:noProof/>
                <w:webHidden/>
              </w:rPr>
              <w:instrText xml:space="preserve"> PAGEREF _Toc220495387 \h </w:instrText>
            </w:r>
            <w:r>
              <w:rPr>
                <w:noProof/>
                <w:webHidden/>
              </w:rPr>
            </w:r>
            <w:r>
              <w:rPr>
                <w:noProof/>
                <w:webHidden/>
              </w:rPr>
              <w:fldChar w:fldCharType="separate"/>
            </w:r>
            <w:r>
              <w:rPr>
                <w:noProof/>
                <w:webHidden/>
              </w:rPr>
              <w:t>345</w:t>
            </w:r>
            <w:r>
              <w:rPr>
                <w:noProof/>
                <w:webHidden/>
              </w:rPr>
              <w:fldChar w:fldCharType="end"/>
            </w:r>
          </w:hyperlink>
        </w:p>
        <w:p w14:paraId="633B5B42" w14:textId="6229A5E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88" w:history="1">
            <w:r w:rsidRPr="00F45DCA">
              <w:rPr>
                <w:rStyle w:val="Lienhypertexte"/>
                <w:noProof/>
              </w:rPr>
              <w:t>21.32.2e Maçonneries de parement en blocs de béton à système de dosage pour liant hydraulique CCTB 01.11</w:t>
            </w:r>
            <w:r>
              <w:rPr>
                <w:noProof/>
                <w:webHidden/>
              </w:rPr>
              <w:tab/>
            </w:r>
            <w:r>
              <w:rPr>
                <w:noProof/>
                <w:webHidden/>
              </w:rPr>
              <w:fldChar w:fldCharType="begin"/>
            </w:r>
            <w:r>
              <w:rPr>
                <w:noProof/>
                <w:webHidden/>
              </w:rPr>
              <w:instrText xml:space="preserve"> PAGEREF _Toc220495388 \h </w:instrText>
            </w:r>
            <w:r>
              <w:rPr>
                <w:noProof/>
                <w:webHidden/>
              </w:rPr>
            </w:r>
            <w:r>
              <w:rPr>
                <w:noProof/>
                <w:webHidden/>
              </w:rPr>
              <w:fldChar w:fldCharType="separate"/>
            </w:r>
            <w:r>
              <w:rPr>
                <w:noProof/>
                <w:webHidden/>
              </w:rPr>
              <w:t>348</w:t>
            </w:r>
            <w:r>
              <w:rPr>
                <w:noProof/>
                <w:webHidden/>
              </w:rPr>
              <w:fldChar w:fldCharType="end"/>
            </w:r>
          </w:hyperlink>
        </w:p>
        <w:p w14:paraId="7728E517" w14:textId="5AB98A7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89" w:history="1">
            <w:r w:rsidRPr="00F45DCA">
              <w:rPr>
                <w:rStyle w:val="Lienhypertexte"/>
                <w:noProof/>
              </w:rPr>
              <w:t>21.32.2f Maçonneries de parement en blocs de béton clivé à maçonner CCTB 01.11</w:t>
            </w:r>
            <w:r>
              <w:rPr>
                <w:noProof/>
                <w:webHidden/>
              </w:rPr>
              <w:tab/>
            </w:r>
            <w:r>
              <w:rPr>
                <w:noProof/>
                <w:webHidden/>
              </w:rPr>
              <w:fldChar w:fldCharType="begin"/>
            </w:r>
            <w:r>
              <w:rPr>
                <w:noProof/>
                <w:webHidden/>
              </w:rPr>
              <w:instrText xml:space="preserve"> PAGEREF _Toc220495389 \h </w:instrText>
            </w:r>
            <w:r>
              <w:rPr>
                <w:noProof/>
                <w:webHidden/>
              </w:rPr>
            </w:r>
            <w:r>
              <w:rPr>
                <w:noProof/>
                <w:webHidden/>
              </w:rPr>
              <w:fldChar w:fldCharType="separate"/>
            </w:r>
            <w:r>
              <w:rPr>
                <w:noProof/>
                <w:webHidden/>
              </w:rPr>
              <w:t>351</w:t>
            </w:r>
            <w:r>
              <w:rPr>
                <w:noProof/>
                <w:webHidden/>
              </w:rPr>
              <w:fldChar w:fldCharType="end"/>
            </w:r>
          </w:hyperlink>
        </w:p>
        <w:p w14:paraId="76E995B1" w14:textId="3FF536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90" w:history="1">
            <w:r w:rsidRPr="00F45DCA">
              <w:rPr>
                <w:rStyle w:val="Lienhypertexte"/>
                <w:noProof/>
              </w:rPr>
              <w:t>21.32.2g Maçonneries de parement en blocs de béton clivé à coller CCTB 01.11</w:t>
            </w:r>
            <w:r>
              <w:rPr>
                <w:noProof/>
                <w:webHidden/>
              </w:rPr>
              <w:tab/>
            </w:r>
            <w:r>
              <w:rPr>
                <w:noProof/>
                <w:webHidden/>
              </w:rPr>
              <w:fldChar w:fldCharType="begin"/>
            </w:r>
            <w:r>
              <w:rPr>
                <w:noProof/>
                <w:webHidden/>
              </w:rPr>
              <w:instrText xml:space="preserve"> PAGEREF _Toc220495390 \h </w:instrText>
            </w:r>
            <w:r>
              <w:rPr>
                <w:noProof/>
                <w:webHidden/>
              </w:rPr>
            </w:r>
            <w:r>
              <w:rPr>
                <w:noProof/>
                <w:webHidden/>
              </w:rPr>
              <w:fldChar w:fldCharType="separate"/>
            </w:r>
            <w:r>
              <w:rPr>
                <w:noProof/>
                <w:webHidden/>
              </w:rPr>
              <w:t>354</w:t>
            </w:r>
            <w:r>
              <w:rPr>
                <w:noProof/>
                <w:webHidden/>
              </w:rPr>
              <w:fldChar w:fldCharType="end"/>
            </w:r>
          </w:hyperlink>
        </w:p>
        <w:p w14:paraId="7A20AEB1" w14:textId="0CD6C5C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91" w:history="1">
            <w:r w:rsidRPr="00F45DCA">
              <w:rPr>
                <w:rStyle w:val="Lienhypertexte"/>
                <w:noProof/>
              </w:rPr>
              <w:t>21.32.2h Maçonneries de parement en blocs de béton clivé à système de dosage pour liant hydraulique CCTB 01.11</w:t>
            </w:r>
            <w:r>
              <w:rPr>
                <w:noProof/>
                <w:webHidden/>
              </w:rPr>
              <w:tab/>
            </w:r>
            <w:r>
              <w:rPr>
                <w:noProof/>
                <w:webHidden/>
              </w:rPr>
              <w:fldChar w:fldCharType="begin"/>
            </w:r>
            <w:r>
              <w:rPr>
                <w:noProof/>
                <w:webHidden/>
              </w:rPr>
              <w:instrText xml:space="preserve"> PAGEREF _Toc220495391 \h </w:instrText>
            </w:r>
            <w:r>
              <w:rPr>
                <w:noProof/>
                <w:webHidden/>
              </w:rPr>
            </w:r>
            <w:r>
              <w:rPr>
                <w:noProof/>
                <w:webHidden/>
              </w:rPr>
              <w:fldChar w:fldCharType="separate"/>
            </w:r>
            <w:r>
              <w:rPr>
                <w:noProof/>
                <w:webHidden/>
              </w:rPr>
              <w:t>357</w:t>
            </w:r>
            <w:r>
              <w:rPr>
                <w:noProof/>
                <w:webHidden/>
              </w:rPr>
              <w:fldChar w:fldCharType="end"/>
            </w:r>
          </w:hyperlink>
        </w:p>
        <w:p w14:paraId="52DAC532" w14:textId="40A11F9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92" w:history="1">
            <w:r w:rsidRPr="00F45DCA">
              <w:rPr>
                <w:rStyle w:val="Lienhypertexte"/>
                <w:noProof/>
              </w:rPr>
              <w:t>21.32.3 Maçonneries de parement en blocs de silico-calcaire CCTB 01.04</w:t>
            </w:r>
            <w:r>
              <w:rPr>
                <w:noProof/>
                <w:webHidden/>
              </w:rPr>
              <w:tab/>
            </w:r>
            <w:r>
              <w:rPr>
                <w:noProof/>
                <w:webHidden/>
              </w:rPr>
              <w:fldChar w:fldCharType="begin"/>
            </w:r>
            <w:r>
              <w:rPr>
                <w:noProof/>
                <w:webHidden/>
              </w:rPr>
              <w:instrText xml:space="preserve"> PAGEREF _Toc220495392 \h </w:instrText>
            </w:r>
            <w:r>
              <w:rPr>
                <w:noProof/>
                <w:webHidden/>
              </w:rPr>
            </w:r>
            <w:r>
              <w:rPr>
                <w:noProof/>
                <w:webHidden/>
              </w:rPr>
              <w:fldChar w:fldCharType="separate"/>
            </w:r>
            <w:r>
              <w:rPr>
                <w:noProof/>
                <w:webHidden/>
              </w:rPr>
              <w:t>360</w:t>
            </w:r>
            <w:r>
              <w:rPr>
                <w:noProof/>
                <w:webHidden/>
              </w:rPr>
              <w:fldChar w:fldCharType="end"/>
            </w:r>
          </w:hyperlink>
        </w:p>
        <w:p w14:paraId="2DCBE39C" w14:textId="700646D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93" w:history="1">
            <w:r w:rsidRPr="00F45DCA">
              <w:rPr>
                <w:rStyle w:val="Lienhypertexte"/>
                <w:noProof/>
              </w:rPr>
              <w:t>21.32.3a Maçonneries de parement en blocs de silico-calcaire pleins à maçonner CCTB 01.04</w:t>
            </w:r>
            <w:r>
              <w:rPr>
                <w:noProof/>
                <w:webHidden/>
              </w:rPr>
              <w:tab/>
            </w:r>
            <w:r>
              <w:rPr>
                <w:noProof/>
                <w:webHidden/>
              </w:rPr>
              <w:fldChar w:fldCharType="begin"/>
            </w:r>
            <w:r>
              <w:rPr>
                <w:noProof/>
                <w:webHidden/>
              </w:rPr>
              <w:instrText xml:space="preserve"> PAGEREF _Toc220495393 \h </w:instrText>
            </w:r>
            <w:r>
              <w:rPr>
                <w:noProof/>
                <w:webHidden/>
              </w:rPr>
            </w:r>
            <w:r>
              <w:rPr>
                <w:noProof/>
                <w:webHidden/>
              </w:rPr>
              <w:fldChar w:fldCharType="separate"/>
            </w:r>
            <w:r>
              <w:rPr>
                <w:noProof/>
                <w:webHidden/>
              </w:rPr>
              <w:t>360</w:t>
            </w:r>
            <w:r>
              <w:rPr>
                <w:noProof/>
                <w:webHidden/>
              </w:rPr>
              <w:fldChar w:fldCharType="end"/>
            </w:r>
          </w:hyperlink>
        </w:p>
        <w:p w14:paraId="01E7A65A" w14:textId="0137876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94" w:history="1">
            <w:r w:rsidRPr="00F45DCA">
              <w:rPr>
                <w:rStyle w:val="Lienhypertexte"/>
                <w:noProof/>
              </w:rPr>
              <w:t>21.32.3b Maçonneries de parement en blocs de silico-calcaire pleins à coller CCTB 01.11</w:t>
            </w:r>
            <w:r>
              <w:rPr>
                <w:noProof/>
                <w:webHidden/>
              </w:rPr>
              <w:tab/>
            </w:r>
            <w:r>
              <w:rPr>
                <w:noProof/>
                <w:webHidden/>
              </w:rPr>
              <w:fldChar w:fldCharType="begin"/>
            </w:r>
            <w:r>
              <w:rPr>
                <w:noProof/>
                <w:webHidden/>
              </w:rPr>
              <w:instrText xml:space="preserve"> PAGEREF _Toc220495394 \h </w:instrText>
            </w:r>
            <w:r>
              <w:rPr>
                <w:noProof/>
                <w:webHidden/>
              </w:rPr>
            </w:r>
            <w:r>
              <w:rPr>
                <w:noProof/>
                <w:webHidden/>
              </w:rPr>
              <w:fldChar w:fldCharType="separate"/>
            </w:r>
            <w:r>
              <w:rPr>
                <w:noProof/>
                <w:webHidden/>
              </w:rPr>
              <w:t>360</w:t>
            </w:r>
            <w:r>
              <w:rPr>
                <w:noProof/>
                <w:webHidden/>
              </w:rPr>
              <w:fldChar w:fldCharType="end"/>
            </w:r>
          </w:hyperlink>
        </w:p>
        <w:p w14:paraId="2EE57388" w14:textId="6B92C3F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95" w:history="1">
            <w:r w:rsidRPr="00F45DCA">
              <w:rPr>
                <w:rStyle w:val="Lienhypertexte"/>
                <w:noProof/>
              </w:rPr>
              <w:t>21.32.3c Maçonneries de parement en blocs de silico-calcaire creux à coller CCTB 01.04</w:t>
            </w:r>
            <w:r>
              <w:rPr>
                <w:noProof/>
                <w:webHidden/>
              </w:rPr>
              <w:tab/>
            </w:r>
            <w:r>
              <w:rPr>
                <w:noProof/>
                <w:webHidden/>
              </w:rPr>
              <w:fldChar w:fldCharType="begin"/>
            </w:r>
            <w:r>
              <w:rPr>
                <w:noProof/>
                <w:webHidden/>
              </w:rPr>
              <w:instrText xml:space="preserve"> PAGEREF _Toc220495395 \h </w:instrText>
            </w:r>
            <w:r>
              <w:rPr>
                <w:noProof/>
                <w:webHidden/>
              </w:rPr>
            </w:r>
            <w:r>
              <w:rPr>
                <w:noProof/>
                <w:webHidden/>
              </w:rPr>
              <w:fldChar w:fldCharType="separate"/>
            </w:r>
            <w:r>
              <w:rPr>
                <w:noProof/>
                <w:webHidden/>
              </w:rPr>
              <w:t>360</w:t>
            </w:r>
            <w:r>
              <w:rPr>
                <w:noProof/>
                <w:webHidden/>
              </w:rPr>
              <w:fldChar w:fldCharType="end"/>
            </w:r>
          </w:hyperlink>
        </w:p>
        <w:p w14:paraId="338E0206" w14:textId="50BEE0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96" w:history="1">
            <w:r w:rsidRPr="00F45DCA">
              <w:rPr>
                <w:rStyle w:val="Lienhypertexte"/>
                <w:noProof/>
              </w:rPr>
              <w:t>21.32.3d Maçonneries de parement en blocs de silico-calcaire apparents à coller avec chanfreins CCTB 01.04</w:t>
            </w:r>
            <w:r>
              <w:rPr>
                <w:noProof/>
                <w:webHidden/>
              </w:rPr>
              <w:tab/>
            </w:r>
            <w:r>
              <w:rPr>
                <w:noProof/>
                <w:webHidden/>
              </w:rPr>
              <w:fldChar w:fldCharType="begin"/>
            </w:r>
            <w:r>
              <w:rPr>
                <w:noProof/>
                <w:webHidden/>
              </w:rPr>
              <w:instrText xml:space="preserve"> PAGEREF _Toc220495396 \h </w:instrText>
            </w:r>
            <w:r>
              <w:rPr>
                <w:noProof/>
                <w:webHidden/>
              </w:rPr>
            </w:r>
            <w:r>
              <w:rPr>
                <w:noProof/>
                <w:webHidden/>
              </w:rPr>
              <w:fldChar w:fldCharType="separate"/>
            </w:r>
            <w:r>
              <w:rPr>
                <w:noProof/>
                <w:webHidden/>
              </w:rPr>
              <w:t>360</w:t>
            </w:r>
            <w:r>
              <w:rPr>
                <w:noProof/>
                <w:webHidden/>
              </w:rPr>
              <w:fldChar w:fldCharType="end"/>
            </w:r>
          </w:hyperlink>
        </w:p>
        <w:p w14:paraId="69F073F3" w14:textId="40D8C70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397" w:history="1">
            <w:r w:rsidRPr="00F45DCA">
              <w:rPr>
                <w:rStyle w:val="Lienhypertexte"/>
                <w:noProof/>
              </w:rPr>
              <w:t>21.33 Maçonneries de parement en pierre CCTB 01.02</w:t>
            </w:r>
            <w:r>
              <w:rPr>
                <w:noProof/>
                <w:webHidden/>
              </w:rPr>
              <w:tab/>
            </w:r>
            <w:r>
              <w:rPr>
                <w:noProof/>
                <w:webHidden/>
              </w:rPr>
              <w:fldChar w:fldCharType="begin"/>
            </w:r>
            <w:r>
              <w:rPr>
                <w:noProof/>
                <w:webHidden/>
              </w:rPr>
              <w:instrText xml:space="preserve"> PAGEREF _Toc220495397 \h </w:instrText>
            </w:r>
            <w:r>
              <w:rPr>
                <w:noProof/>
                <w:webHidden/>
              </w:rPr>
            </w:r>
            <w:r>
              <w:rPr>
                <w:noProof/>
                <w:webHidden/>
              </w:rPr>
              <w:fldChar w:fldCharType="separate"/>
            </w:r>
            <w:r>
              <w:rPr>
                <w:noProof/>
                <w:webHidden/>
              </w:rPr>
              <w:t>360</w:t>
            </w:r>
            <w:r>
              <w:rPr>
                <w:noProof/>
                <w:webHidden/>
              </w:rPr>
              <w:fldChar w:fldCharType="end"/>
            </w:r>
          </w:hyperlink>
        </w:p>
        <w:p w14:paraId="489D0DF7" w14:textId="6133DAF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398" w:history="1">
            <w:r w:rsidRPr="00F45DCA">
              <w:rPr>
                <w:rStyle w:val="Lienhypertexte"/>
                <w:noProof/>
              </w:rPr>
              <w:t>21.33.1 Maçonneries de parement en pierre de taille CCTB 01.04</w:t>
            </w:r>
            <w:r>
              <w:rPr>
                <w:noProof/>
                <w:webHidden/>
              </w:rPr>
              <w:tab/>
            </w:r>
            <w:r>
              <w:rPr>
                <w:noProof/>
                <w:webHidden/>
              </w:rPr>
              <w:fldChar w:fldCharType="begin"/>
            </w:r>
            <w:r>
              <w:rPr>
                <w:noProof/>
                <w:webHidden/>
              </w:rPr>
              <w:instrText xml:space="preserve"> PAGEREF _Toc220495398 \h </w:instrText>
            </w:r>
            <w:r>
              <w:rPr>
                <w:noProof/>
                <w:webHidden/>
              </w:rPr>
            </w:r>
            <w:r>
              <w:rPr>
                <w:noProof/>
                <w:webHidden/>
              </w:rPr>
              <w:fldChar w:fldCharType="separate"/>
            </w:r>
            <w:r>
              <w:rPr>
                <w:noProof/>
                <w:webHidden/>
              </w:rPr>
              <w:t>360</w:t>
            </w:r>
            <w:r>
              <w:rPr>
                <w:noProof/>
                <w:webHidden/>
              </w:rPr>
              <w:fldChar w:fldCharType="end"/>
            </w:r>
          </w:hyperlink>
        </w:p>
        <w:p w14:paraId="4C2D8AA8" w14:textId="38EBE5E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399" w:history="1">
            <w:r w:rsidRPr="00F45DCA">
              <w:rPr>
                <w:rStyle w:val="Lienhypertexte"/>
                <w:noProof/>
              </w:rPr>
              <w:t>21.33.1a Maçonneries de parement en petit granit - pierre bleue CCTB 01.11</w:t>
            </w:r>
            <w:r>
              <w:rPr>
                <w:noProof/>
                <w:webHidden/>
              </w:rPr>
              <w:tab/>
            </w:r>
            <w:r>
              <w:rPr>
                <w:noProof/>
                <w:webHidden/>
              </w:rPr>
              <w:fldChar w:fldCharType="begin"/>
            </w:r>
            <w:r>
              <w:rPr>
                <w:noProof/>
                <w:webHidden/>
              </w:rPr>
              <w:instrText xml:space="preserve"> PAGEREF _Toc220495399 \h </w:instrText>
            </w:r>
            <w:r>
              <w:rPr>
                <w:noProof/>
                <w:webHidden/>
              </w:rPr>
            </w:r>
            <w:r>
              <w:rPr>
                <w:noProof/>
                <w:webHidden/>
              </w:rPr>
              <w:fldChar w:fldCharType="separate"/>
            </w:r>
            <w:r>
              <w:rPr>
                <w:noProof/>
                <w:webHidden/>
              </w:rPr>
              <w:t>360</w:t>
            </w:r>
            <w:r>
              <w:rPr>
                <w:noProof/>
                <w:webHidden/>
              </w:rPr>
              <w:fldChar w:fldCharType="end"/>
            </w:r>
          </w:hyperlink>
        </w:p>
        <w:p w14:paraId="0A2D2547" w14:textId="3E454A8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00" w:history="1">
            <w:r w:rsidRPr="00F45DCA">
              <w:rPr>
                <w:rStyle w:val="Lienhypertexte"/>
                <w:noProof/>
              </w:rPr>
              <w:t>21.33.1b Maçonneries de parement en pierre calcaire CCTB 01.11</w:t>
            </w:r>
            <w:r>
              <w:rPr>
                <w:noProof/>
                <w:webHidden/>
              </w:rPr>
              <w:tab/>
            </w:r>
            <w:r>
              <w:rPr>
                <w:noProof/>
                <w:webHidden/>
              </w:rPr>
              <w:fldChar w:fldCharType="begin"/>
            </w:r>
            <w:r>
              <w:rPr>
                <w:noProof/>
                <w:webHidden/>
              </w:rPr>
              <w:instrText xml:space="preserve"> PAGEREF _Toc220495400 \h </w:instrText>
            </w:r>
            <w:r>
              <w:rPr>
                <w:noProof/>
                <w:webHidden/>
              </w:rPr>
            </w:r>
            <w:r>
              <w:rPr>
                <w:noProof/>
                <w:webHidden/>
              </w:rPr>
              <w:fldChar w:fldCharType="separate"/>
            </w:r>
            <w:r>
              <w:rPr>
                <w:noProof/>
                <w:webHidden/>
              </w:rPr>
              <w:t>363</w:t>
            </w:r>
            <w:r>
              <w:rPr>
                <w:noProof/>
                <w:webHidden/>
              </w:rPr>
              <w:fldChar w:fldCharType="end"/>
            </w:r>
          </w:hyperlink>
        </w:p>
        <w:p w14:paraId="00FBCAE5" w14:textId="1BCA8C1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01" w:history="1">
            <w:r w:rsidRPr="00F45DCA">
              <w:rPr>
                <w:rStyle w:val="Lienhypertexte"/>
                <w:noProof/>
              </w:rPr>
              <w:t>21.33.2 Maçonneries de parement en moellons de pierre calcaire CCTB 01.02</w:t>
            </w:r>
            <w:r>
              <w:rPr>
                <w:noProof/>
                <w:webHidden/>
              </w:rPr>
              <w:tab/>
            </w:r>
            <w:r>
              <w:rPr>
                <w:noProof/>
                <w:webHidden/>
              </w:rPr>
              <w:fldChar w:fldCharType="begin"/>
            </w:r>
            <w:r>
              <w:rPr>
                <w:noProof/>
                <w:webHidden/>
              </w:rPr>
              <w:instrText xml:space="preserve"> PAGEREF _Toc220495401 \h </w:instrText>
            </w:r>
            <w:r>
              <w:rPr>
                <w:noProof/>
                <w:webHidden/>
              </w:rPr>
            </w:r>
            <w:r>
              <w:rPr>
                <w:noProof/>
                <w:webHidden/>
              </w:rPr>
              <w:fldChar w:fldCharType="separate"/>
            </w:r>
            <w:r>
              <w:rPr>
                <w:noProof/>
                <w:webHidden/>
              </w:rPr>
              <w:t>364</w:t>
            </w:r>
            <w:r>
              <w:rPr>
                <w:noProof/>
                <w:webHidden/>
              </w:rPr>
              <w:fldChar w:fldCharType="end"/>
            </w:r>
          </w:hyperlink>
        </w:p>
        <w:p w14:paraId="56A36C36" w14:textId="4611B34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02" w:history="1">
            <w:r w:rsidRPr="00F45DCA">
              <w:rPr>
                <w:rStyle w:val="Lienhypertexte"/>
                <w:noProof/>
              </w:rPr>
              <w:t>21.33.2a Maçonneries de parement en moellons de pierre bleue CCTB 01.11</w:t>
            </w:r>
            <w:r>
              <w:rPr>
                <w:noProof/>
                <w:webHidden/>
              </w:rPr>
              <w:tab/>
            </w:r>
            <w:r>
              <w:rPr>
                <w:noProof/>
                <w:webHidden/>
              </w:rPr>
              <w:fldChar w:fldCharType="begin"/>
            </w:r>
            <w:r>
              <w:rPr>
                <w:noProof/>
                <w:webHidden/>
              </w:rPr>
              <w:instrText xml:space="preserve"> PAGEREF _Toc220495402 \h </w:instrText>
            </w:r>
            <w:r>
              <w:rPr>
                <w:noProof/>
                <w:webHidden/>
              </w:rPr>
            </w:r>
            <w:r>
              <w:rPr>
                <w:noProof/>
                <w:webHidden/>
              </w:rPr>
              <w:fldChar w:fldCharType="separate"/>
            </w:r>
            <w:r>
              <w:rPr>
                <w:noProof/>
                <w:webHidden/>
              </w:rPr>
              <w:t>364</w:t>
            </w:r>
            <w:r>
              <w:rPr>
                <w:noProof/>
                <w:webHidden/>
              </w:rPr>
              <w:fldChar w:fldCharType="end"/>
            </w:r>
          </w:hyperlink>
        </w:p>
        <w:p w14:paraId="567B3639" w14:textId="1AB97FC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03" w:history="1">
            <w:r w:rsidRPr="00F45DCA">
              <w:rPr>
                <w:rStyle w:val="Lienhypertexte"/>
                <w:noProof/>
              </w:rPr>
              <w:t>21.33.2b Maçonneries de parement en moellons de pierre blanche CCTB 01.11</w:t>
            </w:r>
            <w:r>
              <w:rPr>
                <w:noProof/>
                <w:webHidden/>
              </w:rPr>
              <w:tab/>
            </w:r>
            <w:r>
              <w:rPr>
                <w:noProof/>
                <w:webHidden/>
              </w:rPr>
              <w:fldChar w:fldCharType="begin"/>
            </w:r>
            <w:r>
              <w:rPr>
                <w:noProof/>
                <w:webHidden/>
              </w:rPr>
              <w:instrText xml:space="preserve"> PAGEREF _Toc220495403 \h </w:instrText>
            </w:r>
            <w:r>
              <w:rPr>
                <w:noProof/>
                <w:webHidden/>
              </w:rPr>
            </w:r>
            <w:r>
              <w:rPr>
                <w:noProof/>
                <w:webHidden/>
              </w:rPr>
              <w:fldChar w:fldCharType="separate"/>
            </w:r>
            <w:r>
              <w:rPr>
                <w:noProof/>
                <w:webHidden/>
              </w:rPr>
              <w:t>365</w:t>
            </w:r>
            <w:r>
              <w:rPr>
                <w:noProof/>
                <w:webHidden/>
              </w:rPr>
              <w:fldChar w:fldCharType="end"/>
            </w:r>
          </w:hyperlink>
        </w:p>
        <w:p w14:paraId="4FDC0F82" w14:textId="657ADD4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04" w:history="1">
            <w:r w:rsidRPr="00F45DCA">
              <w:rPr>
                <w:rStyle w:val="Lienhypertexte"/>
                <w:noProof/>
              </w:rPr>
              <w:t>21.33.2c Maçonneries de parement en moellons de marbre CCTB 01.11</w:t>
            </w:r>
            <w:r>
              <w:rPr>
                <w:noProof/>
                <w:webHidden/>
              </w:rPr>
              <w:tab/>
            </w:r>
            <w:r>
              <w:rPr>
                <w:noProof/>
                <w:webHidden/>
              </w:rPr>
              <w:fldChar w:fldCharType="begin"/>
            </w:r>
            <w:r>
              <w:rPr>
                <w:noProof/>
                <w:webHidden/>
              </w:rPr>
              <w:instrText xml:space="preserve"> PAGEREF _Toc220495404 \h </w:instrText>
            </w:r>
            <w:r>
              <w:rPr>
                <w:noProof/>
                <w:webHidden/>
              </w:rPr>
            </w:r>
            <w:r>
              <w:rPr>
                <w:noProof/>
                <w:webHidden/>
              </w:rPr>
              <w:fldChar w:fldCharType="separate"/>
            </w:r>
            <w:r>
              <w:rPr>
                <w:noProof/>
                <w:webHidden/>
              </w:rPr>
              <w:t>366</w:t>
            </w:r>
            <w:r>
              <w:rPr>
                <w:noProof/>
                <w:webHidden/>
              </w:rPr>
              <w:fldChar w:fldCharType="end"/>
            </w:r>
          </w:hyperlink>
        </w:p>
        <w:p w14:paraId="484BD028" w14:textId="4896834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05" w:history="1">
            <w:r w:rsidRPr="00F45DCA">
              <w:rPr>
                <w:rStyle w:val="Lienhypertexte"/>
                <w:noProof/>
              </w:rPr>
              <w:t>21.33.3 Maçonneries de parement en moellons de pierres siliceuses CCTB 01.02</w:t>
            </w:r>
            <w:r>
              <w:rPr>
                <w:noProof/>
                <w:webHidden/>
              </w:rPr>
              <w:tab/>
            </w:r>
            <w:r>
              <w:rPr>
                <w:noProof/>
                <w:webHidden/>
              </w:rPr>
              <w:fldChar w:fldCharType="begin"/>
            </w:r>
            <w:r>
              <w:rPr>
                <w:noProof/>
                <w:webHidden/>
              </w:rPr>
              <w:instrText xml:space="preserve"> PAGEREF _Toc220495405 \h </w:instrText>
            </w:r>
            <w:r>
              <w:rPr>
                <w:noProof/>
                <w:webHidden/>
              </w:rPr>
            </w:r>
            <w:r>
              <w:rPr>
                <w:noProof/>
                <w:webHidden/>
              </w:rPr>
              <w:fldChar w:fldCharType="separate"/>
            </w:r>
            <w:r>
              <w:rPr>
                <w:noProof/>
                <w:webHidden/>
              </w:rPr>
              <w:t>366</w:t>
            </w:r>
            <w:r>
              <w:rPr>
                <w:noProof/>
                <w:webHidden/>
              </w:rPr>
              <w:fldChar w:fldCharType="end"/>
            </w:r>
          </w:hyperlink>
        </w:p>
        <w:p w14:paraId="1F7D77E2" w14:textId="674B210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06" w:history="1">
            <w:r w:rsidRPr="00F45DCA">
              <w:rPr>
                <w:rStyle w:val="Lienhypertexte"/>
                <w:noProof/>
              </w:rPr>
              <w:t>21.33.3a Maçonneries de parement en moellons d'arkose CCTB 01.11</w:t>
            </w:r>
            <w:r>
              <w:rPr>
                <w:noProof/>
                <w:webHidden/>
              </w:rPr>
              <w:tab/>
            </w:r>
            <w:r>
              <w:rPr>
                <w:noProof/>
                <w:webHidden/>
              </w:rPr>
              <w:fldChar w:fldCharType="begin"/>
            </w:r>
            <w:r>
              <w:rPr>
                <w:noProof/>
                <w:webHidden/>
              </w:rPr>
              <w:instrText xml:space="preserve"> PAGEREF _Toc220495406 \h </w:instrText>
            </w:r>
            <w:r>
              <w:rPr>
                <w:noProof/>
                <w:webHidden/>
              </w:rPr>
            </w:r>
            <w:r>
              <w:rPr>
                <w:noProof/>
                <w:webHidden/>
              </w:rPr>
              <w:fldChar w:fldCharType="separate"/>
            </w:r>
            <w:r>
              <w:rPr>
                <w:noProof/>
                <w:webHidden/>
              </w:rPr>
              <w:t>366</w:t>
            </w:r>
            <w:r>
              <w:rPr>
                <w:noProof/>
                <w:webHidden/>
              </w:rPr>
              <w:fldChar w:fldCharType="end"/>
            </w:r>
          </w:hyperlink>
        </w:p>
        <w:p w14:paraId="2B6CDB6A" w14:textId="2BE3039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07" w:history="1">
            <w:r w:rsidRPr="00F45DCA">
              <w:rPr>
                <w:rStyle w:val="Lienhypertexte"/>
                <w:noProof/>
              </w:rPr>
              <w:t>21.33.3b Maçonneries de parement en moellons de schiste CCTB 01.11</w:t>
            </w:r>
            <w:r>
              <w:rPr>
                <w:noProof/>
                <w:webHidden/>
              </w:rPr>
              <w:tab/>
            </w:r>
            <w:r>
              <w:rPr>
                <w:noProof/>
                <w:webHidden/>
              </w:rPr>
              <w:fldChar w:fldCharType="begin"/>
            </w:r>
            <w:r>
              <w:rPr>
                <w:noProof/>
                <w:webHidden/>
              </w:rPr>
              <w:instrText xml:space="preserve"> PAGEREF _Toc220495407 \h </w:instrText>
            </w:r>
            <w:r>
              <w:rPr>
                <w:noProof/>
                <w:webHidden/>
              </w:rPr>
            </w:r>
            <w:r>
              <w:rPr>
                <w:noProof/>
                <w:webHidden/>
              </w:rPr>
              <w:fldChar w:fldCharType="separate"/>
            </w:r>
            <w:r>
              <w:rPr>
                <w:noProof/>
                <w:webHidden/>
              </w:rPr>
              <w:t>367</w:t>
            </w:r>
            <w:r>
              <w:rPr>
                <w:noProof/>
                <w:webHidden/>
              </w:rPr>
              <w:fldChar w:fldCharType="end"/>
            </w:r>
          </w:hyperlink>
        </w:p>
        <w:p w14:paraId="0A2A41D6" w14:textId="11F5489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08" w:history="1">
            <w:r w:rsidRPr="00F45DCA">
              <w:rPr>
                <w:rStyle w:val="Lienhypertexte"/>
                <w:noProof/>
              </w:rPr>
              <w:t>21.33.3c Maçonneries de parement en moellons de grès CCTB 01.11</w:t>
            </w:r>
            <w:r>
              <w:rPr>
                <w:noProof/>
                <w:webHidden/>
              </w:rPr>
              <w:tab/>
            </w:r>
            <w:r>
              <w:rPr>
                <w:noProof/>
                <w:webHidden/>
              </w:rPr>
              <w:fldChar w:fldCharType="begin"/>
            </w:r>
            <w:r>
              <w:rPr>
                <w:noProof/>
                <w:webHidden/>
              </w:rPr>
              <w:instrText xml:space="preserve"> PAGEREF _Toc220495408 \h </w:instrText>
            </w:r>
            <w:r>
              <w:rPr>
                <w:noProof/>
                <w:webHidden/>
              </w:rPr>
            </w:r>
            <w:r>
              <w:rPr>
                <w:noProof/>
                <w:webHidden/>
              </w:rPr>
              <w:fldChar w:fldCharType="separate"/>
            </w:r>
            <w:r>
              <w:rPr>
                <w:noProof/>
                <w:webHidden/>
              </w:rPr>
              <w:t>368</w:t>
            </w:r>
            <w:r>
              <w:rPr>
                <w:noProof/>
                <w:webHidden/>
              </w:rPr>
              <w:fldChar w:fldCharType="end"/>
            </w:r>
          </w:hyperlink>
        </w:p>
        <w:p w14:paraId="122C576E" w14:textId="1F5AE11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09" w:history="1">
            <w:r w:rsidRPr="00F45DCA">
              <w:rPr>
                <w:rStyle w:val="Lienhypertexte"/>
                <w:noProof/>
              </w:rPr>
              <w:t>21.33.3d Maçonneries de parement en moellons de quartzite CCTB 01.11</w:t>
            </w:r>
            <w:r>
              <w:rPr>
                <w:noProof/>
                <w:webHidden/>
              </w:rPr>
              <w:tab/>
            </w:r>
            <w:r>
              <w:rPr>
                <w:noProof/>
                <w:webHidden/>
              </w:rPr>
              <w:fldChar w:fldCharType="begin"/>
            </w:r>
            <w:r>
              <w:rPr>
                <w:noProof/>
                <w:webHidden/>
              </w:rPr>
              <w:instrText xml:space="preserve"> PAGEREF _Toc220495409 \h </w:instrText>
            </w:r>
            <w:r>
              <w:rPr>
                <w:noProof/>
                <w:webHidden/>
              </w:rPr>
            </w:r>
            <w:r>
              <w:rPr>
                <w:noProof/>
                <w:webHidden/>
              </w:rPr>
              <w:fldChar w:fldCharType="separate"/>
            </w:r>
            <w:r>
              <w:rPr>
                <w:noProof/>
                <w:webHidden/>
              </w:rPr>
              <w:t>369</w:t>
            </w:r>
            <w:r>
              <w:rPr>
                <w:noProof/>
                <w:webHidden/>
              </w:rPr>
              <w:fldChar w:fldCharType="end"/>
            </w:r>
          </w:hyperlink>
        </w:p>
        <w:p w14:paraId="4A22E2A3" w14:textId="58C0C93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10" w:history="1">
            <w:r w:rsidRPr="00F45DCA">
              <w:rPr>
                <w:rStyle w:val="Lienhypertexte"/>
                <w:noProof/>
              </w:rPr>
              <w:t>21.33.3e Maçonneries de parement en moellons de silex CCTB 01.11</w:t>
            </w:r>
            <w:r>
              <w:rPr>
                <w:noProof/>
                <w:webHidden/>
              </w:rPr>
              <w:tab/>
            </w:r>
            <w:r>
              <w:rPr>
                <w:noProof/>
                <w:webHidden/>
              </w:rPr>
              <w:fldChar w:fldCharType="begin"/>
            </w:r>
            <w:r>
              <w:rPr>
                <w:noProof/>
                <w:webHidden/>
              </w:rPr>
              <w:instrText xml:space="preserve"> PAGEREF _Toc220495410 \h </w:instrText>
            </w:r>
            <w:r>
              <w:rPr>
                <w:noProof/>
                <w:webHidden/>
              </w:rPr>
            </w:r>
            <w:r>
              <w:rPr>
                <w:noProof/>
                <w:webHidden/>
              </w:rPr>
              <w:fldChar w:fldCharType="separate"/>
            </w:r>
            <w:r>
              <w:rPr>
                <w:noProof/>
                <w:webHidden/>
              </w:rPr>
              <w:t>370</w:t>
            </w:r>
            <w:r>
              <w:rPr>
                <w:noProof/>
                <w:webHidden/>
              </w:rPr>
              <w:fldChar w:fldCharType="end"/>
            </w:r>
          </w:hyperlink>
        </w:p>
        <w:p w14:paraId="375D7297" w14:textId="7FEDD82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411" w:history="1">
            <w:r w:rsidRPr="00F45DCA">
              <w:rPr>
                <w:rStyle w:val="Lienhypertexte"/>
                <w:noProof/>
              </w:rPr>
              <w:t>21.34 Maçonneries de parement en grands éléments CCTB 01.04</w:t>
            </w:r>
            <w:r>
              <w:rPr>
                <w:noProof/>
                <w:webHidden/>
              </w:rPr>
              <w:tab/>
            </w:r>
            <w:r>
              <w:rPr>
                <w:noProof/>
                <w:webHidden/>
              </w:rPr>
              <w:fldChar w:fldCharType="begin"/>
            </w:r>
            <w:r>
              <w:rPr>
                <w:noProof/>
                <w:webHidden/>
              </w:rPr>
              <w:instrText xml:space="preserve"> PAGEREF _Toc220495411 \h </w:instrText>
            </w:r>
            <w:r>
              <w:rPr>
                <w:noProof/>
                <w:webHidden/>
              </w:rPr>
            </w:r>
            <w:r>
              <w:rPr>
                <w:noProof/>
                <w:webHidden/>
              </w:rPr>
              <w:fldChar w:fldCharType="separate"/>
            </w:r>
            <w:r>
              <w:rPr>
                <w:noProof/>
                <w:webHidden/>
              </w:rPr>
              <w:t>371</w:t>
            </w:r>
            <w:r>
              <w:rPr>
                <w:noProof/>
                <w:webHidden/>
              </w:rPr>
              <w:fldChar w:fldCharType="end"/>
            </w:r>
          </w:hyperlink>
        </w:p>
        <w:p w14:paraId="1701C980" w14:textId="50BAFD8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12" w:history="1">
            <w:r w:rsidRPr="00F45DCA">
              <w:rPr>
                <w:rStyle w:val="Lienhypertexte"/>
                <w:noProof/>
              </w:rPr>
              <w:t>21.34.1 Maçonneries de parement préfabriquées CCTB 01.04</w:t>
            </w:r>
            <w:r>
              <w:rPr>
                <w:noProof/>
                <w:webHidden/>
              </w:rPr>
              <w:tab/>
            </w:r>
            <w:r>
              <w:rPr>
                <w:noProof/>
                <w:webHidden/>
              </w:rPr>
              <w:fldChar w:fldCharType="begin"/>
            </w:r>
            <w:r>
              <w:rPr>
                <w:noProof/>
                <w:webHidden/>
              </w:rPr>
              <w:instrText xml:space="preserve"> PAGEREF _Toc220495412 \h </w:instrText>
            </w:r>
            <w:r>
              <w:rPr>
                <w:noProof/>
                <w:webHidden/>
              </w:rPr>
            </w:r>
            <w:r>
              <w:rPr>
                <w:noProof/>
                <w:webHidden/>
              </w:rPr>
              <w:fldChar w:fldCharType="separate"/>
            </w:r>
            <w:r>
              <w:rPr>
                <w:noProof/>
                <w:webHidden/>
              </w:rPr>
              <w:t>371</w:t>
            </w:r>
            <w:r>
              <w:rPr>
                <w:noProof/>
                <w:webHidden/>
              </w:rPr>
              <w:fldChar w:fldCharType="end"/>
            </w:r>
          </w:hyperlink>
        </w:p>
        <w:p w14:paraId="3A9BE148" w14:textId="749B88A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13" w:history="1">
            <w:r w:rsidRPr="00F45DCA">
              <w:rPr>
                <w:rStyle w:val="Lienhypertexte"/>
                <w:noProof/>
              </w:rPr>
              <w:t>21.34.1a Maçonneries de parement préfabriquées en blocs de terre cuite CCTB 01.11</w:t>
            </w:r>
            <w:r>
              <w:rPr>
                <w:noProof/>
                <w:webHidden/>
              </w:rPr>
              <w:tab/>
            </w:r>
            <w:r>
              <w:rPr>
                <w:noProof/>
                <w:webHidden/>
              </w:rPr>
              <w:fldChar w:fldCharType="begin"/>
            </w:r>
            <w:r>
              <w:rPr>
                <w:noProof/>
                <w:webHidden/>
              </w:rPr>
              <w:instrText xml:space="preserve"> PAGEREF _Toc220495413 \h </w:instrText>
            </w:r>
            <w:r>
              <w:rPr>
                <w:noProof/>
                <w:webHidden/>
              </w:rPr>
            </w:r>
            <w:r>
              <w:rPr>
                <w:noProof/>
                <w:webHidden/>
              </w:rPr>
              <w:fldChar w:fldCharType="separate"/>
            </w:r>
            <w:r>
              <w:rPr>
                <w:noProof/>
                <w:webHidden/>
              </w:rPr>
              <w:t>371</w:t>
            </w:r>
            <w:r>
              <w:rPr>
                <w:noProof/>
                <w:webHidden/>
              </w:rPr>
              <w:fldChar w:fldCharType="end"/>
            </w:r>
          </w:hyperlink>
        </w:p>
        <w:p w14:paraId="091E6053" w14:textId="53B3226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14" w:history="1">
            <w:r w:rsidRPr="00F45DCA">
              <w:rPr>
                <w:rStyle w:val="Lienhypertexte"/>
                <w:noProof/>
              </w:rPr>
              <w:t>21.34.1b Maçonneries de parement préfabriquées en blocs de béton CCTB 01.11</w:t>
            </w:r>
            <w:r>
              <w:rPr>
                <w:noProof/>
                <w:webHidden/>
              </w:rPr>
              <w:tab/>
            </w:r>
            <w:r>
              <w:rPr>
                <w:noProof/>
                <w:webHidden/>
              </w:rPr>
              <w:fldChar w:fldCharType="begin"/>
            </w:r>
            <w:r>
              <w:rPr>
                <w:noProof/>
                <w:webHidden/>
              </w:rPr>
              <w:instrText xml:space="preserve"> PAGEREF _Toc220495414 \h </w:instrText>
            </w:r>
            <w:r>
              <w:rPr>
                <w:noProof/>
                <w:webHidden/>
              </w:rPr>
            </w:r>
            <w:r>
              <w:rPr>
                <w:noProof/>
                <w:webHidden/>
              </w:rPr>
              <w:fldChar w:fldCharType="separate"/>
            </w:r>
            <w:r>
              <w:rPr>
                <w:noProof/>
                <w:webHidden/>
              </w:rPr>
              <w:t>372</w:t>
            </w:r>
            <w:r>
              <w:rPr>
                <w:noProof/>
                <w:webHidden/>
              </w:rPr>
              <w:fldChar w:fldCharType="end"/>
            </w:r>
          </w:hyperlink>
        </w:p>
        <w:p w14:paraId="6D620978" w14:textId="255C3B3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15" w:history="1">
            <w:r w:rsidRPr="00F45DCA">
              <w:rPr>
                <w:rStyle w:val="Lienhypertexte"/>
                <w:noProof/>
              </w:rPr>
              <w:t>21.34.1c Maçonneries de parement préfabriquées en blocs de béton d'argile expansée CCTB 01.11</w:t>
            </w:r>
            <w:r>
              <w:rPr>
                <w:noProof/>
                <w:webHidden/>
              </w:rPr>
              <w:tab/>
            </w:r>
            <w:r>
              <w:rPr>
                <w:noProof/>
                <w:webHidden/>
              </w:rPr>
              <w:fldChar w:fldCharType="begin"/>
            </w:r>
            <w:r>
              <w:rPr>
                <w:noProof/>
                <w:webHidden/>
              </w:rPr>
              <w:instrText xml:space="preserve"> PAGEREF _Toc220495415 \h </w:instrText>
            </w:r>
            <w:r>
              <w:rPr>
                <w:noProof/>
                <w:webHidden/>
              </w:rPr>
            </w:r>
            <w:r>
              <w:rPr>
                <w:noProof/>
                <w:webHidden/>
              </w:rPr>
              <w:fldChar w:fldCharType="separate"/>
            </w:r>
            <w:r>
              <w:rPr>
                <w:noProof/>
                <w:webHidden/>
              </w:rPr>
              <w:t>373</w:t>
            </w:r>
            <w:r>
              <w:rPr>
                <w:noProof/>
                <w:webHidden/>
              </w:rPr>
              <w:fldChar w:fldCharType="end"/>
            </w:r>
          </w:hyperlink>
        </w:p>
        <w:p w14:paraId="65123F12" w14:textId="762485A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16" w:history="1">
            <w:r w:rsidRPr="00F45DCA">
              <w:rPr>
                <w:rStyle w:val="Lienhypertexte"/>
                <w:noProof/>
              </w:rPr>
              <w:t>21.34.1d Maçonneries de parement préfabriquées en blocs de silico-calcaire CCTB 01.11</w:t>
            </w:r>
            <w:r>
              <w:rPr>
                <w:noProof/>
                <w:webHidden/>
              </w:rPr>
              <w:tab/>
            </w:r>
            <w:r>
              <w:rPr>
                <w:noProof/>
                <w:webHidden/>
              </w:rPr>
              <w:fldChar w:fldCharType="begin"/>
            </w:r>
            <w:r>
              <w:rPr>
                <w:noProof/>
                <w:webHidden/>
              </w:rPr>
              <w:instrText xml:space="preserve"> PAGEREF _Toc220495416 \h </w:instrText>
            </w:r>
            <w:r>
              <w:rPr>
                <w:noProof/>
                <w:webHidden/>
              </w:rPr>
            </w:r>
            <w:r>
              <w:rPr>
                <w:noProof/>
                <w:webHidden/>
              </w:rPr>
              <w:fldChar w:fldCharType="separate"/>
            </w:r>
            <w:r>
              <w:rPr>
                <w:noProof/>
                <w:webHidden/>
              </w:rPr>
              <w:t>374</w:t>
            </w:r>
            <w:r>
              <w:rPr>
                <w:noProof/>
                <w:webHidden/>
              </w:rPr>
              <w:fldChar w:fldCharType="end"/>
            </w:r>
          </w:hyperlink>
        </w:p>
        <w:p w14:paraId="080A86C2" w14:textId="00F92D8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417" w:history="1">
            <w:r w:rsidRPr="00F45DCA">
              <w:rPr>
                <w:rStyle w:val="Lienhypertexte"/>
                <w:noProof/>
              </w:rPr>
              <w:t>21.35 Maçonneries de parement en blocs de verre CCTB 01.04</w:t>
            </w:r>
            <w:r>
              <w:rPr>
                <w:noProof/>
                <w:webHidden/>
              </w:rPr>
              <w:tab/>
            </w:r>
            <w:r>
              <w:rPr>
                <w:noProof/>
                <w:webHidden/>
              </w:rPr>
              <w:fldChar w:fldCharType="begin"/>
            </w:r>
            <w:r>
              <w:rPr>
                <w:noProof/>
                <w:webHidden/>
              </w:rPr>
              <w:instrText xml:space="preserve"> PAGEREF _Toc220495417 \h </w:instrText>
            </w:r>
            <w:r>
              <w:rPr>
                <w:noProof/>
                <w:webHidden/>
              </w:rPr>
            </w:r>
            <w:r>
              <w:rPr>
                <w:noProof/>
                <w:webHidden/>
              </w:rPr>
              <w:fldChar w:fldCharType="separate"/>
            </w:r>
            <w:r>
              <w:rPr>
                <w:noProof/>
                <w:webHidden/>
              </w:rPr>
              <w:t>375</w:t>
            </w:r>
            <w:r>
              <w:rPr>
                <w:noProof/>
                <w:webHidden/>
              </w:rPr>
              <w:fldChar w:fldCharType="end"/>
            </w:r>
          </w:hyperlink>
        </w:p>
        <w:p w14:paraId="16E08590" w14:textId="3925B1B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18" w:history="1">
            <w:r w:rsidRPr="00F45DCA">
              <w:rPr>
                <w:rStyle w:val="Lienhypertexte"/>
                <w:noProof/>
              </w:rPr>
              <w:t>21.35.1 Maçonneries de parement en blocs de verre CCTB 01.05</w:t>
            </w:r>
            <w:r>
              <w:rPr>
                <w:noProof/>
                <w:webHidden/>
              </w:rPr>
              <w:tab/>
            </w:r>
            <w:r>
              <w:rPr>
                <w:noProof/>
                <w:webHidden/>
              </w:rPr>
              <w:fldChar w:fldCharType="begin"/>
            </w:r>
            <w:r>
              <w:rPr>
                <w:noProof/>
                <w:webHidden/>
              </w:rPr>
              <w:instrText xml:space="preserve"> PAGEREF _Toc220495418 \h </w:instrText>
            </w:r>
            <w:r>
              <w:rPr>
                <w:noProof/>
                <w:webHidden/>
              </w:rPr>
            </w:r>
            <w:r>
              <w:rPr>
                <w:noProof/>
                <w:webHidden/>
              </w:rPr>
              <w:fldChar w:fldCharType="separate"/>
            </w:r>
            <w:r>
              <w:rPr>
                <w:noProof/>
                <w:webHidden/>
              </w:rPr>
              <w:t>375</w:t>
            </w:r>
            <w:r>
              <w:rPr>
                <w:noProof/>
                <w:webHidden/>
              </w:rPr>
              <w:fldChar w:fldCharType="end"/>
            </w:r>
          </w:hyperlink>
        </w:p>
        <w:p w14:paraId="3E70AAEC" w14:textId="3EDA89E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19" w:history="1">
            <w:r w:rsidRPr="00F45DCA">
              <w:rPr>
                <w:rStyle w:val="Lienhypertexte"/>
                <w:noProof/>
              </w:rPr>
              <w:t>21.35.1a Maçonneries de parement en blocs de verre CCTB 01.11</w:t>
            </w:r>
            <w:r>
              <w:rPr>
                <w:noProof/>
                <w:webHidden/>
              </w:rPr>
              <w:tab/>
            </w:r>
            <w:r>
              <w:rPr>
                <w:noProof/>
                <w:webHidden/>
              </w:rPr>
              <w:fldChar w:fldCharType="begin"/>
            </w:r>
            <w:r>
              <w:rPr>
                <w:noProof/>
                <w:webHidden/>
              </w:rPr>
              <w:instrText xml:space="preserve"> PAGEREF _Toc220495419 \h </w:instrText>
            </w:r>
            <w:r>
              <w:rPr>
                <w:noProof/>
                <w:webHidden/>
              </w:rPr>
            </w:r>
            <w:r>
              <w:rPr>
                <w:noProof/>
                <w:webHidden/>
              </w:rPr>
              <w:fldChar w:fldCharType="separate"/>
            </w:r>
            <w:r>
              <w:rPr>
                <w:noProof/>
                <w:webHidden/>
              </w:rPr>
              <w:t>376</w:t>
            </w:r>
            <w:r>
              <w:rPr>
                <w:noProof/>
                <w:webHidden/>
              </w:rPr>
              <w:fldChar w:fldCharType="end"/>
            </w:r>
          </w:hyperlink>
        </w:p>
        <w:p w14:paraId="0359EFC3" w14:textId="1652E8E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20" w:history="1">
            <w:r w:rsidRPr="00F45DCA">
              <w:rPr>
                <w:rStyle w:val="Lienhypertexte"/>
                <w:noProof/>
              </w:rPr>
              <w:t>21.35.1b Maçonneries de parement en panneaux préfabriqués en blocs de verre CCTB 01.11</w:t>
            </w:r>
            <w:r>
              <w:rPr>
                <w:noProof/>
                <w:webHidden/>
              </w:rPr>
              <w:tab/>
            </w:r>
            <w:r>
              <w:rPr>
                <w:noProof/>
                <w:webHidden/>
              </w:rPr>
              <w:fldChar w:fldCharType="begin"/>
            </w:r>
            <w:r>
              <w:rPr>
                <w:noProof/>
                <w:webHidden/>
              </w:rPr>
              <w:instrText xml:space="preserve"> PAGEREF _Toc220495420 \h </w:instrText>
            </w:r>
            <w:r>
              <w:rPr>
                <w:noProof/>
                <w:webHidden/>
              </w:rPr>
            </w:r>
            <w:r>
              <w:rPr>
                <w:noProof/>
                <w:webHidden/>
              </w:rPr>
              <w:fldChar w:fldCharType="separate"/>
            </w:r>
            <w:r>
              <w:rPr>
                <w:noProof/>
                <w:webHidden/>
              </w:rPr>
              <w:t>378</w:t>
            </w:r>
            <w:r>
              <w:rPr>
                <w:noProof/>
                <w:webHidden/>
              </w:rPr>
              <w:fldChar w:fldCharType="end"/>
            </w:r>
          </w:hyperlink>
        </w:p>
        <w:p w14:paraId="2C4FBF04" w14:textId="7767C52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421" w:history="1">
            <w:r w:rsidRPr="00F45DCA">
              <w:rPr>
                <w:rStyle w:val="Lienhypertexte"/>
                <w:noProof/>
              </w:rPr>
              <w:t>21.36 Eléments particuliers de façades CCTB 01.12</w:t>
            </w:r>
            <w:r>
              <w:rPr>
                <w:noProof/>
                <w:webHidden/>
              </w:rPr>
              <w:tab/>
            </w:r>
            <w:r>
              <w:rPr>
                <w:noProof/>
                <w:webHidden/>
              </w:rPr>
              <w:fldChar w:fldCharType="begin"/>
            </w:r>
            <w:r>
              <w:rPr>
                <w:noProof/>
                <w:webHidden/>
              </w:rPr>
              <w:instrText xml:space="preserve"> PAGEREF _Toc220495421 \h </w:instrText>
            </w:r>
            <w:r>
              <w:rPr>
                <w:noProof/>
                <w:webHidden/>
              </w:rPr>
            </w:r>
            <w:r>
              <w:rPr>
                <w:noProof/>
                <w:webHidden/>
              </w:rPr>
              <w:fldChar w:fldCharType="separate"/>
            </w:r>
            <w:r>
              <w:rPr>
                <w:noProof/>
                <w:webHidden/>
              </w:rPr>
              <w:t>380</w:t>
            </w:r>
            <w:r>
              <w:rPr>
                <w:noProof/>
                <w:webHidden/>
              </w:rPr>
              <w:fldChar w:fldCharType="end"/>
            </w:r>
          </w:hyperlink>
        </w:p>
        <w:p w14:paraId="0A5FD89E" w14:textId="69DBA35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22" w:history="1">
            <w:r w:rsidRPr="00F45DCA">
              <w:rPr>
                <w:rStyle w:val="Lienhypertexte"/>
                <w:noProof/>
              </w:rPr>
              <w:t>21.36.1 Seuils CCTB 01.11</w:t>
            </w:r>
            <w:r>
              <w:rPr>
                <w:noProof/>
                <w:webHidden/>
              </w:rPr>
              <w:tab/>
            </w:r>
            <w:r>
              <w:rPr>
                <w:noProof/>
                <w:webHidden/>
              </w:rPr>
              <w:fldChar w:fldCharType="begin"/>
            </w:r>
            <w:r>
              <w:rPr>
                <w:noProof/>
                <w:webHidden/>
              </w:rPr>
              <w:instrText xml:space="preserve"> PAGEREF _Toc220495422 \h </w:instrText>
            </w:r>
            <w:r>
              <w:rPr>
                <w:noProof/>
                <w:webHidden/>
              </w:rPr>
            </w:r>
            <w:r>
              <w:rPr>
                <w:noProof/>
                <w:webHidden/>
              </w:rPr>
              <w:fldChar w:fldCharType="separate"/>
            </w:r>
            <w:r>
              <w:rPr>
                <w:noProof/>
                <w:webHidden/>
              </w:rPr>
              <w:t>383</w:t>
            </w:r>
            <w:r>
              <w:rPr>
                <w:noProof/>
                <w:webHidden/>
              </w:rPr>
              <w:fldChar w:fldCharType="end"/>
            </w:r>
          </w:hyperlink>
        </w:p>
        <w:p w14:paraId="1A05E8E9" w14:textId="3FA2228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23" w:history="1">
            <w:r w:rsidRPr="00F45DCA">
              <w:rPr>
                <w:rStyle w:val="Lienhypertexte"/>
                <w:noProof/>
              </w:rPr>
              <w:t>21.36.1a Seuils en pierre CCTB 01.11</w:t>
            </w:r>
            <w:r>
              <w:rPr>
                <w:noProof/>
                <w:webHidden/>
              </w:rPr>
              <w:tab/>
            </w:r>
            <w:r>
              <w:rPr>
                <w:noProof/>
                <w:webHidden/>
              </w:rPr>
              <w:fldChar w:fldCharType="begin"/>
            </w:r>
            <w:r>
              <w:rPr>
                <w:noProof/>
                <w:webHidden/>
              </w:rPr>
              <w:instrText xml:space="preserve"> PAGEREF _Toc220495423 \h </w:instrText>
            </w:r>
            <w:r>
              <w:rPr>
                <w:noProof/>
                <w:webHidden/>
              </w:rPr>
            </w:r>
            <w:r>
              <w:rPr>
                <w:noProof/>
                <w:webHidden/>
              </w:rPr>
              <w:fldChar w:fldCharType="separate"/>
            </w:r>
            <w:r>
              <w:rPr>
                <w:noProof/>
                <w:webHidden/>
              </w:rPr>
              <w:t>385</w:t>
            </w:r>
            <w:r>
              <w:rPr>
                <w:noProof/>
                <w:webHidden/>
              </w:rPr>
              <w:fldChar w:fldCharType="end"/>
            </w:r>
          </w:hyperlink>
        </w:p>
        <w:p w14:paraId="6FC4FF5E" w14:textId="70C6903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24" w:history="1">
            <w:r w:rsidRPr="00F45DCA">
              <w:rPr>
                <w:rStyle w:val="Lienhypertexte"/>
                <w:noProof/>
              </w:rPr>
              <w:t>21.36.1b Seuils en éléments préfabriqués en béton CCTB 01.11</w:t>
            </w:r>
            <w:r>
              <w:rPr>
                <w:noProof/>
                <w:webHidden/>
              </w:rPr>
              <w:tab/>
            </w:r>
            <w:r>
              <w:rPr>
                <w:noProof/>
                <w:webHidden/>
              </w:rPr>
              <w:fldChar w:fldCharType="begin"/>
            </w:r>
            <w:r>
              <w:rPr>
                <w:noProof/>
                <w:webHidden/>
              </w:rPr>
              <w:instrText xml:space="preserve"> PAGEREF _Toc220495424 \h </w:instrText>
            </w:r>
            <w:r>
              <w:rPr>
                <w:noProof/>
                <w:webHidden/>
              </w:rPr>
            </w:r>
            <w:r>
              <w:rPr>
                <w:noProof/>
                <w:webHidden/>
              </w:rPr>
              <w:fldChar w:fldCharType="separate"/>
            </w:r>
            <w:r>
              <w:rPr>
                <w:noProof/>
                <w:webHidden/>
              </w:rPr>
              <w:t>388</w:t>
            </w:r>
            <w:r>
              <w:rPr>
                <w:noProof/>
                <w:webHidden/>
              </w:rPr>
              <w:fldChar w:fldCharType="end"/>
            </w:r>
          </w:hyperlink>
        </w:p>
        <w:p w14:paraId="7385B959" w14:textId="296DBE7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25" w:history="1">
            <w:r w:rsidRPr="00F45DCA">
              <w:rPr>
                <w:rStyle w:val="Lienhypertexte"/>
                <w:noProof/>
              </w:rPr>
              <w:t>21.36.1c Seuils en fibres-ciment CCTB 01.11</w:t>
            </w:r>
            <w:r>
              <w:rPr>
                <w:noProof/>
                <w:webHidden/>
              </w:rPr>
              <w:tab/>
            </w:r>
            <w:r>
              <w:rPr>
                <w:noProof/>
                <w:webHidden/>
              </w:rPr>
              <w:fldChar w:fldCharType="begin"/>
            </w:r>
            <w:r>
              <w:rPr>
                <w:noProof/>
                <w:webHidden/>
              </w:rPr>
              <w:instrText xml:space="preserve"> PAGEREF _Toc220495425 \h </w:instrText>
            </w:r>
            <w:r>
              <w:rPr>
                <w:noProof/>
                <w:webHidden/>
              </w:rPr>
            </w:r>
            <w:r>
              <w:rPr>
                <w:noProof/>
                <w:webHidden/>
              </w:rPr>
              <w:fldChar w:fldCharType="separate"/>
            </w:r>
            <w:r>
              <w:rPr>
                <w:noProof/>
                <w:webHidden/>
              </w:rPr>
              <w:t>389</w:t>
            </w:r>
            <w:r>
              <w:rPr>
                <w:noProof/>
                <w:webHidden/>
              </w:rPr>
              <w:fldChar w:fldCharType="end"/>
            </w:r>
          </w:hyperlink>
        </w:p>
        <w:p w14:paraId="6C248371" w14:textId="660BF9F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26" w:history="1">
            <w:r w:rsidRPr="00F45DCA">
              <w:rPr>
                <w:rStyle w:val="Lienhypertexte"/>
                <w:noProof/>
              </w:rPr>
              <w:t>21.36.1d Seuils en briques de parement CCTB 01.11</w:t>
            </w:r>
            <w:r>
              <w:rPr>
                <w:noProof/>
                <w:webHidden/>
              </w:rPr>
              <w:tab/>
            </w:r>
            <w:r>
              <w:rPr>
                <w:noProof/>
                <w:webHidden/>
              </w:rPr>
              <w:fldChar w:fldCharType="begin"/>
            </w:r>
            <w:r>
              <w:rPr>
                <w:noProof/>
                <w:webHidden/>
              </w:rPr>
              <w:instrText xml:space="preserve"> PAGEREF _Toc220495426 \h </w:instrText>
            </w:r>
            <w:r>
              <w:rPr>
                <w:noProof/>
                <w:webHidden/>
              </w:rPr>
            </w:r>
            <w:r>
              <w:rPr>
                <w:noProof/>
                <w:webHidden/>
              </w:rPr>
              <w:fldChar w:fldCharType="separate"/>
            </w:r>
            <w:r>
              <w:rPr>
                <w:noProof/>
                <w:webHidden/>
              </w:rPr>
              <w:t>390</w:t>
            </w:r>
            <w:r>
              <w:rPr>
                <w:noProof/>
                <w:webHidden/>
              </w:rPr>
              <w:fldChar w:fldCharType="end"/>
            </w:r>
          </w:hyperlink>
        </w:p>
        <w:p w14:paraId="4FD3667C" w14:textId="23AD95A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27" w:history="1">
            <w:r w:rsidRPr="00F45DCA">
              <w:rPr>
                <w:rStyle w:val="Lienhypertexte"/>
                <w:noProof/>
              </w:rPr>
              <w:t>21.36.2 Plinthes CCTB 01.11</w:t>
            </w:r>
            <w:r>
              <w:rPr>
                <w:noProof/>
                <w:webHidden/>
              </w:rPr>
              <w:tab/>
            </w:r>
            <w:r>
              <w:rPr>
                <w:noProof/>
                <w:webHidden/>
              </w:rPr>
              <w:fldChar w:fldCharType="begin"/>
            </w:r>
            <w:r>
              <w:rPr>
                <w:noProof/>
                <w:webHidden/>
              </w:rPr>
              <w:instrText xml:space="preserve"> PAGEREF _Toc220495427 \h </w:instrText>
            </w:r>
            <w:r>
              <w:rPr>
                <w:noProof/>
                <w:webHidden/>
              </w:rPr>
            </w:r>
            <w:r>
              <w:rPr>
                <w:noProof/>
                <w:webHidden/>
              </w:rPr>
              <w:fldChar w:fldCharType="separate"/>
            </w:r>
            <w:r>
              <w:rPr>
                <w:noProof/>
                <w:webHidden/>
              </w:rPr>
              <w:t>391</w:t>
            </w:r>
            <w:r>
              <w:rPr>
                <w:noProof/>
                <w:webHidden/>
              </w:rPr>
              <w:fldChar w:fldCharType="end"/>
            </w:r>
          </w:hyperlink>
        </w:p>
        <w:p w14:paraId="7C0F7431" w14:textId="6F9285A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28" w:history="1">
            <w:r w:rsidRPr="00F45DCA">
              <w:rPr>
                <w:rStyle w:val="Lienhypertexte"/>
                <w:noProof/>
              </w:rPr>
              <w:t>21.36.2a Plinthes en pierre CCTB 01.11</w:t>
            </w:r>
            <w:r>
              <w:rPr>
                <w:noProof/>
                <w:webHidden/>
              </w:rPr>
              <w:tab/>
            </w:r>
            <w:r>
              <w:rPr>
                <w:noProof/>
                <w:webHidden/>
              </w:rPr>
              <w:fldChar w:fldCharType="begin"/>
            </w:r>
            <w:r>
              <w:rPr>
                <w:noProof/>
                <w:webHidden/>
              </w:rPr>
              <w:instrText xml:space="preserve"> PAGEREF _Toc220495428 \h </w:instrText>
            </w:r>
            <w:r>
              <w:rPr>
                <w:noProof/>
                <w:webHidden/>
              </w:rPr>
            </w:r>
            <w:r>
              <w:rPr>
                <w:noProof/>
                <w:webHidden/>
              </w:rPr>
              <w:fldChar w:fldCharType="separate"/>
            </w:r>
            <w:r>
              <w:rPr>
                <w:noProof/>
                <w:webHidden/>
              </w:rPr>
              <w:t>392</w:t>
            </w:r>
            <w:r>
              <w:rPr>
                <w:noProof/>
                <w:webHidden/>
              </w:rPr>
              <w:fldChar w:fldCharType="end"/>
            </w:r>
          </w:hyperlink>
        </w:p>
        <w:p w14:paraId="77E97123" w14:textId="4B978BF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29" w:history="1">
            <w:r w:rsidRPr="00F45DCA">
              <w:rPr>
                <w:rStyle w:val="Lienhypertexte"/>
                <w:noProof/>
              </w:rPr>
              <w:t>21.36.2b Plinthes en pierre calcaire CCTB 01.11</w:t>
            </w:r>
            <w:r>
              <w:rPr>
                <w:noProof/>
                <w:webHidden/>
              </w:rPr>
              <w:tab/>
            </w:r>
            <w:r>
              <w:rPr>
                <w:noProof/>
                <w:webHidden/>
              </w:rPr>
              <w:fldChar w:fldCharType="begin"/>
            </w:r>
            <w:r>
              <w:rPr>
                <w:noProof/>
                <w:webHidden/>
              </w:rPr>
              <w:instrText xml:space="preserve"> PAGEREF _Toc220495429 \h </w:instrText>
            </w:r>
            <w:r>
              <w:rPr>
                <w:noProof/>
                <w:webHidden/>
              </w:rPr>
            </w:r>
            <w:r>
              <w:rPr>
                <w:noProof/>
                <w:webHidden/>
              </w:rPr>
              <w:fldChar w:fldCharType="separate"/>
            </w:r>
            <w:r>
              <w:rPr>
                <w:noProof/>
                <w:webHidden/>
              </w:rPr>
              <w:t>393</w:t>
            </w:r>
            <w:r>
              <w:rPr>
                <w:noProof/>
                <w:webHidden/>
              </w:rPr>
              <w:fldChar w:fldCharType="end"/>
            </w:r>
          </w:hyperlink>
        </w:p>
        <w:p w14:paraId="51A636F0" w14:textId="76CB6A0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30" w:history="1">
            <w:r w:rsidRPr="00F45DCA">
              <w:rPr>
                <w:rStyle w:val="Lienhypertexte"/>
                <w:noProof/>
              </w:rPr>
              <w:t>21.36.2c Plinthes en marbre CCTB 01.11</w:t>
            </w:r>
            <w:r>
              <w:rPr>
                <w:noProof/>
                <w:webHidden/>
              </w:rPr>
              <w:tab/>
            </w:r>
            <w:r>
              <w:rPr>
                <w:noProof/>
                <w:webHidden/>
              </w:rPr>
              <w:fldChar w:fldCharType="begin"/>
            </w:r>
            <w:r>
              <w:rPr>
                <w:noProof/>
                <w:webHidden/>
              </w:rPr>
              <w:instrText xml:space="preserve"> PAGEREF _Toc220495430 \h </w:instrText>
            </w:r>
            <w:r>
              <w:rPr>
                <w:noProof/>
                <w:webHidden/>
              </w:rPr>
            </w:r>
            <w:r>
              <w:rPr>
                <w:noProof/>
                <w:webHidden/>
              </w:rPr>
              <w:fldChar w:fldCharType="separate"/>
            </w:r>
            <w:r>
              <w:rPr>
                <w:noProof/>
                <w:webHidden/>
              </w:rPr>
              <w:t>394</w:t>
            </w:r>
            <w:r>
              <w:rPr>
                <w:noProof/>
                <w:webHidden/>
              </w:rPr>
              <w:fldChar w:fldCharType="end"/>
            </w:r>
          </w:hyperlink>
        </w:p>
        <w:p w14:paraId="70966C54" w14:textId="29FC650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31" w:history="1">
            <w:r w:rsidRPr="00F45DCA">
              <w:rPr>
                <w:rStyle w:val="Lienhypertexte"/>
                <w:noProof/>
              </w:rPr>
              <w:t>21.36.2d Plinthes en granite CCTB 01.11</w:t>
            </w:r>
            <w:r>
              <w:rPr>
                <w:noProof/>
                <w:webHidden/>
              </w:rPr>
              <w:tab/>
            </w:r>
            <w:r>
              <w:rPr>
                <w:noProof/>
                <w:webHidden/>
              </w:rPr>
              <w:fldChar w:fldCharType="begin"/>
            </w:r>
            <w:r>
              <w:rPr>
                <w:noProof/>
                <w:webHidden/>
              </w:rPr>
              <w:instrText xml:space="preserve"> PAGEREF _Toc220495431 \h </w:instrText>
            </w:r>
            <w:r>
              <w:rPr>
                <w:noProof/>
                <w:webHidden/>
              </w:rPr>
            </w:r>
            <w:r>
              <w:rPr>
                <w:noProof/>
                <w:webHidden/>
              </w:rPr>
              <w:fldChar w:fldCharType="separate"/>
            </w:r>
            <w:r>
              <w:rPr>
                <w:noProof/>
                <w:webHidden/>
              </w:rPr>
              <w:t>394</w:t>
            </w:r>
            <w:r>
              <w:rPr>
                <w:noProof/>
                <w:webHidden/>
              </w:rPr>
              <w:fldChar w:fldCharType="end"/>
            </w:r>
          </w:hyperlink>
        </w:p>
        <w:p w14:paraId="55C6B5DF" w14:textId="54AD5A1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32" w:history="1">
            <w:r w:rsidRPr="00F45DCA">
              <w:rPr>
                <w:rStyle w:val="Lienhypertexte"/>
                <w:noProof/>
              </w:rPr>
              <w:t>21.36.2e Plinthes préfabriquées en béton CCTB 01.11</w:t>
            </w:r>
            <w:r>
              <w:rPr>
                <w:noProof/>
                <w:webHidden/>
              </w:rPr>
              <w:tab/>
            </w:r>
            <w:r>
              <w:rPr>
                <w:noProof/>
                <w:webHidden/>
              </w:rPr>
              <w:fldChar w:fldCharType="begin"/>
            </w:r>
            <w:r>
              <w:rPr>
                <w:noProof/>
                <w:webHidden/>
              </w:rPr>
              <w:instrText xml:space="preserve"> PAGEREF _Toc220495432 \h </w:instrText>
            </w:r>
            <w:r>
              <w:rPr>
                <w:noProof/>
                <w:webHidden/>
              </w:rPr>
            </w:r>
            <w:r>
              <w:rPr>
                <w:noProof/>
                <w:webHidden/>
              </w:rPr>
              <w:fldChar w:fldCharType="separate"/>
            </w:r>
            <w:r>
              <w:rPr>
                <w:noProof/>
                <w:webHidden/>
              </w:rPr>
              <w:t>395</w:t>
            </w:r>
            <w:r>
              <w:rPr>
                <w:noProof/>
                <w:webHidden/>
              </w:rPr>
              <w:fldChar w:fldCharType="end"/>
            </w:r>
          </w:hyperlink>
        </w:p>
        <w:p w14:paraId="433C0075" w14:textId="612466B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33" w:history="1">
            <w:r w:rsidRPr="00F45DCA">
              <w:rPr>
                <w:rStyle w:val="Lienhypertexte"/>
                <w:noProof/>
              </w:rPr>
              <w:t>21.36.2f Plinthes préfabriquées en béton décoratif / architectonique CCTB 01.11</w:t>
            </w:r>
            <w:r>
              <w:rPr>
                <w:noProof/>
                <w:webHidden/>
              </w:rPr>
              <w:tab/>
            </w:r>
            <w:r>
              <w:rPr>
                <w:noProof/>
                <w:webHidden/>
              </w:rPr>
              <w:fldChar w:fldCharType="begin"/>
            </w:r>
            <w:r>
              <w:rPr>
                <w:noProof/>
                <w:webHidden/>
              </w:rPr>
              <w:instrText xml:space="preserve"> PAGEREF _Toc220495433 \h </w:instrText>
            </w:r>
            <w:r>
              <w:rPr>
                <w:noProof/>
                <w:webHidden/>
              </w:rPr>
            </w:r>
            <w:r>
              <w:rPr>
                <w:noProof/>
                <w:webHidden/>
              </w:rPr>
              <w:fldChar w:fldCharType="separate"/>
            </w:r>
            <w:r>
              <w:rPr>
                <w:noProof/>
                <w:webHidden/>
              </w:rPr>
              <w:t>397</w:t>
            </w:r>
            <w:r>
              <w:rPr>
                <w:noProof/>
                <w:webHidden/>
              </w:rPr>
              <w:fldChar w:fldCharType="end"/>
            </w:r>
          </w:hyperlink>
        </w:p>
        <w:p w14:paraId="6FEA572D" w14:textId="2FFB36B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34" w:history="1">
            <w:r w:rsidRPr="00F45DCA">
              <w:rPr>
                <w:rStyle w:val="Lienhypertexte"/>
                <w:noProof/>
              </w:rPr>
              <w:t>21.36.2g Plinthes en fibres-ciment CCTB 01.11</w:t>
            </w:r>
            <w:r>
              <w:rPr>
                <w:noProof/>
                <w:webHidden/>
              </w:rPr>
              <w:tab/>
            </w:r>
            <w:r>
              <w:rPr>
                <w:noProof/>
                <w:webHidden/>
              </w:rPr>
              <w:fldChar w:fldCharType="begin"/>
            </w:r>
            <w:r>
              <w:rPr>
                <w:noProof/>
                <w:webHidden/>
              </w:rPr>
              <w:instrText xml:space="preserve"> PAGEREF _Toc220495434 \h </w:instrText>
            </w:r>
            <w:r>
              <w:rPr>
                <w:noProof/>
                <w:webHidden/>
              </w:rPr>
            </w:r>
            <w:r>
              <w:rPr>
                <w:noProof/>
                <w:webHidden/>
              </w:rPr>
              <w:fldChar w:fldCharType="separate"/>
            </w:r>
            <w:r>
              <w:rPr>
                <w:noProof/>
                <w:webHidden/>
              </w:rPr>
              <w:t>398</w:t>
            </w:r>
            <w:r>
              <w:rPr>
                <w:noProof/>
                <w:webHidden/>
              </w:rPr>
              <w:fldChar w:fldCharType="end"/>
            </w:r>
          </w:hyperlink>
        </w:p>
        <w:p w14:paraId="0C1F4EEA" w14:textId="04958CB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35" w:history="1">
            <w:r w:rsidRPr="00F45DCA">
              <w:rPr>
                <w:rStyle w:val="Lienhypertexte"/>
                <w:noProof/>
              </w:rPr>
              <w:t>21.36.3 Linteaux CCTB 01.10</w:t>
            </w:r>
            <w:r>
              <w:rPr>
                <w:noProof/>
                <w:webHidden/>
              </w:rPr>
              <w:tab/>
            </w:r>
            <w:r>
              <w:rPr>
                <w:noProof/>
                <w:webHidden/>
              </w:rPr>
              <w:fldChar w:fldCharType="begin"/>
            </w:r>
            <w:r>
              <w:rPr>
                <w:noProof/>
                <w:webHidden/>
              </w:rPr>
              <w:instrText xml:space="preserve"> PAGEREF _Toc220495435 \h </w:instrText>
            </w:r>
            <w:r>
              <w:rPr>
                <w:noProof/>
                <w:webHidden/>
              </w:rPr>
            </w:r>
            <w:r>
              <w:rPr>
                <w:noProof/>
                <w:webHidden/>
              </w:rPr>
              <w:fldChar w:fldCharType="separate"/>
            </w:r>
            <w:r>
              <w:rPr>
                <w:noProof/>
                <w:webHidden/>
              </w:rPr>
              <w:t>399</w:t>
            </w:r>
            <w:r>
              <w:rPr>
                <w:noProof/>
                <w:webHidden/>
              </w:rPr>
              <w:fldChar w:fldCharType="end"/>
            </w:r>
          </w:hyperlink>
        </w:p>
        <w:p w14:paraId="28231A56" w14:textId="588C31C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36" w:history="1">
            <w:r w:rsidRPr="00F45DCA">
              <w:rPr>
                <w:rStyle w:val="Lienhypertexte"/>
                <w:noProof/>
              </w:rPr>
              <w:t>21.36.3a Linteaux en pierre CCTB 01.10</w:t>
            </w:r>
            <w:r>
              <w:rPr>
                <w:noProof/>
                <w:webHidden/>
              </w:rPr>
              <w:tab/>
            </w:r>
            <w:r>
              <w:rPr>
                <w:noProof/>
                <w:webHidden/>
              </w:rPr>
              <w:fldChar w:fldCharType="begin"/>
            </w:r>
            <w:r>
              <w:rPr>
                <w:noProof/>
                <w:webHidden/>
              </w:rPr>
              <w:instrText xml:space="preserve"> PAGEREF _Toc220495436 \h </w:instrText>
            </w:r>
            <w:r>
              <w:rPr>
                <w:noProof/>
                <w:webHidden/>
              </w:rPr>
            </w:r>
            <w:r>
              <w:rPr>
                <w:noProof/>
                <w:webHidden/>
              </w:rPr>
              <w:fldChar w:fldCharType="separate"/>
            </w:r>
            <w:r>
              <w:rPr>
                <w:noProof/>
                <w:webHidden/>
              </w:rPr>
              <w:t>399</w:t>
            </w:r>
            <w:r>
              <w:rPr>
                <w:noProof/>
                <w:webHidden/>
              </w:rPr>
              <w:fldChar w:fldCharType="end"/>
            </w:r>
          </w:hyperlink>
        </w:p>
        <w:p w14:paraId="65B618FA" w14:textId="49E58FB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37" w:history="1">
            <w:r w:rsidRPr="00F45DCA">
              <w:rPr>
                <w:rStyle w:val="Lienhypertexte"/>
                <w:noProof/>
              </w:rPr>
              <w:t>21.36.3b Linteaux en pierre reconstituée CCTB 01.10</w:t>
            </w:r>
            <w:r>
              <w:rPr>
                <w:noProof/>
                <w:webHidden/>
              </w:rPr>
              <w:tab/>
            </w:r>
            <w:r>
              <w:rPr>
                <w:noProof/>
                <w:webHidden/>
              </w:rPr>
              <w:fldChar w:fldCharType="begin"/>
            </w:r>
            <w:r>
              <w:rPr>
                <w:noProof/>
                <w:webHidden/>
              </w:rPr>
              <w:instrText xml:space="preserve"> PAGEREF _Toc220495437 \h </w:instrText>
            </w:r>
            <w:r>
              <w:rPr>
                <w:noProof/>
                <w:webHidden/>
              </w:rPr>
            </w:r>
            <w:r>
              <w:rPr>
                <w:noProof/>
                <w:webHidden/>
              </w:rPr>
              <w:fldChar w:fldCharType="separate"/>
            </w:r>
            <w:r>
              <w:rPr>
                <w:noProof/>
                <w:webHidden/>
              </w:rPr>
              <w:t>399</w:t>
            </w:r>
            <w:r>
              <w:rPr>
                <w:noProof/>
                <w:webHidden/>
              </w:rPr>
              <w:fldChar w:fldCharType="end"/>
            </w:r>
          </w:hyperlink>
        </w:p>
        <w:p w14:paraId="15E91074" w14:textId="245C0B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38" w:history="1">
            <w:r w:rsidRPr="00F45DCA">
              <w:rPr>
                <w:rStyle w:val="Lienhypertexte"/>
                <w:noProof/>
              </w:rPr>
              <w:t>21.36.3c Linteaux préfabriqués en béton décoratif / architectonique CCTB 01.10</w:t>
            </w:r>
            <w:r>
              <w:rPr>
                <w:noProof/>
                <w:webHidden/>
              </w:rPr>
              <w:tab/>
            </w:r>
            <w:r>
              <w:rPr>
                <w:noProof/>
                <w:webHidden/>
              </w:rPr>
              <w:fldChar w:fldCharType="begin"/>
            </w:r>
            <w:r>
              <w:rPr>
                <w:noProof/>
                <w:webHidden/>
              </w:rPr>
              <w:instrText xml:space="preserve"> PAGEREF _Toc220495438 \h </w:instrText>
            </w:r>
            <w:r>
              <w:rPr>
                <w:noProof/>
                <w:webHidden/>
              </w:rPr>
            </w:r>
            <w:r>
              <w:rPr>
                <w:noProof/>
                <w:webHidden/>
              </w:rPr>
              <w:fldChar w:fldCharType="separate"/>
            </w:r>
            <w:r>
              <w:rPr>
                <w:noProof/>
                <w:webHidden/>
              </w:rPr>
              <w:t>399</w:t>
            </w:r>
            <w:r>
              <w:rPr>
                <w:noProof/>
                <w:webHidden/>
              </w:rPr>
              <w:fldChar w:fldCharType="end"/>
            </w:r>
          </w:hyperlink>
        </w:p>
        <w:p w14:paraId="2928FF9E" w14:textId="30C351E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39" w:history="1">
            <w:r w:rsidRPr="00F45DCA">
              <w:rPr>
                <w:rStyle w:val="Lienhypertexte"/>
                <w:noProof/>
              </w:rPr>
              <w:t>21.36.4 Eléments d'encadrement CCTB 01.02</w:t>
            </w:r>
            <w:r>
              <w:rPr>
                <w:noProof/>
                <w:webHidden/>
              </w:rPr>
              <w:tab/>
            </w:r>
            <w:r>
              <w:rPr>
                <w:noProof/>
                <w:webHidden/>
              </w:rPr>
              <w:fldChar w:fldCharType="begin"/>
            </w:r>
            <w:r>
              <w:rPr>
                <w:noProof/>
                <w:webHidden/>
              </w:rPr>
              <w:instrText xml:space="preserve"> PAGEREF _Toc220495439 \h </w:instrText>
            </w:r>
            <w:r>
              <w:rPr>
                <w:noProof/>
                <w:webHidden/>
              </w:rPr>
            </w:r>
            <w:r>
              <w:rPr>
                <w:noProof/>
                <w:webHidden/>
              </w:rPr>
              <w:fldChar w:fldCharType="separate"/>
            </w:r>
            <w:r>
              <w:rPr>
                <w:noProof/>
                <w:webHidden/>
              </w:rPr>
              <w:t>399</w:t>
            </w:r>
            <w:r>
              <w:rPr>
                <w:noProof/>
                <w:webHidden/>
              </w:rPr>
              <w:fldChar w:fldCharType="end"/>
            </w:r>
          </w:hyperlink>
        </w:p>
        <w:p w14:paraId="24E32332" w14:textId="78D3EC1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40" w:history="1">
            <w:r w:rsidRPr="00F45DCA">
              <w:rPr>
                <w:rStyle w:val="Lienhypertexte"/>
                <w:noProof/>
              </w:rPr>
              <w:t>21.36.4a Eléments d'encadrement en pierre CCTB 01.11</w:t>
            </w:r>
            <w:r>
              <w:rPr>
                <w:noProof/>
                <w:webHidden/>
              </w:rPr>
              <w:tab/>
            </w:r>
            <w:r>
              <w:rPr>
                <w:noProof/>
                <w:webHidden/>
              </w:rPr>
              <w:fldChar w:fldCharType="begin"/>
            </w:r>
            <w:r>
              <w:rPr>
                <w:noProof/>
                <w:webHidden/>
              </w:rPr>
              <w:instrText xml:space="preserve"> PAGEREF _Toc220495440 \h </w:instrText>
            </w:r>
            <w:r>
              <w:rPr>
                <w:noProof/>
                <w:webHidden/>
              </w:rPr>
            </w:r>
            <w:r>
              <w:rPr>
                <w:noProof/>
                <w:webHidden/>
              </w:rPr>
              <w:fldChar w:fldCharType="separate"/>
            </w:r>
            <w:r>
              <w:rPr>
                <w:noProof/>
                <w:webHidden/>
              </w:rPr>
              <w:t>399</w:t>
            </w:r>
            <w:r>
              <w:rPr>
                <w:noProof/>
                <w:webHidden/>
              </w:rPr>
              <w:fldChar w:fldCharType="end"/>
            </w:r>
          </w:hyperlink>
        </w:p>
        <w:p w14:paraId="38CA03FD" w14:textId="58E47AB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41" w:history="1">
            <w:r w:rsidRPr="00F45DCA">
              <w:rPr>
                <w:rStyle w:val="Lienhypertexte"/>
                <w:noProof/>
              </w:rPr>
              <w:t>21.36.4b Eléments d'encadrement préfabriqués en béton CCTB 01.11</w:t>
            </w:r>
            <w:r>
              <w:rPr>
                <w:noProof/>
                <w:webHidden/>
              </w:rPr>
              <w:tab/>
            </w:r>
            <w:r>
              <w:rPr>
                <w:noProof/>
                <w:webHidden/>
              </w:rPr>
              <w:fldChar w:fldCharType="begin"/>
            </w:r>
            <w:r>
              <w:rPr>
                <w:noProof/>
                <w:webHidden/>
              </w:rPr>
              <w:instrText xml:space="preserve"> PAGEREF _Toc220495441 \h </w:instrText>
            </w:r>
            <w:r>
              <w:rPr>
                <w:noProof/>
                <w:webHidden/>
              </w:rPr>
            </w:r>
            <w:r>
              <w:rPr>
                <w:noProof/>
                <w:webHidden/>
              </w:rPr>
              <w:fldChar w:fldCharType="separate"/>
            </w:r>
            <w:r>
              <w:rPr>
                <w:noProof/>
                <w:webHidden/>
              </w:rPr>
              <w:t>400</w:t>
            </w:r>
            <w:r>
              <w:rPr>
                <w:noProof/>
                <w:webHidden/>
              </w:rPr>
              <w:fldChar w:fldCharType="end"/>
            </w:r>
          </w:hyperlink>
        </w:p>
        <w:p w14:paraId="3907DE0C" w14:textId="4F2A2B5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42" w:history="1">
            <w:r w:rsidRPr="00F45DCA">
              <w:rPr>
                <w:rStyle w:val="Lienhypertexte"/>
                <w:noProof/>
              </w:rPr>
              <w:t>21.36.4c Eléments d'encadrement préfabriqués en béton décoratif / architectonique CCTB 01.11</w:t>
            </w:r>
            <w:r>
              <w:rPr>
                <w:noProof/>
                <w:webHidden/>
              </w:rPr>
              <w:tab/>
            </w:r>
            <w:r>
              <w:rPr>
                <w:noProof/>
                <w:webHidden/>
              </w:rPr>
              <w:fldChar w:fldCharType="begin"/>
            </w:r>
            <w:r>
              <w:rPr>
                <w:noProof/>
                <w:webHidden/>
              </w:rPr>
              <w:instrText xml:space="preserve"> PAGEREF _Toc220495442 \h </w:instrText>
            </w:r>
            <w:r>
              <w:rPr>
                <w:noProof/>
                <w:webHidden/>
              </w:rPr>
            </w:r>
            <w:r>
              <w:rPr>
                <w:noProof/>
                <w:webHidden/>
              </w:rPr>
              <w:fldChar w:fldCharType="separate"/>
            </w:r>
            <w:r>
              <w:rPr>
                <w:noProof/>
                <w:webHidden/>
              </w:rPr>
              <w:t>401</w:t>
            </w:r>
            <w:r>
              <w:rPr>
                <w:noProof/>
                <w:webHidden/>
              </w:rPr>
              <w:fldChar w:fldCharType="end"/>
            </w:r>
          </w:hyperlink>
        </w:p>
        <w:p w14:paraId="7DDE43BA" w14:textId="3FE625A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43" w:history="1">
            <w:r w:rsidRPr="00F45DCA">
              <w:rPr>
                <w:rStyle w:val="Lienhypertexte"/>
                <w:noProof/>
              </w:rPr>
              <w:t>21.36.4d Eléments d'encadrement en fibres-ciment CCTB 01.11</w:t>
            </w:r>
            <w:r>
              <w:rPr>
                <w:noProof/>
                <w:webHidden/>
              </w:rPr>
              <w:tab/>
            </w:r>
            <w:r>
              <w:rPr>
                <w:noProof/>
                <w:webHidden/>
              </w:rPr>
              <w:fldChar w:fldCharType="begin"/>
            </w:r>
            <w:r>
              <w:rPr>
                <w:noProof/>
                <w:webHidden/>
              </w:rPr>
              <w:instrText xml:space="preserve"> PAGEREF _Toc220495443 \h </w:instrText>
            </w:r>
            <w:r>
              <w:rPr>
                <w:noProof/>
                <w:webHidden/>
              </w:rPr>
            </w:r>
            <w:r>
              <w:rPr>
                <w:noProof/>
                <w:webHidden/>
              </w:rPr>
              <w:fldChar w:fldCharType="separate"/>
            </w:r>
            <w:r>
              <w:rPr>
                <w:noProof/>
                <w:webHidden/>
              </w:rPr>
              <w:t>401</w:t>
            </w:r>
            <w:r>
              <w:rPr>
                <w:noProof/>
                <w:webHidden/>
              </w:rPr>
              <w:fldChar w:fldCharType="end"/>
            </w:r>
          </w:hyperlink>
        </w:p>
        <w:p w14:paraId="52D940D0" w14:textId="6A90E20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44" w:history="1">
            <w:r w:rsidRPr="00F45DCA">
              <w:rPr>
                <w:rStyle w:val="Lienhypertexte"/>
                <w:noProof/>
              </w:rPr>
              <w:t>21.36.5 Couvre-murs CCTB 01.09</w:t>
            </w:r>
            <w:r>
              <w:rPr>
                <w:noProof/>
                <w:webHidden/>
              </w:rPr>
              <w:tab/>
            </w:r>
            <w:r>
              <w:rPr>
                <w:noProof/>
                <w:webHidden/>
              </w:rPr>
              <w:fldChar w:fldCharType="begin"/>
            </w:r>
            <w:r>
              <w:rPr>
                <w:noProof/>
                <w:webHidden/>
              </w:rPr>
              <w:instrText xml:space="preserve"> PAGEREF _Toc220495444 \h </w:instrText>
            </w:r>
            <w:r>
              <w:rPr>
                <w:noProof/>
                <w:webHidden/>
              </w:rPr>
            </w:r>
            <w:r>
              <w:rPr>
                <w:noProof/>
                <w:webHidden/>
              </w:rPr>
              <w:fldChar w:fldCharType="separate"/>
            </w:r>
            <w:r>
              <w:rPr>
                <w:noProof/>
                <w:webHidden/>
              </w:rPr>
              <w:t>402</w:t>
            </w:r>
            <w:r>
              <w:rPr>
                <w:noProof/>
                <w:webHidden/>
              </w:rPr>
              <w:fldChar w:fldCharType="end"/>
            </w:r>
          </w:hyperlink>
        </w:p>
        <w:p w14:paraId="73984A58" w14:textId="1E7182A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45" w:history="1">
            <w:r w:rsidRPr="00F45DCA">
              <w:rPr>
                <w:rStyle w:val="Lienhypertexte"/>
                <w:noProof/>
              </w:rPr>
              <w:t>21.36.5a Couvre-murs en pierre CCTB 01.11</w:t>
            </w:r>
            <w:r>
              <w:rPr>
                <w:noProof/>
                <w:webHidden/>
              </w:rPr>
              <w:tab/>
            </w:r>
            <w:r>
              <w:rPr>
                <w:noProof/>
                <w:webHidden/>
              </w:rPr>
              <w:fldChar w:fldCharType="begin"/>
            </w:r>
            <w:r>
              <w:rPr>
                <w:noProof/>
                <w:webHidden/>
              </w:rPr>
              <w:instrText xml:space="preserve"> PAGEREF _Toc220495445 \h </w:instrText>
            </w:r>
            <w:r>
              <w:rPr>
                <w:noProof/>
                <w:webHidden/>
              </w:rPr>
            </w:r>
            <w:r>
              <w:rPr>
                <w:noProof/>
                <w:webHidden/>
              </w:rPr>
              <w:fldChar w:fldCharType="separate"/>
            </w:r>
            <w:r>
              <w:rPr>
                <w:noProof/>
                <w:webHidden/>
              </w:rPr>
              <w:t>403</w:t>
            </w:r>
            <w:r>
              <w:rPr>
                <w:noProof/>
                <w:webHidden/>
              </w:rPr>
              <w:fldChar w:fldCharType="end"/>
            </w:r>
          </w:hyperlink>
        </w:p>
        <w:p w14:paraId="3469098E" w14:textId="5B16314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46" w:history="1">
            <w:r w:rsidRPr="00F45DCA">
              <w:rPr>
                <w:rStyle w:val="Lienhypertexte"/>
                <w:noProof/>
              </w:rPr>
              <w:t>21.36.5b Couvre-murs en éléments préfabriqués en béton CCTB 01.13</w:t>
            </w:r>
            <w:r>
              <w:rPr>
                <w:noProof/>
                <w:webHidden/>
              </w:rPr>
              <w:tab/>
            </w:r>
            <w:r>
              <w:rPr>
                <w:noProof/>
                <w:webHidden/>
              </w:rPr>
              <w:fldChar w:fldCharType="begin"/>
            </w:r>
            <w:r>
              <w:rPr>
                <w:noProof/>
                <w:webHidden/>
              </w:rPr>
              <w:instrText xml:space="preserve"> PAGEREF _Toc220495446 \h </w:instrText>
            </w:r>
            <w:r>
              <w:rPr>
                <w:noProof/>
                <w:webHidden/>
              </w:rPr>
            </w:r>
            <w:r>
              <w:rPr>
                <w:noProof/>
                <w:webHidden/>
              </w:rPr>
              <w:fldChar w:fldCharType="separate"/>
            </w:r>
            <w:r>
              <w:rPr>
                <w:noProof/>
                <w:webHidden/>
              </w:rPr>
              <w:t>404</w:t>
            </w:r>
            <w:r>
              <w:rPr>
                <w:noProof/>
                <w:webHidden/>
              </w:rPr>
              <w:fldChar w:fldCharType="end"/>
            </w:r>
          </w:hyperlink>
        </w:p>
        <w:p w14:paraId="3CA06287" w14:textId="5A69728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47" w:history="1">
            <w:r w:rsidRPr="00F45DCA">
              <w:rPr>
                <w:rStyle w:val="Lienhypertexte"/>
                <w:noProof/>
              </w:rPr>
              <w:t>21.36.5c Couvre-murs en éléments préfabriqués en béton décoratif / architectonique CCTB 01.13</w:t>
            </w:r>
            <w:r>
              <w:rPr>
                <w:noProof/>
                <w:webHidden/>
              </w:rPr>
              <w:tab/>
            </w:r>
            <w:r>
              <w:rPr>
                <w:noProof/>
                <w:webHidden/>
              </w:rPr>
              <w:fldChar w:fldCharType="begin"/>
            </w:r>
            <w:r>
              <w:rPr>
                <w:noProof/>
                <w:webHidden/>
              </w:rPr>
              <w:instrText xml:space="preserve"> PAGEREF _Toc220495447 \h </w:instrText>
            </w:r>
            <w:r>
              <w:rPr>
                <w:noProof/>
                <w:webHidden/>
              </w:rPr>
            </w:r>
            <w:r>
              <w:rPr>
                <w:noProof/>
                <w:webHidden/>
              </w:rPr>
              <w:fldChar w:fldCharType="separate"/>
            </w:r>
            <w:r>
              <w:rPr>
                <w:noProof/>
                <w:webHidden/>
              </w:rPr>
              <w:t>406</w:t>
            </w:r>
            <w:r>
              <w:rPr>
                <w:noProof/>
                <w:webHidden/>
              </w:rPr>
              <w:fldChar w:fldCharType="end"/>
            </w:r>
          </w:hyperlink>
        </w:p>
        <w:p w14:paraId="6FF0BBFE" w14:textId="5287445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48" w:history="1">
            <w:r w:rsidRPr="00F45DCA">
              <w:rPr>
                <w:rStyle w:val="Lienhypertexte"/>
                <w:noProof/>
              </w:rPr>
              <w:t>21.36.5d Couvre-murs en fibres-ciment CCTB 01.11</w:t>
            </w:r>
            <w:r>
              <w:rPr>
                <w:noProof/>
                <w:webHidden/>
              </w:rPr>
              <w:tab/>
            </w:r>
            <w:r>
              <w:rPr>
                <w:noProof/>
                <w:webHidden/>
              </w:rPr>
              <w:fldChar w:fldCharType="begin"/>
            </w:r>
            <w:r>
              <w:rPr>
                <w:noProof/>
                <w:webHidden/>
              </w:rPr>
              <w:instrText xml:space="preserve"> PAGEREF _Toc220495448 \h </w:instrText>
            </w:r>
            <w:r>
              <w:rPr>
                <w:noProof/>
                <w:webHidden/>
              </w:rPr>
            </w:r>
            <w:r>
              <w:rPr>
                <w:noProof/>
                <w:webHidden/>
              </w:rPr>
              <w:fldChar w:fldCharType="separate"/>
            </w:r>
            <w:r>
              <w:rPr>
                <w:noProof/>
                <w:webHidden/>
              </w:rPr>
              <w:t>409</w:t>
            </w:r>
            <w:r>
              <w:rPr>
                <w:noProof/>
                <w:webHidden/>
              </w:rPr>
              <w:fldChar w:fldCharType="end"/>
            </w:r>
          </w:hyperlink>
        </w:p>
        <w:p w14:paraId="0168EF25" w14:textId="2E5B1C3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49" w:history="1">
            <w:r w:rsidRPr="00F45DCA">
              <w:rPr>
                <w:rStyle w:val="Lienhypertexte"/>
                <w:noProof/>
              </w:rPr>
              <w:t>21.36.5e Couvre-murs en terre cuite CCTB 01.11</w:t>
            </w:r>
            <w:r>
              <w:rPr>
                <w:noProof/>
                <w:webHidden/>
              </w:rPr>
              <w:tab/>
            </w:r>
            <w:r>
              <w:rPr>
                <w:noProof/>
                <w:webHidden/>
              </w:rPr>
              <w:fldChar w:fldCharType="begin"/>
            </w:r>
            <w:r>
              <w:rPr>
                <w:noProof/>
                <w:webHidden/>
              </w:rPr>
              <w:instrText xml:space="preserve"> PAGEREF _Toc220495449 \h </w:instrText>
            </w:r>
            <w:r>
              <w:rPr>
                <w:noProof/>
                <w:webHidden/>
              </w:rPr>
            </w:r>
            <w:r>
              <w:rPr>
                <w:noProof/>
                <w:webHidden/>
              </w:rPr>
              <w:fldChar w:fldCharType="separate"/>
            </w:r>
            <w:r>
              <w:rPr>
                <w:noProof/>
                <w:webHidden/>
              </w:rPr>
              <w:t>410</w:t>
            </w:r>
            <w:r>
              <w:rPr>
                <w:noProof/>
                <w:webHidden/>
              </w:rPr>
              <w:fldChar w:fldCharType="end"/>
            </w:r>
          </w:hyperlink>
        </w:p>
        <w:p w14:paraId="31AB1943" w14:textId="18E8F7D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50" w:history="1">
            <w:r w:rsidRPr="00F45DCA">
              <w:rPr>
                <w:rStyle w:val="Lienhypertexte"/>
                <w:noProof/>
              </w:rPr>
              <w:t>21.36.5f Couvre-murs métalliques CCTB 01.11</w:t>
            </w:r>
            <w:r>
              <w:rPr>
                <w:noProof/>
                <w:webHidden/>
              </w:rPr>
              <w:tab/>
            </w:r>
            <w:r>
              <w:rPr>
                <w:noProof/>
                <w:webHidden/>
              </w:rPr>
              <w:fldChar w:fldCharType="begin"/>
            </w:r>
            <w:r>
              <w:rPr>
                <w:noProof/>
                <w:webHidden/>
              </w:rPr>
              <w:instrText xml:space="preserve"> PAGEREF _Toc220495450 \h </w:instrText>
            </w:r>
            <w:r>
              <w:rPr>
                <w:noProof/>
                <w:webHidden/>
              </w:rPr>
            </w:r>
            <w:r>
              <w:rPr>
                <w:noProof/>
                <w:webHidden/>
              </w:rPr>
              <w:fldChar w:fldCharType="separate"/>
            </w:r>
            <w:r>
              <w:rPr>
                <w:noProof/>
                <w:webHidden/>
              </w:rPr>
              <w:t>410</w:t>
            </w:r>
            <w:r>
              <w:rPr>
                <w:noProof/>
                <w:webHidden/>
              </w:rPr>
              <w:fldChar w:fldCharType="end"/>
            </w:r>
          </w:hyperlink>
        </w:p>
        <w:p w14:paraId="0BF4E960" w14:textId="2AA1D63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51" w:history="1">
            <w:r w:rsidRPr="00F45DCA">
              <w:rPr>
                <w:rStyle w:val="Lienhypertexte"/>
                <w:noProof/>
              </w:rPr>
              <w:t>21.36.5g Couvre-murs synthétiques CCTB 01.11</w:t>
            </w:r>
            <w:r>
              <w:rPr>
                <w:noProof/>
                <w:webHidden/>
              </w:rPr>
              <w:tab/>
            </w:r>
            <w:r>
              <w:rPr>
                <w:noProof/>
                <w:webHidden/>
              </w:rPr>
              <w:fldChar w:fldCharType="begin"/>
            </w:r>
            <w:r>
              <w:rPr>
                <w:noProof/>
                <w:webHidden/>
              </w:rPr>
              <w:instrText xml:space="preserve"> PAGEREF _Toc220495451 \h </w:instrText>
            </w:r>
            <w:r>
              <w:rPr>
                <w:noProof/>
                <w:webHidden/>
              </w:rPr>
            </w:r>
            <w:r>
              <w:rPr>
                <w:noProof/>
                <w:webHidden/>
              </w:rPr>
              <w:fldChar w:fldCharType="separate"/>
            </w:r>
            <w:r>
              <w:rPr>
                <w:noProof/>
                <w:webHidden/>
              </w:rPr>
              <w:t>411</w:t>
            </w:r>
            <w:r>
              <w:rPr>
                <w:noProof/>
                <w:webHidden/>
              </w:rPr>
              <w:fldChar w:fldCharType="end"/>
            </w:r>
          </w:hyperlink>
        </w:p>
        <w:p w14:paraId="4DA9B22C" w14:textId="03EBF5B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52" w:history="1">
            <w:r w:rsidRPr="00F45DCA">
              <w:rPr>
                <w:rStyle w:val="Lienhypertexte"/>
                <w:noProof/>
              </w:rPr>
              <w:t>21.36.6 Couvertures de cheminées CCTB 01.04</w:t>
            </w:r>
            <w:r>
              <w:rPr>
                <w:noProof/>
                <w:webHidden/>
              </w:rPr>
              <w:tab/>
            </w:r>
            <w:r>
              <w:rPr>
                <w:noProof/>
                <w:webHidden/>
              </w:rPr>
              <w:fldChar w:fldCharType="begin"/>
            </w:r>
            <w:r>
              <w:rPr>
                <w:noProof/>
                <w:webHidden/>
              </w:rPr>
              <w:instrText xml:space="preserve"> PAGEREF _Toc220495452 \h </w:instrText>
            </w:r>
            <w:r>
              <w:rPr>
                <w:noProof/>
                <w:webHidden/>
              </w:rPr>
            </w:r>
            <w:r>
              <w:rPr>
                <w:noProof/>
                <w:webHidden/>
              </w:rPr>
              <w:fldChar w:fldCharType="separate"/>
            </w:r>
            <w:r>
              <w:rPr>
                <w:noProof/>
                <w:webHidden/>
              </w:rPr>
              <w:t>411</w:t>
            </w:r>
            <w:r>
              <w:rPr>
                <w:noProof/>
                <w:webHidden/>
              </w:rPr>
              <w:fldChar w:fldCharType="end"/>
            </w:r>
          </w:hyperlink>
        </w:p>
        <w:p w14:paraId="02251D37" w14:textId="6A98251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53" w:history="1">
            <w:r w:rsidRPr="00F45DCA">
              <w:rPr>
                <w:rStyle w:val="Lienhypertexte"/>
                <w:noProof/>
              </w:rPr>
              <w:t>21.36.6a Couvertures de cheminées en pierre CCTB 01.04</w:t>
            </w:r>
            <w:r>
              <w:rPr>
                <w:noProof/>
                <w:webHidden/>
              </w:rPr>
              <w:tab/>
            </w:r>
            <w:r>
              <w:rPr>
                <w:noProof/>
                <w:webHidden/>
              </w:rPr>
              <w:fldChar w:fldCharType="begin"/>
            </w:r>
            <w:r>
              <w:rPr>
                <w:noProof/>
                <w:webHidden/>
              </w:rPr>
              <w:instrText xml:space="preserve"> PAGEREF _Toc220495453 \h </w:instrText>
            </w:r>
            <w:r>
              <w:rPr>
                <w:noProof/>
                <w:webHidden/>
              </w:rPr>
            </w:r>
            <w:r>
              <w:rPr>
                <w:noProof/>
                <w:webHidden/>
              </w:rPr>
              <w:fldChar w:fldCharType="separate"/>
            </w:r>
            <w:r>
              <w:rPr>
                <w:noProof/>
                <w:webHidden/>
              </w:rPr>
              <w:t>411</w:t>
            </w:r>
            <w:r>
              <w:rPr>
                <w:noProof/>
                <w:webHidden/>
              </w:rPr>
              <w:fldChar w:fldCharType="end"/>
            </w:r>
          </w:hyperlink>
        </w:p>
        <w:p w14:paraId="64DE6CE4" w14:textId="272EBC9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54" w:history="1">
            <w:r w:rsidRPr="00F45DCA">
              <w:rPr>
                <w:rStyle w:val="Lienhypertexte"/>
                <w:noProof/>
              </w:rPr>
              <w:t>21.36.6b Couvertures de cheminées en béton CCTB 01.11</w:t>
            </w:r>
            <w:r>
              <w:rPr>
                <w:noProof/>
                <w:webHidden/>
              </w:rPr>
              <w:tab/>
            </w:r>
            <w:r>
              <w:rPr>
                <w:noProof/>
                <w:webHidden/>
              </w:rPr>
              <w:fldChar w:fldCharType="begin"/>
            </w:r>
            <w:r>
              <w:rPr>
                <w:noProof/>
                <w:webHidden/>
              </w:rPr>
              <w:instrText xml:space="preserve"> PAGEREF _Toc220495454 \h </w:instrText>
            </w:r>
            <w:r>
              <w:rPr>
                <w:noProof/>
                <w:webHidden/>
              </w:rPr>
            </w:r>
            <w:r>
              <w:rPr>
                <w:noProof/>
                <w:webHidden/>
              </w:rPr>
              <w:fldChar w:fldCharType="separate"/>
            </w:r>
            <w:r>
              <w:rPr>
                <w:noProof/>
                <w:webHidden/>
              </w:rPr>
              <w:t>411</w:t>
            </w:r>
            <w:r>
              <w:rPr>
                <w:noProof/>
                <w:webHidden/>
              </w:rPr>
              <w:fldChar w:fldCharType="end"/>
            </w:r>
          </w:hyperlink>
        </w:p>
        <w:p w14:paraId="44046396" w14:textId="3CDC3A7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55" w:history="1">
            <w:r w:rsidRPr="00F45DCA">
              <w:rPr>
                <w:rStyle w:val="Lienhypertexte"/>
                <w:noProof/>
              </w:rPr>
              <w:t>21.36.6c Couvertures de cheminées en béton décoratif / architectonique CCTB 01.11</w:t>
            </w:r>
            <w:r>
              <w:rPr>
                <w:noProof/>
                <w:webHidden/>
              </w:rPr>
              <w:tab/>
            </w:r>
            <w:r>
              <w:rPr>
                <w:noProof/>
                <w:webHidden/>
              </w:rPr>
              <w:fldChar w:fldCharType="begin"/>
            </w:r>
            <w:r>
              <w:rPr>
                <w:noProof/>
                <w:webHidden/>
              </w:rPr>
              <w:instrText xml:space="preserve"> PAGEREF _Toc220495455 \h </w:instrText>
            </w:r>
            <w:r>
              <w:rPr>
                <w:noProof/>
                <w:webHidden/>
              </w:rPr>
            </w:r>
            <w:r>
              <w:rPr>
                <w:noProof/>
                <w:webHidden/>
              </w:rPr>
              <w:fldChar w:fldCharType="separate"/>
            </w:r>
            <w:r>
              <w:rPr>
                <w:noProof/>
                <w:webHidden/>
              </w:rPr>
              <w:t>412</w:t>
            </w:r>
            <w:r>
              <w:rPr>
                <w:noProof/>
                <w:webHidden/>
              </w:rPr>
              <w:fldChar w:fldCharType="end"/>
            </w:r>
          </w:hyperlink>
        </w:p>
        <w:p w14:paraId="776D4C87" w14:textId="112DF29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56" w:history="1">
            <w:r w:rsidRPr="00F45DCA">
              <w:rPr>
                <w:rStyle w:val="Lienhypertexte"/>
                <w:noProof/>
              </w:rPr>
              <w:t>21.36.6d Couvertures de cheminées en fibres-ciment CCTB 01.04</w:t>
            </w:r>
            <w:r>
              <w:rPr>
                <w:noProof/>
                <w:webHidden/>
              </w:rPr>
              <w:tab/>
            </w:r>
            <w:r>
              <w:rPr>
                <w:noProof/>
                <w:webHidden/>
              </w:rPr>
              <w:fldChar w:fldCharType="begin"/>
            </w:r>
            <w:r>
              <w:rPr>
                <w:noProof/>
                <w:webHidden/>
              </w:rPr>
              <w:instrText xml:space="preserve"> PAGEREF _Toc220495456 \h </w:instrText>
            </w:r>
            <w:r>
              <w:rPr>
                <w:noProof/>
                <w:webHidden/>
              </w:rPr>
            </w:r>
            <w:r>
              <w:rPr>
                <w:noProof/>
                <w:webHidden/>
              </w:rPr>
              <w:fldChar w:fldCharType="separate"/>
            </w:r>
            <w:r>
              <w:rPr>
                <w:noProof/>
                <w:webHidden/>
              </w:rPr>
              <w:t>414</w:t>
            </w:r>
            <w:r>
              <w:rPr>
                <w:noProof/>
                <w:webHidden/>
              </w:rPr>
              <w:fldChar w:fldCharType="end"/>
            </w:r>
          </w:hyperlink>
        </w:p>
        <w:p w14:paraId="371DCB7B" w14:textId="4955C44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57" w:history="1">
            <w:r w:rsidRPr="00F45DCA">
              <w:rPr>
                <w:rStyle w:val="Lienhypertexte"/>
                <w:noProof/>
              </w:rPr>
              <w:t>21.36.7 Bandeaux CCTB 01.04</w:t>
            </w:r>
            <w:r>
              <w:rPr>
                <w:noProof/>
                <w:webHidden/>
              </w:rPr>
              <w:tab/>
            </w:r>
            <w:r>
              <w:rPr>
                <w:noProof/>
                <w:webHidden/>
              </w:rPr>
              <w:fldChar w:fldCharType="begin"/>
            </w:r>
            <w:r>
              <w:rPr>
                <w:noProof/>
                <w:webHidden/>
              </w:rPr>
              <w:instrText xml:space="preserve"> PAGEREF _Toc220495457 \h </w:instrText>
            </w:r>
            <w:r>
              <w:rPr>
                <w:noProof/>
                <w:webHidden/>
              </w:rPr>
            </w:r>
            <w:r>
              <w:rPr>
                <w:noProof/>
                <w:webHidden/>
              </w:rPr>
              <w:fldChar w:fldCharType="separate"/>
            </w:r>
            <w:r>
              <w:rPr>
                <w:noProof/>
                <w:webHidden/>
              </w:rPr>
              <w:t>414</w:t>
            </w:r>
            <w:r>
              <w:rPr>
                <w:noProof/>
                <w:webHidden/>
              </w:rPr>
              <w:fldChar w:fldCharType="end"/>
            </w:r>
          </w:hyperlink>
        </w:p>
        <w:p w14:paraId="0D141204" w14:textId="37BE6A7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58" w:history="1">
            <w:r w:rsidRPr="00F45DCA">
              <w:rPr>
                <w:rStyle w:val="Lienhypertexte"/>
                <w:noProof/>
              </w:rPr>
              <w:t>21.36.7a Bandeaux en pierre CCTB 01.04</w:t>
            </w:r>
            <w:r>
              <w:rPr>
                <w:noProof/>
                <w:webHidden/>
              </w:rPr>
              <w:tab/>
            </w:r>
            <w:r>
              <w:rPr>
                <w:noProof/>
                <w:webHidden/>
              </w:rPr>
              <w:fldChar w:fldCharType="begin"/>
            </w:r>
            <w:r>
              <w:rPr>
                <w:noProof/>
                <w:webHidden/>
              </w:rPr>
              <w:instrText xml:space="preserve"> PAGEREF _Toc220495458 \h </w:instrText>
            </w:r>
            <w:r>
              <w:rPr>
                <w:noProof/>
                <w:webHidden/>
              </w:rPr>
            </w:r>
            <w:r>
              <w:rPr>
                <w:noProof/>
                <w:webHidden/>
              </w:rPr>
              <w:fldChar w:fldCharType="separate"/>
            </w:r>
            <w:r>
              <w:rPr>
                <w:noProof/>
                <w:webHidden/>
              </w:rPr>
              <w:t>414</w:t>
            </w:r>
            <w:r>
              <w:rPr>
                <w:noProof/>
                <w:webHidden/>
              </w:rPr>
              <w:fldChar w:fldCharType="end"/>
            </w:r>
          </w:hyperlink>
        </w:p>
        <w:p w14:paraId="5603DF3F" w14:textId="60799A7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59" w:history="1">
            <w:r w:rsidRPr="00F45DCA">
              <w:rPr>
                <w:rStyle w:val="Lienhypertexte"/>
                <w:noProof/>
              </w:rPr>
              <w:t>21.36.7b Bandeaux en éléments préfabriqués en béton décoratif / architectonique CCTB 01.04</w:t>
            </w:r>
            <w:r>
              <w:rPr>
                <w:noProof/>
                <w:webHidden/>
              </w:rPr>
              <w:tab/>
            </w:r>
            <w:r>
              <w:rPr>
                <w:noProof/>
                <w:webHidden/>
              </w:rPr>
              <w:fldChar w:fldCharType="begin"/>
            </w:r>
            <w:r>
              <w:rPr>
                <w:noProof/>
                <w:webHidden/>
              </w:rPr>
              <w:instrText xml:space="preserve"> PAGEREF _Toc220495459 \h </w:instrText>
            </w:r>
            <w:r>
              <w:rPr>
                <w:noProof/>
                <w:webHidden/>
              </w:rPr>
            </w:r>
            <w:r>
              <w:rPr>
                <w:noProof/>
                <w:webHidden/>
              </w:rPr>
              <w:fldChar w:fldCharType="separate"/>
            </w:r>
            <w:r>
              <w:rPr>
                <w:noProof/>
                <w:webHidden/>
              </w:rPr>
              <w:t>414</w:t>
            </w:r>
            <w:r>
              <w:rPr>
                <w:noProof/>
                <w:webHidden/>
              </w:rPr>
              <w:fldChar w:fldCharType="end"/>
            </w:r>
          </w:hyperlink>
        </w:p>
        <w:p w14:paraId="6D984BC6" w14:textId="4DA5C572"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460" w:history="1">
            <w:r w:rsidRPr="00F45DCA">
              <w:rPr>
                <w:rStyle w:val="Lienhypertexte"/>
                <w:noProof/>
              </w:rPr>
              <w:t>21.4 Eléments particuliers pour maçonneries CCTB 01.02</w:t>
            </w:r>
            <w:r>
              <w:rPr>
                <w:noProof/>
                <w:webHidden/>
              </w:rPr>
              <w:tab/>
            </w:r>
            <w:r>
              <w:rPr>
                <w:noProof/>
                <w:webHidden/>
              </w:rPr>
              <w:fldChar w:fldCharType="begin"/>
            </w:r>
            <w:r>
              <w:rPr>
                <w:noProof/>
                <w:webHidden/>
              </w:rPr>
              <w:instrText xml:space="preserve"> PAGEREF _Toc220495460 \h </w:instrText>
            </w:r>
            <w:r>
              <w:rPr>
                <w:noProof/>
                <w:webHidden/>
              </w:rPr>
            </w:r>
            <w:r>
              <w:rPr>
                <w:noProof/>
                <w:webHidden/>
              </w:rPr>
              <w:fldChar w:fldCharType="separate"/>
            </w:r>
            <w:r>
              <w:rPr>
                <w:noProof/>
                <w:webHidden/>
              </w:rPr>
              <w:t>414</w:t>
            </w:r>
            <w:r>
              <w:rPr>
                <w:noProof/>
                <w:webHidden/>
              </w:rPr>
              <w:fldChar w:fldCharType="end"/>
            </w:r>
          </w:hyperlink>
        </w:p>
        <w:p w14:paraId="069FED9C" w14:textId="3DBAF03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461" w:history="1">
            <w:r w:rsidRPr="00F45DCA">
              <w:rPr>
                <w:rStyle w:val="Lienhypertexte"/>
                <w:noProof/>
              </w:rPr>
              <w:t>21.41 Armatures pour maçonneries CCTB 01.02</w:t>
            </w:r>
            <w:r>
              <w:rPr>
                <w:noProof/>
                <w:webHidden/>
              </w:rPr>
              <w:tab/>
            </w:r>
            <w:r>
              <w:rPr>
                <w:noProof/>
                <w:webHidden/>
              </w:rPr>
              <w:fldChar w:fldCharType="begin"/>
            </w:r>
            <w:r>
              <w:rPr>
                <w:noProof/>
                <w:webHidden/>
              </w:rPr>
              <w:instrText xml:space="preserve"> PAGEREF _Toc220495461 \h </w:instrText>
            </w:r>
            <w:r>
              <w:rPr>
                <w:noProof/>
                <w:webHidden/>
              </w:rPr>
            </w:r>
            <w:r>
              <w:rPr>
                <w:noProof/>
                <w:webHidden/>
              </w:rPr>
              <w:fldChar w:fldCharType="separate"/>
            </w:r>
            <w:r>
              <w:rPr>
                <w:noProof/>
                <w:webHidden/>
              </w:rPr>
              <w:t>414</w:t>
            </w:r>
            <w:r>
              <w:rPr>
                <w:noProof/>
                <w:webHidden/>
              </w:rPr>
              <w:fldChar w:fldCharType="end"/>
            </w:r>
          </w:hyperlink>
        </w:p>
        <w:p w14:paraId="406B24C2" w14:textId="4D6A754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62" w:history="1">
            <w:r w:rsidRPr="00F45DCA">
              <w:rPr>
                <w:rStyle w:val="Lienhypertexte"/>
                <w:noProof/>
              </w:rPr>
              <w:t>21.41.1 Armatures horizontales pour maçonneries CCTB 01.11</w:t>
            </w:r>
            <w:r>
              <w:rPr>
                <w:noProof/>
                <w:webHidden/>
              </w:rPr>
              <w:tab/>
            </w:r>
            <w:r>
              <w:rPr>
                <w:noProof/>
                <w:webHidden/>
              </w:rPr>
              <w:fldChar w:fldCharType="begin"/>
            </w:r>
            <w:r>
              <w:rPr>
                <w:noProof/>
                <w:webHidden/>
              </w:rPr>
              <w:instrText xml:space="preserve"> PAGEREF _Toc220495462 \h </w:instrText>
            </w:r>
            <w:r>
              <w:rPr>
                <w:noProof/>
                <w:webHidden/>
              </w:rPr>
            </w:r>
            <w:r>
              <w:rPr>
                <w:noProof/>
                <w:webHidden/>
              </w:rPr>
              <w:fldChar w:fldCharType="separate"/>
            </w:r>
            <w:r>
              <w:rPr>
                <w:noProof/>
                <w:webHidden/>
              </w:rPr>
              <w:t>414</w:t>
            </w:r>
            <w:r>
              <w:rPr>
                <w:noProof/>
                <w:webHidden/>
              </w:rPr>
              <w:fldChar w:fldCharType="end"/>
            </w:r>
          </w:hyperlink>
        </w:p>
        <w:p w14:paraId="696DEAF5" w14:textId="17ABC72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63" w:history="1">
            <w:r w:rsidRPr="00F45DCA">
              <w:rPr>
                <w:rStyle w:val="Lienhypertexte"/>
                <w:noProof/>
              </w:rPr>
              <w:t>21.41.1a Armatures horizontales préfabriquées à treillis pour maçonneries (barres rondes) CCTB 01.11</w:t>
            </w:r>
            <w:r>
              <w:rPr>
                <w:noProof/>
                <w:webHidden/>
              </w:rPr>
              <w:tab/>
            </w:r>
            <w:r>
              <w:rPr>
                <w:noProof/>
                <w:webHidden/>
              </w:rPr>
              <w:fldChar w:fldCharType="begin"/>
            </w:r>
            <w:r>
              <w:rPr>
                <w:noProof/>
                <w:webHidden/>
              </w:rPr>
              <w:instrText xml:space="preserve"> PAGEREF _Toc220495463 \h </w:instrText>
            </w:r>
            <w:r>
              <w:rPr>
                <w:noProof/>
                <w:webHidden/>
              </w:rPr>
            </w:r>
            <w:r>
              <w:rPr>
                <w:noProof/>
                <w:webHidden/>
              </w:rPr>
              <w:fldChar w:fldCharType="separate"/>
            </w:r>
            <w:r>
              <w:rPr>
                <w:noProof/>
                <w:webHidden/>
              </w:rPr>
              <w:t>415</w:t>
            </w:r>
            <w:r>
              <w:rPr>
                <w:noProof/>
                <w:webHidden/>
              </w:rPr>
              <w:fldChar w:fldCharType="end"/>
            </w:r>
          </w:hyperlink>
        </w:p>
        <w:p w14:paraId="38DBB9F5" w14:textId="79B1651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64" w:history="1">
            <w:r w:rsidRPr="00F45DCA">
              <w:rPr>
                <w:rStyle w:val="Lienhypertexte"/>
                <w:noProof/>
              </w:rPr>
              <w:t>21.41.1b Armatures horizontales préfabriquées à treillis pour maçonneries (barres plates) CCTB 01.11</w:t>
            </w:r>
            <w:r>
              <w:rPr>
                <w:noProof/>
                <w:webHidden/>
              </w:rPr>
              <w:tab/>
            </w:r>
            <w:r>
              <w:rPr>
                <w:noProof/>
                <w:webHidden/>
              </w:rPr>
              <w:fldChar w:fldCharType="begin"/>
            </w:r>
            <w:r>
              <w:rPr>
                <w:noProof/>
                <w:webHidden/>
              </w:rPr>
              <w:instrText xml:space="preserve"> PAGEREF _Toc220495464 \h </w:instrText>
            </w:r>
            <w:r>
              <w:rPr>
                <w:noProof/>
                <w:webHidden/>
              </w:rPr>
            </w:r>
            <w:r>
              <w:rPr>
                <w:noProof/>
                <w:webHidden/>
              </w:rPr>
              <w:fldChar w:fldCharType="separate"/>
            </w:r>
            <w:r>
              <w:rPr>
                <w:noProof/>
                <w:webHidden/>
              </w:rPr>
              <w:t>416</w:t>
            </w:r>
            <w:r>
              <w:rPr>
                <w:noProof/>
                <w:webHidden/>
              </w:rPr>
              <w:fldChar w:fldCharType="end"/>
            </w:r>
          </w:hyperlink>
        </w:p>
        <w:p w14:paraId="6079B6A1" w14:textId="4281986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65" w:history="1">
            <w:r w:rsidRPr="00F45DCA">
              <w:rPr>
                <w:rStyle w:val="Lienhypertexte"/>
                <w:noProof/>
              </w:rPr>
              <w:t>21.41.1c Armatures horizontales préfabriquées à échelons pour maçonneries (barres rondes) CCTB 01.11</w:t>
            </w:r>
            <w:r>
              <w:rPr>
                <w:noProof/>
                <w:webHidden/>
              </w:rPr>
              <w:tab/>
            </w:r>
            <w:r>
              <w:rPr>
                <w:noProof/>
                <w:webHidden/>
              </w:rPr>
              <w:fldChar w:fldCharType="begin"/>
            </w:r>
            <w:r>
              <w:rPr>
                <w:noProof/>
                <w:webHidden/>
              </w:rPr>
              <w:instrText xml:space="preserve"> PAGEREF _Toc220495465 \h </w:instrText>
            </w:r>
            <w:r>
              <w:rPr>
                <w:noProof/>
                <w:webHidden/>
              </w:rPr>
            </w:r>
            <w:r>
              <w:rPr>
                <w:noProof/>
                <w:webHidden/>
              </w:rPr>
              <w:fldChar w:fldCharType="separate"/>
            </w:r>
            <w:r>
              <w:rPr>
                <w:noProof/>
                <w:webHidden/>
              </w:rPr>
              <w:t>417</w:t>
            </w:r>
            <w:r>
              <w:rPr>
                <w:noProof/>
                <w:webHidden/>
              </w:rPr>
              <w:fldChar w:fldCharType="end"/>
            </w:r>
          </w:hyperlink>
        </w:p>
        <w:p w14:paraId="38603B65" w14:textId="225A5EB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66" w:history="1">
            <w:r w:rsidRPr="00F45DCA">
              <w:rPr>
                <w:rStyle w:val="Lienhypertexte"/>
                <w:noProof/>
              </w:rPr>
              <w:t>21.41.1d Armatures horizontales préfabriquées à échelons pour maçonneries (barres plates) CCTB 01.11</w:t>
            </w:r>
            <w:r>
              <w:rPr>
                <w:noProof/>
                <w:webHidden/>
              </w:rPr>
              <w:tab/>
            </w:r>
            <w:r>
              <w:rPr>
                <w:noProof/>
                <w:webHidden/>
              </w:rPr>
              <w:fldChar w:fldCharType="begin"/>
            </w:r>
            <w:r>
              <w:rPr>
                <w:noProof/>
                <w:webHidden/>
              </w:rPr>
              <w:instrText xml:space="preserve"> PAGEREF _Toc220495466 \h </w:instrText>
            </w:r>
            <w:r>
              <w:rPr>
                <w:noProof/>
                <w:webHidden/>
              </w:rPr>
            </w:r>
            <w:r>
              <w:rPr>
                <w:noProof/>
                <w:webHidden/>
              </w:rPr>
              <w:fldChar w:fldCharType="separate"/>
            </w:r>
            <w:r>
              <w:rPr>
                <w:noProof/>
                <w:webHidden/>
              </w:rPr>
              <w:t>418</w:t>
            </w:r>
            <w:r>
              <w:rPr>
                <w:noProof/>
                <w:webHidden/>
              </w:rPr>
              <w:fldChar w:fldCharType="end"/>
            </w:r>
          </w:hyperlink>
        </w:p>
        <w:p w14:paraId="5ED363A9" w14:textId="5D65EF5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67" w:history="1">
            <w:r w:rsidRPr="00F45DCA">
              <w:rPr>
                <w:rStyle w:val="Lienhypertexte"/>
                <w:noProof/>
              </w:rPr>
              <w:t>21.41.1e Armatures horizontales pour maçonneries en blocs de coffrage CCTB 01.11</w:t>
            </w:r>
            <w:r>
              <w:rPr>
                <w:noProof/>
                <w:webHidden/>
              </w:rPr>
              <w:tab/>
            </w:r>
            <w:r>
              <w:rPr>
                <w:noProof/>
                <w:webHidden/>
              </w:rPr>
              <w:fldChar w:fldCharType="begin"/>
            </w:r>
            <w:r>
              <w:rPr>
                <w:noProof/>
                <w:webHidden/>
              </w:rPr>
              <w:instrText xml:space="preserve"> PAGEREF _Toc220495467 \h </w:instrText>
            </w:r>
            <w:r>
              <w:rPr>
                <w:noProof/>
                <w:webHidden/>
              </w:rPr>
            </w:r>
            <w:r>
              <w:rPr>
                <w:noProof/>
                <w:webHidden/>
              </w:rPr>
              <w:fldChar w:fldCharType="separate"/>
            </w:r>
            <w:r>
              <w:rPr>
                <w:noProof/>
                <w:webHidden/>
              </w:rPr>
              <w:t>418</w:t>
            </w:r>
            <w:r>
              <w:rPr>
                <w:noProof/>
                <w:webHidden/>
              </w:rPr>
              <w:fldChar w:fldCharType="end"/>
            </w:r>
          </w:hyperlink>
        </w:p>
        <w:p w14:paraId="6EA33FA8" w14:textId="5D91D75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68" w:history="1">
            <w:r w:rsidRPr="00F45DCA">
              <w:rPr>
                <w:rStyle w:val="Lienhypertexte"/>
                <w:noProof/>
              </w:rPr>
              <w:t>21.41.1f Armatures horizontales pour maçonneries CCTB 01.11</w:t>
            </w:r>
            <w:r>
              <w:rPr>
                <w:noProof/>
                <w:webHidden/>
              </w:rPr>
              <w:tab/>
            </w:r>
            <w:r>
              <w:rPr>
                <w:noProof/>
                <w:webHidden/>
              </w:rPr>
              <w:fldChar w:fldCharType="begin"/>
            </w:r>
            <w:r>
              <w:rPr>
                <w:noProof/>
                <w:webHidden/>
              </w:rPr>
              <w:instrText xml:space="preserve"> PAGEREF _Toc220495468 \h </w:instrText>
            </w:r>
            <w:r>
              <w:rPr>
                <w:noProof/>
                <w:webHidden/>
              </w:rPr>
            </w:r>
            <w:r>
              <w:rPr>
                <w:noProof/>
                <w:webHidden/>
              </w:rPr>
              <w:fldChar w:fldCharType="separate"/>
            </w:r>
            <w:r>
              <w:rPr>
                <w:noProof/>
                <w:webHidden/>
              </w:rPr>
              <w:t>419</w:t>
            </w:r>
            <w:r>
              <w:rPr>
                <w:noProof/>
                <w:webHidden/>
              </w:rPr>
              <w:fldChar w:fldCharType="end"/>
            </w:r>
          </w:hyperlink>
        </w:p>
        <w:p w14:paraId="07CDF424" w14:textId="39DB01F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69" w:history="1">
            <w:r w:rsidRPr="00F45DCA">
              <w:rPr>
                <w:rStyle w:val="Lienhypertexte"/>
                <w:noProof/>
              </w:rPr>
              <w:t>21.41.2 Armatures verticales pour maçonneries CCTB 01.13</w:t>
            </w:r>
            <w:r>
              <w:rPr>
                <w:noProof/>
                <w:webHidden/>
              </w:rPr>
              <w:tab/>
            </w:r>
            <w:r>
              <w:rPr>
                <w:noProof/>
                <w:webHidden/>
              </w:rPr>
              <w:fldChar w:fldCharType="begin"/>
            </w:r>
            <w:r>
              <w:rPr>
                <w:noProof/>
                <w:webHidden/>
              </w:rPr>
              <w:instrText xml:space="preserve"> PAGEREF _Toc220495469 \h </w:instrText>
            </w:r>
            <w:r>
              <w:rPr>
                <w:noProof/>
                <w:webHidden/>
              </w:rPr>
            </w:r>
            <w:r>
              <w:rPr>
                <w:noProof/>
                <w:webHidden/>
              </w:rPr>
              <w:fldChar w:fldCharType="separate"/>
            </w:r>
            <w:r>
              <w:rPr>
                <w:noProof/>
                <w:webHidden/>
              </w:rPr>
              <w:t>420</w:t>
            </w:r>
            <w:r>
              <w:rPr>
                <w:noProof/>
                <w:webHidden/>
              </w:rPr>
              <w:fldChar w:fldCharType="end"/>
            </w:r>
          </w:hyperlink>
        </w:p>
        <w:p w14:paraId="031BAFF8" w14:textId="621D6D5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70" w:history="1">
            <w:r w:rsidRPr="00F45DCA">
              <w:rPr>
                <w:rStyle w:val="Lienhypertexte"/>
                <w:noProof/>
              </w:rPr>
              <w:t>21.41.2a Armatures verticales pour maçonneries en blocs de coffrage CCTB 01.07</w:t>
            </w:r>
            <w:r>
              <w:rPr>
                <w:noProof/>
                <w:webHidden/>
              </w:rPr>
              <w:tab/>
            </w:r>
            <w:r>
              <w:rPr>
                <w:noProof/>
                <w:webHidden/>
              </w:rPr>
              <w:fldChar w:fldCharType="begin"/>
            </w:r>
            <w:r>
              <w:rPr>
                <w:noProof/>
                <w:webHidden/>
              </w:rPr>
              <w:instrText xml:space="preserve"> PAGEREF _Toc220495470 \h </w:instrText>
            </w:r>
            <w:r>
              <w:rPr>
                <w:noProof/>
                <w:webHidden/>
              </w:rPr>
            </w:r>
            <w:r>
              <w:rPr>
                <w:noProof/>
                <w:webHidden/>
              </w:rPr>
              <w:fldChar w:fldCharType="separate"/>
            </w:r>
            <w:r>
              <w:rPr>
                <w:noProof/>
                <w:webHidden/>
              </w:rPr>
              <w:t>423</w:t>
            </w:r>
            <w:r>
              <w:rPr>
                <w:noProof/>
                <w:webHidden/>
              </w:rPr>
              <w:fldChar w:fldCharType="end"/>
            </w:r>
          </w:hyperlink>
        </w:p>
        <w:p w14:paraId="583A7AFC" w14:textId="58CC4F2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71" w:history="1">
            <w:r w:rsidRPr="00F45DCA">
              <w:rPr>
                <w:rStyle w:val="Lienhypertexte"/>
                <w:noProof/>
              </w:rPr>
              <w:t>21.41.2b Armatures verticales pour maçonneries en blocs creux CCTB 01.07</w:t>
            </w:r>
            <w:r>
              <w:rPr>
                <w:noProof/>
                <w:webHidden/>
              </w:rPr>
              <w:tab/>
            </w:r>
            <w:r>
              <w:rPr>
                <w:noProof/>
                <w:webHidden/>
              </w:rPr>
              <w:fldChar w:fldCharType="begin"/>
            </w:r>
            <w:r>
              <w:rPr>
                <w:noProof/>
                <w:webHidden/>
              </w:rPr>
              <w:instrText xml:space="preserve"> PAGEREF _Toc220495471 \h </w:instrText>
            </w:r>
            <w:r>
              <w:rPr>
                <w:noProof/>
                <w:webHidden/>
              </w:rPr>
            </w:r>
            <w:r>
              <w:rPr>
                <w:noProof/>
                <w:webHidden/>
              </w:rPr>
              <w:fldChar w:fldCharType="separate"/>
            </w:r>
            <w:r>
              <w:rPr>
                <w:noProof/>
                <w:webHidden/>
              </w:rPr>
              <w:t>425</w:t>
            </w:r>
            <w:r>
              <w:rPr>
                <w:noProof/>
                <w:webHidden/>
              </w:rPr>
              <w:fldChar w:fldCharType="end"/>
            </w:r>
          </w:hyperlink>
        </w:p>
        <w:p w14:paraId="568CF0BC" w14:textId="4AF7A9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72" w:history="1">
            <w:r w:rsidRPr="00F45DCA">
              <w:rPr>
                <w:rStyle w:val="Lienhypertexte"/>
                <w:noProof/>
              </w:rPr>
              <w:t>21.41.2c Armatures verticales pour maçonneries en briques creuses CCTB 01.02</w:t>
            </w:r>
            <w:r>
              <w:rPr>
                <w:noProof/>
                <w:webHidden/>
              </w:rPr>
              <w:tab/>
            </w:r>
            <w:r>
              <w:rPr>
                <w:noProof/>
                <w:webHidden/>
              </w:rPr>
              <w:fldChar w:fldCharType="begin"/>
            </w:r>
            <w:r>
              <w:rPr>
                <w:noProof/>
                <w:webHidden/>
              </w:rPr>
              <w:instrText xml:space="preserve"> PAGEREF _Toc220495472 \h </w:instrText>
            </w:r>
            <w:r>
              <w:rPr>
                <w:noProof/>
                <w:webHidden/>
              </w:rPr>
            </w:r>
            <w:r>
              <w:rPr>
                <w:noProof/>
                <w:webHidden/>
              </w:rPr>
              <w:fldChar w:fldCharType="separate"/>
            </w:r>
            <w:r>
              <w:rPr>
                <w:noProof/>
                <w:webHidden/>
              </w:rPr>
              <w:t>426</w:t>
            </w:r>
            <w:r>
              <w:rPr>
                <w:noProof/>
                <w:webHidden/>
              </w:rPr>
              <w:fldChar w:fldCharType="end"/>
            </w:r>
          </w:hyperlink>
        </w:p>
        <w:p w14:paraId="77FC4F4F" w14:textId="42DCCD2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73" w:history="1">
            <w:r w:rsidRPr="00F45DCA">
              <w:rPr>
                <w:rStyle w:val="Lienhypertexte"/>
                <w:noProof/>
              </w:rPr>
              <w:t>21.41.3 Etriers supports de poutres et poutrelles CCTB 01.02</w:t>
            </w:r>
            <w:r>
              <w:rPr>
                <w:noProof/>
                <w:webHidden/>
              </w:rPr>
              <w:tab/>
            </w:r>
            <w:r>
              <w:rPr>
                <w:noProof/>
                <w:webHidden/>
              </w:rPr>
              <w:fldChar w:fldCharType="begin"/>
            </w:r>
            <w:r>
              <w:rPr>
                <w:noProof/>
                <w:webHidden/>
              </w:rPr>
              <w:instrText xml:space="preserve"> PAGEREF _Toc220495473 \h </w:instrText>
            </w:r>
            <w:r>
              <w:rPr>
                <w:noProof/>
                <w:webHidden/>
              </w:rPr>
            </w:r>
            <w:r>
              <w:rPr>
                <w:noProof/>
                <w:webHidden/>
              </w:rPr>
              <w:fldChar w:fldCharType="separate"/>
            </w:r>
            <w:r>
              <w:rPr>
                <w:noProof/>
                <w:webHidden/>
              </w:rPr>
              <w:t>426</w:t>
            </w:r>
            <w:r>
              <w:rPr>
                <w:noProof/>
                <w:webHidden/>
              </w:rPr>
              <w:fldChar w:fldCharType="end"/>
            </w:r>
          </w:hyperlink>
        </w:p>
        <w:p w14:paraId="257B82EF" w14:textId="35209F8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74" w:history="1">
            <w:r w:rsidRPr="00F45DCA">
              <w:rPr>
                <w:rStyle w:val="Lienhypertexte"/>
                <w:noProof/>
              </w:rPr>
              <w:t>21.41.3a Etriers supports de poutres et poutrelles CCTB 01.02</w:t>
            </w:r>
            <w:r>
              <w:rPr>
                <w:noProof/>
                <w:webHidden/>
              </w:rPr>
              <w:tab/>
            </w:r>
            <w:r>
              <w:rPr>
                <w:noProof/>
                <w:webHidden/>
              </w:rPr>
              <w:fldChar w:fldCharType="begin"/>
            </w:r>
            <w:r>
              <w:rPr>
                <w:noProof/>
                <w:webHidden/>
              </w:rPr>
              <w:instrText xml:space="preserve"> PAGEREF _Toc220495474 \h </w:instrText>
            </w:r>
            <w:r>
              <w:rPr>
                <w:noProof/>
                <w:webHidden/>
              </w:rPr>
            </w:r>
            <w:r>
              <w:rPr>
                <w:noProof/>
                <w:webHidden/>
              </w:rPr>
              <w:fldChar w:fldCharType="separate"/>
            </w:r>
            <w:r>
              <w:rPr>
                <w:noProof/>
                <w:webHidden/>
              </w:rPr>
              <w:t>426</w:t>
            </w:r>
            <w:r>
              <w:rPr>
                <w:noProof/>
                <w:webHidden/>
              </w:rPr>
              <w:fldChar w:fldCharType="end"/>
            </w:r>
          </w:hyperlink>
        </w:p>
        <w:p w14:paraId="0E5AE0C5" w14:textId="2F6C15D9"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475" w:history="1">
            <w:r w:rsidRPr="00F45DCA">
              <w:rPr>
                <w:rStyle w:val="Lienhypertexte"/>
                <w:noProof/>
              </w:rPr>
              <w:t>21.42 Ancrages et fixations de maçonneries CCTB 01.02</w:t>
            </w:r>
            <w:r>
              <w:rPr>
                <w:noProof/>
                <w:webHidden/>
              </w:rPr>
              <w:tab/>
            </w:r>
            <w:r>
              <w:rPr>
                <w:noProof/>
                <w:webHidden/>
              </w:rPr>
              <w:fldChar w:fldCharType="begin"/>
            </w:r>
            <w:r>
              <w:rPr>
                <w:noProof/>
                <w:webHidden/>
              </w:rPr>
              <w:instrText xml:space="preserve"> PAGEREF _Toc220495475 \h </w:instrText>
            </w:r>
            <w:r>
              <w:rPr>
                <w:noProof/>
                <w:webHidden/>
              </w:rPr>
            </w:r>
            <w:r>
              <w:rPr>
                <w:noProof/>
                <w:webHidden/>
              </w:rPr>
              <w:fldChar w:fldCharType="separate"/>
            </w:r>
            <w:r>
              <w:rPr>
                <w:noProof/>
                <w:webHidden/>
              </w:rPr>
              <w:t>426</w:t>
            </w:r>
            <w:r>
              <w:rPr>
                <w:noProof/>
                <w:webHidden/>
              </w:rPr>
              <w:fldChar w:fldCharType="end"/>
            </w:r>
          </w:hyperlink>
        </w:p>
        <w:p w14:paraId="4F6DA627" w14:textId="68E1FBE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76" w:history="1">
            <w:r w:rsidRPr="00F45DCA">
              <w:rPr>
                <w:rStyle w:val="Lienhypertexte"/>
                <w:noProof/>
              </w:rPr>
              <w:t>21.42.1 Crochets, tirants et pattes d'ancrages de maçonneries CCTB 01.12</w:t>
            </w:r>
            <w:r>
              <w:rPr>
                <w:noProof/>
                <w:webHidden/>
              </w:rPr>
              <w:tab/>
            </w:r>
            <w:r>
              <w:rPr>
                <w:noProof/>
                <w:webHidden/>
              </w:rPr>
              <w:fldChar w:fldCharType="begin"/>
            </w:r>
            <w:r>
              <w:rPr>
                <w:noProof/>
                <w:webHidden/>
              </w:rPr>
              <w:instrText xml:space="preserve"> PAGEREF _Toc220495476 \h </w:instrText>
            </w:r>
            <w:r>
              <w:rPr>
                <w:noProof/>
                <w:webHidden/>
              </w:rPr>
            </w:r>
            <w:r>
              <w:rPr>
                <w:noProof/>
                <w:webHidden/>
              </w:rPr>
              <w:fldChar w:fldCharType="separate"/>
            </w:r>
            <w:r>
              <w:rPr>
                <w:noProof/>
                <w:webHidden/>
              </w:rPr>
              <w:t>426</w:t>
            </w:r>
            <w:r>
              <w:rPr>
                <w:noProof/>
                <w:webHidden/>
              </w:rPr>
              <w:fldChar w:fldCharType="end"/>
            </w:r>
          </w:hyperlink>
        </w:p>
        <w:p w14:paraId="3C8C1609" w14:textId="27B0B8B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77" w:history="1">
            <w:r w:rsidRPr="00F45DCA">
              <w:rPr>
                <w:rStyle w:val="Lienhypertexte"/>
                <w:noProof/>
              </w:rPr>
              <w:t>21.42.1a Crochets, tirants et pattes d'ancrages de maçonneries fixés mécaniquement CCTB 01.11</w:t>
            </w:r>
            <w:r>
              <w:rPr>
                <w:noProof/>
                <w:webHidden/>
              </w:rPr>
              <w:tab/>
            </w:r>
            <w:r>
              <w:rPr>
                <w:noProof/>
                <w:webHidden/>
              </w:rPr>
              <w:fldChar w:fldCharType="begin"/>
            </w:r>
            <w:r>
              <w:rPr>
                <w:noProof/>
                <w:webHidden/>
              </w:rPr>
              <w:instrText xml:space="preserve"> PAGEREF _Toc220495477 \h </w:instrText>
            </w:r>
            <w:r>
              <w:rPr>
                <w:noProof/>
                <w:webHidden/>
              </w:rPr>
            </w:r>
            <w:r>
              <w:rPr>
                <w:noProof/>
                <w:webHidden/>
              </w:rPr>
              <w:fldChar w:fldCharType="separate"/>
            </w:r>
            <w:r>
              <w:rPr>
                <w:noProof/>
                <w:webHidden/>
              </w:rPr>
              <w:t>429</w:t>
            </w:r>
            <w:r>
              <w:rPr>
                <w:noProof/>
                <w:webHidden/>
              </w:rPr>
              <w:fldChar w:fldCharType="end"/>
            </w:r>
          </w:hyperlink>
        </w:p>
        <w:p w14:paraId="65363860" w14:textId="060365C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78" w:history="1">
            <w:r w:rsidRPr="00F45DCA">
              <w:rPr>
                <w:rStyle w:val="Lienhypertexte"/>
                <w:noProof/>
              </w:rPr>
              <w:t>21.42.1b Crochets, tirants et pattes d'ancrages de maçonneries scellés dans la masse CCTB 01.11</w:t>
            </w:r>
            <w:r>
              <w:rPr>
                <w:noProof/>
                <w:webHidden/>
              </w:rPr>
              <w:tab/>
            </w:r>
            <w:r>
              <w:rPr>
                <w:noProof/>
                <w:webHidden/>
              </w:rPr>
              <w:fldChar w:fldCharType="begin"/>
            </w:r>
            <w:r>
              <w:rPr>
                <w:noProof/>
                <w:webHidden/>
              </w:rPr>
              <w:instrText xml:space="preserve"> PAGEREF _Toc220495478 \h </w:instrText>
            </w:r>
            <w:r>
              <w:rPr>
                <w:noProof/>
                <w:webHidden/>
              </w:rPr>
            </w:r>
            <w:r>
              <w:rPr>
                <w:noProof/>
                <w:webHidden/>
              </w:rPr>
              <w:fldChar w:fldCharType="separate"/>
            </w:r>
            <w:r>
              <w:rPr>
                <w:noProof/>
                <w:webHidden/>
              </w:rPr>
              <w:t>432</w:t>
            </w:r>
            <w:r>
              <w:rPr>
                <w:noProof/>
                <w:webHidden/>
              </w:rPr>
              <w:fldChar w:fldCharType="end"/>
            </w:r>
          </w:hyperlink>
        </w:p>
        <w:p w14:paraId="6C1DA44C" w14:textId="06332CF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79" w:history="1">
            <w:r w:rsidRPr="00F45DCA">
              <w:rPr>
                <w:rStyle w:val="Lienhypertexte"/>
                <w:noProof/>
              </w:rPr>
              <w:t>21.42.1c Crochets, tirants et pattes d'ancrages de maçonneries scellés chimiquement CCTB 01.11</w:t>
            </w:r>
            <w:r>
              <w:rPr>
                <w:noProof/>
                <w:webHidden/>
              </w:rPr>
              <w:tab/>
            </w:r>
            <w:r>
              <w:rPr>
                <w:noProof/>
                <w:webHidden/>
              </w:rPr>
              <w:fldChar w:fldCharType="begin"/>
            </w:r>
            <w:r>
              <w:rPr>
                <w:noProof/>
                <w:webHidden/>
              </w:rPr>
              <w:instrText xml:space="preserve"> PAGEREF _Toc220495479 \h </w:instrText>
            </w:r>
            <w:r>
              <w:rPr>
                <w:noProof/>
                <w:webHidden/>
              </w:rPr>
            </w:r>
            <w:r>
              <w:rPr>
                <w:noProof/>
                <w:webHidden/>
              </w:rPr>
              <w:fldChar w:fldCharType="separate"/>
            </w:r>
            <w:r>
              <w:rPr>
                <w:noProof/>
                <w:webHidden/>
              </w:rPr>
              <w:t>434</w:t>
            </w:r>
            <w:r>
              <w:rPr>
                <w:noProof/>
                <w:webHidden/>
              </w:rPr>
              <w:fldChar w:fldCharType="end"/>
            </w:r>
          </w:hyperlink>
        </w:p>
        <w:p w14:paraId="4834E741" w14:textId="6DFC80C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80" w:history="1">
            <w:r w:rsidRPr="00F45DCA">
              <w:rPr>
                <w:rStyle w:val="Lienhypertexte"/>
                <w:noProof/>
              </w:rPr>
              <w:t>21.42.2 Profils à crochets d'ancrages de maçonneries CCTB 01.02</w:t>
            </w:r>
            <w:r>
              <w:rPr>
                <w:noProof/>
                <w:webHidden/>
              </w:rPr>
              <w:tab/>
            </w:r>
            <w:r>
              <w:rPr>
                <w:noProof/>
                <w:webHidden/>
              </w:rPr>
              <w:fldChar w:fldCharType="begin"/>
            </w:r>
            <w:r>
              <w:rPr>
                <w:noProof/>
                <w:webHidden/>
              </w:rPr>
              <w:instrText xml:space="preserve"> PAGEREF _Toc220495480 \h </w:instrText>
            </w:r>
            <w:r>
              <w:rPr>
                <w:noProof/>
                <w:webHidden/>
              </w:rPr>
            </w:r>
            <w:r>
              <w:rPr>
                <w:noProof/>
                <w:webHidden/>
              </w:rPr>
              <w:fldChar w:fldCharType="separate"/>
            </w:r>
            <w:r>
              <w:rPr>
                <w:noProof/>
                <w:webHidden/>
              </w:rPr>
              <w:t>437</w:t>
            </w:r>
            <w:r>
              <w:rPr>
                <w:noProof/>
                <w:webHidden/>
              </w:rPr>
              <w:fldChar w:fldCharType="end"/>
            </w:r>
          </w:hyperlink>
        </w:p>
        <w:p w14:paraId="309874F7" w14:textId="418B636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81" w:history="1">
            <w:r w:rsidRPr="00F45DCA">
              <w:rPr>
                <w:rStyle w:val="Lienhypertexte"/>
                <w:noProof/>
              </w:rPr>
              <w:t>21.42.2a Profils à crochets d'ancrages de maçonneries fixés mécaniquement CCTB 01.11</w:t>
            </w:r>
            <w:r>
              <w:rPr>
                <w:noProof/>
                <w:webHidden/>
              </w:rPr>
              <w:tab/>
            </w:r>
            <w:r>
              <w:rPr>
                <w:noProof/>
                <w:webHidden/>
              </w:rPr>
              <w:fldChar w:fldCharType="begin"/>
            </w:r>
            <w:r>
              <w:rPr>
                <w:noProof/>
                <w:webHidden/>
              </w:rPr>
              <w:instrText xml:space="preserve"> PAGEREF _Toc220495481 \h </w:instrText>
            </w:r>
            <w:r>
              <w:rPr>
                <w:noProof/>
                <w:webHidden/>
              </w:rPr>
            </w:r>
            <w:r>
              <w:rPr>
                <w:noProof/>
                <w:webHidden/>
              </w:rPr>
              <w:fldChar w:fldCharType="separate"/>
            </w:r>
            <w:r>
              <w:rPr>
                <w:noProof/>
                <w:webHidden/>
              </w:rPr>
              <w:t>437</w:t>
            </w:r>
            <w:r>
              <w:rPr>
                <w:noProof/>
                <w:webHidden/>
              </w:rPr>
              <w:fldChar w:fldCharType="end"/>
            </w:r>
          </w:hyperlink>
        </w:p>
        <w:p w14:paraId="63CC0517" w14:textId="43DCF92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82" w:history="1">
            <w:r w:rsidRPr="00F45DCA">
              <w:rPr>
                <w:rStyle w:val="Lienhypertexte"/>
                <w:noProof/>
              </w:rPr>
              <w:t>21.42.2b Profils à crochets d'ancrages de maçonneries scellés dans la masse CCTB 01.11</w:t>
            </w:r>
            <w:r>
              <w:rPr>
                <w:noProof/>
                <w:webHidden/>
              </w:rPr>
              <w:tab/>
            </w:r>
            <w:r>
              <w:rPr>
                <w:noProof/>
                <w:webHidden/>
              </w:rPr>
              <w:fldChar w:fldCharType="begin"/>
            </w:r>
            <w:r>
              <w:rPr>
                <w:noProof/>
                <w:webHidden/>
              </w:rPr>
              <w:instrText xml:space="preserve"> PAGEREF _Toc220495482 \h </w:instrText>
            </w:r>
            <w:r>
              <w:rPr>
                <w:noProof/>
                <w:webHidden/>
              </w:rPr>
            </w:r>
            <w:r>
              <w:rPr>
                <w:noProof/>
                <w:webHidden/>
              </w:rPr>
              <w:fldChar w:fldCharType="separate"/>
            </w:r>
            <w:r>
              <w:rPr>
                <w:noProof/>
                <w:webHidden/>
              </w:rPr>
              <w:t>437</w:t>
            </w:r>
            <w:r>
              <w:rPr>
                <w:noProof/>
                <w:webHidden/>
              </w:rPr>
              <w:fldChar w:fldCharType="end"/>
            </w:r>
          </w:hyperlink>
        </w:p>
        <w:p w14:paraId="24EC29A2" w14:textId="7D83CF7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83" w:history="1">
            <w:r w:rsidRPr="00F45DCA">
              <w:rPr>
                <w:rStyle w:val="Lienhypertexte"/>
                <w:noProof/>
              </w:rPr>
              <w:t>21.42.3 Feuillards métalliques de fixation de maçonneries CCTB 01.02</w:t>
            </w:r>
            <w:r>
              <w:rPr>
                <w:noProof/>
                <w:webHidden/>
              </w:rPr>
              <w:tab/>
            </w:r>
            <w:r>
              <w:rPr>
                <w:noProof/>
                <w:webHidden/>
              </w:rPr>
              <w:fldChar w:fldCharType="begin"/>
            </w:r>
            <w:r>
              <w:rPr>
                <w:noProof/>
                <w:webHidden/>
              </w:rPr>
              <w:instrText xml:space="preserve"> PAGEREF _Toc220495483 \h </w:instrText>
            </w:r>
            <w:r>
              <w:rPr>
                <w:noProof/>
                <w:webHidden/>
              </w:rPr>
            </w:r>
            <w:r>
              <w:rPr>
                <w:noProof/>
                <w:webHidden/>
              </w:rPr>
              <w:fldChar w:fldCharType="separate"/>
            </w:r>
            <w:r>
              <w:rPr>
                <w:noProof/>
                <w:webHidden/>
              </w:rPr>
              <w:t>437</w:t>
            </w:r>
            <w:r>
              <w:rPr>
                <w:noProof/>
                <w:webHidden/>
              </w:rPr>
              <w:fldChar w:fldCharType="end"/>
            </w:r>
          </w:hyperlink>
        </w:p>
        <w:p w14:paraId="1306035F" w14:textId="6D24747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84" w:history="1">
            <w:r w:rsidRPr="00F45DCA">
              <w:rPr>
                <w:rStyle w:val="Lienhypertexte"/>
                <w:noProof/>
              </w:rPr>
              <w:t>21.42.3a Feuillards métalliques de fixation de maçonneries CCTB 01.12</w:t>
            </w:r>
            <w:r>
              <w:rPr>
                <w:noProof/>
                <w:webHidden/>
              </w:rPr>
              <w:tab/>
            </w:r>
            <w:r>
              <w:rPr>
                <w:noProof/>
                <w:webHidden/>
              </w:rPr>
              <w:fldChar w:fldCharType="begin"/>
            </w:r>
            <w:r>
              <w:rPr>
                <w:noProof/>
                <w:webHidden/>
              </w:rPr>
              <w:instrText xml:space="preserve"> PAGEREF _Toc220495484 \h </w:instrText>
            </w:r>
            <w:r>
              <w:rPr>
                <w:noProof/>
                <w:webHidden/>
              </w:rPr>
            </w:r>
            <w:r>
              <w:rPr>
                <w:noProof/>
                <w:webHidden/>
              </w:rPr>
              <w:fldChar w:fldCharType="separate"/>
            </w:r>
            <w:r>
              <w:rPr>
                <w:noProof/>
                <w:webHidden/>
              </w:rPr>
              <w:t>437</w:t>
            </w:r>
            <w:r>
              <w:rPr>
                <w:noProof/>
                <w:webHidden/>
              </w:rPr>
              <w:fldChar w:fldCharType="end"/>
            </w:r>
          </w:hyperlink>
        </w:p>
        <w:p w14:paraId="68BC0CFB" w14:textId="1547BF2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85" w:history="1">
            <w:r w:rsidRPr="00F45DCA">
              <w:rPr>
                <w:rStyle w:val="Lienhypertexte"/>
                <w:noProof/>
              </w:rPr>
              <w:t>21.42.4 Consoles de support pour maçonneries CCTB 01.04</w:t>
            </w:r>
            <w:r>
              <w:rPr>
                <w:noProof/>
                <w:webHidden/>
              </w:rPr>
              <w:tab/>
            </w:r>
            <w:r>
              <w:rPr>
                <w:noProof/>
                <w:webHidden/>
              </w:rPr>
              <w:fldChar w:fldCharType="begin"/>
            </w:r>
            <w:r>
              <w:rPr>
                <w:noProof/>
                <w:webHidden/>
              </w:rPr>
              <w:instrText xml:space="preserve"> PAGEREF _Toc220495485 \h </w:instrText>
            </w:r>
            <w:r>
              <w:rPr>
                <w:noProof/>
                <w:webHidden/>
              </w:rPr>
            </w:r>
            <w:r>
              <w:rPr>
                <w:noProof/>
                <w:webHidden/>
              </w:rPr>
              <w:fldChar w:fldCharType="separate"/>
            </w:r>
            <w:r>
              <w:rPr>
                <w:noProof/>
                <w:webHidden/>
              </w:rPr>
              <w:t>440</w:t>
            </w:r>
            <w:r>
              <w:rPr>
                <w:noProof/>
                <w:webHidden/>
              </w:rPr>
              <w:fldChar w:fldCharType="end"/>
            </w:r>
          </w:hyperlink>
        </w:p>
        <w:p w14:paraId="114ADF3D" w14:textId="5373B0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86" w:history="1">
            <w:r w:rsidRPr="00F45DCA">
              <w:rPr>
                <w:rStyle w:val="Lienhypertexte"/>
                <w:noProof/>
              </w:rPr>
              <w:t>21.42.4a Consoles de support simples pour maçonneries CCTB 01.04</w:t>
            </w:r>
            <w:r>
              <w:rPr>
                <w:noProof/>
                <w:webHidden/>
              </w:rPr>
              <w:tab/>
            </w:r>
            <w:r>
              <w:rPr>
                <w:noProof/>
                <w:webHidden/>
              </w:rPr>
              <w:fldChar w:fldCharType="begin"/>
            </w:r>
            <w:r>
              <w:rPr>
                <w:noProof/>
                <w:webHidden/>
              </w:rPr>
              <w:instrText xml:space="preserve"> PAGEREF _Toc220495486 \h </w:instrText>
            </w:r>
            <w:r>
              <w:rPr>
                <w:noProof/>
                <w:webHidden/>
              </w:rPr>
            </w:r>
            <w:r>
              <w:rPr>
                <w:noProof/>
                <w:webHidden/>
              </w:rPr>
              <w:fldChar w:fldCharType="separate"/>
            </w:r>
            <w:r>
              <w:rPr>
                <w:noProof/>
                <w:webHidden/>
              </w:rPr>
              <w:t>440</w:t>
            </w:r>
            <w:r>
              <w:rPr>
                <w:noProof/>
                <w:webHidden/>
              </w:rPr>
              <w:fldChar w:fldCharType="end"/>
            </w:r>
          </w:hyperlink>
        </w:p>
        <w:p w14:paraId="0062E9C7" w14:textId="10AA7CA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87" w:history="1">
            <w:r w:rsidRPr="00F45DCA">
              <w:rPr>
                <w:rStyle w:val="Lienhypertexte"/>
                <w:noProof/>
              </w:rPr>
              <w:t>21.42.4b Consoles de support doubles pour maçonneries CCTB 01.02</w:t>
            </w:r>
            <w:r>
              <w:rPr>
                <w:noProof/>
                <w:webHidden/>
              </w:rPr>
              <w:tab/>
            </w:r>
            <w:r>
              <w:rPr>
                <w:noProof/>
                <w:webHidden/>
              </w:rPr>
              <w:fldChar w:fldCharType="begin"/>
            </w:r>
            <w:r>
              <w:rPr>
                <w:noProof/>
                <w:webHidden/>
              </w:rPr>
              <w:instrText xml:space="preserve"> PAGEREF _Toc220495487 \h </w:instrText>
            </w:r>
            <w:r>
              <w:rPr>
                <w:noProof/>
                <w:webHidden/>
              </w:rPr>
            </w:r>
            <w:r>
              <w:rPr>
                <w:noProof/>
                <w:webHidden/>
              </w:rPr>
              <w:fldChar w:fldCharType="separate"/>
            </w:r>
            <w:r>
              <w:rPr>
                <w:noProof/>
                <w:webHidden/>
              </w:rPr>
              <w:t>440</w:t>
            </w:r>
            <w:r>
              <w:rPr>
                <w:noProof/>
                <w:webHidden/>
              </w:rPr>
              <w:fldChar w:fldCharType="end"/>
            </w:r>
          </w:hyperlink>
        </w:p>
        <w:p w14:paraId="6DAF16C3" w14:textId="77519457"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488" w:history="1">
            <w:r w:rsidRPr="00F45DCA">
              <w:rPr>
                <w:rStyle w:val="Lienhypertexte"/>
                <w:noProof/>
              </w:rPr>
              <w:t>21.43 Assises de maçonneries (linteaux, cornières, consoles et autres) CCTB 01.07</w:t>
            </w:r>
            <w:r>
              <w:rPr>
                <w:noProof/>
                <w:webHidden/>
              </w:rPr>
              <w:tab/>
            </w:r>
            <w:r>
              <w:rPr>
                <w:noProof/>
                <w:webHidden/>
              </w:rPr>
              <w:fldChar w:fldCharType="begin"/>
            </w:r>
            <w:r>
              <w:rPr>
                <w:noProof/>
                <w:webHidden/>
              </w:rPr>
              <w:instrText xml:space="preserve"> PAGEREF _Toc220495488 \h </w:instrText>
            </w:r>
            <w:r>
              <w:rPr>
                <w:noProof/>
                <w:webHidden/>
              </w:rPr>
            </w:r>
            <w:r>
              <w:rPr>
                <w:noProof/>
                <w:webHidden/>
              </w:rPr>
              <w:fldChar w:fldCharType="separate"/>
            </w:r>
            <w:r>
              <w:rPr>
                <w:noProof/>
                <w:webHidden/>
              </w:rPr>
              <w:t>440</w:t>
            </w:r>
            <w:r>
              <w:rPr>
                <w:noProof/>
                <w:webHidden/>
              </w:rPr>
              <w:fldChar w:fldCharType="end"/>
            </w:r>
          </w:hyperlink>
        </w:p>
        <w:p w14:paraId="71091BC4" w14:textId="271746A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89" w:history="1">
            <w:r w:rsidRPr="00F45DCA">
              <w:rPr>
                <w:rStyle w:val="Lienhypertexte"/>
                <w:noProof/>
              </w:rPr>
              <w:t>21.43.1 Linteaux CCTB 01.04</w:t>
            </w:r>
            <w:r>
              <w:rPr>
                <w:noProof/>
                <w:webHidden/>
              </w:rPr>
              <w:tab/>
            </w:r>
            <w:r>
              <w:rPr>
                <w:noProof/>
                <w:webHidden/>
              </w:rPr>
              <w:fldChar w:fldCharType="begin"/>
            </w:r>
            <w:r>
              <w:rPr>
                <w:noProof/>
                <w:webHidden/>
              </w:rPr>
              <w:instrText xml:space="preserve"> PAGEREF _Toc220495489 \h </w:instrText>
            </w:r>
            <w:r>
              <w:rPr>
                <w:noProof/>
                <w:webHidden/>
              </w:rPr>
            </w:r>
            <w:r>
              <w:rPr>
                <w:noProof/>
                <w:webHidden/>
              </w:rPr>
              <w:fldChar w:fldCharType="separate"/>
            </w:r>
            <w:r>
              <w:rPr>
                <w:noProof/>
                <w:webHidden/>
              </w:rPr>
              <w:t>442</w:t>
            </w:r>
            <w:r>
              <w:rPr>
                <w:noProof/>
                <w:webHidden/>
              </w:rPr>
              <w:fldChar w:fldCharType="end"/>
            </w:r>
          </w:hyperlink>
        </w:p>
        <w:p w14:paraId="057B3035" w14:textId="16D8F12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90" w:history="1">
            <w:r w:rsidRPr="00F45DCA">
              <w:rPr>
                <w:rStyle w:val="Lienhypertexte"/>
                <w:noProof/>
              </w:rPr>
              <w:t>21.43.2 Linteaux composites (prélinteaux plats + rehausses collaborantes) CCTB 01.04</w:t>
            </w:r>
            <w:r>
              <w:rPr>
                <w:noProof/>
                <w:webHidden/>
              </w:rPr>
              <w:tab/>
            </w:r>
            <w:r>
              <w:rPr>
                <w:noProof/>
                <w:webHidden/>
              </w:rPr>
              <w:fldChar w:fldCharType="begin"/>
            </w:r>
            <w:r>
              <w:rPr>
                <w:noProof/>
                <w:webHidden/>
              </w:rPr>
              <w:instrText xml:space="preserve"> PAGEREF _Toc220495490 \h </w:instrText>
            </w:r>
            <w:r>
              <w:rPr>
                <w:noProof/>
                <w:webHidden/>
              </w:rPr>
            </w:r>
            <w:r>
              <w:rPr>
                <w:noProof/>
                <w:webHidden/>
              </w:rPr>
              <w:fldChar w:fldCharType="separate"/>
            </w:r>
            <w:r>
              <w:rPr>
                <w:noProof/>
                <w:webHidden/>
              </w:rPr>
              <w:t>442</w:t>
            </w:r>
            <w:r>
              <w:rPr>
                <w:noProof/>
                <w:webHidden/>
              </w:rPr>
              <w:fldChar w:fldCharType="end"/>
            </w:r>
          </w:hyperlink>
        </w:p>
        <w:p w14:paraId="61F51A6C" w14:textId="03F82A4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91" w:history="1">
            <w:r w:rsidRPr="00F45DCA">
              <w:rPr>
                <w:rStyle w:val="Lienhypertexte"/>
                <w:noProof/>
              </w:rPr>
              <w:t>21.43.3 Linteaux composites (prélinteaux en U + âmes en béton) CCTB 01.04</w:t>
            </w:r>
            <w:r>
              <w:rPr>
                <w:noProof/>
                <w:webHidden/>
              </w:rPr>
              <w:tab/>
            </w:r>
            <w:r>
              <w:rPr>
                <w:noProof/>
                <w:webHidden/>
              </w:rPr>
              <w:fldChar w:fldCharType="begin"/>
            </w:r>
            <w:r>
              <w:rPr>
                <w:noProof/>
                <w:webHidden/>
              </w:rPr>
              <w:instrText xml:space="preserve"> PAGEREF _Toc220495491 \h </w:instrText>
            </w:r>
            <w:r>
              <w:rPr>
                <w:noProof/>
                <w:webHidden/>
              </w:rPr>
            </w:r>
            <w:r>
              <w:rPr>
                <w:noProof/>
                <w:webHidden/>
              </w:rPr>
              <w:fldChar w:fldCharType="separate"/>
            </w:r>
            <w:r>
              <w:rPr>
                <w:noProof/>
                <w:webHidden/>
              </w:rPr>
              <w:t>442</w:t>
            </w:r>
            <w:r>
              <w:rPr>
                <w:noProof/>
                <w:webHidden/>
              </w:rPr>
              <w:fldChar w:fldCharType="end"/>
            </w:r>
          </w:hyperlink>
        </w:p>
        <w:p w14:paraId="130391C8" w14:textId="1545530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92" w:history="1">
            <w:r w:rsidRPr="00F45DCA">
              <w:rPr>
                <w:rStyle w:val="Lienhypertexte"/>
                <w:noProof/>
              </w:rPr>
              <w:t>21.43.4 Cornières et consoles de support de maçonneries CCTB 01.10</w:t>
            </w:r>
            <w:r>
              <w:rPr>
                <w:noProof/>
                <w:webHidden/>
              </w:rPr>
              <w:tab/>
            </w:r>
            <w:r>
              <w:rPr>
                <w:noProof/>
                <w:webHidden/>
              </w:rPr>
              <w:fldChar w:fldCharType="begin"/>
            </w:r>
            <w:r>
              <w:rPr>
                <w:noProof/>
                <w:webHidden/>
              </w:rPr>
              <w:instrText xml:space="preserve"> PAGEREF _Toc220495492 \h </w:instrText>
            </w:r>
            <w:r>
              <w:rPr>
                <w:noProof/>
                <w:webHidden/>
              </w:rPr>
            </w:r>
            <w:r>
              <w:rPr>
                <w:noProof/>
                <w:webHidden/>
              </w:rPr>
              <w:fldChar w:fldCharType="separate"/>
            </w:r>
            <w:r>
              <w:rPr>
                <w:noProof/>
                <w:webHidden/>
              </w:rPr>
              <w:t>442</w:t>
            </w:r>
            <w:r>
              <w:rPr>
                <w:noProof/>
                <w:webHidden/>
              </w:rPr>
              <w:fldChar w:fldCharType="end"/>
            </w:r>
          </w:hyperlink>
        </w:p>
        <w:p w14:paraId="0AFC5264" w14:textId="2BED22C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93" w:history="1">
            <w:r w:rsidRPr="00F45DCA">
              <w:rPr>
                <w:rStyle w:val="Lienhypertexte"/>
                <w:noProof/>
              </w:rPr>
              <w:t>21.43.4a Cornières sans consoles (posées sur appuis latéraux) CCTB 01.04</w:t>
            </w:r>
            <w:r>
              <w:rPr>
                <w:noProof/>
                <w:webHidden/>
              </w:rPr>
              <w:tab/>
            </w:r>
            <w:r>
              <w:rPr>
                <w:noProof/>
                <w:webHidden/>
              </w:rPr>
              <w:fldChar w:fldCharType="begin"/>
            </w:r>
            <w:r>
              <w:rPr>
                <w:noProof/>
                <w:webHidden/>
              </w:rPr>
              <w:instrText xml:space="preserve"> PAGEREF _Toc220495493 \h </w:instrText>
            </w:r>
            <w:r>
              <w:rPr>
                <w:noProof/>
                <w:webHidden/>
              </w:rPr>
            </w:r>
            <w:r>
              <w:rPr>
                <w:noProof/>
                <w:webHidden/>
              </w:rPr>
              <w:fldChar w:fldCharType="separate"/>
            </w:r>
            <w:r>
              <w:rPr>
                <w:noProof/>
                <w:webHidden/>
              </w:rPr>
              <w:t>442</w:t>
            </w:r>
            <w:r>
              <w:rPr>
                <w:noProof/>
                <w:webHidden/>
              </w:rPr>
              <w:fldChar w:fldCharType="end"/>
            </w:r>
          </w:hyperlink>
        </w:p>
        <w:p w14:paraId="0CF18AAB" w14:textId="3C78371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94" w:history="1">
            <w:r w:rsidRPr="00F45DCA">
              <w:rPr>
                <w:rStyle w:val="Lienhypertexte"/>
                <w:noProof/>
              </w:rPr>
              <w:t>21.43.4b Consoles CCTB 01.10</w:t>
            </w:r>
            <w:r>
              <w:rPr>
                <w:noProof/>
                <w:webHidden/>
              </w:rPr>
              <w:tab/>
            </w:r>
            <w:r>
              <w:rPr>
                <w:noProof/>
                <w:webHidden/>
              </w:rPr>
              <w:fldChar w:fldCharType="begin"/>
            </w:r>
            <w:r>
              <w:rPr>
                <w:noProof/>
                <w:webHidden/>
              </w:rPr>
              <w:instrText xml:space="preserve"> PAGEREF _Toc220495494 \h </w:instrText>
            </w:r>
            <w:r>
              <w:rPr>
                <w:noProof/>
                <w:webHidden/>
              </w:rPr>
            </w:r>
            <w:r>
              <w:rPr>
                <w:noProof/>
                <w:webHidden/>
              </w:rPr>
              <w:fldChar w:fldCharType="separate"/>
            </w:r>
            <w:r>
              <w:rPr>
                <w:noProof/>
                <w:webHidden/>
              </w:rPr>
              <w:t>442</w:t>
            </w:r>
            <w:r>
              <w:rPr>
                <w:noProof/>
                <w:webHidden/>
              </w:rPr>
              <w:fldChar w:fldCharType="end"/>
            </w:r>
          </w:hyperlink>
        </w:p>
        <w:p w14:paraId="29616869" w14:textId="48E01BA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95" w:history="1">
            <w:r w:rsidRPr="00F45DCA">
              <w:rPr>
                <w:rStyle w:val="Lienhypertexte"/>
                <w:noProof/>
              </w:rPr>
              <w:t>21.43.4c Consoles doubles (avec cornière) CCTB 01.10</w:t>
            </w:r>
            <w:r>
              <w:rPr>
                <w:noProof/>
                <w:webHidden/>
              </w:rPr>
              <w:tab/>
            </w:r>
            <w:r>
              <w:rPr>
                <w:noProof/>
                <w:webHidden/>
              </w:rPr>
              <w:fldChar w:fldCharType="begin"/>
            </w:r>
            <w:r>
              <w:rPr>
                <w:noProof/>
                <w:webHidden/>
              </w:rPr>
              <w:instrText xml:space="preserve"> PAGEREF _Toc220495495 \h </w:instrText>
            </w:r>
            <w:r>
              <w:rPr>
                <w:noProof/>
                <w:webHidden/>
              </w:rPr>
            </w:r>
            <w:r>
              <w:rPr>
                <w:noProof/>
                <w:webHidden/>
              </w:rPr>
              <w:fldChar w:fldCharType="separate"/>
            </w:r>
            <w:r>
              <w:rPr>
                <w:noProof/>
                <w:webHidden/>
              </w:rPr>
              <w:t>442</w:t>
            </w:r>
            <w:r>
              <w:rPr>
                <w:noProof/>
                <w:webHidden/>
              </w:rPr>
              <w:fldChar w:fldCharType="end"/>
            </w:r>
          </w:hyperlink>
        </w:p>
        <w:p w14:paraId="18EF5705" w14:textId="15F94EB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496" w:history="1">
            <w:r w:rsidRPr="00F45DCA">
              <w:rPr>
                <w:rStyle w:val="Lienhypertexte"/>
                <w:noProof/>
              </w:rPr>
              <w:t>21.43.5 Cornières et consoles de support de maçonneries avec suspensions de briques CCTB 01.10</w:t>
            </w:r>
            <w:r>
              <w:rPr>
                <w:noProof/>
                <w:webHidden/>
              </w:rPr>
              <w:tab/>
            </w:r>
            <w:r>
              <w:rPr>
                <w:noProof/>
                <w:webHidden/>
              </w:rPr>
              <w:fldChar w:fldCharType="begin"/>
            </w:r>
            <w:r>
              <w:rPr>
                <w:noProof/>
                <w:webHidden/>
              </w:rPr>
              <w:instrText xml:space="preserve"> PAGEREF _Toc220495496 \h </w:instrText>
            </w:r>
            <w:r>
              <w:rPr>
                <w:noProof/>
                <w:webHidden/>
              </w:rPr>
            </w:r>
            <w:r>
              <w:rPr>
                <w:noProof/>
                <w:webHidden/>
              </w:rPr>
              <w:fldChar w:fldCharType="separate"/>
            </w:r>
            <w:r>
              <w:rPr>
                <w:noProof/>
                <w:webHidden/>
              </w:rPr>
              <w:t>442</w:t>
            </w:r>
            <w:r>
              <w:rPr>
                <w:noProof/>
                <w:webHidden/>
              </w:rPr>
              <w:fldChar w:fldCharType="end"/>
            </w:r>
          </w:hyperlink>
        </w:p>
        <w:p w14:paraId="30EA0A3F" w14:textId="5A1B36D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97" w:history="1">
            <w:r w:rsidRPr="00F45DCA">
              <w:rPr>
                <w:rStyle w:val="Lienhypertexte"/>
                <w:noProof/>
              </w:rPr>
              <w:t>21.43.5a Cornières sans consoles (posées sur appuis latéraux) avec suspensions de briques CCTB 01.10</w:t>
            </w:r>
            <w:r>
              <w:rPr>
                <w:noProof/>
                <w:webHidden/>
              </w:rPr>
              <w:tab/>
            </w:r>
            <w:r>
              <w:rPr>
                <w:noProof/>
                <w:webHidden/>
              </w:rPr>
              <w:fldChar w:fldCharType="begin"/>
            </w:r>
            <w:r>
              <w:rPr>
                <w:noProof/>
                <w:webHidden/>
              </w:rPr>
              <w:instrText xml:space="preserve"> PAGEREF _Toc220495497 \h </w:instrText>
            </w:r>
            <w:r>
              <w:rPr>
                <w:noProof/>
                <w:webHidden/>
              </w:rPr>
            </w:r>
            <w:r>
              <w:rPr>
                <w:noProof/>
                <w:webHidden/>
              </w:rPr>
              <w:fldChar w:fldCharType="separate"/>
            </w:r>
            <w:r>
              <w:rPr>
                <w:noProof/>
                <w:webHidden/>
              </w:rPr>
              <w:t>442</w:t>
            </w:r>
            <w:r>
              <w:rPr>
                <w:noProof/>
                <w:webHidden/>
              </w:rPr>
              <w:fldChar w:fldCharType="end"/>
            </w:r>
          </w:hyperlink>
        </w:p>
        <w:p w14:paraId="1D97EBE7" w14:textId="68105D8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98" w:history="1">
            <w:r w:rsidRPr="00F45DCA">
              <w:rPr>
                <w:rStyle w:val="Lienhypertexte"/>
                <w:noProof/>
              </w:rPr>
              <w:t>21.43.5b Consoles avec suspensions de briques CCTB 01.10</w:t>
            </w:r>
            <w:r>
              <w:rPr>
                <w:noProof/>
                <w:webHidden/>
              </w:rPr>
              <w:tab/>
            </w:r>
            <w:r>
              <w:rPr>
                <w:noProof/>
                <w:webHidden/>
              </w:rPr>
              <w:fldChar w:fldCharType="begin"/>
            </w:r>
            <w:r>
              <w:rPr>
                <w:noProof/>
                <w:webHidden/>
              </w:rPr>
              <w:instrText xml:space="preserve"> PAGEREF _Toc220495498 \h </w:instrText>
            </w:r>
            <w:r>
              <w:rPr>
                <w:noProof/>
                <w:webHidden/>
              </w:rPr>
            </w:r>
            <w:r>
              <w:rPr>
                <w:noProof/>
                <w:webHidden/>
              </w:rPr>
              <w:fldChar w:fldCharType="separate"/>
            </w:r>
            <w:r>
              <w:rPr>
                <w:noProof/>
                <w:webHidden/>
              </w:rPr>
              <w:t>442</w:t>
            </w:r>
            <w:r>
              <w:rPr>
                <w:noProof/>
                <w:webHidden/>
              </w:rPr>
              <w:fldChar w:fldCharType="end"/>
            </w:r>
          </w:hyperlink>
        </w:p>
        <w:p w14:paraId="6841CEAA" w14:textId="749CC26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499" w:history="1">
            <w:r w:rsidRPr="00F45DCA">
              <w:rPr>
                <w:rStyle w:val="Lienhypertexte"/>
                <w:noProof/>
              </w:rPr>
              <w:t>21.43.5c Consoles doubles (avec cornière) avec suspensions de briques CCTB 01.10</w:t>
            </w:r>
            <w:r>
              <w:rPr>
                <w:noProof/>
                <w:webHidden/>
              </w:rPr>
              <w:tab/>
            </w:r>
            <w:r>
              <w:rPr>
                <w:noProof/>
                <w:webHidden/>
              </w:rPr>
              <w:fldChar w:fldCharType="begin"/>
            </w:r>
            <w:r>
              <w:rPr>
                <w:noProof/>
                <w:webHidden/>
              </w:rPr>
              <w:instrText xml:space="preserve"> PAGEREF _Toc220495499 \h </w:instrText>
            </w:r>
            <w:r>
              <w:rPr>
                <w:noProof/>
                <w:webHidden/>
              </w:rPr>
            </w:r>
            <w:r>
              <w:rPr>
                <w:noProof/>
                <w:webHidden/>
              </w:rPr>
              <w:fldChar w:fldCharType="separate"/>
            </w:r>
            <w:r>
              <w:rPr>
                <w:noProof/>
                <w:webHidden/>
              </w:rPr>
              <w:t>442</w:t>
            </w:r>
            <w:r>
              <w:rPr>
                <w:noProof/>
                <w:webHidden/>
              </w:rPr>
              <w:fldChar w:fldCharType="end"/>
            </w:r>
          </w:hyperlink>
        </w:p>
        <w:p w14:paraId="3FA2301E" w14:textId="38E4A09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00" w:history="1">
            <w:r w:rsidRPr="00F45DCA">
              <w:rPr>
                <w:rStyle w:val="Lienhypertexte"/>
                <w:noProof/>
              </w:rPr>
              <w:t>21.43.6 Assises d’éléments de maçonnerie de parement CCTB 01.10</w:t>
            </w:r>
            <w:r>
              <w:rPr>
                <w:noProof/>
                <w:webHidden/>
              </w:rPr>
              <w:tab/>
            </w:r>
            <w:r>
              <w:rPr>
                <w:noProof/>
                <w:webHidden/>
              </w:rPr>
              <w:fldChar w:fldCharType="begin"/>
            </w:r>
            <w:r>
              <w:rPr>
                <w:noProof/>
                <w:webHidden/>
              </w:rPr>
              <w:instrText xml:space="preserve"> PAGEREF _Toc220495500 \h </w:instrText>
            </w:r>
            <w:r>
              <w:rPr>
                <w:noProof/>
                <w:webHidden/>
              </w:rPr>
            </w:r>
            <w:r>
              <w:rPr>
                <w:noProof/>
                <w:webHidden/>
              </w:rPr>
              <w:fldChar w:fldCharType="separate"/>
            </w:r>
            <w:r>
              <w:rPr>
                <w:noProof/>
                <w:webHidden/>
              </w:rPr>
              <w:t>442</w:t>
            </w:r>
            <w:r>
              <w:rPr>
                <w:noProof/>
                <w:webHidden/>
              </w:rPr>
              <w:fldChar w:fldCharType="end"/>
            </w:r>
          </w:hyperlink>
        </w:p>
        <w:p w14:paraId="4C1CB901" w14:textId="29E0EF4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01" w:history="1">
            <w:r w:rsidRPr="00F45DCA">
              <w:rPr>
                <w:rStyle w:val="Lienhypertexte"/>
                <w:noProof/>
              </w:rPr>
              <w:t>21.43.6a Assises d’éléments de maçonnerie sur chant CCTB 01.10</w:t>
            </w:r>
            <w:r>
              <w:rPr>
                <w:noProof/>
                <w:webHidden/>
              </w:rPr>
              <w:tab/>
            </w:r>
            <w:r>
              <w:rPr>
                <w:noProof/>
                <w:webHidden/>
              </w:rPr>
              <w:fldChar w:fldCharType="begin"/>
            </w:r>
            <w:r>
              <w:rPr>
                <w:noProof/>
                <w:webHidden/>
              </w:rPr>
              <w:instrText xml:space="preserve"> PAGEREF _Toc220495501 \h </w:instrText>
            </w:r>
            <w:r>
              <w:rPr>
                <w:noProof/>
                <w:webHidden/>
              </w:rPr>
            </w:r>
            <w:r>
              <w:rPr>
                <w:noProof/>
                <w:webHidden/>
              </w:rPr>
              <w:fldChar w:fldCharType="separate"/>
            </w:r>
            <w:r>
              <w:rPr>
                <w:noProof/>
                <w:webHidden/>
              </w:rPr>
              <w:t>442</w:t>
            </w:r>
            <w:r>
              <w:rPr>
                <w:noProof/>
                <w:webHidden/>
              </w:rPr>
              <w:fldChar w:fldCharType="end"/>
            </w:r>
          </w:hyperlink>
        </w:p>
        <w:p w14:paraId="04F2277F" w14:textId="48B6864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02" w:history="1">
            <w:r w:rsidRPr="00F45DCA">
              <w:rPr>
                <w:rStyle w:val="Lienhypertexte"/>
                <w:noProof/>
              </w:rPr>
              <w:t>21.43.6b Assises d’éléments de maçonnerie en panneresses CCTB 01.10</w:t>
            </w:r>
            <w:r>
              <w:rPr>
                <w:noProof/>
                <w:webHidden/>
              </w:rPr>
              <w:tab/>
            </w:r>
            <w:r>
              <w:rPr>
                <w:noProof/>
                <w:webHidden/>
              </w:rPr>
              <w:fldChar w:fldCharType="begin"/>
            </w:r>
            <w:r>
              <w:rPr>
                <w:noProof/>
                <w:webHidden/>
              </w:rPr>
              <w:instrText xml:space="preserve"> PAGEREF _Toc220495502 \h </w:instrText>
            </w:r>
            <w:r>
              <w:rPr>
                <w:noProof/>
                <w:webHidden/>
              </w:rPr>
            </w:r>
            <w:r>
              <w:rPr>
                <w:noProof/>
                <w:webHidden/>
              </w:rPr>
              <w:fldChar w:fldCharType="separate"/>
            </w:r>
            <w:r>
              <w:rPr>
                <w:noProof/>
                <w:webHidden/>
              </w:rPr>
              <w:t>442</w:t>
            </w:r>
            <w:r>
              <w:rPr>
                <w:noProof/>
                <w:webHidden/>
              </w:rPr>
              <w:fldChar w:fldCharType="end"/>
            </w:r>
          </w:hyperlink>
        </w:p>
        <w:p w14:paraId="58E1D53A" w14:textId="276903B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03" w:history="1">
            <w:r w:rsidRPr="00F45DCA">
              <w:rPr>
                <w:rStyle w:val="Lienhypertexte"/>
                <w:noProof/>
              </w:rPr>
              <w:t>21.43.6c Assises d'éléments de maçonnerie en arcs CCTB 01.10</w:t>
            </w:r>
            <w:r>
              <w:rPr>
                <w:noProof/>
                <w:webHidden/>
              </w:rPr>
              <w:tab/>
            </w:r>
            <w:r>
              <w:rPr>
                <w:noProof/>
                <w:webHidden/>
              </w:rPr>
              <w:fldChar w:fldCharType="begin"/>
            </w:r>
            <w:r>
              <w:rPr>
                <w:noProof/>
                <w:webHidden/>
              </w:rPr>
              <w:instrText xml:space="preserve"> PAGEREF _Toc220495503 \h </w:instrText>
            </w:r>
            <w:r>
              <w:rPr>
                <w:noProof/>
                <w:webHidden/>
              </w:rPr>
            </w:r>
            <w:r>
              <w:rPr>
                <w:noProof/>
                <w:webHidden/>
              </w:rPr>
              <w:fldChar w:fldCharType="separate"/>
            </w:r>
            <w:r>
              <w:rPr>
                <w:noProof/>
                <w:webHidden/>
              </w:rPr>
              <w:t>442</w:t>
            </w:r>
            <w:r>
              <w:rPr>
                <w:noProof/>
                <w:webHidden/>
              </w:rPr>
              <w:fldChar w:fldCharType="end"/>
            </w:r>
          </w:hyperlink>
        </w:p>
        <w:p w14:paraId="6ABE04B5" w14:textId="02597F2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04" w:history="1">
            <w:r w:rsidRPr="00F45DCA">
              <w:rPr>
                <w:rStyle w:val="Lienhypertexte"/>
                <w:noProof/>
              </w:rPr>
              <w:t>21.44 Eléments de ventilation CCTB 01.02</w:t>
            </w:r>
            <w:r>
              <w:rPr>
                <w:noProof/>
                <w:webHidden/>
              </w:rPr>
              <w:tab/>
            </w:r>
            <w:r>
              <w:rPr>
                <w:noProof/>
                <w:webHidden/>
              </w:rPr>
              <w:fldChar w:fldCharType="begin"/>
            </w:r>
            <w:r>
              <w:rPr>
                <w:noProof/>
                <w:webHidden/>
              </w:rPr>
              <w:instrText xml:space="preserve"> PAGEREF _Toc220495504 \h </w:instrText>
            </w:r>
            <w:r>
              <w:rPr>
                <w:noProof/>
                <w:webHidden/>
              </w:rPr>
            </w:r>
            <w:r>
              <w:rPr>
                <w:noProof/>
                <w:webHidden/>
              </w:rPr>
              <w:fldChar w:fldCharType="separate"/>
            </w:r>
            <w:r>
              <w:rPr>
                <w:noProof/>
                <w:webHidden/>
              </w:rPr>
              <w:t>442</w:t>
            </w:r>
            <w:r>
              <w:rPr>
                <w:noProof/>
                <w:webHidden/>
              </w:rPr>
              <w:fldChar w:fldCharType="end"/>
            </w:r>
          </w:hyperlink>
        </w:p>
        <w:p w14:paraId="16C79083" w14:textId="5608CF2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05" w:history="1">
            <w:r w:rsidRPr="00F45DCA">
              <w:rPr>
                <w:rStyle w:val="Lienhypertexte"/>
                <w:noProof/>
              </w:rPr>
              <w:t>21.44.1 Eléments de ventilation CCTB 01.02</w:t>
            </w:r>
            <w:r>
              <w:rPr>
                <w:noProof/>
                <w:webHidden/>
              </w:rPr>
              <w:tab/>
            </w:r>
            <w:r>
              <w:rPr>
                <w:noProof/>
                <w:webHidden/>
              </w:rPr>
              <w:fldChar w:fldCharType="begin"/>
            </w:r>
            <w:r>
              <w:rPr>
                <w:noProof/>
                <w:webHidden/>
              </w:rPr>
              <w:instrText xml:space="preserve"> PAGEREF _Toc220495505 \h </w:instrText>
            </w:r>
            <w:r>
              <w:rPr>
                <w:noProof/>
                <w:webHidden/>
              </w:rPr>
            </w:r>
            <w:r>
              <w:rPr>
                <w:noProof/>
                <w:webHidden/>
              </w:rPr>
              <w:fldChar w:fldCharType="separate"/>
            </w:r>
            <w:r>
              <w:rPr>
                <w:noProof/>
                <w:webHidden/>
              </w:rPr>
              <w:t>442</w:t>
            </w:r>
            <w:r>
              <w:rPr>
                <w:noProof/>
                <w:webHidden/>
              </w:rPr>
              <w:fldChar w:fldCharType="end"/>
            </w:r>
          </w:hyperlink>
        </w:p>
        <w:p w14:paraId="00FFB5A1" w14:textId="15EA010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06" w:history="1">
            <w:r w:rsidRPr="00F45DCA">
              <w:rPr>
                <w:rStyle w:val="Lienhypertexte"/>
                <w:noProof/>
              </w:rPr>
              <w:t>21.44.1a Gaines télescopiques de ventilation CCTB 01.11</w:t>
            </w:r>
            <w:r>
              <w:rPr>
                <w:noProof/>
                <w:webHidden/>
              </w:rPr>
              <w:tab/>
            </w:r>
            <w:r>
              <w:rPr>
                <w:noProof/>
                <w:webHidden/>
              </w:rPr>
              <w:fldChar w:fldCharType="begin"/>
            </w:r>
            <w:r>
              <w:rPr>
                <w:noProof/>
                <w:webHidden/>
              </w:rPr>
              <w:instrText xml:space="preserve"> PAGEREF _Toc220495506 \h </w:instrText>
            </w:r>
            <w:r>
              <w:rPr>
                <w:noProof/>
                <w:webHidden/>
              </w:rPr>
            </w:r>
            <w:r>
              <w:rPr>
                <w:noProof/>
                <w:webHidden/>
              </w:rPr>
              <w:fldChar w:fldCharType="separate"/>
            </w:r>
            <w:r>
              <w:rPr>
                <w:noProof/>
                <w:webHidden/>
              </w:rPr>
              <w:t>443</w:t>
            </w:r>
            <w:r>
              <w:rPr>
                <w:noProof/>
                <w:webHidden/>
              </w:rPr>
              <w:fldChar w:fldCharType="end"/>
            </w:r>
          </w:hyperlink>
        </w:p>
        <w:p w14:paraId="6CE79244" w14:textId="1EC4E12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07" w:history="1">
            <w:r w:rsidRPr="00F45DCA">
              <w:rPr>
                <w:rStyle w:val="Lienhypertexte"/>
                <w:noProof/>
              </w:rPr>
              <w:t>21.44.1b Soupiraux préfabriqués CCTB 01.11</w:t>
            </w:r>
            <w:r>
              <w:rPr>
                <w:noProof/>
                <w:webHidden/>
              </w:rPr>
              <w:tab/>
            </w:r>
            <w:r>
              <w:rPr>
                <w:noProof/>
                <w:webHidden/>
              </w:rPr>
              <w:fldChar w:fldCharType="begin"/>
            </w:r>
            <w:r>
              <w:rPr>
                <w:noProof/>
                <w:webHidden/>
              </w:rPr>
              <w:instrText xml:space="preserve"> PAGEREF _Toc220495507 \h </w:instrText>
            </w:r>
            <w:r>
              <w:rPr>
                <w:noProof/>
                <w:webHidden/>
              </w:rPr>
            </w:r>
            <w:r>
              <w:rPr>
                <w:noProof/>
                <w:webHidden/>
              </w:rPr>
              <w:fldChar w:fldCharType="separate"/>
            </w:r>
            <w:r>
              <w:rPr>
                <w:noProof/>
                <w:webHidden/>
              </w:rPr>
              <w:t>443</w:t>
            </w:r>
            <w:r>
              <w:rPr>
                <w:noProof/>
                <w:webHidden/>
              </w:rPr>
              <w:fldChar w:fldCharType="end"/>
            </w:r>
          </w:hyperlink>
        </w:p>
        <w:p w14:paraId="0AE31E10" w14:textId="7C257D3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08" w:history="1">
            <w:r w:rsidRPr="00F45DCA">
              <w:rPr>
                <w:rStyle w:val="Lienhypertexte"/>
                <w:noProof/>
              </w:rPr>
              <w:t>21.44.1c Grilles de soupiraux CCTB 01.02</w:t>
            </w:r>
            <w:r>
              <w:rPr>
                <w:noProof/>
                <w:webHidden/>
              </w:rPr>
              <w:tab/>
            </w:r>
            <w:r>
              <w:rPr>
                <w:noProof/>
                <w:webHidden/>
              </w:rPr>
              <w:fldChar w:fldCharType="begin"/>
            </w:r>
            <w:r>
              <w:rPr>
                <w:noProof/>
                <w:webHidden/>
              </w:rPr>
              <w:instrText xml:space="preserve"> PAGEREF _Toc220495508 \h </w:instrText>
            </w:r>
            <w:r>
              <w:rPr>
                <w:noProof/>
                <w:webHidden/>
              </w:rPr>
            </w:r>
            <w:r>
              <w:rPr>
                <w:noProof/>
                <w:webHidden/>
              </w:rPr>
              <w:fldChar w:fldCharType="separate"/>
            </w:r>
            <w:r>
              <w:rPr>
                <w:noProof/>
                <w:webHidden/>
              </w:rPr>
              <w:t>444</w:t>
            </w:r>
            <w:r>
              <w:rPr>
                <w:noProof/>
                <w:webHidden/>
              </w:rPr>
              <w:fldChar w:fldCharType="end"/>
            </w:r>
          </w:hyperlink>
        </w:p>
        <w:p w14:paraId="46050548" w14:textId="2E99255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09" w:history="1">
            <w:r w:rsidRPr="00F45DCA">
              <w:rPr>
                <w:rStyle w:val="Lienhypertexte"/>
                <w:noProof/>
              </w:rPr>
              <w:t>21.44.1d Tuyaux droits de ventilation CCTB 01.04</w:t>
            </w:r>
            <w:r>
              <w:rPr>
                <w:noProof/>
                <w:webHidden/>
              </w:rPr>
              <w:tab/>
            </w:r>
            <w:r>
              <w:rPr>
                <w:noProof/>
                <w:webHidden/>
              </w:rPr>
              <w:fldChar w:fldCharType="begin"/>
            </w:r>
            <w:r>
              <w:rPr>
                <w:noProof/>
                <w:webHidden/>
              </w:rPr>
              <w:instrText xml:space="preserve"> PAGEREF _Toc220495509 \h </w:instrText>
            </w:r>
            <w:r>
              <w:rPr>
                <w:noProof/>
                <w:webHidden/>
              </w:rPr>
            </w:r>
            <w:r>
              <w:rPr>
                <w:noProof/>
                <w:webHidden/>
              </w:rPr>
              <w:fldChar w:fldCharType="separate"/>
            </w:r>
            <w:r>
              <w:rPr>
                <w:noProof/>
                <w:webHidden/>
              </w:rPr>
              <w:t>445</w:t>
            </w:r>
            <w:r>
              <w:rPr>
                <w:noProof/>
                <w:webHidden/>
              </w:rPr>
              <w:fldChar w:fldCharType="end"/>
            </w:r>
          </w:hyperlink>
        </w:p>
        <w:p w14:paraId="49A88135" w14:textId="12388C5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10" w:history="1">
            <w:r w:rsidRPr="00F45DCA">
              <w:rPr>
                <w:rStyle w:val="Lienhypertexte"/>
                <w:noProof/>
              </w:rPr>
              <w:t>21.45 Blocs de verre individuels CCTB 01.02</w:t>
            </w:r>
            <w:r>
              <w:rPr>
                <w:noProof/>
                <w:webHidden/>
              </w:rPr>
              <w:tab/>
            </w:r>
            <w:r>
              <w:rPr>
                <w:noProof/>
                <w:webHidden/>
              </w:rPr>
              <w:fldChar w:fldCharType="begin"/>
            </w:r>
            <w:r>
              <w:rPr>
                <w:noProof/>
                <w:webHidden/>
              </w:rPr>
              <w:instrText xml:space="preserve"> PAGEREF _Toc220495510 \h </w:instrText>
            </w:r>
            <w:r>
              <w:rPr>
                <w:noProof/>
                <w:webHidden/>
              </w:rPr>
            </w:r>
            <w:r>
              <w:rPr>
                <w:noProof/>
                <w:webHidden/>
              </w:rPr>
              <w:fldChar w:fldCharType="separate"/>
            </w:r>
            <w:r>
              <w:rPr>
                <w:noProof/>
                <w:webHidden/>
              </w:rPr>
              <w:t>445</w:t>
            </w:r>
            <w:r>
              <w:rPr>
                <w:noProof/>
                <w:webHidden/>
              </w:rPr>
              <w:fldChar w:fldCharType="end"/>
            </w:r>
          </w:hyperlink>
        </w:p>
        <w:p w14:paraId="6071B73A" w14:textId="6ED3E42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11" w:history="1">
            <w:r w:rsidRPr="00F45DCA">
              <w:rPr>
                <w:rStyle w:val="Lienhypertexte"/>
                <w:noProof/>
              </w:rPr>
              <w:t>21.45.1 Blocs de verre individuels CCTB 01.02</w:t>
            </w:r>
            <w:r>
              <w:rPr>
                <w:noProof/>
                <w:webHidden/>
              </w:rPr>
              <w:tab/>
            </w:r>
            <w:r>
              <w:rPr>
                <w:noProof/>
                <w:webHidden/>
              </w:rPr>
              <w:fldChar w:fldCharType="begin"/>
            </w:r>
            <w:r>
              <w:rPr>
                <w:noProof/>
                <w:webHidden/>
              </w:rPr>
              <w:instrText xml:space="preserve"> PAGEREF _Toc220495511 \h </w:instrText>
            </w:r>
            <w:r>
              <w:rPr>
                <w:noProof/>
                <w:webHidden/>
              </w:rPr>
            </w:r>
            <w:r>
              <w:rPr>
                <w:noProof/>
                <w:webHidden/>
              </w:rPr>
              <w:fldChar w:fldCharType="separate"/>
            </w:r>
            <w:r>
              <w:rPr>
                <w:noProof/>
                <w:webHidden/>
              </w:rPr>
              <w:t>445</w:t>
            </w:r>
            <w:r>
              <w:rPr>
                <w:noProof/>
                <w:webHidden/>
              </w:rPr>
              <w:fldChar w:fldCharType="end"/>
            </w:r>
          </w:hyperlink>
        </w:p>
        <w:p w14:paraId="058F1845" w14:textId="5E989C2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12" w:history="1">
            <w:r w:rsidRPr="00F45DCA">
              <w:rPr>
                <w:rStyle w:val="Lienhypertexte"/>
                <w:noProof/>
              </w:rPr>
              <w:t>21.45.1a Blocs de verre individuels CCTB 01.11</w:t>
            </w:r>
            <w:r>
              <w:rPr>
                <w:noProof/>
                <w:webHidden/>
              </w:rPr>
              <w:tab/>
            </w:r>
            <w:r>
              <w:rPr>
                <w:noProof/>
                <w:webHidden/>
              </w:rPr>
              <w:fldChar w:fldCharType="begin"/>
            </w:r>
            <w:r>
              <w:rPr>
                <w:noProof/>
                <w:webHidden/>
              </w:rPr>
              <w:instrText xml:space="preserve"> PAGEREF _Toc220495512 \h </w:instrText>
            </w:r>
            <w:r>
              <w:rPr>
                <w:noProof/>
                <w:webHidden/>
              </w:rPr>
            </w:r>
            <w:r>
              <w:rPr>
                <w:noProof/>
                <w:webHidden/>
              </w:rPr>
              <w:fldChar w:fldCharType="separate"/>
            </w:r>
            <w:r>
              <w:rPr>
                <w:noProof/>
                <w:webHidden/>
              </w:rPr>
              <w:t>445</w:t>
            </w:r>
            <w:r>
              <w:rPr>
                <w:noProof/>
                <w:webHidden/>
              </w:rPr>
              <w:fldChar w:fldCharType="end"/>
            </w:r>
          </w:hyperlink>
        </w:p>
        <w:p w14:paraId="5DA2CDA1" w14:textId="227AE4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13" w:history="1">
            <w:r w:rsidRPr="00F45DCA">
              <w:rPr>
                <w:rStyle w:val="Lienhypertexte"/>
                <w:noProof/>
              </w:rPr>
              <w:t>21.45.1b Blocs de verre individuels de ventilation CCTB 01.11</w:t>
            </w:r>
            <w:r>
              <w:rPr>
                <w:noProof/>
                <w:webHidden/>
              </w:rPr>
              <w:tab/>
            </w:r>
            <w:r>
              <w:rPr>
                <w:noProof/>
                <w:webHidden/>
              </w:rPr>
              <w:fldChar w:fldCharType="begin"/>
            </w:r>
            <w:r>
              <w:rPr>
                <w:noProof/>
                <w:webHidden/>
              </w:rPr>
              <w:instrText xml:space="preserve"> PAGEREF _Toc220495513 \h </w:instrText>
            </w:r>
            <w:r>
              <w:rPr>
                <w:noProof/>
                <w:webHidden/>
              </w:rPr>
            </w:r>
            <w:r>
              <w:rPr>
                <w:noProof/>
                <w:webHidden/>
              </w:rPr>
              <w:fldChar w:fldCharType="separate"/>
            </w:r>
            <w:r>
              <w:rPr>
                <w:noProof/>
                <w:webHidden/>
              </w:rPr>
              <w:t>445</w:t>
            </w:r>
            <w:r>
              <w:rPr>
                <w:noProof/>
                <w:webHidden/>
              </w:rPr>
              <w:fldChar w:fldCharType="end"/>
            </w:r>
          </w:hyperlink>
        </w:p>
        <w:p w14:paraId="49B78D07" w14:textId="688DA2E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14" w:history="1">
            <w:r w:rsidRPr="00F45DCA">
              <w:rPr>
                <w:rStyle w:val="Lienhypertexte"/>
                <w:noProof/>
              </w:rPr>
              <w:t>21.45.1c Blocs de verre individuels sur châssis CCTB 01.02</w:t>
            </w:r>
            <w:r>
              <w:rPr>
                <w:noProof/>
                <w:webHidden/>
              </w:rPr>
              <w:tab/>
            </w:r>
            <w:r>
              <w:rPr>
                <w:noProof/>
                <w:webHidden/>
              </w:rPr>
              <w:fldChar w:fldCharType="begin"/>
            </w:r>
            <w:r>
              <w:rPr>
                <w:noProof/>
                <w:webHidden/>
              </w:rPr>
              <w:instrText xml:space="preserve"> PAGEREF _Toc220495514 \h </w:instrText>
            </w:r>
            <w:r>
              <w:rPr>
                <w:noProof/>
                <w:webHidden/>
              </w:rPr>
            </w:r>
            <w:r>
              <w:rPr>
                <w:noProof/>
                <w:webHidden/>
              </w:rPr>
              <w:fldChar w:fldCharType="separate"/>
            </w:r>
            <w:r>
              <w:rPr>
                <w:noProof/>
                <w:webHidden/>
              </w:rPr>
              <w:t>446</w:t>
            </w:r>
            <w:r>
              <w:rPr>
                <w:noProof/>
                <w:webHidden/>
              </w:rPr>
              <w:fldChar w:fldCharType="end"/>
            </w:r>
          </w:hyperlink>
        </w:p>
        <w:p w14:paraId="21AA22D5" w14:textId="1DEEACB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15" w:history="1">
            <w:r w:rsidRPr="00F45DCA">
              <w:rPr>
                <w:rStyle w:val="Lienhypertexte"/>
                <w:noProof/>
              </w:rPr>
              <w:t>21.46 Eléments d'assise pour nœuds constructifs CCTB 01.04</w:t>
            </w:r>
            <w:r>
              <w:rPr>
                <w:noProof/>
                <w:webHidden/>
              </w:rPr>
              <w:tab/>
            </w:r>
            <w:r>
              <w:rPr>
                <w:noProof/>
                <w:webHidden/>
              </w:rPr>
              <w:fldChar w:fldCharType="begin"/>
            </w:r>
            <w:r>
              <w:rPr>
                <w:noProof/>
                <w:webHidden/>
              </w:rPr>
              <w:instrText xml:space="preserve"> PAGEREF _Toc220495515 \h </w:instrText>
            </w:r>
            <w:r>
              <w:rPr>
                <w:noProof/>
                <w:webHidden/>
              </w:rPr>
            </w:r>
            <w:r>
              <w:rPr>
                <w:noProof/>
                <w:webHidden/>
              </w:rPr>
              <w:fldChar w:fldCharType="separate"/>
            </w:r>
            <w:r>
              <w:rPr>
                <w:noProof/>
                <w:webHidden/>
              </w:rPr>
              <w:t>446</w:t>
            </w:r>
            <w:r>
              <w:rPr>
                <w:noProof/>
                <w:webHidden/>
              </w:rPr>
              <w:fldChar w:fldCharType="end"/>
            </w:r>
          </w:hyperlink>
        </w:p>
        <w:p w14:paraId="1706FE54" w14:textId="6A2F486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16" w:history="1">
            <w:r w:rsidRPr="00F45DCA">
              <w:rPr>
                <w:rStyle w:val="Lienhypertexte"/>
                <w:noProof/>
              </w:rPr>
              <w:t>21.46.1 Blocs d'assise pour nœuds constructifs CCTB 01.04</w:t>
            </w:r>
            <w:r>
              <w:rPr>
                <w:noProof/>
                <w:webHidden/>
              </w:rPr>
              <w:tab/>
            </w:r>
            <w:r>
              <w:rPr>
                <w:noProof/>
                <w:webHidden/>
              </w:rPr>
              <w:fldChar w:fldCharType="begin"/>
            </w:r>
            <w:r>
              <w:rPr>
                <w:noProof/>
                <w:webHidden/>
              </w:rPr>
              <w:instrText xml:space="preserve"> PAGEREF _Toc220495516 \h </w:instrText>
            </w:r>
            <w:r>
              <w:rPr>
                <w:noProof/>
                <w:webHidden/>
              </w:rPr>
            </w:r>
            <w:r>
              <w:rPr>
                <w:noProof/>
                <w:webHidden/>
              </w:rPr>
              <w:fldChar w:fldCharType="separate"/>
            </w:r>
            <w:r>
              <w:rPr>
                <w:noProof/>
                <w:webHidden/>
              </w:rPr>
              <w:t>446</w:t>
            </w:r>
            <w:r>
              <w:rPr>
                <w:noProof/>
                <w:webHidden/>
              </w:rPr>
              <w:fldChar w:fldCharType="end"/>
            </w:r>
          </w:hyperlink>
        </w:p>
        <w:p w14:paraId="025791CB" w14:textId="16581C7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17" w:history="1">
            <w:r w:rsidRPr="00F45DCA">
              <w:rPr>
                <w:rStyle w:val="Lienhypertexte"/>
                <w:noProof/>
              </w:rPr>
              <w:t>21.46.1a Blocs d'assise en blocs de béton cellulaire pour nœuds constructifs CCTB 01.11</w:t>
            </w:r>
            <w:r>
              <w:rPr>
                <w:noProof/>
                <w:webHidden/>
              </w:rPr>
              <w:tab/>
            </w:r>
            <w:r>
              <w:rPr>
                <w:noProof/>
                <w:webHidden/>
              </w:rPr>
              <w:fldChar w:fldCharType="begin"/>
            </w:r>
            <w:r>
              <w:rPr>
                <w:noProof/>
                <w:webHidden/>
              </w:rPr>
              <w:instrText xml:space="preserve"> PAGEREF _Toc220495517 \h </w:instrText>
            </w:r>
            <w:r>
              <w:rPr>
                <w:noProof/>
                <w:webHidden/>
              </w:rPr>
            </w:r>
            <w:r>
              <w:rPr>
                <w:noProof/>
                <w:webHidden/>
              </w:rPr>
              <w:fldChar w:fldCharType="separate"/>
            </w:r>
            <w:r>
              <w:rPr>
                <w:noProof/>
                <w:webHidden/>
              </w:rPr>
              <w:t>446</w:t>
            </w:r>
            <w:r>
              <w:rPr>
                <w:noProof/>
                <w:webHidden/>
              </w:rPr>
              <w:fldChar w:fldCharType="end"/>
            </w:r>
          </w:hyperlink>
        </w:p>
        <w:p w14:paraId="7480D1D7" w14:textId="238FCE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18" w:history="1">
            <w:r w:rsidRPr="00F45DCA">
              <w:rPr>
                <w:rStyle w:val="Lienhypertexte"/>
                <w:noProof/>
              </w:rPr>
              <w:t>21.46.1b Blocs d'assise en blocs de béton pour nœuds constructifs CCTB 01.04</w:t>
            </w:r>
            <w:r>
              <w:rPr>
                <w:noProof/>
                <w:webHidden/>
              </w:rPr>
              <w:tab/>
            </w:r>
            <w:r>
              <w:rPr>
                <w:noProof/>
                <w:webHidden/>
              </w:rPr>
              <w:fldChar w:fldCharType="begin"/>
            </w:r>
            <w:r>
              <w:rPr>
                <w:noProof/>
                <w:webHidden/>
              </w:rPr>
              <w:instrText xml:space="preserve"> PAGEREF _Toc220495518 \h </w:instrText>
            </w:r>
            <w:r>
              <w:rPr>
                <w:noProof/>
                <w:webHidden/>
              </w:rPr>
            </w:r>
            <w:r>
              <w:rPr>
                <w:noProof/>
                <w:webHidden/>
              </w:rPr>
              <w:fldChar w:fldCharType="separate"/>
            </w:r>
            <w:r>
              <w:rPr>
                <w:noProof/>
                <w:webHidden/>
              </w:rPr>
              <w:t>448</w:t>
            </w:r>
            <w:r>
              <w:rPr>
                <w:noProof/>
                <w:webHidden/>
              </w:rPr>
              <w:fldChar w:fldCharType="end"/>
            </w:r>
          </w:hyperlink>
        </w:p>
        <w:p w14:paraId="0CFF0EAF" w14:textId="144CB68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19" w:history="1">
            <w:r w:rsidRPr="00F45DCA">
              <w:rPr>
                <w:rStyle w:val="Lienhypertexte"/>
                <w:noProof/>
              </w:rPr>
              <w:t>21.46.1c Blocs d'assise en blocs de terre cuite pour nœuds constructifs CCTB 01.04</w:t>
            </w:r>
            <w:r>
              <w:rPr>
                <w:noProof/>
                <w:webHidden/>
              </w:rPr>
              <w:tab/>
            </w:r>
            <w:r>
              <w:rPr>
                <w:noProof/>
                <w:webHidden/>
              </w:rPr>
              <w:fldChar w:fldCharType="begin"/>
            </w:r>
            <w:r>
              <w:rPr>
                <w:noProof/>
                <w:webHidden/>
              </w:rPr>
              <w:instrText xml:space="preserve"> PAGEREF _Toc220495519 \h </w:instrText>
            </w:r>
            <w:r>
              <w:rPr>
                <w:noProof/>
                <w:webHidden/>
              </w:rPr>
            </w:r>
            <w:r>
              <w:rPr>
                <w:noProof/>
                <w:webHidden/>
              </w:rPr>
              <w:fldChar w:fldCharType="separate"/>
            </w:r>
            <w:r>
              <w:rPr>
                <w:noProof/>
                <w:webHidden/>
              </w:rPr>
              <w:t>448</w:t>
            </w:r>
            <w:r>
              <w:rPr>
                <w:noProof/>
                <w:webHidden/>
              </w:rPr>
              <w:fldChar w:fldCharType="end"/>
            </w:r>
          </w:hyperlink>
        </w:p>
        <w:p w14:paraId="2FE3176F" w14:textId="5E5C2B5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20" w:history="1">
            <w:r w:rsidRPr="00F45DCA">
              <w:rPr>
                <w:rStyle w:val="Lienhypertexte"/>
                <w:noProof/>
              </w:rPr>
              <w:t>21.46.1d Blocs d'assise en blocs de silico-calcaire pour nœuds constructifs CCTB 01.12</w:t>
            </w:r>
            <w:r>
              <w:rPr>
                <w:noProof/>
                <w:webHidden/>
              </w:rPr>
              <w:tab/>
            </w:r>
            <w:r>
              <w:rPr>
                <w:noProof/>
                <w:webHidden/>
              </w:rPr>
              <w:fldChar w:fldCharType="begin"/>
            </w:r>
            <w:r>
              <w:rPr>
                <w:noProof/>
                <w:webHidden/>
              </w:rPr>
              <w:instrText xml:space="preserve"> PAGEREF _Toc220495520 \h </w:instrText>
            </w:r>
            <w:r>
              <w:rPr>
                <w:noProof/>
                <w:webHidden/>
              </w:rPr>
            </w:r>
            <w:r>
              <w:rPr>
                <w:noProof/>
                <w:webHidden/>
              </w:rPr>
              <w:fldChar w:fldCharType="separate"/>
            </w:r>
            <w:r>
              <w:rPr>
                <w:noProof/>
                <w:webHidden/>
              </w:rPr>
              <w:t>448</w:t>
            </w:r>
            <w:r>
              <w:rPr>
                <w:noProof/>
                <w:webHidden/>
              </w:rPr>
              <w:fldChar w:fldCharType="end"/>
            </w:r>
          </w:hyperlink>
        </w:p>
        <w:p w14:paraId="3606B838" w14:textId="65B50AB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21" w:history="1">
            <w:r w:rsidRPr="00F45DCA">
              <w:rPr>
                <w:rStyle w:val="Lienhypertexte"/>
                <w:noProof/>
              </w:rPr>
              <w:t>21.46.2 Eléments d'assise particuliers pour nœuds constructifs CCTB 01.10</w:t>
            </w:r>
            <w:r>
              <w:rPr>
                <w:noProof/>
                <w:webHidden/>
              </w:rPr>
              <w:tab/>
            </w:r>
            <w:r>
              <w:rPr>
                <w:noProof/>
                <w:webHidden/>
              </w:rPr>
              <w:fldChar w:fldCharType="begin"/>
            </w:r>
            <w:r>
              <w:rPr>
                <w:noProof/>
                <w:webHidden/>
              </w:rPr>
              <w:instrText xml:space="preserve"> PAGEREF _Toc220495521 \h </w:instrText>
            </w:r>
            <w:r>
              <w:rPr>
                <w:noProof/>
                <w:webHidden/>
              </w:rPr>
            </w:r>
            <w:r>
              <w:rPr>
                <w:noProof/>
                <w:webHidden/>
              </w:rPr>
              <w:fldChar w:fldCharType="separate"/>
            </w:r>
            <w:r>
              <w:rPr>
                <w:noProof/>
                <w:webHidden/>
              </w:rPr>
              <w:t>449</w:t>
            </w:r>
            <w:r>
              <w:rPr>
                <w:noProof/>
                <w:webHidden/>
              </w:rPr>
              <w:fldChar w:fldCharType="end"/>
            </w:r>
          </w:hyperlink>
        </w:p>
        <w:p w14:paraId="3AD60D58" w14:textId="0E0742F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22" w:history="1">
            <w:r w:rsidRPr="00F45DCA">
              <w:rPr>
                <w:rStyle w:val="Lienhypertexte"/>
                <w:noProof/>
              </w:rPr>
              <w:t>21.46.2a Eléments d'assise en verre cellulaire pour nœuds constructifs CCTB 01.04</w:t>
            </w:r>
            <w:r>
              <w:rPr>
                <w:noProof/>
                <w:webHidden/>
              </w:rPr>
              <w:tab/>
            </w:r>
            <w:r>
              <w:rPr>
                <w:noProof/>
                <w:webHidden/>
              </w:rPr>
              <w:fldChar w:fldCharType="begin"/>
            </w:r>
            <w:r>
              <w:rPr>
                <w:noProof/>
                <w:webHidden/>
              </w:rPr>
              <w:instrText xml:space="preserve"> PAGEREF _Toc220495522 \h </w:instrText>
            </w:r>
            <w:r>
              <w:rPr>
                <w:noProof/>
                <w:webHidden/>
              </w:rPr>
            </w:r>
            <w:r>
              <w:rPr>
                <w:noProof/>
                <w:webHidden/>
              </w:rPr>
              <w:fldChar w:fldCharType="separate"/>
            </w:r>
            <w:r>
              <w:rPr>
                <w:noProof/>
                <w:webHidden/>
              </w:rPr>
              <w:t>449</w:t>
            </w:r>
            <w:r>
              <w:rPr>
                <w:noProof/>
                <w:webHidden/>
              </w:rPr>
              <w:fldChar w:fldCharType="end"/>
            </w:r>
          </w:hyperlink>
        </w:p>
        <w:p w14:paraId="40CAAA02" w14:textId="0F921FE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23" w:history="1">
            <w:r w:rsidRPr="00F45DCA">
              <w:rPr>
                <w:rStyle w:val="Lienhypertexte"/>
                <w:noProof/>
              </w:rPr>
              <w:t>21.46.2b Eléments d'assise composés pour nœuds constructifs CCTB 01.04</w:t>
            </w:r>
            <w:r>
              <w:rPr>
                <w:noProof/>
                <w:webHidden/>
              </w:rPr>
              <w:tab/>
            </w:r>
            <w:r>
              <w:rPr>
                <w:noProof/>
                <w:webHidden/>
              </w:rPr>
              <w:fldChar w:fldCharType="begin"/>
            </w:r>
            <w:r>
              <w:rPr>
                <w:noProof/>
                <w:webHidden/>
              </w:rPr>
              <w:instrText xml:space="preserve"> PAGEREF _Toc220495523 \h </w:instrText>
            </w:r>
            <w:r>
              <w:rPr>
                <w:noProof/>
                <w:webHidden/>
              </w:rPr>
            </w:r>
            <w:r>
              <w:rPr>
                <w:noProof/>
                <w:webHidden/>
              </w:rPr>
              <w:fldChar w:fldCharType="separate"/>
            </w:r>
            <w:r>
              <w:rPr>
                <w:noProof/>
                <w:webHidden/>
              </w:rPr>
              <w:t>449</w:t>
            </w:r>
            <w:r>
              <w:rPr>
                <w:noProof/>
                <w:webHidden/>
              </w:rPr>
              <w:fldChar w:fldCharType="end"/>
            </w:r>
          </w:hyperlink>
        </w:p>
        <w:p w14:paraId="39E8DBAE" w14:textId="3AB691F8"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524" w:history="1">
            <w:r w:rsidRPr="00F45DCA">
              <w:rPr>
                <w:rStyle w:val="Lienhypertexte"/>
                <w:noProof/>
              </w:rPr>
              <w:t>21.5 Murs poids CCTB 01.02</w:t>
            </w:r>
            <w:r>
              <w:rPr>
                <w:noProof/>
                <w:webHidden/>
              </w:rPr>
              <w:tab/>
            </w:r>
            <w:r>
              <w:rPr>
                <w:noProof/>
                <w:webHidden/>
              </w:rPr>
              <w:fldChar w:fldCharType="begin"/>
            </w:r>
            <w:r>
              <w:rPr>
                <w:noProof/>
                <w:webHidden/>
              </w:rPr>
              <w:instrText xml:space="preserve"> PAGEREF _Toc220495524 \h </w:instrText>
            </w:r>
            <w:r>
              <w:rPr>
                <w:noProof/>
                <w:webHidden/>
              </w:rPr>
            </w:r>
            <w:r>
              <w:rPr>
                <w:noProof/>
                <w:webHidden/>
              </w:rPr>
              <w:fldChar w:fldCharType="separate"/>
            </w:r>
            <w:r>
              <w:rPr>
                <w:noProof/>
                <w:webHidden/>
              </w:rPr>
              <w:t>449</w:t>
            </w:r>
            <w:r>
              <w:rPr>
                <w:noProof/>
                <w:webHidden/>
              </w:rPr>
              <w:fldChar w:fldCharType="end"/>
            </w:r>
          </w:hyperlink>
        </w:p>
        <w:p w14:paraId="35406A98" w14:textId="7BAE016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25" w:history="1">
            <w:r w:rsidRPr="00F45DCA">
              <w:rPr>
                <w:rStyle w:val="Lienhypertexte"/>
                <w:noProof/>
              </w:rPr>
              <w:t>21.51 Murs poids en maçonneries portantes en blocs CCTB 01.02</w:t>
            </w:r>
            <w:r>
              <w:rPr>
                <w:noProof/>
                <w:webHidden/>
              </w:rPr>
              <w:tab/>
            </w:r>
            <w:r>
              <w:rPr>
                <w:noProof/>
                <w:webHidden/>
              </w:rPr>
              <w:fldChar w:fldCharType="begin"/>
            </w:r>
            <w:r>
              <w:rPr>
                <w:noProof/>
                <w:webHidden/>
              </w:rPr>
              <w:instrText xml:space="preserve"> PAGEREF _Toc220495525 \h </w:instrText>
            </w:r>
            <w:r>
              <w:rPr>
                <w:noProof/>
                <w:webHidden/>
              </w:rPr>
            </w:r>
            <w:r>
              <w:rPr>
                <w:noProof/>
                <w:webHidden/>
              </w:rPr>
              <w:fldChar w:fldCharType="separate"/>
            </w:r>
            <w:r>
              <w:rPr>
                <w:noProof/>
                <w:webHidden/>
              </w:rPr>
              <w:t>449</w:t>
            </w:r>
            <w:r>
              <w:rPr>
                <w:noProof/>
                <w:webHidden/>
              </w:rPr>
              <w:fldChar w:fldCharType="end"/>
            </w:r>
          </w:hyperlink>
        </w:p>
        <w:p w14:paraId="03460E88" w14:textId="19F3C31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26" w:history="1">
            <w:r w:rsidRPr="00F45DCA">
              <w:rPr>
                <w:rStyle w:val="Lienhypertexte"/>
                <w:noProof/>
              </w:rPr>
              <w:t>21.51.1 Murs poids en maçonneries portantes en blocs de béton CCTB 01.04</w:t>
            </w:r>
            <w:r>
              <w:rPr>
                <w:noProof/>
                <w:webHidden/>
              </w:rPr>
              <w:tab/>
            </w:r>
            <w:r>
              <w:rPr>
                <w:noProof/>
                <w:webHidden/>
              </w:rPr>
              <w:fldChar w:fldCharType="begin"/>
            </w:r>
            <w:r>
              <w:rPr>
                <w:noProof/>
                <w:webHidden/>
              </w:rPr>
              <w:instrText xml:space="preserve"> PAGEREF _Toc220495526 \h </w:instrText>
            </w:r>
            <w:r>
              <w:rPr>
                <w:noProof/>
                <w:webHidden/>
              </w:rPr>
            </w:r>
            <w:r>
              <w:rPr>
                <w:noProof/>
                <w:webHidden/>
              </w:rPr>
              <w:fldChar w:fldCharType="separate"/>
            </w:r>
            <w:r>
              <w:rPr>
                <w:noProof/>
                <w:webHidden/>
              </w:rPr>
              <w:t>450</w:t>
            </w:r>
            <w:r>
              <w:rPr>
                <w:noProof/>
                <w:webHidden/>
              </w:rPr>
              <w:fldChar w:fldCharType="end"/>
            </w:r>
          </w:hyperlink>
        </w:p>
        <w:p w14:paraId="31A82B8F" w14:textId="4AA42FC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27" w:history="1">
            <w:r w:rsidRPr="00F45DCA">
              <w:rPr>
                <w:rStyle w:val="Lienhypertexte"/>
                <w:noProof/>
              </w:rPr>
              <w:t>21.51.1a Murs poids en maçonneries portantes en blocs de béton pleins CCTB 01.04</w:t>
            </w:r>
            <w:r>
              <w:rPr>
                <w:noProof/>
                <w:webHidden/>
              </w:rPr>
              <w:tab/>
            </w:r>
            <w:r>
              <w:rPr>
                <w:noProof/>
                <w:webHidden/>
              </w:rPr>
              <w:fldChar w:fldCharType="begin"/>
            </w:r>
            <w:r>
              <w:rPr>
                <w:noProof/>
                <w:webHidden/>
              </w:rPr>
              <w:instrText xml:space="preserve"> PAGEREF _Toc220495527 \h </w:instrText>
            </w:r>
            <w:r>
              <w:rPr>
                <w:noProof/>
                <w:webHidden/>
              </w:rPr>
            </w:r>
            <w:r>
              <w:rPr>
                <w:noProof/>
                <w:webHidden/>
              </w:rPr>
              <w:fldChar w:fldCharType="separate"/>
            </w:r>
            <w:r>
              <w:rPr>
                <w:noProof/>
                <w:webHidden/>
              </w:rPr>
              <w:t>450</w:t>
            </w:r>
            <w:r>
              <w:rPr>
                <w:noProof/>
                <w:webHidden/>
              </w:rPr>
              <w:fldChar w:fldCharType="end"/>
            </w:r>
          </w:hyperlink>
        </w:p>
        <w:p w14:paraId="1B9BD09D" w14:textId="5DA0733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28" w:history="1">
            <w:r w:rsidRPr="00F45DCA">
              <w:rPr>
                <w:rStyle w:val="Lienhypertexte"/>
                <w:noProof/>
              </w:rPr>
              <w:t>21.51.2 Murs poids en maçonneries portantes en blocs de coffrage CCTB 01.04</w:t>
            </w:r>
            <w:r>
              <w:rPr>
                <w:noProof/>
                <w:webHidden/>
              </w:rPr>
              <w:tab/>
            </w:r>
            <w:r>
              <w:rPr>
                <w:noProof/>
                <w:webHidden/>
              </w:rPr>
              <w:fldChar w:fldCharType="begin"/>
            </w:r>
            <w:r>
              <w:rPr>
                <w:noProof/>
                <w:webHidden/>
              </w:rPr>
              <w:instrText xml:space="preserve"> PAGEREF _Toc220495528 \h </w:instrText>
            </w:r>
            <w:r>
              <w:rPr>
                <w:noProof/>
                <w:webHidden/>
              </w:rPr>
            </w:r>
            <w:r>
              <w:rPr>
                <w:noProof/>
                <w:webHidden/>
              </w:rPr>
              <w:fldChar w:fldCharType="separate"/>
            </w:r>
            <w:r>
              <w:rPr>
                <w:noProof/>
                <w:webHidden/>
              </w:rPr>
              <w:t>450</w:t>
            </w:r>
            <w:r>
              <w:rPr>
                <w:noProof/>
                <w:webHidden/>
              </w:rPr>
              <w:fldChar w:fldCharType="end"/>
            </w:r>
          </w:hyperlink>
        </w:p>
        <w:p w14:paraId="439EE257" w14:textId="6E53D04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29" w:history="1">
            <w:r w:rsidRPr="00F45DCA">
              <w:rPr>
                <w:rStyle w:val="Lienhypertexte"/>
                <w:noProof/>
              </w:rPr>
              <w:t>21.51.2a Murs poids en maçonneries portantes en blocs de coffrage CCTB 01.04</w:t>
            </w:r>
            <w:r>
              <w:rPr>
                <w:noProof/>
                <w:webHidden/>
              </w:rPr>
              <w:tab/>
            </w:r>
            <w:r>
              <w:rPr>
                <w:noProof/>
                <w:webHidden/>
              </w:rPr>
              <w:fldChar w:fldCharType="begin"/>
            </w:r>
            <w:r>
              <w:rPr>
                <w:noProof/>
                <w:webHidden/>
              </w:rPr>
              <w:instrText xml:space="preserve"> PAGEREF _Toc220495529 \h </w:instrText>
            </w:r>
            <w:r>
              <w:rPr>
                <w:noProof/>
                <w:webHidden/>
              </w:rPr>
            </w:r>
            <w:r>
              <w:rPr>
                <w:noProof/>
                <w:webHidden/>
              </w:rPr>
              <w:fldChar w:fldCharType="separate"/>
            </w:r>
            <w:r>
              <w:rPr>
                <w:noProof/>
                <w:webHidden/>
              </w:rPr>
              <w:t>450</w:t>
            </w:r>
            <w:r>
              <w:rPr>
                <w:noProof/>
                <w:webHidden/>
              </w:rPr>
              <w:fldChar w:fldCharType="end"/>
            </w:r>
          </w:hyperlink>
        </w:p>
        <w:p w14:paraId="415DEC23" w14:textId="28E5E68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30" w:history="1">
            <w:r w:rsidRPr="00F45DCA">
              <w:rPr>
                <w:rStyle w:val="Lienhypertexte"/>
                <w:noProof/>
              </w:rPr>
              <w:t>21.52 Murs poids en maçonneries portantes en enrochement CCTB 01.02</w:t>
            </w:r>
            <w:r>
              <w:rPr>
                <w:noProof/>
                <w:webHidden/>
              </w:rPr>
              <w:tab/>
            </w:r>
            <w:r>
              <w:rPr>
                <w:noProof/>
                <w:webHidden/>
              </w:rPr>
              <w:fldChar w:fldCharType="begin"/>
            </w:r>
            <w:r>
              <w:rPr>
                <w:noProof/>
                <w:webHidden/>
              </w:rPr>
              <w:instrText xml:space="preserve"> PAGEREF _Toc220495530 \h </w:instrText>
            </w:r>
            <w:r>
              <w:rPr>
                <w:noProof/>
                <w:webHidden/>
              </w:rPr>
            </w:r>
            <w:r>
              <w:rPr>
                <w:noProof/>
                <w:webHidden/>
              </w:rPr>
              <w:fldChar w:fldCharType="separate"/>
            </w:r>
            <w:r>
              <w:rPr>
                <w:noProof/>
                <w:webHidden/>
              </w:rPr>
              <w:t>450</w:t>
            </w:r>
            <w:r>
              <w:rPr>
                <w:noProof/>
                <w:webHidden/>
              </w:rPr>
              <w:fldChar w:fldCharType="end"/>
            </w:r>
          </w:hyperlink>
        </w:p>
        <w:p w14:paraId="4B38CDF6" w14:textId="4085E18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31" w:history="1">
            <w:r w:rsidRPr="00F45DCA">
              <w:rPr>
                <w:rStyle w:val="Lienhypertexte"/>
                <w:noProof/>
              </w:rPr>
              <w:t>21.52.1 Murs poids en maçonneries portantes en gabions CCTB 01.04</w:t>
            </w:r>
            <w:r>
              <w:rPr>
                <w:noProof/>
                <w:webHidden/>
              </w:rPr>
              <w:tab/>
            </w:r>
            <w:r>
              <w:rPr>
                <w:noProof/>
                <w:webHidden/>
              </w:rPr>
              <w:fldChar w:fldCharType="begin"/>
            </w:r>
            <w:r>
              <w:rPr>
                <w:noProof/>
                <w:webHidden/>
              </w:rPr>
              <w:instrText xml:space="preserve"> PAGEREF _Toc220495531 \h </w:instrText>
            </w:r>
            <w:r>
              <w:rPr>
                <w:noProof/>
                <w:webHidden/>
              </w:rPr>
            </w:r>
            <w:r>
              <w:rPr>
                <w:noProof/>
                <w:webHidden/>
              </w:rPr>
              <w:fldChar w:fldCharType="separate"/>
            </w:r>
            <w:r>
              <w:rPr>
                <w:noProof/>
                <w:webHidden/>
              </w:rPr>
              <w:t>450</w:t>
            </w:r>
            <w:r>
              <w:rPr>
                <w:noProof/>
                <w:webHidden/>
              </w:rPr>
              <w:fldChar w:fldCharType="end"/>
            </w:r>
          </w:hyperlink>
        </w:p>
        <w:p w14:paraId="5D4228A3" w14:textId="590AC9E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32" w:history="1">
            <w:r w:rsidRPr="00F45DCA">
              <w:rPr>
                <w:rStyle w:val="Lienhypertexte"/>
                <w:noProof/>
              </w:rPr>
              <w:t>21.52.1a Murs poids en maçonneries portantes en gabions CCTB 01.04</w:t>
            </w:r>
            <w:r>
              <w:rPr>
                <w:noProof/>
                <w:webHidden/>
              </w:rPr>
              <w:tab/>
            </w:r>
            <w:r>
              <w:rPr>
                <w:noProof/>
                <w:webHidden/>
              </w:rPr>
              <w:fldChar w:fldCharType="begin"/>
            </w:r>
            <w:r>
              <w:rPr>
                <w:noProof/>
                <w:webHidden/>
              </w:rPr>
              <w:instrText xml:space="preserve"> PAGEREF _Toc220495532 \h </w:instrText>
            </w:r>
            <w:r>
              <w:rPr>
                <w:noProof/>
                <w:webHidden/>
              </w:rPr>
            </w:r>
            <w:r>
              <w:rPr>
                <w:noProof/>
                <w:webHidden/>
              </w:rPr>
              <w:fldChar w:fldCharType="separate"/>
            </w:r>
            <w:r>
              <w:rPr>
                <w:noProof/>
                <w:webHidden/>
              </w:rPr>
              <w:t>450</w:t>
            </w:r>
            <w:r>
              <w:rPr>
                <w:noProof/>
                <w:webHidden/>
              </w:rPr>
              <w:fldChar w:fldCharType="end"/>
            </w:r>
          </w:hyperlink>
        </w:p>
        <w:p w14:paraId="4E1DDFFD" w14:textId="41A3360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33" w:history="1">
            <w:r w:rsidRPr="00F45DCA">
              <w:rPr>
                <w:rStyle w:val="Lienhypertexte"/>
                <w:noProof/>
              </w:rPr>
              <w:t>21.52.2 Murs poids en maçonneries portantes en moellons de pierre bleue CCTB 01.04</w:t>
            </w:r>
            <w:r>
              <w:rPr>
                <w:noProof/>
                <w:webHidden/>
              </w:rPr>
              <w:tab/>
            </w:r>
            <w:r>
              <w:rPr>
                <w:noProof/>
                <w:webHidden/>
              </w:rPr>
              <w:fldChar w:fldCharType="begin"/>
            </w:r>
            <w:r>
              <w:rPr>
                <w:noProof/>
                <w:webHidden/>
              </w:rPr>
              <w:instrText xml:space="preserve"> PAGEREF _Toc220495533 \h </w:instrText>
            </w:r>
            <w:r>
              <w:rPr>
                <w:noProof/>
                <w:webHidden/>
              </w:rPr>
            </w:r>
            <w:r>
              <w:rPr>
                <w:noProof/>
                <w:webHidden/>
              </w:rPr>
              <w:fldChar w:fldCharType="separate"/>
            </w:r>
            <w:r>
              <w:rPr>
                <w:noProof/>
                <w:webHidden/>
              </w:rPr>
              <w:t>450</w:t>
            </w:r>
            <w:r>
              <w:rPr>
                <w:noProof/>
                <w:webHidden/>
              </w:rPr>
              <w:fldChar w:fldCharType="end"/>
            </w:r>
          </w:hyperlink>
        </w:p>
        <w:p w14:paraId="6B26C087" w14:textId="7207BC6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34" w:history="1">
            <w:r w:rsidRPr="00F45DCA">
              <w:rPr>
                <w:rStyle w:val="Lienhypertexte"/>
                <w:noProof/>
              </w:rPr>
              <w:t>21.52.2a Murs poids en maçonneries portantes en petit granit - pierre bleue CCTB 01.04</w:t>
            </w:r>
            <w:r>
              <w:rPr>
                <w:noProof/>
                <w:webHidden/>
              </w:rPr>
              <w:tab/>
            </w:r>
            <w:r>
              <w:rPr>
                <w:noProof/>
                <w:webHidden/>
              </w:rPr>
              <w:fldChar w:fldCharType="begin"/>
            </w:r>
            <w:r>
              <w:rPr>
                <w:noProof/>
                <w:webHidden/>
              </w:rPr>
              <w:instrText xml:space="preserve"> PAGEREF _Toc220495534 \h </w:instrText>
            </w:r>
            <w:r>
              <w:rPr>
                <w:noProof/>
                <w:webHidden/>
              </w:rPr>
            </w:r>
            <w:r>
              <w:rPr>
                <w:noProof/>
                <w:webHidden/>
              </w:rPr>
              <w:fldChar w:fldCharType="separate"/>
            </w:r>
            <w:r>
              <w:rPr>
                <w:noProof/>
                <w:webHidden/>
              </w:rPr>
              <w:t>450</w:t>
            </w:r>
            <w:r>
              <w:rPr>
                <w:noProof/>
                <w:webHidden/>
              </w:rPr>
              <w:fldChar w:fldCharType="end"/>
            </w:r>
          </w:hyperlink>
        </w:p>
        <w:p w14:paraId="48B4F028" w14:textId="3FD7507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35" w:history="1">
            <w:r w:rsidRPr="00F45DCA">
              <w:rPr>
                <w:rStyle w:val="Lienhypertexte"/>
                <w:noProof/>
              </w:rPr>
              <w:t>21.52.2b Murs poids en maçonneries portantes en pierre calcaire CCTB 01.04</w:t>
            </w:r>
            <w:r>
              <w:rPr>
                <w:noProof/>
                <w:webHidden/>
              </w:rPr>
              <w:tab/>
            </w:r>
            <w:r>
              <w:rPr>
                <w:noProof/>
                <w:webHidden/>
              </w:rPr>
              <w:fldChar w:fldCharType="begin"/>
            </w:r>
            <w:r>
              <w:rPr>
                <w:noProof/>
                <w:webHidden/>
              </w:rPr>
              <w:instrText xml:space="preserve"> PAGEREF _Toc220495535 \h </w:instrText>
            </w:r>
            <w:r>
              <w:rPr>
                <w:noProof/>
                <w:webHidden/>
              </w:rPr>
            </w:r>
            <w:r>
              <w:rPr>
                <w:noProof/>
                <w:webHidden/>
              </w:rPr>
              <w:fldChar w:fldCharType="separate"/>
            </w:r>
            <w:r>
              <w:rPr>
                <w:noProof/>
                <w:webHidden/>
              </w:rPr>
              <w:t>450</w:t>
            </w:r>
            <w:r>
              <w:rPr>
                <w:noProof/>
                <w:webHidden/>
              </w:rPr>
              <w:fldChar w:fldCharType="end"/>
            </w:r>
          </w:hyperlink>
        </w:p>
        <w:p w14:paraId="606E04C6" w14:textId="34227AF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36" w:history="1">
            <w:r w:rsidRPr="00F45DCA">
              <w:rPr>
                <w:rStyle w:val="Lienhypertexte"/>
                <w:noProof/>
              </w:rPr>
              <w:t>21.52.3 Murs poids en maçonneries portantes en moellons de pierre calcaire CCTB 01.04</w:t>
            </w:r>
            <w:r>
              <w:rPr>
                <w:noProof/>
                <w:webHidden/>
              </w:rPr>
              <w:tab/>
            </w:r>
            <w:r>
              <w:rPr>
                <w:noProof/>
                <w:webHidden/>
              </w:rPr>
              <w:fldChar w:fldCharType="begin"/>
            </w:r>
            <w:r>
              <w:rPr>
                <w:noProof/>
                <w:webHidden/>
              </w:rPr>
              <w:instrText xml:space="preserve"> PAGEREF _Toc220495536 \h </w:instrText>
            </w:r>
            <w:r>
              <w:rPr>
                <w:noProof/>
                <w:webHidden/>
              </w:rPr>
            </w:r>
            <w:r>
              <w:rPr>
                <w:noProof/>
                <w:webHidden/>
              </w:rPr>
              <w:fldChar w:fldCharType="separate"/>
            </w:r>
            <w:r>
              <w:rPr>
                <w:noProof/>
                <w:webHidden/>
              </w:rPr>
              <w:t>450</w:t>
            </w:r>
            <w:r>
              <w:rPr>
                <w:noProof/>
                <w:webHidden/>
              </w:rPr>
              <w:fldChar w:fldCharType="end"/>
            </w:r>
          </w:hyperlink>
        </w:p>
        <w:p w14:paraId="77B9FC63" w14:textId="717078B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37" w:history="1">
            <w:r w:rsidRPr="00F45DCA">
              <w:rPr>
                <w:rStyle w:val="Lienhypertexte"/>
                <w:noProof/>
              </w:rPr>
              <w:t>21.52.3a Murs poids en maçonneries portantes en moellons de pierre bleue CCTB 01.04</w:t>
            </w:r>
            <w:r>
              <w:rPr>
                <w:noProof/>
                <w:webHidden/>
              </w:rPr>
              <w:tab/>
            </w:r>
            <w:r>
              <w:rPr>
                <w:noProof/>
                <w:webHidden/>
              </w:rPr>
              <w:fldChar w:fldCharType="begin"/>
            </w:r>
            <w:r>
              <w:rPr>
                <w:noProof/>
                <w:webHidden/>
              </w:rPr>
              <w:instrText xml:space="preserve"> PAGEREF _Toc220495537 \h </w:instrText>
            </w:r>
            <w:r>
              <w:rPr>
                <w:noProof/>
                <w:webHidden/>
              </w:rPr>
            </w:r>
            <w:r>
              <w:rPr>
                <w:noProof/>
                <w:webHidden/>
              </w:rPr>
              <w:fldChar w:fldCharType="separate"/>
            </w:r>
            <w:r>
              <w:rPr>
                <w:noProof/>
                <w:webHidden/>
              </w:rPr>
              <w:t>450</w:t>
            </w:r>
            <w:r>
              <w:rPr>
                <w:noProof/>
                <w:webHidden/>
              </w:rPr>
              <w:fldChar w:fldCharType="end"/>
            </w:r>
          </w:hyperlink>
        </w:p>
        <w:p w14:paraId="351467B6" w14:textId="359D6A2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38" w:history="1">
            <w:r w:rsidRPr="00F45DCA">
              <w:rPr>
                <w:rStyle w:val="Lienhypertexte"/>
                <w:noProof/>
              </w:rPr>
              <w:t>21.52.3b Murs poids en maçonneries portantes en moellons de pierre blanche CCTB 01.04</w:t>
            </w:r>
            <w:r>
              <w:rPr>
                <w:noProof/>
                <w:webHidden/>
              </w:rPr>
              <w:tab/>
            </w:r>
            <w:r>
              <w:rPr>
                <w:noProof/>
                <w:webHidden/>
              </w:rPr>
              <w:fldChar w:fldCharType="begin"/>
            </w:r>
            <w:r>
              <w:rPr>
                <w:noProof/>
                <w:webHidden/>
              </w:rPr>
              <w:instrText xml:space="preserve"> PAGEREF _Toc220495538 \h </w:instrText>
            </w:r>
            <w:r>
              <w:rPr>
                <w:noProof/>
                <w:webHidden/>
              </w:rPr>
            </w:r>
            <w:r>
              <w:rPr>
                <w:noProof/>
                <w:webHidden/>
              </w:rPr>
              <w:fldChar w:fldCharType="separate"/>
            </w:r>
            <w:r>
              <w:rPr>
                <w:noProof/>
                <w:webHidden/>
              </w:rPr>
              <w:t>450</w:t>
            </w:r>
            <w:r>
              <w:rPr>
                <w:noProof/>
                <w:webHidden/>
              </w:rPr>
              <w:fldChar w:fldCharType="end"/>
            </w:r>
          </w:hyperlink>
        </w:p>
        <w:p w14:paraId="6ADB93CC" w14:textId="42850A9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39" w:history="1">
            <w:r w:rsidRPr="00F45DCA">
              <w:rPr>
                <w:rStyle w:val="Lienhypertexte"/>
                <w:noProof/>
              </w:rPr>
              <w:t>21.52.3c Murs poids en maçonneries portantes en moellons de marbre CCTB 01.04</w:t>
            </w:r>
            <w:r>
              <w:rPr>
                <w:noProof/>
                <w:webHidden/>
              </w:rPr>
              <w:tab/>
            </w:r>
            <w:r>
              <w:rPr>
                <w:noProof/>
                <w:webHidden/>
              </w:rPr>
              <w:fldChar w:fldCharType="begin"/>
            </w:r>
            <w:r>
              <w:rPr>
                <w:noProof/>
                <w:webHidden/>
              </w:rPr>
              <w:instrText xml:space="preserve"> PAGEREF _Toc220495539 \h </w:instrText>
            </w:r>
            <w:r>
              <w:rPr>
                <w:noProof/>
                <w:webHidden/>
              </w:rPr>
            </w:r>
            <w:r>
              <w:rPr>
                <w:noProof/>
                <w:webHidden/>
              </w:rPr>
              <w:fldChar w:fldCharType="separate"/>
            </w:r>
            <w:r>
              <w:rPr>
                <w:noProof/>
                <w:webHidden/>
              </w:rPr>
              <w:t>450</w:t>
            </w:r>
            <w:r>
              <w:rPr>
                <w:noProof/>
                <w:webHidden/>
              </w:rPr>
              <w:fldChar w:fldCharType="end"/>
            </w:r>
          </w:hyperlink>
        </w:p>
        <w:p w14:paraId="04C1DB6B" w14:textId="4BD45F7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40" w:history="1">
            <w:r w:rsidRPr="00F45DCA">
              <w:rPr>
                <w:rStyle w:val="Lienhypertexte"/>
                <w:noProof/>
              </w:rPr>
              <w:t>21.52.4 Murs poids en maçonneries portantes en moellons de pierres siliceuses CCTB 01.04</w:t>
            </w:r>
            <w:r>
              <w:rPr>
                <w:noProof/>
                <w:webHidden/>
              </w:rPr>
              <w:tab/>
            </w:r>
            <w:r>
              <w:rPr>
                <w:noProof/>
                <w:webHidden/>
              </w:rPr>
              <w:fldChar w:fldCharType="begin"/>
            </w:r>
            <w:r>
              <w:rPr>
                <w:noProof/>
                <w:webHidden/>
              </w:rPr>
              <w:instrText xml:space="preserve"> PAGEREF _Toc220495540 \h </w:instrText>
            </w:r>
            <w:r>
              <w:rPr>
                <w:noProof/>
                <w:webHidden/>
              </w:rPr>
            </w:r>
            <w:r>
              <w:rPr>
                <w:noProof/>
                <w:webHidden/>
              </w:rPr>
              <w:fldChar w:fldCharType="separate"/>
            </w:r>
            <w:r>
              <w:rPr>
                <w:noProof/>
                <w:webHidden/>
              </w:rPr>
              <w:t>450</w:t>
            </w:r>
            <w:r>
              <w:rPr>
                <w:noProof/>
                <w:webHidden/>
              </w:rPr>
              <w:fldChar w:fldCharType="end"/>
            </w:r>
          </w:hyperlink>
        </w:p>
        <w:p w14:paraId="1C0B5756" w14:textId="59BA6A7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41" w:history="1">
            <w:r w:rsidRPr="00F45DCA">
              <w:rPr>
                <w:rStyle w:val="Lienhypertexte"/>
                <w:noProof/>
              </w:rPr>
              <w:t>21.52.4a Murs poids en maçonneries portantes en moellons d'arkose CCTB 01.04</w:t>
            </w:r>
            <w:r>
              <w:rPr>
                <w:noProof/>
                <w:webHidden/>
              </w:rPr>
              <w:tab/>
            </w:r>
            <w:r>
              <w:rPr>
                <w:noProof/>
                <w:webHidden/>
              </w:rPr>
              <w:fldChar w:fldCharType="begin"/>
            </w:r>
            <w:r>
              <w:rPr>
                <w:noProof/>
                <w:webHidden/>
              </w:rPr>
              <w:instrText xml:space="preserve"> PAGEREF _Toc220495541 \h </w:instrText>
            </w:r>
            <w:r>
              <w:rPr>
                <w:noProof/>
                <w:webHidden/>
              </w:rPr>
            </w:r>
            <w:r>
              <w:rPr>
                <w:noProof/>
                <w:webHidden/>
              </w:rPr>
              <w:fldChar w:fldCharType="separate"/>
            </w:r>
            <w:r>
              <w:rPr>
                <w:noProof/>
                <w:webHidden/>
              </w:rPr>
              <w:t>450</w:t>
            </w:r>
            <w:r>
              <w:rPr>
                <w:noProof/>
                <w:webHidden/>
              </w:rPr>
              <w:fldChar w:fldCharType="end"/>
            </w:r>
          </w:hyperlink>
        </w:p>
        <w:p w14:paraId="7A22524F" w14:textId="54B085D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42" w:history="1">
            <w:r w:rsidRPr="00F45DCA">
              <w:rPr>
                <w:rStyle w:val="Lienhypertexte"/>
                <w:noProof/>
              </w:rPr>
              <w:t>21.52.4b Murs poids en maçonneries portantes en moellons de schiste CCTB 01.04</w:t>
            </w:r>
            <w:r>
              <w:rPr>
                <w:noProof/>
                <w:webHidden/>
              </w:rPr>
              <w:tab/>
            </w:r>
            <w:r>
              <w:rPr>
                <w:noProof/>
                <w:webHidden/>
              </w:rPr>
              <w:fldChar w:fldCharType="begin"/>
            </w:r>
            <w:r>
              <w:rPr>
                <w:noProof/>
                <w:webHidden/>
              </w:rPr>
              <w:instrText xml:space="preserve"> PAGEREF _Toc220495542 \h </w:instrText>
            </w:r>
            <w:r>
              <w:rPr>
                <w:noProof/>
                <w:webHidden/>
              </w:rPr>
            </w:r>
            <w:r>
              <w:rPr>
                <w:noProof/>
                <w:webHidden/>
              </w:rPr>
              <w:fldChar w:fldCharType="separate"/>
            </w:r>
            <w:r>
              <w:rPr>
                <w:noProof/>
                <w:webHidden/>
              </w:rPr>
              <w:t>450</w:t>
            </w:r>
            <w:r>
              <w:rPr>
                <w:noProof/>
                <w:webHidden/>
              </w:rPr>
              <w:fldChar w:fldCharType="end"/>
            </w:r>
          </w:hyperlink>
        </w:p>
        <w:p w14:paraId="11BC9943" w14:textId="3F12112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43" w:history="1">
            <w:r w:rsidRPr="00F45DCA">
              <w:rPr>
                <w:rStyle w:val="Lienhypertexte"/>
                <w:noProof/>
              </w:rPr>
              <w:t>21.52.4c Murs poids en maçonneries portantes en moellons de grès CCTB 01.04</w:t>
            </w:r>
            <w:r>
              <w:rPr>
                <w:noProof/>
                <w:webHidden/>
              </w:rPr>
              <w:tab/>
            </w:r>
            <w:r>
              <w:rPr>
                <w:noProof/>
                <w:webHidden/>
              </w:rPr>
              <w:fldChar w:fldCharType="begin"/>
            </w:r>
            <w:r>
              <w:rPr>
                <w:noProof/>
                <w:webHidden/>
              </w:rPr>
              <w:instrText xml:space="preserve"> PAGEREF _Toc220495543 \h </w:instrText>
            </w:r>
            <w:r>
              <w:rPr>
                <w:noProof/>
                <w:webHidden/>
              </w:rPr>
            </w:r>
            <w:r>
              <w:rPr>
                <w:noProof/>
                <w:webHidden/>
              </w:rPr>
              <w:fldChar w:fldCharType="separate"/>
            </w:r>
            <w:r>
              <w:rPr>
                <w:noProof/>
                <w:webHidden/>
              </w:rPr>
              <w:t>450</w:t>
            </w:r>
            <w:r>
              <w:rPr>
                <w:noProof/>
                <w:webHidden/>
              </w:rPr>
              <w:fldChar w:fldCharType="end"/>
            </w:r>
          </w:hyperlink>
        </w:p>
        <w:p w14:paraId="0B505CDC" w14:textId="67C5EE5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44" w:history="1">
            <w:r w:rsidRPr="00F45DCA">
              <w:rPr>
                <w:rStyle w:val="Lienhypertexte"/>
                <w:noProof/>
              </w:rPr>
              <w:t>21.52.4d Murs poids en maçonneries portantes en moellons de quartzite CCTB 01.04</w:t>
            </w:r>
            <w:r>
              <w:rPr>
                <w:noProof/>
                <w:webHidden/>
              </w:rPr>
              <w:tab/>
            </w:r>
            <w:r>
              <w:rPr>
                <w:noProof/>
                <w:webHidden/>
              </w:rPr>
              <w:fldChar w:fldCharType="begin"/>
            </w:r>
            <w:r>
              <w:rPr>
                <w:noProof/>
                <w:webHidden/>
              </w:rPr>
              <w:instrText xml:space="preserve"> PAGEREF _Toc220495544 \h </w:instrText>
            </w:r>
            <w:r>
              <w:rPr>
                <w:noProof/>
                <w:webHidden/>
              </w:rPr>
            </w:r>
            <w:r>
              <w:rPr>
                <w:noProof/>
                <w:webHidden/>
              </w:rPr>
              <w:fldChar w:fldCharType="separate"/>
            </w:r>
            <w:r>
              <w:rPr>
                <w:noProof/>
                <w:webHidden/>
              </w:rPr>
              <w:t>450</w:t>
            </w:r>
            <w:r>
              <w:rPr>
                <w:noProof/>
                <w:webHidden/>
              </w:rPr>
              <w:fldChar w:fldCharType="end"/>
            </w:r>
          </w:hyperlink>
        </w:p>
        <w:p w14:paraId="25071C45" w14:textId="01A710C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45" w:history="1">
            <w:r w:rsidRPr="00F45DCA">
              <w:rPr>
                <w:rStyle w:val="Lienhypertexte"/>
                <w:noProof/>
              </w:rPr>
              <w:t>21.52.4e Murs poids en maçonneries portantes en moellons de silex CCTB 01.04</w:t>
            </w:r>
            <w:r>
              <w:rPr>
                <w:noProof/>
                <w:webHidden/>
              </w:rPr>
              <w:tab/>
            </w:r>
            <w:r>
              <w:rPr>
                <w:noProof/>
                <w:webHidden/>
              </w:rPr>
              <w:fldChar w:fldCharType="begin"/>
            </w:r>
            <w:r>
              <w:rPr>
                <w:noProof/>
                <w:webHidden/>
              </w:rPr>
              <w:instrText xml:space="preserve"> PAGEREF _Toc220495545 \h </w:instrText>
            </w:r>
            <w:r>
              <w:rPr>
                <w:noProof/>
                <w:webHidden/>
              </w:rPr>
            </w:r>
            <w:r>
              <w:rPr>
                <w:noProof/>
                <w:webHidden/>
              </w:rPr>
              <w:fldChar w:fldCharType="separate"/>
            </w:r>
            <w:r>
              <w:rPr>
                <w:noProof/>
                <w:webHidden/>
              </w:rPr>
              <w:t>450</w:t>
            </w:r>
            <w:r>
              <w:rPr>
                <w:noProof/>
                <w:webHidden/>
              </w:rPr>
              <w:fldChar w:fldCharType="end"/>
            </w:r>
          </w:hyperlink>
        </w:p>
        <w:p w14:paraId="1CD44D53" w14:textId="331B132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46" w:history="1">
            <w:r w:rsidRPr="00F45DCA">
              <w:rPr>
                <w:rStyle w:val="Lienhypertexte"/>
                <w:noProof/>
              </w:rPr>
              <w:t>21.52.5 Murs poids en maçonneries portantes en pierres de grandes dimensions CCTB 01.04</w:t>
            </w:r>
            <w:r>
              <w:rPr>
                <w:noProof/>
                <w:webHidden/>
              </w:rPr>
              <w:tab/>
            </w:r>
            <w:r>
              <w:rPr>
                <w:noProof/>
                <w:webHidden/>
              </w:rPr>
              <w:fldChar w:fldCharType="begin"/>
            </w:r>
            <w:r>
              <w:rPr>
                <w:noProof/>
                <w:webHidden/>
              </w:rPr>
              <w:instrText xml:space="preserve"> PAGEREF _Toc220495546 \h </w:instrText>
            </w:r>
            <w:r>
              <w:rPr>
                <w:noProof/>
                <w:webHidden/>
              </w:rPr>
            </w:r>
            <w:r>
              <w:rPr>
                <w:noProof/>
                <w:webHidden/>
              </w:rPr>
              <w:fldChar w:fldCharType="separate"/>
            </w:r>
            <w:r>
              <w:rPr>
                <w:noProof/>
                <w:webHidden/>
              </w:rPr>
              <w:t>450</w:t>
            </w:r>
            <w:r>
              <w:rPr>
                <w:noProof/>
                <w:webHidden/>
              </w:rPr>
              <w:fldChar w:fldCharType="end"/>
            </w:r>
          </w:hyperlink>
        </w:p>
        <w:p w14:paraId="17A71CDB" w14:textId="57D18D0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47" w:history="1">
            <w:r w:rsidRPr="00F45DCA">
              <w:rPr>
                <w:rStyle w:val="Lienhypertexte"/>
                <w:noProof/>
              </w:rPr>
              <w:t>21.52.5a Murs poids en maçonneries portantes en pierres de grandes dimensions CCTB 01.04</w:t>
            </w:r>
            <w:r>
              <w:rPr>
                <w:noProof/>
                <w:webHidden/>
              </w:rPr>
              <w:tab/>
            </w:r>
            <w:r>
              <w:rPr>
                <w:noProof/>
                <w:webHidden/>
              </w:rPr>
              <w:fldChar w:fldCharType="begin"/>
            </w:r>
            <w:r>
              <w:rPr>
                <w:noProof/>
                <w:webHidden/>
              </w:rPr>
              <w:instrText xml:space="preserve"> PAGEREF _Toc220495547 \h </w:instrText>
            </w:r>
            <w:r>
              <w:rPr>
                <w:noProof/>
                <w:webHidden/>
              </w:rPr>
            </w:r>
            <w:r>
              <w:rPr>
                <w:noProof/>
                <w:webHidden/>
              </w:rPr>
              <w:fldChar w:fldCharType="separate"/>
            </w:r>
            <w:r>
              <w:rPr>
                <w:noProof/>
                <w:webHidden/>
              </w:rPr>
              <w:t>450</w:t>
            </w:r>
            <w:r>
              <w:rPr>
                <w:noProof/>
                <w:webHidden/>
              </w:rPr>
              <w:fldChar w:fldCharType="end"/>
            </w:r>
          </w:hyperlink>
        </w:p>
        <w:p w14:paraId="010ABDC7" w14:textId="662E7296"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548" w:history="1">
            <w:r w:rsidRPr="00F45DCA">
              <w:rPr>
                <w:rStyle w:val="Lienhypertexte"/>
                <w:noProof/>
              </w:rPr>
              <w:t>21.6 Réalisation de joints CCTB 01.04</w:t>
            </w:r>
            <w:r>
              <w:rPr>
                <w:noProof/>
                <w:webHidden/>
              </w:rPr>
              <w:tab/>
            </w:r>
            <w:r>
              <w:rPr>
                <w:noProof/>
                <w:webHidden/>
              </w:rPr>
              <w:fldChar w:fldCharType="begin"/>
            </w:r>
            <w:r>
              <w:rPr>
                <w:noProof/>
                <w:webHidden/>
              </w:rPr>
              <w:instrText xml:space="preserve"> PAGEREF _Toc220495548 \h </w:instrText>
            </w:r>
            <w:r>
              <w:rPr>
                <w:noProof/>
                <w:webHidden/>
              </w:rPr>
            </w:r>
            <w:r>
              <w:rPr>
                <w:noProof/>
                <w:webHidden/>
              </w:rPr>
              <w:fldChar w:fldCharType="separate"/>
            </w:r>
            <w:r>
              <w:rPr>
                <w:noProof/>
                <w:webHidden/>
              </w:rPr>
              <w:t>450</w:t>
            </w:r>
            <w:r>
              <w:rPr>
                <w:noProof/>
                <w:webHidden/>
              </w:rPr>
              <w:fldChar w:fldCharType="end"/>
            </w:r>
          </w:hyperlink>
        </w:p>
        <w:p w14:paraId="141F21F5" w14:textId="493946D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49" w:history="1">
            <w:r w:rsidRPr="00F45DCA">
              <w:rPr>
                <w:rStyle w:val="Lienhypertexte"/>
                <w:noProof/>
              </w:rPr>
              <w:t>21.61 Rejointoyage CCTB 01.02</w:t>
            </w:r>
            <w:r>
              <w:rPr>
                <w:noProof/>
                <w:webHidden/>
              </w:rPr>
              <w:tab/>
            </w:r>
            <w:r>
              <w:rPr>
                <w:noProof/>
                <w:webHidden/>
              </w:rPr>
              <w:fldChar w:fldCharType="begin"/>
            </w:r>
            <w:r>
              <w:rPr>
                <w:noProof/>
                <w:webHidden/>
              </w:rPr>
              <w:instrText xml:space="preserve"> PAGEREF _Toc220495549 \h </w:instrText>
            </w:r>
            <w:r>
              <w:rPr>
                <w:noProof/>
                <w:webHidden/>
              </w:rPr>
            </w:r>
            <w:r>
              <w:rPr>
                <w:noProof/>
                <w:webHidden/>
              </w:rPr>
              <w:fldChar w:fldCharType="separate"/>
            </w:r>
            <w:r>
              <w:rPr>
                <w:noProof/>
                <w:webHidden/>
              </w:rPr>
              <w:t>451</w:t>
            </w:r>
            <w:r>
              <w:rPr>
                <w:noProof/>
                <w:webHidden/>
              </w:rPr>
              <w:fldChar w:fldCharType="end"/>
            </w:r>
          </w:hyperlink>
        </w:p>
        <w:p w14:paraId="0966835C" w14:textId="2F3190C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50" w:history="1">
            <w:r w:rsidRPr="00F45DCA">
              <w:rPr>
                <w:rStyle w:val="Lienhypertexte"/>
                <w:noProof/>
              </w:rPr>
              <w:t>21.61.1 Rejointoyage CCTB 01.02</w:t>
            </w:r>
            <w:r>
              <w:rPr>
                <w:noProof/>
                <w:webHidden/>
              </w:rPr>
              <w:tab/>
            </w:r>
            <w:r>
              <w:rPr>
                <w:noProof/>
                <w:webHidden/>
              </w:rPr>
              <w:fldChar w:fldCharType="begin"/>
            </w:r>
            <w:r>
              <w:rPr>
                <w:noProof/>
                <w:webHidden/>
              </w:rPr>
              <w:instrText xml:space="preserve"> PAGEREF _Toc220495550 \h </w:instrText>
            </w:r>
            <w:r>
              <w:rPr>
                <w:noProof/>
                <w:webHidden/>
              </w:rPr>
            </w:r>
            <w:r>
              <w:rPr>
                <w:noProof/>
                <w:webHidden/>
              </w:rPr>
              <w:fldChar w:fldCharType="separate"/>
            </w:r>
            <w:r>
              <w:rPr>
                <w:noProof/>
                <w:webHidden/>
              </w:rPr>
              <w:t>451</w:t>
            </w:r>
            <w:r>
              <w:rPr>
                <w:noProof/>
                <w:webHidden/>
              </w:rPr>
              <w:fldChar w:fldCharType="end"/>
            </w:r>
          </w:hyperlink>
        </w:p>
        <w:p w14:paraId="3CCA06C0" w14:textId="414649C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51" w:history="1">
            <w:r w:rsidRPr="00F45DCA">
              <w:rPr>
                <w:rStyle w:val="Lienhypertexte"/>
                <w:noProof/>
              </w:rPr>
              <w:t>21.61.1a Rejointoyage CCTB 01.02</w:t>
            </w:r>
            <w:r>
              <w:rPr>
                <w:noProof/>
                <w:webHidden/>
              </w:rPr>
              <w:tab/>
            </w:r>
            <w:r>
              <w:rPr>
                <w:noProof/>
                <w:webHidden/>
              </w:rPr>
              <w:fldChar w:fldCharType="begin"/>
            </w:r>
            <w:r>
              <w:rPr>
                <w:noProof/>
                <w:webHidden/>
              </w:rPr>
              <w:instrText xml:space="preserve"> PAGEREF _Toc220495551 \h </w:instrText>
            </w:r>
            <w:r>
              <w:rPr>
                <w:noProof/>
                <w:webHidden/>
              </w:rPr>
            </w:r>
            <w:r>
              <w:rPr>
                <w:noProof/>
                <w:webHidden/>
              </w:rPr>
              <w:fldChar w:fldCharType="separate"/>
            </w:r>
            <w:r>
              <w:rPr>
                <w:noProof/>
                <w:webHidden/>
              </w:rPr>
              <w:t>451</w:t>
            </w:r>
            <w:r>
              <w:rPr>
                <w:noProof/>
                <w:webHidden/>
              </w:rPr>
              <w:fldChar w:fldCharType="end"/>
            </w:r>
          </w:hyperlink>
        </w:p>
        <w:p w14:paraId="2D71B6ED" w14:textId="6C3F9F3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52" w:history="1">
            <w:r w:rsidRPr="00F45DCA">
              <w:rPr>
                <w:rStyle w:val="Lienhypertexte"/>
                <w:noProof/>
              </w:rPr>
              <w:t>21.61.1b Joints de maçonnerie apparente CCTB 01.11</w:t>
            </w:r>
            <w:r>
              <w:rPr>
                <w:noProof/>
                <w:webHidden/>
              </w:rPr>
              <w:tab/>
            </w:r>
            <w:r>
              <w:rPr>
                <w:noProof/>
                <w:webHidden/>
              </w:rPr>
              <w:fldChar w:fldCharType="begin"/>
            </w:r>
            <w:r>
              <w:rPr>
                <w:noProof/>
                <w:webHidden/>
              </w:rPr>
              <w:instrText xml:space="preserve"> PAGEREF _Toc220495552 \h </w:instrText>
            </w:r>
            <w:r>
              <w:rPr>
                <w:noProof/>
                <w:webHidden/>
              </w:rPr>
            </w:r>
            <w:r>
              <w:rPr>
                <w:noProof/>
                <w:webHidden/>
              </w:rPr>
              <w:fldChar w:fldCharType="separate"/>
            </w:r>
            <w:r>
              <w:rPr>
                <w:noProof/>
                <w:webHidden/>
              </w:rPr>
              <w:t>451</w:t>
            </w:r>
            <w:r>
              <w:rPr>
                <w:noProof/>
                <w:webHidden/>
              </w:rPr>
              <w:fldChar w:fldCharType="end"/>
            </w:r>
          </w:hyperlink>
        </w:p>
        <w:p w14:paraId="7E8362AF" w14:textId="3D1D66A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53" w:history="1">
            <w:r w:rsidRPr="00F45DCA">
              <w:rPr>
                <w:rStyle w:val="Lienhypertexte"/>
                <w:noProof/>
              </w:rPr>
              <w:t>21.62 Joints structuraux CCTB 01.04</w:t>
            </w:r>
            <w:r>
              <w:rPr>
                <w:noProof/>
                <w:webHidden/>
              </w:rPr>
              <w:tab/>
            </w:r>
            <w:r>
              <w:rPr>
                <w:noProof/>
                <w:webHidden/>
              </w:rPr>
              <w:fldChar w:fldCharType="begin"/>
            </w:r>
            <w:r>
              <w:rPr>
                <w:noProof/>
                <w:webHidden/>
              </w:rPr>
              <w:instrText xml:space="preserve"> PAGEREF _Toc220495553 \h </w:instrText>
            </w:r>
            <w:r>
              <w:rPr>
                <w:noProof/>
                <w:webHidden/>
              </w:rPr>
            </w:r>
            <w:r>
              <w:rPr>
                <w:noProof/>
                <w:webHidden/>
              </w:rPr>
              <w:fldChar w:fldCharType="separate"/>
            </w:r>
            <w:r>
              <w:rPr>
                <w:noProof/>
                <w:webHidden/>
              </w:rPr>
              <w:t>451</w:t>
            </w:r>
            <w:r>
              <w:rPr>
                <w:noProof/>
                <w:webHidden/>
              </w:rPr>
              <w:fldChar w:fldCharType="end"/>
            </w:r>
          </w:hyperlink>
        </w:p>
        <w:p w14:paraId="116DC372" w14:textId="5B55EA2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54" w:history="1">
            <w:r w:rsidRPr="00F45DCA">
              <w:rPr>
                <w:rStyle w:val="Lienhypertexte"/>
                <w:noProof/>
              </w:rPr>
              <w:t>21.62.1 Joints de dilatation CCTB 01.04</w:t>
            </w:r>
            <w:r>
              <w:rPr>
                <w:noProof/>
                <w:webHidden/>
              </w:rPr>
              <w:tab/>
            </w:r>
            <w:r>
              <w:rPr>
                <w:noProof/>
                <w:webHidden/>
              </w:rPr>
              <w:fldChar w:fldCharType="begin"/>
            </w:r>
            <w:r>
              <w:rPr>
                <w:noProof/>
                <w:webHidden/>
              </w:rPr>
              <w:instrText xml:space="preserve"> PAGEREF _Toc220495554 \h </w:instrText>
            </w:r>
            <w:r>
              <w:rPr>
                <w:noProof/>
                <w:webHidden/>
              </w:rPr>
            </w:r>
            <w:r>
              <w:rPr>
                <w:noProof/>
                <w:webHidden/>
              </w:rPr>
              <w:fldChar w:fldCharType="separate"/>
            </w:r>
            <w:r>
              <w:rPr>
                <w:noProof/>
                <w:webHidden/>
              </w:rPr>
              <w:t>451</w:t>
            </w:r>
            <w:r>
              <w:rPr>
                <w:noProof/>
                <w:webHidden/>
              </w:rPr>
              <w:fldChar w:fldCharType="end"/>
            </w:r>
          </w:hyperlink>
        </w:p>
        <w:p w14:paraId="3AEFA73C" w14:textId="783FD46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55" w:history="1">
            <w:r w:rsidRPr="00F45DCA">
              <w:rPr>
                <w:rStyle w:val="Lienhypertexte"/>
                <w:noProof/>
              </w:rPr>
              <w:t>21.62.1a Joints de dilatation CCTB 01.02</w:t>
            </w:r>
            <w:r>
              <w:rPr>
                <w:noProof/>
                <w:webHidden/>
              </w:rPr>
              <w:tab/>
            </w:r>
            <w:r>
              <w:rPr>
                <w:noProof/>
                <w:webHidden/>
              </w:rPr>
              <w:fldChar w:fldCharType="begin"/>
            </w:r>
            <w:r>
              <w:rPr>
                <w:noProof/>
                <w:webHidden/>
              </w:rPr>
              <w:instrText xml:space="preserve"> PAGEREF _Toc220495555 \h </w:instrText>
            </w:r>
            <w:r>
              <w:rPr>
                <w:noProof/>
                <w:webHidden/>
              </w:rPr>
            </w:r>
            <w:r>
              <w:rPr>
                <w:noProof/>
                <w:webHidden/>
              </w:rPr>
              <w:fldChar w:fldCharType="separate"/>
            </w:r>
            <w:r>
              <w:rPr>
                <w:noProof/>
                <w:webHidden/>
              </w:rPr>
              <w:t>451</w:t>
            </w:r>
            <w:r>
              <w:rPr>
                <w:noProof/>
                <w:webHidden/>
              </w:rPr>
              <w:fldChar w:fldCharType="end"/>
            </w:r>
          </w:hyperlink>
        </w:p>
        <w:p w14:paraId="16EF72D4" w14:textId="6F4D39E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56" w:history="1">
            <w:r w:rsidRPr="00F45DCA">
              <w:rPr>
                <w:rStyle w:val="Lienhypertexte"/>
                <w:noProof/>
              </w:rPr>
              <w:t>21.63 Joints de retrait CCTB 01.04</w:t>
            </w:r>
            <w:r>
              <w:rPr>
                <w:noProof/>
                <w:webHidden/>
              </w:rPr>
              <w:tab/>
            </w:r>
            <w:r>
              <w:rPr>
                <w:noProof/>
                <w:webHidden/>
              </w:rPr>
              <w:fldChar w:fldCharType="begin"/>
            </w:r>
            <w:r>
              <w:rPr>
                <w:noProof/>
                <w:webHidden/>
              </w:rPr>
              <w:instrText xml:space="preserve"> PAGEREF _Toc220495556 \h </w:instrText>
            </w:r>
            <w:r>
              <w:rPr>
                <w:noProof/>
                <w:webHidden/>
              </w:rPr>
            </w:r>
            <w:r>
              <w:rPr>
                <w:noProof/>
                <w:webHidden/>
              </w:rPr>
              <w:fldChar w:fldCharType="separate"/>
            </w:r>
            <w:r>
              <w:rPr>
                <w:noProof/>
                <w:webHidden/>
              </w:rPr>
              <w:t>451</w:t>
            </w:r>
            <w:r>
              <w:rPr>
                <w:noProof/>
                <w:webHidden/>
              </w:rPr>
              <w:fldChar w:fldCharType="end"/>
            </w:r>
          </w:hyperlink>
        </w:p>
        <w:p w14:paraId="7B14F42C" w14:textId="7C23AB9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57" w:history="1">
            <w:r w:rsidRPr="00F45DCA">
              <w:rPr>
                <w:rStyle w:val="Lienhypertexte"/>
                <w:noProof/>
              </w:rPr>
              <w:t>21.63.1 Joints de retrait CCTB 01.04</w:t>
            </w:r>
            <w:r>
              <w:rPr>
                <w:noProof/>
                <w:webHidden/>
              </w:rPr>
              <w:tab/>
            </w:r>
            <w:r>
              <w:rPr>
                <w:noProof/>
                <w:webHidden/>
              </w:rPr>
              <w:fldChar w:fldCharType="begin"/>
            </w:r>
            <w:r>
              <w:rPr>
                <w:noProof/>
                <w:webHidden/>
              </w:rPr>
              <w:instrText xml:space="preserve"> PAGEREF _Toc220495557 \h </w:instrText>
            </w:r>
            <w:r>
              <w:rPr>
                <w:noProof/>
                <w:webHidden/>
              </w:rPr>
            </w:r>
            <w:r>
              <w:rPr>
                <w:noProof/>
                <w:webHidden/>
              </w:rPr>
              <w:fldChar w:fldCharType="separate"/>
            </w:r>
            <w:r>
              <w:rPr>
                <w:noProof/>
                <w:webHidden/>
              </w:rPr>
              <w:t>451</w:t>
            </w:r>
            <w:r>
              <w:rPr>
                <w:noProof/>
                <w:webHidden/>
              </w:rPr>
              <w:fldChar w:fldCharType="end"/>
            </w:r>
          </w:hyperlink>
        </w:p>
        <w:p w14:paraId="6DE82EEC" w14:textId="1D58BF8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58" w:history="1">
            <w:r w:rsidRPr="00F45DCA">
              <w:rPr>
                <w:rStyle w:val="Lienhypertexte"/>
                <w:noProof/>
              </w:rPr>
              <w:t>21.63.1a Joints de retrait CCTB 01.04</w:t>
            </w:r>
            <w:r>
              <w:rPr>
                <w:noProof/>
                <w:webHidden/>
              </w:rPr>
              <w:tab/>
            </w:r>
            <w:r>
              <w:rPr>
                <w:noProof/>
                <w:webHidden/>
              </w:rPr>
              <w:fldChar w:fldCharType="begin"/>
            </w:r>
            <w:r>
              <w:rPr>
                <w:noProof/>
                <w:webHidden/>
              </w:rPr>
              <w:instrText xml:space="preserve"> PAGEREF _Toc220495558 \h </w:instrText>
            </w:r>
            <w:r>
              <w:rPr>
                <w:noProof/>
                <w:webHidden/>
              </w:rPr>
            </w:r>
            <w:r>
              <w:rPr>
                <w:noProof/>
                <w:webHidden/>
              </w:rPr>
              <w:fldChar w:fldCharType="separate"/>
            </w:r>
            <w:r>
              <w:rPr>
                <w:noProof/>
                <w:webHidden/>
              </w:rPr>
              <w:t>451</w:t>
            </w:r>
            <w:r>
              <w:rPr>
                <w:noProof/>
                <w:webHidden/>
              </w:rPr>
              <w:fldChar w:fldCharType="end"/>
            </w:r>
          </w:hyperlink>
        </w:p>
        <w:p w14:paraId="7F5D0625" w14:textId="673C4E1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59" w:history="1">
            <w:r w:rsidRPr="00F45DCA">
              <w:rPr>
                <w:rStyle w:val="Lienhypertexte"/>
                <w:noProof/>
              </w:rPr>
              <w:t>21.64 Joints de remplissage CCTB 01.04</w:t>
            </w:r>
            <w:r>
              <w:rPr>
                <w:noProof/>
                <w:webHidden/>
              </w:rPr>
              <w:tab/>
            </w:r>
            <w:r>
              <w:rPr>
                <w:noProof/>
                <w:webHidden/>
              </w:rPr>
              <w:fldChar w:fldCharType="begin"/>
            </w:r>
            <w:r>
              <w:rPr>
                <w:noProof/>
                <w:webHidden/>
              </w:rPr>
              <w:instrText xml:space="preserve"> PAGEREF _Toc220495559 \h </w:instrText>
            </w:r>
            <w:r>
              <w:rPr>
                <w:noProof/>
                <w:webHidden/>
              </w:rPr>
            </w:r>
            <w:r>
              <w:rPr>
                <w:noProof/>
                <w:webHidden/>
              </w:rPr>
              <w:fldChar w:fldCharType="separate"/>
            </w:r>
            <w:r>
              <w:rPr>
                <w:noProof/>
                <w:webHidden/>
              </w:rPr>
              <w:t>451</w:t>
            </w:r>
            <w:r>
              <w:rPr>
                <w:noProof/>
                <w:webHidden/>
              </w:rPr>
              <w:fldChar w:fldCharType="end"/>
            </w:r>
          </w:hyperlink>
        </w:p>
        <w:p w14:paraId="2EC1C7BB" w14:textId="29CB470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60" w:history="1">
            <w:r w:rsidRPr="00F45DCA">
              <w:rPr>
                <w:rStyle w:val="Lienhypertexte"/>
                <w:noProof/>
              </w:rPr>
              <w:t>21.64.1 Joints de remplissage CCTB 01.04</w:t>
            </w:r>
            <w:r>
              <w:rPr>
                <w:noProof/>
                <w:webHidden/>
              </w:rPr>
              <w:tab/>
            </w:r>
            <w:r>
              <w:rPr>
                <w:noProof/>
                <w:webHidden/>
              </w:rPr>
              <w:fldChar w:fldCharType="begin"/>
            </w:r>
            <w:r>
              <w:rPr>
                <w:noProof/>
                <w:webHidden/>
              </w:rPr>
              <w:instrText xml:space="preserve"> PAGEREF _Toc220495560 \h </w:instrText>
            </w:r>
            <w:r>
              <w:rPr>
                <w:noProof/>
                <w:webHidden/>
              </w:rPr>
            </w:r>
            <w:r>
              <w:rPr>
                <w:noProof/>
                <w:webHidden/>
              </w:rPr>
              <w:fldChar w:fldCharType="separate"/>
            </w:r>
            <w:r>
              <w:rPr>
                <w:noProof/>
                <w:webHidden/>
              </w:rPr>
              <w:t>451</w:t>
            </w:r>
            <w:r>
              <w:rPr>
                <w:noProof/>
                <w:webHidden/>
              </w:rPr>
              <w:fldChar w:fldCharType="end"/>
            </w:r>
          </w:hyperlink>
        </w:p>
        <w:p w14:paraId="5B182860" w14:textId="6198D17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61" w:history="1">
            <w:r w:rsidRPr="00F45DCA">
              <w:rPr>
                <w:rStyle w:val="Lienhypertexte"/>
                <w:noProof/>
              </w:rPr>
              <w:t>21.64.1a Joints de resserrage en mortier CCTB 01.04</w:t>
            </w:r>
            <w:r>
              <w:rPr>
                <w:noProof/>
                <w:webHidden/>
              </w:rPr>
              <w:tab/>
            </w:r>
            <w:r>
              <w:rPr>
                <w:noProof/>
                <w:webHidden/>
              </w:rPr>
              <w:fldChar w:fldCharType="begin"/>
            </w:r>
            <w:r>
              <w:rPr>
                <w:noProof/>
                <w:webHidden/>
              </w:rPr>
              <w:instrText xml:space="preserve"> PAGEREF _Toc220495561 \h </w:instrText>
            </w:r>
            <w:r>
              <w:rPr>
                <w:noProof/>
                <w:webHidden/>
              </w:rPr>
            </w:r>
            <w:r>
              <w:rPr>
                <w:noProof/>
                <w:webHidden/>
              </w:rPr>
              <w:fldChar w:fldCharType="separate"/>
            </w:r>
            <w:r>
              <w:rPr>
                <w:noProof/>
                <w:webHidden/>
              </w:rPr>
              <w:t>451</w:t>
            </w:r>
            <w:r>
              <w:rPr>
                <w:noProof/>
                <w:webHidden/>
              </w:rPr>
              <w:fldChar w:fldCharType="end"/>
            </w:r>
          </w:hyperlink>
        </w:p>
        <w:p w14:paraId="48D1C3BD" w14:textId="0AD681D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62" w:history="1">
            <w:r w:rsidRPr="00F45DCA">
              <w:rPr>
                <w:rStyle w:val="Lienhypertexte"/>
                <w:noProof/>
              </w:rPr>
              <w:t>21.64.1b Joints de resserrage autres qu'en mortier CCTB 01.04</w:t>
            </w:r>
            <w:r>
              <w:rPr>
                <w:noProof/>
                <w:webHidden/>
              </w:rPr>
              <w:tab/>
            </w:r>
            <w:r>
              <w:rPr>
                <w:noProof/>
                <w:webHidden/>
              </w:rPr>
              <w:fldChar w:fldCharType="begin"/>
            </w:r>
            <w:r>
              <w:rPr>
                <w:noProof/>
                <w:webHidden/>
              </w:rPr>
              <w:instrText xml:space="preserve"> PAGEREF _Toc220495562 \h </w:instrText>
            </w:r>
            <w:r>
              <w:rPr>
                <w:noProof/>
                <w:webHidden/>
              </w:rPr>
            </w:r>
            <w:r>
              <w:rPr>
                <w:noProof/>
                <w:webHidden/>
              </w:rPr>
              <w:fldChar w:fldCharType="separate"/>
            </w:r>
            <w:r>
              <w:rPr>
                <w:noProof/>
                <w:webHidden/>
              </w:rPr>
              <w:t>451</w:t>
            </w:r>
            <w:r>
              <w:rPr>
                <w:noProof/>
                <w:webHidden/>
              </w:rPr>
              <w:fldChar w:fldCharType="end"/>
            </w:r>
          </w:hyperlink>
        </w:p>
        <w:p w14:paraId="324F13D6" w14:textId="244EFAC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63" w:history="1">
            <w:r w:rsidRPr="00F45DCA">
              <w:rPr>
                <w:rStyle w:val="Lienhypertexte"/>
                <w:noProof/>
              </w:rPr>
              <w:t>21.65 Etanchéisation de joints CCTB 01.04</w:t>
            </w:r>
            <w:r>
              <w:rPr>
                <w:noProof/>
                <w:webHidden/>
              </w:rPr>
              <w:tab/>
            </w:r>
            <w:r>
              <w:rPr>
                <w:noProof/>
                <w:webHidden/>
              </w:rPr>
              <w:fldChar w:fldCharType="begin"/>
            </w:r>
            <w:r>
              <w:rPr>
                <w:noProof/>
                <w:webHidden/>
              </w:rPr>
              <w:instrText xml:space="preserve"> PAGEREF _Toc220495563 \h </w:instrText>
            </w:r>
            <w:r>
              <w:rPr>
                <w:noProof/>
                <w:webHidden/>
              </w:rPr>
            </w:r>
            <w:r>
              <w:rPr>
                <w:noProof/>
                <w:webHidden/>
              </w:rPr>
              <w:fldChar w:fldCharType="separate"/>
            </w:r>
            <w:r>
              <w:rPr>
                <w:noProof/>
                <w:webHidden/>
              </w:rPr>
              <w:t>452</w:t>
            </w:r>
            <w:r>
              <w:rPr>
                <w:noProof/>
                <w:webHidden/>
              </w:rPr>
              <w:fldChar w:fldCharType="end"/>
            </w:r>
          </w:hyperlink>
        </w:p>
        <w:p w14:paraId="1EB8BAFB" w14:textId="09B3724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64" w:history="1">
            <w:r w:rsidRPr="00F45DCA">
              <w:rPr>
                <w:rStyle w:val="Lienhypertexte"/>
                <w:noProof/>
              </w:rPr>
              <w:t>21.65.1 Etanchéisation de joints CCTB 01.10</w:t>
            </w:r>
            <w:r>
              <w:rPr>
                <w:noProof/>
                <w:webHidden/>
              </w:rPr>
              <w:tab/>
            </w:r>
            <w:r>
              <w:rPr>
                <w:noProof/>
                <w:webHidden/>
              </w:rPr>
              <w:fldChar w:fldCharType="begin"/>
            </w:r>
            <w:r>
              <w:rPr>
                <w:noProof/>
                <w:webHidden/>
              </w:rPr>
              <w:instrText xml:space="preserve"> PAGEREF _Toc220495564 \h </w:instrText>
            </w:r>
            <w:r>
              <w:rPr>
                <w:noProof/>
                <w:webHidden/>
              </w:rPr>
            </w:r>
            <w:r>
              <w:rPr>
                <w:noProof/>
                <w:webHidden/>
              </w:rPr>
              <w:fldChar w:fldCharType="separate"/>
            </w:r>
            <w:r>
              <w:rPr>
                <w:noProof/>
                <w:webHidden/>
              </w:rPr>
              <w:t>452</w:t>
            </w:r>
            <w:r>
              <w:rPr>
                <w:noProof/>
                <w:webHidden/>
              </w:rPr>
              <w:fldChar w:fldCharType="end"/>
            </w:r>
          </w:hyperlink>
        </w:p>
        <w:p w14:paraId="2FE9F88A" w14:textId="3CB688F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65" w:history="1">
            <w:r w:rsidRPr="00F45DCA">
              <w:rPr>
                <w:rStyle w:val="Lienhypertexte"/>
                <w:noProof/>
              </w:rPr>
              <w:t>21.65.1a Joints de calfeutrement CCTB 01.04</w:t>
            </w:r>
            <w:r>
              <w:rPr>
                <w:noProof/>
                <w:webHidden/>
              </w:rPr>
              <w:tab/>
            </w:r>
            <w:r>
              <w:rPr>
                <w:noProof/>
                <w:webHidden/>
              </w:rPr>
              <w:fldChar w:fldCharType="begin"/>
            </w:r>
            <w:r>
              <w:rPr>
                <w:noProof/>
                <w:webHidden/>
              </w:rPr>
              <w:instrText xml:space="preserve"> PAGEREF _Toc220495565 \h </w:instrText>
            </w:r>
            <w:r>
              <w:rPr>
                <w:noProof/>
                <w:webHidden/>
              </w:rPr>
            </w:r>
            <w:r>
              <w:rPr>
                <w:noProof/>
                <w:webHidden/>
              </w:rPr>
              <w:fldChar w:fldCharType="separate"/>
            </w:r>
            <w:r>
              <w:rPr>
                <w:noProof/>
                <w:webHidden/>
              </w:rPr>
              <w:t>452</w:t>
            </w:r>
            <w:r>
              <w:rPr>
                <w:noProof/>
                <w:webHidden/>
              </w:rPr>
              <w:fldChar w:fldCharType="end"/>
            </w:r>
          </w:hyperlink>
        </w:p>
        <w:p w14:paraId="3DF0994E" w14:textId="50C567A1"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566" w:history="1">
            <w:r w:rsidRPr="00F45DCA">
              <w:rPr>
                <w:rStyle w:val="Lienhypertexte"/>
                <w:noProof/>
              </w:rPr>
              <w:t>21.7 Traitements, protection et finition des maçonneries CCTB 01.04</w:t>
            </w:r>
            <w:r>
              <w:rPr>
                <w:noProof/>
                <w:webHidden/>
              </w:rPr>
              <w:tab/>
            </w:r>
            <w:r>
              <w:rPr>
                <w:noProof/>
                <w:webHidden/>
              </w:rPr>
              <w:fldChar w:fldCharType="begin"/>
            </w:r>
            <w:r>
              <w:rPr>
                <w:noProof/>
                <w:webHidden/>
              </w:rPr>
              <w:instrText xml:space="preserve"> PAGEREF _Toc220495566 \h </w:instrText>
            </w:r>
            <w:r>
              <w:rPr>
                <w:noProof/>
                <w:webHidden/>
              </w:rPr>
            </w:r>
            <w:r>
              <w:rPr>
                <w:noProof/>
                <w:webHidden/>
              </w:rPr>
              <w:fldChar w:fldCharType="separate"/>
            </w:r>
            <w:r>
              <w:rPr>
                <w:noProof/>
                <w:webHidden/>
              </w:rPr>
              <w:t>452</w:t>
            </w:r>
            <w:r>
              <w:rPr>
                <w:noProof/>
                <w:webHidden/>
              </w:rPr>
              <w:fldChar w:fldCharType="end"/>
            </w:r>
          </w:hyperlink>
        </w:p>
        <w:p w14:paraId="523610A3" w14:textId="7892B7D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67" w:history="1">
            <w:r w:rsidRPr="00F45DCA">
              <w:rPr>
                <w:rStyle w:val="Lienhypertexte"/>
                <w:noProof/>
              </w:rPr>
              <w:t>21.71 Traitements esthétiques ou de surface CCTB 01.07</w:t>
            </w:r>
            <w:r>
              <w:rPr>
                <w:noProof/>
                <w:webHidden/>
              </w:rPr>
              <w:tab/>
            </w:r>
            <w:r>
              <w:rPr>
                <w:noProof/>
                <w:webHidden/>
              </w:rPr>
              <w:fldChar w:fldCharType="begin"/>
            </w:r>
            <w:r>
              <w:rPr>
                <w:noProof/>
                <w:webHidden/>
              </w:rPr>
              <w:instrText xml:space="preserve"> PAGEREF _Toc220495567 \h </w:instrText>
            </w:r>
            <w:r>
              <w:rPr>
                <w:noProof/>
                <w:webHidden/>
              </w:rPr>
            </w:r>
            <w:r>
              <w:rPr>
                <w:noProof/>
                <w:webHidden/>
              </w:rPr>
              <w:fldChar w:fldCharType="separate"/>
            </w:r>
            <w:r>
              <w:rPr>
                <w:noProof/>
                <w:webHidden/>
              </w:rPr>
              <w:t>452</w:t>
            </w:r>
            <w:r>
              <w:rPr>
                <w:noProof/>
                <w:webHidden/>
              </w:rPr>
              <w:fldChar w:fldCharType="end"/>
            </w:r>
          </w:hyperlink>
        </w:p>
        <w:p w14:paraId="7F292C1B" w14:textId="1536AAA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68" w:history="1">
            <w:r w:rsidRPr="00F45DCA">
              <w:rPr>
                <w:rStyle w:val="Lienhypertexte"/>
                <w:noProof/>
              </w:rPr>
              <w:t>21.72 Revêtements de finition CCTB 01.10</w:t>
            </w:r>
            <w:r>
              <w:rPr>
                <w:noProof/>
                <w:webHidden/>
              </w:rPr>
              <w:tab/>
            </w:r>
            <w:r>
              <w:rPr>
                <w:noProof/>
                <w:webHidden/>
              </w:rPr>
              <w:fldChar w:fldCharType="begin"/>
            </w:r>
            <w:r>
              <w:rPr>
                <w:noProof/>
                <w:webHidden/>
              </w:rPr>
              <w:instrText xml:space="preserve"> PAGEREF _Toc220495568 \h </w:instrText>
            </w:r>
            <w:r>
              <w:rPr>
                <w:noProof/>
                <w:webHidden/>
              </w:rPr>
            </w:r>
            <w:r>
              <w:rPr>
                <w:noProof/>
                <w:webHidden/>
              </w:rPr>
              <w:fldChar w:fldCharType="separate"/>
            </w:r>
            <w:r>
              <w:rPr>
                <w:noProof/>
                <w:webHidden/>
              </w:rPr>
              <w:t>452</w:t>
            </w:r>
            <w:r>
              <w:rPr>
                <w:noProof/>
                <w:webHidden/>
              </w:rPr>
              <w:fldChar w:fldCharType="end"/>
            </w:r>
          </w:hyperlink>
        </w:p>
        <w:p w14:paraId="698E016A" w14:textId="4ED24B8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69" w:history="1">
            <w:r w:rsidRPr="00F45DCA">
              <w:rPr>
                <w:rStyle w:val="Lienhypertexte"/>
                <w:noProof/>
              </w:rPr>
              <w:t>21.73 Revêtements de protection CCTB 01.10</w:t>
            </w:r>
            <w:r>
              <w:rPr>
                <w:noProof/>
                <w:webHidden/>
              </w:rPr>
              <w:tab/>
            </w:r>
            <w:r>
              <w:rPr>
                <w:noProof/>
                <w:webHidden/>
              </w:rPr>
              <w:fldChar w:fldCharType="begin"/>
            </w:r>
            <w:r>
              <w:rPr>
                <w:noProof/>
                <w:webHidden/>
              </w:rPr>
              <w:instrText xml:space="preserve"> PAGEREF _Toc220495569 \h </w:instrText>
            </w:r>
            <w:r>
              <w:rPr>
                <w:noProof/>
                <w:webHidden/>
              </w:rPr>
            </w:r>
            <w:r>
              <w:rPr>
                <w:noProof/>
                <w:webHidden/>
              </w:rPr>
              <w:fldChar w:fldCharType="separate"/>
            </w:r>
            <w:r>
              <w:rPr>
                <w:noProof/>
                <w:webHidden/>
              </w:rPr>
              <w:t>452</w:t>
            </w:r>
            <w:r>
              <w:rPr>
                <w:noProof/>
                <w:webHidden/>
              </w:rPr>
              <w:fldChar w:fldCharType="end"/>
            </w:r>
          </w:hyperlink>
        </w:p>
        <w:p w14:paraId="07D93839" w14:textId="71B666B2"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570" w:history="1">
            <w:r w:rsidRPr="00F45DCA">
              <w:rPr>
                <w:rStyle w:val="Lienhypertexte"/>
                <w:noProof/>
              </w:rPr>
              <w:t>21.8 Superstructures en maçonnerie - Rénovation CCTB 01.11</w:t>
            </w:r>
            <w:r>
              <w:rPr>
                <w:noProof/>
                <w:webHidden/>
              </w:rPr>
              <w:tab/>
            </w:r>
            <w:r>
              <w:rPr>
                <w:noProof/>
                <w:webHidden/>
              </w:rPr>
              <w:fldChar w:fldCharType="begin"/>
            </w:r>
            <w:r>
              <w:rPr>
                <w:noProof/>
                <w:webHidden/>
              </w:rPr>
              <w:instrText xml:space="preserve"> PAGEREF _Toc220495570 \h </w:instrText>
            </w:r>
            <w:r>
              <w:rPr>
                <w:noProof/>
                <w:webHidden/>
              </w:rPr>
            </w:r>
            <w:r>
              <w:rPr>
                <w:noProof/>
                <w:webHidden/>
              </w:rPr>
              <w:fldChar w:fldCharType="separate"/>
            </w:r>
            <w:r>
              <w:rPr>
                <w:noProof/>
                <w:webHidden/>
              </w:rPr>
              <w:t>452</w:t>
            </w:r>
            <w:r>
              <w:rPr>
                <w:noProof/>
                <w:webHidden/>
              </w:rPr>
              <w:fldChar w:fldCharType="end"/>
            </w:r>
          </w:hyperlink>
        </w:p>
        <w:p w14:paraId="334E87B9" w14:textId="640BD1C7"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71" w:history="1">
            <w:r w:rsidRPr="00F45DCA">
              <w:rPr>
                <w:rStyle w:val="Lienhypertexte"/>
                <w:noProof/>
              </w:rPr>
              <w:t>21.81 Etudes et essais préliminaires CCTB 01.04</w:t>
            </w:r>
            <w:r>
              <w:rPr>
                <w:noProof/>
                <w:webHidden/>
              </w:rPr>
              <w:tab/>
            </w:r>
            <w:r>
              <w:rPr>
                <w:noProof/>
                <w:webHidden/>
              </w:rPr>
              <w:fldChar w:fldCharType="begin"/>
            </w:r>
            <w:r>
              <w:rPr>
                <w:noProof/>
                <w:webHidden/>
              </w:rPr>
              <w:instrText xml:space="preserve"> PAGEREF _Toc220495571 \h </w:instrText>
            </w:r>
            <w:r>
              <w:rPr>
                <w:noProof/>
                <w:webHidden/>
              </w:rPr>
            </w:r>
            <w:r>
              <w:rPr>
                <w:noProof/>
                <w:webHidden/>
              </w:rPr>
              <w:fldChar w:fldCharType="separate"/>
            </w:r>
            <w:r>
              <w:rPr>
                <w:noProof/>
                <w:webHidden/>
              </w:rPr>
              <w:t>453</w:t>
            </w:r>
            <w:r>
              <w:rPr>
                <w:noProof/>
                <w:webHidden/>
              </w:rPr>
              <w:fldChar w:fldCharType="end"/>
            </w:r>
          </w:hyperlink>
        </w:p>
        <w:p w14:paraId="66B993B4" w14:textId="07D35AD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72" w:history="1">
            <w:r w:rsidRPr="00F45DCA">
              <w:rPr>
                <w:rStyle w:val="Lienhypertexte"/>
                <w:noProof/>
              </w:rPr>
              <w:t>21.82 Déposes / démontages / percements / déconstructions-démolitions CCTB 01.04</w:t>
            </w:r>
            <w:r>
              <w:rPr>
                <w:noProof/>
                <w:webHidden/>
              </w:rPr>
              <w:tab/>
            </w:r>
            <w:r>
              <w:rPr>
                <w:noProof/>
                <w:webHidden/>
              </w:rPr>
              <w:fldChar w:fldCharType="begin"/>
            </w:r>
            <w:r>
              <w:rPr>
                <w:noProof/>
                <w:webHidden/>
              </w:rPr>
              <w:instrText xml:space="preserve"> PAGEREF _Toc220495572 \h </w:instrText>
            </w:r>
            <w:r>
              <w:rPr>
                <w:noProof/>
                <w:webHidden/>
              </w:rPr>
            </w:r>
            <w:r>
              <w:rPr>
                <w:noProof/>
                <w:webHidden/>
              </w:rPr>
              <w:fldChar w:fldCharType="separate"/>
            </w:r>
            <w:r>
              <w:rPr>
                <w:noProof/>
                <w:webHidden/>
              </w:rPr>
              <w:t>453</w:t>
            </w:r>
            <w:r>
              <w:rPr>
                <w:noProof/>
                <w:webHidden/>
              </w:rPr>
              <w:fldChar w:fldCharType="end"/>
            </w:r>
          </w:hyperlink>
        </w:p>
        <w:p w14:paraId="786455E0" w14:textId="56B7820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73" w:history="1">
            <w:r w:rsidRPr="00F45DCA">
              <w:rPr>
                <w:rStyle w:val="Lienhypertexte"/>
                <w:noProof/>
              </w:rPr>
              <w:t>21.82.1 Travaux de stabilisation CCTB 01.04</w:t>
            </w:r>
            <w:r>
              <w:rPr>
                <w:noProof/>
                <w:webHidden/>
              </w:rPr>
              <w:tab/>
            </w:r>
            <w:r>
              <w:rPr>
                <w:noProof/>
                <w:webHidden/>
              </w:rPr>
              <w:fldChar w:fldCharType="begin"/>
            </w:r>
            <w:r>
              <w:rPr>
                <w:noProof/>
                <w:webHidden/>
              </w:rPr>
              <w:instrText xml:space="preserve"> PAGEREF _Toc220495573 \h </w:instrText>
            </w:r>
            <w:r>
              <w:rPr>
                <w:noProof/>
                <w:webHidden/>
              </w:rPr>
            </w:r>
            <w:r>
              <w:rPr>
                <w:noProof/>
                <w:webHidden/>
              </w:rPr>
              <w:fldChar w:fldCharType="separate"/>
            </w:r>
            <w:r>
              <w:rPr>
                <w:noProof/>
                <w:webHidden/>
              </w:rPr>
              <w:t>453</w:t>
            </w:r>
            <w:r>
              <w:rPr>
                <w:noProof/>
                <w:webHidden/>
              </w:rPr>
              <w:fldChar w:fldCharType="end"/>
            </w:r>
          </w:hyperlink>
        </w:p>
        <w:p w14:paraId="3C3F6B62" w14:textId="1F32DF4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74" w:history="1">
            <w:r w:rsidRPr="00F45DCA">
              <w:rPr>
                <w:rStyle w:val="Lienhypertexte"/>
                <w:noProof/>
              </w:rPr>
              <w:t>21.82.2 Déposes d'éléments (pour repose ultérieure) CCTB 01.04</w:t>
            </w:r>
            <w:r>
              <w:rPr>
                <w:noProof/>
                <w:webHidden/>
              </w:rPr>
              <w:tab/>
            </w:r>
            <w:r>
              <w:rPr>
                <w:noProof/>
                <w:webHidden/>
              </w:rPr>
              <w:fldChar w:fldCharType="begin"/>
            </w:r>
            <w:r>
              <w:rPr>
                <w:noProof/>
                <w:webHidden/>
              </w:rPr>
              <w:instrText xml:space="preserve"> PAGEREF _Toc220495574 \h </w:instrText>
            </w:r>
            <w:r>
              <w:rPr>
                <w:noProof/>
                <w:webHidden/>
              </w:rPr>
            </w:r>
            <w:r>
              <w:rPr>
                <w:noProof/>
                <w:webHidden/>
              </w:rPr>
              <w:fldChar w:fldCharType="separate"/>
            </w:r>
            <w:r>
              <w:rPr>
                <w:noProof/>
                <w:webHidden/>
              </w:rPr>
              <w:t>453</w:t>
            </w:r>
            <w:r>
              <w:rPr>
                <w:noProof/>
                <w:webHidden/>
              </w:rPr>
              <w:fldChar w:fldCharType="end"/>
            </w:r>
          </w:hyperlink>
        </w:p>
        <w:p w14:paraId="680775ED" w14:textId="687A5DA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75" w:history="1">
            <w:r w:rsidRPr="00F45DCA">
              <w:rPr>
                <w:rStyle w:val="Lienhypertexte"/>
                <w:noProof/>
              </w:rPr>
              <w:t>21.82.3 Démontages d'éléments (pour récupération) CCTB 01.04</w:t>
            </w:r>
            <w:r>
              <w:rPr>
                <w:noProof/>
                <w:webHidden/>
              </w:rPr>
              <w:tab/>
            </w:r>
            <w:r>
              <w:rPr>
                <w:noProof/>
                <w:webHidden/>
              </w:rPr>
              <w:fldChar w:fldCharType="begin"/>
            </w:r>
            <w:r>
              <w:rPr>
                <w:noProof/>
                <w:webHidden/>
              </w:rPr>
              <w:instrText xml:space="preserve"> PAGEREF _Toc220495575 \h </w:instrText>
            </w:r>
            <w:r>
              <w:rPr>
                <w:noProof/>
                <w:webHidden/>
              </w:rPr>
            </w:r>
            <w:r>
              <w:rPr>
                <w:noProof/>
                <w:webHidden/>
              </w:rPr>
              <w:fldChar w:fldCharType="separate"/>
            </w:r>
            <w:r>
              <w:rPr>
                <w:noProof/>
                <w:webHidden/>
              </w:rPr>
              <w:t>453</w:t>
            </w:r>
            <w:r>
              <w:rPr>
                <w:noProof/>
                <w:webHidden/>
              </w:rPr>
              <w:fldChar w:fldCharType="end"/>
            </w:r>
          </w:hyperlink>
        </w:p>
        <w:p w14:paraId="0143F173" w14:textId="69C1EF6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76" w:history="1">
            <w:r w:rsidRPr="00F45DCA">
              <w:rPr>
                <w:rStyle w:val="Lienhypertexte"/>
                <w:noProof/>
              </w:rPr>
              <w:t>21.82.4 Décapages / déjointoiements / enlèvements (pour évacuation) CCTB 01.04</w:t>
            </w:r>
            <w:r>
              <w:rPr>
                <w:noProof/>
                <w:webHidden/>
              </w:rPr>
              <w:tab/>
            </w:r>
            <w:r>
              <w:rPr>
                <w:noProof/>
                <w:webHidden/>
              </w:rPr>
              <w:fldChar w:fldCharType="begin"/>
            </w:r>
            <w:r>
              <w:rPr>
                <w:noProof/>
                <w:webHidden/>
              </w:rPr>
              <w:instrText xml:space="preserve"> PAGEREF _Toc220495576 \h </w:instrText>
            </w:r>
            <w:r>
              <w:rPr>
                <w:noProof/>
                <w:webHidden/>
              </w:rPr>
            </w:r>
            <w:r>
              <w:rPr>
                <w:noProof/>
                <w:webHidden/>
              </w:rPr>
              <w:fldChar w:fldCharType="separate"/>
            </w:r>
            <w:r>
              <w:rPr>
                <w:noProof/>
                <w:webHidden/>
              </w:rPr>
              <w:t>453</w:t>
            </w:r>
            <w:r>
              <w:rPr>
                <w:noProof/>
                <w:webHidden/>
              </w:rPr>
              <w:fldChar w:fldCharType="end"/>
            </w:r>
          </w:hyperlink>
        </w:p>
        <w:p w14:paraId="26926EEB" w14:textId="201E4C1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77" w:history="1">
            <w:r w:rsidRPr="00F45DCA">
              <w:rPr>
                <w:rStyle w:val="Lienhypertexte"/>
                <w:noProof/>
              </w:rPr>
              <w:t>21.82.5 Percements / carottages CCTB 01.04</w:t>
            </w:r>
            <w:r>
              <w:rPr>
                <w:noProof/>
                <w:webHidden/>
              </w:rPr>
              <w:tab/>
            </w:r>
            <w:r>
              <w:rPr>
                <w:noProof/>
                <w:webHidden/>
              </w:rPr>
              <w:fldChar w:fldCharType="begin"/>
            </w:r>
            <w:r>
              <w:rPr>
                <w:noProof/>
                <w:webHidden/>
              </w:rPr>
              <w:instrText xml:space="preserve"> PAGEREF _Toc220495577 \h </w:instrText>
            </w:r>
            <w:r>
              <w:rPr>
                <w:noProof/>
                <w:webHidden/>
              </w:rPr>
            </w:r>
            <w:r>
              <w:rPr>
                <w:noProof/>
                <w:webHidden/>
              </w:rPr>
              <w:fldChar w:fldCharType="separate"/>
            </w:r>
            <w:r>
              <w:rPr>
                <w:noProof/>
                <w:webHidden/>
              </w:rPr>
              <w:t>453</w:t>
            </w:r>
            <w:r>
              <w:rPr>
                <w:noProof/>
                <w:webHidden/>
              </w:rPr>
              <w:fldChar w:fldCharType="end"/>
            </w:r>
          </w:hyperlink>
        </w:p>
        <w:p w14:paraId="5AB5F24E" w14:textId="33F46DA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78" w:history="1">
            <w:r w:rsidRPr="00F45DCA">
              <w:rPr>
                <w:rStyle w:val="Lienhypertexte"/>
                <w:noProof/>
              </w:rPr>
              <w:t>21.82.6 Déconstructions / démolitions (pour évacuation) CCTB 01.04</w:t>
            </w:r>
            <w:r>
              <w:rPr>
                <w:noProof/>
                <w:webHidden/>
              </w:rPr>
              <w:tab/>
            </w:r>
            <w:r>
              <w:rPr>
                <w:noProof/>
                <w:webHidden/>
              </w:rPr>
              <w:fldChar w:fldCharType="begin"/>
            </w:r>
            <w:r>
              <w:rPr>
                <w:noProof/>
                <w:webHidden/>
              </w:rPr>
              <w:instrText xml:space="preserve"> PAGEREF _Toc220495578 \h </w:instrText>
            </w:r>
            <w:r>
              <w:rPr>
                <w:noProof/>
                <w:webHidden/>
              </w:rPr>
            </w:r>
            <w:r>
              <w:rPr>
                <w:noProof/>
                <w:webHidden/>
              </w:rPr>
              <w:fldChar w:fldCharType="separate"/>
            </w:r>
            <w:r>
              <w:rPr>
                <w:noProof/>
                <w:webHidden/>
              </w:rPr>
              <w:t>453</w:t>
            </w:r>
            <w:r>
              <w:rPr>
                <w:noProof/>
                <w:webHidden/>
              </w:rPr>
              <w:fldChar w:fldCharType="end"/>
            </w:r>
          </w:hyperlink>
        </w:p>
        <w:p w14:paraId="111D83E0" w14:textId="1BD81F6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79" w:history="1">
            <w:r w:rsidRPr="00F45DCA">
              <w:rPr>
                <w:rStyle w:val="Lienhypertexte"/>
                <w:noProof/>
              </w:rPr>
              <w:t>21.82.7 Peignages préliminaires des parements CCTB 01.04</w:t>
            </w:r>
            <w:r>
              <w:rPr>
                <w:noProof/>
                <w:webHidden/>
              </w:rPr>
              <w:tab/>
            </w:r>
            <w:r>
              <w:rPr>
                <w:noProof/>
                <w:webHidden/>
              </w:rPr>
              <w:fldChar w:fldCharType="begin"/>
            </w:r>
            <w:r>
              <w:rPr>
                <w:noProof/>
                <w:webHidden/>
              </w:rPr>
              <w:instrText xml:space="preserve"> PAGEREF _Toc220495579 \h </w:instrText>
            </w:r>
            <w:r>
              <w:rPr>
                <w:noProof/>
                <w:webHidden/>
              </w:rPr>
            </w:r>
            <w:r>
              <w:rPr>
                <w:noProof/>
                <w:webHidden/>
              </w:rPr>
              <w:fldChar w:fldCharType="separate"/>
            </w:r>
            <w:r>
              <w:rPr>
                <w:noProof/>
                <w:webHidden/>
              </w:rPr>
              <w:t>454</w:t>
            </w:r>
            <w:r>
              <w:rPr>
                <w:noProof/>
                <w:webHidden/>
              </w:rPr>
              <w:fldChar w:fldCharType="end"/>
            </w:r>
          </w:hyperlink>
        </w:p>
        <w:p w14:paraId="3458E8F7" w14:textId="49C8942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80" w:history="1">
            <w:r w:rsidRPr="00F45DCA">
              <w:rPr>
                <w:rStyle w:val="Lienhypertexte"/>
                <w:noProof/>
              </w:rPr>
              <w:t>21.82.7a Peignages préliminaires des parements CCTB 01.04</w:t>
            </w:r>
            <w:r>
              <w:rPr>
                <w:noProof/>
                <w:webHidden/>
              </w:rPr>
              <w:tab/>
            </w:r>
            <w:r>
              <w:rPr>
                <w:noProof/>
                <w:webHidden/>
              </w:rPr>
              <w:fldChar w:fldCharType="begin"/>
            </w:r>
            <w:r>
              <w:rPr>
                <w:noProof/>
                <w:webHidden/>
              </w:rPr>
              <w:instrText xml:space="preserve"> PAGEREF _Toc220495580 \h </w:instrText>
            </w:r>
            <w:r>
              <w:rPr>
                <w:noProof/>
                <w:webHidden/>
              </w:rPr>
            </w:r>
            <w:r>
              <w:rPr>
                <w:noProof/>
                <w:webHidden/>
              </w:rPr>
              <w:fldChar w:fldCharType="separate"/>
            </w:r>
            <w:r>
              <w:rPr>
                <w:noProof/>
                <w:webHidden/>
              </w:rPr>
              <w:t>454</w:t>
            </w:r>
            <w:r>
              <w:rPr>
                <w:noProof/>
                <w:webHidden/>
              </w:rPr>
              <w:fldChar w:fldCharType="end"/>
            </w:r>
          </w:hyperlink>
        </w:p>
        <w:p w14:paraId="51EE153C" w14:textId="408C965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81" w:history="1">
            <w:r w:rsidRPr="00F45DCA">
              <w:rPr>
                <w:rStyle w:val="Lienhypertexte"/>
                <w:noProof/>
              </w:rPr>
              <w:t>21.82.8 Entailles, tranchées, trous, calfeutrements et raccords CCTB 01.04</w:t>
            </w:r>
            <w:r>
              <w:rPr>
                <w:noProof/>
                <w:webHidden/>
              </w:rPr>
              <w:tab/>
            </w:r>
            <w:r>
              <w:rPr>
                <w:noProof/>
                <w:webHidden/>
              </w:rPr>
              <w:fldChar w:fldCharType="begin"/>
            </w:r>
            <w:r>
              <w:rPr>
                <w:noProof/>
                <w:webHidden/>
              </w:rPr>
              <w:instrText xml:space="preserve"> PAGEREF _Toc220495581 \h </w:instrText>
            </w:r>
            <w:r>
              <w:rPr>
                <w:noProof/>
                <w:webHidden/>
              </w:rPr>
            </w:r>
            <w:r>
              <w:rPr>
                <w:noProof/>
                <w:webHidden/>
              </w:rPr>
              <w:fldChar w:fldCharType="separate"/>
            </w:r>
            <w:r>
              <w:rPr>
                <w:noProof/>
                <w:webHidden/>
              </w:rPr>
              <w:t>454</w:t>
            </w:r>
            <w:r>
              <w:rPr>
                <w:noProof/>
                <w:webHidden/>
              </w:rPr>
              <w:fldChar w:fldCharType="end"/>
            </w:r>
          </w:hyperlink>
        </w:p>
        <w:p w14:paraId="35B17FE8" w14:textId="046F86B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82" w:history="1">
            <w:r w:rsidRPr="00F45DCA">
              <w:rPr>
                <w:rStyle w:val="Lienhypertexte"/>
                <w:noProof/>
              </w:rPr>
              <w:t>21.82.8a Travaux préparatoires pour éléments structuraux CCTB 01.04</w:t>
            </w:r>
            <w:r>
              <w:rPr>
                <w:noProof/>
                <w:webHidden/>
              </w:rPr>
              <w:tab/>
            </w:r>
            <w:r>
              <w:rPr>
                <w:noProof/>
                <w:webHidden/>
              </w:rPr>
              <w:fldChar w:fldCharType="begin"/>
            </w:r>
            <w:r>
              <w:rPr>
                <w:noProof/>
                <w:webHidden/>
              </w:rPr>
              <w:instrText xml:space="preserve"> PAGEREF _Toc220495582 \h </w:instrText>
            </w:r>
            <w:r>
              <w:rPr>
                <w:noProof/>
                <w:webHidden/>
              </w:rPr>
            </w:r>
            <w:r>
              <w:rPr>
                <w:noProof/>
                <w:webHidden/>
              </w:rPr>
              <w:fldChar w:fldCharType="separate"/>
            </w:r>
            <w:r>
              <w:rPr>
                <w:noProof/>
                <w:webHidden/>
              </w:rPr>
              <w:t>454</w:t>
            </w:r>
            <w:r>
              <w:rPr>
                <w:noProof/>
                <w:webHidden/>
              </w:rPr>
              <w:fldChar w:fldCharType="end"/>
            </w:r>
          </w:hyperlink>
        </w:p>
        <w:p w14:paraId="7584AA57" w14:textId="54FABDD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83" w:history="1">
            <w:r w:rsidRPr="00F45DCA">
              <w:rPr>
                <w:rStyle w:val="Lienhypertexte"/>
                <w:noProof/>
              </w:rPr>
              <w:t>21.82.8b Travaux préparatoires pour menuiseries extérieures CCTB 01.04</w:t>
            </w:r>
            <w:r>
              <w:rPr>
                <w:noProof/>
                <w:webHidden/>
              </w:rPr>
              <w:tab/>
            </w:r>
            <w:r>
              <w:rPr>
                <w:noProof/>
                <w:webHidden/>
              </w:rPr>
              <w:fldChar w:fldCharType="begin"/>
            </w:r>
            <w:r>
              <w:rPr>
                <w:noProof/>
                <w:webHidden/>
              </w:rPr>
              <w:instrText xml:space="preserve"> PAGEREF _Toc220495583 \h </w:instrText>
            </w:r>
            <w:r>
              <w:rPr>
                <w:noProof/>
                <w:webHidden/>
              </w:rPr>
            </w:r>
            <w:r>
              <w:rPr>
                <w:noProof/>
                <w:webHidden/>
              </w:rPr>
              <w:fldChar w:fldCharType="separate"/>
            </w:r>
            <w:r>
              <w:rPr>
                <w:noProof/>
                <w:webHidden/>
              </w:rPr>
              <w:t>454</w:t>
            </w:r>
            <w:r>
              <w:rPr>
                <w:noProof/>
                <w:webHidden/>
              </w:rPr>
              <w:fldChar w:fldCharType="end"/>
            </w:r>
          </w:hyperlink>
        </w:p>
        <w:p w14:paraId="7D87BB3F" w14:textId="0A43251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84" w:history="1">
            <w:r w:rsidRPr="00F45DCA">
              <w:rPr>
                <w:rStyle w:val="Lienhypertexte"/>
                <w:noProof/>
              </w:rPr>
              <w:t>21.82.8c Travaux préparatoires pour électricité / fluides CCTB 01.04</w:t>
            </w:r>
            <w:r>
              <w:rPr>
                <w:noProof/>
                <w:webHidden/>
              </w:rPr>
              <w:tab/>
            </w:r>
            <w:r>
              <w:rPr>
                <w:noProof/>
                <w:webHidden/>
              </w:rPr>
              <w:fldChar w:fldCharType="begin"/>
            </w:r>
            <w:r>
              <w:rPr>
                <w:noProof/>
                <w:webHidden/>
              </w:rPr>
              <w:instrText xml:space="preserve"> PAGEREF _Toc220495584 \h </w:instrText>
            </w:r>
            <w:r>
              <w:rPr>
                <w:noProof/>
                <w:webHidden/>
              </w:rPr>
            </w:r>
            <w:r>
              <w:rPr>
                <w:noProof/>
                <w:webHidden/>
              </w:rPr>
              <w:fldChar w:fldCharType="separate"/>
            </w:r>
            <w:r>
              <w:rPr>
                <w:noProof/>
                <w:webHidden/>
              </w:rPr>
              <w:t>454</w:t>
            </w:r>
            <w:r>
              <w:rPr>
                <w:noProof/>
                <w:webHidden/>
              </w:rPr>
              <w:fldChar w:fldCharType="end"/>
            </w:r>
          </w:hyperlink>
        </w:p>
        <w:p w14:paraId="5B27529A" w14:textId="3881FA8D"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585" w:history="1">
            <w:r w:rsidRPr="00F45DCA">
              <w:rPr>
                <w:rStyle w:val="Lienhypertexte"/>
                <w:noProof/>
              </w:rPr>
              <w:t>21.83 Réparations / ragréages / rénovations CCTB 01.12</w:t>
            </w:r>
            <w:r>
              <w:rPr>
                <w:noProof/>
                <w:webHidden/>
              </w:rPr>
              <w:tab/>
            </w:r>
            <w:r>
              <w:rPr>
                <w:noProof/>
                <w:webHidden/>
              </w:rPr>
              <w:fldChar w:fldCharType="begin"/>
            </w:r>
            <w:r>
              <w:rPr>
                <w:noProof/>
                <w:webHidden/>
              </w:rPr>
              <w:instrText xml:space="preserve"> PAGEREF _Toc220495585 \h </w:instrText>
            </w:r>
            <w:r>
              <w:rPr>
                <w:noProof/>
                <w:webHidden/>
              </w:rPr>
            </w:r>
            <w:r>
              <w:rPr>
                <w:noProof/>
                <w:webHidden/>
              </w:rPr>
              <w:fldChar w:fldCharType="separate"/>
            </w:r>
            <w:r>
              <w:rPr>
                <w:noProof/>
                <w:webHidden/>
              </w:rPr>
              <w:t>454</w:t>
            </w:r>
            <w:r>
              <w:rPr>
                <w:noProof/>
                <w:webHidden/>
              </w:rPr>
              <w:fldChar w:fldCharType="end"/>
            </w:r>
          </w:hyperlink>
        </w:p>
        <w:p w14:paraId="0E98BB62" w14:textId="581E14F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86" w:history="1">
            <w:r w:rsidRPr="00F45DCA">
              <w:rPr>
                <w:rStyle w:val="Lienhypertexte"/>
                <w:noProof/>
              </w:rPr>
              <w:t>21.83.1 Ragréages de zones de maçonneries délabrées sans remplacement de matériaux (démontage + remontage) CCTB 01.04</w:t>
            </w:r>
            <w:r>
              <w:rPr>
                <w:noProof/>
                <w:webHidden/>
              </w:rPr>
              <w:tab/>
            </w:r>
            <w:r>
              <w:rPr>
                <w:noProof/>
                <w:webHidden/>
              </w:rPr>
              <w:fldChar w:fldCharType="begin"/>
            </w:r>
            <w:r>
              <w:rPr>
                <w:noProof/>
                <w:webHidden/>
              </w:rPr>
              <w:instrText xml:space="preserve"> PAGEREF _Toc220495586 \h </w:instrText>
            </w:r>
            <w:r>
              <w:rPr>
                <w:noProof/>
                <w:webHidden/>
              </w:rPr>
            </w:r>
            <w:r>
              <w:rPr>
                <w:noProof/>
                <w:webHidden/>
              </w:rPr>
              <w:fldChar w:fldCharType="separate"/>
            </w:r>
            <w:r>
              <w:rPr>
                <w:noProof/>
                <w:webHidden/>
              </w:rPr>
              <w:t>454</w:t>
            </w:r>
            <w:r>
              <w:rPr>
                <w:noProof/>
                <w:webHidden/>
              </w:rPr>
              <w:fldChar w:fldCharType="end"/>
            </w:r>
          </w:hyperlink>
        </w:p>
        <w:p w14:paraId="1459657D" w14:textId="23CE63B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87" w:history="1">
            <w:r w:rsidRPr="00F45DCA">
              <w:rPr>
                <w:rStyle w:val="Lienhypertexte"/>
                <w:noProof/>
              </w:rPr>
              <w:t>21.83.1a Ragréages de zones de maçonneries en briques de terre cuite délabrées sans remplacement de matériaux CCTB 01.04</w:t>
            </w:r>
            <w:r>
              <w:rPr>
                <w:noProof/>
                <w:webHidden/>
              </w:rPr>
              <w:tab/>
            </w:r>
            <w:r>
              <w:rPr>
                <w:noProof/>
                <w:webHidden/>
              </w:rPr>
              <w:fldChar w:fldCharType="begin"/>
            </w:r>
            <w:r>
              <w:rPr>
                <w:noProof/>
                <w:webHidden/>
              </w:rPr>
              <w:instrText xml:space="preserve"> PAGEREF _Toc220495587 \h </w:instrText>
            </w:r>
            <w:r>
              <w:rPr>
                <w:noProof/>
                <w:webHidden/>
              </w:rPr>
            </w:r>
            <w:r>
              <w:rPr>
                <w:noProof/>
                <w:webHidden/>
              </w:rPr>
              <w:fldChar w:fldCharType="separate"/>
            </w:r>
            <w:r>
              <w:rPr>
                <w:noProof/>
                <w:webHidden/>
              </w:rPr>
              <w:t>454</w:t>
            </w:r>
            <w:r>
              <w:rPr>
                <w:noProof/>
                <w:webHidden/>
              </w:rPr>
              <w:fldChar w:fldCharType="end"/>
            </w:r>
          </w:hyperlink>
        </w:p>
        <w:p w14:paraId="44971971" w14:textId="663CD93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88" w:history="1">
            <w:r w:rsidRPr="00F45DCA">
              <w:rPr>
                <w:rStyle w:val="Lienhypertexte"/>
                <w:noProof/>
              </w:rPr>
              <w:t>21.83.1b Ragréages de zones de maçonneries en blocs / briques de béton délabrées sans remplacement de matériaux CCTB 01.04</w:t>
            </w:r>
            <w:r>
              <w:rPr>
                <w:noProof/>
                <w:webHidden/>
              </w:rPr>
              <w:tab/>
            </w:r>
            <w:r>
              <w:rPr>
                <w:noProof/>
                <w:webHidden/>
              </w:rPr>
              <w:fldChar w:fldCharType="begin"/>
            </w:r>
            <w:r>
              <w:rPr>
                <w:noProof/>
                <w:webHidden/>
              </w:rPr>
              <w:instrText xml:space="preserve"> PAGEREF _Toc220495588 \h </w:instrText>
            </w:r>
            <w:r>
              <w:rPr>
                <w:noProof/>
                <w:webHidden/>
              </w:rPr>
            </w:r>
            <w:r>
              <w:rPr>
                <w:noProof/>
                <w:webHidden/>
              </w:rPr>
              <w:fldChar w:fldCharType="separate"/>
            </w:r>
            <w:r>
              <w:rPr>
                <w:noProof/>
                <w:webHidden/>
              </w:rPr>
              <w:t>454</w:t>
            </w:r>
            <w:r>
              <w:rPr>
                <w:noProof/>
                <w:webHidden/>
              </w:rPr>
              <w:fldChar w:fldCharType="end"/>
            </w:r>
          </w:hyperlink>
        </w:p>
        <w:p w14:paraId="73B7E442" w14:textId="179D736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89" w:history="1">
            <w:r w:rsidRPr="00F45DCA">
              <w:rPr>
                <w:rStyle w:val="Lienhypertexte"/>
                <w:noProof/>
              </w:rPr>
              <w:t>21.83.1c Ragréages de zones de maçonneries en pierres naturelles délabrées sans remplacement de matériaux CCTB 01.04</w:t>
            </w:r>
            <w:r>
              <w:rPr>
                <w:noProof/>
                <w:webHidden/>
              </w:rPr>
              <w:tab/>
            </w:r>
            <w:r>
              <w:rPr>
                <w:noProof/>
                <w:webHidden/>
              </w:rPr>
              <w:fldChar w:fldCharType="begin"/>
            </w:r>
            <w:r>
              <w:rPr>
                <w:noProof/>
                <w:webHidden/>
              </w:rPr>
              <w:instrText xml:space="preserve"> PAGEREF _Toc220495589 \h </w:instrText>
            </w:r>
            <w:r>
              <w:rPr>
                <w:noProof/>
                <w:webHidden/>
              </w:rPr>
            </w:r>
            <w:r>
              <w:rPr>
                <w:noProof/>
                <w:webHidden/>
              </w:rPr>
              <w:fldChar w:fldCharType="separate"/>
            </w:r>
            <w:r>
              <w:rPr>
                <w:noProof/>
                <w:webHidden/>
              </w:rPr>
              <w:t>454</w:t>
            </w:r>
            <w:r>
              <w:rPr>
                <w:noProof/>
                <w:webHidden/>
              </w:rPr>
              <w:fldChar w:fldCharType="end"/>
            </w:r>
          </w:hyperlink>
        </w:p>
        <w:p w14:paraId="70BC9A81" w14:textId="3DF5B76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90" w:history="1">
            <w:r w:rsidRPr="00F45DCA">
              <w:rPr>
                <w:rStyle w:val="Lienhypertexte"/>
                <w:noProof/>
              </w:rPr>
              <w:t>21.83.2 Ragréages de zones de maçonneries délabrées avec remplacement partiel de matériaux (démontage + remontage + remplacement partiel) CCTB 01.04</w:t>
            </w:r>
            <w:r>
              <w:rPr>
                <w:noProof/>
                <w:webHidden/>
              </w:rPr>
              <w:tab/>
            </w:r>
            <w:r>
              <w:rPr>
                <w:noProof/>
                <w:webHidden/>
              </w:rPr>
              <w:fldChar w:fldCharType="begin"/>
            </w:r>
            <w:r>
              <w:rPr>
                <w:noProof/>
                <w:webHidden/>
              </w:rPr>
              <w:instrText xml:space="preserve"> PAGEREF _Toc220495590 \h </w:instrText>
            </w:r>
            <w:r>
              <w:rPr>
                <w:noProof/>
                <w:webHidden/>
              </w:rPr>
            </w:r>
            <w:r>
              <w:rPr>
                <w:noProof/>
                <w:webHidden/>
              </w:rPr>
              <w:fldChar w:fldCharType="separate"/>
            </w:r>
            <w:r>
              <w:rPr>
                <w:noProof/>
                <w:webHidden/>
              </w:rPr>
              <w:t>454</w:t>
            </w:r>
            <w:r>
              <w:rPr>
                <w:noProof/>
                <w:webHidden/>
              </w:rPr>
              <w:fldChar w:fldCharType="end"/>
            </w:r>
          </w:hyperlink>
        </w:p>
        <w:p w14:paraId="0E8041AD" w14:textId="5BF693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91" w:history="1">
            <w:r w:rsidRPr="00F45DCA">
              <w:rPr>
                <w:rStyle w:val="Lienhypertexte"/>
                <w:noProof/>
              </w:rPr>
              <w:t>21.83.2a Ragréages de zones de maçonneries en briques de terre cuite délabrées avec remplacement de matériaux CCTB 01.04</w:t>
            </w:r>
            <w:r>
              <w:rPr>
                <w:noProof/>
                <w:webHidden/>
              </w:rPr>
              <w:tab/>
            </w:r>
            <w:r>
              <w:rPr>
                <w:noProof/>
                <w:webHidden/>
              </w:rPr>
              <w:fldChar w:fldCharType="begin"/>
            </w:r>
            <w:r>
              <w:rPr>
                <w:noProof/>
                <w:webHidden/>
              </w:rPr>
              <w:instrText xml:space="preserve"> PAGEREF _Toc220495591 \h </w:instrText>
            </w:r>
            <w:r>
              <w:rPr>
                <w:noProof/>
                <w:webHidden/>
              </w:rPr>
            </w:r>
            <w:r>
              <w:rPr>
                <w:noProof/>
                <w:webHidden/>
              </w:rPr>
              <w:fldChar w:fldCharType="separate"/>
            </w:r>
            <w:r>
              <w:rPr>
                <w:noProof/>
                <w:webHidden/>
              </w:rPr>
              <w:t>454</w:t>
            </w:r>
            <w:r>
              <w:rPr>
                <w:noProof/>
                <w:webHidden/>
              </w:rPr>
              <w:fldChar w:fldCharType="end"/>
            </w:r>
          </w:hyperlink>
        </w:p>
        <w:p w14:paraId="6964323B" w14:textId="5FF539D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92" w:history="1">
            <w:r w:rsidRPr="00F45DCA">
              <w:rPr>
                <w:rStyle w:val="Lienhypertexte"/>
                <w:noProof/>
              </w:rPr>
              <w:t>21.83.2b Ragréages de zones de maçonneries en blocs / briques de béton délabrées avec remplacement de matériaux CCTB 01.04</w:t>
            </w:r>
            <w:r>
              <w:rPr>
                <w:noProof/>
                <w:webHidden/>
              </w:rPr>
              <w:tab/>
            </w:r>
            <w:r>
              <w:rPr>
                <w:noProof/>
                <w:webHidden/>
              </w:rPr>
              <w:fldChar w:fldCharType="begin"/>
            </w:r>
            <w:r>
              <w:rPr>
                <w:noProof/>
                <w:webHidden/>
              </w:rPr>
              <w:instrText xml:space="preserve"> PAGEREF _Toc220495592 \h </w:instrText>
            </w:r>
            <w:r>
              <w:rPr>
                <w:noProof/>
                <w:webHidden/>
              </w:rPr>
            </w:r>
            <w:r>
              <w:rPr>
                <w:noProof/>
                <w:webHidden/>
              </w:rPr>
              <w:fldChar w:fldCharType="separate"/>
            </w:r>
            <w:r>
              <w:rPr>
                <w:noProof/>
                <w:webHidden/>
              </w:rPr>
              <w:t>454</w:t>
            </w:r>
            <w:r>
              <w:rPr>
                <w:noProof/>
                <w:webHidden/>
              </w:rPr>
              <w:fldChar w:fldCharType="end"/>
            </w:r>
          </w:hyperlink>
        </w:p>
        <w:p w14:paraId="43E7FDF7" w14:textId="6FA72E5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93" w:history="1">
            <w:r w:rsidRPr="00F45DCA">
              <w:rPr>
                <w:rStyle w:val="Lienhypertexte"/>
                <w:noProof/>
              </w:rPr>
              <w:t>21.83.2c Ragréages de zones de maçonneries en pierres naturelles délabrées avec remplacement de matériaux CCTB 01.04</w:t>
            </w:r>
            <w:r>
              <w:rPr>
                <w:noProof/>
                <w:webHidden/>
              </w:rPr>
              <w:tab/>
            </w:r>
            <w:r>
              <w:rPr>
                <w:noProof/>
                <w:webHidden/>
              </w:rPr>
              <w:fldChar w:fldCharType="begin"/>
            </w:r>
            <w:r>
              <w:rPr>
                <w:noProof/>
                <w:webHidden/>
              </w:rPr>
              <w:instrText xml:space="preserve"> PAGEREF _Toc220495593 \h </w:instrText>
            </w:r>
            <w:r>
              <w:rPr>
                <w:noProof/>
                <w:webHidden/>
              </w:rPr>
            </w:r>
            <w:r>
              <w:rPr>
                <w:noProof/>
                <w:webHidden/>
              </w:rPr>
              <w:fldChar w:fldCharType="separate"/>
            </w:r>
            <w:r>
              <w:rPr>
                <w:noProof/>
                <w:webHidden/>
              </w:rPr>
              <w:t>454</w:t>
            </w:r>
            <w:r>
              <w:rPr>
                <w:noProof/>
                <w:webHidden/>
              </w:rPr>
              <w:fldChar w:fldCharType="end"/>
            </w:r>
          </w:hyperlink>
        </w:p>
        <w:p w14:paraId="3606C239" w14:textId="53F2514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94" w:history="1">
            <w:r w:rsidRPr="00F45DCA">
              <w:rPr>
                <w:rStyle w:val="Lienhypertexte"/>
                <w:noProof/>
              </w:rPr>
              <w:t>21.83.3 Ragréages locaux d'éléments par mortier de réparation minéral CCTB 01.04</w:t>
            </w:r>
            <w:r>
              <w:rPr>
                <w:noProof/>
                <w:webHidden/>
              </w:rPr>
              <w:tab/>
            </w:r>
            <w:r>
              <w:rPr>
                <w:noProof/>
                <w:webHidden/>
              </w:rPr>
              <w:fldChar w:fldCharType="begin"/>
            </w:r>
            <w:r>
              <w:rPr>
                <w:noProof/>
                <w:webHidden/>
              </w:rPr>
              <w:instrText xml:space="preserve"> PAGEREF _Toc220495594 \h </w:instrText>
            </w:r>
            <w:r>
              <w:rPr>
                <w:noProof/>
                <w:webHidden/>
              </w:rPr>
            </w:r>
            <w:r>
              <w:rPr>
                <w:noProof/>
                <w:webHidden/>
              </w:rPr>
              <w:fldChar w:fldCharType="separate"/>
            </w:r>
            <w:r>
              <w:rPr>
                <w:noProof/>
                <w:webHidden/>
              </w:rPr>
              <w:t>454</w:t>
            </w:r>
            <w:r>
              <w:rPr>
                <w:noProof/>
                <w:webHidden/>
              </w:rPr>
              <w:fldChar w:fldCharType="end"/>
            </w:r>
          </w:hyperlink>
        </w:p>
        <w:p w14:paraId="3C55E836" w14:textId="2614AD8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95" w:history="1">
            <w:r w:rsidRPr="00F45DCA">
              <w:rPr>
                <w:rStyle w:val="Lienhypertexte"/>
                <w:noProof/>
              </w:rPr>
              <w:t>21.83.3a Ragréages locaux d'éléments en briques de terre cuite par mortier de réparation minéral CCTB 01.04</w:t>
            </w:r>
            <w:r>
              <w:rPr>
                <w:noProof/>
                <w:webHidden/>
              </w:rPr>
              <w:tab/>
            </w:r>
            <w:r>
              <w:rPr>
                <w:noProof/>
                <w:webHidden/>
              </w:rPr>
              <w:fldChar w:fldCharType="begin"/>
            </w:r>
            <w:r>
              <w:rPr>
                <w:noProof/>
                <w:webHidden/>
              </w:rPr>
              <w:instrText xml:space="preserve"> PAGEREF _Toc220495595 \h </w:instrText>
            </w:r>
            <w:r>
              <w:rPr>
                <w:noProof/>
                <w:webHidden/>
              </w:rPr>
            </w:r>
            <w:r>
              <w:rPr>
                <w:noProof/>
                <w:webHidden/>
              </w:rPr>
              <w:fldChar w:fldCharType="separate"/>
            </w:r>
            <w:r>
              <w:rPr>
                <w:noProof/>
                <w:webHidden/>
              </w:rPr>
              <w:t>454</w:t>
            </w:r>
            <w:r>
              <w:rPr>
                <w:noProof/>
                <w:webHidden/>
              </w:rPr>
              <w:fldChar w:fldCharType="end"/>
            </w:r>
          </w:hyperlink>
        </w:p>
        <w:p w14:paraId="46BA41D9" w14:textId="3E593E9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96" w:history="1">
            <w:r w:rsidRPr="00F45DCA">
              <w:rPr>
                <w:rStyle w:val="Lienhypertexte"/>
                <w:noProof/>
              </w:rPr>
              <w:t>21.83.3b Ragréages locaux d'éléments en blocs / briques de béton par mortier de réparation minéral CCTB 01.04</w:t>
            </w:r>
            <w:r>
              <w:rPr>
                <w:noProof/>
                <w:webHidden/>
              </w:rPr>
              <w:tab/>
            </w:r>
            <w:r>
              <w:rPr>
                <w:noProof/>
                <w:webHidden/>
              </w:rPr>
              <w:fldChar w:fldCharType="begin"/>
            </w:r>
            <w:r>
              <w:rPr>
                <w:noProof/>
                <w:webHidden/>
              </w:rPr>
              <w:instrText xml:space="preserve"> PAGEREF _Toc220495596 \h </w:instrText>
            </w:r>
            <w:r>
              <w:rPr>
                <w:noProof/>
                <w:webHidden/>
              </w:rPr>
            </w:r>
            <w:r>
              <w:rPr>
                <w:noProof/>
                <w:webHidden/>
              </w:rPr>
              <w:fldChar w:fldCharType="separate"/>
            </w:r>
            <w:r>
              <w:rPr>
                <w:noProof/>
                <w:webHidden/>
              </w:rPr>
              <w:t>455</w:t>
            </w:r>
            <w:r>
              <w:rPr>
                <w:noProof/>
                <w:webHidden/>
              </w:rPr>
              <w:fldChar w:fldCharType="end"/>
            </w:r>
          </w:hyperlink>
        </w:p>
        <w:p w14:paraId="727D00B0" w14:textId="5180720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97" w:history="1">
            <w:r w:rsidRPr="00F45DCA">
              <w:rPr>
                <w:rStyle w:val="Lienhypertexte"/>
                <w:noProof/>
              </w:rPr>
              <w:t>21.83.3c Ragréages locaux d'éléments en pierres naturelles par mortier de réparation minéral CCTB 01.04</w:t>
            </w:r>
            <w:r>
              <w:rPr>
                <w:noProof/>
                <w:webHidden/>
              </w:rPr>
              <w:tab/>
            </w:r>
            <w:r>
              <w:rPr>
                <w:noProof/>
                <w:webHidden/>
              </w:rPr>
              <w:fldChar w:fldCharType="begin"/>
            </w:r>
            <w:r>
              <w:rPr>
                <w:noProof/>
                <w:webHidden/>
              </w:rPr>
              <w:instrText xml:space="preserve"> PAGEREF _Toc220495597 \h </w:instrText>
            </w:r>
            <w:r>
              <w:rPr>
                <w:noProof/>
                <w:webHidden/>
              </w:rPr>
            </w:r>
            <w:r>
              <w:rPr>
                <w:noProof/>
                <w:webHidden/>
              </w:rPr>
              <w:fldChar w:fldCharType="separate"/>
            </w:r>
            <w:r>
              <w:rPr>
                <w:noProof/>
                <w:webHidden/>
              </w:rPr>
              <w:t>455</w:t>
            </w:r>
            <w:r>
              <w:rPr>
                <w:noProof/>
                <w:webHidden/>
              </w:rPr>
              <w:fldChar w:fldCharType="end"/>
            </w:r>
          </w:hyperlink>
        </w:p>
        <w:p w14:paraId="40905E7E" w14:textId="7F80C9F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598" w:history="1">
            <w:r w:rsidRPr="00F45DCA">
              <w:rPr>
                <w:rStyle w:val="Lienhypertexte"/>
                <w:noProof/>
              </w:rPr>
              <w:t>21.83.4 Ragréages locaux d'éléments par mortier de réparation à base de résines CCTB 01.04</w:t>
            </w:r>
            <w:r>
              <w:rPr>
                <w:noProof/>
                <w:webHidden/>
              </w:rPr>
              <w:tab/>
            </w:r>
            <w:r>
              <w:rPr>
                <w:noProof/>
                <w:webHidden/>
              </w:rPr>
              <w:fldChar w:fldCharType="begin"/>
            </w:r>
            <w:r>
              <w:rPr>
                <w:noProof/>
                <w:webHidden/>
              </w:rPr>
              <w:instrText xml:space="preserve"> PAGEREF _Toc220495598 \h </w:instrText>
            </w:r>
            <w:r>
              <w:rPr>
                <w:noProof/>
                <w:webHidden/>
              </w:rPr>
            </w:r>
            <w:r>
              <w:rPr>
                <w:noProof/>
                <w:webHidden/>
              </w:rPr>
              <w:fldChar w:fldCharType="separate"/>
            </w:r>
            <w:r>
              <w:rPr>
                <w:noProof/>
                <w:webHidden/>
              </w:rPr>
              <w:t>455</w:t>
            </w:r>
            <w:r>
              <w:rPr>
                <w:noProof/>
                <w:webHidden/>
              </w:rPr>
              <w:fldChar w:fldCharType="end"/>
            </w:r>
          </w:hyperlink>
        </w:p>
        <w:p w14:paraId="7D85D9AB" w14:textId="03ABDC3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599" w:history="1">
            <w:r w:rsidRPr="00F45DCA">
              <w:rPr>
                <w:rStyle w:val="Lienhypertexte"/>
                <w:noProof/>
              </w:rPr>
              <w:t>21.83.4a Ragréages locaux d'éléments en briques de terre cuite par mortier de réparation à base de résines CCTB 01.04</w:t>
            </w:r>
            <w:r>
              <w:rPr>
                <w:noProof/>
                <w:webHidden/>
              </w:rPr>
              <w:tab/>
            </w:r>
            <w:r>
              <w:rPr>
                <w:noProof/>
                <w:webHidden/>
              </w:rPr>
              <w:fldChar w:fldCharType="begin"/>
            </w:r>
            <w:r>
              <w:rPr>
                <w:noProof/>
                <w:webHidden/>
              </w:rPr>
              <w:instrText xml:space="preserve"> PAGEREF _Toc220495599 \h </w:instrText>
            </w:r>
            <w:r>
              <w:rPr>
                <w:noProof/>
                <w:webHidden/>
              </w:rPr>
            </w:r>
            <w:r>
              <w:rPr>
                <w:noProof/>
                <w:webHidden/>
              </w:rPr>
              <w:fldChar w:fldCharType="separate"/>
            </w:r>
            <w:r>
              <w:rPr>
                <w:noProof/>
                <w:webHidden/>
              </w:rPr>
              <w:t>455</w:t>
            </w:r>
            <w:r>
              <w:rPr>
                <w:noProof/>
                <w:webHidden/>
              </w:rPr>
              <w:fldChar w:fldCharType="end"/>
            </w:r>
          </w:hyperlink>
        </w:p>
        <w:p w14:paraId="12FC636B" w14:textId="58D7C5D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00" w:history="1">
            <w:r w:rsidRPr="00F45DCA">
              <w:rPr>
                <w:rStyle w:val="Lienhypertexte"/>
                <w:noProof/>
              </w:rPr>
              <w:t>21.83.4b Ragréages locaux d'éléments en blocs / briques de béton par mortier de réparation à base de résines CCTB 01.04</w:t>
            </w:r>
            <w:r>
              <w:rPr>
                <w:noProof/>
                <w:webHidden/>
              </w:rPr>
              <w:tab/>
            </w:r>
            <w:r>
              <w:rPr>
                <w:noProof/>
                <w:webHidden/>
              </w:rPr>
              <w:fldChar w:fldCharType="begin"/>
            </w:r>
            <w:r>
              <w:rPr>
                <w:noProof/>
                <w:webHidden/>
              </w:rPr>
              <w:instrText xml:space="preserve"> PAGEREF _Toc220495600 \h </w:instrText>
            </w:r>
            <w:r>
              <w:rPr>
                <w:noProof/>
                <w:webHidden/>
              </w:rPr>
            </w:r>
            <w:r>
              <w:rPr>
                <w:noProof/>
                <w:webHidden/>
              </w:rPr>
              <w:fldChar w:fldCharType="separate"/>
            </w:r>
            <w:r>
              <w:rPr>
                <w:noProof/>
                <w:webHidden/>
              </w:rPr>
              <w:t>455</w:t>
            </w:r>
            <w:r>
              <w:rPr>
                <w:noProof/>
                <w:webHidden/>
              </w:rPr>
              <w:fldChar w:fldCharType="end"/>
            </w:r>
          </w:hyperlink>
        </w:p>
        <w:p w14:paraId="777EC1BB" w14:textId="39BC2CD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01" w:history="1">
            <w:r w:rsidRPr="00F45DCA">
              <w:rPr>
                <w:rStyle w:val="Lienhypertexte"/>
                <w:noProof/>
              </w:rPr>
              <w:t>21.83.4c Ragréages locaux d'éléments en pierres naturelles par mortier de réparation à base de résines CCTB 01.04</w:t>
            </w:r>
            <w:r>
              <w:rPr>
                <w:noProof/>
                <w:webHidden/>
              </w:rPr>
              <w:tab/>
            </w:r>
            <w:r>
              <w:rPr>
                <w:noProof/>
                <w:webHidden/>
              </w:rPr>
              <w:fldChar w:fldCharType="begin"/>
            </w:r>
            <w:r>
              <w:rPr>
                <w:noProof/>
                <w:webHidden/>
              </w:rPr>
              <w:instrText xml:space="preserve"> PAGEREF _Toc220495601 \h </w:instrText>
            </w:r>
            <w:r>
              <w:rPr>
                <w:noProof/>
                <w:webHidden/>
              </w:rPr>
            </w:r>
            <w:r>
              <w:rPr>
                <w:noProof/>
                <w:webHidden/>
              </w:rPr>
              <w:fldChar w:fldCharType="separate"/>
            </w:r>
            <w:r>
              <w:rPr>
                <w:noProof/>
                <w:webHidden/>
              </w:rPr>
              <w:t>455</w:t>
            </w:r>
            <w:r>
              <w:rPr>
                <w:noProof/>
                <w:webHidden/>
              </w:rPr>
              <w:fldChar w:fldCharType="end"/>
            </w:r>
          </w:hyperlink>
        </w:p>
        <w:p w14:paraId="54DB162C" w14:textId="54C622F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02" w:history="1">
            <w:r w:rsidRPr="00F45DCA">
              <w:rPr>
                <w:rStyle w:val="Lienhypertexte"/>
                <w:noProof/>
              </w:rPr>
              <w:t>21.83.5 Réparations locales d'éléments par remplacement partiel de matière (bouchons / greffons / inclusions) CCTB 01.04</w:t>
            </w:r>
            <w:r>
              <w:rPr>
                <w:noProof/>
                <w:webHidden/>
              </w:rPr>
              <w:tab/>
            </w:r>
            <w:r>
              <w:rPr>
                <w:noProof/>
                <w:webHidden/>
              </w:rPr>
              <w:fldChar w:fldCharType="begin"/>
            </w:r>
            <w:r>
              <w:rPr>
                <w:noProof/>
                <w:webHidden/>
              </w:rPr>
              <w:instrText xml:space="preserve"> PAGEREF _Toc220495602 \h </w:instrText>
            </w:r>
            <w:r>
              <w:rPr>
                <w:noProof/>
                <w:webHidden/>
              </w:rPr>
            </w:r>
            <w:r>
              <w:rPr>
                <w:noProof/>
                <w:webHidden/>
              </w:rPr>
              <w:fldChar w:fldCharType="separate"/>
            </w:r>
            <w:r>
              <w:rPr>
                <w:noProof/>
                <w:webHidden/>
              </w:rPr>
              <w:t>455</w:t>
            </w:r>
            <w:r>
              <w:rPr>
                <w:noProof/>
                <w:webHidden/>
              </w:rPr>
              <w:fldChar w:fldCharType="end"/>
            </w:r>
          </w:hyperlink>
        </w:p>
        <w:p w14:paraId="73EE7DE8" w14:textId="080079C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03" w:history="1">
            <w:r w:rsidRPr="00F45DCA">
              <w:rPr>
                <w:rStyle w:val="Lienhypertexte"/>
                <w:noProof/>
              </w:rPr>
              <w:t>21.83.5a Réparations locales d'éléments en briques par remplacement partiel de matière CCTB 01.04</w:t>
            </w:r>
            <w:r>
              <w:rPr>
                <w:noProof/>
                <w:webHidden/>
              </w:rPr>
              <w:tab/>
            </w:r>
            <w:r>
              <w:rPr>
                <w:noProof/>
                <w:webHidden/>
              </w:rPr>
              <w:fldChar w:fldCharType="begin"/>
            </w:r>
            <w:r>
              <w:rPr>
                <w:noProof/>
                <w:webHidden/>
              </w:rPr>
              <w:instrText xml:space="preserve"> PAGEREF _Toc220495603 \h </w:instrText>
            </w:r>
            <w:r>
              <w:rPr>
                <w:noProof/>
                <w:webHidden/>
              </w:rPr>
            </w:r>
            <w:r>
              <w:rPr>
                <w:noProof/>
                <w:webHidden/>
              </w:rPr>
              <w:fldChar w:fldCharType="separate"/>
            </w:r>
            <w:r>
              <w:rPr>
                <w:noProof/>
                <w:webHidden/>
              </w:rPr>
              <w:t>455</w:t>
            </w:r>
            <w:r>
              <w:rPr>
                <w:noProof/>
                <w:webHidden/>
              </w:rPr>
              <w:fldChar w:fldCharType="end"/>
            </w:r>
          </w:hyperlink>
        </w:p>
        <w:p w14:paraId="1F612B03" w14:textId="2D20C20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04" w:history="1">
            <w:r w:rsidRPr="00F45DCA">
              <w:rPr>
                <w:rStyle w:val="Lienhypertexte"/>
                <w:noProof/>
              </w:rPr>
              <w:t>21.83.5b Réparations locales d'éléments en blocs / briques de béton par remplacement partiel de matière CCTB 01.04</w:t>
            </w:r>
            <w:r>
              <w:rPr>
                <w:noProof/>
                <w:webHidden/>
              </w:rPr>
              <w:tab/>
            </w:r>
            <w:r>
              <w:rPr>
                <w:noProof/>
                <w:webHidden/>
              </w:rPr>
              <w:fldChar w:fldCharType="begin"/>
            </w:r>
            <w:r>
              <w:rPr>
                <w:noProof/>
                <w:webHidden/>
              </w:rPr>
              <w:instrText xml:space="preserve"> PAGEREF _Toc220495604 \h </w:instrText>
            </w:r>
            <w:r>
              <w:rPr>
                <w:noProof/>
                <w:webHidden/>
              </w:rPr>
            </w:r>
            <w:r>
              <w:rPr>
                <w:noProof/>
                <w:webHidden/>
              </w:rPr>
              <w:fldChar w:fldCharType="separate"/>
            </w:r>
            <w:r>
              <w:rPr>
                <w:noProof/>
                <w:webHidden/>
              </w:rPr>
              <w:t>455</w:t>
            </w:r>
            <w:r>
              <w:rPr>
                <w:noProof/>
                <w:webHidden/>
              </w:rPr>
              <w:fldChar w:fldCharType="end"/>
            </w:r>
          </w:hyperlink>
        </w:p>
        <w:p w14:paraId="6DBBE422" w14:textId="4517006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05" w:history="1">
            <w:r w:rsidRPr="00F45DCA">
              <w:rPr>
                <w:rStyle w:val="Lienhypertexte"/>
                <w:noProof/>
              </w:rPr>
              <w:t>21.83.5c Réparations locales d'éléments en pierres naturelles par remplacement partiel de matière CCTB 01.04</w:t>
            </w:r>
            <w:r>
              <w:rPr>
                <w:noProof/>
                <w:webHidden/>
              </w:rPr>
              <w:tab/>
            </w:r>
            <w:r>
              <w:rPr>
                <w:noProof/>
                <w:webHidden/>
              </w:rPr>
              <w:fldChar w:fldCharType="begin"/>
            </w:r>
            <w:r>
              <w:rPr>
                <w:noProof/>
                <w:webHidden/>
              </w:rPr>
              <w:instrText xml:space="preserve"> PAGEREF _Toc220495605 \h </w:instrText>
            </w:r>
            <w:r>
              <w:rPr>
                <w:noProof/>
                <w:webHidden/>
              </w:rPr>
            </w:r>
            <w:r>
              <w:rPr>
                <w:noProof/>
                <w:webHidden/>
              </w:rPr>
              <w:fldChar w:fldCharType="separate"/>
            </w:r>
            <w:r>
              <w:rPr>
                <w:noProof/>
                <w:webHidden/>
              </w:rPr>
              <w:t>455</w:t>
            </w:r>
            <w:r>
              <w:rPr>
                <w:noProof/>
                <w:webHidden/>
              </w:rPr>
              <w:fldChar w:fldCharType="end"/>
            </w:r>
          </w:hyperlink>
        </w:p>
        <w:p w14:paraId="5C2BE895" w14:textId="0EDB8D7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06" w:history="1">
            <w:r w:rsidRPr="00F45DCA">
              <w:rPr>
                <w:rStyle w:val="Lienhypertexte"/>
                <w:noProof/>
              </w:rPr>
              <w:t>21.83.6 Réparations / ragréages / rénovations d'éléments particuliers CCTB 01.04</w:t>
            </w:r>
            <w:r>
              <w:rPr>
                <w:noProof/>
                <w:webHidden/>
              </w:rPr>
              <w:tab/>
            </w:r>
            <w:r>
              <w:rPr>
                <w:noProof/>
                <w:webHidden/>
              </w:rPr>
              <w:fldChar w:fldCharType="begin"/>
            </w:r>
            <w:r>
              <w:rPr>
                <w:noProof/>
                <w:webHidden/>
              </w:rPr>
              <w:instrText xml:space="preserve"> PAGEREF _Toc220495606 \h </w:instrText>
            </w:r>
            <w:r>
              <w:rPr>
                <w:noProof/>
                <w:webHidden/>
              </w:rPr>
            </w:r>
            <w:r>
              <w:rPr>
                <w:noProof/>
                <w:webHidden/>
              </w:rPr>
              <w:fldChar w:fldCharType="separate"/>
            </w:r>
            <w:r>
              <w:rPr>
                <w:noProof/>
                <w:webHidden/>
              </w:rPr>
              <w:t>455</w:t>
            </w:r>
            <w:r>
              <w:rPr>
                <w:noProof/>
                <w:webHidden/>
              </w:rPr>
              <w:fldChar w:fldCharType="end"/>
            </w:r>
          </w:hyperlink>
        </w:p>
        <w:p w14:paraId="1B867C44" w14:textId="6AB7815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07" w:history="1">
            <w:r w:rsidRPr="00F45DCA">
              <w:rPr>
                <w:rStyle w:val="Lienhypertexte"/>
                <w:noProof/>
              </w:rPr>
              <w:t>21.83.6a Réparations / ragréages / rénovations d'anglées CCTB 01.04</w:t>
            </w:r>
            <w:r>
              <w:rPr>
                <w:noProof/>
                <w:webHidden/>
              </w:rPr>
              <w:tab/>
            </w:r>
            <w:r>
              <w:rPr>
                <w:noProof/>
                <w:webHidden/>
              </w:rPr>
              <w:fldChar w:fldCharType="begin"/>
            </w:r>
            <w:r>
              <w:rPr>
                <w:noProof/>
                <w:webHidden/>
              </w:rPr>
              <w:instrText xml:space="preserve"> PAGEREF _Toc220495607 \h </w:instrText>
            </w:r>
            <w:r>
              <w:rPr>
                <w:noProof/>
                <w:webHidden/>
              </w:rPr>
            </w:r>
            <w:r>
              <w:rPr>
                <w:noProof/>
                <w:webHidden/>
              </w:rPr>
              <w:fldChar w:fldCharType="separate"/>
            </w:r>
            <w:r>
              <w:rPr>
                <w:noProof/>
                <w:webHidden/>
              </w:rPr>
              <w:t>455</w:t>
            </w:r>
            <w:r>
              <w:rPr>
                <w:noProof/>
                <w:webHidden/>
              </w:rPr>
              <w:fldChar w:fldCharType="end"/>
            </w:r>
          </w:hyperlink>
        </w:p>
        <w:p w14:paraId="1159F1E8" w14:textId="36A69A2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08" w:history="1">
            <w:r w:rsidRPr="00F45DCA">
              <w:rPr>
                <w:rStyle w:val="Lienhypertexte"/>
                <w:noProof/>
              </w:rPr>
              <w:t>21.83.6b Réparations / ragréages / rénovations de contreforts CCTB 01.04</w:t>
            </w:r>
            <w:r>
              <w:rPr>
                <w:noProof/>
                <w:webHidden/>
              </w:rPr>
              <w:tab/>
            </w:r>
            <w:r>
              <w:rPr>
                <w:noProof/>
                <w:webHidden/>
              </w:rPr>
              <w:fldChar w:fldCharType="begin"/>
            </w:r>
            <w:r>
              <w:rPr>
                <w:noProof/>
                <w:webHidden/>
              </w:rPr>
              <w:instrText xml:space="preserve"> PAGEREF _Toc220495608 \h </w:instrText>
            </w:r>
            <w:r>
              <w:rPr>
                <w:noProof/>
                <w:webHidden/>
              </w:rPr>
            </w:r>
            <w:r>
              <w:rPr>
                <w:noProof/>
                <w:webHidden/>
              </w:rPr>
              <w:fldChar w:fldCharType="separate"/>
            </w:r>
            <w:r>
              <w:rPr>
                <w:noProof/>
                <w:webHidden/>
              </w:rPr>
              <w:t>455</w:t>
            </w:r>
            <w:r>
              <w:rPr>
                <w:noProof/>
                <w:webHidden/>
              </w:rPr>
              <w:fldChar w:fldCharType="end"/>
            </w:r>
          </w:hyperlink>
        </w:p>
        <w:p w14:paraId="42A20369" w14:textId="13FEAE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09" w:history="1">
            <w:r w:rsidRPr="00F45DCA">
              <w:rPr>
                <w:rStyle w:val="Lienhypertexte"/>
                <w:noProof/>
              </w:rPr>
              <w:t>21.83.6c Réparations / ragréages / rénovations de cordons CCTB 01.04</w:t>
            </w:r>
            <w:r>
              <w:rPr>
                <w:noProof/>
                <w:webHidden/>
              </w:rPr>
              <w:tab/>
            </w:r>
            <w:r>
              <w:rPr>
                <w:noProof/>
                <w:webHidden/>
              </w:rPr>
              <w:fldChar w:fldCharType="begin"/>
            </w:r>
            <w:r>
              <w:rPr>
                <w:noProof/>
                <w:webHidden/>
              </w:rPr>
              <w:instrText xml:space="preserve"> PAGEREF _Toc220495609 \h </w:instrText>
            </w:r>
            <w:r>
              <w:rPr>
                <w:noProof/>
                <w:webHidden/>
              </w:rPr>
            </w:r>
            <w:r>
              <w:rPr>
                <w:noProof/>
                <w:webHidden/>
              </w:rPr>
              <w:fldChar w:fldCharType="separate"/>
            </w:r>
            <w:r>
              <w:rPr>
                <w:noProof/>
                <w:webHidden/>
              </w:rPr>
              <w:t>455</w:t>
            </w:r>
            <w:r>
              <w:rPr>
                <w:noProof/>
                <w:webHidden/>
              </w:rPr>
              <w:fldChar w:fldCharType="end"/>
            </w:r>
          </w:hyperlink>
        </w:p>
        <w:p w14:paraId="5C699A7A" w14:textId="00ECF0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10" w:history="1">
            <w:r w:rsidRPr="00F45DCA">
              <w:rPr>
                <w:rStyle w:val="Lienhypertexte"/>
                <w:noProof/>
              </w:rPr>
              <w:t>21.83.6d Réparations / ragréages / rénovations de jambages CCTB 01.04</w:t>
            </w:r>
            <w:r>
              <w:rPr>
                <w:noProof/>
                <w:webHidden/>
              </w:rPr>
              <w:tab/>
            </w:r>
            <w:r>
              <w:rPr>
                <w:noProof/>
                <w:webHidden/>
              </w:rPr>
              <w:fldChar w:fldCharType="begin"/>
            </w:r>
            <w:r>
              <w:rPr>
                <w:noProof/>
                <w:webHidden/>
              </w:rPr>
              <w:instrText xml:space="preserve"> PAGEREF _Toc220495610 \h </w:instrText>
            </w:r>
            <w:r>
              <w:rPr>
                <w:noProof/>
                <w:webHidden/>
              </w:rPr>
            </w:r>
            <w:r>
              <w:rPr>
                <w:noProof/>
                <w:webHidden/>
              </w:rPr>
              <w:fldChar w:fldCharType="separate"/>
            </w:r>
            <w:r>
              <w:rPr>
                <w:noProof/>
                <w:webHidden/>
              </w:rPr>
              <w:t>455</w:t>
            </w:r>
            <w:r>
              <w:rPr>
                <w:noProof/>
                <w:webHidden/>
              </w:rPr>
              <w:fldChar w:fldCharType="end"/>
            </w:r>
          </w:hyperlink>
        </w:p>
        <w:p w14:paraId="5A581129" w14:textId="2F42655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11" w:history="1">
            <w:r w:rsidRPr="00F45DCA">
              <w:rPr>
                <w:rStyle w:val="Lienhypertexte"/>
                <w:noProof/>
              </w:rPr>
              <w:t>21.83.6e Réparations / ragréages / rénovations d'arcades de baies CCTB 01.04</w:t>
            </w:r>
            <w:r>
              <w:rPr>
                <w:noProof/>
                <w:webHidden/>
              </w:rPr>
              <w:tab/>
            </w:r>
            <w:r>
              <w:rPr>
                <w:noProof/>
                <w:webHidden/>
              </w:rPr>
              <w:fldChar w:fldCharType="begin"/>
            </w:r>
            <w:r>
              <w:rPr>
                <w:noProof/>
                <w:webHidden/>
              </w:rPr>
              <w:instrText xml:space="preserve"> PAGEREF _Toc220495611 \h </w:instrText>
            </w:r>
            <w:r>
              <w:rPr>
                <w:noProof/>
                <w:webHidden/>
              </w:rPr>
            </w:r>
            <w:r>
              <w:rPr>
                <w:noProof/>
                <w:webHidden/>
              </w:rPr>
              <w:fldChar w:fldCharType="separate"/>
            </w:r>
            <w:r>
              <w:rPr>
                <w:noProof/>
                <w:webHidden/>
              </w:rPr>
              <w:t>455</w:t>
            </w:r>
            <w:r>
              <w:rPr>
                <w:noProof/>
                <w:webHidden/>
              </w:rPr>
              <w:fldChar w:fldCharType="end"/>
            </w:r>
          </w:hyperlink>
        </w:p>
        <w:p w14:paraId="7F973FBC" w14:textId="256C514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12" w:history="1">
            <w:r w:rsidRPr="00F45DCA">
              <w:rPr>
                <w:rStyle w:val="Lienhypertexte"/>
                <w:noProof/>
              </w:rPr>
              <w:t>21.83.6f Soubassements - repiquages CCTB 01.04</w:t>
            </w:r>
            <w:r>
              <w:rPr>
                <w:noProof/>
                <w:webHidden/>
              </w:rPr>
              <w:tab/>
            </w:r>
            <w:r>
              <w:rPr>
                <w:noProof/>
                <w:webHidden/>
              </w:rPr>
              <w:fldChar w:fldCharType="begin"/>
            </w:r>
            <w:r>
              <w:rPr>
                <w:noProof/>
                <w:webHidden/>
              </w:rPr>
              <w:instrText xml:space="preserve"> PAGEREF _Toc220495612 \h </w:instrText>
            </w:r>
            <w:r>
              <w:rPr>
                <w:noProof/>
                <w:webHidden/>
              </w:rPr>
            </w:r>
            <w:r>
              <w:rPr>
                <w:noProof/>
                <w:webHidden/>
              </w:rPr>
              <w:fldChar w:fldCharType="separate"/>
            </w:r>
            <w:r>
              <w:rPr>
                <w:noProof/>
                <w:webHidden/>
              </w:rPr>
              <w:t>455</w:t>
            </w:r>
            <w:r>
              <w:rPr>
                <w:noProof/>
                <w:webHidden/>
              </w:rPr>
              <w:fldChar w:fldCharType="end"/>
            </w:r>
          </w:hyperlink>
        </w:p>
        <w:p w14:paraId="68751A70" w14:textId="4B20AF1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13" w:history="1">
            <w:r w:rsidRPr="00F45DCA">
              <w:rPr>
                <w:rStyle w:val="Lienhypertexte"/>
                <w:noProof/>
              </w:rPr>
              <w:t>21.83.6g Soubassements - compléments en sous-œuvre CCTB 01.04</w:t>
            </w:r>
            <w:r>
              <w:rPr>
                <w:noProof/>
                <w:webHidden/>
              </w:rPr>
              <w:tab/>
            </w:r>
            <w:r>
              <w:rPr>
                <w:noProof/>
                <w:webHidden/>
              </w:rPr>
              <w:fldChar w:fldCharType="begin"/>
            </w:r>
            <w:r>
              <w:rPr>
                <w:noProof/>
                <w:webHidden/>
              </w:rPr>
              <w:instrText xml:space="preserve"> PAGEREF _Toc220495613 \h </w:instrText>
            </w:r>
            <w:r>
              <w:rPr>
                <w:noProof/>
                <w:webHidden/>
              </w:rPr>
            </w:r>
            <w:r>
              <w:rPr>
                <w:noProof/>
                <w:webHidden/>
              </w:rPr>
              <w:fldChar w:fldCharType="separate"/>
            </w:r>
            <w:r>
              <w:rPr>
                <w:noProof/>
                <w:webHidden/>
              </w:rPr>
              <w:t>455</w:t>
            </w:r>
            <w:r>
              <w:rPr>
                <w:noProof/>
                <w:webHidden/>
              </w:rPr>
              <w:fldChar w:fldCharType="end"/>
            </w:r>
          </w:hyperlink>
        </w:p>
        <w:p w14:paraId="6F84205D" w14:textId="398F50B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14" w:history="1">
            <w:r w:rsidRPr="00F45DCA">
              <w:rPr>
                <w:rStyle w:val="Lienhypertexte"/>
                <w:noProof/>
              </w:rPr>
              <w:t>21.83.7 Traitements des fissures et disjonctions CCTB 01.04</w:t>
            </w:r>
            <w:r>
              <w:rPr>
                <w:noProof/>
                <w:webHidden/>
              </w:rPr>
              <w:tab/>
            </w:r>
            <w:r>
              <w:rPr>
                <w:noProof/>
                <w:webHidden/>
              </w:rPr>
              <w:fldChar w:fldCharType="begin"/>
            </w:r>
            <w:r>
              <w:rPr>
                <w:noProof/>
                <w:webHidden/>
              </w:rPr>
              <w:instrText xml:space="preserve"> PAGEREF _Toc220495614 \h </w:instrText>
            </w:r>
            <w:r>
              <w:rPr>
                <w:noProof/>
                <w:webHidden/>
              </w:rPr>
            </w:r>
            <w:r>
              <w:rPr>
                <w:noProof/>
                <w:webHidden/>
              </w:rPr>
              <w:fldChar w:fldCharType="separate"/>
            </w:r>
            <w:r>
              <w:rPr>
                <w:noProof/>
                <w:webHidden/>
              </w:rPr>
              <w:t>455</w:t>
            </w:r>
            <w:r>
              <w:rPr>
                <w:noProof/>
                <w:webHidden/>
              </w:rPr>
              <w:fldChar w:fldCharType="end"/>
            </w:r>
          </w:hyperlink>
        </w:p>
        <w:p w14:paraId="3ADA7C48" w14:textId="0232AFD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15" w:history="1">
            <w:r w:rsidRPr="00F45DCA">
              <w:rPr>
                <w:rStyle w:val="Lienhypertexte"/>
                <w:noProof/>
              </w:rPr>
              <w:t>21.83.7a Traitements des fissures de 1 à 3 mm CCTB 01.04</w:t>
            </w:r>
            <w:r>
              <w:rPr>
                <w:noProof/>
                <w:webHidden/>
              </w:rPr>
              <w:tab/>
            </w:r>
            <w:r>
              <w:rPr>
                <w:noProof/>
                <w:webHidden/>
              </w:rPr>
              <w:fldChar w:fldCharType="begin"/>
            </w:r>
            <w:r>
              <w:rPr>
                <w:noProof/>
                <w:webHidden/>
              </w:rPr>
              <w:instrText xml:space="preserve"> PAGEREF _Toc220495615 \h </w:instrText>
            </w:r>
            <w:r>
              <w:rPr>
                <w:noProof/>
                <w:webHidden/>
              </w:rPr>
            </w:r>
            <w:r>
              <w:rPr>
                <w:noProof/>
                <w:webHidden/>
              </w:rPr>
              <w:fldChar w:fldCharType="separate"/>
            </w:r>
            <w:r>
              <w:rPr>
                <w:noProof/>
                <w:webHidden/>
              </w:rPr>
              <w:t>455</w:t>
            </w:r>
            <w:r>
              <w:rPr>
                <w:noProof/>
                <w:webHidden/>
              </w:rPr>
              <w:fldChar w:fldCharType="end"/>
            </w:r>
          </w:hyperlink>
        </w:p>
        <w:p w14:paraId="6ADEB098" w14:textId="7DAE00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16" w:history="1">
            <w:r w:rsidRPr="00F45DCA">
              <w:rPr>
                <w:rStyle w:val="Lienhypertexte"/>
                <w:noProof/>
              </w:rPr>
              <w:t>21.83.7b Traitements des fissures de 4 à 8 mm CCTB 01.04</w:t>
            </w:r>
            <w:r>
              <w:rPr>
                <w:noProof/>
                <w:webHidden/>
              </w:rPr>
              <w:tab/>
            </w:r>
            <w:r>
              <w:rPr>
                <w:noProof/>
                <w:webHidden/>
              </w:rPr>
              <w:fldChar w:fldCharType="begin"/>
            </w:r>
            <w:r>
              <w:rPr>
                <w:noProof/>
                <w:webHidden/>
              </w:rPr>
              <w:instrText xml:space="preserve"> PAGEREF _Toc220495616 \h </w:instrText>
            </w:r>
            <w:r>
              <w:rPr>
                <w:noProof/>
                <w:webHidden/>
              </w:rPr>
            </w:r>
            <w:r>
              <w:rPr>
                <w:noProof/>
                <w:webHidden/>
              </w:rPr>
              <w:fldChar w:fldCharType="separate"/>
            </w:r>
            <w:r>
              <w:rPr>
                <w:noProof/>
                <w:webHidden/>
              </w:rPr>
              <w:t>455</w:t>
            </w:r>
            <w:r>
              <w:rPr>
                <w:noProof/>
                <w:webHidden/>
              </w:rPr>
              <w:fldChar w:fldCharType="end"/>
            </w:r>
          </w:hyperlink>
        </w:p>
        <w:p w14:paraId="7C299A45" w14:textId="1A07F12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17" w:history="1">
            <w:r w:rsidRPr="00F45DCA">
              <w:rPr>
                <w:rStyle w:val="Lienhypertexte"/>
                <w:noProof/>
              </w:rPr>
              <w:t>21.83.7c Traitements des ouvertures supérieures à 8 mm CCTB 01.04</w:t>
            </w:r>
            <w:r>
              <w:rPr>
                <w:noProof/>
                <w:webHidden/>
              </w:rPr>
              <w:tab/>
            </w:r>
            <w:r>
              <w:rPr>
                <w:noProof/>
                <w:webHidden/>
              </w:rPr>
              <w:fldChar w:fldCharType="begin"/>
            </w:r>
            <w:r>
              <w:rPr>
                <w:noProof/>
                <w:webHidden/>
              </w:rPr>
              <w:instrText xml:space="preserve"> PAGEREF _Toc220495617 \h </w:instrText>
            </w:r>
            <w:r>
              <w:rPr>
                <w:noProof/>
                <w:webHidden/>
              </w:rPr>
            </w:r>
            <w:r>
              <w:rPr>
                <w:noProof/>
                <w:webHidden/>
              </w:rPr>
              <w:fldChar w:fldCharType="separate"/>
            </w:r>
            <w:r>
              <w:rPr>
                <w:noProof/>
                <w:webHidden/>
              </w:rPr>
              <w:t>455</w:t>
            </w:r>
            <w:r>
              <w:rPr>
                <w:noProof/>
                <w:webHidden/>
              </w:rPr>
              <w:fldChar w:fldCharType="end"/>
            </w:r>
          </w:hyperlink>
        </w:p>
        <w:p w14:paraId="63104E5D" w14:textId="4818A3E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18" w:history="1">
            <w:r w:rsidRPr="00F45DCA">
              <w:rPr>
                <w:rStyle w:val="Lienhypertexte"/>
                <w:noProof/>
              </w:rPr>
              <w:t>21.83.7d Traitements des disjonctions (réparations par épingles en inox crantées) CCTB 01.04</w:t>
            </w:r>
            <w:r>
              <w:rPr>
                <w:noProof/>
                <w:webHidden/>
              </w:rPr>
              <w:tab/>
            </w:r>
            <w:r>
              <w:rPr>
                <w:noProof/>
                <w:webHidden/>
              </w:rPr>
              <w:fldChar w:fldCharType="begin"/>
            </w:r>
            <w:r>
              <w:rPr>
                <w:noProof/>
                <w:webHidden/>
              </w:rPr>
              <w:instrText xml:space="preserve"> PAGEREF _Toc220495618 \h </w:instrText>
            </w:r>
            <w:r>
              <w:rPr>
                <w:noProof/>
                <w:webHidden/>
              </w:rPr>
            </w:r>
            <w:r>
              <w:rPr>
                <w:noProof/>
                <w:webHidden/>
              </w:rPr>
              <w:fldChar w:fldCharType="separate"/>
            </w:r>
            <w:r>
              <w:rPr>
                <w:noProof/>
                <w:webHidden/>
              </w:rPr>
              <w:t>455</w:t>
            </w:r>
            <w:r>
              <w:rPr>
                <w:noProof/>
                <w:webHidden/>
              </w:rPr>
              <w:fldChar w:fldCharType="end"/>
            </w:r>
          </w:hyperlink>
        </w:p>
        <w:p w14:paraId="039B2506" w14:textId="5AECEA0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19" w:history="1">
            <w:r w:rsidRPr="00F45DCA">
              <w:rPr>
                <w:rStyle w:val="Lienhypertexte"/>
                <w:noProof/>
              </w:rPr>
              <w:t>21.83.8 Rejointoyages CCTB 01.04</w:t>
            </w:r>
            <w:r>
              <w:rPr>
                <w:noProof/>
                <w:webHidden/>
              </w:rPr>
              <w:tab/>
            </w:r>
            <w:r>
              <w:rPr>
                <w:noProof/>
                <w:webHidden/>
              </w:rPr>
              <w:fldChar w:fldCharType="begin"/>
            </w:r>
            <w:r>
              <w:rPr>
                <w:noProof/>
                <w:webHidden/>
              </w:rPr>
              <w:instrText xml:space="preserve"> PAGEREF _Toc220495619 \h </w:instrText>
            </w:r>
            <w:r>
              <w:rPr>
                <w:noProof/>
                <w:webHidden/>
              </w:rPr>
            </w:r>
            <w:r>
              <w:rPr>
                <w:noProof/>
                <w:webHidden/>
              </w:rPr>
              <w:fldChar w:fldCharType="separate"/>
            </w:r>
            <w:r>
              <w:rPr>
                <w:noProof/>
                <w:webHidden/>
              </w:rPr>
              <w:t>455</w:t>
            </w:r>
            <w:r>
              <w:rPr>
                <w:noProof/>
                <w:webHidden/>
              </w:rPr>
              <w:fldChar w:fldCharType="end"/>
            </w:r>
          </w:hyperlink>
        </w:p>
        <w:p w14:paraId="71E8057C" w14:textId="004BED2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620" w:history="1">
            <w:r w:rsidRPr="00F45DCA">
              <w:rPr>
                <w:rStyle w:val="Lienhypertexte"/>
                <w:noProof/>
              </w:rPr>
              <w:t>21.84 Renforcements CCTB 01.04</w:t>
            </w:r>
            <w:r>
              <w:rPr>
                <w:noProof/>
                <w:webHidden/>
              </w:rPr>
              <w:tab/>
            </w:r>
            <w:r>
              <w:rPr>
                <w:noProof/>
                <w:webHidden/>
              </w:rPr>
              <w:fldChar w:fldCharType="begin"/>
            </w:r>
            <w:r>
              <w:rPr>
                <w:noProof/>
                <w:webHidden/>
              </w:rPr>
              <w:instrText xml:space="preserve"> PAGEREF _Toc220495620 \h </w:instrText>
            </w:r>
            <w:r>
              <w:rPr>
                <w:noProof/>
                <w:webHidden/>
              </w:rPr>
            </w:r>
            <w:r>
              <w:rPr>
                <w:noProof/>
                <w:webHidden/>
              </w:rPr>
              <w:fldChar w:fldCharType="separate"/>
            </w:r>
            <w:r>
              <w:rPr>
                <w:noProof/>
                <w:webHidden/>
              </w:rPr>
              <w:t>456</w:t>
            </w:r>
            <w:r>
              <w:rPr>
                <w:noProof/>
                <w:webHidden/>
              </w:rPr>
              <w:fldChar w:fldCharType="end"/>
            </w:r>
          </w:hyperlink>
        </w:p>
        <w:p w14:paraId="6D2749A0" w14:textId="3041B75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21" w:history="1">
            <w:r w:rsidRPr="00F45DCA">
              <w:rPr>
                <w:rStyle w:val="Lienhypertexte"/>
                <w:noProof/>
              </w:rPr>
              <w:t>21.84.1 Renforcements par injections de coulis CCTB 01.04</w:t>
            </w:r>
            <w:r>
              <w:rPr>
                <w:noProof/>
                <w:webHidden/>
              </w:rPr>
              <w:tab/>
            </w:r>
            <w:r>
              <w:rPr>
                <w:noProof/>
                <w:webHidden/>
              </w:rPr>
              <w:fldChar w:fldCharType="begin"/>
            </w:r>
            <w:r>
              <w:rPr>
                <w:noProof/>
                <w:webHidden/>
              </w:rPr>
              <w:instrText xml:space="preserve"> PAGEREF _Toc220495621 \h </w:instrText>
            </w:r>
            <w:r>
              <w:rPr>
                <w:noProof/>
                <w:webHidden/>
              </w:rPr>
            </w:r>
            <w:r>
              <w:rPr>
                <w:noProof/>
                <w:webHidden/>
              </w:rPr>
              <w:fldChar w:fldCharType="separate"/>
            </w:r>
            <w:r>
              <w:rPr>
                <w:noProof/>
                <w:webHidden/>
              </w:rPr>
              <w:t>456</w:t>
            </w:r>
            <w:r>
              <w:rPr>
                <w:noProof/>
                <w:webHidden/>
              </w:rPr>
              <w:fldChar w:fldCharType="end"/>
            </w:r>
          </w:hyperlink>
        </w:p>
        <w:p w14:paraId="17406867" w14:textId="5DC8870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22" w:history="1">
            <w:r w:rsidRPr="00F45DCA">
              <w:rPr>
                <w:rStyle w:val="Lienhypertexte"/>
                <w:noProof/>
              </w:rPr>
              <w:t>21.84.1a Injections de fissures par mortier minéral à retrait compensé CCTB 01.04</w:t>
            </w:r>
            <w:r>
              <w:rPr>
                <w:noProof/>
                <w:webHidden/>
              </w:rPr>
              <w:tab/>
            </w:r>
            <w:r>
              <w:rPr>
                <w:noProof/>
                <w:webHidden/>
              </w:rPr>
              <w:fldChar w:fldCharType="begin"/>
            </w:r>
            <w:r>
              <w:rPr>
                <w:noProof/>
                <w:webHidden/>
              </w:rPr>
              <w:instrText xml:space="preserve"> PAGEREF _Toc220495622 \h </w:instrText>
            </w:r>
            <w:r>
              <w:rPr>
                <w:noProof/>
                <w:webHidden/>
              </w:rPr>
            </w:r>
            <w:r>
              <w:rPr>
                <w:noProof/>
                <w:webHidden/>
              </w:rPr>
              <w:fldChar w:fldCharType="separate"/>
            </w:r>
            <w:r>
              <w:rPr>
                <w:noProof/>
                <w:webHidden/>
              </w:rPr>
              <w:t>456</w:t>
            </w:r>
            <w:r>
              <w:rPr>
                <w:noProof/>
                <w:webHidden/>
              </w:rPr>
              <w:fldChar w:fldCharType="end"/>
            </w:r>
          </w:hyperlink>
        </w:p>
        <w:p w14:paraId="1CF1F2D7" w14:textId="77AE075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23" w:history="1">
            <w:r w:rsidRPr="00F45DCA">
              <w:rPr>
                <w:rStyle w:val="Lienhypertexte"/>
                <w:noProof/>
              </w:rPr>
              <w:t>21.84.1b Injections de fissures à base de résines à 2 composants CCTB 01.04</w:t>
            </w:r>
            <w:r>
              <w:rPr>
                <w:noProof/>
                <w:webHidden/>
              </w:rPr>
              <w:tab/>
            </w:r>
            <w:r>
              <w:rPr>
                <w:noProof/>
                <w:webHidden/>
              </w:rPr>
              <w:fldChar w:fldCharType="begin"/>
            </w:r>
            <w:r>
              <w:rPr>
                <w:noProof/>
                <w:webHidden/>
              </w:rPr>
              <w:instrText xml:space="preserve"> PAGEREF _Toc220495623 \h </w:instrText>
            </w:r>
            <w:r>
              <w:rPr>
                <w:noProof/>
                <w:webHidden/>
              </w:rPr>
            </w:r>
            <w:r>
              <w:rPr>
                <w:noProof/>
                <w:webHidden/>
              </w:rPr>
              <w:fldChar w:fldCharType="separate"/>
            </w:r>
            <w:r>
              <w:rPr>
                <w:noProof/>
                <w:webHidden/>
              </w:rPr>
              <w:t>456</w:t>
            </w:r>
            <w:r>
              <w:rPr>
                <w:noProof/>
                <w:webHidden/>
              </w:rPr>
              <w:fldChar w:fldCharType="end"/>
            </w:r>
          </w:hyperlink>
        </w:p>
        <w:p w14:paraId="08FDD729" w14:textId="23B65A7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24" w:history="1">
            <w:r w:rsidRPr="00F45DCA">
              <w:rPr>
                <w:rStyle w:val="Lienhypertexte"/>
                <w:noProof/>
              </w:rPr>
              <w:t>21.84.1c Injections de masse par coulis minéral CCTB 01.04</w:t>
            </w:r>
            <w:r>
              <w:rPr>
                <w:noProof/>
                <w:webHidden/>
              </w:rPr>
              <w:tab/>
            </w:r>
            <w:r>
              <w:rPr>
                <w:noProof/>
                <w:webHidden/>
              </w:rPr>
              <w:fldChar w:fldCharType="begin"/>
            </w:r>
            <w:r>
              <w:rPr>
                <w:noProof/>
                <w:webHidden/>
              </w:rPr>
              <w:instrText xml:space="preserve"> PAGEREF _Toc220495624 \h </w:instrText>
            </w:r>
            <w:r>
              <w:rPr>
                <w:noProof/>
                <w:webHidden/>
              </w:rPr>
            </w:r>
            <w:r>
              <w:rPr>
                <w:noProof/>
                <w:webHidden/>
              </w:rPr>
              <w:fldChar w:fldCharType="separate"/>
            </w:r>
            <w:r>
              <w:rPr>
                <w:noProof/>
                <w:webHidden/>
              </w:rPr>
              <w:t>456</w:t>
            </w:r>
            <w:r>
              <w:rPr>
                <w:noProof/>
                <w:webHidden/>
              </w:rPr>
              <w:fldChar w:fldCharType="end"/>
            </w:r>
          </w:hyperlink>
        </w:p>
        <w:p w14:paraId="0D33E417" w14:textId="34EFC4B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25" w:history="1">
            <w:r w:rsidRPr="00F45DCA">
              <w:rPr>
                <w:rStyle w:val="Lienhypertexte"/>
                <w:noProof/>
              </w:rPr>
              <w:t>21.84.1d Injections de masse par coulis organique CCTB 01.04</w:t>
            </w:r>
            <w:r>
              <w:rPr>
                <w:noProof/>
                <w:webHidden/>
              </w:rPr>
              <w:tab/>
            </w:r>
            <w:r>
              <w:rPr>
                <w:noProof/>
                <w:webHidden/>
              </w:rPr>
              <w:fldChar w:fldCharType="begin"/>
            </w:r>
            <w:r>
              <w:rPr>
                <w:noProof/>
                <w:webHidden/>
              </w:rPr>
              <w:instrText xml:space="preserve"> PAGEREF _Toc220495625 \h </w:instrText>
            </w:r>
            <w:r>
              <w:rPr>
                <w:noProof/>
                <w:webHidden/>
              </w:rPr>
            </w:r>
            <w:r>
              <w:rPr>
                <w:noProof/>
                <w:webHidden/>
              </w:rPr>
              <w:fldChar w:fldCharType="separate"/>
            </w:r>
            <w:r>
              <w:rPr>
                <w:noProof/>
                <w:webHidden/>
              </w:rPr>
              <w:t>456</w:t>
            </w:r>
            <w:r>
              <w:rPr>
                <w:noProof/>
                <w:webHidden/>
              </w:rPr>
              <w:fldChar w:fldCharType="end"/>
            </w:r>
          </w:hyperlink>
        </w:p>
        <w:p w14:paraId="1AC1EF92" w14:textId="55FEF38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26" w:history="1">
            <w:r w:rsidRPr="00F45DCA">
              <w:rPr>
                <w:rStyle w:val="Lienhypertexte"/>
                <w:noProof/>
              </w:rPr>
              <w:t>21.84.2 Renforcements par insertions et scellements de barres (ancrages / brochages / agrafages / épinglages) CCTB 01.04</w:t>
            </w:r>
            <w:r>
              <w:rPr>
                <w:noProof/>
                <w:webHidden/>
              </w:rPr>
              <w:tab/>
            </w:r>
            <w:r>
              <w:rPr>
                <w:noProof/>
                <w:webHidden/>
              </w:rPr>
              <w:fldChar w:fldCharType="begin"/>
            </w:r>
            <w:r>
              <w:rPr>
                <w:noProof/>
                <w:webHidden/>
              </w:rPr>
              <w:instrText xml:space="preserve"> PAGEREF _Toc220495626 \h </w:instrText>
            </w:r>
            <w:r>
              <w:rPr>
                <w:noProof/>
                <w:webHidden/>
              </w:rPr>
            </w:r>
            <w:r>
              <w:rPr>
                <w:noProof/>
                <w:webHidden/>
              </w:rPr>
              <w:fldChar w:fldCharType="separate"/>
            </w:r>
            <w:r>
              <w:rPr>
                <w:noProof/>
                <w:webHidden/>
              </w:rPr>
              <w:t>456</w:t>
            </w:r>
            <w:r>
              <w:rPr>
                <w:noProof/>
                <w:webHidden/>
              </w:rPr>
              <w:fldChar w:fldCharType="end"/>
            </w:r>
          </w:hyperlink>
        </w:p>
        <w:p w14:paraId="1D1063C5" w14:textId="076674B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27" w:history="1">
            <w:r w:rsidRPr="00F45DCA">
              <w:rPr>
                <w:rStyle w:val="Lienhypertexte"/>
                <w:noProof/>
              </w:rPr>
              <w:t>21.84.2a Scellements de barres dans une maçonnerie CCTB 01.04</w:t>
            </w:r>
            <w:r>
              <w:rPr>
                <w:noProof/>
                <w:webHidden/>
              </w:rPr>
              <w:tab/>
            </w:r>
            <w:r>
              <w:rPr>
                <w:noProof/>
                <w:webHidden/>
              </w:rPr>
              <w:fldChar w:fldCharType="begin"/>
            </w:r>
            <w:r>
              <w:rPr>
                <w:noProof/>
                <w:webHidden/>
              </w:rPr>
              <w:instrText xml:space="preserve"> PAGEREF _Toc220495627 \h </w:instrText>
            </w:r>
            <w:r>
              <w:rPr>
                <w:noProof/>
                <w:webHidden/>
              </w:rPr>
            </w:r>
            <w:r>
              <w:rPr>
                <w:noProof/>
                <w:webHidden/>
              </w:rPr>
              <w:fldChar w:fldCharType="separate"/>
            </w:r>
            <w:r>
              <w:rPr>
                <w:noProof/>
                <w:webHidden/>
              </w:rPr>
              <w:t>456</w:t>
            </w:r>
            <w:r>
              <w:rPr>
                <w:noProof/>
                <w:webHidden/>
              </w:rPr>
              <w:fldChar w:fldCharType="end"/>
            </w:r>
          </w:hyperlink>
        </w:p>
        <w:p w14:paraId="18D04B18" w14:textId="0E121C7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28" w:history="1">
            <w:r w:rsidRPr="00F45DCA">
              <w:rPr>
                <w:rStyle w:val="Lienhypertexte"/>
                <w:noProof/>
              </w:rPr>
              <w:t>21.84.2b Ancrages d'éléments ponctuels CCTB 01.04</w:t>
            </w:r>
            <w:r>
              <w:rPr>
                <w:noProof/>
                <w:webHidden/>
              </w:rPr>
              <w:tab/>
            </w:r>
            <w:r>
              <w:rPr>
                <w:noProof/>
                <w:webHidden/>
              </w:rPr>
              <w:fldChar w:fldCharType="begin"/>
            </w:r>
            <w:r>
              <w:rPr>
                <w:noProof/>
                <w:webHidden/>
              </w:rPr>
              <w:instrText xml:space="preserve"> PAGEREF _Toc220495628 \h </w:instrText>
            </w:r>
            <w:r>
              <w:rPr>
                <w:noProof/>
                <w:webHidden/>
              </w:rPr>
            </w:r>
            <w:r>
              <w:rPr>
                <w:noProof/>
                <w:webHidden/>
              </w:rPr>
              <w:fldChar w:fldCharType="separate"/>
            </w:r>
            <w:r>
              <w:rPr>
                <w:noProof/>
                <w:webHidden/>
              </w:rPr>
              <w:t>456</w:t>
            </w:r>
            <w:r>
              <w:rPr>
                <w:noProof/>
                <w:webHidden/>
              </w:rPr>
              <w:fldChar w:fldCharType="end"/>
            </w:r>
          </w:hyperlink>
        </w:p>
        <w:p w14:paraId="09DD98FC" w14:textId="5FAF01F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29" w:history="1">
            <w:r w:rsidRPr="00F45DCA">
              <w:rPr>
                <w:rStyle w:val="Lienhypertexte"/>
                <w:noProof/>
              </w:rPr>
              <w:t>21.84.2c Solidarisation du parement avec la structure CCTB 01.02</w:t>
            </w:r>
            <w:r>
              <w:rPr>
                <w:noProof/>
                <w:webHidden/>
              </w:rPr>
              <w:tab/>
            </w:r>
            <w:r>
              <w:rPr>
                <w:noProof/>
                <w:webHidden/>
              </w:rPr>
              <w:fldChar w:fldCharType="begin"/>
            </w:r>
            <w:r>
              <w:rPr>
                <w:noProof/>
                <w:webHidden/>
              </w:rPr>
              <w:instrText xml:space="preserve"> PAGEREF _Toc220495629 \h </w:instrText>
            </w:r>
            <w:r>
              <w:rPr>
                <w:noProof/>
                <w:webHidden/>
              </w:rPr>
            </w:r>
            <w:r>
              <w:rPr>
                <w:noProof/>
                <w:webHidden/>
              </w:rPr>
              <w:fldChar w:fldCharType="separate"/>
            </w:r>
            <w:r>
              <w:rPr>
                <w:noProof/>
                <w:webHidden/>
              </w:rPr>
              <w:t>456</w:t>
            </w:r>
            <w:r>
              <w:rPr>
                <w:noProof/>
                <w:webHidden/>
              </w:rPr>
              <w:fldChar w:fldCharType="end"/>
            </w:r>
          </w:hyperlink>
        </w:p>
        <w:p w14:paraId="1542B70B" w14:textId="7CF256F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30" w:history="1">
            <w:r w:rsidRPr="00F45DCA">
              <w:rPr>
                <w:rStyle w:val="Lienhypertexte"/>
                <w:noProof/>
              </w:rPr>
              <w:t>21.84.2d Coutures de fissures CCTB 01.04</w:t>
            </w:r>
            <w:r>
              <w:rPr>
                <w:noProof/>
                <w:webHidden/>
              </w:rPr>
              <w:tab/>
            </w:r>
            <w:r>
              <w:rPr>
                <w:noProof/>
                <w:webHidden/>
              </w:rPr>
              <w:fldChar w:fldCharType="begin"/>
            </w:r>
            <w:r>
              <w:rPr>
                <w:noProof/>
                <w:webHidden/>
              </w:rPr>
              <w:instrText xml:space="preserve"> PAGEREF _Toc220495630 \h </w:instrText>
            </w:r>
            <w:r>
              <w:rPr>
                <w:noProof/>
                <w:webHidden/>
              </w:rPr>
            </w:r>
            <w:r>
              <w:rPr>
                <w:noProof/>
                <w:webHidden/>
              </w:rPr>
              <w:fldChar w:fldCharType="separate"/>
            </w:r>
            <w:r>
              <w:rPr>
                <w:noProof/>
                <w:webHidden/>
              </w:rPr>
              <w:t>456</w:t>
            </w:r>
            <w:r>
              <w:rPr>
                <w:noProof/>
                <w:webHidden/>
              </w:rPr>
              <w:fldChar w:fldCharType="end"/>
            </w:r>
          </w:hyperlink>
        </w:p>
        <w:p w14:paraId="3B74DD04" w14:textId="3005BA7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31" w:history="1">
            <w:r w:rsidRPr="00F45DCA">
              <w:rPr>
                <w:rStyle w:val="Lienhypertexte"/>
                <w:noProof/>
              </w:rPr>
              <w:t>21.84.3 Renforcements par collages d'armatures CCTB 01.04</w:t>
            </w:r>
            <w:r>
              <w:rPr>
                <w:noProof/>
                <w:webHidden/>
              </w:rPr>
              <w:tab/>
            </w:r>
            <w:r>
              <w:rPr>
                <w:noProof/>
                <w:webHidden/>
              </w:rPr>
              <w:fldChar w:fldCharType="begin"/>
            </w:r>
            <w:r>
              <w:rPr>
                <w:noProof/>
                <w:webHidden/>
              </w:rPr>
              <w:instrText xml:space="preserve"> PAGEREF _Toc220495631 \h </w:instrText>
            </w:r>
            <w:r>
              <w:rPr>
                <w:noProof/>
                <w:webHidden/>
              </w:rPr>
            </w:r>
            <w:r>
              <w:rPr>
                <w:noProof/>
                <w:webHidden/>
              </w:rPr>
              <w:fldChar w:fldCharType="separate"/>
            </w:r>
            <w:r>
              <w:rPr>
                <w:noProof/>
                <w:webHidden/>
              </w:rPr>
              <w:t>456</w:t>
            </w:r>
            <w:r>
              <w:rPr>
                <w:noProof/>
                <w:webHidden/>
              </w:rPr>
              <w:fldChar w:fldCharType="end"/>
            </w:r>
          </w:hyperlink>
        </w:p>
        <w:p w14:paraId="0D4FA8E4" w14:textId="37032C9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32" w:history="1">
            <w:r w:rsidRPr="00F45DCA">
              <w:rPr>
                <w:rStyle w:val="Lienhypertexte"/>
                <w:noProof/>
              </w:rPr>
              <w:t>21.84.3a Ajouts d'armatures collées en acier CCTB 01.04</w:t>
            </w:r>
            <w:r>
              <w:rPr>
                <w:noProof/>
                <w:webHidden/>
              </w:rPr>
              <w:tab/>
            </w:r>
            <w:r>
              <w:rPr>
                <w:noProof/>
                <w:webHidden/>
              </w:rPr>
              <w:fldChar w:fldCharType="begin"/>
            </w:r>
            <w:r>
              <w:rPr>
                <w:noProof/>
                <w:webHidden/>
              </w:rPr>
              <w:instrText xml:space="preserve"> PAGEREF _Toc220495632 \h </w:instrText>
            </w:r>
            <w:r>
              <w:rPr>
                <w:noProof/>
                <w:webHidden/>
              </w:rPr>
            </w:r>
            <w:r>
              <w:rPr>
                <w:noProof/>
                <w:webHidden/>
              </w:rPr>
              <w:fldChar w:fldCharType="separate"/>
            </w:r>
            <w:r>
              <w:rPr>
                <w:noProof/>
                <w:webHidden/>
              </w:rPr>
              <w:t>456</w:t>
            </w:r>
            <w:r>
              <w:rPr>
                <w:noProof/>
                <w:webHidden/>
              </w:rPr>
              <w:fldChar w:fldCharType="end"/>
            </w:r>
          </w:hyperlink>
        </w:p>
        <w:p w14:paraId="440EDC6A" w14:textId="1AA9FF1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33" w:history="1">
            <w:r w:rsidRPr="00F45DCA">
              <w:rPr>
                <w:rStyle w:val="Lienhypertexte"/>
                <w:noProof/>
              </w:rPr>
              <w:t>21.84.3b Ajouts d'armatures collées en fibres de carbone CCTB 01.04</w:t>
            </w:r>
            <w:r>
              <w:rPr>
                <w:noProof/>
                <w:webHidden/>
              </w:rPr>
              <w:tab/>
            </w:r>
            <w:r>
              <w:rPr>
                <w:noProof/>
                <w:webHidden/>
              </w:rPr>
              <w:fldChar w:fldCharType="begin"/>
            </w:r>
            <w:r>
              <w:rPr>
                <w:noProof/>
                <w:webHidden/>
              </w:rPr>
              <w:instrText xml:space="preserve"> PAGEREF _Toc220495633 \h </w:instrText>
            </w:r>
            <w:r>
              <w:rPr>
                <w:noProof/>
                <w:webHidden/>
              </w:rPr>
            </w:r>
            <w:r>
              <w:rPr>
                <w:noProof/>
                <w:webHidden/>
              </w:rPr>
              <w:fldChar w:fldCharType="separate"/>
            </w:r>
            <w:r>
              <w:rPr>
                <w:noProof/>
                <w:webHidden/>
              </w:rPr>
              <w:t>456</w:t>
            </w:r>
            <w:r>
              <w:rPr>
                <w:noProof/>
                <w:webHidden/>
              </w:rPr>
              <w:fldChar w:fldCharType="end"/>
            </w:r>
          </w:hyperlink>
        </w:p>
        <w:p w14:paraId="092AA115" w14:textId="28196AE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34" w:history="1">
            <w:r w:rsidRPr="00F45DCA">
              <w:rPr>
                <w:rStyle w:val="Lienhypertexte"/>
                <w:noProof/>
              </w:rPr>
              <w:t>21.84.4 Renforcements par projections de béton CCTB 01.04</w:t>
            </w:r>
            <w:r>
              <w:rPr>
                <w:noProof/>
                <w:webHidden/>
              </w:rPr>
              <w:tab/>
            </w:r>
            <w:r>
              <w:rPr>
                <w:noProof/>
                <w:webHidden/>
              </w:rPr>
              <w:fldChar w:fldCharType="begin"/>
            </w:r>
            <w:r>
              <w:rPr>
                <w:noProof/>
                <w:webHidden/>
              </w:rPr>
              <w:instrText xml:space="preserve"> PAGEREF _Toc220495634 \h </w:instrText>
            </w:r>
            <w:r>
              <w:rPr>
                <w:noProof/>
                <w:webHidden/>
              </w:rPr>
            </w:r>
            <w:r>
              <w:rPr>
                <w:noProof/>
                <w:webHidden/>
              </w:rPr>
              <w:fldChar w:fldCharType="separate"/>
            </w:r>
            <w:r>
              <w:rPr>
                <w:noProof/>
                <w:webHidden/>
              </w:rPr>
              <w:t>456</w:t>
            </w:r>
            <w:r>
              <w:rPr>
                <w:noProof/>
                <w:webHidden/>
              </w:rPr>
              <w:fldChar w:fldCharType="end"/>
            </w:r>
          </w:hyperlink>
        </w:p>
        <w:p w14:paraId="43725C8C" w14:textId="5BA1A0A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35" w:history="1">
            <w:r w:rsidRPr="00F45DCA">
              <w:rPr>
                <w:rStyle w:val="Lienhypertexte"/>
                <w:noProof/>
              </w:rPr>
              <w:t>21.84.4a Renforcements par projections de béton CCTB 01.04</w:t>
            </w:r>
            <w:r>
              <w:rPr>
                <w:noProof/>
                <w:webHidden/>
              </w:rPr>
              <w:tab/>
            </w:r>
            <w:r>
              <w:rPr>
                <w:noProof/>
                <w:webHidden/>
              </w:rPr>
              <w:fldChar w:fldCharType="begin"/>
            </w:r>
            <w:r>
              <w:rPr>
                <w:noProof/>
                <w:webHidden/>
              </w:rPr>
              <w:instrText xml:space="preserve"> PAGEREF _Toc220495635 \h </w:instrText>
            </w:r>
            <w:r>
              <w:rPr>
                <w:noProof/>
                <w:webHidden/>
              </w:rPr>
            </w:r>
            <w:r>
              <w:rPr>
                <w:noProof/>
                <w:webHidden/>
              </w:rPr>
              <w:fldChar w:fldCharType="separate"/>
            </w:r>
            <w:r>
              <w:rPr>
                <w:noProof/>
                <w:webHidden/>
              </w:rPr>
              <w:t>456</w:t>
            </w:r>
            <w:r>
              <w:rPr>
                <w:noProof/>
                <w:webHidden/>
              </w:rPr>
              <w:fldChar w:fldCharType="end"/>
            </w:r>
          </w:hyperlink>
        </w:p>
        <w:p w14:paraId="1555505D" w14:textId="37AB80A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36" w:history="1">
            <w:r w:rsidRPr="00F45DCA">
              <w:rPr>
                <w:rStyle w:val="Lienhypertexte"/>
                <w:noProof/>
              </w:rPr>
              <w:t>21.84.5 Renforcements par ajout de structures internes CCTB 01.04</w:t>
            </w:r>
            <w:r>
              <w:rPr>
                <w:noProof/>
                <w:webHidden/>
              </w:rPr>
              <w:tab/>
            </w:r>
            <w:r>
              <w:rPr>
                <w:noProof/>
                <w:webHidden/>
              </w:rPr>
              <w:fldChar w:fldCharType="begin"/>
            </w:r>
            <w:r>
              <w:rPr>
                <w:noProof/>
                <w:webHidden/>
              </w:rPr>
              <w:instrText xml:space="preserve"> PAGEREF _Toc220495636 \h </w:instrText>
            </w:r>
            <w:r>
              <w:rPr>
                <w:noProof/>
                <w:webHidden/>
              </w:rPr>
            </w:r>
            <w:r>
              <w:rPr>
                <w:noProof/>
                <w:webHidden/>
              </w:rPr>
              <w:fldChar w:fldCharType="separate"/>
            </w:r>
            <w:r>
              <w:rPr>
                <w:noProof/>
                <w:webHidden/>
              </w:rPr>
              <w:t>456</w:t>
            </w:r>
            <w:r>
              <w:rPr>
                <w:noProof/>
                <w:webHidden/>
              </w:rPr>
              <w:fldChar w:fldCharType="end"/>
            </w:r>
          </w:hyperlink>
        </w:p>
        <w:p w14:paraId="04F8A9AD" w14:textId="478C7D0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37" w:history="1">
            <w:r w:rsidRPr="00F45DCA">
              <w:rPr>
                <w:rStyle w:val="Lienhypertexte"/>
                <w:noProof/>
              </w:rPr>
              <w:t>21.84.5a Renforcements localisés par poutre en béton armé dans une maçonnerie (angles, etc.) CCTB 01.04</w:t>
            </w:r>
            <w:r>
              <w:rPr>
                <w:noProof/>
                <w:webHidden/>
              </w:rPr>
              <w:tab/>
            </w:r>
            <w:r>
              <w:rPr>
                <w:noProof/>
                <w:webHidden/>
              </w:rPr>
              <w:fldChar w:fldCharType="begin"/>
            </w:r>
            <w:r>
              <w:rPr>
                <w:noProof/>
                <w:webHidden/>
              </w:rPr>
              <w:instrText xml:space="preserve"> PAGEREF _Toc220495637 \h </w:instrText>
            </w:r>
            <w:r>
              <w:rPr>
                <w:noProof/>
                <w:webHidden/>
              </w:rPr>
            </w:r>
            <w:r>
              <w:rPr>
                <w:noProof/>
                <w:webHidden/>
              </w:rPr>
              <w:fldChar w:fldCharType="separate"/>
            </w:r>
            <w:r>
              <w:rPr>
                <w:noProof/>
                <w:webHidden/>
              </w:rPr>
              <w:t>456</w:t>
            </w:r>
            <w:r>
              <w:rPr>
                <w:noProof/>
                <w:webHidden/>
              </w:rPr>
              <w:fldChar w:fldCharType="end"/>
            </w:r>
          </w:hyperlink>
        </w:p>
        <w:p w14:paraId="5291F391" w14:textId="2FA85AC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38" w:history="1">
            <w:r w:rsidRPr="00F45DCA">
              <w:rPr>
                <w:rStyle w:val="Lienhypertexte"/>
                <w:noProof/>
              </w:rPr>
              <w:t>21.84.5b Ajouts de barres métalliques internes (démontage + pose + remontage) CCTB 01.04</w:t>
            </w:r>
            <w:r>
              <w:rPr>
                <w:noProof/>
                <w:webHidden/>
              </w:rPr>
              <w:tab/>
            </w:r>
            <w:r>
              <w:rPr>
                <w:noProof/>
                <w:webHidden/>
              </w:rPr>
              <w:fldChar w:fldCharType="begin"/>
            </w:r>
            <w:r>
              <w:rPr>
                <w:noProof/>
                <w:webHidden/>
              </w:rPr>
              <w:instrText xml:space="preserve"> PAGEREF _Toc220495638 \h </w:instrText>
            </w:r>
            <w:r>
              <w:rPr>
                <w:noProof/>
                <w:webHidden/>
              </w:rPr>
            </w:r>
            <w:r>
              <w:rPr>
                <w:noProof/>
                <w:webHidden/>
              </w:rPr>
              <w:fldChar w:fldCharType="separate"/>
            </w:r>
            <w:r>
              <w:rPr>
                <w:noProof/>
                <w:webHidden/>
              </w:rPr>
              <w:t>456</w:t>
            </w:r>
            <w:r>
              <w:rPr>
                <w:noProof/>
                <w:webHidden/>
              </w:rPr>
              <w:fldChar w:fldCharType="end"/>
            </w:r>
          </w:hyperlink>
        </w:p>
        <w:p w14:paraId="4439D179" w14:textId="2E80E49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39" w:history="1">
            <w:r w:rsidRPr="00F45DCA">
              <w:rPr>
                <w:rStyle w:val="Lienhypertexte"/>
                <w:noProof/>
              </w:rPr>
              <w:t>21.84.6 Renforcements par ajout de structures externes CCTB 01.04</w:t>
            </w:r>
            <w:r>
              <w:rPr>
                <w:noProof/>
                <w:webHidden/>
              </w:rPr>
              <w:tab/>
            </w:r>
            <w:r>
              <w:rPr>
                <w:noProof/>
                <w:webHidden/>
              </w:rPr>
              <w:fldChar w:fldCharType="begin"/>
            </w:r>
            <w:r>
              <w:rPr>
                <w:noProof/>
                <w:webHidden/>
              </w:rPr>
              <w:instrText xml:space="preserve"> PAGEREF _Toc220495639 \h </w:instrText>
            </w:r>
            <w:r>
              <w:rPr>
                <w:noProof/>
                <w:webHidden/>
              </w:rPr>
            </w:r>
            <w:r>
              <w:rPr>
                <w:noProof/>
                <w:webHidden/>
              </w:rPr>
              <w:fldChar w:fldCharType="separate"/>
            </w:r>
            <w:r>
              <w:rPr>
                <w:noProof/>
                <w:webHidden/>
              </w:rPr>
              <w:t>456</w:t>
            </w:r>
            <w:r>
              <w:rPr>
                <w:noProof/>
                <w:webHidden/>
              </w:rPr>
              <w:fldChar w:fldCharType="end"/>
            </w:r>
          </w:hyperlink>
        </w:p>
        <w:p w14:paraId="7925F9F4" w14:textId="6553E66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40" w:history="1">
            <w:r w:rsidRPr="00F45DCA">
              <w:rPr>
                <w:rStyle w:val="Lienhypertexte"/>
                <w:noProof/>
              </w:rPr>
              <w:t>21.84.6a Ajouts de tirants métalliques externes CCTB 01.04</w:t>
            </w:r>
            <w:r>
              <w:rPr>
                <w:noProof/>
                <w:webHidden/>
              </w:rPr>
              <w:tab/>
            </w:r>
            <w:r>
              <w:rPr>
                <w:noProof/>
                <w:webHidden/>
              </w:rPr>
              <w:fldChar w:fldCharType="begin"/>
            </w:r>
            <w:r>
              <w:rPr>
                <w:noProof/>
                <w:webHidden/>
              </w:rPr>
              <w:instrText xml:space="preserve"> PAGEREF _Toc220495640 \h </w:instrText>
            </w:r>
            <w:r>
              <w:rPr>
                <w:noProof/>
                <w:webHidden/>
              </w:rPr>
            </w:r>
            <w:r>
              <w:rPr>
                <w:noProof/>
                <w:webHidden/>
              </w:rPr>
              <w:fldChar w:fldCharType="separate"/>
            </w:r>
            <w:r>
              <w:rPr>
                <w:noProof/>
                <w:webHidden/>
              </w:rPr>
              <w:t>456</w:t>
            </w:r>
            <w:r>
              <w:rPr>
                <w:noProof/>
                <w:webHidden/>
              </w:rPr>
              <w:fldChar w:fldCharType="end"/>
            </w:r>
          </w:hyperlink>
        </w:p>
        <w:p w14:paraId="40F2EE2A" w14:textId="342AE30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41" w:history="1">
            <w:r w:rsidRPr="00F45DCA">
              <w:rPr>
                <w:rStyle w:val="Lienhypertexte"/>
                <w:noProof/>
              </w:rPr>
              <w:t>21.84.6b Renforcements par ajout de poutres de ceinture en béton armé CCTB 01.04</w:t>
            </w:r>
            <w:r>
              <w:rPr>
                <w:noProof/>
                <w:webHidden/>
              </w:rPr>
              <w:tab/>
            </w:r>
            <w:r>
              <w:rPr>
                <w:noProof/>
                <w:webHidden/>
              </w:rPr>
              <w:fldChar w:fldCharType="begin"/>
            </w:r>
            <w:r>
              <w:rPr>
                <w:noProof/>
                <w:webHidden/>
              </w:rPr>
              <w:instrText xml:space="preserve"> PAGEREF _Toc220495641 \h </w:instrText>
            </w:r>
            <w:r>
              <w:rPr>
                <w:noProof/>
                <w:webHidden/>
              </w:rPr>
            </w:r>
            <w:r>
              <w:rPr>
                <w:noProof/>
                <w:webHidden/>
              </w:rPr>
              <w:fldChar w:fldCharType="separate"/>
            </w:r>
            <w:r>
              <w:rPr>
                <w:noProof/>
                <w:webHidden/>
              </w:rPr>
              <w:t>456</w:t>
            </w:r>
            <w:r>
              <w:rPr>
                <w:noProof/>
                <w:webHidden/>
              </w:rPr>
              <w:fldChar w:fldCharType="end"/>
            </w:r>
          </w:hyperlink>
        </w:p>
        <w:p w14:paraId="42A7AA15" w14:textId="15F25A5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42" w:history="1">
            <w:r w:rsidRPr="00F45DCA">
              <w:rPr>
                <w:rStyle w:val="Lienhypertexte"/>
                <w:noProof/>
              </w:rPr>
              <w:t>21.84.6c Couches de compression sur voûtes CCTB 01.02</w:t>
            </w:r>
            <w:r>
              <w:rPr>
                <w:noProof/>
                <w:webHidden/>
              </w:rPr>
              <w:tab/>
            </w:r>
            <w:r>
              <w:rPr>
                <w:noProof/>
                <w:webHidden/>
              </w:rPr>
              <w:fldChar w:fldCharType="begin"/>
            </w:r>
            <w:r>
              <w:rPr>
                <w:noProof/>
                <w:webHidden/>
              </w:rPr>
              <w:instrText xml:space="preserve"> PAGEREF _Toc220495642 \h </w:instrText>
            </w:r>
            <w:r>
              <w:rPr>
                <w:noProof/>
                <w:webHidden/>
              </w:rPr>
            </w:r>
            <w:r>
              <w:rPr>
                <w:noProof/>
                <w:webHidden/>
              </w:rPr>
              <w:fldChar w:fldCharType="separate"/>
            </w:r>
            <w:r>
              <w:rPr>
                <w:noProof/>
                <w:webHidden/>
              </w:rPr>
              <w:t>456</w:t>
            </w:r>
            <w:r>
              <w:rPr>
                <w:noProof/>
                <w:webHidden/>
              </w:rPr>
              <w:fldChar w:fldCharType="end"/>
            </w:r>
          </w:hyperlink>
        </w:p>
        <w:p w14:paraId="3534C5E4" w14:textId="3315DB0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43" w:history="1">
            <w:r w:rsidRPr="00F45DCA">
              <w:rPr>
                <w:rStyle w:val="Lienhypertexte"/>
                <w:noProof/>
              </w:rPr>
              <w:t>21.84.6d Structures de délestage autour d'une structure existante CCTB 01.04</w:t>
            </w:r>
            <w:r>
              <w:rPr>
                <w:noProof/>
                <w:webHidden/>
              </w:rPr>
              <w:tab/>
            </w:r>
            <w:r>
              <w:rPr>
                <w:noProof/>
                <w:webHidden/>
              </w:rPr>
              <w:fldChar w:fldCharType="begin"/>
            </w:r>
            <w:r>
              <w:rPr>
                <w:noProof/>
                <w:webHidden/>
              </w:rPr>
              <w:instrText xml:space="preserve"> PAGEREF _Toc220495643 \h </w:instrText>
            </w:r>
            <w:r>
              <w:rPr>
                <w:noProof/>
                <w:webHidden/>
              </w:rPr>
            </w:r>
            <w:r>
              <w:rPr>
                <w:noProof/>
                <w:webHidden/>
              </w:rPr>
              <w:fldChar w:fldCharType="separate"/>
            </w:r>
            <w:r>
              <w:rPr>
                <w:noProof/>
                <w:webHidden/>
              </w:rPr>
              <w:t>456</w:t>
            </w:r>
            <w:r>
              <w:rPr>
                <w:noProof/>
                <w:webHidden/>
              </w:rPr>
              <w:fldChar w:fldCharType="end"/>
            </w:r>
          </w:hyperlink>
        </w:p>
        <w:p w14:paraId="449882A3" w14:textId="11608ED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44" w:history="1">
            <w:r w:rsidRPr="00F45DCA">
              <w:rPr>
                <w:rStyle w:val="Lienhypertexte"/>
                <w:noProof/>
              </w:rPr>
              <w:t>21.84.6e Carcanages en tête de construction CCTB 01.04</w:t>
            </w:r>
            <w:r>
              <w:rPr>
                <w:noProof/>
                <w:webHidden/>
              </w:rPr>
              <w:tab/>
            </w:r>
            <w:r>
              <w:rPr>
                <w:noProof/>
                <w:webHidden/>
              </w:rPr>
              <w:fldChar w:fldCharType="begin"/>
            </w:r>
            <w:r>
              <w:rPr>
                <w:noProof/>
                <w:webHidden/>
              </w:rPr>
              <w:instrText xml:space="preserve"> PAGEREF _Toc220495644 \h </w:instrText>
            </w:r>
            <w:r>
              <w:rPr>
                <w:noProof/>
                <w:webHidden/>
              </w:rPr>
            </w:r>
            <w:r>
              <w:rPr>
                <w:noProof/>
                <w:webHidden/>
              </w:rPr>
              <w:fldChar w:fldCharType="separate"/>
            </w:r>
            <w:r>
              <w:rPr>
                <w:noProof/>
                <w:webHidden/>
              </w:rPr>
              <w:t>456</w:t>
            </w:r>
            <w:r>
              <w:rPr>
                <w:noProof/>
                <w:webHidden/>
              </w:rPr>
              <w:fldChar w:fldCharType="end"/>
            </w:r>
          </w:hyperlink>
        </w:p>
        <w:p w14:paraId="29D873A5" w14:textId="329275BD"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645" w:history="1">
            <w:r w:rsidRPr="00F45DCA">
              <w:rPr>
                <w:rStyle w:val="Lienhypertexte"/>
                <w:noProof/>
              </w:rPr>
              <w:t>21.85 Adaptations CCTB 01.07</w:t>
            </w:r>
            <w:r>
              <w:rPr>
                <w:noProof/>
                <w:webHidden/>
              </w:rPr>
              <w:tab/>
            </w:r>
            <w:r>
              <w:rPr>
                <w:noProof/>
                <w:webHidden/>
              </w:rPr>
              <w:fldChar w:fldCharType="begin"/>
            </w:r>
            <w:r>
              <w:rPr>
                <w:noProof/>
                <w:webHidden/>
              </w:rPr>
              <w:instrText xml:space="preserve"> PAGEREF _Toc220495645 \h </w:instrText>
            </w:r>
            <w:r>
              <w:rPr>
                <w:noProof/>
                <w:webHidden/>
              </w:rPr>
            </w:r>
            <w:r>
              <w:rPr>
                <w:noProof/>
                <w:webHidden/>
              </w:rPr>
              <w:fldChar w:fldCharType="separate"/>
            </w:r>
            <w:r>
              <w:rPr>
                <w:noProof/>
                <w:webHidden/>
              </w:rPr>
              <w:t>456</w:t>
            </w:r>
            <w:r>
              <w:rPr>
                <w:noProof/>
                <w:webHidden/>
              </w:rPr>
              <w:fldChar w:fldCharType="end"/>
            </w:r>
          </w:hyperlink>
        </w:p>
        <w:p w14:paraId="6FD93EE8" w14:textId="352722B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46" w:history="1">
            <w:r w:rsidRPr="00F45DCA">
              <w:rPr>
                <w:rStyle w:val="Lienhypertexte"/>
                <w:noProof/>
              </w:rPr>
              <w:t>21.85.1 Réalisations de liaisonnement entre maçonneries existante et nouvelle (construction en arrachement) CCTB 01.02</w:t>
            </w:r>
            <w:r>
              <w:rPr>
                <w:noProof/>
                <w:webHidden/>
              </w:rPr>
              <w:tab/>
            </w:r>
            <w:r>
              <w:rPr>
                <w:noProof/>
                <w:webHidden/>
              </w:rPr>
              <w:fldChar w:fldCharType="begin"/>
            </w:r>
            <w:r>
              <w:rPr>
                <w:noProof/>
                <w:webHidden/>
              </w:rPr>
              <w:instrText xml:space="preserve"> PAGEREF _Toc220495646 \h </w:instrText>
            </w:r>
            <w:r>
              <w:rPr>
                <w:noProof/>
                <w:webHidden/>
              </w:rPr>
            </w:r>
            <w:r>
              <w:rPr>
                <w:noProof/>
                <w:webHidden/>
              </w:rPr>
              <w:fldChar w:fldCharType="separate"/>
            </w:r>
            <w:r>
              <w:rPr>
                <w:noProof/>
                <w:webHidden/>
              </w:rPr>
              <w:t>457</w:t>
            </w:r>
            <w:r>
              <w:rPr>
                <w:noProof/>
                <w:webHidden/>
              </w:rPr>
              <w:fldChar w:fldCharType="end"/>
            </w:r>
          </w:hyperlink>
        </w:p>
        <w:p w14:paraId="7C4F2C6F" w14:textId="18D4701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47" w:history="1">
            <w:r w:rsidRPr="00F45DCA">
              <w:rPr>
                <w:rStyle w:val="Lienhypertexte"/>
                <w:noProof/>
              </w:rPr>
              <w:t>21.85.1a Réalisations de liaisonnement entre maçonneries existante et nouvelle CCTB 01.02</w:t>
            </w:r>
            <w:r>
              <w:rPr>
                <w:noProof/>
                <w:webHidden/>
              </w:rPr>
              <w:tab/>
            </w:r>
            <w:r>
              <w:rPr>
                <w:noProof/>
                <w:webHidden/>
              </w:rPr>
              <w:fldChar w:fldCharType="begin"/>
            </w:r>
            <w:r>
              <w:rPr>
                <w:noProof/>
                <w:webHidden/>
              </w:rPr>
              <w:instrText xml:space="preserve"> PAGEREF _Toc220495647 \h </w:instrText>
            </w:r>
            <w:r>
              <w:rPr>
                <w:noProof/>
                <w:webHidden/>
              </w:rPr>
            </w:r>
            <w:r>
              <w:rPr>
                <w:noProof/>
                <w:webHidden/>
              </w:rPr>
              <w:fldChar w:fldCharType="separate"/>
            </w:r>
            <w:r>
              <w:rPr>
                <w:noProof/>
                <w:webHidden/>
              </w:rPr>
              <w:t>457</w:t>
            </w:r>
            <w:r>
              <w:rPr>
                <w:noProof/>
                <w:webHidden/>
              </w:rPr>
              <w:fldChar w:fldCharType="end"/>
            </w:r>
          </w:hyperlink>
        </w:p>
        <w:p w14:paraId="04689CBB" w14:textId="48F63D6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48" w:history="1">
            <w:r w:rsidRPr="00F45DCA">
              <w:rPr>
                <w:rStyle w:val="Lienhypertexte"/>
                <w:noProof/>
              </w:rPr>
              <w:t>21.85.2 Adaptations de maçonneries pour baies / passages CCTB 01.11</w:t>
            </w:r>
            <w:r>
              <w:rPr>
                <w:noProof/>
                <w:webHidden/>
              </w:rPr>
              <w:tab/>
            </w:r>
            <w:r>
              <w:rPr>
                <w:noProof/>
                <w:webHidden/>
              </w:rPr>
              <w:fldChar w:fldCharType="begin"/>
            </w:r>
            <w:r>
              <w:rPr>
                <w:noProof/>
                <w:webHidden/>
              </w:rPr>
              <w:instrText xml:space="preserve"> PAGEREF _Toc220495648 \h </w:instrText>
            </w:r>
            <w:r>
              <w:rPr>
                <w:noProof/>
                <w:webHidden/>
              </w:rPr>
            </w:r>
            <w:r>
              <w:rPr>
                <w:noProof/>
                <w:webHidden/>
              </w:rPr>
              <w:fldChar w:fldCharType="separate"/>
            </w:r>
            <w:r>
              <w:rPr>
                <w:noProof/>
                <w:webHidden/>
              </w:rPr>
              <w:t>457</w:t>
            </w:r>
            <w:r>
              <w:rPr>
                <w:noProof/>
                <w:webHidden/>
              </w:rPr>
              <w:fldChar w:fldCharType="end"/>
            </w:r>
          </w:hyperlink>
        </w:p>
        <w:p w14:paraId="3C5175E5" w14:textId="6457EC9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49" w:history="1">
            <w:r w:rsidRPr="00F45DCA">
              <w:rPr>
                <w:rStyle w:val="Lienhypertexte"/>
                <w:noProof/>
              </w:rPr>
              <w:t>21.85.2a Créations de baies dans maçonneries CCTB 01.04</w:t>
            </w:r>
            <w:r>
              <w:rPr>
                <w:noProof/>
                <w:webHidden/>
              </w:rPr>
              <w:tab/>
            </w:r>
            <w:r>
              <w:rPr>
                <w:noProof/>
                <w:webHidden/>
              </w:rPr>
              <w:fldChar w:fldCharType="begin"/>
            </w:r>
            <w:r>
              <w:rPr>
                <w:noProof/>
                <w:webHidden/>
              </w:rPr>
              <w:instrText xml:space="preserve"> PAGEREF _Toc220495649 \h </w:instrText>
            </w:r>
            <w:r>
              <w:rPr>
                <w:noProof/>
                <w:webHidden/>
              </w:rPr>
            </w:r>
            <w:r>
              <w:rPr>
                <w:noProof/>
                <w:webHidden/>
              </w:rPr>
              <w:fldChar w:fldCharType="separate"/>
            </w:r>
            <w:r>
              <w:rPr>
                <w:noProof/>
                <w:webHidden/>
              </w:rPr>
              <w:t>458</w:t>
            </w:r>
            <w:r>
              <w:rPr>
                <w:noProof/>
                <w:webHidden/>
              </w:rPr>
              <w:fldChar w:fldCharType="end"/>
            </w:r>
          </w:hyperlink>
        </w:p>
        <w:p w14:paraId="1C24A25E" w14:textId="0ABCF10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50" w:history="1">
            <w:r w:rsidRPr="00F45DCA">
              <w:rPr>
                <w:rStyle w:val="Lienhypertexte"/>
                <w:noProof/>
              </w:rPr>
              <w:t>21.85.2b Adaptations dimensionnelles de baies existantes dans maçonneries CCTB 01.04</w:t>
            </w:r>
            <w:r>
              <w:rPr>
                <w:noProof/>
                <w:webHidden/>
              </w:rPr>
              <w:tab/>
            </w:r>
            <w:r>
              <w:rPr>
                <w:noProof/>
                <w:webHidden/>
              </w:rPr>
              <w:fldChar w:fldCharType="begin"/>
            </w:r>
            <w:r>
              <w:rPr>
                <w:noProof/>
                <w:webHidden/>
              </w:rPr>
              <w:instrText xml:space="preserve"> PAGEREF _Toc220495650 \h </w:instrText>
            </w:r>
            <w:r>
              <w:rPr>
                <w:noProof/>
                <w:webHidden/>
              </w:rPr>
            </w:r>
            <w:r>
              <w:rPr>
                <w:noProof/>
                <w:webHidden/>
              </w:rPr>
              <w:fldChar w:fldCharType="separate"/>
            </w:r>
            <w:r>
              <w:rPr>
                <w:noProof/>
                <w:webHidden/>
              </w:rPr>
              <w:t>458</w:t>
            </w:r>
            <w:r>
              <w:rPr>
                <w:noProof/>
                <w:webHidden/>
              </w:rPr>
              <w:fldChar w:fldCharType="end"/>
            </w:r>
          </w:hyperlink>
        </w:p>
        <w:p w14:paraId="4475B143" w14:textId="0B9765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51" w:history="1">
            <w:r w:rsidRPr="00F45DCA">
              <w:rPr>
                <w:rStyle w:val="Lienhypertexte"/>
                <w:noProof/>
              </w:rPr>
              <w:t>21.85.2c Obturations de baies existantes dans maçonneries CCTB 01.11</w:t>
            </w:r>
            <w:r>
              <w:rPr>
                <w:noProof/>
                <w:webHidden/>
              </w:rPr>
              <w:tab/>
            </w:r>
            <w:r>
              <w:rPr>
                <w:noProof/>
                <w:webHidden/>
              </w:rPr>
              <w:fldChar w:fldCharType="begin"/>
            </w:r>
            <w:r>
              <w:rPr>
                <w:noProof/>
                <w:webHidden/>
              </w:rPr>
              <w:instrText xml:space="preserve"> PAGEREF _Toc220495651 \h </w:instrText>
            </w:r>
            <w:r>
              <w:rPr>
                <w:noProof/>
                <w:webHidden/>
              </w:rPr>
            </w:r>
            <w:r>
              <w:rPr>
                <w:noProof/>
                <w:webHidden/>
              </w:rPr>
              <w:fldChar w:fldCharType="separate"/>
            </w:r>
            <w:r>
              <w:rPr>
                <w:noProof/>
                <w:webHidden/>
              </w:rPr>
              <w:t>458</w:t>
            </w:r>
            <w:r>
              <w:rPr>
                <w:noProof/>
                <w:webHidden/>
              </w:rPr>
              <w:fldChar w:fldCharType="end"/>
            </w:r>
          </w:hyperlink>
        </w:p>
        <w:p w14:paraId="721E2B42" w14:textId="362E3C2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52" w:history="1">
            <w:r w:rsidRPr="00F45DCA">
              <w:rPr>
                <w:rStyle w:val="Lienhypertexte"/>
                <w:noProof/>
              </w:rPr>
              <w:t>21.85.3 Réalisations d'asselets en béton armé dans une maçonnerie existante CCTB 01.02</w:t>
            </w:r>
            <w:r>
              <w:rPr>
                <w:noProof/>
                <w:webHidden/>
              </w:rPr>
              <w:tab/>
            </w:r>
            <w:r>
              <w:rPr>
                <w:noProof/>
                <w:webHidden/>
              </w:rPr>
              <w:fldChar w:fldCharType="begin"/>
            </w:r>
            <w:r>
              <w:rPr>
                <w:noProof/>
                <w:webHidden/>
              </w:rPr>
              <w:instrText xml:space="preserve"> PAGEREF _Toc220495652 \h </w:instrText>
            </w:r>
            <w:r>
              <w:rPr>
                <w:noProof/>
                <w:webHidden/>
              </w:rPr>
            </w:r>
            <w:r>
              <w:rPr>
                <w:noProof/>
                <w:webHidden/>
              </w:rPr>
              <w:fldChar w:fldCharType="separate"/>
            </w:r>
            <w:r>
              <w:rPr>
                <w:noProof/>
                <w:webHidden/>
              </w:rPr>
              <w:t>460</w:t>
            </w:r>
            <w:r>
              <w:rPr>
                <w:noProof/>
                <w:webHidden/>
              </w:rPr>
              <w:fldChar w:fldCharType="end"/>
            </w:r>
          </w:hyperlink>
        </w:p>
        <w:p w14:paraId="0A6E6D9A" w14:textId="14F43E3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53" w:history="1">
            <w:r w:rsidRPr="00F45DCA">
              <w:rPr>
                <w:rStyle w:val="Lienhypertexte"/>
                <w:noProof/>
              </w:rPr>
              <w:t>21.85.3a Réalisations d'asselets en béton armé dans une maçonnerie existante CCTB 01.11</w:t>
            </w:r>
            <w:r>
              <w:rPr>
                <w:noProof/>
                <w:webHidden/>
              </w:rPr>
              <w:tab/>
            </w:r>
            <w:r>
              <w:rPr>
                <w:noProof/>
                <w:webHidden/>
              </w:rPr>
              <w:fldChar w:fldCharType="begin"/>
            </w:r>
            <w:r>
              <w:rPr>
                <w:noProof/>
                <w:webHidden/>
              </w:rPr>
              <w:instrText xml:space="preserve"> PAGEREF _Toc220495653 \h </w:instrText>
            </w:r>
            <w:r>
              <w:rPr>
                <w:noProof/>
                <w:webHidden/>
              </w:rPr>
            </w:r>
            <w:r>
              <w:rPr>
                <w:noProof/>
                <w:webHidden/>
              </w:rPr>
              <w:fldChar w:fldCharType="separate"/>
            </w:r>
            <w:r>
              <w:rPr>
                <w:noProof/>
                <w:webHidden/>
              </w:rPr>
              <w:t>460</w:t>
            </w:r>
            <w:r>
              <w:rPr>
                <w:noProof/>
                <w:webHidden/>
              </w:rPr>
              <w:fldChar w:fldCharType="end"/>
            </w:r>
          </w:hyperlink>
        </w:p>
        <w:p w14:paraId="496F72B4" w14:textId="6C25AC2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54" w:history="1">
            <w:r w:rsidRPr="00F45DCA">
              <w:rPr>
                <w:rStyle w:val="Lienhypertexte"/>
                <w:noProof/>
              </w:rPr>
              <w:t>21.85.4 Créations d'assise CCTB 01.04</w:t>
            </w:r>
            <w:r>
              <w:rPr>
                <w:noProof/>
                <w:webHidden/>
              </w:rPr>
              <w:tab/>
            </w:r>
            <w:r>
              <w:rPr>
                <w:noProof/>
                <w:webHidden/>
              </w:rPr>
              <w:fldChar w:fldCharType="begin"/>
            </w:r>
            <w:r>
              <w:rPr>
                <w:noProof/>
                <w:webHidden/>
              </w:rPr>
              <w:instrText xml:space="preserve"> PAGEREF _Toc220495654 \h </w:instrText>
            </w:r>
            <w:r>
              <w:rPr>
                <w:noProof/>
                <w:webHidden/>
              </w:rPr>
            </w:r>
            <w:r>
              <w:rPr>
                <w:noProof/>
                <w:webHidden/>
              </w:rPr>
              <w:fldChar w:fldCharType="separate"/>
            </w:r>
            <w:r>
              <w:rPr>
                <w:noProof/>
                <w:webHidden/>
              </w:rPr>
              <w:t>462</w:t>
            </w:r>
            <w:r>
              <w:rPr>
                <w:noProof/>
                <w:webHidden/>
              </w:rPr>
              <w:fldChar w:fldCharType="end"/>
            </w:r>
          </w:hyperlink>
        </w:p>
        <w:p w14:paraId="5390415A" w14:textId="6E53F67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55" w:history="1">
            <w:r w:rsidRPr="00F45DCA">
              <w:rPr>
                <w:rStyle w:val="Lienhypertexte"/>
                <w:noProof/>
              </w:rPr>
              <w:t>21.85.4a Créations d'assise par évidement de maçonnerie existante CCTB 01.02</w:t>
            </w:r>
            <w:r>
              <w:rPr>
                <w:noProof/>
                <w:webHidden/>
              </w:rPr>
              <w:tab/>
            </w:r>
            <w:r>
              <w:rPr>
                <w:noProof/>
                <w:webHidden/>
              </w:rPr>
              <w:fldChar w:fldCharType="begin"/>
            </w:r>
            <w:r>
              <w:rPr>
                <w:noProof/>
                <w:webHidden/>
              </w:rPr>
              <w:instrText xml:space="preserve"> PAGEREF _Toc220495655 \h </w:instrText>
            </w:r>
            <w:r>
              <w:rPr>
                <w:noProof/>
                <w:webHidden/>
              </w:rPr>
            </w:r>
            <w:r>
              <w:rPr>
                <w:noProof/>
                <w:webHidden/>
              </w:rPr>
              <w:fldChar w:fldCharType="separate"/>
            </w:r>
            <w:r>
              <w:rPr>
                <w:noProof/>
                <w:webHidden/>
              </w:rPr>
              <w:t>462</w:t>
            </w:r>
            <w:r>
              <w:rPr>
                <w:noProof/>
                <w:webHidden/>
              </w:rPr>
              <w:fldChar w:fldCharType="end"/>
            </w:r>
          </w:hyperlink>
        </w:p>
        <w:p w14:paraId="6027EAFE" w14:textId="4746E8E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56" w:history="1">
            <w:r w:rsidRPr="00F45DCA">
              <w:rPr>
                <w:rStyle w:val="Lienhypertexte"/>
                <w:noProof/>
              </w:rPr>
              <w:t>21.85.4b Reprises d'arase des maçonneries CCTB 01.04</w:t>
            </w:r>
            <w:r>
              <w:rPr>
                <w:noProof/>
                <w:webHidden/>
              </w:rPr>
              <w:tab/>
            </w:r>
            <w:r>
              <w:rPr>
                <w:noProof/>
                <w:webHidden/>
              </w:rPr>
              <w:fldChar w:fldCharType="begin"/>
            </w:r>
            <w:r>
              <w:rPr>
                <w:noProof/>
                <w:webHidden/>
              </w:rPr>
              <w:instrText xml:space="preserve"> PAGEREF _Toc220495656 \h </w:instrText>
            </w:r>
            <w:r>
              <w:rPr>
                <w:noProof/>
                <w:webHidden/>
              </w:rPr>
            </w:r>
            <w:r>
              <w:rPr>
                <w:noProof/>
                <w:webHidden/>
              </w:rPr>
              <w:fldChar w:fldCharType="separate"/>
            </w:r>
            <w:r>
              <w:rPr>
                <w:noProof/>
                <w:webHidden/>
              </w:rPr>
              <w:t>462</w:t>
            </w:r>
            <w:r>
              <w:rPr>
                <w:noProof/>
                <w:webHidden/>
              </w:rPr>
              <w:fldChar w:fldCharType="end"/>
            </w:r>
          </w:hyperlink>
        </w:p>
        <w:p w14:paraId="766EEF2E" w14:textId="6BC78C8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57" w:history="1">
            <w:r w:rsidRPr="00F45DCA">
              <w:rPr>
                <w:rStyle w:val="Lienhypertexte"/>
                <w:noProof/>
              </w:rPr>
              <w:t>21.85.4c Chapes sous-sablière CCTB 01.04</w:t>
            </w:r>
            <w:r>
              <w:rPr>
                <w:noProof/>
                <w:webHidden/>
              </w:rPr>
              <w:tab/>
            </w:r>
            <w:r>
              <w:rPr>
                <w:noProof/>
                <w:webHidden/>
              </w:rPr>
              <w:fldChar w:fldCharType="begin"/>
            </w:r>
            <w:r>
              <w:rPr>
                <w:noProof/>
                <w:webHidden/>
              </w:rPr>
              <w:instrText xml:space="preserve"> PAGEREF _Toc220495657 \h </w:instrText>
            </w:r>
            <w:r>
              <w:rPr>
                <w:noProof/>
                <w:webHidden/>
              </w:rPr>
            </w:r>
            <w:r>
              <w:rPr>
                <w:noProof/>
                <w:webHidden/>
              </w:rPr>
              <w:fldChar w:fldCharType="separate"/>
            </w:r>
            <w:r>
              <w:rPr>
                <w:noProof/>
                <w:webHidden/>
              </w:rPr>
              <w:t>462</w:t>
            </w:r>
            <w:r>
              <w:rPr>
                <w:noProof/>
                <w:webHidden/>
              </w:rPr>
              <w:fldChar w:fldCharType="end"/>
            </w:r>
          </w:hyperlink>
        </w:p>
        <w:p w14:paraId="18DAC0E8" w14:textId="3FA4FFC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58" w:history="1">
            <w:r w:rsidRPr="00F45DCA">
              <w:rPr>
                <w:rStyle w:val="Lienhypertexte"/>
                <w:noProof/>
              </w:rPr>
              <w:t>21.85.5 Petits ouvrages dans les maçonneries CCTB 01.04</w:t>
            </w:r>
            <w:r>
              <w:rPr>
                <w:noProof/>
                <w:webHidden/>
              </w:rPr>
              <w:tab/>
            </w:r>
            <w:r>
              <w:rPr>
                <w:noProof/>
                <w:webHidden/>
              </w:rPr>
              <w:fldChar w:fldCharType="begin"/>
            </w:r>
            <w:r>
              <w:rPr>
                <w:noProof/>
                <w:webHidden/>
              </w:rPr>
              <w:instrText xml:space="preserve"> PAGEREF _Toc220495658 \h </w:instrText>
            </w:r>
            <w:r>
              <w:rPr>
                <w:noProof/>
                <w:webHidden/>
              </w:rPr>
            </w:r>
            <w:r>
              <w:rPr>
                <w:noProof/>
                <w:webHidden/>
              </w:rPr>
              <w:fldChar w:fldCharType="separate"/>
            </w:r>
            <w:r>
              <w:rPr>
                <w:noProof/>
                <w:webHidden/>
              </w:rPr>
              <w:t>462</w:t>
            </w:r>
            <w:r>
              <w:rPr>
                <w:noProof/>
                <w:webHidden/>
              </w:rPr>
              <w:fldChar w:fldCharType="end"/>
            </w:r>
          </w:hyperlink>
        </w:p>
        <w:p w14:paraId="1B274E3D" w14:textId="6B176BA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59" w:history="1">
            <w:r w:rsidRPr="00F45DCA">
              <w:rPr>
                <w:rStyle w:val="Lienhypertexte"/>
                <w:noProof/>
              </w:rPr>
              <w:t>21.85.5a Petits ouvrages dans les maçonneries CCTB 01.04</w:t>
            </w:r>
            <w:r>
              <w:rPr>
                <w:noProof/>
                <w:webHidden/>
              </w:rPr>
              <w:tab/>
            </w:r>
            <w:r>
              <w:rPr>
                <w:noProof/>
                <w:webHidden/>
              </w:rPr>
              <w:fldChar w:fldCharType="begin"/>
            </w:r>
            <w:r>
              <w:rPr>
                <w:noProof/>
                <w:webHidden/>
              </w:rPr>
              <w:instrText xml:space="preserve"> PAGEREF _Toc220495659 \h </w:instrText>
            </w:r>
            <w:r>
              <w:rPr>
                <w:noProof/>
                <w:webHidden/>
              </w:rPr>
            </w:r>
            <w:r>
              <w:rPr>
                <w:noProof/>
                <w:webHidden/>
              </w:rPr>
              <w:fldChar w:fldCharType="separate"/>
            </w:r>
            <w:r>
              <w:rPr>
                <w:noProof/>
                <w:webHidden/>
              </w:rPr>
              <w:t>462</w:t>
            </w:r>
            <w:r>
              <w:rPr>
                <w:noProof/>
                <w:webHidden/>
              </w:rPr>
              <w:fldChar w:fldCharType="end"/>
            </w:r>
          </w:hyperlink>
        </w:p>
        <w:p w14:paraId="4DF1385A" w14:textId="406F8F8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60" w:history="1">
            <w:r w:rsidRPr="00F45DCA">
              <w:rPr>
                <w:rStyle w:val="Lienhypertexte"/>
                <w:noProof/>
              </w:rPr>
              <w:t>21.85.5b Réparation des maçonneries de parement en briques de terre cuite de réemploi CCTB 01.11</w:t>
            </w:r>
            <w:r>
              <w:rPr>
                <w:noProof/>
                <w:webHidden/>
              </w:rPr>
              <w:tab/>
            </w:r>
            <w:r>
              <w:rPr>
                <w:noProof/>
                <w:webHidden/>
              </w:rPr>
              <w:fldChar w:fldCharType="begin"/>
            </w:r>
            <w:r>
              <w:rPr>
                <w:noProof/>
                <w:webHidden/>
              </w:rPr>
              <w:instrText xml:space="preserve"> PAGEREF _Toc220495660 \h </w:instrText>
            </w:r>
            <w:r>
              <w:rPr>
                <w:noProof/>
                <w:webHidden/>
              </w:rPr>
            </w:r>
            <w:r>
              <w:rPr>
                <w:noProof/>
                <w:webHidden/>
              </w:rPr>
              <w:fldChar w:fldCharType="separate"/>
            </w:r>
            <w:r>
              <w:rPr>
                <w:noProof/>
                <w:webHidden/>
              </w:rPr>
              <w:t>462</w:t>
            </w:r>
            <w:r>
              <w:rPr>
                <w:noProof/>
                <w:webHidden/>
              </w:rPr>
              <w:fldChar w:fldCharType="end"/>
            </w:r>
          </w:hyperlink>
        </w:p>
        <w:p w14:paraId="3A0BA565" w14:textId="1B6B30E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661" w:history="1">
            <w:r w:rsidRPr="00F45DCA">
              <w:rPr>
                <w:rStyle w:val="Lienhypertexte"/>
                <w:noProof/>
              </w:rPr>
              <w:t>21.86 Reposes / remplacements CCTB 01.02</w:t>
            </w:r>
            <w:r>
              <w:rPr>
                <w:noProof/>
                <w:webHidden/>
              </w:rPr>
              <w:tab/>
            </w:r>
            <w:r>
              <w:rPr>
                <w:noProof/>
                <w:webHidden/>
              </w:rPr>
              <w:fldChar w:fldCharType="begin"/>
            </w:r>
            <w:r>
              <w:rPr>
                <w:noProof/>
                <w:webHidden/>
              </w:rPr>
              <w:instrText xml:space="preserve"> PAGEREF _Toc220495661 \h </w:instrText>
            </w:r>
            <w:r>
              <w:rPr>
                <w:noProof/>
                <w:webHidden/>
              </w:rPr>
            </w:r>
            <w:r>
              <w:rPr>
                <w:noProof/>
                <w:webHidden/>
              </w:rPr>
              <w:fldChar w:fldCharType="separate"/>
            </w:r>
            <w:r>
              <w:rPr>
                <w:noProof/>
                <w:webHidden/>
              </w:rPr>
              <w:t>463</w:t>
            </w:r>
            <w:r>
              <w:rPr>
                <w:noProof/>
                <w:webHidden/>
              </w:rPr>
              <w:fldChar w:fldCharType="end"/>
            </w:r>
          </w:hyperlink>
        </w:p>
        <w:p w14:paraId="6BD4DF37" w14:textId="5EEA13E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62" w:history="1">
            <w:r w:rsidRPr="00F45DCA">
              <w:rPr>
                <w:rStyle w:val="Lienhypertexte"/>
                <w:noProof/>
              </w:rPr>
              <w:t>21.86.1 Reposes d'éléments récupérés CCTB 01.02</w:t>
            </w:r>
            <w:r>
              <w:rPr>
                <w:noProof/>
                <w:webHidden/>
              </w:rPr>
              <w:tab/>
            </w:r>
            <w:r>
              <w:rPr>
                <w:noProof/>
                <w:webHidden/>
              </w:rPr>
              <w:fldChar w:fldCharType="begin"/>
            </w:r>
            <w:r>
              <w:rPr>
                <w:noProof/>
                <w:webHidden/>
              </w:rPr>
              <w:instrText xml:space="preserve"> PAGEREF _Toc220495662 \h </w:instrText>
            </w:r>
            <w:r>
              <w:rPr>
                <w:noProof/>
                <w:webHidden/>
              </w:rPr>
            </w:r>
            <w:r>
              <w:rPr>
                <w:noProof/>
                <w:webHidden/>
              </w:rPr>
              <w:fldChar w:fldCharType="separate"/>
            </w:r>
            <w:r>
              <w:rPr>
                <w:noProof/>
                <w:webHidden/>
              </w:rPr>
              <w:t>463</w:t>
            </w:r>
            <w:r>
              <w:rPr>
                <w:noProof/>
                <w:webHidden/>
              </w:rPr>
              <w:fldChar w:fldCharType="end"/>
            </w:r>
          </w:hyperlink>
        </w:p>
        <w:p w14:paraId="608444C7" w14:textId="094C90E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63" w:history="1">
            <w:r w:rsidRPr="00F45DCA">
              <w:rPr>
                <w:rStyle w:val="Lienhypertexte"/>
                <w:noProof/>
              </w:rPr>
              <w:t>21.86.1a Reposes d'éléments de structures en maçonnerie récupérés CCTB 01.02</w:t>
            </w:r>
            <w:r>
              <w:rPr>
                <w:noProof/>
                <w:webHidden/>
              </w:rPr>
              <w:tab/>
            </w:r>
            <w:r>
              <w:rPr>
                <w:noProof/>
                <w:webHidden/>
              </w:rPr>
              <w:fldChar w:fldCharType="begin"/>
            </w:r>
            <w:r>
              <w:rPr>
                <w:noProof/>
                <w:webHidden/>
              </w:rPr>
              <w:instrText xml:space="preserve"> PAGEREF _Toc220495663 \h </w:instrText>
            </w:r>
            <w:r>
              <w:rPr>
                <w:noProof/>
                <w:webHidden/>
              </w:rPr>
            </w:r>
            <w:r>
              <w:rPr>
                <w:noProof/>
                <w:webHidden/>
              </w:rPr>
              <w:fldChar w:fldCharType="separate"/>
            </w:r>
            <w:r>
              <w:rPr>
                <w:noProof/>
                <w:webHidden/>
              </w:rPr>
              <w:t>463</w:t>
            </w:r>
            <w:r>
              <w:rPr>
                <w:noProof/>
                <w:webHidden/>
              </w:rPr>
              <w:fldChar w:fldCharType="end"/>
            </w:r>
          </w:hyperlink>
        </w:p>
        <w:p w14:paraId="4D4F739D" w14:textId="1FCE5AD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64" w:history="1">
            <w:r w:rsidRPr="00F45DCA">
              <w:rPr>
                <w:rStyle w:val="Lienhypertexte"/>
                <w:noProof/>
              </w:rPr>
              <w:t>21.86.2 Remplacements à l'identique de maçonneries CCTB 01.04</w:t>
            </w:r>
            <w:r>
              <w:rPr>
                <w:noProof/>
                <w:webHidden/>
              </w:rPr>
              <w:tab/>
            </w:r>
            <w:r>
              <w:rPr>
                <w:noProof/>
                <w:webHidden/>
              </w:rPr>
              <w:fldChar w:fldCharType="begin"/>
            </w:r>
            <w:r>
              <w:rPr>
                <w:noProof/>
                <w:webHidden/>
              </w:rPr>
              <w:instrText xml:space="preserve"> PAGEREF _Toc220495664 \h </w:instrText>
            </w:r>
            <w:r>
              <w:rPr>
                <w:noProof/>
                <w:webHidden/>
              </w:rPr>
            </w:r>
            <w:r>
              <w:rPr>
                <w:noProof/>
                <w:webHidden/>
              </w:rPr>
              <w:fldChar w:fldCharType="separate"/>
            </w:r>
            <w:r>
              <w:rPr>
                <w:noProof/>
                <w:webHidden/>
              </w:rPr>
              <w:t>463</w:t>
            </w:r>
            <w:r>
              <w:rPr>
                <w:noProof/>
                <w:webHidden/>
              </w:rPr>
              <w:fldChar w:fldCharType="end"/>
            </w:r>
          </w:hyperlink>
        </w:p>
        <w:p w14:paraId="7C132865" w14:textId="2AA28F7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65" w:history="1">
            <w:r w:rsidRPr="00F45DCA">
              <w:rPr>
                <w:rStyle w:val="Lienhypertexte"/>
                <w:noProof/>
              </w:rPr>
              <w:t>21.86.2a Remplacements complets à l'identique de maçonneries CCTB 01.04</w:t>
            </w:r>
            <w:r>
              <w:rPr>
                <w:noProof/>
                <w:webHidden/>
              </w:rPr>
              <w:tab/>
            </w:r>
            <w:r>
              <w:rPr>
                <w:noProof/>
                <w:webHidden/>
              </w:rPr>
              <w:fldChar w:fldCharType="begin"/>
            </w:r>
            <w:r>
              <w:rPr>
                <w:noProof/>
                <w:webHidden/>
              </w:rPr>
              <w:instrText xml:space="preserve"> PAGEREF _Toc220495665 \h </w:instrText>
            </w:r>
            <w:r>
              <w:rPr>
                <w:noProof/>
                <w:webHidden/>
              </w:rPr>
            </w:r>
            <w:r>
              <w:rPr>
                <w:noProof/>
                <w:webHidden/>
              </w:rPr>
              <w:fldChar w:fldCharType="separate"/>
            </w:r>
            <w:r>
              <w:rPr>
                <w:noProof/>
                <w:webHidden/>
              </w:rPr>
              <w:t>463</w:t>
            </w:r>
            <w:r>
              <w:rPr>
                <w:noProof/>
                <w:webHidden/>
              </w:rPr>
              <w:fldChar w:fldCharType="end"/>
            </w:r>
          </w:hyperlink>
        </w:p>
        <w:p w14:paraId="0601AD25" w14:textId="3AD8B15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66" w:history="1">
            <w:r w:rsidRPr="00F45DCA">
              <w:rPr>
                <w:rStyle w:val="Lienhypertexte"/>
                <w:noProof/>
              </w:rPr>
              <w:t>21.86.2b Remplacements de tranches à l'identique de maçonneries CCTB 01.04</w:t>
            </w:r>
            <w:r>
              <w:rPr>
                <w:noProof/>
                <w:webHidden/>
              </w:rPr>
              <w:tab/>
            </w:r>
            <w:r>
              <w:rPr>
                <w:noProof/>
                <w:webHidden/>
              </w:rPr>
              <w:fldChar w:fldCharType="begin"/>
            </w:r>
            <w:r>
              <w:rPr>
                <w:noProof/>
                <w:webHidden/>
              </w:rPr>
              <w:instrText xml:space="preserve"> PAGEREF _Toc220495666 \h </w:instrText>
            </w:r>
            <w:r>
              <w:rPr>
                <w:noProof/>
                <w:webHidden/>
              </w:rPr>
            </w:r>
            <w:r>
              <w:rPr>
                <w:noProof/>
                <w:webHidden/>
              </w:rPr>
              <w:fldChar w:fldCharType="separate"/>
            </w:r>
            <w:r>
              <w:rPr>
                <w:noProof/>
                <w:webHidden/>
              </w:rPr>
              <w:t>463</w:t>
            </w:r>
            <w:r>
              <w:rPr>
                <w:noProof/>
                <w:webHidden/>
              </w:rPr>
              <w:fldChar w:fldCharType="end"/>
            </w:r>
          </w:hyperlink>
        </w:p>
        <w:p w14:paraId="095C2110" w14:textId="69A240A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67" w:history="1">
            <w:r w:rsidRPr="00F45DCA">
              <w:rPr>
                <w:rStyle w:val="Lienhypertexte"/>
                <w:noProof/>
              </w:rPr>
              <w:t>21.86.3 Remplacements d'éléments entiers à l'identique CCTB 01.02</w:t>
            </w:r>
            <w:r>
              <w:rPr>
                <w:noProof/>
                <w:webHidden/>
              </w:rPr>
              <w:tab/>
            </w:r>
            <w:r>
              <w:rPr>
                <w:noProof/>
                <w:webHidden/>
              </w:rPr>
              <w:fldChar w:fldCharType="begin"/>
            </w:r>
            <w:r>
              <w:rPr>
                <w:noProof/>
                <w:webHidden/>
              </w:rPr>
              <w:instrText xml:space="preserve"> PAGEREF _Toc220495667 \h </w:instrText>
            </w:r>
            <w:r>
              <w:rPr>
                <w:noProof/>
                <w:webHidden/>
              </w:rPr>
            </w:r>
            <w:r>
              <w:rPr>
                <w:noProof/>
                <w:webHidden/>
              </w:rPr>
              <w:fldChar w:fldCharType="separate"/>
            </w:r>
            <w:r>
              <w:rPr>
                <w:noProof/>
                <w:webHidden/>
              </w:rPr>
              <w:t>463</w:t>
            </w:r>
            <w:r>
              <w:rPr>
                <w:noProof/>
                <w:webHidden/>
              </w:rPr>
              <w:fldChar w:fldCharType="end"/>
            </w:r>
          </w:hyperlink>
        </w:p>
        <w:p w14:paraId="2E6D1444" w14:textId="3AF946E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68" w:history="1">
            <w:r w:rsidRPr="00F45DCA">
              <w:rPr>
                <w:rStyle w:val="Lienhypertexte"/>
                <w:noProof/>
              </w:rPr>
              <w:t>21.86.3a Remplacements de briques CCTB 01.02</w:t>
            </w:r>
            <w:r>
              <w:rPr>
                <w:noProof/>
                <w:webHidden/>
              </w:rPr>
              <w:tab/>
            </w:r>
            <w:r>
              <w:rPr>
                <w:noProof/>
                <w:webHidden/>
              </w:rPr>
              <w:fldChar w:fldCharType="begin"/>
            </w:r>
            <w:r>
              <w:rPr>
                <w:noProof/>
                <w:webHidden/>
              </w:rPr>
              <w:instrText xml:space="preserve"> PAGEREF _Toc220495668 \h </w:instrText>
            </w:r>
            <w:r>
              <w:rPr>
                <w:noProof/>
                <w:webHidden/>
              </w:rPr>
            </w:r>
            <w:r>
              <w:rPr>
                <w:noProof/>
                <w:webHidden/>
              </w:rPr>
              <w:fldChar w:fldCharType="separate"/>
            </w:r>
            <w:r>
              <w:rPr>
                <w:noProof/>
                <w:webHidden/>
              </w:rPr>
              <w:t>463</w:t>
            </w:r>
            <w:r>
              <w:rPr>
                <w:noProof/>
                <w:webHidden/>
              </w:rPr>
              <w:fldChar w:fldCharType="end"/>
            </w:r>
          </w:hyperlink>
        </w:p>
        <w:p w14:paraId="29AF4A0C" w14:textId="07EDC82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69" w:history="1">
            <w:r w:rsidRPr="00F45DCA">
              <w:rPr>
                <w:rStyle w:val="Lienhypertexte"/>
                <w:noProof/>
              </w:rPr>
              <w:t>21.86.3b Remplacements de blocs / briques de béton CCTB 01.02</w:t>
            </w:r>
            <w:r>
              <w:rPr>
                <w:noProof/>
                <w:webHidden/>
              </w:rPr>
              <w:tab/>
            </w:r>
            <w:r>
              <w:rPr>
                <w:noProof/>
                <w:webHidden/>
              </w:rPr>
              <w:fldChar w:fldCharType="begin"/>
            </w:r>
            <w:r>
              <w:rPr>
                <w:noProof/>
                <w:webHidden/>
              </w:rPr>
              <w:instrText xml:space="preserve"> PAGEREF _Toc220495669 \h </w:instrText>
            </w:r>
            <w:r>
              <w:rPr>
                <w:noProof/>
                <w:webHidden/>
              </w:rPr>
            </w:r>
            <w:r>
              <w:rPr>
                <w:noProof/>
                <w:webHidden/>
              </w:rPr>
              <w:fldChar w:fldCharType="separate"/>
            </w:r>
            <w:r>
              <w:rPr>
                <w:noProof/>
                <w:webHidden/>
              </w:rPr>
              <w:t>463</w:t>
            </w:r>
            <w:r>
              <w:rPr>
                <w:noProof/>
                <w:webHidden/>
              </w:rPr>
              <w:fldChar w:fldCharType="end"/>
            </w:r>
          </w:hyperlink>
        </w:p>
        <w:p w14:paraId="44B883ED" w14:textId="1CAAAFC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70" w:history="1">
            <w:r w:rsidRPr="00F45DCA">
              <w:rPr>
                <w:rStyle w:val="Lienhypertexte"/>
                <w:noProof/>
              </w:rPr>
              <w:t>21.86.3c Remplacements d'éléments en pierre naturelle CCTB 01.02</w:t>
            </w:r>
            <w:r>
              <w:rPr>
                <w:noProof/>
                <w:webHidden/>
              </w:rPr>
              <w:tab/>
            </w:r>
            <w:r>
              <w:rPr>
                <w:noProof/>
                <w:webHidden/>
              </w:rPr>
              <w:fldChar w:fldCharType="begin"/>
            </w:r>
            <w:r>
              <w:rPr>
                <w:noProof/>
                <w:webHidden/>
              </w:rPr>
              <w:instrText xml:space="preserve"> PAGEREF _Toc220495670 \h </w:instrText>
            </w:r>
            <w:r>
              <w:rPr>
                <w:noProof/>
                <w:webHidden/>
              </w:rPr>
            </w:r>
            <w:r>
              <w:rPr>
                <w:noProof/>
                <w:webHidden/>
              </w:rPr>
              <w:fldChar w:fldCharType="separate"/>
            </w:r>
            <w:r>
              <w:rPr>
                <w:noProof/>
                <w:webHidden/>
              </w:rPr>
              <w:t>463</w:t>
            </w:r>
            <w:r>
              <w:rPr>
                <w:noProof/>
                <w:webHidden/>
              </w:rPr>
              <w:fldChar w:fldCharType="end"/>
            </w:r>
          </w:hyperlink>
        </w:p>
        <w:p w14:paraId="75AA0591" w14:textId="4C7A6B1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71" w:history="1">
            <w:r w:rsidRPr="00F45DCA">
              <w:rPr>
                <w:rStyle w:val="Lienhypertexte"/>
                <w:noProof/>
              </w:rPr>
              <w:t>21.86.4 Rejointoyages CCTB 01.11</w:t>
            </w:r>
            <w:r>
              <w:rPr>
                <w:noProof/>
                <w:webHidden/>
              </w:rPr>
              <w:tab/>
            </w:r>
            <w:r>
              <w:rPr>
                <w:noProof/>
                <w:webHidden/>
              </w:rPr>
              <w:fldChar w:fldCharType="begin"/>
            </w:r>
            <w:r>
              <w:rPr>
                <w:noProof/>
                <w:webHidden/>
              </w:rPr>
              <w:instrText xml:space="preserve"> PAGEREF _Toc220495671 \h </w:instrText>
            </w:r>
            <w:r>
              <w:rPr>
                <w:noProof/>
                <w:webHidden/>
              </w:rPr>
            </w:r>
            <w:r>
              <w:rPr>
                <w:noProof/>
                <w:webHidden/>
              </w:rPr>
              <w:fldChar w:fldCharType="separate"/>
            </w:r>
            <w:r>
              <w:rPr>
                <w:noProof/>
                <w:webHidden/>
              </w:rPr>
              <w:t>464</w:t>
            </w:r>
            <w:r>
              <w:rPr>
                <w:noProof/>
                <w:webHidden/>
              </w:rPr>
              <w:fldChar w:fldCharType="end"/>
            </w:r>
          </w:hyperlink>
        </w:p>
        <w:p w14:paraId="16A49027" w14:textId="20E006B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72" w:history="1">
            <w:r w:rsidRPr="00F45DCA">
              <w:rPr>
                <w:rStyle w:val="Lienhypertexte"/>
                <w:noProof/>
              </w:rPr>
              <w:t>21.86.4a Rejointoyages ordinaires au mortier CCTB 01.11</w:t>
            </w:r>
            <w:r>
              <w:rPr>
                <w:noProof/>
                <w:webHidden/>
              </w:rPr>
              <w:tab/>
            </w:r>
            <w:r>
              <w:rPr>
                <w:noProof/>
                <w:webHidden/>
              </w:rPr>
              <w:fldChar w:fldCharType="begin"/>
            </w:r>
            <w:r>
              <w:rPr>
                <w:noProof/>
                <w:webHidden/>
              </w:rPr>
              <w:instrText xml:space="preserve"> PAGEREF _Toc220495672 \h </w:instrText>
            </w:r>
            <w:r>
              <w:rPr>
                <w:noProof/>
                <w:webHidden/>
              </w:rPr>
            </w:r>
            <w:r>
              <w:rPr>
                <w:noProof/>
                <w:webHidden/>
              </w:rPr>
              <w:fldChar w:fldCharType="separate"/>
            </w:r>
            <w:r>
              <w:rPr>
                <w:noProof/>
                <w:webHidden/>
              </w:rPr>
              <w:t>464</w:t>
            </w:r>
            <w:r>
              <w:rPr>
                <w:noProof/>
                <w:webHidden/>
              </w:rPr>
              <w:fldChar w:fldCharType="end"/>
            </w:r>
          </w:hyperlink>
        </w:p>
        <w:p w14:paraId="423AE10A" w14:textId="4DA3426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73" w:history="1">
            <w:r w:rsidRPr="00F45DCA">
              <w:rPr>
                <w:rStyle w:val="Lienhypertexte"/>
                <w:noProof/>
              </w:rPr>
              <w:t>21.86.4b Rejointoyages au mortier de chaux CCTB 01.04</w:t>
            </w:r>
            <w:r>
              <w:rPr>
                <w:noProof/>
                <w:webHidden/>
              </w:rPr>
              <w:tab/>
            </w:r>
            <w:r>
              <w:rPr>
                <w:noProof/>
                <w:webHidden/>
              </w:rPr>
              <w:fldChar w:fldCharType="begin"/>
            </w:r>
            <w:r>
              <w:rPr>
                <w:noProof/>
                <w:webHidden/>
              </w:rPr>
              <w:instrText xml:space="preserve"> PAGEREF _Toc220495673 \h </w:instrText>
            </w:r>
            <w:r>
              <w:rPr>
                <w:noProof/>
                <w:webHidden/>
              </w:rPr>
            </w:r>
            <w:r>
              <w:rPr>
                <w:noProof/>
                <w:webHidden/>
              </w:rPr>
              <w:fldChar w:fldCharType="separate"/>
            </w:r>
            <w:r>
              <w:rPr>
                <w:noProof/>
                <w:webHidden/>
              </w:rPr>
              <w:t>464</w:t>
            </w:r>
            <w:r>
              <w:rPr>
                <w:noProof/>
                <w:webHidden/>
              </w:rPr>
              <w:fldChar w:fldCharType="end"/>
            </w:r>
          </w:hyperlink>
        </w:p>
        <w:p w14:paraId="67D8114D" w14:textId="111CAF4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74" w:history="1">
            <w:r w:rsidRPr="00F45DCA">
              <w:rPr>
                <w:rStyle w:val="Lienhypertexte"/>
                <w:noProof/>
              </w:rPr>
              <w:t>21.86.4c Rejointoyages au mortier bâtard CCTB 01.04</w:t>
            </w:r>
            <w:r>
              <w:rPr>
                <w:noProof/>
                <w:webHidden/>
              </w:rPr>
              <w:tab/>
            </w:r>
            <w:r>
              <w:rPr>
                <w:noProof/>
                <w:webHidden/>
              </w:rPr>
              <w:fldChar w:fldCharType="begin"/>
            </w:r>
            <w:r>
              <w:rPr>
                <w:noProof/>
                <w:webHidden/>
              </w:rPr>
              <w:instrText xml:space="preserve"> PAGEREF _Toc220495674 \h </w:instrText>
            </w:r>
            <w:r>
              <w:rPr>
                <w:noProof/>
                <w:webHidden/>
              </w:rPr>
            </w:r>
            <w:r>
              <w:rPr>
                <w:noProof/>
                <w:webHidden/>
              </w:rPr>
              <w:fldChar w:fldCharType="separate"/>
            </w:r>
            <w:r>
              <w:rPr>
                <w:noProof/>
                <w:webHidden/>
              </w:rPr>
              <w:t>464</w:t>
            </w:r>
            <w:r>
              <w:rPr>
                <w:noProof/>
                <w:webHidden/>
              </w:rPr>
              <w:fldChar w:fldCharType="end"/>
            </w:r>
          </w:hyperlink>
        </w:p>
        <w:p w14:paraId="671C9A8D" w14:textId="300A8CA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75" w:history="1">
            <w:r w:rsidRPr="00F45DCA">
              <w:rPr>
                <w:rStyle w:val="Lienhypertexte"/>
                <w:noProof/>
              </w:rPr>
              <w:t>21.86.4d Rejointoyages - Joints souples CCTB 01.04</w:t>
            </w:r>
            <w:r>
              <w:rPr>
                <w:noProof/>
                <w:webHidden/>
              </w:rPr>
              <w:tab/>
            </w:r>
            <w:r>
              <w:rPr>
                <w:noProof/>
                <w:webHidden/>
              </w:rPr>
              <w:fldChar w:fldCharType="begin"/>
            </w:r>
            <w:r>
              <w:rPr>
                <w:noProof/>
                <w:webHidden/>
              </w:rPr>
              <w:instrText xml:space="preserve"> PAGEREF _Toc220495675 \h </w:instrText>
            </w:r>
            <w:r>
              <w:rPr>
                <w:noProof/>
                <w:webHidden/>
              </w:rPr>
            </w:r>
            <w:r>
              <w:rPr>
                <w:noProof/>
                <w:webHidden/>
              </w:rPr>
              <w:fldChar w:fldCharType="separate"/>
            </w:r>
            <w:r>
              <w:rPr>
                <w:noProof/>
                <w:webHidden/>
              </w:rPr>
              <w:t>465</w:t>
            </w:r>
            <w:r>
              <w:rPr>
                <w:noProof/>
                <w:webHidden/>
              </w:rPr>
              <w:fldChar w:fldCharType="end"/>
            </w:r>
          </w:hyperlink>
        </w:p>
        <w:p w14:paraId="4F61FC6C" w14:textId="25E7B77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76" w:history="1">
            <w:r w:rsidRPr="00F45DCA">
              <w:rPr>
                <w:rStyle w:val="Lienhypertexte"/>
                <w:noProof/>
              </w:rPr>
              <w:t>21.86.4e Rejointoyages - Joints au plomb CCTB 01.02</w:t>
            </w:r>
            <w:r>
              <w:rPr>
                <w:noProof/>
                <w:webHidden/>
              </w:rPr>
              <w:tab/>
            </w:r>
            <w:r>
              <w:rPr>
                <w:noProof/>
                <w:webHidden/>
              </w:rPr>
              <w:fldChar w:fldCharType="begin"/>
            </w:r>
            <w:r>
              <w:rPr>
                <w:noProof/>
                <w:webHidden/>
              </w:rPr>
              <w:instrText xml:space="preserve"> PAGEREF _Toc220495676 \h </w:instrText>
            </w:r>
            <w:r>
              <w:rPr>
                <w:noProof/>
                <w:webHidden/>
              </w:rPr>
            </w:r>
            <w:r>
              <w:rPr>
                <w:noProof/>
                <w:webHidden/>
              </w:rPr>
              <w:fldChar w:fldCharType="separate"/>
            </w:r>
            <w:r>
              <w:rPr>
                <w:noProof/>
                <w:webHidden/>
              </w:rPr>
              <w:t>465</w:t>
            </w:r>
            <w:r>
              <w:rPr>
                <w:noProof/>
                <w:webHidden/>
              </w:rPr>
              <w:fldChar w:fldCharType="end"/>
            </w:r>
          </w:hyperlink>
        </w:p>
        <w:p w14:paraId="7D1D95F8" w14:textId="648B9FE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677" w:history="1">
            <w:r w:rsidRPr="00F45DCA">
              <w:rPr>
                <w:rStyle w:val="Lienhypertexte"/>
                <w:noProof/>
              </w:rPr>
              <w:t>21.87 Nettoyages / préparations de surface CCTB 01.04</w:t>
            </w:r>
            <w:r>
              <w:rPr>
                <w:noProof/>
                <w:webHidden/>
              </w:rPr>
              <w:tab/>
            </w:r>
            <w:r>
              <w:rPr>
                <w:noProof/>
                <w:webHidden/>
              </w:rPr>
              <w:fldChar w:fldCharType="begin"/>
            </w:r>
            <w:r>
              <w:rPr>
                <w:noProof/>
                <w:webHidden/>
              </w:rPr>
              <w:instrText xml:space="preserve"> PAGEREF _Toc220495677 \h </w:instrText>
            </w:r>
            <w:r>
              <w:rPr>
                <w:noProof/>
                <w:webHidden/>
              </w:rPr>
            </w:r>
            <w:r>
              <w:rPr>
                <w:noProof/>
                <w:webHidden/>
              </w:rPr>
              <w:fldChar w:fldCharType="separate"/>
            </w:r>
            <w:r>
              <w:rPr>
                <w:noProof/>
                <w:webHidden/>
              </w:rPr>
              <w:t>465</w:t>
            </w:r>
            <w:r>
              <w:rPr>
                <w:noProof/>
                <w:webHidden/>
              </w:rPr>
              <w:fldChar w:fldCharType="end"/>
            </w:r>
          </w:hyperlink>
        </w:p>
        <w:p w14:paraId="730F4A05" w14:textId="576CD9F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678" w:history="1">
            <w:r w:rsidRPr="00F45DCA">
              <w:rPr>
                <w:rStyle w:val="Lienhypertexte"/>
                <w:noProof/>
              </w:rPr>
              <w:t>21.88 Traitements et protections CCTB 01.04</w:t>
            </w:r>
            <w:r>
              <w:rPr>
                <w:noProof/>
                <w:webHidden/>
              </w:rPr>
              <w:tab/>
            </w:r>
            <w:r>
              <w:rPr>
                <w:noProof/>
                <w:webHidden/>
              </w:rPr>
              <w:fldChar w:fldCharType="begin"/>
            </w:r>
            <w:r>
              <w:rPr>
                <w:noProof/>
                <w:webHidden/>
              </w:rPr>
              <w:instrText xml:space="preserve"> PAGEREF _Toc220495678 \h </w:instrText>
            </w:r>
            <w:r>
              <w:rPr>
                <w:noProof/>
                <w:webHidden/>
              </w:rPr>
            </w:r>
            <w:r>
              <w:rPr>
                <w:noProof/>
                <w:webHidden/>
              </w:rPr>
              <w:fldChar w:fldCharType="separate"/>
            </w:r>
            <w:r>
              <w:rPr>
                <w:noProof/>
                <w:webHidden/>
              </w:rPr>
              <w:t>465</w:t>
            </w:r>
            <w:r>
              <w:rPr>
                <w:noProof/>
                <w:webHidden/>
              </w:rPr>
              <w:fldChar w:fldCharType="end"/>
            </w:r>
          </w:hyperlink>
        </w:p>
        <w:p w14:paraId="2C9796A2" w14:textId="531F7BF9" w:rsidR="0014651C" w:rsidRDefault="0014651C">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5679" w:history="1">
            <w:r w:rsidRPr="00F45DCA">
              <w:rPr>
                <w:rStyle w:val="Lienhypertexte"/>
                <w:noProof/>
              </w:rPr>
              <w:t>22 Superstructures en béton CCTB 01.13</w:t>
            </w:r>
            <w:r>
              <w:rPr>
                <w:noProof/>
                <w:webHidden/>
              </w:rPr>
              <w:tab/>
            </w:r>
            <w:r>
              <w:rPr>
                <w:noProof/>
                <w:webHidden/>
              </w:rPr>
              <w:fldChar w:fldCharType="begin"/>
            </w:r>
            <w:r>
              <w:rPr>
                <w:noProof/>
                <w:webHidden/>
              </w:rPr>
              <w:instrText xml:space="preserve"> PAGEREF _Toc220495679 \h </w:instrText>
            </w:r>
            <w:r>
              <w:rPr>
                <w:noProof/>
                <w:webHidden/>
              </w:rPr>
            </w:r>
            <w:r>
              <w:rPr>
                <w:noProof/>
                <w:webHidden/>
              </w:rPr>
              <w:fldChar w:fldCharType="separate"/>
            </w:r>
            <w:r>
              <w:rPr>
                <w:noProof/>
                <w:webHidden/>
              </w:rPr>
              <w:t>465</w:t>
            </w:r>
            <w:r>
              <w:rPr>
                <w:noProof/>
                <w:webHidden/>
              </w:rPr>
              <w:fldChar w:fldCharType="end"/>
            </w:r>
          </w:hyperlink>
        </w:p>
        <w:p w14:paraId="4E7A7F38" w14:textId="38BD201F"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680" w:history="1">
            <w:r w:rsidRPr="00F45DCA">
              <w:rPr>
                <w:rStyle w:val="Lienhypertexte"/>
                <w:noProof/>
              </w:rPr>
              <w:t>22.1 Eléments de structures en béton CCTB 01.04</w:t>
            </w:r>
            <w:r>
              <w:rPr>
                <w:noProof/>
                <w:webHidden/>
              </w:rPr>
              <w:tab/>
            </w:r>
            <w:r>
              <w:rPr>
                <w:noProof/>
                <w:webHidden/>
              </w:rPr>
              <w:fldChar w:fldCharType="begin"/>
            </w:r>
            <w:r>
              <w:rPr>
                <w:noProof/>
                <w:webHidden/>
              </w:rPr>
              <w:instrText xml:space="preserve"> PAGEREF _Toc220495680 \h </w:instrText>
            </w:r>
            <w:r>
              <w:rPr>
                <w:noProof/>
                <w:webHidden/>
              </w:rPr>
            </w:r>
            <w:r>
              <w:rPr>
                <w:noProof/>
                <w:webHidden/>
              </w:rPr>
              <w:fldChar w:fldCharType="separate"/>
            </w:r>
            <w:r>
              <w:rPr>
                <w:noProof/>
                <w:webHidden/>
              </w:rPr>
              <w:t>483</w:t>
            </w:r>
            <w:r>
              <w:rPr>
                <w:noProof/>
                <w:webHidden/>
              </w:rPr>
              <w:fldChar w:fldCharType="end"/>
            </w:r>
          </w:hyperlink>
        </w:p>
        <w:p w14:paraId="4C6F744A" w14:textId="1635FC3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681" w:history="1">
            <w:r w:rsidRPr="00F45DCA">
              <w:rPr>
                <w:rStyle w:val="Lienhypertexte"/>
                <w:noProof/>
              </w:rPr>
              <w:t>22.11 Poutres en béton CCTB 01.02</w:t>
            </w:r>
            <w:r>
              <w:rPr>
                <w:noProof/>
                <w:webHidden/>
              </w:rPr>
              <w:tab/>
            </w:r>
            <w:r>
              <w:rPr>
                <w:noProof/>
                <w:webHidden/>
              </w:rPr>
              <w:fldChar w:fldCharType="begin"/>
            </w:r>
            <w:r>
              <w:rPr>
                <w:noProof/>
                <w:webHidden/>
              </w:rPr>
              <w:instrText xml:space="preserve"> PAGEREF _Toc220495681 \h </w:instrText>
            </w:r>
            <w:r>
              <w:rPr>
                <w:noProof/>
                <w:webHidden/>
              </w:rPr>
            </w:r>
            <w:r>
              <w:rPr>
                <w:noProof/>
                <w:webHidden/>
              </w:rPr>
              <w:fldChar w:fldCharType="separate"/>
            </w:r>
            <w:r>
              <w:rPr>
                <w:noProof/>
                <w:webHidden/>
              </w:rPr>
              <w:t>483</w:t>
            </w:r>
            <w:r>
              <w:rPr>
                <w:noProof/>
                <w:webHidden/>
              </w:rPr>
              <w:fldChar w:fldCharType="end"/>
            </w:r>
          </w:hyperlink>
        </w:p>
        <w:p w14:paraId="6ACD18C4" w14:textId="38C123D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82" w:history="1">
            <w:r w:rsidRPr="00F45DCA">
              <w:rPr>
                <w:rStyle w:val="Lienhypertexte"/>
                <w:noProof/>
              </w:rPr>
              <w:t>22.11.1 Poutres en béton coulé en place CCTB 01.04</w:t>
            </w:r>
            <w:r>
              <w:rPr>
                <w:noProof/>
                <w:webHidden/>
              </w:rPr>
              <w:tab/>
            </w:r>
            <w:r>
              <w:rPr>
                <w:noProof/>
                <w:webHidden/>
              </w:rPr>
              <w:fldChar w:fldCharType="begin"/>
            </w:r>
            <w:r>
              <w:rPr>
                <w:noProof/>
                <w:webHidden/>
              </w:rPr>
              <w:instrText xml:space="preserve"> PAGEREF _Toc220495682 \h </w:instrText>
            </w:r>
            <w:r>
              <w:rPr>
                <w:noProof/>
                <w:webHidden/>
              </w:rPr>
            </w:r>
            <w:r>
              <w:rPr>
                <w:noProof/>
                <w:webHidden/>
              </w:rPr>
              <w:fldChar w:fldCharType="separate"/>
            </w:r>
            <w:r>
              <w:rPr>
                <w:noProof/>
                <w:webHidden/>
              </w:rPr>
              <w:t>483</w:t>
            </w:r>
            <w:r>
              <w:rPr>
                <w:noProof/>
                <w:webHidden/>
              </w:rPr>
              <w:fldChar w:fldCharType="end"/>
            </w:r>
          </w:hyperlink>
        </w:p>
        <w:p w14:paraId="593C07E5" w14:textId="11A5A99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83" w:history="1">
            <w:r w:rsidRPr="00F45DCA">
              <w:rPr>
                <w:rStyle w:val="Lienhypertexte"/>
                <w:noProof/>
              </w:rPr>
              <w:t>22.11.1a Poutres en béton armé coulé en place CCTB 01.13</w:t>
            </w:r>
            <w:r>
              <w:rPr>
                <w:noProof/>
                <w:webHidden/>
              </w:rPr>
              <w:tab/>
            </w:r>
            <w:r>
              <w:rPr>
                <w:noProof/>
                <w:webHidden/>
              </w:rPr>
              <w:fldChar w:fldCharType="begin"/>
            </w:r>
            <w:r>
              <w:rPr>
                <w:noProof/>
                <w:webHidden/>
              </w:rPr>
              <w:instrText xml:space="preserve"> PAGEREF _Toc220495683 \h </w:instrText>
            </w:r>
            <w:r>
              <w:rPr>
                <w:noProof/>
                <w:webHidden/>
              </w:rPr>
            </w:r>
            <w:r>
              <w:rPr>
                <w:noProof/>
                <w:webHidden/>
              </w:rPr>
              <w:fldChar w:fldCharType="separate"/>
            </w:r>
            <w:r>
              <w:rPr>
                <w:noProof/>
                <w:webHidden/>
              </w:rPr>
              <w:t>483</w:t>
            </w:r>
            <w:r>
              <w:rPr>
                <w:noProof/>
                <w:webHidden/>
              </w:rPr>
              <w:fldChar w:fldCharType="end"/>
            </w:r>
          </w:hyperlink>
        </w:p>
        <w:p w14:paraId="6F07BD39" w14:textId="608EF1C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84" w:history="1">
            <w:r w:rsidRPr="00F45DCA">
              <w:rPr>
                <w:rStyle w:val="Lienhypertexte"/>
                <w:noProof/>
              </w:rPr>
              <w:t>22.11.1b Poutres de ceinture en béton armé coulé en place CCTB 01.13</w:t>
            </w:r>
            <w:r>
              <w:rPr>
                <w:noProof/>
                <w:webHidden/>
              </w:rPr>
              <w:tab/>
            </w:r>
            <w:r>
              <w:rPr>
                <w:noProof/>
                <w:webHidden/>
              </w:rPr>
              <w:fldChar w:fldCharType="begin"/>
            </w:r>
            <w:r>
              <w:rPr>
                <w:noProof/>
                <w:webHidden/>
              </w:rPr>
              <w:instrText xml:space="preserve"> PAGEREF _Toc220495684 \h </w:instrText>
            </w:r>
            <w:r>
              <w:rPr>
                <w:noProof/>
                <w:webHidden/>
              </w:rPr>
            </w:r>
            <w:r>
              <w:rPr>
                <w:noProof/>
                <w:webHidden/>
              </w:rPr>
              <w:fldChar w:fldCharType="separate"/>
            </w:r>
            <w:r>
              <w:rPr>
                <w:noProof/>
                <w:webHidden/>
              </w:rPr>
              <w:t>487</w:t>
            </w:r>
            <w:r>
              <w:rPr>
                <w:noProof/>
                <w:webHidden/>
              </w:rPr>
              <w:fldChar w:fldCharType="end"/>
            </w:r>
          </w:hyperlink>
        </w:p>
        <w:p w14:paraId="16F3162A" w14:textId="69F42CC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85" w:history="1">
            <w:r w:rsidRPr="00F45DCA">
              <w:rPr>
                <w:rStyle w:val="Lienhypertexte"/>
                <w:noProof/>
              </w:rPr>
              <w:t>22.11.1c Poutres de répartition en béton armé coulé en place CCTB 01.13</w:t>
            </w:r>
            <w:r>
              <w:rPr>
                <w:noProof/>
                <w:webHidden/>
              </w:rPr>
              <w:tab/>
            </w:r>
            <w:r>
              <w:rPr>
                <w:noProof/>
                <w:webHidden/>
              </w:rPr>
              <w:fldChar w:fldCharType="begin"/>
            </w:r>
            <w:r>
              <w:rPr>
                <w:noProof/>
                <w:webHidden/>
              </w:rPr>
              <w:instrText xml:space="preserve"> PAGEREF _Toc220495685 \h </w:instrText>
            </w:r>
            <w:r>
              <w:rPr>
                <w:noProof/>
                <w:webHidden/>
              </w:rPr>
            </w:r>
            <w:r>
              <w:rPr>
                <w:noProof/>
                <w:webHidden/>
              </w:rPr>
              <w:fldChar w:fldCharType="separate"/>
            </w:r>
            <w:r>
              <w:rPr>
                <w:noProof/>
                <w:webHidden/>
              </w:rPr>
              <w:t>490</w:t>
            </w:r>
            <w:r>
              <w:rPr>
                <w:noProof/>
                <w:webHidden/>
              </w:rPr>
              <w:fldChar w:fldCharType="end"/>
            </w:r>
          </w:hyperlink>
        </w:p>
        <w:p w14:paraId="06A616D0" w14:textId="05758B0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86" w:history="1">
            <w:r w:rsidRPr="00F45DCA">
              <w:rPr>
                <w:rStyle w:val="Lienhypertexte"/>
                <w:noProof/>
              </w:rPr>
              <w:t>22.11.2 Poutres en béton apparent (esthétique) coulé en place CCTB 01.04</w:t>
            </w:r>
            <w:r>
              <w:rPr>
                <w:noProof/>
                <w:webHidden/>
              </w:rPr>
              <w:tab/>
            </w:r>
            <w:r>
              <w:rPr>
                <w:noProof/>
                <w:webHidden/>
              </w:rPr>
              <w:fldChar w:fldCharType="begin"/>
            </w:r>
            <w:r>
              <w:rPr>
                <w:noProof/>
                <w:webHidden/>
              </w:rPr>
              <w:instrText xml:space="preserve"> PAGEREF _Toc220495686 \h </w:instrText>
            </w:r>
            <w:r>
              <w:rPr>
                <w:noProof/>
                <w:webHidden/>
              </w:rPr>
            </w:r>
            <w:r>
              <w:rPr>
                <w:noProof/>
                <w:webHidden/>
              </w:rPr>
              <w:fldChar w:fldCharType="separate"/>
            </w:r>
            <w:r>
              <w:rPr>
                <w:noProof/>
                <w:webHidden/>
              </w:rPr>
              <w:t>493</w:t>
            </w:r>
            <w:r>
              <w:rPr>
                <w:noProof/>
                <w:webHidden/>
              </w:rPr>
              <w:fldChar w:fldCharType="end"/>
            </w:r>
          </w:hyperlink>
        </w:p>
        <w:p w14:paraId="2CC5DCF7" w14:textId="4C59600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87" w:history="1">
            <w:r w:rsidRPr="00F45DCA">
              <w:rPr>
                <w:rStyle w:val="Lienhypertexte"/>
                <w:noProof/>
              </w:rPr>
              <w:t>22.11.2a Poutres en béton apparent (esthétique) coulé en place CCTB 01.13</w:t>
            </w:r>
            <w:r>
              <w:rPr>
                <w:noProof/>
                <w:webHidden/>
              </w:rPr>
              <w:tab/>
            </w:r>
            <w:r>
              <w:rPr>
                <w:noProof/>
                <w:webHidden/>
              </w:rPr>
              <w:fldChar w:fldCharType="begin"/>
            </w:r>
            <w:r>
              <w:rPr>
                <w:noProof/>
                <w:webHidden/>
              </w:rPr>
              <w:instrText xml:space="preserve"> PAGEREF _Toc220495687 \h </w:instrText>
            </w:r>
            <w:r>
              <w:rPr>
                <w:noProof/>
                <w:webHidden/>
              </w:rPr>
            </w:r>
            <w:r>
              <w:rPr>
                <w:noProof/>
                <w:webHidden/>
              </w:rPr>
              <w:fldChar w:fldCharType="separate"/>
            </w:r>
            <w:r>
              <w:rPr>
                <w:noProof/>
                <w:webHidden/>
              </w:rPr>
              <w:t>493</w:t>
            </w:r>
            <w:r>
              <w:rPr>
                <w:noProof/>
                <w:webHidden/>
              </w:rPr>
              <w:fldChar w:fldCharType="end"/>
            </w:r>
          </w:hyperlink>
        </w:p>
        <w:p w14:paraId="3DBABA6F" w14:textId="05B0077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88" w:history="1">
            <w:r w:rsidRPr="00F45DCA">
              <w:rPr>
                <w:rStyle w:val="Lienhypertexte"/>
                <w:noProof/>
              </w:rPr>
              <w:t>22.11.3 Poutres préfabriquées en béton CCTB 01.04</w:t>
            </w:r>
            <w:r>
              <w:rPr>
                <w:noProof/>
                <w:webHidden/>
              </w:rPr>
              <w:tab/>
            </w:r>
            <w:r>
              <w:rPr>
                <w:noProof/>
                <w:webHidden/>
              </w:rPr>
              <w:fldChar w:fldCharType="begin"/>
            </w:r>
            <w:r>
              <w:rPr>
                <w:noProof/>
                <w:webHidden/>
              </w:rPr>
              <w:instrText xml:space="preserve"> PAGEREF _Toc220495688 \h </w:instrText>
            </w:r>
            <w:r>
              <w:rPr>
                <w:noProof/>
                <w:webHidden/>
              </w:rPr>
            </w:r>
            <w:r>
              <w:rPr>
                <w:noProof/>
                <w:webHidden/>
              </w:rPr>
              <w:fldChar w:fldCharType="separate"/>
            </w:r>
            <w:r>
              <w:rPr>
                <w:noProof/>
                <w:webHidden/>
              </w:rPr>
              <w:t>496</w:t>
            </w:r>
            <w:r>
              <w:rPr>
                <w:noProof/>
                <w:webHidden/>
              </w:rPr>
              <w:fldChar w:fldCharType="end"/>
            </w:r>
          </w:hyperlink>
        </w:p>
        <w:p w14:paraId="3F8F11D6" w14:textId="357F013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89" w:history="1">
            <w:r w:rsidRPr="00F45DCA">
              <w:rPr>
                <w:rStyle w:val="Lienhypertexte"/>
                <w:noProof/>
              </w:rPr>
              <w:t>22.11.3a Poutres préfabriquées en béton armé CCTB 01.13</w:t>
            </w:r>
            <w:r>
              <w:rPr>
                <w:noProof/>
                <w:webHidden/>
              </w:rPr>
              <w:tab/>
            </w:r>
            <w:r>
              <w:rPr>
                <w:noProof/>
                <w:webHidden/>
              </w:rPr>
              <w:fldChar w:fldCharType="begin"/>
            </w:r>
            <w:r>
              <w:rPr>
                <w:noProof/>
                <w:webHidden/>
              </w:rPr>
              <w:instrText xml:space="preserve"> PAGEREF _Toc220495689 \h </w:instrText>
            </w:r>
            <w:r>
              <w:rPr>
                <w:noProof/>
                <w:webHidden/>
              </w:rPr>
            </w:r>
            <w:r>
              <w:rPr>
                <w:noProof/>
                <w:webHidden/>
              </w:rPr>
              <w:fldChar w:fldCharType="separate"/>
            </w:r>
            <w:r>
              <w:rPr>
                <w:noProof/>
                <w:webHidden/>
              </w:rPr>
              <w:t>496</w:t>
            </w:r>
            <w:r>
              <w:rPr>
                <w:noProof/>
                <w:webHidden/>
              </w:rPr>
              <w:fldChar w:fldCharType="end"/>
            </w:r>
          </w:hyperlink>
        </w:p>
        <w:p w14:paraId="6EAC0C97" w14:textId="2952578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90" w:history="1">
            <w:r w:rsidRPr="00F45DCA">
              <w:rPr>
                <w:rStyle w:val="Lienhypertexte"/>
                <w:noProof/>
              </w:rPr>
              <w:t>22.11.3b Poutres préfabriquées en treillis en béton armé CCTB 01.02</w:t>
            </w:r>
            <w:r>
              <w:rPr>
                <w:noProof/>
                <w:webHidden/>
              </w:rPr>
              <w:tab/>
            </w:r>
            <w:r>
              <w:rPr>
                <w:noProof/>
                <w:webHidden/>
              </w:rPr>
              <w:fldChar w:fldCharType="begin"/>
            </w:r>
            <w:r>
              <w:rPr>
                <w:noProof/>
                <w:webHidden/>
              </w:rPr>
              <w:instrText xml:space="preserve"> PAGEREF _Toc220495690 \h </w:instrText>
            </w:r>
            <w:r>
              <w:rPr>
                <w:noProof/>
                <w:webHidden/>
              </w:rPr>
            </w:r>
            <w:r>
              <w:rPr>
                <w:noProof/>
                <w:webHidden/>
              </w:rPr>
              <w:fldChar w:fldCharType="separate"/>
            </w:r>
            <w:r>
              <w:rPr>
                <w:noProof/>
                <w:webHidden/>
              </w:rPr>
              <w:t>498</w:t>
            </w:r>
            <w:r>
              <w:rPr>
                <w:noProof/>
                <w:webHidden/>
              </w:rPr>
              <w:fldChar w:fldCharType="end"/>
            </w:r>
          </w:hyperlink>
        </w:p>
        <w:p w14:paraId="596BF27E" w14:textId="149F03E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91" w:history="1">
            <w:r w:rsidRPr="00F45DCA">
              <w:rPr>
                <w:rStyle w:val="Lienhypertexte"/>
                <w:noProof/>
              </w:rPr>
              <w:t>22.11.3c Poutres préfabriquées en béton précontraint CCTB 01.13</w:t>
            </w:r>
            <w:r>
              <w:rPr>
                <w:noProof/>
                <w:webHidden/>
              </w:rPr>
              <w:tab/>
            </w:r>
            <w:r>
              <w:rPr>
                <w:noProof/>
                <w:webHidden/>
              </w:rPr>
              <w:fldChar w:fldCharType="begin"/>
            </w:r>
            <w:r>
              <w:rPr>
                <w:noProof/>
                <w:webHidden/>
              </w:rPr>
              <w:instrText xml:space="preserve"> PAGEREF _Toc220495691 \h </w:instrText>
            </w:r>
            <w:r>
              <w:rPr>
                <w:noProof/>
                <w:webHidden/>
              </w:rPr>
            </w:r>
            <w:r>
              <w:rPr>
                <w:noProof/>
                <w:webHidden/>
              </w:rPr>
              <w:fldChar w:fldCharType="separate"/>
            </w:r>
            <w:r>
              <w:rPr>
                <w:noProof/>
                <w:webHidden/>
              </w:rPr>
              <w:t>498</w:t>
            </w:r>
            <w:r>
              <w:rPr>
                <w:noProof/>
                <w:webHidden/>
              </w:rPr>
              <w:fldChar w:fldCharType="end"/>
            </w:r>
          </w:hyperlink>
        </w:p>
        <w:p w14:paraId="1D42AC82" w14:textId="45A1A64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92" w:history="1">
            <w:r w:rsidRPr="00F45DCA">
              <w:rPr>
                <w:rStyle w:val="Lienhypertexte"/>
                <w:noProof/>
              </w:rPr>
              <w:t>22.11.3d Poutres préfabriquées en béton cellulaire CCTB 01.13</w:t>
            </w:r>
            <w:r>
              <w:rPr>
                <w:noProof/>
                <w:webHidden/>
              </w:rPr>
              <w:tab/>
            </w:r>
            <w:r>
              <w:rPr>
                <w:noProof/>
                <w:webHidden/>
              </w:rPr>
              <w:fldChar w:fldCharType="begin"/>
            </w:r>
            <w:r>
              <w:rPr>
                <w:noProof/>
                <w:webHidden/>
              </w:rPr>
              <w:instrText xml:space="preserve"> PAGEREF _Toc220495692 \h </w:instrText>
            </w:r>
            <w:r>
              <w:rPr>
                <w:noProof/>
                <w:webHidden/>
              </w:rPr>
            </w:r>
            <w:r>
              <w:rPr>
                <w:noProof/>
                <w:webHidden/>
              </w:rPr>
              <w:fldChar w:fldCharType="separate"/>
            </w:r>
            <w:r>
              <w:rPr>
                <w:noProof/>
                <w:webHidden/>
              </w:rPr>
              <w:t>500</w:t>
            </w:r>
            <w:r>
              <w:rPr>
                <w:noProof/>
                <w:webHidden/>
              </w:rPr>
              <w:fldChar w:fldCharType="end"/>
            </w:r>
          </w:hyperlink>
        </w:p>
        <w:p w14:paraId="21E0BDD0" w14:textId="6A42832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93" w:history="1">
            <w:r w:rsidRPr="00F45DCA">
              <w:rPr>
                <w:rStyle w:val="Lienhypertexte"/>
                <w:noProof/>
              </w:rPr>
              <w:t>22.11.4 Poutres préfabriquées en béton décoratif / architectonique CCTB 01.04</w:t>
            </w:r>
            <w:r>
              <w:rPr>
                <w:noProof/>
                <w:webHidden/>
              </w:rPr>
              <w:tab/>
            </w:r>
            <w:r>
              <w:rPr>
                <w:noProof/>
                <w:webHidden/>
              </w:rPr>
              <w:fldChar w:fldCharType="begin"/>
            </w:r>
            <w:r>
              <w:rPr>
                <w:noProof/>
                <w:webHidden/>
              </w:rPr>
              <w:instrText xml:space="preserve"> PAGEREF _Toc220495693 \h </w:instrText>
            </w:r>
            <w:r>
              <w:rPr>
                <w:noProof/>
                <w:webHidden/>
              </w:rPr>
            </w:r>
            <w:r>
              <w:rPr>
                <w:noProof/>
                <w:webHidden/>
              </w:rPr>
              <w:fldChar w:fldCharType="separate"/>
            </w:r>
            <w:r>
              <w:rPr>
                <w:noProof/>
                <w:webHidden/>
              </w:rPr>
              <w:t>501</w:t>
            </w:r>
            <w:r>
              <w:rPr>
                <w:noProof/>
                <w:webHidden/>
              </w:rPr>
              <w:fldChar w:fldCharType="end"/>
            </w:r>
          </w:hyperlink>
        </w:p>
        <w:p w14:paraId="45DE8C16" w14:textId="67AA5B7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94" w:history="1">
            <w:r w:rsidRPr="00F45DCA">
              <w:rPr>
                <w:rStyle w:val="Lienhypertexte"/>
                <w:noProof/>
              </w:rPr>
              <w:t>22.11.4a Poutres préfabriquées en béton décoratif / architectonique CCTB 01.13</w:t>
            </w:r>
            <w:r>
              <w:rPr>
                <w:noProof/>
                <w:webHidden/>
              </w:rPr>
              <w:tab/>
            </w:r>
            <w:r>
              <w:rPr>
                <w:noProof/>
                <w:webHidden/>
              </w:rPr>
              <w:fldChar w:fldCharType="begin"/>
            </w:r>
            <w:r>
              <w:rPr>
                <w:noProof/>
                <w:webHidden/>
              </w:rPr>
              <w:instrText xml:space="preserve"> PAGEREF _Toc220495694 \h </w:instrText>
            </w:r>
            <w:r>
              <w:rPr>
                <w:noProof/>
                <w:webHidden/>
              </w:rPr>
            </w:r>
            <w:r>
              <w:rPr>
                <w:noProof/>
                <w:webHidden/>
              </w:rPr>
              <w:fldChar w:fldCharType="separate"/>
            </w:r>
            <w:r>
              <w:rPr>
                <w:noProof/>
                <w:webHidden/>
              </w:rPr>
              <w:t>501</w:t>
            </w:r>
            <w:r>
              <w:rPr>
                <w:noProof/>
                <w:webHidden/>
              </w:rPr>
              <w:fldChar w:fldCharType="end"/>
            </w:r>
          </w:hyperlink>
        </w:p>
        <w:p w14:paraId="05B0F253" w14:textId="758353B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695" w:history="1">
            <w:r w:rsidRPr="00F45DCA">
              <w:rPr>
                <w:rStyle w:val="Lienhypertexte"/>
                <w:noProof/>
              </w:rPr>
              <w:t>22.11.5 Poutres mixtes acier-béton CCTB 01.12</w:t>
            </w:r>
            <w:r>
              <w:rPr>
                <w:noProof/>
                <w:webHidden/>
              </w:rPr>
              <w:tab/>
            </w:r>
            <w:r>
              <w:rPr>
                <w:noProof/>
                <w:webHidden/>
              </w:rPr>
              <w:fldChar w:fldCharType="begin"/>
            </w:r>
            <w:r>
              <w:rPr>
                <w:noProof/>
                <w:webHidden/>
              </w:rPr>
              <w:instrText xml:space="preserve"> PAGEREF _Toc220495695 \h </w:instrText>
            </w:r>
            <w:r>
              <w:rPr>
                <w:noProof/>
                <w:webHidden/>
              </w:rPr>
            </w:r>
            <w:r>
              <w:rPr>
                <w:noProof/>
                <w:webHidden/>
              </w:rPr>
              <w:fldChar w:fldCharType="separate"/>
            </w:r>
            <w:r>
              <w:rPr>
                <w:noProof/>
                <w:webHidden/>
              </w:rPr>
              <w:t>504</w:t>
            </w:r>
            <w:r>
              <w:rPr>
                <w:noProof/>
                <w:webHidden/>
              </w:rPr>
              <w:fldChar w:fldCharType="end"/>
            </w:r>
          </w:hyperlink>
        </w:p>
        <w:p w14:paraId="704D14D2" w14:textId="3385BD6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96" w:history="1">
            <w:r w:rsidRPr="00F45DCA">
              <w:rPr>
                <w:rStyle w:val="Lienhypertexte"/>
                <w:noProof/>
              </w:rPr>
              <w:t>22.11.5a Poutres mixtes acier-béton coulées en place CCTB 01.13</w:t>
            </w:r>
            <w:r>
              <w:rPr>
                <w:noProof/>
                <w:webHidden/>
              </w:rPr>
              <w:tab/>
            </w:r>
            <w:r>
              <w:rPr>
                <w:noProof/>
                <w:webHidden/>
              </w:rPr>
              <w:fldChar w:fldCharType="begin"/>
            </w:r>
            <w:r>
              <w:rPr>
                <w:noProof/>
                <w:webHidden/>
              </w:rPr>
              <w:instrText xml:space="preserve"> PAGEREF _Toc220495696 \h </w:instrText>
            </w:r>
            <w:r>
              <w:rPr>
                <w:noProof/>
                <w:webHidden/>
              </w:rPr>
            </w:r>
            <w:r>
              <w:rPr>
                <w:noProof/>
                <w:webHidden/>
              </w:rPr>
              <w:fldChar w:fldCharType="separate"/>
            </w:r>
            <w:r>
              <w:rPr>
                <w:noProof/>
                <w:webHidden/>
              </w:rPr>
              <w:t>505</w:t>
            </w:r>
            <w:r>
              <w:rPr>
                <w:noProof/>
                <w:webHidden/>
              </w:rPr>
              <w:fldChar w:fldCharType="end"/>
            </w:r>
          </w:hyperlink>
        </w:p>
        <w:p w14:paraId="58249EBE" w14:textId="36989FF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97" w:history="1">
            <w:r w:rsidRPr="00F45DCA">
              <w:rPr>
                <w:rStyle w:val="Lienhypertexte"/>
                <w:noProof/>
              </w:rPr>
              <w:t>22.11.5b Poutres mixtes acier-béton apparent (esthétique) coulées en place CCTB 01.13</w:t>
            </w:r>
            <w:r>
              <w:rPr>
                <w:noProof/>
                <w:webHidden/>
              </w:rPr>
              <w:tab/>
            </w:r>
            <w:r>
              <w:rPr>
                <w:noProof/>
                <w:webHidden/>
              </w:rPr>
              <w:fldChar w:fldCharType="begin"/>
            </w:r>
            <w:r>
              <w:rPr>
                <w:noProof/>
                <w:webHidden/>
              </w:rPr>
              <w:instrText xml:space="preserve"> PAGEREF _Toc220495697 \h </w:instrText>
            </w:r>
            <w:r>
              <w:rPr>
                <w:noProof/>
                <w:webHidden/>
              </w:rPr>
            </w:r>
            <w:r>
              <w:rPr>
                <w:noProof/>
                <w:webHidden/>
              </w:rPr>
              <w:fldChar w:fldCharType="separate"/>
            </w:r>
            <w:r>
              <w:rPr>
                <w:noProof/>
                <w:webHidden/>
              </w:rPr>
              <w:t>507</w:t>
            </w:r>
            <w:r>
              <w:rPr>
                <w:noProof/>
                <w:webHidden/>
              </w:rPr>
              <w:fldChar w:fldCharType="end"/>
            </w:r>
          </w:hyperlink>
        </w:p>
        <w:p w14:paraId="0FEAD2F1" w14:textId="77020A2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98" w:history="1">
            <w:r w:rsidRPr="00F45DCA">
              <w:rPr>
                <w:rStyle w:val="Lienhypertexte"/>
                <w:noProof/>
              </w:rPr>
              <w:t>22.11.5c Poutres préfabriquées mixtes acier-béton armé CCTB 01.13</w:t>
            </w:r>
            <w:r>
              <w:rPr>
                <w:noProof/>
                <w:webHidden/>
              </w:rPr>
              <w:tab/>
            </w:r>
            <w:r>
              <w:rPr>
                <w:noProof/>
                <w:webHidden/>
              </w:rPr>
              <w:fldChar w:fldCharType="begin"/>
            </w:r>
            <w:r>
              <w:rPr>
                <w:noProof/>
                <w:webHidden/>
              </w:rPr>
              <w:instrText xml:space="preserve"> PAGEREF _Toc220495698 \h </w:instrText>
            </w:r>
            <w:r>
              <w:rPr>
                <w:noProof/>
                <w:webHidden/>
              </w:rPr>
            </w:r>
            <w:r>
              <w:rPr>
                <w:noProof/>
                <w:webHidden/>
              </w:rPr>
              <w:fldChar w:fldCharType="separate"/>
            </w:r>
            <w:r>
              <w:rPr>
                <w:noProof/>
                <w:webHidden/>
              </w:rPr>
              <w:t>507</w:t>
            </w:r>
            <w:r>
              <w:rPr>
                <w:noProof/>
                <w:webHidden/>
              </w:rPr>
              <w:fldChar w:fldCharType="end"/>
            </w:r>
          </w:hyperlink>
        </w:p>
        <w:p w14:paraId="3EAB1AF4" w14:textId="4DF8684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699" w:history="1">
            <w:r w:rsidRPr="00F45DCA">
              <w:rPr>
                <w:rStyle w:val="Lienhypertexte"/>
                <w:noProof/>
              </w:rPr>
              <w:t>22.11.5d Poutres préfabriquées mixtes acier-béton armé décoratif / architectonique CCTB 01.10</w:t>
            </w:r>
            <w:r>
              <w:rPr>
                <w:noProof/>
                <w:webHidden/>
              </w:rPr>
              <w:tab/>
            </w:r>
            <w:r>
              <w:rPr>
                <w:noProof/>
                <w:webHidden/>
              </w:rPr>
              <w:fldChar w:fldCharType="begin"/>
            </w:r>
            <w:r>
              <w:rPr>
                <w:noProof/>
                <w:webHidden/>
              </w:rPr>
              <w:instrText xml:space="preserve"> PAGEREF _Toc220495699 \h </w:instrText>
            </w:r>
            <w:r>
              <w:rPr>
                <w:noProof/>
                <w:webHidden/>
              </w:rPr>
            </w:r>
            <w:r>
              <w:rPr>
                <w:noProof/>
                <w:webHidden/>
              </w:rPr>
              <w:fldChar w:fldCharType="separate"/>
            </w:r>
            <w:r>
              <w:rPr>
                <w:noProof/>
                <w:webHidden/>
              </w:rPr>
              <w:t>509</w:t>
            </w:r>
            <w:r>
              <w:rPr>
                <w:noProof/>
                <w:webHidden/>
              </w:rPr>
              <w:fldChar w:fldCharType="end"/>
            </w:r>
          </w:hyperlink>
        </w:p>
        <w:p w14:paraId="4535CD58" w14:textId="1E560B5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00" w:history="1">
            <w:r w:rsidRPr="00F45DCA">
              <w:rPr>
                <w:rStyle w:val="Lienhypertexte"/>
                <w:noProof/>
              </w:rPr>
              <w:t>22.11.5e Poutres préfabriquées mixtes acier-béton précontraint CCTB 01.04</w:t>
            </w:r>
            <w:r>
              <w:rPr>
                <w:noProof/>
                <w:webHidden/>
              </w:rPr>
              <w:tab/>
            </w:r>
            <w:r>
              <w:rPr>
                <w:noProof/>
                <w:webHidden/>
              </w:rPr>
              <w:fldChar w:fldCharType="begin"/>
            </w:r>
            <w:r>
              <w:rPr>
                <w:noProof/>
                <w:webHidden/>
              </w:rPr>
              <w:instrText xml:space="preserve"> PAGEREF _Toc220495700 \h </w:instrText>
            </w:r>
            <w:r>
              <w:rPr>
                <w:noProof/>
                <w:webHidden/>
              </w:rPr>
            </w:r>
            <w:r>
              <w:rPr>
                <w:noProof/>
                <w:webHidden/>
              </w:rPr>
              <w:fldChar w:fldCharType="separate"/>
            </w:r>
            <w:r>
              <w:rPr>
                <w:noProof/>
                <w:webHidden/>
              </w:rPr>
              <w:t>509</w:t>
            </w:r>
            <w:r>
              <w:rPr>
                <w:noProof/>
                <w:webHidden/>
              </w:rPr>
              <w:fldChar w:fldCharType="end"/>
            </w:r>
          </w:hyperlink>
        </w:p>
        <w:p w14:paraId="3C13867B" w14:textId="6738B08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701" w:history="1">
            <w:r w:rsidRPr="00F45DCA">
              <w:rPr>
                <w:rStyle w:val="Lienhypertexte"/>
                <w:noProof/>
              </w:rPr>
              <w:t>22.12 Eléments de charpente de toiture en béton CCTB 01.02</w:t>
            </w:r>
            <w:r>
              <w:rPr>
                <w:noProof/>
                <w:webHidden/>
              </w:rPr>
              <w:tab/>
            </w:r>
            <w:r>
              <w:rPr>
                <w:noProof/>
                <w:webHidden/>
              </w:rPr>
              <w:fldChar w:fldCharType="begin"/>
            </w:r>
            <w:r>
              <w:rPr>
                <w:noProof/>
                <w:webHidden/>
              </w:rPr>
              <w:instrText xml:space="preserve"> PAGEREF _Toc220495701 \h </w:instrText>
            </w:r>
            <w:r>
              <w:rPr>
                <w:noProof/>
                <w:webHidden/>
              </w:rPr>
            </w:r>
            <w:r>
              <w:rPr>
                <w:noProof/>
                <w:webHidden/>
              </w:rPr>
              <w:fldChar w:fldCharType="separate"/>
            </w:r>
            <w:r>
              <w:rPr>
                <w:noProof/>
                <w:webHidden/>
              </w:rPr>
              <w:t>509</w:t>
            </w:r>
            <w:r>
              <w:rPr>
                <w:noProof/>
                <w:webHidden/>
              </w:rPr>
              <w:fldChar w:fldCharType="end"/>
            </w:r>
          </w:hyperlink>
        </w:p>
        <w:p w14:paraId="541AEA88" w14:textId="3EE95C9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02" w:history="1">
            <w:r w:rsidRPr="00F45DCA">
              <w:rPr>
                <w:rStyle w:val="Lienhypertexte"/>
                <w:noProof/>
              </w:rPr>
              <w:t>22.12.1 Eléments de charpente de toiture en béton coulé en place CCTB 01.04</w:t>
            </w:r>
            <w:r>
              <w:rPr>
                <w:noProof/>
                <w:webHidden/>
              </w:rPr>
              <w:tab/>
            </w:r>
            <w:r>
              <w:rPr>
                <w:noProof/>
                <w:webHidden/>
              </w:rPr>
              <w:fldChar w:fldCharType="begin"/>
            </w:r>
            <w:r>
              <w:rPr>
                <w:noProof/>
                <w:webHidden/>
              </w:rPr>
              <w:instrText xml:space="preserve"> PAGEREF _Toc220495702 \h </w:instrText>
            </w:r>
            <w:r>
              <w:rPr>
                <w:noProof/>
                <w:webHidden/>
              </w:rPr>
            </w:r>
            <w:r>
              <w:rPr>
                <w:noProof/>
                <w:webHidden/>
              </w:rPr>
              <w:fldChar w:fldCharType="separate"/>
            </w:r>
            <w:r>
              <w:rPr>
                <w:noProof/>
                <w:webHidden/>
              </w:rPr>
              <w:t>509</w:t>
            </w:r>
            <w:r>
              <w:rPr>
                <w:noProof/>
                <w:webHidden/>
              </w:rPr>
              <w:fldChar w:fldCharType="end"/>
            </w:r>
          </w:hyperlink>
        </w:p>
        <w:p w14:paraId="27A4590C" w14:textId="20710FD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03" w:history="1">
            <w:r w:rsidRPr="00F45DCA">
              <w:rPr>
                <w:rStyle w:val="Lienhypertexte"/>
                <w:noProof/>
              </w:rPr>
              <w:t>22.12.1a Pannes en béton coulé en place CCTB 01.13</w:t>
            </w:r>
            <w:r>
              <w:rPr>
                <w:noProof/>
                <w:webHidden/>
              </w:rPr>
              <w:tab/>
            </w:r>
            <w:r>
              <w:rPr>
                <w:noProof/>
                <w:webHidden/>
              </w:rPr>
              <w:fldChar w:fldCharType="begin"/>
            </w:r>
            <w:r>
              <w:rPr>
                <w:noProof/>
                <w:webHidden/>
              </w:rPr>
              <w:instrText xml:space="preserve"> PAGEREF _Toc220495703 \h </w:instrText>
            </w:r>
            <w:r>
              <w:rPr>
                <w:noProof/>
                <w:webHidden/>
              </w:rPr>
            </w:r>
            <w:r>
              <w:rPr>
                <w:noProof/>
                <w:webHidden/>
              </w:rPr>
              <w:fldChar w:fldCharType="separate"/>
            </w:r>
            <w:r>
              <w:rPr>
                <w:noProof/>
                <w:webHidden/>
              </w:rPr>
              <w:t>509</w:t>
            </w:r>
            <w:r>
              <w:rPr>
                <w:noProof/>
                <w:webHidden/>
              </w:rPr>
              <w:fldChar w:fldCharType="end"/>
            </w:r>
          </w:hyperlink>
        </w:p>
        <w:p w14:paraId="66F8DB94" w14:textId="4639F6C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04" w:history="1">
            <w:r w:rsidRPr="00F45DCA">
              <w:rPr>
                <w:rStyle w:val="Lienhypertexte"/>
                <w:noProof/>
              </w:rPr>
              <w:t>22.12.1b Chevrons autoporteurs en béton coulé en place CCTB 01.04</w:t>
            </w:r>
            <w:r>
              <w:rPr>
                <w:noProof/>
                <w:webHidden/>
              </w:rPr>
              <w:tab/>
            </w:r>
            <w:r>
              <w:rPr>
                <w:noProof/>
                <w:webHidden/>
              </w:rPr>
              <w:fldChar w:fldCharType="begin"/>
            </w:r>
            <w:r>
              <w:rPr>
                <w:noProof/>
                <w:webHidden/>
              </w:rPr>
              <w:instrText xml:space="preserve"> PAGEREF _Toc220495704 \h </w:instrText>
            </w:r>
            <w:r>
              <w:rPr>
                <w:noProof/>
                <w:webHidden/>
              </w:rPr>
            </w:r>
            <w:r>
              <w:rPr>
                <w:noProof/>
                <w:webHidden/>
              </w:rPr>
              <w:fldChar w:fldCharType="separate"/>
            </w:r>
            <w:r>
              <w:rPr>
                <w:noProof/>
                <w:webHidden/>
              </w:rPr>
              <w:t>509</w:t>
            </w:r>
            <w:r>
              <w:rPr>
                <w:noProof/>
                <w:webHidden/>
              </w:rPr>
              <w:fldChar w:fldCharType="end"/>
            </w:r>
          </w:hyperlink>
        </w:p>
        <w:p w14:paraId="740C9BC6" w14:textId="5EE8DB4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05" w:history="1">
            <w:r w:rsidRPr="00F45DCA">
              <w:rPr>
                <w:rStyle w:val="Lienhypertexte"/>
                <w:noProof/>
              </w:rPr>
              <w:t>22.12.1c Faîtières en béton coulé en place CCTB 01.04</w:t>
            </w:r>
            <w:r>
              <w:rPr>
                <w:noProof/>
                <w:webHidden/>
              </w:rPr>
              <w:tab/>
            </w:r>
            <w:r>
              <w:rPr>
                <w:noProof/>
                <w:webHidden/>
              </w:rPr>
              <w:fldChar w:fldCharType="begin"/>
            </w:r>
            <w:r>
              <w:rPr>
                <w:noProof/>
                <w:webHidden/>
              </w:rPr>
              <w:instrText xml:space="preserve"> PAGEREF _Toc220495705 \h </w:instrText>
            </w:r>
            <w:r>
              <w:rPr>
                <w:noProof/>
                <w:webHidden/>
              </w:rPr>
            </w:r>
            <w:r>
              <w:rPr>
                <w:noProof/>
                <w:webHidden/>
              </w:rPr>
              <w:fldChar w:fldCharType="separate"/>
            </w:r>
            <w:r>
              <w:rPr>
                <w:noProof/>
                <w:webHidden/>
              </w:rPr>
              <w:t>509</w:t>
            </w:r>
            <w:r>
              <w:rPr>
                <w:noProof/>
                <w:webHidden/>
              </w:rPr>
              <w:fldChar w:fldCharType="end"/>
            </w:r>
          </w:hyperlink>
        </w:p>
        <w:p w14:paraId="22C0E10F" w14:textId="3F7FB9E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06" w:history="1">
            <w:r w:rsidRPr="00F45DCA">
              <w:rPr>
                <w:rStyle w:val="Lienhypertexte"/>
                <w:noProof/>
              </w:rPr>
              <w:t>22.12.1d Sablières en béton coulé en place CCTB 01.04</w:t>
            </w:r>
            <w:r>
              <w:rPr>
                <w:noProof/>
                <w:webHidden/>
              </w:rPr>
              <w:tab/>
            </w:r>
            <w:r>
              <w:rPr>
                <w:noProof/>
                <w:webHidden/>
              </w:rPr>
              <w:fldChar w:fldCharType="begin"/>
            </w:r>
            <w:r>
              <w:rPr>
                <w:noProof/>
                <w:webHidden/>
              </w:rPr>
              <w:instrText xml:space="preserve"> PAGEREF _Toc220495706 \h </w:instrText>
            </w:r>
            <w:r>
              <w:rPr>
                <w:noProof/>
                <w:webHidden/>
              </w:rPr>
            </w:r>
            <w:r>
              <w:rPr>
                <w:noProof/>
                <w:webHidden/>
              </w:rPr>
              <w:fldChar w:fldCharType="separate"/>
            </w:r>
            <w:r>
              <w:rPr>
                <w:noProof/>
                <w:webHidden/>
              </w:rPr>
              <w:t>509</w:t>
            </w:r>
            <w:r>
              <w:rPr>
                <w:noProof/>
                <w:webHidden/>
              </w:rPr>
              <w:fldChar w:fldCharType="end"/>
            </w:r>
          </w:hyperlink>
        </w:p>
        <w:p w14:paraId="5C86C61A" w14:textId="2F60802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07" w:history="1">
            <w:r w:rsidRPr="00F45DCA">
              <w:rPr>
                <w:rStyle w:val="Lienhypertexte"/>
                <w:noProof/>
              </w:rPr>
              <w:t>22.12.2 Eléments de charpente de toiture en béton apparent (esthétique) coulé en place CCTB 01.04</w:t>
            </w:r>
            <w:r>
              <w:rPr>
                <w:noProof/>
                <w:webHidden/>
              </w:rPr>
              <w:tab/>
            </w:r>
            <w:r>
              <w:rPr>
                <w:noProof/>
                <w:webHidden/>
              </w:rPr>
              <w:fldChar w:fldCharType="begin"/>
            </w:r>
            <w:r>
              <w:rPr>
                <w:noProof/>
                <w:webHidden/>
              </w:rPr>
              <w:instrText xml:space="preserve"> PAGEREF _Toc220495707 \h </w:instrText>
            </w:r>
            <w:r>
              <w:rPr>
                <w:noProof/>
                <w:webHidden/>
              </w:rPr>
            </w:r>
            <w:r>
              <w:rPr>
                <w:noProof/>
                <w:webHidden/>
              </w:rPr>
              <w:fldChar w:fldCharType="separate"/>
            </w:r>
            <w:r>
              <w:rPr>
                <w:noProof/>
                <w:webHidden/>
              </w:rPr>
              <w:t>509</w:t>
            </w:r>
            <w:r>
              <w:rPr>
                <w:noProof/>
                <w:webHidden/>
              </w:rPr>
              <w:fldChar w:fldCharType="end"/>
            </w:r>
          </w:hyperlink>
        </w:p>
        <w:p w14:paraId="396AC27D" w14:textId="3AB6170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08" w:history="1">
            <w:r w:rsidRPr="00F45DCA">
              <w:rPr>
                <w:rStyle w:val="Lienhypertexte"/>
                <w:noProof/>
              </w:rPr>
              <w:t>22.12.2a Pannes en béton apparent (esthétique) coulé en place CCTB 01.04</w:t>
            </w:r>
            <w:r>
              <w:rPr>
                <w:noProof/>
                <w:webHidden/>
              </w:rPr>
              <w:tab/>
            </w:r>
            <w:r>
              <w:rPr>
                <w:noProof/>
                <w:webHidden/>
              </w:rPr>
              <w:fldChar w:fldCharType="begin"/>
            </w:r>
            <w:r>
              <w:rPr>
                <w:noProof/>
                <w:webHidden/>
              </w:rPr>
              <w:instrText xml:space="preserve"> PAGEREF _Toc220495708 \h </w:instrText>
            </w:r>
            <w:r>
              <w:rPr>
                <w:noProof/>
                <w:webHidden/>
              </w:rPr>
            </w:r>
            <w:r>
              <w:rPr>
                <w:noProof/>
                <w:webHidden/>
              </w:rPr>
              <w:fldChar w:fldCharType="separate"/>
            </w:r>
            <w:r>
              <w:rPr>
                <w:noProof/>
                <w:webHidden/>
              </w:rPr>
              <w:t>509</w:t>
            </w:r>
            <w:r>
              <w:rPr>
                <w:noProof/>
                <w:webHidden/>
              </w:rPr>
              <w:fldChar w:fldCharType="end"/>
            </w:r>
          </w:hyperlink>
        </w:p>
        <w:p w14:paraId="4FB41697" w14:textId="2529FDE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09" w:history="1">
            <w:r w:rsidRPr="00F45DCA">
              <w:rPr>
                <w:rStyle w:val="Lienhypertexte"/>
                <w:noProof/>
              </w:rPr>
              <w:t>22.12.2b Chevrons autoporteurs en béton apparent (esthétique) coulé en place CCTB 01.04</w:t>
            </w:r>
            <w:r>
              <w:rPr>
                <w:noProof/>
                <w:webHidden/>
              </w:rPr>
              <w:tab/>
            </w:r>
            <w:r>
              <w:rPr>
                <w:noProof/>
                <w:webHidden/>
              </w:rPr>
              <w:fldChar w:fldCharType="begin"/>
            </w:r>
            <w:r>
              <w:rPr>
                <w:noProof/>
                <w:webHidden/>
              </w:rPr>
              <w:instrText xml:space="preserve"> PAGEREF _Toc220495709 \h </w:instrText>
            </w:r>
            <w:r>
              <w:rPr>
                <w:noProof/>
                <w:webHidden/>
              </w:rPr>
            </w:r>
            <w:r>
              <w:rPr>
                <w:noProof/>
                <w:webHidden/>
              </w:rPr>
              <w:fldChar w:fldCharType="separate"/>
            </w:r>
            <w:r>
              <w:rPr>
                <w:noProof/>
                <w:webHidden/>
              </w:rPr>
              <w:t>509</w:t>
            </w:r>
            <w:r>
              <w:rPr>
                <w:noProof/>
                <w:webHidden/>
              </w:rPr>
              <w:fldChar w:fldCharType="end"/>
            </w:r>
          </w:hyperlink>
        </w:p>
        <w:p w14:paraId="4AD38F3F" w14:textId="0EE8BA4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10" w:history="1">
            <w:r w:rsidRPr="00F45DCA">
              <w:rPr>
                <w:rStyle w:val="Lienhypertexte"/>
                <w:noProof/>
              </w:rPr>
              <w:t>22.12.2c Faîtières en béton apparent (esthétique) coulé en place CCTB 01.04</w:t>
            </w:r>
            <w:r>
              <w:rPr>
                <w:noProof/>
                <w:webHidden/>
              </w:rPr>
              <w:tab/>
            </w:r>
            <w:r>
              <w:rPr>
                <w:noProof/>
                <w:webHidden/>
              </w:rPr>
              <w:fldChar w:fldCharType="begin"/>
            </w:r>
            <w:r>
              <w:rPr>
                <w:noProof/>
                <w:webHidden/>
              </w:rPr>
              <w:instrText xml:space="preserve"> PAGEREF _Toc220495710 \h </w:instrText>
            </w:r>
            <w:r>
              <w:rPr>
                <w:noProof/>
                <w:webHidden/>
              </w:rPr>
            </w:r>
            <w:r>
              <w:rPr>
                <w:noProof/>
                <w:webHidden/>
              </w:rPr>
              <w:fldChar w:fldCharType="separate"/>
            </w:r>
            <w:r>
              <w:rPr>
                <w:noProof/>
                <w:webHidden/>
              </w:rPr>
              <w:t>509</w:t>
            </w:r>
            <w:r>
              <w:rPr>
                <w:noProof/>
                <w:webHidden/>
              </w:rPr>
              <w:fldChar w:fldCharType="end"/>
            </w:r>
          </w:hyperlink>
        </w:p>
        <w:p w14:paraId="312B4F69" w14:textId="1986D04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11" w:history="1">
            <w:r w:rsidRPr="00F45DCA">
              <w:rPr>
                <w:rStyle w:val="Lienhypertexte"/>
                <w:noProof/>
              </w:rPr>
              <w:t>22.12.2d Sablières en béton apparent (esthétique) coulé en place CCTB 01.04</w:t>
            </w:r>
            <w:r>
              <w:rPr>
                <w:noProof/>
                <w:webHidden/>
              </w:rPr>
              <w:tab/>
            </w:r>
            <w:r>
              <w:rPr>
                <w:noProof/>
                <w:webHidden/>
              </w:rPr>
              <w:fldChar w:fldCharType="begin"/>
            </w:r>
            <w:r>
              <w:rPr>
                <w:noProof/>
                <w:webHidden/>
              </w:rPr>
              <w:instrText xml:space="preserve"> PAGEREF _Toc220495711 \h </w:instrText>
            </w:r>
            <w:r>
              <w:rPr>
                <w:noProof/>
                <w:webHidden/>
              </w:rPr>
            </w:r>
            <w:r>
              <w:rPr>
                <w:noProof/>
                <w:webHidden/>
              </w:rPr>
              <w:fldChar w:fldCharType="separate"/>
            </w:r>
            <w:r>
              <w:rPr>
                <w:noProof/>
                <w:webHidden/>
              </w:rPr>
              <w:t>509</w:t>
            </w:r>
            <w:r>
              <w:rPr>
                <w:noProof/>
                <w:webHidden/>
              </w:rPr>
              <w:fldChar w:fldCharType="end"/>
            </w:r>
          </w:hyperlink>
        </w:p>
        <w:p w14:paraId="65923BB8" w14:textId="310F584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12" w:history="1">
            <w:r w:rsidRPr="00F45DCA">
              <w:rPr>
                <w:rStyle w:val="Lienhypertexte"/>
                <w:noProof/>
              </w:rPr>
              <w:t>22.12.3 Eléments de charpente de toiture préfabriqués en béton CCTB 01.04</w:t>
            </w:r>
            <w:r>
              <w:rPr>
                <w:noProof/>
                <w:webHidden/>
              </w:rPr>
              <w:tab/>
            </w:r>
            <w:r>
              <w:rPr>
                <w:noProof/>
                <w:webHidden/>
              </w:rPr>
              <w:fldChar w:fldCharType="begin"/>
            </w:r>
            <w:r>
              <w:rPr>
                <w:noProof/>
                <w:webHidden/>
              </w:rPr>
              <w:instrText xml:space="preserve"> PAGEREF _Toc220495712 \h </w:instrText>
            </w:r>
            <w:r>
              <w:rPr>
                <w:noProof/>
                <w:webHidden/>
              </w:rPr>
            </w:r>
            <w:r>
              <w:rPr>
                <w:noProof/>
                <w:webHidden/>
              </w:rPr>
              <w:fldChar w:fldCharType="separate"/>
            </w:r>
            <w:r>
              <w:rPr>
                <w:noProof/>
                <w:webHidden/>
              </w:rPr>
              <w:t>510</w:t>
            </w:r>
            <w:r>
              <w:rPr>
                <w:noProof/>
                <w:webHidden/>
              </w:rPr>
              <w:fldChar w:fldCharType="end"/>
            </w:r>
          </w:hyperlink>
        </w:p>
        <w:p w14:paraId="3609F41C" w14:textId="458EC53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13" w:history="1">
            <w:r w:rsidRPr="00F45DCA">
              <w:rPr>
                <w:rStyle w:val="Lienhypertexte"/>
                <w:noProof/>
              </w:rPr>
              <w:t>22.12.3a Pannes préfabriquées en béton armé CCTB 01.04</w:t>
            </w:r>
            <w:r>
              <w:rPr>
                <w:noProof/>
                <w:webHidden/>
              </w:rPr>
              <w:tab/>
            </w:r>
            <w:r>
              <w:rPr>
                <w:noProof/>
                <w:webHidden/>
              </w:rPr>
              <w:fldChar w:fldCharType="begin"/>
            </w:r>
            <w:r>
              <w:rPr>
                <w:noProof/>
                <w:webHidden/>
              </w:rPr>
              <w:instrText xml:space="preserve"> PAGEREF _Toc220495713 \h </w:instrText>
            </w:r>
            <w:r>
              <w:rPr>
                <w:noProof/>
                <w:webHidden/>
              </w:rPr>
            </w:r>
            <w:r>
              <w:rPr>
                <w:noProof/>
                <w:webHidden/>
              </w:rPr>
              <w:fldChar w:fldCharType="separate"/>
            </w:r>
            <w:r>
              <w:rPr>
                <w:noProof/>
                <w:webHidden/>
              </w:rPr>
              <w:t>510</w:t>
            </w:r>
            <w:r>
              <w:rPr>
                <w:noProof/>
                <w:webHidden/>
              </w:rPr>
              <w:fldChar w:fldCharType="end"/>
            </w:r>
          </w:hyperlink>
        </w:p>
        <w:p w14:paraId="36E6B016" w14:textId="1ADEF4D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14" w:history="1">
            <w:r w:rsidRPr="00F45DCA">
              <w:rPr>
                <w:rStyle w:val="Lienhypertexte"/>
                <w:noProof/>
              </w:rPr>
              <w:t>22.12.3b Pannes préfabriquées en béton précontraint CCTB 01.04</w:t>
            </w:r>
            <w:r>
              <w:rPr>
                <w:noProof/>
                <w:webHidden/>
              </w:rPr>
              <w:tab/>
            </w:r>
            <w:r>
              <w:rPr>
                <w:noProof/>
                <w:webHidden/>
              </w:rPr>
              <w:fldChar w:fldCharType="begin"/>
            </w:r>
            <w:r>
              <w:rPr>
                <w:noProof/>
                <w:webHidden/>
              </w:rPr>
              <w:instrText xml:space="preserve"> PAGEREF _Toc220495714 \h </w:instrText>
            </w:r>
            <w:r>
              <w:rPr>
                <w:noProof/>
                <w:webHidden/>
              </w:rPr>
            </w:r>
            <w:r>
              <w:rPr>
                <w:noProof/>
                <w:webHidden/>
              </w:rPr>
              <w:fldChar w:fldCharType="separate"/>
            </w:r>
            <w:r>
              <w:rPr>
                <w:noProof/>
                <w:webHidden/>
              </w:rPr>
              <w:t>510</w:t>
            </w:r>
            <w:r>
              <w:rPr>
                <w:noProof/>
                <w:webHidden/>
              </w:rPr>
              <w:fldChar w:fldCharType="end"/>
            </w:r>
          </w:hyperlink>
        </w:p>
        <w:p w14:paraId="4AFE14A2" w14:textId="73BC29B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15" w:history="1">
            <w:r w:rsidRPr="00F45DCA">
              <w:rPr>
                <w:rStyle w:val="Lienhypertexte"/>
                <w:noProof/>
              </w:rPr>
              <w:t>22.12.3c Pannes préfabriquées en béton cellulaire CCTB 01.04</w:t>
            </w:r>
            <w:r>
              <w:rPr>
                <w:noProof/>
                <w:webHidden/>
              </w:rPr>
              <w:tab/>
            </w:r>
            <w:r>
              <w:rPr>
                <w:noProof/>
                <w:webHidden/>
              </w:rPr>
              <w:fldChar w:fldCharType="begin"/>
            </w:r>
            <w:r>
              <w:rPr>
                <w:noProof/>
                <w:webHidden/>
              </w:rPr>
              <w:instrText xml:space="preserve"> PAGEREF _Toc220495715 \h </w:instrText>
            </w:r>
            <w:r>
              <w:rPr>
                <w:noProof/>
                <w:webHidden/>
              </w:rPr>
            </w:r>
            <w:r>
              <w:rPr>
                <w:noProof/>
                <w:webHidden/>
              </w:rPr>
              <w:fldChar w:fldCharType="separate"/>
            </w:r>
            <w:r>
              <w:rPr>
                <w:noProof/>
                <w:webHidden/>
              </w:rPr>
              <w:t>510</w:t>
            </w:r>
            <w:r>
              <w:rPr>
                <w:noProof/>
                <w:webHidden/>
              </w:rPr>
              <w:fldChar w:fldCharType="end"/>
            </w:r>
          </w:hyperlink>
        </w:p>
        <w:p w14:paraId="106A6020" w14:textId="33BAA42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16" w:history="1">
            <w:r w:rsidRPr="00F45DCA">
              <w:rPr>
                <w:rStyle w:val="Lienhypertexte"/>
                <w:noProof/>
              </w:rPr>
              <w:t>22.12.3d Chevrons autoporteurs préfabriqués en béton armé CCTB 01.04</w:t>
            </w:r>
            <w:r>
              <w:rPr>
                <w:noProof/>
                <w:webHidden/>
              </w:rPr>
              <w:tab/>
            </w:r>
            <w:r>
              <w:rPr>
                <w:noProof/>
                <w:webHidden/>
              </w:rPr>
              <w:fldChar w:fldCharType="begin"/>
            </w:r>
            <w:r>
              <w:rPr>
                <w:noProof/>
                <w:webHidden/>
              </w:rPr>
              <w:instrText xml:space="preserve"> PAGEREF _Toc220495716 \h </w:instrText>
            </w:r>
            <w:r>
              <w:rPr>
                <w:noProof/>
                <w:webHidden/>
              </w:rPr>
            </w:r>
            <w:r>
              <w:rPr>
                <w:noProof/>
                <w:webHidden/>
              </w:rPr>
              <w:fldChar w:fldCharType="separate"/>
            </w:r>
            <w:r>
              <w:rPr>
                <w:noProof/>
                <w:webHidden/>
              </w:rPr>
              <w:t>510</w:t>
            </w:r>
            <w:r>
              <w:rPr>
                <w:noProof/>
                <w:webHidden/>
              </w:rPr>
              <w:fldChar w:fldCharType="end"/>
            </w:r>
          </w:hyperlink>
        </w:p>
        <w:p w14:paraId="5BF653DC" w14:textId="5C6397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17" w:history="1">
            <w:r w:rsidRPr="00F45DCA">
              <w:rPr>
                <w:rStyle w:val="Lienhypertexte"/>
                <w:noProof/>
              </w:rPr>
              <w:t>22.12.3e Chevrons autoporteurs préfabriqués en béton précontraint CCTB 01.04</w:t>
            </w:r>
            <w:r>
              <w:rPr>
                <w:noProof/>
                <w:webHidden/>
              </w:rPr>
              <w:tab/>
            </w:r>
            <w:r>
              <w:rPr>
                <w:noProof/>
                <w:webHidden/>
              </w:rPr>
              <w:fldChar w:fldCharType="begin"/>
            </w:r>
            <w:r>
              <w:rPr>
                <w:noProof/>
                <w:webHidden/>
              </w:rPr>
              <w:instrText xml:space="preserve"> PAGEREF _Toc220495717 \h </w:instrText>
            </w:r>
            <w:r>
              <w:rPr>
                <w:noProof/>
                <w:webHidden/>
              </w:rPr>
            </w:r>
            <w:r>
              <w:rPr>
                <w:noProof/>
                <w:webHidden/>
              </w:rPr>
              <w:fldChar w:fldCharType="separate"/>
            </w:r>
            <w:r>
              <w:rPr>
                <w:noProof/>
                <w:webHidden/>
              </w:rPr>
              <w:t>510</w:t>
            </w:r>
            <w:r>
              <w:rPr>
                <w:noProof/>
                <w:webHidden/>
              </w:rPr>
              <w:fldChar w:fldCharType="end"/>
            </w:r>
          </w:hyperlink>
        </w:p>
        <w:p w14:paraId="13FC0D85" w14:textId="787360E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18" w:history="1">
            <w:r w:rsidRPr="00F45DCA">
              <w:rPr>
                <w:rStyle w:val="Lienhypertexte"/>
                <w:noProof/>
              </w:rPr>
              <w:t>22.12.3f Chevrons autoporteurs préfabriqués en béton cellulaire CCTB 01.04</w:t>
            </w:r>
            <w:r>
              <w:rPr>
                <w:noProof/>
                <w:webHidden/>
              </w:rPr>
              <w:tab/>
            </w:r>
            <w:r>
              <w:rPr>
                <w:noProof/>
                <w:webHidden/>
              </w:rPr>
              <w:fldChar w:fldCharType="begin"/>
            </w:r>
            <w:r>
              <w:rPr>
                <w:noProof/>
                <w:webHidden/>
              </w:rPr>
              <w:instrText xml:space="preserve"> PAGEREF _Toc220495718 \h </w:instrText>
            </w:r>
            <w:r>
              <w:rPr>
                <w:noProof/>
                <w:webHidden/>
              </w:rPr>
            </w:r>
            <w:r>
              <w:rPr>
                <w:noProof/>
                <w:webHidden/>
              </w:rPr>
              <w:fldChar w:fldCharType="separate"/>
            </w:r>
            <w:r>
              <w:rPr>
                <w:noProof/>
                <w:webHidden/>
              </w:rPr>
              <w:t>510</w:t>
            </w:r>
            <w:r>
              <w:rPr>
                <w:noProof/>
                <w:webHidden/>
              </w:rPr>
              <w:fldChar w:fldCharType="end"/>
            </w:r>
          </w:hyperlink>
        </w:p>
        <w:p w14:paraId="479F5EB0" w14:textId="45C2043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19" w:history="1">
            <w:r w:rsidRPr="00F45DCA">
              <w:rPr>
                <w:rStyle w:val="Lienhypertexte"/>
                <w:noProof/>
              </w:rPr>
              <w:t>22.12.3g Faîtières préfabriquées en béton armé CCTB 01.04</w:t>
            </w:r>
            <w:r>
              <w:rPr>
                <w:noProof/>
                <w:webHidden/>
              </w:rPr>
              <w:tab/>
            </w:r>
            <w:r>
              <w:rPr>
                <w:noProof/>
                <w:webHidden/>
              </w:rPr>
              <w:fldChar w:fldCharType="begin"/>
            </w:r>
            <w:r>
              <w:rPr>
                <w:noProof/>
                <w:webHidden/>
              </w:rPr>
              <w:instrText xml:space="preserve"> PAGEREF _Toc220495719 \h </w:instrText>
            </w:r>
            <w:r>
              <w:rPr>
                <w:noProof/>
                <w:webHidden/>
              </w:rPr>
            </w:r>
            <w:r>
              <w:rPr>
                <w:noProof/>
                <w:webHidden/>
              </w:rPr>
              <w:fldChar w:fldCharType="separate"/>
            </w:r>
            <w:r>
              <w:rPr>
                <w:noProof/>
                <w:webHidden/>
              </w:rPr>
              <w:t>510</w:t>
            </w:r>
            <w:r>
              <w:rPr>
                <w:noProof/>
                <w:webHidden/>
              </w:rPr>
              <w:fldChar w:fldCharType="end"/>
            </w:r>
          </w:hyperlink>
        </w:p>
        <w:p w14:paraId="480068B1" w14:textId="2FFC6A3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20" w:history="1">
            <w:r w:rsidRPr="00F45DCA">
              <w:rPr>
                <w:rStyle w:val="Lienhypertexte"/>
                <w:noProof/>
              </w:rPr>
              <w:t>22.12.3h Faîtières préfabriquées en béton précontraint CCTB 01.04</w:t>
            </w:r>
            <w:r>
              <w:rPr>
                <w:noProof/>
                <w:webHidden/>
              </w:rPr>
              <w:tab/>
            </w:r>
            <w:r>
              <w:rPr>
                <w:noProof/>
                <w:webHidden/>
              </w:rPr>
              <w:fldChar w:fldCharType="begin"/>
            </w:r>
            <w:r>
              <w:rPr>
                <w:noProof/>
                <w:webHidden/>
              </w:rPr>
              <w:instrText xml:space="preserve"> PAGEREF _Toc220495720 \h </w:instrText>
            </w:r>
            <w:r>
              <w:rPr>
                <w:noProof/>
                <w:webHidden/>
              </w:rPr>
            </w:r>
            <w:r>
              <w:rPr>
                <w:noProof/>
                <w:webHidden/>
              </w:rPr>
              <w:fldChar w:fldCharType="separate"/>
            </w:r>
            <w:r>
              <w:rPr>
                <w:noProof/>
                <w:webHidden/>
              </w:rPr>
              <w:t>510</w:t>
            </w:r>
            <w:r>
              <w:rPr>
                <w:noProof/>
                <w:webHidden/>
              </w:rPr>
              <w:fldChar w:fldCharType="end"/>
            </w:r>
          </w:hyperlink>
        </w:p>
        <w:p w14:paraId="52BD3793" w14:textId="45BBAC9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21" w:history="1">
            <w:r w:rsidRPr="00F45DCA">
              <w:rPr>
                <w:rStyle w:val="Lienhypertexte"/>
                <w:noProof/>
              </w:rPr>
              <w:t>22.12.3i Faîtières préfabriquées en béton cellulaire CCTB 01.04</w:t>
            </w:r>
            <w:r>
              <w:rPr>
                <w:noProof/>
                <w:webHidden/>
              </w:rPr>
              <w:tab/>
            </w:r>
            <w:r>
              <w:rPr>
                <w:noProof/>
                <w:webHidden/>
              </w:rPr>
              <w:fldChar w:fldCharType="begin"/>
            </w:r>
            <w:r>
              <w:rPr>
                <w:noProof/>
                <w:webHidden/>
              </w:rPr>
              <w:instrText xml:space="preserve"> PAGEREF _Toc220495721 \h </w:instrText>
            </w:r>
            <w:r>
              <w:rPr>
                <w:noProof/>
                <w:webHidden/>
              </w:rPr>
            </w:r>
            <w:r>
              <w:rPr>
                <w:noProof/>
                <w:webHidden/>
              </w:rPr>
              <w:fldChar w:fldCharType="separate"/>
            </w:r>
            <w:r>
              <w:rPr>
                <w:noProof/>
                <w:webHidden/>
              </w:rPr>
              <w:t>510</w:t>
            </w:r>
            <w:r>
              <w:rPr>
                <w:noProof/>
                <w:webHidden/>
              </w:rPr>
              <w:fldChar w:fldCharType="end"/>
            </w:r>
          </w:hyperlink>
        </w:p>
        <w:p w14:paraId="4009E41C" w14:textId="72A4742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22" w:history="1">
            <w:r w:rsidRPr="00F45DCA">
              <w:rPr>
                <w:rStyle w:val="Lienhypertexte"/>
                <w:noProof/>
              </w:rPr>
              <w:t>22.12.3j Sablières préfabriquées en béton armé CCTB 01.04</w:t>
            </w:r>
            <w:r>
              <w:rPr>
                <w:noProof/>
                <w:webHidden/>
              </w:rPr>
              <w:tab/>
            </w:r>
            <w:r>
              <w:rPr>
                <w:noProof/>
                <w:webHidden/>
              </w:rPr>
              <w:fldChar w:fldCharType="begin"/>
            </w:r>
            <w:r>
              <w:rPr>
                <w:noProof/>
                <w:webHidden/>
              </w:rPr>
              <w:instrText xml:space="preserve"> PAGEREF _Toc220495722 \h </w:instrText>
            </w:r>
            <w:r>
              <w:rPr>
                <w:noProof/>
                <w:webHidden/>
              </w:rPr>
            </w:r>
            <w:r>
              <w:rPr>
                <w:noProof/>
                <w:webHidden/>
              </w:rPr>
              <w:fldChar w:fldCharType="separate"/>
            </w:r>
            <w:r>
              <w:rPr>
                <w:noProof/>
                <w:webHidden/>
              </w:rPr>
              <w:t>510</w:t>
            </w:r>
            <w:r>
              <w:rPr>
                <w:noProof/>
                <w:webHidden/>
              </w:rPr>
              <w:fldChar w:fldCharType="end"/>
            </w:r>
          </w:hyperlink>
        </w:p>
        <w:p w14:paraId="5680DA9D" w14:textId="2C8EA48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23" w:history="1">
            <w:r w:rsidRPr="00F45DCA">
              <w:rPr>
                <w:rStyle w:val="Lienhypertexte"/>
                <w:noProof/>
              </w:rPr>
              <w:t>22.12.3k Sablières préfabriquées en béton précontraint CCTB 01.04</w:t>
            </w:r>
            <w:r>
              <w:rPr>
                <w:noProof/>
                <w:webHidden/>
              </w:rPr>
              <w:tab/>
            </w:r>
            <w:r>
              <w:rPr>
                <w:noProof/>
                <w:webHidden/>
              </w:rPr>
              <w:fldChar w:fldCharType="begin"/>
            </w:r>
            <w:r>
              <w:rPr>
                <w:noProof/>
                <w:webHidden/>
              </w:rPr>
              <w:instrText xml:space="preserve"> PAGEREF _Toc220495723 \h </w:instrText>
            </w:r>
            <w:r>
              <w:rPr>
                <w:noProof/>
                <w:webHidden/>
              </w:rPr>
            </w:r>
            <w:r>
              <w:rPr>
                <w:noProof/>
                <w:webHidden/>
              </w:rPr>
              <w:fldChar w:fldCharType="separate"/>
            </w:r>
            <w:r>
              <w:rPr>
                <w:noProof/>
                <w:webHidden/>
              </w:rPr>
              <w:t>510</w:t>
            </w:r>
            <w:r>
              <w:rPr>
                <w:noProof/>
                <w:webHidden/>
              </w:rPr>
              <w:fldChar w:fldCharType="end"/>
            </w:r>
          </w:hyperlink>
        </w:p>
        <w:p w14:paraId="284FAE13" w14:textId="6CA0FEC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24" w:history="1">
            <w:r w:rsidRPr="00F45DCA">
              <w:rPr>
                <w:rStyle w:val="Lienhypertexte"/>
                <w:noProof/>
              </w:rPr>
              <w:t>22.12.3l Sablières préfabriquées en béton cellulaire CCTB 01.04</w:t>
            </w:r>
            <w:r>
              <w:rPr>
                <w:noProof/>
                <w:webHidden/>
              </w:rPr>
              <w:tab/>
            </w:r>
            <w:r>
              <w:rPr>
                <w:noProof/>
                <w:webHidden/>
              </w:rPr>
              <w:fldChar w:fldCharType="begin"/>
            </w:r>
            <w:r>
              <w:rPr>
                <w:noProof/>
                <w:webHidden/>
              </w:rPr>
              <w:instrText xml:space="preserve"> PAGEREF _Toc220495724 \h </w:instrText>
            </w:r>
            <w:r>
              <w:rPr>
                <w:noProof/>
                <w:webHidden/>
              </w:rPr>
            </w:r>
            <w:r>
              <w:rPr>
                <w:noProof/>
                <w:webHidden/>
              </w:rPr>
              <w:fldChar w:fldCharType="separate"/>
            </w:r>
            <w:r>
              <w:rPr>
                <w:noProof/>
                <w:webHidden/>
              </w:rPr>
              <w:t>510</w:t>
            </w:r>
            <w:r>
              <w:rPr>
                <w:noProof/>
                <w:webHidden/>
              </w:rPr>
              <w:fldChar w:fldCharType="end"/>
            </w:r>
          </w:hyperlink>
        </w:p>
        <w:p w14:paraId="13D5DE1B" w14:textId="65E5597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25" w:history="1">
            <w:r w:rsidRPr="00F45DCA">
              <w:rPr>
                <w:rStyle w:val="Lienhypertexte"/>
                <w:noProof/>
              </w:rPr>
              <w:t>22.12.4 Eléments de charpente de toiture préfabriqués en béton architectonique CCTB 01.04</w:t>
            </w:r>
            <w:r>
              <w:rPr>
                <w:noProof/>
                <w:webHidden/>
              </w:rPr>
              <w:tab/>
            </w:r>
            <w:r>
              <w:rPr>
                <w:noProof/>
                <w:webHidden/>
              </w:rPr>
              <w:fldChar w:fldCharType="begin"/>
            </w:r>
            <w:r>
              <w:rPr>
                <w:noProof/>
                <w:webHidden/>
              </w:rPr>
              <w:instrText xml:space="preserve"> PAGEREF _Toc220495725 \h </w:instrText>
            </w:r>
            <w:r>
              <w:rPr>
                <w:noProof/>
                <w:webHidden/>
              </w:rPr>
            </w:r>
            <w:r>
              <w:rPr>
                <w:noProof/>
                <w:webHidden/>
              </w:rPr>
              <w:fldChar w:fldCharType="separate"/>
            </w:r>
            <w:r>
              <w:rPr>
                <w:noProof/>
                <w:webHidden/>
              </w:rPr>
              <w:t>510</w:t>
            </w:r>
            <w:r>
              <w:rPr>
                <w:noProof/>
                <w:webHidden/>
              </w:rPr>
              <w:fldChar w:fldCharType="end"/>
            </w:r>
          </w:hyperlink>
        </w:p>
        <w:p w14:paraId="0EB66510" w14:textId="2787BA9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26" w:history="1">
            <w:r w:rsidRPr="00F45DCA">
              <w:rPr>
                <w:rStyle w:val="Lienhypertexte"/>
                <w:noProof/>
              </w:rPr>
              <w:t>22.12.4a Pannes préfabriquées en béton décoratif / architectonique CCTB 01.11</w:t>
            </w:r>
            <w:r>
              <w:rPr>
                <w:noProof/>
                <w:webHidden/>
              </w:rPr>
              <w:tab/>
            </w:r>
            <w:r>
              <w:rPr>
                <w:noProof/>
                <w:webHidden/>
              </w:rPr>
              <w:fldChar w:fldCharType="begin"/>
            </w:r>
            <w:r>
              <w:rPr>
                <w:noProof/>
                <w:webHidden/>
              </w:rPr>
              <w:instrText xml:space="preserve"> PAGEREF _Toc220495726 \h </w:instrText>
            </w:r>
            <w:r>
              <w:rPr>
                <w:noProof/>
                <w:webHidden/>
              </w:rPr>
            </w:r>
            <w:r>
              <w:rPr>
                <w:noProof/>
                <w:webHidden/>
              </w:rPr>
              <w:fldChar w:fldCharType="separate"/>
            </w:r>
            <w:r>
              <w:rPr>
                <w:noProof/>
                <w:webHidden/>
              </w:rPr>
              <w:t>510</w:t>
            </w:r>
            <w:r>
              <w:rPr>
                <w:noProof/>
                <w:webHidden/>
              </w:rPr>
              <w:fldChar w:fldCharType="end"/>
            </w:r>
          </w:hyperlink>
        </w:p>
        <w:p w14:paraId="064FD395" w14:textId="53D56AD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27" w:history="1">
            <w:r w:rsidRPr="00F45DCA">
              <w:rPr>
                <w:rStyle w:val="Lienhypertexte"/>
                <w:noProof/>
              </w:rPr>
              <w:t>22.12.4b Chevrons autoporteurs préfabriqués en béton décoratif / architectonique CCTB 01.11</w:t>
            </w:r>
            <w:r>
              <w:rPr>
                <w:noProof/>
                <w:webHidden/>
              </w:rPr>
              <w:tab/>
            </w:r>
            <w:r>
              <w:rPr>
                <w:noProof/>
                <w:webHidden/>
              </w:rPr>
              <w:fldChar w:fldCharType="begin"/>
            </w:r>
            <w:r>
              <w:rPr>
                <w:noProof/>
                <w:webHidden/>
              </w:rPr>
              <w:instrText xml:space="preserve"> PAGEREF _Toc220495727 \h </w:instrText>
            </w:r>
            <w:r>
              <w:rPr>
                <w:noProof/>
                <w:webHidden/>
              </w:rPr>
            </w:r>
            <w:r>
              <w:rPr>
                <w:noProof/>
                <w:webHidden/>
              </w:rPr>
              <w:fldChar w:fldCharType="separate"/>
            </w:r>
            <w:r>
              <w:rPr>
                <w:noProof/>
                <w:webHidden/>
              </w:rPr>
              <w:t>511</w:t>
            </w:r>
            <w:r>
              <w:rPr>
                <w:noProof/>
                <w:webHidden/>
              </w:rPr>
              <w:fldChar w:fldCharType="end"/>
            </w:r>
          </w:hyperlink>
        </w:p>
        <w:p w14:paraId="3F74BA85" w14:textId="0C28C29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28" w:history="1">
            <w:r w:rsidRPr="00F45DCA">
              <w:rPr>
                <w:rStyle w:val="Lienhypertexte"/>
                <w:noProof/>
              </w:rPr>
              <w:t>22.12.4c Faîtières préfabriquées en béton décoratif / architectonique CCTB 01.11</w:t>
            </w:r>
            <w:r>
              <w:rPr>
                <w:noProof/>
                <w:webHidden/>
              </w:rPr>
              <w:tab/>
            </w:r>
            <w:r>
              <w:rPr>
                <w:noProof/>
                <w:webHidden/>
              </w:rPr>
              <w:fldChar w:fldCharType="begin"/>
            </w:r>
            <w:r>
              <w:rPr>
                <w:noProof/>
                <w:webHidden/>
              </w:rPr>
              <w:instrText xml:space="preserve"> PAGEREF _Toc220495728 \h </w:instrText>
            </w:r>
            <w:r>
              <w:rPr>
                <w:noProof/>
                <w:webHidden/>
              </w:rPr>
            </w:r>
            <w:r>
              <w:rPr>
                <w:noProof/>
                <w:webHidden/>
              </w:rPr>
              <w:fldChar w:fldCharType="separate"/>
            </w:r>
            <w:r>
              <w:rPr>
                <w:noProof/>
                <w:webHidden/>
              </w:rPr>
              <w:t>512</w:t>
            </w:r>
            <w:r>
              <w:rPr>
                <w:noProof/>
                <w:webHidden/>
              </w:rPr>
              <w:fldChar w:fldCharType="end"/>
            </w:r>
          </w:hyperlink>
        </w:p>
        <w:p w14:paraId="7C244D6A" w14:textId="2B78748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29" w:history="1">
            <w:r w:rsidRPr="00F45DCA">
              <w:rPr>
                <w:rStyle w:val="Lienhypertexte"/>
                <w:noProof/>
              </w:rPr>
              <w:t>22.12.4d Sablières préfabriquées en béton décoratif / architectonique CCTB 01.11</w:t>
            </w:r>
            <w:r>
              <w:rPr>
                <w:noProof/>
                <w:webHidden/>
              </w:rPr>
              <w:tab/>
            </w:r>
            <w:r>
              <w:rPr>
                <w:noProof/>
                <w:webHidden/>
              </w:rPr>
              <w:fldChar w:fldCharType="begin"/>
            </w:r>
            <w:r>
              <w:rPr>
                <w:noProof/>
                <w:webHidden/>
              </w:rPr>
              <w:instrText xml:space="preserve"> PAGEREF _Toc220495729 \h </w:instrText>
            </w:r>
            <w:r>
              <w:rPr>
                <w:noProof/>
                <w:webHidden/>
              </w:rPr>
            </w:r>
            <w:r>
              <w:rPr>
                <w:noProof/>
                <w:webHidden/>
              </w:rPr>
              <w:fldChar w:fldCharType="separate"/>
            </w:r>
            <w:r>
              <w:rPr>
                <w:noProof/>
                <w:webHidden/>
              </w:rPr>
              <w:t>513</w:t>
            </w:r>
            <w:r>
              <w:rPr>
                <w:noProof/>
                <w:webHidden/>
              </w:rPr>
              <w:fldChar w:fldCharType="end"/>
            </w:r>
          </w:hyperlink>
        </w:p>
        <w:p w14:paraId="17BAD831" w14:textId="7269239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30" w:history="1">
            <w:r w:rsidRPr="00F45DCA">
              <w:rPr>
                <w:rStyle w:val="Lienhypertexte"/>
                <w:noProof/>
              </w:rPr>
              <w:t>22.12.5 Eléments de charpente de toiture mixtes acier-béton CCTB 01.04</w:t>
            </w:r>
            <w:r>
              <w:rPr>
                <w:noProof/>
                <w:webHidden/>
              </w:rPr>
              <w:tab/>
            </w:r>
            <w:r>
              <w:rPr>
                <w:noProof/>
                <w:webHidden/>
              </w:rPr>
              <w:fldChar w:fldCharType="begin"/>
            </w:r>
            <w:r>
              <w:rPr>
                <w:noProof/>
                <w:webHidden/>
              </w:rPr>
              <w:instrText xml:space="preserve"> PAGEREF _Toc220495730 \h </w:instrText>
            </w:r>
            <w:r>
              <w:rPr>
                <w:noProof/>
                <w:webHidden/>
              </w:rPr>
            </w:r>
            <w:r>
              <w:rPr>
                <w:noProof/>
                <w:webHidden/>
              </w:rPr>
              <w:fldChar w:fldCharType="separate"/>
            </w:r>
            <w:r>
              <w:rPr>
                <w:noProof/>
                <w:webHidden/>
              </w:rPr>
              <w:t>514</w:t>
            </w:r>
            <w:r>
              <w:rPr>
                <w:noProof/>
                <w:webHidden/>
              </w:rPr>
              <w:fldChar w:fldCharType="end"/>
            </w:r>
          </w:hyperlink>
        </w:p>
        <w:p w14:paraId="76048CDD" w14:textId="52C5782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31" w:history="1">
            <w:r w:rsidRPr="00F45DCA">
              <w:rPr>
                <w:rStyle w:val="Lienhypertexte"/>
                <w:noProof/>
              </w:rPr>
              <w:t>22.12.5a Pannes mixtes acier-béton CCTB 01.04</w:t>
            </w:r>
            <w:r>
              <w:rPr>
                <w:noProof/>
                <w:webHidden/>
              </w:rPr>
              <w:tab/>
            </w:r>
            <w:r>
              <w:rPr>
                <w:noProof/>
                <w:webHidden/>
              </w:rPr>
              <w:fldChar w:fldCharType="begin"/>
            </w:r>
            <w:r>
              <w:rPr>
                <w:noProof/>
                <w:webHidden/>
              </w:rPr>
              <w:instrText xml:space="preserve"> PAGEREF _Toc220495731 \h </w:instrText>
            </w:r>
            <w:r>
              <w:rPr>
                <w:noProof/>
                <w:webHidden/>
              </w:rPr>
            </w:r>
            <w:r>
              <w:rPr>
                <w:noProof/>
                <w:webHidden/>
              </w:rPr>
              <w:fldChar w:fldCharType="separate"/>
            </w:r>
            <w:r>
              <w:rPr>
                <w:noProof/>
                <w:webHidden/>
              </w:rPr>
              <w:t>514</w:t>
            </w:r>
            <w:r>
              <w:rPr>
                <w:noProof/>
                <w:webHidden/>
              </w:rPr>
              <w:fldChar w:fldCharType="end"/>
            </w:r>
          </w:hyperlink>
        </w:p>
        <w:p w14:paraId="279CFBEA" w14:textId="5D9A70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32" w:history="1">
            <w:r w:rsidRPr="00F45DCA">
              <w:rPr>
                <w:rStyle w:val="Lienhypertexte"/>
                <w:noProof/>
              </w:rPr>
              <w:t>22.12.5b Chevrons autoporteurs mixtes acier-béton CCTB 01.04</w:t>
            </w:r>
            <w:r>
              <w:rPr>
                <w:noProof/>
                <w:webHidden/>
              </w:rPr>
              <w:tab/>
            </w:r>
            <w:r>
              <w:rPr>
                <w:noProof/>
                <w:webHidden/>
              </w:rPr>
              <w:fldChar w:fldCharType="begin"/>
            </w:r>
            <w:r>
              <w:rPr>
                <w:noProof/>
                <w:webHidden/>
              </w:rPr>
              <w:instrText xml:space="preserve"> PAGEREF _Toc220495732 \h </w:instrText>
            </w:r>
            <w:r>
              <w:rPr>
                <w:noProof/>
                <w:webHidden/>
              </w:rPr>
            </w:r>
            <w:r>
              <w:rPr>
                <w:noProof/>
                <w:webHidden/>
              </w:rPr>
              <w:fldChar w:fldCharType="separate"/>
            </w:r>
            <w:r>
              <w:rPr>
                <w:noProof/>
                <w:webHidden/>
              </w:rPr>
              <w:t>514</w:t>
            </w:r>
            <w:r>
              <w:rPr>
                <w:noProof/>
                <w:webHidden/>
              </w:rPr>
              <w:fldChar w:fldCharType="end"/>
            </w:r>
          </w:hyperlink>
        </w:p>
        <w:p w14:paraId="4C78FCC6" w14:textId="11E3B5C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33" w:history="1">
            <w:r w:rsidRPr="00F45DCA">
              <w:rPr>
                <w:rStyle w:val="Lienhypertexte"/>
                <w:noProof/>
              </w:rPr>
              <w:t>22.12.5c Faîtières mixtes acier-béton CCTB 01.04</w:t>
            </w:r>
            <w:r>
              <w:rPr>
                <w:noProof/>
                <w:webHidden/>
              </w:rPr>
              <w:tab/>
            </w:r>
            <w:r>
              <w:rPr>
                <w:noProof/>
                <w:webHidden/>
              </w:rPr>
              <w:fldChar w:fldCharType="begin"/>
            </w:r>
            <w:r>
              <w:rPr>
                <w:noProof/>
                <w:webHidden/>
              </w:rPr>
              <w:instrText xml:space="preserve"> PAGEREF _Toc220495733 \h </w:instrText>
            </w:r>
            <w:r>
              <w:rPr>
                <w:noProof/>
                <w:webHidden/>
              </w:rPr>
            </w:r>
            <w:r>
              <w:rPr>
                <w:noProof/>
                <w:webHidden/>
              </w:rPr>
              <w:fldChar w:fldCharType="separate"/>
            </w:r>
            <w:r>
              <w:rPr>
                <w:noProof/>
                <w:webHidden/>
              </w:rPr>
              <w:t>514</w:t>
            </w:r>
            <w:r>
              <w:rPr>
                <w:noProof/>
                <w:webHidden/>
              </w:rPr>
              <w:fldChar w:fldCharType="end"/>
            </w:r>
          </w:hyperlink>
        </w:p>
        <w:p w14:paraId="58861DAE" w14:textId="082D41D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34" w:history="1">
            <w:r w:rsidRPr="00F45DCA">
              <w:rPr>
                <w:rStyle w:val="Lienhypertexte"/>
                <w:noProof/>
              </w:rPr>
              <w:t>22.12.5d Sablières mixtes acier-béton CCTB 01.04</w:t>
            </w:r>
            <w:r>
              <w:rPr>
                <w:noProof/>
                <w:webHidden/>
              </w:rPr>
              <w:tab/>
            </w:r>
            <w:r>
              <w:rPr>
                <w:noProof/>
                <w:webHidden/>
              </w:rPr>
              <w:fldChar w:fldCharType="begin"/>
            </w:r>
            <w:r>
              <w:rPr>
                <w:noProof/>
                <w:webHidden/>
              </w:rPr>
              <w:instrText xml:space="preserve"> PAGEREF _Toc220495734 \h </w:instrText>
            </w:r>
            <w:r>
              <w:rPr>
                <w:noProof/>
                <w:webHidden/>
              </w:rPr>
            </w:r>
            <w:r>
              <w:rPr>
                <w:noProof/>
                <w:webHidden/>
              </w:rPr>
              <w:fldChar w:fldCharType="separate"/>
            </w:r>
            <w:r>
              <w:rPr>
                <w:noProof/>
                <w:webHidden/>
              </w:rPr>
              <w:t>515</w:t>
            </w:r>
            <w:r>
              <w:rPr>
                <w:noProof/>
                <w:webHidden/>
              </w:rPr>
              <w:fldChar w:fldCharType="end"/>
            </w:r>
          </w:hyperlink>
        </w:p>
        <w:p w14:paraId="2C2D8FAD" w14:textId="037AD37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735" w:history="1">
            <w:r w:rsidRPr="00F45DCA">
              <w:rPr>
                <w:rStyle w:val="Lienhypertexte"/>
                <w:noProof/>
              </w:rPr>
              <w:t>22.13 Linteaux en béton CCTB 01.11</w:t>
            </w:r>
            <w:r>
              <w:rPr>
                <w:noProof/>
                <w:webHidden/>
              </w:rPr>
              <w:tab/>
            </w:r>
            <w:r>
              <w:rPr>
                <w:noProof/>
                <w:webHidden/>
              </w:rPr>
              <w:fldChar w:fldCharType="begin"/>
            </w:r>
            <w:r>
              <w:rPr>
                <w:noProof/>
                <w:webHidden/>
              </w:rPr>
              <w:instrText xml:space="preserve"> PAGEREF _Toc220495735 \h </w:instrText>
            </w:r>
            <w:r>
              <w:rPr>
                <w:noProof/>
                <w:webHidden/>
              </w:rPr>
            </w:r>
            <w:r>
              <w:rPr>
                <w:noProof/>
                <w:webHidden/>
              </w:rPr>
              <w:fldChar w:fldCharType="separate"/>
            </w:r>
            <w:r>
              <w:rPr>
                <w:noProof/>
                <w:webHidden/>
              </w:rPr>
              <w:t>515</w:t>
            </w:r>
            <w:r>
              <w:rPr>
                <w:noProof/>
                <w:webHidden/>
              </w:rPr>
              <w:fldChar w:fldCharType="end"/>
            </w:r>
          </w:hyperlink>
        </w:p>
        <w:p w14:paraId="6AEDB62A" w14:textId="5002AE5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36" w:history="1">
            <w:r w:rsidRPr="00F45DCA">
              <w:rPr>
                <w:rStyle w:val="Lienhypertexte"/>
                <w:noProof/>
              </w:rPr>
              <w:t>22.13.1 Linteaux en béton CCTB 01.04</w:t>
            </w:r>
            <w:r>
              <w:rPr>
                <w:noProof/>
                <w:webHidden/>
              </w:rPr>
              <w:tab/>
            </w:r>
            <w:r>
              <w:rPr>
                <w:noProof/>
                <w:webHidden/>
              </w:rPr>
              <w:fldChar w:fldCharType="begin"/>
            </w:r>
            <w:r>
              <w:rPr>
                <w:noProof/>
                <w:webHidden/>
              </w:rPr>
              <w:instrText xml:space="preserve"> PAGEREF _Toc220495736 \h </w:instrText>
            </w:r>
            <w:r>
              <w:rPr>
                <w:noProof/>
                <w:webHidden/>
              </w:rPr>
            </w:r>
            <w:r>
              <w:rPr>
                <w:noProof/>
                <w:webHidden/>
              </w:rPr>
              <w:fldChar w:fldCharType="separate"/>
            </w:r>
            <w:r>
              <w:rPr>
                <w:noProof/>
                <w:webHidden/>
              </w:rPr>
              <w:t>515</w:t>
            </w:r>
            <w:r>
              <w:rPr>
                <w:noProof/>
                <w:webHidden/>
              </w:rPr>
              <w:fldChar w:fldCharType="end"/>
            </w:r>
          </w:hyperlink>
        </w:p>
        <w:p w14:paraId="3C724CB0" w14:textId="5758107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37" w:history="1">
            <w:r w:rsidRPr="00F45DCA">
              <w:rPr>
                <w:rStyle w:val="Lienhypertexte"/>
                <w:noProof/>
              </w:rPr>
              <w:t>22.13.1a Linteaux en béton coulé en place CCTB 01.13</w:t>
            </w:r>
            <w:r>
              <w:rPr>
                <w:noProof/>
                <w:webHidden/>
              </w:rPr>
              <w:tab/>
            </w:r>
            <w:r>
              <w:rPr>
                <w:noProof/>
                <w:webHidden/>
              </w:rPr>
              <w:fldChar w:fldCharType="begin"/>
            </w:r>
            <w:r>
              <w:rPr>
                <w:noProof/>
                <w:webHidden/>
              </w:rPr>
              <w:instrText xml:space="preserve"> PAGEREF _Toc220495737 \h </w:instrText>
            </w:r>
            <w:r>
              <w:rPr>
                <w:noProof/>
                <w:webHidden/>
              </w:rPr>
            </w:r>
            <w:r>
              <w:rPr>
                <w:noProof/>
                <w:webHidden/>
              </w:rPr>
              <w:fldChar w:fldCharType="separate"/>
            </w:r>
            <w:r>
              <w:rPr>
                <w:noProof/>
                <w:webHidden/>
              </w:rPr>
              <w:t>515</w:t>
            </w:r>
            <w:r>
              <w:rPr>
                <w:noProof/>
                <w:webHidden/>
              </w:rPr>
              <w:fldChar w:fldCharType="end"/>
            </w:r>
          </w:hyperlink>
        </w:p>
        <w:p w14:paraId="07F4D747" w14:textId="650D5DE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38" w:history="1">
            <w:r w:rsidRPr="00F45DCA">
              <w:rPr>
                <w:rStyle w:val="Lienhypertexte"/>
                <w:noProof/>
              </w:rPr>
              <w:t>22.13.1b Linteaux en béton apparent (esthétique) coulé en place CCTB 01.11</w:t>
            </w:r>
            <w:r>
              <w:rPr>
                <w:noProof/>
                <w:webHidden/>
              </w:rPr>
              <w:tab/>
            </w:r>
            <w:r>
              <w:rPr>
                <w:noProof/>
                <w:webHidden/>
              </w:rPr>
              <w:fldChar w:fldCharType="begin"/>
            </w:r>
            <w:r>
              <w:rPr>
                <w:noProof/>
                <w:webHidden/>
              </w:rPr>
              <w:instrText xml:space="preserve"> PAGEREF _Toc220495738 \h </w:instrText>
            </w:r>
            <w:r>
              <w:rPr>
                <w:noProof/>
                <w:webHidden/>
              </w:rPr>
            </w:r>
            <w:r>
              <w:rPr>
                <w:noProof/>
                <w:webHidden/>
              </w:rPr>
              <w:fldChar w:fldCharType="separate"/>
            </w:r>
            <w:r>
              <w:rPr>
                <w:noProof/>
                <w:webHidden/>
              </w:rPr>
              <w:t>515</w:t>
            </w:r>
            <w:r>
              <w:rPr>
                <w:noProof/>
                <w:webHidden/>
              </w:rPr>
              <w:fldChar w:fldCharType="end"/>
            </w:r>
          </w:hyperlink>
        </w:p>
        <w:p w14:paraId="56F38261" w14:textId="0491172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39" w:history="1">
            <w:r w:rsidRPr="00F45DCA">
              <w:rPr>
                <w:rStyle w:val="Lienhypertexte"/>
                <w:noProof/>
              </w:rPr>
              <w:t>22.13.1c Linteaux préfabriqués en béton armé CCTB 01.11</w:t>
            </w:r>
            <w:r>
              <w:rPr>
                <w:noProof/>
                <w:webHidden/>
              </w:rPr>
              <w:tab/>
            </w:r>
            <w:r>
              <w:rPr>
                <w:noProof/>
                <w:webHidden/>
              </w:rPr>
              <w:fldChar w:fldCharType="begin"/>
            </w:r>
            <w:r>
              <w:rPr>
                <w:noProof/>
                <w:webHidden/>
              </w:rPr>
              <w:instrText xml:space="preserve"> PAGEREF _Toc220495739 \h </w:instrText>
            </w:r>
            <w:r>
              <w:rPr>
                <w:noProof/>
                <w:webHidden/>
              </w:rPr>
            </w:r>
            <w:r>
              <w:rPr>
                <w:noProof/>
                <w:webHidden/>
              </w:rPr>
              <w:fldChar w:fldCharType="separate"/>
            </w:r>
            <w:r>
              <w:rPr>
                <w:noProof/>
                <w:webHidden/>
              </w:rPr>
              <w:t>516</w:t>
            </w:r>
            <w:r>
              <w:rPr>
                <w:noProof/>
                <w:webHidden/>
              </w:rPr>
              <w:fldChar w:fldCharType="end"/>
            </w:r>
          </w:hyperlink>
        </w:p>
        <w:p w14:paraId="56DD96EF" w14:textId="2B344E0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40" w:history="1">
            <w:r w:rsidRPr="00F45DCA">
              <w:rPr>
                <w:rStyle w:val="Lienhypertexte"/>
                <w:noProof/>
              </w:rPr>
              <w:t>22.13.1d Linteaux préfabriqués en béton précontraint CCTB 01.11</w:t>
            </w:r>
            <w:r>
              <w:rPr>
                <w:noProof/>
                <w:webHidden/>
              </w:rPr>
              <w:tab/>
            </w:r>
            <w:r>
              <w:rPr>
                <w:noProof/>
                <w:webHidden/>
              </w:rPr>
              <w:fldChar w:fldCharType="begin"/>
            </w:r>
            <w:r>
              <w:rPr>
                <w:noProof/>
                <w:webHidden/>
              </w:rPr>
              <w:instrText xml:space="preserve"> PAGEREF _Toc220495740 \h </w:instrText>
            </w:r>
            <w:r>
              <w:rPr>
                <w:noProof/>
                <w:webHidden/>
              </w:rPr>
            </w:r>
            <w:r>
              <w:rPr>
                <w:noProof/>
                <w:webHidden/>
              </w:rPr>
              <w:fldChar w:fldCharType="separate"/>
            </w:r>
            <w:r>
              <w:rPr>
                <w:noProof/>
                <w:webHidden/>
              </w:rPr>
              <w:t>517</w:t>
            </w:r>
            <w:r>
              <w:rPr>
                <w:noProof/>
                <w:webHidden/>
              </w:rPr>
              <w:fldChar w:fldCharType="end"/>
            </w:r>
          </w:hyperlink>
        </w:p>
        <w:p w14:paraId="0DF4248C" w14:textId="32A9ECB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41" w:history="1">
            <w:r w:rsidRPr="00F45DCA">
              <w:rPr>
                <w:rStyle w:val="Lienhypertexte"/>
                <w:noProof/>
              </w:rPr>
              <w:t>22.13.1e Linteaux préfabriqués en béton décoratif / architectonique CCTB 01.11</w:t>
            </w:r>
            <w:r>
              <w:rPr>
                <w:noProof/>
                <w:webHidden/>
              </w:rPr>
              <w:tab/>
            </w:r>
            <w:r>
              <w:rPr>
                <w:noProof/>
                <w:webHidden/>
              </w:rPr>
              <w:fldChar w:fldCharType="begin"/>
            </w:r>
            <w:r>
              <w:rPr>
                <w:noProof/>
                <w:webHidden/>
              </w:rPr>
              <w:instrText xml:space="preserve"> PAGEREF _Toc220495741 \h </w:instrText>
            </w:r>
            <w:r>
              <w:rPr>
                <w:noProof/>
                <w:webHidden/>
              </w:rPr>
            </w:r>
            <w:r>
              <w:rPr>
                <w:noProof/>
                <w:webHidden/>
              </w:rPr>
              <w:fldChar w:fldCharType="separate"/>
            </w:r>
            <w:r>
              <w:rPr>
                <w:noProof/>
                <w:webHidden/>
              </w:rPr>
              <w:t>519</w:t>
            </w:r>
            <w:r>
              <w:rPr>
                <w:noProof/>
                <w:webHidden/>
              </w:rPr>
              <w:fldChar w:fldCharType="end"/>
            </w:r>
          </w:hyperlink>
        </w:p>
        <w:p w14:paraId="6A2ABA8A" w14:textId="434BC3D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42" w:history="1">
            <w:r w:rsidRPr="00F45DCA">
              <w:rPr>
                <w:rStyle w:val="Lienhypertexte"/>
                <w:noProof/>
              </w:rPr>
              <w:t>22.13.1f Linteaux préfabriqués en béton cellulaire armé CCTB 01.02</w:t>
            </w:r>
            <w:r>
              <w:rPr>
                <w:noProof/>
                <w:webHidden/>
              </w:rPr>
              <w:tab/>
            </w:r>
            <w:r>
              <w:rPr>
                <w:noProof/>
                <w:webHidden/>
              </w:rPr>
              <w:fldChar w:fldCharType="begin"/>
            </w:r>
            <w:r>
              <w:rPr>
                <w:noProof/>
                <w:webHidden/>
              </w:rPr>
              <w:instrText xml:space="preserve"> PAGEREF _Toc220495742 \h </w:instrText>
            </w:r>
            <w:r>
              <w:rPr>
                <w:noProof/>
                <w:webHidden/>
              </w:rPr>
            </w:r>
            <w:r>
              <w:rPr>
                <w:noProof/>
                <w:webHidden/>
              </w:rPr>
              <w:fldChar w:fldCharType="separate"/>
            </w:r>
            <w:r>
              <w:rPr>
                <w:noProof/>
                <w:webHidden/>
              </w:rPr>
              <w:t>520</w:t>
            </w:r>
            <w:r>
              <w:rPr>
                <w:noProof/>
                <w:webHidden/>
              </w:rPr>
              <w:fldChar w:fldCharType="end"/>
            </w:r>
          </w:hyperlink>
        </w:p>
        <w:p w14:paraId="04433C5E" w14:textId="1DB4F2C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43" w:history="1">
            <w:r w:rsidRPr="00F45DCA">
              <w:rPr>
                <w:rStyle w:val="Lienhypertexte"/>
                <w:noProof/>
              </w:rPr>
              <w:t>22.13.2 Linteaux composites (prélinteaux plats + rehausses collaborantes) CCTB 01.13</w:t>
            </w:r>
            <w:r>
              <w:rPr>
                <w:noProof/>
                <w:webHidden/>
              </w:rPr>
              <w:tab/>
            </w:r>
            <w:r>
              <w:rPr>
                <w:noProof/>
                <w:webHidden/>
              </w:rPr>
              <w:fldChar w:fldCharType="begin"/>
            </w:r>
            <w:r>
              <w:rPr>
                <w:noProof/>
                <w:webHidden/>
              </w:rPr>
              <w:instrText xml:space="preserve"> PAGEREF _Toc220495743 \h </w:instrText>
            </w:r>
            <w:r>
              <w:rPr>
                <w:noProof/>
                <w:webHidden/>
              </w:rPr>
            </w:r>
            <w:r>
              <w:rPr>
                <w:noProof/>
                <w:webHidden/>
              </w:rPr>
              <w:fldChar w:fldCharType="separate"/>
            </w:r>
            <w:r>
              <w:rPr>
                <w:noProof/>
                <w:webHidden/>
              </w:rPr>
              <w:t>520</w:t>
            </w:r>
            <w:r>
              <w:rPr>
                <w:noProof/>
                <w:webHidden/>
              </w:rPr>
              <w:fldChar w:fldCharType="end"/>
            </w:r>
          </w:hyperlink>
        </w:p>
        <w:p w14:paraId="226F9BC5" w14:textId="47B0DE3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44" w:history="1">
            <w:r w:rsidRPr="00F45DCA">
              <w:rPr>
                <w:rStyle w:val="Lienhypertexte"/>
                <w:noProof/>
              </w:rPr>
              <w:t>22.13.2a Prélinteaux plats préfabriqués en béton + rehausses collaborantes en maçonnerie CCTB 01.11</w:t>
            </w:r>
            <w:r>
              <w:rPr>
                <w:noProof/>
                <w:webHidden/>
              </w:rPr>
              <w:tab/>
            </w:r>
            <w:r>
              <w:rPr>
                <w:noProof/>
                <w:webHidden/>
              </w:rPr>
              <w:fldChar w:fldCharType="begin"/>
            </w:r>
            <w:r>
              <w:rPr>
                <w:noProof/>
                <w:webHidden/>
              </w:rPr>
              <w:instrText xml:space="preserve"> PAGEREF _Toc220495744 \h </w:instrText>
            </w:r>
            <w:r>
              <w:rPr>
                <w:noProof/>
                <w:webHidden/>
              </w:rPr>
            </w:r>
            <w:r>
              <w:rPr>
                <w:noProof/>
                <w:webHidden/>
              </w:rPr>
              <w:fldChar w:fldCharType="separate"/>
            </w:r>
            <w:r>
              <w:rPr>
                <w:noProof/>
                <w:webHidden/>
              </w:rPr>
              <w:t>521</w:t>
            </w:r>
            <w:r>
              <w:rPr>
                <w:noProof/>
                <w:webHidden/>
              </w:rPr>
              <w:fldChar w:fldCharType="end"/>
            </w:r>
          </w:hyperlink>
        </w:p>
        <w:p w14:paraId="2EB7A232" w14:textId="754289A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45" w:history="1">
            <w:r w:rsidRPr="00F45DCA">
              <w:rPr>
                <w:rStyle w:val="Lienhypertexte"/>
                <w:noProof/>
              </w:rPr>
              <w:t>22.13.2b Prélinteaux plats préfabriqués en béton + rehausses collaborantes en béton coulé en place CCTB 01.10</w:t>
            </w:r>
            <w:r>
              <w:rPr>
                <w:noProof/>
                <w:webHidden/>
              </w:rPr>
              <w:tab/>
            </w:r>
            <w:r>
              <w:rPr>
                <w:noProof/>
                <w:webHidden/>
              </w:rPr>
              <w:fldChar w:fldCharType="begin"/>
            </w:r>
            <w:r>
              <w:rPr>
                <w:noProof/>
                <w:webHidden/>
              </w:rPr>
              <w:instrText xml:space="preserve"> PAGEREF _Toc220495745 \h </w:instrText>
            </w:r>
            <w:r>
              <w:rPr>
                <w:noProof/>
                <w:webHidden/>
              </w:rPr>
            </w:r>
            <w:r>
              <w:rPr>
                <w:noProof/>
                <w:webHidden/>
              </w:rPr>
              <w:fldChar w:fldCharType="separate"/>
            </w:r>
            <w:r>
              <w:rPr>
                <w:noProof/>
                <w:webHidden/>
              </w:rPr>
              <w:t>522</w:t>
            </w:r>
            <w:r>
              <w:rPr>
                <w:noProof/>
                <w:webHidden/>
              </w:rPr>
              <w:fldChar w:fldCharType="end"/>
            </w:r>
          </w:hyperlink>
        </w:p>
        <w:p w14:paraId="55D61288" w14:textId="1F09C77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46" w:history="1">
            <w:r w:rsidRPr="00F45DCA">
              <w:rPr>
                <w:rStyle w:val="Lienhypertexte"/>
                <w:noProof/>
              </w:rPr>
              <w:t>22.13.2c Prélinteaux plats en béton précontraint + rehausses collaborantes en maçonnerie CCTB 01.10</w:t>
            </w:r>
            <w:r>
              <w:rPr>
                <w:noProof/>
                <w:webHidden/>
              </w:rPr>
              <w:tab/>
            </w:r>
            <w:r>
              <w:rPr>
                <w:noProof/>
                <w:webHidden/>
              </w:rPr>
              <w:fldChar w:fldCharType="begin"/>
            </w:r>
            <w:r>
              <w:rPr>
                <w:noProof/>
                <w:webHidden/>
              </w:rPr>
              <w:instrText xml:space="preserve"> PAGEREF _Toc220495746 \h </w:instrText>
            </w:r>
            <w:r>
              <w:rPr>
                <w:noProof/>
                <w:webHidden/>
              </w:rPr>
            </w:r>
            <w:r>
              <w:rPr>
                <w:noProof/>
                <w:webHidden/>
              </w:rPr>
              <w:fldChar w:fldCharType="separate"/>
            </w:r>
            <w:r>
              <w:rPr>
                <w:noProof/>
                <w:webHidden/>
              </w:rPr>
              <w:t>522</w:t>
            </w:r>
            <w:r>
              <w:rPr>
                <w:noProof/>
                <w:webHidden/>
              </w:rPr>
              <w:fldChar w:fldCharType="end"/>
            </w:r>
          </w:hyperlink>
        </w:p>
        <w:p w14:paraId="1091D85B" w14:textId="7678BC3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47" w:history="1">
            <w:r w:rsidRPr="00F45DCA">
              <w:rPr>
                <w:rStyle w:val="Lienhypertexte"/>
                <w:noProof/>
              </w:rPr>
              <w:t>22.13.2d Prélinteaux plats en béton précontraint enrobé de terre cuite + rehausses collaborantes en maçonnerie CCTB 01.10</w:t>
            </w:r>
            <w:r>
              <w:rPr>
                <w:noProof/>
                <w:webHidden/>
              </w:rPr>
              <w:tab/>
            </w:r>
            <w:r>
              <w:rPr>
                <w:noProof/>
                <w:webHidden/>
              </w:rPr>
              <w:fldChar w:fldCharType="begin"/>
            </w:r>
            <w:r>
              <w:rPr>
                <w:noProof/>
                <w:webHidden/>
              </w:rPr>
              <w:instrText xml:space="preserve"> PAGEREF _Toc220495747 \h </w:instrText>
            </w:r>
            <w:r>
              <w:rPr>
                <w:noProof/>
                <w:webHidden/>
              </w:rPr>
            </w:r>
            <w:r>
              <w:rPr>
                <w:noProof/>
                <w:webHidden/>
              </w:rPr>
              <w:fldChar w:fldCharType="separate"/>
            </w:r>
            <w:r>
              <w:rPr>
                <w:noProof/>
                <w:webHidden/>
              </w:rPr>
              <w:t>522</w:t>
            </w:r>
            <w:r>
              <w:rPr>
                <w:noProof/>
                <w:webHidden/>
              </w:rPr>
              <w:fldChar w:fldCharType="end"/>
            </w:r>
          </w:hyperlink>
        </w:p>
        <w:p w14:paraId="4625D295" w14:textId="25ED5EC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48" w:history="1">
            <w:r w:rsidRPr="00F45DCA">
              <w:rPr>
                <w:rStyle w:val="Lienhypertexte"/>
                <w:noProof/>
              </w:rPr>
              <w:t>22.13.2e Prélinteaux plats en béton précontraint enrobé de terre cuite + rehausses collaborantes en béton coulé en place CCTB 01.13</w:t>
            </w:r>
            <w:r>
              <w:rPr>
                <w:noProof/>
                <w:webHidden/>
              </w:rPr>
              <w:tab/>
            </w:r>
            <w:r>
              <w:rPr>
                <w:noProof/>
                <w:webHidden/>
              </w:rPr>
              <w:fldChar w:fldCharType="begin"/>
            </w:r>
            <w:r>
              <w:rPr>
                <w:noProof/>
                <w:webHidden/>
              </w:rPr>
              <w:instrText xml:space="preserve"> PAGEREF _Toc220495748 \h </w:instrText>
            </w:r>
            <w:r>
              <w:rPr>
                <w:noProof/>
                <w:webHidden/>
              </w:rPr>
            </w:r>
            <w:r>
              <w:rPr>
                <w:noProof/>
                <w:webHidden/>
              </w:rPr>
              <w:fldChar w:fldCharType="separate"/>
            </w:r>
            <w:r>
              <w:rPr>
                <w:noProof/>
                <w:webHidden/>
              </w:rPr>
              <w:t>522</w:t>
            </w:r>
            <w:r>
              <w:rPr>
                <w:noProof/>
                <w:webHidden/>
              </w:rPr>
              <w:fldChar w:fldCharType="end"/>
            </w:r>
          </w:hyperlink>
        </w:p>
        <w:p w14:paraId="340C6875" w14:textId="772CD08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49" w:history="1">
            <w:r w:rsidRPr="00F45DCA">
              <w:rPr>
                <w:rStyle w:val="Lienhypertexte"/>
                <w:noProof/>
              </w:rPr>
              <w:t>22.13.2f Prélinteaux plats en silico-calcaire et béton + rehausses collaborantes en maçonnerie CCTB 01.13</w:t>
            </w:r>
            <w:r>
              <w:rPr>
                <w:noProof/>
                <w:webHidden/>
              </w:rPr>
              <w:tab/>
            </w:r>
            <w:r>
              <w:rPr>
                <w:noProof/>
                <w:webHidden/>
              </w:rPr>
              <w:fldChar w:fldCharType="begin"/>
            </w:r>
            <w:r>
              <w:rPr>
                <w:noProof/>
                <w:webHidden/>
              </w:rPr>
              <w:instrText xml:space="preserve"> PAGEREF _Toc220495749 \h </w:instrText>
            </w:r>
            <w:r>
              <w:rPr>
                <w:noProof/>
                <w:webHidden/>
              </w:rPr>
            </w:r>
            <w:r>
              <w:rPr>
                <w:noProof/>
                <w:webHidden/>
              </w:rPr>
              <w:fldChar w:fldCharType="separate"/>
            </w:r>
            <w:r>
              <w:rPr>
                <w:noProof/>
                <w:webHidden/>
              </w:rPr>
              <w:t>523</w:t>
            </w:r>
            <w:r>
              <w:rPr>
                <w:noProof/>
                <w:webHidden/>
              </w:rPr>
              <w:fldChar w:fldCharType="end"/>
            </w:r>
          </w:hyperlink>
        </w:p>
        <w:p w14:paraId="5B103189" w14:textId="3D2B5BB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50" w:history="1">
            <w:r w:rsidRPr="00F45DCA">
              <w:rPr>
                <w:rStyle w:val="Lienhypertexte"/>
                <w:noProof/>
              </w:rPr>
              <w:t>22.13.3 Linteaux composites (prélinteaux en U + âmes en béton) CCTB 01.10</w:t>
            </w:r>
            <w:r>
              <w:rPr>
                <w:noProof/>
                <w:webHidden/>
              </w:rPr>
              <w:tab/>
            </w:r>
            <w:r>
              <w:rPr>
                <w:noProof/>
                <w:webHidden/>
              </w:rPr>
              <w:fldChar w:fldCharType="begin"/>
            </w:r>
            <w:r>
              <w:rPr>
                <w:noProof/>
                <w:webHidden/>
              </w:rPr>
              <w:instrText xml:space="preserve"> PAGEREF _Toc220495750 \h </w:instrText>
            </w:r>
            <w:r>
              <w:rPr>
                <w:noProof/>
                <w:webHidden/>
              </w:rPr>
            </w:r>
            <w:r>
              <w:rPr>
                <w:noProof/>
                <w:webHidden/>
              </w:rPr>
              <w:fldChar w:fldCharType="separate"/>
            </w:r>
            <w:r>
              <w:rPr>
                <w:noProof/>
                <w:webHidden/>
              </w:rPr>
              <w:t>524</w:t>
            </w:r>
            <w:r>
              <w:rPr>
                <w:noProof/>
                <w:webHidden/>
              </w:rPr>
              <w:fldChar w:fldCharType="end"/>
            </w:r>
          </w:hyperlink>
        </w:p>
        <w:p w14:paraId="1749373A" w14:textId="04B984F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51" w:history="1">
            <w:r w:rsidRPr="00F45DCA">
              <w:rPr>
                <w:rStyle w:val="Lienhypertexte"/>
                <w:noProof/>
              </w:rPr>
              <w:t>22.13.3a Prélinteaux en U en éléments en béton + âmes en béton coulé en place CCTB 01.10</w:t>
            </w:r>
            <w:r>
              <w:rPr>
                <w:noProof/>
                <w:webHidden/>
              </w:rPr>
              <w:tab/>
            </w:r>
            <w:r>
              <w:rPr>
                <w:noProof/>
                <w:webHidden/>
              </w:rPr>
              <w:fldChar w:fldCharType="begin"/>
            </w:r>
            <w:r>
              <w:rPr>
                <w:noProof/>
                <w:webHidden/>
              </w:rPr>
              <w:instrText xml:space="preserve"> PAGEREF _Toc220495751 \h </w:instrText>
            </w:r>
            <w:r>
              <w:rPr>
                <w:noProof/>
                <w:webHidden/>
              </w:rPr>
            </w:r>
            <w:r>
              <w:rPr>
                <w:noProof/>
                <w:webHidden/>
              </w:rPr>
              <w:fldChar w:fldCharType="separate"/>
            </w:r>
            <w:r>
              <w:rPr>
                <w:noProof/>
                <w:webHidden/>
              </w:rPr>
              <w:t>524</w:t>
            </w:r>
            <w:r>
              <w:rPr>
                <w:noProof/>
                <w:webHidden/>
              </w:rPr>
              <w:fldChar w:fldCharType="end"/>
            </w:r>
          </w:hyperlink>
        </w:p>
        <w:p w14:paraId="6ED87978" w14:textId="7CCE251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52" w:history="1">
            <w:r w:rsidRPr="00F45DCA">
              <w:rPr>
                <w:rStyle w:val="Lienhypertexte"/>
                <w:noProof/>
              </w:rPr>
              <w:t>22.13.3b Prélinteaux en U en éléments en terre cuite alvéolaires + âmes en béton coulé en place CCTB 01.10</w:t>
            </w:r>
            <w:r>
              <w:rPr>
                <w:noProof/>
                <w:webHidden/>
              </w:rPr>
              <w:tab/>
            </w:r>
            <w:r>
              <w:rPr>
                <w:noProof/>
                <w:webHidden/>
              </w:rPr>
              <w:fldChar w:fldCharType="begin"/>
            </w:r>
            <w:r>
              <w:rPr>
                <w:noProof/>
                <w:webHidden/>
              </w:rPr>
              <w:instrText xml:space="preserve"> PAGEREF _Toc220495752 \h </w:instrText>
            </w:r>
            <w:r>
              <w:rPr>
                <w:noProof/>
                <w:webHidden/>
              </w:rPr>
            </w:r>
            <w:r>
              <w:rPr>
                <w:noProof/>
                <w:webHidden/>
              </w:rPr>
              <w:fldChar w:fldCharType="separate"/>
            </w:r>
            <w:r>
              <w:rPr>
                <w:noProof/>
                <w:webHidden/>
              </w:rPr>
              <w:t>524</w:t>
            </w:r>
            <w:r>
              <w:rPr>
                <w:noProof/>
                <w:webHidden/>
              </w:rPr>
              <w:fldChar w:fldCharType="end"/>
            </w:r>
          </w:hyperlink>
        </w:p>
        <w:p w14:paraId="01B8E2CA" w14:textId="4FE2B04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53" w:history="1">
            <w:r w:rsidRPr="00F45DCA">
              <w:rPr>
                <w:rStyle w:val="Lienhypertexte"/>
                <w:noProof/>
              </w:rPr>
              <w:t>22.13.3c Prélinteaux en U en éléments en silico-calcaire + âmes en béton coulé en place CCTB 01.10</w:t>
            </w:r>
            <w:r>
              <w:rPr>
                <w:noProof/>
                <w:webHidden/>
              </w:rPr>
              <w:tab/>
            </w:r>
            <w:r>
              <w:rPr>
                <w:noProof/>
                <w:webHidden/>
              </w:rPr>
              <w:fldChar w:fldCharType="begin"/>
            </w:r>
            <w:r>
              <w:rPr>
                <w:noProof/>
                <w:webHidden/>
              </w:rPr>
              <w:instrText xml:space="preserve"> PAGEREF _Toc220495753 \h </w:instrText>
            </w:r>
            <w:r>
              <w:rPr>
                <w:noProof/>
                <w:webHidden/>
              </w:rPr>
            </w:r>
            <w:r>
              <w:rPr>
                <w:noProof/>
                <w:webHidden/>
              </w:rPr>
              <w:fldChar w:fldCharType="separate"/>
            </w:r>
            <w:r>
              <w:rPr>
                <w:noProof/>
                <w:webHidden/>
              </w:rPr>
              <w:t>524</w:t>
            </w:r>
            <w:r>
              <w:rPr>
                <w:noProof/>
                <w:webHidden/>
              </w:rPr>
              <w:fldChar w:fldCharType="end"/>
            </w:r>
          </w:hyperlink>
        </w:p>
        <w:p w14:paraId="2CE10BF7" w14:textId="3F7BBF9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54" w:history="1">
            <w:r w:rsidRPr="00F45DCA">
              <w:rPr>
                <w:rStyle w:val="Lienhypertexte"/>
                <w:noProof/>
              </w:rPr>
              <w:t>22.13.3d Prélinteaux en U en éléments en béton cellulaire + âmes en béton coulé en place CCTB 01.10</w:t>
            </w:r>
            <w:r>
              <w:rPr>
                <w:noProof/>
                <w:webHidden/>
              </w:rPr>
              <w:tab/>
            </w:r>
            <w:r>
              <w:rPr>
                <w:noProof/>
                <w:webHidden/>
              </w:rPr>
              <w:fldChar w:fldCharType="begin"/>
            </w:r>
            <w:r>
              <w:rPr>
                <w:noProof/>
                <w:webHidden/>
              </w:rPr>
              <w:instrText xml:space="preserve"> PAGEREF _Toc220495754 \h </w:instrText>
            </w:r>
            <w:r>
              <w:rPr>
                <w:noProof/>
                <w:webHidden/>
              </w:rPr>
            </w:r>
            <w:r>
              <w:rPr>
                <w:noProof/>
                <w:webHidden/>
              </w:rPr>
              <w:fldChar w:fldCharType="separate"/>
            </w:r>
            <w:r>
              <w:rPr>
                <w:noProof/>
                <w:webHidden/>
              </w:rPr>
              <w:t>524</w:t>
            </w:r>
            <w:r>
              <w:rPr>
                <w:noProof/>
                <w:webHidden/>
              </w:rPr>
              <w:fldChar w:fldCharType="end"/>
            </w:r>
          </w:hyperlink>
        </w:p>
        <w:p w14:paraId="5094DF7E" w14:textId="11642A7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55" w:history="1">
            <w:r w:rsidRPr="00F45DCA">
              <w:rPr>
                <w:rStyle w:val="Lienhypertexte"/>
                <w:noProof/>
              </w:rPr>
              <w:t>22.13.3e Prélinteaux en U en éléments en béton cellulaire + profilé métallique + âmes en béton coulé en place CCTB 01.10</w:t>
            </w:r>
            <w:r>
              <w:rPr>
                <w:noProof/>
                <w:webHidden/>
              </w:rPr>
              <w:tab/>
            </w:r>
            <w:r>
              <w:rPr>
                <w:noProof/>
                <w:webHidden/>
              </w:rPr>
              <w:fldChar w:fldCharType="begin"/>
            </w:r>
            <w:r>
              <w:rPr>
                <w:noProof/>
                <w:webHidden/>
              </w:rPr>
              <w:instrText xml:space="preserve"> PAGEREF _Toc220495755 \h </w:instrText>
            </w:r>
            <w:r>
              <w:rPr>
                <w:noProof/>
                <w:webHidden/>
              </w:rPr>
            </w:r>
            <w:r>
              <w:rPr>
                <w:noProof/>
                <w:webHidden/>
              </w:rPr>
              <w:fldChar w:fldCharType="separate"/>
            </w:r>
            <w:r>
              <w:rPr>
                <w:noProof/>
                <w:webHidden/>
              </w:rPr>
              <w:t>525</w:t>
            </w:r>
            <w:r>
              <w:rPr>
                <w:noProof/>
                <w:webHidden/>
              </w:rPr>
              <w:fldChar w:fldCharType="end"/>
            </w:r>
          </w:hyperlink>
        </w:p>
        <w:p w14:paraId="7A4ED0AB" w14:textId="7D36453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56" w:history="1">
            <w:r w:rsidRPr="00F45DCA">
              <w:rPr>
                <w:rStyle w:val="Lienhypertexte"/>
                <w:noProof/>
              </w:rPr>
              <w:t>22.13.3f Prélinteaux en U en éléments en matière synthétique + âmes en béton coulé en place CCTB 01.10</w:t>
            </w:r>
            <w:r>
              <w:rPr>
                <w:noProof/>
                <w:webHidden/>
              </w:rPr>
              <w:tab/>
            </w:r>
            <w:r>
              <w:rPr>
                <w:noProof/>
                <w:webHidden/>
              </w:rPr>
              <w:fldChar w:fldCharType="begin"/>
            </w:r>
            <w:r>
              <w:rPr>
                <w:noProof/>
                <w:webHidden/>
              </w:rPr>
              <w:instrText xml:space="preserve"> PAGEREF _Toc220495756 \h </w:instrText>
            </w:r>
            <w:r>
              <w:rPr>
                <w:noProof/>
                <w:webHidden/>
              </w:rPr>
            </w:r>
            <w:r>
              <w:rPr>
                <w:noProof/>
                <w:webHidden/>
              </w:rPr>
              <w:fldChar w:fldCharType="separate"/>
            </w:r>
            <w:r>
              <w:rPr>
                <w:noProof/>
                <w:webHidden/>
              </w:rPr>
              <w:t>525</w:t>
            </w:r>
            <w:r>
              <w:rPr>
                <w:noProof/>
                <w:webHidden/>
              </w:rPr>
              <w:fldChar w:fldCharType="end"/>
            </w:r>
          </w:hyperlink>
        </w:p>
        <w:p w14:paraId="3CA81F8A" w14:textId="7BF89A4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57" w:history="1">
            <w:r w:rsidRPr="00F45DCA">
              <w:rPr>
                <w:rStyle w:val="Lienhypertexte"/>
                <w:noProof/>
              </w:rPr>
              <w:t>22.13.3g Prélinteaux en U en éléments en fibres de bois minéralisées + âmes en béton coulé en place CCTB 01.10</w:t>
            </w:r>
            <w:r>
              <w:rPr>
                <w:noProof/>
                <w:webHidden/>
              </w:rPr>
              <w:tab/>
            </w:r>
            <w:r>
              <w:rPr>
                <w:noProof/>
                <w:webHidden/>
              </w:rPr>
              <w:fldChar w:fldCharType="begin"/>
            </w:r>
            <w:r>
              <w:rPr>
                <w:noProof/>
                <w:webHidden/>
              </w:rPr>
              <w:instrText xml:space="preserve"> PAGEREF _Toc220495757 \h </w:instrText>
            </w:r>
            <w:r>
              <w:rPr>
                <w:noProof/>
                <w:webHidden/>
              </w:rPr>
            </w:r>
            <w:r>
              <w:rPr>
                <w:noProof/>
                <w:webHidden/>
              </w:rPr>
              <w:fldChar w:fldCharType="separate"/>
            </w:r>
            <w:r>
              <w:rPr>
                <w:noProof/>
                <w:webHidden/>
              </w:rPr>
              <w:t>525</w:t>
            </w:r>
            <w:r>
              <w:rPr>
                <w:noProof/>
                <w:webHidden/>
              </w:rPr>
              <w:fldChar w:fldCharType="end"/>
            </w:r>
          </w:hyperlink>
        </w:p>
        <w:p w14:paraId="18CECEDF" w14:textId="1E0595B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58" w:history="1">
            <w:r w:rsidRPr="00F45DCA">
              <w:rPr>
                <w:rStyle w:val="Lienhypertexte"/>
                <w:noProof/>
              </w:rPr>
              <w:t>22.13.3h Prélinteaux en U en éléments en pierre ponce + âmes en béton coulé en place CCTB 01.10</w:t>
            </w:r>
            <w:r>
              <w:rPr>
                <w:noProof/>
                <w:webHidden/>
              </w:rPr>
              <w:tab/>
            </w:r>
            <w:r>
              <w:rPr>
                <w:noProof/>
                <w:webHidden/>
              </w:rPr>
              <w:fldChar w:fldCharType="begin"/>
            </w:r>
            <w:r>
              <w:rPr>
                <w:noProof/>
                <w:webHidden/>
              </w:rPr>
              <w:instrText xml:space="preserve"> PAGEREF _Toc220495758 \h </w:instrText>
            </w:r>
            <w:r>
              <w:rPr>
                <w:noProof/>
                <w:webHidden/>
              </w:rPr>
            </w:r>
            <w:r>
              <w:rPr>
                <w:noProof/>
                <w:webHidden/>
              </w:rPr>
              <w:fldChar w:fldCharType="separate"/>
            </w:r>
            <w:r>
              <w:rPr>
                <w:noProof/>
                <w:webHidden/>
              </w:rPr>
              <w:t>525</w:t>
            </w:r>
            <w:r>
              <w:rPr>
                <w:noProof/>
                <w:webHidden/>
              </w:rPr>
              <w:fldChar w:fldCharType="end"/>
            </w:r>
          </w:hyperlink>
        </w:p>
        <w:p w14:paraId="50E2FD67" w14:textId="34975C7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759" w:history="1">
            <w:r w:rsidRPr="00F45DCA">
              <w:rPr>
                <w:rStyle w:val="Lienhypertexte"/>
                <w:noProof/>
              </w:rPr>
              <w:t>22.14 Colonnes en béton CCTB 01.04</w:t>
            </w:r>
            <w:r>
              <w:rPr>
                <w:noProof/>
                <w:webHidden/>
              </w:rPr>
              <w:tab/>
            </w:r>
            <w:r>
              <w:rPr>
                <w:noProof/>
                <w:webHidden/>
              </w:rPr>
              <w:fldChar w:fldCharType="begin"/>
            </w:r>
            <w:r>
              <w:rPr>
                <w:noProof/>
                <w:webHidden/>
              </w:rPr>
              <w:instrText xml:space="preserve"> PAGEREF _Toc220495759 \h </w:instrText>
            </w:r>
            <w:r>
              <w:rPr>
                <w:noProof/>
                <w:webHidden/>
              </w:rPr>
            </w:r>
            <w:r>
              <w:rPr>
                <w:noProof/>
                <w:webHidden/>
              </w:rPr>
              <w:fldChar w:fldCharType="separate"/>
            </w:r>
            <w:r>
              <w:rPr>
                <w:noProof/>
                <w:webHidden/>
              </w:rPr>
              <w:t>525</w:t>
            </w:r>
            <w:r>
              <w:rPr>
                <w:noProof/>
                <w:webHidden/>
              </w:rPr>
              <w:fldChar w:fldCharType="end"/>
            </w:r>
          </w:hyperlink>
        </w:p>
        <w:p w14:paraId="2F2041B2" w14:textId="22735A2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60" w:history="1">
            <w:r w:rsidRPr="00F45DCA">
              <w:rPr>
                <w:rStyle w:val="Lienhypertexte"/>
                <w:noProof/>
              </w:rPr>
              <w:t>22.14.1 Colonnes en béton coulé en place CCTB 01.04</w:t>
            </w:r>
            <w:r>
              <w:rPr>
                <w:noProof/>
                <w:webHidden/>
              </w:rPr>
              <w:tab/>
            </w:r>
            <w:r>
              <w:rPr>
                <w:noProof/>
                <w:webHidden/>
              </w:rPr>
              <w:fldChar w:fldCharType="begin"/>
            </w:r>
            <w:r>
              <w:rPr>
                <w:noProof/>
                <w:webHidden/>
              </w:rPr>
              <w:instrText xml:space="preserve"> PAGEREF _Toc220495760 \h </w:instrText>
            </w:r>
            <w:r>
              <w:rPr>
                <w:noProof/>
                <w:webHidden/>
              </w:rPr>
            </w:r>
            <w:r>
              <w:rPr>
                <w:noProof/>
                <w:webHidden/>
              </w:rPr>
              <w:fldChar w:fldCharType="separate"/>
            </w:r>
            <w:r>
              <w:rPr>
                <w:noProof/>
                <w:webHidden/>
              </w:rPr>
              <w:t>525</w:t>
            </w:r>
            <w:r>
              <w:rPr>
                <w:noProof/>
                <w:webHidden/>
              </w:rPr>
              <w:fldChar w:fldCharType="end"/>
            </w:r>
          </w:hyperlink>
        </w:p>
        <w:p w14:paraId="03850503" w14:textId="2E205D2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61" w:history="1">
            <w:r w:rsidRPr="00F45DCA">
              <w:rPr>
                <w:rStyle w:val="Lienhypertexte"/>
                <w:noProof/>
              </w:rPr>
              <w:t>22.14.1a Colonnes en béton armé coulé en place CCTB 01.13</w:t>
            </w:r>
            <w:r>
              <w:rPr>
                <w:noProof/>
                <w:webHidden/>
              </w:rPr>
              <w:tab/>
            </w:r>
            <w:r>
              <w:rPr>
                <w:noProof/>
                <w:webHidden/>
              </w:rPr>
              <w:fldChar w:fldCharType="begin"/>
            </w:r>
            <w:r>
              <w:rPr>
                <w:noProof/>
                <w:webHidden/>
              </w:rPr>
              <w:instrText xml:space="preserve"> PAGEREF _Toc220495761 \h </w:instrText>
            </w:r>
            <w:r>
              <w:rPr>
                <w:noProof/>
                <w:webHidden/>
              </w:rPr>
            </w:r>
            <w:r>
              <w:rPr>
                <w:noProof/>
                <w:webHidden/>
              </w:rPr>
              <w:fldChar w:fldCharType="separate"/>
            </w:r>
            <w:r>
              <w:rPr>
                <w:noProof/>
                <w:webHidden/>
              </w:rPr>
              <w:t>525</w:t>
            </w:r>
            <w:r>
              <w:rPr>
                <w:noProof/>
                <w:webHidden/>
              </w:rPr>
              <w:fldChar w:fldCharType="end"/>
            </w:r>
          </w:hyperlink>
        </w:p>
        <w:p w14:paraId="211DF22C" w14:textId="5F65D47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62" w:history="1">
            <w:r w:rsidRPr="00F45DCA">
              <w:rPr>
                <w:rStyle w:val="Lienhypertexte"/>
                <w:noProof/>
              </w:rPr>
              <w:t>22.14.2 Colonnes en béton apparent (esthétique) coulé en place CCTB 01.04</w:t>
            </w:r>
            <w:r>
              <w:rPr>
                <w:noProof/>
                <w:webHidden/>
              </w:rPr>
              <w:tab/>
            </w:r>
            <w:r>
              <w:rPr>
                <w:noProof/>
                <w:webHidden/>
              </w:rPr>
              <w:fldChar w:fldCharType="begin"/>
            </w:r>
            <w:r>
              <w:rPr>
                <w:noProof/>
                <w:webHidden/>
              </w:rPr>
              <w:instrText xml:space="preserve"> PAGEREF _Toc220495762 \h </w:instrText>
            </w:r>
            <w:r>
              <w:rPr>
                <w:noProof/>
                <w:webHidden/>
              </w:rPr>
            </w:r>
            <w:r>
              <w:rPr>
                <w:noProof/>
                <w:webHidden/>
              </w:rPr>
              <w:fldChar w:fldCharType="separate"/>
            </w:r>
            <w:r>
              <w:rPr>
                <w:noProof/>
                <w:webHidden/>
              </w:rPr>
              <w:t>529</w:t>
            </w:r>
            <w:r>
              <w:rPr>
                <w:noProof/>
                <w:webHidden/>
              </w:rPr>
              <w:fldChar w:fldCharType="end"/>
            </w:r>
          </w:hyperlink>
        </w:p>
        <w:p w14:paraId="14E050A9" w14:textId="333EE8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63" w:history="1">
            <w:r w:rsidRPr="00F45DCA">
              <w:rPr>
                <w:rStyle w:val="Lienhypertexte"/>
                <w:noProof/>
              </w:rPr>
              <w:t>22.14.2a Colonnes en béton apparent (esthétique) armé coulé en place CCTB 01.13</w:t>
            </w:r>
            <w:r>
              <w:rPr>
                <w:noProof/>
                <w:webHidden/>
              </w:rPr>
              <w:tab/>
            </w:r>
            <w:r>
              <w:rPr>
                <w:noProof/>
                <w:webHidden/>
              </w:rPr>
              <w:fldChar w:fldCharType="begin"/>
            </w:r>
            <w:r>
              <w:rPr>
                <w:noProof/>
                <w:webHidden/>
              </w:rPr>
              <w:instrText xml:space="preserve"> PAGEREF _Toc220495763 \h </w:instrText>
            </w:r>
            <w:r>
              <w:rPr>
                <w:noProof/>
                <w:webHidden/>
              </w:rPr>
            </w:r>
            <w:r>
              <w:rPr>
                <w:noProof/>
                <w:webHidden/>
              </w:rPr>
              <w:fldChar w:fldCharType="separate"/>
            </w:r>
            <w:r>
              <w:rPr>
                <w:noProof/>
                <w:webHidden/>
              </w:rPr>
              <w:t>529</w:t>
            </w:r>
            <w:r>
              <w:rPr>
                <w:noProof/>
                <w:webHidden/>
              </w:rPr>
              <w:fldChar w:fldCharType="end"/>
            </w:r>
          </w:hyperlink>
        </w:p>
        <w:p w14:paraId="7C833297" w14:textId="024B12B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64" w:history="1">
            <w:r w:rsidRPr="00F45DCA">
              <w:rPr>
                <w:rStyle w:val="Lienhypertexte"/>
                <w:noProof/>
              </w:rPr>
              <w:t>22.14.3 Colonnes préfabriquées en béton CCTB 01.13</w:t>
            </w:r>
            <w:r>
              <w:rPr>
                <w:noProof/>
                <w:webHidden/>
              </w:rPr>
              <w:tab/>
            </w:r>
            <w:r>
              <w:rPr>
                <w:noProof/>
                <w:webHidden/>
              </w:rPr>
              <w:fldChar w:fldCharType="begin"/>
            </w:r>
            <w:r>
              <w:rPr>
                <w:noProof/>
                <w:webHidden/>
              </w:rPr>
              <w:instrText xml:space="preserve"> PAGEREF _Toc220495764 \h </w:instrText>
            </w:r>
            <w:r>
              <w:rPr>
                <w:noProof/>
                <w:webHidden/>
              </w:rPr>
            </w:r>
            <w:r>
              <w:rPr>
                <w:noProof/>
                <w:webHidden/>
              </w:rPr>
              <w:fldChar w:fldCharType="separate"/>
            </w:r>
            <w:r>
              <w:rPr>
                <w:noProof/>
                <w:webHidden/>
              </w:rPr>
              <w:t>532</w:t>
            </w:r>
            <w:r>
              <w:rPr>
                <w:noProof/>
                <w:webHidden/>
              </w:rPr>
              <w:fldChar w:fldCharType="end"/>
            </w:r>
          </w:hyperlink>
        </w:p>
        <w:p w14:paraId="5038CAD5" w14:textId="13271E5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65" w:history="1">
            <w:r w:rsidRPr="00F45DCA">
              <w:rPr>
                <w:rStyle w:val="Lienhypertexte"/>
                <w:noProof/>
              </w:rPr>
              <w:t>22.14.3a Colonnes préfabriquées en béton armé CCTB 01.13</w:t>
            </w:r>
            <w:r>
              <w:rPr>
                <w:noProof/>
                <w:webHidden/>
              </w:rPr>
              <w:tab/>
            </w:r>
            <w:r>
              <w:rPr>
                <w:noProof/>
                <w:webHidden/>
              </w:rPr>
              <w:fldChar w:fldCharType="begin"/>
            </w:r>
            <w:r>
              <w:rPr>
                <w:noProof/>
                <w:webHidden/>
              </w:rPr>
              <w:instrText xml:space="preserve"> PAGEREF _Toc220495765 \h </w:instrText>
            </w:r>
            <w:r>
              <w:rPr>
                <w:noProof/>
                <w:webHidden/>
              </w:rPr>
            </w:r>
            <w:r>
              <w:rPr>
                <w:noProof/>
                <w:webHidden/>
              </w:rPr>
              <w:fldChar w:fldCharType="separate"/>
            </w:r>
            <w:r>
              <w:rPr>
                <w:noProof/>
                <w:webHidden/>
              </w:rPr>
              <w:t>533</w:t>
            </w:r>
            <w:r>
              <w:rPr>
                <w:noProof/>
                <w:webHidden/>
              </w:rPr>
              <w:fldChar w:fldCharType="end"/>
            </w:r>
          </w:hyperlink>
        </w:p>
        <w:p w14:paraId="2DCA3083" w14:textId="3762038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66" w:history="1">
            <w:r w:rsidRPr="00F45DCA">
              <w:rPr>
                <w:rStyle w:val="Lienhypertexte"/>
                <w:noProof/>
              </w:rPr>
              <w:t>22.14.3b Colonnes préfabriquées en béton précontraint CCTB 01.13</w:t>
            </w:r>
            <w:r>
              <w:rPr>
                <w:noProof/>
                <w:webHidden/>
              </w:rPr>
              <w:tab/>
            </w:r>
            <w:r>
              <w:rPr>
                <w:noProof/>
                <w:webHidden/>
              </w:rPr>
              <w:fldChar w:fldCharType="begin"/>
            </w:r>
            <w:r>
              <w:rPr>
                <w:noProof/>
                <w:webHidden/>
              </w:rPr>
              <w:instrText xml:space="preserve"> PAGEREF _Toc220495766 \h </w:instrText>
            </w:r>
            <w:r>
              <w:rPr>
                <w:noProof/>
                <w:webHidden/>
              </w:rPr>
            </w:r>
            <w:r>
              <w:rPr>
                <w:noProof/>
                <w:webHidden/>
              </w:rPr>
              <w:fldChar w:fldCharType="separate"/>
            </w:r>
            <w:r>
              <w:rPr>
                <w:noProof/>
                <w:webHidden/>
              </w:rPr>
              <w:t>535</w:t>
            </w:r>
            <w:r>
              <w:rPr>
                <w:noProof/>
                <w:webHidden/>
              </w:rPr>
              <w:fldChar w:fldCharType="end"/>
            </w:r>
          </w:hyperlink>
        </w:p>
        <w:p w14:paraId="40B3D0FB" w14:textId="7170B02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67" w:history="1">
            <w:r w:rsidRPr="00F45DCA">
              <w:rPr>
                <w:rStyle w:val="Lienhypertexte"/>
                <w:noProof/>
              </w:rPr>
              <w:t>22.14.4 Colonnes préfabriquées en béton architectonique CCTB 01.04</w:t>
            </w:r>
            <w:r>
              <w:rPr>
                <w:noProof/>
                <w:webHidden/>
              </w:rPr>
              <w:tab/>
            </w:r>
            <w:r>
              <w:rPr>
                <w:noProof/>
                <w:webHidden/>
              </w:rPr>
              <w:fldChar w:fldCharType="begin"/>
            </w:r>
            <w:r>
              <w:rPr>
                <w:noProof/>
                <w:webHidden/>
              </w:rPr>
              <w:instrText xml:space="preserve"> PAGEREF _Toc220495767 \h </w:instrText>
            </w:r>
            <w:r>
              <w:rPr>
                <w:noProof/>
                <w:webHidden/>
              </w:rPr>
            </w:r>
            <w:r>
              <w:rPr>
                <w:noProof/>
                <w:webHidden/>
              </w:rPr>
              <w:fldChar w:fldCharType="separate"/>
            </w:r>
            <w:r>
              <w:rPr>
                <w:noProof/>
                <w:webHidden/>
              </w:rPr>
              <w:t>537</w:t>
            </w:r>
            <w:r>
              <w:rPr>
                <w:noProof/>
                <w:webHidden/>
              </w:rPr>
              <w:fldChar w:fldCharType="end"/>
            </w:r>
          </w:hyperlink>
        </w:p>
        <w:p w14:paraId="4D64FA49" w14:textId="37B9D2C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68" w:history="1">
            <w:r w:rsidRPr="00F45DCA">
              <w:rPr>
                <w:rStyle w:val="Lienhypertexte"/>
                <w:noProof/>
              </w:rPr>
              <w:t>22.14.4a Colonnes préfabriquées en béton décoratif / architectonique CCTB 01.13</w:t>
            </w:r>
            <w:r>
              <w:rPr>
                <w:noProof/>
                <w:webHidden/>
              </w:rPr>
              <w:tab/>
            </w:r>
            <w:r>
              <w:rPr>
                <w:noProof/>
                <w:webHidden/>
              </w:rPr>
              <w:fldChar w:fldCharType="begin"/>
            </w:r>
            <w:r>
              <w:rPr>
                <w:noProof/>
                <w:webHidden/>
              </w:rPr>
              <w:instrText xml:space="preserve"> PAGEREF _Toc220495768 \h </w:instrText>
            </w:r>
            <w:r>
              <w:rPr>
                <w:noProof/>
                <w:webHidden/>
              </w:rPr>
            </w:r>
            <w:r>
              <w:rPr>
                <w:noProof/>
                <w:webHidden/>
              </w:rPr>
              <w:fldChar w:fldCharType="separate"/>
            </w:r>
            <w:r>
              <w:rPr>
                <w:noProof/>
                <w:webHidden/>
              </w:rPr>
              <w:t>537</w:t>
            </w:r>
            <w:r>
              <w:rPr>
                <w:noProof/>
                <w:webHidden/>
              </w:rPr>
              <w:fldChar w:fldCharType="end"/>
            </w:r>
          </w:hyperlink>
        </w:p>
        <w:p w14:paraId="35E298D6" w14:textId="6B27894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69" w:history="1">
            <w:r w:rsidRPr="00F45DCA">
              <w:rPr>
                <w:rStyle w:val="Lienhypertexte"/>
                <w:noProof/>
              </w:rPr>
              <w:t>22.14.5 Colonnes mixtes acier-béton CCTB 01.11</w:t>
            </w:r>
            <w:r>
              <w:rPr>
                <w:noProof/>
                <w:webHidden/>
              </w:rPr>
              <w:tab/>
            </w:r>
            <w:r>
              <w:rPr>
                <w:noProof/>
                <w:webHidden/>
              </w:rPr>
              <w:fldChar w:fldCharType="begin"/>
            </w:r>
            <w:r>
              <w:rPr>
                <w:noProof/>
                <w:webHidden/>
              </w:rPr>
              <w:instrText xml:space="preserve"> PAGEREF _Toc220495769 \h </w:instrText>
            </w:r>
            <w:r>
              <w:rPr>
                <w:noProof/>
                <w:webHidden/>
              </w:rPr>
            </w:r>
            <w:r>
              <w:rPr>
                <w:noProof/>
                <w:webHidden/>
              </w:rPr>
              <w:fldChar w:fldCharType="separate"/>
            </w:r>
            <w:r>
              <w:rPr>
                <w:noProof/>
                <w:webHidden/>
              </w:rPr>
              <w:t>540</w:t>
            </w:r>
            <w:r>
              <w:rPr>
                <w:noProof/>
                <w:webHidden/>
              </w:rPr>
              <w:fldChar w:fldCharType="end"/>
            </w:r>
          </w:hyperlink>
        </w:p>
        <w:p w14:paraId="510E2D2C" w14:textId="5F1BF61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70" w:history="1">
            <w:r w:rsidRPr="00F45DCA">
              <w:rPr>
                <w:rStyle w:val="Lienhypertexte"/>
                <w:noProof/>
              </w:rPr>
              <w:t>22.14.5a Colonnes mixtes acier-béton coulées en place CCTB 01.13</w:t>
            </w:r>
            <w:r>
              <w:rPr>
                <w:noProof/>
                <w:webHidden/>
              </w:rPr>
              <w:tab/>
            </w:r>
            <w:r>
              <w:rPr>
                <w:noProof/>
                <w:webHidden/>
              </w:rPr>
              <w:fldChar w:fldCharType="begin"/>
            </w:r>
            <w:r>
              <w:rPr>
                <w:noProof/>
                <w:webHidden/>
              </w:rPr>
              <w:instrText xml:space="preserve"> PAGEREF _Toc220495770 \h </w:instrText>
            </w:r>
            <w:r>
              <w:rPr>
                <w:noProof/>
                <w:webHidden/>
              </w:rPr>
            </w:r>
            <w:r>
              <w:rPr>
                <w:noProof/>
                <w:webHidden/>
              </w:rPr>
              <w:fldChar w:fldCharType="separate"/>
            </w:r>
            <w:r>
              <w:rPr>
                <w:noProof/>
                <w:webHidden/>
              </w:rPr>
              <w:t>541</w:t>
            </w:r>
            <w:r>
              <w:rPr>
                <w:noProof/>
                <w:webHidden/>
              </w:rPr>
              <w:fldChar w:fldCharType="end"/>
            </w:r>
          </w:hyperlink>
        </w:p>
        <w:p w14:paraId="27E7CC40" w14:textId="4411599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71" w:history="1">
            <w:r w:rsidRPr="00F45DCA">
              <w:rPr>
                <w:rStyle w:val="Lienhypertexte"/>
                <w:noProof/>
              </w:rPr>
              <w:t>22.14.5b Colonnes mixtes acier-béton apparent (esthétique) coulé en place CCTB 01.04</w:t>
            </w:r>
            <w:r>
              <w:rPr>
                <w:noProof/>
                <w:webHidden/>
              </w:rPr>
              <w:tab/>
            </w:r>
            <w:r>
              <w:rPr>
                <w:noProof/>
                <w:webHidden/>
              </w:rPr>
              <w:fldChar w:fldCharType="begin"/>
            </w:r>
            <w:r>
              <w:rPr>
                <w:noProof/>
                <w:webHidden/>
              </w:rPr>
              <w:instrText xml:space="preserve"> PAGEREF _Toc220495771 \h </w:instrText>
            </w:r>
            <w:r>
              <w:rPr>
                <w:noProof/>
                <w:webHidden/>
              </w:rPr>
            </w:r>
            <w:r>
              <w:rPr>
                <w:noProof/>
                <w:webHidden/>
              </w:rPr>
              <w:fldChar w:fldCharType="separate"/>
            </w:r>
            <w:r>
              <w:rPr>
                <w:noProof/>
                <w:webHidden/>
              </w:rPr>
              <w:t>543</w:t>
            </w:r>
            <w:r>
              <w:rPr>
                <w:noProof/>
                <w:webHidden/>
              </w:rPr>
              <w:fldChar w:fldCharType="end"/>
            </w:r>
          </w:hyperlink>
        </w:p>
        <w:p w14:paraId="02936FDF" w14:textId="0DE65D3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72" w:history="1">
            <w:r w:rsidRPr="00F45DCA">
              <w:rPr>
                <w:rStyle w:val="Lienhypertexte"/>
                <w:noProof/>
              </w:rPr>
              <w:t>22.14.5c Colonnes préfabriquées mixtes acier-béton CCTB 01.04</w:t>
            </w:r>
            <w:r>
              <w:rPr>
                <w:noProof/>
                <w:webHidden/>
              </w:rPr>
              <w:tab/>
            </w:r>
            <w:r>
              <w:rPr>
                <w:noProof/>
                <w:webHidden/>
              </w:rPr>
              <w:fldChar w:fldCharType="begin"/>
            </w:r>
            <w:r>
              <w:rPr>
                <w:noProof/>
                <w:webHidden/>
              </w:rPr>
              <w:instrText xml:space="preserve"> PAGEREF _Toc220495772 \h </w:instrText>
            </w:r>
            <w:r>
              <w:rPr>
                <w:noProof/>
                <w:webHidden/>
              </w:rPr>
            </w:r>
            <w:r>
              <w:rPr>
                <w:noProof/>
                <w:webHidden/>
              </w:rPr>
              <w:fldChar w:fldCharType="separate"/>
            </w:r>
            <w:r>
              <w:rPr>
                <w:noProof/>
                <w:webHidden/>
              </w:rPr>
              <w:t>543</w:t>
            </w:r>
            <w:r>
              <w:rPr>
                <w:noProof/>
                <w:webHidden/>
              </w:rPr>
              <w:fldChar w:fldCharType="end"/>
            </w:r>
          </w:hyperlink>
        </w:p>
        <w:p w14:paraId="6D376F76" w14:textId="0D27DA2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73" w:history="1">
            <w:r w:rsidRPr="00F45DCA">
              <w:rPr>
                <w:rStyle w:val="Lienhypertexte"/>
                <w:noProof/>
              </w:rPr>
              <w:t>22.14.5d Colonnes préfabriquées mixtes acier-béton précontraint CCTB 01.04</w:t>
            </w:r>
            <w:r>
              <w:rPr>
                <w:noProof/>
                <w:webHidden/>
              </w:rPr>
              <w:tab/>
            </w:r>
            <w:r>
              <w:rPr>
                <w:noProof/>
                <w:webHidden/>
              </w:rPr>
              <w:fldChar w:fldCharType="begin"/>
            </w:r>
            <w:r>
              <w:rPr>
                <w:noProof/>
                <w:webHidden/>
              </w:rPr>
              <w:instrText xml:space="preserve"> PAGEREF _Toc220495773 \h </w:instrText>
            </w:r>
            <w:r>
              <w:rPr>
                <w:noProof/>
                <w:webHidden/>
              </w:rPr>
            </w:r>
            <w:r>
              <w:rPr>
                <w:noProof/>
                <w:webHidden/>
              </w:rPr>
              <w:fldChar w:fldCharType="separate"/>
            </w:r>
            <w:r>
              <w:rPr>
                <w:noProof/>
                <w:webHidden/>
              </w:rPr>
              <w:t>543</w:t>
            </w:r>
            <w:r>
              <w:rPr>
                <w:noProof/>
                <w:webHidden/>
              </w:rPr>
              <w:fldChar w:fldCharType="end"/>
            </w:r>
          </w:hyperlink>
        </w:p>
        <w:p w14:paraId="02BBFD95" w14:textId="3E019C0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74" w:history="1">
            <w:r w:rsidRPr="00F45DCA">
              <w:rPr>
                <w:rStyle w:val="Lienhypertexte"/>
                <w:noProof/>
              </w:rPr>
              <w:t>22.14.5e Colonnes préfabriquées mixtes acier-béton décoratif / architectonique CCTB 01.04</w:t>
            </w:r>
            <w:r>
              <w:rPr>
                <w:noProof/>
                <w:webHidden/>
              </w:rPr>
              <w:tab/>
            </w:r>
            <w:r>
              <w:rPr>
                <w:noProof/>
                <w:webHidden/>
              </w:rPr>
              <w:fldChar w:fldCharType="begin"/>
            </w:r>
            <w:r>
              <w:rPr>
                <w:noProof/>
                <w:webHidden/>
              </w:rPr>
              <w:instrText xml:space="preserve"> PAGEREF _Toc220495774 \h </w:instrText>
            </w:r>
            <w:r>
              <w:rPr>
                <w:noProof/>
                <w:webHidden/>
              </w:rPr>
            </w:r>
            <w:r>
              <w:rPr>
                <w:noProof/>
                <w:webHidden/>
              </w:rPr>
              <w:fldChar w:fldCharType="separate"/>
            </w:r>
            <w:r>
              <w:rPr>
                <w:noProof/>
                <w:webHidden/>
              </w:rPr>
              <w:t>543</w:t>
            </w:r>
            <w:r>
              <w:rPr>
                <w:noProof/>
                <w:webHidden/>
              </w:rPr>
              <w:fldChar w:fldCharType="end"/>
            </w:r>
          </w:hyperlink>
        </w:p>
        <w:p w14:paraId="00FBDCFA" w14:textId="1A803AA7"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775" w:history="1">
            <w:r w:rsidRPr="00F45DCA">
              <w:rPr>
                <w:rStyle w:val="Lienhypertexte"/>
                <w:noProof/>
              </w:rPr>
              <w:t>22.15 Planchers en béton CCTB 01.13</w:t>
            </w:r>
            <w:r>
              <w:rPr>
                <w:noProof/>
                <w:webHidden/>
              </w:rPr>
              <w:tab/>
            </w:r>
            <w:r>
              <w:rPr>
                <w:noProof/>
                <w:webHidden/>
              </w:rPr>
              <w:fldChar w:fldCharType="begin"/>
            </w:r>
            <w:r>
              <w:rPr>
                <w:noProof/>
                <w:webHidden/>
              </w:rPr>
              <w:instrText xml:space="preserve"> PAGEREF _Toc220495775 \h </w:instrText>
            </w:r>
            <w:r>
              <w:rPr>
                <w:noProof/>
                <w:webHidden/>
              </w:rPr>
            </w:r>
            <w:r>
              <w:rPr>
                <w:noProof/>
                <w:webHidden/>
              </w:rPr>
              <w:fldChar w:fldCharType="separate"/>
            </w:r>
            <w:r>
              <w:rPr>
                <w:noProof/>
                <w:webHidden/>
              </w:rPr>
              <w:t>543</w:t>
            </w:r>
            <w:r>
              <w:rPr>
                <w:noProof/>
                <w:webHidden/>
              </w:rPr>
              <w:fldChar w:fldCharType="end"/>
            </w:r>
          </w:hyperlink>
        </w:p>
        <w:p w14:paraId="59591DDD" w14:textId="5033210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76" w:history="1">
            <w:r w:rsidRPr="00F45DCA">
              <w:rPr>
                <w:rStyle w:val="Lienhypertexte"/>
                <w:noProof/>
              </w:rPr>
              <w:t>22.15.1 Planchers en béton coulé en place CCTB 01.11</w:t>
            </w:r>
            <w:r>
              <w:rPr>
                <w:noProof/>
                <w:webHidden/>
              </w:rPr>
              <w:tab/>
            </w:r>
            <w:r>
              <w:rPr>
                <w:noProof/>
                <w:webHidden/>
              </w:rPr>
              <w:fldChar w:fldCharType="begin"/>
            </w:r>
            <w:r>
              <w:rPr>
                <w:noProof/>
                <w:webHidden/>
              </w:rPr>
              <w:instrText xml:space="preserve"> PAGEREF _Toc220495776 \h </w:instrText>
            </w:r>
            <w:r>
              <w:rPr>
                <w:noProof/>
                <w:webHidden/>
              </w:rPr>
            </w:r>
            <w:r>
              <w:rPr>
                <w:noProof/>
                <w:webHidden/>
              </w:rPr>
              <w:fldChar w:fldCharType="separate"/>
            </w:r>
            <w:r>
              <w:rPr>
                <w:noProof/>
                <w:webHidden/>
              </w:rPr>
              <w:t>545</w:t>
            </w:r>
            <w:r>
              <w:rPr>
                <w:noProof/>
                <w:webHidden/>
              </w:rPr>
              <w:fldChar w:fldCharType="end"/>
            </w:r>
          </w:hyperlink>
        </w:p>
        <w:p w14:paraId="4ADB9D37" w14:textId="30AC03F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77" w:history="1">
            <w:r w:rsidRPr="00F45DCA">
              <w:rPr>
                <w:rStyle w:val="Lienhypertexte"/>
                <w:noProof/>
              </w:rPr>
              <w:t>22.15.1a Planchers en dalles pleines de béton armé coulé en place CCTB 01.13</w:t>
            </w:r>
            <w:r>
              <w:rPr>
                <w:noProof/>
                <w:webHidden/>
              </w:rPr>
              <w:tab/>
            </w:r>
            <w:r>
              <w:rPr>
                <w:noProof/>
                <w:webHidden/>
              </w:rPr>
              <w:fldChar w:fldCharType="begin"/>
            </w:r>
            <w:r>
              <w:rPr>
                <w:noProof/>
                <w:webHidden/>
              </w:rPr>
              <w:instrText xml:space="preserve"> PAGEREF _Toc220495777 \h </w:instrText>
            </w:r>
            <w:r>
              <w:rPr>
                <w:noProof/>
                <w:webHidden/>
              </w:rPr>
            </w:r>
            <w:r>
              <w:rPr>
                <w:noProof/>
                <w:webHidden/>
              </w:rPr>
              <w:fldChar w:fldCharType="separate"/>
            </w:r>
            <w:r>
              <w:rPr>
                <w:noProof/>
                <w:webHidden/>
              </w:rPr>
              <w:t>546</w:t>
            </w:r>
            <w:r>
              <w:rPr>
                <w:noProof/>
                <w:webHidden/>
              </w:rPr>
              <w:fldChar w:fldCharType="end"/>
            </w:r>
          </w:hyperlink>
        </w:p>
        <w:p w14:paraId="662B3054" w14:textId="456A2DF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78" w:history="1">
            <w:r w:rsidRPr="00F45DCA">
              <w:rPr>
                <w:rStyle w:val="Lienhypertexte"/>
                <w:noProof/>
              </w:rPr>
              <w:t>22.15.1b Planchers en dalles pleines nervurées de béton armé coulé en place CCTB 01.13</w:t>
            </w:r>
            <w:r>
              <w:rPr>
                <w:noProof/>
                <w:webHidden/>
              </w:rPr>
              <w:tab/>
            </w:r>
            <w:r>
              <w:rPr>
                <w:noProof/>
                <w:webHidden/>
              </w:rPr>
              <w:fldChar w:fldCharType="begin"/>
            </w:r>
            <w:r>
              <w:rPr>
                <w:noProof/>
                <w:webHidden/>
              </w:rPr>
              <w:instrText xml:space="preserve"> PAGEREF _Toc220495778 \h </w:instrText>
            </w:r>
            <w:r>
              <w:rPr>
                <w:noProof/>
                <w:webHidden/>
              </w:rPr>
            </w:r>
            <w:r>
              <w:rPr>
                <w:noProof/>
                <w:webHidden/>
              </w:rPr>
              <w:fldChar w:fldCharType="separate"/>
            </w:r>
            <w:r>
              <w:rPr>
                <w:noProof/>
                <w:webHidden/>
              </w:rPr>
              <w:t>548</w:t>
            </w:r>
            <w:r>
              <w:rPr>
                <w:noProof/>
                <w:webHidden/>
              </w:rPr>
              <w:fldChar w:fldCharType="end"/>
            </w:r>
          </w:hyperlink>
        </w:p>
        <w:p w14:paraId="21E9EF31" w14:textId="5AD2232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79" w:history="1">
            <w:r w:rsidRPr="00F45DCA">
              <w:rPr>
                <w:rStyle w:val="Lienhypertexte"/>
                <w:noProof/>
              </w:rPr>
              <w:t>22.15.1c Planchers-champignons en béton armé coulé en place CCTB 01.13</w:t>
            </w:r>
            <w:r>
              <w:rPr>
                <w:noProof/>
                <w:webHidden/>
              </w:rPr>
              <w:tab/>
            </w:r>
            <w:r>
              <w:rPr>
                <w:noProof/>
                <w:webHidden/>
              </w:rPr>
              <w:fldChar w:fldCharType="begin"/>
            </w:r>
            <w:r>
              <w:rPr>
                <w:noProof/>
                <w:webHidden/>
              </w:rPr>
              <w:instrText xml:space="preserve"> PAGEREF _Toc220495779 \h </w:instrText>
            </w:r>
            <w:r>
              <w:rPr>
                <w:noProof/>
                <w:webHidden/>
              </w:rPr>
            </w:r>
            <w:r>
              <w:rPr>
                <w:noProof/>
                <w:webHidden/>
              </w:rPr>
              <w:fldChar w:fldCharType="separate"/>
            </w:r>
            <w:r>
              <w:rPr>
                <w:noProof/>
                <w:webHidden/>
              </w:rPr>
              <w:t>550</w:t>
            </w:r>
            <w:r>
              <w:rPr>
                <w:noProof/>
                <w:webHidden/>
              </w:rPr>
              <w:fldChar w:fldCharType="end"/>
            </w:r>
          </w:hyperlink>
        </w:p>
        <w:p w14:paraId="2689FB20" w14:textId="28AD41B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80" w:history="1">
            <w:r w:rsidRPr="00F45DCA">
              <w:rPr>
                <w:rStyle w:val="Lienhypertexte"/>
                <w:noProof/>
              </w:rPr>
              <w:t>22.15.1d Planchers en béton précontraint par post-tension CCTB 01.04</w:t>
            </w:r>
            <w:r>
              <w:rPr>
                <w:noProof/>
                <w:webHidden/>
              </w:rPr>
              <w:tab/>
            </w:r>
            <w:r>
              <w:rPr>
                <w:noProof/>
                <w:webHidden/>
              </w:rPr>
              <w:fldChar w:fldCharType="begin"/>
            </w:r>
            <w:r>
              <w:rPr>
                <w:noProof/>
                <w:webHidden/>
              </w:rPr>
              <w:instrText xml:space="preserve"> PAGEREF _Toc220495780 \h </w:instrText>
            </w:r>
            <w:r>
              <w:rPr>
                <w:noProof/>
                <w:webHidden/>
              </w:rPr>
            </w:r>
            <w:r>
              <w:rPr>
                <w:noProof/>
                <w:webHidden/>
              </w:rPr>
              <w:fldChar w:fldCharType="separate"/>
            </w:r>
            <w:r>
              <w:rPr>
                <w:noProof/>
                <w:webHidden/>
              </w:rPr>
              <w:t>551</w:t>
            </w:r>
            <w:r>
              <w:rPr>
                <w:noProof/>
                <w:webHidden/>
              </w:rPr>
              <w:fldChar w:fldCharType="end"/>
            </w:r>
          </w:hyperlink>
        </w:p>
        <w:p w14:paraId="1673C9AD" w14:textId="7359235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81" w:history="1">
            <w:r w:rsidRPr="00F45DCA">
              <w:rPr>
                <w:rStyle w:val="Lienhypertexte"/>
                <w:noProof/>
              </w:rPr>
              <w:t>22.15.2 Planchers en béton apparent (esthétique) coulé en place CCTB 01.11</w:t>
            </w:r>
            <w:r>
              <w:rPr>
                <w:noProof/>
                <w:webHidden/>
              </w:rPr>
              <w:tab/>
            </w:r>
            <w:r>
              <w:rPr>
                <w:noProof/>
                <w:webHidden/>
              </w:rPr>
              <w:fldChar w:fldCharType="begin"/>
            </w:r>
            <w:r>
              <w:rPr>
                <w:noProof/>
                <w:webHidden/>
              </w:rPr>
              <w:instrText xml:space="preserve"> PAGEREF _Toc220495781 \h </w:instrText>
            </w:r>
            <w:r>
              <w:rPr>
                <w:noProof/>
                <w:webHidden/>
              </w:rPr>
            </w:r>
            <w:r>
              <w:rPr>
                <w:noProof/>
                <w:webHidden/>
              </w:rPr>
              <w:fldChar w:fldCharType="separate"/>
            </w:r>
            <w:r>
              <w:rPr>
                <w:noProof/>
                <w:webHidden/>
              </w:rPr>
              <w:t>552</w:t>
            </w:r>
            <w:r>
              <w:rPr>
                <w:noProof/>
                <w:webHidden/>
              </w:rPr>
              <w:fldChar w:fldCharType="end"/>
            </w:r>
          </w:hyperlink>
        </w:p>
        <w:p w14:paraId="730CBD86" w14:textId="4F93A2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82" w:history="1">
            <w:r w:rsidRPr="00F45DCA">
              <w:rPr>
                <w:rStyle w:val="Lienhypertexte"/>
                <w:noProof/>
              </w:rPr>
              <w:t>22.15.2a Planchers en dalles pleines de béton apparent (esthétique) armé coulé en place CCTB 01.13</w:t>
            </w:r>
            <w:r>
              <w:rPr>
                <w:noProof/>
                <w:webHidden/>
              </w:rPr>
              <w:tab/>
            </w:r>
            <w:r>
              <w:rPr>
                <w:noProof/>
                <w:webHidden/>
              </w:rPr>
              <w:fldChar w:fldCharType="begin"/>
            </w:r>
            <w:r>
              <w:rPr>
                <w:noProof/>
                <w:webHidden/>
              </w:rPr>
              <w:instrText xml:space="preserve"> PAGEREF _Toc220495782 \h </w:instrText>
            </w:r>
            <w:r>
              <w:rPr>
                <w:noProof/>
                <w:webHidden/>
              </w:rPr>
            </w:r>
            <w:r>
              <w:rPr>
                <w:noProof/>
                <w:webHidden/>
              </w:rPr>
              <w:fldChar w:fldCharType="separate"/>
            </w:r>
            <w:r>
              <w:rPr>
                <w:noProof/>
                <w:webHidden/>
              </w:rPr>
              <w:t>553</w:t>
            </w:r>
            <w:r>
              <w:rPr>
                <w:noProof/>
                <w:webHidden/>
              </w:rPr>
              <w:fldChar w:fldCharType="end"/>
            </w:r>
          </w:hyperlink>
        </w:p>
        <w:p w14:paraId="4ACFA90D" w14:textId="50C35BA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83" w:history="1">
            <w:r w:rsidRPr="00F45DCA">
              <w:rPr>
                <w:rStyle w:val="Lienhypertexte"/>
                <w:noProof/>
              </w:rPr>
              <w:t>22.15.2b Planchers en dalles pleines nervurées de béton apparent (esthétique) armé coulé en place CCTB 01.11</w:t>
            </w:r>
            <w:r>
              <w:rPr>
                <w:noProof/>
                <w:webHidden/>
              </w:rPr>
              <w:tab/>
            </w:r>
            <w:r>
              <w:rPr>
                <w:noProof/>
                <w:webHidden/>
              </w:rPr>
              <w:fldChar w:fldCharType="begin"/>
            </w:r>
            <w:r>
              <w:rPr>
                <w:noProof/>
                <w:webHidden/>
              </w:rPr>
              <w:instrText xml:space="preserve"> PAGEREF _Toc220495783 \h </w:instrText>
            </w:r>
            <w:r>
              <w:rPr>
                <w:noProof/>
                <w:webHidden/>
              </w:rPr>
            </w:r>
            <w:r>
              <w:rPr>
                <w:noProof/>
                <w:webHidden/>
              </w:rPr>
              <w:fldChar w:fldCharType="separate"/>
            </w:r>
            <w:r>
              <w:rPr>
                <w:noProof/>
                <w:webHidden/>
              </w:rPr>
              <w:t>556</w:t>
            </w:r>
            <w:r>
              <w:rPr>
                <w:noProof/>
                <w:webHidden/>
              </w:rPr>
              <w:fldChar w:fldCharType="end"/>
            </w:r>
          </w:hyperlink>
        </w:p>
        <w:p w14:paraId="1B953CCE" w14:textId="314995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84" w:history="1">
            <w:r w:rsidRPr="00F45DCA">
              <w:rPr>
                <w:rStyle w:val="Lienhypertexte"/>
                <w:noProof/>
              </w:rPr>
              <w:t>22.15.2c Planchers-champignons en béton apparent (esthétique) armé coulé en place CCTB 01.11</w:t>
            </w:r>
            <w:r>
              <w:rPr>
                <w:noProof/>
                <w:webHidden/>
              </w:rPr>
              <w:tab/>
            </w:r>
            <w:r>
              <w:rPr>
                <w:noProof/>
                <w:webHidden/>
              </w:rPr>
              <w:fldChar w:fldCharType="begin"/>
            </w:r>
            <w:r>
              <w:rPr>
                <w:noProof/>
                <w:webHidden/>
              </w:rPr>
              <w:instrText xml:space="preserve"> PAGEREF _Toc220495784 \h </w:instrText>
            </w:r>
            <w:r>
              <w:rPr>
                <w:noProof/>
                <w:webHidden/>
              </w:rPr>
            </w:r>
            <w:r>
              <w:rPr>
                <w:noProof/>
                <w:webHidden/>
              </w:rPr>
              <w:fldChar w:fldCharType="separate"/>
            </w:r>
            <w:r>
              <w:rPr>
                <w:noProof/>
                <w:webHidden/>
              </w:rPr>
              <w:t>557</w:t>
            </w:r>
            <w:r>
              <w:rPr>
                <w:noProof/>
                <w:webHidden/>
              </w:rPr>
              <w:fldChar w:fldCharType="end"/>
            </w:r>
          </w:hyperlink>
        </w:p>
        <w:p w14:paraId="474A5F96" w14:textId="2E6316A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85" w:history="1">
            <w:r w:rsidRPr="00F45DCA">
              <w:rPr>
                <w:rStyle w:val="Lienhypertexte"/>
                <w:noProof/>
              </w:rPr>
              <w:t>22.15.2d Planchers en béton apparent (esthétique) coulé en place précontraint par post-tension CCTB 01.11</w:t>
            </w:r>
            <w:r>
              <w:rPr>
                <w:noProof/>
                <w:webHidden/>
              </w:rPr>
              <w:tab/>
            </w:r>
            <w:r>
              <w:rPr>
                <w:noProof/>
                <w:webHidden/>
              </w:rPr>
              <w:fldChar w:fldCharType="begin"/>
            </w:r>
            <w:r>
              <w:rPr>
                <w:noProof/>
                <w:webHidden/>
              </w:rPr>
              <w:instrText xml:space="preserve"> PAGEREF _Toc220495785 \h </w:instrText>
            </w:r>
            <w:r>
              <w:rPr>
                <w:noProof/>
                <w:webHidden/>
              </w:rPr>
            </w:r>
            <w:r>
              <w:rPr>
                <w:noProof/>
                <w:webHidden/>
              </w:rPr>
              <w:fldChar w:fldCharType="separate"/>
            </w:r>
            <w:r>
              <w:rPr>
                <w:noProof/>
                <w:webHidden/>
              </w:rPr>
              <w:t>557</w:t>
            </w:r>
            <w:r>
              <w:rPr>
                <w:noProof/>
                <w:webHidden/>
              </w:rPr>
              <w:fldChar w:fldCharType="end"/>
            </w:r>
          </w:hyperlink>
        </w:p>
        <w:p w14:paraId="0B41D28A" w14:textId="303F2F9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86" w:history="1">
            <w:r w:rsidRPr="00F45DCA">
              <w:rPr>
                <w:rStyle w:val="Lienhypertexte"/>
                <w:noProof/>
              </w:rPr>
              <w:t>22.15.3 Planchers à éléments préfabriqués en béton CCTB 01.11</w:t>
            </w:r>
            <w:r>
              <w:rPr>
                <w:noProof/>
                <w:webHidden/>
              </w:rPr>
              <w:tab/>
            </w:r>
            <w:r>
              <w:rPr>
                <w:noProof/>
                <w:webHidden/>
              </w:rPr>
              <w:fldChar w:fldCharType="begin"/>
            </w:r>
            <w:r>
              <w:rPr>
                <w:noProof/>
                <w:webHidden/>
              </w:rPr>
              <w:instrText xml:space="preserve"> PAGEREF _Toc220495786 \h </w:instrText>
            </w:r>
            <w:r>
              <w:rPr>
                <w:noProof/>
                <w:webHidden/>
              </w:rPr>
            </w:r>
            <w:r>
              <w:rPr>
                <w:noProof/>
                <w:webHidden/>
              </w:rPr>
              <w:fldChar w:fldCharType="separate"/>
            </w:r>
            <w:r>
              <w:rPr>
                <w:noProof/>
                <w:webHidden/>
              </w:rPr>
              <w:t>558</w:t>
            </w:r>
            <w:r>
              <w:rPr>
                <w:noProof/>
                <w:webHidden/>
              </w:rPr>
              <w:fldChar w:fldCharType="end"/>
            </w:r>
          </w:hyperlink>
        </w:p>
        <w:p w14:paraId="7736B1D3" w14:textId="4A745F0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87" w:history="1">
            <w:r w:rsidRPr="00F45DCA">
              <w:rPr>
                <w:rStyle w:val="Lienhypertexte"/>
                <w:noProof/>
              </w:rPr>
              <w:t>22.15.3a Planchers à prédalles en béton armé CCTB 01.13</w:t>
            </w:r>
            <w:r>
              <w:rPr>
                <w:noProof/>
                <w:webHidden/>
              </w:rPr>
              <w:tab/>
            </w:r>
            <w:r>
              <w:rPr>
                <w:noProof/>
                <w:webHidden/>
              </w:rPr>
              <w:fldChar w:fldCharType="begin"/>
            </w:r>
            <w:r>
              <w:rPr>
                <w:noProof/>
                <w:webHidden/>
              </w:rPr>
              <w:instrText xml:space="preserve"> PAGEREF _Toc220495787 \h </w:instrText>
            </w:r>
            <w:r>
              <w:rPr>
                <w:noProof/>
                <w:webHidden/>
              </w:rPr>
            </w:r>
            <w:r>
              <w:rPr>
                <w:noProof/>
                <w:webHidden/>
              </w:rPr>
              <w:fldChar w:fldCharType="separate"/>
            </w:r>
            <w:r>
              <w:rPr>
                <w:noProof/>
                <w:webHidden/>
              </w:rPr>
              <w:t>558</w:t>
            </w:r>
            <w:r>
              <w:rPr>
                <w:noProof/>
                <w:webHidden/>
              </w:rPr>
              <w:fldChar w:fldCharType="end"/>
            </w:r>
          </w:hyperlink>
        </w:p>
        <w:p w14:paraId="0850E69D" w14:textId="68DAE4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88" w:history="1">
            <w:r w:rsidRPr="00F45DCA">
              <w:rPr>
                <w:rStyle w:val="Lienhypertexte"/>
                <w:noProof/>
              </w:rPr>
              <w:t>22.15.3b Planchers à prédalles en béton précontraint CCTB 01.13</w:t>
            </w:r>
            <w:r>
              <w:rPr>
                <w:noProof/>
                <w:webHidden/>
              </w:rPr>
              <w:tab/>
            </w:r>
            <w:r>
              <w:rPr>
                <w:noProof/>
                <w:webHidden/>
              </w:rPr>
              <w:fldChar w:fldCharType="begin"/>
            </w:r>
            <w:r>
              <w:rPr>
                <w:noProof/>
                <w:webHidden/>
              </w:rPr>
              <w:instrText xml:space="preserve"> PAGEREF _Toc220495788 \h </w:instrText>
            </w:r>
            <w:r>
              <w:rPr>
                <w:noProof/>
                <w:webHidden/>
              </w:rPr>
            </w:r>
            <w:r>
              <w:rPr>
                <w:noProof/>
                <w:webHidden/>
              </w:rPr>
              <w:fldChar w:fldCharType="separate"/>
            </w:r>
            <w:r>
              <w:rPr>
                <w:noProof/>
                <w:webHidden/>
              </w:rPr>
              <w:t>561</w:t>
            </w:r>
            <w:r>
              <w:rPr>
                <w:noProof/>
                <w:webHidden/>
              </w:rPr>
              <w:fldChar w:fldCharType="end"/>
            </w:r>
          </w:hyperlink>
        </w:p>
        <w:p w14:paraId="22ABCB5C" w14:textId="07BD1C2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89" w:history="1">
            <w:r w:rsidRPr="00F45DCA">
              <w:rPr>
                <w:rStyle w:val="Lienhypertexte"/>
                <w:noProof/>
              </w:rPr>
              <w:t>22.15.3c Planchers à dalles alvéolées en béton armé CCTB 01.12</w:t>
            </w:r>
            <w:r>
              <w:rPr>
                <w:noProof/>
                <w:webHidden/>
              </w:rPr>
              <w:tab/>
            </w:r>
            <w:r>
              <w:rPr>
                <w:noProof/>
                <w:webHidden/>
              </w:rPr>
              <w:fldChar w:fldCharType="begin"/>
            </w:r>
            <w:r>
              <w:rPr>
                <w:noProof/>
                <w:webHidden/>
              </w:rPr>
              <w:instrText xml:space="preserve"> PAGEREF _Toc220495789 \h </w:instrText>
            </w:r>
            <w:r>
              <w:rPr>
                <w:noProof/>
                <w:webHidden/>
              </w:rPr>
            </w:r>
            <w:r>
              <w:rPr>
                <w:noProof/>
                <w:webHidden/>
              </w:rPr>
              <w:fldChar w:fldCharType="separate"/>
            </w:r>
            <w:r>
              <w:rPr>
                <w:noProof/>
                <w:webHidden/>
              </w:rPr>
              <w:t>564</w:t>
            </w:r>
            <w:r>
              <w:rPr>
                <w:noProof/>
                <w:webHidden/>
              </w:rPr>
              <w:fldChar w:fldCharType="end"/>
            </w:r>
          </w:hyperlink>
        </w:p>
        <w:p w14:paraId="33A55659" w14:textId="2F2D952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90" w:history="1">
            <w:r w:rsidRPr="00F45DCA">
              <w:rPr>
                <w:rStyle w:val="Lienhypertexte"/>
                <w:noProof/>
              </w:rPr>
              <w:t>22.15.3d Planchers à dalles alvéolées en béton précontraint CCTB 01.12</w:t>
            </w:r>
            <w:r>
              <w:rPr>
                <w:noProof/>
                <w:webHidden/>
              </w:rPr>
              <w:tab/>
            </w:r>
            <w:r>
              <w:rPr>
                <w:noProof/>
                <w:webHidden/>
              </w:rPr>
              <w:fldChar w:fldCharType="begin"/>
            </w:r>
            <w:r>
              <w:rPr>
                <w:noProof/>
                <w:webHidden/>
              </w:rPr>
              <w:instrText xml:space="preserve"> PAGEREF _Toc220495790 \h </w:instrText>
            </w:r>
            <w:r>
              <w:rPr>
                <w:noProof/>
                <w:webHidden/>
              </w:rPr>
            </w:r>
            <w:r>
              <w:rPr>
                <w:noProof/>
                <w:webHidden/>
              </w:rPr>
              <w:fldChar w:fldCharType="separate"/>
            </w:r>
            <w:r>
              <w:rPr>
                <w:noProof/>
                <w:webHidden/>
              </w:rPr>
              <w:t>568</w:t>
            </w:r>
            <w:r>
              <w:rPr>
                <w:noProof/>
                <w:webHidden/>
              </w:rPr>
              <w:fldChar w:fldCharType="end"/>
            </w:r>
          </w:hyperlink>
        </w:p>
        <w:p w14:paraId="68EE6A93" w14:textId="23B0116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91" w:history="1">
            <w:r w:rsidRPr="00F45DCA">
              <w:rPr>
                <w:rStyle w:val="Lienhypertexte"/>
                <w:noProof/>
              </w:rPr>
              <w:t>22.15.3e Planchers en éléments de béton cellulaire CCTB 01.11</w:t>
            </w:r>
            <w:r>
              <w:rPr>
                <w:noProof/>
                <w:webHidden/>
              </w:rPr>
              <w:tab/>
            </w:r>
            <w:r>
              <w:rPr>
                <w:noProof/>
                <w:webHidden/>
              </w:rPr>
              <w:fldChar w:fldCharType="begin"/>
            </w:r>
            <w:r>
              <w:rPr>
                <w:noProof/>
                <w:webHidden/>
              </w:rPr>
              <w:instrText xml:space="preserve"> PAGEREF _Toc220495791 \h </w:instrText>
            </w:r>
            <w:r>
              <w:rPr>
                <w:noProof/>
                <w:webHidden/>
              </w:rPr>
            </w:r>
            <w:r>
              <w:rPr>
                <w:noProof/>
                <w:webHidden/>
              </w:rPr>
              <w:fldChar w:fldCharType="separate"/>
            </w:r>
            <w:r>
              <w:rPr>
                <w:noProof/>
                <w:webHidden/>
              </w:rPr>
              <w:t>570</w:t>
            </w:r>
            <w:r>
              <w:rPr>
                <w:noProof/>
                <w:webHidden/>
              </w:rPr>
              <w:fldChar w:fldCharType="end"/>
            </w:r>
          </w:hyperlink>
        </w:p>
        <w:p w14:paraId="1D7B65DE" w14:textId="32601BE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92" w:history="1">
            <w:r w:rsidRPr="00F45DCA">
              <w:rPr>
                <w:rStyle w:val="Lienhypertexte"/>
                <w:noProof/>
              </w:rPr>
              <w:t>22.15.3f Planchers à tables de béton armé à double T CCTB 01.11</w:t>
            </w:r>
            <w:r>
              <w:rPr>
                <w:noProof/>
                <w:webHidden/>
              </w:rPr>
              <w:tab/>
            </w:r>
            <w:r>
              <w:rPr>
                <w:noProof/>
                <w:webHidden/>
              </w:rPr>
              <w:fldChar w:fldCharType="begin"/>
            </w:r>
            <w:r>
              <w:rPr>
                <w:noProof/>
                <w:webHidden/>
              </w:rPr>
              <w:instrText xml:space="preserve"> PAGEREF _Toc220495792 \h </w:instrText>
            </w:r>
            <w:r>
              <w:rPr>
                <w:noProof/>
                <w:webHidden/>
              </w:rPr>
            </w:r>
            <w:r>
              <w:rPr>
                <w:noProof/>
                <w:webHidden/>
              </w:rPr>
              <w:fldChar w:fldCharType="separate"/>
            </w:r>
            <w:r>
              <w:rPr>
                <w:noProof/>
                <w:webHidden/>
              </w:rPr>
              <w:t>572</w:t>
            </w:r>
            <w:r>
              <w:rPr>
                <w:noProof/>
                <w:webHidden/>
              </w:rPr>
              <w:fldChar w:fldCharType="end"/>
            </w:r>
          </w:hyperlink>
        </w:p>
        <w:p w14:paraId="21FFAEAC" w14:textId="1FC0900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93" w:history="1">
            <w:r w:rsidRPr="00F45DCA">
              <w:rPr>
                <w:rStyle w:val="Lienhypertexte"/>
                <w:noProof/>
              </w:rPr>
              <w:t>22.15.3g Planchers-caissons à éléments tubulaires en béton armé CCTB 01.04</w:t>
            </w:r>
            <w:r>
              <w:rPr>
                <w:noProof/>
                <w:webHidden/>
              </w:rPr>
              <w:tab/>
            </w:r>
            <w:r>
              <w:rPr>
                <w:noProof/>
                <w:webHidden/>
              </w:rPr>
              <w:fldChar w:fldCharType="begin"/>
            </w:r>
            <w:r>
              <w:rPr>
                <w:noProof/>
                <w:webHidden/>
              </w:rPr>
              <w:instrText xml:space="preserve"> PAGEREF _Toc220495793 \h </w:instrText>
            </w:r>
            <w:r>
              <w:rPr>
                <w:noProof/>
                <w:webHidden/>
              </w:rPr>
            </w:r>
            <w:r>
              <w:rPr>
                <w:noProof/>
                <w:webHidden/>
              </w:rPr>
              <w:fldChar w:fldCharType="separate"/>
            </w:r>
            <w:r>
              <w:rPr>
                <w:noProof/>
                <w:webHidden/>
              </w:rPr>
              <w:t>574</w:t>
            </w:r>
            <w:r>
              <w:rPr>
                <w:noProof/>
                <w:webHidden/>
              </w:rPr>
              <w:fldChar w:fldCharType="end"/>
            </w:r>
          </w:hyperlink>
        </w:p>
        <w:p w14:paraId="68DCB8B9" w14:textId="30E8A5D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94" w:history="1">
            <w:r w:rsidRPr="00F45DCA">
              <w:rPr>
                <w:rStyle w:val="Lienhypertexte"/>
                <w:noProof/>
              </w:rPr>
              <w:t>22.15.4 Planchers à éléments préfabriqués en béton architectonique CCTB 01.04</w:t>
            </w:r>
            <w:r>
              <w:rPr>
                <w:noProof/>
                <w:webHidden/>
              </w:rPr>
              <w:tab/>
            </w:r>
            <w:r>
              <w:rPr>
                <w:noProof/>
                <w:webHidden/>
              </w:rPr>
              <w:fldChar w:fldCharType="begin"/>
            </w:r>
            <w:r>
              <w:rPr>
                <w:noProof/>
                <w:webHidden/>
              </w:rPr>
              <w:instrText xml:space="preserve"> PAGEREF _Toc220495794 \h </w:instrText>
            </w:r>
            <w:r>
              <w:rPr>
                <w:noProof/>
                <w:webHidden/>
              </w:rPr>
            </w:r>
            <w:r>
              <w:rPr>
                <w:noProof/>
                <w:webHidden/>
              </w:rPr>
              <w:fldChar w:fldCharType="separate"/>
            </w:r>
            <w:r>
              <w:rPr>
                <w:noProof/>
                <w:webHidden/>
              </w:rPr>
              <w:t>575</w:t>
            </w:r>
            <w:r>
              <w:rPr>
                <w:noProof/>
                <w:webHidden/>
              </w:rPr>
              <w:fldChar w:fldCharType="end"/>
            </w:r>
          </w:hyperlink>
        </w:p>
        <w:p w14:paraId="76A792E8" w14:textId="44B1D1D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95" w:history="1">
            <w:r w:rsidRPr="00F45DCA">
              <w:rPr>
                <w:rStyle w:val="Lienhypertexte"/>
                <w:noProof/>
              </w:rPr>
              <w:t>22.15.4a Planchers préfabriqués à prédalles en béton décoratif / architectonique CCTB 01.11</w:t>
            </w:r>
            <w:r>
              <w:rPr>
                <w:noProof/>
                <w:webHidden/>
              </w:rPr>
              <w:tab/>
            </w:r>
            <w:r>
              <w:rPr>
                <w:noProof/>
                <w:webHidden/>
              </w:rPr>
              <w:fldChar w:fldCharType="begin"/>
            </w:r>
            <w:r>
              <w:rPr>
                <w:noProof/>
                <w:webHidden/>
              </w:rPr>
              <w:instrText xml:space="preserve"> PAGEREF _Toc220495795 \h </w:instrText>
            </w:r>
            <w:r>
              <w:rPr>
                <w:noProof/>
                <w:webHidden/>
              </w:rPr>
            </w:r>
            <w:r>
              <w:rPr>
                <w:noProof/>
                <w:webHidden/>
              </w:rPr>
              <w:fldChar w:fldCharType="separate"/>
            </w:r>
            <w:r>
              <w:rPr>
                <w:noProof/>
                <w:webHidden/>
              </w:rPr>
              <w:t>575</w:t>
            </w:r>
            <w:r>
              <w:rPr>
                <w:noProof/>
                <w:webHidden/>
              </w:rPr>
              <w:fldChar w:fldCharType="end"/>
            </w:r>
          </w:hyperlink>
        </w:p>
        <w:p w14:paraId="15BBB83C" w14:textId="543F163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796" w:history="1">
            <w:r w:rsidRPr="00F45DCA">
              <w:rPr>
                <w:rStyle w:val="Lienhypertexte"/>
                <w:noProof/>
              </w:rPr>
              <w:t>22.15.4b Planchers à dalles alvéolées en béton décoratif / architectonique CCTB 01.11</w:t>
            </w:r>
            <w:r>
              <w:rPr>
                <w:noProof/>
                <w:webHidden/>
              </w:rPr>
              <w:tab/>
            </w:r>
            <w:r>
              <w:rPr>
                <w:noProof/>
                <w:webHidden/>
              </w:rPr>
              <w:fldChar w:fldCharType="begin"/>
            </w:r>
            <w:r>
              <w:rPr>
                <w:noProof/>
                <w:webHidden/>
              </w:rPr>
              <w:instrText xml:space="preserve"> PAGEREF _Toc220495796 \h </w:instrText>
            </w:r>
            <w:r>
              <w:rPr>
                <w:noProof/>
                <w:webHidden/>
              </w:rPr>
            </w:r>
            <w:r>
              <w:rPr>
                <w:noProof/>
                <w:webHidden/>
              </w:rPr>
              <w:fldChar w:fldCharType="separate"/>
            </w:r>
            <w:r>
              <w:rPr>
                <w:noProof/>
                <w:webHidden/>
              </w:rPr>
              <w:t>575</w:t>
            </w:r>
            <w:r>
              <w:rPr>
                <w:noProof/>
                <w:webHidden/>
              </w:rPr>
              <w:fldChar w:fldCharType="end"/>
            </w:r>
          </w:hyperlink>
        </w:p>
        <w:p w14:paraId="5D978347" w14:textId="2FF5B0C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97" w:history="1">
            <w:r w:rsidRPr="00F45DCA">
              <w:rPr>
                <w:rStyle w:val="Lienhypertexte"/>
                <w:noProof/>
              </w:rPr>
              <w:t>22.15.5 Couches de compression CCTB 01.07</w:t>
            </w:r>
            <w:r>
              <w:rPr>
                <w:noProof/>
                <w:webHidden/>
              </w:rPr>
              <w:tab/>
            </w:r>
            <w:r>
              <w:rPr>
                <w:noProof/>
                <w:webHidden/>
              </w:rPr>
              <w:fldChar w:fldCharType="begin"/>
            </w:r>
            <w:r>
              <w:rPr>
                <w:noProof/>
                <w:webHidden/>
              </w:rPr>
              <w:instrText xml:space="preserve"> PAGEREF _Toc220495797 \h </w:instrText>
            </w:r>
            <w:r>
              <w:rPr>
                <w:noProof/>
                <w:webHidden/>
              </w:rPr>
            </w:r>
            <w:r>
              <w:rPr>
                <w:noProof/>
                <w:webHidden/>
              </w:rPr>
              <w:fldChar w:fldCharType="separate"/>
            </w:r>
            <w:r>
              <w:rPr>
                <w:noProof/>
                <w:webHidden/>
              </w:rPr>
              <w:t>575</w:t>
            </w:r>
            <w:r>
              <w:rPr>
                <w:noProof/>
                <w:webHidden/>
              </w:rPr>
              <w:fldChar w:fldCharType="end"/>
            </w:r>
          </w:hyperlink>
        </w:p>
        <w:p w14:paraId="18941E73" w14:textId="46AA8B3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798" w:history="1">
            <w:r w:rsidRPr="00F45DCA">
              <w:rPr>
                <w:rStyle w:val="Lienhypertexte"/>
                <w:noProof/>
              </w:rPr>
              <w:t>22.16 Parois en béton CCTB 01.02</w:t>
            </w:r>
            <w:r>
              <w:rPr>
                <w:noProof/>
                <w:webHidden/>
              </w:rPr>
              <w:tab/>
            </w:r>
            <w:r>
              <w:rPr>
                <w:noProof/>
                <w:webHidden/>
              </w:rPr>
              <w:fldChar w:fldCharType="begin"/>
            </w:r>
            <w:r>
              <w:rPr>
                <w:noProof/>
                <w:webHidden/>
              </w:rPr>
              <w:instrText xml:space="preserve"> PAGEREF _Toc220495798 \h </w:instrText>
            </w:r>
            <w:r>
              <w:rPr>
                <w:noProof/>
                <w:webHidden/>
              </w:rPr>
            </w:r>
            <w:r>
              <w:rPr>
                <w:noProof/>
                <w:webHidden/>
              </w:rPr>
              <w:fldChar w:fldCharType="separate"/>
            </w:r>
            <w:r>
              <w:rPr>
                <w:noProof/>
                <w:webHidden/>
              </w:rPr>
              <w:t>575</w:t>
            </w:r>
            <w:r>
              <w:rPr>
                <w:noProof/>
                <w:webHidden/>
              </w:rPr>
              <w:fldChar w:fldCharType="end"/>
            </w:r>
          </w:hyperlink>
        </w:p>
        <w:p w14:paraId="0560EB96" w14:textId="22713EF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799" w:history="1">
            <w:r w:rsidRPr="00F45DCA">
              <w:rPr>
                <w:rStyle w:val="Lienhypertexte"/>
                <w:noProof/>
              </w:rPr>
              <w:t>22.16.1 Parois en béton coulé en place CCTB 01.04</w:t>
            </w:r>
            <w:r>
              <w:rPr>
                <w:noProof/>
                <w:webHidden/>
              </w:rPr>
              <w:tab/>
            </w:r>
            <w:r>
              <w:rPr>
                <w:noProof/>
                <w:webHidden/>
              </w:rPr>
              <w:fldChar w:fldCharType="begin"/>
            </w:r>
            <w:r>
              <w:rPr>
                <w:noProof/>
                <w:webHidden/>
              </w:rPr>
              <w:instrText xml:space="preserve"> PAGEREF _Toc220495799 \h </w:instrText>
            </w:r>
            <w:r>
              <w:rPr>
                <w:noProof/>
                <w:webHidden/>
              </w:rPr>
            </w:r>
            <w:r>
              <w:rPr>
                <w:noProof/>
                <w:webHidden/>
              </w:rPr>
              <w:fldChar w:fldCharType="separate"/>
            </w:r>
            <w:r>
              <w:rPr>
                <w:noProof/>
                <w:webHidden/>
              </w:rPr>
              <w:t>575</w:t>
            </w:r>
            <w:r>
              <w:rPr>
                <w:noProof/>
                <w:webHidden/>
              </w:rPr>
              <w:fldChar w:fldCharType="end"/>
            </w:r>
          </w:hyperlink>
        </w:p>
        <w:p w14:paraId="723A89BE" w14:textId="2731032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00" w:history="1">
            <w:r w:rsidRPr="00F45DCA">
              <w:rPr>
                <w:rStyle w:val="Lienhypertexte"/>
                <w:noProof/>
              </w:rPr>
              <w:t>22.16.1a Parois en béton armé coulé en place CCTB 01.13</w:t>
            </w:r>
            <w:r>
              <w:rPr>
                <w:noProof/>
                <w:webHidden/>
              </w:rPr>
              <w:tab/>
            </w:r>
            <w:r>
              <w:rPr>
                <w:noProof/>
                <w:webHidden/>
              </w:rPr>
              <w:fldChar w:fldCharType="begin"/>
            </w:r>
            <w:r>
              <w:rPr>
                <w:noProof/>
                <w:webHidden/>
              </w:rPr>
              <w:instrText xml:space="preserve"> PAGEREF _Toc220495800 \h </w:instrText>
            </w:r>
            <w:r>
              <w:rPr>
                <w:noProof/>
                <w:webHidden/>
              </w:rPr>
            </w:r>
            <w:r>
              <w:rPr>
                <w:noProof/>
                <w:webHidden/>
              </w:rPr>
              <w:fldChar w:fldCharType="separate"/>
            </w:r>
            <w:r>
              <w:rPr>
                <w:noProof/>
                <w:webHidden/>
              </w:rPr>
              <w:t>575</w:t>
            </w:r>
            <w:r>
              <w:rPr>
                <w:noProof/>
                <w:webHidden/>
              </w:rPr>
              <w:fldChar w:fldCharType="end"/>
            </w:r>
          </w:hyperlink>
        </w:p>
        <w:p w14:paraId="4AC33D54" w14:textId="6F345B7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01" w:history="1">
            <w:r w:rsidRPr="00F45DCA">
              <w:rPr>
                <w:rStyle w:val="Lienhypertexte"/>
                <w:noProof/>
              </w:rPr>
              <w:t>22.16.1b Parois en béton de fibres d'acier coulé en place CCTB 01.13</w:t>
            </w:r>
            <w:r>
              <w:rPr>
                <w:noProof/>
                <w:webHidden/>
              </w:rPr>
              <w:tab/>
            </w:r>
            <w:r>
              <w:rPr>
                <w:noProof/>
                <w:webHidden/>
              </w:rPr>
              <w:fldChar w:fldCharType="begin"/>
            </w:r>
            <w:r>
              <w:rPr>
                <w:noProof/>
                <w:webHidden/>
              </w:rPr>
              <w:instrText xml:space="preserve"> PAGEREF _Toc220495801 \h </w:instrText>
            </w:r>
            <w:r>
              <w:rPr>
                <w:noProof/>
                <w:webHidden/>
              </w:rPr>
            </w:r>
            <w:r>
              <w:rPr>
                <w:noProof/>
                <w:webHidden/>
              </w:rPr>
              <w:fldChar w:fldCharType="separate"/>
            </w:r>
            <w:r>
              <w:rPr>
                <w:noProof/>
                <w:webHidden/>
              </w:rPr>
              <w:t>577</w:t>
            </w:r>
            <w:r>
              <w:rPr>
                <w:noProof/>
                <w:webHidden/>
              </w:rPr>
              <w:fldChar w:fldCharType="end"/>
            </w:r>
          </w:hyperlink>
        </w:p>
        <w:p w14:paraId="3F148A5F" w14:textId="0938E97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02" w:history="1">
            <w:r w:rsidRPr="00F45DCA">
              <w:rPr>
                <w:rStyle w:val="Lienhypertexte"/>
                <w:noProof/>
              </w:rPr>
              <w:t>22.16.2 Parois en béton apparent (esthétique) coulé en place CCTB 01.04</w:t>
            </w:r>
            <w:r>
              <w:rPr>
                <w:noProof/>
                <w:webHidden/>
              </w:rPr>
              <w:tab/>
            </w:r>
            <w:r>
              <w:rPr>
                <w:noProof/>
                <w:webHidden/>
              </w:rPr>
              <w:fldChar w:fldCharType="begin"/>
            </w:r>
            <w:r>
              <w:rPr>
                <w:noProof/>
                <w:webHidden/>
              </w:rPr>
              <w:instrText xml:space="preserve"> PAGEREF _Toc220495802 \h </w:instrText>
            </w:r>
            <w:r>
              <w:rPr>
                <w:noProof/>
                <w:webHidden/>
              </w:rPr>
            </w:r>
            <w:r>
              <w:rPr>
                <w:noProof/>
                <w:webHidden/>
              </w:rPr>
              <w:fldChar w:fldCharType="separate"/>
            </w:r>
            <w:r>
              <w:rPr>
                <w:noProof/>
                <w:webHidden/>
              </w:rPr>
              <w:t>579</w:t>
            </w:r>
            <w:r>
              <w:rPr>
                <w:noProof/>
                <w:webHidden/>
              </w:rPr>
              <w:fldChar w:fldCharType="end"/>
            </w:r>
          </w:hyperlink>
        </w:p>
        <w:p w14:paraId="120D2399" w14:textId="09593DB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03" w:history="1">
            <w:r w:rsidRPr="00F45DCA">
              <w:rPr>
                <w:rStyle w:val="Lienhypertexte"/>
                <w:noProof/>
              </w:rPr>
              <w:t>22.16.2a Parois en béton armé apparent (esthétique) coulé en place CCTB 01.13</w:t>
            </w:r>
            <w:r>
              <w:rPr>
                <w:noProof/>
                <w:webHidden/>
              </w:rPr>
              <w:tab/>
            </w:r>
            <w:r>
              <w:rPr>
                <w:noProof/>
                <w:webHidden/>
              </w:rPr>
              <w:fldChar w:fldCharType="begin"/>
            </w:r>
            <w:r>
              <w:rPr>
                <w:noProof/>
                <w:webHidden/>
              </w:rPr>
              <w:instrText xml:space="preserve"> PAGEREF _Toc220495803 \h </w:instrText>
            </w:r>
            <w:r>
              <w:rPr>
                <w:noProof/>
                <w:webHidden/>
              </w:rPr>
            </w:r>
            <w:r>
              <w:rPr>
                <w:noProof/>
                <w:webHidden/>
              </w:rPr>
              <w:fldChar w:fldCharType="separate"/>
            </w:r>
            <w:r>
              <w:rPr>
                <w:noProof/>
                <w:webHidden/>
              </w:rPr>
              <w:t>580</w:t>
            </w:r>
            <w:r>
              <w:rPr>
                <w:noProof/>
                <w:webHidden/>
              </w:rPr>
              <w:fldChar w:fldCharType="end"/>
            </w:r>
          </w:hyperlink>
        </w:p>
        <w:p w14:paraId="1D1B6A31" w14:textId="426EB12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04" w:history="1">
            <w:r w:rsidRPr="00F45DCA">
              <w:rPr>
                <w:rStyle w:val="Lienhypertexte"/>
                <w:noProof/>
              </w:rPr>
              <w:t>22.16.2b Parois en béton de fibres d'acier apparent (esthétique) coulé en place CCTB 01.13</w:t>
            </w:r>
            <w:r>
              <w:rPr>
                <w:noProof/>
                <w:webHidden/>
              </w:rPr>
              <w:tab/>
            </w:r>
            <w:r>
              <w:rPr>
                <w:noProof/>
                <w:webHidden/>
              </w:rPr>
              <w:fldChar w:fldCharType="begin"/>
            </w:r>
            <w:r>
              <w:rPr>
                <w:noProof/>
                <w:webHidden/>
              </w:rPr>
              <w:instrText xml:space="preserve"> PAGEREF _Toc220495804 \h </w:instrText>
            </w:r>
            <w:r>
              <w:rPr>
                <w:noProof/>
                <w:webHidden/>
              </w:rPr>
            </w:r>
            <w:r>
              <w:rPr>
                <w:noProof/>
                <w:webHidden/>
              </w:rPr>
              <w:fldChar w:fldCharType="separate"/>
            </w:r>
            <w:r>
              <w:rPr>
                <w:noProof/>
                <w:webHidden/>
              </w:rPr>
              <w:t>582</w:t>
            </w:r>
            <w:r>
              <w:rPr>
                <w:noProof/>
                <w:webHidden/>
              </w:rPr>
              <w:fldChar w:fldCharType="end"/>
            </w:r>
          </w:hyperlink>
        </w:p>
        <w:p w14:paraId="3FC5A9D3" w14:textId="56EE832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05" w:history="1">
            <w:r w:rsidRPr="00F45DCA">
              <w:rPr>
                <w:rStyle w:val="Lienhypertexte"/>
                <w:noProof/>
              </w:rPr>
              <w:t>22.16.3 Parois préfabriquées en béton CCTB 01.11</w:t>
            </w:r>
            <w:r>
              <w:rPr>
                <w:noProof/>
                <w:webHidden/>
              </w:rPr>
              <w:tab/>
            </w:r>
            <w:r>
              <w:rPr>
                <w:noProof/>
                <w:webHidden/>
              </w:rPr>
              <w:fldChar w:fldCharType="begin"/>
            </w:r>
            <w:r>
              <w:rPr>
                <w:noProof/>
                <w:webHidden/>
              </w:rPr>
              <w:instrText xml:space="preserve"> PAGEREF _Toc220495805 \h </w:instrText>
            </w:r>
            <w:r>
              <w:rPr>
                <w:noProof/>
                <w:webHidden/>
              </w:rPr>
            </w:r>
            <w:r>
              <w:rPr>
                <w:noProof/>
                <w:webHidden/>
              </w:rPr>
              <w:fldChar w:fldCharType="separate"/>
            </w:r>
            <w:r>
              <w:rPr>
                <w:noProof/>
                <w:webHidden/>
              </w:rPr>
              <w:t>584</w:t>
            </w:r>
            <w:r>
              <w:rPr>
                <w:noProof/>
                <w:webHidden/>
              </w:rPr>
              <w:fldChar w:fldCharType="end"/>
            </w:r>
          </w:hyperlink>
        </w:p>
        <w:p w14:paraId="1D10DD32" w14:textId="32C568D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06" w:history="1">
            <w:r w:rsidRPr="00F45DCA">
              <w:rPr>
                <w:rStyle w:val="Lienhypertexte"/>
                <w:noProof/>
              </w:rPr>
              <w:t>22.16.3a Parois pleines préfabriquées en béton armé CCTB 01.13</w:t>
            </w:r>
            <w:r>
              <w:rPr>
                <w:noProof/>
                <w:webHidden/>
              </w:rPr>
              <w:tab/>
            </w:r>
            <w:r>
              <w:rPr>
                <w:noProof/>
                <w:webHidden/>
              </w:rPr>
              <w:fldChar w:fldCharType="begin"/>
            </w:r>
            <w:r>
              <w:rPr>
                <w:noProof/>
                <w:webHidden/>
              </w:rPr>
              <w:instrText xml:space="preserve"> PAGEREF _Toc220495806 \h </w:instrText>
            </w:r>
            <w:r>
              <w:rPr>
                <w:noProof/>
                <w:webHidden/>
              </w:rPr>
            </w:r>
            <w:r>
              <w:rPr>
                <w:noProof/>
                <w:webHidden/>
              </w:rPr>
              <w:fldChar w:fldCharType="separate"/>
            </w:r>
            <w:r>
              <w:rPr>
                <w:noProof/>
                <w:webHidden/>
              </w:rPr>
              <w:t>585</w:t>
            </w:r>
            <w:r>
              <w:rPr>
                <w:noProof/>
                <w:webHidden/>
              </w:rPr>
              <w:fldChar w:fldCharType="end"/>
            </w:r>
          </w:hyperlink>
        </w:p>
        <w:p w14:paraId="2B027CF7" w14:textId="5C4D5C9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07" w:history="1">
            <w:r w:rsidRPr="00F45DCA">
              <w:rPr>
                <w:rStyle w:val="Lienhypertexte"/>
                <w:noProof/>
              </w:rPr>
              <w:t>22.16.3b Parois sandwich préfabriquées en béton  CCTB 01.13</w:t>
            </w:r>
            <w:r>
              <w:rPr>
                <w:noProof/>
                <w:webHidden/>
              </w:rPr>
              <w:tab/>
            </w:r>
            <w:r>
              <w:rPr>
                <w:noProof/>
                <w:webHidden/>
              </w:rPr>
              <w:fldChar w:fldCharType="begin"/>
            </w:r>
            <w:r>
              <w:rPr>
                <w:noProof/>
                <w:webHidden/>
              </w:rPr>
              <w:instrText xml:space="preserve"> PAGEREF _Toc220495807 \h </w:instrText>
            </w:r>
            <w:r>
              <w:rPr>
                <w:noProof/>
                <w:webHidden/>
              </w:rPr>
            </w:r>
            <w:r>
              <w:rPr>
                <w:noProof/>
                <w:webHidden/>
              </w:rPr>
              <w:fldChar w:fldCharType="separate"/>
            </w:r>
            <w:r>
              <w:rPr>
                <w:noProof/>
                <w:webHidden/>
              </w:rPr>
              <w:t>587</w:t>
            </w:r>
            <w:r>
              <w:rPr>
                <w:noProof/>
                <w:webHidden/>
              </w:rPr>
              <w:fldChar w:fldCharType="end"/>
            </w:r>
          </w:hyperlink>
        </w:p>
        <w:p w14:paraId="1980D33E" w14:textId="4C1C012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08" w:history="1">
            <w:r w:rsidRPr="00F45DCA">
              <w:rPr>
                <w:rStyle w:val="Lienhypertexte"/>
                <w:noProof/>
              </w:rPr>
              <w:t>22.16.3c Prémurs en béton armé CCTB 01.13</w:t>
            </w:r>
            <w:r>
              <w:rPr>
                <w:noProof/>
                <w:webHidden/>
              </w:rPr>
              <w:tab/>
            </w:r>
            <w:r>
              <w:rPr>
                <w:noProof/>
                <w:webHidden/>
              </w:rPr>
              <w:fldChar w:fldCharType="begin"/>
            </w:r>
            <w:r>
              <w:rPr>
                <w:noProof/>
                <w:webHidden/>
              </w:rPr>
              <w:instrText xml:space="preserve"> PAGEREF _Toc220495808 \h </w:instrText>
            </w:r>
            <w:r>
              <w:rPr>
                <w:noProof/>
                <w:webHidden/>
              </w:rPr>
            </w:r>
            <w:r>
              <w:rPr>
                <w:noProof/>
                <w:webHidden/>
              </w:rPr>
              <w:fldChar w:fldCharType="separate"/>
            </w:r>
            <w:r>
              <w:rPr>
                <w:noProof/>
                <w:webHidden/>
              </w:rPr>
              <w:t>589</w:t>
            </w:r>
            <w:r>
              <w:rPr>
                <w:noProof/>
                <w:webHidden/>
              </w:rPr>
              <w:fldChar w:fldCharType="end"/>
            </w:r>
          </w:hyperlink>
        </w:p>
        <w:p w14:paraId="7E34BE3F" w14:textId="56001E0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09" w:history="1">
            <w:r w:rsidRPr="00F45DCA">
              <w:rPr>
                <w:rStyle w:val="Lienhypertexte"/>
                <w:noProof/>
              </w:rPr>
              <w:t>22.16.3d Prémurs en béton armé avec isolation intégrée CCTB 01.13</w:t>
            </w:r>
            <w:r>
              <w:rPr>
                <w:noProof/>
                <w:webHidden/>
              </w:rPr>
              <w:tab/>
            </w:r>
            <w:r>
              <w:rPr>
                <w:noProof/>
                <w:webHidden/>
              </w:rPr>
              <w:fldChar w:fldCharType="begin"/>
            </w:r>
            <w:r>
              <w:rPr>
                <w:noProof/>
                <w:webHidden/>
              </w:rPr>
              <w:instrText xml:space="preserve"> PAGEREF _Toc220495809 \h </w:instrText>
            </w:r>
            <w:r>
              <w:rPr>
                <w:noProof/>
                <w:webHidden/>
              </w:rPr>
            </w:r>
            <w:r>
              <w:rPr>
                <w:noProof/>
                <w:webHidden/>
              </w:rPr>
              <w:fldChar w:fldCharType="separate"/>
            </w:r>
            <w:r>
              <w:rPr>
                <w:noProof/>
                <w:webHidden/>
              </w:rPr>
              <w:t>593</w:t>
            </w:r>
            <w:r>
              <w:rPr>
                <w:noProof/>
                <w:webHidden/>
              </w:rPr>
              <w:fldChar w:fldCharType="end"/>
            </w:r>
          </w:hyperlink>
        </w:p>
        <w:p w14:paraId="48737717" w14:textId="1C8FD7F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10" w:history="1">
            <w:r w:rsidRPr="00F45DCA">
              <w:rPr>
                <w:rStyle w:val="Lienhypertexte"/>
                <w:noProof/>
              </w:rPr>
              <w:t>22.16.3e Parois composées d'éléments de murs porteurs en béton cellulaire CCTB 01.04</w:t>
            </w:r>
            <w:r>
              <w:rPr>
                <w:noProof/>
                <w:webHidden/>
              </w:rPr>
              <w:tab/>
            </w:r>
            <w:r>
              <w:rPr>
                <w:noProof/>
                <w:webHidden/>
              </w:rPr>
              <w:fldChar w:fldCharType="begin"/>
            </w:r>
            <w:r>
              <w:rPr>
                <w:noProof/>
                <w:webHidden/>
              </w:rPr>
              <w:instrText xml:space="preserve"> PAGEREF _Toc220495810 \h </w:instrText>
            </w:r>
            <w:r>
              <w:rPr>
                <w:noProof/>
                <w:webHidden/>
              </w:rPr>
            </w:r>
            <w:r>
              <w:rPr>
                <w:noProof/>
                <w:webHidden/>
              </w:rPr>
              <w:fldChar w:fldCharType="separate"/>
            </w:r>
            <w:r>
              <w:rPr>
                <w:noProof/>
                <w:webHidden/>
              </w:rPr>
              <w:t>597</w:t>
            </w:r>
            <w:r>
              <w:rPr>
                <w:noProof/>
                <w:webHidden/>
              </w:rPr>
              <w:fldChar w:fldCharType="end"/>
            </w:r>
          </w:hyperlink>
        </w:p>
        <w:p w14:paraId="10AC7F1B" w14:textId="4F0569C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11" w:history="1">
            <w:r w:rsidRPr="00F45DCA">
              <w:rPr>
                <w:rStyle w:val="Lienhypertexte"/>
                <w:noProof/>
              </w:rPr>
              <w:t>22.16.3f Paroi bicouche béton de structure-béton de bois CCTB 01.13</w:t>
            </w:r>
            <w:r>
              <w:rPr>
                <w:noProof/>
                <w:webHidden/>
              </w:rPr>
              <w:tab/>
            </w:r>
            <w:r>
              <w:rPr>
                <w:noProof/>
                <w:webHidden/>
              </w:rPr>
              <w:fldChar w:fldCharType="begin"/>
            </w:r>
            <w:r>
              <w:rPr>
                <w:noProof/>
                <w:webHidden/>
              </w:rPr>
              <w:instrText xml:space="preserve"> PAGEREF _Toc220495811 \h </w:instrText>
            </w:r>
            <w:r>
              <w:rPr>
                <w:noProof/>
                <w:webHidden/>
              </w:rPr>
            </w:r>
            <w:r>
              <w:rPr>
                <w:noProof/>
                <w:webHidden/>
              </w:rPr>
              <w:fldChar w:fldCharType="separate"/>
            </w:r>
            <w:r>
              <w:rPr>
                <w:noProof/>
                <w:webHidden/>
              </w:rPr>
              <w:t>597</w:t>
            </w:r>
            <w:r>
              <w:rPr>
                <w:noProof/>
                <w:webHidden/>
              </w:rPr>
              <w:fldChar w:fldCharType="end"/>
            </w:r>
          </w:hyperlink>
        </w:p>
        <w:p w14:paraId="4494E8CE" w14:textId="131D423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12" w:history="1">
            <w:r w:rsidRPr="00F45DCA">
              <w:rPr>
                <w:rStyle w:val="Lienhypertexte"/>
                <w:noProof/>
              </w:rPr>
              <w:t>22.16.4 Parois préfabriquées en béton architectonique CCTB 01.13</w:t>
            </w:r>
            <w:r>
              <w:rPr>
                <w:noProof/>
                <w:webHidden/>
              </w:rPr>
              <w:tab/>
            </w:r>
            <w:r>
              <w:rPr>
                <w:noProof/>
                <w:webHidden/>
              </w:rPr>
              <w:fldChar w:fldCharType="begin"/>
            </w:r>
            <w:r>
              <w:rPr>
                <w:noProof/>
                <w:webHidden/>
              </w:rPr>
              <w:instrText xml:space="preserve"> PAGEREF _Toc220495812 \h </w:instrText>
            </w:r>
            <w:r>
              <w:rPr>
                <w:noProof/>
                <w:webHidden/>
              </w:rPr>
            </w:r>
            <w:r>
              <w:rPr>
                <w:noProof/>
                <w:webHidden/>
              </w:rPr>
              <w:fldChar w:fldCharType="separate"/>
            </w:r>
            <w:r>
              <w:rPr>
                <w:noProof/>
                <w:webHidden/>
              </w:rPr>
              <w:t>600</w:t>
            </w:r>
            <w:r>
              <w:rPr>
                <w:noProof/>
                <w:webHidden/>
              </w:rPr>
              <w:fldChar w:fldCharType="end"/>
            </w:r>
          </w:hyperlink>
        </w:p>
        <w:p w14:paraId="1FB3F0F1" w14:textId="7EBE89F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13" w:history="1">
            <w:r w:rsidRPr="00F45DCA">
              <w:rPr>
                <w:rStyle w:val="Lienhypertexte"/>
                <w:noProof/>
              </w:rPr>
              <w:t>22.16.4a Parois préfabriquées en béton architectonique CCTB 01.11</w:t>
            </w:r>
            <w:r>
              <w:rPr>
                <w:noProof/>
                <w:webHidden/>
              </w:rPr>
              <w:tab/>
            </w:r>
            <w:r>
              <w:rPr>
                <w:noProof/>
                <w:webHidden/>
              </w:rPr>
              <w:fldChar w:fldCharType="begin"/>
            </w:r>
            <w:r>
              <w:rPr>
                <w:noProof/>
                <w:webHidden/>
              </w:rPr>
              <w:instrText xml:space="preserve"> PAGEREF _Toc220495813 \h </w:instrText>
            </w:r>
            <w:r>
              <w:rPr>
                <w:noProof/>
                <w:webHidden/>
              </w:rPr>
            </w:r>
            <w:r>
              <w:rPr>
                <w:noProof/>
                <w:webHidden/>
              </w:rPr>
              <w:fldChar w:fldCharType="separate"/>
            </w:r>
            <w:r>
              <w:rPr>
                <w:noProof/>
                <w:webHidden/>
              </w:rPr>
              <w:t>601</w:t>
            </w:r>
            <w:r>
              <w:rPr>
                <w:noProof/>
                <w:webHidden/>
              </w:rPr>
              <w:fldChar w:fldCharType="end"/>
            </w:r>
          </w:hyperlink>
        </w:p>
        <w:p w14:paraId="552F19AD" w14:textId="5E36363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14" w:history="1">
            <w:r w:rsidRPr="00F45DCA">
              <w:rPr>
                <w:rStyle w:val="Lienhypertexte"/>
                <w:noProof/>
              </w:rPr>
              <w:t>22.16.4b Parois sandwich en béton décoratif / architectonique CCTB 01.13</w:t>
            </w:r>
            <w:r>
              <w:rPr>
                <w:noProof/>
                <w:webHidden/>
              </w:rPr>
              <w:tab/>
            </w:r>
            <w:r>
              <w:rPr>
                <w:noProof/>
                <w:webHidden/>
              </w:rPr>
              <w:fldChar w:fldCharType="begin"/>
            </w:r>
            <w:r>
              <w:rPr>
                <w:noProof/>
                <w:webHidden/>
              </w:rPr>
              <w:instrText xml:space="preserve"> PAGEREF _Toc220495814 \h </w:instrText>
            </w:r>
            <w:r>
              <w:rPr>
                <w:noProof/>
                <w:webHidden/>
              </w:rPr>
            </w:r>
            <w:r>
              <w:rPr>
                <w:noProof/>
                <w:webHidden/>
              </w:rPr>
              <w:fldChar w:fldCharType="separate"/>
            </w:r>
            <w:r>
              <w:rPr>
                <w:noProof/>
                <w:webHidden/>
              </w:rPr>
              <w:t>604</w:t>
            </w:r>
            <w:r>
              <w:rPr>
                <w:noProof/>
                <w:webHidden/>
              </w:rPr>
              <w:fldChar w:fldCharType="end"/>
            </w:r>
          </w:hyperlink>
        </w:p>
        <w:p w14:paraId="0AF8F0AC" w14:textId="7B4C9EC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15" w:history="1">
            <w:r w:rsidRPr="00F45DCA">
              <w:rPr>
                <w:rStyle w:val="Lienhypertexte"/>
                <w:noProof/>
              </w:rPr>
              <w:t>22.16.4c Parois préfabriquées avec éléments de revêtement intégrés en béton décoratif / architectonique CCTB 01.13</w:t>
            </w:r>
            <w:r>
              <w:rPr>
                <w:noProof/>
                <w:webHidden/>
              </w:rPr>
              <w:tab/>
            </w:r>
            <w:r>
              <w:rPr>
                <w:noProof/>
                <w:webHidden/>
              </w:rPr>
              <w:fldChar w:fldCharType="begin"/>
            </w:r>
            <w:r>
              <w:rPr>
                <w:noProof/>
                <w:webHidden/>
              </w:rPr>
              <w:instrText xml:space="preserve"> PAGEREF _Toc220495815 \h </w:instrText>
            </w:r>
            <w:r>
              <w:rPr>
                <w:noProof/>
                <w:webHidden/>
              </w:rPr>
            </w:r>
            <w:r>
              <w:rPr>
                <w:noProof/>
                <w:webHidden/>
              </w:rPr>
              <w:fldChar w:fldCharType="separate"/>
            </w:r>
            <w:r>
              <w:rPr>
                <w:noProof/>
                <w:webHidden/>
              </w:rPr>
              <w:t>608</w:t>
            </w:r>
            <w:r>
              <w:rPr>
                <w:noProof/>
                <w:webHidden/>
              </w:rPr>
              <w:fldChar w:fldCharType="end"/>
            </w:r>
          </w:hyperlink>
        </w:p>
        <w:p w14:paraId="0B359C67" w14:textId="13B713C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16" w:history="1">
            <w:r w:rsidRPr="00F45DCA">
              <w:rPr>
                <w:rStyle w:val="Lienhypertexte"/>
                <w:noProof/>
              </w:rPr>
              <w:t>22.16.4d Prémurs préfabriqués en béton décoratif / architectonique CCTB 01.11</w:t>
            </w:r>
            <w:r>
              <w:rPr>
                <w:noProof/>
                <w:webHidden/>
              </w:rPr>
              <w:tab/>
            </w:r>
            <w:r>
              <w:rPr>
                <w:noProof/>
                <w:webHidden/>
              </w:rPr>
              <w:fldChar w:fldCharType="begin"/>
            </w:r>
            <w:r>
              <w:rPr>
                <w:noProof/>
                <w:webHidden/>
              </w:rPr>
              <w:instrText xml:space="preserve"> PAGEREF _Toc220495816 \h </w:instrText>
            </w:r>
            <w:r>
              <w:rPr>
                <w:noProof/>
                <w:webHidden/>
              </w:rPr>
            </w:r>
            <w:r>
              <w:rPr>
                <w:noProof/>
                <w:webHidden/>
              </w:rPr>
              <w:fldChar w:fldCharType="separate"/>
            </w:r>
            <w:r>
              <w:rPr>
                <w:noProof/>
                <w:webHidden/>
              </w:rPr>
              <w:t>611</w:t>
            </w:r>
            <w:r>
              <w:rPr>
                <w:noProof/>
                <w:webHidden/>
              </w:rPr>
              <w:fldChar w:fldCharType="end"/>
            </w:r>
          </w:hyperlink>
        </w:p>
        <w:p w14:paraId="22BDCB73" w14:textId="106EE2D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17" w:history="1">
            <w:r w:rsidRPr="00F45DCA">
              <w:rPr>
                <w:rStyle w:val="Lienhypertexte"/>
                <w:noProof/>
              </w:rPr>
              <w:t>22.16.4e Prémurs préfabriqués en béton décoratif / architectonique avec isolation intégrée CCTB 01.11</w:t>
            </w:r>
            <w:r>
              <w:rPr>
                <w:noProof/>
                <w:webHidden/>
              </w:rPr>
              <w:tab/>
            </w:r>
            <w:r>
              <w:rPr>
                <w:noProof/>
                <w:webHidden/>
              </w:rPr>
              <w:fldChar w:fldCharType="begin"/>
            </w:r>
            <w:r>
              <w:rPr>
                <w:noProof/>
                <w:webHidden/>
              </w:rPr>
              <w:instrText xml:space="preserve"> PAGEREF _Toc220495817 \h </w:instrText>
            </w:r>
            <w:r>
              <w:rPr>
                <w:noProof/>
                <w:webHidden/>
              </w:rPr>
            </w:r>
            <w:r>
              <w:rPr>
                <w:noProof/>
                <w:webHidden/>
              </w:rPr>
              <w:fldChar w:fldCharType="separate"/>
            </w:r>
            <w:r>
              <w:rPr>
                <w:noProof/>
                <w:webHidden/>
              </w:rPr>
              <w:t>615</w:t>
            </w:r>
            <w:r>
              <w:rPr>
                <w:noProof/>
                <w:webHidden/>
              </w:rPr>
              <w:fldChar w:fldCharType="end"/>
            </w:r>
          </w:hyperlink>
        </w:p>
        <w:p w14:paraId="6632BECF" w14:textId="16BEC455"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818" w:history="1">
            <w:r w:rsidRPr="00F45DCA">
              <w:rPr>
                <w:rStyle w:val="Lienhypertexte"/>
                <w:noProof/>
              </w:rPr>
              <w:t>22.2 Ensembles structuraux en béton CCTB 01.04</w:t>
            </w:r>
            <w:r>
              <w:rPr>
                <w:noProof/>
                <w:webHidden/>
              </w:rPr>
              <w:tab/>
            </w:r>
            <w:r>
              <w:rPr>
                <w:noProof/>
                <w:webHidden/>
              </w:rPr>
              <w:fldChar w:fldCharType="begin"/>
            </w:r>
            <w:r>
              <w:rPr>
                <w:noProof/>
                <w:webHidden/>
              </w:rPr>
              <w:instrText xml:space="preserve"> PAGEREF _Toc220495818 \h </w:instrText>
            </w:r>
            <w:r>
              <w:rPr>
                <w:noProof/>
                <w:webHidden/>
              </w:rPr>
            </w:r>
            <w:r>
              <w:rPr>
                <w:noProof/>
                <w:webHidden/>
              </w:rPr>
              <w:fldChar w:fldCharType="separate"/>
            </w:r>
            <w:r>
              <w:rPr>
                <w:noProof/>
                <w:webHidden/>
              </w:rPr>
              <w:t>619</w:t>
            </w:r>
            <w:r>
              <w:rPr>
                <w:noProof/>
                <w:webHidden/>
              </w:rPr>
              <w:fldChar w:fldCharType="end"/>
            </w:r>
          </w:hyperlink>
        </w:p>
        <w:p w14:paraId="43CF08B4" w14:textId="2CBE175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819" w:history="1">
            <w:r w:rsidRPr="00F45DCA">
              <w:rPr>
                <w:rStyle w:val="Lienhypertexte"/>
                <w:noProof/>
              </w:rPr>
              <w:t>22.21 Structures en béton (poutres/colonnes) CCTB 01.04</w:t>
            </w:r>
            <w:r>
              <w:rPr>
                <w:noProof/>
                <w:webHidden/>
              </w:rPr>
              <w:tab/>
            </w:r>
            <w:r>
              <w:rPr>
                <w:noProof/>
                <w:webHidden/>
              </w:rPr>
              <w:fldChar w:fldCharType="begin"/>
            </w:r>
            <w:r>
              <w:rPr>
                <w:noProof/>
                <w:webHidden/>
              </w:rPr>
              <w:instrText xml:space="preserve"> PAGEREF _Toc220495819 \h </w:instrText>
            </w:r>
            <w:r>
              <w:rPr>
                <w:noProof/>
                <w:webHidden/>
              </w:rPr>
            </w:r>
            <w:r>
              <w:rPr>
                <w:noProof/>
                <w:webHidden/>
              </w:rPr>
              <w:fldChar w:fldCharType="separate"/>
            </w:r>
            <w:r>
              <w:rPr>
                <w:noProof/>
                <w:webHidden/>
              </w:rPr>
              <w:t>619</w:t>
            </w:r>
            <w:r>
              <w:rPr>
                <w:noProof/>
                <w:webHidden/>
              </w:rPr>
              <w:fldChar w:fldCharType="end"/>
            </w:r>
          </w:hyperlink>
        </w:p>
        <w:p w14:paraId="788DC4BE" w14:textId="5AEE36D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20" w:history="1">
            <w:r w:rsidRPr="00F45DCA">
              <w:rPr>
                <w:rStyle w:val="Lienhypertexte"/>
                <w:noProof/>
              </w:rPr>
              <w:t>22.21.1 Structures en béton coulé en place CCTB 01.04</w:t>
            </w:r>
            <w:r>
              <w:rPr>
                <w:noProof/>
                <w:webHidden/>
              </w:rPr>
              <w:tab/>
            </w:r>
            <w:r>
              <w:rPr>
                <w:noProof/>
                <w:webHidden/>
              </w:rPr>
              <w:fldChar w:fldCharType="begin"/>
            </w:r>
            <w:r>
              <w:rPr>
                <w:noProof/>
                <w:webHidden/>
              </w:rPr>
              <w:instrText xml:space="preserve"> PAGEREF _Toc220495820 \h </w:instrText>
            </w:r>
            <w:r>
              <w:rPr>
                <w:noProof/>
                <w:webHidden/>
              </w:rPr>
            </w:r>
            <w:r>
              <w:rPr>
                <w:noProof/>
                <w:webHidden/>
              </w:rPr>
              <w:fldChar w:fldCharType="separate"/>
            </w:r>
            <w:r>
              <w:rPr>
                <w:noProof/>
                <w:webHidden/>
              </w:rPr>
              <w:t>619</w:t>
            </w:r>
            <w:r>
              <w:rPr>
                <w:noProof/>
                <w:webHidden/>
              </w:rPr>
              <w:fldChar w:fldCharType="end"/>
            </w:r>
          </w:hyperlink>
        </w:p>
        <w:p w14:paraId="71C1A7AE" w14:textId="2FBEC78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21" w:history="1">
            <w:r w:rsidRPr="00F45DCA">
              <w:rPr>
                <w:rStyle w:val="Lienhypertexte"/>
                <w:noProof/>
              </w:rPr>
              <w:t>22.21.1a Structures en béton coulé en place CCTB 01.04</w:t>
            </w:r>
            <w:r>
              <w:rPr>
                <w:noProof/>
                <w:webHidden/>
              </w:rPr>
              <w:tab/>
            </w:r>
            <w:r>
              <w:rPr>
                <w:noProof/>
                <w:webHidden/>
              </w:rPr>
              <w:fldChar w:fldCharType="begin"/>
            </w:r>
            <w:r>
              <w:rPr>
                <w:noProof/>
                <w:webHidden/>
              </w:rPr>
              <w:instrText xml:space="preserve"> PAGEREF _Toc220495821 \h </w:instrText>
            </w:r>
            <w:r>
              <w:rPr>
                <w:noProof/>
                <w:webHidden/>
              </w:rPr>
            </w:r>
            <w:r>
              <w:rPr>
                <w:noProof/>
                <w:webHidden/>
              </w:rPr>
              <w:fldChar w:fldCharType="separate"/>
            </w:r>
            <w:r>
              <w:rPr>
                <w:noProof/>
                <w:webHidden/>
              </w:rPr>
              <w:t>619</w:t>
            </w:r>
            <w:r>
              <w:rPr>
                <w:noProof/>
                <w:webHidden/>
              </w:rPr>
              <w:fldChar w:fldCharType="end"/>
            </w:r>
          </w:hyperlink>
        </w:p>
        <w:p w14:paraId="2D4AA563" w14:textId="15EFC68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22" w:history="1">
            <w:r w:rsidRPr="00F45DCA">
              <w:rPr>
                <w:rStyle w:val="Lienhypertexte"/>
                <w:noProof/>
              </w:rPr>
              <w:t>22.21.1b Portiques en béton coulé en place CCTB 01.04</w:t>
            </w:r>
            <w:r>
              <w:rPr>
                <w:noProof/>
                <w:webHidden/>
              </w:rPr>
              <w:tab/>
            </w:r>
            <w:r>
              <w:rPr>
                <w:noProof/>
                <w:webHidden/>
              </w:rPr>
              <w:fldChar w:fldCharType="begin"/>
            </w:r>
            <w:r>
              <w:rPr>
                <w:noProof/>
                <w:webHidden/>
              </w:rPr>
              <w:instrText xml:space="preserve"> PAGEREF _Toc220495822 \h </w:instrText>
            </w:r>
            <w:r>
              <w:rPr>
                <w:noProof/>
                <w:webHidden/>
              </w:rPr>
            </w:r>
            <w:r>
              <w:rPr>
                <w:noProof/>
                <w:webHidden/>
              </w:rPr>
              <w:fldChar w:fldCharType="separate"/>
            </w:r>
            <w:r>
              <w:rPr>
                <w:noProof/>
                <w:webHidden/>
              </w:rPr>
              <w:t>619</w:t>
            </w:r>
            <w:r>
              <w:rPr>
                <w:noProof/>
                <w:webHidden/>
              </w:rPr>
              <w:fldChar w:fldCharType="end"/>
            </w:r>
          </w:hyperlink>
        </w:p>
        <w:p w14:paraId="23B7A574" w14:textId="29AEBAB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23" w:history="1">
            <w:r w:rsidRPr="00F45DCA">
              <w:rPr>
                <w:rStyle w:val="Lienhypertexte"/>
                <w:noProof/>
              </w:rPr>
              <w:t>22.21.1c Arcs en béton coulé en place CCTB 01.04</w:t>
            </w:r>
            <w:r>
              <w:rPr>
                <w:noProof/>
                <w:webHidden/>
              </w:rPr>
              <w:tab/>
            </w:r>
            <w:r>
              <w:rPr>
                <w:noProof/>
                <w:webHidden/>
              </w:rPr>
              <w:fldChar w:fldCharType="begin"/>
            </w:r>
            <w:r>
              <w:rPr>
                <w:noProof/>
                <w:webHidden/>
              </w:rPr>
              <w:instrText xml:space="preserve"> PAGEREF _Toc220495823 \h </w:instrText>
            </w:r>
            <w:r>
              <w:rPr>
                <w:noProof/>
                <w:webHidden/>
              </w:rPr>
            </w:r>
            <w:r>
              <w:rPr>
                <w:noProof/>
                <w:webHidden/>
              </w:rPr>
              <w:fldChar w:fldCharType="separate"/>
            </w:r>
            <w:r>
              <w:rPr>
                <w:noProof/>
                <w:webHidden/>
              </w:rPr>
              <w:t>619</w:t>
            </w:r>
            <w:r>
              <w:rPr>
                <w:noProof/>
                <w:webHidden/>
              </w:rPr>
              <w:fldChar w:fldCharType="end"/>
            </w:r>
          </w:hyperlink>
        </w:p>
        <w:p w14:paraId="5753087D" w14:textId="749A7CB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24" w:history="1">
            <w:r w:rsidRPr="00F45DCA">
              <w:rPr>
                <w:rStyle w:val="Lienhypertexte"/>
                <w:noProof/>
              </w:rPr>
              <w:t>22.21.1d Potences en béton coulé en place CCTB 01.04</w:t>
            </w:r>
            <w:r>
              <w:rPr>
                <w:noProof/>
                <w:webHidden/>
              </w:rPr>
              <w:tab/>
            </w:r>
            <w:r>
              <w:rPr>
                <w:noProof/>
                <w:webHidden/>
              </w:rPr>
              <w:fldChar w:fldCharType="begin"/>
            </w:r>
            <w:r>
              <w:rPr>
                <w:noProof/>
                <w:webHidden/>
              </w:rPr>
              <w:instrText xml:space="preserve"> PAGEREF _Toc220495824 \h </w:instrText>
            </w:r>
            <w:r>
              <w:rPr>
                <w:noProof/>
                <w:webHidden/>
              </w:rPr>
            </w:r>
            <w:r>
              <w:rPr>
                <w:noProof/>
                <w:webHidden/>
              </w:rPr>
              <w:fldChar w:fldCharType="separate"/>
            </w:r>
            <w:r>
              <w:rPr>
                <w:noProof/>
                <w:webHidden/>
              </w:rPr>
              <w:t>619</w:t>
            </w:r>
            <w:r>
              <w:rPr>
                <w:noProof/>
                <w:webHidden/>
              </w:rPr>
              <w:fldChar w:fldCharType="end"/>
            </w:r>
          </w:hyperlink>
        </w:p>
        <w:p w14:paraId="277989D7" w14:textId="7B6FA8F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25" w:history="1">
            <w:r w:rsidRPr="00F45DCA">
              <w:rPr>
                <w:rStyle w:val="Lienhypertexte"/>
                <w:noProof/>
              </w:rPr>
              <w:t>22.21.2 Structures en béton apparent (esthétique) coulé en place CCTB 01.04</w:t>
            </w:r>
            <w:r>
              <w:rPr>
                <w:noProof/>
                <w:webHidden/>
              </w:rPr>
              <w:tab/>
            </w:r>
            <w:r>
              <w:rPr>
                <w:noProof/>
                <w:webHidden/>
              </w:rPr>
              <w:fldChar w:fldCharType="begin"/>
            </w:r>
            <w:r>
              <w:rPr>
                <w:noProof/>
                <w:webHidden/>
              </w:rPr>
              <w:instrText xml:space="preserve"> PAGEREF _Toc220495825 \h </w:instrText>
            </w:r>
            <w:r>
              <w:rPr>
                <w:noProof/>
                <w:webHidden/>
              </w:rPr>
            </w:r>
            <w:r>
              <w:rPr>
                <w:noProof/>
                <w:webHidden/>
              </w:rPr>
              <w:fldChar w:fldCharType="separate"/>
            </w:r>
            <w:r>
              <w:rPr>
                <w:noProof/>
                <w:webHidden/>
              </w:rPr>
              <w:t>619</w:t>
            </w:r>
            <w:r>
              <w:rPr>
                <w:noProof/>
                <w:webHidden/>
              </w:rPr>
              <w:fldChar w:fldCharType="end"/>
            </w:r>
          </w:hyperlink>
        </w:p>
        <w:p w14:paraId="7CA9BC31" w14:textId="12C9DA5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26" w:history="1">
            <w:r w:rsidRPr="00F45DCA">
              <w:rPr>
                <w:rStyle w:val="Lienhypertexte"/>
                <w:noProof/>
              </w:rPr>
              <w:t>22.21.2a Structures en béton apparent (esthétique) coulé en place CCTB 01.04</w:t>
            </w:r>
            <w:r>
              <w:rPr>
                <w:noProof/>
                <w:webHidden/>
              </w:rPr>
              <w:tab/>
            </w:r>
            <w:r>
              <w:rPr>
                <w:noProof/>
                <w:webHidden/>
              </w:rPr>
              <w:fldChar w:fldCharType="begin"/>
            </w:r>
            <w:r>
              <w:rPr>
                <w:noProof/>
                <w:webHidden/>
              </w:rPr>
              <w:instrText xml:space="preserve"> PAGEREF _Toc220495826 \h </w:instrText>
            </w:r>
            <w:r>
              <w:rPr>
                <w:noProof/>
                <w:webHidden/>
              </w:rPr>
            </w:r>
            <w:r>
              <w:rPr>
                <w:noProof/>
                <w:webHidden/>
              </w:rPr>
              <w:fldChar w:fldCharType="separate"/>
            </w:r>
            <w:r>
              <w:rPr>
                <w:noProof/>
                <w:webHidden/>
              </w:rPr>
              <w:t>619</w:t>
            </w:r>
            <w:r>
              <w:rPr>
                <w:noProof/>
                <w:webHidden/>
              </w:rPr>
              <w:fldChar w:fldCharType="end"/>
            </w:r>
          </w:hyperlink>
        </w:p>
        <w:p w14:paraId="16A5A1C2" w14:textId="3C2BF3F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27" w:history="1">
            <w:r w:rsidRPr="00F45DCA">
              <w:rPr>
                <w:rStyle w:val="Lienhypertexte"/>
                <w:noProof/>
              </w:rPr>
              <w:t>22.21.2b Portiques en béton apparent (esthétique) coulé en place CCTB 01.04</w:t>
            </w:r>
            <w:r>
              <w:rPr>
                <w:noProof/>
                <w:webHidden/>
              </w:rPr>
              <w:tab/>
            </w:r>
            <w:r>
              <w:rPr>
                <w:noProof/>
                <w:webHidden/>
              </w:rPr>
              <w:fldChar w:fldCharType="begin"/>
            </w:r>
            <w:r>
              <w:rPr>
                <w:noProof/>
                <w:webHidden/>
              </w:rPr>
              <w:instrText xml:space="preserve"> PAGEREF _Toc220495827 \h </w:instrText>
            </w:r>
            <w:r>
              <w:rPr>
                <w:noProof/>
                <w:webHidden/>
              </w:rPr>
            </w:r>
            <w:r>
              <w:rPr>
                <w:noProof/>
                <w:webHidden/>
              </w:rPr>
              <w:fldChar w:fldCharType="separate"/>
            </w:r>
            <w:r>
              <w:rPr>
                <w:noProof/>
                <w:webHidden/>
              </w:rPr>
              <w:t>619</w:t>
            </w:r>
            <w:r>
              <w:rPr>
                <w:noProof/>
                <w:webHidden/>
              </w:rPr>
              <w:fldChar w:fldCharType="end"/>
            </w:r>
          </w:hyperlink>
        </w:p>
        <w:p w14:paraId="6B3B4FFD" w14:textId="64F8F88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28" w:history="1">
            <w:r w:rsidRPr="00F45DCA">
              <w:rPr>
                <w:rStyle w:val="Lienhypertexte"/>
                <w:noProof/>
              </w:rPr>
              <w:t>22.21.2c Arcs en béton apparent (esthétique) coulé en place CCTB 01.04</w:t>
            </w:r>
            <w:r>
              <w:rPr>
                <w:noProof/>
                <w:webHidden/>
              </w:rPr>
              <w:tab/>
            </w:r>
            <w:r>
              <w:rPr>
                <w:noProof/>
                <w:webHidden/>
              </w:rPr>
              <w:fldChar w:fldCharType="begin"/>
            </w:r>
            <w:r>
              <w:rPr>
                <w:noProof/>
                <w:webHidden/>
              </w:rPr>
              <w:instrText xml:space="preserve"> PAGEREF _Toc220495828 \h </w:instrText>
            </w:r>
            <w:r>
              <w:rPr>
                <w:noProof/>
                <w:webHidden/>
              </w:rPr>
            </w:r>
            <w:r>
              <w:rPr>
                <w:noProof/>
                <w:webHidden/>
              </w:rPr>
              <w:fldChar w:fldCharType="separate"/>
            </w:r>
            <w:r>
              <w:rPr>
                <w:noProof/>
                <w:webHidden/>
              </w:rPr>
              <w:t>619</w:t>
            </w:r>
            <w:r>
              <w:rPr>
                <w:noProof/>
                <w:webHidden/>
              </w:rPr>
              <w:fldChar w:fldCharType="end"/>
            </w:r>
          </w:hyperlink>
        </w:p>
        <w:p w14:paraId="5D7885CF" w14:textId="12ABBAB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29" w:history="1">
            <w:r w:rsidRPr="00F45DCA">
              <w:rPr>
                <w:rStyle w:val="Lienhypertexte"/>
                <w:noProof/>
              </w:rPr>
              <w:t>22.21.2d Potences en béton apparent (esthétique) coulé en place CCTB 01.04</w:t>
            </w:r>
            <w:r>
              <w:rPr>
                <w:noProof/>
                <w:webHidden/>
              </w:rPr>
              <w:tab/>
            </w:r>
            <w:r>
              <w:rPr>
                <w:noProof/>
                <w:webHidden/>
              </w:rPr>
              <w:fldChar w:fldCharType="begin"/>
            </w:r>
            <w:r>
              <w:rPr>
                <w:noProof/>
                <w:webHidden/>
              </w:rPr>
              <w:instrText xml:space="preserve"> PAGEREF _Toc220495829 \h </w:instrText>
            </w:r>
            <w:r>
              <w:rPr>
                <w:noProof/>
                <w:webHidden/>
              </w:rPr>
            </w:r>
            <w:r>
              <w:rPr>
                <w:noProof/>
                <w:webHidden/>
              </w:rPr>
              <w:fldChar w:fldCharType="separate"/>
            </w:r>
            <w:r>
              <w:rPr>
                <w:noProof/>
                <w:webHidden/>
              </w:rPr>
              <w:t>619</w:t>
            </w:r>
            <w:r>
              <w:rPr>
                <w:noProof/>
                <w:webHidden/>
              </w:rPr>
              <w:fldChar w:fldCharType="end"/>
            </w:r>
          </w:hyperlink>
        </w:p>
        <w:p w14:paraId="73B23B6D" w14:textId="231BA5F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30" w:history="1">
            <w:r w:rsidRPr="00F45DCA">
              <w:rPr>
                <w:rStyle w:val="Lienhypertexte"/>
                <w:noProof/>
              </w:rPr>
              <w:t>22.21.3 Structures préfabriquées en béton CCTB 01.04</w:t>
            </w:r>
            <w:r>
              <w:rPr>
                <w:noProof/>
                <w:webHidden/>
              </w:rPr>
              <w:tab/>
            </w:r>
            <w:r>
              <w:rPr>
                <w:noProof/>
                <w:webHidden/>
              </w:rPr>
              <w:fldChar w:fldCharType="begin"/>
            </w:r>
            <w:r>
              <w:rPr>
                <w:noProof/>
                <w:webHidden/>
              </w:rPr>
              <w:instrText xml:space="preserve"> PAGEREF _Toc220495830 \h </w:instrText>
            </w:r>
            <w:r>
              <w:rPr>
                <w:noProof/>
                <w:webHidden/>
              </w:rPr>
            </w:r>
            <w:r>
              <w:rPr>
                <w:noProof/>
                <w:webHidden/>
              </w:rPr>
              <w:fldChar w:fldCharType="separate"/>
            </w:r>
            <w:r>
              <w:rPr>
                <w:noProof/>
                <w:webHidden/>
              </w:rPr>
              <w:t>619</w:t>
            </w:r>
            <w:r>
              <w:rPr>
                <w:noProof/>
                <w:webHidden/>
              </w:rPr>
              <w:fldChar w:fldCharType="end"/>
            </w:r>
          </w:hyperlink>
        </w:p>
        <w:p w14:paraId="179EADA6" w14:textId="0055A3D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31" w:history="1">
            <w:r w:rsidRPr="00F45DCA">
              <w:rPr>
                <w:rStyle w:val="Lienhypertexte"/>
                <w:noProof/>
              </w:rPr>
              <w:t>22.21.3a Structures préfabriquées en béton CCTB 01.04</w:t>
            </w:r>
            <w:r>
              <w:rPr>
                <w:noProof/>
                <w:webHidden/>
              </w:rPr>
              <w:tab/>
            </w:r>
            <w:r>
              <w:rPr>
                <w:noProof/>
                <w:webHidden/>
              </w:rPr>
              <w:fldChar w:fldCharType="begin"/>
            </w:r>
            <w:r>
              <w:rPr>
                <w:noProof/>
                <w:webHidden/>
              </w:rPr>
              <w:instrText xml:space="preserve"> PAGEREF _Toc220495831 \h </w:instrText>
            </w:r>
            <w:r>
              <w:rPr>
                <w:noProof/>
                <w:webHidden/>
              </w:rPr>
            </w:r>
            <w:r>
              <w:rPr>
                <w:noProof/>
                <w:webHidden/>
              </w:rPr>
              <w:fldChar w:fldCharType="separate"/>
            </w:r>
            <w:r>
              <w:rPr>
                <w:noProof/>
                <w:webHidden/>
              </w:rPr>
              <w:t>619</w:t>
            </w:r>
            <w:r>
              <w:rPr>
                <w:noProof/>
                <w:webHidden/>
              </w:rPr>
              <w:fldChar w:fldCharType="end"/>
            </w:r>
          </w:hyperlink>
        </w:p>
        <w:p w14:paraId="3D788642" w14:textId="4015725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32" w:history="1">
            <w:r w:rsidRPr="00F45DCA">
              <w:rPr>
                <w:rStyle w:val="Lienhypertexte"/>
                <w:noProof/>
              </w:rPr>
              <w:t>22.21.3b Portiques préfabriqués en béton CCTB 01.04</w:t>
            </w:r>
            <w:r>
              <w:rPr>
                <w:noProof/>
                <w:webHidden/>
              </w:rPr>
              <w:tab/>
            </w:r>
            <w:r>
              <w:rPr>
                <w:noProof/>
                <w:webHidden/>
              </w:rPr>
              <w:fldChar w:fldCharType="begin"/>
            </w:r>
            <w:r>
              <w:rPr>
                <w:noProof/>
                <w:webHidden/>
              </w:rPr>
              <w:instrText xml:space="preserve"> PAGEREF _Toc220495832 \h </w:instrText>
            </w:r>
            <w:r>
              <w:rPr>
                <w:noProof/>
                <w:webHidden/>
              </w:rPr>
            </w:r>
            <w:r>
              <w:rPr>
                <w:noProof/>
                <w:webHidden/>
              </w:rPr>
              <w:fldChar w:fldCharType="separate"/>
            </w:r>
            <w:r>
              <w:rPr>
                <w:noProof/>
                <w:webHidden/>
              </w:rPr>
              <w:t>619</w:t>
            </w:r>
            <w:r>
              <w:rPr>
                <w:noProof/>
                <w:webHidden/>
              </w:rPr>
              <w:fldChar w:fldCharType="end"/>
            </w:r>
          </w:hyperlink>
        </w:p>
        <w:p w14:paraId="53C35A5B" w14:textId="1190CCC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33" w:history="1">
            <w:r w:rsidRPr="00F45DCA">
              <w:rPr>
                <w:rStyle w:val="Lienhypertexte"/>
                <w:noProof/>
              </w:rPr>
              <w:t>22.21.3c Arcs préfabriqués en béton CCTB 01.04</w:t>
            </w:r>
            <w:r>
              <w:rPr>
                <w:noProof/>
                <w:webHidden/>
              </w:rPr>
              <w:tab/>
            </w:r>
            <w:r>
              <w:rPr>
                <w:noProof/>
                <w:webHidden/>
              </w:rPr>
              <w:fldChar w:fldCharType="begin"/>
            </w:r>
            <w:r>
              <w:rPr>
                <w:noProof/>
                <w:webHidden/>
              </w:rPr>
              <w:instrText xml:space="preserve"> PAGEREF _Toc220495833 \h </w:instrText>
            </w:r>
            <w:r>
              <w:rPr>
                <w:noProof/>
                <w:webHidden/>
              </w:rPr>
            </w:r>
            <w:r>
              <w:rPr>
                <w:noProof/>
                <w:webHidden/>
              </w:rPr>
              <w:fldChar w:fldCharType="separate"/>
            </w:r>
            <w:r>
              <w:rPr>
                <w:noProof/>
                <w:webHidden/>
              </w:rPr>
              <w:t>619</w:t>
            </w:r>
            <w:r>
              <w:rPr>
                <w:noProof/>
                <w:webHidden/>
              </w:rPr>
              <w:fldChar w:fldCharType="end"/>
            </w:r>
          </w:hyperlink>
        </w:p>
        <w:p w14:paraId="086E40BC" w14:textId="25CDBA2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34" w:history="1">
            <w:r w:rsidRPr="00F45DCA">
              <w:rPr>
                <w:rStyle w:val="Lienhypertexte"/>
                <w:noProof/>
              </w:rPr>
              <w:t>22.21.3d Potences préfabriquées en béton CCTB 01.04</w:t>
            </w:r>
            <w:r>
              <w:rPr>
                <w:noProof/>
                <w:webHidden/>
              </w:rPr>
              <w:tab/>
            </w:r>
            <w:r>
              <w:rPr>
                <w:noProof/>
                <w:webHidden/>
              </w:rPr>
              <w:fldChar w:fldCharType="begin"/>
            </w:r>
            <w:r>
              <w:rPr>
                <w:noProof/>
                <w:webHidden/>
              </w:rPr>
              <w:instrText xml:space="preserve"> PAGEREF _Toc220495834 \h </w:instrText>
            </w:r>
            <w:r>
              <w:rPr>
                <w:noProof/>
                <w:webHidden/>
              </w:rPr>
            </w:r>
            <w:r>
              <w:rPr>
                <w:noProof/>
                <w:webHidden/>
              </w:rPr>
              <w:fldChar w:fldCharType="separate"/>
            </w:r>
            <w:r>
              <w:rPr>
                <w:noProof/>
                <w:webHidden/>
              </w:rPr>
              <w:t>619</w:t>
            </w:r>
            <w:r>
              <w:rPr>
                <w:noProof/>
                <w:webHidden/>
              </w:rPr>
              <w:fldChar w:fldCharType="end"/>
            </w:r>
          </w:hyperlink>
        </w:p>
        <w:p w14:paraId="08B62073" w14:textId="064C2C6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35" w:history="1">
            <w:r w:rsidRPr="00F45DCA">
              <w:rPr>
                <w:rStyle w:val="Lienhypertexte"/>
                <w:noProof/>
              </w:rPr>
              <w:t>22.21.4 Structures préfabriquées en béton architectonique CCTB 01.04</w:t>
            </w:r>
            <w:r>
              <w:rPr>
                <w:noProof/>
                <w:webHidden/>
              </w:rPr>
              <w:tab/>
            </w:r>
            <w:r>
              <w:rPr>
                <w:noProof/>
                <w:webHidden/>
              </w:rPr>
              <w:fldChar w:fldCharType="begin"/>
            </w:r>
            <w:r>
              <w:rPr>
                <w:noProof/>
                <w:webHidden/>
              </w:rPr>
              <w:instrText xml:space="preserve"> PAGEREF _Toc220495835 \h </w:instrText>
            </w:r>
            <w:r>
              <w:rPr>
                <w:noProof/>
                <w:webHidden/>
              </w:rPr>
            </w:r>
            <w:r>
              <w:rPr>
                <w:noProof/>
                <w:webHidden/>
              </w:rPr>
              <w:fldChar w:fldCharType="separate"/>
            </w:r>
            <w:r>
              <w:rPr>
                <w:noProof/>
                <w:webHidden/>
              </w:rPr>
              <w:t>619</w:t>
            </w:r>
            <w:r>
              <w:rPr>
                <w:noProof/>
                <w:webHidden/>
              </w:rPr>
              <w:fldChar w:fldCharType="end"/>
            </w:r>
          </w:hyperlink>
        </w:p>
        <w:p w14:paraId="4E079F70" w14:textId="339312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36" w:history="1">
            <w:r w:rsidRPr="00F45DCA">
              <w:rPr>
                <w:rStyle w:val="Lienhypertexte"/>
                <w:noProof/>
              </w:rPr>
              <w:t>22.21.4a Structures préfabriquées en béton décoratif / architectonique CCTB 01.04</w:t>
            </w:r>
            <w:r>
              <w:rPr>
                <w:noProof/>
                <w:webHidden/>
              </w:rPr>
              <w:tab/>
            </w:r>
            <w:r>
              <w:rPr>
                <w:noProof/>
                <w:webHidden/>
              </w:rPr>
              <w:fldChar w:fldCharType="begin"/>
            </w:r>
            <w:r>
              <w:rPr>
                <w:noProof/>
                <w:webHidden/>
              </w:rPr>
              <w:instrText xml:space="preserve"> PAGEREF _Toc220495836 \h </w:instrText>
            </w:r>
            <w:r>
              <w:rPr>
                <w:noProof/>
                <w:webHidden/>
              </w:rPr>
            </w:r>
            <w:r>
              <w:rPr>
                <w:noProof/>
                <w:webHidden/>
              </w:rPr>
              <w:fldChar w:fldCharType="separate"/>
            </w:r>
            <w:r>
              <w:rPr>
                <w:noProof/>
                <w:webHidden/>
              </w:rPr>
              <w:t>619</w:t>
            </w:r>
            <w:r>
              <w:rPr>
                <w:noProof/>
                <w:webHidden/>
              </w:rPr>
              <w:fldChar w:fldCharType="end"/>
            </w:r>
          </w:hyperlink>
        </w:p>
        <w:p w14:paraId="157C665B" w14:textId="4BF17BF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37" w:history="1">
            <w:r w:rsidRPr="00F45DCA">
              <w:rPr>
                <w:rStyle w:val="Lienhypertexte"/>
                <w:noProof/>
              </w:rPr>
              <w:t>22.21.4b Portiques préfabriqués en béton décoratif / architectonique CCTB 01.04</w:t>
            </w:r>
            <w:r>
              <w:rPr>
                <w:noProof/>
                <w:webHidden/>
              </w:rPr>
              <w:tab/>
            </w:r>
            <w:r>
              <w:rPr>
                <w:noProof/>
                <w:webHidden/>
              </w:rPr>
              <w:fldChar w:fldCharType="begin"/>
            </w:r>
            <w:r>
              <w:rPr>
                <w:noProof/>
                <w:webHidden/>
              </w:rPr>
              <w:instrText xml:space="preserve"> PAGEREF _Toc220495837 \h </w:instrText>
            </w:r>
            <w:r>
              <w:rPr>
                <w:noProof/>
                <w:webHidden/>
              </w:rPr>
            </w:r>
            <w:r>
              <w:rPr>
                <w:noProof/>
                <w:webHidden/>
              </w:rPr>
              <w:fldChar w:fldCharType="separate"/>
            </w:r>
            <w:r>
              <w:rPr>
                <w:noProof/>
                <w:webHidden/>
              </w:rPr>
              <w:t>619</w:t>
            </w:r>
            <w:r>
              <w:rPr>
                <w:noProof/>
                <w:webHidden/>
              </w:rPr>
              <w:fldChar w:fldCharType="end"/>
            </w:r>
          </w:hyperlink>
        </w:p>
        <w:p w14:paraId="606F5C4A" w14:textId="1D1B3D1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38" w:history="1">
            <w:r w:rsidRPr="00F45DCA">
              <w:rPr>
                <w:rStyle w:val="Lienhypertexte"/>
                <w:noProof/>
              </w:rPr>
              <w:t>22.21.4c Arcs préfabriqués en béton décoratif / architectonique CCTB 01.04</w:t>
            </w:r>
            <w:r>
              <w:rPr>
                <w:noProof/>
                <w:webHidden/>
              </w:rPr>
              <w:tab/>
            </w:r>
            <w:r>
              <w:rPr>
                <w:noProof/>
                <w:webHidden/>
              </w:rPr>
              <w:fldChar w:fldCharType="begin"/>
            </w:r>
            <w:r>
              <w:rPr>
                <w:noProof/>
                <w:webHidden/>
              </w:rPr>
              <w:instrText xml:space="preserve"> PAGEREF _Toc220495838 \h </w:instrText>
            </w:r>
            <w:r>
              <w:rPr>
                <w:noProof/>
                <w:webHidden/>
              </w:rPr>
            </w:r>
            <w:r>
              <w:rPr>
                <w:noProof/>
                <w:webHidden/>
              </w:rPr>
              <w:fldChar w:fldCharType="separate"/>
            </w:r>
            <w:r>
              <w:rPr>
                <w:noProof/>
                <w:webHidden/>
              </w:rPr>
              <w:t>619</w:t>
            </w:r>
            <w:r>
              <w:rPr>
                <w:noProof/>
                <w:webHidden/>
              </w:rPr>
              <w:fldChar w:fldCharType="end"/>
            </w:r>
          </w:hyperlink>
        </w:p>
        <w:p w14:paraId="2B347BAB" w14:textId="54E1CEC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39" w:history="1">
            <w:r w:rsidRPr="00F45DCA">
              <w:rPr>
                <w:rStyle w:val="Lienhypertexte"/>
                <w:noProof/>
              </w:rPr>
              <w:t>22.21.4d Potences préfabriquées en béton décoratif / architectonique CCTB 01.04</w:t>
            </w:r>
            <w:r>
              <w:rPr>
                <w:noProof/>
                <w:webHidden/>
              </w:rPr>
              <w:tab/>
            </w:r>
            <w:r>
              <w:rPr>
                <w:noProof/>
                <w:webHidden/>
              </w:rPr>
              <w:fldChar w:fldCharType="begin"/>
            </w:r>
            <w:r>
              <w:rPr>
                <w:noProof/>
                <w:webHidden/>
              </w:rPr>
              <w:instrText xml:space="preserve"> PAGEREF _Toc220495839 \h </w:instrText>
            </w:r>
            <w:r>
              <w:rPr>
                <w:noProof/>
                <w:webHidden/>
              </w:rPr>
            </w:r>
            <w:r>
              <w:rPr>
                <w:noProof/>
                <w:webHidden/>
              </w:rPr>
              <w:fldChar w:fldCharType="separate"/>
            </w:r>
            <w:r>
              <w:rPr>
                <w:noProof/>
                <w:webHidden/>
              </w:rPr>
              <w:t>619</w:t>
            </w:r>
            <w:r>
              <w:rPr>
                <w:noProof/>
                <w:webHidden/>
              </w:rPr>
              <w:fldChar w:fldCharType="end"/>
            </w:r>
          </w:hyperlink>
        </w:p>
        <w:p w14:paraId="17792178" w14:textId="4BC898D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40" w:history="1">
            <w:r w:rsidRPr="00F45DCA">
              <w:rPr>
                <w:rStyle w:val="Lienhypertexte"/>
                <w:noProof/>
              </w:rPr>
              <w:t>22.21.5 Structures mixtes acier-béton CCTB 01.04</w:t>
            </w:r>
            <w:r>
              <w:rPr>
                <w:noProof/>
                <w:webHidden/>
              </w:rPr>
              <w:tab/>
            </w:r>
            <w:r>
              <w:rPr>
                <w:noProof/>
                <w:webHidden/>
              </w:rPr>
              <w:fldChar w:fldCharType="begin"/>
            </w:r>
            <w:r>
              <w:rPr>
                <w:noProof/>
                <w:webHidden/>
              </w:rPr>
              <w:instrText xml:space="preserve"> PAGEREF _Toc220495840 \h </w:instrText>
            </w:r>
            <w:r>
              <w:rPr>
                <w:noProof/>
                <w:webHidden/>
              </w:rPr>
            </w:r>
            <w:r>
              <w:rPr>
                <w:noProof/>
                <w:webHidden/>
              </w:rPr>
              <w:fldChar w:fldCharType="separate"/>
            </w:r>
            <w:r>
              <w:rPr>
                <w:noProof/>
                <w:webHidden/>
              </w:rPr>
              <w:t>619</w:t>
            </w:r>
            <w:r>
              <w:rPr>
                <w:noProof/>
                <w:webHidden/>
              </w:rPr>
              <w:fldChar w:fldCharType="end"/>
            </w:r>
          </w:hyperlink>
        </w:p>
        <w:p w14:paraId="1D05C3F9" w14:textId="10005AC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41" w:history="1">
            <w:r w:rsidRPr="00F45DCA">
              <w:rPr>
                <w:rStyle w:val="Lienhypertexte"/>
                <w:noProof/>
              </w:rPr>
              <w:t>22.21.5a Structures mixtes acier-béton CCTB 01.04</w:t>
            </w:r>
            <w:r>
              <w:rPr>
                <w:noProof/>
                <w:webHidden/>
              </w:rPr>
              <w:tab/>
            </w:r>
            <w:r>
              <w:rPr>
                <w:noProof/>
                <w:webHidden/>
              </w:rPr>
              <w:fldChar w:fldCharType="begin"/>
            </w:r>
            <w:r>
              <w:rPr>
                <w:noProof/>
                <w:webHidden/>
              </w:rPr>
              <w:instrText xml:space="preserve"> PAGEREF _Toc220495841 \h </w:instrText>
            </w:r>
            <w:r>
              <w:rPr>
                <w:noProof/>
                <w:webHidden/>
              </w:rPr>
            </w:r>
            <w:r>
              <w:rPr>
                <w:noProof/>
                <w:webHidden/>
              </w:rPr>
              <w:fldChar w:fldCharType="separate"/>
            </w:r>
            <w:r>
              <w:rPr>
                <w:noProof/>
                <w:webHidden/>
              </w:rPr>
              <w:t>619</w:t>
            </w:r>
            <w:r>
              <w:rPr>
                <w:noProof/>
                <w:webHidden/>
              </w:rPr>
              <w:fldChar w:fldCharType="end"/>
            </w:r>
          </w:hyperlink>
        </w:p>
        <w:p w14:paraId="013BF6F6" w14:textId="645E074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42" w:history="1">
            <w:r w:rsidRPr="00F45DCA">
              <w:rPr>
                <w:rStyle w:val="Lienhypertexte"/>
                <w:noProof/>
              </w:rPr>
              <w:t>22.21.5b Portiques mixtes acier-béton CCTB 01.04</w:t>
            </w:r>
            <w:r>
              <w:rPr>
                <w:noProof/>
                <w:webHidden/>
              </w:rPr>
              <w:tab/>
            </w:r>
            <w:r>
              <w:rPr>
                <w:noProof/>
                <w:webHidden/>
              </w:rPr>
              <w:fldChar w:fldCharType="begin"/>
            </w:r>
            <w:r>
              <w:rPr>
                <w:noProof/>
                <w:webHidden/>
              </w:rPr>
              <w:instrText xml:space="preserve"> PAGEREF _Toc220495842 \h </w:instrText>
            </w:r>
            <w:r>
              <w:rPr>
                <w:noProof/>
                <w:webHidden/>
              </w:rPr>
            </w:r>
            <w:r>
              <w:rPr>
                <w:noProof/>
                <w:webHidden/>
              </w:rPr>
              <w:fldChar w:fldCharType="separate"/>
            </w:r>
            <w:r>
              <w:rPr>
                <w:noProof/>
                <w:webHidden/>
              </w:rPr>
              <w:t>619</w:t>
            </w:r>
            <w:r>
              <w:rPr>
                <w:noProof/>
                <w:webHidden/>
              </w:rPr>
              <w:fldChar w:fldCharType="end"/>
            </w:r>
          </w:hyperlink>
        </w:p>
        <w:p w14:paraId="747DE420" w14:textId="60C705B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43" w:history="1">
            <w:r w:rsidRPr="00F45DCA">
              <w:rPr>
                <w:rStyle w:val="Lienhypertexte"/>
                <w:noProof/>
              </w:rPr>
              <w:t>22.21.5c Arcs mixtes acier-béton CCTB 01.04</w:t>
            </w:r>
            <w:r>
              <w:rPr>
                <w:noProof/>
                <w:webHidden/>
              </w:rPr>
              <w:tab/>
            </w:r>
            <w:r>
              <w:rPr>
                <w:noProof/>
                <w:webHidden/>
              </w:rPr>
              <w:fldChar w:fldCharType="begin"/>
            </w:r>
            <w:r>
              <w:rPr>
                <w:noProof/>
                <w:webHidden/>
              </w:rPr>
              <w:instrText xml:space="preserve"> PAGEREF _Toc220495843 \h </w:instrText>
            </w:r>
            <w:r>
              <w:rPr>
                <w:noProof/>
                <w:webHidden/>
              </w:rPr>
            </w:r>
            <w:r>
              <w:rPr>
                <w:noProof/>
                <w:webHidden/>
              </w:rPr>
              <w:fldChar w:fldCharType="separate"/>
            </w:r>
            <w:r>
              <w:rPr>
                <w:noProof/>
                <w:webHidden/>
              </w:rPr>
              <w:t>619</w:t>
            </w:r>
            <w:r>
              <w:rPr>
                <w:noProof/>
                <w:webHidden/>
              </w:rPr>
              <w:fldChar w:fldCharType="end"/>
            </w:r>
          </w:hyperlink>
        </w:p>
        <w:p w14:paraId="1CA598A3" w14:textId="7DF76EA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44" w:history="1">
            <w:r w:rsidRPr="00F45DCA">
              <w:rPr>
                <w:rStyle w:val="Lienhypertexte"/>
                <w:noProof/>
              </w:rPr>
              <w:t>22.21.5d Potences mixtes acier-béton CCTB 01.04</w:t>
            </w:r>
            <w:r>
              <w:rPr>
                <w:noProof/>
                <w:webHidden/>
              </w:rPr>
              <w:tab/>
            </w:r>
            <w:r>
              <w:rPr>
                <w:noProof/>
                <w:webHidden/>
              </w:rPr>
              <w:fldChar w:fldCharType="begin"/>
            </w:r>
            <w:r>
              <w:rPr>
                <w:noProof/>
                <w:webHidden/>
              </w:rPr>
              <w:instrText xml:space="preserve"> PAGEREF _Toc220495844 \h </w:instrText>
            </w:r>
            <w:r>
              <w:rPr>
                <w:noProof/>
                <w:webHidden/>
              </w:rPr>
            </w:r>
            <w:r>
              <w:rPr>
                <w:noProof/>
                <w:webHidden/>
              </w:rPr>
              <w:fldChar w:fldCharType="separate"/>
            </w:r>
            <w:r>
              <w:rPr>
                <w:noProof/>
                <w:webHidden/>
              </w:rPr>
              <w:t>619</w:t>
            </w:r>
            <w:r>
              <w:rPr>
                <w:noProof/>
                <w:webHidden/>
              </w:rPr>
              <w:fldChar w:fldCharType="end"/>
            </w:r>
          </w:hyperlink>
        </w:p>
        <w:p w14:paraId="17DD71B8" w14:textId="3E5E76CD"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845" w:history="1">
            <w:r w:rsidRPr="00F45DCA">
              <w:rPr>
                <w:rStyle w:val="Lienhypertexte"/>
                <w:noProof/>
              </w:rPr>
              <w:t>22.22 Planchers composites en béton CCTB 01.02</w:t>
            </w:r>
            <w:r>
              <w:rPr>
                <w:noProof/>
                <w:webHidden/>
              </w:rPr>
              <w:tab/>
            </w:r>
            <w:r>
              <w:rPr>
                <w:noProof/>
                <w:webHidden/>
              </w:rPr>
              <w:fldChar w:fldCharType="begin"/>
            </w:r>
            <w:r>
              <w:rPr>
                <w:noProof/>
                <w:webHidden/>
              </w:rPr>
              <w:instrText xml:space="preserve"> PAGEREF _Toc220495845 \h </w:instrText>
            </w:r>
            <w:r>
              <w:rPr>
                <w:noProof/>
                <w:webHidden/>
              </w:rPr>
            </w:r>
            <w:r>
              <w:rPr>
                <w:noProof/>
                <w:webHidden/>
              </w:rPr>
              <w:fldChar w:fldCharType="separate"/>
            </w:r>
            <w:r>
              <w:rPr>
                <w:noProof/>
                <w:webHidden/>
              </w:rPr>
              <w:t>620</w:t>
            </w:r>
            <w:r>
              <w:rPr>
                <w:noProof/>
                <w:webHidden/>
              </w:rPr>
              <w:fldChar w:fldCharType="end"/>
            </w:r>
          </w:hyperlink>
        </w:p>
        <w:p w14:paraId="256064C8" w14:textId="2D8045A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46" w:history="1">
            <w:r w:rsidRPr="00F45DCA">
              <w:rPr>
                <w:rStyle w:val="Lienhypertexte"/>
                <w:noProof/>
              </w:rPr>
              <w:t>22.22.1 Planchers composites en béton préfabriqués CCTB 01.02</w:t>
            </w:r>
            <w:r>
              <w:rPr>
                <w:noProof/>
                <w:webHidden/>
              </w:rPr>
              <w:tab/>
            </w:r>
            <w:r>
              <w:rPr>
                <w:noProof/>
                <w:webHidden/>
              </w:rPr>
              <w:fldChar w:fldCharType="begin"/>
            </w:r>
            <w:r>
              <w:rPr>
                <w:noProof/>
                <w:webHidden/>
              </w:rPr>
              <w:instrText xml:space="preserve"> PAGEREF _Toc220495846 \h </w:instrText>
            </w:r>
            <w:r>
              <w:rPr>
                <w:noProof/>
                <w:webHidden/>
              </w:rPr>
            </w:r>
            <w:r>
              <w:rPr>
                <w:noProof/>
                <w:webHidden/>
              </w:rPr>
              <w:fldChar w:fldCharType="separate"/>
            </w:r>
            <w:r>
              <w:rPr>
                <w:noProof/>
                <w:webHidden/>
              </w:rPr>
              <w:t>620</w:t>
            </w:r>
            <w:r>
              <w:rPr>
                <w:noProof/>
                <w:webHidden/>
              </w:rPr>
              <w:fldChar w:fldCharType="end"/>
            </w:r>
          </w:hyperlink>
        </w:p>
        <w:p w14:paraId="7E070453" w14:textId="0C23A02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47" w:history="1">
            <w:r w:rsidRPr="00F45DCA">
              <w:rPr>
                <w:rStyle w:val="Lienhypertexte"/>
                <w:noProof/>
              </w:rPr>
              <w:t>22.22.1a Planchers à poutrelles en béton et entrevous en béton CCTB 01.12</w:t>
            </w:r>
            <w:r>
              <w:rPr>
                <w:noProof/>
                <w:webHidden/>
              </w:rPr>
              <w:tab/>
            </w:r>
            <w:r>
              <w:rPr>
                <w:noProof/>
                <w:webHidden/>
              </w:rPr>
              <w:fldChar w:fldCharType="begin"/>
            </w:r>
            <w:r>
              <w:rPr>
                <w:noProof/>
                <w:webHidden/>
              </w:rPr>
              <w:instrText xml:space="preserve"> PAGEREF _Toc220495847 \h </w:instrText>
            </w:r>
            <w:r>
              <w:rPr>
                <w:noProof/>
                <w:webHidden/>
              </w:rPr>
            </w:r>
            <w:r>
              <w:rPr>
                <w:noProof/>
                <w:webHidden/>
              </w:rPr>
              <w:fldChar w:fldCharType="separate"/>
            </w:r>
            <w:r>
              <w:rPr>
                <w:noProof/>
                <w:webHidden/>
              </w:rPr>
              <w:t>620</w:t>
            </w:r>
            <w:r>
              <w:rPr>
                <w:noProof/>
                <w:webHidden/>
              </w:rPr>
              <w:fldChar w:fldCharType="end"/>
            </w:r>
          </w:hyperlink>
        </w:p>
        <w:p w14:paraId="6E3DE2C7" w14:textId="4B62043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48" w:history="1">
            <w:r w:rsidRPr="00F45DCA">
              <w:rPr>
                <w:rStyle w:val="Lienhypertexte"/>
                <w:noProof/>
              </w:rPr>
              <w:t>22.22.1b Planchers à poutrelles en béton et entrevous en terre cuite CCTB 01.12</w:t>
            </w:r>
            <w:r>
              <w:rPr>
                <w:noProof/>
                <w:webHidden/>
              </w:rPr>
              <w:tab/>
            </w:r>
            <w:r>
              <w:rPr>
                <w:noProof/>
                <w:webHidden/>
              </w:rPr>
              <w:fldChar w:fldCharType="begin"/>
            </w:r>
            <w:r>
              <w:rPr>
                <w:noProof/>
                <w:webHidden/>
              </w:rPr>
              <w:instrText xml:space="preserve"> PAGEREF _Toc220495848 \h </w:instrText>
            </w:r>
            <w:r>
              <w:rPr>
                <w:noProof/>
                <w:webHidden/>
              </w:rPr>
            </w:r>
            <w:r>
              <w:rPr>
                <w:noProof/>
                <w:webHidden/>
              </w:rPr>
              <w:fldChar w:fldCharType="separate"/>
            </w:r>
            <w:r>
              <w:rPr>
                <w:noProof/>
                <w:webHidden/>
              </w:rPr>
              <w:t>623</w:t>
            </w:r>
            <w:r>
              <w:rPr>
                <w:noProof/>
                <w:webHidden/>
              </w:rPr>
              <w:fldChar w:fldCharType="end"/>
            </w:r>
          </w:hyperlink>
        </w:p>
        <w:p w14:paraId="5731EB98" w14:textId="3033C21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49" w:history="1">
            <w:r w:rsidRPr="00F45DCA">
              <w:rPr>
                <w:rStyle w:val="Lienhypertexte"/>
                <w:noProof/>
              </w:rPr>
              <w:t>22.22.1c Planchers à poutrelles en béton et entrevous en polystyrène CCTB 01.12</w:t>
            </w:r>
            <w:r>
              <w:rPr>
                <w:noProof/>
                <w:webHidden/>
              </w:rPr>
              <w:tab/>
            </w:r>
            <w:r>
              <w:rPr>
                <w:noProof/>
                <w:webHidden/>
              </w:rPr>
              <w:fldChar w:fldCharType="begin"/>
            </w:r>
            <w:r>
              <w:rPr>
                <w:noProof/>
                <w:webHidden/>
              </w:rPr>
              <w:instrText xml:space="preserve"> PAGEREF _Toc220495849 \h </w:instrText>
            </w:r>
            <w:r>
              <w:rPr>
                <w:noProof/>
                <w:webHidden/>
              </w:rPr>
            </w:r>
            <w:r>
              <w:rPr>
                <w:noProof/>
                <w:webHidden/>
              </w:rPr>
              <w:fldChar w:fldCharType="separate"/>
            </w:r>
            <w:r>
              <w:rPr>
                <w:noProof/>
                <w:webHidden/>
              </w:rPr>
              <w:t>625</w:t>
            </w:r>
            <w:r>
              <w:rPr>
                <w:noProof/>
                <w:webHidden/>
              </w:rPr>
              <w:fldChar w:fldCharType="end"/>
            </w:r>
          </w:hyperlink>
        </w:p>
        <w:p w14:paraId="31281770" w14:textId="4C0540A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50" w:history="1">
            <w:r w:rsidRPr="00F45DCA">
              <w:rPr>
                <w:rStyle w:val="Lienhypertexte"/>
                <w:noProof/>
              </w:rPr>
              <w:t>22.22.1d Planchers à poutrelles en béton et entrevous en fibres de bois agglomérées de ciment CCTB 01.04</w:t>
            </w:r>
            <w:r>
              <w:rPr>
                <w:noProof/>
                <w:webHidden/>
              </w:rPr>
              <w:tab/>
            </w:r>
            <w:r>
              <w:rPr>
                <w:noProof/>
                <w:webHidden/>
              </w:rPr>
              <w:fldChar w:fldCharType="begin"/>
            </w:r>
            <w:r>
              <w:rPr>
                <w:noProof/>
                <w:webHidden/>
              </w:rPr>
              <w:instrText xml:space="preserve"> PAGEREF _Toc220495850 \h </w:instrText>
            </w:r>
            <w:r>
              <w:rPr>
                <w:noProof/>
                <w:webHidden/>
              </w:rPr>
            </w:r>
            <w:r>
              <w:rPr>
                <w:noProof/>
                <w:webHidden/>
              </w:rPr>
              <w:fldChar w:fldCharType="separate"/>
            </w:r>
            <w:r>
              <w:rPr>
                <w:noProof/>
                <w:webHidden/>
              </w:rPr>
              <w:t>627</w:t>
            </w:r>
            <w:r>
              <w:rPr>
                <w:noProof/>
                <w:webHidden/>
              </w:rPr>
              <w:fldChar w:fldCharType="end"/>
            </w:r>
          </w:hyperlink>
        </w:p>
        <w:p w14:paraId="6A17E8C5" w14:textId="54F8226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51" w:history="1">
            <w:r w:rsidRPr="00F45DCA">
              <w:rPr>
                <w:rStyle w:val="Lienhypertexte"/>
                <w:noProof/>
              </w:rPr>
              <w:t>22.22.1e Planchers à poutrelles en béton et entrevous en copeaux de bois CCTB 01.04</w:t>
            </w:r>
            <w:r>
              <w:rPr>
                <w:noProof/>
                <w:webHidden/>
              </w:rPr>
              <w:tab/>
            </w:r>
            <w:r>
              <w:rPr>
                <w:noProof/>
                <w:webHidden/>
              </w:rPr>
              <w:fldChar w:fldCharType="begin"/>
            </w:r>
            <w:r>
              <w:rPr>
                <w:noProof/>
                <w:webHidden/>
              </w:rPr>
              <w:instrText xml:space="preserve"> PAGEREF _Toc220495851 \h </w:instrText>
            </w:r>
            <w:r>
              <w:rPr>
                <w:noProof/>
                <w:webHidden/>
              </w:rPr>
            </w:r>
            <w:r>
              <w:rPr>
                <w:noProof/>
                <w:webHidden/>
              </w:rPr>
              <w:fldChar w:fldCharType="separate"/>
            </w:r>
            <w:r>
              <w:rPr>
                <w:noProof/>
                <w:webHidden/>
              </w:rPr>
              <w:t>627</w:t>
            </w:r>
            <w:r>
              <w:rPr>
                <w:noProof/>
                <w:webHidden/>
              </w:rPr>
              <w:fldChar w:fldCharType="end"/>
            </w:r>
          </w:hyperlink>
        </w:p>
        <w:p w14:paraId="3249B98A" w14:textId="00563AD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52" w:history="1">
            <w:r w:rsidRPr="00F45DCA">
              <w:rPr>
                <w:rStyle w:val="Lienhypertexte"/>
                <w:noProof/>
              </w:rPr>
              <w:t>22.22.2 Planchers mixtes en béton CCTB 01.02</w:t>
            </w:r>
            <w:r>
              <w:rPr>
                <w:noProof/>
                <w:webHidden/>
              </w:rPr>
              <w:tab/>
            </w:r>
            <w:r>
              <w:rPr>
                <w:noProof/>
                <w:webHidden/>
              </w:rPr>
              <w:fldChar w:fldCharType="begin"/>
            </w:r>
            <w:r>
              <w:rPr>
                <w:noProof/>
                <w:webHidden/>
              </w:rPr>
              <w:instrText xml:space="preserve"> PAGEREF _Toc220495852 \h </w:instrText>
            </w:r>
            <w:r>
              <w:rPr>
                <w:noProof/>
                <w:webHidden/>
              </w:rPr>
            </w:r>
            <w:r>
              <w:rPr>
                <w:noProof/>
                <w:webHidden/>
              </w:rPr>
              <w:fldChar w:fldCharType="separate"/>
            </w:r>
            <w:r>
              <w:rPr>
                <w:noProof/>
                <w:webHidden/>
              </w:rPr>
              <w:t>627</w:t>
            </w:r>
            <w:r>
              <w:rPr>
                <w:noProof/>
                <w:webHidden/>
              </w:rPr>
              <w:fldChar w:fldCharType="end"/>
            </w:r>
          </w:hyperlink>
        </w:p>
        <w:p w14:paraId="515FB328" w14:textId="57BF501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53" w:history="1">
            <w:r w:rsidRPr="00F45DCA">
              <w:rPr>
                <w:rStyle w:val="Lienhypertexte"/>
                <w:noProof/>
              </w:rPr>
              <w:t>22.22.2a Planchers mixtes en acier-béton avec poutres en acier CCTB 01.13</w:t>
            </w:r>
            <w:r>
              <w:rPr>
                <w:noProof/>
                <w:webHidden/>
              </w:rPr>
              <w:tab/>
            </w:r>
            <w:r>
              <w:rPr>
                <w:noProof/>
                <w:webHidden/>
              </w:rPr>
              <w:fldChar w:fldCharType="begin"/>
            </w:r>
            <w:r>
              <w:rPr>
                <w:noProof/>
                <w:webHidden/>
              </w:rPr>
              <w:instrText xml:space="preserve"> PAGEREF _Toc220495853 \h </w:instrText>
            </w:r>
            <w:r>
              <w:rPr>
                <w:noProof/>
                <w:webHidden/>
              </w:rPr>
            </w:r>
            <w:r>
              <w:rPr>
                <w:noProof/>
                <w:webHidden/>
              </w:rPr>
              <w:fldChar w:fldCharType="separate"/>
            </w:r>
            <w:r>
              <w:rPr>
                <w:noProof/>
                <w:webHidden/>
              </w:rPr>
              <w:t>627</w:t>
            </w:r>
            <w:r>
              <w:rPr>
                <w:noProof/>
                <w:webHidden/>
              </w:rPr>
              <w:fldChar w:fldCharType="end"/>
            </w:r>
          </w:hyperlink>
        </w:p>
        <w:p w14:paraId="5F68DF12" w14:textId="36D100A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54" w:history="1">
            <w:r w:rsidRPr="00F45DCA">
              <w:rPr>
                <w:rStyle w:val="Lienhypertexte"/>
                <w:noProof/>
              </w:rPr>
              <w:t>22.22.2b Planchers mixtes acier-béton avec plaques nervurées en acier CCTB 01.13</w:t>
            </w:r>
            <w:r>
              <w:rPr>
                <w:noProof/>
                <w:webHidden/>
              </w:rPr>
              <w:tab/>
            </w:r>
            <w:r>
              <w:rPr>
                <w:noProof/>
                <w:webHidden/>
              </w:rPr>
              <w:fldChar w:fldCharType="begin"/>
            </w:r>
            <w:r>
              <w:rPr>
                <w:noProof/>
                <w:webHidden/>
              </w:rPr>
              <w:instrText xml:space="preserve"> PAGEREF _Toc220495854 \h </w:instrText>
            </w:r>
            <w:r>
              <w:rPr>
                <w:noProof/>
                <w:webHidden/>
              </w:rPr>
            </w:r>
            <w:r>
              <w:rPr>
                <w:noProof/>
                <w:webHidden/>
              </w:rPr>
              <w:fldChar w:fldCharType="separate"/>
            </w:r>
            <w:r>
              <w:rPr>
                <w:noProof/>
                <w:webHidden/>
              </w:rPr>
              <w:t>632</w:t>
            </w:r>
            <w:r>
              <w:rPr>
                <w:noProof/>
                <w:webHidden/>
              </w:rPr>
              <w:fldChar w:fldCharType="end"/>
            </w:r>
          </w:hyperlink>
        </w:p>
        <w:p w14:paraId="554291B3" w14:textId="5C3EBC1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55" w:history="1">
            <w:r w:rsidRPr="00F45DCA">
              <w:rPr>
                <w:rStyle w:val="Lienhypertexte"/>
                <w:noProof/>
              </w:rPr>
              <w:t>22.22.2c Planchers mixtes bois-béton CCTB 01.04</w:t>
            </w:r>
            <w:r>
              <w:rPr>
                <w:noProof/>
                <w:webHidden/>
              </w:rPr>
              <w:tab/>
            </w:r>
            <w:r>
              <w:rPr>
                <w:noProof/>
                <w:webHidden/>
              </w:rPr>
              <w:fldChar w:fldCharType="begin"/>
            </w:r>
            <w:r>
              <w:rPr>
                <w:noProof/>
                <w:webHidden/>
              </w:rPr>
              <w:instrText xml:space="preserve"> PAGEREF _Toc220495855 \h </w:instrText>
            </w:r>
            <w:r>
              <w:rPr>
                <w:noProof/>
                <w:webHidden/>
              </w:rPr>
            </w:r>
            <w:r>
              <w:rPr>
                <w:noProof/>
                <w:webHidden/>
              </w:rPr>
              <w:fldChar w:fldCharType="separate"/>
            </w:r>
            <w:r>
              <w:rPr>
                <w:noProof/>
                <w:webHidden/>
              </w:rPr>
              <w:t>635</w:t>
            </w:r>
            <w:r>
              <w:rPr>
                <w:noProof/>
                <w:webHidden/>
              </w:rPr>
              <w:fldChar w:fldCharType="end"/>
            </w:r>
          </w:hyperlink>
        </w:p>
        <w:p w14:paraId="75DC69E6" w14:textId="4C89494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856" w:history="1">
            <w:r w:rsidRPr="00F45DCA">
              <w:rPr>
                <w:rStyle w:val="Lienhypertexte"/>
                <w:noProof/>
              </w:rPr>
              <w:t>22.23 Charpentes de toiture en béton CCTB 01.04</w:t>
            </w:r>
            <w:r>
              <w:rPr>
                <w:noProof/>
                <w:webHidden/>
              </w:rPr>
              <w:tab/>
            </w:r>
            <w:r>
              <w:rPr>
                <w:noProof/>
                <w:webHidden/>
              </w:rPr>
              <w:fldChar w:fldCharType="begin"/>
            </w:r>
            <w:r>
              <w:rPr>
                <w:noProof/>
                <w:webHidden/>
              </w:rPr>
              <w:instrText xml:space="preserve"> PAGEREF _Toc220495856 \h </w:instrText>
            </w:r>
            <w:r>
              <w:rPr>
                <w:noProof/>
                <w:webHidden/>
              </w:rPr>
            </w:r>
            <w:r>
              <w:rPr>
                <w:noProof/>
                <w:webHidden/>
              </w:rPr>
              <w:fldChar w:fldCharType="separate"/>
            </w:r>
            <w:r>
              <w:rPr>
                <w:noProof/>
                <w:webHidden/>
              </w:rPr>
              <w:t>635</w:t>
            </w:r>
            <w:r>
              <w:rPr>
                <w:noProof/>
                <w:webHidden/>
              </w:rPr>
              <w:fldChar w:fldCharType="end"/>
            </w:r>
          </w:hyperlink>
        </w:p>
        <w:p w14:paraId="23D78FA6" w14:textId="052854F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57" w:history="1">
            <w:r w:rsidRPr="00F45DCA">
              <w:rPr>
                <w:rStyle w:val="Lienhypertexte"/>
                <w:noProof/>
              </w:rPr>
              <w:t>22.23.1 Charpentes de toiture en béton coulé en place CCTB 01.04</w:t>
            </w:r>
            <w:r>
              <w:rPr>
                <w:noProof/>
                <w:webHidden/>
              </w:rPr>
              <w:tab/>
            </w:r>
            <w:r>
              <w:rPr>
                <w:noProof/>
                <w:webHidden/>
              </w:rPr>
              <w:fldChar w:fldCharType="begin"/>
            </w:r>
            <w:r>
              <w:rPr>
                <w:noProof/>
                <w:webHidden/>
              </w:rPr>
              <w:instrText xml:space="preserve"> PAGEREF _Toc220495857 \h </w:instrText>
            </w:r>
            <w:r>
              <w:rPr>
                <w:noProof/>
                <w:webHidden/>
              </w:rPr>
            </w:r>
            <w:r>
              <w:rPr>
                <w:noProof/>
                <w:webHidden/>
              </w:rPr>
              <w:fldChar w:fldCharType="separate"/>
            </w:r>
            <w:r>
              <w:rPr>
                <w:noProof/>
                <w:webHidden/>
              </w:rPr>
              <w:t>635</w:t>
            </w:r>
            <w:r>
              <w:rPr>
                <w:noProof/>
                <w:webHidden/>
              </w:rPr>
              <w:fldChar w:fldCharType="end"/>
            </w:r>
          </w:hyperlink>
        </w:p>
        <w:p w14:paraId="1FAE86C8" w14:textId="774537A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58" w:history="1">
            <w:r w:rsidRPr="00F45DCA">
              <w:rPr>
                <w:rStyle w:val="Lienhypertexte"/>
                <w:noProof/>
              </w:rPr>
              <w:t>22.23.1a Fermes de toiture en béton coulé en place CCTB 01.04</w:t>
            </w:r>
            <w:r>
              <w:rPr>
                <w:noProof/>
                <w:webHidden/>
              </w:rPr>
              <w:tab/>
            </w:r>
            <w:r>
              <w:rPr>
                <w:noProof/>
                <w:webHidden/>
              </w:rPr>
              <w:fldChar w:fldCharType="begin"/>
            </w:r>
            <w:r>
              <w:rPr>
                <w:noProof/>
                <w:webHidden/>
              </w:rPr>
              <w:instrText xml:space="preserve"> PAGEREF _Toc220495858 \h </w:instrText>
            </w:r>
            <w:r>
              <w:rPr>
                <w:noProof/>
                <w:webHidden/>
              </w:rPr>
            </w:r>
            <w:r>
              <w:rPr>
                <w:noProof/>
                <w:webHidden/>
              </w:rPr>
              <w:fldChar w:fldCharType="separate"/>
            </w:r>
            <w:r>
              <w:rPr>
                <w:noProof/>
                <w:webHidden/>
              </w:rPr>
              <w:t>635</w:t>
            </w:r>
            <w:r>
              <w:rPr>
                <w:noProof/>
                <w:webHidden/>
              </w:rPr>
              <w:fldChar w:fldCharType="end"/>
            </w:r>
          </w:hyperlink>
        </w:p>
        <w:p w14:paraId="05757855" w14:textId="7010186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59" w:history="1">
            <w:r w:rsidRPr="00F45DCA">
              <w:rPr>
                <w:rStyle w:val="Lienhypertexte"/>
                <w:noProof/>
              </w:rPr>
              <w:t>22.23.1b Charpentes de toiture en béton coulé en place CCTB 01.04</w:t>
            </w:r>
            <w:r>
              <w:rPr>
                <w:noProof/>
                <w:webHidden/>
              </w:rPr>
              <w:tab/>
            </w:r>
            <w:r>
              <w:rPr>
                <w:noProof/>
                <w:webHidden/>
              </w:rPr>
              <w:fldChar w:fldCharType="begin"/>
            </w:r>
            <w:r>
              <w:rPr>
                <w:noProof/>
                <w:webHidden/>
              </w:rPr>
              <w:instrText xml:space="preserve"> PAGEREF _Toc220495859 \h </w:instrText>
            </w:r>
            <w:r>
              <w:rPr>
                <w:noProof/>
                <w:webHidden/>
              </w:rPr>
            </w:r>
            <w:r>
              <w:rPr>
                <w:noProof/>
                <w:webHidden/>
              </w:rPr>
              <w:fldChar w:fldCharType="separate"/>
            </w:r>
            <w:r>
              <w:rPr>
                <w:noProof/>
                <w:webHidden/>
              </w:rPr>
              <w:t>636</w:t>
            </w:r>
            <w:r>
              <w:rPr>
                <w:noProof/>
                <w:webHidden/>
              </w:rPr>
              <w:fldChar w:fldCharType="end"/>
            </w:r>
          </w:hyperlink>
        </w:p>
        <w:p w14:paraId="069607E9" w14:textId="1A1931C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60" w:history="1">
            <w:r w:rsidRPr="00F45DCA">
              <w:rPr>
                <w:rStyle w:val="Lienhypertexte"/>
                <w:noProof/>
              </w:rPr>
              <w:t>22.23.2 Charpentes de toiture en béton apparent (esthétique) coulé en place CCTB 01.04</w:t>
            </w:r>
            <w:r>
              <w:rPr>
                <w:noProof/>
                <w:webHidden/>
              </w:rPr>
              <w:tab/>
            </w:r>
            <w:r>
              <w:rPr>
                <w:noProof/>
                <w:webHidden/>
              </w:rPr>
              <w:fldChar w:fldCharType="begin"/>
            </w:r>
            <w:r>
              <w:rPr>
                <w:noProof/>
                <w:webHidden/>
              </w:rPr>
              <w:instrText xml:space="preserve"> PAGEREF _Toc220495860 \h </w:instrText>
            </w:r>
            <w:r>
              <w:rPr>
                <w:noProof/>
                <w:webHidden/>
              </w:rPr>
            </w:r>
            <w:r>
              <w:rPr>
                <w:noProof/>
                <w:webHidden/>
              </w:rPr>
              <w:fldChar w:fldCharType="separate"/>
            </w:r>
            <w:r>
              <w:rPr>
                <w:noProof/>
                <w:webHidden/>
              </w:rPr>
              <w:t>636</w:t>
            </w:r>
            <w:r>
              <w:rPr>
                <w:noProof/>
                <w:webHidden/>
              </w:rPr>
              <w:fldChar w:fldCharType="end"/>
            </w:r>
          </w:hyperlink>
        </w:p>
        <w:p w14:paraId="44BA1D82" w14:textId="5F437A0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61" w:history="1">
            <w:r w:rsidRPr="00F45DCA">
              <w:rPr>
                <w:rStyle w:val="Lienhypertexte"/>
                <w:noProof/>
              </w:rPr>
              <w:t>22.23.2a Fermes de toiture en béton apparent (esthétique) coulé en place CCTB 01.04</w:t>
            </w:r>
            <w:r>
              <w:rPr>
                <w:noProof/>
                <w:webHidden/>
              </w:rPr>
              <w:tab/>
            </w:r>
            <w:r>
              <w:rPr>
                <w:noProof/>
                <w:webHidden/>
              </w:rPr>
              <w:fldChar w:fldCharType="begin"/>
            </w:r>
            <w:r>
              <w:rPr>
                <w:noProof/>
                <w:webHidden/>
              </w:rPr>
              <w:instrText xml:space="preserve"> PAGEREF _Toc220495861 \h </w:instrText>
            </w:r>
            <w:r>
              <w:rPr>
                <w:noProof/>
                <w:webHidden/>
              </w:rPr>
            </w:r>
            <w:r>
              <w:rPr>
                <w:noProof/>
                <w:webHidden/>
              </w:rPr>
              <w:fldChar w:fldCharType="separate"/>
            </w:r>
            <w:r>
              <w:rPr>
                <w:noProof/>
                <w:webHidden/>
              </w:rPr>
              <w:t>636</w:t>
            </w:r>
            <w:r>
              <w:rPr>
                <w:noProof/>
                <w:webHidden/>
              </w:rPr>
              <w:fldChar w:fldCharType="end"/>
            </w:r>
          </w:hyperlink>
        </w:p>
        <w:p w14:paraId="330ACFFB" w14:textId="3C2F0FB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62" w:history="1">
            <w:r w:rsidRPr="00F45DCA">
              <w:rPr>
                <w:rStyle w:val="Lienhypertexte"/>
                <w:noProof/>
              </w:rPr>
              <w:t>22.23.2b Charpentes de toiture en béton apparent (esthétique) coulé en place CCTB 01.04</w:t>
            </w:r>
            <w:r>
              <w:rPr>
                <w:noProof/>
                <w:webHidden/>
              </w:rPr>
              <w:tab/>
            </w:r>
            <w:r>
              <w:rPr>
                <w:noProof/>
                <w:webHidden/>
              </w:rPr>
              <w:fldChar w:fldCharType="begin"/>
            </w:r>
            <w:r>
              <w:rPr>
                <w:noProof/>
                <w:webHidden/>
              </w:rPr>
              <w:instrText xml:space="preserve"> PAGEREF _Toc220495862 \h </w:instrText>
            </w:r>
            <w:r>
              <w:rPr>
                <w:noProof/>
                <w:webHidden/>
              </w:rPr>
            </w:r>
            <w:r>
              <w:rPr>
                <w:noProof/>
                <w:webHidden/>
              </w:rPr>
              <w:fldChar w:fldCharType="separate"/>
            </w:r>
            <w:r>
              <w:rPr>
                <w:noProof/>
                <w:webHidden/>
              </w:rPr>
              <w:t>636</w:t>
            </w:r>
            <w:r>
              <w:rPr>
                <w:noProof/>
                <w:webHidden/>
              </w:rPr>
              <w:fldChar w:fldCharType="end"/>
            </w:r>
          </w:hyperlink>
        </w:p>
        <w:p w14:paraId="40D99C29" w14:textId="054EC81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63" w:history="1">
            <w:r w:rsidRPr="00F45DCA">
              <w:rPr>
                <w:rStyle w:val="Lienhypertexte"/>
                <w:noProof/>
              </w:rPr>
              <w:t>22.23.3 Charpentes de toiture préfabriquées en béton CCTB 01.04</w:t>
            </w:r>
            <w:r>
              <w:rPr>
                <w:noProof/>
                <w:webHidden/>
              </w:rPr>
              <w:tab/>
            </w:r>
            <w:r>
              <w:rPr>
                <w:noProof/>
                <w:webHidden/>
              </w:rPr>
              <w:fldChar w:fldCharType="begin"/>
            </w:r>
            <w:r>
              <w:rPr>
                <w:noProof/>
                <w:webHidden/>
              </w:rPr>
              <w:instrText xml:space="preserve"> PAGEREF _Toc220495863 \h </w:instrText>
            </w:r>
            <w:r>
              <w:rPr>
                <w:noProof/>
                <w:webHidden/>
              </w:rPr>
            </w:r>
            <w:r>
              <w:rPr>
                <w:noProof/>
                <w:webHidden/>
              </w:rPr>
              <w:fldChar w:fldCharType="separate"/>
            </w:r>
            <w:r>
              <w:rPr>
                <w:noProof/>
                <w:webHidden/>
              </w:rPr>
              <w:t>636</w:t>
            </w:r>
            <w:r>
              <w:rPr>
                <w:noProof/>
                <w:webHidden/>
              </w:rPr>
              <w:fldChar w:fldCharType="end"/>
            </w:r>
          </w:hyperlink>
        </w:p>
        <w:p w14:paraId="7748B1C6" w14:textId="58E75F5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64" w:history="1">
            <w:r w:rsidRPr="00F45DCA">
              <w:rPr>
                <w:rStyle w:val="Lienhypertexte"/>
                <w:noProof/>
              </w:rPr>
              <w:t>22.23.3a Fermes de toiture préfabriquées en béton armé CCTB 01.02</w:t>
            </w:r>
            <w:r>
              <w:rPr>
                <w:noProof/>
                <w:webHidden/>
              </w:rPr>
              <w:tab/>
            </w:r>
            <w:r>
              <w:rPr>
                <w:noProof/>
                <w:webHidden/>
              </w:rPr>
              <w:fldChar w:fldCharType="begin"/>
            </w:r>
            <w:r>
              <w:rPr>
                <w:noProof/>
                <w:webHidden/>
              </w:rPr>
              <w:instrText xml:space="preserve"> PAGEREF _Toc220495864 \h </w:instrText>
            </w:r>
            <w:r>
              <w:rPr>
                <w:noProof/>
                <w:webHidden/>
              </w:rPr>
            </w:r>
            <w:r>
              <w:rPr>
                <w:noProof/>
                <w:webHidden/>
              </w:rPr>
              <w:fldChar w:fldCharType="separate"/>
            </w:r>
            <w:r>
              <w:rPr>
                <w:noProof/>
                <w:webHidden/>
              </w:rPr>
              <w:t>636</w:t>
            </w:r>
            <w:r>
              <w:rPr>
                <w:noProof/>
                <w:webHidden/>
              </w:rPr>
              <w:fldChar w:fldCharType="end"/>
            </w:r>
          </w:hyperlink>
        </w:p>
        <w:p w14:paraId="3AD8F3D0" w14:textId="30BDA3B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65" w:history="1">
            <w:r w:rsidRPr="00F45DCA">
              <w:rPr>
                <w:rStyle w:val="Lienhypertexte"/>
                <w:noProof/>
              </w:rPr>
              <w:t>22.23.3b Charpentes de toiture préfabriquées en béton armé CCTB 01.02</w:t>
            </w:r>
            <w:r>
              <w:rPr>
                <w:noProof/>
                <w:webHidden/>
              </w:rPr>
              <w:tab/>
            </w:r>
            <w:r>
              <w:rPr>
                <w:noProof/>
                <w:webHidden/>
              </w:rPr>
              <w:fldChar w:fldCharType="begin"/>
            </w:r>
            <w:r>
              <w:rPr>
                <w:noProof/>
                <w:webHidden/>
              </w:rPr>
              <w:instrText xml:space="preserve"> PAGEREF _Toc220495865 \h </w:instrText>
            </w:r>
            <w:r>
              <w:rPr>
                <w:noProof/>
                <w:webHidden/>
              </w:rPr>
            </w:r>
            <w:r>
              <w:rPr>
                <w:noProof/>
                <w:webHidden/>
              </w:rPr>
              <w:fldChar w:fldCharType="separate"/>
            </w:r>
            <w:r>
              <w:rPr>
                <w:noProof/>
                <w:webHidden/>
              </w:rPr>
              <w:t>636</w:t>
            </w:r>
            <w:r>
              <w:rPr>
                <w:noProof/>
                <w:webHidden/>
              </w:rPr>
              <w:fldChar w:fldCharType="end"/>
            </w:r>
          </w:hyperlink>
        </w:p>
        <w:p w14:paraId="300E4835" w14:textId="4CE6315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66" w:history="1">
            <w:r w:rsidRPr="00F45DCA">
              <w:rPr>
                <w:rStyle w:val="Lienhypertexte"/>
                <w:noProof/>
              </w:rPr>
              <w:t>22.23.4 Charpentes de toiture préfabriquées en béton architectonique CCTB 01.04</w:t>
            </w:r>
            <w:r>
              <w:rPr>
                <w:noProof/>
                <w:webHidden/>
              </w:rPr>
              <w:tab/>
            </w:r>
            <w:r>
              <w:rPr>
                <w:noProof/>
                <w:webHidden/>
              </w:rPr>
              <w:fldChar w:fldCharType="begin"/>
            </w:r>
            <w:r>
              <w:rPr>
                <w:noProof/>
                <w:webHidden/>
              </w:rPr>
              <w:instrText xml:space="preserve"> PAGEREF _Toc220495866 \h </w:instrText>
            </w:r>
            <w:r>
              <w:rPr>
                <w:noProof/>
                <w:webHidden/>
              </w:rPr>
            </w:r>
            <w:r>
              <w:rPr>
                <w:noProof/>
                <w:webHidden/>
              </w:rPr>
              <w:fldChar w:fldCharType="separate"/>
            </w:r>
            <w:r>
              <w:rPr>
                <w:noProof/>
                <w:webHidden/>
              </w:rPr>
              <w:t>636</w:t>
            </w:r>
            <w:r>
              <w:rPr>
                <w:noProof/>
                <w:webHidden/>
              </w:rPr>
              <w:fldChar w:fldCharType="end"/>
            </w:r>
          </w:hyperlink>
        </w:p>
        <w:p w14:paraId="2EF4E455" w14:textId="40E3F37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67" w:history="1">
            <w:r w:rsidRPr="00F45DCA">
              <w:rPr>
                <w:rStyle w:val="Lienhypertexte"/>
                <w:noProof/>
              </w:rPr>
              <w:t>22.23.4a Fermes de toiture préfabriquées en béton décoratif / architectonique CCTB 01.04</w:t>
            </w:r>
            <w:r>
              <w:rPr>
                <w:noProof/>
                <w:webHidden/>
              </w:rPr>
              <w:tab/>
            </w:r>
            <w:r>
              <w:rPr>
                <w:noProof/>
                <w:webHidden/>
              </w:rPr>
              <w:fldChar w:fldCharType="begin"/>
            </w:r>
            <w:r>
              <w:rPr>
                <w:noProof/>
                <w:webHidden/>
              </w:rPr>
              <w:instrText xml:space="preserve"> PAGEREF _Toc220495867 \h </w:instrText>
            </w:r>
            <w:r>
              <w:rPr>
                <w:noProof/>
                <w:webHidden/>
              </w:rPr>
            </w:r>
            <w:r>
              <w:rPr>
                <w:noProof/>
                <w:webHidden/>
              </w:rPr>
              <w:fldChar w:fldCharType="separate"/>
            </w:r>
            <w:r>
              <w:rPr>
                <w:noProof/>
                <w:webHidden/>
              </w:rPr>
              <w:t>636</w:t>
            </w:r>
            <w:r>
              <w:rPr>
                <w:noProof/>
                <w:webHidden/>
              </w:rPr>
              <w:fldChar w:fldCharType="end"/>
            </w:r>
          </w:hyperlink>
        </w:p>
        <w:p w14:paraId="03E86ADF" w14:textId="18A222B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68" w:history="1">
            <w:r w:rsidRPr="00F45DCA">
              <w:rPr>
                <w:rStyle w:val="Lienhypertexte"/>
                <w:noProof/>
              </w:rPr>
              <w:t>22.23.4b Charpentes de toiture préfabriquées en béton décoratif / architectonique CCTB 01.04</w:t>
            </w:r>
            <w:r>
              <w:rPr>
                <w:noProof/>
                <w:webHidden/>
              </w:rPr>
              <w:tab/>
            </w:r>
            <w:r>
              <w:rPr>
                <w:noProof/>
                <w:webHidden/>
              </w:rPr>
              <w:fldChar w:fldCharType="begin"/>
            </w:r>
            <w:r>
              <w:rPr>
                <w:noProof/>
                <w:webHidden/>
              </w:rPr>
              <w:instrText xml:space="preserve"> PAGEREF _Toc220495868 \h </w:instrText>
            </w:r>
            <w:r>
              <w:rPr>
                <w:noProof/>
                <w:webHidden/>
              </w:rPr>
            </w:r>
            <w:r>
              <w:rPr>
                <w:noProof/>
                <w:webHidden/>
              </w:rPr>
              <w:fldChar w:fldCharType="separate"/>
            </w:r>
            <w:r>
              <w:rPr>
                <w:noProof/>
                <w:webHidden/>
              </w:rPr>
              <w:t>636</w:t>
            </w:r>
            <w:r>
              <w:rPr>
                <w:noProof/>
                <w:webHidden/>
              </w:rPr>
              <w:fldChar w:fldCharType="end"/>
            </w:r>
          </w:hyperlink>
        </w:p>
        <w:p w14:paraId="0658A643" w14:textId="3F2E01E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869" w:history="1">
            <w:r w:rsidRPr="00F45DCA">
              <w:rPr>
                <w:rStyle w:val="Lienhypertexte"/>
                <w:noProof/>
              </w:rPr>
              <w:t>22.24 Structures particulières en béton armé CCTB 01.02</w:t>
            </w:r>
            <w:r>
              <w:rPr>
                <w:noProof/>
                <w:webHidden/>
              </w:rPr>
              <w:tab/>
            </w:r>
            <w:r>
              <w:rPr>
                <w:noProof/>
                <w:webHidden/>
              </w:rPr>
              <w:fldChar w:fldCharType="begin"/>
            </w:r>
            <w:r>
              <w:rPr>
                <w:noProof/>
                <w:webHidden/>
              </w:rPr>
              <w:instrText xml:space="preserve"> PAGEREF _Toc220495869 \h </w:instrText>
            </w:r>
            <w:r>
              <w:rPr>
                <w:noProof/>
                <w:webHidden/>
              </w:rPr>
            </w:r>
            <w:r>
              <w:rPr>
                <w:noProof/>
                <w:webHidden/>
              </w:rPr>
              <w:fldChar w:fldCharType="separate"/>
            </w:r>
            <w:r>
              <w:rPr>
                <w:noProof/>
                <w:webHidden/>
              </w:rPr>
              <w:t>636</w:t>
            </w:r>
            <w:r>
              <w:rPr>
                <w:noProof/>
                <w:webHidden/>
              </w:rPr>
              <w:fldChar w:fldCharType="end"/>
            </w:r>
          </w:hyperlink>
        </w:p>
        <w:p w14:paraId="11EF0321" w14:textId="3621AD6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70" w:history="1">
            <w:r w:rsidRPr="00F45DCA">
              <w:rPr>
                <w:rStyle w:val="Lienhypertexte"/>
                <w:noProof/>
              </w:rPr>
              <w:t>22.24.1 Structures tridimensionnelles en béton coulé en place CCTB 01.04</w:t>
            </w:r>
            <w:r>
              <w:rPr>
                <w:noProof/>
                <w:webHidden/>
              </w:rPr>
              <w:tab/>
            </w:r>
            <w:r>
              <w:rPr>
                <w:noProof/>
                <w:webHidden/>
              </w:rPr>
              <w:fldChar w:fldCharType="begin"/>
            </w:r>
            <w:r>
              <w:rPr>
                <w:noProof/>
                <w:webHidden/>
              </w:rPr>
              <w:instrText xml:space="preserve"> PAGEREF _Toc220495870 \h </w:instrText>
            </w:r>
            <w:r>
              <w:rPr>
                <w:noProof/>
                <w:webHidden/>
              </w:rPr>
            </w:r>
            <w:r>
              <w:rPr>
                <w:noProof/>
                <w:webHidden/>
              </w:rPr>
              <w:fldChar w:fldCharType="separate"/>
            </w:r>
            <w:r>
              <w:rPr>
                <w:noProof/>
                <w:webHidden/>
              </w:rPr>
              <w:t>636</w:t>
            </w:r>
            <w:r>
              <w:rPr>
                <w:noProof/>
                <w:webHidden/>
              </w:rPr>
              <w:fldChar w:fldCharType="end"/>
            </w:r>
          </w:hyperlink>
        </w:p>
        <w:p w14:paraId="1957B19A" w14:textId="303EF11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71" w:history="1">
            <w:r w:rsidRPr="00F45DCA">
              <w:rPr>
                <w:rStyle w:val="Lienhypertexte"/>
                <w:noProof/>
              </w:rPr>
              <w:t>22.24.1a Structures tridimensionnelles en béton coulé en place CCTB 01.04</w:t>
            </w:r>
            <w:r>
              <w:rPr>
                <w:noProof/>
                <w:webHidden/>
              </w:rPr>
              <w:tab/>
            </w:r>
            <w:r>
              <w:rPr>
                <w:noProof/>
                <w:webHidden/>
              </w:rPr>
              <w:fldChar w:fldCharType="begin"/>
            </w:r>
            <w:r>
              <w:rPr>
                <w:noProof/>
                <w:webHidden/>
              </w:rPr>
              <w:instrText xml:space="preserve"> PAGEREF _Toc220495871 \h </w:instrText>
            </w:r>
            <w:r>
              <w:rPr>
                <w:noProof/>
                <w:webHidden/>
              </w:rPr>
            </w:r>
            <w:r>
              <w:rPr>
                <w:noProof/>
                <w:webHidden/>
              </w:rPr>
              <w:fldChar w:fldCharType="separate"/>
            </w:r>
            <w:r>
              <w:rPr>
                <w:noProof/>
                <w:webHidden/>
              </w:rPr>
              <w:t>636</w:t>
            </w:r>
            <w:r>
              <w:rPr>
                <w:noProof/>
                <w:webHidden/>
              </w:rPr>
              <w:fldChar w:fldCharType="end"/>
            </w:r>
          </w:hyperlink>
        </w:p>
        <w:p w14:paraId="544525A7" w14:textId="5B0BB83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72" w:history="1">
            <w:r w:rsidRPr="00F45DCA">
              <w:rPr>
                <w:rStyle w:val="Lienhypertexte"/>
                <w:noProof/>
              </w:rPr>
              <w:t>22.24.2 Structures tridimensionnelles préfabriquées en béton CCTB 01.04</w:t>
            </w:r>
            <w:r>
              <w:rPr>
                <w:noProof/>
                <w:webHidden/>
              </w:rPr>
              <w:tab/>
            </w:r>
            <w:r>
              <w:rPr>
                <w:noProof/>
                <w:webHidden/>
              </w:rPr>
              <w:fldChar w:fldCharType="begin"/>
            </w:r>
            <w:r>
              <w:rPr>
                <w:noProof/>
                <w:webHidden/>
              </w:rPr>
              <w:instrText xml:space="preserve"> PAGEREF _Toc220495872 \h </w:instrText>
            </w:r>
            <w:r>
              <w:rPr>
                <w:noProof/>
                <w:webHidden/>
              </w:rPr>
            </w:r>
            <w:r>
              <w:rPr>
                <w:noProof/>
                <w:webHidden/>
              </w:rPr>
              <w:fldChar w:fldCharType="separate"/>
            </w:r>
            <w:r>
              <w:rPr>
                <w:noProof/>
                <w:webHidden/>
              </w:rPr>
              <w:t>636</w:t>
            </w:r>
            <w:r>
              <w:rPr>
                <w:noProof/>
                <w:webHidden/>
              </w:rPr>
              <w:fldChar w:fldCharType="end"/>
            </w:r>
          </w:hyperlink>
        </w:p>
        <w:p w14:paraId="7BC26728" w14:textId="05414CC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73" w:history="1">
            <w:r w:rsidRPr="00F45DCA">
              <w:rPr>
                <w:rStyle w:val="Lienhypertexte"/>
                <w:noProof/>
              </w:rPr>
              <w:t>22.24.2a Structures tridimensionnelles préfabriquées en béton CCTB 01.04</w:t>
            </w:r>
            <w:r>
              <w:rPr>
                <w:noProof/>
                <w:webHidden/>
              </w:rPr>
              <w:tab/>
            </w:r>
            <w:r>
              <w:rPr>
                <w:noProof/>
                <w:webHidden/>
              </w:rPr>
              <w:fldChar w:fldCharType="begin"/>
            </w:r>
            <w:r>
              <w:rPr>
                <w:noProof/>
                <w:webHidden/>
              </w:rPr>
              <w:instrText xml:space="preserve"> PAGEREF _Toc220495873 \h </w:instrText>
            </w:r>
            <w:r>
              <w:rPr>
                <w:noProof/>
                <w:webHidden/>
              </w:rPr>
            </w:r>
            <w:r>
              <w:rPr>
                <w:noProof/>
                <w:webHidden/>
              </w:rPr>
              <w:fldChar w:fldCharType="separate"/>
            </w:r>
            <w:r>
              <w:rPr>
                <w:noProof/>
                <w:webHidden/>
              </w:rPr>
              <w:t>636</w:t>
            </w:r>
            <w:r>
              <w:rPr>
                <w:noProof/>
                <w:webHidden/>
              </w:rPr>
              <w:fldChar w:fldCharType="end"/>
            </w:r>
          </w:hyperlink>
        </w:p>
        <w:p w14:paraId="6BFC7485" w14:textId="5AB9F82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74" w:history="1">
            <w:r w:rsidRPr="00F45DCA">
              <w:rPr>
                <w:rStyle w:val="Lienhypertexte"/>
                <w:noProof/>
              </w:rPr>
              <w:t>22.24.3 Structures tridimensionnelles préfabriquées en béton architectonique CCTB 01.04</w:t>
            </w:r>
            <w:r>
              <w:rPr>
                <w:noProof/>
                <w:webHidden/>
              </w:rPr>
              <w:tab/>
            </w:r>
            <w:r>
              <w:rPr>
                <w:noProof/>
                <w:webHidden/>
              </w:rPr>
              <w:fldChar w:fldCharType="begin"/>
            </w:r>
            <w:r>
              <w:rPr>
                <w:noProof/>
                <w:webHidden/>
              </w:rPr>
              <w:instrText xml:space="preserve"> PAGEREF _Toc220495874 \h </w:instrText>
            </w:r>
            <w:r>
              <w:rPr>
                <w:noProof/>
                <w:webHidden/>
              </w:rPr>
            </w:r>
            <w:r>
              <w:rPr>
                <w:noProof/>
                <w:webHidden/>
              </w:rPr>
              <w:fldChar w:fldCharType="separate"/>
            </w:r>
            <w:r>
              <w:rPr>
                <w:noProof/>
                <w:webHidden/>
              </w:rPr>
              <w:t>636</w:t>
            </w:r>
            <w:r>
              <w:rPr>
                <w:noProof/>
                <w:webHidden/>
              </w:rPr>
              <w:fldChar w:fldCharType="end"/>
            </w:r>
          </w:hyperlink>
        </w:p>
        <w:p w14:paraId="4F0F106C" w14:textId="5004DCD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75" w:history="1">
            <w:r w:rsidRPr="00F45DCA">
              <w:rPr>
                <w:rStyle w:val="Lienhypertexte"/>
                <w:noProof/>
              </w:rPr>
              <w:t>22.24.3a Structures tridimensionnelles préfabriquées en béton décoratif / architectonique CCTB 01.04</w:t>
            </w:r>
            <w:r>
              <w:rPr>
                <w:noProof/>
                <w:webHidden/>
              </w:rPr>
              <w:tab/>
            </w:r>
            <w:r>
              <w:rPr>
                <w:noProof/>
                <w:webHidden/>
              </w:rPr>
              <w:fldChar w:fldCharType="begin"/>
            </w:r>
            <w:r>
              <w:rPr>
                <w:noProof/>
                <w:webHidden/>
              </w:rPr>
              <w:instrText xml:space="preserve"> PAGEREF _Toc220495875 \h </w:instrText>
            </w:r>
            <w:r>
              <w:rPr>
                <w:noProof/>
                <w:webHidden/>
              </w:rPr>
            </w:r>
            <w:r>
              <w:rPr>
                <w:noProof/>
                <w:webHidden/>
              </w:rPr>
              <w:fldChar w:fldCharType="separate"/>
            </w:r>
            <w:r>
              <w:rPr>
                <w:noProof/>
                <w:webHidden/>
              </w:rPr>
              <w:t>636</w:t>
            </w:r>
            <w:r>
              <w:rPr>
                <w:noProof/>
                <w:webHidden/>
              </w:rPr>
              <w:fldChar w:fldCharType="end"/>
            </w:r>
          </w:hyperlink>
        </w:p>
        <w:p w14:paraId="0FF5CDB0" w14:textId="1866F9C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76" w:history="1">
            <w:r w:rsidRPr="00F45DCA">
              <w:rPr>
                <w:rStyle w:val="Lienhypertexte"/>
                <w:noProof/>
              </w:rPr>
              <w:t>22.24.4 Structures tridimensionnelles mixtes acier-béton CCTB 01.04</w:t>
            </w:r>
            <w:r>
              <w:rPr>
                <w:noProof/>
                <w:webHidden/>
              </w:rPr>
              <w:tab/>
            </w:r>
            <w:r>
              <w:rPr>
                <w:noProof/>
                <w:webHidden/>
              </w:rPr>
              <w:fldChar w:fldCharType="begin"/>
            </w:r>
            <w:r>
              <w:rPr>
                <w:noProof/>
                <w:webHidden/>
              </w:rPr>
              <w:instrText xml:space="preserve"> PAGEREF _Toc220495876 \h </w:instrText>
            </w:r>
            <w:r>
              <w:rPr>
                <w:noProof/>
                <w:webHidden/>
              </w:rPr>
            </w:r>
            <w:r>
              <w:rPr>
                <w:noProof/>
                <w:webHidden/>
              </w:rPr>
              <w:fldChar w:fldCharType="separate"/>
            </w:r>
            <w:r>
              <w:rPr>
                <w:noProof/>
                <w:webHidden/>
              </w:rPr>
              <w:t>636</w:t>
            </w:r>
            <w:r>
              <w:rPr>
                <w:noProof/>
                <w:webHidden/>
              </w:rPr>
              <w:fldChar w:fldCharType="end"/>
            </w:r>
          </w:hyperlink>
        </w:p>
        <w:p w14:paraId="63E0933B" w14:textId="38FEAED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77" w:history="1">
            <w:r w:rsidRPr="00F45DCA">
              <w:rPr>
                <w:rStyle w:val="Lienhypertexte"/>
                <w:noProof/>
              </w:rPr>
              <w:t>22.24.4a Structures tridimensionnelles mixtes acier-béton CCTB 01.04</w:t>
            </w:r>
            <w:r>
              <w:rPr>
                <w:noProof/>
                <w:webHidden/>
              </w:rPr>
              <w:tab/>
            </w:r>
            <w:r>
              <w:rPr>
                <w:noProof/>
                <w:webHidden/>
              </w:rPr>
              <w:fldChar w:fldCharType="begin"/>
            </w:r>
            <w:r>
              <w:rPr>
                <w:noProof/>
                <w:webHidden/>
              </w:rPr>
              <w:instrText xml:space="preserve"> PAGEREF _Toc220495877 \h </w:instrText>
            </w:r>
            <w:r>
              <w:rPr>
                <w:noProof/>
                <w:webHidden/>
              </w:rPr>
            </w:r>
            <w:r>
              <w:rPr>
                <w:noProof/>
                <w:webHidden/>
              </w:rPr>
              <w:fldChar w:fldCharType="separate"/>
            </w:r>
            <w:r>
              <w:rPr>
                <w:noProof/>
                <w:webHidden/>
              </w:rPr>
              <w:t>636</w:t>
            </w:r>
            <w:r>
              <w:rPr>
                <w:noProof/>
                <w:webHidden/>
              </w:rPr>
              <w:fldChar w:fldCharType="end"/>
            </w:r>
          </w:hyperlink>
        </w:p>
        <w:p w14:paraId="397D2469" w14:textId="1FC27C5D"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878" w:history="1">
            <w:r w:rsidRPr="00F45DCA">
              <w:rPr>
                <w:rStyle w:val="Lienhypertexte"/>
                <w:noProof/>
              </w:rPr>
              <w:t>22.25 Systèmes constructifs particuliers en béton CCTB 01.02</w:t>
            </w:r>
            <w:r>
              <w:rPr>
                <w:noProof/>
                <w:webHidden/>
              </w:rPr>
              <w:tab/>
            </w:r>
            <w:r>
              <w:rPr>
                <w:noProof/>
                <w:webHidden/>
              </w:rPr>
              <w:fldChar w:fldCharType="begin"/>
            </w:r>
            <w:r>
              <w:rPr>
                <w:noProof/>
                <w:webHidden/>
              </w:rPr>
              <w:instrText xml:space="preserve"> PAGEREF _Toc220495878 \h </w:instrText>
            </w:r>
            <w:r>
              <w:rPr>
                <w:noProof/>
                <w:webHidden/>
              </w:rPr>
            </w:r>
            <w:r>
              <w:rPr>
                <w:noProof/>
                <w:webHidden/>
              </w:rPr>
              <w:fldChar w:fldCharType="separate"/>
            </w:r>
            <w:r>
              <w:rPr>
                <w:noProof/>
                <w:webHidden/>
              </w:rPr>
              <w:t>636</w:t>
            </w:r>
            <w:r>
              <w:rPr>
                <w:noProof/>
                <w:webHidden/>
              </w:rPr>
              <w:fldChar w:fldCharType="end"/>
            </w:r>
          </w:hyperlink>
        </w:p>
        <w:p w14:paraId="10EAB227" w14:textId="71522DB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79" w:history="1">
            <w:r w:rsidRPr="00F45DCA">
              <w:rPr>
                <w:rStyle w:val="Lienhypertexte"/>
                <w:noProof/>
              </w:rPr>
              <w:t>22.25.1 Systèmes constructifs particuliers en béton CCTB 01.02</w:t>
            </w:r>
            <w:r>
              <w:rPr>
                <w:noProof/>
                <w:webHidden/>
              </w:rPr>
              <w:tab/>
            </w:r>
            <w:r>
              <w:rPr>
                <w:noProof/>
                <w:webHidden/>
              </w:rPr>
              <w:fldChar w:fldCharType="begin"/>
            </w:r>
            <w:r>
              <w:rPr>
                <w:noProof/>
                <w:webHidden/>
              </w:rPr>
              <w:instrText xml:space="preserve"> PAGEREF _Toc220495879 \h </w:instrText>
            </w:r>
            <w:r>
              <w:rPr>
                <w:noProof/>
                <w:webHidden/>
              </w:rPr>
            </w:r>
            <w:r>
              <w:rPr>
                <w:noProof/>
                <w:webHidden/>
              </w:rPr>
              <w:fldChar w:fldCharType="separate"/>
            </w:r>
            <w:r>
              <w:rPr>
                <w:noProof/>
                <w:webHidden/>
              </w:rPr>
              <w:t>636</w:t>
            </w:r>
            <w:r>
              <w:rPr>
                <w:noProof/>
                <w:webHidden/>
              </w:rPr>
              <w:fldChar w:fldCharType="end"/>
            </w:r>
          </w:hyperlink>
        </w:p>
        <w:p w14:paraId="16C14C20" w14:textId="301E38F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80" w:history="1">
            <w:r w:rsidRPr="00F45DCA">
              <w:rPr>
                <w:rStyle w:val="Lienhypertexte"/>
                <w:noProof/>
              </w:rPr>
              <w:t>22.25.1a Systèmes constructifs particuliers en béton CCTB 01.02</w:t>
            </w:r>
            <w:r>
              <w:rPr>
                <w:noProof/>
                <w:webHidden/>
              </w:rPr>
              <w:tab/>
            </w:r>
            <w:r>
              <w:rPr>
                <w:noProof/>
                <w:webHidden/>
              </w:rPr>
              <w:fldChar w:fldCharType="begin"/>
            </w:r>
            <w:r>
              <w:rPr>
                <w:noProof/>
                <w:webHidden/>
              </w:rPr>
              <w:instrText xml:space="preserve"> PAGEREF _Toc220495880 \h </w:instrText>
            </w:r>
            <w:r>
              <w:rPr>
                <w:noProof/>
                <w:webHidden/>
              </w:rPr>
            </w:r>
            <w:r>
              <w:rPr>
                <w:noProof/>
                <w:webHidden/>
              </w:rPr>
              <w:fldChar w:fldCharType="separate"/>
            </w:r>
            <w:r>
              <w:rPr>
                <w:noProof/>
                <w:webHidden/>
              </w:rPr>
              <w:t>636</w:t>
            </w:r>
            <w:r>
              <w:rPr>
                <w:noProof/>
                <w:webHidden/>
              </w:rPr>
              <w:fldChar w:fldCharType="end"/>
            </w:r>
          </w:hyperlink>
        </w:p>
        <w:p w14:paraId="109225D2" w14:textId="1CA4E367"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881" w:history="1">
            <w:r w:rsidRPr="00F45DCA">
              <w:rPr>
                <w:rStyle w:val="Lienhypertexte"/>
                <w:noProof/>
              </w:rPr>
              <w:t>22.3 Eléments et structures secondaires en béton CCTB 01.02</w:t>
            </w:r>
            <w:r>
              <w:rPr>
                <w:noProof/>
                <w:webHidden/>
              </w:rPr>
              <w:tab/>
            </w:r>
            <w:r>
              <w:rPr>
                <w:noProof/>
                <w:webHidden/>
              </w:rPr>
              <w:fldChar w:fldCharType="begin"/>
            </w:r>
            <w:r>
              <w:rPr>
                <w:noProof/>
                <w:webHidden/>
              </w:rPr>
              <w:instrText xml:space="preserve"> PAGEREF _Toc220495881 \h </w:instrText>
            </w:r>
            <w:r>
              <w:rPr>
                <w:noProof/>
                <w:webHidden/>
              </w:rPr>
            </w:r>
            <w:r>
              <w:rPr>
                <w:noProof/>
                <w:webHidden/>
              </w:rPr>
              <w:fldChar w:fldCharType="separate"/>
            </w:r>
            <w:r>
              <w:rPr>
                <w:noProof/>
                <w:webHidden/>
              </w:rPr>
              <w:t>636</w:t>
            </w:r>
            <w:r>
              <w:rPr>
                <w:noProof/>
                <w:webHidden/>
              </w:rPr>
              <w:fldChar w:fldCharType="end"/>
            </w:r>
          </w:hyperlink>
        </w:p>
        <w:p w14:paraId="51C1939F" w14:textId="3ABC929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882" w:history="1">
            <w:r w:rsidRPr="00F45DCA">
              <w:rPr>
                <w:rStyle w:val="Lienhypertexte"/>
                <w:noProof/>
              </w:rPr>
              <w:t>22.31 Escaliers en béton CCTB 01.13</w:t>
            </w:r>
            <w:r>
              <w:rPr>
                <w:noProof/>
                <w:webHidden/>
              </w:rPr>
              <w:tab/>
            </w:r>
            <w:r>
              <w:rPr>
                <w:noProof/>
                <w:webHidden/>
              </w:rPr>
              <w:fldChar w:fldCharType="begin"/>
            </w:r>
            <w:r>
              <w:rPr>
                <w:noProof/>
                <w:webHidden/>
              </w:rPr>
              <w:instrText xml:space="preserve"> PAGEREF _Toc220495882 \h </w:instrText>
            </w:r>
            <w:r>
              <w:rPr>
                <w:noProof/>
                <w:webHidden/>
              </w:rPr>
            </w:r>
            <w:r>
              <w:rPr>
                <w:noProof/>
                <w:webHidden/>
              </w:rPr>
              <w:fldChar w:fldCharType="separate"/>
            </w:r>
            <w:r>
              <w:rPr>
                <w:noProof/>
                <w:webHidden/>
              </w:rPr>
              <w:t>636</w:t>
            </w:r>
            <w:r>
              <w:rPr>
                <w:noProof/>
                <w:webHidden/>
              </w:rPr>
              <w:fldChar w:fldCharType="end"/>
            </w:r>
          </w:hyperlink>
        </w:p>
        <w:p w14:paraId="0A492CA8" w14:textId="278E1F3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83" w:history="1">
            <w:r w:rsidRPr="00F45DCA">
              <w:rPr>
                <w:rStyle w:val="Lienhypertexte"/>
                <w:noProof/>
              </w:rPr>
              <w:t>22.31.1 Escaliers en béton coulé en place CCTB 01.13</w:t>
            </w:r>
            <w:r>
              <w:rPr>
                <w:noProof/>
                <w:webHidden/>
              </w:rPr>
              <w:tab/>
            </w:r>
            <w:r>
              <w:rPr>
                <w:noProof/>
                <w:webHidden/>
              </w:rPr>
              <w:fldChar w:fldCharType="begin"/>
            </w:r>
            <w:r>
              <w:rPr>
                <w:noProof/>
                <w:webHidden/>
              </w:rPr>
              <w:instrText xml:space="preserve"> PAGEREF _Toc220495883 \h </w:instrText>
            </w:r>
            <w:r>
              <w:rPr>
                <w:noProof/>
                <w:webHidden/>
              </w:rPr>
            </w:r>
            <w:r>
              <w:rPr>
                <w:noProof/>
                <w:webHidden/>
              </w:rPr>
              <w:fldChar w:fldCharType="separate"/>
            </w:r>
            <w:r>
              <w:rPr>
                <w:noProof/>
                <w:webHidden/>
              </w:rPr>
              <w:t>638</w:t>
            </w:r>
            <w:r>
              <w:rPr>
                <w:noProof/>
                <w:webHidden/>
              </w:rPr>
              <w:fldChar w:fldCharType="end"/>
            </w:r>
          </w:hyperlink>
        </w:p>
        <w:p w14:paraId="3442E01B" w14:textId="29E23F3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84" w:history="1">
            <w:r w:rsidRPr="00F45DCA">
              <w:rPr>
                <w:rStyle w:val="Lienhypertexte"/>
                <w:noProof/>
              </w:rPr>
              <w:t>22.31.1a Volées d'escaliers en béton coulé en place CCTB 01.11</w:t>
            </w:r>
            <w:r>
              <w:rPr>
                <w:noProof/>
                <w:webHidden/>
              </w:rPr>
              <w:tab/>
            </w:r>
            <w:r>
              <w:rPr>
                <w:noProof/>
                <w:webHidden/>
              </w:rPr>
              <w:fldChar w:fldCharType="begin"/>
            </w:r>
            <w:r>
              <w:rPr>
                <w:noProof/>
                <w:webHidden/>
              </w:rPr>
              <w:instrText xml:space="preserve"> PAGEREF _Toc220495884 \h </w:instrText>
            </w:r>
            <w:r>
              <w:rPr>
                <w:noProof/>
                <w:webHidden/>
              </w:rPr>
            </w:r>
            <w:r>
              <w:rPr>
                <w:noProof/>
                <w:webHidden/>
              </w:rPr>
              <w:fldChar w:fldCharType="separate"/>
            </w:r>
            <w:r>
              <w:rPr>
                <w:noProof/>
                <w:webHidden/>
              </w:rPr>
              <w:t>640</w:t>
            </w:r>
            <w:r>
              <w:rPr>
                <w:noProof/>
                <w:webHidden/>
              </w:rPr>
              <w:fldChar w:fldCharType="end"/>
            </w:r>
          </w:hyperlink>
        </w:p>
        <w:p w14:paraId="049C32B2" w14:textId="78C6284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85" w:history="1">
            <w:r w:rsidRPr="00F45DCA">
              <w:rPr>
                <w:rStyle w:val="Lienhypertexte"/>
                <w:noProof/>
              </w:rPr>
              <w:t>22.31.1b Paliers d'escaliers en béton coulé en place CCTB 01.11</w:t>
            </w:r>
            <w:r>
              <w:rPr>
                <w:noProof/>
                <w:webHidden/>
              </w:rPr>
              <w:tab/>
            </w:r>
            <w:r>
              <w:rPr>
                <w:noProof/>
                <w:webHidden/>
              </w:rPr>
              <w:fldChar w:fldCharType="begin"/>
            </w:r>
            <w:r>
              <w:rPr>
                <w:noProof/>
                <w:webHidden/>
              </w:rPr>
              <w:instrText xml:space="preserve"> PAGEREF _Toc220495885 \h </w:instrText>
            </w:r>
            <w:r>
              <w:rPr>
                <w:noProof/>
                <w:webHidden/>
              </w:rPr>
            </w:r>
            <w:r>
              <w:rPr>
                <w:noProof/>
                <w:webHidden/>
              </w:rPr>
              <w:fldChar w:fldCharType="separate"/>
            </w:r>
            <w:r>
              <w:rPr>
                <w:noProof/>
                <w:webHidden/>
              </w:rPr>
              <w:t>640</w:t>
            </w:r>
            <w:r>
              <w:rPr>
                <w:noProof/>
                <w:webHidden/>
              </w:rPr>
              <w:fldChar w:fldCharType="end"/>
            </w:r>
          </w:hyperlink>
        </w:p>
        <w:p w14:paraId="775183B1" w14:textId="51765A2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86" w:history="1">
            <w:r w:rsidRPr="00F45DCA">
              <w:rPr>
                <w:rStyle w:val="Lienhypertexte"/>
                <w:noProof/>
              </w:rPr>
              <w:t>22.31.1c Escaliers en béton coulé en place CCTB 01.10</w:t>
            </w:r>
            <w:r>
              <w:rPr>
                <w:noProof/>
                <w:webHidden/>
              </w:rPr>
              <w:tab/>
            </w:r>
            <w:r>
              <w:rPr>
                <w:noProof/>
                <w:webHidden/>
              </w:rPr>
              <w:fldChar w:fldCharType="begin"/>
            </w:r>
            <w:r>
              <w:rPr>
                <w:noProof/>
                <w:webHidden/>
              </w:rPr>
              <w:instrText xml:space="preserve"> PAGEREF _Toc220495886 \h </w:instrText>
            </w:r>
            <w:r>
              <w:rPr>
                <w:noProof/>
                <w:webHidden/>
              </w:rPr>
            </w:r>
            <w:r>
              <w:rPr>
                <w:noProof/>
                <w:webHidden/>
              </w:rPr>
              <w:fldChar w:fldCharType="separate"/>
            </w:r>
            <w:r>
              <w:rPr>
                <w:noProof/>
                <w:webHidden/>
              </w:rPr>
              <w:t>641</w:t>
            </w:r>
            <w:r>
              <w:rPr>
                <w:noProof/>
                <w:webHidden/>
              </w:rPr>
              <w:fldChar w:fldCharType="end"/>
            </w:r>
          </w:hyperlink>
        </w:p>
        <w:p w14:paraId="0D3623E0" w14:textId="27FD988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87" w:history="1">
            <w:r w:rsidRPr="00F45DCA">
              <w:rPr>
                <w:rStyle w:val="Lienhypertexte"/>
                <w:noProof/>
              </w:rPr>
              <w:t>22.31.2 Escaliers en béton apparent (esthétique) coulé en place CCTB 01.13</w:t>
            </w:r>
            <w:r>
              <w:rPr>
                <w:noProof/>
                <w:webHidden/>
              </w:rPr>
              <w:tab/>
            </w:r>
            <w:r>
              <w:rPr>
                <w:noProof/>
                <w:webHidden/>
              </w:rPr>
              <w:fldChar w:fldCharType="begin"/>
            </w:r>
            <w:r>
              <w:rPr>
                <w:noProof/>
                <w:webHidden/>
              </w:rPr>
              <w:instrText xml:space="preserve"> PAGEREF _Toc220495887 \h </w:instrText>
            </w:r>
            <w:r>
              <w:rPr>
                <w:noProof/>
                <w:webHidden/>
              </w:rPr>
            </w:r>
            <w:r>
              <w:rPr>
                <w:noProof/>
                <w:webHidden/>
              </w:rPr>
              <w:fldChar w:fldCharType="separate"/>
            </w:r>
            <w:r>
              <w:rPr>
                <w:noProof/>
                <w:webHidden/>
              </w:rPr>
              <w:t>641</w:t>
            </w:r>
            <w:r>
              <w:rPr>
                <w:noProof/>
                <w:webHidden/>
              </w:rPr>
              <w:fldChar w:fldCharType="end"/>
            </w:r>
          </w:hyperlink>
        </w:p>
        <w:p w14:paraId="710B048A" w14:textId="4BF6DD5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88" w:history="1">
            <w:r w:rsidRPr="00F45DCA">
              <w:rPr>
                <w:rStyle w:val="Lienhypertexte"/>
                <w:noProof/>
              </w:rPr>
              <w:t>22.31.2a Volées d'escaliers en béton apparent (esthétique) coulé en place CCTB 01.11</w:t>
            </w:r>
            <w:r>
              <w:rPr>
                <w:noProof/>
                <w:webHidden/>
              </w:rPr>
              <w:tab/>
            </w:r>
            <w:r>
              <w:rPr>
                <w:noProof/>
                <w:webHidden/>
              </w:rPr>
              <w:fldChar w:fldCharType="begin"/>
            </w:r>
            <w:r>
              <w:rPr>
                <w:noProof/>
                <w:webHidden/>
              </w:rPr>
              <w:instrText xml:space="preserve"> PAGEREF _Toc220495888 \h </w:instrText>
            </w:r>
            <w:r>
              <w:rPr>
                <w:noProof/>
                <w:webHidden/>
              </w:rPr>
            </w:r>
            <w:r>
              <w:rPr>
                <w:noProof/>
                <w:webHidden/>
              </w:rPr>
              <w:fldChar w:fldCharType="separate"/>
            </w:r>
            <w:r>
              <w:rPr>
                <w:noProof/>
                <w:webHidden/>
              </w:rPr>
              <w:t>643</w:t>
            </w:r>
            <w:r>
              <w:rPr>
                <w:noProof/>
                <w:webHidden/>
              </w:rPr>
              <w:fldChar w:fldCharType="end"/>
            </w:r>
          </w:hyperlink>
        </w:p>
        <w:p w14:paraId="4EBA1CDD" w14:textId="4131FCE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89" w:history="1">
            <w:r w:rsidRPr="00F45DCA">
              <w:rPr>
                <w:rStyle w:val="Lienhypertexte"/>
                <w:noProof/>
              </w:rPr>
              <w:t>22.31.2b Paliers d'escaliers en béton apparent (esthétique) coulé en place CCTB 01.11</w:t>
            </w:r>
            <w:r>
              <w:rPr>
                <w:noProof/>
                <w:webHidden/>
              </w:rPr>
              <w:tab/>
            </w:r>
            <w:r>
              <w:rPr>
                <w:noProof/>
                <w:webHidden/>
              </w:rPr>
              <w:fldChar w:fldCharType="begin"/>
            </w:r>
            <w:r>
              <w:rPr>
                <w:noProof/>
                <w:webHidden/>
              </w:rPr>
              <w:instrText xml:space="preserve"> PAGEREF _Toc220495889 \h </w:instrText>
            </w:r>
            <w:r>
              <w:rPr>
                <w:noProof/>
                <w:webHidden/>
              </w:rPr>
            </w:r>
            <w:r>
              <w:rPr>
                <w:noProof/>
                <w:webHidden/>
              </w:rPr>
              <w:fldChar w:fldCharType="separate"/>
            </w:r>
            <w:r>
              <w:rPr>
                <w:noProof/>
                <w:webHidden/>
              </w:rPr>
              <w:t>644</w:t>
            </w:r>
            <w:r>
              <w:rPr>
                <w:noProof/>
                <w:webHidden/>
              </w:rPr>
              <w:fldChar w:fldCharType="end"/>
            </w:r>
          </w:hyperlink>
        </w:p>
        <w:p w14:paraId="54F23881" w14:textId="7D46864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90" w:history="1">
            <w:r w:rsidRPr="00F45DCA">
              <w:rPr>
                <w:rStyle w:val="Lienhypertexte"/>
                <w:noProof/>
              </w:rPr>
              <w:t>22.31.2c Escaliers en béton apparent (esthétique) coulé en place CCTB 01.11</w:t>
            </w:r>
            <w:r>
              <w:rPr>
                <w:noProof/>
                <w:webHidden/>
              </w:rPr>
              <w:tab/>
            </w:r>
            <w:r>
              <w:rPr>
                <w:noProof/>
                <w:webHidden/>
              </w:rPr>
              <w:fldChar w:fldCharType="begin"/>
            </w:r>
            <w:r>
              <w:rPr>
                <w:noProof/>
                <w:webHidden/>
              </w:rPr>
              <w:instrText xml:space="preserve"> PAGEREF _Toc220495890 \h </w:instrText>
            </w:r>
            <w:r>
              <w:rPr>
                <w:noProof/>
                <w:webHidden/>
              </w:rPr>
            </w:r>
            <w:r>
              <w:rPr>
                <w:noProof/>
                <w:webHidden/>
              </w:rPr>
              <w:fldChar w:fldCharType="separate"/>
            </w:r>
            <w:r>
              <w:rPr>
                <w:noProof/>
                <w:webHidden/>
              </w:rPr>
              <w:t>645</w:t>
            </w:r>
            <w:r>
              <w:rPr>
                <w:noProof/>
                <w:webHidden/>
              </w:rPr>
              <w:fldChar w:fldCharType="end"/>
            </w:r>
          </w:hyperlink>
        </w:p>
        <w:p w14:paraId="6B6E8E1E" w14:textId="092410C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91" w:history="1">
            <w:r w:rsidRPr="00F45DCA">
              <w:rPr>
                <w:rStyle w:val="Lienhypertexte"/>
                <w:noProof/>
              </w:rPr>
              <w:t>22.31.3 Escaliers préfabriqués en béton CCTB 01.11</w:t>
            </w:r>
            <w:r>
              <w:rPr>
                <w:noProof/>
                <w:webHidden/>
              </w:rPr>
              <w:tab/>
            </w:r>
            <w:r>
              <w:rPr>
                <w:noProof/>
                <w:webHidden/>
              </w:rPr>
              <w:fldChar w:fldCharType="begin"/>
            </w:r>
            <w:r>
              <w:rPr>
                <w:noProof/>
                <w:webHidden/>
              </w:rPr>
              <w:instrText xml:space="preserve"> PAGEREF _Toc220495891 \h </w:instrText>
            </w:r>
            <w:r>
              <w:rPr>
                <w:noProof/>
                <w:webHidden/>
              </w:rPr>
            </w:r>
            <w:r>
              <w:rPr>
                <w:noProof/>
                <w:webHidden/>
              </w:rPr>
              <w:fldChar w:fldCharType="separate"/>
            </w:r>
            <w:r>
              <w:rPr>
                <w:noProof/>
                <w:webHidden/>
              </w:rPr>
              <w:t>646</w:t>
            </w:r>
            <w:r>
              <w:rPr>
                <w:noProof/>
                <w:webHidden/>
              </w:rPr>
              <w:fldChar w:fldCharType="end"/>
            </w:r>
          </w:hyperlink>
        </w:p>
        <w:p w14:paraId="0B4F0C43" w14:textId="2FE17B6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92" w:history="1">
            <w:r w:rsidRPr="00F45DCA">
              <w:rPr>
                <w:rStyle w:val="Lienhypertexte"/>
                <w:noProof/>
              </w:rPr>
              <w:t>22.31.3a Volées d'escaliers préfabriquées en béton CCTB 01.11</w:t>
            </w:r>
            <w:r>
              <w:rPr>
                <w:noProof/>
                <w:webHidden/>
              </w:rPr>
              <w:tab/>
            </w:r>
            <w:r>
              <w:rPr>
                <w:noProof/>
                <w:webHidden/>
              </w:rPr>
              <w:fldChar w:fldCharType="begin"/>
            </w:r>
            <w:r>
              <w:rPr>
                <w:noProof/>
                <w:webHidden/>
              </w:rPr>
              <w:instrText xml:space="preserve"> PAGEREF _Toc220495892 \h </w:instrText>
            </w:r>
            <w:r>
              <w:rPr>
                <w:noProof/>
                <w:webHidden/>
              </w:rPr>
            </w:r>
            <w:r>
              <w:rPr>
                <w:noProof/>
                <w:webHidden/>
              </w:rPr>
              <w:fldChar w:fldCharType="separate"/>
            </w:r>
            <w:r>
              <w:rPr>
                <w:noProof/>
                <w:webHidden/>
              </w:rPr>
              <w:t>646</w:t>
            </w:r>
            <w:r>
              <w:rPr>
                <w:noProof/>
                <w:webHidden/>
              </w:rPr>
              <w:fldChar w:fldCharType="end"/>
            </w:r>
          </w:hyperlink>
        </w:p>
        <w:p w14:paraId="72962773" w14:textId="0CDAEC0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93" w:history="1">
            <w:r w:rsidRPr="00F45DCA">
              <w:rPr>
                <w:rStyle w:val="Lienhypertexte"/>
                <w:noProof/>
              </w:rPr>
              <w:t>22.31.3b Paliers d'escaliers préfabriqués en béton CCTB 01.11</w:t>
            </w:r>
            <w:r>
              <w:rPr>
                <w:noProof/>
                <w:webHidden/>
              </w:rPr>
              <w:tab/>
            </w:r>
            <w:r>
              <w:rPr>
                <w:noProof/>
                <w:webHidden/>
              </w:rPr>
              <w:fldChar w:fldCharType="begin"/>
            </w:r>
            <w:r>
              <w:rPr>
                <w:noProof/>
                <w:webHidden/>
              </w:rPr>
              <w:instrText xml:space="preserve"> PAGEREF _Toc220495893 \h </w:instrText>
            </w:r>
            <w:r>
              <w:rPr>
                <w:noProof/>
                <w:webHidden/>
              </w:rPr>
            </w:r>
            <w:r>
              <w:rPr>
                <w:noProof/>
                <w:webHidden/>
              </w:rPr>
              <w:fldChar w:fldCharType="separate"/>
            </w:r>
            <w:r>
              <w:rPr>
                <w:noProof/>
                <w:webHidden/>
              </w:rPr>
              <w:t>647</w:t>
            </w:r>
            <w:r>
              <w:rPr>
                <w:noProof/>
                <w:webHidden/>
              </w:rPr>
              <w:fldChar w:fldCharType="end"/>
            </w:r>
          </w:hyperlink>
        </w:p>
        <w:p w14:paraId="05746110" w14:textId="6932844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94" w:history="1">
            <w:r w:rsidRPr="00F45DCA">
              <w:rPr>
                <w:rStyle w:val="Lienhypertexte"/>
                <w:noProof/>
              </w:rPr>
              <w:t>22.31.3c Escaliers préfabriqués en béton CCTB 01.11</w:t>
            </w:r>
            <w:r>
              <w:rPr>
                <w:noProof/>
                <w:webHidden/>
              </w:rPr>
              <w:tab/>
            </w:r>
            <w:r>
              <w:rPr>
                <w:noProof/>
                <w:webHidden/>
              </w:rPr>
              <w:fldChar w:fldCharType="begin"/>
            </w:r>
            <w:r>
              <w:rPr>
                <w:noProof/>
                <w:webHidden/>
              </w:rPr>
              <w:instrText xml:space="preserve"> PAGEREF _Toc220495894 \h </w:instrText>
            </w:r>
            <w:r>
              <w:rPr>
                <w:noProof/>
                <w:webHidden/>
              </w:rPr>
            </w:r>
            <w:r>
              <w:rPr>
                <w:noProof/>
                <w:webHidden/>
              </w:rPr>
              <w:fldChar w:fldCharType="separate"/>
            </w:r>
            <w:r>
              <w:rPr>
                <w:noProof/>
                <w:webHidden/>
              </w:rPr>
              <w:t>648</w:t>
            </w:r>
            <w:r>
              <w:rPr>
                <w:noProof/>
                <w:webHidden/>
              </w:rPr>
              <w:fldChar w:fldCharType="end"/>
            </w:r>
          </w:hyperlink>
        </w:p>
        <w:p w14:paraId="5CBC6712" w14:textId="7272D13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895" w:history="1">
            <w:r w:rsidRPr="00F45DCA">
              <w:rPr>
                <w:rStyle w:val="Lienhypertexte"/>
                <w:noProof/>
              </w:rPr>
              <w:t>22.31.4 Escaliers préfabriqués en béton architectonique CCTB 01.11</w:t>
            </w:r>
            <w:r>
              <w:rPr>
                <w:noProof/>
                <w:webHidden/>
              </w:rPr>
              <w:tab/>
            </w:r>
            <w:r>
              <w:rPr>
                <w:noProof/>
                <w:webHidden/>
              </w:rPr>
              <w:fldChar w:fldCharType="begin"/>
            </w:r>
            <w:r>
              <w:rPr>
                <w:noProof/>
                <w:webHidden/>
              </w:rPr>
              <w:instrText xml:space="preserve"> PAGEREF _Toc220495895 \h </w:instrText>
            </w:r>
            <w:r>
              <w:rPr>
                <w:noProof/>
                <w:webHidden/>
              </w:rPr>
            </w:r>
            <w:r>
              <w:rPr>
                <w:noProof/>
                <w:webHidden/>
              </w:rPr>
              <w:fldChar w:fldCharType="separate"/>
            </w:r>
            <w:r>
              <w:rPr>
                <w:noProof/>
                <w:webHidden/>
              </w:rPr>
              <w:t>648</w:t>
            </w:r>
            <w:r>
              <w:rPr>
                <w:noProof/>
                <w:webHidden/>
              </w:rPr>
              <w:fldChar w:fldCharType="end"/>
            </w:r>
          </w:hyperlink>
        </w:p>
        <w:p w14:paraId="42CB0996" w14:textId="57845DB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96" w:history="1">
            <w:r w:rsidRPr="00F45DCA">
              <w:rPr>
                <w:rStyle w:val="Lienhypertexte"/>
                <w:noProof/>
              </w:rPr>
              <w:t>22.31.4a Volées d'escaliers préfabriquées en béton décoratif / architectonique CCTB 01.11</w:t>
            </w:r>
            <w:r>
              <w:rPr>
                <w:noProof/>
                <w:webHidden/>
              </w:rPr>
              <w:tab/>
            </w:r>
            <w:r>
              <w:rPr>
                <w:noProof/>
                <w:webHidden/>
              </w:rPr>
              <w:fldChar w:fldCharType="begin"/>
            </w:r>
            <w:r>
              <w:rPr>
                <w:noProof/>
                <w:webHidden/>
              </w:rPr>
              <w:instrText xml:space="preserve"> PAGEREF _Toc220495896 \h </w:instrText>
            </w:r>
            <w:r>
              <w:rPr>
                <w:noProof/>
                <w:webHidden/>
              </w:rPr>
            </w:r>
            <w:r>
              <w:rPr>
                <w:noProof/>
                <w:webHidden/>
              </w:rPr>
              <w:fldChar w:fldCharType="separate"/>
            </w:r>
            <w:r>
              <w:rPr>
                <w:noProof/>
                <w:webHidden/>
              </w:rPr>
              <w:t>649</w:t>
            </w:r>
            <w:r>
              <w:rPr>
                <w:noProof/>
                <w:webHidden/>
              </w:rPr>
              <w:fldChar w:fldCharType="end"/>
            </w:r>
          </w:hyperlink>
        </w:p>
        <w:p w14:paraId="023B967D" w14:textId="1CA4876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97" w:history="1">
            <w:r w:rsidRPr="00F45DCA">
              <w:rPr>
                <w:rStyle w:val="Lienhypertexte"/>
                <w:noProof/>
              </w:rPr>
              <w:t>22.31.4b Paliers d'escaliers préfabriqués en béton décoratif / architectonique CCTB 01.11</w:t>
            </w:r>
            <w:r>
              <w:rPr>
                <w:noProof/>
                <w:webHidden/>
              </w:rPr>
              <w:tab/>
            </w:r>
            <w:r>
              <w:rPr>
                <w:noProof/>
                <w:webHidden/>
              </w:rPr>
              <w:fldChar w:fldCharType="begin"/>
            </w:r>
            <w:r>
              <w:rPr>
                <w:noProof/>
                <w:webHidden/>
              </w:rPr>
              <w:instrText xml:space="preserve"> PAGEREF _Toc220495897 \h </w:instrText>
            </w:r>
            <w:r>
              <w:rPr>
                <w:noProof/>
                <w:webHidden/>
              </w:rPr>
            </w:r>
            <w:r>
              <w:rPr>
                <w:noProof/>
                <w:webHidden/>
              </w:rPr>
              <w:fldChar w:fldCharType="separate"/>
            </w:r>
            <w:r>
              <w:rPr>
                <w:noProof/>
                <w:webHidden/>
              </w:rPr>
              <w:t>650</w:t>
            </w:r>
            <w:r>
              <w:rPr>
                <w:noProof/>
                <w:webHidden/>
              </w:rPr>
              <w:fldChar w:fldCharType="end"/>
            </w:r>
          </w:hyperlink>
        </w:p>
        <w:p w14:paraId="4308E877" w14:textId="59D1E2A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898" w:history="1">
            <w:r w:rsidRPr="00F45DCA">
              <w:rPr>
                <w:rStyle w:val="Lienhypertexte"/>
                <w:noProof/>
              </w:rPr>
              <w:t>22.31.4c Escaliers préfabriqués en béton décoratif / architectonique CCTB 01.11</w:t>
            </w:r>
            <w:r>
              <w:rPr>
                <w:noProof/>
                <w:webHidden/>
              </w:rPr>
              <w:tab/>
            </w:r>
            <w:r>
              <w:rPr>
                <w:noProof/>
                <w:webHidden/>
              </w:rPr>
              <w:fldChar w:fldCharType="begin"/>
            </w:r>
            <w:r>
              <w:rPr>
                <w:noProof/>
                <w:webHidden/>
              </w:rPr>
              <w:instrText xml:space="preserve"> PAGEREF _Toc220495898 \h </w:instrText>
            </w:r>
            <w:r>
              <w:rPr>
                <w:noProof/>
                <w:webHidden/>
              </w:rPr>
            </w:r>
            <w:r>
              <w:rPr>
                <w:noProof/>
                <w:webHidden/>
              </w:rPr>
              <w:fldChar w:fldCharType="separate"/>
            </w:r>
            <w:r>
              <w:rPr>
                <w:noProof/>
                <w:webHidden/>
              </w:rPr>
              <w:t>650</w:t>
            </w:r>
            <w:r>
              <w:rPr>
                <w:noProof/>
                <w:webHidden/>
              </w:rPr>
              <w:fldChar w:fldCharType="end"/>
            </w:r>
          </w:hyperlink>
        </w:p>
        <w:p w14:paraId="47CAF9C5" w14:textId="5EB376E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899" w:history="1">
            <w:r w:rsidRPr="00F45DCA">
              <w:rPr>
                <w:rStyle w:val="Lienhypertexte"/>
                <w:noProof/>
              </w:rPr>
              <w:t>22.32 Garde-corps et rampes en béton CCTB 01.13</w:t>
            </w:r>
            <w:r>
              <w:rPr>
                <w:noProof/>
                <w:webHidden/>
              </w:rPr>
              <w:tab/>
            </w:r>
            <w:r>
              <w:rPr>
                <w:noProof/>
                <w:webHidden/>
              </w:rPr>
              <w:fldChar w:fldCharType="begin"/>
            </w:r>
            <w:r>
              <w:rPr>
                <w:noProof/>
                <w:webHidden/>
              </w:rPr>
              <w:instrText xml:space="preserve"> PAGEREF _Toc220495899 \h </w:instrText>
            </w:r>
            <w:r>
              <w:rPr>
                <w:noProof/>
                <w:webHidden/>
              </w:rPr>
            </w:r>
            <w:r>
              <w:rPr>
                <w:noProof/>
                <w:webHidden/>
              </w:rPr>
              <w:fldChar w:fldCharType="separate"/>
            </w:r>
            <w:r>
              <w:rPr>
                <w:noProof/>
                <w:webHidden/>
              </w:rPr>
              <w:t>651</w:t>
            </w:r>
            <w:r>
              <w:rPr>
                <w:noProof/>
                <w:webHidden/>
              </w:rPr>
              <w:fldChar w:fldCharType="end"/>
            </w:r>
          </w:hyperlink>
        </w:p>
        <w:p w14:paraId="50DCD18F" w14:textId="1B06D18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00" w:history="1">
            <w:r w:rsidRPr="00F45DCA">
              <w:rPr>
                <w:rStyle w:val="Lienhypertexte"/>
                <w:noProof/>
              </w:rPr>
              <w:t>22.32.1 Garde-corps et rampes en béton coulé en place CCTB 01.04</w:t>
            </w:r>
            <w:r>
              <w:rPr>
                <w:noProof/>
                <w:webHidden/>
              </w:rPr>
              <w:tab/>
            </w:r>
            <w:r>
              <w:rPr>
                <w:noProof/>
                <w:webHidden/>
              </w:rPr>
              <w:fldChar w:fldCharType="begin"/>
            </w:r>
            <w:r>
              <w:rPr>
                <w:noProof/>
                <w:webHidden/>
              </w:rPr>
              <w:instrText xml:space="preserve"> PAGEREF _Toc220495900 \h </w:instrText>
            </w:r>
            <w:r>
              <w:rPr>
                <w:noProof/>
                <w:webHidden/>
              </w:rPr>
            </w:r>
            <w:r>
              <w:rPr>
                <w:noProof/>
                <w:webHidden/>
              </w:rPr>
              <w:fldChar w:fldCharType="separate"/>
            </w:r>
            <w:r>
              <w:rPr>
                <w:noProof/>
                <w:webHidden/>
              </w:rPr>
              <w:t>652</w:t>
            </w:r>
            <w:r>
              <w:rPr>
                <w:noProof/>
                <w:webHidden/>
              </w:rPr>
              <w:fldChar w:fldCharType="end"/>
            </w:r>
          </w:hyperlink>
        </w:p>
        <w:p w14:paraId="4260305E" w14:textId="2AAACC0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01" w:history="1">
            <w:r w:rsidRPr="00F45DCA">
              <w:rPr>
                <w:rStyle w:val="Lienhypertexte"/>
                <w:noProof/>
              </w:rPr>
              <w:t>22.32.1a Garde-corps et rampes en béton coulé en place CCTB 01.13</w:t>
            </w:r>
            <w:r>
              <w:rPr>
                <w:noProof/>
                <w:webHidden/>
              </w:rPr>
              <w:tab/>
            </w:r>
            <w:r>
              <w:rPr>
                <w:noProof/>
                <w:webHidden/>
              </w:rPr>
              <w:fldChar w:fldCharType="begin"/>
            </w:r>
            <w:r>
              <w:rPr>
                <w:noProof/>
                <w:webHidden/>
              </w:rPr>
              <w:instrText xml:space="preserve"> PAGEREF _Toc220495901 \h </w:instrText>
            </w:r>
            <w:r>
              <w:rPr>
                <w:noProof/>
                <w:webHidden/>
              </w:rPr>
            </w:r>
            <w:r>
              <w:rPr>
                <w:noProof/>
                <w:webHidden/>
              </w:rPr>
              <w:fldChar w:fldCharType="separate"/>
            </w:r>
            <w:r>
              <w:rPr>
                <w:noProof/>
                <w:webHidden/>
              </w:rPr>
              <w:t>652</w:t>
            </w:r>
            <w:r>
              <w:rPr>
                <w:noProof/>
                <w:webHidden/>
              </w:rPr>
              <w:fldChar w:fldCharType="end"/>
            </w:r>
          </w:hyperlink>
        </w:p>
        <w:p w14:paraId="7F2C62AE" w14:textId="665F8B9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02" w:history="1">
            <w:r w:rsidRPr="00F45DCA">
              <w:rPr>
                <w:rStyle w:val="Lienhypertexte"/>
                <w:noProof/>
              </w:rPr>
              <w:t>22.32.2 Garde-corps et rampes en béton apparent (esthétique) coulé en place CCTB 01.04</w:t>
            </w:r>
            <w:r>
              <w:rPr>
                <w:noProof/>
                <w:webHidden/>
              </w:rPr>
              <w:tab/>
            </w:r>
            <w:r>
              <w:rPr>
                <w:noProof/>
                <w:webHidden/>
              </w:rPr>
              <w:fldChar w:fldCharType="begin"/>
            </w:r>
            <w:r>
              <w:rPr>
                <w:noProof/>
                <w:webHidden/>
              </w:rPr>
              <w:instrText xml:space="preserve"> PAGEREF _Toc220495902 \h </w:instrText>
            </w:r>
            <w:r>
              <w:rPr>
                <w:noProof/>
                <w:webHidden/>
              </w:rPr>
            </w:r>
            <w:r>
              <w:rPr>
                <w:noProof/>
                <w:webHidden/>
              </w:rPr>
              <w:fldChar w:fldCharType="separate"/>
            </w:r>
            <w:r>
              <w:rPr>
                <w:noProof/>
                <w:webHidden/>
              </w:rPr>
              <w:t>653</w:t>
            </w:r>
            <w:r>
              <w:rPr>
                <w:noProof/>
                <w:webHidden/>
              </w:rPr>
              <w:fldChar w:fldCharType="end"/>
            </w:r>
          </w:hyperlink>
        </w:p>
        <w:p w14:paraId="64D2B9ED" w14:textId="01AF335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03" w:history="1">
            <w:r w:rsidRPr="00F45DCA">
              <w:rPr>
                <w:rStyle w:val="Lienhypertexte"/>
                <w:noProof/>
              </w:rPr>
              <w:t>22.32.2a Garde-corps et rampes en béton apparent (esthétique) coulé en place CCTB 01.13</w:t>
            </w:r>
            <w:r>
              <w:rPr>
                <w:noProof/>
                <w:webHidden/>
              </w:rPr>
              <w:tab/>
            </w:r>
            <w:r>
              <w:rPr>
                <w:noProof/>
                <w:webHidden/>
              </w:rPr>
              <w:fldChar w:fldCharType="begin"/>
            </w:r>
            <w:r>
              <w:rPr>
                <w:noProof/>
                <w:webHidden/>
              </w:rPr>
              <w:instrText xml:space="preserve"> PAGEREF _Toc220495903 \h </w:instrText>
            </w:r>
            <w:r>
              <w:rPr>
                <w:noProof/>
                <w:webHidden/>
              </w:rPr>
            </w:r>
            <w:r>
              <w:rPr>
                <w:noProof/>
                <w:webHidden/>
              </w:rPr>
              <w:fldChar w:fldCharType="separate"/>
            </w:r>
            <w:r>
              <w:rPr>
                <w:noProof/>
                <w:webHidden/>
              </w:rPr>
              <w:t>653</w:t>
            </w:r>
            <w:r>
              <w:rPr>
                <w:noProof/>
                <w:webHidden/>
              </w:rPr>
              <w:fldChar w:fldCharType="end"/>
            </w:r>
          </w:hyperlink>
        </w:p>
        <w:p w14:paraId="033397BC" w14:textId="14002A3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04" w:history="1">
            <w:r w:rsidRPr="00F45DCA">
              <w:rPr>
                <w:rStyle w:val="Lienhypertexte"/>
                <w:noProof/>
              </w:rPr>
              <w:t>22.32.3 Garde-corps et rampes préfabriqués en béton CCTB 01.13</w:t>
            </w:r>
            <w:r>
              <w:rPr>
                <w:noProof/>
                <w:webHidden/>
              </w:rPr>
              <w:tab/>
            </w:r>
            <w:r>
              <w:rPr>
                <w:noProof/>
                <w:webHidden/>
              </w:rPr>
              <w:fldChar w:fldCharType="begin"/>
            </w:r>
            <w:r>
              <w:rPr>
                <w:noProof/>
                <w:webHidden/>
              </w:rPr>
              <w:instrText xml:space="preserve"> PAGEREF _Toc220495904 \h </w:instrText>
            </w:r>
            <w:r>
              <w:rPr>
                <w:noProof/>
                <w:webHidden/>
              </w:rPr>
            </w:r>
            <w:r>
              <w:rPr>
                <w:noProof/>
                <w:webHidden/>
              </w:rPr>
              <w:fldChar w:fldCharType="separate"/>
            </w:r>
            <w:r>
              <w:rPr>
                <w:noProof/>
                <w:webHidden/>
              </w:rPr>
              <w:t>655</w:t>
            </w:r>
            <w:r>
              <w:rPr>
                <w:noProof/>
                <w:webHidden/>
              </w:rPr>
              <w:fldChar w:fldCharType="end"/>
            </w:r>
          </w:hyperlink>
        </w:p>
        <w:p w14:paraId="6D50CA94" w14:textId="2B54436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05" w:history="1">
            <w:r w:rsidRPr="00F45DCA">
              <w:rPr>
                <w:rStyle w:val="Lienhypertexte"/>
                <w:noProof/>
              </w:rPr>
              <w:t>22.32.3a Garde-corps et rampes préfabriqués en béton CCTB 01.02</w:t>
            </w:r>
            <w:r>
              <w:rPr>
                <w:noProof/>
                <w:webHidden/>
              </w:rPr>
              <w:tab/>
            </w:r>
            <w:r>
              <w:rPr>
                <w:noProof/>
                <w:webHidden/>
              </w:rPr>
              <w:fldChar w:fldCharType="begin"/>
            </w:r>
            <w:r>
              <w:rPr>
                <w:noProof/>
                <w:webHidden/>
              </w:rPr>
              <w:instrText xml:space="preserve"> PAGEREF _Toc220495905 \h </w:instrText>
            </w:r>
            <w:r>
              <w:rPr>
                <w:noProof/>
                <w:webHidden/>
              </w:rPr>
            </w:r>
            <w:r>
              <w:rPr>
                <w:noProof/>
                <w:webHidden/>
              </w:rPr>
              <w:fldChar w:fldCharType="separate"/>
            </w:r>
            <w:r>
              <w:rPr>
                <w:noProof/>
                <w:webHidden/>
              </w:rPr>
              <w:t>656</w:t>
            </w:r>
            <w:r>
              <w:rPr>
                <w:noProof/>
                <w:webHidden/>
              </w:rPr>
              <w:fldChar w:fldCharType="end"/>
            </w:r>
          </w:hyperlink>
        </w:p>
        <w:p w14:paraId="4F789451" w14:textId="658128B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06" w:history="1">
            <w:r w:rsidRPr="00F45DCA">
              <w:rPr>
                <w:rStyle w:val="Lienhypertexte"/>
                <w:noProof/>
              </w:rPr>
              <w:t>22.32.4 Garde-corps et rampes préfabriqués en béton architectonique CCTB 01.13</w:t>
            </w:r>
            <w:r>
              <w:rPr>
                <w:noProof/>
                <w:webHidden/>
              </w:rPr>
              <w:tab/>
            </w:r>
            <w:r>
              <w:rPr>
                <w:noProof/>
                <w:webHidden/>
              </w:rPr>
              <w:fldChar w:fldCharType="begin"/>
            </w:r>
            <w:r>
              <w:rPr>
                <w:noProof/>
                <w:webHidden/>
              </w:rPr>
              <w:instrText xml:space="preserve"> PAGEREF _Toc220495906 \h </w:instrText>
            </w:r>
            <w:r>
              <w:rPr>
                <w:noProof/>
                <w:webHidden/>
              </w:rPr>
            </w:r>
            <w:r>
              <w:rPr>
                <w:noProof/>
                <w:webHidden/>
              </w:rPr>
              <w:fldChar w:fldCharType="separate"/>
            </w:r>
            <w:r>
              <w:rPr>
                <w:noProof/>
                <w:webHidden/>
              </w:rPr>
              <w:t>656</w:t>
            </w:r>
            <w:r>
              <w:rPr>
                <w:noProof/>
                <w:webHidden/>
              </w:rPr>
              <w:fldChar w:fldCharType="end"/>
            </w:r>
          </w:hyperlink>
        </w:p>
        <w:p w14:paraId="5FDEBE44" w14:textId="417A558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07" w:history="1">
            <w:r w:rsidRPr="00F45DCA">
              <w:rPr>
                <w:rStyle w:val="Lienhypertexte"/>
                <w:noProof/>
              </w:rPr>
              <w:t>22.32.4a Garde-corps et rampes préfabriqués en béton décoratif / architectonique CCTB 01.04</w:t>
            </w:r>
            <w:r>
              <w:rPr>
                <w:noProof/>
                <w:webHidden/>
              </w:rPr>
              <w:tab/>
            </w:r>
            <w:r>
              <w:rPr>
                <w:noProof/>
                <w:webHidden/>
              </w:rPr>
              <w:fldChar w:fldCharType="begin"/>
            </w:r>
            <w:r>
              <w:rPr>
                <w:noProof/>
                <w:webHidden/>
              </w:rPr>
              <w:instrText xml:space="preserve"> PAGEREF _Toc220495907 \h </w:instrText>
            </w:r>
            <w:r>
              <w:rPr>
                <w:noProof/>
                <w:webHidden/>
              </w:rPr>
            </w:r>
            <w:r>
              <w:rPr>
                <w:noProof/>
                <w:webHidden/>
              </w:rPr>
              <w:fldChar w:fldCharType="separate"/>
            </w:r>
            <w:r>
              <w:rPr>
                <w:noProof/>
                <w:webHidden/>
              </w:rPr>
              <w:t>656</w:t>
            </w:r>
            <w:r>
              <w:rPr>
                <w:noProof/>
                <w:webHidden/>
              </w:rPr>
              <w:fldChar w:fldCharType="end"/>
            </w:r>
          </w:hyperlink>
        </w:p>
        <w:p w14:paraId="7F36248B" w14:textId="0F8C4B7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08" w:history="1">
            <w:r w:rsidRPr="00F45DCA">
              <w:rPr>
                <w:rStyle w:val="Lienhypertexte"/>
                <w:noProof/>
              </w:rPr>
              <w:t>22.33 Balcons et terrasses en béton CCTB 01.04</w:t>
            </w:r>
            <w:r>
              <w:rPr>
                <w:noProof/>
                <w:webHidden/>
              </w:rPr>
              <w:tab/>
            </w:r>
            <w:r>
              <w:rPr>
                <w:noProof/>
                <w:webHidden/>
              </w:rPr>
              <w:fldChar w:fldCharType="begin"/>
            </w:r>
            <w:r>
              <w:rPr>
                <w:noProof/>
                <w:webHidden/>
              </w:rPr>
              <w:instrText xml:space="preserve"> PAGEREF _Toc220495908 \h </w:instrText>
            </w:r>
            <w:r>
              <w:rPr>
                <w:noProof/>
                <w:webHidden/>
              </w:rPr>
            </w:r>
            <w:r>
              <w:rPr>
                <w:noProof/>
                <w:webHidden/>
              </w:rPr>
              <w:fldChar w:fldCharType="separate"/>
            </w:r>
            <w:r>
              <w:rPr>
                <w:noProof/>
                <w:webHidden/>
              </w:rPr>
              <w:t>656</w:t>
            </w:r>
            <w:r>
              <w:rPr>
                <w:noProof/>
                <w:webHidden/>
              </w:rPr>
              <w:fldChar w:fldCharType="end"/>
            </w:r>
          </w:hyperlink>
        </w:p>
        <w:p w14:paraId="5B24F3A3" w14:textId="19D29A1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09" w:history="1">
            <w:r w:rsidRPr="00F45DCA">
              <w:rPr>
                <w:rStyle w:val="Lienhypertexte"/>
                <w:noProof/>
              </w:rPr>
              <w:t>22.33.1 Balcons et terrasses en béton coulé en place CCTB 01.13</w:t>
            </w:r>
            <w:r>
              <w:rPr>
                <w:noProof/>
                <w:webHidden/>
              </w:rPr>
              <w:tab/>
            </w:r>
            <w:r>
              <w:rPr>
                <w:noProof/>
                <w:webHidden/>
              </w:rPr>
              <w:fldChar w:fldCharType="begin"/>
            </w:r>
            <w:r>
              <w:rPr>
                <w:noProof/>
                <w:webHidden/>
              </w:rPr>
              <w:instrText xml:space="preserve"> PAGEREF _Toc220495909 \h </w:instrText>
            </w:r>
            <w:r>
              <w:rPr>
                <w:noProof/>
                <w:webHidden/>
              </w:rPr>
            </w:r>
            <w:r>
              <w:rPr>
                <w:noProof/>
                <w:webHidden/>
              </w:rPr>
              <w:fldChar w:fldCharType="separate"/>
            </w:r>
            <w:r>
              <w:rPr>
                <w:noProof/>
                <w:webHidden/>
              </w:rPr>
              <w:t>657</w:t>
            </w:r>
            <w:r>
              <w:rPr>
                <w:noProof/>
                <w:webHidden/>
              </w:rPr>
              <w:fldChar w:fldCharType="end"/>
            </w:r>
          </w:hyperlink>
        </w:p>
        <w:p w14:paraId="33A399E5" w14:textId="60C803C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10" w:history="1">
            <w:r w:rsidRPr="00F45DCA">
              <w:rPr>
                <w:rStyle w:val="Lienhypertexte"/>
                <w:noProof/>
              </w:rPr>
              <w:t>22.33.1a Balcons et terrasses en béton coulé en place CCTB 01.11</w:t>
            </w:r>
            <w:r>
              <w:rPr>
                <w:noProof/>
                <w:webHidden/>
              </w:rPr>
              <w:tab/>
            </w:r>
            <w:r>
              <w:rPr>
                <w:noProof/>
                <w:webHidden/>
              </w:rPr>
              <w:fldChar w:fldCharType="begin"/>
            </w:r>
            <w:r>
              <w:rPr>
                <w:noProof/>
                <w:webHidden/>
              </w:rPr>
              <w:instrText xml:space="preserve"> PAGEREF _Toc220495910 \h </w:instrText>
            </w:r>
            <w:r>
              <w:rPr>
                <w:noProof/>
                <w:webHidden/>
              </w:rPr>
            </w:r>
            <w:r>
              <w:rPr>
                <w:noProof/>
                <w:webHidden/>
              </w:rPr>
              <w:fldChar w:fldCharType="separate"/>
            </w:r>
            <w:r>
              <w:rPr>
                <w:noProof/>
                <w:webHidden/>
              </w:rPr>
              <w:t>658</w:t>
            </w:r>
            <w:r>
              <w:rPr>
                <w:noProof/>
                <w:webHidden/>
              </w:rPr>
              <w:fldChar w:fldCharType="end"/>
            </w:r>
          </w:hyperlink>
        </w:p>
        <w:p w14:paraId="2653AC54" w14:textId="2AE182A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11" w:history="1">
            <w:r w:rsidRPr="00F45DCA">
              <w:rPr>
                <w:rStyle w:val="Lienhypertexte"/>
                <w:noProof/>
              </w:rPr>
              <w:t>22.33.2 Balcons et terrasses en béton apparent (esthétique) coulé en place CCTB 01.13</w:t>
            </w:r>
            <w:r>
              <w:rPr>
                <w:noProof/>
                <w:webHidden/>
              </w:rPr>
              <w:tab/>
            </w:r>
            <w:r>
              <w:rPr>
                <w:noProof/>
                <w:webHidden/>
              </w:rPr>
              <w:fldChar w:fldCharType="begin"/>
            </w:r>
            <w:r>
              <w:rPr>
                <w:noProof/>
                <w:webHidden/>
              </w:rPr>
              <w:instrText xml:space="preserve"> PAGEREF _Toc220495911 \h </w:instrText>
            </w:r>
            <w:r>
              <w:rPr>
                <w:noProof/>
                <w:webHidden/>
              </w:rPr>
            </w:r>
            <w:r>
              <w:rPr>
                <w:noProof/>
                <w:webHidden/>
              </w:rPr>
              <w:fldChar w:fldCharType="separate"/>
            </w:r>
            <w:r>
              <w:rPr>
                <w:noProof/>
                <w:webHidden/>
              </w:rPr>
              <w:t>658</w:t>
            </w:r>
            <w:r>
              <w:rPr>
                <w:noProof/>
                <w:webHidden/>
              </w:rPr>
              <w:fldChar w:fldCharType="end"/>
            </w:r>
          </w:hyperlink>
        </w:p>
        <w:p w14:paraId="7306C697" w14:textId="4EF4F20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12" w:history="1">
            <w:r w:rsidRPr="00F45DCA">
              <w:rPr>
                <w:rStyle w:val="Lienhypertexte"/>
                <w:noProof/>
              </w:rPr>
              <w:t>22.33.2a Balcons et terrasses en béton apparent (esthétique) coulé en place CCTB 01.11</w:t>
            </w:r>
            <w:r>
              <w:rPr>
                <w:noProof/>
                <w:webHidden/>
              </w:rPr>
              <w:tab/>
            </w:r>
            <w:r>
              <w:rPr>
                <w:noProof/>
                <w:webHidden/>
              </w:rPr>
              <w:fldChar w:fldCharType="begin"/>
            </w:r>
            <w:r>
              <w:rPr>
                <w:noProof/>
                <w:webHidden/>
              </w:rPr>
              <w:instrText xml:space="preserve"> PAGEREF _Toc220495912 \h </w:instrText>
            </w:r>
            <w:r>
              <w:rPr>
                <w:noProof/>
                <w:webHidden/>
              </w:rPr>
            </w:r>
            <w:r>
              <w:rPr>
                <w:noProof/>
                <w:webHidden/>
              </w:rPr>
              <w:fldChar w:fldCharType="separate"/>
            </w:r>
            <w:r>
              <w:rPr>
                <w:noProof/>
                <w:webHidden/>
              </w:rPr>
              <w:t>660</w:t>
            </w:r>
            <w:r>
              <w:rPr>
                <w:noProof/>
                <w:webHidden/>
              </w:rPr>
              <w:fldChar w:fldCharType="end"/>
            </w:r>
          </w:hyperlink>
        </w:p>
        <w:p w14:paraId="65FD71E9" w14:textId="7E0F915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13" w:history="1">
            <w:r w:rsidRPr="00F45DCA">
              <w:rPr>
                <w:rStyle w:val="Lienhypertexte"/>
                <w:noProof/>
              </w:rPr>
              <w:t>22.33.3 Balcons et terrasses préfabriqués en béton CCTB 01.13</w:t>
            </w:r>
            <w:r>
              <w:rPr>
                <w:noProof/>
                <w:webHidden/>
              </w:rPr>
              <w:tab/>
            </w:r>
            <w:r>
              <w:rPr>
                <w:noProof/>
                <w:webHidden/>
              </w:rPr>
              <w:fldChar w:fldCharType="begin"/>
            </w:r>
            <w:r>
              <w:rPr>
                <w:noProof/>
                <w:webHidden/>
              </w:rPr>
              <w:instrText xml:space="preserve"> PAGEREF _Toc220495913 \h </w:instrText>
            </w:r>
            <w:r>
              <w:rPr>
                <w:noProof/>
                <w:webHidden/>
              </w:rPr>
            </w:r>
            <w:r>
              <w:rPr>
                <w:noProof/>
                <w:webHidden/>
              </w:rPr>
              <w:fldChar w:fldCharType="separate"/>
            </w:r>
            <w:r>
              <w:rPr>
                <w:noProof/>
                <w:webHidden/>
              </w:rPr>
              <w:t>660</w:t>
            </w:r>
            <w:r>
              <w:rPr>
                <w:noProof/>
                <w:webHidden/>
              </w:rPr>
              <w:fldChar w:fldCharType="end"/>
            </w:r>
          </w:hyperlink>
        </w:p>
        <w:p w14:paraId="4707D694" w14:textId="570BF33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14" w:history="1">
            <w:r w:rsidRPr="00F45DCA">
              <w:rPr>
                <w:rStyle w:val="Lienhypertexte"/>
                <w:noProof/>
              </w:rPr>
              <w:t>22.33.3a Balcons et terrasses préfabriqués en béton CCTB 01.04</w:t>
            </w:r>
            <w:r>
              <w:rPr>
                <w:noProof/>
                <w:webHidden/>
              </w:rPr>
              <w:tab/>
            </w:r>
            <w:r>
              <w:rPr>
                <w:noProof/>
                <w:webHidden/>
              </w:rPr>
              <w:fldChar w:fldCharType="begin"/>
            </w:r>
            <w:r>
              <w:rPr>
                <w:noProof/>
                <w:webHidden/>
              </w:rPr>
              <w:instrText xml:space="preserve"> PAGEREF _Toc220495914 \h </w:instrText>
            </w:r>
            <w:r>
              <w:rPr>
                <w:noProof/>
                <w:webHidden/>
              </w:rPr>
            </w:r>
            <w:r>
              <w:rPr>
                <w:noProof/>
                <w:webHidden/>
              </w:rPr>
              <w:fldChar w:fldCharType="separate"/>
            </w:r>
            <w:r>
              <w:rPr>
                <w:noProof/>
                <w:webHidden/>
              </w:rPr>
              <w:t>661</w:t>
            </w:r>
            <w:r>
              <w:rPr>
                <w:noProof/>
                <w:webHidden/>
              </w:rPr>
              <w:fldChar w:fldCharType="end"/>
            </w:r>
          </w:hyperlink>
        </w:p>
        <w:p w14:paraId="12BFCAED" w14:textId="261AD82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15" w:history="1">
            <w:r w:rsidRPr="00F45DCA">
              <w:rPr>
                <w:rStyle w:val="Lienhypertexte"/>
                <w:noProof/>
              </w:rPr>
              <w:t>22.33.4 Balcons et terrasses préfabriqués en béton architectonique CCTB 01.13</w:t>
            </w:r>
            <w:r>
              <w:rPr>
                <w:noProof/>
                <w:webHidden/>
              </w:rPr>
              <w:tab/>
            </w:r>
            <w:r>
              <w:rPr>
                <w:noProof/>
                <w:webHidden/>
              </w:rPr>
              <w:fldChar w:fldCharType="begin"/>
            </w:r>
            <w:r>
              <w:rPr>
                <w:noProof/>
                <w:webHidden/>
              </w:rPr>
              <w:instrText xml:space="preserve"> PAGEREF _Toc220495915 \h </w:instrText>
            </w:r>
            <w:r>
              <w:rPr>
                <w:noProof/>
                <w:webHidden/>
              </w:rPr>
            </w:r>
            <w:r>
              <w:rPr>
                <w:noProof/>
                <w:webHidden/>
              </w:rPr>
              <w:fldChar w:fldCharType="separate"/>
            </w:r>
            <w:r>
              <w:rPr>
                <w:noProof/>
                <w:webHidden/>
              </w:rPr>
              <w:t>661</w:t>
            </w:r>
            <w:r>
              <w:rPr>
                <w:noProof/>
                <w:webHidden/>
              </w:rPr>
              <w:fldChar w:fldCharType="end"/>
            </w:r>
          </w:hyperlink>
        </w:p>
        <w:p w14:paraId="62D8B3CC" w14:textId="21868A1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16" w:history="1">
            <w:r w:rsidRPr="00F45DCA">
              <w:rPr>
                <w:rStyle w:val="Lienhypertexte"/>
                <w:noProof/>
              </w:rPr>
              <w:t>22.33.4a Balcons et terrasses préfabriqués en béton décoratif / architectonique CCTB 01.04</w:t>
            </w:r>
            <w:r>
              <w:rPr>
                <w:noProof/>
                <w:webHidden/>
              </w:rPr>
              <w:tab/>
            </w:r>
            <w:r>
              <w:rPr>
                <w:noProof/>
                <w:webHidden/>
              </w:rPr>
              <w:fldChar w:fldCharType="begin"/>
            </w:r>
            <w:r>
              <w:rPr>
                <w:noProof/>
                <w:webHidden/>
              </w:rPr>
              <w:instrText xml:space="preserve"> PAGEREF _Toc220495916 \h </w:instrText>
            </w:r>
            <w:r>
              <w:rPr>
                <w:noProof/>
                <w:webHidden/>
              </w:rPr>
            </w:r>
            <w:r>
              <w:rPr>
                <w:noProof/>
                <w:webHidden/>
              </w:rPr>
              <w:fldChar w:fldCharType="separate"/>
            </w:r>
            <w:r>
              <w:rPr>
                <w:noProof/>
                <w:webHidden/>
              </w:rPr>
              <w:t>662</w:t>
            </w:r>
            <w:r>
              <w:rPr>
                <w:noProof/>
                <w:webHidden/>
              </w:rPr>
              <w:fldChar w:fldCharType="end"/>
            </w:r>
          </w:hyperlink>
        </w:p>
        <w:p w14:paraId="2E7680D0" w14:textId="5F0CE2D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17" w:history="1">
            <w:r w:rsidRPr="00F45DCA">
              <w:rPr>
                <w:rStyle w:val="Lienhypertexte"/>
                <w:noProof/>
              </w:rPr>
              <w:t>22.34 Passerelles et coursives en béton CCTB 01.04</w:t>
            </w:r>
            <w:r>
              <w:rPr>
                <w:noProof/>
                <w:webHidden/>
              </w:rPr>
              <w:tab/>
            </w:r>
            <w:r>
              <w:rPr>
                <w:noProof/>
                <w:webHidden/>
              </w:rPr>
              <w:fldChar w:fldCharType="begin"/>
            </w:r>
            <w:r>
              <w:rPr>
                <w:noProof/>
                <w:webHidden/>
              </w:rPr>
              <w:instrText xml:space="preserve"> PAGEREF _Toc220495917 \h </w:instrText>
            </w:r>
            <w:r>
              <w:rPr>
                <w:noProof/>
                <w:webHidden/>
              </w:rPr>
            </w:r>
            <w:r>
              <w:rPr>
                <w:noProof/>
                <w:webHidden/>
              </w:rPr>
              <w:fldChar w:fldCharType="separate"/>
            </w:r>
            <w:r>
              <w:rPr>
                <w:noProof/>
                <w:webHidden/>
              </w:rPr>
              <w:t>662</w:t>
            </w:r>
            <w:r>
              <w:rPr>
                <w:noProof/>
                <w:webHidden/>
              </w:rPr>
              <w:fldChar w:fldCharType="end"/>
            </w:r>
          </w:hyperlink>
        </w:p>
        <w:p w14:paraId="13386E07" w14:textId="1995F3A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18" w:history="1">
            <w:r w:rsidRPr="00F45DCA">
              <w:rPr>
                <w:rStyle w:val="Lienhypertexte"/>
                <w:noProof/>
              </w:rPr>
              <w:t>22.34.1 Passerelles et coursives en béton coulé en place CCTB 01.04</w:t>
            </w:r>
            <w:r>
              <w:rPr>
                <w:noProof/>
                <w:webHidden/>
              </w:rPr>
              <w:tab/>
            </w:r>
            <w:r>
              <w:rPr>
                <w:noProof/>
                <w:webHidden/>
              </w:rPr>
              <w:fldChar w:fldCharType="begin"/>
            </w:r>
            <w:r>
              <w:rPr>
                <w:noProof/>
                <w:webHidden/>
              </w:rPr>
              <w:instrText xml:space="preserve"> PAGEREF _Toc220495918 \h </w:instrText>
            </w:r>
            <w:r>
              <w:rPr>
                <w:noProof/>
                <w:webHidden/>
              </w:rPr>
            </w:r>
            <w:r>
              <w:rPr>
                <w:noProof/>
                <w:webHidden/>
              </w:rPr>
              <w:fldChar w:fldCharType="separate"/>
            </w:r>
            <w:r>
              <w:rPr>
                <w:noProof/>
                <w:webHidden/>
              </w:rPr>
              <w:t>662</w:t>
            </w:r>
            <w:r>
              <w:rPr>
                <w:noProof/>
                <w:webHidden/>
              </w:rPr>
              <w:fldChar w:fldCharType="end"/>
            </w:r>
          </w:hyperlink>
        </w:p>
        <w:p w14:paraId="76E1BA70" w14:textId="573EAB7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19" w:history="1">
            <w:r w:rsidRPr="00F45DCA">
              <w:rPr>
                <w:rStyle w:val="Lienhypertexte"/>
                <w:noProof/>
              </w:rPr>
              <w:t>22.34.1a Passerelles et coursives en béton coulé en place CCTB 01.04</w:t>
            </w:r>
            <w:r>
              <w:rPr>
                <w:noProof/>
                <w:webHidden/>
              </w:rPr>
              <w:tab/>
            </w:r>
            <w:r>
              <w:rPr>
                <w:noProof/>
                <w:webHidden/>
              </w:rPr>
              <w:fldChar w:fldCharType="begin"/>
            </w:r>
            <w:r>
              <w:rPr>
                <w:noProof/>
                <w:webHidden/>
              </w:rPr>
              <w:instrText xml:space="preserve"> PAGEREF _Toc220495919 \h </w:instrText>
            </w:r>
            <w:r>
              <w:rPr>
                <w:noProof/>
                <w:webHidden/>
              </w:rPr>
            </w:r>
            <w:r>
              <w:rPr>
                <w:noProof/>
                <w:webHidden/>
              </w:rPr>
              <w:fldChar w:fldCharType="separate"/>
            </w:r>
            <w:r>
              <w:rPr>
                <w:noProof/>
                <w:webHidden/>
              </w:rPr>
              <w:t>662</w:t>
            </w:r>
            <w:r>
              <w:rPr>
                <w:noProof/>
                <w:webHidden/>
              </w:rPr>
              <w:fldChar w:fldCharType="end"/>
            </w:r>
          </w:hyperlink>
        </w:p>
        <w:p w14:paraId="4CBA47DC" w14:textId="0DE1E2F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20" w:history="1">
            <w:r w:rsidRPr="00F45DCA">
              <w:rPr>
                <w:rStyle w:val="Lienhypertexte"/>
                <w:noProof/>
              </w:rPr>
              <w:t>22.34.2 Passerelles et coursives en béton apparent (esthétique) coulé en place CCTB 01.02</w:t>
            </w:r>
            <w:r>
              <w:rPr>
                <w:noProof/>
                <w:webHidden/>
              </w:rPr>
              <w:tab/>
            </w:r>
            <w:r>
              <w:rPr>
                <w:noProof/>
                <w:webHidden/>
              </w:rPr>
              <w:fldChar w:fldCharType="begin"/>
            </w:r>
            <w:r>
              <w:rPr>
                <w:noProof/>
                <w:webHidden/>
              </w:rPr>
              <w:instrText xml:space="preserve"> PAGEREF _Toc220495920 \h </w:instrText>
            </w:r>
            <w:r>
              <w:rPr>
                <w:noProof/>
                <w:webHidden/>
              </w:rPr>
            </w:r>
            <w:r>
              <w:rPr>
                <w:noProof/>
                <w:webHidden/>
              </w:rPr>
              <w:fldChar w:fldCharType="separate"/>
            </w:r>
            <w:r>
              <w:rPr>
                <w:noProof/>
                <w:webHidden/>
              </w:rPr>
              <w:t>662</w:t>
            </w:r>
            <w:r>
              <w:rPr>
                <w:noProof/>
                <w:webHidden/>
              </w:rPr>
              <w:fldChar w:fldCharType="end"/>
            </w:r>
          </w:hyperlink>
        </w:p>
        <w:p w14:paraId="21638F6D" w14:textId="4CCF6B4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21" w:history="1">
            <w:r w:rsidRPr="00F45DCA">
              <w:rPr>
                <w:rStyle w:val="Lienhypertexte"/>
                <w:noProof/>
              </w:rPr>
              <w:t>22.34.2a Passerelles et coursives en béton apparent (esthétique) coulé en place CCTB 01.04</w:t>
            </w:r>
            <w:r>
              <w:rPr>
                <w:noProof/>
                <w:webHidden/>
              </w:rPr>
              <w:tab/>
            </w:r>
            <w:r>
              <w:rPr>
                <w:noProof/>
                <w:webHidden/>
              </w:rPr>
              <w:fldChar w:fldCharType="begin"/>
            </w:r>
            <w:r>
              <w:rPr>
                <w:noProof/>
                <w:webHidden/>
              </w:rPr>
              <w:instrText xml:space="preserve"> PAGEREF _Toc220495921 \h </w:instrText>
            </w:r>
            <w:r>
              <w:rPr>
                <w:noProof/>
                <w:webHidden/>
              </w:rPr>
            </w:r>
            <w:r>
              <w:rPr>
                <w:noProof/>
                <w:webHidden/>
              </w:rPr>
              <w:fldChar w:fldCharType="separate"/>
            </w:r>
            <w:r>
              <w:rPr>
                <w:noProof/>
                <w:webHidden/>
              </w:rPr>
              <w:t>662</w:t>
            </w:r>
            <w:r>
              <w:rPr>
                <w:noProof/>
                <w:webHidden/>
              </w:rPr>
              <w:fldChar w:fldCharType="end"/>
            </w:r>
          </w:hyperlink>
        </w:p>
        <w:p w14:paraId="03820D89" w14:textId="40A63F5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22" w:history="1">
            <w:r w:rsidRPr="00F45DCA">
              <w:rPr>
                <w:rStyle w:val="Lienhypertexte"/>
                <w:noProof/>
              </w:rPr>
              <w:t>22.34.3 Passerelles et coursives préfabriquées en béton CCTB 01.04</w:t>
            </w:r>
            <w:r>
              <w:rPr>
                <w:noProof/>
                <w:webHidden/>
              </w:rPr>
              <w:tab/>
            </w:r>
            <w:r>
              <w:rPr>
                <w:noProof/>
                <w:webHidden/>
              </w:rPr>
              <w:fldChar w:fldCharType="begin"/>
            </w:r>
            <w:r>
              <w:rPr>
                <w:noProof/>
                <w:webHidden/>
              </w:rPr>
              <w:instrText xml:space="preserve"> PAGEREF _Toc220495922 \h </w:instrText>
            </w:r>
            <w:r>
              <w:rPr>
                <w:noProof/>
                <w:webHidden/>
              </w:rPr>
            </w:r>
            <w:r>
              <w:rPr>
                <w:noProof/>
                <w:webHidden/>
              </w:rPr>
              <w:fldChar w:fldCharType="separate"/>
            </w:r>
            <w:r>
              <w:rPr>
                <w:noProof/>
                <w:webHidden/>
              </w:rPr>
              <w:t>662</w:t>
            </w:r>
            <w:r>
              <w:rPr>
                <w:noProof/>
                <w:webHidden/>
              </w:rPr>
              <w:fldChar w:fldCharType="end"/>
            </w:r>
          </w:hyperlink>
        </w:p>
        <w:p w14:paraId="2F4DF871" w14:textId="2ABD4B9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23" w:history="1">
            <w:r w:rsidRPr="00F45DCA">
              <w:rPr>
                <w:rStyle w:val="Lienhypertexte"/>
                <w:noProof/>
              </w:rPr>
              <w:t>22.34.3a Passerelles et coursives préfabriquées en béton CCTB 01.04</w:t>
            </w:r>
            <w:r>
              <w:rPr>
                <w:noProof/>
                <w:webHidden/>
              </w:rPr>
              <w:tab/>
            </w:r>
            <w:r>
              <w:rPr>
                <w:noProof/>
                <w:webHidden/>
              </w:rPr>
              <w:fldChar w:fldCharType="begin"/>
            </w:r>
            <w:r>
              <w:rPr>
                <w:noProof/>
                <w:webHidden/>
              </w:rPr>
              <w:instrText xml:space="preserve"> PAGEREF _Toc220495923 \h </w:instrText>
            </w:r>
            <w:r>
              <w:rPr>
                <w:noProof/>
                <w:webHidden/>
              </w:rPr>
            </w:r>
            <w:r>
              <w:rPr>
                <w:noProof/>
                <w:webHidden/>
              </w:rPr>
              <w:fldChar w:fldCharType="separate"/>
            </w:r>
            <w:r>
              <w:rPr>
                <w:noProof/>
                <w:webHidden/>
              </w:rPr>
              <w:t>662</w:t>
            </w:r>
            <w:r>
              <w:rPr>
                <w:noProof/>
                <w:webHidden/>
              </w:rPr>
              <w:fldChar w:fldCharType="end"/>
            </w:r>
          </w:hyperlink>
        </w:p>
        <w:p w14:paraId="5D40DF51" w14:textId="221CE09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24" w:history="1">
            <w:r w:rsidRPr="00F45DCA">
              <w:rPr>
                <w:rStyle w:val="Lienhypertexte"/>
                <w:noProof/>
              </w:rPr>
              <w:t>22.34.4 Passerelles et coursives préfabriquées en béton architectonique CCTB 01.04</w:t>
            </w:r>
            <w:r>
              <w:rPr>
                <w:noProof/>
                <w:webHidden/>
              </w:rPr>
              <w:tab/>
            </w:r>
            <w:r>
              <w:rPr>
                <w:noProof/>
                <w:webHidden/>
              </w:rPr>
              <w:fldChar w:fldCharType="begin"/>
            </w:r>
            <w:r>
              <w:rPr>
                <w:noProof/>
                <w:webHidden/>
              </w:rPr>
              <w:instrText xml:space="preserve"> PAGEREF _Toc220495924 \h </w:instrText>
            </w:r>
            <w:r>
              <w:rPr>
                <w:noProof/>
                <w:webHidden/>
              </w:rPr>
            </w:r>
            <w:r>
              <w:rPr>
                <w:noProof/>
                <w:webHidden/>
              </w:rPr>
              <w:fldChar w:fldCharType="separate"/>
            </w:r>
            <w:r>
              <w:rPr>
                <w:noProof/>
                <w:webHidden/>
              </w:rPr>
              <w:t>662</w:t>
            </w:r>
            <w:r>
              <w:rPr>
                <w:noProof/>
                <w:webHidden/>
              </w:rPr>
              <w:fldChar w:fldCharType="end"/>
            </w:r>
          </w:hyperlink>
        </w:p>
        <w:p w14:paraId="1CC3FF38" w14:textId="1A6E837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25" w:history="1">
            <w:r w:rsidRPr="00F45DCA">
              <w:rPr>
                <w:rStyle w:val="Lienhypertexte"/>
                <w:noProof/>
              </w:rPr>
              <w:t>22.34.4a Passerelles et coursives préfabriquées en béton décoratif / architectonique CCTB 01.04</w:t>
            </w:r>
            <w:r>
              <w:rPr>
                <w:noProof/>
                <w:webHidden/>
              </w:rPr>
              <w:tab/>
            </w:r>
            <w:r>
              <w:rPr>
                <w:noProof/>
                <w:webHidden/>
              </w:rPr>
              <w:fldChar w:fldCharType="begin"/>
            </w:r>
            <w:r>
              <w:rPr>
                <w:noProof/>
                <w:webHidden/>
              </w:rPr>
              <w:instrText xml:space="preserve"> PAGEREF _Toc220495925 \h </w:instrText>
            </w:r>
            <w:r>
              <w:rPr>
                <w:noProof/>
                <w:webHidden/>
              </w:rPr>
            </w:r>
            <w:r>
              <w:rPr>
                <w:noProof/>
                <w:webHidden/>
              </w:rPr>
              <w:fldChar w:fldCharType="separate"/>
            </w:r>
            <w:r>
              <w:rPr>
                <w:noProof/>
                <w:webHidden/>
              </w:rPr>
              <w:t>662</w:t>
            </w:r>
            <w:r>
              <w:rPr>
                <w:noProof/>
                <w:webHidden/>
              </w:rPr>
              <w:fldChar w:fldCharType="end"/>
            </w:r>
          </w:hyperlink>
        </w:p>
        <w:p w14:paraId="2622C430" w14:textId="3EA1717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26" w:history="1">
            <w:r w:rsidRPr="00F45DCA">
              <w:rPr>
                <w:rStyle w:val="Lienhypertexte"/>
                <w:noProof/>
              </w:rPr>
              <w:t>22.35 Auvents en béton CCTB 01.04</w:t>
            </w:r>
            <w:r>
              <w:rPr>
                <w:noProof/>
                <w:webHidden/>
              </w:rPr>
              <w:tab/>
            </w:r>
            <w:r>
              <w:rPr>
                <w:noProof/>
                <w:webHidden/>
              </w:rPr>
              <w:fldChar w:fldCharType="begin"/>
            </w:r>
            <w:r>
              <w:rPr>
                <w:noProof/>
                <w:webHidden/>
              </w:rPr>
              <w:instrText xml:space="preserve"> PAGEREF _Toc220495926 \h </w:instrText>
            </w:r>
            <w:r>
              <w:rPr>
                <w:noProof/>
                <w:webHidden/>
              </w:rPr>
            </w:r>
            <w:r>
              <w:rPr>
                <w:noProof/>
                <w:webHidden/>
              </w:rPr>
              <w:fldChar w:fldCharType="separate"/>
            </w:r>
            <w:r>
              <w:rPr>
                <w:noProof/>
                <w:webHidden/>
              </w:rPr>
              <w:t>662</w:t>
            </w:r>
            <w:r>
              <w:rPr>
                <w:noProof/>
                <w:webHidden/>
              </w:rPr>
              <w:fldChar w:fldCharType="end"/>
            </w:r>
          </w:hyperlink>
        </w:p>
        <w:p w14:paraId="1ECD2BCC" w14:textId="19B7C98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27" w:history="1">
            <w:r w:rsidRPr="00F45DCA">
              <w:rPr>
                <w:rStyle w:val="Lienhypertexte"/>
                <w:noProof/>
              </w:rPr>
              <w:t>22.35.1 Auvents en béton coulé en place CCTB 01.04</w:t>
            </w:r>
            <w:r>
              <w:rPr>
                <w:noProof/>
                <w:webHidden/>
              </w:rPr>
              <w:tab/>
            </w:r>
            <w:r>
              <w:rPr>
                <w:noProof/>
                <w:webHidden/>
              </w:rPr>
              <w:fldChar w:fldCharType="begin"/>
            </w:r>
            <w:r>
              <w:rPr>
                <w:noProof/>
                <w:webHidden/>
              </w:rPr>
              <w:instrText xml:space="preserve"> PAGEREF _Toc220495927 \h </w:instrText>
            </w:r>
            <w:r>
              <w:rPr>
                <w:noProof/>
                <w:webHidden/>
              </w:rPr>
            </w:r>
            <w:r>
              <w:rPr>
                <w:noProof/>
                <w:webHidden/>
              </w:rPr>
              <w:fldChar w:fldCharType="separate"/>
            </w:r>
            <w:r>
              <w:rPr>
                <w:noProof/>
                <w:webHidden/>
              </w:rPr>
              <w:t>662</w:t>
            </w:r>
            <w:r>
              <w:rPr>
                <w:noProof/>
                <w:webHidden/>
              </w:rPr>
              <w:fldChar w:fldCharType="end"/>
            </w:r>
          </w:hyperlink>
        </w:p>
        <w:p w14:paraId="4015FA17" w14:textId="59EAF10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28" w:history="1">
            <w:r w:rsidRPr="00F45DCA">
              <w:rPr>
                <w:rStyle w:val="Lienhypertexte"/>
                <w:noProof/>
              </w:rPr>
              <w:t>22.35.1a Auvents en béton coulé en place CCTB 01.04</w:t>
            </w:r>
            <w:r>
              <w:rPr>
                <w:noProof/>
                <w:webHidden/>
              </w:rPr>
              <w:tab/>
            </w:r>
            <w:r>
              <w:rPr>
                <w:noProof/>
                <w:webHidden/>
              </w:rPr>
              <w:fldChar w:fldCharType="begin"/>
            </w:r>
            <w:r>
              <w:rPr>
                <w:noProof/>
                <w:webHidden/>
              </w:rPr>
              <w:instrText xml:space="preserve"> PAGEREF _Toc220495928 \h </w:instrText>
            </w:r>
            <w:r>
              <w:rPr>
                <w:noProof/>
                <w:webHidden/>
              </w:rPr>
            </w:r>
            <w:r>
              <w:rPr>
                <w:noProof/>
                <w:webHidden/>
              </w:rPr>
              <w:fldChar w:fldCharType="separate"/>
            </w:r>
            <w:r>
              <w:rPr>
                <w:noProof/>
                <w:webHidden/>
              </w:rPr>
              <w:t>662</w:t>
            </w:r>
            <w:r>
              <w:rPr>
                <w:noProof/>
                <w:webHidden/>
              </w:rPr>
              <w:fldChar w:fldCharType="end"/>
            </w:r>
          </w:hyperlink>
        </w:p>
        <w:p w14:paraId="26281B0D" w14:textId="4DFD660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29" w:history="1">
            <w:r w:rsidRPr="00F45DCA">
              <w:rPr>
                <w:rStyle w:val="Lienhypertexte"/>
                <w:noProof/>
              </w:rPr>
              <w:t>22.35.2 Auvents en béton apparent (esthétique) coulé en place CCTB 01.04</w:t>
            </w:r>
            <w:r>
              <w:rPr>
                <w:noProof/>
                <w:webHidden/>
              </w:rPr>
              <w:tab/>
            </w:r>
            <w:r>
              <w:rPr>
                <w:noProof/>
                <w:webHidden/>
              </w:rPr>
              <w:fldChar w:fldCharType="begin"/>
            </w:r>
            <w:r>
              <w:rPr>
                <w:noProof/>
                <w:webHidden/>
              </w:rPr>
              <w:instrText xml:space="preserve"> PAGEREF _Toc220495929 \h </w:instrText>
            </w:r>
            <w:r>
              <w:rPr>
                <w:noProof/>
                <w:webHidden/>
              </w:rPr>
            </w:r>
            <w:r>
              <w:rPr>
                <w:noProof/>
                <w:webHidden/>
              </w:rPr>
              <w:fldChar w:fldCharType="separate"/>
            </w:r>
            <w:r>
              <w:rPr>
                <w:noProof/>
                <w:webHidden/>
              </w:rPr>
              <w:t>662</w:t>
            </w:r>
            <w:r>
              <w:rPr>
                <w:noProof/>
                <w:webHidden/>
              </w:rPr>
              <w:fldChar w:fldCharType="end"/>
            </w:r>
          </w:hyperlink>
        </w:p>
        <w:p w14:paraId="6BA27B44" w14:textId="0C4CD52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30" w:history="1">
            <w:r w:rsidRPr="00F45DCA">
              <w:rPr>
                <w:rStyle w:val="Lienhypertexte"/>
                <w:noProof/>
              </w:rPr>
              <w:t>22.35.2a Auvents en béton apparent (esthétique) coulé en place CCTB 01.04</w:t>
            </w:r>
            <w:r>
              <w:rPr>
                <w:noProof/>
                <w:webHidden/>
              </w:rPr>
              <w:tab/>
            </w:r>
            <w:r>
              <w:rPr>
                <w:noProof/>
                <w:webHidden/>
              </w:rPr>
              <w:fldChar w:fldCharType="begin"/>
            </w:r>
            <w:r>
              <w:rPr>
                <w:noProof/>
                <w:webHidden/>
              </w:rPr>
              <w:instrText xml:space="preserve"> PAGEREF _Toc220495930 \h </w:instrText>
            </w:r>
            <w:r>
              <w:rPr>
                <w:noProof/>
                <w:webHidden/>
              </w:rPr>
            </w:r>
            <w:r>
              <w:rPr>
                <w:noProof/>
                <w:webHidden/>
              </w:rPr>
              <w:fldChar w:fldCharType="separate"/>
            </w:r>
            <w:r>
              <w:rPr>
                <w:noProof/>
                <w:webHidden/>
              </w:rPr>
              <w:t>662</w:t>
            </w:r>
            <w:r>
              <w:rPr>
                <w:noProof/>
                <w:webHidden/>
              </w:rPr>
              <w:fldChar w:fldCharType="end"/>
            </w:r>
          </w:hyperlink>
        </w:p>
        <w:p w14:paraId="535FCCB9" w14:textId="7070E4D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31" w:history="1">
            <w:r w:rsidRPr="00F45DCA">
              <w:rPr>
                <w:rStyle w:val="Lienhypertexte"/>
                <w:noProof/>
              </w:rPr>
              <w:t>22.35.3 Auvents préfabriqués en béton CCTB 01.04</w:t>
            </w:r>
            <w:r>
              <w:rPr>
                <w:noProof/>
                <w:webHidden/>
              </w:rPr>
              <w:tab/>
            </w:r>
            <w:r>
              <w:rPr>
                <w:noProof/>
                <w:webHidden/>
              </w:rPr>
              <w:fldChar w:fldCharType="begin"/>
            </w:r>
            <w:r>
              <w:rPr>
                <w:noProof/>
                <w:webHidden/>
              </w:rPr>
              <w:instrText xml:space="preserve"> PAGEREF _Toc220495931 \h </w:instrText>
            </w:r>
            <w:r>
              <w:rPr>
                <w:noProof/>
                <w:webHidden/>
              </w:rPr>
            </w:r>
            <w:r>
              <w:rPr>
                <w:noProof/>
                <w:webHidden/>
              </w:rPr>
              <w:fldChar w:fldCharType="separate"/>
            </w:r>
            <w:r>
              <w:rPr>
                <w:noProof/>
                <w:webHidden/>
              </w:rPr>
              <w:t>662</w:t>
            </w:r>
            <w:r>
              <w:rPr>
                <w:noProof/>
                <w:webHidden/>
              </w:rPr>
              <w:fldChar w:fldCharType="end"/>
            </w:r>
          </w:hyperlink>
        </w:p>
        <w:p w14:paraId="1D3DBA23" w14:textId="19978C1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32" w:history="1">
            <w:r w:rsidRPr="00F45DCA">
              <w:rPr>
                <w:rStyle w:val="Lienhypertexte"/>
                <w:noProof/>
              </w:rPr>
              <w:t>22.35.3a Auvents préfabriqués en béton CCTB 01.04</w:t>
            </w:r>
            <w:r>
              <w:rPr>
                <w:noProof/>
                <w:webHidden/>
              </w:rPr>
              <w:tab/>
            </w:r>
            <w:r>
              <w:rPr>
                <w:noProof/>
                <w:webHidden/>
              </w:rPr>
              <w:fldChar w:fldCharType="begin"/>
            </w:r>
            <w:r>
              <w:rPr>
                <w:noProof/>
                <w:webHidden/>
              </w:rPr>
              <w:instrText xml:space="preserve"> PAGEREF _Toc220495932 \h </w:instrText>
            </w:r>
            <w:r>
              <w:rPr>
                <w:noProof/>
                <w:webHidden/>
              </w:rPr>
            </w:r>
            <w:r>
              <w:rPr>
                <w:noProof/>
                <w:webHidden/>
              </w:rPr>
              <w:fldChar w:fldCharType="separate"/>
            </w:r>
            <w:r>
              <w:rPr>
                <w:noProof/>
                <w:webHidden/>
              </w:rPr>
              <w:t>662</w:t>
            </w:r>
            <w:r>
              <w:rPr>
                <w:noProof/>
                <w:webHidden/>
              </w:rPr>
              <w:fldChar w:fldCharType="end"/>
            </w:r>
          </w:hyperlink>
        </w:p>
        <w:p w14:paraId="641A9DE4" w14:textId="33EC71D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33" w:history="1">
            <w:r w:rsidRPr="00F45DCA">
              <w:rPr>
                <w:rStyle w:val="Lienhypertexte"/>
                <w:noProof/>
              </w:rPr>
              <w:t>22.35.4 Auvents préfabriqués en béton architectonique CCTB 01.02</w:t>
            </w:r>
            <w:r>
              <w:rPr>
                <w:noProof/>
                <w:webHidden/>
              </w:rPr>
              <w:tab/>
            </w:r>
            <w:r>
              <w:rPr>
                <w:noProof/>
                <w:webHidden/>
              </w:rPr>
              <w:fldChar w:fldCharType="begin"/>
            </w:r>
            <w:r>
              <w:rPr>
                <w:noProof/>
                <w:webHidden/>
              </w:rPr>
              <w:instrText xml:space="preserve"> PAGEREF _Toc220495933 \h </w:instrText>
            </w:r>
            <w:r>
              <w:rPr>
                <w:noProof/>
                <w:webHidden/>
              </w:rPr>
            </w:r>
            <w:r>
              <w:rPr>
                <w:noProof/>
                <w:webHidden/>
              </w:rPr>
              <w:fldChar w:fldCharType="separate"/>
            </w:r>
            <w:r>
              <w:rPr>
                <w:noProof/>
                <w:webHidden/>
              </w:rPr>
              <w:t>662</w:t>
            </w:r>
            <w:r>
              <w:rPr>
                <w:noProof/>
                <w:webHidden/>
              </w:rPr>
              <w:fldChar w:fldCharType="end"/>
            </w:r>
          </w:hyperlink>
        </w:p>
        <w:p w14:paraId="6C28111D" w14:textId="350F7CA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34" w:history="1">
            <w:r w:rsidRPr="00F45DCA">
              <w:rPr>
                <w:rStyle w:val="Lienhypertexte"/>
                <w:noProof/>
              </w:rPr>
              <w:t>22.35.4a Auvents préfabriqués en béton décoratif / architectonique CCTB 01.04</w:t>
            </w:r>
            <w:r>
              <w:rPr>
                <w:noProof/>
                <w:webHidden/>
              </w:rPr>
              <w:tab/>
            </w:r>
            <w:r>
              <w:rPr>
                <w:noProof/>
                <w:webHidden/>
              </w:rPr>
              <w:fldChar w:fldCharType="begin"/>
            </w:r>
            <w:r>
              <w:rPr>
                <w:noProof/>
                <w:webHidden/>
              </w:rPr>
              <w:instrText xml:space="preserve"> PAGEREF _Toc220495934 \h </w:instrText>
            </w:r>
            <w:r>
              <w:rPr>
                <w:noProof/>
                <w:webHidden/>
              </w:rPr>
            </w:r>
            <w:r>
              <w:rPr>
                <w:noProof/>
                <w:webHidden/>
              </w:rPr>
              <w:fldChar w:fldCharType="separate"/>
            </w:r>
            <w:r>
              <w:rPr>
                <w:noProof/>
                <w:webHidden/>
              </w:rPr>
              <w:t>662</w:t>
            </w:r>
            <w:r>
              <w:rPr>
                <w:noProof/>
                <w:webHidden/>
              </w:rPr>
              <w:fldChar w:fldCharType="end"/>
            </w:r>
          </w:hyperlink>
        </w:p>
        <w:p w14:paraId="582564D8" w14:textId="10C8B12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35" w:history="1">
            <w:r w:rsidRPr="00F45DCA">
              <w:rPr>
                <w:rStyle w:val="Lienhypertexte"/>
                <w:noProof/>
              </w:rPr>
              <w:t>22.36 Corniches en béton CCTB 01.04</w:t>
            </w:r>
            <w:r>
              <w:rPr>
                <w:noProof/>
                <w:webHidden/>
              </w:rPr>
              <w:tab/>
            </w:r>
            <w:r>
              <w:rPr>
                <w:noProof/>
                <w:webHidden/>
              </w:rPr>
              <w:fldChar w:fldCharType="begin"/>
            </w:r>
            <w:r>
              <w:rPr>
                <w:noProof/>
                <w:webHidden/>
              </w:rPr>
              <w:instrText xml:space="preserve"> PAGEREF _Toc220495935 \h </w:instrText>
            </w:r>
            <w:r>
              <w:rPr>
                <w:noProof/>
                <w:webHidden/>
              </w:rPr>
            </w:r>
            <w:r>
              <w:rPr>
                <w:noProof/>
                <w:webHidden/>
              </w:rPr>
              <w:fldChar w:fldCharType="separate"/>
            </w:r>
            <w:r>
              <w:rPr>
                <w:noProof/>
                <w:webHidden/>
              </w:rPr>
              <w:t>662</w:t>
            </w:r>
            <w:r>
              <w:rPr>
                <w:noProof/>
                <w:webHidden/>
              </w:rPr>
              <w:fldChar w:fldCharType="end"/>
            </w:r>
          </w:hyperlink>
        </w:p>
        <w:p w14:paraId="2D9A8E1C" w14:textId="11DC332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36" w:history="1">
            <w:r w:rsidRPr="00F45DCA">
              <w:rPr>
                <w:rStyle w:val="Lienhypertexte"/>
                <w:noProof/>
              </w:rPr>
              <w:t>22.36.1 Corniches en béton coulé en place CCTB 01.04</w:t>
            </w:r>
            <w:r>
              <w:rPr>
                <w:noProof/>
                <w:webHidden/>
              </w:rPr>
              <w:tab/>
            </w:r>
            <w:r>
              <w:rPr>
                <w:noProof/>
                <w:webHidden/>
              </w:rPr>
              <w:fldChar w:fldCharType="begin"/>
            </w:r>
            <w:r>
              <w:rPr>
                <w:noProof/>
                <w:webHidden/>
              </w:rPr>
              <w:instrText xml:space="preserve"> PAGEREF _Toc220495936 \h </w:instrText>
            </w:r>
            <w:r>
              <w:rPr>
                <w:noProof/>
                <w:webHidden/>
              </w:rPr>
            </w:r>
            <w:r>
              <w:rPr>
                <w:noProof/>
                <w:webHidden/>
              </w:rPr>
              <w:fldChar w:fldCharType="separate"/>
            </w:r>
            <w:r>
              <w:rPr>
                <w:noProof/>
                <w:webHidden/>
              </w:rPr>
              <w:t>662</w:t>
            </w:r>
            <w:r>
              <w:rPr>
                <w:noProof/>
                <w:webHidden/>
              </w:rPr>
              <w:fldChar w:fldCharType="end"/>
            </w:r>
          </w:hyperlink>
        </w:p>
        <w:p w14:paraId="1D4A8145" w14:textId="565F91F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37" w:history="1">
            <w:r w:rsidRPr="00F45DCA">
              <w:rPr>
                <w:rStyle w:val="Lienhypertexte"/>
                <w:noProof/>
              </w:rPr>
              <w:t>22.36.1a Corniches en béton coulé en place CCTB 01.13</w:t>
            </w:r>
            <w:r>
              <w:rPr>
                <w:noProof/>
                <w:webHidden/>
              </w:rPr>
              <w:tab/>
            </w:r>
            <w:r>
              <w:rPr>
                <w:noProof/>
                <w:webHidden/>
              </w:rPr>
              <w:fldChar w:fldCharType="begin"/>
            </w:r>
            <w:r>
              <w:rPr>
                <w:noProof/>
                <w:webHidden/>
              </w:rPr>
              <w:instrText xml:space="preserve"> PAGEREF _Toc220495937 \h </w:instrText>
            </w:r>
            <w:r>
              <w:rPr>
                <w:noProof/>
                <w:webHidden/>
              </w:rPr>
            </w:r>
            <w:r>
              <w:rPr>
                <w:noProof/>
                <w:webHidden/>
              </w:rPr>
              <w:fldChar w:fldCharType="separate"/>
            </w:r>
            <w:r>
              <w:rPr>
                <w:noProof/>
                <w:webHidden/>
              </w:rPr>
              <w:t>662</w:t>
            </w:r>
            <w:r>
              <w:rPr>
                <w:noProof/>
                <w:webHidden/>
              </w:rPr>
              <w:fldChar w:fldCharType="end"/>
            </w:r>
          </w:hyperlink>
        </w:p>
        <w:p w14:paraId="4E4DF747" w14:textId="1945468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38" w:history="1">
            <w:r w:rsidRPr="00F45DCA">
              <w:rPr>
                <w:rStyle w:val="Lienhypertexte"/>
                <w:noProof/>
              </w:rPr>
              <w:t>22.36.2 Corniches en béton apparent (esthétique) coulé en place CCTB 01.04</w:t>
            </w:r>
            <w:r>
              <w:rPr>
                <w:noProof/>
                <w:webHidden/>
              </w:rPr>
              <w:tab/>
            </w:r>
            <w:r>
              <w:rPr>
                <w:noProof/>
                <w:webHidden/>
              </w:rPr>
              <w:fldChar w:fldCharType="begin"/>
            </w:r>
            <w:r>
              <w:rPr>
                <w:noProof/>
                <w:webHidden/>
              </w:rPr>
              <w:instrText xml:space="preserve"> PAGEREF _Toc220495938 \h </w:instrText>
            </w:r>
            <w:r>
              <w:rPr>
                <w:noProof/>
                <w:webHidden/>
              </w:rPr>
            </w:r>
            <w:r>
              <w:rPr>
                <w:noProof/>
                <w:webHidden/>
              </w:rPr>
              <w:fldChar w:fldCharType="separate"/>
            </w:r>
            <w:r>
              <w:rPr>
                <w:noProof/>
                <w:webHidden/>
              </w:rPr>
              <w:t>664</w:t>
            </w:r>
            <w:r>
              <w:rPr>
                <w:noProof/>
                <w:webHidden/>
              </w:rPr>
              <w:fldChar w:fldCharType="end"/>
            </w:r>
          </w:hyperlink>
        </w:p>
        <w:p w14:paraId="20143603" w14:textId="6D5AB52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39" w:history="1">
            <w:r w:rsidRPr="00F45DCA">
              <w:rPr>
                <w:rStyle w:val="Lienhypertexte"/>
                <w:noProof/>
              </w:rPr>
              <w:t>22.36.2a Corniches en béton apparent (esthétique) coulé en place CCTB 01.13</w:t>
            </w:r>
            <w:r>
              <w:rPr>
                <w:noProof/>
                <w:webHidden/>
              </w:rPr>
              <w:tab/>
            </w:r>
            <w:r>
              <w:rPr>
                <w:noProof/>
                <w:webHidden/>
              </w:rPr>
              <w:fldChar w:fldCharType="begin"/>
            </w:r>
            <w:r>
              <w:rPr>
                <w:noProof/>
                <w:webHidden/>
              </w:rPr>
              <w:instrText xml:space="preserve"> PAGEREF _Toc220495939 \h </w:instrText>
            </w:r>
            <w:r>
              <w:rPr>
                <w:noProof/>
                <w:webHidden/>
              </w:rPr>
            </w:r>
            <w:r>
              <w:rPr>
                <w:noProof/>
                <w:webHidden/>
              </w:rPr>
              <w:fldChar w:fldCharType="separate"/>
            </w:r>
            <w:r>
              <w:rPr>
                <w:noProof/>
                <w:webHidden/>
              </w:rPr>
              <w:t>664</w:t>
            </w:r>
            <w:r>
              <w:rPr>
                <w:noProof/>
                <w:webHidden/>
              </w:rPr>
              <w:fldChar w:fldCharType="end"/>
            </w:r>
          </w:hyperlink>
        </w:p>
        <w:p w14:paraId="4268D50D" w14:textId="024889D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40" w:history="1">
            <w:r w:rsidRPr="00F45DCA">
              <w:rPr>
                <w:rStyle w:val="Lienhypertexte"/>
                <w:noProof/>
              </w:rPr>
              <w:t>22.36.3 Corniches préfabriquées en béton CCTB 01.13</w:t>
            </w:r>
            <w:r>
              <w:rPr>
                <w:noProof/>
                <w:webHidden/>
              </w:rPr>
              <w:tab/>
            </w:r>
            <w:r>
              <w:rPr>
                <w:noProof/>
                <w:webHidden/>
              </w:rPr>
              <w:fldChar w:fldCharType="begin"/>
            </w:r>
            <w:r>
              <w:rPr>
                <w:noProof/>
                <w:webHidden/>
              </w:rPr>
              <w:instrText xml:space="preserve"> PAGEREF _Toc220495940 \h </w:instrText>
            </w:r>
            <w:r>
              <w:rPr>
                <w:noProof/>
                <w:webHidden/>
              </w:rPr>
            </w:r>
            <w:r>
              <w:rPr>
                <w:noProof/>
                <w:webHidden/>
              </w:rPr>
              <w:fldChar w:fldCharType="separate"/>
            </w:r>
            <w:r>
              <w:rPr>
                <w:noProof/>
                <w:webHidden/>
              </w:rPr>
              <w:t>666</w:t>
            </w:r>
            <w:r>
              <w:rPr>
                <w:noProof/>
                <w:webHidden/>
              </w:rPr>
              <w:fldChar w:fldCharType="end"/>
            </w:r>
          </w:hyperlink>
        </w:p>
        <w:p w14:paraId="4AC223E5" w14:textId="5BF82E7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41" w:history="1">
            <w:r w:rsidRPr="00F45DCA">
              <w:rPr>
                <w:rStyle w:val="Lienhypertexte"/>
                <w:noProof/>
              </w:rPr>
              <w:t>22.36.3a Corniches préfabriquées en béton CCTB 01.13</w:t>
            </w:r>
            <w:r>
              <w:rPr>
                <w:noProof/>
                <w:webHidden/>
              </w:rPr>
              <w:tab/>
            </w:r>
            <w:r>
              <w:rPr>
                <w:noProof/>
                <w:webHidden/>
              </w:rPr>
              <w:fldChar w:fldCharType="begin"/>
            </w:r>
            <w:r>
              <w:rPr>
                <w:noProof/>
                <w:webHidden/>
              </w:rPr>
              <w:instrText xml:space="preserve"> PAGEREF _Toc220495941 \h </w:instrText>
            </w:r>
            <w:r>
              <w:rPr>
                <w:noProof/>
                <w:webHidden/>
              </w:rPr>
            </w:r>
            <w:r>
              <w:rPr>
                <w:noProof/>
                <w:webHidden/>
              </w:rPr>
              <w:fldChar w:fldCharType="separate"/>
            </w:r>
            <w:r>
              <w:rPr>
                <w:noProof/>
                <w:webHidden/>
              </w:rPr>
              <w:t>666</w:t>
            </w:r>
            <w:r>
              <w:rPr>
                <w:noProof/>
                <w:webHidden/>
              </w:rPr>
              <w:fldChar w:fldCharType="end"/>
            </w:r>
          </w:hyperlink>
        </w:p>
        <w:p w14:paraId="14E7EFAC" w14:textId="2A4DA8C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42" w:history="1">
            <w:r w:rsidRPr="00F45DCA">
              <w:rPr>
                <w:rStyle w:val="Lienhypertexte"/>
                <w:noProof/>
              </w:rPr>
              <w:t>22.36.4 Corniches préfabriquées en béton architectonique CCTB 01.13</w:t>
            </w:r>
            <w:r>
              <w:rPr>
                <w:noProof/>
                <w:webHidden/>
              </w:rPr>
              <w:tab/>
            </w:r>
            <w:r>
              <w:rPr>
                <w:noProof/>
                <w:webHidden/>
              </w:rPr>
              <w:fldChar w:fldCharType="begin"/>
            </w:r>
            <w:r>
              <w:rPr>
                <w:noProof/>
                <w:webHidden/>
              </w:rPr>
              <w:instrText xml:space="preserve"> PAGEREF _Toc220495942 \h </w:instrText>
            </w:r>
            <w:r>
              <w:rPr>
                <w:noProof/>
                <w:webHidden/>
              </w:rPr>
            </w:r>
            <w:r>
              <w:rPr>
                <w:noProof/>
                <w:webHidden/>
              </w:rPr>
              <w:fldChar w:fldCharType="separate"/>
            </w:r>
            <w:r>
              <w:rPr>
                <w:noProof/>
                <w:webHidden/>
              </w:rPr>
              <w:t>668</w:t>
            </w:r>
            <w:r>
              <w:rPr>
                <w:noProof/>
                <w:webHidden/>
              </w:rPr>
              <w:fldChar w:fldCharType="end"/>
            </w:r>
          </w:hyperlink>
        </w:p>
        <w:p w14:paraId="20E2470B" w14:textId="07A142C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43" w:history="1">
            <w:r w:rsidRPr="00F45DCA">
              <w:rPr>
                <w:rStyle w:val="Lienhypertexte"/>
                <w:noProof/>
              </w:rPr>
              <w:t>22.36.4a Corniches préfabriquées en béton décoratif / architectonique CCTB 01.11</w:t>
            </w:r>
            <w:r>
              <w:rPr>
                <w:noProof/>
                <w:webHidden/>
              </w:rPr>
              <w:tab/>
            </w:r>
            <w:r>
              <w:rPr>
                <w:noProof/>
                <w:webHidden/>
              </w:rPr>
              <w:fldChar w:fldCharType="begin"/>
            </w:r>
            <w:r>
              <w:rPr>
                <w:noProof/>
                <w:webHidden/>
              </w:rPr>
              <w:instrText xml:space="preserve"> PAGEREF _Toc220495943 \h </w:instrText>
            </w:r>
            <w:r>
              <w:rPr>
                <w:noProof/>
                <w:webHidden/>
              </w:rPr>
            </w:r>
            <w:r>
              <w:rPr>
                <w:noProof/>
                <w:webHidden/>
              </w:rPr>
              <w:fldChar w:fldCharType="separate"/>
            </w:r>
            <w:r>
              <w:rPr>
                <w:noProof/>
                <w:webHidden/>
              </w:rPr>
              <w:t>669</w:t>
            </w:r>
            <w:r>
              <w:rPr>
                <w:noProof/>
                <w:webHidden/>
              </w:rPr>
              <w:fldChar w:fldCharType="end"/>
            </w:r>
          </w:hyperlink>
        </w:p>
        <w:p w14:paraId="23CC3542" w14:textId="12444D88"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944" w:history="1">
            <w:r w:rsidRPr="00F45DCA">
              <w:rPr>
                <w:rStyle w:val="Lienhypertexte"/>
                <w:noProof/>
              </w:rPr>
              <w:t>22.4 Eléments particuliers pour structures en béton CCTB 01.04</w:t>
            </w:r>
            <w:r>
              <w:rPr>
                <w:noProof/>
                <w:webHidden/>
              </w:rPr>
              <w:tab/>
            </w:r>
            <w:r>
              <w:rPr>
                <w:noProof/>
                <w:webHidden/>
              </w:rPr>
              <w:fldChar w:fldCharType="begin"/>
            </w:r>
            <w:r>
              <w:rPr>
                <w:noProof/>
                <w:webHidden/>
              </w:rPr>
              <w:instrText xml:space="preserve"> PAGEREF _Toc220495944 \h </w:instrText>
            </w:r>
            <w:r>
              <w:rPr>
                <w:noProof/>
                <w:webHidden/>
              </w:rPr>
            </w:r>
            <w:r>
              <w:rPr>
                <w:noProof/>
                <w:webHidden/>
              </w:rPr>
              <w:fldChar w:fldCharType="separate"/>
            </w:r>
            <w:r>
              <w:rPr>
                <w:noProof/>
                <w:webHidden/>
              </w:rPr>
              <w:t>670</w:t>
            </w:r>
            <w:r>
              <w:rPr>
                <w:noProof/>
                <w:webHidden/>
              </w:rPr>
              <w:fldChar w:fldCharType="end"/>
            </w:r>
          </w:hyperlink>
        </w:p>
        <w:p w14:paraId="6C23EAA8" w14:textId="19C9449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45" w:history="1">
            <w:r w:rsidRPr="00F45DCA">
              <w:rPr>
                <w:rStyle w:val="Lienhypertexte"/>
                <w:noProof/>
              </w:rPr>
              <w:t>22.41 Socles en béton CCTB 01.04</w:t>
            </w:r>
            <w:r>
              <w:rPr>
                <w:noProof/>
                <w:webHidden/>
              </w:rPr>
              <w:tab/>
            </w:r>
            <w:r>
              <w:rPr>
                <w:noProof/>
                <w:webHidden/>
              </w:rPr>
              <w:fldChar w:fldCharType="begin"/>
            </w:r>
            <w:r>
              <w:rPr>
                <w:noProof/>
                <w:webHidden/>
              </w:rPr>
              <w:instrText xml:space="preserve"> PAGEREF _Toc220495945 \h </w:instrText>
            </w:r>
            <w:r>
              <w:rPr>
                <w:noProof/>
                <w:webHidden/>
              </w:rPr>
            </w:r>
            <w:r>
              <w:rPr>
                <w:noProof/>
                <w:webHidden/>
              </w:rPr>
              <w:fldChar w:fldCharType="separate"/>
            </w:r>
            <w:r>
              <w:rPr>
                <w:noProof/>
                <w:webHidden/>
              </w:rPr>
              <w:t>670</w:t>
            </w:r>
            <w:r>
              <w:rPr>
                <w:noProof/>
                <w:webHidden/>
              </w:rPr>
              <w:fldChar w:fldCharType="end"/>
            </w:r>
          </w:hyperlink>
        </w:p>
        <w:p w14:paraId="38EE2C63" w14:textId="249EC9C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46" w:history="1">
            <w:r w:rsidRPr="00F45DCA">
              <w:rPr>
                <w:rStyle w:val="Lienhypertexte"/>
                <w:noProof/>
              </w:rPr>
              <w:t>22.41.1 Socles en béton coulé en place CCTB 01.11</w:t>
            </w:r>
            <w:r>
              <w:rPr>
                <w:noProof/>
                <w:webHidden/>
              </w:rPr>
              <w:tab/>
            </w:r>
            <w:r>
              <w:rPr>
                <w:noProof/>
                <w:webHidden/>
              </w:rPr>
              <w:fldChar w:fldCharType="begin"/>
            </w:r>
            <w:r>
              <w:rPr>
                <w:noProof/>
                <w:webHidden/>
              </w:rPr>
              <w:instrText xml:space="preserve"> PAGEREF _Toc220495946 \h </w:instrText>
            </w:r>
            <w:r>
              <w:rPr>
                <w:noProof/>
                <w:webHidden/>
              </w:rPr>
            </w:r>
            <w:r>
              <w:rPr>
                <w:noProof/>
                <w:webHidden/>
              </w:rPr>
              <w:fldChar w:fldCharType="separate"/>
            </w:r>
            <w:r>
              <w:rPr>
                <w:noProof/>
                <w:webHidden/>
              </w:rPr>
              <w:t>670</w:t>
            </w:r>
            <w:r>
              <w:rPr>
                <w:noProof/>
                <w:webHidden/>
              </w:rPr>
              <w:fldChar w:fldCharType="end"/>
            </w:r>
          </w:hyperlink>
        </w:p>
        <w:p w14:paraId="2429A776" w14:textId="5202F50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47" w:history="1">
            <w:r w:rsidRPr="00F45DCA">
              <w:rPr>
                <w:rStyle w:val="Lienhypertexte"/>
                <w:noProof/>
              </w:rPr>
              <w:t>22.41.1a Socles en béton coulé en place CCTB 01.13</w:t>
            </w:r>
            <w:r>
              <w:rPr>
                <w:noProof/>
                <w:webHidden/>
              </w:rPr>
              <w:tab/>
            </w:r>
            <w:r>
              <w:rPr>
                <w:noProof/>
                <w:webHidden/>
              </w:rPr>
              <w:fldChar w:fldCharType="begin"/>
            </w:r>
            <w:r>
              <w:rPr>
                <w:noProof/>
                <w:webHidden/>
              </w:rPr>
              <w:instrText xml:space="preserve"> PAGEREF _Toc220495947 \h </w:instrText>
            </w:r>
            <w:r>
              <w:rPr>
                <w:noProof/>
                <w:webHidden/>
              </w:rPr>
            </w:r>
            <w:r>
              <w:rPr>
                <w:noProof/>
                <w:webHidden/>
              </w:rPr>
              <w:fldChar w:fldCharType="separate"/>
            </w:r>
            <w:r>
              <w:rPr>
                <w:noProof/>
                <w:webHidden/>
              </w:rPr>
              <w:t>671</w:t>
            </w:r>
            <w:r>
              <w:rPr>
                <w:noProof/>
                <w:webHidden/>
              </w:rPr>
              <w:fldChar w:fldCharType="end"/>
            </w:r>
          </w:hyperlink>
        </w:p>
        <w:p w14:paraId="6D0A1702" w14:textId="682FF12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48" w:history="1">
            <w:r w:rsidRPr="00F45DCA">
              <w:rPr>
                <w:rStyle w:val="Lienhypertexte"/>
                <w:noProof/>
              </w:rPr>
              <w:t>22.41.2 Socles préfabriqués en béton CCTB 01.02</w:t>
            </w:r>
            <w:r>
              <w:rPr>
                <w:noProof/>
                <w:webHidden/>
              </w:rPr>
              <w:tab/>
            </w:r>
            <w:r>
              <w:rPr>
                <w:noProof/>
                <w:webHidden/>
              </w:rPr>
              <w:fldChar w:fldCharType="begin"/>
            </w:r>
            <w:r>
              <w:rPr>
                <w:noProof/>
                <w:webHidden/>
              </w:rPr>
              <w:instrText xml:space="preserve"> PAGEREF _Toc220495948 \h </w:instrText>
            </w:r>
            <w:r>
              <w:rPr>
                <w:noProof/>
                <w:webHidden/>
              </w:rPr>
            </w:r>
            <w:r>
              <w:rPr>
                <w:noProof/>
                <w:webHidden/>
              </w:rPr>
              <w:fldChar w:fldCharType="separate"/>
            </w:r>
            <w:r>
              <w:rPr>
                <w:noProof/>
                <w:webHidden/>
              </w:rPr>
              <w:t>672</w:t>
            </w:r>
            <w:r>
              <w:rPr>
                <w:noProof/>
                <w:webHidden/>
              </w:rPr>
              <w:fldChar w:fldCharType="end"/>
            </w:r>
          </w:hyperlink>
        </w:p>
        <w:p w14:paraId="372189F5" w14:textId="3CFC91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49" w:history="1">
            <w:r w:rsidRPr="00F45DCA">
              <w:rPr>
                <w:rStyle w:val="Lienhypertexte"/>
                <w:noProof/>
              </w:rPr>
              <w:t>22.41.2a Socles préfabriqués en béton CCTB 01.13</w:t>
            </w:r>
            <w:r>
              <w:rPr>
                <w:noProof/>
                <w:webHidden/>
              </w:rPr>
              <w:tab/>
            </w:r>
            <w:r>
              <w:rPr>
                <w:noProof/>
                <w:webHidden/>
              </w:rPr>
              <w:fldChar w:fldCharType="begin"/>
            </w:r>
            <w:r>
              <w:rPr>
                <w:noProof/>
                <w:webHidden/>
              </w:rPr>
              <w:instrText xml:space="preserve"> PAGEREF _Toc220495949 \h </w:instrText>
            </w:r>
            <w:r>
              <w:rPr>
                <w:noProof/>
                <w:webHidden/>
              </w:rPr>
            </w:r>
            <w:r>
              <w:rPr>
                <w:noProof/>
                <w:webHidden/>
              </w:rPr>
              <w:fldChar w:fldCharType="separate"/>
            </w:r>
            <w:r>
              <w:rPr>
                <w:noProof/>
                <w:webHidden/>
              </w:rPr>
              <w:t>672</w:t>
            </w:r>
            <w:r>
              <w:rPr>
                <w:noProof/>
                <w:webHidden/>
              </w:rPr>
              <w:fldChar w:fldCharType="end"/>
            </w:r>
          </w:hyperlink>
        </w:p>
        <w:p w14:paraId="1CB65AF1" w14:textId="05A8F1A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50" w:history="1">
            <w:r w:rsidRPr="00F45DCA">
              <w:rPr>
                <w:rStyle w:val="Lienhypertexte"/>
                <w:noProof/>
              </w:rPr>
              <w:t>22.42 Pièces d'appui en béton CCTB 01.04</w:t>
            </w:r>
            <w:r>
              <w:rPr>
                <w:noProof/>
                <w:webHidden/>
              </w:rPr>
              <w:tab/>
            </w:r>
            <w:r>
              <w:rPr>
                <w:noProof/>
                <w:webHidden/>
              </w:rPr>
              <w:fldChar w:fldCharType="begin"/>
            </w:r>
            <w:r>
              <w:rPr>
                <w:noProof/>
                <w:webHidden/>
              </w:rPr>
              <w:instrText xml:space="preserve"> PAGEREF _Toc220495950 \h </w:instrText>
            </w:r>
            <w:r>
              <w:rPr>
                <w:noProof/>
                <w:webHidden/>
              </w:rPr>
            </w:r>
            <w:r>
              <w:rPr>
                <w:noProof/>
                <w:webHidden/>
              </w:rPr>
              <w:fldChar w:fldCharType="separate"/>
            </w:r>
            <w:r>
              <w:rPr>
                <w:noProof/>
                <w:webHidden/>
              </w:rPr>
              <w:t>672</w:t>
            </w:r>
            <w:r>
              <w:rPr>
                <w:noProof/>
                <w:webHidden/>
              </w:rPr>
              <w:fldChar w:fldCharType="end"/>
            </w:r>
          </w:hyperlink>
        </w:p>
        <w:p w14:paraId="1ACB8859" w14:textId="210B753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51" w:history="1">
            <w:r w:rsidRPr="00F45DCA">
              <w:rPr>
                <w:rStyle w:val="Lienhypertexte"/>
                <w:noProof/>
              </w:rPr>
              <w:t>22.42.1 Pièces d'appui en béton coulé en place CCTB 01.13</w:t>
            </w:r>
            <w:r>
              <w:rPr>
                <w:noProof/>
                <w:webHidden/>
              </w:rPr>
              <w:tab/>
            </w:r>
            <w:r>
              <w:rPr>
                <w:noProof/>
                <w:webHidden/>
              </w:rPr>
              <w:fldChar w:fldCharType="begin"/>
            </w:r>
            <w:r>
              <w:rPr>
                <w:noProof/>
                <w:webHidden/>
              </w:rPr>
              <w:instrText xml:space="preserve"> PAGEREF _Toc220495951 \h </w:instrText>
            </w:r>
            <w:r>
              <w:rPr>
                <w:noProof/>
                <w:webHidden/>
              </w:rPr>
            </w:r>
            <w:r>
              <w:rPr>
                <w:noProof/>
                <w:webHidden/>
              </w:rPr>
              <w:fldChar w:fldCharType="separate"/>
            </w:r>
            <w:r>
              <w:rPr>
                <w:noProof/>
                <w:webHidden/>
              </w:rPr>
              <w:t>672</w:t>
            </w:r>
            <w:r>
              <w:rPr>
                <w:noProof/>
                <w:webHidden/>
              </w:rPr>
              <w:fldChar w:fldCharType="end"/>
            </w:r>
          </w:hyperlink>
        </w:p>
        <w:p w14:paraId="0D3A8C09" w14:textId="698DE41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52" w:history="1">
            <w:r w:rsidRPr="00F45DCA">
              <w:rPr>
                <w:rStyle w:val="Lienhypertexte"/>
                <w:noProof/>
              </w:rPr>
              <w:t>22.42.1a Asselets en béton coulé en place CCTB 01.11</w:t>
            </w:r>
            <w:r>
              <w:rPr>
                <w:noProof/>
                <w:webHidden/>
              </w:rPr>
              <w:tab/>
            </w:r>
            <w:r>
              <w:rPr>
                <w:noProof/>
                <w:webHidden/>
              </w:rPr>
              <w:fldChar w:fldCharType="begin"/>
            </w:r>
            <w:r>
              <w:rPr>
                <w:noProof/>
                <w:webHidden/>
              </w:rPr>
              <w:instrText xml:space="preserve"> PAGEREF _Toc220495952 \h </w:instrText>
            </w:r>
            <w:r>
              <w:rPr>
                <w:noProof/>
                <w:webHidden/>
              </w:rPr>
            </w:r>
            <w:r>
              <w:rPr>
                <w:noProof/>
                <w:webHidden/>
              </w:rPr>
              <w:fldChar w:fldCharType="separate"/>
            </w:r>
            <w:r>
              <w:rPr>
                <w:noProof/>
                <w:webHidden/>
              </w:rPr>
              <w:t>674</w:t>
            </w:r>
            <w:r>
              <w:rPr>
                <w:noProof/>
                <w:webHidden/>
              </w:rPr>
              <w:fldChar w:fldCharType="end"/>
            </w:r>
          </w:hyperlink>
        </w:p>
        <w:p w14:paraId="1A1AF69C" w14:textId="42A0D08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53" w:history="1">
            <w:r w:rsidRPr="00F45DCA">
              <w:rPr>
                <w:rStyle w:val="Lienhypertexte"/>
                <w:noProof/>
              </w:rPr>
              <w:t>22.42.1b Consoles et supports en béton coulé en place CCTB 01.04</w:t>
            </w:r>
            <w:r>
              <w:rPr>
                <w:noProof/>
                <w:webHidden/>
              </w:rPr>
              <w:tab/>
            </w:r>
            <w:r>
              <w:rPr>
                <w:noProof/>
                <w:webHidden/>
              </w:rPr>
              <w:fldChar w:fldCharType="begin"/>
            </w:r>
            <w:r>
              <w:rPr>
                <w:noProof/>
                <w:webHidden/>
              </w:rPr>
              <w:instrText xml:space="preserve"> PAGEREF _Toc220495953 \h </w:instrText>
            </w:r>
            <w:r>
              <w:rPr>
                <w:noProof/>
                <w:webHidden/>
              </w:rPr>
            </w:r>
            <w:r>
              <w:rPr>
                <w:noProof/>
                <w:webHidden/>
              </w:rPr>
              <w:fldChar w:fldCharType="separate"/>
            </w:r>
            <w:r>
              <w:rPr>
                <w:noProof/>
                <w:webHidden/>
              </w:rPr>
              <w:t>674</w:t>
            </w:r>
            <w:r>
              <w:rPr>
                <w:noProof/>
                <w:webHidden/>
              </w:rPr>
              <w:fldChar w:fldCharType="end"/>
            </w:r>
          </w:hyperlink>
        </w:p>
        <w:p w14:paraId="17738123" w14:textId="408FFC0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54" w:history="1">
            <w:r w:rsidRPr="00F45DCA">
              <w:rPr>
                <w:rStyle w:val="Lienhypertexte"/>
                <w:noProof/>
              </w:rPr>
              <w:t>22.42.2 Pièces d'appui préfabriquées en béton CCTB 01.04</w:t>
            </w:r>
            <w:r>
              <w:rPr>
                <w:noProof/>
                <w:webHidden/>
              </w:rPr>
              <w:tab/>
            </w:r>
            <w:r>
              <w:rPr>
                <w:noProof/>
                <w:webHidden/>
              </w:rPr>
              <w:fldChar w:fldCharType="begin"/>
            </w:r>
            <w:r>
              <w:rPr>
                <w:noProof/>
                <w:webHidden/>
              </w:rPr>
              <w:instrText xml:space="preserve"> PAGEREF _Toc220495954 \h </w:instrText>
            </w:r>
            <w:r>
              <w:rPr>
                <w:noProof/>
                <w:webHidden/>
              </w:rPr>
            </w:r>
            <w:r>
              <w:rPr>
                <w:noProof/>
                <w:webHidden/>
              </w:rPr>
              <w:fldChar w:fldCharType="separate"/>
            </w:r>
            <w:r>
              <w:rPr>
                <w:noProof/>
                <w:webHidden/>
              </w:rPr>
              <w:t>674</w:t>
            </w:r>
            <w:r>
              <w:rPr>
                <w:noProof/>
                <w:webHidden/>
              </w:rPr>
              <w:fldChar w:fldCharType="end"/>
            </w:r>
          </w:hyperlink>
        </w:p>
        <w:p w14:paraId="452DD39D" w14:textId="03E30E9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55" w:history="1">
            <w:r w:rsidRPr="00F45DCA">
              <w:rPr>
                <w:rStyle w:val="Lienhypertexte"/>
                <w:noProof/>
              </w:rPr>
              <w:t>22.42.2a Consoles préfabriquées en béton CCTB 01.13</w:t>
            </w:r>
            <w:r>
              <w:rPr>
                <w:noProof/>
                <w:webHidden/>
              </w:rPr>
              <w:tab/>
            </w:r>
            <w:r>
              <w:rPr>
                <w:noProof/>
                <w:webHidden/>
              </w:rPr>
              <w:fldChar w:fldCharType="begin"/>
            </w:r>
            <w:r>
              <w:rPr>
                <w:noProof/>
                <w:webHidden/>
              </w:rPr>
              <w:instrText xml:space="preserve"> PAGEREF _Toc220495955 \h </w:instrText>
            </w:r>
            <w:r>
              <w:rPr>
                <w:noProof/>
                <w:webHidden/>
              </w:rPr>
            </w:r>
            <w:r>
              <w:rPr>
                <w:noProof/>
                <w:webHidden/>
              </w:rPr>
              <w:fldChar w:fldCharType="separate"/>
            </w:r>
            <w:r>
              <w:rPr>
                <w:noProof/>
                <w:webHidden/>
              </w:rPr>
              <w:t>675</w:t>
            </w:r>
            <w:r>
              <w:rPr>
                <w:noProof/>
                <w:webHidden/>
              </w:rPr>
              <w:fldChar w:fldCharType="end"/>
            </w:r>
          </w:hyperlink>
        </w:p>
        <w:p w14:paraId="0A1BF4D9" w14:textId="3453948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56" w:history="1">
            <w:r w:rsidRPr="00F45DCA">
              <w:rPr>
                <w:rStyle w:val="Lienhypertexte"/>
                <w:noProof/>
              </w:rPr>
              <w:t>22.43 Pièces d'appui autres qu'en béton CCTB 01.04</w:t>
            </w:r>
            <w:r>
              <w:rPr>
                <w:noProof/>
                <w:webHidden/>
              </w:rPr>
              <w:tab/>
            </w:r>
            <w:r>
              <w:rPr>
                <w:noProof/>
                <w:webHidden/>
              </w:rPr>
              <w:fldChar w:fldCharType="begin"/>
            </w:r>
            <w:r>
              <w:rPr>
                <w:noProof/>
                <w:webHidden/>
              </w:rPr>
              <w:instrText xml:space="preserve"> PAGEREF _Toc220495956 \h </w:instrText>
            </w:r>
            <w:r>
              <w:rPr>
                <w:noProof/>
                <w:webHidden/>
              </w:rPr>
            </w:r>
            <w:r>
              <w:rPr>
                <w:noProof/>
                <w:webHidden/>
              </w:rPr>
              <w:fldChar w:fldCharType="separate"/>
            </w:r>
            <w:r>
              <w:rPr>
                <w:noProof/>
                <w:webHidden/>
              </w:rPr>
              <w:t>675</w:t>
            </w:r>
            <w:r>
              <w:rPr>
                <w:noProof/>
                <w:webHidden/>
              </w:rPr>
              <w:fldChar w:fldCharType="end"/>
            </w:r>
          </w:hyperlink>
        </w:p>
        <w:p w14:paraId="6D8CCEE5" w14:textId="1683D6F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57" w:history="1">
            <w:r w:rsidRPr="00F45DCA">
              <w:rPr>
                <w:rStyle w:val="Lienhypertexte"/>
                <w:noProof/>
              </w:rPr>
              <w:t>22.43.1 Pièces d'appui en matière synthétique CCTB 01.04</w:t>
            </w:r>
            <w:r>
              <w:rPr>
                <w:noProof/>
                <w:webHidden/>
              </w:rPr>
              <w:tab/>
            </w:r>
            <w:r>
              <w:rPr>
                <w:noProof/>
                <w:webHidden/>
              </w:rPr>
              <w:fldChar w:fldCharType="begin"/>
            </w:r>
            <w:r>
              <w:rPr>
                <w:noProof/>
                <w:webHidden/>
              </w:rPr>
              <w:instrText xml:space="preserve"> PAGEREF _Toc220495957 \h </w:instrText>
            </w:r>
            <w:r>
              <w:rPr>
                <w:noProof/>
                <w:webHidden/>
              </w:rPr>
            </w:r>
            <w:r>
              <w:rPr>
                <w:noProof/>
                <w:webHidden/>
              </w:rPr>
              <w:fldChar w:fldCharType="separate"/>
            </w:r>
            <w:r>
              <w:rPr>
                <w:noProof/>
                <w:webHidden/>
              </w:rPr>
              <w:t>675</w:t>
            </w:r>
            <w:r>
              <w:rPr>
                <w:noProof/>
                <w:webHidden/>
              </w:rPr>
              <w:fldChar w:fldCharType="end"/>
            </w:r>
          </w:hyperlink>
        </w:p>
        <w:p w14:paraId="4DEA0B85" w14:textId="09F1C26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58" w:history="1">
            <w:r w:rsidRPr="00F45DCA">
              <w:rPr>
                <w:rStyle w:val="Lienhypertexte"/>
                <w:noProof/>
              </w:rPr>
              <w:t>22.43.1a Pièces d'appui en néoprène CCTB 01.04</w:t>
            </w:r>
            <w:r>
              <w:rPr>
                <w:noProof/>
                <w:webHidden/>
              </w:rPr>
              <w:tab/>
            </w:r>
            <w:r>
              <w:rPr>
                <w:noProof/>
                <w:webHidden/>
              </w:rPr>
              <w:fldChar w:fldCharType="begin"/>
            </w:r>
            <w:r>
              <w:rPr>
                <w:noProof/>
                <w:webHidden/>
              </w:rPr>
              <w:instrText xml:space="preserve"> PAGEREF _Toc220495958 \h </w:instrText>
            </w:r>
            <w:r>
              <w:rPr>
                <w:noProof/>
                <w:webHidden/>
              </w:rPr>
            </w:r>
            <w:r>
              <w:rPr>
                <w:noProof/>
                <w:webHidden/>
              </w:rPr>
              <w:fldChar w:fldCharType="separate"/>
            </w:r>
            <w:r>
              <w:rPr>
                <w:noProof/>
                <w:webHidden/>
              </w:rPr>
              <w:t>675</w:t>
            </w:r>
            <w:r>
              <w:rPr>
                <w:noProof/>
                <w:webHidden/>
              </w:rPr>
              <w:fldChar w:fldCharType="end"/>
            </w:r>
          </w:hyperlink>
        </w:p>
        <w:p w14:paraId="26C8CF8D" w14:textId="0645B01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59" w:history="1">
            <w:r w:rsidRPr="00F45DCA">
              <w:rPr>
                <w:rStyle w:val="Lienhypertexte"/>
                <w:noProof/>
              </w:rPr>
              <w:t>22.44 Ancrages de structure en béton CCTB 01.04</w:t>
            </w:r>
            <w:r>
              <w:rPr>
                <w:noProof/>
                <w:webHidden/>
              </w:rPr>
              <w:tab/>
            </w:r>
            <w:r>
              <w:rPr>
                <w:noProof/>
                <w:webHidden/>
              </w:rPr>
              <w:fldChar w:fldCharType="begin"/>
            </w:r>
            <w:r>
              <w:rPr>
                <w:noProof/>
                <w:webHidden/>
              </w:rPr>
              <w:instrText xml:space="preserve"> PAGEREF _Toc220495959 \h </w:instrText>
            </w:r>
            <w:r>
              <w:rPr>
                <w:noProof/>
                <w:webHidden/>
              </w:rPr>
            </w:r>
            <w:r>
              <w:rPr>
                <w:noProof/>
                <w:webHidden/>
              </w:rPr>
              <w:fldChar w:fldCharType="separate"/>
            </w:r>
            <w:r>
              <w:rPr>
                <w:noProof/>
                <w:webHidden/>
              </w:rPr>
              <w:t>675</w:t>
            </w:r>
            <w:r>
              <w:rPr>
                <w:noProof/>
                <w:webHidden/>
              </w:rPr>
              <w:fldChar w:fldCharType="end"/>
            </w:r>
          </w:hyperlink>
        </w:p>
        <w:p w14:paraId="00CF0CB9" w14:textId="6B7E85F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60" w:history="1">
            <w:r w:rsidRPr="00F45DCA">
              <w:rPr>
                <w:rStyle w:val="Lienhypertexte"/>
                <w:noProof/>
              </w:rPr>
              <w:t>22.44.1 Ancrages métalliques de structures en béton CCTB 01.04</w:t>
            </w:r>
            <w:r>
              <w:rPr>
                <w:noProof/>
                <w:webHidden/>
              </w:rPr>
              <w:tab/>
            </w:r>
            <w:r>
              <w:rPr>
                <w:noProof/>
                <w:webHidden/>
              </w:rPr>
              <w:fldChar w:fldCharType="begin"/>
            </w:r>
            <w:r>
              <w:rPr>
                <w:noProof/>
                <w:webHidden/>
              </w:rPr>
              <w:instrText xml:space="preserve"> PAGEREF _Toc220495960 \h </w:instrText>
            </w:r>
            <w:r>
              <w:rPr>
                <w:noProof/>
                <w:webHidden/>
              </w:rPr>
            </w:r>
            <w:r>
              <w:rPr>
                <w:noProof/>
                <w:webHidden/>
              </w:rPr>
              <w:fldChar w:fldCharType="separate"/>
            </w:r>
            <w:r>
              <w:rPr>
                <w:noProof/>
                <w:webHidden/>
              </w:rPr>
              <w:t>675</w:t>
            </w:r>
            <w:r>
              <w:rPr>
                <w:noProof/>
                <w:webHidden/>
              </w:rPr>
              <w:fldChar w:fldCharType="end"/>
            </w:r>
          </w:hyperlink>
        </w:p>
        <w:p w14:paraId="2227C709" w14:textId="544340E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61" w:history="1">
            <w:r w:rsidRPr="00F45DCA">
              <w:rPr>
                <w:rStyle w:val="Lienhypertexte"/>
                <w:noProof/>
              </w:rPr>
              <w:t>22.44.1a Ancrages métalliques de structures en béton CCTB 01.04</w:t>
            </w:r>
            <w:r>
              <w:rPr>
                <w:noProof/>
                <w:webHidden/>
              </w:rPr>
              <w:tab/>
            </w:r>
            <w:r>
              <w:rPr>
                <w:noProof/>
                <w:webHidden/>
              </w:rPr>
              <w:fldChar w:fldCharType="begin"/>
            </w:r>
            <w:r>
              <w:rPr>
                <w:noProof/>
                <w:webHidden/>
              </w:rPr>
              <w:instrText xml:space="preserve"> PAGEREF _Toc220495961 \h </w:instrText>
            </w:r>
            <w:r>
              <w:rPr>
                <w:noProof/>
                <w:webHidden/>
              </w:rPr>
            </w:r>
            <w:r>
              <w:rPr>
                <w:noProof/>
                <w:webHidden/>
              </w:rPr>
              <w:fldChar w:fldCharType="separate"/>
            </w:r>
            <w:r>
              <w:rPr>
                <w:noProof/>
                <w:webHidden/>
              </w:rPr>
              <w:t>675</w:t>
            </w:r>
            <w:r>
              <w:rPr>
                <w:noProof/>
                <w:webHidden/>
              </w:rPr>
              <w:fldChar w:fldCharType="end"/>
            </w:r>
          </w:hyperlink>
        </w:p>
        <w:p w14:paraId="6B0B7617" w14:textId="1AFEE70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62" w:history="1">
            <w:r w:rsidRPr="00F45DCA">
              <w:rPr>
                <w:rStyle w:val="Lienhypertexte"/>
                <w:noProof/>
              </w:rPr>
              <w:t>22.45 Contreventements de structures en béton CCTB 01.04</w:t>
            </w:r>
            <w:r>
              <w:rPr>
                <w:noProof/>
                <w:webHidden/>
              </w:rPr>
              <w:tab/>
            </w:r>
            <w:r>
              <w:rPr>
                <w:noProof/>
                <w:webHidden/>
              </w:rPr>
              <w:fldChar w:fldCharType="begin"/>
            </w:r>
            <w:r>
              <w:rPr>
                <w:noProof/>
                <w:webHidden/>
              </w:rPr>
              <w:instrText xml:space="preserve"> PAGEREF _Toc220495962 \h </w:instrText>
            </w:r>
            <w:r>
              <w:rPr>
                <w:noProof/>
                <w:webHidden/>
              </w:rPr>
            </w:r>
            <w:r>
              <w:rPr>
                <w:noProof/>
                <w:webHidden/>
              </w:rPr>
              <w:fldChar w:fldCharType="separate"/>
            </w:r>
            <w:r>
              <w:rPr>
                <w:noProof/>
                <w:webHidden/>
              </w:rPr>
              <w:t>675</w:t>
            </w:r>
            <w:r>
              <w:rPr>
                <w:noProof/>
                <w:webHidden/>
              </w:rPr>
              <w:fldChar w:fldCharType="end"/>
            </w:r>
          </w:hyperlink>
        </w:p>
        <w:p w14:paraId="31BE432F" w14:textId="31975A6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63" w:history="1">
            <w:r w:rsidRPr="00F45DCA">
              <w:rPr>
                <w:rStyle w:val="Lienhypertexte"/>
                <w:noProof/>
              </w:rPr>
              <w:t>22.45.1 Contreventements en acier CCTB 01.02</w:t>
            </w:r>
            <w:r>
              <w:rPr>
                <w:noProof/>
                <w:webHidden/>
              </w:rPr>
              <w:tab/>
            </w:r>
            <w:r>
              <w:rPr>
                <w:noProof/>
                <w:webHidden/>
              </w:rPr>
              <w:fldChar w:fldCharType="begin"/>
            </w:r>
            <w:r>
              <w:rPr>
                <w:noProof/>
                <w:webHidden/>
              </w:rPr>
              <w:instrText xml:space="preserve"> PAGEREF _Toc220495963 \h </w:instrText>
            </w:r>
            <w:r>
              <w:rPr>
                <w:noProof/>
                <w:webHidden/>
              </w:rPr>
            </w:r>
            <w:r>
              <w:rPr>
                <w:noProof/>
                <w:webHidden/>
              </w:rPr>
              <w:fldChar w:fldCharType="separate"/>
            </w:r>
            <w:r>
              <w:rPr>
                <w:noProof/>
                <w:webHidden/>
              </w:rPr>
              <w:t>675</w:t>
            </w:r>
            <w:r>
              <w:rPr>
                <w:noProof/>
                <w:webHidden/>
              </w:rPr>
              <w:fldChar w:fldCharType="end"/>
            </w:r>
          </w:hyperlink>
        </w:p>
        <w:p w14:paraId="6B2436D1" w14:textId="680AF90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64" w:history="1">
            <w:r w:rsidRPr="00F45DCA">
              <w:rPr>
                <w:rStyle w:val="Lienhypertexte"/>
                <w:noProof/>
              </w:rPr>
              <w:t>22.45.1a Contreventements par câbles en acier CCTB 01.04</w:t>
            </w:r>
            <w:r>
              <w:rPr>
                <w:noProof/>
                <w:webHidden/>
              </w:rPr>
              <w:tab/>
            </w:r>
            <w:r>
              <w:rPr>
                <w:noProof/>
                <w:webHidden/>
              </w:rPr>
              <w:fldChar w:fldCharType="begin"/>
            </w:r>
            <w:r>
              <w:rPr>
                <w:noProof/>
                <w:webHidden/>
              </w:rPr>
              <w:instrText xml:space="preserve"> PAGEREF _Toc220495964 \h </w:instrText>
            </w:r>
            <w:r>
              <w:rPr>
                <w:noProof/>
                <w:webHidden/>
              </w:rPr>
            </w:r>
            <w:r>
              <w:rPr>
                <w:noProof/>
                <w:webHidden/>
              </w:rPr>
              <w:fldChar w:fldCharType="separate"/>
            </w:r>
            <w:r>
              <w:rPr>
                <w:noProof/>
                <w:webHidden/>
              </w:rPr>
              <w:t>675</w:t>
            </w:r>
            <w:r>
              <w:rPr>
                <w:noProof/>
                <w:webHidden/>
              </w:rPr>
              <w:fldChar w:fldCharType="end"/>
            </w:r>
          </w:hyperlink>
        </w:p>
        <w:p w14:paraId="6757DA79" w14:textId="6AA846F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65" w:history="1">
            <w:r w:rsidRPr="00F45DCA">
              <w:rPr>
                <w:rStyle w:val="Lienhypertexte"/>
                <w:noProof/>
              </w:rPr>
              <w:t>22.45.1b Contreventements par barres en acier CCTB 01.04</w:t>
            </w:r>
            <w:r>
              <w:rPr>
                <w:noProof/>
                <w:webHidden/>
              </w:rPr>
              <w:tab/>
            </w:r>
            <w:r>
              <w:rPr>
                <w:noProof/>
                <w:webHidden/>
              </w:rPr>
              <w:fldChar w:fldCharType="begin"/>
            </w:r>
            <w:r>
              <w:rPr>
                <w:noProof/>
                <w:webHidden/>
              </w:rPr>
              <w:instrText xml:space="preserve"> PAGEREF _Toc220495965 \h </w:instrText>
            </w:r>
            <w:r>
              <w:rPr>
                <w:noProof/>
                <w:webHidden/>
              </w:rPr>
            </w:r>
            <w:r>
              <w:rPr>
                <w:noProof/>
                <w:webHidden/>
              </w:rPr>
              <w:fldChar w:fldCharType="separate"/>
            </w:r>
            <w:r>
              <w:rPr>
                <w:noProof/>
                <w:webHidden/>
              </w:rPr>
              <w:t>676</w:t>
            </w:r>
            <w:r>
              <w:rPr>
                <w:noProof/>
                <w:webHidden/>
              </w:rPr>
              <w:fldChar w:fldCharType="end"/>
            </w:r>
          </w:hyperlink>
        </w:p>
        <w:p w14:paraId="30653930" w14:textId="7C32E4B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66" w:history="1">
            <w:r w:rsidRPr="00F45DCA">
              <w:rPr>
                <w:rStyle w:val="Lienhypertexte"/>
                <w:noProof/>
              </w:rPr>
              <w:t>22.46 Eléments de soutènement en béton CCTB 01.11</w:t>
            </w:r>
            <w:r>
              <w:rPr>
                <w:noProof/>
                <w:webHidden/>
              </w:rPr>
              <w:tab/>
            </w:r>
            <w:r>
              <w:rPr>
                <w:noProof/>
                <w:webHidden/>
              </w:rPr>
              <w:fldChar w:fldCharType="begin"/>
            </w:r>
            <w:r>
              <w:rPr>
                <w:noProof/>
                <w:webHidden/>
              </w:rPr>
              <w:instrText xml:space="preserve"> PAGEREF _Toc220495966 \h </w:instrText>
            </w:r>
            <w:r>
              <w:rPr>
                <w:noProof/>
                <w:webHidden/>
              </w:rPr>
            </w:r>
            <w:r>
              <w:rPr>
                <w:noProof/>
                <w:webHidden/>
              </w:rPr>
              <w:fldChar w:fldCharType="separate"/>
            </w:r>
            <w:r>
              <w:rPr>
                <w:noProof/>
                <w:webHidden/>
              </w:rPr>
              <w:t>676</w:t>
            </w:r>
            <w:r>
              <w:rPr>
                <w:noProof/>
                <w:webHidden/>
              </w:rPr>
              <w:fldChar w:fldCharType="end"/>
            </w:r>
          </w:hyperlink>
        </w:p>
        <w:p w14:paraId="364FA920" w14:textId="3C72042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67" w:history="1">
            <w:r w:rsidRPr="00F45DCA">
              <w:rPr>
                <w:rStyle w:val="Lienhypertexte"/>
                <w:noProof/>
              </w:rPr>
              <w:t>22.46.1 Eléments de soutènement en béton coulé en place CCTB 01.04</w:t>
            </w:r>
            <w:r>
              <w:rPr>
                <w:noProof/>
                <w:webHidden/>
              </w:rPr>
              <w:tab/>
            </w:r>
            <w:r>
              <w:rPr>
                <w:noProof/>
                <w:webHidden/>
              </w:rPr>
              <w:fldChar w:fldCharType="begin"/>
            </w:r>
            <w:r>
              <w:rPr>
                <w:noProof/>
                <w:webHidden/>
              </w:rPr>
              <w:instrText xml:space="preserve"> PAGEREF _Toc220495967 \h </w:instrText>
            </w:r>
            <w:r>
              <w:rPr>
                <w:noProof/>
                <w:webHidden/>
              </w:rPr>
            </w:r>
            <w:r>
              <w:rPr>
                <w:noProof/>
                <w:webHidden/>
              </w:rPr>
              <w:fldChar w:fldCharType="separate"/>
            </w:r>
            <w:r>
              <w:rPr>
                <w:noProof/>
                <w:webHidden/>
              </w:rPr>
              <w:t>676</w:t>
            </w:r>
            <w:r>
              <w:rPr>
                <w:noProof/>
                <w:webHidden/>
              </w:rPr>
              <w:fldChar w:fldCharType="end"/>
            </w:r>
          </w:hyperlink>
        </w:p>
        <w:p w14:paraId="2917FD6E" w14:textId="5FBE192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68" w:history="1">
            <w:r w:rsidRPr="00F45DCA">
              <w:rPr>
                <w:rStyle w:val="Lienhypertexte"/>
                <w:noProof/>
              </w:rPr>
              <w:t>22.46.1a Eléments de soutènement en L en béton coulé en place CCTB 01.04</w:t>
            </w:r>
            <w:r>
              <w:rPr>
                <w:noProof/>
                <w:webHidden/>
              </w:rPr>
              <w:tab/>
            </w:r>
            <w:r>
              <w:rPr>
                <w:noProof/>
                <w:webHidden/>
              </w:rPr>
              <w:fldChar w:fldCharType="begin"/>
            </w:r>
            <w:r>
              <w:rPr>
                <w:noProof/>
                <w:webHidden/>
              </w:rPr>
              <w:instrText xml:space="preserve"> PAGEREF _Toc220495968 \h </w:instrText>
            </w:r>
            <w:r>
              <w:rPr>
                <w:noProof/>
                <w:webHidden/>
              </w:rPr>
            </w:r>
            <w:r>
              <w:rPr>
                <w:noProof/>
                <w:webHidden/>
              </w:rPr>
              <w:fldChar w:fldCharType="separate"/>
            </w:r>
            <w:r>
              <w:rPr>
                <w:noProof/>
                <w:webHidden/>
              </w:rPr>
              <w:t>676</w:t>
            </w:r>
            <w:r>
              <w:rPr>
                <w:noProof/>
                <w:webHidden/>
              </w:rPr>
              <w:fldChar w:fldCharType="end"/>
            </w:r>
          </w:hyperlink>
        </w:p>
        <w:p w14:paraId="18621F68" w14:textId="7B918E2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69" w:history="1">
            <w:r w:rsidRPr="00F45DCA">
              <w:rPr>
                <w:rStyle w:val="Lienhypertexte"/>
                <w:noProof/>
              </w:rPr>
              <w:t>22.46.2 Eléments de soutènement préfabriqués en béton armé CCTB 01.13</w:t>
            </w:r>
            <w:r>
              <w:rPr>
                <w:noProof/>
                <w:webHidden/>
              </w:rPr>
              <w:tab/>
            </w:r>
            <w:r>
              <w:rPr>
                <w:noProof/>
                <w:webHidden/>
              </w:rPr>
              <w:fldChar w:fldCharType="begin"/>
            </w:r>
            <w:r>
              <w:rPr>
                <w:noProof/>
                <w:webHidden/>
              </w:rPr>
              <w:instrText xml:space="preserve"> PAGEREF _Toc220495969 \h </w:instrText>
            </w:r>
            <w:r>
              <w:rPr>
                <w:noProof/>
                <w:webHidden/>
              </w:rPr>
            </w:r>
            <w:r>
              <w:rPr>
                <w:noProof/>
                <w:webHidden/>
              </w:rPr>
              <w:fldChar w:fldCharType="separate"/>
            </w:r>
            <w:r>
              <w:rPr>
                <w:noProof/>
                <w:webHidden/>
              </w:rPr>
              <w:t>676</w:t>
            </w:r>
            <w:r>
              <w:rPr>
                <w:noProof/>
                <w:webHidden/>
              </w:rPr>
              <w:fldChar w:fldCharType="end"/>
            </w:r>
          </w:hyperlink>
        </w:p>
        <w:p w14:paraId="075BA656" w14:textId="4559CAC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70" w:history="1">
            <w:r w:rsidRPr="00F45DCA">
              <w:rPr>
                <w:rStyle w:val="Lienhypertexte"/>
                <w:noProof/>
              </w:rPr>
              <w:t>22.46.2a Eléments de soutènement en L préfabriqués en béton armé CCTB 01.11</w:t>
            </w:r>
            <w:r>
              <w:rPr>
                <w:noProof/>
                <w:webHidden/>
              </w:rPr>
              <w:tab/>
            </w:r>
            <w:r>
              <w:rPr>
                <w:noProof/>
                <w:webHidden/>
              </w:rPr>
              <w:fldChar w:fldCharType="begin"/>
            </w:r>
            <w:r>
              <w:rPr>
                <w:noProof/>
                <w:webHidden/>
              </w:rPr>
              <w:instrText xml:space="preserve"> PAGEREF _Toc220495970 \h </w:instrText>
            </w:r>
            <w:r>
              <w:rPr>
                <w:noProof/>
                <w:webHidden/>
              </w:rPr>
            </w:r>
            <w:r>
              <w:rPr>
                <w:noProof/>
                <w:webHidden/>
              </w:rPr>
              <w:fldChar w:fldCharType="separate"/>
            </w:r>
            <w:r>
              <w:rPr>
                <w:noProof/>
                <w:webHidden/>
              </w:rPr>
              <w:t>677</w:t>
            </w:r>
            <w:r>
              <w:rPr>
                <w:noProof/>
                <w:webHidden/>
              </w:rPr>
              <w:fldChar w:fldCharType="end"/>
            </w:r>
          </w:hyperlink>
        </w:p>
        <w:p w14:paraId="6208E4A4" w14:textId="3BB770D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71" w:history="1">
            <w:r w:rsidRPr="00F45DCA">
              <w:rPr>
                <w:rStyle w:val="Lienhypertexte"/>
                <w:noProof/>
              </w:rPr>
              <w:t>22.46.2b Eléments de soutènement en U préfabriqués en béton armé CCTB 01.02</w:t>
            </w:r>
            <w:r>
              <w:rPr>
                <w:noProof/>
                <w:webHidden/>
              </w:rPr>
              <w:tab/>
            </w:r>
            <w:r>
              <w:rPr>
                <w:noProof/>
                <w:webHidden/>
              </w:rPr>
              <w:fldChar w:fldCharType="begin"/>
            </w:r>
            <w:r>
              <w:rPr>
                <w:noProof/>
                <w:webHidden/>
              </w:rPr>
              <w:instrText xml:space="preserve"> PAGEREF _Toc220495971 \h </w:instrText>
            </w:r>
            <w:r>
              <w:rPr>
                <w:noProof/>
                <w:webHidden/>
              </w:rPr>
            </w:r>
            <w:r>
              <w:rPr>
                <w:noProof/>
                <w:webHidden/>
              </w:rPr>
              <w:fldChar w:fldCharType="separate"/>
            </w:r>
            <w:r>
              <w:rPr>
                <w:noProof/>
                <w:webHidden/>
              </w:rPr>
              <w:t>679</w:t>
            </w:r>
            <w:r>
              <w:rPr>
                <w:noProof/>
                <w:webHidden/>
              </w:rPr>
              <w:fldChar w:fldCharType="end"/>
            </w:r>
          </w:hyperlink>
        </w:p>
        <w:p w14:paraId="0A3858A6" w14:textId="1DC7438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72" w:history="1">
            <w:r w:rsidRPr="00F45DCA">
              <w:rPr>
                <w:rStyle w:val="Lienhypertexte"/>
                <w:noProof/>
              </w:rPr>
              <w:t>22.46.2c Eléments de soutènement en T préfabriqués en béton armé CCTB 01.02</w:t>
            </w:r>
            <w:r>
              <w:rPr>
                <w:noProof/>
                <w:webHidden/>
              </w:rPr>
              <w:tab/>
            </w:r>
            <w:r>
              <w:rPr>
                <w:noProof/>
                <w:webHidden/>
              </w:rPr>
              <w:fldChar w:fldCharType="begin"/>
            </w:r>
            <w:r>
              <w:rPr>
                <w:noProof/>
                <w:webHidden/>
              </w:rPr>
              <w:instrText xml:space="preserve"> PAGEREF _Toc220495972 \h </w:instrText>
            </w:r>
            <w:r>
              <w:rPr>
                <w:noProof/>
                <w:webHidden/>
              </w:rPr>
            </w:r>
            <w:r>
              <w:rPr>
                <w:noProof/>
                <w:webHidden/>
              </w:rPr>
              <w:fldChar w:fldCharType="separate"/>
            </w:r>
            <w:r>
              <w:rPr>
                <w:noProof/>
                <w:webHidden/>
              </w:rPr>
              <w:t>679</w:t>
            </w:r>
            <w:r>
              <w:rPr>
                <w:noProof/>
                <w:webHidden/>
              </w:rPr>
              <w:fldChar w:fldCharType="end"/>
            </w:r>
          </w:hyperlink>
        </w:p>
        <w:p w14:paraId="2EAD8F74" w14:textId="659DA9F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73" w:history="1">
            <w:r w:rsidRPr="00F45DCA">
              <w:rPr>
                <w:rStyle w:val="Lienhypertexte"/>
                <w:noProof/>
              </w:rPr>
              <w:t>22.46.2d Eléments de soutènement en dalles avec treillis-raidisseur préfabriqués en béton armé CCTB 01.02</w:t>
            </w:r>
            <w:r>
              <w:rPr>
                <w:noProof/>
                <w:webHidden/>
              </w:rPr>
              <w:tab/>
            </w:r>
            <w:r>
              <w:rPr>
                <w:noProof/>
                <w:webHidden/>
              </w:rPr>
              <w:fldChar w:fldCharType="begin"/>
            </w:r>
            <w:r>
              <w:rPr>
                <w:noProof/>
                <w:webHidden/>
              </w:rPr>
              <w:instrText xml:space="preserve"> PAGEREF _Toc220495973 \h </w:instrText>
            </w:r>
            <w:r>
              <w:rPr>
                <w:noProof/>
                <w:webHidden/>
              </w:rPr>
            </w:r>
            <w:r>
              <w:rPr>
                <w:noProof/>
                <w:webHidden/>
              </w:rPr>
              <w:fldChar w:fldCharType="separate"/>
            </w:r>
            <w:r>
              <w:rPr>
                <w:noProof/>
                <w:webHidden/>
              </w:rPr>
              <w:t>679</w:t>
            </w:r>
            <w:r>
              <w:rPr>
                <w:noProof/>
                <w:webHidden/>
              </w:rPr>
              <w:fldChar w:fldCharType="end"/>
            </w:r>
          </w:hyperlink>
        </w:p>
        <w:p w14:paraId="536522FE" w14:textId="1B31B2B9"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5974" w:history="1">
            <w:r w:rsidRPr="00F45DCA">
              <w:rPr>
                <w:rStyle w:val="Lienhypertexte"/>
                <w:noProof/>
              </w:rPr>
              <w:t>22.5 Armatures et coffrages CCTB 01.02</w:t>
            </w:r>
            <w:r>
              <w:rPr>
                <w:noProof/>
                <w:webHidden/>
              </w:rPr>
              <w:tab/>
            </w:r>
            <w:r>
              <w:rPr>
                <w:noProof/>
                <w:webHidden/>
              </w:rPr>
              <w:fldChar w:fldCharType="begin"/>
            </w:r>
            <w:r>
              <w:rPr>
                <w:noProof/>
                <w:webHidden/>
              </w:rPr>
              <w:instrText xml:space="preserve"> PAGEREF _Toc220495974 \h </w:instrText>
            </w:r>
            <w:r>
              <w:rPr>
                <w:noProof/>
                <w:webHidden/>
              </w:rPr>
            </w:r>
            <w:r>
              <w:rPr>
                <w:noProof/>
                <w:webHidden/>
              </w:rPr>
              <w:fldChar w:fldCharType="separate"/>
            </w:r>
            <w:r>
              <w:rPr>
                <w:noProof/>
                <w:webHidden/>
              </w:rPr>
              <w:t>680</w:t>
            </w:r>
            <w:r>
              <w:rPr>
                <w:noProof/>
                <w:webHidden/>
              </w:rPr>
              <w:fldChar w:fldCharType="end"/>
            </w:r>
          </w:hyperlink>
        </w:p>
        <w:p w14:paraId="69FC398C" w14:textId="52277F6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75" w:history="1">
            <w:r w:rsidRPr="00F45DCA">
              <w:rPr>
                <w:rStyle w:val="Lienhypertexte"/>
                <w:noProof/>
              </w:rPr>
              <w:t>22.51 Armatures pour béton CCTB 01.13</w:t>
            </w:r>
            <w:r>
              <w:rPr>
                <w:noProof/>
                <w:webHidden/>
              </w:rPr>
              <w:tab/>
            </w:r>
            <w:r>
              <w:rPr>
                <w:noProof/>
                <w:webHidden/>
              </w:rPr>
              <w:fldChar w:fldCharType="begin"/>
            </w:r>
            <w:r>
              <w:rPr>
                <w:noProof/>
                <w:webHidden/>
              </w:rPr>
              <w:instrText xml:space="preserve"> PAGEREF _Toc220495975 \h </w:instrText>
            </w:r>
            <w:r>
              <w:rPr>
                <w:noProof/>
                <w:webHidden/>
              </w:rPr>
            </w:r>
            <w:r>
              <w:rPr>
                <w:noProof/>
                <w:webHidden/>
              </w:rPr>
              <w:fldChar w:fldCharType="separate"/>
            </w:r>
            <w:r>
              <w:rPr>
                <w:noProof/>
                <w:webHidden/>
              </w:rPr>
              <w:t>680</w:t>
            </w:r>
            <w:r>
              <w:rPr>
                <w:noProof/>
                <w:webHidden/>
              </w:rPr>
              <w:fldChar w:fldCharType="end"/>
            </w:r>
          </w:hyperlink>
        </w:p>
        <w:p w14:paraId="0C389072" w14:textId="27F5346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76" w:history="1">
            <w:r w:rsidRPr="00F45DCA">
              <w:rPr>
                <w:rStyle w:val="Lienhypertexte"/>
                <w:noProof/>
              </w:rPr>
              <w:t>22.51.1 Barres d'armatures pour béton CCTB 01.04</w:t>
            </w:r>
            <w:r>
              <w:rPr>
                <w:noProof/>
                <w:webHidden/>
              </w:rPr>
              <w:tab/>
            </w:r>
            <w:r>
              <w:rPr>
                <w:noProof/>
                <w:webHidden/>
              </w:rPr>
              <w:fldChar w:fldCharType="begin"/>
            </w:r>
            <w:r>
              <w:rPr>
                <w:noProof/>
                <w:webHidden/>
              </w:rPr>
              <w:instrText xml:space="preserve"> PAGEREF _Toc220495976 \h </w:instrText>
            </w:r>
            <w:r>
              <w:rPr>
                <w:noProof/>
                <w:webHidden/>
              </w:rPr>
            </w:r>
            <w:r>
              <w:rPr>
                <w:noProof/>
                <w:webHidden/>
              </w:rPr>
              <w:fldChar w:fldCharType="separate"/>
            </w:r>
            <w:r>
              <w:rPr>
                <w:noProof/>
                <w:webHidden/>
              </w:rPr>
              <w:t>683</w:t>
            </w:r>
            <w:r>
              <w:rPr>
                <w:noProof/>
                <w:webHidden/>
              </w:rPr>
              <w:fldChar w:fldCharType="end"/>
            </w:r>
          </w:hyperlink>
        </w:p>
        <w:p w14:paraId="710A1E0F" w14:textId="006155E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77" w:history="1">
            <w:r w:rsidRPr="00F45DCA">
              <w:rPr>
                <w:rStyle w:val="Lienhypertexte"/>
                <w:noProof/>
              </w:rPr>
              <w:t>22.51.1a Barres d'armatures pour béton CCTB 01.07</w:t>
            </w:r>
            <w:r>
              <w:rPr>
                <w:noProof/>
                <w:webHidden/>
              </w:rPr>
              <w:tab/>
            </w:r>
            <w:r>
              <w:rPr>
                <w:noProof/>
                <w:webHidden/>
              </w:rPr>
              <w:fldChar w:fldCharType="begin"/>
            </w:r>
            <w:r>
              <w:rPr>
                <w:noProof/>
                <w:webHidden/>
              </w:rPr>
              <w:instrText xml:space="preserve"> PAGEREF _Toc220495977 \h </w:instrText>
            </w:r>
            <w:r>
              <w:rPr>
                <w:noProof/>
                <w:webHidden/>
              </w:rPr>
            </w:r>
            <w:r>
              <w:rPr>
                <w:noProof/>
                <w:webHidden/>
              </w:rPr>
              <w:fldChar w:fldCharType="separate"/>
            </w:r>
            <w:r>
              <w:rPr>
                <w:noProof/>
                <w:webHidden/>
              </w:rPr>
              <w:t>683</w:t>
            </w:r>
            <w:r>
              <w:rPr>
                <w:noProof/>
                <w:webHidden/>
              </w:rPr>
              <w:fldChar w:fldCharType="end"/>
            </w:r>
          </w:hyperlink>
        </w:p>
        <w:p w14:paraId="2C300B94" w14:textId="1F6360E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78" w:history="1">
            <w:r w:rsidRPr="00F45DCA">
              <w:rPr>
                <w:rStyle w:val="Lienhypertexte"/>
                <w:noProof/>
              </w:rPr>
              <w:t>22.51.1b Barres d'armatures pour béton de rempiétement CCTB 01.11</w:t>
            </w:r>
            <w:r>
              <w:rPr>
                <w:noProof/>
                <w:webHidden/>
              </w:rPr>
              <w:tab/>
            </w:r>
            <w:r>
              <w:rPr>
                <w:noProof/>
                <w:webHidden/>
              </w:rPr>
              <w:fldChar w:fldCharType="begin"/>
            </w:r>
            <w:r>
              <w:rPr>
                <w:noProof/>
                <w:webHidden/>
              </w:rPr>
              <w:instrText xml:space="preserve"> PAGEREF _Toc220495978 \h </w:instrText>
            </w:r>
            <w:r>
              <w:rPr>
                <w:noProof/>
                <w:webHidden/>
              </w:rPr>
            </w:r>
            <w:r>
              <w:rPr>
                <w:noProof/>
                <w:webHidden/>
              </w:rPr>
              <w:fldChar w:fldCharType="separate"/>
            </w:r>
            <w:r>
              <w:rPr>
                <w:noProof/>
                <w:webHidden/>
              </w:rPr>
              <w:t>683</w:t>
            </w:r>
            <w:r>
              <w:rPr>
                <w:noProof/>
                <w:webHidden/>
              </w:rPr>
              <w:fldChar w:fldCharType="end"/>
            </w:r>
          </w:hyperlink>
        </w:p>
        <w:p w14:paraId="4A38F66B" w14:textId="41E8EB6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79" w:history="1">
            <w:r w:rsidRPr="00F45DCA">
              <w:rPr>
                <w:rStyle w:val="Lienhypertexte"/>
                <w:noProof/>
              </w:rPr>
              <w:t>22.51.1c Barres d'armatures scellées dans du béton CCTB 01.11</w:t>
            </w:r>
            <w:r>
              <w:rPr>
                <w:noProof/>
                <w:webHidden/>
              </w:rPr>
              <w:tab/>
            </w:r>
            <w:r>
              <w:rPr>
                <w:noProof/>
                <w:webHidden/>
              </w:rPr>
              <w:fldChar w:fldCharType="begin"/>
            </w:r>
            <w:r>
              <w:rPr>
                <w:noProof/>
                <w:webHidden/>
              </w:rPr>
              <w:instrText xml:space="preserve"> PAGEREF _Toc220495979 \h </w:instrText>
            </w:r>
            <w:r>
              <w:rPr>
                <w:noProof/>
                <w:webHidden/>
              </w:rPr>
            </w:r>
            <w:r>
              <w:rPr>
                <w:noProof/>
                <w:webHidden/>
              </w:rPr>
              <w:fldChar w:fldCharType="separate"/>
            </w:r>
            <w:r>
              <w:rPr>
                <w:noProof/>
                <w:webHidden/>
              </w:rPr>
              <w:t>683</w:t>
            </w:r>
            <w:r>
              <w:rPr>
                <w:noProof/>
                <w:webHidden/>
              </w:rPr>
              <w:fldChar w:fldCharType="end"/>
            </w:r>
          </w:hyperlink>
        </w:p>
        <w:p w14:paraId="065255EB" w14:textId="53DD72B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80" w:history="1">
            <w:r w:rsidRPr="00F45DCA">
              <w:rPr>
                <w:rStyle w:val="Lienhypertexte"/>
                <w:noProof/>
              </w:rPr>
              <w:t>22.51.1d Barres d'armatures scellées dans de la maçonnerie CCTB 01.11</w:t>
            </w:r>
            <w:r>
              <w:rPr>
                <w:noProof/>
                <w:webHidden/>
              </w:rPr>
              <w:tab/>
            </w:r>
            <w:r>
              <w:rPr>
                <w:noProof/>
                <w:webHidden/>
              </w:rPr>
              <w:fldChar w:fldCharType="begin"/>
            </w:r>
            <w:r>
              <w:rPr>
                <w:noProof/>
                <w:webHidden/>
              </w:rPr>
              <w:instrText xml:space="preserve"> PAGEREF _Toc220495980 \h </w:instrText>
            </w:r>
            <w:r>
              <w:rPr>
                <w:noProof/>
                <w:webHidden/>
              </w:rPr>
            </w:r>
            <w:r>
              <w:rPr>
                <w:noProof/>
                <w:webHidden/>
              </w:rPr>
              <w:fldChar w:fldCharType="separate"/>
            </w:r>
            <w:r>
              <w:rPr>
                <w:noProof/>
                <w:webHidden/>
              </w:rPr>
              <w:t>684</w:t>
            </w:r>
            <w:r>
              <w:rPr>
                <w:noProof/>
                <w:webHidden/>
              </w:rPr>
              <w:fldChar w:fldCharType="end"/>
            </w:r>
          </w:hyperlink>
        </w:p>
        <w:p w14:paraId="1FB6D331" w14:textId="2E75E02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81" w:history="1">
            <w:r w:rsidRPr="00F45DCA">
              <w:rPr>
                <w:rStyle w:val="Lienhypertexte"/>
                <w:noProof/>
              </w:rPr>
              <w:t>22.51.2 Treillis et panneaux d'armatures préfabriqués CCTB 01.04</w:t>
            </w:r>
            <w:r>
              <w:rPr>
                <w:noProof/>
                <w:webHidden/>
              </w:rPr>
              <w:tab/>
            </w:r>
            <w:r>
              <w:rPr>
                <w:noProof/>
                <w:webHidden/>
              </w:rPr>
              <w:fldChar w:fldCharType="begin"/>
            </w:r>
            <w:r>
              <w:rPr>
                <w:noProof/>
                <w:webHidden/>
              </w:rPr>
              <w:instrText xml:space="preserve"> PAGEREF _Toc220495981 \h </w:instrText>
            </w:r>
            <w:r>
              <w:rPr>
                <w:noProof/>
                <w:webHidden/>
              </w:rPr>
            </w:r>
            <w:r>
              <w:rPr>
                <w:noProof/>
                <w:webHidden/>
              </w:rPr>
              <w:fldChar w:fldCharType="separate"/>
            </w:r>
            <w:r>
              <w:rPr>
                <w:noProof/>
                <w:webHidden/>
              </w:rPr>
              <w:t>684</w:t>
            </w:r>
            <w:r>
              <w:rPr>
                <w:noProof/>
                <w:webHidden/>
              </w:rPr>
              <w:fldChar w:fldCharType="end"/>
            </w:r>
          </w:hyperlink>
        </w:p>
        <w:p w14:paraId="43D0C8D4" w14:textId="42DB1E1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82" w:history="1">
            <w:r w:rsidRPr="00F45DCA">
              <w:rPr>
                <w:rStyle w:val="Lienhypertexte"/>
                <w:noProof/>
              </w:rPr>
              <w:t>22.51.2a Treillis d'armatures préfabriqués CCTB 01.13</w:t>
            </w:r>
            <w:r>
              <w:rPr>
                <w:noProof/>
                <w:webHidden/>
              </w:rPr>
              <w:tab/>
            </w:r>
            <w:r>
              <w:rPr>
                <w:noProof/>
                <w:webHidden/>
              </w:rPr>
              <w:fldChar w:fldCharType="begin"/>
            </w:r>
            <w:r>
              <w:rPr>
                <w:noProof/>
                <w:webHidden/>
              </w:rPr>
              <w:instrText xml:space="preserve"> PAGEREF _Toc220495982 \h </w:instrText>
            </w:r>
            <w:r>
              <w:rPr>
                <w:noProof/>
                <w:webHidden/>
              </w:rPr>
            </w:r>
            <w:r>
              <w:rPr>
                <w:noProof/>
                <w:webHidden/>
              </w:rPr>
              <w:fldChar w:fldCharType="separate"/>
            </w:r>
            <w:r>
              <w:rPr>
                <w:noProof/>
                <w:webHidden/>
              </w:rPr>
              <w:t>684</w:t>
            </w:r>
            <w:r>
              <w:rPr>
                <w:noProof/>
                <w:webHidden/>
              </w:rPr>
              <w:fldChar w:fldCharType="end"/>
            </w:r>
          </w:hyperlink>
        </w:p>
        <w:p w14:paraId="3BB5588A" w14:textId="2940A42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83" w:history="1">
            <w:r w:rsidRPr="00F45DCA">
              <w:rPr>
                <w:rStyle w:val="Lienhypertexte"/>
                <w:noProof/>
              </w:rPr>
              <w:t>22.51.2b Panneaux plans d'armatures préfabriqués CCTB 01.11</w:t>
            </w:r>
            <w:r>
              <w:rPr>
                <w:noProof/>
                <w:webHidden/>
              </w:rPr>
              <w:tab/>
            </w:r>
            <w:r>
              <w:rPr>
                <w:noProof/>
                <w:webHidden/>
              </w:rPr>
              <w:fldChar w:fldCharType="begin"/>
            </w:r>
            <w:r>
              <w:rPr>
                <w:noProof/>
                <w:webHidden/>
              </w:rPr>
              <w:instrText xml:space="preserve"> PAGEREF _Toc220495983 \h </w:instrText>
            </w:r>
            <w:r>
              <w:rPr>
                <w:noProof/>
                <w:webHidden/>
              </w:rPr>
            </w:r>
            <w:r>
              <w:rPr>
                <w:noProof/>
                <w:webHidden/>
              </w:rPr>
              <w:fldChar w:fldCharType="separate"/>
            </w:r>
            <w:r>
              <w:rPr>
                <w:noProof/>
                <w:webHidden/>
              </w:rPr>
              <w:t>684</w:t>
            </w:r>
            <w:r>
              <w:rPr>
                <w:noProof/>
                <w:webHidden/>
              </w:rPr>
              <w:fldChar w:fldCharType="end"/>
            </w:r>
          </w:hyperlink>
        </w:p>
        <w:p w14:paraId="371272B6" w14:textId="06E8E6C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84" w:history="1">
            <w:r w:rsidRPr="00F45DCA">
              <w:rPr>
                <w:rStyle w:val="Lienhypertexte"/>
                <w:noProof/>
              </w:rPr>
              <w:t>22.51.3 Fibres de renforcement de béton CCTB 01.02</w:t>
            </w:r>
            <w:r>
              <w:rPr>
                <w:noProof/>
                <w:webHidden/>
              </w:rPr>
              <w:tab/>
            </w:r>
            <w:r>
              <w:rPr>
                <w:noProof/>
                <w:webHidden/>
              </w:rPr>
              <w:fldChar w:fldCharType="begin"/>
            </w:r>
            <w:r>
              <w:rPr>
                <w:noProof/>
                <w:webHidden/>
              </w:rPr>
              <w:instrText xml:space="preserve"> PAGEREF _Toc220495984 \h </w:instrText>
            </w:r>
            <w:r>
              <w:rPr>
                <w:noProof/>
                <w:webHidden/>
              </w:rPr>
            </w:r>
            <w:r>
              <w:rPr>
                <w:noProof/>
                <w:webHidden/>
              </w:rPr>
              <w:fldChar w:fldCharType="separate"/>
            </w:r>
            <w:r>
              <w:rPr>
                <w:noProof/>
                <w:webHidden/>
              </w:rPr>
              <w:t>684</w:t>
            </w:r>
            <w:r>
              <w:rPr>
                <w:noProof/>
                <w:webHidden/>
              </w:rPr>
              <w:fldChar w:fldCharType="end"/>
            </w:r>
          </w:hyperlink>
        </w:p>
        <w:p w14:paraId="59C77C05" w14:textId="369701E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85" w:history="1">
            <w:r w:rsidRPr="00F45DCA">
              <w:rPr>
                <w:rStyle w:val="Lienhypertexte"/>
                <w:noProof/>
              </w:rPr>
              <w:t>22.51.3a Fibres d'acier de renforcement de béton CCTB 01.11</w:t>
            </w:r>
            <w:r>
              <w:rPr>
                <w:noProof/>
                <w:webHidden/>
              </w:rPr>
              <w:tab/>
            </w:r>
            <w:r>
              <w:rPr>
                <w:noProof/>
                <w:webHidden/>
              </w:rPr>
              <w:fldChar w:fldCharType="begin"/>
            </w:r>
            <w:r>
              <w:rPr>
                <w:noProof/>
                <w:webHidden/>
              </w:rPr>
              <w:instrText xml:space="preserve"> PAGEREF _Toc220495985 \h </w:instrText>
            </w:r>
            <w:r>
              <w:rPr>
                <w:noProof/>
                <w:webHidden/>
              </w:rPr>
            </w:r>
            <w:r>
              <w:rPr>
                <w:noProof/>
                <w:webHidden/>
              </w:rPr>
              <w:fldChar w:fldCharType="separate"/>
            </w:r>
            <w:r>
              <w:rPr>
                <w:noProof/>
                <w:webHidden/>
              </w:rPr>
              <w:t>684</w:t>
            </w:r>
            <w:r>
              <w:rPr>
                <w:noProof/>
                <w:webHidden/>
              </w:rPr>
              <w:fldChar w:fldCharType="end"/>
            </w:r>
          </w:hyperlink>
        </w:p>
        <w:p w14:paraId="54EDA5BB" w14:textId="0F19980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86" w:history="1">
            <w:r w:rsidRPr="00F45DCA">
              <w:rPr>
                <w:rStyle w:val="Lienhypertexte"/>
                <w:noProof/>
              </w:rPr>
              <w:t>22.51.3b Fibres synthétiques de renforcement de béton CCTB 01.11</w:t>
            </w:r>
            <w:r>
              <w:rPr>
                <w:noProof/>
                <w:webHidden/>
              </w:rPr>
              <w:tab/>
            </w:r>
            <w:r>
              <w:rPr>
                <w:noProof/>
                <w:webHidden/>
              </w:rPr>
              <w:fldChar w:fldCharType="begin"/>
            </w:r>
            <w:r>
              <w:rPr>
                <w:noProof/>
                <w:webHidden/>
              </w:rPr>
              <w:instrText xml:space="preserve"> PAGEREF _Toc220495986 \h </w:instrText>
            </w:r>
            <w:r>
              <w:rPr>
                <w:noProof/>
                <w:webHidden/>
              </w:rPr>
            </w:r>
            <w:r>
              <w:rPr>
                <w:noProof/>
                <w:webHidden/>
              </w:rPr>
              <w:fldChar w:fldCharType="separate"/>
            </w:r>
            <w:r>
              <w:rPr>
                <w:noProof/>
                <w:webHidden/>
              </w:rPr>
              <w:t>686</w:t>
            </w:r>
            <w:r>
              <w:rPr>
                <w:noProof/>
                <w:webHidden/>
              </w:rPr>
              <w:fldChar w:fldCharType="end"/>
            </w:r>
          </w:hyperlink>
        </w:p>
        <w:p w14:paraId="3BFBCF93" w14:textId="2DD4DFA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87" w:history="1">
            <w:r w:rsidRPr="00F45DCA">
              <w:rPr>
                <w:rStyle w:val="Lienhypertexte"/>
                <w:noProof/>
              </w:rPr>
              <w:t>22.51.3c Fibres de verre de renforcement de béton CCTB 01.04</w:t>
            </w:r>
            <w:r>
              <w:rPr>
                <w:noProof/>
                <w:webHidden/>
              </w:rPr>
              <w:tab/>
            </w:r>
            <w:r>
              <w:rPr>
                <w:noProof/>
                <w:webHidden/>
              </w:rPr>
              <w:fldChar w:fldCharType="begin"/>
            </w:r>
            <w:r>
              <w:rPr>
                <w:noProof/>
                <w:webHidden/>
              </w:rPr>
              <w:instrText xml:space="preserve"> PAGEREF _Toc220495987 \h </w:instrText>
            </w:r>
            <w:r>
              <w:rPr>
                <w:noProof/>
                <w:webHidden/>
              </w:rPr>
            </w:r>
            <w:r>
              <w:rPr>
                <w:noProof/>
                <w:webHidden/>
              </w:rPr>
              <w:fldChar w:fldCharType="separate"/>
            </w:r>
            <w:r>
              <w:rPr>
                <w:noProof/>
                <w:webHidden/>
              </w:rPr>
              <w:t>688</w:t>
            </w:r>
            <w:r>
              <w:rPr>
                <w:noProof/>
                <w:webHidden/>
              </w:rPr>
              <w:fldChar w:fldCharType="end"/>
            </w:r>
          </w:hyperlink>
        </w:p>
        <w:p w14:paraId="46570FAC" w14:textId="7767F3D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88" w:history="1">
            <w:r w:rsidRPr="00F45DCA">
              <w:rPr>
                <w:rStyle w:val="Lienhypertexte"/>
                <w:noProof/>
              </w:rPr>
              <w:t>22.51.4 Armatures additionnelles de renforcement de béton CCTB 01.12</w:t>
            </w:r>
            <w:r>
              <w:rPr>
                <w:noProof/>
                <w:webHidden/>
              </w:rPr>
              <w:tab/>
            </w:r>
            <w:r>
              <w:rPr>
                <w:noProof/>
                <w:webHidden/>
              </w:rPr>
              <w:fldChar w:fldCharType="begin"/>
            </w:r>
            <w:r>
              <w:rPr>
                <w:noProof/>
                <w:webHidden/>
              </w:rPr>
              <w:instrText xml:space="preserve"> PAGEREF _Toc220495988 \h </w:instrText>
            </w:r>
            <w:r>
              <w:rPr>
                <w:noProof/>
                <w:webHidden/>
              </w:rPr>
            </w:r>
            <w:r>
              <w:rPr>
                <w:noProof/>
                <w:webHidden/>
              </w:rPr>
              <w:fldChar w:fldCharType="separate"/>
            </w:r>
            <w:r>
              <w:rPr>
                <w:noProof/>
                <w:webHidden/>
              </w:rPr>
              <w:t>688</w:t>
            </w:r>
            <w:r>
              <w:rPr>
                <w:noProof/>
                <w:webHidden/>
              </w:rPr>
              <w:fldChar w:fldCharType="end"/>
            </w:r>
          </w:hyperlink>
        </w:p>
        <w:p w14:paraId="15010816" w14:textId="0152D7F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89" w:history="1">
            <w:r w:rsidRPr="00F45DCA">
              <w:rPr>
                <w:rStyle w:val="Lienhypertexte"/>
                <w:noProof/>
              </w:rPr>
              <w:t>22.51.4a Armatures additionnelles à base de fibres de carbone CCTB 01.12</w:t>
            </w:r>
            <w:r>
              <w:rPr>
                <w:noProof/>
                <w:webHidden/>
              </w:rPr>
              <w:tab/>
            </w:r>
            <w:r>
              <w:rPr>
                <w:noProof/>
                <w:webHidden/>
              </w:rPr>
              <w:fldChar w:fldCharType="begin"/>
            </w:r>
            <w:r>
              <w:rPr>
                <w:noProof/>
                <w:webHidden/>
              </w:rPr>
              <w:instrText xml:space="preserve"> PAGEREF _Toc220495989 \h </w:instrText>
            </w:r>
            <w:r>
              <w:rPr>
                <w:noProof/>
                <w:webHidden/>
              </w:rPr>
            </w:r>
            <w:r>
              <w:rPr>
                <w:noProof/>
                <w:webHidden/>
              </w:rPr>
              <w:fldChar w:fldCharType="separate"/>
            </w:r>
            <w:r>
              <w:rPr>
                <w:noProof/>
                <w:webHidden/>
              </w:rPr>
              <w:t>689</w:t>
            </w:r>
            <w:r>
              <w:rPr>
                <w:noProof/>
                <w:webHidden/>
              </w:rPr>
              <w:fldChar w:fldCharType="end"/>
            </w:r>
          </w:hyperlink>
        </w:p>
        <w:p w14:paraId="639FFC39" w14:textId="0CB78AB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90" w:history="1">
            <w:r w:rsidRPr="00F45DCA">
              <w:rPr>
                <w:rStyle w:val="Lienhypertexte"/>
                <w:noProof/>
              </w:rPr>
              <w:t>22.51.4b Armatures additionnelles à base de plats métalliques CCTB 01.12</w:t>
            </w:r>
            <w:r>
              <w:rPr>
                <w:noProof/>
                <w:webHidden/>
              </w:rPr>
              <w:tab/>
            </w:r>
            <w:r>
              <w:rPr>
                <w:noProof/>
                <w:webHidden/>
              </w:rPr>
              <w:fldChar w:fldCharType="begin"/>
            </w:r>
            <w:r>
              <w:rPr>
                <w:noProof/>
                <w:webHidden/>
              </w:rPr>
              <w:instrText xml:space="preserve"> PAGEREF _Toc220495990 \h </w:instrText>
            </w:r>
            <w:r>
              <w:rPr>
                <w:noProof/>
                <w:webHidden/>
              </w:rPr>
            </w:r>
            <w:r>
              <w:rPr>
                <w:noProof/>
                <w:webHidden/>
              </w:rPr>
              <w:fldChar w:fldCharType="separate"/>
            </w:r>
            <w:r>
              <w:rPr>
                <w:noProof/>
                <w:webHidden/>
              </w:rPr>
              <w:t>690</w:t>
            </w:r>
            <w:r>
              <w:rPr>
                <w:noProof/>
                <w:webHidden/>
              </w:rPr>
              <w:fldChar w:fldCharType="end"/>
            </w:r>
          </w:hyperlink>
        </w:p>
        <w:p w14:paraId="0B9BF472" w14:textId="05307D7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91" w:history="1">
            <w:r w:rsidRPr="00F45DCA">
              <w:rPr>
                <w:rStyle w:val="Lienhypertexte"/>
                <w:noProof/>
              </w:rPr>
              <w:t>22.51.4c Armatures additionnelles à base de fibre de verre CCTB 01.12</w:t>
            </w:r>
            <w:r>
              <w:rPr>
                <w:noProof/>
                <w:webHidden/>
              </w:rPr>
              <w:tab/>
            </w:r>
            <w:r>
              <w:rPr>
                <w:noProof/>
                <w:webHidden/>
              </w:rPr>
              <w:fldChar w:fldCharType="begin"/>
            </w:r>
            <w:r>
              <w:rPr>
                <w:noProof/>
                <w:webHidden/>
              </w:rPr>
              <w:instrText xml:space="preserve"> PAGEREF _Toc220495991 \h </w:instrText>
            </w:r>
            <w:r>
              <w:rPr>
                <w:noProof/>
                <w:webHidden/>
              </w:rPr>
            </w:r>
            <w:r>
              <w:rPr>
                <w:noProof/>
                <w:webHidden/>
              </w:rPr>
              <w:fldChar w:fldCharType="separate"/>
            </w:r>
            <w:r>
              <w:rPr>
                <w:noProof/>
                <w:webHidden/>
              </w:rPr>
              <w:t>691</w:t>
            </w:r>
            <w:r>
              <w:rPr>
                <w:noProof/>
                <w:webHidden/>
              </w:rPr>
              <w:fldChar w:fldCharType="end"/>
            </w:r>
          </w:hyperlink>
        </w:p>
        <w:p w14:paraId="78FD75CE" w14:textId="4603463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92" w:history="1">
            <w:r w:rsidRPr="00F45DCA">
              <w:rPr>
                <w:rStyle w:val="Lienhypertexte"/>
                <w:noProof/>
              </w:rPr>
              <w:t>22.51.4d Armatures additionnelles à base de fibre d’aramide CCTB 01.12</w:t>
            </w:r>
            <w:r>
              <w:rPr>
                <w:noProof/>
                <w:webHidden/>
              </w:rPr>
              <w:tab/>
            </w:r>
            <w:r>
              <w:rPr>
                <w:noProof/>
                <w:webHidden/>
              </w:rPr>
              <w:fldChar w:fldCharType="begin"/>
            </w:r>
            <w:r>
              <w:rPr>
                <w:noProof/>
                <w:webHidden/>
              </w:rPr>
              <w:instrText xml:space="preserve"> PAGEREF _Toc220495992 \h </w:instrText>
            </w:r>
            <w:r>
              <w:rPr>
                <w:noProof/>
                <w:webHidden/>
              </w:rPr>
            </w:r>
            <w:r>
              <w:rPr>
                <w:noProof/>
                <w:webHidden/>
              </w:rPr>
              <w:fldChar w:fldCharType="separate"/>
            </w:r>
            <w:r>
              <w:rPr>
                <w:noProof/>
                <w:webHidden/>
              </w:rPr>
              <w:t>691</w:t>
            </w:r>
            <w:r>
              <w:rPr>
                <w:noProof/>
                <w:webHidden/>
              </w:rPr>
              <w:fldChar w:fldCharType="end"/>
            </w:r>
          </w:hyperlink>
        </w:p>
        <w:p w14:paraId="2E9D491D" w14:textId="1B5DCE5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5993" w:history="1">
            <w:r w:rsidRPr="00F45DCA">
              <w:rPr>
                <w:rStyle w:val="Lienhypertexte"/>
                <w:noProof/>
              </w:rPr>
              <w:t>22.52 Armatures et accessoires de précontrainte CCTB 01.04</w:t>
            </w:r>
            <w:r>
              <w:rPr>
                <w:noProof/>
                <w:webHidden/>
              </w:rPr>
              <w:tab/>
            </w:r>
            <w:r>
              <w:rPr>
                <w:noProof/>
                <w:webHidden/>
              </w:rPr>
              <w:fldChar w:fldCharType="begin"/>
            </w:r>
            <w:r>
              <w:rPr>
                <w:noProof/>
                <w:webHidden/>
              </w:rPr>
              <w:instrText xml:space="preserve"> PAGEREF _Toc220495993 \h </w:instrText>
            </w:r>
            <w:r>
              <w:rPr>
                <w:noProof/>
                <w:webHidden/>
              </w:rPr>
            </w:r>
            <w:r>
              <w:rPr>
                <w:noProof/>
                <w:webHidden/>
              </w:rPr>
              <w:fldChar w:fldCharType="separate"/>
            </w:r>
            <w:r>
              <w:rPr>
                <w:noProof/>
                <w:webHidden/>
              </w:rPr>
              <w:t>692</w:t>
            </w:r>
            <w:r>
              <w:rPr>
                <w:noProof/>
                <w:webHidden/>
              </w:rPr>
              <w:fldChar w:fldCharType="end"/>
            </w:r>
          </w:hyperlink>
        </w:p>
        <w:p w14:paraId="630A98F4" w14:textId="4D194B1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5994" w:history="1">
            <w:r w:rsidRPr="00F45DCA">
              <w:rPr>
                <w:rStyle w:val="Lienhypertexte"/>
                <w:noProof/>
              </w:rPr>
              <w:t>22.52.1 Armatures de précontrainte par post-tension CCTB 01.04</w:t>
            </w:r>
            <w:r>
              <w:rPr>
                <w:noProof/>
                <w:webHidden/>
              </w:rPr>
              <w:tab/>
            </w:r>
            <w:r>
              <w:rPr>
                <w:noProof/>
                <w:webHidden/>
              </w:rPr>
              <w:fldChar w:fldCharType="begin"/>
            </w:r>
            <w:r>
              <w:rPr>
                <w:noProof/>
                <w:webHidden/>
              </w:rPr>
              <w:instrText xml:space="preserve"> PAGEREF _Toc220495994 \h </w:instrText>
            </w:r>
            <w:r>
              <w:rPr>
                <w:noProof/>
                <w:webHidden/>
              </w:rPr>
            </w:r>
            <w:r>
              <w:rPr>
                <w:noProof/>
                <w:webHidden/>
              </w:rPr>
              <w:fldChar w:fldCharType="separate"/>
            </w:r>
            <w:r>
              <w:rPr>
                <w:noProof/>
                <w:webHidden/>
              </w:rPr>
              <w:t>692</w:t>
            </w:r>
            <w:r>
              <w:rPr>
                <w:noProof/>
                <w:webHidden/>
              </w:rPr>
              <w:fldChar w:fldCharType="end"/>
            </w:r>
          </w:hyperlink>
        </w:p>
        <w:p w14:paraId="289AA40E" w14:textId="0D8CF23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95" w:history="1">
            <w:r w:rsidRPr="00F45DCA">
              <w:rPr>
                <w:rStyle w:val="Lienhypertexte"/>
                <w:noProof/>
              </w:rPr>
              <w:t>22.52.1a Barres de précontrainte par post-tension CCTB 01.07</w:t>
            </w:r>
            <w:r>
              <w:rPr>
                <w:noProof/>
                <w:webHidden/>
              </w:rPr>
              <w:tab/>
            </w:r>
            <w:r>
              <w:rPr>
                <w:noProof/>
                <w:webHidden/>
              </w:rPr>
              <w:fldChar w:fldCharType="begin"/>
            </w:r>
            <w:r>
              <w:rPr>
                <w:noProof/>
                <w:webHidden/>
              </w:rPr>
              <w:instrText xml:space="preserve"> PAGEREF _Toc220495995 \h </w:instrText>
            </w:r>
            <w:r>
              <w:rPr>
                <w:noProof/>
                <w:webHidden/>
              </w:rPr>
            </w:r>
            <w:r>
              <w:rPr>
                <w:noProof/>
                <w:webHidden/>
              </w:rPr>
              <w:fldChar w:fldCharType="separate"/>
            </w:r>
            <w:r>
              <w:rPr>
                <w:noProof/>
                <w:webHidden/>
              </w:rPr>
              <w:t>692</w:t>
            </w:r>
            <w:r>
              <w:rPr>
                <w:noProof/>
                <w:webHidden/>
              </w:rPr>
              <w:fldChar w:fldCharType="end"/>
            </w:r>
          </w:hyperlink>
        </w:p>
        <w:p w14:paraId="4F9477A4" w14:textId="767F54C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96" w:history="1">
            <w:r w:rsidRPr="00F45DCA">
              <w:rPr>
                <w:rStyle w:val="Lienhypertexte"/>
                <w:noProof/>
              </w:rPr>
              <w:t>22.52.1b Câbles de précontrainte par post-tension CCTB 01.07</w:t>
            </w:r>
            <w:r>
              <w:rPr>
                <w:noProof/>
                <w:webHidden/>
              </w:rPr>
              <w:tab/>
            </w:r>
            <w:r>
              <w:rPr>
                <w:noProof/>
                <w:webHidden/>
              </w:rPr>
              <w:fldChar w:fldCharType="begin"/>
            </w:r>
            <w:r>
              <w:rPr>
                <w:noProof/>
                <w:webHidden/>
              </w:rPr>
              <w:instrText xml:space="preserve"> PAGEREF _Toc220495996 \h </w:instrText>
            </w:r>
            <w:r>
              <w:rPr>
                <w:noProof/>
                <w:webHidden/>
              </w:rPr>
            </w:r>
            <w:r>
              <w:rPr>
                <w:noProof/>
                <w:webHidden/>
              </w:rPr>
              <w:fldChar w:fldCharType="separate"/>
            </w:r>
            <w:r>
              <w:rPr>
                <w:noProof/>
                <w:webHidden/>
              </w:rPr>
              <w:t>693</w:t>
            </w:r>
            <w:r>
              <w:rPr>
                <w:noProof/>
                <w:webHidden/>
              </w:rPr>
              <w:fldChar w:fldCharType="end"/>
            </w:r>
          </w:hyperlink>
        </w:p>
        <w:p w14:paraId="0DBE9E28" w14:textId="68CEAB6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97" w:history="1">
            <w:r w:rsidRPr="00F45DCA">
              <w:rPr>
                <w:rStyle w:val="Lienhypertexte"/>
                <w:noProof/>
              </w:rPr>
              <w:t>22.52.1c Torons de précontrainte clairs par post-tension CCTB 01.11</w:t>
            </w:r>
            <w:r>
              <w:rPr>
                <w:noProof/>
                <w:webHidden/>
              </w:rPr>
              <w:tab/>
            </w:r>
            <w:r>
              <w:rPr>
                <w:noProof/>
                <w:webHidden/>
              </w:rPr>
              <w:fldChar w:fldCharType="begin"/>
            </w:r>
            <w:r>
              <w:rPr>
                <w:noProof/>
                <w:webHidden/>
              </w:rPr>
              <w:instrText xml:space="preserve"> PAGEREF _Toc220495997 \h </w:instrText>
            </w:r>
            <w:r>
              <w:rPr>
                <w:noProof/>
                <w:webHidden/>
              </w:rPr>
            </w:r>
            <w:r>
              <w:rPr>
                <w:noProof/>
                <w:webHidden/>
              </w:rPr>
              <w:fldChar w:fldCharType="separate"/>
            </w:r>
            <w:r>
              <w:rPr>
                <w:noProof/>
                <w:webHidden/>
              </w:rPr>
              <w:t>693</w:t>
            </w:r>
            <w:r>
              <w:rPr>
                <w:noProof/>
                <w:webHidden/>
              </w:rPr>
              <w:fldChar w:fldCharType="end"/>
            </w:r>
          </w:hyperlink>
        </w:p>
        <w:p w14:paraId="64C61442" w14:textId="7A18155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98" w:history="1">
            <w:r w:rsidRPr="00F45DCA">
              <w:rPr>
                <w:rStyle w:val="Lienhypertexte"/>
                <w:noProof/>
              </w:rPr>
              <w:t>22.52.1d Torons de précontrainte par post-tension avec gaines injectées à l'aide d'un coulis de ciment CCTB 01.11</w:t>
            </w:r>
            <w:r>
              <w:rPr>
                <w:noProof/>
                <w:webHidden/>
              </w:rPr>
              <w:tab/>
            </w:r>
            <w:r>
              <w:rPr>
                <w:noProof/>
                <w:webHidden/>
              </w:rPr>
              <w:fldChar w:fldCharType="begin"/>
            </w:r>
            <w:r>
              <w:rPr>
                <w:noProof/>
                <w:webHidden/>
              </w:rPr>
              <w:instrText xml:space="preserve"> PAGEREF _Toc220495998 \h </w:instrText>
            </w:r>
            <w:r>
              <w:rPr>
                <w:noProof/>
                <w:webHidden/>
              </w:rPr>
            </w:r>
            <w:r>
              <w:rPr>
                <w:noProof/>
                <w:webHidden/>
              </w:rPr>
              <w:fldChar w:fldCharType="separate"/>
            </w:r>
            <w:r>
              <w:rPr>
                <w:noProof/>
                <w:webHidden/>
              </w:rPr>
              <w:t>693</w:t>
            </w:r>
            <w:r>
              <w:rPr>
                <w:noProof/>
                <w:webHidden/>
              </w:rPr>
              <w:fldChar w:fldCharType="end"/>
            </w:r>
          </w:hyperlink>
        </w:p>
        <w:p w14:paraId="1E041CDE" w14:textId="1AE8B7D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5999" w:history="1">
            <w:r w:rsidRPr="00F45DCA">
              <w:rPr>
                <w:rStyle w:val="Lienhypertexte"/>
                <w:noProof/>
              </w:rPr>
              <w:t>22.52.1e Torons de précontrainte par post-tension gainés graissés CCTB 01.11</w:t>
            </w:r>
            <w:r>
              <w:rPr>
                <w:noProof/>
                <w:webHidden/>
              </w:rPr>
              <w:tab/>
            </w:r>
            <w:r>
              <w:rPr>
                <w:noProof/>
                <w:webHidden/>
              </w:rPr>
              <w:fldChar w:fldCharType="begin"/>
            </w:r>
            <w:r>
              <w:rPr>
                <w:noProof/>
                <w:webHidden/>
              </w:rPr>
              <w:instrText xml:space="preserve"> PAGEREF _Toc220495999 \h </w:instrText>
            </w:r>
            <w:r>
              <w:rPr>
                <w:noProof/>
                <w:webHidden/>
              </w:rPr>
            </w:r>
            <w:r>
              <w:rPr>
                <w:noProof/>
                <w:webHidden/>
              </w:rPr>
              <w:fldChar w:fldCharType="separate"/>
            </w:r>
            <w:r>
              <w:rPr>
                <w:noProof/>
                <w:webHidden/>
              </w:rPr>
              <w:t>694</w:t>
            </w:r>
            <w:r>
              <w:rPr>
                <w:noProof/>
                <w:webHidden/>
              </w:rPr>
              <w:fldChar w:fldCharType="end"/>
            </w:r>
          </w:hyperlink>
        </w:p>
        <w:p w14:paraId="1ED431EA" w14:textId="36E5B6E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00" w:history="1">
            <w:r w:rsidRPr="00F45DCA">
              <w:rPr>
                <w:rStyle w:val="Lienhypertexte"/>
                <w:noProof/>
              </w:rPr>
              <w:t>22.52.1f Torons de précontrainte par post-tension galvanisés gainés graissés CCTB 01.11</w:t>
            </w:r>
            <w:r>
              <w:rPr>
                <w:noProof/>
                <w:webHidden/>
              </w:rPr>
              <w:tab/>
            </w:r>
            <w:r>
              <w:rPr>
                <w:noProof/>
                <w:webHidden/>
              </w:rPr>
              <w:fldChar w:fldCharType="begin"/>
            </w:r>
            <w:r>
              <w:rPr>
                <w:noProof/>
                <w:webHidden/>
              </w:rPr>
              <w:instrText xml:space="preserve"> PAGEREF _Toc220496000 \h </w:instrText>
            </w:r>
            <w:r>
              <w:rPr>
                <w:noProof/>
                <w:webHidden/>
              </w:rPr>
            </w:r>
            <w:r>
              <w:rPr>
                <w:noProof/>
                <w:webHidden/>
              </w:rPr>
              <w:fldChar w:fldCharType="separate"/>
            </w:r>
            <w:r>
              <w:rPr>
                <w:noProof/>
                <w:webHidden/>
              </w:rPr>
              <w:t>694</w:t>
            </w:r>
            <w:r>
              <w:rPr>
                <w:noProof/>
                <w:webHidden/>
              </w:rPr>
              <w:fldChar w:fldCharType="end"/>
            </w:r>
          </w:hyperlink>
        </w:p>
        <w:p w14:paraId="4D8B9980" w14:textId="7940B31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01" w:history="1">
            <w:r w:rsidRPr="00F45DCA">
              <w:rPr>
                <w:rStyle w:val="Lienhypertexte"/>
                <w:noProof/>
              </w:rPr>
              <w:t>22.52.2 Accessoires de précontrainte pour post-tension CCTB 01.04</w:t>
            </w:r>
            <w:r>
              <w:rPr>
                <w:noProof/>
                <w:webHidden/>
              </w:rPr>
              <w:tab/>
            </w:r>
            <w:r>
              <w:rPr>
                <w:noProof/>
                <w:webHidden/>
              </w:rPr>
              <w:fldChar w:fldCharType="begin"/>
            </w:r>
            <w:r>
              <w:rPr>
                <w:noProof/>
                <w:webHidden/>
              </w:rPr>
              <w:instrText xml:space="preserve"> PAGEREF _Toc220496001 \h </w:instrText>
            </w:r>
            <w:r>
              <w:rPr>
                <w:noProof/>
                <w:webHidden/>
              </w:rPr>
            </w:r>
            <w:r>
              <w:rPr>
                <w:noProof/>
                <w:webHidden/>
              </w:rPr>
              <w:fldChar w:fldCharType="separate"/>
            </w:r>
            <w:r>
              <w:rPr>
                <w:noProof/>
                <w:webHidden/>
              </w:rPr>
              <w:t>694</w:t>
            </w:r>
            <w:r>
              <w:rPr>
                <w:noProof/>
                <w:webHidden/>
              </w:rPr>
              <w:fldChar w:fldCharType="end"/>
            </w:r>
          </w:hyperlink>
        </w:p>
        <w:p w14:paraId="7F8CA5E1" w14:textId="4AF16C1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02" w:history="1">
            <w:r w:rsidRPr="00F45DCA">
              <w:rPr>
                <w:rStyle w:val="Lienhypertexte"/>
                <w:noProof/>
              </w:rPr>
              <w:t>22.52.2a Accessoires de précontrainte par post-tension CCTB 01.04</w:t>
            </w:r>
            <w:r>
              <w:rPr>
                <w:noProof/>
                <w:webHidden/>
              </w:rPr>
              <w:tab/>
            </w:r>
            <w:r>
              <w:rPr>
                <w:noProof/>
                <w:webHidden/>
              </w:rPr>
              <w:fldChar w:fldCharType="begin"/>
            </w:r>
            <w:r>
              <w:rPr>
                <w:noProof/>
                <w:webHidden/>
              </w:rPr>
              <w:instrText xml:space="preserve"> PAGEREF _Toc220496002 \h </w:instrText>
            </w:r>
            <w:r>
              <w:rPr>
                <w:noProof/>
                <w:webHidden/>
              </w:rPr>
            </w:r>
            <w:r>
              <w:rPr>
                <w:noProof/>
                <w:webHidden/>
              </w:rPr>
              <w:fldChar w:fldCharType="separate"/>
            </w:r>
            <w:r>
              <w:rPr>
                <w:noProof/>
                <w:webHidden/>
              </w:rPr>
              <w:t>694</w:t>
            </w:r>
            <w:r>
              <w:rPr>
                <w:noProof/>
                <w:webHidden/>
              </w:rPr>
              <w:fldChar w:fldCharType="end"/>
            </w:r>
          </w:hyperlink>
        </w:p>
        <w:p w14:paraId="51C49589" w14:textId="2527550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03" w:history="1">
            <w:r w:rsidRPr="00F45DCA">
              <w:rPr>
                <w:rStyle w:val="Lienhypertexte"/>
                <w:noProof/>
              </w:rPr>
              <w:t>22.53 Coffrages CCTB 01.11</w:t>
            </w:r>
            <w:r>
              <w:rPr>
                <w:noProof/>
                <w:webHidden/>
              </w:rPr>
              <w:tab/>
            </w:r>
            <w:r>
              <w:rPr>
                <w:noProof/>
                <w:webHidden/>
              </w:rPr>
              <w:fldChar w:fldCharType="begin"/>
            </w:r>
            <w:r>
              <w:rPr>
                <w:noProof/>
                <w:webHidden/>
              </w:rPr>
              <w:instrText xml:space="preserve"> PAGEREF _Toc220496003 \h </w:instrText>
            </w:r>
            <w:r>
              <w:rPr>
                <w:noProof/>
                <w:webHidden/>
              </w:rPr>
            </w:r>
            <w:r>
              <w:rPr>
                <w:noProof/>
                <w:webHidden/>
              </w:rPr>
              <w:fldChar w:fldCharType="separate"/>
            </w:r>
            <w:r>
              <w:rPr>
                <w:noProof/>
                <w:webHidden/>
              </w:rPr>
              <w:t>694</w:t>
            </w:r>
            <w:r>
              <w:rPr>
                <w:noProof/>
                <w:webHidden/>
              </w:rPr>
              <w:fldChar w:fldCharType="end"/>
            </w:r>
          </w:hyperlink>
        </w:p>
        <w:p w14:paraId="7DA978B7" w14:textId="1866030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04" w:history="1">
            <w:r w:rsidRPr="00F45DCA">
              <w:rPr>
                <w:rStyle w:val="Lienhypertexte"/>
                <w:noProof/>
              </w:rPr>
              <w:t>22.53.1 Coffrages traditionnels CCTB 01.02</w:t>
            </w:r>
            <w:r>
              <w:rPr>
                <w:noProof/>
                <w:webHidden/>
              </w:rPr>
              <w:tab/>
            </w:r>
            <w:r>
              <w:rPr>
                <w:noProof/>
                <w:webHidden/>
              </w:rPr>
              <w:fldChar w:fldCharType="begin"/>
            </w:r>
            <w:r>
              <w:rPr>
                <w:noProof/>
                <w:webHidden/>
              </w:rPr>
              <w:instrText xml:space="preserve"> PAGEREF _Toc220496004 \h </w:instrText>
            </w:r>
            <w:r>
              <w:rPr>
                <w:noProof/>
                <w:webHidden/>
              </w:rPr>
            </w:r>
            <w:r>
              <w:rPr>
                <w:noProof/>
                <w:webHidden/>
              </w:rPr>
              <w:fldChar w:fldCharType="separate"/>
            </w:r>
            <w:r>
              <w:rPr>
                <w:noProof/>
                <w:webHidden/>
              </w:rPr>
              <w:t>697</w:t>
            </w:r>
            <w:r>
              <w:rPr>
                <w:noProof/>
                <w:webHidden/>
              </w:rPr>
              <w:fldChar w:fldCharType="end"/>
            </w:r>
          </w:hyperlink>
        </w:p>
        <w:p w14:paraId="6988FD6A" w14:textId="5781585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05" w:history="1">
            <w:r w:rsidRPr="00F45DCA">
              <w:rPr>
                <w:rStyle w:val="Lienhypertexte"/>
                <w:noProof/>
              </w:rPr>
              <w:t>22.53.1a Coffrages traditionnels pour béton non apparent CCTB 01.04</w:t>
            </w:r>
            <w:r>
              <w:rPr>
                <w:noProof/>
                <w:webHidden/>
              </w:rPr>
              <w:tab/>
            </w:r>
            <w:r>
              <w:rPr>
                <w:noProof/>
                <w:webHidden/>
              </w:rPr>
              <w:fldChar w:fldCharType="begin"/>
            </w:r>
            <w:r>
              <w:rPr>
                <w:noProof/>
                <w:webHidden/>
              </w:rPr>
              <w:instrText xml:space="preserve"> PAGEREF _Toc220496005 \h </w:instrText>
            </w:r>
            <w:r>
              <w:rPr>
                <w:noProof/>
                <w:webHidden/>
              </w:rPr>
            </w:r>
            <w:r>
              <w:rPr>
                <w:noProof/>
                <w:webHidden/>
              </w:rPr>
              <w:fldChar w:fldCharType="separate"/>
            </w:r>
            <w:r>
              <w:rPr>
                <w:noProof/>
                <w:webHidden/>
              </w:rPr>
              <w:t>697</w:t>
            </w:r>
            <w:r>
              <w:rPr>
                <w:noProof/>
                <w:webHidden/>
              </w:rPr>
              <w:fldChar w:fldCharType="end"/>
            </w:r>
          </w:hyperlink>
        </w:p>
        <w:p w14:paraId="476EABF1" w14:textId="153074B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06" w:history="1">
            <w:r w:rsidRPr="00F45DCA">
              <w:rPr>
                <w:rStyle w:val="Lienhypertexte"/>
                <w:noProof/>
              </w:rPr>
              <w:t>22.53.1b Coffrages traditionnels pour béton apparent CCTB 01.04</w:t>
            </w:r>
            <w:r>
              <w:rPr>
                <w:noProof/>
                <w:webHidden/>
              </w:rPr>
              <w:tab/>
            </w:r>
            <w:r>
              <w:rPr>
                <w:noProof/>
                <w:webHidden/>
              </w:rPr>
              <w:fldChar w:fldCharType="begin"/>
            </w:r>
            <w:r>
              <w:rPr>
                <w:noProof/>
                <w:webHidden/>
              </w:rPr>
              <w:instrText xml:space="preserve"> PAGEREF _Toc220496006 \h </w:instrText>
            </w:r>
            <w:r>
              <w:rPr>
                <w:noProof/>
                <w:webHidden/>
              </w:rPr>
            </w:r>
            <w:r>
              <w:rPr>
                <w:noProof/>
                <w:webHidden/>
              </w:rPr>
              <w:fldChar w:fldCharType="separate"/>
            </w:r>
            <w:r>
              <w:rPr>
                <w:noProof/>
                <w:webHidden/>
              </w:rPr>
              <w:t>697</w:t>
            </w:r>
            <w:r>
              <w:rPr>
                <w:noProof/>
                <w:webHidden/>
              </w:rPr>
              <w:fldChar w:fldCharType="end"/>
            </w:r>
          </w:hyperlink>
        </w:p>
        <w:p w14:paraId="7BC70D9F" w14:textId="63F0C9F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07" w:history="1">
            <w:r w:rsidRPr="00F45DCA">
              <w:rPr>
                <w:rStyle w:val="Lienhypertexte"/>
                <w:noProof/>
              </w:rPr>
              <w:t>22.53.1c Coffrages traditionnels lisses CCTB 01.04</w:t>
            </w:r>
            <w:r>
              <w:rPr>
                <w:noProof/>
                <w:webHidden/>
              </w:rPr>
              <w:tab/>
            </w:r>
            <w:r>
              <w:rPr>
                <w:noProof/>
                <w:webHidden/>
              </w:rPr>
              <w:fldChar w:fldCharType="begin"/>
            </w:r>
            <w:r>
              <w:rPr>
                <w:noProof/>
                <w:webHidden/>
              </w:rPr>
              <w:instrText xml:space="preserve"> PAGEREF _Toc220496007 \h </w:instrText>
            </w:r>
            <w:r>
              <w:rPr>
                <w:noProof/>
                <w:webHidden/>
              </w:rPr>
            </w:r>
            <w:r>
              <w:rPr>
                <w:noProof/>
                <w:webHidden/>
              </w:rPr>
              <w:fldChar w:fldCharType="separate"/>
            </w:r>
            <w:r>
              <w:rPr>
                <w:noProof/>
                <w:webHidden/>
              </w:rPr>
              <w:t>697</w:t>
            </w:r>
            <w:r>
              <w:rPr>
                <w:noProof/>
                <w:webHidden/>
              </w:rPr>
              <w:fldChar w:fldCharType="end"/>
            </w:r>
          </w:hyperlink>
        </w:p>
        <w:p w14:paraId="1E627B22" w14:textId="7F31593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08" w:history="1">
            <w:r w:rsidRPr="00F45DCA">
              <w:rPr>
                <w:rStyle w:val="Lienhypertexte"/>
                <w:noProof/>
              </w:rPr>
              <w:t>22.53.1d Coffrages traditionnels avec motifs décoratifs CCTB 01.04</w:t>
            </w:r>
            <w:r>
              <w:rPr>
                <w:noProof/>
                <w:webHidden/>
              </w:rPr>
              <w:tab/>
            </w:r>
            <w:r>
              <w:rPr>
                <w:noProof/>
                <w:webHidden/>
              </w:rPr>
              <w:fldChar w:fldCharType="begin"/>
            </w:r>
            <w:r>
              <w:rPr>
                <w:noProof/>
                <w:webHidden/>
              </w:rPr>
              <w:instrText xml:space="preserve"> PAGEREF _Toc220496008 \h </w:instrText>
            </w:r>
            <w:r>
              <w:rPr>
                <w:noProof/>
                <w:webHidden/>
              </w:rPr>
            </w:r>
            <w:r>
              <w:rPr>
                <w:noProof/>
                <w:webHidden/>
              </w:rPr>
              <w:fldChar w:fldCharType="separate"/>
            </w:r>
            <w:r>
              <w:rPr>
                <w:noProof/>
                <w:webHidden/>
              </w:rPr>
              <w:t>697</w:t>
            </w:r>
            <w:r>
              <w:rPr>
                <w:noProof/>
                <w:webHidden/>
              </w:rPr>
              <w:fldChar w:fldCharType="end"/>
            </w:r>
          </w:hyperlink>
        </w:p>
        <w:p w14:paraId="431A9042" w14:textId="242F539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09" w:history="1">
            <w:r w:rsidRPr="00F45DCA">
              <w:rPr>
                <w:rStyle w:val="Lienhypertexte"/>
                <w:noProof/>
              </w:rPr>
              <w:t>22.53.2 Coffrages modulaires avec cadre métallique CCTB 01.02</w:t>
            </w:r>
            <w:r>
              <w:rPr>
                <w:noProof/>
                <w:webHidden/>
              </w:rPr>
              <w:tab/>
            </w:r>
            <w:r>
              <w:rPr>
                <w:noProof/>
                <w:webHidden/>
              </w:rPr>
              <w:fldChar w:fldCharType="begin"/>
            </w:r>
            <w:r>
              <w:rPr>
                <w:noProof/>
                <w:webHidden/>
              </w:rPr>
              <w:instrText xml:space="preserve"> PAGEREF _Toc220496009 \h </w:instrText>
            </w:r>
            <w:r>
              <w:rPr>
                <w:noProof/>
                <w:webHidden/>
              </w:rPr>
            </w:r>
            <w:r>
              <w:rPr>
                <w:noProof/>
                <w:webHidden/>
              </w:rPr>
              <w:fldChar w:fldCharType="separate"/>
            </w:r>
            <w:r>
              <w:rPr>
                <w:noProof/>
                <w:webHidden/>
              </w:rPr>
              <w:t>697</w:t>
            </w:r>
            <w:r>
              <w:rPr>
                <w:noProof/>
                <w:webHidden/>
              </w:rPr>
              <w:fldChar w:fldCharType="end"/>
            </w:r>
          </w:hyperlink>
        </w:p>
        <w:p w14:paraId="6D1D03B3" w14:textId="784CC64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10" w:history="1">
            <w:r w:rsidRPr="00F45DCA">
              <w:rPr>
                <w:rStyle w:val="Lienhypertexte"/>
                <w:noProof/>
              </w:rPr>
              <w:t>22.53.2a Coffrages modulaires avec cadre métallique pour béton non apparent CCTB 01.04</w:t>
            </w:r>
            <w:r>
              <w:rPr>
                <w:noProof/>
                <w:webHidden/>
              </w:rPr>
              <w:tab/>
            </w:r>
            <w:r>
              <w:rPr>
                <w:noProof/>
                <w:webHidden/>
              </w:rPr>
              <w:fldChar w:fldCharType="begin"/>
            </w:r>
            <w:r>
              <w:rPr>
                <w:noProof/>
                <w:webHidden/>
              </w:rPr>
              <w:instrText xml:space="preserve"> PAGEREF _Toc220496010 \h </w:instrText>
            </w:r>
            <w:r>
              <w:rPr>
                <w:noProof/>
                <w:webHidden/>
              </w:rPr>
            </w:r>
            <w:r>
              <w:rPr>
                <w:noProof/>
                <w:webHidden/>
              </w:rPr>
              <w:fldChar w:fldCharType="separate"/>
            </w:r>
            <w:r>
              <w:rPr>
                <w:noProof/>
                <w:webHidden/>
              </w:rPr>
              <w:t>697</w:t>
            </w:r>
            <w:r>
              <w:rPr>
                <w:noProof/>
                <w:webHidden/>
              </w:rPr>
              <w:fldChar w:fldCharType="end"/>
            </w:r>
          </w:hyperlink>
        </w:p>
        <w:p w14:paraId="0D23CE0F" w14:textId="5BF05C8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11" w:history="1">
            <w:r w:rsidRPr="00F45DCA">
              <w:rPr>
                <w:rStyle w:val="Lienhypertexte"/>
                <w:noProof/>
              </w:rPr>
              <w:t>22.53.2b Coffrages modulaires avec cadre métallique pour béton apparent CCTB 01.04</w:t>
            </w:r>
            <w:r>
              <w:rPr>
                <w:noProof/>
                <w:webHidden/>
              </w:rPr>
              <w:tab/>
            </w:r>
            <w:r>
              <w:rPr>
                <w:noProof/>
                <w:webHidden/>
              </w:rPr>
              <w:fldChar w:fldCharType="begin"/>
            </w:r>
            <w:r>
              <w:rPr>
                <w:noProof/>
                <w:webHidden/>
              </w:rPr>
              <w:instrText xml:space="preserve"> PAGEREF _Toc220496011 \h </w:instrText>
            </w:r>
            <w:r>
              <w:rPr>
                <w:noProof/>
                <w:webHidden/>
              </w:rPr>
            </w:r>
            <w:r>
              <w:rPr>
                <w:noProof/>
                <w:webHidden/>
              </w:rPr>
              <w:fldChar w:fldCharType="separate"/>
            </w:r>
            <w:r>
              <w:rPr>
                <w:noProof/>
                <w:webHidden/>
              </w:rPr>
              <w:t>697</w:t>
            </w:r>
            <w:r>
              <w:rPr>
                <w:noProof/>
                <w:webHidden/>
              </w:rPr>
              <w:fldChar w:fldCharType="end"/>
            </w:r>
          </w:hyperlink>
        </w:p>
        <w:p w14:paraId="31A4DBCF" w14:textId="378D0EF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12" w:history="1">
            <w:r w:rsidRPr="00F45DCA">
              <w:rPr>
                <w:rStyle w:val="Lienhypertexte"/>
                <w:noProof/>
              </w:rPr>
              <w:t>22.53.2c Coffrages modulaires avec cadre métallique lisses CCTB 01.04</w:t>
            </w:r>
            <w:r>
              <w:rPr>
                <w:noProof/>
                <w:webHidden/>
              </w:rPr>
              <w:tab/>
            </w:r>
            <w:r>
              <w:rPr>
                <w:noProof/>
                <w:webHidden/>
              </w:rPr>
              <w:fldChar w:fldCharType="begin"/>
            </w:r>
            <w:r>
              <w:rPr>
                <w:noProof/>
                <w:webHidden/>
              </w:rPr>
              <w:instrText xml:space="preserve"> PAGEREF _Toc220496012 \h </w:instrText>
            </w:r>
            <w:r>
              <w:rPr>
                <w:noProof/>
                <w:webHidden/>
              </w:rPr>
            </w:r>
            <w:r>
              <w:rPr>
                <w:noProof/>
                <w:webHidden/>
              </w:rPr>
              <w:fldChar w:fldCharType="separate"/>
            </w:r>
            <w:r>
              <w:rPr>
                <w:noProof/>
                <w:webHidden/>
              </w:rPr>
              <w:t>697</w:t>
            </w:r>
            <w:r>
              <w:rPr>
                <w:noProof/>
                <w:webHidden/>
              </w:rPr>
              <w:fldChar w:fldCharType="end"/>
            </w:r>
          </w:hyperlink>
        </w:p>
        <w:p w14:paraId="1C915D2F" w14:textId="7E1F6E5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13" w:history="1">
            <w:r w:rsidRPr="00F45DCA">
              <w:rPr>
                <w:rStyle w:val="Lienhypertexte"/>
                <w:noProof/>
              </w:rPr>
              <w:t>22.53.2d Coffrages modulaires avec cadre métallique à motifs décoratifs CCTB 01.04</w:t>
            </w:r>
            <w:r>
              <w:rPr>
                <w:noProof/>
                <w:webHidden/>
              </w:rPr>
              <w:tab/>
            </w:r>
            <w:r>
              <w:rPr>
                <w:noProof/>
                <w:webHidden/>
              </w:rPr>
              <w:fldChar w:fldCharType="begin"/>
            </w:r>
            <w:r>
              <w:rPr>
                <w:noProof/>
                <w:webHidden/>
              </w:rPr>
              <w:instrText xml:space="preserve"> PAGEREF _Toc220496013 \h </w:instrText>
            </w:r>
            <w:r>
              <w:rPr>
                <w:noProof/>
                <w:webHidden/>
              </w:rPr>
            </w:r>
            <w:r>
              <w:rPr>
                <w:noProof/>
                <w:webHidden/>
              </w:rPr>
              <w:fldChar w:fldCharType="separate"/>
            </w:r>
            <w:r>
              <w:rPr>
                <w:noProof/>
                <w:webHidden/>
              </w:rPr>
              <w:t>697</w:t>
            </w:r>
            <w:r>
              <w:rPr>
                <w:noProof/>
                <w:webHidden/>
              </w:rPr>
              <w:fldChar w:fldCharType="end"/>
            </w:r>
          </w:hyperlink>
        </w:p>
        <w:p w14:paraId="0FB08468" w14:textId="16BEEBE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14" w:history="1">
            <w:r w:rsidRPr="00F45DCA">
              <w:rPr>
                <w:rStyle w:val="Lienhypertexte"/>
                <w:noProof/>
              </w:rPr>
              <w:t>22.53.2e Coffrages modulaires avec cadre métallique d'éléments spéciaux (moules) CCTB 01.04</w:t>
            </w:r>
            <w:r>
              <w:rPr>
                <w:noProof/>
                <w:webHidden/>
              </w:rPr>
              <w:tab/>
            </w:r>
            <w:r>
              <w:rPr>
                <w:noProof/>
                <w:webHidden/>
              </w:rPr>
              <w:fldChar w:fldCharType="begin"/>
            </w:r>
            <w:r>
              <w:rPr>
                <w:noProof/>
                <w:webHidden/>
              </w:rPr>
              <w:instrText xml:space="preserve"> PAGEREF _Toc220496014 \h </w:instrText>
            </w:r>
            <w:r>
              <w:rPr>
                <w:noProof/>
                <w:webHidden/>
              </w:rPr>
            </w:r>
            <w:r>
              <w:rPr>
                <w:noProof/>
                <w:webHidden/>
              </w:rPr>
              <w:fldChar w:fldCharType="separate"/>
            </w:r>
            <w:r>
              <w:rPr>
                <w:noProof/>
                <w:webHidden/>
              </w:rPr>
              <w:t>697</w:t>
            </w:r>
            <w:r>
              <w:rPr>
                <w:noProof/>
                <w:webHidden/>
              </w:rPr>
              <w:fldChar w:fldCharType="end"/>
            </w:r>
          </w:hyperlink>
        </w:p>
        <w:p w14:paraId="01D44355" w14:textId="10BB761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15" w:history="1">
            <w:r w:rsidRPr="00F45DCA">
              <w:rPr>
                <w:rStyle w:val="Lienhypertexte"/>
                <w:noProof/>
              </w:rPr>
              <w:t>22.53.3 Systèmes de coffrage particuliers CCTB 01.04</w:t>
            </w:r>
            <w:r>
              <w:rPr>
                <w:noProof/>
                <w:webHidden/>
              </w:rPr>
              <w:tab/>
            </w:r>
            <w:r>
              <w:rPr>
                <w:noProof/>
                <w:webHidden/>
              </w:rPr>
              <w:fldChar w:fldCharType="begin"/>
            </w:r>
            <w:r>
              <w:rPr>
                <w:noProof/>
                <w:webHidden/>
              </w:rPr>
              <w:instrText xml:space="preserve"> PAGEREF _Toc220496015 \h </w:instrText>
            </w:r>
            <w:r>
              <w:rPr>
                <w:noProof/>
                <w:webHidden/>
              </w:rPr>
            </w:r>
            <w:r>
              <w:rPr>
                <w:noProof/>
                <w:webHidden/>
              </w:rPr>
              <w:fldChar w:fldCharType="separate"/>
            </w:r>
            <w:r>
              <w:rPr>
                <w:noProof/>
                <w:webHidden/>
              </w:rPr>
              <w:t>697</w:t>
            </w:r>
            <w:r>
              <w:rPr>
                <w:noProof/>
                <w:webHidden/>
              </w:rPr>
              <w:fldChar w:fldCharType="end"/>
            </w:r>
          </w:hyperlink>
        </w:p>
        <w:p w14:paraId="4727B42C" w14:textId="56350A9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16" w:history="1">
            <w:r w:rsidRPr="00F45DCA">
              <w:rPr>
                <w:rStyle w:val="Lienhypertexte"/>
                <w:noProof/>
              </w:rPr>
              <w:t>22.53.3a Coffrages grimpants CCTB 01.04</w:t>
            </w:r>
            <w:r>
              <w:rPr>
                <w:noProof/>
                <w:webHidden/>
              </w:rPr>
              <w:tab/>
            </w:r>
            <w:r>
              <w:rPr>
                <w:noProof/>
                <w:webHidden/>
              </w:rPr>
              <w:fldChar w:fldCharType="begin"/>
            </w:r>
            <w:r>
              <w:rPr>
                <w:noProof/>
                <w:webHidden/>
              </w:rPr>
              <w:instrText xml:space="preserve"> PAGEREF _Toc220496016 \h </w:instrText>
            </w:r>
            <w:r>
              <w:rPr>
                <w:noProof/>
                <w:webHidden/>
              </w:rPr>
            </w:r>
            <w:r>
              <w:rPr>
                <w:noProof/>
                <w:webHidden/>
              </w:rPr>
              <w:fldChar w:fldCharType="separate"/>
            </w:r>
            <w:r>
              <w:rPr>
                <w:noProof/>
                <w:webHidden/>
              </w:rPr>
              <w:t>697</w:t>
            </w:r>
            <w:r>
              <w:rPr>
                <w:noProof/>
                <w:webHidden/>
              </w:rPr>
              <w:fldChar w:fldCharType="end"/>
            </w:r>
          </w:hyperlink>
        </w:p>
        <w:p w14:paraId="5937E0D7" w14:textId="1B950D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17" w:history="1">
            <w:r w:rsidRPr="00F45DCA">
              <w:rPr>
                <w:rStyle w:val="Lienhypertexte"/>
                <w:noProof/>
              </w:rPr>
              <w:t>22.53.3b Coffrages glissants CCTB 01.04</w:t>
            </w:r>
            <w:r>
              <w:rPr>
                <w:noProof/>
                <w:webHidden/>
              </w:rPr>
              <w:tab/>
            </w:r>
            <w:r>
              <w:rPr>
                <w:noProof/>
                <w:webHidden/>
              </w:rPr>
              <w:fldChar w:fldCharType="begin"/>
            </w:r>
            <w:r>
              <w:rPr>
                <w:noProof/>
                <w:webHidden/>
              </w:rPr>
              <w:instrText xml:space="preserve"> PAGEREF _Toc220496017 \h </w:instrText>
            </w:r>
            <w:r>
              <w:rPr>
                <w:noProof/>
                <w:webHidden/>
              </w:rPr>
            </w:r>
            <w:r>
              <w:rPr>
                <w:noProof/>
                <w:webHidden/>
              </w:rPr>
              <w:fldChar w:fldCharType="separate"/>
            </w:r>
            <w:r>
              <w:rPr>
                <w:noProof/>
                <w:webHidden/>
              </w:rPr>
              <w:t>697</w:t>
            </w:r>
            <w:r>
              <w:rPr>
                <w:noProof/>
                <w:webHidden/>
              </w:rPr>
              <w:fldChar w:fldCharType="end"/>
            </w:r>
          </w:hyperlink>
        </w:p>
        <w:p w14:paraId="4FB97551" w14:textId="62C953D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18" w:history="1">
            <w:r w:rsidRPr="00F45DCA">
              <w:rPr>
                <w:rStyle w:val="Lienhypertexte"/>
                <w:noProof/>
              </w:rPr>
              <w:t>22.53.3c Coffrages avec système de pompage par le bas CCTB 01.04</w:t>
            </w:r>
            <w:r>
              <w:rPr>
                <w:noProof/>
                <w:webHidden/>
              </w:rPr>
              <w:tab/>
            </w:r>
            <w:r>
              <w:rPr>
                <w:noProof/>
                <w:webHidden/>
              </w:rPr>
              <w:fldChar w:fldCharType="begin"/>
            </w:r>
            <w:r>
              <w:rPr>
                <w:noProof/>
                <w:webHidden/>
              </w:rPr>
              <w:instrText xml:space="preserve"> PAGEREF _Toc220496018 \h </w:instrText>
            </w:r>
            <w:r>
              <w:rPr>
                <w:noProof/>
                <w:webHidden/>
              </w:rPr>
            </w:r>
            <w:r>
              <w:rPr>
                <w:noProof/>
                <w:webHidden/>
              </w:rPr>
              <w:fldChar w:fldCharType="separate"/>
            </w:r>
            <w:r>
              <w:rPr>
                <w:noProof/>
                <w:webHidden/>
              </w:rPr>
              <w:t>697</w:t>
            </w:r>
            <w:r>
              <w:rPr>
                <w:noProof/>
                <w:webHidden/>
              </w:rPr>
              <w:fldChar w:fldCharType="end"/>
            </w:r>
          </w:hyperlink>
        </w:p>
        <w:p w14:paraId="18D67CC5" w14:textId="5131DFB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19" w:history="1">
            <w:r w:rsidRPr="00F45DCA">
              <w:rPr>
                <w:rStyle w:val="Lienhypertexte"/>
                <w:noProof/>
              </w:rPr>
              <w:t>22.53.3d Coffrages en matière textile CCTB 01.04</w:t>
            </w:r>
            <w:r>
              <w:rPr>
                <w:noProof/>
                <w:webHidden/>
              </w:rPr>
              <w:tab/>
            </w:r>
            <w:r>
              <w:rPr>
                <w:noProof/>
                <w:webHidden/>
              </w:rPr>
              <w:fldChar w:fldCharType="begin"/>
            </w:r>
            <w:r>
              <w:rPr>
                <w:noProof/>
                <w:webHidden/>
              </w:rPr>
              <w:instrText xml:space="preserve"> PAGEREF _Toc220496019 \h </w:instrText>
            </w:r>
            <w:r>
              <w:rPr>
                <w:noProof/>
                <w:webHidden/>
              </w:rPr>
            </w:r>
            <w:r>
              <w:rPr>
                <w:noProof/>
                <w:webHidden/>
              </w:rPr>
              <w:fldChar w:fldCharType="separate"/>
            </w:r>
            <w:r>
              <w:rPr>
                <w:noProof/>
                <w:webHidden/>
              </w:rPr>
              <w:t>697</w:t>
            </w:r>
            <w:r>
              <w:rPr>
                <w:noProof/>
                <w:webHidden/>
              </w:rPr>
              <w:fldChar w:fldCharType="end"/>
            </w:r>
          </w:hyperlink>
        </w:p>
        <w:p w14:paraId="777D4AF5" w14:textId="7EC0026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20" w:history="1">
            <w:r w:rsidRPr="00F45DCA">
              <w:rPr>
                <w:rStyle w:val="Lienhypertexte"/>
                <w:noProof/>
              </w:rPr>
              <w:t>22.53.3e Coffrages gonflables CCTB 01.04</w:t>
            </w:r>
            <w:r>
              <w:rPr>
                <w:noProof/>
                <w:webHidden/>
              </w:rPr>
              <w:tab/>
            </w:r>
            <w:r>
              <w:rPr>
                <w:noProof/>
                <w:webHidden/>
              </w:rPr>
              <w:fldChar w:fldCharType="begin"/>
            </w:r>
            <w:r>
              <w:rPr>
                <w:noProof/>
                <w:webHidden/>
              </w:rPr>
              <w:instrText xml:space="preserve"> PAGEREF _Toc220496020 \h </w:instrText>
            </w:r>
            <w:r>
              <w:rPr>
                <w:noProof/>
                <w:webHidden/>
              </w:rPr>
            </w:r>
            <w:r>
              <w:rPr>
                <w:noProof/>
                <w:webHidden/>
              </w:rPr>
              <w:fldChar w:fldCharType="separate"/>
            </w:r>
            <w:r>
              <w:rPr>
                <w:noProof/>
                <w:webHidden/>
              </w:rPr>
              <w:t>697</w:t>
            </w:r>
            <w:r>
              <w:rPr>
                <w:noProof/>
                <w:webHidden/>
              </w:rPr>
              <w:fldChar w:fldCharType="end"/>
            </w:r>
          </w:hyperlink>
        </w:p>
        <w:p w14:paraId="1CB19E74" w14:textId="5C51C65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21" w:history="1">
            <w:r w:rsidRPr="00F45DCA">
              <w:rPr>
                <w:rStyle w:val="Lienhypertexte"/>
                <w:noProof/>
              </w:rPr>
              <w:t>22.53.4 Coffrages permanents CCTB 01.04</w:t>
            </w:r>
            <w:r>
              <w:rPr>
                <w:noProof/>
                <w:webHidden/>
              </w:rPr>
              <w:tab/>
            </w:r>
            <w:r>
              <w:rPr>
                <w:noProof/>
                <w:webHidden/>
              </w:rPr>
              <w:fldChar w:fldCharType="begin"/>
            </w:r>
            <w:r>
              <w:rPr>
                <w:noProof/>
                <w:webHidden/>
              </w:rPr>
              <w:instrText xml:space="preserve"> PAGEREF _Toc220496021 \h </w:instrText>
            </w:r>
            <w:r>
              <w:rPr>
                <w:noProof/>
                <w:webHidden/>
              </w:rPr>
            </w:r>
            <w:r>
              <w:rPr>
                <w:noProof/>
                <w:webHidden/>
              </w:rPr>
              <w:fldChar w:fldCharType="separate"/>
            </w:r>
            <w:r>
              <w:rPr>
                <w:noProof/>
                <w:webHidden/>
              </w:rPr>
              <w:t>697</w:t>
            </w:r>
            <w:r>
              <w:rPr>
                <w:noProof/>
                <w:webHidden/>
              </w:rPr>
              <w:fldChar w:fldCharType="end"/>
            </w:r>
          </w:hyperlink>
        </w:p>
        <w:p w14:paraId="65188EF2" w14:textId="5950480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22" w:history="1">
            <w:r w:rsidRPr="00F45DCA">
              <w:rPr>
                <w:rStyle w:val="Lienhypertexte"/>
                <w:noProof/>
              </w:rPr>
              <w:t>22.53.4a Coffrages traditionnels permanents CCTB 01.04</w:t>
            </w:r>
            <w:r>
              <w:rPr>
                <w:noProof/>
                <w:webHidden/>
              </w:rPr>
              <w:tab/>
            </w:r>
            <w:r>
              <w:rPr>
                <w:noProof/>
                <w:webHidden/>
              </w:rPr>
              <w:fldChar w:fldCharType="begin"/>
            </w:r>
            <w:r>
              <w:rPr>
                <w:noProof/>
                <w:webHidden/>
              </w:rPr>
              <w:instrText xml:space="preserve"> PAGEREF _Toc220496022 \h </w:instrText>
            </w:r>
            <w:r>
              <w:rPr>
                <w:noProof/>
                <w:webHidden/>
              </w:rPr>
            </w:r>
            <w:r>
              <w:rPr>
                <w:noProof/>
                <w:webHidden/>
              </w:rPr>
              <w:fldChar w:fldCharType="separate"/>
            </w:r>
            <w:r>
              <w:rPr>
                <w:noProof/>
                <w:webHidden/>
              </w:rPr>
              <w:t>697</w:t>
            </w:r>
            <w:r>
              <w:rPr>
                <w:noProof/>
                <w:webHidden/>
              </w:rPr>
              <w:fldChar w:fldCharType="end"/>
            </w:r>
          </w:hyperlink>
        </w:p>
        <w:p w14:paraId="7A30CCB3" w14:textId="0F4B0F3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23" w:history="1">
            <w:r w:rsidRPr="00F45DCA">
              <w:rPr>
                <w:rStyle w:val="Lienhypertexte"/>
                <w:noProof/>
              </w:rPr>
              <w:t>22.53.4b Coffrages permanents en synthétique armé CCTB 01.04</w:t>
            </w:r>
            <w:r>
              <w:rPr>
                <w:noProof/>
                <w:webHidden/>
              </w:rPr>
              <w:tab/>
            </w:r>
            <w:r>
              <w:rPr>
                <w:noProof/>
                <w:webHidden/>
              </w:rPr>
              <w:fldChar w:fldCharType="begin"/>
            </w:r>
            <w:r>
              <w:rPr>
                <w:noProof/>
                <w:webHidden/>
              </w:rPr>
              <w:instrText xml:space="preserve"> PAGEREF _Toc220496023 \h </w:instrText>
            </w:r>
            <w:r>
              <w:rPr>
                <w:noProof/>
                <w:webHidden/>
              </w:rPr>
            </w:r>
            <w:r>
              <w:rPr>
                <w:noProof/>
                <w:webHidden/>
              </w:rPr>
              <w:fldChar w:fldCharType="separate"/>
            </w:r>
            <w:r>
              <w:rPr>
                <w:noProof/>
                <w:webHidden/>
              </w:rPr>
              <w:t>697</w:t>
            </w:r>
            <w:r>
              <w:rPr>
                <w:noProof/>
                <w:webHidden/>
              </w:rPr>
              <w:fldChar w:fldCharType="end"/>
            </w:r>
          </w:hyperlink>
        </w:p>
        <w:p w14:paraId="3D29F9B8" w14:textId="4876D52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24" w:history="1">
            <w:r w:rsidRPr="00F45DCA">
              <w:rPr>
                <w:rStyle w:val="Lienhypertexte"/>
                <w:noProof/>
              </w:rPr>
              <w:t>22.53.4c Coffrages permanents en plaques d'isolant CCTB 01.04</w:t>
            </w:r>
            <w:r>
              <w:rPr>
                <w:noProof/>
                <w:webHidden/>
              </w:rPr>
              <w:tab/>
            </w:r>
            <w:r>
              <w:rPr>
                <w:noProof/>
                <w:webHidden/>
              </w:rPr>
              <w:fldChar w:fldCharType="begin"/>
            </w:r>
            <w:r>
              <w:rPr>
                <w:noProof/>
                <w:webHidden/>
              </w:rPr>
              <w:instrText xml:space="preserve"> PAGEREF _Toc220496024 \h </w:instrText>
            </w:r>
            <w:r>
              <w:rPr>
                <w:noProof/>
                <w:webHidden/>
              </w:rPr>
            </w:r>
            <w:r>
              <w:rPr>
                <w:noProof/>
                <w:webHidden/>
              </w:rPr>
              <w:fldChar w:fldCharType="separate"/>
            </w:r>
            <w:r>
              <w:rPr>
                <w:noProof/>
                <w:webHidden/>
              </w:rPr>
              <w:t>697</w:t>
            </w:r>
            <w:r>
              <w:rPr>
                <w:noProof/>
                <w:webHidden/>
              </w:rPr>
              <w:fldChar w:fldCharType="end"/>
            </w:r>
          </w:hyperlink>
        </w:p>
        <w:p w14:paraId="0E5DEA14" w14:textId="284C76D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25" w:history="1">
            <w:r w:rsidRPr="00F45DCA">
              <w:rPr>
                <w:rStyle w:val="Lienhypertexte"/>
                <w:noProof/>
              </w:rPr>
              <w:t>22.53.4d Coffrages permanents en bacs acier CCTB 01.04</w:t>
            </w:r>
            <w:r>
              <w:rPr>
                <w:noProof/>
                <w:webHidden/>
              </w:rPr>
              <w:tab/>
            </w:r>
            <w:r>
              <w:rPr>
                <w:noProof/>
                <w:webHidden/>
              </w:rPr>
              <w:fldChar w:fldCharType="begin"/>
            </w:r>
            <w:r>
              <w:rPr>
                <w:noProof/>
                <w:webHidden/>
              </w:rPr>
              <w:instrText xml:space="preserve"> PAGEREF _Toc220496025 \h </w:instrText>
            </w:r>
            <w:r>
              <w:rPr>
                <w:noProof/>
                <w:webHidden/>
              </w:rPr>
            </w:r>
            <w:r>
              <w:rPr>
                <w:noProof/>
                <w:webHidden/>
              </w:rPr>
              <w:fldChar w:fldCharType="separate"/>
            </w:r>
            <w:r>
              <w:rPr>
                <w:noProof/>
                <w:webHidden/>
              </w:rPr>
              <w:t>697</w:t>
            </w:r>
            <w:r>
              <w:rPr>
                <w:noProof/>
                <w:webHidden/>
              </w:rPr>
              <w:fldChar w:fldCharType="end"/>
            </w:r>
          </w:hyperlink>
        </w:p>
        <w:p w14:paraId="43E9B9C3" w14:textId="72DD2BB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26" w:history="1">
            <w:r w:rsidRPr="00F45DCA">
              <w:rPr>
                <w:rStyle w:val="Lienhypertexte"/>
                <w:noProof/>
              </w:rPr>
              <w:t>22.53.4e Coffrages permanents en gaines acier CCTB 01.04</w:t>
            </w:r>
            <w:r>
              <w:rPr>
                <w:noProof/>
                <w:webHidden/>
              </w:rPr>
              <w:tab/>
            </w:r>
            <w:r>
              <w:rPr>
                <w:noProof/>
                <w:webHidden/>
              </w:rPr>
              <w:fldChar w:fldCharType="begin"/>
            </w:r>
            <w:r>
              <w:rPr>
                <w:noProof/>
                <w:webHidden/>
              </w:rPr>
              <w:instrText xml:space="preserve"> PAGEREF _Toc220496026 \h </w:instrText>
            </w:r>
            <w:r>
              <w:rPr>
                <w:noProof/>
                <w:webHidden/>
              </w:rPr>
            </w:r>
            <w:r>
              <w:rPr>
                <w:noProof/>
                <w:webHidden/>
              </w:rPr>
              <w:fldChar w:fldCharType="separate"/>
            </w:r>
            <w:r>
              <w:rPr>
                <w:noProof/>
                <w:webHidden/>
              </w:rPr>
              <w:t>697</w:t>
            </w:r>
            <w:r>
              <w:rPr>
                <w:noProof/>
                <w:webHidden/>
              </w:rPr>
              <w:fldChar w:fldCharType="end"/>
            </w:r>
          </w:hyperlink>
        </w:p>
        <w:p w14:paraId="78884607" w14:textId="71E5B4E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27" w:history="1">
            <w:r w:rsidRPr="00F45DCA">
              <w:rPr>
                <w:rStyle w:val="Lienhypertexte"/>
                <w:noProof/>
              </w:rPr>
              <w:t>22.53.4f Coffrages permanents en tuyaux CCTB 01.04</w:t>
            </w:r>
            <w:r>
              <w:rPr>
                <w:noProof/>
                <w:webHidden/>
              </w:rPr>
              <w:tab/>
            </w:r>
            <w:r>
              <w:rPr>
                <w:noProof/>
                <w:webHidden/>
              </w:rPr>
              <w:fldChar w:fldCharType="begin"/>
            </w:r>
            <w:r>
              <w:rPr>
                <w:noProof/>
                <w:webHidden/>
              </w:rPr>
              <w:instrText xml:space="preserve"> PAGEREF _Toc220496027 \h </w:instrText>
            </w:r>
            <w:r>
              <w:rPr>
                <w:noProof/>
                <w:webHidden/>
              </w:rPr>
            </w:r>
            <w:r>
              <w:rPr>
                <w:noProof/>
                <w:webHidden/>
              </w:rPr>
              <w:fldChar w:fldCharType="separate"/>
            </w:r>
            <w:r>
              <w:rPr>
                <w:noProof/>
                <w:webHidden/>
              </w:rPr>
              <w:t>697</w:t>
            </w:r>
            <w:r>
              <w:rPr>
                <w:noProof/>
                <w:webHidden/>
              </w:rPr>
              <w:fldChar w:fldCharType="end"/>
            </w:r>
          </w:hyperlink>
        </w:p>
        <w:p w14:paraId="1EF372BB" w14:textId="6D80481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28" w:history="1">
            <w:r w:rsidRPr="00F45DCA">
              <w:rPr>
                <w:rStyle w:val="Lienhypertexte"/>
                <w:noProof/>
              </w:rPr>
              <w:t>22.53.4g Coffrages permanents en béton cellulaire CCTB 01.04</w:t>
            </w:r>
            <w:r>
              <w:rPr>
                <w:noProof/>
                <w:webHidden/>
              </w:rPr>
              <w:tab/>
            </w:r>
            <w:r>
              <w:rPr>
                <w:noProof/>
                <w:webHidden/>
              </w:rPr>
              <w:fldChar w:fldCharType="begin"/>
            </w:r>
            <w:r>
              <w:rPr>
                <w:noProof/>
                <w:webHidden/>
              </w:rPr>
              <w:instrText xml:space="preserve"> PAGEREF _Toc220496028 \h </w:instrText>
            </w:r>
            <w:r>
              <w:rPr>
                <w:noProof/>
                <w:webHidden/>
              </w:rPr>
            </w:r>
            <w:r>
              <w:rPr>
                <w:noProof/>
                <w:webHidden/>
              </w:rPr>
              <w:fldChar w:fldCharType="separate"/>
            </w:r>
            <w:r>
              <w:rPr>
                <w:noProof/>
                <w:webHidden/>
              </w:rPr>
              <w:t>697</w:t>
            </w:r>
            <w:r>
              <w:rPr>
                <w:noProof/>
                <w:webHidden/>
              </w:rPr>
              <w:fldChar w:fldCharType="end"/>
            </w:r>
          </w:hyperlink>
        </w:p>
        <w:p w14:paraId="7C8530E5" w14:textId="4317094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29" w:history="1">
            <w:r w:rsidRPr="00F45DCA">
              <w:rPr>
                <w:rStyle w:val="Lienhypertexte"/>
                <w:noProof/>
              </w:rPr>
              <w:t>22.53.5 Systèmes de coffrage à détruire CCTB 01.02</w:t>
            </w:r>
            <w:r>
              <w:rPr>
                <w:noProof/>
                <w:webHidden/>
              </w:rPr>
              <w:tab/>
            </w:r>
            <w:r>
              <w:rPr>
                <w:noProof/>
                <w:webHidden/>
              </w:rPr>
              <w:fldChar w:fldCharType="begin"/>
            </w:r>
            <w:r>
              <w:rPr>
                <w:noProof/>
                <w:webHidden/>
              </w:rPr>
              <w:instrText xml:space="preserve"> PAGEREF _Toc220496029 \h </w:instrText>
            </w:r>
            <w:r>
              <w:rPr>
                <w:noProof/>
                <w:webHidden/>
              </w:rPr>
            </w:r>
            <w:r>
              <w:rPr>
                <w:noProof/>
                <w:webHidden/>
              </w:rPr>
              <w:fldChar w:fldCharType="separate"/>
            </w:r>
            <w:r>
              <w:rPr>
                <w:noProof/>
                <w:webHidden/>
              </w:rPr>
              <w:t>697</w:t>
            </w:r>
            <w:r>
              <w:rPr>
                <w:noProof/>
                <w:webHidden/>
              </w:rPr>
              <w:fldChar w:fldCharType="end"/>
            </w:r>
          </w:hyperlink>
        </w:p>
        <w:p w14:paraId="1CB1AD8A" w14:textId="2F3C450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30" w:history="1">
            <w:r w:rsidRPr="00F45DCA">
              <w:rPr>
                <w:rStyle w:val="Lienhypertexte"/>
                <w:noProof/>
              </w:rPr>
              <w:t>22.53.5a Systèmes de coffrage à détruire de colonnes rondes CCTB 01.04</w:t>
            </w:r>
            <w:r>
              <w:rPr>
                <w:noProof/>
                <w:webHidden/>
              </w:rPr>
              <w:tab/>
            </w:r>
            <w:r>
              <w:rPr>
                <w:noProof/>
                <w:webHidden/>
              </w:rPr>
              <w:fldChar w:fldCharType="begin"/>
            </w:r>
            <w:r>
              <w:rPr>
                <w:noProof/>
                <w:webHidden/>
              </w:rPr>
              <w:instrText xml:space="preserve"> PAGEREF _Toc220496030 \h </w:instrText>
            </w:r>
            <w:r>
              <w:rPr>
                <w:noProof/>
                <w:webHidden/>
              </w:rPr>
            </w:r>
            <w:r>
              <w:rPr>
                <w:noProof/>
                <w:webHidden/>
              </w:rPr>
              <w:fldChar w:fldCharType="separate"/>
            </w:r>
            <w:r>
              <w:rPr>
                <w:noProof/>
                <w:webHidden/>
              </w:rPr>
              <w:t>697</w:t>
            </w:r>
            <w:r>
              <w:rPr>
                <w:noProof/>
                <w:webHidden/>
              </w:rPr>
              <w:fldChar w:fldCharType="end"/>
            </w:r>
          </w:hyperlink>
        </w:p>
        <w:p w14:paraId="675B53C8" w14:textId="3D1FEF7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31" w:history="1">
            <w:r w:rsidRPr="00F45DCA">
              <w:rPr>
                <w:rStyle w:val="Lienhypertexte"/>
                <w:noProof/>
              </w:rPr>
              <w:t>22.53.5b Systèmes de coffrage à détruire de colonnes à facettes CCTB 01.04</w:t>
            </w:r>
            <w:r>
              <w:rPr>
                <w:noProof/>
                <w:webHidden/>
              </w:rPr>
              <w:tab/>
            </w:r>
            <w:r>
              <w:rPr>
                <w:noProof/>
                <w:webHidden/>
              </w:rPr>
              <w:fldChar w:fldCharType="begin"/>
            </w:r>
            <w:r>
              <w:rPr>
                <w:noProof/>
                <w:webHidden/>
              </w:rPr>
              <w:instrText xml:space="preserve"> PAGEREF _Toc220496031 \h </w:instrText>
            </w:r>
            <w:r>
              <w:rPr>
                <w:noProof/>
                <w:webHidden/>
              </w:rPr>
            </w:r>
            <w:r>
              <w:rPr>
                <w:noProof/>
                <w:webHidden/>
              </w:rPr>
              <w:fldChar w:fldCharType="separate"/>
            </w:r>
            <w:r>
              <w:rPr>
                <w:noProof/>
                <w:webHidden/>
              </w:rPr>
              <w:t>698</w:t>
            </w:r>
            <w:r>
              <w:rPr>
                <w:noProof/>
                <w:webHidden/>
              </w:rPr>
              <w:fldChar w:fldCharType="end"/>
            </w:r>
          </w:hyperlink>
        </w:p>
        <w:p w14:paraId="35AA18E4" w14:textId="6BDBF75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32" w:history="1">
            <w:r w:rsidRPr="00F45DCA">
              <w:rPr>
                <w:rStyle w:val="Lienhypertexte"/>
                <w:noProof/>
              </w:rPr>
              <w:t>22.53.5c Systèmes de coffrage à détruire d'éléments spéciaux (moules) CCTB 01.04</w:t>
            </w:r>
            <w:r>
              <w:rPr>
                <w:noProof/>
                <w:webHidden/>
              </w:rPr>
              <w:tab/>
            </w:r>
            <w:r>
              <w:rPr>
                <w:noProof/>
                <w:webHidden/>
              </w:rPr>
              <w:fldChar w:fldCharType="begin"/>
            </w:r>
            <w:r>
              <w:rPr>
                <w:noProof/>
                <w:webHidden/>
              </w:rPr>
              <w:instrText xml:space="preserve"> PAGEREF _Toc220496032 \h </w:instrText>
            </w:r>
            <w:r>
              <w:rPr>
                <w:noProof/>
                <w:webHidden/>
              </w:rPr>
            </w:r>
            <w:r>
              <w:rPr>
                <w:noProof/>
                <w:webHidden/>
              </w:rPr>
              <w:fldChar w:fldCharType="separate"/>
            </w:r>
            <w:r>
              <w:rPr>
                <w:noProof/>
                <w:webHidden/>
              </w:rPr>
              <w:t>698</w:t>
            </w:r>
            <w:r>
              <w:rPr>
                <w:noProof/>
                <w:webHidden/>
              </w:rPr>
              <w:fldChar w:fldCharType="end"/>
            </w:r>
          </w:hyperlink>
        </w:p>
        <w:p w14:paraId="5989B89F" w14:textId="29F9852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33" w:history="1">
            <w:r w:rsidRPr="00F45DCA">
              <w:rPr>
                <w:rStyle w:val="Lienhypertexte"/>
                <w:noProof/>
              </w:rPr>
              <w:t>22.53.6 Membranes spéciales pour coffrage CCTB 01.02</w:t>
            </w:r>
            <w:r>
              <w:rPr>
                <w:noProof/>
                <w:webHidden/>
              </w:rPr>
              <w:tab/>
            </w:r>
            <w:r>
              <w:rPr>
                <w:noProof/>
                <w:webHidden/>
              </w:rPr>
              <w:fldChar w:fldCharType="begin"/>
            </w:r>
            <w:r>
              <w:rPr>
                <w:noProof/>
                <w:webHidden/>
              </w:rPr>
              <w:instrText xml:space="preserve"> PAGEREF _Toc220496033 \h </w:instrText>
            </w:r>
            <w:r>
              <w:rPr>
                <w:noProof/>
                <w:webHidden/>
              </w:rPr>
            </w:r>
            <w:r>
              <w:rPr>
                <w:noProof/>
                <w:webHidden/>
              </w:rPr>
              <w:fldChar w:fldCharType="separate"/>
            </w:r>
            <w:r>
              <w:rPr>
                <w:noProof/>
                <w:webHidden/>
              </w:rPr>
              <w:t>698</w:t>
            </w:r>
            <w:r>
              <w:rPr>
                <w:noProof/>
                <w:webHidden/>
              </w:rPr>
              <w:fldChar w:fldCharType="end"/>
            </w:r>
          </w:hyperlink>
        </w:p>
        <w:p w14:paraId="137C84C8" w14:textId="10101A2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34" w:history="1">
            <w:r w:rsidRPr="00F45DCA">
              <w:rPr>
                <w:rStyle w:val="Lienhypertexte"/>
                <w:noProof/>
              </w:rPr>
              <w:t>22.53.6a Membrane drainante réutilisable pour coffrage CCTB 01.04</w:t>
            </w:r>
            <w:r>
              <w:rPr>
                <w:noProof/>
                <w:webHidden/>
              </w:rPr>
              <w:tab/>
            </w:r>
            <w:r>
              <w:rPr>
                <w:noProof/>
                <w:webHidden/>
              </w:rPr>
              <w:fldChar w:fldCharType="begin"/>
            </w:r>
            <w:r>
              <w:rPr>
                <w:noProof/>
                <w:webHidden/>
              </w:rPr>
              <w:instrText xml:space="preserve"> PAGEREF _Toc220496034 \h </w:instrText>
            </w:r>
            <w:r>
              <w:rPr>
                <w:noProof/>
                <w:webHidden/>
              </w:rPr>
            </w:r>
            <w:r>
              <w:rPr>
                <w:noProof/>
                <w:webHidden/>
              </w:rPr>
              <w:fldChar w:fldCharType="separate"/>
            </w:r>
            <w:r>
              <w:rPr>
                <w:noProof/>
                <w:webHidden/>
              </w:rPr>
              <w:t>698</w:t>
            </w:r>
            <w:r>
              <w:rPr>
                <w:noProof/>
                <w:webHidden/>
              </w:rPr>
              <w:fldChar w:fldCharType="end"/>
            </w:r>
          </w:hyperlink>
        </w:p>
        <w:p w14:paraId="2AFE980B" w14:textId="27B3B85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35" w:history="1">
            <w:r w:rsidRPr="00F45DCA">
              <w:rPr>
                <w:rStyle w:val="Lienhypertexte"/>
                <w:noProof/>
              </w:rPr>
              <w:t>22.53.6b Membrane drainante à détruire pour coffrage CCTB 01.04</w:t>
            </w:r>
            <w:r>
              <w:rPr>
                <w:noProof/>
                <w:webHidden/>
              </w:rPr>
              <w:tab/>
            </w:r>
            <w:r>
              <w:rPr>
                <w:noProof/>
                <w:webHidden/>
              </w:rPr>
              <w:fldChar w:fldCharType="begin"/>
            </w:r>
            <w:r>
              <w:rPr>
                <w:noProof/>
                <w:webHidden/>
              </w:rPr>
              <w:instrText xml:space="preserve"> PAGEREF _Toc220496035 \h </w:instrText>
            </w:r>
            <w:r>
              <w:rPr>
                <w:noProof/>
                <w:webHidden/>
              </w:rPr>
            </w:r>
            <w:r>
              <w:rPr>
                <w:noProof/>
                <w:webHidden/>
              </w:rPr>
              <w:fldChar w:fldCharType="separate"/>
            </w:r>
            <w:r>
              <w:rPr>
                <w:noProof/>
                <w:webHidden/>
              </w:rPr>
              <w:t>698</w:t>
            </w:r>
            <w:r>
              <w:rPr>
                <w:noProof/>
                <w:webHidden/>
              </w:rPr>
              <w:fldChar w:fldCharType="end"/>
            </w:r>
          </w:hyperlink>
        </w:p>
        <w:p w14:paraId="041B97FF" w14:textId="49453F0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36" w:history="1">
            <w:r w:rsidRPr="00F45DCA">
              <w:rPr>
                <w:rStyle w:val="Lienhypertexte"/>
                <w:noProof/>
              </w:rPr>
              <w:t>22.53.6c Membrane à motifs décoratifs réutilisable pour coffrage CCTB 01.04</w:t>
            </w:r>
            <w:r>
              <w:rPr>
                <w:noProof/>
                <w:webHidden/>
              </w:rPr>
              <w:tab/>
            </w:r>
            <w:r>
              <w:rPr>
                <w:noProof/>
                <w:webHidden/>
              </w:rPr>
              <w:fldChar w:fldCharType="begin"/>
            </w:r>
            <w:r>
              <w:rPr>
                <w:noProof/>
                <w:webHidden/>
              </w:rPr>
              <w:instrText xml:space="preserve"> PAGEREF _Toc220496036 \h </w:instrText>
            </w:r>
            <w:r>
              <w:rPr>
                <w:noProof/>
                <w:webHidden/>
              </w:rPr>
            </w:r>
            <w:r>
              <w:rPr>
                <w:noProof/>
                <w:webHidden/>
              </w:rPr>
              <w:fldChar w:fldCharType="separate"/>
            </w:r>
            <w:r>
              <w:rPr>
                <w:noProof/>
                <w:webHidden/>
              </w:rPr>
              <w:t>698</w:t>
            </w:r>
            <w:r>
              <w:rPr>
                <w:noProof/>
                <w:webHidden/>
              </w:rPr>
              <w:fldChar w:fldCharType="end"/>
            </w:r>
          </w:hyperlink>
        </w:p>
        <w:p w14:paraId="31A2B561" w14:textId="49897A8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37" w:history="1">
            <w:r w:rsidRPr="00F45DCA">
              <w:rPr>
                <w:rStyle w:val="Lienhypertexte"/>
                <w:noProof/>
              </w:rPr>
              <w:t>22.53.6d Membrane à motifs décoratifs à détruire pour coffrage CCTB 01.04</w:t>
            </w:r>
            <w:r>
              <w:rPr>
                <w:noProof/>
                <w:webHidden/>
              </w:rPr>
              <w:tab/>
            </w:r>
            <w:r>
              <w:rPr>
                <w:noProof/>
                <w:webHidden/>
              </w:rPr>
              <w:fldChar w:fldCharType="begin"/>
            </w:r>
            <w:r>
              <w:rPr>
                <w:noProof/>
                <w:webHidden/>
              </w:rPr>
              <w:instrText xml:space="preserve"> PAGEREF _Toc220496037 \h </w:instrText>
            </w:r>
            <w:r>
              <w:rPr>
                <w:noProof/>
                <w:webHidden/>
              </w:rPr>
            </w:r>
            <w:r>
              <w:rPr>
                <w:noProof/>
                <w:webHidden/>
              </w:rPr>
              <w:fldChar w:fldCharType="separate"/>
            </w:r>
            <w:r>
              <w:rPr>
                <w:noProof/>
                <w:webHidden/>
              </w:rPr>
              <w:t>698</w:t>
            </w:r>
            <w:r>
              <w:rPr>
                <w:noProof/>
                <w:webHidden/>
              </w:rPr>
              <w:fldChar w:fldCharType="end"/>
            </w:r>
          </w:hyperlink>
        </w:p>
        <w:p w14:paraId="4A15165D" w14:textId="2E457272"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038" w:history="1">
            <w:r w:rsidRPr="00F45DCA">
              <w:rPr>
                <w:rStyle w:val="Lienhypertexte"/>
                <w:noProof/>
              </w:rPr>
              <w:t>22.6 Réalisation de joints CCTB 01.11</w:t>
            </w:r>
            <w:r>
              <w:rPr>
                <w:noProof/>
                <w:webHidden/>
              </w:rPr>
              <w:tab/>
            </w:r>
            <w:r>
              <w:rPr>
                <w:noProof/>
                <w:webHidden/>
              </w:rPr>
              <w:fldChar w:fldCharType="begin"/>
            </w:r>
            <w:r>
              <w:rPr>
                <w:noProof/>
                <w:webHidden/>
              </w:rPr>
              <w:instrText xml:space="preserve"> PAGEREF _Toc220496038 \h </w:instrText>
            </w:r>
            <w:r>
              <w:rPr>
                <w:noProof/>
                <w:webHidden/>
              </w:rPr>
            </w:r>
            <w:r>
              <w:rPr>
                <w:noProof/>
                <w:webHidden/>
              </w:rPr>
              <w:fldChar w:fldCharType="separate"/>
            </w:r>
            <w:r>
              <w:rPr>
                <w:noProof/>
                <w:webHidden/>
              </w:rPr>
              <w:t>698</w:t>
            </w:r>
            <w:r>
              <w:rPr>
                <w:noProof/>
                <w:webHidden/>
              </w:rPr>
              <w:fldChar w:fldCharType="end"/>
            </w:r>
          </w:hyperlink>
        </w:p>
        <w:p w14:paraId="2607DC9B" w14:textId="0B6663B7"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39" w:history="1">
            <w:r w:rsidRPr="00F45DCA">
              <w:rPr>
                <w:rStyle w:val="Lienhypertexte"/>
                <w:noProof/>
              </w:rPr>
              <w:t>22.61 Joints structuraux CCTB 01.12</w:t>
            </w:r>
            <w:r>
              <w:rPr>
                <w:noProof/>
                <w:webHidden/>
              </w:rPr>
              <w:tab/>
            </w:r>
            <w:r>
              <w:rPr>
                <w:noProof/>
                <w:webHidden/>
              </w:rPr>
              <w:fldChar w:fldCharType="begin"/>
            </w:r>
            <w:r>
              <w:rPr>
                <w:noProof/>
                <w:webHidden/>
              </w:rPr>
              <w:instrText xml:space="preserve"> PAGEREF _Toc220496039 \h </w:instrText>
            </w:r>
            <w:r>
              <w:rPr>
                <w:noProof/>
                <w:webHidden/>
              </w:rPr>
            </w:r>
            <w:r>
              <w:rPr>
                <w:noProof/>
                <w:webHidden/>
              </w:rPr>
              <w:fldChar w:fldCharType="separate"/>
            </w:r>
            <w:r>
              <w:rPr>
                <w:noProof/>
                <w:webHidden/>
              </w:rPr>
              <w:t>698</w:t>
            </w:r>
            <w:r>
              <w:rPr>
                <w:noProof/>
                <w:webHidden/>
              </w:rPr>
              <w:fldChar w:fldCharType="end"/>
            </w:r>
          </w:hyperlink>
        </w:p>
        <w:p w14:paraId="16A6F297" w14:textId="5560A09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40" w:history="1">
            <w:r w:rsidRPr="00F45DCA">
              <w:rPr>
                <w:rStyle w:val="Lienhypertexte"/>
                <w:noProof/>
              </w:rPr>
              <w:t>22.61.1 Joints de dilatation CCTB 01.11</w:t>
            </w:r>
            <w:r>
              <w:rPr>
                <w:noProof/>
                <w:webHidden/>
              </w:rPr>
              <w:tab/>
            </w:r>
            <w:r>
              <w:rPr>
                <w:noProof/>
                <w:webHidden/>
              </w:rPr>
              <w:fldChar w:fldCharType="begin"/>
            </w:r>
            <w:r>
              <w:rPr>
                <w:noProof/>
                <w:webHidden/>
              </w:rPr>
              <w:instrText xml:space="preserve"> PAGEREF _Toc220496040 \h </w:instrText>
            </w:r>
            <w:r>
              <w:rPr>
                <w:noProof/>
                <w:webHidden/>
              </w:rPr>
            </w:r>
            <w:r>
              <w:rPr>
                <w:noProof/>
                <w:webHidden/>
              </w:rPr>
              <w:fldChar w:fldCharType="separate"/>
            </w:r>
            <w:r>
              <w:rPr>
                <w:noProof/>
                <w:webHidden/>
              </w:rPr>
              <w:t>699</w:t>
            </w:r>
            <w:r>
              <w:rPr>
                <w:noProof/>
                <w:webHidden/>
              </w:rPr>
              <w:fldChar w:fldCharType="end"/>
            </w:r>
          </w:hyperlink>
        </w:p>
        <w:p w14:paraId="1DB53AE3" w14:textId="054DAFC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41" w:history="1">
            <w:r w:rsidRPr="00F45DCA">
              <w:rPr>
                <w:rStyle w:val="Lienhypertexte"/>
                <w:noProof/>
              </w:rPr>
              <w:t>22.61.1a Joints de dilatation CCTB 01.11</w:t>
            </w:r>
            <w:r>
              <w:rPr>
                <w:noProof/>
                <w:webHidden/>
              </w:rPr>
              <w:tab/>
            </w:r>
            <w:r>
              <w:rPr>
                <w:noProof/>
                <w:webHidden/>
              </w:rPr>
              <w:fldChar w:fldCharType="begin"/>
            </w:r>
            <w:r>
              <w:rPr>
                <w:noProof/>
                <w:webHidden/>
              </w:rPr>
              <w:instrText xml:space="preserve"> PAGEREF _Toc220496041 \h </w:instrText>
            </w:r>
            <w:r>
              <w:rPr>
                <w:noProof/>
                <w:webHidden/>
              </w:rPr>
            </w:r>
            <w:r>
              <w:rPr>
                <w:noProof/>
                <w:webHidden/>
              </w:rPr>
              <w:fldChar w:fldCharType="separate"/>
            </w:r>
            <w:r>
              <w:rPr>
                <w:noProof/>
                <w:webHidden/>
              </w:rPr>
              <w:t>699</w:t>
            </w:r>
            <w:r>
              <w:rPr>
                <w:noProof/>
                <w:webHidden/>
              </w:rPr>
              <w:fldChar w:fldCharType="end"/>
            </w:r>
          </w:hyperlink>
        </w:p>
        <w:p w14:paraId="4CA0DA80" w14:textId="7101BAA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42" w:history="1">
            <w:r w:rsidRPr="00F45DCA">
              <w:rPr>
                <w:rStyle w:val="Lienhypertexte"/>
                <w:noProof/>
              </w:rPr>
              <w:t>22.62 Joints de retrait CCTB 01.04</w:t>
            </w:r>
            <w:r>
              <w:rPr>
                <w:noProof/>
                <w:webHidden/>
              </w:rPr>
              <w:tab/>
            </w:r>
            <w:r>
              <w:rPr>
                <w:noProof/>
                <w:webHidden/>
              </w:rPr>
              <w:fldChar w:fldCharType="begin"/>
            </w:r>
            <w:r>
              <w:rPr>
                <w:noProof/>
                <w:webHidden/>
              </w:rPr>
              <w:instrText xml:space="preserve"> PAGEREF _Toc220496042 \h </w:instrText>
            </w:r>
            <w:r>
              <w:rPr>
                <w:noProof/>
                <w:webHidden/>
              </w:rPr>
            </w:r>
            <w:r>
              <w:rPr>
                <w:noProof/>
                <w:webHidden/>
              </w:rPr>
              <w:fldChar w:fldCharType="separate"/>
            </w:r>
            <w:r>
              <w:rPr>
                <w:noProof/>
                <w:webHidden/>
              </w:rPr>
              <w:t>701</w:t>
            </w:r>
            <w:r>
              <w:rPr>
                <w:noProof/>
                <w:webHidden/>
              </w:rPr>
              <w:fldChar w:fldCharType="end"/>
            </w:r>
          </w:hyperlink>
        </w:p>
        <w:p w14:paraId="51EB37A4" w14:textId="37CAACD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43" w:history="1">
            <w:r w:rsidRPr="00F45DCA">
              <w:rPr>
                <w:rStyle w:val="Lienhypertexte"/>
                <w:noProof/>
              </w:rPr>
              <w:t>22.62.1 Joints de retrait CCTB 01.12</w:t>
            </w:r>
            <w:r>
              <w:rPr>
                <w:noProof/>
                <w:webHidden/>
              </w:rPr>
              <w:tab/>
            </w:r>
            <w:r>
              <w:rPr>
                <w:noProof/>
                <w:webHidden/>
              </w:rPr>
              <w:fldChar w:fldCharType="begin"/>
            </w:r>
            <w:r>
              <w:rPr>
                <w:noProof/>
                <w:webHidden/>
              </w:rPr>
              <w:instrText xml:space="preserve"> PAGEREF _Toc220496043 \h </w:instrText>
            </w:r>
            <w:r>
              <w:rPr>
                <w:noProof/>
                <w:webHidden/>
              </w:rPr>
            </w:r>
            <w:r>
              <w:rPr>
                <w:noProof/>
                <w:webHidden/>
              </w:rPr>
              <w:fldChar w:fldCharType="separate"/>
            </w:r>
            <w:r>
              <w:rPr>
                <w:noProof/>
                <w:webHidden/>
              </w:rPr>
              <w:t>701</w:t>
            </w:r>
            <w:r>
              <w:rPr>
                <w:noProof/>
                <w:webHidden/>
              </w:rPr>
              <w:fldChar w:fldCharType="end"/>
            </w:r>
          </w:hyperlink>
        </w:p>
        <w:p w14:paraId="47C271EF" w14:textId="1B9EA3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44" w:history="1">
            <w:r w:rsidRPr="00F45DCA">
              <w:rPr>
                <w:rStyle w:val="Lienhypertexte"/>
                <w:noProof/>
              </w:rPr>
              <w:t>22.62.1a Joints de retrait CCTB 01.11</w:t>
            </w:r>
            <w:r>
              <w:rPr>
                <w:noProof/>
                <w:webHidden/>
              </w:rPr>
              <w:tab/>
            </w:r>
            <w:r>
              <w:rPr>
                <w:noProof/>
                <w:webHidden/>
              </w:rPr>
              <w:fldChar w:fldCharType="begin"/>
            </w:r>
            <w:r>
              <w:rPr>
                <w:noProof/>
                <w:webHidden/>
              </w:rPr>
              <w:instrText xml:space="preserve"> PAGEREF _Toc220496044 \h </w:instrText>
            </w:r>
            <w:r>
              <w:rPr>
                <w:noProof/>
                <w:webHidden/>
              </w:rPr>
            </w:r>
            <w:r>
              <w:rPr>
                <w:noProof/>
                <w:webHidden/>
              </w:rPr>
              <w:fldChar w:fldCharType="separate"/>
            </w:r>
            <w:r>
              <w:rPr>
                <w:noProof/>
                <w:webHidden/>
              </w:rPr>
              <w:t>702</w:t>
            </w:r>
            <w:r>
              <w:rPr>
                <w:noProof/>
                <w:webHidden/>
              </w:rPr>
              <w:fldChar w:fldCharType="end"/>
            </w:r>
          </w:hyperlink>
        </w:p>
        <w:p w14:paraId="0999B21F" w14:textId="6B06356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45" w:history="1">
            <w:r w:rsidRPr="00F45DCA">
              <w:rPr>
                <w:rStyle w:val="Lienhypertexte"/>
                <w:noProof/>
              </w:rPr>
              <w:t>22.63 Joints de remplissage CCTB 01.04</w:t>
            </w:r>
            <w:r>
              <w:rPr>
                <w:noProof/>
                <w:webHidden/>
              </w:rPr>
              <w:tab/>
            </w:r>
            <w:r>
              <w:rPr>
                <w:noProof/>
                <w:webHidden/>
              </w:rPr>
              <w:fldChar w:fldCharType="begin"/>
            </w:r>
            <w:r>
              <w:rPr>
                <w:noProof/>
                <w:webHidden/>
              </w:rPr>
              <w:instrText xml:space="preserve"> PAGEREF _Toc220496045 \h </w:instrText>
            </w:r>
            <w:r>
              <w:rPr>
                <w:noProof/>
                <w:webHidden/>
              </w:rPr>
            </w:r>
            <w:r>
              <w:rPr>
                <w:noProof/>
                <w:webHidden/>
              </w:rPr>
              <w:fldChar w:fldCharType="separate"/>
            </w:r>
            <w:r>
              <w:rPr>
                <w:noProof/>
                <w:webHidden/>
              </w:rPr>
              <w:t>703</w:t>
            </w:r>
            <w:r>
              <w:rPr>
                <w:noProof/>
                <w:webHidden/>
              </w:rPr>
              <w:fldChar w:fldCharType="end"/>
            </w:r>
          </w:hyperlink>
        </w:p>
        <w:p w14:paraId="68530FFF" w14:textId="396592E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46" w:history="1">
            <w:r w:rsidRPr="00F45DCA">
              <w:rPr>
                <w:rStyle w:val="Lienhypertexte"/>
                <w:noProof/>
              </w:rPr>
              <w:t>22.63.1 Joints de remplissage CCTB 01.13</w:t>
            </w:r>
            <w:r>
              <w:rPr>
                <w:noProof/>
                <w:webHidden/>
              </w:rPr>
              <w:tab/>
            </w:r>
            <w:r>
              <w:rPr>
                <w:noProof/>
                <w:webHidden/>
              </w:rPr>
              <w:fldChar w:fldCharType="begin"/>
            </w:r>
            <w:r>
              <w:rPr>
                <w:noProof/>
                <w:webHidden/>
              </w:rPr>
              <w:instrText xml:space="preserve"> PAGEREF _Toc220496046 \h </w:instrText>
            </w:r>
            <w:r>
              <w:rPr>
                <w:noProof/>
                <w:webHidden/>
              </w:rPr>
            </w:r>
            <w:r>
              <w:rPr>
                <w:noProof/>
                <w:webHidden/>
              </w:rPr>
              <w:fldChar w:fldCharType="separate"/>
            </w:r>
            <w:r>
              <w:rPr>
                <w:noProof/>
                <w:webHidden/>
              </w:rPr>
              <w:t>703</w:t>
            </w:r>
            <w:r>
              <w:rPr>
                <w:noProof/>
                <w:webHidden/>
              </w:rPr>
              <w:fldChar w:fldCharType="end"/>
            </w:r>
          </w:hyperlink>
        </w:p>
        <w:p w14:paraId="5599A771" w14:textId="591E7F0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47" w:history="1">
            <w:r w:rsidRPr="00F45DCA">
              <w:rPr>
                <w:rStyle w:val="Lienhypertexte"/>
                <w:noProof/>
              </w:rPr>
              <w:t>22.63.1a Joints de resserrage en mortier CCTB 01.11</w:t>
            </w:r>
            <w:r>
              <w:rPr>
                <w:noProof/>
                <w:webHidden/>
              </w:rPr>
              <w:tab/>
            </w:r>
            <w:r>
              <w:rPr>
                <w:noProof/>
                <w:webHidden/>
              </w:rPr>
              <w:fldChar w:fldCharType="begin"/>
            </w:r>
            <w:r>
              <w:rPr>
                <w:noProof/>
                <w:webHidden/>
              </w:rPr>
              <w:instrText xml:space="preserve"> PAGEREF _Toc220496047 \h </w:instrText>
            </w:r>
            <w:r>
              <w:rPr>
                <w:noProof/>
                <w:webHidden/>
              </w:rPr>
            </w:r>
            <w:r>
              <w:rPr>
                <w:noProof/>
                <w:webHidden/>
              </w:rPr>
              <w:fldChar w:fldCharType="separate"/>
            </w:r>
            <w:r>
              <w:rPr>
                <w:noProof/>
                <w:webHidden/>
              </w:rPr>
              <w:t>704</w:t>
            </w:r>
            <w:r>
              <w:rPr>
                <w:noProof/>
                <w:webHidden/>
              </w:rPr>
              <w:fldChar w:fldCharType="end"/>
            </w:r>
          </w:hyperlink>
        </w:p>
        <w:p w14:paraId="02B972EB" w14:textId="1FC0B72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48" w:history="1">
            <w:r w:rsidRPr="00F45DCA">
              <w:rPr>
                <w:rStyle w:val="Lienhypertexte"/>
                <w:noProof/>
              </w:rPr>
              <w:t>22.63.1b Joints de remplissage autres qu'en mortier CCTB 01.11</w:t>
            </w:r>
            <w:r>
              <w:rPr>
                <w:noProof/>
                <w:webHidden/>
              </w:rPr>
              <w:tab/>
            </w:r>
            <w:r>
              <w:rPr>
                <w:noProof/>
                <w:webHidden/>
              </w:rPr>
              <w:fldChar w:fldCharType="begin"/>
            </w:r>
            <w:r>
              <w:rPr>
                <w:noProof/>
                <w:webHidden/>
              </w:rPr>
              <w:instrText xml:space="preserve"> PAGEREF _Toc220496048 \h </w:instrText>
            </w:r>
            <w:r>
              <w:rPr>
                <w:noProof/>
                <w:webHidden/>
              </w:rPr>
            </w:r>
            <w:r>
              <w:rPr>
                <w:noProof/>
                <w:webHidden/>
              </w:rPr>
              <w:fldChar w:fldCharType="separate"/>
            </w:r>
            <w:r>
              <w:rPr>
                <w:noProof/>
                <w:webHidden/>
              </w:rPr>
              <w:t>705</w:t>
            </w:r>
            <w:r>
              <w:rPr>
                <w:noProof/>
                <w:webHidden/>
              </w:rPr>
              <w:fldChar w:fldCharType="end"/>
            </w:r>
          </w:hyperlink>
        </w:p>
        <w:p w14:paraId="1F7A652F" w14:textId="0BA7F15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49" w:history="1">
            <w:r w:rsidRPr="00F45DCA">
              <w:rPr>
                <w:rStyle w:val="Lienhypertexte"/>
                <w:noProof/>
              </w:rPr>
              <w:t>22.64 Etanchéisations de joints CCTB 01.04</w:t>
            </w:r>
            <w:r>
              <w:rPr>
                <w:noProof/>
                <w:webHidden/>
              </w:rPr>
              <w:tab/>
            </w:r>
            <w:r>
              <w:rPr>
                <w:noProof/>
                <w:webHidden/>
              </w:rPr>
              <w:fldChar w:fldCharType="begin"/>
            </w:r>
            <w:r>
              <w:rPr>
                <w:noProof/>
                <w:webHidden/>
              </w:rPr>
              <w:instrText xml:space="preserve"> PAGEREF _Toc220496049 \h </w:instrText>
            </w:r>
            <w:r>
              <w:rPr>
                <w:noProof/>
                <w:webHidden/>
              </w:rPr>
            </w:r>
            <w:r>
              <w:rPr>
                <w:noProof/>
                <w:webHidden/>
              </w:rPr>
              <w:fldChar w:fldCharType="separate"/>
            </w:r>
            <w:r>
              <w:rPr>
                <w:noProof/>
                <w:webHidden/>
              </w:rPr>
              <w:t>706</w:t>
            </w:r>
            <w:r>
              <w:rPr>
                <w:noProof/>
                <w:webHidden/>
              </w:rPr>
              <w:fldChar w:fldCharType="end"/>
            </w:r>
          </w:hyperlink>
        </w:p>
        <w:p w14:paraId="35887E50" w14:textId="130AC5E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50" w:history="1">
            <w:r w:rsidRPr="00F45DCA">
              <w:rPr>
                <w:rStyle w:val="Lienhypertexte"/>
                <w:noProof/>
              </w:rPr>
              <w:t>22.65 Finitions particulières de joints CCTB 01.02</w:t>
            </w:r>
            <w:r>
              <w:rPr>
                <w:noProof/>
                <w:webHidden/>
              </w:rPr>
              <w:tab/>
            </w:r>
            <w:r>
              <w:rPr>
                <w:noProof/>
                <w:webHidden/>
              </w:rPr>
              <w:fldChar w:fldCharType="begin"/>
            </w:r>
            <w:r>
              <w:rPr>
                <w:noProof/>
                <w:webHidden/>
              </w:rPr>
              <w:instrText xml:space="preserve"> PAGEREF _Toc220496050 \h </w:instrText>
            </w:r>
            <w:r>
              <w:rPr>
                <w:noProof/>
                <w:webHidden/>
              </w:rPr>
            </w:r>
            <w:r>
              <w:rPr>
                <w:noProof/>
                <w:webHidden/>
              </w:rPr>
              <w:fldChar w:fldCharType="separate"/>
            </w:r>
            <w:r>
              <w:rPr>
                <w:noProof/>
                <w:webHidden/>
              </w:rPr>
              <w:t>706</w:t>
            </w:r>
            <w:r>
              <w:rPr>
                <w:noProof/>
                <w:webHidden/>
              </w:rPr>
              <w:fldChar w:fldCharType="end"/>
            </w:r>
          </w:hyperlink>
        </w:p>
        <w:p w14:paraId="5062A36B" w14:textId="51E1D60B"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051" w:history="1">
            <w:r w:rsidRPr="00F45DCA">
              <w:rPr>
                <w:rStyle w:val="Lienhypertexte"/>
                <w:noProof/>
              </w:rPr>
              <w:t>22.7 Traitements CCTB 01.07</w:t>
            </w:r>
            <w:r>
              <w:rPr>
                <w:noProof/>
                <w:webHidden/>
              </w:rPr>
              <w:tab/>
            </w:r>
            <w:r>
              <w:rPr>
                <w:noProof/>
                <w:webHidden/>
              </w:rPr>
              <w:fldChar w:fldCharType="begin"/>
            </w:r>
            <w:r>
              <w:rPr>
                <w:noProof/>
                <w:webHidden/>
              </w:rPr>
              <w:instrText xml:space="preserve"> PAGEREF _Toc220496051 \h </w:instrText>
            </w:r>
            <w:r>
              <w:rPr>
                <w:noProof/>
                <w:webHidden/>
              </w:rPr>
            </w:r>
            <w:r>
              <w:rPr>
                <w:noProof/>
                <w:webHidden/>
              </w:rPr>
              <w:fldChar w:fldCharType="separate"/>
            </w:r>
            <w:r>
              <w:rPr>
                <w:noProof/>
                <w:webHidden/>
              </w:rPr>
              <w:t>706</w:t>
            </w:r>
            <w:r>
              <w:rPr>
                <w:noProof/>
                <w:webHidden/>
              </w:rPr>
              <w:fldChar w:fldCharType="end"/>
            </w:r>
          </w:hyperlink>
        </w:p>
        <w:p w14:paraId="73243056" w14:textId="44B9D68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52" w:history="1">
            <w:r w:rsidRPr="00F45DCA">
              <w:rPr>
                <w:rStyle w:val="Lienhypertexte"/>
                <w:noProof/>
              </w:rPr>
              <w:t>22.71 Traitements esthétiques ou de surface CCTB 01.02</w:t>
            </w:r>
            <w:r>
              <w:rPr>
                <w:noProof/>
                <w:webHidden/>
              </w:rPr>
              <w:tab/>
            </w:r>
            <w:r>
              <w:rPr>
                <w:noProof/>
                <w:webHidden/>
              </w:rPr>
              <w:fldChar w:fldCharType="begin"/>
            </w:r>
            <w:r>
              <w:rPr>
                <w:noProof/>
                <w:webHidden/>
              </w:rPr>
              <w:instrText xml:space="preserve"> PAGEREF _Toc220496052 \h </w:instrText>
            </w:r>
            <w:r>
              <w:rPr>
                <w:noProof/>
                <w:webHidden/>
              </w:rPr>
            </w:r>
            <w:r>
              <w:rPr>
                <w:noProof/>
                <w:webHidden/>
              </w:rPr>
              <w:fldChar w:fldCharType="separate"/>
            </w:r>
            <w:r>
              <w:rPr>
                <w:noProof/>
                <w:webHidden/>
              </w:rPr>
              <w:t>707</w:t>
            </w:r>
            <w:r>
              <w:rPr>
                <w:noProof/>
                <w:webHidden/>
              </w:rPr>
              <w:fldChar w:fldCharType="end"/>
            </w:r>
          </w:hyperlink>
        </w:p>
        <w:p w14:paraId="4E5F45BB" w14:textId="0BF030F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53" w:history="1">
            <w:r w:rsidRPr="00F45DCA">
              <w:rPr>
                <w:rStyle w:val="Lienhypertexte"/>
                <w:noProof/>
              </w:rPr>
              <w:t>22.71.1 Traitements de surface sélectifs CCTB 01.02</w:t>
            </w:r>
            <w:r>
              <w:rPr>
                <w:noProof/>
                <w:webHidden/>
              </w:rPr>
              <w:tab/>
            </w:r>
            <w:r>
              <w:rPr>
                <w:noProof/>
                <w:webHidden/>
              </w:rPr>
              <w:fldChar w:fldCharType="begin"/>
            </w:r>
            <w:r>
              <w:rPr>
                <w:noProof/>
                <w:webHidden/>
              </w:rPr>
              <w:instrText xml:space="preserve"> PAGEREF _Toc220496053 \h </w:instrText>
            </w:r>
            <w:r>
              <w:rPr>
                <w:noProof/>
                <w:webHidden/>
              </w:rPr>
            </w:r>
            <w:r>
              <w:rPr>
                <w:noProof/>
                <w:webHidden/>
              </w:rPr>
              <w:fldChar w:fldCharType="separate"/>
            </w:r>
            <w:r>
              <w:rPr>
                <w:noProof/>
                <w:webHidden/>
              </w:rPr>
              <w:t>707</w:t>
            </w:r>
            <w:r>
              <w:rPr>
                <w:noProof/>
                <w:webHidden/>
              </w:rPr>
              <w:fldChar w:fldCharType="end"/>
            </w:r>
          </w:hyperlink>
        </w:p>
        <w:p w14:paraId="380305C1" w14:textId="64E2F96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54" w:history="1">
            <w:r w:rsidRPr="00F45DCA">
              <w:rPr>
                <w:rStyle w:val="Lienhypertexte"/>
                <w:noProof/>
              </w:rPr>
              <w:t>22.71.1a Lavages à l'eau de structures en béton CCTB 01.07</w:t>
            </w:r>
            <w:r>
              <w:rPr>
                <w:noProof/>
                <w:webHidden/>
              </w:rPr>
              <w:tab/>
            </w:r>
            <w:r>
              <w:rPr>
                <w:noProof/>
                <w:webHidden/>
              </w:rPr>
              <w:fldChar w:fldCharType="begin"/>
            </w:r>
            <w:r>
              <w:rPr>
                <w:noProof/>
                <w:webHidden/>
              </w:rPr>
              <w:instrText xml:space="preserve"> PAGEREF _Toc220496054 \h </w:instrText>
            </w:r>
            <w:r>
              <w:rPr>
                <w:noProof/>
                <w:webHidden/>
              </w:rPr>
            </w:r>
            <w:r>
              <w:rPr>
                <w:noProof/>
                <w:webHidden/>
              </w:rPr>
              <w:fldChar w:fldCharType="separate"/>
            </w:r>
            <w:r>
              <w:rPr>
                <w:noProof/>
                <w:webHidden/>
              </w:rPr>
              <w:t>707</w:t>
            </w:r>
            <w:r>
              <w:rPr>
                <w:noProof/>
                <w:webHidden/>
              </w:rPr>
              <w:fldChar w:fldCharType="end"/>
            </w:r>
          </w:hyperlink>
        </w:p>
        <w:p w14:paraId="67008963" w14:textId="4F6499F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55" w:history="1">
            <w:r w:rsidRPr="00F45DCA">
              <w:rPr>
                <w:rStyle w:val="Lienhypertexte"/>
                <w:noProof/>
              </w:rPr>
              <w:t>22.71.1b Brossages de structures en béton CCTB 01.07</w:t>
            </w:r>
            <w:r>
              <w:rPr>
                <w:noProof/>
                <w:webHidden/>
              </w:rPr>
              <w:tab/>
            </w:r>
            <w:r>
              <w:rPr>
                <w:noProof/>
                <w:webHidden/>
              </w:rPr>
              <w:fldChar w:fldCharType="begin"/>
            </w:r>
            <w:r>
              <w:rPr>
                <w:noProof/>
                <w:webHidden/>
              </w:rPr>
              <w:instrText xml:space="preserve"> PAGEREF _Toc220496055 \h </w:instrText>
            </w:r>
            <w:r>
              <w:rPr>
                <w:noProof/>
                <w:webHidden/>
              </w:rPr>
            </w:r>
            <w:r>
              <w:rPr>
                <w:noProof/>
                <w:webHidden/>
              </w:rPr>
              <w:fldChar w:fldCharType="separate"/>
            </w:r>
            <w:r>
              <w:rPr>
                <w:noProof/>
                <w:webHidden/>
              </w:rPr>
              <w:t>707</w:t>
            </w:r>
            <w:r>
              <w:rPr>
                <w:noProof/>
                <w:webHidden/>
              </w:rPr>
              <w:fldChar w:fldCharType="end"/>
            </w:r>
          </w:hyperlink>
        </w:p>
        <w:p w14:paraId="1AA397B9" w14:textId="1B9C08D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56" w:history="1">
            <w:r w:rsidRPr="00F45DCA">
              <w:rPr>
                <w:rStyle w:val="Lienhypertexte"/>
                <w:noProof/>
              </w:rPr>
              <w:t>22.71.1c Lavages à l'acide de structures en béton CCTB 01.07</w:t>
            </w:r>
            <w:r>
              <w:rPr>
                <w:noProof/>
                <w:webHidden/>
              </w:rPr>
              <w:tab/>
            </w:r>
            <w:r>
              <w:rPr>
                <w:noProof/>
                <w:webHidden/>
              </w:rPr>
              <w:fldChar w:fldCharType="begin"/>
            </w:r>
            <w:r>
              <w:rPr>
                <w:noProof/>
                <w:webHidden/>
              </w:rPr>
              <w:instrText xml:space="preserve"> PAGEREF _Toc220496056 \h </w:instrText>
            </w:r>
            <w:r>
              <w:rPr>
                <w:noProof/>
                <w:webHidden/>
              </w:rPr>
            </w:r>
            <w:r>
              <w:rPr>
                <w:noProof/>
                <w:webHidden/>
              </w:rPr>
              <w:fldChar w:fldCharType="separate"/>
            </w:r>
            <w:r>
              <w:rPr>
                <w:noProof/>
                <w:webHidden/>
              </w:rPr>
              <w:t>707</w:t>
            </w:r>
            <w:r>
              <w:rPr>
                <w:noProof/>
                <w:webHidden/>
              </w:rPr>
              <w:fldChar w:fldCharType="end"/>
            </w:r>
          </w:hyperlink>
        </w:p>
        <w:p w14:paraId="1100583F" w14:textId="70109EF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57" w:history="1">
            <w:r w:rsidRPr="00F45DCA">
              <w:rPr>
                <w:rStyle w:val="Lienhypertexte"/>
                <w:noProof/>
              </w:rPr>
              <w:t>22.71.2 Traitements intégraux de surface CCTB 01.04</w:t>
            </w:r>
            <w:r>
              <w:rPr>
                <w:noProof/>
                <w:webHidden/>
              </w:rPr>
              <w:tab/>
            </w:r>
            <w:r>
              <w:rPr>
                <w:noProof/>
                <w:webHidden/>
              </w:rPr>
              <w:fldChar w:fldCharType="begin"/>
            </w:r>
            <w:r>
              <w:rPr>
                <w:noProof/>
                <w:webHidden/>
              </w:rPr>
              <w:instrText xml:space="preserve"> PAGEREF _Toc220496057 \h </w:instrText>
            </w:r>
            <w:r>
              <w:rPr>
                <w:noProof/>
                <w:webHidden/>
              </w:rPr>
            </w:r>
            <w:r>
              <w:rPr>
                <w:noProof/>
                <w:webHidden/>
              </w:rPr>
              <w:fldChar w:fldCharType="separate"/>
            </w:r>
            <w:r>
              <w:rPr>
                <w:noProof/>
                <w:webHidden/>
              </w:rPr>
              <w:t>708</w:t>
            </w:r>
            <w:r>
              <w:rPr>
                <w:noProof/>
                <w:webHidden/>
              </w:rPr>
              <w:fldChar w:fldCharType="end"/>
            </w:r>
          </w:hyperlink>
        </w:p>
        <w:p w14:paraId="554619AA" w14:textId="60A9C0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58" w:history="1">
            <w:r w:rsidRPr="00F45DCA">
              <w:rPr>
                <w:rStyle w:val="Lienhypertexte"/>
                <w:noProof/>
              </w:rPr>
              <w:t>22.71.2a Bouchardages de structures en béton CCTB 01.07</w:t>
            </w:r>
            <w:r>
              <w:rPr>
                <w:noProof/>
                <w:webHidden/>
              </w:rPr>
              <w:tab/>
            </w:r>
            <w:r>
              <w:rPr>
                <w:noProof/>
                <w:webHidden/>
              </w:rPr>
              <w:fldChar w:fldCharType="begin"/>
            </w:r>
            <w:r>
              <w:rPr>
                <w:noProof/>
                <w:webHidden/>
              </w:rPr>
              <w:instrText xml:space="preserve"> PAGEREF _Toc220496058 \h </w:instrText>
            </w:r>
            <w:r>
              <w:rPr>
                <w:noProof/>
                <w:webHidden/>
              </w:rPr>
            </w:r>
            <w:r>
              <w:rPr>
                <w:noProof/>
                <w:webHidden/>
              </w:rPr>
              <w:fldChar w:fldCharType="separate"/>
            </w:r>
            <w:r>
              <w:rPr>
                <w:noProof/>
                <w:webHidden/>
              </w:rPr>
              <w:t>708</w:t>
            </w:r>
            <w:r>
              <w:rPr>
                <w:noProof/>
                <w:webHidden/>
              </w:rPr>
              <w:fldChar w:fldCharType="end"/>
            </w:r>
          </w:hyperlink>
        </w:p>
        <w:p w14:paraId="7D53721C" w14:textId="72D9578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59" w:history="1">
            <w:r w:rsidRPr="00F45DCA">
              <w:rPr>
                <w:rStyle w:val="Lienhypertexte"/>
                <w:noProof/>
              </w:rPr>
              <w:t>22.71.2b Grenaillages de structures en béton CCTB 01.13</w:t>
            </w:r>
            <w:r>
              <w:rPr>
                <w:noProof/>
                <w:webHidden/>
              </w:rPr>
              <w:tab/>
            </w:r>
            <w:r>
              <w:rPr>
                <w:noProof/>
                <w:webHidden/>
              </w:rPr>
              <w:fldChar w:fldCharType="begin"/>
            </w:r>
            <w:r>
              <w:rPr>
                <w:noProof/>
                <w:webHidden/>
              </w:rPr>
              <w:instrText xml:space="preserve"> PAGEREF _Toc220496059 \h </w:instrText>
            </w:r>
            <w:r>
              <w:rPr>
                <w:noProof/>
                <w:webHidden/>
              </w:rPr>
            </w:r>
            <w:r>
              <w:rPr>
                <w:noProof/>
                <w:webHidden/>
              </w:rPr>
              <w:fldChar w:fldCharType="separate"/>
            </w:r>
            <w:r>
              <w:rPr>
                <w:noProof/>
                <w:webHidden/>
              </w:rPr>
              <w:t>708</w:t>
            </w:r>
            <w:r>
              <w:rPr>
                <w:noProof/>
                <w:webHidden/>
              </w:rPr>
              <w:fldChar w:fldCharType="end"/>
            </w:r>
          </w:hyperlink>
        </w:p>
        <w:p w14:paraId="054D96D5" w14:textId="1825EFD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60" w:history="1">
            <w:r w:rsidRPr="00F45DCA">
              <w:rPr>
                <w:rStyle w:val="Lienhypertexte"/>
                <w:noProof/>
              </w:rPr>
              <w:t>22.71.2c Flammages de structures en béton CCTB 01.07</w:t>
            </w:r>
            <w:r>
              <w:rPr>
                <w:noProof/>
                <w:webHidden/>
              </w:rPr>
              <w:tab/>
            </w:r>
            <w:r>
              <w:rPr>
                <w:noProof/>
                <w:webHidden/>
              </w:rPr>
              <w:fldChar w:fldCharType="begin"/>
            </w:r>
            <w:r>
              <w:rPr>
                <w:noProof/>
                <w:webHidden/>
              </w:rPr>
              <w:instrText xml:space="preserve"> PAGEREF _Toc220496060 \h </w:instrText>
            </w:r>
            <w:r>
              <w:rPr>
                <w:noProof/>
                <w:webHidden/>
              </w:rPr>
            </w:r>
            <w:r>
              <w:rPr>
                <w:noProof/>
                <w:webHidden/>
              </w:rPr>
              <w:fldChar w:fldCharType="separate"/>
            </w:r>
            <w:r>
              <w:rPr>
                <w:noProof/>
                <w:webHidden/>
              </w:rPr>
              <w:t>709</w:t>
            </w:r>
            <w:r>
              <w:rPr>
                <w:noProof/>
                <w:webHidden/>
              </w:rPr>
              <w:fldChar w:fldCharType="end"/>
            </w:r>
          </w:hyperlink>
        </w:p>
        <w:p w14:paraId="0CA02A32" w14:textId="6E1F057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61" w:history="1">
            <w:r w:rsidRPr="00F45DCA">
              <w:rPr>
                <w:rStyle w:val="Lienhypertexte"/>
                <w:noProof/>
              </w:rPr>
              <w:t>22.71.2d Grésages de structures en béton CCTB 01.07</w:t>
            </w:r>
            <w:r>
              <w:rPr>
                <w:noProof/>
                <w:webHidden/>
              </w:rPr>
              <w:tab/>
            </w:r>
            <w:r>
              <w:rPr>
                <w:noProof/>
                <w:webHidden/>
              </w:rPr>
              <w:fldChar w:fldCharType="begin"/>
            </w:r>
            <w:r>
              <w:rPr>
                <w:noProof/>
                <w:webHidden/>
              </w:rPr>
              <w:instrText xml:space="preserve"> PAGEREF _Toc220496061 \h </w:instrText>
            </w:r>
            <w:r>
              <w:rPr>
                <w:noProof/>
                <w:webHidden/>
              </w:rPr>
            </w:r>
            <w:r>
              <w:rPr>
                <w:noProof/>
                <w:webHidden/>
              </w:rPr>
              <w:fldChar w:fldCharType="separate"/>
            </w:r>
            <w:r>
              <w:rPr>
                <w:noProof/>
                <w:webHidden/>
              </w:rPr>
              <w:t>709</w:t>
            </w:r>
            <w:r>
              <w:rPr>
                <w:noProof/>
                <w:webHidden/>
              </w:rPr>
              <w:fldChar w:fldCharType="end"/>
            </w:r>
          </w:hyperlink>
        </w:p>
        <w:p w14:paraId="777F7835" w14:textId="19A5CD8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62" w:history="1">
            <w:r w:rsidRPr="00F45DCA">
              <w:rPr>
                <w:rStyle w:val="Lienhypertexte"/>
                <w:noProof/>
              </w:rPr>
              <w:t>22.71.2e Polissages mats de structures en béton CCTB 01.07</w:t>
            </w:r>
            <w:r>
              <w:rPr>
                <w:noProof/>
                <w:webHidden/>
              </w:rPr>
              <w:tab/>
            </w:r>
            <w:r>
              <w:rPr>
                <w:noProof/>
                <w:webHidden/>
              </w:rPr>
              <w:fldChar w:fldCharType="begin"/>
            </w:r>
            <w:r>
              <w:rPr>
                <w:noProof/>
                <w:webHidden/>
              </w:rPr>
              <w:instrText xml:space="preserve"> PAGEREF _Toc220496062 \h </w:instrText>
            </w:r>
            <w:r>
              <w:rPr>
                <w:noProof/>
                <w:webHidden/>
              </w:rPr>
            </w:r>
            <w:r>
              <w:rPr>
                <w:noProof/>
                <w:webHidden/>
              </w:rPr>
              <w:fldChar w:fldCharType="separate"/>
            </w:r>
            <w:r>
              <w:rPr>
                <w:noProof/>
                <w:webHidden/>
              </w:rPr>
              <w:t>709</w:t>
            </w:r>
            <w:r>
              <w:rPr>
                <w:noProof/>
                <w:webHidden/>
              </w:rPr>
              <w:fldChar w:fldCharType="end"/>
            </w:r>
          </w:hyperlink>
        </w:p>
        <w:p w14:paraId="7033845C" w14:textId="586805A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63" w:history="1">
            <w:r w:rsidRPr="00F45DCA">
              <w:rPr>
                <w:rStyle w:val="Lienhypertexte"/>
                <w:noProof/>
              </w:rPr>
              <w:t>22.71.2f Polissages brillants de structures en béton CCTB 01.07</w:t>
            </w:r>
            <w:r>
              <w:rPr>
                <w:noProof/>
                <w:webHidden/>
              </w:rPr>
              <w:tab/>
            </w:r>
            <w:r>
              <w:rPr>
                <w:noProof/>
                <w:webHidden/>
              </w:rPr>
              <w:fldChar w:fldCharType="begin"/>
            </w:r>
            <w:r>
              <w:rPr>
                <w:noProof/>
                <w:webHidden/>
              </w:rPr>
              <w:instrText xml:space="preserve"> PAGEREF _Toc220496063 \h </w:instrText>
            </w:r>
            <w:r>
              <w:rPr>
                <w:noProof/>
                <w:webHidden/>
              </w:rPr>
            </w:r>
            <w:r>
              <w:rPr>
                <w:noProof/>
                <w:webHidden/>
              </w:rPr>
              <w:fldChar w:fldCharType="separate"/>
            </w:r>
            <w:r>
              <w:rPr>
                <w:noProof/>
                <w:webHidden/>
              </w:rPr>
              <w:t>710</w:t>
            </w:r>
            <w:r>
              <w:rPr>
                <w:noProof/>
                <w:webHidden/>
              </w:rPr>
              <w:fldChar w:fldCharType="end"/>
            </w:r>
          </w:hyperlink>
        </w:p>
        <w:p w14:paraId="0369A80D" w14:textId="38D9018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64" w:history="1">
            <w:r w:rsidRPr="00F45DCA">
              <w:rPr>
                <w:rStyle w:val="Lienhypertexte"/>
                <w:noProof/>
              </w:rPr>
              <w:t>22.72 Produits de cure et adjuvants CCTB 01.11</w:t>
            </w:r>
            <w:r>
              <w:rPr>
                <w:noProof/>
                <w:webHidden/>
              </w:rPr>
              <w:tab/>
            </w:r>
            <w:r>
              <w:rPr>
                <w:noProof/>
                <w:webHidden/>
              </w:rPr>
              <w:fldChar w:fldCharType="begin"/>
            </w:r>
            <w:r>
              <w:rPr>
                <w:noProof/>
                <w:webHidden/>
              </w:rPr>
              <w:instrText xml:space="preserve"> PAGEREF _Toc220496064 \h </w:instrText>
            </w:r>
            <w:r>
              <w:rPr>
                <w:noProof/>
                <w:webHidden/>
              </w:rPr>
            </w:r>
            <w:r>
              <w:rPr>
                <w:noProof/>
                <w:webHidden/>
              </w:rPr>
              <w:fldChar w:fldCharType="separate"/>
            </w:r>
            <w:r>
              <w:rPr>
                <w:noProof/>
                <w:webHidden/>
              </w:rPr>
              <w:t>710</w:t>
            </w:r>
            <w:r>
              <w:rPr>
                <w:noProof/>
                <w:webHidden/>
              </w:rPr>
              <w:fldChar w:fldCharType="end"/>
            </w:r>
          </w:hyperlink>
        </w:p>
        <w:p w14:paraId="07609A1F" w14:textId="5E8A2E4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65" w:history="1">
            <w:r w:rsidRPr="00F45DCA">
              <w:rPr>
                <w:rStyle w:val="Lienhypertexte"/>
                <w:noProof/>
              </w:rPr>
              <w:t>22.72.1 Produits de cure CCTB 01.02</w:t>
            </w:r>
            <w:r>
              <w:rPr>
                <w:noProof/>
                <w:webHidden/>
              </w:rPr>
              <w:tab/>
            </w:r>
            <w:r>
              <w:rPr>
                <w:noProof/>
                <w:webHidden/>
              </w:rPr>
              <w:fldChar w:fldCharType="begin"/>
            </w:r>
            <w:r>
              <w:rPr>
                <w:noProof/>
                <w:webHidden/>
              </w:rPr>
              <w:instrText xml:space="preserve"> PAGEREF _Toc220496065 \h </w:instrText>
            </w:r>
            <w:r>
              <w:rPr>
                <w:noProof/>
                <w:webHidden/>
              </w:rPr>
            </w:r>
            <w:r>
              <w:rPr>
                <w:noProof/>
                <w:webHidden/>
              </w:rPr>
              <w:fldChar w:fldCharType="separate"/>
            </w:r>
            <w:r>
              <w:rPr>
                <w:noProof/>
                <w:webHidden/>
              </w:rPr>
              <w:t>710</w:t>
            </w:r>
            <w:r>
              <w:rPr>
                <w:noProof/>
                <w:webHidden/>
              </w:rPr>
              <w:fldChar w:fldCharType="end"/>
            </w:r>
          </w:hyperlink>
        </w:p>
        <w:p w14:paraId="20054EDC" w14:textId="1D82480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66" w:history="1">
            <w:r w:rsidRPr="00F45DCA">
              <w:rPr>
                <w:rStyle w:val="Lienhypertexte"/>
                <w:noProof/>
              </w:rPr>
              <w:t>22.72.1a Produits de cure CCTB 01.13</w:t>
            </w:r>
            <w:r>
              <w:rPr>
                <w:noProof/>
                <w:webHidden/>
              </w:rPr>
              <w:tab/>
            </w:r>
            <w:r>
              <w:rPr>
                <w:noProof/>
                <w:webHidden/>
              </w:rPr>
              <w:fldChar w:fldCharType="begin"/>
            </w:r>
            <w:r>
              <w:rPr>
                <w:noProof/>
                <w:webHidden/>
              </w:rPr>
              <w:instrText xml:space="preserve"> PAGEREF _Toc220496066 \h </w:instrText>
            </w:r>
            <w:r>
              <w:rPr>
                <w:noProof/>
                <w:webHidden/>
              </w:rPr>
            </w:r>
            <w:r>
              <w:rPr>
                <w:noProof/>
                <w:webHidden/>
              </w:rPr>
              <w:fldChar w:fldCharType="separate"/>
            </w:r>
            <w:r>
              <w:rPr>
                <w:noProof/>
                <w:webHidden/>
              </w:rPr>
              <w:t>710</w:t>
            </w:r>
            <w:r>
              <w:rPr>
                <w:noProof/>
                <w:webHidden/>
              </w:rPr>
              <w:fldChar w:fldCharType="end"/>
            </w:r>
          </w:hyperlink>
        </w:p>
        <w:p w14:paraId="06AF1F39" w14:textId="1B66A80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67" w:history="1">
            <w:r w:rsidRPr="00F45DCA">
              <w:rPr>
                <w:rStyle w:val="Lienhypertexte"/>
                <w:noProof/>
              </w:rPr>
              <w:t>22.72.2 Adjuvants CCTB 01.07</w:t>
            </w:r>
            <w:r>
              <w:rPr>
                <w:noProof/>
                <w:webHidden/>
              </w:rPr>
              <w:tab/>
            </w:r>
            <w:r>
              <w:rPr>
                <w:noProof/>
                <w:webHidden/>
              </w:rPr>
              <w:fldChar w:fldCharType="begin"/>
            </w:r>
            <w:r>
              <w:rPr>
                <w:noProof/>
                <w:webHidden/>
              </w:rPr>
              <w:instrText xml:space="preserve"> PAGEREF _Toc220496067 \h </w:instrText>
            </w:r>
            <w:r>
              <w:rPr>
                <w:noProof/>
                <w:webHidden/>
              </w:rPr>
            </w:r>
            <w:r>
              <w:rPr>
                <w:noProof/>
                <w:webHidden/>
              </w:rPr>
              <w:fldChar w:fldCharType="separate"/>
            </w:r>
            <w:r>
              <w:rPr>
                <w:noProof/>
                <w:webHidden/>
              </w:rPr>
              <w:t>712</w:t>
            </w:r>
            <w:r>
              <w:rPr>
                <w:noProof/>
                <w:webHidden/>
              </w:rPr>
              <w:fldChar w:fldCharType="end"/>
            </w:r>
          </w:hyperlink>
        </w:p>
        <w:p w14:paraId="074D8442" w14:textId="4AE781E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68" w:history="1">
            <w:r w:rsidRPr="00F45DCA">
              <w:rPr>
                <w:rStyle w:val="Lienhypertexte"/>
                <w:noProof/>
              </w:rPr>
              <w:t>22.72.2a Plastifiants réducteurs d'eau CCTB 01.07</w:t>
            </w:r>
            <w:r>
              <w:rPr>
                <w:noProof/>
                <w:webHidden/>
              </w:rPr>
              <w:tab/>
            </w:r>
            <w:r>
              <w:rPr>
                <w:noProof/>
                <w:webHidden/>
              </w:rPr>
              <w:fldChar w:fldCharType="begin"/>
            </w:r>
            <w:r>
              <w:rPr>
                <w:noProof/>
                <w:webHidden/>
              </w:rPr>
              <w:instrText xml:space="preserve"> PAGEREF _Toc220496068 \h </w:instrText>
            </w:r>
            <w:r>
              <w:rPr>
                <w:noProof/>
                <w:webHidden/>
              </w:rPr>
            </w:r>
            <w:r>
              <w:rPr>
                <w:noProof/>
                <w:webHidden/>
              </w:rPr>
              <w:fldChar w:fldCharType="separate"/>
            </w:r>
            <w:r>
              <w:rPr>
                <w:noProof/>
                <w:webHidden/>
              </w:rPr>
              <w:t>712</w:t>
            </w:r>
            <w:r>
              <w:rPr>
                <w:noProof/>
                <w:webHidden/>
              </w:rPr>
              <w:fldChar w:fldCharType="end"/>
            </w:r>
          </w:hyperlink>
        </w:p>
        <w:p w14:paraId="43D79472" w14:textId="72C8014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69" w:history="1">
            <w:r w:rsidRPr="00F45DCA">
              <w:rPr>
                <w:rStyle w:val="Lienhypertexte"/>
                <w:noProof/>
              </w:rPr>
              <w:t>22.72.2b Superplastifiants hautement réducteurs d'eau CCTB 01.11</w:t>
            </w:r>
            <w:r>
              <w:rPr>
                <w:noProof/>
                <w:webHidden/>
              </w:rPr>
              <w:tab/>
            </w:r>
            <w:r>
              <w:rPr>
                <w:noProof/>
                <w:webHidden/>
              </w:rPr>
              <w:fldChar w:fldCharType="begin"/>
            </w:r>
            <w:r>
              <w:rPr>
                <w:noProof/>
                <w:webHidden/>
              </w:rPr>
              <w:instrText xml:space="preserve"> PAGEREF _Toc220496069 \h </w:instrText>
            </w:r>
            <w:r>
              <w:rPr>
                <w:noProof/>
                <w:webHidden/>
              </w:rPr>
            </w:r>
            <w:r>
              <w:rPr>
                <w:noProof/>
                <w:webHidden/>
              </w:rPr>
              <w:fldChar w:fldCharType="separate"/>
            </w:r>
            <w:r>
              <w:rPr>
                <w:noProof/>
                <w:webHidden/>
              </w:rPr>
              <w:t>713</w:t>
            </w:r>
            <w:r>
              <w:rPr>
                <w:noProof/>
                <w:webHidden/>
              </w:rPr>
              <w:fldChar w:fldCharType="end"/>
            </w:r>
          </w:hyperlink>
        </w:p>
        <w:p w14:paraId="4066A34B" w14:textId="6B84836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70" w:history="1">
            <w:r w:rsidRPr="00F45DCA">
              <w:rPr>
                <w:rStyle w:val="Lienhypertexte"/>
                <w:noProof/>
              </w:rPr>
              <w:t>22.72.2c Rétenteurs d'eau CCTB 01.02</w:t>
            </w:r>
            <w:r>
              <w:rPr>
                <w:noProof/>
                <w:webHidden/>
              </w:rPr>
              <w:tab/>
            </w:r>
            <w:r>
              <w:rPr>
                <w:noProof/>
                <w:webHidden/>
              </w:rPr>
              <w:fldChar w:fldCharType="begin"/>
            </w:r>
            <w:r>
              <w:rPr>
                <w:noProof/>
                <w:webHidden/>
              </w:rPr>
              <w:instrText xml:space="preserve"> PAGEREF _Toc220496070 \h </w:instrText>
            </w:r>
            <w:r>
              <w:rPr>
                <w:noProof/>
                <w:webHidden/>
              </w:rPr>
            </w:r>
            <w:r>
              <w:rPr>
                <w:noProof/>
                <w:webHidden/>
              </w:rPr>
              <w:fldChar w:fldCharType="separate"/>
            </w:r>
            <w:r>
              <w:rPr>
                <w:noProof/>
                <w:webHidden/>
              </w:rPr>
              <w:t>714</w:t>
            </w:r>
            <w:r>
              <w:rPr>
                <w:noProof/>
                <w:webHidden/>
              </w:rPr>
              <w:fldChar w:fldCharType="end"/>
            </w:r>
          </w:hyperlink>
        </w:p>
        <w:p w14:paraId="3C9351D5" w14:textId="0FDBBD3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71" w:history="1">
            <w:r w:rsidRPr="00F45DCA">
              <w:rPr>
                <w:rStyle w:val="Lienhypertexte"/>
                <w:noProof/>
              </w:rPr>
              <w:t>22.72.2d Entraineurs d'air CCTB 01.02</w:t>
            </w:r>
            <w:r>
              <w:rPr>
                <w:noProof/>
                <w:webHidden/>
              </w:rPr>
              <w:tab/>
            </w:r>
            <w:r>
              <w:rPr>
                <w:noProof/>
                <w:webHidden/>
              </w:rPr>
              <w:fldChar w:fldCharType="begin"/>
            </w:r>
            <w:r>
              <w:rPr>
                <w:noProof/>
                <w:webHidden/>
              </w:rPr>
              <w:instrText xml:space="preserve"> PAGEREF _Toc220496071 \h </w:instrText>
            </w:r>
            <w:r>
              <w:rPr>
                <w:noProof/>
                <w:webHidden/>
              </w:rPr>
            </w:r>
            <w:r>
              <w:rPr>
                <w:noProof/>
                <w:webHidden/>
              </w:rPr>
              <w:fldChar w:fldCharType="separate"/>
            </w:r>
            <w:r>
              <w:rPr>
                <w:noProof/>
                <w:webHidden/>
              </w:rPr>
              <w:t>714</w:t>
            </w:r>
            <w:r>
              <w:rPr>
                <w:noProof/>
                <w:webHidden/>
              </w:rPr>
              <w:fldChar w:fldCharType="end"/>
            </w:r>
          </w:hyperlink>
        </w:p>
        <w:p w14:paraId="7AB72D32" w14:textId="46EDCBD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72" w:history="1">
            <w:r w:rsidRPr="00F45DCA">
              <w:rPr>
                <w:rStyle w:val="Lienhypertexte"/>
                <w:noProof/>
              </w:rPr>
              <w:t>22.72.2e Accélérateurs de prise et de durcissement CCTB 01.02</w:t>
            </w:r>
            <w:r>
              <w:rPr>
                <w:noProof/>
                <w:webHidden/>
              </w:rPr>
              <w:tab/>
            </w:r>
            <w:r>
              <w:rPr>
                <w:noProof/>
                <w:webHidden/>
              </w:rPr>
              <w:fldChar w:fldCharType="begin"/>
            </w:r>
            <w:r>
              <w:rPr>
                <w:noProof/>
                <w:webHidden/>
              </w:rPr>
              <w:instrText xml:space="preserve"> PAGEREF _Toc220496072 \h </w:instrText>
            </w:r>
            <w:r>
              <w:rPr>
                <w:noProof/>
                <w:webHidden/>
              </w:rPr>
            </w:r>
            <w:r>
              <w:rPr>
                <w:noProof/>
                <w:webHidden/>
              </w:rPr>
              <w:fldChar w:fldCharType="separate"/>
            </w:r>
            <w:r>
              <w:rPr>
                <w:noProof/>
                <w:webHidden/>
              </w:rPr>
              <w:t>714</w:t>
            </w:r>
            <w:r>
              <w:rPr>
                <w:noProof/>
                <w:webHidden/>
              </w:rPr>
              <w:fldChar w:fldCharType="end"/>
            </w:r>
          </w:hyperlink>
        </w:p>
        <w:p w14:paraId="604DC8AE" w14:textId="4E30EED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73" w:history="1">
            <w:r w:rsidRPr="00F45DCA">
              <w:rPr>
                <w:rStyle w:val="Lienhypertexte"/>
                <w:noProof/>
              </w:rPr>
              <w:t>22.72.2f Retardateurs de prise CCTB 01.02</w:t>
            </w:r>
            <w:r>
              <w:rPr>
                <w:noProof/>
                <w:webHidden/>
              </w:rPr>
              <w:tab/>
            </w:r>
            <w:r>
              <w:rPr>
                <w:noProof/>
                <w:webHidden/>
              </w:rPr>
              <w:fldChar w:fldCharType="begin"/>
            </w:r>
            <w:r>
              <w:rPr>
                <w:noProof/>
                <w:webHidden/>
              </w:rPr>
              <w:instrText xml:space="preserve"> PAGEREF _Toc220496073 \h </w:instrText>
            </w:r>
            <w:r>
              <w:rPr>
                <w:noProof/>
                <w:webHidden/>
              </w:rPr>
            </w:r>
            <w:r>
              <w:rPr>
                <w:noProof/>
                <w:webHidden/>
              </w:rPr>
              <w:fldChar w:fldCharType="separate"/>
            </w:r>
            <w:r>
              <w:rPr>
                <w:noProof/>
                <w:webHidden/>
              </w:rPr>
              <w:t>714</w:t>
            </w:r>
            <w:r>
              <w:rPr>
                <w:noProof/>
                <w:webHidden/>
              </w:rPr>
              <w:fldChar w:fldCharType="end"/>
            </w:r>
          </w:hyperlink>
        </w:p>
        <w:p w14:paraId="23189C3F" w14:textId="1F81E4D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74" w:history="1">
            <w:r w:rsidRPr="00F45DCA">
              <w:rPr>
                <w:rStyle w:val="Lienhypertexte"/>
                <w:noProof/>
              </w:rPr>
              <w:t>22.72.2g Adjuvants anti-efflorescences CCTB 01.02</w:t>
            </w:r>
            <w:r>
              <w:rPr>
                <w:noProof/>
                <w:webHidden/>
              </w:rPr>
              <w:tab/>
            </w:r>
            <w:r>
              <w:rPr>
                <w:noProof/>
                <w:webHidden/>
              </w:rPr>
              <w:fldChar w:fldCharType="begin"/>
            </w:r>
            <w:r>
              <w:rPr>
                <w:noProof/>
                <w:webHidden/>
              </w:rPr>
              <w:instrText xml:space="preserve"> PAGEREF _Toc220496074 \h </w:instrText>
            </w:r>
            <w:r>
              <w:rPr>
                <w:noProof/>
                <w:webHidden/>
              </w:rPr>
            </w:r>
            <w:r>
              <w:rPr>
                <w:noProof/>
                <w:webHidden/>
              </w:rPr>
              <w:fldChar w:fldCharType="separate"/>
            </w:r>
            <w:r>
              <w:rPr>
                <w:noProof/>
                <w:webHidden/>
              </w:rPr>
              <w:t>714</w:t>
            </w:r>
            <w:r>
              <w:rPr>
                <w:noProof/>
                <w:webHidden/>
              </w:rPr>
              <w:fldChar w:fldCharType="end"/>
            </w:r>
          </w:hyperlink>
        </w:p>
        <w:p w14:paraId="022ED8FC" w14:textId="4F59729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75" w:history="1">
            <w:r w:rsidRPr="00F45DCA">
              <w:rPr>
                <w:rStyle w:val="Lienhypertexte"/>
                <w:noProof/>
              </w:rPr>
              <w:t>22.72.2h Agents anti-bullage CCTB 01.02</w:t>
            </w:r>
            <w:r>
              <w:rPr>
                <w:noProof/>
                <w:webHidden/>
              </w:rPr>
              <w:tab/>
            </w:r>
            <w:r>
              <w:rPr>
                <w:noProof/>
                <w:webHidden/>
              </w:rPr>
              <w:fldChar w:fldCharType="begin"/>
            </w:r>
            <w:r>
              <w:rPr>
                <w:noProof/>
                <w:webHidden/>
              </w:rPr>
              <w:instrText xml:space="preserve"> PAGEREF _Toc220496075 \h </w:instrText>
            </w:r>
            <w:r>
              <w:rPr>
                <w:noProof/>
                <w:webHidden/>
              </w:rPr>
            </w:r>
            <w:r>
              <w:rPr>
                <w:noProof/>
                <w:webHidden/>
              </w:rPr>
              <w:fldChar w:fldCharType="separate"/>
            </w:r>
            <w:r>
              <w:rPr>
                <w:noProof/>
                <w:webHidden/>
              </w:rPr>
              <w:t>714</w:t>
            </w:r>
            <w:r>
              <w:rPr>
                <w:noProof/>
                <w:webHidden/>
              </w:rPr>
              <w:fldChar w:fldCharType="end"/>
            </w:r>
          </w:hyperlink>
        </w:p>
        <w:p w14:paraId="5A46E295" w14:textId="4EB9F2E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76" w:history="1">
            <w:r w:rsidRPr="00F45DCA">
              <w:rPr>
                <w:rStyle w:val="Lienhypertexte"/>
                <w:noProof/>
              </w:rPr>
              <w:t>22.72.2i Hydrofuge de masse CCTB 01.11</w:t>
            </w:r>
            <w:r>
              <w:rPr>
                <w:noProof/>
                <w:webHidden/>
              </w:rPr>
              <w:tab/>
            </w:r>
            <w:r>
              <w:rPr>
                <w:noProof/>
                <w:webHidden/>
              </w:rPr>
              <w:fldChar w:fldCharType="begin"/>
            </w:r>
            <w:r>
              <w:rPr>
                <w:noProof/>
                <w:webHidden/>
              </w:rPr>
              <w:instrText xml:space="preserve"> PAGEREF _Toc220496076 \h </w:instrText>
            </w:r>
            <w:r>
              <w:rPr>
                <w:noProof/>
                <w:webHidden/>
              </w:rPr>
            </w:r>
            <w:r>
              <w:rPr>
                <w:noProof/>
                <w:webHidden/>
              </w:rPr>
              <w:fldChar w:fldCharType="separate"/>
            </w:r>
            <w:r>
              <w:rPr>
                <w:noProof/>
                <w:webHidden/>
              </w:rPr>
              <w:t>714</w:t>
            </w:r>
            <w:r>
              <w:rPr>
                <w:noProof/>
                <w:webHidden/>
              </w:rPr>
              <w:fldChar w:fldCharType="end"/>
            </w:r>
          </w:hyperlink>
        </w:p>
        <w:p w14:paraId="6C6F6052" w14:textId="35F0371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77" w:history="1">
            <w:r w:rsidRPr="00F45DCA">
              <w:rPr>
                <w:rStyle w:val="Lienhypertexte"/>
                <w:noProof/>
              </w:rPr>
              <w:t>22.72.2j Colorants pour béton CCTB 01.02</w:t>
            </w:r>
            <w:r>
              <w:rPr>
                <w:noProof/>
                <w:webHidden/>
              </w:rPr>
              <w:tab/>
            </w:r>
            <w:r>
              <w:rPr>
                <w:noProof/>
                <w:webHidden/>
              </w:rPr>
              <w:fldChar w:fldCharType="begin"/>
            </w:r>
            <w:r>
              <w:rPr>
                <w:noProof/>
                <w:webHidden/>
              </w:rPr>
              <w:instrText xml:space="preserve"> PAGEREF _Toc220496077 \h </w:instrText>
            </w:r>
            <w:r>
              <w:rPr>
                <w:noProof/>
                <w:webHidden/>
              </w:rPr>
            </w:r>
            <w:r>
              <w:rPr>
                <w:noProof/>
                <w:webHidden/>
              </w:rPr>
              <w:fldChar w:fldCharType="separate"/>
            </w:r>
            <w:r>
              <w:rPr>
                <w:noProof/>
                <w:webHidden/>
              </w:rPr>
              <w:t>715</w:t>
            </w:r>
            <w:r>
              <w:rPr>
                <w:noProof/>
                <w:webHidden/>
              </w:rPr>
              <w:fldChar w:fldCharType="end"/>
            </w:r>
          </w:hyperlink>
        </w:p>
        <w:p w14:paraId="07CF13BE" w14:textId="272D9AA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78" w:history="1">
            <w:r w:rsidRPr="00F45DCA">
              <w:rPr>
                <w:rStyle w:val="Lienhypertexte"/>
                <w:noProof/>
              </w:rPr>
              <w:t>22.72.2k Inhibiteurs de corrosion CCTB 01.02</w:t>
            </w:r>
            <w:r>
              <w:rPr>
                <w:noProof/>
                <w:webHidden/>
              </w:rPr>
              <w:tab/>
            </w:r>
            <w:r>
              <w:rPr>
                <w:noProof/>
                <w:webHidden/>
              </w:rPr>
              <w:fldChar w:fldCharType="begin"/>
            </w:r>
            <w:r>
              <w:rPr>
                <w:noProof/>
                <w:webHidden/>
              </w:rPr>
              <w:instrText xml:space="preserve"> PAGEREF _Toc220496078 \h </w:instrText>
            </w:r>
            <w:r>
              <w:rPr>
                <w:noProof/>
                <w:webHidden/>
              </w:rPr>
            </w:r>
            <w:r>
              <w:rPr>
                <w:noProof/>
                <w:webHidden/>
              </w:rPr>
              <w:fldChar w:fldCharType="separate"/>
            </w:r>
            <w:r>
              <w:rPr>
                <w:noProof/>
                <w:webHidden/>
              </w:rPr>
              <w:t>715</w:t>
            </w:r>
            <w:r>
              <w:rPr>
                <w:noProof/>
                <w:webHidden/>
              </w:rPr>
              <w:fldChar w:fldCharType="end"/>
            </w:r>
          </w:hyperlink>
        </w:p>
        <w:p w14:paraId="2E350D82" w14:textId="72733CE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79" w:history="1">
            <w:r w:rsidRPr="00F45DCA">
              <w:rPr>
                <w:rStyle w:val="Lienhypertexte"/>
                <w:noProof/>
              </w:rPr>
              <w:t>22.72.3 Traitement de surface – hydrofugation de surface des bétons CCTB 01.10</w:t>
            </w:r>
            <w:r>
              <w:rPr>
                <w:noProof/>
                <w:webHidden/>
              </w:rPr>
              <w:tab/>
            </w:r>
            <w:r>
              <w:rPr>
                <w:noProof/>
                <w:webHidden/>
              </w:rPr>
              <w:fldChar w:fldCharType="begin"/>
            </w:r>
            <w:r>
              <w:rPr>
                <w:noProof/>
                <w:webHidden/>
              </w:rPr>
              <w:instrText xml:space="preserve"> PAGEREF _Toc220496079 \h </w:instrText>
            </w:r>
            <w:r>
              <w:rPr>
                <w:noProof/>
                <w:webHidden/>
              </w:rPr>
            </w:r>
            <w:r>
              <w:rPr>
                <w:noProof/>
                <w:webHidden/>
              </w:rPr>
              <w:fldChar w:fldCharType="separate"/>
            </w:r>
            <w:r>
              <w:rPr>
                <w:noProof/>
                <w:webHidden/>
              </w:rPr>
              <w:t>715</w:t>
            </w:r>
            <w:r>
              <w:rPr>
                <w:noProof/>
                <w:webHidden/>
              </w:rPr>
              <w:fldChar w:fldCharType="end"/>
            </w:r>
          </w:hyperlink>
        </w:p>
        <w:p w14:paraId="4453F185" w14:textId="2520F55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80" w:history="1">
            <w:r w:rsidRPr="00F45DCA">
              <w:rPr>
                <w:rStyle w:val="Lienhypertexte"/>
                <w:noProof/>
              </w:rPr>
              <w:t>22.72.3a Traitement de surface – hydrofugation de surface des bétons CCTB 01.07</w:t>
            </w:r>
            <w:r>
              <w:rPr>
                <w:noProof/>
                <w:webHidden/>
              </w:rPr>
              <w:tab/>
            </w:r>
            <w:r>
              <w:rPr>
                <w:noProof/>
                <w:webHidden/>
              </w:rPr>
              <w:fldChar w:fldCharType="begin"/>
            </w:r>
            <w:r>
              <w:rPr>
                <w:noProof/>
                <w:webHidden/>
              </w:rPr>
              <w:instrText xml:space="preserve"> PAGEREF _Toc220496080 \h </w:instrText>
            </w:r>
            <w:r>
              <w:rPr>
                <w:noProof/>
                <w:webHidden/>
              </w:rPr>
            </w:r>
            <w:r>
              <w:rPr>
                <w:noProof/>
                <w:webHidden/>
              </w:rPr>
              <w:fldChar w:fldCharType="separate"/>
            </w:r>
            <w:r>
              <w:rPr>
                <w:noProof/>
                <w:webHidden/>
              </w:rPr>
              <w:t>715</w:t>
            </w:r>
            <w:r>
              <w:rPr>
                <w:noProof/>
                <w:webHidden/>
              </w:rPr>
              <w:fldChar w:fldCharType="end"/>
            </w:r>
          </w:hyperlink>
        </w:p>
        <w:p w14:paraId="6365451E" w14:textId="1188A02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81" w:history="1">
            <w:r w:rsidRPr="00F45DCA">
              <w:rPr>
                <w:rStyle w:val="Lienhypertexte"/>
                <w:noProof/>
              </w:rPr>
              <w:t>22.73 Revêtements de finition CCTB 01.02</w:t>
            </w:r>
            <w:r>
              <w:rPr>
                <w:noProof/>
                <w:webHidden/>
              </w:rPr>
              <w:tab/>
            </w:r>
            <w:r>
              <w:rPr>
                <w:noProof/>
                <w:webHidden/>
              </w:rPr>
              <w:fldChar w:fldCharType="begin"/>
            </w:r>
            <w:r>
              <w:rPr>
                <w:noProof/>
                <w:webHidden/>
              </w:rPr>
              <w:instrText xml:space="preserve"> PAGEREF _Toc220496081 \h </w:instrText>
            </w:r>
            <w:r>
              <w:rPr>
                <w:noProof/>
                <w:webHidden/>
              </w:rPr>
            </w:r>
            <w:r>
              <w:rPr>
                <w:noProof/>
                <w:webHidden/>
              </w:rPr>
              <w:fldChar w:fldCharType="separate"/>
            </w:r>
            <w:r>
              <w:rPr>
                <w:noProof/>
                <w:webHidden/>
              </w:rPr>
              <w:t>715</w:t>
            </w:r>
            <w:r>
              <w:rPr>
                <w:noProof/>
                <w:webHidden/>
              </w:rPr>
              <w:fldChar w:fldCharType="end"/>
            </w:r>
          </w:hyperlink>
        </w:p>
        <w:p w14:paraId="3F198CE1" w14:textId="183369C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82" w:history="1">
            <w:r w:rsidRPr="00F45DCA">
              <w:rPr>
                <w:rStyle w:val="Lienhypertexte"/>
                <w:noProof/>
              </w:rPr>
              <w:t>22.73.1 Mortiers d'égalisation CCTB 01.04</w:t>
            </w:r>
            <w:r>
              <w:rPr>
                <w:noProof/>
                <w:webHidden/>
              </w:rPr>
              <w:tab/>
            </w:r>
            <w:r>
              <w:rPr>
                <w:noProof/>
                <w:webHidden/>
              </w:rPr>
              <w:fldChar w:fldCharType="begin"/>
            </w:r>
            <w:r>
              <w:rPr>
                <w:noProof/>
                <w:webHidden/>
              </w:rPr>
              <w:instrText xml:space="preserve"> PAGEREF _Toc220496082 \h </w:instrText>
            </w:r>
            <w:r>
              <w:rPr>
                <w:noProof/>
                <w:webHidden/>
              </w:rPr>
            </w:r>
            <w:r>
              <w:rPr>
                <w:noProof/>
                <w:webHidden/>
              </w:rPr>
              <w:fldChar w:fldCharType="separate"/>
            </w:r>
            <w:r>
              <w:rPr>
                <w:noProof/>
                <w:webHidden/>
              </w:rPr>
              <w:t>715</w:t>
            </w:r>
            <w:r>
              <w:rPr>
                <w:noProof/>
                <w:webHidden/>
              </w:rPr>
              <w:fldChar w:fldCharType="end"/>
            </w:r>
          </w:hyperlink>
        </w:p>
        <w:p w14:paraId="523E6CAD" w14:textId="2CD7496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83" w:history="1">
            <w:r w:rsidRPr="00F45DCA">
              <w:rPr>
                <w:rStyle w:val="Lienhypertexte"/>
                <w:noProof/>
              </w:rPr>
              <w:t>22.73.1a Mortiers d'égalisation CCTB 01.04</w:t>
            </w:r>
            <w:r>
              <w:rPr>
                <w:noProof/>
                <w:webHidden/>
              </w:rPr>
              <w:tab/>
            </w:r>
            <w:r>
              <w:rPr>
                <w:noProof/>
                <w:webHidden/>
              </w:rPr>
              <w:fldChar w:fldCharType="begin"/>
            </w:r>
            <w:r>
              <w:rPr>
                <w:noProof/>
                <w:webHidden/>
              </w:rPr>
              <w:instrText xml:space="preserve"> PAGEREF _Toc220496083 \h </w:instrText>
            </w:r>
            <w:r>
              <w:rPr>
                <w:noProof/>
                <w:webHidden/>
              </w:rPr>
            </w:r>
            <w:r>
              <w:rPr>
                <w:noProof/>
                <w:webHidden/>
              </w:rPr>
              <w:fldChar w:fldCharType="separate"/>
            </w:r>
            <w:r>
              <w:rPr>
                <w:noProof/>
                <w:webHidden/>
              </w:rPr>
              <w:t>715</w:t>
            </w:r>
            <w:r>
              <w:rPr>
                <w:noProof/>
                <w:webHidden/>
              </w:rPr>
              <w:fldChar w:fldCharType="end"/>
            </w:r>
          </w:hyperlink>
        </w:p>
        <w:p w14:paraId="3FDC19FD" w14:textId="39B503A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84" w:history="1">
            <w:r w:rsidRPr="00F45DCA">
              <w:rPr>
                <w:rStyle w:val="Lienhypertexte"/>
                <w:noProof/>
              </w:rPr>
              <w:t>22.73.2 Couches de finition CCTB 01.02</w:t>
            </w:r>
            <w:r>
              <w:rPr>
                <w:noProof/>
                <w:webHidden/>
              </w:rPr>
              <w:tab/>
            </w:r>
            <w:r>
              <w:rPr>
                <w:noProof/>
                <w:webHidden/>
              </w:rPr>
              <w:fldChar w:fldCharType="begin"/>
            </w:r>
            <w:r>
              <w:rPr>
                <w:noProof/>
                <w:webHidden/>
              </w:rPr>
              <w:instrText xml:space="preserve"> PAGEREF _Toc220496084 \h </w:instrText>
            </w:r>
            <w:r>
              <w:rPr>
                <w:noProof/>
                <w:webHidden/>
              </w:rPr>
            </w:r>
            <w:r>
              <w:rPr>
                <w:noProof/>
                <w:webHidden/>
              </w:rPr>
              <w:fldChar w:fldCharType="separate"/>
            </w:r>
            <w:r>
              <w:rPr>
                <w:noProof/>
                <w:webHidden/>
              </w:rPr>
              <w:t>715</w:t>
            </w:r>
            <w:r>
              <w:rPr>
                <w:noProof/>
                <w:webHidden/>
              </w:rPr>
              <w:fldChar w:fldCharType="end"/>
            </w:r>
          </w:hyperlink>
        </w:p>
        <w:p w14:paraId="79DDE363" w14:textId="55DB16B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85" w:history="1">
            <w:r w:rsidRPr="00F45DCA">
              <w:rPr>
                <w:rStyle w:val="Lienhypertexte"/>
                <w:noProof/>
              </w:rPr>
              <w:t>22.73.2a Couches de finition CCTB 01.02</w:t>
            </w:r>
            <w:r>
              <w:rPr>
                <w:noProof/>
                <w:webHidden/>
              </w:rPr>
              <w:tab/>
            </w:r>
            <w:r>
              <w:rPr>
                <w:noProof/>
                <w:webHidden/>
              </w:rPr>
              <w:fldChar w:fldCharType="begin"/>
            </w:r>
            <w:r>
              <w:rPr>
                <w:noProof/>
                <w:webHidden/>
              </w:rPr>
              <w:instrText xml:space="preserve"> PAGEREF _Toc220496085 \h </w:instrText>
            </w:r>
            <w:r>
              <w:rPr>
                <w:noProof/>
                <w:webHidden/>
              </w:rPr>
            </w:r>
            <w:r>
              <w:rPr>
                <w:noProof/>
                <w:webHidden/>
              </w:rPr>
              <w:fldChar w:fldCharType="separate"/>
            </w:r>
            <w:r>
              <w:rPr>
                <w:noProof/>
                <w:webHidden/>
              </w:rPr>
              <w:t>715</w:t>
            </w:r>
            <w:r>
              <w:rPr>
                <w:noProof/>
                <w:webHidden/>
              </w:rPr>
              <w:fldChar w:fldCharType="end"/>
            </w:r>
          </w:hyperlink>
        </w:p>
        <w:p w14:paraId="50693D0F" w14:textId="0FD7D6E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86" w:history="1">
            <w:r w:rsidRPr="00F45DCA">
              <w:rPr>
                <w:rStyle w:val="Lienhypertexte"/>
                <w:noProof/>
              </w:rPr>
              <w:t>22.74 Revêtements de protection CCTB 01.04</w:t>
            </w:r>
            <w:r>
              <w:rPr>
                <w:noProof/>
                <w:webHidden/>
              </w:rPr>
              <w:tab/>
            </w:r>
            <w:r>
              <w:rPr>
                <w:noProof/>
                <w:webHidden/>
              </w:rPr>
              <w:fldChar w:fldCharType="begin"/>
            </w:r>
            <w:r>
              <w:rPr>
                <w:noProof/>
                <w:webHidden/>
              </w:rPr>
              <w:instrText xml:space="preserve"> PAGEREF _Toc220496086 \h </w:instrText>
            </w:r>
            <w:r>
              <w:rPr>
                <w:noProof/>
                <w:webHidden/>
              </w:rPr>
            </w:r>
            <w:r>
              <w:rPr>
                <w:noProof/>
                <w:webHidden/>
              </w:rPr>
              <w:fldChar w:fldCharType="separate"/>
            </w:r>
            <w:r>
              <w:rPr>
                <w:noProof/>
                <w:webHidden/>
              </w:rPr>
              <w:t>715</w:t>
            </w:r>
            <w:r>
              <w:rPr>
                <w:noProof/>
                <w:webHidden/>
              </w:rPr>
              <w:fldChar w:fldCharType="end"/>
            </w:r>
          </w:hyperlink>
        </w:p>
        <w:p w14:paraId="70583818" w14:textId="22079E2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87" w:history="1">
            <w:r w:rsidRPr="00F45DCA">
              <w:rPr>
                <w:rStyle w:val="Lienhypertexte"/>
                <w:noProof/>
              </w:rPr>
              <w:t>22.74.1 Revêtements minces de protection à liant minéral CCTB 01.02</w:t>
            </w:r>
            <w:r>
              <w:rPr>
                <w:noProof/>
                <w:webHidden/>
              </w:rPr>
              <w:tab/>
            </w:r>
            <w:r>
              <w:rPr>
                <w:noProof/>
                <w:webHidden/>
              </w:rPr>
              <w:fldChar w:fldCharType="begin"/>
            </w:r>
            <w:r>
              <w:rPr>
                <w:noProof/>
                <w:webHidden/>
              </w:rPr>
              <w:instrText xml:space="preserve"> PAGEREF _Toc220496087 \h </w:instrText>
            </w:r>
            <w:r>
              <w:rPr>
                <w:noProof/>
                <w:webHidden/>
              </w:rPr>
            </w:r>
            <w:r>
              <w:rPr>
                <w:noProof/>
                <w:webHidden/>
              </w:rPr>
              <w:fldChar w:fldCharType="separate"/>
            </w:r>
            <w:r>
              <w:rPr>
                <w:noProof/>
                <w:webHidden/>
              </w:rPr>
              <w:t>716</w:t>
            </w:r>
            <w:r>
              <w:rPr>
                <w:noProof/>
                <w:webHidden/>
              </w:rPr>
              <w:fldChar w:fldCharType="end"/>
            </w:r>
          </w:hyperlink>
        </w:p>
        <w:p w14:paraId="036CF426" w14:textId="199601B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88" w:history="1">
            <w:r w:rsidRPr="00F45DCA">
              <w:rPr>
                <w:rStyle w:val="Lienhypertexte"/>
                <w:noProof/>
              </w:rPr>
              <w:t>22.74.1a Revêtements minces de protection à liant minéral CCTB 01.02</w:t>
            </w:r>
            <w:r>
              <w:rPr>
                <w:noProof/>
                <w:webHidden/>
              </w:rPr>
              <w:tab/>
            </w:r>
            <w:r>
              <w:rPr>
                <w:noProof/>
                <w:webHidden/>
              </w:rPr>
              <w:fldChar w:fldCharType="begin"/>
            </w:r>
            <w:r>
              <w:rPr>
                <w:noProof/>
                <w:webHidden/>
              </w:rPr>
              <w:instrText xml:space="preserve"> PAGEREF _Toc220496088 \h </w:instrText>
            </w:r>
            <w:r>
              <w:rPr>
                <w:noProof/>
                <w:webHidden/>
              </w:rPr>
            </w:r>
            <w:r>
              <w:rPr>
                <w:noProof/>
                <w:webHidden/>
              </w:rPr>
              <w:fldChar w:fldCharType="separate"/>
            </w:r>
            <w:r>
              <w:rPr>
                <w:noProof/>
                <w:webHidden/>
              </w:rPr>
              <w:t>716</w:t>
            </w:r>
            <w:r>
              <w:rPr>
                <w:noProof/>
                <w:webHidden/>
              </w:rPr>
              <w:fldChar w:fldCharType="end"/>
            </w:r>
          </w:hyperlink>
        </w:p>
        <w:p w14:paraId="05DEFA00" w14:textId="115BA27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89" w:history="1">
            <w:r w:rsidRPr="00F45DCA">
              <w:rPr>
                <w:rStyle w:val="Lienhypertexte"/>
                <w:noProof/>
              </w:rPr>
              <w:t>22.74.2 Revêtements minces de protection à liant organique (coating) CCTB 01.02</w:t>
            </w:r>
            <w:r>
              <w:rPr>
                <w:noProof/>
                <w:webHidden/>
              </w:rPr>
              <w:tab/>
            </w:r>
            <w:r>
              <w:rPr>
                <w:noProof/>
                <w:webHidden/>
              </w:rPr>
              <w:fldChar w:fldCharType="begin"/>
            </w:r>
            <w:r>
              <w:rPr>
                <w:noProof/>
                <w:webHidden/>
              </w:rPr>
              <w:instrText xml:space="preserve"> PAGEREF _Toc220496089 \h </w:instrText>
            </w:r>
            <w:r>
              <w:rPr>
                <w:noProof/>
                <w:webHidden/>
              </w:rPr>
            </w:r>
            <w:r>
              <w:rPr>
                <w:noProof/>
                <w:webHidden/>
              </w:rPr>
              <w:fldChar w:fldCharType="separate"/>
            </w:r>
            <w:r>
              <w:rPr>
                <w:noProof/>
                <w:webHidden/>
              </w:rPr>
              <w:t>716</w:t>
            </w:r>
            <w:r>
              <w:rPr>
                <w:noProof/>
                <w:webHidden/>
              </w:rPr>
              <w:fldChar w:fldCharType="end"/>
            </w:r>
          </w:hyperlink>
        </w:p>
        <w:p w14:paraId="56297B36" w14:textId="2881CBC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090" w:history="1">
            <w:r w:rsidRPr="00F45DCA">
              <w:rPr>
                <w:rStyle w:val="Lienhypertexte"/>
                <w:noProof/>
              </w:rPr>
              <w:t>22.74.2a Revêtements minces de protection à liant organique (coating) CCTB 01.02</w:t>
            </w:r>
            <w:r>
              <w:rPr>
                <w:noProof/>
                <w:webHidden/>
              </w:rPr>
              <w:tab/>
            </w:r>
            <w:r>
              <w:rPr>
                <w:noProof/>
                <w:webHidden/>
              </w:rPr>
              <w:fldChar w:fldCharType="begin"/>
            </w:r>
            <w:r>
              <w:rPr>
                <w:noProof/>
                <w:webHidden/>
              </w:rPr>
              <w:instrText xml:space="preserve"> PAGEREF _Toc220496090 \h </w:instrText>
            </w:r>
            <w:r>
              <w:rPr>
                <w:noProof/>
                <w:webHidden/>
              </w:rPr>
            </w:r>
            <w:r>
              <w:rPr>
                <w:noProof/>
                <w:webHidden/>
              </w:rPr>
              <w:fldChar w:fldCharType="separate"/>
            </w:r>
            <w:r>
              <w:rPr>
                <w:noProof/>
                <w:webHidden/>
              </w:rPr>
              <w:t>716</w:t>
            </w:r>
            <w:r>
              <w:rPr>
                <w:noProof/>
                <w:webHidden/>
              </w:rPr>
              <w:fldChar w:fldCharType="end"/>
            </w:r>
          </w:hyperlink>
        </w:p>
        <w:p w14:paraId="10689CB7" w14:textId="0269B4E7"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091" w:history="1">
            <w:r w:rsidRPr="00F45DCA">
              <w:rPr>
                <w:rStyle w:val="Lienhypertexte"/>
                <w:noProof/>
              </w:rPr>
              <w:t>22.8 Superstructures en béton - Rénovation CCTB 01.07</w:t>
            </w:r>
            <w:r>
              <w:rPr>
                <w:noProof/>
                <w:webHidden/>
              </w:rPr>
              <w:tab/>
            </w:r>
            <w:r>
              <w:rPr>
                <w:noProof/>
                <w:webHidden/>
              </w:rPr>
              <w:fldChar w:fldCharType="begin"/>
            </w:r>
            <w:r>
              <w:rPr>
                <w:noProof/>
                <w:webHidden/>
              </w:rPr>
              <w:instrText xml:space="preserve"> PAGEREF _Toc220496091 \h </w:instrText>
            </w:r>
            <w:r>
              <w:rPr>
                <w:noProof/>
                <w:webHidden/>
              </w:rPr>
            </w:r>
            <w:r>
              <w:rPr>
                <w:noProof/>
                <w:webHidden/>
              </w:rPr>
              <w:fldChar w:fldCharType="separate"/>
            </w:r>
            <w:r>
              <w:rPr>
                <w:noProof/>
                <w:webHidden/>
              </w:rPr>
              <w:t>716</w:t>
            </w:r>
            <w:r>
              <w:rPr>
                <w:noProof/>
                <w:webHidden/>
              </w:rPr>
              <w:fldChar w:fldCharType="end"/>
            </w:r>
          </w:hyperlink>
        </w:p>
        <w:p w14:paraId="1850C0A5" w14:textId="3926D88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92" w:history="1">
            <w:r w:rsidRPr="00F45DCA">
              <w:rPr>
                <w:rStyle w:val="Lienhypertexte"/>
                <w:noProof/>
              </w:rPr>
              <w:t>22.81 Etudes / essais préliminaires CCTB 01.04</w:t>
            </w:r>
            <w:r>
              <w:rPr>
                <w:noProof/>
                <w:webHidden/>
              </w:rPr>
              <w:tab/>
            </w:r>
            <w:r>
              <w:rPr>
                <w:noProof/>
                <w:webHidden/>
              </w:rPr>
              <w:fldChar w:fldCharType="begin"/>
            </w:r>
            <w:r>
              <w:rPr>
                <w:noProof/>
                <w:webHidden/>
              </w:rPr>
              <w:instrText xml:space="preserve"> PAGEREF _Toc220496092 \h </w:instrText>
            </w:r>
            <w:r>
              <w:rPr>
                <w:noProof/>
                <w:webHidden/>
              </w:rPr>
            </w:r>
            <w:r>
              <w:rPr>
                <w:noProof/>
                <w:webHidden/>
              </w:rPr>
              <w:fldChar w:fldCharType="separate"/>
            </w:r>
            <w:r>
              <w:rPr>
                <w:noProof/>
                <w:webHidden/>
              </w:rPr>
              <w:t>716</w:t>
            </w:r>
            <w:r>
              <w:rPr>
                <w:noProof/>
                <w:webHidden/>
              </w:rPr>
              <w:fldChar w:fldCharType="end"/>
            </w:r>
          </w:hyperlink>
        </w:p>
        <w:p w14:paraId="6CFB3B34" w14:textId="2A04EFB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093" w:history="1">
            <w:r w:rsidRPr="00F45DCA">
              <w:rPr>
                <w:rStyle w:val="Lienhypertexte"/>
                <w:noProof/>
              </w:rPr>
              <w:t>22.82 Déposes / démontages / percements / déconstructions-démolitions CCTB 01.02</w:t>
            </w:r>
            <w:r>
              <w:rPr>
                <w:noProof/>
                <w:webHidden/>
              </w:rPr>
              <w:tab/>
            </w:r>
            <w:r>
              <w:rPr>
                <w:noProof/>
                <w:webHidden/>
              </w:rPr>
              <w:fldChar w:fldCharType="begin"/>
            </w:r>
            <w:r>
              <w:rPr>
                <w:noProof/>
                <w:webHidden/>
              </w:rPr>
              <w:instrText xml:space="preserve"> PAGEREF _Toc220496093 \h </w:instrText>
            </w:r>
            <w:r>
              <w:rPr>
                <w:noProof/>
                <w:webHidden/>
              </w:rPr>
            </w:r>
            <w:r>
              <w:rPr>
                <w:noProof/>
                <w:webHidden/>
              </w:rPr>
              <w:fldChar w:fldCharType="separate"/>
            </w:r>
            <w:r>
              <w:rPr>
                <w:noProof/>
                <w:webHidden/>
              </w:rPr>
              <w:t>716</w:t>
            </w:r>
            <w:r>
              <w:rPr>
                <w:noProof/>
                <w:webHidden/>
              </w:rPr>
              <w:fldChar w:fldCharType="end"/>
            </w:r>
          </w:hyperlink>
        </w:p>
        <w:p w14:paraId="7D1B1BBE" w14:textId="6A06273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94" w:history="1">
            <w:r w:rsidRPr="00F45DCA">
              <w:rPr>
                <w:rStyle w:val="Lienhypertexte"/>
                <w:noProof/>
              </w:rPr>
              <w:t>22.82.1 Travaux de stabilisation CCTB 01.04</w:t>
            </w:r>
            <w:r>
              <w:rPr>
                <w:noProof/>
                <w:webHidden/>
              </w:rPr>
              <w:tab/>
            </w:r>
            <w:r>
              <w:rPr>
                <w:noProof/>
                <w:webHidden/>
              </w:rPr>
              <w:fldChar w:fldCharType="begin"/>
            </w:r>
            <w:r>
              <w:rPr>
                <w:noProof/>
                <w:webHidden/>
              </w:rPr>
              <w:instrText xml:space="preserve"> PAGEREF _Toc220496094 \h </w:instrText>
            </w:r>
            <w:r>
              <w:rPr>
                <w:noProof/>
                <w:webHidden/>
              </w:rPr>
            </w:r>
            <w:r>
              <w:rPr>
                <w:noProof/>
                <w:webHidden/>
              </w:rPr>
              <w:fldChar w:fldCharType="separate"/>
            </w:r>
            <w:r>
              <w:rPr>
                <w:noProof/>
                <w:webHidden/>
              </w:rPr>
              <w:t>716</w:t>
            </w:r>
            <w:r>
              <w:rPr>
                <w:noProof/>
                <w:webHidden/>
              </w:rPr>
              <w:fldChar w:fldCharType="end"/>
            </w:r>
          </w:hyperlink>
        </w:p>
        <w:p w14:paraId="140450EC" w14:textId="68C4BAE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95" w:history="1">
            <w:r w:rsidRPr="00F45DCA">
              <w:rPr>
                <w:rStyle w:val="Lienhypertexte"/>
                <w:noProof/>
              </w:rPr>
              <w:t>22.82.2 Déposes d'éléments (pour repose ultérieure) CCTB 01.04</w:t>
            </w:r>
            <w:r>
              <w:rPr>
                <w:noProof/>
                <w:webHidden/>
              </w:rPr>
              <w:tab/>
            </w:r>
            <w:r>
              <w:rPr>
                <w:noProof/>
                <w:webHidden/>
              </w:rPr>
              <w:fldChar w:fldCharType="begin"/>
            </w:r>
            <w:r>
              <w:rPr>
                <w:noProof/>
                <w:webHidden/>
              </w:rPr>
              <w:instrText xml:space="preserve"> PAGEREF _Toc220496095 \h </w:instrText>
            </w:r>
            <w:r>
              <w:rPr>
                <w:noProof/>
                <w:webHidden/>
              </w:rPr>
            </w:r>
            <w:r>
              <w:rPr>
                <w:noProof/>
                <w:webHidden/>
              </w:rPr>
              <w:fldChar w:fldCharType="separate"/>
            </w:r>
            <w:r>
              <w:rPr>
                <w:noProof/>
                <w:webHidden/>
              </w:rPr>
              <w:t>717</w:t>
            </w:r>
            <w:r>
              <w:rPr>
                <w:noProof/>
                <w:webHidden/>
              </w:rPr>
              <w:fldChar w:fldCharType="end"/>
            </w:r>
          </w:hyperlink>
        </w:p>
        <w:p w14:paraId="04A11BD2" w14:textId="321DFD1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96" w:history="1">
            <w:r w:rsidRPr="00F45DCA">
              <w:rPr>
                <w:rStyle w:val="Lienhypertexte"/>
                <w:noProof/>
              </w:rPr>
              <w:t>22.82.3 Démontages d'éléments (pour récupération) CCTB 01.04</w:t>
            </w:r>
            <w:r>
              <w:rPr>
                <w:noProof/>
                <w:webHidden/>
              </w:rPr>
              <w:tab/>
            </w:r>
            <w:r>
              <w:rPr>
                <w:noProof/>
                <w:webHidden/>
              </w:rPr>
              <w:fldChar w:fldCharType="begin"/>
            </w:r>
            <w:r>
              <w:rPr>
                <w:noProof/>
                <w:webHidden/>
              </w:rPr>
              <w:instrText xml:space="preserve"> PAGEREF _Toc220496096 \h </w:instrText>
            </w:r>
            <w:r>
              <w:rPr>
                <w:noProof/>
                <w:webHidden/>
              </w:rPr>
            </w:r>
            <w:r>
              <w:rPr>
                <w:noProof/>
                <w:webHidden/>
              </w:rPr>
              <w:fldChar w:fldCharType="separate"/>
            </w:r>
            <w:r>
              <w:rPr>
                <w:noProof/>
                <w:webHidden/>
              </w:rPr>
              <w:t>717</w:t>
            </w:r>
            <w:r>
              <w:rPr>
                <w:noProof/>
                <w:webHidden/>
              </w:rPr>
              <w:fldChar w:fldCharType="end"/>
            </w:r>
          </w:hyperlink>
        </w:p>
        <w:p w14:paraId="33B4EF9A" w14:textId="033C099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97" w:history="1">
            <w:r w:rsidRPr="00F45DCA">
              <w:rPr>
                <w:rStyle w:val="Lienhypertexte"/>
                <w:noProof/>
              </w:rPr>
              <w:t>22.82.4 Décapages / déjointoiements (pour évacuation) CCTB 01.04</w:t>
            </w:r>
            <w:r>
              <w:rPr>
                <w:noProof/>
                <w:webHidden/>
              </w:rPr>
              <w:tab/>
            </w:r>
            <w:r>
              <w:rPr>
                <w:noProof/>
                <w:webHidden/>
              </w:rPr>
              <w:fldChar w:fldCharType="begin"/>
            </w:r>
            <w:r>
              <w:rPr>
                <w:noProof/>
                <w:webHidden/>
              </w:rPr>
              <w:instrText xml:space="preserve"> PAGEREF _Toc220496097 \h </w:instrText>
            </w:r>
            <w:r>
              <w:rPr>
                <w:noProof/>
                <w:webHidden/>
              </w:rPr>
            </w:r>
            <w:r>
              <w:rPr>
                <w:noProof/>
                <w:webHidden/>
              </w:rPr>
              <w:fldChar w:fldCharType="separate"/>
            </w:r>
            <w:r>
              <w:rPr>
                <w:noProof/>
                <w:webHidden/>
              </w:rPr>
              <w:t>717</w:t>
            </w:r>
            <w:r>
              <w:rPr>
                <w:noProof/>
                <w:webHidden/>
              </w:rPr>
              <w:fldChar w:fldCharType="end"/>
            </w:r>
          </w:hyperlink>
        </w:p>
        <w:p w14:paraId="3F58B625" w14:textId="61562D5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98" w:history="1">
            <w:r w:rsidRPr="00F45DCA">
              <w:rPr>
                <w:rStyle w:val="Lienhypertexte"/>
                <w:noProof/>
              </w:rPr>
              <w:t>22.82.5 Percements / carottages CCTB 01.04</w:t>
            </w:r>
            <w:r>
              <w:rPr>
                <w:noProof/>
                <w:webHidden/>
              </w:rPr>
              <w:tab/>
            </w:r>
            <w:r>
              <w:rPr>
                <w:noProof/>
                <w:webHidden/>
              </w:rPr>
              <w:fldChar w:fldCharType="begin"/>
            </w:r>
            <w:r>
              <w:rPr>
                <w:noProof/>
                <w:webHidden/>
              </w:rPr>
              <w:instrText xml:space="preserve"> PAGEREF _Toc220496098 \h </w:instrText>
            </w:r>
            <w:r>
              <w:rPr>
                <w:noProof/>
                <w:webHidden/>
              </w:rPr>
            </w:r>
            <w:r>
              <w:rPr>
                <w:noProof/>
                <w:webHidden/>
              </w:rPr>
              <w:fldChar w:fldCharType="separate"/>
            </w:r>
            <w:r>
              <w:rPr>
                <w:noProof/>
                <w:webHidden/>
              </w:rPr>
              <w:t>717</w:t>
            </w:r>
            <w:r>
              <w:rPr>
                <w:noProof/>
                <w:webHidden/>
              </w:rPr>
              <w:fldChar w:fldCharType="end"/>
            </w:r>
          </w:hyperlink>
        </w:p>
        <w:p w14:paraId="4950830E" w14:textId="1B19FEB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099" w:history="1">
            <w:r w:rsidRPr="00F45DCA">
              <w:rPr>
                <w:rStyle w:val="Lienhypertexte"/>
                <w:noProof/>
              </w:rPr>
              <w:t>22.82.6 Déconstructions / démolitions (pour évacuation) CCTB 01.04</w:t>
            </w:r>
            <w:r>
              <w:rPr>
                <w:noProof/>
                <w:webHidden/>
              </w:rPr>
              <w:tab/>
            </w:r>
            <w:r>
              <w:rPr>
                <w:noProof/>
                <w:webHidden/>
              </w:rPr>
              <w:fldChar w:fldCharType="begin"/>
            </w:r>
            <w:r>
              <w:rPr>
                <w:noProof/>
                <w:webHidden/>
              </w:rPr>
              <w:instrText xml:space="preserve"> PAGEREF _Toc220496099 \h </w:instrText>
            </w:r>
            <w:r>
              <w:rPr>
                <w:noProof/>
                <w:webHidden/>
              </w:rPr>
            </w:r>
            <w:r>
              <w:rPr>
                <w:noProof/>
                <w:webHidden/>
              </w:rPr>
              <w:fldChar w:fldCharType="separate"/>
            </w:r>
            <w:r>
              <w:rPr>
                <w:noProof/>
                <w:webHidden/>
              </w:rPr>
              <w:t>717</w:t>
            </w:r>
            <w:r>
              <w:rPr>
                <w:noProof/>
                <w:webHidden/>
              </w:rPr>
              <w:fldChar w:fldCharType="end"/>
            </w:r>
          </w:hyperlink>
        </w:p>
        <w:p w14:paraId="30C09338" w14:textId="62B2AEB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100" w:history="1">
            <w:r w:rsidRPr="00F45DCA">
              <w:rPr>
                <w:rStyle w:val="Lienhypertexte"/>
                <w:noProof/>
              </w:rPr>
              <w:t>22.83 Réparations / ragréages / rénovations CCTB 01.02</w:t>
            </w:r>
            <w:r>
              <w:rPr>
                <w:noProof/>
                <w:webHidden/>
              </w:rPr>
              <w:tab/>
            </w:r>
            <w:r>
              <w:rPr>
                <w:noProof/>
                <w:webHidden/>
              </w:rPr>
              <w:fldChar w:fldCharType="begin"/>
            </w:r>
            <w:r>
              <w:rPr>
                <w:noProof/>
                <w:webHidden/>
              </w:rPr>
              <w:instrText xml:space="preserve"> PAGEREF _Toc220496100 \h </w:instrText>
            </w:r>
            <w:r>
              <w:rPr>
                <w:noProof/>
                <w:webHidden/>
              </w:rPr>
            </w:r>
            <w:r>
              <w:rPr>
                <w:noProof/>
                <w:webHidden/>
              </w:rPr>
              <w:fldChar w:fldCharType="separate"/>
            </w:r>
            <w:r>
              <w:rPr>
                <w:noProof/>
                <w:webHidden/>
              </w:rPr>
              <w:t>717</w:t>
            </w:r>
            <w:r>
              <w:rPr>
                <w:noProof/>
                <w:webHidden/>
              </w:rPr>
              <w:fldChar w:fldCharType="end"/>
            </w:r>
          </w:hyperlink>
        </w:p>
        <w:p w14:paraId="66DC8ABB" w14:textId="170E2E4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01" w:history="1">
            <w:r w:rsidRPr="00F45DCA">
              <w:rPr>
                <w:rStyle w:val="Lienhypertexte"/>
                <w:noProof/>
              </w:rPr>
              <w:t>22.83.1 Ragréages superficiels de béton par mortiers de réparation CCTB 01.02</w:t>
            </w:r>
            <w:r>
              <w:rPr>
                <w:noProof/>
                <w:webHidden/>
              </w:rPr>
              <w:tab/>
            </w:r>
            <w:r>
              <w:rPr>
                <w:noProof/>
                <w:webHidden/>
              </w:rPr>
              <w:fldChar w:fldCharType="begin"/>
            </w:r>
            <w:r>
              <w:rPr>
                <w:noProof/>
                <w:webHidden/>
              </w:rPr>
              <w:instrText xml:space="preserve"> PAGEREF _Toc220496101 \h </w:instrText>
            </w:r>
            <w:r>
              <w:rPr>
                <w:noProof/>
                <w:webHidden/>
              </w:rPr>
            </w:r>
            <w:r>
              <w:rPr>
                <w:noProof/>
                <w:webHidden/>
              </w:rPr>
              <w:fldChar w:fldCharType="separate"/>
            </w:r>
            <w:r>
              <w:rPr>
                <w:noProof/>
                <w:webHidden/>
              </w:rPr>
              <w:t>717</w:t>
            </w:r>
            <w:r>
              <w:rPr>
                <w:noProof/>
                <w:webHidden/>
              </w:rPr>
              <w:fldChar w:fldCharType="end"/>
            </w:r>
          </w:hyperlink>
        </w:p>
        <w:p w14:paraId="35C31B66" w14:textId="2CA7DCE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02" w:history="1">
            <w:r w:rsidRPr="00F45DCA">
              <w:rPr>
                <w:rStyle w:val="Lienhypertexte"/>
                <w:noProof/>
              </w:rPr>
              <w:t>22.83.1a Ragréages de béton par mortier de ragréage à base de liants hydraulique CCTB 01.02</w:t>
            </w:r>
            <w:r>
              <w:rPr>
                <w:noProof/>
                <w:webHidden/>
              </w:rPr>
              <w:tab/>
            </w:r>
            <w:r>
              <w:rPr>
                <w:noProof/>
                <w:webHidden/>
              </w:rPr>
              <w:fldChar w:fldCharType="begin"/>
            </w:r>
            <w:r>
              <w:rPr>
                <w:noProof/>
                <w:webHidden/>
              </w:rPr>
              <w:instrText xml:space="preserve"> PAGEREF _Toc220496102 \h </w:instrText>
            </w:r>
            <w:r>
              <w:rPr>
                <w:noProof/>
                <w:webHidden/>
              </w:rPr>
            </w:r>
            <w:r>
              <w:rPr>
                <w:noProof/>
                <w:webHidden/>
              </w:rPr>
              <w:fldChar w:fldCharType="separate"/>
            </w:r>
            <w:r>
              <w:rPr>
                <w:noProof/>
                <w:webHidden/>
              </w:rPr>
              <w:t>717</w:t>
            </w:r>
            <w:r>
              <w:rPr>
                <w:noProof/>
                <w:webHidden/>
              </w:rPr>
              <w:fldChar w:fldCharType="end"/>
            </w:r>
          </w:hyperlink>
        </w:p>
        <w:p w14:paraId="18FEEE60" w14:textId="44BDD37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03" w:history="1">
            <w:r w:rsidRPr="00F45DCA">
              <w:rPr>
                <w:rStyle w:val="Lienhypertexte"/>
                <w:noProof/>
              </w:rPr>
              <w:t>22.83.1b Ragréages de béton par mortier de ragréage à base de résines CCTB 01.02</w:t>
            </w:r>
            <w:r>
              <w:rPr>
                <w:noProof/>
                <w:webHidden/>
              </w:rPr>
              <w:tab/>
            </w:r>
            <w:r>
              <w:rPr>
                <w:noProof/>
                <w:webHidden/>
              </w:rPr>
              <w:fldChar w:fldCharType="begin"/>
            </w:r>
            <w:r>
              <w:rPr>
                <w:noProof/>
                <w:webHidden/>
              </w:rPr>
              <w:instrText xml:space="preserve"> PAGEREF _Toc220496103 \h </w:instrText>
            </w:r>
            <w:r>
              <w:rPr>
                <w:noProof/>
                <w:webHidden/>
              </w:rPr>
            </w:r>
            <w:r>
              <w:rPr>
                <w:noProof/>
                <w:webHidden/>
              </w:rPr>
              <w:fldChar w:fldCharType="separate"/>
            </w:r>
            <w:r>
              <w:rPr>
                <w:noProof/>
                <w:webHidden/>
              </w:rPr>
              <w:t>717</w:t>
            </w:r>
            <w:r>
              <w:rPr>
                <w:noProof/>
                <w:webHidden/>
              </w:rPr>
              <w:fldChar w:fldCharType="end"/>
            </w:r>
          </w:hyperlink>
        </w:p>
        <w:p w14:paraId="070B95F2" w14:textId="6480A03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04" w:history="1">
            <w:r w:rsidRPr="00F45DCA">
              <w:rPr>
                <w:rStyle w:val="Lienhypertexte"/>
                <w:noProof/>
              </w:rPr>
              <w:t>22.83.2 Réparations de béton armé par application manuelle CCTB 01.02</w:t>
            </w:r>
            <w:r>
              <w:rPr>
                <w:noProof/>
                <w:webHidden/>
              </w:rPr>
              <w:tab/>
            </w:r>
            <w:r>
              <w:rPr>
                <w:noProof/>
                <w:webHidden/>
              </w:rPr>
              <w:fldChar w:fldCharType="begin"/>
            </w:r>
            <w:r>
              <w:rPr>
                <w:noProof/>
                <w:webHidden/>
              </w:rPr>
              <w:instrText xml:space="preserve"> PAGEREF _Toc220496104 \h </w:instrText>
            </w:r>
            <w:r>
              <w:rPr>
                <w:noProof/>
                <w:webHidden/>
              </w:rPr>
            </w:r>
            <w:r>
              <w:rPr>
                <w:noProof/>
                <w:webHidden/>
              </w:rPr>
              <w:fldChar w:fldCharType="separate"/>
            </w:r>
            <w:r>
              <w:rPr>
                <w:noProof/>
                <w:webHidden/>
              </w:rPr>
              <w:t>718</w:t>
            </w:r>
            <w:r>
              <w:rPr>
                <w:noProof/>
                <w:webHidden/>
              </w:rPr>
              <w:fldChar w:fldCharType="end"/>
            </w:r>
          </w:hyperlink>
        </w:p>
        <w:p w14:paraId="628419D0" w14:textId="3B7B0C8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05" w:history="1">
            <w:r w:rsidRPr="00F45DCA">
              <w:rPr>
                <w:rStyle w:val="Lienhypertexte"/>
                <w:noProof/>
              </w:rPr>
              <w:t>22.83.2a Réparations de béton armé par application manuelle CCTB 01.02</w:t>
            </w:r>
            <w:r>
              <w:rPr>
                <w:noProof/>
                <w:webHidden/>
              </w:rPr>
              <w:tab/>
            </w:r>
            <w:r>
              <w:rPr>
                <w:noProof/>
                <w:webHidden/>
              </w:rPr>
              <w:fldChar w:fldCharType="begin"/>
            </w:r>
            <w:r>
              <w:rPr>
                <w:noProof/>
                <w:webHidden/>
              </w:rPr>
              <w:instrText xml:space="preserve"> PAGEREF _Toc220496105 \h </w:instrText>
            </w:r>
            <w:r>
              <w:rPr>
                <w:noProof/>
                <w:webHidden/>
              </w:rPr>
            </w:r>
            <w:r>
              <w:rPr>
                <w:noProof/>
                <w:webHidden/>
              </w:rPr>
              <w:fldChar w:fldCharType="separate"/>
            </w:r>
            <w:r>
              <w:rPr>
                <w:noProof/>
                <w:webHidden/>
              </w:rPr>
              <w:t>718</w:t>
            </w:r>
            <w:r>
              <w:rPr>
                <w:noProof/>
                <w:webHidden/>
              </w:rPr>
              <w:fldChar w:fldCharType="end"/>
            </w:r>
          </w:hyperlink>
        </w:p>
        <w:p w14:paraId="00DF238C" w14:textId="5E24E57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06" w:history="1">
            <w:r w:rsidRPr="00F45DCA">
              <w:rPr>
                <w:rStyle w:val="Lienhypertexte"/>
                <w:noProof/>
              </w:rPr>
              <w:t>22.83.3 Réparations de béton armé par coulage CCTB 01.02</w:t>
            </w:r>
            <w:r>
              <w:rPr>
                <w:noProof/>
                <w:webHidden/>
              </w:rPr>
              <w:tab/>
            </w:r>
            <w:r>
              <w:rPr>
                <w:noProof/>
                <w:webHidden/>
              </w:rPr>
              <w:fldChar w:fldCharType="begin"/>
            </w:r>
            <w:r>
              <w:rPr>
                <w:noProof/>
                <w:webHidden/>
              </w:rPr>
              <w:instrText xml:space="preserve"> PAGEREF _Toc220496106 \h </w:instrText>
            </w:r>
            <w:r>
              <w:rPr>
                <w:noProof/>
                <w:webHidden/>
              </w:rPr>
            </w:r>
            <w:r>
              <w:rPr>
                <w:noProof/>
                <w:webHidden/>
              </w:rPr>
              <w:fldChar w:fldCharType="separate"/>
            </w:r>
            <w:r>
              <w:rPr>
                <w:noProof/>
                <w:webHidden/>
              </w:rPr>
              <w:t>718</w:t>
            </w:r>
            <w:r>
              <w:rPr>
                <w:noProof/>
                <w:webHidden/>
              </w:rPr>
              <w:fldChar w:fldCharType="end"/>
            </w:r>
          </w:hyperlink>
        </w:p>
        <w:p w14:paraId="0B636351" w14:textId="0499F6D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07" w:history="1">
            <w:r w:rsidRPr="00F45DCA">
              <w:rPr>
                <w:rStyle w:val="Lienhypertexte"/>
                <w:noProof/>
              </w:rPr>
              <w:t>22.83.3a Réparations de béton armé par coulage CCTB 01.02</w:t>
            </w:r>
            <w:r>
              <w:rPr>
                <w:noProof/>
                <w:webHidden/>
              </w:rPr>
              <w:tab/>
            </w:r>
            <w:r>
              <w:rPr>
                <w:noProof/>
                <w:webHidden/>
              </w:rPr>
              <w:fldChar w:fldCharType="begin"/>
            </w:r>
            <w:r>
              <w:rPr>
                <w:noProof/>
                <w:webHidden/>
              </w:rPr>
              <w:instrText xml:space="preserve"> PAGEREF _Toc220496107 \h </w:instrText>
            </w:r>
            <w:r>
              <w:rPr>
                <w:noProof/>
                <w:webHidden/>
              </w:rPr>
            </w:r>
            <w:r>
              <w:rPr>
                <w:noProof/>
                <w:webHidden/>
              </w:rPr>
              <w:fldChar w:fldCharType="separate"/>
            </w:r>
            <w:r>
              <w:rPr>
                <w:noProof/>
                <w:webHidden/>
              </w:rPr>
              <w:t>718</w:t>
            </w:r>
            <w:r>
              <w:rPr>
                <w:noProof/>
                <w:webHidden/>
              </w:rPr>
              <w:fldChar w:fldCharType="end"/>
            </w:r>
          </w:hyperlink>
        </w:p>
        <w:p w14:paraId="7EE5C967" w14:textId="73B78EC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08" w:history="1">
            <w:r w:rsidRPr="00F45DCA">
              <w:rPr>
                <w:rStyle w:val="Lienhypertexte"/>
                <w:noProof/>
              </w:rPr>
              <w:t>22.83.4 Réparations de béton armé par gunitage CCTB 01.02</w:t>
            </w:r>
            <w:r>
              <w:rPr>
                <w:noProof/>
                <w:webHidden/>
              </w:rPr>
              <w:tab/>
            </w:r>
            <w:r>
              <w:rPr>
                <w:noProof/>
                <w:webHidden/>
              </w:rPr>
              <w:fldChar w:fldCharType="begin"/>
            </w:r>
            <w:r>
              <w:rPr>
                <w:noProof/>
                <w:webHidden/>
              </w:rPr>
              <w:instrText xml:space="preserve"> PAGEREF _Toc220496108 \h </w:instrText>
            </w:r>
            <w:r>
              <w:rPr>
                <w:noProof/>
                <w:webHidden/>
              </w:rPr>
            </w:r>
            <w:r>
              <w:rPr>
                <w:noProof/>
                <w:webHidden/>
              </w:rPr>
              <w:fldChar w:fldCharType="separate"/>
            </w:r>
            <w:r>
              <w:rPr>
                <w:noProof/>
                <w:webHidden/>
              </w:rPr>
              <w:t>718</w:t>
            </w:r>
            <w:r>
              <w:rPr>
                <w:noProof/>
                <w:webHidden/>
              </w:rPr>
              <w:fldChar w:fldCharType="end"/>
            </w:r>
          </w:hyperlink>
        </w:p>
        <w:p w14:paraId="506C7BDA" w14:textId="7CB5FB3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09" w:history="1">
            <w:r w:rsidRPr="00F45DCA">
              <w:rPr>
                <w:rStyle w:val="Lienhypertexte"/>
                <w:noProof/>
              </w:rPr>
              <w:t>22.83.4a Réparations de béton armé par gunitage CCTB 01.02</w:t>
            </w:r>
            <w:r>
              <w:rPr>
                <w:noProof/>
                <w:webHidden/>
              </w:rPr>
              <w:tab/>
            </w:r>
            <w:r>
              <w:rPr>
                <w:noProof/>
                <w:webHidden/>
              </w:rPr>
              <w:fldChar w:fldCharType="begin"/>
            </w:r>
            <w:r>
              <w:rPr>
                <w:noProof/>
                <w:webHidden/>
              </w:rPr>
              <w:instrText xml:space="preserve"> PAGEREF _Toc220496109 \h </w:instrText>
            </w:r>
            <w:r>
              <w:rPr>
                <w:noProof/>
                <w:webHidden/>
              </w:rPr>
            </w:r>
            <w:r>
              <w:rPr>
                <w:noProof/>
                <w:webHidden/>
              </w:rPr>
              <w:fldChar w:fldCharType="separate"/>
            </w:r>
            <w:r>
              <w:rPr>
                <w:noProof/>
                <w:webHidden/>
              </w:rPr>
              <w:t>718</w:t>
            </w:r>
            <w:r>
              <w:rPr>
                <w:noProof/>
                <w:webHidden/>
              </w:rPr>
              <w:fldChar w:fldCharType="end"/>
            </w:r>
          </w:hyperlink>
        </w:p>
        <w:p w14:paraId="6CD82CFD" w14:textId="1F5C420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110" w:history="1">
            <w:r w:rsidRPr="00F45DCA">
              <w:rPr>
                <w:rStyle w:val="Lienhypertexte"/>
                <w:noProof/>
              </w:rPr>
              <w:t>22.84 Renforcements CCTB 01.02</w:t>
            </w:r>
            <w:r>
              <w:rPr>
                <w:noProof/>
                <w:webHidden/>
              </w:rPr>
              <w:tab/>
            </w:r>
            <w:r>
              <w:rPr>
                <w:noProof/>
                <w:webHidden/>
              </w:rPr>
              <w:fldChar w:fldCharType="begin"/>
            </w:r>
            <w:r>
              <w:rPr>
                <w:noProof/>
                <w:webHidden/>
              </w:rPr>
              <w:instrText xml:space="preserve"> PAGEREF _Toc220496110 \h </w:instrText>
            </w:r>
            <w:r>
              <w:rPr>
                <w:noProof/>
                <w:webHidden/>
              </w:rPr>
            </w:r>
            <w:r>
              <w:rPr>
                <w:noProof/>
                <w:webHidden/>
              </w:rPr>
              <w:fldChar w:fldCharType="separate"/>
            </w:r>
            <w:r>
              <w:rPr>
                <w:noProof/>
                <w:webHidden/>
              </w:rPr>
              <w:t>718</w:t>
            </w:r>
            <w:r>
              <w:rPr>
                <w:noProof/>
                <w:webHidden/>
              </w:rPr>
              <w:fldChar w:fldCharType="end"/>
            </w:r>
          </w:hyperlink>
        </w:p>
        <w:p w14:paraId="3C42DB19" w14:textId="4B60F40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11" w:history="1">
            <w:r w:rsidRPr="00F45DCA">
              <w:rPr>
                <w:rStyle w:val="Lienhypertexte"/>
                <w:noProof/>
              </w:rPr>
              <w:t>22.84.1 Renforcements par injections de fissures CCTB 01.02</w:t>
            </w:r>
            <w:r>
              <w:rPr>
                <w:noProof/>
                <w:webHidden/>
              </w:rPr>
              <w:tab/>
            </w:r>
            <w:r>
              <w:rPr>
                <w:noProof/>
                <w:webHidden/>
              </w:rPr>
              <w:fldChar w:fldCharType="begin"/>
            </w:r>
            <w:r>
              <w:rPr>
                <w:noProof/>
                <w:webHidden/>
              </w:rPr>
              <w:instrText xml:space="preserve"> PAGEREF _Toc220496111 \h </w:instrText>
            </w:r>
            <w:r>
              <w:rPr>
                <w:noProof/>
                <w:webHidden/>
              </w:rPr>
            </w:r>
            <w:r>
              <w:rPr>
                <w:noProof/>
                <w:webHidden/>
              </w:rPr>
              <w:fldChar w:fldCharType="separate"/>
            </w:r>
            <w:r>
              <w:rPr>
                <w:noProof/>
                <w:webHidden/>
              </w:rPr>
              <w:t>718</w:t>
            </w:r>
            <w:r>
              <w:rPr>
                <w:noProof/>
                <w:webHidden/>
              </w:rPr>
              <w:fldChar w:fldCharType="end"/>
            </w:r>
          </w:hyperlink>
        </w:p>
        <w:p w14:paraId="6BDC2B37" w14:textId="4DAF6D5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12" w:history="1">
            <w:r w:rsidRPr="00F45DCA">
              <w:rPr>
                <w:rStyle w:val="Lienhypertexte"/>
                <w:noProof/>
              </w:rPr>
              <w:t>22.84.1a Renforcements par injections de fissures CCTB 01.02</w:t>
            </w:r>
            <w:r>
              <w:rPr>
                <w:noProof/>
                <w:webHidden/>
              </w:rPr>
              <w:tab/>
            </w:r>
            <w:r>
              <w:rPr>
                <w:noProof/>
                <w:webHidden/>
              </w:rPr>
              <w:fldChar w:fldCharType="begin"/>
            </w:r>
            <w:r>
              <w:rPr>
                <w:noProof/>
                <w:webHidden/>
              </w:rPr>
              <w:instrText xml:space="preserve"> PAGEREF _Toc220496112 \h </w:instrText>
            </w:r>
            <w:r>
              <w:rPr>
                <w:noProof/>
                <w:webHidden/>
              </w:rPr>
            </w:r>
            <w:r>
              <w:rPr>
                <w:noProof/>
                <w:webHidden/>
              </w:rPr>
              <w:fldChar w:fldCharType="separate"/>
            </w:r>
            <w:r>
              <w:rPr>
                <w:noProof/>
                <w:webHidden/>
              </w:rPr>
              <w:t>718</w:t>
            </w:r>
            <w:r>
              <w:rPr>
                <w:noProof/>
                <w:webHidden/>
              </w:rPr>
              <w:fldChar w:fldCharType="end"/>
            </w:r>
          </w:hyperlink>
        </w:p>
        <w:p w14:paraId="7872D4B6" w14:textId="3F480FB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13" w:history="1">
            <w:r w:rsidRPr="00F45DCA">
              <w:rPr>
                <w:rStyle w:val="Lienhypertexte"/>
                <w:noProof/>
              </w:rPr>
              <w:t>22.84.2 Renforcements par modification de la section de poutres existantes CCTB 01.02</w:t>
            </w:r>
            <w:r>
              <w:rPr>
                <w:noProof/>
                <w:webHidden/>
              </w:rPr>
              <w:tab/>
            </w:r>
            <w:r>
              <w:rPr>
                <w:noProof/>
                <w:webHidden/>
              </w:rPr>
              <w:fldChar w:fldCharType="begin"/>
            </w:r>
            <w:r>
              <w:rPr>
                <w:noProof/>
                <w:webHidden/>
              </w:rPr>
              <w:instrText xml:space="preserve"> PAGEREF _Toc220496113 \h </w:instrText>
            </w:r>
            <w:r>
              <w:rPr>
                <w:noProof/>
                <w:webHidden/>
              </w:rPr>
            </w:r>
            <w:r>
              <w:rPr>
                <w:noProof/>
                <w:webHidden/>
              </w:rPr>
              <w:fldChar w:fldCharType="separate"/>
            </w:r>
            <w:r>
              <w:rPr>
                <w:noProof/>
                <w:webHidden/>
              </w:rPr>
              <w:t>718</w:t>
            </w:r>
            <w:r>
              <w:rPr>
                <w:noProof/>
                <w:webHidden/>
              </w:rPr>
              <w:fldChar w:fldCharType="end"/>
            </w:r>
          </w:hyperlink>
        </w:p>
        <w:p w14:paraId="68575482" w14:textId="6E95A70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14" w:history="1">
            <w:r w:rsidRPr="00F45DCA">
              <w:rPr>
                <w:rStyle w:val="Lienhypertexte"/>
                <w:noProof/>
              </w:rPr>
              <w:t>22.84.2a Renforcements par modification de la section de poutres existantes CCTB 01.02</w:t>
            </w:r>
            <w:r>
              <w:rPr>
                <w:noProof/>
                <w:webHidden/>
              </w:rPr>
              <w:tab/>
            </w:r>
            <w:r>
              <w:rPr>
                <w:noProof/>
                <w:webHidden/>
              </w:rPr>
              <w:fldChar w:fldCharType="begin"/>
            </w:r>
            <w:r>
              <w:rPr>
                <w:noProof/>
                <w:webHidden/>
              </w:rPr>
              <w:instrText xml:space="preserve"> PAGEREF _Toc220496114 \h </w:instrText>
            </w:r>
            <w:r>
              <w:rPr>
                <w:noProof/>
                <w:webHidden/>
              </w:rPr>
            </w:r>
            <w:r>
              <w:rPr>
                <w:noProof/>
                <w:webHidden/>
              </w:rPr>
              <w:fldChar w:fldCharType="separate"/>
            </w:r>
            <w:r>
              <w:rPr>
                <w:noProof/>
                <w:webHidden/>
              </w:rPr>
              <w:t>718</w:t>
            </w:r>
            <w:r>
              <w:rPr>
                <w:noProof/>
                <w:webHidden/>
              </w:rPr>
              <w:fldChar w:fldCharType="end"/>
            </w:r>
          </w:hyperlink>
        </w:p>
        <w:p w14:paraId="7951EBF2" w14:textId="6A3F158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15" w:history="1">
            <w:r w:rsidRPr="00F45DCA">
              <w:rPr>
                <w:rStyle w:val="Lienhypertexte"/>
                <w:noProof/>
              </w:rPr>
              <w:t>22.84.3 Renforcements par insertions et scellements de barres CCTB 01.02</w:t>
            </w:r>
            <w:r>
              <w:rPr>
                <w:noProof/>
                <w:webHidden/>
              </w:rPr>
              <w:tab/>
            </w:r>
            <w:r>
              <w:rPr>
                <w:noProof/>
                <w:webHidden/>
              </w:rPr>
              <w:fldChar w:fldCharType="begin"/>
            </w:r>
            <w:r>
              <w:rPr>
                <w:noProof/>
                <w:webHidden/>
              </w:rPr>
              <w:instrText xml:space="preserve"> PAGEREF _Toc220496115 \h </w:instrText>
            </w:r>
            <w:r>
              <w:rPr>
                <w:noProof/>
                <w:webHidden/>
              </w:rPr>
            </w:r>
            <w:r>
              <w:rPr>
                <w:noProof/>
                <w:webHidden/>
              </w:rPr>
              <w:fldChar w:fldCharType="separate"/>
            </w:r>
            <w:r>
              <w:rPr>
                <w:noProof/>
                <w:webHidden/>
              </w:rPr>
              <w:t>718</w:t>
            </w:r>
            <w:r>
              <w:rPr>
                <w:noProof/>
                <w:webHidden/>
              </w:rPr>
              <w:fldChar w:fldCharType="end"/>
            </w:r>
          </w:hyperlink>
        </w:p>
        <w:p w14:paraId="56D59242" w14:textId="7A19133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16" w:history="1">
            <w:r w:rsidRPr="00F45DCA">
              <w:rPr>
                <w:rStyle w:val="Lienhypertexte"/>
                <w:noProof/>
              </w:rPr>
              <w:t>22.84.3a Scellements de barres en attente CCTB 01.02</w:t>
            </w:r>
            <w:r>
              <w:rPr>
                <w:noProof/>
                <w:webHidden/>
              </w:rPr>
              <w:tab/>
            </w:r>
            <w:r>
              <w:rPr>
                <w:noProof/>
                <w:webHidden/>
              </w:rPr>
              <w:fldChar w:fldCharType="begin"/>
            </w:r>
            <w:r>
              <w:rPr>
                <w:noProof/>
                <w:webHidden/>
              </w:rPr>
              <w:instrText xml:space="preserve"> PAGEREF _Toc220496116 \h </w:instrText>
            </w:r>
            <w:r>
              <w:rPr>
                <w:noProof/>
                <w:webHidden/>
              </w:rPr>
            </w:r>
            <w:r>
              <w:rPr>
                <w:noProof/>
                <w:webHidden/>
              </w:rPr>
              <w:fldChar w:fldCharType="separate"/>
            </w:r>
            <w:r>
              <w:rPr>
                <w:noProof/>
                <w:webHidden/>
              </w:rPr>
              <w:t>718</w:t>
            </w:r>
            <w:r>
              <w:rPr>
                <w:noProof/>
                <w:webHidden/>
              </w:rPr>
              <w:fldChar w:fldCharType="end"/>
            </w:r>
          </w:hyperlink>
        </w:p>
        <w:p w14:paraId="5A58C4D1" w14:textId="14F2DA6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17" w:history="1">
            <w:r w:rsidRPr="00F45DCA">
              <w:rPr>
                <w:rStyle w:val="Lienhypertexte"/>
                <w:noProof/>
              </w:rPr>
              <w:t>22.84.3b Ancrages de structures en béton CCTB 01.02</w:t>
            </w:r>
            <w:r>
              <w:rPr>
                <w:noProof/>
                <w:webHidden/>
              </w:rPr>
              <w:tab/>
            </w:r>
            <w:r>
              <w:rPr>
                <w:noProof/>
                <w:webHidden/>
              </w:rPr>
              <w:fldChar w:fldCharType="begin"/>
            </w:r>
            <w:r>
              <w:rPr>
                <w:noProof/>
                <w:webHidden/>
              </w:rPr>
              <w:instrText xml:space="preserve"> PAGEREF _Toc220496117 \h </w:instrText>
            </w:r>
            <w:r>
              <w:rPr>
                <w:noProof/>
                <w:webHidden/>
              </w:rPr>
            </w:r>
            <w:r>
              <w:rPr>
                <w:noProof/>
                <w:webHidden/>
              </w:rPr>
              <w:fldChar w:fldCharType="separate"/>
            </w:r>
            <w:r>
              <w:rPr>
                <w:noProof/>
                <w:webHidden/>
              </w:rPr>
              <w:t>718</w:t>
            </w:r>
            <w:r>
              <w:rPr>
                <w:noProof/>
                <w:webHidden/>
              </w:rPr>
              <w:fldChar w:fldCharType="end"/>
            </w:r>
          </w:hyperlink>
        </w:p>
        <w:p w14:paraId="1A8373C6" w14:textId="1CB576A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18" w:history="1">
            <w:r w:rsidRPr="00F45DCA">
              <w:rPr>
                <w:rStyle w:val="Lienhypertexte"/>
                <w:noProof/>
              </w:rPr>
              <w:t>22.84.3c Brochages de structures en béton CCTB 01.02</w:t>
            </w:r>
            <w:r>
              <w:rPr>
                <w:noProof/>
                <w:webHidden/>
              </w:rPr>
              <w:tab/>
            </w:r>
            <w:r>
              <w:rPr>
                <w:noProof/>
                <w:webHidden/>
              </w:rPr>
              <w:fldChar w:fldCharType="begin"/>
            </w:r>
            <w:r>
              <w:rPr>
                <w:noProof/>
                <w:webHidden/>
              </w:rPr>
              <w:instrText xml:space="preserve"> PAGEREF _Toc220496118 \h </w:instrText>
            </w:r>
            <w:r>
              <w:rPr>
                <w:noProof/>
                <w:webHidden/>
              </w:rPr>
            </w:r>
            <w:r>
              <w:rPr>
                <w:noProof/>
                <w:webHidden/>
              </w:rPr>
              <w:fldChar w:fldCharType="separate"/>
            </w:r>
            <w:r>
              <w:rPr>
                <w:noProof/>
                <w:webHidden/>
              </w:rPr>
              <w:t>718</w:t>
            </w:r>
            <w:r>
              <w:rPr>
                <w:noProof/>
                <w:webHidden/>
              </w:rPr>
              <w:fldChar w:fldCharType="end"/>
            </w:r>
          </w:hyperlink>
        </w:p>
        <w:p w14:paraId="3FFD3158" w14:textId="063546E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19" w:history="1">
            <w:r w:rsidRPr="00F45DCA">
              <w:rPr>
                <w:rStyle w:val="Lienhypertexte"/>
                <w:noProof/>
              </w:rPr>
              <w:t>22.84.3d Agrafages de structures en béton CCTB 01.02</w:t>
            </w:r>
            <w:r>
              <w:rPr>
                <w:noProof/>
                <w:webHidden/>
              </w:rPr>
              <w:tab/>
            </w:r>
            <w:r>
              <w:rPr>
                <w:noProof/>
                <w:webHidden/>
              </w:rPr>
              <w:fldChar w:fldCharType="begin"/>
            </w:r>
            <w:r>
              <w:rPr>
                <w:noProof/>
                <w:webHidden/>
              </w:rPr>
              <w:instrText xml:space="preserve"> PAGEREF _Toc220496119 \h </w:instrText>
            </w:r>
            <w:r>
              <w:rPr>
                <w:noProof/>
                <w:webHidden/>
              </w:rPr>
            </w:r>
            <w:r>
              <w:rPr>
                <w:noProof/>
                <w:webHidden/>
              </w:rPr>
              <w:fldChar w:fldCharType="separate"/>
            </w:r>
            <w:r>
              <w:rPr>
                <w:noProof/>
                <w:webHidden/>
              </w:rPr>
              <w:t>718</w:t>
            </w:r>
            <w:r>
              <w:rPr>
                <w:noProof/>
                <w:webHidden/>
              </w:rPr>
              <w:fldChar w:fldCharType="end"/>
            </w:r>
          </w:hyperlink>
        </w:p>
        <w:p w14:paraId="6F5AE292" w14:textId="6C64BEE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20" w:history="1">
            <w:r w:rsidRPr="00F45DCA">
              <w:rPr>
                <w:rStyle w:val="Lienhypertexte"/>
                <w:noProof/>
              </w:rPr>
              <w:t>22.84.3e Epinglages de structures en béton CCTB 01.02</w:t>
            </w:r>
            <w:r>
              <w:rPr>
                <w:noProof/>
                <w:webHidden/>
              </w:rPr>
              <w:tab/>
            </w:r>
            <w:r>
              <w:rPr>
                <w:noProof/>
                <w:webHidden/>
              </w:rPr>
              <w:fldChar w:fldCharType="begin"/>
            </w:r>
            <w:r>
              <w:rPr>
                <w:noProof/>
                <w:webHidden/>
              </w:rPr>
              <w:instrText xml:space="preserve"> PAGEREF _Toc220496120 \h </w:instrText>
            </w:r>
            <w:r>
              <w:rPr>
                <w:noProof/>
                <w:webHidden/>
              </w:rPr>
            </w:r>
            <w:r>
              <w:rPr>
                <w:noProof/>
                <w:webHidden/>
              </w:rPr>
              <w:fldChar w:fldCharType="separate"/>
            </w:r>
            <w:r>
              <w:rPr>
                <w:noProof/>
                <w:webHidden/>
              </w:rPr>
              <w:t>718</w:t>
            </w:r>
            <w:r>
              <w:rPr>
                <w:noProof/>
                <w:webHidden/>
              </w:rPr>
              <w:fldChar w:fldCharType="end"/>
            </w:r>
          </w:hyperlink>
        </w:p>
        <w:p w14:paraId="0CB2E092" w14:textId="7760029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21" w:history="1">
            <w:r w:rsidRPr="00F45DCA">
              <w:rPr>
                <w:rStyle w:val="Lienhypertexte"/>
                <w:noProof/>
              </w:rPr>
              <w:t>22.84.4 Renforcements par collage d'armatures CCTB 01.02</w:t>
            </w:r>
            <w:r>
              <w:rPr>
                <w:noProof/>
                <w:webHidden/>
              </w:rPr>
              <w:tab/>
            </w:r>
            <w:r>
              <w:rPr>
                <w:noProof/>
                <w:webHidden/>
              </w:rPr>
              <w:fldChar w:fldCharType="begin"/>
            </w:r>
            <w:r>
              <w:rPr>
                <w:noProof/>
                <w:webHidden/>
              </w:rPr>
              <w:instrText xml:space="preserve"> PAGEREF _Toc220496121 \h </w:instrText>
            </w:r>
            <w:r>
              <w:rPr>
                <w:noProof/>
                <w:webHidden/>
              </w:rPr>
            </w:r>
            <w:r>
              <w:rPr>
                <w:noProof/>
                <w:webHidden/>
              </w:rPr>
              <w:fldChar w:fldCharType="separate"/>
            </w:r>
            <w:r>
              <w:rPr>
                <w:noProof/>
                <w:webHidden/>
              </w:rPr>
              <w:t>718</w:t>
            </w:r>
            <w:r>
              <w:rPr>
                <w:noProof/>
                <w:webHidden/>
              </w:rPr>
              <w:fldChar w:fldCharType="end"/>
            </w:r>
          </w:hyperlink>
        </w:p>
        <w:p w14:paraId="455DF94F" w14:textId="65B7A1F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22" w:history="1">
            <w:r w:rsidRPr="00F45DCA">
              <w:rPr>
                <w:rStyle w:val="Lienhypertexte"/>
                <w:noProof/>
              </w:rPr>
              <w:t>22.84.4a Ajouts d'armatures collées en acier CCTB 01.02</w:t>
            </w:r>
            <w:r>
              <w:rPr>
                <w:noProof/>
                <w:webHidden/>
              </w:rPr>
              <w:tab/>
            </w:r>
            <w:r>
              <w:rPr>
                <w:noProof/>
                <w:webHidden/>
              </w:rPr>
              <w:fldChar w:fldCharType="begin"/>
            </w:r>
            <w:r>
              <w:rPr>
                <w:noProof/>
                <w:webHidden/>
              </w:rPr>
              <w:instrText xml:space="preserve"> PAGEREF _Toc220496122 \h </w:instrText>
            </w:r>
            <w:r>
              <w:rPr>
                <w:noProof/>
                <w:webHidden/>
              </w:rPr>
            </w:r>
            <w:r>
              <w:rPr>
                <w:noProof/>
                <w:webHidden/>
              </w:rPr>
              <w:fldChar w:fldCharType="separate"/>
            </w:r>
            <w:r>
              <w:rPr>
                <w:noProof/>
                <w:webHidden/>
              </w:rPr>
              <w:t>718</w:t>
            </w:r>
            <w:r>
              <w:rPr>
                <w:noProof/>
                <w:webHidden/>
              </w:rPr>
              <w:fldChar w:fldCharType="end"/>
            </w:r>
          </w:hyperlink>
        </w:p>
        <w:p w14:paraId="41323559" w14:textId="7E77EAA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23" w:history="1">
            <w:r w:rsidRPr="00F45DCA">
              <w:rPr>
                <w:rStyle w:val="Lienhypertexte"/>
                <w:noProof/>
              </w:rPr>
              <w:t>22.84.4b Ajouts d'armatures collées en fibres de carbone CCTB 01.02</w:t>
            </w:r>
            <w:r>
              <w:rPr>
                <w:noProof/>
                <w:webHidden/>
              </w:rPr>
              <w:tab/>
            </w:r>
            <w:r>
              <w:rPr>
                <w:noProof/>
                <w:webHidden/>
              </w:rPr>
              <w:fldChar w:fldCharType="begin"/>
            </w:r>
            <w:r>
              <w:rPr>
                <w:noProof/>
                <w:webHidden/>
              </w:rPr>
              <w:instrText xml:space="preserve"> PAGEREF _Toc220496123 \h </w:instrText>
            </w:r>
            <w:r>
              <w:rPr>
                <w:noProof/>
                <w:webHidden/>
              </w:rPr>
            </w:r>
            <w:r>
              <w:rPr>
                <w:noProof/>
                <w:webHidden/>
              </w:rPr>
              <w:fldChar w:fldCharType="separate"/>
            </w:r>
            <w:r>
              <w:rPr>
                <w:noProof/>
                <w:webHidden/>
              </w:rPr>
              <w:t>718</w:t>
            </w:r>
            <w:r>
              <w:rPr>
                <w:noProof/>
                <w:webHidden/>
              </w:rPr>
              <w:fldChar w:fldCharType="end"/>
            </w:r>
          </w:hyperlink>
        </w:p>
        <w:p w14:paraId="3E357584" w14:textId="2F5131F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24" w:history="1">
            <w:r w:rsidRPr="00F45DCA">
              <w:rPr>
                <w:rStyle w:val="Lienhypertexte"/>
                <w:noProof/>
              </w:rPr>
              <w:t>22.84.4c Systèmes d'armatures précontraintes collées CCTB 01.02</w:t>
            </w:r>
            <w:r>
              <w:rPr>
                <w:noProof/>
                <w:webHidden/>
              </w:rPr>
              <w:tab/>
            </w:r>
            <w:r>
              <w:rPr>
                <w:noProof/>
                <w:webHidden/>
              </w:rPr>
              <w:fldChar w:fldCharType="begin"/>
            </w:r>
            <w:r>
              <w:rPr>
                <w:noProof/>
                <w:webHidden/>
              </w:rPr>
              <w:instrText xml:space="preserve"> PAGEREF _Toc220496124 \h </w:instrText>
            </w:r>
            <w:r>
              <w:rPr>
                <w:noProof/>
                <w:webHidden/>
              </w:rPr>
            </w:r>
            <w:r>
              <w:rPr>
                <w:noProof/>
                <w:webHidden/>
              </w:rPr>
              <w:fldChar w:fldCharType="separate"/>
            </w:r>
            <w:r>
              <w:rPr>
                <w:noProof/>
                <w:webHidden/>
              </w:rPr>
              <w:t>718</w:t>
            </w:r>
            <w:r>
              <w:rPr>
                <w:noProof/>
                <w:webHidden/>
              </w:rPr>
              <w:fldChar w:fldCharType="end"/>
            </w:r>
          </w:hyperlink>
        </w:p>
        <w:p w14:paraId="23EA2F28" w14:textId="6EF94BB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25" w:history="1">
            <w:r w:rsidRPr="00F45DCA">
              <w:rPr>
                <w:rStyle w:val="Lienhypertexte"/>
                <w:noProof/>
              </w:rPr>
              <w:t>22.84.4d Renforcements par moulages composites CCTB 01.02</w:t>
            </w:r>
            <w:r>
              <w:rPr>
                <w:noProof/>
                <w:webHidden/>
              </w:rPr>
              <w:tab/>
            </w:r>
            <w:r>
              <w:rPr>
                <w:noProof/>
                <w:webHidden/>
              </w:rPr>
              <w:fldChar w:fldCharType="begin"/>
            </w:r>
            <w:r>
              <w:rPr>
                <w:noProof/>
                <w:webHidden/>
              </w:rPr>
              <w:instrText xml:space="preserve"> PAGEREF _Toc220496125 \h </w:instrText>
            </w:r>
            <w:r>
              <w:rPr>
                <w:noProof/>
                <w:webHidden/>
              </w:rPr>
            </w:r>
            <w:r>
              <w:rPr>
                <w:noProof/>
                <w:webHidden/>
              </w:rPr>
              <w:fldChar w:fldCharType="separate"/>
            </w:r>
            <w:r>
              <w:rPr>
                <w:noProof/>
                <w:webHidden/>
              </w:rPr>
              <w:t>718</w:t>
            </w:r>
            <w:r>
              <w:rPr>
                <w:noProof/>
                <w:webHidden/>
              </w:rPr>
              <w:fldChar w:fldCharType="end"/>
            </w:r>
          </w:hyperlink>
        </w:p>
        <w:p w14:paraId="6A1FE214" w14:textId="3AA928C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26" w:history="1">
            <w:r w:rsidRPr="00F45DCA">
              <w:rPr>
                <w:rStyle w:val="Lienhypertexte"/>
                <w:noProof/>
              </w:rPr>
              <w:t>22.84.5 Renforcements par ajout d'éléments structuraux INTERNES CCTB 01.04</w:t>
            </w:r>
            <w:r>
              <w:rPr>
                <w:noProof/>
                <w:webHidden/>
              </w:rPr>
              <w:tab/>
            </w:r>
            <w:r>
              <w:rPr>
                <w:noProof/>
                <w:webHidden/>
              </w:rPr>
              <w:fldChar w:fldCharType="begin"/>
            </w:r>
            <w:r>
              <w:rPr>
                <w:noProof/>
                <w:webHidden/>
              </w:rPr>
              <w:instrText xml:space="preserve"> PAGEREF _Toc220496126 \h </w:instrText>
            </w:r>
            <w:r>
              <w:rPr>
                <w:noProof/>
                <w:webHidden/>
              </w:rPr>
            </w:r>
            <w:r>
              <w:rPr>
                <w:noProof/>
                <w:webHidden/>
              </w:rPr>
              <w:fldChar w:fldCharType="separate"/>
            </w:r>
            <w:r>
              <w:rPr>
                <w:noProof/>
                <w:webHidden/>
              </w:rPr>
              <w:t>718</w:t>
            </w:r>
            <w:r>
              <w:rPr>
                <w:noProof/>
                <w:webHidden/>
              </w:rPr>
              <w:fldChar w:fldCharType="end"/>
            </w:r>
          </w:hyperlink>
        </w:p>
        <w:p w14:paraId="6430FD38" w14:textId="3787680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27" w:history="1">
            <w:r w:rsidRPr="00F45DCA">
              <w:rPr>
                <w:rStyle w:val="Lienhypertexte"/>
                <w:noProof/>
              </w:rPr>
              <w:t>22.84.5a Renforcements par ajout d'armatures complémentaires CCTB 01.02</w:t>
            </w:r>
            <w:r>
              <w:rPr>
                <w:noProof/>
                <w:webHidden/>
              </w:rPr>
              <w:tab/>
            </w:r>
            <w:r>
              <w:rPr>
                <w:noProof/>
                <w:webHidden/>
              </w:rPr>
              <w:fldChar w:fldCharType="begin"/>
            </w:r>
            <w:r>
              <w:rPr>
                <w:noProof/>
                <w:webHidden/>
              </w:rPr>
              <w:instrText xml:space="preserve"> PAGEREF _Toc220496127 \h </w:instrText>
            </w:r>
            <w:r>
              <w:rPr>
                <w:noProof/>
                <w:webHidden/>
              </w:rPr>
            </w:r>
            <w:r>
              <w:rPr>
                <w:noProof/>
                <w:webHidden/>
              </w:rPr>
              <w:fldChar w:fldCharType="separate"/>
            </w:r>
            <w:r>
              <w:rPr>
                <w:noProof/>
                <w:webHidden/>
              </w:rPr>
              <w:t>718</w:t>
            </w:r>
            <w:r>
              <w:rPr>
                <w:noProof/>
                <w:webHidden/>
              </w:rPr>
              <w:fldChar w:fldCharType="end"/>
            </w:r>
          </w:hyperlink>
        </w:p>
        <w:p w14:paraId="466F3305" w14:textId="48D8018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28" w:history="1">
            <w:r w:rsidRPr="00F45DCA">
              <w:rPr>
                <w:rStyle w:val="Lienhypertexte"/>
                <w:noProof/>
              </w:rPr>
              <w:t>22.84.6 Renforcements par ajout d'éléments structuraux EXTERNES CCTB 01.04</w:t>
            </w:r>
            <w:r>
              <w:rPr>
                <w:noProof/>
                <w:webHidden/>
              </w:rPr>
              <w:tab/>
            </w:r>
            <w:r>
              <w:rPr>
                <w:noProof/>
                <w:webHidden/>
              </w:rPr>
              <w:fldChar w:fldCharType="begin"/>
            </w:r>
            <w:r>
              <w:rPr>
                <w:noProof/>
                <w:webHidden/>
              </w:rPr>
              <w:instrText xml:space="preserve"> PAGEREF _Toc220496128 \h </w:instrText>
            </w:r>
            <w:r>
              <w:rPr>
                <w:noProof/>
                <w:webHidden/>
              </w:rPr>
            </w:r>
            <w:r>
              <w:rPr>
                <w:noProof/>
                <w:webHidden/>
              </w:rPr>
              <w:fldChar w:fldCharType="separate"/>
            </w:r>
            <w:r>
              <w:rPr>
                <w:noProof/>
                <w:webHidden/>
              </w:rPr>
              <w:t>718</w:t>
            </w:r>
            <w:r>
              <w:rPr>
                <w:noProof/>
                <w:webHidden/>
              </w:rPr>
              <w:fldChar w:fldCharType="end"/>
            </w:r>
          </w:hyperlink>
        </w:p>
        <w:p w14:paraId="33053350" w14:textId="401A9D8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29" w:history="1">
            <w:r w:rsidRPr="00F45DCA">
              <w:rPr>
                <w:rStyle w:val="Lienhypertexte"/>
                <w:noProof/>
              </w:rPr>
              <w:t>22.84.6a Ajouts de tirants métalliques externes CCTB 01.02</w:t>
            </w:r>
            <w:r>
              <w:rPr>
                <w:noProof/>
                <w:webHidden/>
              </w:rPr>
              <w:tab/>
            </w:r>
            <w:r>
              <w:rPr>
                <w:noProof/>
                <w:webHidden/>
              </w:rPr>
              <w:fldChar w:fldCharType="begin"/>
            </w:r>
            <w:r>
              <w:rPr>
                <w:noProof/>
                <w:webHidden/>
              </w:rPr>
              <w:instrText xml:space="preserve"> PAGEREF _Toc220496129 \h </w:instrText>
            </w:r>
            <w:r>
              <w:rPr>
                <w:noProof/>
                <w:webHidden/>
              </w:rPr>
            </w:r>
            <w:r>
              <w:rPr>
                <w:noProof/>
                <w:webHidden/>
              </w:rPr>
              <w:fldChar w:fldCharType="separate"/>
            </w:r>
            <w:r>
              <w:rPr>
                <w:noProof/>
                <w:webHidden/>
              </w:rPr>
              <w:t>718</w:t>
            </w:r>
            <w:r>
              <w:rPr>
                <w:noProof/>
                <w:webHidden/>
              </w:rPr>
              <w:fldChar w:fldCharType="end"/>
            </w:r>
          </w:hyperlink>
        </w:p>
        <w:p w14:paraId="698E5E80" w14:textId="622EAD5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30" w:history="1">
            <w:r w:rsidRPr="00F45DCA">
              <w:rPr>
                <w:rStyle w:val="Lienhypertexte"/>
                <w:noProof/>
              </w:rPr>
              <w:t>22.84.6b Renforcements par ajout de profils métalliques externes boulonnés CCTB 01.02</w:t>
            </w:r>
            <w:r>
              <w:rPr>
                <w:noProof/>
                <w:webHidden/>
              </w:rPr>
              <w:tab/>
            </w:r>
            <w:r>
              <w:rPr>
                <w:noProof/>
                <w:webHidden/>
              </w:rPr>
              <w:fldChar w:fldCharType="begin"/>
            </w:r>
            <w:r>
              <w:rPr>
                <w:noProof/>
                <w:webHidden/>
              </w:rPr>
              <w:instrText xml:space="preserve"> PAGEREF _Toc220496130 \h </w:instrText>
            </w:r>
            <w:r>
              <w:rPr>
                <w:noProof/>
                <w:webHidden/>
              </w:rPr>
            </w:r>
            <w:r>
              <w:rPr>
                <w:noProof/>
                <w:webHidden/>
              </w:rPr>
              <w:fldChar w:fldCharType="separate"/>
            </w:r>
            <w:r>
              <w:rPr>
                <w:noProof/>
                <w:webHidden/>
              </w:rPr>
              <w:t>718</w:t>
            </w:r>
            <w:r>
              <w:rPr>
                <w:noProof/>
                <w:webHidden/>
              </w:rPr>
              <w:fldChar w:fldCharType="end"/>
            </w:r>
          </w:hyperlink>
        </w:p>
        <w:p w14:paraId="15CC378F" w14:textId="720ADD3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31" w:history="1">
            <w:r w:rsidRPr="00F45DCA">
              <w:rPr>
                <w:rStyle w:val="Lienhypertexte"/>
                <w:noProof/>
              </w:rPr>
              <w:t>22.84.6c Réalisations de postcontrainte extérieure CCTB 01.02</w:t>
            </w:r>
            <w:r>
              <w:rPr>
                <w:noProof/>
                <w:webHidden/>
              </w:rPr>
              <w:tab/>
            </w:r>
            <w:r>
              <w:rPr>
                <w:noProof/>
                <w:webHidden/>
              </w:rPr>
              <w:fldChar w:fldCharType="begin"/>
            </w:r>
            <w:r>
              <w:rPr>
                <w:noProof/>
                <w:webHidden/>
              </w:rPr>
              <w:instrText xml:space="preserve"> PAGEREF _Toc220496131 \h </w:instrText>
            </w:r>
            <w:r>
              <w:rPr>
                <w:noProof/>
                <w:webHidden/>
              </w:rPr>
            </w:r>
            <w:r>
              <w:rPr>
                <w:noProof/>
                <w:webHidden/>
              </w:rPr>
              <w:fldChar w:fldCharType="separate"/>
            </w:r>
            <w:r>
              <w:rPr>
                <w:noProof/>
                <w:webHidden/>
              </w:rPr>
              <w:t>718</w:t>
            </w:r>
            <w:r>
              <w:rPr>
                <w:noProof/>
                <w:webHidden/>
              </w:rPr>
              <w:fldChar w:fldCharType="end"/>
            </w:r>
          </w:hyperlink>
        </w:p>
        <w:p w14:paraId="567C215F" w14:textId="03FC008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32" w:history="1">
            <w:r w:rsidRPr="00F45DCA">
              <w:rPr>
                <w:rStyle w:val="Lienhypertexte"/>
                <w:noProof/>
              </w:rPr>
              <w:t>22.84.6d Structures de délestage autour d'une structure existante CCTB 01.04</w:t>
            </w:r>
            <w:r>
              <w:rPr>
                <w:noProof/>
                <w:webHidden/>
              </w:rPr>
              <w:tab/>
            </w:r>
            <w:r>
              <w:rPr>
                <w:noProof/>
                <w:webHidden/>
              </w:rPr>
              <w:fldChar w:fldCharType="begin"/>
            </w:r>
            <w:r>
              <w:rPr>
                <w:noProof/>
                <w:webHidden/>
              </w:rPr>
              <w:instrText xml:space="preserve"> PAGEREF _Toc220496132 \h </w:instrText>
            </w:r>
            <w:r>
              <w:rPr>
                <w:noProof/>
                <w:webHidden/>
              </w:rPr>
            </w:r>
            <w:r>
              <w:rPr>
                <w:noProof/>
                <w:webHidden/>
              </w:rPr>
              <w:fldChar w:fldCharType="separate"/>
            </w:r>
            <w:r>
              <w:rPr>
                <w:noProof/>
                <w:webHidden/>
              </w:rPr>
              <w:t>719</w:t>
            </w:r>
            <w:r>
              <w:rPr>
                <w:noProof/>
                <w:webHidden/>
              </w:rPr>
              <w:fldChar w:fldCharType="end"/>
            </w:r>
          </w:hyperlink>
        </w:p>
        <w:p w14:paraId="73190ABB" w14:textId="1C7A165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133" w:history="1">
            <w:r w:rsidRPr="00F45DCA">
              <w:rPr>
                <w:rStyle w:val="Lienhypertexte"/>
                <w:noProof/>
              </w:rPr>
              <w:t>22.85 Adaptations CCTB 01.02</w:t>
            </w:r>
            <w:r>
              <w:rPr>
                <w:noProof/>
                <w:webHidden/>
              </w:rPr>
              <w:tab/>
            </w:r>
            <w:r>
              <w:rPr>
                <w:noProof/>
                <w:webHidden/>
              </w:rPr>
              <w:fldChar w:fldCharType="begin"/>
            </w:r>
            <w:r>
              <w:rPr>
                <w:noProof/>
                <w:webHidden/>
              </w:rPr>
              <w:instrText xml:space="preserve"> PAGEREF _Toc220496133 \h </w:instrText>
            </w:r>
            <w:r>
              <w:rPr>
                <w:noProof/>
                <w:webHidden/>
              </w:rPr>
            </w:r>
            <w:r>
              <w:rPr>
                <w:noProof/>
                <w:webHidden/>
              </w:rPr>
              <w:fldChar w:fldCharType="separate"/>
            </w:r>
            <w:r>
              <w:rPr>
                <w:noProof/>
                <w:webHidden/>
              </w:rPr>
              <w:t>719</w:t>
            </w:r>
            <w:r>
              <w:rPr>
                <w:noProof/>
                <w:webHidden/>
              </w:rPr>
              <w:fldChar w:fldCharType="end"/>
            </w:r>
          </w:hyperlink>
        </w:p>
        <w:p w14:paraId="22BDA43E" w14:textId="08DF0CF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34" w:history="1">
            <w:r w:rsidRPr="00F45DCA">
              <w:rPr>
                <w:rStyle w:val="Lienhypertexte"/>
                <w:noProof/>
              </w:rPr>
              <w:t>22.85.1 Adaptations de structures en béton pour baies / passages CCTB 01.02</w:t>
            </w:r>
            <w:r>
              <w:rPr>
                <w:noProof/>
                <w:webHidden/>
              </w:rPr>
              <w:tab/>
            </w:r>
            <w:r>
              <w:rPr>
                <w:noProof/>
                <w:webHidden/>
              </w:rPr>
              <w:fldChar w:fldCharType="begin"/>
            </w:r>
            <w:r>
              <w:rPr>
                <w:noProof/>
                <w:webHidden/>
              </w:rPr>
              <w:instrText xml:space="preserve"> PAGEREF _Toc220496134 \h </w:instrText>
            </w:r>
            <w:r>
              <w:rPr>
                <w:noProof/>
                <w:webHidden/>
              </w:rPr>
            </w:r>
            <w:r>
              <w:rPr>
                <w:noProof/>
                <w:webHidden/>
              </w:rPr>
              <w:fldChar w:fldCharType="separate"/>
            </w:r>
            <w:r>
              <w:rPr>
                <w:noProof/>
                <w:webHidden/>
              </w:rPr>
              <w:t>719</w:t>
            </w:r>
            <w:r>
              <w:rPr>
                <w:noProof/>
                <w:webHidden/>
              </w:rPr>
              <w:fldChar w:fldCharType="end"/>
            </w:r>
          </w:hyperlink>
        </w:p>
        <w:p w14:paraId="60529F2F" w14:textId="520B745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35" w:history="1">
            <w:r w:rsidRPr="00F45DCA">
              <w:rPr>
                <w:rStyle w:val="Lienhypertexte"/>
                <w:noProof/>
              </w:rPr>
              <w:t>22.85.1a Créations de baies dans structures en béton CCTB 01.04</w:t>
            </w:r>
            <w:r>
              <w:rPr>
                <w:noProof/>
                <w:webHidden/>
              </w:rPr>
              <w:tab/>
            </w:r>
            <w:r>
              <w:rPr>
                <w:noProof/>
                <w:webHidden/>
              </w:rPr>
              <w:fldChar w:fldCharType="begin"/>
            </w:r>
            <w:r>
              <w:rPr>
                <w:noProof/>
                <w:webHidden/>
              </w:rPr>
              <w:instrText xml:space="preserve"> PAGEREF _Toc220496135 \h </w:instrText>
            </w:r>
            <w:r>
              <w:rPr>
                <w:noProof/>
                <w:webHidden/>
              </w:rPr>
            </w:r>
            <w:r>
              <w:rPr>
                <w:noProof/>
                <w:webHidden/>
              </w:rPr>
              <w:fldChar w:fldCharType="separate"/>
            </w:r>
            <w:r>
              <w:rPr>
                <w:noProof/>
                <w:webHidden/>
              </w:rPr>
              <w:t>719</w:t>
            </w:r>
            <w:r>
              <w:rPr>
                <w:noProof/>
                <w:webHidden/>
              </w:rPr>
              <w:fldChar w:fldCharType="end"/>
            </w:r>
          </w:hyperlink>
        </w:p>
        <w:p w14:paraId="5CB1C4E9" w14:textId="62AF793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36" w:history="1">
            <w:r w:rsidRPr="00F45DCA">
              <w:rPr>
                <w:rStyle w:val="Lienhypertexte"/>
                <w:noProof/>
              </w:rPr>
              <w:t>22.85.1b Adaptations dimensionnelles de baies existantes dans structures en béton CCTB 01.04</w:t>
            </w:r>
            <w:r>
              <w:rPr>
                <w:noProof/>
                <w:webHidden/>
              </w:rPr>
              <w:tab/>
            </w:r>
            <w:r>
              <w:rPr>
                <w:noProof/>
                <w:webHidden/>
              </w:rPr>
              <w:fldChar w:fldCharType="begin"/>
            </w:r>
            <w:r>
              <w:rPr>
                <w:noProof/>
                <w:webHidden/>
              </w:rPr>
              <w:instrText xml:space="preserve"> PAGEREF _Toc220496136 \h </w:instrText>
            </w:r>
            <w:r>
              <w:rPr>
                <w:noProof/>
                <w:webHidden/>
              </w:rPr>
            </w:r>
            <w:r>
              <w:rPr>
                <w:noProof/>
                <w:webHidden/>
              </w:rPr>
              <w:fldChar w:fldCharType="separate"/>
            </w:r>
            <w:r>
              <w:rPr>
                <w:noProof/>
                <w:webHidden/>
              </w:rPr>
              <w:t>719</w:t>
            </w:r>
            <w:r>
              <w:rPr>
                <w:noProof/>
                <w:webHidden/>
              </w:rPr>
              <w:fldChar w:fldCharType="end"/>
            </w:r>
          </w:hyperlink>
        </w:p>
        <w:p w14:paraId="2ADBFBA2" w14:textId="4922886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37" w:history="1">
            <w:r w:rsidRPr="00F45DCA">
              <w:rPr>
                <w:rStyle w:val="Lienhypertexte"/>
                <w:noProof/>
              </w:rPr>
              <w:t>22.85.1c Obturations de baies existantes dans structures en béton CCTB 01.02</w:t>
            </w:r>
            <w:r>
              <w:rPr>
                <w:noProof/>
                <w:webHidden/>
              </w:rPr>
              <w:tab/>
            </w:r>
            <w:r>
              <w:rPr>
                <w:noProof/>
                <w:webHidden/>
              </w:rPr>
              <w:fldChar w:fldCharType="begin"/>
            </w:r>
            <w:r>
              <w:rPr>
                <w:noProof/>
                <w:webHidden/>
              </w:rPr>
              <w:instrText xml:space="preserve"> PAGEREF _Toc220496137 \h </w:instrText>
            </w:r>
            <w:r>
              <w:rPr>
                <w:noProof/>
                <w:webHidden/>
              </w:rPr>
            </w:r>
            <w:r>
              <w:rPr>
                <w:noProof/>
                <w:webHidden/>
              </w:rPr>
              <w:fldChar w:fldCharType="separate"/>
            </w:r>
            <w:r>
              <w:rPr>
                <w:noProof/>
                <w:webHidden/>
              </w:rPr>
              <w:t>719</w:t>
            </w:r>
            <w:r>
              <w:rPr>
                <w:noProof/>
                <w:webHidden/>
              </w:rPr>
              <w:fldChar w:fldCharType="end"/>
            </w:r>
          </w:hyperlink>
        </w:p>
        <w:p w14:paraId="54513949" w14:textId="2DB1EFC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138" w:history="1">
            <w:r w:rsidRPr="00F45DCA">
              <w:rPr>
                <w:rStyle w:val="Lienhypertexte"/>
                <w:noProof/>
              </w:rPr>
              <w:t>22.86 Reposes / remplacements (à l'identique) CCTB 01.02</w:t>
            </w:r>
            <w:r>
              <w:rPr>
                <w:noProof/>
                <w:webHidden/>
              </w:rPr>
              <w:tab/>
            </w:r>
            <w:r>
              <w:rPr>
                <w:noProof/>
                <w:webHidden/>
              </w:rPr>
              <w:fldChar w:fldCharType="begin"/>
            </w:r>
            <w:r>
              <w:rPr>
                <w:noProof/>
                <w:webHidden/>
              </w:rPr>
              <w:instrText xml:space="preserve"> PAGEREF _Toc220496138 \h </w:instrText>
            </w:r>
            <w:r>
              <w:rPr>
                <w:noProof/>
                <w:webHidden/>
              </w:rPr>
            </w:r>
            <w:r>
              <w:rPr>
                <w:noProof/>
                <w:webHidden/>
              </w:rPr>
              <w:fldChar w:fldCharType="separate"/>
            </w:r>
            <w:r>
              <w:rPr>
                <w:noProof/>
                <w:webHidden/>
              </w:rPr>
              <w:t>719</w:t>
            </w:r>
            <w:r>
              <w:rPr>
                <w:noProof/>
                <w:webHidden/>
              </w:rPr>
              <w:fldChar w:fldCharType="end"/>
            </w:r>
          </w:hyperlink>
        </w:p>
        <w:p w14:paraId="4B0F91A4" w14:textId="397654D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39" w:history="1">
            <w:r w:rsidRPr="00F45DCA">
              <w:rPr>
                <w:rStyle w:val="Lienhypertexte"/>
                <w:noProof/>
              </w:rPr>
              <w:t>22.86.1 Reposes d'éléments récupérés CCTB 01.02</w:t>
            </w:r>
            <w:r>
              <w:rPr>
                <w:noProof/>
                <w:webHidden/>
              </w:rPr>
              <w:tab/>
            </w:r>
            <w:r>
              <w:rPr>
                <w:noProof/>
                <w:webHidden/>
              </w:rPr>
              <w:fldChar w:fldCharType="begin"/>
            </w:r>
            <w:r>
              <w:rPr>
                <w:noProof/>
                <w:webHidden/>
              </w:rPr>
              <w:instrText xml:space="preserve"> PAGEREF _Toc220496139 \h </w:instrText>
            </w:r>
            <w:r>
              <w:rPr>
                <w:noProof/>
                <w:webHidden/>
              </w:rPr>
            </w:r>
            <w:r>
              <w:rPr>
                <w:noProof/>
                <w:webHidden/>
              </w:rPr>
              <w:fldChar w:fldCharType="separate"/>
            </w:r>
            <w:r>
              <w:rPr>
                <w:noProof/>
                <w:webHidden/>
              </w:rPr>
              <w:t>719</w:t>
            </w:r>
            <w:r>
              <w:rPr>
                <w:noProof/>
                <w:webHidden/>
              </w:rPr>
              <w:fldChar w:fldCharType="end"/>
            </w:r>
          </w:hyperlink>
        </w:p>
        <w:p w14:paraId="2F531E8A" w14:textId="3A119EC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40" w:history="1">
            <w:r w:rsidRPr="00F45DCA">
              <w:rPr>
                <w:rStyle w:val="Lienhypertexte"/>
                <w:noProof/>
              </w:rPr>
              <w:t>22.86.1a Reposes d'éléments de structures en béton récupérés CCTB 01.02</w:t>
            </w:r>
            <w:r>
              <w:rPr>
                <w:noProof/>
                <w:webHidden/>
              </w:rPr>
              <w:tab/>
            </w:r>
            <w:r>
              <w:rPr>
                <w:noProof/>
                <w:webHidden/>
              </w:rPr>
              <w:fldChar w:fldCharType="begin"/>
            </w:r>
            <w:r>
              <w:rPr>
                <w:noProof/>
                <w:webHidden/>
              </w:rPr>
              <w:instrText xml:space="preserve"> PAGEREF _Toc220496140 \h </w:instrText>
            </w:r>
            <w:r>
              <w:rPr>
                <w:noProof/>
                <w:webHidden/>
              </w:rPr>
            </w:r>
            <w:r>
              <w:rPr>
                <w:noProof/>
                <w:webHidden/>
              </w:rPr>
              <w:fldChar w:fldCharType="separate"/>
            </w:r>
            <w:r>
              <w:rPr>
                <w:noProof/>
                <w:webHidden/>
              </w:rPr>
              <w:t>719</w:t>
            </w:r>
            <w:r>
              <w:rPr>
                <w:noProof/>
                <w:webHidden/>
              </w:rPr>
              <w:fldChar w:fldCharType="end"/>
            </w:r>
          </w:hyperlink>
        </w:p>
        <w:p w14:paraId="22C7656F" w14:textId="69EC2B1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41" w:history="1">
            <w:r w:rsidRPr="00F45DCA">
              <w:rPr>
                <w:rStyle w:val="Lienhypertexte"/>
                <w:noProof/>
              </w:rPr>
              <w:t>22.86.2 Remplacements complets à l'identique de structures en béton CCTB 01.04</w:t>
            </w:r>
            <w:r>
              <w:rPr>
                <w:noProof/>
                <w:webHidden/>
              </w:rPr>
              <w:tab/>
            </w:r>
            <w:r>
              <w:rPr>
                <w:noProof/>
                <w:webHidden/>
              </w:rPr>
              <w:fldChar w:fldCharType="begin"/>
            </w:r>
            <w:r>
              <w:rPr>
                <w:noProof/>
                <w:webHidden/>
              </w:rPr>
              <w:instrText xml:space="preserve"> PAGEREF _Toc220496141 \h </w:instrText>
            </w:r>
            <w:r>
              <w:rPr>
                <w:noProof/>
                <w:webHidden/>
              </w:rPr>
            </w:r>
            <w:r>
              <w:rPr>
                <w:noProof/>
                <w:webHidden/>
              </w:rPr>
              <w:fldChar w:fldCharType="separate"/>
            </w:r>
            <w:r>
              <w:rPr>
                <w:noProof/>
                <w:webHidden/>
              </w:rPr>
              <w:t>719</w:t>
            </w:r>
            <w:r>
              <w:rPr>
                <w:noProof/>
                <w:webHidden/>
              </w:rPr>
              <w:fldChar w:fldCharType="end"/>
            </w:r>
          </w:hyperlink>
        </w:p>
        <w:p w14:paraId="568B09DF" w14:textId="60758C2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42" w:history="1">
            <w:r w:rsidRPr="00F45DCA">
              <w:rPr>
                <w:rStyle w:val="Lienhypertexte"/>
                <w:noProof/>
              </w:rPr>
              <w:t>22.86.3 Remplacements d'éléments de structure isolés en béton CCTB 01.02</w:t>
            </w:r>
            <w:r>
              <w:rPr>
                <w:noProof/>
                <w:webHidden/>
              </w:rPr>
              <w:tab/>
            </w:r>
            <w:r>
              <w:rPr>
                <w:noProof/>
                <w:webHidden/>
              </w:rPr>
              <w:fldChar w:fldCharType="begin"/>
            </w:r>
            <w:r>
              <w:rPr>
                <w:noProof/>
                <w:webHidden/>
              </w:rPr>
              <w:instrText xml:space="preserve"> PAGEREF _Toc220496142 \h </w:instrText>
            </w:r>
            <w:r>
              <w:rPr>
                <w:noProof/>
                <w:webHidden/>
              </w:rPr>
            </w:r>
            <w:r>
              <w:rPr>
                <w:noProof/>
                <w:webHidden/>
              </w:rPr>
              <w:fldChar w:fldCharType="separate"/>
            </w:r>
            <w:r>
              <w:rPr>
                <w:noProof/>
                <w:webHidden/>
              </w:rPr>
              <w:t>719</w:t>
            </w:r>
            <w:r>
              <w:rPr>
                <w:noProof/>
                <w:webHidden/>
              </w:rPr>
              <w:fldChar w:fldCharType="end"/>
            </w:r>
          </w:hyperlink>
        </w:p>
        <w:p w14:paraId="2F0692D8" w14:textId="605E265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43" w:history="1">
            <w:r w:rsidRPr="00F45DCA">
              <w:rPr>
                <w:rStyle w:val="Lienhypertexte"/>
                <w:noProof/>
              </w:rPr>
              <w:t>22.86.3a Remplacements d'éléments de structure isolés en béton CCTB 01.02</w:t>
            </w:r>
            <w:r>
              <w:rPr>
                <w:noProof/>
                <w:webHidden/>
              </w:rPr>
              <w:tab/>
            </w:r>
            <w:r>
              <w:rPr>
                <w:noProof/>
                <w:webHidden/>
              </w:rPr>
              <w:fldChar w:fldCharType="begin"/>
            </w:r>
            <w:r>
              <w:rPr>
                <w:noProof/>
                <w:webHidden/>
              </w:rPr>
              <w:instrText xml:space="preserve"> PAGEREF _Toc220496143 \h </w:instrText>
            </w:r>
            <w:r>
              <w:rPr>
                <w:noProof/>
                <w:webHidden/>
              </w:rPr>
            </w:r>
            <w:r>
              <w:rPr>
                <w:noProof/>
                <w:webHidden/>
              </w:rPr>
              <w:fldChar w:fldCharType="separate"/>
            </w:r>
            <w:r>
              <w:rPr>
                <w:noProof/>
                <w:webHidden/>
              </w:rPr>
              <w:t>719</w:t>
            </w:r>
            <w:r>
              <w:rPr>
                <w:noProof/>
                <w:webHidden/>
              </w:rPr>
              <w:fldChar w:fldCharType="end"/>
            </w:r>
          </w:hyperlink>
        </w:p>
        <w:p w14:paraId="2A3C325A" w14:textId="6AD96C9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44" w:history="1">
            <w:r w:rsidRPr="00F45DCA">
              <w:rPr>
                <w:rStyle w:val="Lienhypertexte"/>
                <w:noProof/>
              </w:rPr>
              <w:t>22.86.4 Remplacements partiels de parties de structure / charpente en béton CCTB 01.02</w:t>
            </w:r>
            <w:r>
              <w:rPr>
                <w:noProof/>
                <w:webHidden/>
              </w:rPr>
              <w:tab/>
            </w:r>
            <w:r>
              <w:rPr>
                <w:noProof/>
                <w:webHidden/>
              </w:rPr>
              <w:fldChar w:fldCharType="begin"/>
            </w:r>
            <w:r>
              <w:rPr>
                <w:noProof/>
                <w:webHidden/>
              </w:rPr>
              <w:instrText xml:space="preserve"> PAGEREF _Toc220496144 \h </w:instrText>
            </w:r>
            <w:r>
              <w:rPr>
                <w:noProof/>
                <w:webHidden/>
              </w:rPr>
            </w:r>
            <w:r>
              <w:rPr>
                <w:noProof/>
                <w:webHidden/>
              </w:rPr>
              <w:fldChar w:fldCharType="separate"/>
            </w:r>
            <w:r>
              <w:rPr>
                <w:noProof/>
                <w:webHidden/>
              </w:rPr>
              <w:t>719</w:t>
            </w:r>
            <w:r>
              <w:rPr>
                <w:noProof/>
                <w:webHidden/>
              </w:rPr>
              <w:fldChar w:fldCharType="end"/>
            </w:r>
          </w:hyperlink>
        </w:p>
        <w:p w14:paraId="62645DEA" w14:textId="24A4A24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45" w:history="1">
            <w:r w:rsidRPr="00F45DCA">
              <w:rPr>
                <w:rStyle w:val="Lienhypertexte"/>
                <w:noProof/>
              </w:rPr>
              <w:t>22.86.4a Remplacements partiels de parties de structure / charpente en béton CCTB 01.02</w:t>
            </w:r>
            <w:r>
              <w:rPr>
                <w:noProof/>
                <w:webHidden/>
              </w:rPr>
              <w:tab/>
            </w:r>
            <w:r>
              <w:rPr>
                <w:noProof/>
                <w:webHidden/>
              </w:rPr>
              <w:fldChar w:fldCharType="begin"/>
            </w:r>
            <w:r>
              <w:rPr>
                <w:noProof/>
                <w:webHidden/>
              </w:rPr>
              <w:instrText xml:space="preserve"> PAGEREF _Toc220496145 \h </w:instrText>
            </w:r>
            <w:r>
              <w:rPr>
                <w:noProof/>
                <w:webHidden/>
              </w:rPr>
            </w:r>
            <w:r>
              <w:rPr>
                <w:noProof/>
                <w:webHidden/>
              </w:rPr>
              <w:fldChar w:fldCharType="separate"/>
            </w:r>
            <w:r>
              <w:rPr>
                <w:noProof/>
                <w:webHidden/>
              </w:rPr>
              <w:t>719</w:t>
            </w:r>
            <w:r>
              <w:rPr>
                <w:noProof/>
                <w:webHidden/>
              </w:rPr>
              <w:fldChar w:fldCharType="end"/>
            </w:r>
          </w:hyperlink>
        </w:p>
        <w:p w14:paraId="3F73D531" w14:textId="3C38F88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46" w:history="1">
            <w:r w:rsidRPr="00F45DCA">
              <w:rPr>
                <w:rStyle w:val="Lienhypertexte"/>
                <w:noProof/>
              </w:rPr>
              <w:t>22.86.5 Remplacements d'éléments de fixation / assemblage CCTB 01.02</w:t>
            </w:r>
            <w:r>
              <w:rPr>
                <w:noProof/>
                <w:webHidden/>
              </w:rPr>
              <w:tab/>
            </w:r>
            <w:r>
              <w:rPr>
                <w:noProof/>
                <w:webHidden/>
              </w:rPr>
              <w:fldChar w:fldCharType="begin"/>
            </w:r>
            <w:r>
              <w:rPr>
                <w:noProof/>
                <w:webHidden/>
              </w:rPr>
              <w:instrText xml:space="preserve"> PAGEREF _Toc220496146 \h </w:instrText>
            </w:r>
            <w:r>
              <w:rPr>
                <w:noProof/>
                <w:webHidden/>
              </w:rPr>
            </w:r>
            <w:r>
              <w:rPr>
                <w:noProof/>
                <w:webHidden/>
              </w:rPr>
              <w:fldChar w:fldCharType="separate"/>
            </w:r>
            <w:r>
              <w:rPr>
                <w:noProof/>
                <w:webHidden/>
              </w:rPr>
              <w:t>719</w:t>
            </w:r>
            <w:r>
              <w:rPr>
                <w:noProof/>
                <w:webHidden/>
              </w:rPr>
              <w:fldChar w:fldCharType="end"/>
            </w:r>
          </w:hyperlink>
        </w:p>
        <w:p w14:paraId="59C683F4" w14:textId="54B211C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47" w:history="1">
            <w:r w:rsidRPr="00F45DCA">
              <w:rPr>
                <w:rStyle w:val="Lienhypertexte"/>
                <w:noProof/>
              </w:rPr>
              <w:t>22.86.5a Remplacements de fixations métalliques (boulons / écrous) CCTB 01.02</w:t>
            </w:r>
            <w:r>
              <w:rPr>
                <w:noProof/>
                <w:webHidden/>
              </w:rPr>
              <w:tab/>
            </w:r>
            <w:r>
              <w:rPr>
                <w:noProof/>
                <w:webHidden/>
              </w:rPr>
              <w:fldChar w:fldCharType="begin"/>
            </w:r>
            <w:r>
              <w:rPr>
                <w:noProof/>
                <w:webHidden/>
              </w:rPr>
              <w:instrText xml:space="preserve"> PAGEREF _Toc220496147 \h </w:instrText>
            </w:r>
            <w:r>
              <w:rPr>
                <w:noProof/>
                <w:webHidden/>
              </w:rPr>
            </w:r>
            <w:r>
              <w:rPr>
                <w:noProof/>
                <w:webHidden/>
              </w:rPr>
              <w:fldChar w:fldCharType="separate"/>
            </w:r>
            <w:r>
              <w:rPr>
                <w:noProof/>
                <w:webHidden/>
              </w:rPr>
              <w:t>719</w:t>
            </w:r>
            <w:r>
              <w:rPr>
                <w:noProof/>
                <w:webHidden/>
              </w:rPr>
              <w:fldChar w:fldCharType="end"/>
            </w:r>
          </w:hyperlink>
        </w:p>
        <w:p w14:paraId="2FC10899" w14:textId="01F023D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148" w:history="1">
            <w:r w:rsidRPr="00F45DCA">
              <w:rPr>
                <w:rStyle w:val="Lienhypertexte"/>
                <w:noProof/>
              </w:rPr>
              <w:t>22.87 Nettoyages / préparations de surface CCTB 01.04</w:t>
            </w:r>
            <w:r>
              <w:rPr>
                <w:noProof/>
                <w:webHidden/>
              </w:rPr>
              <w:tab/>
            </w:r>
            <w:r>
              <w:rPr>
                <w:noProof/>
                <w:webHidden/>
              </w:rPr>
              <w:fldChar w:fldCharType="begin"/>
            </w:r>
            <w:r>
              <w:rPr>
                <w:noProof/>
                <w:webHidden/>
              </w:rPr>
              <w:instrText xml:space="preserve"> PAGEREF _Toc220496148 \h </w:instrText>
            </w:r>
            <w:r>
              <w:rPr>
                <w:noProof/>
                <w:webHidden/>
              </w:rPr>
            </w:r>
            <w:r>
              <w:rPr>
                <w:noProof/>
                <w:webHidden/>
              </w:rPr>
              <w:fldChar w:fldCharType="separate"/>
            </w:r>
            <w:r>
              <w:rPr>
                <w:noProof/>
                <w:webHidden/>
              </w:rPr>
              <w:t>719</w:t>
            </w:r>
            <w:r>
              <w:rPr>
                <w:noProof/>
                <w:webHidden/>
              </w:rPr>
              <w:fldChar w:fldCharType="end"/>
            </w:r>
          </w:hyperlink>
        </w:p>
        <w:p w14:paraId="1B73B112" w14:textId="0C71FC97"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149" w:history="1">
            <w:r w:rsidRPr="00F45DCA">
              <w:rPr>
                <w:rStyle w:val="Lienhypertexte"/>
                <w:noProof/>
              </w:rPr>
              <w:t>22.88 Traitements et protections CCTB 01.02</w:t>
            </w:r>
            <w:r>
              <w:rPr>
                <w:noProof/>
                <w:webHidden/>
              </w:rPr>
              <w:tab/>
            </w:r>
            <w:r>
              <w:rPr>
                <w:noProof/>
                <w:webHidden/>
              </w:rPr>
              <w:fldChar w:fldCharType="begin"/>
            </w:r>
            <w:r>
              <w:rPr>
                <w:noProof/>
                <w:webHidden/>
              </w:rPr>
              <w:instrText xml:space="preserve"> PAGEREF _Toc220496149 \h </w:instrText>
            </w:r>
            <w:r>
              <w:rPr>
                <w:noProof/>
                <w:webHidden/>
              </w:rPr>
            </w:r>
            <w:r>
              <w:rPr>
                <w:noProof/>
                <w:webHidden/>
              </w:rPr>
              <w:fldChar w:fldCharType="separate"/>
            </w:r>
            <w:r>
              <w:rPr>
                <w:noProof/>
                <w:webHidden/>
              </w:rPr>
              <w:t>720</w:t>
            </w:r>
            <w:r>
              <w:rPr>
                <w:noProof/>
                <w:webHidden/>
              </w:rPr>
              <w:fldChar w:fldCharType="end"/>
            </w:r>
          </w:hyperlink>
        </w:p>
        <w:p w14:paraId="405CD110" w14:textId="2664E96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50" w:history="1">
            <w:r w:rsidRPr="00F45DCA">
              <w:rPr>
                <w:rStyle w:val="Lienhypertexte"/>
                <w:noProof/>
              </w:rPr>
              <w:t>22.88.1 Revêtements de finition / protection CCTB 01.04</w:t>
            </w:r>
            <w:r>
              <w:rPr>
                <w:noProof/>
                <w:webHidden/>
              </w:rPr>
              <w:tab/>
            </w:r>
            <w:r>
              <w:rPr>
                <w:noProof/>
                <w:webHidden/>
              </w:rPr>
              <w:fldChar w:fldCharType="begin"/>
            </w:r>
            <w:r>
              <w:rPr>
                <w:noProof/>
                <w:webHidden/>
              </w:rPr>
              <w:instrText xml:space="preserve"> PAGEREF _Toc220496150 \h </w:instrText>
            </w:r>
            <w:r>
              <w:rPr>
                <w:noProof/>
                <w:webHidden/>
              </w:rPr>
            </w:r>
            <w:r>
              <w:rPr>
                <w:noProof/>
                <w:webHidden/>
              </w:rPr>
              <w:fldChar w:fldCharType="separate"/>
            </w:r>
            <w:r>
              <w:rPr>
                <w:noProof/>
                <w:webHidden/>
              </w:rPr>
              <w:t>720</w:t>
            </w:r>
            <w:r>
              <w:rPr>
                <w:noProof/>
                <w:webHidden/>
              </w:rPr>
              <w:fldChar w:fldCharType="end"/>
            </w:r>
          </w:hyperlink>
        </w:p>
        <w:p w14:paraId="43CD1E44" w14:textId="7F2E8D5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51" w:history="1">
            <w:r w:rsidRPr="00F45DCA">
              <w:rPr>
                <w:rStyle w:val="Lienhypertexte"/>
                <w:noProof/>
              </w:rPr>
              <w:t>22.88.2 Traitements de protection préventifs / curatifs CCTB 01.04</w:t>
            </w:r>
            <w:r>
              <w:rPr>
                <w:noProof/>
                <w:webHidden/>
              </w:rPr>
              <w:tab/>
            </w:r>
            <w:r>
              <w:rPr>
                <w:noProof/>
                <w:webHidden/>
              </w:rPr>
              <w:fldChar w:fldCharType="begin"/>
            </w:r>
            <w:r>
              <w:rPr>
                <w:noProof/>
                <w:webHidden/>
              </w:rPr>
              <w:instrText xml:space="preserve"> PAGEREF _Toc220496151 \h </w:instrText>
            </w:r>
            <w:r>
              <w:rPr>
                <w:noProof/>
                <w:webHidden/>
              </w:rPr>
            </w:r>
            <w:r>
              <w:rPr>
                <w:noProof/>
                <w:webHidden/>
              </w:rPr>
              <w:fldChar w:fldCharType="separate"/>
            </w:r>
            <w:r>
              <w:rPr>
                <w:noProof/>
                <w:webHidden/>
              </w:rPr>
              <w:t>720</w:t>
            </w:r>
            <w:r>
              <w:rPr>
                <w:noProof/>
                <w:webHidden/>
              </w:rPr>
              <w:fldChar w:fldCharType="end"/>
            </w:r>
          </w:hyperlink>
        </w:p>
        <w:p w14:paraId="2F0EED2C" w14:textId="65A18407" w:rsidR="0014651C" w:rsidRDefault="0014651C">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6152" w:history="1">
            <w:r w:rsidRPr="00F45DCA">
              <w:rPr>
                <w:rStyle w:val="Lienhypertexte"/>
                <w:noProof/>
              </w:rPr>
              <w:t>23 Superstructures métalliques CCTB 01.12</w:t>
            </w:r>
            <w:r>
              <w:rPr>
                <w:noProof/>
                <w:webHidden/>
              </w:rPr>
              <w:tab/>
            </w:r>
            <w:r>
              <w:rPr>
                <w:noProof/>
                <w:webHidden/>
              </w:rPr>
              <w:fldChar w:fldCharType="begin"/>
            </w:r>
            <w:r>
              <w:rPr>
                <w:noProof/>
                <w:webHidden/>
              </w:rPr>
              <w:instrText xml:space="preserve"> PAGEREF _Toc220496152 \h </w:instrText>
            </w:r>
            <w:r>
              <w:rPr>
                <w:noProof/>
                <w:webHidden/>
              </w:rPr>
            </w:r>
            <w:r>
              <w:rPr>
                <w:noProof/>
                <w:webHidden/>
              </w:rPr>
              <w:fldChar w:fldCharType="separate"/>
            </w:r>
            <w:r>
              <w:rPr>
                <w:noProof/>
                <w:webHidden/>
              </w:rPr>
              <w:t>720</w:t>
            </w:r>
            <w:r>
              <w:rPr>
                <w:noProof/>
                <w:webHidden/>
              </w:rPr>
              <w:fldChar w:fldCharType="end"/>
            </w:r>
          </w:hyperlink>
        </w:p>
        <w:p w14:paraId="6AAD7BFC" w14:textId="07653E32"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153" w:history="1">
            <w:r w:rsidRPr="00F45DCA">
              <w:rPr>
                <w:rStyle w:val="Lienhypertexte"/>
                <w:noProof/>
              </w:rPr>
              <w:t>23.1 Eléments de structures métalliques CCTB 01.07</w:t>
            </w:r>
            <w:r>
              <w:rPr>
                <w:noProof/>
                <w:webHidden/>
              </w:rPr>
              <w:tab/>
            </w:r>
            <w:r>
              <w:rPr>
                <w:noProof/>
                <w:webHidden/>
              </w:rPr>
              <w:fldChar w:fldCharType="begin"/>
            </w:r>
            <w:r>
              <w:rPr>
                <w:noProof/>
                <w:webHidden/>
              </w:rPr>
              <w:instrText xml:space="preserve"> PAGEREF _Toc220496153 \h </w:instrText>
            </w:r>
            <w:r>
              <w:rPr>
                <w:noProof/>
                <w:webHidden/>
              </w:rPr>
            </w:r>
            <w:r>
              <w:rPr>
                <w:noProof/>
                <w:webHidden/>
              </w:rPr>
              <w:fldChar w:fldCharType="separate"/>
            </w:r>
            <w:r>
              <w:rPr>
                <w:noProof/>
                <w:webHidden/>
              </w:rPr>
              <w:t>728</w:t>
            </w:r>
            <w:r>
              <w:rPr>
                <w:noProof/>
                <w:webHidden/>
              </w:rPr>
              <w:fldChar w:fldCharType="end"/>
            </w:r>
          </w:hyperlink>
        </w:p>
        <w:p w14:paraId="1C7A6BEF" w14:textId="42C52EF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154" w:history="1">
            <w:r w:rsidRPr="00F45DCA">
              <w:rPr>
                <w:rStyle w:val="Lienhypertexte"/>
                <w:noProof/>
              </w:rPr>
              <w:t>23.11 Poutres métalliques CCTB 01.07</w:t>
            </w:r>
            <w:r>
              <w:rPr>
                <w:noProof/>
                <w:webHidden/>
              </w:rPr>
              <w:tab/>
            </w:r>
            <w:r>
              <w:rPr>
                <w:noProof/>
                <w:webHidden/>
              </w:rPr>
              <w:fldChar w:fldCharType="begin"/>
            </w:r>
            <w:r>
              <w:rPr>
                <w:noProof/>
                <w:webHidden/>
              </w:rPr>
              <w:instrText xml:space="preserve"> PAGEREF _Toc220496154 \h </w:instrText>
            </w:r>
            <w:r>
              <w:rPr>
                <w:noProof/>
                <w:webHidden/>
              </w:rPr>
            </w:r>
            <w:r>
              <w:rPr>
                <w:noProof/>
                <w:webHidden/>
              </w:rPr>
              <w:fldChar w:fldCharType="separate"/>
            </w:r>
            <w:r>
              <w:rPr>
                <w:noProof/>
                <w:webHidden/>
              </w:rPr>
              <w:t>728</w:t>
            </w:r>
            <w:r>
              <w:rPr>
                <w:noProof/>
                <w:webHidden/>
              </w:rPr>
              <w:fldChar w:fldCharType="end"/>
            </w:r>
          </w:hyperlink>
        </w:p>
        <w:p w14:paraId="1F8B6D31" w14:textId="132E3D4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55" w:history="1">
            <w:r w:rsidRPr="00F45DCA">
              <w:rPr>
                <w:rStyle w:val="Lienhypertexte"/>
                <w:noProof/>
              </w:rPr>
              <w:t>23.11.1 Poutres en acier laminées à chaud CCTB 01.04</w:t>
            </w:r>
            <w:r>
              <w:rPr>
                <w:noProof/>
                <w:webHidden/>
              </w:rPr>
              <w:tab/>
            </w:r>
            <w:r>
              <w:rPr>
                <w:noProof/>
                <w:webHidden/>
              </w:rPr>
              <w:fldChar w:fldCharType="begin"/>
            </w:r>
            <w:r>
              <w:rPr>
                <w:noProof/>
                <w:webHidden/>
              </w:rPr>
              <w:instrText xml:space="preserve"> PAGEREF _Toc220496155 \h </w:instrText>
            </w:r>
            <w:r>
              <w:rPr>
                <w:noProof/>
                <w:webHidden/>
              </w:rPr>
            </w:r>
            <w:r>
              <w:rPr>
                <w:noProof/>
                <w:webHidden/>
              </w:rPr>
              <w:fldChar w:fldCharType="separate"/>
            </w:r>
            <w:r>
              <w:rPr>
                <w:noProof/>
                <w:webHidden/>
              </w:rPr>
              <w:t>729</w:t>
            </w:r>
            <w:r>
              <w:rPr>
                <w:noProof/>
                <w:webHidden/>
              </w:rPr>
              <w:fldChar w:fldCharType="end"/>
            </w:r>
          </w:hyperlink>
        </w:p>
        <w:p w14:paraId="42E8C193" w14:textId="46AC3DC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56" w:history="1">
            <w:r w:rsidRPr="00F45DCA">
              <w:rPr>
                <w:rStyle w:val="Lienhypertexte"/>
                <w:noProof/>
              </w:rPr>
              <w:t>23.11.1a Poutres en profilés en acier laminés à chaud CCTB 01.11</w:t>
            </w:r>
            <w:r>
              <w:rPr>
                <w:noProof/>
                <w:webHidden/>
              </w:rPr>
              <w:tab/>
            </w:r>
            <w:r>
              <w:rPr>
                <w:noProof/>
                <w:webHidden/>
              </w:rPr>
              <w:fldChar w:fldCharType="begin"/>
            </w:r>
            <w:r>
              <w:rPr>
                <w:noProof/>
                <w:webHidden/>
              </w:rPr>
              <w:instrText xml:space="preserve"> PAGEREF _Toc220496156 \h </w:instrText>
            </w:r>
            <w:r>
              <w:rPr>
                <w:noProof/>
                <w:webHidden/>
              </w:rPr>
            </w:r>
            <w:r>
              <w:rPr>
                <w:noProof/>
                <w:webHidden/>
              </w:rPr>
              <w:fldChar w:fldCharType="separate"/>
            </w:r>
            <w:r>
              <w:rPr>
                <w:noProof/>
                <w:webHidden/>
              </w:rPr>
              <w:t>729</w:t>
            </w:r>
            <w:r>
              <w:rPr>
                <w:noProof/>
                <w:webHidden/>
              </w:rPr>
              <w:fldChar w:fldCharType="end"/>
            </w:r>
          </w:hyperlink>
        </w:p>
        <w:p w14:paraId="7656F6E5" w14:textId="5FF0646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57" w:history="1">
            <w:r w:rsidRPr="00F45DCA">
              <w:rPr>
                <w:rStyle w:val="Lienhypertexte"/>
                <w:noProof/>
              </w:rPr>
              <w:t>23.11.1b Poutres reconstituées soudées en acier CCTB 01.11</w:t>
            </w:r>
            <w:r>
              <w:rPr>
                <w:noProof/>
                <w:webHidden/>
              </w:rPr>
              <w:tab/>
            </w:r>
            <w:r>
              <w:rPr>
                <w:noProof/>
                <w:webHidden/>
              </w:rPr>
              <w:fldChar w:fldCharType="begin"/>
            </w:r>
            <w:r>
              <w:rPr>
                <w:noProof/>
                <w:webHidden/>
              </w:rPr>
              <w:instrText xml:space="preserve"> PAGEREF _Toc220496157 \h </w:instrText>
            </w:r>
            <w:r>
              <w:rPr>
                <w:noProof/>
                <w:webHidden/>
              </w:rPr>
            </w:r>
            <w:r>
              <w:rPr>
                <w:noProof/>
                <w:webHidden/>
              </w:rPr>
              <w:fldChar w:fldCharType="separate"/>
            </w:r>
            <w:r>
              <w:rPr>
                <w:noProof/>
                <w:webHidden/>
              </w:rPr>
              <w:t>731</w:t>
            </w:r>
            <w:r>
              <w:rPr>
                <w:noProof/>
                <w:webHidden/>
              </w:rPr>
              <w:fldChar w:fldCharType="end"/>
            </w:r>
          </w:hyperlink>
        </w:p>
        <w:p w14:paraId="014AAEE0" w14:textId="43023C0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58" w:history="1">
            <w:r w:rsidRPr="00F45DCA">
              <w:rPr>
                <w:rStyle w:val="Lienhypertexte"/>
                <w:noProof/>
              </w:rPr>
              <w:t>23.11.1c Poutres en treillis en acier CCTB 01.11</w:t>
            </w:r>
            <w:r>
              <w:rPr>
                <w:noProof/>
                <w:webHidden/>
              </w:rPr>
              <w:tab/>
            </w:r>
            <w:r>
              <w:rPr>
                <w:noProof/>
                <w:webHidden/>
              </w:rPr>
              <w:fldChar w:fldCharType="begin"/>
            </w:r>
            <w:r>
              <w:rPr>
                <w:noProof/>
                <w:webHidden/>
              </w:rPr>
              <w:instrText xml:space="preserve"> PAGEREF _Toc220496158 \h </w:instrText>
            </w:r>
            <w:r>
              <w:rPr>
                <w:noProof/>
                <w:webHidden/>
              </w:rPr>
            </w:r>
            <w:r>
              <w:rPr>
                <w:noProof/>
                <w:webHidden/>
              </w:rPr>
              <w:fldChar w:fldCharType="separate"/>
            </w:r>
            <w:r>
              <w:rPr>
                <w:noProof/>
                <w:webHidden/>
              </w:rPr>
              <w:t>735</w:t>
            </w:r>
            <w:r>
              <w:rPr>
                <w:noProof/>
                <w:webHidden/>
              </w:rPr>
              <w:fldChar w:fldCharType="end"/>
            </w:r>
          </w:hyperlink>
        </w:p>
        <w:p w14:paraId="29236845" w14:textId="1F8B891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59" w:history="1">
            <w:r w:rsidRPr="00F45DCA">
              <w:rPr>
                <w:rStyle w:val="Lienhypertexte"/>
                <w:noProof/>
              </w:rPr>
              <w:t>23.11.1d Poutres alvéolaires en acier CCTB 01.11</w:t>
            </w:r>
            <w:r>
              <w:rPr>
                <w:noProof/>
                <w:webHidden/>
              </w:rPr>
              <w:tab/>
            </w:r>
            <w:r>
              <w:rPr>
                <w:noProof/>
                <w:webHidden/>
              </w:rPr>
              <w:fldChar w:fldCharType="begin"/>
            </w:r>
            <w:r>
              <w:rPr>
                <w:noProof/>
                <w:webHidden/>
              </w:rPr>
              <w:instrText xml:space="preserve"> PAGEREF _Toc220496159 \h </w:instrText>
            </w:r>
            <w:r>
              <w:rPr>
                <w:noProof/>
                <w:webHidden/>
              </w:rPr>
            </w:r>
            <w:r>
              <w:rPr>
                <w:noProof/>
                <w:webHidden/>
              </w:rPr>
              <w:fldChar w:fldCharType="separate"/>
            </w:r>
            <w:r>
              <w:rPr>
                <w:noProof/>
                <w:webHidden/>
              </w:rPr>
              <w:t>738</w:t>
            </w:r>
            <w:r>
              <w:rPr>
                <w:noProof/>
                <w:webHidden/>
              </w:rPr>
              <w:fldChar w:fldCharType="end"/>
            </w:r>
          </w:hyperlink>
        </w:p>
        <w:p w14:paraId="4E63EEF1" w14:textId="381B4E8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60" w:history="1">
            <w:r w:rsidRPr="00F45DCA">
              <w:rPr>
                <w:rStyle w:val="Lienhypertexte"/>
                <w:noProof/>
              </w:rPr>
              <w:t>23.11.1e Poutres en éléments tubulaires en acier CCTB 01.04</w:t>
            </w:r>
            <w:r>
              <w:rPr>
                <w:noProof/>
                <w:webHidden/>
              </w:rPr>
              <w:tab/>
            </w:r>
            <w:r>
              <w:rPr>
                <w:noProof/>
                <w:webHidden/>
              </w:rPr>
              <w:fldChar w:fldCharType="begin"/>
            </w:r>
            <w:r>
              <w:rPr>
                <w:noProof/>
                <w:webHidden/>
              </w:rPr>
              <w:instrText xml:space="preserve"> PAGEREF _Toc220496160 \h </w:instrText>
            </w:r>
            <w:r>
              <w:rPr>
                <w:noProof/>
                <w:webHidden/>
              </w:rPr>
            </w:r>
            <w:r>
              <w:rPr>
                <w:noProof/>
                <w:webHidden/>
              </w:rPr>
              <w:fldChar w:fldCharType="separate"/>
            </w:r>
            <w:r>
              <w:rPr>
                <w:noProof/>
                <w:webHidden/>
              </w:rPr>
              <w:t>740</w:t>
            </w:r>
            <w:r>
              <w:rPr>
                <w:noProof/>
                <w:webHidden/>
              </w:rPr>
              <w:fldChar w:fldCharType="end"/>
            </w:r>
          </w:hyperlink>
        </w:p>
        <w:p w14:paraId="6AD26AA7" w14:textId="3F608BC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61" w:history="1">
            <w:r w:rsidRPr="00F45DCA">
              <w:rPr>
                <w:rStyle w:val="Lienhypertexte"/>
                <w:noProof/>
              </w:rPr>
              <w:t>23.11.2 Poutres en acier formées à froid CCTB 01.11</w:t>
            </w:r>
            <w:r>
              <w:rPr>
                <w:noProof/>
                <w:webHidden/>
              </w:rPr>
              <w:tab/>
            </w:r>
            <w:r>
              <w:rPr>
                <w:noProof/>
                <w:webHidden/>
              </w:rPr>
              <w:fldChar w:fldCharType="begin"/>
            </w:r>
            <w:r>
              <w:rPr>
                <w:noProof/>
                <w:webHidden/>
              </w:rPr>
              <w:instrText xml:space="preserve"> PAGEREF _Toc220496161 \h </w:instrText>
            </w:r>
            <w:r>
              <w:rPr>
                <w:noProof/>
                <w:webHidden/>
              </w:rPr>
            </w:r>
            <w:r>
              <w:rPr>
                <w:noProof/>
                <w:webHidden/>
              </w:rPr>
              <w:fldChar w:fldCharType="separate"/>
            </w:r>
            <w:r>
              <w:rPr>
                <w:noProof/>
                <w:webHidden/>
              </w:rPr>
              <w:t>740</w:t>
            </w:r>
            <w:r>
              <w:rPr>
                <w:noProof/>
                <w:webHidden/>
              </w:rPr>
              <w:fldChar w:fldCharType="end"/>
            </w:r>
          </w:hyperlink>
        </w:p>
        <w:p w14:paraId="25527BC3" w14:textId="179BD4E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62" w:history="1">
            <w:r w:rsidRPr="00F45DCA">
              <w:rPr>
                <w:rStyle w:val="Lienhypertexte"/>
                <w:noProof/>
              </w:rPr>
              <w:t>23.11.2a Poutres en acier formées à froid CCTB 01.11</w:t>
            </w:r>
            <w:r>
              <w:rPr>
                <w:noProof/>
                <w:webHidden/>
              </w:rPr>
              <w:tab/>
            </w:r>
            <w:r>
              <w:rPr>
                <w:noProof/>
                <w:webHidden/>
              </w:rPr>
              <w:fldChar w:fldCharType="begin"/>
            </w:r>
            <w:r>
              <w:rPr>
                <w:noProof/>
                <w:webHidden/>
              </w:rPr>
              <w:instrText xml:space="preserve"> PAGEREF _Toc220496162 \h </w:instrText>
            </w:r>
            <w:r>
              <w:rPr>
                <w:noProof/>
                <w:webHidden/>
              </w:rPr>
            </w:r>
            <w:r>
              <w:rPr>
                <w:noProof/>
                <w:webHidden/>
              </w:rPr>
              <w:fldChar w:fldCharType="separate"/>
            </w:r>
            <w:r>
              <w:rPr>
                <w:noProof/>
                <w:webHidden/>
              </w:rPr>
              <w:t>740</w:t>
            </w:r>
            <w:r>
              <w:rPr>
                <w:noProof/>
                <w:webHidden/>
              </w:rPr>
              <w:fldChar w:fldCharType="end"/>
            </w:r>
          </w:hyperlink>
        </w:p>
        <w:p w14:paraId="68629B50" w14:textId="33F2F95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63" w:history="1">
            <w:r w:rsidRPr="00F45DCA">
              <w:rPr>
                <w:rStyle w:val="Lienhypertexte"/>
                <w:noProof/>
              </w:rPr>
              <w:t>23.11.3 Poutres en acier inoxydable laminées à chaud CCTB 01.04</w:t>
            </w:r>
            <w:r>
              <w:rPr>
                <w:noProof/>
                <w:webHidden/>
              </w:rPr>
              <w:tab/>
            </w:r>
            <w:r>
              <w:rPr>
                <w:noProof/>
                <w:webHidden/>
              </w:rPr>
              <w:fldChar w:fldCharType="begin"/>
            </w:r>
            <w:r>
              <w:rPr>
                <w:noProof/>
                <w:webHidden/>
              </w:rPr>
              <w:instrText xml:space="preserve"> PAGEREF _Toc220496163 \h </w:instrText>
            </w:r>
            <w:r>
              <w:rPr>
                <w:noProof/>
                <w:webHidden/>
              </w:rPr>
            </w:r>
            <w:r>
              <w:rPr>
                <w:noProof/>
                <w:webHidden/>
              </w:rPr>
              <w:fldChar w:fldCharType="separate"/>
            </w:r>
            <w:r>
              <w:rPr>
                <w:noProof/>
                <w:webHidden/>
              </w:rPr>
              <w:t>742</w:t>
            </w:r>
            <w:r>
              <w:rPr>
                <w:noProof/>
                <w:webHidden/>
              </w:rPr>
              <w:fldChar w:fldCharType="end"/>
            </w:r>
          </w:hyperlink>
        </w:p>
        <w:p w14:paraId="29ED4419" w14:textId="4A768D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64" w:history="1">
            <w:r w:rsidRPr="00F45DCA">
              <w:rPr>
                <w:rStyle w:val="Lienhypertexte"/>
                <w:noProof/>
              </w:rPr>
              <w:t>23.11.3a Poutres en profilés en acier inoxydable laminés à chaud CCTB 01.11</w:t>
            </w:r>
            <w:r>
              <w:rPr>
                <w:noProof/>
                <w:webHidden/>
              </w:rPr>
              <w:tab/>
            </w:r>
            <w:r>
              <w:rPr>
                <w:noProof/>
                <w:webHidden/>
              </w:rPr>
              <w:fldChar w:fldCharType="begin"/>
            </w:r>
            <w:r>
              <w:rPr>
                <w:noProof/>
                <w:webHidden/>
              </w:rPr>
              <w:instrText xml:space="preserve"> PAGEREF _Toc220496164 \h </w:instrText>
            </w:r>
            <w:r>
              <w:rPr>
                <w:noProof/>
                <w:webHidden/>
              </w:rPr>
            </w:r>
            <w:r>
              <w:rPr>
                <w:noProof/>
                <w:webHidden/>
              </w:rPr>
              <w:fldChar w:fldCharType="separate"/>
            </w:r>
            <w:r>
              <w:rPr>
                <w:noProof/>
                <w:webHidden/>
              </w:rPr>
              <w:t>742</w:t>
            </w:r>
            <w:r>
              <w:rPr>
                <w:noProof/>
                <w:webHidden/>
              </w:rPr>
              <w:fldChar w:fldCharType="end"/>
            </w:r>
          </w:hyperlink>
        </w:p>
        <w:p w14:paraId="0E5A4C7A" w14:textId="338ACA2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65" w:history="1">
            <w:r w:rsidRPr="00F45DCA">
              <w:rPr>
                <w:rStyle w:val="Lienhypertexte"/>
                <w:noProof/>
              </w:rPr>
              <w:t>23.11.3b Poutres reconstituées soudées en acier inoxydable CCTB 01.11</w:t>
            </w:r>
            <w:r>
              <w:rPr>
                <w:noProof/>
                <w:webHidden/>
              </w:rPr>
              <w:tab/>
            </w:r>
            <w:r>
              <w:rPr>
                <w:noProof/>
                <w:webHidden/>
              </w:rPr>
              <w:fldChar w:fldCharType="begin"/>
            </w:r>
            <w:r>
              <w:rPr>
                <w:noProof/>
                <w:webHidden/>
              </w:rPr>
              <w:instrText xml:space="preserve"> PAGEREF _Toc220496165 \h </w:instrText>
            </w:r>
            <w:r>
              <w:rPr>
                <w:noProof/>
                <w:webHidden/>
              </w:rPr>
            </w:r>
            <w:r>
              <w:rPr>
                <w:noProof/>
                <w:webHidden/>
              </w:rPr>
              <w:fldChar w:fldCharType="separate"/>
            </w:r>
            <w:r>
              <w:rPr>
                <w:noProof/>
                <w:webHidden/>
              </w:rPr>
              <w:t>744</w:t>
            </w:r>
            <w:r>
              <w:rPr>
                <w:noProof/>
                <w:webHidden/>
              </w:rPr>
              <w:fldChar w:fldCharType="end"/>
            </w:r>
          </w:hyperlink>
        </w:p>
        <w:p w14:paraId="39348C2F" w14:textId="4CABD73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66" w:history="1">
            <w:r w:rsidRPr="00F45DCA">
              <w:rPr>
                <w:rStyle w:val="Lienhypertexte"/>
                <w:noProof/>
              </w:rPr>
              <w:t>23.11.3c Poutres en treillis en acier inoxydable CCTB 01.11</w:t>
            </w:r>
            <w:r>
              <w:rPr>
                <w:noProof/>
                <w:webHidden/>
              </w:rPr>
              <w:tab/>
            </w:r>
            <w:r>
              <w:rPr>
                <w:noProof/>
                <w:webHidden/>
              </w:rPr>
              <w:fldChar w:fldCharType="begin"/>
            </w:r>
            <w:r>
              <w:rPr>
                <w:noProof/>
                <w:webHidden/>
              </w:rPr>
              <w:instrText xml:space="preserve"> PAGEREF _Toc220496166 \h </w:instrText>
            </w:r>
            <w:r>
              <w:rPr>
                <w:noProof/>
                <w:webHidden/>
              </w:rPr>
            </w:r>
            <w:r>
              <w:rPr>
                <w:noProof/>
                <w:webHidden/>
              </w:rPr>
              <w:fldChar w:fldCharType="separate"/>
            </w:r>
            <w:r>
              <w:rPr>
                <w:noProof/>
                <w:webHidden/>
              </w:rPr>
              <w:t>746</w:t>
            </w:r>
            <w:r>
              <w:rPr>
                <w:noProof/>
                <w:webHidden/>
              </w:rPr>
              <w:fldChar w:fldCharType="end"/>
            </w:r>
          </w:hyperlink>
        </w:p>
        <w:p w14:paraId="2FF2B2D4" w14:textId="7119342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67" w:history="1">
            <w:r w:rsidRPr="00F45DCA">
              <w:rPr>
                <w:rStyle w:val="Lienhypertexte"/>
                <w:noProof/>
              </w:rPr>
              <w:t>23.11.3d Poutres alvéolaires en acier inoxydable CCTB 01.11</w:t>
            </w:r>
            <w:r>
              <w:rPr>
                <w:noProof/>
                <w:webHidden/>
              </w:rPr>
              <w:tab/>
            </w:r>
            <w:r>
              <w:rPr>
                <w:noProof/>
                <w:webHidden/>
              </w:rPr>
              <w:fldChar w:fldCharType="begin"/>
            </w:r>
            <w:r>
              <w:rPr>
                <w:noProof/>
                <w:webHidden/>
              </w:rPr>
              <w:instrText xml:space="preserve"> PAGEREF _Toc220496167 \h </w:instrText>
            </w:r>
            <w:r>
              <w:rPr>
                <w:noProof/>
                <w:webHidden/>
              </w:rPr>
            </w:r>
            <w:r>
              <w:rPr>
                <w:noProof/>
                <w:webHidden/>
              </w:rPr>
              <w:fldChar w:fldCharType="separate"/>
            </w:r>
            <w:r>
              <w:rPr>
                <w:noProof/>
                <w:webHidden/>
              </w:rPr>
              <w:t>748</w:t>
            </w:r>
            <w:r>
              <w:rPr>
                <w:noProof/>
                <w:webHidden/>
              </w:rPr>
              <w:fldChar w:fldCharType="end"/>
            </w:r>
          </w:hyperlink>
        </w:p>
        <w:p w14:paraId="0CC33AFF" w14:textId="0802537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68" w:history="1">
            <w:r w:rsidRPr="00F45DCA">
              <w:rPr>
                <w:rStyle w:val="Lienhypertexte"/>
                <w:noProof/>
              </w:rPr>
              <w:t>23.11.3e Poutres en éléments tubulaires en acier inoxydable CCTB 01.04</w:t>
            </w:r>
            <w:r>
              <w:rPr>
                <w:noProof/>
                <w:webHidden/>
              </w:rPr>
              <w:tab/>
            </w:r>
            <w:r>
              <w:rPr>
                <w:noProof/>
                <w:webHidden/>
              </w:rPr>
              <w:fldChar w:fldCharType="begin"/>
            </w:r>
            <w:r>
              <w:rPr>
                <w:noProof/>
                <w:webHidden/>
              </w:rPr>
              <w:instrText xml:space="preserve"> PAGEREF _Toc220496168 \h </w:instrText>
            </w:r>
            <w:r>
              <w:rPr>
                <w:noProof/>
                <w:webHidden/>
              </w:rPr>
            </w:r>
            <w:r>
              <w:rPr>
                <w:noProof/>
                <w:webHidden/>
              </w:rPr>
              <w:fldChar w:fldCharType="separate"/>
            </w:r>
            <w:r>
              <w:rPr>
                <w:noProof/>
                <w:webHidden/>
              </w:rPr>
              <w:t>750</w:t>
            </w:r>
            <w:r>
              <w:rPr>
                <w:noProof/>
                <w:webHidden/>
              </w:rPr>
              <w:fldChar w:fldCharType="end"/>
            </w:r>
          </w:hyperlink>
        </w:p>
        <w:p w14:paraId="38BB0328" w14:textId="7668073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69" w:history="1">
            <w:r w:rsidRPr="00F45DCA">
              <w:rPr>
                <w:rStyle w:val="Lienhypertexte"/>
                <w:noProof/>
              </w:rPr>
              <w:t>23.11.4 Poutres en acier inoxydable formées à froid CCTB 01.04</w:t>
            </w:r>
            <w:r>
              <w:rPr>
                <w:noProof/>
                <w:webHidden/>
              </w:rPr>
              <w:tab/>
            </w:r>
            <w:r>
              <w:rPr>
                <w:noProof/>
                <w:webHidden/>
              </w:rPr>
              <w:fldChar w:fldCharType="begin"/>
            </w:r>
            <w:r>
              <w:rPr>
                <w:noProof/>
                <w:webHidden/>
              </w:rPr>
              <w:instrText xml:space="preserve"> PAGEREF _Toc220496169 \h </w:instrText>
            </w:r>
            <w:r>
              <w:rPr>
                <w:noProof/>
                <w:webHidden/>
              </w:rPr>
            </w:r>
            <w:r>
              <w:rPr>
                <w:noProof/>
                <w:webHidden/>
              </w:rPr>
              <w:fldChar w:fldCharType="separate"/>
            </w:r>
            <w:r>
              <w:rPr>
                <w:noProof/>
                <w:webHidden/>
              </w:rPr>
              <w:t>750</w:t>
            </w:r>
            <w:r>
              <w:rPr>
                <w:noProof/>
                <w:webHidden/>
              </w:rPr>
              <w:fldChar w:fldCharType="end"/>
            </w:r>
          </w:hyperlink>
        </w:p>
        <w:p w14:paraId="7974EA0C" w14:textId="339C567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70" w:history="1">
            <w:r w:rsidRPr="00F45DCA">
              <w:rPr>
                <w:rStyle w:val="Lienhypertexte"/>
                <w:noProof/>
              </w:rPr>
              <w:t>23.11.4a Poutres en acier inoxydable formées à froid CCTB 01.04</w:t>
            </w:r>
            <w:r>
              <w:rPr>
                <w:noProof/>
                <w:webHidden/>
              </w:rPr>
              <w:tab/>
            </w:r>
            <w:r>
              <w:rPr>
                <w:noProof/>
                <w:webHidden/>
              </w:rPr>
              <w:fldChar w:fldCharType="begin"/>
            </w:r>
            <w:r>
              <w:rPr>
                <w:noProof/>
                <w:webHidden/>
              </w:rPr>
              <w:instrText xml:space="preserve"> PAGEREF _Toc220496170 \h </w:instrText>
            </w:r>
            <w:r>
              <w:rPr>
                <w:noProof/>
                <w:webHidden/>
              </w:rPr>
            </w:r>
            <w:r>
              <w:rPr>
                <w:noProof/>
                <w:webHidden/>
              </w:rPr>
              <w:fldChar w:fldCharType="separate"/>
            </w:r>
            <w:r>
              <w:rPr>
                <w:noProof/>
                <w:webHidden/>
              </w:rPr>
              <w:t>750</w:t>
            </w:r>
            <w:r>
              <w:rPr>
                <w:noProof/>
                <w:webHidden/>
              </w:rPr>
              <w:fldChar w:fldCharType="end"/>
            </w:r>
          </w:hyperlink>
        </w:p>
        <w:p w14:paraId="1543CA5E" w14:textId="40A8F2E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71" w:history="1">
            <w:r w:rsidRPr="00F45DCA">
              <w:rPr>
                <w:rStyle w:val="Lienhypertexte"/>
                <w:noProof/>
              </w:rPr>
              <w:t>23.11.5 Poutres en aluminium CCTB 01.04</w:t>
            </w:r>
            <w:r>
              <w:rPr>
                <w:noProof/>
                <w:webHidden/>
              </w:rPr>
              <w:tab/>
            </w:r>
            <w:r>
              <w:rPr>
                <w:noProof/>
                <w:webHidden/>
              </w:rPr>
              <w:fldChar w:fldCharType="begin"/>
            </w:r>
            <w:r>
              <w:rPr>
                <w:noProof/>
                <w:webHidden/>
              </w:rPr>
              <w:instrText xml:space="preserve"> PAGEREF _Toc220496171 \h </w:instrText>
            </w:r>
            <w:r>
              <w:rPr>
                <w:noProof/>
                <w:webHidden/>
              </w:rPr>
            </w:r>
            <w:r>
              <w:rPr>
                <w:noProof/>
                <w:webHidden/>
              </w:rPr>
              <w:fldChar w:fldCharType="separate"/>
            </w:r>
            <w:r>
              <w:rPr>
                <w:noProof/>
                <w:webHidden/>
              </w:rPr>
              <w:t>750</w:t>
            </w:r>
            <w:r>
              <w:rPr>
                <w:noProof/>
                <w:webHidden/>
              </w:rPr>
              <w:fldChar w:fldCharType="end"/>
            </w:r>
          </w:hyperlink>
        </w:p>
        <w:p w14:paraId="64B7434D" w14:textId="0B8627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72" w:history="1">
            <w:r w:rsidRPr="00F45DCA">
              <w:rPr>
                <w:rStyle w:val="Lienhypertexte"/>
                <w:noProof/>
              </w:rPr>
              <w:t>23.11.5a Poutres en aluminium CCTB 01.04</w:t>
            </w:r>
            <w:r>
              <w:rPr>
                <w:noProof/>
                <w:webHidden/>
              </w:rPr>
              <w:tab/>
            </w:r>
            <w:r>
              <w:rPr>
                <w:noProof/>
                <w:webHidden/>
              </w:rPr>
              <w:fldChar w:fldCharType="begin"/>
            </w:r>
            <w:r>
              <w:rPr>
                <w:noProof/>
                <w:webHidden/>
              </w:rPr>
              <w:instrText xml:space="preserve"> PAGEREF _Toc220496172 \h </w:instrText>
            </w:r>
            <w:r>
              <w:rPr>
                <w:noProof/>
                <w:webHidden/>
              </w:rPr>
            </w:r>
            <w:r>
              <w:rPr>
                <w:noProof/>
                <w:webHidden/>
              </w:rPr>
              <w:fldChar w:fldCharType="separate"/>
            </w:r>
            <w:r>
              <w:rPr>
                <w:noProof/>
                <w:webHidden/>
              </w:rPr>
              <w:t>750</w:t>
            </w:r>
            <w:r>
              <w:rPr>
                <w:noProof/>
                <w:webHidden/>
              </w:rPr>
              <w:fldChar w:fldCharType="end"/>
            </w:r>
          </w:hyperlink>
        </w:p>
        <w:p w14:paraId="659DC1EE" w14:textId="19A8846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73" w:history="1">
            <w:r w:rsidRPr="00F45DCA">
              <w:rPr>
                <w:rStyle w:val="Lienhypertexte"/>
                <w:noProof/>
              </w:rPr>
              <w:t>23.11.5b Poutres en treillis en aluminium CCTB 01.04</w:t>
            </w:r>
            <w:r>
              <w:rPr>
                <w:noProof/>
                <w:webHidden/>
              </w:rPr>
              <w:tab/>
            </w:r>
            <w:r>
              <w:rPr>
                <w:noProof/>
                <w:webHidden/>
              </w:rPr>
              <w:fldChar w:fldCharType="begin"/>
            </w:r>
            <w:r>
              <w:rPr>
                <w:noProof/>
                <w:webHidden/>
              </w:rPr>
              <w:instrText xml:space="preserve"> PAGEREF _Toc220496173 \h </w:instrText>
            </w:r>
            <w:r>
              <w:rPr>
                <w:noProof/>
                <w:webHidden/>
              </w:rPr>
            </w:r>
            <w:r>
              <w:rPr>
                <w:noProof/>
                <w:webHidden/>
              </w:rPr>
              <w:fldChar w:fldCharType="separate"/>
            </w:r>
            <w:r>
              <w:rPr>
                <w:noProof/>
                <w:webHidden/>
              </w:rPr>
              <w:t>750</w:t>
            </w:r>
            <w:r>
              <w:rPr>
                <w:noProof/>
                <w:webHidden/>
              </w:rPr>
              <w:fldChar w:fldCharType="end"/>
            </w:r>
          </w:hyperlink>
        </w:p>
        <w:p w14:paraId="7025A2F2" w14:textId="380FB86D"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174" w:history="1">
            <w:r w:rsidRPr="00F45DCA">
              <w:rPr>
                <w:rStyle w:val="Lienhypertexte"/>
                <w:noProof/>
              </w:rPr>
              <w:t>23.12 Eléments de charpentes de toiture métalliques CCTB 01.04</w:t>
            </w:r>
            <w:r>
              <w:rPr>
                <w:noProof/>
                <w:webHidden/>
              </w:rPr>
              <w:tab/>
            </w:r>
            <w:r>
              <w:rPr>
                <w:noProof/>
                <w:webHidden/>
              </w:rPr>
              <w:fldChar w:fldCharType="begin"/>
            </w:r>
            <w:r>
              <w:rPr>
                <w:noProof/>
                <w:webHidden/>
              </w:rPr>
              <w:instrText xml:space="preserve"> PAGEREF _Toc220496174 \h </w:instrText>
            </w:r>
            <w:r>
              <w:rPr>
                <w:noProof/>
                <w:webHidden/>
              </w:rPr>
            </w:r>
            <w:r>
              <w:rPr>
                <w:noProof/>
                <w:webHidden/>
              </w:rPr>
              <w:fldChar w:fldCharType="separate"/>
            </w:r>
            <w:r>
              <w:rPr>
                <w:noProof/>
                <w:webHidden/>
              </w:rPr>
              <w:t>750</w:t>
            </w:r>
            <w:r>
              <w:rPr>
                <w:noProof/>
                <w:webHidden/>
              </w:rPr>
              <w:fldChar w:fldCharType="end"/>
            </w:r>
          </w:hyperlink>
        </w:p>
        <w:p w14:paraId="6EE915CC" w14:textId="2EECFBD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75" w:history="1">
            <w:r w:rsidRPr="00F45DCA">
              <w:rPr>
                <w:rStyle w:val="Lienhypertexte"/>
                <w:noProof/>
              </w:rPr>
              <w:t>23.12.1 Eléments de charpente de toiture en acier laminés à chaud CCTB 01.04</w:t>
            </w:r>
            <w:r>
              <w:rPr>
                <w:noProof/>
                <w:webHidden/>
              </w:rPr>
              <w:tab/>
            </w:r>
            <w:r>
              <w:rPr>
                <w:noProof/>
                <w:webHidden/>
              </w:rPr>
              <w:fldChar w:fldCharType="begin"/>
            </w:r>
            <w:r>
              <w:rPr>
                <w:noProof/>
                <w:webHidden/>
              </w:rPr>
              <w:instrText xml:space="preserve"> PAGEREF _Toc220496175 \h </w:instrText>
            </w:r>
            <w:r>
              <w:rPr>
                <w:noProof/>
                <w:webHidden/>
              </w:rPr>
            </w:r>
            <w:r>
              <w:rPr>
                <w:noProof/>
                <w:webHidden/>
              </w:rPr>
              <w:fldChar w:fldCharType="separate"/>
            </w:r>
            <w:r>
              <w:rPr>
                <w:noProof/>
                <w:webHidden/>
              </w:rPr>
              <w:t>750</w:t>
            </w:r>
            <w:r>
              <w:rPr>
                <w:noProof/>
                <w:webHidden/>
              </w:rPr>
              <w:fldChar w:fldCharType="end"/>
            </w:r>
          </w:hyperlink>
        </w:p>
        <w:p w14:paraId="7EF624EC" w14:textId="5E1D5D8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76" w:history="1">
            <w:r w:rsidRPr="00F45DCA">
              <w:rPr>
                <w:rStyle w:val="Lienhypertexte"/>
                <w:noProof/>
              </w:rPr>
              <w:t>23.12.1a Sablières en acier laminées à chaud CCTB 01.04</w:t>
            </w:r>
            <w:r>
              <w:rPr>
                <w:noProof/>
                <w:webHidden/>
              </w:rPr>
              <w:tab/>
            </w:r>
            <w:r>
              <w:rPr>
                <w:noProof/>
                <w:webHidden/>
              </w:rPr>
              <w:fldChar w:fldCharType="begin"/>
            </w:r>
            <w:r>
              <w:rPr>
                <w:noProof/>
                <w:webHidden/>
              </w:rPr>
              <w:instrText xml:space="preserve"> PAGEREF _Toc220496176 \h </w:instrText>
            </w:r>
            <w:r>
              <w:rPr>
                <w:noProof/>
                <w:webHidden/>
              </w:rPr>
            </w:r>
            <w:r>
              <w:rPr>
                <w:noProof/>
                <w:webHidden/>
              </w:rPr>
              <w:fldChar w:fldCharType="separate"/>
            </w:r>
            <w:r>
              <w:rPr>
                <w:noProof/>
                <w:webHidden/>
              </w:rPr>
              <w:t>750</w:t>
            </w:r>
            <w:r>
              <w:rPr>
                <w:noProof/>
                <w:webHidden/>
              </w:rPr>
              <w:fldChar w:fldCharType="end"/>
            </w:r>
          </w:hyperlink>
        </w:p>
        <w:p w14:paraId="43F36EA4" w14:textId="35DE9DF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77" w:history="1">
            <w:r w:rsidRPr="00F45DCA">
              <w:rPr>
                <w:rStyle w:val="Lienhypertexte"/>
                <w:noProof/>
              </w:rPr>
              <w:t>23.12.1b Pannes en acier laminées à chaud CCTB 01.04</w:t>
            </w:r>
            <w:r>
              <w:rPr>
                <w:noProof/>
                <w:webHidden/>
              </w:rPr>
              <w:tab/>
            </w:r>
            <w:r>
              <w:rPr>
                <w:noProof/>
                <w:webHidden/>
              </w:rPr>
              <w:fldChar w:fldCharType="begin"/>
            </w:r>
            <w:r>
              <w:rPr>
                <w:noProof/>
                <w:webHidden/>
              </w:rPr>
              <w:instrText xml:space="preserve"> PAGEREF _Toc220496177 \h </w:instrText>
            </w:r>
            <w:r>
              <w:rPr>
                <w:noProof/>
                <w:webHidden/>
              </w:rPr>
            </w:r>
            <w:r>
              <w:rPr>
                <w:noProof/>
                <w:webHidden/>
              </w:rPr>
              <w:fldChar w:fldCharType="separate"/>
            </w:r>
            <w:r>
              <w:rPr>
                <w:noProof/>
                <w:webHidden/>
              </w:rPr>
              <w:t>750</w:t>
            </w:r>
            <w:r>
              <w:rPr>
                <w:noProof/>
                <w:webHidden/>
              </w:rPr>
              <w:fldChar w:fldCharType="end"/>
            </w:r>
          </w:hyperlink>
        </w:p>
        <w:p w14:paraId="6CE85B9F" w14:textId="3573D0F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78" w:history="1">
            <w:r w:rsidRPr="00F45DCA">
              <w:rPr>
                <w:rStyle w:val="Lienhypertexte"/>
                <w:noProof/>
              </w:rPr>
              <w:t>23.12.1c Chevrons autoporteurs en acier laminés à chaud CCTB 01.04</w:t>
            </w:r>
            <w:r>
              <w:rPr>
                <w:noProof/>
                <w:webHidden/>
              </w:rPr>
              <w:tab/>
            </w:r>
            <w:r>
              <w:rPr>
                <w:noProof/>
                <w:webHidden/>
              </w:rPr>
              <w:fldChar w:fldCharType="begin"/>
            </w:r>
            <w:r>
              <w:rPr>
                <w:noProof/>
                <w:webHidden/>
              </w:rPr>
              <w:instrText xml:space="preserve"> PAGEREF _Toc220496178 \h </w:instrText>
            </w:r>
            <w:r>
              <w:rPr>
                <w:noProof/>
                <w:webHidden/>
              </w:rPr>
            </w:r>
            <w:r>
              <w:rPr>
                <w:noProof/>
                <w:webHidden/>
              </w:rPr>
              <w:fldChar w:fldCharType="separate"/>
            </w:r>
            <w:r>
              <w:rPr>
                <w:noProof/>
                <w:webHidden/>
              </w:rPr>
              <w:t>750</w:t>
            </w:r>
            <w:r>
              <w:rPr>
                <w:noProof/>
                <w:webHidden/>
              </w:rPr>
              <w:fldChar w:fldCharType="end"/>
            </w:r>
          </w:hyperlink>
        </w:p>
        <w:p w14:paraId="290FDEFF" w14:textId="180E7BA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79" w:history="1">
            <w:r w:rsidRPr="00F45DCA">
              <w:rPr>
                <w:rStyle w:val="Lienhypertexte"/>
                <w:noProof/>
              </w:rPr>
              <w:t>23.12.1d Faîtières en acier laminées à chaud CCTB 01.04</w:t>
            </w:r>
            <w:r>
              <w:rPr>
                <w:noProof/>
                <w:webHidden/>
              </w:rPr>
              <w:tab/>
            </w:r>
            <w:r>
              <w:rPr>
                <w:noProof/>
                <w:webHidden/>
              </w:rPr>
              <w:fldChar w:fldCharType="begin"/>
            </w:r>
            <w:r>
              <w:rPr>
                <w:noProof/>
                <w:webHidden/>
              </w:rPr>
              <w:instrText xml:space="preserve"> PAGEREF _Toc220496179 \h </w:instrText>
            </w:r>
            <w:r>
              <w:rPr>
                <w:noProof/>
                <w:webHidden/>
              </w:rPr>
            </w:r>
            <w:r>
              <w:rPr>
                <w:noProof/>
                <w:webHidden/>
              </w:rPr>
              <w:fldChar w:fldCharType="separate"/>
            </w:r>
            <w:r>
              <w:rPr>
                <w:noProof/>
                <w:webHidden/>
              </w:rPr>
              <w:t>750</w:t>
            </w:r>
            <w:r>
              <w:rPr>
                <w:noProof/>
                <w:webHidden/>
              </w:rPr>
              <w:fldChar w:fldCharType="end"/>
            </w:r>
          </w:hyperlink>
        </w:p>
        <w:p w14:paraId="60EA9668" w14:textId="60E8715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80" w:history="1">
            <w:r w:rsidRPr="00F45DCA">
              <w:rPr>
                <w:rStyle w:val="Lienhypertexte"/>
                <w:noProof/>
              </w:rPr>
              <w:t>23.12.1e Arbalétriers en acier laminés à chaud CCTB 01.04</w:t>
            </w:r>
            <w:r>
              <w:rPr>
                <w:noProof/>
                <w:webHidden/>
              </w:rPr>
              <w:tab/>
            </w:r>
            <w:r>
              <w:rPr>
                <w:noProof/>
                <w:webHidden/>
              </w:rPr>
              <w:fldChar w:fldCharType="begin"/>
            </w:r>
            <w:r>
              <w:rPr>
                <w:noProof/>
                <w:webHidden/>
              </w:rPr>
              <w:instrText xml:space="preserve"> PAGEREF _Toc220496180 \h </w:instrText>
            </w:r>
            <w:r>
              <w:rPr>
                <w:noProof/>
                <w:webHidden/>
              </w:rPr>
            </w:r>
            <w:r>
              <w:rPr>
                <w:noProof/>
                <w:webHidden/>
              </w:rPr>
              <w:fldChar w:fldCharType="separate"/>
            </w:r>
            <w:r>
              <w:rPr>
                <w:noProof/>
                <w:webHidden/>
              </w:rPr>
              <w:t>750</w:t>
            </w:r>
            <w:r>
              <w:rPr>
                <w:noProof/>
                <w:webHidden/>
              </w:rPr>
              <w:fldChar w:fldCharType="end"/>
            </w:r>
          </w:hyperlink>
        </w:p>
        <w:p w14:paraId="2298EF59" w14:textId="42CD82A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81" w:history="1">
            <w:r w:rsidRPr="00F45DCA">
              <w:rPr>
                <w:rStyle w:val="Lienhypertexte"/>
                <w:noProof/>
              </w:rPr>
              <w:t>23.12.1f Entraits en acier laminés à chaud CCTB 01.04</w:t>
            </w:r>
            <w:r>
              <w:rPr>
                <w:noProof/>
                <w:webHidden/>
              </w:rPr>
              <w:tab/>
            </w:r>
            <w:r>
              <w:rPr>
                <w:noProof/>
                <w:webHidden/>
              </w:rPr>
              <w:fldChar w:fldCharType="begin"/>
            </w:r>
            <w:r>
              <w:rPr>
                <w:noProof/>
                <w:webHidden/>
              </w:rPr>
              <w:instrText xml:space="preserve"> PAGEREF _Toc220496181 \h </w:instrText>
            </w:r>
            <w:r>
              <w:rPr>
                <w:noProof/>
                <w:webHidden/>
              </w:rPr>
            </w:r>
            <w:r>
              <w:rPr>
                <w:noProof/>
                <w:webHidden/>
              </w:rPr>
              <w:fldChar w:fldCharType="separate"/>
            </w:r>
            <w:r>
              <w:rPr>
                <w:noProof/>
                <w:webHidden/>
              </w:rPr>
              <w:t>750</w:t>
            </w:r>
            <w:r>
              <w:rPr>
                <w:noProof/>
                <w:webHidden/>
              </w:rPr>
              <w:fldChar w:fldCharType="end"/>
            </w:r>
          </w:hyperlink>
        </w:p>
        <w:p w14:paraId="6022DB75" w14:textId="718C551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82" w:history="1">
            <w:r w:rsidRPr="00F45DCA">
              <w:rPr>
                <w:rStyle w:val="Lienhypertexte"/>
                <w:noProof/>
              </w:rPr>
              <w:t>23.12.1g Chevêtres en acier laminés à chaud CCTB 01.04</w:t>
            </w:r>
            <w:r>
              <w:rPr>
                <w:noProof/>
                <w:webHidden/>
              </w:rPr>
              <w:tab/>
            </w:r>
            <w:r>
              <w:rPr>
                <w:noProof/>
                <w:webHidden/>
              </w:rPr>
              <w:fldChar w:fldCharType="begin"/>
            </w:r>
            <w:r>
              <w:rPr>
                <w:noProof/>
                <w:webHidden/>
              </w:rPr>
              <w:instrText xml:space="preserve"> PAGEREF _Toc220496182 \h </w:instrText>
            </w:r>
            <w:r>
              <w:rPr>
                <w:noProof/>
                <w:webHidden/>
              </w:rPr>
            </w:r>
            <w:r>
              <w:rPr>
                <w:noProof/>
                <w:webHidden/>
              </w:rPr>
              <w:fldChar w:fldCharType="separate"/>
            </w:r>
            <w:r>
              <w:rPr>
                <w:noProof/>
                <w:webHidden/>
              </w:rPr>
              <w:t>750</w:t>
            </w:r>
            <w:r>
              <w:rPr>
                <w:noProof/>
                <w:webHidden/>
              </w:rPr>
              <w:fldChar w:fldCharType="end"/>
            </w:r>
          </w:hyperlink>
        </w:p>
        <w:p w14:paraId="344A0533" w14:textId="3C00D47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83" w:history="1">
            <w:r w:rsidRPr="00F45DCA">
              <w:rPr>
                <w:rStyle w:val="Lienhypertexte"/>
                <w:noProof/>
              </w:rPr>
              <w:t>23.12.1h Chevrons en acier laminés à chaud CCTB 01.04</w:t>
            </w:r>
            <w:r>
              <w:rPr>
                <w:noProof/>
                <w:webHidden/>
              </w:rPr>
              <w:tab/>
            </w:r>
            <w:r>
              <w:rPr>
                <w:noProof/>
                <w:webHidden/>
              </w:rPr>
              <w:fldChar w:fldCharType="begin"/>
            </w:r>
            <w:r>
              <w:rPr>
                <w:noProof/>
                <w:webHidden/>
              </w:rPr>
              <w:instrText xml:space="preserve"> PAGEREF _Toc220496183 \h </w:instrText>
            </w:r>
            <w:r>
              <w:rPr>
                <w:noProof/>
                <w:webHidden/>
              </w:rPr>
            </w:r>
            <w:r>
              <w:rPr>
                <w:noProof/>
                <w:webHidden/>
              </w:rPr>
              <w:fldChar w:fldCharType="separate"/>
            </w:r>
            <w:r>
              <w:rPr>
                <w:noProof/>
                <w:webHidden/>
              </w:rPr>
              <w:t>750</w:t>
            </w:r>
            <w:r>
              <w:rPr>
                <w:noProof/>
                <w:webHidden/>
              </w:rPr>
              <w:fldChar w:fldCharType="end"/>
            </w:r>
          </w:hyperlink>
        </w:p>
        <w:p w14:paraId="16B64C5F" w14:textId="611B7EA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84" w:history="1">
            <w:r w:rsidRPr="00F45DCA">
              <w:rPr>
                <w:rStyle w:val="Lienhypertexte"/>
                <w:noProof/>
              </w:rPr>
              <w:t>23.12.1i Voliges et panneaux en acier laminés à chaud CCTB 01.04</w:t>
            </w:r>
            <w:r>
              <w:rPr>
                <w:noProof/>
                <w:webHidden/>
              </w:rPr>
              <w:tab/>
            </w:r>
            <w:r>
              <w:rPr>
                <w:noProof/>
                <w:webHidden/>
              </w:rPr>
              <w:fldChar w:fldCharType="begin"/>
            </w:r>
            <w:r>
              <w:rPr>
                <w:noProof/>
                <w:webHidden/>
              </w:rPr>
              <w:instrText xml:space="preserve"> PAGEREF _Toc220496184 \h </w:instrText>
            </w:r>
            <w:r>
              <w:rPr>
                <w:noProof/>
                <w:webHidden/>
              </w:rPr>
            </w:r>
            <w:r>
              <w:rPr>
                <w:noProof/>
                <w:webHidden/>
              </w:rPr>
              <w:fldChar w:fldCharType="separate"/>
            </w:r>
            <w:r>
              <w:rPr>
                <w:noProof/>
                <w:webHidden/>
              </w:rPr>
              <w:t>751</w:t>
            </w:r>
            <w:r>
              <w:rPr>
                <w:noProof/>
                <w:webHidden/>
              </w:rPr>
              <w:fldChar w:fldCharType="end"/>
            </w:r>
          </w:hyperlink>
        </w:p>
        <w:p w14:paraId="6A9C9FFE" w14:textId="7D15B82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85" w:history="1">
            <w:r w:rsidRPr="00F45DCA">
              <w:rPr>
                <w:rStyle w:val="Lienhypertexte"/>
                <w:noProof/>
              </w:rPr>
              <w:t>23.12.2 Eléments de charpente de toiture en acier formés à froid CCTB 01.04</w:t>
            </w:r>
            <w:r>
              <w:rPr>
                <w:noProof/>
                <w:webHidden/>
              </w:rPr>
              <w:tab/>
            </w:r>
            <w:r>
              <w:rPr>
                <w:noProof/>
                <w:webHidden/>
              </w:rPr>
              <w:fldChar w:fldCharType="begin"/>
            </w:r>
            <w:r>
              <w:rPr>
                <w:noProof/>
                <w:webHidden/>
              </w:rPr>
              <w:instrText xml:space="preserve"> PAGEREF _Toc220496185 \h </w:instrText>
            </w:r>
            <w:r>
              <w:rPr>
                <w:noProof/>
                <w:webHidden/>
              </w:rPr>
            </w:r>
            <w:r>
              <w:rPr>
                <w:noProof/>
                <w:webHidden/>
              </w:rPr>
              <w:fldChar w:fldCharType="separate"/>
            </w:r>
            <w:r>
              <w:rPr>
                <w:noProof/>
                <w:webHidden/>
              </w:rPr>
              <w:t>751</w:t>
            </w:r>
            <w:r>
              <w:rPr>
                <w:noProof/>
                <w:webHidden/>
              </w:rPr>
              <w:fldChar w:fldCharType="end"/>
            </w:r>
          </w:hyperlink>
        </w:p>
        <w:p w14:paraId="15B2B80E" w14:textId="544241F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86" w:history="1">
            <w:r w:rsidRPr="00F45DCA">
              <w:rPr>
                <w:rStyle w:val="Lienhypertexte"/>
                <w:noProof/>
              </w:rPr>
              <w:t>23.12.2a Sablières en acier formées à froid CCTB 01.04</w:t>
            </w:r>
            <w:r>
              <w:rPr>
                <w:noProof/>
                <w:webHidden/>
              </w:rPr>
              <w:tab/>
            </w:r>
            <w:r>
              <w:rPr>
                <w:noProof/>
                <w:webHidden/>
              </w:rPr>
              <w:fldChar w:fldCharType="begin"/>
            </w:r>
            <w:r>
              <w:rPr>
                <w:noProof/>
                <w:webHidden/>
              </w:rPr>
              <w:instrText xml:space="preserve"> PAGEREF _Toc220496186 \h </w:instrText>
            </w:r>
            <w:r>
              <w:rPr>
                <w:noProof/>
                <w:webHidden/>
              </w:rPr>
            </w:r>
            <w:r>
              <w:rPr>
                <w:noProof/>
                <w:webHidden/>
              </w:rPr>
              <w:fldChar w:fldCharType="separate"/>
            </w:r>
            <w:r>
              <w:rPr>
                <w:noProof/>
                <w:webHidden/>
              </w:rPr>
              <w:t>751</w:t>
            </w:r>
            <w:r>
              <w:rPr>
                <w:noProof/>
                <w:webHidden/>
              </w:rPr>
              <w:fldChar w:fldCharType="end"/>
            </w:r>
          </w:hyperlink>
        </w:p>
        <w:p w14:paraId="044BB054" w14:textId="6CF4769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87" w:history="1">
            <w:r w:rsidRPr="00F45DCA">
              <w:rPr>
                <w:rStyle w:val="Lienhypertexte"/>
                <w:noProof/>
              </w:rPr>
              <w:t>23.12.2b Pannes en acier formées à froid CCTB 01.04</w:t>
            </w:r>
            <w:r>
              <w:rPr>
                <w:noProof/>
                <w:webHidden/>
              </w:rPr>
              <w:tab/>
            </w:r>
            <w:r>
              <w:rPr>
                <w:noProof/>
                <w:webHidden/>
              </w:rPr>
              <w:fldChar w:fldCharType="begin"/>
            </w:r>
            <w:r>
              <w:rPr>
                <w:noProof/>
                <w:webHidden/>
              </w:rPr>
              <w:instrText xml:space="preserve"> PAGEREF _Toc220496187 \h </w:instrText>
            </w:r>
            <w:r>
              <w:rPr>
                <w:noProof/>
                <w:webHidden/>
              </w:rPr>
            </w:r>
            <w:r>
              <w:rPr>
                <w:noProof/>
                <w:webHidden/>
              </w:rPr>
              <w:fldChar w:fldCharType="separate"/>
            </w:r>
            <w:r>
              <w:rPr>
                <w:noProof/>
                <w:webHidden/>
              </w:rPr>
              <w:t>751</w:t>
            </w:r>
            <w:r>
              <w:rPr>
                <w:noProof/>
                <w:webHidden/>
              </w:rPr>
              <w:fldChar w:fldCharType="end"/>
            </w:r>
          </w:hyperlink>
        </w:p>
        <w:p w14:paraId="66B845AE" w14:textId="3522601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88" w:history="1">
            <w:r w:rsidRPr="00F45DCA">
              <w:rPr>
                <w:rStyle w:val="Lienhypertexte"/>
                <w:noProof/>
              </w:rPr>
              <w:t>23.12.2c Chevrons autoporteurs en acier formés à froid CCTB 01.04</w:t>
            </w:r>
            <w:r>
              <w:rPr>
                <w:noProof/>
                <w:webHidden/>
              </w:rPr>
              <w:tab/>
            </w:r>
            <w:r>
              <w:rPr>
                <w:noProof/>
                <w:webHidden/>
              </w:rPr>
              <w:fldChar w:fldCharType="begin"/>
            </w:r>
            <w:r>
              <w:rPr>
                <w:noProof/>
                <w:webHidden/>
              </w:rPr>
              <w:instrText xml:space="preserve"> PAGEREF _Toc220496188 \h </w:instrText>
            </w:r>
            <w:r>
              <w:rPr>
                <w:noProof/>
                <w:webHidden/>
              </w:rPr>
            </w:r>
            <w:r>
              <w:rPr>
                <w:noProof/>
                <w:webHidden/>
              </w:rPr>
              <w:fldChar w:fldCharType="separate"/>
            </w:r>
            <w:r>
              <w:rPr>
                <w:noProof/>
                <w:webHidden/>
              </w:rPr>
              <w:t>751</w:t>
            </w:r>
            <w:r>
              <w:rPr>
                <w:noProof/>
                <w:webHidden/>
              </w:rPr>
              <w:fldChar w:fldCharType="end"/>
            </w:r>
          </w:hyperlink>
        </w:p>
        <w:p w14:paraId="465602C5" w14:textId="23E9164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89" w:history="1">
            <w:r w:rsidRPr="00F45DCA">
              <w:rPr>
                <w:rStyle w:val="Lienhypertexte"/>
                <w:noProof/>
              </w:rPr>
              <w:t>23.12.2d Faîtières en acier formées à froid CCTB 01.04</w:t>
            </w:r>
            <w:r>
              <w:rPr>
                <w:noProof/>
                <w:webHidden/>
              </w:rPr>
              <w:tab/>
            </w:r>
            <w:r>
              <w:rPr>
                <w:noProof/>
                <w:webHidden/>
              </w:rPr>
              <w:fldChar w:fldCharType="begin"/>
            </w:r>
            <w:r>
              <w:rPr>
                <w:noProof/>
                <w:webHidden/>
              </w:rPr>
              <w:instrText xml:space="preserve"> PAGEREF _Toc220496189 \h </w:instrText>
            </w:r>
            <w:r>
              <w:rPr>
                <w:noProof/>
                <w:webHidden/>
              </w:rPr>
            </w:r>
            <w:r>
              <w:rPr>
                <w:noProof/>
                <w:webHidden/>
              </w:rPr>
              <w:fldChar w:fldCharType="separate"/>
            </w:r>
            <w:r>
              <w:rPr>
                <w:noProof/>
                <w:webHidden/>
              </w:rPr>
              <w:t>751</w:t>
            </w:r>
            <w:r>
              <w:rPr>
                <w:noProof/>
                <w:webHidden/>
              </w:rPr>
              <w:fldChar w:fldCharType="end"/>
            </w:r>
          </w:hyperlink>
        </w:p>
        <w:p w14:paraId="6CB5223F" w14:textId="0A741C4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90" w:history="1">
            <w:r w:rsidRPr="00F45DCA">
              <w:rPr>
                <w:rStyle w:val="Lienhypertexte"/>
                <w:noProof/>
              </w:rPr>
              <w:t>23.12.2e Arbalétriers en acier formés à froid CCTB 01.04</w:t>
            </w:r>
            <w:r>
              <w:rPr>
                <w:noProof/>
                <w:webHidden/>
              </w:rPr>
              <w:tab/>
            </w:r>
            <w:r>
              <w:rPr>
                <w:noProof/>
                <w:webHidden/>
              </w:rPr>
              <w:fldChar w:fldCharType="begin"/>
            </w:r>
            <w:r>
              <w:rPr>
                <w:noProof/>
                <w:webHidden/>
              </w:rPr>
              <w:instrText xml:space="preserve"> PAGEREF _Toc220496190 \h </w:instrText>
            </w:r>
            <w:r>
              <w:rPr>
                <w:noProof/>
                <w:webHidden/>
              </w:rPr>
            </w:r>
            <w:r>
              <w:rPr>
                <w:noProof/>
                <w:webHidden/>
              </w:rPr>
              <w:fldChar w:fldCharType="separate"/>
            </w:r>
            <w:r>
              <w:rPr>
                <w:noProof/>
                <w:webHidden/>
              </w:rPr>
              <w:t>751</w:t>
            </w:r>
            <w:r>
              <w:rPr>
                <w:noProof/>
                <w:webHidden/>
              </w:rPr>
              <w:fldChar w:fldCharType="end"/>
            </w:r>
          </w:hyperlink>
        </w:p>
        <w:p w14:paraId="7BEFAD30" w14:textId="2D06845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91" w:history="1">
            <w:r w:rsidRPr="00F45DCA">
              <w:rPr>
                <w:rStyle w:val="Lienhypertexte"/>
                <w:noProof/>
              </w:rPr>
              <w:t>23.12.2f Entraits en acier formés à froid CCTB 01.04</w:t>
            </w:r>
            <w:r>
              <w:rPr>
                <w:noProof/>
                <w:webHidden/>
              </w:rPr>
              <w:tab/>
            </w:r>
            <w:r>
              <w:rPr>
                <w:noProof/>
                <w:webHidden/>
              </w:rPr>
              <w:fldChar w:fldCharType="begin"/>
            </w:r>
            <w:r>
              <w:rPr>
                <w:noProof/>
                <w:webHidden/>
              </w:rPr>
              <w:instrText xml:space="preserve"> PAGEREF _Toc220496191 \h </w:instrText>
            </w:r>
            <w:r>
              <w:rPr>
                <w:noProof/>
                <w:webHidden/>
              </w:rPr>
            </w:r>
            <w:r>
              <w:rPr>
                <w:noProof/>
                <w:webHidden/>
              </w:rPr>
              <w:fldChar w:fldCharType="separate"/>
            </w:r>
            <w:r>
              <w:rPr>
                <w:noProof/>
                <w:webHidden/>
              </w:rPr>
              <w:t>751</w:t>
            </w:r>
            <w:r>
              <w:rPr>
                <w:noProof/>
                <w:webHidden/>
              </w:rPr>
              <w:fldChar w:fldCharType="end"/>
            </w:r>
          </w:hyperlink>
        </w:p>
        <w:p w14:paraId="34D416A1" w14:textId="1D42E1D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92" w:history="1">
            <w:r w:rsidRPr="00F45DCA">
              <w:rPr>
                <w:rStyle w:val="Lienhypertexte"/>
                <w:noProof/>
              </w:rPr>
              <w:t>23.12.2g Chevêtres en acier formés à froid CCTB 01.04</w:t>
            </w:r>
            <w:r>
              <w:rPr>
                <w:noProof/>
                <w:webHidden/>
              </w:rPr>
              <w:tab/>
            </w:r>
            <w:r>
              <w:rPr>
                <w:noProof/>
                <w:webHidden/>
              </w:rPr>
              <w:fldChar w:fldCharType="begin"/>
            </w:r>
            <w:r>
              <w:rPr>
                <w:noProof/>
                <w:webHidden/>
              </w:rPr>
              <w:instrText xml:space="preserve"> PAGEREF _Toc220496192 \h </w:instrText>
            </w:r>
            <w:r>
              <w:rPr>
                <w:noProof/>
                <w:webHidden/>
              </w:rPr>
            </w:r>
            <w:r>
              <w:rPr>
                <w:noProof/>
                <w:webHidden/>
              </w:rPr>
              <w:fldChar w:fldCharType="separate"/>
            </w:r>
            <w:r>
              <w:rPr>
                <w:noProof/>
                <w:webHidden/>
              </w:rPr>
              <w:t>751</w:t>
            </w:r>
            <w:r>
              <w:rPr>
                <w:noProof/>
                <w:webHidden/>
              </w:rPr>
              <w:fldChar w:fldCharType="end"/>
            </w:r>
          </w:hyperlink>
        </w:p>
        <w:p w14:paraId="4774F2A2" w14:textId="4F8B53D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93" w:history="1">
            <w:r w:rsidRPr="00F45DCA">
              <w:rPr>
                <w:rStyle w:val="Lienhypertexte"/>
                <w:noProof/>
              </w:rPr>
              <w:t>23.12.2h Chevrons en acier formés à froid CCTB 01.04</w:t>
            </w:r>
            <w:r>
              <w:rPr>
                <w:noProof/>
                <w:webHidden/>
              </w:rPr>
              <w:tab/>
            </w:r>
            <w:r>
              <w:rPr>
                <w:noProof/>
                <w:webHidden/>
              </w:rPr>
              <w:fldChar w:fldCharType="begin"/>
            </w:r>
            <w:r>
              <w:rPr>
                <w:noProof/>
                <w:webHidden/>
              </w:rPr>
              <w:instrText xml:space="preserve"> PAGEREF _Toc220496193 \h </w:instrText>
            </w:r>
            <w:r>
              <w:rPr>
                <w:noProof/>
                <w:webHidden/>
              </w:rPr>
            </w:r>
            <w:r>
              <w:rPr>
                <w:noProof/>
                <w:webHidden/>
              </w:rPr>
              <w:fldChar w:fldCharType="separate"/>
            </w:r>
            <w:r>
              <w:rPr>
                <w:noProof/>
                <w:webHidden/>
              </w:rPr>
              <w:t>751</w:t>
            </w:r>
            <w:r>
              <w:rPr>
                <w:noProof/>
                <w:webHidden/>
              </w:rPr>
              <w:fldChar w:fldCharType="end"/>
            </w:r>
          </w:hyperlink>
        </w:p>
        <w:p w14:paraId="6C8D0A04" w14:textId="7F47AA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94" w:history="1">
            <w:r w:rsidRPr="00F45DCA">
              <w:rPr>
                <w:rStyle w:val="Lienhypertexte"/>
                <w:noProof/>
              </w:rPr>
              <w:t>23.12.2i Voliges et panneaux en acier formés à froid CCTB 01.04</w:t>
            </w:r>
            <w:r>
              <w:rPr>
                <w:noProof/>
                <w:webHidden/>
              </w:rPr>
              <w:tab/>
            </w:r>
            <w:r>
              <w:rPr>
                <w:noProof/>
                <w:webHidden/>
              </w:rPr>
              <w:fldChar w:fldCharType="begin"/>
            </w:r>
            <w:r>
              <w:rPr>
                <w:noProof/>
                <w:webHidden/>
              </w:rPr>
              <w:instrText xml:space="preserve"> PAGEREF _Toc220496194 \h </w:instrText>
            </w:r>
            <w:r>
              <w:rPr>
                <w:noProof/>
                <w:webHidden/>
              </w:rPr>
            </w:r>
            <w:r>
              <w:rPr>
                <w:noProof/>
                <w:webHidden/>
              </w:rPr>
              <w:fldChar w:fldCharType="separate"/>
            </w:r>
            <w:r>
              <w:rPr>
                <w:noProof/>
                <w:webHidden/>
              </w:rPr>
              <w:t>751</w:t>
            </w:r>
            <w:r>
              <w:rPr>
                <w:noProof/>
                <w:webHidden/>
              </w:rPr>
              <w:fldChar w:fldCharType="end"/>
            </w:r>
          </w:hyperlink>
        </w:p>
        <w:p w14:paraId="79C61B22" w14:textId="6DA9DF2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195" w:history="1">
            <w:r w:rsidRPr="00F45DCA">
              <w:rPr>
                <w:rStyle w:val="Lienhypertexte"/>
                <w:noProof/>
              </w:rPr>
              <w:t>23.12.3 Eléments de charpente de toiture en acier inoxydable laminés à chaud CCTB 01.04</w:t>
            </w:r>
            <w:r>
              <w:rPr>
                <w:noProof/>
                <w:webHidden/>
              </w:rPr>
              <w:tab/>
            </w:r>
            <w:r>
              <w:rPr>
                <w:noProof/>
                <w:webHidden/>
              </w:rPr>
              <w:fldChar w:fldCharType="begin"/>
            </w:r>
            <w:r>
              <w:rPr>
                <w:noProof/>
                <w:webHidden/>
              </w:rPr>
              <w:instrText xml:space="preserve"> PAGEREF _Toc220496195 \h </w:instrText>
            </w:r>
            <w:r>
              <w:rPr>
                <w:noProof/>
                <w:webHidden/>
              </w:rPr>
            </w:r>
            <w:r>
              <w:rPr>
                <w:noProof/>
                <w:webHidden/>
              </w:rPr>
              <w:fldChar w:fldCharType="separate"/>
            </w:r>
            <w:r>
              <w:rPr>
                <w:noProof/>
                <w:webHidden/>
              </w:rPr>
              <w:t>751</w:t>
            </w:r>
            <w:r>
              <w:rPr>
                <w:noProof/>
                <w:webHidden/>
              </w:rPr>
              <w:fldChar w:fldCharType="end"/>
            </w:r>
          </w:hyperlink>
        </w:p>
        <w:p w14:paraId="400BE5E8" w14:textId="1A63F53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96" w:history="1">
            <w:r w:rsidRPr="00F45DCA">
              <w:rPr>
                <w:rStyle w:val="Lienhypertexte"/>
                <w:noProof/>
              </w:rPr>
              <w:t>23.12.3a Sablières en acier inoxydable laminées à chaud CCTB 01.04</w:t>
            </w:r>
            <w:r>
              <w:rPr>
                <w:noProof/>
                <w:webHidden/>
              </w:rPr>
              <w:tab/>
            </w:r>
            <w:r>
              <w:rPr>
                <w:noProof/>
                <w:webHidden/>
              </w:rPr>
              <w:fldChar w:fldCharType="begin"/>
            </w:r>
            <w:r>
              <w:rPr>
                <w:noProof/>
                <w:webHidden/>
              </w:rPr>
              <w:instrText xml:space="preserve"> PAGEREF _Toc220496196 \h </w:instrText>
            </w:r>
            <w:r>
              <w:rPr>
                <w:noProof/>
                <w:webHidden/>
              </w:rPr>
            </w:r>
            <w:r>
              <w:rPr>
                <w:noProof/>
                <w:webHidden/>
              </w:rPr>
              <w:fldChar w:fldCharType="separate"/>
            </w:r>
            <w:r>
              <w:rPr>
                <w:noProof/>
                <w:webHidden/>
              </w:rPr>
              <w:t>751</w:t>
            </w:r>
            <w:r>
              <w:rPr>
                <w:noProof/>
                <w:webHidden/>
              </w:rPr>
              <w:fldChar w:fldCharType="end"/>
            </w:r>
          </w:hyperlink>
        </w:p>
        <w:p w14:paraId="237FC72E" w14:textId="4CDC1C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97" w:history="1">
            <w:r w:rsidRPr="00F45DCA">
              <w:rPr>
                <w:rStyle w:val="Lienhypertexte"/>
                <w:noProof/>
              </w:rPr>
              <w:t>23.12.3b Pannes en acier inoxydable laminées à chaud CCTB 01.04</w:t>
            </w:r>
            <w:r>
              <w:rPr>
                <w:noProof/>
                <w:webHidden/>
              </w:rPr>
              <w:tab/>
            </w:r>
            <w:r>
              <w:rPr>
                <w:noProof/>
                <w:webHidden/>
              </w:rPr>
              <w:fldChar w:fldCharType="begin"/>
            </w:r>
            <w:r>
              <w:rPr>
                <w:noProof/>
                <w:webHidden/>
              </w:rPr>
              <w:instrText xml:space="preserve"> PAGEREF _Toc220496197 \h </w:instrText>
            </w:r>
            <w:r>
              <w:rPr>
                <w:noProof/>
                <w:webHidden/>
              </w:rPr>
            </w:r>
            <w:r>
              <w:rPr>
                <w:noProof/>
                <w:webHidden/>
              </w:rPr>
              <w:fldChar w:fldCharType="separate"/>
            </w:r>
            <w:r>
              <w:rPr>
                <w:noProof/>
                <w:webHidden/>
              </w:rPr>
              <w:t>751</w:t>
            </w:r>
            <w:r>
              <w:rPr>
                <w:noProof/>
                <w:webHidden/>
              </w:rPr>
              <w:fldChar w:fldCharType="end"/>
            </w:r>
          </w:hyperlink>
        </w:p>
        <w:p w14:paraId="7808F7A4" w14:textId="410BEEF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98" w:history="1">
            <w:r w:rsidRPr="00F45DCA">
              <w:rPr>
                <w:rStyle w:val="Lienhypertexte"/>
                <w:noProof/>
              </w:rPr>
              <w:t>23.12.3c Chevrons autoporteurs en acier inoxydable laminés à chaud CCTB 01.04</w:t>
            </w:r>
            <w:r>
              <w:rPr>
                <w:noProof/>
                <w:webHidden/>
              </w:rPr>
              <w:tab/>
            </w:r>
            <w:r>
              <w:rPr>
                <w:noProof/>
                <w:webHidden/>
              </w:rPr>
              <w:fldChar w:fldCharType="begin"/>
            </w:r>
            <w:r>
              <w:rPr>
                <w:noProof/>
                <w:webHidden/>
              </w:rPr>
              <w:instrText xml:space="preserve"> PAGEREF _Toc220496198 \h </w:instrText>
            </w:r>
            <w:r>
              <w:rPr>
                <w:noProof/>
                <w:webHidden/>
              </w:rPr>
            </w:r>
            <w:r>
              <w:rPr>
                <w:noProof/>
                <w:webHidden/>
              </w:rPr>
              <w:fldChar w:fldCharType="separate"/>
            </w:r>
            <w:r>
              <w:rPr>
                <w:noProof/>
                <w:webHidden/>
              </w:rPr>
              <w:t>751</w:t>
            </w:r>
            <w:r>
              <w:rPr>
                <w:noProof/>
                <w:webHidden/>
              </w:rPr>
              <w:fldChar w:fldCharType="end"/>
            </w:r>
          </w:hyperlink>
        </w:p>
        <w:p w14:paraId="0B1136CF" w14:textId="362FE9A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199" w:history="1">
            <w:r w:rsidRPr="00F45DCA">
              <w:rPr>
                <w:rStyle w:val="Lienhypertexte"/>
                <w:noProof/>
              </w:rPr>
              <w:t>23.12.3d Faîtières en acier inoxydable laminées à chaud CCTB 01.04</w:t>
            </w:r>
            <w:r>
              <w:rPr>
                <w:noProof/>
                <w:webHidden/>
              </w:rPr>
              <w:tab/>
            </w:r>
            <w:r>
              <w:rPr>
                <w:noProof/>
                <w:webHidden/>
              </w:rPr>
              <w:fldChar w:fldCharType="begin"/>
            </w:r>
            <w:r>
              <w:rPr>
                <w:noProof/>
                <w:webHidden/>
              </w:rPr>
              <w:instrText xml:space="preserve"> PAGEREF _Toc220496199 \h </w:instrText>
            </w:r>
            <w:r>
              <w:rPr>
                <w:noProof/>
                <w:webHidden/>
              </w:rPr>
            </w:r>
            <w:r>
              <w:rPr>
                <w:noProof/>
                <w:webHidden/>
              </w:rPr>
              <w:fldChar w:fldCharType="separate"/>
            </w:r>
            <w:r>
              <w:rPr>
                <w:noProof/>
                <w:webHidden/>
              </w:rPr>
              <w:t>751</w:t>
            </w:r>
            <w:r>
              <w:rPr>
                <w:noProof/>
                <w:webHidden/>
              </w:rPr>
              <w:fldChar w:fldCharType="end"/>
            </w:r>
          </w:hyperlink>
        </w:p>
        <w:p w14:paraId="2E7049CA" w14:textId="4AFEB39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00" w:history="1">
            <w:r w:rsidRPr="00F45DCA">
              <w:rPr>
                <w:rStyle w:val="Lienhypertexte"/>
                <w:noProof/>
              </w:rPr>
              <w:t>23.12.3e Arbalétriers en acier inoxydable laminés à chaud CCTB 01.04</w:t>
            </w:r>
            <w:r>
              <w:rPr>
                <w:noProof/>
                <w:webHidden/>
              </w:rPr>
              <w:tab/>
            </w:r>
            <w:r>
              <w:rPr>
                <w:noProof/>
                <w:webHidden/>
              </w:rPr>
              <w:fldChar w:fldCharType="begin"/>
            </w:r>
            <w:r>
              <w:rPr>
                <w:noProof/>
                <w:webHidden/>
              </w:rPr>
              <w:instrText xml:space="preserve"> PAGEREF _Toc220496200 \h </w:instrText>
            </w:r>
            <w:r>
              <w:rPr>
                <w:noProof/>
                <w:webHidden/>
              </w:rPr>
            </w:r>
            <w:r>
              <w:rPr>
                <w:noProof/>
                <w:webHidden/>
              </w:rPr>
              <w:fldChar w:fldCharType="separate"/>
            </w:r>
            <w:r>
              <w:rPr>
                <w:noProof/>
                <w:webHidden/>
              </w:rPr>
              <w:t>751</w:t>
            </w:r>
            <w:r>
              <w:rPr>
                <w:noProof/>
                <w:webHidden/>
              </w:rPr>
              <w:fldChar w:fldCharType="end"/>
            </w:r>
          </w:hyperlink>
        </w:p>
        <w:p w14:paraId="24CB92C4" w14:textId="2BFEFAC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01" w:history="1">
            <w:r w:rsidRPr="00F45DCA">
              <w:rPr>
                <w:rStyle w:val="Lienhypertexte"/>
                <w:noProof/>
              </w:rPr>
              <w:t>23.12.3f Entraits en acier inoxydable laminés à chaud CCTB 01.04</w:t>
            </w:r>
            <w:r>
              <w:rPr>
                <w:noProof/>
                <w:webHidden/>
              </w:rPr>
              <w:tab/>
            </w:r>
            <w:r>
              <w:rPr>
                <w:noProof/>
                <w:webHidden/>
              </w:rPr>
              <w:fldChar w:fldCharType="begin"/>
            </w:r>
            <w:r>
              <w:rPr>
                <w:noProof/>
                <w:webHidden/>
              </w:rPr>
              <w:instrText xml:space="preserve"> PAGEREF _Toc220496201 \h </w:instrText>
            </w:r>
            <w:r>
              <w:rPr>
                <w:noProof/>
                <w:webHidden/>
              </w:rPr>
            </w:r>
            <w:r>
              <w:rPr>
                <w:noProof/>
                <w:webHidden/>
              </w:rPr>
              <w:fldChar w:fldCharType="separate"/>
            </w:r>
            <w:r>
              <w:rPr>
                <w:noProof/>
                <w:webHidden/>
              </w:rPr>
              <w:t>751</w:t>
            </w:r>
            <w:r>
              <w:rPr>
                <w:noProof/>
                <w:webHidden/>
              </w:rPr>
              <w:fldChar w:fldCharType="end"/>
            </w:r>
          </w:hyperlink>
        </w:p>
        <w:p w14:paraId="30CA2E83" w14:textId="20659E7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02" w:history="1">
            <w:r w:rsidRPr="00F45DCA">
              <w:rPr>
                <w:rStyle w:val="Lienhypertexte"/>
                <w:noProof/>
              </w:rPr>
              <w:t>23.12.3g Chevêtres en acier inoxydable laminés à chaud CCTB 01.04</w:t>
            </w:r>
            <w:r>
              <w:rPr>
                <w:noProof/>
                <w:webHidden/>
              </w:rPr>
              <w:tab/>
            </w:r>
            <w:r>
              <w:rPr>
                <w:noProof/>
                <w:webHidden/>
              </w:rPr>
              <w:fldChar w:fldCharType="begin"/>
            </w:r>
            <w:r>
              <w:rPr>
                <w:noProof/>
                <w:webHidden/>
              </w:rPr>
              <w:instrText xml:space="preserve"> PAGEREF _Toc220496202 \h </w:instrText>
            </w:r>
            <w:r>
              <w:rPr>
                <w:noProof/>
                <w:webHidden/>
              </w:rPr>
            </w:r>
            <w:r>
              <w:rPr>
                <w:noProof/>
                <w:webHidden/>
              </w:rPr>
              <w:fldChar w:fldCharType="separate"/>
            </w:r>
            <w:r>
              <w:rPr>
                <w:noProof/>
                <w:webHidden/>
              </w:rPr>
              <w:t>751</w:t>
            </w:r>
            <w:r>
              <w:rPr>
                <w:noProof/>
                <w:webHidden/>
              </w:rPr>
              <w:fldChar w:fldCharType="end"/>
            </w:r>
          </w:hyperlink>
        </w:p>
        <w:p w14:paraId="5767321A" w14:textId="2ED39D9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03" w:history="1">
            <w:r w:rsidRPr="00F45DCA">
              <w:rPr>
                <w:rStyle w:val="Lienhypertexte"/>
                <w:noProof/>
              </w:rPr>
              <w:t>23.12.3h Chevrons en acier inoxydable laminés à chaud CCTB 01.04</w:t>
            </w:r>
            <w:r>
              <w:rPr>
                <w:noProof/>
                <w:webHidden/>
              </w:rPr>
              <w:tab/>
            </w:r>
            <w:r>
              <w:rPr>
                <w:noProof/>
                <w:webHidden/>
              </w:rPr>
              <w:fldChar w:fldCharType="begin"/>
            </w:r>
            <w:r>
              <w:rPr>
                <w:noProof/>
                <w:webHidden/>
              </w:rPr>
              <w:instrText xml:space="preserve"> PAGEREF _Toc220496203 \h </w:instrText>
            </w:r>
            <w:r>
              <w:rPr>
                <w:noProof/>
                <w:webHidden/>
              </w:rPr>
            </w:r>
            <w:r>
              <w:rPr>
                <w:noProof/>
                <w:webHidden/>
              </w:rPr>
              <w:fldChar w:fldCharType="separate"/>
            </w:r>
            <w:r>
              <w:rPr>
                <w:noProof/>
                <w:webHidden/>
              </w:rPr>
              <w:t>751</w:t>
            </w:r>
            <w:r>
              <w:rPr>
                <w:noProof/>
                <w:webHidden/>
              </w:rPr>
              <w:fldChar w:fldCharType="end"/>
            </w:r>
          </w:hyperlink>
        </w:p>
        <w:p w14:paraId="2CF9F978" w14:textId="515A9DE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04" w:history="1">
            <w:r w:rsidRPr="00F45DCA">
              <w:rPr>
                <w:rStyle w:val="Lienhypertexte"/>
                <w:noProof/>
              </w:rPr>
              <w:t>23.12.3i Voliges et panneaux en acier inoxydable laminés à chaud CCTB 01.04</w:t>
            </w:r>
            <w:r>
              <w:rPr>
                <w:noProof/>
                <w:webHidden/>
              </w:rPr>
              <w:tab/>
            </w:r>
            <w:r>
              <w:rPr>
                <w:noProof/>
                <w:webHidden/>
              </w:rPr>
              <w:fldChar w:fldCharType="begin"/>
            </w:r>
            <w:r>
              <w:rPr>
                <w:noProof/>
                <w:webHidden/>
              </w:rPr>
              <w:instrText xml:space="preserve"> PAGEREF _Toc220496204 \h </w:instrText>
            </w:r>
            <w:r>
              <w:rPr>
                <w:noProof/>
                <w:webHidden/>
              </w:rPr>
            </w:r>
            <w:r>
              <w:rPr>
                <w:noProof/>
                <w:webHidden/>
              </w:rPr>
              <w:fldChar w:fldCharType="separate"/>
            </w:r>
            <w:r>
              <w:rPr>
                <w:noProof/>
                <w:webHidden/>
              </w:rPr>
              <w:t>752</w:t>
            </w:r>
            <w:r>
              <w:rPr>
                <w:noProof/>
                <w:webHidden/>
              </w:rPr>
              <w:fldChar w:fldCharType="end"/>
            </w:r>
          </w:hyperlink>
        </w:p>
        <w:p w14:paraId="0CE44B43" w14:textId="729307F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05" w:history="1">
            <w:r w:rsidRPr="00F45DCA">
              <w:rPr>
                <w:rStyle w:val="Lienhypertexte"/>
                <w:noProof/>
              </w:rPr>
              <w:t>23.12.4 Eléments de charpente de toiture en acier inoxydable formés à froid CCTB 01.04</w:t>
            </w:r>
            <w:r>
              <w:rPr>
                <w:noProof/>
                <w:webHidden/>
              </w:rPr>
              <w:tab/>
            </w:r>
            <w:r>
              <w:rPr>
                <w:noProof/>
                <w:webHidden/>
              </w:rPr>
              <w:fldChar w:fldCharType="begin"/>
            </w:r>
            <w:r>
              <w:rPr>
                <w:noProof/>
                <w:webHidden/>
              </w:rPr>
              <w:instrText xml:space="preserve"> PAGEREF _Toc220496205 \h </w:instrText>
            </w:r>
            <w:r>
              <w:rPr>
                <w:noProof/>
                <w:webHidden/>
              </w:rPr>
            </w:r>
            <w:r>
              <w:rPr>
                <w:noProof/>
                <w:webHidden/>
              </w:rPr>
              <w:fldChar w:fldCharType="separate"/>
            </w:r>
            <w:r>
              <w:rPr>
                <w:noProof/>
                <w:webHidden/>
              </w:rPr>
              <w:t>752</w:t>
            </w:r>
            <w:r>
              <w:rPr>
                <w:noProof/>
                <w:webHidden/>
              </w:rPr>
              <w:fldChar w:fldCharType="end"/>
            </w:r>
          </w:hyperlink>
        </w:p>
        <w:p w14:paraId="2D27F493" w14:textId="0FB19BA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06" w:history="1">
            <w:r w:rsidRPr="00F45DCA">
              <w:rPr>
                <w:rStyle w:val="Lienhypertexte"/>
                <w:noProof/>
              </w:rPr>
              <w:t>23.12.4a Sablières en acier inoxydable formées à froid CCTB 01.04</w:t>
            </w:r>
            <w:r>
              <w:rPr>
                <w:noProof/>
                <w:webHidden/>
              </w:rPr>
              <w:tab/>
            </w:r>
            <w:r>
              <w:rPr>
                <w:noProof/>
                <w:webHidden/>
              </w:rPr>
              <w:fldChar w:fldCharType="begin"/>
            </w:r>
            <w:r>
              <w:rPr>
                <w:noProof/>
                <w:webHidden/>
              </w:rPr>
              <w:instrText xml:space="preserve"> PAGEREF _Toc220496206 \h </w:instrText>
            </w:r>
            <w:r>
              <w:rPr>
                <w:noProof/>
                <w:webHidden/>
              </w:rPr>
            </w:r>
            <w:r>
              <w:rPr>
                <w:noProof/>
                <w:webHidden/>
              </w:rPr>
              <w:fldChar w:fldCharType="separate"/>
            </w:r>
            <w:r>
              <w:rPr>
                <w:noProof/>
                <w:webHidden/>
              </w:rPr>
              <w:t>752</w:t>
            </w:r>
            <w:r>
              <w:rPr>
                <w:noProof/>
                <w:webHidden/>
              </w:rPr>
              <w:fldChar w:fldCharType="end"/>
            </w:r>
          </w:hyperlink>
        </w:p>
        <w:p w14:paraId="70DE7DD2" w14:textId="43E1041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07" w:history="1">
            <w:r w:rsidRPr="00F45DCA">
              <w:rPr>
                <w:rStyle w:val="Lienhypertexte"/>
                <w:noProof/>
              </w:rPr>
              <w:t>23.12.4b Pannes en acier inoxydable formées à froid CCTB 01.04</w:t>
            </w:r>
            <w:r>
              <w:rPr>
                <w:noProof/>
                <w:webHidden/>
              </w:rPr>
              <w:tab/>
            </w:r>
            <w:r>
              <w:rPr>
                <w:noProof/>
                <w:webHidden/>
              </w:rPr>
              <w:fldChar w:fldCharType="begin"/>
            </w:r>
            <w:r>
              <w:rPr>
                <w:noProof/>
                <w:webHidden/>
              </w:rPr>
              <w:instrText xml:space="preserve"> PAGEREF _Toc220496207 \h </w:instrText>
            </w:r>
            <w:r>
              <w:rPr>
                <w:noProof/>
                <w:webHidden/>
              </w:rPr>
            </w:r>
            <w:r>
              <w:rPr>
                <w:noProof/>
                <w:webHidden/>
              </w:rPr>
              <w:fldChar w:fldCharType="separate"/>
            </w:r>
            <w:r>
              <w:rPr>
                <w:noProof/>
                <w:webHidden/>
              </w:rPr>
              <w:t>752</w:t>
            </w:r>
            <w:r>
              <w:rPr>
                <w:noProof/>
                <w:webHidden/>
              </w:rPr>
              <w:fldChar w:fldCharType="end"/>
            </w:r>
          </w:hyperlink>
        </w:p>
        <w:p w14:paraId="228DDA00" w14:textId="5338B3E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08" w:history="1">
            <w:r w:rsidRPr="00F45DCA">
              <w:rPr>
                <w:rStyle w:val="Lienhypertexte"/>
                <w:noProof/>
              </w:rPr>
              <w:t>23.12.4c Chevrons autoporteurs en acier inoxydable formés à froid CCTB 01.04</w:t>
            </w:r>
            <w:r>
              <w:rPr>
                <w:noProof/>
                <w:webHidden/>
              </w:rPr>
              <w:tab/>
            </w:r>
            <w:r>
              <w:rPr>
                <w:noProof/>
                <w:webHidden/>
              </w:rPr>
              <w:fldChar w:fldCharType="begin"/>
            </w:r>
            <w:r>
              <w:rPr>
                <w:noProof/>
                <w:webHidden/>
              </w:rPr>
              <w:instrText xml:space="preserve"> PAGEREF _Toc220496208 \h </w:instrText>
            </w:r>
            <w:r>
              <w:rPr>
                <w:noProof/>
                <w:webHidden/>
              </w:rPr>
            </w:r>
            <w:r>
              <w:rPr>
                <w:noProof/>
                <w:webHidden/>
              </w:rPr>
              <w:fldChar w:fldCharType="separate"/>
            </w:r>
            <w:r>
              <w:rPr>
                <w:noProof/>
                <w:webHidden/>
              </w:rPr>
              <w:t>752</w:t>
            </w:r>
            <w:r>
              <w:rPr>
                <w:noProof/>
                <w:webHidden/>
              </w:rPr>
              <w:fldChar w:fldCharType="end"/>
            </w:r>
          </w:hyperlink>
        </w:p>
        <w:p w14:paraId="36F0FD74" w14:textId="69AF433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09" w:history="1">
            <w:r w:rsidRPr="00F45DCA">
              <w:rPr>
                <w:rStyle w:val="Lienhypertexte"/>
                <w:noProof/>
              </w:rPr>
              <w:t>23.12.4d Faîtières en acier inoxydable formées à froid CCTB 01.04</w:t>
            </w:r>
            <w:r>
              <w:rPr>
                <w:noProof/>
                <w:webHidden/>
              </w:rPr>
              <w:tab/>
            </w:r>
            <w:r>
              <w:rPr>
                <w:noProof/>
                <w:webHidden/>
              </w:rPr>
              <w:fldChar w:fldCharType="begin"/>
            </w:r>
            <w:r>
              <w:rPr>
                <w:noProof/>
                <w:webHidden/>
              </w:rPr>
              <w:instrText xml:space="preserve"> PAGEREF _Toc220496209 \h </w:instrText>
            </w:r>
            <w:r>
              <w:rPr>
                <w:noProof/>
                <w:webHidden/>
              </w:rPr>
            </w:r>
            <w:r>
              <w:rPr>
                <w:noProof/>
                <w:webHidden/>
              </w:rPr>
              <w:fldChar w:fldCharType="separate"/>
            </w:r>
            <w:r>
              <w:rPr>
                <w:noProof/>
                <w:webHidden/>
              </w:rPr>
              <w:t>752</w:t>
            </w:r>
            <w:r>
              <w:rPr>
                <w:noProof/>
                <w:webHidden/>
              </w:rPr>
              <w:fldChar w:fldCharType="end"/>
            </w:r>
          </w:hyperlink>
        </w:p>
        <w:p w14:paraId="5638219B" w14:textId="54065A5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10" w:history="1">
            <w:r w:rsidRPr="00F45DCA">
              <w:rPr>
                <w:rStyle w:val="Lienhypertexte"/>
                <w:noProof/>
              </w:rPr>
              <w:t>23.12.4e Arbalétriers en acier inoxydable formés à froid CCTB 01.04</w:t>
            </w:r>
            <w:r>
              <w:rPr>
                <w:noProof/>
                <w:webHidden/>
              </w:rPr>
              <w:tab/>
            </w:r>
            <w:r>
              <w:rPr>
                <w:noProof/>
                <w:webHidden/>
              </w:rPr>
              <w:fldChar w:fldCharType="begin"/>
            </w:r>
            <w:r>
              <w:rPr>
                <w:noProof/>
                <w:webHidden/>
              </w:rPr>
              <w:instrText xml:space="preserve"> PAGEREF _Toc220496210 \h </w:instrText>
            </w:r>
            <w:r>
              <w:rPr>
                <w:noProof/>
                <w:webHidden/>
              </w:rPr>
            </w:r>
            <w:r>
              <w:rPr>
                <w:noProof/>
                <w:webHidden/>
              </w:rPr>
              <w:fldChar w:fldCharType="separate"/>
            </w:r>
            <w:r>
              <w:rPr>
                <w:noProof/>
                <w:webHidden/>
              </w:rPr>
              <w:t>752</w:t>
            </w:r>
            <w:r>
              <w:rPr>
                <w:noProof/>
                <w:webHidden/>
              </w:rPr>
              <w:fldChar w:fldCharType="end"/>
            </w:r>
          </w:hyperlink>
        </w:p>
        <w:p w14:paraId="426E28AD" w14:textId="2CA5D8C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11" w:history="1">
            <w:r w:rsidRPr="00F45DCA">
              <w:rPr>
                <w:rStyle w:val="Lienhypertexte"/>
                <w:noProof/>
              </w:rPr>
              <w:t>23.12.4f Entraits en acier inoxydable formés à froid CCTB 01.04</w:t>
            </w:r>
            <w:r>
              <w:rPr>
                <w:noProof/>
                <w:webHidden/>
              </w:rPr>
              <w:tab/>
            </w:r>
            <w:r>
              <w:rPr>
                <w:noProof/>
                <w:webHidden/>
              </w:rPr>
              <w:fldChar w:fldCharType="begin"/>
            </w:r>
            <w:r>
              <w:rPr>
                <w:noProof/>
                <w:webHidden/>
              </w:rPr>
              <w:instrText xml:space="preserve"> PAGEREF _Toc220496211 \h </w:instrText>
            </w:r>
            <w:r>
              <w:rPr>
                <w:noProof/>
                <w:webHidden/>
              </w:rPr>
            </w:r>
            <w:r>
              <w:rPr>
                <w:noProof/>
                <w:webHidden/>
              </w:rPr>
              <w:fldChar w:fldCharType="separate"/>
            </w:r>
            <w:r>
              <w:rPr>
                <w:noProof/>
                <w:webHidden/>
              </w:rPr>
              <w:t>752</w:t>
            </w:r>
            <w:r>
              <w:rPr>
                <w:noProof/>
                <w:webHidden/>
              </w:rPr>
              <w:fldChar w:fldCharType="end"/>
            </w:r>
          </w:hyperlink>
        </w:p>
        <w:p w14:paraId="171B47DF" w14:textId="74956BD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12" w:history="1">
            <w:r w:rsidRPr="00F45DCA">
              <w:rPr>
                <w:rStyle w:val="Lienhypertexte"/>
                <w:noProof/>
              </w:rPr>
              <w:t>23.12.4g Chevêtres en acier inoxydable formés à froid CCTB 01.04</w:t>
            </w:r>
            <w:r>
              <w:rPr>
                <w:noProof/>
                <w:webHidden/>
              </w:rPr>
              <w:tab/>
            </w:r>
            <w:r>
              <w:rPr>
                <w:noProof/>
                <w:webHidden/>
              </w:rPr>
              <w:fldChar w:fldCharType="begin"/>
            </w:r>
            <w:r>
              <w:rPr>
                <w:noProof/>
                <w:webHidden/>
              </w:rPr>
              <w:instrText xml:space="preserve"> PAGEREF _Toc220496212 \h </w:instrText>
            </w:r>
            <w:r>
              <w:rPr>
                <w:noProof/>
                <w:webHidden/>
              </w:rPr>
            </w:r>
            <w:r>
              <w:rPr>
                <w:noProof/>
                <w:webHidden/>
              </w:rPr>
              <w:fldChar w:fldCharType="separate"/>
            </w:r>
            <w:r>
              <w:rPr>
                <w:noProof/>
                <w:webHidden/>
              </w:rPr>
              <w:t>752</w:t>
            </w:r>
            <w:r>
              <w:rPr>
                <w:noProof/>
                <w:webHidden/>
              </w:rPr>
              <w:fldChar w:fldCharType="end"/>
            </w:r>
          </w:hyperlink>
        </w:p>
        <w:p w14:paraId="0CA0F362" w14:textId="78EDDA8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13" w:history="1">
            <w:r w:rsidRPr="00F45DCA">
              <w:rPr>
                <w:rStyle w:val="Lienhypertexte"/>
                <w:noProof/>
              </w:rPr>
              <w:t>23.12.4h Chevrons en acier inoxydable formés à froid CCTB 01.04</w:t>
            </w:r>
            <w:r>
              <w:rPr>
                <w:noProof/>
                <w:webHidden/>
              </w:rPr>
              <w:tab/>
            </w:r>
            <w:r>
              <w:rPr>
                <w:noProof/>
                <w:webHidden/>
              </w:rPr>
              <w:fldChar w:fldCharType="begin"/>
            </w:r>
            <w:r>
              <w:rPr>
                <w:noProof/>
                <w:webHidden/>
              </w:rPr>
              <w:instrText xml:space="preserve"> PAGEREF _Toc220496213 \h </w:instrText>
            </w:r>
            <w:r>
              <w:rPr>
                <w:noProof/>
                <w:webHidden/>
              </w:rPr>
            </w:r>
            <w:r>
              <w:rPr>
                <w:noProof/>
                <w:webHidden/>
              </w:rPr>
              <w:fldChar w:fldCharType="separate"/>
            </w:r>
            <w:r>
              <w:rPr>
                <w:noProof/>
                <w:webHidden/>
              </w:rPr>
              <w:t>752</w:t>
            </w:r>
            <w:r>
              <w:rPr>
                <w:noProof/>
                <w:webHidden/>
              </w:rPr>
              <w:fldChar w:fldCharType="end"/>
            </w:r>
          </w:hyperlink>
        </w:p>
        <w:p w14:paraId="15A5A104" w14:textId="7DE923B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14" w:history="1">
            <w:r w:rsidRPr="00F45DCA">
              <w:rPr>
                <w:rStyle w:val="Lienhypertexte"/>
                <w:noProof/>
              </w:rPr>
              <w:t>23.12.4i Voliges et panneaux en acier inoxydable formés à froid CCTB 01.04</w:t>
            </w:r>
            <w:r>
              <w:rPr>
                <w:noProof/>
                <w:webHidden/>
              </w:rPr>
              <w:tab/>
            </w:r>
            <w:r>
              <w:rPr>
                <w:noProof/>
                <w:webHidden/>
              </w:rPr>
              <w:fldChar w:fldCharType="begin"/>
            </w:r>
            <w:r>
              <w:rPr>
                <w:noProof/>
                <w:webHidden/>
              </w:rPr>
              <w:instrText xml:space="preserve"> PAGEREF _Toc220496214 \h </w:instrText>
            </w:r>
            <w:r>
              <w:rPr>
                <w:noProof/>
                <w:webHidden/>
              </w:rPr>
            </w:r>
            <w:r>
              <w:rPr>
                <w:noProof/>
                <w:webHidden/>
              </w:rPr>
              <w:fldChar w:fldCharType="separate"/>
            </w:r>
            <w:r>
              <w:rPr>
                <w:noProof/>
                <w:webHidden/>
              </w:rPr>
              <w:t>752</w:t>
            </w:r>
            <w:r>
              <w:rPr>
                <w:noProof/>
                <w:webHidden/>
              </w:rPr>
              <w:fldChar w:fldCharType="end"/>
            </w:r>
          </w:hyperlink>
        </w:p>
        <w:p w14:paraId="0E1EC297" w14:textId="292249A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15" w:history="1">
            <w:r w:rsidRPr="00F45DCA">
              <w:rPr>
                <w:rStyle w:val="Lienhypertexte"/>
                <w:noProof/>
              </w:rPr>
              <w:t>23.12.5 Eléments de charpente de toiture en aluminium CCTB 01.04</w:t>
            </w:r>
            <w:r>
              <w:rPr>
                <w:noProof/>
                <w:webHidden/>
              </w:rPr>
              <w:tab/>
            </w:r>
            <w:r>
              <w:rPr>
                <w:noProof/>
                <w:webHidden/>
              </w:rPr>
              <w:fldChar w:fldCharType="begin"/>
            </w:r>
            <w:r>
              <w:rPr>
                <w:noProof/>
                <w:webHidden/>
              </w:rPr>
              <w:instrText xml:space="preserve"> PAGEREF _Toc220496215 \h </w:instrText>
            </w:r>
            <w:r>
              <w:rPr>
                <w:noProof/>
                <w:webHidden/>
              </w:rPr>
            </w:r>
            <w:r>
              <w:rPr>
                <w:noProof/>
                <w:webHidden/>
              </w:rPr>
              <w:fldChar w:fldCharType="separate"/>
            </w:r>
            <w:r>
              <w:rPr>
                <w:noProof/>
                <w:webHidden/>
              </w:rPr>
              <w:t>752</w:t>
            </w:r>
            <w:r>
              <w:rPr>
                <w:noProof/>
                <w:webHidden/>
              </w:rPr>
              <w:fldChar w:fldCharType="end"/>
            </w:r>
          </w:hyperlink>
        </w:p>
        <w:p w14:paraId="4D1BCDCE" w14:textId="084381E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16" w:history="1">
            <w:r w:rsidRPr="00F45DCA">
              <w:rPr>
                <w:rStyle w:val="Lienhypertexte"/>
                <w:noProof/>
              </w:rPr>
              <w:t>23.12.5a Sablières en aluminium CCTB 01.04</w:t>
            </w:r>
            <w:r>
              <w:rPr>
                <w:noProof/>
                <w:webHidden/>
              </w:rPr>
              <w:tab/>
            </w:r>
            <w:r>
              <w:rPr>
                <w:noProof/>
                <w:webHidden/>
              </w:rPr>
              <w:fldChar w:fldCharType="begin"/>
            </w:r>
            <w:r>
              <w:rPr>
                <w:noProof/>
                <w:webHidden/>
              </w:rPr>
              <w:instrText xml:space="preserve"> PAGEREF _Toc220496216 \h </w:instrText>
            </w:r>
            <w:r>
              <w:rPr>
                <w:noProof/>
                <w:webHidden/>
              </w:rPr>
            </w:r>
            <w:r>
              <w:rPr>
                <w:noProof/>
                <w:webHidden/>
              </w:rPr>
              <w:fldChar w:fldCharType="separate"/>
            </w:r>
            <w:r>
              <w:rPr>
                <w:noProof/>
                <w:webHidden/>
              </w:rPr>
              <w:t>752</w:t>
            </w:r>
            <w:r>
              <w:rPr>
                <w:noProof/>
                <w:webHidden/>
              </w:rPr>
              <w:fldChar w:fldCharType="end"/>
            </w:r>
          </w:hyperlink>
        </w:p>
        <w:p w14:paraId="3EB34575" w14:textId="7286E6D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17" w:history="1">
            <w:r w:rsidRPr="00F45DCA">
              <w:rPr>
                <w:rStyle w:val="Lienhypertexte"/>
                <w:noProof/>
              </w:rPr>
              <w:t>23.12.5b Pannes en aluminium CCTB 01.04</w:t>
            </w:r>
            <w:r>
              <w:rPr>
                <w:noProof/>
                <w:webHidden/>
              </w:rPr>
              <w:tab/>
            </w:r>
            <w:r>
              <w:rPr>
                <w:noProof/>
                <w:webHidden/>
              </w:rPr>
              <w:fldChar w:fldCharType="begin"/>
            </w:r>
            <w:r>
              <w:rPr>
                <w:noProof/>
                <w:webHidden/>
              </w:rPr>
              <w:instrText xml:space="preserve"> PAGEREF _Toc220496217 \h </w:instrText>
            </w:r>
            <w:r>
              <w:rPr>
                <w:noProof/>
                <w:webHidden/>
              </w:rPr>
            </w:r>
            <w:r>
              <w:rPr>
                <w:noProof/>
                <w:webHidden/>
              </w:rPr>
              <w:fldChar w:fldCharType="separate"/>
            </w:r>
            <w:r>
              <w:rPr>
                <w:noProof/>
                <w:webHidden/>
              </w:rPr>
              <w:t>752</w:t>
            </w:r>
            <w:r>
              <w:rPr>
                <w:noProof/>
                <w:webHidden/>
              </w:rPr>
              <w:fldChar w:fldCharType="end"/>
            </w:r>
          </w:hyperlink>
        </w:p>
        <w:p w14:paraId="7E7C6960" w14:textId="48F1571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18" w:history="1">
            <w:r w:rsidRPr="00F45DCA">
              <w:rPr>
                <w:rStyle w:val="Lienhypertexte"/>
                <w:noProof/>
              </w:rPr>
              <w:t>23.12.5c Chevrons autoporteurs en aluminium CCTB 01.04</w:t>
            </w:r>
            <w:r>
              <w:rPr>
                <w:noProof/>
                <w:webHidden/>
              </w:rPr>
              <w:tab/>
            </w:r>
            <w:r>
              <w:rPr>
                <w:noProof/>
                <w:webHidden/>
              </w:rPr>
              <w:fldChar w:fldCharType="begin"/>
            </w:r>
            <w:r>
              <w:rPr>
                <w:noProof/>
                <w:webHidden/>
              </w:rPr>
              <w:instrText xml:space="preserve"> PAGEREF _Toc220496218 \h </w:instrText>
            </w:r>
            <w:r>
              <w:rPr>
                <w:noProof/>
                <w:webHidden/>
              </w:rPr>
            </w:r>
            <w:r>
              <w:rPr>
                <w:noProof/>
                <w:webHidden/>
              </w:rPr>
              <w:fldChar w:fldCharType="separate"/>
            </w:r>
            <w:r>
              <w:rPr>
                <w:noProof/>
                <w:webHidden/>
              </w:rPr>
              <w:t>752</w:t>
            </w:r>
            <w:r>
              <w:rPr>
                <w:noProof/>
                <w:webHidden/>
              </w:rPr>
              <w:fldChar w:fldCharType="end"/>
            </w:r>
          </w:hyperlink>
        </w:p>
        <w:p w14:paraId="05E379D8" w14:textId="530F97A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19" w:history="1">
            <w:r w:rsidRPr="00F45DCA">
              <w:rPr>
                <w:rStyle w:val="Lienhypertexte"/>
                <w:noProof/>
              </w:rPr>
              <w:t>23.12.5d Faîtières en aluminium CCTB 01.04</w:t>
            </w:r>
            <w:r>
              <w:rPr>
                <w:noProof/>
                <w:webHidden/>
              </w:rPr>
              <w:tab/>
            </w:r>
            <w:r>
              <w:rPr>
                <w:noProof/>
                <w:webHidden/>
              </w:rPr>
              <w:fldChar w:fldCharType="begin"/>
            </w:r>
            <w:r>
              <w:rPr>
                <w:noProof/>
                <w:webHidden/>
              </w:rPr>
              <w:instrText xml:space="preserve"> PAGEREF _Toc220496219 \h </w:instrText>
            </w:r>
            <w:r>
              <w:rPr>
                <w:noProof/>
                <w:webHidden/>
              </w:rPr>
            </w:r>
            <w:r>
              <w:rPr>
                <w:noProof/>
                <w:webHidden/>
              </w:rPr>
              <w:fldChar w:fldCharType="separate"/>
            </w:r>
            <w:r>
              <w:rPr>
                <w:noProof/>
                <w:webHidden/>
              </w:rPr>
              <w:t>752</w:t>
            </w:r>
            <w:r>
              <w:rPr>
                <w:noProof/>
                <w:webHidden/>
              </w:rPr>
              <w:fldChar w:fldCharType="end"/>
            </w:r>
          </w:hyperlink>
        </w:p>
        <w:p w14:paraId="02C61197" w14:textId="773A9A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20" w:history="1">
            <w:r w:rsidRPr="00F45DCA">
              <w:rPr>
                <w:rStyle w:val="Lienhypertexte"/>
                <w:noProof/>
              </w:rPr>
              <w:t>23.12.5e Arbalétriers en aluminium CCTB 01.04</w:t>
            </w:r>
            <w:r>
              <w:rPr>
                <w:noProof/>
                <w:webHidden/>
              </w:rPr>
              <w:tab/>
            </w:r>
            <w:r>
              <w:rPr>
                <w:noProof/>
                <w:webHidden/>
              </w:rPr>
              <w:fldChar w:fldCharType="begin"/>
            </w:r>
            <w:r>
              <w:rPr>
                <w:noProof/>
                <w:webHidden/>
              </w:rPr>
              <w:instrText xml:space="preserve"> PAGEREF _Toc220496220 \h </w:instrText>
            </w:r>
            <w:r>
              <w:rPr>
                <w:noProof/>
                <w:webHidden/>
              </w:rPr>
            </w:r>
            <w:r>
              <w:rPr>
                <w:noProof/>
                <w:webHidden/>
              </w:rPr>
              <w:fldChar w:fldCharType="separate"/>
            </w:r>
            <w:r>
              <w:rPr>
                <w:noProof/>
                <w:webHidden/>
              </w:rPr>
              <w:t>752</w:t>
            </w:r>
            <w:r>
              <w:rPr>
                <w:noProof/>
                <w:webHidden/>
              </w:rPr>
              <w:fldChar w:fldCharType="end"/>
            </w:r>
          </w:hyperlink>
        </w:p>
        <w:p w14:paraId="039D713A" w14:textId="0A3025C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21" w:history="1">
            <w:r w:rsidRPr="00F45DCA">
              <w:rPr>
                <w:rStyle w:val="Lienhypertexte"/>
                <w:noProof/>
              </w:rPr>
              <w:t>23.12.5f Entraits en aluminium CCTB 01.04</w:t>
            </w:r>
            <w:r>
              <w:rPr>
                <w:noProof/>
                <w:webHidden/>
              </w:rPr>
              <w:tab/>
            </w:r>
            <w:r>
              <w:rPr>
                <w:noProof/>
                <w:webHidden/>
              </w:rPr>
              <w:fldChar w:fldCharType="begin"/>
            </w:r>
            <w:r>
              <w:rPr>
                <w:noProof/>
                <w:webHidden/>
              </w:rPr>
              <w:instrText xml:space="preserve"> PAGEREF _Toc220496221 \h </w:instrText>
            </w:r>
            <w:r>
              <w:rPr>
                <w:noProof/>
                <w:webHidden/>
              </w:rPr>
            </w:r>
            <w:r>
              <w:rPr>
                <w:noProof/>
                <w:webHidden/>
              </w:rPr>
              <w:fldChar w:fldCharType="separate"/>
            </w:r>
            <w:r>
              <w:rPr>
                <w:noProof/>
                <w:webHidden/>
              </w:rPr>
              <w:t>752</w:t>
            </w:r>
            <w:r>
              <w:rPr>
                <w:noProof/>
                <w:webHidden/>
              </w:rPr>
              <w:fldChar w:fldCharType="end"/>
            </w:r>
          </w:hyperlink>
        </w:p>
        <w:p w14:paraId="4A0D675C" w14:textId="65AB462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22" w:history="1">
            <w:r w:rsidRPr="00F45DCA">
              <w:rPr>
                <w:rStyle w:val="Lienhypertexte"/>
                <w:noProof/>
              </w:rPr>
              <w:t>23.12.5g Chevêtres en aluminium CCTB 01.04</w:t>
            </w:r>
            <w:r>
              <w:rPr>
                <w:noProof/>
                <w:webHidden/>
              </w:rPr>
              <w:tab/>
            </w:r>
            <w:r>
              <w:rPr>
                <w:noProof/>
                <w:webHidden/>
              </w:rPr>
              <w:fldChar w:fldCharType="begin"/>
            </w:r>
            <w:r>
              <w:rPr>
                <w:noProof/>
                <w:webHidden/>
              </w:rPr>
              <w:instrText xml:space="preserve"> PAGEREF _Toc220496222 \h </w:instrText>
            </w:r>
            <w:r>
              <w:rPr>
                <w:noProof/>
                <w:webHidden/>
              </w:rPr>
            </w:r>
            <w:r>
              <w:rPr>
                <w:noProof/>
                <w:webHidden/>
              </w:rPr>
              <w:fldChar w:fldCharType="separate"/>
            </w:r>
            <w:r>
              <w:rPr>
                <w:noProof/>
                <w:webHidden/>
              </w:rPr>
              <w:t>752</w:t>
            </w:r>
            <w:r>
              <w:rPr>
                <w:noProof/>
                <w:webHidden/>
              </w:rPr>
              <w:fldChar w:fldCharType="end"/>
            </w:r>
          </w:hyperlink>
        </w:p>
        <w:p w14:paraId="7F43021C" w14:textId="24D9544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23" w:history="1">
            <w:r w:rsidRPr="00F45DCA">
              <w:rPr>
                <w:rStyle w:val="Lienhypertexte"/>
                <w:noProof/>
              </w:rPr>
              <w:t>23.12.5h Chevrons en aluminium CCTB 01.04</w:t>
            </w:r>
            <w:r>
              <w:rPr>
                <w:noProof/>
                <w:webHidden/>
              </w:rPr>
              <w:tab/>
            </w:r>
            <w:r>
              <w:rPr>
                <w:noProof/>
                <w:webHidden/>
              </w:rPr>
              <w:fldChar w:fldCharType="begin"/>
            </w:r>
            <w:r>
              <w:rPr>
                <w:noProof/>
                <w:webHidden/>
              </w:rPr>
              <w:instrText xml:space="preserve"> PAGEREF _Toc220496223 \h </w:instrText>
            </w:r>
            <w:r>
              <w:rPr>
                <w:noProof/>
                <w:webHidden/>
              </w:rPr>
            </w:r>
            <w:r>
              <w:rPr>
                <w:noProof/>
                <w:webHidden/>
              </w:rPr>
              <w:fldChar w:fldCharType="separate"/>
            </w:r>
            <w:r>
              <w:rPr>
                <w:noProof/>
                <w:webHidden/>
              </w:rPr>
              <w:t>752</w:t>
            </w:r>
            <w:r>
              <w:rPr>
                <w:noProof/>
                <w:webHidden/>
              </w:rPr>
              <w:fldChar w:fldCharType="end"/>
            </w:r>
          </w:hyperlink>
        </w:p>
        <w:p w14:paraId="48B4EAF3" w14:textId="23323C4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24" w:history="1">
            <w:r w:rsidRPr="00F45DCA">
              <w:rPr>
                <w:rStyle w:val="Lienhypertexte"/>
                <w:noProof/>
              </w:rPr>
              <w:t>23.12.5i Voliges et panneaux en aluminium CCTB 01.04</w:t>
            </w:r>
            <w:r>
              <w:rPr>
                <w:noProof/>
                <w:webHidden/>
              </w:rPr>
              <w:tab/>
            </w:r>
            <w:r>
              <w:rPr>
                <w:noProof/>
                <w:webHidden/>
              </w:rPr>
              <w:fldChar w:fldCharType="begin"/>
            </w:r>
            <w:r>
              <w:rPr>
                <w:noProof/>
                <w:webHidden/>
              </w:rPr>
              <w:instrText xml:space="preserve"> PAGEREF _Toc220496224 \h </w:instrText>
            </w:r>
            <w:r>
              <w:rPr>
                <w:noProof/>
                <w:webHidden/>
              </w:rPr>
            </w:r>
            <w:r>
              <w:rPr>
                <w:noProof/>
                <w:webHidden/>
              </w:rPr>
              <w:fldChar w:fldCharType="separate"/>
            </w:r>
            <w:r>
              <w:rPr>
                <w:noProof/>
                <w:webHidden/>
              </w:rPr>
              <w:t>752</w:t>
            </w:r>
            <w:r>
              <w:rPr>
                <w:noProof/>
                <w:webHidden/>
              </w:rPr>
              <w:fldChar w:fldCharType="end"/>
            </w:r>
          </w:hyperlink>
        </w:p>
        <w:p w14:paraId="5FA65301" w14:textId="57A5C79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225" w:history="1">
            <w:r w:rsidRPr="00F45DCA">
              <w:rPr>
                <w:rStyle w:val="Lienhypertexte"/>
                <w:noProof/>
              </w:rPr>
              <w:t>23.13 Linteaux métalliques CCTB 01.11</w:t>
            </w:r>
            <w:r>
              <w:rPr>
                <w:noProof/>
                <w:webHidden/>
              </w:rPr>
              <w:tab/>
            </w:r>
            <w:r>
              <w:rPr>
                <w:noProof/>
                <w:webHidden/>
              </w:rPr>
              <w:fldChar w:fldCharType="begin"/>
            </w:r>
            <w:r>
              <w:rPr>
                <w:noProof/>
                <w:webHidden/>
              </w:rPr>
              <w:instrText xml:space="preserve"> PAGEREF _Toc220496225 \h </w:instrText>
            </w:r>
            <w:r>
              <w:rPr>
                <w:noProof/>
                <w:webHidden/>
              </w:rPr>
            </w:r>
            <w:r>
              <w:rPr>
                <w:noProof/>
                <w:webHidden/>
              </w:rPr>
              <w:fldChar w:fldCharType="separate"/>
            </w:r>
            <w:r>
              <w:rPr>
                <w:noProof/>
                <w:webHidden/>
              </w:rPr>
              <w:t>753</w:t>
            </w:r>
            <w:r>
              <w:rPr>
                <w:noProof/>
                <w:webHidden/>
              </w:rPr>
              <w:fldChar w:fldCharType="end"/>
            </w:r>
          </w:hyperlink>
        </w:p>
        <w:p w14:paraId="0ACB2854" w14:textId="7CE72CC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26" w:history="1">
            <w:r w:rsidRPr="00F45DCA">
              <w:rPr>
                <w:rStyle w:val="Lienhypertexte"/>
                <w:noProof/>
              </w:rPr>
              <w:t>23.13.1 Linteaux en acier laminés à chaud CCTB 01.02</w:t>
            </w:r>
            <w:r>
              <w:rPr>
                <w:noProof/>
                <w:webHidden/>
              </w:rPr>
              <w:tab/>
            </w:r>
            <w:r>
              <w:rPr>
                <w:noProof/>
                <w:webHidden/>
              </w:rPr>
              <w:fldChar w:fldCharType="begin"/>
            </w:r>
            <w:r>
              <w:rPr>
                <w:noProof/>
                <w:webHidden/>
              </w:rPr>
              <w:instrText xml:space="preserve"> PAGEREF _Toc220496226 \h </w:instrText>
            </w:r>
            <w:r>
              <w:rPr>
                <w:noProof/>
                <w:webHidden/>
              </w:rPr>
            </w:r>
            <w:r>
              <w:rPr>
                <w:noProof/>
                <w:webHidden/>
              </w:rPr>
              <w:fldChar w:fldCharType="separate"/>
            </w:r>
            <w:r>
              <w:rPr>
                <w:noProof/>
                <w:webHidden/>
              </w:rPr>
              <w:t>753</w:t>
            </w:r>
            <w:r>
              <w:rPr>
                <w:noProof/>
                <w:webHidden/>
              </w:rPr>
              <w:fldChar w:fldCharType="end"/>
            </w:r>
          </w:hyperlink>
        </w:p>
        <w:p w14:paraId="2ED6E5A0" w14:textId="421D0B6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27" w:history="1">
            <w:r w:rsidRPr="00F45DCA">
              <w:rPr>
                <w:rStyle w:val="Lienhypertexte"/>
                <w:noProof/>
              </w:rPr>
              <w:t>23.13.1a Linteaux en acier laminés à chaud CCTB 01.02</w:t>
            </w:r>
            <w:r>
              <w:rPr>
                <w:noProof/>
                <w:webHidden/>
              </w:rPr>
              <w:tab/>
            </w:r>
            <w:r>
              <w:rPr>
                <w:noProof/>
                <w:webHidden/>
              </w:rPr>
              <w:fldChar w:fldCharType="begin"/>
            </w:r>
            <w:r>
              <w:rPr>
                <w:noProof/>
                <w:webHidden/>
              </w:rPr>
              <w:instrText xml:space="preserve"> PAGEREF _Toc220496227 \h </w:instrText>
            </w:r>
            <w:r>
              <w:rPr>
                <w:noProof/>
                <w:webHidden/>
              </w:rPr>
            </w:r>
            <w:r>
              <w:rPr>
                <w:noProof/>
                <w:webHidden/>
              </w:rPr>
              <w:fldChar w:fldCharType="separate"/>
            </w:r>
            <w:r>
              <w:rPr>
                <w:noProof/>
                <w:webHidden/>
              </w:rPr>
              <w:t>753</w:t>
            </w:r>
            <w:r>
              <w:rPr>
                <w:noProof/>
                <w:webHidden/>
              </w:rPr>
              <w:fldChar w:fldCharType="end"/>
            </w:r>
          </w:hyperlink>
        </w:p>
        <w:p w14:paraId="0533ED11" w14:textId="304C00C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28" w:history="1">
            <w:r w:rsidRPr="00F45DCA">
              <w:rPr>
                <w:rStyle w:val="Lienhypertexte"/>
                <w:noProof/>
              </w:rPr>
              <w:t>23.13.2 Linteaux en acier formés à froid CCTB 01.10</w:t>
            </w:r>
            <w:r>
              <w:rPr>
                <w:noProof/>
                <w:webHidden/>
              </w:rPr>
              <w:tab/>
            </w:r>
            <w:r>
              <w:rPr>
                <w:noProof/>
                <w:webHidden/>
              </w:rPr>
              <w:fldChar w:fldCharType="begin"/>
            </w:r>
            <w:r>
              <w:rPr>
                <w:noProof/>
                <w:webHidden/>
              </w:rPr>
              <w:instrText xml:space="preserve"> PAGEREF _Toc220496228 \h </w:instrText>
            </w:r>
            <w:r>
              <w:rPr>
                <w:noProof/>
                <w:webHidden/>
              </w:rPr>
            </w:r>
            <w:r>
              <w:rPr>
                <w:noProof/>
                <w:webHidden/>
              </w:rPr>
              <w:fldChar w:fldCharType="separate"/>
            </w:r>
            <w:r>
              <w:rPr>
                <w:noProof/>
                <w:webHidden/>
              </w:rPr>
              <w:t>753</w:t>
            </w:r>
            <w:r>
              <w:rPr>
                <w:noProof/>
                <w:webHidden/>
              </w:rPr>
              <w:fldChar w:fldCharType="end"/>
            </w:r>
          </w:hyperlink>
        </w:p>
        <w:p w14:paraId="341A52A9" w14:textId="49CB7B8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29" w:history="1">
            <w:r w:rsidRPr="00F45DCA">
              <w:rPr>
                <w:rStyle w:val="Lienhypertexte"/>
                <w:noProof/>
              </w:rPr>
              <w:t>23.13.2a Linteaux en acier formés à froid CCTB 01.10</w:t>
            </w:r>
            <w:r>
              <w:rPr>
                <w:noProof/>
                <w:webHidden/>
              </w:rPr>
              <w:tab/>
            </w:r>
            <w:r>
              <w:rPr>
                <w:noProof/>
                <w:webHidden/>
              </w:rPr>
              <w:fldChar w:fldCharType="begin"/>
            </w:r>
            <w:r>
              <w:rPr>
                <w:noProof/>
                <w:webHidden/>
              </w:rPr>
              <w:instrText xml:space="preserve"> PAGEREF _Toc220496229 \h </w:instrText>
            </w:r>
            <w:r>
              <w:rPr>
                <w:noProof/>
                <w:webHidden/>
              </w:rPr>
            </w:r>
            <w:r>
              <w:rPr>
                <w:noProof/>
                <w:webHidden/>
              </w:rPr>
              <w:fldChar w:fldCharType="separate"/>
            </w:r>
            <w:r>
              <w:rPr>
                <w:noProof/>
                <w:webHidden/>
              </w:rPr>
              <w:t>753</w:t>
            </w:r>
            <w:r>
              <w:rPr>
                <w:noProof/>
                <w:webHidden/>
              </w:rPr>
              <w:fldChar w:fldCharType="end"/>
            </w:r>
          </w:hyperlink>
        </w:p>
        <w:p w14:paraId="70E1DAAF" w14:textId="49FABD9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30" w:history="1">
            <w:r w:rsidRPr="00F45DCA">
              <w:rPr>
                <w:rStyle w:val="Lienhypertexte"/>
                <w:noProof/>
              </w:rPr>
              <w:t>23.13.3 Linteaux en acier inoxydable laminés à chaud CCTB 01.10</w:t>
            </w:r>
            <w:r>
              <w:rPr>
                <w:noProof/>
                <w:webHidden/>
              </w:rPr>
              <w:tab/>
            </w:r>
            <w:r>
              <w:rPr>
                <w:noProof/>
                <w:webHidden/>
              </w:rPr>
              <w:fldChar w:fldCharType="begin"/>
            </w:r>
            <w:r>
              <w:rPr>
                <w:noProof/>
                <w:webHidden/>
              </w:rPr>
              <w:instrText xml:space="preserve"> PAGEREF _Toc220496230 \h </w:instrText>
            </w:r>
            <w:r>
              <w:rPr>
                <w:noProof/>
                <w:webHidden/>
              </w:rPr>
            </w:r>
            <w:r>
              <w:rPr>
                <w:noProof/>
                <w:webHidden/>
              </w:rPr>
              <w:fldChar w:fldCharType="separate"/>
            </w:r>
            <w:r>
              <w:rPr>
                <w:noProof/>
                <w:webHidden/>
              </w:rPr>
              <w:t>753</w:t>
            </w:r>
            <w:r>
              <w:rPr>
                <w:noProof/>
                <w:webHidden/>
              </w:rPr>
              <w:fldChar w:fldCharType="end"/>
            </w:r>
          </w:hyperlink>
        </w:p>
        <w:p w14:paraId="238F5BBE" w14:textId="0BA0C90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31" w:history="1">
            <w:r w:rsidRPr="00F45DCA">
              <w:rPr>
                <w:rStyle w:val="Lienhypertexte"/>
                <w:noProof/>
              </w:rPr>
              <w:t>23.13.3a Linteaux en acier inoxydable laminés à chaud CCTB 01.10</w:t>
            </w:r>
            <w:r>
              <w:rPr>
                <w:noProof/>
                <w:webHidden/>
              </w:rPr>
              <w:tab/>
            </w:r>
            <w:r>
              <w:rPr>
                <w:noProof/>
                <w:webHidden/>
              </w:rPr>
              <w:fldChar w:fldCharType="begin"/>
            </w:r>
            <w:r>
              <w:rPr>
                <w:noProof/>
                <w:webHidden/>
              </w:rPr>
              <w:instrText xml:space="preserve"> PAGEREF _Toc220496231 \h </w:instrText>
            </w:r>
            <w:r>
              <w:rPr>
                <w:noProof/>
                <w:webHidden/>
              </w:rPr>
            </w:r>
            <w:r>
              <w:rPr>
                <w:noProof/>
                <w:webHidden/>
              </w:rPr>
              <w:fldChar w:fldCharType="separate"/>
            </w:r>
            <w:r>
              <w:rPr>
                <w:noProof/>
                <w:webHidden/>
              </w:rPr>
              <w:t>753</w:t>
            </w:r>
            <w:r>
              <w:rPr>
                <w:noProof/>
                <w:webHidden/>
              </w:rPr>
              <w:fldChar w:fldCharType="end"/>
            </w:r>
          </w:hyperlink>
        </w:p>
        <w:p w14:paraId="4DBF5EB7" w14:textId="605E74E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32" w:history="1">
            <w:r w:rsidRPr="00F45DCA">
              <w:rPr>
                <w:rStyle w:val="Lienhypertexte"/>
                <w:noProof/>
              </w:rPr>
              <w:t>23.13.4 Linteaux en acier inoxydable formés à froid CCTB 01.10</w:t>
            </w:r>
            <w:r>
              <w:rPr>
                <w:noProof/>
                <w:webHidden/>
              </w:rPr>
              <w:tab/>
            </w:r>
            <w:r>
              <w:rPr>
                <w:noProof/>
                <w:webHidden/>
              </w:rPr>
              <w:fldChar w:fldCharType="begin"/>
            </w:r>
            <w:r>
              <w:rPr>
                <w:noProof/>
                <w:webHidden/>
              </w:rPr>
              <w:instrText xml:space="preserve"> PAGEREF _Toc220496232 \h </w:instrText>
            </w:r>
            <w:r>
              <w:rPr>
                <w:noProof/>
                <w:webHidden/>
              </w:rPr>
            </w:r>
            <w:r>
              <w:rPr>
                <w:noProof/>
                <w:webHidden/>
              </w:rPr>
              <w:fldChar w:fldCharType="separate"/>
            </w:r>
            <w:r>
              <w:rPr>
                <w:noProof/>
                <w:webHidden/>
              </w:rPr>
              <w:t>753</w:t>
            </w:r>
            <w:r>
              <w:rPr>
                <w:noProof/>
                <w:webHidden/>
              </w:rPr>
              <w:fldChar w:fldCharType="end"/>
            </w:r>
          </w:hyperlink>
        </w:p>
        <w:p w14:paraId="41A17264" w14:textId="75E295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33" w:history="1">
            <w:r w:rsidRPr="00F45DCA">
              <w:rPr>
                <w:rStyle w:val="Lienhypertexte"/>
                <w:noProof/>
              </w:rPr>
              <w:t>23.13.4a Linteaux en acier inoxydable formés à froid CCTB 01.10</w:t>
            </w:r>
            <w:r>
              <w:rPr>
                <w:noProof/>
                <w:webHidden/>
              </w:rPr>
              <w:tab/>
            </w:r>
            <w:r>
              <w:rPr>
                <w:noProof/>
                <w:webHidden/>
              </w:rPr>
              <w:fldChar w:fldCharType="begin"/>
            </w:r>
            <w:r>
              <w:rPr>
                <w:noProof/>
                <w:webHidden/>
              </w:rPr>
              <w:instrText xml:space="preserve"> PAGEREF _Toc220496233 \h </w:instrText>
            </w:r>
            <w:r>
              <w:rPr>
                <w:noProof/>
                <w:webHidden/>
              </w:rPr>
            </w:r>
            <w:r>
              <w:rPr>
                <w:noProof/>
                <w:webHidden/>
              </w:rPr>
              <w:fldChar w:fldCharType="separate"/>
            </w:r>
            <w:r>
              <w:rPr>
                <w:noProof/>
                <w:webHidden/>
              </w:rPr>
              <w:t>753</w:t>
            </w:r>
            <w:r>
              <w:rPr>
                <w:noProof/>
                <w:webHidden/>
              </w:rPr>
              <w:fldChar w:fldCharType="end"/>
            </w:r>
          </w:hyperlink>
        </w:p>
        <w:p w14:paraId="69AE2CFC" w14:textId="010D808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34" w:history="1">
            <w:r w:rsidRPr="00F45DCA">
              <w:rPr>
                <w:rStyle w:val="Lienhypertexte"/>
                <w:noProof/>
              </w:rPr>
              <w:t>23.13.5 Linteaux en aluminium CCTB 01.10</w:t>
            </w:r>
            <w:r>
              <w:rPr>
                <w:noProof/>
                <w:webHidden/>
              </w:rPr>
              <w:tab/>
            </w:r>
            <w:r>
              <w:rPr>
                <w:noProof/>
                <w:webHidden/>
              </w:rPr>
              <w:fldChar w:fldCharType="begin"/>
            </w:r>
            <w:r>
              <w:rPr>
                <w:noProof/>
                <w:webHidden/>
              </w:rPr>
              <w:instrText xml:space="preserve"> PAGEREF _Toc220496234 \h </w:instrText>
            </w:r>
            <w:r>
              <w:rPr>
                <w:noProof/>
                <w:webHidden/>
              </w:rPr>
            </w:r>
            <w:r>
              <w:rPr>
                <w:noProof/>
                <w:webHidden/>
              </w:rPr>
              <w:fldChar w:fldCharType="separate"/>
            </w:r>
            <w:r>
              <w:rPr>
                <w:noProof/>
                <w:webHidden/>
              </w:rPr>
              <w:t>753</w:t>
            </w:r>
            <w:r>
              <w:rPr>
                <w:noProof/>
                <w:webHidden/>
              </w:rPr>
              <w:fldChar w:fldCharType="end"/>
            </w:r>
          </w:hyperlink>
        </w:p>
        <w:p w14:paraId="5A00A466" w14:textId="2B9A846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35" w:history="1">
            <w:r w:rsidRPr="00F45DCA">
              <w:rPr>
                <w:rStyle w:val="Lienhypertexte"/>
                <w:noProof/>
              </w:rPr>
              <w:t>23.13.5a Linteaux en aluminium CCTB 01.10</w:t>
            </w:r>
            <w:r>
              <w:rPr>
                <w:noProof/>
                <w:webHidden/>
              </w:rPr>
              <w:tab/>
            </w:r>
            <w:r>
              <w:rPr>
                <w:noProof/>
                <w:webHidden/>
              </w:rPr>
              <w:fldChar w:fldCharType="begin"/>
            </w:r>
            <w:r>
              <w:rPr>
                <w:noProof/>
                <w:webHidden/>
              </w:rPr>
              <w:instrText xml:space="preserve"> PAGEREF _Toc220496235 \h </w:instrText>
            </w:r>
            <w:r>
              <w:rPr>
                <w:noProof/>
                <w:webHidden/>
              </w:rPr>
            </w:r>
            <w:r>
              <w:rPr>
                <w:noProof/>
                <w:webHidden/>
              </w:rPr>
              <w:fldChar w:fldCharType="separate"/>
            </w:r>
            <w:r>
              <w:rPr>
                <w:noProof/>
                <w:webHidden/>
              </w:rPr>
              <w:t>753</w:t>
            </w:r>
            <w:r>
              <w:rPr>
                <w:noProof/>
                <w:webHidden/>
              </w:rPr>
              <w:fldChar w:fldCharType="end"/>
            </w:r>
          </w:hyperlink>
        </w:p>
        <w:p w14:paraId="65AFC9A0" w14:textId="5925881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36" w:history="1">
            <w:r w:rsidRPr="00F45DCA">
              <w:rPr>
                <w:rStyle w:val="Lienhypertexte"/>
                <w:noProof/>
              </w:rPr>
              <w:t>23.13.6 Cornières de soutien de parement en profilés d'acier CCTB 01.02</w:t>
            </w:r>
            <w:r>
              <w:rPr>
                <w:noProof/>
                <w:webHidden/>
              </w:rPr>
              <w:tab/>
            </w:r>
            <w:r>
              <w:rPr>
                <w:noProof/>
                <w:webHidden/>
              </w:rPr>
              <w:fldChar w:fldCharType="begin"/>
            </w:r>
            <w:r>
              <w:rPr>
                <w:noProof/>
                <w:webHidden/>
              </w:rPr>
              <w:instrText xml:space="preserve"> PAGEREF _Toc220496236 \h </w:instrText>
            </w:r>
            <w:r>
              <w:rPr>
                <w:noProof/>
                <w:webHidden/>
              </w:rPr>
            </w:r>
            <w:r>
              <w:rPr>
                <w:noProof/>
                <w:webHidden/>
              </w:rPr>
              <w:fldChar w:fldCharType="separate"/>
            </w:r>
            <w:r>
              <w:rPr>
                <w:noProof/>
                <w:webHidden/>
              </w:rPr>
              <w:t>754</w:t>
            </w:r>
            <w:r>
              <w:rPr>
                <w:noProof/>
                <w:webHidden/>
              </w:rPr>
              <w:fldChar w:fldCharType="end"/>
            </w:r>
          </w:hyperlink>
        </w:p>
        <w:p w14:paraId="23D6E089" w14:textId="12FD6B8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237" w:history="1">
            <w:r w:rsidRPr="00F45DCA">
              <w:rPr>
                <w:rStyle w:val="Lienhypertexte"/>
                <w:noProof/>
              </w:rPr>
              <w:t>23.14 Colonnes métalliques CCTB 01.11</w:t>
            </w:r>
            <w:r>
              <w:rPr>
                <w:noProof/>
                <w:webHidden/>
              </w:rPr>
              <w:tab/>
            </w:r>
            <w:r>
              <w:rPr>
                <w:noProof/>
                <w:webHidden/>
              </w:rPr>
              <w:fldChar w:fldCharType="begin"/>
            </w:r>
            <w:r>
              <w:rPr>
                <w:noProof/>
                <w:webHidden/>
              </w:rPr>
              <w:instrText xml:space="preserve"> PAGEREF _Toc220496237 \h </w:instrText>
            </w:r>
            <w:r>
              <w:rPr>
                <w:noProof/>
                <w:webHidden/>
              </w:rPr>
            </w:r>
            <w:r>
              <w:rPr>
                <w:noProof/>
                <w:webHidden/>
              </w:rPr>
              <w:fldChar w:fldCharType="separate"/>
            </w:r>
            <w:r>
              <w:rPr>
                <w:noProof/>
                <w:webHidden/>
              </w:rPr>
              <w:t>754</w:t>
            </w:r>
            <w:r>
              <w:rPr>
                <w:noProof/>
                <w:webHidden/>
              </w:rPr>
              <w:fldChar w:fldCharType="end"/>
            </w:r>
          </w:hyperlink>
        </w:p>
        <w:p w14:paraId="0570A058" w14:textId="33CA064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38" w:history="1">
            <w:r w:rsidRPr="00F45DCA">
              <w:rPr>
                <w:rStyle w:val="Lienhypertexte"/>
                <w:noProof/>
              </w:rPr>
              <w:t>23.14.1 Colonnes en acier laminées à chaud CCTB 01.04</w:t>
            </w:r>
            <w:r>
              <w:rPr>
                <w:noProof/>
                <w:webHidden/>
              </w:rPr>
              <w:tab/>
            </w:r>
            <w:r>
              <w:rPr>
                <w:noProof/>
                <w:webHidden/>
              </w:rPr>
              <w:fldChar w:fldCharType="begin"/>
            </w:r>
            <w:r>
              <w:rPr>
                <w:noProof/>
                <w:webHidden/>
              </w:rPr>
              <w:instrText xml:space="preserve"> PAGEREF _Toc220496238 \h </w:instrText>
            </w:r>
            <w:r>
              <w:rPr>
                <w:noProof/>
                <w:webHidden/>
              </w:rPr>
            </w:r>
            <w:r>
              <w:rPr>
                <w:noProof/>
                <w:webHidden/>
              </w:rPr>
              <w:fldChar w:fldCharType="separate"/>
            </w:r>
            <w:r>
              <w:rPr>
                <w:noProof/>
                <w:webHidden/>
              </w:rPr>
              <w:t>754</w:t>
            </w:r>
            <w:r>
              <w:rPr>
                <w:noProof/>
                <w:webHidden/>
              </w:rPr>
              <w:fldChar w:fldCharType="end"/>
            </w:r>
          </w:hyperlink>
        </w:p>
        <w:p w14:paraId="4CC408C4" w14:textId="4F94F6A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39" w:history="1">
            <w:r w:rsidRPr="00F45DCA">
              <w:rPr>
                <w:rStyle w:val="Lienhypertexte"/>
                <w:noProof/>
              </w:rPr>
              <w:t>23.14.1a Colonnes en profilés en acier laminés à chaud CCTB 01.11</w:t>
            </w:r>
            <w:r>
              <w:rPr>
                <w:noProof/>
                <w:webHidden/>
              </w:rPr>
              <w:tab/>
            </w:r>
            <w:r>
              <w:rPr>
                <w:noProof/>
                <w:webHidden/>
              </w:rPr>
              <w:fldChar w:fldCharType="begin"/>
            </w:r>
            <w:r>
              <w:rPr>
                <w:noProof/>
                <w:webHidden/>
              </w:rPr>
              <w:instrText xml:space="preserve"> PAGEREF _Toc220496239 \h </w:instrText>
            </w:r>
            <w:r>
              <w:rPr>
                <w:noProof/>
                <w:webHidden/>
              </w:rPr>
            </w:r>
            <w:r>
              <w:rPr>
                <w:noProof/>
                <w:webHidden/>
              </w:rPr>
              <w:fldChar w:fldCharType="separate"/>
            </w:r>
            <w:r>
              <w:rPr>
                <w:noProof/>
                <w:webHidden/>
              </w:rPr>
              <w:t>754</w:t>
            </w:r>
            <w:r>
              <w:rPr>
                <w:noProof/>
                <w:webHidden/>
              </w:rPr>
              <w:fldChar w:fldCharType="end"/>
            </w:r>
          </w:hyperlink>
        </w:p>
        <w:p w14:paraId="179114E8" w14:textId="42AE58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40" w:history="1">
            <w:r w:rsidRPr="00F45DCA">
              <w:rPr>
                <w:rStyle w:val="Lienhypertexte"/>
                <w:noProof/>
              </w:rPr>
              <w:t>23.14.1b Colonnes reconstituées en profilés d'acier CCTB 01.11</w:t>
            </w:r>
            <w:r>
              <w:rPr>
                <w:noProof/>
                <w:webHidden/>
              </w:rPr>
              <w:tab/>
            </w:r>
            <w:r>
              <w:rPr>
                <w:noProof/>
                <w:webHidden/>
              </w:rPr>
              <w:fldChar w:fldCharType="begin"/>
            </w:r>
            <w:r>
              <w:rPr>
                <w:noProof/>
                <w:webHidden/>
              </w:rPr>
              <w:instrText xml:space="preserve"> PAGEREF _Toc220496240 \h </w:instrText>
            </w:r>
            <w:r>
              <w:rPr>
                <w:noProof/>
                <w:webHidden/>
              </w:rPr>
            </w:r>
            <w:r>
              <w:rPr>
                <w:noProof/>
                <w:webHidden/>
              </w:rPr>
              <w:fldChar w:fldCharType="separate"/>
            </w:r>
            <w:r>
              <w:rPr>
                <w:noProof/>
                <w:webHidden/>
              </w:rPr>
              <w:t>756</w:t>
            </w:r>
            <w:r>
              <w:rPr>
                <w:noProof/>
                <w:webHidden/>
              </w:rPr>
              <w:fldChar w:fldCharType="end"/>
            </w:r>
          </w:hyperlink>
        </w:p>
        <w:p w14:paraId="33DBC99F" w14:textId="3367DE2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41" w:history="1">
            <w:r w:rsidRPr="00F45DCA">
              <w:rPr>
                <w:rStyle w:val="Lienhypertexte"/>
                <w:noProof/>
              </w:rPr>
              <w:t>23.14.1c Colonnes en treillis en acier CCTB 01.11</w:t>
            </w:r>
            <w:r>
              <w:rPr>
                <w:noProof/>
                <w:webHidden/>
              </w:rPr>
              <w:tab/>
            </w:r>
            <w:r>
              <w:rPr>
                <w:noProof/>
                <w:webHidden/>
              </w:rPr>
              <w:fldChar w:fldCharType="begin"/>
            </w:r>
            <w:r>
              <w:rPr>
                <w:noProof/>
                <w:webHidden/>
              </w:rPr>
              <w:instrText xml:space="preserve"> PAGEREF _Toc220496241 \h </w:instrText>
            </w:r>
            <w:r>
              <w:rPr>
                <w:noProof/>
                <w:webHidden/>
              </w:rPr>
            </w:r>
            <w:r>
              <w:rPr>
                <w:noProof/>
                <w:webHidden/>
              </w:rPr>
              <w:fldChar w:fldCharType="separate"/>
            </w:r>
            <w:r>
              <w:rPr>
                <w:noProof/>
                <w:webHidden/>
              </w:rPr>
              <w:t>758</w:t>
            </w:r>
            <w:r>
              <w:rPr>
                <w:noProof/>
                <w:webHidden/>
              </w:rPr>
              <w:fldChar w:fldCharType="end"/>
            </w:r>
          </w:hyperlink>
        </w:p>
        <w:p w14:paraId="11D29B3A" w14:textId="025BC0F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42" w:history="1">
            <w:r w:rsidRPr="00F45DCA">
              <w:rPr>
                <w:rStyle w:val="Lienhypertexte"/>
                <w:noProof/>
              </w:rPr>
              <w:t>23.14.1d Colonnes alvéolaires en acier CCTB 01.11</w:t>
            </w:r>
            <w:r>
              <w:rPr>
                <w:noProof/>
                <w:webHidden/>
              </w:rPr>
              <w:tab/>
            </w:r>
            <w:r>
              <w:rPr>
                <w:noProof/>
                <w:webHidden/>
              </w:rPr>
              <w:fldChar w:fldCharType="begin"/>
            </w:r>
            <w:r>
              <w:rPr>
                <w:noProof/>
                <w:webHidden/>
              </w:rPr>
              <w:instrText xml:space="preserve"> PAGEREF _Toc220496242 \h </w:instrText>
            </w:r>
            <w:r>
              <w:rPr>
                <w:noProof/>
                <w:webHidden/>
              </w:rPr>
            </w:r>
            <w:r>
              <w:rPr>
                <w:noProof/>
                <w:webHidden/>
              </w:rPr>
              <w:fldChar w:fldCharType="separate"/>
            </w:r>
            <w:r>
              <w:rPr>
                <w:noProof/>
                <w:webHidden/>
              </w:rPr>
              <w:t>760</w:t>
            </w:r>
            <w:r>
              <w:rPr>
                <w:noProof/>
                <w:webHidden/>
              </w:rPr>
              <w:fldChar w:fldCharType="end"/>
            </w:r>
          </w:hyperlink>
        </w:p>
        <w:p w14:paraId="5799B7F7" w14:textId="4D5B9AF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43" w:history="1">
            <w:r w:rsidRPr="00F45DCA">
              <w:rPr>
                <w:rStyle w:val="Lienhypertexte"/>
                <w:noProof/>
              </w:rPr>
              <w:t>23.14.1e Colonnes en éléments tubulaires en acier CCTB 01.04</w:t>
            </w:r>
            <w:r>
              <w:rPr>
                <w:noProof/>
                <w:webHidden/>
              </w:rPr>
              <w:tab/>
            </w:r>
            <w:r>
              <w:rPr>
                <w:noProof/>
                <w:webHidden/>
              </w:rPr>
              <w:fldChar w:fldCharType="begin"/>
            </w:r>
            <w:r>
              <w:rPr>
                <w:noProof/>
                <w:webHidden/>
              </w:rPr>
              <w:instrText xml:space="preserve"> PAGEREF _Toc220496243 \h </w:instrText>
            </w:r>
            <w:r>
              <w:rPr>
                <w:noProof/>
                <w:webHidden/>
              </w:rPr>
            </w:r>
            <w:r>
              <w:rPr>
                <w:noProof/>
                <w:webHidden/>
              </w:rPr>
              <w:fldChar w:fldCharType="separate"/>
            </w:r>
            <w:r>
              <w:rPr>
                <w:noProof/>
                <w:webHidden/>
              </w:rPr>
              <w:t>762</w:t>
            </w:r>
            <w:r>
              <w:rPr>
                <w:noProof/>
                <w:webHidden/>
              </w:rPr>
              <w:fldChar w:fldCharType="end"/>
            </w:r>
          </w:hyperlink>
        </w:p>
        <w:p w14:paraId="3F336BE7" w14:textId="0949582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44" w:history="1">
            <w:r w:rsidRPr="00F45DCA">
              <w:rPr>
                <w:rStyle w:val="Lienhypertexte"/>
                <w:noProof/>
              </w:rPr>
              <w:t>23.14.2 Colonnes en acier formées à froid CCTB 01.07</w:t>
            </w:r>
            <w:r>
              <w:rPr>
                <w:noProof/>
                <w:webHidden/>
              </w:rPr>
              <w:tab/>
            </w:r>
            <w:r>
              <w:rPr>
                <w:noProof/>
                <w:webHidden/>
              </w:rPr>
              <w:fldChar w:fldCharType="begin"/>
            </w:r>
            <w:r>
              <w:rPr>
                <w:noProof/>
                <w:webHidden/>
              </w:rPr>
              <w:instrText xml:space="preserve"> PAGEREF _Toc220496244 \h </w:instrText>
            </w:r>
            <w:r>
              <w:rPr>
                <w:noProof/>
                <w:webHidden/>
              </w:rPr>
            </w:r>
            <w:r>
              <w:rPr>
                <w:noProof/>
                <w:webHidden/>
              </w:rPr>
              <w:fldChar w:fldCharType="separate"/>
            </w:r>
            <w:r>
              <w:rPr>
                <w:noProof/>
                <w:webHidden/>
              </w:rPr>
              <w:t>762</w:t>
            </w:r>
            <w:r>
              <w:rPr>
                <w:noProof/>
                <w:webHidden/>
              </w:rPr>
              <w:fldChar w:fldCharType="end"/>
            </w:r>
          </w:hyperlink>
        </w:p>
        <w:p w14:paraId="32BF4959" w14:textId="563576D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45" w:history="1">
            <w:r w:rsidRPr="00F45DCA">
              <w:rPr>
                <w:rStyle w:val="Lienhypertexte"/>
                <w:noProof/>
              </w:rPr>
              <w:t>23.14.2a Colonnes en acier formées à froid CCTB 01.11</w:t>
            </w:r>
            <w:r>
              <w:rPr>
                <w:noProof/>
                <w:webHidden/>
              </w:rPr>
              <w:tab/>
            </w:r>
            <w:r>
              <w:rPr>
                <w:noProof/>
                <w:webHidden/>
              </w:rPr>
              <w:fldChar w:fldCharType="begin"/>
            </w:r>
            <w:r>
              <w:rPr>
                <w:noProof/>
                <w:webHidden/>
              </w:rPr>
              <w:instrText xml:space="preserve"> PAGEREF _Toc220496245 \h </w:instrText>
            </w:r>
            <w:r>
              <w:rPr>
                <w:noProof/>
                <w:webHidden/>
              </w:rPr>
            </w:r>
            <w:r>
              <w:rPr>
                <w:noProof/>
                <w:webHidden/>
              </w:rPr>
              <w:fldChar w:fldCharType="separate"/>
            </w:r>
            <w:r>
              <w:rPr>
                <w:noProof/>
                <w:webHidden/>
              </w:rPr>
              <w:t>762</w:t>
            </w:r>
            <w:r>
              <w:rPr>
                <w:noProof/>
                <w:webHidden/>
              </w:rPr>
              <w:fldChar w:fldCharType="end"/>
            </w:r>
          </w:hyperlink>
        </w:p>
        <w:p w14:paraId="6F6D994C" w14:textId="3429610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46" w:history="1">
            <w:r w:rsidRPr="00F45DCA">
              <w:rPr>
                <w:rStyle w:val="Lienhypertexte"/>
                <w:noProof/>
              </w:rPr>
              <w:t>23.14.3 Colonnes en acier inoxydable laminées à chaud CCTB 01.04</w:t>
            </w:r>
            <w:r>
              <w:rPr>
                <w:noProof/>
                <w:webHidden/>
              </w:rPr>
              <w:tab/>
            </w:r>
            <w:r>
              <w:rPr>
                <w:noProof/>
                <w:webHidden/>
              </w:rPr>
              <w:fldChar w:fldCharType="begin"/>
            </w:r>
            <w:r>
              <w:rPr>
                <w:noProof/>
                <w:webHidden/>
              </w:rPr>
              <w:instrText xml:space="preserve"> PAGEREF _Toc220496246 \h </w:instrText>
            </w:r>
            <w:r>
              <w:rPr>
                <w:noProof/>
                <w:webHidden/>
              </w:rPr>
            </w:r>
            <w:r>
              <w:rPr>
                <w:noProof/>
                <w:webHidden/>
              </w:rPr>
              <w:fldChar w:fldCharType="separate"/>
            </w:r>
            <w:r>
              <w:rPr>
                <w:noProof/>
                <w:webHidden/>
              </w:rPr>
              <w:t>764</w:t>
            </w:r>
            <w:r>
              <w:rPr>
                <w:noProof/>
                <w:webHidden/>
              </w:rPr>
              <w:fldChar w:fldCharType="end"/>
            </w:r>
          </w:hyperlink>
        </w:p>
        <w:p w14:paraId="5A9EDAC4" w14:textId="4AB4869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47" w:history="1">
            <w:r w:rsidRPr="00F45DCA">
              <w:rPr>
                <w:rStyle w:val="Lienhypertexte"/>
                <w:noProof/>
              </w:rPr>
              <w:t>23.14.3a Colonnes en profilés en acier inoxydable laminés à chaud CCTB 01.11</w:t>
            </w:r>
            <w:r>
              <w:rPr>
                <w:noProof/>
                <w:webHidden/>
              </w:rPr>
              <w:tab/>
            </w:r>
            <w:r>
              <w:rPr>
                <w:noProof/>
                <w:webHidden/>
              </w:rPr>
              <w:fldChar w:fldCharType="begin"/>
            </w:r>
            <w:r>
              <w:rPr>
                <w:noProof/>
                <w:webHidden/>
              </w:rPr>
              <w:instrText xml:space="preserve"> PAGEREF _Toc220496247 \h </w:instrText>
            </w:r>
            <w:r>
              <w:rPr>
                <w:noProof/>
                <w:webHidden/>
              </w:rPr>
            </w:r>
            <w:r>
              <w:rPr>
                <w:noProof/>
                <w:webHidden/>
              </w:rPr>
              <w:fldChar w:fldCharType="separate"/>
            </w:r>
            <w:r>
              <w:rPr>
                <w:noProof/>
                <w:webHidden/>
              </w:rPr>
              <w:t>764</w:t>
            </w:r>
            <w:r>
              <w:rPr>
                <w:noProof/>
                <w:webHidden/>
              </w:rPr>
              <w:fldChar w:fldCharType="end"/>
            </w:r>
          </w:hyperlink>
        </w:p>
        <w:p w14:paraId="1B3B693F" w14:textId="519F16D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48" w:history="1">
            <w:r w:rsidRPr="00F45DCA">
              <w:rPr>
                <w:rStyle w:val="Lienhypertexte"/>
                <w:noProof/>
              </w:rPr>
              <w:t>23.14.3b Colonnes reconstituées en profilés d'acier inoxydable CCTB 01.11</w:t>
            </w:r>
            <w:r>
              <w:rPr>
                <w:noProof/>
                <w:webHidden/>
              </w:rPr>
              <w:tab/>
            </w:r>
            <w:r>
              <w:rPr>
                <w:noProof/>
                <w:webHidden/>
              </w:rPr>
              <w:fldChar w:fldCharType="begin"/>
            </w:r>
            <w:r>
              <w:rPr>
                <w:noProof/>
                <w:webHidden/>
              </w:rPr>
              <w:instrText xml:space="preserve"> PAGEREF _Toc220496248 \h </w:instrText>
            </w:r>
            <w:r>
              <w:rPr>
                <w:noProof/>
                <w:webHidden/>
              </w:rPr>
            </w:r>
            <w:r>
              <w:rPr>
                <w:noProof/>
                <w:webHidden/>
              </w:rPr>
              <w:fldChar w:fldCharType="separate"/>
            </w:r>
            <w:r>
              <w:rPr>
                <w:noProof/>
                <w:webHidden/>
              </w:rPr>
              <w:t>766</w:t>
            </w:r>
            <w:r>
              <w:rPr>
                <w:noProof/>
                <w:webHidden/>
              </w:rPr>
              <w:fldChar w:fldCharType="end"/>
            </w:r>
          </w:hyperlink>
        </w:p>
        <w:p w14:paraId="514159C5" w14:textId="7AAD02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49" w:history="1">
            <w:r w:rsidRPr="00F45DCA">
              <w:rPr>
                <w:rStyle w:val="Lienhypertexte"/>
                <w:noProof/>
              </w:rPr>
              <w:t>23.14.3c Colonnes en treillis en acier inoxydable CCTB 01.11</w:t>
            </w:r>
            <w:r>
              <w:rPr>
                <w:noProof/>
                <w:webHidden/>
              </w:rPr>
              <w:tab/>
            </w:r>
            <w:r>
              <w:rPr>
                <w:noProof/>
                <w:webHidden/>
              </w:rPr>
              <w:fldChar w:fldCharType="begin"/>
            </w:r>
            <w:r>
              <w:rPr>
                <w:noProof/>
                <w:webHidden/>
              </w:rPr>
              <w:instrText xml:space="preserve"> PAGEREF _Toc220496249 \h </w:instrText>
            </w:r>
            <w:r>
              <w:rPr>
                <w:noProof/>
                <w:webHidden/>
              </w:rPr>
            </w:r>
            <w:r>
              <w:rPr>
                <w:noProof/>
                <w:webHidden/>
              </w:rPr>
              <w:fldChar w:fldCharType="separate"/>
            </w:r>
            <w:r>
              <w:rPr>
                <w:noProof/>
                <w:webHidden/>
              </w:rPr>
              <w:t>768</w:t>
            </w:r>
            <w:r>
              <w:rPr>
                <w:noProof/>
                <w:webHidden/>
              </w:rPr>
              <w:fldChar w:fldCharType="end"/>
            </w:r>
          </w:hyperlink>
        </w:p>
        <w:p w14:paraId="531DCA22" w14:textId="4E30695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50" w:history="1">
            <w:r w:rsidRPr="00F45DCA">
              <w:rPr>
                <w:rStyle w:val="Lienhypertexte"/>
                <w:noProof/>
              </w:rPr>
              <w:t>23.14.3d Colonnes alvéolaires en acier inoxydable CCTB 01.11</w:t>
            </w:r>
            <w:r>
              <w:rPr>
                <w:noProof/>
                <w:webHidden/>
              </w:rPr>
              <w:tab/>
            </w:r>
            <w:r>
              <w:rPr>
                <w:noProof/>
                <w:webHidden/>
              </w:rPr>
              <w:fldChar w:fldCharType="begin"/>
            </w:r>
            <w:r>
              <w:rPr>
                <w:noProof/>
                <w:webHidden/>
              </w:rPr>
              <w:instrText xml:space="preserve"> PAGEREF _Toc220496250 \h </w:instrText>
            </w:r>
            <w:r>
              <w:rPr>
                <w:noProof/>
                <w:webHidden/>
              </w:rPr>
            </w:r>
            <w:r>
              <w:rPr>
                <w:noProof/>
                <w:webHidden/>
              </w:rPr>
              <w:fldChar w:fldCharType="separate"/>
            </w:r>
            <w:r>
              <w:rPr>
                <w:noProof/>
                <w:webHidden/>
              </w:rPr>
              <w:t>770</w:t>
            </w:r>
            <w:r>
              <w:rPr>
                <w:noProof/>
                <w:webHidden/>
              </w:rPr>
              <w:fldChar w:fldCharType="end"/>
            </w:r>
          </w:hyperlink>
        </w:p>
        <w:p w14:paraId="38E065F3" w14:textId="1F9F8F2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51" w:history="1">
            <w:r w:rsidRPr="00F45DCA">
              <w:rPr>
                <w:rStyle w:val="Lienhypertexte"/>
                <w:noProof/>
              </w:rPr>
              <w:t>23.14.3e Colonnes en éléments tubulaires en acier inoxydable CCTB 01.04</w:t>
            </w:r>
            <w:r>
              <w:rPr>
                <w:noProof/>
                <w:webHidden/>
              </w:rPr>
              <w:tab/>
            </w:r>
            <w:r>
              <w:rPr>
                <w:noProof/>
                <w:webHidden/>
              </w:rPr>
              <w:fldChar w:fldCharType="begin"/>
            </w:r>
            <w:r>
              <w:rPr>
                <w:noProof/>
                <w:webHidden/>
              </w:rPr>
              <w:instrText xml:space="preserve"> PAGEREF _Toc220496251 \h </w:instrText>
            </w:r>
            <w:r>
              <w:rPr>
                <w:noProof/>
                <w:webHidden/>
              </w:rPr>
            </w:r>
            <w:r>
              <w:rPr>
                <w:noProof/>
                <w:webHidden/>
              </w:rPr>
              <w:fldChar w:fldCharType="separate"/>
            </w:r>
            <w:r>
              <w:rPr>
                <w:noProof/>
                <w:webHidden/>
              </w:rPr>
              <w:t>772</w:t>
            </w:r>
            <w:r>
              <w:rPr>
                <w:noProof/>
                <w:webHidden/>
              </w:rPr>
              <w:fldChar w:fldCharType="end"/>
            </w:r>
          </w:hyperlink>
        </w:p>
        <w:p w14:paraId="13B3EED3" w14:textId="641E998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52" w:history="1">
            <w:r w:rsidRPr="00F45DCA">
              <w:rPr>
                <w:rStyle w:val="Lienhypertexte"/>
                <w:noProof/>
              </w:rPr>
              <w:t>23.14.4 Colonnes en acier inoxydable formées à froid CCTB 01.04</w:t>
            </w:r>
            <w:r>
              <w:rPr>
                <w:noProof/>
                <w:webHidden/>
              </w:rPr>
              <w:tab/>
            </w:r>
            <w:r>
              <w:rPr>
                <w:noProof/>
                <w:webHidden/>
              </w:rPr>
              <w:fldChar w:fldCharType="begin"/>
            </w:r>
            <w:r>
              <w:rPr>
                <w:noProof/>
                <w:webHidden/>
              </w:rPr>
              <w:instrText xml:space="preserve"> PAGEREF _Toc220496252 \h </w:instrText>
            </w:r>
            <w:r>
              <w:rPr>
                <w:noProof/>
                <w:webHidden/>
              </w:rPr>
            </w:r>
            <w:r>
              <w:rPr>
                <w:noProof/>
                <w:webHidden/>
              </w:rPr>
              <w:fldChar w:fldCharType="separate"/>
            </w:r>
            <w:r>
              <w:rPr>
                <w:noProof/>
                <w:webHidden/>
              </w:rPr>
              <w:t>772</w:t>
            </w:r>
            <w:r>
              <w:rPr>
                <w:noProof/>
                <w:webHidden/>
              </w:rPr>
              <w:fldChar w:fldCharType="end"/>
            </w:r>
          </w:hyperlink>
        </w:p>
        <w:p w14:paraId="78DDDC6E" w14:textId="38D2B88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53" w:history="1">
            <w:r w:rsidRPr="00F45DCA">
              <w:rPr>
                <w:rStyle w:val="Lienhypertexte"/>
                <w:noProof/>
              </w:rPr>
              <w:t>23.14.4a Colonnes en acier inoxydable formées à froid CCTB 01.04</w:t>
            </w:r>
            <w:r>
              <w:rPr>
                <w:noProof/>
                <w:webHidden/>
              </w:rPr>
              <w:tab/>
            </w:r>
            <w:r>
              <w:rPr>
                <w:noProof/>
                <w:webHidden/>
              </w:rPr>
              <w:fldChar w:fldCharType="begin"/>
            </w:r>
            <w:r>
              <w:rPr>
                <w:noProof/>
                <w:webHidden/>
              </w:rPr>
              <w:instrText xml:space="preserve"> PAGEREF _Toc220496253 \h </w:instrText>
            </w:r>
            <w:r>
              <w:rPr>
                <w:noProof/>
                <w:webHidden/>
              </w:rPr>
            </w:r>
            <w:r>
              <w:rPr>
                <w:noProof/>
                <w:webHidden/>
              </w:rPr>
              <w:fldChar w:fldCharType="separate"/>
            </w:r>
            <w:r>
              <w:rPr>
                <w:noProof/>
                <w:webHidden/>
              </w:rPr>
              <w:t>772</w:t>
            </w:r>
            <w:r>
              <w:rPr>
                <w:noProof/>
                <w:webHidden/>
              </w:rPr>
              <w:fldChar w:fldCharType="end"/>
            </w:r>
          </w:hyperlink>
        </w:p>
        <w:p w14:paraId="725E689C" w14:textId="514E072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54" w:history="1">
            <w:r w:rsidRPr="00F45DCA">
              <w:rPr>
                <w:rStyle w:val="Lienhypertexte"/>
                <w:noProof/>
              </w:rPr>
              <w:t>23.14.5 Colonnes en aluminium CCTB 01.04</w:t>
            </w:r>
            <w:r>
              <w:rPr>
                <w:noProof/>
                <w:webHidden/>
              </w:rPr>
              <w:tab/>
            </w:r>
            <w:r>
              <w:rPr>
                <w:noProof/>
                <w:webHidden/>
              </w:rPr>
              <w:fldChar w:fldCharType="begin"/>
            </w:r>
            <w:r>
              <w:rPr>
                <w:noProof/>
                <w:webHidden/>
              </w:rPr>
              <w:instrText xml:space="preserve"> PAGEREF _Toc220496254 \h </w:instrText>
            </w:r>
            <w:r>
              <w:rPr>
                <w:noProof/>
                <w:webHidden/>
              </w:rPr>
            </w:r>
            <w:r>
              <w:rPr>
                <w:noProof/>
                <w:webHidden/>
              </w:rPr>
              <w:fldChar w:fldCharType="separate"/>
            </w:r>
            <w:r>
              <w:rPr>
                <w:noProof/>
                <w:webHidden/>
              </w:rPr>
              <w:t>772</w:t>
            </w:r>
            <w:r>
              <w:rPr>
                <w:noProof/>
                <w:webHidden/>
              </w:rPr>
              <w:fldChar w:fldCharType="end"/>
            </w:r>
          </w:hyperlink>
        </w:p>
        <w:p w14:paraId="2AE0243B" w14:textId="46A59EF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55" w:history="1">
            <w:r w:rsidRPr="00F45DCA">
              <w:rPr>
                <w:rStyle w:val="Lienhypertexte"/>
                <w:noProof/>
              </w:rPr>
              <w:t>23.14.5a Colonnes en aluminium CCTB 01.04</w:t>
            </w:r>
            <w:r>
              <w:rPr>
                <w:noProof/>
                <w:webHidden/>
              </w:rPr>
              <w:tab/>
            </w:r>
            <w:r>
              <w:rPr>
                <w:noProof/>
                <w:webHidden/>
              </w:rPr>
              <w:fldChar w:fldCharType="begin"/>
            </w:r>
            <w:r>
              <w:rPr>
                <w:noProof/>
                <w:webHidden/>
              </w:rPr>
              <w:instrText xml:space="preserve"> PAGEREF _Toc220496255 \h </w:instrText>
            </w:r>
            <w:r>
              <w:rPr>
                <w:noProof/>
                <w:webHidden/>
              </w:rPr>
            </w:r>
            <w:r>
              <w:rPr>
                <w:noProof/>
                <w:webHidden/>
              </w:rPr>
              <w:fldChar w:fldCharType="separate"/>
            </w:r>
            <w:r>
              <w:rPr>
                <w:noProof/>
                <w:webHidden/>
              </w:rPr>
              <w:t>772</w:t>
            </w:r>
            <w:r>
              <w:rPr>
                <w:noProof/>
                <w:webHidden/>
              </w:rPr>
              <w:fldChar w:fldCharType="end"/>
            </w:r>
          </w:hyperlink>
        </w:p>
        <w:p w14:paraId="73DAB323" w14:textId="64A8442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56" w:history="1">
            <w:r w:rsidRPr="00F45DCA">
              <w:rPr>
                <w:rStyle w:val="Lienhypertexte"/>
                <w:noProof/>
              </w:rPr>
              <w:t>23.14.6 Colonnes en fonte CCTB 01.04</w:t>
            </w:r>
            <w:r>
              <w:rPr>
                <w:noProof/>
                <w:webHidden/>
              </w:rPr>
              <w:tab/>
            </w:r>
            <w:r>
              <w:rPr>
                <w:noProof/>
                <w:webHidden/>
              </w:rPr>
              <w:fldChar w:fldCharType="begin"/>
            </w:r>
            <w:r>
              <w:rPr>
                <w:noProof/>
                <w:webHidden/>
              </w:rPr>
              <w:instrText xml:space="preserve"> PAGEREF _Toc220496256 \h </w:instrText>
            </w:r>
            <w:r>
              <w:rPr>
                <w:noProof/>
                <w:webHidden/>
              </w:rPr>
            </w:r>
            <w:r>
              <w:rPr>
                <w:noProof/>
                <w:webHidden/>
              </w:rPr>
              <w:fldChar w:fldCharType="separate"/>
            </w:r>
            <w:r>
              <w:rPr>
                <w:noProof/>
                <w:webHidden/>
              </w:rPr>
              <w:t>772</w:t>
            </w:r>
            <w:r>
              <w:rPr>
                <w:noProof/>
                <w:webHidden/>
              </w:rPr>
              <w:fldChar w:fldCharType="end"/>
            </w:r>
          </w:hyperlink>
        </w:p>
        <w:p w14:paraId="28173F66" w14:textId="56C34E3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57" w:history="1">
            <w:r w:rsidRPr="00F45DCA">
              <w:rPr>
                <w:rStyle w:val="Lienhypertexte"/>
                <w:noProof/>
              </w:rPr>
              <w:t>23.14.6a Colonnes en fonte CCTB 01.04</w:t>
            </w:r>
            <w:r>
              <w:rPr>
                <w:noProof/>
                <w:webHidden/>
              </w:rPr>
              <w:tab/>
            </w:r>
            <w:r>
              <w:rPr>
                <w:noProof/>
                <w:webHidden/>
              </w:rPr>
              <w:fldChar w:fldCharType="begin"/>
            </w:r>
            <w:r>
              <w:rPr>
                <w:noProof/>
                <w:webHidden/>
              </w:rPr>
              <w:instrText xml:space="preserve"> PAGEREF _Toc220496257 \h </w:instrText>
            </w:r>
            <w:r>
              <w:rPr>
                <w:noProof/>
                <w:webHidden/>
              </w:rPr>
            </w:r>
            <w:r>
              <w:rPr>
                <w:noProof/>
                <w:webHidden/>
              </w:rPr>
              <w:fldChar w:fldCharType="separate"/>
            </w:r>
            <w:r>
              <w:rPr>
                <w:noProof/>
                <w:webHidden/>
              </w:rPr>
              <w:t>772</w:t>
            </w:r>
            <w:r>
              <w:rPr>
                <w:noProof/>
                <w:webHidden/>
              </w:rPr>
              <w:fldChar w:fldCharType="end"/>
            </w:r>
          </w:hyperlink>
        </w:p>
        <w:p w14:paraId="1EE8054C" w14:textId="3ADF90D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258" w:history="1">
            <w:r w:rsidRPr="00F45DCA">
              <w:rPr>
                <w:rStyle w:val="Lienhypertexte"/>
                <w:noProof/>
              </w:rPr>
              <w:t>23.15 Eléments de planchers métalliques CCTB 01.02</w:t>
            </w:r>
            <w:r>
              <w:rPr>
                <w:noProof/>
                <w:webHidden/>
              </w:rPr>
              <w:tab/>
            </w:r>
            <w:r>
              <w:rPr>
                <w:noProof/>
                <w:webHidden/>
              </w:rPr>
              <w:fldChar w:fldCharType="begin"/>
            </w:r>
            <w:r>
              <w:rPr>
                <w:noProof/>
                <w:webHidden/>
              </w:rPr>
              <w:instrText xml:space="preserve"> PAGEREF _Toc220496258 \h </w:instrText>
            </w:r>
            <w:r>
              <w:rPr>
                <w:noProof/>
                <w:webHidden/>
              </w:rPr>
            </w:r>
            <w:r>
              <w:rPr>
                <w:noProof/>
                <w:webHidden/>
              </w:rPr>
              <w:fldChar w:fldCharType="separate"/>
            </w:r>
            <w:r>
              <w:rPr>
                <w:noProof/>
                <w:webHidden/>
              </w:rPr>
              <w:t>772</w:t>
            </w:r>
            <w:r>
              <w:rPr>
                <w:noProof/>
                <w:webHidden/>
              </w:rPr>
              <w:fldChar w:fldCharType="end"/>
            </w:r>
          </w:hyperlink>
        </w:p>
        <w:p w14:paraId="461FF4E6" w14:textId="3BD5296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59" w:history="1">
            <w:r w:rsidRPr="00F45DCA">
              <w:rPr>
                <w:rStyle w:val="Lienhypertexte"/>
                <w:noProof/>
              </w:rPr>
              <w:t>23.15.1 Eléments de planchers en acier CCTB 01.04</w:t>
            </w:r>
            <w:r>
              <w:rPr>
                <w:noProof/>
                <w:webHidden/>
              </w:rPr>
              <w:tab/>
            </w:r>
            <w:r>
              <w:rPr>
                <w:noProof/>
                <w:webHidden/>
              </w:rPr>
              <w:fldChar w:fldCharType="begin"/>
            </w:r>
            <w:r>
              <w:rPr>
                <w:noProof/>
                <w:webHidden/>
              </w:rPr>
              <w:instrText xml:space="preserve"> PAGEREF _Toc220496259 \h </w:instrText>
            </w:r>
            <w:r>
              <w:rPr>
                <w:noProof/>
                <w:webHidden/>
              </w:rPr>
            </w:r>
            <w:r>
              <w:rPr>
                <w:noProof/>
                <w:webHidden/>
              </w:rPr>
              <w:fldChar w:fldCharType="separate"/>
            </w:r>
            <w:r>
              <w:rPr>
                <w:noProof/>
                <w:webHidden/>
              </w:rPr>
              <w:t>772</w:t>
            </w:r>
            <w:r>
              <w:rPr>
                <w:noProof/>
                <w:webHidden/>
              </w:rPr>
              <w:fldChar w:fldCharType="end"/>
            </w:r>
          </w:hyperlink>
        </w:p>
        <w:p w14:paraId="5302EF8C" w14:textId="038B355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60" w:history="1">
            <w:r w:rsidRPr="00F45DCA">
              <w:rPr>
                <w:rStyle w:val="Lienhypertexte"/>
                <w:noProof/>
              </w:rPr>
              <w:t>23.15.1a Bacs en tôle profilée en acier formée à froid CCTB 01.04</w:t>
            </w:r>
            <w:r>
              <w:rPr>
                <w:noProof/>
                <w:webHidden/>
              </w:rPr>
              <w:tab/>
            </w:r>
            <w:r>
              <w:rPr>
                <w:noProof/>
                <w:webHidden/>
              </w:rPr>
              <w:fldChar w:fldCharType="begin"/>
            </w:r>
            <w:r>
              <w:rPr>
                <w:noProof/>
                <w:webHidden/>
              </w:rPr>
              <w:instrText xml:space="preserve"> PAGEREF _Toc220496260 \h </w:instrText>
            </w:r>
            <w:r>
              <w:rPr>
                <w:noProof/>
                <w:webHidden/>
              </w:rPr>
            </w:r>
            <w:r>
              <w:rPr>
                <w:noProof/>
                <w:webHidden/>
              </w:rPr>
              <w:fldChar w:fldCharType="separate"/>
            </w:r>
            <w:r>
              <w:rPr>
                <w:noProof/>
                <w:webHidden/>
              </w:rPr>
              <w:t>772</w:t>
            </w:r>
            <w:r>
              <w:rPr>
                <w:noProof/>
                <w:webHidden/>
              </w:rPr>
              <w:fldChar w:fldCharType="end"/>
            </w:r>
          </w:hyperlink>
        </w:p>
        <w:p w14:paraId="32ACBF74" w14:textId="653A745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61" w:history="1">
            <w:r w:rsidRPr="00F45DCA">
              <w:rPr>
                <w:rStyle w:val="Lienhypertexte"/>
                <w:noProof/>
              </w:rPr>
              <w:t>23.15.1b Platelage en tôle profilée en acier formée à froid CCTB 01.04</w:t>
            </w:r>
            <w:r>
              <w:rPr>
                <w:noProof/>
                <w:webHidden/>
              </w:rPr>
              <w:tab/>
            </w:r>
            <w:r>
              <w:rPr>
                <w:noProof/>
                <w:webHidden/>
              </w:rPr>
              <w:fldChar w:fldCharType="begin"/>
            </w:r>
            <w:r>
              <w:rPr>
                <w:noProof/>
                <w:webHidden/>
              </w:rPr>
              <w:instrText xml:space="preserve"> PAGEREF _Toc220496261 \h </w:instrText>
            </w:r>
            <w:r>
              <w:rPr>
                <w:noProof/>
                <w:webHidden/>
              </w:rPr>
            </w:r>
            <w:r>
              <w:rPr>
                <w:noProof/>
                <w:webHidden/>
              </w:rPr>
              <w:fldChar w:fldCharType="separate"/>
            </w:r>
            <w:r>
              <w:rPr>
                <w:noProof/>
                <w:webHidden/>
              </w:rPr>
              <w:t>772</w:t>
            </w:r>
            <w:r>
              <w:rPr>
                <w:noProof/>
                <w:webHidden/>
              </w:rPr>
              <w:fldChar w:fldCharType="end"/>
            </w:r>
          </w:hyperlink>
        </w:p>
        <w:p w14:paraId="283986B4" w14:textId="18CF4C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62" w:history="1">
            <w:r w:rsidRPr="00F45DCA">
              <w:rPr>
                <w:rStyle w:val="Lienhypertexte"/>
                <w:noProof/>
              </w:rPr>
              <w:t>23.15.1c Planchers en tôle en acier formée à froid CCTB 01.04</w:t>
            </w:r>
            <w:r>
              <w:rPr>
                <w:noProof/>
                <w:webHidden/>
              </w:rPr>
              <w:tab/>
            </w:r>
            <w:r>
              <w:rPr>
                <w:noProof/>
                <w:webHidden/>
              </w:rPr>
              <w:fldChar w:fldCharType="begin"/>
            </w:r>
            <w:r>
              <w:rPr>
                <w:noProof/>
                <w:webHidden/>
              </w:rPr>
              <w:instrText xml:space="preserve"> PAGEREF _Toc220496262 \h </w:instrText>
            </w:r>
            <w:r>
              <w:rPr>
                <w:noProof/>
                <w:webHidden/>
              </w:rPr>
            </w:r>
            <w:r>
              <w:rPr>
                <w:noProof/>
                <w:webHidden/>
              </w:rPr>
              <w:fldChar w:fldCharType="separate"/>
            </w:r>
            <w:r>
              <w:rPr>
                <w:noProof/>
                <w:webHidden/>
              </w:rPr>
              <w:t>772</w:t>
            </w:r>
            <w:r>
              <w:rPr>
                <w:noProof/>
                <w:webHidden/>
              </w:rPr>
              <w:fldChar w:fldCharType="end"/>
            </w:r>
          </w:hyperlink>
        </w:p>
        <w:p w14:paraId="41F17EC2" w14:textId="324501A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63" w:history="1">
            <w:r w:rsidRPr="00F45DCA">
              <w:rPr>
                <w:rStyle w:val="Lienhypertexte"/>
                <w:noProof/>
              </w:rPr>
              <w:t>23.15.1d Planchers en tôle larmée en acier formée à froid CCTB 01.04</w:t>
            </w:r>
            <w:r>
              <w:rPr>
                <w:noProof/>
                <w:webHidden/>
              </w:rPr>
              <w:tab/>
            </w:r>
            <w:r>
              <w:rPr>
                <w:noProof/>
                <w:webHidden/>
              </w:rPr>
              <w:fldChar w:fldCharType="begin"/>
            </w:r>
            <w:r>
              <w:rPr>
                <w:noProof/>
                <w:webHidden/>
              </w:rPr>
              <w:instrText xml:space="preserve"> PAGEREF _Toc220496263 \h </w:instrText>
            </w:r>
            <w:r>
              <w:rPr>
                <w:noProof/>
                <w:webHidden/>
              </w:rPr>
            </w:r>
            <w:r>
              <w:rPr>
                <w:noProof/>
                <w:webHidden/>
              </w:rPr>
              <w:fldChar w:fldCharType="separate"/>
            </w:r>
            <w:r>
              <w:rPr>
                <w:noProof/>
                <w:webHidden/>
              </w:rPr>
              <w:t>772</w:t>
            </w:r>
            <w:r>
              <w:rPr>
                <w:noProof/>
                <w:webHidden/>
              </w:rPr>
              <w:fldChar w:fldCharType="end"/>
            </w:r>
          </w:hyperlink>
        </w:p>
        <w:p w14:paraId="6898AA5F" w14:textId="66B378C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64" w:history="1">
            <w:r w:rsidRPr="00F45DCA">
              <w:rPr>
                <w:rStyle w:val="Lienhypertexte"/>
                <w:noProof/>
              </w:rPr>
              <w:t>23.15.1e Planchers en tôle perforée en acier formée à froid CCTB 01.04</w:t>
            </w:r>
            <w:r>
              <w:rPr>
                <w:noProof/>
                <w:webHidden/>
              </w:rPr>
              <w:tab/>
            </w:r>
            <w:r>
              <w:rPr>
                <w:noProof/>
                <w:webHidden/>
              </w:rPr>
              <w:fldChar w:fldCharType="begin"/>
            </w:r>
            <w:r>
              <w:rPr>
                <w:noProof/>
                <w:webHidden/>
              </w:rPr>
              <w:instrText xml:space="preserve"> PAGEREF _Toc220496264 \h </w:instrText>
            </w:r>
            <w:r>
              <w:rPr>
                <w:noProof/>
                <w:webHidden/>
              </w:rPr>
            </w:r>
            <w:r>
              <w:rPr>
                <w:noProof/>
                <w:webHidden/>
              </w:rPr>
              <w:fldChar w:fldCharType="separate"/>
            </w:r>
            <w:r>
              <w:rPr>
                <w:noProof/>
                <w:webHidden/>
              </w:rPr>
              <w:t>772</w:t>
            </w:r>
            <w:r>
              <w:rPr>
                <w:noProof/>
                <w:webHidden/>
              </w:rPr>
              <w:fldChar w:fldCharType="end"/>
            </w:r>
          </w:hyperlink>
        </w:p>
        <w:p w14:paraId="43CCECCE" w14:textId="5E41590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65" w:history="1">
            <w:r w:rsidRPr="00F45DCA">
              <w:rPr>
                <w:rStyle w:val="Lienhypertexte"/>
                <w:noProof/>
              </w:rPr>
              <w:t>23.15.1f Planchers en caillebotis en acier formé à froid CCTB 01.04</w:t>
            </w:r>
            <w:r>
              <w:rPr>
                <w:noProof/>
                <w:webHidden/>
              </w:rPr>
              <w:tab/>
            </w:r>
            <w:r>
              <w:rPr>
                <w:noProof/>
                <w:webHidden/>
              </w:rPr>
              <w:fldChar w:fldCharType="begin"/>
            </w:r>
            <w:r>
              <w:rPr>
                <w:noProof/>
                <w:webHidden/>
              </w:rPr>
              <w:instrText xml:space="preserve"> PAGEREF _Toc220496265 \h </w:instrText>
            </w:r>
            <w:r>
              <w:rPr>
                <w:noProof/>
                <w:webHidden/>
              </w:rPr>
            </w:r>
            <w:r>
              <w:rPr>
                <w:noProof/>
                <w:webHidden/>
              </w:rPr>
              <w:fldChar w:fldCharType="separate"/>
            </w:r>
            <w:r>
              <w:rPr>
                <w:noProof/>
                <w:webHidden/>
              </w:rPr>
              <w:t>773</w:t>
            </w:r>
            <w:r>
              <w:rPr>
                <w:noProof/>
                <w:webHidden/>
              </w:rPr>
              <w:fldChar w:fldCharType="end"/>
            </w:r>
          </w:hyperlink>
        </w:p>
        <w:p w14:paraId="27A58310" w14:textId="5824F25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66" w:history="1">
            <w:r w:rsidRPr="00F45DCA">
              <w:rPr>
                <w:rStyle w:val="Lienhypertexte"/>
                <w:noProof/>
              </w:rPr>
              <w:t>23.15.1g Planchers en métal déployé en acier CCTB 01.04</w:t>
            </w:r>
            <w:r>
              <w:rPr>
                <w:noProof/>
                <w:webHidden/>
              </w:rPr>
              <w:tab/>
            </w:r>
            <w:r>
              <w:rPr>
                <w:noProof/>
                <w:webHidden/>
              </w:rPr>
              <w:fldChar w:fldCharType="begin"/>
            </w:r>
            <w:r>
              <w:rPr>
                <w:noProof/>
                <w:webHidden/>
              </w:rPr>
              <w:instrText xml:space="preserve"> PAGEREF _Toc220496266 \h </w:instrText>
            </w:r>
            <w:r>
              <w:rPr>
                <w:noProof/>
                <w:webHidden/>
              </w:rPr>
            </w:r>
            <w:r>
              <w:rPr>
                <w:noProof/>
                <w:webHidden/>
              </w:rPr>
              <w:fldChar w:fldCharType="separate"/>
            </w:r>
            <w:r>
              <w:rPr>
                <w:noProof/>
                <w:webHidden/>
              </w:rPr>
              <w:t>773</w:t>
            </w:r>
            <w:r>
              <w:rPr>
                <w:noProof/>
                <w:webHidden/>
              </w:rPr>
              <w:fldChar w:fldCharType="end"/>
            </w:r>
          </w:hyperlink>
        </w:p>
        <w:p w14:paraId="13A1C9B1" w14:textId="3F54586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67" w:history="1">
            <w:r w:rsidRPr="00F45DCA">
              <w:rPr>
                <w:rStyle w:val="Lienhypertexte"/>
                <w:noProof/>
              </w:rPr>
              <w:t>23.15.2 Eléments de planchers en acier inoxydable CCTB 01.04</w:t>
            </w:r>
            <w:r>
              <w:rPr>
                <w:noProof/>
                <w:webHidden/>
              </w:rPr>
              <w:tab/>
            </w:r>
            <w:r>
              <w:rPr>
                <w:noProof/>
                <w:webHidden/>
              </w:rPr>
              <w:fldChar w:fldCharType="begin"/>
            </w:r>
            <w:r>
              <w:rPr>
                <w:noProof/>
                <w:webHidden/>
              </w:rPr>
              <w:instrText xml:space="preserve"> PAGEREF _Toc220496267 \h </w:instrText>
            </w:r>
            <w:r>
              <w:rPr>
                <w:noProof/>
                <w:webHidden/>
              </w:rPr>
            </w:r>
            <w:r>
              <w:rPr>
                <w:noProof/>
                <w:webHidden/>
              </w:rPr>
              <w:fldChar w:fldCharType="separate"/>
            </w:r>
            <w:r>
              <w:rPr>
                <w:noProof/>
                <w:webHidden/>
              </w:rPr>
              <w:t>773</w:t>
            </w:r>
            <w:r>
              <w:rPr>
                <w:noProof/>
                <w:webHidden/>
              </w:rPr>
              <w:fldChar w:fldCharType="end"/>
            </w:r>
          </w:hyperlink>
        </w:p>
        <w:p w14:paraId="40C34CB7" w14:textId="3D83C9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68" w:history="1">
            <w:r w:rsidRPr="00F45DCA">
              <w:rPr>
                <w:rStyle w:val="Lienhypertexte"/>
                <w:noProof/>
              </w:rPr>
              <w:t>23.15.2a Bacs en tôle profilée en acier inoxydable formée à froid CCTB 01.04</w:t>
            </w:r>
            <w:r>
              <w:rPr>
                <w:noProof/>
                <w:webHidden/>
              </w:rPr>
              <w:tab/>
            </w:r>
            <w:r>
              <w:rPr>
                <w:noProof/>
                <w:webHidden/>
              </w:rPr>
              <w:fldChar w:fldCharType="begin"/>
            </w:r>
            <w:r>
              <w:rPr>
                <w:noProof/>
                <w:webHidden/>
              </w:rPr>
              <w:instrText xml:space="preserve"> PAGEREF _Toc220496268 \h </w:instrText>
            </w:r>
            <w:r>
              <w:rPr>
                <w:noProof/>
                <w:webHidden/>
              </w:rPr>
            </w:r>
            <w:r>
              <w:rPr>
                <w:noProof/>
                <w:webHidden/>
              </w:rPr>
              <w:fldChar w:fldCharType="separate"/>
            </w:r>
            <w:r>
              <w:rPr>
                <w:noProof/>
                <w:webHidden/>
              </w:rPr>
              <w:t>773</w:t>
            </w:r>
            <w:r>
              <w:rPr>
                <w:noProof/>
                <w:webHidden/>
              </w:rPr>
              <w:fldChar w:fldCharType="end"/>
            </w:r>
          </w:hyperlink>
        </w:p>
        <w:p w14:paraId="1F62D1EA" w14:textId="5C1D132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69" w:history="1">
            <w:r w:rsidRPr="00F45DCA">
              <w:rPr>
                <w:rStyle w:val="Lienhypertexte"/>
                <w:noProof/>
              </w:rPr>
              <w:t>23.15.2b Platelage en tôle profilée en acier inoxydable formée à froid CCTB 01.04</w:t>
            </w:r>
            <w:r>
              <w:rPr>
                <w:noProof/>
                <w:webHidden/>
              </w:rPr>
              <w:tab/>
            </w:r>
            <w:r>
              <w:rPr>
                <w:noProof/>
                <w:webHidden/>
              </w:rPr>
              <w:fldChar w:fldCharType="begin"/>
            </w:r>
            <w:r>
              <w:rPr>
                <w:noProof/>
                <w:webHidden/>
              </w:rPr>
              <w:instrText xml:space="preserve"> PAGEREF _Toc220496269 \h </w:instrText>
            </w:r>
            <w:r>
              <w:rPr>
                <w:noProof/>
                <w:webHidden/>
              </w:rPr>
            </w:r>
            <w:r>
              <w:rPr>
                <w:noProof/>
                <w:webHidden/>
              </w:rPr>
              <w:fldChar w:fldCharType="separate"/>
            </w:r>
            <w:r>
              <w:rPr>
                <w:noProof/>
                <w:webHidden/>
              </w:rPr>
              <w:t>773</w:t>
            </w:r>
            <w:r>
              <w:rPr>
                <w:noProof/>
                <w:webHidden/>
              </w:rPr>
              <w:fldChar w:fldCharType="end"/>
            </w:r>
          </w:hyperlink>
        </w:p>
        <w:p w14:paraId="2D1BB1C9" w14:textId="531B496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70" w:history="1">
            <w:r w:rsidRPr="00F45DCA">
              <w:rPr>
                <w:rStyle w:val="Lienhypertexte"/>
                <w:noProof/>
              </w:rPr>
              <w:t>23.15.2c Planchers en tôle en acier inoxydable formée à froid CCTB 01.04</w:t>
            </w:r>
            <w:r>
              <w:rPr>
                <w:noProof/>
                <w:webHidden/>
              </w:rPr>
              <w:tab/>
            </w:r>
            <w:r>
              <w:rPr>
                <w:noProof/>
                <w:webHidden/>
              </w:rPr>
              <w:fldChar w:fldCharType="begin"/>
            </w:r>
            <w:r>
              <w:rPr>
                <w:noProof/>
                <w:webHidden/>
              </w:rPr>
              <w:instrText xml:space="preserve"> PAGEREF _Toc220496270 \h </w:instrText>
            </w:r>
            <w:r>
              <w:rPr>
                <w:noProof/>
                <w:webHidden/>
              </w:rPr>
            </w:r>
            <w:r>
              <w:rPr>
                <w:noProof/>
                <w:webHidden/>
              </w:rPr>
              <w:fldChar w:fldCharType="separate"/>
            </w:r>
            <w:r>
              <w:rPr>
                <w:noProof/>
                <w:webHidden/>
              </w:rPr>
              <w:t>773</w:t>
            </w:r>
            <w:r>
              <w:rPr>
                <w:noProof/>
                <w:webHidden/>
              </w:rPr>
              <w:fldChar w:fldCharType="end"/>
            </w:r>
          </w:hyperlink>
        </w:p>
        <w:p w14:paraId="1A803334" w14:textId="7E93C4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71" w:history="1">
            <w:r w:rsidRPr="00F45DCA">
              <w:rPr>
                <w:rStyle w:val="Lienhypertexte"/>
                <w:noProof/>
              </w:rPr>
              <w:t>23.15.2d Planchers en tôle larmée en acier inoxydable formée à froid CCTB 01.04</w:t>
            </w:r>
            <w:r>
              <w:rPr>
                <w:noProof/>
                <w:webHidden/>
              </w:rPr>
              <w:tab/>
            </w:r>
            <w:r>
              <w:rPr>
                <w:noProof/>
                <w:webHidden/>
              </w:rPr>
              <w:fldChar w:fldCharType="begin"/>
            </w:r>
            <w:r>
              <w:rPr>
                <w:noProof/>
                <w:webHidden/>
              </w:rPr>
              <w:instrText xml:space="preserve"> PAGEREF _Toc220496271 \h </w:instrText>
            </w:r>
            <w:r>
              <w:rPr>
                <w:noProof/>
                <w:webHidden/>
              </w:rPr>
            </w:r>
            <w:r>
              <w:rPr>
                <w:noProof/>
                <w:webHidden/>
              </w:rPr>
              <w:fldChar w:fldCharType="separate"/>
            </w:r>
            <w:r>
              <w:rPr>
                <w:noProof/>
                <w:webHidden/>
              </w:rPr>
              <w:t>773</w:t>
            </w:r>
            <w:r>
              <w:rPr>
                <w:noProof/>
                <w:webHidden/>
              </w:rPr>
              <w:fldChar w:fldCharType="end"/>
            </w:r>
          </w:hyperlink>
        </w:p>
        <w:p w14:paraId="43391ACC" w14:textId="38D7F9B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72" w:history="1">
            <w:r w:rsidRPr="00F45DCA">
              <w:rPr>
                <w:rStyle w:val="Lienhypertexte"/>
                <w:noProof/>
              </w:rPr>
              <w:t>23.15.2e Planchers en tôle perforée en acier inoxydable formée à froid CCTB 01.04</w:t>
            </w:r>
            <w:r>
              <w:rPr>
                <w:noProof/>
                <w:webHidden/>
              </w:rPr>
              <w:tab/>
            </w:r>
            <w:r>
              <w:rPr>
                <w:noProof/>
                <w:webHidden/>
              </w:rPr>
              <w:fldChar w:fldCharType="begin"/>
            </w:r>
            <w:r>
              <w:rPr>
                <w:noProof/>
                <w:webHidden/>
              </w:rPr>
              <w:instrText xml:space="preserve"> PAGEREF _Toc220496272 \h </w:instrText>
            </w:r>
            <w:r>
              <w:rPr>
                <w:noProof/>
                <w:webHidden/>
              </w:rPr>
            </w:r>
            <w:r>
              <w:rPr>
                <w:noProof/>
                <w:webHidden/>
              </w:rPr>
              <w:fldChar w:fldCharType="separate"/>
            </w:r>
            <w:r>
              <w:rPr>
                <w:noProof/>
                <w:webHidden/>
              </w:rPr>
              <w:t>773</w:t>
            </w:r>
            <w:r>
              <w:rPr>
                <w:noProof/>
                <w:webHidden/>
              </w:rPr>
              <w:fldChar w:fldCharType="end"/>
            </w:r>
          </w:hyperlink>
        </w:p>
        <w:p w14:paraId="00C5D3D6" w14:textId="7DB1CB2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73" w:history="1">
            <w:r w:rsidRPr="00F45DCA">
              <w:rPr>
                <w:rStyle w:val="Lienhypertexte"/>
                <w:noProof/>
              </w:rPr>
              <w:t>23.15.2f Planchers en caillebotis en acier inoxydable formé à froid CCTB 01.04</w:t>
            </w:r>
            <w:r>
              <w:rPr>
                <w:noProof/>
                <w:webHidden/>
              </w:rPr>
              <w:tab/>
            </w:r>
            <w:r>
              <w:rPr>
                <w:noProof/>
                <w:webHidden/>
              </w:rPr>
              <w:fldChar w:fldCharType="begin"/>
            </w:r>
            <w:r>
              <w:rPr>
                <w:noProof/>
                <w:webHidden/>
              </w:rPr>
              <w:instrText xml:space="preserve"> PAGEREF _Toc220496273 \h </w:instrText>
            </w:r>
            <w:r>
              <w:rPr>
                <w:noProof/>
                <w:webHidden/>
              </w:rPr>
            </w:r>
            <w:r>
              <w:rPr>
                <w:noProof/>
                <w:webHidden/>
              </w:rPr>
              <w:fldChar w:fldCharType="separate"/>
            </w:r>
            <w:r>
              <w:rPr>
                <w:noProof/>
                <w:webHidden/>
              </w:rPr>
              <w:t>773</w:t>
            </w:r>
            <w:r>
              <w:rPr>
                <w:noProof/>
                <w:webHidden/>
              </w:rPr>
              <w:fldChar w:fldCharType="end"/>
            </w:r>
          </w:hyperlink>
        </w:p>
        <w:p w14:paraId="405C7669" w14:textId="2F4E182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74" w:history="1">
            <w:r w:rsidRPr="00F45DCA">
              <w:rPr>
                <w:rStyle w:val="Lienhypertexte"/>
                <w:noProof/>
              </w:rPr>
              <w:t>23.15.3 Eléments de planchers en aluminium CCTB 01.04</w:t>
            </w:r>
            <w:r>
              <w:rPr>
                <w:noProof/>
                <w:webHidden/>
              </w:rPr>
              <w:tab/>
            </w:r>
            <w:r>
              <w:rPr>
                <w:noProof/>
                <w:webHidden/>
              </w:rPr>
              <w:fldChar w:fldCharType="begin"/>
            </w:r>
            <w:r>
              <w:rPr>
                <w:noProof/>
                <w:webHidden/>
              </w:rPr>
              <w:instrText xml:space="preserve"> PAGEREF _Toc220496274 \h </w:instrText>
            </w:r>
            <w:r>
              <w:rPr>
                <w:noProof/>
                <w:webHidden/>
              </w:rPr>
            </w:r>
            <w:r>
              <w:rPr>
                <w:noProof/>
                <w:webHidden/>
              </w:rPr>
              <w:fldChar w:fldCharType="separate"/>
            </w:r>
            <w:r>
              <w:rPr>
                <w:noProof/>
                <w:webHidden/>
              </w:rPr>
              <w:t>773</w:t>
            </w:r>
            <w:r>
              <w:rPr>
                <w:noProof/>
                <w:webHidden/>
              </w:rPr>
              <w:fldChar w:fldCharType="end"/>
            </w:r>
          </w:hyperlink>
        </w:p>
        <w:p w14:paraId="3637606E" w14:textId="0A195DA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75" w:history="1">
            <w:r w:rsidRPr="00F45DCA">
              <w:rPr>
                <w:rStyle w:val="Lienhypertexte"/>
                <w:noProof/>
              </w:rPr>
              <w:t>23.15.3a Bacs en tôle profilée en aluminium CCTB 01.04</w:t>
            </w:r>
            <w:r>
              <w:rPr>
                <w:noProof/>
                <w:webHidden/>
              </w:rPr>
              <w:tab/>
            </w:r>
            <w:r>
              <w:rPr>
                <w:noProof/>
                <w:webHidden/>
              </w:rPr>
              <w:fldChar w:fldCharType="begin"/>
            </w:r>
            <w:r>
              <w:rPr>
                <w:noProof/>
                <w:webHidden/>
              </w:rPr>
              <w:instrText xml:space="preserve"> PAGEREF _Toc220496275 \h </w:instrText>
            </w:r>
            <w:r>
              <w:rPr>
                <w:noProof/>
                <w:webHidden/>
              </w:rPr>
            </w:r>
            <w:r>
              <w:rPr>
                <w:noProof/>
                <w:webHidden/>
              </w:rPr>
              <w:fldChar w:fldCharType="separate"/>
            </w:r>
            <w:r>
              <w:rPr>
                <w:noProof/>
                <w:webHidden/>
              </w:rPr>
              <w:t>773</w:t>
            </w:r>
            <w:r>
              <w:rPr>
                <w:noProof/>
                <w:webHidden/>
              </w:rPr>
              <w:fldChar w:fldCharType="end"/>
            </w:r>
          </w:hyperlink>
        </w:p>
        <w:p w14:paraId="057B2971" w14:textId="295B39D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76" w:history="1">
            <w:r w:rsidRPr="00F45DCA">
              <w:rPr>
                <w:rStyle w:val="Lienhypertexte"/>
                <w:noProof/>
              </w:rPr>
              <w:t>23.15.3b Platelage en tôle profilée en aluminium CCTB 01.04</w:t>
            </w:r>
            <w:r>
              <w:rPr>
                <w:noProof/>
                <w:webHidden/>
              </w:rPr>
              <w:tab/>
            </w:r>
            <w:r>
              <w:rPr>
                <w:noProof/>
                <w:webHidden/>
              </w:rPr>
              <w:fldChar w:fldCharType="begin"/>
            </w:r>
            <w:r>
              <w:rPr>
                <w:noProof/>
                <w:webHidden/>
              </w:rPr>
              <w:instrText xml:space="preserve"> PAGEREF _Toc220496276 \h </w:instrText>
            </w:r>
            <w:r>
              <w:rPr>
                <w:noProof/>
                <w:webHidden/>
              </w:rPr>
            </w:r>
            <w:r>
              <w:rPr>
                <w:noProof/>
                <w:webHidden/>
              </w:rPr>
              <w:fldChar w:fldCharType="separate"/>
            </w:r>
            <w:r>
              <w:rPr>
                <w:noProof/>
                <w:webHidden/>
              </w:rPr>
              <w:t>773</w:t>
            </w:r>
            <w:r>
              <w:rPr>
                <w:noProof/>
                <w:webHidden/>
              </w:rPr>
              <w:fldChar w:fldCharType="end"/>
            </w:r>
          </w:hyperlink>
        </w:p>
        <w:p w14:paraId="60F1807B" w14:textId="7197753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77" w:history="1">
            <w:r w:rsidRPr="00F45DCA">
              <w:rPr>
                <w:rStyle w:val="Lienhypertexte"/>
                <w:noProof/>
              </w:rPr>
              <w:t>23.15.3c Planchers en tôle en aluminium CCTB 01.04</w:t>
            </w:r>
            <w:r>
              <w:rPr>
                <w:noProof/>
                <w:webHidden/>
              </w:rPr>
              <w:tab/>
            </w:r>
            <w:r>
              <w:rPr>
                <w:noProof/>
                <w:webHidden/>
              </w:rPr>
              <w:fldChar w:fldCharType="begin"/>
            </w:r>
            <w:r>
              <w:rPr>
                <w:noProof/>
                <w:webHidden/>
              </w:rPr>
              <w:instrText xml:space="preserve"> PAGEREF _Toc220496277 \h </w:instrText>
            </w:r>
            <w:r>
              <w:rPr>
                <w:noProof/>
                <w:webHidden/>
              </w:rPr>
            </w:r>
            <w:r>
              <w:rPr>
                <w:noProof/>
                <w:webHidden/>
              </w:rPr>
              <w:fldChar w:fldCharType="separate"/>
            </w:r>
            <w:r>
              <w:rPr>
                <w:noProof/>
                <w:webHidden/>
              </w:rPr>
              <w:t>773</w:t>
            </w:r>
            <w:r>
              <w:rPr>
                <w:noProof/>
                <w:webHidden/>
              </w:rPr>
              <w:fldChar w:fldCharType="end"/>
            </w:r>
          </w:hyperlink>
        </w:p>
        <w:p w14:paraId="2BDAE3DF" w14:textId="6BBA55A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78" w:history="1">
            <w:r w:rsidRPr="00F45DCA">
              <w:rPr>
                <w:rStyle w:val="Lienhypertexte"/>
                <w:noProof/>
              </w:rPr>
              <w:t>23.15.3d Planchers en tôle larmée en aluminium CCTB 01.04</w:t>
            </w:r>
            <w:r>
              <w:rPr>
                <w:noProof/>
                <w:webHidden/>
              </w:rPr>
              <w:tab/>
            </w:r>
            <w:r>
              <w:rPr>
                <w:noProof/>
                <w:webHidden/>
              </w:rPr>
              <w:fldChar w:fldCharType="begin"/>
            </w:r>
            <w:r>
              <w:rPr>
                <w:noProof/>
                <w:webHidden/>
              </w:rPr>
              <w:instrText xml:space="preserve"> PAGEREF _Toc220496278 \h </w:instrText>
            </w:r>
            <w:r>
              <w:rPr>
                <w:noProof/>
                <w:webHidden/>
              </w:rPr>
            </w:r>
            <w:r>
              <w:rPr>
                <w:noProof/>
                <w:webHidden/>
              </w:rPr>
              <w:fldChar w:fldCharType="separate"/>
            </w:r>
            <w:r>
              <w:rPr>
                <w:noProof/>
                <w:webHidden/>
              </w:rPr>
              <w:t>773</w:t>
            </w:r>
            <w:r>
              <w:rPr>
                <w:noProof/>
                <w:webHidden/>
              </w:rPr>
              <w:fldChar w:fldCharType="end"/>
            </w:r>
          </w:hyperlink>
        </w:p>
        <w:p w14:paraId="0764BF27" w14:textId="197233D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79" w:history="1">
            <w:r w:rsidRPr="00F45DCA">
              <w:rPr>
                <w:rStyle w:val="Lienhypertexte"/>
                <w:noProof/>
              </w:rPr>
              <w:t>23.15.3e Planchers en tôle perforée en aluminium CCTB 01.04</w:t>
            </w:r>
            <w:r>
              <w:rPr>
                <w:noProof/>
                <w:webHidden/>
              </w:rPr>
              <w:tab/>
            </w:r>
            <w:r>
              <w:rPr>
                <w:noProof/>
                <w:webHidden/>
              </w:rPr>
              <w:fldChar w:fldCharType="begin"/>
            </w:r>
            <w:r>
              <w:rPr>
                <w:noProof/>
                <w:webHidden/>
              </w:rPr>
              <w:instrText xml:space="preserve"> PAGEREF _Toc220496279 \h </w:instrText>
            </w:r>
            <w:r>
              <w:rPr>
                <w:noProof/>
                <w:webHidden/>
              </w:rPr>
            </w:r>
            <w:r>
              <w:rPr>
                <w:noProof/>
                <w:webHidden/>
              </w:rPr>
              <w:fldChar w:fldCharType="separate"/>
            </w:r>
            <w:r>
              <w:rPr>
                <w:noProof/>
                <w:webHidden/>
              </w:rPr>
              <w:t>773</w:t>
            </w:r>
            <w:r>
              <w:rPr>
                <w:noProof/>
                <w:webHidden/>
              </w:rPr>
              <w:fldChar w:fldCharType="end"/>
            </w:r>
          </w:hyperlink>
        </w:p>
        <w:p w14:paraId="3F05E62D" w14:textId="15EE0CB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280" w:history="1">
            <w:r w:rsidRPr="00F45DCA">
              <w:rPr>
                <w:rStyle w:val="Lienhypertexte"/>
                <w:noProof/>
              </w:rPr>
              <w:t>23.16 Tôles, plats et grilles métalliques CCTB 01.04</w:t>
            </w:r>
            <w:r>
              <w:rPr>
                <w:noProof/>
                <w:webHidden/>
              </w:rPr>
              <w:tab/>
            </w:r>
            <w:r>
              <w:rPr>
                <w:noProof/>
                <w:webHidden/>
              </w:rPr>
              <w:fldChar w:fldCharType="begin"/>
            </w:r>
            <w:r>
              <w:rPr>
                <w:noProof/>
                <w:webHidden/>
              </w:rPr>
              <w:instrText xml:space="preserve"> PAGEREF _Toc220496280 \h </w:instrText>
            </w:r>
            <w:r>
              <w:rPr>
                <w:noProof/>
                <w:webHidden/>
              </w:rPr>
            </w:r>
            <w:r>
              <w:rPr>
                <w:noProof/>
                <w:webHidden/>
              </w:rPr>
              <w:fldChar w:fldCharType="separate"/>
            </w:r>
            <w:r>
              <w:rPr>
                <w:noProof/>
                <w:webHidden/>
              </w:rPr>
              <w:t>773</w:t>
            </w:r>
            <w:r>
              <w:rPr>
                <w:noProof/>
                <w:webHidden/>
              </w:rPr>
              <w:fldChar w:fldCharType="end"/>
            </w:r>
          </w:hyperlink>
        </w:p>
        <w:p w14:paraId="605C303A" w14:textId="36AF18F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81" w:history="1">
            <w:r w:rsidRPr="00F45DCA">
              <w:rPr>
                <w:rStyle w:val="Lienhypertexte"/>
                <w:noProof/>
              </w:rPr>
              <w:t>23.16.1 Tôles, plats et grilles en acier CCTB 01.04</w:t>
            </w:r>
            <w:r>
              <w:rPr>
                <w:noProof/>
                <w:webHidden/>
              </w:rPr>
              <w:tab/>
            </w:r>
            <w:r>
              <w:rPr>
                <w:noProof/>
                <w:webHidden/>
              </w:rPr>
              <w:fldChar w:fldCharType="begin"/>
            </w:r>
            <w:r>
              <w:rPr>
                <w:noProof/>
                <w:webHidden/>
              </w:rPr>
              <w:instrText xml:space="preserve"> PAGEREF _Toc220496281 \h </w:instrText>
            </w:r>
            <w:r>
              <w:rPr>
                <w:noProof/>
                <w:webHidden/>
              </w:rPr>
            </w:r>
            <w:r>
              <w:rPr>
                <w:noProof/>
                <w:webHidden/>
              </w:rPr>
              <w:fldChar w:fldCharType="separate"/>
            </w:r>
            <w:r>
              <w:rPr>
                <w:noProof/>
                <w:webHidden/>
              </w:rPr>
              <w:t>773</w:t>
            </w:r>
            <w:r>
              <w:rPr>
                <w:noProof/>
                <w:webHidden/>
              </w:rPr>
              <w:fldChar w:fldCharType="end"/>
            </w:r>
          </w:hyperlink>
        </w:p>
        <w:p w14:paraId="4BB2FFC7" w14:textId="56FEC35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82" w:history="1">
            <w:r w:rsidRPr="00F45DCA">
              <w:rPr>
                <w:rStyle w:val="Lienhypertexte"/>
                <w:noProof/>
              </w:rPr>
              <w:t>23.16.1a Tôles en acier formées à froid CCTB 01.04</w:t>
            </w:r>
            <w:r>
              <w:rPr>
                <w:noProof/>
                <w:webHidden/>
              </w:rPr>
              <w:tab/>
            </w:r>
            <w:r>
              <w:rPr>
                <w:noProof/>
                <w:webHidden/>
              </w:rPr>
              <w:fldChar w:fldCharType="begin"/>
            </w:r>
            <w:r>
              <w:rPr>
                <w:noProof/>
                <w:webHidden/>
              </w:rPr>
              <w:instrText xml:space="preserve"> PAGEREF _Toc220496282 \h </w:instrText>
            </w:r>
            <w:r>
              <w:rPr>
                <w:noProof/>
                <w:webHidden/>
              </w:rPr>
            </w:r>
            <w:r>
              <w:rPr>
                <w:noProof/>
                <w:webHidden/>
              </w:rPr>
              <w:fldChar w:fldCharType="separate"/>
            </w:r>
            <w:r>
              <w:rPr>
                <w:noProof/>
                <w:webHidden/>
              </w:rPr>
              <w:t>773</w:t>
            </w:r>
            <w:r>
              <w:rPr>
                <w:noProof/>
                <w:webHidden/>
              </w:rPr>
              <w:fldChar w:fldCharType="end"/>
            </w:r>
          </w:hyperlink>
        </w:p>
        <w:p w14:paraId="2D0B65E9" w14:textId="3284F06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83" w:history="1">
            <w:r w:rsidRPr="00F45DCA">
              <w:rPr>
                <w:rStyle w:val="Lienhypertexte"/>
                <w:noProof/>
              </w:rPr>
              <w:t>23.16.1b Tôles larmées en acier formées à froid CCTB 01.04</w:t>
            </w:r>
            <w:r>
              <w:rPr>
                <w:noProof/>
                <w:webHidden/>
              </w:rPr>
              <w:tab/>
            </w:r>
            <w:r>
              <w:rPr>
                <w:noProof/>
                <w:webHidden/>
              </w:rPr>
              <w:fldChar w:fldCharType="begin"/>
            </w:r>
            <w:r>
              <w:rPr>
                <w:noProof/>
                <w:webHidden/>
              </w:rPr>
              <w:instrText xml:space="preserve"> PAGEREF _Toc220496283 \h </w:instrText>
            </w:r>
            <w:r>
              <w:rPr>
                <w:noProof/>
                <w:webHidden/>
              </w:rPr>
            </w:r>
            <w:r>
              <w:rPr>
                <w:noProof/>
                <w:webHidden/>
              </w:rPr>
              <w:fldChar w:fldCharType="separate"/>
            </w:r>
            <w:r>
              <w:rPr>
                <w:noProof/>
                <w:webHidden/>
              </w:rPr>
              <w:t>773</w:t>
            </w:r>
            <w:r>
              <w:rPr>
                <w:noProof/>
                <w:webHidden/>
              </w:rPr>
              <w:fldChar w:fldCharType="end"/>
            </w:r>
          </w:hyperlink>
        </w:p>
        <w:p w14:paraId="295175B6" w14:textId="0A5001C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84" w:history="1">
            <w:r w:rsidRPr="00F45DCA">
              <w:rPr>
                <w:rStyle w:val="Lienhypertexte"/>
                <w:noProof/>
              </w:rPr>
              <w:t>23.16.1c Tôles perforées en acier formées à froid CCTB 01.04</w:t>
            </w:r>
            <w:r>
              <w:rPr>
                <w:noProof/>
                <w:webHidden/>
              </w:rPr>
              <w:tab/>
            </w:r>
            <w:r>
              <w:rPr>
                <w:noProof/>
                <w:webHidden/>
              </w:rPr>
              <w:fldChar w:fldCharType="begin"/>
            </w:r>
            <w:r>
              <w:rPr>
                <w:noProof/>
                <w:webHidden/>
              </w:rPr>
              <w:instrText xml:space="preserve"> PAGEREF _Toc220496284 \h </w:instrText>
            </w:r>
            <w:r>
              <w:rPr>
                <w:noProof/>
                <w:webHidden/>
              </w:rPr>
            </w:r>
            <w:r>
              <w:rPr>
                <w:noProof/>
                <w:webHidden/>
              </w:rPr>
              <w:fldChar w:fldCharType="separate"/>
            </w:r>
            <w:r>
              <w:rPr>
                <w:noProof/>
                <w:webHidden/>
              </w:rPr>
              <w:t>773</w:t>
            </w:r>
            <w:r>
              <w:rPr>
                <w:noProof/>
                <w:webHidden/>
              </w:rPr>
              <w:fldChar w:fldCharType="end"/>
            </w:r>
          </w:hyperlink>
        </w:p>
        <w:p w14:paraId="351D8755" w14:textId="3DA729F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85" w:history="1">
            <w:r w:rsidRPr="00F45DCA">
              <w:rPr>
                <w:rStyle w:val="Lienhypertexte"/>
                <w:noProof/>
              </w:rPr>
              <w:t>23.16.1d Tôles en caillebotis en acier CCTB 01.04</w:t>
            </w:r>
            <w:r>
              <w:rPr>
                <w:noProof/>
                <w:webHidden/>
              </w:rPr>
              <w:tab/>
            </w:r>
            <w:r>
              <w:rPr>
                <w:noProof/>
                <w:webHidden/>
              </w:rPr>
              <w:fldChar w:fldCharType="begin"/>
            </w:r>
            <w:r>
              <w:rPr>
                <w:noProof/>
                <w:webHidden/>
              </w:rPr>
              <w:instrText xml:space="preserve"> PAGEREF _Toc220496285 \h </w:instrText>
            </w:r>
            <w:r>
              <w:rPr>
                <w:noProof/>
                <w:webHidden/>
              </w:rPr>
            </w:r>
            <w:r>
              <w:rPr>
                <w:noProof/>
                <w:webHidden/>
              </w:rPr>
              <w:fldChar w:fldCharType="separate"/>
            </w:r>
            <w:r>
              <w:rPr>
                <w:noProof/>
                <w:webHidden/>
              </w:rPr>
              <w:t>773</w:t>
            </w:r>
            <w:r>
              <w:rPr>
                <w:noProof/>
                <w:webHidden/>
              </w:rPr>
              <w:fldChar w:fldCharType="end"/>
            </w:r>
          </w:hyperlink>
        </w:p>
        <w:p w14:paraId="48DD94E8" w14:textId="496A458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86" w:history="1">
            <w:r w:rsidRPr="00F45DCA">
              <w:rPr>
                <w:rStyle w:val="Lienhypertexte"/>
                <w:noProof/>
              </w:rPr>
              <w:t>23.16.1e Tôles en métal déployé en acier CCTB 01.04</w:t>
            </w:r>
            <w:r>
              <w:rPr>
                <w:noProof/>
                <w:webHidden/>
              </w:rPr>
              <w:tab/>
            </w:r>
            <w:r>
              <w:rPr>
                <w:noProof/>
                <w:webHidden/>
              </w:rPr>
              <w:fldChar w:fldCharType="begin"/>
            </w:r>
            <w:r>
              <w:rPr>
                <w:noProof/>
                <w:webHidden/>
              </w:rPr>
              <w:instrText xml:space="preserve"> PAGEREF _Toc220496286 \h </w:instrText>
            </w:r>
            <w:r>
              <w:rPr>
                <w:noProof/>
                <w:webHidden/>
              </w:rPr>
            </w:r>
            <w:r>
              <w:rPr>
                <w:noProof/>
                <w:webHidden/>
              </w:rPr>
              <w:fldChar w:fldCharType="separate"/>
            </w:r>
            <w:r>
              <w:rPr>
                <w:noProof/>
                <w:webHidden/>
              </w:rPr>
              <w:t>773</w:t>
            </w:r>
            <w:r>
              <w:rPr>
                <w:noProof/>
                <w:webHidden/>
              </w:rPr>
              <w:fldChar w:fldCharType="end"/>
            </w:r>
          </w:hyperlink>
        </w:p>
        <w:p w14:paraId="77A657A1" w14:textId="0851F18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87" w:history="1">
            <w:r w:rsidRPr="00F45DCA">
              <w:rPr>
                <w:rStyle w:val="Lienhypertexte"/>
                <w:noProof/>
              </w:rPr>
              <w:t>23.16.1f Plats en acier laminés à chaud CCTB 01.04</w:t>
            </w:r>
            <w:r>
              <w:rPr>
                <w:noProof/>
                <w:webHidden/>
              </w:rPr>
              <w:tab/>
            </w:r>
            <w:r>
              <w:rPr>
                <w:noProof/>
                <w:webHidden/>
              </w:rPr>
              <w:fldChar w:fldCharType="begin"/>
            </w:r>
            <w:r>
              <w:rPr>
                <w:noProof/>
                <w:webHidden/>
              </w:rPr>
              <w:instrText xml:space="preserve"> PAGEREF _Toc220496287 \h </w:instrText>
            </w:r>
            <w:r>
              <w:rPr>
                <w:noProof/>
                <w:webHidden/>
              </w:rPr>
            </w:r>
            <w:r>
              <w:rPr>
                <w:noProof/>
                <w:webHidden/>
              </w:rPr>
              <w:fldChar w:fldCharType="separate"/>
            </w:r>
            <w:r>
              <w:rPr>
                <w:noProof/>
                <w:webHidden/>
              </w:rPr>
              <w:t>773</w:t>
            </w:r>
            <w:r>
              <w:rPr>
                <w:noProof/>
                <w:webHidden/>
              </w:rPr>
              <w:fldChar w:fldCharType="end"/>
            </w:r>
          </w:hyperlink>
        </w:p>
        <w:p w14:paraId="437CA30A" w14:textId="2B6A202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88" w:history="1">
            <w:r w:rsidRPr="00F45DCA">
              <w:rPr>
                <w:rStyle w:val="Lienhypertexte"/>
                <w:noProof/>
              </w:rPr>
              <w:t>23.16.1g Plats en acier formés à froid CCTB 01.04</w:t>
            </w:r>
            <w:r>
              <w:rPr>
                <w:noProof/>
                <w:webHidden/>
              </w:rPr>
              <w:tab/>
            </w:r>
            <w:r>
              <w:rPr>
                <w:noProof/>
                <w:webHidden/>
              </w:rPr>
              <w:fldChar w:fldCharType="begin"/>
            </w:r>
            <w:r>
              <w:rPr>
                <w:noProof/>
                <w:webHidden/>
              </w:rPr>
              <w:instrText xml:space="preserve"> PAGEREF _Toc220496288 \h </w:instrText>
            </w:r>
            <w:r>
              <w:rPr>
                <w:noProof/>
                <w:webHidden/>
              </w:rPr>
            </w:r>
            <w:r>
              <w:rPr>
                <w:noProof/>
                <w:webHidden/>
              </w:rPr>
              <w:fldChar w:fldCharType="separate"/>
            </w:r>
            <w:r>
              <w:rPr>
                <w:noProof/>
                <w:webHidden/>
              </w:rPr>
              <w:t>773</w:t>
            </w:r>
            <w:r>
              <w:rPr>
                <w:noProof/>
                <w:webHidden/>
              </w:rPr>
              <w:fldChar w:fldCharType="end"/>
            </w:r>
          </w:hyperlink>
        </w:p>
        <w:p w14:paraId="1F8791AC" w14:textId="695E802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89" w:history="1">
            <w:r w:rsidRPr="00F45DCA">
              <w:rPr>
                <w:rStyle w:val="Lienhypertexte"/>
                <w:noProof/>
              </w:rPr>
              <w:t>23.16.1h Grilles en acier formées à froid CCTB 01.04</w:t>
            </w:r>
            <w:r>
              <w:rPr>
                <w:noProof/>
                <w:webHidden/>
              </w:rPr>
              <w:tab/>
            </w:r>
            <w:r>
              <w:rPr>
                <w:noProof/>
                <w:webHidden/>
              </w:rPr>
              <w:fldChar w:fldCharType="begin"/>
            </w:r>
            <w:r>
              <w:rPr>
                <w:noProof/>
                <w:webHidden/>
              </w:rPr>
              <w:instrText xml:space="preserve"> PAGEREF _Toc220496289 \h </w:instrText>
            </w:r>
            <w:r>
              <w:rPr>
                <w:noProof/>
                <w:webHidden/>
              </w:rPr>
            </w:r>
            <w:r>
              <w:rPr>
                <w:noProof/>
                <w:webHidden/>
              </w:rPr>
              <w:fldChar w:fldCharType="separate"/>
            </w:r>
            <w:r>
              <w:rPr>
                <w:noProof/>
                <w:webHidden/>
              </w:rPr>
              <w:t>773</w:t>
            </w:r>
            <w:r>
              <w:rPr>
                <w:noProof/>
                <w:webHidden/>
              </w:rPr>
              <w:fldChar w:fldCharType="end"/>
            </w:r>
          </w:hyperlink>
        </w:p>
        <w:p w14:paraId="2EEC4190" w14:textId="2E6DAAB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90" w:history="1">
            <w:r w:rsidRPr="00F45DCA">
              <w:rPr>
                <w:rStyle w:val="Lienhypertexte"/>
                <w:noProof/>
              </w:rPr>
              <w:t>23.16.2 Tôles, plats et grilles en acier inoxydable CCTB 01.04</w:t>
            </w:r>
            <w:r>
              <w:rPr>
                <w:noProof/>
                <w:webHidden/>
              </w:rPr>
              <w:tab/>
            </w:r>
            <w:r>
              <w:rPr>
                <w:noProof/>
                <w:webHidden/>
              </w:rPr>
              <w:fldChar w:fldCharType="begin"/>
            </w:r>
            <w:r>
              <w:rPr>
                <w:noProof/>
                <w:webHidden/>
              </w:rPr>
              <w:instrText xml:space="preserve"> PAGEREF _Toc220496290 \h </w:instrText>
            </w:r>
            <w:r>
              <w:rPr>
                <w:noProof/>
                <w:webHidden/>
              </w:rPr>
            </w:r>
            <w:r>
              <w:rPr>
                <w:noProof/>
                <w:webHidden/>
              </w:rPr>
              <w:fldChar w:fldCharType="separate"/>
            </w:r>
            <w:r>
              <w:rPr>
                <w:noProof/>
                <w:webHidden/>
              </w:rPr>
              <w:t>773</w:t>
            </w:r>
            <w:r>
              <w:rPr>
                <w:noProof/>
                <w:webHidden/>
              </w:rPr>
              <w:fldChar w:fldCharType="end"/>
            </w:r>
          </w:hyperlink>
        </w:p>
        <w:p w14:paraId="389BEF21" w14:textId="095AAB8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91" w:history="1">
            <w:r w:rsidRPr="00F45DCA">
              <w:rPr>
                <w:rStyle w:val="Lienhypertexte"/>
                <w:noProof/>
              </w:rPr>
              <w:t>23.16.2a Tôles en acier inoxydable formées à froid CCTB 01.04</w:t>
            </w:r>
            <w:r>
              <w:rPr>
                <w:noProof/>
                <w:webHidden/>
              </w:rPr>
              <w:tab/>
            </w:r>
            <w:r>
              <w:rPr>
                <w:noProof/>
                <w:webHidden/>
              </w:rPr>
              <w:fldChar w:fldCharType="begin"/>
            </w:r>
            <w:r>
              <w:rPr>
                <w:noProof/>
                <w:webHidden/>
              </w:rPr>
              <w:instrText xml:space="preserve"> PAGEREF _Toc220496291 \h </w:instrText>
            </w:r>
            <w:r>
              <w:rPr>
                <w:noProof/>
                <w:webHidden/>
              </w:rPr>
            </w:r>
            <w:r>
              <w:rPr>
                <w:noProof/>
                <w:webHidden/>
              </w:rPr>
              <w:fldChar w:fldCharType="separate"/>
            </w:r>
            <w:r>
              <w:rPr>
                <w:noProof/>
                <w:webHidden/>
              </w:rPr>
              <w:t>773</w:t>
            </w:r>
            <w:r>
              <w:rPr>
                <w:noProof/>
                <w:webHidden/>
              </w:rPr>
              <w:fldChar w:fldCharType="end"/>
            </w:r>
          </w:hyperlink>
        </w:p>
        <w:p w14:paraId="51319935" w14:textId="4A6417F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92" w:history="1">
            <w:r w:rsidRPr="00F45DCA">
              <w:rPr>
                <w:rStyle w:val="Lienhypertexte"/>
                <w:noProof/>
              </w:rPr>
              <w:t>23.16.2b Tôles larmées en acier inoxydable formées à froid CCTB 01.04</w:t>
            </w:r>
            <w:r>
              <w:rPr>
                <w:noProof/>
                <w:webHidden/>
              </w:rPr>
              <w:tab/>
            </w:r>
            <w:r>
              <w:rPr>
                <w:noProof/>
                <w:webHidden/>
              </w:rPr>
              <w:fldChar w:fldCharType="begin"/>
            </w:r>
            <w:r>
              <w:rPr>
                <w:noProof/>
                <w:webHidden/>
              </w:rPr>
              <w:instrText xml:space="preserve"> PAGEREF _Toc220496292 \h </w:instrText>
            </w:r>
            <w:r>
              <w:rPr>
                <w:noProof/>
                <w:webHidden/>
              </w:rPr>
            </w:r>
            <w:r>
              <w:rPr>
                <w:noProof/>
                <w:webHidden/>
              </w:rPr>
              <w:fldChar w:fldCharType="separate"/>
            </w:r>
            <w:r>
              <w:rPr>
                <w:noProof/>
                <w:webHidden/>
              </w:rPr>
              <w:t>773</w:t>
            </w:r>
            <w:r>
              <w:rPr>
                <w:noProof/>
                <w:webHidden/>
              </w:rPr>
              <w:fldChar w:fldCharType="end"/>
            </w:r>
          </w:hyperlink>
        </w:p>
        <w:p w14:paraId="76CF6662" w14:textId="545247C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93" w:history="1">
            <w:r w:rsidRPr="00F45DCA">
              <w:rPr>
                <w:rStyle w:val="Lienhypertexte"/>
                <w:noProof/>
              </w:rPr>
              <w:t>23.16.2c Tôles perforées en acier inoxydable formées à froid CCTB 01.04</w:t>
            </w:r>
            <w:r>
              <w:rPr>
                <w:noProof/>
                <w:webHidden/>
              </w:rPr>
              <w:tab/>
            </w:r>
            <w:r>
              <w:rPr>
                <w:noProof/>
                <w:webHidden/>
              </w:rPr>
              <w:fldChar w:fldCharType="begin"/>
            </w:r>
            <w:r>
              <w:rPr>
                <w:noProof/>
                <w:webHidden/>
              </w:rPr>
              <w:instrText xml:space="preserve"> PAGEREF _Toc220496293 \h </w:instrText>
            </w:r>
            <w:r>
              <w:rPr>
                <w:noProof/>
                <w:webHidden/>
              </w:rPr>
            </w:r>
            <w:r>
              <w:rPr>
                <w:noProof/>
                <w:webHidden/>
              </w:rPr>
              <w:fldChar w:fldCharType="separate"/>
            </w:r>
            <w:r>
              <w:rPr>
                <w:noProof/>
                <w:webHidden/>
              </w:rPr>
              <w:t>773</w:t>
            </w:r>
            <w:r>
              <w:rPr>
                <w:noProof/>
                <w:webHidden/>
              </w:rPr>
              <w:fldChar w:fldCharType="end"/>
            </w:r>
          </w:hyperlink>
        </w:p>
        <w:p w14:paraId="0D97BF88" w14:textId="16E0467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94" w:history="1">
            <w:r w:rsidRPr="00F45DCA">
              <w:rPr>
                <w:rStyle w:val="Lienhypertexte"/>
                <w:noProof/>
              </w:rPr>
              <w:t>23.16.2d Tôles en caillebotis en acier inoxydable CCTB 01.04</w:t>
            </w:r>
            <w:r>
              <w:rPr>
                <w:noProof/>
                <w:webHidden/>
              </w:rPr>
              <w:tab/>
            </w:r>
            <w:r>
              <w:rPr>
                <w:noProof/>
                <w:webHidden/>
              </w:rPr>
              <w:fldChar w:fldCharType="begin"/>
            </w:r>
            <w:r>
              <w:rPr>
                <w:noProof/>
                <w:webHidden/>
              </w:rPr>
              <w:instrText xml:space="preserve"> PAGEREF _Toc220496294 \h </w:instrText>
            </w:r>
            <w:r>
              <w:rPr>
                <w:noProof/>
                <w:webHidden/>
              </w:rPr>
            </w:r>
            <w:r>
              <w:rPr>
                <w:noProof/>
                <w:webHidden/>
              </w:rPr>
              <w:fldChar w:fldCharType="separate"/>
            </w:r>
            <w:r>
              <w:rPr>
                <w:noProof/>
                <w:webHidden/>
              </w:rPr>
              <w:t>773</w:t>
            </w:r>
            <w:r>
              <w:rPr>
                <w:noProof/>
                <w:webHidden/>
              </w:rPr>
              <w:fldChar w:fldCharType="end"/>
            </w:r>
          </w:hyperlink>
        </w:p>
        <w:p w14:paraId="119B76B0" w14:textId="6802907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95" w:history="1">
            <w:r w:rsidRPr="00F45DCA">
              <w:rPr>
                <w:rStyle w:val="Lienhypertexte"/>
                <w:noProof/>
              </w:rPr>
              <w:t>23.16.2e Tôles en métal déployé en acier inoxydable CCTB 01.10</w:t>
            </w:r>
            <w:r>
              <w:rPr>
                <w:noProof/>
                <w:webHidden/>
              </w:rPr>
              <w:tab/>
            </w:r>
            <w:r>
              <w:rPr>
                <w:noProof/>
                <w:webHidden/>
              </w:rPr>
              <w:fldChar w:fldCharType="begin"/>
            </w:r>
            <w:r>
              <w:rPr>
                <w:noProof/>
                <w:webHidden/>
              </w:rPr>
              <w:instrText xml:space="preserve"> PAGEREF _Toc220496295 \h </w:instrText>
            </w:r>
            <w:r>
              <w:rPr>
                <w:noProof/>
                <w:webHidden/>
              </w:rPr>
            </w:r>
            <w:r>
              <w:rPr>
                <w:noProof/>
                <w:webHidden/>
              </w:rPr>
              <w:fldChar w:fldCharType="separate"/>
            </w:r>
            <w:r>
              <w:rPr>
                <w:noProof/>
                <w:webHidden/>
              </w:rPr>
              <w:t>773</w:t>
            </w:r>
            <w:r>
              <w:rPr>
                <w:noProof/>
                <w:webHidden/>
              </w:rPr>
              <w:fldChar w:fldCharType="end"/>
            </w:r>
          </w:hyperlink>
        </w:p>
        <w:p w14:paraId="1424ECD8" w14:textId="114031E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96" w:history="1">
            <w:r w:rsidRPr="00F45DCA">
              <w:rPr>
                <w:rStyle w:val="Lienhypertexte"/>
                <w:noProof/>
              </w:rPr>
              <w:t>23.16.2f Plats en acier inoxydable laminés à chaud CCTB 01.04</w:t>
            </w:r>
            <w:r>
              <w:rPr>
                <w:noProof/>
                <w:webHidden/>
              </w:rPr>
              <w:tab/>
            </w:r>
            <w:r>
              <w:rPr>
                <w:noProof/>
                <w:webHidden/>
              </w:rPr>
              <w:fldChar w:fldCharType="begin"/>
            </w:r>
            <w:r>
              <w:rPr>
                <w:noProof/>
                <w:webHidden/>
              </w:rPr>
              <w:instrText xml:space="preserve"> PAGEREF _Toc220496296 \h </w:instrText>
            </w:r>
            <w:r>
              <w:rPr>
                <w:noProof/>
                <w:webHidden/>
              </w:rPr>
            </w:r>
            <w:r>
              <w:rPr>
                <w:noProof/>
                <w:webHidden/>
              </w:rPr>
              <w:fldChar w:fldCharType="separate"/>
            </w:r>
            <w:r>
              <w:rPr>
                <w:noProof/>
                <w:webHidden/>
              </w:rPr>
              <w:t>773</w:t>
            </w:r>
            <w:r>
              <w:rPr>
                <w:noProof/>
                <w:webHidden/>
              </w:rPr>
              <w:fldChar w:fldCharType="end"/>
            </w:r>
          </w:hyperlink>
        </w:p>
        <w:p w14:paraId="679EE911" w14:textId="7C59833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97" w:history="1">
            <w:r w:rsidRPr="00F45DCA">
              <w:rPr>
                <w:rStyle w:val="Lienhypertexte"/>
                <w:noProof/>
              </w:rPr>
              <w:t>23.16.2g Plats en acier inoxydable formés à froid CCTB 01.04</w:t>
            </w:r>
            <w:r>
              <w:rPr>
                <w:noProof/>
                <w:webHidden/>
              </w:rPr>
              <w:tab/>
            </w:r>
            <w:r>
              <w:rPr>
                <w:noProof/>
                <w:webHidden/>
              </w:rPr>
              <w:fldChar w:fldCharType="begin"/>
            </w:r>
            <w:r>
              <w:rPr>
                <w:noProof/>
                <w:webHidden/>
              </w:rPr>
              <w:instrText xml:space="preserve"> PAGEREF _Toc220496297 \h </w:instrText>
            </w:r>
            <w:r>
              <w:rPr>
                <w:noProof/>
                <w:webHidden/>
              </w:rPr>
            </w:r>
            <w:r>
              <w:rPr>
                <w:noProof/>
                <w:webHidden/>
              </w:rPr>
              <w:fldChar w:fldCharType="separate"/>
            </w:r>
            <w:r>
              <w:rPr>
                <w:noProof/>
                <w:webHidden/>
              </w:rPr>
              <w:t>773</w:t>
            </w:r>
            <w:r>
              <w:rPr>
                <w:noProof/>
                <w:webHidden/>
              </w:rPr>
              <w:fldChar w:fldCharType="end"/>
            </w:r>
          </w:hyperlink>
        </w:p>
        <w:p w14:paraId="56601FC5" w14:textId="1EDBBB9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298" w:history="1">
            <w:r w:rsidRPr="00F45DCA">
              <w:rPr>
                <w:rStyle w:val="Lienhypertexte"/>
                <w:noProof/>
              </w:rPr>
              <w:t>23.16.2h Grilles en acier inoxydable formées à froid CCTB 01.04</w:t>
            </w:r>
            <w:r>
              <w:rPr>
                <w:noProof/>
                <w:webHidden/>
              </w:rPr>
              <w:tab/>
            </w:r>
            <w:r>
              <w:rPr>
                <w:noProof/>
                <w:webHidden/>
              </w:rPr>
              <w:fldChar w:fldCharType="begin"/>
            </w:r>
            <w:r>
              <w:rPr>
                <w:noProof/>
                <w:webHidden/>
              </w:rPr>
              <w:instrText xml:space="preserve"> PAGEREF _Toc220496298 \h </w:instrText>
            </w:r>
            <w:r>
              <w:rPr>
                <w:noProof/>
                <w:webHidden/>
              </w:rPr>
            </w:r>
            <w:r>
              <w:rPr>
                <w:noProof/>
                <w:webHidden/>
              </w:rPr>
              <w:fldChar w:fldCharType="separate"/>
            </w:r>
            <w:r>
              <w:rPr>
                <w:noProof/>
                <w:webHidden/>
              </w:rPr>
              <w:t>773</w:t>
            </w:r>
            <w:r>
              <w:rPr>
                <w:noProof/>
                <w:webHidden/>
              </w:rPr>
              <w:fldChar w:fldCharType="end"/>
            </w:r>
          </w:hyperlink>
        </w:p>
        <w:p w14:paraId="40AFA64D" w14:textId="1BB717F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299" w:history="1">
            <w:r w:rsidRPr="00F45DCA">
              <w:rPr>
                <w:rStyle w:val="Lienhypertexte"/>
                <w:noProof/>
              </w:rPr>
              <w:t>23.16.3 Tôles, plats et grilles en aluminium CCTB 01.04</w:t>
            </w:r>
            <w:r>
              <w:rPr>
                <w:noProof/>
                <w:webHidden/>
              </w:rPr>
              <w:tab/>
            </w:r>
            <w:r>
              <w:rPr>
                <w:noProof/>
                <w:webHidden/>
              </w:rPr>
              <w:fldChar w:fldCharType="begin"/>
            </w:r>
            <w:r>
              <w:rPr>
                <w:noProof/>
                <w:webHidden/>
              </w:rPr>
              <w:instrText xml:space="preserve"> PAGEREF _Toc220496299 \h </w:instrText>
            </w:r>
            <w:r>
              <w:rPr>
                <w:noProof/>
                <w:webHidden/>
              </w:rPr>
            </w:r>
            <w:r>
              <w:rPr>
                <w:noProof/>
                <w:webHidden/>
              </w:rPr>
              <w:fldChar w:fldCharType="separate"/>
            </w:r>
            <w:r>
              <w:rPr>
                <w:noProof/>
                <w:webHidden/>
              </w:rPr>
              <w:t>774</w:t>
            </w:r>
            <w:r>
              <w:rPr>
                <w:noProof/>
                <w:webHidden/>
              </w:rPr>
              <w:fldChar w:fldCharType="end"/>
            </w:r>
          </w:hyperlink>
        </w:p>
        <w:p w14:paraId="2D8BBABB" w14:textId="79711A3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00" w:history="1">
            <w:r w:rsidRPr="00F45DCA">
              <w:rPr>
                <w:rStyle w:val="Lienhypertexte"/>
                <w:noProof/>
              </w:rPr>
              <w:t>23.16.3a Tôles en aluminium CCTB 01.02</w:t>
            </w:r>
            <w:r>
              <w:rPr>
                <w:noProof/>
                <w:webHidden/>
              </w:rPr>
              <w:tab/>
            </w:r>
            <w:r>
              <w:rPr>
                <w:noProof/>
                <w:webHidden/>
              </w:rPr>
              <w:fldChar w:fldCharType="begin"/>
            </w:r>
            <w:r>
              <w:rPr>
                <w:noProof/>
                <w:webHidden/>
              </w:rPr>
              <w:instrText xml:space="preserve"> PAGEREF _Toc220496300 \h </w:instrText>
            </w:r>
            <w:r>
              <w:rPr>
                <w:noProof/>
                <w:webHidden/>
              </w:rPr>
            </w:r>
            <w:r>
              <w:rPr>
                <w:noProof/>
                <w:webHidden/>
              </w:rPr>
              <w:fldChar w:fldCharType="separate"/>
            </w:r>
            <w:r>
              <w:rPr>
                <w:noProof/>
                <w:webHidden/>
              </w:rPr>
              <w:t>774</w:t>
            </w:r>
            <w:r>
              <w:rPr>
                <w:noProof/>
                <w:webHidden/>
              </w:rPr>
              <w:fldChar w:fldCharType="end"/>
            </w:r>
          </w:hyperlink>
        </w:p>
        <w:p w14:paraId="64875AD8" w14:textId="698BCE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01" w:history="1">
            <w:r w:rsidRPr="00F45DCA">
              <w:rPr>
                <w:rStyle w:val="Lienhypertexte"/>
                <w:noProof/>
              </w:rPr>
              <w:t>23.16.3b Tôles larmées en aluminium CCTB 01.04</w:t>
            </w:r>
            <w:r>
              <w:rPr>
                <w:noProof/>
                <w:webHidden/>
              </w:rPr>
              <w:tab/>
            </w:r>
            <w:r>
              <w:rPr>
                <w:noProof/>
                <w:webHidden/>
              </w:rPr>
              <w:fldChar w:fldCharType="begin"/>
            </w:r>
            <w:r>
              <w:rPr>
                <w:noProof/>
                <w:webHidden/>
              </w:rPr>
              <w:instrText xml:space="preserve"> PAGEREF _Toc220496301 \h </w:instrText>
            </w:r>
            <w:r>
              <w:rPr>
                <w:noProof/>
                <w:webHidden/>
              </w:rPr>
            </w:r>
            <w:r>
              <w:rPr>
                <w:noProof/>
                <w:webHidden/>
              </w:rPr>
              <w:fldChar w:fldCharType="separate"/>
            </w:r>
            <w:r>
              <w:rPr>
                <w:noProof/>
                <w:webHidden/>
              </w:rPr>
              <w:t>774</w:t>
            </w:r>
            <w:r>
              <w:rPr>
                <w:noProof/>
                <w:webHidden/>
              </w:rPr>
              <w:fldChar w:fldCharType="end"/>
            </w:r>
          </w:hyperlink>
        </w:p>
        <w:p w14:paraId="37B4F22D" w14:textId="3D61B04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02" w:history="1">
            <w:r w:rsidRPr="00F45DCA">
              <w:rPr>
                <w:rStyle w:val="Lienhypertexte"/>
                <w:noProof/>
              </w:rPr>
              <w:t>23.16.3c Tôles perforées en aluminium CCTB 01.04</w:t>
            </w:r>
            <w:r>
              <w:rPr>
                <w:noProof/>
                <w:webHidden/>
              </w:rPr>
              <w:tab/>
            </w:r>
            <w:r>
              <w:rPr>
                <w:noProof/>
                <w:webHidden/>
              </w:rPr>
              <w:fldChar w:fldCharType="begin"/>
            </w:r>
            <w:r>
              <w:rPr>
                <w:noProof/>
                <w:webHidden/>
              </w:rPr>
              <w:instrText xml:space="preserve"> PAGEREF _Toc220496302 \h </w:instrText>
            </w:r>
            <w:r>
              <w:rPr>
                <w:noProof/>
                <w:webHidden/>
              </w:rPr>
            </w:r>
            <w:r>
              <w:rPr>
                <w:noProof/>
                <w:webHidden/>
              </w:rPr>
              <w:fldChar w:fldCharType="separate"/>
            </w:r>
            <w:r>
              <w:rPr>
                <w:noProof/>
                <w:webHidden/>
              </w:rPr>
              <w:t>774</w:t>
            </w:r>
            <w:r>
              <w:rPr>
                <w:noProof/>
                <w:webHidden/>
              </w:rPr>
              <w:fldChar w:fldCharType="end"/>
            </w:r>
          </w:hyperlink>
        </w:p>
        <w:p w14:paraId="33BB7CCB" w14:textId="21ADA46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03" w:history="1">
            <w:r w:rsidRPr="00F45DCA">
              <w:rPr>
                <w:rStyle w:val="Lienhypertexte"/>
                <w:noProof/>
              </w:rPr>
              <w:t>23.16.3d Plats en aluminium CCTB 01.04</w:t>
            </w:r>
            <w:r>
              <w:rPr>
                <w:noProof/>
                <w:webHidden/>
              </w:rPr>
              <w:tab/>
            </w:r>
            <w:r>
              <w:rPr>
                <w:noProof/>
                <w:webHidden/>
              </w:rPr>
              <w:fldChar w:fldCharType="begin"/>
            </w:r>
            <w:r>
              <w:rPr>
                <w:noProof/>
                <w:webHidden/>
              </w:rPr>
              <w:instrText xml:space="preserve"> PAGEREF _Toc220496303 \h </w:instrText>
            </w:r>
            <w:r>
              <w:rPr>
                <w:noProof/>
                <w:webHidden/>
              </w:rPr>
            </w:r>
            <w:r>
              <w:rPr>
                <w:noProof/>
                <w:webHidden/>
              </w:rPr>
              <w:fldChar w:fldCharType="separate"/>
            </w:r>
            <w:r>
              <w:rPr>
                <w:noProof/>
                <w:webHidden/>
              </w:rPr>
              <w:t>774</w:t>
            </w:r>
            <w:r>
              <w:rPr>
                <w:noProof/>
                <w:webHidden/>
              </w:rPr>
              <w:fldChar w:fldCharType="end"/>
            </w:r>
          </w:hyperlink>
        </w:p>
        <w:p w14:paraId="3AAF466C" w14:textId="35A8D15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04" w:history="1">
            <w:r w:rsidRPr="00F45DCA">
              <w:rPr>
                <w:rStyle w:val="Lienhypertexte"/>
                <w:noProof/>
              </w:rPr>
              <w:t>23.16.3e Grilles en aluminium CCTB 01.04</w:t>
            </w:r>
            <w:r>
              <w:rPr>
                <w:noProof/>
                <w:webHidden/>
              </w:rPr>
              <w:tab/>
            </w:r>
            <w:r>
              <w:rPr>
                <w:noProof/>
                <w:webHidden/>
              </w:rPr>
              <w:fldChar w:fldCharType="begin"/>
            </w:r>
            <w:r>
              <w:rPr>
                <w:noProof/>
                <w:webHidden/>
              </w:rPr>
              <w:instrText xml:space="preserve"> PAGEREF _Toc220496304 \h </w:instrText>
            </w:r>
            <w:r>
              <w:rPr>
                <w:noProof/>
                <w:webHidden/>
              </w:rPr>
            </w:r>
            <w:r>
              <w:rPr>
                <w:noProof/>
                <w:webHidden/>
              </w:rPr>
              <w:fldChar w:fldCharType="separate"/>
            </w:r>
            <w:r>
              <w:rPr>
                <w:noProof/>
                <w:webHidden/>
              </w:rPr>
              <w:t>774</w:t>
            </w:r>
            <w:r>
              <w:rPr>
                <w:noProof/>
                <w:webHidden/>
              </w:rPr>
              <w:fldChar w:fldCharType="end"/>
            </w:r>
          </w:hyperlink>
        </w:p>
        <w:p w14:paraId="712D6C6E" w14:textId="0F8EED99"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305" w:history="1">
            <w:r w:rsidRPr="00F45DCA">
              <w:rPr>
                <w:rStyle w:val="Lienhypertexte"/>
                <w:noProof/>
              </w:rPr>
              <w:t>23.2 Ensembles structuraux métalliques CCTB 01.11</w:t>
            </w:r>
            <w:r>
              <w:rPr>
                <w:noProof/>
                <w:webHidden/>
              </w:rPr>
              <w:tab/>
            </w:r>
            <w:r>
              <w:rPr>
                <w:noProof/>
                <w:webHidden/>
              </w:rPr>
              <w:fldChar w:fldCharType="begin"/>
            </w:r>
            <w:r>
              <w:rPr>
                <w:noProof/>
                <w:webHidden/>
              </w:rPr>
              <w:instrText xml:space="preserve"> PAGEREF _Toc220496305 \h </w:instrText>
            </w:r>
            <w:r>
              <w:rPr>
                <w:noProof/>
                <w:webHidden/>
              </w:rPr>
            </w:r>
            <w:r>
              <w:rPr>
                <w:noProof/>
                <w:webHidden/>
              </w:rPr>
              <w:fldChar w:fldCharType="separate"/>
            </w:r>
            <w:r>
              <w:rPr>
                <w:noProof/>
                <w:webHidden/>
              </w:rPr>
              <w:t>774</w:t>
            </w:r>
            <w:r>
              <w:rPr>
                <w:noProof/>
                <w:webHidden/>
              </w:rPr>
              <w:fldChar w:fldCharType="end"/>
            </w:r>
          </w:hyperlink>
        </w:p>
        <w:p w14:paraId="76A5B7EF" w14:textId="53AF79B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306" w:history="1">
            <w:r w:rsidRPr="00F45DCA">
              <w:rPr>
                <w:rStyle w:val="Lienhypertexte"/>
                <w:noProof/>
              </w:rPr>
              <w:t>23.21 Structures métalliques (poutres/colonnes) CCTB 01.12</w:t>
            </w:r>
            <w:r>
              <w:rPr>
                <w:noProof/>
                <w:webHidden/>
              </w:rPr>
              <w:tab/>
            </w:r>
            <w:r>
              <w:rPr>
                <w:noProof/>
                <w:webHidden/>
              </w:rPr>
              <w:fldChar w:fldCharType="begin"/>
            </w:r>
            <w:r>
              <w:rPr>
                <w:noProof/>
                <w:webHidden/>
              </w:rPr>
              <w:instrText xml:space="preserve"> PAGEREF _Toc220496306 \h </w:instrText>
            </w:r>
            <w:r>
              <w:rPr>
                <w:noProof/>
                <w:webHidden/>
              </w:rPr>
            </w:r>
            <w:r>
              <w:rPr>
                <w:noProof/>
                <w:webHidden/>
              </w:rPr>
              <w:fldChar w:fldCharType="separate"/>
            </w:r>
            <w:r>
              <w:rPr>
                <w:noProof/>
                <w:webHidden/>
              </w:rPr>
              <w:t>774</w:t>
            </w:r>
            <w:r>
              <w:rPr>
                <w:noProof/>
                <w:webHidden/>
              </w:rPr>
              <w:fldChar w:fldCharType="end"/>
            </w:r>
          </w:hyperlink>
        </w:p>
        <w:p w14:paraId="4E8E5551" w14:textId="1B84968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07" w:history="1">
            <w:r w:rsidRPr="00F45DCA">
              <w:rPr>
                <w:rStyle w:val="Lienhypertexte"/>
                <w:noProof/>
              </w:rPr>
              <w:t>23.21.1 Structures en profilés en acier laminés à chaud CCTB 01.11</w:t>
            </w:r>
            <w:r>
              <w:rPr>
                <w:noProof/>
                <w:webHidden/>
              </w:rPr>
              <w:tab/>
            </w:r>
            <w:r>
              <w:rPr>
                <w:noProof/>
                <w:webHidden/>
              </w:rPr>
              <w:fldChar w:fldCharType="begin"/>
            </w:r>
            <w:r>
              <w:rPr>
                <w:noProof/>
                <w:webHidden/>
              </w:rPr>
              <w:instrText xml:space="preserve"> PAGEREF _Toc220496307 \h </w:instrText>
            </w:r>
            <w:r>
              <w:rPr>
                <w:noProof/>
                <w:webHidden/>
              </w:rPr>
            </w:r>
            <w:r>
              <w:rPr>
                <w:noProof/>
                <w:webHidden/>
              </w:rPr>
              <w:fldChar w:fldCharType="separate"/>
            </w:r>
            <w:r>
              <w:rPr>
                <w:noProof/>
                <w:webHidden/>
              </w:rPr>
              <w:t>776</w:t>
            </w:r>
            <w:r>
              <w:rPr>
                <w:noProof/>
                <w:webHidden/>
              </w:rPr>
              <w:fldChar w:fldCharType="end"/>
            </w:r>
          </w:hyperlink>
        </w:p>
        <w:p w14:paraId="456BEA41" w14:textId="3BC27B5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08" w:history="1">
            <w:r w:rsidRPr="00F45DCA">
              <w:rPr>
                <w:rStyle w:val="Lienhypertexte"/>
                <w:noProof/>
              </w:rPr>
              <w:t>23.21.1a Charpentes en profilés en acier laminés à chaud CCTB 01.12</w:t>
            </w:r>
            <w:r>
              <w:rPr>
                <w:noProof/>
                <w:webHidden/>
              </w:rPr>
              <w:tab/>
            </w:r>
            <w:r>
              <w:rPr>
                <w:noProof/>
                <w:webHidden/>
              </w:rPr>
              <w:fldChar w:fldCharType="begin"/>
            </w:r>
            <w:r>
              <w:rPr>
                <w:noProof/>
                <w:webHidden/>
              </w:rPr>
              <w:instrText xml:space="preserve"> PAGEREF _Toc220496308 \h </w:instrText>
            </w:r>
            <w:r>
              <w:rPr>
                <w:noProof/>
                <w:webHidden/>
              </w:rPr>
            </w:r>
            <w:r>
              <w:rPr>
                <w:noProof/>
                <w:webHidden/>
              </w:rPr>
              <w:fldChar w:fldCharType="separate"/>
            </w:r>
            <w:r>
              <w:rPr>
                <w:noProof/>
                <w:webHidden/>
              </w:rPr>
              <w:t>776</w:t>
            </w:r>
            <w:r>
              <w:rPr>
                <w:noProof/>
                <w:webHidden/>
              </w:rPr>
              <w:fldChar w:fldCharType="end"/>
            </w:r>
          </w:hyperlink>
        </w:p>
        <w:p w14:paraId="580693AF" w14:textId="2B4FBED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09" w:history="1">
            <w:r w:rsidRPr="00F45DCA">
              <w:rPr>
                <w:rStyle w:val="Lienhypertexte"/>
                <w:noProof/>
              </w:rPr>
              <w:t>23.21.1b Portiques en profilés en acier laminés à chaud CCTB 01.04</w:t>
            </w:r>
            <w:r>
              <w:rPr>
                <w:noProof/>
                <w:webHidden/>
              </w:rPr>
              <w:tab/>
            </w:r>
            <w:r>
              <w:rPr>
                <w:noProof/>
                <w:webHidden/>
              </w:rPr>
              <w:fldChar w:fldCharType="begin"/>
            </w:r>
            <w:r>
              <w:rPr>
                <w:noProof/>
                <w:webHidden/>
              </w:rPr>
              <w:instrText xml:space="preserve"> PAGEREF _Toc220496309 \h </w:instrText>
            </w:r>
            <w:r>
              <w:rPr>
                <w:noProof/>
                <w:webHidden/>
              </w:rPr>
            </w:r>
            <w:r>
              <w:rPr>
                <w:noProof/>
                <w:webHidden/>
              </w:rPr>
              <w:fldChar w:fldCharType="separate"/>
            </w:r>
            <w:r>
              <w:rPr>
                <w:noProof/>
                <w:webHidden/>
              </w:rPr>
              <w:t>780</w:t>
            </w:r>
            <w:r>
              <w:rPr>
                <w:noProof/>
                <w:webHidden/>
              </w:rPr>
              <w:fldChar w:fldCharType="end"/>
            </w:r>
          </w:hyperlink>
        </w:p>
        <w:p w14:paraId="0F5C72C6" w14:textId="517F07F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10" w:history="1">
            <w:r w:rsidRPr="00F45DCA">
              <w:rPr>
                <w:rStyle w:val="Lienhypertexte"/>
                <w:noProof/>
              </w:rPr>
              <w:t>23.21.1c Arcs en profilés en acier laminés à chaud CCTB 01.04</w:t>
            </w:r>
            <w:r>
              <w:rPr>
                <w:noProof/>
                <w:webHidden/>
              </w:rPr>
              <w:tab/>
            </w:r>
            <w:r>
              <w:rPr>
                <w:noProof/>
                <w:webHidden/>
              </w:rPr>
              <w:fldChar w:fldCharType="begin"/>
            </w:r>
            <w:r>
              <w:rPr>
                <w:noProof/>
                <w:webHidden/>
              </w:rPr>
              <w:instrText xml:space="preserve"> PAGEREF _Toc220496310 \h </w:instrText>
            </w:r>
            <w:r>
              <w:rPr>
                <w:noProof/>
                <w:webHidden/>
              </w:rPr>
            </w:r>
            <w:r>
              <w:rPr>
                <w:noProof/>
                <w:webHidden/>
              </w:rPr>
              <w:fldChar w:fldCharType="separate"/>
            </w:r>
            <w:r>
              <w:rPr>
                <w:noProof/>
                <w:webHidden/>
              </w:rPr>
              <w:t>780</w:t>
            </w:r>
            <w:r>
              <w:rPr>
                <w:noProof/>
                <w:webHidden/>
              </w:rPr>
              <w:fldChar w:fldCharType="end"/>
            </w:r>
          </w:hyperlink>
        </w:p>
        <w:p w14:paraId="68ABD35E" w14:textId="73B022F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11" w:history="1">
            <w:r w:rsidRPr="00F45DCA">
              <w:rPr>
                <w:rStyle w:val="Lienhypertexte"/>
                <w:noProof/>
              </w:rPr>
              <w:t>23.21.1d Potences en profilés en acier laminés à chaud CCTB 01.04</w:t>
            </w:r>
            <w:r>
              <w:rPr>
                <w:noProof/>
                <w:webHidden/>
              </w:rPr>
              <w:tab/>
            </w:r>
            <w:r>
              <w:rPr>
                <w:noProof/>
                <w:webHidden/>
              </w:rPr>
              <w:fldChar w:fldCharType="begin"/>
            </w:r>
            <w:r>
              <w:rPr>
                <w:noProof/>
                <w:webHidden/>
              </w:rPr>
              <w:instrText xml:space="preserve"> PAGEREF _Toc220496311 \h </w:instrText>
            </w:r>
            <w:r>
              <w:rPr>
                <w:noProof/>
                <w:webHidden/>
              </w:rPr>
            </w:r>
            <w:r>
              <w:rPr>
                <w:noProof/>
                <w:webHidden/>
              </w:rPr>
              <w:fldChar w:fldCharType="separate"/>
            </w:r>
            <w:r>
              <w:rPr>
                <w:noProof/>
                <w:webHidden/>
              </w:rPr>
              <w:t>780</w:t>
            </w:r>
            <w:r>
              <w:rPr>
                <w:noProof/>
                <w:webHidden/>
              </w:rPr>
              <w:fldChar w:fldCharType="end"/>
            </w:r>
          </w:hyperlink>
        </w:p>
        <w:p w14:paraId="22D8BB41" w14:textId="4C56E8B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12" w:history="1">
            <w:r w:rsidRPr="00F45DCA">
              <w:rPr>
                <w:rStyle w:val="Lienhypertexte"/>
                <w:noProof/>
              </w:rPr>
              <w:t>23.21.2 Structures en acier formées à froid CCTB 01.04</w:t>
            </w:r>
            <w:r>
              <w:rPr>
                <w:noProof/>
                <w:webHidden/>
              </w:rPr>
              <w:tab/>
            </w:r>
            <w:r>
              <w:rPr>
                <w:noProof/>
                <w:webHidden/>
              </w:rPr>
              <w:fldChar w:fldCharType="begin"/>
            </w:r>
            <w:r>
              <w:rPr>
                <w:noProof/>
                <w:webHidden/>
              </w:rPr>
              <w:instrText xml:space="preserve"> PAGEREF _Toc220496312 \h </w:instrText>
            </w:r>
            <w:r>
              <w:rPr>
                <w:noProof/>
                <w:webHidden/>
              </w:rPr>
            </w:r>
            <w:r>
              <w:rPr>
                <w:noProof/>
                <w:webHidden/>
              </w:rPr>
              <w:fldChar w:fldCharType="separate"/>
            </w:r>
            <w:r>
              <w:rPr>
                <w:noProof/>
                <w:webHidden/>
              </w:rPr>
              <w:t>780</w:t>
            </w:r>
            <w:r>
              <w:rPr>
                <w:noProof/>
                <w:webHidden/>
              </w:rPr>
              <w:fldChar w:fldCharType="end"/>
            </w:r>
          </w:hyperlink>
        </w:p>
        <w:p w14:paraId="6F947AFC" w14:textId="4B23560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13" w:history="1">
            <w:r w:rsidRPr="00F45DCA">
              <w:rPr>
                <w:rStyle w:val="Lienhypertexte"/>
                <w:noProof/>
              </w:rPr>
              <w:t>23.21.2a Charpentes en acier formées à froid CCTB 01.04</w:t>
            </w:r>
            <w:r>
              <w:rPr>
                <w:noProof/>
                <w:webHidden/>
              </w:rPr>
              <w:tab/>
            </w:r>
            <w:r>
              <w:rPr>
                <w:noProof/>
                <w:webHidden/>
              </w:rPr>
              <w:fldChar w:fldCharType="begin"/>
            </w:r>
            <w:r>
              <w:rPr>
                <w:noProof/>
                <w:webHidden/>
              </w:rPr>
              <w:instrText xml:space="preserve"> PAGEREF _Toc220496313 \h </w:instrText>
            </w:r>
            <w:r>
              <w:rPr>
                <w:noProof/>
                <w:webHidden/>
              </w:rPr>
            </w:r>
            <w:r>
              <w:rPr>
                <w:noProof/>
                <w:webHidden/>
              </w:rPr>
              <w:fldChar w:fldCharType="separate"/>
            </w:r>
            <w:r>
              <w:rPr>
                <w:noProof/>
                <w:webHidden/>
              </w:rPr>
              <w:t>780</w:t>
            </w:r>
            <w:r>
              <w:rPr>
                <w:noProof/>
                <w:webHidden/>
              </w:rPr>
              <w:fldChar w:fldCharType="end"/>
            </w:r>
          </w:hyperlink>
        </w:p>
        <w:p w14:paraId="2E3F159A" w14:textId="19F65A7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14" w:history="1">
            <w:r w:rsidRPr="00F45DCA">
              <w:rPr>
                <w:rStyle w:val="Lienhypertexte"/>
                <w:noProof/>
              </w:rPr>
              <w:t>23.21.2b Portiques en acier formés à froid CCTB 01.04</w:t>
            </w:r>
            <w:r>
              <w:rPr>
                <w:noProof/>
                <w:webHidden/>
              </w:rPr>
              <w:tab/>
            </w:r>
            <w:r>
              <w:rPr>
                <w:noProof/>
                <w:webHidden/>
              </w:rPr>
              <w:fldChar w:fldCharType="begin"/>
            </w:r>
            <w:r>
              <w:rPr>
                <w:noProof/>
                <w:webHidden/>
              </w:rPr>
              <w:instrText xml:space="preserve"> PAGEREF _Toc220496314 \h </w:instrText>
            </w:r>
            <w:r>
              <w:rPr>
                <w:noProof/>
                <w:webHidden/>
              </w:rPr>
            </w:r>
            <w:r>
              <w:rPr>
                <w:noProof/>
                <w:webHidden/>
              </w:rPr>
              <w:fldChar w:fldCharType="separate"/>
            </w:r>
            <w:r>
              <w:rPr>
                <w:noProof/>
                <w:webHidden/>
              </w:rPr>
              <w:t>780</w:t>
            </w:r>
            <w:r>
              <w:rPr>
                <w:noProof/>
                <w:webHidden/>
              </w:rPr>
              <w:fldChar w:fldCharType="end"/>
            </w:r>
          </w:hyperlink>
        </w:p>
        <w:p w14:paraId="452C78C1" w14:textId="0DC01D1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15" w:history="1">
            <w:r w:rsidRPr="00F45DCA">
              <w:rPr>
                <w:rStyle w:val="Lienhypertexte"/>
                <w:noProof/>
              </w:rPr>
              <w:t>23.21.2c Arcs en acier formés à froid CCTB 01.04</w:t>
            </w:r>
            <w:r>
              <w:rPr>
                <w:noProof/>
                <w:webHidden/>
              </w:rPr>
              <w:tab/>
            </w:r>
            <w:r>
              <w:rPr>
                <w:noProof/>
                <w:webHidden/>
              </w:rPr>
              <w:fldChar w:fldCharType="begin"/>
            </w:r>
            <w:r>
              <w:rPr>
                <w:noProof/>
                <w:webHidden/>
              </w:rPr>
              <w:instrText xml:space="preserve"> PAGEREF _Toc220496315 \h </w:instrText>
            </w:r>
            <w:r>
              <w:rPr>
                <w:noProof/>
                <w:webHidden/>
              </w:rPr>
            </w:r>
            <w:r>
              <w:rPr>
                <w:noProof/>
                <w:webHidden/>
              </w:rPr>
              <w:fldChar w:fldCharType="separate"/>
            </w:r>
            <w:r>
              <w:rPr>
                <w:noProof/>
                <w:webHidden/>
              </w:rPr>
              <w:t>780</w:t>
            </w:r>
            <w:r>
              <w:rPr>
                <w:noProof/>
                <w:webHidden/>
              </w:rPr>
              <w:fldChar w:fldCharType="end"/>
            </w:r>
          </w:hyperlink>
        </w:p>
        <w:p w14:paraId="56216CB6" w14:textId="3450617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16" w:history="1">
            <w:r w:rsidRPr="00F45DCA">
              <w:rPr>
                <w:rStyle w:val="Lienhypertexte"/>
                <w:noProof/>
              </w:rPr>
              <w:t>23.21.2d Potences en acier formées à froid CCTB 01.04</w:t>
            </w:r>
            <w:r>
              <w:rPr>
                <w:noProof/>
                <w:webHidden/>
              </w:rPr>
              <w:tab/>
            </w:r>
            <w:r>
              <w:rPr>
                <w:noProof/>
                <w:webHidden/>
              </w:rPr>
              <w:fldChar w:fldCharType="begin"/>
            </w:r>
            <w:r>
              <w:rPr>
                <w:noProof/>
                <w:webHidden/>
              </w:rPr>
              <w:instrText xml:space="preserve"> PAGEREF _Toc220496316 \h </w:instrText>
            </w:r>
            <w:r>
              <w:rPr>
                <w:noProof/>
                <w:webHidden/>
              </w:rPr>
            </w:r>
            <w:r>
              <w:rPr>
                <w:noProof/>
                <w:webHidden/>
              </w:rPr>
              <w:fldChar w:fldCharType="separate"/>
            </w:r>
            <w:r>
              <w:rPr>
                <w:noProof/>
                <w:webHidden/>
              </w:rPr>
              <w:t>780</w:t>
            </w:r>
            <w:r>
              <w:rPr>
                <w:noProof/>
                <w:webHidden/>
              </w:rPr>
              <w:fldChar w:fldCharType="end"/>
            </w:r>
          </w:hyperlink>
        </w:p>
        <w:p w14:paraId="5B5471D5" w14:textId="3C865CE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17" w:history="1">
            <w:r w:rsidRPr="00F45DCA">
              <w:rPr>
                <w:rStyle w:val="Lienhypertexte"/>
                <w:noProof/>
              </w:rPr>
              <w:t>23.21.3 Structures en acier inoxydable laminées à chaud CCTB 01.04</w:t>
            </w:r>
            <w:r>
              <w:rPr>
                <w:noProof/>
                <w:webHidden/>
              </w:rPr>
              <w:tab/>
            </w:r>
            <w:r>
              <w:rPr>
                <w:noProof/>
                <w:webHidden/>
              </w:rPr>
              <w:fldChar w:fldCharType="begin"/>
            </w:r>
            <w:r>
              <w:rPr>
                <w:noProof/>
                <w:webHidden/>
              </w:rPr>
              <w:instrText xml:space="preserve"> PAGEREF _Toc220496317 \h </w:instrText>
            </w:r>
            <w:r>
              <w:rPr>
                <w:noProof/>
                <w:webHidden/>
              </w:rPr>
            </w:r>
            <w:r>
              <w:rPr>
                <w:noProof/>
                <w:webHidden/>
              </w:rPr>
              <w:fldChar w:fldCharType="separate"/>
            </w:r>
            <w:r>
              <w:rPr>
                <w:noProof/>
                <w:webHidden/>
              </w:rPr>
              <w:t>780</w:t>
            </w:r>
            <w:r>
              <w:rPr>
                <w:noProof/>
                <w:webHidden/>
              </w:rPr>
              <w:fldChar w:fldCharType="end"/>
            </w:r>
          </w:hyperlink>
        </w:p>
        <w:p w14:paraId="519FF1E9" w14:textId="5B1BD01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18" w:history="1">
            <w:r w:rsidRPr="00F45DCA">
              <w:rPr>
                <w:rStyle w:val="Lienhypertexte"/>
                <w:noProof/>
              </w:rPr>
              <w:t>23.21.3a Charpentes en acier inoxydable laminées à chaud CCTB 01.04</w:t>
            </w:r>
            <w:r>
              <w:rPr>
                <w:noProof/>
                <w:webHidden/>
              </w:rPr>
              <w:tab/>
            </w:r>
            <w:r>
              <w:rPr>
                <w:noProof/>
                <w:webHidden/>
              </w:rPr>
              <w:fldChar w:fldCharType="begin"/>
            </w:r>
            <w:r>
              <w:rPr>
                <w:noProof/>
                <w:webHidden/>
              </w:rPr>
              <w:instrText xml:space="preserve"> PAGEREF _Toc220496318 \h </w:instrText>
            </w:r>
            <w:r>
              <w:rPr>
                <w:noProof/>
                <w:webHidden/>
              </w:rPr>
            </w:r>
            <w:r>
              <w:rPr>
                <w:noProof/>
                <w:webHidden/>
              </w:rPr>
              <w:fldChar w:fldCharType="separate"/>
            </w:r>
            <w:r>
              <w:rPr>
                <w:noProof/>
                <w:webHidden/>
              </w:rPr>
              <w:t>780</w:t>
            </w:r>
            <w:r>
              <w:rPr>
                <w:noProof/>
                <w:webHidden/>
              </w:rPr>
              <w:fldChar w:fldCharType="end"/>
            </w:r>
          </w:hyperlink>
        </w:p>
        <w:p w14:paraId="00106951" w14:textId="426B692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19" w:history="1">
            <w:r w:rsidRPr="00F45DCA">
              <w:rPr>
                <w:rStyle w:val="Lienhypertexte"/>
                <w:noProof/>
              </w:rPr>
              <w:t>23.21.3b Portiques en acier inoxydable laminés à chaud CCTB 01.04</w:t>
            </w:r>
            <w:r>
              <w:rPr>
                <w:noProof/>
                <w:webHidden/>
              </w:rPr>
              <w:tab/>
            </w:r>
            <w:r>
              <w:rPr>
                <w:noProof/>
                <w:webHidden/>
              </w:rPr>
              <w:fldChar w:fldCharType="begin"/>
            </w:r>
            <w:r>
              <w:rPr>
                <w:noProof/>
                <w:webHidden/>
              </w:rPr>
              <w:instrText xml:space="preserve"> PAGEREF _Toc220496319 \h </w:instrText>
            </w:r>
            <w:r>
              <w:rPr>
                <w:noProof/>
                <w:webHidden/>
              </w:rPr>
            </w:r>
            <w:r>
              <w:rPr>
                <w:noProof/>
                <w:webHidden/>
              </w:rPr>
              <w:fldChar w:fldCharType="separate"/>
            </w:r>
            <w:r>
              <w:rPr>
                <w:noProof/>
                <w:webHidden/>
              </w:rPr>
              <w:t>780</w:t>
            </w:r>
            <w:r>
              <w:rPr>
                <w:noProof/>
                <w:webHidden/>
              </w:rPr>
              <w:fldChar w:fldCharType="end"/>
            </w:r>
          </w:hyperlink>
        </w:p>
        <w:p w14:paraId="10A4EA99" w14:textId="1D89921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20" w:history="1">
            <w:r w:rsidRPr="00F45DCA">
              <w:rPr>
                <w:rStyle w:val="Lienhypertexte"/>
                <w:noProof/>
              </w:rPr>
              <w:t>23.21.3c Arcs en acier inoxydable laminés à chaud CCTB 01.04</w:t>
            </w:r>
            <w:r>
              <w:rPr>
                <w:noProof/>
                <w:webHidden/>
              </w:rPr>
              <w:tab/>
            </w:r>
            <w:r>
              <w:rPr>
                <w:noProof/>
                <w:webHidden/>
              </w:rPr>
              <w:fldChar w:fldCharType="begin"/>
            </w:r>
            <w:r>
              <w:rPr>
                <w:noProof/>
                <w:webHidden/>
              </w:rPr>
              <w:instrText xml:space="preserve"> PAGEREF _Toc220496320 \h </w:instrText>
            </w:r>
            <w:r>
              <w:rPr>
                <w:noProof/>
                <w:webHidden/>
              </w:rPr>
            </w:r>
            <w:r>
              <w:rPr>
                <w:noProof/>
                <w:webHidden/>
              </w:rPr>
              <w:fldChar w:fldCharType="separate"/>
            </w:r>
            <w:r>
              <w:rPr>
                <w:noProof/>
                <w:webHidden/>
              </w:rPr>
              <w:t>780</w:t>
            </w:r>
            <w:r>
              <w:rPr>
                <w:noProof/>
                <w:webHidden/>
              </w:rPr>
              <w:fldChar w:fldCharType="end"/>
            </w:r>
          </w:hyperlink>
        </w:p>
        <w:p w14:paraId="21C89C78" w14:textId="74AEEFD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21" w:history="1">
            <w:r w:rsidRPr="00F45DCA">
              <w:rPr>
                <w:rStyle w:val="Lienhypertexte"/>
                <w:noProof/>
              </w:rPr>
              <w:t>23.21.3d Potences en acier inoxydable laminées à chaud CCTB 01.04</w:t>
            </w:r>
            <w:r>
              <w:rPr>
                <w:noProof/>
                <w:webHidden/>
              </w:rPr>
              <w:tab/>
            </w:r>
            <w:r>
              <w:rPr>
                <w:noProof/>
                <w:webHidden/>
              </w:rPr>
              <w:fldChar w:fldCharType="begin"/>
            </w:r>
            <w:r>
              <w:rPr>
                <w:noProof/>
                <w:webHidden/>
              </w:rPr>
              <w:instrText xml:space="preserve"> PAGEREF _Toc220496321 \h </w:instrText>
            </w:r>
            <w:r>
              <w:rPr>
                <w:noProof/>
                <w:webHidden/>
              </w:rPr>
            </w:r>
            <w:r>
              <w:rPr>
                <w:noProof/>
                <w:webHidden/>
              </w:rPr>
              <w:fldChar w:fldCharType="separate"/>
            </w:r>
            <w:r>
              <w:rPr>
                <w:noProof/>
                <w:webHidden/>
              </w:rPr>
              <w:t>780</w:t>
            </w:r>
            <w:r>
              <w:rPr>
                <w:noProof/>
                <w:webHidden/>
              </w:rPr>
              <w:fldChar w:fldCharType="end"/>
            </w:r>
          </w:hyperlink>
        </w:p>
        <w:p w14:paraId="28276129" w14:textId="4194F63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22" w:history="1">
            <w:r w:rsidRPr="00F45DCA">
              <w:rPr>
                <w:rStyle w:val="Lienhypertexte"/>
                <w:noProof/>
              </w:rPr>
              <w:t>23.21.4 Structures en acier inoxydable formées à froid CCTB 01.04</w:t>
            </w:r>
            <w:r>
              <w:rPr>
                <w:noProof/>
                <w:webHidden/>
              </w:rPr>
              <w:tab/>
            </w:r>
            <w:r>
              <w:rPr>
                <w:noProof/>
                <w:webHidden/>
              </w:rPr>
              <w:fldChar w:fldCharType="begin"/>
            </w:r>
            <w:r>
              <w:rPr>
                <w:noProof/>
                <w:webHidden/>
              </w:rPr>
              <w:instrText xml:space="preserve"> PAGEREF _Toc220496322 \h </w:instrText>
            </w:r>
            <w:r>
              <w:rPr>
                <w:noProof/>
                <w:webHidden/>
              </w:rPr>
            </w:r>
            <w:r>
              <w:rPr>
                <w:noProof/>
                <w:webHidden/>
              </w:rPr>
              <w:fldChar w:fldCharType="separate"/>
            </w:r>
            <w:r>
              <w:rPr>
                <w:noProof/>
                <w:webHidden/>
              </w:rPr>
              <w:t>780</w:t>
            </w:r>
            <w:r>
              <w:rPr>
                <w:noProof/>
                <w:webHidden/>
              </w:rPr>
              <w:fldChar w:fldCharType="end"/>
            </w:r>
          </w:hyperlink>
        </w:p>
        <w:p w14:paraId="09C720B0" w14:textId="0A16C69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23" w:history="1">
            <w:r w:rsidRPr="00F45DCA">
              <w:rPr>
                <w:rStyle w:val="Lienhypertexte"/>
                <w:noProof/>
              </w:rPr>
              <w:t>23.21.4a Charpentes en acier inoxydable formées à froid CCTB 01.04</w:t>
            </w:r>
            <w:r>
              <w:rPr>
                <w:noProof/>
                <w:webHidden/>
              </w:rPr>
              <w:tab/>
            </w:r>
            <w:r>
              <w:rPr>
                <w:noProof/>
                <w:webHidden/>
              </w:rPr>
              <w:fldChar w:fldCharType="begin"/>
            </w:r>
            <w:r>
              <w:rPr>
                <w:noProof/>
                <w:webHidden/>
              </w:rPr>
              <w:instrText xml:space="preserve"> PAGEREF _Toc220496323 \h </w:instrText>
            </w:r>
            <w:r>
              <w:rPr>
                <w:noProof/>
                <w:webHidden/>
              </w:rPr>
            </w:r>
            <w:r>
              <w:rPr>
                <w:noProof/>
                <w:webHidden/>
              </w:rPr>
              <w:fldChar w:fldCharType="separate"/>
            </w:r>
            <w:r>
              <w:rPr>
                <w:noProof/>
                <w:webHidden/>
              </w:rPr>
              <w:t>780</w:t>
            </w:r>
            <w:r>
              <w:rPr>
                <w:noProof/>
                <w:webHidden/>
              </w:rPr>
              <w:fldChar w:fldCharType="end"/>
            </w:r>
          </w:hyperlink>
        </w:p>
        <w:p w14:paraId="373DBBA8" w14:textId="3AE416D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24" w:history="1">
            <w:r w:rsidRPr="00F45DCA">
              <w:rPr>
                <w:rStyle w:val="Lienhypertexte"/>
                <w:noProof/>
              </w:rPr>
              <w:t>23.21.4b Portiques en acier inoxydable formés à froid CCTB 01.04</w:t>
            </w:r>
            <w:r>
              <w:rPr>
                <w:noProof/>
                <w:webHidden/>
              </w:rPr>
              <w:tab/>
            </w:r>
            <w:r>
              <w:rPr>
                <w:noProof/>
                <w:webHidden/>
              </w:rPr>
              <w:fldChar w:fldCharType="begin"/>
            </w:r>
            <w:r>
              <w:rPr>
                <w:noProof/>
                <w:webHidden/>
              </w:rPr>
              <w:instrText xml:space="preserve"> PAGEREF _Toc220496324 \h </w:instrText>
            </w:r>
            <w:r>
              <w:rPr>
                <w:noProof/>
                <w:webHidden/>
              </w:rPr>
            </w:r>
            <w:r>
              <w:rPr>
                <w:noProof/>
                <w:webHidden/>
              </w:rPr>
              <w:fldChar w:fldCharType="separate"/>
            </w:r>
            <w:r>
              <w:rPr>
                <w:noProof/>
                <w:webHidden/>
              </w:rPr>
              <w:t>780</w:t>
            </w:r>
            <w:r>
              <w:rPr>
                <w:noProof/>
                <w:webHidden/>
              </w:rPr>
              <w:fldChar w:fldCharType="end"/>
            </w:r>
          </w:hyperlink>
        </w:p>
        <w:p w14:paraId="5654ECF4" w14:textId="4FA765D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25" w:history="1">
            <w:r w:rsidRPr="00F45DCA">
              <w:rPr>
                <w:rStyle w:val="Lienhypertexte"/>
                <w:noProof/>
              </w:rPr>
              <w:t>23.21.4c Arcs en acier inoxydable formés à froid CCTB 01.04</w:t>
            </w:r>
            <w:r>
              <w:rPr>
                <w:noProof/>
                <w:webHidden/>
              </w:rPr>
              <w:tab/>
            </w:r>
            <w:r>
              <w:rPr>
                <w:noProof/>
                <w:webHidden/>
              </w:rPr>
              <w:fldChar w:fldCharType="begin"/>
            </w:r>
            <w:r>
              <w:rPr>
                <w:noProof/>
                <w:webHidden/>
              </w:rPr>
              <w:instrText xml:space="preserve"> PAGEREF _Toc220496325 \h </w:instrText>
            </w:r>
            <w:r>
              <w:rPr>
                <w:noProof/>
                <w:webHidden/>
              </w:rPr>
            </w:r>
            <w:r>
              <w:rPr>
                <w:noProof/>
                <w:webHidden/>
              </w:rPr>
              <w:fldChar w:fldCharType="separate"/>
            </w:r>
            <w:r>
              <w:rPr>
                <w:noProof/>
                <w:webHidden/>
              </w:rPr>
              <w:t>780</w:t>
            </w:r>
            <w:r>
              <w:rPr>
                <w:noProof/>
                <w:webHidden/>
              </w:rPr>
              <w:fldChar w:fldCharType="end"/>
            </w:r>
          </w:hyperlink>
        </w:p>
        <w:p w14:paraId="13132D14" w14:textId="45B9E32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26" w:history="1">
            <w:r w:rsidRPr="00F45DCA">
              <w:rPr>
                <w:rStyle w:val="Lienhypertexte"/>
                <w:noProof/>
              </w:rPr>
              <w:t>23.21.4d Potences en acier inoxydable formées à froid CCTB 01.04</w:t>
            </w:r>
            <w:r>
              <w:rPr>
                <w:noProof/>
                <w:webHidden/>
              </w:rPr>
              <w:tab/>
            </w:r>
            <w:r>
              <w:rPr>
                <w:noProof/>
                <w:webHidden/>
              </w:rPr>
              <w:fldChar w:fldCharType="begin"/>
            </w:r>
            <w:r>
              <w:rPr>
                <w:noProof/>
                <w:webHidden/>
              </w:rPr>
              <w:instrText xml:space="preserve"> PAGEREF _Toc220496326 \h </w:instrText>
            </w:r>
            <w:r>
              <w:rPr>
                <w:noProof/>
                <w:webHidden/>
              </w:rPr>
            </w:r>
            <w:r>
              <w:rPr>
                <w:noProof/>
                <w:webHidden/>
              </w:rPr>
              <w:fldChar w:fldCharType="separate"/>
            </w:r>
            <w:r>
              <w:rPr>
                <w:noProof/>
                <w:webHidden/>
              </w:rPr>
              <w:t>780</w:t>
            </w:r>
            <w:r>
              <w:rPr>
                <w:noProof/>
                <w:webHidden/>
              </w:rPr>
              <w:fldChar w:fldCharType="end"/>
            </w:r>
          </w:hyperlink>
        </w:p>
        <w:p w14:paraId="61B502F9" w14:textId="05E0F5B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27" w:history="1">
            <w:r w:rsidRPr="00F45DCA">
              <w:rPr>
                <w:rStyle w:val="Lienhypertexte"/>
                <w:noProof/>
              </w:rPr>
              <w:t>23.21.5 Structures en aluminium CCTB 01.04</w:t>
            </w:r>
            <w:r>
              <w:rPr>
                <w:noProof/>
                <w:webHidden/>
              </w:rPr>
              <w:tab/>
            </w:r>
            <w:r>
              <w:rPr>
                <w:noProof/>
                <w:webHidden/>
              </w:rPr>
              <w:fldChar w:fldCharType="begin"/>
            </w:r>
            <w:r>
              <w:rPr>
                <w:noProof/>
                <w:webHidden/>
              </w:rPr>
              <w:instrText xml:space="preserve"> PAGEREF _Toc220496327 \h </w:instrText>
            </w:r>
            <w:r>
              <w:rPr>
                <w:noProof/>
                <w:webHidden/>
              </w:rPr>
            </w:r>
            <w:r>
              <w:rPr>
                <w:noProof/>
                <w:webHidden/>
              </w:rPr>
              <w:fldChar w:fldCharType="separate"/>
            </w:r>
            <w:r>
              <w:rPr>
                <w:noProof/>
                <w:webHidden/>
              </w:rPr>
              <w:t>781</w:t>
            </w:r>
            <w:r>
              <w:rPr>
                <w:noProof/>
                <w:webHidden/>
              </w:rPr>
              <w:fldChar w:fldCharType="end"/>
            </w:r>
          </w:hyperlink>
        </w:p>
        <w:p w14:paraId="783FF8D3" w14:textId="7BD4A56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28" w:history="1">
            <w:r w:rsidRPr="00F45DCA">
              <w:rPr>
                <w:rStyle w:val="Lienhypertexte"/>
                <w:noProof/>
              </w:rPr>
              <w:t>23.21.5a Charpentes en aluminium CCTB 01.04</w:t>
            </w:r>
            <w:r>
              <w:rPr>
                <w:noProof/>
                <w:webHidden/>
              </w:rPr>
              <w:tab/>
            </w:r>
            <w:r>
              <w:rPr>
                <w:noProof/>
                <w:webHidden/>
              </w:rPr>
              <w:fldChar w:fldCharType="begin"/>
            </w:r>
            <w:r>
              <w:rPr>
                <w:noProof/>
                <w:webHidden/>
              </w:rPr>
              <w:instrText xml:space="preserve"> PAGEREF _Toc220496328 \h </w:instrText>
            </w:r>
            <w:r>
              <w:rPr>
                <w:noProof/>
                <w:webHidden/>
              </w:rPr>
            </w:r>
            <w:r>
              <w:rPr>
                <w:noProof/>
                <w:webHidden/>
              </w:rPr>
              <w:fldChar w:fldCharType="separate"/>
            </w:r>
            <w:r>
              <w:rPr>
                <w:noProof/>
                <w:webHidden/>
              </w:rPr>
              <w:t>781</w:t>
            </w:r>
            <w:r>
              <w:rPr>
                <w:noProof/>
                <w:webHidden/>
              </w:rPr>
              <w:fldChar w:fldCharType="end"/>
            </w:r>
          </w:hyperlink>
        </w:p>
        <w:p w14:paraId="4939A5D8" w14:textId="6D385AA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29" w:history="1">
            <w:r w:rsidRPr="00F45DCA">
              <w:rPr>
                <w:rStyle w:val="Lienhypertexte"/>
                <w:noProof/>
              </w:rPr>
              <w:t>23.21.5b Portiques en aluminium CCTB 01.04</w:t>
            </w:r>
            <w:r>
              <w:rPr>
                <w:noProof/>
                <w:webHidden/>
              </w:rPr>
              <w:tab/>
            </w:r>
            <w:r>
              <w:rPr>
                <w:noProof/>
                <w:webHidden/>
              </w:rPr>
              <w:fldChar w:fldCharType="begin"/>
            </w:r>
            <w:r>
              <w:rPr>
                <w:noProof/>
                <w:webHidden/>
              </w:rPr>
              <w:instrText xml:space="preserve"> PAGEREF _Toc220496329 \h </w:instrText>
            </w:r>
            <w:r>
              <w:rPr>
                <w:noProof/>
                <w:webHidden/>
              </w:rPr>
            </w:r>
            <w:r>
              <w:rPr>
                <w:noProof/>
                <w:webHidden/>
              </w:rPr>
              <w:fldChar w:fldCharType="separate"/>
            </w:r>
            <w:r>
              <w:rPr>
                <w:noProof/>
                <w:webHidden/>
              </w:rPr>
              <w:t>781</w:t>
            </w:r>
            <w:r>
              <w:rPr>
                <w:noProof/>
                <w:webHidden/>
              </w:rPr>
              <w:fldChar w:fldCharType="end"/>
            </w:r>
          </w:hyperlink>
        </w:p>
        <w:p w14:paraId="439C3E96" w14:textId="02FC729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30" w:history="1">
            <w:r w:rsidRPr="00F45DCA">
              <w:rPr>
                <w:rStyle w:val="Lienhypertexte"/>
                <w:noProof/>
              </w:rPr>
              <w:t>23.21.5c Arcs en aluminium CCTB 01.04</w:t>
            </w:r>
            <w:r>
              <w:rPr>
                <w:noProof/>
                <w:webHidden/>
              </w:rPr>
              <w:tab/>
            </w:r>
            <w:r>
              <w:rPr>
                <w:noProof/>
                <w:webHidden/>
              </w:rPr>
              <w:fldChar w:fldCharType="begin"/>
            </w:r>
            <w:r>
              <w:rPr>
                <w:noProof/>
                <w:webHidden/>
              </w:rPr>
              <w:instrText xml:space="preserve"> PAGEREF _Toc220496330 \h </w:instrText>
            </w:r>
            <w:r>
              <w:rPr>
                <w:noProof/>
                <w:webHidden/>
              </w:rPr>
            </w:r>
            <w:r>
              <w:rPr>
                <w:noProof/>
                <w:webHidden/>
              </w:rPr>
              <w:fldChar w:fldCharType="separate"/>
            </w:r>
            <w:r>
              <w:rPr>
                <w:noProof/>
                <w:webHidden/>
              </w:rPr>
              <w:t>781</w:t>
            </w:r>
            <w:r>
              <w:rPr>
                <w:noProof/>
                <w:webHidden/>
              </w:rPr>
              <w:fldChar w:fldCharType="end"/>
            </w:r>
          </w:hyperlink>
        </w:p>
        <w:p w14:paraId="5C19E8A4" w14:textId="7D6D218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31" w:history="1">
            <w:r w:rsidRPr="00F45DCA">
              <w:rPr>
                <w:rStyle w:val="Lienhypertexte"/>
                <w:noProof/>
              </w:rPr>
              <w:t>23.21.5d Potences en aluminium CCTB 01.04</w:t>
            </w:r>
            <w:r>
              <w:rPr>
                <w:noProof/>
                <w:webHidden/>
              </w:rPr>
              <w:tab/>
            </w:r>
            <w:r>
              <w:rPr>
                <w:noProof/>
                <w:webHidden/>
              </w:rPr>
              <w:fldChar w:fldCharType="begin"/>
            </w:r>
            <w:r>
              <w:rPr>
                <w:noProof/>
                <w:webHidden/>
              </w:rPr>
              <w:instrText xml:space="preserve"> PAGEREF _Toc220496331 \h </w:instrText>
            </w:r>
            <w:r>
              <w:rPr>
                <w:noProof/>
                <w:webHidden/>
              </w:rPr>
            </w:r>
            <w:r>
              <w:rPr>
                <w:noProof/>
                <w:webHidden/>
              </w:rPr>
              <w:fldChar w:fldCharType="separate"/>
            </w:r>
            <w:r>
              <w:rPr>
                <w:noProof/>
                <w:webHidden/>
              </w:rPr>
              <w:t>781</w:t>
            </w:r>
            <w:r>
              <w:rPr>
                <w:noProof/>
                <w:webHidden/>
              </w:rPr>
              <w:fldChar w:fldCharType="end"/>
            </w:r>
          </w:hyperlink>
        </w:p>
        <w:p w14:paraId="68FEC7D9" w14:textId="200AE17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332" w:history="1">
            <w:r w:rsidRPr="00F45DCA">
              <w:rPr>
                <w:rStyle w:val="Lienhypertexte"/>
                <w:noProof/>
              </w:rPr>
              <w:t>23.22 Planchers métalliques CCTB 01.04</w:t>
            </w:r>
            <w:r>
              <w:rPr>
                <w:noProof/>
                <w:webHidden/>
              </w:rPr>
              <w:tab/>
            </w:r>
            <w:r>
              <w:rPr>
                <w:noProof/>
                <w:webHidden/>
              </w:rPr>
              <w:fldChar w:fldCharType="begin"/>
            </w:r>
            <w:r>
              <w:rPr>
                <w:noProof/>
                <w:webHidden/>
              </w:rPr>
              <w:instrText xml:space="preserve"> PAGEREF _Toc220496332 \h </w:instrText>
            </w:r>
            <w:r>
              <w:rPr>
                <w:noProof/>
                <w:webHidden/>
              </w:rPr>
            </w:r>
            <w:r>
              <w:rPr>
                <w:noProof/>
                <w:webHidden/>
              </w:rPr>
              <w:fldChar w:fldCharType="separate"/>
            </w:r>
            <w:r>
              <w:rPr>
                <w:noProof/>
                <w:webHidden/>
              </w:rPr>
              <w:t>781</w:t>
            </w:r>
            <w:r>
              <w:rPr>
                <w:noProof/>
                <w:webHidden/>
              </w:rPr>
              <w:fldChar w:fldCharType="end"/>
            </w:r>
          </w:hyperlink>
        </w:p>
        <w:p w14:paraId="1145BBBB" w14:textId="6C8F991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33" w:history="1">
            <w:r w:rsidRPr="00F45DCA">
              <w:rPr>
                <w:rStyle w:val="Lienhypertexte"/>
                <w:noProof/>
              </w:rPr>
              <w:t>23.22.1 Planchers non collaborants métalliques CCTB 01.04</w:t>
            </w:r>
            <w:r>
              <w:rPr>
                <w:noProof/>
                <w:webHidden/>
              </w:rPr>
              <w:tab/>
            </w:r>
            <w:r>
              <w:rPr>
                <w:noProof/>
                <w:webHidden/>
              </w:rPr>
              <w:fldChar w:fldCharType="begin"/>
            </w:r>
            <w:r>
              <w:rPr>
                <w:noProof/>
                <w:webHidden/>
              </w:rPr>
              <w:instrText xml:space="preserve"> PAGEREF _Toc220496333 \h </w:instrText>
            </w:r>
            <w:r>
              <w:rPr>
                <w:noProof/>
                <w:webHidden/>
              </w:rPr>
            </w:r>
            <w:r>
              <w:rPr>
                <w:noProof/>
                <w:webHidden/>
              </w:rPr>
              <w:fldChar w:fldCharType="separate"/>
            </w:r>
            <w:r>
              <w:rPr>
                <w:noProof/>
                <w:webHidden/>
              </w:rPr>
              <w:t>781</w:t>
            </w:r>
            <w:r>
              <w:rPr>
                <w:noProof/>
                <w:webHidden/>
              </w:rPr>
              <w:fldChar w:fldCharType="end"/>
            </w:r>
          </w:hyperlink>
        </w:p>
        <w:p w14:paraId="3B3FBDFD" w14:textId="389364B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34" w:history="1">
            <w:r w:rsidRPr="00F45DCA">
              <w:rPr>
                <w:rStyle w:val="Lienhypertexte"/>
                <w:noProof/>
              </w:rPr>
              <w:t>23.22.1a Planchers non collaborants en acier CCTB 01.04</w:t>
            </w:r>
            <w:r>
              <w:rPr>
                <w:noProof/>
                <w:webHidden/>
              </w:rPr>
              <w:tab/>
            </w:r>
            <w:r>
              <w:rPr>
                <w:noProof/>
                <w:webHidden/>
              </w:rPr>
              <w:fldChar w:fldCharType="begin"/>
            </w:r>
            <w:r>
              <w:rPr>
                <w:noProof/>
                <w:webHidden/>
              </w:rPr>
              <w:instrText xml:space="preserve"> PAGEREF _Toc220496334 \h </w:instrText>
            </w:r>
            <w:r>
              <w:rPr>
                <w:noProof/>
                <w:webHidden/>
              </w:rPr>
            </w:r>
            <w:r>
              <w:rPr>
                <w:noProof/>
                <w:webHidden/>
              </w:rPr>
              <w:fldChar w:fldCharType="separate"/>
            </w:r>
            <w:r>
              <w:rPr>
                <w:noProof/>
                <w:webHidden/>
              </w:rPr>
              <w:t>781</w:t>
            </w:r>
            <w:r>
              <w:rPr>
                <w:noProof/>
                <w:webHidden/>
              </w:rPr>
              <w:fldChar w:fldCharType="end"/>
            </w:r>
          </w:hyperlink>
        </w:p>
        <w:p w14:paraId="17687093" w14:textId="54B0459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35" w:history="1">
            <w:r w:rsidRPr="00F45DCA">
              <w:rPr>
                <w:rStyle w:val="Lienhypertexte"/>
                <w:noProof/>
              </w:rPr>
              <w:t>23.22.1b Planchers non collaborants en acier inoxydable CCTB 01.04</w:t>
            </w:r>
            <w:r>
              <w:rPr>
                <w:noProof/>
                <w:webHidden/>
              </w:rPr>
              <w:tab/>
            </w:r>
            <w:r>
              <w:rPr>
                <w:noProof/>
                <w:webHidden/>
              </w:rPr>
              <w:fldChar w:fldCharType="begin"/>
            </w:r>
            <w:r>
              <w:rPr>
                <w:noProof/>
                <w:webHidden/>
              </w:rPr>
              <w:instrText xml:space="preserve"> PAGEREF _Toc220496335 \h </w:instrText>
            </w:r>
            <w:r>
              <w:rPr>
                <w:noProof/>
                <w:webHidden/>
              </w:rPr>
            </w:r>
            <w:r>
              <w:rPr>
                <w:noProof/>
                <w:webHidden/>
              </w:rPr>
              <w:fldChar w:fldCharType="separate"/>
            </w:r>
            <w:r>
              <w:rPr>
                <w:noProof/>
                <w:webHidden/>
              </w:rPr>
              <w:t>781</w:t>
            </w:r>
            <w:r>
              <w:rPr>
                <w:noProof/>
                <w:webHidden/>
              </w:rPr>
              <w:fldChar w:fldCharType="end"/>
            </w:r>
          </w:hyperlink>
        </w:p>
        <w:p w14:paraId="1CB36CD4" w14:textId="786CE20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36" w:history="1">
            <w:r w:rsidRPr="00F45DCA">
              <w:rPr>
                <w:rStyle w:val="Lienhypertexte"/>
                <w:noProof/>
              </w:rPr>
              <w:t>23.22.2 Planchers collaborants métalliques CCTB 01.04</w:t>
            </w:r>
            <w:r>
              <w:rPr>
                <w:noProof/>
                <w:webHidden/>
              </w:rPr>
              <w:tab/>
            </w:r>
            <w:r>
              <w:rPr>
                <w:noProof/>
                <w:webHidden/>
              </w:rPr>
              <w:fldChar w:fldCharType="begin"/>
            </w:r>
            <w:r>
              <w:rPr>
                <w:noProof/>
                <w:webHidden/>
              </w:rPr>
              <w:instrText xml:space="preserve"> PAGEREF _Toc220496336 \h </w:instrText>
            </w:r>
            <w:r>
              <w:rPr>
                <w:noProof/>
                <w:webHidden/>
              </w:rPr>
            </w:r>
            <w:r>
              <w:rPr>
                <w:noProof/>
                <w:webHidden/>
              </w:rPr>
              <w:fldChar w:fldCharType="separate"/>
            </w:r>
            <w:r>
              <w:rPr>
                <w:noProof/>
                <w:webHidden/>
              </w:rPr>
              <w:t>781</w:t>
            </w:r>
            <w:r>
              <w:rPr>
                <w:noProof/>
                <w:webHidden/>
              </w:rPr>
              <w:fldChar w:fldCharType="end"/>
            </w:r>
          </w:hyperlink>
        </w:p>
        <w:p w14:paraId="2A62C80D" w14:textId="076DE8F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37" w:history="1">
            <w:r w:rsidRPr="00F45DCA">
              <w:rPr>
                <w:rStyle w:val="Lienhypertexte"/>
                <w:noProof/>
              </w:rPr>
              <w:t>23.22.2a Planchers collaborants en acier-béton CCTB 01.04</w:t>
            </w:r>
            <w:r>
              <w:rPr>
                <w:noProof/>
                <w:webHidden/>
              </w:rPr>
              <w:tab/>
            </w:r>
            <w:r>
              <w:rPr>
                <w:noProof/>
                <w:webHidden/>
              </w:rPr>
              <w:fldChar w:fldCharType="begin"/>
            </w:r>
            <w:r>
              <w:rPr>
                <w:noProof/>
                <w:webHidden/>
              </w:rPr>
              <w:instrText xml:space="preserve"> PAGEREF _Toc220496337 \h </w:instrText>
            </w:r>
            <w:r>
              <w:rPr>
                <w:noProof/>
                <w:webHidden/>
              </w:rPr>
            </w:r>
            <w:r>
              <w:rPr>
                <w:noProof/>
                <w:webHidden/>
              </w:rPr>
              <w:fldChar w:fldCharType="separate"/>
            </w:r>
            <w:r>
              <w:rPr>
                <w:noProof/>
                <w:webHidden/>
              </w:rPr>
              <w:t>781</w:t>
            </w:r>
            <w:r>
              <w:rPr>
                <w:noProof/>
                <w:webHidden/>
              </w:rPr>
              <w:fldChar w:fldCharType="end"/>
            </w:r>
          </w:hyperlink>
        </w:p>
        <w:p w14:paraId="2AA155B1" w14:textId="50BB612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38" w:history="1">
            <w:r w:rsidRPr="00F45DCA">
              <w:rPr>
                <w:rStyle w:val="Lienhypertexte"/>
                <w:noProof/>
              </w:rPr>
              <w:t>23.22.3 Planchers à poutrelles en acier et entrevous CCTB 01.04</w:t>
            </w:r>
            <w:r>
              <w:rPr>
                <w:noProof/>
                <w:webHidden/>
              </w:rPr>
              <w:tab/>
            </w:r>
            <w:r>
              <w:rPr>
                <w:noProof/>
                <w:webHidden/>
              </w:rPr>
              <w:fldChar w:fldCharType="begin"/>
            </w:r>
            <w:r>
              <w:rPr>
                <w:noProof/>
                <w:webHidden/>
              </w:rPr>
              <w:instrText xml:space="preserve"> PAGEREF _Toc220496338 \h </w:instrText>
            </w:r>
            <w:r>
              <w:rPr>
                <w:noProof/>
                <w:webHidden/>
              </w:rPr>
            </w:r>
            <w:r>
              <w:rPr>
                <w:noProof/>
                <w:webHidden/>
              </w:rPr>
              <w:fldChar w:fldCharType="separate"/>
            </w:r>
            <w:r>
              <w:rPr>
                <w:noProof/>
                <w:webHidden/>
              </w:rPr>
              <w:t>781</w:t>
            </w:r>
            <w:r>
              <w:rPr>
                <w:noProof/>
                <w:webHidden/>
              </w:rPr>
              <w:fldChar w:fldCharType="end"/>
            </w:r>
          </w:hyperlink>
        </w:p>
        <w:p w14:paraId="0A613F45" w14:textId="63A36F3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39" w:history="1">
            <w:r w:rsidRPr="00F45DCA">
              <w:rPr>
                <w:rStyle w:val="Lienhypertexte"/>
                <w:noProof/>
              </w:rPr>
              <w:t>23.22.3a Planchers à poutrelles en acier et entrevous en béton CCTB 01.04</w:t>
            </w:r>
            <w:r>
              <w:rPr>
                <w:noProof/>
                <w:webHidden/>
              </w:rPr>
              <w:tab/>
            </w:r>
            <w:r>
              <w:rPr>
                <w:noProof/>
                <w:webHidden/>
              </w:rPr>
              <w:fldChar w:fldCharType="begin"/>
            </w:r>
            <w:r>
              <w:rPr>
                <w:noProof/>
                <w:webHidden/>
              </w:rPr>
              <w:instrText xml:space="preserve"> PAGEREF _Toc220496339 \h </w:instrText>
            </w:r>
            <w:r>
              <w:rPr>
                <w:noProof/>
                <w:webHidden/>
              </w:rPr>
            </w:r>
            <w:r>
              <w:rPr>
                <w:noProof/>
                <w:webHidden/>
              </w:rPr>
              <w:fldChar w:fldCharType="separate"/>
            </w:r>
            <w:r>
              <w:rPr>
                <w:noProof/>
                <w:webHidden/>
              </w:rPr>
              <w:t>781</w:t>
            </w:r>
            <w:r>
              <w:rPr>
                <w:noProof/>
                <w:webHidden/>
              </w:rPr>
              <w:fldChar w:fldCharType="end"/>
            </w:r>
          </w:hyperlink>
        </w:p>
        <w:p w14:paraId="4FC4F6FC" w14:textId="3DA3694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40" w:history="1">
            <w:r w:rsidRPr="00F45DCA">
              <w:rPr>
                <w:rStyle w:val="Lienhypertexte"/>
                <w:noProof/>
              </w:rPr>
              <w:t>23.22.3b Planchers à poutrelles en acier et entrevous en terre cuite CCTB 01.04</w:t>
            </w:r>
            <w:r>
              <w:rPr>
                <w:noProof/>
                <w:webHidden/>
              </w:rPr>
              <w:tab/>
            </w:r>
            <w:r>
              <w:rPr>
                <w:noProof/>
                <w:webHidden/>
              </w:rPr>
              <w:fldChar w:fldCharType="begin"/>
            </w:r>
            <w:r>
              <w:rPr>
                <w:noProof/>
                <w:webHidden/>
              </w:rPr>
              <w:instrText xml:space="preserve"> PAGEREF _Toc220496340 \h </w:instrText>
            </w:r>
            <w:r>
              <w:rPr>
                <w:noProof/>
                <w:webHidden/>
              </w:rPr>
            </w:r>
            <w:r>
              <w:rPr>
                <w:noProof/>
                <w:webHidden/>
              </w:rPr>
              <w:fldChar w:fldCharType="separate"/>
            </w:r>
            <w:r>
              <w:rPr>
                <w:noProof/>
                <w:webHidden/>
              </w:rPr>
              <w:t>781</w:t>
            </w:r>
            <w:r>
              <w:rPr>
                <w:noProof/>
                <w:webHidden/>
              </w:rPr>
              <w:fldChar w:fldCharType="end"/>
            </w:r>
          </w:hyperlink>
        </w:p>
        <w:p w14:paraId="5243EEDF" w14:textId="5083CD3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41" w:history="1">
            <w:r w:rsidRPr="00F45DCA">
              <w:rPr>
                <w:rStyle w:val="Lienhypertexte"/>
                <w:noProof/>
              </w:rPr>
              <w:t>23.22.3c Planchers à poutrelles en acier et entrevous en polystyrène CCTB 01.12</w:t>
            </w:r>
            <w:r>
              <w:rPr>
                <w:noProof/>
                <w:webHidden/>
              </w:rPr>
              <w:tab/>
            </w:r>
            <w:r>
              <w:rPr>
                <w:noProof/>
                <w:webHidden/>
              </w:rPr>
              <w:fldChar w:fldCharType="begin"/>
            </w:r>
            <w:r>
              <w:rPr>
                <w:noProof/>
                <w:webHidden/>
              </w:rPr>
              <w:instrText xml:space="preserve"> PAGEREF _Toc220496341 \h </w:instrText>
            </w:r>
            <w:r>
              <w:rPr>
                <w:noProof/>
                <w:webHidden/>
              </w:rPr>
            </w:r>
            <w:r>
              <w:rPr>
                <w:noProof/>
                <w:webHidden/>
              </w:rPr>
              <w:fldChar w:fldCharType="separate"/>
            </w:r>
            <w:r>
              <w:rPr>
                <w:noProof/>
                <w:webHidden/>
              </w:rPr>
              <w:t>781</w:t>
            </w:r>
            <w:r>
              <w:rPr>
                <w:noProof/>
                <w:webHidden/>
              </w:rPr>
              <w:fldChar w:fldCharType="end"/>
            </w:r>
          </w:hyperlink>
        </w:p>
        <w:p w14:paraId="132FCC3D" w14:textId="152FD11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42" w:history="1">
            <w:r w:rsidRPr="00F45DCA">
              <w:rPr>
                <w:rStyle w:val="Lienhypertexte"/>
                <w:noProof/>
              </w:rPr>
              <w:t>23.22.3d Planchers à poutrelles en acier et entrevous en fibres de bois agglomérées de ciment CCTB 01.04</w:t>
            </w:r>
            <w:r>
              <w:rPr>
                <w:noProof/>
                <w:webHidden/>
              </w:rPr>
              <w:tab/>
            </w:r>
            <w:r>
              <w:rPr>
                <w:noProof/>
                <w:webHidden/>
              </w:rPr>
              <w:fldChar w:fldCharType="begin"/>
            </w:r>
            <w:r>
              <w:rPr>
                <w:noProof/>
                <w:webHidden/>
              </w:rPr>
              <w:instrText xml:space="preserve"> PAGEREF _Toc220496342 \h </w:instrText>
            </w:r>
            <w:r>
              <w:rPr>
                <w:noProof/>
                <w:webHidden/>
              </w:rPr>
            </w:r>
            <w:r>
              <w:rPr>
                <w:noProof/>
                <w:webHidden/>
              </w:rPr>
              <w:fldChar w:fldCharType="separate"/>
            </w:r>
            <w:r>
              <w:rPr>
                <w:noProof/>
                <w:webHidden/>
              </w:rPr>
              <w:t>785</w:t>
            </w:r>
            <w:r>
              <w:rPr>
                <w:noProof/>
                <w:webHidden/>
              </w:rPr>
              <w:fldChar w:fldCharType="end"/>
            </w:r>
          </w:hyperlink>
        </w:p>
        <w:p w14:paraId="2BBAF0DD" w14:textId="2823140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43" w:history="1">
            <w:r w:rsidRPr="00F45DCA">
              <w:rPr>
                <w:rStyle w:val="Lienhypertexte"/>
                <w:noProof/>
              </w:rPr>
              <w:t>23.22.3e Planchers à poutrelles en acier et entrevous en copeaux de bois CCTB 01.12</w:t>
            </w:r>
            <w:r>
              <w:rPr>
                <w:noProof/>
                <w:webHidden/>
              </w:rPr>
              <w:tab/>
            </w:r>
            <w:r>
              <w:rPr>
                <w:noProof/>
                <w:webHidden/>
              </w:rPr>
              <w:fldChar w:fldCharType="begin"/>
            </w:r>
            <w:r>
              <w:rPr>
                <w:noProof/>
                <w:webHidden/>
              </w:rPr>
              <w:instrText xml:space="preserve"> PAGEREF _Toc220496343 \h </w:instrText>
            </w:r>
            <w:r>
              <w:rPr>
                <w:noProof/>
                <w:webHidden/>
              </w:rPr>
            </w:r>
            <w:r>
              <w:rPr>
                <w:noProof/>
                <w:webHidden/>
              </w:rPr>
              <w:fldChar w:fldCharType="separate"/>
            </w:r>
            <w:r>
              <w:rPr>
                <w:noProof/>
                <w:webHidden/>
              </w:rPr>
              <w:t>785</w:t>
            </w:r>
            <w:r>
              <w:rPr>
                <w:noProof/>
                <w:webHidden/>
              </w:rPr>
              <w:fldChar w:fldCharType="end"/>
            </w:r>
          </w:hyperlink>
        </w:p>
        <w:p w14:paraId="3DB72AAC" w14:textId="43CE84B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44" w:history="1">
            <w:r w:rsidRPr="00F45DCA">
              <w:rPr>
                <w:rStyle w:val="Lienhypertexte"/>
                <w:noProof/>
              </w:rPr>
              <w:t>23.22.3f Planchers à poutrelles en acier et entrevous en maçonnerie CCTB 01.04</w:t>
            </w:r>
            <w:r>
              <w:rPr>
                <w:noProof/>
                <w:webHidden/>
              </w:rPr>
              <w:tab/>
            </w:r>
            <w:r>
              <w:rPr>
                <w:noProof/>
                <w:webHidden/>
              </w:rPr>
              <w:fldChar w:fldCharType="begin"/>
            </w:r>
            <w:r>
              <w:rPr>
                <w:noProof/>
                <w:webHidden/>
              </w:rPr>
              <w:instrText xml:space="preserve"> PAGEREF _Toc220496344 \h </w:instrText>
            </w:r>
            <w:r>
              <w:rPr>
                <w:noProof/>
                <w:webHidden/>
              </w:rPr>
            </w:r>
            <w:r>
              <w:rPr>
                <w:noProof/>
                <w:webHidden/>
              </w:rPr>
              <w:fldChar w:fldCharType="separate"/>
            </w:r>
            <w:r>
              <w:rPr>
                <w:noProof/>
                <w:webHidden/>
              </w:rPr>
              <w:t>789</w:t>
            </w:r>
            <w:r>
              <w:rPr>
                <w:noProof/>
                <w:webHidden/>
              </w:rPr>
              <w:fldChar w:fldCharType="end"/>
            </w:r>
          </w:hyperlink>
        </w:p>
        <w:p w14:paraId="36ECE0E7" w14:textId="4FEFF02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45" w:history="1">
            <w:r w:rsidRPr="00F45DCA">
              <w:rPr>
                <w:rStyle w:val="Lienhypertexte"/>
                <w:noProof/>
              </w:rPr>
              <w:t>23.22.3g Planchers à poutrelles en acier et entrevous en acier CCTB 01.04</w:t>
            </w:r>
            <w:r>
              <w:rPr>
                <w:noProof/>
                <w:webHidden/>
              </w:rPr>
              <w:tab/>
            </w:r>
            <w:r>
              <w:rPr>
                <w:noProof/>
                <w:webHidden/>
              </w:rPr>
              <w:fldChar w:fldCharType="begin"/>
            </w:r>
            <w:r>
              <w:rPr>
                <w:noProof/>
                <w:webHidden/>
              </w:rPr>
              <w:instrText xml:space="preserve"> PAGEREF _Toc220496345 \h </w:instrText>
            </w:r>
            <w:r>
              <w:rPr>
                <w:noProof/>
                <w:webHidden/>
              </w:rPr>
            </w:r>
            <w:r>
              <w:rPr>
                <w:noProof/>
                <w:webHidden/>
              </w:rPr>
              <w:fldChar w:fldCharType="separate"/>
            </w:r>
            <w:r>
              <w:rPr>
                <w:noProof/>
                <w:webHidden/>
              </w:rPr>
              <w:t>789</w:t>
            </w:r>
            <w:r>
              <w:rPr>
                <w:noProof/>
                <w:webHidden/>
              </w:rPr>
              <w:fldChar w:fldCharType="end"/>
            </w:r>
          </w:hyperlink>
        </w:p>
        <w:p w14:paraId="387CBE48" w14:textId="511C2DB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346" w:history="1">
            <w:r w:rsidRPr="00F45DCA">
              <w:rPr>
                <w:rStyle w:val="Lienhypertexte"/>
                <w:noProof/>
              </w:rPr>
              <w:t>23.23 Charpentes de toiture métalliques CCTB 01.04</w:t>
            </w:r>
            <w:r>
              <w:rPr>
                <w:noProof/>
                <w:webHidden/>
              </w:rPr>
              <w:tab/>
            </w:r>
            <w:r>
              <w:rPr>
                <w:noProof/>
                <w:webHidden/>
              </w:rPr>
              <w:fldChar w:fldCharType="begin"/>
            </w:r>
            <w:r>
              <w:rPr>
                <w:noProof/>
                <w:webHidden/>
              </w:rPr>
              <w:instrText xml:space="preserve"> PAGEREF _Toc220496346 \h </w:instrText>
            </w:r>
            <w:r>
              <w:rPr>
                <w:noProof/>
                <w:webHidden/>
              </w:rPr>
            </w:r>
            <w:r>
              <w:rPr>
                <w:noProof/>
                <w:webHidden/>
              </w:rPr>
              <w:fldChar w:fldCharType="separate"/>
            </w:r>
            <w:r>
              <w:rPr>
                <w:noProof/>
                <w:webHidden/>
              </w:rPr>
              <w:t>789</w:t>
            </w:r>
            <w:r>
              <w:rPr>
                <w:noProof/>
                <w:webHidden/>
              </w:rPr>
              <w:fldChar w:fldCharType="end"/>
            </w:r>
          </w:hyperlink>
        </w:p>
        <w:p w14:paraId="249CAB1F" w14:textId="6681607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47" w:history="1">
            <w:r w:rsidRPr="00F45DCA">
              <w:rPr>
                <w:rStyle w:val="Lienhypertexte"/>
                <w:noProof/>
              </w:rPr>
              <w:t>23.23.1 Charpentes de toiture en acier laminé à chaud CCTB 01.12</w:t>
            </w:r>
            <w:r>
              <w:rPr>
                <w:noProof/>
                <w:webHidden/>
              </w:rPr>
              <w:tab/>
            </w:r>
            <w:r>
              <w:rPr>
                <w:noProof/>
                <w:webHidden/>
              </w:rPr>
              <w:fldChar w:fldCharType="begin"/>
            </w:r>
            <w:r>
              <w:rPr>
                <w:noProof/>
                <w:webHidden/>
              </w:rPr>
              <w:instrText xml:space="preserve"> PAGEREF _Toc220496347 \h </w:instrText>
            </w:r>
            <w:r>
              <w:rPr>
                <w:noProof/>
                <w:webHidden/>
              </w:rPr>
            </w:r>
            <w:r>
              <w:rPr>
                <w:noProof/>
                <w:webHidden/>
              </w:rPr>
              <w:fldChar w:fldCharType="separate"/>
            </w:r>
            <w:r>
              <w:rPr>
                <w:noProof/>
                <w:webHidden/>
              </w:rPr>
              <w:t>789</w:t>
            </w:r>
            <w:r>
              <w:rPr>
                <w:noProof/>
                <w:webHidden/>
              </w:rPr>
              <w:fldChar w:fldCharType="end"/>
            </w:r>
          </w:hyperlink>
        </w:p>
        <w:p w14:paraId="295D8B5F" w14:textId="3C544F5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48" w:history="1">
            <w:r w:rsidRPr="00F45DCA">
              <w:rPr>
                <w:rStyle w:val="Lienhypertexte"/>
                <w:noProof/>
              </w:rPr>
              <w:t>23.23.1a Fermes de toiture en acier laminé à chaud CCTB 01.11</w:t>
            </w:r>
            <w:r>
              <w:rPr>
                <w:noProof/>
                <w:webHidden/>
              </w:rPr>
              <w:tab/>
            </w:r>
            <w:r>
              <w:rPr>
                <w:noProof/>
                <w:webHidden/>
              </w:rPr>
              <w:fldChar w:fldCharType="begin"/>
            </w:r>
            <w:r>
              <w:rPr>
                <w:noProof/>
                <w:webHidden/>
              </w:rPr>
              <w:instrText xml:space="preserve"> PAGEREF _Toc220496348 \h </w:instrText>
            </w:r>
            <w:r>
              <w:rPr>
                <w:noProof/>
                <w:webHidden/>
              </w:rPr>
            </w:r>
            <w:r>
              <w:rPr>
                <w:noProof/>
                <w:webHidden/>
              </w:rPr>
              <w:fldChar w:fldCharType="separate"/>
            </w:r>
            <w:r>
              <w:rPr>
                <w:noProof/>
                <w:webHidden/>
              </w:rPr>
              <w:t>795</w:t>
            </w:r>
            <w:r>
              <w:rPr>
                <w:noProof/>
                <w:webHidden/>
              </w:rPr>
              <w:fldChar w:fldCharType="end"/>
            </w:r>
          </w:hyperlink>
        </w:p>
        <w:p w14:paraId="04B87D74" w14:textId="31AEE6E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49" w:history="1">
            <w:r w:rsidRPr="00F45DCA">
              <w:rPr>
                <w:rStyle w:val="Lienhypertexte"/>
                <w:noProof/>
              </w:rPr>
              <w:t>23.23.1b Charpentes de toiture en acier laminé à chaud CCTB 01.11</w:t>
            </w:r>
            <w:r>
              <w:rPr>
                <w:noProof/>
                <w:webHidden/>
              </w:rPr>
              <w:tab/>
            </w:r>
            <w:r>
              <w:rPr>
                <w:noProof/>
                <w:webHidden/>
              </w:rPr>
              <w:fldChar w:fldCharType="begin"/>
            </w:r>
            <w:r>
              <w:rPr>
                <w:noProof/>
                <w:webHidden/>
              </w:rPr>
              <w:instrText xml:space="preserve"> PAGEREF _Toc220496349 \h </w:instrText>
            </w:r>
            <w:r>
              <w:rPr>
                <w:noProof/>
                <w:webHidden/>
              </w:rPr>
            </w:r>
            <w:r>
              <w:rPr>
                <w:noProof/>
                <w:webHidden/>
              </w:rPr>
              <w:fldChar w:fldCharType="separate"/>
            </w:r>
            <w:r>
              <w:rPr>
                <w:noProof/>
                <w:webHidden/>
              </w:rPr>
              <w:t>798</w:t>
            </w:r>
            <w:r>
              <w:rPr>
                <w:noProof/>
                <w:webHidden/>
              </w:rPr>
              <w:fldChar w:fldCharType="end"/>
            </w:r>
          </w:hyperlink>
        </w:p>
        <w:p w14:paraId="34B178A0" w14:textId="24299A9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50" w:history="1">
            <w:r w:rsidRPr="00F45DCA">
              <w:rPr>
                <w:rStyle w:val="Lienhypertexte"/>
                <w:noProof/>
              </w:rPr>
              <w:t>23.23.2 Charpentes de toiture en acier formées à froid CCTB 01.04</w:t>
            </w:r>
            <w:r>
              <w:rPr>
                <w:noProof/>
                <w:webHidden/>
              </w:rPr>
              <w:tab/>
            </w:r>
            <w:r>
              <w:rPr>
                <w:noProof/>
                <w:webHidden/>
              </w:rPr>
              <w:fldChar w:fldCharType="begin"/>
            </w:r>
            <w:r>
              <w:rPr>
                <w:noProof/>
                <w:webHidden/>
              </w:rPr>
              <w:instrText xml:space="preserve"> PAGEREF _Toc220496350 \h </w:instrText>
            </w:r>
            <w:r>
              <w:rPr>
                <w:noProof/>
                <w:webHidden/>
              </w:rPr>
            </w:r>
            <w:r>
              <w:rPr>
                <w:noProof/>
                <w:webHidden/>
              </w:rPr>
              <w:fldChar w:fldCharType="separate"/>
            </w:r>
            <w:r>
              <w:rPr>
                <w:noProof/>
                <w:webHidden/>
              </w:rPr>
              <w:t>801</w:t>
            </w:r>
            <w:r>
              <w:rPr>
                <w:noProof/>
                <w:webHidden/>
              </w:rPr>
              <w:fldChar w:fldCharType="end"/>
            </w:r>
          </w:hyperlink>
        </w:p>
        <w:p w14:paraId="176D4F6B" w14:textId="52F1F7F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51" w:history="1">
            <w:r w:rsidRPr="00F45DCA">
              <w:rPr>
                <w:rStyle w:val="Lienhypertexte"/>
                <w:noProof/>
              </w:rPr>
              <w:t>23.23.2a Fermes de toiture en acier formées à froid CCTB 01.04</w:t>
            </w:r>
            <w:r>
              <w:rPr>
                <w:noProof/>
                <w:webHidden/>
              </w:rPr>
              <w:tab/>
            </w:r>
            <w:r>
              <w:rPr>
                <w:noProof/>
                <w:webHidden/>
              </w:rPr>
              <w:fldChar w:fldCharType="begin"/>
            </w:r>
            <w:r>
              <w:rPr>
                <w:noProof/>
                <w:webHidden/>
              </w:rPr>
              <w:instrText xml:space="preserve"> PAGEREF _Toc220496351 \h </w:instrText>
            </w:r>
            <w:r>
              <w:rPr>
                <w:noProof/>
                <w:webHidden/>
              </w:rPr>
            </w:r>
            <w:r>
              <w:rPr>
                <w:noProof/>
                <w:webHidden/>
              </w:rPr>
              <w:fldChar w:fldCharType="separate"/>
            </w:r>
            <w:r>
              <w:rPr>
                <w:noProof/>
                <w:webHidden/>
              </w:rPr>
              <w:t>801</w:t>
            </w:r>
            <w:r>
              <w:rPr>
                <w:noProof/>
                <w:webHidden/>
              </w:rPr>
              <w:fldChar w:fldCharType="end"/>
            </w:r>
          </w:hyperlink>
        </w:p>
        <w:p w14:paraId="578C85AD" w14:textId="4EF6603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52" w:history="1">
            <w:r w:rsidRPr="00F45DCA">
              <w:rPr>
                <w:rStyle w:val="Lienhypertexte"/>
                <w:noProof/>
              </w:rPr>
              <w:t>23.23.2b Charpentes de toiture en acier formées à froid CCTB 01.04</w:t>
            </w:r>
            <w:r>
              <w:rPr>
                <w:noProof/>
                <w:webHidden/>
              </w:rPr>
              <w:tab/>
            </w:r>
            <w:r>
              <w:rPr>
                <w:noProof/>
                <w:webHidden/>
              </w:rPr>
              <w:fldChar w:fldCharType="begin"/>
            </w:r>
            <w:r>
              <w:rPr>
                <w:noProof/>
                <w:webHidden/>
              </w:rPr>
              <w:instrText xml:space="preserve"> PAGEREF _Toc220496352 \h </w:instrText>
            </w:r>
            <w:r>
              <w:rPr>
                <w:noProof/>
                <w:webHidden/>
              </w:rPr>
            </w:r>
            <w:r>
              <w:rPr>
                <w:noProof/>
                <w:webHidden/>
              </w:rPr>
              <w:fldChar w:fldCharType="separate"/>
            </w:r>
            <w:r>
              <w:rPr>
                <w:noProof/>
                <w:webHidden/>
              </w:rPr>
              <w:t>801</w:t>
            </w:r>
            <w:r>
              <w:rPr>
                <w:noProof/>
                <w:webHidden/>
              </w:rPr>
              <w:fldChar w:fldCharType="end"/>
            </w:r>
          </w:hyperlink>
        </w:p>
        <w:p w14:paraId="44F11477" w14:textId="07997CD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53" w:history="1">
            <w:r w:rsidRPr="00F45DCA">
              <w:rPr>
                <w:rStyle w:val="Lienhypertexte"/>
                <w:noProof/>
              </w:rPr>
              <w:t>23.23.3 Charpentes de toiture en acier inoxydable laminées à chaud CCTB 01.04</w:t>
            </w:r>
            <w:r>
              <w:rPr>
                <w:noProof/>
                <w:webHidden/>
              </w:rPr>
              <w:tab/>
            </w:r>
            <w:r>
              <w:rPr>
                <w:noProof/>
                <w:webHidden/>
              </w:rPr>
              <w:fldChar w:fldCharType="begin"/>
            </w:r>
            <w:r>
              <w:rPr>
                <w:noProof/>
                <w:webHidden/>
              </w:rPr>
              <w:instrText xml:space="preserve"> PAGEREF _Toc220496353 \h </w:instrText>
            </w:r>
            <w:r>
              <w:rPr>
                <w:noProof/>
                <w:webHidden/>
              </w:rPr>
            </w:r>
            <w:r>
              <w:rPr>
                <w:noProof/>
                <w:webHidden/>
              </w:rPr>
              <w:fldChar w:fldCharType="separate"/>
            </w:r>
            <w:r>
              <w:rPr>
                <w:noProof/>
                <w:webHidden/>
              </w:rPr>
              <w:t>801</w:t>
            </w:r>
            <w:r>
              <w:rPr>
                <w:noProof/>
                <w:webHidden/>
              </w:rPr>
              <w:fldChar w:fldCharType="end"/>
            </w:r>
          </w:hyperlink>
        </w:p>
        <w:p w14:paraId="6FAAF22B" w14:textId="1827A25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54" w:history="1">
            <w:r w:rsidRPr="00F45DCA">
              <w:rPr>
                <w:rStyle w:val="Lienhypertexte"/>
                <w:noProof/>
              </w:rPr>
              <w:t>23.23.3a Fermes de toiture en acier inoxydable laminées à chaud CCTB 01.04</w:t>
            </w:r>
            <w:r>
              <w:rPr>
                <w:noProof/>
                <w:webHidden/>
              </w:rPr>
              <w:tab/>
            </w:r>
            <w:r>
              <w:rPr>
                <w:noProof/>
                <w:webHidden/>
              </w:rPr>
              <w:fldChar w:fldCharType="begin"/>
            </w:r>
            <w:r>
              <w:rPr>
                <w:noProof/>
                <w:webHidden/>
              </w:rPr>
              <w:instrText xml:space="preserve"> PAGEREF _Toc220496354 \h </w:instrText>
            </w:r>
            <w:r>
              <w:rPr>
                <w:noProof/>
                <w:webHidden/>
              </w:rPr>
            </w:r>
            <w:r>
              <w:rPr>
                <w:noProof/>
                <w:webHidden/>
              </w:rPr>
              <w:fldChar w:fldCharType="separate"/>
            </w:r>
            <w:r>
              <w:rPr>
                <w:noProof/>
                <w:webHidden/>
              </w:rPr>
              <w:t>801</w:t>
            </w:r>
            <w:r>
              <w:rPr>
                <w:noProof/>
                <w:webHidden/>
              </w:rPr>
              <w:fldChar w:fldCharType="end"/>
            </w:r>
          </w:hyperlink>
        </w:p>
        <w:p w14:paraId="0C194CC4" w14:textId="0C24F5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55" w:history="1">
            <w:r w:rsidRPr="00F45DCA">
              <w:rPr>
                <w:rStyle w:val="Lienhypertexte"/>
                <w:noProof/>
              </w:rPr>
              <w:t>23.23.3b Charpentes de toiture en acier inoxydable laminées à chaud CCTB 01.04</w:t>
            </w:r>
            <w:r>
              <w:rPr>
                <w:noProof/>
                <w:webHidden/>
              </w:rPr>
              <w:tab/>
            </w:r>
            <w:r>
              <w:rPr>
                <w:noProof/>
                <w:webHidden/>
              </w:rPr>
              <w:fldChar w:fldCharType="begin"/>
            </w:r>
            <w:r>
              <w:rPr>
                <w:noProof/>
                <w:webHidden/>
              </w:rPr>
              <w:instrText xml:space="preserve"> PAGEREF _Toc220496355 \h </w:instrText>
            </w:r>
            <w:r>
              <w:rPr>
                <w:noProof/>
                <w:webHidden/>
              </w:rPr>
            </w:r>
            <w:r>
              <w:rPr>
                <w:noProof/>
                <w:webHidden/>
              </w:rPr>
              <w:fldChar w:fldCharType="separate"/>
            </w:r>
            <w:r>
              <w:rPr>
                <w:noProof/>
                <w:webHidden/>
              </w:rPr>
              <w:t>801</w:t>
            </w:r>
            <w:r>
              <w:rPr>
                <w:noProof/>
                <w:webHidden/>
              </w:rPr>
              <w:fldChar w:fldCharType="end"/>
            </w:r>
          </w:hyperlink>
        </w:p>
        <w:p w14:paraId="41A2B978" w14:textId="18E4C6F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56" w:history="1">
            <w:r w:rsidRPr="00F45DCA">
              <w:rPr>
                <w:rStyle w:val="Lienhypertexte"/>
                <w:noProof/>
              </w:rPr>
              <w:t>23.23.4 Charpentes de toiture en acier inoxydable formées à froid CCTB 01.04</w:t>
            </w:r>
            <w:r>
              <w:rPr>
                <w:noProof/>
                <w:webHidden/>
              </w:rPr>
              <w:tab/>
            </w:r>
            <w:r>
              <w:rPr>
                <w:noProof/>
                <w:webHidden/>
              </w:rPr>
              <w:fldChar w:fldCharType="begin"/>
            </w:r>
            <w:r>
              <w:rPr>
                <w:noProof/>
                <w:webHidden/>
              </w:rPr>
              <w:instrText xml:space="preserve"> PAGEREF _Toc220496356 \h </w:instrText>
            </w:r>
            <w:r>
              <w:rPr>
                <w:noProof/>
                <w:webHidden/>
              </w:rPr>
            </w:r>
            <w:r>
              <w:rPr>
                <w:noProof/>
                <w:webHidden/>
              </w:rPr>
              <w:fldChar w:fldCharType="separate"/>
            </w:r>
            <w:r>
              <w:rPr>
                <w:noProof/>
                <w:webHidden/>
              </w:rPr>
              <w:t>801</w:t>
            </w:r>
            <w:r>
              <w:rPr>
                <w:noProof/>
                <w:webHidden/>
              </w:rPr>
              <w:fldChar w:fldCharType="end"/>
            </w:r>
          </w:hyperlink>
        </w:p>
        <w:p w14:paraId="1AB20843" w14:textId="245945A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57" w:history="1">
            <w:r w:rsidRPr="00F45DCA">
              <w:rPr>
                <w:rStyle w:val="Lienhypertexte"/>
                <w:noProof/>
              </w:rPr>
              <w:t>23.23.4a Fermes de toiture en acier inoxydable formées à froid CCTB 01.04</w:t>
            </w:r>
            <w:r>
              <w:rPr>
                <w:noProof/>
                <w:webHidden/>
              </w:rPr>
              <w:tab/>
            </w:r>
            <w:r>
              <w:rPr>
                <w:noProof/>
                <w:webHidden/>
              </w:rPr>
              <w:fldChar w:fldCharType="begin"/>
            </w:r>
            <w:r>
              <w:rPr>
                <w:noProof/>
                <w:webHidden/>
              </w:rPr>
              <w:instrText xml:space="preserve"> PAGEREF _Toc220496357 \h </w:instrText>
            </w:r>
            <w:r>
              <w:rPr>
                <w:noProof/>
                <w:webHidden/>
              </w:rPr>
            </w:r>
            <w:r>
              <w:rPr>
                <w:noProof/>
                <w:webHidden/>
              </w:rPr>
              <w:fldChar w:fldCharType="separate"/>
            </w:r>
            <w:r>
              <w:rPr>
                <w:noProof/>
                <w:webHidden/>
              </w:rPr>
              <w:t>801</w:t>
            </w:r>
            <w:r>
              <w:rPr>
                <w:noProof/>
                <w:webHidden/>
              </w:rPr>
              <w:fldChar w:fldCharType="end"/>
            </w:r>
          </w:hyperlink>
        </w:p>
        <w:p w14:paraId="3AF3B9BF" w14:textId="30CE67C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58" w:history="1">
            <w:r w:rsidRPr="00F45DCA">
              <w:rPr>
                <w:rStyle w:val="Lienhypertexte"/>
                <w:noProof/>
              </w:rPr>
              <w:t>23.23.4b Charpentes de toiture en acier inoxydable formées à froid CCTB 01.04</w:t>
            </w:r>
            <w:r>
              <w:rPr>
                <w:noProof/>
                <w:webHidden/>
              </w:rPr>
              <w:tab/>
            </w:r>
            <w:r>
              <w:rPr>
                <w:noProof/>
                <w:webHidden/>
              </w:rPr>
              <w:fldChar w:fldCharType="begin"/>
            </w:r>
            <w:r>
              <w:rPr>
                <w:noProof/>
                <w:webHidden/>
              </w:rPr>
              <w:instrText xml:space="preserve"> PAGEREF _Toc220496358 \h </w:instrText>
            </w:r>
            <w:r>
              <w:rPr>
                <w:noProof/>
                <w:webHidden/>
              </w:rPr>
            </w:r>
            <w:r>
              <w:rPr>
                <w:noProof/>
                <w:webHidden/>
              </w:rPr>
              <w:fldChar w:fldCharType="separate"/>
            </w:r>
            <w:r>
              <w:rPr>
                <w:noProof/>
                <w:webHidden/>
              </w:rPr>
              <w:t>801</w:t>
            </w:r>
            <w:r>
              <w:rPr>
                <w:noProof/>
                <w:webHidden/>
              </w:rPr>
              <w:fldChar w:fldCharType="end"/>
            </w:r>
          </w:hyperlink>
        </w:p>
        <w:p w14:paraId="3329B233" w14:textId="47B2013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59" w:history="1">
            <w:r w:rsidRPr="00F45DCA">
              <w:rPr>
                <w:rStyle w:val="Lienhypertexte"/>
                <w:noProof/>
              </w:rPr>
              <w:t>23.23.5 Charpentes de toiture en aluminium CCTB 01.04</w:t>
            </w:r>
            <w:r>
              <w:rPr>
                <w:noProof/>
                <w:webHidden/>
              </w:rPr>
              <w:tab/>
            </w:r>
            <w:r>
              <w:rPr>
                <w:noProof/>
                <w:webHidden/>
              </w:rPr>
              <w:fldChar w:fldCharType="begin"/>
            </w:r>
            <w:r>
              <w:rPr>
                <w:noProof/>
                <w:webHidden/>
              </w:rPr>
              <w:instrText xml:space="preserve"> PAGEREF _Toc220496359 \h </w:instrText>
            </w:r>
            <w:r>
              <w:rPr>
                <w:noProof/>
                <w:webHidden/>
              </w:rPr>
            </w:r>
            <w:r>
              <w:rPr>
                <w:noProof/>
                <w:webHidden/>
              </w:rPr>
              <w:fldChar w:fldCharType="separate"/>
            </w:r>
            <w:r>
              <w:rPr>
                <w:noProof/>
                <w:webHidden/>
              </w:rPr>
              <w:t>801</w:t>
            </w:r>
            <w:r>
              <w:rPr>
                <w:noProof/>
                <w:webHidden/>
              </w:rPr>
              <w:fldChar w:fldCharType="end"/>
            </w:r>
          </w:hyperlink>
        </w:p>
        <w:p w14:paraId="61A611E3" w14:textId="287D74D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60" w:history="1">
            <w:r w:rsidRPr="00F45DCA">
              <w:rPr>
                <w:rStyle w:val="Lienhypertexte"/>
                <w:noProof/>
              </w:rPr>
              <w:t>23.23.5a Fermes de toiture en aluminium CCTB 01.04</w:t>
            </w:r>
            <w:r>
              <w:rPr>
                <w:noProof/>
                <w:webHidden/>
              </w:rPr>
              <w:tab/>
            </w:r>
            <w:r>
              <w:rPr>
                <w:noProof/>
                <w:webHidden/>
              </w:rPr>
              <w:fldChar w:fldCharType="begin"/>
            </w:r>
            <w:r>
              <w:rPr>
                <w:noProof/>
                <w:webHidden/>
              </w:rPr>
              <w:instrText xml:space="preserve"> PAGEREF _Toc220496360 \h </w:instrText>
            </w:r>
            <w:r>
              <w:rPr>
                <w:noProof/>
                <w:webHidden/>
              </w:rPr>
            </w:r>
            <w:r>
              <w:rPr>
                <w:noProof/>
                <w:webHidden/>
              </w:rPr>
              <w:fldChar w:fldCharType="separate"/>
            </w:r>
            <w:r>
              <w:rPr>
                <w:noProof/>
                <w:webHidden/>
              </w:rPr>
              <w:t>801</w:t>
            </w:r>
            <w:r>
              <w:rPr>
                <w:noProof/>
                <w:webHidden/>
              </w:rPr>
              <w:fldChar w:fldCharType="end"/>
            </w:r>
          </w:hyperlink>
        </w:p>
        <w:p w14:paraId="3B09169E" w14:textId="2A4422F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61" w:history="1">
            <w:r w:rsidRPr="00F45DCA">
              <w:rPr>
                <w:rStyle w:val="Lienhypertexte"/>
                <w:noProof/>
              </w:rPr>
              <w:t>23.23.5b Charpentes de toiture en aluminium CCTB 01.04</w:t>
            </w:r>
            <w:r>
              <w:rPr>
                <w:noProof/>
                <w:webHidden/>
              </w:rPr>
              <w:tab/>
            </w:r>
            <w:r>
              <w:rPr>
                <w:noProof/>
                <w:webHidden/>
              </w:rPr>
              <w:fldChar w:fldCharType="begin"/>
            </w:r>
            <w:r>
              <w:rPr>
                <w:noProof/>
                <w:webHidden/>
              </w:rPr>
              <w:instrText xml:space="preserve"> PAGEREF _Toc220496361 \h </w:instrText>
            </w:r>
            <w:r>
              <w:rPr>
                <w:noProof/>
                <w:webHidden/>
              </w:rPr>
            </w:r>
            <w:r>
              <w:rPr>
                <w:noProof/>
                <w:webHidden/>
              </w:rPr>
              <w:fldChar w:fldCharType="separate"/>
            </w:r>
            <w:r>
              <w:rPr>
                <w:noProof/>
                <w:webHidden/>
              </w:rPr>
              <w:t>801</w:t>
            </w:r>
            <w:r>
              <w:rPr>
                <w:noProof/>
                <w:webHidden/>
              </w:rPr>
              <w:fldChar w:fldCharType="end"/>
            </w:r>
          </w:hyperlink>
        </w:p>
        <w:p w14:paraId="66B58D7A" w14:textId="43216E9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362" w:history="1">
            <w:r w:rsidRPr="00F45DCA">
              <w:rPr>
                <w:rStyle w:val="Lienhypertexte"/>
                <w:noProof/>
              </w:rPr>
              <w:t>23.24 Structures particulières métalliques CCTB 01.11</w:t>
            </w:r>
            <w:r>
              <w:rPr>
                <w:noProof/>
                <w:webHidden/>
              </w:rPr>
              <w:tab/>
            </w:r>
            <w:r>
              <w:rPr>
                <w:noProof/>
                <w:webHidden/>
              </w:rPr>
              <w:fldChar w:fldCharType="begin"/>
            </w:r>
            <w:r>
              <w:rPr>
                <w:noProof/>
                <w:webHidden/>
              </w:rPr>
              <w:instrText xml:space="preserve"> PAGEREF _Toc220496362 \h </w:instrText>
            </w:r>
            <w:r>
              <w:rPr>
                <w:noProof/>
                <w:webHidden/>
              </w:rPr>
            </w:r>
            <w:r>
              <w:rPr>
                <w:noProof/>
                <w:webHidden/>
              </w:rPr>
              <w:fldChar w:fldCharType="separate"/>
            </w:r>
            <w:r>
              <w:rPr>
                <w:noProof/>
                <w:webHidden/>
              </w:rPr>
              <w:t>801</w:t>
            </w:r>
            <w:r>
              <w:rPr>
                <w:noProof/>
                <w:webHidden/>
              </w:rPr>
              <w:fldChar w:fldCharType="end"/>
            </w:r>
          </w:hyperlink>
        </w:p>
        <w:p w14:paraId="5E01789B" w14:textId="3F5D446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63" w:history="1">
            <w:r w:rsidRPr="00F45DCA">
              <w:rPr>
                <w:rStyle w:val="Lienhypertexte"/>
                <w:noProof/>
              </w:rPr>
              <w:t>23.24.1 Structures particulières en acier laminées à chaud CCTB 01.04</w:t>
            </w:r>
            <w:r>
              <w:rPr>
                <w:noProof/>
                <w:webHidden/>
              </w:rPr>
              <w:tab/>
            </w:r>
            <w:r>
              <w:rPr>
                <w:noProof/>
                <w:webHidden/>
              </w:rPr>
              <w:fldChar w:fldCharType="begin"/>
            </w:r>
            <w:r>
              <w:rPr>
                <w:noProof/>
                <w:webHidden/>
              </w:rPr>
              <w:instrText xml:space="preserve"> PAGEREF _Toc220496363 \h </w:instrText>
            </w:r>
            <w:r>
              <w:rPr>
                <w:noProof/>
                <w:webHidden/>
              </w:rPr>
            </w:r>
            <w:r>
              <w:rPr>
                <w:noProof/>
                <w:webHidden/>
              </w:rPr>
              <w:fldChar w:fldCharType="separate"/>
            </w:r>
            <w:r>
              <w:rPr>
                <w:noProof/>
                <w:webHidden/>
              </w:rPr>
              <w:t>802</w:t>
            </w:r>
            <w:r>
              <w:rPr>
                <w:noProof/>
                <w:webHidden/>
              </w:rPr>
              <w:fldChar w:fldCharType="end"/>
            </w:r>
          </w:hyperlink>
        </w:p>
        <w:p w14:paraId="797CB2BD" w14:textId="7DB0298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64" w:history="1">
            <w:r w:rsidRPr="00F45DCA">
              <w:rPr>
                <w:rStyle w:val="Lienhypertexte"/>
                <w:noProof/>
              </w:rPr>
              <w:t>23.24.1a Structures tridimensionnelles en acier laminées à chaud CCTB 01.11</w:t>
            </w:r>
            <w:r>
              <w:rPr>
                <w:noProof/>
                <w:webHidden/>
              </w:rPr>
              <w:tab/>
            </w:r>
            <w:r>
              <w:rPr>
                <w:noProof/>
                <w:webHidden/>
              </w:rPr>
              <w:fldChar w:fldCharType="begin"/>
            </w:r>
            <w:r>
              <w:rPr>
                <w:noProof/>
                <w:webHidden/>
              </w:rPr>
              <w:instrText xml:space="preserve"> PAGEREF _Toc220496364 \h </w:instrText>
            </w:r>
            <w:r>
              <w:rPr>
                <w:noProof/>
                <w:webHidden/>
              </w:rPr>
            </w:r>
            <w:r>
              <w:rPr>
                <w:noProof/>
                <w:webHidden/>
              </w:rPr>
              <w:fldChar w:fldCharType="separate"/>
            </w:r>
            <w:r>
              <w:rPr>
                <w:noProof/>
                <w:webHidden/>
              </w:rPr>
              <w:t>803</w:t>
            </w:r>
            <w:r>
              <w:rPr>
                <w:noProof/>
                <w:webHidden/>
              </w:rPr>
              <w:fldChar w:fldCharType="end"/>
            </w:r>
          </w:hyperlink>
        </w:p>
        <w:p w14:paraId="3FE1F419" w14:textId="1CD82CA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65" w:history="1">
            <w:r w:rsidRPr="00F45DCA">
              <w:rPr>
                <w:rStyle w:val="Lienhypertexte"/>
                <w:noProof/>
              </w:rPr>
              <w:t>23.24.1b Ponts roulants en acier laminés à chaud CCTB 01.04</w:t>
            </w:r>
            <w:r>
              <w:rPr>
                <w:noProof/>
                <w:webHidden/>
              </w:rPr>
              <w:tab/>
            </w:r>
            <w:r>
              <w:rPr>
                <w:noProof/>
                <w:webHidden/>
              </w:rPr>
              <w:fldChar w:fldCharType="begin"/>
            </w:r>
            <w:r>
              <w:rPr>
                <w:noProof/>
                <w:webHidden/>
              </w:rPr>
              <w:instrText xml:space="preserve"> PAGEREF _Toc220496365 \h </w:instrText>
            </w:r>
            <w:r>
              <w:rPr>
                <w:noProof/>
                <w:webHidden/>
              </w:rPr>
            </w:r>
            <w:r>
              <w:rPr>
                <w:noProof/>
                <w:webHidden/>
              </w:rPr>
              <w:fldChar w:fldCharType="separate"/>
            </w:r>
            <w:r>
              <w:rPr>
                <w:noProof/>
                <w:webHidden/>
              </w:rPr>
              <w:t>803</w:t>
            </w:r>
            <w:r>
              <w:rPr>
                <w:noProof/>
                <w:webHidden/>
              </w:rPr>
              <w:fldChar w:fldCharType="end"/>
            </w:r>
          </w:hyperlink>
        </w:p>
        <w:p w14:paraId="5A5E2B3D" w14:textId="47E0F94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66" w:history="1">
            <w:r w:rsidRPr="00F45DCA">
              <w:rPr>
                <w:rStyle w:val="Lienhypertexte"/>
                <w:noProof/>
              </w:rPr>
              <w:t>23.24.1c Mâts et pylônes en acier laminés à chaud CCTB 01.04</w:t>
            </w:r>
            <w:r>
              <w:rPr>
                <w:noProof/>
                <w:webHidden/>
              </w:rPr>
              <w:tab/>
            </w:r>
            <w:r>
              <w:rPr>
                <w:noProof/>
                <w:webHidden/>
              </w:rPr>
              <w:fldChar w:fldCharType="begin"/>
            </w:r>
            <w:r>
              <w:rPr>
                <w:noProof/>
                <w:webHidden/>
              </w:rPr>
              <w:instrText xml:space="preserve"> PAGEREF _Toc220496366 \h </w:instrText>
            </w:r>
            <w:r>
              <w:rPr>
                <w:noProof/>
                <w:webHidden/>
              </w:rPr>
            </w:r>
            <w:r>
              <w:rPr>
                <w:noProof/>
                <w:webHidden/>
              </w:rPr>
              <w:fldChar w:fldCharType="separate"/>
            </w:r>
            <w:r>
              <w:rPr>
                <w:noProof/>
                <w:webHidden/>
              </w:rPr>
              <w:t>803</w:t>
            </w:r>
            <w:r>
              <w:rPr>
                <w:noProof/>
                <w:webHidden/>
              </w:rPr>
              <w:fldChar w:fldCharType="end"/>
            </w:r>
          </w:hyperlink>
        </w:p>
        <w:p w14:paraId="69AD99ED" w14:textId="262DF1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67" w:history="1">
            <w:r w:rsidRPr="00F45DCA">
              <w:rPr>
                <w:rStyle w:val="Lienhypertexte"/>
                <w:noProof/>
              </w:rPr>
              <w:t>23.24.1d Tôles fortes en acier laminées à chaud CCTB 01.04</w:t>
            </w:r>
            <w:r>
              <w:rPr>
                <w:noProof/>
                <w:webHidden/>
              </w:rPr>
              <w:tab/>
            </w:r>
            <w:r>
              <w:rPr>
                <w:noProof/>
                <w:webHidden/>
              </w:rPr>
              <w:fldChar w:fldCharType="begin"/>
            </w:r>
            <w:r>
              <w:rPr>
                <w:noProof/>
                <w:webHidden/>
              </w:rPr>
              <w:instrText xml:space="preserve"> PAGEREF _Toc220496367 \h </w:instrText>
            </w:r>
            <w:r>
              <w:rPr>
                <w:noProof/>
                <w:webHidden/>
              </w:rPr>
            </w:r>
            <w:r>
              <w:rPr>
                <w:noProof/>
                <w:webHidden/>
              </w:rPr>
              <w:fldChar w:fldCharType="separate"/>
            </w:r>
            <w:r>
              <w:rPr>
                <w:noProof/>
                <w:webHidden/>
              </w:rPr>
              <w:t>803</w:t>
            </w:r>
            <w:r>
              <w:rPr>
                <w:noProof/>
                <w:webHidden/>
              </w:rPr>
              <w:fldChar w:fldCharType="end"/>
            </w:r>
          </w:hyperlink>
        </w:p>
        <w:p w14:paraId="43F6FFF9" w14:textId="31A52FF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68" w:history="1">
            <w:r w:rsidRPr="00F45DCA">
              <w:rPr>
                <w:rStyle w:val="Lienhypertexte"/>
                <w:noProof/>
              </w:rPr>
              <w:t>23.24.2 Structures particulières en acier formées à froid CCTB 01.04</w:t>
            </w:r>
            <w:r>
              <w:rPr>
                <w:noProof/>
                <w:webHidden/>
              </w:rPr>
              <w:tab/>
            </w:r>
            <w:r>
              <w:rPr>
                <w:noProof/>
                <w:webHidden/>
              </w:rPr>
              <w:fldChar w:fldCharType="begin"/>
            </w:r>
            <w:r>
              <w:rPr>
                <w:noProof/>
                <w:webHidden/>
              </w:rPr>
              <w:instrText xml:space="preserve"> PAGEREF _Toc220496368 \h </w:instrText>
            </w:r>
            <w:r>
              <w:rPr>
                <w:noProof/>
                <w:webHidden/>
              </w:rPr>
            </w:r>
            <w:r>
              <w:rPr>
                <w:noProof/>
                <w:webHidden/>
              </w:rPr>
              <w:fldChar w:fldCharType="separate"/>
            </w:r>
            <w:r>
              <w:rPr>
                <w:noProof/>
                <w:webHidden/>
              </w:rPr>
              <w:t>803</w:t>
            </w:r>
            <w:r>
              <w:rPr>
                <w:noProof/>
                <w:webHidden/>
              </w:rPr>
              <w:fldChar w:fldCharType="end"/>
            </w:r>
          </w:hyperlink>
        </w:p>
        <w:p w14:paraId="75C6DC5B" w14:textId="67E503F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69" w:history="1">
            <w:r w:rsidRPr="00F45DCA">
              <w:rPr>
                <w:rStyle w:val="Lienhypertexte"/>
                <w:noProof/>
              </w:rPr>
              <w:t>23.24.2a Structures tridimensionnelles en acier formées à froid CCTB 01.11</w:t>
            </w:r>
            <w:r>
              <w:rPr>
                <w:noProof/>
                <w:webHidden/>
              </w:rPr>
              <w:tab/>
            </w:r>
            <w:r>
              <w:rPr>
                <w:noProof/>
                <w:webHidden/>
              </w:rPr>
              <w:fldChar w:fldCharType="begin"/>
            </w:r>
            <w:r>
              <w:rPr>
                <w:noProof/>
                <w:webHidden/>
              </w:rPr>
              <w:instrText xml:space="preserve"> PAGEREF _Toc220496369 \h </w:instrText>
            </w:r>
            <w:r>
              <w:rPr>
                <w:noProof/>
                <w:webHidden/>
              </w:rPr>
            </w:r>
            <w:r>
              <w:rPr>
                <w:noProof/>
                <w:webHidden/>
              </w:rPr>
              <w:fldChar w:fldCharType="separate"/>
            </w:r>
            <w:r>
              <w:rPr>
                <w:noProof/>
                <w:webHidden/>
              </w:rPr>
              <w:t>803</w:t>
            </w:r>
            <w:r>
              <w:rPr>
                <w:noProof/>
                <w:webHidden/>
              </w:rPr>
              <w:fldChar w:fldCharType="end"/>
            </w:r>
          </w:hyperlink>
        </w:p>
        <w:p w14:paraId="69007449" w14:textId="67EEF0C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70" w:history="1">
            <w:r w:rsidRPr="00F45DCA">
              <w:rPr>
                <w:rStyle w:val="Lienhypertexte"/>
                <w:noProof/>
              </w:rPr>
              <w:t>23.24.2b Ponts roulants en acier formés à froid CCTB 01.04</w:t>
            </w:r>
            <w:r>
              <w:rPr>
                <w:noProof/>
                <w:webHidden/>
              </w:rPr>
              <w:tab/>
            </w:r>
            <w:r>
              <w:rPr>
                <w:noProof/>
                <w:webHidden/>
              </w:rPr>
              <w:fldChar w:fldCharType="begin"/>
            </w:r>
            <w:r>
              <w:rPr>
                <w:noProof/>
                <w:webHidden/>
              </w:rPr>
              <w:instrText xml:space="preserve"> PAGEREF _Toc220496370 \h </w:instrText>
            </w:r>
            <w:r>
              <w:rPr>
                <w:noProof/>
                <w:webHidden/>
              </w:rPr>
            </w:r>
            <w:r>
              <w:rPr>
                <w:noProof/>
                <w:webHidden/>
              </w:rPr>
              <w:fldChar w:fldCharType="separate"/>
            </w:r>
            <w:r>
              <w:rPr>
                <w:noProof/>
                <w:webHidden/>
              </w:rPr>
              <w:t>803</w:t>
            </w:r>
            <w:r>
              <w:rPr>
                <w:noProof/>
                <w:webHidden/>
              </w:rPr>
              <w:fldChar w:fldCharType="end"/>
            </w:r>
          </w:hyperlink>
        </w:p>
        <w:p w14:paraId="5179FDA5" w14:textId="7887A5C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71" w:history="1">
            <w:r w:rsidRPr="00F45DCA">
              <w:rPr>
                <w:rStyle w:val="Lienhypertexte"/>
                <w:noProof/>
              </w:rPr>
              <w:t>23.24.2c Mâts et pylônes en acier formés à froid CCTB 01.04</w:t>
            </w:r>
            <w:r>
              <w:rPr>
                <w:noProof/>
                <w:webHidden/>
              </w:rPr>
              <w:tab/>
            </w:r>
            <w:r>
              <w:rPr>
                <w:noProof/>
                <w:webHidden/>
              </w:rPr>
              <w:fldChar w:fldCharType="begin"/>
            </w:r>
            <w:r>
              <w:rPr>
                <w:noProof/>
                <w:webHidden/>
              </w:rPr>
              <w:instrText xml:space="preserve"> PAGEREF _Toc220496371 \h </w:instrText>
            </w:r>
            <w:r>
              <w:rPr>
                <w:noProof/>
                <w:webHidden/>
              </w:rPr>
            </w:r>
            <w:r>
              <w:rPr>
                <w:noProof/>
                <w:webHidden/>
              </w:rPr>
              <w:fldChar w:fldCharType="separate"/>
            </w:r>
            <w:r>
              <w:rPr>
                <w:noProof/>
                <w:webHidden/>
              </w:rPr>
              <w:t>803</w:t>
            </w:r>
            <w:r>
              <w:rPr>
                <w:noProof/>
                <w:webHidden/>
              </w:rPr>
              <w:fldChar w:fldCharType="end"/>
            </w:r>
          </w:hyperlink>
        </w:p>
        <w:p w14:paraId="500476B6" w14:textId="47A4933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72" w:history="1">
            <w:r w:rsidRPr="00F45DCA">
              <w:rPr>
                <w:rStyle w:val="Lienhypertexte"/>
                <w:noProof/>
              </w:rPr>
              <w:t>23.24.3 Structures particulières en acier inoxydable laminées à chaud CCTB 01.04</w:t>
            </w:r>
            <w:r>
              <w:rPr>
                <w:noProof/>
                <w:webHidden/>
              </w:rPr>
              <w:tab/>
            </w:r>
            <w:r>
              <w:rPr>
                <w:noProof/>
                <w:webHidden/>
              </w:rPr>
              <w:fldChar w:fldCharType="begin"/>
            </w:r>
            <w:r>
              <w:rPr>
                <w:noProof/>
                <w:webHidden/>
              </w:rPr>
              <w:instrText xml:space="preserve"> PAGEREF _Toc220496372 \h </w:instrText>
            </w:r>
            <w:r>
              <w:rPr>
                <w:noProof/>
                <w:webHidden/>
              </w:rPr>
            </w:r>
            <w:r>
              <w:rPr>
                <w:noProof/>
                <w:webHidden/>
              </w:rPr>
              <w:fldChar w:fldCharType="separate"/>
            </w:r>
            <w:r>
              <w:rPr>
                <w:noProof/>
                <w:webHidden/>
              </w:rPr>
              <w:t>803</w:t>
            </w:r>
            <w:r>
              <w:rPr>
                <w:noProof/>
                <w:webHidden/>
              </w:rPr>
              <w:fldChar w:fldCharType="end"/>
            </w:r>
          </w:hyperlink>
        </w:p>
        <w:p w14:paraId="564B00CD" w14:textId="2220B25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73" w:history="1">
            <w:r w:rsidRPr="00F45DCA">
              <w:rPr>
                <w:rStyle w:val="Lienhypertexte"/>
                <w:noProof/>
              </w:rPr>
              <w:t>23.24.3a Structures tridimensionnelles en acier inoxydable laminées à chaud CCTB 01.11</w:t>
            </w:r>
            <w:r>
              <w:rPr>
                <w:noProof/>
                <w:webHidden/>
              </w:rPr>
              <w:tab/>
            </w:r>
            <w:r>
              <w:rPr>
                <w:noProof/>
                <w:webHidden/>
              </w:rPr>
              <w:fldChar w:fldCharType="begin"/>
            </w:r>
            <w:r>
              <w:rPr>
                <w:noProof/>
                <w:webHidden/>
              </w:rPr>
              <w:instrText xml:space="preserve"> PAGEREF _Toc220496373 \h </w:instrText>
            </w:r>
            <w:r>
              <w:rPr>
                <w:noProof/>
                <w:webHidden/>
              </w:rPr>
            </w:r>
            <w:r>
              <w:rPr>
                <w:noProof/>
                <w:webHidden/>
              </w:rPr>
              <w:fldChar w:fldCharType="separate"/>
            </w:r>
            <w:r>
              <w:rPr>
                <w:noProof/>
                <w:webHidden/>
              </w:rPr>
              <w:t>803</w:t>
            </w:r>
            <w:r>
              <w:rPr>
                <w:noProof/>
                <w:webHidden/>
              </w:rPr>
              <w:fldChar w:fldCharType="end"/>
            </w:r>
          </w:hyperlink>
        </w:p>
        <w:p w14:paraId="166AACC4" w14:textId="6B7A4C1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74" w:history="1">
            <w:r w:rsidRPr="00F45DCA">
              <w:rPr>
                <w:rStyle w:val="Lienhypertexte"/>
                <w:noProof/>
              </w:rPr>
              <w:t>23.24.3b Ponts roulants en acier inoxydable laminés à chaud CCTB 01.04</w:t>
            </w:r>
            <w:r>
              <w:rPr>
                <w:noProof/>
                <w:webHidden/>
              </w:rPr>
              <w:tab/>
            </w:r>
            <w:r>
              <w:rPr>
                <w:noProof/>
                <w:webHidden/>
              </w:rPr>
              <w:fldChar w:fldCharType="begin"/>
            </w:r>
            <w:r>
              <w:rPr>
                <w:noProof/>
                <w:webHidden/>
              </w:rPr>
              <w:instrText xml:space="preserve"> PAGEREF _Toc220496374 \h </w:instrText>
            </w:r>
            <w:r>
              <w:rPr>
                <w:noProof/>
                <w:webHidden/>
              </w:rPr>
            </w:r>
            <w:r>
              <w:rPr>
                <w:noProof/>
                <w:webHidden/>
              </w:rPr>
              <w:fldChar w:fldCharType="separate"/>
            </w:r>
            <w:r>
              <w:rPr>
                <w:noProof/>
                <w:webHidden/>
              </w:rPr>
              <w:t>803</w:t>
            </w:r>
            <w:r>
              <w:rPr>
                <w:noProof/>
                <w:webHidden/>
              </w:rPr>
              <w:fldChar w:fldCharType="end"/>
            </w:r>
          </w:hyperlink>
        </w:p>
        <w:p w14:paraId="15728B16" w14:textId="186CD67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75" w:history="1">
            <w:r w:rsidRPr="00F45DCA">
              <w:rPr>
                <w:rStyle w:val="Lienhypertexte"/>
                <w:noProof/>
              </w:rPr>
              <w:t>23.24.3c Mâts et pylônes en acier inoxydable laminés à chaud CCTB 01.04</w:t>
            </w:r>
            <w:r>
              <w:rPr>
                <w:noProof/>
                <w:webHidden/>
              </w:rPr>
              <w:tab/>
            </w:r>
            <w:r>
              <w:rPr>
                <w:noProof/>
                <w:webHidden/>
              </w:rPr>
              <w:fldChar w:fldCharType="begin"/>
            </w:r>
            <w:r>
              <w:rPr>
                <w:noProof/>
                <w:webHidden/>
              </w:rPr>
              <w:instrText xml:space="preserve"> PAGEREF _Toc220496375 \h </w:instrText>
            </w:r>
            <w:r>
              <w:rPr>
                <w:noProof/>
                <w:webHidden/>
              </w:rPr>
            </w:r>
            <w:r>
              <w:rPr>
                <w:noProof/>
                <w:webHidden/>
              </w:rPr>
              <w:fldChar w:fldCharType="separate"/>
            </w:r>
            <w:r>
              <w:rPr>
                <w:noProof/>
                <w:webHidden/>
              </w:rPr>
              <w:t>803</w:t>
            </w:r>
            <w:r>
              <w:rPr>
                <w:noProof/>
                <w:webHidden/>
              </w:rPr>
              <w:fldChar w:fldCharType="end"/>
            </w:r>
          </w:hyperlink>
        </w:p>
        <w:p w14:paraId="664E8117" w14:textId="43CC8E7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76" w:history="1">
            <w:r w:rsidRPr="00F45DCA">
              <w:rPr>
                <w:rStyle w:val="Lienhypertexte"/>
                <w:noProof/>
              </w:rPr>
              <w:t>23.24.3d Tôles fortes en acier inoxydable laminées à chaud CCTB 01.04</w:t>
            </w:r>
            <w:r>
              <w:rPr>
                <w:noProof/>
                <w:webHidden/>
              </w:rPr>
              <w:tab/>
            </w:r>
            <w:r>
              <w:rPr>
                <w:noProof/>
                <w:webHidden/>
              </w:rPr>
              <w:fldChar w:fldCharType="begin"/>
            </w:r>
            <w:r>
              <w:rPr>
                <w:noProof/>
                <w:webHidden/>
              </w:rPr>
              <w:instrText xml:space="preserve"> PAGEREF _Toc220496376 \h </w:instrText>
            </w:r>
            <w:r>
              <w:rPr>
                <w:noProof/>
                <w:webHidden/>
              </w:rPr>
            </w:r>
            <w:r>
              <w:rPr>
                <w:noProof/>
                <w:webHidden/>
              </w:rPr>
              <w:fldChar w:fldCharType="separate"/>
            </w:r>
            <w:r>
              <w:rPr>
                <w:noProof/>
                <w:webHidden/>
              </w:rPr>
              <w:t>803</w:t>
            </w:r>
            <w:r>
              <w:rPr>
                <w:noProof/>
                <w:webHidden/>
              </w:rPr>
              <w:fldChar w:fldCharType="end"/>
            </w:r>
          </w:hyperlink>
        </w:p>
        <w:p w14:paraId="6CBB2EBD" w14:textId="5D12AEE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77" w:history="1">
            <w:r w:rsidRPr="00F45DCA">
              <w:rPr>
                <w:rStyle w:val="Lienhypertexte"/>
                <w:noProof/>
              </w:rPr>
              <w:t>23.24.4 Structures particulières en acier inoxydable formées à froid CCTB 01.04</w:t>
            </w:r>
            <w:r>
              <w:rPr>
                <w:noProof/>
                <w:webHidden/>
              </w:rPr>
              <w:tab/>
            </w:r>
            <w:r>
              <w:rPr>
                <w:noProof/>
                <w:webHidden/>
              </w:rPr>
              <w:fldChar w:fldCharType="begin"/>
            </w:r>
            <w:r>
              <w:rPr>
                <w:noProof/>
                <w:webHidden/>
              </w:rPr>
              <w:instrText xml:space="preserve"> PAGEREF _Toc220496377 \h </w:instrText>
            </w:r>
            <w:r>
              <w:rPr>
                <w:noProof/>
                <w:webHidden/>
              </w:rPr>
            </w:r>
            <w:r>
              <w:rPr>
                <w:noProof/>
                <w:webHidden/>
              </w:rPr>
              <w:fldChar w:fldCharType="separate"/>
            </w:r>
            <w:r>
              <w:rPr>
                <w:noProof/>
                <w:webHidden/>
              </w:rPr>
              <w:t>803</w:t>
            </w:r>
            <w:r>
              <w:rPr>
                <w:noProof/>
                <w:webHidden/>
              </w:rPr>
              <w:fldChar w:fldCharType="end"/>
            </w:r>
          </w:hyperlink>
        </w:p>
        <w:p w14:paraId="63FCEB44" w14:textId="23BD3D4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78" w:history="1">
            <w:r w:rsidRPr="00F45DCA">
              <w:rPr>
                <w:rStyle w:val="Lienhypertexte"/>
                <w:noProof/>
              </w:rPr>
              <w:t>23.24.4a Structures tridimensionnelles en acier inoxydable formées à froid CCTB 01.11</w:t>
            </w:r>
            <w:r>
              <w:rPr>
                <w:noProof/>
                <w:webHidden/>
              </w:rPr>
              <w:tab/>
            </w:r>
            <w:r>
              <w:rPr>
                <w:noProof/>
                <w:webHidden/>
              </w:rPr>
              <w:fldChar w:fldCharType="begin"/>
            </w:r>
            <w:r>
              <w:rPr>
                <w:noProof/>
                <w:webHidden/>
              </w:rPr>
              <w:instrText xml:space="preserve"> PAGEREF _Toc220496378 \h </w:instrText>
            </w:r>
            <w:r>
              <w:rPr>
                <w:noProof/>
                <w:webHidden/>
              </w:rPr>
            </w:r>
            <w:r>
              <w:rPr>
                <w:noProof/>
                <w:webHidden/>
              </w:rPr>
              <w:fldChar w:fldCharType="separate"/>
            </w:r>
            <w:r>
              <w:rPr>
                <w:noProof/>
                <w:webHidden/>
              </w:rPr>
              <w:t>803</w:t>
            </w:r>
            <w:r>
              <w:rPr>
                <w:noProof/>
                <w:webHidden/>
              </w:rPr>
              <w:fldChar w:fldCharType="end"/>
            </w:r>
          </w:hyperlink>
        </w:p>
        <w:p w14:paraId="78DA6B0A" w14:textId="2D3740F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79" w:history="1">
            <w:r w:rsidRPr="00F45DCA">
              <w:rPr>
                <w:rStyle w:val="Lienhypertexte"/>
                <w:noProof/>
              </w:rPr>
              <w:t>23.24.4b Ponts roulants en acier inoxydable formés à froid CCTB 01.04</w:t>
            </w:r>
            <w:r>
              <w:rPr>
                <w:noProof/>
                <w:webHidden/>
              </w:rPr>
              <w:tab/>
            </w:r>
            <w:r>
              <w:rPr>
                <w:noProof/>
                <w:webHidden/>
              </w:rPr>
              <w:fldChar w:fldCharType="begin"/>
            </w:r>
            <w:r>
              <w:rPr>
                <w:noProof/>
                <w:webHidden/>
              </w:rPr>
              <w:instrText xml:space="preserve"> PAGEREF _Toc220496379 \h </w:instrText>
            </w:r>
            <w:r>
              <w:rPr>
                <w:noProof/>
                <w:webHidden/>
              </w:rPr>
            </w:r>
            <w:r>
              <w:rPr>
                <w:noProof/>
                <w:webHidden/>
              </w:rPr>
              <w:fldChar w:fldCharType="separate"/>
            </w:r>
            <w:r>
              <w:rPr>
                <w:noProof/>
                <w:webHidden/>
              </w:rPr>
              <w:t>803</w:t>
            </w:r>
            <w:r>
              <w:rPr>
                <w:noProof/>
                <w:webHidden/>
              </w:rPr>
              <w:fldChar w:fldCharType="end"/>
            </w:r>
          </w:hyperlink>
        </w:p>
        <w:p w14:paraId="6E494894" w14:textId="1A0C5CB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80" w:history="1">
            <w:r w:rsidRPr="00F45DCA">
              <w:rPr>
                <w:rStyle w:val="Lienhypertexte"/>
                <w:noProof/>
              </w:rPr>
              <w:t>23.24.4c Mâts et pylônes en acier inoxydable formés à froid CCTB 01.04</w:t>
            </w:r>
            <w:r>
              <w:rPr>
                <w:noProof/>
                <w:webHidden/>
              </w:rPr>
              <w:tab/>
            </w:r>
            <w:r>
              <w:rPr>
                <w:noProof/>
                <w:webHidden/>
              </w:rPr>
              <w:fldChar w:fldCharType="begin"/>
            </w:r>
            <w:r>
              <w:rPr>
                <w:noProof/>
                <w:webHidden/>
              </w:rPr>
              <w:instrText xml:space="preserve"> PAGEREF _Toc220496380 \h </w:instrText>
            </w:r>
            <w:r>
              <w:rPr>
                <w:noProof/>
                <w:webHidden/>
              </w:rPr>
            </w:r>
            <w:r>
              <w:rPr>
                <w:noProof/>
                <w:webHidden/>
              </w:rPr>
              <w:fldChar w:fldCharType="separate"/>
            </w:r>
            <w:r>
              <w:rPr>
                <w:noProof/>
                <w:webHidden/>
              </w:rPr>
              <w:t>804</w:t>
            </w:r>
            <w:r>
              <w:rPr>
                <w:noProof/>
                <w:webHidden/>
              </w:rPr>
              <w:fldChar w:fldCharType="end"/>
            </w:r>
          </w:hyperlink>
        </w:p>
        <w:p w14:paraId="0C724FFA" w14:textId="563BB09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81" w:history="1">
            <w:r w:rsidRPr="00F45DCA">
              <w:rPr>
                <w:rStyle w:val="Lienhypertexte"/>
                <w:noProof/>
              </w:rPr>
              <w:t>23.24.5 Structures particulières en aluminium CCTB 01.02</w:t>
            </w:r>
            <w:r>
              <w:rPr>
                <w:noProof/>
                <w:webHidden/>
              </w:rPr>
              <w:tab/>
            </w:r>
            <w:r>
              <w:rPr>
                <w:noProof/>
                <w:webHidden/>
              </w:rPr>
              <w:fldChar w:fldCharType="begin"/>
            </w:r>
            <w:r>
              <w:rPr>
                <w:noProof/>
                <w:webHidden/>
              </w:rPr>
              <w:instrText xml:space="preserve"> PAGEREF _Toc220496381 \h </w:instrText>
            </w:r>
            <w:r>
              <w:rPr>
                <w:noProof/>
                <w:webHidden/>
              </w:rPr>
            </w:r>
            <w:r>
              <w:rPr>
                <w:noProof/>
                <w:webHidden/>
              </w:rPr>
              <w:fldChar w:fldCharType="separate"/>
            </w:r>
            <w:r>
              <w:rPr>
                <w:noProof/>
                <w:webHidden/>
              </w:rPr>
              <w:t>804</w:t>
            </w:r>
            <w:r>
              <w:rPr>
                <w:noProof/>
                <w:webHidden/>
              </w:rPr>
              <w:fldChar w:fldCharType="end"/>
            </w:r>
          </w:hyperlink>
        </w:p>
        <w:p w14:paraId="1872E730" w14:textId="452128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82" w:history="1">
            <w:r w:rsidRPr="00F45DCA">
              <w:rPr>
                <w:rStyle w:val="Lienhypertexte"/>
                <w:noProof/>
              </w:rPr>
              <w:t>23.24.5a Structures tridimensionnelles en aluminium CCTB 01.11</w:t>
            </w:r>
            <w:r>
              <w:rPr>
                <w:noProof/>
                <w:webHidden/>
              </w:rPr>
              <w:tab/>
            </w:r>
            <w:r>
              <w:rPr>
                <w:noProof/>
                <w:webHidden/>
              </w:rPr>
              <w:fldChar w:fldCharType="begin"/>
            </w:r>
            <w:r>
              <w:rPr>
                <w:noProof/>
                <w:webHidden/>
              </w:rPr>
              <w:instrText xml:space="preserve"> PAGEREF _Toc220496382 \h </w:instrText>
            </w:r>
            <w:r>
              <w:rPr>
                <w:noProof/>
                <w:webHidden/>
              </w:rPr>
            </w:r>
            <w:r>
              <w:rPr>
                <w:noProof/>
                <w:webHidden/>
              </w:rPr>
              <w:fldChar w:fldCharType="separate"/>
            </w:r>
            <w:r>
              <w:rPr>
                <w:noProof/>
                <w:webHidden/>
              </w:rPr>
              <w:t>804</w:t>
            </w:r>
            <w:r>
              <w:rPr>
                <w:noProof/>
                <w:webHidden/>
              </w:rPr>
              <w:fldChar w:fldCharType="end"/>
            </w:r>
          </w:hyperlink>
        </w:p>
        <w:p w14:paraId="0B1BED37" w14:textId="68147B9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83" w:history="1">
            <w:r w:rsidRPr="00F45DCA">
              <w:rPr>
                <w:rStyle w:val="Lienhypertexte"/>
                <w:noProof/>
              </w:rPr>
              <w:t>23.24.5b Mâts et pylônes en aluminium CCTB 01.04</w:t>
            </w:r>
            <w:r>
              <w:rPr>
                <w:noProof/>
                <w:webHidden/>
              </w:rPr>
              <w:tab/>
            </w:r>
            <w:r>
              <w:rPr>
                <w:noProof/>
                <w:webHidden/>
              </w:rPr>
              <w:fldChar w:fldCharType="begin"/>
            </w:r>
            <w:r>
              <w:rPr>
                <w:noProof/>
                <w:webHidden/>
              </w:rPr>
              <w:instrText xml:space="preserve"> PAGEREF _Toc220496383 \h </w:instrText>
            </w:r>
            <w:r>
              <w:rPr>
                <w:noProof/>
                <w:webHidden/>
              </w:rPr>
            </w:r>
            <w:r>
              <w:rPr>
                <w:noProof/>
                <w:webHidden/>
              </w:rPr>
              <w:fldChar w:fldCharType="separate"/>
            </w:r>
            <w:r>
              <w:rPr>
                <w:noProof/>
                <w:webHidden/>
              </w:rPr>
              <w:t>804</w:t>
            </w:r>
            <w:r>
              <w:rPr>
                <w:noProof/>
                <w:webHidden/>
              </w:rPr>
              <w:fldChar w:fldCharType="end"/>
            </w:r>
          </w:hyperlink>
        </w:p>
        <w:p w14:paraId="4968031D" w14:textId="307E3F5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384" w:history="1">
            <w:r w:rsidRPr="00F45DCA">
              <w:rPr>
                <w:rStyle w:val="Lienhypertexte"/>
                <w:noProof/>
              </w:rPr>
              <w:t>23.25 Systèmes constructifs particuliers métalliques CCTB 01.04</w:t>
            </w:r>
            <w:r>
              <w:rPr>
                <w:noProof/>
                <w:webHidden/>
              </w:rPr>
              <w:tab/>
            </w:r>
            <w:r>
              <w:rPr>
                <w:noProof/>
                <w:webHidden/>
              </w:rPr>
              <w:fldChar w:fldCharType="begin"/>
            </w:r>
            <w:r>
              <w:rPr>
                <w:noProof/>
                <w:webHidden/>
              </w:rPr>
              <w:instrText xml:space="preserve"> PAGEREF _Toc220496384 \h </w:instrText>
            </w:r>
            <w:r>
              <w:rPr>
                <w:noProof/>
                <w:webHidden/>
              </w:rPr>
            </w:r>
            <w:r>
              <w:rPr>
                <w:noProof/>
                <w:webHidden/>
              </w:rPr>
              <w:fldChar w:fldCharType="separate"/>
            </w:r>
            <w:r>
              <w:rPr>
                <w:noProof/>
                <w:webHidden/>
              </w:rPr>
              <w:t>804</w:t>
            </w:r>
            <w:r>
              <w:rPr>
                <w:noProof/>
                <w:webHidden/>
              </w:rPr>
              <w:fldChar w:fldCharType="end"/>
            </w:r>
          </w:hyperlink>
        </w:p>
        <w:p w14:paraId="364C48DA" w14:textId="6A4873D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85" w:history="1">
            <w:r w:rsidRPr="00F45DCA">
              <w:rPr>
                <w:rStyle w:val="Lienhypertexte"/>
                <w:noProof/>
              </w:rPr>
              <w:t>23.25.1 Systèmes constructifs particuliers en acier laminés à chaud CCTB 01.04</w:t>
            </w:r>
            <w:r>
              <w:rPr>
                <w:noProof/>
                <w:webHidden/>
              </w:rPr>
              <w:tab/>
            </w:r>
            <w:r>
              <w:rPr>
                <w:noProof/>
                <w:webHidden/>
              </w:rPr>
              <w:fldChar w:fldCharType="begin"/>
            </w:r>
            <w:r>
              <w:rPr>
                <w:noProof/>
                <w:webHidden/>
              </w:rPr>
              <w:instrText xml:space="preserve"> PAGEREF _Toc220496385 \h </w:instrText>
            </w:r>
            <w:r>
              <w:rPr>
                <w:noProof/>
                <w:webHidden/>
              </w:rPr>
            </w:r>
            <w:r>
              <w:rPr>
                <w:noProof/>
                <w:webHidden/>
              </w:rPr>
              <w:fldChar w:fldCharType="separate"/>
            </w:r>
            <w:r>
              <w:rPr>
                <w:noProof/>
                <w:webHidden/>
              </w:rPr>
              <w:t>804</w:t>
            </w:r>
            <w:r>
              <w:rPr>
                <w:noProof/>
                <w:webHidden/>
              </w:rPr>
              <w:fldChar w:fldCharType="end"/>
            </w:r>
          </w:hyperlink>
        </w:p>
        <w:p w14:paraId="27939A74" w14:textId="77305D2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86" w:history="1">
            <w:r w:rsidRPr="00F45DCA">
              <w:rPr>
                <w:rStyle w:val="Lienhypertexte"/>
                <w:noProof/>
              </w:rPr>
              <w:t>23.25.1a Systèmes constructifs particuliers en acier laminés à chaud CCTB 01.04</w:t>
            </w:r>
            <w:r>
              <w:rPr>
                <w:noProof/>
                <w:webHidden/>
              </w:rPr>
              <w:tab/>
            </w:r>
            <w:r>
              <w:rPr>
                <w:noProof/>
                <w:webHidden/>
              </w:rPr>
              <w:fldChar w:fldCharType="begin"/>
            </w:r>
            <w:r>
              <w:rPr>
                <w:noProof/>
                <w:webHidden/>
              </w:rPr>
              <w:instrText xml:space="preserve"> PAGEREF _Toc220496386 \h </w:instrText>
            </w:r>
            <w:r>
              <w:rPr>
                <w:noProof/>
                <w:webHidden/>
              </w:rPr>
            </w:r>
            <w:r>
              <w:rPr>
                <w:noProof/>
                <w:webHidden/>
              </w:rPr>
              <w:fldChar w:fldCharType="separate"/>
            </w:r>
            <w:r>
              <w:rPr>
                <w:noProof/>
                <w:webHidden/>
              </w:rPr>
              <w:t>804</w:t>
            </w:r>
            <w:r>
              <w:rPr>
                <w:noProof/>
                <w:webHidden/>
              </w:rPr>
              <w:fldChar w:fldCharType="end"/>
            </w:r>
          </w:hyperlink>
        </w:p>
        <w:p w14:paraId="64992403" w14:textId="14959CB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87" w:history="1">
            <w:r w:rsidRPr="00F45DCA">
              <w:rPr>
                <w:rStyle w:val="Lienhypertexte"/>
                <w:noProof/>
              </w:rPr>
              <w:t>23.25.1b Ossatures modulaires préfabriquées en acier laminées à chaud CCTB 01.04</w:t>
            </w:r>
            <w:r>
              <w:rPr>
                <w:noProof/>
                <w:webHidden/>
              </w:rPr>
              <w:tab/>
            </w:r>
            <w:r>
              <w:rPr>
                <w:noProof/>
                <w:webHidden/>
              </w:rPr>
              <w:fldChar w:fldCharType="begin"/>
            </w:r>
            <w:r>
              <w:rPr>
                <w:noProof/>
                <w:webHidden/>
              </w:rPr>
              <w:instrText xml:space="preserve"> PAGEREF _Toc220496387 \h </w:instrText>
            </w:r>
            <w:r>
              <w:rPr>
                <w:noProof/>
                <w:webHidden/>
              </w:rPr>
            </w:r>
            <w:r>
              <w:rPr>
                <w:noProof/>
                <w:webHidden/>
              </w:rPr>
              <w:fldChar w:fldCharType="separate"/>
            </w:r>
            <w:r>
              <w:rPr>
                <w:noProof/>
                <w:webHidden/>
              </w:rPr>
              <w:t>804</w:t>
            </w:r>
            <w:r>
              <w:rPr>
                <w:noProof/>
                <w:webHidden/>
              </w:rPr>
              <w:fldChar w:fldCharType="end"/>
            </w:r>
          </w:hyperlink>
        </w:p>
        <w:p w14:paraId="6207790E" w14:textId="76FE0BB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88" w:history="1">
            <w:r w:rsidRPr="00F45DCA">
              <w:rPr>
                <w:rStyle w:val="Lienhypertexte"/>
                <w:noProof/>
              </w:rPr>
              <w:t>23.25.1c Systèmes constructifs en coques raidies en acier laminées à chaud CCTB 01.04</w:t>
            </w:r>
            <w:r>
              <w:rPr>
                <w:noProof/>
                <w:webHidden/>
              </w:rPr>
              <w:tab/>
            </w:r>
            <w:r>
              <w:rPr>
                <w:noProof/>
                <w:webHidden/>
              </w:rPr>
              <w:fldChar w:fldCharType="begin"/>
            </w:r>
            <w:r>
              <w:rPr>
                <w:noProof/>
                <w:webHidden/>
              </w:rPr>
              <w:instrText xml:space="preserve"> PAGEREF _Toc220496388 \h </w:instrText>
            </w:r>
            <w:r>
              <w:rPr>
                <w:noProof/>
                <w:webHidden/>
              </w:rPr>
            </w:r>
            <w:r>
              <w:rPr>
                <w:noProof/>
                <w:webHidden/>
              </w:rPr>
              <w:fldChar w:fldCharType="separate"/>
            </w:r>
            <w:r>
              <w:rPr>
                <w:noProof/>
                <w:webHidden/>
              </w:rPr>
              <w:t>804</w:t>
            </w:r>
            <w:r>
              <w:rPr>
                <w:noProof/>
                <w:webHidden/>
              </w:rPr>
              <w:fldChar w:fldCharType="end"/>
            </w:r>
          </w:hyperlink>
        </w:p>
        <w:p w14:paraId="53BBF27D" w14:textId="32B75F8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89" w:history="1">
            <w:r w:rsidRPr="00F45DCA">
              <w:rPr>
                <w:rStyle w:val="Lienhypertexte"/>
                <w:noProof/>
              </w:rPr>
              <w:t>23.25.2 Systèmes constructifs particuliers en acier formés à froid CCTB 01.04</w:t>
            </w:r>
            <w:r>
              <w:rPr>
                <w:noProof/>
                <w:webHidden/>
              </w:rPr>
              <w:tab/>
            </w:r>
            <w:r>
              <w:rPr>
                <w:noProof/>
                <w:webHidden/>
              </w:rPr>
              <w:fldChar w:fldCharType="begin"/>
            </w:r>
            <w:r>
              <w:rPr>
                <w:noProof/>
                <w:webHidden/>
              </w:rPr>
              <w:instrText xml:space="preserve"> PAGEREF _Toc220496389 \h </w:instrText>
            </w:r>
            <w:r>
              <w:rPr>
                <w:noProof/>
                <w:webHidden/>
              </w:rPr>
            </w:r>
            <w:r>
              <w:rPr>
                <w:noProof/>
                <w:webHidden/>
              </w:rPr>
              <w:fldChar w:fldCharType="separate"/>
            </w:r>
            <w:r>
              <w:rPr>
                <w:noProof/>
                <w:webHidden/>
              </w:rPr>
              <w:t>804</w:t>
            </w:r>
            <w:r>
              <w:rPr>
                <w:noProof/>
                <w:webHidden/>
              </w:rPr>
              <w:fldChar w:fldCharType="end"/>
            </w:r>
          </w:hyperlink>
        </w:p>
        <w:p w14:paraId="6C528E88" w14:textId="17DF854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90" w:history="1">
            <w:r w:rsidRPr="00F45DCA">
              <w:rPr>
                <w:rStyle w:val="Lienhypertexte"/>
                <w:noProof/>
              </w:rPr>
              <w:t>23.25.2a Systèmes constructifs particuliers en acier formés à froid CCTB 01.04</w:t>
            </w:r>
            <w:r>
              <w:rPr>
                <w:noProof/>
                <w:webHidden/>
              </w:rPr>
              <w:tab/>
            </w:r>
            <w:r>
              <w:rPr>
                <w:noProof/>
                <w:webHidden/>
              </w:rPr>
              <w:fldChar w:fldCharType="begin"/>
            </w:r>
            <w:r>
              <w:rPr>
                <w:noProof/>
                <w:webHidden/>
              </w:rPr>
              <w:instrText xml:space="preserve"> PAGEREF _Toc220496390 \h </w:instrText>
            </w:r>
            <w:r>
              <w:rPr>
                <w:noProof/>
                <w:webHidden/>
              </w:rPr>
            </w:r>
            <w:r>
              <w:rPr>
                <w:noProof/>
                <w:webHidden/>
              </w:rPr>
              <w:fldChar w:fldCharType="separate"/>
            </w:r>
            <w:r>
              <w:rPr>
                <w:noProof/>
                <w:webHidden/>
              </w:rPr>
              <w:t>804</w:t>
            </w:r>
            <w:r>
              <w:rPr>
                <w:noProof/>
                <w:webHidden/>
              </w:rPr>
              <w:fldChar w:fldCharType="end"/>
            </w:r>
          </w:hyperlink>
        </w:p>
        <w:p w14:paraId="3632F18A" w14:textId="0FD7C7D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91" w:history="1">
            <w:r w:rsidRPr="00F45DCA">
              <w:rPr>
                <w:rStyle w:val="Lienhypertexte"/>
                <w:noProof/>
              </w:rPr>
              <w:t>23.25.2b Ossatures modulaires préfabriquées en acier formées à froid CCTB 01.04</w:t>
            </w:r>
            <w:r>
              <w:rPr>
                <w:noProof/>
                <w:webHidden/>
              </w:rPr>
              <w:tab/>
            </w:r>
            <w:r>
              <w:rPr>
                <w:noProof/>
                <w:webHidden/>
              </w:rPr>
              <w:fldChar w:fldCharType="begin"/>
            </w:r>
            <w:r>
              <w:rPr>
                <w:noProof/>
                <w:webHidden/>
              </w:rPr>
              <w:instrText xml:space="preserve"> PAGEREF _Toc220496391 \h </w:instrText>
            </w:r>
            <w:r>
              <w:rPr>
                <w:noProof/>
                <w:webHidden/>
              </w:rPr>
            </w:r>
            <w:r>
              <w:rPr>
                <w:noProof/>
                <w:webHidden/>
              </w:rPr>
              <w:fldChar w:fldCharType="separate"/>
            </w:r>
            <w:r>
              <w:rPr>
                <w:noProof/>
                <w:webHidden/>
              </w:rPr>
              <w:t>804</w:t>
            </w:r>
            <w:r>
              <w:rPr>
                <w:noProof/>
                <w:webHidden/>
              </w:rPr>
              <w:fldChar w:fldCharType="end"/>
            </w:r>
          </w:hyperlink>
        </w:p>
        <w:p w14:paraId="5B6917F8" w14:textId="53DF29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92" w:history="1">
            <w:r w:rsidRPr="00F45DCA">
              <w:rPr>
                <w:rStyle w:val="Lienhypertexte"/>
                <w:noProof/>
              </w:rPr>
              <w:t>23.25.2c Systèmes constructifs en coques raidies en acier formées à froid CCTB 01.04</w:t>
            </w:r>
            <w:r>
              <w:rPr>
                <w:noProof/>
                <w:webHidden/>
              </w:rPr>
              <w:tab/>
            </w:r>
            <w:r>
              <w:rPr>
                <w:noProof/>
                <w:webHidden/>
              </w:rPr>
              <w:fldChar w:fldCharType="begin"/>
            </w:r>
            <w:r>
              <w:rPr>
                <w:noProof/>
                <w:webHidden/>
              </w:rPr>
              <w:instrText xml:space="preserve"> PAGEREF _Toc220496392 \h </w:instrText>
            </w:r>
            <w:r>
              <w:rPr>
                <w:noProof/>
                <w:webHidden/>
              </w:rPr>
            </w:r>
            <w:r>
              <w:rPr>
                <w:noProof/>
                <w:webHidden/>
              </w:rPr>
              <w:fldChar w:fldCharType="separate"/>
            </w:r>
            <w:r>
              <w:rPr>
                <w:noProof/>
                <w:webHidden/>
              </w:rPr>
              <w:t>804</w:t>
            </w:r>
            <w:r>
              <w:rPr>
                <w:noProof/>
                <w:webHidden/>
              </w:rPr>
              <w:fldChar w:fldCharType="end"/>
            </w:r>
          </w:hyperlink>
        </w:p>
        <w:p w14:paraId="69C960F4" w14:textId="246E158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93" w:history="1">
            <w:r w:rsidRPr="00F45DCA">
              <w:rPr>
                <w:rStyle w:val="Lienhypertexte"/>
                <w:noProof/>
              </w:rPr>
              <w:t>23.25.3 Systèmes constructifs particuliers en acier inoxydable laminés à chaud CCTB 01.04</w:t>
            </w:r>
            <w:r>
              <w:rPr>
                <w:noProof/>
                <w:webHidden/>
              </w:rPr>
              <w:tab/>
            </w:r>
            <w:r>
              <w:rPr>
                <w:noProof/>
                <w:webHidden/>
              </w:rPr>
              <w:fldChar w:fldCharType="begin"/>
            </w:r>
            <w:r>
              <w:rPr>
                <w:noProof/>
                <w:webHidden/>
              </w:rPr>
              <w:instrText xml:space="preserve"> PAGEREF _Toc220496393 \h </w:instrText>
            </w:r>
            <w:r>
              <w:rPr>
                <w:noProof/>
                <w:webHidden/>
              </w:rPr>
            </w:r>
            <w:r>
              <w:rPr>
                <w:noProof/>
                <w:webHidden/>
              </w:rPr>
              <w:fldChar w:fldCharType="separate"/>
            </w:r>
            <w:r>
              <w:rPr>
                <w:noProof/>
                <w:webHidden/>
              </w:rPr>
              <w:t>804</w:t>
            </w:r>
            <w:r>
              <w:rPr>
                <w:noProof/>
                <w:webHidden/>
              </w:rPr>
              <w:fldChar w:fldCharType="end"/>
            </w:r>
          </w:hyperlink>
        </w:p>
        <w:p w14:paraId="6D996500" w14:textId="7ECF024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94" w:history="1">
            <w:r w:rsidRPr="00F45DCA">
              <w:rPr>
                <w:rStyle w:val="Lienhypertexte"/>
                <w:noProof/>
              </w:rPr>
              <w:t>23.25.3a Systèmes constructifs particuliers en acier inoxydable laminés à chaud CCTB 01.04</w:t>
            </w:r>
            <w:r>
              <w:rPr>
                <w:noProof/>
                <w:webHidden/>
              </w:rPr>
              <w:tab/>
            </w:r>
            <w:r>
              <w:rPr>
                <w:noProof/>
                <w:webHidden/>
              </w:rPr>
              <w:fldChar w:fldCharType="begin"/>
            </w:r>
            <w:r>
              <w:rPr>
                <w:noProof/>
                <w:webHidden/>
              </w:rPr>
              <w:instrText xml:space="preserve"> PAGEREF _Toc220496394 \h </w:instrText>
            </w:r>
            <w:r>
              <w:rPr>
                <w:noProof/>
                <w:webHidden/>
              </w:rPr>
            </w:r>
            <w:r>
              <w:rPr>
                <w:noProof/>
                <w:webHidden/>
              </w:rPr>
              <w:fldChar w:fldCharType="separate"/>
            </w:r>
            <w:r>
              <w:rPr>
                <w:noProof/>
                <w:webHidden/>
              </w:rPr>
              <w:t>804</w:t>
            </w:r>
            <w:r>
              <w:rPr>
                <w:noProof/>
                <w:webHidden/>
              </w:rPr>
              <w:fldChar w:fldCharType="end"/>
            </w:r>
          </w:hyperlink>
        </w:p>
        <w:p w14:paraId="30C4B493" w14:textId="6E6D0EF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95" w:history="1">
            <w:r w:rsidRPr="00F45DCA">
              <w:rPr>
                <w:rStyle w:val="Lienhypertexte"/>
                <w:noProof/>
              </w:rPr>
              <w:t>23.25.4 Systèmes constructifs particuliers en acier inoxydable formés à froid CCTB 01.04</w:t>
            </w:r>
            <w:r>
              <w:rPr>
                <w:noProof/>
                <w:webHidden/>
              </w:rPr>
              <w:tab/>
            </w:r>
            <w:r>
              <w:rPr>
                <w:noProof/>
                <w:webHidden/>
              </w:rPr>
              <w:fldChar w:fldCharType="begin"/>
            </w:r>
            <w:r>
              <w:rPr>
                <w:noProof/>
                <w:webHidden/>
              </w:rPr>
              <w:instrText xml:space="preserve"> PAGEREF _Toc220496395 \h </w:instrText>
            </w:r>
            <w:r>
              <w:rPr>
                <w:noProof/>
                <w:webHidden/>
              </w:rPr>
            </w:r>
            <w:r>
              <w:rPr>
                <w:noProof/>
                <w:webHidden/>
              </w:rPr>
              <w:fldChar w:fldCharType="separate"/>
            </w:r>
            <w:r>
              <w:rPr>
                <w:noProof/>
                <w:webHidden/>
              </w:rPr>
              <w:t>804</w:t>
            </w:r>
            <w:r>
              <w:rPr>
                <w:noProof/>
                <w:webHidden/>
              </w:rPr>
              <w:fldChar w:fldCharType="end"/>
            </w:r>
          </w:hyperlink>
        </w:p>
        <w:p w14:paraId="055043BF" w14:textId="319EA89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96" w:history="1">
            <w:r w:rsidRPr="00F45DCA">
              <w:rPr>
                <w:rStyle w:val="Lienhypertexte"/>
                <w:noProof/>
              </w:rPr>
              <w:t>23.25.4a Systèmes constructifs particuliers en acier inoxydable formés à froid CCTB 01.04</w:t>
            </w:r>
            <w:r>
              <w:rPr>
                <w:noProof/>
                <w:webHidden/>
              </w:rPr>
              <w:tab/>
            </w:r>
            <w:r>
              <w:rPr>
                <w:noProof/>
                <w:webHidden/>
              </w:rPr>
              <w:fldChar w:fldCharType="begin"/>
            </w:r>
            <w:r>
              <w:rPr>
                <w:noProof/>
                <w:webHidden/>
              </w:rPr>
              <w:instrText xml:space="preserve"> PAGEREF _Toc220496396 \h </w:instrText>
            </w:r>
            <w:r>
              <w:rPr>
                <w:noProof/>
                <w:webHidden/>
              </w:rPr>
            </w:r>
            <w:r>
              <w:rPr>
                <w:noProof/>
                <w:webHidden/>
              </w:rPr>
              <w:fldChar w:fldCharType="separate"/>
            </w:r>
            <w:r>
              <w:rPr>
                <w:noProof/>
                <w:webHidden/>
              </w:rPr>
              <w:t>804</w:t>
            </w:r>
            <w:r>
              <w:rPr>
                <w:noProof/>
                <w:webHidden/>
              </w:rPr>
              <w:fldChar w:fldCharType="end"/>
            </w:r>
          </w:hyperlink>
        </w:p>
        <w:p w14:paraId="7343AFC7" w14:textId="3796448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397" w:history="1">
            <w:r w:rsidRPr="00F45DCA">
              <w:rPr>
                <w:rStyle w:val="Lienhypertexte"/>
                <w:noProof/>
              </w:rPr>
              <w:t>23.25.5 Systèmes constructifs particuliers en aluminium CCTB 01.04</w:t>
            </w:r>
            <w:r>
              <w:rPr>
                <w:noProof/>
                <w:webHidden/>
              </w:rPr>
              <w:tab/>
            </w:r>
            <w:r>
              <w:rPr>
                <w:noProof/>
                <w:webHidden/>
              </w:rPr>
              <w:fldChar w:fldCharType="begin"/>
            </w:r>
            <w:r>
              <w:rPr>
                <w:noProof/>
                <w:webHidden/>
              </w:rPr>
              <w:instrText xml:space="preserve"> PAGEREF _Toc220496397 \h </w:instrText>
            </w:r>
            <w:r>
              <w:rPr>
                <w:noProof/>
                <w:webHidden/>
              </w:rPr>
            </w:r>
            <w:r>
              <w:rPr>
                <w:noProof/>
                <w:webHidden/>
              </w:rPr>
              <w:fldChar w:fldCharType="separate"/>
            </w:r>
            <w:r>
              <w:rPr>
                <w:noProof/>
                <w:webHidden/>
              </w:rPr>
              <w:t>804</w:t>
            </w:r>
            <w:r>
              <w:rPr>
                <w:noProof/>
                <w:webHidden/>
              </w:rPr>
              <w:fldChar w:fldCharType="end"/>
            </w:r>
          </w:hyperlink>
        </w:p>
        <w:p w14:paraId="06BB6ABE" w14:textId="2048F0D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398" w:history="1">
            <w:r w:rsidRPr="00F45DCA">
              <w:rPr>
                <w:rStyle w:val="Lienhypertexte"/>
                <w:noProof/>
              </w:rPr>
              <w:t>23.25.5a Systèmes constructifs particuliers en aluminium CCTB 01.04</w:t>
            </w:r>
            <w:r>
              <w:rPr>
                <w:noProof/>
                <w:webHidden/>
              </w:rPr>
              <w:tab/>
            </w:r>
            <w:r>
              <w:rPr>
                <w:noProof/>
                <w:webHidden/>
              </w:rPr>
              <w:fldChar w:fldCharType="begin"/>
            </w:r>
            <w:r>
              <w:rPr>
                <w:noProof/>
                <w:webHidden/>
              </w:rPr>
              <w:instrText xml:space="preserve"> PAGEREF _Toc220496398 \h </w:instrText>
            </w:r>
            <w:r>
              <w:rPr>
                <w:noProof/>
                <w:webHidden/>
              </w:rPr>
            </w:r>
            <w:r>
              <w:rPr>
                <w:noProof/>
                <w:webHidden/>
              </w:rPr>
              <w:fldChar w:fldCharType="separate"/>
            </w:r>
            <w:r>
              <w:rPr>
                <w:noProof/>
                <w:webHidden/>
              </w:rPr>
              <w:t>804</w:t>
            </w:r>
            <w:r>
              <w:rPr>
                <w:noProof/>
                <w:webHidden/>
              </w:rPr>
              <w:fldChar w:fldCharType="end"/>
            </w:r>
          </w:hyperlink>
        </w:p>
        <w:p w14:paraId="5EFAC1D4" w14:textId="6BDE65DA"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399" w:history="1">
            <w:r w:rsidRPr="00F45DCA">
              <w:rPr>
                <w:rStyle w:val="Lienhypertexte"/>
                <w:noProof/>
              </w:rPr>
              <w:t>23.3 Eléments et structures secondaires métalliques CCTB 01.02</w:t>
            </w:r>
            <w:r>
              <w:rPr>
                <w:noProof/>
                <w:webHidden/>
              </w:rPr>
              <w:tab/>
            </w:r>
            <w:r>
              <w:rPr>
                <w:noProof/>
                <w:webHidden/>
              </w:rPr>
              <w:fldChar w:fldCharType="begin"/>
            </w:r>
            <w:r>
              <w:rPr>
                <w:noProof/>
                <w:webHidden/>
              </w:rPr>
              <w:instrText xml:space="preserve"> PAGEREF _Toc220496399 \h </w:instrText>
            </w:r>
            <w:r>
              <w:rPr>
                <w:noProof/>
                <w:webHidden/>
              </w:rPr>
            </w:r>
            <w:r>
              <w:rPr>
                <w:noProof/>
                <w:webHidden/>
              </w:rPr>
              <w:fldChar w:fldCharType="separate"/>
            </w:r>
            <w:r>
              <w:rPr>
                <w:noProof/>
                <w:webHidden/>
              </w:rPr>
              <w:t>804</w:t>
            </w:r>
            <w:r>
              <w:rPr>
                <w:noProof/>
                <w:webHidden/>
              </w:rPr>
              <w:fldChar w:fldCharType="end"/>
            </w:r>
          </w:hyperlink>
        </w:p>
        <w:p w14:paraId="54EAD4CE" w14:textId="7F3AE71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00" w:history="1">
            <w:r w:rsidRPr="00F45DCA">
              <w:rPr>
                <w:rStyle w:val="Lienhypertexte"/>
                <w:noProof/>
              </w:rPr>
              <w:t>23.31 Escaliers métalliques CCTB 01.11</w:t>
            </w:r>
            <w:r>
              <w:rPr>
                <w:noProof/>
                <w:webHidden/>
              </w:rPr>
              <w:tab/>
            </w:r>
            <w:r>
              <w:rPr>
                <w:noProof/>
                <w:webHidden/>
              </w:rPr>
              <w:fldChar w:fldCharType="begin"/>
            </w:r>
            <w:r>
              <w:rPr>
                <w:noProof/>
                <w:webHidden/>
              </w:rPr>
              <w:instrText xml:space="preserve"> PAGEREF _Toc220496400 \h </w:instrText>
            </w:r>
            <w:r>
              <w:rPr>
                <w:noProof/>
                <w:webHidden/>
              </w:rPr>
            </w:r>
            <w:r>
              <w:rPr>
                <w:noProof/>
                <w:webHidden/>
              </w:rPr>
              <w:fldChar w:fldCharType="separate"/>
            </w:r>
            <w:r>
              <w:rPr>
                <w:noProof/>
                <w:webHidden/>
              </w:rPr>
              <w:t>804</w:t>
            </w:r>
            <w:r>
              <w:rPr>
                <w:noProof/>
                <w:webHidden/>
              </w:rPr>
              <w:fldChar w:fldCharType="end"/>
            </w:r>
          </w:hyperlink>
        </w:p>
        <w:p w14:paraId="4FF2C72A" w14:textId="3A59C92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01" w:history="1">
            <w:r w:rsidRPr="00F45DCA">
              <w:rPr>
                <w:rStyle w:val="Lienhypertexte"/>
                <w:noProof/>
              </w:rPr>
              <w:t>23.31.1 Escaliers en acier CCTB 01.04</w:t>
            </w:r>
            <w:r>
              <w:rPr>
                <w:noProof/>
                <w:webHidden/>
              </w:rPr>
              <w:tab/>
            </w:r>
            <w:r>
              <w:rPr>
                <w:noProof/>
                <w:webHidden/>
              </w:rPr>
              <w:fldChar w:fldCharType="begin"/>
            </w:r>
            <w:r>
              <w:rPr>
                <w:noProof/>
                <w:webHidden/>
              </w:rPr>
              <w:instrText xml:space="preserve"> PAGEREF _Toc220496401 \h </w:instrText>
            </w:r>
            <w:r>
              <w:rPr>
                <w:noProof/>
                <w:webHidden/>
              </w:rPr>
            </w:r>
            <w:r>
              <w:rPr>
                <w:noProof/>
                <w:webHidden/>
              </w:rPr>
              <w:fldChar w:fldCharType="separate"/>
            </w:r>
            <w:r>
              <w:rPr>
                <w:noProof/>
                <w:webHidden/>
              </w:rPr>
              <w:t>809</w:t>
            </w:r>
            <w:r>
              <w:rPr>
                <w:noProof/>
                <w:webHidden/>
              </w:rPr>
              <w:fldChar w:fldCharType="end"/>
            </w:r>
          </w:hyperlink>
        </w:p>
        <w:p w14:paraId="2FCF786A" w14:textId="2CF8727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02" w:history="1">
            <w:r w:rsidRPr="00F45DCA">
              <w:rPr>
                <w:rStyle w:val="Lienhypertexte"/>
                <w:noProof/>
              </w:rPr>
              <w:t>23.31.1a Escaliers en acier CCTB 01.11</w:t>
            </w:r>
            <w:r>
              <w:rPr>
                <w:noProof/>
                <w:webHidden/>
              </w:rPr>
              <w:tab/>
            </w:r>
            <w:r>
              <w:rPr>
                <w:noProof/>
                <w:webHidden/>
              </w:rPr>
              <w:fldChar w:fldCharType="begin"/>
            </w:r>
            <w:r>
              <w:rPr>
                <w:noProof/>
                <w:webHidden/>
              </w:rPr>
              <w:instrText xml:space="preserve"> PAGEREF _Toc220496402 \h </w:instrText>
            </w:r>
            <w:r>
              <w:rPr>
                <w:noProof/>
                <w:webHidden/>
              </w:rPr>
            </w:r>
            <w:r>
              <w:rPr>
                <w:noProof/>
                <w:webHidden/>
              </w:rPr>
              <w:fldChar w:fldCharType="separate"/>
            </w:r>
            <w:r>
              <w:rPr>
                <w:noProof/>
                <w:webHidden/>
              </w:rPr>
              <w:t>809</w:t>
            </w:r>
            <w:r>
              <w:rPr>
                <w:noProof/>
                <w:webHidden/>
              </w:rPr>
              <w:fldChar w:fldCharType="end"/>
            </w:r>
          </w:hyperlink>
        </w:p>
        <w:p w14:paraId="454B5266" w14:textId="7ABBE3B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03" w:history="1">
            <w:r w:rsidRPr="00F45DCA">
              <w:rPr>
                <w:rStyle w:val="Lienhypertexte"/>
                <w:noProof/>
              </w:rPr>
              <w:t>23.31.2 Escaliers en acier inoxydable CCTB 01.04</w:t>
            </w:r>
            <w:r>
              <w:rPr>
                <w:noProof/>
                <w:webHidden/>
              </w:rPr>
              <w:tab/>
            </w:r>
            <w:r>
              <w:rPr>
                <w:noProof/>
                <w:webHidden/>
              </w:rPr>
              <w:fldChar w:fldCharType="begin"/>
            </w:r>
            <w:r>
              <w:rPr>
                <w:noProof/>
                <w:webHidden/>
              </w:rPr>
              <w:instrText xml:space="preserve"> PAGEREF _Toc220496403 \h </w:instrText>
            </w:r>
            <w:r>
              <w:rPr>
                <w:noProof/>
                <w:webHidden/>
              </w:rPr>
            </w:r>
            <w:r>
              <w:rPr>
                <w:noProof/>
                <w:webHidden/>
              </w:rPr>
              <w:fldChar w:fldCharType="separate"/>
            </w:r>
            <w:r>
              <w:rPr>
                <w:noProof/>
                <w:webHidden/>
              </w:rPr>
              <w:t>814</w:t>
            </w:r>
            <w:r>
              <w:rPr>
                <w:noProof/>
                <w:webHidden/>
              </w:rPr>
              <w:fldChar w:fldCharType="end"/>
            </w:r>
          </w:hyperlink>
        </w:p>
        <w:p w14:paraId="75A4EF5D" w14:textId="0BBE1D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04" w:history="1">
            <w:r w:rsidRPr="00F45DCA">
              <w:rPr>
                <w:rStyle w:val="Lienhypertexte"/>
                <w:noProof/>
              </w:rPr>
              <w:t>23.31.2a Escaliers en acier inoxydable CCTB 01.04</w:t>
            </w:r>
            <w:r>
              <w:rPr>
                <w:noProof/>
                <w:webHidden/>
              </w:rPr>
              <w:tab/>
            </w:r>
            <w:r>
              <w:rPr>
                <w:noProof/>
                <w:webHidden/>
              </w:rPr>
              <w:fldChar w:fldCharType="begin"/>
            </w:r>
            <w:r>
              <w:rPr>
                <w:noProof/>
                <w:webHidden/>
              </w:rPr>
              <w:instrText xml:space="preserve"> PAGEREF _Toc220496404 \h </w:instrText>
            </w:r>
            <w:r>
              <w:rPr>
                <w:noProof/>
                <w:webHidden/>
              </w:rPr>
            </w:r>
            <w:r>
              <w:rPr>
                <w:noProof/>
                <w:webHidden/>
              </w:rPr>
              <w:fldChar w:fldCharType="separate"/>
            </w:r>
            <w:r>
              <w:rPr>
                <w:noProof/>
                <w:webHidden/>
              </w:rPr>
              <w:t>814</w:t>
            </w:r>
            <w:r>
              <w:rPr>
                <w:noProof/>
                <w:webHidden/>
              </w:rPr>
              <w:fldChar w:fldCharType="end"/>
            </w:r>
          </w:hyperlink>
        </w:p>
        <w:p w14:paraId="537FBA98" w14:textId="00C54B8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05" w:history="1">
            <w:r w:rsidRPr="00F45DCA">
              <w:rPr>
                <w:rStyle w:val="Lienhypertexte"/>
                <w:noProof/>
              </w:rPr>
              <w:t>23.31.3 Escaliers en aluminium CCTB 01.04</w:t>
            </w:r>
            <w:r>
              <w:rPr>
                <w:noProof/>
                <w:webHidden/>
              </w:rPr>
              <w:tab/>
            </w:r>
            <w:r>
              <w:rPr>
                <w:noProof/>
                <w:webHidden/>
              </w:rPr>
              <w:fldChar w:fldCharType="begin"/>
            </w:r>
            <w:r>
              <w:rPr>
                <w:noProof/>
                <w:webHidden/>
              </w:rPr>
              <w:instrText xml:space="preserve"> PAGEREF _Toc220496405 \h </w:instrText>
            </w:r>
            <w:r>
              <w:rPr>
                <w:noProof/>
                <w:webHidden/>
              </w:rPr>
            </w:r>
            <w:r>
              <w:rPr>
                <w:noProof/>
                <w:webHidden/>
              </w:rPr>
              <w:fldChar w:fldCharType="separate"/>
            </w:r>
            <w:r>
              <w:rPr>
                <w:noProof/>
                <w:webHidden/>
              </w:rPr>
              <w:t>814</w:t>
            </w:r>
            <w:r>
              <w:rPr>
                <w:noProof/>
                <w:webHidden/>
              </w:rPr>
              <w:fldChar w:fldCharType="end"/>
            </w:r>
          </w:hyperlink>
        </w:p>
        <w:p w14:paraId="66264424" w14:textId="09C1D46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06" w:history="1">
            <w:r w:rsidRPr="00F45DCA">
              <w:rPr>
                <w:rStyle w:val="Lienhypertexte"/>
                <w:noProof/>
              </w:rPr>
              <w:t>23.31.3a Escaliers en aluminium CCTB 01.04</w:t>
            </w:r>
            <w:r>
              <w:rPr>
                <w:noProof/>
                <w:webHidden/>
              </w:rPr>
              <w:tab/>
            </w:r>
            <w:r>
              <w:rPr>
                <w:noProof/>
                <w:webHidden/>
              </w:rPr>
              <w:fldChar w:fldCharType="begin"/>
            </w:r>
            <w:r>
              <w:rPr>
                <w:noProof/>
                <w:webHidden/>
              </w:rPr>
              <w:instrText xml:space="preserve"> PAGEREF _Toc220496406 \h </w:instrText>
            </w:r>
            <w:r>
              <w:rPr>
                <w:noProof/>
                <w:webHidden/>
              </w:rPr>
            </w:r>
            <w:r>
              <w:rPr>
                <w:noProof/>
                <w:webHidden/>
              </w:rPr>
              <w:fldChar w:fldCharType="separate"/>
            </w:r>
            <w:r>
              <w:rPr>
                <w:noProof/>
                <w:webHidden/>
              </w:rPr>
              <w:t>814</w:t>
            </w:r>
            <w:r>
              <w:rPr>
                <w:noProof/>
                <w:webHidden/>
              </w:rPr>
              <w:fldChar w:fldCharType="end"/>
            </w:r>
          </w:hyperlink>
        </w:p>
        <w:p w14:paraId="6510FAA2" w14:textId="33FFC3F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07" w:history="1">
            <w:r w:rsidRPr="00F45DCA">
              <w:rPr>
                <w:rStyle w:val="Lienhypertexte"/>
                <w:noProof/>
              </w:rPr>
              <w:t>23.32 Garde-corps et rampes métalliques CCTB 01.11</w:t>
            </w:r>
            <w:r>
              <w:rPr>
                <w:noProof/>
                <w:webHidden/>
              </w:rPr>
              <w:tab/>
            </w:r>
            <w:r>
              <w:rPr>
                <w:noProof/>
                <w:webHidden/>
              </w:rPr>
              <w:fldChar w:fldCharType="begin"/>
            </w:r>
            <w:r>
              <w:rPr>
                <w:noProof/>
                <w:webHidden/>
              </w:rPr>
              <w:instrText xml:space="preserve"> PAGEREF _Toc220496407 \h </w:instrText>
            </w:r>
            <w:r>
              <w:rPr>
                <w:noProof/>
                <w:webHidden/>
              </w:rPr>
            </w:r>
            <w:r>
              <w:rPr>
                <w:noProof/>
                <w:webHidden/>
              </w:rPr>
              <w:fldChar w:fldCharType="separate"/>
            </w:r>
            <w:r>
              <w:rPr>
                <w:noProof/>
                <w:webHidden/>
              </w:rPr>
              <w:t>815</w:t>
            </w:r>
            <w:r>
              <w:rPr>
                <w:noProof/>
                <w:webHidden/>
              </w:rPr>
              <w:fldChar w:fldCharType="end"/>
            </w:r>
          </w:hyperlink>
        </w:p>
        <w:p w14:paraId="576C05B9" w14:textId="2C78653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08" w:history="1">
            <w:r w:rsidRPr="00F45DCA">
              <w:rPr>
                <w:rStyle w:val="Lienhypertexte"/>
                <w:noProof/>
              </w:rPr>
              <w:t>23.32.1 Garde-corps et rampes en acier CCTB 01.04</w:t>
            </w:r>
            <w:r>
              <w:rPr>
                <w:noProof/>
                <w:webHidden/>
              </w:rPr>
              <w:tab/>
            </w:r>
            <w:r>
              <w:rPr>
                <w:noProof/>
                <w:webHidden/>
              </w:rPr>
              <w:fldChar w:fldCharType="begin"/>
            </w:r>
            <w:r>
              <w:rPr>
                <w:noProof/>
                <w:webHidden/>
              </w:rPr>
              <w:instrText xml:space="preserve"> PAGEREF _Toc220496408 \h </w:instrText>
            </w:r>
            <w:r>
              <w:rPr>
                <w:noProof/>
                <w:webHidden/>
              </w:rPr>
            </w:r>
            <w:r>
              <w:rPr>
                <w:noProof/>
                <w:webHidden/>
              </w:rPr>
              <w:fldChar w:fldCharType="separate"/>
            </w:r>
            <w:r>
              <w:rPr>
                <w:noProof/>
                <w:webHidden/>
              </w:rPr>
              <w:t>817</w:t>
            </w:r>
            <w:r>
              <w:rPr>
                <w:noProof/>
                <w:webHidden/>
              </w:rPr>
              <w:fldChar w:fldCharType="end"/>
            </w:r>
          </w:hyperlink>
        </w:p>
        <w:p w14:paraId="6624611F" w14:textId="3519B9D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09" w:history="1">
            <w:r w:rsidRPr="00F45DCA">
              <w:rPr>
                <w:rStyle w:val="Lienhypertexte"/>
                <w:noProof/>
              </w:rPr>
              <w:t>23.32.1a Garde-corps et rampes en acier CCTB 01.11</w:t>
            </w:r>
            <w:r>
              <w:rPr>
                <w:noProof/>
                <w:webHidden/>
              </w:rPr>
              <w:tab/>
            </w:r>
            <w:r>
              <w:rPr>
                <w:noProof/>
                <w:webHidden/>
              </w:rPr>
              <w:fldChar w:fldCharType="begin"/>
            </w:r>
            <w:r>
              <w:rPr>
                <w:noProof/>
                <w:webHidden/>
              </w:rPr>
              <w:instrText xml:space="preserve"> PAGEREF _Toc220496409 \h </w:instrText>
            </w:r>
            <w:r>
              <w:rPr>
                <w:noProof/>
                <w:webHidden/>
              </w:rPr>
            </w:r>
            <w:r>
              <w:rPr>
                <w:noProof/>
                <w:webHidden/>
              </w:rPr>
              <w:fldChar w:fldCharType="separate"/>
            </w:r>
            <w:r>
              <w:rPr>
                <w:noProof/>
                <w:webHidden/>
              </w:rPr>
              <w:t>817</w:t>
            </w:r>
            <w:r>
              <w:rPr>
                <w:noProof/>
                <w:webHidden/>
              </w:rPr>
              <w:fldChar w:fldCharType="end"/>
            </w:r>
          </w:hyperlink>
        </w:p>
        <w:p w14:paraId="1CAED714" w14:textId="077806F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10" w:history="1">
            <w:r w:rsidRPr="00F45DCA">
              <w:rPr>
                <w:rStyle w:val="Lienhypertexte"/>
                <w:noProof/>
              </w:rPr>
              <w:t>23.32.2 Garde-corps et rampes en acier inoxydable CCTB 01.04</w:t>
            </w:r>
            <w:r>
              <w:rPr>
                <w:noProof/>
                <w:webHidden/>
              </w:rPr>
              <w:tab/>
            </w:r>
            <w:r>
              <w:rPr>
                <w:noProof/>
                <w:webHidden/>
              </w:rPr>
              <w:fldChar w:fldCharType="begin"/>
            </w:r>
            <w:r>
              <w:rPr>
                <w:noProof/>
                <w:webHidden/>
              </w:rPr>
              <w:instrText xml:space="preserve"> PAGEREF _Toc220496410 \h </w:instrText>
            </w:r>
            <w:r>
              <w:rPr>
                <w:noProof/>
                <w:webHidden/>
              </w:rPr>
            </w:r>
            <w:r>
              <w:rPr>
                <w:noProof/>
                <w:webHidden/>
              </w:rPr>
              <w:fldChar w:fldCharType="separate"/>
            </w:r>
            <w:r>
              <w:rPr>
                <w:noProof/>
                <w:webHidden/>
              </w:rPr>
              <w:t>821</w:t>
            </w:r>
            <w:r>
              <w:rPr>
                <w:noProof/>
                <w:webHidden/>
              </w:rPr>
              <w:fldChar w:fldCharType="end"/>
            </w:r>
          </w:hyperlink>
        </w:p>
        <w:p w14:paraId="7A7DD48E" w14:textId="54D5C77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11" w:history="1">
            <w:r w:rsidRPr="00F45DCA">
              <w:rPr>
                <w:rStyle w:val="Lienhypertexte"/>
                <w:noProof/>
              </w:rPr>
              <w:t>23.32.2a Garde-corps et rampes en acier inoxydable CCTB 01.04</w:t>
            </w:r>
            <w:r>
              <w:rPr>
                <w:noProof/>
                <w:webHidden/>
              </w:rPr>
              <w:tab/>
            </w:r>
            <w:r>
              <w:rPr>
                <w:noProof/>
                <w:webHidden/>
              </w:rPr>
              <w:fldChar w:fldCharType="begin"/>
            </w:r>
            <w:r>
              <w:rPr>
                <w:noProof/>
                <w:webHidden/>
              </w:rPr>
              <w:instrText xml:space="preserve"> PAGEREF _Toc220496411 \h </w:instrText>
            </w:r>
            <w:r>
              <w:rPr>
                <w:noProof/>
                <w:webHidden/>
              </w:rPr>
            </w:r>
            <w:r>
              <w:rPr>
                <w:noProof/>
                <w:webHidden/>
              </w:rPr>
              <w:fldChar w:fldCharType="separate"/>
            </w:r>
            <w:r>
              <w:rPr>
                <w:noProof/>
                <w:webHidden/>
              </w:rPr>
              <w:t>821</w:t>
            </w:r>
            <w:r>
              <w:rPr>
                <w:noProof/>
                <w:webHidden/>
              </w:rPr>
              <w:fldChar w:fldCharType="end"/>
            </w:r>
          </w:hyperlink>
        </w:p>
        <w:p w14:paraId="485057ED" w14:textId="43E8E36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12" w:history="1">
            <w:r w:rsidRPr="00F45DCA">
              <w:rPr>
                <w:rStyle w:val="Lienhypertexte"/>
                <w:noProof/>
              </w:rPr>
              <w:t>23.32.3 Garde-corps et rampes en aluminium CCTB 01.04</w:t>
            </w:r>
            <w:r>
              <w:rPr>
                <w:noProof/>
                <w:webHidden/>
              </w:rPr>
              <w:tab/>
            </w:r>
            <w:r>
              <w:rPr>
                <w:noProof/>
                <w:webHidden/>
              </w:rPr>
              <w:fldChar w:fldCharType="begin"/>
            </w:r>
            <w:r>
              <w:rPr>
                <w:noProof/>
                <w:webHidden/>
              </w:rPr>
              <w:instrText xml:space="preserve"> PAGEREF _Toc220496412 \h </w:instrText>
            </w:r>
            <w:r>
              <w:rPr>
                <w:noProof/>
                <w:webHidden/>
              </w:rPr>
            </w:r>
            <w:r>
              <w:rPr>
                <w:noProof/>
                <w:webHidden/>
              </w:rPr>
              <w:fldChar w:fldCharType="separate"/>
            </w:r>
            <w:r>
              <w:rPr>
                <w:noProof/>
                <w:webHidden/>
              </w:rPr>
              <w:t>821</w:t>
            </w:r>
            <w:r>
              <w:rPr>
                <w:noProof/>
                <w:webHidden/>
              </w:rPr>
              <w:fldChar w:fldCharType="end"/>
            </w:r>
          </w:hyperlink>
        </w:p>
        <w:p w14:paraId="4D4A012E" w14:textId="2EF5FAE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13" w:history="1">
            <w:r w:rsidRPr="00F45DCA">
              <w:rPr>
                <w:rStyle w:val="Lienhypertexte"/>
                <w:noProof/>
              </w:rPr>
              <w:t>23.32.3a Garde-corps et rampes en aluminium CCTB 01.04</w:t>
            </w:r>
            <w:r>
              <w:rPr>
                <w:noProof/>
                <w:webHidden/>
              </w:rPr>
              <w:tab/>
            </w:r>
            <w:r>
              <w:rPr>
                <w:noProof/>
                <w:webHidden/>
              </w:rPr>
              <w:fldChar w:fldCharType="begin"/>
            </w:r>
            <w:r>
              <w:rPr>
                <w:noProof/>
                <w:webHidden/>
              </w:rPr>
              <w:instrText xml:space="preserve"> PAGEREF _Toc220496413 \h </w:instrText>
            </w:r>
            <w:r>
              <w:rPr>
                <w:noProof/>
                <w:webHidden/>
              </w:rPr>
            </w:r>
            <w:r>
              <w:rPr>
                <w:noProof/>
                <w:webHidden/>
              </w:rPr>
              <w:fldChar w:fldCharType="separate"/>
            </w:r>
            <w:r>
              <w:rPr>
                <w:noProof/>
                <w:webHidden/>
              </w:rPr>
              <w:t>821</w:t>
            </w:r>
            <w:r>
              <w:rPr>
                <w:noProof/>
                <w:webHidden/>
              </w:rPr>
              <w:fldChar w:fldCharType="end"/>
            </w:r>
          </w:hyperlink>
        </w:p>
        <w:p w14:paraId="2B1C12A3" w14:textId="6EA9B34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14" w:history="1">
            <w:r w:rsidRPr="00F45DCA">
              <w:rPr>
                <w:rStyle w:val="Lienhypertexte"/>
                <w:noProof/>
              </w:rPr>
              <w:t>23.33 Balcons et terrasses métalliques CCTB 01.02</w:t>
            </w:r>
            <w:r>
              <w:rPr>
                <w:noProof/>
                <w:webHidden/>
              </w:rPr>
              <w:tab/>
            </w:r>
            <w:r>
              <w:rPr>
                <w:noProof/>
                <w:webHidden/>
              </w:rPr>
              <w:fldChar w:fldCharType="begin"/>
            </w:r>
            <w:r>
              <w:rPr>
                <w:noProof/>
                <w:webHidden/>
              </w:rPr>
              <w:instrText xml:space="preserve"> PAGEREF _Toc220496414 \h </w:instrText>
            </w:r>
            <w:r>
              <w:rPr>
                <w:noProof/>
                <w:webHidden/>
              </w:rPr>
            </w:r>
            <w:r>
              <w:rPr>
                <w:noProof/>
                <w:webHidden/>
              </w:rPr>
              <w:fldChar w:fldCharType="separate"/>
            </w:r>
            <w:r>
              <w:rPr>
                <w:noProof/>
                <w:webHidden/>
              </w:rPr>
              <w:t>821</w:t>
            </w:r>
            <w:r>
              <w:rPr>
                <w:noProof/>
                <w:webHidden/>
              </w:rPr>
              <w:fldChar w:fldCharType="end"/>
            </w:r>
          </w:hyperlink>
        </w:p>
        <w:p w14:paraId="6F03B148" w14:textId="4B7A7B2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15" w:history="1">
            <w:r w:rsidRPr="00F45DCA">
              <w:rPr>
                <w:rStyle w:val="Lienhypertexte"/>
                <w:noProof/>
              </w:rPr>
              <w:t>23.33.1 Balcons et terrasses en acier CCTB 01.04</w:t>
            </w:r>
            <w:r>
              <w:rPr>
                <w:noProof/>
                <w:webHidden/>
              </w:rPr>
              <w:tab/>
            </w:r>
            <w:r>
              <w:rPr>
                <w:noProof/>
                <w:webHidden/>
              </w:rPr>
              <w:fldChar w:fldCharType="begin"/>
            </w:r>
            <w:r>
              <w:rPr>
                <w:noProof/>
                <w:webHidden/>
              </w:rPr>
              <w:instrText xml:space="preserve"> PAGEREF _Toc220496415 \h </w:instrText>
            </w:r>
            <w:r>
              <w:rPr>
                <w:noProof/>
                <w:webHidden/>
              </w:rPr>
            </w:r>
            <w:r>
              <w:rPr>
                <w:noProof/>
                <w:webHidden/>
              </w:rPr>
              <w:fldChar w:fldCharType="separate"/>
            </w:r>
            <w:r>
              <w:rPr>
                <w:noProof/>
                <w:webHidden/>
              </w:rPr>
              <w:t>821</w:t>
            </w:r>
            <w:r>
              <w:rPr>
                <w:noProof/>
                <w:webHidden/>
              </w:rPr>
              <w:fldChar w:fldCharType="end"/>
            </w:r>
          </w:hyperlink>
        </w:p>
        <w:p w14:paraId="7BB50E97" w14:textId="477521E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16" w:history="1">
            <w:r w:rsidRPr="00F45DCA">
              <w:rPr>
                <w:rStyle w:val="Lienhypertexte"/>
                <w:noProof/>
              </w:rPr>
              <w:t>23.33.1a Balcons et terrasses en acier CCTB 01.04</w:t>
            </w:r>
            <w:r>
              <w:rPr>
                <w:noProof/>
                <w:webHidden/>
              </w:rPr>
              <w:tab/>
            </w:r>
            <w:r>
              <w:rPr>
                <w:noProof/>
                <w:webHidden/>
              </w:rPr>
              <w:fldChar w:fldCharType="begin"/>
            </w:r>
            <w:r>
              <w:rPr>
                <w:noProof/>
                <w:webHidden/>
              </w:rPr>
              <w:instrText xml:space="preserve"> PAGEREF _Toc220496416 \h </w:instrText>
            </w:r>
            <w:r>
              <w:rPr>
                <w:noProof/>
                <w:webHidden/>
              </w:rPr>
            </w:r>
            <w:r>
              <w:rPr>
                <w:noProof/>
                <w:webHidden/>
              </w:rPr>
              <w:fldChar w:fldCharType="separate"/>
            </w:r>
            <w:r>
              <w:rPr>
                <w:noProof/>
                <w:webHidden/>
              </w:rPr>
              <w:t>821</w:t>
            </w:r>
            <w:r>
              <w:rPr>
                <w:noProof/>
                <w:webHidden/>
              </w:rPr>
              <w:fldChar w:fldCharType="end"/>
            </w:r>
          </w:hyperlink>
        </w:p>
        <w:p w14:paraId="6BFDA55F" w14:textId="49551C2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17" w:history="1">
            <w:r w:rsidRPr="00F45DCA">
              <w:rPr>
                <w:rStyle w:val="Lienhypertexte"/>
                <w:noProof/>
              </w:rPr>
              <w:t>23.33.2 Balcons et terrasses en acier inoxydable CCTB 01.04</w:t>
            </w:r>
            <w:r>
              <w:rPr>
                <w:noProof/>
                <w:webHidden/>
              </w:rPr>
              <w:tab/>
            </w:r>
            <w:r>
              <w:rPr>
                <w:noProof/>
                <w:webHidden/>
              </w:rPr>
              <w:fldChar w:fldCharType="begin"/>
            </w:r>
            <w:r>
              <w:rPr>
                <w:noProof/>
                <w:webHidden/>
              </w:rPr>
              <w:instrText xml:space="preserve"> PAGEREF _Toc220496417 \h </w:instrText>
            </w:r>
            <w:r>
              <w:rPr>
                <w:noProof/>
                <w:webHidden/>
              </w:rPr>
            </w:r>
            <w:r>
              <w:rPr>
                <w:noProof/>
                <w:webHidden/>
              </w:rPr>
              <w:fldChar w:fldCharType="separate"/>
            </w:r>
            <w:r>
              <w:rPr>
                <w:noProof/>
                <w:webHidden/>
              </w:rPr>
              <w:t>821</w:t>
            </w:r>
            <w:r>
              <w:rPr>
                <w:noProof/>
                <w:webHidden/>
              </w:rPr>
              <w:fldChar w:fldCharType="end"/>
            </w:r>
          </w:hyperlink>
        </w:p>
        <w:p w14:paraId="7CBE2AB7" w14:textId="79EFC11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18" w:history="1">
            <w:r w:rsidRPr="00F45DCA">
              <w:rPr>
                <w:rStyle w:val="Lienhypertexte"/>
                <w:noProof/>
              </w:rPr>
              <w:t>23.33.2a Balcons et terrasses en acier inoxydable CCTB 01.04</w:t>
            </w:r>
            <w:r>
              <w:rPr>
                <w:noProof/>
                <w:webHidden/>
              </w:rPr>
              <w:tab/>
            </w:r>
            <w:r>
              <w:rPr>
                <w:noProof/>
                <w:webHidden/>
              </w:rPr>
              <w:fldChar w:fldCharType="begin"/>
            </w:r>
            <w:r>
              <w:rPr>
                <w:noProof/>
                <w:webHidden/>
              </w:rPr>
              <w:instrText xml:space="preserve"> PAGEREF _Toc220496418 \h </w:instrText>
            </w:r>
            <w:r>
              <w:rPr>
                <w:noProof/>
                <w:webHidden/>
              </w:rPr>
            </w:r>
            <w:r>
              <w:rPr>
                <w:noProof/>
                <w:webHidden/>
              </w:rPr>
              <w:fldChar w:fldCharType="separate"/>
            </w:r>
            <w:r>
              <w:rPr>
                <w:noProof/>
                <w:webHidden/>
              </w:rPr>
              <w:t>821</w:t>
            </w:r>
            <w:r>
              <w:rPr>
                <w:noProof/>
                <w:webHidden/>
              </w:rPr>
              <w:fldChar w:fldCharType="end"/>
            </w:r>
          </w:hyperlink>
        </w:p>
        <w:p w14:paraId="26799C67" w14:textId="79A41E3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19" w:history="1">
            <w:r w:rsidRPr="00F45DCA">
              <w:rPr>
                <w:rStyle w:val="Lienhypertexte"/>
                <w:noProof/>
              </w:rPr>
              <w:t>23.33.3 Balcons et terrasses en aluminium CCTB 01.04</w:t>
            </w:r>
            <w:r>
              <w:rPr>
                <w:noProof/>
                <w:webHidden/>
              </w:rPr>
              <w:tab/>
            </w:r>
            <w:r>
              <w:rPr>
                <w:noProof/>
                <w:webHidden/>
              </w:rPr>
              <w:fldChar w:fldCharType="begin"/>
            </w:r>
            <w:r>
              <w:rPr>
                <w:noProof/>
                <w:webHidden/>
              </w:rPr>
              <w:instrText xml:space="preserve"> PAGEREF _Toc220496419 \h </w:instrText>
            </w:r>
            <w:r>
              <w:rPr>
                <w:noProof/>
                <w:webHidden/>
              </w:rPr>
            </w:r>
            <w:r>
              <w:rPr>
                <w:noProof/>
                <w:webHidden/>
              </w:rPr>
              <w:fldChar w:fldCharType="separate"/>
            </w:r>
            <w:r>
              <w:rPr>
                <w:noProof/>
                <w:webHidden/>
              </w:rPr>
              <w:t>821</w:t>
            </w:r>
            <w:r>
              <w:rPr>
                <w:noProof/>
                <w:webHidden/>
              </w:rPr>
              <w:fldChar w:fldCharType="end"/>
            </w:r>
          </w:hyperlink>
        </w:p>
        <w:p w14:paraId="2271E0E1" w14:textId="51054CE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20" w:history="1">
            <w:r w:rsidRPr="00F45DCA">
              <w:rPr>
                <w:rStyle w:val="Lienhypertexte"/>
                <w:noProof/>
              </w:rPr>
              <w:t>23.33.3a Balcons et terrasses en aluminium CCTB 01.04</w:t>
            </w:r>
            <w:r>
              <w:rPr>
                <w:noProof/>
                <w:webHidden/>
              </w:rPr>
              <w:tab/>
            </w:r>
            <w:r>
              <w:rPr>
                <w:noProof/>
                <w:webHidden/>
              </w:rPr>
              <w:fldChar w:fldCharType="begin"/>
            </w:r>
            <w:r>
              <w:rPr>
                <w:noProof/>
                <w:webHidden/>
              </w:rPr>
              <w:instrText xml:space="preserve"> PAGEREF _Toc220496420 \h </w:instrText>
            </w:r>
            <w:r>
              <w:rPr>
                <w:noProof/>
                <w:webHidden/>
              </w:rPr>
            </w:r>
            <w:r>
              <w:rPr>
                <w:noProof/>
                <w:webHidden/>
              </w:rPr>
              <w:fldChar w:fldCharType="separate"/>
            </w:r>
            <w:r>
              <w:rPr>
                <w:noProof/>
                <w:webHidden/>
              </w:rPr>
              <w:t>821</w:t>
            </w:r>
            <w:r>
              <w:rPr>
                <w:noProof/>
                <w:webHidden/>
              </w:rPr>
              <w:fldChar w:fldCharType="end"/>
            </w:r>
          </w:hyperlink>
        </w:p>
        <w:p w14:paraId="05CCD9D4" w14:textId="25BA692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21" w:history="1">
            <w:r w:rsidRPr="00F45DCA">
              <w:rPr>
                <w:rStyle w:val="Lienhypertexte"/>
                <w:noProof/>
              </w:rPr>
              <w:t>23.34 Passerelles et coursives métalliques CCTB 01.11</w:t>
            </w:r>
            <w:r>
              <w:rPr>
                <w:noProof/>
                <w:webHidden/>
              </w:rPr>
              <w:tab/>
            </w:r>
            <w:r>
              <w:rPr>
                <w:noProof/>
                <w:webHidden/>
              </w:rPr>
              <w:fldChar w:fldCharType="begin"/>
            </w:r>
            <w:r>
              <w:rPr>
                <w:noProof/>
                <w:webHidden/>
              </w:rPr>
              <w:instrText xml:space="preserve"> PAGEREF _Toc220496421 \h </w:instrText>
            </w:r>
            <w:r>
              <w:rPr>
                <w:noProof/>
                <w:webHidden/>
              </w:rPr>
            </w:r>
            <w:r>
              <w:rPr>
                <w:noProof/>
                <w:webHidden/>
              </w:rPr>
              <w:fldChar w:fldCharType="separate"/>
            </w:r>
            <w:r>
              <w:rPr>
                <w:noProof/>
                <w:webHidden/>
              </w:rPr>
              <w:t>821</w:t>
            </w:r>
            <w:r>
              <w:rPr>
                <w:noProof/>
                <w:webHidden/>
              </w:rPr>
              <w:fldChar w:fldCharType="end"/>
            </w:r>
          </w:hyperlink>
        </w:p>
        <w:p w14:paraId="1ECD5570" w14:textId="5970CBC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22" w:history="1">
            <w:r w:rsidRPr="00F45DCA">
              <w:rPr>
                <w:rStyle w:val="Lienhypertexte"/>
                <w:noProof/>
              </w:rPr>
              <w:t>23.34.1 Passerelles et coursives en acier CCTB 01.04</w:t>
            </w:r>
            <w:r>
              <w:rPr>
                <w:noProof/>
                <w:webHidden/>
              </w:rPr>
              <w:tab/>
            </w:r>
            <w:r>
              <w:rPr>
                <w:noProof/>
                <w:webHidden/>
              </w:rPr>
              <w:fldChar w:fldCharType="begin"/>
            </w:r>
            <w:r>
              <w:rPr>
                <w:noProof/>
                <w:webHidden/>
              </w:rPr>
              <w:instrText xml:space="preserve"> PAGEREF _Toc220496422 \h </w:instrText>
            </w:r>
            <w:r>
              <w:rPr>
                <w:noProof/>
                <w:webHidden/>
              </w:rPr>
            </w:r>
            <w:r>
              <w:rPr>
                <w:noProof/>
                <w:webHidden/>
              </w:rPr>
              <w:fldChar w:fldCharType="separate"/>
            </w:r>
            <w:r>
              <w:rPr>
                <w:noProof/>
                <w:webHidden/>
              </w:rPr>
              <w:t>824</w:t>
            </w:r>
            <w:r>
              <w:rPr>
                <w:noProof/>
                <w:webHidden/>
              </w:rPr>
              <w:fldChar w:fldCharType="end"/>
            </w:r>
          </w:hyperlink>
        </w:p>
        <w:p w14:paraId="46535EBD" w14:textId="511EEC8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23" w:history="1">
            <w:r w:rsidRPr="00F45DCA">
              <w:rPr>
                <w:rStyle w:val="Lienhypertexte"/>
                <w:noProof/>
              </w:rPr>
              <w:t>23.34.1a Passerelles et coursives en acier CCTB 01.12</w:t>
            </w:r>
            <w:r>
              <w:rPr>
                <w:noProof/>
                <w:webHidden/>
              </w:rPr>
              <w:tab/>
            </w:r>
            <w:r>
              <w:rPr>
                <w:noProof/>
                <w:webHidden/>
              </w:rPr>
              <w:fldChar w:fldCharType="begin"/>
            </w:r>
            <w:r>
              <w:rPr>
                <w:noProof/>
                <w:webHidden/>
              </w:rPr>
              <w:instrText xml:space="preserve"> PAGEREF _Toc220496423 \h </w:instrText>
            </w:r>
            <w:r>
              <w:rPr>
                <w:noProof/>
                <w:webHidden/>
              </w:rPr>
            </w:r>
            <w:r>
              <w:rPr>
                <w:noProof/>
                <w:webHidden/>
              </w:rPr>
              <w:fldChar w:fldCharType="separate"/>
            </w:r>
            <w:r>
              <w:rPr>
                <w:noProof/>
                <w:webHidden/>
              </w:rPr>
              <w:t>824</w:t>
            </w:r>
            <w:r>
              <w:rPr>
                <w:noProof/>
                <w:webHidden/>
              </w:rPr>
              <w:fldChar w:fldCharType="end"/>
            </w:r>
          </w:hyperlink>
        </w:p>
        <w:p w14:paraId="07664338" w14:textId="09F8F89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24" w:history="1">
            <w:r w:rsidRPr="00F45DCA">
              <w:rPr>
                <w:rStyle w:val="Lienhypertexte"/>
                <w:noProof/>
              </w:rPr>
              <w:t>23.34.2 Passerelles et coursives en acier inoxydable CCTB 01.04</w:t>
            </w:r>
            <w:r>
              <w:rPr>
                <w:noProof/>
                <w:webHidden/>
              </w:rPr>
              <w:tab/>
            </w:r>
            <w:r>
              <w:rPr>
                <w:noProof/>
                <w:webHidden/>
              </w:rPr>
              <w:fldChar w:fldCharType="begin"/>
            </w:r>
            <w:r>
              <w:rPr>
                <w:noProof/>
                <w:webHidden/>
              </w:rPr>
              <w:instrText xml:space="preserve"> PAGEREF _Toc220496424 \h </w:instrText>
            </w:r>
            <w:r>
              <w:rPr>
                <w:noProof/>
                <w:webHidden/>
              </w:rPr>
            </w:r>
            <w:r>
              <w:rPr>
                <w:noProof/>
                <w:webHidden/>
              </w:rPr>
              <w:fldChar w:fldCharType="separate"/>
            </w:r>
            <w:r>
              <w:rPr>
                <w:noProof/>
                <w:webHidden/>
              </w:rPr>
              <w:t>828</w:t>
            </w:r>
            <w:r>
              <w:rPr>
                <w:noProof/>
                <w:webHidden/>
              </w:rPr>
              <w:fldChar w:fldCharType="end"/>
            </w:r>
          </w:hyperlink>
        </w:p>
        <w:p w14:paraId="792D648D" w14:textId="06AE584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25" w:history="1">
            <w:r w:rsidRPr="00F45DCA">
              <w:rPr>
                <w:rStyle w:val="Lienhypertexte"/>
                <w:noProof/>
              </w:rPr>
              <w:t>23.34.2a Passerelles et coursives en acier inoxydable CCTB 01.04</w:t>
            </w:r>
            <w:r>
              <w:rPr>
                <w:noProof/>
                <w:webHidden/>
              </w:rPr>
              <w:tab/>
            </w:r>
            <w:r>
              <w:rPr>
                <w:noProof/>
                <w:webHidden/>
              </w:rPr>
              <w:fldChar w:fldCharType="begin"/>
            </w:r>
            <w:r>
              <w:rPr>
                <w:noProof/>
                <w:webHidden/>
              </w:rPr>
              <w:instrText xml:space="preserve"> PAGEREF _Toc220496425 \h </w:instrText>
            </w:r>
            <w:r>
              <w:rPr>
                <w:noProof/>
                <w:webHidden/>
              </w:rPr>
            </w:r>
            <w:r>
              <w:rPr>
                <w:noProof/>
                <w:webHidden/>
              </w:rPr>
              <w:fldChar w:fldCharType="separate"/>
            </w:r>
            <w:r>
              <w:rPr>
                <w:noProof/>
                <w:webHidden/>
              </w:rPr>
              <w:t>828</w:t>
            </w:r>
            <w:r>
              <w:rPr>
                <w:noProof/>
                <w:webHidden/>
              </w:rPr>
              <w:fldChar w:fldCharType="end"/>
            </w:r>
          </w:hyperlink>
        </w:p>
        <w:p w14:paraId="5D7771AD" w14:textId="08DDCA2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26" w:history="1">
            <w:r w:rsidRPr="00F45DCA">
              <w:rPr>
                <w:rStyle w:val="Lienhypertexte"/>
                <w:noProof/>
              </w:rPr>
              <w:t>23.34.3 Passerelles et coursives en aluminium CCTB 01.04</w:t>
            </w:r>
            <w:r>
              <w:rPr>
                <w:noProof/>
                <w:webHidden/>
              </w:rPr>
              <w:tab/>
            </w:r>
            <w:r>
              <w:rPr>
                <w:noProof/>
                <w:webHidden/>
              </w:rPr>
              <w:fldChar w:fldCharType="begin"/>
            </w:r>
            <w:r>
              <w:rPr>
                <w:noProof/>
                <w:webHidden/>
              </w:rPr>
              <w:instrText xml:space="preserve"> PAGEREF _Toc220496426 \h </w:instrText>
            </w:r>
            <w:r>
              <w:rPr>
                <w:noProof/>
                <w:webHidden/>
              </w:rPr>
            </w:r>
            <w:r>
              <w:rPr>
                <w:noProof/>
                <w:webHidden/>
              </w:rPr>
              <w:fldChar w:fldCharType="separate"/>
            </w:r>
            <w:r>
              <w:rPr>
                <w:noProof/>
                <w:webHidden/>
              </w:rPr>
              <w:t>829</w:t>
            </w:r>
            <w:r>
              <w:rPr>
                <w:noProof/>
                <w:webHidden/>
              </w:rPr>
              <w:fldChar w:fldCharType="end"/>
            </w:r>
          </w:hyperlink>
        </w:p>
        <w:p w14:paraId="4A50EECF" w14:textId="1DF74B8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27" w:history="1">
            <w:r w:rsidRPr="00F45DCA">
              <w:rPr>
                <w:rStyle w:val="Lienhypertexte"/>
                <w:noProof/>
              </w:rPr>
              <w:t>23.34.3a Passerelles et coursives en aluminium CCTB 01.04</w:t>
            </w:r>
            <w:r>
              <w:rPr>
                <w:noProof/>
                <w:webHidden/>
              </w:rPr>
              <w:tab/>
            </w:r>
            <w:r>
              <w:rPr>
                <w:noProof/>
                <w:webHidden/>
              </w:rPr>
              <w:fldChar w:fldCharType="begin"/>
            </w:r>
            <w:r>
              <w:rPr>
                <w:noProof/>
                <w:webHidden/>
              </w:rPr>
              <w:instrText xml:space="preserve"> PAGEREF _Toc220496427 \h </w:instrText>
            </w:r>
            <w:r>
              <w:rPr>
                <w:noProof/>
                <w:webHidden/>
              </w:rPr>
            </w:r>
            <w:r>
              <w:rPr>
                <w:noProof/>
                <w:webHidden/>
              </w:rPr>
              <w:fldChar w:fldCharType="separate"/>
            </w:r>
            <w:r>
              <w:rPr>
                <w:noProof/>
                <w:webHidden/>
              </w:rPr>
              <w:t>829</w:t>
            </w:r>
            <w:r>
              <w:rPr>
                <w:noProof/>
                <w:webHidden/>
              </w:rPr>
              <w:fldChar w:fldCharType="end"/>
            </w:r>
          </w:hyperlink>
        </w:p>
        <w:p w14:paraId="1DE669CC" w14:textId="68CE8F2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28" w:history="1">
            <w:r w:rsidRPr="00F45DCA">
              <w:rPr>
                <w:rStyle w:val="Lienhypertexte"/>
                <w:noProof/>
              </w:rPr>
              <w:t>23.35 Auvents métalliques CCTB 01.02</w:t>
            </w:r>
            <w:r>
              <w:rPr>
                <w:noProof/>
                <w:webHidden/>
              </w:rPr>
              <w:tab/>
            </w:r>
            <w:r>
              <w:rPr>
                <w:noProof/>
                <w:webHidden/>
              </w:rPr>
              <w:fldChar w:fldCharType="begin"/>
            </w:r>
            <w:r>
              <w:rPr>
                <w:noProof/>
                <w:webHidden/>
              </w:rPr>
              <w:instrText xml:space="preserve"> PAGEREF _Toc220496428 \h </w:instrText>
            </w:r>
            <w:r>
              <w:rPr>
                <w:noProof/>
                <w:webHidden/>
              </w:rPr>
            </w:r>
            <w:r>
              <w:rPr>
                <w:noProof/>
                <w:webHidden/>
              </w:rPr>
              <w:fldChar w:fldCharType="separate"/>
            </w:r>
            <w:r>
              <w:rPr>
                <w:noProof/>
                <w:webHidden/>
              </w:rPr>
              <w:t>829</w:t>
            </w:r>
            <w:r>
              <w:rPr>
                <w:noProof/>
                <w:webHidden/>
              </w:rPr>
              <w:fldChar w:fldCharType="end"/>
            </w:r>
          </w:hyperlink>
        </w:p>
        <w:p w14:paraId="2B756E7C" w14:textId="3C81D69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29" w:history="1">
            <w:r w:rsidRPr="00F45DCA">
              <w:rPr>
                <w:rStyle w:val="Lienhypertexte"/>
                <w:noProof/>
              </w:rPr>
              <w:t>23.35.1 Auvents métalliques en acier CCTB 01.04</w:t>
            </w:r>
            <w:r>
              <w:rPr>
                <w:noProof/>
                <w:webHidden/>
              </w:rPr>
              <w:tab/>
            </w:r>
            <w:r>
              <w:rPr>
                <w:noProof/>
                <w:webHidden/>
              </w:rPr>
              <w:fldChar w:fldCharType="begin"/>
            </w:r>
            <w:r>
              <w:rPr>
                <w:noProof/>
                <w:webHidden/>
              </w:rPr>
              <w:instrText xml:space="preserve"> PAGEREF _Toc220496429 \h </w:instrText>
            </w:r>
            <w:r>
              <w:rPr>
                <w:noProof/>
                <w:webHidden/>
              </w:rPr>
            </w:r>
            <w:r>
              <w:rPr>
                <w:noProof/>
                <w:webHidden/>
              </w:rPr>
              <w:fldChar w:fldCharType="separate"/>
            </w:r>
            <w:r>
              <w:rPr>
                <w:noProof/>
                <w:webHidden/>
              </w:rPr>
              <w:t>829</w:t>
            </w:r>
            <w:r>
              <w:rPr>
                <w:noProof/>
                <w:webHidden/>
              </w:rPr>
              <w:fldChar w:fldCharType="end"/>
            </w:r>
          </w:hyperlink>
        </w:p>
        <w:p w14:paraId="531C4770" w14:textId="5CDAA20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30" w:history="1">
            <w:r w:rsidRPr="00F45DCA">
              <w:rPr>
                <w:rStyle w:val="Lienhypertexte"/>
                <w:noProof/>
              </w:rPr>
              <w:t>23.35.1a Auvents métalliques en acier CCTB 01.04</w:t>
            </w:r>
            <w:r>
              <w:rPr>
                <w:noProof/>
                <w:webHidden/>
              </w:rPr>
              <w:tab/>
            </w:r>
            <w:r>
              <w:rPr>
                <w:noProof/>
                <w:webHidden/>
              </w:rPr>
              <w:fldChar w:fldCharType="begin"/>
            </w:r>
            <w:r>
              <w:rPr>
                <w:noProof/>
                <w:webHidden/>
              </w:rPr>
              <w:instrText xml:space="preserve"> PAGEREF _Toc220496430 \h </w:instrText>
            </w:r>
            <w:r>
              <w:rPr>
                <w:noProof/>
                <w:webHidden/>
              </w:rPr>
            </w:r>
            <w:r>
              <w:rPr>
                <w:noProof/>
                <w:webHidden/>
              </w:rPr>
              <w:fldChar w:fldCharType="separate"/>
            </w:r>
            <w:r>
              <w:rPr>
                <w:noProof/>
                <w:webHidden/>
              </w:rPr>
              <w:t>829</w:t>
            </w:r>
            <w:r>
              <w:rPr>
                <w:noProof/>
                <w:webHidden/>
              </w:rPr>
              <w:fldChar w:fldCharType="end"/>
            </w:r>
          </w:hyperlink>
        </w:p>
        <w:p w14:paraId="7EED7CF5" w14:textId="28344A7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31" w:history="1">
            <w:r w:rsidRPr="00F45DCA">
              <w:rPr>
                <w:rStyle w:val="Lienhypertexte"/>
                <w:noProof/>
              </w:rPr>
              <w:t>23.35.2 Auvents métalliques en acier inoxydable CCTB 01.04</w:t>
            </w:r>
            <w:r>
              <w:rPr>
                <w:noProof/>
                <w:webHidden/>
              </w:rPr>
              <w:tab/>
            </w:r>
            <w:r>
              <w:rPr>
                <w:noProof/>
                <w:webHidden/>
              </w:rPr>
              <w:fldChar w:fldCharType="begin"/>
            </w:r>
            <w:r>
              <w:rPr>
                <w:noProof/>
                <w:webHidden/>
              </w:rPr>
              <w:instrText xml:space="preserve"> PAGEREF _Toc220496431 \h </w:instrText>
            </w:r>
            <w:r>
              <w:rPr>
                <w:noProof/>
                <w:webHidden/>
              </w:rPr>
            </w:r>
            <w:r>
              <w:rPr>
                <w:noProof/>
                <w:webHidden/>
              </w:rPr>
              <w:fldChar w:fldCharType="separate"/>
            </w:r>
            <w:r>
              <w:rPr>
                <w:noProof/>
                <w:webHidden/>
              </w:rPr>
              <w:t>829</w:t>
            </w:r>
            <w:r>
              <w:rPr>
                <w:noProof/>
                <w:webHidden/>
              </w:rPr>
              <w:fldChar w:fldCharType="end"/>
            </w:r>
          </w:hyperlink>
        </w:p>
        <w:p w14:paraId="77DFCB12" w14:textId="6F283AB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32" w:history="1">
            <w:r w:rsidRPr="00F45DCA">
              <w:rPr>
                <w:rStyle w:val="Lienhypertexte"/>
                <w:noProof/>
              </w:rPr>
              <w:t>23.35.2a Auvents métalliques en acier inoxydable CCTB 01.04</w:t>
            </w:r>
            <w:r>
              <w:rPr>
                <w:noProof/>
                <w:webHidden/>
              </w:rPr>
              <w:tab/>
            </w:r>
            <w:r>
              <w:rPr>
                <w:noProof/>
                <w:webHidden/>
              </w:rPr>
              <w:fldChar w:fldCharType="begin"/>
            </w:r>
            <w:r>
              <w:rPr>
                <w:noProof/>
                <w:webHidden/>
              </w:rPr>
              <w:instrText xml:space="preserve"> PAGEREF _Toc220496432 \h </w:instrText>
            </w:r>
            <w:r>
              <w:rPr>
                <w:noProof/>
                <w:webHidden/>
              </w:rPr>
            </w:r>
            <w:r>
              <w:rPr>
                <w:noProof/>
                <w:webHidden/>
              </w:rPr>
              <w:fldChar w:fldCharType="separate"/>
            </w:r>
            <w:r>
              <w:rPr>
                <w:noProof/>
                <w:webHidden/>
              </w:rPr>
              <w:t>829</w:t>
            </w:r>
            <w:r>
              <w:rPr>
                <w:noProof/>
                <w:webHidden/>
              </w:rPr>
              <w:fldChar w:fldCharType="end"/>
            </w:r>
          </w:hyperlink>
        </w:p>
        <w:p w14:paraId="5F7E6C58" w14:textId="63EDDA8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33" w:history="1">
            <w:r w:rsidRPr="00F45DCA">
              <w:rPr>
                <w:rStyle w:val="Lienhypertexte"/>
                <w:noProof/>
              </w:rPr>
              <w:t>23.35.3 Auvents métalliques en aluminium CCTB 01.04</w:t>
            </w:r>
            <w:r>
              <w:rPr>
                <w:noProof/>
                <w:webHidden/>
              </w:rPr>
              <w:tab/>
            </w:r>
            <w:r>
              <w:rPr>
                <w:noProof/>
                <w:webHidden/>
              </w:rPr>
              <w:fldChar w:fldCharType="begin"/>
            </w:r>
            <w:r>
              <w:rPr>
                <w:noProof/>
                <w:webHidden/>
              </w:rPr>
              <w:instrText xml:space="preserve"> PAGEREF _Toc220496433 \h </w:instrText>
            </w:r>
            <w:r>
              <w:rPr>
                <w:noProof/>
                <w:webHidden/>
              </w:rPr>
            </w:r>
            <w:r>
              <w:rPr>
                <w:noProof/>
                <w:webHidden/>
              </w:rPr>
              <w:fldChar w:fldCharType="separate"/>
            </w:r>
            <w:r>
              <w:rPr>
                <w:noProof/>
                <w:webHidden/>
              </w:rPr>
              <w:t>829</w:t>
            </w:r>
            <w:r>
              <w:rPr>
                <w:noProof/>
                <w:webHidden/>
              </w:rPr>
              <w:fldChar w:fldCharType="end"/>
            </w:r>
          </w:hyperlink>
        </w:p>
        <w:p w14:paraId="100F6116" w14:textId="6F95CB2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34" w:history="1">
            <w:r w:rsidRPr="00F45DCA">
              <w:rPr>
                <w:rStyle w:val="Lienhypertexte"/>
                <w:noProof/>
              </w:rPr>
              <w:t>23.35.3a Auvents métalliques en aluminium CCTB 01.04</w:t>
            </w:r>
            <w:r>
              <w:rPr>
                <w:noProof/>
                <w:webHidden/>
              </w:rPr>
              <w:tab/>
            </w:r>
            <w:r>
              <w:rPr>
                <w:noProof/>
                <w:webHidden/>
              </w:rPr>
              <w:fldChar w:fldCharType="begin"/>
            </w:r>
            <w:r>
              <w:rPr>
                <w:noProof/>
                <w:webHidden/>
              </w:rPr>
              <w:instrText xml:space="preserve"> PAGEREF _Toc220496434 \h </w:instrText>
            </w:r>
            <w:r>
              <w:rPr>
                <w:noProof/>
                <w:webHidden/>
              </w:rPr>
            </w:r>
            <w:r>
              <w:rPr>
                <w:noProof/>
                <w:webHidden/>
              </w:rPr>
              <w:fldChar w:fldCharType="separate"/>
            </w:r>
            <w:r>
              <w:rPr>
                <w:noProof/>
                <w:webHidden/>
              </w:rPr>
              <w:t>829</w:t>
            </w:r>
            <w:r>
              <w:rPr>
                <w:noProof/>
                <w:webHidden/>
              </w:rPr>
              <w:fldChar w:fldCharType="end"/>
            </w:r>
          </w:hyperlink>
        </w:p>
        <w:p w14:paraId="390C38CC" w14:textId="469E0CE8"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435" w:history="1">
            <w:r w:rsidRPr="00F45DCA">
              <w:rPr>
                <w:rStyle w:val="Lienhypertexte"/>
                <w:noProof/>
              </w:rPr>
              <w:t>23.4 Eléments particuliers pour structures métalliques CCTB 01.04</w:t>
            </w:r>
            <w:r>
              <w:rPr>
                <w:noProof/>
                <w:webHidden/>
              </w:rPr>
              <w:tab/>
            </w:r>
            <w:r>
              <w:rPr>
                <w:noProof/>
                <w:webHidden/>
              </w:rPr>
              <w:fldChar w:fldCharType="begin"/>
            </w:r>
            <w:r>
              <w:rPr>
                <w:noProof/>
                <w:webHidden/>
              </w:rPr>
              <w:instrText xml:space="preserve"> PAGEREF _Toc220496435 \h </w:instrText>
            </w:r>
            <w:r>
              <w:rPr>
                <w:noProof/>
                <w:webHidden/>
              </w:rPr>
            </w:r>
            <w:r>
              <w:rPr>
                <w:noProof/>
                <w:webHidden/>
              </w:rPr>
              <w:fldChar w:fldCharType="separate"/>
            </w:r>
            <w:r>
              <w:rPr>
                <w:noProof/>
                <w:webHidden/>
              </w:rPr>
              <w:t>829</w:t>
            </w:r>
            <w:r>
              <w:rPr>
                <w:noProof/>
                <w:webHidden/>
              </w:rPr>
              <w:fldChar w:fldCharType="end"/>
            </w:r>
          </w:hyperlink>
        </w:p>
        <w:p w14:paraId="24EBBF9B" w14:textId="1F5B44B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36" w:history="1">
            <w:r w:rsidRPr="00F45DCA">
              <w:rPr>
                <w:rStyle w:val="Lienhypertexte"/>
                <w:noProof/>
              </w:rPr>
              <w:t>23.41 Socles métalliques CCTB 01.04</w:t>
            </w:r>
            <w:r>
              <w:rPr>
                <w:noProof/>
                <w:webHidden/>
              </w:rPr>
              <w:tab/>
            </w:r>
            <w:r>
              <w:rPr>
                <w:noProof/>
                <w:webHidden/>
              </w:rPr>
              <w:fldChar w:fldCharType="begin"/>
            </w:r>
            <w:r>
              <w:rPr>
                <w:noProof/>
                <w:webHidden/>
              </w:rPr>
              <w:instrText xml:space="preserve"> PAGEREF _Toc220496436 \h </w:instrText>
            </w:r>
            <w:r>
              <w:rPr>
                <w:noProof/>
                <w:webHidden/>
              </w:rPr>
            </w:r>
            <w:r>
              <w:rPr>
                <w:noProof/>
                <w:webHidden/>
              </w:rPr>
              <w:fldChar w:fldCharType="separate"/>
            </w:r>
            <w:r>
              <w:rPr>
                <w:noProof/>
                <w:webHidden/>
              </w:rPr>
              <w:t>829</w:t>
            </w:r>
            <w:r>
              <w:rPr>
                <w:noProof/>
                <w:webHidden/>
              </w:rPr>
              <w:fldChar w:fldCharType="end"/>
            </w:r>
          </w:hyperlink>
        </w:p>
        <w:p w14:paraId="03225A74" w14:textId="51F4FA9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37" w:history="1">
            <w:r w:rsidRPr="00F45DCA">
              <w:rPr>
                <w:rStyle w:val="Lienhypertexte"/>
                <w:noProof/>
              </w:rPr>
              <w:t>23.41.1 Socles en acier CCTB 01.02</w:t>
            </w:r>
            <w:r>
              <w:rPr>
                <w:noProof/>
                <w:webHidden/>
              </w:rPr>
              <w:tab/>
            </w:r>
            <w:r>
              <w:rPr>
                <w:noProof/>
                <w:webHidden/>
              </w:rPr>
              <w:fldChar w:fldCharType="begin"/>
            </w:r>
            <w:r>
              <w:rPr>
                <w:noProof/>
                <w:webHidden/>
              </w:rPr>
              <w:instrText xml:space="preserve"> PAGEREF _Toc220496437 \h </w:instrText>
            </w:r>
            <w:r>
              <w:rPr>
                <w:noProof/>
                <w:webHidden/>
              </w:rPr>
            </w:r>
            <w:r>
              <w:rPr>
                <w:noProof/>
                <w:webHidden/>
              </w:rPr>
              <w:fldChar w:fldCharType="separate"/>
            </w:r>
            <w:r>
              <w:rPr>
                <w:noProof/>
                <w:webHidden/>
              </w:rPr>
              <w:t>829</w:t>
            </w:r>
            <w:r>
              <w:rPr>
                <w:noProof/>
                <w:webHidden/>
              </w:rPr>
              <w:fldChar w:fldCharType="end"/>
            </w:r>
          </w:hyperlink>
        </w:p>
        <w:p w14:paraId="57F4D002" w14:textId="15EF16D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38" w:history="1">
            <w:r w:rsidRPr="00F45DCA">
              <w:rPr>
                <w:rStyle w:val="Lienhypertexte"/>
                <w:noProof/>
              </w:rPr>
              <w:t>23.41.1a Socles en acier CCTB 01.02</w:t>
            </w:r>
            <w:r>
              <w:rPr>
                <w:noProof/>
                <w:webHidden/>
              </w:rPr>
              <w:tab/>
            </w:r>
            <w:r>
              <w:rPr>
                <w:noProof/>
                <w:webHidden/>
              </w:rPr>
              <w:fldChar w:fldCharType="begin"/>
            </w:r>
            <w:r>
              <w:rPr>
                <w:noProof/>
                <w:webHidden/>
              </w:rPr>
              <w:instrText xml:space="preserve"> PAGEREF _Toc220496438 \h </w:instrText>
            </w:r>
            <w:r>
              <w:rPr>
                <w:noProof/>
                <w:webHidden/>
              </w:rPr>
            </w:r>
            <w:r>
              <w:rPr>
                <w:noProof/>
                <w:webHidden/>
              </w:rPr>
              <w:fldChar w:fldCharType="separate"/>
            </w:r>
            <w:r>
              <w:rPr>
                <w:noProof/>
                <w:webHidden/>
              </w:rPr>
              <w:t>829</w:t>
            </w:r>
            <w:r>
              <w:rPr>
                <w:noProof/>
                <w:webHidden/>
              </w:rPr>
              <w:fldChar w:fldCharType="end"/>
            </w:r>
          </w:hyperlink>
        </w:p>
        <w:p w14:paraId="65DCBB96" w14:textId="327F087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39" w:history="1">
            <w:r w:rsidRPr="00F45DCA">
              <w:rPr>
                <w:rStyle w:val="Lienhypertexte"/>
                <w:noProof/>
              </w:rPr>
              <w:t>23.41.2 Socles en acier inoxydable CCTB 01.04</w:t>
            </w:r>
            <w:r>
              <w:rPr>
                <w:noProof/>
                <w:webHidden/>
              </w:rPr>
              <w:tab/>
            </w:r>
            <w:r>
              <w:rPr>
                <w:noProof/>
                <w:webHidden/>
              </w:rPr>
              <w:fldChar w:fldCharType="begin"/>
            </w:r>
            <w:r>
              <w:rPr>
                <w:noProof/>
                <w:webHidden/>
              </w:rPr>
              <w:instrText xml:space="preserve"> PAGEREF _Toc220496439 \h </w:instrText>
            </w:r>
            <w:r>
              <w:rPr>
                <w:noProof/>
                <w:webHidden/>
              </w:rPr>
            </w:r>
            <w:r>
              <w:rPr>
                <w:noProof/>
                <w:webHidden/>
              </w:rPr>
              <w:fldChar w:fldCharType="separate"/>
            </w:r>
            <w:r>
              <w:rPr>
                <w:noProof/>
                <w:webHidden/>
              </w:rPr>
              <w:t>829</w:t>
            </w:r>
            <w:r>
              <w:rPr>
                <w:noProof/>
                <w:webHidden/>
              </w:rPr>
              <w:fldChar w:fldCharType="end"/>
            </w:r>
          </w:hyperlink>
        </w:p>
        <w:p w14:paraId="601558AF" w14:textId="0274239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40" w:history="1">
            <w:r w:rsidRPr="00F45DCA">
              <w:rPr>
                <w:rStyle w:val="Lienhypertexte"/>
                <w:noProof/>
              </w:rPr>
              <w:t>23.41.2a Socles en acier inoxydable CCTB 01.04</w:t>
            </w:r>
            <w:r>
              <w:rPr>
                <w:noProof/>
                <w:webHidden/>
              </w:rPr>
              <w:tab/>
            </w:r>
            <w:r>
              <w:rPr>
                <w:noProof/>
                <w:webHidden/>
              </w:rPr>
              <w:fldChar w:fldCharType="begin"/>
            </w:r>
            <w:r>
              <w:rPr>
                <w:noProof/>
                <w:webHidden/>
              </w:rPr>
              <w:instrText xml:space="preserve"> PAGEREF _Toc220496440 \h </w:instrText>
            </w:r>
            <w:r>
              <w:rPr>
                <w:noProof/>
                <w:webHidden/>
              </w:rPr>
            </w:r>
            <w:r>
              <w:rPr>
                <w:noProof/>
                <w:webHidden/>
              </w:rPr>
              <w:fldChar w:fldCharType="separate"/>
            </w:r>
            <w:r>
              <w:rPr>
                <w:noProof/>
                <w:webHidden/>
              </w:rPr>
              <w:t>829</w:t>
            </w:r>
            <w:r>
              <w:rPr>
                <w:noProof/>
                <w:webHidden/>
              </w:rPr>
              <w:fldChar w:fldCharType="end"/>
            </w:r>
          </w:hyperlink>
        </w:p>
        <w:p w14:paraId="2DF820B2" w14:textId="110B4BA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41" w:history="1">
            <w:r w:rsidRPr="00F45DCA">
              <w:rPr>
                <w:rStyle w:val="Lienhypertexte"/>
                <w:noProof/>
              </w:rPr>
              <w:t>23.41.3 Socles en aluminium CCTB 01.04</w:t>
            </w:r>
            <w:r>
              <w:rPr>
                <w:noProof/>
                <w:webHidden/>
              </w:rPr>
              <w:tab/>
            </w:r>
            <w:r>
              <w:rPr>
                <w:noProof/>
                <w:webHidden/>
              </w:rPr>
              <w:fldChar w:fldCharType="begin"/>
            </w:r>
            <w:r>
              <w:rPr>
                <w:noProof/>
                <w:webHidden/>
              </w:rPr>
              <w:instrText xml:space="preserve"> PAGEREF _Toc220496441 \h </w:instrText>
            </w:r>
            <w:r>
              <w:rPr>
                <w:noProof/>
                <w:webHidden/>
              </w:rPr>
            </w:r>
            <w:r>
              <w:rPr>
                <w:noProof/>
                <w:webHidden/>
              </w:rPr>
              <w:fldChar w:fldCharType="separate"/>
            </w:r>
            <w:r>
              <w:rPr>
                <w:noProof/>
                <w:webHidden/>
              </w:rPr>
              <w:t>829</w:t>
            </w:r>
            <w:r>
              <w:rPr>
                <w:noProof/>
                <w:webHidden/>
              </w:rPr>
              <w:fldChar w:fldCharType="end"/>
            </w:r>
          </w:hyperlink>
        </w:p>
        <w:p w14:paraId="230B0E74" w14:textId="15EEA6C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42" w:history="1">
            <w:r w:rsidRPr="00F45DCA">
              <w:rPr>
                <w:rStyle w:val="Lienhypertexte"/>
                <w:noProof/>
              </w:rPr>
              <w:t>23.41.3a Socles en aluminium CCTB 01.04</w:t>
            </w:r>
            <w:r>
              <w:rPr>
                <w:noProof/>
                <w:webHidden/>
              </w:rPr>
              <w:tab/>
            </w:r>
            <w:r>
              <w:rPr>
                <w:noProof/>
                <w:webHidden/>
              </w:rPr>
              <w:fldChar w:fldCharType="begin"/>
            </w:r>
            <w:r>
              <w:rPr>
                <w:noProof/>
                <w:webHidden/>
              </w:rPr>
              <w:instrText xml:space="preserve"> PAGEREF _Toc220496442 \h </w:instrText>
            </w:r>
            <w:r>
              <w:rPr>
                <w:noProof/>
                <w:webHidden/>
              </w:rPr>
            </w:r>
            <w:r>
              <w:rPr>
                <w:noProof/>
                <w:webHidden/>
              </w:rPr>
              <w:fldChar w:fldCharType="separate"/>
            </w:r>
            <w:r>
              <w:rPr>
                <w:noProof/>
                <w:webHidden/>
              </w:rPr>
              <w:t>829</w:t>
            </w:r>
            <w:r>
              <w:rPr>
                <w:noProof/>
                <w:webHidden/>
              </w:rPr>
              <w:fldChar w:fldCharType="end"/>
            </w:r>
          </w:hyperlink>
        </w:p>
        <w:p w14:paraId="7A363E0C" w14:textId="24F1623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43" w:history="1">
            <w:r w:rsidRPr="00F45DCA">
              <w:rPr>
                <w:rStyle w:val="Lienhypertexte"/>
                <w:noProof/>
              </w:rPr>
              <w:t>23.42 Pièces d'appui métalliques CCTB 01.04</w:t>
            </w:r>
            <w:r>
              <w:rPr>
                <w:noProof/>
                <w:webHidden/>
              </w:rPr>
              <w:tab/>
            </w:r>
            <w:r>
              <w:rPr>
                <w:noProof/>
                <w:webHidden/>
              </w:rPr>
              <w:fldChar w:fldCharType="begin"/>
            </w:r>
            <w:r>
              <w:rPr>
                <w:noProof/>
                <w:webHidden/>
              </w:rPr>
              <w:instrText xml:space="preserve"> PAGEREF _Toc220496443 \h </w:instrText>
            </w:r>
            <w:r>
              <w:rPr>
                <w:noProof/>
                <w:webHidden/>
              </w:rPr>
            </w:r>
            <w:r>
              <w:rPr>
                <w:noProof/>
                <w:webHidden/>
              </w:rPr>
              <w:fldChar w:fldCharType="separate"/>
            </w:r>
            <w:r>
              <w:rPr>
                <w:noProof/>
                <w:webHidden/>
              </w:rPr>
              <w:t>829</w:t>
            </w:r>
            <w:r>
              <w:rPr>
                <w:noProof/>
                <w:webHidden/>
              </w:rPr>
              <w:fldChar w:fldCharType="end"/>
            </w:r>
          </w:hyperlink>
        </w:p>
        <w:p w14:paraId="0DF73E42" w14:textId="0B28037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44" w:history="1">
            <w:r w:rsidRPr="00F45DCA">
              <w:rPr>
                <w:rStyle w:val="Lienhypertexte"/>
                <w:noProof/>
              </w:rPr>
              <w:t>23.42.1 Pièces d'appui en acier CCTB 01.02</w:t>
            </w:r>
            <w:r>
              <w:rPr>
                <w:noProof/>
                <w:webHidden/>
              </w:rPr>
              <w:tab/>
            </w:r>
            <w:r>
              <w:rPr>
                <w:noProof/>
                <w:webHidden/>
              </w:rPr>
              <w:fldChar w:fldCharType="begin"/>
            </w:r>
            <w:r>
              <w:rPr>
                <w:noProof/>
                <w:webHidden/>
              </w:rPr>
              <w:instrText xml:space="preserve"> PAGEREF _Toc220496444 \h </w:instrText>
            </w:r>
            <w:r>
              <w:rPr>
                <w:noProof/>
                <w:webHidden/>
              </w:rPr>
            </w:r>
            <w:r>
              <w:rPr>
                <w:noProof/>
                <w:webHidden/>
              </w:rPr>
              <w:fldChar w:fldCharType="separate"/>
            </w:r>
            <w:r>
              <w:rPr>
                <w:noProof/>
                <w:webHidden/>
              </w:rPr>
              <w:t>829</w:t>
            </w:r>
            <w:r>
              <w:rPr>
                <w:noProof/>
                <w:webHidden/>
              </w:rPr>
              <w:fldChar w:fldCharType="end"/>
            </w:r>
          </w:hyperlink>
        </w:p>
        <w:p w14:paraId="611C3308" w14:textId="0BD93D5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45" w:history="1">
            <w:r w:rsidRPr="00F45DCA">
              <w:rPr>
                <w:rStyle w:val="Lienhypertexte"/>
                <w:noProof/>
              </w:rPr>
              <w:t>23.42.1a Consoles en acier CCTB 01.02</w:t>
            </w:r>
            <w:r>
              <w:rPr>
                <w:noProof/>
                <w:webHidden/>
              </w:rPr>
              <w:tab/>
            </w:r>
            <w:r>
              <w:rPr>
                <w:noProof/>
                <w:webHidden/>
              </w:rPr>
              <w:fldChar w:fldCharType="begin"/>
            </w:r>
            <w:r>
              <w:rPr>
                <w:noProof/>
                <w:webHidden/>
              </w:rPr>
              <w:instrText xml:space="preserve"> PAGEREF _Toc220496445 \h </w:instrText>
            </w:r>
            <w:r>
              <w:rPr>
                <w:noProof/>
                <w:webHidden/>
              </w:rPr>
            </w:r>
            <w:r>
              <w:rPr>
                <w:noProof/>
                <w:webHidden/>
              </w:rPr>
              <w:fldChar w:fldCharType="separate"/>
            </w:r>
            <w:r>
              <w:rPr>
                <w:noProof/>
                <w:webHidden/>
              </w:rPr>
              <w:t>829</w:t>
            </w:r>
            <w:r>
              <w:rPr>
                <w:noProof/>
                <w:webHidden/>
              </w:rPr>
              <w:fldChar w:fldCharType="end"/>
            </w:r>
          </w:hyperlink>
        </w:p>
        <w:p w14:paraId="11DE9792" w14:textId="739F388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46" w:history="1">
            <w:r w:rsidRPr="00F45DCA">
              <w:rPr>
                <w:rStyle w:val="Lienhypertexte"/>
                <w:noProof/>
              </w:rPr>
              <w:t>23.42.1b Potelets en acier CCTB 01.02</w:t>
            </w:r>
            <w:r>
              <w:rPr>
                <w:noProof/>
                <w:webHidden/>
              </w:rPr>
              <w:tab/>
            </w:r>
            <w:r>
              <w:rPr>
                <w:noProof/>
                <w:webHidden/>
              </w:rPr>
              <w:fldChar w:fldCharType="begin"/>
            </w:r>
            <w:r>
              <w:rPr>
                <w:noProof/>
                <w:webHidden/>
              </w:rPr>
              <w:instrText xml:space="preserve"> PAGEREF _Toc220496446 \h </w:instrText>
            </w:r>
            <w:r>
              <w:rPr>
                <w:noProof/>
                <w:webHidden/>
              </w:rPr>
            </w:r>
            <w:r>
              <w:rPr>
                <w:noProof/>
                <w:webHidden/>
              </w:rPr>
              <w:fldChar w:fldCharType="separate"/>
            </w:r>
            <w:r>
              <w:rPr>
                <w:noProof/>
                <w:webHidden/>
              </w:rPr>
              <w:t>829</w:t>
            </w:r>
            <w:r>
              <w:rPr>
                <w:noProof/>
                <w:webHidden/>
              </w:rPr>
              <w:fldChar w:fldCharType="end"/>
            </w:r>
          </w:hyperlink>
        </w:p>
        <w:p w14:paraId="23697177" w14:textId="678F11C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47" w:history="1">
            <w:r w:rsidRPr="00F45DCA">
              <w:rPr>
                <w:rStyle w:val="Lienhypertexte"/>
                <w:noProof/>
              </w:rPr>
              <w:t>23.42.2 Pièces d'appui en acier inoxydable CCTB 01.04</w:t>
            </w:r>
            <w:r>
              <w:rPr>
                <w:noProof/>
                <w:webHidden/>
              </w:rPr>
              <w:tab/>
            </w:r>
            <w:r>
              <w:rPr>
                <w:noProof/>
                <w:webHidden/>
              </w:rPr>
              <w:fldChar w:fldCharType="begin"/>
            </w:r>
            <w:r>
              <w:rPr>
                <w:noProof/>
                <w:webHidden/>
              </w:rPr>
              <w:instrText xml:space="preserve"> PAGEREF _Toc220496447 \h </w:instrText>
            </w:r>
            <w:r>
              <w:rPr>
                <w:noProof/>
                <w:webHidden/>
              </w:rPr>
            </w:r>
            <w:r>
              <w:rPr>
                <w:noProof/>
                <w:webHidden/>
              </w:rPr>
              <w:fldChar w:fldCharType="separate"/>
            </w:r>
            <w:r>
              <w:rPr>
                <w:noProof/>
                <w:webHidden/>
              </w:rPr>
              <w:t>829</w:t>
            </w:r>
            <w:r>
              <w:rPr>
                <w:noProof/>
                <w:webHidden/>
              </w:rPr>
              <w:fldChar w:fldCharType="end"/>
            </w:r>
          </w:hyperlink>
        </w:p>
        <w:p w14:paraId="1F32A944" w14:textId="7F2F4D6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48" w:history="1">
            <w:r w:rsidRPr="00F45DCA">
              <w:rPr>
                <w:rStyle w:val="Lienhypertexte"/>
                <w:noProof/>
              </w:rPr>
              <w:t>23.42.2a Consoles en acier inoxydable CCTB 01.04</w:t>
            </w:r>
            <w:r>
              <w:rPr>
                <w:noProof/>
                <w:webHidden/>
              </w:rPr>
              <w:tab/>
            </w:r>
            <w:r>
              <w:rPr>
                <w:noProof/>
                <w:webHidden/>
              </w:rPr>
              <w:fldChar w:fldCharType="begin"/>
            </w:r>
            <w:r>
              <w:rPr>
                <w:noProof/>
                <w:webHidden/>
              </w:rPr>
              <w:instrText xml:space="preserve"> PAGEREF _Toc220496448 \h </w:instrText>
            </w:r>
            <w:r>
              <w:rPr>
                <w:noProof/>
                <w:webHidden/>
              </w:rPr>
            </w:r>
            <w:r>
              <w:rPr>
                <w:noProof/>
                <w:webHidden/>
              </w:rPr>
              <w:fldChar w:fldCharType="separate"/>
            </w:r>
            <w:r>
              <w:rPr>
                <w:noProof/>
                <w:webHidden/>
              </w:rPr>
              <w:t>829</w:t>
            </w:r>
            <w:r>
              <w:rPr>
                <w:noProof/>
                <w:webHidden/>
              </w:rPr>
              <w:fldChar w:fldCharType="end"/>
            </w:r>
          </w:hyperlink>
        </w:p>
        <w:p w14:paraId="759450AB" w14:textId="4A61C1E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49" w:history="1">
            <w:r w:rsidRPr="00F45DCA">
              <w:rPr>
                <w:rStyle w:val="Lienhypertexte"/>
                <w:noProof/>
              </w:rPr>
              <w:t>23.42.2b Potelets en acier inoxydable CCTB 01.04</w:t>
            </w:r>
            <w:r>
              <w:rPr>
                <w:noProof/>
                <w:webHidden/>
              </w:rPr>
              <w:tab/>
            </w:r>
            <w:r>
              <w:rPr>
                <w:noProof/>
                <w:webHidden/>
              </w:rPr>
              <w:fldChar w:fldCharType="begin"/>
            </w:r>
            <w:r>
              <w:rPr>
                <w:noProof/>
                <w:webHidden/>
              </w:rPr>
              <w:instrText xml:space="preserve"> PAGEREF _Toc220496449 \h </w:instrText>
            </w:r>
            <w:r>
              <w:rPr>
                <w:noProof/>
                <w:webHidden/>
              </w:rPr>
            </w:r>
            <w:r>
              <w:rPr>
                <w:noProof/>
                <w:webHidden/>
              </w:rPr>
              <w:fldChar w:fldCharType="separate"/>
            </w:r>
            <w:r>
              <w:rPr>
                <w:noProof/>
                <w:webHidden/>
              </w:rPr>
              <w:t>829</w:t>
            </w:r>
            <w:r>
              <w:rPr>
                <w:noProof/>
                <w:webHidden/>
              </w:rPr>
              <w:fldChar w:fldCharType="end"/>
            </w:r>
          </w:hyperlink>
        </w:p>
        <w:p w14:paraId="55E7AE73" w14:textId="0C4352E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50" w:history="1">
            <w:r w:rsidRPr="00F45DCA">
              <w:rPr>
                <w:rStyle w:val="Lienhypertexte"/>
                <w:noProof/>
              </w:rPr>
              <w:t>23.42.3 Pièces d'appui en aluminium CCTB 01.04</w:t>
            </w:r>
            <w:r>
              <w:rPr>
                <w:noProof/>
                <w:webHidden/>
              </w:rPr>
              <w:tab/>
            </w:r>
            <w:r>
              <w:rPr>
                <w:noProof/>
                <w:webHidden/>
              </w:rPr>
              <w:fldChar w:fldCharType="begin"/>
            </w:r>
            <w:r>
              <w:rPr>
                <w:noProof/>
                <w:webHidden/>
              </w:rPr>
              <w:instrText xml:space="preserve"> PAGEREF _Toc220496450 \h </w:instrText>
            </w:r>
            <w:r>
              <w:rPr>
                <w:noProof/>
                <w:webHidden/>
              </w:rPr>
            </w:r>
            <w:r>
              <w:rPr>
                <w:noProof/>
                <w:webHidden/>
              </w:rPr>
              <w:fldChar w:fldCharType="separate"/>
            </w:r>
            <w:r>
              <w:rPr>
                <w:noProof/>
                <w:webHidden/>
              </w:rPr>
              <w:t>829</w:t>
            </w:r>
            <w:r>
              <w:rPr>
                <w:noProof/>
                <w:webHidden/>
              </w:rPr>
              <w:fldChar w:fldCharType="end"/>
            </w:r>
          </w:hyperlink>
        </w:p>
        <w:p w14:paraId="341C5535" w14:textId="1C2989D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51" w:history="1">
            <w:r w:rsidRPr="00F45DCA">
              <w:rPr>
                <w:rStyle w:val="Lienhypertexte"/>
                <w:noProof/>
              </w:rPr>
              <w:t>23.42.3a Consoles en aluminium CCTB 01.04</w:t>
            </w:r>
            <w:r>
              <w:rPr>
                <w:noProof/>
                <w:webHidden/>
              </w:rPr>
              <w:tab/>
            </w:r>
            <w:r>
              <w:rPr>
                <w:noProof/>
                <w:webHidden/>
              </w:rPr>
              <w:fldChar w:fldCharType="begin"/>
            </w:r>
            <w:r>
              <w:rPr>
                <w:noProof/>
                <w:webHidden/>
              </w:rPr>
              <w:instrText xml:space="preserve"> PAGEREF _Toc220496451 \h </w:instrText>
            </w:r>
            <w:r>
              <w:rPr>
                <w:noProof/>
                <w:webHidden/>
              </w:rPr>
            </w:r>
            <w:r>
              <w:rPr>
                <w:noProof/>
                <w:webHidden/>
              </w:rPr>
              <w:fldChar w:fldCharType="separate"/>
            </w:r>
            <w:r>
              <w:rPr>
                <w:noProof/>
                <w:webHidden/>
              </w:rPr>
              <w:t>829</w:t>
            </w:r>
            <w:r>
              <w:rPr>
                <w:noProof/>
                <w:webHidden/>
              </w:rPr>
              <w:fldChar w:fldCharType="end"/>
            </w:r>
          </w:hyperlink>
        </w:p>
        <w:p w14:paraId="3DFDAD84" w14:textId="0CD9B60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52" w:history="1">
            <w:r w:rsidRPr="00F45DCA">
              <w:rPr>
                <w:rStyle w:val="Lienhypertexte"/>
                <w:noProof/>
              </w:rPr>
              <w:t>23.42.3b Potelets en aluminium CCTB 01.04</w:t>
            </w:r>
            <w:r>
              <w:rPr>
                <w:noProof/>
                <w:webHidden/>
              </w:rPr>
              <w:tab/>
            </w:r>
            <w:r>
              <w:rPr>
                <w:noProof/>
                <w:webHidden/>
              </w:rPr>
              <w:fldChar w:fldCharType="begin"/>
            </w:r>
            <w:r>
              <w:rPr>
                <w:noProof/>
                <w:webHidden/>
              </w:rPr>
              <w:instrText xml:space="preserve"> PAGEREF _Toc220496452 \h </w:instrText>
            </w:r>
            <w:r>
              <w:rPr>
                <w:noProof/>
                <w:webHidden/>
              </w:rPr>
            </w:r>
            <w:r>
              <w:rPr>
                <w:noProof/>
                <w:webHidden/>
              </w:rPr>
              <w:fldChar w:fldCharType="separate"/>
            </w:r>
            <w:r>
              <w:rPr>
                <w:noProof/>
                <w:webHidden/>
              </w:rPr>
              <w:t>830</w:t>
            </w:r>
            <w:r>
              <w:rPr>
                <w:noProof/>
                <w:webHidden/>
              </w:rPr>
              <w:fldChar w:fldCharType="end"/>
            </w:r>
          </w:hyperlink>
        </w:p>
        <w:p w14:paraId="47F683EF" w14:textId="6C68805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53" w:history="1">
            <w:r w:rsidRPr="00F45DCA">
              <w:rPr>
                <w:rStyle w:val="Lienhypertexte"/>
                <w:noProof/>
              </w:rPr>
              <w:t>23.43 Pièces d'appui non métalliques CCTB 01.04</w:t>
            </w:r>
            <w:r>
              <w:rPr>
                <w:noProof/>
                <w:webHidden/>
              </w:rPr>
              <w:tab/>
            </w:r>
            <w:r>
              <w:rPr>
                <w:noProof/>
                <w:webHidden/>
              </w:rPr>
              <w:fldChar w:fldCharType="begin"/>
            </w:r>
            <w:r>
              <w:rPr>
                <w:noProof/>
                <w:webHidden/>
              </w:rPr>
              <w:instrText xml:space="preserve"> PAGEREF _Toc220496453 \h </w:instrText>
            </w:r>
            <w:r>
              <w:rPr>
                <w:noProof/>
                <w:webHidden/>
              </w:rPr>
            </w:r>
            <w:r>
              <w:rPr>
                <w:noProof/>
                <w:webHidden/>
              </w:rPr>
              <w:fldChar w:fldCharType="separate"/>
            </w:r>
            <w:r>
              <w:rPr>
                <w:noProof/>
                <w:webHidden/>
              </w:rPr>
              <w:t>830</w:t>
            </w:r>
            <w:r>
              <w:rPr>
                <w:noProof/>
                <w:webHidden/>
              </w:rPr>
              <w:fldChar w:fldCharType="end"/>
            </w:r>
          </w:hyperlink>
        </w:p>
        <w:p w14:paraId="57303FA4" w14:textId="037C9B8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54" w:history="1">
            <w:r w:rsidRPr="00F45DCA">
              <w:rPr>
                <w:rStyle w:val="Lienhypertexte"/>
                <w:noProof/>
              </w:rPr>
              <w:t>23.43.1 Pièces d'appui synthétiques CCTB 01.04</w:t>
            </w:r>
            <w:r>
              <w:rPr>
                <w:noProof/>
                <w:webHidden/>
              </w:rPr>
              <w:tab/>
            </w:r>
            <w:r>
              <w:rPr>
                <w:noProof/>
                <w:webHidden/>
              </w:rPr>
              <w:fldChar w:fldCharType="begin"/>
            </w:r>
            <w:r>
              <w:rPr>
                <w:noProof/>
                <w:webHidden/>
              </w:rPr>
              <w:instrText xml:space="preserve"> PAGEREF _Toc220496454 \h </w:instrText>
            </w:r>
            <w:r>
              <w:rPr>
                <w:noProof/>
                <w:webHidden/>
              </w:rPr>
            </w:r>
            <w:r>
              <w:rPr>
                <w:noProof/>
                <w:webHidden/>
              </w:rPr>
              <w:fldChar w:fldCharType="separate"/>
            </w:r>
            <w:r>
              <w:rPr>
                <w:noProof/>
                <w:webHidden/>
              </w:rPr>
              <w:t>830</w:t>
            </w:r>
            <w:r>
              <w:rPr>
                <w:noProof/>
                <w:webHidden/>
              </w:rPr>
              <w:fldChar w:fldCharType="end"/>
            </w:r>
          </w:hyperlink>
        </w:p>
        <w:p w14:paraId="71064BEB" w14:textId="53D0E9B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55" w:history="1">
            <w:r w:rsidRPr="00F45DCA">
              <w:rPr>
                <w:rStyle w:val="Lienhypertexte"/>
                <w:noProof/>
              </w:rPr>
              <w:t>23.43.1a Pièces d'appui néoprène CCTB 01.04</w:t>
            </w:r>
            <w:r>
              <w:rPr>
                <w:noProof/>
                <w:webHidden/>
              </w:rPr>
              <w:tab/>
            </w:r>
            <w:r>
              <w:rPr>
                <w:noProof/>
                <w:webHidden/>
              </w:rPr>
              <w:fldChar w:fldCharType="begin"/>
            </w:r>
            <w:r>
              <w:rPr>
                <w:noProof/>
                <w:webHidden/>
              </w:rPr>
              <w:instrText xml:space="preserve"> PAGEREF _Toc220496455 \h </w:instrText>
            </w:r>
            <w:r>
              <w:rPr>
                <w:noProof/>
                <w:webHidden/>
              </w:rPr>
            </w:r>
            <w:r>
              <w:rPr>
                <w:noProof/>
                <w:webHidden/>
              </w:rPr>
              <w:fldChar w:fldCharType="separate"/>
            </w:r>
            <w:r>
              <w:rPr>
                <w:noProof/>
                <w:webHidden/>
              </w:rPr>
              <w:t>830</w:t>
            </w:r>
            <w:r>
              <w:rPr>
                <w:noProof/>
                <w:webHidden/>
              </w:rPr>
              <w:fldChar w:fldCharType="end"/>
            </w:r>
          </w:hyperlink>
        </w:p>
        <w:p w14:paraId="199B724E" w14:textId="432D89A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56" w:history="1">
            <w:r w:rsidRPr="00F45DCA">
              <w:rPr>
                <w:rStyle w:val="Lienhypertexte"/>
                <w:noProof/>
              </w:rPr>
              <w:t>23.44 Ancrages de structures métalliques CCTB 01.04</w:t>
            </w:r>
            <w:r>
              <w:rPr>
                <w:noProof/>
                <w:webHidden/>
              </w:rPr>
              <w:tab/>
            </w:r>
            <w:r>
              <w:rPr>
                <w:noProof/>
                <w:webHidden/>
              </w:rPr>
              <w:fldChar w:fldCharType="begin"/>
            </w:r>
            <w:r>
              <w:rPr>
                <w:noProof/>
                <w:webHidden/>
              </w:rPr>
              <w:instrText xml:space="preserve"> PAGEREF _Toc220496456 \h </w:instrText>
            </w:r>
            <w:r>
              <w:rPr>
                <w:noProof/>
                <w:webHidden/>
              </w:rPr>
            </w:r>
            <w:r>
              <w:rPr>
                <w:noProof/>
                <w:webHidden/>
              </w:rPr>
              <w:fldChar w:fldCharType="separate"/>
            </w:r>
            <w:r>
              <w:rPr>
                <w:noProof/>
                <w:webHidden/>
              </w:rPr>
              <w:t>830</w:t>
            </w:r>
            <w:r>
              <w:rPr>
                <w:noProof/>
                <w:webHidden/>
              </w:rPr>
              <w:fldChar w:fldCharType="end"/>
            </w:r>
          </w:hyperlink>
        </w:p>
        <w:p w14:paraId="7B7CDE98" w14:textId="1A3BFF5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57" w:history="1">
            <w:r w:rsidRPr="00F45DCA">
              <w:rPr>
                <w:rStyle w:val="Lienhypertexte"/>
                <w:noProof/>
              </w:rPr>
              <w:t>23.44.1 Ancrages de structures en acier CCTB 01.02</w:t>
            </w:r>
            <w:r>
              <w:rPr>
                <w:noProof/>
                <w:webHidden/>
              </w:rPr>
              <w:tab/>
            </w:r>
            <w:r>
              <w:rPr>
                <w:noProof/>
                <w:webHidden/>
              </w:rPr>
              <w:fldChar w:fldCharType="begin"/>
            </w:r>
            <w:r>
              <w:rPr>
                <w:noProof/>
                <w:webHidden/>
              </w:rPr>
              <w:instrText xml:space="preserve"> PAGEREF _Toc220496457 \h </w:instrText>
            </w:r>
            <w:r>
              <w:rPr>
                <w:noProof/>
                <w:webHidden/>
              </w:rPr>
            </w:r>
            <w:r>
              <w:rPr>
                <w:noProof/>
                <w:webHidden/>
              </w:rPr>
              <w:fldChar w:fldCharType="separate"/>
            </w:r>
            <w:r>
              <w:rPr>
                <w:noProof/>
                <w:webHidden/>
              </w:rPr>
              <w:t>830</w:t>
            </w:r>
            <w:r>
              <w:rPr>
                <w:noProof/>
                <w:webHidden/>
              </w:rPr>
              <w:fldChar w:fldCharType="end"/>
            </w:r>
          </w:hyperlink>
        </w:p>
        <w:p w14:paraId="00745945" w14:textId="1CCD57C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58" w:history="1">
            <w:r w:rsidRPr="00F45DCA">
              <w:rPr>
                <w:rStyle w:val="Lienhypertexte"/>
                <w:noProof/>
              </w:rPr>
              <w:t>23.44.1a Ancrages de structures en acier CCTB 01.02</w:t>
            </w:r>
            <w:r>
              <w:rPr>
                <w:noProof/>
                <w:webHidden/>
              </w:rPr>
              <w:tab/>
            </w:r>
            <w:r>
              <w:rPr>
                <w:noProof/>
                <w:webHidden/>
              </w:rPr>
              <w:fldChar w:fldCharType="begin"/>
            </w:r>
            <w:r>
              <w:rPr>
                <w:noProof/>
                <w:webHidden/>
              </w:rPr>
              <w:instrText xml:space="preserve"> PAGEREF _Toc220496458 \h </w:instrText>
            </w:r>
            <w:r>
              <w:rPr>
                <w:noProof/>
                <w:webHidden/>
              </w:rPr>
            </w:r>
            <w:r>
              <w:rPr>
                <w:noProof/>
                <w:webHidden/>
              </w:rPr>
              <w:fldChar w:fldCharType="separate"/>
            </w:r>
            <w:r>
              <w:rPr>
                <w:noProof/>
                <w:webHidden/>
              </w:rPr>
              <w:t>830</w:t>
            </w:r>
            <w:r>
              <w:rPr>
                <w:noProof/>
                <w:webHidden/>
              </w:rPr>
              <w:fldChar w:fldCharType="end"/>
            </w:r>
          </w:hyperlink>
        </w:p>
        <w:p w14:paraId="0A915CD9" w14:textId="10D3AA5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59" w:history="1">
            <w:r w:rsidRPr="00F45DCA">
              <w:rPr>
                <w:rStyle w:val="Lienhypertexte"/>
                <w:noProof/>
              </w:rPr>
              <w:t>23.44.2 Ancrages de structures en acier inoxydable CCTB 01.04</w:t>
            </w:r>
            <w:r>
              <w:rPr>
                <w:noProof/>
                <w:webHidden/>
              </w:rPr>
              <w:tab/>
            </w:r>
            <w:r>
              <w:rPr>
                <w:noProof/>
                <w:webHidden/>
              </w:rPr>
              <w:fldChar w:fldCharType="begin"/>
            </w:r>
            <w:r>
              <w:rPr>
                <w:noProof/>
                <w:webHidden/>
              </w:rPr>
              <w:instrText xml:space="preserve"> PAGEREF _Toc220496459 \h </w:instrText>
            </w:r>
            <w:r>
              <w:rPr>
                <w:noProof/>
                <w:webHidden/>
              </w:rPr>
            </w:r>
            <w:r>
              <w:rPr>
                <w:noProof/>
                <w:webHidden/>
              </w:rPr>
              <w:fldChar w:fldCharType="separate"/>
            </w:r>
            <w:r>
              <w:rPr>
                <w:noProof/>
                <w:webHidden/>
              </w:rPr>
              <w:t>830</w:t>
            </w:r>
            <w:r>
              <w:rPr>
                <w:noProof/>
                <w:webHidden/>
              </w:rPr>
              <w:fldChar w:fldCharType="end"/>
            </w:r>
          </w:hyperlink>
        </w:p>
        <w:p w14:paraId="05A3ADD4" w14:textId="7FF45A1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60" w:history="1">
            <w:r w:rsidRPr="00F45DCA">
              <w:rPr>
                <w:rStyle w:val="Lienhypertexte"/>
                <w:noProof/>
              </w:rPr>
              <w:t>23.44.2a Ancrages de structures en acier inoxydable CCTB 01.04</w:t>
            </w:r>
            <w:r>
              <w:rPr>
                <w:noProof/>
                <w:webHidden/>
              </w:rPr>
              <w:tab/>
            </w:r>
            <w:r>
              <w:rPr>
                <w:noProof/>
                <w:webHidden/>
              </w:rPr>
              <w:fldChar w:fldCharType="begin"/>
            </w:r>
            <w:r>
              <w:rPr>
                <w:noProof/>
                <w:webHidden/>
              </w:rPr>
              <w:instrText xml:space="preserve"> PAGEREF _Toc220496460 \h </w:instrText>
            </w:r>
            <w:r>
              <w:rPr>
                <w:noProof/>
                <w:webHidden/>
              </w:rPr>
            </w:r>
            <w:r>
              <w:rPr>
                <w:noProof/>
                <w:webHidden/>
              </w:rPr>
              <w:fldChar w:fldCharType="separate"/>
            </w:r>
            <w:r>
              <w:rPr>
                <w:noProof/>
                <w:webHidden/>
              </w:rPr>
              <w:t>830</w:t>
            </w:r>
            <w:r>
              <w:rPr>
                <w:noProof/>
                <w:webHidden/>
              </w:rPr>
              <w:fldChar w:fldCharType="end"/>
            </w:r>
          </w:hyperlink>
        </w:p>
        <w:p w14:paraId="73505772" w14:textId="78456E0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61" w:history="1">
            <w:r w:rsidRPr="00F45DCA">
              <w:rPr>
                <w:rStyle w:val="Lienhypertexte"/>
                <w:noProof/>
              </w:rPr>
              <w:t>23.44.3 Ancrages de structures en aluminium CCTB 01.04</w:t>
            </w:r>
            <w:r>
              <w:rPr>
                <w:noProof/>
                <w:webHidden/>
              </w:rPr>
              <w:tab/>
            </w:r>
            <w:r>
              <w:rPr>
                <w:noProof/>
                <w:webHidden/>
              </w:rPr>
              <w:fldChar w:fldCharType="begin"/>
            </w:r>
            <w:r>
              <w:rPr>
                <w:noProof/>
                <w:webHidden/>
              </w:rPr>
              <w:instrText xml:space="preserve"> PAGEREF _Toc220496461 \h </w:instrText>
            </w:r>
            <w:r>
              <w:rPr>
                <w:noProof/>
                <w:webHidden/>
              </w:rPr>
            </w:r>
            <w:r>
              <w:rPr>
                <w:noProof/>
                <w:webHidden/>
              </w:rPr>
              <w:fldChar w:fldCharType="separate"/>
            </w:r>
            <w:r>
              <w:rPr>
                <w:noProof/>
                <w:webHidden/>
              </w:rPr>
              <w:t>830</w:t>
            </w:r>
            <w:r>
              <w:rPr>
                <w:noProof/>
                <w:webHidden/>
              </w:rPr>
              <w:fldChar w:fldCharType="end"/>
            </w:r>
          </w:hyperlink>
        </w:p>
        <w:p w14:paraId="6C37A629" w14:textId="2D427C8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62" w:history="1">
            <w:r w:rsidRPr="00F45DCA">
              <w:rPr>
                <w:rStyle w:val="Lienhypertexte"/>
                <w:noProof/>
              </w:rPr>
              <w:t>23.44.3a Ancrages de structures en aluminium CCTB 01.04</w:t>
            </w:r>
            <w:r>
              <w:rPr>
                <w:noProof/>
                <w:webHidden/>
              </w:rPr>
              <w:tab/>
            </w:r>
            <w:r>
              <w:rPr>
                <w:noProof/>
                <w:webHidden/>
              </w:rPr>
              <w:fldChar w:fldCharType="begin"/>
            </w:r>
            <w:r>
              <w:rPr>
                <w:noProof/>
                <w:webHidden/>
              </w:rPr>
              <w:instrText xml:space="preserve"> PAGEREF _Toc220496462 \h </w:instrText>
            </w:r>
            <w:r>
              <w:rPr>
                <w:noProof/>
                <w:webHidden/>
              </w:rPr>
            </w:r>
            <w:r>
              <w:rPr>
                <w:noProof/>
                <w:webHidden/>
              </w:rPr>
              <w:fldChar w:fldCharType="separate"/>
            </w:r>
            <w:r>
              <w:rPr>
                <w:noProof/>
                <w:webHidden/>
              </w:rPr>
              <w:t>830</w:t>
            </w:r>
            <w:r>
              <w:rPr>
                <w:noProof/>
                <w:webHidden/>
              </w:rPr>
              <w:fldChar w:fldCharType="end"/>
            </w:r>
          </w:hyperlink>
        </w:p>
        <w:p w14:paraId="2DEE7126" w14:textId="1E83A66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63" w:history="1">
            <w:r w:rsidRPr="00F45DCA">
              <w:rPr>
                <w:rStyle w:val="Lienhypertexte"/>
                <w:noProof/>
              </w:rPr>
              <w:t>23.45 Contreventements de structures métalliques CCTB 01.04</w:t>
            </w:r>
            <w:r>
              <w:rPr>
                <w:noProof/>
                <w:webHidden/>
              </w:rPr>
              <w:tab/>
            </w:r>
            <w:r>
              <w:rPr>
                <w:noProof/>
                <w:webHidden/>
              </w:rPr>
              <w:fldChar w:fldCharType="begin"/>
            </w:r>
            <w:r>
              <w:rPr>
                <w:noProof/>
                <w:webHidden/>
              </w:rPr>
              <w:instrText xml:space="preserve"> PAGEREF _Toc220496463 \h </w:instrText>
            </w:r>
            <w:r>
              <w:rPr>
                <w:noProof/>
                <w:webHidden/>
              </w:rPr>
            </w:r>
            <w:r>
              <w:rPr>
                <w:noProof/>
                <w:webHidden/>
              </w:rPr>
              <w:fldChar w:fldCharType="separate"/>
            </w:r>
            <w:r>
              <w:rPr>
                <w:noProof/>
                <w:webHidden/>
              </w:rPr>
              <w:t>830</w:t>
            </w:r>
            <w:r>
              <w:rPr>
                <w:noProof/>
                <w:webHidden/>
              </w:rPr>
              <w:fldChar w:fldCharType="end"/>
            </w:r>
          </w:hyperlink>
        </w:p>
        <w:p w14:paraId="2F779B31" w14:textId="07D6647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64" w:history="1">
            <w:r w:rsidRPr="00F45DCA">
              <w:rPr>
                <w:rStyle w:val="Lienhypertexte"/>
                <w:noProof/>
              </w:rPr>
              <w:t>23.45.1 Contreventements en acier CCTB 01.02</w:t>
            </w:r>
            <w:r>
              <w:rPr>
                <w:noProof/>
                <w:webHidden/>
              </w:rPr>
              <w:tab/>
            </w:r>
            <w:r>
              <w:rPr>
                <w:noProof/>
                <w:webHidden/>
              </w:rPr>
              <w:fldChar w:fldCharType="begin"/>
            </w:r>
            <w:r>
              <w:rPr>
                <w:noProof/>
                <w:webHidden/>
              </w:rPr>
              <w:instrText xml:space="preserve"> PAGEREF _Toc220496464 \h </w:instrText>
            </w:r>
            <w:r>
              <w:rPr>
                <w:noProof/>
                <w:webHidden/>
              </w:rPr>
            </w:r>
            <w:r>
              <w:rPr>
                <w:noProof/>
                <w:webHidden/>
              </w:rPr>
              <w:fldChar w:fldCharType="separate"/>
            </w:r>
            <w:r>
              <w:rPr>
                <w:noProof/>
                <w:webHidden/>
              </w:rPr>
              <w:t>830</w:t>
            </w:r>
            <w:r>
              <w:rPr>
                <w:noProof/>
                <w:webHidden/>
              </w:rPr>
              <w:fldChar w:fldCharType="end"/>
            </w:r>
          </w:hyperlink>
        </w:p>
        <w:p w14:paraId="1A897F38" w14:textId="079808F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65" w:history="1">
            <w:r w:rsidRPr="00F45DCA">
              <w:rPr>
                <w:rStyle w:val="Lienhypertexte"/>
                <w:noProof/>
              </w:rPr>
              <w:t>23.45.1a Contreventements en acier - profilés CCTB 01.02</w:t>
            </w:r>
            <w:r>
              <w:rPr>
                <w:noProof/>
                <w:webHidden/>
              </w:rPr>
              <w:tab/>
            </w:r>
            <w:r>
              <w:rPr>
                <w:noProof/>
                <w:webHidden/>
              </w:rPr>
              <w:fldChar w:fldCharType="begin"/>
            </w:r>
            <w:r>
              <w:rPr>
                <w:noProof/>
                <w:webHidden/>
              </w:rPr>
              <w:instrText xml:space="preserve"> PAGEREF _Toc220496465 \h </w:instrText>
            </w:r>
            <w:r>
              <w:rPr>
                <w:noProof/>
                <w:webHidden/>
              </w:rPr>
            </w:r>
            <w:r>
              <w:rPr>
                <w:noProof/>
                <w:webHidden/>
              </w:rPr>
              <w:fldChar w:fldCharType="separate"/>
            </w:r>
            <w:r>
              <w:rPr>
                <w:noProof/>
                <w:webHidden/>
              </w:rPr>
              <w:t>830</w:t>
            </w:r>
            <w:r>
              <w:rPr>
                <w:noProof/>
                <w:webHidden/>
              </w:rPr>
              <w:fldChar w:fldCharType="end"/>
            </w:r>
          </w:hyperlink>
        </w:p>
        <w:p w14:paraId="27E247B5" w14:textId="647E111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66" w:history="1">
            <w:r w:rsidRPr="00F45DCA">
              <w:rPr>
                <w:rStyle w:val="Lienhypertexte"/>
                <w:noProof/>
              </w:rPr>
              <w:t>23.45.1b Contreventements en acier - câbles tendeurs CCTB 01.02</w:t>
            </w:r>
            <w:r>
              <w:rPr>
                <w:noProof/>
                <w:webHidden/>
              </w:rPr>
              <w:tab/>
            </w:r>
            <w:r>
              <w:rPr>
                <w:noProof/>
                <w:webHidden/>
              </w:rPr>
              <w:fldChar w:fldCharType="begin"/>
            </w:r>
            <w:r>
              <w:rPr>
                <w:noProof/>
                <w:webHidden/>
              </w:rPr>
              <w:instrText xml:space="preserve"> PAGEREF _Toc220496466 \h </w:instrText>
            </w:r>
            <w:r>
              <w:rPr>
                <w:noProof/>
                <w:webHidden/>
              </w:rPr>
            </w:r>
            <w:r>
              <w:rPr>
                <w:noProof/>
                <w:webHidden/>
              </w:rPr>
              <w:fldChar w:fldCharType="separate"/>
            </w:r>
            <w:r>
              <w:rPr>
                <w:noProof/>
                <w:webHidden/>
              </w:rPr>
              <w:t>830</w:t>
            </w:r>
            <w:r>
              <w:rPr>
                <w:noProof/>
                <w:webHidden/>
              </w:rPr>
              <w:fldChar w:fldCharType="end"/>
            </w:r>
          </w:hyperlink>
        </w:p>
        <w:p w14:paraId="2EE5C5B8" w14:textId="02B0D1C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67" w:history="1">
            <w:r w:rsidRPr="00F45DCA">
              <w:rPr>
                <w:rStyle w:val="Lienhypertexte"/>
                <w:noProof/>
              </w:rPr>
              <w:t>23.45.2 Contreventements en acier inoxydable CCTB 01.04</w:t>
            </w:r>
            <w:r>
              <w:rPr>
                <w:noProof/>
                <w:webHidden/>
              </w:rPr>
              <w:tab/>
            </w:r>
            <w:r>
              <w:rPr>
                <w:noProof/>
                <w:webHidden/>
              </w:rPr>
              <w:fldChar w:fldCharType="begin"/>
            </w:r>
            <w:r>
              <w:rPr>
                <w:noProof/>
                <w:webHidden/>
              </w:rPr>
              <w:instrText xml:space="preserve"> PAGEREF _Toc220496467 \h </w:instrText>
            </w:r>
            <w:r>
              <w:rPr>
                <w:noProof/>
                <w:webHidden/>
              </w:rPr>
            </w:r>
            <w:r>
              <w:rPr>
                <w:noProof/>
                <w:webHidden/>
              </w:rPr>
              <w:fldChar w:fldCharType="separate"/>
            </w:r>
            <w:r>
              <w:rPr>
                <w:noProof/>
                <w:webHidden/>
              </w:rPr>
              <w:t>830</w:t>
            </w:r>
            <w:r>
              <w:rPr>
                <w:noProof/>
                <w:webHidden/>
              </w:rPr>
              <w:fldChar w:fldCharType="end"/>
            </w:r>
          </w:hyperlink>
        </w:p>
        <w:p w14:paraId="3FDEEAF3" w14:textId="582F554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68" w:history="1">
            <w:r w:rsidRPr="00F45DCA">
              <w:rPr>
                <w:rStyle w:val="Lienhypertexte"/>
                <w:noProof/>
              </w:rPr>
              <w:t>23.45.2a Contreventements en acier inoxydable - profilés CCTB 01.04</w:t>
            </w:r>
            <w:r>
              <w:rPr>
                <w:noProof/>
                <w:webHidden/>
              </w:rPr>
              <w:tab/>
            </w:r>
            <w:r>
              <w:rPr>
                <w:noProof/>
                <w:webHidden/>
              </w:rPr>
              <w:fldChar w:fldCharType="begin"/>
            </w:r>
            <w:r>
              <w:rPr>
                <w:noProof/>
                <w:webHidden/>
              </w:rPr>
              <w:instrText xml:space="preserve"> PAGEREF _Toc220496468 \h </w:instrText>
            </w:r>
            <w:r>
              <w:rPr>
                <w:noProof/>
                <w:webHidden/>
              </w:rPr>
            </w:r>
            <w:r>
              <w:rPr>
                <w:noProof/>
                <w:webHidden/>
              </w:rPr>
              <w:fldChar w:fldCharType="separate"/>
            </w:r>
            <w:r>
              <w:rPr>
                <w:noProof/>
                <w:webHidden/>
              </w:rPr>
              <w:t>830</w:t>
            </w:r>
            <w:r>
              <w:rPr>
                <w:noProof/>
                <w:webHidden/>
              </w:rPr>
              <w:fldChar w:fldCharType="end"/>
            </w:r>
          </w:hyperlink>
        </w:p>
        <w:p w14:paraId="65E85493" w14:textId="2E0335F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69" w:history="1">
            <w:r w:rsidRPr="00F45DCA">
              <w:rPr>
                <w:rStyle w:val="Lienhypertexte"/>
                <w:noProof/>
              </w:rPr>
              <w:t>23.45.2b Contreventements en acier inoxydable - câbles tendeurs CCTB 01.04</w:t>
            </w:r>
            <w:r>
              <w:rPr>
                <w:noProof/>
                <w:webHidden/>
              </w:rPr>
              <w:tab/>
            </w:r>
            <w:r>
              <w:rPr>
                <w:noProof/>
                <w:webHidden/>
              </w:rPr>
              <w:fldChar w:fldCharType="begin"/>
            </w:r>
            <w:r>
              <w:rPr>
                <w:noProof/>
                <w:webHidden/>
              </w:rPr>
              <w:instrText xml:space="preserve"> PAGEREF _Toc220496469 \h </w:instrText>
            </w:r>
            <w:r>
              <w:rPr>
                <w:noProof/>
                <w:webHidden/>
              </w:rPr>
            </w:r>
            <w:r>
              <w:rPr>
                <w:noProof/>
                <w:webHidden/>
              </w:rPr>
              <w:fldChar w:fldCharType="separate"/>
            </w:r>
            <w:r>
              <w:rPr>
                <w:noProof/>
                <w:webHidden/>
              </w:rPr>
              <w:t>830</w:t>
            </w:r>
            <w:r>
              <w:rPr>
                <w:noProof/>
                <w:webHidden/>
              </w:rPr>
              <w:fldChar w:fldCharType="end"/>
            </w:r>
          </w:hyperlink>
        </w:p>
        <w:p w14:paraId="1D01859D" w14:textId="51CF2E7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70" w:history="1">
            <w:r w:rsidRPr="00F45DCA">
              <w:rPr>
                <w:rStyle w:val="Lienhypertexte"/>
                <w:noProof/>
              </w:rPr>
              <w:t>23.46 Câbles, barres et chaînes métalliques CCTB 01.11</w:t>
            </w:r>
            <w:r>
              <w:rPr>
                <w:noProof/>
                <w:webHidden/>
              </w:rPr>
              <w:tab/>
            </w:r>
            <w:r>
              <w:rPr>
                <w:noProof/>
                <w:webHidden/>
              </w:rPr>
              <w:fldChar w:fldCharType="begin"/>
            </w:r>
            <w:r>
              <w:rPr>
                <w:noProof/>
                <w:webHidden/>
              </w:rPr>
              <w:instrText xml:space="preserve"> PAGEREF _Toc220496470 \h </w:instrText>
            </w:r>
            <w:r>
              <w:rPr>
                <w:noProof/>
                <w:webHidden/>
              </w:rPr>
            </w:r>
            <w:r>
              <w:rPr>
                <w:noProof/>
                <w:webHidden/>
              </w:rPr>
              <w:fldChar w:fldCharType="separate"/>
            </w:r>
            <w:r>
              <w:rPr>
                <w:noProof/>
                <w:webHidden/>
              </w:rPr>
              <w:t>830</w:t>
            </w:r>
            <w:r>
              <w:rPr>
                <w:noProof/>
                <w:webHidden/>
              </w:rPr>
              <w:fldChar w:fldCharType="end"/>
            </w:r>
          </w:hyperlink>
        </w:p>
        <w:p w14:paraId="5E6F9553" w14:textId="6A958ED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71" w:history="1">
            <w:r w:rsidRPr="00F45DCA">
              <w:rPr>
                <w:rStyle w:val="Lienhypertexte"/>
                <w:noProof/>
              </w:rPr>
              <w:t>23.46.1 Câbles en acier CCTB 01.02</w:t>
            </w:r>
            <w:r>
              <w:rPr>
                <w:noProof/>
                <w:webHidden/>
              </w:rPr>
              <w:tab/>
            </w:r>
            <w:r>
              <w:rPr>
                <w:noProof/>
                <w:webHidden/>
              </w:rPr>
              <w:fldChar w:fldCharType="begin"/>
            </w:r>
            <w:r>
              <w:rPr>
                <w:noProof/>
                <w:webHidden/>
              </w:rPr>
              <w:instrText xml:space="preserve"> PAGEREF _Toc220496471 \h </w:instrText>
            </w:r>
            <w:r>
              <w:rPr>
                <w:noProof/>
                <w:webHidden/>
              </w:rPr>
            </w:r>
            <w:r>
              <w:rPr>
                <w:noProof/>
                <w:webHidden/>
              </w:rPr>
              <w:fldChar w:fldCharType="separate"/>
            </w:r>
            <w:r>
              <w:rPr>
                <w:noProof/>
                <w:webHidden/>
              </w:rPr>
              <w:t>831</w:t>
            </w:r>
            <w:r>
              <w:rPr>
                <w:noProof/>
                <w:webHidden/>
              </w:rPr>
              <w:fldChar w:fldCharType="end"/>
            </w:r>
          </w:hyperlink>
        </w:p>
        <w:p w14:paraId="79C08151" w14:textId="2225893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72" w:history="1">
            <w:r w:rsidRPr="00F45DCA">
              <w:rPr>
                <w:rStyle w:val="Lienhypertexte"/>
                <w:noProof/>
              </w:rPr>
              <w:t>23.46.1a Câbles en acier CCTB 01.04</w:t>
            </w:r>
            <w:r>
              <w:rPr>
                <w:noProof/>
                <w:webHidden/>
              </w:rPr>
              <w:tab/>
            </w:r>
            <w:r>
              <w:rPr>
                <w:noProof/>
                <w:webHidden/>
              </w:rPr>
              <w:fldChar w:fldCharType="begin"/>
            </w:r>
            <w:r>
              <w:rPr>
                <w:noProof/>
                <w:webHidden/>
              </w:rPr>
              <w:instrText xml:space="preserve"> PAGEREF _Toc220496472 \h </w:instrText>
            </w:r>
            <w:r>
              <w:rPr>
                <w:noProof/>
                <w:webHidden/>
              </w:rPr>
            </w:r>
            <w:r>
              <w:rPr>
                <w:noProof/>
                <w:webHidden/>
              </w:rPr>
              <w:fldChar w:fldCharType="separate"/>
            </w:r>
            <w:r>
              <w:rPr>
                <w:noProof/>
                <w:webHidden/>
              </w:rPr>
              <w:t>831</w:t>
            </w:r>
            <w:r>
              <w:rPr>
                <w:noProof/>
                <w:webHidden/>
              </w:rPr>
              <w:fldChar w:fldCharType="end"/>
            </w:r>
          </w:hyperlink>
        </w:p>
        <w:p w14:paraId="692DFD67" w14:textId="797CF68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73" w:history="1">
            <w:r w:rsidRPr="00F45DCA">
              <w:rPr>
                <w:rStyle w:val="Lienhypertexte"/>
                <w:noProof/>
              </w:rPr>
              <w:t>23.46.2 Câbles en acier inoxydable CCTB 01.04</w:t>
            </w:r>
            <w:r>
              <w:rPr>
                <w:noProof/>
                <w:webHidden/>
              </w:rPr>
              <w:tab/>
            </w:r>
            <w:r>
              <w:rPr>
                <w:noProof/>
                <w:webHidden/>
              </w:rPr>
              <w:fldChar w:fldCharType="begin"/>
            </w:r>
            <w:r>
              <w:rPr>
                <w:noProof/>
                <w:webHidden/>
              </w:rPr>
              <w:instrText xml:space="preserve"> PAGEREF _Toc220496473 \h </w:instrText>
            </w:r>
            <w:r>
              <w:rPr>
                <w:noProof/>
                <w:webHidden/>
              </w:rPr>
            </w:r>
            <w:r>
              <w:rPr>
                <w:noProof/>
                <w:webHidden/>
              </w:rPr>
              <w:fldChar w:fldCharType="separate"/>
            </w:r>
            <w:r>
              <w:rPr>
                <w:noProof/>
                <w:webHidden/>
              </w:rPr>
              <w:t>831</w:t>
            </w:r>
            <w:r>
              <w:rPr>
                <w:noProof/>
                <w:webHidden/>
              </w:rPr>
              <w:fldChar w:fldCharType="end"/>
            </w:r>
          </w:hyperlink>
        </w:p>
        <w:p w14:paraId="245F57B9" w14:textId="2F19FB5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74" w:history="1">
            <w:r w:rsidRPr="00F45DCA">
              <w:rPr>
                <w:rStyle w:val="Lienhypertexte"/>
                <w:noProof/>
              </w:rPr>
              <w:t>23.46.2a Câbles en acier inoxydable CCTB 01.04</w:t>
            </w:r>
            <w:r>
              <w:rPr>
                <w:noProof/>
                <w:webHidden/>
              </w:rPr>
              <w:tab/>
            </w:r>
            <w:r>
              <w:rPr>
                <w:noProof/>
                <w:webHidden/>
              </w:rPr>
              <w:fldChar w:fldCharType="begin"/>
            </w:r>
            <w:r>
              <w:rPr>
                <w:noProof/>
                <w:webHidden/>
              </w:rPr>
              <w:instrText xml:space="preserve"> PAGEREF _Toc220496474 \h </w:instrText>
            </w:r>
            <w:r>
              <w:rPr>
                <w:noProof/>
                <w:webHidden/>
              </w:rPr>
            </w:r>
            <w:r>
              <w:rPr>
                <w:noProof/>
                <w:webHidden/>
              </w:rPr>
              <w:fldChar w:fldCharType="separate"/>
            </w:r>
            <w:r>
              <w:rPr>
                <w:noProof/>
                <w:webHidden/>
              </w:rPr>
              <w:t>831</w:t>
            </w:r>
            <w:r>
              <w:rPr>
                <w:noProof/>
                <w:webHidden/>
              </w:rPr>
              <w:fldChar w:fldCharType="end"/>
            </w:r>
          </w:hyperlink>
        </w:p>
        <w:p w14:paraId="78B51EFB" w14:textId="52E2719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75" w:history="1">
            <w:r w:rsidRPr="00F45DCA">
              <w:rPr>
                <w:rStyle w:val="Lienhypertexte"/>
                <w:noProof/>
              </w:rPr>
              <w:t>23.46.3 Barres en acier CCTB 01.02</w:t>
            </w:r>
            <w:r>
              <w:rPr>
                <w:noProof/>
                <w:webHidden/>
              </w:rPr>
              <w:tab/>
            </w:r>
            <w:r>
              <w:rPr>
                <w:noProof/>
                <w:webHidden/>
              </w:rPr>
              <w:fldChar w:fldCharType="begin"/>
            </w:r>
            <w:r>
              <w:rPr>
                <w:noProof/>
                <w:webHidden/>
              </w:rPr>
              <w:instrText xml:space="preserve"> PAGEREF _Toc220496475 \h </w:instrText>
            </w:r>
            <w:r>
              <w:rPr>
                <w:noProof/>
                <w:webHidden/>
              </w:rPr>
            </w:r>
            <w:r>
              <w:rPr>
                <w:noProof/>
                <w:webHidden/>
              </w:rPr>
              <w:fldChar w:fldCharType="separate"/>
            </w:r>
            <w:r>
              <w:rPr>
                <w:noProof/>
                <w:webHidden/>
              </w:rPr>
              <w:t>831</w:t>
            </w:r>
            <w:r>
              <w:rPr>
                <w:noProof/>
                <w:webHidden/>
              </w:rPr>
              <w:fldChar w:fldCharType="end"/>
            </w:r>
          </w:hyperlink>
        </w:p>
        <w:p w14:paraId="57728E06" w14:textId="52351A9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76" w:history="1">
            <w:r w:rsidRPr="00F45DCA">
              <w:rPr>
                <w:rStyle w:val="Lienhypertexte"/>
                <w:noProof/>
              </w:rPr>
              <w:t>23.46.3a Barres en acier CCTB 01.02</w:t>
            </w:r>
            <w:r>
              <w:rPr>
                <w:noProof/>
                <w:webHidden/>
              </w:rPr>
              <w:tab/>
            </w:r>
            <w:r>
              <w:rPr>
                <w:noProof/>
                <w:webHidden/>
              </w:rPr>
              <w:fldChar w:fldCharType="begin"/>
            </w:r>
            <w:r>
              <w:rPr>
                <w:noProof/>
                <w:webHidden/>
              </w:rPr>
              <w:instrText xml:space="preserve"> PAGEREF _Toc220496476 \h </w:instrText>
            </w:r>
            <w:r>
              <w:rPr>
                <w:noProof/>
                <w:webHidden/>
              </w:rPr>
            </w:r>
            <w:r>
              <w:rPr>
                <w:noProof/>
                <w:webHidden/>
              </w:rPr>
              <w:fldChar w:fldCharType="separate"/>
            </w:r>
            <w:r>
              <w:rPr>
                <w:noProof/>
                <w:webHidden/>
              </w:rPr>
              <w:t>831</w:t>
            </w:r>
            <w:r>
              <w:rPr>
                <w:noProof/>
                <w:webHidden/>
              </w:rPr>
              <w:fldChar w:fldCharType="end"/>
            </w:r>
          </w:hyperlink>
        </w:p>
        <w:p w14:paraId="60BF6C58" w14:textId="4D4FBD9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77" w:history="1">
            <w:r w:rsidRPr="00F45DCA">
              <w:rPr>
                <w:rStyle w:val="Lienhypertexte"/>
                <w:noProof/>
              </w:rPr>
              <w:t>23.46.4 Barres en acier inoxydable CCTB 01.04</w:t>
            </w:r>
            <w:r>
              <w:rPr>
                <w:noProof/>
                <w:webHidden/>
              </w:rPr>
              <w:tab/>
            </w:r>
            <w:r>
              <w:rPr>
                <w:noProof/>
                <w:webHidden/>
              </w:rPr>
              <w:fldChar w:fldCharType="begin"/>
            </w:r>
            <w:r>
              <w:rPr>
                <w:noProof/>
                <w:webHidden/>
              </w:rPr>
              <w:instrText xml:space="preserve"> PAGEREF _Toc220496477 \h </w:instrText>
            </w:r>
            <w:r>
              <w:rPr>
                <w:noProof/>
                <w:webHidden/>
              </w:rPr>
            </w:r>
            <w:r>
              <w:rPr>
                <w:noProof/>
                <w:webHidden/>
              </w:rPr>
              <w:fldChar w:fldCharType="separate"/>
            </w:r>
            <w:r>
              <w:rPr>
                <w:noProof/>
                <w:webHidden/>
              </w:rPr>
              <w:t>831</w:t>
            </w:r>
            <w:r>
              <w:rPr>
                <w:noProof/>
                <w:webHidden/>
              </w:rPr>
              <w:fldChar w:fldCharType="end"/>
            </w:r>
          </w:hyperlink>
        </w:p>
        <w:p w14:paraId="2AAC68F3" w14:textId="267D76D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78" w:history="1">
            <w:r w:rsidRPr="00F45DCA">
              <w:rPr>
                <w:rStyle w:val="Lienhypertexte"/>
                <w:noProof/>
              </w:rPr>
              <w:t>23.46.4a Barres en acier inoxydable CCTB 01.04</w:t>
            </w:r>
            <w:r>
              <w:rPr>
                <w:noProof/>
                <w:webHidden/>
              </w:rPr>
              <w:tab/>
            </w:r>
            <w:r>
              <w:rPr>
                <w:noProof/>
                <w:webHidden/>
              </w:rPr>
              <w:fldChar w:fldCharType="begin"/>
            </w:r>
            <w:r>
              <w:rPr>
                <w:noProof/>
                <w:webHidden/>
              </w:rPr>
              <w:instrText xml:space="preserve"> PAGEREF _Toc220496478 \h </w:instrText>
            </w:r>
            <w:r>
              <w:rPr>
                <w:noProof/>
                <w:webHidden/>
              </w:rPr>
            </w:r>
            <w:r>
              <w:rPr>
                <w:noProof/>
                <w:webHidden/>
              </w:rPr>
              <w:fldChar w:fldCharType="separate"/>
            </w:r>
            <w:r>
              <w:rPr>
                <w:noProof/>
                <w:webHidden/>
              </w:rPr>
              <w:t>831</w:t>
            </w:r>
            <w:r>
              <w:rPr>
                <w:noProof/>
                <w:webHidden/>
              </w:rPr>
              <w:fldChar w:fldCharType="end"/>
            </w:r>
          </w:hyperlink>
        </w:p>
        <w:p w14:paraId="33430B38" w14:textId="6AC19B2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79" w:history="1">
            <w:r w:rsidRPr="00F45DCA">
              <w:rPr>
                <w:rStyle w:val="Lienhypertexte"/>
                <w:noProof/>
              </w:rPr>
              <w:t>23.46.5 Barres en aluminium CCTB 01.04</w:t>
            </w:r>
            <w:r>
              <w:rPr>
                <w:noProof/>
                <w:webHidden/>
              </w:rPr>
              <w:tab/>
            </w:r>
            <w:r>
              <w:rPr>
                <w:noProof/>
                <w:webHidden/>
              </w:rPr>
              <w:fldChar w:fldCharType="begin"/>
            </w:r>
            <w:r>
              <w:rPr>
                <w:noProof/>
                <w:webHidden/>
              </w:rPr>
              <w:instrText xml:space="preserve"> PAGEREF _Toc220496479 \h </w:instrText>
            </w:r>
            <w:r>
              <w:rPr>
                <w:noProof/>
                <w:webHidden/>
              </w:rPr>
            </w:r>
            <w:r>
              <w:rPr>
                <w:noProof/>
                <w:webHidden/>
              </w:rPr>
              <w:fldChar w:fldCharType="separate"/>
            </w:r>
            <w:r>
              <w:rPr>
                <w:noProof/>
                <w:webHidden/>
              </w:rPr>
              <w:t>831</w:t>
            </w:r>
            <w:r>
              <w:rPr>
                <w:noProof/>
                <w:webHidden/>
              </w:rPr>
              <w:fldChar w:fldCharType="end"/>
            </w:r>
          </w:hyperlink>
        </w:p>
        <w:p w14:paraId="2E122E20" w14:textId="4275B41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80" w:history="1">
            <w:r w:rsidRPr="00F45DCA">
              <w:rPr>
                <w:rStyle w:val="Lienhypertexte"/>
                <w:noProof/>
              </w:rPr>
              <w:t>23.46.5a Barres en aluminium CCTB 01.04</w:t>
            </w:r>
            <w:r>
              <w:rPr>
                <w:noProof/>
                <w:webHidden/>
              </w:rPr>
              <w:tab/>
            </w:r>
            <w:r>
              <w:rPr>
                <w:noProof/>
                <w:webHidden/>
              </w:rPr>
              <w:fldChar w:fldCharType="begin"/>
            </w:r>
            <w:r>
              <w:rPr>
                <w:noProof/>
                <w:webHidden/>
              </w:rPr>
              <w:instrText xml:space="preserve"> PAGEREF _Toc220496480 \h </w:instrText>
            </w:r>
            <w:r>
              <w:rPr>
                <w:noProof/>
                <w:webHidden/>
              </w:rPr>
            </w:r>
            <w:r>
              <w:rPr>
                <w:noProof/>
                <w:webHidden/>
              </w:rPr>
              <w:fldChar w:fldCharType="separate"/>
            </w:r>
            <w:r>
              <w:rPr>
                <w:noProof/>
                <w:webHidden/>
              </w:rPr>
              <w:t>831</w:t>
            </w:r>
            <w:r>
              <w:rPr>
                <w:noProof/>
                <w:webHidden/>
              </w:rPr>
              <w:fldChar w:fldCharType="end"/>
            </w:r>
          </w:hyperlink>
        </w:p>
        <w:p w14:paraId="0A803FBF" w14:textId="605C384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81" w:history="1">
            <w:r w:rsidRPr="00F45DCA">
              <w:rPr>
                <w:rStyle w:val="Lienhypertexte"/>
                <w:noProof/>
              </w:rPr>
              <w:t>23.46.6 Chaînes en acier CCTB 01.04</w:t>
            </w:r>
            <w:r>
              <w:rPr>
                <w:noProof/>
                <w:webHidden/>
              </w:rPr>
              <w:tab/>
            </w:r>
            <w:r>
              <w:rPr>
                <w:noProof/>
                <w:webHidden/>
              </w:rPr>
              <w:fldChar w:fldCharType="begin"/>
            </w:r>
            <w:r>
              <w:rPr>
                <w:noProof/>
                <w:webHidden/>
              </w:rPr>
              <w:instrText xml:space="preserve"> PAGEREF _Toc220496481 \h </w:instrText>
            </w:r>
            <w:r>
              <w:rPr>
                <w:noProof/>
                <w:webHidden/>
              </w:rPr>
            </w:r>
            <w:r>
              <w:rPr>
                <w:noProof/>
                <w:webHidden/>
              </w:rPr>
              <w:fldChar w:fldCharType="separate"/>
            </w:r>
            <w:r>
              <w:rPr>
                <w:noProof/>
                <w:webHidden/>
              </w:rPr>
              <w:t>831</w:t>
            </w:r>
            <w:r>
              <w:rPr>
                <w:noProof/>
                <w:webHidden/>
              </w:rPr>
              <w:fldChar w:fldCharType="end"/>
            </w:r>
          </w:hyperlink>
        </w:p>
        <w:p w14:paraId="751A25C0" w14:textId="0D05C4A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82" w:history="1">
            <w:r w:rsidRPr="00F45DCA">
              <w:rPr>
                <w:rStyle w:val="Lienhypertexte"/>
                <w:noProof/>
              </w:rPr>
              <w:t>23.46.6a Chaînes en acier inoxydable CCTB 01.04</w:t>
            </w:r>
            <w:r>
              <w:rPr>
                <w:noProof/>
                <w:webHidden/>
              </w:rPr>
              <w:tab/>
            </w:r>
            <w:r>
              <w:rPr>
                <w:noProof/>
                <w:webHidden/>
              </w:rPr>
              <w:fldChar w:fldCharType="begin"/>
            </w:r>
            <w:r>
              <w:rPr>
                <w:noProof/>
                <w:webHidden/>
              </w:rPr>
              <w:instrText xml:space="preserve"> PAGEREF _Toc220496482 \h </w:instrText>
            </w:r>
            <w:r>
              <w:rPr>
                <w:noProof/>
                <w:webHidden/>
              </w:rPr>
            </w:r>
            <w:r>
              <w:rPr>
                <w:noProof/>
                <w:webHidden/>
              </w:rPr>
              <w:fldChar w:fldCharType="separate"/>
            </w:r>
            <w:r>
              <w:rPr>
                <w:noProof/>
                <w:webHidden/>
              </w:rPr>
              <w:t>831</w:t>
            </w:r>
            <w:r>
              <w:rPr>
                <w:noProof/>
                <w:webHidden/>
              </w:rPr>
              <w:fldChar w:fldCharType="end"/>
            </w:r>
          </w:hyperlink>
        </w:p>
        <w:p w14:paraId="07272CC4" w14:textId="375BB9E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83" w:history="1">
            <w:r w:rsidRPr="00F45DCA">
              <w:rPr>
                <w:rStyle w:val="Lienhypertexte"/>
                <w:noProof/>
              </w:rPr>
              <w:t>23.47 Rails métalliques CCTB 01.04</w:t>
            </w:r>
            <w:r>
              <w:rPr>
                <w:noProof/>
                <w:webHidden/>
              </w:rPr>
              <w:tab/>
            </w:r>
            <w:r>
              <w:rPr>
                <w:noProof/>
                <w:webHidden/>
              </w:rPr>
              <w:fldChar w:fldCharType="begin"/>
            </w:r>
            <w:r>
              <w:rPr>
                <w:noProof/>
                <w:webHidden/>
              </w:rPr>
              <w:instrText xml:space="preserve"> PAGEREF _Toc220496483 \h </w:instrText>
            </w:r>
            <w:r>
              <w:rPr>
                <w:noProof/>
                <w:webHidden/>
              </w:rPr>
            </w:r>
            <w:r>
              <w:rPr>
                <w:noProof/>
                <w:webHidden/>
              </w:rPr>
              <w:fldChar w:fldCharType="separate"/>
            </w:r>
            <w:r>
              <w:rPr>
                <w:noProof/>
                <w:webHidden/>
              </w:rPr>
              <w:t>831</w:t>
            </w:r>
            <w:r>
              <w:rPr>
                <w:noProof/>
                <w:webHidden/>
              </w:rPr>
              <w:fldChar w:fldCharType="end"/>
            </w:r>
          </w:hyperlink>
        </w:p>
        <w:p w14:paraId="04ED11FB" w14:textId="263942A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84" w:history="1">
            <w:r w:rsidRPr="00F45DCA">
              <w:rPr>
                <w:rStyle w:val="Lienhypertexte"/>
                <w:noProof/>
              </w:rPr>
              <w:t>23.47.1 Rails en acier CCTB 01.02</w:t>
            </w:r>
            <w:r>
              <w:rPr>
                <w:noProof/>
                <w:webHidden/>
              </w:rPr>
              <w:tab/>
            </w:r>
            <w:r>
              <w:rPr>
                <w:noProof/>
                <w:webHidden/>
              </w:rPr>
              <w:fldChar w:fldCharType="begin"/>
            </w:r>
            <w:r>
              <w:rPr>
                <w:noProof/>
                <w:webHidden/>
              </w:rPr>
              <w:instrText xml:space="preserve"> PAGEREF _Toc220496484 \h </w:instrText>
            </w:r>
            <w:r>
              <w:rPr>
                <w:noProof/>
                <w:webHidden/>
              </w:rPr>
            </w:r>
            <w:r>
              <w:rPr>
                <w:noProof/>
                <w:webHidden/>
              </w:rPr>
              <w:fldChar w:fldCharType="separate"/>
            </w:r>
            <w:r>
              <w:rPr>
                <w:noProof/>
                <w:webHidden/>
              </w:rPr>
              <w:t>831</w:t>
            </w:r>
            <w:r>
              <w:rPr>
                <w:noProof/>
                <w:webHidden/>
              </w:rPr>
              <w:fldChar w:fldCharType="end"/>
            </w:r>
          </w:hyperlink>
        </w:p>
        <w:p w14:paraId="15D77532" w14:textId="38FAE60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85" w:history="1">
            <w:r w:rsidRPr="00F45DCA">
              <w:rPr>
                <w:rStyle w:val="Lienhypertexte"/>
                <w:noProof/>
              </w:rPr>
              <w:t>23.47.1a Rails en acier CCTB 01.02</w:t>
            </w:r>
            <w:r>
              <w:rPr>
                <w:noProof/>
                <w:webHidden/>
              </w:rPr>
              <w:tab/>
            </w:r>
            <w:r>
              <w:rPr>
                <w:noProof/>
                <w:webHidden/>
              </w:rPr>
              <w:fldChar w:fldCharType="begin"/>
            </w:r>
            <w:r>
              <w:rPr>
                <w:noProof/>
                <w:webHidden/>
              </w:rPr>
              <w:instrText xml:space="preserve"> PAGEREF _Toc220496485 \h </w:instrText>
            </w:r>
            <w:r>
              <w:rPr>
                <w:noProof/>
                <w:webHidden/>
              </w:rPr>
            </w:r>
            <w:r>
              <w:rPr>
                <w:noProof/>
                <w:webHidden/>
              </w:rPr>
              <w:fldChar w:fldCharType="separate"/>
            </w:r>
            <w:r>
              <w:rPr>
                <w:noProof/>
                <w:webHidden/>
              </w:rPr>
              <w:t>831</w:t>
            </w:r>
            <w:r>
              <w:rPr>
                <w:noProof/>
                <w:webHidden/>
              </w:rPr>
              <w:fldChar w:fldCharType="end"/>
            </w:r>
          </w:hyperlink>
        </w:p>
        <w:p w14:paraId="05B7BCAF" w14:textId="40DFCA8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86" w:history="1">
            <w:r w:rsidRPr="00F45DCA">
              <w:rPr>
                <w:rStyle w:val="Lienhypertexte"/>
                <w:noProof/>
              </w:rPr>
              <w:t>23.47.2 Rails en acier inoxydable CCTB 01.04</w:t>
            </w:r>
            <w:r>
              <w:rPr>
                <w:noProof/>
                <w:webHidden/>
              </w:rPr>
              <w:tab/>
            </w:r>
            <w:r>
              <w:rPr>
                <w:noProof/>
                <w:webHidden/>
              </w:rPr>
              <w:fldChar w:fldCharType="begin"/>
            </w:r>
            <w:r>
              <w:rPr>
                <w:noProof/>
                <w:webHidden/>
              </w:rPr>
              <w:instrText xml:space="preserve"> PAGEREF _Toc220496486 \h </w:instrText>
            </w:r>
            <w:r>
              <w:rPr>
                <w:noProof/>
                <w:webHidden/>
              </w:rPr>
            </w:r>
            <w:r>
              <w:rPr>
                <w:noProof/>
                <w:webHidden/>
              </w:rPr>
              <w:fldChar w:fldCharType="separate"/>
            </w:r>
            <w:r>
              <w:rPr>
                <w:noProof/>
                <w:webHidden/>
              </w:rPr>
              <w:t>831</w:t>
            </w:r>
            <w:r>
              <w:rPr>
                <w:noProof/>
                <w:webHidden/>
              </w:rPr>
              <w:fldChar w:fldCharType="end"/>
            </w:r>
          </w:hyperlink>
        </w:p>
        <w:p w14:paraId="74CE3DEB" w14:textId="17763E3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87" w:history="1">
            <w:r w:rsidRPr="00F45DCA">
              <w:rPr>
                <w:rStyle w:val="Lienhypertexte"/>
                <w:noProof/>
              </w:rPr>
              <w:t>23.47.2a Rails en acier inoxydable CCTB 01.04</w:t>
            </w:r>
            <w:r>
              <w:rPr>
                <w:noProof/>
                <w:webHidden/>
              </w:rPr>
              <w:tab/>
            </w:r>
            <w:r>
              <w:rPr>
                <w:noProof/>
                <w:webHidden/>
              </w:rPr>
              <w:fldChar w:fldCharType="begin"/>
            </w:r>
            <w:r>
              <w:rPr>
                <w:noProof/>
                <w:webHidden/>
              </w:rPr>
              <w:instrText xml:space="preserve"> PAGEREF _Toc220496487 \h </w:instrText>
            </w:r>
            <w:r>
              <w:rPr>
                <w:noProof/>
                <w:webHidden/>
              </w:rPr>
            </w:r>
            <w:r>
              <w:rPr>
                <w:noProof/>
                <w:webHidden/>
              </w:rPr>
              <w:fldChar w:fldCharType="separate"/>
            </w:r>
            <w:r>
              <w:rPr>
                <w:noProof/>
                <w:webHidden/>
              </w:rPr>
              <w:t>831</w:t>
            </w:r>
            <w:r>
              <w:rPr>
                <w:noProof/>
                <w:webHidden/>
              </w:rPr>
              <w:fldChar w:fldCharType="end"/>
            </w:r>
          </w:hyperlink>
        </w:p>
        <w:p w14:paraId="272A50FD" w14:textId="308B77F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88" w:history="1">
            <w:r w:rsidRPr="00F45DCA">
              <w:rPr>
                <w:rStyle w:val="Lienhypertexte"/>
                <w:noProof/>
              </w:rPr>
              <w:t>23.47.3 Rails en aluminium CCTB 01.04</w:t>
            </w:r>
            <w:r>
              <w:rPr>
                <w:noProof/>
                <w:webHidden/>
              </w:rPr>
              <w:tab/>
            </w:r>
            <w:r>
              <w:rPr>
                <w:noProof/>
                <w:webHidden/>
              </w:rPr>
              <w:fldChar w:fldCharType="begin"/>
            </w:r>
            <w:r>
              <w:rPr>
                <w:noProof/>
                <w:webHidden/>
              </w:rPr>
              <w:instrText xml:space="preserve"> PAGEREF _Toc220496488 \h </w:instrText>
            </w:r>
            <w:r>
              <w:rPr>
                <w:noProof/>
                <w:webHidden/>
              </w:rPr>
            </w:r>
            <w:r>
              <w:rPr>
                <w:noProof/>
                <w:webHidden/>
              </w:rPr>
              <w:fldChar w:fldCharType="separate"/>
            </w:r>
            <w:r>
              <w:rPr>
                <w:noProof/>
                <w:webHidden/>
              </w:rPr>
              <w:t>831</w:t>
            </w:r>
            <w:r>
              <w:rPr>
                <w:noProof/>
                <w:webHidden/>
              </w:rPr>
              <w:fldChar w:fldCharType="end"/>
            </w:r>
          </w:hyperlink>
        </w:p>
        <w:p w14:paraId="1D71D40D" w14:textId="3E1F051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89" w:history="1">
            <w:r w:rsidRPr="00F45DCA">
              <w:rPr>
                <w:rStyle w:val="Lienhypertexte"/>
                <w:noProof/>
              </w:rPr>
              <w:t>23.47.3a Rails en aluminium CCTB 01.04</w:t>
            </w:r>
            <w:r>
              <w:rPr>
                <w:noProof/>
                <w:webHidden/>
              </w:rPr>
              <w:tab/>
            </w:r>
            <w:r>
              <w:rPr>
                <w:noProof/>
                <w:webHidden/>
              </w:rPr>
              <w:fldChar w:fldCharType="begin"/>
            </w:r>
            <w:r>
              <w:rPr>
                <w:noProof/>
                <w:webHidden/>
              </w:rPr>
              <w:instrText xml:space="preserve"> PAGEREF _Toc220496489 \h </w:instrText>
            </w:r>
            <w:r>
              <w:rPr>
                <w:noProof/>
                <w:webHidden/>
              </w:rPr>
            </w:r>
            <w:r>
              <w:rPr>
                <w:noProof/>
                <w:webHidden/>
              </w:rPr>
              <w:fldChar w:fldCharType="separate"/>
            </w:r>
            <w:r>
              <w:rPr>
                <w:noProof/>
                <w:webHidden/>
              </w:rPr>
              <w:t>831</w:t>
            </w:r>
            <w:r>
              <w:rPr>
                <w:noProof/>
                <w:webHidden/>
              </w:rPr>
              <w:fldChar w:fldCharType="end"/>
            </w:r>
          </w:hyperlink>
        </w:p>
        <w:p w14:paraId="32E0BDE8" w14:textId="48899CD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90" w:history="1">
            <w:r w:rsidRPr="00F45DCA">
              <w:rPr>
                <w:rStyle w:val="Lienhypertexte"/>
                <w:noProof/>
              </w:rPr>
              <w:t>23.48 Encadrements de baies métalliques CCTB 01.04</w:t>
            </w:r>
            <w:r>
              <w:rPr>
                <w:noProof/>
                <w:webHidden/>
              </w:rPr>
              <w:tab/>
            </w:r>
            <w:r>
              <w:rPr>
                <w:noProof/>
                <w:webHidden/>
              </w:rPr>
              <w:fldChar w:fldCharType="begin"/>
            </w:r>
            <w:r>
              <w:rPr>
                <w:noProof/>
                <w:webHidden/>
              </w:rPr>
              <w:instrText xml:space="preserve"> PAGEREF _Toc220496490 \h </w:instrText>
            </w:r>
            <w:r>
              <w:rPr>
                <w:noProof/>
                <w:webHidden/>
              </w:rPr>
            </w:r>
            <w:r>
              <w:rPr>
                <w:noProof/>
                <w:webHidden/>
              </w:rPr>
              <w:fldChar w:fldCharType="separate"/>
            </w:r>
            <w:r>
              <w:rPr>
                <w:noProof/>
                <w:webHidden/>
              </w:rPr>
              <w:t>831</w:t>
            </w:r>
            <w:r>
              <w:rPr>
                <w:noProof/>
                <w:webHidden/>
              </w:rPr>
              <w:fldChar w:fldCharType="end"/>
            </w:r>
          </w:hyperlink>
        </w:p>
        <w:p w14:paraId="72E2362F" w14:textId="0AE33BA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91" w:history="1">
            <w:r w:rsidRPr="00F45DCA">
              <w:rPr>
                <w:rStyle w:val="Lienhypertexte"/>
                <w:noProof/>
              </w:rPr>
              <w:t>23.48.1 Encadrements de baies métalliques CCTB 01.04</w:t>
            </w:r>
            <w:r>
              <w:rPr>
                <w:noProof/>
                <w:webHidden/>
              </w:rPr>
              <w:tab/>
            </w:r>
            <w:r>
              <w:rPr>
                <w:noProof/>
                <w:webHidden/>
              </w:rPr>
              <w:fldChar w:fldCharType="begin"/>
            </w:r>
            <w:r>
              <w:rPr>
                <w:noProof/>
                <w:webHidden/>
              </w:rPr>
              <w:instrText xml:space="preserve"> PAGEREF _Toc220496491 \h </w:instrText>
            </w:r>
            <w:r>
              <w:rPr>
                <w:noProof/>
                <w:webHidden/>
              </w:rPr>
            </w:r>
            <w:r>
              <w:rPr>
                <w:noProof/>
                <w:webHidden/>
              </w:rPr>
              <w:fldChar w:fldCharType="separate"/>
            </w:r>
            <w:r>
              <w:rPr>
                <w:noProof/>
                <w:webHidden/>
              </w:rPr>
              <w:t>831</w:t>
            </w:r>
            <w:r>
              <w:rPr>
                <w:noProof/>
                <w:webHidden/>
              </w:rPr>
              <w:fldChar w:fldCharType="end"/>
            </w:r>
          </w:hyperlink>
        </w:p>
        <w:p w14:paraId="6B459F29" w14:textId="76D3F8E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92" w:history="1">
            <w:r w:rsidRPr="00F45DCA">
              <w:rPr>
                <w:rStyle w:val="Lienhypertexte"/>
                <w:noProof/>
              </w:rPr>
              <w:t>23.48.1a Encadrements de baies métalliques CCTB 01.04</w:t>
            </w:r>
            <w:r>
              <w:rPr>
                <w:noProof/>
                <w:webHidden/>
              </w:rPr>
              <w:tab/>
            </w:r>
            <w:r>
              <w:rPr>
                <w:noProof/>
                <w:webHidden/>
              </w:rPr>
              <w:fldChar w:fldCharType="begin"/>
            </w:r>
            <w:r>
              <w:rPr>
                <w:noProof/>
                <w:webHidden/>
              </w:rPr>
              <w:instrText xml:space="preserve"> PAGEREF _Toc220496492 \h </w:instrText>
            </w:r>
            <w:r>
              <w:rPr>
                <w:noProof/>
                <w:webHidden/>
              </w:rPr>
            </w:r>
            <w:r>
              <w:rPr>
                <w:noProof/>
                <w:webHidden/>
              </w:rPr>
              <w:fldChar w:fldCharType="separate"/>
            </w:r>
            <w:r>
              <w:rPr>
                <w:noProof/>
                <w:webHidden/>
              </w:rPr>
              <w:t>831</w:t>
            </w:r>
            <w:r>
              <w:rPr>
                <w:noProof/>
                <w:webHidden/>
              </w:rPr>
              <w:fldChar w:fldCharType="end"/>
            </w:r>
          </w:hyperlink>
        </w:p>
        <w:p w14:paraId="68F7CBEC" w14:textId="3BED6CE7"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493" w:history="1">
            <w:r w:rsidRPr="00F45DCA">
              <w:rPr>
                <w:rStyle w:val="Lienhypertexte"/>
                <w:noProof/>
              </w:rPr>
              <w:t>23.5 (titre réservé) CCTB 01.04</w:t>
            </w:r>
            <w:r>
              <w:rPr>
                <w:noProof/>
                <w:webHidden/>
              </w:rPr>
              <w:tab/>
            </w:r>
            <w:r>
              <w:rPr>
                <w:noProof/>
                <w:webHidden/>
              </w:rPr>
              <w:fldChar w:fldCharType="begin"/>
            </w:r>
            <w:r>
              <w:rPr>
                <w:noProof/>
                <w:webHidden/>
              </w:rPr>
              <w:instrText xml:space="preserve"> PAGEREF _Toc220496493 \h </w:instrText>
            </w:r>
            <w:r>
              <w:rPr>
                <w:noProof/>
                <w:webHidden/>
              </w:rPr>
            </w:r>
            <w:r>
              <w:rPr>
                <w:noProof/>
                <w:webHidden/>
              </w:rPr>
              <w:fldChar w:fldCharType="separate"/>
            </w:r>
            <w:r>
              <w:rPr>
                <w:noProof/>
                <w:webHidden/>
              </w:rPr>
              <w:t>831</w:t>
            </w:r>
            <w:r>
              <w:rPr>
                <w:noProof/>
                <w:webHidden/>
              </w:rPr>
              <w:fldChar w:fldCharType="end"/>
            </w:r>
          </w:hyperlink>
        </w:p>
        <w:p w14:paraId="05570976" w14:textId="71184C91"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494" w:history="1">
            <w:r w:rsidRPr="00F45DCA">
              <w:rPr>
                <w:rStyle w:val="Lienhypertexte"/>
                <w:noProof/>
              </w:rPr>
              <w:t>23.6 Ouvrages de raccord et finitions CCTB 01.02</w:t>
            </w:r>
            <w:r>
              <w:rPr>
                <w:noProof/>
                <w:webHidden/>
              </w:rPr>
              <w:tab/>
            </w:r>
            <w:r>
              <w:rPr>
                <w:noProof/>
                <w:webHidden/>
              </w:rPr>
              <w:fldChar w:fldCharType="begin"/>
            </w:r>
            <w:r>
              <w:rPr>
                <w:noProof/>
                <w:webHidden/>
              </w:rPr>
              <w:instrText xml:space="preserve"> PAGEREF _Toc220496494 \h </w:instrText>
            </w:r>
            <w:r>
              <w:rPr>
                <w:noProof/>
                <w:webHidden/>
              </w:rPr>
            </w:r>
            <w:r>
              <w:rPr>
                <w:noProof/>
                <w:webHidden/>
              </w:rPr>
              <w:fldChar w:fldCharType="separate"/>
            </w:r>
            <w:r>
              <w:rPr>
                <w:noProof/>
                <w:webHidden/>
              </w:rPr>
              <w:t>831</w:t>
            </w:r>
            <w:r>
              <w:rPr>
                <w:noProof/>
                <w:webHidden/>
              </w:rPr>
              <w:fldChar w:fldCharType="end"/>
            </w:r>
          </w:hyperlink>
        </w:p>
        <w:p w14:paraId="7712967B" w14:textId="0F91DC5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95" w:history="1">
            <w:r w:rsidRPr="00F45DCA">
              <w:rPr>
                <w:rStyle w:val="Lienhypertexte"/>
                <w:noProof/>
              </w:rPr>
              <w:t>23.61 Réalisation de joints CCTB 01.02</w:t>
            </w:r>
            <w:r>
              <w:rPr>
                <w:noProof/>
                <w:webHidden/>
              </w:rPr>
              <w:tab/>
            </w:r>
            <w:r>
              <w:rPr>
                <w:noProof/>
                <w:webHidden/>
              </w:rPr>
              <w:fldChar w:fldCharType="begin"/>
            </w:r>
            <w:r>
              <w:rPr>
                <w:noProof/>
                <w:webHidden/>
              </w:rPr>
              <w:instrText xml:space="preserve"> PAGEREF _Toc220496495 \h </w:instrText>
            </w:r>
            <w:r>
              <w:rPr>
                <w:noProof/>
                <w:webHidden/>
              </w:rPr>
            </w:r>
            <w:r>
              <w:rPr>
                <w:noProof/>
                <w:webHidden/>
              </w:rPr>
              <w:fldChar w:fldCharType="separate"/>
            </w:r>
            <w:r>
              <w:rPr>
                <w:noProof/>
                <w:webHidden/>
              </w:rPr>
              <w:t>831</w:t>
            </w:r>
            <w:r>
              <w:rPr>
                <w:noProof/>
                <w:webHidden/>
              </w:rPr>
              <w:fldChar w:fldCharType="end"/>
            </w:r>
          </w:hyperlink>
        </w:p>
        <w:p w14:paraId="1F23E9BE" w14:textId="2A33CB6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496" w:history="1">
            <w:r w:rsidRPr="00F45DCA">
              <w:rPr>
                <w:rStyle w:val="Lienhypertexte"/>
                <w:noProof/>
              </w:rPr>
              <w:t>23.61.1 Joints particuliers CCTB 01.02</w:t>
            </w:r>
            <w:r>
              <w:rPr>
                <w:noProof/>
                <w:webHidden/>
              </w:rPr>
              <w:tab/>
            </w:r>
            <w:r>
              <w:rPr>
                <w:noProof/>
                <w:webHidden/>
              </w:rPr>
              <w:fldChar w:fldCharType="begin"/>
            </w:r>
            <w:r>
              <w:rPr>
                <w:noProof/>
                <w:webHidden/>
              </w:rPr>
              <w:instrText xml:space="preserve"> PAGEREF _Toc220496496 \h </w:instrText>
            </w:r>
            <w:r>
              <w:rPr>
                <w:noProof/>
                <w:webHidden/>
              </w:rPr>
            </w:r>
            <w:r>
              <w:rPr>
                <w:noProof/>
                <w:webHidden/>
              </w:rPr>
              <w:fldChar w:fldCharType="separate"/>
            </w:r>
            <w:r>
              <w:rPr>
                <w:noProof/>
                <w:webHidden/>
              </w:rPr>
              <w:t>831</w:t>
            </w:r>
            <w:r>
              <w:rPr>
                <w:noProof/>
                <w:webHidden/>
              </w:rPr>
              <w:fldChar w:fldCharType="end"/>
            </w:r>
          </w:hyperlink>
        </w:p>
        <w:p w14:paraId="3FCAD7A5" w14:textId="10D00AE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497" w:history="1">
            <w:r w:rsidRPr="00F45DCA">
              <w:rPr>
                <w:rStyle w:val="Lienhypertexte"/>
                <w:noProof/>
              </w:rPr>
              <w:t>23.61.1a Joints particuliers CCTB 01.02</w:t>
            </w:r>
            <w:r>
              <w:rPr>
                <w:noProof/>
                <w:webHidden/>
              </w:rPr>
              <w:tab/>
            </w:r>
            <w:r>
              <w:rPr>
                <w:noProof/>
                <w:webHidden/>
              </w:rPr>
              <w:fldChar w:fldCharType="begin"/>
            </w:r>
            <w:r>
              <w:rPr>
                <w:noProof/>
                <w:webHidden/>
              </w:rPr>
              <w:instrText xml:space="preserve"> PAGEREF _Toc220496497 \h </w:instrText>
            </w:r>
            <w:r>
              <w:rPr>
                <w:noProof/>
                <w:webHidden/>
              </w:rPr>
            </w:r>
            <w:r>
              <w:rPr>
                <w:noProof/>
                <w:webHidden/>
              </w:rPr>
              <w:fldChar w:fldCharType="separate"/>
            </w:r>
            <w:r>
              <w:rPr>
                <w:noProof/>
                <w:webHidden/>
              </w:rPr>
              <w:t>831</w:t>
            </w:r>
            <w:r>
              <w:rPr>
                <w:noProof/>
                <w:webHidden/>
              </w:rPr>
              <w:fldChar w:fldCharType="end"/>
            </w:r>
          </w:hyperlink>
        </w:p>
        <w:p w14:paraId="63BFA291" w14:textId="49DA017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498" w:history="1">
            <w:r w:rsidRPr="00F45DCA">
              <w:rPr>
                <w:rStyle w:val="Lienhypertexte"/>
                <w:noProof/>
              </w:rPr>
              <w:t>23.62 Etanchéisation de joints CCTB 01.04</w:t>
            </w:r>
            <w:r>
              <w:rPr>
                <w:noProof/>
                <w:webHidden/>
              </w:rPr>
              <w:tab/>
            </w:r>
            <w:r>
              <w:rPr>
                <w:noProof/>
                <w:webHidden/>
              </w:rPr>
              <w:fldChar w:fldCharType="begin"/>
            </w:r>
            <w:r>
              <w:rPr>
                <w:noProof/>
                <w:webHidden/>
              </w:rPr>
              <w:instrText xml:space="preserve"> PAGEREF _Toc220496498 \h </w:instrText>
            </w:r>
            <w:r>
              <w:rPr>
                <w:noProof/>
                <w:webHidden/>
              </w:rPr>
            </w:r>
            <w:r>
              <w:rPr>
                <w:noProof/>
                <w:webHidden/>
              </w:rPr>
              <w:fldChar w:fldCharType="separate"/>
            </w:r>
            <w:r>
              <w:rPr>
                <w:noProof/>
                <w:webHidden/>
              </w:rPr>
              <w:t>831</w:t>
            </w:r>
            <w:r>
              <w:rPr>
                <w:noProof/>
                <w:webHidden/>
              </w:rPr>
              <w:fldChar w:fldCharType="end"/>
            </w:r>
          </w:hyperlink>
        </w:p>
        <w:p w14:paraId="49CC7568" w14:textId="49FBA17F"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499" w:history="1">
            <w:r w:rsidRPr="00F45DCA">
              <w:rPr>
                <w:rStyle w:val="Lienhypertexte"/>
                <w:noProof/>
              </w:rPr>
              <w:t>23.7 Traitement, protection et finition des aciers CCTB 01.11</w:t>
            </w:r>
            <w:r>
              <w:rPr>
                <w:noProof/>
                <w:webHidden/>
              </w:rPr>
              <w:tab/>
            </w:r>
            <w:r>
              <w:rPr>
                <w:noProof/>
                <w:webHidden/>
              </w:rPr>
              <w:fldChar w:fldCharType="begin"/>
            </w:r>
            <w:r>
              <w:rPr>
                <w:noProof/>
                <w:webHidden/>
              </w:rPr>
              <w:instrText xml:space="preserve"> PAGEREF _Toc220496499 \h </w:instrText>
            </w:r>
            <w:r>
              <w:rPr>
                <w:noProof/>
                <w:webHidden/>
              </w:rPr>
            </w:r>
            <w:r>
              <w:rPr>
                <w:noProof/>
                <w:webHidden/>
              </w:rPr>
              <w:fldChar w:fldCharType="separate"/>
            </w:r>
            <w:r>
              <w:rPr>
                <w:noProof/>
                <w:webHidden/>
              </w:rPr>
              <w:t>832</w:t>
            </w:r>
            <w:r>
              <w:rPr>
                <w:noProof/>
                <w:webHidden/>
              </w:rPr>
              <w:fldChar w:fldCharType="end"/>
            </w:r>
          </w:hyperlink>
        </w:p>
        <w:p w14:paraId="43C103BA" w14:textId="2BA7197D"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500" w:history="1">
            <w:r w:rsidRPr="00F45DCA">
              <w:rPr>
                <w:rStyle w:val="Lienhypertexte"/>
                <w:noProof/>
              </w:rPr>
              <w:t>23.8 Superstructures métalliques - Rénovation CCTB 01.04</w:t>
            </w:r>
            <w:r>
              <w:rPr>
                <w:noProof/>
                <w:webHidden/>
              </w:rPr>
              <w:tab/>
            </w:r>
            <w:r>
              <w:rPr>
                <w:noProof/>
                <w:webHidden/>
              </w:rPr>
              <w:fldChar w:fldCharType="begin"/>
            </w:r>
            <w:r>
              <w:rPr>
                <w:noProof/>
                <w:webHidden/>
              </w:rPr>
              <w:instrText xml:space="preserve"> PAGEREF _Toc220496500 \h </w:instrText>
            </w:r>
            <w:r>
              <w:rPr>
                <w:noProof/>
                <w:webHidden/>
              </w:rPr>
            </w:r>
            <w:r>
              <w:rPr>
                <w:noProof/>
                <w:webHidden/>
              </w:rPr>
              <w:fldChar w:fldCharType="separate"/>
            </w:r>
            <w:r>
              <w:rPr>
                <w:noProof/>
                <w:webHidden/>
              </w:rPr>
              <w:t>833</w:t>
            </w:r>
            <w:r>
              <w:rPr>
                <w:noProof/>
                <w:webHidden/>
              </w:rPr>
              <w:fldChar w:fldCharType="end"/>
            </w:r>
          </w:hyperlink>
        </w:p>
        <w:p w14:paraId="5EB8D474" w14:textId="6B44C53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01" w:history="1">
            <w:r w:rsidRPr="00F45DCA">
              <w:rPr>
                <w:rStyle w:val="Lienhypertexte"/>
                <w:noProof/>
              </w:rPr>
              <w:t>23.81 Etudes / essais préliminaires CCTB 01.04</w:t>
            </w:r>
            <w:r>
              <w:rPr>
                <w:noProof/>
                <w:webHidden/>
              </w:rPr>
              <w:tab/>
            </w:r>
            <w:r>
              <w:rPr>
                <w:noProof/>
                <w:webHidden/>
              </w:rPr>
              <w:fldChar w:fldCharType="begin"/>
            </w:r>
            <w:r>
              <w:rPr>
                <w:noProof/>
                <w:webHidden/>
              </w:rPr>
              <w:instrText xml:space="preserve"> PAGEREF _Toc220496501 \h </w:instrText>
            </w:r>
            <w:r>
              <w:rPr>
                <w:noProof/>
                <w:webHidden/>
              </w:rPr>
            </w:r>
            <w:r>
              <w:rPr>
                <w:noProof/>
                <w:webHidden/>
              </w:rPr>
              <w:fldChar w:fldCharType="separate"/>
            </w:r>
            <w:r>
              <w:rPr>
                <w:noProof/>
                <w:webHidden/>
              </w:rPr>
              <w:t>833</w:t>
            </w:r>
            <w:r>
              <w:rPr>
                <w:noProof/>
                <w:webHidden/>
              </w:rPr>
              <w:fldChar w:fldCharType="end"/>
            </w:r>
          </w:hyperlink>
        </w:p>
        <w:p w14:paraId="73BB56D4" w14:textId="3D2E438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02" w:history="1">
            <w:r w:rsidRPr="00F45DCA">
              <w:rPr>
                <w:rStyle w:val="Lienhypertexte"/>
                <w:noProof/>
              </w:rPr>
              <w:t>23.82 Déposes / démontages / percements / déconstructions-démolitions CCTB 01.02</w:t>
            </w:r>
            <w:r>
              <w:rPr>
                <w:noProof/>
                <w:webHidden/>
              </w:rPr>
              <w:tab/>
            </w:r>
            <w:r>
              <w:rPr>
                <w:noProof/>
                <w:webHidden/>
              </w:rPr>
              <w:fldChar w:fldCharType="begin"/>
            </w:r>
            <w:r>
              <w:rPr>
                <w:noProof/>
                <w:webHidden/>
              </w:rPr>
              <w:instrText xml:space="preserve"> PAGEREF _Toc220496502 \h </w:instrText>
            </w:r>
            <w:r>
              <w:rPr>
                <w:noProof/>
                <w:webHidden/>
              </w:rPr>
            </w:r>
            <w:r>
              <w:rPr>
                <w:noProof/>
                <w:webHidden/>
              </w:rPr>
              <w:fldChar w:fldCharType="separate"/>
            </w:r>
            <w:r>
              <w:rPr>
                <w:noProof/>
                <w:webHidden/>
              </w:rPr>
              <w:t>833</w:t>
            </w:r>
            <w:r>
              <w:rPr>
                <w:noProof/>
                <w:webHidden/>
              </w:rPr>
              <w:fldChar w:fldCharType="end"/>
            </w:r>
          </w:hyperlink>
        </w:p>
        <w:p w14:paraId="74FF0A68" w14:textId="31BA873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03" w:history="1">
            <w:r w:rsidRPr="00F45DCA">
              <w:rPr>
                <w:rStyle w:val="Lienhypertexte"/>
                <w:noProof/>
              </w:rPr>
              <w:t>23.82.1 Travaux de stabilisation CCTB 01.04</w:t>
            </w:r>
            <w:r>
              <w:rPr>
                <w:noProof/>
                <w:webHidden/>
              </w:rPr>
              <w:tab/>
            </w:r>
            <w:r>
              <w:rPr>
                <w:noProof/>
                <w:webHidden/>
              </w:rPr>
              <w:fldChar w:fldCharType="begin"/>
            </w:r>
            <w:r>
              <w:rPr>
                <w:noProof/>
                <w:webHidden/>
              </w:rPr>
              <w:instrText xml:space="preserve"> PAGEREF _Toc220496503 \h </w:instrText>
            </w:r>
            <w:r>
              <w:rPr>
                <w:noProof/>
                <w:webHidden/>
              </w:rPr>
            </w:r>
            <w:r>
              <w:rPr>
                <w:noProof/>
                <w:webHidden/>
              </w:rPr>
              <w:fldChar w:fldCharType="separate"/>
            </w:r>
            <w:r>
              <w:rPr>
                <w:noProof/>
                <w:webHidden/>
              </w:rPr>
              <w:t>833</w:t>
            </w:r>
            <w:r>
              <w:rPr>
                <w:noProof/>
                <w:webHidden/>
              </w:rPr>
              <w:fldChar w:fldCharType="end"/>
            </w:r>
          </w:hyperlink>
        </w:p>
        <w:p w14:paraId="773F40AC" w14:textId="2568EF1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04" w:history="1">
            <w:r w:rsidRPr="00F45DCA">
              <w:rPr>
                <w:rStyle w:val="Lienhypertexte"/>
                <w:noProof/>
              </w:rPr>
              <w:t>23.82.2 Déposes d'éléments (pour repose ultérieure) CCTB 01.04</w:t>
            </w:r>
            <w:r>
              <w:rPr>
                <w:noProof/>
                <w:webHidden/>
              </w:rPr>
              <w:tab/>
            </w:r>
            <w:r>
              <w:rPr>
                <w:noProof/>
                <w:webHidden/>
              </w:rPr>
              <w:fldChar w:fldCharType="begin"/>
            </w:r>
            <w:r>
              <w:rPr>
                <w:noProof/>
                <w:webHidden/>
              </w:rPr>
              <w:instrText xml:space="preserve"> PAGEREF _Toc220496504 \h </w:instrText>
            </w:r>
            <w:r>
              <w:rPr>
                <w:noProof/>
                <w:webHidden/>
              </w:rPr>
            </w:r>
            <w:r>
              <w:rPr>
                <w:noProof/>
                <w:webHidden/>
              </w:rPr>
              <w:fldChar w:fldCharType="separate"/>
            </w:r>
            <w:r>
              <w:rPr>
                <w:noProof/>
                <w:webHidden/>
              </w:rPr>
              <w:t>833</w:t>
            </w:r>
            <w:r>
              <w:rPr>
                <w:noProof/>
                <w:webHidden/>
              </w:rPr>
              <w:fldChar w:fldCharType="end"/>
            </w:r>
          </w:hyperlink>
        </w:p>
        <w:p w14:paraId="50A1014B" w14:textId="6D1CBBD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05" w:history="1">
            <w:r w:rsidRPr="00F45DCA">
              <w:rPr>
                <w:rStyle w:val="Lienhypertexte"/>
                <w:noProof/>
              </w:rPr>
              <w:t>23.82.3 Démontages d'éléments (pour récupération) CCTB 01.04</w:t>
            </w:r>
            <w:r>
              <w:rPr>
                <w:noProof/>
                <w:webHidden/>
              </w:rPr>
              <w:tab/>
            </w:r>
            <w:r>
              <w:rPr>
                <w:noProof/>
                <w:webHidden/>
              </w:rPr>
              <w:fldChar w:fldCharType="begin"/>
            </w:r>
            <w:r>
              <w:rPr>
                <w:noProof/>
                <w:webHidden/>
              </w:rPr>
              <w:instrText xml:space="preserve"> PAGEREF _Toc220496505 \h </w:instrText>
            </w:r>
            <w:r>
              <w:rPr>
                <w:noProof/>
                <w:webHidden/>
              </w:rPr>
            </w:r>
            <w:r>
              <w:rPr>
                <w:noProof/>
                <w:webHidden/>
              </w:rPr>
              <w:fldChar w:fldCharType="separate"/>
            </w:r>
            <w:r>
              <w:rPr>
                <w:noProof/>
                <w:webHidden/>
              </w:rPr>
              <w:t>833</w:t>
            </w:r>
            <w:r>
              <w:rPr>
                <w:noProof/>
                <w:webHidden/>
              </w:rPr>
              <w:fldChar w:fldCharType="end"/>
            </w:r>
          </w:hyperlink>
        </w:p>
        <w:p w14:paraId="4BBB68FF" w14:textId="7B41F81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06" w:history="1">
            <w:r w:rsidRPr="00F45DCA">
              <w:rPr>
                <w:rStyle w:val="Lienhypertexte"/>
                <w:noProof/>
              </w:rPr>
              <w:t>23.82.4 Décapages / déjointoiements (pour évacuation) CCTB 01.04</w:t>
            </w:r>
            <w:r>
              <w:rPr>
                <w:noProof/>
                <w:webHidden/>
              </w:rPr>
              <w:tab/>
            </w:r>
            <w:r>
              <w:rPr>
                <w:noProof/>
                <w:webHidden/>
              </w:rPr>
              <w:fldChar w:fldCharType="begin"/>
            </w:r>
            <w:r>
              <w:rPr>
                <w:noProof/>
                <w:webHidden/>
              </w:rPr>
              <w:instrText xml:space="preserve"> PAGEREF _Toc220496506 \h </w:instrText>
            </w:r>
            <w:r>
              <w:rPr>
                <w:noProof/>
                <w:webHidden/>
              </w:rPr>
            </w:r>
            <w:r>
              <w:rPr>
                <w:noProof/>
                <w:webHidden/>
              </w:rPr>
              <w:fldChar w:fldCharType="separate"/>
            </w:r>
            <w:r>
              <w:rPr>
                <w:noProof/>
                <w:webHidden/>
              </w:rPr>
              <w:t>834</w:t>
            </w:r>
            <w:r>
              <w:rPr>
                <w:noProof/>
                <w:webHidden/>
              </w:rPr>
              <w:fldChar w:fldCharType="end"/>
            </w:r>
          </w:hyperlink>
        </w:p>
        <w:p w14:paraId="6FB7D4CD" w14:textId="7955221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07" w:history="1">
            <w:r w:rsidRPr="00F45DCA">
              <w:rPr>
                <w:rStyle w:val="Lienhypertexte"/>
                <w:noProof/>
              </w:rPr>
              <w:t>23.82.5 Percements / carottages CCTB 01.04</w:t>
            </w:r>
            <w:r>
              <w:rPr>
                <w:noProof/>
                <w:webHidden/>
              </w:rPr>
              <w:tab/>
            </w:r>
            <w:r>
              <w:rPr>
                <w:noProof/>
                <w:webHidden/>
              </w:rPr>
              <w:fldChar w:fldCharType="begin"/>
            </w:r>
            <w:r>
              <w:rPr>
                <w:noProof/>
                <w:webHidden/>
              </w:rPr>
              <w:instrText xml:space="preserve"> PAGEREF _Toc220496507 \h </w:instrText>
            </w:r>
            <w:r>
              <w:rPr>
                <w:noProof/>
                <w:webHidden/>
              </w:rPr>
            </w:r>
            <w:r>
              <w:rPr>
                <w:noProof/>
                <w:webHidden/>
              </w:rPr>
              <w:fldChar w:fldCharType="separate"/>
            </w:r>
            <w:r>
              <w:rPr>
                <w:noProof/>
                <w:webHidden/>
              </w:rPr>
              <w:t>834</w:t>
            </w:r>
            <w:r>
              <w:rPr>
                <w:noProof/>
                <w:webHidden/>
              </w:rPr>
              <w:fldChar w:fldCharType="end"/>
            </w:r>
          </w:hyperlink>
        </w:p>
        <w:p w14:paraId="7A6BB853" w14:textId="40B0816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08" w:history="1">
            <w:r w:rsidRPr="00F45DCA">
              <w:rPr>
                <w:rStyle w:val="Lienhypertexte"/>
                <w:noProof/>
              </w:rPr>
              <w:t>23.82.6 Déconstructions / démolitions (pour évacuation) CCTB 01.04</w:t>
            </w:r>
            <w:r>
              <w:rPr>
                <w:noProof/>
                <w:webHidden/>
              </w:rPr>
              <w:tab/>
            </w:r>
            <w:r>
              <w:rPr>
                <w:noProof/>
                <w:webHidden/>
              </w:rPr>
              <w:fldChar w:fldCharType="begin"/>
            </w:r>
            <w:r>
              <w:rPr>
                <w:noProof/>
                <w:webHidden/>
              </w:rPr>
              <w:instrText xml:space="preserve"> PAGEREF _Toc220496508 \h </w:instrText>
            </w:r>
            <w:r>
              <w:rPr>
                <w:noProof/>
                <w:webHidden/>
              </w:rPr>
            </w:r>
            <w:r>
              <w:rPr>
                <w:noProof/>
                <w:webHidden/>
              </w:rPr>
              <w:fldChar w:fldCharType="separate"/>
            </w:r>
            <w:r>
              <w:rPr>
                <w:noProof/>
                <w:webHidden/>
              </w:rPr>
              <w:t>834</w:t>
            </w:r>
            <w:r>
              <w:rPr>
                <w:noProof/>
                <w:webHidden/>
              </w:rPr>
              <w:fldChar w:fldCharType="end"/>
            </w:r>
          </w:hyperlink>
        </w:p>
        <w:p w14:paraId="118B5219" w14:textId="7221C39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09" w:history="1">
            <w:r w:rsidRPr="00F45DCA">
              <w:rPr>
                <w:rStyle w:val="Lienhypertexte"/>
                <w:noProof/>
              </w:rPr>
              <w:t>23.83 Réparations / ragréages / rénovations CCTB 01.02</w:t>
            </w:r>
            <w:r>
              <w:rPr>
                <w:noProof/>
                <w:webHidden/>
              </w:rPr>
              <w:tab/>
            </w:r>
            <w:r>
              <w:rPr>
                <w:noProof/>
                <w:webHidden/>
              </w:rPr>
              <w:fldChar w:fldCharType="begin"/>
            </w:r>
            <w:r>
              <w:rPr>
                <w:noProof/>
                <w:webHidden/>
              </w:rPr>
              <w:instrText xml:space="preserve"> PAGEREF _Toc220496509 \h </w:instrText>
            </w:r>
            <w:r>
              <w:rPr>
                <w:noProof/>
                <w:webHidden/>
              </w:rPr>
            </w:r>
            <w:r>
              <w:rPr>
                <w:noProof/>
                <w:webHidden/>
              </w:rPr>
              <w:fldChar w:fldCharType="separate"/>
            </w:r>
            <w:r>
              <w:rPr>
                <w:noProof/>
                <w:webHidden/>
              </w:rPr>
              <w:t>834</w:t>
            </w:r>
            <w:r>
              <w:rPr>
                <w:noProof/>
                <w:webHidden/>
              </w:rPr>
              <w:fldChar w:fldCharType="end"/>
            </w:r>
          </w:hyperlink>
        </w:p>
        <w:p w14:paraId="28D94BFF" w14:textId="749D001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10" w:history="1">
            <w:r w:rsidRPr="00F45DCA">
              <w:rPr>
                <w:rStyle w:val="Lienhypertexte"/>
                <w:noProof/>
              </w:rPr>
              <w:t>23.83.1 Réparations d'éléments défectueux par soudure CCTB 01.04</w:t>
            </w:r>
            <w:r>
              <w:rPr>
                <w:noProof/>
                <w:webHidden/>
              </w:rPr>
              <w:tab/>
            </w:r>
            <w:r>
              <w:rPr>
                <w:noProof/>
                <w:webHidden/>
              </w:rPr>
              <w:fldChar w:fldCharType="begin"/>
            </w:r>
            <w:r>
              <w:rPr>
                <w:noProof/>
                <w:webHidden/>
              </w:rPr>
              <w:instrText xml:space="preserve"> PAGEREF _Toc220496510 \h </w:instrText>
            </w:r>
            <w:r>
              <w:rPr>
                <w:noProof/>
                <w:webHidden/>
              </w:rPr>
            </w:r>
            <w:r>
              <w:rPr>
                <w:noProof/>
                <w:webHidden/>
              </w:rPr>
              <w:fldChar w:fldCharType="separate"/>
            </w:r>
            <w:r>
              <w:rPr>
                <w:noProof/>
                <w:webHidden/>
              </w:rPr>
              <w:t>834</w:t>
            </w:r>
            <w:r>
              <w:rPr>
                <w:noProof/>
                <w:webHidden/>
              </w:rPr>
              <w:fldChar w:fldCharType="end"/>
            </w:r>
          </w:hyperlink>
        </w:p>
        <w:p w14:paraId="334530FB" w14:textId="321F8CF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11" w:history="1">
            <w:r w:rsidRPr="00F45DCA">
              <w:rPr>
                <w:rStyle w:val="Lienhypertexte"/>
                <w:noProof/>
              </w:rPr>
              <w:t>23.83.1a Réparations d'éléments défectueux par soudure CCTB 01.04</w:t>
            </w:r>
            <w:r>
              <w:rPr>
                <w:noProof/>
                <w:webHidden/>
              </w:rPr>
              <w:tab/>
            </w:r>
            <w:r>
              <w:rPr>
                <w:noProof/>
                <w:webHidden/>
              </w:rPr>
              <w:fldChar w:fldCharType="begin"/>
            </w:r>
            <w:r>
              <w:rPr>
                <w:noProof/>
                <w:webHidden/>
              </w:rPr>
              <w:instrText xml:space="preserve"> PAGEREF _Toc220496511 \h </w:instrText>
            </w:r>
            <w:r>
              <w:rPr>
                <w:noProof/>
                <w:webHidden/>
              </w:rPr>
            </w:r>
            <w:r>
              <w:rPr>
                <w:noProof/>
                <w:webHidden/>
              </w:rPr>
              <w:fldChar w:fldCharType="separate"/>
            </w:r>
            <w:r>
              <w:rPr>
                <w:noProof/>
                <w:webHidden/>
              </w:rPr>
              <w:t>834</w:t>
            </w:r>
            <w:r>
              <w:rPr>
                <w:noProof/>
                <w:webHidden/>
              </w:rPr>
              <w:fldChar w:fldCharType="end"/>
            </w:r>
          </w:hyperlink>
        </w:p>
        <w:p w14:paraId="0074E1A2" w14:textId="1F84F0B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12" w:history="1">
            <w:r w:rsidRPr="00F45DCA">
              <w:rPr>
                <w:rStyle w:val="Lienhypertexte"/>
                <w:noProof/>
              </w:rPr>
              <w:t>23.84 Renforcements CCTB 01.02</w:t>
            </w:r>
            <w:r>
              <w:rPr>
                <w:noProof/>
                <w:webHidden/>
              </w:rPr>
              <w:tab/>
            </w:r>
            <w:r>
              <w:rPr>
                <w:noProof/>
                <w:webHidden/>
              </w:rPr>
              <w:fldChar w:fldCharType="begin"/>
            </w:r>
            <w:r>
              <w:rPr>
                <w:noProof/>
                <w:webHidden/>
              </w:rPr>
              <w:instrText xml:space="preserve"> PAGEREF _Toc220496512 \h </w:instrText>
            </w:r>
            <w:r>
              <w:rPr>
                <w:noProof/>
                <w:webHidden/>
              </w:rPr>
            </w:r>
            <w:r>
              <w:rPr>
                <w:noProof/>
                <w:webHidden/>
              </w:rPr>
              <w:fldChar w:fldCharType="separate"/>
            </w:r>
            <w:r>
              <w:rPr>
                <w:noProof/>
                <w:webHidden/>
              </w:rPr>
              <w:t>834</w:t>
            </w:r>
            <w:r>
              <w:rPr>
                <w:noProof/>
                <w:webHidden/>
              </w:rPr>
              <w:fldChar w:fldCharType="end"/>
            </w:r>
          </w:hyperlink>
        </w:p>
        <w:p w14:paraId="1F00AC2A" w14:textId="72CCB96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13" w:history="1">
            <w:r w:rsidRPr="00F45DCA">
              <w:rPr>
                <w:rStyle w:val="Lienhypertexte"/>
                <w:noProof/>
              </w:rPr>
              <w:t>23.84.1 Renforcements de profils par augmentation de la section d'acier CCTB 01.02</w:t>
            </w:r>
            <w:r>
              <w:rPr>
                <w:noProof/>
                <w:webHidden/>
              </w:rPr>
              <w:tab/>
            </w:r>
            <w:r>
              <w:rPr>
                <w:noProof/>
                <w:webHidden/>
              </w:rPr>
              <w:fldChar w:fldCharType="begin"/>
            </w:r>
            <w:r>
              <w:rPr>
                <w:noProof/>
                <w:webHidden/>
              </w:rPr>
              <w:instrText xml:space="preserve"> PAGEREF _Toc220496513 \h </w:instrText>
            </w:r>
            <w:r>
              <w:rPr>
                <w:noProof/>
                <w:webHidden/>
              </w:rPr>
            </w:r>
            <w:r>
              <w:rPr>
                <w:noProof/>
                <w:webHidden/>
              </w:rPr>
              <w:fldChar w:fldCharType="separate"/>
            </w:r>
            <w:r>
              <w:rPr>
                <w:noProof/>
                <w:webHidden/>
              </w:rPr>
              <w:t>834</w:t>
            </w:r>
            <w:r>
              <w:rPr>
                <w:noProof/>
                <w:webHidden/>
              </w:rPr>
              <w:fldChar w:fldCharType="end"/>
            </w:r>
          </w:hyperlink>
        </w:p>
        <w:p w14:paraId="77D99675" w14:textId="1BB2C40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14" w:history="1">
            <w:r w:rsidRPr="00F45DCA">
              <w:rPr>
                <w:rStyle w:val="Lienhypertexte"/>
                <w:noProof/>
              </w:rPr>
              <w:t>23.84.1a Renforcements par ajout de plats / profils soudés CCTB 01.02</w:t>
            </w:r>
            <w:r>
              <w:rPr>
                <w:noProof/>
                <w:webHidden/>
              </w:rPr>
              <w:tab/>
            </w:r>
            <w:r>
              <w:rPr>
                <w:noProof/>
                <w:webHidden/>
              </w:rPr>
              <w:fldChar w:fldCharType="begin"/>
            </w:r>
            <w:r>
              <w:rPr>
                <w:noProof/>
                <w:webHidden/>
              </w:rPr>
              <w:instrText xml:space="preserve"> PAGEREF _Toc220496514 \h </w:instrText>
            </w:r>
            <w:r>
              <w:rPr>
                <w:noProof/>
                <w:webHidden/>
              </w:rPr>
            </w:r>
            <w:r>
              <w:rPr>
                <w:noProof/>
                <w:webHidden/>
              </w:rPr>
              <w:fldChar w:fldCharType="separate"/>
            </w:r>
            <w:r>
              <w:rPr>
                <w:noProof/>
                <w:webHidden/>
              </w:rPr>
              <w:t>834</w:t>
            </w:r>
            <w:r>
              <w:rPr>
                <w:noProof/>
                <w:webHidden/>
              </w:rPr>
              <w:fldChar w:fldCharType="end"/>
            </w:r>
          </w:hyperlink>
        </w:p>
        <w:p w14:paraId="716DEB9E" w14:textId="63BDDE2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15" w:history="1">
            <w:r w:rsidRPr="00F45DCA">
              <w:rPr>
                <w:rStyle w:val="Lienhypertexte"/>
                <w:noProof/>
              </w:rPr>
              <w:t>23.84.1b Renforcements par ajout de plats / profils boulonnés / rivetés CCTB 01.02</w:t>
            </w:r>
            <w:r>
              <w:rPr>
                <w:noProof/>
                <w:webHidden/>
              </w:rPr>
              <w:tab/>
            </w:r>
            <w:r>
              <w:rPr>
                <w:noProof/>
                <w:webHidden/>
              </w:rPr>
              <w:fldChar w:fldCharType="begin"/>
            </w:r>
            <w:r>
              <w:rPr>
                <w:noProof/>
                <w:webHidden/>
              </w:rPr>
              <w:instrText xml:space="preserve"> PAGEREF _Toc220496515 \h </w:instrText>
            </w:r>
            <w:r>
              <w:rPr>
                <w:noProof/>
                <w:webHidden/>
              </w:rPr>
            </w:r>
            <w:r>
              <w:rPr>
                <w:noProof/>
                <w:webHidden/>
              </w:rPr>
              <w:fldChar w:fldCharType="separate"/>
            </w:r>
            <w:r>
              <w:rPr>
                <w:noProof/>
                <w:webHidden/>
              </w:rPr>
              <w:t>834</w:t>
            </w:r>
            <w:r>
              <w:rPr>
                <w:noProof/>
                <w:webHidden/>
              </w:rPr>
              <w:fldChar w:fldCharType="end"/>
            </w:r>
          </w:hyperlink>
        </w:p>
        <w:p w14:paraId="20F4FE37" w14:textId="074BC16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16" w:history="1">
            <w:r w:rsidRPr="00F45DCA">
              <w:rPr>
                <w:rStyle w:val="Lienhypertexte"/>
                <w:noProof/>
              </w:rPr>
              <w:t>23.84.1c Renforcements par ajout de plats / profils collés CCTB 01.02</w:t>
            </w:r>
            <w:r>
              <w:rPr>
                <w:noProof/>
                <w:webHidden/>
              </w:rPr>
              <w:tab/>
            </w:r>
            <w:r>
              <w:rPr>
                <w:noProof/>
                <w:webHidden/>
              </w:rPr>
              <w:fldChar w:fldCharType="begin"/>
            </w:r>
            <w:r>
              <w:rPr>
                <w:noProof/>
                <w:webHidden/>
              </w:rPr>
              <w:instrText xml:space="preserve"> PAGEREF _Toc220496516 \h </w:instrText>
            </w:r>
            <w:r>
              <w:rPr>
                <w:noProof/>
                <w:webHidden/>
              </w:rPr>
            </w:r>
            <w:r>
              <w:rPr>
                <w:noProof/>
                <w:webHidden/>
              </w:rPr>
              <w:fldChar w:fldCharType="separate"/>
            </w:r>
            <w:r>
              <w:rPr>
                <w:noProof/>
                <w:webHidden/>
              </w:rPr>
              <w:t>834</w:t>
            </w:r>
            <w:r>
              <w:rPr>
                <w:noProof/>
                <w:webHidden/>
              </w:rPr>
              <w:fldChar w:fldCharType="end"/>
            </w:r>
          </w:hyperlink>
        </w:p>
        <w:p w14:paraId="71C95A85" w14:textId="23FB498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17" w:history="1">
            <w:r w:rsidRPr="00F45DCA">
              <w:rPr>
                <w:rStyle w:val="Lienhypertexte"/>
                <w:noProof/>
              </w:rPr>
              <w:t>23.84.2 Renforcements par ajout de profils à la structure existante CCTB 01.02</w:t>
            </w:r>
            <w:r>
              <w:rPr>
                <w:noProof/>
                <w:webHidden/>
              </w:rPr>
              <w:tab/>
            </w:r>
            <w:r>
              <w:rPr>
                <w:noProof/>
                <w:webHidden/>
              </w:rPr>
              <w:fldChar w:fldCharType="begin"/>
            </w:r>
            <w:r>
              <w:rPr>
                <w:noProof/>
                <w:webHidden/>
              </w:rPr>
              <w:instrText xml:space="preserve"> PAGEREF _Toc220496517 \h </w:instrText>
            </w:r>
            <w:r>
              <w:rPr>
                <w:noProof/>
                <w:webHidden/>
              </w:rPr>
            </w:r>
            <w:r>
              <w:rPr>
                <w:noProof/>
                <w:webHidden/>
              </w:rPr>
              <w:fldChar w:fldCharType="separate"/>
            </w:r>
            <w:r>
              <w:rPr>
                <w:noProof/>
                <w:webHidden/>
              </w:rPr>
              <w:t>834</w:t>
            </w:r>
            <w:r>
              <w:rPr>
                <w:noProof/>
                <w:webHidden/>
              </w:rPr>
              <w:fldChar w:fldCharType="end"/>
            </w:r>
          </w:hyperlink>
        </w:p>
        <w:p w14:paraId="54A298A6" w14:textId="18E6CF7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18" w:history="1">
            <w:r w:rsidRPr="00F45DCA">
              <w:rPr>
                <w:rStyle w:val="Lienhypertexte"/>
                <w:noProof/>
              </w:rPr>
              <w:t>23.84.2a Ajouts de profils soudés CCTB 01.02</w:t>
            </w:r>
            <w:r>
              <w:rPr>
                <w:noProof/>
                <w:webHidden/>
              </w:rPr>
              <w:tab/>
            </w:r>
            <w:r>
              <w:rPr>
                <w:noProof/>
                <w:webHidden/>
              </w:rPr>
              <w:fldChar w:fldCharType="begin"/>
            </w:r>
            <w:r>
              <w:rPr>
                <w:noProof/>
                <w:webHidden/>
              </w:rPr>
              <w:instrText xml:space="preserve"> PAGEREF _Toc220496518 \h </w:instrText>
            </w:r>
            <w:r>
              <w:rPr>
                <w:noProof/>
                <w:webHidden/>
              </w:rPr>
            </w:r>
            <w:r>
              <w:rPr>
                <w:noProof/>
                <w:webHidden/>
              </w:rPr>
              <w:fldChar w:fldCharType="separate"/>
            </w:r>
            <w:r>
              <w:rPr>
                <w:noProof/>
                <w:webHidden/>
              </w:rPr>
              <w:t>834</w:t>
            </w:r>
            <w:r>
              <w:rPr>
                <w:noProof/>
                <w:webHidden/>
              </w:rPr>
              <w:fldChar w:fldCharType="end"/>
            </w:r>
          </w:hyperlink>
        </w:p>
        <w:p w14:paraId="7CC70DB7" w14:textId="01787B7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19" w:history="1">
            <w:r w:rsidRPr="00F45DCA">
              <w:rPr>
                <w:rStyle w:val="Lienhypertexte"/>
                <w:noProof/>
              </w:rPr>
              <w:t>23.84.2b Ajouts de profils collés CCTB 01.02</w:t>
            </w:r>
            <w:r>
              <w:rPr>
                <w:noProof/>
                <w:webHidden/>
              </w:rPr>
              <w:tab/>
            </w:r>
            <w:r>
              <w:rPr>
                <w:noProof/>
                <w:webHidden/>
              </w:rPr>
              <w:fldChar w:fldCharType="begin"/>
            </w:r>
            <w:r>
              <w:rPr>
                <w:noProof/>
                <w:webHidden/>
              </w:rPr>
              <w:instrText xml:space="preserve"> PAGEREF _Toc220496519 \h </w:instrText>
            </w:r>
            <w:r>
              <w:rPr>
                <w:noProof/>
                <w:webHidden/>
              </w:rPr>
            </w:r>
            <w:r>
              <w:rPr>
                <w:noProof/>
                <w:webHidden/>
              </w:rPr>
              <w:fldChar w:fldCharType="separate"/>
            </w:r>
            <w:r>
              <w:rPr>
                <w:noProof/>
                <w:webHidden/>
              </w:rPr>
              <w:t>834</w:t>
            </w:r>
            <w:r>
              <w:rPr>
                <w:noProof/>
                <w:webHidden/>
              </w:rPr>
              <w:fldChar w:fldCharType="end"/>
            </w:r>
          </w:hyperlink>
        </w:p>
        <w:p w14:paraId="7B661785" w14:textId="023AFDC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20" w:history="1">
            <w:r w:rsidRPr="00F45DCA">
              <w:rPr>
                <w:rStyle w:val="Lienhypertexte"/>
                <w:noProof/>
              </w:rPr>
              <w:t>23.84.2c Ajouts de profils boulonnés CCTB 01.02</w:t>
            </w:r>
            <w:r>
              <w:rPr>
                <w:noProof/>
                <w:webHidden/>
              </w:rPr>
              <w:tab/>
            </w:r>
            <w:r>
              <w:rPr>
                <w:noProof/>
                <w:webHidden/>
              </w:rPr>
              <w:fldChar w:fldCharType="begin"/>
            </w:r>
            <w:r>
              <w:rPr>
                <w:noProof/>
                <w:webHidden/>
              </w:rPr>
              <w:instrText xml:space="preserve"> PAGEREF _Toc220496520 \h </w:instrText>
            </w:r>
            <w:r>
              <w:rPr>
                <w:noProof/>
                <w:webHidden/>
              </w:rPr>
            </w:r>
            <w:r>
              <w:rPr>
                <w:noProof/>
                <w:webHidden/>
              </w:rPr>
              <w:fldChar w:fldCharType="separate"/>
            </w:r>
            <w:r>
              <w:rPr>
                <w:noProof/>
                <w:webHidden/>
              </w:rPr>
              <w:t>834</w:t>
            </w:r>
            <w:r>
              <w:rPr>
                <w:noProof/>
                <w:webHidden/>
              </w:rPr>
              <w:fldChar w:fldCharType="end"/>
            </w:r>
          </w:hyperlink>
        </w:p>
        <w:p w14:paraId="16A134D7" w14:textId="57000B8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21" w:history="1">
            <w:r w:rsidRPr="00F45DCA">
              <w:rPr>
                <w:rStyle w:val="Lienhypertexte"/>
                <w:noProof/>
              </w:rPr>
              <w:t>23.84.2d Ajouts de profils rivetés CCTB 01.02</w:t>
            </w:r>
            <w:r>
              <w:rPr>
                <w:noProof/>
                <w:webHidden/>
              </w:rPr>
              <w:tab/>
            </w:r>
            <w:r>
              <w:rPr>
                <w:noProof/>
                <w:webHidden/>
              </w:rPr>
              <w:fldChar w:fldCharType="begin"/>
            </w:r>
            <w:r>
              <w:rPr>
                <w:noProof/>
                <w:webHidden/>
              </w:rPr>
              <w:instrText xml:space="preserve"> PAGEREF _Toc220496521 \h </w:instrText>
            </w:r>
            <w:r>
              <w:rPr>
                <w:noProof/>
                <w:webHidden/>
              </w:rPr>
            </w:r>
            <w:r>
              <w:rPr>
                <w:noProof/>
                <w:webHidden/>
              </w:rPr>
              <w:fldChar w:fldCharType="separate"/>
            </w:r>
            <w:r>
              <w:rPr>
                <w:noProof/>
                <w:webHidden/>
              </w:rPr>
              <w:t>834</w:t>
            </w:r>
            <w:r>
              <w:rPr>
                <w:noProof/>
                <w:webHidden/>
              </w:rPr>
              <w:fldChar w:fldCharType="end"/>
            </w:r>
          </w:hyperlink>
        </w:p>
        <w:p w14:paraId="4174E8C2" w14:textId="4C71BA6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22" w:history="1">
            <w:r w:rsidRPr="00F45DCA">
              <w:rPr>
                <w:rStyle w:val="Lienhypertexte"/>
                <w:noProof/>
              </w:rPr>
              <w:t>23.84.3 Renforcements par ajout d'éléments structuraux externes à la structure CCTB 01.04</w:t>
            </w:r>
            <w:r>
              <w:rPr>
                <w:noProof/>
                <w:webHidden/>
              </w:rPr>
              <w:tab/>
            </w:r>
            <w:r>
              <w:rPr>
                <w:noProof/>
                <w:webHidden/>
              </w:rPr>
              <w:fldChar w:fldCharType="begin"/>
            </w:r>
            <w:r>
              <w:rPr>
                <w:noProof/>
                <w:webHidden/>
              </w:rPr>
              <w:instrText xml:space="preserve"> PAGEREF _Toc220496522 \h </w:instrText>
            </w:r>
            <w:r>
              <w:rPr>
                <w:noProof/>
                <w:webHidden/>
              </w:rPr>
            </w:r>
            <w:r>
              <w:rPr>
                <w:noProof/>
                <w:webHidden/>
              </w:rPr>
              <w:fldChar w:fldCharType="separate"/>
            </w:r>
            <w:r>
              <w:rPr>
                <w:noProof/>
                <w:webHidden/>
              </w:rPr>
              <w:t>835</w:t>
            </w:r>
            <w:r>
              <w:rPr>
                <w:noProof/>
                <w:webHidden/>
              </w:rPr>
              <w:fldChar w:fldCharType="end"/>
            </w:r>
          </w:hyperlink>
        </w:p>
        <w:p w14:paraId="3D122D59" w14:textId="0219A16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23" w:history="1">
            <w:r w:rsidRPr="00F45DCA">
              <w:rPr>
                <w:rStyle w:val="Lienhypertexte"/>
                <w:noProof/>
              </w:rPr>
              <w:t>23.84.3a Ajouts de tirants métalliques externes CCTB 01.02</w:t>
            </w:r>
            <w:r>
              <w:rPr>
                <w:noProof/>
                <w:webHidden/>
              </w:rPr>
              <w:tab/>
            </w:r>
            <w:r>
              <w:rPr>
                <w:noProof/>
                <w:webHidden/>
              </w:rPr>
              <w:fldChar w:fldCharType="begin"/>
            </w:r>
            <w:r>
              <w:rPr>
                <w:noProof/>
                <w:webHidden/>
              </w:rPr>
              <w:instrText xml:space="preserve"> PAGEREF _Toc220496523 \h </w:instrText>
            </w:r>
            <w:r>
              <w:rPr>
                <w:noProof/>
                <w:webHidden/>
              </w:rPr>
            </w:r>
            <w:r>
              <w:rPr>
                <w:noProof/>
                <w:webHidden/>
              </w:rPr>
              <w:fldChar w:fldCharType="separate"/>
            </w:r>
            <w:r>
              <w:rPr>
                <w:noProof/>
                <w:webHidden/>
              </w:rPr>
              <w:t>835</w:t>
            </w:r>
            <w:r>
              <w:rPr>
                <w:noProof/>
                <w:webHidden/>
              </w:rPr>
              <w:fldChar w:fldCharType="end"/>
            </w:r>
          </w:hyperlink>
        </w:p>
        <w:p w14:paraId="7D62851F" w14:textId="5E5C9C8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24" w:history="1">
            <w:r w:rsidRPr="00F45DCA">
              <w:rPr>
                <w:rStyle w:val="Lienhypertexte"/>
                <w:noProof/>
              </w:rPr>
              <w:t>23.84.3b Structures de délestage autour d'une structure existante CCTB 01.02</w:t>
            </w:r>
            <w:r>
              <w:rPr>
                <w:noProof/>
                <w:webHidden/>
              </w:rPr>
              <w:tab/>
            </w:r>
            <w:r>
              <w:rPr>
                <w:noProof/>
                <w:webHidden/>
              </w:rPr>
              <w:fldChar w:fldCharType="begin"/>
            </w:r>
            <w:r>
              <w:rPr>
                <w:noProof/>
                <w:webHidden/>
              </w:rPr>
              <w:instrText xml:space="preserve"> PAGEREF _Toc220496524 \h </w:instrText>
            </w:r>
            <w:r>
              <w:rPr>
                <w:noProof/>
                <w:webHidden/>
              </w:rPr>
            </w:r>
            <w:r>
              <w:rPr>
                <w:noProof/>
                <w:webHidden/>
              </w:rPr>
              <w:fldChar w:fldCharType="separate"/>
            </w:r>
            <w:r>
              <w:rPr>
                <w:noProof/>
                <w:webHidden/>
              </w:rPr>
              <w:t>835</w:t>
            </w:r>
            <w:r>
              <w:rPr>
                <w:noProof/>
                <w:webHidden/>
              </w:rPr>
              <w:fldChar w:fldCharType="end"/>
            </w:r>
          </w:hyperlink>
        </w:p>
        <w:p w14:paraId="4799F5A4" w14:textId="307672B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25" w:history="1">
            <w:r w:rsidRPr="00F45DCA">
              <w:rPr>
                <w:rStyle w:val="Lienhypertexte"/>
                <w:noProof/>
              </w:rPr>
              <w:t>23.84.4 Renforcements de fixations / assemblages de structure existantes CCTB 01.02</w:t>
            </w:r>
            <w:r>
              <w:rPr>
                <w:noProof/>
                <w:webHidden/>
              </w:rPr>
              <w:tab/>
            </w:r>
            <w:r>
              <w:rPr>
                <w:noProof/>
                <w:webHidden/>
              </w:rPr>
              <w:fldChar w:fldCharType="begin"/>
            </w:r>
            <w:r>
              <w:rPr>
                <w:noProof/>
                <w:webHidden/>
              </w:rPr>
              <w:instrText xml:space="preserve"> PAGEREF _Toc220496525 \h </w:instrText>
            </w:r>
            <w:r>
              <w:rPr>
                <w:noProof/>
                <w:webHidden/>
              </w:rPr>
            </w:r>
            <w:r>
              <w:rPr>
                <w:noProof/>
                <w:webHidden/>
              </w:rPr>
              <w:fldChar w:fldCharType="separate"/>
            </w:r>
            <w:r>
              <w:rPr>
                <w:noProof/>
                <w:webHidden/>
              </w:rPr>
              <w:t>835</w:t>
            </w:r>
            <w:r>
              <w:rPr>
                <w:noProof/>
                <w:webHidden/>
              </w:rPr>
              <w:fldChar w:fldCharType="end"/>
            </w:r>
          </w:hyperlink>
        </w:p>
        <w:p w14:paraId="78716652" w14:textId="75BCE4E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26" w:history="1">
            <w:r w:rsidRPr="00F45DCA">
              <w:rPr>
                <w:rStyle w:val="Lienhypertexte"/>
                <w:noProof/>
              </w:rPr>
              <w:t>23.84.4a Opérations de soudure complémentaires CCTB 01.02</w:t>
            </w:r>
            <w:r>
              <w:rPr>
                <w:noProof/>
                <w:webHidden/>
              </w:rPr>
              <w:tab/>
            </w:r>
            <w:r>
              <w:rPr>
                <w:noProof/>
                <w:webHidden/>
              </w:rPr>
              <w:fldChar w:fldCharType="begin"/>
            </w:r>
            <w:r>
              <w:rPr>
                <w:noProof/>
                <w:webHidden/>
              </w:rPr>
              <w:instrText xml:space="preserve"> PAGEREF _Toc220496526 \h </w:instrText>
            </w:r>
            <w:r>
              <w:rPr>
                <w:noProof/>
                <w:webHidden/>
              </w:rPr>
            </w:r>
            <w:r>
              <w:rPr>
                <w:noProof/>
                <w:webHidden/>
              </w:rPr>
              <w:fldChar w:fldCharType="separate"/>
            </w:r>
            <w:r>
              <w:rPr>
                <w:noProof/>
                <w:webHidden/>
              </w:rPr>
              <w:t>835</w:t>
            </w:r>
            <w:r>
              <w:rPr>
                <w:noProof/>
                <w:webHidden/>
              </w:rPr>
              <w:fldChar w:fldCharType="end"/>
            </w:r>
          </w:hyperlink>
        </w:p>
        <w:p w14:paraId="316F5E83" w14:textId="02238EF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27" w:history="1">
            <w:r w:rsidRPr="00F45DCA">
              <w:rPr>
                <w:rStyle w:val="Lienhypertexte"/>
                <w:noProof/>
              </w:rPr>
              <w:t>23.84.4b Ajouts de raidisseurs soudés CCTB 01.04</w:t>
            </w:r>
            <w:r>
              <w:rPr>
                <w:noProof/>
                <w:webHidden/>
              </w:rPr>
              <w:tab/>
            </w:r>
            <w:r>
              <w:rPr>
                <w:noProof/>
                <w:webHidden/>
              </w:rPr>
              <w:fldChar w:fldCharType="begin"/>
            </w:r>
            <w:r>
              <w:rPr>
                <w:noProof/>
                <w:webHidden/>
              </w:rPr>
              <w:instrText xml:space="preserve"> PAGEREF _Toc220496527 \h </w:instrText>
            </w:r>
            <w:r>
              <w:rPr>
                <w:noProof/>
                <w:webHidden/>
              </w:rPr>
            </w:r>
            <w:r>
              <w:rPr>
                <w:noProof/>
                <w:webHidden/>
              </w:rPr>
              <w:fldChar w:fldCharType="separate"/>
            </w:r>
            <w:r>
              <w:rPr>
                <w:noProof/>
                <w:webHidden/>
              </w:rPr>
              <w:t>835</w:t>
            </w:r>
            <w:r>
              <w:rPr>
                <w:noProof/>
                <w:webHidden/>
              </w:rPr>
              <w:fldChar w:fldCharType="end"/>
            </w:r>
          </w:hyperlink>
        </w:p>
        <w:p w14:paraId="188991D9" w14:textId="32ABD38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28" w:history="1">
            <w:r w:rsidRPr="00F45DCA">
              <w:rPr>
                <w:rStyle w:val="Lienhypertexte"/>
                <w:noProof/>
              </w:rPr>
              <w:t>23.84.4c Ajouts de raidisseurs fixés mécaniquement CCTB 01.04</w:t>
            </w:r>
            <w:r>
              <w:rPr>
                <w:noProof/>
                <w:webHidden/>
              </w:rPr>
              <w:tab/>
            </w:r>
            <w:r>
              <w:rPr>
                <w:noProof/>
                <w:webHidden/>
              </w:rPr>
              <w:fldChar w:fldCharType="begin"/>
            </w:r>
            <w:r>
              <w:rPr>
                <w:noProof/>
                <w:webHidden/>
              </w:rPr>
              <w:instrText xml:space="preserve"> PAGEREF _Toc220496528 \h </w:instrText>
            </w:r>
            <w:r>
              <w:rPr>
                <w:noProof/>
                <w:webHidden/>
              </w:rPr>
            </w:r>
            <w:r>
              <w:rPr>
                <w:noProof/>
                <w:webHidden/>
              </w:rPr>
              <w:fldChar w:fldCharType="separate"/>
            </w:r>
            <w:r>
              <w:rPr>
                <w:noProof/>
                <w:webHidden/>
              </w:rPr>
              <w:t>835</w:t>
            </w:r>
            <w:r>
              <w:rPr>
                <w:noProof/>
                <w:webHidden/>
              </w:rPr>
              <w:fldChar w:fldCharType="end"/>
            </w:r>
          </w:hyperlink>
        </w:p>
        <w:p w14:paraId="70ACE588" w14:textId="17D3D26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29" w:history="1">
            <w:r w:rsidRPr="00F45DCA">
              <w:rPr>
                <w:rStyle w:val="Lienhypertexte"/>
                <w:noProof/>
              </w:rPr>
              <w:t>23.85 Adaptations CCTB 01.02</w:t>
            </w:r>
            <w:r>
              <w:rPr>
                <w:noProof/>
                <w:webHidden/>
              </w:rPr>
              <w:tab/>
            </w:r>
            <w:r>
              <w:rPr>
                <w:noProof/>
                <w:webHidden/>
              </w:rPr>
              <w:fldChar w:fldCharType="begin"/>
            </w:r>
            <w:r>
              <w:rPr>
                <w:noProof/>
                <w:webHidden/>
              </w:rPr>
              <w:instrText xml:space="preserve"> PAGEREF _Toc220496529 \h </w:instrText>
            </w:r>
            <w:r>
              <w:rPr>
                <w:noProof/>
                <w:webHidden/>
              </w:rPr>
            </w:r>
            <w:r>
              <w:rPr>
                <w:noProof/>
                <w:webHidden/>
              </w:rPr>
              <w:fldChar w:fldCharType="separate"/>
            </w:r>
            <w:r>
              <w:rPr>
                <w:noProof/>
                <w:webHidden/>
              </w:rPr>
              <w:t>835</w:t>
            </w:r>
            <w:r>
              <w:rPr>
                <w:noProof/>
                <w:webHidden/>
              </w:rPr>
              <w:fldChar w:fldCharType="end"/>
            </w:r>
          </w:hyperlink>
        </w:p>
        <w:p w14:paraId="33EE78FC" w14:textId="41D0C8D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30" w:history="1">
            <w:r w:rsidRPr="00F45DCA">
              <w:rPr>
                <w:rStyle w:val="Lienhypertexte"/>
                <w:noProof/>
              </w:rPr>
              <w:t>23.85.1 Adaptations de charpentes métalliques pour baies / passages CCTB 01.02</w:t>
            </w:r>
            <w:r>
              <w:rPr>
                <w:noProof/>
                <w:webHidden/>
              </w:rPr>
              <w:tab/>
            </w:r>
            <w:r>
              <w:rPr>
                <w:noProof/>
                <w:webHidden/>
              </w:rPr>
              <w:fldChar w:fldCharType="begin"/>
            </w:r>
            <w:r>
              <w:rPr>
                <w:noProof/>
                <w:webHidden/>
              </w:rPr>
              <w:instrText xml:space="preserve"> PAGEREF _Toc220496530 \h </w:instrText>
            </w:r>
            <w:r>
              <w:rPr>
                <w:noProof/>
                <w:webHidden/>
              </w:rPr>
            </w:r>
            <w:r>
              <w:rPr>
                <w:noProof/>
                <w:webHidden/>
              </w:rPr>
              <w:fldChar w:fldCharType="separate"/>
            </w:r>
            <w:r>
              <w:rPr>
                <w:noProof/>
                <w:webHidden/>
              </w:rPr>
              <w:t>835</w:t>
            </w:r>
            <w:r>
              <w:rPr>
                <w:noProof/>
                <w:webHidden/>
              </w:rPr>
              <w:fldChar w:fldCharType="end"/>
            </w:r>
          </w:hyperlink>
        </w:p>
        <w:p w14:paraId="5EA428A6" w14:textId="5538482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31" w:history="1">
            <w:r w:rsidRPr="00F45DCA">
              <w:rPr>
                <w:rStyle w:val="Lienhypertexte"/>
                <w:noProof/>
              </w:rPr>
              <w:t>23.85.1a Créations de baies dans structures métalliques CCTB 01.04</w:t>
            </w:r>
            <w:r>
              <w:rPr>
                <w:noProof/>
                <w:webHidden/>
              </w:rPr>
              <w:tab/>
            </w:r>
            <w:r>
              <w:rPr>
                <w:noProof/>
                <w:webHidden/>
              </w:rPr>
              <w:fldChar w:fldCharType="begin"/>
            </w:r>
            <w:r>
              <w:rPr>
                <w:noProof/>
                <w:webHidden/>
              </w:rPr>
              <w:instrText xml:space="preserve"> PAGEREF _Toc220496531 \h </w:instrText>
            </w:r>
            <w:r>
              <w:rPr>
                <w:noProof/>
                <w:webHidden/>
              </w:rPr>
            </w:r>
            <w:r>
              <w:rPr>
                <w:noProof/>
                <w:webHidden/>
              </w:rPr>
              <w:fldChar w:fldCharType="separate"/>
            </w:r>
            <w:r>
              <w:rPr>
                <w:noProof/>
                <w:webHidden/>
              </w:rPr>
              <w:t>835</w:t>
            </w:r>
            <w:r>
              <w:rPr>
                <w:noProof/>
                <w:webHidden/>
              </w:rPr>
              <w:fldChar w:fldCharType="end"/>
            </w:r>
          </w:hyperlink>
        </w:p>
        <w:p w14:paraId="5AB83E9F" w14:textId="712D22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32" w:history="1">
            <w:r w:rsidRPr="00F45DCA">
              <w:rPr>
                <w:rStyle w:val="Lienhypertexte"/>
                <w:noProof/>
              </w:rPr>
              <w:t>23.85.1b Adaptations dimensionnelles de baies existantes dans structures métalliques CCTB 01.04</w:t>
            </w:r>
            <w:r>
              <w:rPr>
                <w:noProof/>
                <w:webHidden/>
              </w:rPr>
              <w:tab/>
            </w:r>
            <w:r>
              <w:rPr>
                <w:noProof/>
                <w:webHidden/>
              </w:rPr>
              <w:fldChar w:fldCharType="begin"/>
            </w:r>
            <w:r>
              <w:rPr>
                <w:noProof/>
                <w:webHidden/>
              </w:rPr>
              <w:instrText xml:space="preserve"> PAGEREF _Toc220496532 \h </w:instrText>
            </w:r>
            <w:r>
              <w:rPr>
                <w:noProof/>
                <w:webHidden/>
              </w:rPr>
            </w:r>
            <w:r>
              <w:rPr>
                <w:noProof/>
                <w:webHidden/>
              </w:rPr>
              <w:fldChar w:fldCharType="separate"/>
            </w:r>
            <w:r>
              <w:rPr>
                <w:noProof/>
                <w:webHidden/>
              </w:rPr>
              <w:t>835</w:t>
            </w:r>
            <w:r>
              <w:rPr>
                <w:noProof/>
                <w:webHidden/>
              </w:rPr>
              <w:fldChar w:fldCharType="end"/>
            </w:r>
          </w:hyperlink>
        </w:p>
        <w:p w14:paraId="69473D30" w14:textId="03AB9AD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33" w:history="1">
            <w:r w:rsidRPr="00F45DCA">
              <w:rPr>
                <w:rStyle w:val="Lienhypertexte"/>
                <w:noProof/>
              </w:rPr>
              <w:t>23.85.1c Obturations de baies existantes dans structures métalliques CCTB 01.02</w:t>
            </w:r>
            <w:r>
              <w:rPr>
                <w:noProof/>
                <w:webHidden/>
              </w:rPr>
              <w:tab/>
            </w:r>
            <w:r>
              <w:rPr>
                <w:noProof/>
                <w:webHidden/>
              </w:rPr>
              <w:fldChar w:fldCharType="begin"/>
            </w:r>
            <w:r>
              <w:rPr>
                <w:noProof/>
                <w:webHidden/>
              </w:rPr>
              <w:instrText xml:space="preserve"> PAGEREF _Toc220496533 \h </w:instrText>
            </w:r>
            <w:r>
              <w:rPr>
                <w:noProof/>
                <w:webHidden/>
              </w:rPr>
            </w:r>
            <w:r>
              <w:rPr>
                <w:noProof/>
                <w:webHidden/>
              </w:rPr>
              <w:fldChar w:fldCharType="separate"/>
            </w:r>
            <w:r>
              <w:rPr>
                <w:noProof/>
                <w:webHidden/>
              </w:rPr>
              <w:t>835</w:t>
            </w:r>
            <w:r>
              <w:rPr>
                <w:noProof/>
                <w:webHidden/>
              </w:rPr>
              <w:fldChar w:fldCharType="end"/>
            </w:r>
          </w:hyperlink>
        </w:p>
        <w:p w14:paraId="6D035C10" w14:textId="4CA852B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34" w:history="1">
            <w:r w:rsidRPr="00F45DCA">
              <w:rPr>
                <w:rStyle w:val="Lienhypertexte"/>
                <w:noProof/>
              </w:rPr>
              <w:t>23.86 Reposes / remplacements (à l'identique) CCTB 01.02</w:t>
            </w:r>
            <w:r>
              <w:rPr>
                <w:noProof/>
                <w:webHidden/>
              </w:rPr>
              <w:tab/>
            </w:r>
            <w:r>
              <w:rPr>
                <w:noProof/>
                <w:webHidden/>
              </w:rPr>
              <w:fldChar w:fldCharType="begin"/>
            </w:r>
            <w:r>
              <w:rPr>
                <w:noProof/>
                <w:webHidden/>
              </w:rPr>
              <w:instrText xml:space="preserve"> PAGEREF _Toc220496534 \h </w:instrText>
            </w:r>
            <w:r>
              <w:rPr>
                <w:noProof/>
                <w:webHidden/>
              </w:rPr>
            </w:r>
            <w:r>
              <w:rPr>
                <w:noProof/>
                <w:webHidden/>
              </w:rPr>
              <w:fldChar w:fldCharType="separate"/>
            </w:r>
            <w:r>
              <w:rPr>
                <w:noProof/>
                <w:webHidden/>
              </w:rPr>
              <w:t>835</w:t>
            </w:r>
            <w:r>
              <w:rPr>
                <w:noProof/>
                <w:webHidden/>
              </w:rPr>
              <w:fldChar w:fldCharType="end"/>
            </w:r>
          </w:hyperlink>
        </w:p>
        <w:p w14:paraId="34EFB4CB" w14:textId="34D4464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35" w:history="1">
            <w:r w:rsidRPr="00F45DCA">
              <w:rPr>
                <w:rStyle w:val="Lienhypertexte"/>
                <w:noProof/>
              </w:rPr>
              <w:t>23.86.1 Reposes d'éléments de structures métalliques récupérés CCTB 01.04</w:t>
            </w:r>
            <w:r>
              <w:rPr>
                <w:noProof/>
                <w:webHidden/>
              </w:rPr>
              <w:tab/>
            </w:r>
            <w:r>
              <w:rPr>
                <w:noProof/>
                <w:webHidden/>
              </w:rPr>
              <w:fldChar w:fldCharType="begin"/>
            </w:r>
            <w:r>
              <w:rPr>
                <w:noProof/>
                <w:webHidden/>
              </w:rPr>
              <w:instrText xml:space="preserve"> PAGEREF _Toc220496535 \h </w:instrText>
            </w:r>
            <w:r>
              <w:rPr>
                <w:noProof/>
                <w:webHidden/>
              </w:rPr>
            </w:r>
            <w:r>
              <w:rPr>
                <w:noProof/>
                <w:webHidden/>
              </w:rPr>
              <w:fldChar w:fldCharType="separate"/>
            </w:r>
            <w:r>
              <w:rPr>
                <w:noProof/>
                <w:webHidden/>
              </w:rPr>
              <w:t>835</w:t>
            </w:r>
            <w:r>
              <w:rPr>
                <w:noProof/>
                <w:webHidden/>
              </w:rPr>
              <w:fldChar w:fldCharType="end"/>
            </w:r>
          </w:hyperlink>
        </w:p>
        <w:p w14:paraId="6AF7A7A2" w14:textId="463EED3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36" w:history="1">
            <w:r w:rsidRPr="00F45DCA">
              <w:rPr>
                <w:rStyle w:val="Lienhypertexte"/>
                <w:noProof/>
              </w:rPr>
              <w:t>23.86.1a Reposes d'éléments de structures métalliques récupérés CCTB 01.04</w:t>
            </w:r>
            <w:r>
              <w:rPr>
                <w:noProof/>
                <w:webHidden/>
              </w:rPr>
              <w:tab/>
            </w:r>
            <w:r>
              <w:rPr>
                <w:noProof/>
                <w:webHidden/>
              </w:rPr>
              <w:fldChar w:fldCharType="begin"/>
            </w:r>
            <w:r>
              <w:rPr>
                <w:noProof/>
                <w:webHidden/>
              </w:rPr>
              <w:instrText xml:space="preserve"> PAGEREF _Toc220496536 \h </w:instrText>
            </w:r>
            <w:r>
              <w:rPr>
                <w:noProof/>
                <w:webHidden/>
              </w:rPr>
            </w:r>
            <w:r>
              <w:rPr>
                <w:noProof/>
                <w:webHidden/>
              </w:rPr>
              <w:fldChar w:fldCharType="separate"/>
            </w:r>
            <w:r>
              <w:rPr>
                <w:noProof/>
                <w:webHidden/>
              </w:rPr>
              <w:t>835</w:t>
            </w:r>
            <w:r>
              <w:rPr>
                <w:noProof/>
                <w:webHidden/>
              </w:rPr>
              <w:fldChar w:fldCharType="end"/>
            </w:r>
          </w:hyperlink>
        </w:p>
        <w:p w14:paraId="39E6F487" w14:textId="2B63248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37" w:history="1">
            <w:r w:rsidRPr="00F45DCA">
              <w:rPr>
                <w:rStyle w:val="Lienhypertexte"/>
                <w:noProof/>
              </w:rPr>
              <w:t>23.86.2 Remplacements complets à l'identique de structures métalliques CCTB 01.04</w:t>
            </w:r>
            <w:r>
              <w:rPr>
                <w:noProof/>
                <w:webHidden/>
              </w:rPr>
              <w:tab/>
            </w:r>
            <w:r>
              <w:rPr>
                <w:noProof/>
                <w:webHidden/>
              </w:rPr>
              <w:fldChar w:fldCharType="begin"/>
            </w:r>
            <w:r>
              <w:rPr>
                <w:noProof/>
                <w:webHidden/>
              </w:rPr>
              <w:instrText xml:space="preserve"> PAGEREF _Toc220496537 \h </w:instrText>
            </w:r>
            <w:r>
              <w:rPr>
                <w:noProof/>
                <w:webHidden/>
              </w:rPr>
            </w:r>
            <w:r>
              <w:rPr>
                <w:noProof/>
                <w:webHidden/>
              </w:rPr>
              <w:fldChar w:fldCharType="separate"/>
            </w:r>
            <w:r>
              <w:rPr>
                <w:noProof/>
                <w:webHidden/>
              </w:rPr>
              <w:t>835</w:t>
            </w:r>
            <w:r>
              <w:rPr>
                <w:noProof/>
                <w:webHidden/>
              </w:rPr>
              <w:fldChar w:fldCharType="end"/>
            </w:r>
          </w:hyperlink>
        </w:p>
        <w:p w14:paraId="6C3FB07D" w14:textId="611C7FB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38" w:history="1">
            <w:r w:rsidRPr="00F45DCA">
              <w:rPr>
                <w:rStyle w:val="Lienhypertexte"/>
                <w:noProof/>
              </w:rPr>
              <w:t>23.86.3 Remplacements complets de profils métalliques CCTB 01.02</w:t>
            </w:r>
            <w:r>
              <w:rPr>
                <w:noProof/>
                <w:webHidden/>
              </w:rPr>
              <w:tab/>
            </w:r>
            <w:r>
              <w:rPr>
                <w:noProof/>
                <w:webHidden/>
              </w:rPr>
              <w:fldChar w:fldCharType="begin"/>
            </w:r>
            <w:r>
              <w:rPr>
                <w:noProof/>
                <w:webHidden/>
              </w:rPr>
              <w:instrText xml:space="preserve"> PAGEREF _Toc220496538 \h </w:instrText>
            </w:r>
            <w:r>
              <w:rPr>
                <w:noProof/>
                <w:webHidden/>
              </w:rPr>
            </w:r>
            <w:r>
              <w:rPr>
                <w:noProof/>
                <w:webHidden/>
              </w:rPr>
              <w:fldChar w:fldCharType="separate"/>
            </w:r>
            <w:r>
              <w:rPr>
                <w:noProof/>
                <w:webHidden/>
              </w:rPr>
              <w:t>835</w:t>
            </w:r>
            <w:r>
              <w:rPr>
                <w:noProof/>
                <w:webHidden/>
              </w:rPr>
              <w:fldChar w:fldCharType="end"/>
            </w:r>
          </w:hyperlink>
        </w:p>
        <w:p w14:paraId="62629642" w14:textId="27DB15C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39" w:history="1">
            <w:r w:rsidRPr="00F45DCA">
              <w:rPr>
                <w:rStyle w:val="Lienhypertexte"/>
                <w:noProof/>
              </w:rPr>
              <w:t>23.86.3a Remplacements de profils métalliques isolés CCTB 01.02</w:t>
            </w:r>
            <w:r>
              <w:rPr>
                <w:noProof/>
                <w:webHidden/>
              </w:rPr>
              <w:tab/>
            </w:r>
            <w:r>
              <w:rPr>
                <w:noProof/>
                <w:webHidden/>
              </w:rPr>
              <w:fldChar w:fldCharType="begin"/>
            </w:r>
            <w:r>
              <w:rPr>
                <w:noProof/>
                <w:webHidden/>
              </w:rPr>
              <w:instrText xml:space="preserve"> PAGEREF _Toc220496539 \h </w:instrText>
            </w:r>
            <w:r>
              <w:rPr>
                <w:noProof/>
                <w:webHidden/>
              </w:rPr>
            </w:r>
            <w:r>
              <w:rPr>
                <w:noProof/>
                <w:webHidden/>
              </w:rPr>
              <w:fldChar w:fldCharType="separate"/>
            </w:r>
            <w:r>
              <w:rPr>
                <w:noProof/>
                <w:webHidden/>
              </w:rPr>
              <w:t>835</w:t>
            </w:r>
            <w:r>
              <w:rPr>
                <w:noProof/>
                <w:webHidden/>
              </w:rPr>
              <w:fldChar w:fldCharType="end"/>
            </w:r>
          </w:hyperlink>
        </w:p>
        <w:p w14:paraId="7B2B3CB6" w14:textId="22D5FB8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40" w:history="1">
            <w:r w:rsidRPr="00F45DCA">
              <w:rPr>
                <w:rStyle w:val="Lienhypertexte"/>
                <w:noProof/>
              </w:rPr>
              <w:t>23.86.3b Remplacements de profils métalliques faisant partie d'une structure / charpente CCTB 01.02</w:t>
            </w:r>
            <w:r>
              <w:rPr>
                <w:noProof/>
                <w:webHidden/>
              </w:rPr>
              <w:tab/>
            </w:r>
            <w:r>
              <w:rPr>
                <w:noProof/>
                <w:webHidden/>
              </w:rPr>
              <w:fldChar w:fldCharType="begin"/>
            </w:r>
            <w:r>
              <w:rPr>
                <w:noProof/>
                <w:webHidden/>
              </w:rPr>
              <w:instrText xml:space="preserve"> PAGEREF _Toc220496540 \h </w:instrText>
            </w:r>
            <w:r>
              <w:rPr>
                <w:noProof/>
                <w:webHidden/>
              </w:rPr>
            </w:r>
            <w:r>
              <w:rPr>
                <w:noProof/>
                <w:webHidden/>
              </w:rPr>
              <w:fldChar w:fldCharType="separate"/>
            </w:r>
            <w:r>
              <w:rPr>
                <w:noProof/>
                <w:webHidden/>
              </w:rPr>
              <w:t>836</w:t>
            </w:r>
            <w:r>
              <w:rPr>
                <w:noProof/>
                <w:webHidden/>
              </w:rPr>
              <w:fldChar w:fldCharType="end"/>
            </w:r>
          </w:hyperlink>
        </w:p>
        <w:p w14:paraId="44C5110C" w14:textId="4C8940F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41" w:history="1">
            <w:r w:rsidRPr="00F45DCA">
              <w:rPr>
                <w:rStyle w:val="Lienhypertexte"/>
                <w:noProof/>
              </w:rPr>
              <w:t>23.86.4 Remplacements partiels de profils métalliques CCTB 01.02</w:t>
            </w:r>
            <w:r>
              <w:rPr>
                <w:noProof/>
                <w:webHidden/>
              </w:rPr>
              <w:tab/>
            </w:r>
            <w:r>
              <w:rPr>
                <w:noProof/>
                <w:webHidden/>
              </w:rPr>
              <w:fldChar w:fldCharType="begin"/>
            </w:r>
            <w:r>
              <w:rPr>
                <w:noProof/>
                <w:webHidden/>
              </w:rPr>
              <w:instrText xml:space="preserve"> PAGEREF _Toc220496541 \h </w:instrText>
            </w:r>
            <w:r>
              <w:rPr>
                <w:noProof/>
                <w:webHidden/>
              </w:rPr>
            </w:r>
            <w:r>
              <w:rPr>
                <w:noProof/>
                <w:webHidden/>
              </w:rPr>
              <w:fldChar w:fldCharType="separate"/>
            </w:r>
            <w:r>
              <w:rPr>
                <w:noProof/>
                <w:webHidden/>
              </w:rPr>
              <w:t>836</w:t>
            </w:r>
            <w:r>
              <w:rPr>
                <w:noProof/>
                <w:webHidden/>
              </w:rPr>
              <w:fldChar w:fldCharType="end"/>
            </w:r>
          </w:hyperlink>
        </w:p>
        <w:p w14:paraId="572BC7CF" w14:textId="0055E56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42" w:history="1">
            <w:r w:rsidRPr="00F45DCA">
              <w:rPr>
                <w:rStyle w:val="Lienhypertexte"/>
                <w:noProof/>
              </w:rPr>
              <w:t>23.86.4a Remplacements de pieds de structures métalliques défectueux CCTB 01.02</w:t>
            </w:r>
            <w:r>
              <w:rPr>
                <w:noProof/>
                <w:webHidden/>
              </w:rPr>
              <w:tab/>
            </w:r>
            <w:r>
              <w:rPr>
                <w:noProof/>
                <w:webHidden/>
              </w:rPr>
              <w:fldChar w:fldCharType="begin"/>
            </w:r>
            <w:r>
              <w:rPr>
                <w:noProof/>
                <w:webHidden/>
              </w:rPr>
              <w:instrText xml:space="preserve"> PAGEREF _Toc220496542 \h </w:instrText>
            </w:r>
            <w:r>
              <w:rPr>
                <w:noProof/>
                <w:webHidden/>
              </w:rPr>
            </w:r>
            <w:r>
              <w:rPr>
                <w:noProof/>
                <w:webHidden/>
              </w:rPr>
              <w:fldChar w:fldCharType="separate"/>
            </w:r>
            <w:r>
              <w:rPr>
                <w:noProof/>
                <w:webHidden/>
              </w:rPr>
              <w:t>836</w:t>
            </w:r>
            <w:r>
              <w:rPr>
                <w:noProof/>
                <w:webHidden/>
              </w:rPr>
              <w:fldChar w:fldCharType="end"/>
            </w:r>
          </w:hyperlink>
        </w:p>
        <w:p w14:paraId="459D30DB" w14:textId="1848D56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43" w:history="1">
            <w:r w:rsidRPr="00F45DCA">
              <w:rPr>
                <w:rStyle w:val="Lienhypertexte"/>
                <w:noProof/>
              </w:rPr>
              <w:t>23.86.4b Remplacements de parties de profils métalliques défectueuses CCTB 01.02</w:t>
            </w:r>
            <w:r>
              <w:rPr>
                <w:noProof/>
                <w:webHidden/>
              </w:rPr>
              <w:tab/>
            </w:r>
            <w:r>
              <w:rPr>
                <w:noProof/>
                <w:webHidden/>
              </w:rPr>
              <w:fldChar w:fldCharType="begin"/>
            </w:r>
            <w:r>
              <w:rPr>
                <w:noProof/>
                <w:webHidden/>
              </w:rPr>
              <w:instrText xml:space="preserve"> PAGEREF _Toc220496543 \h </w:instrText>
            </w:r>
            <w:r>
              <w:rPr>
                <w:noProof/>
                <w:webHidden/>
              </w:rPr>
            </w:r>
            <w:r>
              <w:rPr>
                <w:noProof/>
                <w:webHidden/>
              </w:rPr>
              <w:fldChar w:fldCharType="separate"/>
            </w:r>
            <w:r>
              <w:rPr>
                <w:noProof/>
                <w:webHidden/>
              </w:rPr>
              <w:t>836</w:t>
            </w:r>
            <w:r>
              <w:rPr>
                <w:noProof/>
                <w:webHidden/>
              </w:rPr>
              <w:fldChar w:fldCharType="end"/>
            </w:r>
          </w:hyperlink>
        </w:p>
        <w:p w14:paraId="3A682789" w14:textId="07F18F1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44" w:history="1">
            <w:r w:rsidRPr="00F45DCA">
              <w:rPr>
                <w:rStyle w:val="Lienhypertexte"/>
                <w:noProof/>
              </w:rPr>
              <w:t>23.86.5 Remplacements d'éléments de fixation / assemblage métallique CCTB 01.02</w:t>
            </w:r>
            <w:r>
              <w:rPr>
                <w:noProof/>
                <w:webHidden/>
              </w:rPr>
              <w:tab/>
            </w:r>
            <w:r>
              <w:rPr>
                <w:noProof/>
                <w:webHidden/>
              </w:rPr>
              <w:fldChar w:fldCharType="begin"/>
            </w:r>
            <w:r>
              <w:rPr>
                <w:noProof/>
                <w:webHidden/>
              </w:rPr>
              <w:instrText xml:space="preserve"> PAGEREF _Toc220496544 \h </w:instrText>
            </w:r>
            <w:r>
              <w:rPr>
                <w:noProof/>
                <w:webHidden/>
              </w:rPr>
            </w:r>
            <w:r>
              <w:rPr>
                <w:noProof/>
                <w:webHidden/>
              </w:rPr>
              <w:fldChar w:fldCharType="separate"/>
            </w:r>
            <w:r>
              <w:rPr>
                <w:noProof/>
                <w:webHidden/>
              </w:rPr>
              <w:t>836</w:t>
            </w:r>
            <w:r>
              <w:rPr>
                <w:noProof/>
                <w:webHidden/>
              </w:rPr>
              <w:fldChar w:fldCharType="end"/>
            </w:r>
          </w:hyperlink>
        </w:p>
        <w:p w14:paraId="48C194C7" w14:textId="1C9E943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45" w:history="1">
            <w:r w:rsidRPr="00F45DCA">
              <w:rPr>
                <w:rStyle w:val="Lienhypertexte"/>
                <w:noProof/>
              </w:rPr>
              <w:t>23.86.5a Remplacements de rivets défectueux CCTB 01.02</w:t>
            </w:r>
            <w:r>
              <w:rPr>
                <w:noProof/>
                <w:webHidden/>
              </w:rPr>
              <w:tab/>
            </w:r>
            <w:r>
              <w:rPr>
                <w:noProof/>
                <w:webHidden/>
              </w:rPr>
              <w:fldChar w:fldCharType="begin"/>
            </w:r>
            <w:r>
              <w:rPr>
                <w:noProof/>
                <w:webHidden/>
              </w:rPr>
              <w:instrText xml:space="preserve"> PAGEREF _Toc220496545 \h </w:instrText>
            </w:r>
            <w:r>
              <w:rPr>
                <w:noProof/>
                <w:webHidden/>
              </w:rPr>
            </w:r>
            <w:r>
              <w:rPr>
                <w:noProof/>
                <w:webHidden/>
              </w:rPr>
              <w:fldChar w:fldCharType="separate"/>
            </w:r>
            <w:r>
              <w:rPr>
                <w:noProof/>
                <w:webHidden/>
              </w:rPr>
              <w:t>836</w:t>
            </w:r>
            <w:r>
              <w:rPr>
                <w:noProof/>
                <w:webHidden/>
              </w:rPr>
              <w:fldChar w:fldCharType="end"/>
            </w:r>
          </w:hyperlink>
        </w:p>
        <w:p w14:paraId="4575603F" w14:textId="7811B34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46" w:history="1">
            <w:r w:rsidRPr="00F45DCA">
              <w:rPr>
                <w:rStyle w:val="Lienhypertexte"/>
                <w:noProof/>
              </w:rPr>
              <w:t>23.86.5b Remplacements de boulons défectueux CCTB 01.02</w:t>
            </w:r>
            <w:r>
              <w:rPr>
                <w:noProof/>
                <w:webHidden/>
              </w:rPr>
              <w:tab/>
            </w:r>
            <w:r>
              <w:rPr>
                <w:noProof/>
                <w:webHidden/>
              </w:rPr>
              <w:fldChar w:fldCharType="begin"/>
            </w:r>
            <w:r>
              <w:rPr>
                <w:noProof/>
                <w:webHidden/>
              </w:rPr>
              <w:instrText xml:space="preserve"> PAGEREF _Toc220496546 \h </w:instrText>
            </w:r>
            <w:r>
              <w:rPr>
                <w:noProof/>
                <w:webHidden/>
              </w:rPr>
            </w:r>
            <w:r>
              <w:rPr>
                <w:noProof/>
                <w:webHidden/>
              </w:rPr>
              <w:fldChar w:fldCharType="separate"/>
            </w:r>
            <w:r>
              <w:rPr>
                <w:noProof/>
                <w:webHidden/>
              </w:rPr>
              <w:t>836</w:t>
            </w:r>
            <w:r>
              <w:rPr>
                <w:noProof/>
                <w:webHidden/>
              </w:rPr>
              <w:fldChar w:fldCharType="end"/>
            </w:r>
          </w:hyperlink>
        </w:p>
        <w:p w14:paraId="42FA3571" w14:textId="3E1AC08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47" w:history="1">
            <w:r w:rsidRPr="00F45DCA">
              <w:rPr>
                <w:rStyle w:val="Lienhypertexte"/>
                <w:noProof/>
              </w:rPr>
              <w:t>23.86.5c Remplacements de cordons de soudure défectueux CCTB 01.10</w:t>
            </w:r>
            <w:r>
              <w:rPr>
                <w:noProof/>
                <w:webHidden/>
              </w:rPr>
              <w:tab/>
            </w:r>
            <w:r>
              <w:rPr>
                <w:noProof/>
                <w:webHidden/>
              </w:rPr>
              <w:fldChar w:fldCharType="begin"/>
            </w:r>
            <w:r>
              <w:rPr>
                <w:noProof/>
                <w:webHidden/>
              </w:rPr>
              <w:instrText xml:space="preserve"> PAGEREF _Toc220496547 \h </w:instrText>
            </w:r>
            <w:r>
              <w:rPr>
                <w:noProof/>
                <w:webHidden/>
              </w:rPr>
            </w:r>
            <w:r>
              <w:rPr>
                <w:noProof/>
                <w:webHidden/>
              </w:rPr>
              <w:fldChar w:fldCharType="separate"/>
            </w:r>
            <w:r>
              <w:rPr>
                <w:noProof/>
                <w:webHidden/>
              </w:rPr>
              <w:t>836</w:t>
            </w:r>
            <w:r>
              <w:rPr>
                <w:noProof/>
                <w:webHidden/>
              </w:rPr>
              <w:fldChar w:fldCharType="end"/>
            </w:r>
          </w:hyperlink>
        </w:p>
        <w:p w14:paraId="13E100C0" w14:textId="03D6EE3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48" w:history="1">
            <w:r w:rsidRPr="00F45DCA">
              <w:rPr>
                <w:rStyle w:val="Lienhypertexte"/>
                <w:noProof/>
              </w:rPr>
              <w:t>23.87 Nettoyages / préparations de surface CCTB 01.04</w:t>
            </w:r>
            <w:r>
              <w:rPr>
                <w:noProof/>
                <w:webHidden/>
              </w:rPr>
              <w:tab/>
            </w:r>
            <w:r>
              <w:rPr>
                <w:noProof/>
                <w:webHidden/>
              </w:rPr>
              <w:fldChar w:fldCharType="begin"/>
            </w:r>
            <w:r>
              <w:rPr>
                <w:noProof/>
                <w:webHidden/>
              </w:rPr>
              <w:instrText xml:space="preserve"> PAGEREF _Toc220496548 \h </w:instrText>
            </w:r>
            <w:r>
              <w:rPr>
                <w:noProof/>
                <w:webHidden/>
              </w:rPr>
            </w:r>
            <w:r>
              <w:rPr>
                <w:noProof/>
                <w:webHidden/>
              </w:rPr>
              <w:fldChar w:fldCharType="separate"/>
            </w:r>
            <w:r>
              <w:rPr>
                <w:noProof/>
                <w:webHidden/>
              </w:rPr>
              <w:t>836</w:t>
            </w:r>
            <w:r>
              <w:rPr>
                <w:noProof/>
                <w:webHidden/>
              </w:rPr>
              <w:fldChar w:fldCharType="end"/>
            </w:r>
          </w:hyperlink>
        </w:p>
        <w:p w14:paraId="39E69147" w14:textId="77E4A4CD"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49" w:history="1">
            <w:r w:rsidRPr="00F45DCA">
              <w:rPr>
                <w:rStyle w:val="Lienhypertexte"/>
                <w:noProof/>
              </w:rPr>
              <w:t>23.88 Traitements et protections CCTB 01.04</w:t>
            </w:r>
            <w:r>
              <w:rPr>
                <w:noProof/>
                <w:webHidden/>
              </w:rPr>
              <w:tab/>
            </w:r>
            <w:r>
              <w:rPr>
                <w:noProof/>
                <w:webHidden/>
              </w:rPr>
              <w:fldChar w:fldCharType="begin"/>
            </w:r>
            <w:r>
              <w:rPr>
                <w:noProof/>
                <w:webHidden/>
              </w:rPr>
              <w:instrText xml:space="preserve"> PAGEREF _Toc220496549 \h </w:instrText>
            </w:r>
            <w:r>
              <w:rPr>
                <w:noProof/>
                <w:webHidden/>
              </w:rPr>
            </w:r>
            <w:r>
              <w:rPr>
                <w:noProof/>
                <w:webHidden/>
              </w:rPr>
              <w:fldChar w:fldCharType="separate"/>
            </w:r>
            <w:r>
              <w:rPr>
                <w:noProof/>
                <w:webHidden/>
              </w:rPr>
              <w:t>836</w:t>
            </w:r>
            <w:r>
              <w:rPr>
                <w:noProof/>
                <w:webHidden/>
              </w:rPr>
              <w:fldChar w:fldCharType="end"/>
            </w:r>
          </w:hyperlink>
        </w:p>
        <w:p w14:paraId="5D602E3A" w14:textId="4064D7E0" w:rsidR="0014651C" w:rsidRDefault="0014651C">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6550" w:history="1">
            <w:r w:rsidRPr="00F45DCA">
              <w:rPr>
                <w:rStyle w:val="Lienhypertexte"/>
                <w:noProof/>
              </w:rPr>
              <w:t>24 Superstructures en bois CCTB 01.13</w:t>
            </w:r>
            <w:r>
              <w:rPr>
                <w:noProof/>
                <w:webHidden/>
              </w:rPr>
              <w:tab/>
            </w:r>
            <w:r>
              <w:rPr>
                <w:noProof/>
                <w:webHidden/>
              </w:rPr>
              <w:fldChar w:fldCharType="begin"/>
            </w:r>
            <w:r>
              <w:rPr>
                <w:noProof/>
                <w:webHidden/>
              </w:rPr>
              <w:instrText xml:space="preserve"> PAGEREF _Toc220496550 \h </w:instrText>
            </w:r>
            <w:r>
              <w:rPr>
                <w:noProof/>
                <w:webHidden/>
              </w:rPr>
            </w:r>
            <w:r>
              <w:rPr>
                <w:noProof/>
                <w:webHidden/>
              </w:rPr>
              <w:fldChar w:fldCharType="separate"/>
            </w:r>
            <w:r>
              <w:rPr>
                <w:noProof/>
                <w:webHidden/>
              </w:rPr>
              <w:t>836</w:t>
            </w:r>
            <w:r>
              <w:rPr>
                <w:noProof/>
                <w:webHidden/>
              </w:rPr>
              <w:fldChar w:fldCharType="end"/>
            </w:r>
          </w:hyperlink>
        </w:p>
        <w:p w14:paraId="4DDA5451" w14:textId="4BE0C4F3"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551" w:history="1">
            <w:r w:rsidRPr="00F45DCA">
              <w:rPr>
                <w:rStyle w:val="Lienhypertexte"/>
                <w:noProof/>
              </w:rPr>
              <w:t>24.1 Eléments de structures en bois CCTB 01.13</w:t>
            </w:r>
            <w:r>
              <w:rPr>
                <w:noProof/>
                <w:webHidden/>
              </w:rPr>
              <w:tab/>
            </w:r>
            <w:r>
              <w:rPr>
                <w:noProof/>
                <w:webHidden/>
              </w:rPr>
              <w:fldChar w:fldCharType="begin"/>
            </w:r>
            <w:r>
              <w:rPr>
                <w:noProof/>
                <w:webHidden/>
              </w:rPr>
              <w:instrText xml:space="preserve"> PAGEREF _Toc220496551 \h </w:instrText>
            </w:r>
            <w:r>
              <w:rPr>
                <w:noProof/>
                <w:webHidden/>
              </w:rPr>
            </w:r>
            <w:r>
              <w:rPr>
                <w:noProof/>
                <w:webHidden/>
              </w:rPr>
              <w:fldChar w:fldCharType="separate"/>
            </w:r>
            <w:r>
              <w:rPr>
                <w:noProof/>
                <w:webHidden/>
              </w:rPr>
              <w:t>857</w:t>
            </w:r>
            <w:r>
              <w:rPr>
                <w:noProof/>
                <w:webHidden/>
              </w:rPr>
              <w:fldChar w:fldCharType="end"/>
            </w:r>
          </w:hyperlink>
        </w:p>
        <w:p w14:paraId="4BE17AD2" w14:textId="0EF48947"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52" w:history="1">
            <w:r w:rsidRPr="00F45DCA">
              <w:rPr>
                <w:rStyle w:val="Lienhypertexte"/>
                <w:noProof/>
              </w:rPr>
              <w:t>24.11 Eléments d'assise en bois CCTB 01.04</w:t>
            </w:r>
            <w:r>
              <w:rPr>
                <w:noProof/>
                <w:webHidden/>
              </w:rPr>
              <w:tab/>
            </w:r>
            <w:r>
              <w:rPr>
                <w:noProof/>
                <w:webHidden/>
              </w:rPr>
              <w:fldChar w:fldCharType="begin"/>
            </w:r>
            <w:r>
              <w:rPr>
                <w:noProof/>
                <w:webHidden/>
              </w:rPr>
              <w:instrText xml:space="preserve"> PAGEREF _Toc220496552 \h </w:instrText>
            </w:r>
            <w:r>
              <w:rPr>
                <w:noProof/>
                <w:webHidden/>
              </w:rPr>
            </w:r>
            <w:r>
              <w:rPr>
                <w:noProof/>
                <w:webHidden/>
              </w:rPr>
              <w:fldChar w:fldCharType="separate"/>
            </w:r>
            <w:r>
              <w:rPr>
                <w:noProof/>
                <w:webHidden/>
              </w:rPr>
              <w:t>858</w:t>
            </w:r>
            <w:r>
              <w:rPr>
                <w:noProof/>
                <w:webHidden/>
              </w:rPr>
              <w:fldChar w:fldCharType="end"/>
            </w:r>
          </w:hyperlink>
        </w:p>
        <w:p w14:paraId="2431AA80" w14:textId="6794D54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53" w:history="1">
            <w:r w:rsidRPr="00F45DCA">
              <w:rPr>
                <w:rStyle w:val="Lienhypertexte"/>
                <w:noProof/>
              </w:rPr>
              <w:t>24.11.1 Lisses de pose CCTB 01.07</w:t>
            </w:r>
            <w:r>
              <w:rPr>
                <w:noProof/>
                <w:webHidden/>
              </w:rPr>
              <w:tab/>
            </w:r>
            <w:r>
              <w:rPr>
                <w:noProof/>
                <w:webHidden/>
              </w:rPr>
              <w:fldChar w:fldCharType="begin"/>
            </w:r>
            <w:r>
              <w:rPr>
                <w:noProof/>
                <w:webHidden/>
              </w:rPr>
              <w:instrText xml:space="preserve"> PAGEREF _Toc220496553 \h </w:instrText>
            </w:r>
            <w:r>
              <w:rPr>
                <w:noProof/>
                <w:webHidden/>
              </w:rPr>
            </w:r>
            <w:r>
              <w:rPr>
                <w:noProof/>
                <w:webHidden/>
              </w:rPr>
              <w:fldChar w:fldCharType="separate"/>
            </w:r>
            <w:r>
              <w:rPr>
                <w:noProof/>
                <w:webHidden/>
              </w:rPr>
              <w:t>858</w:t>
            </w:r>
            <w:r>
              <w:rPr>
                <w:noProof/>
                <w:webHidden/>
              </w:rPr>
              <w:fldChar w:fldCharType="end"/>
            </w:r>
          </w:hyperlink>
        </w:p>
        <w:p w14:paraId="2066ACAB" w14:textId="6F40702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54" w:history="1">
            <w:r w:rsidRPr="00F45DCA">
              <w:rPr>
                <w:rStyle w:val="Lienhypertexte"/>
                <w:noProof/>
              </w:rPr>
              <w:t>24.11.1a Lisses de pose en bois massif CCTB 01.12</w:t>
            </w:r>
            <w:r>
              <w:rPr>
                <w:noProof/>
                <w:webHidden/>
              </w:rPr>
              <w:tab/>
            </w:r>
            <w:r>
              <w:rPr>
                <w:noProof/>
                <w:webHidden/>
              </w:rPr>
              <w:fldChar w:fldCharType="begin"/>
            </w:r>
            <w:r>
              <w:rPr>
                <w:noProof/>
                <w:webHidden/>
              </w:rPr>
              <w:instrText xml:space="preserve"> PAGEREF _Toc220496554 \h </w:instrText>
            </w:r>
            <w:r>
              <w:rPr>
                <w:noProof/>
                <w:webHidden/>
              </w:rPr>
            </w:r>
            <w:r>
              <w:rPr>
                <w:noProof/>
                <w:webHidden/>
              </w:rPr>
              <w:fldChar w:fldCharType="separate"/>
            </w:r>
            <w:r>
              <w:rPr>
                <w:noProof/>
                <w:webHidden/>
              </w:rPr>
              <w:t>858</w:t>
            </w:r>
            <w:r>
              <w:rPr>
                <w:noProof/>
                <w:webHidden/>
              </w:rPr>
              <w:fldChar w:fldCharType="end"/>
            </w:r>
          </w:hyperlink>
        </w:p>
        <w:p w14:paraId="1DFAF07E" w14:textId="1C8CC15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55" w:history="1">
            <w:r w:rsidRPr="00F45DCA">
              <w:rPr>
                <w:rStyle w:val="Lienhypertexte"/>
                <w:noProof/>
              </w:rPr>
              <w:t>24.11.2 Sablières CCTB 01.07</w:t>
            </w:r>
            <w:r>
              <w:rPr>
                <w:noProof/>
                <w:webHidden/>
              </w:rPr>
              <w:tab/>
            </w:r>
            <w:r>
              <w:rPr>
                <w:noProof/>
                <w:webHidden/>
              </w:rPr>
              <w:fldChar w:fldCharType="begin"/>
            </w:r>
            <w:r>
              <w:rPr>
                <w:noProof/>
                <w:webHidden/>
              </w:rPr>
              <w:instrText xml:space="preserve"> PAGEREF _Toc220496555 \h </w:instrText>
            </w:r>
            <w:r>
              <w:rPr>
                <w:noProof/>
                <w:webHidden/>
              </w:rPr>
            </w:r>
            <w:r>
              <w:rPr>
                <w:noProof/>
                <w:webHidden/>
              </w:rPr>
              <w:fldChar w:fldCharType="separate"/>
            </w:r>
            <w:r>
              <w:rPr>
                <w:noProof/>
                <w:webHidden/>
              </w:rPr>
              <w:t>861</w:t>
            </w:r>
            <w:r>
              <w:rPr>
                <w:noProof/>
                <w:webHidden/>
              </w:rPr>
              <w:fldChar w:fldCharType="end"/>
            </w:r>
          </w:hyperlink>
        </w:p>
        <w:p w14:paraId="3EE8D97B" w14:textId="14B2804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56" w:history="1">
            <w:r w:rsidRPr="00F45DCA">
              <w:rPr>
                <w:rStyle w:val="Lienhypertexte"/>
                <w:noProof/>
              </w:rPr>
              <w:t>24.11.2a Sablières CCTB 01.12</w:t>
            </w:r>
            <w:r>
              <w:rPr>
                <w:noProof/>
                <w:webHidden/>
              </w:rPr>
              <w:tab/>
            </w:r>
            <w:r>
              <w:rPr>
                <w:noProof/>
                <w:webHidden/>
              </w:rPr>
              <w:fldChar w:fldCharType="begin"/>
            </w:r>
            <w:r>
              <w:rPr>
                <w:noProof/>
                <w:webHidden/>
              </w:rPr>
              <w:instrText xml:space="preserve"> PAGEREF _Toc220496556 \h </w:instrText>
            </w:r>
            <w:r>
              <w:rPr>
                <w:noProof/>
                <w:webHidden/>
              </w:rPr>
            </w:r>
            <w:r>
              <w:rPr>
                <w:noProof/>
                <w:webHidden/>
              </w:rPr>
              <w:fldChar w:fldCharType="separate"/>
            </w:r>
            <w:r>
              <w:rPr>
                <w:noProof/>
                <w:webHidden/>
              </w:rPr>
              <w:t>861</w:t>
            </w:r>
            <w:r>
              <w:rPr>
                <w:noProof/>
                <w:webHidden/>
              </w:rPr>
              <w:fldChar w:fldCharType="end"/>
            </w:r>
          </w:hyperlink>
        </w:p>
        <w:p w14:paraId="05EC1702" w14:textId="6494BFD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57" w:history="1">
            <w:r w:rsidRPr="00F45DCA">
              <w:rPr>
                <w:rStyle w:val="Lienhypertexte"/>
                <w:noProof/>
              </w:rPr>
              <w:t>24.12 Colonnes en bois CCTB 01.07</w:t>
            </w:r>
            <w:r>
              <w:rPr>
                <w:noProof/>
                <w:webHidden/>
              </w:rPr>
              <w:tab/>
            </w:r>
            <w:r>
              <w:rPr>
                <w:noProof/>
                <w:webHidden/>
              </w:rPr>
              <w:fldChar w:fldCharType="begin"/>
            </w:r>
            <w:r>
              <w:rPr>
                <w:noProof/>
                <w:webHidden/>
              </w:rPr>
              <w:instrText xml:space="preserve"> PAGEREF _Toc220496557 \h </w:instrText>
            </w:r>
            <w:r>
              <w:rPr>
                <w:noProof/>
                <w:webHidden/>
              </w:rPr>
            </w:r>
            <w:r>
              <w:rPr>
                <w:noProof/>
                <w:webHidden/>
              </w:rPr>
              <w:fldChar w:fldCharType="separate"/>
            </w:r>
            <w:r>
              <w:rPr>
                <w:noProof/>
                <w:webHidden/>
              </w:rPr>
              <w:t>864</w:t>
            </w:r>
            <w:r>
              <w:rPr>
                <w:noProof/>
                <w:webHidden/>
              </w:rPr>
              <w:fldChar w:fldCharType="end"/>
            </w:r>
          </w:hyperlink>
        </w:p>
        <w:p w14:paraId="4D3B5A9A" w14:textId="6E1B333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58" w:history="1">
            <w:r w:rsidRPr="00F45DCA">
              <w:rPr>
                <w:rStyle w:val="Lienhypertexte"/>
                <w:noProof/>
              </w:rPr>
              <w:t>24.12.1 Colonnes en bois massif CCTB 01.07</w:t>
            </w:r>
            <w:r>
              <w:rPr>
                <w:noProof/>
                <w:webHidden/>
              </w:rPr>
              <w:tab/>
            </w:r>
            <w:r>
              <w:rPr>
                <w:noProof/>
                <w:webHidden/>
              </w:rPr>
              <w:fldChar w:fldCharType="begin"/>
            </w:r>
            <w:r>
              <w:rPr>
                <w:noProof/>
                <w:webHidden/>
              </w:rPr>
              <w:instrText xml:space="preserve"> PAGEREF _Toc220496558 \h </w:instrText>
            </w:r>
            <w:r>
              <w:rPr>
                <w:noProof/>
                <w:webHidden/>
              </w:rPr>
            </w:r>
            <w:r>
              <w:rPr>
                <w:noProof/>
                <w:webHidden/>
              </w:rPr>
              <w:fldChar w:fldCharType="separate"/>
            </w:r>
            <w:r>
              <w:rPr>
                <w:noProof/>
                <w:webHidden/>
              </w:rPr>
              <w:t>864</w:t>
            </w:r>
            <w:r>
              <w:rPr>
                <w:noProof/>
                <w:webHidden/>
              </w:rPr>
              <w:fldChar w:fldCharType="end"/>
            </w:r>
          </w:hyperlink>
        </w:p>
        <w:p w14:paraId="790FAC98" w14:textId="1F3D77D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59" w:history="1">
            <w:r w:rsidRPr="00F45DCA">
              <w:rPr>
                <w:rStyle w:val="Lienhypertexte"/>
                <w:noProof/>
              </w:rPr>
              <w:t>24.12.1a Colonnes en bois massif à section rectangulaire CCTB 01.11</w:t>
            </w:r>
            <w:r>
              <w:rPr>
                <w:noProof/>
                <w:webHidden/>
              </w:rPr>
              <w:tab/>
            </w:r>
            <w:r>
              <w:rPr>
                <w:noProof/>
                <w:webHidden/>
              </w:rPr>
              <w:fldChar w:fldCharType="begin"/>
            </w:r>
            <w:r>
              <w:rPr>
                <w:noProof/>
                <w:webHidden/>
              </w:rPr>
              <w:instrText xml:space="preserve"> PAGEREF _Toc220496559 \h </w:instrText>
            </w:r>
            <w:r>
              <w:rPr>
                <w:noProof/>
                <w:webHidden/>
              </w:rPr>
            </w:r>
            <w:r>
              <w:rPr>
                <w:noProof/>
                <w:webHidden/>
              </w:rPr>
              <w:fldChar w:fldCharType="separate"/>
            </w:r>
            <w:r>
              <w:rPr>
                <w:noProof/>
                <w:webHidden/>
              </w:rPr>
              <w:t>865</w:t>
            </w:r>
            <w:r>
              <w:rPr>
                <w:noProof/>
                <w:webHidden/>
              </w:rPr>
              <w:fldChar w:fldCharType="end"/>
            </w:r>
          </w:hyperlink>
        </w:p>
        <w:p w14:paraId="695D3D93" w14:textId="2FA2D2E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60" w:history="1">
            <w:r w:rsidRPr="00F45DCA">
              <w:rPr>
                <w:rStyle w:val="Lienhypertexte"/>
                <w:noProof/>
              </w:rPr>
              <w:t>24.12.1b Colonnes en bois massif à section circulaire CCTB 01.11</w:t>
            </w:r>
            <w:r>
              <w:rPr>
                <w:noProof/>
                <w:webHidden/>
              </w:rPr>
              <w:tab/>
            </w:r>
            <w:r>
              <w:rPr>
                <w:noProof/>
                <w:webHidden/>
              </w:rPr>
              <w:fldChar w:fldCharType="begin"/>
            </w:r>
            <w:r>
              <w:rPr>
                <w:noProof/>
                <w:webHidden/>
              </w:rPr>
              <w:instrText xml:space="preserve"> PAGEREF _Toc220496560 \h </w:instrText>
            </w:r>
            <w:r>
              <w:rPr>
                <w:noProof/>
                <w:webHidden/>
              </w:rPr>
            </w:r>
            <w:r>
              <w:rPr>
                <w:noProof/>
                <w:webHidden/>
              </w:rPr>
              <w:fldChar w:fldCharType="separate"/>
            </w:r>
            <w:r>
              <w:rPr>
                <w:noProof/>
                <w:webHidden/>
              </w:rPr>
              <w:t>867</w:t>
            </w:r>
            <w:r>
              <w:rPr>
                <w:noProof/>
                <w:webHidden/>
              </w:rPr>
              <w:fldChar w:fldCharType="end"/>
            </w:r>
          </w:hyperlink>
        </w:p>
        <w:p w14:paraId="39102212" w14:textId="3071578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61" w:history="1">
            <w:r w:rsidRPr="00F45DCA">
              <w:rPr>
                <w:rStyle w:val="Lienhypertexte"/>
                <w:noProof/>
              </w:rPr>
              <w:t>24.12.2 Colonnes en bois lamellé collé CCTB 01.07</w:t>
            </w:r>
            <w:r>
              <w:rPr>
                <w:noProof/>
                <w:webHidden/>
              </w:rPr>
              <w:tab/>
            </w:r>
            <w:r>
              <w:rPr>
                <w:noProof/>
                <w:webHidden/>
              </w:rPr>
              <w:fldChar w:fldCharType="begin"/>
            </w:r>
            <w:r>
              <w:rPr>
                <w:noProof/>
                <w:webHidden/>
              </w:rPr>
              <w:instrText xml:space="preserve"> PAGEREF _Toc220496561 \h </w:instrText>
            </w:r>
            <w:r>
              <w:rPr>
                <w:noProof/>
                <w:webHidden/>
              </w:rPr>
            </w:r>
            <w:r>
              <w:rPr>
                <w:noProof/>
                <w:webHidden/>
              </w:rPr>
              <w:fldChar w:fldCharType="separate"/>
            </w:r>
            <w:r>
              <w:rPr>
                <w:noProof/>
                <w:webHidden/>
              </w:rPr>
              <w:t>868</w:t>
            </w:r>
            <w:r>
              <w:rPr>
                <w:noProof/>
                <w:webHidden/>
              </w:rPr>
              <w:fldChar w:fldCharType="end"/>
            </w:r>
          </w:hyperlink>
        </w:p>
        <w:p w14:paraId="3AF7D512" w14:textId="1AFC996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62" w:history="1">
            <w:r w:rsidRPr="00F45DCA">
              <w:rPr>
                <w:rStyle w:val="Lienhypertexte"/>
                <w:noProof/>
              </w:rPr>
              <w:t>24.12.2a Colonnes en lamellé collé à inertie constante CCTB 01.11</w:t>
            </w:r>
            <w:r>
              <w:rPr>
                <w:noProof/>
                <w:webHidden/>
              </w:rPr>
              <w:tab/>
            </w:r>
            <w:r>
              <w:rPr>
                <w:noProof/>
                <w:webHidden/>
              </w:rPr>
              <w:fldChar w:fldCharType="begin"/>
            </w:r>
            <w:r>
              <w:rPr>
                <w:noProof/>
                <w:webHidden/>
              </w:rPr>
              <w:instrText xml:space="preserve"> PAGEREF _Toc220496562 \h </w:instrText>
            </w:r>
            <w:r>
              <w:rPr>
                <w:noProof/>
                <w:webHidden/>
              </w:rPr>
            </w:r>
            <w:r>
              <w:rPr>
                <w:noProof/>
                <w:webHidden/>
              </w:rPr>
              <w:fldChar w:fldCharType="separate"/>
            </w:r>
            <w:r>
              <w:rPr>
                <w:noProof/>
                <w:webHidden/>
              </w:rPr>
              <w:t>868</w:t>
            </w:r>
            <w:r>
              <w:rPr>
                <w:noProof/>
                <w:webHidden/>
              </w:rPr>
              <w:fldChar w:fldCharType="end"/>
            </w:r>
          </w:hyperlink>
        </w:p>
        <w:p w14:paraId="50B5E6C9" w14:textId="5B342F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63" w:history="1">
            <w:r w:rsidRPr="00F45DCA">
              <w:rPr>
                <w:rStyle w:val="Lienhypertexte"/>
                <w:noProof/>
              </w:rPr>
              <w:t>24.12.2b Colonnes en bois lamellé collé à inertie variable CCTB 01.11</w:t>
            </w:r>
            <w:r>
              <w:rPr>
                <w:noProof/>
                <w:webHidden/>
              </w:rPr>
              <w:tab/>
            </w:r>
            <w:r>
              <w:rPr>
                <w:noProof/>
                <w:webHidden/>
              </w:rPr>
              <w:fldChar w:fldCharType="begin"/>
            </w:r>
            <w:r>
              <w:rPr>
                <w:noProof/>
                <w:webHidden/>
              </w:rPr>
              <w:instrText xml:space="preserve"> PAGEREF _Toc220496563 \h </w:instrText>
            </w:r>
            <w:r>
              <w:rPr>
                <w:noProof/>
                <w:webHidden/>
              </w:rPr>
            </w:r>
            <w:r>
              <w:rPr>
                <w:noProof/>
                <w:webHidden/>
              </w:rPr>
              <w:fldChar w:fldCharType="separate"/>
            </w:r>
            <w:r>
              <w:rPr>
                <w:noProof/>
                <w:webHidden/>
              </w:rPr>
              <w:t>870</w:t>
            </w:r>
            <w:r>
              <w:rPr>
                <w:noProof/>
                <w:webHidden/>
              </w:rPr>
              <w:fldChar w:fldCharType="end"/>
            </w:r>
          </w:hyperlink>
        </w:p>
        <w:p w14:paraId="6D637F4A" w14:textId="301B6BF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64" w:history="1">
            <w:r w:rsidRPr="00F45DCA">
              <w:rPr>
                <w:rStyle w:val="Lienhypertexte"/>
                <w:noProof/>
              </w:rPr>
              <w:t>24.12.3 Colonnes en bois lamellé collé en bloc CCTB 01.07</w:t>
            </w:r>
            <w:r>
              <w:rPr>
                <w:noProof/>
                <w:webHidden/>
              </w:rPr>
              <w:tab/>
            </w:r>
            <w:r>
              <w:rPr>
                <w:noProof/>
                <w:webHidden/>
              </w:rPr>
              <w:fldChar w:fldCharType="begin"/>
            </w:r>
            <w:r>
              <w:rPr>
                <w:noProof/>
                <w:webHidden/>
              </w:rPr>
              <w:instrText xml:space="preserve"> PAGEREF _Toc220496564 \h </w:instrText>
            </w:r>
            <w:r>
              <w:rPr>
                <w:noProof/>
                <w:webHidden/>
              </w:rPr>
            </w:r>
            <w:r>
              <w:rPr>
                <w:noProof/>
                <w:webHidden/>
              </w:rPr>
              <w:fldChar w:fldCharType="separate"/>
            </w:r>
            <w:r>
              <w:rPr>
                <w:noProof/>
                <w:webHidden/>
              </w:rPr>
              <w:t>872</w:t>
            </w:r>
            <w:r>
              <w:rPr>
                <w:noProof/>
                <w:webHidden/>
              </w:rPr>
              <w:fldChar w:fldCharType="end"/>
            </w:r>
          </w:hyperlink>
        </w:p>
        <w:p w14:paraId="1D1724A8" w14:textId="10C0ABF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65" w:history="1">
            <w:r w:rsidRPr="00F45DCA">
              <w:rPr>
                <w:rStyle w:val="Lienhypertexte"/>
                <w:noProof/>
              </w:rPr>
              <w:t>24.12.3a Colonnes en lamellé collé en bloc à inertie constante CCTB 01.11</w:t>
            </w:r>
            <w:r>
              <w:rPr>
                <w:noProof/>
                <w:webHidden/>
              </w:rPr>
              <w:tab/>
            </w:r>
            <w:r>
              <w:rPr>
                <w:noProof/>
                <w:webHidden/>
              </w:rPr>
              <w:fldChar w:fldCharType="begin"/>
            </w:r>
            <w:r>
              <w:rPr>
                <w:noProof/>
                <w:webHidden/>
              </w:rPr>
              <w:instrText xml:space="preserve"> PAGEREF _Toc220496565 \h </w:instrText>
            </w:r>
            <w:r>
              <w:rPr>
                <w:noProof/>
                <w:webHidden/>
              </w:rPr>
            </w:r>
            <w:r>
              <w:rPr>
                <w:noProof/>
                <w:webHidden/>
              </w:rPr>
              <w:fldChar w:fldCharType="separate"/>
            </w:r>
            <w:r>
              <w:rPr>
                <w:noProof/>
                <w:webHidden/>
              </w:rPr>
              <w:t>872</w:t>
            </w:r>
            <w:r>
              <w:rPr>
                <w:noProof/>
                <w:webHidden/>
              </w:rPr>
              <w:fldChar w:fldCharType="end"/>
            </w:r>
          </w:hyperlink>
        </w:p>
        <w:p w14:paraId="1BE614BB" w14:textId="5613151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66" w:history="1">
            <w:r w:rsidRPr="00F45DCA">
              <w:rPr>
                <w:rStyle w:val="Lienhypertexte"/>
                <w:noProof/>
              </w:rPr>
              <w:t>24.12.3b Colonnes en bois lamellé collé en bloc à inertie variable CCTB 01.11</w:t>
            </w:r>
            <w:r>
              <w:rPr>
                <w:noProof/>
                <w:webHidden/>
              </w:rPr>
              <w:tab/>
            </w:r>
            <w:r>
              <w:rPr>
                <w:noProof/>
                <w:webHidden/>
              </w:rPr>
              <w:fldChar w:fldCharType="begin"/>
            </w:r>
            <w:r>
              <w:rPr>
                <w:noProof/>
                <w:webHidden/>
              </w:rPr>
              <w:instrText xml:space="preserve"> PAGEREF _Toc220496566 \h </w:instrText>
            </w:r>
            <w:r>
              <w:rPr>
                <w:noProof/>
                <w:webHidden/>
              </w:rPr>
            </w:r>
            <w:r>
              <w:rPr>
                <w:noProof/>
                <w:webHidden/>
              </w:rPr>
              <w:fldChar w:fldCharType="separate"/>
            </w:r>
            <w:r>
              <w:rPr>
                <w:noProof/>
                <w:webHidden/>
              </w:rPr>
              <w:t>874</w:t>
            </w:r>
            <w:r>
              <w:rPr>
                <w:noProof/>
                <w:webHidden/>
              </w:rPr>
              <w:fldChar w:fldCharType="end"/>
            </w:r>
          </w:hyperlink>
        </w:p>
        <w:p w14:paraId="64B5F949" w14:textId="418DF30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67" w:history="1">
            <w:r w:rsidRPr="00F45DCA">
              <w:rPr>
                <w:rStyle w:val="Lienhypertexte"/>
                <w:noProof/>
              </w:rPr>
              <w:t>24.12.4 Colonnes en LVL CCTB 01.13</w:t>
            </w:r>
            <w:r>
              <w:rPr>
                <w:noProof/>
                <w:webHidden/>
              </w:rPr>
              <w:tab/>
            </w:r>
            <w:r>
              <w:rPr>
                <w:noProof/>
                <w:webHidden/>
              </w:rPr>
              <w:fldChar w:fldCharType="begin"/>
            </w:r>
            <w:r>
              <w:rPr>
                <w:noProof/>
                <w:webHidden/>
              </w:rPr>
              <w:instrText xml:space="preserve"> PAGEREF _Toc220496567 \h </w:instrText>
            </w:r>
            <w:r>
              <w:rPr>
                <w:noProof/>
                <w:webHidden/>
              </w:rPr>
            </w:r>
            <w:r>
              <w:rPr>
                <w:noProof/>
                <w:webHidden/>
              </w:rPr>
              <w:fldChar w:fldCharType="separate"/>
            </w:r>
            <w:r>
              <w:rPr>
                <w:noProof/>
                <w:webHidden/>
              </w:rPr>
              <w:t>875</w:t>
            </w:r>
            <w:r>
              <w:rPr>
                <w:noProof/>
                <w:webHidden/>
              </w:rPr>
              <w:fldChar w:fldCharType="end"/>
            </w:r>
          </w:hyperlink>
        </w:p>
        <w:p w14:paraId="34295DEE" w14:textId="6E636AA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68" w:history="1">
            <w:r w:rsidRPr="00F45DCA">
              <w:rPr>
                <w:rStyle w:val="Lienhypertexte"/>
                <w:noProof/>
              </w:rPr>
              <w:t>24.12.4a Colonnes en LVL à inertie constante CCTB 01.11</w:t>
            </w:r>
            <w:r>
              <w:rPr>
                <w:noProof/>
                <w:webHidden/>
              </w:rPr>
              <w:tab/>
            </w:r>
            <w:r>
              <w:rPr>
                <w:noProof/>
                <w:webHidden/>
              </w:rPr>
              <w:fldChar w:fldCharType="begin"/>
            </w:r>
            <w:r>
              <w:rPr>
                <w:noProof/>
                <w:webHidden/>
              </w:rPr>
              <w:instrText xml:space="preserve"> PAGEREF _Toc220496568 \h </w:instrText>
            </w:r>
            <w:r>
              <w:rPr>
                <w:noProof/>
                <w:webHidden/>
              </w:rPr>
            </w:r>
            <w:r>
              <w:rPr>
                <w:noProof/>
                <w:webHidden/>
              </w:rPr>
              <w:fldChar w:fldCharType="separate"/>
            </w:r>
            <w:r>
              <w:rPr>
                <w:noProof/>
                <w:webHidden/>
              </w:rPr>
              <w:t>876</w:t>
            </w:r>
            <w:r>
              <w:rPr>
                <w:noProof/>
                <w:webHidden/>
              </w:rPr>
              <w:fldChar w:fldCharType="end"/>
            </w:r>
          </w:hyperlink>
        </w:p>
        <w:p w14:paraId="32054954" w14:textId="52F97A9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69" w:history="1">
            <w:r w:rsidRPr="00F45DCA">
              <w:rPr>
                <w:rStyle w:val="Lienhypertexte"/>
                <w:noProof/>
              </w:rPr>
              <w:t>24.12.4b Colonnes en LVL à inertie variable CCTB 01.11</w:t>
            </w:r>
            <w:r>
              <w:rPr>
                <w:noProof/>
                <w:webHidden/>
              </w:rPr>
              <w:tab/>
            </w:r>
            <w:r>
              <w:rPr>
                <w:noProof/>
                <w:webHidden/>
              </w:rPr>
              <w:fldChar w:fldCharType="begin"/>
            </w:r>
            <w:r>
              <w:rPr>
                <w:noProof/>
                <w:webHidden/>
              </w:rPr>
              <w:instrText xml:space="preserve"> PAGEREF _Toc220496569 \h </w:instrText>
            </w:r>
            <w:r>
              <w:rPr>
                <w:noProof/>
                <w:webHidden/>
              </w:rPr>
            </w:r>
            <w:r>
              <w:rPr>
                <w:noProof/>
                <w:webHidden/>
              </w:rPr>
              <w:fldChar w:fldCharType="separate"/>
            </w:r>
            <w:r>
              <w:rPr>
                <w:noProof/>
                <w:webHidden/>
              </w:rPr>
              <w:t>878</w:t>
            </w:r>
            <w:r>
              <w:rPr>
                <w:noProof/>
                <w:webHidden/>
              </w:rPr>
              <w:fldChar w:fldCharType="end"/>
            </w:r>
          </w:hyperlink>
        </w:p>
        <w:p w14:paraId="0FDAFB81" w14:textId="727BB48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70" w:history="1">
            <w:r w:rsidRPr="00F45DCA">
              <w:rPr>
                <w:rStyle w:val="Lienhypertexte"/>
                <w:noProof/>
              </w:rPr>
              <w:t>24.12.5 Colonnes en LSL CCTB 01.07</w:t>
            </w:r>
            <w:r>
              <w:rPr>
                <w:noProof/>
                <w:webHidden/>
              </w:rPr>
              <w:tab/>
            </w:r>
            <w:r>
              <w:rPr>
                <w:noProof/>
                <w:webHidden/>
              </w:rPr>
              <w:fldChar w:fldCharType="begin"/>
            </w:r>
            <w:r>
              <w:rPr>
                <w:noProof/>
                <w:webHidden/>
              </w:rPr>
              <w:instrText xml:space="preserve"> PAGEREF _Toc220496570 \h </w:instrText>
            </w:r>
            <w:r>
              <w:rPr>
                <w:noProof/>
                <w:webHidden/>
              </w:rPr>
            </w:r>
            <w:r>
              <w:rPr>
                <w:noProof/>
                <w:webHidden/>
              </w:rPr>
              <w:fldChar w:fldCharType="separate"/>
            </w:r>
            <w:r>
              <w:rPr>
                <w:noProof/>
                <w:webHidden/>
              </w:rPr>
              <w:t>879</w:t>
            </w:r>
            <w:r>
              <w:rPr>
                <w:noProof/>
                <w:webHidden/>
              </w:rPr>
              <w:fldChar w:fldCharType="end"/>
            </w:r>
          </w:hyperlink>
        </w:p>
        <w:p w14:paraId="5EEF2B20" w14:textId="0EA087F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71" w:history="1">
            <w:r w:rsidRPr="00F45DCA">
              <w:rPr>
                <w:rStyle w:val="Lienhypertexte"/>
                <w:noProof/>
              </w:rPr>
              <w:t>24.12.5a Colonnes en LSL à inertie constante CCTB 01.11</w:t>
            </w:r>
            <w:r>
              <w:rPr>
                <w:noProof/>
                <w:webHidden/>
              </w:rPr>
              <w:tab/>
            </w:r>
            <w:r>
              <w:rPr>
                <w:noProof/>
                <w:webHidden/>
              </w:rPr>
              <w:fldChar w:fldCharType="begin"/>
            </w:r>
            <w:r>
              <w:rPr>
                <w:noProof/>
                <w:webHidden/>
              </w:rPr>
              <w:instrText xml:space="preserve"> PAGEREF _Toc220496571 \h </w:instrText>
            </w:r>
            <w:r>
              <w:rPr>
                <w:noProof/>
                <w:webHidden/>
              </w:rPr>
            </w:r>
            <w:r>
              <w:rPr>
                <w:noProof/>
                <w:webHidden/>
              </w:rPr>
              <w:fldChar w:fldCharType="separate"/>
            </w:r>
            <w:r>
              <w:rPr>
                <w:noProof/>
                <w:webHidden/>
              </w:rPr>
              <w:t>880</w:t>
            </w:r>
            <w:r>
              <w:rPr>
                <w:noProof/>
                <w:webHidden/>
              </w:rPr>
              <w:fldChar w:fldCharType="end"/>
            </w:r>
          </w:hyperlink>
        </w:p>
        <w:p w14:paraId="18564B5C" w14:textId="2CF994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72" w:history="1">
            <w:r w:rsidRPr="00F45DCA">
              <w:rPr>
                <w:rStyle w:val="Lienhypertexte"/>
                <w:noProof/>
              </w:rPr>
              <w:t>24.12.5b Colonnes en LSL à inertie variable CCTB 01.11</w:t>
            </w:r>
            <w:r>
              <w:rPr>
                <w:noProof/>
                <w:webHidden/>
              </w:rPr>
              <w:tab/>
            </w:r>
            <w:r>
              <w:rPr>
                <w:noProof/>
                <w:webHidden/>
              </w:rPr>
              <w:fldChar w:fldCharType="begin"/>
            </w:r>
            <w:r>
              <w:rPr>
                <w:noProof/>
                <w:webHidden/>
              </w:rPr>
              <w:instrText xml:space="preserve"> PAGEREF _Toc220496572 \h </w:instrText>
            </w:r>
            <w:r>
              <w:rPr>
                <w:noProof/>
                <w:webHidden/>
              </w:rPr>
            </w:r>
            <w:r>
              <w:rPr>
                <w:noProof/>
                <w:webHidden/>
              </w:rPr>
              <w:fldChar w:fldCharType="separate"/>
            </w:r>
            <w:r>
              <w:rPr>
                <w:noProof/>
                <w:webHidden/>
              </w:rPr>
              <w:t>881</w:t>
            </w:r>
            <w:r>
              <w:rPr>
                <w:noProof/>
                <w:webHidden/>
              </w:rPr>
              <w:fldChar w:fldCharType="end"/>
            </w:r>
          </w:hyperlink>
        </w:p>
        <w:p w14:paraId="4195CF01" w14:textId="71F21D4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73" w:history="1">
            <w:r w:rsidRPr="00F45DCA">
              <w:rPr>
                <w:rStyle w:val="Lienhypertexte"/>
                <w:noProof/>
              </w:rPr>
              <w:t>24.12.6 Colonnes en PSL CCTB 01.07</w:t>
            </w:r>
            <w:r>
              <w:rPr>
                <w:noProof/>
                <w:webHidden/>
              </w:rPr>
              <w:tab/>
            </w:r>
            <w:r>
              <w:rPr>
                <w:noProof/>
                <w:webHidden/>
              </w:rPr>
              <w:fldChar w:fldCharType="begin"/>
            </w:r>
            <w:r>
              <w:rPr>
                <w:noProof/>
                <w:webHidden/>
              </w:rPr>
              <w:instrText xml:space="preserve"> PAGEREF _Toc220496573 \h </w:instrText>
            </w:r>
            <w:r>
              <w:rPr>
                <w:noProof/>
                <w:webHidden/>
              </w:rPr>
            </w:r>
            <w:r>
              <w:rPr>
                <w:noProof/>
                <w:webHidden/>
              </w:rPr>
              <w:fldChar w:fldCharType="separate"/>
            </w:r>
            <w:r>
              <w:rPr>
                <w:noProof/>
                <w:webHidden/>
              </w:rPr>
              <w:t>883</w:t>
            </w:r>
            <w:r>
              <w:rPr>
                <w:noProof/>
                <w:webHidden/>
              </w:rPr>
              <w:fldChar w:fldCharType="end"/>
            </w:r>
          </w:hyperlink>
        </w:p>
        <w:p w14:paraId="2B333740" w14:textId="5F3803B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74" w:history="1">
            <w:r w:rsidRPr="00F45DCA">
              <w:rPr>
                <w:rStyle w:val="Lienhypertexte"/>
                <w:noProof/>
              </w:rPr>
              <w:t>24.12.6a Colonnes en PSL à inertie constante CCTB 01.11</w:t>
            </w:r>
            <w:r>
              <w:rPr>
                <w:noProof/>
                <w:webHidden/>
              </w:rPr>
              <w:tab/>
            </w:r>
            <w:r>
              <w:rPr>
                <w:noProof/>
                <w:webHidden/>
              </w:rPr>
              <w:fldChar w:fldCharType="begin"/>
            </w:r>
            <w:r>
              <w:rPr>
                <w:noProof/>
                <w:webHidden/>
              </w:rPr>
              <w:instrText xml:space="preserve"> PAGEREF _Toc220496574 \h </w:instrText>
            </w:r>
            <w:r>
              <w:rPr>
                <w:noProof/>
                <w:webHidden/>
              </w:rPr>
            </w:r>
            <w:r>
              <w:rPr>
                <w:noProof/>
                <w:webHidden/>
              </w:rPr>
              <w:fldChar w:fldCharType="separate"/>
            </w:r>
            <w:r>
              <w:rPr>
                <w:noProof/>
                <w:webHidden/>
              </w:rPr>
              <w:t>884</w:t>
            </w:r>
            <w:r>
              <w:rPr>
                <w:noProof/>
                <w:webHidden/>
              </w:rPr>
              <w:fldChar w:fldCharType="end"/>
            </w:r>
          </w:hyperlink>
        </w:p>
        <w:p w14:paraId="66DB5C94" w14:textId="25B86C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75" w:history="1">
            <w:r w:rsidRPr="00F45DCA">
              <w:rPr>
                <w:rStyle w:val="Lienhypertexte"/>
                <w:noProof/>
              </w:rPr>
              <w:t>24.12.6b Colonnes en PSL à inertie variable CCTB 01.11</w:t>
            </w:r>
            <w:r>
              <w:rPr>
                <w:noProof/>
                <w:webHidden/>
              </w:rPr>
              <w:tab/>
            </w:r>
            <w:r>
              <w:rPr>
                <w:noProof/>
                <w:webHidden/>
              </w:rPr>
              <w:fldChar w:fldCharType="begin"/>
            </w:r>
            <w:r>
              <w:rPr>
                <w:noProof/>
                <w:webHidden/>
              </w:rPr>
              <w:instrText xml:space="preserve"> PAGEREF _Toc220496575 \h </w:instrText>
            </w:r>
            <w:r>
              <w:rPr>
                <w:noProof/>
                <w:webHidden/>
              </w:rPr>
            </w:r>
            <w:r>
              <w:rPr>
                <w:noProof/>
                <w:webHidden/>
              </w:rPr>
              <w:fldChar w:fldCharType="separate"/>
            </w:r>
            <w:r>
              <w:rPr>
                <w:noProof/>
                <w:webHidden/>
              </w:rPr>
              <w:t>885</w:t>
            </w:r>
            <w:r>
              <w:rPr>
                <w:noProof/>
                <w:webHidden/>
              </w:rPr>
              <w:fldChar w:fldCharType="end"/>
            </w:r>
          </w:hyperlink>
        </w:p>
        <w:p w14:paraId="087B7ACD" w14:textId="5B538A4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76" w:history="1">
            <w:r w:rsidRPr="00F45DCA">
              <w:rPr>
                <w:rStyle w:val="Lienhypertexte"/>
                <w:noProof/>
              </w:rPr>
              <w:t>24.12.7 Colonnes faites de produits manufacturés en bois CCTB 01.07</w:t>
            </w:r>
            <w:r>
              <w:rPr>
                <w:noProof/>
                <w:webHidden/>
              </w:rPr>
              <w:tab/>
            </w:r>
            <w:r>
              <w:rPr>
                <w:noProof/>
                <w:webHidden/>
              </w:rPr>
              <w:fldChar w:fldCharType="begin"/>
            </w:r>
            <w:r>
              <w:rPr>
                <w:noProof/>
                <w:webHidden/>
              </w:rPr>
              <w:instrText xml:space="preserve"> PAGEREF _Toc220496576 \h </w:instrText>
            </w:r>
            <w:r>
              <w:rPr>
                <w:noProof/>
                <w:webHidden/>
              </w:rPr>
            </w:r>
            <w:r>
              <w:rPr>
                <w:noProof/>
                <w:webHidden/>
              </w:rPr>
              <w:fldChar w:fldCharType="separate"/>
            </w:r>
            <w:r>
              <w:rPr>
                <w:noProof/>
                <w:webHidden/>
              </w:rPr>
              <w:t>887</w:t>
            </w:r>
            <w:r>
              <w:rPr>
                <w:noProof/>
                <w:webHidden/>
              </w:rPr>
              <w:fldChar w:fldCharType="end"/>
            </w:r>
          </w:hyperlink>
        </w:p>
        <w:p w14:paraId="0422C692" w14:textId="1EE1063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77" w:history="1">
            <w:r w:rsidRPr="00F45DCA">
              <w:rPr>
                <w:rStyle w:val="Lienhypertexte"/>
                <w:noProof/>
              </w:rPr>
              <w:t>24.12.7a Colonnes faites de profilés en I à âme en bois CCTB 01.07</w:t>
            </w:r>
            <w:r>
              <w:rPr>
                <w:noProof/>
                <w:webHidden/>
              </w:rPr>
              <w:tab/>
            </w:r>
            <w:r>
              <w:rPr>
                <w:noProof/>
                <w:webHidden/>
              </w:rPr>
              <w:fldChar w:fldCharType="begin"/>
            </w:r>
            <w:r>
              <w:rPr>
                <w:noProof/>
                <w:webHidden/>
              </w:rPr>
              <w:instrText xml:space="preserve"> PAGEREF _Toc220496577 \h </w:instrText>
            </w:r>
            <w:r>
              <w:rPr>
                <w:noProof/>
                <w:webHidden/>
              </w:rPr>
            </w:r>
            <w:r>
              <w:rPr>
                <w:noProof/>
                <w:webHidden/>
              </w:rPr>
              <w:fldChar w:fldCharType="separate"/>
            </w:r>
            <w:r>
              <w:rPr>
                <w:noProof/>
                <w:webHidden/>
              </w:rPr>
              <w:t>887</w:t>
            </w:r>
            <w:r>
              <w:rPr>
                <w:noProof/>
                <w:webHidden/>
              </w:rPr>
              <w:fldChar w:fldCharType="end"/>
            </w:r>
          </w:hyperlink>
        </w:p>
        <w:p w14:paraId="45287614" w14:textId="15ADAA8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78" w:history="1">
            <w:r w:rsidRPr="00F45DCA">
              <w:rPr>
                <w:rStyle w:val="Lienhypertexte"/>
                <w:noProof/>
              </w:rPr>
              <w:t>24.12.7b Colonnes faites de profilés en I à âme métallique CCTB 01.07</w:t>
            </w:r>
            <w:r>
              <w:rPr>
                <w:noProof/>
                <w:webHidden/>
              </w:rPr>
              <w:tab/>
            </w:r>
            <w:r>
              <w:rPr>
                <w:noProof/>
                <w:webHidden/>
              </w:rPr>
              <w:fldChar w:fldCharType="begin"/>
            </w:r>
            <w:r>
              <w:rPr>
                <w:noProof/>
                <w:webHidden/>
              </w:rPr>
              <w:instrText xml:space="preserve"> PAGEREF _Toc220496578 \h </w:instrText>
            </w:r>
            <w:r>
              <w:rPr>
                <w:noProof/>
                <w:webHidden/>
              </w:rPr>
            </w:r>
            <w:r>
              <w:rPr>
                <w:noProof/>
                <w:webHidden/>
              </w:rPr>
              <w:fldChar w:fldCharType="separate"/>
            </w:r>
            <w:r>
              <w:rPr>
                <w:noProof/>
                <w:webHidden/>
              </w:rPr>
              <w:t>888</w:t>
            </w:r>
            <w:r>
              <w:rPr>
                <w:noProof/>
                <w:webHidden/>
              </w:rPr>
              <w:fldChar w:fldCharType="end"/>
            </w:r>
          </w:hyperlink>
        </w:p>
        <w:p w14:paraId="3C46A918" w14:textId="14E1B0D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79" w:history="1">
            <w:r w:rsidRPr="00F45DCA">
              <w:rPr>
                <w:rStyle w:val="Lienhypertexte"/>
                <w:noProof/>
              </w:rPr>
              <w:t>24.12.7c Colonnes faites de treillis avec diagonales en bois CCTB 01.07</w:t>
            </w:r>
            <w:r>
              <w:rPr>
                <w:noProof/>
                <w:webHidden/>
              </w:rPr>
              <w:tab/>
            </w:r>
            <w:r>
              <w:rPr>
                <w:noProof/>
                <w:webHidden/>
              </w:rPr>
              <w:fldChar w:fldCharType="begin"/>
            </w:r>
            <w:r>
              <w:rPr>
                <w:noProof/>
                <w:webHidden/>
              </w:rPr>
              <w:instrText xml:space="preserve"> PAGEREF _Toc220496579 \h </w:instrText>
            </w:r>
            <w:r>
              <w:rPr>
                <w:noProof/>
                <w:webHidden/>
              </w:rPr>
            </w:r>
            <w:r>
              <w:rPr>
                <w:noProof/>
                <w:webHidden/>
              </w:rPr>
              <w:fldChar w:fldCharType="separate"/>
            </w:r>
            <w:r>
              <w:rPr>
                <w:noProof/>
                <w:webHidden/>
              </w:rPr>
              <w:t>889</w:t>
            </w:r>
            <w:r>
              <w:rPr>
                <w:noProof/>
                <w:webHidden/>
              </w:rPr>
              <w:fldChar w:fldCharType="end"/>
            </w:r>
          </w:hyperlink>
        </w:p>
        <w:p w14:paraId="7DD1D0A9" w14:textId="796B557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80" w:history="1">
            <w:r w:rsidRPr="00F45DCA">
              <w:rPr>
                <w:rStyle w:val="Lienhypertexte"/>
                <w:noProof/>
              </w:rPr>
              <w:t>24.12.7d Colonnes faites de treillis avec diagonales en métal CCTB 01.07</w:t>
            </w:r>
            <w:r>
              <w:rPr>
                <w:noProof/>
                <w:webHidden/>
              </w:rPr>
              <w:tab/>
            </w:r>
            <w:r>
              <w:rPr>
                <w:noProof/>
                <w:webHidden/>
              </w:rPr>
              <w:fldChar w:fldCharType="begin"/>
            </w:r>
            <w:r>
              <w:rPr>
                <w:noProof/>
                <w:webHidden/>
              </w:rPr>
              <w:instrText xml:space="preserve"> PAGEREF _Toc220496580 \h </w:instrText>
            </w:r>
            <w:r>
              <w:rPr>
                <w:noProof/>
                <w:webHidden/>
              </w:rPr>
            </w:r>
            <w:r>
              <w:rPr>
                <w:noProof/>
                <w:webHidden/>
              </w:rPr>
              <w:fldChar w:fldCharType="separate"/>
            </w:r>
            <w:r>
              <w:rPr>
                <w:noProof/>
                <w:webHidden/>
              </w:rPr>
              <w:t>889</w:t>
            </w:r>
            <w:r>
              <w:rPr>
                <w:noProof/>
                <w:webHidden/>
              </w:rPr>
              <w:fldChar w:fldCharType="end"/>
            </w:r>
          </w:hyperlink>
        </w:p>
        <w:p w14:paraId="753EE684" w14:textId="677C5C7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581" w:history="1">
            <w:r w:rsidRPr="00F45DCA">
              <w:rPr>
                <w:rStyle w:val="Lienhypertexte"/>
                <w:noProof/>
              </w:rPr>
              <w:t>24.13 Poutres et barres en bois CCTB 01.07</w:t>
            </w:r>
            <w:r>
              <w:rPr>
                <w:noProof/>
                <w:webHidden/>
              </w:rPr>
              <w:tab/>
            </w:r>
            <w:r>
              <w:rPr>
                <w:noProof/>
                <w:webHidden/>
              </w:rPr>
              <w:fldChar w:fldCharType="begin"/>
            </w:r>
            <w:r>
              <w:rPr>
                <w:noProof/>
                <w:webHidden/>
              </w:rPr>
              <w:instrText xml:space="preserve"> PAGEREF _Toc220496581 \h </w:instrText>
            </w:r>
            <w:r>
              <w:rPr>
                <w:noProof/>
                <w:webHidden/>
              </w:rPr>
            </w:r>
            <w:r>
              <w:rPr>
                <w:noProof/>
                <w:webHidden/>
              </w:rPr>
              <w:fldChar w:fldCharType="separate"/>
            </w:r>
            <w:r>
              <w:rPr>
                <w:noProof/>
                <w:webHidden/>
              </w:rPr>
              <w:t>890</w:t>
            </w:r>
            <w:r>
              <w:rPr>
                <w:noProof/>
                <w:webHidden/>
              </w:rPr>
              <w:fldChar w:fldCharType="end"/>
            </w:r>
          </w:hyperlink>
        </w:p>
        <w:p w14:paraId="091E515D" w14:textId="66445B6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82" w:history="1">
            <w:r w:rsidRPr="00F45DCA">
              <w:rPr>
                <w:rStyle w:val="Lienhypertexte"/>
                <w:noProof/>
              </w:rPr>
              <w:t>24.13.1 Poutres et barres en bois massif CCTB 01.07</w:t>
            </w:r>
            <w:r>
              <w:rPr>
                <w:noProof/>
                <w:webHidden/>
              </w:rPr>
              <w:tab/>
            </w:r>
            <w:r>
              <w:rPr>
                <w:noProof/>
                <w:webHidden/>
              </w:rPr>
              <w:fldChar w:fldCharType="begin"/>
            </w:r>
            <w:r>
              <w:rPr>
                <w:noProof/>
                <w:webHidden/>
              </w:rPr>
              <w:instrText xml:space="preserve"> PAGEREF _Toc220496582 \h </w:instrText>
            </w:r>
            <w:r>
              <w:rPr>
                <w:noProof/>
                <w:webHidden/>
              </w:rPr>
            </w:r>
            <w:r>
              <w:rPr>
                <w:noProof/>
                <w:webHidden/>
              </w:rPr>
              <w:fldChar w:fldCharType="separate"/>
            </w:r>
            <w:r>
              <w:rPr>
                <w:noProof/>
                <w:webHidden/>
              </w:rPr>
              <w:t>890</w:t>
            </w:r>
            <w:r>
              <w:rPr>
                <w:noProof/>
                <w:webHidden/>
              </w:rPr>
              <w:fldChar w:fldCharType="end"/>
            </w:r>
          </w:hyperlink>
        </w:p>
        <w:p w14:paraId="6B24168D" w14:textId="5FF3CB0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83" w:history="1">
            <w:r w:rsidRPr="00F45DCA">
              <w:rPr>
                <w:rStyle w:val="Lienhypertexte"/>
                <w:noProof/>
              </w:rPr>
              <w:t>24.13.1a Poutres et barres en bois massif à section rectangulaire CCTB 01.11</w:t>
            </w:r>
            <w:r>
              <w:rPr>
                <w:noProof/>
                <w:webHidden/>
              </w:rPr>
              <w:tab/>
            </w:r>
            <w:r>
              <w:rPr>
                <w:noProof/>
                <w:webHidden/>
              </w:rPr>
              <w:fldChar w:fldCharType="begin"/>
            </w:r>
            <w:r>
              <w:rPr>
                <w:noProof/>
                <w:webHidden/>
              </w:rPr>
              <w:instrText xml:space="preserve"> PAGEREF _Toc220496583 \h </w:instrText>
            </w:r>
            <w:r>
              <w:rPr>
                <w:noProof/>
                <w:webHidden/>
              </w:rPr>
            </w:r>
            <w:r>
              <w:rPr>
                <w:noProof/>
                <w:webHidden/>
              </w:rPr>
              <w:fldChar w:fldCharType="separate"/>
            </w:r>
            <w:r>
              <w:rPr>
                <w:noProof/>
                <w:webHidden/>
              </w:rPr>
              <w:t>891</w:t>
            </w:r>
            <w:r>
              <w:rPr>
                <w:noProof/>
                <w:webHidden/>
              </w:rPr>
              <w:fldChar w:fldCharType="end"/>
            </w:r>
          </w:hyperlink>
        </w:p>
        <w:p w14:paraId="62822126" w14:textId="326B060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84" w:history="1">
            <w:r w:rsidRPr="00F45DCA">
              <w:rPr>
                <w:rStyle w:val="Lienhypertexte"/>
                <w:noProof/>
              </w:rPr>
              <w:t>24.13.1b Poutres et barres en bois massif à section circulaire CCTB 01.11</w:t>
            </w:r>
            <w:r>
              <w:rPr>
                <w:noProof/>
                <w:webHidden/>
              </w:rPr>
              <w:tab/>
            </w:r>
            <w:r>
              <w:rPr>
                <w:noProof/>
                <w:webHidden/>
              </w:rPr>
              <w:fldChar w:fldCharType="begin"/>
            </w:r>
            <w:r>
              <w:rPr>
                <w:noProof/>
                <w:webHidden/>
              </w:rPr>
              <w:instrText xml:space="preserve"> PAGEREF _Toc220496584 \h </w:instrText>
            </w:r>
            <w:r>
              <w:rPr>
                <w:noProof/>
                <w:webHidden/>
              </w:rPr>
            </w:r>
            <w:r>
              <w:rPr>
                <w:noProof/>
                <w:webHidden/>
              </w:rPr>
              <w:fldChar w:fldCharType="separate"/>
            </w:r>
            <w:r>
              <w:rPr>
                <w:noProof/>
                <w:webHidden/>
              </w:rPr>
              <w:t>893</w:t>
            </w:r>
            <w:r>
              <w:rPr>
                <w:noProof/>
                <w:webHidden/>
              </w:rPr>
              <w:fldChar w:fldCharType="end"/>
            </w:r>
          </w:hyperlink>
        </w:p>
        <w:p w14:paraId="353E8772" w14:textId="3800784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85" w:history="1">
            <w:r w:rsidRPr="00F45DCA">
              <w:rPr>
                <w:rStyle w:val="Lienhypertexte"/>
                <w:noProof/>
              </w:rPr>
              <w:t>24.13.2 Poutres et barres en bois lamellé collé CCTB 01.07</w:t>
            </w:r>
            <w:r>
              <w:rPr>
                <w:noProof/>
                <w:webHidden/>
              </w:rPr>
              <w:tab/>
            </w:r>
            <w:r>
              <w:rPr>
                <w:noProof/>
                <w:webHidden/>
              </w:rPr>
              <w:fldChar w:fldCharType="begin"/>
            </w:r>
            <w:r>
              <w:rPr>
                <w:noProof/>
                <w:webHidden/>
              </w:rPr>
              <w:instrText xml:space="preserve"> PAGEREF _Toc220496585 \h </w:instrText>
            </w:r>
            <w:r>
              <w:rPr>
                <w:noProof/>
                <w:webHidden/>
              </w:rPr>
            </w:r>
            <w:r>
              <w:rPr>
                <w:noProof/>
                <w:webHidden/>
              </w:rPr>
              <w:fldChar w:fldCharType="separate"/>
            </w:r>
            <w:r>
              <w:rPr>
                <w:noProof/>
                <w:webHidden/>
              </w:rPr>
              <w:t>894</w:t>
            </w:r>
            <w:r>
              <w:rPr>
                <w:noProof/>
                <w:webHidden/>
              </w:rPr>
              <w:fldChar w:fldCharType="end"/>
            </w:r>
          </w:hyperlink>
        </w:p>
        <w:p w14:paraId="3ADEF5AF" w14:textId="68CA621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86" w:history="1">
            <w:r w:rsidRPr="00F45DCA">
              <w:rPr>
                <w:rStyle w:val="Lienhypertexte"/>
                <w:noProof/>
              </w:rPr>
              <w:t>24.13.2a Poutres et barres en lamellé-collé à inertie constante CCTB 01.11</w:t>
            </w:r>
            <w:r>
              <w:rPr>
                <w:noProof/>
                <w:webHidden/>
              </w:rPr>
              <w:tab/>
            </w:r>
            <w:r>
              <w:rPr>
                <w:noProof/>
                <w:webHidden/>
              </w:rPr>
              <w:fldChar w:fldCharType="begin"/>
            </w:r>
            <w:r>
              <w:rPr>
                <w:noProof/>
                <w:webHidden/>
              </w:rPr>
              <w:instrText xml:space="preserve"> PAGEREF _Toc220496586 \h </w:instrText>
            </w:r>
            <w:r>
              <w:rPr>
                <w:noProof/>
                <w:webHidden/>
              </w:rPr>
            </w:r>
            <w:r>
              <w:rPr>
                <w:noProof/>
                <w:webHidden/>
              </w:rPr>
              <w:fldChar w:fldCharType="separate"/>
            </w:r>
            <w:r>
              <w:rPr>
                <w:noProof/>
                <w:webHidden/>
              </w:rPr>
              <w:t>895</w:t>
            </w:r>
            <w:r>
              <w:rPr>
                <w:noProof/>
                <w:webHidden/>
              </w:rPr>
              <w:fldChar w:fldCharType="end"/>
            </w:r>
          </w:hyperlink>
        </w:p>
        <w:p w14:paraId="1684092D" w14:textId="2B5AB46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87" w:history="1">
            <w:r w:rsidRPr="00F45DCA">
              <w:rPr>
                <w:rStyle w:val="Lienhypertexte"/>
                <w:noProof/>
              </w:rPr>
              <w:t>24.13.2b Poutres et barres en lamellé-collé à inertie variable CCTB 01.11</w:t>
            </w:r>
            <w:r>
              <w:rPr>
                <w:noProof/>
                <w:webHidden/>
              </w:rPr>
              <w:tab/>
            </w:r>
            <w:r>
              <w:rPr>
                <w:noProof/>
                <w:webHidden/>
              </w:rPr>
              <w:fldChar w:fldCharType="begin"/>
            </w:r>
            <w:r>
              <w:rPr>
                <w:noProof/>
                <w:webHidden/>
              </w:rPr>
              <w:instrText xml:space="preserve"> PAGEREF _Toc220496587 \h </w:instrText>
            </w:r>
            <w:r>
              <w:rPr>
                <w:noProof/>
                <w:webHidden/>
              </w:rPr>
            </w:r>
            <w:r>
              <w:rPr>
                <w:noProof/>
                <w:webHidden/>
              </w:rPr>
              <w:fldChar w:fldCharType="separate"/>
            </w:r>
            <w:r>
              <w:rPr>
                <w:noProof/>
                <w:webHidden/>
              </w:rPr>
              <w:t>896</w:t>
            </w:r>
            <w:r>
              <w:rPr>
                <w:noProof/>
                <w:webHidden/>
              </w:rPr>
              <w:fldChar w:fldCharType="end"/>
            </w:r>
          </w:hyperlink>
        </w:p>
        <w:p w14:paraId="6260CB94" w14:textId="69A6A96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88" w:history="1">
            <w:r w:rsidRPr="00F45DCA">
              <w:rPr>
                <w:rStyle w:val="Lienhypertexte"/>
                <w:noProof/>
              </w:rPr>
              <w:t>24.13.3 Poutres et barres en bois lamellé collé en bloc CCTB 01.07</w:t>
            </w:r>
            <w:r>
              <w:rPr>
                <w:noProof/>
                <w:webHidden/>
              </w:rPr>
              <w:tab/>
            </w:r>
            <w:r>
              <w:rPr>
                <w:noProof/>
                <w:webHidden/>
              </w:rPr>
              <w:fldChar w:fldCharType="begin"/>
            </w:r>
            <w:r>
              <w:rPr>
                <w:noProof/>
                <w:webHidden/>
              </w:rPr>
              <w:instrText xml:space="preserve"> PAGEREF _Toc220496588 \h </w:instrText>
            </w:r>
            <w:r>
              <w:rPr>
                <w:noProof/>
                <w:webHidden/>
              </w:rPr>
            </w:r>
            <w:r>
              <w:rPr>
                <w:noProof/>
                <w:webHidden/>
              </w:rPr>
              <w:fldChar w:fldCharType="separate"/>
            </w:r>
            <w:r>
              <w:rPr>
                <w:noProof/>
                <w:webHidden/>
              </w:rPr>
              <w:t>898</w:t>
            </w:r>
            <w:r>
              <w:rPr>
                <w:noProof/>
                <w:webHidden/>
              </w:rPr>
              <w:fldChar w:fldCharType="end"/>
            </w:r>
          </w:hyperlink>
        </w:p>
        <w:p w14:paraId="366ECA80" w14:textId="19EFDD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89" w:history="1">
            <w:r w:rsidRPr="00F45DCA">
              <w:rPr>
                <w:rStyle w:val="Lienhypertexte"/>
                <w:noProof/>
              </w:rPr>
              <w:t>24.13.3a Poutres et barres en bois lamellé collé en bloc à inertie constante CCTB 01.11</w:t>
            </w:r>
            <w:r>
              <w:rPr>
                <w:noProof/>
                <w:webHidden/>
              </w:rPr>
              <w:tab/>
            </w:r>
            <w:r>
              <w:rPr>
                <w:noProof/>
                <w:webHidden/>
              </w:rPr>
              <w:fldChar w:fldCharType="begin"/>
            </w:r>
            <w:r>
              <w:rPr>
                <w:noProof/>
                <w:webHidden/>
              </w:rPr>
              <w:instrText xml:space="preserve"> PAGEREF _Toc220496589 \h </w:instrText>
            </w:r>
            <w:r>
              <w:rPr>
                <w:noProof/>
                <w:webHidden/>
              </w:rPr>
            </w:r>
            <w:r>
              <w:rPr>
                <w:noProof/>
                <w:webHidden/>
              </w:rPr>
              <w:fldChar w:fldCharType="separate"/>
            </w:r>
            <w:r>
              <w:rPr>
                <w:noProof/>
                <w:webHidden/>
              </w:rPr>
              <w:t>898</w:t>
            </w:r>
            <w:r>
              <w:rPr>
                <w:noProof/>
                <w:webHidden/>
              </w:rPr>
              <w:fldChar w:fldCharType="end"/>
            </w:r>
          </w:hyperlink>
        </w:p>
        <w:p w14:paraId="535B7341" w14:textId="5839CCE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90" w:history="1">
            <w:r w:rsidRPr="00F45DCA">
              <w:rPr>
                <w:rStyle w:val="Lienhypertexte"/>
                <w:noProof/>
              </w:rPr>
              <w:t>24.13.3b Poutres et barres en bois lamellé collé en bloc à inertie variable CCTB 01.11</w:t>
            </w:r>
            <w:r>
              <w:rPr>
                <w:noProof/>
                <w:webHidden/>
              </w:rPr>
              <w:tab/>
            </w:r>
            <w:r>
              <w:rPr>
                <w:noProof/>
                <w:webHidden/>
              </w:rPr>
              <w:fldChar w:fldCharType="begin"/>
            </w:r>
            <w:r>
              <w:rPr>
                <w:noProof/>
                <w:webHidden/>
              </w:rPr>
              <w:instrText xml:space="preserve"> PAGEREF _Toc220496590 \h </w:instrText>
            </w:r>
            <w:r>
              <w:rPr>
                <w:noProof/>
                <w:webHidden/>
              </w:rPr>
            </w:r>
            <w:r>
              <w:rPr>
                <w:noProof/>
                <w:webHidden/>
              </w:rPr>
              <w:fldChar w:fldCharType="separate"/>
            </w:r>
            <w:r>
              <w:rPr>
                <w:noProof/>
                <w:webHidden/>
              </w:rPr>
              <w:t>900</w:t>
            </w:r>
            <w:r>
              <w:rPr>
                <w:noProof/>
                <w:webHidden/>
              </w:rPr>
              <w:fldChar w:fldCharType="end"/>
            </w:r>
          </w:hyperlink>
        </w:p>
        <w:p w14:paraId="76616DE2" w14:textId="1FACB9C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91" w:history="1">
            <w:r w:rsidRPr="00F45DCA">
              <w:rPr>
                <w:rStyle w:val="Lienhypertexte"/>
                <w:noProof/>
              </w:rPr>
              <w:t>24.13.4 Poutres et barres en CLT CCTB 01.13</w:t>
            </w:r>
            <w:r>
              <w:rPr>
                <w:noProof/>
                <w:webHidden/>
              </w:rPr>
              <w:tab/>
            </w:r>
            <w:r>
              <w:rPr>
                <w:noProof/>
                <w:webHidden/>
              </w:rPr>
              <w:fldChar w:fldCharType="begin"/>
            </w:r>
            <w:r>
              <w:rPr>
                <w:noProof/>
                <w:webHidden/>
              </w:rPr>
              <w:instrText xml:space="preserve"> PAGEREF _Toc220496591 \h </w:instrText>
            </w:r>
            <w:r>
              <w:rPr>
                <w:noProof/>
                <w:webHidden/>
              </w:rPr>
            </w:r>
            <w:r>
              <w:rPr>
                <w:noProof/>
                <w:webHidden/>
              </w:rPr>
              <w:fldChar w:fldCharType="separate"/>
            </w:r>
            <w:r>
              <w:rPr>
                <w:noProof/>
                <w:webHidden/>
              </w:rPr>
              <w:t>901</w:t>
            </w:r>
            <w:r>
              <w:rPr>
                <w:noProof/>
                <w:webHidden/>
              </w:rPr>
              <w:fldChar w:fldCharType="end"/>
            </w:r>
          </w:hyperlink>
        </w:p>
        <w:p w14:paraId="12C17F2D" w14:textId="53061EB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92" w:history="1">
            <w:r w:rsidRPr="00F45DCA">
              <w:rPr>
                <w:rStyle w:val="Lienhypertexte"/>
                <w:noProof/>
              </w:rPr>
              <w:t>24.13.4a Poutres et barres en CLT à inertie constante CCTB 01.11</w:t>
            </w:r>
            <w:r>
              <w:rPr>
                <w:noProof/>
                <w:webHidden/>
              </w:rPr>
              <w:tab/>
            </w:r>
            <w:r>
              <w:rPr>
                <w:noProof/>
                <w:webHidden/>
              </w:rPr>
              <w:fldChar w:fldCharType="begin"/>
            </w:r>
            <w:r>
              <w:rPr>
                <w:noProof/>
                <w:webHidden/>
              </w:rPr>
              <w:instrText xml:space="preserve"> PAGEREF _Toc220496592 \h </w:instrText>
            </w:r>
            <w:r>
              <w:rPr>
                <w:noProof/>
                <w:webHidden/>
              </w:rPr>
            </w:r>
            <w:r>
              <w:rPr>
                <w:noProof/>
                <w:webHidden/>
              </w:rPr>
              <w:fldChar w:fldCharType="separate"/>
            </w:r>
            <w:r>
              <w:rPr>
                <w:noProof/>
                <w:webHidden/>
              </w:rPr>
              <w:t>901</w:t>
            </w:r>
            <w:r>
              <w:rPr>
                <w:noProof/>
                <w:webHidden/>
              </w:rPr>
              <w:fldChar w:fldCharType="end"/>
            </w:r>
          </w:hyperlink>
        </w:p>
        <w:p w14:paraId="24388F6E" w14:textId="2AE6F1C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93" w:history="1">
            <w:r w:rsidRPr="00F45DCA">
              <w:rPr>
                <w:rStyle w:val="Lienhypertexte"/>
                <w:noProof/>
              </w:rPr>
              <w:t>24.13.4b Poutres et barres en CLT à inertie variable CCTB 01.11</w:t>
            </w:r>
            <w:r>
              <w:rPr>
                <w:noProof/>
                <w:webHidden/>
              </w:rPr>
              <w:tab/>
            </w:r>
            <w:r>
              <w:rPr>
                <w:noProof/>
                <w:webHidden/>
              </w:rPr>
              <w:fldChar w:fldCharType="begin"/>
            </w:r>
            <w:r>
              <w:rPr>
                <w:noProof/>
                <w:webHidden/>
              </w:rPr>
              <w:instrText xml:space="preserve"> PAGEREF _Toc220496593 \h </w:instrText>
            </w:r>
            <w:r>
              <w:rPr>
                <w:noProof/>
                <w:webHidden/>
              </w:rPr>
            </w:r>
            <w:r>
              <w:rPr>
                <w:noProof/>
                <w:webHidden/>
              </w:rPr>
              <w:fldChar w:fldCharType="separate"/>
            </w:r>
            <w:r>
              <w:rPr>
                <w:noProof/>
                <w:webHidden/>
              </w:rPr>
              <w:t>903</w:t>
            </w:r>
            <w:r>
              <w:rPr>
                <w:noProof/>
                <w:webHidden/>
              </w:rPr>
              <w:fldChar w:fldCharType="end"/>
            </w:r>
          </w:hyperlink>
        </w:p>
        <w:p w14:paraId="28E33DA3" w14:textId="71B91C2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94" w:history="1">
            <w:r w:rsidRPr="00F45DCA">
              <w:rPr>
                <w:rStyle w:val="Lienhypertexte"/>
                <w:noProof/>
              </w:rPr>
              <w:t>24.13.5 Poutres et barres en LVL CCTB 01.07</w:t>
            </w:r>
            <w:r>
              <w:rPr>
                <w:noProof/>
                <w:webHidden/>
              </w:rPr>
              <w:tab/>
            </w:r>
            <w:r>
              <w:rPr>
                <w:noProof/>
                <w:webHidden/>
              </w:rPr>
              <w:fldChar w:fldCharType="begin"/>
            </w:r>
            <w:r>
              <w:rPr>
                <w:noProof/>
                <w:webHidden/>
              </w:rPr>
              <w:instrText xml:space="preserve"> PAGEREF _Toc220496594 \h </w:instrText>
            </w:r>
            <w:r>
              <w:rPr>
                <w:noProof/>
                <w:webHidden/>
              </w:rPr>
            </w:r>
            <w:r>
              <w:rPr>
                <w:noProof/>
                <w:webHidden/>
              </w:rPr>
              <w:fldChar w:fldCharType="separate"/>
            </w:r>
            <w:r>
              <w:rPr>
                <w:noProof/>
                <w:webHidden/>
              </w:rPr>
              <w:t>905</w:t>
            </w:r>
            <w:r>
              <w:rPr>
                <w:noProof/>
                <w:webHidden/>
              </w:rPr>
              <w:fldChar w:fldCharType="end"/>
            </w:r>
          </w:hyperlink>
        </w:p>
        <w:p w14:paraId="30C0656A" w14:textId="789289F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95" w:history="1">
            <w:r w:rsidRPr="00F45DCA">
              <w:rPr>
                <w:rStyle w:val="Lienhypertexte"/>
                <w:noProof/>
              </w:rPr>
              <w:t>24.13.5a Poutres et barres en LVL à inertie constante CCTB 01.11</w:t>
            </w:r>
            <w:r>
              <w:rPr>
                <w:noProof/>
                <w:webHidden/>
              </w:rPr>
              <w:tab/>
            </w:r>
            <w:r>
              <w:rPr>
                <w:noProof/>
                <w:webHidden/>
              </w:rPr>
              <w:fldChar w:fldCharType="begin"/>
            </w:r>
            <w:r>
              <w:rPr>
                <w:noProof/>
                <w:webHidden/>
              </w:rPr>
              <w:instrText xml:space="preserve"> PAGEREF _Toc220496595 \h </w:instrText>
            </w:r>
            <w:r>
              <w:rPr>
                <w:noProof/>
                <w:webHidden/>
              </w:rPr>
            </w:r>
            <w:r>
              <w:rPr>
                <w:noProof/>
                <w:webHidden/>
              </w:rPr>
              <w:fldChar w:fldCharType="separate"/>
            </w:r>
            <w:r>
              <w:rPr>
                <w:noProof/>
                <w:webHidden/>
              </w:rPr>
              <w:t>906</w:t>
            </w:r>
            <w:r>
              <w:rPr>
                <w:noProof/>
                <w:webHidden/>
              </w:rPr>
              <w:fldChar w:fldCharType="end"/>
            </w:r>
          </w:hyperlink>
        </w:p>
        <w:p w14:paraId="5FFF6D1F" w14:textId="7C2B118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96" w:history="1">
            <w:r w:rsidRPr="00F45DCA">
              <w:rPr>
                <w:rStyle w:val="Lienhypertexte"/>
                <w:noProof/>
              </w:rPr>
              <w:t>24.13.5b Poutres et barres en LVL à inertie variable CCTB 01.11</w:t>
            </w:r>
            <w:r>
              <w:rPr>
                <w:noProof/>
                <w:webHidden/>
              </w:rPr>
              <w:tab/>
            </w:r>
            <w:r>
              <w:rPr>
                <w:noProof/>
                <w:webHidden/>
              </w:rPr>
              <w:fldChar w:fldCharType="begin"/>
            </w:r>
            <w:r>
              <w:rPr>
                <w:noProof/>
                <w:webHidden/>
              </w:rPr>
              <w:instrText xml:space="preserve"> PAGEREF _Toc220496596 \h </w:instrText>
            </w:r>
            <w:r>
              <w:rPr>
                <w:noProof/>
                <w:webHidden/>
              </w:rPr>
            </w:r>
            <w:r>
              <w:rPr>
                <w:noProof/>
                <w:webHidden/>
              </w:rPr>
              <w:fldChar w:fldCharType="separate"/>
            </w:r>
            <w:r>
              <w:rPr>
                <w:noProof/>
                <w:webHidden/>
              </w:rPr>
              <w:t>907</w:t>
            </w:r>
            <w:r>
              <w:rPr>
                <w:noProof/>
                <w:webHidden/>
              </w:rPr>
              <w:fldChar w:fldCharType="end"/>
            </w:r>
          </w:hyperlink>
        </w:p>
        <w:p w14:paraId="650A2164" w14:textId="6480578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597" w:history="1">
            <w:r w:rsidRPr="00F45DCA">
              <w:rPr>
                <w:rStyle w:val="Lienhypertexte"/>
                <w:noProof/>
              </w:rPr>
              <w:t>24.13.6 Poutres et barres en LSL CCTB 01.07</w:t>
            </w:r>
            <w:r>
              <w:rPr>
                <w:noProof/>
                <w:webHidden/>
              </w:rPr>
              <w:tab/>
            </w:r>
            <w:r>
              <w:rPr>
                <w:noProof/>
                <w:webHidden/>
              </w:rPr>
              <w:fldChar w:fldCharType="begin"/>
            </w:r>
            <w:r>
              <w:rPr>
                <w:noProof/>
                <w:webHidden/>
              </w:rPr>
              <w:instrText xml:space="preserve"> PAGEREF _Toc220496597 \h </w:instrText>
            </w:r>
            <w:r>
              <w:rPr>
                <w:noProof/>
                <w:webHidden/>
              </w:rPr>
            </w:r>
            <w:r>
              <w:rPr>
                <w:noProof/>
                <w:webHidden/>
              </w:rPr>
              <w:fldChar w:fldCharType="separate"/>
            </w:r>
            <w:r>
              <w:rPr>
                <w:noProof/>
                <w:webHidden/>
              </w:rPr>
              <w:t>909</w:t>
            </w:r>
            <w:r>
              <w:rPr>
                <w:noProof/>
                <w:webHidden/>
              </w:rPr>
              <w:fldChar w:fldCharType="end"/>
            </w:r>
          </w:hyperlink>
        </w:p>
        <w:p w14:paraId="50AFDF14" w14:textId="1543C2F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98" w:history="1">
            <w:r w:rsidRPr="00F45DCA">
              <w:rPr>
                <w:rStyle w:val="Lienhypertexte"/>
                <w:noProof/>
              </w:rPr>
              <w:t>24.13.6a Poutres et barres en LSL à inertie constante CCTB 01.11</w:t>
            </w:r>
            <w:r>
              <w:rPr>
                <w:noProof/>
                <w:webHidden/>
              </w:rPr>
              <w:tab/>
            </w:r>
            <w:r>
              <w:rPr>
                <w:noProof/>
                <w:webHidden/>
              </w:rPr>
              <w:fldChar w:fldCharType="begin"/>
            </w:r>
            <w:r>
              <w:rPr>
                <w:noProof/>
                <w:webHidden/>
              </w:rPr>
              <w:instrText xml:space="preserve"> PAGEREF _Toc220496598 \h </w:instrText>
            </w:r>
            <w:r>
              <w:rPr>
                <w:noProof/>
                <w:webHidden/>
              </w:rPr>
            </w:r>
            <w:r>
              <w:rPr>
                <w:noProof/>
                <w:webHidden/>
              </w:rPr>
              <w:fldChar w:fldCharType="separate"/>
            </w:r>
            <w:r>
              <w:rPr>
                <w:noProof/>
                <w:webHidden/>
              </w:rPr>
              <w:t>910</w:t>
            </w:r>
            <w:r>
              <w:rPr>
                <w:noProof/>
                <w:webHidden/>
              </w:rPr>
              <w:fldChar w:fldCharType="end"/>
            </w:r>
          </w:hyperlink>
        </w:p>
        <w:p w14:paraId="060DF5BC" w14:textId="7F9476E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599" w:history="1">
            <w:r w:rsidRPr="00F45DCA">
              <w:rPr>
                <w:rStyle w:val="Lienhypertexte"/>
                <w:noProof/>
              </w:rPr>
              <w:t>24.13.6b Poutres et barres en LSL à inertie variable CCTB 01.11</w:t>
            </w:r>
            <w:r>
              <w:rPr>
                <w:noProof/>
                <w:webHidden/>
              </w:rPr>
              <w:tab/>
            </w:r>
            <w:r>
              <w:rPr>
                <w:noProof/>
                <w:webHidden/>
              </w:rPr>
              <w:fldChar w:fldCharType="begin"/>
            </w:r>
            <w:r>
              <w:rPr>
                <w:noProof/>
                <w:webHidden/>
              </w:rPr>
              <w:instrText xml:space="preserve"> PAGEREF _Toc220496599 \h </w:instrText>
            </w:r>
            <w:r>
              <w:rPr>
                <w:noProof/>
                <w:webHidden/>
              </w:rPr>
            </w:r>
            <w:r>
              <w:rPr>
                <w:noProof/>
                <w:webHidden/>
              </w:rPr>
              <w:fldChar w:fldCharType="separate"/>
            </w:r>
            <w:r>
              <w:rPr>
                <w:noProof/>
                <w:webHidden/>
              </w:rPr>
              <w:t>911</w:t>
            </w:r>
            <w:r>
              <w:rPr>
                <w:noProof/>
                <w:webHidden/>
              </w:rPr>
              <w:fldChar w:fldCharType="end"/>
            </w:r>
          </w:hyperlink>
        </w:p>
        <w:p w14:paraId="6098DD40" w14:textId="6069019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00" w:history="1">
            <w:r w:rsidRPr="00F45DCA">
              <w:rPr>
                <w:rStyle w:val="Lienhypertexte"/>
                <w:noProof/>
              </w:rPr>
              <w:t>24.13.7 Poutres et barres en PSL CCTB 01.07</w:t>
            </w:r>
            <w:r>
              <w:rPr>
                <w:noProof/>
                <w:webHidden/>
              </w:rPr>
              <w:tab/>
            </w:r>
            <w:r>
              <w:rPr>
                <w:noProof/>
                <w:webHidden/>
              </w:rPr>
              <w:fldChar w:fldCharType="begin"/>
            </w:r>
            <w:r>
              <w:rPr>
                <w:noProof/>
                <w:webHidden/>
              </w:rPr>
              <w:instrText xml:space="preserve"> PAGEREF _Toc220496600 \h </w:instrText>
            </w:r>
            <w:r>
              <w:rPr>
                <w:noProof/>
                <w:webHidden/>
              </w:rPr>
            </w:r>
            <w:r>
              <w:rPr>
                <w:noProof/>
                <w:webHidden/>
              </w:rPr>
              <w:fldChar w:fldCharType="separate"/>
            </w:r>
            <w:r>
              <w:rPr>
                <w:noProof/>
                <w:webHidden/>
              </w:rPr>
              <w:t>913</w:t>
            </w:r>
            <w:r>
              <w:rPr>
                <w:noProof/>
                <w:webHidden/>
              </w:rPr>
              <w:fldChar w:fldCharType="end"/>
            </w:r>
          </w:hyperlink>
        </w:p>
        <w:p w14:paraId="636CC3AE" w14:textId="2FA3B8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01" w:history="1">
            <w:r w:rsidRPr="00F45DCA">
              <w:rPr>
                <w:rStyle w:val="Lienhypertexte"/>
                <w:noProof/>
              </w:rPr>
              <w:t>24.13.7a Poutres et barres en PSL à inertie constante CCTB 01.11</w:t>
            </w:r>
            <w:r>
              <w:rPr>
                <w:noProof/>
                <w:webHidden/>
              </w:rPr>
              <w:tab/>
            </w:r>
            <w:r>
              <w:rPr>
                <w:noProof/>
                <w:webHidden/>
              </w:rPr>
              <w:fldChar w:fldCharType="begin"/>
            </w:r>
            <w:r>
              <w:rPr>
                <w:noProof/>
                <w:webHidden/>
              </w:rPr>
              <w:instrText xml:space="preserve"> PAGEREF _Toc220496601 \h </w:instrText>
            </w:r>
            <w:r>
              <w:rPr>
                <w:noProof/>
                <w:webHidden/>
              </w:rPr>
            </w:r>
            <w:r>
              <w:rPr>
                <w:noProof/>
                <w:webHidden/>
              </w:rPr>
              <w:fldChar w:fldCharType="separate"/>
            </w:r>
            <w:r>
              <w:rPr>
                <w:noProof/>
                <w:webHidden/>
              </w:rPr>
              <w:t>913</w:t>
            </w:r>
            <w:r>
              <w:rPr>
                <w:noProof/>
                <w:webHidden/>
              </w:rPr>
              <w:fldChar w:fldCharType="end"/>
            </w:r>
          </w:hyperlink>
        </w:p>
        <w:p w14:paraId="5E9BC579" w14:textId="0C05516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02" w:history="1">
            <w:r w:rsidRPr="00F45DCA">
              <w:rPr>
                <w:rStyle w:val="Lienhypertexte"/>
                <w:noProof/>
              </w:rPr>
              <w:t>24.13.7b Poutres et barres en PSL à inertie variable CCTB 01.11</w:t>
            </w:r>
            <w:r>
              <w:rPr>
                <w:noProof/>
                <w:webHidden/>
              </w:rPr>
              <w:tab/>
            </w:r>
            <w:r>
              <w:rPr>
                <w:noProof/>
                <w:webHidden/>
              </w:rPr>
              <w:fldChar w:fldCharType="begin"/>
            </w:r>
            <w:r>
              <w:rPr>
                <w:noProof/>
                <w:webHidden/>
              </w:rPr>
              <w:instrText xml:space="preserve"> PAGEREF _Toc220496602 \h </w:instrText>
            </w:r>
            <w:r>
              <w:rPr>
                <w:noProof/>
                <w:webHidden/>
              </w:rPr>
            </w:r>
            <w:r>
              <w:rPr>
                <w:noProof/>
                <w:webHidden/>
              </w:rPr>
              <w:fldChar w:fldCharType="separate"/>
            </w:r>
            <w:r>
              <w:rPr>
                <w:noProof/>
                <w:webHidden/>
              </w:rPr>
              <w:t>915</w:t>
            </w:r>
            <w:r>
              <w:rPr>
                <w:noProof/>
                <w:webHidden/>
              </w:rPr>
              <w:fldChar w:fldCharType="end"/>
            </w:r>
          </w:hyperlink>
        </w:p>
        <w:p w14:paraId="18F395F1" w14:textId="027DA34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03" w:history="1">
            <w:r w:rsidRPr="00F45DCA">
              <w:rPr>
                <w:rStyle w:val="Lienhypertexte"/>
                <w:noProof/>
              </w:rPr>
              <w:t>24.13.8 Poutres et barres faites de produits manufacturés en bois CCTB 01.07</w:t>
            </w:r>
            <w:r>
              <w:rPr>
                <w:noProof/>
                <w:webHidden/>
              </w:rPr>
              <w:tab/>
            </w:r>
            <w:r>
              <w:rPr>
                <w:noProof/>
                <w:webHidden/>
              </w:rPr>
              <w:fldChar w:fldCharType="begin"/>
            </w:r>
            <w:r>
              <w:rPr>
                <w:noProof/>
                <w:webHidden/>
              </w:rPr>
              <w:instrText xml:space="preserve"> PAGEREF _Toc220496603 \h </w:instrText>
            </w:r>
            <w:r>
              <w:rPr>
                <w:noProof/>
                <w:webHidden/>
              </w:rPr>
            </w:r>
            <w:r>
              <w:rPr>
                <w:noProof/>
                <w:webHidden/>
              </w:rPr>
              <w:fldChar w:fldCharType="separate"/>
            </w:r>
            <w:r>
              <w:rPr>
                <w:noProof/>
                <w:webHidden/>
              </w:rPr>
              <w:t>917</w:t>
            </w:r>
            <w:r>
              <w:rPr>
                <w:noProof/>
                <w:webHidden/>
              </w:rPr>
              <w:fldChar w:fldCharType="end"/>
            </w:r>
          </w:hyperlink>
        </w:p>
        <w:p w14:paraId="53CBF001" w14:textId="16E5AF7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04" w:history="1">
            <w:r w:rsidRPr="00F45DCA">
              <w:rPr>
                <w:rStyle w:val="Lienhypertexte"/>
                <w:noProof/>
              </w:rPr>
              <w:t>24.13.8a Poutres et barres faites de profilés en I à âme en bois CCTB 01.07</w:t>
            </w:r>
            <w:r>
              <w:rPr>
                <w:noProof/>
                <w:webHidden/>
              </w:rPr>
              <w:tab/>
            </w:r>
            <w:r>
              <w:rPr>
                <w:noProof/>
                <w:webHidden/>
              </w:rPr>
              <w:fldChar w:fldCharType="begin"/>
            </w:r>
            <w:r>
              <w:rPr>
                <w:noProof/>
                <w:webHidden/>
              </w:rPr>
              <w:instrText xml:space="preserve"> PAGEREF _Toc220496604 \h </w:instrText>
            </w:r>
            <w:r>
              <w:rPr>
                <w:noProof/>
                <w:webHidden/>
              </w:rPr>
            </w:r>
            <w:r>
              <w:rPr>
                <w:noProof/>
                <w:webHidden/>
              </w:rPr>
              <w:fldChar w:fldCharType="separate"/>
            </w:r>
            <w:r>
              <w:rPr>
                <w:noProof/>
                <w:webHidden/>
              </w:rPr>
              <w:t>917</w:t>
            </w:r>
            <w:r>
              <w:rPr>
                <w:noProof/>
                <w:webHidden/>
              </w:rPr>
              <w:fldChar w:fldCharType="end"/>
            </w:r>
          </w:hyperlink>
        </w:p>
        <w:p w14:paraId="51C32BB5" w14:textId="20D81CC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05" w:history="1">
            <w:r w:rsidRPr="00F45DCA">
              <w:rPr>
                <w:rStyle w:val="Lienhypertexte"/>
                <w:noProof/>
              </w:rPr>
              <w:t>24.13.8b Poutres et barres faites de profilés en I à âmes en métal CCTB 01.07</w:t>
            </w:r>
            <w:r>
              <w:rPr>
                <w:noProof/>
                <w:webHidden/>
              </w:rPr>
              <w:tab/>
            </w:r>
            <w:r>
              <w:rPr>
                <w:noProof/>
                <w:webHidden/>
              </w:rPr>
              <w:fldChar w:fldCharType="begin"/>
            </w:r>
            <w:r>
              <w:rPr>
                <w:noProof/>
                <w:webHidden/>
              </w:rPr>
              <w:instrText xml:space="preserve"> PAGEREF _Toc220496605 \h </w:instrText>
            </w:r>
            <w:r>
              <w:rPr>
                <w:noProof/>
                <w:webHidden/>
              </w:rPr>
            </w:r>
            <w:r>
              <w:rPr>
                <w:noProof/>
                <w:webHidden/>
              </w:rPr>
              <w:fldChar w:fldCharType="separate"/>
            </w:r>
            <w:r>
              <w:rPr>
                <w:noProof/>
                <w:webHidden/>
              </w:rPr>
              <w:t>918</w:t>
            </w:r>
            <w:r>
              <w:rPr>
                <w:noProof/>
                <w:webHidden/>
              </w:rPr>
              <w:fldChar w:fldCharType="end"/>
            </w:r>
          </w:hyperlink>
        </w:p>
        <w:p w14:paraId="47709452" w14:textId="1997082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06" w:history="1">
            <w:r w:rsidRPr="00F45DCA">
              <w:rPr>
                <w:rStyle w:val="Lienhypertexte"/>
                <w:noProof/>
              </w:rPr>
              <w:t>24.13.8c Poutres et barres faites de profilés en treillis à diagonales en bois CCTB 01.07</w:t>
            </w:r>
            <w:r>
              <w:rPr>
                <w:noProof/>
                <w:webHidden/>
              </w:rPr>
              <w:tab/>
            </w:r>
            <w:r>
              <w:rPr>
                <w:noProof/>
                <w:webHidden/>
              </w:rPr>
              <w:fldChar w:fldCharType="begin"/>
            </w:r>
            <w:r>
              <w:rPr>
                <w:noProof/>
                <w:webHidden/>
              </w:rPr>
              <w:instrText xml:space="preserve"> PAGEREF _Toc220496606 \h </w:instrText>
            </w:r>
            <w:r>
              <w:rPr>
                <w:noProof/>
                <w:webHidden/>
              </w:rPr>
            </w:r>
            <w:r>
              <w:rPr>
                <w:noProof/>
                <w:webHidden/>
              </w:rPr>
              <w:fldChar w:fldCharType="separate"/>
            </w:r>
            <w:r>
              <w:rPr>
                <w:noProof/>
                <w:webHidden/>
              </w:rPr>
              <w:t>918</w:t>
            </w:r>
            <w:r>
              <w:rPr>
                <w:noProof/>
                <w:webHidden/>
              </w:rPr>
              <w:fldChar w:fldCharType="end"/>
            </w:r>
          </w:hyperlink>
        </w:p>
        <w:p w14:paraId="44F6F843" w14:textId="739437A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07" w:history="1">
            <w:r w:rsidRPr="00F45DCA">
              <w:rPr>
                <w:rStyle w:val="Lienhypertexte"/>
                <w:noProof/>
              </w:rPr>
              <w:t>24.13.8d Poutres et barres faites de profilés en treillis à diagonales métalliques CCTB 01.07</w:t>
            </w:r>
            <w:r>
              <w:rPr>
                <w:noProof/>
                <w:webHidden/>
              </w:rPr>
              <w:tab/>
            </w:r>
            <w:r>
              <w:rPr>
                <w:noProof/>
                <w:webHidden/>
              </w:rPr>
              <w:fldChar w:fldCharType="begin"/>
            </w:r>
            <w:r>
              <w:rPr>
                <w:noProof/>
                <w:webHidden/>
              </w:rPr>
              <w:instrText xml:space="preserve"> PAGEREF _Toc220496607 \h </w:instrText>
            </w:r>
            <w:r>
              <w:rPr>
                <w:noProof/>
                <w:webHidden/>
              </w:rPr>
            </w:r>
            <w:r>
              <w:rPr>
                <w:noProof/>
                <w:webHidden/>
              </w:rPr>
              <w:fldChar w:fldCharType="separate"/>
            </w:r>
            <w:r>
              <w:rPr>
                <w:noProof/>
                <w:webHidden/>
              </w:rPr>
              <w:t>919</w:t>
            </w:r>
            <w:r>
              <w:rPr>
                <w:noProof/>
                <w:webHidden/>
              </w:rPr>
              <w:fldChar w:fldCharType="end"/>
            </w:r>
          </w:hyperlink>
        </w:p>
        <w:p w14:paraId="519F0073" w14:textId="3942950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08" w:history="1">
            <w:r w:rsidRPr="00F45DCA">
              <w:rPr>
                <w:rStyle w:val="Lienhypertexte"/>
                <w:noProof/>
              </w:rPr>
              <w:t>24.14 Planchers en bois CCTB 01.11</w:t>
            </w:r>
            <w:r>
              <w:rPr>
                <w:noProof/>
                <w:webHidden/>
              </w:rPr>
              <w:tab/>
            </w:r>
            <w:r>
              <w:rPr>
                <w:noProof/>
                <w:webHidden/>
              </w:rPr>
              <w:fldChar w:fldCharType="begin"/>
            </w:r>
            <w:r>
              <w:rPr>
                <w:noProof/>
                <w:webHidden/>
              </w:rPr>
              <w:instrText xml:space="preserve"> PAGEREF _Toc220496608 \h </w:instrText>
            </w:r>
            <w:r>
              <w:rPr>
                <w:noProof/>
                <w:webHidden/>
              </w:rPr>
            </w:r>
            <w:r>
              <w:rPr>
                <w:noProof/>
                <w:webHidden/>
              </w:rPr>
              <w:fldChar w:fldCharType="separate"/>
            </w:r>
            <w:r>
              <w:rPr>
                <w:noProof/>
                <w:webHidden/>
              </w:rPr>
              <w:t>920</w:t>
            </w:r>
            <w:r>
              <w:rPr>
                <w:noProof/>
                <w:webHidden/>
              </w:rPr>
              <w:fldChar w:fldCharType="end"/>
            </w:r>
          </w:hyperlink>
        </w:p>
        <w:p w14:paraId="5BE11B03" w14:textId="551610B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09" w:history="1">
            <w:r w:rsidRPr="00F45DCA">
              <w:rPr>
                <w:rStyle w:val="Lienhypertexte"/>
                <w:noProof/>
              </w:rPr>
              <w:t>24.14.1 Planchers en CLT CCTB 01.11</w:t>
            </w:r>
            <w:r>
              <w:rPr>
                <w:noProof/>
                <w:webHidden/>
              </w:rPr>
              <w:tab/>
            </w:r>
            <w:r>
              <w:rPr>
                <w:noProof/>
                <w:webHidden/>
              </w:rPr>
              <w:fldChar w:fldCharType="begin"/>
            </w:r>
            <w:r>
              <w:rPr>
                <w:noProof/>
                <w:webHidden/>
              </w:rPr>
              <w:instrText xml:space="preserve"> PAGEREF _Toc220496609 \h </w:instrText>
            </w:r>
            <w:r>
              <w:rPr>
                <w:noProof/>
                <w:webHidden/>
              </w:rPr>
            </w:r>
            <w:r>
              <w:rPr>
                <w:noProof/>
                <w:webHidden/>
              </w:rPr>
              <w:fldChar w:fldCharType="separate"/>
            </w:r>
            <w:r>
              <w:rPr>
                <w:noProof/>
                <w:webHidden/>
              </w:rPr>
              <w:t>921</w:t>
            </w:r>
            <w:r>
              <w:rPr>
                <w:noProof/>
                <w:webHidden/>
              </w:rPr>
              <w:fldChar w:fldCharType="end"/>
            </w:r>
          </w:hyperlink>
        </w:p>
        <w:p w14:paraId="65D616C2" w14:textId="5D20D47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10" w:history="1">
            <w:r w:rsidRPr="00F45DCA">
              <w:rPr>
                <w:rStyle w:val="Lienhypertexte"/>
                <w:noProof/>
              </w:rPr>
              <w:t>24.14.1a Planchers massifs en CLT collés CCTB 01.11</w:t>
            </w:r>
            <w:r>
              <w:rPr>
                <w:noProof/>
                <w:webHidden/>
              </w:rPr>
              <w:tab/>
            </w:r>
            <w:r>
              <w:rPr>
                <w:noProof/>
                <w:webHidden/>
              </w:rPr>
              <w:fldChar w:fldCharType="begin"/>
            </w:r>
            <w:r>
              <w:rPr>
                <w:noProof/>
                <w:webHidden/>
              </w:rPr>
              <w:instrText xml:space="preserve"> PAGEREF _Toc220496610 \h </w:instrText>
            </w:r>
            <w:r>
              <w:rPr>
                <w:noProof/>
                <w:webHidden/>
              </w:rPr>
            </w:r>
            <w:r>
              <w:rPr>
                <w:noProof/>
                <w:webHidden/>
              </w:rPr>
              <w:fldChar w:fldCharType="separate"/>
            </w:r>
            <w:r>
              <w:rPr>
                <w:noProof/>
                <w:webHidden/>
              </w:rPr>
              <w:t>925</w:t>
            </w:r>
            <w:r>
              <w:rPr>
                <w:noProof/>
                <w:webHidden/>
              </w:rPr>
              <w:fldChar w:fldCharType="end"/>
            </w:r>
          </w:hyperlink>
        </w:p>
        <w:p w14:paraId="6133F40E" w14:textId="69232B2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11" w:history="1">
            <w:r w:rsidRPr="00F45DCA">
              <w:rPr>
                <w:rStyle w:val="Lienhypertexte"/>
                <w:noProof/>
              </w:rPr>
              <w:t>24.14.1b Planchers massifs en CLT cloués collés CCTB 01.11</w:t>
            </w:r>
            <w:r>
              <w:rPr>
                <w:noProof/>
                <w:webHidden/>
              </w:rPr>
              <w:tab/>
            </w:r>
            <w:r>
              <w:rPr>
                <w:noProof/>
                <w:webHidden/>
              </w:rPr>
              <w:fldChar w:fldCharType="begin"/>
            </w:r>
            <w:r>
              <w:rPr>
                <w:noProof/>
                <w:webHidden/>
              </w:rPr>
              <w:instrText xml:space="preserve"> PAGEREF _Toc220496611 \h </w:instrText>
            </w:r>
            <w:r>
              <w:rPr>
                <w:noProof/>
                <w:webHidden/>
              </w:rPr>
            </w:r>
            <w:r>
              <w:rPr>
                <w:noProof/>
                <w:webHidden/>
              </w:rPr>
              <w:fldChar w:fldCharType="separate"/>
            </w:r>
            <w:r>
              <w:rPr>
                <w:noProof/>
                <w:webHidden/>
              </w:rPr>
              <w:t>928</w:t>
            </w:r>
            <w:r>
              <w:rPr>
                <w:noProof/>
                <w:webHidden/>
              </w:rPr>
              <w:fldChar w:fldCharType="end"/>
            </w:r>
          </w:hyperlink>
        </w:p>
        <w:p w14:paraId="2126A64A" w14:textId="776DA0E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12" w:history="1">
            <w:r w:rsidRPr="00F45DCA">
              <w:rPr>
                <w:rStyle w:val="Lienhypertexte"/>
                <w:noProof/>
              </w:rPr>
              <w:t>24.14.1c Planchers massifs en CLT chevillés CCTB 01.11</w:t>
            </w:r>
            <w:r>
              <w:rPr>
                <w:noProof/>
                <w:webHidden/>
              </w:rPr>
              <w:tab/>
            </w:r>
            <w:r>
              <w:rPr>
                <w:noProof/>
                <w:webHidden/>
              </w:rPr>
              <w:fldChar w:fldCharType="begin"/>
            </w:r>
            <w:r>
              <w:rPr>
                <w:noProof/>
                <w:webHidden/>
              </w:rPr>
              <w:instrText xml:space="preserve"> PAGEREF _Toc220496612 \h </w:instrText>
            </w:r>
            <w:r>
              <w:rPr>
                <w:noProof/>
                <w:webHidden/>
              </w:rPr>
            </w:r>
            <w:r>
              <w:rPr>
                <w:noProof/>
                <w:webHidden/>
              </w:rPr>
              <w:fldChar w:fldCharType="separate"/>
            </w:r>
            <w:r>
              <w:rPr>
                <w:noProof/>
                <w:webHidden/>
              </w:rPr>
              <w:t>932</w:t>
            </w:r>
            <w:r>
              <w:rPr>
                <w:noProof/>
                <w:webHidden/>
              </w:rPr>
              <w:fldChar w:fldCharType="end"/>
            </w:r>
          </w:hyperlink>
        </w:p>
        <w:p w14:paraId="62C61942" w14:textId="5007FF9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13" w:history="1">
            <w:r w:rsidRPr="00F45DCA">
              <w:rPr>
                <w:rStyle w:val="Lienhypertexte"/>
                <w:noProof/>
              </w:rPr>
              <w:t>24.14.2 Planchers en LVL CCTB 01.10</w:t>
            </w:r>
            <w:r>
              <w:rPr>
                <w:noProof/>
                <w:webHidden/>
              </w:rPr>
              <w:tab/>
            </w:r>
            <w:r>
              <w:rPr>
                <w:noProof/>
                <w:webHidden/>
              </w:rPr>
              <w:fldChar w:fldCharType="begin"/>
            </w:r>
            <w:r>
              <w:rPr>
                <w:noProof/>
                <w:webHidden/>
              </w:rPr>
              <w:instrText xml:space="preserve"> PAGEREF _Toc220496613 \h </w:instrText>
            </w:r>
            <w:r>
              <w:rPr>
                <w:noProof/>
                <w:webHidden/>
              </w:rPr>
            </w:r>
            <w:r>
              <w:rPr>
                <w:noProof/>
                <w:webHidden/>
              </w:rPr>
              <w:fldChar w:fldCharType="separate"/>
            </w:r>
            <w:r>
              <w:rPr>
                <w:noProof/>
                <w:webHidden/>
              </w:rPr>
              <w:t>935</w:t>
            </w:r>
            <w:r>
              <w:rPr>
                <w:noProof/>
                <w:webHidden/>
              </w:rPr>
              <w:fldChar w:fldCharType="end"/>
            </w:r>
          </w:hyperlink>
        </w:p>
        <w:p w14:paraId="64C3D18A" w14:textId="42C0BEF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14" w:history="1">
            <w:r w:rsidRPr="00F45DCA">
              <w:rPr>
                <w:rStyle w:val="Lienhypertexte"/>
                <w:noProof/>
              </w:rPr>
              <w:t>24.14.2a Planchers en LVL CCTB 01.11</w:t>
            </w:r>
            <w:r>
              <w:rPr>
                <w:noProof/>
                <w:webHidden/>
              </w:rPr>
              <w:tab/>
            </w:r>
            <w:r>
              <w:rPr>
                <w:noProof/>
                <w:webHidden/>
              </w:rPr>
              <w:fldChar w:fldCharType="begin"/>
            </w:r>
            <w:r>
              <w:rPr>
                <w:noProof/>
                <w:webHidden/>
              </w:rPr>
              <w:instrText xml:space="preserve"> PAGEREF _Toc220496614 \h </w:instrText>
            </w:r>
            <w:r>
              <w:rPr>
                <w:noProof/>
                <w:webHidden/>
              </w:rPr>
            </w:r>
            <w:r>
              <w:rPr>
                <w:noProof/>
                <w:webHidden/>
              </w:rPr>
              <w:fldChar w:fldCharType="separate"/>
            </w:r>
            <w:r>
              <w:rPr>
                <w:noProof/>
                <w:webHidden/>
              </w:rPr>
              <w:t>935</w:t>
            </w:r>
            <w:r>
              <w:rPr>
                <w:noProof/>
                <w:webHidden/>
              </w:rPr>
              <w:fldChar w:fldCharType="end"/>
            </w:r>
          </w:hyperlink>
        </w:p>
        <w:p w14:paraId="474A8FCC" w14:textId="6220B3B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15" w:history="1">
            <w:r w:rsidRPr="00F45DCA">
              <w:rPr>
                <w:rStyle w:val="Lienhypertexte"/>
                <w:noProof/>
              </w:rPr>
              <w:t>24.15 Voiles en bois CCTB 01.11</w:t>
            </w:r>
            <w:r>
              <w:rPr>
                <w:noProof/>
                <w:webHidden/>
              </w:rPr>
              <w:tab/>
            </w:r>
            <w:r>
              <w:rPr>
                <w:noProof/>
                <w:webHidden/>
              </w:rPr>
              <w:fldChar w:fldCharType="begin"/>
            </w:r>
            <w:r>
              <w:rPr>
                <w:noProof/>
                <w:webHidden/>
              </w:rPr>
              <w:instrText xml:space="preserve"> PAGEREF _Toc220496615 \h </w:instrText>
            </w:r>
            <w:r>
              <w:rPr>
                <w:noProof/>
                <w:webHidden/>
              </w:rPr>
            </w:r>
            <w:r>
              <w:rPr>
                <w:noProof/>
                <w:webHidden/>
              </w:rPr>
              <w:fldChar w:fldCharType="separate"/>
            </w:r>
            <w:r>
              <w:rPr>
                <w:noProof/>
                <w:webHidden/>
              </w:rPr>
              <w:t>936</w:t>
            </w:r>
            <w:r>
              <w:rPr>
                <w:noProof/>
                <w:webHidden/>
              </w:rPr>
              <w:fldChar w:fldCharType="end"/>
            </w:r>
          </w:hyperlink>
        </w:p>
        <w:p w14:paraId="127B57D5" w14:textId="27A2F42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16" w:history="1">
            <w:r w:rsidRPr="00F45DCA">
              <w:rPr>
                <w:rStyle w:val="Lienhypertexte"/>
                <w:noProof/>
              </w:rPr>
              <w:t>24.15.1 Voiles en CLT CCTB 01.11</w:t>
            </w:r>
            <w:r>
              <w:rPr>
                <w:noProof/>
                <w:webHidden/>
              </w:rPr>
              <w:tab/>
            </w:r>
            <w:r>
              <w:rPr>
                <w:noProof/>
                <w:webHidden/>
              </w:rPr>
              <w:fldChar w:fldCharType="begin"/>
            </w:r>
            <w:r>
              <w:rPr>
                <w:noProof/>
                <w:webHidden/>
              </w:rPr>
              <w:instrText xml:space="preserve"> PAGEREF _Toc220496616 \h </w:instrText>
            </w:r>
            <w:r>
              <w:rPr>
                <w:noProof/>
                <w:webHidden/>
              </w:rPr>
            </w:r>
            <w:r>
              <w:rPr>
                <w:noProof/>
                <w:webHidden/>
              </w:rPr>
              <w:fldChar w:fldCharType="separate"/>
            </w:r>
            <w:r>
              <w:rPr>
                <w:noProof/>
                <w:webHidden/>
              </w:rPr>
              <w:t>938</w:t>
            </w:r>
            <w:r>
              <w:rPr>
                <w:noProof/>
                <w:webHidden/>
              </w:rPr>
              <w:fldChar w:fldCharType="end"/>
            </w:r>
          </w:hyperlink>
        </w:p>
        <w:p w14:paraId="20E54E3D" w14:textId="3E9BF8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17" w:history="1">
            <w:r w:rsidRPr="00F45DCA">
              <w:rPr>
                <w:rStyle w:val="Lienhypertexte"/>
                <w:noProof/>
              </w:rPr>
              <w:t>24.15.1a Voiles massifs en CLT collés CCTB 01.11</w:t>
            </w:r>
            <w:r>
              <w:rPr>
                <w:noProof/>
                <w:webHidden/>
              </w:rPr>
              <w:tab/>
            </w:r>
            <w:r>
              <w:rPr>
                <w:noProof/>
                <w:webHidden/>
              </w:rPr>
              <w:fldChar w:fldCharType="begin"/>
            </w:r>
            <w:r>
              <w:rPr>
                <w:noProof/>
                <w:webHidden/>
              </w:rPr>
              <w:instrText xml:space="preserve"> PAGEREF _Toc220496617 \h </w:instrText>
            </w:r>
            <w:r>
              <w:rPr>
                <w:noProof/>
                <w:webHidden/>
              </w:rPr>
            </w:r>
            <w:r>
              <w:rPr>
                <w:noProof/>
                <w:webHidden/>
              </w:rPr>
              <w:fldChar w:fldCharType="separate"/>
            </w:r>
            <w:r>
              <w:rPr>
                <w:noProof/>
                <w:webHidden/>
              </w:rPr>
              <w:t>942</w:t>
            </w:r>
            <w:r>
              <w:rPr>
                <w:noProof/>
                <w:webHidden/>
              </w:rPr>
              <w:fldChar w:fldCharType="end"/>
            </w:r>
          </w:hyperlink>
        </w:p>
        <w:p w14:paraId="17F7350E" w14:textId="110D5B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18" w:history="1">
            <w:r w:rsidRPr="00F45DCA">
              <w:rPr>
                <w:rStyle w:val="Lienhypertexte"/>
                <w:noProof/>
              </w:rPr>
              <w:t>24.15.1b Voiles massifs en CLT cloués CCTB 01.12</w:t>
            </w:r>
            <w:r>
              <w:rPr>
                <w:noProof/>
                <w:webHidden/>
              </w:rPr>
              <w:tab/>
            </w:r>
            <w:r>
              <w:rPr>
                <w:noProof/>
                <w:webHidden/>
              </w:rPr>
              <w:fldChar w:fldCharType="begin"/>
            </w:r>
            <w:r>
              <w:rPr>
                <w:noProof/>
                <w:webHidden/>
              </w:rPr>
              <w:instrText xml:space="preserve"> PAGEREF _Toc220496618 \h </w:instrText>
            </w:r>
            <w:r>
              <w:rPr>
                <w:noProof/>
                <w:webHidden/>
              </w:rPr>
            </w:r>
            <w:r>
              <w:rPr>
                <w:noProof/>
                <w:webHidden/>
              </w:rPr>
              <w:fldChar w:fldCharType="separate"/>
            </w:r>
            <w:r>
              <w:rPr>
                <w:noProof/>
                <w:webHidden/>
              </w:rPr>
              <w:t>946</w:t>
            </w:r>
            <w:r>
              <w:rPr>
                <w:noProof/>
                <w:webHidden/>
              </w:rPr>
              <w:fldChar w:fldCharType="end"/>
            </w:r>
          </w:hyperlink>
        </w:p>
        <w:p w14:paraId="01BB2B16" w14:textId="5C3A038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19" w:history="1">
            <w:r w:rsidRPr="00F45DCA">
              <w:rPr>
                <w:rStyle w:val="Lienhypertexte"/>
                <w:noProof/>
              </w:rPr>
              <w:t>24.15.1c Voiles massifs en CLT cloués collés CCTB 01.11</w:t>
            </w:r>
            <w:r>
              <w:rPr>
                <w:noProof/>
                <w:webHidden/>
              </w:rPr>
              <w:tab/>
            </w:r>
            <w:r>
              <w:rPr>
                <w:noProof/>
                <w:webHidden/>
              </w:rPr>
              <w:fldChar w:fldCharType="begin"/>
            </w:r>
            <w:r>
              <w:rPr>
                <w:noProof/>
                <w:webHidden/>
              </w:rPr>
              <w:instrText xml:space="preserve"> PAGEREF _Toc220496619 \h </w:instrText>
            </w:r>
            <w:r>
              <w:rPr>
                <w:noProof/>
                <w:webHidden/>
              </w:rPr>
            </w:r>
            <w:r>
              <w:rPr>
                <w:noProof/>
                <w:webHidden/>
              </w:rPr>
              <w:fldChar w:fldCharType="separate"/>
            </w:r>
            <w:r>
              <w:rPr>
                <w:noProof/>
                <w:webHidden/>
              </w:rPr>
              <w:t>949</w:t>
            </w:r>
            <w:r>
              <w:rPr>
                <w:noProof/>
                <w:webHidden/>
              </w:rPr>
              <w:fldChar w:fldCharType="end"/>
            </w:r>
          </w:hyperlink>
        </w:p>
        <w:p w14:paraId="0470AC09" w14:textId="68BDC4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20" w:history="1">
            <w:r w:rsidRPr="00F45DCA">
              <w:rPr>
                <w:rStyle w:val="Lienhypertexte"/>
                <w:noProof/>
              </w:rPr>
              <w:t>24.15.1d Voiles massifs en CLT chevillés CCTB 01.12</w:t>
            </w:r>
            <w:r>
              <w:rPr>
                <w:noProof/>
                <w:webHidden/>
              </w:rPr>
              <w:tab/>
            </w:r>
            <w:r>
              <w:rPr>
                <w:noProof/>
                <w:webHidden/>
              </w:rPr>
              <w:fldChar w:fldCharType="begin"/>
            </w:r>
            <w:r>
              <w:rPr>
                <w:noProof/>
                <w:webHidden/>
              </w:rPr>
              <w:instrText xml:space="preserve"> PAGEREF _Toc220496620 \h </w:instrText>
            </w:r>
            <w:r>
              <w:rPr>
                <w:noProof/>
                <w:webHidden/>
              </w:rPr>
            </w:r>
            <w:r>
              <w:rPr>
                <w:noProof/>
                <w:webHidden/>
              </w:rPr>
              <w:fldChar w:fldCharType="separate"/>
            </w:r>
            <w:r>
              <w:rPr>
                <w:noProof/>
                <w:webHidden/>
              </w:rPr>
              <w:t>952</w:t>
            </w:r>
            <w:r>
              <w:rPr>
                <w:noProof/>
                <w:webHidden/>
              </w:rPr>
              <w:fldChar w:fldCharType="end"/>
            </w:r>
          </w:hyperlink>
        </w:p>
        <w:p w14:paraId="71847BDB" w14:textId="052BE27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21" w:history="1">
            <w:r w:rsidRPr="00F45DCA">
              <w:rPr>
                <w:rStyle w:val="Lienhypertexte"/>
                <w:noProof/>
              </w:rPr>
              <w:t>24.15.2 Voiles en LVL CCTB 01.10</w:t>
            </w:r>
            <w:r>
              <w:rPr>
                <w:noProof/>
                <w:webHidden/>
              </w:rPr>
              <w:tab/>
            </w:r>
            <w:r>
              <w:rPr>
                <w:noProof/>
                <w:webHidden/>
              </w:rPr>
              <w:fldChar w:fldCharType="begin"/>
            </w:r>
            <w:r>
              <w:rPr>
                <w:noProof/>
                <w:webHidden/>
              </w:rPr>
              <w:instrText xml:space="preserve"> PAGEREF _Toc220496621 \h </w:instrText>
            </w:r>
            <w:r>
              <w:rPr>
                <w:noProof/>
                <w:webHidden/>
              </w:rPr>
            </w:r>
            <w:r>
              <w:rPr>
                <w:noProof/>
                <w:webHidden/>
              </w:rPr>
              <w:fldChar w:fldCharType="separate"/>
            </w:r>
            <w:r>
              <w:rPr>
                <w:noProof/>
                <w:webHidden/>
              </w:rPr>
              <w:t>956</w:t>
            </w:r>
            <w:r>
              <w:rPr>
                <w:noProof/>
                <w:webHidden/>
              </w:rPr>
              <w:fldChar w:fldCharType="end"/>
            </w:r>
          </w:hyperlink>
        </w:p>
        <w:p w14:paraId="0290864D" w14:textId="13EB46D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22" w:history="1">
            <w:r w:rsidRPr="00F45DCA">
              <w:rPr>
                <w:rStyle w:val="Lienhypertexte"/>
                <w:noProof/>
              </w:rPr>
              <w:t>24.15.2a Voiles en LVL CCTB 01.11</w:t>
            </w:r>
            <w:r>
              <w:rPr>
                <w:noProof/>
                <w:webHidden/>
              </w:rPr>
              <w:tab/>
            </w:r>
            <w:r>
              <w:rPr>
                <w:noProof/>
                <w:webHidden/>
              </w:rPr>
              <w:fldChar w:fldCharType="begin"/>
            </w:r>
            <w:r>
              <w:rPr>
                <w:noProof/>
                <w:webHidden/>
              </w:rPr>
              <w:instrText xml:space="preserve"> PAGEREF _Toc220496622 \h </w:instrText>
            </w:r>
            <w:r>
              <w:rPr>
                <w:noProof/>
                <w:webHidden/>
              </w:rPr>
            </w:r>
            <w:r>
              <w:rPr>
                <w:noProof/>
                <w:webHidden/>
              </w:rPr>
              <w:fldChar w:fldCharType="separate"/>
            </w:r>
            <w:r>
              <w:rPr>
                <w:noProof/>
                <w:webHidden/>
              </w:rPr>
              <w:t>956</w:t>
            </w:r>
            <w:r>
              <w:rPr>
                <w:noProof/>
                <w:webHidden/>
              </w:rPr>
              <w:fldChar w:fldCharType="end"/>
            </w:r>
          </w:hyperlink>
        </w:p>
        <w:p w14:paraId="7D7CE500" w14:textId="27E35A6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23" w:history="1">
            <w:r w:rsidRPr="00F45DCA">
              <w:rPr>
                <w:rStyle w:val="Lienhypertexte"/>
                <w:noProof/>
              </w:rPr>
              <w:t>24.16 Panneaux structuraux minces à base de bois CCTB 01.12</w:t>
            </w:r>
            <w:r>
              <w:rPr>
                <w:noProof/>
                <w:webHidden/>
              </w:rPr>
              <w:tab/>
            </w:r>
            <w:r>
              <w:rPr>
                <w:noProof/>
                <w:webHidden/>
              </w:rPr>
              <w:fldChar w:fldCharType="begin"/>
            </w:r>
            <w:r>
              <w:rPr>
                <w:noProof/>
                <w:webHidden/>
              </w:rPr>
              <w:instrText xml:space="preserve"> PAGEREF _Toc220496623 \h </w:instrText>
            </w:r>
            <w:r>
              <w:rPr>
                <w:noProof/>
                <w:webHidden/>
              </w:rPr>
            </w:r>
            <w:r>
              <w:rPr>
                <w:noProof/>
                <w:webHidden/>
              </w:rPr>
              <w:fldChar w:fldCharType="separate"/>
            </w:r>
            <w:r>
              <w:rPr>
                <w:noProof/>
                <w:webHidden/>
              </w:rPr>
              <w:t>957</w:t>
            </w:r>
            <w:r>
              <w:rPr>
                <w:noProof/>
                <w:webHidden/>
              </w:rPr>
              <w:fldChar w:fldCharType="end"/>
            </w:r>
          </w:hyperlink>
        </w:p>
        <w:p w14:paraId="3B6A3793" w14:textId="644CC94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24" w:history="1">
            <w:r w:rsidRPr="00F45DCA">
              <w:rPr>
                <w:rStyle w:val="Lienhypertexte"/>
                <w:noProof/>
              </w:rPr>
              <w:t>24.16.1 Panneaux structuraux minces à base de bois CCTB 01.07</w:t>
            </w:r>
            <w:r>
              <w:rPr>
                <w:noProof/>
                <w:webHidden/>
              </w:rPr>
              <w:tab/>
            </w:r>
            <w:r>
              <w:rPr>
                <w:noProof/>
                <w:webHidden/>
              </w:rPr>
              <w:fldChar w:fldCharType="begin"/>
            </w:r>
            <w:r>
              <w:rPr>
                <w:noProof/>
                <w:webHidden/>
              </w:rPr>
              <w:instrText xml:space="preserve"> PAGEREF _Toc220496624 \h </w:instrText>
            </w:r>
            <w:r>
              <w:rPr>
                <w:noProof/>
                <w:webHidden/>
              </w:rPr>
            </w:r>
            <w:r>
              <w:rPr>
                <w:noProof/>
                <w:webHidden/>
              </w:rPr>
              <w:fldChar w:fldCharType="separate"/>
            </w:r>
            <w:r>
              <w:rPr>
                <w:noProof/>
                <w:webHidden/>
              </w:rPr>
              <w:t>958</w:t>
            </w:r>
            <w:r>
              <w:rPr>
                <w:noProof/>
                <w:webHidden/>
              </w:rPr>
              <w:fldChar w:fldCharType="end"/>
            </w:r>
          </w:hyperlink>
        </w:p>
        <w:p w14:paraId="74E2D5A5" w14:textId="7324CD6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25" w:history="1">
            <w:r w:rsidRPr="00F45DCA">
              <w:rPr>
                <w:rStyle w:val="Lienhypertexte"/>
                <w:noProof/>
              </w:rPr>
              <w:t>24.16.1a Panneaux contreplaqués (PW) CCTB 01.11</w:t>
            </w:r>
            <w:r>
              <w:rPr>
                <w:noProof/>
                <w:webHidden/>
              </w:rPr>
              <w:tab/>
            </w:r>
            <w:r>
              <w:rPr>
                <w:noProof/>
                <w:webHidden/>
              </w:rPr>
              <w:fldChar w:fldCharType="begin"/>
            </w:r>
            <w:r>
              <w:rPr>
                <w:noProof/>
                <w:webHidden/>
              </w:rPr>
              <w:instrText xml:space="preserve"> PAGEREF _Toc220496625 \h </w:instrText>
            </w:r>
            <w:r>
              <w:rPr>
                <w:noProof/>
                <w:webHidden/>
              </w:rPr>
            </w:r>
            <w:r>
              <w:rPr>
                <w:noProof/>
                <w:webHidden/>
              </w:rPr>
              <w:fldChar w:fldCharType="separate"/>
            </w:r>
            <w:r>
              <w:rPr>
                <w:noProof/>
                <w:webHidden/>
              </w:rPr>
              <w:t>958</w:t>
            </w:r>
            <w:r>
              <w:rPr>
                <w:noProof/>
                <w:webHidden/>
              </w:rPr>
              <w:fldChar w:fldCharType="end"/>
            </w:r>
          </w:hyperlink>
        </w:p>
        <w:p w14:paraId="3D2B1394" w14:textId="2749F69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26" w:history="1">
            <w:r w:rsidRPr="00F45DCA">
              <w:rPr>
                <w:rStyle w:val="Lienhypertexte"/>
                <w:noProof/>
              </w:rPr>
              <w:t>24.16.1b Panneaux OSB CCTB 01.11</w:t>
            </w:r>
            <w:r>
              <w:rPr>
                <w:noProof/>
                <w:webHidden/>
              </w:rPr>
              <w:tab/>
            </w:r>
            <w:r>
              <w:rPr>
                <w:noProof/>
                <w:webHidden/>
              </w:rPr>
              <w:fldChar w:fldCharType="begin"/>
            </w:r>
            <w:r>
              <w:rPr>
                <w:noProof/>
                <w:webHidden/>
              </w:rPr>
              <w:instrText xml:space="preserve"> PAGEREF _Toc220496626 \h </w:instrText>
            </w:r>
            <w:r>
              <w:rPr>
                <w:noProof/>
                <w:webHidden/>
              </w:rPr>
            </w:r>
            <w:r>
              <w:rPr>
                <w:noProof/>
                <w:webHidden/>
              </w:rPr>
              <w:fldChar w:fldCharType="separate"/>
            </w:r>
            <w:r>
              <w:rPr>
                <w:noProof/>
                <w:webHidden/>
              </w:rPr>
              <w:t>959</w:t>
            </w:r>
            <w:r>
              <w:rPr>
                <w:noProof/>
                <w:webHidden/>
              </w:rPr>
              <w:fldChar w:fldCharType="end"/>
            </w:r>
          </w:hyperlink>
        </w:p>
        <w:p w14:paraId="389AD953" w14:textId="3ECD51A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27" w:history="1">
            <w:r w:rsidRPr="00F45DCA">
              <w:rPr>
                <w:rStyle w:val="Lienhypertexte"/>
                <w:noProof/>
              </w:rPr>
              <w:t>24.16.1c Panneaux de particules (PB) CCTB 01.11</w:t>
            </w:r>
            <w:r>
              <w:rPr>
                <w:noProof/>
                <w:webHidden/>
              </w:rPr>
              <w:tab/>
            </w:r>
            <w:r>
              <w:rPr>
                <w:noProof/>
                <w:webHidden/>
              </w:rPr>
              <w:fldChar w:fldCharType="begin"/>
            </w:r>
            <w:r>
              <w:rPr>
                <w:noProof/>
                <w:webHidden/>
              </w:rPr>
              <w:instrText xml:space="preserve"> PAGEREF _Toc220496627 \h </w:instrText>
            </w:r>
            <w:r>
              <w:rPr>
                <w:noProof/>
                <w:webHidden/>
              </w:rPr>
            </w:r>
            <w:r>
              <w:rPr>
                <w:noProof/>
                <w:webHidden/>
              </w:rPr>
              <w:fldChar w:fldCharType="separate"/>
            </w:r>
            <w:r>
              <w:rPr>
                <w:noProof/>
                <w:webHidden/>
              </w:rPr>
              <w:t>961</w:t>
            </w:r>
            <w:r>
              <w:rPr>
                <w:noProof/>
                <w:webHidden/>
              </w:rPr>
              <w:fldChar w:fldCharType="end"/>
            </w:r>
          </w:hyperlink>
        </w:p>
        <w:p w14:paraId="279026B6" w14:textId="7B15E2B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28" w:history="1">
            <w:r w:rsidRPr="00F45DCA">
              <w:rPr>
                <w:rStyle w:val="Lienhypertexte"/>
                <w:noProof/>
              </w:rPr>
              <w:t>24.16.1d Panneaux MDF CCTB 01.11</w:t>
            </w:r>
            <w:r>
              <w:rPr>
                <w:noProof/>
                <w:webHidden/>
              </w:rPr>
              <w:tab/>
            </w:r>
            <w:r>
              <w:rPr>
                <w:noProof/>
                <w:webHidden/>
              </w:rPr>
              <w:fldChar w:fldCharType="begin"/>
            </w:r>
            <w:r>
              <w:rPr>
                <w:noProof/>
                <w:webHidden/>
              </w:rPr>
              <w:instrText xml:space="preserve"> PAGEREF _Toc220496628 \h </w:instrText>
            </w:r>
            <w:r>
              <w:rPr>
                <w:noProof/>
                <w:webHidden/>
              </w:rPr>
            </w:r>
            <w:r>
              <w:rPr>
                <w:noProof/>
                <w:webHidden/>
              </w:rPr>
              <w:fldChar w:fldCharType="separate"/>
            </w:r>
            <w:r>
              <w:rPr>
                <w:noProof/>
                <w:webHidden/>
              </w:rPr>
              <w:t>962</w:t>
            </w:r>
            <w:r>
              <w:rPr>
                <w:noProof/>
                <w:webHidden/>
              </w:rPr>
              <w:fldChar w:fldCharType="end"/>
            </w:r>
          </w:hyperlink>
        </w:p>
        <w:p w14:paraId="6029DAA0" w14:textId="0A81114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29" w:history="1">
            <w:r w:rsidRPr="00F45DCA">
              <w:rPr>
                <w:rStyle w:val="Lienhypertexte"/>
                <w:noProof/>
              </w:rPr>
              <w:t>24.17 Arcs en bois CCTB 01.07</w:t>
            </w:r>
            <w:r>
              <w:rPr>
                <w:noProof/>
                <w:webHidden/>
              </w:rPr>
              <w:tab/>
            </w:r>
            <w:r>
              <w:rPr>
                <w:noProof/>
                <w:webHidden/>
              </w:rPr>
              <w:fldChar w:fldCharType="begin"/>
            </w:r>
            <w:r>
              <w:rPr>
                <w:noProof/>
                <w:webHidden/>
              </w:rPr>
              <w:instrText xml:space="preserve"> PAGEREF _Toc220496629 \h </w:instrText>
            </w:r>
            <w:r>
              <w:rPr>
                <w:noProof/>
                <w:webHidden/>
              </w:rPr>
            </w:r>
            <w:r>
              <w:rPr>
                <w:noProof/>
                <w:webHidden/>
              </w:rPr>
              <w:fldChar w:fldCharType="separate"/>
            </w:r>
            <w:r>
              <w:rPr>
                <w:noProof/>
                <w:webHidden/>
              </w:rPr>
              <w:t>963</w:t>
            </w:r>
            <w:r>
              <w:rPr>
                <w:noProof/>
                <w:webHidden/>
              </w:rPr>
              <w:fldChar w:fldCharType="end"/>
            </w:r>
          </w:hyperlink>
        </w:p>
        <w:p w14:paraId="40B5030B" w14:textId="12DA63F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30" w:history="1">
            <w:r w:rsidRPr="00F45DCA">
              <w:rPr>
                <w:rStyle w:val="Lienhypertexte"/>
                <w:noProof/>
              </w:rPr>
              <w:t>24.17.1 Arcs en bois lamellé collé CCTB 01.10</w:t>
            </w:r>
            <w:r>
              <w:rPr>
                <w:noProof/>
                <w:webHidden/>
              </w:rPr>
              <w:tab/>
            </w:r>
            <w:r>
              <w:rPr>
                <w:noProof/>
                <w:webHidden/>
              </w:rPr>
              <w:fldChar w:fldCharType="begin"/>
            </w:r>
            <w:r>
              <w:rPr>
                <w:noProof/>
                <w:webHidden/>
              </w:rPr>
              <w:instrText xml:space="preserve"> PAGEREF _Toc220496630 \h </w:instrText>
            </w:r>
            <w:r>
              <w:rPr>
                <w:noProof/>
                <w:webHidden/>
              </w:rPr>
            </w:r>
            <w:r>
              <w:rPr>
                <w:noProof/>
                <w:webHidden/>
              </w:rPr>
              <w:fldChar w:fldCharType="separate"/>
            </w:r>
            <w:r>
              <w:rPr>
                <w:noProof/>
                <w:webHidden/>
              </w:rPr>
              <w:t>963</w:t>
            </w:r>
            <w:r>
              <w:rPr>
                <w:noProof/>
                <w:webHidden/>
              </w:rPr>
              <w:fldChar w:fldCharType="end"/>
            </w:r>
          </w:hyperlink>
        </w:p>
        <w:p w14:paraId="7B428B71" w14:textId="3C73A2C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31" w:history="1">
            <w:r w:rsidRPr="00F45DCA">
              <w:rPr>
                <w:rStyle w:val="Lienhypertexte"/>
                <w:noProof/>
              </w:rPr>
              <w:t>24.17.1a Arcs en bois lamellé collé à simple courbure CCTB 01.11</w:t>
            </w:r>
            <w:r>
              <w:rPr>
                <w:noProof/>
                <w:webHidden/>
              </w:rPr>
              <w:tab/>
            </w:r>
            <w:r>
              <w:rPr>
                <w:noProof/>
                <w:webHidden/>
              </w:rPr>
              <w:fldChar w:fldCharType="begin"/>
            </w:r>
            <w:r>
              <w:rPr>
                <w:noProof/>
                <w:webHidden/>
              </w:rPr>
              <w:instrText xml:space="preserve"> PAGEREF _Toc220496631 \h </w:instrText>
            </w:r>
            <w:r>
              <w:rPr>
                <w:noProof/>
                <w:webHidden/>
              </w:rPr>
            </w:r>
            <w:r>
              <w:rPr>
                <w:noProof/>
                <w:webHidden/>
              </w:rPr>
              <w:fldChar w:fldCharType="separate"/>
            </w:r>
            <w:r>
              <w:rPr>
                <w:noProof/>
                <w:webHidden/>
              </w:rPr>
              <w:t>963</w:t>
            </w:r>
            <w:r>
              <w:rPr>
                <w:noProof/>
                <w:webHidden/>
              </w:rPr>
              <w:fldChar w:fldCharType="end"/>
            </w:r>
          </w:hyperlink>
        </w:p>
        <w:p w14:paraId="42EC7512" w14:textId="78DF26D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32" w:history="1">
            <w:r w:rsidRPr="00F45DCA">
              <w:rPr>
                <w:rStyle w:val="Lienhypertexte"/>
                <w:noProof/>
              </w:rPr>
              <w:t>24.17.1b Arcs en bois lamellé collé à double courbure CCTB 01.11</w:t>
            </w:r>
            <w:r>
              <w:rPr>
                <w:noProof/>
                <w:webHidden/>
              </w:rPr>
              <w:tab/>
            </w:r>
            <w:r>
              <w:rPr>
                <w:noProof/>
                <w:webHidden/>
              </w:rPr>
              <w:fldChar w:fldCharType="begin"/>
            </w:r>
            <w:r>
              <w:rPr>
                <w:noProof/>
                <w:webHidden/>
              </w:rPr>
              <w:instrText xml:space="preserve"> PAGEREF _Toc220496632 \h </w:instrText>
            </w:r>
            <w:r>
              <w:rPr>
                <w:noProof/>
                <w:webHidden/>
              </w:rPr>
            </w:r>
            <w:r>
              <w:rPr>
                <w:noProof/>
                <w:webHidden/>
              </w:rPr>
              <w:fldChar w:fldCharType="separate"/>
            </w:r>
            <w:r>
              <w:rPr>
                <w:noProof/>
                <w:webHidden/>
              </w:rPr>
              <w:t>964</w:t>
            </w:r>
            <w:r>
              <w:rPr>
                <w:noProof/>
                <w:webHidden/>
              </w:rPr>
              <w:fldChar w:fldCharType="end"/>
            </w:r>
          </w:hyperlink>
        </w:p>
        <w:p w14:paraId="045419AC" w14:textId="429FEC7E"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633" w:history="1">
            <w:r w:rsidRPr="00F45DCA">
              <w:rPr>
                <w:rStyle w:val="Lienhypertexte"/>
                <w:noProof/>
              </w:rPr>
              <w:t>24.2 Systèmes d'éléments en bois CCTB 01.07</w:t>
            </w:r>
            <w:r>
              <w:rPr>
                <w:noProof/>
                <w:webHidden/>
              </w:rPr>
              <w:tab/>
            </w:r>
            <w:r>
              <w:rPr>
                <w:noProof/>
                <w:webHidden/>
              </w:rPr>
              <w:fldChar w:fldCharType="begin"/>
            </w:r>
            <w:r>
              <w:rPr>
                <w:noProof/>
                <w:webHidden/>
              </w:rPr>
              <w:instrText xml:space="preserve"> PAGEREF _Toc220496633 \h </w:instrText>
            </w:r>
            <w:r>
              <w:rPr>
                <w:noProof/>
                <w:webHidden/>
              </w:rPr>
            </w:r>
            <w:r>
              <w:rPr>
                <w:noProof/>
                <w:webHidden/>
              </w:rPr>
              <w:fldChar w:fldCharType="separate"/>
            </w:r>
            <w:r>
              <w:rPr>
                <w:noProof/>
                <w:webHidden/>
              </w:rPr>
              <w:t>965</w:t>
            </w:r>
            <w:r>
              <w:rPr>
                <w:noProof/>
                <w:webHidden/>
              </w:rPr>
              <w:fldChar w:fldCharType="end"/>
            </w:r>
          </w:hyperlink>
        </w:p>
        <w:p w14:paraId="29697EB4" w14:textId="21F71FA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34" w:history="1">
            <w:r w:rsidRPr="00F45DCA">
              <w:rPr>
                <w:rStyle w:val="Lienhypertexte"/>
                <w:noProof/>
              </w:rPr>
              <w:t>24.21 Murs en bois CCTB 01.09</w:t>
            </w:r>
            <w:r>
              <w:rPr>
                <w:noProof/>
                <w:webHidden/>
              </w:rPr>
              <w:tab/>
            </w:r>
            <w:r>
              <w:rPr>
                <w:noProof/>
                <w:webHidden/>
              </w:rPr>
              <w:fldChar w:fldCharType="begin"/>
            </w:r>
            <w:r>
              <w:rPr>
                <w:noProof/>
                <w:webHidden/>
              </w:rPr>
              <w:instrText xml:space="preserve"> PAGEREF _Toc220496634 \h </w:instrText>
            </w:r>
            <w:r>
              <w:rPr>
                <w:noProof/>
                <w:webHidden/>
              </w:rPr>
            </w:r>
            <w:r>
              <w:rPr>
                <w:noProof/>
                <w:webHidden/>
              </w:rPr>
              <w:fldChar w:fldCharType="separate"/>
            </w:r>
            <w:r>
              <w:rPr>
                <w:noProof/>
                <w:webHidden/>
              </w:rPr>
              <w:t>965</w:t>
            </w:r>
            <w:r>
              <w:rPr>
                <w:noProof/>
                <w:webHidden/>
              </w:rPr>
              <w:fldChar w:fldCharType="end"/>
            </w:r>
          </w:hyperlink>
        </w:p>
        <w:p w14:paraId="4F2E811A" w14:textId="627DC91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35" w:history="1">
            <w:r w:rsidRPr="00F45DCA">
              <w:rPr>
                <w:rStyle w:val="Lienhypertexte"/>
                <w:noProof/>
              </w:rPr>
              <w:t>24.21.1 Murs en bois assemblés sur place CCTB 01.07</w:t>
            </w:r>
            <w:r>
              <w:rPr>
                <w:noProof/>
                <w:webHidden/>
              </w:rPr>
              <w:tab/>
            </w:r>
            <w:r>
              <w:rPr>
                <w:noProof/>
                <w:webHidden/>
              </w:rPr>
              <w:fldChar w:fldCharType="begin"/>
            </w:r>
            <w:r>
              <w:rPr>
                <w:noProof/>
                <w:webHidden/>
              </w:rPr>
              <w:instrText xml:space="preserve"> PAGEREF _Toc220496635 \h </w:instrText>
            </w:r>
            <w:r>
              <w:rPr>
                <w:noProof/>
                <w:webHidden/>
              </w:rPr>
            </w:r>
            <w:r>
              <w:rPr>
                <w:noProof/>
                <w:webHidden/>
              </w:rPr>
              <w:fldChar w:fldCharType="separate"/>
            </w:r>
            <w:r>
              <w:rPr>
                <w:noProof/>
                <w:webHidden/>
              </w:rPr>
              <w:t>965</w:t>
            </w:r>
            <w:r>
              <w:rPr>
                <w:noProof/>
                <w:webHidden/>
              </w:rPr>
              <w:fldChar w:fldCharType="end"/>
            </w:r>
          </w:hyperlink>
        </w:p>
        <w:p w14:paraId="461BA7C0" w14:textId="0C827FD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36" w:history="1">
            <w:r w:rsidRPr="00F45DCA">
              <w:rPr>
                <w:rStyle w:val="Lienhypertexte"/>
                <w:noProof/>
              </w:rPr>
              <w:t>24.21.1a Murs ossatures bois assemblés sur place CCTB 01.07</w:t>
            </w:r>
            <w:r>
              <w:rPr>
                <w:noProof/>
                <w:webHidden/>
              </w:rPr>
              <w:tab/>
            </w:r>
            <w:r>
              <w:rPr>
                <w:noProof/>
                <w:webHidden/>
              </w:rPr>
              <w:fldChar w:fldCharType="begin"/>
            </w:r>
            <w:r>
              <w:rPr>
                <w:noProof/>
                <w:webHidden/>
              </w:rPr>
              <w:instrText xml:space="preserve"> PAGEREF _Toc220496636 \h </w:instrText>
            </w:r>
            <w:r>
              <w:rPr>
                <w:noProof/>
                <w:webHidden/>
              </w:rPr>
            </w:r>
            <w:r>
              <w:rPr>
                <w:noProof/>
                <w:webHidden/>
              </w:rPr>
              <w:fldChar w:fldCharType="separate"/>
            </w:r>
            <w:r>
              <w:rPr>
                <w:noProof/>
                <w:webHidden/>
              </w:rPr>
              <w:t>965</w:t>
            </w:r>
            <w:r>
              <w:rPr>
                <w:noProof/>
                <w:webHidden/>
              </w:rPr>
              <w:fldChar w:fldCharType="end"/>
            </w:r>
          </w:hyperlink>
        </w:p>
        <w:p w14:paraId="2DFF3A68" w14:textId="2621235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37" w:history="1">
            <w:r w:rsidRPr="00F45DCA">
              <w:rPr>
                <w:rStyle w:val="Lienhypertexte"/>
                <w:noProof/>
              </w:rPr>
              <w:t>24.21.1b Murs de façade ossatures bois assemblés sur place CCTB 01.07</w:t>
            </w:r>
            <w:r>
              <w:rPr>
                <w:noProof/>
                <w:webHidden/>
              </w:rPr>
              <w:tab/>
            </w:r>
            <w:r>
              <w:rPr>
                <w:noProof/>
                <w:webHidden/>
              </w:rPr>
              <w:fldChar w:fldCharType="begin"/>
            </w:r>
            <w:r>
              <w:rPr>
                <w:noProof/>
                <w:webHidden/>
              </w:rPr>
              <w:instrText xml:space="preserve"> PAGEREF _Toc220496637 \h </w:instrText>
            </w:r>
            <w:r>
              <w:rPr>
                <w:noProof/>
                <w:webHidden/>
              </w:rPr>
            </w:r>
            <w:r>
              <w:rPr>
                <w:noProof/>
                <w:webHidden/>
              </w:rPr>
              <w:fldChar w:fldCharType="separate"/>
            </w:r>
            <w:r>
              <w:rPr>
                <w:noProof/>
                <w:webHidden/>
              </w:rPr>
              <w:t>965</w:t>
            </w:r>
            <w:r>
              <w:rPr>
                <w:noProof/>
                <w:webHidden/>
              </w:rPr>
              <w:fldChar w:fldCharType="end"/>
            </w:r>
          </w:hyperlink>
        </w:p>
        <w:p w14:paraId="33707076" w14:textId="7531C20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38" w:history="1">
            <w:r w:rsidRPr="00F45DCA">
              <w:rPr>
                <w:rStyle w:val="Lienhypertexte"/>
                <w:noProof/>
              </w:rPr>
              <w:t>24.21.1c Murs en briques de bois empilées assemblés sur place CCTB 01.11</w:t>
            </w:r>
            <w:r>
              <w:rPr>
                <w:noProof/>
                <w:webHidden/>
              </w:rPr>
              <w:tab/>
            </w:r>
            <w:r>
              <w:rPr>
                <w:noProof/>
                <w:webHidden/>
              </w:rPr>
              <w:fldChar w:fldCharType="begin"/>
            </w:r>
            <w:r>
              <w:rPr>
                <w:noProof/>
                <w:webHidden/>
              </w:rPr>
              <w:instrText xml:space="preserve"> PAGEREF _Toc220496638 \h </w:instrText>
            </w:r>
            <w:r>
              <w:rPr>
                <w:noProof/>
                <w:webHidden/>
              </w:rPr>
            </w:r>
            <w:r>
              <w:rPr>
                <w:noProof/>
                <w:webHidden/>
              </w:rPr>
              <w:fldChar w:fldCharType="separate"/>
            </w:r>
            <w:r>
              <w:rPr>
                <w:noProof/>
                <w:webHidden/>
              </w:rPr>
              <w:t>965</w:t>
            </w:r>
            <w:r>
              <w:rPr>
                <w:noProof/>
                <w:webHidden/>
              </w:rPr>
              <w:fldChar w:fldCharType="end"/>
            </w:r>
          </w:hyperlink>
        </w:p>
        <w:p w14:paraId="7B97400C" w14:textId="7983F03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39" w:history="1">
            <w:r w:rsidRPr="00F45DCA">
              <w:rPr>
                <w:rStyle w:val="Lienhypertexte"/>
                <w:noProof/>
              </w:rPr>
              <w:t>24.21.1d Murs en bois empilés assemblés sur place CCTB 01.10</w:t>
            </w:r>
            <w:r>
              <w:rPr>
                <w:noProof/>
                <w:webHidden/>
              </w:rPr>
              <w:tab/>
            </w:r>
            <w:r>
              <w:rPr>
                <w:noProof/>
                <w:webHidden/>
              </w:rPr>
              <w:fldChar w:fldCharType="begin"/>
            </w:r>
            <w:r>
              <w:rPr>
                <w:noProof/>
                <w:webHidden/>
              </w:rPr>
              <w:instrText xml:space="preserve"> PAGEREF _Toc220496639 \h </w:instrText>
            </w:r>
            <w:r>
              <w:rPr>
                <w:noProof/>
                <w:webHidden/>
              </w:rPr>
            </w:r>
            <w:r>
              <w:rPr>
                <w:noProof/>
                <w:webHidden/>
              </w:rPr>
              <w:fldChar w:fldCharType="separate"/>
            </w:r>
            <w:r>
              <w:rPr>
                <w:noProof/>
                <w:webHidden/>
              </w:rPr>
              <w:t>968</w:t>
            </w:r>
            <w:r>
              <w:rPr>
                <w:noProof/>
                <w:webHidden/>
              </w:rPr>
              <w:fldChar w:fldCharType="end"/>
            </w:r>
          </w:hyperlink>
        </w:p>
        <w:p w14:paraId="7480FCC0" w14:textId="79ACF40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40" w:history="1">
            <w:r w:rsidRPr="00F45DCA">
              <w:rPr>
                <w:rStyle w:val="Lienhypertexte"/>
                <w:noProof/>
              </w:rPr>
              <w:t>24.21.1e Murs en bois debout assemblés sur place CCTB 01.10</w:t>
            </w:r>
            <w:r>
              <w:rPr>
                <w:noProof/>
                <w:webHidden/>
              </w:rPr>
              <w:tab/>
            </w:r>
            <w:r>
              <w:rPr>
                <w:noProof/>
                <w:webHidden/>
              </w:rPr>
              <w:fldChar w:fldCharType="begin"/>
            </w:r>
            <w:r>
              <w:rPr>
                <w:noProof/>
                <w:webHidden/>
              </w:rPr>
              <w:instrText xml:space="preserve"> PAGEREF _Toc220496640 \h </w:instrText>
            </w:r>
            <w:r>
              <w:rPr>
                <w:noProof/>
                <w:webHidden/>
              </w:rPr>
            </w:r>
            <w:r>
              <w:rPr>
                <w:noProof/>
                <w:webHidden/>
              </w:rPr>
              <w:fldChar w:fldCharType="separate"/>
            </w:r>
            <w:r>
              <w:rPr>
                <w:noProof/>
                <w:webHidden/>
              </w:rPr>
              <w:t>968</w:t>
            </w:r>
            <w:r>
              <w:rPr>
                <w:noProof/>
                <w:webHidden/>
              </w:rPr>
              <w:fldChar w:fldCharType="end"/>
            </w:r>
          </w:hyperlink>
        </w:p>
        <w:p w14:paraId="136D3D46" w14:textId="740E1C9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41" w:history="1">
            <w:r w:rsidRPr="00F45DCA">
              <w:rPr>
                <w:rStyle w:val="Lienhypertexte"/>
                <w:noProof/>
              </w:rPr>
              <w:t>24.21.2 Murs en bois préfabriqués CCTB 01.07</w:t>
            </w:r>
            <w:r>
              <w:rPr>
                <w:noProof/>
                <w:webHidden/>
              </w:rPr>
              <w:tab/>
            </w:r>
            <w:r>
              <w:rPr>
                <w:noProof/>
                <w:webHidden/>
              </w:rPr>
              <w:fldChar w:fldCharType="begin"/>
            </w:r>
            <w:r>
              <w:rPr>
                <w:noProof/>
                <w:webHidden/>
              </w:rPr>
              <w:instrText xml:space="preserve"> PAGEREF _Toc220496641 \h </w:instrText>
            </w:r>
            <w:r>
              <w:rPr>
                <w:noProof/>
                <w:webHidden/>
              </w:rPr>
            </w:r>
            <w:r>
              <w:rPr>
                <w:noProof/>
                <w:webHidden/>
              </w:rPr>
              <w:fldChar w:fldCharType="separate"/>
            </w:r>
            <w:r>
              <w:rPr>
                <w:noProof/>
                <w:webHidden/>
              </w:rPr>
              <w:t>968</w:t>
            </w:r>
            <w:r>
              <w:rPr>
                <w:noProof/>
                <w:webHidden/>
              </w:rPr>
              <w:fldChar w:fldCharType="end"/>
            </w:r>
          </w:hyperlink>
        </w:p>
        <w:p w14:paraId="60D47314" w14:textId="5BBE82D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42" w:history="1">
            <w:r w:rsidRPr="00F45DCA">
              <w:rPr>
                <w:rStyle w:val="Lienhypertexte"/>
                <w:noProof/>
              </w:rPr>
              <w:t>24.21.2a Murs ossature bois préfabriqués CCTB 01.12</w:t>
            </w:r>
            <w:r>
              <w:rPr>
                <w:noProof/>
                <w:webHidden/>
              </w:rPr>
              <w:tab/>
            </w:r>
            <w:r>
              <w:rPr>
                <w:noProof/>
                <w:webHidden/>
              </w:rPr>
              <w:fldChar w:fldCharType="begin"/>
            </w:r>
            <w:r>
              <w:rPr>
                <w:noProof/>
                <w:webHidden/>
              </w:rPr>
              <w:instrText xml:space="preserve"> PAGEREF _Toc220496642 \h </w:instrText>
            </w:r>
            <w:r>
              <w:rPr>
                <w:noProof/>
                <w:webHidden/>
              </w:rPr>
            </w:r>
            <w:r>
              <w:rPr>
                <w:noProof/>
                <w:webHidden/>
              </w:rPr>
              <w:fldChar w:fldCharType="separate"/>
            </w:r>
            <w:r>
              <w:rPr>
                <w:noProof/>
                <w:webHidden/>
              </w:rPr>
              <w:t>968</w:t>
            </w:r>
            <w:r>
              <w:rPr>
                <w:noProof/>
                <w:webHidden/>
              </w:rPr>
              <w:fldChar w:fldCharType="end"/>
            </w:r>
          </w:hyperlink>
        </w:p>
        <w:p w14:paraId="514FBF80" w14:textId="3F498D1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43" w:history="1">
            <w:r w:rsidRPr="00F45DCA">
              <w:rPr>
                <w:rStyle w:val="Lienhypertexte"/>
                <w:noProof/>
              </w:rPr>
              <w:t>24.21.2b Murs en CLT préfabriqués CCTB 01.12</w:t>
            </w:r>
            <w:r>
              <w:rPr>
                <w:noProof/>
                <w:webHidden/>
              </w:rPr>
              <w:tab/>
            </w:r>
            <w:r>
              <w:rPr>
                <w:noProof/>
                <w:webHidden/>
              </w:rPr>
              <w:fldChar w:fldCharType="begin"/>
            </w:r>
            <w:r>
              <w:rPr>
                <w:noProof/>
                <w:webHidden/>
              </w:rPr>
              <w:instrText xml:space="preserve"> PAGEREF _Toc220496643 \h </w:instrText>
            </w:r>
            <w:r>
              <w:rPr>
                <w:noProof/>
                <w:webHidden/>
              </w:rPr>
            </w:r>
            <w:r>
              <w:rPr>
                <w:noProof/>
                <w:webHidden/>
              </w:rPr>
              <w:fldChar w:fldCharType="separate"/>
            </w:r>
            <w:r>
              <w:rPr>
                <w:noProof/>
                <w:webHidden/>
              </w:rPr>
              <w:t>975</w:t>
            </w:r>
            <w:r>
              <w:rPr>
                <w:noProof/>
                <w:webHidden/>
              </w:rPr>
              <w:fldChar w:fldCharType="end"/>
            </w:r>
          </w:hyperlink>
        </w:p>
        <w:p w14:paraId="7B72674A" w14:textId="11CC3F8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44" w:history="1">
            <w:r w:rsidRPr="00F45DCA">
              <w:rPr>
                <w:rStyle w:val="Lienhypertexte"/>
                <w:noProof/>
              </w:rPr>
              <w:t>24.21.3 Murs en bois en caissons préfabriqués CCTB 01.10</w:t>
            </w:r>
            <w:r>
              <w:rPr>
                <w:noProof/>
                <w:webHidden/>
              </w:rPr>
              <w:tab/>
            </w:r>
            <w:r>
              <w:rPr>
                <w:noProof/>
                <w:webHidden/>
              </w:rPr>
              <w:fldChar w:fldCharType="begin"/>
            </w:r>
            <w:r>
              <w:rPr>
                <w:noProof/>
                <w:webHidden/>
              </w:rPr>
              <w:instrText xml:space="preserve"> PAGEREF _Toc220496644 \h </w:instrText>
            </w:r>
            <w:r>
              <w:rPr>
                <w:noProof/>
                <w:webHidden/>
              </w:rPr>
            </w:r>
            <w:r>
              <w:rPr>
                <w:noProof/>
                <w:webHidden/>
              </w:rPr>
              <w:fldChar w:fldCharType="separate"/>
            </w:r>
            <w:r>
              <w:rPr>
                <w:noProof/>
                <w:webHidden/>
              </w:rPr>
              <w:t>981</w:t>
            </w:r>
            <w:r>
              <w:rPr>
                <w:noProof/>
                <w:webHidden/>
              </w:rPr>
              <w:fldChar w:fldCharType="end"/>
            </w:r>
          </w:hyperlink>
        </w:p>
        <w:p w14:paraId="6EF18142" w14:textId="228D1BF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45" w:history="1">
            <w:r w:rsidRPr="00F45DCA">
              <w:rPr>
                <w:rStyle w:val="Lienhypertexte"/>
                <w:noProof/>
              </w:rPr>
              <w:t>24.21.3a Murs en bois en caissons préfabriqués remplis d'isolant CCTB 01.12</w:t>
            </w:r>
            <w:r>
              <w:rPr>
                <w:noProof/>
                <w:webHidden/>
              </w:rPr>
              <w:tab/>
            </w:r>
            <w:r>
              <w:rPr>
                <w:noProof/>
                <w:webHidden/>
              </w:rPr>
              <w:fldChar w:fldCharType="begin"/>
            </w:r>
            <w:r>
              <w:rPr>
                <w:noProof/>
                <w:webHidden/>
              </w:rPr>
              <w:instrText xml:space="preserve"> PAGEREF _Toc220496645 \h </w:instrText>
            </w:r>
            <w:r>
              <w:rPr>
                <w:noProof/>
                <w:webHidden/>
              </w:rPr>
            </w:r>
            <w:r>
              <w:rPr>
                <w:noProof/>
                <w:webHidden/>
              </w:rPr>
              <w:fldChar w:fldCharType="separate"/>
            </w:r>
            <w:r>
              <w:rPr>
                <w:noProof/>
                <w:webHidden/>
              </w:rPr>
              <w:t>981</w:t>
            </w:r>
            <w:r>
              <w:rPr>
                <w:noProof/>
                <w:webHidden/>
              </w:rPr>
              <w:fldChar w:fldCharType="end"/>
            </w:r>
          </w:hyperlink>
        </w:p>
        <w:p w14:paraId="41F8B916" w14:textId="62DBF80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46" w:history="1">
            <w:r w:rsidRPr="00F45DCA">
              <w:rPr>
                <w:rStyle w:val="Lienhypertexte"/>
                <w:noProof/>
              </w:rPr>
              <w:t>24.21.3b Murs en bois en caissons préfabriqués remplis de paille CCTB 01.11</w:t>
            </w:r>
            <w:r>
              <w:rPr>
                <w:noProof/>
                <w:webHidden/>
              </w:rPr>
              <w:tab/>
            </w:r>
            <w:r>
              <w:rPr>
                <w:noProof/>
                <w:webHidden/>
              </w:rPr>
              <w:fldChar w:fldCharType="begin"/>
            </w:r>
            <w:r>
              <w:rPr>
                <w:noProof/>
                <w:webHidden/>
              </w:rPr>
              <w:instrText xml:space="preserve"> PAGEREF _Toc220496646 \h </w:instrText>
            </w:r>
            <w:r>
              <w:rPr>
                <w:noProof/>
                <w:webHidden/>
              </w:rPr>
            </w:r>
            <w:r>
              <w:rPr>
                <w:noProof/>
                <w:webHidden/>
              </w:rPr>
              <w:fldChar w:fldCharType="separate"/>
            </w:r>
            <w:r>
              <w:rPr>
                <w:noProof/>
                <w:webHidden/>
              </w:rPr>
              <w:t>988</w:t>
            </w:r>
            <w:r>
              <w:rPr>
                <w:noProof/>
                <w:webHidden/>
              </w:rPr>
              <w:fldChar w:fldCharType="end"/>
            </w:r>
          </w:hyperlink>
        </w:p>
        <w:p w14:paraId="7DE1616C" w14:textId="27EFA6A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47" w:history="1">
            <w:r w:rsidRPr="00F45DCA">
              <w:rPr>
                <w:rStyle w:val="Lienhypertexte"/>
                <w:noProof/>
              </w:rPr>
              <w:t>24.21.3c Murs en bois en caissons préfabriqués intégrant des galets d'argile CCTB 01.12</w:t>
            </w:r>
            <w:r>
              <w:rPr>
                <w:noProof/>
                <w:webHidden/>
              </w:rPr>
              <w:tab/>
            </w:r>
            <w:r>
              <w:rPr>
                <w:noProof/>
                <w:webHidden/>
              </w:rPr>
              <w:fldChar w:fldCharType="begin"/>
            </w:r>
            <w:r>
              <w:rPr>
                <w:noProof/>
                <w:webHidden/>
              </w:rPr>
              <w:instrText xml:space="preserve"> PAGEREF _Toc220496647 \h </w:instrText>
            </w:r>
            <w:r>
              <w:rPr>
                <w:noProof/>
                <w:webHidden/>
              </w:rPr>
            </w:r>
            <w:r>
              <w:rPr>
                <w:noProof/>
                <w:webHidden/>
              </w:rPr>
              <w:fldChar w:fldCharType="separate"/>
            </w:r>
            <w:r>
              <w:rPr>
                <w:noProof/>
                <w:webHidden/>
              </w:rPr>
              <w:t>994</w:t>
            </w:r>
            <w:r>
              <w:rPr>
                <w:noProof/>
                <w:webHidden/>
              </w:rPr>
              <w:fldChar w:fldCharType="end"/>
            </w:r>
          </w:hyperlink>
        </w:p>
        <w:p w14:paraId="4A6363AB" w14:textId="5A8F6A2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48" w:history="1">
            <w:r w:rsidRPr="00F45DCA">
              <w:rPr>
                <w:rStyle w:val="Lienhypertexte"/>
                <w:noProof/>
              </w:rPr>
              <w:t>24.22 Planchers en bois CCTB 01.11</w:t>
            </w:r>
            <w:r>
              <w:rPr>
                <w:noProof/>
                <w:webHidden/>
              </w:rPr>
              <w:tab/>
            </w:r>
            <w:r>
              <w:rPr>
                <w:noProof/>
                <w:webHidden/>
              </w:rPr>
              <w:fldChar w:fldCharType="begin"/>
            </w:r>
            <w:r>
              <w:rPr>
                <w:noProof/>
                <w:webHidden/>
              </w:rPr>
              <w:instrText xml:space="preserve"> PAGEREF _Toc220496648 \h </w:instrText>
            </w:r>
            <w:r>
              <w:rPr>
                <w:noProof/>
                <w:webHidden/>
              </w:rPr>
            </w:r>
            <w:r>
              <w:rPr>
                <w:noProof/>
                <w:webHidden/>
              </w:rPr>
              <w:fldChar w:fldCharType="separate"/>
            </w:r>
            <w:r>
              <w:rPr>
                <w:noProof/>
                <w:webHidden/>
              </w:rPr>
              <w:t>1002</w:t>
            </w:r>
            <w:r>
              <w:rPr>
                <w:noProof/>
                <w:webHidden/>
              </w:rPr>
              <w:fldChar w:fldCharType="end"/>
            </w:r>
          </w:hyperlink>
        </w:p>
        <w:p w14:paraId="61F385A3" w14:textId="664352C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49" w:history="1">
            <w:r w:rsidRPr="00F45DCA">
              <w:rPr>
                <w:rStyle w:val="Lienhypertexte"/>
                <w:noProof/>
              </w:rPr>
              <w:t>24.22.1 Planchers en bois assemblés sur place CCTB 01.07</w:t>
            </w:r>
            <w:r>
              <w:rPr>
                <w:noProof/>
                <w:webHidden/>
              </w:rPr>
              <w:tab/>
            </w:r>
            <w:r>
              <w:rPr>
                <w:noProof/>
                <w:webHidden/>
              </w:rPr>
              <w:fldChar w:fldCharType="begin"/>
            </w:r>
            <w:r>
              <w:rPr>
                <w:noProof/>
                <w:webHidden/>
              </w:rPr>
              <w:instrText xml:space="preserve"> PAGEREF _Toc220496649 \h </w:instrText>
            </w:r>
            <w:r>
              <w:rPr>
                <w:noProof/>
                <w:webHidden/>
              </w:rPr>
            </w:r>
            <w:r>
              <w:rPr>
                <w:noProof/>
                <w:webHidden/>
              </w:rPr>
              <w:fldChar w:fldCharType="separate"/>
            </w:r>
            <w:r>
              <w:rPr>
                <w:noProof/>
                <w:webHidden/>
              </w:rPr>
              <w:t>1003</w:t>
            </w:r>
            <w:r>
              <w:rPr>
                <w:noProof/>
                <w:webHidden/>
              </w:rPr>
              <w:fldChar w:fldCharType="end"/>
            </w:r>
          </w:hyperlink>
        </w:p>
        <w:p w14:paraId="565ABB58" w14:textId="198ECDD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50" w:history="1">
            <w:r w:rsidRPr="00F45DCA">
              <w:rPr>
                <w:rStyle w:val="Lienhypertexte"/>
                <w:noProof/>
              </w:rPr>
              <w:t>24.22.1a Planchers ossature bois assemblés sur place CCTB 01.07</w:t>
            </w:r>
            <w:r>
              <w:rPr>
                <w:noProof/>
                <w:webHidden/>
              </w:rPr>
              <w:tab/>
            </w:r>
            <w:r>
              <w:rPr>
                <w:noProof/>
                <w:webHidden/>
              </w:rPr>
              <w:fldChar w:fldCharType="begin"/>
            </w:r>
            <w:r>
              <w:rPr>
                <w:noProof/>
                <w:webHidden/>
              </w:rPr>
              <w:instrText xml:space="preserve"> PAGEREF _Toc220496650 \h </w:instrText>
            </w:r>
            <w:r>
              <w:rPr>
                <w:noProof/>
                <w:webHidden/>
              </w:rPr>
            </w:r>
            <w:r>
              <w:rPr>
                <w:noProof/>
                <w:webHidden/>
              </w:rPr>
              <w:fldChar w:fldCharType="separate"/>
            </w:r>
            <w:r>
              <w:rPr>
                <w:noProof/>
                <w:webHidden/>
              </w:rPr>
              <w:t>1003</w:t>
            </w:r>
            <w:r>
              <w:rPr>
                <w:noProof/>
                <w:webHidden/>
              </w:rPr>
              <w:fldChar w:fldCharType="end"/>
            </w:r>
          </w:hyperlink>
        </w:p>
        <w:p w14:paraId="71D205D8" w14:textId="7C79C91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51" w:history="1">
            <w:r w:rsidRPr="00F45DCA">
              <w:rPr>
                <w:rStyle w:val="Lienhypertexte"/>
                <w:noProof/>
              </w:rPr>
              <w:t>24.22.1b Solives revêtues d'un platelage assemblées sur place CCTB 01.07</w:t>
            </w:r>
            <w:r>
              <w:rPr>
                <w:noProof/>
                <w:webHidden/>
              </w:rPr>
              <w:tab/>
            </w:r>
            <w:r>
              <w:rPr>
                <w:noProof/>
                <w:webHidden/>
              </w:rPr>
              <w:fldChar w:fldCharType="begin"/>
            </w:r>
            <w:r>
              <w:rPr>
                <w:noProof/>
                <w:webHidden/>
              </w:rPr>
              <w:instrText xml:space="preserve"> PAGEREF _Toc220496651 \h </w:instrText>
            </w:r>
            <w:r>
              <w:rPr>
                <w:noProof/>
                <w:webHidden/>
              </w:rPr>
            </w:r>
            <w:r>
              <w:rPr>
                <w:noProof/>
                <w:webHidden/>
              </w:rPr>
              <w:fldChar w:fldCharType="separate"/>
            </w:r>
            <w:r>
              <w:rPr>
                <w:noProof/>
                <w:webHidden/>
              </w:rPr>
              <w:t>1003</w:t>
            </w:r>
            <w:r>
              <w:rPr>
                <w:noProof/>
                <w:webHidden/>
              </w:rPr>
              <w:fldChar w:fldCharType="end"/>
            </w:r>
          </w:hyperlink>
        </w:p>
        <w:p w14:paraId="2137185F" w14:textId="59EEEF0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52" w:history="1">
            <w:r w:rsidRPr="00F45DCA">
              <w:rPr>
                <w:rStyle w:val="Lienhypertexte"/>
                <w:noProof/>
              </w:rPr>
              <w:t>24.22.1c Planchers mixtes bois-béton assemblés sur place CCTB 01.11</w:t>
            </w:r>
            <w:r>
              <w:rPr>
                <w:noProof/>
                <w:webHidden/>
              </w:rPr>
              <w:tab/>
            </w:r>
            <w:r>
              <w:rPr>
                <w:noProof/>
                <w:webHidden/>
              </w:rPr>
              <w:fldChar w:fldCharType="begin"/>
            </w:r>
            <w:r>
              <w:rPr>
                <w:noProof/>
                <w:webHidden/>
              </w:rPr>
              <w:instrText xml:space="preserve"> PAGEREF _Toc220496652 \h </w:instrText>
            </w:r>
            <w:r>
              <w:rPr>
                <w:noProof/>
                <w:webHidden/>
              </w:rPr>
            </w:r>
            <w:r>
              <w:rPr>
                <w:noProof/>
                <w:webHidden/>
              </w:rPr>
              <w:fldChar w:fldCharType="separate"/>
            </w:r>
            <w:r>
              <w:rPr>
                <w:noProof/>
                <w:webHidden/>
              </w:rPr>
              <w:t>1003</w:t>
            </w:r>
            <w:r>
              <w:rPr>
                <w:noProof/>
                <w:webHidden/>
              </w:rPr>
              <w:fldChar w:fldCharType="end"/>
            </w:r>
          </w:hyperlink>
        </w:p>
        <w:p w14:paraId="59AEB360" w14:textId="4D009F5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53" w:history="1">
            <w:r w:rsidRPr="00F45DCA">
              <w:rPr>
                <w:rStyle w:val="Lienhypertexte"/>
                <w:noProof/>
              </w:rPr>
              <w:t>24.22.2 Planchers en bois préfabriqués CCTB 01.11</w:t>
            </w:r>
            <w:r>
              <w:rPr>
                <w:noProof/>
                <w:webHidden/>
              </w:rPr>
              <w:tab/>
            </w:r>
            <w:r>
              <w:rPr>
                <w:noProof/>
                <w:webHidden/>
              </w:rPr>
              <w:fldChar w:fldCharType="begin"/>
            </w:r>
            <w:r>
              <w:rPr>
                <w:noProof/>
                <w:webHidden/>
              </w:rPr>
              <w:instrText xml:space="preserve"> PAGEREF _Toc220496653 \h </w:instrText>
            </w:r>
            <w:r>
              <w:rPr>
                <w:noProof/>
                <w:webHidden/>
              </w:rPr>
            </w:r>
            <w:r>
              <w:rPr>
                <w:noProof/>
                <w:webHidden/>
              </w:rPr>
              <w:fldChar w:fldCharType="separate"/>
            </w:r>
            <w:r>
              <w:rPr>
                <w:noProof/>
                <w:webHidden/>
              </w:rPr>
              <w:t>1007</w:t>
            </w:r>
            <w:r>
              <w:rPr>
                <w:noProof/>
                <w:webHidden/>
              </w:rPr>
              <w:fldChar w:fldCharType="end"/>
            </w:r>
          </w:hyperlink>
        </w:p>
        <w:p w14:paraId="1E2452ED" w14:textId="5B0267F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54" w:history="1">
            <w:r w:rsidRPr="00F45DCA">
              <w:rPr>
                <w:rStyle w:val="Lienhypertexte"/>
                <w:noProof/>
              </w:rPr>
              <w:t>24.22.2a Planchers ossature bois préfabriqués CCTB 01.12</w:t>
            </w:r>
            <w:r>
              <w:rPr>
                <w:noProof/>
                <w:webHidden/>
              </w:rPr>
              <w:tab/>
            </w:r>
            <w:r>
              <w:rPr>
                <w:noProof/>
                <w:webHidden/>
              </w:rPr>
              <w:fldChar w:fldCharType="begin"/>
            </w:r>
            <w:r>
              <w:rPr>
                <w:noProof/>
                <w:webHidden/>
              </w:rPr>
              <w:instrText xml:space="preserve"> PAGEREF _Toc220496654 \h </w:instrText>
            </w:r>
            <w:r>
              <w:rPr>
                <w:noProof/>
                <w:webHidden/>
              </w:rPr>
            </w:r>
            <w:r>
              <w:rPr>
                <w:noProof/>
                <w:webHidden/>
              </w:rPr>
              <w:fldChar w:fldCharType="separate"/>
            </w:r>
            <w:r>
              <w:rPr>
                <w:noProof/>
                <w:webHidden/>
              </w:rPr>
              <w:t>1009</w:t>
            </w:r>
            <w:r>
              <w:rPr>
                <w:noProof/>
                <w:webHidden/>
              </w:rPr>
              <w:fldChar w:fldCharType="end"/>
            </w:r>
          </w:hyperlink>
        </w:p>
        <w:p w14:paraId="728E1AE5" w14:textId="62D9E29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55" w:history="1">
            <w:r w:rsidRPr="00F45DCA">
              <w:rPr>
                <w:rStyle w:val="Lienhypertexte"/>
                <w:noProof/>
              </w:rPr>
              <w:t>24.22.2b Planchers en hourdis bois préfabriqués CCTB 01.11</w:t>
            </w:r>
            <w:r>
              <w:rPr>
                <w:noProof/>
                <w:webHidden/>
              </w:rPr>
              <w:tab/>
            </w:r>
            <w:r>
              <w:rPr>
                <w:noProof/>
                <w:webHidden/>
              </w:rPr>
              <w:fldChar w:fldCharType="begin"/>
            </w:r>
            <w:r>
              <w:rPr>
                <w:noProof/>
                <w:webHidden/>
              </w:rPr>
              <w:instrText xml:space="preserve"> PAGEREF _Toc220496655 \h </w:instrText>
            </w:r>
            <w:r>
              <w:rPr>
                <w:noProof/>
                <w:webHidden/>
              </w:rPr>
            </w:r>
            <w:r>
              <w:rPr>
                <w:noProof/>
                <w:webHidden/>
              </w:rPr>
              <w:fldChar w:fldCharType="separate"/>
            </w:r>
            <w:r>
              <w:rPr>
                <w:noProof/>
                <w:webHidden/>
              </w:rPr>
              <w:t>1013</w:t>
            </w:r>
            <w:r>
              <w:rPr>
                <w:noProof/>
                <w:webHidden/>
              </w:rPr>
              <w:fldChar w:fldCharType="end"/>
            </w:r>
          </w:hyperlink>
        </w:p>
        <w:p w14:paraId="50AACA5D" w14:textId="557FFAE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56" w:history="1">
            <w:r w:rsidRPr="00F45DCA">
              <w:rPr>
                <w:rStyle w:val="Lienhypertexte"/>
                <w:noProof/>
              </w:rPr>
              <w:t>24.22.2c Planchers en hourdis fait de planches sur chants préfabriqués CCTB 01.12</w:t>
            </w:r>
            <w:r>
              <w:rPr>
                <w:noProof/>
                <w:webHidden/>
              </w:rPr>
              <w:tab/>
            </w:r>
            <w:r>
              <w:rPr>
                <w:noProof/>
                <w:webHidden/>
              </w:rPr>
              <w:fldChar w:fldCharType="begin"/>
            </w:r>
            <w:r>
              <w:rPr>
                <w:noProof/>
                <w:webHidden/>
              </w:rPr>
              <w:instrText xml:space="preserve"> PAGEREF _Toc220496656 \h </w:instrText>
            </w:r>
            <w:r>
              <w:rPr>
                <w:noProof/>
                <w:webHidden/>
              </w:rPr>
            </w:r>
            <w:r>
              <w:rPr>
                <w:noProof/>
                <w:webHidden/>
              </w:rPr>
              <w:fldChar w:fldCharType="separate"/>
            </w:r>
            <w:r>
              <w:rPr>
                <w:noProof/>
                <w:webHidden/>
              </w:rPr>
              <w:t>1016</w:t>
            </w:r>
            <w:r>
              <w:rPr>
                <w:noProof/>
                <w:webHidden/>
              </w:rPr>
              <w:fldChar w:fldCharType="end"/>
            </w:r>
          </w:hyperlink>
        </w:p>
        <w:p w14:paraId="43221F56" w14:textId="1A2AC0E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57" w:history="1">
            <w:r w:rsidRPr="00F45DCA">
              <w:rPr>
                <w:rStyle w:val="Lienhypertexte"/>
                <w:noProof/>
              </w:rPr>
              <w:t>24.22.2d Planchers préfabriqués en lamellés collés à plat  CCTB 01.10</w:t>
            </w:r>
            <w:r>
              <w:rPr>
                <w:noProof/>
                <w:webHidden/>
              </w:rPr>
              <w:tab/>
            </w:r>
            <w:r>
              <w:rPr>
                <w:noProof/>
                <w:webHidden/>
              </w:rPr>
              <w:fldChar w:fldCharType="begin"/>
            </w:r>
            <w:r>
              <w:rPr>
                <w:noProof/>
                <w:webHidden/>
              </w:rPr>
              <w:instrText xml:space="preserve"> PAGEREF _Toc220496657 \h </w:instrText>
            </w:r>
            <w:r>
              <w:rPr>
                <w:noProof/>
                <w:webHidden/>
              </w:rPr>
            </w:r>
            <w:r>
              <w:rPr>
                <w:noProof/>
                <w:webHidden/>
              </w:rPr>
              <w:fldChar w:fldCharType="separate"/>
            </w:r>
            <w:r>
              <w:rPr>
                <w:noProof/>
                <w:webHidden/>
              </w:rPr>
              <w:t>1018</w:t>
            </w:r>
            <w:r>
              <w:rPr>
                <w:noProof/>
                <w:webHidden/>
              </w:rPr>
              <w:fldChar w:fldCharType="end"/>
            </w:r>
          </w:hyperlink>
        </w:p>
        <w:p w14:paraId="0F190002" w14:textId="7D080C4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58" w:history="1">
            <w:r w:rsidRPr="00F45DCA">
              <w:rPr>
                <w:rStyle w:val="Lienhypertexte"/>
                <w:noProof/>
              </w:rPr>
              <w:t>24.22.2e Planchers à caissons faits de planches préfabriqués CCTB 01.11</w:t>
            </w:r>
            <w:r>
              <w:rPr>
                <w:noProof/>
                <w:webHidden/>
              </w:rPr>
              <w:tab/>
            </w:r>
            <w:r>
              <w:rPr>
                <w:noProof/>
                <w:webHidden/>
              </w:rPr>
              <w:fldChar w:fldCharType="begin"/>
            </w:r>
            <w:r>
              <w:rPr>
                <w:noProof/>
                <w:webHidden/>
              </w:rPr>
              <w:instrText xml:space="preserve"> PAGEREF _Toc220496658 \h </w:instrText>
            </w:r>
            <w:r>
              <w:rPr>
                <w:noProof/>
                <w:webHidden/>
              </w:rPr>
            </w:r>
            <w:r>
              <w:rPr>
                <w:noProof/>
                <w:webHidden/>
              </w:rPr>
              <w:fldChar w:fldCharType="separate"/>
            </w:r>
            <w:r>
              <w:rPr>
                <w:noProof/>
                <w:webHidden/>
              </w:rPr>
              <w:t>1018</w:t>
            </w:r>
            <w:r>
              <w:rPr>
                <w:noProof/>
                <w:webHidden/>
              </w:rPr>
              <w:fldChar w:fldCharType="end"/>
            </w:r>
          </w:hyperlink>
        </w:p>
        <w:p w14:paraId="4D22176E" w14:textId="631D337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59" w:history="1">
            <w:r w:rsidRPr="00F45DCA">
              <w:rPr>
                <w:rStyle w:val="Lienhypertexte"/>
                <w:noProof/>
              </w:rPr>
              <w:t>24.22.2f Planchers à caissons faits de LVL préfabriqués CCTB 01.07</w:t>
            </w:r>
            <w:r>
              <w:rPr>
                <w:noProof/>
                <w:webHidden/>
              </w:rPr>
              <w:tab/>
            </w:r>
            <w:r>
              <w:rPr>
                <w:noProof/>
                <w:webHidden/>
              </w:rPr>
              <w:fldChar w:fldCharType="begin"/>
            </w:r>
            <w:r>
              <w:rPr>
                <w:noProof/>
                <w:webHidden/>
              </w:rPr>
              <w:instrText xml:space="preserve"> PAGEREF _Toc220496659 \h </w:instrText>
            </w:r>
            <w:r>
              <w:rPr>
                <w:noProof/>
                <w:webHidden/>
              </w:rPr>
            </w:r>
            <w:r>
              <w:rPr>
                <w:noProof/>
                <w:webHidden/>
              </w:rPr>
              <w:fldChar w:fldCharType="separate"/>
            </w:r>
            <w:r>
              <w:rPr>
                <w:noProof/>
                <w:webHidden/>
              </w:rPr>
              <w:t>1022</w:t>
            </w:r>
            <w:r>
              <w:rPr>
                <w:noProof/>
                <w:webHidden/>
              </w:rPr>
              <w:fldChar w:fldCharType="end"/>
            </w:r>
          </w:hyperlink>
        </w:p>
        <w:p w14:paraId="2FE9B479" w14:textId="23C5F6A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60" w:history="1">
            <w:r w:rsidRPr="00F45DCA">
              <w:rPr>
                <w:rStyle w:val="Lienhypertexte"/>
                <w:noProof/>
              </w:rPr>
              <w:t>24.22.2g Planchers en CLT nervuré préfabriqués  CCTB 01.07</w:t>
            </w:r>
            <w:r>
              <w:rPr>
                <w:noProof/>
                <w:webHidden/>
              </w:rPr>
              <w:tab/>
            </w:r>
            <w:r>
              <w:rPr>
                <w:noProof/>
                <w:webHidden/>
              </w:rPr>
              <w:fldChar w:fldCharType="begin"/>
            </w:r>
            <w:r>
              <w:rPr>
                <w:noProof/>
                <w:webHidden/>
              </w:rPr>
              <w:instrText xml:space="preserve"> PAGEREF _Toc220496660 \h </w:instrText>
            </w:r>
            <w:r>
              <w:rPr>
                <w:noProof/>
                <w:webHidden/>
              </w:rPr>
            </w:r>
            <w:r>
              <w:rPr>
                <w:noProof/>
                <w:webHidden/>
              </w:rPr>
              <w:fldChar w:fldCharType="separate"/>
            </w:r>
            <w:r>
              <w:rPr>
                <w:noProof/>
                <w:webHidden/>
              </w:rPr>
              <w:t>1022</w:t>
            </w:r>
            <w:r>
              <w:rPr>
                <w:noProof/>
                <w:webHidden/>
              </w:rPr>
              <w:fldChar w:fldCharType="end"/>
            </w:r>
          </w:hyperlink>
        </w:p>
        <w:p w14:paraId="33BD53CF" w14:textId="0C0482F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61" w:history="1">
            <w:r w:rsidRPr="00F45DCA">
              <w:rPr>
                <w:rStyle w:val="Lienhypertexte"/>
                <w:noProof/>
              </w:rPr>
              <w:t>24.22.2h Planchers mixtes bois-béton préfabriqués CCTB 01.10</w:t>
            </w:r>
            <w:r>
              <w:rPr>
                <w:noProof/>
                <w:webHidden/>
              </w:rPr>
              <w:tab/>
            </w:r>
            <w:r>
              <w:rPr>
                <w:noProof/>
                <w:webHidden/>
              </w:rPr>
              <w:fldChar w:fldCharType="begin"/>
            </w:r>
            <w:r>
              <w:rPr>
                <w:noProof/>
                <w:webHidden/>
              </w:rPr>
              <w:instrText xml:space="preserve"> PAGEREF _Toc220496661 \h </w:instrText>
            </w:r>
            <w:r>
              <w:rPr>
                <w:noProof/>
                <w:webHidden/>
              </w:rPr>
            </w:r>
            <w:r>
              <w:rPr>
                <w:noProof/>
                <w:webHidden/>
              </w:rPr>
              <w:fldChar w:fldCharType="separate"/>
            </w:r>
            <w:r>
              <w:rPr>
                <w:noProof/>
                <w:webHidden/>
              </w:rPr>
              <w:t>1022</w:t>
            </w:r>
            <w:r>
              <w:rPr>
                <w:noProof/>
                <w:webHidden/>
              </w:rPr>
              <w:fldChar w:fldCharType="end"/>
            </w:r>
          </w:hyperlink>
        </w:p>
        <w:p w14:paraId="0144FB7A" w14:textId="49E4DFD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62" w:history="1">
            <w:r w:rsidRPr="00F45DCA">
              <w:rPr>
                <w:rStyle w:val="Lienhypertexte"/>
                <w:noProof/>
              </w:rPr>
              <w:t>24.23 Systèmes de toiture en bois CCTB 01.11</w:t>
            </w:r>
            <w:r>
              <w:rPr>
                <w:noProof/>
                <w:webHidden/>
              </w:rPr>
              <w:tab/>
            </w:r>
            <w:r>
              <w:rPr>
                <w:noProof/>
                <w:webHidden/>
              </w:rPr>
              <w:fldChar w:fldCharType="begin"/>
            </w:r>
            <w:r>
              <w:rPr>
                <w:noProof/>
                <w:webHidden/>
              </w:rPr>
              <w:instrText xml:space="preserve"> PAGEREF _Toc220496662 \h </w:instrText>
            </w:r>
            <w:r>
              <w:rPr>
                <w:noProof/>
                <w:webHidden/>
              </w:rPr>
            </w:r>
            <w:r>
              <w:rPr>
                <w:noProof/>
                <w:webHidden/>
              </w:rPr>
              <w:fldChar w:fldCharType="separate"/>
            </w:r>
            <w:r>
              <w:rPr>
                <w:noProof/>
                <w:webHidden/>
              </w:rPr>
              <w:t>1022</w:t>
            </w:r>
            <w:r>
              <w:rPr>
                <w:noProof/>
                <w:webHidden/>
              </w:rPr>
              <w:fldChar w:fldCharType="end"/>
            </w:r>
          </w:hyperlink>
        </w:p>
        <w:p w14:paraId="4E70318A" w14:textId="7D74237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63" w:history="1">
            <w:r w:rsidRPr="00F45DCA">
              <w:rPr>
                <w:rStyle w:val="Lienhypertexte"/>
                <w:noProof/>
              </w:rPr>
              <w:t>24.23.1 Systèmes de toiture en bois assemblés sur place CCTB 01.07</w:t>
            </w:r>
            <w:r>
              <w:rPr>
                <w:noProof/>
                <w:webHidden/>
              </w:rPr>
              <w:tab/>
            </w:r>
            <w:r>
              <w:rPr>
                <w:noProof/>
                <w:webHidden/>
              </w:rPr>
              <w:fldChar w:fldCharType="begin"/>
            </w:r>
            <w:r>
              <w:rPr>
                <w:noProof/>
                <w:webHidden/>
              </w:rPr>
              <w:instrText xml:space="preserve"> PAGEREF _Toc220496663 \h </w:instrText>
            </w:r>
            <w:r>
              <w:rPr>
                <w:noProof/>
                <w:webHidden/>
              </w:rPr>
            </w:r>
            <w:r>
              <w:rPr>
                <w:noProof/>
                <w:webHidden/>
              </w:rPr>
              <w:fldChar w:fldCharType="separate"/>
            </w:r>
            <w:r>
              <w:rPr>
                <w:noProof/>
                <w:webHidden/>
              </w:rPr>
              <w:t>1022</w:t>
            </w:r>
            <w:r>
              <w:rPr>
                <w:noProof/>
                <w:webHidden/>
              </w:rPr>
              <w:fldChar w:fldCharType="end"/>
            </w:r>
          </w:hyperlink>
        </w:p>
        <w:p w14:paraId="41295A25" w14:textId="4456BC4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64" w:history="1">
            <w:r w:rsidRPr="00F45DCA">
              <w:rPr>
                <w:rStyle w:val="Lienhypertexte"/>
                <w:noProof/>
              </w:rPr>
              <w:t>24.23.1a Systèmes de toiture ossatures bois assemblés sur place CCTB 01.07</w:t>
            </w:r>
            <w:r>
              <w:rPr>
                <w:noProof/>
                <w:webHidden/>
              </w:rPr>
              <w:tab/>
            </w:r>
            <w:r>
              <w:rPr>
                <w:noProof/>
                <w:webHidden/>
              </w:rPr>
              <w:fldChar w:fldCharType="begin"/>
            </w:r>
            <w:r>
              <w:rPr>
                <w:noProof/>
                <w:webHidden/>
              </w:rPr>
              <w:instrText xml:space="preserve"> PAGEREF _Toc220496664 \h </w:instrText>
            </w:r>
            <w:r>
              <w:rPr>
                <w:noProof/>
                <w:webHidden/>
              </w:rPr>
            </w:r>
            <w:r>
              <w:rPr>
                <w:noProof/>
                <w:webHidden/>
              </w:rPr>
              <w:fldChar w:fldCharType="separate"/>
            </w:r>
            <w:r>
              <w:rPr>
                <w:noProof/>
                <w:webHidden/>
              </w:rPr>
              <w:t>1022</w:t>
            </w:r>
            <w:r>
              <w:rPr>
                <w:noProof/>
                <w:webHidden/>
              </w:rPr>
              <w:fldChar w:fldCharType="end"/>
            </w:r>
          </w:hyperlink>
        </w:p>
        <w:p w14:paraId="6A7408AB" w14:textId="3FBFC08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65" w:history="1">
            <w:r w:rsidRPr="00F45DCA">
              <w:rPr>
                <w:rStyle w:val="Lienhypertexte"/>
                <w:noProof/>
              </w:rPr>
              <w:t>24.23.2 Systèmes de toiture en bois préfabriqués CCTB 01.07</w:t>
            </w:r>
            <w:r>
              <w:rPr>
                <w:noProof/>
                <w:webHidden/>
              </w:rPr>
              <w:tab/>
            </w:r>
            <w:r>
              <w:rPr>
                <w:noProof/>
                <w:webHidden/>
              </w:rPr>
              <w:fldChar w:fldCharType="begin"/>
            </w:r>
            <w:r>
              <w:rPr>
                <w:noProof/>
                <w:webHidden/>
              </w:rPr>
              <w:instrText xml:space="preserve"> PAGEREF _Toc220496665 \h </w:instrText>
            </w:r>
            <w:r>
              <w:rPr>
                <w:noProof/>
                <w:webHidden/>
              </w:rPr>
            </w:r>
            <w:r>
              <w:rPr>
                <w:noProof/>
                <w:webHidden/>
              </w:rPr>
              <w:fldChar w:fldCharType="separate"/>
            </w:r>
            <w:r>
              <w:rPr>
                <w:noProof/>
                <w:webHidden/>
              </w:rPr>
              <w:t>1022</w:t>
            </w:r>
            <w:r>
              <w:rPr>
                <w:noProof/>
                <w:webHidden/>
              </w:rPr>
              <w:fldChar w:fldCharType="end"/>
            </w:r>
          </w:hyperlink>
        </w:p>
        <w:p w14:paraId="007D700D" w14:textId="4EEBAAC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66" w:history="1">
            <w:r w:rsidRPr="00F45DCA">
              <w:rPr>
                <w:rStyle w:val="Lienhypertexte"/>
                <w:noProof/>
              </w:rPr>
              <w:t>24.23.2a Systèmes de toiture ossature bois préfabriqués CCTB 01.07</w:t>
            </w:r>
            <w:r>
              <w:rPr>
                <w:noProof/>
                <w:webHidden/>
              </w:rPr>
              <w:tab/>
            </w:r>
            <w:r>
              <w:rPr>
                <w:noProof/>
                <w:webHidden/>
              </w:rPr>
              <w:fldChar w:fldCharType="begin"/>
            </w:r>
            <w:r>
              <w:rPr>
                <w:noProof/>
                <w:webHidden/>
              </w:rPr>
              <w:instrText xml:space="preserve"> PAGEREF _Toc220496666 \h </w:instrText>
            </w:r>
            <w:r>
              <w:rPr>
                <w:noProof/>
                <w:webHidden/>
              </w:rPr>
            </w:r>
            <w:r>
              <w:rPr>
                <w:noProof/>
                <w:webHidden/>
              </w:rPr>
              <w:fldChar w:fldCharType="separate"/>
            </w:r>
            <w:r>
              <w:rPr>
                <w:noProof/>
                <w:webHidden/>
              </w:rPr>
              <w:t>1022</w:t>
            </w:r>
            <w:r>
              <w:rPr>
                <w:noProof/>
                <w:webHidden/>
              </w:rPr>
              <w:fldChar w:fldCharType="end"/>
            </w:r>
          </w:hyperlink>
        </w:p>
        <w:p w14:paraId="674053B9" w14:textId="3B73CF1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67" w:history="1">
            <w:r w:rsidRPr="00F45DCA">
              <w:rPr>
                <w:rStyle w:val="Lienhypertexte"/>
                <w:noProof/>
              </w:rPr>
              <w:t>24.23.2b Systèmes de toiture en CLT préfabriqués collés CCTB 01.11</w:t>
            </w:r>
            <w:r>
              <w:rPr>
                <w:noProof/>
                <w:webHidden/>
              </w:rPr>
              <w:tab/>
            </w:r>
            <w:r>
              <w:rPr>
                <w:noProof/>
                <w:webHidden/>
              </w:rPr>
              <w:fldChar w:fldCharType="begin"/>
            </w:r>
            <w:r>
              <w:rPr>
                <w:noProof/>
                <w:webHidden/>
              </w:rPr>
              <w:instrText xml:space="preserve"> PAGEREF _Toc220496667 \h </w:instrText>
            </w:r>
            <w:r>
              <w:rPr>
                <w:noProof/>
                <w:webHidden/>
              </w:rPr>
            </w:r>
            <w:r>
              <w:rPr>
                <w:noProof/>
                <w:webHidden/>
              </w:rPr>
              <w:fldChar w:fldCharType="separate"/>
            </w:r>
            <w:r>
              <w:rPr>
                <w:noProof/>
                <w:webHidden/>
              </w:rPr>
              <w:t>1022</w:t>
            </w:r>
            <w:r>
              <w:rPr>
                <w:noProof/>
                <w:webHidden/>
              </w:rPr>
              <w:fldChar w:fldCharType="end"/>
            </w:r>
          </w:hyperlink>
        </w:p>
        <w:p w14:paraId="29D8D878" w14:textId="1C6A26D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68" w:history="1">
            <w:r w:rsidRPr="00F45DCA">
              <w:rPr>
                <w:rStyle w:val="Lienhypertexte"/>
                <w:noProof/>
              </w:rPr>
              <w:t>24.23.2c Systèmes de toiture en CLT préfabriqués cloués-collés CCTB 01.11</w:t>
            </w:r>
            <w:r>
              <w:rPr>
                <w:noProof/>
                <w:webHidden/>
              </w:rPr>
              <w:tab/>
            </w:r>
            <w:r>
              <w:rPr>
                <w:noProof/>
                <w:webHidden/>
              </w:rPr>
              <w:fldChar w:fldCharType="begin"/>
            </w:r>
            <w:r>
              <w:rPr>
                <w:noProof/>
                <w:webHidden/>
              </w:rPr>
              <w:instrText xml:space="preserve"> PAGEREF _Toc220496668 \h </w:instrText>
            </w:r>
            <w:r>
              <w:rPr>
                <w:noProof/>
                <w:webHidden/>
              </w:rPr>
            </w:r>
            <w:r>
              <w:rPr>
                <w:noProof/>
                <w:webHidden/>
              </w:rPr>
              <w:fldChar w:fldCharType="separate"/>
            </w:r>
            <w:r>
              <w:rPr>
                <w:noProof/>
                <w:webHidden/>
              </w:rPr>
              <w:t>1026</w:t>
            </w:r>
            <w:r>
              <w:rPr>
                <w:noProof/>
                <w:webHidden/>
              </w:rPr>
              <w:fldChar w:fldCharType="end"/>
            </w:r>
          </w:hyperlink>
        </w:p>
        <w:p w14:paraId="7EF546FC" w14:textId="32D8147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69" w:history="1">
            <w:r w:rsidRPr="00F45DCA">
              <w:rPr>
                <w:rStyle w:val="Lienhypertexte"/>
                <w:noProof/>
              </w:rPr>
              <w:t>24.23.3 Systèmes de toiture en bois à base de caissons CCTB 01.11</w:t>
            </w:r>
            <w:r>
              <w:rPr>
                <w:noProof/>
                <w:webHidden/>
              </w:rPr>
              <w:tab/>
            </w:r>
            <w:r>
              <w:rPr>
                <w:noProof/>
                <w:webHidden/>
              </w:rPr>
              <w:fldChar w:fldCharType="begin"/>
            </w:r>
            <w:r>
              <w:rPr>
                <w:noProof/>
                <w:webHidden/>
              </w:rPr>
              <w:instrText xml:space="preserve"> PAGEREF _Toc220496669 \h </w:instrText>
            </w:r>
            <w:r>
              <w:rPr>
                <w:noProof/>
                <w:webHidden/>
              </w:rPr>
            </w:r>
            <w:r>
              <w:rPr>
                <w:noProof/>
                <w:webHidden/>
              </w:rPr>
              <w:fldChar w:fldCharType="separate"/>
            </w:r>
            <w:r>
              <w:rPr>
                <w:noProof/>
                <w:webHidden/>
              </w:rPr>
              <w:t>1029</w:t>
            </w:r>
            <w:r>
              <w:rPr>
                <w:noProof/>
                <w:webHidden/>
              </w:rPr>
              <w:fldChar w:fldCharType="end"/>
            </w:r>
          </w:hyperlink>
        </w:p>
        <w:p w14:paraId="22B1381F" w14:textId="4806B1D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70" w:history="1">
            <w:r w:rsidRPr="00F45DCA">
              <w:rPr>
                <w:rStyle w:val="Lienhypertexte"/>
                <w:noProof/>
              </w:rPr>
              <w:t>24.23.3a Systèmes de toiture en bois à base de caissons faits de planches CCTB 01.11</w:t>
            </w:r>
            <w:r>
              <w:rPr>
                <w:noProof/>
                <w:webHidden/>
              </w:rPr>
              <w:tab/>
            </w:r>
            <w:r>
              <w:rPr>
                <w:noProof/>
                <w:webHidden/>
              </w:rPr>
              <w:fldChar w:fldCharType="begin"/>
            </w:r>
            <w:r>
              <w:rPr>
                <w:noProof/>
                <w:webHidden/>
              </w:rPr>
              <w:instrText xml:space="preserve"> PAGEREF _Toc220496670 \h </w:instrText>
            </w:r>
            <w:r>
              <w:rPr>
                <w:noProof/>
                <w:webHidden/>
              </w:rPr>
            </w:r>
            <w:r>
              <w:rPr>
                <w:noProof/>
                <w:webHidden/>
              </w:rPr>
              <w:fldChar w:fldCharType="separate"/>
            </w:r>
            <w:r>
              <w:rPr>
                <w:noProof/>
                <w:webHidden/>
              </w:rPr>
              <w:t>1031</w:t>
            </w:r>
            <w:r>
              <w:rPr>
                <w:noProof/>
                <w:webHidden/>
              </w:rPr>
              <w:fldChar w:fldCharType="end"/>
            </w:r>
          </w:hyperlink>
        </w:p>
        <w:p w14:paraId="03C2B96F" w14:textId="13C55D0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71" w:history="1">
            <w:r w:rsidRPr="00F45DCA">
              <w:rPr>
                <w:rStyle w:val="Lienhypertexte"/>
                <w:noProof/>
              </w:rPr>
              <w:t>24.23.3b Systèmes de toiture en bois à base de caissons faits de LVL CCTB 01.10</w:t>
            </w:r>
            <w:r>
              <w:rPr>
                <w:noProof/>
                <w:webHidden/>
              </w:rPr>
              <w:tab/>
            </w:r>
            <w:r>
              <w:rPr>
                <w:noProof/>
                <w:webHidden/>
              </w:rPr>
              <w:fldChar w:fldCharType="begin"/>
            </w:r>
            <w:r>
              <w:rPr>
                <w:noProof/>
                <w:webHidden/>
              </w:rPr>
              <w:instrText xml:space="preserve"> PAGEREF _Toc220496671 \h </w:instrText>
            </w:r>
            <w:r>
              <w:rPr>
                <w:noProof/>
                <w:webHidden/>
              </w:rPr>
            </w:r>
            <w:r>
              <w:rPr>
                <w:noProof/>
                <w:webHidden/>
              </w:rPr>
              <w:fldChar w:fldCharType="separate"/>
            </w:r>
            <w:r>
              <w:rPr>
                <w:noProof/>
                <w:webHidden/>
              </w:rPr>
              <w:t>1034</w:t>
            </w:r>
            <w:r>
              <w:rPr>
                <w:noProof/>
                <w:webHidden/>
              </w:rPr>
              <w:fldChar w:fldCharType="end"/>
            </w:r>
          </w:hyperlink>
        </w:p>
        <w:p w14:paraId="60508554" w14:textId="3EF3D7C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72" w:history="1">
            <w:r w:rsidRPr="00F45DCA">
              <w:rPr>
                <w:rStyle w:val="Lienhypertexte"/>
                <w:noProof/>
              </w:rPr>
              <w:t>24.24 Charpentes en bois CCTB 01.13</w:t>
            </w:r>
            <w:r>
              <w:rPr>
                <w:noProof/>
                <w:webHidden/>
              </w:rPr>
              <w:tab/>
            </w:r>
            <w:r>
              <w:rPr>
                <w:noProof/>
                <w:webHidden/>
              </w:rPr>
              <w:fldChar w:fldCharType="begin"/>
            </w:r>
            <w:r>
              <w:rPr>
                <w:noProof/>
                <w:webHidden/>
              </w:rPr>
              <w:instrText xml:space="preserve"> PAGEREF _Toc220496672 \h </w:instrText>
            </w:r>
            <w:r>
              <w:rPr>
                <w:noProof/>
                <w:webHidden/>
              </w:rPr>
            </w:r>
            <w:r>
              <w:rPr>
                <w:noProof/>
                <w:webHidden/>
              </w:rPr>
              <w:fldChar w:fldCharType="separate"/>
            </w:r>
            <w:r>
              <w:rPr>
                <w:noProof/>
                <w:webHidden/>
              </w:rPr>
              <w:t>1034</w:t>
            </w:r>
            <w:r>
              <w:rPr>
                <w:noProof/>
                <w:webHidden/>
              </w:rPr>
              <w:fldChar w:fldCharType="end"/>
            </w:r>
          </w:hyperlink>
        </w:p>
        <w:p w14:paraId="0C17D597" w14:textId="47C2ED0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73" w:history="1">
            <w:r w:rsidRPr="00F45DCA">
              <w:rPr>
                <w:rStyle w:val="Lienhypertexte"/>
                <w:noProof/>
              </w:rPr>
              <w:t>24.24.1 Charpentes en bois assemblées sur place CCTB 01.04</w:t>
            </w:r>
            <w:r>
              <w:rPr>
                <w:noProof/>
                <w:webHidden/>
              </w:rPr>
              <w:tab/>
            </w:r>
            <w:r>
              <w:rPr>
                <w:noProof/>
                <w:webHidden/>
              </w:rPr>
              <w:fldChar w:fldCharType="begin"/>
            </w:r>
            <w:r>
              <w:rPr>
                <w:noProof/>
                <w:webHidden/>
              </w:rPr>
              <w:instrText xml:space="preserve"> PAGEREF _Toc220496673 \h </w:instrText>
            </w:r>
            <w:r>
              <w:rPr>
                <w:noProof/>
                <w:webHidden/>
              </w:rPr>
            </w:r>
            <w:r>
              <w:rPr>
                <w:noProof/>
                <w:webHidden/>
              </w:rPr>
              <w:fldChar w:fldCharType="separate"/>
            </w:r>
            <w:r>
              <w:rPr>
                <w:noProof/>
                <w:webHidden/>
              </w:rPr>
              <w:t>1041</w:t>
            </w:r>
            <w:r>
              <w:rPr>
                <w:noProof/>
                <w:webHidden/>
              </w:rPr>
              <w:fldChar w:fldCharType="end"/>
            </w:r>
          </w:hyperlink>
        </w:p>
        <w:p w14:paraId="0969AED1" w14:textId="3911317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74" w:history="1">
            <w:r w:rsidRPr="00F45DCA">
              <w:rPr>
                <w:rStyle w:val="Lienhypertexte"/>
                <w:noProof/>
              </w:rPr>
              <w:t>24.24.1a Charpentes planes en bois assemblées sur place CCTB 01.11</w:t>
            </w:r>
            <w:r>
              <w:rPr>
                <w:noProof/>
                <w:webHidden/>
              </w:rPr>
              <w:tab/>
            </w:r>
            <w:r>
              <w:rPr>
                <w:noProof/>
                <w:webHidden/>
              </w:rPr>
              <w:fldChar w:fldCharType="begin"/>
            </w:r>
            <w:r>
              <w:rPr>
                <w:noProof/>
                <w:webHidden/>
              </w:rPr>
              <w:instrText xml:space="preserve"> PAGEREF _Toc220496674 \h </w:instrText>
            </w:r>
            <w:r>
              <w:rPr>
                <w:noProof/>
                <w:webHidden/>
              </w:rPr>
            </w:r>
            <w:r>
              <w:rPr>
                <w:noProof/>
                <w:webHidden/>
              </w:rPr>
              <w:fldChar w:fldCharType="separate"/>
            </w:r>
            <w:r>
              <w:rPr>
                <w:noProof/>
                <w:webHidden/>
              </w:rPr>
              <w:t>1041</w:t>
            </w:r>
            <w:r>
              <w:rPr>
                <w:noProof/>
                <w:webHidden/>
              </w:rPr>
              <w:fldChar w:fldCharType="end"/>
            </w:r>
          </w:hyperlink>
        </w:p>
        <w:p w14:paraId="36643ACE" w14:textId="27E9123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75" w:history="1">
            <w:r w:rsidRPr="00F45DCA">
              <w:rPr>
                <w:rStyle w:val="Lienhypertexte"/>
                <w:noProof/>
              </w:rPr>
              <w:t>24.24.1b Charpentes tridimensionnelles en bois assemblées sur place CCTB 01.09</w:t>
            </w:r>
            <w:r>
              <w:rPr>
                <w:noProof/>
                <w:webHidden/>
              </w:rPr>
              <w:tab/>
            </w:r>
            <w:r>
              <w:rPr>
                <w:noProof/>
                <w:webHidden/>
              </w:rPr>
              <w:fldChar w:fldCharType="begin"/>
            </w:r>
            <w:r>
              <w:rPr>
                <w:noProof/>
                <w:webHidden/>
              </w:rPr>
              <w:instrText xml:space="preserve"> PAGEREF _Toc220496675 \h </w:instrText>
            </w:r>
            <w:r>
              <w:rPr>
                <w:noProof/>
                <w:webHidden/>
              </w:rPr>
            </w:r>
            <w:r>
              <w:rPr>
                <w:noProof/>
                <w:webHidden/>
              </w:rPr>
              <w:fldChar w:fldCharType="separate"/>
            </w:r>
            <w:r>
              <w:rPr>
                <w:noProof/>
                <w:webHidden/>
              </w:rPr>
              <w:t>1047</w:t>
            </w:r>
            <w:r>
              <w:rPr>
                <w:noProof/>
                <w:webHidden/>
              </w:rPr>
              <w:fldChar w:fldCharType="end"/>
            </w:r>
          </w:hyperlink>
        </w:p>
        <w:p w14:paraId="3E30B120" w14:textId="699A062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76" w:history="1">
            <w:r w:rsidRPr="00F45DCA">
              <w:rPr>
                <w:rStyle w:val="Lienhypertexte"/>
                <w:noProof/>
              </w:rPr>
              <w:t>24.24.2 Charpentes en bois préfabriquées CCTB 01.04</w:t>
            </w:r>
            <w:r>
              <w:rPr>
                <w:noProof/>
                <w:webHidden/>
              </w:rPr>
              <w:tab/>
            </w:r>
            <w:r>
              <w:rPr>
                <w:noProof/>
                <w:webHidden/>
              </w:rPr>
              <w:fldChar w:fldCharType="begin"/>
            </w:r>
            <w:r>
              <w:rPr>
                <w:noProof/>
                <w:webHidden/>
              </w:rPr>
              <w:instrText xml:space="preserve"> PAGEREF _Toc220496676 \h </w:instrText>
            </w:r>
            <w:r>
              <w:rPr>
                <w:noProof/>
                <w:webHidden/>
              </w:rPr>
            </w:r>
            <w:r>
              <w:rPr>
                <w:noProof/>
                <w:webHidden/>
              </w:rPr>
              <w:fldChar w:fldCharType="separate"/>
            </w:r>
            <w:r>
              <w:rPr>
                <w:noProof/>
                <w:webHidden/>
              </w:rPr>
              <w:t>1047</w:t>
            </w:r>
            <w:r>
              <w:rPr>
                <w:noProof/>
                <w:webHidden/>
              </w:rPr>
              <w:fldChar w:fldCharType="end"/>
            </w:r>
          </w:hyperlink>
        </w:p>
        <w:p w14:paraId="6D07EC9E" w14:textId="019855E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77" w:history="1">
            <w:r w:rsidRPr="00F45DCA">
              <w:rPr>
                <w:rStyle w:val="Lienhypertexte"/>
                <w:noProof/>
              </w:rPr>
              <w:t>24.24.2a Fermettes préfabriquées à partir de planches et de connecteurs à plaques CCTB 01.11</w:t>
            </w:r>
            <w:r>
              <w:rPr>
                <w:noProof/>
                <w:webHidden/>
              </w:rPr>
              <w:tab/>
            </w:r>
            <w:r>
              <w:rPr>
                <w:noProof/>
                <w:webHidden/>
              </w:rPr>
              <w:fldChar w:fldCharType="begin"/>
            </w:r>
            <w:r>
              <w:rPr>
                <w:noProof/>
                <w:webHidden/>
              </w:rPr>
              <w:instrText xml:space="preserve"> PAGEREF _Toc220496677 \h </w:instrText>
            </w:r>
            <w:r>
              <w:rPr>
                <w:noProof/>
                <w:webHidden/>
              </w:rPr>
            </w:r>
            <w:r>
              <w:rPr>
                <w:noProof/>
                <w:webHidden/>
              </w:rPr>
              <w:fldChar w:fldCharType="separate"/>
            </w:r>
            <w:r>
              <w:rPr>
                <w:noProof/>
                <w:webHidden/>
              </w:rPr>
              <w:t>1047</w:t>
            </w:r>
            <w:r>
              <w:rPr>
                <w:noProof/>
                <w:webHidden/>
              </w:rPr>
              <w:fldChar w:fldCharType="end"/>
            </w:r>
          </w:hyperlink>
        </w:p>
        <w:p w14:paraId="640D5AFD" w14:textId="40E58DDC"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678" w:history="1">
            <w:r w:rsidRPr="00F45DCA">
              <w:rPr>
                <w:rStyle w:val="Lienhypertexte"/>
                <w:noProof/>
              </w:rPr>
              <w:t>24.3 Structures secondaires en bois CCTB 01.11</w:t>
            </w:r>
            <w:r>
              <w:rPr>
                <w:noProof/>
                <w:webHidden/>
              </w:rPr>
              <w:tab/>
            </w:r>
            <w:r>
              <w:rPr>
                <w:noProof/>
                <w:webHidden/>
              </w:rPr>
              <w:fldChar w:fldCharType="begin"/>
            </w:r>
            <w:r>
              <w:rPr>
                <w:noProof/>
                <w:webHidden/>
              </w:rPr>
              <w:instrText xml:space="preserve"> PAGEREF _Toc220496678 \h </w:instrText>
            </w:r>
            <w:r>
              <w:rPr>
                <w:noProof/>
                <w:webHidden/>
              </w:rPr>
            </w:r>
            <w:r>
              <w:rPr>
                <w:noProof/>
                <w:webHidden/>
              </w:rPr>
              <w:fldChar w:fldCharType="separate"/>
            </w:r>
            <w:r>
              <w:rPr>
                <w:noProof/>
                <w:webHidden/>
              </w:rPr>
              <w:t>1051</w:t>
            </w:r>
            <w:r>
              <w:rPr>
                <w:noProof/>
                <w:webHidden/>
              </w:rPr>
              <w:fldChar w:fldCharType="end"/>
            </w:r>
          </w:hyperlink>
        </w:p>
        <w:p w14:paraId="6F6883D5" w14:textId="66DF1B6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79" w:history="1">
            <w:r w:rsidRPr="00F45DCA">
              <w:rPr>
                <w:rStyle w:val="Lienhypertexte"/>
                <w:noProof/>
              </w:rPr>
              <w:t>24.31 Escaliers en bois CCTB 01.07</w:t>
            </w:r>
            <w:r>
              <w:rPr>
                <w:noProof/>
                <w:webHidden/>
              </w:rPr>
              <w:tab/>
            </w:r>
            <w:r>
              <w:rPr>
                <w:noProof/>
                <w:webHidden/>
              </w:rPr>
              <w:fldChar w:fldCharType="begin"/>
            </w:r>
            <w:r>
              <w:rPr>
                <w:noProof/>
                <w:webHidden/>
              </w:rPr>
              <w:instrText xml:space="preserve"> PAGEREF _Toc220496679 \h </w:instrText>
            </w:r>
            <w:r>
              <w:rPr>
                <w:noProof/>
                <w:webHidden/>
              </w:rPr>
            </w:r>
            <w:r>
              <w:rPr>
                <w:noProof/>
                <w:webHidden/>
              </w:rPr>
              <w:fldChar w:fldCharType="separate"/>
            </w:r>
            <w:r>
              <w:rPr>
                <w:noProof/>
                <w:webHidden/>
              </w:rPr>
              <w:t>1051</w:t>
            </w:r>
            <w:r>
              <w:rPr>
                <w:noProof/>
                <w:webHidden/>
              </w:rPr>
              <w:fldChar w:fldCharType="end"/>
            </w:r>
          </w:hyperlink>
        </w:p>
        <w:p w14:paraId="1796801D" w14:textId="2D86C21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80" w:history="1">
            <w:r w:rsidRPr="00F45DCA">
              <w:rPr>
                <w:rStyle w:val="Lienhypertexte"/>
                <w:noProof/>
              </w:rPr>
              <w:t>24.31.1 Escaliers monolithiques en bois CCTB 01.07</w:t>
            </w:r>
            <w:r>
              <w:rPr>
                <w:noProof/>
                <w:webHidden/>
              </w:rPr>
              <w:tab/>
            </w:r>
            <w:r>
              <w:rPr>
                <w:noProof/>
                <w:webHidden/>
              </w:rPr>
              <w:fldChar w:fldCharType="begin"/>
            </w:r>
            <w:r>
              <w:rPr>
                <w:noProof/>
                <w:webHidden/>
              </w:rPr>
              <w:instrText xml:space="preserve"> PAGEREF _Toc220496680 \h </w:instrText>
            </w:r>
            <w:r>
              <w:rPr>
                <w:noProof/>
                <w:webHidden/>
              </w:rPr>
            </w:r>
            <w:r>
              <w:rPr>
                <w:noProof/>
                <w:webHidden/>
              </w:rPr>
              <w:fldChar w:fldCharType="separate"/>
            </w:r>
            <w:r>
              <w:rPr>
                <w:noProof/>
                <w:webHidden/>
              </w:rPr>
              <w:t>1051</w:t>
            </w:r>
            <w:r>
              <w:rPr>
                <w:noProof/>
                <w:webHidden/>
              </w:rPr>
              <w:fldChar w:fldCharType="end"/>
            </w:r>
          </w:hyperlink>
        </w:p>
        <w:p w14:paraId="03BD8439" w14:textId="5667114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81" w:history="1">
            <w:r w:rsidRPr="00F45DCA">
              <w:rPr>
                <w:rStyle w:val="Lienhypertexte"/>
                <w:noProof/>
              </w:rPr>
              <w:t>24.31.1a Escaliers monolithiques en bois CCTB 01.11</w:t>
            </w:r>
            <w:r>
              <w:rPr>
                <w:noProof/>
                <w:webHidden/>
              </w:rPr>
              <w:tab/>
            </w:r>
            <w:r>
              <w:rPr>
                <w:noProof/>
                <w:webHidden/>
              </w:rPr>
              <w:fldChar w:fldCharType="begin"/>
            </w:r>
            <w:r>
              <w:rPr>
                <w:noProof/>
                <w:webHidden/>
              </w:rPr>
              <w:instrText xml:space="preserve"> PAGEREF _Toc220496681 \h </w:instrText>
            </w:r>
            <w:r>
              <w:rPr>
                <w:noProof/>
                <w:webHidden/>
              </w:rPr>
            </w:r>
            <w:r>
              <w:rPr>
                <w:noProof/>
                <w:webHidden/>
              </w:rPr>
              <w:fldChar w:fldCharType="separate"/>
            </w:r>
            <w:r>
              <w:rPr>
                <w:noProof/>
                <w:webHidden/>
              </w:rPr>
              <w:t>1051</w:t>
            </w:r>
            <w:r>
              <w:rPr>
                <w:noProof/>
                <w:webHidden/>
              </w:rPr>
              <w:fldChar w:fldCharType="end"/>
            </w:r>
          </w:hyperlink>
        </w:p>
        <w:p w14:paraId="18862E37" w14:textId="21388E3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82" w:history="1">
            <w:r w:rsidRPr="00F45DCA">
              <w:rPr>
                <w:rStyle w:val="Lienhypertexte"/>
                <w:noProof/>
              </w:rPr>
              <w:t>24.32 Balcons en bois CCTB 01.13</w:t>
            </w:r>
            <w:r>
              <w:rPr>
                <w:noProof/>
                <w:webHidden/>
              </w:rPr>
              <w:tab/>
            </w:r>
            <w:r>
              <w:rPr>
                <w:noProof/>
                <w:webHidden/>
              </w:rPr>
              <w:fldChar w:fldCharType="begin"/>
            </w:r>
            <w:r>
              <w:rPr>
                <w:noProof/>
                <w:webHidden/>
              </w:rPr>
              <w:instrText xml:space="preserve"> PAGEREF _Toc220496682 \h </w:instrText>
            </w:r>
            <w:r>
              <w:rPr>
                <w:noProof/>
                <w:webHidden/>
              </w:rPr>
            </w:r>
            <w:r>
              <w:rPr>
                <w:noProof/>
                <w:webHidden/>
              </w:rPr>
              <w:fldChar w:fldCharType="separate"/>
            </w:r>
            <w:r>
              <w:rPr>
                <w:noProof/>
                <w:webHidden/>
              </w:rPr>
              <w:t>1058</w:t>
            </w:r>
            <w:r>
              <w:rPr>
                <w:noProof/>
                <w:webHidden/>
              </w:rPr>
              <w:fldChar w:fldCharType="end"/>
            </w:r>
          </w:hyperlink>
        </w:p>
        <w:p w14:paraId="6EA7AD99" w14:textId="07EB833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83" w:history="1">
            <w:r w:rsidRPr="00F45DCA">
              <w:rPr>
                <w:rStyle w:val="Lienhypertexte"/>
                <w:noProof/>
              </w:rPr>
              <w:t>24.32.1 Balcons en bois CCTB 01.07</w:t>
            </w:r>
            <w:r>
              <w:rPr>
                <w:noProof/>
                <w:webHidden/>
              </w:rPr>
              <w:tab/>
            </w:r>
            <w:r>
              <w:rPr>
                <w:noProof/>
                <w:webHidden/>
              </w:rPr>
              <w:fldChar w:fldCharType="begin"/>
            </w:r>
            <w:r>
              <w:rPr>
                <w:noProof/>
                <w:webHidden/>
              </w:rPr>
              <w:instrText xml:space="preserve"> PAGEREF _Toc220496683 \h </w:instrText>
            </w:r>
            <w:r>
              <w:rPr>
                <w:noProof/>
                <w:webHidden/>
              </w:rPr>
            </w:r>
            <w:r>
              <w:rPr>
                <w:noProof/>
                <w:webHidden/>
              </w:rPr>
              <w:fldChar w:fldCharType="separate"/>
            </w:r>
            <w:r>
              <w:rPr>
                <w:noProof/>
                <w:webHidden/>
              </w:rPr>
              <w:t>1058</w:t>
            </w:r>
            <w:r>
              <w:rPr>
                <w:noProof/>
                <w:webHidden/>
              </w:rPr>
              <w:fldChar w:fldCharType="end"/>
            </w:r>
          </w:hyperlink>
        </w:p>
        <w:p w14:paraId="31BBBA92" w14:textId="6D2A630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84" w:history="1">
            <w:r w:rsidRPr="00F45DCA">
              <w:rPr>
                <w:rStyle w:val="Lienhypertexte"/>
                <w:noProof/>
              </w:rPr>
              <w:t>24.32.1a Balcons en bois CCTB 01.11</w:t>
            </w:r>
            <w:r>
              <w:rPr>
                <w:noProof/>
                <w:webHidden/>
              </w:rPr>
              <w:tab/>
            </w:r>
            <w:r>
              <w:rPr>
                <w:noProof/>
                <w:webHidden/>
              </w:rPr>
              <w:fldChar w:fldCharType="begin"/>
            </w:r>
            <w:r>
              <w:rPr>
                <w:noProof/>
                <w:webHidden/>
              </w:rPr>
              <w:instrText xml:space="preserve"> PAGEREF _Toc220496684 \h </w:instrText>
            </w:r>
            <w:r>
              <w:rPr>
                <w:noProof/>
                <w:webHidden/>
              </w:rPr>
            </w:r>
            <w:r>
              <w:rPr>
                <w:noProof/>
                <w:webHidden/>
              </w:rPr>
              <w:fldChar w:fldCharType="separate"/>
            </w:r>
            <w:r>
              <w:rPr>
                <w:noProof/>
                <w:webHidden/>
              </w:rPr>
              <w:t>1058</w:t>
            </w:r>
            <w:r>
              <w:rPr>
                <w:noProof/>
                <w:webHidden/>
              </w:rPr>
              <w:fldChar w:fldCharType="end"/>
            </w:r>
          </w:hyperlink>
        </w:p>
        <w:p w14:paraId="09F153C6" w14:textId="7CAE252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85" w:history="1">
            <w:r w:rsidRPr="00F45DCA">
              <w:rPr>
                <w:rStyle w:val="Lienhypertexte"/>
                <w:noProof/>
              </w:rPr>
              <w:t>24.33 Coursives en bois CCTB 01.07</w:t>
            </w:r>
            <w:r>
              <w:rPr>
                <w:noProof/>
                <w:webHidden/>
              </w:rPr>
              <w:tab/>
            </w:r>
            <w:r>
              <w:rPr>
                <w:noProof/>
                <w:webHidden/>
              </w:rPr>
              <w:fldChar w:fldCharType="begin"/>
            </w:r>
            <w:r>
              <w:rPr>
                <w:noProof/>
                <w:webHidden/>
              </w:rPr>
              <w:instrText xml:space="preserve"> PAGEREF _Toc220496685 \h </w:instrText>
            </w:r>
            <w:r>
              <w:rPr>
                <w:noProof/>
                <w:webHidden/>
              </w:rPr>
            </w:r>
            <w:r>
              <w:rPr>
                <w:noProof/>
                <w:webHidden/>
              </w:rPr>
              <w:fldChar w:fldCharType="separate"/>
            </w:r>
            <w:r>
              <w:rPr>
                <w:noProof/>
                <w:webHidden/>
              </w:rPr>
              <w:t>1062</w:t>
            </w:r>
            <w:r>
              <w:rPr>
                <w:noProof/>
                <w:webHidden/>
              </w:rPr>
              <w:fldChar w:fldCharType="end"/>
            </w:r>
          </w:hyperlink>
        </w:p>
        <w:p w14:paraId="0A279984" w14:textId="4544D87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86" w:history="1">
            <w:r w:rsidRPr="00F45DCA">
              <w:rPr>
                <w:rStyle w:val="Lienhypertexte"/>
                <w:noProof/>
              </w:rPr>
              <w:t>24.33.1 Coursives en bois  CCTB 01.07</w:t>
            </w:r>
            <w:r>
              <w:rPr>
                <w:noProof/>
                <w:webHidden/>
              </w:rPr>
              <w:tab/>
            </w:r>
            <w:r>
              <w:rPr>
                <w:noProof/>
                <w:webHidden/>
              </w:rPr>
              <w:fldChar w:fldCharType="begin"/>
            </w:r>
            <w:r>
              <w:rPr>
                <w:noProof/>
                <w:webHidden/>
              </w:rPr>
              <w:instrText xml:space="preserve"> PAGEREF _Toc220496686 \h </w:instrText>
            </w:r>
            <w:r>
              <w:rPr>
                <w:noProof/>
                <w:webHidden/>
              </w:rPr>
            </w:r>
            <w:r>
              <w:rPr>
                <w:noProof/>
                <w:webHidden/>
              </w:rPr>
              <w:fldChar w:fldCharType="separate"/>
            </w:r>
            <w:r>
              <w:rPr>
                <w:noProof/>
                <w:webHidden/>
              </w:rPr>
              <w:t>1062</w:t>
            </w:r>
            <w:r>
              <w:rPr>
                <w:noProof/>
                <w:webHidden/>
              </w:rPr>
              <w:fldChar w:fldCharType="end"/>
            </w:r>
          </w:hyperlink>
        </w:p>
        <w:p w14:paraId="2C39147A" w14:textId="458893B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87" w:history="1">
            <w:r w:rsidRPr="00F45DCA">
              <w:rPr>
                <w:rStyle w:val="Lienhypertexte"/>
                <w:noProof/>
              </w:rPr>
              <w:t>24.33.1a Coursives en bois CCTB 01.11</w:t>
            </w:r>
            <w:r>
              <w:rPr>
                <w:noProof/>
                <w:webHidden/>
              </w:rPr>
              <w:tab/>
            </w:r>
            <w:r>
              <w:rPr>
                <w:noProof/>
                <w:webHidden/>
              </w:rPr>
              <w:fldChar w:fldCharType="begin"/>
            </w:r>
            <w:r>
              <w:rPr>
                <w:noProof/>
                <w:webHidden/>
              </w:rPr>
              <w:instrText xml:space="preserve"> PAGEREF _Toc220496687 \h </w:instrText>
            </w:r>
            <w:r>
              <w:rPr>
                <w:noProof/>
                <w:webHidden/>
              </w:rPr>
            </w:r>
            <w:r>
              <w:rPr>
                <w:noProof/>
                <w:webHidden/>
              </w:rPr>
              <w:fldChar w:fldCharType="separate"/>
            </w:r>
            <w:r>
              <w:rPr>
                <w:noProof/>
                <w:webHidden/>
              </w:rPr>
              <w:t>1062</w:t>
            </w:r>
            <w:r>
              <w:rPr>
                <w:noProof/>
                <w:webHidden/>
              </w:rPr>
              <w:fldChar w:fldCharType="end"/>
            </w:r>
          </w:hyperlink>
        </w:p>
        <w:p w14:paraId="24D356A7" w14:textId="6793E21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88" w:history="1">
            <w:r w:rsidRPr="00F45DCA">
              <w:rPr>
                <w:rStyle w:val="Lienhypertexte"/>
                <w:noProof/>
              </w:rPr>
              <w:t>24.34 Passerelles en bois CCTB 01.07</w:t>
            </w:r>
            <w:r>
              <w:rPr>
                <w:noProof/>
                <w:webHidden/>
              </w:rPr>
              <w:tab/>
            </w:r>
            <w:r>
              <w:rPr>
                <w:noProof/>
                <w:webHidden/>
              </w:rPr>
              <w:fldChar w:fldCharType="begin"/>
            </w:r>
            <w:r>
              <w:rPr>
                <w:noProof/>
                <w:webHidden/>
              </w:rPr>
              <w:instrText xml:space="preserve"> PAGEREF _Toc220496688 \h </w:instrText>
            </w:r>
            <w:r>
              <w:rPr>
                <w:noProof/>
                <w:webHidden/>
              </w:rPr>
            </w:r>
            <w:r>
              <w:rPr>
                <w:noProof/>
                <w:webHidden/>
              </w:rPr>
              <w:fldChar w:fldCharType="separate"/>
            </w:r>
            <w:r>
              <w:rPr>
                <w:noProof/>
                <w:webHidden/>
              </w:rPr>
              <w:t>1066</w:t>
            </w:r>
            <w:r>
              <w:rPr>
                <w:noProof/>
                <w:webHidden/>
              </w:rPr>
              <w:fldChar w:fldCharType="end"/>
            </w:r>
          </w:hyperlink>
        </w:p>
        <w:p w14:paraId="5AAFFF56" w14:textId="6DD8EC9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89" w:history="1">
            <w:r w:rsidRPr="00F45DCA">
              <w:rPr>
                <w:rStyle w:val="Lienhypertexte"/>
                <w:noProof/>
              </w:rPr>
              <w:t>24.34.1 Passerelles en bois  CCTB 01.07</w:t>
            </w:r>
            <w:r>
              <w:rPr>
                <w:noProof/>
                <w:webHidden/>
              </w:rPr>
              <w:tab/>
            </w:r>
            <w:r>
              <w:rPr>
                <w:noProof/>
                <w:webHidden/>
              </w:rPr>
              <w:fldChar w:fldCharType="begin"/>
            </w:r>
            <w:r>
              <w:rPr>
                <w:noProof/>
                <w:webHidden/>
              </w:rPr>
              <w:instrText xml:space="preserve"> PAGEREF _Toc220496689 \h </w:instrText>
            </w:r>
            <w:r>
              <w:rPr>
                <w:noProof/>
                <w:webHidden/>
              </w:rPr>
            </w:r>
            <w:r>
              <w:rPr>
                <w:noProof/>
                <w:webHidden/>
              </w:rPr>
              <w:fldChar w:fldCharType="separate"/>
            </w:r>
            <w:r>
              <w:rPr>
                <w:noProof/>
                <w:webHidden/>
              </w:rPr>
              <w:t>1066</w:t>
            </w:r>
            <w:r>
              <w:rPr>
                <w:noProof/>
                <w:webHidden/>
              </w:rPr>
              <w:fldChar w:fldCharType="end"/>
            </w:r>
          </w:hyperlink>
        </w:p>
        <w:p w14:paraId="2CE368B3" w14:textId="54CB6AC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90" w:history="1">
            <w:r w:rsidRPr="00F45DCA">
              <w:rPr>
                <w:rStyle w:val="Lienhypertexte"/>
                <w:noProof/>
              </w:rPr>
              <w:t>24.34.1a Passerelles en bois  CCTB 01.11</w:t>
            </w:r>
            <w:r>
              <w:rPr>
                <w:noProof/>
                <w:webHidden/>
              </w:rPr>
              <w:tab/>
            </w:r>
            <w:r>
              <w:rPr>
                <w:noProof/>
                <w:webHidden/>
              </w:rPr>
              <w:fldChar w:fldCharType="begin"/>
            </w:r>
            <w:r>
              <w:rPr>
                <w:noProof/>
                <w:webHidden/>
              </w:rPr>
              <w:instrText xml:space="preserve"> PAGEREF _Toc220496690 \h </w:instrText>
            </w:r>
            <w:r>
              <w:rPr>
                <w:noProof/>
                <w:webHidden/>
              </w:rPr>
            </w:r>
            <w:r>
              <w:rPr>
                <w:noProof/>
                <w:webHidden/>
              </w:rPr>
              <w:fldChar w:fldCharType="separate"/>
            </w:r>
            <w:r>
              <w:rPr>
                <w:noProof/>
                <w:webHidden/>
              </w:rPr>
              <w:t>1066</w:t>
            </w:r>
            <w:r>
              <w:rPr>
                <w:noProof/>
                <w:webHidden/>
              </w:rPr>
              <w:fldChar w:fldCharType="end"/>
            </w:r>
          </w:hyperlink>
        </w:p>
        <w:p w14:paraId="2B34686E" w14:textId="43BA2A79"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91" w:history="1">
            <w:r w:rsidRPr="00F45DCA">
              <w:rPr>
                <w:rStyle w:val="Lienhypertexte"/>
                <w:noProof/>
              </w:rPr>
              <w:t>24.35 Auvents en bois CCTB 01.02</w:t>
            </w:r>
            <w:r>
              <w:rPr>
                <w:noProof/>
                <w:webHidden/>
              </w:rPr>
              <w:tab/>
            </w:r>
            <w:r>
              <w:rPr>
                <w:noProof/>
                <w:webHidden/>
              </w:rPr>
              <w:fldChar w:fldCharType="begin"/>
            </w:r>
            <w:r>
              <w:rPr>
                <w:noProof/>
                <w:webHidden/>
              </w:rPr>
              <w:instrText xml:space="preserve"> PAGEREF _Toc220496691 \h </w:instrText>
            </w:r>
            <w:r>
              <w:rPr>
                <w:noProof/>
                <w:webHidden/>
              </w:rPr>
            </w:r>
            <w:r>
              <w:rPr>
                <w:noProof/>
                <w:webHidden/>
              </w:rPr>
              <w:fldChar w:fldCharType="separate"/>
            </w:r>
            <w:r>
              <w:rPr>
                <w:noProof/>
                <w:webHidden/>
              </w:rPr>
              <w:t>1070</w:t>
            </w:r>
            <w:r>
              <w:rPr>
                <w:noProof/>
                <w:webHidden/>
              </w:rPr>
              <w:fldChar w:fldCharType="end"/>
            </w:r>
          </w:hyperlink>
        </w:p>
        <w:p w14:paraId="14970FCB" w14:textId="048219C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92" w:history="1">
            <w:r w:rsidRPr="00F45DCA">
              <w:rPr>
                <w:rStyle w:val="Lienhypertexte"/>
                <w:noProof/>
              </w:rPr>
              <w:t>24.35.1 Auvents en bois  CCTB 01.07</w:t>
            </w:r>
            <w:r>
              <w:rPr>
                <w:noProof/>
                <w:webHidden/>
              </w:rPr>
              <w:tab/>
            </w:r>
            <w:r>
              <w:rPr>
                <w:noProof/>
                <w:webHidden/>
              </w:rPr>
              <w:fldChar w:fldCharType="begin"/>
            </w:r>
            <w:r>
              <w:rPr>
                <w:noProof/>
                <w:webHidden/>
              </w:rPr>
              <w:instrText xml:space="preserve"> PAGEREF _Toc220496692 \h </w:instrText>
            </w:r>
            <w:r>
              <w:rPr>
                <w:noProof/>
                <w:webHidden/>
              </w:rPr>
            </w:r>
            <w:r>
              <w:rPr>
                <w:noProof/>
                <w:webHidden/>
              </w:rPr>
              <w:fldChar w:fldCharType="separate"/>
            </w:r>
            <w:r>
              <w:rPr>
                <w:noProof/>
                <w:webHidden/>
              </w:rPr>
              <w:t>1070</w:t>
            </w:r>
            <w:r>
              <w:rPr>
                <w:noProof/>
                <w:webHidden/>
              </w:rPr>
              <w:fldChar w:fldCharType="end"/>
            </w:r>
          </w:hyperlink>
        </w:p>
        <w:p w14:paraId="02458B55" w14:textId="0257DE6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93" w:history="1">
            <w:r w:rsidRPr="00F45DCA">
              <w:rPr>
                <w:rStyle w:val="Lienhypertexte"/>
                <w:noProof/>
              </w:rPr>
              <w:t>24.35.1a Auvents en bois CCTB 01.11</w:t>
            </w:r>
            <w:r>
              <w:rPr>
                <w:noProof/>
                <w:webHidden/>
              </w:rPr>
              <w:tab/>
            </w:r>
            <w:r>
              <w:rPr>
                <w:noProof/>
                <w:webHidden/>
              </w:rPr>
              <w:fldChar w:fldCharType="begin"/>
            </w:r>
            <w:r>
              <w:rPr>
                <w:noProof/>
                <w:webHidden/>
              </w:rPr>
              <w:instrText xml:space="preserve"> PAGEREF _Toc220496693 \h </w:instrText>
            </w:r>
            <w:r>
              <w:rPr>
                <w:noProof/>
                <w:webHidden/>
              </w:rPr>
            </w:r>
            <w:r>
              <w:rPr>
                <w:noProof/>
                <w:webHidden/>
              </w:rPr>
              <w:fldChar w:fldCharType="separate"/>
            </w:r>
            <w:r>
              <w:rPr>
                <w:noProof/>
                <w:webHidden/>
              </w:rPr>
              <w:t>1070</w:t>
            </w:r>
            <w:r>
              <w:rPr>
                <w:noProof/>
                <w:webHidden/>
              </w:rPr>
              <w:fldChar w:fldCharType="end"/>
            </w:r>
          </w:hyperlink>
        </w:p>
        <w:p w14:paraId="40FEF247" w14:textId="6EA3661C"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694" w:history="1">
            <w:r w:rsidRPr="00F45DCA">
              <w:rPr>
                <w:rStyle w:val="Lienhypertexte"/>
                <w:noProof/>
              </w:rPr>
              <w:t>24.4 Assemblages CCTB 01.11</w:t>
            </w:r>
            <w:r>
              <w:rPr>
                <w:noProof/>
                <w:webHidden/>
              </w:rPr>
              <w:tab/>
            </w:r>
            <w:r>
              <w:rPr>
                <w:noProof/>
                <w:webHidden/>
              </w:rPr>
              <w:fldChar w:fldCharType="begin"/>
            </w:r>
            <w:r>
              <w:rPr>
                <w:noProof/>
                <w:webHidden/>
              </w:rPr>
              <w:instrText xml:space="preserve"> PAGEREF _Toc220496694 \h </w:instrText>
            </w:r>
            <w:r>
              <w:rPr>
                <w:noProof/>
                <w:webHidden/>
              </w:rPr>
            </w:r>
            <w:r>
              <w:rPr>
                <w:noProof/>
                <w:webHidden/>
              </w:rPr>
              <w:fldChar w:fldCharType="separate"/>
            </w:r>
            <w:r>
              <w:rPr>
                <w:noProof/>
                <w:webHidden/>
              </w:rPr>
              <w:t>1073</w:t>
            </w:r>
            <w:r>
              <w:rPr>
                <w:noProof/>
                <w:webHidden/>
              </w:rPr>
              <w:fldChar w:fldCharType="end"/>
            </w:r>
          </w:hyperlink>
        </w:p>
        <w:p w14:paraId="0FA162B1" w14:textId="1825F73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695" w:history="1">
            <w:r w:rsidRPr="00F45DCA">
              <w:rPr>
                <w:rStyle w:val="Lienhypertexte"/>
                <w:noProof/>
              </w:rPr>
              <w:t>24.41 Assemblages traditionnels (Bois/Bois) CCTB 01.07</w:t>
            </w:r>
            <w:r>
              <w:rPr>
                <w:noProof/>
                <w:webHidden/>
              </w:rPr>
              <w:tab/>
            </w:r>
            <w:r>
              <w:rPr>
                <w:noProof/>
                <w:webHidden/>
              </w:rPr>
              <w:fldChar w:fldCharType="begin"/>
            </w:r>
            <w:r>
              <w:rPr>
                <w:noProof/>
                <w:webHidden/>
              </w:rPr>
              <w:instrText xml:space="preserve"> PAGEREF _Toc220496695 \h </w:instrText>
            </w:r>
            <w:r>
              <w:rPr>
                <w:noProof/>
                <w:webHidden/>
              </w:rPr>
            </w:r>
            <w:r>
              <w:rPr>
                <w:noProof/>
                <w:webHidden/>
              </w:rPr>
              <w:fldChar w:fldCharType="separate"/>
            </w:r>
            <w:r>
              <w:rPr>
                <w:noProof/>
                <w:webHidden/>
              </w:rPr>
              <w:t>1074</w:t>
            </w:r>
            <w:r>
              <w:rPr>
                <w:noProof/>
                <w:webHidden/>
              </w:rPr>
              <w:fldChar w:fldCharType="end"/>
            </w:r>
          </w:hyperlink>
        </w:p>
        <w:p w14:paraId="3D53E310" w14:textId="4FBEA34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696" w:history="1">
            <w:r w:rsidRPr="00F45DCA">
              <w:rPr>
                <w:rStyle w:val="Lienhypertexte"/>
                <w:noProof/>
              </w:rPr>
              <w:t>24.41.1 Assemblages traditionnels (bois/bois) CCTB 01.11</w:t>
            </w:r>
            <w:r>
              <w:rPr>
                <w:noProof/>
                <w:webHidden/>
              </w:rPr>
              <w:tab/>
            </w:r>
            <w:r>
              <w:rPr>
                <w:noProof/>
                <w:webHidden/>
              </w:rPr>
              <w:fldChar w:fldCharType="begin"/>
            </w:r>
            <w:r>
              <w:rPr>
                <w:noProof/>
                <w:webHidden/>
              </w:rPr>
              <w:instrText xml:space="preserve"> PAGEREF _Toc220496696 \h </w:instrText>
            </w:r>
            <w:r>
              <w:rPr>
                <w:noProof/>
                <w:webHidden/>
              </w:rPr>
            </w:r>
            <w:r>
              <w:rPr>
                <w:noProof/>
                <w:webHidden/>
              </w:rPr>
              <w:fldChar w:fldCharType="separate"/>
            </w:r>
            <w:r>
              <w:rPr>
                <w:noProof/>
                <w:webHidden/>
              </w:rPr>
              <w:t>1074</w:t>
            </w:r>
            <w:r>
              <w:rPr>
                <w:noProof/>
                <w:webHidden/>
              </w:rPr>
              <w:fldChar w:fldCharType="end"/>
            </w:r>
          </w:hyperlink>
        </w:p>
        <w:p w14:paraId="563AB095" w14:textId="17FEAB1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97" w:history="1">
            <w:r w:rsidRPr="00F45DCA">
              <w:rPr>
                <w:rStyle w:val="Lienhypertexte"/>
                <w:noProof/>
              </w:rPr>
              <w:t>24.41.1a Assemblages traditionnels (bois/bois) - embrèvements CCTB 01.07</w:t>
            </w:r>
            <w:r>
              <w:rPr>
                <w:noProof/>
                <w:webHidden/>
              </w:rPr>
              <w:tab/>
            </w:r>
            <w:r>
              <w:rPr>
                <w:noProof/>
                <w:webHidden/>
              </w:rPr>
              <w:fldChar w:fldCharType="begin"/>
            </w:r>
            <w:r>
              <w:rPr>
                <w:noProof/>
                <w:webHidden/>
              </w:rPr>
              <w:instrText xml:space="preserve"> PAGEREF _Toc220496697 \h </w:instrText>
            </w:r>
            <w:r>
              <w:rPr>
                <w:noProof/>
                <w:webHidden/>
              </w:rPr>
            </w:r>
            <w:r>
              <w:rPr>
                <w:noProof/>
                <w:webHidden/>
              </w:rPr>
              <w:fldChar w:fldCharType="separate"/>
            </w:r>
            <w:r>
              <w:rPr>
                <w:noProof/>
                <w:webHidden/>
              </w:rPr>
              <w:t>1074</w:t>
            </w:r>
            <w:r>
              <w:rPr>
                <w:noProof/>
                <w:webHidden/>
              </w:rPr>
              <w:fldChar w:fldCharType="end"/>
            </w:r>
          </w:hyperlink>
        </w:p>
        <w:p w14:paraId="249520D1" w14:textId="779352F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98" w:history="1">
            <w:r w:rsidRPr="00F45DCA">
              <w:rPr>
                <w:rStyle w:val="Lienhypertexte"/>
                <w:noProof/>
              </w:rPr>
              <w:t>24.41.1b Assemblages traditionnels (bois/bois) - tenons et mortaises CCTB 01.07</w:t>
            </w:r>
            <w:r>
              <w:rPr>
                <w:noProof/>
                <w:webHidden/>
              </w:rPr>
              <w:tab/>
            </w:r>
            <w:r>
              <w:rPr>
                <w:noProof/>
                <w:webHidden/>
              </w:rPr>
              <w:fldChar w:fldCharType="begin"/>
            </w:r>
            <w:r>
              <w:rPr>
                <w:noProof/>
                <w:webHidden/>
              </w:rPr>
              <w:instrText xml:space="preserve"> PAGEREF _Toc220496698 \h </w:instrText>
            </w:r>
            <w:r>
              <w:rPr>
                <w:noProof/>
                <w:webHidden/>
              </w:rPr>
            </w:r>
            <w:r>
              <w:rPr>
                <w:noProof/>
                <w:webHidden/>
              </w:rPr>
              <w:fldChar w:fldCharType="separate"/>
            </w:r>
            <w:r>
              <w:rPr>
                <w:noProof/>
                <w:webHidden/>
              </w:rPr>
              <w:t>1076</w:t>
            </w:r>
            <w:r>
              <w:rPr>
                <w:noProof/>
                <w:webHidden/>
              </w:rPr>
              <w:fldChar w:fldCharType="end"/>
            </w:r>
          </w:hyperlink>
        </w:p>
        <w:p w14:paraId="0818BFDB" w14:textId="4394AFD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699" w:history="1">
            <w:r w:rsidRPr="00F45DCA">
              <w:rPr>
                <w:rStyle w:val="Lienhypertexte"/>
                <w:noProof/>
              </w:rPr>
              <w:t>24.41.1c Assemblages traditionnels (bois/bois) - queues d'aronde CCTB 01.11</w:t>
            </w:r>
            <w:r>
              <w:rPr>
                <w:noProof/>
                <w:webHidden/>
              </w:rPr>
              <w:tab/>
            </w:r>
            <w:r>
              <w:rPr>
                <w:noProof/>
                <w:webHidden/>
              </w:rPr>
              <w:fldChar w:fldCharType="begin"/>
            </w:r>
            <w:r>
              <w:rPr>
                <w:noProof/>
                <w:webHidden/>
              </w:rPr>
              <w:instrText xml:space="preserve"> PAGEREF _Toc220496699 \h </w:instrText>
            </w:r>
            <w:r>
              <w:rPr>
                <w:noProof/>
                <w:webHidden/>
              </w:rPr>
            </w:r>
            <w:r>
              <w:rPr>
                <w:noProof/>
                <w:webHidden/>
              </w:rPr>
              <w:fldChar w:fldCharType="separate"/>
            </w:r>
            <w:r>
              <w:rPr>
                <w:noProof/>
                <w:webHidden/>
              </w:rPr>
              <w:t>1078</w:t>
            </w:r>
            <w:r>
              <w:rPr>
                <w:noProof/>
                <w:webHidden/>
              </w:rPr>
              <w:fldChar w:fldCharType="end"/>
            </w:r>
          </w:hyperlink>
        </w:p>
        <w:p w14:paraId="3884E470" w14:textId="11DE3FE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00" w:history="1">
            <w:r w:rsidRPr="00F45DCA">
              <w:rPr>
                <w:rStyle w:val="Lienhypertexte"/>
                <w:noProof/>
              </w:rPr>
              <w:t>24.41.1d Assemblages traditionnels (bois/bois) - traits de Jupiter CCTB 01.07</w:t>
            </w:r>
            <w:r>
              <w:rPr>
                <w:noProof/>
                <w:webHidden/>
              </w:rPr>
              <w:tab/>
            </w:r>
            <w:r>
              <w:rPr>
                <w:noProof/>
                <w:webHidden/>
              </w:rPr>
              <w:fldChar w:fldCharType="begin"/>
            </w:r>
            <w:r>
              <w:rPr>
                <w:noProof/>
                <w:webHidden/>
              </w:rPr>
              <w:instrText xml:space="preserve"> PAGEREF _Toc220496700 \h </w:instrText>
            </w:r>
            <w:r>
              <w:rPr>
                <w:noProof/>
                <w:webHidden/>
              </w:rPr>
            </w:r>
            <w:r>
              <w:rPr>
                <w:noProof/>
                <w:webHidden/>
              </w:rPr>
              <w:fldChar w:fldCharType="separate"/>
            </w:r>
            <w:r>
              <w:rPr>
                <w:noProof/>
                <w:webHidden/>
              </w:rPr>
              <w:t>1080</w:t>
            </w:r>
            <w:r>
              <w:rPr>
                <w:noProof/>
                <w:webHidden/>
              </w:rPr>
              <w:fldChar w:fldCharType="end"/>
            </w:r>
          </w:hyperlink>
        </w:p>
        <w:p w14:paraId="5D3C7926" w14:textId="0CB1038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701" w:history="1">
            <w:r w:rsidRPr="00F45DCA">
              <w:rPr>
                <w:rStyle w:val="Lienhypertexte"/>
                <w:noProof/>
              </w:rPr>
              <w:t>24.42 Assemblages mécaniques CCTB 01.11</w:t>
            </w:r>
            <w:r>
              <w:rPr>
                <w:noProof/>
                <w:webHidden/>
              </w:rPr>
              <w:tab/>
            </w:r>
            <w:r>
              <w:rPr>
                <w:noProof/>
                <w:webHidden/>
              </w:rPr>
              <w:fldChar w:fldCharType="begin"/>
            </w:r>
            <w:r>
              <w:rPr>
                <w:noProof/>
                <w:webHidden/>
              </w:rPr>
              <w:instrText xml:space="preserve"> PAGEREF _Toc220496701 \h </w:instrText>
            </w:r>
            <w:r>
              <w:rPr>
                <w:noProof/>
                <w:webHidden/>
              </w:rPr>
            </w:r>
            <w:r>
              <w:rPr>
                <w:noProof/>
                <w:webHidden/>
              </w:rPr>
              <w:fldChar w:fldCharType="separate"/>
            </w:r>
            <w:r>
              <w:rPr>
                <w:noProof/>
                <w:webHidden/>
              </w:rPr>
              <w:t>1081</w:t>
            </w:r>
            <w:r>
              <w:rPr>
                <w:noProof/>
                <w:webHidden/>
              </w:rPr>
              <w:fldChar w:fldCharType="end"/>
            </w:r>
          </w:hyperlink>
        </w:p>
        <w:p w14:paraId="74008630" w14:textId="4C69FB0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02" w:history="1">
            <w:r w:rsidRPr="00F45DCA">
              <w:rPr>
                <w:rStyle w:val="Lienhypertexte"/>
                <w:noProof/>
              </w:rPr>
              <w:t>24.42.1 Assemblages par tiges CCTB 01.07</w:t>
            </w:r>
            <w:r>
              <w:rPr>
                <w:noProof/>
                <w:webHidden/>
              </w:rPr>
              <w:tab/>
            </w:r>
            <w:r>
              <w:rPr>
                <w:noProof/>
                <w:webHidden/>
              </w:rPr>
              <w:fldChar w:fldCharType="begin"/>
            </w:r>
            <w:r>
              <w:rPr>
                <w:noProof/>
                <w:webHidden/>
              </w:rPr>
              <w:instrText xml:space="preserve"> PAGEREF _Toc220496702 \h </w:instrText>
            </w:r>
            <w:r>
              <w:rPr>
                <w:noProof/>
                <w:webHidden/>
              </w:rPr>
            </w:r>
            <w:r>
              <w:rPr>
                <w:noProof/>
                <w:webHidden/>
              </w:rPr>
              <w:fldChar w:fldCharType="separate"/>
            </w:r>
            <w:r>
              <w:rPr>
                <w:noProof/>
                <w:webHidden/>
              </w:rPr>
              <w:t>1082</w:t>
            </w:r>
            <w:r>
              <w:rPr>
                <w:noProof/>
                <w:webHidden/>
              </w:rPr>
              <w:fldChar w:fldCharType="end"/>
            </w:r>
          </w:hyperlink>
        </w:p>
        <w:p w14:paraId="5328C20B" w14:textId="00F0EC5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03" w:history="1">
            <w:r w:rsidRPr="00F45DCA">
              <w:rPr>
                <w:rStyle w:val="Lienhypertexte"/>
                <w:noProof/>
              </w:rPr>
              <w:t>24.42.1a Assemblages par tiges - clous CCTB 01.11</w:t>
            </w:r>
            <w:r>
              <w:rPr>
                <w:noProof/>
                <w:webHidden/>
              </w:rPr>
              <w:tab/>
            </w:r>
            <w:r>
              <w:rPr>
                <w:noProof/>
                <w:webHidden/>
              </w:rPr>
              <w:fldChar w:fldCharType="begin"/>
            </w:r>
            <w:r>
              <w:rPr>
                <w:noProof/>
                <w:webHidden/>
              </w:rPr>
              <w:instrText xml:space="preserve"> PAGEREF _Toc220496703 \h </w:instrText>
            </w:r>
            <w:r>
              <w:rPr>
                <w:noProof/>
                <w:webHidden/>
              </w:rPr>
            </w:r>
            <w:r>
              <w:rPr>
                <w:noProof/>
                <w:webHidden/>
              </w:rPr>
              <w:fldChar w:fldCharType="separate"/>
            </w:r>
            <w:r>
              <w:rPr>
                <w:noProof/>
                <w:webHidden/>
              </w:rPr>
              <w:t>1083</w:t>
            </w:r>
            <w:r>
              <w:rPr>
                <w:noProof/>
                <w:webHidden/>
              </w:rPr>
              <w:fldChar w:fldCharType="end"/>
            </w:r>
          </w:hyperlink>
        </w:p>
        <w:p w14:paraId="5DA8FB55" w14:textId="1977C6B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04" w:history="1">
            <w:r w:rsidRPr="00F45DCA">
              <w:rPr>
                <w:rStyle w:val="Lienhypertexte"/>
                <w:noProof/>
              </w:rPr>
              <w:t>24.42.1b Assemblages par tiges - broches CCTB 01.11</w:t>
            </w:r>
            <w:r>
              <w:rPr>
                <w:noProof/>
                <w:webHidden/>
              </w:rPr>
              <w:tab/>
            </w:r>
            <w:r>
              <w:rPr>
                <w:noProof/>
                <w:webHidden/>
              </w:rPr>
              <w:fldChar w:fldCharType="begin"/>
            </w:r>
            <w:r>
              <w:rPr>
                <w:noProof/>
                <w:webHidden/>
              </w:rPr>
              <w:instrText xml:space="preserve"> PAGEREF _Toc220496704 \h </w:instrText>
            </w:r>
            <w:r>
              <w:rPr>
                <w:noProof/>
                <w:webHidden/>
              </w:rPr>
            </w:r>
            <w:r>
              <w:rPr>
                <w:noProof/>
                <w:webHidden/>
              </w:rPr>
              <w:fldChar w:fldCharType="separate"/>
            </w:r>
            <w:r>
              <w:rPr>
                <w:noProof/>
                <w:webHidden/>
              </w:rPr>
              <w:t>1085</w:t>
            </w:r>
            <w:r>
              <w:rPr>
                <w:noProof/>
                <w:webHidden/>
              </w:rPr>
              <w:fldChar w:fldCharType="end"/>
            </w:r>
          </w:hyperlink>
        </w:p>
        <w:p w14:paraId="36BED5D4" w14:textId="02DF223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05" w:history="1">
            <w:r w:rsidRPr="00F45DCA">
              <w:rPr>
                <w:rStyle w:val="Lienhypertexte"/>
                <w:noProof/>
              </w:rPr>
              <w:t>24.42.1c Assemblages par tiges - boulons CCTB 01.11</w:t>
            </w:r>
            <w:r>
              <w:rPr>
                <w:noProof/>
                <w:webHidden/>
              </w:rPr>
              <w:tab/>
            </w:r>
            <w:r>
              <w:rPr>
                <w:noProof/>
                <w:webHidden/>
              </w:rPr>
              <w:fldChar w:fldCharType="begin"/>
            </w:r>
            <w:r>
              <w:rPr>
                <w:noProof/>
                <w:webHidden/>
              </w:rPr>
              <w:instrText xml:space="preserve"> PAGEREF _Toc220496705 \h </w:instrText>
            </w:r>
            <w:r>
              <w:rPr>
                <w:noProof/>
                <w:webHidden/>
              </w:rPr>
            </w:r>
            <w:r>
              <w:rPr>
                <w:noProof/>
                <w:webHidden/>
              </w:rPr>
              <w:fldChar w:fldCharType="separate"/>
            </w:r>
            <w:r>
              <w:rPr>
                <w:noProof/>
                <w:webHidden/>
              </w:rPr>
              <w:t>1087</w:t>
            </w:r>
            <w:r>
              <w:rPr>
                <w:noProof/>
                <w:webHidden/>
              </w:rPr>
              <w:fldChar w:fldCharType="end"/>
            </w:r>
          </w:hyperlink>
        </w:p>
        <w:p w14:paraId="521DF9B6" w14:textId="16706B7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06" w:history="1">
            <w:r w:rsidRPr="00F45DCA">
              <w:rPr>
                <w:rStyle w:val="Lienhypertexte"/>
                <w:noProof/>
              </w:rPr>
              <w:t>24.42.1d Assemblages par tiges - vis CCTB 01.11</w:t>
            </w:r>
            <w:r>
              <w:rPr>
                <w:noProof/>
                <w:webHidden/>
              </w:rPr>
              <w:tab/>
            </w:r>
            <w:r>
              <w:rPr>
                <w:noProof/>
                <w:webHidden/>
              </w:rPr>
              <w:fldChar w:fldCharType="begin"/>
            </w:r>
            <w:r>
              <w:rPr>
                <w:noProof/>
                <w:webHidden/>
              </w:rPr>
              <w:instrText xml:space="preserve"> PAGEREF _Toc220496706 \h </w:instrText>
            </w:r>
            <w:r>
              <w:rPr>
                <w:noProof/>
                <w:webHidden/>
              </w:rPr>
            </w:r>
            <w:r>
              <w:rPr>
                <w:noProof/>
                <w:webHidden/>
              </w:rPr>
              <w:fldChar w:fldCharType="separate"/>
            </w:r>
            <w:r>
              <w:rPr>
                <w:noProof/>
                <w:webHidden/>
              </w:rPr>
              <w:t>1089</w:t>
            </w:r>
            <w:r>
              <w:rPr>
                <w:noProof/>
                <w:webHidden/>
              </w:rPr>
              <w:fldChar w:fldCharType="end"/>
            </w:r>
          </w:hyperlink>
        </w:p>
        <w:p w14:paraId="630190D5" w14:textId="7AB91D6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07" w:history="1">
            <w:r w:rsidRPr="00F45DCA">
              <w:rPr>
                <w:rStyle w:val="Lienhypertexte"/>
                <w:noProof/>
              </w:rPr>
              <w:t>24.42.1e Assemblages par tiges - tire-fonds CCTB 01.11</w:t>
            </w:r>
            <w:r>
              <w:rPr>
                <w:noProof/>
                <w:webHidden/>
              </w:rPr>
              <w:tab/>
            </w:r>
            <w:r>
              <w:rPr>
                <w:noProof/>
                <w:webHidden/>
              </w:rPr>
              <w:fldChar w:fldCharType="begin"/>
            </w:r>
            <w:r>
              <w:rPr>
                <w:noProof/>
                <w:webHidden/>
              </w:rPr>
              <w:instrText xml:space="preserve"> PAGEREF _Toc220496707 \h </w:instrText>
            </w:r>
            <w:r>
              <w:rPr>
                <w:noProof/>
                <w:webHidden/>
              </w:rPr>
            </w:r>
            <w:r>
              <w:rPr>
                <w:noProof/>
                <w:webHidden/>
              </w:rPr>
              <w:fldChar w:fldCharType="separate"/>
            </w:r>
            <w:r>
              <w:rPr>
                <w:noProof/>
                <w:webHidden/>
              </w:rPr>
              <w:t>1092</w:t>
            </w:r>
            <w:r>
              <w:rPr>
                <w:noProof/>
                <w:webHidden/>
              </w:rPr>
              <w:fldChar w:fldCharType="end"/>
            </w:r>
          </w:hyperlink>
        </w:p>
        <w:p w14:paraId="4E1E33CA" w14:textId="7552515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08" w:history="1">
            <w:r w:rsidRPr="00F45DCA">
              <w:rPr>
                <w:rStyle w:val="Lienhypertexte"/>
                <w:noProof/>
              </w:rPr>
              <w:t>24.42.1f Assemblages par tiges - agrafes CCTB 01.11</w:t>
            </w:r>
            <w:r>
              <w:rPr>
                <w:noProof/>
                <w:webHidden/>
              </w:rPr>
              <w:tab/>
            </w:r>
            <w:r>
              <w:rPr>
                <w:noProof/>
                <w:webHidden/>
              </w:rPr>
              <w:fldChar w:fldCharType="begin"/>
            </w:r>
            <w:r>
              <w:rPr>
                <w:noProof/>
                <w:webHidden/>
              </w:rPr>
              <w:instrText xml:space="preserve"> PAGEREF _Toc220496708 \h </w:instrText>
            </w:r>
            <w:r>
              <w:rPr>
                <w:noProof/>
                <w:webHidden/>
              </w:rPr>
            </w:r>
            <w:r>
              <w:rPr>
                <w:noProof/>
                <w:webHidden/>
              </w:rPr>
              <w:fldChar w:fldCharType="separate"/>
            </w:r>
            <w:r>
              <w:rPr>
                <w:noProof/>
                <w:webHidden/>
              </w:rPr>
              <w:t>1094</w:t>
            </w:r>
            <w:r>
              <w:rPr>
                <w:noProof/>
                <w:webHidden/>
              </w:rPr>
              <w:fldChar w:fldCharType="end"/>
            </w:r>
          </w:hyperlink>
        </w:p>
        <w:p w14:paraId="77B5A23F" w14:textId="0A80F3B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09" w:history="1">
            <w:r w:rsidRPr="00F45DCA">
              <w:rPr>
                <w:rStyle w:val="Lienhypertexte"/>
                <w:noProof/>
              </w:rPr>
              <w:t>24.42.2 Connecteurs de surface CCTB 01.07</w:t>
            </w:r>
            <w:r>
              <w:rPr>
                <w:noProof/>
                <w:webHidden/>
              </w:rPr>
              <w:tab/>
            </w:r>
            <w:r>
              <w:rPr>
                <w:noProof/>
                <w:webHidden/>
              </w:rPr>
              <w:fldChar w:fldCharType="begin"/>
            </w:r>
            <w:r>
              <w:rPr>
                <w:noProof/>
                <w:webHidden/>
              </w:rPr>
              <w:instrText xml:space="preserve"> PAGEREF _Toc220496709 \h </w:instrText>
            </w:r>
            <w:r>
              <w:rPr>
                <w:noProof/>
                <w:webHidden/>
              </w:rPr>
            </w:r>
            <w:r>
              <w:rPr>
                <w:noProof/>
                <w:webHidden/>
              </w:rPr>
              <w:fldChar w:fldCharType="separate"/>
            </w:r>
            <w:r>
              <w:rPr>
                <w:noProof/>
                <w:webHidden/>
              </w:rPr>
              <w:t>1096</w:t>
            </w:r>
            <w:r>
              <w:rPr>
                <w:noProof/>
                <w:webHidden/>
              </w:rPr>
              <w:fldChar w:fldCharType="end"/>
            </w:r>
          </w:hyperlink>
        </w:p>
        <w:p w14:paraId="0E1E513D" w14:textId="526E67C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10" w:history="1">
            <w:r w:rsidRPr="00F45DCA">
              <w:rPr>
                <w:rStyle w:val="Lienhypertexte"/>
                <w:noProof/>
              </w:rPr>
              <w:t>24.42.2a Connecteurs de surface - anneaux CCTB 01.12</w:t>
            </w:r>
            <w:r>
              <w:rPr>
                <w:noProof/>
                <w:webHidden/>
              </w:rPr>
              <w:tab/>
            </w:r>
            <w:r>
              <w:rPr>
                <w:noProof/>
                <w:webHidden/>
              </w:rPr>
              <w:fldChar w:fldCharType="begin"/>
            </w:r>
            <w:r>
              <w:rPr>
                <w:noProof/>
                <w:webHidden/>
              </w:rPr>
              <w:instrText xml:space="preserve"> PAGEREF _Toc220496710 \h </w:instrText>
            </w:r>
            <w:r>
              <w:rPr>
                <w:noProof/>
                <w:webHidden/>
              </w:rPr>
            </w:r>
            <w:r>
              <w:rPr>
                <w:noProof/>
                <w:webHidden/>
              </w:rPr>
              <w:fldChar w:fldCharType="separate"/>
            </w:r>
            <w:r>
              <w:rPr>
                <w:noProof/>
                <w:webHidden/>
              </w:rPr>
              <w:t>1096</w:t>
            </w:r>
            <w:r>
              <w:rPr>
                <w:noProof/>
                <w:webHidden/>
              </w:rPr>
              <w:fldChar w:fldCharType="end"/>
            </w:r>
          </w:hyperlink>
        </w:p>
        <w:p w14:paraId="3C1F3880" w14:textId="4C2B8A0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11" w:history="1">
            <w:r w:rsidRPr="00F45DCA">
              <w:rPr>
                <w:rStyle w:val="Lienhypertexte"/>
                <w:noProof/>
              </w:rPr>
              <w:t>24.42.2b Connecteurs de surface - crampons CCTB 01.11</w:t>
            </w:r>
            <w:r>
              <w:rPr>
                <w:noProof/>
                <w:webHidden/>
              </w:rPr>
              <w:tab/>
            </w:r>
            <w:r>
              <w:rPr>
                <w:noProof/>
                <w:webHidden/>
              </w:rPr>
              <w:fldChar w:fldCharType="begin"/>
            </w:r>
            <w:r>
              <w:rPr>
                <w:noProof/>
                <w:webHidden/>
              </w:rPr>
              <w:instrText xml:space="preserve"> PAGEREF _Toc220496711 \h </w:instrText>
            </w:r>
            <w:r>
              <w:rPr>
                <w:noProof/>
                <w:webHidden/>
              </w:rPr>
            </w:r>
            <w:r>
              <w:rPr>
                <w:noProof/>
                <w:webHidden/>
              </w:rPr>
              <w:fldChar w:fldCharType="separate"/>
            </w:r>
            <w:r>
              <w:rPr>
                <w:noProof/>
                <w:webHidden/>
              </w:rPr>
              <w:t>1098</w:t>
            </w:r>
            <w:r>
              <w:rPr>
                <w:noProof/>
                <w:webHidden/>
              </w:rPr>
              <w:fldChar w:fldCharType="end"/>
            </w:r>
          </w:hyperlink>
        </w:p>
        <w:p w14:paraId="14C747D7" w14:textId="4486061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12" w:history="1">
            <w:r w:rsidRPr="00F45DCA">
              <w:rPr>
                <w:rStyle w:val="Lienhypertexte"/>
                <w:noProof/>
              </w:rPr>
              <w:t>24.42.2c Connecteurs de surface - plaques dentées CCTB 01.11</w:t>
            </w:r>
            <w:r>
              <w:rPr>
                <w:noProof/>
                <w:webHidden/>
              </w:rPr>
              <w:tab/>
            </w:r>
            <w:r>
              <w:rPr>
                <w:noProof/>
                <w:webHidden/>
              </w:rPr>
              <w:fldChar w:fldCharType="begin"/>
            </w:r>
            <w:r>
              <w:rPr>
                <w:noProof/>
                <w:webHidden/>
              </w:rPr>
              <w:instrText xml:space="preserve"> PAGEREF _Toc220496712 \h </w:instrText>
            </w:r>
            <w:r>
              <w:rPr>
                <w:noProof/>
                <w:webHidden/>
              </w:rPr>
            </w:r>
            <w:r>
              <w:rPr>
                <w:noProof/>
                <w:webHidden/>
              </w:rPr>
              <w:fldChar w:fldCharType="separate"/>
            </w:r>
            <w:r>
              <w:rPr>
                <w:noProof/>
                <w:webHidden/>
              </w:rPr>
              <w:t>1101</w:t>
            </w:r>
            <w:r>
              <w:rPr>
                <w:noProof/>
                <w:webHidden/>
              </w:rPr>
              <w:fldChar w:fldCharType="end"/>
            </w:r>
          </w:hyperlink>
        </w:p>
        <w:p w14:paraId="3C1BC591" w14:textId="08BEEE4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13" w:history="1">
            <w:r w:rsidRPr="00F45DCA">
              <w:rPr>
                <w:rStyle w:val="Lienhypertexte"/>
                <w:noProof/>
              </w:rPr>
              <w:t>24.42.3 Systèmes de connexion CCTB 01.10</w:t>
            </w:r>
            <w:r>
              <w:rPr>
                <w:noProof/>
                <w:webHidden/>
              </w:rPr>
              <w:tab/>
            </w:r>
            <w:r>
              <w:rPr>
                <w:noProof/>
                <w:webHidden/>
              </w:rPr>
              <w:fldChar w:fldCharType="begin"/>
            </w:r>
            <w:r>
              <w:rPr>
                <w:noProof/>
                <w:webHidden/>
              </w:rPr>
              <w:instrText xml:space="preserve"> PAGEREF _Toc220496713 \h </w:instrText>
            </w:r>
            <w:r>
              <w:rPr>
                <w:noProof/>
                <w:webHidden/>
              </w:rPr>
            </w:r>
            <w:r>
              <w:rPr>
                <w:noProof/>
                <w:webHidden/>
              </w:rPr>
              <w:fldChar w:fldCharType="separate"/>
            </w:r>
            <w:r>
              <w:rPr>
                <w:noProof/>
                <w:webHidden/>
              </w:rPr>
              <w:t>1103</w:t>
            </w:r>
            <w:r>
              <w:rPr>
                <w:noProof/>
                <w:webHidden/>
              </w:rPr>
              <w:fldChar w:fldCharType="end"/>
            </w:r>
          </w:hyperlink>
        </w:p>
        <w:p w14:paraId="107729F0" w14:textId="5E54725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14" w:history="1">
            <w:r w:rsidRPr="00F45DCA">
              <w:rPr>
                <w:rStyle w:val="Lienhypertexte"/>
                <w:noProof/>
              </w:rPr>
              <w:t>24.42.3a Systèmes de connexion - tôles minces clouées CCTB 01.07</w:t>
            </w:r>
            <w:r>
              <w:rPr>
                <w:noProof/>
                <w:webHidden/>
              </w:rPr>
              <w:tab/>
            </w:r>
            <w:r>
              <w:rPr>
                <w:noProof/>
                <w:webHidden/>
              </w:rPr>
              <w:fldChar w:fldCharType="begin"/>
            </w:r>
            <w:r>
              <w:rPr>
                <w:noProof/>
                <w:webHidden/>
              </w:rPr>
              <w:instrText xml:space="preserve"> PAGEREF _Toc220496714 \h </w:instrText>
            </w:r>
            <w:r>
              <w:rPr>
                <w:noProof/>
                <w:webHidden/>
              </w:rPr>
            </w:r>
            <w:r>
              <w:rPr>
                <w:noProof/>
                <w:webHidden/>
              </w:rPr>
              <w:fldChar w:fldCharType="separate"/>
            </w:r>
            <w:r>
              <w:rPr>
                <w:noProof/>
                <w:webHidden/>
              </w:rPr>
              <w:t>1103</w:t>
            </w:r>
            <w:r>
              <w:rPr>
                <w:noProof/>
                <w:webHidden/>
              </w:rPr>
              <w:fldChar w:fldCharType="end"/>
            </w:r>
          </w:hyperlink>
        </w:p>
        <w:p w14:paraId="4690A2FF" w14:textId="7189F8E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15" w:history="1">
            <w:r w:rsidRPr="00F45DCA">
              <w:rPr>
                <w:rStyle w:val="Lienhypertexte"/>
                <w:noProof/>
              </w:rPr>
              <w:t>24.42.3b Systèmes de connexion - ferrures standardisées CCTB 01.11</w:t>
            </w:r>
            <w:r>
              <w:rPr>
                <w:noProof/>
                <w:webHidden/>
              </w:rPr>
              <w:tab/>
            </w:r>
            <w:r>
              <w:rPr>
                <w:noProof/>
                <w:webHidden/>
              </w:rPr>
              <w:fldChar w:fldCharType="begin"/>
            </w:r>
            <w:r>
              <w:rPr>
                <w:noProof/>
                <w:webHidden/>
              </w:rPr>
              <w:instrText xml:space="preserve"> PAGEREF _Toc220496715 \h </w:instrText>
            </w:r>
            <w:r>
              <w:rPr>
                <w:noProof/>
                <w:webHidden/>
              </w:rPr>
            </w:r>
            <w:r>
              <w:rPr>
                <w:noProof/>
                <w:webHidden/>
              </w:rPr>
              <w:fldChar w:fldCharType="separate"/>
            </w:r>
            <w:r>
              <w:rPr>
                <w:noProof/>
                <w:webHidden/>
              </w:rPr>
              <w:t>1103</w:t>
            </w:r>
            <w:r>
              <w:rPr>
                <w:noProof/>
                <w:webHidden/>
              </w:rPr>
              <w:fldChar w:fldCharType="end"/>
            </w:r>
          </w:hyperlink>
        </w:p>
        <w:p w14:paraId="35C9DD11" w14:textId="0BA40F1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16" w:history="1">
            <w:r w:rsidRPr="00F45DCA">
              <w:rPr>
                <w:rStyle w:val="Lienhypertexte"/>
                <w:noProof/>
              </w:rPr>
              <w:t>24.42.3c Systèmes de connexion - ferrures mécano-soudées CCTB 01.11</w:t>
            </w:r>
            <w:r>
              <w:rPr>
                <w:noProof/>
                <w:webHidden/>
              </w:rPr>
              <w:tab/>
            </w:r>
            <w:r>
              <w:rPr>
                <w:noProof/>
                <w:webHidden/>
              </w:rPr>
              <w:fldChar w:fldCharType="begin"/>
            </w:r>
            <w:r>
              <w:rPr>
                <w:noProof/>
                <w:webHidden/>
              </w:rPr>
              <w:instrText xml:space="preserve"> PAGEREF _Toc220496716 \h </w:instrText>
            </w:r>
            <w:r>
              <w:rPr>
                <w:noProof/>
                <w:webHidden/>
              </w:rPr>
            </w:r>
            <w:r>
              <w:rPr>
                <w:noProof/>
                <w:webHidden/>
              </w:rPr>
              <w:fldChar w:fldCharType="separate"/>
            </w:r>
            <w:r>
              <w:rPr>
                <w:noProof/>
                <w:webHidden/>
              </w:rPr>
              <w:t>1105</w:t>
            </w:r>
            <w:r>
              <w:rPr>
                <w:noProof/>
                <w:webHidden/>
              </w:rPr>
              <w:fldChar w:fldCharType="end"/>
            </w:r>
          </w:hyperlink>
        </w:p>
        <w:p w14:paraId="1C329325" w14:textId="527AACA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17" w:history="1">
            <w:r w:rsidRPr="00F45DCA">
              <w:rPr>
                <w:rStyle w:val="Lienhypertexte"/>
                <w:noProof/>
              </w:rPr>
              <w:t>24.42.4 Finitions d'assemblages  CCTB 01.07</w:t>
            </w:r>
            <w:r>
              <w:rPr>
                <w:noProof/>
                <w:webHidden/>
              </w:rPr>
              <w:tab/>
            </w:r>
            <w:r>
              <w:rPr>
                <w:noProof/>
                <w:webHidden/>
              </w:rPr>
              <w:fldChar w:fldCharType="begin"/>
            </w:r>
            <w:r>
              <w:rPr>
                <w:noProof/>
                <w:webHidden/>
              </w:rPr>
              <w:instrText xml:space="preserve"> PAGEREF _Toc220496717 \h </w:instrText>
            </w:r>
            <w:r>
              <w:rPr>
                <w:noProof/>
                <w:webHidden/>
              </w:rPr>
            </w:r>
            <w:r>
              <w:rPr>
                <w:noProof/>
                <w:webHidden/>
              </w:rPr>
              <w:fldChar w:fldCharType="separate"/>
            </w:r>
            <w:r>
              <w:rPr>
                <w:noProof/>
                <w:webHidden/>
              </w:rPr>
              <w:t>1107</w:t>
            </w:r>
            <w:r>
              <w:rPr>
                <w:noProof/>
                <w:webHidden/>
              </w:rPr>
              <w:fldChar w:fldCharType="end"/>
            </w:r>
          </w:hyperlink>
        </w:p>
        <w:p w14:paraId="5B43AE3C" w14:textId="6E25736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18" w:history="1">
            <w:r w:rsidRPr="00F45DCA">
              <w:rPr>
                <w:rStyle w:val="Lienhypertexte"/>
                <w:noProof/>
              </w:rPr>
              <w:t>24.42.4a Finitions d'assemblages - bouchonnage CCTB 01.11</w:t>
            </w:r>
            <w:r>
              <w:rPr>
                <w:noProof/>
                <w:webHidden/>
              </w:rPr>
              <w:tab/>
            </w:r>
            <w:r>
              <w:rPr>
                <w:noProof/>
                <w:webHidden/>
              </w:rPr>
              <w:fldChar w:fldCharType="begin"/>
            </w:r>
            <w:r>
              <w:rPr>
                <w:noProof/>
                <w:webHidden/>
              </w:rPr>
              <w:instrText xml:space="preserve"> PAGEREF _Toc220496718 \h </w:instrText>
            </w:r>
            <w:r>
              <w:rPr>
                <w:noProof/>
                <w:webHidden/>
              </w:rPr>
            </w:r>
            <w:r>
              <w:rPr>
                <w:noProof/>
                <w:webHidden/>
              </w:rPr>
              <w:fldChar w:fldCharType="separate"/>
            </w:r>
            <w:r>
              <w:rPr>
                <w:noProof/>
                <w:webHidden/>
              </w:rPr>
              <w:t>1107</w:t>
            </w:r>
            <w:r>
              <w:rPr>
                <w:noProof/>
                <w:webHidden/>
              </w:rPr>
              <w:fldChar w:fldCharType="end"/>
            </w:r>
          </w:hyperlink>
        </w:p>
        <w:p w14:paraId="4E800BB0" w14:textId="076FC7D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19" w:history="1">
            <w:r w:rsidRPr="00F45DCA">
              <w:rPr>
                <w:rStyle w:val="Lienhypertexte"/>
                <w:noProof/>
              </w:rPr>
              <w:t>24.42.4b Finitions d'assemblages - fermetures d'entailles CCTB 01.07</w:t>
            </w:r>
            <w:r>
              <w:rPr>
                <w:noProof/>
                <w:webHidden/>
              </w:rPr>
              <w:tab/>
            </w:r>
            <w:r>
              <w:rPr>
                <w:noProof/>
                <w:webHidden/>
              </w:rPr>
              <w:fldChar w:fldCharType="begin"/>
            </w:r>
            <w:r>
              <w:rPr>
                <w:noProof/>
                <w:webHidden/>
              </w:rPr>
              <w:instrText xml:space="preserve"> PAGEREF _Toc220496719 \h </w:instrText>
            </w:r>
            <w:r>
              <w:rPr>
                <w:noProof/>
                <w:webHidden/>
              </w:rPr>
            </w:r>
            <w:r>
              <w:rPr>
                <w:noProof/>
                <w:webHidden/>
              </w:rPr>
              <w:fldChar w:fldCharType="separate"/>
            </w:r>
            <w:r>
              <w:rPr>
                <w:noProof/>
                <w:webHidden/>
              </w:rPr>
              <w:t>1109</w:t>
            </w:r>
            <w:r>
              <w:rPr>
                <w:noProof/>
                <w:webHidden/>
              </w:rPr>
              <w:fldChar w:fldCharType="end"/>
            </w:r>
          </w:hyperlink>
        </w:p>
        <w:p w14:paraId="214D3B40" w14:textId="063C629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720" w:history="1">
            <w:r w:rsidRPr="00F45DCA">
              <w:rPr>
                <w:rStyle w:val="Lienhypertexte"/>
                <w:noProof/>
              </w:rPr>
              <w:t>24.43 Assemblages collés CCTB 01.10</w:t>
            </w:r>
            <w:r>
              <w:rPr>
                <w:noProof/>
                <w:webHidden/>
              </w:rPr>
              <w:tab/>
            </w:r>
            <w:r>
              <w:rPr>
                <w:noProof/>
                <w:webHidden/>
              </w:rPr>
              <w:fldChar w:fldCharType="begin"/>
            </w:r>
            <w:r>
              <w:rPr>
                <w:noProof/>
                <w:webHidden/>
              </w:rPr>
              <w:instrText xml:space="preserve"> PAGEREF _Toc220496720 \h </w:instrText>
            </w:r>
            <w:r>
              <w:rPr>
                <w:noProof/>
                <w:webHidden/>
              </w:rPr>
            </w:r>
            <w:r>
              <w:rPr>
                <w:noProof/>
                <w:webHidden/>
              </w:rPr>
              <w:fldChar w:fldCharType="separate"/>
            </w:r>
            <w:r>
              <w:rPr>
                <w:noProof/>
                <w:webHidden/>
              </w:rPr>
              <w:t>1109</w:t>
            </w:r>
            <w:r>
              <w:rPr>
                <w:noProof/>
                <w:webHidden/>
              </w:rPr>
              <w:fldChar w:fldCharType="end"/>
            </w:r>
          </w:hyperlink>
        </w:p>
        <w:p w14:paraId="2AE6D7B3" w14:textId="6808AF1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21" w:history="1">
            <w:r w:rsidRPr="00F45DCA">
              <w:rPr>
                <w:rStyle w:val="Lienhypertexte"/>
                <w:noProof/>
              </w:rPr>
              <w:t>24.43.1 Assemblages collés CCTB 01.07</w:t>
            </w:r>
            <w:r>
              <w:rPr>
                <w:noProof/>
                <w:webHidden/>
              </w:rPr>
              <w:tab/>
            </w:r>
            <w:r>
              <w:rPr>
                <w:noProof/>
                <w:webHidden/>
              </w:rPr>
              <w:fldChar w:fldCharType="begin"/>
            </w:r>
            <w:r>
              <w:rPr>
                <w:noProof/>
                <w:webHidden/>
              </w:rPr>
              <w:instrText xml:space="preserve"> PAGEREF _Toc220496721 \h </w:instrText>
            </w:r>
            <w:r>
              <w:rPr>
                <w:noProof/>
                <w:webHidden/>
              </w:rPr>
            </w:r>
            <w:r>
              <w:rPr>
                <w:noProof/>
                <w:webHidden/>
              </w:rPr>
              <w:fldChar w:fldCharType="separate"/>
            </w:r>
            <w:r>
              <w:rPr>
                <w:noProof/>
                <w:webHidden/>
              </w:rPr>
              <w:t>1109</w:t>
            </w:r>
            <w:r>
              <w:rPr>
                <w:noProof/>
                <w:webHidden/>
              </w:rPr>
              <w:fldChar w:fldCharType="end"/>
            </w:r>
          </w:hyperlink>
        </w:p>
        <w:p w14:paraId="74EDB282" w14:textId="6CE3007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22" w:history="1">
            <w:r w:rsidRPr="00F45DCA">
              <w:rPr>
                <w:rStyle w:val="Lienhypertexte"/>
                <w:noProof/>
              </w:rPr>
              <w:t>24.43.1a Assemblages collés - goujons collés CCTB 01.11</w:t>
            </w:r>
            <w:r>
              <w:rPr>
                <w:noProof/>
                <w:webHidden/>
              </w:rPr>
              <w:tab/>
            </w:r>
            <w:r>
              <w:rPr>
                <w:noProof/>
                <w:webHidden/>
              </w:rPr>
              <w:fldChar w:fldCharType="begin"/>
            </w:r>
            <w:r>
              <w:rPr>
                <w:noProof/>
                <w:webHidden/>
              </w:rPr>
              <w:instrText xml:space="preserve"> PAGEREF _Toc220496722 \h </w:instrText>
            </w:r>
            <w:r>
              <w:rPr>
                <w:noProof/>
                <w:webHidden/>
              </w:rPr>
            </w:r>
            <w:r>
              <w:rPr>
                <w:noProof/>
                <w:webHidden/>
              </w:rPr>
              <w:fldChar w:fldCharType="separate"/>
            </w:r>
            <w:r>
              <w:rPr>
                <w:noProof/>
                <w:webHidden/>
              </w:rPr>
              <w:t>1109</w:t>
            </w:r>
            <w:r>
              <w:rPr>
                <w:noProof/>
                <w:webHidden/>
              </w:rPr>
              <w:fldChar w:fldCharType="end"/>
            </w:r>
          </w:hyperlink>
        </w:p>
        <w:p w14:paraId="5DE6262D" w14:textId="2F3270C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23" w:history="1">
            <w:r w:rsidRPr="00F45DCA">
              <w:rPr>
                <w:rStyle w:val="Lienhypertexte"/>
                <w:noProof/>
              </w:rPr>
              <w:t>24.43.1b Assemblages collés - entures multiples CCTB 01.07</w:t>
            </w:r>
            <w:r>
              <w:rPr>
                <w:noProof/>
                <w:webHidden/>
              </w:rPr>
              <w:tab/>
            </w:r>
            <w:r>
              <w:rPr>
                <w:noProof/>
                <w:webHidden/>
              </w:rPr>
              <w:fldChar w:fldCharType="begin"/>
            </w:r>
            <w:r>
              <w:rPr>
                <w:noProof/>
                <w:webHidden/>
              </w:rPr>
              <w:instrText xml:space="preserve"> PAGEREF _Toc220496723 \h </w:instrText>
            </w:r>
            <w:r>
              <w:rPr>
                <w:noProof/>
                <w:webHidden/>
              </w:rPr>
            </w:r>
            <w:r>
              <w:rPr>
                <w:noProof/>
                <w:webHidden/>
              </w:rPr>
              <w:fldChar w:fldCharType="separate"/>
            </w:r>
            <w:r>
              <w:rPr>
                <w:noProof/>
                <w:webHidden/>
              </w:rPr>
              <w:t>1111</w:t>
            </w:r>
            <w:r>
              <w:rPr>
                <w:noProof/>
                <w:webHidden/>
              </w:rPr>
              <w:fldChar w:fldCharType="end"/>
            </w:r>
          </w:hyperlink>
        </w:p>
        <w:p w14:paraId="61537D6A" w14:textId="588D625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24" w:history="1">
            <w:r w:rsidRPr="00F45DCA">
              <w:rPr>
                <w:rStyle w:val="Lienhypertexte"/>
                <w:noProof/>
              </w:rPr>
              <w:t>24.43.1c Assemblages collés - collages structuraux pour éléments collaborants CCTB 01.07</w:t>
            </w:r>
            <w:r>
              <w:rPr>
                <w:noProof/>
                <w:webHidden/>
              </w:rPr>
              <w:tab/>
            </w:r>
            <w:r>
              <w:rPr>
                <w:noProof/>
                <w:webHidden/>
              </w:rPr>
              <w:fldChar w:fldCharType="begin"/>
            </w:r>
            <w:r>
              <w:rPr>
                <w:noProof/>
                <w:webHidden/>
              </w:rPr>
              <w:instrText xml:space="preserve"> PAGEREF _Toc220496724 \h </w:instrText>
            </w:r>
            <w:r>
              <w:rPr>
                <w:noProof/>
                <w:webHidden/>
              </w:rPr>
            </w:r>
            <w:r>
              <w:rPr>
                <w:noProof/>
                <w:webHidden/>
              </w:rPr>
              <w:fldChar w:fldCharType="separate"/>
            </w:r>
            <w:r>
              <w:rPr>
                <w:noProof/>
                <w:webHidden/>
              </w:rPr>
              <w:t>1113</w:t>
            </w:r>
            <w:r>
              <w:rPr>
                <w:noProof/>
                <w:webHidden/>
              </w:rPr>
              <w:fldChar w:fldCharType="end"/>
            </w:r>
          </w:hyperlink>
        </w:p>
        <w:p w14:paraId="5AFF2904" w14:textId="763C89D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725" w:history="1">
            <w:r w:rsidRPr="00F45DCA">
              <w:rPr>
                <w:rStyle w:val="Lienhypertexte"/>
                <w:noProof/>
              </w:rPr>
              <w:t>24.44 Ancrages pour structures en bois CCTB 01.07</w:t>
            </w:r>
            <w:r>
              <w:rPr>
                <w:noProof/>
                <w:webHidden/>
              </w:rPr>
              <w:tab/>
            </w:r>
            <w:r>
              <w:rPr>
                <w:noProof/>
                <w:webHidden/>
              </w:rPr>
              <w:fldChar w:fldCharType="begin"/>
            </w:r>
            <w:r>
              <w:rPr>
                <w:noProof/>
                <w:webHidden/>
              </w:rPr>
              <w:instrText xml:space="preserve"> PAGEREF _Toc220496725 \h </w:instrText>
            </w:r>
            <w:r>
              <w:rPr>
                <w:noProof/>
                <w:webHidden/>
              </w:rPr>
            </w:r>
            <w:r>
              <w:rPr>
                <w:noProof/>
                <w:webHidden/>
              </w:rPr>
              <w:fldChar w:fldCharType="separate"/>
            </w:r>
            <w:r>
              <w:rPr>
                <w:noProof/>
                <w:webHidden/>
              </w:rPr>
              <w:t>1113</w:t>
            </w:r>
            <w:r>
              <w:rPr>
                <w:noProof/>
                <w:webHidden/>
              </w:rPr>
              <w:fldChar w:fldCharType="end"/>
            </w:r>
          </w:hyperlink>
        </w:p>
        <w:p w14:paraId="09D572AC" w14:textId="647BA50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26" w:history="1">
            <w:r w:rsidRPr="00F45DCA">
              <w:rPr>
                <w:rStyle w:val="Lienhypertexte"/>
                <w:noProof/>
              </w:rPr>
              <w:t>24.44.1 Ancrages mécaniques pour structures en bois CCTB 01.07</w:t>
            </w:r>
            <w:r>
              <w:rPr>
                <w:noProof/>
                <w:webHidden/>
              </w:rPr>
              <w:tab/>
            </w:r>
            <w:r>
              <w:rPr>
                <w:noProof/>
                <w:webHidden/>
              </w:rPr>
              <w:fldChar w:fldCharType="begin"/>
            </w:r>
            <w:r>
              <w:rPr>
                <w:noProof/>
                <w:webHidden/>
              </w:rPr>
              <w:instrText xml:space="preserve"> PAGEREF _Toc220496726 \h </w:instrText>
            </w:r>
            <w:r>
              <w:rPr>
                <w:noProof/>
                <w:webHidden/>
              </w:rPr>
            </w:r>
            <w:r>
              <w:rPr>
                <w:noProof/>
                <w:webHidden/>
              </w:rPr>
              <w:fldChar w:fldCharType="separate"/>
            </w:r>
            <w:r>
              <w:rPr>
                <w:noProof/>
                <w:webHidden/>
              </w:rPr>
              <w:t>1113</w:t>
            </w:r>
            <w:r>
              <w:rPr>
                <w:noProof/>
                <w:webHidden/>
              </w:rPr>
              <w:fldChar w:fldCharType="end"/>
            </w:r>
          </w:hyperlink>
        </w:p>
        <w:p w14:paraId="5C9CD965" w14:textId="2D0DF4D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27" w:history="1">
            <w:r w:rsidRPr="00F45DCA">
              <w:rPr>
                <w:rStyle w:val="Lienhypertexte"/>
                <w:noProof/>
              </w:rPr>
              <w:t>24.44.1a Ancrages mécaniques pour structures en bois CCTB 01.07</w:t>
            </w:r>
            <w:r>
              <w:rPr>
                <w:noProof/>
                <w:webHidden/>
              </w:rPr>
              <w:tab/>
            </w:r>
            <w:r>
              <w:rPr>
                <w:noProof/>
                <w:webHidden/>
              </w:rPr>
              <w:fldChar w:fldCharType="begin"/>
            </w:r>
            <w:r>
              <w:rPr>
                <w:noProof/>
                <w:webHidden/>
              </w:rPr>
              <w:instrText xml:space="preserve"> PAGEREF _Toc220496727 \h </w:instrText>
            </w:r>
            <w:r>
              <w:rPr>
                <w:noProof/>
                <w:webHidden/>
              </w:rPr>
            </w:r>
            <w:r>
              <w:rPr>
                <w:noProof/>
                <w:webHidden/>
              </w:rPr>
              <w:fldChar w:fldCharType="separate"/>
            </w:r>
            <w:r>
              <w:rPr>
                <w:noProof/>
                <w:webHidden/>
              </w:rPr>
              <w:t>1113</w:t>
            </w:r>
            <w:r>
              <w:rPr>
                <w:noProof/>
                <w:webHidden/>
              </w:rPr>
              <w:fldChar w:fldCharType="end"/>
            </w:r>
          </w:hyperlink>
        </w:p>
        <w:p w14:paraId="084CD847" w14:textId="790BA64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28" w:history="1">
            <w:r w:rsidRPr="00F45DCA">
              <w:rPr>
                <w:rStyle w:val="Lienhypertexte"/>
                <w:noProof/>
              </w:rPr>
              <w:t>24.44.2 Ancrages chimiques pour structures en bois CCTB 01.07</w:t>
            </w:r>
            <w:r>
              <w:rPr>
                <w:noProof/>
                <w:webHidden/>
              </w:rPr>
              <w:tab/>
            </w:r>
            <w:r>
              <w:rPr>
                <w:noProof/>
                <w:webHidden/>
              </w:rPr>
              <w:fldChar w:fldCharType="begin"/>
            </w:r>
            <w:r>
              <w:rPr>
                <w:noProof/>
                <w:webHidden/>
              </w:rPr>
              <w:instrText xml:space="preserve"> PAGEREF _Toc220496728 \h </w:instrText>
            </w:r>
            <w:r>
              <w:rPr>
                <w:noProof/>
                <w:webHidden/>
              </w:rPr>
            </w:r>
            <w:r>
              <w:rPr>
                <w:noProof/>
                <w:webHidden/>
              </w:rPr>
              <w:fldChar w:fldCharType="separate"/>
            </w:r>
            <w:r>
              <w:rPr>
                <w:noProof/>
                <w:webHidden/>
              </w:rPr>
              <w:t>1114</w:t>
            </w:r>
            <w:r>
              <w:rPr>
                <w:noProof/>
                <w:webHidden/>
              </w:rPr>
              <w:fldChar w:fldCharType="end"/>
            </w:r>
          </w:hyperlink>
        </w:p>
        <w:p w14:paraId="0711D471" w14:textId="0BF7F22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29" w:history="1">
            <w:r w:rsidRPr="00F45DCA">
              <w:rPr>
                <w:rStyle w:val="Lienhypertexte"/>
                <w:noProof/>
              </w:rPr>
              <w:t>24.44.2a Ancrages chimiques pour structures en bois CCTB 01.11</w:t>
            </w:r>
            <w:r>
              <w:rPr>
                <w:noProof/>
                <w:webHidden/>
              </w:rPr>
              <w:tab/>
            </w:r>
            <w:r>
              <w:rPr>
                <w:noProof/>
                <w:webHidden/>
              </w:rPr>
              <w:fldChar w:fldCharType="begin"/>
            </w:r>
            <w:r>
              <w:rPr>
                <w:noProof/>
                <w:webHidden/>
              </w:rPr>
              <w:instrText xml:space="preserve"> PAGEREF _Toc220496729 \h </w:instrText>
            </w:r>
            <w:r>
              <w:rPr>
                <w:noProof/>
                <w:webHidden/>
              </w:rPr>
            </w:r>
            <w:r>
              <w:rPr>
                <w:noProof/>
                <w:webHidden/>
              </w:rPr>
              <w:fldChar w:fldCharType="separate"/>
            </w:r>
            <w:r>
              <w:rPr>
                <w:noProof/>
                <w:webHidden/>
              </w:rPr>
              <w:t>1114</w:t>
            </w:r>
            <w:r>
              <w:rPr>
                <w:noProof/>
                <w:webHidden/>
              </w:rPr>
              <w:fldChar w:fldCharType="end"/>
            </w:r>
          </w:hyperlink>
        </w:p>
        <w:p w14:paraId="520FB2D0" w14:textId="28D4201A"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730" w:history="1">
            <w:r w:rsidRPr="00F45DCA">
              <w:rPr>
                <w:rStyle w:val="Lienhypertexte"/>
                <w:noProof/>
              </w:rPr>
              <w:t>24.5 (titre réservé) CCTB 01.04</w:t>
            </w:r>
            <w:r>
              <w:rPr>
                <w:noProof/>
                <w:webHidden/>
              </w:rPr>
              <w:tab/>
            </w:r>
            <w:r>
              <w:rPr>
                <w:noProof/>
                <w:webHidden/>
              </w:rPr>
              <w:fldChar w:fldCharType="begin"/>
            </w:r>
            <w:r>
              <w:rPr>
                <w:noProof/>
                <w:webHidden/>
              </w:rPr>
              <w:instrText xml:space="preserve"> PAGEREF _Toc220496730 \h </w:instrText>
            </w:r>
            <w:r>
              <w:rPr>
                <w:noProof/>
                <w:webHidden/>
              </w:rPr>
            </w:r>
            <w:r>
              <w:rPr>
                <w:noProof/>
                <w:webHidden/>
              </w:rPr>
              <w:fldChar w:fldCharType="separate"/>
            </w:r>
            <w:r>
              <w:rPr>
                <w:noProof/>
                <w:webHidden/>
              </w:rPr>
              <w:t>1116</w:t>
            </w:r>
            <w:r>
              <w:rPr>
                <w:noProof/>
                <w:webHidden/>
              </w:rPr>
              <w:fldChar w:fldCharType="end"/>
            </w:r>
          </w:hyperlink>
        </w:p>
        <w:p w14:paraId="3F4BC581" w14:textId="7638AAC0"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731" w:history="1">
            <w:r w:rsidRPr="00F45DCA">
              <w:rPr>
                <w:rStyle w:val="Lienhypertexte"/>
                <w:noProof/>
              </w:rPr>
              <w:t>24.6 (titre réservé) CCTB 01.02</w:t>
            </w:r>
            <w:r>
              <w:rPr>
                <w:noProof/>
                <w:webHidden/>
              </w:rPr>
              <w:tab/>
            </w:r>
            <w:r>
              <w:rPr>
                <w:noProof/>
                <w:webHidden/>
              </w:rPr>
              <w:fldChar w:fldCharType="begin"/>
            </w:r>
            <w:r>
              <w:rPr>
                <w:noProof/>
                <w:webHidden/>
              </w:rPr>
              <w:instrText xml:space="preserve"> PAGEREF _Toc220496731 \h </w:instrText>
            </w:r>
            <w:r>
              <w:rPr>
                <w:noProof/>
                <w:webHidden/>
              </w:rPr>
            </w:r>
            <w:r>
              <w:rPr>
                <w:noProof/>
                <w:webHidden/>
              </w:rPr>
              <w:fldChar w:fldCharType="separate"/>
            </w:r>
            <w:r>
              <w:rPr>
                <w:noProof/>
                <w:webHidden/>
              </w:rPr>
              <w:t>1116</w:t>
            </w:r>
            <w:r>
              <w:rPr>
                <w:noProof/>
                <w:webHidden/>
              </w:rPr>
              <w:fldChar w:fldCharType="end"/>
            </w:r>
          </w:hyperlink>
        </w:p>
        <w:p w14:paraId="58E4CDF0" w14:textId="285C8741"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732" w:history="1">
            <w:r w:rsidRPr="00F45DCA">
              <w:rPr>
                <w:rStyle w:val="Lienhypertexte"/>
                <w:noProof/>
              </w:rPr>
              <w:t>24.7 Traitements, protection et finition des bois CCTB 01.11</w:t>
            </w:r>
            <w:r>
              <w:rPr>
                <w:noProof/>
                <w:webHidden/>
              </w:rPr>
              <w:tab/>
            </w:r>
            <w:r>
              <w:rPr>
                <w:noProof/>
                <w:webHidden/>
              </w:rPr>
              <w:fldChar w:fldCharType="begin"/>
            </w:r>
            <w:r>
              <w:rPr>
                <w:noProof/>
                <w:webHidden/>
              </w:rPr>
              <w:instrText xml:space="preserve"> PAGEREF _Toc220496732 \h </w:instrText>
            </w:r>
            <w:r>
              <w:rPr>
                <w:noProof/>
                <w:webHidden/>
              </w:rPr>
            </w:r>
            <w:r>
              <w:rPr>
                <w:noProof/>
                <w:webHidden/>
              </w:rPr>
              <w:fldChar w:fldCharType="separate"/>
            </w:r>
            <w:r>
              <w:rPr>
                <w:noProof/>
                <w:webHidden/>
              </w:rPr>
              <w:t>1116</w:t>
            </w:r>
            <w:r>
              <w:rPr>
                <w:noProof/>
                <w:webHidden/>
              </w:rPr>
              <w:fldChar w:fldCharType="end"/>
            </w:r>
          </w:hyperlink>
        </w:p>
        <w:p w14:paraId="5CBD557D" w14:textId="04142494"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733" w:history="1">
            <w:r w:rsidRPr="00F45DCA">
              <w:rPr>
                <w:rStyle w:val="Lienhypertexte"/>
                <w:noProof/>
              </w:rPr>
              <w:t>24.8 Superstructures en bois - Rénovation CCTB 01.02</w:t>
            </w:r>
            <w:r>
              <w:rPr>
                <w:noProof/>
                <w:webHidden/>
              </w:rPr>
              <w:tab/>
            </w:r>
            <w:r>
              <w:rPr>
                <w:noProof/>
                <w:webHidden/>
              </w:rPr>
              <w:fldChar w:fldCharType="begin"/>
            </w:r>
            <w:r>
              <w:rPr>
                <w:noProof/>
                <w:webHidden/>
              </w:rPr>
              <w:instrText xml:space="preserve"> PAGEREF _Toc220496733 \h </w:instrText>
            </w:r>
            <w:r>
              <w:rPr>
                <w:noProof/>
                <w:webHidden/>
              </w:rPr>
            </w:r>
            <w:r>
              <w:rPr>
                <w:noProof/>
                <w:webHidden/>
              </w:rPr>
              <w:fldChar w:fldCharType="separate"/>
            </w:r>
            <w:r>
              <w:rPr>
                <w:noProof/>
                <w:webHidden/>
              </w:rPr>
              <w:t>1117</w:t>
            </w:r>
            <w:r>
              <w:rPr>
                <w:noProof/>
                <w:webHidden/>
              </w:rPr>
              <w:fldChar w:fldCharType="end"/>
            </w:r>
          </w:hyperlink>
        </w:p>
        <w:p w14:paraId="66858C6D" w14:textId="11F0EFA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734" w:history="1">
            <w:r w:rsidRPr="00F45DCA">
              <w:rPr>
                <w:rStyle w:val="Lienhypertexte"/>
                <w:noProof/>
              </w:rPr>
              <w:t>24.81 Etudes / essais préliminaires CCTB 01.04</w:t>
            </w:r>
            <w:r>
              <w:rPr>
                <w:noProof/>
                <w:webHidden/>
              </w:rPr>
              <w:tab/>
            </w:r>
            <w:r>
              <w:rPr>
                <w:noProof/>
                <w:webHidden/>
              </w:rPr>
              <w:fldChar w:fldCharType="begin"/>
            </w:r>
            <w:r>
              <w:rPr>
                <w:noProof/>
                <w:webHidden/>
              </w:rPr>
              <w:instrText xml:space="preserve"> PAGEREF _Toc220496734 \h </w:instrText>
            </w:r>
            <w:r>
              <w:rPr>
                <w:noProof/>
                <w:webHidden/>
              </w:rPr>
            </w:r>
            <w:r>
              <w:rPr>
                <w:noProof/>
                <w:webHidden/>
              </w:rPr>
              <w:fldChar w:fldCharType="separate"/>
            </w:r>
            <w:r>
              <w:rPr>
                <w:noProof/>
                <w:webHidden/>
              </w:rPr>
              <w:t>1117</w:t>
            </w:r>
            <w:r>
              <w:rPr>
                <w:noProof/>
                <w:webHidden/>
              </w:rPr>
              <w:fldChar w:fldCharType="end"/>
            </w:r>
          </w:hyperlink>
        </w:p>
        <w:p w14:paraId="2C6920A5" w14:textId="0116D07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735" w:history="1">
            <w:r w:rsidRPr="00F45DCA">
              <w:rPr>
                <w:rStyle w:val="Lienhypertexte"/>
                <w:noProof/>
              </w:rPr>
              <w:t>24.82 Dépose / démontage / percement / déconstruction-démolition CCTB 01.02</w:t>
            </w:r>
            <w:r>
              <w:rPr>
                <w:noProof/>
                <w:webHidden/>
              </w:rPr>
              <w:tab/>
            </w:r>
            <w:r>
              <w:rPr>
                <w:noProof/>
                <w:webHidden/>
              </w:rPr>
              <w:fldChar w:fldCharType="begin"/>
            </w:r>
            <w:r>
              <w:rPr>
                <w:noProof/>
                <w:webHidden/>
              </w:rPr>
              <w:instrText xml:space="preserve"> PAGEREF _Toc220496735 \h </w:instrText>
            </w:r>
            <w:r>
              <w:rPr>
                <w:noProof/>
                <w:webHidden/>
              </w:rPr>
            </w:r>
            <w:r>
              <w:rPr>
                <w:noProof/>
                <w:webHidden/>
              </w:rPr>
              <w:fldChar w:fldCharType="separate"/>
            </w:r>
            <w:r>
              <w:rPr>
                <w:noProof/>
                <w:webHidden/>
              </w:rPr>
              <w:t>1117</w:t>
            </w:r>
            <w:r>
              <w:rPr>
                <w:noProof/>
                <w:webHidden/>
              </w:rPr>
              <w:fldChar w:fldCharType="end"/>
            </w:r>
          </w:hyperlink>
        </w:p>
        <w:p w14:paraId="581614C2" w14:textId="5315FD1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36" w:history="1">
            <w:r w:rsidRPr="00F45DCA">
              <w:rPr>
                <w:rStyle w:val="Lienhypertexte"/>
                <w:noProof/>
              </w:rPr>
              <w:t>24.82.1 Travaux de stabilisation CCTB 01.04</w:t>
            </w:r>
            <w:r>
              <w:rPr>
                <w:noProof/>
                <w:webHidden/>
              </w:rPr>
              <w:tab/>
            </w:r>
            <w:r>
              <w:rPr>
                <w:noProof/>
                <w:webHidden/>
              </w:rPr>
              <w:fldChar w:fldCharType="begin"/>
            </w:r>
            <w:r>
              <w:rPr>
                <w:noProof/>
                <w:webHidden/>
              </w:rPr>
              <w:instrText xml:space="preserve"> PAGEREF _Toc220496736 \h </w:instrText>
            </w:r>
            <w:r>
              <w:rPr>
                <w:noProof/>
                <w:webHidden/>
              </w:rPr>
            </w:r>
            <w:r>
              <w:rPr>
                <w:noProof/>
                <w:webHidden/>
              </w:rPr>
              <w:fldChar w:fldCharType="separate"/>
            </w:r>
            <w:r>
              <w:rPr>
                <w:noProof/>
                <w:webHidden/>
              </w:rPr>
              <w:t>1117</w:t>
            </w:r>
            <w:r>
              <w:rPr>
                <w:noProof/>
                <w:webHidden/>
              </w:rPr>
              <w:fldChar w:fldCharType="end"/>
            </w:r>
          </w:hyperlink>
        </w:p>
        <w:p w14:paraId="622746DE" w14:textId="3E5C23C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37" w:history="1">
            <w:r w:rsidRPr="00F45DCA">
              <w:rPr>
                <w:rStyle w:val="Lienhypertexte"/>
                <w:noProof/>
              </w:rPr>
              <w:t>24.82.2 Dépose d'éléments (pour repose ultérieure) CCTB 01.04</w:t>
            </w:r>
            <w:r>
              <w:rPr>
                <w:noProof/>
                <w:webHidden/>
              </w:rPr>
              <w:tab/>
            </w:r>
            <w:r>
              <w:rPr>
                <w:noProof/>
                <w:webHidden/>
              </w:rPr>
              <w:fldChar w:fldCharType="begin"/>
            </w:r>
            <w:r>
              <w:rPr>
                <w:noProof/>
                <w:webHidden/>
              </w:rPr>
              <w:instrText xml:space="preserve"> PAGEREF _Toc220496737 \h </w:instrText>
            </w:r>
            <w:r>
              <w:rPr>
                <w:noProof/>
                <w:webHidden/>
              </w:rPr>
            </w:r>
            <w:r>
              <w:rPr>
                <w:noProof/>
                <w:webHidden/>
              </w:rPr>
              <w:fldChar w:fldCharType="separate"/>
            </w:r>
            <w:r>
              <w:rPr>
                <w:noProof/>
                <w:webHidden/>
              </w:rPr>
              <w:t>1117</w:t>
            </w:r>
            <w:r>
              <w:rPr>
                <w:noProof/>
                <w:webHidden/>
              </w:rPr>
              <w:fldChar w:fldCharType="end"/>
            </w:r>
          </w:hyperlink>
        </w:p>
        <w:p w14:paraId="17D69E2C" w14:textId="79B3387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38" w:history="1">
            <w:r w:rsidRPr="00F45DCA">
              <w:rPr>
                <w:rStyle w:val="Lienhypertexte"/>
                <w:noProof/>
              </w:rPr>
              <w:t>24.82.3 Démontage d'éléments (pour récupération) CCTB 01.04</w:t>
            </w:r>
            <w:r>
              <w:rPr>
                <w:noProof/>
                <w:webHidden/>
              </w:rPr>
              <w:tab/>
            </w:r>
            <w:r>
              <w:rPr>
                <w:noProof/>
                <w:webHidden/>
              </w:rPr>
              <w:fldChar w:fldCharType="begin"/>
            </w:r>
            <w:r>
              <w:rPr>
                <w:noProof/>
                <w:webHidden/>
              </w:rPr>
              <w:instrText xml:space="preserve"> PAGEREF _Toc220496738 \h </w:instrText>
            </w:r>
            <w:r>
              <w:rPr>
                <w:noProof/>
                <w:webHidden/>
              </w:rPr>
            </w:r>
            <w:r>
              <w:rPr>
                <w:noProof/>
                <w:webHidden/>
              </w:rPr>
              <w:fldChar w:fldCharType="separate"/>
            </w:r>
            <w:r>
              <w:rPr>
                <w:noProof/>
                <w:webHidden/>
              </w:rPr>
              <w:t>1117</w:t>
            </w:r>
            <w:r>
              <w:rPr>
                <w:noProof/>
                <w:webHidden/>
              </w:rPr>
              <w:fldChar w:fldCharType="end"/>
            </w:r>
          </w:hyperlink>
        </w:p>
        <w:p w14:paraId="1F7ECA90" w14:textId="032D85B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39" w:history="1">
            <w:r w:rsidRPr="00F45DCA">
              <w:rPr>
                <w:rStyle w:val="Lienhypertexte"/>
                <w:noProof/>
              </w:rPr>
              <w:t>24.82.4 Dégagement d'éléments spécifiques CCTB 01.02</w:t>
            </w:r>
            <w:r>
              <w:rPr>
                <w:noProof/>
                <w:webHidden/>
              </w:rPr>
              <w:tab/>
            </w:r>
            <w:r>
              <w:rPr>
                <w:noProof/>
                <w:webHidden/>
              </w:rPr>
              <w:fldChar w:fldCharType="begin"/>
            </w:r>
            <w:r>
              <w:rPr>
                <w:noProof/>
                <w:webHidden/>
              </w:rPr>
              <w:instrText xml:space="preserve"> PAGEREF _Toc220496739 \h </w:instrText>
            </w:r>
            <w:r>
              <w:rPr>
                <w:noProof/>
                <w:webHidden/>
              </w:rPr>
            </w:r>
            <w:r>
              <w:rPr>
                <w:noProof/>
                <w:webHidden/>
              </w:rPr>
              <w:fldChar w:fldCharType="separate"/>
            </w:r>
            <w:r>
              <w:rPr>
                <w:noProof/>
                <w:webHidden/>
              </w:rPr>
              <w:t>1117</w:t>
            </w:r>
            <w:r>
              <w:rPr>
                <w:noProof/>
                <w:webHidden/>
              </w:rPr>
              <w:fldChar w:fldCharType="end"/>
            </w:r>
          </w:hyperlink>
        </w:p>
        <w:p w14:paraId="5E2DC237" w14:textId="32F6A95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40" w:history="1">
            <w:r w:rsidRPr="00F45DCA">
              <w:rPr>
                <w:rStyle w:val="Lienhypertexte"/>
                <w:noProof/>
              </w:rPr>
              <w:t>24.82.5 Décapage / déjointoiement (pour évacuation) CCTB 01.04</w:t>
            </w:r>
            <w:r>
              <w:rPr>
                <w:noProof/>
                <w:webHidden/>
              </w:rPr>
              <w:tab/>
            </w:r>
            <w:r>
              <w:rPr>
                <w:noProof/>
                <w:webHidden/>
              </w:rPr>
              <w:fldChar w:fldCharType="begin"/>
            </w:r>
            <w:r>
              <w:rPr>
                <w:noProof/>
                <w:webHidden/>
              </w:rPr>
              <w:instrText xml:space="preserve"> PAGEREF _Toc220496740 \h </w:instrText>
            </w:r>
            <w:r>
              <w:rPr>
                <w:noProof/>
                <w:webHidden/>
              </w:rPr>
            </w:r>
            <w:r>
              <w:rPr>
                <w:noProof/>
                <w:webHidden/>
              </w:rPr>
              <w:fldChar w:fldCharType="separate"/>
            </w:r>
            <w:r>
              <w:rPr>
                <w:noProof/>
                <w:webHidden/>
              </w:rPr>
              <w:t>1117</w:t>
            </w:r>
            <w:r>
              <w:rPr>
                <w:noProof/>
                <w:webHidden/>
              </w:rPr>
              <w:fldChar w:fldCharType="end"/>
            </w:r>
          </w:hyperlink>
        </w:p>
        <w:p w14:paraId="1C8091E6" w14:textId="7CC6FFB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41" w:history="1">
            <w:r w:rsidRPr="00F45DCA">
              <w:rPr>
                <w:rStyle w:val="Lienhypertexte"/>
                <w:noProof/>
              </w:rPr>
              <w:t>24.82.6 Percements / carottages CCTB 01.04</w:t>
            </w:r>
            <w:r>
              <w:rPr>
                <w:noProof/>
                <w:webHidden/>
              </w:rPr>
              <w:tab/>
            </w:r>
            <w:r>
              <w:rPr>
                <w:noProof/>
                <w:webHidden/>
              </w:rPr>
              <w:fldChar w:fldCharType="begin"/>
            </w:r>
            <w:r>
              <w:rPr>
                <w:noProof/>
                <w:webHidden/>
              </w:rPr>
              <w:instrText xml:space="preserve"> PAGEREF _Toc220496741 \h </w:instrText>
            </w:r>
            <w:r>
              <w:rPr>
                <w:noProof/>
                <w:webHidden/>
              </w:rPr>
            </w:r>
            <w:r>
              <w:rPr>
                <w:noProof/>
                <w:webHidden/>
              </w:rPr>
              <w:fldChar w:fldCharType="separate"/>
            </w:r>
            <w:r>
              <w:rPr>
                <w:noProof/>
                <w:webHidden/>
              </w:rPr>
              <w:t>1117</w:t>
            </w:r>
            <w:r>
              <w:rPr>
                <w:noProof/>
                <w:webHidden/>
              </w:rPr>
              <w:fldChar w:fldCharType="end"/>
            </w:r>
          </w:hyperlink>
        </w:p>
        <w:p w14:paraId="0B69D6D6" w14:textId="2B3A734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42" w:history="1">
            <w:r w:rsidRPr="00F45DCA">
              <w:rPr>
                <w:rStyle w:val="Lienhypertexte"/>
                <w:noProof/>
              </w:rPr>
              <w:t>24.82.7 Déconstruction/démolition (pour évacuation) CCTB 01.04</w:t>
            </w:r>
            <w:r>
              <w:rPr>
                <w:noProof/>
                <w:webHidden/>
              </w:rPr>
              <w:tab/>
            </w:r>
            <w:r>
              <w:rPr>
                <w:noProof/>
                <w:webHidden/>
              </w:rPr>
              <w:fldChar w:fldCharType="begin"/>
            </w:r>
            <w:r>
              <w:rPr>
                <w:noProof/>
                <w:webHidden/>
              </w:rPr>
              <w:instrText xml:space="preserve"> PAGEREF _Toc220496742 \h </w:instrText>
            </w:r>
            <w:r>
              <w:rPr>
                <w:noProof/>
                <w:webHidden/>
              </w:rPr>
            </w:r>
            <w:r>
              <w:rPr>
                <w:noProof/>
                <w:webHidden/>
              </w:rPr>
              <w:fldChar w:fldCharType="separate"/>
            </w:r>
            <w:r>
              <w:rPr>
                <w:noProof/>
                <w:webHidden/>
              </w:rPr>
              <w:t>1117</w:t>
            </w:r>
            <w:r>
              <w:rPr>
                <w:noProof/>
                <w:webHidden/>
              </w:rPr>
              <w:fldChar w:fldCharType="end"/>
            </w:r>
          </w:hyperlink>
        </w:p>
        <w:p w14:paraId="76637EA5" w14:textId="721E71ED"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743" w:history="1">
            <w:r w:rsidRPr="00F45DCA">
              <w:rPr>
                <w:rStyle w:val="Lienhypertexte"/>
                <w:noProof/>
              </w:rPr>
              <w:t>24.83 Réparation non structurale CCTB 01.04</w:t>
            </w:r>
            <w:r>
              <w:rPr>
                <w:noProof/>
                <w:webHidden/>
              </w:rPr>
              <w:tab/>
            </w:r>
            <w:r>
              <w:rPr>
                <w:noProof/>
                <w:webHidden/>
              </w:rPr>
              <w:fldChar w:fldCharType="begin"/>
            </w:r>
            <w:r>
              <w:rPr>
                <w:noProof/>
                <w:webHidden/>
              </w:rPr>
              <w:instrText xml:space="preserve"> PAGEREF _Toc220496743 \h </w:instrText>
            </w:r>
            <w:r>
              <w:rPr>
                <w:noProof/>
                <w:webHidden/>
              </w:rPr>
            </w:r>
            <w:r>
              <w:rPr>
                <w:noProof/>
                <w:webHidden/>
              </w:rPr>
              <w:fldChar w:fldCharType="separate"/>
            </w:r>
            <w:r>
              <w:rPr>
                <w:noProof/>
                <w:webHidden/>
              </w:rPr>
              <w:t>1118</w:t>
            </w:r>
            <w:r>
              <w:rPr>
                <w:noProof/>
                <w:webHidden/>
              </w:rPr>
              <w:fldChar w:fldCharType="end"/>
            </w:r>
          </w:hyperlink>
        </w:p>
        <w:p w14:paraId="61FE74E7" w14:textId="123981F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44" w:history="1">
            <w:r w:rsidRPr="00F45DCA">
              <w:rPr>
                <w:rStyle w:val="Lienhypertexte"/>
                <w:noProof/>
              </w:rPr>
              <w:t>24.83.1 Réparation non structurale superficielle CCTB 01.04</w:t>
            </w:r>
            <w:r>
              <w:rPr>
                <w:noProof/>
                <w:webHidden/>
              </w:rPr>
              <w:tab/>
            </w:r>
            <w:r>
              <w:rPr>
                <w:noProof/>
                <w:webHidden/>
              </w:rPr>
              <w:fldChar w:fldCharType="begin"/>
            </w:r>
            <w:r>
              <w:rPr>
                <w:noProof/>
                <w:webHidden/>
              </w:rPr>
              <w:instrText xml:space="preserve"> PAGEREF _Toc220496744 \h </w:instrText>
            </w:r>
            <w:r>
              <w:rPr>
                <w:noProof/>
                <w:webHidden/>
              </w:rPr>
            </w:r>
            <w:r>
              <w:rPr>
                <w:noProof/>
                <w:webHidden/>
              </w:rPr>
              <w:fldChar w:fldCharType="separate"/>
            </w:r>
            <w:r>
              <w:rPr>
                <w:noProof/>
                <w:webHidden/>
              </w:rPr>
              <w:t>1118</w:t>
            </w:r>
            <w:r>
              <w:rPr>
                <w:noProof/>
                <w:webHidden/>
              </w:rPr>
              <w:fldChar w:fldCharType="end"/>
            </w:r>
          </w:hyperlink>
        </w:p>
        <w:p w14:paraId="79D7B095" w14:textId="110AEE8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45" w:history="1">
            <w:r w:rsidRPr="00F45DCA">
              <w:rPr>
                <w:rStyle w:val="Lienhypertexte"/>
                <w:noProof/>
              </w:rPr>
              <w:t>24.83.1a Masticage de fissures CCTB 01.02</w:t>
            </w:r>
            <w:r>
              <w:rPr>
                <w:noProof/>
                <w:webHidden/>
              </w:rPr>
              <w:tab/>
            </w:r>
            <w:r>
              <w:rPr>
                <w:noProof/>
                <w:webHidden/>
              </w:rPr>
              <w:fldChar w:fldCharType="begin"/>
            </w:r>
            <w:r>
              <w:rPr>
                <w:noProof/>
                <w:webHidden/>
              </w:rPr>
              <w:instrText xml:space="preserve"> PAGEREF _Toc220496745 \h </w:instrText>
            </w:r>
            <w:r>
              <w:rPr>
                <w:noProof/>
                <w:webHidden/>
              </w:rPr>
            </w:r>
            <w:r>
              <w:rPr>
                <w:noProof/>
                <w:webHidden/>
              </w:rPr>
              <w:fldChar w:fldCharType="separate"/>
            </w:r>
            <w:r>
              <w:rPr>
                <w:noProof/>
                <w:webHidden/>
              </w:rPr>
              <w:t>1118</w:t>
            </w:r>
            <w:r>
              <w:rPr>
                <w:noProof/>
                <w:webHidden/>
              </w:rPr>
              <w:fldChar w:fldCharType="end"/>
            </w:r>
          </w:hyperlink>
        </w:p>
        <w:p w14:paraId="629E4F32" w14:textId="74F473C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46" w:history="1">
            <w:r w:rsidRPr="00F45DCA">
              <w:rPr>
                <w:rStyle w:val="Lienhypertexte"/>
                <w:noProof/>
              </w:rPr>
              <w:t>24.83.1b Application de résines CCTB 01.10</w:t>
            </w:r>
            <w:r>
              <w:rPr>
                <w:noProof/>
                <w:webHidden/>
              </w:rPr>
              <w:tab/>
            </w:r>
            <w:r>
              <w:rPr>
                <w:noProof/>
                <w:webHidden/>
              </w:rPr>
              <w:fldChar w:fldCharType="begin"/>
            </w:r>
            <w:r>
              <w:rPr>
                <w:noProof/>
                <w:webHidden/>
              </w:rPr>
              <w:instrText xml:space="preserve"> PAGEREF _Toc220496746 \h </w:instrText>
            </w:r>
            <w:r>
              <w:rPr>
                <w:noProof/>
                <w:webHidden/>
              </w:rPr>
            </w:r>
            <w:r>
              <w:rPr>
                <w:noProof/>
                <w:webHidden/>
              </w:rPr>
              <w:fldChar w:fldCharType="separate"/>
            </w:r>
            <w:r>
              <w:rPr>
                <w:noProof/>
                <w:webHidden/>
              </w:rPr>
              <w:t>1118</w:t>
            </w:r>
            <w:r>
              <w:rPr>
                <w:noProof/>
                <w:webHidden/>
              </w:rPr>
              <w:fldChar w:fldCharType="end"/>
            </w:r>
          </w:hyperlink>
        </w:p>
        <w:p w14:paraId="6E510FCC" w14:textId="01029BD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47" w:history="1">
            <w:r w:rsidRPr="00F45DCA">
              <w:rPr>
                <w:rStyle w:val="Lienhypertexte"/>
                <w:noProof/>
              </w:rPr>
              <w:t>24.83.2 Réparation non structurale par pièce rapportée CCTB 01.10</w:t>
            </w:r>
            <w:r>
              <w:rPr>
                <w:noProof/>
                <w:webHidden/>
              </w:rPr>
              <w:tab/>
            </w:r>
            <w:r>
              <w:rPr>
                <w:noProof/>
                <w:webHidden/>
              </w:rPr>
              <w:fldChar w:fldCharType="begin"/>
            </w:r>
            <w:r>
              <w:rPr>
                <w:noProof/>
                <w:webHidden/>
              </w:rPr>
              <w:instrText xml:space="preserve"> PAGEREF _Toc220496747 \h </w:instrText>
            </w:r>
            <w:r>
              <w:rPr>
                <w:noProof/>
                <w:webHidden/>
              </w:rPr>
            </w:r>
            <w:r>
              <w:rPr>
                <w:noProof/>
                <w:webHidden/>
              </w:rPr>
              <w:fldChar w:fldCharType="separate"/>
            </w:r>
            <w:r>
              <w:rPr>
                <w:noProof/>
                <w:webHidden/>
              </w:rPr>
              <w:t>1118</w:t>
            </w:r>
            <w:r>
              <w:rPr>
                <w:noProof/>
                <w:webHidden/>
              </w:rPr>
              <w:fldChar w:fldCharType="end"/>
            </w:r>
          </w:hyperlink>
        </w:p>
        <w:p w14:paraId="36D7EEC2" w14:textId="6FC027E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48" w:history="1">
            <w:r w:rsidRPr="00F45DCA">
              <w:rPr>
                <w:rStyle w:val="Lienhypertexte"/>
                <w:noProof/>
              </w:rPr>
              <w:t>24.83.2a Application d'un placage CCTB 01.10</w:t>
            </w:r>
            <w:r>
              <w:rPr>
                <w:noProof/>
                <w:webHidden/>
              </w:rPr>
              <w:tab/>
            </w:r>
            <w:r>
              <w:rPr>
                <w:noProof/>
                <w:webHidden/>
              </w:rPr>
              <w:fldChar w:fldCharType="begin"/>
            </w:r>
            <w:r>
              <w:rPr>
                <w:noProof/>
                <w:webHidden/>
              </w:rPr>
              <w:instrText xml:space="preserve"> PAGEREF _Toc220496748 \h </w:instrText>
            </w:r>
            <w:r>
              <w:rPr>
                <w:noProof/>
                <w:webHidden/>
              </w:rPr>
            </w:r>
            <w:r>
              <w:rPr>
                <w:noProof/>
                <w:webHidden/>
              </w:rPr>
              <w:fldChar w:fldCharType="separate"/>
            </w:r>
            <w:r>
              <w:rPr>
                <w:noProof/>
                <w:webHidden/>
              </w:rPr>
              <w:t>1118</w:t>
            </w:r>
            <w:r>
              <w:rPr>
                <w:noProof/>
                <w:webHidden/>
              </w:rPr>
              <w:fldChar w:fldCharType="end"/>
            </w:r>
          </w:hyperlink>
        </w:p>
        <w:p w14:paraId="14EF66D0" w14:textId="247A7E8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49" w:history="1">
            <w:r w:rsidRPr="00F45DCA">
              <w:rPr>
                <w:rStyle w:val="Lienhypertexte"/>
                <w:noProof/>
              </w:rPr>
              <w:t>24.83.2b Greffage CCTB 01.10</w:t>
            </w:r>
            <w:r>
              <w:rPr>
                <w:noProof/>
                <w:webHidden/>
              </w:rPr>
              <w:tab/>
            </w:r>
            <w:r>
              <w:rPr>
                <w:noProof/>
                <w:webHidden/>
              </w:rPr>
              <w:fldChar w:fldCharType="begin"/>
            </w:r>
            <w:r>
              <w:rPr>
                <w:noProof/>
                <w:webHidden/>
              </w:rPr>
              <w:instrText xml:space="preserve"> PAGEREF _Toc220496749 \h </w:instrText>
            </w:r>
            <w:r>
              <w:rPr>
                <w:noProof/>
                <w:webHidden/>
              </w:rPr>
            </w:r>
            <w:r>
              <w:rPr>
                <w:noProof/>
                <w:webHidden/>
              </w:rPr>
              <w:fldChar w:fldCharType="separate"/>
            </w:r>
            <w:r>
              <w:rPr>
                <w:noProof/>
                <w:webHidden/>
              </w:rPr>
              <w:t>1118</w:t>
            </w:r>
            <w:r>
              <w:rPr>
                <w:noProof/>
                <w:webHidden/>
              </w:rPr>
              <w:fldChar w:fldCharType="end"/>
            </w:r>
          </w:hyperlink>
        </w:p>
        <w:p w14:paraId="3F480757" w14:textId="1192716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50" w:history="1">
            <w:r w:rsidRPr="00F45DCA">
              <w:rPr>
                <w:rStyle w:val="Lienhypertexte"/>
                <w:noProof/>
              </w:rPr>
              <w:t>24.83.3 Réparation non structurale par injection CCTB 01.10</w:t>
            </w:r>
            <w:r>
              <w:rPr>
                <w:noProof/>
                <w:webHidden/>
              </w:rPr>
              <w:tab/>
            </w:r>
            <w:r>
              <w:rPr>
                <w:noProof/>
                <w:webHidden/>
              </w:rPr>
              <w:fldChar w:fldCharType="begin"/>
            </w:r>
            <w:r>
              <w:rPr>
                <w:noProof/>
                <w:webHidden/>
              </w:rPr>
              <w:instrText xml:space="preserve"> PAGEREF _Toc220496750 \h </w:instrText>
            </w:r>
            <w:r>
              <w:rPr>
                <w:noProof/>
                <w:webHidden/>
              </w:rPr>
            </w:r>
            <w:r>
              <w:rPr>
                <w:noProof/>
                <w:webHidden/>
              </w:rPr>
              <w:fldChar w:fldCharType="separate"/>
            </w:r>
            <w:r>
              <w:rPr>
                <w:noProof/>
                <w:webHidden/>
              </w:rPr>
              <w:t>1118</w:t>
            </w:r>
            <w:r>
              <w:rPr>
                <w:noProof/>
                <w:webHidden/>
              </w:rPr>
              <w:fldChar w:fldCharType="end"/>
            </w:r>
          </w:hyperlink>
        </w:p>
        <w:p w14:paraId="494E5CE9" w14:textId="5776F16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51" w:history="1">
            <w:r w:rsidRPr="00F45DCA">
              <w:rPr>
                <w:rStyle w:val="Lienhypertexte"/>
                <w:noProof/>
              </w:rPr>
              <w:t>24.83.3a Réparation non structurale par injection CCTB 01.10</w:t>
            </w:r>
            <w:r>
              <w:rPr>
                <w:noProof/>
                <w:webHidden/>
              </w:rPr>
              <w:tab/>
            </w:r>
            <w:r>
              <w:rPr>
                <w:noProof/>
                <w:webHidden/>
              </w:rPr>
              <w:fldChar w:fldCharType="begin"/>
            </w:r>
            <w:r>
              <w:rPr>
                <w:noProof/>
                <w:webHidden/>
              </w:rPr>
              <w:instrText xml:space="preserve"> PAGEREF _Toc220496751 \h </w:instrText>
            </w:r>
            <w:r>
              <w:rPr>
                <w:noProof/>
                <w:webHidden/>
              </w:rPr>
            </w:r>
            <w:r>
              <w:rPr>
                <w:noProof/>
                <w:webHidden/>
              </w:rPr>
              <w:fldChar w:fldCharType="separate"/>
            </w:r>
            <w:r>
              <w:rPr>
                <w:noProof/>
                <w:webHidden/>
              </w:rPr>
              <w:t>1118</w:t>
            </w:r>
            <w:r>
              <w:rPr>
                <w:noProof/>
                <w:webHidden/>
              </w:rPr>
              <w:fldChar w:fldCharType="end"/>
            </w:r>
          </w:hyperlink>
        </w:p>
        <w:p w14:paraId="5E4F3B59" w14:textId="7D4257E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752" w:history="1">
            <w:r w:rsidRPr="00F45DCA">
              <w:rPr>
                <w:rStyle w:val="Lienhypertexte"/>
                <w:noProof/>
              </w:rPr>
              <w:t>24.84 Réparation structurale / Renforcement CCTB 01.04</w:t>
            </w:r>
            <w:r>
              <w:rPr>
                <w:noProof/>
                <w:webHidden/>
              </w:rPr>
              <w:tab/>
            </w:r>
            <w:r>
              <w:rPr>
                <w:noProof/>
                <w:webHidden/>
              </w:rPr>
              <w:fldChar w:fldCharType="begin"/>
            </w:r>
            <w:r>
              <w:rPr>
                <w:noProof/>
                <w:webHidden/>
              </w:rPr>
              <w:instrText xml:space="preserve"> PAGEREF _Toc220496752 \h </w:instrText>
            </w:r>
            <w:r>
              <w:rPr>
                <w:noProof/>
                <w:webHidden/>
              </w:rPr>
            </w:r>
            <w:r>
              <w:rPr>
                <w:noProof/>
                <w:webHidden/>
              </w:rPr>
              <w:fldChar w:fldCharType="separate"/>
            </w:r>
            <w:r>
              <w:rPr>
                <w:noProof/>
                <w:webHidden/>
              </w:rPr>
              <w:t>1118</w:t>
            </w:r>
            <w:r>
              <w:rPr>
                <w:noProof/>
                <w:webHidden/>
              </w:rPr>
              <w:fldChar w:fldCharType="end"/>
            </w:r>
          </w:hyperlink>
        </w:p>
        <w:p w14:paraId="20A4A3F8" w14:textId="27B5CD1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53" w:history="1">
            <w:r w:rsidRPr="00F45DCA">
              <w:rPr>
                <w:rStyle w:val="Lienhypertexte"/>
                <w:noProof/>
              </w:rPr>
              <w:t>24.84.1 Réparation structurale / Renforcement par injection CCTB 01.04</w:t>
            </w:r>
            <w:r>
              <w:rPr>
                <w:noProof/>
                <w:webHidden/>
              </w:rPr>
              <w:tab/>
            </w:r>
            <w:r>
              <w:rPr>
                <w:noProof/>
                <w:webHidden/>
              </w:rPr>
              <w:fldChar w:fldCharType="begin"/>
            </w:r>
            <w:r>
              <w:rPr>
                <w:noProof/>
                <w:webHidden/>
              </w:rPr>
              <w:instrText xml:space="preserve"> PAGEREF _Toc220496753 \h </w:instrText>
            </w:r>
            <w:r>
              <w:rPr>
                <w:noProof/>
                <w:webHidden/>
              </w:rPr>
            </w:r>
            <w:r>
              <w:rPr>
                <w:noProof/>
                <w:webHidden/>
              </w:rPr>
              <w:fldChar w:fldCharType="separate"/>
            </w:r>
            <w:r>
              <w:rPr>
                <w:noProof/>
                <w:webHidden/>
              </w:rPr>
              <w:t>1118</w:t>
            </w:r>
            <w:r>
              <w:rPr>
                <w:noProof/>
                <w:webHidden/>
              </w:rPr>
              <w:fldChar w:fldCharType="end"/>
            </w:r>
          </w:hyperlink>
        </w:p>
        <w:p w14:paraId="67332461" w14:textId="2F79993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54" w:history="1">
            <w:r w:rsidRPr="00F45DCA">
              <w:rPr>
                <w:rStyle w:val="Lienhypertexte"/>
                <w:noProof/>
              </w:rPr>
              <w:t>24.84.1a Injection à base de résines CCTB 01.04</w:t>
            </w:r>
            <w:r>
              <w:rPr>
                <w:noProof/>
                <w:webHidden/>
              </w:rPr>
              <w:tab/>
            </w:r>
            <w:r>
              <w:rPr>
                <w:noProof/>
                <w:webHidden/>
              </w:rPr>
              <w:fldChar w:fldCharType="begin"/>
            </w:r>
            <w:r>
              <w:rPr>
                <w:noProof/>
                <w:webHidden/>
              </w:rPr>
              <w:instrText xml:space="preserve"> PAGEREF _Toc220496754 \h </w:instrText>
            </w:r>
            <w:r>
              <w:rPr>
                <w:noProof/>
                <w:webHidden/>
              </w:rPr>
            </w:r>
            <w:r>
              <w:rPr>
                <w:noProof/>
                <w:webHidden/>
              </w:rPr>
              <w:fldChar w:fldCharType="separate"/>
            </w:r>
            <w:r>
              <w:rPr>
                <w:noProof/>
                <w:webHidden/>
              </w:rPr>
              <w:t>1118</w:t>
            </w:r>
            <w:r>
              <w:rPr>
                <w:noProof/>
                <w:webHidden/>
              </w:rPr>
              <w:fldChar w:fldCharType="end"/>
            </w:r>
          </w:hyperlink>
        </w:p>
        <w:p w14:paraId="30077B6D" w14:textId="512A8D2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55" w:history="1">
            <w:r w:rsidRPr="00F45DCA">
              <w:rPr>
                <w:rStyle w:val="Lienhypertexte"/>
                <w:noProof/>
              </w:rPr>
              <w:t>24.84.2 Réparation structurale / Renforcement par modification de la section de poutres existantes CCTB 01.02</w:t>
            </w:r>
            <w:r>
              <w:rPr>
                <w:noProof/>
                <w:webHidden/>
              </w:rPr>
              <w:tab/>
            </w:r>
            <w:r>
              <w:rPr>
                <w:noProof/>
                <w:webHidden/>
              </w:rPr>
              <w:fldChar w:fldCharType="begin"/>
            </w:r>
            <w:r>
              <w:rPr>
                <w:noProof/>
                <w:webHidden/>
              </w:rPr>
              <w:instrText xml:space="preserve"> PAGEREF _Toc220496755 \h </w:instrText>
            </w:r>
            <w:r>
              <w:rPr>
                <w:noProof/>
                <w:webHidden/>
              </w:rPr>
            </w:r>
            <w:r>
              <w:rPr>
                <w:noProof/>
                <w:webHidden/>
              </w:rPr>
              <w:fldChar w:fldCharType="separate"/>
            </w:r>
            <w:r>
              <w:rPr>
                <w:noProof/>
                <w:webHidden/>
              </w:rPr>
              <w:t>1118</w:t>
            </w:r>
            <w:r>
              <w:rPr>
                <w:noProof/>
                <w:webHidden/>
              </w:rPr>
              <w:fldChar w:fldCharType="end"/>
            </w:r>
          </w:hyperlink>
        </w:p>
        <w:p w14:paraId="2A16C470" w14:textId="298A491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56" w:history="1">
            <w:r w:rsidRPr="00F45DCA">
              <w:rPr>
                <w:rStyle w:val="Lienhypertexte"/>
                <w:noProof/>
              </w:rPr>
              <w:t>24.84.2a Renforcement par modification de la section de poutres existantes CCTB 01.02</w:t>
            </w:r>
            <w:r>
              <w:rPr>
                <w:noProof/>
                <w:webHidden/>
              </w:rPr>
              <w:tab/>
            </w:r>
            <w:r>
              <w:rPr>
                <w:noProof/>
                <w:webHidden/>
              </w:rPr>
              <w:fldChar w:fldCharType="begin"/>
            </w:r>
            <w:r>
              <w:rPr>
                <w:noProof/>
                <w:webHidden/>
              </w:rPr>
              <w:instrText xml:space="preserve"> PAGEREF _Toc220496756 \h </w:instrText>
            </w:r>
            <w:r>
              <w:rPr>
                <w:noProof/>
                <w:webHidden/>
              </w:rPr>
            </w:r>
            <w:r>
              <w:rPr>
                <w:noProof/>
                <w:webHidden/>
              </w:rPr>
              <w:fldChar w:fldCharType="separate"/>
            </w:r>
            <w:r>
              <w:rPr>
                <w:noProof/>
                <w:webHidden/>
              </w:rPr>
              <w:t>1118</w:t>
            </w:r>
            <w:r>
              <w:rPr>
                <w:noProof/>
                <w:webHidden/>
              </w:rPr>
              <w:fldChar w:fldCharType="end"/>
            </w:r>
          </w:hyperlink>
        </w:p>
        <w:p w14:paraId="467ACD3C" w14:textId="0165460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57" w:history="1">
            <w:r w:rsidRPr="00F45DCA">
              <w:rPr>
                <w:rStyle w:val="Lienhypertexte"/>
                <w:noProof/>
              </w:rPr>
              <w:t>24.84.3 Réparation structurale / Renforcement par insertion et scellement de barres (brochage / agrafage / épinglage) CCTB 01.04</w:t>
            </w:r>
            <w:r>
              <w:rPr>
                <w:noProof/>
                <w:webHidden/>
              </w:rPr>
              <w:tab/>
            </w:r>
            <w:r>
              <w:rPr>
                <w:noProof/>
                <w:webHidden/>
              </w:rPr>
              <w:fldChar w:fldCharType="begin"/>
            </w:r>
            <w:r>
              <w:rPr>
                <w:noProof/>
                <w:webHidden/>
              </w:rPr>
              <w:instrText xml:space="preserve"> PAGEREF _Toc220496757 \h </w:instrText>
            </w:r>
            <w:r>
              <w:rPr>
                <w:noProof/>
                <w:webHidden/>
              </w:rPr>
            </w:r>
            <w:r>
              <w:rPr>
                <w:noProof/>
                <w:webHidden/>
              </w:rPr>
              <w:fldChar w:fldCharType="separate"/>
            </w:r>
            <w:r>
              <w:rPr>
                <w:noProof/>
                <w:webHidden/>
              </w:rPr>
              <w:t>1118</w:t>
            </w:r>
            <w:r>
              <w:rPr>
                <w:noProof/>
                <w:webHidden/>
              </w:rPr>
              <w:fldChar w:fldCharType="end"/>
            </w:r>
          </w:hyperlink>
        </w:p>
        <w:p w14:paraId="70205AC0" w14:textId="20C70ED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58" w:history="1">
            <w:r w:rsidRPr="00F45DCA">
              <w:rPr>
                <w:rStyle w:val="Lienhypertexte"/>
                <w:noProof/>
              </w:rPr>
              <w:t>24.84.3a Réparation structurale / Renforcement par brochage CCTB 01.10</w:t>
            </w:r>
            <w:r>
              <w:rPr>
                <w:noProof/>
                <w:webHidden/>
              </w:rPr>
              <w:tab/>
            </w:r>
            <w:r>
              <w:rPr>
                <w:noProof/>
                <w:webHidden/>
              </w:rPr>
              <w:fldChar w:fldCharType="begin"/>
            </w:r>
            <w:r>
              <w:rPr>
                <w:noProof/>
                <w:webHidden/>
              </w:rPr>
              <w:instrText xml:space="preserve"> PAGEREF _Toc220496758 \h </w:instrText>
            </w:r>
            <w:r>
              <w:rPr>
                <w:noProof/>
                <w:webHidden/>
              </w:rPr>
            </w:r>
            <w:r>
              <w:rPr>
                <w:noProof/>
                <w:webHidden/>
              </w:rPr>
              <w:fldChar w:fldCharType="separate"/>
            </w:r>
            <w:r>
              <w:rPr>
                <w:noProof/>
                <w:webHidden/>
              </w:rPr>
              <w:t>1118</w:t>
            </w:r>
            <w:r>
              <w:rPr>
                <w:noProof/>
                <w:webHidden/>
              </w:rPr>
              <w:fldChar w:fldCharType="end"/>
            </w:r>
          </w:hyperlink>
        </w:p>
        <w:p w14:paraId="24465D6E" w14:textId="25D5A76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59" w:history="1">
            <w:r w:rsidRPr="00F45DCA">
              <w:rPr>
                <w:rStyle w:val="Lienhypertexte"/>
                <w:noProof/>
              </w:rPr>
              <w:t>24.84.3b Réparation structurale / Renforcement par agrafage CCTB 01.04</w:t>
            </w:r>
            <w:r>
              <w:rPr>
                <w:noProof/>
                <w:webHidden/>
              </w:rPr>
              <w:tab/>
            </w:r>
            <w:r>
              <w:rPr>
                <w:noProof/>
                <w:webHidden/>
              </w:rPr>
              <w:fldChar w:fldCharType="begin"/>
            </w:r>
            <w:r>
              <w:rPr>
                <w:noProof/>
                <w:webHidden/>
              </w:rPr>
              <w:instrText xml:space="preserve"> PAGEREF _Toc220496759 \h </w:instrText>
            </w:r>
            <w:r>
              <w:rPr>
                <w:noProof/>
                <w:webHidden/>
              </w:rPr>
            </w:r>
            <w:r>
              <w:rPr>
                <w:noProof/>
                <w:webHidden/>
              </w:rPr>
              <w:fldChar w:fldCharType="separate"/>
            </w:r>
            <w:r>
              <w:rPr>
                <w:noProof/>
                <w:webHidden/>
              </w:rPr>
              <w:t>1118</w:t>
            </w:r>
            <w:r>
              <w:rPr>
                <w:noProof/>
                <w:webHidden/>
              </w:rPr>
              <w:fldChar w:fldCharType="end"/>
            </w:r>
          </w:hyperlink>
        </w:p>
        <w:p w14:paraId="3A7B0B2B" w14:textId="28F389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60" w:history="1">
            <w:r w:rsidRPr="00F45DCA">
              <w:rPr>
                <w:rStyle w:val="Lienhypertexte"/>
                <w:noProof/>
              </w:rPr>
              <w:t>24.84.3c Réparation structurale / Renforcement par épinglage CCTB 01.10</w:t>
            </w:r>
            <w:r>
              <w:rPr>
                <w:noProof/>
                <w:webHidden/>
              </w:rPr>
              <w:tab/>
            </w:r>
            <w:r>
              <w:rPr>
                <w:noProof/>
                <w:webHidden/>
              </w:rPr>
              <w:fldChar w:fldCharType="begin"/>
            </w:r>
            <w:r>
              <w:rPr>
                <w:noProof/>
                <w:webHidden/>
              </w:rPr>
              <w:instrText xml:space="preserve"> PAGEREF _Toc220496760 \h </w:instrText>
            </w:r>
            <w:r>
              <w:rPr>
                <w:noProof/>
                <w:webHidden/>
              </w:rPr>
            </w:r>
            <w:r>
              <w:rPr>
                <w:noProof/>
                <w:webHidden/>
              </w:rPr>
              <w:fldChar w:fldCharType="separate"/>
            </w:r>
            <w:r>
              <w:rPr>
                <w:noProof/>
                <w:webHidden/>
              </w:rPr>
              <w:t>1118</w:t>
            </w:r>
            <w:r>
              <w:rPr>
                <w:noProof/>
                <w:webHidden/>
              </w:rPr>
              <w:fldChar w:fldCharType="end"/>
            </w:r>
          </w:hyperlink>
        </w:p>
        <w:p w14:paraId="1D685208" w14:textId="6655332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61" w:history="1">
            <w:r w:rsidRPr="00F45DCA">
              <w:rPr>
                <w:rStyle w:val="Lienhypertexte"/>
                <w:noProof/>
              </w:rPr>
              <w:t>24.84.3d Réparation structurale / Renforcement de nœuds de charpente CCTB 01.04</w:t>
            </w:r>
            <w:r>
              <w:rPr>
                <w:noProof/>
                <w:webHidden/>
              </w:rPr>
              <w:tab/>
            </w:r>
            <w:r>
              <w:rPr>
                <w:noProof/>
                <w:webHidden/>
              </w:rPr>
              <w:fldChar w:fldCharType="begin"/>
            </w:r>
            <w:r>
              <w:rPr>
                <w:noProof/>
                <w:webHidden/>
              </w:rPr>
              <w:instrText xml:space="preserve"> PAGEREF _Toc220496761 \h </w:instrText>
            </w:r>
            <w:r>
              <w:rPr>
                <w:noProof/>
                <w:webHidden/>
              </w:rPr>
            </w:r>
            <w:r>
              <w:rPr>
                <w:noProof/>
                <w:webHidden/>
              </w:rPr>
              <w:fldChar w:fldCharType="separate"/>
            </w:r>
            <w:r>
              <w:rPr>
                <w:noProof/>
                <w:webHidden/>
              </w:rPr>
              <w:t>1118</w:t>
            </w:r>
            <w:r>
              <w:rPr>
                <w:noProof/>
                <w:webHidden/>
              </w:rPr>
              <w:fldChar w:fldCharType="end"/>
            </w:r>
          </w:hyperlink>
        </w:p>
        <w:p w14:paraId="461FB57A" w14:textId="7AC18BB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62" w:history="1">
            <w:r w:rsidRPr="00F45DCA">
              <w:rPr>
                <w:rStyle w:val="Lienhypertexte"/>
                <w:noProof/>
              </w:rPr>
              <w:t>24.84.4 Réparation structurale / Renforcement par fixation de plats et toiles CCTB 01.04</w:t>
            </w:r>
            <w:r>
              <w:rPr>
                <w:noProof/>
                <w:webHidden/>
              </w:rPr>
              <w:tab/>
            </w:r>
            <w:r>
              <w:rPr>
                <w:noProof/>
                <w:webHidden/>
              </w:rPr>
              <w:fldChar w:fldCharType="begin"/>
            </w:r>
            <w:r>
              <w:rPr>
                <w:noProof/>
                <w:webHidden/>
              </w:rPr>
              <w:instrText xml:space="preserve"> PAGEREF _Toc220496762 \h </w:instrText>
            </w:r>
            <w:r>
              <w:rPr>
                <w:noProof/>
                <w:webHidden/>
              </w:rPr>
            </w:r>
            <w:r>
              <w:rPr>
                <w:noProof/>
                <w:webHidden/>
              </w:rPr>
              <w:fldChar w:fldCharType="separate"/>
            </w:r>
            <w:r>
              <w:rPr>
                <w:noProof/>
                <w:webHidden/>
              </w:rPr>
              <w:t>1118</w:t>
            </w:r>
            <w:r>
              <w:rPr>
                <w:noProof/>
                <w:webHidden/>
              </w:rPr>
              <w:fldChar w:fldCharType="end"/>
            </w:r>
          </w:hyperlink>
        </w:p>
        <w:p w14:paraId="4981E87B" w14:textId="0E9431D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63" w:history="1">
            <w:r w:rsidRPr="00F45DCA">
              <w:rPr>
                <w:rStyle w:val="Lienhypertexte"/>
                <w:noProof/>
              </w:rPr>
              <w:t>24.84.4a Ajout d'armatures collées en acier CCTB 01.02</w:t>
            </w:r>
            <w:r>
              <w:rPr>
                <w:noProof/>
                <w:webHidden/>
              </w:rPr>
              <w:tab/>
            </w:r>
            <w:r>
              <w:rPr>
                <w:noProof/>
                <w:webHidden/>
              </w:rPr>
              <w:fldChar w:fldCharType="begin"/>
            </w:r>
            <w:r>
              <w:rPr>
                <w:noProof/>
                <w:webHidden/>
              </w:rPr>
              <w:instrText xml:space="preserve"> PAGEREF _Toc220496763 \h </w:instrText>
            </w:r>
            <w:r>
              <w:rPr>
                <w:noProof/>
                <w:webHidden/>
              </w:rPr>
            </w:r>
            <w:r>
              <w:rPr>
                <w:noProof/>
                <w:webHidden/>
              </w:rPr>
              <w:fldChar w:fldCharType="separate"/>
            </w:r>
            <w:r>
              <w:rPr>
                <w:noProof/>
                <w:webHidden/>
              </w:rPr>
              <w:t>1118</w:t>
            </w:r>
            <w:r>
              <w:rPr>
                <w:noProof/>
                <w:webHidden/>
              </w:rPr>
              <w:fldChar w:fldCharType="end"/>
            </w:r>
          </w:hyperlink>
        </w:p>
        <w:p w14:paraId="17C08463" w14:textId="408AC1A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64" w:history="1">
            <w:r w:rsidRPr="00F45DCA">
              <w:rPr>
                <w:rStyle w:val="Lienhypertexte"/>
                <w:noProof/>
              </w:rPr>
              <w:t>24.84.4b Ajout d'armatures collées en fibre de carbone CCTB 01.02</w:t>
            </w:r>
            <w:r>
              <w:rPr>
                <w:noProof/>
                <w:webHidden/>
              </w:rPr>
              <w:tab/>
            </w:r>
            <w:r>
              <w:rPr>
                <w:noProof/>
                <w:webHidden/>
              </w:rPr>
              <w:fldChar w:fldCharType="begin"/>
            </w:r>
            <w:r>
              <w:rPr>
                <w:noProof/>
                <w:webHidden/>
              </w:rPr>
              <w:instrText xml:space="preserve"> PAGEREF _Toc220496764 \h </w:instrText>
            </w:r>
            <w:r>
              <w:rPr>
                <w:noProof/>
                <w:webHidden/>
              </w:rPr>
            </w:r>
            <w:r>
              <w:rPr>
                <w:noProof/>
                <w:webHidden/>
              </w:rPr>
              <w:fldChar w:fldCharType="separate"/>
            </w:r>
            <w:r>
              <w:rPr>
                <w:noProof/>
                <w:webHidden/>
              </w:rPr>
              <w:t>1118</w:t>
            </w:r>
            <w:r>
              <w:rPr>
                <w:noProof/>
                <w:webHidden/>
              </w:rPr>
              <w:fldChar w:fldCharType="end"/>
            </w:r>
          </w:hyperlink>
        </w:p>
        <w:p w14:paraId="4FA38B4D" w14:textId="43663F8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65" w:history="1">
            <w:r w:rsidRPr="00F45DCA">
              <w:rPr>
                <w:rStyle w:val="Lienhypertexte"/>
                <w:noProof/>
              </w:rPr>
              <w:t>24.84.4c Moulages composites CCTB 01.02</w:t>
            </w:r>
            <w:r>
              <w:rPr>
                <w:noProof/>
                <w:webHidden/>
              </w:rPr>
              <w:tab/>
            </w:r>
            <w:r>
              <w:rPr>
                <w:noProof/>
                <w:webHidden/>
              </w:rPr>
              <w:fldChar w:fldCharType="begin"/>
            </w:r>
            <w:r>
              <w:rPr>
                <w:noProof/>
                <w:webHidden/>
              </w:rPr>
              <w:instrText xml:space="preserve"> PAGEREF _Toc220496765 \h </w:instrText>
            </w:r>
            <w:r>
              <w:rPr>
                <w:noProof/>
                <w:webHidden/>
              </w:rPr>
            </w:r>
            <w:r>
              <w:rPr>
                <w:noProof/>
                <w:webHidden/>
              </w:rPr>
              <w:fldChar w:fldCharType="separate"/>
            </w:r>
            <w:r>
              <w:rPr>
                <w:noProof/>
                <w:webHidden/>
              </w:rPr>
              <w:t>1118</w:t>
            </w:r>
            <w:r>
              <w:rPr>
                <w:noProof/>
                <w:webHidden/>
              </w:rPr>
              <w:fldChar w:fldCharType="end"/>
            </w:r>
          </w:hyperlink>
        </w:p>
        <w:p w14:paraId="5023F1CC" w14:textId="67B67D0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66" w:history="1">
            <w:r w:rsidRPr="00F45DCA">
              <w:rPr>
                <w:rStyle w:val="Lienhypertexte"/>
                <w:noProof/>
              </w:rPr>
              <w:t>24.84.4d Réparation structurale / Renforcement par brochage CCTB 01.04</w:t>
            </w:r>
            <w:r>
              <w:rPr>
                <w:noProof/>
                <w:webHidden/>
              </w:rPr>
              <w:tab/>
            </w:r>
            <w:r>
              <w:rPr>
                <w:noProof/>
                <w:webHidden/>
              </w:rPr>
              <w:fldChar w:fldCharType="begin"/>
            </w:r>
            <w:r>
              <w:rPr>
                <w:noProof/>
                <w:webHidden/>
              </w:rPr>
              <w:instrText xml:space="preserve"> PAGEREF _Toc220496766 \h </w:instrText>
            </w:r>
            <w:r>
              <w:rPr>
                <w:noProof/>
                <w:webHidden/>
              </w:rPr>
            </w:r>
            <w:r>
              <w:rPr>
                <w:noProof/>
                <w:webHidden/>
              </w:rPr>
              <w:fldChar w:fldCharType="separate"/>
            </w:r>
            <w:r>
              <w:rPr>
                <w:noProof/>
                <w:webHidden/>
              </w:rPr>
              <w:t>1118</w:t>
            </w:r>
            <w:r>
              <w:rPr>
                <w:noProof/>
                <w:webHidden/>
              </w:rPr>
              <w:fldChar w:fldCharType="end"/>
            </w:r>
          </w:hyperlink>
        </w:p>
        <w:p w14:paraId="0DFFFD5F" w14:textId="7D41A06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67" w:history="1">
            <w:r w:rsidRPr="00F45DCA">
              <w:rPr>
                <w:rStyle w:val="Lienhypertexte"/>
                <w:noProof/>
              </w:rPr>
              <w:t>24.84.4e Ajout de toiles CCTB 01.10</w:t>
            </w:r>
            <w:r>
              <w:rPr>
                <w:noProof/>
                <w:webHidden/>
              </w:rPr>
              <w:tab/>
            </w:r>
            <w:r>
              <w:rPr>
                <w:noProof/>
                <w:webHidden/>
              </w:rPr>
              <w:fldChar w:fldCharType="begin"/>
            </w:r>
            <w:r>
              <w:rPr>
                <w:noProof/>
                <w:webHidden/>
              </w:rPr>
              <w:instrText xml:space="preserve"> PAGEREF _Toc220496767 \h </w:instrText>
            </w:r>
            <w:r>
              <w:rPr>
                <w:noProof/>
                <w:webHidden/>
              </w:rPr>
            </w:r>
            <w:r>
              <w:rPr>
                <w:noProof/>
                <w:webHidden/>
              </w:rPr>
              <w:fldChar w:fldCharType="separate"/>
            </w:r>
            <w:r>
              <w:rPr>
                <w:noProof/>
                <w:webHidden/>
              </w:rPr>
              <w:t>1119</w:t>
            </w:r>
            <w:r>
              <w:rPr>
                <w:noProof/>
                <w:webHidden/>
              </w:rPr>
              <w:fldChar w:fldCharType="end"/>
            </w:r>
          </w:hyperlink>
        </w:p>
        <w:p w14:paraId="30A7EC52" w14:textId="06C584B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68" w:history="1">
            <w:r w:rsidRPr="00F45DCA">
              <w:rPr>
                <w:rStyle w:val="Lienhypertexte"/>
                <w:noProof/>
              </w:rPr>
              <w:t>24.84.5 Réparation structurale / Renforcement par ajout d'éléments structuraux CCTB 01.04</w:t>
            </w:r>
            <w:r>
              <w:rPr>
                <w:noProof/>
                <w:webHidden/>
              </w:rPr>
              <w:tab/>
            </w:r>
            <w:r>
              <w:rPr>
                <w:noProof/>
                <w:webHidden/>
              </w:rPr>
              <w:fldChar w:fldCharType="begin"/>
            </w:r>
            <w:r>
              <w:rPr>
                <w:noProof/>
                <w:webHidden/>
              </w:rPr>
              <w:instrText xml:space="preserve"> PAGEREF _Toc220496768 \h </w:instrText>
            </w:r>
            <w:r>
              <w:rPr>
                <w:noProof/>
                <w:webHidden/>
              </w:rPr>
            </w:r>
            <w:r>
              <w:rPr>
                <w:noProof/>
                <w:webHidden/>
              </w:rPr>
              <w:fldChar w:fldCharType="separate"/>
            </w:r>
            <w:r>
              <w:rPr>
                <w:noProof/>
                <w:webHidden/>
              </w:rPr>
              <w:t>1119</w:t>
            </w:r>
            <w:r>
              <w:rPr>
                <w:noProof/>
                <w:webHidden/>
              </w:rPr>
              <w:fldChar w:fldCharType="end"/>
            </w:r>
          </w:hyperlink>
        </w:p>
        <w:p w14:paraId="3521D238" w14:textId="1AFEED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69" w:history="1">
            <w:r w:rsidRPr="00F45DCA">
              <w:rPr>
                <w:rStyle w:val="Lienhypertexte"/>
                <w:noProof/>
              </w:rPr>
              <w:t>24.84.5a Ajout de tirants métalliques externes CCTB 01.02</w:t>
            </w:r>
            <w:r>
              <w:rPr>
                <w:noProof/>
                <w:webHidden/>
              </w:rPr>
              <w:tab/>
            </w:r>
            <w:r>
              <w:rPr>
                <w:noProof/>
                <w:webHidden/>
              </w:rPr>
              <w:fldChar w:fldCharType="begin"/>
            </w:r>
            <w:r>
              <w:rPr>
                <w:noProof/>
                <w:webHidden/>
              </w:rPr>
              <w:instrText xml:space="preserve"> PAGEREF _Toc220496769 \h </w:instrText>
            </w:r>
            <w:r>
              <w:rPr>
                <w:noProof/>
                <w:webHidden/>
              </w:rPr>
            </w:r>
            <w:r>
              <w:rPr>
                <w:noProof/>
                <w:webHidden/>
              </w:rPr>
              <w:fldChar w:fldCharType="separate"/>
            </w:r>
            <w:r>
              <w:rPr>
                <w:noProof/>
                <w:webHidden/>
              </w:rPr>
              <w:t>1119</w:t>
            </w:r>
            <w:r>
              <w:rPr>
                <w:noProof/>
                <w:webHidden/>
              </w:rPr>
              <w:fldChar w:fldCharType="end"/>
            </w:r>
          </w:hyperlink>
        </w:p>
        <w:p w14:paraId="6D8A6C4F" w14:textId="345635D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70" w:history="1">
            <w:r w:rsidRPr="00F45DCA">
              <w:rPr>
                <w:rStyle w:val="Lienhypertexte"/>
                <w:noProof/>
              </w:rPr>
              <w:t>24.84.5b Ajout de profils métalliques externes boulonnés CCTB 01.02</w:t>
            </w:r>
            <w:r>
              <w:rPr>
                <w:noProof/>
                <w:webHidden/>
              </w:rPr>
              <w:tab/>
            </w:r>
            <w:r>
              <w:rPr>
                <w:noProof/>
                <w:webHidden/>
              </w:rPr>
              <w:fldChar w:fldCharType="begin"/>
            </w:r>
            <w:r>
              <w:rPr>
                <w:noProof/>
                <w:webHidden/>
              </w:rPr>
              <w:instrText xml:space="preserve"> PAGEREF _Toc220496770 \h </w:instrText>
            </w:r>
            <w:r>
              <w:rPr>
                <w:noProof/>
                <w:webHidden/>
              </w:rPr>
            </w:r>
            <w:r>
              <w:rPr>
                <w:noProof/>
                <w:webHidden/>
              </w:rPr>
              <w:fldChar w:fldCharType="separate"/>
            </w:r>
            <w:r>
              <w:rPr>
                <w:noProof/>
                <w:webHidden/>
              </w:rPr>
              <w:t>1119</w:t>
            </w:r>
            <w:r>
              <w:rPr>
                <w:noProof/>
                <w:webHidden/>
              </w:rPr>
              <w:fldChar w:fldCharType="end"/>
            </w:r>
          </w:hyperlink>
        </w:p>
        <w:p w14:paraId="7269F4DA" w14:textId="0C5B5A6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71" w:history="1">
            <w:r w:rsidRPr="00F45DCA">
              <w:rPr>
                <w:rStyle w:val="Lienhypertexte"/>
                <w:noProof/>
              </w:rPr>
              <w:t>24.84.5c Réalisation de cerclage métallique externe CCTB 01.02</w:t>
            </w:r>
            <w:r>
              <w:rPr>
                <w:noProof/>
                <w:webHidden/>
              </w:rPr>
              <w:tab/>
            </w:r>
            <w:r>
              <w:rPr>
                <w:noProof/>
                <w:webHidden/>
              </w:rPr>
              <w:fldChar w:fldCharType="begin"/>
            </w:r>
            <w:r>
              <w:rPr>
                <w:noProof/>
                <w:webHidden/>
              </w:rPr>
              <w:instrText xml:space="preserve"> PAGEREF _Toc220496771 \h </w:instrText>
            </w:r>
            <w:r>
              <w:rPr>
                <w:noProof/>
                <w:webHidden/>
              </w:rPr>
            </w:r>
            <w:r>
              <w:rPr>
                <w:noProof/>
                <w:webHidden/>
              </w:rPr>
              <w:fldChar w:fldCharType="separate"/>
            </w:r>
            <w:r>
              <w:rPr>
                <w:noProof/>
                <w:webHidden/>
              </w:rPr>
              <w:t>1119</w:t>
            </w:r>
            <w:r>
              <w:rPr>
                <w:noProof/>
                <w:webHidden/>
              </w:rPr>
              <w:fldChar w:fldCharType="end"/>
            </w:r>
          </w:hyperlink>
        </w:p>
        <w:p w14:paraId="65E34D99" w14:textId="750825F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72" w:history="1">
            <w:r w:rsidRPr="00F45DCA">
              <w:rPr>
                <w:rStyle w:val="Lienhypertexte"/>
                <w:noProof/>
              </w:rPr>
              <w:t>24.84.5d Structure de délestage autour d'une structure existante CCTB 01.02</w:t>
            </w:r>
            <w:r>
              <w:rPr>
                <w:noProof/>
                <w:webHidden/>
              </w:rPr>
              <w:tab/>
            </w:r>
            <w:r>
              <w:rPr>
                <w:noProof/>
                <w:webHidden/>
              </w:rPr>
              <w:fldChar w:fldCharType="begin"/>
            </w:r>
            <w:r>
              <w:rPr>
                <w:noProof/>
                <w:webHidden/>
              </w:rPr>
              <w:instrText xml:space="preserve"> PAGEREF _Toc220496772 \h </w:instrText>
            </w:r>
            <w:r>
              <w:rPr>
                <w:noProof/>
                <w:webHidden/>
              </w:rPr>
            </w:r>
            <w:r>
              <w:rPr>
                <w:noProof/>
                <w:webHidden/>
              </w:rPr>
              <w:fldChar w:fldCharType="separate"/>
            </w:r>
            <w:r>
              <w:rPr>
                <w:noProof/>
                <w:webHidden/>
              </w:rPr>
              <w:t>1119</w:t>
            </w:r>
            <w:r>
              <w:rPr>
                <w:noProof/>
                <w:webHidden/>
              </w:rPr>
              <w:fldChar w:fldCharType="end"/>
            </w:r>
          </w:hyperlink>
        </w:p>
        <w:p w14:paraId="5C24D0E7" w14:textId="15CCF41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73" w:history="1">
            <w:r w:rsidRPr="00F45DCA">
              <w:rPr>
                <w:rStyle w:val="Lienhypertexte"/>
                <w:noProof/>
              </w:rPr>
              <w:t>24.84.5e Ajout d'éléments en bois CCTB 01.04</w:t>
            </w:r>
            <w:r>
              <w:rPr>
                <w:noProof/>
                <w:webHidden/>
              </w:rPr>
              <w:tab/>
            </w:r>
            <w:r>
              <w:rPr>
                <w:noProof/>
                <w:webHidden/>
              </w:rPr>
              <w:fldChar w:fldCharType="begin"/>
            </w:r>
            <w:r>
              <w:rPr>
                <w:noProof/>
                <w:webHidden/>
              </w:rPr>
              <w:instrText xml:space="preserve"> PAGEREF _Toc220496773 \h </w:instrText>
            </w:r>
            <w:r>
              <w:rPr>
                <w:noProof/>
                <w:webHidden/>
              </w:rPr>
            </w:r>
            <w:r>
              <w:rPr>
                <w:noProof/>
                <w:webHidden/>
              </w:rPr>
              <w:fldChar w:fldCharType="separate"/>
            </w:r>
            <w:r>
              <w:rPr>
                <w:noProof/>
                <w:webHidden/>
              </w:rPr>
              <w:t>1119</w:t>
            </w:r>
            <w:r>
              <w:rPr>
                <w:noProof/>
                <w:webHidden/>
              </w:rPr>
              <w:fldChar w:fldCharType="end"/>
            </w:r>
          </w:hyperlink>
        </w:p>
        <w:p w14:paraId="0B6F2475" w14:textId="5C78CDB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74" w:history="1">
            <w:r w:rsidRPr="00F45DCA">
              <w:rPr>
                <w:rStyle w:val="Lienhypertexte"/>
                <w:noProof/>
              </w:rPr>
              <w:t>24.84.5f Ajout d'éléments en matière synthétique CCTB 01.04</w:t>
            </w:r>
            <w:r>
              <w:rPr>
                <w:noProof/>
                <w:webHidden/>
              </w:rPr>
              <w:tab/>
            </w:r>
            <w:r>
              <w:rPr>
                <w:noProof/>
                <w:webHidden/>
              </w:rPr>
              <w:fldChar w:fldCharType="begin"/>
            </w:r>
            <w:r>
              <w:rPr>
                <w:noProof/>
                <w:webHidden/>
              </w:rPr>
              <w:instrText xml:space="preserve"> PAGEREF _Toc220496774 \h </w:instrText>
            </w:r>
            <w:r>
              <w:rPr>
                <w:noProof/>
                <w:webHidden/>
              </w:rPr>
            </w:r>
            <w:r>
              <w:rPr>
                <w:noProof/>
                <w:webHidden/>
              </w:rPr>
              <w:fldChar w:fldCharType="separate"/>
            </w:r>
            <w:r>
              <w:rPr>
                <w:noProof/>
                <w:webHidden/>
              </w:rPr>
              <w:t>1119</w:t>
            </w:r>
            <w:r>
              <w:rPr>
                <w:noProof/>
                <w:webHidden/>
              </w:rPr>
              <w:fldChar w:fldCharType="end"/>
            </w:r>
          </w:hyperlink>
        </w:p>
        <w:p w14:paraId="41D65D9E" w14:textId="2F08CD3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75" w:history="1">
            <w:r w:rsidRPr="00F45DCA">
              <w:rPr>
                <w:rStyle w:val="Lienhypertexte"/>
                <w:noProof/>
              </w:rPr>
              <w:t>24.84.6 Réparation structurale / Renforcement de fixations ou d'assemblages de structure existantes CCTB 01.04</w:t>
            </w:r>
            <w:r>
              <w:rPr>
                <w:noProof/>
                <w:webHidden/>
              </w:rPr>
              <w:tab/>
            </w:r>
            <w:r>
              <w:rPr>
                <w:noProof/>
                <w:webHidden/>
              </w:rPr>
              <w:fldChar w:fldCharType="begin"/>
            </w:r>
            <w:r>
              <w:rPr>
                <w:noProof/>
                <w:webHidden/>
              </w:rPr>
              <w:instrText xml:space="preserve"> PAGEREF _Toc220496775 \h </w:instrText>
            </w:r>
            <w:r>
              <w:rPr>
                <w:noProof/>
                <w:webHidden/>
              </w:rPr>
            </w:r>
            <w:r>
              <w:rPr>
                <w:noProof/>
                <w:webHidden/>
              </w:rPr>
              <w:fldChar w:fldCharType="separate"/>
            </w:r>
            <w:r>
              <w:rPr>
                <w:noProof/>
                <w:webHidden/>
              </w:rPr>
              <w:t>1119</w:t>
            </w:r>
            <w:r>
              <w:rPr>
                <w:noProof/>
                <w:webHidden/>
              </w:rPr>
              <w:fldChar w:fldCharType="end"/>
            </w:r>
          </w:hyperlink>
        </w:p>
        <w:p w14:paraId="57D24A51" w14:textId="639B511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76" w:history="1">
            <w:r w:rsidRPr="00F45DCA">
              <w:rPr>
                <w:rStyle w:val="Lienhypertexte"/>
                <w:noProof/>
              </w:rPr>
              <w:t>24.84.6a Reprise d'abouts de poutres par sabot métallique CCTB 01.02</w:t>
            </w:r>
            <w:r>
              <w:rPr>
                <w:noProof/>
                <w:webHidden/>
              </w:rPr>
              <w:tab/>
            </w:r>
            <w:r>
              <w:rPr>
                <w:noProof/>
                <w:webHidden/>
              </w:rPr>
              <w:fldChar w:fldCharType="begin"/>
            </w:r>
            <w:r>
              <w:rPr>
                <w:noProof/>
                <w:webHidden/>
              </w:rPr>
              <w:instrText xml:space="preserve"> PAGEREF _Toc220496776 \h </w:instrText>
            </w:r>
            <w:r>
              <w:rPr>
                <w:noProof/>
                <w:webHidden/>
              </w:rPr>
            </w:r>
            <w:r>
              <w:rPr>
                <w:noProof/>
                <w:webHidden/>
              </w:rPr>
              <w:fldChar w:fldCharType="separate"/>
            </w:r>
            <w:r>
              <w:rPr>
                <w:noProof/>
                <w:webHidden/>
              </w:rPr>
              <w:t>1119</w:t>
            </w:r>
            <w:r>
              <w:rPr>
                <w:noProof/>
                <w:webHidden/>
              </w:rPr>
              <w:fldChar w:fldCharType="end"/>
            </w:r>
          </w:hyperlink>
        </w:p>
        <w:p w14:paraId="3979F00D" w14:textId="24DD405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77" w:history="1">
            <w:r w:rsidRPr="00F45DCA">
              <w:rPr>
                <w:rStyle w:val="Lienhypertexte"/>
                <w:noProof/>
              </w:rPr>
              <w:t>24.84.6b Ajout de chevilles en bois CCTB 01.10</w:t>
            </w:r>
            <w:r>
              <w:rPr>
                <w:noProof/>
                <w:webHidden/>
              </w:rPr>
              <w:tab/>
            </w:r>
            <w:r>
              <w:rPr>
                <w:noProof/>
                <w:webHidden/>
              </w:rPr>
              <w:fldChar w:fldCharType="begin"/>
            </w:r>
            <w:r>
              <w:rPr>
                <w:noProof/>
                <w:webHidden/>
              </w:rPr>
              <w:instrText xml:space="preserve"> PAGEREF _Toc220496777 \h </w:instrText>
            </w:r>
            <w:r>
              <w:rPr>
                <w:noProof/>
                <w:webHidden/>
              </w:rPr>
            </w:r>
            <w:r>
              <w:rPr>
                <w:noProof/>
                <w:webHidden/>
              </w:rPr>
              <w:fldChar w:fldCharType="separate"/>
            </w:r>
            <w:r>
              <w:rPr>
                <w:noProof/>
                <w:webHidden/>
              </w:rPr>
              <w:t>1119</w:t>
            </w:r>
            <w:r>
              <w:rPr>
                <w:noProof/>
                <w:webHidden/>
              </w:rPr>
              <w:fldChar w:fldCharType="end"/>
            </w:r>
          </w:hyperlink>
        </w:p>
        <w:p w14:paraId="15FAE869" w14:textId="407FCC4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78" w:history="1">
            <w:r w:rsidRPr="00F45DCA">
              <w:rPr>
                <w:rStyle w:val="Lienhypertexte"/>
                <w:noProof/>
              </w:rPr>
              <w:t>24.84.6c Ajout de tiges filetées CCTB 01.10</w:t>
            </w:r>
            <w:r>
              <w:rPr>
                <w:noProof/>
                <w:webHidden/>
              </w:rPr>
              <w:tab/>
            </w:r>
            <w:r>
              <w:rPr>
                <w:noProof/>
                <w:webHidden/>
              </w:rPr>
              <w:fldChar w:fldCharType="begin"/>
            </w:r>
            <w:r>
              <w:rPr>
                <w:noProof/>
                <w:webHidden/>
              </w:rPr>
              <w:instrText xml:space="preserve"> PAGEREF _Toc220496778 \h </w:instrText>
            </w:r>
            <w:r>
              <w:rPr>
                <w:noProof/>
                <w:webHidden/>
              </w:rPr>
            </w:r>
            <w:r>
              <w:rPr>
                <w:noProof/>
                <w:webHidden/>
              </w:rPr>
              <w:fldChar w:fldCharType="separate"/>
            </w:r>
            <w:r>
              <w:rPr>
                <w:noProof/>
                <w:webHidden/>
              </w:rPr>
              <w:t>1119</w:t>
            </w:r>
            <w:r>
              <w:rPr>
                <w:noProof/>
                <w:webHidden/>
              </w:rPr>
              <w:fldChar w:fldCharType="end"/>
            </w:r>
          </w:hyperlink>
        </w:p>
        <w:p w14:paraId="55B2B4C6" w14:textId="489DE75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79" w:history="1">
            <w:r w:rsidRPr="00F45DCA">
              <w:rPr>
                <w:rStyle w:val="Lienhypertexte"/>
                <w:noProof/>
              </w:rPr>
              <w:t>24.84.6d Ajout de vis CCTB 01.04</w:t>
            </w:r>
            <w:r>
              <w:rPr>
                <w:noProof/>
                <w:webHidden/>
              </w:rPr>
              <w:tab/>
            </w:r>
            <w:r>
              <w:rPr>
                <w:noProof/>
                <w:webHidden/>
              </w:rPr>
              <w:fldChar w:fldCharType="begin"/>
            </w:r>
            <w:r>
              <w:rPr>
                <w:noProof/>
                <w:webHidden/>
              </w:rPr>
              <w:instrText xml:space="preserve"> PAGEREF _Toc220496779 \h </w:instrText>
            </w:r>
            <w:r>
              <w:rPr>
                <w:noProof/>
                <w:webHidden/>
              </w:rPr>
            </w:r>
            <w:r>
              <w:rPr>
                <w:noProof/>
                <w:webHidden/>
              </w:rPr>
              <w:fldChar w:fldCharType="separate"/>
            </w:r>
            <w:r>
              <w:rPr>
                <w:noProof/>
                <w:webHidden/>
              </w:rPr>
              <w:t>1119</w:t>
            </w:r>
            <w:r>
              <w:rPr>
                <w:noProof/>
                <w:webHidden/>
              </w:rPr>
              <w:fldChar w:fldCharType="end"/>
            </w:r>
          </w:hyperlink>
        </w:p>
        <w:p w14:paraId="43CDE559" w14:textId="2EA52AE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80" w:history="1">
            <w:r w:rsidRPr="00F45DCA">
              <w:rPr>
                <w:rStyle w:val="Lienhypertexte"/>
                <w:noProof/>
              </w:rPr>
              <w:t>24.84.6e Ancrages métalliques CCTB 01.04</w:t>
            </w:r>
            <w:r>
              <w:rPr>
                <w:noProof/>
                <w:webHidden/>
              </w:rPr>
              <w:tab/>
            </w:r>
            <w:r>
              <w:rPr>
                <w:noProof/>
                <w:webHidden/>
              </w:rPr>
              <w:fldChar w:fldCharType="begin"/>
            </w:r>
            <w:r>
              <w:rPr>
                <w:noProof/>
                <w:webHidden/>
              </w:rPr>
              <w:instrText xml:space="preserve"> PAGEREF _Toc220496780 \h </w:instrText>
            </w:r>
            <w:r>
              <w:rPr>
                <w:noProof/>
                <w:webHidden/>
              </w:rPr>
            </w:r>
            <w:r>
              <w:rPr>
                <w:noProof/>
                <w:webHidden/>
              </w:rPr>
              <w:fldChar w:fldCharType="separate"/>
            </w:r>
            <w:r>
              <w:rPr>
                <w:noProof/>
                <w:webHidden/>
              </w:rPr>
              <w:t>1119</w:t>
            </w:r>
            <w:r>
              <w:rPr>
                <w:noProof/>
                <w:webHidden/>
              </w:rPr>
              <w:fldChar w:fldCharType="end"/>
            </w:r>
          </w:hyperlink>
        </w:p>
        <w:p w14:paraId="4CE463DE" w14:textId="500EE3B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781" w:history="1">
            <w:r w:rsidRPr="00F45DCA">
              <w:rPr>
                <w:rStyle w:val="Lienhypertexte"/>
                <w:noProof/>
              </w:rPr>
              <w:t>24.85 Adaptation CCTB 01.02</w:t>
            </w:r>
            <w:r>
              <w:rPr>
                <w:noProof/>
                <w:webHidden/>
              </w:rPr>
              <w:tab/>
            </w:r>
            <w:r>
              <w:rPr>
                <w:noProof/>
                <w:webHidden/>
              </w:rPr>
              <w:fldChar w:fldCharType="begin"/>
            </w:r>
            <w:r>
              <w:rPr>
                <w:noProof/>
                <w:webHidden/>
              </w:rPr>
              <w:instrText xml:space="preserve"> PAGEREF _Toc220496781 \h </w:instrText>
            </w:r>
            <w:r>
              <w:rPr>
                <w:noProof/>
                <w:webHidden/>
              </w:rPr>
            </w:r>
            <w:r>
              <w:rPr>
                <w:noProof/>
                <w:webHidden/>
              </w:rPr>
              <w:fldChar w:fldCharType="separate"/>
            </w:r>
            <w:r>
              <w:rPr>
                <w:noProof/>
                <w:webHidden/>
              </w:rPr>
              <w:t>1119</w:t>
            </w:r>
            <w:r>
              <w:rPr>
                <w:noProof/>
                <w:webHidden/>
              </w:rPr>
              <w:fldChar w:fldCharType="end"/>
            </w:r>
          </w:hyperlink>
        </w:p>
        <w:p w14:paraId="70D821FF" w14:textId="1B5CA61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82" w:history="1">
            <w:r w:rsidRPr="00F45DCA">
              <w:rPr>
                <w:rStyle w:val="Lienhypertexte"/>
                <w:noProof/>
              </w:rPr>
              <w:t>24.85.1 Adaptation de charpentes en bois pour baies / passages CCTB 01.02</w:t>
            </w:r>
            <w:r>
              <w:rPr>
                <w:noProof/>
                <w:webHidden/>
              </w:rPr>
              <w:tab/>
            </w:r>
            <w:r>
              <w:rPr>
                <w:noProof/>
                <w:webHidden/>
              </w:rPr>
              <w:fldChar w:fldCharType="begin"/>
            </w:r>
            <w:r>
              <w:rPr>
                <w:noProof/>
                <w:webHidden/>
              </w:rPr>
              <w:instrText xml:space="preserve"> PAGEREF _Toc220496782 \h </w:instrText>
            </w:r>
            <w:r>
              <w:rPr>
                <w:noProof/>
                <w:webHidden/>
              </w:rPr>
            </w:r>
            <w:r>
              <w:rPr>
                <w:noProof/>
                <w:webHidden/>
              </w:rPr>
              <w:fldChar w:fldCharType="separate"/>
            </w:r>
            <w:r>
              <w:rPr>
                <w:noProof/>
                <w:webHidden/>
              </w:rPr>
              <w:t>1119</w:t>
            </w:r>
            <w:r>
              <w:rPr>
                <w:noProof/>
                <w:webHidden/>
              </w:rPr>
              <w:fldChar w:fldCharType="end"/>
            </w:r>
          </w:hyperlink>
        </w:p>
        <w:p w14:paraId="2E9D387C" w14:textId="415960B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83" w:history="1">
            <w:r w:rsidRPr="00F45DCA">
              <w:rPr>
                <w:rStyle w:val="Lienhypertexte"/>
                <w:noProof/>
              </w:rPr>
              <w:t>24.85.1a Création de baies CCTB 01.04</w:t>
            </w:r>
            <w:r>
              <w:rPr>
                <w:noProof/>
                <w:webHidden/>
              </w:rPr>
              <w:tab/>
            </w:r>
            <w:r>
              <w:rPr>
                <w:noProof/>
                <w:webHidden/>
              </w:rPr>
              <w:fldChar w:fldCharType="begin"/>
            </w:r>
            <w:r>
              <w:rPr>
                <w:noProof/>
                <w:webHidden/>
              </w:rPr>
              <w:instrText xml:space="preserve"> PAGEREF _Toc220496783 \h </w:instrText>
            </w:r>
            <w:r>
              <w:rPr>
                <w:noProof/>
                <w:webHidden/>
              </w:rPr>
            </w:r>
            <w:r>
              <w:rPr>
                <w:noProof/>
                <w:webHidden/>
              </w:rPr>
              <w:fldChar w:fldCharType="separate"/>
            </w:r>
            <w:r>
              <w:rPr>
                <w:noProof/>
                <w:webHidden/>
              </w:rPr>
              <w:t>1119</w:t>
            </w:r>
            <w:r>
              <w:rPr>
                <w:noProof/>
                <w:webHidden/>
              </w:rPr>
              <w:fldChar w:fldCharType="end"/>
            </w:r>
          </w:hyperlink>
        </w:p>
        <w:p w14:paraId="608CC8D5" w14:textId="0896C0D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84" w:history="1">
            <w:r w:rsidRPr="00F45DCA">
              <w:rPr>
                <w:rStyle w:val="Lienhypertexte"/>
                <w:noProof/>
              </w:rPr>
              <w:t>24.85.1b Adaptation dimensionnelle de baies existantes CCTB 01.04</w:t>
            </w:r>
            <w:r>
              <w:rPr>
                <w:noProof/>
                <w:webHidden/>
              </w:rPr>
              <w:tab/>
            </w:r>
            <w:r>
              <w:rPr>
                <w:noProof/>
                <w:webHidden/>
              </w:rPr>
              <w:fldChar w:fldCharType="begin"/>
            </w:r>
            <w:r>
              <w:rPr>
                <w:noProof/>
                <w:webHidden/>
              </w:rPr>
              <w:instrText xml:space="preserve"> PAGEREF _Toc220496784 \h </w:instrText>
            </w:r>
            <w:r>
              <w:rPr>
                <w:noProof/>
                <w:webHidden/>
              </w:rPr>
            </w:r>
            <w:r>
              <w:rPr>
                <w:noProof/>
                <w:webHidden/>
              </w:rPr>
              <w:fldChar w:fldCharType="separate"/>
            </w:r>
            <w:r>
              <w:rPr>
                <w:noProof/>
                <w:webHidden/>
              </w:rPr>
              <w:t>1119</w:t>
            </w:r>
            <w:r>
              <w:rPr>
                <w:noProof/>
                <w:webHidden/>
              </w:rPr>
              <w:fldChar w:fldCharType="end"/>
            </w:r>
          </w:hyperlink>
        </w:p>
        <w:p w14:paraId="140180C7" w14:textId="1E4BA94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85" w:history="1">
            <w:r w:rsidRPr="00F45DCA">
              <w:rPr>
                <w:rStyle w:val="Lienhypertexte"/>
                <w:noProof/>
              </w:rPr>
              <w:t>24.85.1c Obturation de baies existantes CCTB 01.02</w:t>
            </w:r>
            <w:r>
              <w:rPr>
                <w:noProof/>
                <w:webHidden/>
              </w:rPr>
              <w:tab/>
            </w:r>
            <w:r>
              <w:rPr>
                <w:noProof/>
                <w:webHidden/>
              </w:rPr>
              <w:fldChar w:fldCharType="begin"/>
            </w:r>
            <w:r>
              <w:rPr>
                <w:noProof/>
                <w:webHidden/>
              </w:rPr>
              <w:instrText xml:space="preserve"> PAGEREF _Toc220496785 \h </w:instrText>
            </w:r>
            <w:r>
              <w:rPr>
                <w:noProof/>
                <w:webHidden/>
              </w:rPr>
            </w:r>
            <w:r>
              <w:rPr>
                <w:noProof/>
                <w:webHidden/>
              </w:rPr>
              <w:fldChar w:fldCharType="separate"/>
            </w:r>
            <w:r>
              <w:rPr>
                <w:noProof/>
                <w:webHidden/>
              </w:rPr>
              <w:t>1119</w:t>
            </w:r>
            <w:r>
              <w:rPr>
                <w:noProof/>
                <w:webHidden/>
              </w:rPr>
              <w:fldChar w:fldCharType="end"/>
            </w:r>
          </w:hyperlink>
        </w:p>
        <w:p w14:paraId="18B60D44" w14:textId="07E70B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86" w:history="1">
            <w:r w:rsidRPr="00F45DCA">
              <w:rPr>
                <w:rStyle w:val="Lienhypertexte"/>
                <w:noProof/>
              </w:rPr>
              <w:t>24.85.1d Passage pour techniques spéciales CCTB 01.04</w:t>
            </w:r>
            <w:r>
              <w:rPr>
                <w:noProof/>
                <w:webHidden/>
              </w:rPr>
              <w:tab/>
            </w:r>
            <w:r>
              <w:rPr>
                <w:noProof/>
                <w:webHidden/>
              </w:rPr>
              <w:fldChar w:fldCharType="begin"/>
            </w:r>
            <w:r>
              <w:rPr>
                <w:noProof/>
                <w:webHidden/>
              </w:rPr>
              <w:instrText xml:space="preserve"> PAGEREF _Toc220496786 \h </w:instrText>
            </w:r>
            <w:r>
              <w:rPr>
                <w:noProof/>
                <w:webHidden/>
              </w:rPr>
            </w:r>
            <w:r>
              <w:rPr>
                <w:noProof/>
                <w:webHidden/>
              </w:rPr>
              <w:fldChar w:fldCharType="separate"/>
            </w:r>
            <w:r>
              <w:rPr>
                <w:noProof/>
                <w:webHidden/>
              </w:rPr>
              <w:t>1119</w:t>
            </w:r>
            <w:r>
              <w:rPr>
                <w:noProof/>
                <w:webHidden/>
              </w:rPr>
              <w:fldChar w:fldCharType="end"/>
            </w:r>
          </w:hyperlink>
        </w:p>
        <w:p w14:paraId="1B279B4F" w14:textId="6C7C979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87" w:history="1">
            <w:r w:rsidRPr="00F45DCA">
              <w:rPr>
                <w:rStyle w:val="Lienhypertexte"/>
                <w:noProof/>
              </w:rPr>
              <w:t>24.85.1e Adaptations de charpentes en bois pour baies / passages en vue d'un changement d'affectation CCTB 01.04</w:t>
            </w:r>
            <w:r>
              <w:rPr>
                <w:noProof/>
                <w:webHidden/>
              </w:rPr>
              <w:tab/>
            </w:r>
            <w:r>
              <w:rPr>
                <w:noProof/>
                <w:webHidden/>
              </w:rPr>
              <w:fldChar w:fldCharType="begin"/>
            </w:r>
            <w:r>
              <w:rPr>
                <w:noProof/>
                <w:webHidden/>
              </w:rPr>
              <w:instrText xml:space="preserve"> PAGEREF _Toc220496787 \h </w:instrText>
            </w:r>
            <w:r>
              <w:rPr>
                <w:noProof/>
                <w:webHidden/>
              </w:rPr>
            </w:r>
            <w:r>
              <w:rPr>
                <w:noProof/>
                <w:webHidden/>
              </w:rPr>
              <w:fldChar w:fldCharType="separate"/>
            </w:r>
            <w:r>
              <w:rPr>
                <w:noProof/>
                <w:webHidden/>
              </w:rPr>
              <w:t>1119</w:t>
            </w:r>
            <w:r>
              <w:rPr>
                <w:noProof/>
                <w:webHidden/>
              </w:rPr>
              <w:fldChar w:fldCharType="end"/>
            </w:r>
          </w:hyperlink>
        </w:p>
        <w:p w14:paraId="597DE29D" w14:textId="351756E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788" w:history="1">
            <w:r w:rsidRPr="00F45DCA">
              <w:rPr>
                <w:rStyle w:val="Lienhypertexte"/>
                <w:noProof/>
              </w:rPr>
              <w:t>24.86 Repose / remplacement (à l'identique) CCTB 01.02</w:t>
            </w:r>
            <w:r>
              <w:rPr>
                <w:noProof/>
                <w:webHidden/>
              </w:rPr>
              <w:tab/>
            </w:r>
            <w:r>
              <w:rPr>
                <w:noProof/>
                <w:webHidden/>
              </w:rPr>
              <w:fldChar w:fldCharType="begin"/>
            </w:r>
            <w:r>
              <w:rPr>
                <w:noProof/>
                <w:webHidden/>
              </w:rPr>
              <w:instrText xml:space="preserve"> PAGEREF _Toc220496788 \h </w:instrText>
            </w:r>
            <w:r>
              <w:rPr>
                <w:noProof/>
                <w:webHidden/>
              </w:rPr>
            </w:r>
            <w:r>
              <w:rPr>
                <w:noProof/>
                <w:webHidden/>
              </w:rPr>
              <w:fldChar w:fldCharType="separate"/>
            </w:r>
            <w:r>
              <w:rPr>
                <w:noProof/>
                <w:webHidden/>
              </w:rPr>
              <w:t>1119</w:t>
            </w:r>
            <w:r>
              <w:rPr>
                <w:noProof/>
                <w:webHidden/>
              </w:rPr>
              <w:fldChar w:fldCharType="end"/>
            </w:r>
          </w:hyperlink>
        </w:p>
        <w:p w14:paraId="4D6B94B9" w14:textId="097864B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89" w:history="1">
            <w:r w:rsidRPr="00F45DCA">
              <w:rPr>
                <w:rStyle w:val="Lienhypertexte"/>
                <w:noProof/>
              </w:rPr>
              <w:t>24.86.1 Repose d'éléments récupérés CCTB 01.02</w:t>
            </w:r>
            <w:r>
              <w:rPr>
                <w:noProof/>
                <w:webHidden/>
              </w:rPr>
              <w:tab/>
            </w:r>
            <w:r>
              <w:rPr>
                <w:noProof/>
                <w:webHidden/>
              </w:rPr>
              <w:fldChar w:fldCharType="begin"/>
            </w:r>
            <w:r>
              <w:rPr>
                <w:noProof/>
                <w:webHidden/>
              </w:rPr>
              <w:instrText xml:space="preserve"> PAGEREF _Toc220496789 \h </w:instrText>
            </w:r>
            <w:r>
              <w:rPr>
                <w:noProof/>
                <w:webHidden/>
              </w:rPr>
            </w:r>
            <w:r>
              <w:rPr>
                <w:noProof/>
                <w:webHidden/>
              </w:rPr>
              <w:fldChar w:fldCharType="separate"/>
            </w:r>
            <w:r>
              <w:rPr>
                <w:noProof/>
                <w:webHidden/>
              </w:rPr>
              <w:t>1119</w:t>
            </w:r>
            <w:r>
              <w:rPr>
                <w:noProof/>
                <w:webHidden/>
              </w:rPr>
              <w:fldChar w:fldCharType="end"/>
            </w:r>
          </w:hyperlink>
        </w:p>
        <w:p w14:paraId="3335686E" w14:textId="7F4E6A5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90" w:history="1">
            <w:r w:rsidRPr="00F45DCA">
              <w:rPr>
                <w:rStyle w:val="Lienhypertexte"/>
                <w:noProof/>
              </w:rPr>
              <w:t>24.86.1a Repose d'éléments récupérés CCTB 01.02</w:t>
            </w:r>
            <w:r>
              <w:rPr>
                <w:noProof/>
                <w:webHidden/>
              </w:rPr>
              <w:tab/>
            </w:r>
            <w:r>
              <w:rPr>
                <w:noProof/>
                <w:webHidden/>
              </w:rPr>
              <w:fldChar w:fldCharType="begin"/>
            </w:r>
            <w:r>
              <w:rPr>
                <w:noProof/>
                <w:webHidden/>
              </w:rPr>
              <w:instrText xml:space="preserve"> PAGEREF _Toc220496790 \h </w:instrText>
            </w:r>
            <w:r>
              <w:rPr>
                <w:noProof/>
                <w:webHidden/>
              </w:rPr>
            </w:r>
            <w:r>
              <w:rPr>
                <w:noProof/>
                <w:webHidden/>
              </w:rPr>
              <w:fldChar w:fldCharType="separate"/>
            </w:r>
            <w:r>
              <w:rPr>
                <w:noProof/>
                <w:webHidden/>
              </w:rPr>
              <w:t>1119</w:t>
            </w:r>
            <w:r>
              <w:rPr>
                <w:noProof/>
                <w:webHidden/>
              </w:rPr>
              <w:fldChar w:fldCharType="end"/>
            </w:r>
          </w:hyperlink>
        </w:p>
        <w:p w14:paraId="22F41B08" w14:textId="2E969C1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91" w:history="1">
            <w:r w:rsidRPr="00F45DCA">
              <w:rPr>
                <w:rStyle w:val="Lienhypertexte"/>
                <w:noProof/>
              </w:rPr>
              <w:t>24.86.2 Remplacement complet à l'identique de structures en bois CCTB 01.04</w:t>
            </w:r>
            <w:r>
              <w:rPr>
                <w:noProof/>
                <w:webHidden/>
              </w:rPr>
              <w:tab/>
            </w:r>
            <w:r>
              <w:rPr>
                <w:noProof/>
                <w:webHidden/>
              </w:rPr>
              <w:fldChar w:fldCharType="begin"/>
            </w:r>
            <w:r>
              <w:rPr>
                <w:noProof/>
                <w:webHidden/>
              </w:rPr>
              <w:instrText xml:space="preserve"> PAGEREF _Toc220496791 \h </w:instrText>
            </w:r>
            <w:r>
              <w:rPr>
                <w:noProof/>
                <w:webHidden/>
              </w:rPr>
            </w:r>
            <w:r>
              <w:rPr>
                <w:noProof/>
                <w:webHidden/>
              </w:rPr>
              <w:fldChar w:fldCharType="separate"/>
            </w:r>
            <w:r>
              <w:rPr>
                <w:noProof/>
                <w:webHidden/>
              </w:rPr>
              <w:t>1120</w:t>
            </w:r>
            <w:r>
              <w:rPr>
                <w:noProof/>
                <w:webHidden/>
              </w:rPr>
              <w:fldChar w:fldCharType="end"/>
            </w:r>
          </w:hyperlink>
        </w:p>
        <w:p w14:paraId="09BDB7EF" w14:textId="6C3A01C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92" w:history="1">
            <w:r w:rsidRPr="00F45DCA">
              <w:rPr>
                <w:rStyle w:val="Lienhypertexte"/>
                <w:noProof/>
              </w:rPr>
              <w:t>24.86.3 Remplacement complet d'éléments de structure en bois CCTB 01.02</w:t>
            </w:r>
            <w:r>
              <w:rPr>
                <w:noProof/>
                <w:webHidden/>
              </w:rPr>
              <w:tab/>
            </w:r>
            <w:r>
              <w:rPr>
                <w:noProof/>
                <w:webHidden/>
              </w:rPr>
              <w:fldChar w:fldCharType="begin"/>
            </w:r>
            <w:r>
              <w:rPr>
                <w:noProof/>
                <w:webHidden/>
              </w:rPr>
              <w:instrText xml:space="preserve"> PAGEREF _Toc220496792 \h </w:instrText>
            </w:r>
            <w:r>
              <w:rPr>
                <w:noProof/>
                <w:webHidden/>
              </w:rPr>
            </w:r>
            <w:r>
              <w:rPr>
                <w:noProof/>
                <w:webHidden/>
              </w:rPr>
              <w:fldChar w:fldCharType="separate"/>
            </w:r>
            <w:r>
              <w:rPr>
                <w:noProof/>
                <w:webHidden/>
              </w:rPr>
              <w:t>1120</w:t>
            </w:r>
            <w:r>
              <w:rPr>
                <w:noProof/>
                <w:webHidden/>
              </w:rPr>
              <w:fldChar w:fldCharType="end"/>
            </w:r>
          </w:hyperlink>
        </w:p>
        <w:p w14:paraId="4E45FDE0" w14:textId="4A1A2A9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93" w:history="1">
            <w:r w:rsidRPr="00F45DCA">
              <w:rPr>
                <w:rStyle w:val="Lienhypertexte"/>
                <w:noProof/>
              </w:rPr>
              <w:t>24.86.3a Remplacement d'éléments de structure en bois individuels CCTB 01.04</w:t>
            </w:r>
            <w:r>
              <w:rPr>
                <w:noProof/>
                <w:webHidden/>
              </w:rPr>
              <w:tab/>
            </w:r>
            <w:r>
              <w:rPr>
                <w:noProof/>
                <w:webHidden/>
              </w:rPr>
              <w:fldChar w:fldCharType="begin"/>
            </w:r>
            <w:r>
              <w:rPr>
                <w:noProof/>
                <w:webHidden/>
              </w:rPr>
              <w:instrText xml:space="preserve"> PAGEREF _Toc220496793 \h </w:instrText>
            </w:r>
            <w:r>
              <w:rPr>
                <w:noProof/>
                <w:webHidden/>
              </w:rPr>
            </w:r>
            <w:r>
              <w:rPr>
                <w:noProof/>
                <w:webHidden/>
              </w:rPr>
              <w:fldChar w:fldCharType="separate"/>
            </w:r>
            <w:r>
              <w:rPr>
                <w:noProof/>
                <w:webHidden/>
              </w:rPr>
              <w:t>1120</w:t>
            </w:r>
            <w:r>
              <w:rPr>
                <w:noProof/>
                <w:webHidden/>
              </w:rPr>
              <w:fldChar w:fldCharType="end"/>
            </w:r>
          </w:hyperlink>
        </w:p>
        <w:p w14:paraId="6E296119" w14:textId="3E4D1D2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94" w:history="1">
            <w:r w:rsidRPr="00F45DCA">
              <w:rPr>
                <w:rStyle w:val="Lienhypertexte"/>
                <w:noProof/>
              </w:rPr>
              <w:t>24.86.3b Remplacement d'éléments de structure en bois faisant partie d'une structure / charpente CCTB 01.02</w:t>
            </w:r>
            <w:r>
              <w:rPr>
                <w:noProof/>
                <w:webHidden/>
              </w:rPr>
              <w:tab/>
            </w:r>
            <w:r>
              <w:rPr>
                <w:noProof/>
                <w:webHidden/>
              </w:rPr>
              <w:fldChar w:fldCharType="begin"/>
            </w:r>
            <w:r>
              <w:rPr>
                <w:noProof/>
                <w:webHidden/>
              </w:rPr>
              <w:instrText xml:space="preserve"> PAGEREF _Toc220496794 \h </w:instrText>
            </w:r>
            <w:r>
              <w:rPr>
                <w:noProof/>
                <w:webHidden/>
              </w:rPr>
            </w:r>
            <w:r>
              <w:rPr>
                <w:noProof/>
                <w:webHidden/>
              </w:rPr>
              <w:fldChar w:fldCharType="separate"/>
            </w:r>
            <w:r>
              <w:rPr>
                <w:noProof/>
                <w:webHidden/>
              </w:rPr>
              <w:t>1120</w:t>
            </w:r>
            <w:r>
              <w:rPr>
                <w:noProof/>
                <w:webHidden/>
              </w:rPr>
              <w:fldChar w:fldCharType="end"/>
            </w:r>
          </w:hyperlink>
        </w:p>
        <w:p w14:paraId="447EFD69" w14:textId="2646428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795" w:history="1">
            <w:r w:rsidRPr="00F45DCA">
              <w:rPr>
                <w:rStyle w:val="Lienhypertexte"/>
                <w:noProof/>
              </w:rPr>
              <w:t>24.86.4 Remplacement / reconstitution partiel d'éléments de structure en bois CCTB 01.02</w:t>
            </w:r>
            <w:r>
              <w:rPr>
                <w:noProof/>
                <w:webHidden/>
              </w:rPr>
              <w:tab/>
            </w:r>
            <w:r>
              <w:rPr>
                <w:noProof/>
                <w:webHidden/>
              </w:rPr>
              <w:fldChar w:fldCharType="begin"/>
            </w:r>
            <w:r>
              <w:rPr>
                <w:noProof/>
                <w:webHidden/>
              </w:rPr>
              <w:instrText xml:space="preserve"> PAGEREF _Toc220496795 \h </w:instrText>
            </w:r>
            <w:r>
              <w:rPr>
                <w:noProof/>
                <w:webHidden/>
              </w:rPr>
            </w:r>
            <w:r>
              <w:rPr>
                <w:noProof/>
                <w:webHidden/>
              </w:rPr>
              <w:fldChar w:fldCharType="separate"/>
            </w:r>
            <w:r>
              <w:rPr>
                <w:noProof/>
                <w:webHidden/>
              </w:rPr>
              <w:t>1120</w:t>
            </w:r>
            <w:r>
              <w:rPr>
                <w:noProof/>
                <w:webHidden/>
              </w:rPr>
              <w:fldChar w:fldCharType="end"/>
            </w:r>
          </w:hyperlink>
        </w:p>
        <w:p w14:paraId="56CC6C66" w14:textId="712CB8D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96" w:history="1">
            <w:r w:rsidRPr="00F45DCA">
              <w:rPr>
                <w:rStyle w:val="Lienhypertexte"/>
                <w:noProof/>
              </w:rPr>
              <w:t>24.86.4a Remplacement partiel d'éléments de structure en bois par greffes et plats métalliques CCTB 01.02</w:t>
            </w:r>
            <w:r>
              <w:rPr>
                <w:noProof/>
                <w:webHidden/>
              </w:rPr>
              <w:tab/>
            </w:r>
            <w:r>
              <w:rPr>
                <w:noProof/>
                <w:webHidden/>
              </w:rPr>
              <w:fldChar w:fldCharType="begin"/>
            </w:r>
            <w:r>
              <w:rPr>
                <w:noProof/>
                <w:webHidden/>
              </w:rPr>
              <w:instrText xml:space="preserve"> PAGEREF _Toc220496796 \h </w:instrText>
            </w:r>
            <w:r>
              <w:rPr>
                <w:noProof/>
                <w:webHidden/>
              </w:rPr>
            </w:r>
            <w:r>
              <w:rPr>
                <w:noProof/>
                <w:webHidden/>
              </w:rPr>
              <w:fldChar w:fldCharType="separate"/>
            </w:r>
            <w:r>
              <w:rPr>
                <w:noProof/>
                <w:webHidden/>
              </w:rPr>
              <w:t>1120</w:t>
            </w:r>
            <w:r>
              <w:rPr>
                <w:noProof/>
                <w:webHidden/>
              </w:rPr>
              <w:fldChar w:fldCharType="end"/>
            </w:r>
          </w:hyperlink>
        </w:p>
        <w:p w14:paraId="7B677B4A" w14:textId="614796A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97" w:history="1">
            <w:r w:rsidRPr="00F45DCA">
              <w:rPr>
                <w:rStyle w:val="Lienhypertexte"/>
                <w:noProof/>
              </w:rPr>
              <w:t>24.86.4b Remplacement partiel d'éléments de structure en bois par greffes boulonnées CCTB 01.04</w:t>
            </w:r>
            <w:r>
              <w:rPr>
                <w:noProof/>
                <w:webHidden/>
              </w:rPr>
              <w:tab/>
            </w:r>
            <w:r>
              <w:rPr>
                <w:noProof/>
                <w:webHidden/>
              </w:rPr>
              <w:fldChar w:fldCharType="begin"/>
            </w:r>
            <w:r>
              <w:rPr>
                <w:noProof/>
                <w:webHidden/>
              </w:rPr>
              <w:instrText xml:space="preserve"> PAGEREF _Toc220496797 \h </w:instrText>
            </w:r>
            <w:r>
              <w:rPr>
                <w:noProof/>
                <w:webHidden/>
              </w:rPr>
            </w:r>
            <w:r>
              <w:rPr>
                <w:noProof/>
                <w:webHidden/>
              </w:rPr>
              <w:fldChar w:fldCharType="separate"/>
            </w:r>
            <w:r>
              <w:rPr>
                <w:noProof/>
                <w:webHidden/>
              </w:rPr>
              <w:t>1120</w:t>
            </w:r>
            <w:r>
              <w:rPr>
                <w:noProof/>
                <w:webHidden/>
              </w:rPr>
              <w:fldChar w:fldCharType="end"/>
            </w:r>
          </w:hyperlink>
        </w:p>
        <w:p w14:paraId="4BF1B7D9" w14:textId="5E57885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98" w:history="1">
            <w:r w:rsidRPr="00F45DCA">
              <w:rPr>
                <w:rStyle w:val="Lienhypertexte"/>
                <w:noProof/>
              </w:rPr>
              <w:t>24.86.4c Remplacement partiel d'éléments de structure en bois par greffes et assemblages à entailles (assemblages traditionnels) CCTB 01.04</w:t>
            </w:r>
            <w:r>
              <w:rPr>
                <w:noProof/>
                <w:webHidden/>
              </w:rPr>
              <w:tab/>
            </w:r>
            <w:r>
              <w:rPr>
                <w:noProof/>
                <w:webHidden/>
              </w:rPr>
              <w:fldChar w:fldCharType="begin"/>
            </w:r>
            <w:r>
              <w:rPr>
                <w:noProof/>
                <w:webHidden/>
              </w:rPr>
              <w:instrText xml:space="preserve"> PAGEREF _Toc220496798 \h </w:instrText>
            </w:r>
            <w:r>
              <w:rPr>
                <w:noProof/>
                <w:webHidden/>
              </w:rPr>
            </w:r>
            <w:r>
              <w:rPr>
                <w:noProof/>
                <w:webHidden/>
              </w:rPr>
              <w:fldChar w:fldCharType="separate"/>
            </w:r>
            <w:r>
              <w:rPr>
                <w:noProof/>
                <w:webHidden/>
              </w:rPr>
              <w:t>1120</w:t>
            </w:r>
            <w:r>
              <w:rPr>
                <w:noProof/>
                <w:webHidden/>
              </w:rPr>
              <w:fldChar w:fldCharType="end"/>
            </w:r>
          </w:hyperlink>
        </w:p>
        <w:p w14:paraId="1326E450" w14:textId="5FC17EC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799" w:history="1">
            <w:r w:rsidRPr="00F45DCA">
              <w:rPr>
                <w:rStyle w:val="Lienhypertexte"/>
                <w:noProof/>
              </w:rPr>
              <w:t>24.86.4d Reconstitution partielle d'éléments de structure en bois par moulage en résines et barre de renfort CCTB 01.02</w:t>
            </w:r>
            <w:r>
              <w:rPr>
                <w:noProof/>
                <w:webHidden/>
              </w:rPr>
              <w:tab/>
            </w:r>
            <w:r>
              <w:rPr>
                <w:noProof/>
                <w:webHidden/>
              </w:rPr>
              <w:fldChar w:fldCharType="begin"/>
            </w:r>
            <w:r>
              <w:rPr>
                <w:noProof/>
                <w:webHidden/>
              </w:rPr>
              <w:instrText xml:space="preserve"> PAGEREF _Toc220496799 \h </w:instrText>
            </w:r>
            <w:r>
              <w:rPr>
                <w:noProof/>
                <w:webHidden/>
              </w:rPr>
            </w:r>
            <w:r>
              <w:rPr>
                <w:noProof/>
                <w:webHidden/>
              </w:rPr>
              <w:fldChar w:fldCharType="separate"/>
            </w:r>
            <w:r>
              <w:rPr>
                <w:noProof/>
                <w:webHidden/>
              </w:rPr>
              <w:t>1120</w:t>
            </w:r>
            <w:r>
              <w:rPr>
                <w:noProof/>
                <w:webHidden/>
              </w:rPr>
              <w:fldChar w:fldCharType="end"/>
            </w:r>
          </w:hyperlink>
        </w:p>
        <w:p w14:paraId="56119ACA" w14:textId="5D454EE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00" w:history="1">
            <w:r w:rsidRPr="00F45DCA">
              <w:rPr>
                <w:rStyle w:val="Lienhypertexte"/>
                <w:noProof/>
              </w:rPr>
              <w:t>24.86.5 Remplacement d'éléments de fixation/assemblage CCTB 01.02</w:t>
            </w:r>
            <w:r>
              <w:rPr>
                <w:noProof/>
                <w:webHidden/>
              </w:rPr>
              <w:tab/>
            </w:r>
            <w:r>
              <w:rPr>
                <w:noProof/>
                <w:webHidden/>
              </w:rPr>
              <w:fldChar w:fldCharType="begin"/>
            </w:r>
            <w:r>
              <w:rPr>
                <w:noProof/>
                <w:webHidden/>
              </w:rPr>
              <w:instrText xml:space="preserve"> PAGEREF _Toc220496800 \h </w:instrText>
            </w:r>
            <w:r>
              <w:rPr>
                <w:noProof/>
                <w:webHidden/>
              </w:rPr>
            </w:r>
            <w:r>
              <w:rPr>
                <w:noProof/>
                <w:webHidden/>
              </w:rPr>
              <w:fldChar w:fldCharType="separate"/>
            </w:r>
            <w:r>
              <w:rPr>
                <w:noProof/>
                <w:webHidden/>
              </w:rPr>
              <w:t>1120</w:t>
            </w:r>
            <w:r>
              <w:rPr>
                <w:noProof/>
                <w:webHidden/>
              </w:rPr>
              <w:fldChar w:fldCharType="end"/>
            </w:r>
          </w:hyperlink>
        </w:p>
        <w:p w14:paraId="7C6C2D64" w14:textId="25BAF07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01" w:history="1">
            <w:r w:rsidRPr="00F45DCA">
              <w:rPr>
                <w:rStyle w:val="Lienhypertexte"/>
                <w:noProof/>
              </w:rPr>
              <w:t>24.86.5a Remplacement de chevilles en bois CCTB 01.02</w:t>
            </w:r>
            <w:r>
              <w:rPr>
                <w:noProof/>
                <w:webHidden/>
              </w:rPr>
              <w:tab/>
            </w:r>
            <w:r>
              <w:rPr>
                <w:noProof/>
                <w:webHidden/>
              </w:rPr>
              <w:fldChar w:fldCharType="begin"/>
            </w:r>
            <w:r>
              <w:rPr>
                <w:noProof/>
                <w:webHidden/>
              </w:rPr>
              <w:instrText xml:space="preserve"> PAGEREF _Toc220496801 \h </w:instrText>
            </w:r>
            <w:r>
              <w:rPr>
                <w:noProof/>
                <w:webHidden/>
              </w:rPr>
            </w:r>
            <w:r>
              <w:rPr>
                <w:noProof/>
                <w:webHidden/>
              </w:rPr>
              <w:fldChar w:fldCharType="separate"/>
            </w:r>
            <w:r>
              <w:rPr>
                <w:noProof/>
                <w:webHidden/>
              </w:rPr>
              <w:t>1120</w:t>
            </w:r>
            <w:r>
              <w:rPr>
                <w:noProof/>
                <w:webHidden/>
              </w:rPr>
              <w:fldChar w:fldCharType="end"/>
            </w:r>
          </w:hyperlink>
        </w:p>
        <w:p w14:paraId="5D1658C0" w14:textId="2C4C98A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02" w:history="1">
            <w:r w:rsidRPr="00F45DCA">
              <w:rPr>
                <w:rStyle w:val="Lienhypertexte"/>
                <w:noProof/>
              </w:rPr>
              <w:t>24.86.5b Remplacement de fixations métalliques (boulons/écrous/étriers/sabots et autres) CCTB 01.04</w:t>
            </w:r>
            <w:r>
              <w:rPr>
                <w:noProof/>
                <w:webHidden/>
              </w:rPr>
              <w:tab/>
            </w:r>
            <w:r>
              <w:rPr>
                <w:noProof/>
                <w:webHidden/>
              </w:rPr>
              <w:fldChar w:fldCharType="begin"/>
            </w:r>
            <w:r>
              <w:rPr>
                <w:noProof/>
                <w:webHidden/>
              </w:rPr>
              <w:instrText xml:space="preserve"> PAGEREF _Toc220496802 \h </w:instrText>
            </w:r>
            <w:r>
              <w:rPr>
                <w:noProof/>
                <w:webHidden/>
              </w:rPr>
            </w:r>
            <w:r>
              <w:rPr>
                <w:noProof/>
                <w:webHidden/>
              </w:rPr>
              <w:fldChar w:fldCharType="separate"/>
            </w:r>
            <w:r>
              <w:rPr>
                <w:noProof/>
                <w:webHidden/>
              </w:rPr>
              <w:t>1120</w:t>
            </w:r>
            <w:r>
              <w:rPr>
                <w:noProof/>
                <w:webHidden/>
              </w:rPr>
              <w:fldChar w:fldCharType="end"/>
            </w:r>
          </w:hyperlink>
        </w:p>
        <w:p w14:paraId="3D57AEAB" w14:textId="3221E52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03" w:history="1">
            <w:r w:rsidRPr="00F45DCA">
              <w:rPr>
                <w:rStyle w:val="Lienhypertexte"/>
                <w:noProof/>
              </w:rPr>
              <w:t>24.87 Nettoyage / préparation de surface CCTB 01.04</w:t>
            </w:r>
            <w:r>
              <w:rPr>
                <w:noProof/>
                <w:webHidden/>
              </w:rPr>
              <w:tab/>
            </w:r>
            <w:r>
              <w:rPr>
                <w:noProof/>
                <w:webHidden/>
              </w:rPr>
              <w:fldChar w:fldCharType="begin"/>
            </w:r>
            <w:r>
              <w:rPr>
                <w:noProof/>
                <w:webHidden/>
              </w:rPr>
              <w:instrText xml:space="preserve"> PAGEREF _Toc220496803 \h </w:instrText>
            </w:r>
            <w:r>
              <w:rPr>
                <w:noProof/>
                <w:webHidden/>
              </w:rPr>
            </w:r>
            <w:r>
              <w:rPr>
                <w:noProof/>
                <w:webHidden/>
              </w:rPr>
              <w:fldChar w:fldCharType="separate"/>
            </w:r>
            <w:r>
              <w:rPr>
                <w:noProof/>
                <w:webHidden/>
              </w:rPr>
              <w:t>1120</w:t>
            </w:r>
            <w:r>
              <w:rPr>
                <w:noProof/>
                <w:webHidden/>
              </w:rPr>
              <w:fldChar w:fldCharType="end"/>
            </w:r>
          </w:hyperlink>
        </w:p>
        <w:p w14:paraId="67D4A5B1" w14:textId="4D7F7BB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04" w:history="1">
            <w:r w:rsidRPr="00F45DCA">
              <w:rPr>
                <w:rStyle w:val="Lienhypertexte"/>
                <w:noProof/>
              </w:rPr>
              <w:t>24.88 Traitement et protection CCTB 01.04</w:t>
            </w:r>
            <w:r>
              <w:rPr>
                <w:noProof/>
                <w:webHidden/>
              </w:rPr>
              <w:tab/>
            </w:r>
            <w:r>
              <w:rPr>
                <w:noProof/>
                <w:webHidden/>
              </w:rPr>
              <w:fldChar w:fldCharType="begin"/>
            </w:r>
            <w:r>
              <w:rPr>
                <w:noProof/>
                <w:webHidden/>
              </w:rPr>
              <w:instrText xml:space="preserve"> PAGEREF _Toc220496804 \h </w:instrText>
            </w:r>
            <w:r>
              <w:rPr>
                <w:noProof/>
                <w:webHidden/>
              </w:rPr>
            </w:r>
            <w:r>
              <w:rPr>
                <w:noProof/>
                <w:webHidden/>
              </w:rPr>
              <w:fldChar w:fldCharType="separate"/>
            </w:r>
            <w:r>
              <w:rPr>
                <w:noProof/>
                <w:webHidden/>
              </w:rPr>
              <w:t>1120</w:t>
            </w:r>
            <w:r>
              <w:rPr>
                <w:noProof/>
                <w:webHidden/>
              </w:rPr>
              <w:fldChar w:fldCharType="end"/>
            </w:r>
          </w:hyperlink>
        </w:p>
        <w:p w14:paraId="63E573C1" w14:textId="36D8A252" w:rsidR="0014651C" w:rsidRDefault="0014651C">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6805" w:history="1">
            <w:r w:rsidRPr="00F45DCA">
              <w:rPr>
                <w:rStyle w:val="Lienhypertexte"/>
                <w:noProof/>
              </w:rPr>
              <w:t>25 Superstructures en verre CCTB 01.02</w:t>
            </w:r>
            <w:r>
              <w:rPr>
                <w:noProof/>
                <w:webHidden/>
              </w:rPr>
              <w:tab/>
            </w:r>
            <w:r>
              <w:rPr>
                <w:noProof/>
                <w:webHidden/>
              </w:rPr>
              <w:fldChar w:fldCharType="begin"/>
            </w:r>
            <w:r>
              <w:rPr>
                <w:noProof/>
                <w:webHidden/>
              </w:rPr>
              <w:instrText xml:space="preserve"> PAGEREF _Toc220496805 \h </w:instrText>
            </w:r>
            <w:r>
              <w:rPr>
                <w:noProof/>
                <w:webHidden/>
              </w:rPr>
            </w:r>
            <w:r>
              <w:rPr>
                <w:noProof/>
                <w:webHidden/>
              </w:rPr>
              <w:fldChar w:fldCharType="separate"/>
            </w:r>
            <w:r>
              <w:rPr>
                <w:noProof/>
                <w:webHidden/>
              </w:rPr>
              <w:t>1120</w:t>
            </w:r>
            <w:r>
              <w:rPr>
                <w:noProof/>
                <w:webHidden/>
              </w:rPr>
              <w:fldChar w:fldCharType="end"/>
            </w:r>
          </w:hyperlink>
        </w:p>
        <w:p w14:paraId="7496A800" w14:textId="0CD37389" w:rsidR="0014651C" w:rsidRDefault="0014651C">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6806" w:history="1">
            <w:r w:rsidRPr="00F45DCA">
              <w:rPr>
                <w:rStyle w:val="Lienhypertexte"/>
                <w:noProof/>
              </w:rPr>
              <w:t>26 Etanchéisation et isolation CCTB 01.02</w:t>
            </w:r>
            <w:r>
              <w:rPr>
                <w:noProof/>
                <w:webHidden/>
              </w:rPr>
              <w:tab/>
            </w:r>
            <w:r>
              <w:rPr>
                <w:noProof/>
                <w:webHidden/>
              </w:rPr>
              <w:fldChar w:fldCharType="begin"/>
            </w:r>
            <w:r>
              <w:rPr>
                <w:noProof/>
                <w:webHidden/>
              </w:rPr>
              <w:instrText xml:space="preserve"> PAGEREF _Toc220496806 \h </w:instrText>
            </w:r>
            <w:r>
              <w:rPr>
                <w:noProof/>
                <w:webHidden/>
              </w:rPr>
            </w:r>
            <w:r>
              <w:rPr>
                <w:noProof/>
                <w:webHidden/>
              </w:rPr>
              <w:fldChar w:fldCharType="separate"/>
            </w:r>
            <w:r>
              <w:rPr>
                <w:noProof/>
                <w:webHidden/>
              </w:rPr>
              <w:t>1120</w:t>
            </w:r>
            <w:r>
              <w:rPr>
                <w:noProof/>
                <w:webHidden/>
              </w:rPr>
              <w:fldChar w:fldCharType="end"/>
            </w:r>
          </w:hyperlink>
        </w:p>
        <w:p w14:paraId="52B7EFA0" w14:textId="5DD473B5"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807" w:history="1">
            <w:r w:rsidRPr="00F45DCA">
              <w:rPr>
                <w:rStyle w:val="Lienhypertexte"/>
                <w:noProof/>
              </w:rPr>
              <w:t>26.1 Etanchéisation aux matières liquides CCTB 01.02</w:t>
            </w:r>
            <w:r>
              <w:rPr>
                <w:noProof/>
                <w:webHidden/>
              </w:rPr>
              <w:tab/>
            </w:r>
            <w:r>
              <w:rPr>
                <w:noProof/>
                <w:webHidden/>
              </w:rPr>
              <w:fldChar w:fldCharType="begin"/>
            </w:r>
            <w:r>
              <w:rPr>
                <w:noProof/>
                <w:webHidden/>
              </w:rPr>
              <w:instrText xml:space="preserve"> PAGEREF _Toc220496807 \h </w:instrText>
            </w:r>
            <w:r>
              <w:rPr>
                <w:noProof/>
                <w:webHidden/>
              </w:rPr>
            </w:r>
            <w:r>
              <w:rPr>
                <w:noProof/>
                <w:webHidden/>
              </w:rPr>
              <w:fldChar w:fldCharType="separate"/>
            </w:r>
            <w:r>
              <w:rPr>
                <w:noProof/>
                <w:webHidden/>
              </w:rPr>
              <w:t>1120</w:t>
            </w:r>
            <w:r>
              <w:rPr>
                <w:noProof/>
                <w:webHidden/>
              </w:rPr>
              <w:fldChar w:fldCharType="end"/>
            </w:r>
          </w:hyperlink>
        </w:p>
        <w:p w14:paraId="7570AF0E" w14:textId="3A936A89"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08" w:history="1">
            <w:r w:rsidRPr="00F45DCA">
              <w:rPr>
                <w:rStyle w:val="Lienhypertexte"/>
                <w:noProof/>
              </w:rPr>
              <w:t>26.11 Feuilles et membranes d'étanchéité à l'eau CCTB 01.11</w:t>
            </w:r>
            <w:r>
              <w:rPr>
                <w:noProof/>
                <w:webHidden/>
              </w:rPr>
              <w:tab/>
            </w:r>
            <w:r>
              <w:rPr>
                <w:noProof/>
                <w:webHidden/>
              </w:rPr>
              <w:fldChar w:fldCharType="begin"/>
            </w:r>
            <w:r>
              <w:rPr>
                <w:noProof/>
                <w:webHidden/>
              </w:rPr>
              <w:instrText xml:space="preserve"> PAGEREF _Toc220496808 \h </w:instrText>
            </w:r>
            <w:r>
              <w:rPr>
                <w:noProof/>
                <w:webHidden/>
              </w:rPr>
            </w:r>
            <w:r>
              <w:rPr>
                <w:noProof/>
                <w:webHidden/>
              </w:rPr>
              <w:fldChar w:fldCharType="separate"/>
            </w:r>
            <w:r>
              <w:rPr>
                <w:noProof/>
                <w:webHidden/>
              </w:rPr>
              <w:t>1121</w:t>
            </w:r>
            <w:r>
              <w:rPr>
                <w:noProof/>
                <w:webHidden/>
              </w:rPr>
              <w:fldChar w:fldCharType="end"/>
            </w:r>
          </w:hyperlink>
        </w:p>
        <w:p w14:paraId="7EF8956E" w14:textId="5409851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09" w:history="1">
            <w:r w:rsidRPr="00F45DCA">
              <w:rPr>
                <w:rStyle w:val="Lienhypertexte"/>
                <w:noProof/>
              </w:rPr>
              <w:t>26.11.1 Membranes souples - Membranes CCTB 01.02</w:t>
            </w:r>
            <w:r>
              <w:rPr>
                <w:noProof/>
                <w:webHidden/>
              </w:rPr>
              <w:tab/>
            </w:r>
            <w:r>
              <w:rPr>
                <w:noProof/>
                <w:webHidden/>
              </w:rPr>
              <w:fldChar w:fldCharType="begin"/>
            </w:r>
            <w:r>
              <w:rPr>
                <w:noProof/>
                <w:webHidden/>
              </w:rPr>
              <w:instrText xml:space="preserve"> PAGEREF _Toc220496809 \h </w:instrText>
            </w:r>
            <w:r>
              <w:rPr>
                <w:noProof/>
                <w:webHidden/>
              </w:rPr>
            </w:r>
            <w:r>
              <w:rPr>
                <w:noProof/>
                <w:webHidden/>
              </w:rPr>
              <w:fldChar w:fldCharType="separate"/>
            </w:r>
            <w:r>
              <w:rPr>
                <w:noProof/>
                <w:webHidden/>
              </w:rPr>
              <w:t>1122</w:t>
            </w:r>
            <w:r>
              <w:rPr>
                <w:noProof/>
                <w:webHidden/>
              </w:rPr>
              <w:fldChar w:fldCharType="end"/>
            </w:r>
          </w:hyperlink>
        </w:p>
        <w:p w14:paraId="2189AC27" w14:textId="047FE45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10" w:history="1">
            <w:r w:rsidRPr="00F45DCA">
              <w:rPr>
                <w:rStyle w:val="Lienhypertexte"/>
                <w:noProof/>
              </w:rPr>
              <w:t>26.11.1a Couches d'étanchéité - membranes / PE CCTB 01.11</w:t>
            </w:r>
            <w:r>
              <w:rPr>
                <w:noProof/>
                <w:webHidden/>
              </w:rPr>
              <w:tab/>
            </w:r>
            <w:r>
              <w:rPr>
                <w:noProof/>
                <w:webHidden/>
              </w:rPr>
              <w:fldChar w:fldCharType="begin"/>
            </w:r>
            <w:r>
              <w:rPr>
                <w:noProof/>
                <w:webHidden/>
              </w:rPr>
              <w:instrText xml:space="preserve"> PAGEREF _Toc220496810 \h </w:instrText>
            </w:r>
            <w:r>
              <w:rPr>
                <w:noProof/>
                <w:webHidden/>
              </w:rPr>
            </w:r>
            <w:r>
              <w:rPr>
                <w:noProof/>
                <w:webHidden/>
              </w:rPr>
              <w:fldChar w:fldCharType="separate"/>
            </w:r>
            <w:r>
              <w:rPr>
                <w:noProof/>
                <w:webHidden/>
              </w:rPr>
              <w:t>1122</w:t>
            </w:r>
            <w:r>
              <w:rPr>
                <w:noProof/>
                <w:webHidden/>
              </w:rPr>
              <w:fldChar w:fldCharType="end"/>
            </w:r>
          </w:hyperlink>
        </w:p>
        <w:p w14:paraId="399E0C24" w14:textId="58ADDC5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11" w:history="1">
            <w:r w:rsidRPr="00F45DCA">
              <w:rPr>
                <w:rStyle w:val="Lienhypertexte"/>
                <w:noProof/>
              </w:rPr>
              <w:t>26.11.1b Couches d'étanchéité - membranes / PVC CCTB 01.11</w:t>
            </w:r>
            <w:r>
              <w:rPr>
                <w:noProof/>
                <w:webHidden/>
              </w:rPr>
              <w:tab/>
            </w:r>
            <w:r>
              <w:rPr>
                <w:noProof/>
                <w:webHidden/>
              </w:rPr>
              <w:fldChar w:fldCharType="begin"/>
            </w:r>
            <w:r>
              <w:rPr>
                <w:noProof/>
                <w:webHidden/>
              </w:rPr>
              <w:instrText xml:space="preserve"> PAGEREF _Toc220496811 \h </w:instrText>
            </w:r>
            <w:r>
              <w:rPr>
                <w:noProof/>
                <w:webHidden/>
              </w:rPr>
            </w:r>
            <w:r>
              <w:rPr>
                <w:noProof/>
                <w:webHidden/>
              </w:rPr>
              <w:fldChar w:fldCharType="separate"/>
            </w:r>
            <w:r>
              <w:rPr>
                <w:noProof/>
                <w:webHidden/>
              </w:rPr>
              <w:t>1123</w:t>
            </w:r>
            <w:r>
              <w:rPr>
                <w:noProof/>
                <w:webHidden/>
              </w:rPr>
              <w:fldChar w:fldCharType="end"/>
            </w:r>
          </w:hyperlink>
        </w:p>
        <w:p w14:paraId="7F448EDA" w14:textId="69F747A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12" w:history="1">
            <w:r w:rsidRPr="00F45DCA">
              <w:rPr>
                <w:rStyle w:val="Lienhypertexte"/>
                <w:noProof/>
              </w:rPr>
              <w:t>26.11.1c Couches d'étanchéité - membranes / PIB CCTB 01.11</w:t>
            </w:r>
            <w:r>
              <w:rPr>
                <w:noProof/>
                <w:webHidden/>
              </w:rPr>
              <w:tab/>
            </w:r>
            <w:r>
              <w:rPr>
                <w:noProof/>
                <w:webHidden/>
              </w:rPr>
              <w:fldChar w:fldCharType="begin"/>
            </w:r>
            <w:r>
              <w:rPr>
                <w:noProof/>
                <w:webHidden/>
              </w:rPr>
              <w:instrText xml:space="preserve"> PAGEREF _Toc220496812 \h </w:instrText>
            </w:r>
            <w:r>
              <w:rPr>
                <w:noProof/>
                <w:webHidden/>
              </w:rPr>
            </w:r>
            <w:r>
              <w:rPr>
                <w:noProof/>
                <w:webHidden/>
              </w:rPr>
              <w:fldChar w:fldCharType="separate"/>
            </w:r>
            <w:r>
              <w:rPr>
                <w:noProof/>
                <w:webHidden/>
              </w:rPr>
              <w:t>1124</w:t>
            </w:r>
            <w:r>
              <w:rPr>
                <w:noProof/>
                <w:webHidden/>
              </w:rPr>
              <w:fldChar w:fldCharType="end"/>
            </w:r>
          </w:hyperlink>
        </w:p>
        <w:p w14:paraId="04292FDE" w14:textId="657D738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13" w:history="1">
            <w:r w:rsidRPr="00F45DCA">
              <w:rPr>
                <w:rStyle w:val="Lienhypertexte"/>
                <w:noProof/>
              </w:rPr>
              <w:t>26.11.1d Couches d'étanchéité - caoutchouc de butyle CCTB 01.11</w:t>
            </w:r>
            <w:r>
              <w:rPr>
                <w:noProof/>
                <w:webHidden/>
              </w:rPr>
              <w:tab/>
            </w:r>
            <w:r>
              <w:rPr>
                <w:noProof/>
                <w:webHidden/>
              </w:rPr>
              <w:fldChar w:fldCharType="begin"/>
            </w:r>
            <w:r>
              <w:rPr>
                <w:noProof/>
                <w:webHidden/>
              </w:rPr>
              <w:instrText xml:space="preserve"> PAGEREF _Toc220496813 \h </w:instrText>
            </w:r>
            <w:r>
              <w:rPr>
                <w:noProof/>
                <w:webHidden/>
              </w:rPr>
            </w:r>
            <w:r>
              <w:rPr>
                <w:noProof/>
                <w:webHidden/>
              </w:rPr>
              <w:fldChar w:fldCharType="separate"/>
            </w:r>
            <w:r>
              <w:rPr>
                <w:noProof/>
                <w:webHidden/>
              </w:rPr>
              <w:t>1125</w:t>
            </w:r>
            <w:r>
              <w:rPr>
                <w:noProof/>
                <w:webHidden/>
              </w:rPr>
              <w:fldChar w:fldCharType="end"/>
            </w:r>
          </w:hyperlink>
        </w:p>
        <w:p w14:paraId="3B1E1610" w14:textId="06A0485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14" w:history="1">
            <w:r w:rsidRPr="00F45DCA">
              <w:rPr>
                <w:rStyle w:val="Lienhypertexte"/>
                <w:noProof/>
              </w:rPr>
              <w:t>26.11.1e Couches d'étanchéité - membranes de verre bituminées CCTB 01.13</w:t>
            </w:r>
            <w:r>
              <w:rPr>
                <w:noProof/>
                <w:webHidden/>
              </w:rPr>
              <w:tab/>
            </w:r>
            <w:r>
              <w:rPr>
                <w:noProof/>
                <w:webHidden/>
              </w:rPr>
              <w:fldChar w:fldCharType="begin"/>
            </w:r>
            <w:r>
              <w:rPr>
                <w:noProof/>
                <w:webHidden/>
              </w:rPr>
              <w:instrText xml:space="preserve"> PAGEREF _Toc220496814 \h </w:instrText>
            </w:r>
            <w:r>
              <w:rPr>
                <w:noProof/>
                <w:webHidden/>
              </w:rPr>
            </w:r>
            <w:r>
              <w:rPr>
                <w:noProof/>
                <w:webHidden/>
              </w:rPr>
              <w:fldChar w:fldCharType="separate"/>
            </w:r>
            <w:r>
              <w:rPr>
                <w:noProof/>
                <w:webHidden/>
              </w:rPr>
              <w:t>1126</w:t>
            </w:r>
            <w:r>
              <w:rPr>
                <w:noProof/>
                <w:webHidden/>
              </w:rPr>
              <w:fldChar w:fldCharType="end"/>
            </w:r>
          </w:hyperlink>
        </w:p>
        <w:p w14:paraId="0C41496B" w14:textId="34C972D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15" w:history="1">
            <w:r w:rsidRPr="00F45DCA">
              <w:rPr>
                <w:rStyle w:val="Lienhypertexte"/>
                <w:noProof/>
              </w:rPr>
              <w:t>26.11.1f Couches d'étanchéité - membranes à pastilles CCTB 01.11</w:t>
            </w:r>
            <w:r>
              <w:rPr>
                <w:noProof/>
                <w:webHidden/>
              </w:rPr>
              <w:tab/>
            </w:r>
            <w:r>
              <w:rPr>
                <w:noProof/>
                <w:webHidden/>
              </w:rPr>
              <w:fldChar w:fldCharType="begin"/>
            </w:r>
            <w:r>
              <w:rPr>
                <w:noProof/>
                <w:webHidden/>
              </w:rPr>
              <w:instrText xml:space="preserve"> PAGEREF _Toc220496815 \h </w:instrText>
            </w:r>
            <w:r>
              <w:rPr>
                <w:noProof/>
                <w:webHidden/>
              </w:rPr>
            </w:r>
            <w:r>
              <w:rPr>
                <w:noProof/>
                <w:webHidden/>
              </w:rPr>
              <w:fldChar w:fldCharType="separate"/>
            </w:r>
            <w:r>
              <w:rPr>
                <w:noProof/>
                <w:webHidden/>
              </w:rPr>
              <w:t>1127</w:t>
            </w:r>
            <w:r>
              <w:rPr>
                <w:noProof/>
                <w:webHidden/>
              </w:rPr>
              <w:fldChar w:fldCharType="end"/>
            </w:r>
          </w:hyperlink>
        </w:p>
        <w:p w14:paraId="3FAA4D09" w14:textId="5830716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16" w:history="1">
            <w:r w:rsidRPr="00F45DCA">
              <w:rPr>
                <w:rStyle w:val="Lienhypertexte"/>
                <w:noProof/>
              </w:rPr>
              <w:t>26.11.2 Feuilles rigides et semi-rigides CCTB 01.02</w:t>
            </w:r>
            <w:r>
              <w:rPr>
                <w:noProof/>
                <w:webHidden/>
              </w:rPr>
              <w:tab/>
            </w:r>
            <w:r>
              <w:rPr>
                <w:noProof/>
                <w:webHidden/>
              </w:rPr>
              <w:fldChar w:fldCharType="begin"/>
            </w:r>
            <w:r>
              <w:rPr>
                <w:noProof/>
                <w:webHidden/>
              </w:rPr>
              <w:instrText xml:space="preserve"> PAGEREF _Toc220496816 \h </w:instrText>
            </w:r>
            <w:r>
              <w:rPr>
                <w:noProof/>
                <w:webHidden/>
              </w:rPr>
            </w:r>
            <w:r>
              <w:rPr>
                <w:noProof/>
                <w:webHidden/>
              </w:rPr>
              <w:fldChar w:fldCharType="separate"/>
            </w:r>
            <w:r>
              <w:rPr>
                <w:noProof/>
                <w:webHidden/>
              </w:rPr>
              <w:t>1129</w:t>
            </w:r>
            <w:r>
              <w:rPr>
                <w:noProof/>
                <w:webHidden/>
              </w:rPr>
              <w:fldChar w:fldCharType="end"/>
            </w:r>
          </w:hyperlink>
        </w:p>
        <w:p w14:paraId="035A30D5" w14:textId="143C8A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17" w:history="1">
            <w:r w:rsidRPr="00F45DCA">
              <w:rPr>
                <w:rStyle w:val="Lienhypertexte"/>
                <w:noProof/>
              </w:rPr>
              <w:t>26.11.2a Feuilles rigides et semi-rigides CCTB 01.02</w:t>
            </w:r>
            <w:r>
              <w:rPr>
                <w:noProof/>
                <w:webHidden/>
              </w:rPr>
              <w:tab/>
            </w:r>
            <w:r>
              <w:rPr>
                <w:noProof/>
                <w:webHidden/>
              </w:rPr>
              <w:fldChar w:fldCharType="begin"/>
            </w:r>
            <w:r>
              <w:rPr>
                <w:noProof/>
                <w:webHidden/>
              </w:rPr>
              <w:instrText xml:space="preserve"> PAGEREF _Toc220496817 \h </w:instrText>
            </w:r>
            <w:r>
              <w:rPr>
                <w:noProof/>
                <w:webHidden/>
              </w:rPr>
            </w:r>
            <w:r>
              <w:rPr>
                <w:noProof/>
                <w:webHidden/>
              </w:rPr>
              <w:fldChar w:fldCharType="separate"/>
            </w:r>
            <w:r>
              <w:rPr>
                <w:noProof/>
                <w:webHidden/>
              </w:rPr>
              <w:t>1129</w:t>
            </w:r>
            <w:r>
              <w:rPr>
                <w:noProof/>
                <w:webHidden/>
              </w:rPr>
              <w:fldChar w:fldCharType="end"/>
            </w:r>
          </w:hyperlink>
        </w:p>
        <w:p w14:paraId="361017B2" w14:textId="5708CEE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18" w:history="1">
            <w:r w:rsidRPr="00F45DCA">
              <w:rPr>
                <w:rStyle w:val="Lienhypertexte"/>
                <w:noProof/>
              </w:rPr>
              <w:t>26.12 Traitements d'étanchéisation CCTB 01.11</w:t>
            </w:r>
            <w:r>
              <w:rPr>
                <w:noProof/>
                <w:webHidden/>
              </w:rPr>
              <w:tab/>
            </w:r>
            <w:r>
              <w:rPr>
                <w:noProof/>
                <w:webHidden/>
              </w:rPr>
              <w:fldChar w:fldCharType="begin"/>
            </w:r>
            <w:r>
              <w:rPr>
                <w:noProof/>
                <w:webHidden/>
              </w:rPr>
              <w:instrText xml:space="preserve"> PAGEREF _Toc220496818 \h </w:instrText>
            </w:r>
            <w:r>
              <w:rPr>
                <w:noProof/>
                <w:webHidden/>
              </w:rPr>
            </w:r>
            <w:r>
              <w:rPr>
                <w:noProof/>
                <w:webHidden/>
              </w:rPr>
              <w:fldChar w:fldCharType="separate"/>
            </w:r>
            <w:r>
              <w:rPr>
                <w:noProof/>
                <w:webHidden/>
              </w:rPr>
              <w:t>1129</w:t>
            </w:r>
            <w:r>
              <w:rPr>
                <w:noProof/>
                <w:webHidden/>
              </w:rPr>
              <w:fldChar w:fldCharType="end"/>
            </w:r>
          </w:hyperlink>
        </w:p>
        <w:p w14:paraId="2269E9F9" w14:textId="37614CD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19" w:history="1">
            <w:r w:rsidRPr="00F45DCA">
              <w:rPr>
                <w:rStyle w:val="Lienhypertexte"/>
                <w:noProof/>
              </w:rPr>
              <w:t>26.12.1 Cimentage CCTB 01.02</w:t>
            </w:r>
            <w:r>
              <w:rPr>
                <w:noProof/>
                <w:webHidden/>
              </w:rPr>
              <w:tab/>
            </w:r>
            <w:r>
              <w:rPr>
                <w:noProof/>
                <w:webHidden/>
              </w:rPr>
              <w:fldChar w:fldCharType="begin"/>
            </w:r>
            <w:r>
              <w:rPr>
                <w:noProof/>
                <w:webHidden/>
              </w:rPr>
              <w:instrText xml:space="preserve"> PAGEREF _Toc220496819 \h </w:instrText>
            </w:r>
            <w:r>
              <w:rPr>
                <w:noProof/>
                <w:webHidden/>
              </w:rPr>
            </w:r>
            <w:r>
              <w:rPr>
                <w:noProof/>
                <w:webHidden/>
              </w:rPr>
              <w:fldChar w:fldCharType="separate"/>
            </w:r>
            <w:r>
              <w:rPr>
                <w:noProof/>
                <w:webHidden/>
              </w:rPr>
              <w:t>1129</w:t>
            </w:r>
            <w:r>
              <w:rPr>
                <w:noProof/>
                <w:webHidden/>
              </w:rPr>
              <w:fldChar w:fldCharType="end"/>
            </w:r>
          </w:hyperlink>
        </w:p>
        <w:p w14:paraId="5441B4EC" w14:textId="59CF085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20" w:history="1">
            <w:r w:rsidRPr="00F45DCA">
              <w:rPr>
                <w:rStyle w:val="Lienhypertexte"/>
                <w:noProof/>
              </w:rPr>
              <w:t>26.12.1a Etanchéité - cimentage CCTB 01.13</w:t>
            </w:r>
            <w:r>
              <w:rPr>
                <w:noProof/>
                <w:webHidden/>
              </w:rPr>
              <w:tab/>
            </w:r>
            <w:r>
              <w:rPr>
                <w:noProof/>
                <w:webHidden/>
              </w:rPr>
              <w:fldChar w:fldCharType="begin"/>
            </w:r>
            <w:r>
              <w:rPr>
                <w:noProof/>
                <w:webHidden/>
              </w:rPr>
              <w:instrText xml:space="preserve"> PAGEREF _Toc220496820 \h </w:instrText>
            </w:r>
            <w:r>
              <w:rPr>
                <w:noProof/>
                <w:webHidden/>
              </w:rPr>
            </w:r>
            <w:r>
              <w:rPr>
                <w:noProof/>
                <w:webHidden/>
              </w:rPr>
              <w:fldChar w:fldCharType="separate"/>
            </w:r>
            <w:r>
              <w:rPr>
                <w:noProof/>
                <w:webHidden/>
              </w:rPr>
              <w:t>1129</w:t>
            </w:r>
            <w:r>
              <w:rPr>
                <w:noProof/>
                <w:webHidden/>
              </w:rPr>
              <w:fldChar w:fldCharType="end"/>
            </w:r>
          </w:hyperlink>
        </w:p>
        <w:p w14:paraId="77C695CD" w14:textId="0366ABB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21" w:history="1">
            <w:r w:rsidRPr="00F45DCA">
              <w:rPr>
                <w:rStyle w:val="Lienhypertexte"/>
                <w:noProof/>
              </w:rPr>
              <w:t>26.12.2 Badigeonnage CCTB 01.02</w:t>
            </w:r>
            <w:r>
              <w:rPr>
                <w:noProof/>
                <w:webHidden/>
              </w:rPr>
              <w:tab/>
            </w:r>
            <w:r>
              <w:rPr>
                <w:noProof/>
                <w:webHidden/>
              </w:rPr>
              <w:fldChar w:fldCharType="begin"/>
            </w:r>
            <w:r>
              <w:rPr>
                <w:noProof/>
                <w:webHidden/>
              </w:rPr>
              <w:instrText xml:space="preserve"> PAGEREF _Toc220496821 \h </w:instrText>
            </w:r>
            <w:r>
              <w:rPr>
                <w:noProof/>
                <w:webHidden/>
              </w:rPr>
            </w:r>
            <w:r>
              <w:rPr>
                <w:noProof/>
                <w:webHidden/>
              </w:rPr>
              <w:fldChar w:fldCharType="separate"/>
            </w:r>
            <w:r>
              <w:rPr>
                <w:noProof/>
                <w:webHidden/>
              </w:rPr>
              <w:t>1130</w:t>
            </w:r>
            <w:r>
              <w:rPr>
                <w:noProof/>
                <w:webHidden/>
              </w:rPr>
              <w:fldChar w:fldCharType="end"/>
            </w:r>
          </w:hyperlink>
        </w:p>
        <w:p w14:paraId="186DD209" w14:textId="13F6664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22" w:history="1">
            <w:r w:rsidRPr="00F45DCA">
              <w:rPr>
                <w:rStyle w:val="Lienhypertexte"/>
                <w:noProof/>
              </w:rPr>
              <w:t>26.12.2a Etanchéité - badigeonnage CCTB 01.13</w:t>
            </w:r>
            <w:r>
              <w:rPr>
                <w:noProof/>
                <w:webHidden/>
              </w:rPr>
              <w:tab/>
            </w:r>
            <w:r>
              <w:rPr>
                <w:noProof/>
                <w:webHidden/>
              </w:rPr>
              <w:fldChar w:fldCharType="begin"/>
            </w:r>
            <w:r>
              <w:rPr>
                <w:noProof/>
                <w:webHidden/>
              </w:rPr>
              <w:instrText xml:space="preserve"> PAGEREF _Toc220496822 \h </w:instrText>
            </w:r>
            <w:r>
              <w:rPr>
                <w:noProof/>
                <w:webHidden/>
              </w:rPr>
            </w:r>
            <w:r>
              <w:rPr>
                <w:noProof/>
                <w:webHidden/>
              </w:rPr>
              <w:fldChar w:fldCharType="separate"/>
            </w:r>
            <w:r>
              <w:rPr>
                <w:noProof/>
                <w:webHidden/>
              </w:rPr>
              <w:t>1130</w:t>
            </w:r>
            <w:r>
              <w:rPr>
                <w:noProof/>
                <w:webHidden/>
              </w:rPr>
              <w:fldChar w:fldCharType="end"/>
            </w:r>
          </w:hyperlink>
        </w:p>
        <w:p w14:paraId="481F60C9" w14:textId="06B8EF2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23" w:history="1">
            <w:r w:rsidRPr="00F45DCA">
              <w:rPr>
                <w:rStyle w:val="Lienhypertexte"/>
                <w:noProof/>
              </w:rPr>
              <w:t>26.12.3 Cuvelages extérieurs CCTB 01.11</w:t>
            </w:r>
            <w:r>
              <w:rPr>
                <w:noProof/>
                <w:webHidden/>
              </w:rPr>
              <w:tab/>
            </w:r>
            <w:r>
              <w:rPr>
                <w:noProof/>
                <w:webHidden/>
              </w:rPr>
              <w:fldChar w:fldCharType="begin"/>
            </w:r>
            <w:r>
              <w:rPr>
                <w:noProof/>
                <w:webHidden/>
              </w:rPr>
              <w:instrText xml:space="preserve"> PAGEREF _Toc220496823 \h </w:instrText>
            </w:r>
            <w:r>
              <w:rPr>
                <w:noProof/>
                <w:webHidden/>
              </w:rPr>
            </w:r>
            <w:r>
              <w:rPr>
                <w:noProof/>
                <w:webHidden/>
              </w:rPr>
              <w:fldChar w:fldCharType="separate"/>
            </w:r>
            <w:r>
              <w:rPr>
                <w:noProof/>
                <w:webHidden/>
              </w:rPr>
              <w:t>1130</w:t>
            </w:r>
            <w:r>
              <w:rPr>
                <w:noProof/>
                <w:webHidden/>
              </w:rPr>
              <w:fldChar w:fldCharType="end"/>
            </w:r>
          </w:hyperlink>
        </w:p>
        <w:p w14:paraId="76D0DDBA" w14:textId="31052F6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24" w:history="1">
            <w:r w:rsidRPr="00F45DCA">
              <w:rPr>
                <w:rStyle w:val="Lienhypertexte"/>
                <w:noProof/>
              </w:rPr>
              <w:t>26.12.3a Cuvelage / ciment modifié CCTB 01.11</w:t>
            </w:r>
            <w:r>
              <w:rPr>
                <w:noProof/>
                <w:webHidden/>
              </w:rPr>
              <w:tab/>
            </w:r>
            <w:r>
              <w:rPr>
                <w:noProof/>
                <w:webHidden/>
              </w:rPr>
              <w:fldChar w:fldCharType="begin"/>
            </w:r>
            <w:r>
              <w:rPr>
                <w:noProof/>
                <w:webHidden/>
              </w:rPr>
              <w:instrText xml:space="preserve"> PAGEREF _Toc220496824 \h </w:instrText>
            </w:r>
            <w:r>
              <w:rPr>
                <w:noProof/>
                <w:webHidden/>
              </w:rPr>
            </w:r>
            <w:r>
              <w:rPr>
                <w:noProof/>
                <w:webHidden/>
              </w:rPr>
              <w:fldChar w:fldCharType="separate"/>
            </w:r>
            <w:r>
              <w:rPr>
                <w:noProof/>
                <w:webHidden/>
              </w:rPr>
              <w:t>1130</w:t>
            </w:r>
            <w:r>
              <w:rPr>
                <w:noProof/>
                <w:webHidden/>
              </w:rPr>
              <w:fldChar w:fldCharType="end"/>
            </w:r>
          </w:hyperlink>
        </w:p>
        <w:p w14:paraId="45D71930" w14:textId="6CCEE5F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25" w:history="1">
            <w:r w:rsidRPr="00F45DCA">
              <w:rPr>
                <w:rStyle w:val="Lienhypertexte"/>
                <w:noProof/>
              </w:rPr>
              <w:t>26.12.3b Cuvelage / émulsion bitumineuse CCTB 01.02</w:t>
            </w:r>
            <w:r>
              <w:rPr>
                <w:noProof/>
                <w:webHidden/>
              </w:rPr>
              <w:tab/>
            </w:r>
            <w:r>
              <w:rPr>
                <w:noProof/>
                <w:webHidden/>
              </w:rPr>
              <w:fldChar w:fldCharType="begin"/>
            </w:r>
            <w:r>
              <w:rPr>
                <w:noProof/>
                <w:webHidden/>
              </w:rPr>
              <w:instrText xml:space="preserve"> PAGEREF _Toc220496825 \h </w:instrText>
            </w:r>
            <w:r>
              <w:rPr>
                <w:noProof/>
                <w:webHidden/>
              </w:rPr>
            </w:r>
            <w:r>
              <w:rPr>
                <w:noProof/>
                <w:webHidden/>
              </w:rPr>
              <w:fldChar w:fldCharType="separate"/>
            </w:r>
            <w:r>
              <w:rPr>
                <w:noProof/>
                <w:webHidden/>
              </w:rPr>
              <w:t>1132</w:t>
            </w:r>
            <w:r>
              <w:rPr>
                <w:noProof/>
                <w:webHidden/>
              </w:rPr>
              <w:fldChar w:fldCharType="end"/>
            </w:r>
          </w:hyperlink>
        </w:p>
        <w:p w14:paraId="67EE2093" w14:textId="1BDEDC6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26" w:history="1">
            <w:r w:rsidRPr="00F45DCA">
              <w:rPr>
                <w:rStyle w:val="Lienhypertexte"/>
                <w:noProof/>
              </w:rPr>
              <w:t>26.12.4 Cuvelages intérieurs CCTB 01.02</w:t>
            </w:r>
            <w:r>
              <w:rPr>
                <w:noProof/>
                <w:webHidden/>
              </w:rPr>
              <w:tab/>
            </w:r>
            <w:r>
              <w:rPr>
                <w:noProof/>
                <w:webHidden/>
              </w:rPr>
              <w:fldChar w:fldCharType="begin"/>
            </w:r>
            <w:r>
              <w:rPr>
                <w:noProof/>
                <w:webHidden/>
              </w:rPr>
              <w:instrText xml:space="preserve"> PAGEREF _Toc220496826 \h </w:instrText>
            </w:r>
            <w:r>
              <w:rPr>
                <w:noProof/>
                <w:webHidden/>
              </w:rPr>
            </w:r>
            <w:r>
              <w:rPr>
                <w:noProof/>
                <w:webHidden/>
              </w:rPr>
              <w:fldChar w:fldCharType="separate"/>
            </w:r>
            <w:r>
              <w:rPr>
                <w:noProof/>
                <w:webHidden/>
              </w:rPr>
              <w:t>1132</w:t>
            </w:r>
            <w:r>
              <w:rPr>
                <w:noProof/>
                <w:webHidden/>
              </w:rPr>
              <w:fldChar w:fldCharType="end"/>
            </w:r>
          </w:hyperlink>
        </w:p>
        <w:p w14:paraId="356494F3" w14:textId="5854C6A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27" w:history="1">
            <w:r w:rsidRPr="00F45DCA">
              <w:rPr>
                <w:rStyle w:val="Lienhypertexte"/>
                <w:noProof/>
              </w:rPr>
              <w:t>26.12.4a Cuvelages intérieurs CCTB 01.11</w:t>
            </w:r>
            <w:r>
              <w:rPr>
                <w:noProof/>
                <w:webHidden/>
              </w:rPr>
              <w:tab/>
            </w:r>
            <w:r>
              <w:rPr>
                <w:noProof/>
                <w:webHidden/>
              </w:rPr>
              <w:fldChar w:fldCharType="begin"/>
            </w:r>
            <w:r>
              <w:rPr>
                <w:noProof/>
                <w:webHidden/>
              </w:rPr>
              <w:instrText xml:space="preserve"> PAGEREF _Toc220496827 \h </w:instrText>
            </w:r>
            <w:r>
              <w:rPr>
                <w:noProof/>
                <w:webHidden/>
              </w:rPr>
            </w:r>
            <w:r>
              <w:rPr>
                <w:noProof/>
                <w:webHidden/>
              </w:rPr>
              <w:fldChar w:fldCharType="separate"/>
            </w:r>
            <w:r>
              <w:rPr>
                <w:noProof/>
                <w:webHidden/>
              </w:rPr>
              <w:t>1132</w:t>
            </w:r>
            <w:r>
              <w:rPr>
                <w:noProof/>
                <w:webHidden/>
              </w:rPr>
              <w:fldChar w:fldCharType="end"/>
            </w:r>
          </w:hyperlink>
        </w:p>
        <w:p w14:paraId="6EB2F72E" w14:textId="34D6D90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28" w:history="1">
            <w:r w:rsidRPr="00F45DCA">
              <w:rPr>
                <w:rStyle w:val="Lienhypertexte"/>
                <w:noProof/>
              </w:rPr>
              <w:t>26.12.5 Traitements d'étanchéisation par injection CCTB 01.11</w:t>
            </w:r>
            <w:r>
              <w:rPr>
                <w:noProof/>
                <w:webHidden/>
              </w:rPr>
              <w:tab/>
            </w:r>
            <w:r>
              <w:rPr>
                <w:noProof/>
                <w:webHidden/>
              </w:rPr>
              <w:fldChar w:fldCharType="begin"/>
            </w:r>
            <w:r>
              <w:rPr>
                <w:noProof/>
                <w:webHidden/>
              </w:rPr>
              <w:instrText xml:space="preserve"> PAGEREF _Toc220496828 \h </w:instrText>
            </w:r>
            <w:r>
              <w:rPr>
                <w:noProof/>
                <w:webHidden/>
              </w:rPr>
            </w:r>
            <w:r>
              <w:rPr>
                <w:noProof/>
                <w:webHidden/>
              </w:rPr>
              <w:fldChar w:fldCharType="separate"/>
            </w:r>
            <w:r>
              <w:rPr>
                <w:noProof/>
                <w:webHidden/>
              </w:rPr>
              <w:t>1135</w:t>
            </w:r>
            <w:r>
              <w:rPr>
                <w:noProof/>
                <w:webHidden/>
              </w:rPr>
              <w:fldChar w:fldCharType="end"/>
            </w:r>
          </w:hyperlink>
        </w:p>
        <w:p w14:paraId="62C195CC" w14:textId="1C3E18B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29" w:history="1">
            <w:r w:rsidRPr="00F45DCA">
              <w:rPr>
                <w:rStyle w:val="Lienhypertexte"/>
                <w:noProof/>
              </w:rPr>
              <w:t>26.12.5a Etanchéisation d'éléments - Injections au polyuréthane CCTB 01.04</w:t>
            </w:r>
            <w:r>
              <w:rPr>
                <w:noProof/>
                <w:webHidden/>
              </w:rPr>
              <w:tab/>
            </w:r>
            <w:r>
              <w:rPr>
                <w:noProof/>
                <w:webHidden/>
              </w:rPr>
              <w:fldChar w:fldCharType="begin"/>
            </w:r>
            <w:r>
              <w:rPr>
                <w:noProof/>
                <w:webHidden/>
              </w:rPr>
              <w:instrText xml:space="preserve"> PAGEREF _Toc220496829 \h </w:instrText>
            </w:r>
            <w:r>
              <w:rPr>
                <w:noProof/>
                <w:webHidden/>
              </w:rPr>
            </w:r>
            <w:r>
              <w:rPr>
                <w:noProof/>
                <w:webHidden/>
              </w:rPr>
              <w:fldChar w:fldCharType="separate"/>
            </w:r>
            <w:r>
              <w:rPr>
                <w:noProof/>
                <w:webHidden/>
              </w:rPr>
              <w:t>1137</w:t>
            </w:r>
            <w:r>
              <w:rPr>
                <w:noProof/>
                <w:webHidden/>
              </w:rPr>
              <w:fldChar w:fldCharType="end"/>
            </w:r>
          </w:hyperlink>
        </w:p>
        <w:p w14:paraId="379C9724" w14:textId="720A2CF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30" w:history="1">
            <w:r w:rsidRPr="00F45DCA">
              <w:rPr>
                <w:rStyle w:val="Lienhypertexte"/>
                <w:noProof/>
              </w:rPr>
              <w:t>26.12.5b Etanchéisation d'éléments - Injections aux résines époxy à deux composants CCTB 01.11</w:t>
            </w:r>
            <w:r>
              <w:rPr>
                <w:noProof/>
                <w:webHidden/>
              </w:rPr>
              <w:tab/>
            </w:r>
            <w:r>
              <w:rPr>
                <w:noProof/>
                <w:webHidden/>
              </w:rPr>
              <w:fldChar w:fldCharType="begin"/>
            </w:r>
            <w:r>
              <w:rPr>
                <w:noProof/>
                <w:webHidden/>
              </w:rPr>
              <w:instrText xml:space="preserve"> PAGEREF _Toc220496830 \h </w:instrText>
            </w:r>
            <w:r>
              <w:rPr>
                <w:noProof/>
                <w:webHidden/>
              </w:rPr>
            </w:r>
            <w:r>
              <w:rPr>
                <w:noProof/>
                <w:webHidden/>
              </w:rPr>
              <w:fldChar w:fldCharType="separate"/>
            </w:r>
            <w:r>
              <w:rPr>
                <w:noProof/>
                <w:webHidden/>
              </w:rPr>
              <w:t>1137</w:t>
            </w:r>
            <w:r>
              <w:rPr>
                <w:noProof/>
                <w:webHidden/>
              </w:rPr>
              <w:fldChar w:fldCharType="end"/>
            </w:r>
          </w:hyperlink>
        </w:p>
        <w:p w14:paraId="0D5F065D" w14:textId="579D005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31" w:history="1">
            <w:r w:rsidRPr="00F45DCA">
              <w:rPr>
                <w:rStyle w:val="Lienhypertexte"/>
                <w:noProof/>
              </w:rPr>
              <w:t>26.12.5c Etanchéisation d'éléments - Injections au silicate CCTB 01.04</w:t>
            </w:r>
            <w:r>
              <w:rPr>
                <w:noProof/>
                <w:webHidden/>
              </w:rPr>
              <w:tab/>
            </w:r>
            <w:r>
              <w:rPr>
                <w:noProof/>
                <w:webHidden/>
              </w:rPr>
              <w:fldChar w:fldCharType="begin"/>
            </w:r>
            <w:r>
              <w:rPr>
                <w:noProof/>
                <w:webHidden/>
              </w:rPr>
              <w:instrText xml:space="preserve"> PAGEREF _Toc220496831 \h </w:instrText>
            </w:r>
            <w:r>
              <w:rPr>
                <w:noProof/>
                <w:webHidden/>
              </w:rPr>
            </w:r>
            <w:r>
              <w:rPr>
                <w:noProof/>
                <w:webHidden/>
              </w:rPr>
              <w:fldChar w:fldCharType="separate"/>
            </w:r>
            <w:r>
              <w:rPr>
                <w:noProof/>
                <w:webHidden/>
              </w:rPr>
              <w:t>1138</w:t>
            </w:r>
            <w:r>
              <w:rPr>
                <w:noProof/>
                <w:webHidden/>
              </w:rPr>
              <w:fldChar w:fldCharType="end"/>
            </w:r>
          </w:hyperlink>
        </w:p>
        <w:p w14:paraId="1183DFCD" w14:textId="08E5063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32" w:history="1">
            <w:r w:rsidRPr="00F45DCA">
              <w:rPr>
                <w:rStyle w:val="Lienhypertexte"/>
                <w:noProof/>
              </w:rPr>
              <w:t>26.12.5d Etanchéisation d'éléments - Injections à deux composants vinyliques CCTB 01.04</w:t>
            </w:r>
            <w:r>
              <w:rPr>
                <w:noProof/>
                <w:webHidden/>
              </w:rPr>
              <w:tab/>
            </w:r>
            <w:r>
              <w:rPr>
                <w:noProof/>
                <w:webHidden/>
              </w:rPr>
              <w:fldChar w:fldCharType="begin"/>
            </w:r>
            <w:r>
              <w:rPr>
                <w:noProof/>
                <w:webHidden/>
              </w:rPr>
              <w:instrText xml:space="preserve"> PAGEREF _Toc220496832 \h </w:instrText>
            </w:r>
            <w:r>
              <w:rPr>
                <w:noProof/>
                <w:webHidden/>
              </w:rPr>
            </w:r>
            <w:r>
              <w:rPr>
                <w:noProof/>
                <w:webHidden/>
              </w:rPr>
              <w:fldChar w:fldCharType="separate"/>
            </w:r>
            <w:r>
              <w:rPr>
                <w:noProof/>
                <w:webHidden/>
              </w:rPr>
              <w:t>1138</w:t>
            </w:r>
            <w:r>
              <w:rPr>
                <w:noProof/>
                <w:webHidden/>
              </w:rPr>
              <w:fldChar w:fldCharType="end"/>
            </w:r>
          </w:hyperlink>
        </w:p>
        <w:p w14:paraId="0B2D6FED" w14:textId="09D928C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33" w:history="1">
            <w:r w:rsidRPr="00F45DCA">
              <w:rPr>
                <w:rStyle w:val="Lienhypertexte"/>
                <w:noProof/>
              </w:rPr>
              <w:t>26.13 Traitements d'imperméabilisation CCTB 01.02</w:t>
            </w:r>
            <w:r>
              <w:rPr>
                <w:noProof/>
                <w:webHidden/>
              </w:rPr>
              <w:tab/>
            </w:r>
            <w:r>
              <w:rPr>
                <w:noProof/>
                <w:webHidden/>
              </w:rPr>
              <w:fldChar w:fldCharType="begin"/>
            </w:r>
            <w:r>
              <w:rPr>
                <w:noProof/>
                <w:webHidden/>
              </w:rPr>
              <w:instrText xml:space="preserve"> PAGEREF _Toc220496833 \h </w:instrText>
            </w:r>
            <w:r>
              <w:rPr>
                <w:noProof/>
                <w:webHidden/>
              </w:rPr>
            </w:r>
            <w:r>
              <w:rPr>
                <w:noProof/>
                <w:webHidden/>
              </w:rPr>
              <w:fldChar w:fldCharType="separate"/>
            </w:r>
            <w:r>
              <w:rPr>
                <w:noProof/>
                <w:webHidden/>
              </w:rPr>
              <w:t>1138</w:t>
            </w:r>
            <w:r>
              <w:rPr>
                <w:noProof/>
                <w:webHidden/>
              </w:rPr>
              <w:fldChar w:fldCharType="end"/>
            </w:r>
          </w:hyperlink>
        </w:p>
        <w:p w14:paraId="692B9044" w14:textId="497883D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34" w:history="1">
            <w:r w:rsidRPr="00F45DCA">
              <w:rPr>
                <w:rStyle w:val="Lienhypertexte"/>
                <w:noProof/>
              </w:rPr>
              <w:t>26.13.1 Traitements d'imperméabilisation par injection CCTB 01.02</w:t>
            </w:r>
            <w:r>
              <w:rPr>
                <w:noProof/>
                <w:webHidden/>
              </w:rPr>
              <w:tab/>
            </w:r>
            <w:r>
              <w:rPr>
                <w:noProof/>
                <w:webHidden/>
              </w:rPr>
              <w:fldChar w:fldCharType="begin"/>
            </w:r>
            <w:r>
              <w:rPr>
                <w:noProof/>
                <w:webHidden/>
              </w:rPr>
              <w:instrText xml:space="preserve"> PAGEREF _Toc220496834 \h </w:instrText>
            </w:r>
            <w:r>
              <w:rPr>
                <w:noProof/>
                <w:webHidden/>
              </w:rPr>
            </w:r>
            <w:r>
              <w:rPr>
                <w:noProof/>
                <w:webHidden/>
              </w:rPr>
              <w:fldChar w:fldCharType="separate"/>
            </w:r>
            <w:r>
              <w:rPr>
                <w:noProof/>
                <w:webHidden/>
              </w:rPr>
              <w:t>1138</w:t>
            </w:r>
            <w:r>
              <w:rPr>
                <w:noProof/>
                <w:webHidden/>
              </w:rPr>
              <w:fldChar w:fldCharType="end"/>
            </w:r>
          </w:hyperlink>
        </w:p>
        <w:p w14:paraId="474A713F" w14:textId="6AC30F5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35" w:history="1">
            <w:r w:rsidRPr="00F45DCA">
              <w:rPr>
                <w:rStyle w:val="Lienhypertexte"/>
                <w:noProof/>
              </w:rPr>
              <w:t>26.13.1a Traitements d'imperméabilisation par injection CCTB 01.02</w:t>
            </w:r>
            <w:r>
              <w:rPr>
                <w:noProof/>
                <w:webHidden/>
              </w:rPr>
              <w:tab/>
            </w:r>
            <w:r>
              <w:rPr>
                <w:noProof/>
                <w:webHidden/>
              </w:rPr>
              <w:fldChar w:fldCharType="begin"/>
            </w:r>
            <w:r>
              <w:rPr>
                <w:noProof/>
                <w:webHidden/>
              </w:rPr>
              <w:instrText xml:space="preserve"> PAGEREF _Toc220496835 \h </w:instrText>
            </w:r>
            <w:r>
              <w:rPr>
                <w:noProof/>
                <w:webHidden/>
              </w:rPr>
            </w:r>
            <w:r>
              <w:rPr>
                <w:noProof/>
                <w:webHidden/>
              </w:rPr>
              <w:fldChar w:fldCharType="separate"/>
            </w:r>
            <w:r>
              <w:rPr>
                <w:noProof/>
                <w:webHidden/>
              </w:rPr>
              <w:t>1138</w:t>
            </w:r>
            <w:r>
              <w:rPr>
                <w:noProof/>
                <w:webHidden/>
              </w:rPr>
              <w:fldChar w:fldCharType="end"/>
            </w:r>
          </w:hyperlink>
        </w:p>
        <w:p w14:paraId="0DE750FC" w14:textId="58CED03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36" w:history="1">
            <w:r w:rsidRPr="00F45DCA">
              <w:rPr>
                <w:rStyle w:val="Lienhypertexte"/>
                <w:noProof/>
              </w:rPr>
              <w:t>26.14 Systèmes étanches CCTB 01.02</w:t>
            </w:r>
            <w:r>
              <w:rPr>
                <w:noProof/>
                <w:webHidden/>
              </w:rPr>
              <w:tab/>
            </w:r>
            <w:r>
              <w:rPr>
                <w:noProof/>
                <w:webHidden/>
              </w:rPr>
              <w:fldChar w:fldCharType="begin"/>
            </w:r>
            <w:r>
              <w:rPr>
                <w:noProof/>
                <w:webHidden/>
              </w:rPr>
              <w:instrText xml:space="preserve"> PAGEREF _Toc220496836 \h </w:instrText>
            </w:r>
            <w:r>
              <w:rPr>
                <w:noProof/>
                <w:webHidden/>
              </w:rPr>
            </w:r>
            <w:r>
              <w:rPr>
                <w:noProof/>
                <w:webHidden/>
              </w:rPr>
              <w:fldChar w:fldCharType="separate"/>
            </w:r>
            <w:r>
              <w:rPr>
                <w:noProof/>
                <w:webHidden/>
              </w:rPr>
              <w:t>1138</w:t>
            </w:r>
            <w:r>
              <w:rPr>
                <w:noProof/>
                <w:webHidden/>
              </w:rPr>
              <w:fldChar w:fldCharType="end"/>
            </w:r>
          </w:hyperlink>
        </w:p>
        <w:p w14:paraId="7E1A97E1" w14:textId="5E2B80D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37" w:history="1">
            <w:r w:rsidRPr="00F45DCA">
              <w:rPr>
                <w:rStyle w:val="Lienhypertexte"/>
                <w:noProof/>
              </w:rPr>
              <w:t>26.14.1 Joints étanches CCTB 01.02</w:t>
            </w:r>
            <w:r>
              <w:rPr>
                <w:noProof/>
                <w:webHidden/>
              </w:rPr>
              <w:tab/>
            </w:r>
            <w:r>
              <w:rPr>
                <w:noProof/>
                <w:webHidden/>
              </w:rPr>
              <w:fldChar w:fldCharType="begin"/>
            </w:r>
            <w:r>
              <w:rPr>
                <w:noProof/>
                <w:webHidden/>
              </w:rPr>
              <w:instrText xml:space="preserve"> PAGEREF _Toc220496837 \h </w:instrText>
            </w:r>
            <w:r>
              <w:rPr>
                <w:noProof/>
                <w:webHidden/>
              </w:rPr>
            </w:r>
            <w:r>
              <w:rPr>
                <w:noProof/>
                <w:webHidden/>
              </w:rPr>
              <w:fldChar w:fldCharType="separate"/>
            </w:r>
            <w:r>
              <w:rPr>
                <w:noProof/>
                <w:webHidden/>
              </w:rPr>
              <w:t>1138</w:t>
            </w:r>
            <w:r>
              <w:rPr>
                <w:noProof/>
                <w:webHidden/>
              </w:rPr>
              <w:fldChar w:fldCharType="end"/>
            </w:r>
          </w:hyperlink>
        </w:p>
        <w:p w14:paraId="5D4185C0" w14:textId="3B1F272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38" w:history="1">
            <w:r w:rsidRPr="00F45DCA">
              <w:rPr>
                <w:rStyle w:val="Lienhypertexte"/>
                <w:noProof/>
              </w:rPr>
              <w:t>26.14.1a Joints étanches CCTB 01.02</w:t>
            </w:r>
            <w:r>
              <w:rPr>
                <w:noProof/>
                <w:webHidden/>
              </w:rPr>
              <w:tab/>
            </w:r>
            <w:r>
              <w:rPr>
                <w:noProof/>
                <w:webHidden/>
              </w:rPr>
              <w:fldChar w:fldCharType="begin"/>
            </w:r>
            <w:r>
              <w:rPr>
                <w:noProof/>
                <w:webHidden/>
              </w:rPr>
              <w:instrText xml:space="preserve"> PAGEREF _Toc220496838 \h </w:instrText>
            </w:r>
            <w:r>
              <w:rPr>
                <w:noProof/>
                <w:webHidden/>
              </w:rPr>
            </w:r>
            <w:r>
              <w:rPr>
                <w:noProof/>
                <w:webHidden/>
              </w:rPr>
              <w:fldChar w:fldCharType="separate"/>
            </w:r>
            <w:r>
              <w:rPr>
                <w:noProof/>
                <w:webHidden/>
              </w:rPr>
              <w:t>1138</w:t>
            </w:r>
            <w:r>
              <w:rPr>
                <w:noProof/>
                <w:webHidden/>
              </w:rPr>
              <w:fldChar w:fldCharType="end"/>
            </w:r>
          </w:hyperlink>
        </w:p>
        <w:p w14:paraId="35B5100F" w14:textId="53BF905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39" w:history="1">
            <w:r w:rsidRPr="00F45DCA">
              <w:rPr>
                <w:rStyle w:val="Lienhypertexte"/>
                <w:noProof/>
              </w:rPr>
              <w:t>26.14.2 Percements étanches (interaction avec autres tomes T1, T7) CCTB 01.02</w:t>
            </w:r>
            <w:r>
              <w:rPr>
                <w:noProof/>
                <w:webHidden/>
              </w:rPr>
              <w:tab/>
            </w:r>
            <w:r>
              <w:rPr>
                <w:noProof/>
                <w:webHidden/>
              </w:rPr>
              <w:fldChar w:fldCharType="begin"/>
            </w:r>
            <w:r>
              <w:rPr>
                <w:noProof/>
                <w:webHidden/>
              </w:rPr>
              <w:instrText xml:space="preserve"> PAGEREF _Toc220496839 \h </w:instrText>
            </w:r>
            <w:r>
              <w:rPr>
                <w:noProof/>
                <w:webHidden/>
              </w:rPr>
            </w:r>
            <w:r>
              <w:rPr>
                <w:noProof/>
                <w:webHidden/>
              </w:rPr>
              <w:fldChar w:fldCharType="separate"/>
            </w:r>
            <w:r>
              <w:rPr>
                <w:noProof/>
                <w:webHidden/>
              </w:rPr>
              <w:t>1138</w:t>
            </w:r>
            <w:r>
              <w:rPr>
                <w:noProof/>
                <w:webHidden/>
              </w:rPr>
              <w:fldChar w:fldCharType="end"/>
            </w:r>
          </w:hyperlink>
        </w:p>
        <w:p w14:paraId="7E35EC35" w14:textId="42AE323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40" w:history="1">
            <w:r w:rsidRPr="00F45DCA">
              <w:rPr>
                <w:rStyle w:val="Lienhypertexte"/>
                <w:noProof/>
              </w:rPr>
              <w:t>26.14.2a Modules de raccordement CCTB 01.02</w:t>
            </w:r>
            <w:r>
              <w:rPr>
                <w:noProof/>
                <w:webHidden/>
              </w:rPr>
              <w:tab/>
            </w:r>
            <w:r>
              <w:rPr>
                <w:noProof/>
                <w:webHidden/>
              </w:rPr>
              <w:fldChar w:fldCharType="begin"/>
            </w:r>
            <w:r>
              <w:rPr>
                <w:noProof/>
                <w:webHidden/>
              </w:rPr>
              <w:instrText xml:space="preserve"> PAGEREF _Toc220496840 \h </w:instrText>
            </w:r>
            <w:r>
              <w:rPr>
                <w:noProof/>
                <w:webHidden/>
              </w:rPr>
            </w:r>
            <w:r>
              <w:rPr>
                <w:noProof/>
                <w:webHidden/>
              </w:rPr>
              <w:fldChar w:fldCharType="separate"/>
            </w:r>
            <w:r>
              <w:rPr>
                <w:noProof/>
                <w:webHidden/>
              </w:rPr>
              <w:t>1138</w:t>
            </w:r>
            <w:r>
              <w:rPr>
                <w:noProof/>
                <w:webHidden/>
              </w:rPr>
              <w:fldChar w:fldCharType="end"/>
            </w:r>
          </w:hyperlink>
        </w:p>
        <w:p w14:paraId="75B3A882" w14:textId="4E88C7B2"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41" w:history="1">
            <w:r w:rsidRPr="00F45DCA">
              <w:rPr>
                <w:rStyle w:val="Lienhypertexte"/>
                <w:noProof/>
              </w:rPr>
              <w:t>26.15 Etanchéisation de joints CCTB 01.02</w:t>
            </w:r>
            <w:r>
              <w:rPr>
                <w:noProof/>
                <w:webHidden/>
              </w:rPr>
              <w:tab/>
            </w:r>
            <w:r>
              <w:rPr>
                <w:noProof/>
                <w:webHidden/>
              </w:rPr>
              <w:fldChar w:fldCharType="begin"/>
            </w:r>
            <w:r>
              <w:rPr>
                <w:noProof/>
                <w:webHidden/>
              </w:rPr>
              <w:instrText xml:space="preserve"> PAGEREF _Toc220496841 \h </w:instrText>
            </w:r>
            <w:r>
              <w:rPr>
                <w:noProof/>
                <w:webHidden/>
              </w:rPr>
            </w:r>
            <w:r>
              <w:rPr>
                <w:noProof/>
                <w:webHidden/>
              </w:rPr>
              <w:fldChar w:fldCharType="separate"/>
            </w:r>
            <w:r>
              <w:rPr>
                <w:noProof/>
                <w:webHidden/>
              </w:rPr>
              <w:t>1139</w:t>
            </w:r>
            <w:r>
              <w:rPr>
                <w:noProof/>
                <w:webHidden/>
              </w:rPr>
              <w:fldChar w:fldCharType="end"/>
            </w:r>
          </w:hyperlink>
        </w:p>
        <w:p w14:paraId="08547BCA" w14:textId="75A33D0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42" w:history="1">
            <w:r w:rsidRPr="00F45DCA">
              <w:rPr>
                <w:rStyle w:val="Lienhypertexte"/>
                <w:noProof/>
              </w:rPr>
              <w:t>26.16 Systèmes de drainage CCTB 01.02</w:t>
            </w:r>
            <w:r>
              <w:rPr>
                <w:noProof/>
                <w:webHidden/>
              </w:rPr>
              <w:tab/>
            </w:r>
            <w:r>
              <w:rPr>
                <w:noProof/>
                <w:webHidden/>
              </w:rPr>
              <w:fldChar w:fldCharType="begin"/>
            </w:r>
            <w:r>
              <w:rPr>
                <w:noProof/>
                <w:webHidden/>
              </w:rPr>
              <w:instrText xml:space="preserve"> PAGEREF _Toc220496842 \h </w:instrText>
            </w:r>
            <w:r>
              <w:rPr>
                <w:noProof/>
                <w:webHidden/>
              </w:rPr>
            </w:r>
            <w:r>
              <w:rPr>
                <w:noProof/>
                <w:webHidden/>
              </w:rPr>
              <w:fldChar w:fldCharType="separate"/>
            </w:r>
            <w:r>
              <w:rPr>
                <w:noProof/>
                <w:webHidden/>
              </w:rPr>
              <w:t>1139</w:t>
            </w:r>
            <w:r>
              <w:rPr>
                <w:noProof/>
                <w:webHidden/>
              </w:rPr>
              <w:fldChar w:fldCharType="end"/>
            </w:r>
          </w:hyperlink>
        </w:p>
        <w:p w14:paraId="2C1DB1E7" w14:textId="6AF49E7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43" w:history="1">
            <w:r w:rsidRPr="00F45DCA">
              <w:rPr>
                <w:rStyle w:val="Lienhypertexte"/>
                <w:noProof/>
              </w:rPr>
              <w:t>26.16.1 Système de drainage des murs enterrés CCTB 01.04</w:t>
            </w:r>
            <w:r>
              <w:rPr>
                <w:noProof/>
                <w:webHidden/>
              </w:rPr>
              <w:tab/>
            </w:r>
            <w:r>
              <w:rPr>
                <w:noProof/>
                <w:webHidden/>
              </w:rPr>
              <w:fldChar w:fldCharType="begin"/>
            </w:r>
            <w:r>
              <w:rPr>
                <w:noProof/>
                <w:webHidden/>
              </w:rPr>
              <w:instrText xml:space="preserve"> PAGEREF _Toc220496843 \h </w:instrText>
            </w:r>
            <w:r>
              <w:rPr>
                <w:noProof/>
                <w:webHidden/>
              </w:rPr>
            </w:r>
            <w:r>
              <w:rPr>
                <w:noProof/>
                <w:webHidden/>
              </w:rPr>
              <w:fldChar w:fldCharType="separate"/>
            </w:r>
            <w:r>
              <w:rPr>
                <w:noProof/>
                <w:webHidden/>
              </w:rPr>
              <w:t>1139</w:t>
            </w:r>
            <w:r>
              <w:rPr>
                <w:noProof/>
                <w:webHidden/>
              </w:rPr>
              <w:fldChar w:fldCharType="end"/>
            </w:r>
          </w:hyperlink>
        </w:p>
        <w:p w14:paraId="0A3EA345" w14:textId="083B893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44" w:history="1">
            <w:r w:rsidRPr="00F45DCA">
              <w:rPr>
                <w:rStyle w:val="Lienhypertexte"/>
                <w:noProof/>
              </w:rPr>
              <w:t>26.16.1a Couches d'étanchéité - Revêtement mural drainant CCTB 01.02</w:t>
            </w:r>
            <w:r>
              <w:rPr>
                <w:noProof/>
                <w:webHidden/>
              </w:rPr>
              <w:tab/>
            </w:r>
            <w:r>
              <w:rPr>
                <w:noProof/>
                <w:webHidden/>
              </w:rPr>
              <w:fldChar w:fldCharType="begin"/>
            </w:r>
            <w:r>
              <w:rPr>
                <w:noProof/>
                <w:webHidden/>
              </w:rPr>
              <w:instrText xml:space="preserve"> PAGEREF _Toc220496844 \h </w:instrText>
            </w:r>
            <w:r>
              <w:rPr>
                <w:noProof/>
                <w:webHidden/>
              </w:rPr>
            </w:r>
            <w:r>
              <w:rPr>
                <w:noProof/>
                <w:webHidden/>
              </w:rPr>
              <w:fldChar w:fldCharType="separate"/>
            </w:r>
            <w:r>
              <w:rPr>
                <w:noProof/>
                <w:webHidden/>
              </w:rPr>
              <w:t>1139</w:t>
            </w:r>
            <w:r>
              <w:rPr>
                <w:noProof/>
                <w:webHidden/>
              </w:rPr>
              <w:fldChar w:fldCharType="end"/>
            </w:r>
          </w:hyperlink>
        </w:p>
        <w:p w14:paraId="200A31F6" w14:textId="12F25FC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45" w:history="1">
            <w:r w:rsidRPr="00F45DCA">
              <w:rPr>
                <w:rStyle w:val="Lienhypertexte"/>
                <w:noProof/>
              </w:rPr>
              <w:t>26.17 Joints CCTB 01.02</w:t>
            </w:r>
            <w:r>
              <w:rPr>
                <w:noProof/>
                <w:webHidden/>
              </w:rPr>
              <w:tab/>
            </w:r>
            <w:r>
              <w:rPr>
                <w:noProof/>
                <w:webHidden/>
              </w:rPr>
              <w:fldChar w:fldCharType="begin"/>
            </w:r>
            <w:r>
              <w:rPr>
                <w:noProof/>
                <w:webHidden/>
              </w:rPr>
              <w:instrText xml:space="preserve"> PAGEREF _Toc220496845 \h </w:instrText>
            </w:r>
            <w:r>
              <w:rPr>
                <w:noProof/>
                <w:webHidden/>
              </w:rPr>
            </w:r>
            <w:r>
              <w:rPr>
                <w:noProof/>
                <w:webHidden/>
              </w:rPr>
              <w:fldChar w:fldCharType="separate"/>
            </w:r>
            <w:r>
              <w:rPr>
                <w:noProof/>
                <w:webHidden/>
              </w:rPr>
              <w:t>1139</w:t>
            </w:r>
            <w:r>
              <w:rPr>
                <w:noProof/>
                <w:webHidden/>
              </w:rPr>
              <w:fldChar w:fldCharType="end"/>
            </w:r>
          </w:hyperlink>
        </w:p>
        <w:p w14:paraId="422B5E11" w14:textId="644F822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46" w:history="1">
            <w:r w:rsidRPr="00F45DCA">
              <w:rPr>
                <w:rStyle w:val="Lienhypertexte"/>
                <w:noProof/>
              </w:rPr>
              <w:t>26.17.1 Joints de resserrage CCTB 01.02</w:t>
            </w:r>
            <w:r>
              <w:rPr>
                <w:noProof/>
                <w:webHidden/>
              </w:rPr>
              <w:tab/>
            </w:r>
            <w:r>
              <w:rPr>
                <w:noProof/>
                <w:webHidden/>
              </w:rPr>
              <w:fldChar w:fldCharType="begin"/>
            </w:r>
            <w:r>
              <w:rPr>
                <w:noProof/>
                <w:webHidden/>
              </w:rPr>
              <w:instrText xml:space="preserve"> PAGEREF _Toc220496846 \h </w:instrText>
            </w:r>
            <w:r>
              <w:rPr>
                <w:noProof/>
                <w:webHidden/>
              </w:rPr>
            </w:r>
            <w:r>
              <w:rPr>
                <w:noProof/>
                <w:webHidden/>
              </w:rPr>
              <w:fldChar w:fldCharType="separate"/>
            </w:r>
            <w:r>
              <w:rPr>
                <w:noProof/>
                <w:webHidden/>
              </w:rPr>
              <w:t>1139</w:t>
            </w:r>
            <w:r>
              <w:rPr>
                <w:noProof/>
                <w:webHidden/>
              </w:rPr>
              <w:fldChar w:fldCharType="end"/>
            </w:r>
          </w:hyperlink>
        </w:p>
        <w:p w14:paraId="14C498C1" w14:textId="2530198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47" w:history="1">
            <w:r w:rsidRPr="00F45DCA">
              <w:rPr>
                <w:rStyle w:val="Lienhypertexte"/>
                <w:noProof/>
              </w:rPr>
              <w:t>26.17.2 Joints de dilatation CCTB 01.02</w:t>
            </w:r>
            <w:r>
              <w:rPr>
                <w:noProof/>
                <w:webHidden/>
              </w:rPr>
              <w:tab/>
            </w:r>
            <w:r>
              <w:rPr>
                <w:noProof/>
                <w:webHidden/>
              </w:rPr>
              <w:fldChar w:fldCharType="begin"/>
            </w:r>
            <w:r>
              <w:rPr>
                <w:noProof/>
                <w:webHidden/>
              </w:rPr>
              <w:instrText xml:space="preserve"> PAGEREF _Toc220496847 \h </w:instrText>
            </w:r>
            <w:r>
              <w:rPr>
                <w:noProof/>
                <w:webHidden/>
              </w:rPr>
            </w:r>
            <w:r>
              <w:rPr>
                <w:noProof/>
                <w:webHidden/>
              </w:rPr>
              <w:fldChar w:fldCharType="separate"/>
            </w:r>
            <w:r>
              <w:rPr>
                <w:noProof/>
                <w:webHidden/>
              </w:rPr>
              <w:t>1139</w:t>
            </w:r>
            <w:r>
              <w:rPr>
                <w:noProof/>
                <w:webHidden/>
              </w:rPr>
              <w:fldChar w:fldCharType="end"/>
            </w:r>
          </w:hyperlink>
        </w:p>
        <w:p w14:paraId="5524F123" w14:textId="210084B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48" w:history="1">
            <w:r w:rsidRPr="00F45DCA">
              <w:rPr>
                <w:rStyle w:val="Lienhypertexte"/>
                <w:noProof/>
              </w:rPr>
              <w:t>26.17.3 Joints étanches (système) CCTB 01.04</w:t>
            </w:r>
            <w:r>
              <w:rPr>
                <w:noProof/>
                <w:webHidden/>
              </w:rPr>
              <w:tab/>
            </w:r>
            <w:r>
              <w:rPr>
                <w:noProof/>
                <w:webHidden/>
              </w:rPr>
              <w:fldChar w:fldCharType="begin"/>
            </w:r>
            <w:r>
              <w:rPr>
                <w:noProof/>
                <w:webHidden/>
              </w:rPr>
              <w:instrText xml:space="preserve"> PAGEREF _Toc220496848 \h </w:instrText>
            </w:r>
            <w:r>
              <w:rPr>
                <w:noProof/>
                <w:webHidden/>
              </w:rPr>
            </w:r>
            <w:r>
              <w:rPr>
                <w:noProof/>
                <w:webHidden/>
              </w:rPr>
              <w:fldChar w:fldCharType="separate"/>
            </w:r>
            <w:r>
              <w:rPr>
                <w:noProof/>
                <w:webHidden/>
              </w:rPr>
              <w:t>1139</w:t>
            </w:r>
            <w:r>
              <w:rPr>
                <w:noProof/>
                <w:webHidden/>
              </w:rPr>
              <w:fldChar w:fldCharType="end"/>
            </w:r>
          </w:hyperlink>
        </w:p>
        <w:p w14:paraId="0543C16E" w14:textId="14346084"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849" w:history="1">
            <w:r w:rsidRPr="00F45DCA">
              <w:rPr>
                <w:rStyle w:val="Lienhypertexte"/>
                <w:noProof/>
              </w:rPr>
              <w:t>26.2 Etanchéisation aux matières gazeuses CCTB 01.02</w:t>
            </w:r>
            <w:r>
              <w:rPr>
                <w:noProof/>
                <w:webHidden/>
              </w:rPr>
              <w:tab/>
            </w:r>
            <w:r>
              <w:rPr>
                <w:noProof/>
                <w:webHidden/>
              </w:rPr>
              <w:fldChar w:fldCharType="begin"/>
            </w:r>
            <w:r>
              <w:rPr>
                <w:noProof/>
                <w:webHidden/>
              </w:rPr>
              <w:instrText xml:space="preserve"> PAGEREF _Toc220496849 \h </w:instrText>
            </w:r>
            <w:r>
              <w:rPr>
                <w:noProof/>
                <w:webHidden/>
              </w:rPr>
            </w:r>
            <w:r>
              <w:rPr>
                <w:noProof/>
                <w:webHidden/>
              </w:rPr>
              <w:fldChar w:fldCharType="separate"/>
            </w:r>
            <w:r>
              <w:rPr>
                <w:noProof/>
                <w:webHidden/>
              </w:rPr>
              <w:t>1139</w:t>
            </w:r>
            <w:r>
              <w:rPr>
                <w:noProof/>
                <w:webHidden/>
              </w:rPr>
              <w:fldChar w:fldCharType="end"/>
            </w:r>
          </w:hyperlink>
        </w:p>
        <w:p w14:paraId="13605A27" w14:textId="72368518"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50" w:history="1">
            <w:r w:rsidRPr="00F45DCA">
              <w:rPr>
                <w:rStyle w:val="Lienhypertexte"/>
                <w:noProof/>
              </w:rPr>
              <w:t>26.21 Pare-vapeur CCTB 01.02</w:t>
            </w:r>
            <w:r>
              <w:rPr>
                <w:noProof/>
                <w:webHidden/>
              </w:rPr>
              <w:tab/>
            </w:r>
            <w:r>
              <w:rPr>
                <w:noProof/>
                <w:webHidden/>
              </w:rPr>
              <w:fldChar w:fldCharType="begin"/>
            </w:r>
            <w:r>
              <w:rPr>
                <w:noProof/>
                <w:webHidden/>
              </w:rPr>
              <w:instrText xml:space="preserve"> PAGEREF _Toc220496850 \h </w:instrText>
            </w:r>
            <w:r>
              <w:rPr>
                <w:noProof/>
                <w:webHidden/>
              </w:rPr>
            </w:r>
            <w:r>
              <w:rPr>
                <w:noProof/>
                <w:webHidden/>
              </w:rPr>
              <w:fldChar w:fldCharType="separate"/>
            </w:r>
            <w:r>
              <w:rPr>
                <w:noProof/>
                <w:webHidden/>
              </w:rPr>
              <w:t>1140</w:t>
            </w:r>
            <w:r>
              <w:rPr>
                <w:noProof/>
                <w:webHidden/>
              </w:rPr>
              <w:fldChar w:fldCharType="end"/>
            </w:r>
          </w:hyperlink>
        </w:p>
        <w:p w14:paraId="726F3EB1" w14:textId="0B8AF9B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51" w:history="1">
            <w:r w:rsidRPr="00F45DCA">
              <w:rPr>
                <w:rStyle w:val="Lienhypertexte"/>
                <w:noProof/>
              </w:rPr>
              <w:t>26.22 Raccords et joints souples CCTB 01.02</w:t>
            </w:r>
            <w:r>
              <w:rPr>
                <w:noProof/>
                <w:webHidden/>
              </w:rPr>
              <w:tab/>
            </w:r>
            <w:r>
              <w:rPr>
                <w:noProof/>
                <w:webHidden/>
              </w:rPr>
              <w:fldChar w:fldCharType="begin"/>
            </w:r>
            <w:r>
              <w:rPr>
                <w:noProof/>
                <w:webHidden/>
              </w:rPr>
              <w:instrText xml:space="preserve"> PAGEREF _Toc220496851 \h </w:instrText>
            </w:r>
            <w:r>
              <w:rPr>
                <w:noProof/>
                <w:webHidden/>
              </w:rPr>
            </w:r>
            <w:r>
              <w:rPr>
                <w:noProof/>
                <w:webHidden/>
              </w:rPr>
              <w:fldChar w:fldCharType="separate"/>
            </w:r>
            <w:r>
              <w:rPr>
                <w:noProof/>
                <w:webHidden/>
              </w:rPr>
              <w:t>1140</w:t>
            </w:r>
            <w:r>
              <w:rPr>
                <w:noProof/>
                <w:webHidden/>
              </w:rPr>
              <w:fldChar w:fldCharType="end"/>
            </w:r>
          </w:hyperlink>
        </w:p>
        <w:p w14:paraId="30C4F2CE" w14:textId="75EE5CB3"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852" w:history="1">
            <w:r w:rsidRPr="00F45DCA">
              <w:rPr>
                <w:rStyle w:val="Lienhypertexte"/>
                <w:noProof/>
              </w:rPr>
              <w:t>26.3 Etanchéisations particulières CCTB 01.02</w:t>
            </w:r>
            <w:r>
              <w:rPr>
                <w:noProof/>
                <w:webHidden/>
              </w:rPr>
              <w:tab/>
            </w:r>
            <w:r>
              <w:rPr>
                <w:noProof/>
                <w:webHidden/>
              </w:rPr>
              <w:fldChar w:fldCharType="begin"/>
            </w:r>
            <w:r>
              <w:rPr>
                <w:noProof/>
                <w:webHidden/>
              </w:rPr>
              <w:instrText xml:space="preserve"> PAGEREF _Toc220496852 \h </w:instrText>
            </w:r>
            <w:r>
              <w:rPr>
                <w:noProof/>
                <w:webHidden/>
              </w:rPr>
            </w:r>
            <w:r>
              <w:rPr>
                <w:noProof/>
                <w:webHidden/>
              </w:rPr>
              <w:fldChar w:fldCharType="separate"/>
            </w:r>
            <w:r>
              <w:rPr>
                <w:noProof/>
                <w:webHidden/>
              </w:rPr>
              <w:t>1140</w:t>
            </w:r>
            <w:r>
              <w:rPr>
                <w:noProof/>
                <w:webHidden/>
              </w:rPr>
              <w:fldChar w:fldCharType="end"/>
            </w:r>
          </w:hyperlink>
        </w:p>
        <w:p w14:paraId="0EA38EE6" w14:textId="186A46C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53" w:history="1">
            <w:r w:rsidRPr="00F45DCA">
              <w:rPr>
                <w:rStyle w:val="Lienhypertexte"/>
                <w:noProof/>
              </w:rPr>
              <w:t>26.31 Etanchéisation de joints CCTB 01.02</w:t>
            </w:r>
            <w:r>
              <w:rPr>
                <w:noProof/>
                <w:webHidden/>
              </w:rPr>
              <w:tab/>
            </w:r>
            <w:r>
              <w:rPr>
                <w:noProof/>
                <w:webHidden/>
              </w:rPr>
              <w:fldChar w:fldCharType="begin"/>
            </w:r>
            <w:r>
              <w:rPr>
                <w:noProof/>
                <w:webHidden/>
              </w:rPr>
              <w:instrText xml:space="preserve"> PAGEREF _Toc220496853 \h </w:instrText>
            </w:r>
            <w:r>
              <w:rPr>
                <w:noProof/>
                <w:webHidden/>
              </w:rPr>
            </w:r>
            <w:r>
              <w:rPr>
                <w:noProof/>
                <w:webHidden/>
              </w:rPr>
              <w:fldChar w:fldCharType="separate"/>
            </w:r>
            <w:r>
              <w:rPr>
                <w:noProof/>
                <w:webHidden/>
              </w:rPr>
              <w:t>1140</w:t>
            </w:r>
            <w:r>
              <w:rPr>
                <w:noProof/>
                <w:webHidden/>
              </w:rPr>
              <w:fldChar w:fldCharType="end"/>
            </w:r>
          </w:hyperlink>
        </w:p>
        <w:p w14:paraId="33ADBAAA" w14:textId="0004222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54" w:history="1">
            <w:r w:rsidRPr="00F45DCA">
              <w:rPr>
                <w:rStyle w:val="Lienhypertexte"/>
                <w:noProof/>
              </w:rPr>
              <w:t>26.31.1 Mastics particuliers CCTB 01.02</w:t>
            </w:r>
            <w:r>
              <w:rPr>
                <w:noProof/>
                <w:webHidden/>
              </w:rPr>
              <w:tab/>
            </w:r>
            <w:r>
              <w:rPr>
                <w:noProof/>
                <w:webHidden/>
              </w:rPr>
              <w:fldChar w:fldCharType="begin"/>
            </w:r>
            <w:r>
              <w:rPr>
                <w:noProof/>
                <w:webHidden/>
              </w:rPr>
              <w:instrText xml:space="preserve"> PAGEREF _Toc220496854 \h </w:instrText>
            </w:r>
            <w:r>
              <w:rPr>
                <w:noProof/>
                <w:webHidden/>
              </w:rPr>
            </w:r>
            <w:r>
              <w:rPr>
                <w:noProof/>
                <w:webHidden/>
              </w:rPr>
              <w:fldChar w:fldCharType="separate"/>
            </w:r>
            <w:r>
              <w:rPr>
                <w:noProof/>
                <w:webHidden/>
              </w:rPr>
              <w:t>1140</w:t>
            </w:r>
            <w:r>
              <w:rPr>
                <w:noProof/>
                <w:webHidden/>
              </w:rPr>
              <w:fldChar w:fldCharType="end"/>
            </w:r>
          </w:hyperlink>
        </w:p>
        <w:p w14:paraId="2ADECC93" w14:textId="2FE2A41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55" w:history="1">
            <w:r w:rsidRPr="00F45DCA">
              <w:rPr>
                <w:rStyle w:val="Lienhypertexte"/>
                <w:noProof/>
              </w:rPr>
              <w:t>26.31.1a Mastic Rf CCTB 01.02</w:t>
            </w:r>
            <w:r>
              <w:rPr>
                <w:noProof/>
                <w:webHidden/>
              </w:rPr>
              <w:tab/>
            </w:r>
            <w:r>
              <w:rPr>
                <w:noProof/>
                <w:webHidden/>
              </w:rPr>
              <w:fldChar w:fldCharType="begin"/>
            </w:r>
            <w:r>
              <w:rPr>
                <w:noProof/>
                <w:webHidden/>
              </w:rPr>
              <w:instrText xml:space="preserve"> PAGEREF _Toc220496855 \h </w:instrText>
            </w:r>
            <w:r>
              <w:rPr>
                <w:noProof/>
                <w:webHidden/>
              </w:rPr>
            </w:r>
            <w:r>
              <w:rPr>
                <w:noProof/>
                <w:webHidden/>
              </w:rPr>
              <w:fldChar w:fldCharType="separate"/>
            </w:r>
            <w:r>
              <w:rPr>
                <w:noProof/>
                <w:webHidden/>
              </w:rPr>
              <w:t>1140</w:t>
            </w:r>
            <w:r>
              <w:rPr>
                <w:noProof/>
                <w:webHidden/>
              </w:rPr>
              <w:fldChar w:fldCharType="end"/>
            </w:r>
          </w:hyperlink>
        </w:p>
        <w:p w14:paraId="405ADB73" w14:textId="0126794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56" w:history="1">
            <w:r w:rsidRPr="00F45DCA">
              <w:rPr>
                <w:rStyle w:val="Lienhypertexte"/>
                <w:noProof/>
              </w:rPr>
              <w:t>26.31.2 Membranes souples - Membranes CCTB 01.02</w:t>
            </w:r>
            <w:r>
              <w:rPr>
                <w:noProof/>
                <w:webHidden/>
              </w:rPr>
              <w:tab/>
            </w:r>
            <w:r>
              <w:rPr>
                <w:noProof/>
                <w:webHidden/>
              </w:rPr>
              <w:fldChar w:fldCharType="begin"/>
            </w:r>
            <w:r>
              <w:rPr>
                <w:noProof/>
                <w:webHidden/>
              </w:rPr>
              <w:instrText xml:space="preserve"> PAGEREF _Toc220496856 \h </w:instrText>
            </w:r>
            <w:r>
              <w:rPr>
                <w:noProof/>
                <w:webHidden/>
              </w:rPr>
            </w:r>
            <w:r>
              <w:rPr>
                <w:noProof/>
                <w:webHidden/>
              </w:rPr>
              <w:fldChar w:fldCharType="separate"/>
            </w:r>
            <w:r>
              <w:rPr>
                <w:noProof/>
                <w:webHidden/>
              </w:rPr>
              <w:t>1140</w:t>
            </w:r>
            <w:r>
              <w:rPr>
                <w:noProof/>
                <w:webHidden/>
              </w:rPr>
              <w:fldChar w:fldCharType="end"/>
            </w:r>
          </w:hyperlink>
        </w:p>
        <w:p w14:paraId="78A19F85" w14:textId="556EA3C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57" w:history="1">
            <w:r w:rsidRPr="00F45DCA">
              <w:rPr>
                <w:rStyle w:val="Lienhypertexte"/>
                <w:noProof/>
              </w:rPr>
              <w:t>26.31.3 Joints de resserrage acoustique CCTB 01.02</w:t>
            </w:r>
            <w:r>
              <w:rPr>
                <w:noProof/>
                <w:webHidden/>
              </w:rPr>
              <w:tab/>
            </w:r>
            <w:r>
              <w:rPr>
                <w:noProof/>
                <w:webHidden/>
              </w:rPr>
              <w:fldChar w:fldCharType="begin"/>
            </w:r>
            <w:r>
              <w:rPr>
                <w:noProof/>
                <w:webHidden/>
              </w:rPr>
              <w:instrText xml:space="preserve"> PAGEREF _Toc220496857 \h </w:instrText>
            </w:r>
            <w:r>
              <w:rPr>
                <w:noProof/>
                <w:webHidden/>
              </w:rPr>
            </w:r>
            <w:r>
              <w:rPr>
                <w:noProof/>
                <w:webHidden/>
              </w:rPr>
              <w:fldChar w:fldCharType="separate"/>
            </w:r>
            <w:r>
              <w:rPr>
                <w:noProof/>
                <w:webHidden/>
              </w:rPr>
              <w:t>1140</w:t>
            </w:r>
            <w:r>
              <w:rPr>
                <w:noProof/>
                <w:webHidden/>
              </w:rPr>
              <w:fldChar w:fldCharType="end"/>
            </w:r>
          </w:hyperlink>
        </w:p>
        <w:p w14:paraId="6B719BDD" w14:textId="1855FE1E"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858" w:history="1">
            <w:r w:rsidRPr="00F45DCA">
              <w:rPr>
                <w:rStyle w:val="Lienhypertexte"/>
                <w:noProof/>
              </w:rPr>
              <w:t>26.4 Isolation CCTB 01.11</w:t>
            </w:r>
            <w:r>
              <w:rPr>
                <w:noProof/>
                <w:webHidden/>
              </w:rPr>
              <w:tab/>
            </w:r>
            <w:r>
              <w:rPr>
                <w:noProof/>
                <w:webHidden/>
              </w:rPr>
              <w:fldChar w:fldCharType="begin"/>
            </w:r>
            <w:r>
              <w:rPr>
                <w:noProof/>
                <w:webHidden/>
              </w:rPr>
              <w:instrText xml:space="preserve"> PAGEREF _Toc220496858 \h </w:instrText>
            </w:r>
            <w:r>
              <w:rPr>
                <w:noProof/>
                <w:webHidden/>
              </w:rPr>
            </w:r>
            <w:r>
              <w:rPr>
                <w:noProof/>
                <w:webHidden/>
              </w:rPr>
              <w:fldChar w:fldCharType="separate"/>
            </w:r>
            <w:r>
              <w:rPr>
                <w:noProof/>
                <w:webHidden/>
              </w:rPr>
              <w:t>1140</w:t>
            </w:r>
            <w:r>
              <w:rPr>
                <w:noProof/>
                <w:webHidden/>
              </w:rPr>
              <w:fldChar w:fldCharType="end"/>
            </w:r>
          </w:hyperlink>
        </w:p>
        <w:p w14:paraId="00755284" w14:textId="190A1E7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59" w:history="1">
            <w:r w:rsidRPr="00F45DCA">
              <w:rPr>
                <w:rStyle w:val="Lienhypertexte"/>
                <w:noProof/>
              </w:rPr>
              <w:t>26.41 Isolation en panneaux CCTB 01.11</w:t>
            </w:r>
            <w:r>
              <w:rPr>
                <w:noProof/>
                <w:webHidden/>
              </w:rPr>
              <w:tab/>
            </w:r>
            <w:r>
              <w:rPr>
                <w:noProof/>
                <w:webHidden/>
              </w:rPr>
              <w:fldChar w:fldCharType="begin"/>
            </w:r>
            <w:r>
              <w:rPr>
                <w:noProof/>
                <w:webHidden/>
              </w:rPr>
              <w:instrText xml:space="preserve"> PAGEREF _Toc220496859 \h </w:instrText>
            </w:r>
            <w:r>
              <w:rPr>
                <w:noProof/>
                <w:webHidden/>
              </w:rPr>
            </w:r>
            <w:r>
              <w:rPr>
                <w:noProof/>
                <w:webHidden/>
              </w:rPr>
              <w:fldChar w:fldCharType="separate"/>
            </w:r>
            <w:r>
              <w:rPr>
                <w:noProof/>
                <w:webHidden/>
              </w:rPr>
              <w:t>1143</w:t>
            </w:r>
            <w:r>
              <w:rPr>
                <w:noProof/>
                <w:webHidden/>
              </w:rPr>
              <w:fldChar w:fldCharType="end"/>
            </w:r>
          </w:hyperlink>
        </w:p>
        <w:p w14:paraId="2FEB54B7" w14:textId="70E2BB9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60" w:history="1">
            <w:r w:rsidRPr="00F45DCA">
              <w:rPr>
                <w:rStyle w:val="Lienhypertexte"/>
                <w:noProof/>
              </w:rPr>
              <w:t>26.41.1 Isolation en panneaux - matières synthétiques CCTB 01.02</w:t>
            </w:r>
            <w:r>
              <w:rPr>
                <w:noProof/>
                <w:webHidden/>
              </w:rPr>
              <w:tab/>
            </w:r>
            <w:r>
              <w:rPr>
                <w:noProof/>
                <w:webHidden/>
              </w:rPr>
              <w:fldChar w:fldCharType="begin"/>
            </w:r>
            <w:r>
              <w:rPr>
                <w:noProof/>
                <w:webHidden/>
              </w:rPr>
              <w:instrText xml:space="preserve"> PAGEREF _Toc220496860 \h </w:instrText>
            </w:r>
            <w:r>
              <w:rPr>
                <w:noProof/>
                <w:webHidden/>
              </w:rPr>
            </w:r>
            <w:r>
              <w:rPr>
                <w:noProof/>
                <w:webHidden/>
              </w:rPr>
              <w:fldChar w:fldCharType="separate"/>
            </w:r>
            <w:r>
              <w:rPr>
                <w:noProof/>
                <w:webHidden/>
              </w:rPr>
              <w:t>1143</w:t>
            </w:r>
            <w:r>
              <w:rPr>
                <w:noProof/>
                <w:webHidden/>
              </w:rPr>
              <w:fldChar w:fldCharType="end"/>
            </w:r>
          </w:hyperlink>
        </w:p>
        <w:p w14:paraId="721DC440" w14:textId="32D662A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61" w:history="1">
            <w:r w:rsidRPr="00F45DCA">
              <w:rPr>
                <w:rStyle w:val="Lienhypertexte"/>
                <w:noProof/>
              </w:rPr>
              <w:t>26.41.1a Isolation en panneaux - polystyrène extrudé (XPS) CCTB 01.11</w:t>
            </w:r>
            <w:r>
              <w:rPr>
                <w:noProof/>
                <w:webHidden/>
              </w:rPr>
              <w:tab/>
            </w:r>
            <w:r>
              <w:rPr>
                <w:noProof/>
                <w:webHidden/>
              </w:rPr>
              <w:fldChar w:fldCharType="begin"/>
            </w:r>
            <w:r>
              <w:rPr>
                <w:noProof/>
                <w:webHidden/>
              </w:rPr>
              <w:instrText xml:space="preserve"> PAGEREF _Toc220496861 \h </w:instrText>
            </w:r>
            <w:r>
              <w:rPr>
                <w:noProof/>
                <w:webHidden/>
              </w:rPr>
            </w:r>
            <w:r>
              <w:rPr>
                <w:noProof/>
                <w:webHidden/>
              </w:rPr>
              <w:fldChar w:fldCharType="separate"/>
            </w:r>
            <w:r>
              <w:rPr>
                <w:noProof/>
                <w:webHidden/>
              </w:rPr>
              <w:t>1143</w:t>
            </w:r>
            <w:r>
              <w:rPr>
                <w:noProof/>
                <w:webHidden/>
              </w:rPr>
              <w:fldChar w:fldCharType="end"/>
            </w:r>
          </w:hyperlink>
        </w:p>
        <w:p w14:paraId="7AFEB36F" w14:textId="10F64DE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62" w:history="1">
            <w:r w:rsidRPr="00F45DCA">
              <w:rPr>
                <w:rStyle w:val="Lienhypertexte"/>
                <w:noProof/>
              </w:rPr>
              <w:t>26.41.1b Isolation en panneaux - polystyrène expansé (EPS / EPS HD) CCTB 01.11</w:t>
            </w:r>
            <w:r>
              <w:rPr>
                <w:noProof/>
                <w:webHidden/>
              </w:rPr>
              <w:tab/>
            </w:r>
            <w:r>
              <w:rPr>
                <w:noProof/>
                <w:webHidden/>
              </w:rPr>
              <w:fldChar w:fldCharType="begin"/>
            </w:r>
            <w:r>
              <w:rPr>
                <w:noProof/>
                <w:webHidden/>
              </w:rPr>
              <w:instrText xml:space="preserve"> PAGEREF _Toc220496862 \h </w:instrText>
            </w:r>
            <w:r>
              <w:rPr>
                <w:noProof/>
                <w:webHidden/>
              </w:rPr>
            </w:r>
            <w:r>
              <w:rPr>
                <w:noProof/>
                <w:webHidden/>
              </w:rPr>
              <w:fldChar w:fldCharType="separate"/>
            </w:r>
            <w:r>
              <w:rPr>
                <w:noProof/>
                <w:webHidden/>
              </w:rPr>
              <w:t>1144</w:t>
            </w:r>
            <w:r>
              <w:rPr>
                <w:noProof/>
                <w:webHidden/>
              </w:rPr>
              <w:fldChar w:fldCharType="end"/>
            </w:r>
          </w:hyperlink>
        </w:p>
        <w:p w14:paraId="1836AC60" w14:textId="1D822B5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63" w:history="1">
            <w:r w:rsidRPr="00F45DCA">
              <w:rPr>
                <w:rStyle w:val="Lienhypertexte"/>
                <w:noProof/>
              </w:rPr>
              <w:t>26.41.1c Isolation en panneaux - polystyrène expansé additionné de graphite/carbone CCTB 01.11</w:t>
            </w:r>
            <w:r>
              <w:rPr>
                <w:noProof/>
                <w:webHidden/>
              </w:rPr>
              <w:tab/>
            </w:r>
            <w:r>
              <w:rPr>
                <w:noProof/>
                <w:webHidden/>
              </w:rPr>
              <w:fldChar w:fldCharType="begin"/>
            </w:r>
            <w:r>
              <w:rPr>
                <w:noProof/>
                <w:webHidden/>
              </w:rPr>
              <w:instrText xml:space="preserve"> PAGEREF _Toc220496863 \h </w:instrText>
            </w:r>
            <w:r>
              <w:rPr>
                <w:noProof/>
                <w:webHidden/>
              </w:rPr>
            </w:r>
            <w:r>
              <w:rPr>
                <w:noProof/>
                <w:webHidden/>
              </w:rPr>
              <w:fldChar w:fldCharType="separate"/>
            </w:r>
            <w:r>
              <w:rPr>
                <w:noProof/>
                <w:webHidden/>
              </w:rPr>
              <w:t>1145</w:t>
            </w:r>
            <w:r>
              <w:rPr>
                <w:noProof/>
                <w:webHidden/>
              </w:rPr>
              <w:fldChar w:fldCharType="end"/>
            </w:r>
          </w:hyperlink>
        </w:p>
        <w:p w14:paraId="047FACE1" w14:textId="525638C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64" w:history="1">
            <w:r w:rsidRPr="00F45DCA">
              <w:rPr>
                <w:rStyle w:val="Lienhypertexte"/>
                <w:noProof/>
              </w:rPr>
              <w:t>26.41.1d Isolation en panneaux - polyuréthane (PUR) CCTB 01.11</w:t>
            </w:r>
            <w:r>
              <w:rPr>
                <w:noProof/>
                <w:webHidden/>
              </w:rPr>
              <w:tab/>
            </w:r>
            <w:r>
              <w:rPr>
                <w:noProof/>
                <w:webHidden/>
              </w:rPr>
              <w:fldChar w:fldCharType="begin"/>
            </w:r>
            <w:r>
              <w:rPr>
                <w:noProof/>
                <w:webHidden/>
              </w:rPr>
              <w:instrText xml:space="preserve"> PAGEREF _Toc220496864 \h </w:instrText>
            </w:r>
            <w:r>
              <w:rPr>
                <w:noProof/>
                <w:webHidden/>
              </w:rPr>
            </w:r>
            <w:r>
              <w:rPr>
                <w:noProof/>
                <w:webHidden/>
              </w:rPr>
              <w:fldChar w:fldCharType="separate"/>
            </w:r>
            <w:r>
              <w:rPr>
                <w:noProof/>
                <w:webHidden/>
              </w:rPr>
              <w:t>1145</w:t>
            </w:r>
            <w:r>
              <w:rPr>
                <w:noProof/>
                <w:webHidden/>
              </w:rPr>
              <w:fldChar w:fldCharType="end"/>
            </w:r>
          </w:hyperlink>
        </w:p>
        <w:p w14:paraId="3117EA96" w14:textId="1128378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65" w:history="1">
            <w:r w:rsidRPr="00F45DCA">
              <w:rPr>
                <w:rStyle w:val="Lienhypertexte"/>
                <w:noProof/>
              </w:rPr>
              <w:t>26.41.1e Isolation en panneaux - polyisocyanurate (PIR) CCTB 01.11</w:t>
            </w:r>
            <w:r>
              <w:rPr>
                <w:noProof/>
                <w:webHidden/>
              </w:rPr>
              <w:tab/>
            </w:r>
            <w:r>
              <w:rPr>
                <w:noProof/>
                <w:webHidden/>
              </w:rPr>
              <w:fldChar w:fldCharType="begin"/>
            </w:r>
            <w:r>
              <w:rPr>
                <w:noProof/>
                <w:webHidden/>
              </w:rPr>
              <w:instrText xml:space="preserve"> PAGEREF _Toc220496865 \h </w:instrText>
            </w:r>
            <w:r>
              <w:rPr>
                <w:noProof/>
                <w:webHidden/>
              </w:rPr>
            </w:r>
            <w:r>
              <w:rPr>
                <w:noProof/>
                <w:webHidden/>
              </w:rPr>
              <w:fldChar w:fldCharType="separate"/>
            </w:r>
            <w:r>
              <w:rPr>
                <w:noProof/>
                <w:webHidden/>
              </w:rPr>
              <w:t>1145</w:t>
            </w:r>
            <w:r>
              <w:rPr>
                <w:noProof/>
                <w:webHidden/>
              </w:rPr>
              <w:fldChar w:fldCharType="end"/>
            </w:r>
          </w:hyperlink>
        </w:p>
        <w:p w14:paraId="7D8F54D4" w14:textId="3B82DD2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66" w:history="1">
            <w:r w:rsidRPr="00F45DCA">
              <w:rPr>
                <w:rStyle w:val="Lienhypertexte"/>
                <w:noProof/>
              </w:rPr>
              <w:t>26.41.1f Isolation en panneaux - mousse phénolique (PF) CCTB 01.11</w:t>
            </w:r>
            <w:r>
              <w:rPr>
                <w:noProof/>
                <w:webHidden/>
              </w:rPr>
              <w:tab/>
            </w:r>
            <w:r>
              <w:rPr>
                <w:noProof/>
                <w:webHidden/>
              </w:rPr>
              <w:fldChar w:fldCharType="begin"/>
            </w:r>
            <w:r>
              <w:rPr>
                <w:noProof/>
                <w:webHidden/>
              </w:rPr>
              <w:instrText xml:space="preserve"> PAGEREF _Toc220496866 \h </w:instrText>
            </w:r>
            <w:r>
              <w:rPr>
                <w:noProof/>
                <w:webHidden/>
              </w:rPr>
            </w:r>
            <w:r>
              <w:rPr>
                <w:noProof/>
                <w:webHidden/>
              </w:rPr>
              <w:fldChar w:fldCharType="separate"/>
            </w:r>
            <w:r>
              <w:rPr>
                <w:noProof/>
                <w:webHidden/>
              </w:rPr>
              <w:t>1145</w:t>
            </w:r>
            <w:r>
              <w:rPr>
                <w:noProof/>
                <w:webHidden/>
              </w:rPr>
              <w:fldChar w:fldCharType="end"/>
            </w:r>
          </w:hyperlink>
        </w:p>
        <w:p w14:paraId="7EB64F22" w14:textId="74BB846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67" w:history="1">
            <w:r w:rsidRPr="00F45DCA">
              <w:rPr>
                <w:rStyle w:val="Lienhypertexte"/>
                <w:noProof/>
              </w:rPr>
              <w:t>26.41.1g Isolation en panneaux - sous vide CCTB 01.02</w:t>
            </w:r>
            <w:r>
              <w:rPr>
                <w:noProof/>
                <w:webHidden/>
              </w:rPr>
              <w:tab/>
            </w:r>
            <w:r>
              <w:rPr>
                <w:noProof/>
                <w:webHidden/>
              </w:rPr>
              <w:fldChar w:fldCharType="begin"/>
            </w:r>
            <w:r>
              <w:rPr>
                <w:noProof/>
                <w:webHidden/>
              </w:rPr>
              <w:instrText xml:space="preserve"> PAGEREF _Toc220496867 \h </w:instrText>
            </w:r>
            <w:r>
              <w:rPr>
                <w:noProof/>
                <w:webHidden/>
              </w:rPr>
            </w:r>
            <w:r>
              <w:rPr>
                <w:noProof/>
                <w:webHidden/>
              </w:rPr>
              <w:fldChar w:fldCharType="separate"/>
            </w:r>
            <w:r>
              <w:rPr>
                <w:noProof/>
                <w:webHidden/>
              </w:rPr>
              <w:t>1146</w:t>
            </w:r>
            <w:r>
              <w:rPr>
                <w:noProof/>
                <w:webHidden/>
              </w:rPr>
              <w:fldChar w:fldCharType="end"/>
            </w:r>
          </w:hyperlink>
        </w:p>
        <w:p w14:paraId="3306D0F3" w14:textId="3A83031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68" w:history="1">
            <w:r w:rsidRPr="00F45DCA">
              <w:rPr>
                <w:rStyle w:val="Lienhypertexte"/>
                <w:noProof/>
              </w:rPr>
              <w:t>26.41.2 Isolation en panneaux - matières minérales CCTB 01.02</w:t>
            </w:r>
            <w:r>
              <w:rPr>
                <w:noProof/>
                <w:webHidden/>
              </w:rPr>
              <w:tab/>
            </w:r>
            <w:r>
              <w:rPr>
                <w:noProof/>
                <w:webHidden/>
              </w:rPr>
              <w:fldChar w:fldCharType="begin"/>
            </w:r>
            <w:r>
              <w:rPr>
                <w:noProof/>
                <w:webHidden/>
              </w:rPr>
              <w:instrText xml:space="preserve"> PAGEREF _Toc220496868 \h </w:instrText>
            </w:r>
            <w:r>
              <w:rPr>
                <w:noProof/>
                <w:webHidden/>
              </w:rPr>
            </w:r>
            <w:r>
              <w:rPr>
                <w:noProof/>
                <w:webHidden/>
              </w:rPr>
              <w:fldChar w:fldCharType="separate"/>
            </w:r>
            <w:r>
              <w:rPr>
                <w:noProof/>
                <w:webHidden/>
              </w:rPr>
              <w:t>1146</w:t>
            </w:r>
            <w:r>
              <w:rPr>
                <w:noProof/>
                <w:webHidden/>
              </w:rPr>
              <w:fldChar w:fldCharType="end"/>
            </w:r>
          </w:hyperlink>
        </w:p>
        <w:p w14:paraId="278ACF06" w14:textId="1F457AF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69" w:history="1">
            <w:r w:rsidRPr="00F45DCA">
              <w:rPr>
                <w:rStyle w:val="Lienhypertexte"/>
                <w:noProof/>
              </w:rPr>
              <w:t>26.41.2a Isolation en panneaux - laine minérale (MW) CCTB 01.13</w:t>
            </w:r>
            <w:r>
              <w:rPr>
                <w:noProof/>
                <w:webHidden/>
              </w:rPr>
              <w:tab/>
            </w:r>
            <w:r>
              <w:rPr>
                <w:noProof/>
                <w:webHidden/>
              </w:rPr>
              <w:fldChar w:fldCharType="begin"/>
            </w:r>
            <w:r>
              <w:rPr>
                <w:noProof/>
                <w:webHidden/>
              </w:rPr>
              <w:instrText xml:space="preserve"> PAGEREF _Toc220496869 \h </w:instrText>
            </w:r>
            <w:r>
              <w:rPr>
                <w:noProof/>
                <w:webHidden/>
              </w:rPr>
            </w:r>
            <w:r>
              <w:rPr>
                <w:noProof/>
                <w:webHidden/>
              </w:rPr>
              <w:fldChar w:fldCharType="separate"/>
            </w:r>
            <w:r>
              <w:rPr>
                <w:noProof/>
                <w:webHidden/>
              </w:rPr>
              <w:t>1146</w:t>
            </w:r>
            <w:r>
              <w:rPr>
                <w:noProof/>
                <w:webHidden/>
              </w:rPr>
              <w:fldChar w:fldCharType="end"/>
            </w:r>
          </w:hyperlink>
        </w:p>
        <w:p w14:paraId="1334DD5E" w14:textId="56D731E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70" w:history="1">
            <w:r w:rsidRPr="00F45DCA">
              <w:rPr>
                <w:rStyle w:val="Lienhypertexte"/>
                <w:noProof/>
              </w:rPr>
              <w:t>26.41.2b Isolation en panneaux - verre cellulaire (CG) CCTB 01.11</w:t>
            </w:r>
            <w:r>
              <w:rPr>
                <w:noProof/>
                <w:webHidden/>
              </w:rPr>
              <w:tab/>
            </w:r>
            <w:r>
              <w:rPr>
                <w:noProof/>
                <w:webHidden/>
              </w:rPr>
              <w:fldChar w:fldCharType="begin"/>
            </w:r>
            <w:r>
              <w:rPr>
                <w:noProof/>
                <w:webHidden/>
              </w:rPr>
              <w:instrText xml:space="preserve"> PAGEREF _Toc220496870 \h </w:instrText>
            </w:r>
            <w:r>
              <w:rPr>
                <w:noProof/>
                <w:webHidden/>
              </w:rPr>
            </w:r>
            <w:r>
              <w:rPr>
                <w:noProof/>
                <w:webHidden/>
              </w:rPr>
              <w:fldChar w:fldCharType="separate"/>
            </w:r>
            <w:r>
              <w:rPr>
                <w:noProof/>
                <w:webHidden/>
              </w:rPr>
              <w:t>1149</w:t>
            </w:r>
            <w:r>
              <w:rPr>
                <w:noProof/>
                <w:webHidden/>
              </w:rPr>
              <w:fldChar w:fldCharType="end"/>
            </w:r>
          </w:hyperlink>
        </w:p>
        <w:p w14:paraId="6E1D1DDC" w14:textId="4F4FC7A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71" w:history="1">
            <w:r w:rsidRPr="00F45DCA">
              <w:rPr>
                <w:rStyle w:val="Lienhypertexte"/>
                <w:noProof/>
              </w:rPr>
              <w:t>26.41.2c Isolation en panneaux - perlite expansée (EPB) CCTB 01.11</w:t>
            </w:r>
            <w:r>
              <w:rPr>
                <w:noProof/>
                <w:webHidden/>
              </w:rPr>
              <w:tab/>
            </w:r>
            <w:r>
              <w:rPr>
                <w:noProof/>
                <w:webHidden/>
              </w:rPr>
              <w:fldChar w:fldCharType="begin"/>
            </w:r>
            <w:r>
              <w:rPr>
                <w:noProof/>
                <w:webHidden/>
              </w:rPr>
              <w:instrText xml:space="preserve"> PAGEREF _Toc220496871 \h </w:instrText>
            </w:r>
            <w:r>
              <w:rPr>
                <w:noProof/>
                <w:webHidden/>
              </w:rPr>
            </w:r>
            <w:r>
              <w:rPr>
                <w:noProof/>
                <w:webHidden/>
              </w:rPr>
              <w:fldChar w:fldCharType="separate"/>
            </w:r>
            <w:r>
              <w:rPr>
                <w:noProof/>
                <w:webHidden/>
              </w:rPr>
              <w:t>1150</w:t>
            </w:r>
            <w:r>
              <w:rPr>
                <w:noProof/>
                <w:webHidden/>
              </w:rPr>
              <w:fldChar w:fldCharType="end"/>
            </w:r>
          </w:hyperlink>
        </w:p>
        <w:p w14:paraId="6E0F8265" w14:textId="505CDDC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72" w:history="1">
            <w:r w:rsidRPr="00F45DCA">
              <w:rPr>
                <w:rStyle w:val="Lienhypertexte"/>
                <w:noProof/>
              </w:rPr>
              <w:t>26.41.2d (titre réservé) CCTB 01.04</w:t>
            </w:r>
            <w:r>
              <w:rPr>
                <w:noProof/>
                <w:webHidden/>
              </w:rPr>
              <w:tab/>
            </w:r>
            <w:r>
              <w:rPr>
                <w:noProof/>
                <w:webHidden/>
              </w:rPr>
              <w:fldChar w:fldCharType="begin"/>
            </w:r>
            <w:r>
              <w:rPr>
                <w:noProof/>
                <w:webHidden/>
              </w:rPr>
              <w:instrText xml:space="preserve"> PAGEREF _Toc220496872 \h </w:instrText>
            </w:r>
            <w:r>
              <w:rPr>
                <w:noProof/>
                <w:webHidden/>
              </w:rPr>
            </w:r>
            <w:r>
              <w:rPr>
                <w:noProof/>
                <w:webHidden/>
              </w:rPr>
              <w:fldChar w:fldCharType="separate"/>
            </w:r>
            <w:r>
              <w:rPr>
                <w:noProof/>
                <w:webHidden/>
              </w:rPr>
              <w:t>1151</w:t>
            </w:r>
            <w:r>
              <w:rPr>
                <w:noProof/>
                <w:webHidden/>
              </w:rPr>
              <w:fldChar w:fldCharType="end"/>
            </w:r>
          </w:hyperlink>
        </w:p>
        <w:p w14:paraId="640A5819" w14:textId="09756A7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73" w:history="1">
            <w:r w:rsidRPr="00F45DCA">
              <w:rPr>
                <w:rStyle w:val="Lienhypertexte"/>
                <w:noProof/>
              </w:rPr>
              <w:t>26.41.2e (titre réservé) CCTB 01.04</w:t>
            </w:r>
            <w:r>
              <w:rPr>
                <w:noProof/>
                <w:webHidden/>
              </w:rPr>
              <w:tab/>
            </w:r>
            <w:r>
              <w:rPr>
                <w:noProof/>
                <w:webHidden/>
              </w:rPr>
              <w:fldChar w:fldCharType="begin"/>
            </w:r>
            <w:r>
              <w:rPr>
                <w:noProof/>
                <w:webHidden/>
              </w:rPr>
              <w:instrText xml:space="preserve"> PAGEREF _Toc220496873 \h </w:instrText>
            </w:r>
            <w:r>
              <w:rPr>
                <w:noProof/>
                <w:webHidden/>
              </w:rPr>
            </w:r>
            <w:r>
              <w:rPr>
                <w:noProof/>
                <w:webHidden/>
              </w:rPr>
              <w:fldChar w:fldCharType="separate"/>
            </w:r>
            <w:r>
              <w:rPr>
                <w:noProof/>
                <w:webHidden/>
              </w:rPr>
              <w:t>1151</w:t>
            </w:r>
            <w:r>
              <w:rPr>
                <w:noProof/>
                <w:webHidden/>
              </w:rPr>
              <w:fldChar w:fldCharType="end"/>
            </w:r>
          </w:hyperlink>
        </w:p>
        <w:p w14:paraId="7BE29736" w14:textId="0589DB1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74" w:history="1">
            <w:r w:rsidRPr="00F45DCA">
              <w:rPr>
                <w:rStyle w:val="Lienhypertexte"/>
                <w:noProof/>
              </w:rPr>
              <w:t>26.41.2f (titre réservé) CCTB 01.04</w:t>
            </w:r>
            <w:r>
              <w:rPr>
                <w:noProof/>
                <w:webHidden/>
              </w:rPr>
              <w:tab/>
            </w:r>
            <w:r>
              <w:rPr>
                <w:noProof/>
                <w:webHidden/>
              </w:rPr>
              <w:fldChar w:fldCharType="begin"/>
            </w:r>
            <w:r>
              <w:rPr>
                <w:noProof/>
                <w:webHidden/>
              </w:rPr>
              <w:instrText xml:space="preserve"> PAGEREF _Toc220496874 \h </w:instrText>
            </w:r>
            <w:r>
              <w:rPr>
                <w:noProof/>
                <w:webHidden/>
              </w:rPr>
            </w:r>
            <w:r>
              <w:rPr>
                <w:noProof/>
                <w:webHidden/>
              </w:rPr>
              <w:fldChar w:fldCharType="separate"/>
            </w:r>
            <w:r>
              <w:rPr>
                <w:noProof/>
                <w:webHidden/>
              </w:rPr>
              <w:t>1151</w:t>
            </w:r>
            <w:r>
              <w:rPr>
                <w:noProof/>
                <w:webHidden/>
              </w:rPr>
              <w:fldChar w:fldCharType="end"/>
            </w:r>
          </w:hyperlink>
        </w:p>
        <w:p w14:paraId="3ECFF48B" w14:textId="03254C6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75" w:history="1">
            <w:r w:rsidRPr="00F45DCA">
              <w:rPr>
                <w:rStyle w:val="Lienhypertexte"/>
                <w:noProof/>
              </w:rPr>
              <w:t>26.41.2g (titre réservé) CCTB 01.04</w:t>
            </w:r>
            <w:r>
              <w:rPr>
                <w:noProof/>
                <w:webHidden/>
              </w:rPr>
              <w:tab/>
            </w:r>
            <w:r>
              <w:rPr>
                <w:noProof/>
                <w:webHidden/>
              </w:rPr>
              <w:fldChar w:fldCharType="begin"/>
            </w:r>
            <w:r>
              <w:rPr>
                <w:noProof/>
                <w:webHidden/>
              </w:rPr>
              <w:instrText xml:space="preserve"> PAGEREF _Toc220496875 \h </w:instrText>
            </w:r>
            <w:r>
              <w:rPr>
                <w:noProof/>
                <w:webHidden/>
              </w:rPr>
            </w:r>
            <w:r>
              <w:rPr>
                <w:noProof/>
                <w:webHidden/>
              </w:rPr>
              <w:fldChar w:fldCharType="separate"/>
            </w:r>
            <w:r>
              <w:rPr>
                <w:noProof/>
                <w:webHidden/>
              </w:rPr>
              <w:t>1151</w:t>
            </w:r>
            <w:r>
              <w:rPr>
                <w:noProof/>
                <w:webHidden/>
              </w:rPr>
              <w:fldChar w:fldCharType="end"/>
            </w:r>
          </w:hyperlink>
        </w:p>
        <w:p w14:paraId="4AE55123" w14:textId="32938A9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76" w:history="1">
            <w:r w:rsidRPr="00F45DCA">
              <w:rPr>
                <w:rStyle w:val="Lienhypertexte"/>
                <w:noProof/>
              </w:rPr>
              <w:t>26.41.3 Isolation en panneaux - matières végétales CCTB 01.11</w:t>
            </w:r>
            <w:r>
              <w:rPr>
                <w:noProof/>
                <w:webHidden/>
              </w:rPr>
              <w:tab/>
            </w:r>
            <w:r>
              <w:rPr>
                <w:noProof/>
                <w:webHidden/>
              </w:rPr>
              <w:fldChar w:fldCharType="begin"/>
            </w:r>
            <w:r>
              <w:rPr>
                <w:noProof/>
                <w:webHidden/>
              </w:rPr>
              <w:instrText xml:space="preserve"> PAGEREF _Toc220496876 \h </w:instrText>
            </w:r>
            <w:r>
              <w:rPr>
                <w:noProof/>
                <w:webHidden/>
              </w:rPr>
            </w:r>
            <w:r>
              <w:rPr>
                <w:noProof/>
                <w:webHidden/>
              </w:rPr>
              <w:fldChar w:fldCharType="separate"/>
            </w:r>
            <w:r>
              <w:rPr>
                <w:noProof/>
                <w:webHidden/>
              </w:rPr>
              <w:t>1151</w:t>
            </w:r>
            <w:r>
              <w:rPr>
                <w:noProof/>
                <w:webHidden/>
              </w:rPr>
              <w:fldChar w:fldCharType="end"/>
            </w:r>
          </w:hyperlink>
        </w:p>
        <w:p w14:paraId="5A6680FB" w14:textId="5159676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77" w:history="1">
            <w:r w:rsidRPr="00F45DCA">
              <w:rPr>
                <w:rStyle w:val="Lienhypertexte"/>
                <w:noProof/>
              </w:rPr>
              <w:t>26.41.3a Isolation en panneaux - liège expansé (ICB) CCTB 01.04</w:t>
            </w:r>
            <w:r>
              <w:rPr>
                <w:noProof/>
                <w:webHidden/>
              </w:rPr>
              <w:tab/>
            </w:r>
            <w:r>
              <w:rPr>
                <w:noProof/>
                <w:webHidden/>
              </w:rPr>
              <w:fldChar w:fldCharType="begin"/>
            </w:r>
            <w:r>
              <w:rPr>
                <w:noProof/>
                <w:webHidden/>
              </w:rPr>
              <w:instrText xml:space="preserve"> PAGEREF _Toc220496877 \h </w:instrText>
            </w:r>
            <w:r>
              <w:rPr>
                <w:noProof/>
                <w:webHidden/>
              </w:rPr>
            </w:r>
            <w:r>
              <w:rPr>
                <w:noProof/>
                <w:webHidden/>
              </w:rPr>
              <w:fldChar w:fldCharType="separate"/>
            </w:r>
            <w:r>
              <w:rPr>
                <w:noProof/>
                <w:webHidden/>
              </w:rPr>
              <w:t>1151</w:t>
            </w:r>
            <w:r>
              <w:rPr>
                <w:noProof/>
                <w:webHidden/>
              </w:rPr>
              <w:fldChar w:fldCharType="end"/>
            </w:r>
          </w:hyperlink>
        </w:p>
        <w:p w14:paraId="296F1226" w14:textId="0F56DD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78" w:history="1">
            <w:r w:rsidRPr="00F45DCA">
              <w:rPr>
                <w:rStyle w:val="Lienhypertexte"/>
                <w:noProof/>
              </w:rPr>
              <w:t>26.41.3b (titre réservé) CCTB 01.04</w:t>
            </w:r>
            <w:r>
              <w:rPr>
                <w:noProof/>
                <w:webHidden/>
              </w:rPr>
              <w:tab/>
            </w:r>
            <w:r>
              <w:rPr>
                <w:noProof/>
                <w:webHidden/>
              </w:rPr>
              <w:fldChar w:fldCharType="begin"/>
            </w:r>
            <w:r>
              <w:rPr>
                <w:noProof/>
                <w:webHidden/>
              </w:rPr>
              <w:instrText xml:space="preserve"> PAGEREF _Toc220496878 \h </w:instrText>
            </w:r>
            <w:r>
              <w:rPr>
                <w:noProof/>
                <w:webHidden/>
              </w:rPr>
            </w:r>
            <w:r>
              <w:rPr>
                <w:noProof/>
                <w:webHidden/>
              </w:rPr>
              <w:fldChar w:fldCharType="separate"/>
            </w:r>
            <w:r>
              <w:rPr>
                <w:noProof/>
                <w:webHidden/>
              </w:rPr>
              <w:t>1152</w:t>
            </w:r>
            <w:r>
              <w:rPr>
                <w:noProof/>
                <w:webHidden/>
              </w:rPr>
              <w:fldChar w:fldCharType="end"/>
            </w:r>
          </w:hyperlink>
        </w:p>
        <w:p w14:paraId="2518040A" w14:textId="02F5CFB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79" w:history="1">
            <w:r w:rsidRPr="00F45DCA">
              <w:rPr>
                <w:rStyle w:val="Lienhypertexte"/>
                <w:noProof/>
              </w:rPr>
              <w:t>26.41.3c Isolation en panneaux - fibres de bois (WF) CCTB 01.11</w:t>
            </w:r>
            <w:r>
              <w:rPr>
                <w:noProof/>
                <w:webHidden/>
              </w:rPr>
              <w:tab/>
            </w:r>
            <w:r>
              <w:rPr>
                <w:noProof/>
                <w:webHidden/>
              </w:rPr>
              <w:fldChar w:fldCharType="begin"/>
            </w:r>
            <w:r>
              <w:rPr>
                <w:noProof/>
                <w:webHidden/>
              </w:rPr>
              <w:instrText xml:space="preserve"> PAGEREF _Toc220496879 \h </w:instrText>
            </w:r>
            <w:r>
              <w:rPr>
                <w:noProof/>
                <w:webHidden/>
              </w:rPr>
            </w:r>
            <w:r>
              <w:rPr>
                <w:noProof/>
                <w:webHidden/>
              </w:rPr>
              <w:fldChar w:fldCharType="separate"/>
            </w:r>
            <w:r>
              <w:rPr>
                <w:noProof/>
                <w:webHidden/>
              </w:rPr>
              <w:t>1152</w:t>
            </w:r>
            <w:r>
              <w:rPr>
                <w:noProof/>
                <w:webHidden/>
              </w:rPr>
              <w:fldChar w:fldCharType="end"/>
            </w:r>
          </w:hyperlink>
        </w:p>
        <w:p w14:paraId="255FAB02" w14:textId="31754A8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80" w:history="1">
            <w:r w:rsidRPr="00F45DCA">
              <w:rPr>
                <w:rStyle w:val="Lienhypertexte"/>
                <w:noProof/>
              </w:rPr>
              <w:t>26.41.3d Isolation en panneaux - cellulose CCTB 01.11</w:t>
            </w:r>
            <w:r>
              <w:rPr>
                <w:noProof/>
                <w:webHidden/>
              </w:rPr>
              <w:tab/>
            </w:r>
            <w:r>
              <w:rPr>
                <w:noProof/>
                <w:webHidden/>
              </w:rPr>
              <w:fldChar w:fldCharType="begin"/>
            </w:r>
            <w:r>
              <w:rPr>
                <w:noProof/>
                <w:webHidden/>
              </w:rPr>
              <w:instrText xml:space="preserve"> PAGEREF _Toc220496880 \h </w:instrText>
            </w:r>
            <w:r>
              <w:rPr>
                <w:noProof/>
                <w:webHidden/>
              </w:rPr>
            </w:r>
            <w:r>
              <w:rPr>
                <w:noProof/>
                <w:webHidden/>
              </w:rPr>
              <w:fldChar w:fldCharType="separate"/>
            </w:r>
            <w:r>
              <w:rPr>
                <w:noProof/>
                <w:webHidden/>
              </w:rPr>
              <w:t>1153</w:t>
            </w:r>
            <w:r>
              <w:rPr>
                <w:noProof/>
                <w:webHidden/>
              </w:rPr>
              <w:fldChar w:fldCharType="end"/>
            </w:r>
          </w:hyperlink>
        </w:p>
        <w:p w14:paraId="6230281E" w14:textId="6E9C8BD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81" w:history="1">
            <w:r w:rsidRPr="00F45DCA">
              <w:rPr>
                <w:rStyle w:val="Lienhypertexte"/>
                <w:noProof/>
              </w:rPr>
              <w:t>26.41.3e Isolation en panneaux - laine de chanvre CCTB 01.11</w:t>
            </w:r>
            <w:r>
              <w:rPr>
                <w:noProof/>
                <w:webHidden/>
              </w:rPr>
              <w:tab/>
            </w:r>
            <w:r>
              <w:rPr>
                <w:noProof/>
                <w:webHidden/>
              </w:rPr>
              <w:fldChar w:fldCharType="begin"/>
            </w:r>
            <w:r>
              <w:rPr>
                <w:noProof/>
                <w:webHidden/>
              </w:rPr>
              <w:instrText xml:space="preserve"> PAGEREF _Toc220496881 \h </w:instrText>
            </w:r>
            <w:r>
              <w:rPr>
                <w:noProof/>
                <w:webHidden/>
              </w:rPr>
            </w:r>
            <w:r>
              <w:rPr>
                <w:noProof/>
                <w:webHidden/>
              </w:rPr>
              <w:fldChar w:fldCharType="separate"/>
            </w:r>
            <w:r>
              <w:rPr>
                <w:noProof/>
                <w:webHidden/>
              </w:rPr>
              <w:t>1154</w:t>
            </w:r>
            <w:r>
              <w:rPr>
                <w:noProof/>
                <w:webHidden/>
              </w:rPr>
              <w:fldChar w:fldCharType="end"/>
            </w:r>
          </w:hyperlink>
        </w:p>
        <w:p w14:paraId="6C7FF02C" w14:textId="371D91D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82" w:history="1">
            <w:r w:rsidRPr="00F45DCA">
              <w:rPr>
                <w:rStyle w:val="Lienhypertexte"/>
                <w:noProof/>
              </w:rPr>
              <w:t>26.41.3f (titre réservé) CCTB 01.04</w:t>
            </w:r>
            <w:r>
              <w:rPr>
                <w:noProof/>
                <w:webHidden/>
              </w:rPr>
              <w:tab/>
            </w:r>
            <w:r>
              <w:rPr>
                <w:noProof/>
                <w:webHidden/>
              </w:rPr>
              <w:fldChar w:fldCharType="begin"/>
            </w:r>
            <w:r>
              <w:rPr>
                <w:noProof/>
                <w:webHidden/>
              </w:rPr>
              <w:instrText xml:space="preserve"> PAGEREF _Toc220496882 \h </w:instrText>
            </w:r>
            <w:r>
              <w:rPr>
                <w:noProof/>
                <w:webHidden/>
              </w:rPr>
            </w:r>
            <w:r>
              <w:rPr>
                <w:noProof/>
                <w:webHidden/>
              </w:rPr>
              <w:fldChar w:fldCharType="separate"/>
            </w:r>
            <w:r>
              <w:rPr>
                <w:noProof/>
                <w:webHidden/>
              </w:rPr>
              <w:t>1154</w:t>
            </w:r>
            <w:r>
              <w:rPr>
                <w:noProof/>
                <w:webHidden/>
              </w:rPr>
              <w:fldChar w:fldCharType="end"/>
            </w:r>
          </w:hyperlink>
        </w:p>
        <w:p w14:paraId="032DA9B2" w14:textId="483677F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83" w:history="1">
            <w:r w:rsidRPr="00F45DCA">
              <w:rPr>
                <w:rStyle w:val="Lienhypertexte"/>
                <w:noProof/>
              </w:rPr>
              <w:t>26.41.3g (titre réservé) CCTB 01.04</w:t>
            </w:r>
            <w:r>
              <w:rPr>
                <w:noProof/>
                <w:webHidden/>
              </w:rPr>
              <w:tab/>
            </w:r>
            <w:r>
              <w:rPr>
                <w:noProof/>
                <w:webHidden/>
              </w:rPr>
              <w:fldChar w:fldCharType="begin"/>
            </w:r>
            <w:r>
              <w:rPr>
                <w:noProof/>
                <w:webHidden/>
              </w:rPr>
              <w:instrText xml:space="preserve"> PAGEREF _Toc220496883 \h </w:instrText>
            </w:r>
            <w:r>
              <w:rPr>
                <w:noProof/>
                <w:webHidden/>
              </w:rPr>
            </w:r>
            <w:r>
              <w:rPr>
                <w:noProof/>
                <w:webHidden/>
              </w:rPr>
              <w:fldChar w:fldCharType="separate"/>
            </w:r>
            <w:r>
              <w:rPr>
                <w:noProof/>
                <w:webHidden/>
              </w:rPr>
              <w:t>1154</w:t>
            </w:r>
            <w:r>
              <w:rPr>
                <w:noProof/>
                <w:webHidden/>
              </w:rPr>
              <w:fldChar w:fldCharType="end"/>
            </w:r>
          </w:hyperlink>
        </w:p>
        <w:p w14:paraId="09D3BFC0" w14:textId="1630794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84" w:history="1">
            <w:r w:rsidRPr="00F45DCA">
              <w:rPr>
                <w:rStyle w:val="Lienhypertexte"/>
                <w:noProof/>
              </w:rPr>
              <w:t>26.41.3h (titre réservé) CCTB 01.04</w:t>
            </w:r>
            <w:r>
              <w:rPr>
                <w:noProof/>
                <w:webHidden/>
              </w:rPr>
              <w:tab/>
            </w:r>
            <w:r>
              <w:rPr>
                <w:noProof/>
                <w:webHidden/>
              </w:rPr>
              <w:fldChar w:fldCharType="begin"/>
            </w:r>
            <w:r>
              <w:rPr>
                <w:noProof/>
                <w:webHidden/>
              </w:rPr>
              <w:instrText xml:space="preserve"> PAGEREF _Toc220496884 \h </w:instrText>
            </w:r>
            <w:r>
              <w:rPr>
                <w:noProof/>
                <w:webHidden/>
              </w:rPr>
            </w:r>
            <w:r>
              <w:rPr>
                <w:noProof/>
                <w:webHidden/>
              </w:rPr>
              <w:fldChar w:fldCharType="separate"/>
            </w:r>
            <w:r>
              <w:rPr>
                <w:noProof/>
                <w:webHidden/>
              </w:rPr>
              <w:t>1154</w:t>
            </w:r>
            <w:r>
              <w:rPr>
                <w:noProof/>
                <w:webHidden/>
              </w:rPr>
              <w:fldChar w:fldCharType="end"/>
            </w:r>
          </w:hyperlink>
        </w:p>
        <w:p w14:paraId="1B6FD111" w14:textId="462FF1B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85" w:history="1">
            <w:r w:rsidRPr="00F45DCA">
              <w:rPr>
                <w:rStyle w:val="Lienhypertexte"/>
                <w:noProof/>
              </w:rPr>
              <w:t>26.41.3i (titre réservé)</w:t>
            </w:r>
            <w:r>
              <w:rPr>
                <w:noProof/>
                <w:webHidden/>
              </w:rPr>
              <w:tab/>
            </w:r>
            <w:r>
              <w:rPr>
                <w:noProof/>
                <w:webHidden/>
              </w:rPr>
              <w:fldChar w:fldCharType="begin"/>
            </w:r>
            <w:r>
              <w:rPr>
                <w:noProof/>
                <w:webHidden/>
              </w:rPr>
              <w:instrText xml:space="preserve"> PAGEREF _Toc220496885 \h </w:instrText>
            </w:r>
            <w:r>
              <w:rPr>
                <w:noProof/>
                <w:webHidden/>
              </w:rPr>
            </w:r>
            <w:r>
              <w:rPr>
                <w:noProof/>
                <w:webHidden/>
              </w:rPr>
              <w:fldChar w:fldCharType="separate"/>
            </w:r>
            <w:r>
              <w:rPr>
                <w:noProof/>
                <w:webHidden/>
              </w:rPr>
              <w:t>1154</w:t>
            </w:r>
            <w:r>
              <w:rPr>
                <w:noProof/>
                <w:webHidden/>
              </w:rPr>
              <w:fldChar w:fldCharType="end"/>
            </w:r>
          </w:hyperlink>
        </w:p>
        <w:p w14:paraId="2BB43902" w14:textId="26B484B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86" w:history="1">
            <w:r w:rsidRPr="00F45DCA">
              <w:rPr>
                <w:rStyle w:val="Lienhypertexte"/>
                <w:noProof/>
              </w:rPr>
              <w:t>26.41.3j (titre réservé)</w:t>
            </w:r>
            <w:r>
              <w:rPr>
                <w:noProof/>
                <w:webHidden/>
              </w:rPr>
              <w:tab/>
            </w:r>
            <w:r>
              <w:rPr>
                <w:noProof/>
                <w:webHidden/>
              </w:rPr>
              <w:fldChar w:fldCharType="begin"/>
            </w:r>
            <w:r>
              <w:rPr>
                <w:noProof/>
                <w:webHidden/>
              </w:rPr>
              <w:instrText xml:space="preserve"> PAGEREF _Toc220496886 \h </w:instrText>
            </w:r>
            <w:r>
              <w:rPr>
                <w:noProof/>
                <w:webHidden/>
              </w:rPr>
            </w:r>
            <w:r>
              <w:rPr>
                <w:noProof/>
                <w:webHidden/>
              </w:rPr>
              <w:fldChar w:fldCharType="separate"/>
            </w:r>
            <w:r>
              <w:rPr>
                <w:noProof/>
                <w:webHidden/>
              </w:rPr>
              <w:t>1154</w:t>
            </w:r>
            <w:r>
              <w:rPr>
                <w:noProof/>
                <w:webHidden/>
              </w:rPr>
              <w:fldChar w:fldCharType="end"/>
            </w:r>
          </w:hyperlink>
        </w:p>
        <w:p w14:paraId="3BFBC307" w14:textId="3EBAB2E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87" w:history="1">
            <w:r w:rsidRPr="00F45DCA">
              <w:rPr>
                <w:rStyle w:val="Lienhypertexte"/>
                <w:noProof/>
              </w:rPr>
              <w:t>26.41.3k (titre réservé)</w:t>
            </w:r>
            <w:r>
              <w:rPr>
                <w:noProof/>
                <w:webHidden/>
              </w:rPr>
              <w:tab/>
            </w:r>
            <w:r>
              <w:rPr>
                <w:noProof/>
                <w:webHidden/>
              </w:rPr>
              <w:fldChar w:fldCharType="begin"/>
            </w:r>
            <w:r>
              <w:rPr>
                <w:noProof/>
                <w:webHidden/>
              </w:rPr>
              <w:instrText xml:space="preserve"> PAGEREF _Toc220496887 \h </w:instrText>
            </w:r>
            <w:r>
              <w:rPr>
                <w:noProof/>
                <w:webHidden/>
              </w:rPr>
            </w:r>
            <w:r>
              <w:rPr>
                <w:noProof/>
                <w:webHidden/>
              </w:rPr>
              <w:fldChar w:fldCharType="separate"/>
            </w:r>
            <w:r>
              <w:rPr>
                <w:noProof/>
                <w:webHidden/>
              </w:rPr>
              <w:t>1154</w:t>
            </w:r>
            <w:r>
              <w:rPr>
                <w:noProof/>
                <w:webHidden/>
              </w:rPr>
              <w:fldChar w:fldCharType="end"/>
            </w:r>
          </w:hyperlink>
        </w:p>
        <w:p w14:paraId="4475B5B4" w14:textId="7310851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88" w:history="1">
            <w:r w:rsidRPr="00F45DCA">
              <w:rPr>
                <w:rStyle w:val="Lienhypertexte"/>
                <w:noProof/>
              </w:rPr>
              <w:t>26.41.3l (titre réservé)</w:t>
            </w:r>
            <w:r>
              <w:rPr>
                <w:noProof/>
                <w:webHidden/>
              </w:rPr>
              <w:tab/>
            </w:r>
            <w:r>
              <w:rPr>
                <w:noProof/>
                <w:webHidden/>
              </w:rPr>
              <w:fldChar w:fldCharType="begin"/>
            </w:r>
            <w:r>
              <w:rPr>
                <w:noProof/>
                <w:webHidden/>
              </w:rPr>
              <w:instrText xml:space="preserve"> PAGEREF _Toc220496888 \h </w:instrText>
            </w:r>
            <w:r>
              <w:rPr>
                <w:noProof/>
                <w:webHidden/>
              </w:rPr>
            </w:r>
            <w:r>
              <w:rPr>
                <w:noProof/>
                <w:webHidden/>
              </w:rPr>
              <w:fldChar w:fldCharType="separate"/>
            </w:r>
            <w:r>
              <w:rPr>
                <w:noProof/>
                <w:webHidden/>
              </w:rPr>
              <w:t>1154</w:t>
            </w:r>
            <w:r>
              <w:rPr>
                <w:noProof/>
                <w:webHidden/>
              </w:rPr>
              <w:fldChar w:fldCharType="end"/>
            </w:r>
          </w:hyperlink>
        </w:p>
        <w:p w14:paraId="72C88790" w14:textId="00D884D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89" w:history="1">
            <w:r w:rsidRPr="00F45DCA">
              <w:rPr>
                <w:rStyle w:val="Lienhypertexte"/>
                <w:noProof/>
              </w:rPr>
              <w:t>26.41.4 (titre réservé) CCTB 01.04</w:t>
            </w:r>
            <w:r>
              <w:rPr>
                <w:noProof/>
                <w:webHidden/>
              </w:rPr>
              <w:tab/>
            </w:r>
            <w:r>
              <w:rPr>
                <w:noProof/>
                <w:webHidden/>
              </w:rPr>
              <w:fldChar w:fldCharType="begin"/>
            </w:r>
            <w:r>
              <w:rPr>
                <w:noProof/>
                <w:webHidden/>
              </w:rPr>
              <w:instrText xml:space="preserve"> PAGEREF _Toc220496889 \h </w:instrText>
            </w:r>
            <w:r>
              <w:rPr>
                <w:noProof/>
                <w:webHidden/>
              </w:rPr>
            </w:r>
            <w:r>
              <w:rPr>
                <w:noProof/>
                <w:webHidden/>
              </w:rPr>
              <w:fldChar w:fldCharType="separate"/>
            </w:r>
            <w:r>
              <w:rPr>
                <w:noProof/>
                <w:webHidden/>
              </w:rPr>
              <w:t>1155</w:t>
            </w:r>
            <w:r>
              <w:rPr>
                <w:noProof/>
                <w:webHidden/>
              </w:rPr>
              <w:fldChar w:fldCharType="end"/>
            </w:r>
          </w:hyperlink>
        </w:p>
        <w:p w14:paraId="1205A2F7" w14:textId="21A82CE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90" w:history="1">
            <w:r w:rsidRPr="00F45DCA">
              <w:rPr>
                <w:rStyle w:val="Lienhypertexte"/>
                <w:noProof/>
              </w:rPr>
              <w:t>26.41.5 (titre réservé) CCTB 01.04</w:t>
            </w:r>
            <w:r>
              <w:rPr>
                <w:noProof/>
                <w:webHidden/>
              </w:rPr>
              <w:tab/>
            </w:r>
            <w:r>
              <w:rPr>
                <w:noProof/>
                <w:webHidden/>
              </w:rPr>
              <w:fldChar w:fldCharType="begin"/>
            </w:r>
            <w:r>
              <w:rPr>
                <w:noProof/>
                <w:webHidden/>
              </w:rPr>
              <w:instrText xml:space="preserve"> PAGEREF _Toc220496890 \h </w:instrText>
            </w:r>
            <w:r>
              <w:rPr>
                <w:noProof/>
                <w:webHidden/>
              </w:rPr>
            </w:r>
            <w:r>
              <w:rPr>
                <w:noProof/>
                <w:webHidden/>
              </w:rPr>
              <w:fldChar w:fldCharType="separate"/>
            </w:r>
            <w:r>
              <w:rPr>
                <w:noProof/>
                <w:webHidden/>
              </w:rPr>
              <w:t>1155</w:t>
            </w:r>
            <w:r>
              <w:rPr>
                <w:noProof/>
                <w:webHidden/>
              </w:rPr>
              <w:fldChar w:fldCharType="end"/>
            </w:r>
          </w:hyperlink>
        </w:p>
        <w:p w14:paraId="7D4996BF" w14:textId="5556D51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91" w:history="1">
            <w:r w:rsidRPr="00F45DCA">
              <w:rPr>
                <w:rStyle w:val="Lienhypertexte"/>
                <w:noProof/>
              </w:rPr>
              <w:t>26.41.6 (titre réservé) CCTB 01.04</w:t>
            </w:r>
            <w:r>
              <w:rPr>
                <w:noProof/>
                <w:webHidden/>
              </w:rPr>
              <w:tab/>
            </w:r>
            <w:r>
              <w:rPr>
                <w:noProof/>
                <w:webHidden/>
              </w:rPr>
              <w:fldChar w:fldCharType="begin"/>
            </w:r>
            <w:r>
              <w:rPr>
                <w:noProof/>
                <w:webHidden/>
              </w:rPr>
              <w:instrText xml:space="preserve"> PAGEREF _Toc220496891 \h </w:instrText>
            </w:r>
            <w:r>
              <w:rPr>
                <w:noProof/>
                <w:webHidden/>
              </w:rPr>
            </w:r>
            <w:r>
              <w:rPr>
                <w:noProof/>
                <w:webHidden/>
              </w:rPr>
              <w:fldChar w:fldCharType="separate"/>
            </w:r>
            <w:r>
              <w:rPr>
                <w:noProof/>
                <w:webHidden/>
              </w:rPr>
              <w:t>1155</w:t>
            </w:r>
            <w:r>
              <w:rPr>
                <w:noProof/>
                <w:webHidden/>
              </w:rPr>
              <w:fldChar w:fldCharType="end"/>
            </w:r>
          </w:hyperlink>
        </w:p>
        <w:p w14:paraId="0B29265C" w14:textId="5E6EFA1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892" w:history="1">
            <w:r w:rsidRPr="00F45DCA">
              <w:rPr>
                <w:rStyle w:val="Lienhypertexte"/>
                <w:noProof/>
              </w:rPr>
              <w:t>26.42 Isolation en rouleaux/matelas CCTB 01.02</w:t>
            </w:r>
            <w:r>
              <w:rPr>
                <w:noProof/>
                <w:webHidden/>
              </w:rPr>
              <w:tab/>
            </w:r>
            <w:r>
              <w:rPr>
                <w:noProof/>
                <w:webHidden/>
              </w:rPr>
              <w:fldChar w:fldCharType="begin"/>
            </w:r>
            <w:r>
              <w:rPr>
                <w:noProof/>
                <w:webHidden/>
              </w:rPr>
              <w:instrText xml:space="preserve"> PAGEREF _Toc220496892 \h </w:instrText>
            </w:r>
            <w:r>
              <w:rPr>
                <w:noProof/>
                <w:webHidden/>
              </w:rPr>
            </w:r>
            <w:r>
              <w:rPr>
                <w:noProof/>
                <w:webHidden/>
              </w:rPr>
              <w:fldChar w:fldCharType="separate"/>
            </w:r>
            <w:r>
              <w:rPr>
                <w:noProof/>
                <w:webHidden/>
              </w:rPr>
              <w:t>1155</w:t>
            </w:r>
            <w:r>
              <w:rPr>
                <w:noProof/>
                <w:webHidden/>
              </w:rPr>
              <w:fldChar w:fldCharType="end"/>
            </w:r>
          </w:hyperlink>
        </w:p>
        <w:p w14:paraId="44B14C65" w14:textId="1142303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93" w:history="1">
            <w:r w:rsidRPr="00F45DCA">
              <w:rPr>
                <w:rStyle w:val="Lienhypertexte"/>
                <w:noProof/>
              </w:rPr>
              <w:t>26.42.1 (titre réservé) CCTB 01.04</w:t>
            </w:r>
            <w:r>
              <w:rPr>
                <w:noProof/>
                <w:webHidden/>
              </w:rPr>
              <w:tab/>
            </w:r>
            <w:r>
              <w:rPr>
                <w:noProof/>
                <w:webHidden/>
              </w:rPr>
              <w:fldChar w:fldCharType="begin"/>
            </w:r>
            <w:r>
              <w:rPr>
                <w:noProof/>
                <w:webHidden/>
              </w:rPr>
              <w:instrText xml:space="preserve"> PAGEREF _Toc220496893 \h </w:instrText>
            </w:r>
            <w:r>
              <w:rPr>
                <w:noProof/>
                <w:webHidden/>
              </w:rPr>
            </w:r>
            <w:r>
              <w:rPr>
                <w:noProof/>
                <w:webHidden/>
              </w:rPr>
              <w:fldChar w:fldCharType="separate"/>
            </w:r>
            <w:r>
              <w:rPr>
                <w:noProof/>
                <w:webHidden/>
              </w:rPr>
              <w:t>1155</w:t>
            </w:r>
            <w:r>
              <w:rPr>
                <w:noProof/>
                <w:webHidden/>
              </w:rPr>
              <w:fldChar w:fldCharType="end"/>
            </w:r>
          </w:hyperlink>
        </w:p>
        <w:p w14:paraId="60CCA8A3" w14:textId="2E08C12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94" w:history="1">
            <w:r w:rsidRPr="00F45DCA">
              <w:rPr>
                <w:rStyle w:val="Lienhypertexte"/>
                <w:noProof/>
              </w:rPr>
              <w:t>26.42.2 Isolation en rouleaux/matelas - matières minérales CCTB 01.04</w:t>
            </w:r>
            <w:r>
              <w:rPr>
                <w:noProof/>
                <w:webHidden/>
              </w:rPr>
              <w:tab/>
            </w:r>
            <w:r>
              <w:rPr>
                <w:noProof/>
                <w:webHidden/>
              </w:rPr>
              <w:fldChar w:fldCharType="begin"/>
            </w:r>
            <w:r>
              <w:rPr>
                <w:noProof/>
                <w:webHidden/>
              </w:rPr>
              <w:instrText xml:space="preserve"> PAGEREF _Toc220496894 \h </w:instrText>
            </w:r>
            <w:r>
              <w:rPr>
                <w:noProof/>
                <w:webHidden/>
              </w:rPr>
            </w:r>
            <w:r>
              <w:rPr>
                <w:noProof/>
                <w:webHidden/>
              </w:rPr>
              <w:fldChar w:fldCharType="separate"/>
            </w:r>
            <w:r>
              <w:rPr>
                <w:noProof/>
                <w:webHidden/>
              </w:rPr>
              <w:t>1155</w:t>
            </w:r>
            <w:r>
              <w:rPr>
                <w:noProof/>
                <w:webHidden/>
              </w:rPr>
              <w:fldChar w:fldCharType="end"/>
            </w:r>
          </w:hyperlink>
        </w:p>
        <w:p w14:paraId="266E6F46" w14:textId="432FB7B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95" w:history="1">
            <w:r w:rsidRPr="00F45DCA">
              <w:rPr>
                <w:rStyle w:val="Lienhypertexte"/>
                <w:noProof/>
              </w:rPr>
              <w:t>26.42.2a Isolation en rouleaux/matelas - laine minérale (MW) CCTB 01.12</w:t>
            </w:r>
            <w:r>
              <w:rPr>
                <w:noProof/>
                <w:webHidden/>
              </w:rPr>
              <w:tab/>
            </w:r>
            <w:r>
              <w:rPr>
                <w:noProof/>
                <w:webHidden/>
              </w:rPr>
              <w:fldChar w:fldCharType="begin"/>
            </w:r>
            <w:r>
              <w:rPr>
                <w:noProof/>
                <w:webHidden/>
              </w:rPr>
              <w:instrText xml:space="preserve"> PAGEREF _Toc220496895 \h </w:instrText>
            </w:r>
            <w:r>
              <w:rPr>
                <w:noProof/>
                <w:webHidden/>
              </w:rPr>
            </w:r>
            <w:r>
              <w:rPr>
                <w:noProof/>
                <w:webHidden/>
              </w:rPr>
              <w:fldChar w:fldCharType="separate"/>
            </w:r>
            <w:r>
              <w:rPr>
                <w:noProof/>
                <w:webHidden/>
              </w:rPr>
              <w:t>1155</w:t>
            </w:r>
            <w:r>
              <w:rPr>
                <w:noProof/>
                <w:webHidden/>
              </w:rPr>
              <w:fldChar w:fldCharType="end"/>
            </w:r>
          </w:hyperlink>
        </w:p>
        <w:p w14:paraId="75AFA625" w14:textId="71B3F1E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896" w:history="1">
            <w:r w:rsidRPr="00F45DCA">
              <w:rPr>
                <w:rStyle w:val="Lienhypertexte"/>
                <w:noProof/>
              </w:rPr>
              <w:t>26.42.3 Isolation en rouleaux/matelas - matières végétales CCTB 01.04</w:t>
            </w:r>
            <w:r>
              <w:rPr>
                <w:noProof/>
                <w:webHidden/>
              </w:rPr>
              <w:tab/>
            </w:r>
            <w:r>
              <w:rPr>
                <w:noProof/>
                <w:webHidden/>
              </w:rPr>
              <w:fldChar w:fldCharType="begin"/>
            </w:r>
            <w:r>
              <w:rPr>
                <w:noProof/>
                <w:webHidden/>
              </w:rPr>
              <w:instrText xml:space="preserve"> PAGEREF _Toc220496896 \h </w:instrText>
            </w:r>
            <w:r>
              <w:rPr>
                <w:noProof/>
                <w:webHidden/>
              </w:rPr>
            </w:r>
            <w:r>
              <w:rPr>
                <w:noProof/>
                <w:webHidden/>
              </w:rPr>
              <w:fldChar w:fldCharType="separate"/>
            </w:r>
            <w:r>
              <w:rPr>
                <w:noProof/>
                <w:webHidden/>
              </w:rPr>
              <w:t>1158</w:t>
            </w:r>
            <w:r>
              <w:rPr>
                <w:noProof/>
                <w:webHidden/>
              </w:rPr>
              <w:fldChar w:fldCharType="end"/>
            </w:r>
          </w:hyperlink>
        </w:p>
        <w:p w14:paraId="6E85D1D9" w14:textId="56B6F83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97" w:history="1">
            <w:r w:rsidRPr="00F45DCA">
              <w:rPr>
                <w:rStyle w:val="Lienhypertexte"/>
                <w:noProof/>
              </w:rPr>
              <w:t>26.42.3a Isolation en rouleaux/matelas - liège (ICB) CCTB 01.11</w:t>
            </w:r>
            <w:r>
              <w:rPr>
                <w:noProof/>
                <w:webHidden/>
              </w:rPr>
              <w:tab/>
            </w:r>
            <w:r>
              <w:rPr>
                <w:noProof/>
                <w:webHidden/>
              </w:rPr>
              <w:fldChar w:fldCharType="begin"/>
            </w:r>
            <w:r>
              <w:rPr>
                <w:noProof/>
                <w:webHidden/>
              </w:rPr>
              <w:instrText xml:space="preserve"> PAGEREF _Toc220496897 \h </w:instrText>
            </w:r>
            <w:r>
              <w:rPr>
                <w:noProof/>
                <w:webHidden/>
              </w:rPr>
            </w:r>
            <w:r>
              <w:rPr>
                <w:noProof/>
                <w:webHidden/>
              </w:rPr>
              <w:fldChar w:fldCharType="separate"/>
            </w:r>
            <w:r>
              <w:rPr>
                <w:noProof/>
                <w:webHidden/>
              </w:rPr>
              <w:t>1158</w:t>
            </w:r>
            <w:r>
              <w:rPr>
                <w:noProof/>
                <w:webHidden/>
              </w:rPr>
              <w:fldChar w:fldCharType="end"/>
            </w:r>
          </w:hyperlink>
        </w:p>
        <w:p w14:paraId="1ED06E24" w14:textId="7748855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98" w:history="1">
            <w:r w:rsidRPr="00F45DCA">
              <w:rPr>
                <w:rStyle w:val="Lienhypertexte"/>
                <w:noProof/>
              </w:rPr>
              <w:t>26.42.3b (titre réservé) CCTB 01.04</w:t>
            </w:r>
            <w:r>
              <w:rPr>
                <w:noProof/>
                <w:webHidden/>
              </w:rPr>
              <w:tab/>
            </w:r>
            <w:r>
              <w:rPr>
                <w:noProof/>
                <w:webHidden/>
              </w:rPr>
              <w:fldChar w:fldCharType="begin"/>
            </w:r>
            <w:r>
              <w:rPr>
                <w:noProof/>
                <w:webHidden/>
              </w:rPr>
              <w:instrText xml:space="preserve"> PAGEREF _Toc220496898 \h </w:instrText>
            </w:r>
            <w:r>
              <w:rPr>
                <w:noProof/>
                <w:webHidden/>
              </w:rPr>
            </w:r>
            <w:r>
              <w:rPr>
                <w:noProof/>
                <w:webHidden/>
              </w:rPr>
              <w:fldChar w:fldCharType="separate"/>
            </w:r>
            <w:r>
              <w:rPr>
                <w:noProof/>
                <w:webHidden/>
              </w:rPr>
              <w:t>1159</w:t>
            </w:r>
            <w:r>
              <w:rPr>
                <w:noProof/>
                <w:webHidden/>
              </w:rPr>
              <w:fldChar w:fldCharType="end"/>
            </w:r>
          </w:hyperlink>
        </w:p>
        <w:p w14:paraId="3D1E1BBE" w14:textId="46CC44C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899" w:history="1">
            <w:r w:rsidRPr="00F45DCA">
              <w:rPr>
                <w:rStyle w:val="Lienhypertexte"/>
                <w:noProof/>
              </w:rPr>
              <w:t>26.42.3c (titre réservé) CCTB 01.04</w:t>
            </w:r>
            <w:r>
              <w:rPr>
                <w:noProof/>
                <w:webHidden/>
              </w:rPr>
              <w:tab/>
            </w:r>
            <w:r>
              <w:rPr>
                <w:noProof/>
                <w:webHidden/>
              </w:rPr>
              <w:fldChar w:fldCharType="begin"/>
            </w:r>
            <w:r>
              <w:rPr>
                <w:noProof/>
                <w:webHidden/>
              </w:rPr>
              <w:instrText xml:space="preserve"> PAGEREF _Toc220496899 \h </w:instrText>
            </w:r>
            <w:r>
              <w:rPr>
                <w:noProof/>
                <w:webHidden/>
              </w:rPr>
            </w:r>
            <w:r>
              <w:rPr>
                <w:noProof/>
                <w:webHidden/>
              </w:rPr>
              <w:fldChar w:fldCharType="separate"/>
            </w:r>
            <w:r>
              <w:rPr>
                <w:noProof/>
                <w:webHidden/>
              </w:rPr>
              <w:t>1159</w:t>
            </w:r>
            <w:r>
              <w:rPr>
                <w:noProof/>
                <w:webHidden/>
              </w:rPr>
              <w:fldChar w:fldCharType="end"/>
            </w:r>
          </w:hyperlink>
        </w:p>
        <w:p w14:paraId="471B187F" w14:textId="07415A9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00" w:history="1">
            <w:r w:rsidRPr="00F45DCA">
              <w:rPr>
                <w:rStyle w:val="Lienhypertexte"/>
                <w:noProof/>
              </w:rPr>
              <w:t>26.42.3d (titre réservé) CCTB 01.04</w:t>
            </w:r>
            <w:r>
              <w:rPr>
                <w:noProof/>
                <w:webHidden/>
              </w:rPr>
              <w:tab/>
            </w:r>
            <w:r>
              <w:rPr>
                <w:noProof/>
                <w:webHidden/>
              </w:rPr>
              <w:fldChar w:fldCharType="begin"/>
            </w:r>
            <w:r>
              <w:rPr>
                <w:noProof/>
                <w:webHidden/>
              </w:rPr>
              <w:instrText xml:space="preserve"> PAGEREF _Toc220496900 \h </w:instrText>
            </w:r>
            <w:r>
              <w:rPr>
                <w:noProof/>
                <w:webHidden/>
              </w:rPr>
            </w:r>
            <w:r>
              <w:rPr>
                <w:noProof/>
                <w:webHidden/>
              </w:rPr>
              <w:fldChar w:fldCharType="separate"/>
            </w:r>
            <w:r>
              <w:rPr>
                <w:noProof/>
                <w:webHidden/>
              </w:rPr>
              <w:t>1159</w:t>
            </w:r>
            <w:r>
              <w:rPr>
                <w:noProof/>
                <w:webHidden/>
              </w:rPr>
              <w:fldChar w:fldCharType="end"/>
            </w:r>
          </w:hyperlink>
        </w:p>
        <w:p w14:paraId="75879D1F" w14:textId="335845D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01" w:history="1">
            <w:r w:rsidRPr="00F45DCA">
              <w:rPr>
                <w:rStyle w:val="Lienhypertexte"/>
                <w:noProof/>
              </w:rPr>
              <w:t>26.42.3e (titre réservé) CCTB 01.04</w:t>
            </w:r>
            <w:r>
              <w:rPr>
                <w:noProof/>
                <w:webHidden/>
              </w:rPr>
              <w:tab/>
            </w:r>
            <w:r>
              <w:rPr>
                <w:noProof/>
                <w:webHidden/>
              </w:rPr>
              <w:fldChar w:fldCharType="begin"/>
            </w:r>
            <w:r>
              <w:rPr>
                <w:noProof/>
                <w:webHidden/>
              </w:rPr>
              <w:instrText xml:space="preserve"> PAGEREF _Toc220496901 \h </w:instrText>
            </w:r>
            <w:r>
              <w:rPr>
                <w:noProof/>
                <w:webHidden/>
              </w:rPr>
            </w:r>
            <w:r>
              <w:rPr>
                <w:noProof/>
                <w:webHidden/>
              </w:rPr>
              <w:fldChar w:fldCharType="separate"/>
            </w:r>
            <w:r>
              <w:rPr>
                <w:noProof/>
                <w:webHidden/>
              </w:rPr>
              <w:t>1159</w:t>
            </w:r>
            <w:r>
              <w:rPr>
                <w:noProof/>
                <w:webHidden/>
              </w:rPr>
              <w:fldChar w:fldCharType="end"/>
            </w:r>
          </w:hyperlink>
        </w:p>
        <w:p w14:paraId="6EA3980F" w14:textId="4F0E60F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02" w:history="1">
            <w:r w:rsidRPr="00F45DCA">
              <w:rPr>
                <w:rStyle w:val="Lienhypertexte"/>
                <w:noProof/>
              </w:rPr>
              <w:t>26.42.3f (titre réservé)</w:t>
            </w:r>
            <w:r>
              <w:rPr>
                <w:noProof/>
                <w:webHidden/>
              </w:rPr>
              <w:tab/>
            </w:r>
            <w:r>
              <w:rPr>
                <w:noProof/>
                <w:webHidden/>
              </w:rPr>
              <w:fldChar w:fldCharType="begin"/>
            </w:r>
            <w:r>
              <w:rPr>
                <w:noProof/>
                <w:webHidden/>
              </w:rPr>
              <w:instrText xml:space="preserve"> PAGEREF _Toc220496902 \h </w:instrText>
            </w:r>
            <w:r>
              <w:rPr>
                <w:noProof/>
                <w:webHidden/>
              </w:rPr>
            </w:r>
            <w:r>
              <w:rPr>
                <w:noProof/>
                <w:webHidden/>
              </w:rPr>
              <w:fldChar w:fldCharType="separate"/>
            </w:r>
            <w:r>
              <w:rPr>
                <w:noProof/>
                <w:webHidden/>
              </w:rPr>
              <w:t>1159</w:t>
            </w:r>
            <w:r>
              <w:rPr>
                <w:noProof/>
                <w:webHidden/>
              </w:rPr>
              <w:fldChar w:fldCharType="end"/>
            </w:r>
          </w:hyperlink>
        </w:p>
        <w:p w14:paraId="150D6393" w14:textId="3B38B3F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03" w:history="1">
            <w:r w:rsidRPr="00F45DCA">
              <w:rPr>
                <w:rStyle w:val="Lienhypertexte"/>
                <w:noProof/>
              </w:rPr>
              <w:t>26.42.3g (titre réservé)</w:t>
            </w:r>
            <w:r>
              <w:rPr>
                <w:noProof/>
                <w:webHidden/>
              </w:rPr>
              <w:tab/>
            </w:r>
            <w:r>
              <w:rPr>
                <w:noProof/>
                <w:webHidden/>
              </w:rPr>
              <w:fldChar w:fldCharType="begin"/>
            </w:r>
            <w:r>
              <w:rPr>
                <w:noProof/>
                <w:webHidden/>
              </w:rPr>
              <w:instrText xml:space="preserve"> PAGEREF _Toc220496903 \h </w:instrText>
            </w:r>
            <w:r>
              <w:rPr>
                <w:noProof/>
                <w:webHidden/>
              </w:rPr>
            </w:r>
            <w:r>
              <w:rPr>
                <w:noProof/>
                <w:webHidden/>
              </w:rPr>
              <w:fldChar w:fldCharType="separate"/>
            </w:r>
            <w:r>
              <w:rPr>
                <w:noProof/>
                <w:webHidden/>
              </w:rPr>
              <w:t>1159</w:t>
            </w:r>
            <w:r>
              <w:rPr>
                <w:noProof/>
                <w:webHidden/>
              </w:rPr>
              <w:fldChar w:fldCharType="end"/>
            </w:r>
          </w:hyperlink>
        </w:p>
        <w:p w14:paraId="3DB1B613" w14:textId="7306421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04" w:history="1">
            <w:r w:rsidRPr="00F45DCA">
              <w:rPr>
                <w:rStyle w:val="Lienhypertexte"/>
                <w:noProof/>
              </w:rPr>
              <w:t>26.42.4 (titre réservé) CCTB 01.04</w:t>
            </w:r>
            <w:r>
              <w:rPr>
                <w:noProof/>
                <w:webHidden/>
              </w:rPr>
              <w:tab/>
            </w:r>
            <w:r>
              <w:rPr>
                <w:noProof/>
                <w:webHidden/>
              </w:rPr>
              <w:fldChar w:fldCharType="begin"/>
            </w:r>
            <w:r>
              <w:rPr>
                <w:noProof/>
                <w:webHidden/>
              </w:rPr>
              <w:instrText xml:space="preserve"> PAGEREF _Toc220496904 \h </w:instrText>
            </w:r>
            <w:r>
              <w:rPr>
                <w:noProof/>
                <w:webHidden/>
              </w:rPr>
            </w:r>
            <w:r>
              <w:rPr>
                <w:noProof/>
                <w:webHidden/>
              </w:rPr>
              <w:fldChar w:fldCharType="separate"/>
            </w:r>
            <w:r>
              <w:rPr>
                <w:noProof/>
                <w:webHidden/>
              </w:rPr>
              <w:t>1159</w:t>
            </w:r>
            <w:r>
              <w:rPr>
                <w:noProof/>
                <w:webHidden/>
              </w:rPr>
              <w:fldChar w:fldCharType="end"/>
            </w:r>
          </w:hyperlink>
        </w:p>
        <w:p w14:paraId="65A2CF2A" w14:textId="6B3E483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05" w:history="1">
            <w:r w:rsidRPr="00F45DCA">
              <w:rPr>
                <w:rStyle w:val="Lienhypertexte"/>
                <w:noProof/>
              </w:rPr>
              <w:t>26.42.5 Isolation en rouleaux/matelas - matières composites CCTB 01.02</w:t>
            </w:r>
            <w:r>
              <w:rPr>
                <w:noProof/>
                <w:webHidden/>
              </w:rPr>
              <w:tab/>
            </w:r>
            <w:r>
              <w:rPr>
                <w:noProof/>
                <w:webHidden/>
              </w:rPr>
              <w:fldChar w:fldCharType="begin"/>
            </w:r>
            <w:r>
              <w:rPr>
                <w:noProof/>
                <w:webHidden/>
              </w:rPr>
              <w:instrText xml:space="preserve"> PAGEREF _Toc220496905 \h </w:instrText>
            </w:r>
            <w:r>
              <w:rPr>
                <w:noProof/>
                <w:webHidden/>
              </w:rPr>
            </w:r>
            <w:r>
              <w:rPr>
                <w:noProof/>
                <w:webHidden/>
              </w:rPr>
              <w:fldChar w:fldCharType="separate"/>
            </w:r>
            <w:r>
              <w:rPr>
                <w:noProof/>
                <w:webHidden/>
              </w:rPr>
              <w:t>1159</w:t>
            </w:r>
            <w:r>
              <w:rPr>
                <w:noProof/>
                <w:webHidden/>
              </w:rPr>
              <w:fldChar w:fldCharType="end"/>
            </w:r>
          </w:hyperlink>
        </w:p>
        <w:p w14:paraId="31F27D6A" w14:textId="71D3EE9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06" w:history="1">
            <w:r w:rsidRPr="00F45DCA">
              <w:rPr>
                <w:rStyle w:val="Lienhypertexte"/>
                <w:noProof/>
              </w:rPr>
              <w:t>26.42.5a Isolation en rouleaux/matelas - matières composites CCTB 01.02</w:t>
            </w:r>
            <w:r>
              <w:rPr>
                <w:noProof/>
                <w:webHidden/>
              </w:rPr>
              <w:tab/>
            </w:r>
            <w:r>
              <w:rPr>
                <w:noProof/>
                <w:webHidden/>
              </w:rPr>
              <w:fldChar w:fldCharType="begin"/>
            </w:r>
            <w:r>
              <w:rPr>
                <w:noProof/>
                <w:webHidden/>
              </w:rPr>
              <w:instrText xml:space="preserve"> PAGEREF _Toc220496906 \h </w:instrText>
            </w:r>
            <w:r>
              <w:rPr>
                <w:noProof/>
                <w:webHidden/>
              </w:rPr>
            </w:r>
            <w:r>
              <w:rPr>
                <w:noProof/>
                <w:webHidden/>
              </w:rPr>
              <w:fldChar w:fldCharType="separate"/>
            </w:r>
            <w:r>
              <w:rPr>
                <w:noProof/>
                <w:webHidden/>
              </w:rPr>
              <w:t>1159</w:t>
            </w:r>
            <w:r>
              <w:rPr>
                <w:noProof/>
                <w:webHidden/>
              </w:rPr>
              <w:fldChar w:fldCharType="end"/>
            </w:r>
          </w:hyperlink>
        </w:p>
        <w:p w14:paraId="3EC2085A" w14:textId="350901C4"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07" w:history="1">
            <w:r w:rsidRPr="00F45DCA">
              <w:rPr>
                <w:rStyle w:val="Lienhypertexte"/>
                <w:noProof/>
              </w:rPr>
              <w:t>26.43 Isolation à projeter CCTB 01.11</w:t>
            </w:r>
            <w:r>
              <w:rPr>
                <w:noProof/>
                <w:webHidden/>
              </w:rPr>
              <w:tab/>
            </w:r>
            <w:r>
              <w:rPr>
                <w:noProof/>
                <w:webHidden/>
              </w:rPr>
              <w:fldChar w:fldCharType="begin"/>
            </w:r>
            <w:r>
              <w:rPr>
                <w:noProof/>
                <w:webHidden/>
              </w:rPr>
              <w:instrText xml:space="preserve"> PAGEREF _Toc220496907 \h </w:instrText>
            </w:r>
            <w:r>
              <w:rPr>
                <w:noProof/>
                <w:webHidden/>
              </w:rPr>
            </w:r>
            <w:r>
              <w:rPr>
                <w:noProof/>
                <w:webHidden/>
              </w:rPr>
              <w:fldChar w:fldCharType="separate"/>
            </w:r>
            <w:r>
              <w:rPr>
                <w:noProof/>
                <w:webHidden/>
              </w:rPr>
              <w:t>1159</w:t>
            </w:r>
            <w:r>
              <w:rPr>
                <w:noProof/>
                <w:webHidden/>
              </w:rPr>
              <w:fldChar w:fldCharType="end"/>
            </w:r>
          </w:hyperlink>
        </w:p>
        <w:p w14:paraId="34C72B0E" w14:textId="42A7C3D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08" w:history="1">
            <w:r w:rsidRPr="00F45DCA">
              <w:rPr>
                <w:rStyle w:val="Lienhypertexte"/>
                <w:noProof/>
              </w:rPr>
              <w:t>26.43.1 Isolation à projeter - matières synthétiques CCTB 01.04</w:t>
            </w:r>
            <w:r>
              <w:rPr>
                <w:noProof/>
                <w:webHidden/>
              </w:rPr>
              <w:tab/>
            </w:r>
            <w:r>
              <w:rPr>
                <w:noProof/>
                <w:webHidden/>
              </w:rPr>
              <w:fldChar w:fldCharType="begin"/>
            </w:r>
            <w:r>
              <w:rPr>
                <w:noProof/>
                <w:webHidden/>
              </w:rPr>
              <w:instrText xml:space="preserve"> PAGEREF _Toc220496908 \h </w:instrText>
            </w:r>
            <w:r>
              <w:rPr>
                <w:noProof/>
                <w:webHidden/>
              </w:rPr>
            </w:r>
            <w:r>
              <w:rPr>
                <w:noProof/>
                <w:webHidden/>
              </w:rPr>
              <w:fldChar w:fldCharType="separate"/>
            </w:r>
            <w:r>
              <w:rPr>
                <w:noProof/>
                <w:webHidden/>
              </w:rPr>
              <w:t>1160</w:t>
            </w:r>
            <w:r>
              <w:rPr>
                <w:noProof/>
                <w:webHidden/>
              </w:rPr>
              <w:fldChar w:fldCharType="end"/>
            </w:r>
          </w:hyperlink>
        </w:p>
        <w:p w14:paraId="57CB8111" w14:textId="54F6E96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09" w:history="1">
            <w:r w:rsidRPr="00F45DCA">
              <w:rPr>
                <w:rStyle w:val="Lienhypertexte"/>
                <w:noProof/>
              </w:rPr>
              <w:t>26.43.1a Isolation à projeter - polyuréthane (PUR) CCTB 01.11</w:t>
            </w:r>
            <w:r>
              <w:rPr>
                <w:noProof/>
                <w:webHidden/>
              </w:rPr>
              <w:tab/>
            </w:r>
            <w:r>
              <w:rPr>
                <w:noProof/>
                <w:webHidden/>
              </w:rPr>
              <w:fldChar w:fldCharType="begin"/>
            </w:r>
            <w:r>
              <w:rPr>
                <w:noProof/>
                <w:webHidden/>
              </w:rPr>
              <w:instrText xml:space="preserve"> PAGEREF _Toc220496909 \h </w:instrText>
            </w:r>
            <w:r>
              <w:rPr>
                <w:noProof/>
                <w:webHidden/>
              </w:rPr>
            </w:r>
            <w:r>
              <w:rPr>
                <w:noProof/>
                <w:webHidden/>
              </w:rPr>
              <w:fldChar w:fldCharType="separate"/>
            </w:r>
            <w:r>
              <w:rPr>
                <w:noProof/>
                <w:webHidden/>
              </w:rPr>
              <w:t>1160</w:t>
            </w:r>
            <w:r>
              <w:rPr>
                <w:noProof/>
                <w:webHidden/>
              </w:rPr>
              <w:fldChar w:fldCharType="end"/>
            </w:r>
          </w:hyperlink>
        </w:p>
        <w:p w14:paraId="35233FDE" w14:textId="22E6A39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10" w:history="1">
            <w:r w:rsidRPr="00F45DCA">
              <w:rPr>
                <w:rStyle w:val="Lienhypertexte"/>
                <w:noProof/>
              </w:rPr>
              <w:t>26.43.1b Isolation à projeter - polyisocyanurate (PIR) CCTB 01.04</w:t>
            </w:r>
            <w:r>
              <w:rPr>
                <w:noProof/>
                <w:webHidden/>
              </w:rPr>
              <w:tab/>
            </w:r>
            <w:r>
              <w:rPr>
                <w:noProof/>
                <w:webHidden/>
              </w:rPr>
              <w:fldChar w:fldCharType="begin"/>
            </w:r>
            <w:r>
              <w:rPr>
                <w:noProof/>
                <w:webHidden/>
              </w:rPr>
              <w:instrText xml:space="preserve"> PAGEREF _Toc220496910 \h </w:instrText>
            </w:r>
            <w:r>
              <w:rPr>
                <w:noProof/>
                <w:webHidden/>
              </w:rPr>
            </w:r>
            <w:r>
              <w:rPr>
                <w:noProof/>
                <w:webHidden/>
              </w:rPr>
              <w:fldChar w:fldCharType="separate"/>
            </w:r>
            <w:r>
              <w:rPr>
                <w:noProof/>
                <w:webHidden/>
              </w:rPr>
              <w:t>1161</w:t>
            </w:r>
            <w:r>
              <w:rPr>
                <w:noProof/>
                <w:webHidden/>
              </w:rPr>
              <w:fldChar w:fldCharType="end"/>
            </w:r>
          </w:hyperlink>
        </w:p>
        <w:p w14:paraId="2456078F" w14:textId="0426BBC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11" w:history="1">
            <w:r w:rsidRPr="00F45DCA">
              <w:rPr>
                <w:rStyle w:val="Lienhypertexte"/>
                <w:noProof/>
              </w:rPr>
              <w:t>26.43.1c Isolation à projeter - mousse phénolique (PF) CCTB 01.02</w:t>
            </w:r>
            <w:r>
              <w:rPr>
                <w:noProof/>
                <w:webHidden/>
              </w:rPr>
              <w:tab/>
            </w:r>
            <w:r>
              <w:rPr>
                <w:noProof/>
                <w:webHidden/>
              </w:rPr>
              <w:fldChar w:fldCharType="begin"/>
            </w:r>
            <w:r>
              <w:rPr>
                <w:noProof/>
                <w:webHidden/>
              </w:rPr>
              <w:instrText xml:space="preserve"> PAGEREF _Toc220496911 \h </w:instrText>
            </w:r>
            <w:r>
              <w:rPr>
                <w:noProof/>
                <w:webHidden/>
              </w:rPr>
            </w:r>
            <w:r>
              <w:rPr>
                <w:noProof/>
                <w:webHidden/>
              </w:rPr>
              <w:fldChar w:fldCharType="separate"/>
            </w:r>
            <w:r>
              <w:rPr>
                <w:noProof/>
                <w:webHidden/>
              </w:rPr>
              <w:t>1161</w:t>
            </w:r>
            <w:r>
              <w:rPr>
                <w:noProof/>
                <w:webHidden/>
              </w:rPr>
              <w:fldChar w:fldCharType="end"/>
            </w:r>
          </w:hyperlink>
        </w:p>
        <w:p w14:paraId="136CBF9C" w14:textId="1573FA5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12" w:history="1">
            <w:r w:rsidRPr="00F45DCA">
              <w:rPr>
                <w:rStyle w:val="Lienhypertexte"/>
                <w:noProof/>
              </w:rPr>
              <w:t>26.43.1d Isolation à projeter - icynène CCTB 01.02</w:t>
            </w:r>
            <w:r>
              <w:rPr>
                <w:noProof/>
                <w:webHidden/>
              </w:rPr>
              <w:tab/>
            </w:r>
            <w:r>
              <w:rPr>
                <w:noProof/>
                <w:webHidden/>
              </w:rPr>
              <w:fldChar w:fldCharType="begin"/>
            </w:r>
            <w:r>
              <w:rPr>
                <w:noProof/>
                <w:webHidden/>
              </w:rPr>
              <w:instrText xml:space="preserve"> PAGEREF _Toc220496912 \h </w:instrText>
            </w:r>
            <w:r>
              <w:rPr>
                <w:noProof/>
                <w:webHidden/>
              </w:rPr>
            </w:r>
            <w:r>
              <w:rPr>
                <w:noProof/>
                <w:webHidden/>
              </w:rPr>
              <w:fldChar w:fldCharType="separate"/>
            </w:r>
            <w:r>
              <w:rPr>
                <w:noProof/>
                <w:webHidden/>
              </w:rPr>
              <w:t>1161</w:t>
            </w:r>
            <w:r>
              <w:rPr>
                <w:noProof/>
                <w:webHidden/>
              </w:rPr>
              <w:fldChar w:fldCharType="end"/>
            </w:r>
          </w:hyperlink>
        </w:p>
        <w:p w14:paraId="4DFF8229" w14:textId="3385FDA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13" w:history="1">
            <w:r w:rsidRPr="00F45DCA">
              <w:rPr>
                <w:rStyle w:val="Lienhypertexte"/>
                <w:noProof/>
              </w:rPr>
              <w:t>26.43.2 Isolation à projeter - matières minérales CCTB 01.04</w:t>
            </w:r>
            <w:r>
              <w:rPr>
                <w:noProof/>
                <w:webHidden/>
              </w:rPr>
              <w:tab/>
            </w:r>
            <w:r>
              <w:rPr>
                <w:noProof/>
                <w:webHidden/>
              </w:rPr>
              <w:fldChar w:fldCharType="begin"/>
            </w:r>
            <w:r>
              <w:rPr>
                <w:noProof/>
                <w:webHidden/>
              </w:rPr>
              <w:instrText xml:space="preserve"> PAGEREF _Toc220496913 \h </w:instrText>
            </w:r>
            <w:r>
              <w:rPr>
                <w:noProof/>
                <w:webHidden/>
              </w:rPr>
            </w:r>
            <w:r>
              <w:rPr>
                <w:noProof/>
                <w:webHidden/>
              </w:rPr>
              <w:fldChar w:fldCharType="separate"/>
            </w:r>
            <w:r>
              <w:rPr>
                <w:noProof/>
                <w:webHidden/>
              </w:rPr>
              <w:t>1161</w:t>
            </w:r>
            <w:r>
              <w:rPr>
                <w:noProof/>
                <w:webHidden/>
              </w:rPr>
              <w:fldChar w:fldCharType="end"/>
            </w:r>
          </w:hyperlink>
        </w:p>
        <w:p w14:paraId="5E314B77" w14:textId="5C83E5C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14" w:history="1">
            <w:r w:rsidRPr="00F45DCA">
              <w:rPr>
                <w:rStyle w:val="Lienhypertexte"/>
                <w:noProof/>
              </w:rPr>
              <w:t>26.43.2a Isolation à projeter - laine de roche (MW) CCTB 01.11</w:t>
            </w:r>
            <w:r>
              <w:rPr>
                <w:noProof/>
                <w:webHidden/>
              </w:rPr>
              <w:tab/>
            </w:r>
            <w:r>
              <w:rPr>
                <w:noProof/>
                <w:webHidden/>
              </w:rPr>
              <w:fldChar w:fldCharType="begin"/>
            </w:r>
            <w:r>
              <w:rPr>
                <w:noProof/>
                <w:webHidden/>
              </w:rPr>
              <w:instrText xml:space="preserve"> PAGEREF _Toc220496914 \h </w:instrText>
            </w:r>
            <w:r>
              <w:rPr>
                <w:noProof/>
                <w:webHidden/>
              </w:rPr>
            </w:r>
            <w:r>
              <w:rPr>
                <w:noProof/>
                <w:webHidden/>
              </w:rPr>
              <w:fldChar w:fldCharType="separate"/>
            </w:r>
            <w:r>
              <w:rPr>
                <w:noProof/>
                <w:webHidden/>
              </w:rPr>
              <w:t>1161</w:t>
            </w:r>
            <w:r>
              <w:rPr>
                <w:noProof/>
                <w:webHidden/>
              </w:rPr>
              <w:fldChar w:fldCharType="end"/>
            </w:r>
          </w:hyperlink>
        </w:p>
        <w:p w14:paraId="2428F5A4" w14:textId="27B8583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15" w:history="1">
            <w:r w:rsidRPr="00F45DCA">
              <w:rPr>
                <w:rStyle w:val="Lienhypertexte"/>
                <w:noProof/>
              </w:rPr>
              <w:t>26.43.2b Isolation à projeter - laine de verre (MW) CCTB 01.13</w:t>
            </w:r>
            <w:r>
              <w:rPr>
                <w:noProof/>
                <w:webHidden/>
              </w:rPr>
              <w:tab/>
            </w:r>
            <w:r>
              <w:rPr>
                <w:noProof/>
                <w:webHidden/>
              </w:rPr>
              <w:fldChar w:fldCharType="begin"/>
            </w:r>
            <w:r>
              <w:rPr>
                <w:noProof/>
                <w:webHidden/>
              </w:rPr>
              <w:instrText xml:space="preserve"> PAGEREF _Toc220496915 \h </w:instrText>
            </w:r>
            <w:r>
              <w:rPr>
                <w:noProof/>
                <w:webHidden/>
              </w:rPr>
            </w:r>
            <w:r>
              <w:rPr>
                <w:noProof/>
                <w:webHidden/>
              </w:rPr>
              <w:fldChar w:fldCharType="separate"/>
            </w:r>
            <w:r>
              <w:rPr>
                <w:noProof/>
                <w:webHidden/>
              </w:rPr>
              <w:t>1163</w:t>
            </w:r>
            <w:r>
              <w:rPr>
                <w:noProof/>
                <w:webHidden/>
              </w:rPr>
              <w:fldChar w:fldCharType="end"/>
            </w:r>
          </w:hyperlink>
        </w:p>
        <w:p w14:paraId="52644D26" w14:textId="00D880C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16" w:history="1">
            <w:r w:rsidRPr="00F45DCA">
              <w:rPr>
                <w:rStyle w:val="Lienhypertexte"/>
                <w:noProof/>
              </w:rPr>
              <w:t>26.43.3 (titre réservé) CCTB 01.04</w:t>
            </w:r>
            <w:r>
              <w:rPr>
                <w:noProof/>
                <w:webHidden/>
              </w:rPr>
              <w:tab/>
            </w:r>
            <w:r>
              <w:rPr>
                <w:noProof/>
                <w:webHidden/>
              </w:rPr>
              <w:fldChar w:fldCharType="begin"/>
            </w:r>
            <w:r>
              <w:rPr>
                <w:noProof/>
                <w:webHidden/>
              </w:rPr>
              <w:instrText xml:space="preserve"> PAGEREF _Toc220496916 \h </w:instrText>
            </w:r>
            <w:r>
              <w:rPr>
                <w:noProof/>
                <w:webHidden/>
              </w:rPr>
            </w:r>
            <w:r>
              <w:rPr>
                <w:noProof/>
                <w:webHidden/>
              </w:rPr>
              <w:fldChar w:fldCharType="separate"/>
            </w:r>
            <w:r>
              <w:rPr>
                <w:noProof/>
                <w:webHidden/>
              </w:rPr>
              <w:t>1165</w:t>
            </w:r>
            <w:r>
              <w:rPr>
                <w:noProof/>
                <w:webHidden/>
              </w:rPr>
              <w:fldChar w:fldCharType="end"/>
            </w:r>
          </w:hyperlink>
        </w:p>
        <w:p w14:paraId="6CF089F6" w14:textId="599DD289"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17" w:history="1">
            <w:r w:rsidRPr="00F45DCA">
              <w:rPr>
                <w:rStyle w:val="Lienhypertexte"/>
                <w:noProof/>
              </w:rPr>
              <w:t>26.44 Isolation à souffler CCTB 01.11</w:t>
            </w:r>
            <w:r>
              <w:rPr>
                <w:noProof/>
                <w:webHidden/>
              </w:rPr>
              <w:tab/>
            </w:r>
            <w:r>
              <w:rPr>
                <w:noProof/>
                <w:webHidden/>
              </w:rPr>
              <w:fldChar w:fldCharType="begin"/>
            </w:r>
            <w:r>
              <w:rPr>
                <w:noProof/>
                <w:webHidden/>
              </w:rPr>
              <w:instrText xml:space="preserve"> PAGEREF _Toc220496917 \h </w:instrText>
            </w:r>
            <w:r>
              <w:rPr>
                <w:noProof/>
                <w:webHidden/>
              </w:rPr>
            </w:r>
            <w:r>
              <w:rPr>
                <w:noProof/>
                <w:webHidden/>
              </w:rPr>
              <w:fldChar w:fldCharType="separate"/>
            </w:r>
            <w:r>
              <w:rPr>
                <w:noProof/>
                <w:webHidden/>
              </w:rPr>
              <w:t>1165</w:t>
            </w:r>
            <w:r>
              <w:rPr>
                <w:noProof/>
                <w:webHidden/>
              </w:rPr>
              <w:fldChar w:fldCharType="end"/>
            </w:r>
          </w:hyperlink>
        </w:p>
        <w:p w14:paraId="62E9966E" w14:textId="7BB0A971"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18" w:history="1">
            <w:r w:rsidRPr="00F45DCA">
              <w:rPr>
                <w:rStyle w:val="Lienhypertexte"/>
                <w:noProof/>
              </w:rPr>
              <w:t>26.44.1 Isolation à souffler - matières synthétiques CCTB 01.04</w:t>
            </w:r>
            <w:r>
              <w:rPr>
                <w:noProof/>
                <w:webHidden/>
              </w:rPr>
              <w:tab/>
            </w:r>
            <w:r>
              <w:rPr>
                <w:noProof/>
                <w:webHidden/>
              </w:rPr>
              <w:fldChar w:fldCharType="begin"/>
            </w:r>
            <w:r>
              <w:rPr>
                <w:noProof/>
                <w:webHidden/>
              </w:rPr>
              <w:instrText xml:space="preserve"> PAGEREF _Toc220496918 \h </w:instrText>
            </w:r>
            <w:r>
              <w:rPr>
                <w:noProof/>
                <w:webHidden/>
              </w:rPr>
            </w:r>
            <w:r>
              <w:rPr>
                <w:noProof/>
                <w:webHidden/>
              </w:rPr>
              <w:fldChar w:fldCharType="separate"/>
            </w:r>
            <w:r>
              <w:rPr>
                <w:noProof/>
                <w:webHidden/>
              </w:rPr>
              <w:t>1166</w:t>
            </w:r>
            <w:r>
              <w:rPr>
                <w:noProof/>
                <w:webHidden/>
              </w:rPr>
              <w:fldChar w:fldCharType="end"/>
            </w:r>
          </w:hyperlink>
        </w:p>
        <w:p w14:paraId="363CE1BD" w14:textId="085D0E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19" w:history="1">
            <w:r w:rsidRPr="00F45DCA">
              <w:rPr>
                <w:rStyle w:val="Lienhypertexte"/>
                <w:noProof/>
              </w:rPr>
              <w:t>26.44.1a Isolation à souffler - polystyrène expansé (EPS) CCTB 01.11</w:t>
            </w:r>
            <w:r>
              <w:rPr>
                <w:noProof/>
                <w:webHidden/>
              </w:rPr>
              <w:tab/>
            </w:r>
            <w:r>
              <w:rPr>
                <w:noProof/>
                <w:webHidden/>
              </w:rPr>
              <w:fldChar w:fldCharType="begin"/>
            </w:r>
            <w:r>
              <w:rPr>
                <w:noProof/>
                <w:webHidden/>
              </w:rPr>
              <w:instrText xml:space="preserve"> PAGEREF _Toc220496919 \h </w:instrText>
            </w:r>
            <w:r>
              <w:rPr>
                <w:noProof/>
                <w:webHidden/>
              </w:rPr>
            </w:r>
            <w:r>
              <w:rPr>
                <w:noProof/>
                <w:webHidden/>
              </w:rPr>
              <w:fldChar w:fldCharType="separate"/>
            </w:r>
            <w:r>
              <w:rPr>
                <w:noProof/>
                <w:webHidden/>
              </w:rPr>
              <w:t>1166</w:t>
            </w:r>
            <w:r>
              <w:rPr>
                <w:noProof/>
                <w:webHidden/>
              </w:rPr>
              <w:fldChar w:fldCharType="end"/>
            </w:r>
          </w:hyperlink>
        </w:p>
        <w:p w14:paraId="58ACD917" w14:textId="20AC9AE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20" w:history="1">
            <w:r w:rsidRPr="00F45DCA">
              <w:rPr>
                <w:rStyle w:val="Lienhypertexte"/>
                <w:noProof/>
              </w:rPr>
              <w:t>26.44.2 Isolation à souffler - matières minérales CCTB 01.04</w:t>
            </w:r>
            <w:r>
              <w:rPr>
                <w:noProof/>
                <w:webHidden/>
              </w:rPr>
              <w:tab/>
            </w:r>
            <w:r>
              <w:rPr>
                <w:noProof/>
                <w:webHidden/>
              </w:rPr>
              <w:fldChar w:fldCharType="begin"/>
            </w:r>
            <w:r>
              <w:rPr>
                <w:noProof/>
                <w:webHidden/>
              </w:rPr>
              <w:instrText xml:space="preserve"> PAGEREF _Toc220496920 \h </w:instrText>
            </w:r>
            <w:r>
              <w:rPr>
                <w:noProof/>
                <w:webHidden/>
              </w:rPr>
            </w:r>
            <w:r>
              <w:rPr>
                <w:noProof/>
                <w:webHidden/>
              </w:rPr>
              <w:fldChar w:fldCharType="separate"/>
            </w:r>
            <w:r>
              <w:rPr>
                <w:noProof/>
                <w:webHidden/>
              </w:rPr>
              <w:t>1167</w:t>
            </w:r>
            <w:r>
              <w:rPr>
                <w:noProof/>
                <w:webHidden/>
              </w:rPr>
              <w:fldChar w:fldCharType="end"/>
            </w:r>
          </w:hyperlink>
        </w:p>
        <w:p w14:paraId="7A11217E" w14:textId="5422DCA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21" w:history="1">
            <w:r w:rsidRPr="00F45DCA">
              <w:rPr>
                <w:rStyle w:val="Lienhypertexte"/>
                <w:noProof/>
              </w:rPr>
              <w:t>26.44.2a Isolation à souffler - laine de verre CCTB 01.11</w:t>
            </w:r>
            <w:r>
              <w:rPr>
                <w:noProof/>
                <w:webHidden/>
              </w:rPr>
              <w:tab/>
            </w:r>
            <w:r>
              <w:rPr>
                <w:noProof/>
                <w:webHidden/>
              </w:rPr>
              <w:fldChar w:fldCharType="begin"/>
            </w:r>
            <w:r>
              <w:rPr>
                <w:noProof/>
                <w:webHidden/>
              </w:rPr>
              <w:instrText xml:space="preserve"> PAGEREF _Toc220496921 \h </w:instrText>
            </w:r>
            <w:r>
              <w:rPr>
                <w:noProof/>
                <w:webHidden/>
              </w:rPr>
            </w:r>
            <w:r>
              <w:rPr>
                <w:noProof/>
                <w:webHidden/>
              </w:rPr>
              <w:fldChar w:fldCharType="separate"/>
            </w:r>
            <w:r>
              <w:rPr>
                <w:noProof/>
                <w:webHidden/>
              </w:rPr>
              <w:t>1167</w:t>
            </w:r>
            <w:r>
              <w:rPr>
                <w:noProof/>
                <w:webHidden/>
              </w:rPr>
              <w:fldChar w:fldCharType="end"/>
            </w:r>
          </w:hyperlink>
        </w:p>
        <w:p w14:paraId="7E3ECC51" w14:textId="2C403B0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22" w:history="1">
            <w:r w:rsidRPr="00F45DCA">
              <w:rPr>
                <w:rStyle w:val="Lienhypertexte"/>
                <w:noProof/>
              </w:rPr>
              <w:t>26.44.2b Isolation à souffler - laine de roche CCTB 01.11</w:t>
            </w:r>
            <w:r>
              <w:rPr>
                <w:noProof/>
                <w:webHidden/>
              </w:rPr>
              <w:tab/>
            </w:r>
            <w:r>
              <w:rPr>
                <w:noProof/>
                <w:webHidden/>
              </w:rPr>
              <w:fldChar w:fldCharType="begin"/>
            </w:r>
            <w:r>
              <w:rPr>
                <w:noProof/>
                <w:webHidden/>
              </w:rPr>
              <w:instrText xml:space="preserve"> PAGEREF _Toc220496922 \h </w:instrText>
            </w:r>
            <w:r>
              <w:rPr>
                <w:noProof/>
                <w:webHidden/>
              </w:rPr>
            </w:r>
            <w:r>
              <w:rPr>
                <w:noProof/>
                <w:webHidden/>
              </w:rPr>
              <w:fldChar w:fldCharType="separate"/>
            </w:r>
            <w:r>
              <w:rPr>
                <w:noProof/>
                <w:webHidden/>
              </w:rPr>
              <w:t>1168</w:t>
            </w:r>
            <w:r>
              <w:rPr>
                <w:noProof/>
                <w:webHidden/>
              </w:rPr>
              <w:fldChar w:fldCharType="end"/>
            </w:r>
          </w:hyperlink>
        </w:p>
        <w:p w14:paraId="4A312ED8" w14:textId="22512C2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23" w:history="1">
            <w:r w:rsidRPr="00F45DCA">
              <w:rPr>
                <w:rStyle w:val="Lienhypertexte"/>
                <w:noProof/>
              </w:rPr>
              <w:t>26.44.2c Isolation à souffler - fibres de verre CCTB 01.04</w:t>
            </w:r>
            <w:r>
              <w:rPr>
                <w:noProof/>
                <w:webHidden/>
              </w:rPr>
              <w:tab/>
            </w:r>
            <w:r>
              <w:rPr>
                <w:noProof/>
                <w:webHidden/>
              </w:rPr>
              <w:fldChar w:fldCharType="begin"/>
            </w:r>
            <w:r>
              <w:rPr>
                <w:noProof/>
                <w:webHidden/>
              </w:rPr>
              <w:instrText xml:space="preserve"> PAGEREF _Toc220496923 \h </w:instrText>
            </w:r>
            <w:r>
              <w:rPr>
                <w:noProof/>
                <w:webHidden/>
              </w:rPr>
            </w:r>
            <w:r>
              <w:rPr>
                <w:noProof/>
                <w:webHidden/>
              </w:rPr>
              <w:fldChar w:fldCharType="separate"/>
            </w:r>
            <w:r>
              <w:rPr>
                <w:noProof/>
                <w:webHidden/>
              </w:rPr>
              <w:t>1169</w:t>
            </w:r>
            <w:r>
              <w:rPr>
                <w:noProof/>
                <w:webHidden/>
              </w:rPr>
              <w:fldChar w:fldCharType="end"/>
            </w:r>
          </w:hyperlink>
        </w:p>
        <w:p w14:paraId="5BDEF234" w14:textId="509C7E5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24" w:history="1">
            <w:r w:rsidRPr="00F45DCA">
              <w:rPr>
                <w:rStyle w:val="Lienhypertexte"/>
                <w:noProof/>
              </w:rPr>
              <w:t>26.44.2d Isolation à souffler - vermiculite expansée CCTB 01.04</w:t>
            </w:r>
            <w:r>
              <w:rPr>
                <w:noProof/>
                <w:webHidden/>
              </w:rPr>
              <w:tab/>
            </w:r>
            <w:r>
              <w:rPr>
                <w:noProof/>
                <w:webHidden/>
              </w:rPr>
              <w:fldChar w:fldCharType="begin"/>
            </w:r>
            <w:r>
              <w:rPr>
                <w:noProof/>
                <w:webHidden/>
              </w:rPr>
              <w:instrText xml:space="preserve"> PAGEREF _Toc220496924 \h </w:instrText>
            </w:r>
            <w:r>
              <w:rPr>
                <w:noProof/>
                <w:webHidden/>
              </w:rPr>
            </w:r>
            <w:r>
              <w:rPr>
                <w:noProof/>
                <w:webHidden/>
              </w:rPr>
              <w:fldChar w:fldCharType="separate"/>
            </w:r>
            <w:r>
              <w:rPr>
                <w:noProof/>
                <w:webHidden/>
              </w:rPr>
              <w:t>1169</w:t>
            </w:r>
            <w:r>
              <w:rPr>
                <w:noProof/>
                <w:webHidden/>
              </w:rPr>
              <w:fldChar w:fldCharType="end"/>
            </w:r>
          </w:hyperlink>
        </w:p>
        <w:p w14:paraId="12FE97A6" w14:textId="46695E7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25" w:history="1">
            <w:r w:rsidRPr="00F45DCA">
              <w:rPr>
                <w:rStyle w:val="Lienhypertexte"/>
                <w:noProof/>
              </w:rPr>
              <w:t>26.44.2e Isolation à souffler - perlite expansée CCTB 01.04</w:t>
            </w:r>
            <w:r>
              <w:rPr>
                <w:noProof/>
                <w:webHidden/>
              </w:rPr>
              <w:tab/>
            </w:r>
            <w:r>
              <w:rPr>
                <w:noProof/>
                <w:webHidden/>
              </w:rPr>
              <w:fldChar w:fldCharType="begin"/>
            </w:r>
            <w:r>
              <w:rPr>
                <w:noProof/>
                <w:webHidden/>
              </w:rPr>
              <w:instrText xml:space="preserve"> PAGEREF _Toc220496925 \h </w:instrText>
            </w:r>
            <w:r>
              <w:rPr>
                <w:noProof/>
                <w:webHidden/>
              </w:rPr>
            </w:r>
            <w:r>
              <w:rPr>
                <w:noProof/>
                <w:webHidden/>
              </w:rPr>
              <w:fldChar w:fldCharType="separate"/>
            </w:r>
            <w:r>
              <w:rPr>
                <w:noProof/>
                <w:webHidden/>
              </w:rPr>
              <w:t>1170</w:t>
            </w:r>
            <w:r>
              <w:rPr>
                <w:noProof/>
                <w:webHidden/>
              </w:rPr>
              <w:fldChar w:fldCharType="end"/>
            </w:r>
          </w:hyperlink>
        </w:p>
        <w:p w14:paraId="4C0C7E37" w14:textId="39135C6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26" w:history="1">
            <w:r w:rsidRPr="00F45DCA">
              <w:rPr>
                <w:rStyle w:val="Lienhypertexte"/>
                <w:noProof/>
              </w:rPr>
              <w:t>26.44.3 Isolation à souffler - matières végétales CCTB 01.04</w:t>
            </w:r>
            <w:r>
              <w:rPr>
                <w:noProof/>
                <w:webHidden/>
              </w:rPr>
              <w:tab/>
            </w:r>
            <w:r>
              <w:rPr>
                <w:noProof/>
                <w:webHidden/>
              </w:rPr>
              <w:fldChar w:fldCharType="begin"/>
            </w:r>
            <w:r>
              <w:rPr>
                <w:noProof/>
                <w:webHidden/>
              </w:rPr>
              <w:instrText xml:space="preserve"> PAGEREF _Toc220496926 \h </w:instrText>
            </w:r>
            <w:r>
              <w:rPr>
                <w:noProof/>
                <w:webHidden/>
              </w:rPr>
            </w:r>
            <w:r>
              <w:rPr>
                <w:noProof/>
                <w:webHidden/>
              </w:rPr>
              <w:fldChar w:fldCharType="separate"/>
            </w:r>
            <w:r>
              <w:rPr>
                <w:noProof/>
                <w:webHidden/>
              </w:rPr>
              <w:t>1171</w:t>
            </w:r>
            <w:r>
              <w:rPr>
                <w:noProof/>
                <w:webHidden/>
              </w:rPr>
              <w:fldChar w:fldCharType="end"/>
            </w:r>
          </w:hyperlink>
        </w:p>
        <w:p w14:paraId="1652E5B1" w14:textId="7B7FC2B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27" w:history="1">
            <w:r w:rsidRPr="00F45DCA">
              <w:rPr>
                <w:rStyle w:val="Lienhypertexte"/>
                <w:noProof/>
              </w:rPr>
              <w:t>26.44.3a (titre réservé) CCTB 01.04</w:t>
            </w:r>
            <w:r>
              <w:rPr>
                <w:noProof/>
                <w:webHidden/>
              </w:rPr>
              <w:tab/>
            </w:r>
            <w:r>
              <w:rPr>
                <w:noProof/>
                <w:webHidden/>
              </w:rPr>
              <w:fldChar w:fldCharType="begin"/>
            </w:r>
            <w:r>
              <w:rPr>
                <w:noProof/>
                <w:webHidden/>
              </w:rPr>
              <w:instrText xml:space="preserve"> PAGEREF _Toc220496927 \h </w:instrText>
            </w:r>
            <w:r>
              <w:rPr>
                <w:noProof/>
                <w:webHidden/>
              </w:rPr>
            </w:r>
            <w:r>
              <w:rPr>
                <w:noProof/>
                <w:webHidden/>
              </w:rPr>
              <w:fldChar w:fldCharType="separate"/>
            </w:r>
            <w:r>
              <w:rPr>
                <w:noProof/>
                <w:webHidden/>
              </w:rPr>
              <w:t>1171</w:t>
            </w:r>
            <w:r>
              <w:rPr>
                <w:noProof/>
                <w:webHidden/>
              </w:rPr>
              <w:fldChar w:fldCharType="end"/>
            </w:r>
          </w:hyperlink>
        </w:p>
        <w:p w14:paraId="05426563" w14:textId="1F65346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28" w:history="1">
            <w:r w:rsidRPr="00F45DCA">
              <w:rPr>
                <w:rStyle w:val="Lienhypertexte"/>
                <w:noProof/>
              </w:rPr>
              <w:t>26.44.3b Isolation à souffler - granulés d'argile expansée CCTB 01.11</w:t>
            </w:r>
            <w:r>
              <w:rPr>
                <w:noProof/>
                <w:webHidden/>
              </w:rPr>
              <w:tab/>
            </w:r>
            <w:r>
              <w:rPr>
                <w:noProof/>
                <w:webHidden/>
              </w:rPr>
              <w:fldChar w:fldCharType="begin"/>
            </w:r>
            <w:r>
              <w:rPr>
                <w:noProof/>
                <w:webHidden/>
              </w:rPr>
              <w:instrText xml:space="preserve"> PAGEREF _Toc220496928 \h </w:instrText>
            </w:r>
            <w:r>
              <w:rPr>
                <w:noProof/>
                <w:webHidden/>
              </w:rPr>
            </w:r>
            <w:r>
              <w:rPr>
                <w:noProof/>
                <w:webHidden/>
              </w:rPr>
              <w:fldChar w:fldCharType="separate"/>
            </w:r>
            <w:r>
              <w:rPr>
                <w:noProof/>
                <w:webHidden/>
              </w:rPr>
              <w:t>1171</w:t>
            </w:r>
            <w:r>
              <w:rPr>
                <w:noProof/>
                <w:webHidden/>
              </w:rPr>
              <w:fldChar w:fldCharType="end"/>
            </w:r>
          </w:hyperlink>
        </w:p>
        <w:p w14:paraId="5F382F46" w14:textId="32826E6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29" w:history="1">
            <w:r w:rsidRPr="00F45DCA">
              <w:rPr>
                <w:rStyle w:val="Lienhypertexte"/>
                <w:noProof/>
              </w:rPr>
              <w:t>26.44.3c (titre réservé) CCTB 01.04</w:t>
            </w:r>
            <w:r>
              <w:rPr>
                <w:noProof/>
                <w:webHidden/>
              </w:rPr>
              <w:tab/>
            </w:r>
            <w:r>
              <w:rPr>
                <w:noProof/>
                <w:webHidden/>
              </w:rPr>
              <w:fldChar w:fldCharType="begin"/>
            </w:r>
            <w:r>
              <w:rPr>
                <w:noProof/>
                <w:webHidden/>
              </w:rPr>
              <w:instrText xml:space="preserve"> PAGEREF _Toc220496929 \h </w:instrText>
            </w:r>
            <w:r>
              <w:rPr>
                <w:noProof/>
                <w:webHidden/>
              </w:rPr>
            </w:r>
            <w:r>
              <w:rPr>
                <w:noProof/>
                <w:webHidden/>
              </w:rPr>
              <w:fldChar w:fldCharType="separate"/>
            </w:r>
            <w:r>
              <w:rPr>
                <w:noProof/>
                <w:webHidden/>
              </w:rPr>
              <w:t>1172</w:t>
            </w:r>
            <w:r>
              <w:rPr>
                <w:noProof/>
                <w:webHidden/>
              </w:rPr>
              <w:fldChar w:fldCharType="end"/>
            </w:r>
          </w:hyperlink>
        </w:p>
        <w:p w14:paraId="097A85FF" w14:textId="3F13865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30" w:history="1">
            <w:r w:rsidRPr="00F45DCA">
              <w:rPr>
                <w:rStyle w:val="Lienhypertexte"/>
                <w:noProof/>
              </w:rPr>
              <w:t>26.44.3d (titre réservé) CCTB 01.04</w:t>
            </w:r>
            <w:r>
              <w:rPr>
                <w:noProof/>
                <w:webHidden/>
              </w:rPr>
              <w:tab/>
            </w:r>
            <w:r>
              <w:rPr>
                <w:noProof/>
                <w:webHidden/>
              </w:rPr>
              <w:fldChar w:fldCharType="begin"/>
            </w:r>
            <w:r>
              <w:rPr>
                <w:noProof/>
                <w:webHidden/>
              </w:rPr>
              <w:instrText xml:space="preserve"> PAGEREF _Toc220496930 \h </w:instrText>
            </w:r>
            <w:r>
              <w:rPr>
                <w:noProof/>
                <w:webHidden/>
              </w:rPr>
            </w:r>
            <w:r>
              <w:rPr>
                <w:noProof/>
                <w:webHidden/>
              </w:rPr>
              <w:fldChar w:fldCharType="separate"/>
            </w:r>
            <w:r>
              <w:rPr>
                <w:noProof/>
                <w:webHidden/>
              </w:rPr>
              <w:t>1172</w:t>
            </w:r>
            <w:r>
              <w:rPr>
                <w:noProof/>
                <w:webHidden/>
              </w:rPr>
              <w:fldChar w:fldCharType="end"/>
            </w:r>
          </w:hyperlink>
        </w:p>
        <w:p w14:paraId="3C733AE3" w14:textId="59CF719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31" w:history="1">
            <w:r w:rsidRPr="00F45DCA">
              <w:rPr>
                <w:rStyle w:val="Lienhypertexte"/>
                <w:noProof/>
              </w:rPr>
              <w:t>26.44.3e Isolation à souffler - granulés de liège expansé CCTB 01.11</w:t>
            </w:r>
            <w:r>
              <w:rPr>
                <w:noProof/>
                <w:webHidden/>
              </w:rPr>
              <w:tab/>
            </w:r>
            <w:r>
              <w:rPr>
                <w:noProof/>
                <w:webHidden/>
              </w:rPr>
              <w:fldChar w:fldCharType="begin"/>
            </w:r>
            <w:r>
              <w:rPr>
                <w:noProof/>
                <w:webHidden/>
              </w:rPr>
              <w:instrText xml:space="preserve"> PAGEREF _Toc220496931 \h </w:instrText>
            </w:r>
            <w:r>
              <w:rPr>
                <w:noProof/>
                <w:webHidden/>
              </w:rPr>
            </w:r>
            <w:r>
              <w:rPr>
                <w:noProof/>
                <w:webHidden/>
              </w:rPr>
              <w:fldChar w:fldCharType="separate"/>
            </w:r>
            <w:r>
              <w:rPr>
                <w:noProof/>
                <w:webHidden/>
              </w:rPr>
              <w:t>1172</w:t>
            </w:r>
            <w:r>
              <w:rPr>
                <w:noProof/>
                <w:webHidden/>
              </w:rPr>
              <w:fldChar w:fldCharType="end"/>
            </w:r>
          </w:hyperlink>
        </w:p>
        <w:p w14:paraId="2BA6F999" w14:textId="30DBB2B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32" w:history="1">
            <w:r w:rsidRPr="00F45DCA">
              <w:rPr>
                <w:rStyle w:val="Lienhypertexte"/>
                <w:noProof/>
              </w:rPr>
              <w:t>26.44.3f (titre réservé) CCTB 01.04</w:t>
            </w:r>
            <w:r>
              <w:rPr>
                <w:noProof/>
                <w:webHidden/>
              </w:rPr>
              <w:tab/>
            </w:r>
            <w:r>
              <w:rPr>
                <w:noProof/>
                <w:webHidden/>
              </w:rPr>
              <w:fldChar w:fldCharType="begin"/>
            </w:r>
            <w:r>
              <w:rPr>
                <w:noProof/>
                <w:webHidden/>
              </w:rPr>
              <w:instrText xml:space="preserve"> PAGEREF _Toc220496932 \h </w:instrText>
            </w:r>
            <w:r>
              <w:rPr>
                <w:noProof/>
                <w:webHidden/>
              </w:rPr>
            </w:r>
            <w:r>
              <w:rPr>
                <w:noProof/>
                <w:webHidden/>
              </w:rPr>
              <w:fldChar w:fldCharType="separate"/>
            </w:r>
            <w:r>
              <w:rPr>
                <w:noProof/>
                <w:webHidden/>
              </w:rPr>
              <w:t>1173</w:t>
            </w:r>
            <w:r>
              <w:rPr>
                <w:noProof/>
                <w:webHidden/>
              </w:rPr>
              <w:fldChar w:fldCharType="end"/>
            </w:r>
          </w:hyperlink>
        </w:p>
        <w:p w14:paraId="3FC221F9" w14:textId="57DDB1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33" w:history="1">
            <w:r w:rsidRPr="00F45DCA">
              <w:rPr>
                <w:rStyle w:val="Lienhypertexte"/>
                <w:noProof/>
              </w:rPr>
              <w:t>26.44.3g (titre réservé) CCTB 01.10</w:t>
            </w:r>
            <w:r>
              <w:rPr>
                <w:noProof/>
                <w:webHidden/>
              </w:rPr>
              <w:tab/>
            </w:r>
            <w:r>
              <w:rPr>
                <w:noProof/>
                <w:webHidden/>
              </w:rPr>
              <w:fldChar w:fldCharType="begin"/>
            </w:r>
            <w:r>
              <w:rPr>
                <w:noProof/>
                <w:webHidden/>
              </w:rPr>
              <w:instrText xml:space="preserve"> PAGEREF _Toc220496933 \h </w:instrText>
            </w:r>
            <w:r>
              <w:rPr>
                <w:noProof/>
                <w:webHidden/>
              </w:rPr>
            </w:r>
            <w:r>
              <w:rPr>
                <w:noProof/>
                <w:webHidden/>
              </w:rPr>
              <w:fldChar w:fldCharType="separate"/>
            </w:r>
            <w:r>
              <w:rPr>
                <w:noProof/>
                <w:webHidden/>
              </w:rPr>
              <w:t>1173</w:t>
            </w:r>
            <w:r>
              <w:rPr>
                <w:noProof/>
                <w:webHidden/>
              </w:rPr>
              <w:fldChar w:fldCharType="end"/>
            </w:r>
          </w:hyperlink>
        </w:p>
        <w:p w14:paraId="159E1A90" w14:textId="2889AAB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34" w:history="1">
            <w:r w:rsidRPr="00F45DCA">
              <w:rPr>
                <w:rStyle w:val="Lienhypertexte"/>
                <w:noProof/>
              </w:rPr>
              <w:t>26.44.4 (titre réservé) CCTB 01.04</w:t>
            </w:r>
            <w:r>
              <w:rPr>
                <w:noProof/>
                <w:webHidden/>
              </w:rPr>
              <w:tab/>
            </w:r>
            <w:r>
              <w:rPr>
                <w:noProof/>
                <w:webHidden/>
              </w:rPr>
              <w:fldChar w:fldCharType="begin"/>
            </w:r>
            <w:r>
              <w:rPr>
                <w:noProof/>
                <w:webHidden/>
              </w:rPr>
              <w:instrText xml:space="preserve"> PAGEREF _Toc220496934 \h </w:instrText>
            </w:r>
            <w:r>
              <w:rPr>
                <w:noProof/>
                <w:webHidden/>
              </w:rPr>
            </w:r>
            <w:r>
              <w:rPr>
                <w:noProof/>
                <w:webHidden/>
              </w:rPr>
              <w:fldChar w:fldCharType="separate"/>
            </w:r>
            <w:r>
              <w:rPr>
                <w:noProof/>
                <w:webHidden/>
              </w:rPr>
              <w:t>1173</w:t>
            </w:r>
            <w:r>
              <w:rPr>
                <w:noProof/>
                <w:webHidden/>
              </w:rPr>
              <w:fldChar w:fldCharType="end"/>
            </w:r>
          </w:hyperlink>
        </w:p>
        <w:p w14:paraId="6D6DB644" w14:textId="59F1D55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35" w:history="1">
            <w:r w:rsidRPr="00F45DCA">
              <w:rPr>
                <w:rStyle w:val="Lienhypertexte"/>
                <w:noProof/>
              </w:rPr>
              <w:t>26.45 Isolation à injecter CCTB 01.04</w:t>
            </w:r>
            <w:r>
              <w:rPr>
                <w:noProof/>
                <w:webHidden/>
              </w:rPr>
              <w:tab/>
            </w:r>
            <w:r>
              <w:rPr>
                <w:noProof/>
                <w:webHidden/>
              </w:rPr>
              <w:fldChar w:fldCharType="begin"/>
            </w:r>
            <w:r>
              <w:rPr>
                <w:noProof/>
                <w:webHidden/>
              </w:rPr>
              <w:instrText xml:space="preserve"> PAGEREF _Toc220496935 \h </w:instrText>
            </w:r>
            <w:r>
              <w:rPr>
                <w:noProof/>
                <w:webHidden/>
              </w:rPr>
            </w:r>
            <w:r>
              <w:rPr>
                <w:noProof/>
                <w:webHidden/>
              </w:rPr>
              <w:fldChar w:fldCharType="separate"/>
            </w:r>
            <w:r>
              <w:rPr>
                <w:noProof/>
                <w:webHidden/>
              </w:rPr>
              <w:t>1173</w:t>
            </w:r>
            <w:r>
              <w:rPr>
                <w:noProof/>
                <w:webHidden/>
              </w:rPr>
              <w:fldChar w:fldCharType="end"/>
            </w:r>
          </w:hyperlink>
        </w:p>
        <w:p w14:paraId="24F63223" w14:textId="76A24ED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36" w:history="1">
            <w:r w:rsidRPr="00F45DCA">
              <w:rPr>
                <w:rStyle w:val="Lienhypertexte"/>
                <w:noProof/>
              </w:rPr>
              <w:t>26.45.1 Isolation à injecter - matières synthétiques CCTB 01.02</w:t>
            </w:r>
            <w:r>
              <w:rPr>
                <w:noProof/>
                <w:webHidden/>
              </w:rPr>
              <w:tab/>
            </w:r>
            <w:r>
              <w:rPr>
                <w:noProof/>
                <w:webHidden/>
              </w:rPr>
              <w:fldChar w:fldCharType="begin"/>
            </w:r>
            <w:r>
              <w:rPr>
                <w:noProof/>
                <w:webHidden/>
              </w:rPr>
              <w:instrText xml:space="preserve"> PAGEREF _Toc220496936 \h </w:instrText>
            </w:r>
            <w:r>
              <w:rPr>
                <w:noProof/>
                <w:webHidden/>
              </w:rPr>
            </w:r>
            <w:r>
              <w:rPr>
                <w:noProof/>
                <w:webHidden/>
              </w:rPr>
              <w:fldChar w:fldCharType="separate"/>
            </w:r>
            <w:r>
              <w:rPr>
                <w:noProof/>
                <w:webHidden/>
              </w:rPr>
              <w:t>1173</w:t>
            </w:r>
            <w:r>
              <w:rPr>
                <w:noProof/>
                <w:webHidden/>
              </w:rPr>
              <w:fldChar w:fldCharType="end"/>
            </w:r>
          </w:hyperlink>
        </w:p>
        <w:p w14:paraId="13EE1DB1" w14:textId="79B9667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37" w:history="1">
            <w:r w:rsidRPr="00F45DCA">
              <w:rPr>
                <w:rStyle w:val="Lienhypertexte"/>
                <w:noProof/>
              </w:rPr>
              <w:t>26.45.1a Isolation à injecter - mousse de polystyrène (EPS) CCTB 01.04</w:t>
            </w:r>
            <w:r>
              <w:rPr>
                <w:noProof/>
                <w:webHidden/>
              </w:rPr>
              <w:tab/>
            </w:r>
            <w:r>
              <w:rPr>
                <w:noProof/>
                <w:webHidden/>
              </w:rPr>
              <w:fldChar w:fldCharType="begin"/>
            </w:r>
            <w:r>
              <w:rPr>
                <w:noProof/>
                <w:webHidden/>
              </w:rPr>
              <w:instrText xml:space="preserve"> PAGEREF _Toc220496937 \h </w:instrText>
            </w:r>
            <w:r>
              <w:rPr>
                <w:noProof/>
                <w:webHidden/>
              </w:rPr>
            </w:r>
            <w:r>
              <w:rPr>
                <w:noProof/>
                <w:webHidden/>
              </w:rPr>
              <w:fldChar w:fldCharType="separate"/>
            </w:r>
            <w:r>
              <w:rPr>
                <w:noProof/>
                <w:webHidden/>
              </w:rPr>
              <w:t>1173</w:t>
            </w:r>
            <w:r>
              <w:rPr>
                <w:noProof/>
                <w:webHidden/>
              </w:rPr>
              <w:fldChar w:fldCharType="end"/>
            </w:r>
          </w:hyperlink>
        </w:p>
        <w:p w14:paraId="30F5D2E3" w14:textId="6A45808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38" w:history="1">
            <w:r w:rsidRPr="00F45DCA">
              <w:rPr>
                <w:rStyle w:val="Lienhypertexte"/>
                <w:noProof/>
              </w:rPr>
              <w:t>26.45.1b Isolation à injecter - mousse de polyuréthane (PUR) CCTB 01.04</w:t>
            </w:r>
            <w:r>
              <w:rPr>
                <w:noProof/>
                <w:webHidden/>
              </w:rPr>
              <w:tab/>
            </w:r>
            <w:r>
              <w:rPr>
                <w:noProof/>
                <w:webHidden/>
              </w:rPr>
              <w:fldChar w:fldCharType="begin"/>
            </w:r>
            <w:r>
              <w:rPr>
                <w:noProof/>
                <w:webHidden/>
              </w:rPr>
              <w:instrText xml:space="preserve"> PAGEREF _Toc220496938 \h </w:instrText>
            </w:r>
            <w:r>
              <w:rPr>
                <w:noProof/>
                <w:webHidden/>
              </w:rPr>
            </w:r>
            <w:r>
              <w:rPr>
                <w:noProof/>
                <w:webHidden/>
              </w:rPr>
              <w:fldChar w:fldCharType="separate"/>
            </w:r>
            <w:r>
              <w:rPr>
                <w:noProof/>
                <w:webHidden/>
              </w:rPr>
              <w:t>1174</w:t>
            </w:r>
            <w:r>
              <w:rPr>
                <w:noProof/>
                <w:webHidden/>
              </w:rPr>
              <w:fldChar w:fldCharType="end"/>
            </w:r>
          </w:hyperlink>
        </w:p>
        <w:p w14:paraId="61A82228" w14:textId="353B966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39" w:history="1">
            <w:r w:rsidRPr="00F45DCA">
              <w:rPr>
                <w:rStyle w:val="Lienhypertexte"/>
                <w:noProof/>
              </w:rPr>
              <w:t>26.45.1c Isolation à injecter - mousse de polyisocyanurate (PIR) CCTB 01.04</w:t>
            </w:r>
            <w:r>
              <w:rPr>
                <w:noProof/>
                <w:webHidden/>
              </w:rPr>
              <w:tab/>
            </w:r>
            <w:r>
              <w:rPr>
                <w:noProof/>
                <w:webHidden/>
              </w:rPr>
              <w:fldChar w:fldCharType="begin"/>
            </w:r>
            <w:r>
              <w:rPr>
                <w:noProof/>
                <w:webHidden/>
              </w:rPr>
              <w:instrText xml:space="preserve"> PAGEREF _Toc220496939 \h </w:instrText>
            </w:r>
            <w:r>
              <w:rPr>
                <w:noProof/>
                <w:webHidden/>
              </w:rPr>
            </w:r>
            <w:r>
              <w:rPr>
                <w:noProof/>
                <w:webHidden/>
              </w:rPr>
              <w:fldChar w:fldCharType="separate"/>
            </w:r>
            <w:r>
              <w:rPr>
                <w:noProof/>
                <w:webHidden/>
              </w:rPr>
              <w:t>1175</w:t>
            </w:r>
            <w:r>
              <w:rPr>
                <w:noProof/>
                <w:webHidden/>
              </w:rPr>
              <w:fldChar w:fldCharType="end"/>
            </w:r>
          </w:hyperlink>
        </w:p>
        <w:p w14:paraId="0A33549E" w14:textId="7AA0713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40" w:history="1">
            <w:r w:rsidRPr="00F45DCA">
              <w:rPr>
                <w:rStyle w:val="Lienhypertexte"/>
                <w:noProof/>
              </w:rPr>
              <w:t>26.45.1d Isolation à injecter - mousse phénolique (PF) CCTB 01.02</w:t>
            </w:r>
            <w:r>
              <w:rPr>
                <w:noProof/>
                <w:webHidden/>
              </w:rPr>
              <w:tab/>
            </w:r>
            <w:r>
              <w:rPr>
                <w:noProof/>
                <w:webHidden/>
              </w:rPr>
              <w:fldChar w:fldCharType="begin"/>
            </w:r>
            <w:r>
              <w:rPr>
                <w:noProof/>
                <w:webHidden/>
              </w:rPr>
              <w:instrText xml:space="preserve"> PAGEREF _Toc220496940 \h </w:instrText>
            </w:r>
            <w:r>
              <w:rPr>
                <w:noProof/>
                <w:webHidden/>
              </w:rPr>
            </w:r>
            <w:r>
              <w:rPr>
                <w:noProof/>
                <w:webHidden/>
              </w:rPr>
              <w:fldChar w:fldCharType="separate"/>
            </w:r>
            <w:r>
              <w:rPr>
                <w:noProof/>
                <w:webHidden/>
              </w:rPr>
              <w:t>1175</w:t>
            </w:r>
            <w:r>
              <w:rPr>
                <w:noProof/>
                <w:webHidden/>
              </w:rPr>
              <w:fldChar w:fldCharType="end"/>
            </w:r>
          </w:hyperlink>
        </w:p>
        <w:p w14:paraId="6E41DD14" w14:textId="3941C019"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41" w:history="1">
            <w:r w:rsidRPr="00F45DCA">
              <w:rPr>
                <w:rStyle w:val="Lienhypertexte"/>
                <w:noProof/>
              </w:rPr>
              <w:t>26.46 Isolation à verser en vrac CCTB 01.02</w:t>
            </w:r>
            <w:r>
              <w:rPr>
                <w:noProof/>
                <w:webHidden/>
              </w:rPr>
              <w:tab/>
            </w:r>
            <w:r>
              <w:rPr>
                <w:noProof/>
                <w:webHidden/>
              </w:rPr>
              <w:fldChar w:fldCharType="begin"/>
            </w:r>
            <w:r>
              <w:rPr>
                <w:noProof/>
                <w:webHidden/>
              </w:rPr>
              <w:instrText xml:space="preserve"> PAGEREF _Toc220496941 \h </w:instrText>
            </w:r>
            <w:r>
              <w:rPr>
                <w:noProof/>
                <w:webHidden/>
              </w:rPr>
            </w:r>
            <w:r>
              <w:rPr>
                <w:noProof/>
                <w:webHidden/>
              </w:rPr>
              <w:fldChar w:fldCharType="separate"/>
            </w:r>
            <w:r>
              <w:rPr>
                <w:noProof/>
                <w:webHidden/>
              </w:rPr>
              <w:t>1175</w:t>
            </w:r>
            <w:r>
              <w:rPr>
                <w:noProof/>
                <w:webHidden/>
              </w:rPr>
              <w:fldChar w:fldCharType="end"/>
            </w:r>
          </w:hyperlink>
        </w:p>
        <w:p w14:paraId="6FCB447F" w14:textId="275219F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42" w:history="1">
            <w:r w:rsidRPr="00F45DCA">
              <w:rPr>
                <w:rStyle w:val="Lienhypertexte"/>
                <w:noProof/>
              </w:rPr>
              <w:t>26.46.1 Isolation à verser en vrac - matières synthétiques CCTB 01.02</w:t>
            </w:r>
            <w:r>
              <w:rPr>
                <w:noProof/>
                <w:webHidden/>
              </w:rPr>
              <w:tab/>
            </w:r>
            <w:r>
              <w:rPr>
                <w:noProof/>
                <w:webHidden/>
              </w:rPr>
              <w:fldChar w:fldCharType="begin"/>
            </w:r>
            <w:r>
              <w:rPr>
                <w:noProof/>
                <w:webHidden/>
              </w:rPr>
              <w:instrText xml:space="preserve"> PAGEREF _Toc220496942 \h </w:instrText>
            </w:r>
            <w:r>
              <w:rPr>
                <w:noProof/>
                <w:webHidden/>
              </w:rPr>
            </w:r>
            <w:r>
              <w:rPr>
                <w:noProof/>
                <w:webHidden/>
              </w:rPr>
              <w:fldChar w:fldCharType="separate"/>
            </w:r>
            <w:r>
              <w:rPr>
                <w:noProof/>
                <w:webHidden/>
              </w:rPr>
              <w:t>1175</w:t>
            </w:r>
            <w:r>
              <w:rPr>
                <w:noProof/>
                <w:webHidden/>
              </w:rPr>
              <w:fldChar w:fldCharType="end"/>
            </w:r>
          </w:hyperlink>
        </w:p>
        <w:p w14:paraId="640F9C45" w14:textId="796AED4B"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43" w:history="1">
            <w:r w:rsidRPr="00F45DCA">
              <w:rPr>
                <w:rStyle w:val="Lienhypertexte"/>
                <w:noProof/>
              </w:rPr>
              <w:t>26.46.2 Isolation à verser en vrac - matières minérales CCTB 01.02</w:t>
            </w:r>
            <w:r>
              <w:rPr>
                <w:noProof/>
                <w:webHidden/>
              </w:rPr>
              <w:tab/>
            </w:r>
            <w:r>
              <w:rPr>
                <w:noProof/>
                <w:webHidden/>
              </w:rPr>
              <w:fldChar w:fldCharType="begin"/>
            </w:r>
            <w:r>
              <w:rPr>
                <w:noProof/>
                <w:webHidden/>
              </w:rPr>
              <w:instrText xml:space="preserve"> PAGEREF _Toc220496943 \h </w:instrText>
            </w:r>
            <w:r>
              <w:rPr>
                <w:noProof/>
                <w:webHidden/>
              </w:rPr>
            </w:r>
            <w:r>
              <w:rPr>
                <w:noProof/>
                <w:webHidden/>
              </w:rPr>
              <w:fldChar w:fldCharType="separate"/>
            </w:r>
            <w:r>
              <w:rPr>
                <w:noProof/>
                <w:webHidden/>
              </w:rPr>
              <w:t>1175</w:t>
            </w:r>
            <w:r>
              <w:rPr>
                <w:noProof/>
                <w:webHidden/>
              </w:rPr>
              <w:fldChar w:fldCharType="end"/>
            </w:r>
          </w:hyperlink>
        </w:p>
        <w:p w14:paraId="45EADEB4" w14:textId="2565C5D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44" w:history="1">
            <w:r w:rsidRPr="00F45DCA">
              <w:rPr>
                <w:rStyle w:val="Lienhypertexte"/>
                <w:noProof/>
              </w:rPr>
              <w:t>26.46.2a Isolation à verser en vrac - laine de verre CCTB 01.02</w:t>
            </w:r>
            <w:r>
              <w:rPr>
                <w:noProof/>
                <w:webHidden/>
              </w:rPr>
              <w:tab/>
            </w:r>
            <w:r>
              <w:rPr>
                <w:noProof/>
                <w:webHidden/>
              </w:rPr>
              <w:fldChar w:fldCharType="begin"/>
            </w:r>
            <w:r>
              <w:rPr>
                <w:noProof/>
                <w:webHidden/>
              </w:rPr>
              <w:instrText xml:space="preserve"> PAGEREF _Toc220496944 \h </w:instrText>
            </w:r>
            <w:r>
              <w:rPr>
                <w:noProof/>
                <w:webHidden/>
              </w:rPr>
            </w:r>
            <w:r>
              <w:rPr>
                <w:noProof/>
                <w:webHidden/>
              </w:rPr>
              <w:fldChar w:fldCharType="separate"/>
            </w:r>
            <w:r>
              <w:rPr>
                <w:noProof/>
                <w:webHidden/>
              </w:rPr>
              <w:t>1175</w:t>
            </w:r>
            <w:r>
              <w:rPr>
                <w:noProof/>
                <w:webHidden/>
              </w:rPr>
              <w:fldChar w:fldCharType="end"/>
            </w:r>
          </w:hyperlink>
        </w:p>
        <w:p w14:paraId="5E6E7ED9" w14:textId="1C7BF6A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45" w:history="1">
            <w:r w:rsidRPr="00F45DCA">
              <w:rPr>
                <w:rStyle w:val="Lienhypertexte"/>
                <w:noProof/>
              </w:rPr>
              <w:t>26.46.2b Isolation à verser en vrac - laine de roche CCTB 01.02</w:t>
            </w:r>
            <w:r>
              <w:rPr>
                <w:noProof/>
                <w:webHidden/>
              </w:rPr>
              <w:tab/>
            </w:r>
            <w:r>
              <w:rPr>
                <w:noProof/>
                <w:webHidden/>
              </w:rPr>
              <w:fldChar w:fldCharType="begin"/>
            </w:r>
            <w:r>
              <w:rPr>
                <w:noProof/>
                <w:webHidden/>
              </w:rPr>
              <w:instrText xml:space="preserve"> PAGEREF _Toc220496945 \h </w:instrText>
            </w:r>
            <w:r>
              <w:rPr>
                <w:noProof/>
                <w:webHidden/>
              </w:rPr>
            </w:r>
            <w:r>
              <w:rPr>
                <w:noProof/>
                <w:webHidden/>
              </w:rPr>
              <w:fldChar w:fldCharType="separate"/>
            </w:r>
            <w:r>
              <w:rPr>
                <w:noProof/>
                <w:webHidden/>
              </w:rPr>
              <w:t>1175</w:t>
            </w:r>
            <w:r>
              <w:rPr>
                <w:noProof/>
                <w:webHidden/>
              </w:rPr>
              <w:fldChar w:fldCharType="end"/>
            </w:r>
          </w:hyperlink>
        </w:p>
        <w:p w14:paraId="50053468" w14:textId="0C4CC8B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46" w:history="1">
            <w:r w:rsidRPr="00F45DCA">
              <w:rPr>
                <w:rStyle w:val="Lienhypertexte"/>
                <w:noProof/>
              </w:rPr>
              <w:t>26.46.2c Isolation à verser en vrac - fibres de verre CCTB 01.02</w:t>
            </w:r>
            <w:r>
              <w:rPr>
                <w:noProof/>
                <w:webHidden/>
              </w:rPr>
              <w:tab/>
            </w:r>
            <w:r>
              <w:rPr>
                <w:noProof/>
                <w:webHidden/>
              </w:rPr>
              <w:fldChar w:fldCharType="begin"/>
            </w:r>
            <w:r>
              <w:rPr>
                <w:noProof/>
                <w:webHidden/>
              </w:rPr>
              <w:instrText xml:space="preserve"> PAGEREF _Toc220496946 \h </w:instrText>
            </w:r>
            <w:r>
              <w:rPr>
                <w:noProof/>
                <w:webHidden/>
              </w:rPr>
            </w:r>
            <w:r>
              <w:rPr>
                <w:noProof/>
                <w:webHidden/>
              </w:rPr>
              <w:fldChar w:fldCharType="separate"/>
            </w:r>
            <w:r>
              <w:rPr>
                <w:noProof/>
                <w:webHidden/>
              </w:rPr>
              <w:t>1175</w:t>
            </w:r>
            <w:r>
              <w:rPr>
                <w:noProof/>
                <w:webHidden/>
              </w:rPr>
              <w:fldChar w:fldCharType="end"/>
            </w:r>
          </w:hyperlink>
        </w:p>
        <w:p w14:paraId="72B850FF" w14:textId="0D613A9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47" w:history="1">
            <w:r w:rsidRPr="00F45DCA">
              <w:rPr>
                <w:rStyle w:val="Lienhypertexte"/>
                <w:noProof/>
              </w:rPr>
              <w:t>26.46.2d Isolation à verser en vrac - vermiculite expansée (EV) CCTB 01.04</w:t>
            </w:r>
            <w:r>
              <w:rPr>
                <w:noProof/>
                <w:webHidden/>
              </w:rPr>
              <w:tab/>
            </w:r>
            <w:r>
              <w:rPr>
                <w:noProof/>
                <w:webHidden/>
              </w:rPr>
              <w:fldChar w:fldCharType="begin"/>
            </w:r>
            <w:r>
              <w:rPr>
                <w:noProof/>
                <w:webHidden/>
              </w:rPr>
              <w:instrText xml:space="preserve"> PAGEREF _Toc220496947 \h </w:instrText>
            </w:r>
            <w:r>
              <w:rPr>
                <w:noProof/>
                <w:webHidden/>
              </w:rPr>
            </w:r>
            <w:r>
              <w:rPr>
                <w:noProof/>
                <w:webHidden/>
              </w:rPr>
              <w:fldChar w:fldCharType="separate"/>
            </w:r>
            <w:r>
              <w:rPr>
                <w:noProof/>
                <w:webHidden/>
              </w:rPr>
              <w:t>1175</w:t>
            </w:r>
            <w:r>
              <w:rPr>
                <w:noProof/>
                <w:webHidden/>
              </w:rPr>
              <w:fldChar w:fldCharType="end"/>
            </w:r>
          </w:hyperlink>
        </w:p>
        <w:p w14:paraId="240830F6" w14:textId="689ABD6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48" w:history="1">
            <w:r w:rsidRPr="00F45DCA">
              <w:rPr>
                <w:rStyle w:val="Lienhypertexte"/>
                <w:noProof/>
              </w:rPr>
              <w:t>26.46.2e Isolation à verser en vrac - perlite expansée (EPB) CCTB 01.04</w:t>
            </w:r>
            <w:r>
              <w:rPr>
                <w:noProof/>
                <w:webHidden/>
              </w:rPr>
              <w:tab/>
            </w:r>
            <w:r>
              <w:rPr>
                <w:noProof/>
                <w:webHidden/>
              </w:rPr>
              <w:fldChar w:fldCharType="begin"/>
            </w:r>
            <w:r>
              <w:rPr>
                <w:noProof/>
                <w:webHidden/>
              </w:rPr>
              <w:instrText xml:space="preserve"> PAGEREF _Toc220496948 \h </w:instrText>
            </w:r>
            <w:r>
              <w:rPr>
                <w:noProof/>
                <w:webHidden/>
              </w:rPr>
            </w:r>
            <w:r>
              <w:rPr>
                <w:noProof/>
                <w:webHidden/>
              </w:rPr>
              <w:fldChar w:fldCharType="separate"/>
            </w:r>
            <w:r>
              <w:rPr>
                <w:noProof/>
                <w:webHidden/>
              </w:rPr>
              <w:t>1175</w:t>
            </w:r>
            <w:r>
              <w:rPr>
                <w:noProof/>
                <w:webHidden/>
              </w:rPr>
              <w:fldChar w:fldCharType="end"/>
            </w:r>
          </w:hyperlink>
        </w:p>
        <w:p w14:paraId="694B1D9D" w14:textId="1B6B4E2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49" w:history="1">
            <w:r w:rsidRPr="00F45DCA">
              <w:rPr>
                <w:rStyle w:val="Lienhypertexte"/>
                <w:noProof/>
              </w:rPr>
              <w:t>26.46.2f (titre réservé)</w:t>
            </w:r>
            <w:r>
              <w:rPr>
                <w:noProof/>
                <w:webHidden/>
              </w:rPr>
              <w:tab/>
            </w:r>
            <w:r>
              <w:rPr>
                <w:noProof/>
                <w:webHidden/>
              </w:rPr>
              <w:fldChar w:fldCharType="begin"/>
            </w:r>
            <w:r>
              <w:rPr>
                <w:noProof/>
                <w:webHidden/>
              </w:rPr>
              <w:instrText xml:space="preserve"> PAGEREF _Toc220496949 \h </w:instrText>
            </w:r>
            <w:r>
              <w:rPr>
                <w:noProof/>
                <w:webHidden/>
              </w:rPr>
            </w:r>
            <w:r>
              <w:rPr>
                <w:noProof/>
                <w:webHidden/>
              </w:rPr>
              <w:fldChar w:fldCharType="separate"/>
            </w:r>
            <w:r>
              <w:rPr>
                <w:noProof/>
                <w:webHidden/>
              </w:rPr>
              <w:t>1175</w:t>
            </w:r>
            <w:r>
              <w:rPr>
                <w:noProof/>
                <w:webHidden/>
              </w:rPr>
              <w:fldChar w:fldCharType="end"/>
            </w:r>
          </w:hyperlink>
        </w:p>
        <w:p w14:paraId="01BBFE7C" w14:textId="17A70F6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50" w:history="1">
            <w:r w:rsidRPr="00F45DCA">
              <w:rPr>
                <w:rStyle w:val="Lienhypertexte"/>
                <w:noProof/>
              </w:rPr>
              <w:t>26.46.3 Isolation à verser en vrac - matières végétales CCTB 01.02</w:t>
            </w:r>
            <w:r>
              <w:rPr>
                <w:noProof/>
                <w:webHidden/>
              </w:rPr>
              <w:tab/>
            </w:r>
            <w:r>
              <w:rPr>
                <w:noProof/>
                <w:webHidden/>
              </w:rPr>
              <w:fldChar w:fldCharType="begin"/>
            </w:r>
            <w:r>
              <w:rPr>
                <w:noProof/>
                <w:webHidden/>
              </w:rPr>
              <w:instrText xml:space="preserve"> PAGEREF _Toc220496950 \h </w:instrText>
            </w:r>
            <w:r>
              <w:rPr>
                <w:noProof/>
                <w:webHidden/>
              </w:rPr>
            </w:r>
            <w:r>
              <w:rPr>
                <w:noProof/>
                <w:webHidden/>
              </w:rPr>
              <w:fldChar w:fldCharType="separate"/>
            </w:r>
            <w:r>
              <w:rPr>
                <w:noProof/>
                <w:webHidden/>
              </w:rPr>
              <w:t>1175</w:t>
            </w:r>
            <w:r>
              <w:rPr>
                <w:noProof/>
                <w:webHidden/>
              </w:rPr>
              <w:fldChar w:fldCharType="end"/>
            </w:r>
          </w:hyperlink>
        </w:p>
        <w:p w14:paraId="241E847C" w14:textId="1200188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51" w:history="1">
            <w:r w:rsidRPr="00F45DCA">
              <w:rPr>
                <w:rStyle w:val="Lienhypertexte"/>
                <w:noProof/>
              </w:rPr>
              <w:t>26.46.3a (titre réservé) CCTB 01.04</w:t>
            </w:r>
            <w:r>
              <w:rPr>
                <w:noProof/>
                <w:webHidden/>
              </w:rPr>
              <w:tab/>
            </w:r>
            <w:r>
              <w:rPr>
                <w:noProof/>
                <w:webHidden/>
              </w:rPr>
              <w:fldChar w:fldCharType="begin"/>
            </w:r>
            <w:r>
              <w:rPr>
                <w:noProof/>
                <w:webHidden/>
              </w:rPr>
              <w:instrText xml:space="preserve"> PAGEREF _Toc220496951 \h </w:instrText>
            </w:r>
            <w:r>
              <w:rPr>
                <w:noProof/>
                <w:webHidden/>
              </w:rPr>
            </w:r>
            <w:r>
              <w:rPr>
                <w:noProof/>
                <w:webHidden/>
              </w:rPr>
              <w:fldChar w:fldCharType="separate"/>
            </w:r>
            <w:r>
              <w:rPr>
                <w:noProof/>
                <w:webHidden/>
              </w:rPr>
              <w:t>1175</w:t>
            </w:r>
            <w:r>
              <w:rPr>
                <w:noProof/>
                <w:webHidden/>
              </w:rPr>
              <w:fldChar w:fldCharType="end"/>
            </w:r>
          </w:hyperlink>
        </w:p>
        <w:p w14:paraId="41CD4DAF" w14:textId="0DDE71F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52" w:history="1">
            <w:r w:rsidRPr="00F45DCA">
              <w:rPr>
                <w:rStyle w:val="Lienhypertexte"/>
                <w:noProof/>
              </w:rPr>
              <w:t>26.46.3b Isolation à verser en vrac - granulés d'argile expansée (LWA) CCTB 01.04</w:t>
            </w:r>
            <w:r>
              <w:rPr>
                <w:noProof/>
                <w:webHidden/>
              </w:rPr>
              <w:tab/>
            </w:r>
            <w:r>
              <w:rPr>
                <w:noProof/>
                <w:webHidden/>
              </w:rPr>
              <w:fldChar w:fldCharType="begin"/>
            </w:r>
            <w:r>
              <w:rPr>
                <w:noProof/>
                <w:webHidden/>
              </w:rPr>
              <w:instrText xml:space="preserve"> PAGEREF _Toc220496952 \h </w:instrText>
            </w:r>
            <w:r>
              <w:rPr>
                <w:noProof/>
                <w:webHidden/>
              </w:rPr>
            </w:r>
            <w:r>
              <w:rPr>
                <w:noProof/>
                <w:webHidden/>
              </w:rPr>
              <w:fldChar w:fldCharType="separate"/>
            </w:r>
            <w:r>
              <w:rPr>
                <w:noProof/>
                <w:webHidden/>
              </w:rPr>
              <w:t>1175</w:t>
            </w:r>
            <w:r>
              <w:rPr>
                <w:noProof/>
                <w:webHidden/>
              </w:rPr>
              <w:fldChar w:fldCharType="end"/>
            </w:r>
          </w:hyperlink>
        </w:p>
        <w:p w14:paraId="7C2A0BBC" w14:textId="7224617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53" w:history="1">
            <w:r w:rsidRPr="00F45DCA">
              <w:rPr>
                <w:rStyle w:val="Lienhypertexte"/>
                <w:noProof/>
              </w:rPr>
              <w:t>26.46.3c (titre réservé) CCTB 01.04</w:t>
            </w:r>
            <w:r>
              <w:rPr>
                <w:noProof/>
                <w:webHidden/>
              </w:rPr>
              <w:tab/>
            </w:r>
            <w:r>
              <w:rPr>
                <w:noProof/>
                <w:webHidden/>
              </w:rPr>
              <w:fldChar w:fldCharType="begin"/>
            </w:r>
            <w:r>
              <w:rPr>
                <w:noProof/>
                <w:webHidden/>
              </w:rPr>
              <w:instrText xml:space="preserve"> PAGEREF _Toc220496953 \h </w:instrText>
            </w:r>
            <w:r>
              <w:rPr>
                <w:noProof/>
                <w:webHidden/>
              </w:rPr>
            </w:r>
            <w:r>
              <w:rPr>
                <w:noProof/>
                <w:webHidden/>
              </w:rPr>
              <w:fldChar w:fldCharType="separate"/>
            </w:r>
            <w:r>
              <w:rPr>
                <w:noProof/>
                <w:webHidden/>
              </w:rPr>
              <w:t>1175</w:t>
            </w:r>
            <w:r>
              <w:rPr>
                <w:noProof/>
                <w:webHidden/>
              </w:rPr>
              <w:fldChar w:fldCharType="end"/>
            </w:r>
          </w:hyperlink>
        </w:p>
        <w:p w14:paraId="74113157" w14:textId="6820B8C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54" w:history="1">
            <w:r w:rsidRPr="00F45DCA">
              <w:rPr>
                <w:rStyle w:val="Lienhypertexte"/>
                <w:noProof/>
              </w:rPr>
              <w:t>26.46.3d (titre réservé) CCTB 01.04</w:t>
            </w:r>
            <w:r>
              <w:rPr>
                <w:noProof/>
                <w:webHidden/>
              </w:rPr>
              <w:tab/>
            </w:r>
            <w:r>
              <w:rPr>
                <w:noProof/>
                <w:webHidden/>
              </w:rPr>
              <w:fldChar w:fldCharType="begin"/>
            </w:r>
            <w:r>
              <w:rPr>
                <w:noProof/>
                <w:webHidden/>
              </w:rPr>
              <w:instrText xml:space="preserve"> PAGEREF _Toc220496954 \h </w:instrText>
            </w:r>
            <w:r>
              <w:rPr>
                <w:noProof/>
                <w:webHidden/>
              </w:rPr>
            </w:r>
            <w:r>
              <w:rPr>
                <w:noProof/>
                <w:webHidden/>
              </w:rPr>
              <w:fldChar w:fldCharType="separate"/>
            </w:r>
            <w:r>
              <w:rPr>
                <w:noProof/>
                <w:webHidden/>
              </w:rPr>
              <w:t>1175</w:t>
            </w:r>
            <w:r>
              <w:rPr>
                <w:noProof/>
                <w:webHidden/>
              </w:rPr>
              <w:fldChar w:fldCharType="end"/>
            </w:r>
          </w:hyperlink>
        </w:p>
        <w:p w14:paraId="529ED529" w14:textId="5BCE8636"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55" w:history="1">
            <w:r w:rsidRPr="00F45DCA">
              <w:rPr>
                <w:rStyle w:val="Lienhypertexte"/>
                <w:noProof/>
              </w:rPr>
              <w:t>26.46.3e (titre réservé) CCTB 01.04</w:t>
            </w:r>
            <w:r>
              <w:rPr>
                <w:noProof/>
                <w:webHidden/>
              </w:rPr>
              <w:tab/>
            </w:r>
            <w:r>
              <w:rPr>
                <w:noProof/>
                <w:webHidden/>
              </w:rPr>
              <w:fldChar w:fldCharType="begin"/>
            </w:r>
            <w:r>
              <w:rPr>
                <w:noProof/>
                <w:webHidden/>
              </w:rPr>
              <w:instrText xml:space="preserve"> PAGEREF _Toc220496955 \h </w:instrText>
            </w:r>
            <w:r>
              <w:rPr>
                <w:noProof/>
                <w:webHidden/>
              </w:rPr>
            </w:r>
            <w:r>
              <w:rPr>
                <w:noProof/>
                <w:webHidden/>
              </w:rPr>
              <w:fldChar w:fldCharType="separate"/>
            </w:r>
            <w:r>
              <w:rPr>
                <w:noProof/>
                <w:webHidden/>
              </w:rPr>
              <w:t>1175</w:t>
            </w:r>
            <w:r>
              <w:rPr>
                <w:noProof/>
                <w:webHidden/>
              </w:rPr>
              <w:fldChar w:fldCharType="end"/>
            </w:r>
          </w:hyperlink>
        </w:p>
        <w:p w14:paraId="326457CB" w14:textId="177DC7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56" w:history="1">
            <w:r w:rsidRPr="00F45DCA">
              <w:rPr>
                <w:rStyle w:val="Lienhypertexte"/>
                <w:noProof/>
              </w:rPr>
              <w:t>26.46.3f (titre réservé) CCTB 01.04</w:t>
            </w:r>
            <w:r>
              <w:rPr>
                <w:noProof/>
                <w:webHidden/>
              </w:rPr>
              <w:tab/>
            </w:r>
            <w:r>
              <w:rPr>
                <w:noProof/>
                <w:webHidden/>
              </w:rPr>
              <w:fldChar w:fldCharType="begin"/>
            </w:r>
            <w:r>
              <w:rPr>
                <w:noProof/>
                <w:webHidden/>
              </w:rPr>
              <w:instrText xml:space="preserve"> PAGEREF _Toc220496956 \h </w:instrText>
            </w:r>
            <w:r>
              <w:rPr>
                <w:noProof/>
                <w:webHidden/>
              </w:rPr>
            </w:r>
            <w:r>
              <w:rPr>
                <w:noProof/>
                <w:webHidden/>
              </w:rPr>
              <w:fldChar w:fldCharType="separate"/>
            </w:r>
            <w:r>
              <w:rPr>
                <w:noProof/>
                <w:webHidden/>
              </w:rPr>
              <w:t>1175</w:t>
            </w:r>
            <w:r>
              <w:rPr>
                <w:noProof/>
                <w:webHidden/>
              </w:rPr>
              <w:fldChar w:fldCharType="end"/>
            </w:r>
          </w:hyperlink>
        </w:p>
        <w:p w14:paraId="4E88CEAD" w14:textId="35DB035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57" w:history="1">
            <w:r w:rsidRPr="00F45DCA">
              <w:rPr>
                <w:rStyle w:val="Lienhypertexte"/>
                <w:noProof/>
              </w:rPr>
              <w:t>26.46.3g Isolation à verser en vrac - granulés de liège expansé CCTB 01.13</w:t>
            </w:r>
            <w:r>
              <w:rPr>
                <w:noProof/>
                <w:webHidden/>
              </w:rPr>
              <w:tab/>
            </w:r>
            <w:r>
              <w:rPr>
                <w:noProof/>
                <w:webHidden/>
              </w:rPr>
              <w:fldChar w:fldCharType="begin"/>
            </w:r>
            <w:r>
              <w:rPr>
                <w:noProof/>
                <w:webHidden/>
              </w:rPr>
              <w:instrText xml:space="preserve"> PAGEREF _Toc220496957 \h </w:instrText>
            </w:r>
            <w:r>
              <w:rPr>
                <w:noProof/>
                <w:webHidden/>
              </w:rPr>
            </w:r>
            <w:r>
              <w:rPr>
                <w:noProof/>
                <w:webHidden/>
              </w:rPr>
              <w:fldChar w:fldCharType="separate"/>
            </w:r>
            <w:r>
              <w:rPr>
                <w:noProof/>
                <w:webHidden/>
              </w:rPr>
              <w:t>1175</w:t>
            </w:r>
            <w:r>
              <w:rPr>
                <w:noProof/>
                <w:webHidden/>
              </w:rPr>
              <w:fldChar w:fldCharType="end"/>
            </w:r>
          </w:hyperlink>
        </w:p>
        <w:p w14:paraId="716DAB12" w14:textId="198AEE6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58" w:history="1">
            <w:r w:rsidRPr="00F45DCA">
              <w:rPr>
                <w:rStyle w:val="Lienhypertexte"/>
                <w:noProof/>
              </w:rPr>
              <w:t>26.46.3h (titre réservé)</w:t>
            </w:r>
            <w:r>
              <w:rPr>
                <w:noProof/>
                <w:webHidden/>
              </w:rPr>
              <w:tab/>
            </w:r>
            <w:r>
              <w:rPr>
                <w:noProof/>
                <w:webHidden/>
              </w:rPr>
              <w:fldChar w:fldCharType="begin"/>
            </w:r>
            <w:r>
              <w:rPr>
                <w:noProof/>
                <w:webHidden/>
              </w:rPr>
              <w:instrText xml:space="preserve"> PAGEREF _Toc220496958 \h </w:instrText>
            </w:r>
            <w:r>
              <w:rPr>
                <w:noProof/>
                <w:webHidden/>
              </w:rPr>
            </w:r>
            <w:r>
              <w:rPr>
                <w:noProof/>
                <w:webHidden/>
              </w:rPr>
              <w:fldChar w:fldCharType="separate"/>
            </w:r>
            <w:r>
              <w:rPr>
                <w:noProof/>
                <w:webHidden/>
              </w:rPr>
              <w:t>1177</w:t>
            </w:r>
            <w:r>
              <w:rPr>
                <w:noProof/>
                <w:webHidden/>
              </w:rPr>
              <w:fldChar w:fldCharType="end"/>
            </w:r>
          </w:hyperlink>
        </w:p>
        <w:p w14:paraId="1748C4C8" w14:textId="6D0631E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59" w:history="1">
            <w:r w:rsidRPr="00F45DCA">
              <w:rPr>
                <w:rStyle w:val="Lienhypertexte"/>
                <w:noProof/>
              </w:rPr>
              <w:t>26.46.4 (titre réservé) CCTB 01.04</w:t>
            </w:r>
            <w:r>
              <w:rPr>
                <w:noProof/>
                <w:webHidden/>
              </w:rPr>
              <w:tab/>
            </w:r>
            <w:r>
              <w:rPr>
                <w:noProof/>
                <w:webHidden/>
              </w:rPr>
              <w:fldChar w:fldCharType="begin"/>
            </w:r>
            <w:r>
              <w:rPr>
                <w:noProof/>
                <w:webHidden/>
              </w:rPr>
              <w:instrText xml:space="preserve"> PAGEREF _Toc220496959 \h </w:instrText>
            </w:r>
            <w:r>
              <w:rPr>
                <w:noProof/>
                <w:webHidden/>
              </w:rPr>
            </w:r>
            <w:r>
              <w:rPr>
                <w:noProof/>
                <w:webHidden/>
              </w:rPr>
              <w:fldChar w:fldCharType="separate"/>
            </w:r>
            <w:r>
              <w:rPr>
                <w:noProof/>
                <w:webHidden/>
              </w:rPr>
              <w:t>1177</w:t>
            </w:r>
            <w:r>
              <w:rPr>
                <w:noProof/>
                <w:webHidden/>
              </w:rPr>
              <w:fldChar w:fldCharType="end"/>
            </w:r>
          </w:hyperlink>
        </w:p>
        <w:p w14:paraId="5DB1EE38" w14:textId="6C5988A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60" w:history="1">
            <w:r w:rsidRPr="00F45DCA">
              <w:rPr>
                <w:rStyle w:val="Lienhypertexte"/>
                <w:noProof/>
              </w:rPr>
              <w:t>26.47 Isolation en blocs CCTB 01.11</w:t>
            </w:r>
            <w:r>
              <w:rPr>
                <w:noProof/>
                <w:webHidden/>
              </w:rPr>
              <w:tab/>
            </w:r>
            <w:r>
              <w:rPr>
                <w:noProof/>
                <w:webHidden/>
              </w:rPr>
              <w:fldChar w:fldCharType="begin"/>
            </w:r>
            <w:r>
              <w:rPr>
                <w:noProof/>
                <w:webHidden/>
              </w:rPr>
              <w:instrText xml:space="preserve"> PAGEREF _Toc220496960 \h </w:instrText>
            </w:r>
            <w:r>
              <w:rPr>
                <w:noProof/>
                <w:webHidden/>
              </w:rPr>
            </w:r>
            <w:r>
              <w:rPr>
                <w:noProof/>
                <w:webHidden/>
              </w:rPr>
              <w:fldChar w:fldCharType="separate"/>
            </w:r>
            <w:r>
              <w:rPr>
                <w:noProof/>
                <w:webHidden/>
              </w:rPr>
              <w:t>1177</w:t>
            </w:r>
            <w:r>
              <w:rPr>
                <w:noProof/>
                <w:webHidden/>
              </w:rPr>
              <w:fldChar w:fldCharType="end"/>
            </w:r>
          </w:hyperlink>
        </w:p>
        <w:p w14:paraId="0E0CB1B7" w14:textId="1638BAC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61" w:history="1">
            <w:r w:rsidRPr="00F45DCA">
              <w:rPr>
                <w:rStyle w:val="Lienhypertexte"/>
                <w:noProof/>
              </w:rPr>
              <w:t>26.47.1 Isolation en blocs - matières synthétiques CCTB 01.02</w:t>
            </w:r>
            <w:r>
              <w:rPr>
                <w:noProof/>
                <w:webHidden/>
              </w:rPr>
              <w:tab/>
            </w:r>
            <w:r>
              <w:rPr>
                <w:noProof/>
                <w:webHidden/>
              </w:rPr>
              <w:fldChar w:fldCharType="begin"/>
            </w:r>
            <w:r>
              <w:rPr>
                <w:noProof/>
                <w:webHidden/>
              </w:rPr>
              <w:instrText xml:space="preserve"> PAGEREF _Toc220496961 \h </w:instrText>
            </w:r>
            <w:r>
              <w:rPr>
                <w:noProof/>
                <w:webHidden/>
              </w:rPr>
            </w:r>
            <w:r>
              <w:rPr>
                <w:noProof/>
                <w:webHidden/>
              </w:rPr>
              <w:fldChar w:fldCharType="separate"/>
            </w:r>
            <w:r>
              <w:rPr>
                <w:noProof/>
                <w:webHidden/>
              </w:rPr>
              <w:t>1178</w:t>
            </w:r>
            <w:r>
              <w:rPr>
                <w:noProof/>
                <w:webHidden/>
              </w:rPr>
              <w:fldChar w:fldCharType="end"/>
            </w:r>
          </w:hyperlink>
        </w:p>
        <w:p w14:paraId="180A6504" w14:textId="6CB964B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62" w:history="1">
            <w:r w:rsidRPr="00F45DCA">
              <w:rPr>
                <w:rStyle w:val="Lienhypertexte"/>
                <w:noProof/>
              </w:rPr>
              <w:t>26.47.1a Isolation en blocs - entrevous de polystyrène CCTB 01.04</w:t>
            </w:r>
            <w:r>
              <w:rPr>
                <w:noProof/>
                <w:webHidden/>
              </w:rPr>
              <w:tab/>
            </w:r>
            <w:r>
              <w:rPr>
                <w:noProof/>
                <w:webHidden/>
              </w:rPr>
              <w:fldChar w:fldCharType="begin"/>
            </w:r>
            <w:r>
              <w:rPr>
                <w:noProof/>
                <w:webHidden/>
              </w:rPr>
              <w:instrText xml:space="preserve"> PAGEREF _Toc220496962 \h </w:instrText>
            </w:r>
            <w:r>
              <w:rPr>
                <w:noProof/>
                <w:webHidden/>
              </w:rPr>
            </w:r>
            <w:r>
              <w:rPr>
                <w:noProof/>
                <w:webHidden/>
              </w:rPr>
              <w:fldChar w:fldCharType="separate"/>
            </w:r>
            <w:r>
              <w:rPr>
                <w:noProof/>
                <w:webHidden/>
              </w:rPr>
              <w:t>1178</w:t>
            </w:r>
            <w:r>
              <w:rPr>
                <w:noProof/>
                <w:webHidden/>
              </w:rPr>
              <w:fldChar w:fldCharType="end"/>
            </w:r>
          </w:hyperlink>
        </w:p>
        <w:p w14:paraId="61D21262" w14:textId="3485F63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63" w:history="1">
            <w:r w:rsidRPr="00F45DCA">
              <w:rPr>
                <w:rStyle w:val="Lienhypertexte"/>
                <w:noProof/>
              </w:rPr>
              <w:t>26.47.1b Isolation en blocs - polystyrène expansé (EPS) CCTB 01.02</w:t>
            </w:r>
            <w:r>
              <w:rPr>
                <w:noProof/>
                <w:webHidden/>
              </w:rPr>
              <w:tab/>
            </w:r>
            <w:r>
              <w:rPr>
                <w:noProof/>
                <w:webHidden/>
              </w:rPr>
              <w:fldChar w:fldCharType="begin"/>
            </w:r>
            <w:r>
              <w:rPr>
                <w:noProof/>
                <w:webHidden/>
              </w:rPr>
              <w:instrText xml:space="preserve"> PAGEREF _Toc220496963 \h </w:instrText>
            </w:r>
            <w:r>
              <w:rPr>
                <w:noProof/>
                <w:webHidden/>
              </w:rPr>
            </w:r>
            <w:r>
              <w:rPr>
                <w:noProof/>
                <w:webHidden/>
              </w:rPr>
              <w:fldChar w:fldCharType="separate"/>
            </w:r>
            <w:r>
              <w:rPr>
                <w:noProof/>
                <w:webHidden/>
              </w:rPr>
              <w:t>1178</w:t>
            </w:r>
            <w:r>
              <w:rPr>
                <w:noProof/>
                <w:webHidden/>
              </w:rPr>
              <w:fldChar w:fldCharType="end"/>
            </w:r>
          </w:hyperlink>
        </w:p>
        <w:p w14:paraId="531821D3" w14:textId="1DDE002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64" w:history="1">
            <w:r w:rsidRPr="00F45DCA">
              <w:rPr>
                <w:rStyle w:val="Lienhypertexte"/>
                <w:noProof/>
              </w:rPr>
              <w:t>26.47.1c Isolation en blocs - polystyrène expansé additionné de graphite/carbone CCTB 01.02</w:t>
            </w:r>
            <w:r>
              <w:rPr>
                <w:noProof/>
                <w:webHidden/>
              </w:rPr>
              <w:tab/>
            </w:r>
            <w:r>
              <w:rPr>
                <w:noProof/>
                <w:webHidden/>
              </w:rPr>
              <w:fldChar w:fldCharType="begin"/>
            </w:r>
            <w:r>
              <w:rPr>
                <w:noProof/>
                <w:webHidden/>
              </w:rPr>
              <w:instrText xml:space="preserve"> PAGEREF _Toc220496964 \h </w:instrText>
            </w:r>
            <w:r>
              <w:rPr>
                <w:noProof/>
                <w:webHidden/>
              </w:rPr>
            </w:r>
            <w:r>
              <w:rPr>
                <w:noProof/>
                <w:webHidden/>
              </w:rPr>
              <w:fldChar w:fldCharType="separate"/>
            </w:r>
            <w:r>
              <w:rPr>
                <w:noProof/>
                <w:webHidden/>
              </w:rPr>
              <w:t>1178</w:t>
            </w:r>
            <w:r>
              <w:rPr>
                <w:noProof/>
                <w:webHidden/>
              </w:rPr>
              <w:fldChar w:fldCharType="end"/>
            </w:r>
          </w:hyperlink>
        </w:p>
        <w:p w14:paraId="5FD68EE4" w14:textId="7CAF0D6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65" w:history="1">
            <w:r w:rsidRPr="00F45DCA">
              <w:rPr>
                <w:rStyle w:val="Lienhypertexte"/>
                <w:noProof/>
              </w:rPr>
              <w:t>26.47.1d Isolation en blocs de coffrage - polystyrène expansé (EPS) CCTB 01.02</w:t>
            </w:r>
            <w:r>
              <w:rPr>
                <w:noProof/>
                <w:webHidden/>
              </w:rPr>
              <w:tab/>
            </w:r>
            <w:r>
              <w:rPr>
                <w:noProof/>
                <w:webHidden/>
              </w:rPr>
              <w:fldChar w:fldCharType="begin"/>
            </w:r>
            <w:r>
              <w:rPr>
                <w:noProof/>
                <w:webHidden/>
              </w:rPr>
              <w:instrText xml:space="preserve"> PAGEREF _Toc220496965 \h </w:instrText>
            </w:r>
            <w:r>
              <w:rPr>
                <w:noProof/>
                <w:webHidden/>
              </w:rPr>
            </w:r>
            <w:r>
              <w:rPr>
                <w:noProof/>
                <w:webHidden/>
              </w:rPr>
              <w:fldChar w:fldCharType="separate"/>
            </w:r>
            <w:r>
              <w:rPr>
                <w:noProof/>
                <w:webHidden/>
              </w:rPr>
              <w:t>1178</w:t>
            </w:r>
            <w:r>
              <w:rPr>
                <w:noProof/>
                <w:webHidden/>
              </w:rPr>
              <w:fldChar w:fldCharType="end"/>
            </w:r>
          </w:hyperlink>
        </w:p>
        <w:p w14:paraId="4534A89B" w14:textId="2B916EB1"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66" w:history="1">
            <w:r w:rsidRPr="00F45DCA">
              <w:rPr>
                <w:rStyle w:val="Lienhypertexte"/>
                <w:noProof/>
              </w:rPr>
              <w:t>26.47.1e Isolation en blocs de coffrage - avec surépaisseur de mousse de polystyrène expansé (EPS) CCTB 01.02</w:t>
            </w:r>
            <w:r>
              <w:rPr>
                <w:noProof/>
                <w:webHidden/>
              </w:rPr>
              <w:tab/>
            </w:r>
            <w:r>
              <w:rPr>
                <w:noProof/>
                <w:webHidden/>
              </w:rPr>
              <w:fldChar w:fldCharType="begin"/>
            </w:r>
            <w:r>
              <w:rPr>
                <w:noProof/>
                <w:webHidden/>
              </w:rPr>
              <w:instrText xml:space="preserve"> PAGEREF _Toc220496966 \h </w:instrText>
            </w:r>
            <w:r>
              <w:rPr>
                <w:noProof/>
                <w:webHidden/>
              </w:rPr>
            </w:r>
            <w:r>
              <w:rPr>
                <w:noProof/>
                <w:webHidden/>
              </w:rPr>
              <w:fldChar w:fldCharType="separate"/>
            </w:r>
            <w:r>
              <w:rPr>
                <w:noProof/>
                <w:webHidden/>
              </w:rPr>
              <w:t>1178</w:t>
            </w:r>
            <w:r>
              <w:rPr>
                <w:noProof/>
                <w:webHidden/>
              </w:rPr>
              <w:fldChar w:fldCharType="end"/>
            </w:r>
          </w:hyperlink>
        </w:p>
        <w:p w14:paraId="10350BBE" w14:textId="738A3154"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67" w:history="1">
            <w:r w:rsidRPr="00F45DCA">
              <w:rPr>
                <w:rStyle w:val="Lienhypertexte"/>
                <w:noProof/>
              </w:rPr>
              <w:t>26.47.1f Isolation en blocs de coffrage - polystyrène expansé additionné de graphite/carbone CCTB 01.02</w:t>
            </w:r>
            <w:r>
              <w:rPr>
                <w:noProof/>
                <w:webHidden/>
              </w:rPr>
              <w:tab/>
            </w:r>
            <w:r>
              <w:rPr>
                <w:noProof/>
                <w:webHidden/>
              </w:rPr>
              <w:fldChar w:fldCharType="begin"/>
            </w:r>
            <w:r>
              <w:rPr>
                <w:noProof/>
                <w:webHidden/>
              </w:rPr>
              <w:instrText xml:space="preserve"> PAGEREF _Toc220496967 \h </w:instrText>
            </w:r>
            <w:r>
              <w:rPr>
                <w:noProof/>
                <w:webHidden/>
              </w:rPr>
            </w:r>
            <w:r>
              <w:rPr>
                <w:noProof/>
                <w:webHidden/>
              </w:rPr>
              <w:fldChar w:fldCharType="separate"/>
            </w:r>
            <w:r>
              <w:rPr>
                <w:noProof/>
                <w:webHidden/>
              </w:rPr>
              <w:t>1178</w:t>
            </w:r>
            <w:r>
              <w:rPr>
                <w:noProof/>
                <w:webHidden/>
              </w:rPr>
              <w:fldChar w:fldCharType="end"/>
            </w:r>
          </w:hyperlink>
        </w:p>
        <w:p w14:paraId="5E102BCC" w14:textId="0AD5CD7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68" w:history="1">
            <w:r w:rsidRPr="00F45DCA">
              <w:rPr>
                <w:rStyle w:val="Lienhypertexte"/>
                <w:noProof/>
              </w:rPr>
              <w:t>26.47.1g Isolation en blocs de coffrage - avec surépaisseur de polystyrène expansé additionné de graphite/c. CCTB 01.11</w:t>
            </w:r>
            <w:r>
              <w:rPr>
                <w:noProof/>
                <w:webHidden/>
              </w:rPr>
              <w:tab/>
            </w:r>
            <w:r>
              <w:rPr>
                <w:noProof/>
                <w:webHidden/>
              </w:rPr>
              <w:fldChar w:fldCharType="begin"/>
            </w:r>
            <w:r>
              <w:rPr>
                <w:noProof/>
                <w:webHidden/>
              </w:rPr>
              <w:instrText xml:space="preserve"> PAGEREF _Toc220496968 \h </w:instrText>
            </w:r>
            <w:r>
              <w:rPr>
                <w:noProof/>
                <w:webHidden/>
              </w:rPr>
            </w:r>
            <w:r>
              <w:rPr>
                <w:noProof/>
                <w:webHidden/>
              </w:rPr>
              <w:fldChar w:fldCharType="separate"/>
            </w:r>
            <w:r>
              <w:rPr>
                <w:noProof/>
                <w:webHidden/>
              </w:rPr>
              <w:t>1178</w:t>
            </w:r>
            <w:r>
              <w:rPr>
                <w:noProof/>
                <w:webHidden/>
              </w:rPr>
              <w:fldChar w:fldCharType="end"/>
            </w:r>
          </w:hyperlink>
        </w:p>
        <w:p w14:paraId="2D6D1EA8" w14:textId="782E620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69" w:history="1">
            <w:r w:rsidRPr="00F45DCA">
              <w:rPr>
                <w:rStyle w:val="Lienhypertexte"/>
                <w:noProof/>
              </w:rPr>
              <w:t>26.47.2 Isolation en blocs - matières végétales CCTB 01.02</w:t>
            </w:r>
            <w:r>
              <w:rPr>
                <w:noProof/>
                <w:webHidden/>
              </w:rPr>
              <w:tab/>
            </w:r>
            <w:r>
              <w:rPr>
                <w:noProof/>
                <w:webHidden/>
              </w:rPr>
              <w:fldChar w:fldCharType="begin"/>
            </w:r>
            <w:r>
              <w:rPr>
                <w:noProof/>
                <w:webHidden/>
              </w:rPr>
              <w:instrText xml:space="preserve"> PAGEREF _Toc220496969 \h </w:instrText>
            </w:r>
            <w:r>
              <w:rPr>
                <w:noProof/>
                <w:webHidden/>
              </w:rPr>
            </w:r>
            <w:r>
              <w:rPr>
                <w:noProof/>
                <w:webHidden/>
              </w:rPr>
              <w:fldChar w:fldCharType="separate"/>
            </w:r>
            <w:r>
              <w:rPr>
                <w:noProof/>
                <w:webHidden/>
              </w:rPr>
              <w:t>1178</w:t>
            </w:r>
            <w:r>
              <w:rPr>
                <w:noProof/>
                <w:webHidden/>
              </w:rPr>
              <w:fldChar w:fldCharType="end"/>
            </w:r>
          </w:hyperlink>
        </w:p>
        <w:p w14:paraId="4E3DDBF0" w14:textId="1D94125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70" w:history="1">
            <w:r w:rsidRPr="00F45DCA">
              <w:rPr>
                <w:rStyle w:val="Lienhypertexte"/>
                <w:noProof/>
              </w:rPr>
              <w:t>26.47.2a Isolation en blocs - paille CCTB 01.11</w:t>
            </w:r>
            <w:r>
              <w:rPr>
                <w:noProof/>
                <w:webHidden/>
              </w:rPr>
              <w:tab/>
            </w:r>
            <w:r>
              <w:rPr>
                <w:noProof/>
                <w:webHidden/>
              </w:rPr>
              <w:fldChar w:fldCharType="begin"/>
            </w:r>
            <w:r>
              <w:rPr>
                <w:noProof/>
                <w:webHidden/>
              </w:rPr>
              <w:instrText xml:space="preserve"> PAGEREF _Toc220496970 \h </w:instrText>
            </w:r>
            <w:r>
              <w:rPr>
                <w:noProof/>
                <w:webHidden/>
              </w:rPr>
            </w:r>
            <w:r>
              <w:rPr>
                <w:noProof/>
                <w:webHidden/>
              </w:rPr>
              <w:fldChar w:fldCharType="separate"/>
            </w:r>
            <w:r>
              <w:rPr>
                <w:noProof/>
                <w:webHidden/>
              </w:rPr>
              <w:t>1178</w:t>
            </w:r>
            <w:r>
              <w:rPr>
                <w:noProof/>
                <w:webHidden/>
              </w:rPr>
              <w:fldChar w:fldCharType="end"/>
            </w:r>
          </w:hyperlink>
        </w:p>
        <w:p w14:paraId="362B55EA" w14:textId="574A3F3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71" w:history="1">
            <w:r w:rsidRPr="00F45DCA">
              <w:rPr>
                <w:rStyle w:val="Lienhypertexte"/>
                <w:noProof/>
              </w:rPr>
              <w:t>26.47.3 Isolation en blocs - matières composites CCTB 01.02</w:t>
            </w:r>
            <w:r>
              <w:rPr>
                <w:noProof/>
                <w:webHidden/>
              </w:rPr>
              <w:tab/>
            </w:r>
            <w:r>
              <w:rPr>
                <w:noProof/>
                <w:webHidden/>
              </w:rPr>
              <w:fldChar w:fldCharType="begin"/>
            </w:r>
            <w:r>
              <w:rPr>
                <w:noProof/>
                <w:webHidden/>
              </w:rPr>
              <w:instrText xml:space="preserve"> PAGEREF _Toc220496971 \h </w:instrText>
            </w:r>
            <w:r>
              <w:rPr>
                <w:noProof/>
                <w:webHidden/>
              </w:rPr>
            </w:r>
            <w:r>
              <w:rPr>
                <w:noProof/>
                <w:webHidden/>
              </w:rPr>
              <w:fldChar w:fldCharType="separate"/>
            </w:r>
            <w:r>
              <w:rPr>
                <w:noProof/>
                <w:webHidden/>
              </w:rPr>
              <w:t>1180</w:t>
            </w:r>
            <w:r>
              <w:rPr>
                <w:noProof/>
                <w:webHidden/>
              </w:rPr>
              <w:fldChar w:fldCharType="end"/>
            </w:r>
          </w:hyperlink>
        </w:p>
        <w:p w14:paraId="378BAFAD" w14:textId="46DB3F7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72" w:history="1">
            <w:r w:rsidRPr="00F45DCA">
              <w:rPr>
                <w:rStyle w:val="Lienhypertexte"/>
                <w:noProof/>
              </w:rPr>
              <w:t>26.47.3a Isolation en blocs - ponce sans isolant complémentaire CCTB 01.02</w:t>
            </w:r>
            <w:r>
              <w:rPr>
                <w:noProof/>
                <w:webHidden/>
              </w:rPr>
              <w:tab/>
            </w:r>
            <w:r>
              <w:rPr>
                <w:noProof/>
                <w:webHidden/>
              </w:rPr>
              <w:fldChar w:fldCharType="begin"/>
            </w:r>
            <w:r>
              <w:rPr>
                <w:noProof/>
                <w:webHidden/>
              </w:rPr>
              <w:instrText xml:space="preserve"> PAGEREF _Toc220496972 \h </w:instrText>
            </w:r>
            <w:r>
              <w:rPr>
                <w:noProof/>
                <w:webHidden/>
              </w:rPr>
            </w:r>
            <w:r>
              <w:rPr>
                <w:noProof/>
                <w:webHidden/>
              </w:rPr>
              <w:fldChar w:fldCharType="separate"/>
            </w:r>
            <w:r>
              <w:rPr>
                <w:noProof/>
                <w:webHidden/>
              </w:rPr>
              <w:t>1180</w:t>
            </w:r>
            <w:r>
              <w:rPr>
                <w:noProof/>
                <w:webHidden/>
              </w:rPr>
              <w:fldChar w:fldCharType="end"/>
            </w:r>
          </w:hyperlink>
        </w:p>
        <w:p w14:paraId="04DF4622" w14:textId="5B957DD8"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73" w:history="1">
            <w:r w:rsidRPr="00F45DCA">
              <w:rPr>
                <w:rStyle w:val="Lienhypertexte"/>
                <w:noProof/>
              </w:rPr>
              <w:t>26.47.3b Isolation en blocs - ponce avec isolant complémentaire CCTB 01.02</w:t>
            </w:r>
            <w:r>
              <w:rPr>
                <w:noProof/>
                <w:webHidden/>
              </w:rPr>
              <w:tab/>
            </w:r>
            <w:r>
              <w:rPr>
                <w:noProof/>
                <w:webHidden/>
              </w:rPr>
              <w:fldChar w:fldCharType="begin"/>
            </w:r>
            <w:r>
              <w:rPr>
                <w:noProof/>
                <w:webHidden/>
              </w:rPr>
              <w:instrText xml:space="preserve"> PAGEREF _Toc220496973 \h </w:instrText>
            </w:r>
            <w:r>
              <w:rPr>
                <w:noProof/>
                <w:webHidden/>
              </w:rPr>
            </w:r>
            <w:r>
              <w:rPr>
                <w:noProof/>
                <w:webHidden/>
              </w:rPr>
              <w:fldChar w:fldCharType="separate"/>
            </w:r>
            <w:r>
              <w:rPr>
                <w:noProof/>
                <w:webHidden/>
              </w:rPr>
              <w:t>1180</w:t>
            </w:r>
            <w:r>
              <w:rPr>
                <w:noProof/>
                <w:webHidden/>
              </w:rPr>
              <w:fldChar w:fldCharType="end"/>
            </w:r>
          </w:hyperlink>
        </w:p>
        <w:p w14:paraId="0492485E" w14:textId="3A0AFF0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74" w:history="1">
            <w:r w:rsidRPr="00F45DCA">
              <w:rPr>
                <w:rStyle w:val="Lienhypertexte"/>
                <w:noProof/>
              </w:rPr>
              <w:t>26.47.3c Isolation en blocs - béton de bois sans isolant complémentaire CCTB 01.11</w:t>
            </w:r>
            <w:r>
              <w:rPr>
                <w:noProof/>
                <w:webHidden/>
              </w:rPr>
              <w:tab/>
            </w:r>
            <w:r>
              <w:rPr>
                <w:noProof/>
                <w:webHidden/>
              </w:rPr>
              <w:fldChar w:fldCharType="begin"/>
            </w:r>
            <w:r>
              <w:rPr>
                <w:noProof/>
                <w:webHidden/>
              </w:rPr>
              <w:instrText xml:space="preserve"> PAGEREF _Toc220496974 \h </w:instrText>
            </w:r>
            <w:r>
              <w:rPr>
                <w:noProof/>
                <w:webHidden/>
              </w:rPr>
            </w:r>
            <w:r>
              <w:rPr>
                <w:noProof/>
                <w:webHidden/>
              </w:rPr>
              <w:fldChar w:fldCharType="separate"/>
            </w:r>
            <w:r>
              <w:rPr>
                <w:noProof/>
                <w:webHidden/>
              </w:rPr>
              <w:t>1180</w:t>
            </w:r>
            <w:r>
              <w:rPr>
                <w:noProof/>
                <w:webHidden/>
              </w:rPr>
              <w:fldChar w:fldCharType="end"/>
            </w:r>
          </w:hyperlink>
        </w:p>
        <w:p w14:paraId="7AEEF298" w14:textId="7B1B741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75" w:history="1">
            <w:r w:rsidRPr="00F45DCA">
              <w:rPr>
                <w:rStyle w:val="Lienhypertexte"/>
                <w:noProof/>
              </w:rPr>
              <w:t>26.47.3d Isolation en blocs - béton de bois avec isolant complémentaire CCTB 01.11</w:t>
            </w:r>
            <w:r>
              <w:rPr>
                <w:noProof/>
                <w:webHidden/>
              </w:rPr>
              <w:tab/>
            </w:r>
            <w:r>
              <w:rPr>
                <w:noProof/>
                <w:webHidden/>
              </w:rPr>
              <w:fldChar w:fldCharType="begin"/>
            </w:r>
            <w:r>
              <w:rPr>
                <w:noProof/>
                <w:webHidden/>
              </w:rPr>
              <w:instrText xml:space="preserve"> PAGEREF _Toc220496975 \h </w:instrText>
            </w:r>
            <w:r>
              <w:rPr>
                <w:noProof/>
                <w:webHidden/>
              </w:rPr>
            </w:r>
            <w:r>
              <w:rPr>
                <w:noProof/>
                <w:webHidden/>
              </w:rPr>
              <w:fldChar w:fldCharType="separate"/>
            </w:r>
            <w:r>
              <w:rPr>
                <w:noProof/>
                <w:webHidden/>
              </w:rPr>
              <w:t>1183</w:t>
            </w:r>
            <w:r>
              <w:rPr>
                <w:noProof/>
                <w:webHidden/>
              </w:rPr>
              <w:fldChar w:fldCharType="end"/>
            </w:r>
          </w:hyperlink>
        </w:p>
        <w:p w14:paraId="3BDDB71E" w14:textId="44011D8F"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976" w:history="1">
            <w:r w:rsidRPr="00F45DCA">
              <w:rPr>
                <w:rStyle w:val="Lienhypertexte"/>
                <w:noProof/>
              </w:rPr>
              <w:t>26.5 Isolations à usages spécifiques CCTB 01.04</w:t>
            </w:r>
            <w:r>
              <w:rPr>
                <w:noProof/>
                <w:webHidden/>
              </w:rPr>
              <w:tab/>
            </w:r>
            <w:r>
              <w:rPr>
                <w:noProof/>
                <w:webHidden/>
              </w:rPr>
              <w:fldChar w:fldCharType="begin"/>
            </w:r>
            <w:r>
              <w:rPr>
                <w:noProof/>
                <w:webHidden/>
              </w:rPr>
              <w:instrText xml:space="preserve"> PAGEREF _Toc220496976 \h </w:instrText>
            </w:r>
            <w:r>
              <w:rPr>
                <w:noProof/>
                <w:webHidden/>
              </w:rPr>
            </w:r>
            <w:r>
              <w:rPr>
                <w:noProof/>
                <w:webHidden/>
              </w:rPr>
              <w:fldChar w:fldCharType="separate"/>
            </w:r>
            <w:r>
              <w:rPr>
                <w:noProof/>
                <w:webHidden/>
              </w:rPr>
              <w:t>1185</w:t>
            </w:r>
            <w:r>
              <w:rPr>
                <w:noProof/>
                <w:webHidden/>
              </w:rPr>
              <w:fldChar w:fldCharType="end"/>
            </w:r>
          </w:hyperlink>
        </w:p>
        <w:p w14:paraId="43C6C427" w14:textId="6501E31E"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977" w:history="1">
            <w:r w:rsidRPr="00F45DCA">
              <w:rPr>
                <w:rStyle w:val="Lienhypertexte"/>
                <w:noProof/>
              </w:rPr>
              <w:t>26.6 - CCTB 01.02</w:t>
            </w:r>
            <w:r>
              <w:rPr>
                <w:noProof/>
                <w:webHidden/>
              </w:rPr>
              <w:tab/>
            </w:r>
            <w:r>
              <w:rPr>
                <w:noProof/>
                <w:webHidden/>
              </w:rPr>
              <w:fldChar w:fldCharType="begin"/>
            </w:r>
            <w:r>
              <w:rPr>
                <w:noProof/>
                <w:webHidden/>
              </w:rPr>
              <w:instrText xml:space="preserve"> PAGEREF _Toc220496977 \h </w:instrText>
            </w:r>
            <w:r>
              <w:rPr>
                <w:noProof/>
                <w:webHidden/>
              </w:rPr>
            </w:r>
            <w:r>
              <w:rPr>
                <w:noProof/>
                <w:webHidden/>
              </w:rPr>
              <w:fldChar w:fldCharType="separate"/>
            </w:r>
            <w:r>
              <w:rPr>
                <w:noProof/>
                <w:webHidden/>
              </w:rPr>
              <w:t>1185</w:t>
            </w:r>
            <w:r>
              <w:rPr>
                <w:noProof/>
                <w:webHidden/>
              </w:rPr>
              <w:fldChar w:fldCharType="end"/>
            </w:r>
          </w:hyperlink>
        </w:p>
        <w:p w14:paraId="3B5FE63B" w14:textId="1553036B"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978" w:history="1">
            <w:r w:rsidRPr="00F45DCA">
              <w:rPr>
                <w:rStyle w:val="Lienhypertexte"/>
                <w:noProof/>
              </w:rPr>
              <w:t>26.7 -</w:t>
            </w:r>
            <w:r>
              <w:rPr>
                <w:noProof/>
                <w:webHidden/>
              </w:rPr>
              <w:tab/>
            </w:r>
            <w:r>
              <w:rPr>
                <w:noProof/>
                <w:webHidden/>
              </w:rPr>
              <w:fldChar w:fldCharType="begin"/>
            </w:r>
            <w:r>
              <w:rPr>
                <w:noProof/>
                <w:webHidden/>
              </w:rPr>
              <w:instrText xml:space="preserve"> PAGEREF _Toc220496978 \h </w:instrText>
            </w:r>
            <w:r>
              <w:rPr>
                <w:noProof/>
                <w:webHidden/>
              </w:rPr>
            </w:r>
            <w:r>
              <w:rPr>
                <w:noProof/>
                <w:webHidden/>
              </w:rPr>
              <w:fldChar w:fldCharType="separate"/>
            </w:r>
            <w:r>
              <w:rPr>
                <w:noProof/>
                <w:webHidden/>
              </w:rPr>
              <w:t>1185</w:t>
            </w:r>
            <w:r>
              <w:rPr>
                <w:noProof/>
                <w:webHidden/>
              </w:rPr>
              <w:fldChar w:fldCharType="end"/>
            </w:r>
          </w:hyperlink>
        </w:p>
        <w:p w14:paraId="69104C02" w14:textId="7F663184"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979" w:history="1">
            <w:r w:rsidRPr="00F45DCA">
              <w:rPr>
                <w:rStyle w:val="Lienhypertexte"/>
                <w:noProof/>
              </w:rPr>
              <w:t>26.8 Etanchéisation et isolation - Rénovation CCTB 01.04</w:t>
            </w:r>
            <w:r>
              <w:rPr>
                <w:noProof/>
                <w:webHidden/>
              </w:rPr>
              <w:tab/>
            </w:r>
            <w:r>
              <w:rPr>
                <w:noProof/>
                <w:webHidden/>
              </w:rPr>
              <w:fldChar w:fldCharType="begin"/>
            </w:r>
            <w:r>
              <w:rPr>
                <w:noProof/>
                <w:webHidden/>
              </w:rPr>
              <w:instrText xml:space="preserve"> PAGEREF _Toc220496979 \h </w:instrText>
            </w:r>
            <w:r>
              <w:rPr>
                <w:noProof/>
                <w:webHidden/>
              </w:rPr>
            </w:r>
            <w:r>
              <w:rPr>
                <w:noProof/>
                <w:webHidden/>
              </w:rPr>
              <w:fldChar w:fldCharType="separate"/>
            </w:r>
            <w:r>
              <w:rPr>
                <w:noProof/>
                <w:webHidden/>
              </w:rPr>
              <w:t>1185</w:t>
            </w:r>
            <w:r>
              <w:rPr>
                <w:noProof/>
                <w:webHidden/>
              </w:rPr>
              <w:fldChar w:fldCharType="end"/>
            </w:r>
          </w:hyperlink>
        </w:p>
        <w:p w14:paraId="3140DC1E" w14:textId="592F52A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80" w:history="1">
            <w:r w:rsidRPr="00F45DCA">
              <w:rPr>
                <w:rStyle w:val="Lienhypertexte"/>
                <w:noProof/>
              </w:rPr>
              <w:t>26.81 Etudes et essais préliminaires CCTB 01.04</w:t>
            </w:r>
            <w:r>
              <w:rPr>
                <w:noProof/>
                <w:webHidden/>
              </w:rPr>
              <w:tab/>
            </w:r>
            <w:r>
              <w:rPr>
                <w:noProof/>
                <w:webHidden/>
              </w:rPr>
              <w:fldChar w:fldCharType="begin"/>
            </w:r>
            <w:r>
              <w:rPr>
                <w:noProof/>
                <w:webHidden/>
              </w:rPr>
              <w:instrText xml:space="preserve"> PAGEREF _Toc220496980 \h </w:instrText>
            </w:r>
            <w:r>
              <w:rPr>
                <w:noProof/>
                <w:webHidden/>
              </w:rPr>
            </w:r>
            <w:r>
              <w:rPr>
                <w:noProof/>
                <w:webHidden/>
              </w:rPr>
              <w:fldChar w:fldCharType="separate"/>
            </w:r>
            <w:r>
              <w:rPr>
                <w:noProof/>
                <w:webHidden/>
              </w:rPr>
              <w:t>1185</w:t>
            </w:r>
            <w:r>
              <w:rPr>
                <w:noProof/>
                <w:webHidden/>
              </w:rPr>
              <w:fldChar w:fldCharType="end"/>
            </w:r>
          </w:hyperlink>
        </w:p>
        <w:p w14:paraId="20493A40" w14:textId="2EAAFAF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81" w:history="1">
            <w:r w:rsidRPr="00F45DCA">
              <w:rPr>
                <w:rStyle w:val="Lienhypertexte"/>
                <w:noProof/>
              </w:rPr>
              <w:t>26.82 Dépose / démontage / percement / déconstruction-démolition CCTB 01.04</w:t>
            </w:r>
            <w:r>
              <w:rPr>
                <w:noProof/>
                <w:webHidden/>
              </w:rPr>
              <w:tab/>
            </w:r>
            <w:r>
              <w:rPr>
                <w:noProof/>
                <w:webHidden/>
              </w:rPr>
              <w:fldChar w:fldCharType="begin"/>
            </w:r>
            <w:r>
              <w:rPr>
                <w:noProof/>
                <w:webHidden/>
              </w:rPr>
              <w:instrText xml:space="preserve"> PAGEREF _Toc220496981 \h </w:instrText>
            </w:r>
            <w:r>
              <w:rPr>
                <w:noProof/>
                <w:webHidden/>
              </w:rPr>
            </w:r>
            <w:r>
              <w:rPr>
                <w:noProof/>
                <w:webHidden/>
              </w:rPr>
              <w:fldChar w:fldCharType="separate"/>
            </w:r>
            <w:r>
              <w:rPr>
                <w:noProof/>
                <w:webHidden/>
              </w:rPr>
              <w:t>1185</w:t>
            </w:r>
            <w:r>
              <w:rPr>
                <w:noProof/>
                <w:webHidden/>
              </w:rPr>
              <w:fldChar w:fldCharType="end"/>
            </w:r>
          </w:hyperlink>
        </w:p>
        <w:p w14:paraId="344C6A70" w14:textId="3E3ED48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82" w:history="1">
            <w:r w:rsidRPr="00F45DCA">
              <w:rPr>
                <w:rStyle w:val="Lienhypertexte"/>
                <w:noProof/>
              </w:rPr>
              <w:t>26.83 Réparation / ragréage / rénovation CCTB 01.04</w:t>
            </w:r>
            <w:r>
              <w:rPr>
                <w:noProof/>
                <w:webHidden/>
              </w:rPr>
              <w:tab/>
            </w:r>
            <w:r>
              <w:rPr>
                <w:noProof/>
                <w:webHidden/>
              </w:rPr>
              <w:fldChar w:fldCharType="begin"/>
            </w:r>
            <w:r>
              <w:rPr>
                <w:noProof/>
                <w:webHidden/>
              </w:rPr>
              <w:instrText xml:space="preserve"> PAGEREF _Toc220496982 \h </w:instrText>
            </w:r>
            <w:r>
              <w:rPr>
                <w:noProof/>
                <w:webHidden/>
              </w:rPr>
            </w:r>
            <w:r>
              <w:rPr>
                <w:noProof/>
                <w:webHidden/>
              </w:rPr>
              <w:fldChar w:fldCharType="separate"/>
            </w:r>
            <w:r>
              <w:rPr>
                <w:noProof/>
                <w:webHidden/>
              </w:rPr>
              <w:t>1185</w:t>
            </w:r>
            <w:r>
              <w:rPr>
                <w:noProof/>
                <w:webHidden/>
              </w:rPr>
              <w:fldChar w:fldCharType="end"/>
            </w:r>
          </w:hyperlink>
        </w:p>
        <w:p w14:paraId="729C2593" w14:textId="644D1B8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83" w:history="1">
            <w:r w:rsidRPr="00F45DCA">
              <w:rPr>
                <w:rStyle w:val="Lienhypertexte"/>
                <w:noProof/>
              </w:rPr>
              <w:t>26.83.1 Réparation locale de revêtements d'étanchéité CCTB 01.02</w:t>
            </w:r>
            <w:r>
              <w:rPr>
                <w:noProof/>
                <w:webHidden/>
              </w:rPr>
              <w:tab/>
            </w:r>
            <w:r>
              <w:rPr>
                <w:noProof/>
                <w:webHidden/>
              </w:rPr>
              <w:fldChar w:fldCharType="begin"/>
            </w:r>
            <w:r>
              <w:rPr>
                <w:noProof/>
                <w:webHidden/>
              </w:rPr>
              <w:instrText xml:space="preserve"> PAGEREF _Toc220496983 \h </w:instrText>
            </w:r>
            <w:r>
              <w:rPr>
                <w:noProof/>
                <w:webHidden/>
              </w:rPr>
            </w:r>
            <w:r>
              <w:rPr>
                <w:noProof/>
                <w:webHidden/>
              </w:rPr>
              <w:fldChar w:fldCharType="separate"/>
            </w:r>
            <w:r>
              <w:rPr>
                <w:noProof/>
                <w:webHidden/>
              </w:rPr>
              <w:t>1186</w:t>
            </w:r>
            <w:r>
              <w:rPr>
                <w:noProof/>
                <w:webHidden/>
              </w:rPr>
              <w:fldChar w:fldCharType="end"/>
            </w:r>
          </w:hyperlink>
        </w:p>
        <w:p w14:paraId="6B5A5EE7" w14:textId="55420C8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84" w:history="1">
            <w:r w:rsidRPr="00F45DCA">
              <w:rPr>
                <w:rStyle w:val="Lienhypertexte"/>
                <w:noProof/>
              </w:rPr>
              <w:t>26.83.1a Réparation locale de revêtements d'étanchéité CCTB 01.04</w:t>
            </w:r>
            <w:r>
              <w:rPr>
                <w:noProof/>
                <w:webHidden/>
              </w:rPr>
              <w:tab/>
            </w:r>
            <w:r>
              <w:rPr>
                <w:noProof/>
                <w:webHidden/>
              </w:rPr>
              <w:fldChar w:fldCharType="begin"/>
            </w:r>
            <w:r>
              <w:rPr>
                <w:noProof/>
                <w:webHidden/>
              </w:rPr>
              <w:instrText xml:space="preserve"> PAGEREF _Toc220496984 \h </w:instrText>
            </w:r>
            <w:r>
              <w:rPr>
                <w:noProof/>
                <w:webHidden/>
              </w:rPr>
            </w:r>
            <w:r>
              <w:rPr>
                <w:noProof/>
                <w:webHidden/>
              </w:rPr>
              <w:fldChar w:fldCharType="separate"/>
            </w:r>
            <w:r>
              <w:rPr>
                <w:noProof/>
                <w:webHidden/>
              </w:rPr>
              <w:t>1186</w:t>
            </w:r>
            <w:r>
              <w:rPr>
                <w:noProof/>
                <w:webHidden/>
              </w:rPr>
              <w:fldChar w:fldCharType="end"/>
            </w:r>
          </w:hyperlink>
        </w:p>
        <w:p w14:paraId="04F7B058" w14:textId="2AD0C1E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85" w:history="1">
            <w:r w:rsidRPr="00F45DCA">
              <w:rPr>
                <w:rStyle w:val="Lienhypertexte"/>
                <w:noProof/>
              </w:rPr>
              <w:t>26.84 Adaptation / amélioration CCTB 01.04</w:t>
            </w:r>
            <w:r>
              <w:rPr>
                <w:noProof/>
                <w:webHidden/>
              </w:rPr>
              <w:tab/>
            </w:r>
            <w:r>
              <w:rPr>
                <w:noProof/>
                <w:webHidden/>
              </w:rPr>
              <w:fldChar w:fldCharType="begin"/>
            </w:r>
            <w:r>
              <w:rPr>
                <w:noProof/>
                <w:webHidden/>
              </w:rPr>
              <w:instrText xml:space="preserve"> PAGEREF _Toc220496985 \h </w:instrText>
            </w:r>
            <w:r>
              <w:rPr>
                <w:noProof/>
                <w:webHidden/>
              </w:rPr>
            </w:r>
            <w:r>
              <w:rPr>
                <w:noProof/>
                <w:webHidden/>
              </w:rPr>
              <w:fldChar w:fldCharType="separate"/>
            </w:r>
            <w:r>
              <w:rPr>
                <w:noProof/>
                <w:webHidden/>
              </w:rPr>
              <w:t>1186</w:t>
            </w:r>
            <w:r>
              <w:rPr>
                <w:noProof/>
                <w:webHidden/>
              </w:rPr>
              <w:fldChar w:fldCharType="end"/>
            </w:r>
          </w:hyperlink>
        </w:p>
        <w:p w14:paraId="2D34CD27" w14:textId="6C1388D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86" w:history="1">
            <w:r w:rsidRPr="00F45DCA">
              <w:rPr>
                <w:rStyle w:val="Lienhypertexte"/>
                <w:noProof/>
              </w:rPr>
              <w:t>26.84.1 Amélioration des performances énergétiques - isolation a posteriori des murs extérieurs CCTB 01.04</w:t>
            </w:r>
            <w:r>
              <w:rPr>
                <w:noProof/>
                <w:webHidden/>
              </w:rPr>
              <w:tab/>
            </w:r>
            <w:r>
              <w:rPr>
                <w:noProof/>
                <w:webHidden/>
              </w:rPr>
              <w:fldChar w:fldCharType="begin"/>
            </w:r>
            <w:r>
              <w:rPr>
                <w:noProof/>
                <w:webHidden/>
              </w:rPr>
              <w:instrText xml:space="preserve"> PAGEREF _Toc220496986 \h </w:instrText>
            </w:r>
            <w:r>
              <w:rPr>
                <w:noProof/>
                <w:webHidden/>
              </w:rPr>
            </w:r>
            <w:r>
              <w:rPr>
                <w:noProof/>
                <w:webHidden/>
              </w:rPr>
              <w:fldChar w:fldCharType="separate"/>
            </w:r>
            <w:r>
              <w:rPr>
                <w:noProof/>
                <w:webHidden/>
              </w:rPr>
              <w:t>1186</w:t>
            </w:r>
            <w:r>
              <w:rPr>
                <w:noProof/>
                <w:webHidden/>
              </w:rPr>
              <w:fldChar w:fldCharType="end"/>
            </w:r>
          </w:hyperlink>
        </w:p>
        <w:p w14:paraId="5DAF18F3" w14:textId="1165C2E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87" w:history="1">
            <w:r w:rsidRPr="00F45DCA">
              <w:rPr>
                <w:rStyle w:val="Lienhypertexte"/>
                <w:noProof/>
              </w:rPr>
              <w:t>26.84.1a Isolation avec démolition / reconstruction du parement extérieur CCTB 01.04</w:t>
            </w:r>
            <w:r>
              <w:rPr>
                <w:noProof/>
                <w:webHidden/>
              </w:rPr>
              <w:tab/>
            </w:r>
            <w:r>
              <w:rPr>
                <w:noProof/>
                <w:webHidden/>
              </w:rPr>
              <w:fldChar w:fldCharType="begin"/>
            </w:r>
            <w:r>
              <w:rPr>
                <w:noProof/>
                <w:webHidden/>
              </w:rPr>
              <w:instrText xml:space="preserve"> PAGEREF _Toc220496987 \h </w:instrText>
            </w:r>
            <w:r>
              <w:rPr>
                <w:noProof/>
                <w:webHidden/>
              </w:rPr>
            </w:r>
            <w:r>
              <w:rPr>
                <w:noProof/>
                <w:webHidden/>
              </w:rPr>
              <w:fldChar w:fldCharType="separate"/>
            </w:r>
            <w:r>
              <w:rPr>
                <w:noProof/>
                <w:webHidden/>
              </w:rPr>
              <w:t>1186</w:t>
            </w:r>
            <w:r>
              <w:rPr>
                <w:noProof/>
                <w:webHidden/>
              </w:rPr>
              <w:fldChar w:fldCharType="end"/>
            </w:r>
          </w:hyperlink>
        </w:p>
        <w:p w14:paraId="215CFC91" w14:textId="22FA21C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88" w:history="1">
            <w:r w:rsidRPr="00F45DCA">
              <w:rPr>
                <w:rStyle w:val="Lienhypertexte"/>
                <w:noProof/>
              </w:rPr>
              <w:t>26.84.1b Isolation par l'extérieur des murs extérieurs CCTB 01.04</w:t>
            </w:r>
            <w:r>
              <w:rPr>
                <w:noProof/>
                <w:webHidden/>
              </w:rPr>
              <w:tab/>
            </w:r>
            <w:r>
              <w:rPr>
                <w:noProof/>
                <w:webHidden/>
              </w:rPr>
              <w:fldChar w:fldCharType="begin"/>
            </w:r>
            <w:r>
              <w:rPr>
                <w:noProof/>
                <w:webHidden/>
              </w:rPr>
              <w:instrText xml:space="preserve"> PAGEREF _Toc220496988 \h </w:instrText>
            </w:r>
            <w:r>
              <w:rPr>
                <w:noProof/>
                <w:webHidden/>
              </w:rPr>
            </w:r>
            <w:r>
              <w:rPr>
                <w:noProof/>
                <w:webHidden/>
              </w:rPr>
              <w:fldChar w:fldCharType="separate"/>
            </w:r>
            <w:r>
              <w:rPr>
                <w:noProof/>
                <w:webHidden/>
              </w:rPr>
              <w:t>1186</w:t>
            </w:r>
            <w:r>
              <w:rPr>
                <w:noProof/>
                <w:webHidden/>
              </w:rPr>
              <w:fldChar w:fldCharType="end"/>
            </w:r>
          </w:hyperlink>
        </w:p>
        <w:p w14:paraId="07521BCC" w14:textId="7E796BB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89" w:history="1">
            <w:r w:rsidRPr="00F45DCA">
              <w:rPr>
                <w:rStyle w:val="Lienhypertexte"/>
                <w:noProof/>
              </w:rPr>
              <w:t>26.84.1c Isolation par l'intérieur des murs extérieurs CCTB 01.04</w:t>
            </w:r>
            <w:r>
              <w:rPr>
                <w:noProof/>
                <w:webHidden/>
              </w:rPr>
              <w:tab/>
            </w:r>
            <w:r>
              <w:rPr>
                <w:noProof/>
                <w:webHidden/>
              </w:rPr>
              <w:fldChar w:fldCharType="begin"/>
            </w:r>
            <w:r>
              <w:rPr>
                <w:noProof/>
                <w:webHidden/>
              </w:rPr>
              <w:instrText xml:space="preserve"> PAGEREF _Toc220496989 \h </w:instrText>
            </w:r>
            <w:r>
              <w:rPr>
                <w:noProof/>
                <w:webHidden/>
              </w:rPr>
            </w:r>
            <w:r>
              <w:rPr>
                <w:noProof/>
                <w:webHidden/>
              </w:rPr>
              <w:fldChar w:fldCharType="separate"/>
            </w:r>
            <w:r>
              <w:rPr>
                <w:noProof/>
                <w:webHidden/>
              </w:rPr>
              <w:t>1186</w:t>
            </w:r>
            <w:r>
              <w:rPr>
                <w:noProof/>
                <w:webHidden/>
              </w:rPr>
              <w:fldChar w:fldCharType="end"/>
            </w:r>
          </w:hyperlink>
        </w:p>
        <w:p w14:paraId="740121C5" w14:textId="3214E160"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90" w:history="1">
            <w:r w:rsidRPr="00F45DCA">
              <w:rPr>
                <w:rStyle w:val="Lienhypertexte"/>
                <w:noProof/>
              </w:rPr>
              <w:t>26.84.1d Isolation a posteriori de la COULISSE des murs creux extérieurs CCTB 01.11</w:t>
            </w:r>
            <w:r>
              <w:rPr>
                <w:noProof/>
                <w:webHidden/>
              </w:rPr>
              <w:tab/>
            </w:r>
            <w:r>
              <w:rPr>
                <w:noProof/>
                <w:webHidden/>
              </w:rPr>
              <w:fldChar w:fldCharType="begin"/>
            </w:r>
            <w:r>
              <w:rPr>
                <w:noProof/>
                <w:webHidden/>
              </w:rPr>
              <w:instrText xml:space="preserve"> PAGEREF _Toc220496990 \h </w:instrText>
            </w:r>
            <w:r>
              <w:rPr>
                <w:noProof/>
                <w:webHidden/>
              </w:rPr>
            </w:r>
            <w:r>
              <w:rPr>
                <w:noProof/>
                <w:webHidden/>
              </w:rPr>
              <w:fldChar w:fldCharType="separate"/>
            </w:r>
            <w:r>
              <w:rPr>
                <w:noProof/>
                <w:webHidden/>
              </w:rPr>
              <w:t>1186</w:t>
            </w:r>
            <w:r>
              <w:rPr>
                <w:noProof/>
                <w:webHidden/>
              </w:rPr>
              <w:fldChar w:fldCharType="end"/>
            </w:r>
          </w:hyperlink>
        </w:p>
        <w:p w14:paraId="6A797967" w14:textId="1862EB1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91" w:history="1">
            <w:r w:rsidRPr="00F45DCA">
              <w:rPr>
                <w:rStyle w:val="Lienhypertexte"/>
                <w:noProof/>
              </w:rPr>
              <w:t>26.84.2 Amélioration des performances énergétiques - isolation des planchers CCTB 01.04</w:t>
            </w:r>
            <w:r>
              <w:rPr>
                <w:noProof/>
                <w:webHidden/>
              </w:rPr>
              <w:tab/>
            </w:r>
            <w:r>
              <w:rPr>
                <w:noProof/>
                <w:webHidden/>
              </w:rPr>
              <w:fldChar w:fldCharType="begin"/>
            </w:r>
            <w:r>
              <w:rPr>
                <w:noProof/>
                <w:webHidden/>
              </w:rPr>
              <w:instrText xml:space="preserve"> PAGEREF _Toc220496991 \h </w:instrText>
            </w:r>
            <w:r>
              <w:rPr>
                <w:noProof/>
                <w:webHidden/>
              </w:rPr>
            </w:r>
            <w:r>
              <w:rPr>
                <w:noProof/>
                <w:webHidden/>
              </w:rPr>
              <w:fldChar w:fldCharType="separate"/>
            </w:r>
            <w:r>
              <w:rPr>
                <w:noProof/>
                <w:webHidden/>
              </w:rPr>
              <w:t>1186</w:t>
            </w:r>
            <w:r>
              <w:rPr>
                <w:noProof/>
                <w:webHidden/>
              </w:rPr>
              <w:fldChar w:fldCharType="end"/>
            </w:r>
          </w:hyperlink>
        </w:p>
        <w:p w14:paraId="5133418E" w14:textId="4B661EA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92" w:history="1">
            <w:r w:rsidRPr="00F45DCA">
              <w:rPr>
                <w:rStyle w:val="Lienhypertexte"/>
                <w:noProof/>
              </w:rPr>
              <w:t>26.84.2a Isolation des planchers par l'extérieur CCTB 01.04</w:t>
            </w:r>
            <w:r>
              <w:rPr>
                <w:noProof/>
                <w:webHidden/>
              </w:rPr>
              <w:tab/>
            </w:r>
            <w:r>
              <w:rPr>
                <w:noProof/>
                <w:webHidden/>
              </w:rPr>
              <w:fldChar w:fldCharType="begin"/>
            </w:r>
            <w:r>
              <w:rPr>
                <w:noProof/>
                <w:webHidden/>
              </w:rPr>
              <w:instrText xml:space="preserve"> PAGEREF _Toc220496992 \h </w:instrText>
            </w:r>
            <w:r>
              <w:rPr>
                <w:noProof/>
                <w:webHidden/>
              </w:rPr>
            </w:r>
            <w:r>
              <w:rPr>
                <w:noProof/>
                <w:webHidden/>
              </w:rPr>
              <w:fldChar w:fldCharType="separate"/>
            </w:r>
            <w:r>
              <w:rPr>
                <w:noProof/>
                <w:webHidden/>
              </w:rPr>
              <w:t>1186</w:t>
            </w:r>
            <w:r>
              <w:rPr>
                <w:noProof/>
                <w:webHidden/>
              </w:rPr>
              <w:fldChar w:fldCharType="end"/>
            </w:r>
          </w:hyperlink>
        </w:p>
        <w:p w14:paraId="3666B5F5" w14:textId="1F7F2DB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6993" w:history="1">
            <w:r w:rsidRPr="00F45DCA">
              <w:rPr>
                <w:rStyle w:val="Lienhypertexte"/>
                <w:noProof/>
              </w:rPr>
              <w:t>26.84.2b Isolation des planchers par l'intérieur CCTB 01.04</w:t>
            </w:r>
            <w:r>
              <w:rPr>
                <w:noProof/>
                <w:webHidden/>
              </w:rPr>
              <w:tab/>
            </w:r>
            <w:r>
              <w:rPr>
                <w:noProof/>
                <w:webHidden/>
              </w:rPr>
              <w:fldChar w:fldCharType="begin"/>
            </w:r>
            <w:r>
              <w:rPr>
                <w:noProof/>
                <w:webHidden/>
              </w:rPr>
              <w:instrText xml:space="preserve"> PAGEREF _Toc220496993 \h </w:instrText>
            </w:r>
            <w:r>
              <w:rPr>
                <w:noProof/>
                <w:webHidden/>
              </w:rPr>
            </w:r>
            <w:r>
              <w:rPr>
                <w:noProof/>
                <w:webHidden/>
              </w:rPr>
              <w:fldChar w:fldCharType="separate"/>
            </w:r>
            <w:r>
              <w:rPr>
                <w:noProof/>
                <w:webHidden/>
              </w:rPr>
              <w:t>1186</w:t>
            </w:r>
            <w:r>
              <w:rPr>
                <w:noProof/>
                <w:webHidden/>
              </w:rPr>
              <w:fldChar w:fldCharType="end"/>
            </w:r>
          </w:hyperlink>
        </w:p>
        <w:p w14:paraId="1D5F5BE3" w14:textId="3D0E2BA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94" w:history="1">
            <w:r w:rsidRPr="00F45DCA">
              <w:rPr>
                <w:rStyle w:val="Lienhypertexte"/>
                <w:noProof/>
              </w:rPr>
              <w:t>26.84.3 Amélioration des performances énergétiques - réduction / suppression des ponts thermiques CCTB 01.04</w:t>
            </w:r>
            <w:r>
              <w:rPr>
                <w:noProof/>
                <w:webHidden/>
              </w:rPr>
              <w:tab/>
            </w:r>
            <w:r>
              <w:rPr>
                <w:noProof/>
                <w:webHidden/>
              </w:rPr>
              <w:fldChar w:fldCharType="begin"/>
            </w:r>
            <w:r>
              <w:rPr>
                <w:noProof/>
                <w:webHidden/>
              </w:rPr>
              <w:instrText xml:space="preserve"> PAGEREF _Toc220496994 \h </w:instrText>
            </w:r>
            <w:r>
              <w:rPr>
                <w:noProof/>
                <w:webHidden/>
              </w:rPr>
            </w:r>
            <w:r>
              <w:rPr>
                <w:noProof/>
                <w:webHidden/>
              </w:rPr>
              <w:fldChar w:fldCharType="separate"/>
            </w:r>
            <w:r>
              <w:rPr>
                <w:noProof/>
                <w:webHidden/>
              </w:rPr>
              <w:t>1186</w:t>
            </w:r>
            <w:r>
              <w:rPr>
                <w:noProof/>
                <w:webHidden/>
              </w:rPr>
              <w:fldChar w:fldCharType="end"/>
            </w:r>
          </w:hyperlink>
        </w:p>
        <w:p w14:paraId="6E54CBCF" w14:textId="04E406F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6995" w:history="1">
            <w:r w:rsidRPr="00F45DCA">
              <w:rPr>
                <w:rStyle w:val="Lienhypertexte"/>
                <w:noProof/>
              </w:rPr>
              <w:t>26.84.4 Amélioration de l'étanchéité à l'air du bâtiment CCTB 01.04</w:t>
            </w:r>
            <w:r>
              <w:rPr>
                <w:noProof/>
                <w:webHidden/>
              </w:rPr>
              <w:tab/>
            </w:r>
            <w:r>
              <w:rPr>
                <w:noProof/>
                <w:webHidden/>
              </w:rPr>
              <w:fldChar w:fldCharType="begin"/>
            </w:r>
            <w:r>
              <w:rPr>
                <w:noProof/>
                <w:webHidden/>
              </w:rPr>
              <w:instrText xml:space="preserve"> PAGEREF _Toc220496995 \h </w:instrText>
            </w:r>
            <w:r>
              <w:rPr>
                <w:noProof/>
                <w:webHidden/>
              </w:rPr>
            </w:r>
            <w:r>
              <w:rPr>
                <w:noProof/>
                <w:webHidden/>
              </w:rPr>
              <w:fldChar w:fldCharType="separate"/>
            </w:r>
            <w:r>
              <w:rPr>
                <w:noProof/>
                <w:webHidden/>
              </w:rPr>
              <w:t>1186</w:t>
            </w:r>
            <w:r>
              <w:rPr>
                <w:noProof/>
                <w:webHidden/>
              </w:rPr>
              <w:fldChar w:fldCharType="end"/>
            </w:r>
          </w:hyperlink>
        </w:p>
        <w:p w14:paraId="461BB4D1" w14:textId="78265C4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96" w:history="1">
            <w:r w:rsidRPr="00F45DCA">
              <w:rPr>
                <w:rStyle w:val="Lienhypertexte"/>
                <w:noProof/>
              </w:rPr>
              <w:t>26.85 Traitement et protection CCTB 01.04</w:t>
            </w:r>
            <w:r>
              <w:rPr>
                <w:noProof/>
                <w:webHidden/>
              </w:rPr>
              <w:tab/>
            </w:r>
            <w:r>
              <w:rPr>
                <w:noProof/>
                <w:webHidden/>
              </w:rPr>
              <w:fldChar w:fldCharType="begin"/>
            </w:r>
            <w:r>
              <w:rPr>
                <w:noProof/>
                <w:webHidden/>
              </w:rPr>
              <w:instrText xml:space="preserve"> PAGEREF _Toc220496996 \h </w:instrText>
            </w:r>
            <w:r>
              <w:rPr>
                <w:noProof/>
                <w:webHidden/>
              </w:rPr>
            </w:r>
            <w:r>
              <w:rPr>
                <w:noProof/>
                <w:webHidden/>
              </w:rPr>
              <w:fldChar w:fldCharType="separate"/>
            </w:r>
            <w:r>
              <w:rPr>
                <w:noProof/>
                <w:webHidden/>
              </w:rPr>
              <w:t>1186</w:t>
            </w:r>
            <w:r>
              <w:rPr>
                <w:noProof/>
                <w:webHidden/>
              </w:rPr>
              <w:fldChar w:fldCharType="end"/>
            </w:r>
          </w:hyperlink>
        </w:p>
        <w:p w14:paraId="2FF49011" w14:textId="686935B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6997" w:history="1">
            <w:r w:rsidRPr="00F45DCA">
              <w:rPr>
                <w:rStyle w:val="Lienhypertexte"/>
                <w:noProof/>
              </w:rPr>
              <w:t>26.86 Divers CCTB 01.04</w:t>
            </w:r>
            <w:r>
              <w:rPr>
                <w:noProof/>
                <w:webHidden/>
              </w:rPr>
              <w:tab/>
            </w:r>
            <w:r>
              <w:rPr>
                <w:noProof/>
                <w:webHidden/>
              </w:rPr>
              <w:fldChar w:fldCharType="begin"/>
            </w:r>
            <w:r>
              <w:rPr>
                <w:noProof/>
                <w:webHidden/>
              </w:rPr>
              <w:instrText xml:space="preserve"> PAGEREF _Toc220496997 \h </w:instrText>
            </w:r>
            <w:r>
              <w:rPr>
                <w:noProof/>
                <w:webHidden/>
              </w:rPr>
            </w:r>
            <w:r>
              <w:rPr>
                <w:noProof/>
                <w:webHidden/>
              </w:rPr>
              <w:fldChar w:fldCharType="separate"/>
            </w:r>
            <w:r>
              <w:rPr>
                <w:noProof/>
                <w:webHidden/>
              </w:rPr>
              <w:t>1187</w:t>
            </w:r>
            <w:r>
              <w:rPr>
                <w:noProof/>
                <w:webHidden/>
              </w:rPr>
              <w:fldChar w:fldCharType="end"/>
            </w:r>
          </w:hyperlink>
        </w:p>
        <w:p w14:paraId="5447A35B" w14:textId="1B4914A6" w:rsidR="0014651C" w:rsidRDefault="0014651C">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6998" w:history="1">
            <w:r w:rsidRPr="00F45DCA">
              <w:rPr>
                <w:rStyle w:val="Lienhypertexte"/>
                <w:noProof/>
              </w:rPr>
              <w:t>27 Conduits de fumée et de ventilation maçonnés CCTB 01.04</w:t>
            </w:r>
            <w:r>
              <w:rPr>
                <w:noProof/>
                <w:webHidden/>
              </w:rPr>
              <w:tab/>
            </w:r>
            <w:r>
              <w:rPr>
                <w:noProof/>
                <w:webHidden/>
              </w:rPr>
              <w:fldChar w:fldCharType="begin"/>
            </w:r>
            <w:r>
              <w:rPr>
                <w:noProof/>
                <w:webHidden/>
              </w:rPr>
              <w:instrText xml:space="preserve"> PAGEREF _Toc220496998 \h </w:instrText>
            </w:r>
            <w:r>
              <w:rPr>
                <w:noProof/>
                <w:webHidden/>
              </w:rPr>
            </w:r>
            <w:r>
              <w:rPr>
                <w:noProof/>
                <w:webHidden/>
              </w:rPr>
              <w:fldChar w:fldCharType="separate"/>
            </w:r>
            <w:r>
              <w:rPr>
                <w:noProof/>
                <w:webHidden/>
              </w:rPr>
              <w:t>1187</w:t>
            </w:r>
            <w:r>
              <w:rPr>
                <w:noProof/>
                <w:webHidden/>
              </w:rPr>
              <w:fldChar w:fldCharType="end"/>
            </w:r>
          </w:hyperlink>
        </w:p>
        <w:p w14:paraId="5B52C953" w14:textId="5AB90372"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6999" w:history="1">
            <w:r w:rsidRPr="00F45DCA">
              <w:rPr>
                <w:rStyle w:val="Lienhypertexte"/>
                <w:noProof/>
              </w:rPr>
              <w:t>27.1 Conduits de fumée maçonnés CCTB 01.11</w:t>
            </w:r>
            <w:r>
              <w:rPr>
                <w:noProof/>
                <w:webHidden/>
              </w:rPr>
              <w:tab/>
            </w:r>
            <w:r>
              <w:rPr>
                <w:noProof/>
                <w:webHidden/>
              </w:rPr>
              <w:fldChar w:fldCharType="begin"/>
            </w:r>
            <w:r>
              <w:rPr>
                <w:noProof/>
                <w:webHidden/>
              </w:rPr>
              <w:instrText xml:space="preserve"> PAGEREF _Toc220496999 \h </w:instrText>
            </w:r>
            <w:r>
              <w:rPr>
                <w:noProof/>
                <w:webHidden/>
              </w:rPr>
            </w:r>
            <w:r>
              <w:rPr>
                <w:noProof/>
                <w:webHidden/>
              </w:rPr>
              <w:fldChar w:fldCharType="separate"/>
            </w:r>
            <w:r>
              <w:rPr>
                <w:noProof/>
                <w:webHidden/>
              </w:rPr>
              <w:t>1187</w:t>
            </w:r>
            <w:r>
              <w:rPr>
                <w:noProof/>
                <w:webHidden/>
              </w:rPr>
              <w:fldChar w:fldCharType="end"/>
            </w:r>
          </w:hyperlink>
        </w:p>
        <w:p w14:paraId="12026B3E" w14:textId="7504C7A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00" w:history="1">
            <w:r w:rsidRPr="00F45DCA">
              <w:rPr>
                <w:rStyle w:val="Lienhypertexte"/>
                <w:noProof/>
              </w:rPr>
              <w:t>27.11 Hottes de cheminée maçonnées CCTB 01.02</w:t>
            </w:r>
            <w:r>
              <w:rPr>
                <w:noProof/>
                <w:webHidden/>
              </w:rPr>
              <w:tab/>
            </w:r>
            <w:r>
              <w:rPr>
                <w:noProof/>
                <w:webHidden/>
              </w:rPr>
              <w:fldChar w:fldCharType="begin"/>
            </w:r>
            <w:r>
              <w:rPr>
                <w:noProof/>
                <w:webHidden/>
              </w:rPr>
              <w:instrText xml:space="preserve"> PAGEREF _Toc220497000 \h </w:instrText>
            </w:r>
            <w:r>
              <w:rPr>
                <w:noProof/>
                <w:webHidden/>
              </w:rPr>
            </w:r>
            <w:r>
              <w:rPr>
                <w:noProof/>
                <w:webHidden/>
              </w:rPr>
              <w:fldChar w:fldCharType="separate"/>
            </w:r>
            <w:r>
              <w:rPr>
                <w:noProof/>
                <w:webHidden/>
              </w:rPr>
              <w:t>1189</w:t>
            </w:r>
            <w:r>
              <w:rPr>
                <w:noProof/>
                <w:webHidden/>
              </w:rPr>
              <w:fldChar w:fldCharType="end"/>
            </w:r>
          </w:hyperlink>
        </w:p>
        <w:p w14:paraId="01D8E732" w14:textId="58A812B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01" w:history="1">
            <w:r w:rsidRPr="00F45DCA">
              <w:rPr>
                <w:rStyle w:val="Lienhypertexte"/>
                <w:noProof/>
              </w:rPr>
              <w:t>27.11.1 Hottes de cheminée maçonnées CCTB 01.02</w:t>
            </w:r>
            <w:r>
              <w:rPr>
                <w:noProof/>
                <w:webHidden/>
              </w:rPr>
              <w:tab/>
            </w:r>
            <w:r>
              <w:rPr>
                <w:noProof/>
                <w:webHidden/>
              </w:rPr>
              <w:fldChar w:fldCharType="begin"/>
            </w:r>
            <w:r>
              <w:rPr>
                <w:noProof/>
                <w:webHidden/>
              </w:rPr>
              <w:instrText xml:space="preserve"> PAGEREF _Toc220497001 \h </w:instrText>
            </w:r>
            <w:r>
              <w:rPr>
                <w:noProof/>
                <w:webHidden/>
              </w:rPr>
            </w:r>
            <w:r>
              <w:rPr>
                <w:noProof/>
                <w:webHidden/>
              </w:rPr>
              <w:fldChar w:fldCharType="separate"/>
            </w:r>
            <w:r>
              <w:rPr>
                <w:noProof/>
                <w:webHidden/>
              </w:rPr>
              <w:t>1189</w:t>
            </w:r>
            <w:r>
              <w:rPr>
                <w:noProof/>
                <w:webHidden/>
              </w:rPr>
              <w:fldChar w:fldCharType="end"/>
            </w:r>
          </w:hyperlink>
        </w:p>
        <w:p w14:paraId="792A0915" w14:textId="1EC6FC8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02" w:history="1">
            <w:r w:rsidRPr="00F45DCA">
              <w:rPr>
                <w:rStyle w:val="Lienhypertexte"/>
                <w:noProof/>
              </w:rPr>
              <w:t>27.11.1a Hottes de cheminée maçonnées en terre cuite CCTB 01.11</w:t>
            </w:r>
            <w:r>
              <w:rPr>
                <w:noProof/>
                <w:webHidden/>
              </w:rPr>
              <w:tab/>
            </w:r>
            <w:r>
              <w:rPr>
                <w:noProof/>
                <w:webHidden/>
              </w:rPr>
              <w:fldChar w:fldCharType="begin"/>
            </w:r>
            <w:r>
              <w:rPr>
                <w:noProof/>
                <w:webHidden/>
              </w:rPr>
              <w:instrText xml:space="preserve"> PAGEREF _Toc220497002 \h </w:instrText>
            </w:r>
            <w:r>
              <w:rPr>
                <w:noProof/>
                <w:webHidden/>
              </w:rPr>
            </w:r>
            <w:r>
              <w:rPr>
                <w:noProof/>
                <w:webHidden/>
              </w:rPr>
              <w:fldChar w:fldCharType="separate"/>
            </w:r>
            <w:r>
              <w:rPr>
                <w:noProof/>
                <w:webHidden/>
              </w:rPr>
              <w:t>1189</w:t>
            </w:r>
            <w:r>
              <w:rPr>
                <w:noProof/>
                <w:webHidden/>
              </w:rPr>
              <w:fldChar w:fldCharType="end"/>
            </w:r>
          </w:hyperlink>
        </w:p>
        <w:p w14:paraId="5CAB5301" w14:textId="1F578D4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03" w:history="1">
            <w:r w:rsidRPr="00F45DCA">
              <w:rPr>
                <w:rStyle w:val="Lienhypertexte"/>
                <w:noProof/>
              </w:rPr>
              <w:t>27.12 Boisseaux maçonnés CCTB 01.02</w:t>
            </w:r>
            <w:r>
              <w:rPr>
                <w:noProof/>
                <w:webHidden/>
              </w:rPr>
              <w:tab/>
            </w:r>
            <w:r>
              <w:rPr>
                <w:noProof/>
                <w:webHidden/>
              </w:rPr>
              <w:fldChar w:fldCharType="begin"/>
            </w:r>
            <w:r>
              <w:rPr>
                <w:noProof/>
                <w:webHidden/>
              </w:rPr>
              <w:instrText xml:space="preserve"> PAGEREF _Toc220497003 \h </w:instrText>
            </w:r>
            <w:r>
              <w:rPr>
                <w:noProof/>
                <w:webHidden/>
              </w:rPr>
            </w:r>
            <w:r>
              <w:rPr>
                <w:noProof/>
                <w:webHidden/>
              </w:rPr>
              <w:fldChar w:fldCharType="separate"/>
            </w:r>
            <w:r>
              <w:rPr>
                <w:noProof/>
                <w:webHidden/>
              </w:rPr>
              <w:t>1189</w:t>
            </w:r>
            <w:r>
              <w:rPr>
                <w:noProof/>
                <w:webHidden/>
              </w:rPr>
              <w:fldChar w:fldCharType="end"/>
            </w:r>
          </w:hyperlink>
        </w:p>
        <w:p w14:paraId="339C3F2E" w14:textId="4575D48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04" w:history="1">
            <w:r w:rsidRPr="00F45DCA">
              <w:rPr>
                <w:rStyle w:val="Lienhypertexte"/>
                <w:noProof/>
              </w:rPr>
              <w:t>27.12.1 Boisseaux maçonnés CCTB 01.11</w:t>
            </w:r>
            <w:r>
              <w:rPr>
                <w:noProof/>
                <w:webHidden/>
              </w:rPr>
              <w:tab/>
            </w:r>
            <w:r>
              <w:rPr>
                <w:noProof/>
                <w:webHidden/>
              </w:rPr>
              <w:fldChar w:fldCharType="begin"/>
            </w:r>
            <w:r>
              <w:rPr>
                <w:noProof/>
                <w:webHidden/>
              </w:rPr>
              <w:instrText xml:space="preserve"> PAGEREF _Toc220497004 \h </w:instrText>
            </w:r>
            <w:r>
              <w:rPr>
                <w:noProof/>
                <w:webHidden/>
              </w:rPr>
            </w:r>
            <w:r>
              <w:rPr>
                <w:noProof/>
                <w:webHidden/>
              </w:rPr>
              <w:fldChar w:fldCharType="separate"/>
            </w:r>
            <w:r>
              <w:rPr>
                <w:noProof/>
                <w:webHidden/>
              </w:rPr>
              <w:t>1189</w:t>
            </w:r>
            <w:r>
              <w:rPr>
                <w:noProof/>
                <w:webHidden/>
              </w:rPr>
              <w:fldChar w:fldCharType="end"/>
            </w:r>
          </w:hyperlink>
        </w:p>
        <w:p w14:paraId="0C309E2F" w14:textId="1E80DA0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05" w:history="1">
            <w:r w:rsidRPr="00F45DCA">
              <w:rPr>
                <w:rStyle w:val="Lienhypertexte"/>
                <w:noProof/>
              </w:rPr>
              <w:t>27.12.1a Boisseaux maçonnés en éléments préfabriqués en béton CCTB 01.11</w:t>
            </w:r>
            <w:r>
              <w:rPr>
                <w:noProof/>
                <w:webHidden/>
              </w:rPr>
              <w:tab/>
            </w:r>
            <w:r>
              <w:rPr>
                <w:noProof/>
                <w:webHidden/>
              </w:rPr>
              <w:fldChar w:fldCharType="begin"/>
            </w:r>
            <w:r>
              <w:rPr>
                <w:noProof/>
                <w:webHidden/>
              </w:rPr>
              <w:instrText xml:space="preserve"> PAGEREF _Toc220497005 \h </w:instrText>
            </w:r>
            <w:r>
              <w:rPr>
                <w:noProof/>
                <w:webHidden/>
              </w:rPr>
            </w:r>
            <w:r>
              <w:rPr>
                <w:noProof/>
                <w:webHidden/>
              </w:rPr>
              <w:fldChar w:fldCharType="separate"/>
            </w:r>
            <w:r>
              <w:rPr>
                <w:noProof/>
                <w:webHidden/>
              </w:rPr>
              <w:t>1190</w:t>
            </w:r>
            <w:r>
              <w:rPr>
                <w:noProof/>
                <w:webHidden/>
              </w:rPr>
              <w:fldChar w:fldCharType="end"/>
            </w:r>
          </w:hyperlink>
        </w:p>
        <w:p w14:paraId="403115B7" w14:textId="409EA63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06" w:history="1">
            <w:r w:rsidRPr="00F45DCA">
              <w:rPr>
                <w:rStyle w:val="Lienhypertexte"/>
                <w:noProof/>
              </w:rPr>
              <w:t>27.12.1b Boisseaux maçonnés en éléments en terre cuite CCTB 01.10</w:t>
            </w:r>
            <w:r>
              <w:rPr>
                <w:noProof/>
                <w:webHidden/>
              </w:rPr>
              <w:tab/>
            </w:r>
            <w:r>
              <w:rPr>
                <w:noProof/>
                <w:webHidden/>
              </w:rPr>
              <w:fldChar w:fldCharType="begin"/>
            </w:r>
            <w:r>
              <w:rPr>
                <w:noProof/>
                <w:webHidden/>
              </w:rPr>
              <w:instrText xml:space="preserve"> PAGEREF _Toc220497006 \h </w:instrText>
            </w:r>
            <w:r>
              <w:rPr>
                <w:noProof/>
                <w:webHidden/>
              </w:rPr>
            </w:r>
            <w:r>
              <w:rPr>
                <w:noProof/>
                <w:webHidden/>
              </w:rPr>
              <w:fldChar w:fldCharType="separate"/>
            </w:r>
            <w:r>
              <w:rPr>
                <w:noProof/>
                <w:webHidden/>
              </w:rPr>
              <w:t>1191</w:t>
            </w:r>
            <w:r>
              <w:rPr>
                <w:noProof/>
                <w:webHidden/>
              </w:rPr>
              <w:fldChar w:fldCharType="end"/>
            </w:r>
          </w:hyperlink>
        </w:p>
        <w:p w14:paraId="361AE080" w14:textId="787E67B0"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07" w:history="1">
            <w:r w:rsidRPr="00F45DCA">
              <w:rPr>
                <w:rStyle w:val="Lienhypertexte"/>
                <w:noProof/>
              </w:rPr>
              <w:t>27.2 Conduits de ventilation maçonnés CCTB 01.11</w:t>
            </w:r>
            <w:r>
              <w:rPr>
                <w:noProof/>
                <w:webHidden/>
              </w:rPr>
              <w:tab/>
            </w:r>
            <w:r>
              <w:rPr>
                <w:noProof/>
                <w:webHidden/>
              </w:rPr>
              <w:fldChar w:fldCharType="begin"/>
            </w:r>
            <w:r>
              <w:rPr>
                <w:noProof/>
                <w:webHidden/>
              </w:rPr>
              <w:instrText xml:space="preserve"> PAGEREF _Toc220497007 \h </w:instrText>
            </w:r>
            <w:r>
              <w:rPr>
                <w:noProof/>
                <w:webHidden/>
              </w:rPr>
            </w:r>
            <w:r>
              <w:rPr>
                <w:noProof/>
                <w:webHidden/>
              </w:rPr>
              <w:fldChar w:fldCharType="separate"/>
            </w:r>
            <w:r>
              <w:rPr>
                <w:noProof/>
                <w:webHidden/>
              </w:rPr>
              <w:t>1193</w:t>
            </w:r>
            <w:r>
              <w:rPr>
                <w:noProof/>
                <w:webHidden/>
              </w:rPr>
              <w:fldChar w:fldCharType="end"/>
            </w:r>
          </w:hyperlink>
        </w:p>
        <w:p w14:paraId="4023723B" w14:textId="152F49B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08" w:history="1">
            <w:r w:rsidRPr="00F45DCA">
              <w:rPr>
                <w:rStyle w:val="Lienhypertexte"/>
                <w:noProof/>
              </w:rPr>
              <w:t>27.21 Conduits de ventilation maçonnés CCTB 01.02</w:t>
            </w:r>
            <w:r>
              <w:rPr>
                <w:noProof/>
                <w:webHidden/>
              </w:rPr>
              <w:tab/>
            </w:r>
            <w:r>
              <w:rPr>
                <w:noProof/>
                <w:webHidden/>
              </w:rPr>
              <w:fldChar w:fldCharType="begin"/>
            </w:r>
            <w:r>
              <w:rPr>
                <w:noProof/>
                <w:webHidden/>
              </w:rPr>
              <w:instrText xml:space="preserve"> PAGEREF _Toc220497008 \h </w:instrText>
            </w:r>
            <w:r>
              <w:rPr>
                <w:noProof/>
                <w:webHidden/>
              </w:rPr>
            </w:r>
            <w:r>
              <w:rPr>
                <w:noProof/>
                <w:webHidden/>
              </w:rPr>
              <w:fldChar w:fldCharType="separate"/>
            </w:r>
            <w:r>
              <w:rPr>
                <w:noProof/>
                <w:webHidden/>
              </w:rPr>
              <w:t>1194</w:t>
            </w:r>
            <w:r>
              <w:rPr>
                <w:noProof/>
                <w:webHidden/>
              </w:rPr>
              <w:fldChar w:fldCharType="end"/>
            </w:r>
          </w:hyperlink>
        </w:p>
        <w:p w14:paraId="2AE21235" w14:textId="1BBB7DF8"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09" w:history="1">
            <w:r w:rsidRPr="00F45DCA">
              <w:rPr>
                <w:rStyle w:val="Lienhypertexte"/>
                <w:noProof/>
              </w:rPr>
              <w:t>27.21.1 Conduits de ventilation maçonnés CCTB 01.11</w:t>
            </w:r>
            <w:r>
              <w:rPr>
                <w:noProof/>
                <w:webHidden/>
              </w:rPr>
              <w:tab/>
            </w:r>
            <w:r>
              <w:rPr>
                <w:noProof/>
                <w:webHidden/>
              </w:rPr>
              <w:fldChar w:fldCharType="begin"/>
            </w:r>
            <w:r>
              <w:rPr>
                <w:noProof/>
                <w:webHidden/>
              </w:rPr>
              <w:instrText xml:space="preserve"> PAGEREF _Toc220497009 \h </w:instrText>
            </w:r>
            <w:r>
              <w:rPr>
                <w:noProof/>
                <w:webHidden/>
              </w:rPr>
            </w:r>
            <w:r>
              <w:rPr>
                <w:noProof/>
                <w:webHidden/>
              </w:rPr>
              <w:fldChar w:fldCharType="separate"/>
            </w:r>
            <w:r>
              <w:rPr>
                <w:noProof/>
                <w:webHidden/>
              </w:rPr>
              <w:t>1194</w:t>
            </w:r>
            <w:r>
              <w:rPr>
                <w:noProof/>
                <w:webHidden/>
              </w:rPr>
              <w:fldChar w:fldCharType="end"/>
            </w:r>
          </w:hyperlink>
        </w:p>
        <w:p w14:paraId="3DE14DC0" w14:textId="5C070D1C"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10" w:history="1">
            <w:r w:rsidRPr="00F45DCA">
              <w:rPr>
                <w:rStyle w:val="Lienhypertexte"/>
                <w:noProof/>
              </w:rPr>
              <w:t>27.21.1a Conduits de ventilation maçonnés CCTB 01.02</w:t>
            </w:r>
            <w:r>
              <w:rPr>
                <w:noProof/>
                <w:webHidden/>
              </w:rPr>
              <w:tab/>
            </w:r>
            <w:r>
              <w:rPr>
                <w:noProof/>
                <w:webHidden/>
              </w:rPr>
              <w:fldChar w:fldCharType="begin"/>
            </w:r>
            <w:r>
              <w:rPr>
                <w:noProof/>
                <w:webHidden/>
              </w:rPr>
              <w:instrText xml:space="preserve"> PAGEREF _Toc220497010 \h </w:instrText>
            </w:r>
            <w:r>
              <w:rPr>
                <w:noProof/>
                <w:webHidden/>
              </w:rPr>
            </w:r>
            <w:r>
              <w:rPr>
                <w:noProof/>
                <w:webHidden/>
              </w:rPr>
              <w:fldChar w:fldCharType="separate"/>
            </w:r>
            <w:r>
              <w:rPr>
                <w:noProof/>
                <w:webHidden/>
              </w:rPr>
              <w:t>1194</w:t>
            </w:r>
            <w:r>
              <w:rPr>
                <w:noProof/>
                <w:webHidden/>
              </w:rPr>
              <w:fldChar w:fldCharType="end"/>
            </w:r>
          </w:hyperlink>
        </w:p>
        <w:p w14:paraId="07709811" w14:textId="21E3C45C"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11" w:history="1">
            <w:r w:rsidRPr="00F45DCA">
              <w:rPr>
                <w:rStyle w:val="Lienhypertexte"/>
                <w:noProof/>
              </w:rPr>
              <w:t>27.3 Eléments particuliers pour conduits de fumée et de ventilation maçonnés CCTB 01.02</w:t>
            </w:r>
            <w:r>
              <w:rPr>
                <w:noProof/>
                <w:webHidden/>
              </w:rPr>
              <w:tab/>
            </w:r>
            <w:r>
              <w:rPr>
                <w:noProof/>
                <w:webHidden/>
              </w:rPr>
              <w:fldChar w:fldCharType="begin"/>
            </w:r>
            <w:r>
              <w:rPr>
                <w:noProof/>
                <w:webHidden/>
              </w:rPr>
              <w:instrText xml:space="preserve"> PAGEREF _Toc220497011 \h </w:instrText>
            </w:r>
            <w:r>
              <w:rPr>
                <w:noProof/>
                <w:webHidden/>
              </w:rPr>
            </w:r>
            <w:r>
              <w:rPr>
                <w:noProof/>
                <w:webHidden/>
              </w:rPr>
              <w:fldChar w:fldCharType="separate"/>
            </w:r>
            <w:r>
              <w:rPr>
                <w:noProof/>
                <w:webHidden/>
              </w:rPr>
              <w:t>1194</w:t>
            </w:r>
            <w:r>
              <w:rPr>
                <w:noProof/>
                <w:webHidden/>
              </w:rPr>
              <w:fldChar w:fldCharType="end"/>
            </w:r>
          </w:hyperlink>
        </w:p>
        <w:p w14:paraId="05868B70" w14:textId="662BC64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12" w:history="1">
            <w:r w:rsidRPr="00F45DCA">
              <w:rPr>
                <w:rStyle w:val="Lienhypertexte"/>
                <w:noProof/>
              </w:rPr>
              <w:t>27.31 Pénétration de toiture CCTB 01.11</w:t>
            </w:r>
            <w:r>
              <w:rPr>
                <w:noProof/>
                <w:webHidden/>
              </w:rPr>
              <w:tab/>
            </w:r>
            <w:r>
              <w:rPr>
                <w:noProof/>
                <w:webHidden/>
              </w:rPr>
              <w:fldChar w:fldCharType="begin"/>
            </w:r>
            <w:r>
              <w:rPr>
                <w:noProof/>
                <w:webHidden/>
              </w:rPr>
              <w:instrText xml:space="preserve"> PAGEREF _Toc220497012 \h </w:instrText>
            </w:r>
            <w:r>
              <w:rPr>
                <w:noProof/>
                <w:webHidden/>
              </w:rPr>
            </w:r>
            <w:r>
              <w:rPr>
                <w:noProof/>
                <w:webHidden/>
              </w:rPr>
              <w:fldChar w:fldCharType="separate"/>
            </w:r>
            <w:r>
              <w:rPr>
                <w:noProof/>
                <w:webHidden/>
              </w:rPr>
              <w:t>1194</w:t>
            </w:r>
            <w:r>
              <w:rPr>
                <w:noProof/>
                <w:webHidden/>
              </w:rPr>
              <w:fldChar w:fldCharType="end"/>
            </w:r>
          </w:hyperlink>
        </w:p>
        <w:p w14:paraId="159FF133" w14:textId="2B19CFFC"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13" w:history="1">
            <w:r w:rsidRPr="00F45DCA">
              <w:rPr>
                <w:rStyle w:val="Lienhypertexte"/>
                <w:noProof/>
              </w:rPr>
              <w:t>27.31.1 Collet et habillage CCTB 01.02</w:t>
            </w:r>
            <w:r>
              <w:rPr>
                <w:noProof/>
                <w:webHidden/>
              </w:rPr>
              <w:tab/>
            </w:r>
            <w:r>
              <w:rPr>
                <w:noProof/>
                <w:webHidden/>
              </w:rPr>
              <w:fldChar w:fldCharType="begin"/>
            </w:r>
            <w:r>
              <w:rPr>
                <w:noProof/>
                <w:webHidden/>
              </w:rPr>
              <w:instrText xml:space="preserve"> PAGEREF _Toc220497013 \h </w:instrText>
            </w:r>
            <w:r>
              <w:rPr>
                <w:noProof/>
                <w:webHidden/>
              </w:rPr>
            </w:r>
            <w:r>
              <w:rPr>
                <w:noProof/>
                <w:webHidden/>
              </w:rPr>
              <w:fldChar w:fldCharType="separate"/>
            </w:r>
            <w:r>
              <w:rPr>
                <w:noProof/>
                <w:webHidden/>
              </w:rPr>
              <w:t>1195</w:t>
            </w:r>
            <w:r>
              <w:rPr>
                <w:noProof/>
                <w:webHidden/>
              </w:rPr>
              <w:fldChar w:fldCharType="end"/>
            </w:r>
          </w:hyperlink>
        </w:p>
        <w:p w14:paraId="33F4FD22" w14:textId="52CF9B1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14" w:history="1">
            <w:r w:rsidRPr="00F45DCA">
              <w:rPr>
                <w:rStyle w:val="Lienhypertexte"/>
                <w:noProof/>
              </w:rPr>
              <w:t>27.31.1a Collet et habillage en maçonnerie CCTB 01.11</w:t>
            </w:r>
            <w:r>
              <w:rPr>
                <w:noProof/>
                <w:webHidden/>
              </w:rPr>
              <w:tab/>
            </w:r>
            <w:r>
              <w:rPr>
                <w:noProof/>
                <w:webHidden/>
              </w:rPr>
              <w:fldChar w:fldCharType="begin"/>
            </w:r>
            <w:r>
              <w:rPr>
                <w:noProof/>
                <w:webHidden/>
              </w:rPr>
              <w:instrText xml:space="preserve"> PAGEREF _Toc220497014 \h </w:instrText>
            </w:r>
            <w:r>
              <w:rPr>
                <w:noProof/>
                <w:webHidden/>
              </w:rPr>
            </w:r>
            <w:r>
              <w:rPr>
                <w:noProof/>
                <w:webHidden/>
              </w:rPr>
              <w:fldChar w:fldCharType="separate"/>
            </w:r>
            <w:r>
              <w:rPr>
                <w:noProof/>
                <w:webHidden/>
              </w:rPr>
              <w:t>1195</w:t>
            </w:r>
            <w:r>
              <w:rPr>
                <w:noProof/>
                <w:webHidden/>
              </w:rPr>
              <w:fldChar w:fldCharType="end"/>
            </w:r>
          </w:hyperlink>
        </w:p>
        <w:p w14:paraId="589FBF64" w14:textId="3065CDF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15" w:history="1">
            <w:r w:rsidRPr="00F45DCA">
              <w:rPr>
                <w:rStyle w:val="Lienhypertexte"/>
                <w:noProof/>
              </w:rPr>
              <w:t>27.31.1b Pénétration de toiture en acier inoxydable CCTB 01.11</w:t>
            </w:r>
            <w:r>
              <w:rPr>
                <w:noProof/>
                <w:webHidden/>
              </w:rPr>
              <w:tab/>
            </w:r>
            <w:r>
              <w:rPr>
                <w:noProof/>
                <w:webHidden/>
              </w:rPr>
              <w:fldChar w:fldCharType="begin"/>
            </w:r>
            <w:r>
              <w:rPr>
                <w:noProof/>
                <w:webHidden/>
              </w:rPr>
              <w:instrText xml:space="preserve"> PAGEREF _Toc220497015 \h </w:instrText>
            </w:r>
            <w:r>
              <w:rPr>
                <w:noProof/>
                <w:webHidden/>
              </w:rPr>
            </w:r>
            <w:r>
              <w:rPr>
                <w:noProof/>
                <w:webHidden/>
              </w:rPr>
              <w:fldChar w:fldCharType="separate"/>
            </w:r>
            <w:r>
              <w:rPr>
                <w:noProof/>
                <w:webHidden/>
              </w:rPr>
              <w:t>1195</w:t>
            </w:r>
            <w:r>
              <w:rPr>
                <w:noProof/>
                <w:webHidden/>
              </w:rPr>
              <w:fldChar w:fldCharType="end"/>
            </w:r>
          </w:hyperlink>
        </w:p>
        <w:p w14:paraId="037E4875" w14:textId="0E5803C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16" w:history="1">
            <w:r w:rsidRPr="00F45DCA">
              <w:rPr>
                <w:rStyle w:val="Lienhypertexte"/>
                <w:noProof/>
              </w:rPr>
              <w:t>27.32 Régulateurs de tirage CCTB 01.02</w:t>
            </w:r>
            <w:r>
              <w:rPr>
                <w:noProof/>
                <w:webHidden/>
              </w:rPr>
              <w:tab/>
            </w:r>
            <w:r>
              <w:rPr>
                <w:noProof/>
                <w:webHidden/>
              </w:rPr>
              <w:fldChar w:fldCharType="begin"/>
            </w:r>
            <w:r>
              <w:rPr>
                <w:noProof/>
                <w:webHidden/>
              </w:rPr>
              <w:instrText xml:space="preserve"> PAGEREF _Toc220497016 \h </w:instrText>
            </w:r>
            <w:r>
              <w:rPr>
                <w:noProof/>
                <w:webHidden/>
              </w:rPr>
            </w:r>
            <w:r>
              <w:rPr>
                <w:noProof/>
                <w:webHidden/>
              </w:rPr>
              <w:fldChar w:fldCharType="separate"/>
            </w:r>
            <w:r>
              <w:rPr>
                <w:noProof/>
                <w:webHidden/>
              </w:rPr>
              <w:t>1196</w:t>
            </w:r>
            <w:r>
              <w:rPr>
                <w:noProof/>
                <w:webHidden/>
              </w:rPr>
              <w:fldChar w:fldCharType="end"/>
            </w:r>
          </w:hyperlink>
        </w:p>
        <w:p w14:paraId="1EAE5DEA" w14:textId="617BCBE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17" w:history="1">
            <w:r w:rsidRPr="00F45DCA">
              <w:rPr>
                <w:rStyle w:val="Lienhypertexte"/>
                <w:noProof/>
              </w:rPr>
              <w:t>27.32.1 Régulateurs de tirage CCTB 01.04</w:t>
            </w:r>
            <w:r>
              <w:rPr>
                <w:noProof/>
                <w:webHidden/>
              </w:rPr>
              <w:tab/>
            </w:r>
            <w:r>
              <w:rPr>
                <w:noProof/>
                <w:webHidden/>
              </w:rPr>
              <w:fldChar w:fldCharType="begin"/>
            </w:r>
            <w:r>
              <w:rPr>
                <w:noProof/>
                <w:webHidden/>
              </w:rPr>
              <w:instrText xml:space="preserve"> PAGEREF _Toc220497017 \h </w:instrText>
            </w:r>
            <w:r>
              <w:rPr>
                <w:noProof/>
                <w:webHidden/>
              </w:rPr>
            </w:r>
            <w:r>
              <w:rPr>
                <w:noProof/>
                <w:webHidden/>
              </w:rPr>
              <w:fldChar w:fldCharType="separate"/>
            </w:r>
            <w:r>
              <w:rPr>
                <w:noProof/>
                <w:webHidden/>
              </w:rPr>
              <w:t>1196</w:t>
            </w:r>
            <w:r>
              <w:rPr>
                <w:noProof/>
                <w:webHidden/>
              </w:rPr>
              <w:fldChar w:fldCharType="end"/>
            </w:r>
          </w:hyperlink>
        </w:p>
        <w:p w14:paraId="22559055" w14:textId="4765FDCB"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18" w:history="1">
            <w:r w:rsidRPr="00F45DCA">
              <w:rPr>
                <w:rStyle w:val="Lienhypertexte"/>
                <w:noProof/>
              </w:rPr>
              <w:t>27.32.1a Régulateurs en éléments préfabriqués en béton CCTB 01.11</w:t>
            </w:r>
            <w:r>
              <w:rPr>
                <w:noProof/>
                <w:webHidden/>
              </w:rPr>
              <w:tab/>
            </w:r>
            <w:r>
              <w:rPr>
                <w:noProof/>
                <w:webHidden/>
              </w:rPr>
              <w:fldChar w:fldCharType="begin"/>
            </w:r>
            <w:r>
              <w:rPr>
                <w:noProof/>
                <w:webHidden/>
              </w:rPr>
              <w:instrText xml:space="preserve"> PAGEREF _Toc220497018 \h </w:instrText>
            </w:r>
            <w:r>
              <w:rPr>
                <w:noProof/>
                <w:webHidden/>
              </w:rPr>
            </w:r>
            <w:r>
              <w:rPr>
                <w:noProof/>
                <w:webHidden/>
              </w:rPr>
              <w:fldChar w:fldCharType="separate"/>
            </w:r>
            <w:r>
              <w:rPr>
                <w:noProof/>
                <w:webHidden/>
              </w:rPr>
              <w:t>1196</w:t>
            </w:r>
            <w:r>
              <w:rPr>
                <w:noProof/>
                <w:webHidden/>
              </w:rPr>
              <w:fldChar w:fldCharType="end"/>
            </w:r>
          </w:hyperlink>
        </w:p>
        <w:p w14:paraId="478EDACE" w14:textId="0374A7F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19" w:history="1">
            <w:r w:rsidRPr="00F45DCA">
              <w:rPr>
                <w:rStyle w:val="Lienhypertexte"/>
                <w:noProof/>
              </w:rPr>
              <w:t>27.32.1b Régulateurs en fibres-ciment CCTB 01.02</w:t>
            </w:r>
            <w:r>
              <w:rPr>
                <w:noProof/>
                <w:webHidden/>
              </w:rPr>
              <w:tab/>
            </w:r>
            <w:r>
              <w:rPr>
                <w:noProof/>
                <w:webHidden/>
              </w:rPr>
              <w:fldChar w:fldCharType="begin"/>
            </w:r>
            <w:r>
              <w:rPr>
                <w:noProof/>
                <w:webHidden/>
              </w:rPr>
              <w:instrText xml:space="preserve"> PAGEREF _Toc220497019 \h </w:instrText>
            </w:r>
            <w:r>
              <w:rPr>
                <w:noProof/>
                <w:webHidden/>
              </w:rPr>
            </w:r>
            <w:r>
              <w:rPr>
                <w:noProof/>
                <w:webHidden/>
              </w:rPr>
              <w:fldChar w:fldCharType="separate"/>
            </w:r>
            <w:r>
              <w:rPr>
                <w:noProof/>
                <w:webHidden/>
              </w:rPr>
              <w:t>1197</w:t>
            </w:r>
            <w:r>
              <w:rPr>
                <w:noProof/>
                <w:webHidden/>
              </w:rPr>
              <w:fldChar w:fldCharType="end"/>
            </w:r>
          </w:hyperlink>
        </w:p>
        <w:p w14:paraId="4E6CE714" w14:textId="6DA93B6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20" w:history="1">
            <w:r w:rsidRPr="00F45DCA">
              <w:rPr>
                <w:rStyle w:val="Lienhypertexte"/>
                <w:noProof/>
              </w:rPr>
              <w:t>27.32.1c Régulateurs en acier inoxydable CCTB 01.11</w:t>
            </w:r>
            <w:r>
              <w:rPr>
                <w:noProof/>
                <w:webHidden/>
              </w:rPr>
              <w:tab/>
            </w:r>
            <w:r>
              <w:rPr>
                <w:noProof/>
                <w:webHidden/>
              </w:rPr>
              <w:fldChar w:fldCharType="begin"/>
            </w:r>
            <w:r>
              <w:rPr>
                <w:noProof/>
                <w:webHidden/>
              </w:rPr>
              <w:instrText xml:space="preserve"> PAGEREF _Toc220497020 \h </w:instrText>
            </w:r>
            <w:r>
              <w:rPr>
                <w:noProof/>
                <w:webHidden/>
              </w:rPr>
            </w:r>
            <w:r>
              <w:rPr>
                <w:noProof/>
                <w:webHidden/>
              </w:rPr>
              <w:fldChar w:fldCharType="separate"/>
            </w:r>
            <w:r>
              <w:rPr>
                <w:noProof/>
                <w:webHidden/>
              </w:rPr>
              <w:t>1197</w:t>
            </w:r>
            <w:r>
              <w:rPr>
                <w:noProof/>
                <w:webHidden/>
              </w:rPr>
              <w:fldChar w:fldCharType="end"/>
            </w:r>
          </w:hyperlink>
        </w:p>
        <w:p w14:paraId="42E9C6BA" w14:textId="3B057B3C"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21" w:history="1">
            <w:r w:rsidRPr="00F45DCA">
              <w:rPr>
                <w:rStyle w:val="Lienhypertexte"/>
                <w:noProof/>
              </w:rPr>
              <w:t>27.33 Accessoires CCTB 01.04</w:t>
            </w:r>
            <w:r>
              <w:rPr>
                <w:noProof/>
                <w:webHidden/>
              </w:rPr>
              <w:tab/>
            </w:r>
            <w:r>
              <w:rPr>
                <w:noProof/>
                <w:webHidden/>
              </w:rPr>
              <w:fldChar w:fldCharType="begin"/>
            </w:r>
            <w:r>
              <w:rPr>
                <w:noProof/>
                <w:webHidden/>
              </w:rPr>
              <w:instrText xml:space="preserve"> PAGEREF _Toc220497021 \h </w:instrText>
            </w:r>
            <w:r>
              <w:rPr>
                <w:noProof/>
                <w:webHidden/>
              </w:rPr>
            </w:r>
            <w:r>
              <w:rPr>
                <w:noProof/>
                <w:webHidden/>
              </w:rPr>
              <w:fldChar w:fldCharType="separate"/>
            </w:r>
            <w:r>
              <w:rPr>
                <w:noProof/>
                <w:webHidden/>
              </w:rPr>
              <w:t>1197</w:t>
            </w:r>
            <w:r>
              <w:rPr>
                <w:noProof/>
                <w:webHidden/>
              </w:rPr>
              <w:fldChar w:fldCharType="end"/>
            </w:r>
          </w:hyperlink>
        </w:p>
        <w:p w14:paraId="1D79ACF5" w14:textId="545DB7F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22" w:history="1">
            <w:r w:rsidRPr="00F45DCA">
              <w:rPr>
                <w:rStyle w:val="Lienhypertexte"/>
                <w:noProof/>
              </w:rPr>
              <w:t>27.33.1 Trappes de ramonage CCTB 01.11</w:t>
            </w:r>
            <w:r>
              <w:rPr>
                <w:noProof/>
                <w:webHidden/>
              </w:rPr>
              <w:tab/>
            </w:r>
            <w:r>
              <w:rPr>
                <w:noProof/>
                <w:webHidden/>
              </w:rPr>
              <w:fldChar w:fldCharType="begin"/>
            </w:r>
            <w:r>
              <w:rPr>
                <w:noProof/>
                <w:webHidden/>
              </w:rPr>
              <w:instrText xml:space="preserve"> PAGEREF _Toc220497022 \h </w:instrText>
            </w:r>
            <w:r>
              <w:rPr>
                <w:noProof/>
                <w:webHidden/>
              </w:rPr>
            </w:r>
            <w:r>
              <w:rPr>
                <w:noProof/>
                <w:webHidden/>
              </w:rPr>
              <w:fldChar w:fldCharType="separate"/>
            </w:r>
            <w:r>
              <w:rPr>
                <w:noProof/>
                <w:webHidden/>
              </w:rPr>
              <w:t>1198</w:t>
            </w:r>
            <w:r>
              <w:rPr>
                <w:noProof/>
                <w:webHidden/>
              </w:rPr>
              <w:fldChar w:fldCharType="end"/>
            </w:r>
          </w:hyperlink>
        </w:p>
        <w:p w14:paraId="5FECEF3F" w14:textId="471CE14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23" w:history="1">
            <w:r w:rsidRPr="00F45DCA">
              <w:rPr>
                <w:rStyle w:val="Lienhypertexte"/>
                <w:noProof/>
              </w:rPr>
              <w:t>27.33.1a Trappes de ramonage CCTB 01.11</w:t>
            </w:r>
            <w:r>
              <w:rPr>
                <w:noProof/>
                <w:webHidden/>
              </w:rPr>
              <w:tab/>
            </w:r>
            <w:r>
              <w:rPr>
                <w:noProof/>
                <w:webHidden/>
              </w:rPr>
              <w:fldChar w:fldCharType="begin"/>
            </w:r>
            <w:r>
              <w:rPr>
                <w:noProof/>
                <w:webHidden/>
              </w:rPr>
              <w:instrText xml:space="preserve"> PAGEREF _Toc220497023 \h </w:instrText>
            </w:r>
            <w:r>
              <w:rPr>
                <w:noProof/>
                <w:webHidden/>
              </w:rPr>
            </w:r>
            <w:r>
              <w:rPr>
                <w:noProof/>
                <w:webHidden/>
              </w:rPr>
              <w:fldChar w:fldCharType="separate"/>
            </w:r>
            <w:r>
              <w:rPr>
                <w:noProof/>
                <w:webHidden/>
              </w:rPr>
              <w:t>1198</w:t>
            </w:r>
            <w:r>
              <w:rPr>
                <w:noProof/>
                <w:webHidden/>
              </w:rPr>
              <w:fldChar w:fldCharType="end"/>
            </w:r>
          </w:hyperlink>
        </w:p>
        <w:p w14:paraId="1FA31F3A" w14:textId="602E461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24" w:history="1">
            <w:r w:rsidRPr="00F45DCA">
              <w:rPr>
                <w:rStyle w:val="Lienhypertexte"/>
                <w:noProof/>
              </w:rPr>
              <w:t>27.33.2 Collecteurs de suie CCTB 01.11</w:t>
            </w:r>
            <w:r>
              <w:rPr>
                <w:noProof/>
                <w:webHidden/>
              </w:rPr>
              <w:tab/>
            </w:r>
            <w:r>
              <w:rPr>
                <w:noProof/>
                <w:webHidden/>
              </w:rPr>
              <w:fldChar w:fldCharType="begin"/>
            </w:r>
            <w:r>
              <w:rPr>
                <w:noProof/>
                <w:webHidden/>
              </w:rPr>
              <w:instrText xml:space="preserve"> PAGEREF _Toc220497024 \h </w:instrText>
            </w:r>
            <w:r>
              <w:rPr>
                <w:noProof/>
                <w:webHidden/>
              </w:rPr>
            </w:r>
            <w:r>
              <w:rPr>
                <w:noProof/>
                <w:webHidden/>
              </w:rPr>
              <w:fldChar w:fldCharType="separate"/>
            </w:r>
            <w:r>
              <w:rPr>
                <w:noProof/>
                <w:webHidden/>
              </w:rPr>
              <w:t>1198</w:t>
            </w:r>
            <w:r>
              <w:rPr>
                <w:noProof/>
                <w:webHidden/>
              </w:rPr>
              <w:fldChar w:fldCharType="end"/>
            </w:r>
          </w:hyperlink>
        </w:p>
        <w:p w14:paraId="4FF1B7A8" w14:textId="1A9C966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25" w:history="1">
            <w:r w:rsidRPr="00F45DCA">
              <w:rPr>
                <w:rStyle w:val="Lienhypertexte"/>
                <w:noProof/>
              </w:rPr>
              <w:t>27.33.2a Collecteurs de suie CCTB 01.11</w:t>
            </w:r>
            <w:r>
              <w:rPr>
                <w:noProof/>
                <w:webHidden/>
              </w:rPr>
              <w:tab/>
            </w:r>
            <w:r>
              <w:rPr>
                <w:noProof/>
                <w:webHidden/>
              </w:rPr>
              <w:fldChar w:fldCharType="begin"/>
            </w:r>
            <w:r>
              <w:rPr>
                <w:noProof/>
                <w:webHidden/>
              </w:rPr>
              <w:instrText xml:space="preserve"> PAGEREF _Toc220497025 \h </w:instrText>
            </w:r>
            <w:r>
              <w:rPr>
                <w:noProof/>
                <w:webHidden/>
              </w:rPr>
            </w:r>
            <w:r>
              <w:rPr>
                <w:noProof/>
                <w:webHidden/>
              </w:rPr>
              <w:fldChar w:fldCharType="separate"/>
            </w:r>
            <w:r>
              <w:rPr>
                <w:noProof/>
                <w:webHidden/>
              </w:rPr>
              <w:t>1198</w:t>
            </w:r>
            <w:r>
              <w:rPr>
                <w:noProof/>
                <w:webHidden/>
              </w:rPr>
              <w:fldChar w:fldCharType="end"/>
            </w:r>
          </w:hyperlink>
        </w:p>
        <w:p w14:paraId="071F7BBB" w14:textId="7529DFF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26" w:history="1">
            <w:r w:rsidRPr="00F45DCA">
              <w:rPr>
                <w:rStyle w:val="Lienhypertexte"/>
                <w:noProof/>
              </w:rPr>
              <w:t>27.33.3 Recueillement des condensats CCTB 01.02</w:t>
            </w:r>
            <w:r>
              <w:rPr>
                <w:noProof/>
                <w:webHidden/>
              </w:rPr>
              <w:tab/>
            </w:r>
            <w:r>
              <w:rPr>
                <w:noProof/>
                <w:webHidden/>
              </w:rPr>
              <w:fldChar w:fldCharType="begin"/>
            </w:r>
            <w:r>
              <w:rPr>
                <w:noProof/>
                <w:webHidden/>
              </w:rPr>
              <w:instrText xml:space="preserve"> PAGEREF _Toc220497026 \h </w:instrText>
            </w:r>
            <w:r>
              <w:rPr>
                <w:noProof/>
                <w:webHidden/>
              </w:rPr>
            </w:r>
            <w:r>
              <w:rPr>
                <w:noProof/>
                <w:webHidden/>
              </w:rPr>
              <w:fldChar w:fldCharType="separate"/>
            </w:r>
            <w:r>
              <w:rPr>
                <w:noProof/>
                <w:webHidden/>
              </w:rPr>
              <w:t>1198</w:t>
            </w:r>
            <w:r>
              <w:rPr>
                <w:noProof/>
                <w:webHidden/>
              </w:rPr>
              <w:fldChar w:fldCharType="end"/>
            </w:r>
          </w:hyperlink>
        </w:p>
        <w:p w14:paraId="5DDA6449" w14:textId="1B8B2B43"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27" w:history="1">
            <w:r w:rsidRPr="00F45DCA">
              <w:rPr>
                <w:rStyle w:val="Lienhypertexte"/>
                <w:noProof/>
              </w:rPr>
              <w:t>27.33.3a Recueillement des condensats CCTB 01.02</w:t>
            </w:r>
            <w:r>
              <w:rPr>
                <w:noProof/>
                <w:webHidden/>
              </w:rPr>
              <w:tab/>
            </w:r>
            <w:r>
              <w:rPr>
                <w:noProof/>
                <w:webHidden/>
              </w:rPr>
              <w:fldChar w:fldCharType="begin"/>
            </w:r>
            <w:r>
              <w:rPr>
                <w:noProof/>
                <w:webHidden/>
              </w:rPr>
              <w:instrText xml:space="preserve"> PAGEREF _Toc220497027 \h </w:instrText>
            </w:r>
            <w:r>
              <w:rPr>
                <w:noProof/>
                <w:webHidden/>
              </w:rPr>
            </w:r>
            <w:r>
              <w:rPr>
                <w:noProof/>
                <w:webHidden/>
              </w:rPr>
              <w:fldChar w:fldCharType="separate"/>
            </w:r>
            <w:r>
              <w:rPr>
                <w:noProof/>
                <w:webHidden/>
              </w:rPr>
              <w:t>1198</w:t>
            </w:r>
            <w:r>
              <w:rPr>
                <w:noProof/>
                <w:webHidden/>
              </w:rPr>
              <w:fldChar w:fldCharType="end"/>
            </w:r>
          </w:hyperlink>
        </w:p>
        <w:p w14:paraId="1E463CEF" w14:textId="481B9D1B"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28" w:history="1">
            <w:r w:rsidRPr="00F45DCA">
              <w:rPr>
                <w:rStyle w:val="Lienhypertexte"/>
                <w:noProof/>
              </w:rPr>
              <w:t>27.4 - CCTB 01.02</w:t>
            </w:r>
            <w:r>
              <w:rPr>
                <w:noProof/>
                <w:webHidden/>
              </w:rPr>
              <w:tab/>
            </w:r>
            <w:r>
              <w:rPr>
                <w:noProof/>
                <w:webHidden/>
              </w:rPr>
              <w:fldChar w:fldCharType="begin"/>
            </w:r>
            <w:r>
              <w:rPr>
                <w:noProof/>
                <w:webHidden/>
              </w:rPr>
              <w:instrText xml:space="preserve"> PAGEREF _Toc220497028 \h </w:instrText>
            </w:r>
            <w:r>
              <w:rPr>
                <w:noProof/>
                <w:webHidden/>
              </w:rPr>
            </w:r>
            <w:r>
              <w:rPr>
                <w:noProof/>
                <w:webHidden/>
              </w:rPr>
              <w:fldChar w:fldCharType="separate"/>
            </w:r>
            <w:r>
              <w:rPr>
                <w:noProof/>
                <w:webHidden/>
              </w:rPr>
              <w:t>1198</w:t>
            </w:r>
            <w:r>
              <w:rPr>
                <w:noProof/>
                <w:webHidden/>
              </w:rPr>
              <w:fldChar w:fldCharType="end"/>
            </w:r>
          </w:hyperlink>
        </w:p>
        <w:p w14:paraId="079C4C55" w14:textId="13B920AE"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29" w:history="1">
            <w:r w:rsidRPr="00F45DCA">
              <w:rPr>
                <w:rStyle w:val="Lienhypertexte"/>
                <w:noProof/>
              </w:rPr>
              <w:t>27.5 - CCTB 01.02</w:t>
            </w:r>
            <w:r>
              <w:rPr>
                <w:noProof/>
                <w:webHidden/>
              </w:rPr>
              <w:tab/>
            </w:r>
            <w:r>
              <w:rPr>
                <w:noProof/>
                <w:webHidden/>
              </w:rPr>
              <w:fldChar w:fldCharType="begin"/>
            </w:r>
            <w:r>
              <w:rPr>
                <w:noProof/>
                <w:webHidden/>
              </w:rPr>
              <w:instrText xml:space="preserve"> PAGEREF _Toc220497029 \h </w:instrText>
            </w:r>
            <w:r>
              <w:rPr>
                <w:noProof/>
                <w:webHidden/>
              </w:rPr>
            </w:r>
            <w:r>
              <w:rPr>
                <w:noProof/>
                <w:webHidden/>
              </w:rPr>
              <w:fldChar w:fldCharType="separate"/>
            </w:r>
            <w:r>
              <w:rPr>
                <w:noProof/>
                <w:webHidden/>
              </w:rPr>
              <w:t>1198</w:t>
            </w:r>
            <w:r>
              <w:rPr>
                <w:noProof/>
                <w:webHidden/>
              </w:rPr>
              <w:fldChar w:fldCharType="end"/>
            </w:r>
          </w:hyperlink>
        </w:p>
        <w:p w14:paraId="12291280" w14:textId="4583BE1D"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30" w:history="1">
            <w:r w:rsidRPr="00F45DCA">
              <w:rPr>
                <w:rStyle w:val="Lienhypertexte"/>
                <w:noProof/>
              </w:rPr>
              <w:t>27.6 - CCTB 01.02</w:t>
            </w:r>
            <w:r>
              <w:rPr>
                <w:noProof/>
                <w:webHidden/>
              </w:rPr>
              <w:tab/>
            </w:r>
            <w:r>
              <w:rPr>
                <w:noProof/>
                <w:webHidden/>
              </w:rPr>
              <w:fldChar w:fldCharType="begin"/>
            </w:r>
            <w:r>
              <w:rPr>
                <w:noProof/>
                <w:webHidden/>
              </w:rPr>
              <w:instrText xml:space="preserve"> PAGEREF _Toc220497030 \h </w:instrText>
            </w:r>
            <w:r>
              <w:rPr>
                <w:noProof/>
                <w:webHidden/>
              </w:rPr>
            </w:r>
            <w:r>
              <w:rPr>
                <w:noProof/>
                <w:webHidden/>
              </w:rPr>
              <w:fldChar w:fldCharType="separate"/>
            </w:r>
            <w:r>
              <w:rPr>
                <w:noProof/>
                <w:webHidden/>
              </w:rPr>
              <w:t>1198</w:t>
            </w:r>
            <w:r>
              <w:rPr>
                <w:noProof/>
                <w:webHidden/>
              </w:rPr>
              <w:fldChar w:fldCharType="end"/>
            </w:r>
          </w:hyperlink>
        </w:p>
        <w:p w14:paraId="4CB78620" w14:textId="1870E18F"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31" w:history="1">
            <w:r w:rsidRPr="00F45DCA">
              <w:rPr>
                <w:rStyle w:val="Lienhypertexte"/>
                <w:noProof/>
              </w:rPr>
              <w:t>27.7 -</w:t>
            </w:r>
            <w:r>
              <w:rPr>
                <w:noProof/>
                <w:webHidden/>
              </w:rPr>
              <w:tab/>
            </w:r>
            <w:r>
              <w:rPr>
                <w:noProof/>
                <w:webHidden/>
              </w:rPr>
              <w:fldChar w:fldCharType="begin"/>
            </w:r>
            <w:r>
              <w:rPr>
                <w:noProof/>
                <w:webHidden/>
              </w:rPr>
              <w:instrText xml:space="preserve"> PAGEREF _Toc220497031 \h </w:instrText>
            </w:r>
            <w:r>
              <w:rPr>
                <w:noProof/>
                <w:webHidden/>
              </w:rPr>
            </w:r>
            <w:r>
              <w:rPr>
                <w:noProof/>
                <w:webHidden/>
              </w:rPr>
              <w:fldChar w:fldCharType="separate"/>
            </w:r>
            <w:r>
              <w:rPr>
                <w:noProof/>
                <w:webHidden/>
              </w:rPr>
              <w:t>1198</w:t>
            </w:r>
            <w:r>
              <w:rPr>
                <w:noProof/>
                <w:webHidden/>
              </w:rPr>
              <w:fldChar w:fldCharType="end"/>
            </w:r>
          </w:hyperlink>
        </w:p>
        <w:p w14:paraId="37A15A5C" w14:textId="6C54F6B5"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32" w:history="1">
            <w:r w:rsidRPr="00F45DCA">
              <w:rPr>
                <w:rStyle w:val="Lienhypertexte"/>
                <w:noProof/>
              </w:rPr>
              <w:t>27.8 Conduits de fumée et de ventilation maçonnés - Rénovation CCTB 01.04</w:t>
            </w:r>
            <w:r>
              <w:rPr>
                <w:noProof/>
                <w:webHidden/>
              </w:rPr>
              <w:tab/>
            </w:r>
            <w:r>
              <w:rPr>
                <w:noProof/>
                <w:webHidden/>
              </w:rPr>
              <w:fldChar w:fldCharType="begin"/>
            </w:r>
            <w:r>
              <w:rPr>
                <w:noProof/>
                <w:webHidden/>
              </w:rPr>
              <w:instrText xml:space="preserve"> PAGEREF _Toc220497032 \h </w:instrText>
            </w:r>
            <w:r>
              <w:rPr>
                <w:noProof/>
                <w:webHidden/>
              </w:rPr>
            </w:r>
            <w:r>
              <w:rPr>
                <w:noProof/>
                <w:webHidden/>
              </w:rPr>
              <w:fldChar w:fldCharType="separate"/>
            </w:r>
            <w:r>
              <w:rPr>
                <w:noProof/>
                <w:webHidden/>
              </w:rPr>
              <w:t>1198</w:t>
            </w:r>
            <w:r>
              <w:rPr>
                <w:noProof/>
                <w:webHidden/>
              </w:rPr>
              <w:fldChar w:fldCharType="end"/>
            </w:r>
          </w:hyperlink>
        </w:p>
        <w:p w14:paraId="44144201" w14:textId="3EB7DCED"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33" w:history="1">
            <w:r w:rsidRPr="00F45DCA">
              <w:rPr>
                <w:rStyle w:val="Lienhypertexte"/>
                <w:noProof/>
              </w:rPr>
              <w:t>27.81 Etudes / essais préliminaires CCTB 01.04</w:t>
            </w:r>
            <w:r>
              <w:rPr>
                <w:noProof/>
                <w:webHidden/>
              </w:rPr>
              <w:tab/>
            </w:r>
            <w:r>
              <w:rPr>
                <w:noProof/>
                <w:webHidden/>
              </w:rPr>
              <w:fldChar w:fldCharType="begin"/>
            </w:r>
            <w:r>
              <w:rPr>
                <w:noProof/>
                <w:webHidden/>
              </w:rPr>
              <w:instrText xml:space="preserve"> PAGEREF _Toc220497033 \h </w:instrText>
            </w:r>
            <w:r>
              <w:rPr>
                <w:noProof/>
                <w:webHidden/>
              </w:rPr>
            </w:r>
            <w:r>
              <w:rPr>
                <w:noProof/>
                <w:webHidden/>
              </w:rPr>
              <w:fldChar w:fldCharType="separate"/>
            </w:r>
            <w:r>
              <w:rPr>
                <w:noProof/>
                <w:webHidden/>
              </w:rPr>
              <w:t>1199</w:t>
            </w:r>
            <w:r>
              <w:rPr>
                <w:noProof/>
                <w:webHidden/>
              </w:rPr>
              <w:fldChar w:fldCharType="end"/>
            </w:r>
          </w:hyperlink>
        </w:p>
        <w:p w14:paraId="5834FE3F" w14:textId="4B43D7B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34" w:history="1">
            <w:r w:rsidRPr="00F45DCA">
              <w:rPr>
                <w:rStyle w:val="Lienhypertexte"/>
                <w:noProof/>
              </w:rPr>
              <w:t>27.82 Dépose / démontage / percement / déconstruction-démolition CCTB 01.04</w:t>
            </w:r>
            <w:r>
              <w:rPr>
                <w:noProof/>
                <w:webHidden/>
              </w:rPr>
              <w:tab/>
            </w:r>
            <w:r>
              <w:rPr>
                <w:noProof/>
                <w:webHidden/>
              </w:rPr>
              <w:fldChar w:fldCharType="begin"/>
            </w:r>
            <w:r>
              <w:rPr>
                <w:noProof/>
                <w:webHidden/>
              </w:rPr>
              <w:instrText xml:space="preserve"> PAGEREF _Toc220497034 \h </w:instrText>
            </w:r>
            <w:r>
              <w:rPr>
                <w:noProof/>
                <w:webHidden/>
              </w:rPr>
            </w:r>
            <w:r>
              <w:rPr>
                <w:noProof/>
                <w:webHidden/>
              </w:rPr>
              <w:fldChar w:fldCharType="separate"/>
            </w:r>
            <w:r>
              <w:rPr>
                <w:noProof/>
                <w:webHidden/>
              </w:rPr>
              <w:t>1199</w:t>
            </w:r>
            <w:r>
              <w:rPr>
                <w:noProof/>
                <w:webHidden/>
              </w:rPr>
              <w:fldChar w:fldCharType="end"/>
            </w:r>
          </w:hyperlink>
        </w:p>
        <w:p w14:paraId="040AA795" w14:textId="35EABFF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35" w:history="1">
            <w:r w:rsidRPr="00F45DCA">
              <w:rPr>
                <w:rStyle w:val="Lienhypertexte"/>
                <w:noProof/>
              </w:rPr>
              <w:t>27.82.1 Travaux de stabilisation CCTB 01.04</w:t>
            </w:r>
            <w:r>
              <w:rPr>
                <w:noProof/>
                <w:webHidden/>
              </w:rPr>
              <w:tab/>
            </w:r>
            <w:r>
              <w:rPr>
                <w:noProof/>
                <w:webHidden/>
              </w:rPr>
              <w:fldChar w:fldCharType="begin"/>
            </w:r>
            <w:r>
              <w:rPr>
                <w:noProof/>
                <w:webHidden/>
              </w:rPr>
              <w:instrText xml:space="preserve"> PAGEREF _Toc220497035 \h </w:instrText>
            </w:r>
            <w:r>
              <w:rPr>
                <w:noProof/>
                <w:webHidden/>
              </w:rPr>
            </w:r>
            <w:r>
              <w:rPr>
                <w:noProof/>
                <w:webHidden/>
              </w:rPr>
              <w:fldChar w:fldCharType="separate"/>
            </w:r>
            <w:r>
              <w:rPr>
                <w:noProof/>
                <w:webHidden/>
              </w:rPr>
              <w:t>1199</w:t>
            </w:r>
            <w:r>
              <w:rPr>
                <w:noProof/>
                <w:webHidden/>
              </w:rPr>
              <w:fldChar w:fldCharType="end"/>
            </w:r>
          </w:hyperlink>
        </w:p>
        <w:p w14:paraId="27CBB9CD" w14:textId="0242593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36" w:history="1">
            <w:r w:rsidRPr="00F45DCA">
              <w:rPr>
                <w:rStyle w:val="Lienhypertexte"/>
                <w:noProof/>
              </w:rPr>
              <w:t>27.82.2 Dépose d'éléments (pour repose ultérieure) CCTB 01.04</w:t>
            </w:r>
            <w:r>
              <w:rPr>
                <w:noProof/>
                <w:webHidden/>
              </w:rPr>
              <w:tab/>
            </w:r>
            <w:r>
              <w:rPr>
                <w:noProof/>
                <w:webHidden/>
              </w:rPr>
              <w:fldChar w:fldCharType="begin"/>
            </w:r>
            <w:r>
              <w:rPr>
                <w:noProof/>
                <w:webHidden/>
              </w:rPr>
              <w:instrText xml:space="preserve"> PAGEREF _Toc220497036 \h </w:instrText>
            </w:r>
            <w:r>
              <w:rPr>
                <w:noProof/>
                <w:webHidden/>
              </w:rPr>
            </w:r>
            <w:r>
              <w:rPr>
                <w:noProof/>
                <w:webHidden/>
              </w:rPr>
              <w:fldChar w:fldCharType="separate"/>
            </w:r>
            <w:r>
              <w:rPr>
                <w:noProof/>
                <w:webHidden/>
              </w:rPr>
              <w:t>1199</w:t>
            </w:r>
            <w:r>
              <w:rPr>
                <w:noProof/>
                <w:webHidden/>
              </w:rPr>
              <w:fldChar w:fldCharType="end"/>
            </w:r>
          </w:hyperlink>
        </w:p>
        <w:p w14:paraId="4DA3A991" w14:textId="1C9ECFF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37" w:history="1">
            <w:r w:rsidRPr="00F45DCA">
              <w:rPr>
                <w:rStyle w:val="Lienhypertexte"/>
                <w:noProof/>
              </w:rPr>
              <w:t>27.82.3 Démontage d'éléments (pour récupération)  CCTB 01.04</w:t>
            </w:r>
            <w:r>
              <w:rPr>
                <w:noProof/>
                <w:webHidden/>
              </w:rPr>
              <w:tab/>
            </w:r>
            <w:r>
              <w:rPr>
                <w:noProof/>
                <w:webHidden/>
              </w:rPr>
              <w:fldChar w:fldCharType="begin"/>
            </w:r>
            <w:r>
              <w:rPr>
                <w:noProof/>
                <w:webHidden/>
              </w:rPr>
              <w:instrText xml:space="preserve"> PAGEREF _Toc220497037 \h </w:instrText>
            </w:r>
            <w:r>
              <w:rPr>
                <w:noProof/>
                <w:webHidden/>
              </w:rPr>
            </w:r>
            <w:r>
              <w:rPr>
                <w:noProof/>
                <w:webHidden/>
              </w:rPr>
              <w:fldChar w:fldCharType="separate"/>
            </w:r>
            <w:r>
              <w:rPr>
                <w:noProof/>
                <w:webHidden/>
              </w:rPr>
              <w:t>1199</w:t>
            </w:r>
            <w:r>
              <w:rPr>
                <w:noProof/>
                <w:webHidden/>
              </w:rPr>
              <w:fldChar w:fldCharType="end"/>
            </w:r>
          </w:hyperlink>
        </w:p>
        <w:p w14:paraId="1AACED14" w14:textId="7053FC7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38" w:history="1">
            <w:r w:rsidRPr="00F45DCA">
              <w:rPr>
                <w:rStyle w:val="Lienhypertexte"/>
                <w:noProof/>
              </w:rPr>
              <w:t>27.82.4 Dégagement d'éléments spécifiques CCTB 01.04</w:t>
            </w:r>
            <w:r>
              <w:rPr>
                <w:noProof/>
                <w:webHidden/>
              </w:rPr>
              <w:tab/>
            </w:r>
            <w:r>
              <w:rPr>
                <w:noProof/>
                <w:webHidden/>
              </w:rPr>
              <w:fldChar w:fldCharType="begin"/>
            </w:r>
            <w:r>
              <w:rPr>
                <w:noProof/>
                <w:webHidden/>
              </w:rPr>
              <w:instrText xml:space="preserve"> PAGEREF _Toc220497038 \h </w:instrText>
            </w:r>
            <w:r>
              <w:rPr>
                <w:noProof/>
                <w:webHidden/>
              </w:rPr>
            </w:r>
            <w:r>
              <w:rPr>
                <w:noProof/>
                <w:webHidden/>
              </w:rPr>
              <w:fldChar w:fldCharType="separate"/>
            </w:r>
            <w:r>
              <w:rPr>
                <w:noProof/>
                <w:webHidden/>
              </w:rPr>
              <w:t>1199</w:t>
            </w:r>
            <w:r>
              <w:rPr>
                <w:noProof/>
                <w:webHidden/>
              </w:rPr>
              <w:fldChar w:fldCharType="end"/>
            </w:r>
          </w:hyperlink>
        </w:p>
        <w:p w14:paraId="770FE417" w14:textId="2C56929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39" w:history="1">
            <w:r w:rsidRPr="00F45DCA">
              <w:rPr>
                <w:rStyle w:val="Lienhypertexte"/>
                <w:noProof/>
              </w:rPr>
              <w:t>27.82.5 Décapage / Déjointoiement (pour évacuation) CCTB 01.04</w:t>
            </w:r>
            <w:r>
              <w:rPr>
                <w:noProof/>
                <w:webHidden/>
              </w:rPr>
              <w:tab/>
            </w:r>
            <w:r>
              <w:rPr>
                <w:noProof/>
                <w:webHidden/>
              </w:rPr>
              <w:fldChar w:fldCharType="begin"/>
            </w:r>
            <w:r>
              <w:rPr>
                <w:noProof/>
                <w:webHidden/>
              </w:rPr>
              <w:instrText xml:space="preserve"> PAGEREF _Toc220497039 \h </w:instrText>
            </w:r>
            <w:r>
              <w:rPr>
                <w:noProof/>
                <w:webHidden/>
              </w:rPr>
            </w:r>
            <w:r>
              <w:rPr>
                <w:noProof/>
                <w:webHidden/>
              </w:rPr>
              <w:fldChar w:fldCharType="separate"/>
            </w:r>
            <w:r>
              <w:rPr>
                <w:noProof/>
                <w:webHidden/>
              </w:rPr>
              <w:t>1199</w:t>
            </w:r>
            <w:r>
              <w:rPr>
                <w:noProof/>
                <w:webHidden/>
              </w:rPr>
              <w:fldChar w:fldCharType="end"/>
            </w:r>
          </w:hyperlink>
        </w:p>
        <w:p w14:paraId="37AE3FAA" w14:textId="085BE30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40" w:history="1">
            <w:r w:rsidRPr="00F45DCA">
              <w:rPr>
                <w:rStyle w:val="Lienhypertexte"/>
                <w:noProof/>
              </w:rPr>
              <w:t>27.82.6 Percements / carottages CCTB 01.04</w:t>
            </w:r>
            <w:r>
              <w:rPr>
                <w:noProof/>
                <w:webHidden/>
              </w:rPr>
              <w:tab/>
            </w:r>
            <w:r>
              <w:rPr>
                <w:noProof/>
                <w:webHidden/>
              </w:rPr>
              <w:fldChar w:fldCharType="begin"/>
            </w:r>
            <w:r>
              <w:rPr>
                <w:noProof/>
                <w:webHidden/>
              </w:rPr>
              <w:instrText xml:space="preserve"> PAGEREF _Toc220497040 \h </w:instrText>
            </w:r>
            <w:r>
              <w:rPr>
                <w:noProof/>
                <w:webHidden/>
              </w:rPr>
            </w:r>
            <w:r>
              <w:rPr>
                <w:noProof/>
                <w:webHidden/>
              </w:rPr>
              <w:fldChar w:fldCharType="separate"/>
            </w:r>
            <w:r>
              <w:rPr>
                <w:noProof/>
                <w:webHidden/>
              </w:rPr>
              <w:t>1199</w:t>
            </w:r>
            <w:r>
              <w:rPr>
                <w:noProof/>
                <w:webHidden/>
              </w:rPr>
              <w:fldChar w:fldCharType="end"/>
            </w:r>
          </w:hyperlink>
        </w:p>
        <w:p w14:paraId="32CD3998" w14:textId="4D03B74D"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41" w:history="1">
            <w:r w:rsidRPr="00F45DCA">
              <w:rPr>
                <w:rStyle w:val="Lienhypertexte"/>
                <w:noProof/>
              </w:rPr>
              <w:t>27.83 Réparation / ragréage / rénovation CCTB 01.04</w:t>
            </w:r>
            <w:r>
              <w:rPr>
                <w:noProof/>
                <w:webHidden/>
              </w:rPr>
              <w:tab/>
            </w:r>
            <w:r>
              <w:rPr>
                <w:noProof/>
                <w:webHidden/>
              </w:rPr>
              <w:fldChar w:fldCharType="begin"/>
            </w:r>
            <w:r>
              <w:rPr>
                <w:noProof/>
                <w:webHidden/>
              </w:rPr>
              <w:instrText xml:space="preserve"> PAGEREF _Toc220497041 \h </w:instrText>
            </w:r>
            <w:r>
              <w:rPr>
                <w:noProof/>
                <w:webHidden/>
              </w:rPr>
            </w:r>
            <w:r>
              <w:rPr>
                <w:noProof/>
                <w:webHidden/>
              </w:rPr>
              <w:fldChar w:fldCharType="separate"/>
            </w:r>
            <w:r>
              <w:rPr>
                <w:noProof/>
                <w:webHidden/>
              </w:rPr>
              <w:t>1199</w:t>
            </w:r>
            <w:r>
              <w:rPr>
                <w:noProof/>
                <w:webHidden/>
              </w:rPr>
              <w:fldChar w:fldCharType="end"/>
            </w:r>
          </w:hyperlink>
        </w:p>
        <w:p w14:paraId="06275816" w14:textId="539122C6"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42" w:history="1">
            <w:r w:rsidRPr="00F45DCA">
              <w:rPr>
                <w:rStyle w:val="Lienhypertexte"/>
                <w:noProof/>
              </w:rPr>
              <w:t>27.83.1 Ragréage de souches de cheminée CCTB 01.04</w:t>
            </w:r>
            <w:r>
              <w:rPr>
                <w:noProof/>
                <w:webHidden/>
              </w:rPr>
              <w:tab/>
            </w:r>
            <w:r>
              <w:rPr>
                <w:noProof/>
                <w:webHidden/>
              </w:rPr>
              <w:fldChar w:fldCharType="begin"/>
            </w:r>
            <w:r>
              <w:rPr>
                <w:noProof/>
                <w:webHidden/>
              </w:rPr>
              <w:instrText xml:space="preserve"> PAGEREF _Toc220497042 \h </w:instrText>
            </w:r>
            <w:r>
              <w:rPr>
                <w:noProof/>
                <w:webHidden/>
              </w:rPr>
            </w:r>
            <w:r>
              <w:rPr>
                <w:noProof/>
                <w:webHidden/>
              </w:rPr>
              <w:fldChar w:fldCharType="separate"/>
            </w:r>
            <w:r>
              <w:rPr>
                <w:noProof/>
                <w:webHidden/>
              </w:rPr>
              <w:t>1199</w:t>
            </w:r>
            <w:r>
              <w:rPr>
                <w:noProof/>
                <w:webHidden/>
              </w:rPr>
              <w:fldChar w:fldCharType="end"/>
            </w:r>
          </w:hyperlink>
        </w:p>
        <w:p w14:paraId="2E6AEBA1" w14:textId="6A8DB88E"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43" w:history="1">
            <w:r w:rsidRPr="00F45DCA">
              <w:rPr>
                <w:rStyle w:val="Lienhypertexte"/>
                <w:noProof/>
              </w:rPr>
              <w:t>27.83.1a Ragréage de souches de cheminée CCTB 01.04</w:t>
            </w:r>
            <w:r>
              <w:rPr>
                <w:noProof/>
                <w:webHidden/>
              </w:rPr>
              <w:tab/>
            </w:r>
            <w:r>
              <w:rPr>
                <w:noProof/>
                <w:webHidden/>
              </w:rPr>
              <w:fldChar w:fldCharType="begin"/>
            </w:r>
            <w:r>
              <w:rPr>
                <w:noProof/>
                <w:webHidden/>
              </w:rPr>
              <w:instrText xml:space="preserve"> PAGEREF _Toc220497043 \h </w:instrText>
            </w:r>
            <w:r>
              <w:rPr>
                <w:noProof/>
                <w:webHidden/>
              </w:rPr>
            </w:r>
            <w:r>
              <w:rPr>
                <w:noProof/>
                <w:webHidden/>
              </w:rPr>
              <w:fldChar w:fldCharType="separate"/>
            </w:r>
            <w:r>
              <w:rPr>
                <w:noProof/>
                <w:webHidden/>
              </w:rPr>
              <w:t>1200</w:t>
            </w:r>
            <w:r>
              <w:rPr>
                <w:noProof/>
                <w:webHidden/>
              </w:rPr>
              <w:fldChar w:fldCharType="end"/>
            </w:r>
          </w:hyperlink>
        </w:p>
        <w:p w14:paraId="56DE5CB3" w14:textId="1CEDAC17"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44" w:history="1">
            <w:r w:rsidRPr="00F45DCA">
              <w:rPr>
                <w:rStyle w:val="Lienhypertexte"/>
                <w:noProof/>
              </w:rPr>
              <w:t>27.84 Adaptation CCTB 01.12</w:t>
            </w:r>
            <w:r>
              <w:rPr>
                <w:noProof/>
                <w:webHidden/>
              </w:rPr>
              <w:tab/>
            </w:r>
            <w:r>
              <w:rPr>
                <w:noProof/>
                <w:webHidden/>
              </w:rPr>
              <w:fldChar w:fldCharType="begin"/>
            </w:r>
            <w:r>
              <w:rPr>
                <w:noProof/>
                <w:webHidden/>
              </w:rPr>
              <w:instrText xml:space="preserve"> PAGEREF _Toc220497044 \h </w:instrText>
            </w:r>
            <w:r>
              <w:rPr>
                <w:noProof/>
                <w:webHidden/>
              </w:rPr>
            </w:r>
            <w:r>
              <w:rPr>
                <w:noProof/>
                <w:webHidden/>
              </w:rPr>
              <w:fldChar w:fldCharType="separate"/>
            </w:r>
            <w:r>
              <w:rPr>
                <w:noProof/>
                <w:webHidden/>
              </w:rPr>
              <w:t>1200</w:t>
            </w:r>
            <w:r>
              <w:rPr>
                <w:noProof/>
                <w:webHidden/>
              </w:rPr>
              <w:fldChar w:fldCharType="end"/>
            </w:r>
          </w:hyperlink>
        </w:p>
        <w:p w14:paraId="2B97175F" w14:textId="594B2C9A"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45" w:history="1">
            <w:r w:rsidRPr="00F45DCA">
              <w:rPr>
                <w:rStyle w:val="Lienhypertexte"/>
                <w:noProof/>
              </w:rPr>
              <w:t>27.84.1 Tubage de cheminée existante CCTB 01.12</w:t>
            </w:r>
            <w:r>
              <w:rPr>
                <w:noProof/>
                <w:webHidden/>
              </w:rPr>
              <w:tab/>
            </w:r>
            <w:r>
              <w:rPr>
                <w:noProof/>
                <w:webHidden/>
              </w:rPr>
              <w:fldChar w:fldCharType="begin"/>
            </w:r>
            <w:r>
              <w:rPr>
                <w:noProof/>
                <w:webHidden/>
              </w:rPr>
              <w:instrText xml:space="preserve"> PAGEREF _Toc220497045 \h </w:instrText>
            </w:r>
            <w:r>
              <w:rPr>
                <w:noProof/>
                <w:webHidden/>
              </w:rPr>
            </w:r>
            <w:r>
              <w:rPr>
                <w:noProof/>
                <w:webHidden/>
              </w:rPr>
              <w:fldChar w:fldCharType="separate"/>
            </w:r>
            <w:r>
              <w:rPr>
                <w:noProof/>
                <w:webHidden/>
              </w:rPr>
              <w:t>1200</w:t>
            </w:r>
            <w:r>
              <w:rPr>
                <w:noProof/>
                <w:webHidden/>
              </w:rPr>
              <w:fldChar w:fldCharType="end"/>
            </w:r>
          </w:hyperlink>
        </w:p>
        <w:p w14:paraId="5E6850E8" w14:textId="3AD961D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46" w:history="1">
            <w:r w:rsidRPr="00F45DCA">
              <w:rPr>
                <w:rStyle w:val="Lienhypertexte"/>
                <w:noProof/>
              </w:rPr>
              <w:t>27.84.1a Tubage de cheminée existante CCTB 01.12</w:t>
            </w:r>
            <w:r>
              <w:rPr>
                <w:noProof/>
                <w:webHidden/>
              </w:rPr>
              <w:tab/>
            </w:r>
            <w:r>
              <w:rPr>
                <w:noProof/>
                <w:webHidden/>
              </w:rPr>
              <w:fldChar w:fldCharType="begin"/>
            </w:r>
            <w:r>
              <w:rPr>
                <w:noProof/>
                <w:webHidden/>
              </w:rPr>
              <w:instrText xml:space="preserve"> PAGEREF _Toc220497046 \h </w:instrText>
            </w:r>
            <w:r>
              <w:rPr>
                <w:noProof/>
                <w:webHidden/>
              </w:rPr>
            </w:r>
            <w:r>
              <w:rPr>
                <w:noProof/>
                <w:webHidden/>
              </w:rPr>
              <w:fldChar w:fldCharType="separate"/>
            </w:r>
            <w:r>
              <w:rPr>
                <w:noProof/>
                <w:webHidden/>
              </w:rPr>
              <w:t>1202</w:t>
            </w:r>
            <w:r>
              <w:rPr>
                <w:noProof/>
                <w:webHidden/>
              </w:rPr>
              <w:fldChar w:fldCharType="end"/>
            </w:r>
          </w:hyperlink>
        </w:p>
        <w:p w14:paraId="62F4B35D" w14:textId="475E617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47" w:history="1">
            <w:r w:rsidRPr="00F45DCA">
              <w:rPr>
                <w:rStyle w:val="Lienhypertexte"/>
                <w:noProof/>
              </w:rPr>
              <w:t>27.84.2 Obturation / condamnation de cheminée existantes CCTB 01.04</w:t>
            </w:r>
            <w:r>
              <w:rPr>
                <w:noProof/>
                <w:webHidden/>
              </w:rPr>
              <w:tab/>
            </w:r>
            <w:r>
              <w:rPr>
                <w:noProof/>
                <w:webHidden/>
              </w:rPr>
              <w:fldChar w:fldCharType="begin"/>
            </w:r>
            <w:r>
              <w:rPr>
                <w:noProof/>
                <w:webHidden/>
              </w:rPr>
              <w:instrText xml:space="preserve"> PAGEREF _Toc220497047 \h </w:instrText>
            </w:r>
            <w:r>
              <w:rPr>
                <w:noProof/>
                <w:webHidden/>
              </w:rPr>
            </w:r>
            <w:r>
              <w:rPr>
                <w:noProof/>
                <w:webHidden/>
              </w:rPr>
              <w:fldChar w:fldCharType="separate"/>
            </w:r>
            <w:r>
              <w:rPr>
                <w:noProof/>
                <w:webHidden/>
              </w:rPr>
              <w:t>1204</w:t>
            </w:r>
            <w:r>
              <w:rPr>
                <w:noProof/>
                <w:webHidden/>
              </w:rPr>
              <w:fldChar w:fldCharType="end"/>
            </w:r>
          </w:hyperlink>
        </w:p>
        <w:p w14:paraId="6091E3E1" w14:textId="1A676EE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48" w:history="1">
            <w:r w:rsidRPr="00F45DCA">
              <w:rPr>
                <w:rStyle w:val="Lienhypertexte"/>
                <w:noProof/>
              </w:rPr>
              <w:t>27.84.2a Obturation / condamnation de cheminée existantes CCTB 01.04</w:t>
            </w:r>
            <w:r>
              <w:rPr>
                <w:noProof/>
                <w:webHidden/>
              </w:rPr>
              <w:tab/>
            </w:r>
            <w:r>
              <w:rPr>
                <w:noProof/>
                <w:webHidden/>
              </w:rPr>
              <w:fldChar w:fldCharType="begin"/>
            </w:r>
            <w:r>
              <w:rPr>
                <w:noProof/>
                <w:webHidden/>
              </w:rPr>
              <w:instrText xml:space="preserve"> PAGEREF _Toc220497048 \h </w:instrText>
            </w:r>
            <w:r>
              <w:rPr>
                <w:noProof/>
                <w:webHidden/>
              </w:rPr>
            </w:r>
            <w:r>
              <w:rPr>
                <w:noProof/>
                <w:webHidden/>
              </w:rPr>
              <w:fldChar w:fldCharType="separate"/>
            </w:r>
            <w:r>
              <w:rPr>
                <w:noProof/>
                <w:webHidden/>
              </w:rPr>
              <w:t>1204</w:t>
            </w:r>
            <w:r>
              <w:rPr>
                <w:noProof/>
                <w:webHidden/>
              </w:rPr>
              <w:fldChar w:fldCharType="end"/>
            </w:r>
          </w:hyperlink>
        </w:p>
        <w:p w14:paraId="57E01A8F" w14:textId="1168E32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49" w:history="1">
            <w:r w:rsidRPr="00F45DCA">
              <w:rPr>
                <w:rStyle w:val="Lienhypertexte"/>
                <w:noProof/>
              </w:rPr>
              <w:t>27.85 Nettoyage et préparation de surface CCTB 01.04</w:t>
            </w:r>
            <w:r>
              <w:rPr>
                <w:noProof/>
                <w:webHidden/>
              </w:rPr>
              <w:tab/>
            </w:r>
            <w:r>
              <w:rPr>
                <w:noProof/>
                <w:webHidden/>
              </w:rPr>
              <w:fldChar w:fldCharType="begin"/>
            </w:r>
            <w:r>
              <w:rPr>
                <w:noProof/>
                <w:webHidden/>
              </w:rPr>
              <w:instrText xml:space="preserve"> PAGEREF _Toc220497049 \h </w:instrText>
            </w:r>
            <w:r>
              <w:rPr>
                <w:noProof/>
                <w:webHidden/>
              </w:rPr>
            </w:r>
            <w:r>
              <w:rPr>
                <w:noProof/>
                <w:webHidden/>
              </w:rPr>
              <w:fldChar w:fldCharType="separate"/>
            </w:r>
            <w:r>
              <w:rPr>
                <w:noProof/>
                <w:webHidden/>
              </w:rPr>
              <w:t>1204</w:t>
            </w:r>
            <w:r>
              <w:rPr>
                <w:noProof/>
                <w:webHidden/>
              </w:rPr>
              <w:fldChar w:fldCharType="end"/>
            </w:r>
          </w:hyperlink>
        </w:p>
        <w:p w14:paraId="4B67C866" w14:textId="031FBF23"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50" w:history="1">
            <w:r w:rsidRPr="00F45DCA">
              <w:rPr>
                <w:rStyle w:val="Lienhypertexte"/>
                <w:noProof/>
              </w:rPr>
              <w:t>27.86 Traitement et protection CCTB 01.04</w:t>
            </w:r>
            <w:r>
              <w:rPr>
                <w:noProof/>
                <w:webHidden/>
              </w:rPr>
              <w:tab/>
            </w:r>
            <w:r>
              <w:rPr>
                <w:noProof/>
                <w:webHidden/>
              </w:rPr>
              <w:fldChar w:fldCharType="begin"/>
            </w:r>
            <w:r>
              <w:rPr>
                <w:noProof/>
                <w:webHidden/>
              </w:rPr>
              <w:instrText xml:space="preserve"> PAGEREF _Toc220497050 \h </w:instrText>
            </w:r>
            <w:r>
              <w:rPr>
                <w:noProof/>
                <w:webHidden/>
              </w:rPr>
            </w:r>
            <w:r>
              <w:rPr>
                <w:noProof/>
                <w:webHidden/>
              </w:rPr>
              <w:fldChar w:fldCharType="separate"/>
            </w:r>
            <w:r>
              <w:rPr>
                <w:noProof/>
                <w:webHidden/>
              </w:rPr>
              <w:t>1204</w:t>
            </w:r>
            <w:r>
              <w:rPr>
                <w:noProof/>
                <w:webHidden/>
              </w:rPr>
              <w:fldChar w:fldCharType="end"/>
            </w:r>
          </w:hyperlink>
        </w:p>
        <w:p w14:paraId="677FD2D6" w14:textId="7DE29C94" w:rsidR="0014651C" w:rsidRDefault="0014651C">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7051" w:history="1">
            <w:r w:rsidRPr="00F45DCA">
              <w:rPr>
                <w:rStyle w:val="Lienhypertexte"/>
                <w:noProof/>
              </w:rPr>
              <w:t>28 Revêtements de façade en panneaux CCTB 01.11</w:t>
            </w:r>
            <w:r>
              <w:rPr>
                <w:noProof/>
                <w:webHidden/>
              </w:rPr>
              <w:tab/>
            </w:r>
            <w:r>
              <w:rPr>
                <w:noProof/>
                <w:webHidden/>
              </w:rPr>
              <w:fldChar w:fldCharType="begin"/>
            </w:r>
            <w:r>
              <w:rPr>
                <w:noProof/>
                <w:webHidden/>
              </w:rPr>
              <w:instrText xml:space="preserve"> PAGEREF _Toc220497051 \h </w:instrText>
            </w:r>
            <w:r>
              <w:rPr>
                <w:noProof/>
                <w:webHidden/>
              </w:rPr>
            </w:r>
            <w:r>
              <w:rPr>
                <w:noProof/>
                <w:webHidden/>
              </w:rPr>
              <w:fldChar w:fldCharType="separate"/>
            </w:r>
            <w:r>
              <w:rPr>
                <w:noProof/>
                <w:webHidden/>
              </w:rPr>
              <w:t>1204</w:t>
            </w:r>
            <w:r>
              <w:rPr>
                <w:noProof/>
                <w:webHidden/>
              </w:rPr>
              <w:fldChar w:fldCharType="end"/>
            </w:r>
          </w:hyperlink>
        </w:p>
        <w:p w14:paraId="2DC83728" w14:textId="359DA96A"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52" w:history="1">
            <w:r w:rsidRPr="00F45DCA">
              <w:rPr>
                <w:rStyle w:val="Lienhypertexte"/>
                <w:noProof/>
              </w:rPr>
              <w:t>28.1 Revêtements de façade en panneaux de pierre CCTB 01.04</w:t>
            </w:r>
            <w:r>
              <w:rPr>
                <w:noProof/>
                <w:webHidden/>
              </w:rPr>
              <w:tab/>
            </w:r>
            <w:r>
              <w:rPr>
                <w:noProof/>
                <w:webHidden/>
              </w:rPr>
              <w:fldChar w:fldCharType="begin"/>
            </w:r>
            <w:r>
              <w:rPr>
                <w:noProof/>
                <w:webHidden/>
              </w:rPr>
              <w:instrText xml:space="preserve"> PAGEREF _Toc220497052 \h </w:instrText>
            </w:r>
            <w:r>
              <w:rPr>
                <w:noProof/>
                <w:webHidden/>
              </w:rPr>
            </w:r>
            <w:r>
              <w:rPr>
                <w:noProof/>
                <w:webHidden/>
              </w:rPr>
              <w:fldChar w:fldCharType="separate"/>
            </w:r>
            <w:r>
              <w:rPr>
                <w:noProof/>
                <w:webHidden/>
              </w:rPr>
              <w:t>1205</w:t>
            </w:r>
            <w:r>
              <w:rPr>
                <w:noProof/>
                <w:webHidden/>
              </w:rPr>
              <w:fldChar w:fldCharType="end"/>
            </w:r>
          </w:hyperlink>
        </w:p>
        <w:p w14:paraId="74F8C415" w14:textId="4B9A00AE"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53" w:history="1">
            <w:r w:rsidRPr="00F45DCA">
              <w:rPr>
                <w:rStyle w:val="Lienhypertexte"/>
                <w:noProof/>
              </w:rPr>
              <w:t>28.11 Revêtements de façade en panneaux de pierre CCTB 01.04</w:t>
            </w:r>
            <w:r>
              <w:rPr>
                <w:noProof/>
                <w:webHidden/>
              </w:rPr>
              <w:tab/>
            </w:r>
            <w:r>
              <w:rPr>
                <w:noProof/>
                <w:webHidden/>
              </w:rPr>
              <w:fldChar w:fldCharType="begin"/>
            </w:r>
            <w:r>
              <w:rPr>
                <w:noProof/>
                <w:webHidden/>
              </w:rPr>
              <w:instrText xml:space="preserve"> PAGEREF _Toc220497053 \h </w:instrText>
            </w:r>
            <w:r>
              <w:rPr>
                <w:noProof/>
                <w:webHidden/>
              </w:rPr>
            </w:r>
            <w:r>
              <w:rPr>
                <w:noProof/>
                <w:webHidden/>
              </w:rPr>
              <w:fldChar w:fldCharType="separate"/>
            </w:r>
            <w:r>
              <w:rPr>
                <w:noProof/>
                <w:webHidden/>
              </w:rPr>
              <w:t>1205</w:t>
            </w:r>
            <w:r>
              <w:rPr>
                <w:noProof/>
                <w:webHidden/>
              </w:rPr>
              <w:fldChar w:fldCharType="end"/>
            </w:r>
          </w:hyperlink>
        </w:p>
        <w:p w14:paraId="06874F92" w14:textId="4D285EF2"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54" w:history="1">
            <w:r w:rsidRPr="00F45DCA">
              <w:rPr>
                <w:rStyle w:val="Lienhypertexte"/>
                <w:noProof/>
              </w:rPr>
              <w:t>28.11.1 Revêtements de façade en panneaux de pierre CCTB 01.12</w:t>
            </w:r>
            <w:r>
              <w:rPr>
                <w:noProof/>
                <w:webHidden/>
              </w:rPr>
              <w:tab/>
            </w:r>
            <w:r>
              <w:rPr>
                <w:noProof/>
                <w:webHidden/>
              </w:rPr>
              <w:fldChar w:fldCharType="begin"/>
            </w:r>
            <w:r>
              <w:rPr>
                <w:noProof/>
                <w:webHidden/>
              </w:rPr>
              <w:instrText xml:space="preserve"> PAGEREF _Toc220497054 \h </w:instrText>
            </w:r>
            <w:r>
              <w:rPr>
                <w:noProof/>
                <w:webHidden/>
              </w:rPr>
            </w:r>
            <w:r>
              <w:rPr>
                <w:noProof/>
                <w:webHidden/>
              </w:rPr>
              <w:fldChar w:fldCharType="separate"/>
            </w:r>
            <w:r>
              <w:rPr>
                <w:noProof/>
                <w:webHidden/>
              </w:rPr>
              <w:t>1205</w:t>
            </w:r>
            <w:r>
              <w:rPr>
                <w:noProof/>
                <w:webHidden/>
              </w:rPr>
              <w:fldChar w:fldCharType="end"/>
            </w:r>
          </w:hyperlink>
        </w:p>
        <w:p w14:paraId="100443EC" w14:textId="4C050229"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55" w:history="1">
            <w:r w:rsidRPr="00F45DCA">
              <w:rPr>
                <w:rStyle w:val="Lienhypertexte"/>
                <w:noProof/>
              </w:rPr>
              <w:t>28.11.1a Revêtements de façade en panneaux de pierre naturelle CCTB 01.11</w:t>
            </w:r>
            <w:r>
              <w:rPr>
                <w:noProof/>
                <w:webHidden/>
              </w:rPr>
              <w:tab/>
            </w:r>
            <w:r>
              <w:rPr>
                <w:noProof/>
                <w:webHidden/>
              </w:rPr>
              <w:fldChar w:fldCharType="begin"/>
            </w:r>
            <w:r>
              <w:rPr>
                <w:noProof/>
                <w:webHidden/>
              </w:rPr>
              <w:instrText xml:space="preserve"> PAGEREF _Toc220497055 \h </w:instrText>
            </w:r>
            <w:r>
              <w:rPr>
                <w:noProof/>
                <w:webHidden/>
              </w:rPr>
            </w:r>
            <w:r>
              <w:rPr>
                <w:noProof/>
                <w:webHidden/>
              </w:rPr>
              <w:fldChar w:fldCharType="separate"/>
            </w:r>
            <w:r>
              <w:rPr>
                <w:noProof/>
                <w:webHidden/>
              </w:rPr>
              <w:t>1207</w:t>
            </w:r>
            <w:r>
              <w:rPr>
                <w:noProof/>
                <w:webHidden/>
              </w:rPr>
              <w:fldChar w:fldCharType="end"/>
            </w:r>
          </w:hyperlink>
        </w:p>
        <w:p w14:paraId="0EAE6AD6" w14:textId="2628739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56" w:history="1">
            <w:r w:rsidRPr="00F45DCA">
              <w:rPr>
                <w:rStyle w:val="Lienhypertexte"/>
                <w:noProof/>
              </w:rPr>
              <w:t>28.11.1b Revêtements de façade en panneaux de pierre composée CCTB 01.04</w:t>
            </w:r>
            <w:r>
              <w:rPr>
                <w:noProof/>
                <w:webHidden/>
              </w:rPr>
              <w:tab/>
            </w:r>
            <w:r>
              <w:rPr>
                <w:noProof/>
                <w:webHidden/>
              </w:rPr>
              <w:fldChar w:fldCharType="begin"/>
            </w:r>
            <w:r>
              <w:rPr>
                <w:noProof/>
                <w:webHidden/>
              </w:rPr>
              <w:instrText xml:space="preserve"> PAGEREF _Toc220497056 \h </w:instrText>
            </w:r>
            <w:r>
              <w:rPr>
                <w:noProof/>
                <w:webHidden/>
              </w:rPr>
            </w:r>
            <w:r>
              <w:rPr>
                <w:noProof/>
                <w:webHidden/>
              </w:rPr>
              <w:fldChar w:fldCharType="separate"/>
            </w:r>
            <w:r>
              <w:rPr>
                <w:noProof/>
                <w:webHidden/>
              </w:rPr>
              <w:t>1209</w:t>
            </w:r>
            <w:r>
              <w:rPr>
                <w:noProof/>
                <w:webHidden/>
              </w:rPr>
              <w:fldChar w:fldCharType="end"/>
            </w:r>
          </w:hyperlink>
        </w:p>
        <w:p w14:paraId="54454CC3" w14:textId="3AB30D35"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57" w:history="1">
            <w:r w:rsidRPr="00F45DCA">
              <w:rPr>
                <w:rStyle w:val="Lienhypertexte"/>
                <w:noProof/>
              </w:rPr>
              <w:t>28.2 Revêtements de façade en panneaux préfabriqués en béton CCTB 01.04</w:t>
            </w:r>
            <w:r>
              <w:rPr>
                <w:noProof/>
                <w:webHidden/>
              </w:rPr>
              <w:tab/>
            </w:r>
            <w:r>
              <w:rPr>
                <w:noProof/>
                <w:webHidden/>
              </w:rPr>
              <w:fldChar w:fldCharType="begin"/>
            </w:r>
            <w:r>
              <w:rPr>
                <w:noProof/>
                <w:webHidden/>
              </w:rPr>
              <w:instrText xml:space="preserve"> PAGEREF _Toc220497057 \h </w:instrText>
            </w:r>
            <w:r>
              <w:rPr>
                <w:noProof/>
                <w:webHidden/>
              </w:rPr>
            </w:r>
            <w:r>
              <w:rPr>
                <w:noProof/>
                <w:webHidden/>
              </w:rPr>
              <w:fldChar w:fldCharType="separate"/>
            </w:r>
            <w:r>
              <w:rPr>
                <w:noProof/>
                <w:webHidden/>
              </w:rPr>
              <w:t>1210</w:t>
            </w:r>
            <w:r>
              <w:rPr>
                <w:noProof/>
                <w:webHidden/>
              </w:rPr>
              <w:fldChar w:fldCharType="end"/>
            </w:r>
          </w:hyperlink>
        </w:p>
        <w:p w14:paraId="019EB773" w14:textId="03304FE9"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58" w:history="1">
            <w:r w:rsidRPr="00F45DCA">
              <w:rPr>
                <w:rStyle w:val="Lienhypertexte"/>
                <w:noProof/>
              </w:rPr>
              <w:t>28.21 Revêtements de façade en panneaux préfabriqués en béton CCTB 01.04</w:t>
            </w:r>
            <w:r>
              <w:rPr>
                <w:noProof/>
                <w:webHidden/>
              </w:rPr>
              <w:tab/>
            </w:r>
            <w:r>
              <w:rPr>
                <w:noProof/>
                <w:webHidden/>
              </w:rPr>
              <w:fldChar w:fldCharType="begin"/>
            </w:r>
            <w:r>
              <w:rPr>
                <w:noProof/>
                <w:webHidden/>
              </w:rPr>
              <w:instrText xml:space="preserve"> PAGEREF _Toc220497058 \h </w:instrText>
            </w:r>
            <w:r>
              <w:rPr>
                <w:noProof/>
                <w:webHidden/>
              </w:rPr>
            </w:r>
            <w:r>
              <w:rPr>
                <w:noProof/>
                <w:webHidden/>
              </w:rPr>
              <w:fldChar w:fldCharType="separate"/>
            </w:r>
            <w:r>
              <w:rPr>
                <w:noProof/>
                <w:webHidden/>
              </w:rPr>
              <w:t>1210</w:t>
            </w:r>
            <w:r>
              <w:rPr>
                <w:noProof/>
                <w:webHidden/>
              </w:rPr>
              <w:fldChar w:fldCharType="end"/>
            </w:r>
          </w:hyperlink>
        </w:p>
        <w:p w14:paraId="40F06BC0" w14:textId="28D3BDC7"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59" w:history="1">
            <w:r w:rsidRPr="00F45DCA">
              <w:rPr>
                <w:rStyle w:val="Lienhypertexte"/>
                <w:noProof/>
              </w:rPr>
              <w:t>28.21.1 Revêtements de façade en panneaux préfabriqués en béton CCTB 01.13</w:t>
            </w:r>
            <w:r>
              <w:rPr>
                <w:noProof/>
                <w:webHidden/>
              </w:rPr>
              <w:tab/>
            </w:r>
            <w:r>
              <w:rPr>
                <w:noProof/>
                <w:webHidden/>
              </w:rPr>
              <w:fldChar w:fldCharType="begin"/>
            </w:r>
            <w:r>
              <w:rPr>
                <w:noProof/>
                <w:webHidden/>
              </w:rPr>
              <w:instrText xml:space="preserve"> PAGEREF _Toc220497059 \h </w:instrText>
            </w:r>
            <w:r>
              <w:rPr>
                <w:noProof/>
                <w:webHidden/>
              </w:rPr>
            </w:r>
            <w:r>
              <w:rPr>
                <w:noProof/>
                <w:webHidden/>
              </w:rPr>
              <w:fldChar w:fldCharType="separate"/>
            </w:r>
            <w:r>
              <w:rPr>
                <w:noProof/>
                <w:webHidden/>
              </w:rPr>
              <w:t>1210</w:t>
            </w:r>
            <w:r>
              <w:rPr>
                <w:noProof/>
                <w:webHidden/>
              </w:rPr>
              <w:fldChar w:fldCharType="end"/>
            </w:r>
          </w:hyperlink>
        </w:p>
        <w:p w14:paraId="62628EB3" w14:textId="326A1075"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60" w:history="1">
            <w:r w:rsidRPr="00F45DCA">
              <w:rPr>
                <w:rStyle w:val="Lienhypertexte"/>
                <w:noProof/>
              </w:rPr>
              <w:t>28.21.1a Revêtements de façade en panneaux préfabriqués en béton CCTB 01.11</w:t>
            </w:r>
            <w:r>
              <w:rPr>
                <w:noProof/>
                <w:webHidden/>
              </w:rPr>
              <w:tab/>
            </w:r>
            <w:r>
              <w:rPr>
                <w:noProof/>
                <w:webHidden/>
              </w:rPr>
              <w:fldChar w:fldCharType="begin"/>
            </w:r>
            <w:r>
              <w:rPr>
                <w:noProof/>
                <w:webHidden/>
              </w:rPr>
              <w:instrText xml:space="preserve"> PAGEREF _Toc220497060 \h </w:instrText>
            </w:r>
            <w:r>
              <w:rPr>
                <w:noProof/>
                <w:webHidden/>
              </w:rPr>
            </w:r>
            <w:r>
              <w:rPr>
                <w:noProof/>
                <w:webHidden/>
              </w:rPr>
              <w:fldChar w:fldCharType="separate"/>
            </w:r>
            <w:r>
              <w:rPr>
                <w:noProof/>
                <w:webHidden/>
              </w:rPr>
              <w:t>1213</w:t>
            </w:r>
            <w:r>
              <w:rPr>
                <w:noProof/>
                <w:webHidden/>
              </w:rPr>
              <w:fldChar w:fldCharType="end"/>
            </w:r>
          </w:hyperlink>
        </w:p>
        <w:p w14:paraId="7A09482F" w14:textId="47E64CBF"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61" w:history="1">
            <w:r w:rsidRPr="00F45DCA">
              <w:rPr>
                <w:rStyle w:val="Lienhypertexte"/>
                <w:noProof/>
              </w:rPr>
              <w:t>28.21.1b Revêtements de façade en panneaux préfabriqués en béton décoratif / architectonique CCTB 01.11</w:t>
            </w:r>
            <w:r>
              <w:rPr>
                <w:noProof/>
                <w:webHidden/>
              </w:rPr>
              <w:tab/>
            </w:r>
            <w:r>
              <w:rPr>
                <w:noProof/>
                <w:webHidden/>
              </w:rPr>
              <w:fldChar w:fldCharType="begin"/>
            </w:r>
            <w:r>
              <w:rPr>
                <w:noProof/>
                <w:webHidden/>
              </w:rPr>
              <w:instrText xml:space="preserve"> PAGEREF _Toc220497061 \h </w:instrText>
            </w:r>
            <w:r>
              <w:rPr>
                <w:noProof/>
                <w:webHidden/>
              </w:rPr>
            </w:r>
            <w:r>
              <w:rPr>
                <w:noProof/>
                <w:webHidden/>
              </w:rPr>
              <w:fldChar w:fldCharType="separate"/>
            </w:r>
            <w:r>
              <w:rPr>
                <w:noProof/>
                <w:webHidden/>
              </w:rPr>
              <w:t>1213</w:t>
            </w:r>
            <w:r>
              <w:rPr>
                <w:noProof/>
                <w:webHidden/>
              </w:rPr>
              <w:fldChar w:fldCharType="end"/>
            </w:r>
          </w:hyperlink>
        </w:p>
        <w:p w14:paraId="51232723" w14:textId="51D8C369"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62" w:history="1">
            <w:r w:rsidRPr="00F45DCA">
              <w:rPr>
                <w:rStyle w:val="Lienhypertexte"/>
                <w:noProof/>
              </w:rPr>
              <w:t>28.3 - CCTB 01.02</w:t>
            </w:r>
            <w:r>
              <w:rPr>
                <w:noProof/>
                <w:webHidden/>
              </w:rPr>
              <w:tab/>
            </w:r>
            <w:r>
              <w:rPr>
                <w:noProof/>
                <w:webHidden/>
              </w:rPr>
              <w:fldChar w:fldCharType="begin"/>
            </w:r>
            <w:r>
              <w:rPr>
                <w:noProof/>
                <w:webHidden/>
              </w:rPr>
              <w:instrText xml:space="preserve"> PAGEREF _Toc220497062 \h </w:instrText>
            </w:r>
            <w:r>
              <w:rPr>
                <w:noProof/>
                <w:webHidden/>
              </w:rPr>
            </w:r>
            <w:r>
              <w:rPr>
                <w:noProof/>
                <w:webHidden/>
              </w:rPr>
              <w:fldChar w:fldCharType="separate"/>
            </w:r>
            <w:r>
              <w:rPr>
                <w:noProof/>
                <w:webHidden/>
              </w:rPr>
              <w:t>1216</w:t>
            </w:r>
            <w:r>
              <w:rPr>
                <w:noProof/>
                <w:webHidden/>
              </w:rPr>
              <w:fldChar w:fldCharType="end"/>
            </w:r>
          </w:hyperlink>
        </w:p>
        <w:p w14:paraId="4CA1517D" w14:textId="7B9E486C"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63" w:history="1">
            <w:r w:rsidRPr="00F45DCA">
              <w:rPr>
                <w:rStyle w:val="Lienhypertexte"/>
                <w:noProof/>
              </w:rPr>
              <w:t>28.4 - CCTB 01.02</w:t>
            </w:r>
            <w:r>
              <w:rPr>
                <w:noProof/>
                <w:webHidden/>
              </w:rPr>
              <w:tab/>
            </w:r>
            <w:r>
              <w:rPr>
                <w:noProof/>
                <w:webHidden/>
              </w:rPr>
              <w:fldChar w:fldCharType="begin"/>
            </w:r>
            <w:r>
              <w:rPr>
                <w:noProof/>
                <w:webHidden/>
              </w:rPr>
              <w:instrText xml:space="preserve"> PAGEREF _Toc220497063 \h </w:instrText>
            </w:r>
            <w:r>
              <w:rPr>
                <w:noProof/>
                <w:webHidden/>
              </w:rPr>
            </w:r>
            <w:r>
              <w:rPr>
                <w:noProof/>
                <w:webHidden/>
              </w:rPr>
              <w:fldChar w:fldCharType="separate"/>
            </w:r>
            <w:r>
              <w:rPr>
                <w:noProof/>
                <w:webHidden/>
              </w:rPr>
              <w:t>1216</w:t>
            </w:r>
            <w:r>
              <w:rPr>
                <w:noProof/>
                <w:webHidden/>
              </w:rPr>
              <w:fldChar w:fldCharType="end"/>
            </w:r>
          </w:hyperlink>
        </w:p>
        <w:p w14:paraId="63C01834" w14:textId="6A4E8A62"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64" w:history="1">
            <w:r w:rsidRPr="00F45DCA">
              <w:rPr>
                <w:rStyle w:val="Lienhypertexte"/>
                <w:noProof/>
              </w:rPr>
              <w:t>28.5 - CCTB 01.02</w:t>
            </w:r>
            <w:r>
              <w:rPr>
                <w:noProof/>
                <w:webHidden/>
              </w:rPr>
              <w:tab/>
            </w:r>
            <w:r>
              <w:rPr>
                <w:noProof/>
                <w:webHidden/>
              </w:rPr>
              <w:fldChar w:fldCharType="begin"/>
            </w:r>
            <w:r>
              <w:rPr>
                <w:noProof/>
                <w:webHidden/>
              </w:rPr>
              <w:instrText xml:space="preserve"> PAGEREF _Toc220497064 \h </w:instrText>
            </w:r>
            <w:r>
              <w:rPr>
                <w:noProof/>
                <w:webHidden/>
              </w:rPr>
            </w:r>
            <w:r>
              <w:rPr>
                <w:noProof/>
                <w:webHidden/>
              </w:rPr>
              <w:fldChar w:fldCharType="separate"/>
            </w:r>
            <w:r>
              <w:rPr>
                <w:noProof/>
                <w:webHidden/>
              </w:rPr>
              <w:t>1216</w:t>
            </w:r>
            <w:r>
              <w:rPr>
                <w:noProof/>
                <w:webHidden/>
              </w:rPr>
              <w:fldChar w:fldCharType="end"/>
            </w:r>
          </w:hyperlink>
        </w:p>
        <w:p w14:paraId="5B6D5D07" w14:textId="774B30D4"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65" w:history="1">
            <w:r w:rsidRPr="00F45DCA">
              <w:rPr>
                <w:rStyle w:val="Lienhypertexte"/>
                <w:noProof/>
              </w:rPr>
              <w:t>28.6 - CCTB 01.02</w:t>
            </w:r>
            <w:r>
              <w:rPr>
                <w:noProof/>
                <w:webHidden/>
              </w:rPr>
              <w:tab/>
            </w:r>
            <w:r>
              <w:rPr>
                <w:noProof/>
                <w:webHidden/>
              </w:rPr>
              <w:fldChar w:fldCharType="begin"/>
            </w:r>
            <w:r>
              <w:rPr>
                <w:noProof/>
                <w:webHidden/>
              </w:rPr>
              <w:instrText xml:space="preserve"> PAGEREF _Toc220497065 \h </w:instrText>
            </w:r>
            <w:r>
              <w:rPr>
                <w:noProof/>
                <w:webHidden/>
              </w:rPr>
            </w:r>
            <w:r>
              <w:rPr>
                <w:noProof/>
                <w:webHidden/>
              </w:rPr>
              <w:fldChar w:fldCharType="separate"/>
            </w:r>
            <w:r>
              <w:rPr>
                <w:noProof/>
                <w:webHidden/>
              </w:rPr>
              <w:t>1216</w:t>
            </w:r>
            <w:r>
              <w:rPr>
                <w:noProof/>
                <w:webHidden/>
              </w:rPr>
              <w:fldChar w:fldCharType="end"/>
            </w:r>
          </w:hyperlink>
        </w:p>
        <w:p w14:paraId="0D96C317" w14:textId="1DA7A4BB"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66" w:history="1">
            <w:r w:rsidRPr="00F45DCA">
              <w:rPr>
                <w:rStyle w:val="Lienhypertexte"/>
                <w:noProof/>
              </w:rPr>
              <w:t>28.7 - CCTB 01.02</w:t>
            </w:r>
            <w:r>
              <w:rPr>
                <w:noProof/>
                <w:webHidden/>
              </w:rPr>
              <w:tab/>
            </w:r>
            <w:r>
              <w:rPr>
                <w:noProof/>
                <w:webHidden/>
              </w:rPr>
              <w:fldChar w:fldCharType="begin"/>
            </w:r>
            <w:r>
              <w:rPr>
                <w:noProof/>
                <w:webHidden/>
              </w:rPr>
              <w:instrText xml:space="preserve"> PAGEREF _Toc220497066 \h </w:instrText>
            </w:r>
            <w:r>
              <w:rPr>
                <w:noProof/>
                <w:webHidden/>
              </w:rPr>
            </w:r>
            <w:r>
              <w:rPr>
                <w:noProof/>
                <w:webHidden/>
              </w:rPr>
              <w:fldChar w:fldCharType="separate"/>
            </w:r>
            <w:r>
              <w:rPr>
                <w:noProof/>
                <w:webHidden/>
              </w:rPr>
              <w:t>1216</w:t>
            </w:r>
            <w:r>
              <w:rPr>
                <w:noProof/>
                <w:webHidden/>
              </w:rPr>
              <w:fldChar w:fldCharType="end"/>
            </w:r>
          </w:hyperlink>
        </w:p>
        <w:p w14:paraId="6BC71242" w14:textId="6C95EC60" w:rsidR="0014651C" w:rsidRDefault="0014651C">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7067" w:history="1">
            <w:r w:rsidRPr="00F45DCA">
              <w:rPr>
                <w:rStyle w:val="Lienhypertexte"/>
                <w:noProof/>
              </w:rPr>
              <w:t>28.8 Revêtements de façade en panneaux - Rénovation CCTB 01.04</w:t>
            </w:r>
            <w:r>
              <w:rPr>
                <w:noProof/>
                <w:webHidden/>
              </w:rPr>
              <w:tab/>
            </w:r>
            <w:r>
              <w:rPr>
                <w:noProof/>
                <w:webHidden/>
              </w:rPr>
              <w:fldChar w:fldCharType="begin"/>
            </w:r>
            <w:r>
              <w:rPr>
                <w:noProof/>
                <w:webHidden/>
              </w:rPr>
              <w:instrText xml:space="preserve"> PAGEREF _Toc220497067 \h </w:instrText>
            </w:r>
            <w:r>
              <w:rPr>
                <w:noProof/>
                <w:webHidden/>
              </w:rPr>
            </w:r>
            <w:r>
              <w:rPr>
                <w:noProof/>
                <w:webHidden/>
              </w:rPr>
              <w:fldChar w:fldCharType="separate"/>
            </w:r>
            <w:r>
              <w:rPr>
                <w:noProof/>
                <w:webHidden/>
              </w:rPr>
              <w:t>1216</w:t>
            </w:r>
            <w:r>
              <w:rPr>
                <w:noProof/>
                <w:webHidden/>
              </w:rPr>
              <w:fldChar w:fldCharType="end"/>
            </w:r>
          </w:hyperlink>
        </w:p>
        <w:p w14:paraId="4F146410" w14:textId="07654E16"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68" w:history="1">
            <w:r w:rsidRPr="00F45DCA">
              <w:rPr>
                <w:rStyle w:val="Lienhypertexte"/>
                <w:noProof/>
              </w:rPr>
              <w:t>28.81 Etudes / essais préliminaires CCTB 01.02</w:t>
            </w:r>
            <w:r>
              <w:rPr>
                <w:noProof/>
                <w:webHidden/>
              </w:rPr>
              <w:tab/>
            </w:r>
            <w:r>
              <w:rPr>
                <w:noProof/>
                <w:webHidden/>
              </w:rPr>
              <w:fldChar w:fldCharType="begin"/>
            </w:r>
            <w:r>
              <w:rPr>
                <w:noProof/>
                <w:webHidden/>
              </w:rPr>
              <w:instrText xml:space="preserve"> PAGEREF _Toc220497068 \h </w:instrText>
            </w:r>
            <w:r>
              <w:rPr>
                <w:noProof/>
                <w:webHidden/>
              </w:rPr>
            </w:r>
            <w:r>
              <w:rPr>
                <w:noProof/>
                <w:webHidden/>
              </w:rPr>
              <w:fldChar w:fldCharType="separate"/>
            </w:r>
            <w:r>
              <w:rPr>
                <w:noProof/>
                <w:webHidden/>
              </w:rPr>
              <w:t>1216</w:t>
            </w:r>
            <w:r>
              <w:rPr>
                <w:noProof/>
                <w:webHidden/>
              </w:rPr>
              <w:fldChar w:fldCharType="end"/>
            </w:r>
          </w:hyperlink>
        </w:p>
        <w:p w14:paraId="5C4F9DD7" w14:textId="1A955205"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69" w:history="1">
            <w:r w:rsidRPr="00F45DCA">
              <w:rPr>
                <w:rStyle w:val="Lienhypertexte"/>
                <w:noProof/>
              </w:rPr>
              <w:t>28.81.1 Mesures d'humidité CCTB 01.04</w:t>
            </w:r>
            <w:r>
              <w:rPr>
                <w:noProof/>
                <w:webHidden/>
              </w:rPr>
              <w:tab/>
            </w:r>
            <w:r>
              <w:rPr>
                <w:noProof/>
                <w:webHidden/>
              </w:rPr>
              <w:fldChar w:fldCharType="begin"/>
            </w:r>
            <w:r>
              <w:rPr>
                <w:noProof/>
                <w:webHidden/>
              </w:rPr>
              <w:instrText xml:space="preserve"> PAGEREF _Toc220497069 \h </w:instrText>
            </w:r>
            <w:r>
              <w:rPr>
                <w:noProof/>
                <w:webHidden/>
              </w:rPr>
            </w:r>
            <w:r>
              <w:rPr>
                <w:noProof/>
                <w:webHidden/>
              </w:rPr>
              <w:fldChar w:fldCharType="separate"/>
            </w:r>
            <w:r>
              <w:rPr>
                <w:noProof/>
                <w:webHidden/>
              </w:rPr>
              <w:t>1216</w:t>
            </w:r>
            <w:r>
              <w:rPr>
                <w:noProof/>
                <w:webHidden/>
              </w:rPr>
              <w:fldChar w:fldCharType="end"/>
            </w:r>
          </w:hyperlink>
        </w:p>
        <w:p w14:paraId="75672DC0" w14:textId="396C911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70" w:history="1">
            <w:r w:rsidRPr="00F45DCA">
              <w:rPr>
                <w:rStyle w:val="Lienhypertexte"/>
                <w:noProof/>
              </w:rPr>
              <w:t>28.82 Dépose / démontage / percement / déconstruction-démolition CCTB 01.02</w:t>
            </w:r>
            <w:r>
              <w:rPr>
                <w:noProof/>
                <w:webHidden/>
              </w:rPr>
              <w:tab/>
            </w:r>
            <w:r>
              <w:rPr>
                <w:noProof/>
                <w:webHidden/>
              </w:rPr>
              <w:fldChar w:fldCharType="begin"/>
            </w:r>
            <w:r>
              <w:rPr>
                <w:noProof/>
                <w:webHidden/>
              </w:rPr>
              <w:instrText xml:space="preserve"> PAGEREF _Toc220497070 \h </w:instrText>
            </w:r>
            <w:r>
              <w:rPr>
                <w:noProof/>
                <w:webHidden/>
              </w:rPr>
            </w:r>
            <w:r>
              <w:rPr>
                <w:noProof/>
                <w:webHidden/>
              </w:rPr>
              <w:fldChar w:fldCharType="separate"/>
            </w:r>
            <w:r>
              <w:rPr>
                <w:noProof/>
                <w:webHidden/>
              </w:rPr>
              <w:t>1216</w:t>
            </w:r>
            <w:r>
              <w:rPr>
                <w:noProof/>
                <w:webHidden/>
              </w:rPr>
              <w:fldChar w:fldCharType="end"/>
            </w:r>
          </w:hyperlink>
        </w:p>
        <w:p w14:paraId="12530721" w14:textId="210980A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71" w:history="1">
            <w:r w:rsidRPr="00F45DCA">
              <w:rPr>
                <w:rStyle w:val="Lienhypertexte"/>
                <w:noProof/>
              </w:rPr>
              <w:t>28.82.1 Travaux de stabilisation CCTB 01.04</w:t>
            </w:r>
            <w:r>
              <w:rPr>
                <w:noProof/>
                <w:webHidden/>
              </w:rPr>
              <w:tab/>
            </w:r>
            <w:r>
              <w:rPr>
                <w:noProof/>
                <w:webHidden/>
              </w:rPr>
              <w:fldChar w:fldCharType="begin"/>
            </w:r>
            <w:r>
              <w:rPr>
                <w:noProof/>
                <w:webHidden/>
              </w:rPr>
              <w:instrText xml:space="preserve"> PAGEREF _Toc220497071 \h </w:instrText>
            </w:r>
            <w:r>
              <w:rPr>
                <w:noProof/>
                <w:webHidden/>
              </w:rPr>
            </w:r>
            <w:r>
              <w:rPr>
                <w:noProof/>
                <w:webHidden/>
              </w:rPr>
              <w:fldChar w:fldCharType="separate"/>
            </w:r>
            <w:r>
              <w:rPr>
                <w:noProof/>
                <w:webHidden/>
              </w:rPr>
              <w:t>1216</w:t>
            </w:r>
            <w:r>
              <w:rPr>
                <w:noProof/>
                <w:webHidden/>
              </w:rPr>
              <w:fldChar w:fldCharType="end"/>
            </w:r>
          </w:hyperlink>
        </w:p>
        <w:p w14:paraId="16453184" w14:textId="3721F1A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72" w:history="1">
            <w:r w:rsidRPr="00F45DCA">
              <w:rPr>
                <w:rStyle w:val="Lienhypertexte"/>
                <w:noProof/>
              </w:rPr>
              <w:t>28.82.2 Dépose d'éléments (pour repose ultérieure) CCTB 01.04</w:t>
            </w:r>
            <w:r>
              <w:rPr>
                <w:noProof/>
                <w:webHidden/>
              </w:rPr>
              <w:tab/>
            </w:r>
            <w:r>
              <w:rPr>
                <w:noProof/>
                <w:webHidden/>
              </w:rPr>
              <w:fldChar w:fldCharType="begin"/>
            </w:r>
            <w:r>
              <w:rPr>
                <w:noProof/>
                <w:webHidden/>
              </w:rPr>
              <w:instrText xml:space="preserve"> PAGEREF _Toc220497072 \h </w:instrText>
            </w:r>
            <w:r>
              <w:rPr>
                <w:noProof/>
                <w:webHidden/>
              </w:rPr>
            </w:r>
            <w:r>
              <w:rPr>
                <w:noProof/>
                <w:webHidden/>
              </w:rPr>
              <w:fldChar w:fldCharType="separate"/>
            </w:r>
            <w:r>
              <w:rPr>
                <w:noProof/>
                <w:webHidden/>
              </w:rPr>
              <w:t>1216</w:t>
            </w:r>
            <w:r>
              <w:rPr>
                <w:noProof/>
                <w:webHidden/>
              </w:rPr>
              <w:fldChar w:fldCharType="end"/>
            </w:r>
          </w:hyperlink>
        </w:p>
        <w:p w14:paraId="77895517" w14:textId="6ADC6963"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73" w:history="1">
            <w:r w:rsidRPr="00F45DCA">
              <w:rPr>
                <w:rStyle w:val="Lienhypertexte"/>
                <w:noProof/>
              </w:rPr>
              <w:t>28.82.3 Démontage d'éléments (pour récupération) CCTB 01.04</w:t>
            </w:r>
            <w:r>
              <w:rPr>
                <w:noProof/>
                <w:webHidden/>
              </w:rPr>
              <w:tab/>
            </w:r>
            <w:r>
              <w:rPr>
                <w:noProof/>
                <w:webHidden/>
              </w:rPr>
              <w:fldChar w:fldCharType="begin"/>
            </w:r>
            <w:r>
              <w:rPr>
                <w:noProof/>
                <w:webHidden/>
              </w:rPr>
              <w:instrText xml:space="preserve"> PAGEREF _Toc220497073 \h </w:instrText>
            </w:r>
            <w:r>
              <w:rPr>
                <w:noProof/>
                <w:webHidden/>
              </w:rPr>
            </w:r>
            <w:r>
              <w:rPr>
                <w:noProof/>
                <w:webHidden/>
              </w:rPr>
              <w:fldChar w:fldCharType="separate"/>
            </w:r>
            <w:r>
              <w:rPr>
                <w:noProof/>
                <w:webHidden/>
              </w:rPr>
              <w:t>1217</w:t>
            </w:r>
            <w:r>
              <w:rPr>
                <w:noProof/>
                <w:webHidden/>
              </w:rPr>
              <w:fldChar w:fldCharType="end"/>
            </w:r>
          </w:hyperlink>
        </w:p>
        <w:p w14:paraId="6A923FC6" w14:textId="0B42CC7F"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74" w:history="1">
            <w:r w:rsidRPr="00F45DCA">
              <w:rPr>
                <w:rStyle w:val="Lienhypertexte"/>
                <w:noProof/>
              </w:rPr>
              <w:t>28.82.4 Décapage / enlèvement (pour évacuation) CCTB 01.04</w:t>
            </w:r>
            <w:r>
              <w:rPr>
                <w:noProof/>
                <w:webHidden/>
              </w:rPr>
              <w:tab/>
            </w:r>
            <w:r>
              <w:rPr>
                <w:noProof/>
                <w:webHidden/>
              </w:rPr>
              <w:fldChar w:fldCharType="begin"/>
            </w:r>
            <w:r>
              <w:rPr>
                <w:noProof/>
                <w:webHidden/>
              </w:rPr>
              <w:instrText xml:space="preserve"> PAGEREF _Toc220497074 \h </w:instrText>
            </w:r>
            <w:r>
              <w:rPr>
                <w:noProof/>
                <w:webHidden/>
              </w:rPr>
            </w:r>
            <w:r>
              <w:rPr>
                <w:noProof/>
                <w:webHidden/>
              </w:rPr>
              <w:fldChar w:fldCharType="separate"/>
            </w:r>
            <w:r>
              <w:rPr>
                <w:noProof/>
                <w:webHidden/>
              </w:rPr>
              <w:t>1217</w:t>
            </w:r>
            <w:r>
              <w:rPr>
                <w:noProof/>
                <w:webHidden/>
              </w:rPr>
              <w:fldChar w:fldCharType="end"/>
            </w:r>
          </w:hyperlink>
        </w:p>
        <w:p w14:paraId="07A588D7" w14:textId="06BADC60"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75" w:history="1">
            <w:r w:rsidRPr="00F45DCA">
              <w:rPr>
                <w:rStyle w:val="Lienhypertexte"/>
                <w:noProof/>
              </w:rPr>
              <w:t>28.82.5 Percements / carottages CCTB 01.04</w:t>
            </w:r>
            <w:r>
              <w:rPr>
                <w:noProof/>
                <w:webHidden/>
              </w:rPr>
              <w:tab/>
            </w:r>
            <w:r>
              <w:rPr>
                <w:noProof/>
                <w:webHidden/>
              </w:rPr>
              <w:fldChar w:fldCharType="begin"/>
            </w:r>
            <w:r>
              <w:rPr>
                <w:noProof/>
                <w:webHidden/>
              </w:rPr>
              <w:instrText xml:space="preserve"> PAGEREF _Toc220497075 \h </w:instrText>
            </w:r>
            <w:r>
              <w:rPr>
                <w:noProof/>
                <w:webHidden/>
              </w:rPr>
            </w:r>
            <w:r>
              <w:rPr>
                <w:noProof/>
                <w:webHidden/>
              </w:rPr>
              <w:fldChar w:fldCharType="separate"/>
            </w:r>
            <w:r>
              <w:rPr>
                <w:noProof/>
                <w:webHidden/>
              </w:rPr>
              <w:t>1217</w:t>
            </w:r>
            <w:r>
              <w:rPr>
                <w:noProof/>
                <w:webHidden/>
              </w:rPr>
              <w:fldChar w:fldCharType="end"/>
            </w:r>
          </w:hyperlink>
        </w:p>
        <w:p w14:paraId="747F67E2" w14:textId="5B691C14"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76" w:history="1">
            <w:r w:rsidRPr="00F45DCA">
              <w:rPr>
                <w:rStyle w:val="Lienhypertexte"/>
                <w:noProof/>
              </w:rPr>
              <w:t>28.82.6 Démolition / déconstruction (pour évacuation) CCTB 01.04</w:t>
            </w:r>
            <w:r>
              <w:rPr>
                <w:noProof/>
                <w:webHidden/>
              </w:rPr>
              <w:tab/>
            </w:r>
            <w:r>
              <w:rPr>
                <w:noProof/>
                <w:webHidden/>
              </w:rPr>
              <w:fldChar w:fldCharType="begin"/>
            </w:r>
            <w:r>
              <w:rPr>
                <w:noProof/>
                <w:webHidden/>
              </w:rPr>
              <w:instrText xml:space="preserve"> PAGEREF _Toc220497076 \h </w:instrText>
            </w:r>
            <w:r>
              <w:rPr>
                <w:noProof/>
                <w:webHidden/>
              </w:rPr>
            </w:r>
            <w:r>
              <w:rPr>
                <w:noProof/>
                <w:webHidden/>
              </w:rPr>
              <w:fldChar w:fldCharType="separate"/>
            </w:r>
            <w:r>
              <w:rPr>
                <w:noProof/>
                <w:webHidden/>
              </w:rPr>
              <w:t>1217</w:t>
            </w:r>
            <w:r>
              <w:rPr>
                <w:noProof/>
                <w:webHidden/>
              </w:rPr>
              <w:fldChar w:fldCharType="end"/>
            </w:r>
          </w:hyperlink>
        </w:p>
        <w:p w14:paraId="56C149C1" w14:textId="11BC5AA0"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77" w:history="1">
            <w:r w:rsidRPr="00F45DCA">
              <w:rPr>
                <w:rStyle w:val="Lienhypertexte"/>
                <w:noProof/>
              </w:rPr>
              <w:t>28.83 Réparation / ragréage / rénovation CCTB 01.04</w:t>
            </w:r>
            <w:r>
              <w:rPr>
                <w:noProof/>
                <w:webHidden/>
              </w:rPr>
              <w:tab/>
            </w:r>
            <w:r>
              <w:rPr>
                <w:noProof/>
                <w:webHidden/>
              </w:rPr>
              <w:fldChar w:fldCharType="begin"/>
            </w:r>
            <w:r>
              <w:rPr>
                <w:noProof/>
                <w:webHidden/>
              </w:rPr>
              <w:instrText xml:space="preserve"> PAGEREF _Toc220497077 \h </w:instrText>
            </w:r>
            <w:r>
              <w:rPr>
                <w:noProof/>
                <w:webHidden/>
              </w:rPr>
            </w:r>
            <w:r>
              <w:rPr>
                <w:noProof/>
                <w:webHidden/>
              </w:rPr>
              <w:fldChar w:fldCharType="separate"/>
            </w:r>
            <w:r>
              <w:rPr>
                <w:noProof/>
                <w:webHidden/>
              </w:rPr>
              <w:t>1217</w:t>
            </w:r>
            <w:r>
              <w:rPr>
                <w:noProof/>
                <w:webHidden/>
              </w:rPr>
              <w:fldChar w:fldCharType="end"/>
            </w:r>
          </w:hyperlink>
        </w:p>
        <w:p w14:paraId="5037464E" w14:textId="09F80E71"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78" w:history="1">
            <w:r w:rsidRPr="00F45DCA">
              <w:rPr>
                <w:rStyle w:val="Lienhypertexte"/>
                <w:noProof/>
              </w:rPr>
              <w:t>28.84 Renforcement CCTB 01.05</w:t>
            </w:r>
            <w:r>
              <w:rPr>
                <w:noProof/>
                <w:webHidden/>
              </w:rPr>
              <w:tab/>
            </w:r>
            <w:r>
              <w:rPr>
                <w:noProof/>
                <w:webHidden/>
              </w:rPr>
              <w:fldChar w:fldCharType="begin"/>
            </w:r>
            <w:r>
              <w:rPr>
                <w:noProof/>
                <w:webHidden/>
              </w:rPr>
              <w:instrText xml:space="preserve"> PAGEREF _Toc220497078 \h </w:instrText>
            </w:r>
            <w:r>
              <w:rPr>
                <w:noProof/>
                <w:webHidden/>
              </w:rPr>
            </w:r>
            <w:r>
              <w:rPr>
                <w:noProof/>
                <w:webHidden/>
              </w:rPr>
              <w:fldChar w:fldCharType="separate"/>
            </w:r>
            <w:r>
              <w:rPr>
                <w:noProof/>
                <w:webHidden/>
              </w:rPr>
              <w:t>1217</w:t>
            </w:r>
            <w:r>
              <w:rPr>
                <w:noProof/>
                <w:webHidden/>
              </w:rPr>
              <w:fldChar w:fldCharType="end"/>
            </w:r>
          </w:hyperlink>
        </w:p>
        <w:p w14:paraId="73910C54" w14:textId="4204677A"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79" w:history="1">
            <w:r w:rsidRPr="00F45DCA">
              <w:rPr>
                <w:rStyle w:val="Lienhypertexte"/>
                <w:noProof/>
              </w:rPr>
              <w:t>28.85 Adaptation CCTB 01.02</w:t>
            </w:r>
            <w:r>
              <w:rPr>
                <w:noProof/>
                <w:webHidden/>
              </w:rPr>
              <w:tab/>
            </w:r>
            <w:r>
              <w:rPr>
                <w:noProof/>
                <w:webHidden/>
              </w:rPr>
              <w:fldChar w:fldCharType="begin"/>
            </w:r>
            <w:r>
              <w:rPr>
                <w:noProof/>
                <w:webHidden/>
              </w:rPr>
              <w:instrText xml:space="preserve"> PAGEREF _Toc220497079 \h </w:instrText>
            </w:r>
            <w:r>
              <w:rPr>
                <w:noProof/>
                <w:webHidden/>
              </w:rPr>
            </w:r>
            <w:r>
              <w:rPr>
                <w:noProof/>
                <w:webHidden/>
              </w:rPr>
              <w:fldChar w:fldCharType="separate"/>
            </w:r>
            <w:r>
              <w:rPr>
                <w:noProof/>
                <w:webHidden/>
              </w:rPr>
              <w:t>1217</w:t>
            </w:r>
            <w:r>
              <w:rPr>
                <w:noProof/>
                <w:webHidden/>
              </w:rPr>
              <w:fldChar w:fldCharType="end"/>
            </w:r>
          </w:hyperlink>
        </w:p>
        <w:p w14:paraId="1E92E53C" w14:textId="03ACFAFF"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80" w:history="1">
            <w:r w:rsidRPr="00F45DCA">
              <w:rPr>
                <w:rStyle w:val="Lienhypertexte"/>
                <w:noProof/>
              </w:rPr>
              <w:t>28.86 Repose / remplacement (à l'identique) CCTB 01.02</w:t>
            </w:r>
            <w:r>
              <w:rPr>
                <w:noProof/>
                <w:webHidden/>
              </w:rPr>
              <w:tab/>
            </w:r>
            <w:r>
              <w:rPr>
                <w:noProof/>
                <w:webHidden/>
              </w:rPr>
              <w:fldChar w:fldCharType="begin"/>
            </w:r>
            <w:r>
              <w:rPr>
                <w:noProof/>
                <w:webHidden/>
              </w:rPr>
              <w:instrText xml:space="preserve"> PAGEREF _Toc220497080 \h </w:instrText>
            </w:r>
            <w:r>
              <w:rPr>
                <w:noProof/>
                <w:webHidden/>
              </w:rPr>
            </w:r>
            <w:r>
              <w:rPr>
                <w:noProof/>
                <w:webHidden/>
              </w:rPr>
              <w:fldChar w:fldCharType="separate"/>
            </w:r>
            <w:r>
              <w:rPr>
                <w:noProof/>
                <w:webHidden/>
              </w:rPr>
              <w:t>1217</w:t>
            </w:r>
            <w:r>
              <w:rPr>
                <w:noProof/>
                <w:webHidden/>
              </w:rPr>
              <w:fldChar w:fldCharType="end"/>
            </w:r>
          </w:hyperlink>
        </w:p>
        <w:p w14:paraId="0470E5E0" w14:textId="27FF1E19"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81" w:history="1">
            <w:r w:rsidRPr="00F45DCA">
              <w:rPr>
                <w:rStyle w:val="Lienhypertexte"/>
                <w:noProof/>
              </w:rPr>
              <w:t>28.86.1 Repose d'éléments récupérés CCTB 01.02</w:t>
            </w:r>
            <w:r>
              <w:rPr>
                <w:noProof/>
                <w:webHidden/>
              </w:rPr>
              <w:tab/>
            </w:r>
            <w:r>
              <w:rPr>
                <w:noProof/>
                <w:webHidden/>
              </w:rPr>
              <w:fldChar w:fldCharType="begin"/>
            </w:r>
            <w:r>
              <w:rPr>
                <w:noProof/>
                <w:webHidden/>
              </w:rPr>
              <w:instrText xml:space="preserve"> PAGEREF _Toc220497081 \h </w:instrText>
            </w:r>
            <w:r>
              <w:rPr>
                <w:noProof/>
                <w:webHidden/>
              </w:rPr>
            </w:r>
            <w:r>
              <w:rPr>
                <w:noProof/>
                <w:webHidden/>
              </w:rPr>
              <w:fldChar w:fldCharType="separate"/>
            </w:r>
            <w:r>
              <w:rPr>
                <w:noProof/>
                <w:webHidden/>
              </w:rPr>
              <w:t>1217</w:t>
            </w:r>
            <w:r>
              <w:rPr>
                <w:noProof/>
                <w:webHidden/>
              </w:rPr>
              <w:fldChar w:fldCharType="end"/>
            </w:r>
          </w:hyperlink>
        </w:p>
        <w:p w14:paraId="7A2F62E4" w14:textId="069873CD"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82" w:history="1">
            <w:r w:rsidRPr="00F45DCA">
              <w:rPr>
                <w:rStyle w:val="Lienhypertexte"/>
                <w:noProof/>
              </w:rPr>
              <w:t>28.86.1a Repose d'éléments récupérés CCTB 01.02</w:t>
            </w:r>
            <w:r>
              <w:rPr>
                <w:noProof/>
                <w:webHidden/>
              </w:rPr>
              <w:tab/>
            </w:r>
            <w:r>
              <w:rPr>
                <w:noProof/>
                <w:webHidden/>
              </w:rPr>
              <w:fldChar w:fldCharType="begin"/>
            </w:r>
            <w:r>
              <w:rPr>
                <w:noProof/>
                <w:webHidden/>
              </w:rPr>
              <w:instrText xml:space="preserve"> PAGEREF _Toc220497082 \h </w:instrText>
            </w:r>
            <w:r>
              <w:rPr>
                <w:noProof/>
                <w:webHidden/>
              </w:rPr>
            </w:r>
            <w:r>
              <w:rPr>
                <w:noProof/>
                <w:webHidden/>
              </w:rPr>
              <w:fldChar w:fldCharType="separate"/>
            </w:r>
            <w:r>
              <w:rPr>
                <w:noProof/>
                <w:webHidden/>
              </w:rPr>
              <w:t>1217</w:t>
            </w:r>
            <w:r>
              <w:rPr>
                <w:noProof/>
                <w:webHidden/>
              </w:rPr>
              <w:fldChar w:fldCharType="end"/>
            </w:r>
          </w:hyperlink>
        </w:p>
        <w:p w14:paraId="06F1BE97" w14:textId="74C8820E"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83" w:history="1">
            <w:r w:rsidRPr="00F45DCA">
              <w:rPr>
                <w:rStyle w:val="Lienhypertexte"/>
                <w:noProof/>
              </w:rPr>
              <w:t>28.86.2 Remplacement de matériaux CCTB 01.02</w:t>
            </w:r>
            <w:r>
              <w:rPr>
                <w:noProof/>
                <w:webHidden/>
              </w:rPr>
              <w:tab/>
            </w:r>
            <w:r>
              <w:rPr>
                <w:noProof/>
                <w:webHidden/>
              </w:rPr>
              <w:fldChar w:fldCharType="begin"/>
            </w:r>
            <w:r>
              <w:rPr>
                <w:noProof/>
                <w:webHidden/>
              </w:rPr>
              <w:instrText xml:space="preserve"> PAGEREF _Toc220497083 \h </w:instrText>
            </w:r>
            <w:r>
              <w:rPr>
                <w:noProof/>
                <w:webHidden/>
              </w:rPr>
            </w:r>
            <w:r>
              <w:rPr>
                <w:noProof/>
                <w:webHidden/>
              </w:rPr>
              <w:fldChar w:fldCharType="separate"/>
            </w:r>
            <w:r>
              <w:rPr>
                <w:noProof/>
                <w:webHidden/>
              </w:rPr>
              <w:t>1218</w:t>
            </w:r>
            <w:r>
              <w:rPr>
                <w:noProof/>
                <w:webHidden/>
              </w:rPr>
              <w:fldChar w:fldCharType="end"/>
            </w:r>
          </w:hyperlink>
        </w:p>
        <w:p w14:paraId="032960C7" w14:textId="612CE822"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84" w:history="1">
            <w:r w:rsidRPr="00F45DCA">
              <w:rPr>
                <w:rStyle w:val="Lienhypertexte"/>
                <w:noProof/>
              </w:rPr>
              <w:t>28.86.2a Remplacement à l'identique de plaques CCTB 01.02</w:t>
            </w:r>
            <w:r>
              <w:rPr>
                <w:noProof/>
                <w:webHidden/>
              </w:rPr>
              <w:tab/>
            </w:r>
            <w:r>
              <w:rPr>
                <w:noProof/>
                <w:webHidden/>
              </w:rPr>
              <w:fldChar w:fldCharType="begin"/>
            </w:r>
            <w:r>
              <w:rPr>
                <w:noProof/>
                <w:webHidden/>
              </w:rPr>
              <w:instrText xml:space="preserve"> PAGEREF _Toc220497084 \h </w:instrText>
            </w:r>
            <w:r>
              <w:rPr>
                <w:noProof/>
                <w:webHidden/>
              </w:rPr>
            </w:r>
            <w:r>
              <w:rPr>
                <w:noProof/>
                <w:webHidden/>
              </w:rPr>
              <w:fldChar w:fldCharType="separate"/>
            </w:r>
            <w:r>
              <w:rPr>
                <w:noProof/>
                <w:webHidden/>
              </w:rPr>
              <w:t>1218</w:t>
            </w:r>
            <w:r>
              <w:rPr>
                <w:noProof/>
                <w:webHidden/>
              </w:rPr>
              <w:fldChar w:fldCharType="end"/>
            </w:r>
          </w:hyperlink>
        </w:p>
        <w:p w14:paraId="6572756D" w14:textId="2A67A96D" w:rsidR="0014651C" w:rsidRDefault="0014651C">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7085" w:history="1">
            <w:r w:rsidRPr="00F45DCA">
              <w:rPr>
                <w:rStyle w:val="Lienhypertexte"/>
                <w:noProof/>
              </w:rPr>
              <w:t>28.86.3 Rejointoiement CCTB 01.02</w:t>
            </w:r>
            <w:r>
              <w:rPr>
                <w:noProof/>
                <w:webHidden/>
              </w:rPr>
              <w:tab/>
            </w:r>
            <w:r>
              <w:rPr>
                <w:noProof/>
                <w:webHidden/>
              </w:rPr>
              <w:fldChar w:fldCharType="begin"/>
            </w:r>
            <w:r>
              <w:rPr>
                <w:noProof/>
                <w:webHidden/>
              </w:rPr>
              <w:instrText xml:space="preserve"> PAGEREF _Toc220497085 \h </w:instrText>
            </w:r>
            <w:r>
              <w:rPr>
                <w:noProof/>
                <w:webHidden/>
              </w:rPr>
            </w:r>
            <w:r>
              <w:rPr>
                <w:noProof/>
                <w:webHidden/>
              </w:rPr>
              <w:fldChar w:fldCharType="separate"/>
            </w:r>
            <w:r>
              <w:rPr>
                <w:noProof/>
                <w:webHidden/>
              </w:rPr>
              <w:t>1218</w:t>
            </w:r>
            <w:r>
              <w:rPr>
                <w:noProof/>
                <w:webHidden/>
              </w:rPr>
              <w:fldChar w:fldCharType="end"/>
            </w:r>
          </w:hyperlink>
        </w:p>
        <w:p w14:paraId="730FCD35" w14:textId="307EE507"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86" w:history="1">
            <w:r w:rsidRPr="00F45DCA">
              <w:rPr>
                <w:rStyle w:val="Lienhypertexte"/>
                <w:noProof/>
              </w:rPr>
              <w:t>28.86.3a Rejointoiement CCTB 01.04</w:t>
            </w:r>
            <w:r>
              <w:rPr>
                <w:noProof/>
                <w:webHidden/>
              </w:rPr>
              <w:tab/>
            </w:r>
            <w:r>
              <w:rPr>
                <w:noProof/>
                <w:webHidden/>
              </w:rPr>
              <w:fldChar w:fldCharType="begin"/>
            </w:r>
            <w:r>
              <w:rPr>
                <w:noProof/>
                <w:webHidden/>
              </w:rPr>
              <w:instrText xml:space="preserve"> PAGEREF _Toc220497086 \h </w:instrText>
            </w:r>
            <w:r>
              <w:rPr>
                <w:noProof/>
                <w:webHidden/>
              </w:rPr>
            </w:r>
            <w:r>
              <w:rPr>
                <w:noProof/>
                <w:webHidden/>
              </w:rPr>
              <w:fldChar w:fldCharType="separate"/>
            </w:r>
            <w:r>
              <w:rPr>
                <w:noProof/>
                <w:webHidden/>
              </w:rPr>
              <w:t>1218</w:t>
            </w:r>
            <w:r>
              <w:rPr>
                <w:noProof/>
                <w:webHidden/>
              </w:rPr>
              <w:fldChar w:fldCharType="end"/>
            </w:r>
          </w:hyperlink>
        </w:p>
        <w:p w14:paraId="40406FB4" w14:textId="1D9CF52A" w:rsidR="0014651C" w:rsidRDefault="0014651C">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7087" w:history="1">
            <w:r w:rsidRPr="00F45DCA">
              <w:rPr>
                <w:rStyle w:val="Lienhypertexte"/>
                <w:noProof/>
              </w:rPr>
              <w:t>28.86.3b Renouvellement de joints souples &gt; renvoi au § 45.13 CCTB 01.02</w:t>
            </w:r>
            <w:r>
              <w:rPr>
                <w:noProof/>
                <w:webHidden/>
              </w:rPr>
              <w:tab/>
            </w:r>
            <w:r>
              <w:rPr>
                <w:noProof/>
                <w:webHidden/>
              </w:rPr>
              <w:fldChar w:fldCharType="begin"/>
            </w:r>
            <w:r>
              <w:rPr>
                <w:noProof/>
                <w:webHidden/>
              </w:rPr>
              <w:instrText xml:space="preserve"> PAGEREF _Toc220497087 \h </w:instrText>
            </w:r>
            <w:r>
              <w:rPr>
                <w:noProof/>
                <w:webHidden/>
              </w:rPr>
            </w:r>
            <w:r>
              <w:rPr>
                <w:noProof/>
                <w:webHidden/>
              </w:rPr>
              <w:fldChar w:fldCharType="separate"/>
            </w:r>
            <w:r>
              <w:rPr>
                <w:noProof/>
                <w:webHidden/>
              </w:rPr>
              <w:t>1218</w:t>
            </w:r>
            <w:r>
              <w:rPr>
                <w:noProof/>
                <w:webHidden/>
              </w:rPr>
              <w:fldChar w:fldCharType="end"/>
            </w:r>
          </w:hyperlink>
        </w:p>
        <w:p w14:paraId="030A1334" w14:textId="2F567BAB"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88" w:history="1">
            <w:r w:rsidRPr="00F45DCA">
              <w:rPr>
                <w:rStyle w:val="Lienhypertexte"/>
                <w:noProof/>
              </w:rPr>
              <w:t>28.87 Nettoyage et préparation de surface CCTB 01.04</w:t>
            </w:r>
            <w:r>
              <w:rPr>
                <w:noProof/>
                <w:webHidden/>
              </w:rPr>
              <w:tab/>
            </w:r>
            <w:r>
              <w:rPr>
                <w:noProof/>
                <w:webHidden/>
              </w:rPr>
              <w:fldChar w:fldCharType="begin"/>
            </w:r>
            <w:r>
              <w:rPr>
                <w:noProof/>
                <w:webHidden/>
              </w:rPr>
              <w:instrText xml:space="preserve"> PAGEREF _Toc220497088 \h </w:instrText>
            </w:r>
            <w:r>
              <w:rPr>
                <w:noProof/>
                <w:webHidden/>
              </w:rPr>
            </w:r>
            <w:r>
              <w:rPr>
                <w:noProof/>
                <w:webHidden/>
              </w:rPr>
              <w:fldChar w:fldCharType="separate"/>
            </w:r>
            <w:r>
              <w:rPr>
                <w:noProof/>
                <w:webHidden/>
              </w:rPr>
              <w:t>1218</w:t>
            </w:r>
            <w:r>
              <w:rPr>
                <w:noProof/>
                <w:webHidden/>
              </w:rPr>
              <w:fldChar w:fldCharType="end"/>
            </w:r>
          </w:hyperlink>
        </w:p>
        <w:p w14:paraId="348F57F5" w14:textId="7472F295" w:rsidR="0014651C" w:rsidRDefault="0014651C">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7089" w:history="1">
            <w:r w:rsidRPr="00F45DCA">
              <w:rPr>
                <w:rStyle w:val="Lienhypertexte"/>
                <w:noProof/>
              </w:rPr>
              <w:t>28.88 Traitement et protection CCTB 01.04</w:t>
            </w:r>
            <w:r>
              <w:rPr>
                <w:noProof/>
                <w:webHidden/>
              </w:rPr>
              <w:tab/>
            </w:r>
            <w:r>
              <w:rPr>
                <w:noProof/>
                <w:webHidden/>
              </w:rPr>
              <w:fldChar w:fldCharType="begin"/>
            </w:r>
            <w:r>
              <w:rPr>
                <w:noProof/>
                <w:webHidden/>
              </w:rPr>
              <w:instrText xml:space="preserve"> PAGEREF _Toc220497089 \h </w:instrText>
            </w:r>
            <w:r>
              <w:rPr>
                <w:noProof/>
                <w:webHidden/>
              </w:rPr>
            </w:r>
            <w:r>
              <w:rPr>
                <w:noProof/>
                <w:webHidden/>
              </w:rPr>
              <w:fldChar w:fldCharType="separate"/>
            </w:r>
            <w:r>
              <w:rPr>
                <w:noProof/>
                <w:webHidden/>
              </w:rPr>
              <w:t>1218</w:t>
            </w:r>
            <w:r>
              <w:rPr>
                <w:noProof/>
                <w:webHidden/>
              </w:rPr>
              <w:fldChar w:fldCharType="end"/>
            </w:r>
          </w:hyperlink>
        </w:p>
        <w:p w14:paraId="412DF5D0" w14:textId="7A2E0FF8" w:rsidR="00DB2B68" w:rsidRDefault="00000000">
          <w:r>
            <w:rPr>
              <w:b/>
              <w:bCs/>
              <w:noProof/>
            </w:rPr>
            <w:fldChar w:fldCharType="end"/>
          </w:r>
        </w:p>
      </w:sdtContent>
    </w:sdt>
    <w:p w14:paraId="1B3C074E" w14:textId="77777777" w:rsidR="00DB2B68" w:rsidRDefault="00000000">
      <w:r>
        <w:br w:type="page"/>
      </w:r>
    </w:p>
    <w:p w14:paraId="68F1048A" w14:textId="77777777" w:rsidR="00DB2B68" w:rsidRDefault="00000000">
      <w:pPr>
        <w:pStyle w:val="Author-eSectionHeading1Numberless"/>
      </w:pPr>
      <w:bookmarkStart w:id="0" w:name="_Toc220495175"/>
      <w:r>
        <w:lastRenderedPageBreak/>
        <w:t>2 T2 Superstructures CCTB 01.13</w:t>
      </w:r>
      <w:bookmarkEnd w:id="0"/>
    </w:p>
    <w:p w14:paraId="01480DBC" w14:textId="77777777" w:rsidR="00DB2B68" w:rsidRDefault="00000000">
      <w:pPr>
        <w:pStyle w:val="pheading"/>
      </w:pPr>
      <w:bookmarkStart w:id="1" w:name="41"/>
      <w:bookmarkEnd w:id="1"/>
      <w:r>
        <w:t>DESCRIPTION</w:t>
      </w:r>
    </w:p>
    <w:p w14:paraId="4443927B" w14:textId="77777777" w:rsidR="00DB2B68" w:rsidRDefault="00000000">
      <w:pPr>
        <w:pStyle w:val="pheading"/>
      </w:pPr>
      <w:r>
        <w:t>- Définition / Comprend</w:t>
      </w:r>
    </w:p>
    <w:p w14:paraId="6F574077" w14:textId="77777777" w:rsidR="00DB2B68" w:rsidRDefault="00000000">
      <w:r>
        <w:t>Ce tome décrit tous les éléments de gros-œuvre exécutés au-dessus des fondations.</w:t>
      </w:r>
    </w:p>
    <w:p w14:paraId="0150FAFD" w14:textId="77777777" w:rsidR="00DB2B68" w:rsidRDefault="00000000">
      <w:r>
        <w:rPr>
          <w:b/>
        </w:rPr>
        <w:t>Incendie</w:t>
      </w:r>
    </w:p>
    <w:p w14:paraId="1AB962CD" w14:textId="77777777" w:rsidR="00DB2B68" w:rsidRDefault="00000000">
      <w:r>
        <w:t>Cet article concerne des éléments de la structure ayant une fonction portante ou non.</w:t>
      </w:r>
    </w:p>
    <w:p w14:paraId="5510105D" w14:textId="77777777" w:rsidR="00DB2B68" w:rsidRDefault="00000000">
      <w:r>
        <w:t xml:space="preserve">Le terme </w:t>
      </w:r>
      <w:r>
        <w:rPr>
          <w:u w:val="single"/>
        </w:rPr>
        <w:t>élément structural (ou élément porteur ou élément portant)</w:t>
      </w:r>
      <w:r>
        <w:t xml:space="preserve"> englobe tous les éléments de construction ayant une fonction portante. Parmi les éléments structuraux (ou porteurs), il convient de faire une différence entre les éléments structurels et non structurels :</w:t>
      </w:r>
    </w:p>
    <w:p w14:paraId="6450A679" w14:textId="77777777" w:rsidR="00DB2B68" w:rsidRDefault="00000000">
      <w:pPr>
        <w:pStyle w:val="Author-eListParagraph"/>
        <w:numPr>
          <w:ilvl w:val="0"/>
          <w:numId w:val="2"/>
        </w:numPr>
      </w:pPr>
      <w:r>
        <w:t xml:space="preserve">les </w:t>
      </w:r>
      <w:r>
        <w:rPr>
          <w:u w:val="single"/>
        </w:rPr>
        <w:t>éléments porteurs "structurels"</w:t>
      </w:r>
      <w:r>
        <w:t>: éléments porteurs assurant la stabilité de l’ensemble ou d’une partie du bâtiment qui, en cas d’affaissement, donnent lieu à un effondrement progressif. Un effondrement progressif se produit lorsque l’affaissement d’un élément de construction entraîne l’affaissement d’éléments du bâtiment qui ne se trouvent pas à proximité immédiate de l’élément considéré et lorsque la résistance du reste de la construction est insuffisante pour supporter la charge produite.</w:t>
      </w:r>
    </w:p>
    <w:p w14:paraId="050F5AA9" w14:textId="77777777" w:rsidR="00DB2B68" w:rsidRDefault="00000000">
      <w:pPr>
        <w:pStyle w:val="Author-eListParagraph"/>
        <w:numPr>
          <w:ilvl w:val="0"/>
          <w:numId w:val="3"/>
        </w:numPr>
      </w:pPr>
      <w:r>
        <w:t xml:space="preserve">les </w:t>
      </w:r>
      <w:r>
        <w:rPr>
          <w:u w:val="single"/>
        </w:rPr>
        <w:t>éléments porteurs "non structurels"</w:t>
      </w:r>
      <w:r>
        <w:t>: éléments porteurs qui ne répondent pas à la définition d'éléments porteurs structurels.</w:t>
      </w:r>
    </w:p>
    <w:p w14:paraId="3915ABAF" w14:textId="77777777" w:rsidR="00DB2B68" w:rsidRDefault="00000000">
      <w:r>
        <w:t> </w:t>
      </w:r>
    </w:p>
    <w:p w14:paraId="0F682B73" w14:textId="77777777" w:rsidR="00DB2B68" w:rsidRDefault="00000000">
      <w:r>
        <w:t>Dans le cadre des bâtiments industriels soumis à l'arrêté royal "normes de prévention de base", une distinction est encore faite parmi les éléments porteurs "structurels" :</w:t>
      </w:r>
    </w:p>
    <w:p w14:paraId="2A578A35" w14:textId="77777777" w:rsidR="00DB2B68" w:rsidRDefault="00000000">
      <w:pPr>
        <w:pStyle w:val="Author-eListParagraph"/>
        <w:numPr>
          <w:ilvl w:val="0"/>
          <w:numId w:val="4"/>
        </w:numPr>
      </w:pPr>
      <w:r>
        <w:rPr>
          <w:u w:val="single"/>
        </w:rPr>
        <w:t>éléments porteurs structurels de type I</w:t>
      </w:r>
      <w:r>
        <w:t>: éléments, qui en cas d’affaissement, donnent lieu à un effondrement progressif qui peut se propager au-delà des limites du compartiment ou provoquer des dommages aux parois du compartiment;</w:t>
      </w:r>
    </w:p>
    <w:p w14:paraId="7B5DEC44" w14:textId="77777777" w:rsidR="00DB2B68" w:rsidRDefault="00000000">
      <w:pPr>
        <w:pStyle w:val="Author-eListParagraph"/>
        <w:numPr>
          <w:ilvl w:val="0"/>
          <w:numId w:val="4"/>
        </w:numPr>
      </w:pPr>
      <w:r>
        <w:rPr>
          <w:u w:val="single"/>
        </w:rPr>
        <w:t>éléments porteurs structurels de type II</w:t>
      </w:r>
      <w:r>
        <w:t>: éléments qui en cas d’affaissement donnent lieu à un effondrement progressif limité au compartiment.</w:t>
      </w:r>
    </w:p>
    <w:p w14:paraId="5D3DE4D0" w14:textId="77777777" w:rsidR="00DB2B68" w:rsidRDefault="00000000">
      <w:r>
        <w:t> </w:t>
      </w:r>
      <w:r>
        <w:rPr>
          <w:noProof/>
        </w:rPr>
        <w:drawing>
          <wp:inline distT="0" distB="0" distL="0" distR="0" wp14:anchorId="08C5EF08" wp14:editId="2C6FB56A">
            <wp:extent cx="5715000" cy="2895600"/>
            <wp:effectExtent l="0" t="0" r="0" b="0"/>
            <wp:docPr id="2" name="T2 - éléments de structure.JPG" descr="T2 - éléments de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6827" descr=" "/>
                    <pic:cNvPicPr>
                      <a:picLocks noChangeAspect="1" noChangeArrowheads="1"/>
                    </pic:cNvPicPr>
                  </pic:nvPicPr>
                  <pic:blipFill>
                    <a:blip r:embed="rId7"/>
                    <a:srcRect/>
                    <a:stretch>
                      <a:fillRect/>
                    </a:stretch>
                  </pic:blipFill>
                  <pic:spPr bwMode="auto">
                    <a:xfrm>
                      <a:off x="0" y="0"/>
                      <a:ext cx="5715000" cy="2895600"/>
                    </a:xfrm>
                    <a:prstGeom prst="rect">
                      <a:avLst/>
                    </a:prstGeom>
                  </pic:spPr>
                </pic:pic>
              </a:graphicData>
            </a:graphic>
          </wp:inline>
        </w:drawing>
      </w:r>
    </w:p>
    <w:p w14:paraId="2A7FDFFF" w14:textId="77777777" w:rsidR="00DB2B68" w:rsidRDefault="00000000">
      <w:r>
        <w:t>Selon la réglementation applicable aux bâtiments nouveaux en Belgique, la performance de résistance au feu d’un élément de construction doit être déterminée sur la base d’essais , exclusivement selon les normes européennes ou sur la base d’un calcul (selon les Eurocodes, parties ‘feu’).</w:t>
      </w:r>
    </w:p>
    <w:p w14:paraId="06C10AB7" w14:textId="77777777" w:rsidR="00DB2B68" w:rsidRDefault="00000000">
      <w:r>
        <w:lastRenderedPageBreak/>
        <w:t>Depuis le 1er décembre 2016, seules les séries de normes d’essais reprises dans les normes de classification [NBN EN 13501-2], [NBN EN 13501-3+A1] et [NBN EN 13501-4] peuvent être utilisées, sauf en ce qui concerne les portes résistant au feu et les plafonds suspendus pour lesquels la norme belge [NBN 713-020] peut encore être utilisée.</w:t>
      </w:r>
    </w:p>
    <w:p w14:paraId="36C4B020" w14:textId="77777777" w:rsidR="00DB2B68" w:rsidRDefault="00000000">
      <w:pPr>
        <w:pStyle w:val="pheading"/>
      </w:pPr>
      <w:r>
        <w:t>- Remarques importantes</w:t>
      </w:r>
    </w:p>
    <w:p w14:paraId="32A58475" w14:textId="77777777" w:rsidR="00DB2B68" w:rsidRDefault="00000000">
      <w:r>
        <w:rPr>
          <w:b/>
        </w:rPr>
        <w:t>Incendie</w:t>
      </w:r>
      <w:r>
        <w:t xml:space="preserve">  </w:t>
      </w:r>
    </w:p>
    <w:p w14:paraId="12D74543" w14:textId="77777777" w:rsidR="00DB2B68" w:rsidRDefault="00000000">
      <w:r>
        <w:t>Les exigences de résistance au feu (durée et fonction portante et/ou séparant) requises pour les éléments de structure sont fixées par la réglementation en vigueur, notamment l’[AR 1994-07-07].</w:t>
      </w:r>
    </w:p>
    <w:p w14:paraId="6788DD20" w14:textId="77777777" w:rsidR="00DB2B68" w:rsidRDefault="00000000">
      <w:r>
        <w:t>Elles dépendent notamment de la hauteur du bâtiment, du type de bâtiment, de la fonction de l’élément de structure, … Elles différent également en fonction du type d'élément de construction :</w:t>
      </w:r>
    </w:p>
    <w:p w14:paraId="089800E6" w14:textId="77777777" w:rsidR="00DB2B68" w:rsidRDefault="00000000">
      <w:pPr>
        <w:pStyle w:val="Author-eListParagraph"/>
        <w:numPr>
          <w:ilvl w:val="0"/>
          <w:numId w:val="5"/>
        </w:numPr>
      </w:pPr>
      <w:r>
        <w:t>de sa fonction séparant ou non séparant: EI ou non</w:t>
      </w:r>
    </w:p>
    <w:p w14:paraId="4A673D16" w14:textId="77777777" w:rsidR="00DB2B68" w:rsidRDefault="00000000">
      <w:pPr>
        <w:pStyle w:val="Author-eListParagraph"/>
        <w:numPr>
          <w:ilvl w:val="0"/>
          <w:numId w:val="5"/>
        </w:numPr>
      </w:pPr>
      <w:r>
        <w:t xml:space="preserve">de sa fonction structurale (portante) ou non structurale (non portante) </w:t>
      </w:r>
    </w:p>
    <w:p w14:paraId="759F6468" w14:textId="77777777" w:rsidR="00DB2B68" w:rsidRDefault="00000000">
      <w:pPr>
        <w:pStyle w:val="Author-eListParagraph"/>
        <w:numPr>
          <w:ilvl w:val="1"/>
          <w:numId w:val="6"/>
        </w:numPr>
      </w:pPr>
      <w:r>
        <w:t>de son critère structurel : R exigé</w:t>
      </w:r>
    </w:p>
    <w:p w14:paraId="7EDBEDCD" w14:textId="77777777" w:rsidR="00DB2B68" w:rsidRDefault="00000000">
      <w:pPr>
        <w:pStyle w:val="Author-eListParagraph"/>
        <w:numPr>
          <w:ilvl w:val="1"/>
          <w:numId w:val="6"/>
        </w:numPr>
      </w:pPr>
      <w:r>
        <w:t>ou non structurel : R pas exigé</w:t>
      </w:r>
    </w:p>
    <w:p w14:paraId="563ED3C6" w14:textId="77777777" w:rsidR="00DB2B68" w:rsidRDefault="00000000">
      <w:r>
        <w:rPr>
          <w:b/>
        </w:rPr>
        <w:t>Déchets</w:t>
      </w:r>
    </w:p>
    <w:p w14:paraId="434F27F9" w14:textId="77777777" w:rsidR="00DB2B68" w:rsidRDefault="00000000">
      <w:r>
        <w:t>La gestion et l’évacuation des déchets de chantier est décrite et comptabilisée au 07 Déchets, matériaux et éléments réemployables.</w:t>
      </w:r>
    </w:p>
    <w:p w14:paraId="4EBD5B84" w14:textId="77777777" w:rsidR="00DB2B68" w:rsidRDefault="00000000">
      <w:pPr>
        <w:ind w:left="750"/>
      </w:pPr>
      <w:r>
        <w:t> </w:t>
      </w:r>
    </w:p>
    <w:p w14:paraId="516CAB8C" w14:textId="77777777" w:rsidR="00DB2B68" w:rsidRDefault="00000000">
      <w:pPr>
        <w:pStyle w:val="pheading"/>
      </w:pPr>
      <w:r>
        <w:t>DOCUMENTS DE RÉFÉRENCE</w:t>
      </w:r>
    </w:p>
    <w:p w14:paraId="50FDF678" w14:textId="77777777" w:rsidR="00DB2B68" w:rsidRDefault="00000000">
      <w:pPr>
        <w:pStyle w:val="pheading"/>
      </w:pPr>
      <w:r>
        <w:t>- Matériau</w:t>
      </w:r>
    </w:p>
    <w:p w14:paraId="39E546EA" w14:textId="77777777" w:rsidR="00DB2B68" w:rsidRDefault="00000000">
      <w:r>
        <w:t>[AR 1994-07-07, Arrêté royal fixant les normes de base en matière de prévention contre l'incendie et l'explosion, auxquelles les bâtiments nouveaux doivent satisfaire]</w:t>
      </w:r>
    </w:p>
    <w:p w14:paraId="2BDE595F" w14:textId="77777777" w:rsidR="00DB2B68" w:rsidRDefault="00000000">
      <w:r>
        <w:t>[NBN 713-020, Protection contre l'incendie - Comportement au feu des matériaux et éléments de construction - Résistance au feu des éléments de construction (avec erratum)]</w:t>
      </w:r>
    </w:p>
    <w:p w14:paraId="0C176D9A" w14:textId="77777777" w:rsidR="00DB2B68" w:rsidRDefault="00000000">
      <w:r>
        <w:t>[NBN EN 13501-1, Classement au feu des produits et éléments de construction - Partie 1: Classement à partir des données d'essais de réaction au feu]</w:t>
      </w:r>
    </w:p>
    <w:p w14:paraId="79D4697C"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64DFB142" w14:textId="77777777" w:rsidR="00DB2B68" w:rsidRDefault="00000000">
      <w:r>
        <w:t>[NBN EN 13501-3+A1, Classement au feu des produits et éléments de construction - Partie 3: Classement utilisant des données d'essais de résistance au feu de produits et éléments utilisés dans des installations d'entretien: Conduits et clapets résistants au feu]</w:t>
      </w:r>
    </w:p>
    <w:p w14:paraId="74A00A83" w14:textId="77777777" w:rsidR="00DB2B68" w:rsidRDefault="00000000">
      <w:r>
        <w:t>[NBN EN 13501-4, Classement au feu des produits et éléments de construction - Partie 4: Classement à partir des données d'essais de résistance au feu des composants de dispositifs de contrôle de fumée] </w:t>
      </w:r>
    </w:p>
    <w:p w14:paraId="3AC0461E" w14:textId="77777777" w:rsidR="00DB2B68" w:rsidRDefault="00000000">
      <w:r>
        <w:t>[NBN EN 13501-5, Classement au feu des produits et éléments de construction - Partie 5: Classement utilisant des données d'essais au feu des toitures exposées à un feu extérieur]</w:t>
      </w:r>
    </w:p>
    <w:p w14:paraId="7D4EB08E" w14:textId="77777777" w:rsidR="00DB2B68" w:rsidRDefault="00000000">
      <w:r>
        <w:t>[NBN CEN/TS 1187, Méthodes d'essai pour l'exposition des toitures à un feu extérieur]</w:t>
      </w:r>
    </w:p>
    <w:p w14:paraId="4ED8389D" w14:textId="77777777" w:rsidR="00DB2B68" w:rsidRDefault="00000000">
      <w:pPr>
        <w:pStyle w:val="pheading"/>
      </w:pPr>
      <w:r>
        <w:t>- Exécution</w:t>
      </w:r>
    </w:p>
    <w:p w14:paraId="5800B0C8" w14:textId="77777777" w:rsidR="00DB2B68" w:rsidRDefault="00000000">
      <w:r>
        <w:t>[NIT 238, L'application de systèmes de peinture intumescente sur structures en acier.]</w:t>
      </w:r>
    </w:p>
    <w:p w14:paraId="2D8AC904" w14:textId="77777777" w:rsidR="00DB2B68" w:rsidRDefault="00000000">
      <w:pPr>
        <w:pStyle w:val="Author-eSectionHeading2Numberless"/>
      </w:pPr>
      <w:bookmarkStart w:id="2" w:name="_Toc220495176"/>
      <w:r>
        <w:t>21 Superstructures en maçonnerie CCTB 01.12</w:t>
      </w:r>
      <w:bookmarkEnd w:id="2"/>
    </w:p>
    <w:p w14:paraId="404E688F" w14:textId="77777777" w:rsidR="00DB2B68" w:rsidRDefault="00000000">
      <w:pPr>
        <w:pStyle w:val="pheading"/>
      </w:pPr>
      <w:bookmarkStart w:id="3" w:name="295"/>
      <w:bookmarkEnd w:id="3"/>
      <w:r>
        <w:t>DESCRIPTION</w:t>
      </w:r>
    </w:p>
    <w:p w14:paraId="1B0E0214" w14:textId="77777777" w:rsidR="00DB2B68" w:rsidRDefault="00000000">
      <w:pPr>
        <w:pStyle w:val="pheading"/>
      </w:pPr>
      <w:r>
        <w:t>- Définition / Comprend</w:t>
      </w:r>
    </w:p>
    <w:p w14:paraId="037281BA" w14:textId="77777777" w:rsidR="00DB2B68" w:rsidRDefault="00000000">
      <w:r>
        <w:rPr>
          <w:rStyle w:val="normalChar"/>
          <w:color w:val="000000"/>
        </w:rPr>
        <w:t>Le présent chapitre comprend la réalisation de tous les ouvrages en maçonnerie.</w:t>
      </w:r>
    </w:p>
    <w:p w14:paraId="5AE7627C" w14:textId="77777777" w:rsidR="00DB2B68" w:rsidRDefault="00000000">
      <w:r>
        <w:lastRenderedPageBreak/>
        <w:t>Les maçonneries sont classées selon leur utilisation:</w:t>
      </w:r>
    </w:p>
    <w:p w14:paraId="79BA0570" w14:textId="77777777" w:rsidR="00DB2B68" w:rsidRDefault="00000000">
      <w:pPr>
        <w:pStyle w:val="Author-eListParagraph"/>
        <w:numPr>
          <w:ilvl w:val="0"/>
          <w:numId w:val="7"/>
        </w:numPr>
      </w:pPr>
      <w:r>
        <w:t>Maçonneries portantes (</w:t>
      </w:r>
      <w:hyperlink w:anchor="294" w:history="1">
        <w:r>
          <w:rPr>
            <w:color w:val="0000EE"/>
          </w:rPr>
          <w:t>21.1 Maçonneries portantes</w:t>
        </w:r>
      </w:hyperlink>
      <w:r>
        <w:t>)</w:t>
      </w:r>
    </w:p>
    <w:p w14:paraId="706F8415" w14:textId="77777777" w:rsidR="00DB2B68" w:rsidRDefault="00000000">
      <w:pPr>
        <w:pStyle w:val="Author-eListParagraph"/>
        <w:numPr>
          <w:ilvl w:val="0"/>
          <w:numId w:val="7"/>
        </w:numPr>
      </w:pPr>
      <w:r>
        <w:t>Maçonneries non portantes (</w:t>
      </w:r>
      <w:hyperlink w:anchor="383" w:history="1">
        <w:r>
          <w:rPr>
            <w:color w:val="0000EE"/>
          </w:rPr>
          <w:t>21.2 Maçonneries non portantes</w:t>
        </w:r>
      </w:hyperlink>
      <w:r>
        <w:t>)</w:t>
      </w:r>
    </w:p>
    <w:p w14:paraId="012B1723" w14:textId="77777777" w:rsidR="00DB2B68" w:rsidRDefault="00000000">
      <w:pPr>
        <w:pStyle w:val="Author-eListParagraph"/>
        <w:numPr>
          <w:ilvl w:val="0"/>
          <w:numId w:val="7"/>
        </w:numPr>
      </w:pPr>
      <w:r>
        <w:t>Maçonneries de parements (</w:t>
      </w:r>
      <w:hyperlink w:anchor="381" w:history="1">
        <w:r>
          <w:rPr>
            <w:color w:val="0000EE"/>
          </w:rPr>
          <w:t>21.3 Maçonneries de parement</w:t>
        </w:r>
      </w:hyperlink>
      <w:r>
        <w:t>)</w:t>
      </w:r>
    </w:p>
    <w:p w14:paraId="6D2356C7" w14:textId="77777777" w:rsidR="00DB2B68" w:rsidRDefault="00000000">
      <w:pPr>
        <w:pStyle w:val="Author-eListParagraph"/>
        <w:numPr>
          <w:ilvl w:val="0"/>
          <w:numId w:val="7"/>
        </w:numPr>
      </w:pPr>
      <w:r>
        <w:t>Murs poids (</w:t>
      </w:r>
      <w:hyperlink w:anchor="473" w:history="1">
        <w:r>
          <w:rPr>
            <w:color w:val="0000EE"/>
          </w:rPr>
          <w:t>21.5 Murs poids</w:t>
        </w:r>
      </w:hyperlink>
      <w:r>
        <w:t>)</w:t>
      </w:r>
    </w:p>
    <w:p w14:paraId="7FC511EB" w14:textId="77777777" w:rsidR="00DB2B68" w:rsidRDefault="00000000">
      <w:r>
        <w:t> </w:t>
      </w:r>
    </w:p>
    <w:p w14:paraId="464D52E4" w14:textId="77777777" w:rsidR="00DB2B68" w:rsidRDefault="00000000">
      <w:r>
        <w:t>On distingue également les travaux relatifs aux</w:t>
      </w:r>
    </w:p>
    <w:p w14:paraId="1F71CBAC" w14:textId="77777777" w:rsidR="00DB2B68" w:rsidRDefault="00000000">
      <w:pPr>
        <w:pStyle w:val="Author-eListParagraph"/>
        <w:numPr>
          <w:ilvl w:val="0"/>
          <w:numId w:val="8"/>
        </w:numPr>
      </w:pPr>
      <w:r>
        <w:t>Accessoires pour maçonnerie (</w:t>
      </w:r>
      <w:hyperlink w:anchor="366" w:history="1">
        <w:r>
          <w:rPr>
            <w:color w:val="0000EE"/>
          </w:rPr>
          <w:t>21.4 Eléments particuliers pour maçonneries</w:t>
        </w:r>
      </w:hyperlink>
      <w:r>
        <w:t>) (armatures, ancrages, consoles)</w:t>
      </w:r>
    </w:p>
    <w:p w14:paraId="6B9F4CF7" w14:textId="77777777" w:rsidR="00DB2B68" w:rsidRDefault="00000000">
      <w:pPr>
        <w:pStyle w:val="Author-eListParagraph"/>
        <w:numPr>
          <w:ilvl w:val="0"/>
          <w:numId w:val="8"/>
        </w:numPr>
      </w:pPr>
      <w:r>
        <w:t>Eléments particuliers pour maçonnerie (</w:t>
      </w:r>
      <w:hyperlink w:anchor="366" w:history="1">
        <w:r>
          <w:rPr>
            <w:color w:val="0000EE"/>
          </w:rPr>
          <w:t>21.4 Eléments particuliers pour maçonneries</w:t>
        </w:r>
      </w:hyperlink>
      <w:r>
        <w:t>) (éléments de ventilation et blocs de verre)</w:t>
      </w:r>
    </w:p>
    <w:p w14:paraId="59588482" w14:textId="77777777" w:rsidR="00DB2B68" w:rsidRDefault="00000000">
      <w:pPr>
        <w:pStyle w:val="Author-eListParagraph"/>
        <w:numPr>
          <w:ilvl w:val="0"/>
          <w:numId w:val="8"/>
        </w:numPr>
      </w:pPr>
      <w:r>
        <w:t>Travaux de rejointoiement (</w:t>
      </w:r>
      <w:hyperlink w:anchor="395" w:history="1">
        <w:r>
          <w:rPr>
            <w:color w:val="0000EE"/>
          </w:rPr>
          <w:t>21.6 Réalisation de joints</w:t>
        </w:r>
      </w:hyperlink>
      <w:r>
        <w:t>) </w:t>
      </w:r>
    </w:p>
    <w:p w14:paraId="33E054E8" w14:textId="77777777" w:rsidR="00DB2B68" w:rsidRDefault="00000000">
      <w:pPr>
        <w:pStyle w:val="Author-eListParagraph"/>
        <w:numPr>
          <w:ilvl w:val="0"/>
          <w:numId w:val="8"/>
        </w:numPr>
      </w:pPr>
      <w:r>
        <w:t>Traitement, protection et finition des maçonneries (</w:t>
      </w:r>
      <w:hyperlink w:anchor="474" w:history="1">
        <w:r>
          <w:rPr>
            <w:color w:val="0000EE"/>
          </w:rPr>
          <w:t>21.7 Traitements, protection et finition des maçonneries</w:t>
        </w:r>
      </w:hyperlink>
      <w:r>
        <w:t>)</w:t>
      </w:r>
    </w:p>
    <w:p w14:paraId="40260E6A" w14:textId="77777777" w:rsidR="00DB2B68" w:rsidRDefault="00000000">
      <w:pPr>
        <w:pStyle w:val="Author-eListParagraph"/>
        <w:numPr>
          <w:ilvl w:val="0"/>
          <w:numId w:val="8"/>
        </w:numPr>
      </w:pPr>
      <w:r>
        <w:t>Eléments de structure en maçonneries propres à la rénovation (</w:t>
      </w:r>
      <w:hyperlink w:anchor="224" w:history="1">
        <w:r>
          <w:rPr>
            <w:color w:val="0000EE"/>
          </w:rPr>
          <w:t>21.8 Superstructures en maçonnerie - Rénovation</w:t>
        </w:r>
      </w:hyperlink>
      <w:r>
        <w:t>)</w:t>
      </w:r>
    </w:p>
    <w:p w14:paraId="0F03D2F3" w14:textId="77777777" w:rsidR="00DB2B68" w:rsidRDefault="00000000">
      <w:r>
        <w:t>On définit également</w:t>
      </w:r>
    </w:p>
    <w:p w14:paraId="20C070F9" w14:textId="77777777" w:rsidR="00DB2B68" w:rsidRDefault="00000000">
      <w:pPr>
        <w:pStyle w:val="Author-eListParagraph"/>
        <w:numPr>
          <w:ilvl w:val="0"/>
          <w:numId w:val="9"/>
        </w:numPr>
      </w:pPr>
      <w:r>
        <w:t>les "maçonneries souterraines" ou "maçonneries enterrées" comme étant tous les éléments qui relèvent des travaux pour les maçonneries de fondation et/ou les maçonneries portantes pour les caves et vides sanitaires.</w:t>
      </w:r>
    </w:p>
    <w:p w14:paraId="11BAB8E2" w14:textId="77777777" w:rsidR="00DB2B68" w:rsidRDefault="00000000">
      <w:pPr>
        <w:pStyle w:val="Author-eListParagraph"/>
        <w:numPr>
          <w:ilvl w:val="0"/>
          <w:numId w:val="9"/>
        </w:numPr>
      </w:pPr>
      <w:r>
        <w:t xml:space="preserve">les "maçonneries d'élévation" comme étant tous les éléments, travaux et fournitures concernant les ouvrages de maçonnerie situés au-dessus du niveau du sol et qui ne sont pas en contact avec les terres ni soumis aux influences atmosphériques. Sont donc compris : tous les </w:t>
      </w:r>
      <w:r>
        <w:rPr>
          <w:u w:val="single"/>
        </w:rPr>
        <w:t>murs intérieurs porteurs</w:t>
      </w:r>
      <w:r>
        <w:t xml:space="preserve">, </w:t>
      </w:r>
      <w:r>
        <w:rPr>
          <w:u w:val="single"/>
        </w:rPr>
        <w:t>murs de contre-façade</w:t>
      </w:r>
      <w:r>
        <w:t xml:space="preserve"> (la partie intérieure des murs extérieurs), ainsi que tous les murs extérieurs massifs destinés à recevoir un enduit de façade ou une isolation par l’extérieur.</w:t>
      </w:r>
    </w:p>
    <w:p w14:paraId="435360F6" w14:textId="77777777" w:rsidR="00DB2B68" w:rsidRDefault="00000000">
      <w:r>
        <w:t> </w:t>
      </w:r>
    </w:p>
    <w:p w14:paraId="70BB934F" w14:textId="77777777" w:rsidR="00DB2B68" w:rsidRDefault="00000000">
      <w:r>
        <w:t>Conformément aux dispositions du cahier spécial des charges, les prix unitaires compris dans ce poste doivent toujours comprendre, soit selon la ventilation du métré récapitulatif, soit dans leur ensemble, les éléments suivants :</w:t>
      </w:r>
    </w:p>
    <w:p w14:paraId="670F24A6" w14:textId="77777777" w:rsidR="00DB2B68" w:rsidRDefault="00000000">
      <w:pPr>
        <w:pStyle w:val="Author-eListParagraph"/>
        <w:numPr>
          <w:ilvl w:val="0"/>
          <w:numId w:val="10"/>
        </w:numPr>
      </w:pPr>
      <w:r>
        <w:rPr>
          <w:rStyle w:val="normalChar"/>
          <w:color w:val="000000"/>
        </w:rPr>
        <w:t>la préparation des travaux, l'installation des échafaudages nécessaires, dispositifs de protection,...;</w:t>
      </w:r>
    </w:p>
    <w:p w14:paraId="4AFDE452" w14:textId="77777777" w:rsidR="00DB2B68" w:rsidRDefault="00000000">
      <w:pPr>
        <w:pStyle w:val="Author-eListParagraph"/>
        <w:numPr>
          <w:ilvl w:val="0"/>
          <w:numId w:val="10"/>
        </w:numPr>
      </w:pPr>
      <w:r>
        <w:rPr>
          <w:rStyle w:val="normalChar"/>
          <w:color w:val="000000"/>
        </w:rPr>
        <w:t>la fourniture et la préparation des éléments de maçonnerie ainsi que des produits de pose, de tous les éléments de renfort métalliques pour les linteaux / assises sur chant, les blochets d'ancrage, les cornières, les feuillards, le liaisonnement avec les murs intérieurs (crochets de mur), les ouvertures de façade et les rives de toiture, les étanchéités et les bandes d'isolation thermique au droit des ébrasements de fenêtres;...;</w:t>
      </w:r>
    </w:p>
    <w:p w14:paraId="092D0CD6" w14:textId="77777777" w:rsidR="00DB2B68" w:rsidRDefault="00000000">
      <w:pPr>
        <w:pStyle w:val="Author-eListParagraph"/>
        <w:numPr>
          <w:ilvl w:val="0"/>
          <w:numId w:val="10"/>
        </w:numPr>
      </w:pPr>
      <w:r>
        <w:t>l'exécution de la maçonnerie proprement dite ainsi que tous les moyens de protection nécessaires, ...;</w:t>
      </w:r>
    </w:p>
    <w:p w14:paraId="20522890" w14:textId="77777777" w:rsidR="00DB2B68" w:rsidRDefault="00000000">
      <w:pPr>
        <w:pStyle w:val="Author-eListParagraph"/>
        <w:numPr>
          <w:ilvl w:val="0"/>
          <w:numId w:val="10"/>
        </w:numPr>
      </w:pPr>
      <w:r>
        <w:t>l'isolation contre l'humidité/membranes contre l'humidité ascensionnelle;</w:t>
      </w:r>
    </w:p>
    <w:p w14:paraId="0AEAE658" w14:textId="77777777" w:rsidR="00DB2B68" w:rsidRDefault="00000000">
      <w:pPr>
        <w:pStyle w:val="Author-eListParagraph"/>
        <w:numPr>
          <w:ilvl w:val="0"/>
          <w:numId w:val="10"/>
        </w:numPr>
      </w:pPr>
      <w:r>
        <w:t xml:space="preserve">les linteaux préfabriqués pour les portes et fenêtres ainsi que les poutres de répartition, dans la mesure où elles ne sont pas comptées séparément dans le chapitre </w:t>
      </w:r>
      <w:hyperlink w:anchor="87" w:history="1">
        <w:r>
          <w:rPr>
            <w:color w:val="0000EE"/>
          </w:rPr>
          <w:t>22 Superstructures en béton</w:t>
        </w:r>
      </w:hyperlink>
      <w:r>
        <w:t xml:space="preserve"> ou le chapitre </w:t>
      </w:r>
      <w:hyperlink w:anchor="349" w:history="1">
        <w:r>
          <w:rPr>
            <w:color w:val="0000EE"/>
          </w:rPr>
          <w:t>23 Superstructures métalliques</w:t>
        </w:r>
      </w:hyperlink>
      <w:r>
        <w:t> ;</w:t>
      </w:r>
    </w:p>
    <w:p w14:paraId="70938320" w14:textId="77777777" w:rsidR="00DB2B68" w:rsidRDefault="00000000">
      <w:pPr>
        <w:pStyle w:val="Author-eListParagraph"/>
        <w:numPr>
          <w:ilvl w:val="0"/>
          <w:numId w:val="10"/>
        </w:numPr>
      </w:pPr>
      <w:r>
        <w:t>les blochets nécessaires pour la fixation de la menuiserie intérieure et extérieure;</w:t>
      </w:r>
    </w:p>
    <w:p w14:paraId="661A5590" w14:textId="77777777" w:rsidR="00DB2B68" w:rsidRDefault="00000000">
      <w:pPr>
        <w:pStyle w:val="Author-eListParagraph"/>
        <w:numPr>
          <w:ilvl w:val="0"/>
          <w:numId w:val="10"/>
        </w:numPr>
      </w:pPr>
      <w:r>
        <w:t>les éléments de liaison et/ou les armatures pour l'intersection de deux murs ainsi que tous les chaînages aux murs; attenants non reliés ou aux murs attenants à l'ossature en béton;</w:t>
      </w:r>
    </w:p>
    <w:p w14:paraId="1B5167BB" w14:textId="77777777" w:rsidR="00DB2B68" w:rsidRDefault="00000000">
      <w:pPr>
        <w:pStyle w:val="Author-eListParagraph"/>
        <w:numPr>
          <w:ilvl w:val="0"/>
          <w:numId w:val="10"/>
        </w:numPr>
      </w:pPr>
      <w:r>
        <w:t xml:space="preserve">toutes les armatures prescrites pour la maçonnerie selon l'article </w:t>
      </w:r>
      <w:hyperlink w:anchor="419" w:history="1">
        <w:r>
          <w:rPr>
            <w:color w:val="0000EE"/>
          </w:rPr>
          <w:t>21.41 Armatures pour maçonneries</w:t>
        </w:r>
      </w:hyperlink>
      <w:r>
        <w:t>;</w:t>
      </w:r>
    </w:p>
    <w:p w14:paraId="1D05326C" w14:textId="77777777" w:rsidR="00DB2B68" w:rsidRDefault="00000000">
      <w:pPr>
        <w:pStyle w:val="Author-eListParagraph"/>
        <w:numPr>
          <w:ilvl w:val="0"/>
          <w:numId w:val="10"/>
        </w:numPr>
      </w:pPr>
      <w:r>
        <w:t xml:space="preserve">le rejointoiement en montant pour toutes les maçonneries destinées à rester apparentes (le cas échéant, comptés comme supplément sous la  rubrique </w:t>
      </w:r>
      <w:hyperlink w:anchor="395" w:history="1">
        <w:r>
          <w:rPr>
            <w:color w:val="0000EE"/>
          </w:rPr>
          <w:t>21.6 Réalisation de joints</w:t>
        </w:r>
      </w:hyperlink>
      <w:r>
        <w:t>);</w:t>
      </w:r>
    </w:p>
    <w:p w14:paraId="6B6C29A1" w14:textId="77777777" w:rsidR="00DB2B68" w:rsidRDefault="00000000">
      <w:pPr>
        <w:pStyle w:val="Author-eListParagraph"/>
        <w:numPr>
          <w:ilvl w:val="0"/>
          <w:numId w:val="10"/>
        </w:numPr>
      </w:pPr>
      <w:r>
        <w:t>le rejointoiement, les joints de tassement et la finition;</w:t>
      </w:r>
    </w:p>
    <w:p w14:paraId="2F8601DF" w14:textId="77777777" w:rsidR="00DB2B68" w:rsidRDefault="00000000">
      <w:pPr>
        <w:pStyle w:val="Author-eListParagraph"/>
        <w:numPr>
          <w:ilvl w:val="0"/>
          <w:numId w:val="10"/>
        </w:numPr>
      </w:pPr>
      <w:r>
        <w:lastRenderedPageBreak/>
        <w:t>le cas échéant, le nettoyage et/ou le grattage de la façade;</w:t>
      </w:r>
    </w:p>
    <w:p w14:paraId="43028F92" w14:textId="77777777" w:rsidR="00DB2B68" w:rsidRDefault="00000000">
      <w:pPr>
        <w:pStyle w:val="Author-eListParagraph"/>
        <w:numPr>
          <w:ilvl w:val="0"/>
          <w:numId w:val="10"/>
        </w:numPr>
      </w:pPr>
      <w:r>
        <w:t>le cas échéant, la mise en œuvre de cornières de protection aux angles extérieurs et la finition des surfaces en vue des travaux de peinture (par ex. pour les blocs de plâtre / …);</w:t>
      </w:r>
    </w:p>
    <w:p w14:paraId="544A996C" w14:textId="77777777" w:rsidR="00DB2B68" w:rsidRDefault="00000000">
      <w:pPr>
        <w:pStyle w:val="Author-eListParagraph"/>
        <w:numPr>
          <w:ilvl w:val="0"/>
          <w:numId w:val="10"/>
        </w:numPr>
      </w:pPr>
      <w:r>
        <w:t>les cimentages et enduits étanches selon les prescriptions; sauf indications spécifiques dans le métré récapitulatif, la fourniture et la pose du système d'isolation contre l'humidité sont intégralement comprises dans le poste de la maçonnerie enterrée.</w:t>
      </w:r>
    </w:p>
    <w:p w14:paraId="4CECA5B7" w14:textId="77777777" w:rsidR="00DB2B68" w:rsidRDefault="00000000">
      <w:pPr>
        <w:pStyle w:val="Author-eListParagraph"/>
        <w:numPr>
          <w:ilvl w:val="0"/>
          <w:numId w:val="10"/>
        </w:numPr>
      </w:pPr>
      <w:r>
        <w:t>l'enlèvement des protections nécessaires aux travaux, échafaudages, bâches de protection, …;</w:t>
      </w:r>
    </w:p>
    <w:p w14:paraId="2D9E4362" w14:textId="77777777" w:rsidR="00DB2B68" w:rsidRDefault="00000000">
      <w:pPr>
        <w:pStyle w:val="Author-eListParagraph"/>
        <w:numPr>
          <w:ilvl w:val="0"/>
          <w:numId w:val="10"/>
        </w:numPr>
      </w:pPr>
      <w:r>
        <w:t>la mise en ordre et le nettoyage du chantier.</w:t>
      </w:r>
    </w:p>
    <w:p w14:paraId="2B8BE1A4" w14:textId="77777777" w:rsidR="00DB2B68" w:rsidRDefault="00000000">
      <w:pPr>
        <w:pStyle w:val="pheading"/>
      </w:pPr>
      <w:r>
        <w:t>- Remarques importantes</w:t>
      </w:r>
    </w:p>
    <w:p w14:paraId="305C1EA8" w14:textId="77777777" w:rsidR="00DB2B68" w:rsidRDefault="00000000">
      <w:pPr>
        <w:pStyle w:val="Author-eListParagraph"/>
        <w:numPr>
          <w:ilvl w:val="0"/>
          <w:numId w:val="11"/>
        </w:numPr>
      </w:pPr>
      <w:r>
        <w:t xml:space="preserve">Les cloisons maçonnées sont reprises dans le chapitre </w:t>
      </w:r>
      <w:hyperlink w:anchor="383" w:history="1">
        <w:r>
          <w:rPr>
            <w:color w:val="0000EE"/>
          </w:rPr>
          <w:t>21.2 Maçonneries non portantes</w:t>
        </w:r>
      </w:hyperlink>
      <w:r>
        <w:t>.</w:t>
      </w:r>
    </w:p>
    <w:p w14:paraId="5910D0D9" w14:textId="77777777" w:rsidR="00DB2B68" w:rsidRDefault="00000000">
      <w:pPr>
        <w:pStyle w:val="Author-eListParagraph"/>
        <w:numPr>
          <w:ilvl w:val="0"/>
          <w:numId w:val="12"/>
        </w:numPr>
      </w:pPr>
      <w:r>
        <w:t xml:space="preserve">Dans la mesure où elles ne sont pas comprises dans les méthodes de liaisonnement et/ou d'ancrage pour les maçonneries ou dans les conditions d'exécution en fonction du type de bloc de construction, les armatures supplémentaires pour la maçonnerie peuvent aussi être comptées séparément en tant que supplément (voir la rubrique </w:t>
      </w:r>
      <w:hyperlink w:anchor="366" w:history="1">
        <w:r>
          <w:rPr>
            <w:color w:val="0000EE"/>
          </w:rPr>
          <w:t>21.4 Eléments particuliers pour maçonneries</w:t>
        </w:r>
      </w:hyperlink>
      <w:r>
        <w:t xml:space="preserve"> ).</w:t>
      </w:r>
    </w:p>
    <w:p w14:paraId="7528E90C" w14:textId="77777777" w:rsidR="00DB2B68" w:rsidRDefault="00000000">
      <w:pPr>
        <w:pStyle w:val="Author-eListParagraph"/>
        <w:numPr>
          <w:ilvl w:val="0"/>
          <w:numId w:val="13"/>
        </w:numPr>
      </w:pPr>
      <w:r>
        <w:t xml:space="preserve">Les cimentages étanches et/ou les cuvelages étanches seront, en principe, comptés  dans le poste distinct selon la rubrique </w:t>
      </w:r>
      <w:hyperlink w:anchor="359" w:history="1">
        <w:r>
          <w:rPr>
            <w:color w:val="0000EE"/>
          </w:rPr>
          <w:t>26.12 Traitements d'étanchéisation</w:t>
        </w:r>
      </w:hyperlink>
      <w:r>
        <w:t>.</w:t>
      </w:r>
    </w:p>
    <w:p w14:paraId="3D8177DB" w14:textId="77777777" w:rsidR="00DB2B68" w:rsidRDefault="00000000">
      <w:pPr>
        <w:pStyle w:val="Author-eListParagraph"/>
        <w:numPr>
          <w:ilvl w:val="0"/>
          <w:numId w:val="14"/>
        </w:numPr>
      </w:pPr>
      <w:r>
        <w:t xml:space="preserve">Les linteaux et/ou les autres éléments de structure en béton armé ou en acier qui ne sont pas explicitement comptés dans un poste séparé du métré récapitulatif sous le chapitre </w:t>
      </w:r>
      <w:hyperlink w:anchor="87" w:history="1">
        <w:r>
          <w:rPr>
            <w:color w:val="0000EE"/>
          </w:rPr>
          <w:t>22 Superstructures en béton</w:t>
        </w:r>
      </w:hyperlink>
      <w:r>
        <w:t xml:space="preserve"> ou le chapitre </w:t>
      </w:r>
      <w:hyperlink w:anchor="349" w:history="1">
        <w:r>
          <w:rPr>
            <w:color w:val="0000EE"/>
          </w:rPr>
          <w:t>23 Superstructures métalliques</w:t>
        </w:r>
      </w:hyperlink>
      <w:r>
        <w:t>, sont compris dans le prix unitaire des postes.</w:t>
      </w:r>
    </w:p>
    <w:p w14:paraId="2ADFE833" w14:textId="77777777" w:rsidR="00DB2B68" w:rsidRDefault="00000000">
      <w:pPr>
        <w:pStyle w:val="Author-eListParagraph"/>
        <w:numPr>
          <w:ilvl w:val="0"/>
          <w:numId w:val="15"/>
        </w:numPr>
      </w:pPr>
      <w:r>
        <w:t xml:space="preserve">Le prix des crochets de mur et les dispositifs d'étanchéité en vue de l'écoulement des eaux de pluie et de condensation dans les murs à coulisse sont compris dans le </w:t>
      </w:r>
      <w:hyperlink w:anchor="381" w:history="1">
        <w:r>
          <w:rPr>
            <w:color w:val="0000EE"/>
          </w:rPr>
          <w:t>21.3 Maçonneries de parement</w:t>
        </w:r>
      </w:hyperlink>
    </w:p>
    <w:p w14:paraId="6ADBA59F" w14:textId="77777777" w:rsidR="00DB2B68" w:rsidRDefault="00000000">
      <w:pPr>
        <w:pStyle w:val="pheading"/>
      </w:pPr>
      <w:r>
        <w:t>MATÉRIAUX</w:t>
      </w:r>
    </w:p>
    <w:p w14:paraId="076DAE57" w14:textId="77777777" w:rsidR="00DB2B68" w:rsidRDefault="00000000">
      <w:r>
        <w:t>Les matériaux sont conformes aux normes européennes 'produit' (marquage CE). Les matériaux et/ou leur mise en œuvre sont couverts par une déclaration d'aptitude à l'utilisation décrite à l'article 02.42.1 Critères d'acceptabilité</w:t>
      </w:r>
    </w:p>
    <w:p w14:paraId="15C5F089" w14:textId="77777777" w:rsidR="00DB2B68" w:rsidRDefault="00000000">
      <w:pPr>
        <w:spacing w:line="259" w:lineRule="auto"/>
      </w:pPr>
      <w:r>
        <w:rPr>
          <w:rStyle w:val="normalChar"/>
          <w:color w:val="000000"/>
        </w:rPr>
        <w:t>Les spécifications type des matériaux et de la maçonnerie sont détaillées dans les STS 22 qui constituent la référence en Belgique.</w:t>
      </w:r>
    </w:p>
    <w:p w14:paraId="65A982B2" w14:textId="77777777" w:rsidR="00DB2B68" w:rsidRDefault="00000000">
      <w:pPr>
        <w:spacing w:line="259" w:lineRule="auto"/>
      </w:pPr>
      <w:r>
        <w:rPr>
          <w:rStyle w:val="normalChar"/>
          <w:color w:val="000000"/>
        </w:rPr>
        <w:t>Des alternatives ne sont pas exclues : blocs de chanvre, de plâtre, briques de récupération, mousse-colle PU,… : voir élément spécifique.</w:t>
      </w:r>
    </w:p>
    <w:p w14:paraId="3307D915" w14:textId="77777777" w:rsidR="00DB2B68" w:rsidRDefault="00000000">
      <w:r>
        <w:t>Les attestations et le certificat d'origine sont joints à chaque livraison de matériaux.</w:t>
      </w:r>
    </w:p>
    <w:p w14:paraId="4F1FBC1E" w14:textId="77777777" w:rsidR="00DB2B68" w:rsidRDefault="00000000">
      <w:pPr>
        <w:spacing w:line="259" w:lineRule="auto"/>
      </w:pPr>
      <w:r>
        <w:rPr>
          <w:rStyle w:val="normalChar"/>
          <w:color w:val="000000"/>
        </w:rPr>
        <w:t>MAÇONNERIE PORTANTE</w:t>
      </w:r>
    </w:p>
    <w:p w14:paraId="0F809B4D" w14:textId="77777777" w:rsidR="00DB2B68" w:rsidRDefault="00000000">
      <w:pPr>
        <w:spacing w:line="259" w:lineRule="auto"/>
      </w:pPr>
      <w:r>
        <w:rPr>
          <w:rStyle w:val="normalChar"/>
          <w:color w:val="000000"/>
        </w:rPr>
        <w:t>Les performances mécaniques (résistance à la compression) des éléments de maçonnerie et des mortiers sera toujours en rapport avec les différentes charges des planchers, l'épaisseur des murs, les différents types de sollicitation, la masse volumique de la maçonnerie et le nombre d'étage et ce, conformément aux méthodes de calcul de la [NBN EN 1996-1-2 ANB] et la [STS 22 série].</w:t>
      </w:r>
    </w:p>
    <w:p w14:paraId="53D288A0" w14:textId="77777777" w:rsidR="00DB2B68" w:rsidRDefault="00000000">
      <w:pPr>
        <w:spacing w:line="259" w:lineRule="auto"/>
      </w:pPr>
      <w:r>
        <w:rPr>
          <w:rStyle w:val="normalChar"/>
          <w:color w:val="000000"/>
        </w:rPr>
        <w:t>Conformément au cahier spécial des charges et/ou à défaut de critères de performance univoques, l'entrepreneur établira lui-même et sous sa seule responsabilité, le choix des éléments. Ce choix dépendra également du domaine d'application et devra se faire en concertation avec le fabricant des éléments et l'auteur de projet.</w:t>
      </w:r>
    </w:p>
    <w:p w14:paraId="4ED0500B" w14:textId="77777777" w:rsidR="00DB2B68" w:rsidRDefault="00000000">
      <w:r>
        <w:rPr>
          <w:rStyle w:val="headingChar"/>
        </w:rPr>
        <w:t>Eléments De Maçonnerie</w:t>
      </w:r>
    </w:p>
    <w:p w14:paraId="289BA1BF" w14:textId="77777777" w:rsidR="00DB2B68" w:rsidRDefault="00000000">
      <w:r>
        <w:t xml:space="preserve">Les éléments de maçonnerie visés par le domaine d'application de l'Eurocode 6 et de ses annexes nationales (normes [NBN EN 1996 série] et par la [STS 22 série] sont de </w:t>
      </w:r>
      <w:r>
        <w:rPr>
          <w:b/>
        </w:rPr>
        <w:t>différentes natures</w:t>
      </w:r>
      <w:r>
        <w:t xml:space="preserve"> :</w:t>
      </w:r>
    </w:p>
    <w:p w14:paraId="7598D781" w14:textId="77777777" w:rsidR="00DB2B68" w:rsidRDefault="00000000">
      <w:pPr>
        <w:pStyle w:val="Author-eListParagraph"/>
        <w:numPr>
          <w:ilvl w:val="0"/>
          <w:numId w:val="16"/>
        </w:numPr>
      </w:pPr>
      <w:r>
        <w:t>éléments en terre cuite : [NBN EN 771-1+A1], [PTV 23-002], [PTV 23-003]</w:t>
      </w:r>
    </w:p>
    <w:p w14:paraId="039055C5" w14:textId="77777777" w:rsidR="00DB2B68" w:rsidRDefault="00000000">
      <w:pPr>
        <w:pStyle w:val="Author-eListParagraph"/>
        <w:numPr>
          <w:ilvl w:val="0"/>
          <w:numId w:val="16"/>
        </w:numPr>
      </w:pPr>
      <w:r>
        <w:t>éléments silico-calcaires : [NBN EN 771-2+A1], [PTV 21-003]</w:t>
      </w:r>
    </w:p>
    <w:p w14:paraId="53371B3D" w14:textId="77777777" w:rsidR="00DB2B68" w:rsidRDefault="00000000">
      <w:pPr>
        <w:pStyle w:val="Author-eListParagraph"/>
        <w:numPr>
          <w:ilvl w:val="0"/>
          <w:numId w:val="16"/>
        </w:numPr>
      </w:pPr>
      <w:r>
        <w:t>éléments en béton [NBN EN 771-3+A1], [PTV 21-001]</w:t>
      </w:r>
    </w:p>
    <w:p w14:paraId="041CE79A" w14:textId="77777777" w:rsidR="00DB2B68" w:rsidRDefault="00000000">
      <w:pPr>
        <w:pStyle w:val="Author-eListParagraph"/>
        <w:numPr>
          <w:ilvl w:val="0"/>
          <w:numId w:val="16"/>
        </w:numPr>
      </w:pPr>
      <w:r>
        <w:lastRenderedPageBreak/>
        <w:t>éléments en béton cellulaire autoclavé : [NBN EN 771-4+A1], [PTV 21-002]</w:t>
      </w:r>
    </w:p>
    <w:p w14:paraId="63EDBCC2" w14:textId="77777777" w:rsidR="00DB2B68" w:rsidRDefault="00000000">
      <w:pPr>
        <w:pStyle w:val="Author-eListParagraph"/>
        <w:numPr>
          <w:ilvl w:val="0"/>
          <w:numId w:val="16"/>
        </w:numPr>
      </w:pPr>
      <w:r>
        <w:t>éléments en pierre naturelle [NBN EN 771-6+A1].</w:t>
      </w:r>
    </w:p>
    <w:p w14:paraId="326F590F" w14:textId="77777777" w:rsidR="00DB2B68" w:rsidRDefault="00000000">
      <w:r>
        <w:t>On dénomme « brique » :</w:t>
      </w:r>
      <w:r>
        <w:br/>
        <w:t>- tous les éléments en terre cuite à l’exception des blocs treillis (« snelbouw »)</w:t>
      </w:r>
      <w:r>
        <w:br/>
        <w:t>- tous les éléments en béton d’une largeur inférieure à 14 cm</w:t>
      </w:r>
      <w:r>
        <w:br/>
        <w:t>- tous les éléments en silico-calcaires manipulables avec une seule main ; actuellement, on ne produit plus de brique silico-calcaire en Belgique.</w:t>
      </w:r>
    </w:p>
    <w:p w14:paraId="74B87494" w14:textId="77777777" w:rsidR="00DB2B68" w:rsidRDefault="00000000">
      <w:r>
        <w:br/>
        <w:t>On dénomme « blocs » :</w:t>
      </w:r>
      <w:r>
        <w:br/>
        <w:t>- les éléments en terre cuite du type blocs treillis (« snelbouw »)</w:t>
      </w:r>
      <w:r>
        <w:br/>
        <w:t>- tous les éléments en béton dont la largeur est supérieure ou égale à 14 cm</w:t>
      </w:r>
      <w:r>
        <w:br/>
        <w:t>- tous les éléments en silico-calcaires qui ne sont pas manipulables avec une seule main.</w:t>
      </w:r>
    </w:p>
    <w:p w14:paraId="635D53B1" w14:textId="77777777" w:rsidR="00DB2B68" w:rsidRDefault="00000000">
      <w:r>
        <w:t>Concernant les éléments en pierre naturelle :</w:t>
      </w:r>
      <w:r>
        <w:br/>
        <w:t>Toutes les pierres sont exemptes de défauts de nature à compromettre leur bonne tenue dans le temps et à entraver leur utilisation. Les pierres sont saines, sonnent clair sous le coup d'un marteau de fer et sont ingélives. Elles sont débarrassées de toute gangue ou terre, ébousinées à vif et parfaitement nettoyées. Elles sont exemptes de toutes souillures comme les taches de graisse, d'huile, rouille, etc. Les pierres mises en œuvre dans une même partie d'un bâtiment ne différent pas de teinte entre elles.</w:t>
      </w:r>
      <w:r>
        <w:br/>
        <w:t>Les pierres dont l'aspect présente les caractéristiques suivantes sont refusées :</w:t>
      </w:r>
    </w:p>
    <w:p w14:paraId="0E6085F2" w14:textId="77777777" w:rsidR="00DB2B68" w:rsidRDefault="00000000">
      <w:pPr>
        <w:pStyle w:val="Author-eListParagraph"/>
        <w:numPr>
          <w:ilvl w:val="0"/>
          <w:numId w:val="17"/>
        </w:numPr>
      </w:pPr>
      <w:r>
        <w:t>des zones de structure schisteuse ou hétérogène ;</w:t>
      </w:r>
    </w:p>
    <w:p w14:paraId="27FF43D2" w14:textId="77777777" w:rsidR="00DB2B68" w:rsidRDefault="00000000">
      <w:pPr>
        <w:pStyle w:val="Author-eListParagraph"/>
        <w:numPr>
          <w:ilvl w:val="0"/>
          <w:numId w:val="17"/>
        </w:numPr>
      </w:pPr>
      <w:r>
        <w:t>des cavités ;</w:t>
      </w:r>
    </w:p>
    <w:p w14:paraId="06D99DE5" w14:textId="77777777" w:rsidR="00DB2B68" w:rsidRDefault="00000000">
      <w:pPr>
        <w:pStyle w:val="Author-eListParagraph"/>
        <w:numPr>
          <w:ilvl w:val="0"/>
          <w:numId w:val="17"/>
        </w:numPr>
      </w:pPr>
      <w:r>
        <w:t>des fissures, des fils ou limés blancs qui sont situés dans un parement ;</w:t>
      </w:r>
    </w:p>
    <w:p w14:paraId="658AFC0F" w14:textId="77777777" w:rsidR="00DB2B68" w:rsidRDefault="00000000">
      <w:pPr>
        <w:pStyle w:val="Author-eListParagraph"/>
        <w:numPr>
          <w:ilvl w:val="0"/>
          <w:numId w:val="17"/>
        </w:numPr>
      </w:pPr>
      <w:r>
        <w:t>des stylolites qui sont situés à moins de 2 cm d'une face saillante rejointoyée, à moins de 4 cm d'une arête saillante non rejointoyée ou dans les faces des plaques minces (moins de 5 cm d'épaisseur) ;</w:t>
      </w:r>
    </w:p>
    <w:p w14:paraId="1FF4A930" w14:textId="77777777" w:rsidR="00DB2B68" w:rsidRDefault="00000000">
      <w:pPr>
        <w:pStyle w:val="Author-eListParagraph"/>
        <w:numPr>
          <w:ilvl w:val="0"/>
          <w:numId w:val="17"/>
        </w:numPr>
      </w:pPr>
      <w:r>
        <w:t>des limés noirs lorsqu'ils retiennent l'eau ;</w:t>
      </w:r>
    </w:p>
    <w:p w14:paraId="080B52D5" w14:textId="77777777" w:rsidR="00DB2B68" w:rsidRDefault="00000000">
      <w:pPr>
        <w:pStyle w:val="Author-eListParagraph"/>
        <w:numPr>
          <w:ilvl w:val="0"/>
          <w:numId w:val="17"/>
        </w:numPr>
      </w:pPr>
      <w:r>
        <w:t>de taches blanches d'une superficie supérieure à 1 dm2 ou d'une superficie supérieure à 20 % de la face de parement visible de la pierre ;</w:t>
      </w:r>
    </w:p>
    <w:p w14:paraId="3575784A" w14:textId="77777777" w:rsidR="00DB2B68" w:rsidRDefault="00000000">
      <w:pPr>
        <w:pStyle w:val="Author-eListParagraph"/>
        <w:numPr>
          <w:ilvl w:val="0"/>
          <w:numId w:val="17"/>
        </w:numPr>
      </w:pPr>
      <w:r>
        <w:t>des parties tendres et des fossiles non adhérents.</w:t>
      </w:r>
    </w:p>
    <w:p w14:paraId="76949096" w14:textId="77777777" w:rsidR="00DB2B68" w:rsidRDefault="00000000">
      <w:r>
        <w:t>Il est interdit d'utiliser un mastic ou toute autre pâte de jointoiement pour cacher les défauts</w:t>
      </w:r>
    </w:p>
    <w:p w14:paraId="3C7BC54D" w14:textId="77777777" w:rsidR="00DB2B68" w:rsidRDefault="00000000">
      <w:r>
        <w:rPr>
          <w:rStyle w:val="headingChar"/>
        </w:rPr>
        <w:t>Produits De Pose</w:t>
      </w:r>
    </w:p>
    <w:p w14:paraId="734CE9B8" w14:textId="77777777" w:rsidR="00DB2B68" w:rsidRDefault="00000000">
      <w:r>
        <w:t>Les mortiers sont utilisés suivant les prescriptions de la [STS 22 série] et choisis en fonction des éléments de maçonnerie à assembler</w:t>
      </w:r>
      <w:r>
        <w:rPr>
          <w:rStyle w:val="normalChar"/>
          <w:color w:val="000000"/>
        </w:rPr>
        <w:t xml:space="preserve"> et de l’exposition (.apte à l’usage en extérieur et compatible avec l’élément de maçonnerie).</w:t>
      </w:r>
    </w:p>
    <w:p w14:paraId="68AF345F" w14:textId="77777777" w:rsidR="00DB2B68" w:rsidRDefault="00000000">
      <w:r>
        <w:rPr>
          <w:b/>
        </w:rPr>
        <w:t>MORTIERS DE MAÇONNERIE MANUFACTURÉS</w:t>
      </w:r>
    </w:p>
    <w:p w14:paraId="24791C85" w14:textId="77777777" w:rsidR="00DB2B68" w:rsidRDefault="00000000">
      <w:r>
        <w:t>La norme [NBN EN 998-2] et le [PTV 651] définissent les mortiers de montage comme « un mélange composé d'un ou de plusieurs liants inorganiques (minéraux), de granulats, d’eau et parfois d’additions et/ou d'adjuvants, et destiné au hourdage, au jointoiement et au rejointoiement d'éléments en maçonnerie ».</w:t>
      </w:r>
    </w:p>
    <w:p w14:paraId="5547E565" w14:textId="77777777" w:rsidR="00DB2B68" w:rsidRDefault="00000000">
      <w:r>
        <w:rPr>
          <w:b/>
        </w:rPr>
        <w:t>MORTIERS DE MAÇONNERIE DOSÉS IN SITU</w:t>
      </w:r>
    </w:p>
    <w:p w14:paraId="42382DAE" w14:textId="77777777" w:rsidR="00DB2B68" w:rsidRDefault="00000000">
      <w:r>
        <w:rPr>
          <w:b/>
        </w:rPr>
        <w:t>Constituants</w:t>
      </w:r>
    </w:p>
    <w:p w14:paraId="003D4BD3" w14:textId="77777777" w:rsidR="00DB2B68" w:rsidRDefault="00000000">
      <w:r>
        <w:t>Le ciment est conforme aux spécifications de la norme </w:t>
      </w:r>
      <w:r>
        <w:rPr>
          <w:shd w:val="clear" w:color="auto" w:fill="FFFFFF"/>
        </w:rPr>
        <w:t xml:space="preserve">[NBN EN 413-1] ou de la norme [NBN EN 197-1]. </w:t>
      </w:r>
      <w:r>
        <w:t xml:space="preserve">La chaux est conforme aux spécifications de la norme </w:t>
      </w:r>
      <w:r>
        <w:rPr>
          <w:shd w:val="clear" w:color="auto" w:fill="FFFFFF"/>
        </w:rPr>
        <w:t xml:space="preserve">[NBN EN 459-1]. </w:t>
      </w:r>
    </w:p>
    <w:p w14:paraId="4A928870" w14:textId="77777777" w:rsidR="00DB2B68" w:rsidRDefault="00000000">
      <w:r>
        <w:t xml:space="preserve">Le granulat est conforme aux spécifications de la norme </w:t>
      </w:r>
      <w:r>
        <w:rPr>
          <w:shd w:val="clear" w:color="auto" w:fill="FFFFFF"/>
        </w:rPr>
        <w:t>[NBN EN 13139]</w:t>
      </w:r>
      <w:r>
        <w:t>. La classe granulaire d/D est 0/2 mm. La teneur en fines (fraction inférieure à 0,063 mm) est limitée (refus cumulé de 100%).</w:t>
      </w:r>
    </w:p>
    <w:p w14:paraId="7288FFA9" w14:textId="77777777" w:rsidR="00DB2B68" w:rsidRDefault="00000000">
      <w:r>
        <w:t xml:space="preserve">Au sein de la classe granulaire, on distingue les gros granulats (G), les granulats moyens (M) et les granulats fins (F). Afin de les distinguer, le module de finesse (FM) peut être exprimé (somme des </w:t>
      </w:r>
      <w:r>
        <w:lastRenderedPageBreak/>
        <w:t>pourcentages cumulés en masse des refus sur la série suivante de tamis (mm), exprimée en pourcentage : 4, 2, 1, 0,5, 0,25, 0,125. Cette définition du FM est identique selon la [NBN EN 13139] et la [NIT 208]). On se base sur les recommandations de l'une ou l'autre pour le choix du granulat en fonction de l'utilisation. </w:t>
      </w:r>
    </w:p>
    <w:p w14:paraId="0CC4EFDB" w14:textId="77777777" w:rsidR="00DB2B68" w:rsidRDefault="00000000">
      <w:r>
        <w:t>En particulier, les sables gras ou argileux ainsi que les sables fins sont fortement déconseillés et absolument interdits pour les ouvrages de maçonnerie enterrée. Les granulats fins ne sont pas autorisés en maçonnerie non protégée. Le sable ne peut pas contenir plus de 0,5% de matières organiques et doit être exempt de substances solubles et non-solubles telles que les restes d'argile, sulfates, sels de fer. Il doit en outre être stocké de manière à ne pas pouvoir être souillé par d'autres substances.</w:t>
      </w:r>
    </w:p>
    <w:p w14:paraId="7A3268F7" w14:textId="77777777" w:rsidR="00DB2B68" w:rsidRDefault="00000000">
      <w:r>
        <w:rPr>
          <w:shd w:val="clear" w:color="auto" w:fill="FFFFFF"/>
        </w:rPr>
        <w:t>Attention : Pour les maçonneries en briques de terre cuite le module de finesse de sable est compris entre 1 et 1,9 (entre autres en fonction du taux initial d'absorption d'eau (IRA - IW)); lorsque ce dernier est supérieur ou égal à 5, le module de finesse du sable doit au moins être égal à 1,4</w:t>
      </w:r>
      <w:r>
        <w:t>. L'eau de gâchage s'élève entre 30 et 35% du volume mis en œuvre et ne peut pas être souillée par des matières organiques, des acides, sels, alcalis, sucres, déchets industriels ou autres qui peuvent nuire à la résistance ou à la durabilité du mortier.</w:t>
      </w:r>
    </w:p>
    <w:p w14:paraId="7AF1C5B6" w14:textId="77777777" w:rsidR="00DB2B68" w:rsidRDefault="00000000">
      <w:r>
        <w:t>Les adjuvants (entraîneurs d'air, plastifiants, agents de dispersion, …) sont uniquement autorisés sous réserve, moyennant accord de l'auteur de projet et/ou du bureau d'étude. Leur utilisation et le dosage correct doivent satisfaire aux directives du fournisseur et aux normes de la série [NBN EN 934-1]]. </w:t>
      </w:r>
    </w:p>
    <w:p w14:paraId="283ACC3B" w14:textId="77777777" w:rsidR="00DB2B68" w:rsidRDefault="00000000">
      <w:r>
        <w:rPr>
          <w:b/>
        </w:rPr>
        <w:t>Composition</w:t>
      </w:r>
    </w:p>
    <w:p w14:paraId="72B9C9AC" w14:textId="77777777" w:rsidR="00DB2B68" w:rsidRDefault="00000000">
      <w:r>
        <w:t xml:space="preserve">L'entrepreneur adapte la composition du mortier et le choix des adjuvants en fonction des caractéristiques (résistance à la compression, porosité, dureté, …) des éléments de maçonnerie et de la résistance requise pour l'ouvrage de maçonnerie. Il endosse l'entière responsabilité de ces choix. L'influence de la qualité du mortier sur la résistance d'un ouvrage de maçonnerie est d'autant plus importante que le rapport entre les joints et les briques est élevé. En cas de doute au sujet de la force portante totale de l'ouvrage en maçonnerie dans son ensemble, celle-ci peut être testée sur des murets selon la </w:t>
      </w:r>
      <w:r>
        <w:rPr>
          <w:shd w:val="clear" w:color="auto" w:fill="FFFFFF"/>
        </w:rPr>
        <w:t>[NBN EN 1052-1]. Les essais sont effectués suivant le cahier spécial des charges et l</w:t>
      </w:r>
      <w:r>
        <w:rPr>
          <w:color w:val="000000"/>
          <w:shd w:val="clear" w:color="auto" w:fill="FFFFFF"/>
        </w:rPr>
        <w:t>'</w:t>
      </w:r>
      <w:r>
        <w:rPr>
          <w:shd w:val="clear" w:color="auto" w:fill="FFFFFF"/>
        </w:rPr>
        <w:t>[AR 2013-01-14] - art. 27 - Réception technique.</w:t>
      </w:r>
    </w:p>
    <w:p w14:paraId="5C7ACE4F" w14:textId="77777777" w:rsidR="00DB2B68" w:rsidRDefault="00000000">
      <w:pPr>
        <w:pStyle w:val="Author-eListParagraph"/>
        <w:numPr>
          <w:ilvl w:val="0"/>
          <w:numId w:val="18"/>
        </w:numPr>
      </w:pPr>
      <w:r>
        <w:t>Le dosage du ciment dans la composition du mortier doit se faire minutieusement : trop peu de ciment donne un mortier poreux et de faible cohésion tandis que le surdosage entraîne un mortier à retrait très élevé et à mauvaise adhérence. L'excès d'eau nuit à la qualité. En effet, le mortier devient plus poreux et durcit lentement.</w:t>
      </w:r>
    </w:p>
    <w:p w14:paraId="6E498C3B" w14:textId="77777777" w:rsidR="00DB2B68" w:rsidRDefault="00000000">
      <w:pPr>
        <w:pStyle w:val="Author-eListParagraph"/>
        <w:numPr>
          <w:ilvl w:val="0"/>
          <w:numId w:val="19"/>
        </w:numPr>
      </w:pPr>
      <w:r>
        <w:t>En raison de la multitude des paramètres d’influence, la norme [NBN EN 1996-1-2 ANB] ne prescrit pas des mélanges équivalents acceptables, décrits par la proportion des constituants, aux catégories (valeurs M) ou valeurs équivalentes de la résistance à la compression selon [NBN EN 998-2]. Elle se limite à donner une information indicative, faisant apparaître notamment que le mortier doit être adapté aux caractéristiques mécaniques des éléments de maçonnerie mis en</w:t>
      </w:r>
      <w:r>
        <w:rPr>
          <w:rStyle w:val="normalChar"/>
          <w:color w:val="000000"/>
        </w:rPr>
        <w:t xml:space="preserve"> œuvre </w:t>
      </w:r>
      <w:r>
        <w:t>(voir tableau 2.3.7 [STS 22 série])</w:t>
      </w:r>
    </w:p>
    <w:p w14:paraId="1695A3FB" w14:textId="77777777" w:rsidR="00DB2B68" w:rsidRDefault="00000000">
      <w:r>
        <w:rPr>
          <w:rStyle w:val="headingChar"/>
        </w:rPr>
        <w:t>COLLES PU UNICOMPOSANT</w:t>
      </w:r>
    </w:p>
    <w:p w14:paraId="05C08112" w14:textId="77777777" w:rsidR="00DB2B68" w:rsidRDefault="00000000">
      <w:r>
        <w:t>Les colles PU unicomposants sont des mousses colles à faible expansion.</w:t>
      </w:r>
      <w:r>
        <w:br/>
        <w:t>La colle doit répondre aux critères d’acceptabilité des produits tels que définis dans le chapitre 02.42.1 Critères d'acceptabilité.</w:t>
      </w:r>
      <w:r>
        <w:br/>
        <w:t>La documentation technique à remettre à la Direction de chantier doit garantir la compatibilité de la colle avec le type d’élément de maçonnerie proposé.</w:t>
      </w:r>
      <w:r>
        <w:br/>
        <w:t>La combinaison des éléments de maçonnerie et de la colle fait partie d’un système de construction décrit dans une déclaration d’aptitude à l’emploi.</w:t>
      </w:r>
    </w:p>
    <w:p w14:paraId="45243B72" w14:textId="77777777" w:rsidR="00DB2B68" w:rsidRDefault="00000000">
      <w:r>
        <w:rPr>
          <w:rStyle w:val="headingChar"/>
        </w:rPr>
        <w:t>Accessoires De Maçonnerie</w:t>
      </w:r>
    </w:p>
    <w:p w14:paraId="1A096F31" w14:textId="77777777" w:rsidR="00DB2B68" w:rsidRDefault="00000000">
      <w:r>
        <w:rPr>
          <w:rStyle w:val="normalChar"/>
          <w:color w:val="000000"/>
        </w:rPr>
        <w:t>Les accessoires (attaches, brides, consoles, étriers, armatures des joints, linteaux, ...) sont conformes aux spécifications des normes européennes en vigueur</w:t>
      </w:r>
      <w:r>
        <w:t xml:space="preserve"> et aux règles et principes de conception de la [NBN EN 1996 série].</w:t>
      </w:r>
    </w:p>
    <w:p w14:paraId="76FB580E" w14:textId="77777777" w:rsidR="00DB2B68" w:rsidRDefault="00000000">
      <w:r>
        <w:rPr>
          <w:rStyle w:val="normalChar"/>
          <w:color w:val="000000"/>
        </w:rPr>
        <w:lastRenderedPageBreak/>
        <w:t>Les attaches, brides de fixation, étriers de support et consoles </w:t>
      </w:r>
      <w:r>
        <w:t xml:space="preserve">répondent aux spécifications de la norme </w:t>
      </w:r>
      <w:r>
        <w:rPr>
          <w:shd w:val="clear" w:color="auto" w:fill="FFFFFF"/>
        </w:rPr>
        <w:t>[NBN EN 845-1:2013+A1]</w:t>
      </w:r>
      <w:r>
        <w:t>.</w:t>
      </w:r>
    </w:p>
    <w:p w14:paraId="236E0633" w14:textId="77777777" w:rsidR="00DB2B68" w:rsidRDefault="00000000">
      <w:pPr>
        <w:spacing w:line="259" w:lineRule="auto"/>
      </w:pPr>
      <w:r>
        <w:rPr>
          <w:rStyle w:val="normalChar"/>
          <w:color w:val="000000"/>
        </w:rPr>
        <w:t>Les linteaux répondent aux spécifications de la norme [NBN EN 845-1:2013+A1].</w:t>
      </w:r>
    </w:p>
    <w:p w14:paraId="4EF0A8C5" w14:textId="77777777" w:rsidR="00DB2B68" w:rsidRDefault="00000000">
      <w:pPr>
        <w:spacing w:line="259" w:lineRule="auto"/>
      </w:pPr>
      <w:r>
        <w:rPr>
          <w:rStyle w:val="normalChar"/>
          <w:color w:val="000000"/>
        </w:rPr>
        <w:t>Les treillis d’armature en acier pour joints horizontaux  répondent aux spécifications de la norme [NBN EN 845-3:2013+A1].</w:t>
      </w:r>
    </w:p>
    <w:p w14:paraId="01876A08" w14:textId="77777777" w:rsidR="00DB2B68" w:rsidRDefault="00000000">
      <w:pPr>
        <w:spacing w:line="259" w:lineRule="auto"/>
      </w:pPr>
      <w:r>
        <w:rPr>
          <w:rStyle w:val="normalChar"/>
          <w:color w:val="000000"/>
        </w:rPr>
        <w:t>Les accessoires sont choisis en fonction de leur nature et des classes d'exposition de la [NBN EN 1996-2 ANB].</w:t>
      </w:r>
    </w:p>
    <w:p w14:paraId="42FB6DED" w14:textId="77777777" w:rsidR="00DB2B68" w:rsidRDefault="00DB2B68"/>
    <w:p w14:paraId="42B4FFB4" w14:textId="77777777" w:rsidR="00DB2B68" w:rsidRDefault="00000000">
      <w:pPr>
        <w:pStyle w:val="pheading"/>
      </w:pPr>
      <w:r>
        <w:t>EXÉCUTION / MISE EN ŒUVRE</w:t>
      </w:r>
    </w:p>
    <w:p w14:paraId="34C28331" w14:textId="77777777" w:rsidR="00DB2B68" w:rsidRDefault="00000000">
      <w:r>
        <w:rPr>
          <w:b/>
        </w:rPr>
        <w:t>PROTECTION CONTRE L'HUMIDITÉ</w:t>
      </w:r>
    </w:p>
    <w:p w14:paraId="252FD0BC" w14:textId="77777777" w:rsidR="00DB2B68" w:rsidRDefault="00000000">
      <w:r>
        <w:t xml:space="preserve">Conformément aux règles de bonne pratique et/ou selon les indications sur les plans ou les dessins de détail, les murs sont efficacement protégés contre l'humidité ascendante ou d'infiltration. En plus des méthodes courantes de cimentage et d'enduisage étanche décrites dans les notes d'exécution complémentaires, des méthodes de cuvelage plus appropriées peuvent être reprises sous la rubrique </w:t>
      </w:r>
      <w:hyperlink w:anchor="359" w:history="1">
        <w:r>
          <w:rPr>
            <w:color w:val="0000EE"/>
          </w:rPr>
          <w:t>26.12 Traitements d'étanchéisation</w:t>
        </w:r>
      </w:hyperlink>
      <w:r>
        <w:t xml:space="preserve"> .</w:t>
      </w:r>
    </w:p>
    <w:p w14:paraId="36677F49" w14:textId="77777777" w:rsidR="00DB2B68" w:rsidRDefault="00000000">
      <w:r>
        <w:rPr>
          <w:b/>
        </w:rPr>
        <w:t>LIAISONNEMENTS ET ANCRAGES</w:t>
      </w:r>
    </w:p>
    <w:p w14:paraId="3B8AD5D5" w14:textId="77777777" w:rsidR="00DB2B68" w:rsidRDefault="00000000">
      <w:r>
        <w:t>Les éléments de liaison et d'ancrage des ouvrages de maçonnerie entre eux et/ou à d'autres éléments de la construction doivent satisfaire aux principes d'exécution exposés dans les [STS 22 série] et la [NIT 271]. Les échantillons des matériaux de liaison et d'ancrage sont préalablement soumis à l'approbation de l'auteur de projet</w:t>
      </w:r>
    </w:p>
    <w:p w14:paraId="583A1CB3" w14:textId="77777777" w:rsidR="00DB2B68" w:rsidRDefault="00000000">
      <w:r>
        <w:t>Les murs attenants sont liaisonnés aux murs continus :</w:t>
      </w:r>
    </w:p>
    <w:p w14:paraId="486BF471" w14:textId="77777777" w:rsidR="00DB2B68" w:rsidRDefault="00000000">
      <w:pPr>
        <w:pStyle w:val="Author-eListParagraph"/>
        <w:numPr>
          <w:ilvl w:val="0"/>
          <w:numId w:val="20"/>
        </w:numPr>
      </w:pPr>
      <w:r>
        <w:rPr>
          <w:u w:val="single"/>
        </w:rPr>
        <w:t>en appareil</w:t>
      </w:r>
      <w:r>
        <w:t>.</w:t>
      </w:r>
    </w:p>
    <w:p w14:paraId="708D5EBA" w14:textId="77777777" w:rsidR="00DB2B68" w:rsidRDefault="00000000">
      <w:pPr>
        <w:pStyle w:val="Author-eListParagraph"/>
        <w:numPr>
          <w:ilvl w:val="0"/>
          <w:numId w:val="20"/>
        </w:numPr>
      </w:pPr>
      <w:r>
        <w:rPr>
          <w:u w:val="single"/>
        </w:rPr>
        <w:t>à l'aide de fers à béton</w:t>
      </w:r>
      <w:r>
        <w:t xml:space="preserve"> de 6 cm de diamètre, insérés dans les joints des murs continus. Ces armatures de liaison sont placées tous les 60 cm sur une longueur de minimum 50 cm dans les deux murs. Dans le mur attenant, elles sont alternativement posées à gauche et à droite.</w:t>
      </w:r>
    </w:p>
    <w:p w14:paraId="7A77F0F0" w14:textId="77777777" w:rsidR="00DB2B68" w:rsidRDefault="00000000">
      <w:pPr>
        <w:pStyle w:val="Author-eListParagraph"/>
        <w:numPr>
          <w:ilvl w:val="0"/>
          <w:numId w:val="20"/>
        </w:numPr>
      </w:pPr>
      <w:r>
        <w:rPr>
          <w:u w:val="single"/>
        </w:rPr>
        <w:t>à l'aide d'armatures transversales</w:t>
      </w:r>
      <w:r>
        <w:t xml:space="preserve"> en forme de diagonale, constituées d'un treillis préfabriqué sur la base de deux barres longitudinales profilées ou d'un système équivalent, incorporé dans les joints du mur continu. Une armature similaire est placée dans les joints du mur attenant. Les armatures présentent une longueur de 50 cm à partir du point d'intersection, dans tous les sens. On prévoit au moins 2 armatures par mètre de hauteur.</w:t>
      </w:r>
    </w:p>
    <w:p w14:paraId="666332A1" w14:textId="77777777" w:rsidR="00DB2B68" w:rsidRDefault="00000000">
      <w:pPr>
        <w:pStyle w:val="Author-eListParagraph"/>
        <w:numPr>
          <w:ilvl w:val="0"/>
          <w:numId w:val="20"/>
        </w:numPr>
      </w:pPr>
      <w:r>
        <w:rPr>
          <w:u w:val="single"/>
        </w:rPr>
        <w:t>à l'aide de fers feuillards galvanisés</w:t>
      </w:r>
      <w:r>
        <w:t xml:space="preserve"> de 40 x 2 mm et d'environ 35 cm de longueur qui sont cloués tous les 60 cm dans les joints longitudinaux à l'aide clous galvanisés de 8 cm de longueur.</w:t>
      </w:r>
    </w:p>
    <w:p w14:paraId="069A25AE" w14:textId="77777777" w:rsidR="00DB2B68" w:rsidRDefault="00000000">
      <w:r>
        <w:t>Les colonnes en béton sont liaisonnées mécaniquement à la maçonnerie, tous les 60 cm. Les murs sont liaisonnés à l'ossature en béton à l'aide de feuillards de 40 x 2 mm, insérés dans les joints de la maçonnerie sur une distance d'environ 50 cm et placés tous les 60 cm de hauteur.</w:t>
      </w:r>
    </w:p>
    <w:p w14:paraId="62A439DC" w14:textId="77777777" w:rsidR="00DB2B68" w:rsidRDefault="00000000">
      <w:r>
        <w:t>Tous les autres éléments de structure sont liaisonnés à la maçonnerie à l'aide des ancrages appropriés. Leur écartement ne dépasse pas 60 cm.</w:t>
      </w:r>
    </w:p>
    <w:p w14:paraId="514C88DC" w14:textId="77777777" w:rsidR="00DB2B68" w:rsidRDefault="00000000">
      <w:r>
        <w:t>Ancrage des murs aux constructions existantes : en principe, les murs sont liaisonnés en appareil dans les murs existants. Si cela s'avère impossible, une bande d'ancrage est insérée dans la maçonnerie tous les 50 cm et ancrée dans la construction existante. Des ancrages analogues seront posés tous les 50 cm, horizontalement et verticalement, entre les deux parties d'un mur, composé de deux fois une demi-brique.</w:t>
      </w:r>
    </w:p>
    <w:p w14:paraId="002B34E5" w14:textId="77777777" w:rsidR="00DB2B68" w:rsidRDefault="00000000">
      <w:r>
        <w:t>Pour le liaisonnement entre les murs non porteurs et les planchers et s'il existe un risque de fissuration et de fendillement, il faut tenir compte des mesures à prendre telles qu'elles sont proposées dans les [STS 22 série] et la [NIT 271].</w:t>
      </w:r>
    </w:p>
    <w:p w14:paraId="1498E7EC" w14:textId="77777777" w:rsidR="00DB2B68" w:rsidRDefault="00000000">
      <w:r>
        <w:t>Les murs isolés sont étayés afin de résister aux sollicitations du vent.</w:t>
      </w:r>
    </w:p>
    <w:p w14:paraId="4905FB16" w14:textId="77777777" w:rsidR="00DB2B68" w:rsidRDefault="00000000">
      <w:r>
        <w:rPr>
          <w:b/>
        </w:rPr>
        <w:t>REPRISE DES SOLLICITATIONS VERTICALES - APPUIS POUR HOURDIS ET LINTEAUX</w:t>
      </w:r>
    </w:p>
    <w:p w14:paraId="057E659A" w14:textId="77777777" w:rsidR="00DB2B68" w:rsidRDefault="00000000">
      <w:r>
        <w:lastRenderedPageBreak/>
        <w:t>L'appui des planchers et des linteaux est exécuté conformément aux [STS 22 série] et à la [NIT 271].</w:t>
      </w:r>
    </w:p>
    <w:p w14:paraId="5D0C6C22" w14:textId="77777777" w:rsidR="00DB2B68" w:rsidRDefault="00000000">
      <w:r>
        <w:t>Les murs ne peuvent pas être mis en charge avant d'avoir atteint une résistance suffisante.</w:t>
      </w:r>
    </w:p>
    <w:p w14:paraId="409D2E1E" w14:textId="77777777" w:rsidR="00DB2B68" w:rsidRDefault="00000000">
      <w:pPr>
        <w:pStyle w:val="Author-eListParagraph"/>
        <w:numPr>
          <w:ilvl w:val="0"/>
          <w:numId w:val="21"/>
        </w:numPr>
      </w:pPr>
      <w:r>
        <w:t>Le temps d'attente avant de pouvoir poser une charge uniformément répartie sur les ouvrages en maçonnerie est de 16 heures (dans des conditions normales pour le mortier de maçonnerie).</w:t>
      </w:r>
    </w:p>
    <w:p w14:paraId="68FEFF9A" w14:textId="77777777" w:rsidR="00DB2B68" w:rsidRDefault="00000000">
      <w:pPr>
        <w:pStyle w:val="Author-eListParagraph"/>
        <w:numPr>
          <w:ilvl w:val="0"/>
          <w:numId w:val="21"/>
        </w:numPr>
      </w:pPr>
      <w:r>
        <w:t>Le temps d'attente avant de pouvoir poser une charge ponctuelle sur un ouvrage de maçonnerie est de 24 heures (dans des conditions normales pour le mortier de maçonnerie).</w:t>
      </w:r>
    </w:p>
    <w:p w14:paraId="19A09475" w14:textId="77777777" w:rsidR="00DB2B68" w:rsidRDefault="00000000">
      <w:r>
        <w:t>Il est hors de question d'utiliser les murs non porteurs comme coffrage pour les éléments porteurs. Les murs non porteurs ne peuvent être maçonnés que lorsque les éléments porteurs ont été décoffrés.</w:t>
      </w:r>
    </w:p>
    <w:p w14:paraId="406C1A5B" w14:textId="77777777" w:rsidR="00DB2B68" w:rsidRDefault="00000000">
      <w:r>
        <w:t xml:space="preserve">La longueur d'appui des linteaux de portes et fenêtres (préfabriqués ou non) est calculée en fonction des charges et est d'au moins </w:t>
      </w:r>
      <w:r>
        <w:rPr>
          <w:rStyle w:val="normalChar"/>
          <w:color w:val="000000"/>
        </w:rPr>
        <w:t>10 cm, voire 20 cm en cas de sollicitations sismiques</w:t>
      </w:r>
      <w:r>
        <w:t xml:space="preserve">. Le bord de l'appui reste au moins 40 mm en retrait de la battée de la baie (voir également </w:t>
      </w:r>
      <w:hyperlink w:anchor="360" w:history="1">
        <w:r>
          <w:rPr>
            <w:color w:val="0000EE"/>
          </w:rPr>
          <w:t>22.13 Linteaux en béton</w:t>
        </w:r>
      </w:hyperlink>
      <w:r>
        <w:t xml:space="preserve"> ou </w:t>
      </w:r>
      <w:hyperlink w:anchor="403" w:history="1">
        <w:r>
          <w:rPr>
            <w:color w:val="0000EE"/>
          </w:rPr>
          <w:t>23.13 Linteaux métalliques</w:t>
        </w:r>
      </w:hyperlink>
      <w:r>
        <w:t>.</w:t>
      </w:r>
    </w:p>
    <w:p w14:paraId="0E3BE456" w14:textId="77777777" w:rsidR="00DB2B68" w:rsidRDefault="00000000">
      <w:r>
        <w:t>Les linteaux dans la maçonnerie en béton cellulaire autoclavé et en briques silico-calcaires sont posés en indépendance avec interposition, par exemple, d'une couche de feutre bitumé. L'appui est réalisé à l'aide d'un joint en matériau élastique insensible à l'humidité et imputrescible.</w:t>
      </w:r>
    </w:p>
    <w:p w14:paraId="2AB37177" w14:textId="77777777" w:rsidR="00DB2B68" w:rsidRDefault="00000000">
      <w:r>
        <w:t>Dans le cas de charges ponctuelles lourdes et/ou lorsque les poutres s'appuient perpendiculairement au mur, la charge concentrée doit être efficacement répartie sur la maçonnerie, soit à l'aide d'une poutre de répartition, soit en remplissant les briques creuses ou en les remplaçant par des briques pleines ou perforées.</w:t>
      </w:r>
    </w:p>
    <w:p w14:paraId="41149AE0" w14:textId="77777777" w:rsidR="00DB2B68" w:rsidRDefault="00000000">
      <w:r>
        <w:t>Les charges de plancher sont centrées dans l'axe de la surface d'appui; ainsi, la longueur d'appui des hourdis préfabriqués est d'au moins 7 cm; soit au moins la moitié de l'épaisseur de la dalle de sol armée. La longueur d'appui des prédalles est d'au moins 5 cm. La profondeur de l'appui est augmentée de 2 cm.</w:t>
      </w:r>
    </w:p>
    <w:p w14:paraId="4E866980" w14:textId="77777777" w:rsidR="00DB2B68" w:rsidRDefault="00000000">
      <w:pPr>
        <w:pStyle w:val="Author-eListParagraph"/>
        <w:numPr>
          <w:ilvl w:val="0"/>
          <w:numId w:val="22"/>
        </w:numPr>
      </w:pPr>
      <w:r>
        <w:t>pour les portées de plus de 5 mètres et/ou lorsqu'on peut s'attendre à un fléchissement à long terme ;</w:t>
      </w:r>
    </w:p>
    <w:p w14:paraId="158A4372" w14:textId="77777777" w:rsidR="00DB2B68" w:rsidRDefault="00000000">
      <w:pPr>
        <w:pStyle w:val="Author-eListParagraph"/>
        <w:numPr>
          <w:ilvl w:val="0"/>
          <w:numId w:val="22"/>
        </w:numPr>
      </w:pPr>
      <w:r>
        <w:t>pour les appuis sur les murs en matériaux de maçonnerie légers.</w:t>
      </w:r>
    </w:p>
    <w:p w14:paraId="744A2E20" w14:textId="77777777" w:rsidR="00DB2B68" w:rsidRDefault="00000000">
      <w:r>
        <w:rPr>
          <w:b/>
        </w:rPr>
        <w:t>CROCHETS DE MUR</w:t>
      </w:r>
    </w:p>
    <w:p w14:paraId="5CD866ED" w14:textId="77777777" w:rsidR="00DB2B68" w:rsidRDefault="00000000">
      <w:r>
        <w:t>Le diamètre des crochets et leur longueur sont tels qu'</w:t>
      </w:r>
      <w:r>
        <w:rPr>
          <w:rStyle w:val="normalChar"/>
          <w:color w:val="000000"/>
        </w:rPr>
        <w:t>ils respectent les spécifications normatives (longueur d’ancrage minimale à respecter)</w:t>
      </w:r>
      <w:r>
        <w:t>. Ils sont toujours pourvus d'un rejet d'eau qui se trouve dans la coulisse du mur creux. Pour les murs à coulisse partiellement isolée, les crochets sont pourvus d'une rosette synthétique (rondelle en matière plastique) fixée solidement afin de bien maintenir l'isolation en place. Lorsque le mur de contre-façade / l'isolation / la maçonnerie de parement doit être érigé en trois phases distinctes, on peut également, moyennant l'accord de l'auteur de projet, utiliser des chevilles d'ancrage appropriées, qui sont chassées dans la maçonnerie de contre-façade.</w:t>
      </w:r>
    </w:p>
    <w:p w14:paraId="74F1821D" w14:textId="77777777" w:rsidR="00DB2B68" w:rsidRDefault="00000000">
      <w:r>
        <w:rPr>
          <w:b/>
        </w:rPr>
        <w:t>MESURES PRÉVENTIVES CONTRE LES FISSURATIONS - JOINTS DE DILATATION</w:t>
      </w:r>
    </w:p>
    <w:p w14:paraId="70198194" w14:textId="77777777" w:rsidR="00DB2B68" w:rsidRDefault="00000000">
      <w:r>
        <w:t>Conformément à la norme [NBN EN 1996-2 ANB], aux [STS 22 série] et à la [NIT 271] il faut prévoir les joints de dilatation nécessaires afin qu'ils puissent reprendre les tassements différentiels et les mouvements hygrométriques qui se produisent dans la maçonnerie.</w:t>
      </w:r>
    </w:p>
    <w:p w14:paraId="1D8CEC1A" w14:textId="77777777" w:rsidR="00DB2B68" w:rsidRDefault="00000000">
      <w:r>
        <w:t>L'emplacement exact des joints est indiqué sur les plans et/ou est déterminé en fonction de l'étude du fabricant des blocs de maçonnerie. Les joints de retrait verticaux traversent toute l'épaisseur du mur, y compris les éventuelles briques de façade et sont conçus de façon telle que les tronçons de murs puissent bouger librement et souplement sans que l'étanchéité du joint n'en pâtisse. Ils présentent une largeur de 10 à 15 mm .</w:t>
      </w:r>
    </w:p>
    <w:p w14:paraId="424A531F" w14:textId="77777777" w:rsidR="00DB2B68" w:rsidRDefault="00000000">
      <w:r>
        <w:t xml:space="preserve">Les joints sont rembourrés à l'aide d'un matériau imputrescible et élastique à base de polysulfides, appliqué sur un fond de joint en matériau synthétique. L'intérieur du joint peut être bourré à l'aide d'un matériau (mousse de polyuréthane, laine de verre, polystyrène expansé) qui sert de support à la </w:t>
      </w:r>
      <w:r>
        <w:lastRenderedPageBreak/>
        <w:t>couche d'étanchéité. Cette dernière doit présenter une épaisseur suffisante pour bien adhérer aux lèvres du joint.</w:t>
      </w:r>
    </w:p>
    <w:p w14:paraId="3863B683" w14:textId="77777777" w:rsidR="00DB2B68" w:rsidRDefault="00000000">
      <w:r>
        <w:t>Une note de calcul des joints de dilatation est soumise pour approbation à l'auteur de projet.</w:t>
      </w:r>
    </w:p>
    <w:p w14:paraId="645D88CB" w14:textId="77777777" w:rsidR="00DB2B68" w:rsidRDefault="00000000">
      <w:r>
        <w:rPr>
          <w:rStyle w:val="headingChar"/>
        </w:rPr>
        <w:t>Mise En œUvre Sur Chantier</w:t>
      </w:r>
    </w:p>
    <w:p w14:paraId="7355BF57" w14:textId="77777777" w:rsidR="00DB2B68" w:rsidRDefault="00000000">
      <w:r>
        <w:rPr>
          <w:b/>
        </w:rPr>
        <w:t>FOURNITURE &amp; ENTREPOSAGE DES MATÉRIAUX</w:t>
      </w:r>
    </w:p>
    <w:p w14:paraId="3B9A6684" w14:textId="77777777" w:rsidR="00DB2B68" w:rsidRDefault="00000000">
      <w:r>
        <w:t>En ce qui concerne l'approvisionnement, l'âge, le transport et le stockage, les prescriptions des [STS 22 série] et de la [NIT 271] sont d'application. Les éléments sont livrés sur palettes et sont emballés dans des feuilles de plastic sauf en ce qui concerne les blocs de béton ou d’argile expansée. L'entrepreneur prend les mesures nécessaires pour que les palettes soient stockées sur un terrain plat et sec. L'emballage est enlevé le plus tard possible avant la mise en œuvre. En hiver, il faut absolument éviter que les éléments non résistant au gel ne s'humidifient.</w:t>
      </w:r>
    </w:p>
    <w:p w14:paraId="2D5B9DD0" w14:textId="77777777" w:rsidR="00DB2B68" w:rsidRDefault="00000000">
      <w:r>
        <w:rPr>
          <w:b/>
        </w:rPr>
        <w:t>MISE EN ŒUVRE DES MORTIERS</w:t>
      </w:r>
    </w:p>
    <w:p w14:paraId="2EC1EF75" w14:textId="77777777" w:rsidR="00DB2B68" w:rsidRDefault="00000000">
      <w:r>
        <w:t>L'entrepreneur est tenu de vérifier à l'avance la compatibilité du mortier avec les éléments à mettre en œuvre et respecte à cet effet</w:t>
      </w:r>
      <w:r>
        <w:rPr>
          <w:rStyle w:val="normalChar"/>
          <w:color w:val="000000"/>
        </w:rPr>
        <w:t xml:space="preserve"> la documentation technique accompagnant les produits</w:t>
      </w:r>
      <w:r>
        <w:t>.</w:t>
      </w:r>
    </w:p>
    <w:p w14:paraId="610C2C80" w14:textId="77777777" w:rsidR="00DB2B68" w:rsidRDefault="00000000">
      <w:pPr>
        <w:spacing w:line="259" w:lineRule="auto"/>
      </w:pPr>
      <w:r>
        <w:rPr>
          <w:rStyle w:val="normalChar"/>
          <w:b/>
          <w:color w:val="000000"/>
        </w:rPr>
        <w:t>Mise en œuvre d’une colle PU uni-composant</w:t>
      </w:r>
      <w:r>
        <w:br/>
      </w:r>
      <w:r>
        <w:rPr>
          <w:rStyle w:val="normalChar"/>
          <w:color w:val="000000"/>
        </w:rPr>
        <w:t xml:space="preserve"> Les prescriptions des fabricants et celles reprises dans la déclaration d’aptitude à l’emploi doivent être suivies. </w:t>
      </w:r>
      <w:r>
        <w:br/>
      </w:r>
      <w:r>
        <w:rPr>
          <w:rStyle w:val="normalChar"/>
          <w:color w:val="000000"/>
        </w:rPr>
        <w:t xml:space="preserve"> Le temps de durcissement dépend des températures et de l’humidité de l’air. </w:t>
      </w:r>
      <w:r>
        <w:br/>
      </w:r>
      <w:r>
        <w:rPr>
          <w:rStyle w:val="normalChar"/>
          <w:color w:val="000000"/>
        </w:rPr>
        <w:t xml:space="preserve"> La température minimale et maximale de mise en œuvre est respectée.</w:t>
      </w:r>
      <w:r>
        <w:br/>
      </w:r>
      <w:r>
        <w:rPr>
          <w:rStyle w:val="normalChar"/>
          <w:color w:val="000000"/>
        </w:rPr>
        <w:t xml:space="preserve"> Les conditions de stockage des bombes de colle PU sont respectées ; les bombes sont protégées contre le soleil et les autres sources de chaleur.</w:t>
      </w:r>
      <w:r>
        <w:br/>
      </w:r>
      <w:r>
        <w:rPr>
          <w:rStyle w:val="normalChar"/>
          <w:color w:val="000000"/>
        </w:rPr>
        <w:t xml:space="preserve"> Les blocs sont toujours brossés avant d’appliquer la colle PU. </w:t>
      </w:r>
      <w:r>
        <w:br/>
      </w:r>
      <w:r>
        <w:rPr>
          <w:rStyle w:val="normalChar"/>
          <w:color w:val="000000"/>
        </w:rPr>
        <w:t xml:space="preserve"> La colle est appliquée en bandes dont le nombre et la largeur sont fonction de l’épaisseur du mur. Elle est appliquée avec soin pour éviter tout débordement.</w:t>
      </w:r>
    </w:p>
    <w:p w14:paraId="2B1411E7" w14:textId="77777777" w:rsidR="00DB2B68" w:rsidRDefault="00000000">
      <w:r>
        <w:rPr>
          <w:b/>
        </w:rPr>
        <w:t>MESURES DE PROTECTION</w:t>
      </w:r>
    </w:p>
    <w:p w14:paraId="3BFF97DF" w14:textId="77777777" w:rsidR="00DB2B68" w:rsidRDefault="00000000">
      <w:r>
        <w:t>Les précautions nécessaires sont prises afin de protéger les ouvrages de maçonnerie exécutés contre toute dégradation mécanique et les influences atmosphériques :</w:t>
      </w:r>
    </w:p>
    <w:p w14:paraId="57720E64" w14:textId="77777777" w:rsidR="00DB2B68" w:rsidRDefault="00000000">
      <w:r>
        <w:t>Afin d'obtenir la meilleure adhérence entre le mortier et l'élément de maçonnerie, la nécessité de leur humidification préalable doit être étudiée en fonction des caractéristiques de l'élément, du mortier et des circonstances atmosphériques. En période de sécheresse durable, les briques sont humidifiées la veille de leur mise en œuvre. Il est toutefois interdit de les mouiller par immersion. Dans tous les cas, on respecte les préconisations des producteurs.</w:t>
      </w:r>
    </w:p>
    <w:p w14:paraId="4D9EFE00" w14:textId="77777777" w:rsidR="00DB2B68" w:rsidRDefault="00000000">
      <w:r>
        <w:t>Par temps chaud et sec ou par grand ensoleillement, la maçonnerie fraîchement exécutée doit être légèrement aspergée afin d'éviter que le mortier ne se dessèche avant qu'il ne soit durci. Par temps froid, l'entrepreneur respecte les préconisations spécifiques.</w:t>
      </w:r>
    </w:p>
    <w:p w14:paraId="67832083" w14:textId="77777777" w:rsidR="00DB2B68" w:rsidRDefault="00000000">
      <w:r>
        <w:t>Il est fortement déconseillé de maçonner par des températures &lt;5°C.</w:t>
      </w:r>
    </w:p>
    <w:p w14:paraId="2C832B9D" w14:textId="77777777" w:rsidR="00DB2B68" w:rsidRDefault="00000000">
      <w:r>
        <w:t>Si la maçonnerie fraîche est exposée à des températures inférieures à 5°C, elle doit être protégée avec un isolant.</w:t>
      </w:r>
    </w:p>
    <w:p w14:paraId="3F2D00B3" w14:textId="77777777" w:rsidR="00DB2B68" w:rsidRDefault="00000000">
      <w:r>
        <w:t>Afin de limiter le risque d'apparition d'efflorescences, l'entrepreneur couvre, à la fin de chaque journée de travail et par temps de pluie, les lits supérieurs de l'ouvrage en maçonnerie afin de le protéger d'une humidification et que l'eau ne puisse s'accumuler dans les creux des briques.</w:t>
      </w:r>
    </w:p>
    <w:p w14:paraId="3C80A4A0" w14:textId="77777777" w:rsidR="00DB2B68" w:rsidRDefault="00000000">
      <w:r>
        <w:rPr>
          <w:shd w:val="clear" w:color="auto" w:fill="FFFFFF"/>
        </w:rPr>
        <w:t>En ce qui concerne le durcissement des ouvrages en maçonnerie, on respecte une période d'au moins 16 heures avant d'y faire reposer des planchers et 24 heures avant d'y appuyer des charges ponctuelles.</w:t>
      </w:r>
    </w:p>
    <w:p w14:paraId="2E38608C" w14:textId="77777777" w:rsidR="00DB2B68" w:rsidRDefault="00000000">
      <w:r>
        <w:rPr>
          <w:b/>
          <w:shd w:val="clear" w:color="auto" w:fill="FFFFFF"/>
        </w:rPr>
        <w:t>EXÉCUTION DES JOINTS</w:t>
      </w:r>
    </w:p>
    <w:p w14:paraId="43DCAD35" w14:textId="77777777" w:rsidR="00DB2B68" w:rsidRDefault="00000000">
      <w:r>
        <w:rPr>
          <w:b/>
        </w:rPr>
        <w:t>Epaisseur des joints de mortier </w:t>
      </w:r>
    </w:p>
    <w:p w14:paraId="03ED95A3" w14:textId="77777777" w:rsidR="00DB2B68" w:rsidRDefault="00000000">
      <w:r>
        <w:t>Le type et l'épaisseur de mortier sont choisis en fonction de l'utilisation (critères techniques et esthétiques). L'épaisseur de mortier préconisée par le producteur est respectée.</w:t>
      </w:r>
    </w:p>
    <w:p w14:paraId="4C92375A" w14:textId="77777777" w:rsidR="00DB2B68" w:rsidRDefault="00000000">
      <w:r>
        <w:rPr>
          <w:b/>
        </w:rPr>
        <w:lastRenderedPageBreak/>
        <w:t>Préparation du mortier</w:t>
      </w:r>
    </w:p>
    <w:p w14:paraId="206246D2" w14:textId="77777777" w:rsidR="00DB2B68" w:rsidRDefault="00000000">
      <w:r>
        <w:t>Sauf mentions spécifiques dans le cahier spécial des charges, l'entrepreneur aura le choix entre</w:t>
      </w:r>
    </w:p>
    <w:p w14:paraId="7543B8EF" w14:textId="77777777" w:rsidR="00DB2B68" w:rsidRDefault="00000000">
      <w:pPr>
        <w:pStyle w:val="Author-eListParagraph"/>
        <w:numPr>
          <w:ilvl w:val="0"/>
          <w:numId w:val="23"/>
        </w:numPr>
      </w:pPr>
      <w:r>
        <w:rPr>
          <w:u w:val="single"/>
        </w:rPr>
        <w:t>les mortiers préparés</w:t>
      </w:r>
      <w:r>
        <w:t xml:space="preserve"> mécaniquement sur chantier.</w:t>
      </w:r>
    </w:p>
    <w:p w14:paraId="421A9013" w14:textId="77777777" w:rsidR="00DB2B68" w:rsidRDefault="00000000">
      <w:pPr>
        <w:pStyle w:val="Author-eListParagraph"/>
        <w:numPr>
          <w:ilvl w:val="0"/>
          <w:numId w:val="23"/>
        </w:numPr>
      </w:pPr>
      <w:r>
        <w:rPr>
          <w:u w:val="single"/>
        </w:rPr>
        <w:t>les mortiers d'usine mélangés à l'avance du type sec</w:t>
      </w:r>
      <w:r>
        <w:t xml:space="preserve"> : ils sont préparés sur chantier conformément aux prescriptions du fabricant. Les mélanges livrés en vrac sont uniquement autorisés lorsqu'ils peuvent être stockés sur chantier dans des silos fermés.</w:t>
      </w:r>
    </w:p>
    <w:p w14:paraId="10160E6F" w14:textId="77777777" w:rsidR="00DB2B68" w:rsidRDefault="00000000">
      <w:pPr>
        <w:pStyle w:val="Author-eListParagraph"/>
        <w:numPr>
          <w:ilvl w:val="0"/>
          <w:numId w:val="23"/>
        </w:numPr>
      </w:pPr>
      <w:r>
        <w:rPr>
          <w:u w:val="single"/>
        </w:rPr>
        <w:t>les mortiers d'usine mélangés à l'avance du type humide</w:t>
      </w:r>
      <w:r>
        <w:t xml:space="preserve"> : ils sont dosés et préparés sans qu'on doive ajouter de l'eau. L'entrepreneur est tenu de soumettre à l'auteur de projet les bons de livraison mentionnant la provenance et la composition du mortier ; Les bons mentionnent la catégorie du mortier livré, la classe du ciment utilisé, les rapports de dosage entre les différents liants pour le mortier bâtard, le temps de mise en œuvre et la présence d'adjuvants (retardateurs de prise).</w:t>
      </w:r>
    </w:p>
    <w:p w14:paraId="39347085" w14:textId="77777777" w:rsidR="00DB2B68" w:rsidRDefault="00000000">
      <w:pPr>
        <w:spacing w:line="259" w:lineRule="auto"/>
      </w:pPr>
      <w:r>
        <w:t>L'entrepreneur prend les précautions nécessaires pour protéger le mortier contre les influences atmosphériques. Il est interdit d'utiliser du mortier bâtard par temps de gel. Seule l'utilisation modérée et bien dosée d'agents moussants est alors autorisée.</w:t>
      </w:r>
    </w:p>
    <w:p w14:paraId="2BCD8100" w14:textId="77777777" w:rsidR="00DB2B68" w:rsidRDefault="00000000">
      <w:r>
        <w:rPr>
          <w:b/>
        </w:rPr>
        <w:t xml:space="preserve">Mortier de rejointoiement (pour la maçonnerie apparente). </w:t>
      </w:r>
    </w:p>
    <w:p w14:paraId="05DA98F2" w14:textId="77777777" w:rsidR="00DB2B68" w:rsidRDefault="00000000">
      <w:r>
        <w:t>Pour tous les ouvrages de rejointoiement en montant dans les espaces intérieurs, on utilise le mortier de maçonnerie. Lorsque le jointoiement se fait après la réalisation de la maçonnerie, les joints sont d'abord évidés et l'entrepreneur contrôle, sous sa responsabilité, la compatibilité des deux mortiers. Voir aussi la [NIT 208].</w:t>
      </w:r>
    </w:p>
    <w:p w14:paraId="2E2A3B61" w14:textId="77777777" w:rsidR="00DB2B68" w:rsidRDefault="00000000">
      <w:r>
        <w:rPr>
          <w:b/>
        </w:rPr>
        <w:t>MODALITÉS DE MISE EN ŒUVRE.</w:t>
      </w:r>
    </w:p>
    <w:p w14:paraId="2534CC4F" w14:textId="77777777" w:rsidR="00DB2B68" w:rsidRDefault="00000000">
      <w:r>
        <w:rPr>
          <w:b/>
        </w:rPr>
        <w:t>Mode d'exécution courant</w:t>
      </w:r>
    </w:p>
    <w:p w14:paraId="758EC4E5" w14:textId="77777777" w:rsidR="00DB2B68" w:rsidRDefault="00000000">
      <w:r>
        <w:t>L'épaisseur nominale des joints est en moyenne de 10 à 12 mm pour une maçonnerie traditionnelle, compte tenu des tolérances concernant les briques utilisées. Des mortiers spécialement formulés pour l'usage peuvent être appliqués en d'autres épaisseurs.</w:t>
      </w:r>
    </w:p>
    <w:p w14:paraId="01246900" w14:textId="77777777" w:rsidR="00DB2B68" w:rsidRDefault="00000000">
      <w:r>
        <w:t>Toutes les précautions sont prises pour donner à la maçonnerie un aspect soigné et impeccable et de le conserver. Les nids de terre ou d'autres matériaux dans la maçonnerie doivent être évités. Après chaque interruption de travail, l'entrepreneur enlève tous les restes de mortier lié sur le dernier tas de briques ou de blocs.</w:t>
      </w:r>
    </w:p>
    <w:p w14:paraId="6CDCD660" w14:textId="77777777" w:rsidR="00DB2B68" w:rsidRDefault="00000000">
      <w:r>
        <w:rPr>
          <w:rStyle w:val="normalChar"/>
          <w:color w:val="000000"/>
        </w:rPr>
        <w:t xml:space="preserve">Pour la maçonnerie à joints minces ou collée, la première couche d'assise est réalisée en mortier traditionnel. Les blocs destinés à être assemblés par collage ne sont jamais humidifiés (sauf si les conditions atmosphériques l’exigent). </w:t>
      </w:r>
    </w:p>
    <w:p w14:paraId="6F19159D" w14:textId="77777777" w:rsidR="00DB2B68" w:rsidRDefault="00000000">
      <w:r>
        <w:rPr>
          <w:b/>
        </w:rPr>
        <w:t>Maçonnerie destinée à rester apparente.</w:t>
      </w:r>
    </w:p>
    <w:p w14:paraId="305F0D44" w14:textId="77777777" w:rsidR="00DB2B68" w:rsidRDefault="00000000">
      <w:r>
        <w:t>Les faces visibles des maçonneries destinées à rester apparentes sont dans la mesure du possible constituées de briques pleines et/ou de demi-briques. Il est interdit d'utiliser des éléments cassés ou de forme ou d'aspect irréguliers. Les briques entières sont coupées par sciage mécanique de façon à ne laisser aucune trace de briques coupées. Les angles sont toujours maçonnés en appareil.</w:t>
      </w:r>
    </w:p>
    <w:p w14:paraId="498CAC77" w14:textId="77777777" w:rsidR="00DB2B68" w:rsidRDefault="00000000">
      <w:r>
        <w:t>Les blochets intégrés dans les murs ne sont pas visibles dans la face apparente de la maçonnerie. Pour la maçonnerie destinée à rester apparente, il est préférable que les conduites électriques soient intégrées dans la maçonnerie en montant. Dans la face vue de la maçonnerie, les ouvertures nécessaires pour les boîtes de dérivation sont soigneusement réservées ou découpées (voir également le Tome 7 T7 Electricité).</w:t>
      </w:r>
    </w:p>
    <w:p w14:paraId="34C12500" w14:textId="77777777" w:rsidR="00DB2B68" w:rsidRDefault="00000000">
      <w:r>
        <w:rPr>
          <w:shd w:val="clear" w:color="auto" w:fill="FFFFFF"/>
        </w:rPr>
        <w:t xml:space="preserve">Sauf mention contraire, les ouvrages de maçonnerie sont rejointoyés à plat en montant avec du mortier identique à celui de la maçonnerie. Pour les ouvrages en maçonnerie destinés à recevoir un plafonnage ou un carrelage, l'entrepreneur évide les joints sur une profondeur d'environ 10 à 12 mm en retrait du nu du mur. Les joints doivent être brossés et tous les restes de mortiers adhérents aux briques doivent être soigneusement enlevés. Les faces visibles des briques sont nettoyées et protégées contre toutes les éventuelles souillures. </w:t>
      </w:r>
    </w:p>
    <w:p w14:paraId="70B54DAF" w14:textId="77777777" w:rsidR="00DB2B68" w:rsidRDefault="00000000">
      <w:r>
        <w:rPr>
          <w:b/>
        </w:rPr>
        <w:t>Appareil de maçonnerie - dimensionnement - tolérances</w:t>
      </w:r>
    </w:p>
    <w:p w14:paraId="767226DC" w14:textId="77777777" w:rsidR="00DB2B68" w:rsidRDefault="00000000">
      <w:r>
        <w:lastRenderedPageBreak/>
        <w:t>Toutes les règles de l'art sont respectées afin de donner aux ouvrages de maçonnerie un aspect soigné et régulier, c'est-à-dire que :</w:t>
      </w:r>
    </w:p>
    <w:p w14:paraId="1449C288" w14:textId="77777777" w:rsidR="00DB2B68" w:rsidRDefault="00000000">
      <w:pPr>
        <w:pStyle w:val="Author-eListParagraph"/>
        <w:numPr>
          <w:ilvl w:val="0"/>
          <w:numId w:val="24"/>
        </w:numPr>
      </w:pPr>
      <w:r>
        <w:t>Tous les murs sont maçonnés d'aplomb, d'équerre et bien plans : tous les bords ou ouvertures dans les murs sont parfaitement d'aplomb, la face de jour est bien lisse. On maçonne chaque assise au cordeau. L'ouvrage est refusé lorsque les tolérances en ce qui concerne les baies de portes et fenêtres ne sont pas respectées.</w:t>
      </w:r>
    </w:p>
    <w:p w14:paraId="6CB89194" w14:textId="77777777" w:rsidR="00DB2B68" w:rsidRDefault="00000000">
      <w:pPr>
        <w:pStyle w:val="Author-eListParagraph"/>
        <w:numPr>
          <w:ilvl w:val="0"/>
          <w:numId w:val="24"/>
        </w:numPr>
      </w:pPr>
      <w:r>
        <w:t>Les joints sont de niveau et rectilignes et présente partout la même épaisseur, compte tenu des tolérances en ce qui concerne les éléments de maçonnerie utilisés. L'épaisseur moyenne des joints est contrôlée sur une hauteur de 10 tas.</w:t>
      </w:r>
    </w:p>
    <w:p w14:paraId="7FB5C11D" w14:textId="77777777" w:rsidR="00DB2B68" w:rsidRDefault="00000000">
      <w:pPr>
        <w:pStyle w:val="Author-eListParagraph"/>
        <w:numPr>
          <w:ilvl w:val="0"/>
          <w:numId w:val="24"/>
        </w:numPr>
      </w:pPr>
      <w:r>
        <w:t>Les joints montants doivent s'alterner. Sauf mention contraire dans le cahier spécial des charges, les murs sont maçonnés en appareil d'une demi-brique (brique SB).</w:t>
      </w:r>
    </w:p>
    <w:p w14:paraId="7ABE7A88" w14:textId="77777777" w:rsidR="00DB2B68" w:rsidRDefault="00000000">
      <w:pPr>
        <w:pStyle w:val="Author-eListParagraph"/>
        <w:numPr>
          <w:ilvl w:val="0"/>
          <w:numId w:val="24"/>
        </w:numPr>
      </w:pPr>
      <w:r>
        <w:t>Toutes les faces visibles de la maçonnerie destinée à rester apparente sont exclusivement exécutées à l'aide d'éléments de construction dont la longueur est supérieure à une demi-brique. Les pièces d'ajustage sont sciées mécaniquement et non coupées.</w:t>
      </w:r>
    </w:p>
    <w:p w14:paraId="786F9D21" w14:textId="77777777" w:rsidR="00DB2B68" w:rsidRDefault="00000000">
      <w:r>
        <w:rPr>
          <w:color w:val="000000"/>
          <w:shd w:val="clear" w:color="auto" w:fill="FFFFFF"/>
        </w:rPr>
        <w:t xml:space="preserve">Les façades comportent à chaque niveau un élément de construction satisfaisant, pendant une durée déterminée en fonction du type de bâtiment, au critère d’étanchéité aux flammes. </w:t>
      </w:r>
    </w:p>
    <w:p w14:paraId="6CEBE037" w14:textId="77777777" w:rsidR="00DB2B68" w:rsidRDefault="00000000">
      <w:r>
        <w:rPr>
          <w:shd w:val="clear" w:color="auto" w:fill="FFFFFF"/>
        </w:rPr>
        <w:t>Support aux prescripteurs : [AR 1994-07-07] et [SWL GSI/T1/C] de la prévention passive référencé dans le tome 0 T0 Entreprise / Chantier  de ce cahier des charges.</w:t>
      </w:r>
    </w:p>
    <w:p w14:paraId="3005871B" w14:textId="77777777" w:rsidR="00DB2B68" w:rsidRDefault="00000000">
      <w:r>
        <w:rPr>
          <w:b/>
        </w:rPr>
        <w:t>Murs de séparation entre habitations</w:t>
      </w:r>
    </w:p>
    <w:p w14:paraId="5F1CEAA7" w14:textId="77777777" w:rsidR="00DB2B68" w:rsidRDefault="00000000">
      <w:r>
        <w:t>Les murs séparant deux habitations sont dédoublés, ils sont séparés mécaniquement par une coulisse, de manière à être indépendants. Aucun crochet de mur ou patte d'ancrage, aucune dalle de fondation ou dalle de sol ne peut lier les deux murs entre eux.</w:t>
      </w:r>
    </w:p>
    <w:p w14:paraId="7362EC52" w14:textId="77777777" w:rsidR="00DB2B68" w:rsidRDefault="00000000">
      <w:r>
        <w:rPr>
          <w:shd w:val="clear" w:color="auto" w:fill="FFFFFF"/>
        </w:rPr>
        <w:t>En ce qui concerne l'isolation thermique, le mur à coulisse satisfait aux exigences conformément à la réglementation PEB. Il satisfait aussi aux normes d'isolation acoustique [NBN S 01-400] (voir rubrique 52.4 Isolation.</w:t>
      </w:r>
    </w:p>
    <w:p w14:paraId="3510F5F5" w14:textId="77777777" w:rsidR="00DB2B68" w:rsidRDefault="00000000">
      <w:r>
        <w:rPr>
          <w:b/>
        </w:rPr>
        <w:t>Membranes d'étanchéité </w:t>
      </w:r>
    </w:p>
    <w:p w14:paraId="66B88EB2" w14:textId="77777777" w:rsidR="00DB2B68" w:rsidRDefault="00000000">
      <w:r>
        <w:t>Conformément aux règles de bonne pratique et/ou selon les indications sur les plans ou les dessins de détail, on applique partout où cela s'avère nécessaire, une couche d'étanchéité contre l'humidité ascendante et en vue d'évacuer les eaux de pluie ou de condensation, c'est-à-dire à la base des murs creux, à tous les endroits où la coulisse est interrompue et à chaque transition du mur extérieur d'un environnement intérieur vers un environnement extérieur (murs dépassants, pénétrations de toiture des cheminées).</w:t>
      </w:r>
    </w:p>
    <w:p w14:paraId="51472292" w14:textId="77777777" w:rsidR="00DB2B68" w:rsidRDefault="00000000">
      <w:r>
        <w:t xml:space="preserve">A la base de tous les ouvrages en maçonnerie d'élévation, on place des membranes anticapillaires. Ces membranes sont posées sur tous les murs de fondation, tant pour les murs intérieurs qu'extérieurs, un tas au-dessus du niveau de rez-de-chaussée, soit au moins 2 cm à maximum 6 cm au-dessus du niveau de sol fini. Sauf dispositions spécifiques dans le cahier spécial des charges, l'entrepreneur peut librement choisir le matériau des feuilles et membranes d’étanchéité à l’eau sous la rubrique </w:t>
      </w:r>
      <w:hyperlink w:anchor="356" w:history="1">
        <w:r>
          <w:rPr>
            <w:color w:val="0000EE"/>
          </w:rPr>
          <w:t>26.11 Feuilles et membranes d'étanchéité à l'eau</w:t>
        </w:r>
      </w:hyperlink>
      <w:r>
        <w:t xml:space="preserve"> .</w:t>
      </w:r>
    </w:p>
    <w:p w14:paraId="31062810" w14:textId="77777777" w:rsidR="00DB2B68" w:rsidRDefault="00000000">
      <w:r>
        <w:t>Les membranes sont posées sur toute l'épaisseur du mur et insérées entre 2 couches de mortier. Dans le sens longitudinal, les membranes sont posées dans la plus grande longueur possible. Les joints sont réalisés avec un chevauchement conforme aux prescriptions de pose de la membrane utilisée.</w:t>
      </w:r>
    </w:p>
    <w:p w14:paraId="543BAC4D" w14:textId="77777777" w:rsidR="00DB2B68" w:rsidRDefault="00000000">
      <w:r>
        <w:t xml:space="preserve">Les membranes d'étanchéité pour l'évacuation des eaux de pluie ou de condensation dans les murs creux sont décrites sous la rubrique </w:t>
      </w:r>
      <w:hyperlink w:anchor="356" w:history="1">
        <w:r>
          <w:rPr>
            <w:color w:val="0000EE"/>
          </w:rPr>
          <w:t>26.11 Feuilles et membranes d'étanchéité à l'eau</w:t>
        </w:r>
      </w:hyperlink>
      <w:r>
        <w:t>.</w:t>
      </w:r>
    </w:p>
    <w:p w14:paraId="104DF28C" w14:textId="77777777" w:rsidR="00DB2B68" w:rsidRDefault="00000000">
      <w:r>
        <w:t xml:space="preserve">Au-dessus de tous les linteaux de portes et fenêtres, on pose une membrane d'étanchéité en forme de Z dans le creux du mur afin d'évacuer l'eau d'infiltration. La membrane d'étanchéité doit couvrir toujours toute l'épaisseur du mur extérieur et est repliée de façon telle que l'évacuation se fasse vers l'extérieur. Latéralement, la membrane d'étanchéité est relevée afin d'empêcher que l'eau d'infiltration ne s'écoule dans la coulisse. Les chevauchements sont toujours collés ou assemblés par soudure à froid. Afin de permettre à l'eau d'infiltration de s'évacuer, on laisse des joints montants ouverts sur toute leur hauteur (jusqu'au joint d'assise suivant), à raison d'environ deux par mètre courant. Tous </w:t>
      </w:r>
      <w:r>
        <w:lastRenderedPageBreak/>
        <w:t>les deux étages, l'étanchéité en forme de Z n'est pas uniquement appliquée au-dessus des linteaux mais également sur toute la largeur de la façade. Au droit des poutres coulées sur place, au-dessus des baies de portes et fenêtres, on place des bandes d'isolation entre la poutre et le parement du mur ainsi qu'une bande d'étanchéité. Les ancrages des cornières métalliques doivent percer cette isolation.</w:t>
      </w:r>
    </w:p>
    <w:p w14:paraId="195E9FE8" w14:textId="77777777" w:rsidR="00DB2B68" w:rsidRDefault="00000000">
      <w:r>
        <w:t>Au pied des murs creux, on place en outre, à hauteur du niveau du terrain, une double étanchéité, dont la partie supérieure est remontée dans le mur de contre-façade. Lorsque le niveau du terrain à l'extérieur n'est pas horizontal, l'étanchéité est posée en gradins qui se superposent et se chevauchent. La pose et le pliage des couches doivent assurer l'écoulement de l'eau vers le bas. Le cas échéant, l'étanchéité dans les coulisses repose sur une bande d'isolation inclinée, non capillaire et imputrescible.</w:t>
      </w:r>
    </w:p>
    <w:p w14:paraId="5E293FDA" w14:textId="77777777" w:rsidR="00DB2B68" w:rsidRDefault="00000000">
      <w:r>
        <w:t>En outre, on prévoit une étanchéité à tous les points de contact des murs creux, sous l'appui des hourdis, au-dessus des caves et de vides ventilés, au-dessus des linteaux en béton dans les murs extérieurs, dans les conduits de cheminées au droit des pénétrations de toiture (en suivant en gradins la pente du versant), à la jonction avec un mur de façade plus élevé (contre l'eau d'infiltration) et partout où l’on peut supposer qu'il y a danger d'infiltration d'eau (eau de pluie, hausse du niveau de la nappe phréatique, eau d'infiltration, etc.).</w:t>
      </w:r>
    </w:p>
    <w:p w14:paraId="6F836D5A" w14:textId="77777777" w:rsidR="00DB2B68" w:rsidRDefault="00000000">
      <w:r>
        <w:t>Pour les murs existants, la couche d'étanchéité est posée en même temps que la maçonnerie d'élévation. Les bavettes d'étanchéité doivent recouvrir alors toute l'épaisseur du parement et doivent être relevées sur au moins 5 cm contre le mur de façade. Les bavettes sont placées dans un joint du contre-mur de façade et doivent ressortir quelques tas plus bas dans le mur de parement. Afin de permettre l'évacuation des eaux d'infiltration, on laisse quelques joints montants ouverts dans la première assise de la maçonnerie de parement, au-dessus des bavettes, à raison d'environ 2 joints au mètre courant et ce, sur toute la hauteur des joints montants.</w:t>
      </w:r>
    </w:p>
    <w:p w14:paraId="200709C3" w14:textId="77777777" w:rsidR="00DB2B68" w:rsidRDefault="00DB2B68"/>
    <w:p w14:paraId="490E3F41" w14:textId="77777777" w:rsidR="00DB2B68" w:rsidRDefault="00000000">
      <w:r>
        <w:rPr>
          <w:b/>
        </w:rPr>
        <w:t>DÉTAILS D'EXÉCUTION</w:t>
      </w:r>
    </w:p>
    <w:p w14:paraId="429D6A0B" w14:textId="77777777" w:rsidR="00DB2B68" w:rsidRDefault="00000000">
      <w:r>
        <w:rPr>
          <w:b/>
        </w:rPr>
        <w:t xml:space="preserve">Percements </w:t>
      </w:r>
    </w:p>
    <w:p w14:paraId="2BFA0223" w14:textId="77777777" w:rsidR="00DB2B68" w:rsidRDefault="00000000">
      <w:r>
        <w:t>Dans la mesure du possible, il convient de prévoir les percements et les fourreaux de passage pendant les travaux de gros-œuvre. L'entrepreneur prévoit par conséquent à l'avance les ouvertures qui doivent être ménagées afin de limiter le plus possible les décapages par la suite (cette mesure s’applique certainement aux parties des maçonneries destinées à rester apparentes).</w:t>
      </w:r>
    </w:p>
    <w:p w14:paraId="3130BFE6" w14:textId="77777777" w:rsidR="00DB2B68" w:rsidRDefault="00000000">
      <w:r>
        <w:t>Lorsque l'entrepreneur refuse ou oublie d'effectuer ces travaux, lui-même ou un de ses sous-traitants doit réaliser par la suite les percements et les forages et toutes les conséquences qui en découlent seront entièrement à sa charge. Aucun décompte ou adaptation du délai ne peut être attribué du chef de cette situation.</w:t>
      </w:r>
    </w:p>
    <w:p w14:paraId="363EA376" w14:textId="77777777" w:rsidR="00DB2B68" w:rsidRDefault="00000000">
      <w:r>
        <w:rPr>
          <w:b/>
        </w:rPr>
        <w:t>Dispositifs d'ancrage pour la menuiserie intérieure</w:t>
      </w:r>
    </w:p>
    <w:p w14:paraId="1C11B598" w14:textId="77777777" w:rsidR="00DB2B68" w:rsidRDefault="00000000">
      <w:r>
        <w:t>Les ouvertures de gros-œuvre destinées à recevoir des portes intérieures ou des revêtements doivent être situées dans le mur de manière à pouvoir appliquer un encadrement (chambranle) complet. Lorsque la maçonnerie est construite en matériaux non clouables ou vissables, l'entrepreneur doit prévoir, dans les ébrasements des baies de portes et fenêtres, des blochets ou autres moyens de fixation permettant de placer les dormants. Le prix est toujours compris dans celui de la maçonnerie d'élévation.</w:t>
      </w:r>
    </w:p>
    <w:p w14:paraId="6E7045E2" w14:textId="77777777" w:rsidR="00DB2B68" w:rsidRDefault="00000000">
      <w:r>
        <w:t xml:space="preserve">Les blochets d'ancrage doivent satisfaire aux conditions suivantes : Les blochets clouables sont en queue d'aronde et pourvus de rainures de manière à assurer une adhérence parfaite dans l'ouvrage de maçonnerie. Ils sont facilement clouables et/ou vissables, sans retrait ni dilatation. Ils sont fabriqués soit en PNG ou RND durci (préalablement imprégnés d'un produit antiseptique selon les </w:t>
      </w:r>
      <w:r>
        <w:rPr>
          <w:shd w:val="clear" w:color="auto" w:fill="FFFFFF"/>
        </w:rPr>
        <w:t xml:space="preserve">[STS 04 série] .31.12]), </w:t>
      </w:r>
      <w:r>
        <w:t>soit fabriqués à base de ciment et de matériaux inertes et imputrescibles, c'est-à-dire du béton clouable dans le format d'une brique de terre cuite.</w:t>
      </w:r>
    </w:p>
    <w:p w14:paraId="6435DBBF" w14:textId="77777777" w:rsidR="00DB2B68" w:rsidRDefault="00000000">
      <w:r>
        <w:t xml:space="preserve">L'appareillage du mur ne peut pas être interrompu pour la pose des blochets. Ils ne peuvent en aucun cas interrompre l'isolation du mur. Les blochets de mur sont bien ancrés dans la maçonnerie, la </w:t>
      </w:r>
      <w:r>
        <w:lastRenderedPageBreak/>
        <w:t>longueur des blocs ne pouvant être supérieure à l'épaisseur du mur. Dans les maçonneries destinées à rester apparentes, les blochets doivent être invisibles lorsque le mur est terminé.</w:t>
      </w:r>
    </w:p>
    <w:p w14:paraId="013C16EA" w14:textId="77777777" w:rsidR="00DB2B68" w:rsidRDefault="00000000">
      <w:r>
        <w:t>Dans les murs érigés en blocs de plâtre, en blocs de béton cellulaire autoclavé et/ou en briques silico-calcaires pleines, les blochets sont remplacés par des vis et chevilles en inox de longueur adaptée en fonction de l'utilisation. Le nombre de points de fixation est directement proportionnel à la rigidité de l'ensemble.</w:t>
      </w:r>
    </w:p>
    <w:p w14:paraId="7947D164" w14:textId="77777777" w:rsidR="00DB2B68" w:rsidRDefault="00000000">
      <w:r>
        <w:t>L'emplacement des blochets ou des autres moyens de fixation dans la maçonnerie ainsi que leur nombre doit satisfaire aux indications pour la menuiserie correspondante (voir les postes concernés); l'entrepreneur est responsable de la bonne coordination à ce sujet.</w:t>
      </w:r>
    </w:p>
    <w:p w14:paraId="5338E6FC" w14:textId="77777777" w:rsidR="00DB2B68" w:rsidRDefault="00000000">
      <w:r>
        <w:t>Battées latérales : à maximum 20 cm de l'ébrasement supérieur et inférieur de la baie; l'espacement entre 2 points de fixation n'excède pas 60 cm.</w:t>
      </w:r>
    </w:p>
    <w:p w14:paraId="49022817" w14:textId="77777777" w:rsidR="00DB2B68" w:rsidRDefault="00000000">
      <w:r>
        <w:t>Battée supérieure</w:t>
      </w:r>
    </w:p>
    <w:p w14:paraId="72C8CC53" w14:textId="77777777" w:rsidR="00DB2B68" w:rsidRDefault="00000000">
      <w:pPr>
        <w:pStyle w:val="Author-eListParagraph"/>
        <w:numPr>
          <w:ilvl w:val="0"/>
          <w:numId w:val="25"/>
        </w:numPr>
      </w:pPr>
      <w:r>
        <w:t>Largeur de la baie &lt;1 m : pas de point de fixation ;</w:t>
      </w:r>
    </w:p>
    <w:p w14:paraId="1C53816B" w14:textId="77777777" w:rsidR="00DB2B68" w:rsidRDefault="00000000">
      <w:pPr>
        <w:pStyle w:val="Author-eListParagraph"/>
        <w:numPr>
          <w:ilvl w:val="0"/>
          <w:numId w:val="25"/>
        </w:numPr>
      </w:pPr>
      <w:r>
        <w:t>Largeur de la baie &gt; 1 m : 1 point de fixation par mètre courant, régulièrement répartis sur toute la portée du linteau.</w:t>
      </w:r>
    </w:p>
    <w:p w14:paraId="4A98A3B0" w14:textId="77777777" w:rsidR="00DB2B68" w:rsidRDefault="00000000">
      <w:r>
        <w:t>Caisses à volets : deux par ébrasement.</w:t>
      </w:r>
    </w:p>
    <w:p w14:paraId="5CCC6B28" w14:textId="77777777" w:rsidR="00DB2B68" w:rsidRDefault="00000000">
      <w:r>
        <w:t>Dimensions des blochets : hauteur = au moins 4 cm; profondeur = au moins 6 cm; la largeur est de respectivement :</w:t>
      </w:r>
    </w:p>
    <w:p w14:paraId="2937BDAA" w14:textId="77777777" w:rsidR="00DB2B68" w:rsidRDefault="00000000">
      <w:pPr>
        <w:pStyle w:val="Author-eListParagraph"/>
        <w:numPr>
          <w:ilvl w:val="0"/>
          <w:numId w:val="26"/>
        </w:numPr>
      </w:pPr>
      <w:r>
        <w:t>Pour les baies de fenêtres : largeur = minimum 4 cm;</w:t>
      </w:r>
    </w:p>
    <w:p w14:paraId="5A73FE52" w14:textId="77777777" w:rsidR="00DB2B68" w:rsidRDefault="00000000">
      <w:pPr>
        <w:pStyle w:val="Author-eListParagraph"/>
        <w:numPr>
          <w:ilvl w:val="0"/>
          <w:numId w:val="26"/>
        </w:numPr>
      </w:pPr>
      <w:r>
        <w:t>Pour les baies de portes : largeur = égale à l'épaisseur du mur;</w:t>
      </w:r>
    </w:p>
    <w:p w14:paraId="2EF06848" w14:textId="77777777" w:rsidR="00DB2B68" w:rsidRDefault="00000000">
      <w:pPr>
        <w:pStyle w:val="Author-eListParagraph"/>
        <w:numPr>
          <w:ilvl w:val="0"/>
          <w:numId w:val="26"/>
        </w:numPr>
      </w:pPr>
      <w:r>
        <w:t>Pour la maçonnerie apparente : largeur = respectivement 5-9-12 cm pour les épaisseurs de murs de 9-14-19 cm; </w:t>
      </w:r>
    </w:p>
    <w:p w14:paraId="57DD597D" w14:textId="77777777" w:rsidR="00DB2B68" w:rsidRDefault="00000000">
      <w:pPr>
        <w:pStyle w:val="pheading"/>
      </w:pPr>
      <w:r>
        <w:t>CONTRÔLES</w:t>
      </w:r>
    </w:p>
    <w:p w14:paraId="61BEE740" w14:textId="77777777" w:rsidR="00DB2B68" w:rsidRDefault="00000000">
      <w:r>
        <w:t>On ne peut procéder au remblayage des fouilles que lorsque l'auteur de projet a donné son accord et lorsque les enduits et cimentages sur les maçonneries des fondations, des caves et des vides sanitaires sont terminés et suffisamment durcis.</w:t>
      </w:r>
    </w:p>
    <w:p w14:paraId="73BA7018" w14:textId="77777777" w:rsidR="00DB2B68" w:rsidRDefault="00000000">
      <w:r>
        <w:rPr>
          <w:rStyle w:val="headingChar"/>
        </w:rPr>
        <w:t>Matériaux</w:t>
      </w:r>
    </w:p>
    <w:p w14:paraId="526B2D7F" w14:textId="77777777" w:rsidR="00DB2B68" w:rsidRDefault="00000000">
      <w:r>
        <w:t>La fourniture, l'échantillonnage et l'essai des matériaux se font conformément aux normes respectives.</w:t>
      </w:r>
    </w:p>
    <w:p w14:paraId="74BD46D0" w14:textId="77777777" w:rsidR="00DB2B68" w:rsidRDefault="00000000">
      <w:r>
        <w:t>Les matériaux livrés et mis en œuvre sont conformes aux 02.42.1 Critères d'acceptabilité. En cas de doute, des essais de compression peuvent être effectués sur des murets conformément à la méthode décrite dans la norme [NBN EN 1052-1]. </w:t>
      </w:r>
    </w:p>
    <w:p w14:paraId="1C528610" w14:textId="77777777" w:rsidR="00DB2B68" w:rsidRDefault="00000000">
      <w:r>
        <w:rPr>
          <w:rStyle w:val="headingChar"/>
        </w:rPr>
        <w:t>Exécution</w:t>
      </w:r>
    </w:p>
    <w:p w14:paraId="24EDC7E4" w14:textId="77777777" w:rsidR="00DB2B68" w:rsidRDefault="00000000">
      <w:r>
        <w:t>Tous les murs doivent respecter les écarts admissibles maximaux repris dans le tableau 52 de la [NIT 271].</w:t>
      </w:r>
    </w:p>
    <w:p w14:paraId="511A3285" w14:textId="77777777" w:rsidR="00DB2B68" w:rsidRDefault="00000000">
      <w:r>
        <w:rPr>
          <w:shd w:val="clear" w:color="auto" w:fill="FFFFFF"/>
        </w:rPr>
        <w:t xml:space="preserve">L'ouvrage </w:t>
      </w:r>
      <w:r>
        <w:t>peut être refusé lorsque les tolérances susmentionnées ne sont pas respectées.</w:t>
      </w:r>
    </w:p>
    <w:p w14:paraId="7510F719" w14:textId="77777777" w:rsidR="00DB2B68" w:rsidRDefault="00000000">
      <w:pPr>
        <w:pStyle w:val="pheading"/>
      </w:pPr>
      <w:r>
        <w:t>DOCUMENTS DE RÉFÉRENCE</w:t>
      </w:r>
    </w:p>
    <w:p w14:paraId="26E471AB" w14:textId="77777777" w:rsidR="00DB2B68" w:rsidRDefault="00000000">
      <w:pPr>
        <w:pStyle w:val="pheading"/>
      </w:pPr>
      <w:r>
        <w:t>- Matériau</w:t>
      </w:r>
    </w:p>
    <w:p w14:paraId="24E98311" w14:textId="77777777" w:rsidR="00DB2B68" w:rsidRDefault="00000000">
      <w:pPr>
        <w:pStyle w:val="Author-eListParagraph"/>
        <w:numPr>
          <w:ilvl w:val="0"/>
          <w:numId w:val="27"/>
        </w:numPr>
      </w:pPr>
      <w:r>
        <w:t>Eléments de maçonnerie</w:t>
      </w:r>
    </w:p>
    <w:p w14:paraId="2D55E3C4" w14:textId="77777777" w:rsidR="00DB2B68" w:rsidRDefault="00000000">
      <w:r>
        <w:t>[NBN EN 771-1+A1, Spécification pour éléments de maçonnerie - Partie 1: Briques de terre cuite]</w:t>
      </w:r>
    </w:p>
    <w:p w14:paraId="530F9FB5" w14:textId="77777777" w:rsidR="00DB2B68" w:rsidRDefault="00000000">
      <w:r>
        <w:t>[PTV 23-002, Prescriptions techniques pour les briques de façades]</w:t>
      </w:r>
    </w:p>
    <w:p w14:paraId="196EC3DD" w14:textId="77777777" w:rsidR="00DB2B68" w:rsidRDefault="00000000">
      <w:r>
        <w:t>[PTV 23-003, Prescriptions techniques pour les briques de maçonnerie non-décorative]</w:t>
      </w:r>
    </w:p>
    <w:p w14:paraId="495CB859" w14:textId="77777777" w:rsidR="00DB2B68" w:rsidRDefault="00000000">
      <w:r>
        <w:t>[NBN EN 771-2+A1, Spécifications pour éléments de maçonnerie - Partie 2: Éléments de maçonnerie en silico-calcaire]</w:t>
      </w:r>
    </w:p>
    <w:p w14:paraId="0518F79E" w14:textId="77777777" w:rsidR="00DB2B68" w:rsidRDefault="00000000">
      <w:r>
        <w:lastRenderedPageBreak/>
        <w:t>[PTV 21-003, Eléments de maçonnerie en silico-calcaire - Classification et spécifications d'application.]</w:t>
      </w:r>
    </w:p>
    <w:p w14:paraId="29E00E3D" w14:textId="77777777" w:rsidR="00DB2B68" w:rsidRDefault="00000000">
      <w:r>
        <w:t>[NBN EN 771-3+A1, Spécifications pour éléments de maçonnerie - Partie 3: Éléments de maçonnerie en béton de granulats (granulats courants et légers)]</w:t>
      </w:r>
    </w:p>
    <w:p w14:paraId="138F0996" w14:textId="77777777" w:rsidR="00DB2B68" w:rsidRDefault="00000000">
      <w:r>
        <w:t>[PTV 21-001, Eléments de maçonnerie en béton (granulats courants et légers) - Classification et spécifications d'application]</w:t>
      </w:r>
    </w:p>
    <w:p w14:paraId="716F87A5" w14:textId="77777777" w:rsidR="00DB2B68" w:rsidRDefault="00000000">
      <w:r>
        <w:t>[NBN EN 771-4+A1, Spécifications pour éléments de maçonnerie - Partie 4: Éléments de maçonnerie en béton cellulaire autoclavé]</w:t>
      </w:r>
    </w:p>
    <w:p w14:paraId="5EB3C212" w14:textId="77777777" w:rsidR="00DB2B68" w:rsidRDefault="00000000">
      <w:r>
        <w:t>[PTV 21-002, Eléments de maçonnerie en béton cellulaire autoclavé - Classification et spécifications d'application.]</w:t>
      </w:r>
    </w:p>
    <w:p w14:paraId="31291391" w14:textId="77777777" w:rsidR="00DB2B68" w:rsidRDefault="00000000">
      <w:r>
        <w:t>[NBN EN 771-5+A1, Spécifications pour éléments de maçonnerie - Partie 5: Éléments de maçonnerie en pierre reconstituée]</w:t>
      </w:r>
    </w:p>
    <w:p w14:paraId="0FE07227" w14:textId="77777777" w:rsidR="00DB2B68" w:rsidRDefault="00000000">
      <w:r>
        <w:t>[NBN EN 771-6+A1, Spécification pour éléments de maçonnerie - Partie 6: Éléments de maçonnerie en pierre naturelle]</w:t>
      </w:r>
    </w:p>
    <w:p w14:paraId="3087F8CB" w14:textId="77777777" w:rsidR="00DB2B68" w:rsidRDefault="00000000">
      <w:pPr>
        <w:pStyle w:val="Author-eListParagraph"/>
        <w:numPr>
          <w:ilvl w:val="0"/>
          <w:numId w:val="28"/>
        </w:numPr>
      </w:pPr>
      <w:r>
        <w:t>Mortiers de maçonnerie industriels</w:t>
      </w:r>
    </w:p>
    <w:p w14:paraId="6B60472E" w14:textId="77777777" w:rsidR="00DB2B68" w:rsidRDefault="00000000">
      <w:r>
        <w:t>[NBN EN 998-2, Définitions et spécifications des mortiers pour maçonnerie - Partie 2: Mortiers de montage des éléments de maçonnerie]</w:t>
      </w:r>
    </w:p>
    <w:p w14:paraId="67979BD5" w14:textId="77777777" w:rsidR="00DB2B68" w:rsidRDefault="00000000">
      <w:r>
        <w:t>[TRA 651, Édition 2.2 Règlement d’Application pour le mortier de maçonnerie à performances selon la NBN EN 998-2 et le mortier de jointoyage complémentaire selon la Recommandation CUR 61]</w:t>
      </w:r>
    </w:p>
    <w:p w14:paraId="3E42186A" w14:textId="77777777" w:rsidR="00DB2B68" w:rsidRDefault="00000000">
      <w:r>
        <w:t>[CUR Aanbeveling 061, CUR-Aanbeveling 061 - Het voegen en hydrofoberen van metselwerk].</w:t>
      </w:r>
    </w:p>
    <w:p w14:paraId="08AF72C7" w14:textId="77777777" w:rsidR="00DB2B68" w:rsidRDefault="00000000">
      <w:pPr>
        <w:pStyle w:val="Author-eListParagraph"/>
        <w:numPr>
          <w:ilvl w:val="0"/>
          <w:numId w:val="29"/>
        </w:numPr>
      </w:pPr>
      <w:r>
        <w:t>Constituants des mortiers de maçonnerie dosés in situ.</w:t>
      </w:r>
    </w:p>
    <w:p w14:paraId="4DD2EEB8" w14:textId="77777777" w:rsidR="00DB2B68" w:rsidRDefault="00000000">
      <w:r>
        <w:t>[NBN EN 413-1, Ciment à maçonner - Partie 1: Composition, spécifications et critères de conformité]</w:t>
      </w:r>
    </w:p>
    <w:p w14:paraId="301CEC0D" w14:textId="77777777" w:rsidR="00DB2B68" w:rsidRDefault="00000000">
      <w:r>
        <w:t>[NBN EN 197-2, Ciment - Partie 2: Evaluation et vérification de la constance de la performance]</w:t>
      </w:r>
    </w:p>
    <w:p w14:paraId="60987514" w14:textId="77777777" w:rsidR="00DB2B68" w:rsidRDefault="00000000">
      <w:r>
        <w:t>[NBN EN 459-1, Chaux de construction - Partie 1: Définitions, spécifications et critères de conformité]</w:t>
      </w:r>
    </w:p>
    <w:p w14:paraId="53D06F9C" w14:textId="77777777" w:rsidR="00DB2B68" w:rsidRDefault="00000000">
      <w:r>
        <w:t>[NBN EN 13139, Granulats pour mortiers (+AC:2004)]</w:t>
      </w:r>
    </w:p>
    <w:p w14:paraId="7E568A5C" w14:textId="77777777" w:rsidR="00DB2B68" w:rsidRDefault="00000000">
      <w:r>
        <w:t>[NBN EN 934-1, Adjuvants pour béton, mortier et coulis - Partie 1 : Exigences communes]</w:t>
      </w:r>
    </w:p>
    <w:p w14:paraId="5906F1B1" w14:textId="77777777" w:rsidR="00DB2B68" w:rsidRDefault="00000000">
      <w:r>
        <w:t>[NBN EN 934-3+A1, Adjuvants pour béton, mortier et coulis - Partie 3: Adjuvants pour mortier de montage - Définitions, exigences, conformité, marquage et étiquetage]</w:t>
      </w:r>
    </w:p>
    <w:p w14:paraId="7A730051" w14:textId="77777777" w:rsidR="00DB2B68" w:rsidRDefault="00000000">
      <w:pPr>
        <w:pStyle w:val="Author-eListParagraph"/>
        <w:numPr>
          <w:ilvl w:val="0"/>
          <w:numId w:val="30"/>
        </w:numPr>
      </w:pPr>
      <w:r>
        <w:t>Accessoires de maçonnerie (attaches, armatures, consoles, linteaux)</w:t>
      </w:r>
    </w:p>
    <w:p w14:paraId="28E02EA5" w14:textId="77777777" w:rsidR="00DB2B68" w:rsidRDefault="00000000">
      <w:r>
        <w:t>[NBN EN 845-1:2013+A1, Spécification pour composants accessoires de maçonnerie - Partie 1: Attaches, brides de fixation, étriers de support et consoles]</w:t>
      </w:r>
    </w:p>
    <w:p w14:paraId="3B6A364D" w14:textId="77777777" w:rsidR="00DB2B68" w:rsidRDefault="00000000">
      <w:r>
        <w:t>[NBN EN 845-2:2013+A1, Spécifications pour composants accessoires de maçonnerie - Partie 2: Linteaux]</w:t>
      </w:r>
    </w:p>
    <w:p w14:paraId="74B1F0F3" w14:textId="77777777" w:rsidR="00DB2B68" w:rsidRDefault="00000000">
      <w:r>
        <w:t>[NBN EN 845-3:2013+A1, Spécifications pour composants accessoires de maçonnerie - Partie 3: Treillis d'armature en acier pour joints horizontaux]</w:t>
      </w:r>
    </w:p>
    <w:p w14:paraId="69759755" w14:textId="77777777" w:rsidR="00DB2B68" w:rsidRDefault="00000000">
      <w:pPr>
        <w:pStyle w:val="Author-eListParagraph"/>
        <w:numPr>
          <w:ilvl w:val="0"/>
          <w:numId w:val="31"/>
        </w:numPr>
      </w:pPr>
      <w:r>
        <w:t>Divers</w:t>
      </w:r>
    </w:p>
    <w:p w14:paraId="5F3B77DC" w14:textId="77777777" w:rsidR="00DB2B68" w:rsidRDefault="00000000">
      <w:r>
        <w:t>[AR 2013-01-14, Arrêté royal établissant les règles générales d'exécution des marchés publics]</w:t>
      </w:r>
    </w:p>
    <w:p w14:paraId="077226EA" w14:textId="77777777" w:rsidR="00DB2B68" w:rsidRDefault="00DB2B68"/>
    <w:p w14:paraId="414B9961" w14:textId="77777777" w:rsidR="00DB2B68" w:rsidRDefault="00000000">
      <w:r>
        <w:t>[NBN EN 1052-1, Méthodes d'essai de la maçonnerie - Partie 1: Détermination de la résistance à la compression]</w:t>
      </w:r>
    </w:p>
    <w:p w14:paraId="0C47E4D3" w14:textId="77777777" w:rsidR="00DB2B68" w:rsidRDefault="00000000">
      <w:r>
        <w:t>[NBN EN 12371, Méthodes d’essai pour pierres naturelles - Détermination de la résistance au gel]</w:t>
      </w:r>
    </w:p>
    <w:p w14:paraId="3D222A2D"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62B8CAAD" w14:textId="77777777" w:rsidR="00DB2B68" w:rsidRDefault="00000000">
      <w:r>
        <w:lastRenderedPageBreak/>
        <w:t>[NBN EN 1996 série, Eurocode 6 : Calcul des ouvrages en maçonnerie]</w:t>
      </w:r>
    </w:p>
    <w:p w14:paraId="66442FE1" w14:textId="77777777" w:rsidR="00DB2B68" w:rsidRDefault="00000000">
      <w:r>
        <w:t>[NBN EN 1996-1-1+A1 ANB, Eurocode 6 : Calcul des ouvrages en maçonnerie - Partie 1-1: Règles communes pour ouvrages en maçonnerie armée et non armée - Annexe nationale]</w:t>
      </w:r>
    </w:p>
    <w:p w14:paraId="60EDAD31" w14:textId="77777777" w:rsidR="00DB2B68" w:rsidRDefault="00000000">
      <w:r>
        <w:t>[NBN EN 1996-1-1+A1, Eurocode 6 : Calcul des ouvrages en maçonnerie - Partie 1-1: Règles générales pour ouvrages en maçonnerie armée et non armée]</w:t>
      </w:r>
    </w:p>
    <w:p w14:paraId="191A2491" w14:textId="77777777" w:rsidR="00DB2B68" w:rsidRDefault="00000000">
      <w:r>
        <w:t>[NBN EN 1996-1-2 ANB, Eurocode 6 - Calcul des ouvrages en maçonnerie - Partie 1-2: Règles générales - Calcul du comportement au feu - Annexe nationale]</w:t>
      </w:r>
    </w:p>
    <w:p w14:paraId="1AF99A81" w14:textId="77777777" w:rsidR="00DB2B68" w:rsidRDefault="00000000">
      <w:r>
        <w:t>[NIT 208, Jointoiement des maçonneries.]</w:t>
      </w:r>
    </w:p>
    <w:p w14:paraId="74A919CE" w14:textId="77777777" w:rsidR="00DB2B68" w:rsidRDefault="00000000">
      <w:r>
        <w:t>[NIT 228, Pierres naturelles (NIT interactive et évolutive en remplacement de la NIT 205).]</w:t>
      </w:r>
    </w:p>
    <w:p w14:paraId="164FF6F7" w14:textId="77777777" w:rsidR="00DB2B68" w:rsidRDefault="00000000">
      <w:r>
        <w:t>[STS 22 série, Maçonnerie pour constructions basses]</w:t>
      </w:r>
    </w:p>
    <w:p w14:paraId="14C2106A" w14:textId="77777777" w:rsidR="00DB2B68" w:rsidRDefault="00000000">
      <w:r>
        <w:t>[SWL GSI/T1/C, Guides sécurité incendie - Tome 1 Prévention passive - Guide C Résistance au feu]</w:t>
      </w:r>
    </w:p>
    <w:p w14:paraId="73FC6C33" w14:textId="77777777" w:rsidR="00DB2B68" w:rsidRDefault="00000000">
      <w:r>
        <w:t>[AM 2013-05-17, Arrêté ministériel relatif à l’utilisation des Eurocodes comme méthodes de calcul pour l’évaluation de la résistance au feu d’éléments de construction]</w:t>
      </w:r>
    </w:p>
    <w:p w14:paraId="35CFDB7C" w14:textId="77777777" w:rsidR="00DB2B68" w:rsidRDefault="00000000">
      <w:pPr>
        <w:pStyle w:val="pheading"/>
      </w:pPr>
      <w:r>
        <w:t>- Exécution</w:t>
      </w:r>
    </w:p>
    <w:p w14:paraId="022400BD" w14:textId="77777777" w:rsidR="00DB2B68" w:rsidRDefault="00000000">
      <w:r>
        <w:t>[NBN EN 1996-1-1+A1, Eurocode 6 : Calcul des ouvrages en maçonnerie - Partie 1-1: Règles générales pour ouvrages en maçonnerie armée et non armée]</w:t>
      </w:r>
    </w:p>
    <w:p w14:paraId="3A3CFA39" w14:textId="77777777" w:rsidR="00DB2B68" w:rsidRDefault="00000000">
      <w:r>
        <w:t>[NBN EN 1996-1-2 ANB, Eurocode 6 - Calcul des ouvrages en maçonnerie - Partie 1-2: Règles générales - Calcul du comportement au feu - Annexe nationale]</w:t>
      </w:r>
    </w:p>
    <w:p w14:paraId="505832F3" w14:textId="77777777" w:rsidR="00DB2B68" w:rsidRDefault="00000000">
      <w:r>
        <w:t>[NBN EN 1996-2 ANB, Eurocode 6 - Calcul des ouvrages en maçonnerie - Partie 2 : Conception, choix des matériaux et mise en oeuvre des maçonneries - Annexe nationale]</w:t>
      </w:r>
    </w:p>
    <w:p w14:paraId="62A787BD" w14:textId="77777777" w:rsidR="00DB2B68" w:rsidRDefault="00000000">
      <w:r>
        <w:t>[NBN EN 1996-3, Eurocode 6 - Calcul des ouvrages en maçonnerie - Partie 3: Méthodes de calcul simplifiées pour les ouvrages en maçonnerie non armée (+ AC:2009)]</w:t>
      </w:r>
    </w:p>
    <w:p w14:paraId="500F5A57" w14:textId="77777777" w:rsidR="00DB2B68" w:rsidRDefault="00000000">
      <w:r>
        <w:t>[STS 22 série, Maçonnerie pour constructions basses]</w:t>
      </w:r>
    </w:p>
    <w:p w14:paraId="78099F08" w14:textId="77777777" w:rsidR="00DB2B68" w:rsidRDefault="00000000">
      <w:r>
        <w:t>[NBN EN 845-3:2013+A1, Spécifications pour composants accessoires de maçonnerie - Partie 3: Treillis d'armature en acier pour joints horizontaux]</w:t>
      </w:r>
    </w:p>
    <w:p w14:paraId="2426F789" w14:textId="77777777" w:rsidR="00DB2B68" w:rsidRDefault="00000000">
      <w:r>
        <w:t>[NIT 208, Jointoiement des maçonneries.]</w:t>
      </w:r>
    </w:p>
    <w:p w14:paraId="05F2FF8A" w14:textId="77777777" w:rsidR="00DB2B68" w:rsidRDefault="00000000">
      <w:r>
        <w:t>[STS 04 série, Bois et panneaux à base de bois]</w:t>
      </w:r>
    </w:p>
    <w:p w14:paraId="56421085" w14:textId="77777777" w:rsidR="00DB2B68" w:rsidRDefault="00000000">
      <w:r>
        <w:t>[NIT 271, Exécution des maçonneries]</w:t>
      </w:r>
    </w:p>
    <w:p w14:paraId="3F80B1C8" w14:textId="77777777" w:rsidR="00DB2B68" w:rsidRDefault="00000000">
      <w:r>
        <w:t>[NIT 286, La pose des menuiseries extérieures Partie 2 : Mise en oeuvre de châssis en bois dans des murs creux]</w:t>
      </w:r>
    </w:p>
    <w:p w14:paraId="47311BF9" w14:textId="77777777" w:rsidR="00DB2B68" w:rsidRDefault="00000000">
      <w:r>
        <w:t> </w:t>
      </w:r>
    </w:p>
    <w:p w14:paraId="420B02E3" w14:textId="77777777" w:rsidR="00DB2B68" w:rsidRDefault="00000000">
      <w:r>
        <w:rPr>
          <w:i/>
          <w:u w:val="single"/>
          <w:shd w:val="clear" w:color="auto" w:fill="FFFFFF"/>
        </w:rPr>
        <w:t>Documents généraux</w:t>
      </w:r>
    </w:p>
    <w:p w14:paraId="3B7A99BA" w14:textId="77777777" w:rsidR="00DB2B68" w:rsidRDefault="00000000">
      <w:r>
        <w:t>[NBN B 04-001, Coordination dimensionnelle dans le bâtiment - Notions de base - Principes d'utilisation - Modules préférentiels]</w:t>
      </w:r>
    </w:p>
    <w:p w14:paraId="6968578C" w14:textId="77777777" w:rsidR="00DB2B68" w:rsidRDefault="00000000">
      <w:r>
        <w:t>[NBN S 21-2xx série, Protection incendie dans les bâtiments]</w:t>
      </w:r>
    </w:p>
    <w:p w14:paraId="62F39409" w14:textId="77777777" w:rsidR="00DB2B68" w:rsidRDefault="00000000">
      <w:r>
        <w:t>[NBN EN 13501-1, Classement au feu des produits et éléments de construction - Partie 1: Classement à partir des données d'essais de réaction au feu]</w:t>
      </w:r>
    </w:p>
    <w:p w14:paraId="358318FA" w14:textId="77777777" w:rsidR="00DB2B68" w:rsidRDefault="00000000">
      <w:r>
        <w:t>[NBN 713-020, Protection contre l'incendie - Comportement au feu des matériaux et éléments de construction - Résistance au feu des éléments de construction (avec erratum)]</w:t>
      </w:r>
    </w:p>
    <w:p w14:paraId="01620464"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284F3471" w14:textId="77777777" w:rsidR="00DB2B68" w:rsidRDefault="00000000">
      <w:r>
        <w:t>[AR 1994-07-07, Arrêté royal fixant les normes de base en matière de prévention contre l'incendie et l'explosion, auxquelles les bâtiments nouveaux doivent satisfaire]</w:t>
      </w:r>
    </w:p>
    <w:p w14:paraId="019B8ACE" w14:textId="77777777" w:rsidR="00DB2B68" w:rsidRDefault="00000000">
      <w:r>
        <w:lastRenderedPageBreak/>
        <w:t>[NBN S 01-400, Acoustique - Critères de l'isolation acoustique]</w:t>
      </w:r>
    </w:p>
    <w:p w14:paraId="47289ED8" w14:textId="77777777" w:rsidR="00DB2B68" w:rsidRDefault="00000000">
      <w:r>
        <w:t>[NBN S 01-401, Acoustique - Valeurs limites des niveaux de bruit en vue d'éviter l'inconfort dans les bâtiments]</w:t>
      </w:r>
    </w:p>
    <w:p w14:paraId="7C62A7C9" w14:textId="77777777" w:rsidR="00DB2B68" w:rsidRDefault="00000000">
      <w:r>
        <w:t>[NBN EN ISO 717-1, Acoustique - Évaluation de l'isolement acoustique des immeubles et des éléments de construction - Partie 1: Isolement aux bruits aériens (ISO 717-1:2020)]</w:t>
      </w:r>
    </w:p>
    <w:p w14:paraId="6FCBB983" w14:textId="77777777" w:rsidR="00DB2B68" w:rsidRDefault="00000000">
      <w:r>
        <w:t>[NBN EN ISO 717-2, Acoustique - Évaluation de l'isolement acoustique des immeubles et des éléments de construction - Partie 2: Protection contre le bruit de choc (ISO 717-2:2020)]</w:t>
      </w:r>
    </w:p>
    <w:p w14:paraId="7598BB37" w14:textId="77777777" w:rsidR="00DB2B68" w:rsidRDefault="00DB2B68"/>
    <w:p w14:paraId="7F532B15" w14:textId="77777777" w:rsidR="00DB2B68" w:rsidRDefault="00000000">
      <w:r>
        <w:t>[NBN EN ISO 15148, Performance hygrothermique des matériaux et produits pour le bâtiment - Détermination du coefficient d'absorption d'eau par immersion partielle (ISO 15148:2002)]</w:t>
      </w:r>
    </w:p>
    <w:p w14:paraId="34A8B971" w14:textId="77777777" w:rsidR="00DB2B68" w:rsidRDefault="00000000">
      <w:r>
        <w:t>[NBN B 62-201, Détermination à l'état sec de la conductivité thermique ou de la perméance thermique des matériaux de construction par la méthode de la plaque chauffante à anneau de garde]</w:t>
      </w:r>
    </w:p>
    <w:p w14:paraId="47DF04C8" w14:textId="77777777" w:rsidR="00DB2B68" w:rsidRDefault="00000000">
      <w:r>
        <w:t>[NBN EN ISO 8990, Isolation thermique - Détermination des propriétés de transmission thermique en régime stationnaire - Méthodes à la boîte chaude gardée et calibrée (ISO 8990:1994)]</w:t>
      </w:r>
    </w:p>
    <w:p w14:paraId="51C7599A" w14:textId="77777777" w:rsidR="00DB2B68" w:rsidRDefault="00000000">
      <w:r>
        <w:t>[SWL GSI/T1/A, Guides sécurité incendie - Tome 1 Prévention passive - Guide A Organisation spatiale des bâtiments]</w:t>
      </w:r>
    </w:p>
    <w:p w14:paraId="67C546D4" w14:textId="77777777" w:rsidR="00DB2B68" w:rsidRDefault="00000000">
      <w:r>
        <w:t>[SWL GSI/T1/B, Guides sécurité incendie - Tome 1 Prévention passive - Guide B Réaction au feu]</w:t>
      </w:r>
    </w:p>
    <w:p w14:paraId="163B23B6" w14:textId="77777777" w:rsidR="00DB2B68" w:rsidRDefault="00000000">
      <w:r>
        <w:t>[SWL GSI/T1/C, Guides sécurité incendie - Tome 1 Prévention passive - Guide C Résistance au feu]</w:t>
      </w:r>
    </w:p>
    <w:p w14:paraId="75D5B7C8" w14:textId="77777777" w:rsidR="00DB2B68" w:rsidRDefault="00000000">
      <w:pPr>
        <w:pStyle w:val="pheading"/>
      </w:pPr>
      <w:r>
        <w:t>AIDE</w:t>
      </w:r>
    </w:p>
    <w:p w14:paraId="22F87C7A" w14:textId="77777777" w:rsidR="00DB2B68" w:rsidRDefault="00000000">
      <w:r>
        <w:t>Note 1</w:t>
      </w:r>
      <w:r>
        <w:br/>
        <w:t>- Généralement, pour les maçonneries de fondation, on utilise des blocs en béton creux ou pleins ; les briques de terre cuite ou silico-calcaires ne sont que très rarement utilisées.</w:t>
      </w:r>
    </w:p>
    <w:p w14:paraId="31CC21DF" w14:textId="77777777" w:rsidR="00DB2B68" w:rsidRDefault="00000000">
      <w:r>
        <w:t>- Les mortiers de ciment présentent une résistance supérieure à la compression par rapport aux mortiers bâtards ; en outre, leur prise est plus rapide. Cependant, ils sont plus sensibles au retrait.</w:t>
      </w:r>
    </w:p>
    <w:p w14:paraId="7F3C41C6" w14:textId="77777777" w:rsidR="00DB2B68" w:rsidRDefault="00000000">
      <w:r>
        <w:t>- Les mortiers bâtards ont l’avantage d'être plus élastiques et plus faciles à travailler que les mortiers de ciment purs tandis que leur retrait est nettement moindre. La chaux joue le rôle de plastifiant qui retient mieux l'eau de gâchage. C'est pourquoi l'utilisation du mortier bâtard est recommandée par temps chaud ou pour le maçonnage des matériaux poreux. L'inconvénient du mortier bâtard est que le temps de durcissement s'en trouve accru.</w:t>
      </w:r>
    </w:p>
    <w:p w14:paraId="45B439FF" w14:textId="77777777" w:rsidR="00DB2B68" w:rsidRDefault="00000000">
      <w:r>
        <w:t>- La catégorie du mortier correspond au taux de résistance à la compression imposé pour la maçonnerie. - Pour la maçonnerie armée, seul le mortier de catégorie M20 ou 12 est autorisé.</w:t>
      </w:r>
    </w:p>
    <w:p w14:paraId="2E21C939" w14:textId="77777777" w:rsidR="00DB2B68" w:rsidRDefault="00000000">
      <w:r>
        <w:t>- Le mortier en contact avec des environnements corrosifs (eau pure, eau corrosive, eaux usées, terre, eau de mer, …) est toujours de la catégorie M20.</w:t>
      </w:r>
    </w:p>
    <w:p w14:paraId="61316486" w14:textId="77777777" w:rsidR="00DB2B68" w:rsidRDefault="00000000">
      <w:r>
        <w:rPr>
          <w:i/>
        </w:rPr>
        <w:t>Note 2.</w:t>
      </w:r>
      <w:r>
        <w:br/>
        <w:t>- Afin de répartir les charges, de reprendre les tassements différentiels et d'ancrer les éventuelles charpentes de toiture, il peut s'avérer intéressant d'appliquer des poutres de ceinture pour les bâtiments de plus de deux étages, ainsi que dans le cas les dalles de sol en indépendance sur les murs en maçonnerie de blocs de béton cellulaire autoclavé.</w:t>
      </w:r>
    </w:p>
    <w:p w14:paraId="3EEA5A32" w14:textId="77777777" w:rsidR="00DB2B68" w:rsidRDefault="00000000">
      <w:r>
        <w:t xml:space="preserve">- Les notes d'exécution complémentaires doivent toujours être spécifiées séparément dans le cahier spécial des charges, soit en coordination avec les linteaux (par ex. continus pour les murs contenant de larges ouvertures), soit en coordination avec le coulage des dalles de compression sur les dalles de sol (voir [STS 22 série]). L'exécution de ces travaux est comprise dans la section </w:t>
      </w:r>
      <w:hyperlink w:anchor="479" w:history="1">
        <w:r>
          <w:rPr>
            <w:color w:val="0000EE"/>
          </w:rPr>
          <w:t>26 Etanchéisation et isolation</w:t>
        </w:r>
      </w:hyperlink>
      <w:r>
        <w:t>.</w:t>
      </w:r>
      <w:r>
        <w:br/>
      </w:r>
      <w:r>
        <w:br/>
        <w:t>- Une approbation du concept de maçonnerie par un organisme de contrôle peut être exigée.</w:t>
      </w:r>
    </w:p>
    <w:p w14:paraId="3F93111F" w14:textId="77777777" w:rsidR="00DB2B68" w:rsidRDefault="00000000">
      <w:r>
        <w:rPr>
          <w:rStyle w:val="normalChar"/>
          <w:i/>
        </w:rPr>
        <w:t>Note 3.</w:t>
      </w:r>
      <w:r>
        <w:br/>
      </w:r>
      <w:r>
        <w:rPr>
          <w:rStyle w:val="normalChar"/>
          <w:color w:val="000000"/>
        </w:rPr>
        <w:t xml:space="preserve">Afin de pouvoir résister aux sollicitations horizontales, les éléments de construction doivent eux-mêmes être résistants à la flexion tandis que les liaisons entre les éléments horizontaux et verticaux </w:t>
      </w:r>
      <w:r>
        <w:rPr>
          <w:rStyle w:val="normalChar"/>
          <w:color w:val="000000"/>
        </w:rPr>
        <w:lastRenderedPageBreak/>
        <w:t>doivent pouvoir transmettre les forces de cisaillement. A cet effet, il est indispensable qu'il y ait suffisamment de murs porteurs dans les deux directions et qu'ils soient reliés de manière organique (harpage par exemple).</w:t>
      </w:r>
    </w:p>
    <w:p w14:paraId="0804ADC1" w14:textId="77777777" w:rsidR="00DB2B68" w:rsidRDefault="00000000">
      <w:pPr>
        <w:spacing w:line="259" w:lineRule="auto"/>
      </w:pPr>
      <w:r>
        <w:rPr>
          <w:rStyle w:val="normalChar"/>
          <w:i/>
          <w:color w:val="000000"/>
        </w:rPr>
        <w:t>Note 4.</w:t>
      </w:r>
      <w:r>
        <w:t>Les documents de référence relatifs aux produits spécifient certes des critères mais n'imposent aucune valeur aux produits. Ainsi, pour les calculs de la maçonnerie portante, il incombe à l'auteur de projet de fixer lui-même, pour l'application qu'il envisage, les valeurs et classes de performances pour les critères mentionnés dans la norme, tels que le poids, la résistance à la compression, etc.</w:t>
      </w:r>
    </w:p>
    <w:p w14:paraId="368A7046" w14:textId="77777777" w:rsidR="00DB2B68" w:rsidRDefault="00000000">
      <w:pPr>
        <w:pStyle w:val="Author-eSectionHeading3Numberless"/>
      </w:pPr>
      <w:bookmarkStart w:id="4" w:name="_Toc220495177"/>
      <w:r>
        <w:t>21.1 Maçonneries portantes CCTB 01.11</w:t>
      </w:r>
      <w:bookmarkEnd w:id="4"/>
    </w:p>
    <w:p w14:paraId="7801F8E1" w14:textId="77777777" w:rsidR="00DB2B68" w:rsidRDefault="00000000">
      <w:pPr>
        <w:pStyle w:val="pheading"/>
      </w:pPr>
      <w:bookmarkStart w:id="5" w:name="294"/>
      <w:bookmarkEnd w:id="5"/>
      <w:r>
        <w:t>DESCRIPTION</w:t>
      </w:r>
    </w:p>
    <w:p w14:paraId="7EB5CC91" w14:textId="77777777" w:rsidR="00DB2B68" w:rsidRDefault="00000000">
      <w:pPr>
        <w:pStyle w:val="pheading"/>
      </w:pPr>
      <w:r>
        <w:t>- Définition / Comprend</w:t>
      </w:r>
    </w:p>
    <w:p w14:paraId="1F75C832" w14:textId="77777777" w:rsidR="00DB2B68" w:rsidRDefault="00000000">
      <w:pPr>
        <w:jc w:val="both"/>
      </w:pPr>
      <w:r>
        <w:t>Cet élément concerne :</w:t>
      </w:r>
    </w:p>
    <w:p w14:paraId="048DE0D6" w14:textId="77777777" w:rsidR="00DB2B68" w:rsidRDefault="00000000">
      <w:pPr>
        <w:pStyle w:val="Author-eListParagraph"/>
        <w:numPr>
          <w:ilvl w:val="0"/>
          <w:numId w:val="32"/>
        </w:numPr>
      </w:pPr>
      <w:r>
        <w:t>la maçonnerie enterrée pour les "fondations directes", c'est-à-dire tous les murs en contact avec les terres, la maçonnerie des murs continus des caves et vides sanitaires,</w:t>
      </w:r>
    </w:p>
    <w:p w14:paraId="51F72DD5" w14:textId="77777777" w:rsidR="00DB2B68" w:rsidRDefault="00000000">
      <w:pPr>
        <w:pStyle w:val="Author-eListParagraph"/>
        <w:numPr>
          <w:ilvl w:val="0"/>
          <w:numId w:val="32"/>
        </w:numPr>
      </w:pPr>
      <w:r>
        <w:t xml:space="preserve">tous les murs de contre-façade porteurs et, le cas échéant, les murs extérieurs massifs (à plafonner) exécutés en blocs de construction ou en brique. Le mur de parement est soit décrit au chapitre </w:t>
      </w:r>
      <w:hyperlink w:anchor="381" w:history="1">
        <w:r>
          <w:rPr>
            <w:color w:val="0000EE"/>
          </w:rPr>
          <w:t>21.3 Maçonneries de parement</w:t>
        </w:r>
      </w:hyperlink>
      <w:r>
        <w:t xml:space="preserve"> soit réalisé conformément aux revêtements de façade prévus dans le chapitre 43 Revêtements de façade.</w:t>
      </w:r>
    </w:p>
    <w:p w14:paraId="12A63825" w14:textId="77777777" w:rsidR="00DB2B68" w:rsidRDefault="00000000">
      <w:pPr>
        <w:pStyle w:val="Author-eListParagraph"/>
        <w:numPr>
          <w:ilvl w:val="0"/>
          <w:numId w:val="32"/>
        </w:numPr>
      </w:pPr>
      <w:r>
        <w:t>les murs intérieurs porteurs réalisés en blocs/briques</w:t>
      </w:r>
    </w:p>
    <w:p w14:paraId="0DC4AF46" w14:textId="77777777" w:rsidR="00DB2B68" w:rsidRDefault="00000000">
      <w:pPr>
        <w:jc w:val="both"/>
      </w:pPr>
      <w:r>
        <w:t>Ce poste comprend tous les éléments, travaux et fournitures pour la réalisation des murs porteurs en maçonnerie.</w:t>
      </w:r>
    </w:p>
    <w:p w14:paraId="4D84BD03" w14:textId="77777777" w:rsidR="00DB2B68" w:rsidRDefault="00000000">
      <w:pPr>
        <w:pStyle w:val="pheading"/>
      </w:pPr>
      <w:r>
        <w:t>EXÉCUTION / MISE EN ŒUVRE</w:t>
      </w:r>
    </w:p>
    <w:p w14:paraId="7853F8D9" w14:textId="77777777" w:rsidR="00DB2B68" w:rsidRDefault="00000000">
      <w:r>
        <w:t xml:space="preserve">La maçonnerie est exécutée conformément aux prescriptions de la [NBN EN 1996 série], de la [STS 22 série], de la [NIT 271] et du chapitre </w:t>
      </w:r>
      <w:hyperlink w:anchor="295" w:history="1">
        <w:r>
          <w:rPr>
            <w:color w:val="0000EE"/>
          </w:rPr>
          <w:t>21 Superstructures en maçonnerie</w:t>
        </w:r>
      </w:hyperlink>
      <w:r>
        <w:t>. Tous les joints horizontaux et verticaux sont remplis, sauf indication contraire du fabricant. Les remblayages ne peuvent être effectués qu'avec l'accord de l'auteur de projet et lorsque les enduits et badigeonnages des maçonneries des murs des caves et des vides sanitaires ont été exécutés et sont suffisamment durcis.</w:t>
      </w:r>
    </w:p>
    <w:p w14:paraId="487E9817" w14:textId="77777777" w:rsidR="00DB2B68" w:rsidRDefault="00000000">
      <w:pPr>
        <w:pStyle w:val="pheading"/>
      </w:pPr>
      <w:r>
        <w:t>AIDE</w:t>
      </w:r>
    </w:p>
    <w:p w14:paraId="3B9D7C8D" w14:textId="77777777" w:rsidR="00DB2B68" w:rsidRDefault="00000000">
      <w:r>
        <w:t>Note à l'attention de l'auteur du projet</w:t>
      </w:r>
    </w:p>
    <w:p w14:paraId="23C01107" w14:textId="77777777" w:rsidR="00DB2B68" w:rsidRDefault="00000000">
      <w:r>
        <w:t>- Lorsque des murs de refend sont liaisonnés aux murs extérieurs continus des caves, les éventuels cimentages hydrofuges prévus à l'intérieur des murs de cave doivent, en principe, être appliqués également sur ces murs de refend.</w:t>
      </w:r>
    </w:p>
    <w:p w14:paraId="1A5A1149" w14:textId="77777777" w:rsidR="00DB2B68" w:rsidRDefault="00000000">
      <w:r>
        <w:t>- Lorsque les murs de refend sont construits indépendamment des murs de caves avec un joint ouvert, le cimentage hydrofuge sur la face intérieure des murs de cave est d'abord effectué avant de refermer le joint vertical entre les deux murs.</w:t>
      </w:r>
    </w:p>
    <w:p w14:paraId="0C55EBE6" w14:textId="77777777" w:rsidR="00DB2B68" w:rsidRDefault="00000000">
      <w:r>
        <w:t xml:space="preserve">- Les murs de séparation non porteurs qui sont prévus au chap. </w:t>
      </w:r>
      <w:hyperlink w:anchor="383" w:history="1">
        <w:r>
          <w:t>21.2</w:t>
        </w:r>
      </w:hyperlink>
      <w:r>
        <w:t xml:space="preserve"> sont construits indépendamment des murs de cave continus et le joint vertical de séparation est laissé ouvert.</w:t>
      </w:r>
    </w:p>
    <w:p w14:paraId="574789E1" w14:textId="77777777" w:rsidR="00DB2B68" w:rsidRDefault="00000000">
      <w:pPr>
        <w:pStyle w:val="Author-eSectionHeading4Numberless"/>
      </w:pPr>
      <w:bookmarkStart w:id="6" w:name="_Toc220495178"/>
      <w:r>
        <w:t>21.11 Maçonneries portantes en briques CCTB 01.11</w:t>
      </w:r>
      <w:bookmarkEnd w:id="6"/>
    </w:p>
    <w:p w14:paraId="6E8166D6" w14:textId="77777777" w:rsidR="00DB2B68" w:rsidRDefault="00000000">
      <w:pPr>
        <w:pStyle w:val="pheading"/>
      </w:pPr>
      <w:bookmarkStart w:id="7" w:name="453"/>
      <w:bookmarkEnd w:id="7"/>
      <w:r>
        <w:t>DOCUMENTS DE RÉFÉRENCE</w:t>
      </w:r>
    </w:p>
    <w:p w14:paraId="7553015F" w14:textId="77777777" w:rsidR="00DB2B68" w:rsidRDefault="00000000">
      <w:pPr>
        <w:pStyle w:val="pheading"/>
      </w:pPr>
      <w:r>
        <w:t>- Exécution</w:t>
      </w:r>
    </w:p>
    <w:p w14:paraId="0C688D6E" w14:textId="77777777" w:rsidR="00DB2B68" w:rsidRDefault="00000000">
      <w:pPr>
        <w:pStyle w:val="heading"/>
      </w:pPr>
      <w:r>
        <w:rPr>
          <w:rStyle w:val="normalChar"/>
        </w:rPr>
        <w:t>-</w:t>
      </w:r>
      <w:r>
        <w:rPr>
          <w:rStyle w:val="normalChar"/>
          <w:color w:val="000000"/>
        </w:rPr>
        <w:t xml:space="preserve"> Notes d'exécution complémentaires</w:t>
      </w:r>
    </w:p>
    <w:p w14:paraId="22066870" w14:textId="77777777" w:rsidR="00DB2B68" w:rsidRDefault="00000000">
      <w:r>
        <w:t xml:space="preserve">Ancrages : </w:t>
      </w:r>
      <w:r>
        <w:rPr>
          <w:rStyle w:val="optioncarChar"/>
        </w:rPr>
        <w:t>***</w:t>
      </w:r>
    </w:p>
    <w:p w14:paraId="6AE1625B" w14:textId="77777777" w:rsidR="00DB2B68" w:rsidRDefault="00000000">
      <w:r>
        <w:t xml:space="preserve">Isolation contre l'humidité : </w:t>
      </w:r>
      <w:r>
        <w:rPr>
          <w:rStyle w:val="optioncarChar"/>
        </w:rPr>
        <w:t>***</w:t>
      </w:r>
    </w:p>
    <w:p w14:paraId="63873CCF" w14:textId="77777777" w:rsidR="00DB2B68" w:rsidRDefault="00000000">
      <w:r>
        <w:lastRenderedPageBreak/>
        <w:t>Les segments de murs suivants sont pourvus d'armatures: conformément au chapitre </w:t>
      </w:r>
      <w:hyperlink w:anchor="366" w:history="1">
        <w:r>
          <w:rPr>
            <w:color w:val="0000EE"/>
          </w:rPr>
          <w:t>21.4 Eléments particuliers pour maçonneries</w:t>
        </w:r>
      </w:hyperlink>
    </w:p>
    <w:p w14:paraId="5634C5DD" w14:textId="77777777" w:rsidR="00DB2B68" w:rsidRDefault="00000000">
      <w:r>
        <w:t>Pour les maçonneries de caves destinées à rester apparentes, seules des briques non endommagées sont utilisées. Les joints des murs de cave destinés à rester apparents sont rejointoyés en montant.</w:t>
      </w:r>
    </w:p>
    <w:p w14:paraId="41978202" w14:textId="77777777" w:rsidR="00DB2B68" w:rsidRDefault="00000000">
      <w:r>
        <w:t>Pour les murs attenants, les chaînages nécessaires sont prévus dans la maçonnerie continue.</w:t>
      </w:r>
    </w:p>
    <w:p w14:paraId="6C634E95" w14:textId="77777777" w:rsidR="00DB2B68" w:rsidRDefault="00000000">
      <w:r>
        <w:t xml:space="preserve">Les maçonneries des murs de cave en contact avec les terres sont rendues étanches selon la description de l'article </w:t>
      </w:r>
      <w:hyperlink w:anchor="359" w:history="1">
        <w:r>
          <w:rPr>
            <w:color w:val="0000EE"/>
          </w:rPr>
          <w:t>26.12 Traitements d'étanchéisation</w:t>
        </w:r>
      </w:hyperlink>
      <w:r>
        <w:t>. Traitements d'étanchéisation</w:t>
      </w:r>
    </w:p>
    <w:p w14:paraId="38CA8B63" w14:textId="77777777" w:rsidR="00DB2B68" w:rsidRDefault="00000000">
      <w:r>
        <w:t xml:space="preserve">Sur la face intérieure des murs de cave, un cimentage hydrofuge est prévu selon </w:t>
      </w:r>
      <w:r>
        <w:rPr>
          <w:rStyle w:val="optioncarChar"/>
        </w:rPr>
        <w:t>***</w:t>
      </w:r>
    </w:p>
    <w:p w14:paraId="4D52261D" w14:textId="77777777" w:rsidR="00DB2B68" w:rsidRDefault="00000000">
      <w:pPr>
        <w:pStyle w:val="pheading"/>
      </w:pPr>
      <w:r>
        <w:t>AIDE</w:t>
      </w:r>
    </w:p>
    <w:p w14:paraId="638CF582" w14:textId="77777777" w:rsidR="00DB2B68" w:rsidRDefault="00000000">
      <w:r>
        <w:t xml:space="preserve">Note à l'attention de l'auteur du projet </w:t>
      </w:r>
      <w:r>
        <w:br/>
        <w:t xml:space="preserve">Pour les maçonneries de caves et fondations, on utilise généralement des blocs de béton au lieu de briques de terre cuite pleines. Dans ce cas, la largeur de la maçonnerie en blocs de béton ne doit plus dépasser celle du mur extérieur. </w:t>
      </w:r>
    </w:p>
    <w:p w14:paraId="31B3674D" w14:textId="77777777" w:rsidR="00DB2B68" w:rsidRDefault="00000000">
      <w:pPr>
        <w:pStyle w:val="Author-eSectionHeading5Numberless"/>
      </w:pPr>
      <w:bookmarkStart w:id="8" w:name="_Toc220495179"/>
      <w:r>
        <w:t>21.11.1 Maçonneries portantes en briques de terre cuite CCTB 01.11</w:t>
      </w:r>
      <w:bookmarkEnd w:id="8"/>
    </w:p>
    <w:p w14:paraId="4A8EBE1A" w14:textId="77777777" w:rsidR="00DB2B68" w:rsidRDefault="00000000">
      <w:pPr>
        <w:pStyle w:val="pheading"/>
      </w:pPr>
      <w:bookmarkStart w:id="9" w:name="378"/>
      <w:bookmarkEnd w:id="9"/>
      <w:r>
        <w:t>DESCRIPTION</w:t>
      </w:r>
    </w:p>
    <w:p w14:paraId="611FD013" w14:textId="77777777" w:rsidR="00DB2B68" w:rsidRDefault="00000000">
      <w:pPr>
        <w:pStyle w:val="pheading"/>
      </w:pPr>
      <w:r>
        <w:t>- Définition / Comprend</w:t>
      </w:r>
    </w:p>
    <w:p w14:paraId="1C7E4092" w14:textId="77777777" w:rsidR="00DB2B68" w:rsidRDefault="00000000">
      <w:pPr>
        <w:jc w:val="both"/>
      </w:pPr>
      <w:r>
        <w:t>Il s’agit de la fourniture (hors matériaux récupérés du site) et de la pose de maçonneries portantes en briques de terre cuite ainsi que les étanchéités, armatures et accessoires nécessaires.</w:t>
      </w:r>
    </w:p>
    <w:p w14:paraId="327FE872" w14:textId="77777777" w:rsidR="00DB2B68" w:rsidRDefault="00000000">
      <w:pPr>
        <w:pStyle w:val="pheading"/>
      </w:pPr>
      <w:r>
        <w:t>MATÉRIAUX</w:t>
      </w:r>
    </w:p>
    <w:p w14:paraId="70053B39" w14:textId="77777777" w:rsidR="00DB2B68" w:rsidRDefault="00000000">
      <w:pPr>
        <w:jc w:val="both"/>
      </w:pPr>
      <w:r>
        <w:t xml:space="preserve">Briques de terre cuite (selon les indications sur plans) : </w:t>
      </w:r>
      <w:r>
        <w:rPr>
          <w:rStyle w:val="optioncarChar"/>
        </w:rPr>
        <w:t xml:space="preserve">neuves </w:t>
      </w:r>
      <w:r>
        <w:t xml:space="preserve">(par défaut) </w:t>
      </w:r>
      <w:r>
        <w:rPr>
          <w:rStyle w:val="optioncarChar"/>
        </w:rPr>
        <w:t>/ de réemploi</w:t>
      </w:r>
    </w:p>
    <w:p w14:paraId="13BDE36F" w14:textId="77777777" w:rsidR="00DB2B68" w:rsidRDefault="00000000">
      <w:pPr>
        <w:ind w:left="567"/>
        <w:jc w:val="both"/>
      </w:pPr>
      <w:r>
        <w:rPr>
          <w:b/>
        </w:rPr>
        <w:t>(soit par défaut)</w:t>
      </w:r>
    </w:p>
    <w:p w14:paraId="76CAD830" w14:textId="77777777" w:rsidR="00DB2B68" w:rsidRDefault="00000000">
      <w:pPr>
        <w:ind w:left="567"/>
        <w:jc w:val="both"/>
      </w:pPr>
      <w:r>
        <w:rPr>
          <w:u w:val="single"/>
        </w:rPr>
        <w:t>Neuves :</w:t>
      </w:r>
      <w:r>
        <w:rPr>
          <w:color w:val="33CCCC"/>
        </w:rPr>
        <w:t xml:space="preserve"> il s'agit des briques de construction en terre cuite, qui répondent à la norme </w:t>
      </w:r>
      <w:r>
        <w:t>[NBN EN 771-1+A1]</w:t>
      </w:r>
      <w:r>
        <w:rPr>
          <w:color w:val="33CCCC"/>
        </w:rPr>
        <w:t> et au </w:t>
      </w:r>
      <w:r>
        <w:t>[PTV 23-002]</w:t>
      </w:r>
      <w:r>
        <w:rPr>
          <w:color w:val="33CCCC"/>
        </w:rPr>
        <w:t>. L'entrepreneur soumet un échantillon, la fiche technique et la déclaration des performances (DoP) du matériau pour approbation à l'auteur de projet et au maître de l’ouvrage.</w:t>
      </w:r>
    </w:p>
    <w:p w14:paraId="5ED4927C" w14:textId="77777777" w:rsidR="00DB2B68" w:rsidRDefault="00000000">
      <w:pPr>
        <w:ind w:left="567"/>
        <w:jc w:val="both"/>
      </w:pPr>
      <w:r>
        <w:rPr>
          <w:b/>
        </w:rPr>
        <w:t>(soit)</w:t>
      </w:r>
    </w:p>
    <w:p w14:paraId="1C04925D" w14:textId="77777777" w:rsidR="00DB2B68" w:rsidRDefault="00000000">
      <w:pPr>
        <w:ind w:left="567"/>
        <w:jc w:val="both"/>
      </w:pPr>
      <w:r>
        <w:rPr>
          <w:u w:val="single"/>
        </w:rPr>
        <w:t>Réemploi :</w:t>
      </w:r>
      <w:r>
        <w:rPr>
          <w:color w:val="33CCCC"/>
        </w:rPr>
        <w:t xml:space="preserve"> il s’agit de briques de réemploi comme alternative aux briques neuves. Les caractéristiques techniques répondent au </w:t>
      </w:r>
      <w:r>
        <w:t>[PTV 23-002]</w:t>
      </w:r>
      <w:r>
        <w:rPr>
          <w:color w:val="33CCCC"/>
        </w:rPr>
        <w:t> le cas échéant. Briques récupérées sur place ou modèle à proposer par l’entrepreneur et soumis à l’approbation de l’auteur de projet.</w:t>
      </w:r>
    </w:p>
    <w:p w14:paraId="766FC22A" w14:textId="77777777" w:rsidR="00DB2B68" w:rsidRDefault="00000000">
      <w:pPr>
        <w:ind w:left="567"/>
        <w:jc w:val="both"/>
      </w:pPr>
      <w:r>
        <w:rPr>
          <w:rStyle w:val="soitChar"/>
        </w:rPr>
        <w:t>Les briques de réemploi sont triées sur palette par lot selon leur variété, leur origine (y compris typologie de la paroi de l’usage précédent), leurs dimensions, leur coloration (niveau de cuisson ou composition). Des tests d’orientation (sonner les briques, test d’absorption, etc.) peuvent permettre la distinction en lots. Un lot comporte en général de 1 à 5 palettes.</w:t>
      </w:r>
    </w:p>
    <w:p w14:paraId="3878B0EE" w14:textId="77777777" w:rsidR="00DB2B68" w:rsidRDefault="00000000">
      <w:pPr>
        <w:ind w:left="567"/>
        <w:jc w:val="both"/>
      </w:pPr>
      <w:r>
        <w:rPr>
          <w:rStyle w:val="soitChar"/>
        </w:rPr>
        <w:t xml:space="preserve"> L’évaluation et l’approbation d’un lot vise deux performances fondamentales : la résistance à la compression et la résistance au gel en cas d’exposition au climat extérieur.</w:t>
      </w:r>
    </w:p>
    <w:p w14:paraId="0928750E" w14:textId="77777777" w:rsidR="00DB2B68" w:rsidRDefault="00000000">
      <w:pPr>
        <w:pStyle w:val="Author-eListParagraph"/>
        <w:numPr>
          <w:ilvl w:val="1"/>
          <w:numId w:val="33"/>
        </w:numPr>
      </w:pPr>
      <w:r>
        <w:rPr>
          <w:rStyle w:val="soitChar"/>
        </w:rPr>
        <w:t xml:space="preserve">Résistance à la compression : </w:t>
      </w:r>
      <w:r>
        <w:rPr>
          <w:rStyle w:val="optioncarChar"/>
        </w:rPr>
        <w:t xml:space="preserve">1 / 2 </w:t>
      </w:r>
      <w:r>
        <w:t>(par défaut)</w:t>
      </w:r>
      <w:r>
        <w:rPr>
          <w:rStyle w:val="optioncarChar"/>
        </w:rPr>
        <w:t xml:space="preserve"> / ***</w:t>
      </w:r>
      <w:r>
        <w:rPr>
          <w:rStyle w:val="soitChar"/>
        </w:rPr>
        <w:t xml:space="preserve"> échantillons de 5 briques par lot sont testés en laboratoire suivant la norme [NBN EN 772-1+A1]  (suivant prescriptions de l’ingénieur en stabilité).</w:t>
      </w:r>
    </w:p>
    <w:p w14:paraId="701F3E59" w14:textId="77777777" w:rsidR="00DB2B68" w:rsidRDefault="00000000">
      <w:pPr>
        <w:pStyle w:val="Author-eListParagraph"/>
        <w:numPr>
          <w:ilvl w:val="1"/>
          <w:numId w:val="33"/>
        </w:numPr>
      </w:pPr>
      <w:r>
        <w:rPr>
          <w:rStyle w:val="soitChar"/>
        </w:rPr>
        <w:t xml:space="preserve">Résistance au gel : </w:t>
      </w:r>
      <w:r>
        <w:rPr>
          <w:rStyle w:val="optioncarChar"/>
        </w:rPr>
        <w:t xml:space="preserve">1 / 2 </w:t>
      </w:r>
      <w:r>
        <w:t xml:space="preserve">(par défaut) </w:t>
      </w:r>
      <w:r>
        <w:rPr>
          <w:rStyle w:val="optioncarChar"/>
        </w:rPr>
        <w:t>/ ***</w:t>
      </w:r>
      <w:r>
        <w:rPr>
          <w:rStyle w:val="soitChar"/>
        </w:rPr>
        <w:t xml:space="preserve"> échantillons de 5 briques par lot sont testés en laboratoire suivant la norme [NBN B 27-009] et/ou la [NBN EN 772-22]. </w:t>
      </w:r>
    </w:p>
    <w:p w14:paraId="79A7D93C" w14:textId="77777777" w:rsidR="00DB2B68" w:rsidRDefault="00000000">
      <w:pPr>
        <w:ind w:left="567"/>
        <w:jc w:val="both"/>
      </w:pPr>
      <w:r>
        <w:rPr>
          <w:rStyle w:val="soitChar"/>
        </w:rPr>
        <w:t>Des performances complémentaires doivent compléter les données techniques disponibles (voir par exemple le [PTV 23-002] : classe IW pour le choix du mortier par exemple).</w:t>
      </w:r>
    </w:p>
    <w:p w14:paraId="3745CB35" w14:textId="77777777" w:rsidR="00DB2B68" w:rsidRDefault="00000000">
      <w:pPr>
        <w:ind w:left="567"/>
        <w:jc w:val="both"/>
      </w:pPr>
      <w:r>
        <w:rPr>
          <w:rStyle w:val="soitChar"/>
        </w:rPr>
        <w:t xml:space="preserve">Les briques </w:t>
      </w:r>
      <w:r>
        <w:rPr>
          <w:rStyle w:val="optioncarChar"/>
        </w:rPr>
        <w:t xml:space="preserve">proviennent d’un même lot </w:t>
      </w:r>
      <w:r>
        <w:t xml:space="preserve">(par défaut) </w:t>
      </w:r>
      <w:r>
        <w:rPr>
          <w:rStyle w:val="optioncarChar"/>
        </w:rPr>
        <w:t>/ peuvent provenir de maximum *** lots différents / peuvent provenir de lots différents</w:t>
      </w:r>
      <w:r>
        <w:rPr>
          <w:rStyle w:val="soitChar"/>
        </w:rPr>
        <w:t>.</w:t>
      </w:r>
    </w:p>
    <w:p w14:paraId="0B918633" w14:textId="77777777" w:rsidR="00DB2B68" w:rsidRDefault="00000000">
      <w:pPr>
        <w:ind w:left="567"/>
        <w:jc w:val="both"/>
      </w:pPr>
      <w:r>
        <w:rPr>
          <w:rStyle w:val="soitChar"/>
        </w:rPr>
        <w:lastRenderedPageBreak/>
        <w:t>Défauts esthétiques acceptables sur les faces visibles des briques :</w:t>
      </w:r>
    </w:p>
    <w:p w14:paraId="68D6131D" w14:textId="77777777" w:rsidR="00DB2B68" w:rsidRDefault="00000000">
      <w:pPr>
        <w:pStyle w:val="Author-eListParagraph"/>
        <w:numPr>
          <w:ilvl w:val="1"/>
          <w:numId w:val="34"/>
        </w:numPr>
      </w:pPr>
      <w:r>
        <w:rPr>
          <w:rStyle w:val="soitChar"/>
        </w:rPr>
        <w:t xml:space="preserve">Fissures de moins de 0,2 mm : </w:t>
      </w:r>
      <w:r>
        <w:rPr>
          <w:rStyle w:val="optioncarChar"/>
        </w:rPr>
        <w:t xml:space="preserve">sur une longueur de moins de 1 cm </w:t>
      </w:r>
      <w:r>
        <w:t xml:space="preserve">(par défaut) </w:t>
      </w:r>
      <w:r>
        <w:rPr>
          <w:rStyle w:val="optioncarChar"/>
        </w:rPr>
        <w:t>/ sur une longueur de moins de 2 cm /  sur une longueur de moins de 3 cm /  sur une longueur de moins de *** / sans objet</w:t>
      </w:r>
    </w:p>
    <w:p w14:paraId="77A82F66" w14:textId="77777777" w:rsidR="00DB2B68" w:rsidRDefault="00000000">
      <w:pPr>
        <w:pStyle w:val="Author-eListParagraph"/>
        <w:numPr>
          <w:ilvl w:val="1"/>
          <w:numId w:val="34"/>
        </w:numPr>
      </w:pPr>
      <w:r>
        <w:rPr>
          <w:rStyle w:val="soitChar"/>
        </w:rPr>
        <w:t xml:space="preserve">Eclats ou épaufrures de moins de </w:t>
      </w:r>
      <w:r>
        <w:rPr>
          <w:rStyle w:val="optioncarChar"/>
        </w:rPr>
        <w:t xml:space="preserve">1 cm </w:t>
      </w:r>
      <w:r>
        <w:t xml:space="preserve">(par défaut) </w:t>
      </w:r>
      <w:r>
        <w:rPr>
          <w:rStyle w:val="optioncarChar"/>
        </w:rPr>
        <w:t>/ 2 cm / 3 cm / ***</w:t>
      </w:r>
    </w:p>
    <w:p w14:paraId="0A2F6387" w14:textId="77777777" w:rsidR="00DB2B68" w:rsidRDefault="00000000">
      <w:pPr>
        <w:pStyle w:val="Author-eListParagraph"/>
        <w:numPr>
          <w:ilvl w:val="1"/>
          <w:numId w:val="34"/>
        </w:numPr>
      </w:pPr>
      <w:r>
        <w:rPr>
          <w:rStyle w:val="soitChar"/>
        </w:rPr>
        <w:t xml:space="preserve">Trace de peintures de maximum : </w:t>
      </w:r>
      <w:r>
        <w:rPr>
          <w:rStyle w:val="optioncarChar"/>
        </w:rPr>
        <w:t xml:space="preserve">aucune </w:t>
      </w:r>
      <w:r>
        <w:t>(par défaut)</w:t>
      </w:r>
      <w:r>
        <w:rPr>
          <w:rStyle w:val="optioncarChar"/>
        </w:rPr>
        <w:t xml:space="preserve"> / 10 % / 20 % / 30 % / 50 % / *** %</w:t>
      </w:r>
    </w:p>
    <w:p w14:paraId="5709F51A" w14:textId="77777777" w:rsidR="00DB2B68" w:rsidRDefault="00000000">
      <w:pPr>
        <w:pStyle w:val="Author-eListParagraph"/>
        <w:numPr>
          <w:ilvl w:val="1"/>
          <w:numId w:val="34"/>
        </w:numPr>
      </w:pPr>
      <w:r>
        <w:rPr>
          <w:rStyle w:val="soitChar"/>
        </w:rPr>
        <w:t xml:space="preserve">Trace de mortier : </w:t>
      </w:r>
      <w:r>
        <w:rPr>
          <w:rStyle w:val="optioncarChar"/>
        </w:rPr>
        <w:t>aucune / 10 %</w:t>
      </w:r>
      <w:r>
        <w:t xml:space="preserve"> (par défaut) </w:t>
      </w:r>
      <w:r>
        <w:rPr>
          <w:rStyle w:val="optioncarChar"/>
        </w:rPr>
        <w:t>/ 20 % / 30 % / 50 % / *** %  </w:t>
      </w:r>
    </w:p>
    <w:p w14:paraId="340CD617" w14:textId="77777777" w:rsidR="00DB2B68" w:rsidRDefault="00000000">
      <w:pPr>
        <w:pStyle w:val="Author-eListParagraph"/>
        <w:numPr>
          <w:ilvl w:val="1"/>
          <w:numId w:val="34"/>
        </w:numPr>
      </w:pPr>
      <w:r>
        <w:rPr>
          <w:rStyle w:val="soitChar"/>
        </w:rPr>
        <w:t xml:space="preserve">Trace de plâtre : </w:t>
      </w:r>
      <w:r>
        <w:rPr>
          <w:rStyle w:val="optioncarChar"/>
        </w:rPr>
        <w:t>aucune</w:t>
      </w:r>
      <w:r>
        <w:t xml:space="preserve"> (par défaut)</w:t>
      </w:r>
      <w:r>
        <w:rPr>
          <w:rStyle w:val="optioncarChar"/>
        </w:rPr>
        <w:t xml:space="preserve"> / 10 % / 20 % / 30 % / 50 % / *** %</w:t>
      </w:r>
    </w:p>
    <w:p w14:paraId="6B7DFC8E" w14:textId="77777777" w:rsidR="00DB2B68" w:rsidRDefault="00000000">
      <w:pPr>
        <w:pStyle w:val="Author-eListParagraph"/>
        <w:numPr>
          <w:ilvl w:val="1"/>
          <w:numId w:val="34"/>
        </w:numPr>
      </w:pPr>
      <w:r>
        <w:rPr>
          <w:rStyle w:val="soitChar"/>
        </w:rPr>
        <w:t xml:space="preserve">Efflorescence : </w:t>
      </w:r>
      <w:r>
        <w:rPr>
          <w:rStyle w:val="optioncarChar"/>
        </w:rPr>
        <w:t xml:space="preserve">acceptable / pas acceptable </w:t>
      </w:r>
      <w:r>
        <w:t>(par défaut)</w:t>
      </w:r>
    </w:p>
    <w:p w14:paraId="5B4EC95F" w14:textId="77777777" w:rsidR="00DB2B68" w:rsidRDefault="00000000">
      <w:pPr>
        <w:pStyle w:val="Author-eListParagraph"/>
        <w:numPr>
          <w:ilvl w:val="1"/>
          <w:numId w:val="34"/>
        </w:numPr>
      </w:pPr>
      <w:r>
        <w:rPr>
          <w:rStyle w:val="soitChar"/>
        </w:rPr>
        <w:t xml:space="preserve">Autre : </w:t>
      </w:r>
      <w:r>
        <w:rPr>
          <w:rStyle w:val="optioncarChar"/>
        </w:rPr>
        <w:t>***</w:t>
      </w:r>
    </w:p>
    <w:p w14:paraId="78903007" w14:textId="77777777" w:rsidR="00DB2B68" w:rsidRDefault="00000000">
      <w:pPr>
        <w:jc w:val="both"/>
      </w:pPr>
      <w:r>
        <w:t> </w:t>
      </w:r>
    </w:p>
    <w:p w14:paraId="4E8F79AC" w14:textId="77777777" w:rsidR="00DB2B68" w:rsidRDefault="00000000">
      <w:pPr>
        <w:jc w:val="both"/>
      </w:pPr>
      <w:r>
        <w:t>Dans le cas d’utilisation de briques de réemploi, il s’agit </w:t>
      </w:r>
      <w:r>
        <w:rPr>
          <w:rStyle w:val="optioncarChar"/>
        </w:rPr>
        <w:t>de la fourniture et de la pose</w:t>
      </w:r>
      <w:r>
        <w:t xml:space="preserve"> (par défaut)</w:t>
      </w:r>
      <w:r>
        <w:rPr>
          <w:rStyle w:val="optioncarChar"/>
        </w:rPr>
        <w:t xml:space="preserve"> / uniquement de la pose</w:t>
      </w:r>
      <w:r>
        <w:t xml:space="preserve"> des maçonneries.</w:t>
      </w:r>
    </w:p>
    <w:p w14:paraId="713BA282" w14:textId="77777777" w:rsidR="00DB2B68" w:rsidRDefault="00000000">
      <w:pPr>
        <w:ind w:left="567"/>
        <w:jc w:val="both"/>
      </w:pPr>
      <w:r>
        <w:rPr>
          <w:b/>
        </w:rPr>
        <w:t>(soit par défaut)</w:t>
      </w:r>
    </w:p>
    <w:p w14:paraId="17D64C11" w14:textId="77777777" w:rsidR="00DB2B68" w:rsidRDefault="00000000">
      <w:pPr>
        <w:ind w:left="567"/>
        <w:jc w:val="both"/>
      </w:pPr>
      <w:r>
        <w:rPr>
          <w:u w:val="single"/>
        </w:rPr>
        <w:t>Fourniture et pose </w:t>
      </w:r>
      <w:r>
        <w:rPr>
          <w:color w:val="33CCCC"/>
        </w:rPr>
        <w:t>: Les matériaux de maçonneries sont fournis par l’entreprise.</w:t>
      </w:r>
    </w:p>
    <w:p w14:paraId="1330DEF4" w14:textId="77777777" w:rsidR="00DB2B68" w:rsidRDefault="00000000">
      <w:pPr>
        <w:ind w:left="567"/>
        <w:jc w:val="both"/>
      </w:pPr>
      <w:r>
        <w:rPr>
          <w:b/>
        </w:rPr>
        <w:t>(soit)</w:t>
      </w:r>
    </w:p>
    <w:p w14:paraId="54E5E1A6" w14:textId="77777777" w:rsidR="00DB2B68" w:rsidRDefault="00000000">
      <w:pPr>
        <w:ind w:left="567"/>
        <w:jc w:val="both"/>
      </w:pPr>
      <w:r>
        <w:rPr>
          <w:u w:val="single"/>
        </w:rPr>
        <w:t>Pose :</w:t>
      </w:r>
      <w:r>
        <w:rPr>
          <w:color w:val="33CCCC"/>
        </w:rPr>
        <w:t xml:space="preserve"> Les briques de maçonneries sont fournies par le maître de l’ouvrage.  Les autres matériaux nécessaires à la réalisation des maçonneries sont fournis par l’entrepreneur. Dans le cas d’un démontage sur chantier pour réutilisation du matériau, se référer aux éléments du </w:t>
      </w:r>
      <w:r>
        <w:t>06.31.1 Démontage d'éléments de structures de maçonnerie</w:t>
      </w:r>
      <w:r>
        <w:rPr>
          <w:color w:val="33CCCC"/>
        </w:rPr>
        <w:t xml:space="preserve">, </w:t>
      </w:r>
      <w:r>
        <w:t>06.41.1 Démontage d'éléments de structures de maçonnerie</w:t>
      </w:r>
      <w:r>
        <w:rPr>
          <w:color w:val="33CCCC"/>
        </w:rPr>
        <w:t xml:space="preserve">, </w:t>
      </w:r>
      <w:r>
        <w:t>06.51.1 Démontage d'éléments de structures de maçonnerie</w:t>
      </w:r>
      <w:r>
        <w:rPr>
          <w:color w:val="33CCCC"/>
        </w:rPr>
        <w:t xml:space="preserve"> ou </w:t>
      </w:r>
      <w:r>
        <w:t>06.61.1 Démontage d'éléments de structures de maçonnerie</w:t>
      </w:r>
    </w:p>
    <w:p w14:paraId="120E8130" w14:textId="77777777" w:rsidR="00DB2B68" w:rsidRDefault="00000000">
      <w:pPr>
        <w:pStyle w:val="pheading"/>
      </w:pPr>
      <w:r>
        <w:t>EXÉCUTION / MISE EN ŒUVRE</w:t>
      </w:r>
    </w:p>
    <w:p w14:paraId="517EC6C8" w14:textId="77777777" w:rsidR="00DB2B68" w:rsidRDefault="00000000">
      <w:pPr>
        <w:jc w:val="both"/>
      </w:pPr>
      <w:r>
        <w:t xml:space="preserve">Eléments en terre cuite à utiliser : </w:t>
      </w:r>
      <w:r>
        <w:rPr>
          <w:rStyle w:val="optioncarChar"/>
        </w:rPr>
        <w:t>brique U / brique P</w:t>
      </w:r>
      <w:r>
        <w:t xml:space="preserve"> conformément à la section </w:t>
      </w:r>
      <w:hyperlink w:anchor="295" w:history="1">
        <w:r>
          <w:rPr>
            <w:color w:val="0000EE"/>
          </w:rPr>
          <w:t>21 Superstructures en maçonnerie</w:t>
        </w:r>
      </w:hyperlink>
    </w:p>
    <w:p w14:paraId="079CD747" w14:textId="77777777" w:rsidR="00DB2B68" w:rsidRDefault="00000000">
      <w:pPr>
        <w:jc w:val="both"/>
      </w:pPr>
      <w:r>
        <w:t xml:space="preserve">Type : </w:t>
      </w:r>
      <w:r>
        <w:rPr>
          <w:rStyle w:val="optioncarChar"/>
        </w:rPr>
        <w:t>moulées à la main </w:t>
      </w:r>
      <w:r>
        <w:t>(par défaut)</w:t>
      </w:r>
      <w:r>
        <w:rPr>
          <w:rStyle w:val="optioncarChar"/>
        </w:rPr>
        <w:t xml:space="preserve"> / pleines / isolantes / pressées / perforées / étirées / ***</w:t>
      </w:r>
    </w:p>
    <w:p w14:paraId="26FB727F" w14:textId="77777777" w:rsidR="00DB2B68" w:rsidRDefault="00000000">
      <w:pPr>
        <w:jc w:val="both"/>
      </w:pPr>
      <w:r>
        <w:t xml:space="preserve">Conformément au mode de mise en œuvre, les briques de construction en terre cuite sont </w:t>
      </w:r>
      <w:r>
        <w:rPr>
          <w:rStyle w:val="optioncarChar"/>
        </w:rPr>
        <w:t>maçonnées au mortier / collées à l’aide d’un mortier-colle</w:t>
      </w:r>
      <w:r>
        <w:t xml:space="preserve"> selon les indications du fabricant de mortier et des notes de calcul du bureau d’études.</w:t>
      </w:r>
    </w:p>
    <w:p w14:paraId="1764325A" w14:textId="77777777" w:rsidR="00DB2B68" w:rsidRDefault="00000000">
      <w:pPr>
        <w:jc w:val="both"/>
      </w:pPr>
      <w:r>
        <w:t xml:space="preserve">Le mortier </w:t>
      </w:r>
      <w:r>
        <w:rPr>
          <w:rStyle w:val="optioncarChar"/>
        </w:rPr>
        <w:t>à coller / à maçonner</w:t>
      </w:r>
      <w:r>
        <w:t xml:space="preserve"> (selon la [NBN EN 998-2] et le [PTV 651]) répond à la catégorie : </w:t>
      </w:r>
      <w:r>
        <w:rPr>
          <w:rStyle w:val="optioncarChar"/>
        </w:rPr>
        <w:t xml:space="preserve">M10 </w:t>
      </w:r>
      <w:r>
        <w:t>(par défaut)</w:t>
      </w:r>
      <w:r>
        <w:rPr>
          <w:rStyle w:val="optioncarChar"/>
        </w:rPr>
        <w:t xml:space="preserve"> / M15 / M20 / ***</w:t>
      </w:r>
    </w:p>
    <w:p w14:paraId="79EC73B8" w14:textId="77777777" w:rsidR="00DB2B68" w:rsidRDefault="00000000">
      <w:pPr>
        <w:jc w:val="both"/>
      </w:pPr>
      <w:r>
        <w:t xml:space="preserve">Isolation contre l'humidité : membranes en </w:t>
      </w:r>
      <w:r>
        <w:rPr>
          <w:rStyle w:val="optioncarChar"/>
        </w:rPr>
        <w:t xml:space="preserve">PE </w:t>
      </w:r>
      <w:r>
        <w:t>(par défaut)</w:t>
      </w:r>
      <w:r>
        <w:rPr>
          <w:rStyle w:val="optioncarChar"/>
        </w:rPr>
        <w:t xml:space="preserve"> / ***</w:t>
      </w:r>
      <w:r>
        <w:t xml:space="preserve"> conformément à l’élément </w:t>
      </w:r>
      <w:hyperlink w:anchor="356" w:history="1">
        <w:r>
          <w:rPr>
            <w:color w:val="0000EE"/>
          </w:rPr>
          <w:t>26.11 Feuilles et membranes d'étanchéité à l'eau</w:t>
        </w:r>
      </w:hyperlink>
      <w:r>
        <w:t>.</w:t>
      </w:r>
    </w:p>
    <w:p w14:paraId="7F204F8D" w14:textId="77777777" w:rsidR="00DB2B68" w:rsidRDefault="00000000">
      <w:pPr>
        <w:jc w:val="both"/>
      </w:pPr>
      <w:r>
        <w:t>Pour les maçonneries destinées à rester apparentes, à l’exception des briques de réemploi dont les caractéristiques sont définies dans la rubrique Matériaux ci-dessus, seules des briques non endommagées sont utilisées.</w:t>
      </w:r>
    </w:p>
    <w:p w14:paraId="1598E237" w14:textId="77777777" w:rsidR="00DB2B68" w:rsidRDefault="00000000">
      <w:pPr>
        <w:jc w:val="both"/>
      </w:pPr>
      <w:r>
        <w:t xml:space="preserve">Les segments de murs sont pourvus d'armatures horizontales selon le chapitre </w:t>
      </w:r>
      <w:hyperlink w:anchor="357" w:history="1">
        <w:r>
          <w:rPr>
            <w:color w:val="0000EE"/>
          </w:rPr>
          <w:t>21.41.1 Armatures horizontales pour maçonneries</w:t>
        </w:r>
      </w:hyperlink>
      <w:r>
        <w:t>.</w:t>
      </w:r>
    </w:p>
    <w:p w14:paraId="252B138D" w14:textId="77777777" w:rsidR="00DB2B68" w:rsidRDefault="00000000">
      <w:pPr>
        <w:jc w:val="both"/>
      </w:pPr>
      <w:r>
        <w:t xml:space="preserve">Les segments de murs sont pourvus d'armatures verticales selon le chapitre </w:t>
      </w:r>
      <w:hyperlink w:anchor="358" w:history="1">
        <w:r>
          <w:rPr>
            <w:color w:val="0000EE"/>
          </w:rPr>
          <w:t>21.41.2 Armatures verticales pour maçonneries</w:t>
        </w:r>
      </w:hyperlink>
      <w:r>
        <w:t>.</w:t>
      </w:r>
    </w:p>
    <w:p w14:paraId="0099CB36" w14:textId="77777777" w:rsidR="00DB2B68" w:rsidRDefault="00000000">
      <w:pPr>
        <w:jc w:val="both"/>
      </w:pPr>
      <w:r>
        <w:t xml:space="preserve">Les maçonneries de caves en contact avec les terres sont rendues étanches selon la description au sous-titre </w:t>
      </w:r>
      <w:hyperlink w:anchor="359" w:history="1">
        <w:r>
          <w:rPr>
            <w:color w:val="0000EE"/>
          </w:rPr>
          <w:t>26.12 Traitements d'étanchéisation</w:t>
        </w:r>
      </w:hyperlink>
      <w:r>
        <w:t>.</w:t>
      </w:r>
    </w:p>
    <w:p w14:paraId="271598EE" w14:textId="77777777" w:rsidR="00DB2B68" w:rsidRDefault="00000000">
      <w:pPr>
        <w:jc w:val="both"/>
      </w:pPr>
      <w:r>
        <w:t>Les faces de murs suivantes sont exécutées comme maçonneries apparentes :</w:t>
      </w:r>
      <w:r>
        <w:rPr>
          <w:rStyle w:val="optioncarChar"/>
        </w:rPr>
        <w:t xml:space="preserve"> ***</w:t>
      </w:r>
    </w:p>
    <w:p w14:paraId="0298B2CA" w14:textId="77777777" w:rsidR="00DB2B68" w:rsidRDefault="00000000">
      <w:pPr>
        <w:jc w:val="both"/>
      </w:pPr>
      <w:r>
        <w:t xml:space="preserve">Crochets de mur : </w:t>
      </w:r>
      <w:r>
        <w:rPr>
          <w:rStyle w:val="optioncarChar"/>
        </w:rPr>
        <w:t xml:space="preserve">acier inoxydable </w:t>
      </w:r>
      <w:r>
        <w:t>(par défaut)</w:t>
      </w:r>
      <w:r>
        <w:rPr>
          <w:rStyle w:val="optioncarChar"/>
        </w:rPr>
        <w:t xml:space="preserve"> / ***</w:t>
      </w:r>
      <w:r>
        <w:t xml:space="preserve">, diamètre minimal </w:t>
      </w:r>
      <w:r>
        <w:rPr>
          <w:rStyle w:val="optioncarChar"/>
        </w:rPr>
        <w:t xml:space="preserve">3,5 </w:t>
      </w:r>
      <w:r>
        <w:t>(par défaut)</w:t>
      </w:r>
      <w:r>
        <w:rPr>
          <w:rStyle w:val="optioncarChar"/>
        </w:rPr>
        <w:t xml:space="preserve"> / *** </w:t>
      </w:r>
      <w:r>
        <w:t>mm</w:t>
      </w:r>
    </w:p>
    <w:p w14:paraId="370FA392" w14:textId="77777777" w:rsidR="00DB2B68" w:rsidRDefault="00000000">
      <w:pPr>
        <w:jc w:val="both"/>
      </w:pPr>
      <w:r>
        <w:t xml:space="preserve">Linteaux : </w:t>
      </w:r>
      <w:r>
        <w:rPr>
          <w:rStyle w:val="optioncarChar"/>
        </w:rPr>
        <w:t>***</w:t>
      </w:r>
      <w:r>
        <w:t xml:space="preserve"> conformément au sous-titre </w:t>
      </w:r>
      <w:hyperlink w:anchor="360" w:history="1">
        <w:r>
          <w:rPr>
            <w:color w:val="0000EE"/>
          </w:rPr>
          <w:t>22.13 Linteaux en béton</w:t>
        </w:r>
      </w:hyperlink>
      <w:r>
        <w:t>.</w:t>
      </w:r>
    </w:p>
    <w:p w14:paraId="6E02F25D" w14:textId="77777777" w:rsidR="00DB2B68" w:rsidRDefault="00000000">
      <w:pPr>
        <w:pStyle w:val="pheading"/>
      </w:pPr>
      <w:r>
        <w:lastRenderedPageBreak/>
        <w:t>DOCUMENTS DE RÉFÉRENCE</w:t>
      </w:r>
    </w:p>
    <w:p w14:paraId="0218DC8A" w14:textId="77777777" w:rsidR="00DB2B68" w:rsidRDefault="00000000">
      <w:pPr>
        <w:pStyle w:val="pheading"/>
      </w:pPr>
      <w:r>
        <w:t>- Matériau</w:t>
      </w:r>
    </w:p>
    <w:p w14:paraId="0ED14C43" w14:textId="77777777" w:rsidR="00DB2B68" w:rsidRDefault="00000000">
      <w:r>
        <w:t>[NBN EN 771-1+A1, Spécification pour éléments de maçonnerie - Partie 1: Briques de terre cuite]</w:t>
      </w:r>
    </w:p>
    <w:p w14:paraId="0E676DAD" w14:textId="77777777" w:rsidR="00DB2B68" w:rsidRDefault="00000000">
      <w:r>
        <w:t>[PTV 23-002, Prescriptions techniques pour les briques de façades]</w:t>
      </w:r>
    </w:p>
    <w:p w14:paraId="30E74D55" w14:textId="77777777" w:rsidR="00DB2B68" w:rsidRDefault="00000000">
      <w:r>
        <w:t>[NBN B 27-009, Produits céramiques pour parements de murs et de sols - Gélivité - Cycles de gel-dégel]</w:t>
      </w:r>
    </w:p>
    <w:p w14:paraId="348E744C" w14:textId="77777777" w:rsidR="00DB2B68" w:rsidRDefault="00000000">
      <w:r>
        <w:t>[NBN EN 772-1+A1, Méthodes d'essai des éléments de maçonnerie - Partie 1: Détermination de la résistance à la compression]</w:t>
      </w:r>
    </w:p>
    <w:p w14:paraId="581046D9" w14:textId="77777777" w:rsidR="00DB2B68" w:rsidRDefault="00000000">
      <w:r>
        <w:t>[NBN EN 772-22, Méthodes d'essai des éléments de maçonnerie - Partie 22: Détermination de la résistance au gel/dégel des éléments de maçonnerie en terre cuite]</w:t>
      </w:r>
    </w:p>
    <w:p w14:paraId="037AD85D" w14:textId="77777777" w:rsidR="00DB2B68" w:rsidRDefault="00000000">
      <w:r>
        <w:t>[NBN EN 998-2, Définitions et spécifications des mortiers pour maçonnerie - Partie 2: Mortiers de montage des éléments de maçonnerie]</w:t>
      </w:r>
    </w:p>
    <w:p w14:paraId="1ACB1FFC" w14:textId="77777777" w:rsidR="00DB2B68" w:rsidRDefault="00000000">
      <w:r>
        <w:t>[PTV 651, Mortier de maçonnerie et mortier de jointoyage]</w:t>
      </w:r>
    </w:p>
    <w:p w14:paraId="7D96C2DC" w14:textId="77777777" w:rsidR="00DB2B68" w:rsidRDefault="00000000">
      <w:pPr>
        <w:pStyle w:val="pheading"/>
      </w:pPr>
      <w:r>
        <w:t>AIDE</w:t>
      </w:r>
    </w:p>
    <w:p w14:paraId="1BBE7A98" w14:textId="77777777" w:rsidR="00DB2B68" w:rsidRDefault="00000000">
      <w:pPr>
        <w:jc w:val="both"/>
      </w:pPr>
      <w:r>
        <w:t>Pour le choix adéquat du mortier, se référer à la [STS 22 série].</w:t>
      </w:r>
    </w:p>
    <w:p w14:paraId="7571D8AE" w14:textId="77777777" w:rsidR="00DB2B68" w:rsidRDefault="00000000">
      <w:pPr>
        <w:jc w:val="both"/>
      </w:pPr>
      <w:r>
        <w:t>Par typologie de la paroi de l'usage précédent, on entend Mur intérieur/extérieur - paroi portante/non-portante - Paroi ayant ou non subi des dégradations.</w:t>
      </w:r>
    </w:p>
    <w:p w14:paraId="2B9285A5" w14:textId="77777777" w:rsidR="00DB2B68" w:rsidRDefault="00000000">
      <w:pPr>
        <w:jc w:val="both"/>
      </w:pPr>
      <w:r>
        <w:rPr>
          <w:u w:val="single"/>
        </w:rPr>
        <w:t>Briques de réemploi :</w:t>
      </w:r>
    </w:p>
    <w:p w14:paraId="2F1DDD4A" w14:textId="77777777" w:rsidR="00DB2B68" w:rsidRDefault="00000000">
      <w:pPr>
        <w:jc w:val="both"/>
      </w:pPr>
      <w:r>
        <w:t>Ce sont des briques de bâtiments démontés qui sont nettoyées et remises en palettes. Elles peuvent être relativement récentes à plus anciennes.</w:t>
      </w:r>
    </w:p>
    <w:p w14:paraId="27BF2B43" w14:textId="77777777" w:rsidR="00DB2B68" w:rsidRDefault="00000000">
      <w:pPr>
        <w:jc w:val="both"/>
      </w:pPr>
      <w:r>
        <w:t xml:space="preserve">Les briques de réemploi peuvent se distinguer par leur coloration qu’elle soit due aux matières premières ou à des différences de cuisson.       </w:t>
      </w:r>
    </w:p>
    <w:p w14:paraId="6BEB78D6" w14:textId="77777777" w:rsidR="00DB2B68" w:rsidRDefault="00000000">
      <w:pPr>
        <w:jc w:val="both"/>
      </w:pPr>
      <w:r>
        <w:t xml:space="preserve"> Pour les briques plus anciennes, une couleur rouge-brun foncé correspond à une brique ‘bien’ cuite alors qu’une coloration rouge pâle est signe d’une cuisson moins poussée. Les premières étaient utilisées pour une exposition aux conditions climatiques car elles ont en général une résistance au gel plus élevée. Les secondes étaient utilisées en exposition intérieure car leur résistance au gel est moindre. Le triage sous forme de lot selon la couleur consécutive à la cuisson pour ces briques anciennes permet ainsi d’orienter un lot vers une application intérieure ou extérieure.</w:t>
      </w:r>
    </w:p>
    <w:p w14:paraId="43879F3B" w14:textId="77777777" w:rsidR="00DB2B68" w:rsidRDefault="00000000">
      <w:pPr>
        <w:jc w:val="both"/>
      </w:pPr>
      <w:r>
        <w:t>Les propriétés très dispersées des briques de réemploi peuvent nécessiter de tester plusieurs échantillons au sein d’un même lot.</w:t>
      </w:r>
    </w:p>
    <w:p w14:paraId="44F46D14" w14:textId="77777777" w:rsidR="00DB2B68" w:rsidRDefault="00000000">
      <w:pPr>
        <w:jc w:val="both"/>
      </w:pPr>
      <w:r>
        <w:t>Ce matériau n’ayant en général pas été testé au moment de sa fabrication, il est difficile d’imposer des valeurs minimales de performance énergétique pour celui-ci. Ce seront donc les valeurs par défaut de la PEB qui devront être encodées dans le logiciel PEB.</w:t>
      </w:r>
    </w:p>
    <w:p w14:paraId="70097F84" w14:textId="77777777" w:rsidR="00DB2B68" w:rsidRDefault="00000000">
      <w:pPr>
        <w:jc w:val="both"/>
      </w:pPr>
      <w:r>
        <w:t>La plupart des autres performances (résistance mécanique, aux cycles de gel-dégel, etc.) peuvent être caractérisées plus facilement par tests en laboratoire. Pour les performances structurelles, l’ingénieur en stabilité fixera le nombre de tests à réaliser.</w:t>
      </w:r>
    </w:p>
    <w:p w14:paraId="376DD055" w14:textId="77777777" w:rsidR="00DB2B68" w:rsidRDefault="00000000">
      <w:pPr>
        <w:pStyle w:val="Author-eSectionHeading6Numberless"/>
      </w:pPr>
      <w:bookmarkStart w:id="10" w:name="_Toc220495180"/>
      <w:r>
        <w:t>21.11.1a Maçonneries portantes en briques de terre cuite à maçonner CCTB 01.12</w:t>
      </w:r>
      <w:bookmarkEnd w:id="10"/>
    </w:p>
    <w:p w14:paraId="0ADE1D95" w14:textId="77777777" w:rsidR="00DB2B68" w:rsidRDefault="00000000">
      <w:pPr>
        <w:pStyle w:val="pheading"/>
      </w:pPr>
      <w:r>
        <w:t>DESCRIPTION</w:t>
      </w:r>
    </w:p>
    <w:p w14:paraId="0621824C" w14:textId="77777777" w:rsidR="00DB2B68" w:rsidRDefault="00000000">
      <w:pPr>
        <w:pStyle w:val="pheading"/>
      </w:pPr>
      <w:r>
        <w:t>- Définition / Comprend</w:t>
      </w:r>
    </w:p>
    <w:p w14:paraId="4E9054AE" w14:textId="77777777" w:rsidR="00DB2B68" w:rsidRDefault="00000000">
      <w:r>
        <w:t>Il s’agit de la fourniture (hors matériaux récupérés du site) et de la pose de maçonneries portantes en briques de terre cuite à maçonner.</w:t>
      </w:r>
    </w:p>
    <w:p w14:paraId="120D8476" w14:textId="77777777" w:rsidR="00DB2B68" w:rsidRDefault="00000000">
      <w:r>
        <w:t>La portée des travaux est décrite dans l’élément </w:t>
      </w:r>
      <w:hyperlink w:anchor="294" w:history="1">
        <w:r>
          <w:rPr>
            <w:color w:val="0000EE"/>
          </w:rPr>
          <w:t>21.1 Maçonneries portantes</w:t>
        </w:r>
      </w:hyperlink>
      <w:r>
        <w:t>.</w:t>
      </w:r>
    </w:p>
    <w:p w14:paraId="2B9F4FE7" w14:textId="77777777" w:rsidR="00DB2B68" w:rsidRDefault="00000000">
      <w:pPr>
        <w:pStyle w:val="pheading"/>
      </w:pPr>
      <w:r>
        <w:t>MATÉRIAUX</w:t>
      </w:r>
    </w:p>
    <w:p w14:paraId="19C90AC4" w14:textId="77777777" w:rsidR="00DB2B68" w:rsidRDefault="00000000">
      <w:pPr>
        <w:pStyle w:val="pheading"/>
      </w:pPr>
      <w:r>
        <w:t>- Caractéristiques générales</w:t>
      </w:r>
    </w:p>
    <w:p w14:paraId="50AEBD5F" w14:textId="77777777" w:rsidR="00DB2B68" w:rsidRDefault="00000000">
      <w:pPr>
        <w:jc w:val="both"/>
      </w:pPr>
      <w:r>
        <w:lastRenderedPageBreak/>
        <w:t>Les prescriptions suivantes sont distinguées en fonction des briques neuves et/ou de réemploi s’il y a lieu.</w:t>
      </w:r>
    </w:p>
    <w:p w14:paraId="5AA3B9E1" w14:textId="77777777" w:rsidR="00DB2B68" w:rsidRDefault="00000000">
      <w:pPr>
        <w:jc w:val="both"/>
      </w:pPr>
      <w:r>
        <w:rPr>
          <w:u w:val="single"/>
        </w:rPr>
        <w:t>Briques</w:t>
      </w:r>
    </w:p>
    <w:p w14:paraId="561EDACF" w14:textId="77777777" w:rsidR="00DB2B68" w:rsidRDefault="00000000">
      <w:pPr>
        <w:jc w:val="both"/>
      </w:pPr>
      <w:r>
        <w:t>En ce qui concerne la déclaration de la résistance à la compression, les briques sont de catégorie I (la résistance à la compression est déclarée avec une fiabilité de 95%).</w:t>
      </w:r>
    </w:p>
    <w:p w14:paraId="78BD0A84" w14:textId="77777777" w:rsidR="00DB2B68" w:rsidRDefault="00DB2B68">
      <w:pPr>
        <w:jc w:val="both"/>
      </w:pPr>
    </w:p>
    <w:p w14:paraId="0749698F" w14:textId="77777777" w:rsidR="00DB2B68" w:rsidRDefault="00000000">
      <w:pPr>
        <w:jc w:val="both"/>
      </w:pPr>
      <w:r>
        <w:t xml:space="preserve"> La résistance en compression </w:t>
      </w:r>
      <w:r>
        <w:rPr>
          <w:rStyle w:val="optioncarChar"/>
        </w:rPr>
        <w:t>moyenne (f</w:t>
      </w:r>
      <w:r>
        <w:rPr>
          <w:rStyle w:val="optioncarChar"/>
          <w:vertAlign w:val="subscript"/>
        </w:rPr>
        <w:t>mean</w:t>
      </w:r>
      <w:r>
        <w:rPr>
          <w:rStyle w:val="optioncarChar"/>
        </w:rPr>
        <w:t>) / normalisée (f</w:t>
      </w:r>
      <w:r>
        <w:rPr>
          <w:rStyle w:val="optioncarChar"/>
          <w:vertAlign w:val="subscript"/>
        </w:rPr>
        <w:t>b</w:t>
      </w:r>
      <w:r>
        <w:rPr>
          <w:rStyle w:val="optioncarChar"/>
        </w:rPr>
        <w:t>)</w:t>
      </w:r>
      <w:r>
        <w:t xml:space="preserve"> (par défaut) selon la [NBN EN 771-1+A1], la [NBN EN 772-1+A1] et la [NBN EN 1996 série] est au minimum : </w:t>
      </w:r>
      <w:r>
        <w:rPr>
          <w:rStyle w:val="optioncarChar"/>
        </w:rPr>
        <w:t>***</w:t>
      </w:r>
      <w:r>
        <w:t xml:space="preserve"> N/mm² (MPa).</w:t>
      </w:r>
    </w:p>
    <w:p w14:paraId="26635351" w14:textId="77777777" w:rsidR="00DB2B68" w:rsidRDefault="00000000">
      <w:pPr>
        <w:jc w:val="both"/>
      </w:pPr>
      <w:r>
        <w:t xml:space="preserve">Le groupe de configuration suivant [NBN EN 1996-1-1+A1 ANB] est : </w:t>
      </w:r>
      <w:r>
        <w:rPr>
          <w:rStyle w:val="optioncarChar"/>
        </w:rPr>
        <w:t>1 / 2 / 3 / 4</w:t>
      </w:r>
    </w:p>
    <w:p w14:paraId="4B7FFF06" w14:textId="77777777" w:rsidR="00DB2B68" w:rsidRDefault="00000000">
      <w:pPr>
        <w:jc w:val="both"/>
      </w:pPr>
      <w:r>
        <w:t xml:space="preserve">La masse volumique sèche apparente des briques ρ (rho) est : </w:t>
      </w:r>
      <w:r>
        <w:rPr>
          <w:rStyle w:val="optioncarChar"/>
        </w:rPr>
        <w:t>***</w:t>
      </w:r>
      <w:r>
        <w:t xml:space="preserve"> &lt; ρ &lt; </w:t>
      </w:r>
      <w:r>
        <w:rPr>
          <w:rStyle w:val="optioncarChar"/>
        </w:rPr>
        <w:t>***</w:t>
      </w:r>
      <w:r>
        <w:t xml:space="preserve"> kg/m³ selon la [NBN EN 771-1+A1]. </w:t>
      </w:r>
    </w:p>
    <w:p w14:paraId="086776A7" w14:textId="77777777" w:rsidR="00DB2B68" w:rsidRDefault="00000000">
      <w:pPr>
        <w:jc w:val="both"/>
      </w:pPr>
      <w:r>
        <w:t>La conductibilité thermique λ</w:t>
      </w:r>
      <w:r>
        <w:rPr>
          <w:vertAlign w:val="subscript"/>
        </w:rPr>
        <w:t>D</w:t>
      </w:r>
      <w:r>
        <w:t xml:space="preserve"> est compatible avec la valeur U prescrite pour la paroi. </w:t>
      </w:r>
    </w:p>
    <w:p w14:paraId="043FA69C" w14:textId="77777777" w:rsidR="00DB2B68" w:rsidRDefault="00000000">
      <w:pPr>
        <w:jc w:val="both"/>
      </w:pPr>
      <w:r>
        <w:t xml:space="preserve">Boutisse : </w:t>
      </w:r>
      <w:r>
        <w:rPr>
          <w:rStyle w:val="optioncarChar"/>
        </w:rPr>
        <w:t xml:space="preserve">plate </w:t>
      </w:r>
      <w:r>
        <w:t>(par défaut)</w:t>
      </w:r>
      <w:r>
        <w:rPr>
          <w:rStyle w:val="optioncarChar"/>
        </w:rPr>
        <w:t xml:space="preserve"> / assemblage à rainures et languettes / assemblage à rainures et poignées</w:t>
      </w:r>
    </w:p>
    <w:p w14:paraId="18E75C28" w14:textId="77777777" w:rsidR="00DB2B68" w:rsidRDefault="00000000">
      <w:pPr>
        <w:jc w:val="both"/>
      </w:pPr>
      <w:r>
        <w:t xml:space="preserve"> Face qui reste visible :</w:t>
      </w:r>
      <w:r>
        <w:rPr>
          <w:rStyle w:val="optioncarChar"/>
        </w:rPr>
        <w:t xml:space="preserve"> lisse </w:t>
      </w:r>
      <w:r>
        <w:t>(par défaut) </w:t>
      </w:r>
      <w:r>
        <w:rPr>
          <w:rStyle w:val="optioncarChar"/>
        </w:rPr>
        <w:t>/ striée / ***</w:t>
      </w:r>
    </w:p>
    <w:p w14:paraId="7EC727D2" w14:textId="77777777" w:rsidR="00DB2B68" w:rsidRDefault="00000000">
      <w:pPr>
        <w:jc w:val="both"/>
      </w:pPr>
      <w:r>
        <w:t xml:space="preserve"> Face à cimenter ou plafonner : </w:t>
      </w:r>
      <w:r>
        <w:rPr>
          <w:rStyle w:val="optioncarChar"/>
        </w:rPr>
        <w:t>lisse</w:t>
      </w:r>
      <w:r>
        <w:t xml:space="preserve"> (par défaut)</w:t>
      </w:r>
      <w:r>
        <w:rPr>
          <w:rStyle w:val="optioncarChar"/>
        </w:rPr>
        <w:t xml:space="preserve"> / striée / rainurée</w:t>
      </w:r>
    </w:p>
    <w:p w14:paraId="394F9375" w14:textId="77777777" w:rsidR="00DB2B68" w:rsidRDefault="00000000">
      <w:pPr>
        <w:jc w:val="both"/>
      </w:pPr>
      <w:r>
        <w:t xml:space="preserve">Teinte : </w:t>
      </w:r>
      <w:r>
        <w:rPr>
          <w:rStyle w:val="optioncarChar"/>
        </w:rPr>
        <w:t xml:space="preserve">blanc / rouge </w:t>
      </w:r>
      <w:r>
        <w:t>(par défaut)</w:t>
      </w:r>
      <w:r>
        <w:rPr>
          <w:rStyle w:val="optioncarChar"/>
        </w:rPr>
        <w:t xml:space="preserve"> / gris / ***</w:t>
      </w:r>
    </w:p>
    <w:p w14:paraId="3CD8C632" w14:textId="77777777" w:rsidR="00DB2B68" w:rsidRDefault="00000000">
      <w:pPr>
        <w:jc w:val="both"/>
      </w:pPr>
      <w:r>
        <w:t xml:space="preserve">Format : (L x l x h) </w:t>
      </w:r>
      <w:r>
        <w:rPr>
          <w:rStyle w:val="optioncarChar"/>
        </w:rPr>
        <w:t>*** x *** x *** mm / format modulaire proposé par l'entrepreneur</w:t>
      </w:r>
      <w:r>
        <w:t> (par défaut)</w:t>
      </w:r>
    </w:p>
    <w:p w14:paraId="63384C12" w14:textId="77777777" w:rsidR="00DB2B68" w:rsidRDefault="00DB2B68">
      <w:pPr>
        <w:jc w:val="both"/>
      </w:pPr>
    </w:p>
    <w:p w14:paraId="01CB3B90" w14:textId="77777777" w:rsidR="00DB2B68" w:rsidRDefault="00000000">
      <w:pPr>
        <w:jc w:val="both"/>
      </w:pPr>
      <w:r>
        <w:rPr>
          <w:u w:val="single"/>
        </w:rPr>
        <w:t>Tolérances dimensionnelles</w:t>
      </w:r>
    </w:p>
    <w:p w14:paraId="6CB8C1CD" w14:textId="77777777" w:rsidR="00DB2B68" w:rsidRDefault="00000000">
      <w:pPr>
        <w:jc w:val="both"/>
      </w:pPr>
      <w:r>
        <w:t xml:space="preserve">Tolérances de la valeur moyenne : </w:t>
      </w:r>
      <w:r>
        <w:rPr>
          <w:rStyle w:val="optioncarChar"/>
        </w:rPr>
        <w:t>T1 / T2 / Tm / non spécifié</w:t>
      </w:r>
      <w:r>
        <w:t xml:space="preserve"> (par défaut)</w:t>
      </w:r>
    </w:p>
    <w:p w14:paraId="06EFC20D" w14:textId="77777777" w:rsidR="00DB2B68" w:rsidRDefault="00000000">
      <w:pPr>
        <w:jc w:val="both"/>
      </w:pPr>
      <w:r>
        <w:t xml:space="preserve"> Plage : </w:t>
      </w:r>
      <w:r>
        <w:rPr>
          <w:rStyle w:val="optioncarChar"/>
        </w:rPr>
        <w:t>R1 / R2 / Rm / non spécifié</w:t>
      </w:r>
      <w:r>
        <w:t xml:space="preserve"> (par défaut)</w:t>
      </w:r>
    </w:p>
    <w:p w14:paraId="36F41868" w14:textId="77777777" w:rsidR="00DB2B68" w:rsidRDefault="00000000">
      <w:pPr>
        <w:jc w:val="both"/>
      </w:pPr>
      <w:r>
        <w:t xml:space="preserve">Taux initial d’absorption d’eau : </w:t>
      </w:r>
      <w:r>
        <w:rPr>
          <w:rStyle w:val="optioncarChar"/>
        </w:rPr>
        <w:t>classe IW1 / classe IW2 / classe IW3 / classe IW4 / non spécifié</w:t>
      </w:r>
      <w:r>
        <w:t xml:space="preserve"> (par défaut)</w:t>
      </w:r>
    </w:p>
    <w:p w14:paraId="4D5923A6" w14:textId="77777777" w:rsidR="00DB2B68" w:rsidRDefault="00000000">
      <w:pPr>
        <w:jc w:val="both"/>
      </w:pPr>
      <w:r>
        <w:t xml:space="preserve"> Résistance au gel suivant les classes d’application MX… selon [NBN EN 1996-2 ANB] et la [NIT 271, Exécution des maçonneries].</w:t>
      </w:r>
    </w:p>
    <w:p w14:paraId="6FB97749" w14:textId="77777777" w:rsidR="00DB2B68" w:rsidRDefault="00000000">
      <w:pPr>
        <w:jc w:val="both"/>
      </w:pPr>
      <w:r>
        <w:t xml:space="preserve">Réaction au feu : </w:t>
      </w:r>
      <w:r>
        <w:rPr>
          <w:rStyle w:val="optioncarChar"/>
        </w:rPr>
        <w:t>A1 </w:t>
      </w:r>
      <w:r>
        <w:t>(par défaut)</w:t>
      </w:r>
      <w:r>
        <w:rPr>
          <w:rStyle w:val="optioncarChar"/>
        </w:rPr>
        <w:t xml:space="preserve"> / ***</w:t>
      </w:r>
    </w:p>
    <w:p w14:paraId="39221F82" w14:textId="77777777" w:rsidR="00DB2B68" w:rsidRDefault="00DB2B68">
      <w:pPr>
        <w:jc w:val="both"/>
      </w:pPr>
    </w:p>
    <w:p w14:paraId="6D1F9EF5" w14:textId="77777777" w:rsidR="00DB2B68" w:rsidRDefault="00000000">
      <w:pPr>
        <w:jc w:val="both"/>
      </w:pPr>
      <w:r>
        <w:rPr>
          <w:u w:val="single"/>
        </w:rPr>
        <w:t>Mortier </w:t>
      </w:r>
    </w:p>
    <w:p w14:paraId="712209F2" w14:textId="77777777" w:rsidR="00DB2B68" w:rsidRDefault="00000000">
      <w:pPr>
        <w:jc w:val="both"/>
      </w:pPr>
      <w:r>
        <w:t xml:space="preserve">Le mortier est du type </w:t>
      </w:r>
      <w:r>
        <w:rPr>
          <w:rStyle w:val="optioncarChar"/>
        </w:rPr>
        <w:t xml:space="preserve">G </w:t>
      </w:r>
      <w:r>
        <w:t xml:space="preserve">(par défaut) </w:t>
      </w:r>
      <w:r>
        <w:rPr>
          <w:rStyle w:val="optioncarChar"/>
        </w:rPr>
        <w:t>/ ***</w:t>
      </w:r>
      <w:r>
        <w:t xml:space="preserve"> adapté à des joints d’épaisseur nominale de </w:t>
      </w:r>
      <w:r>
        <w:rPr>
          <w:rStyle w:val="optioncarChar"/>
        </w:rPr>
        <w:t xml:space="preserve">8 </w:t>
      </w:r>
      <w:r>
        <w:t>(par défaut) </w:t>
      </w:r>
      <w:r>
        <w:rPr>
          <w:rStyle w:val="optioncarChar"/>
        </w:rPr>
        <w:t>/ 12 / ***</w:t>
      </w:r>
      <w:r>
        <w:t xml:space="preserve"> mm.</w:t>
      </w:r>
    </w:p>
    <w:p w14:paraId="41E48D50" w14:textId="77777777" w:rsidR="00DB2B68" w:rsidRDefault="00DB2B68">
      <w:pPr>
        <w:jc w:val="both"/>
      </w:pPr>
    </w:p>
    <w:p w14:paraId="780E0E66" w14:textId="77777777" w:rsidR="00DB2B68" w:rsidRDefault="00000000">
      <w:pPr>
        <w:jc w:val="both"/>
      </w:pPr>
      <w:r>
        <w:rPr>
          <w:b/>
        </w:rPr>
        <w:t>Critères de performances de la paroi</w:t>
      </w:r>
    </w:p>
    <w:p w14:paraId="4E4B652D" w14:textId="77777777" w:rsidR="00DB2B68" w:rsidRDefault="00DB2B68">
      <w:pPr>
        <w:jc w:val="both"/>
      </w:pPr>
    </w:p>
    <w:p w14:paraId="3D754E95" w14:textId="77777777" w:rsidR="00DB2B68" w:rsidRDefault="00000000">
      <w:pPr>
        <w:jc w:val="both"/>
      </w:pPr>
      <w:r>
        <w:rPr>
          <w:u w:val="single"/>
        </w:rPr>
        <w:t>Coefficient de transmission :</w:t>
      </w:r>
    </w:p>
    <w:p w14:paraId="58547ECC" w14:textId="77777777" w:rsidR="00DB2B68" w:rsidRDefault="00000000">
      <w:pPr>
        <w:pStyle w:val="Author-eListParagraph"/>
        <w:numPr>
          <w:ilvl w:val="0"/>
          <w:numId w:val="35"/>
        </w:numPr>
      </w:pPr>
      <w:r>
        <w:t xml:space="preserve">valeur U de la paroi maximale de </w:t>
      </w:r>
      <w:r>
        <w:rPr>
          <w:rStyle w:val="optioncarChar"/>
        </w:rPr>
        <w:t>***</w:t>
      </w:r>
      <w:r>
        <w:t xml:space="preserve"> W/m²K</w:t>
      </w:r>
    </w:p>
    <w:p w14:paraId="3C913BB1" w14:textId="77777777" w:rsidR="00DB2B68" w:rsidRDefault="00000000">
      <w:pPr>
        <w:pStyle w:val="Author-eListParagraph"/>
        <w:numPr>
          <w:ilvl w:val="0"/>
          <w:numId w:val="35"/>
        </w:numPr>
      </w:pPr>
      <w:r>
        <w:t>valeur λ</w:t>
      </w:r>
      <w:r>
        <w:rPr>
          <w:vertAlign w:val="subscript"/>
        </w:rPr>
        <w:t>Ui</w:t>
      </w:r>
      <w:r>
        <w:t xml:space="preserve"> ou λ</w:t>
      </w:r>
      <w:r>
        <w:rPr>
          <w:vertAlign w:val="subscript"/>
        </w:rPr>
        <w:t>Ue</w:t>
      </w:r>
      <w:r>
        <w:t xml:space="preserve"> maximale de la brique </w:t>
      </w:r>
      <w:r>
        <w:rPr>
          <w:rStyle w:val="optioncarChar"/>
        </w:rPr>
        <w:t>***</w:t>
      </w:r>
      <w:r>
        <w:t xml:space="preserve"> W/mK (suivant l’application).</w:t>
      </w:r>
    </w:p>
    <w:p w14:paraId="2AABB823" w14:textId="77777777" w:rsidR="00DB2B68" w:rsidRDefault="00000000">
      <w:pPr>
        <w:jc w:val="both"/>
      </w:pPr>
      <w:r>
        <w:rPr>
          <w:u w:val="single"/>
        </w:rPr>
        <w:t>Résistance au feu : selon la norme [NBN EN 1996-1-2 ANB] :</w:t>
      </w:r>
    </w:p>
    <w:p w14:paraId="18C3F175" w14:textId="77777777" w:rsidR="00DB2B68" w:rsidRDefault="00000000">
      <w:pPr>
        <w:pStyle w:val="Author-eListParagraph"/>
        <w:numPr>
          <w:ilvl w:val="0"/>
          <w:numId w:val="36"/>
        </w:numPr>
        <w:jc w:val="both"/>
      </w:pPr>
      <w:r>
        <w:t xml:space="preserve">pour les éléments porteurs structurels sans fonction séparante : </w:t>
      </w:r>
      <w:r>
        <w:rPr>
          <w:rStyle w:val="optioncarChar"/>
        </w:rPr>
        <w:t>R15 / R30 </w:t>
      </w:r>
      <w:r>
        <w:t>(par défaut)</w:t>
      </w:r>
      <w:r>
        <w:rPr>
          <w:rStyle w:val="optioncarChar"/>
        </w:rPr>
        <w:t xml:space="preserve"> / R60/ R90 / R120 / R***</w:t>
      </w:r>
    </w:p>
    <w:p w14:paraId="3012C7B5" w14:textId="77777777" w:rsidR="00DB2B68" w:rsidRDefault="00000000">
      <w:pPr>
        <w:pStyle w:val="Author-eListParagraph"/>
        <w:numPr>
          <w:ilvl w:val="0"/>
          <w:numId w:val="36"/>
        </w:numPr>
        <w:jc w:val="both"/>
      </w:pPr>
      <w:r>
        <w:t xml:space="preserve">pour les éléments porteurs structurels avec fonction séparante : </w:t>
      </w:r>
      <w:r>
        <w:rPr>
          <w:rStyle w:val="optioncarChar"/>
        </w:rPr>
        <w:t>REI30 </w:t>
      </w:r>
      <w:r>
        <w:t>(par défaut)</w:t>
      </w:r>
      <w:r>
        <w:rPr>
          <w:rStyle w:val="optioncarChar"/>
        </w:rPr>
        <w:t xml:space="preserve"> / REI60/ REI90 / REI120 / REI</w:t>
      </w:r>
    </w:p>
    <w:p w14:paraId="5B84390D" w14:textId="77777777" w:rsidR="00DB2B68" w:rsidRDefault="00000000">
      <w:pPr>
        <w:pStyle w:val="pheading"/>
      </w:pPr>
      <w:r>
        <w:t>- Finitions</w:t>
      </w:r>
    </w:p>
    <w:p w14:paraId="7A8DA0CE" w14:textId="77777777" w:rsidR="00DB2B68" w:rsidRDefault="00000000">
      <w:pPr>
        <w:pStyle w:val="Author-eListParagraph"/>
        <w:numPr>
          <w:ilvl w:val="0"/>
          <w:numId w:val="37"/>
        </w:numPr>
      </w:pPr>
      <w:r>
        <w:lastRenderedPageBreak/>
        <w:t xml:space="preserve">Les faces de murs suivantes sont exécutées comme maçonneries apparentes et sont </w:t>
      </w:r>
      <w:r>
        <w:rPr>
          <w:rStyle w:val="normalChar"/>
          <w:color w:val="000000"/>
        </w:rPr>
        <w:t>rejointoyées </w:t>
      </w:r>
      <w:r>
        <w:t xml:space="preserve">selon l'article </w:t>
      </w:r>
      <w:hyperlink w:anchor="346" w:history="1">
        <w:r>
          <w:rPr>
            <w:color w:val="0000EE"/>
          </w:rPr>
          <w:t>21.61.1b Joints de maçonnerie apparente</w:t>
        </w:r>
      </w:hyperlink>
      <w:r>
        <w:t xml:space="preserve"> : </w:t>
      </w:r>
      <w:r>
        <w:rPr>
          <w:rStyle w:val="optioncarChar"/>
        </w:rPr>
        <w:t>***</w:t>
      </w:r>
    </w:p>
    <w:p w14:paraId="265EED0F" w14:textId="77777777" w:rsidR="00DB2B68" w:rsidRDefault="00000000">
      <w:pPr>
        <w:pStyle w:val="Author-eListParagraph"/>
        <w:numPr>
          <w:ilvl w:val="0"/>
          <w:numId w:val="37"/>
        </w:numPr>
      </w:pPr>
      <w:r>
        <w:t>Les murs suivants sont exécutés avec une face restant apparente : </w:t>
      </w:r>
      <w:r>
        <w:rPr>
          <w:rStyle w:val="optioncarChar"/>
        </w:rPr>
        <w:t>***</w:t>
      </w:r>
    </w:p>
    <w:p w14:paraId="22B9136B" w14:textId="77777777" w:rsidR="00DB2B68" w:rsidRDefault="00000000">
      <w:pPr>
        <w:pStyle w:val="Author-eListParagraph"/>
        <w:numPr>
          <w:ilvl w:val="0"/>
          <w:numId w:val="37"/>
        </w:numPr>
      </w:pPr>
      <w:r>
        <w:t xml:space="preserve">Les murs suivants sont exécutés avec deux faces restant apparentes : </w:t>
      </w:r>
      <w:r>
        <w:rPr>
          <w:rStyle w:val="optioncarChar"/>
        </w:rPr>
        <w:t>***</w:t>
      </w:r>
    </w:p>
    <w:p w14:paraId="312AC7D7" w14:textId="77777777" w:rsidR="00DB2B68" w:rsidRDefault="00000000">
      <w:pPr>
        <w:pStyle w:val="pheading"/>
      </w:pPr>
      <w:r>
        <w:t>- Prescriptions complémentaires</w:t>
      </w:r>
    </w:p>
    <w:p w14:paraId="51414005" w14:textId="77777777" w:rsidR="00DB2B68" w:rsidRDefault="00000000">
      <w:pPr>
        <w:jc w:val="both"/>
      </w:pPr>
      <w:r>
        <w:rPr>
          <w:rStyle w:val="facultChar"/>
        </w:rPr>
        <w:t xml:space="preserve">Caractéristiques techniques des briques de réemploi : </w:t>
      </w:r>
      <w:r>
        <w:rPr>
          <w:rStyle w:val="optioncarChar"/>
        </w:rPr>
        <w:t xml:space="preserve">1 / 2 </w:t>
      </w:r>
      <w:r>
        <w:t>(par défaut)</w:t>
      </w:r>
      <w:r>
        <w:rPr>
          <w:rStyle w:val="optioncarChar"/>
        </w:rPr>
        <w:t xml:space="preserve"> / ***</w:t>
      </w:r>
      <w:r>
        <w:rPr>
          <w:rStyle w:val="facultChar"/>
        </w:rPr>
        <w:t xml:space="preserve"> échantillon(s) de 5 briques par lot sont testés en laboratoire .</w:t>
      </w:r>
    </w:p>
    <w:p w14:paraId="4F41F381" w14:textId="77777777" w:rsidR="00DB2B68" w:rsidRDefault="00000000">
      <w:pPr>
        <w:pStyle w:val="pheading"/>
      </w:pPr>
      <w:r>
        <w:t>EXÉCUTION / MISE EN ŒUVRE</w:t>
      </w:r>
    </w:p>
    <w:p w14:paraId="30278716" w14:textId="77777777" w:rsidR="00DB2B68" w:rsidRDefault="00000000">
      <w:pPr>
        <w:pStyle w:val="pheading"/>
      </w:pPr>
      <w:r>
        <w:t>- Prescriptions générales</w:t>
      </w:r>
    </w:p>
    <w:p w14:paraId="77762E0E" w14:textId="77777777" w:rsidR="00DB2B68" w:rsidRDefault="00000000">
      <w:pPr>
        <w:jc w:val="both"/>
      </w:pPr>
      <w:r>
        <w:t xml:space="preserve">Type d’appareillage : </w:t>
      </w:r>
      <w:r>
        <w:rPr>
          <w:rStyle w:val="optioncarChar"/>
        </w:rPr>
        <w:t>appareillage à demi-brique</w:t>
      </w:r>
      <w:r>
        <w:t xml:space="preserve"> (par défaut)</w:t>
      </w:r>
      <w:r>
        <w:rPr>
          <w:rStyle w:val="optioncarChar"/>
        </w:rPr>
        <w:t xml:space="preserve"> / boutisse-panneresse / ***</w:t>
      </w:r>
      <w:r>
        <w:t>.</w:t>
      </w:r>
    </w:p>
    <w:p w14:paraId="0BD1D1D7" w14:textId="77777777" w:rsidR="00DB2B68" w:rsidRDefault="00000000">
      <w:pPr>
        <w:pStyle w:val="pheading"/>
      </w:pPr>
      <w:r>
        <w:t>- Échantillons</w:t>
      </w:r>
    </w:p>
    <w:p w14:paraId="0B6BD73C" w14:textId="77777777" w:rsidR="00DB2B68" w:rsidRDefault="00000000">
      <w:pPr>
        <w:jc w:val="both"/>
      </w:pPr>
      <w:r>
        <w:t xml:space="preserve">L'entrepreneur soumet un échantillon de </w:t>
      </w:r>
      <w:r>
        <w:rPr>
          <w:rStyle w:val="optioncarChar"/>
        </w:rPr>
        <w:t>2 / 3 / 5</w:t>
      </w:r>
      <w:r>
        <w:t xml:space="preserve"> (par défaut) briques pour approbation à l'auteur de projet et/ou au maître de l’ouvrage.</w:t>
      </w:r>
    </w:p>
    <w:p w14:paraId="432CE021" w14:textId="77777777" w:rsidR="00DB2B68" w:rsidRDefault="00000000">
      <w:pPr>
        <w:jc w:val="both"/>
      </w:pPr>
      <w:r>
        <w:t>Si plusieurs provenances, l’entrepreneur soumet un échantillon de</w:t>
      </w:r>
      <w:r>
        <w:rPr>
          <w:rStyle w:val="optioncarChar"/>
        </w:rPr>
        <w:t xml:space="preserve"> 2 / 3 / 5</w:t>
      </w:r>
      <w:r>
        <w:t xml:space="preserve"> (par défaut) briques par lot de provenance différente.</w:t>
      </w:r>
    </w:p>
    <w:p w14:paraId="2B9F28D5" w14:textId="77777777" w:rsidR="00DB2B68" w:rsidRDefault="00000000">
      <w:pPr>
        <w:jc w:val="both"/>
      </w:pPr>
      <w:r>
        <w:rPr>
          <w:rStyle w:val="optioncarChar"/>
        </w:rPr>
        <w:t xml:space="preserve">2 </w:t>
      </w:r>
      <w:r>
        <w:t xml:space="preserve">(par défaut) </w:t>
      </w:r>
      <w:r>
        <w:rPr>
          <w:rStyle w:val="optioncarChar"/>
        </w:rPr>
        <w:t>/ 3 / ***</w:t>
      </w:r>
      <w:r>
        <w:t xml:space="preserve"> tests de joint dans la ou les teintes choisies sont réalisés pour approbations du maître de l’ouvrage et/ou de l’architecte. Ces tests ont une dimension minimale de 50 x 50 cm. Le tout est exécuté selon les prescriptions du sous-titre </w:t>
      </w:r>
      <w:hyperlink w:anchor="347" w:history="1">
        <w:r>
          <w:rPr>
            <w:color w:val="0000EE"/>
          </w:rPr>
          <w:t>21.61 Rejointoyage</w:t>
        </w:r>
      </w:hyperlink>
      <w:r>
        <w:t>.</w:t>
      </w:r>
    </w:p>
    <w:p w14:paraId="13EE3ADD" w14:textId="77777777" w:rsidR="00DB2B68" w:rsidRDefault="00000000">
      <w:pPr>
        <w:pStyle w:val="pheading"/>
      </w:pPr>
      <w:r>
        <w:t>DOCUMENTS DE RÉFÉRENCE COMPLÉMENTAIRES</w:t>
      </w:r>
    </w:p>
    <w:p w14:paraId="3554EEB4" w14:textId="77777777" w:rsidR="00DB2B68" w:rsidRDefault="00000000">
      <w:pPr>
        <w:pStyle w:val="pheading"/>
      </w:pPr>
      <w:r>
        <w:t>- Matériau</w:t>
      </w:r>
    </w:p>
    <w:p w14:paraId="16562EA2" w14:textId="77777777" w:rsidR="00DB2B68" w:rsidRDefault="00000000">
      <w:r>
        <w:t>[NBN EN 772-1+A1, Méthodes d'essai des éléments de maçonnerie - Partie 1: Détermination de la résistance à la compression]</w:t>
      </w:r>
    </w:p>
    <w:p w14:paraId="0347BC05" w14:textId="77777777" w:rsidR="00DB2B68" w:rsidRDefault="00000000">
      <w:r>
        <w:t>[NBN EN 1996 série, Eurocode 6 : Calcul des ouvrages en maçonnerie]</w:t>
      </w:r>
    </w:p>
    <w:p w14:paraId="7204C403" w14:textId="77777777" w:rsidR="00DB2B68" w:rsidRDefault="00000000">
      <w:r>
        <w:t>[NBN EN 1996-1-1+A1 ANB, Eurocode 6 : Calcul des ouvrages en maçonnerie - Partie 1-1: Règles communes pour ouvrages en maçonnerie armée et non armée - Annexe nationale]</w:t>
      </w:r>
    </w:p>
    <w:p w14:paraId="3BE089C6" w14:textId="77777777" w:rsidR="00DB2B68" w:rsidRDefault="00000000">
      <w:r>
        <w:t>[NBN EN 771-1+A1, Spécification pour éléments de maçonnerie - Partie 1: Briques de terre cuite]</w:t>
      </w:r>
    </w:p>
    <w:p w14:paraId="301243E0" w14:textId="77777777" w:rsidR="00DB2B68" w:rsidRDefault="00000000">
      <w:r>
        <w:t>[NBN EN 1996-2 ANB, Eurocode 6 - Calcul des ouvrages en maçonnerie - Partie 2 : Conception, choix des matériaux et mise en oeuvre des maçonneries - Annexe nationale]</w:t>
      </w:r>
    </w:p>
    <w:p w14:paraId="47C2C523" w14:textId="77777777" w:rsidR="00DB2B68" w:rsidRDefault="00000000">
      <w:r>
        <w:t>[NBN B 27-009, Produits céramiques pour parements de murs et de sols - Gélivité - Cycles de gel-dégel]</w:t>
      </w:r>
    </w:p>
    <w:p w14:paraId="1611A49D" w14:textId="77777777" w:rsidR="00DB2B68" w:rsidRDefault="00000000">
      <w:pPr>
        <w:pStyle w:val="pheading"/>
      </w:pPr>
      <w:r>
        <w:t>MESURAGE</w:t>
      </w:r>
    </w:p>
    <w:p w14:paraId="3DE4C6CB" w14:textId="77777777" w:rsidR="00DB2B68" w:rsidRDefault="00000000">
      <w:pPr>
        <w:pStyle w:val="pheading"/>
      </w:pPr>
      <w:r>
        <w:t>- unité de mesure:</w:t>
      </w:r>
    </w:p>
    <w:p w14:paraId="0CAB3696" w14:textId="77777777" w:rsidR="00DB2B68" w:rsidRDefault="00000000">
      <w:r>
        <w:rPr>
          <w:rStyle w:val="optioncarChar"/>
        </w:rPr>
        <w:t>m³ </w:t>
      </w:r>
      <w:r>
        <w:t>(par défaut)</w:t>
      </w:r>
      <w:r>
        <w:rPr>
          <w:rStyle w:val="optioncarChar"/>
        </w:rPr>
        <w:t> / m²</w:t>
      </w:r>
    </w:p>
    <w:p w14:paraId="1F59CDFE" w14:textId="77777777" w:rsidR="00DB2B68" w:rsidRDefault="00000000">
      <w:r>
        <w:rPr>
          <w:b/>
        </w:rPr>
        <w:t>(soit par défaut)</w:t>
      </w:r>
      <w:r>
        <w:br/>
      </w:r>
      <w:r>
        <w:rPr>
          <w:rStyle w:val="soitChar"/>
        </w:rPr>
        <w:t>1. m³</w:t>
      </w:r>
      <w:r>
        <w:br/>
      </w:r>
      <w:r>
        <w:rPr>
          <w:b/>
        </w:rPr>
        <w:t>(soit)</w:t>
      </w:r>
      <w:r>
        <w:br/>
      </w:r>
      <w:r>
        <w:rPr>
          <w:rStyle w:val="soitChar"/>
        </w:rPr>
        <w:t>2. m²</w:t>
      </w:r>
    </w:p>
    <w:p w14:paraId="53405746" w14:textId="77777777" w:rsidR="00DB2B68" w:rsidRDefault="00000000">
      <w:pPr>
        <w:pStyle w:val="pheading"/>
      </w:pPr>
      <w:r>
        <w:t>- code de mesurage:</w:t>
      </w:r>
    </w:p>
    <w:p w14:paraId="6660F5A3" w14:textId="77777777" w:rsidR="00DB2B68" w:rsidRDefault="00000000">
      <w:pPr>
        <w:jc w:val="both"/>
      </w:pPr>
      <w:r>
        <w:t>Les maçonneries sont mesurées en fonction de leur forme géométrique.</w:t>
      </w:r>
    </w:p>
    <w:p w14:paraId="30BC6CEB" w14:textId="77777777" w:rsidR="00DB2B68" w:rsidRDefault="00000000">
      <w:pPr>
        <w:jc w:val="both"/>
      </w:pPr>
      <w:r>
        <w:t>La longueur des murs est mesurée dans l'axe de l'élément; lorsque deux murs se croisent ou se rencontrent, le mur le plus épais est compté. Aucun volume n'est porté deux fois en compte.</w:t>
      </w:r>
    </w:p>
    <w:p w14:paraId="47AB5321" w14:textId="77777777" w:rsidR="00DB2B68" w:rsidRDefault="00000000">
      <w:pPr>
        <w:jc w:val="both"/>
      </w:pPr>
      <w:r>
        <w:t>Le creux du mur n'est jamais compté.</w:t>
      </w:r>
    </w:p>
    <w:p w14:paraId="12A0F813" w14:textId="77777777" w:rsidR="00DB2B68" w:rsidRDefault="00000000">
      <w:pPr>
        <w:jc w:val="both"/>
      </w:pPr>
      <w:r>
        <w:lastRenderedPageBreak/>
        <w:t xml:space="preserve">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xml:space="preserve"> ou le </w:t>
      </w:r>
      <w:hyperlink w:anchor="349" w:history="1">
        <w:r>
          <w:rPr>
            <w:color w:val="0000EE"/>
          </w:rPr>
          <w:t>23 Superstructures métalliques</w:t>
        </w:r>
      </w:hyperlink>
      <w:r>
        <w:t>).</w:t>
      </w:r>
    </w:p>
    <w:p w14:paraId="4459B7A2" w14:textId="77777777" w:rsidR="00DB2B68" w:rsidRDefault="00000000">
      <w:pPr>
        <w:jc w:val="both"/>
      </w:pPr>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p>
    <w:p w14:paraId="40E6ADAC" w14:textId="77777777" w:rsidR="00DB2B68" w:rsidRDefault="00000000">
      <w:pPr>
        <w:jc w:val="both"/>
      </w:pPr>
      <w:r>
        <w:t>La maçonnerie autour des conduits de fumée et de ventilation est mesurée comme un mur plein pour les fourreaux jusqu'à une section de 0,12 m2.</w:t>
      </w:r>
    </w:p>
    <w:p w14:paraId="6CA187EF" w14:textId="77777777" w:rsidR="00DB2B68" w:rsidRDefault="00DB2B68"/>
    <w:p w14:paraId="0BE8BD9C" w14:textId="77777777" w:rsidR="00DB2B68" w:rsidRDefault="00000000">
      <w:pPr>
        <w:jc w:val="both"/>
      </w:pPr>
      <w:r>
        <w:rPr>
          <w:rStyle w:val="optioncarChar"/>
        </w:rPr>
        <w:t xml:space="preserve">Volume net </w:t>
      </w:r>
      <w:r>
        <w:t>(par défaut)</w:t>
      </w:r>
      <w:r>
        <w:rPr>
          <w:rStyle w:val="optioncarChar"/>
        </w:rPr>
        <w:t xml:space="preserve"> / Surface nette</w:t>
      </w:r>
    </w:p>
    <w:p w14:paraId="7ABEBECB" w14:textId="77777777" w:rsidR="00DB2B68" w:rsidRDefault="00000000">
      <w:pPr>
        <w:jc w:val="both"/>
      </w:pPr>
      <w:r>
        <w:rPr>
          <w:b/>
        </w:rPr>
        <w:t>(soit par défaut)</w:t>
      </w:r>
    </w:p>
    <w:p w14:paraId="02AA69A3" w14:textId="77777777" w:rsidR="00DB2B68" w:rsidRDefault="00000000">
      <w:pPr>
        <w:jc w:val="both"/>
      </w:pPr>
      <w:r>
        <w:rPr>
          <w:rStyle w:val="soitChar"/>
        </w:rPr>
        <w:t>1. </w:t>
      </w:r>
      <w:r>
        <w:rPr>
          <w:rStyle w:val="soitChar"/>
          <w:u w:val="single"/>
        </w:rPr>
        <w:t>Volume net</w:t>
      </w:r>
      <w:r>
        <w:rPr>
          <w:rStyle w:val="soitChar"/>
        </w:rPr>
        <w:t> de brique à mettre en œuvre</w:t>
      </w:r>
    </w:p>
    <w:p w14:paraId="5EA3374E" w14:textId="77777777" w:rsidR="00DB2B68" w:rsidRDefault="00000000">
      <w:pPr>
        <w:jc w:val="both"/>
      </w:pPr>
      <w:r>
        <w:rPr>
          <w:rStyle w:val="soitChar"/>
        </w:rPr>
        <w:t>Distinction faite suivant le type, nature de brique (neuve et/ou de réemploi) et l’épaisseur du mur. S’il s’agit de réemploi, distinguer : avec ou sans fourniture.</w:t>
      </w:r>
    </w:p>
    <w:p w14:paraId="368D81CE" w14:textId="77777777" w:rsidR="00DB2B68" w:rsidRDefault="00000000">
      <w:pPr>
        <w:jc w:val="both"/>
      </w:pPr>
      <w:r>
        <w:rPr>
          <w:b/>
        </w:rPr>
        <w:t>(soit)</w:t>
      </w:r>
    </w:p>
    <w:p w14:paraId="6DB99DD7" w14:textId="77777777" w:rsidR="00DB2B68" w:rsidRDefault="00000000">
      <w:pPr>
        <w:jc w:val="both"/>
      </w:pPr>
      <w:r>
        <w:rPr>
          <w:rStyle w:val="soitChar"/>
        </w:rPr>
        <w:t>2. </w:t>
      </w:r>
      <w:r>
        <w:rPr>
          <w:rStyle w:val="soitChar"/>
          <w:u w:val="single"/>
        </w:rPr>
        <w:t>Surface nette</w:t>
      </w:r>
      <w:r>
        <w:rPr>
          <w:rStyle w:val="soitChar"/>
        </w:rPr>
        <w:t> de brique à mettre en œuvre</w:t>
      </w:r>
    </w:p>
    <w:p w14:paraId="04E9316D" w14:textId="77777777" w:rsidR="00DB2B68" w:rsidRDefault="00000000">
      <w:pPr>
        <w:jc w:val="both"/>
      </w:pPr>
      <w:r>
        <w:rPr>
          <w:rStyle w:val="soitChar"/>
        </w:rPr>
        <w:t>Distinction faite suivant le type, nature de brique (neuve et/ou de réemploi) et l’épaisseur du mur. S’il s’agit de réemploi, distinguer : avec ou sans fourniture.</w:t>
      </w:r>
    </w:p>
    <w:p w14:paraId="0119E0DE" w14:textId="77777777" w:rsidR="00DB2B68" w:rsidRDefault="00DB2B68"/>
    <w:p w14:paraId="58D455F3" w14:textId="77777777" w:rsidR="00DB2B68" w:rsidRDefault="00000000">
      <w:pPr>
        <w:pStyle w:val="pheading"/>
      </w:pPr>
      <w:r>
        <w:t>- nature du marché:</w:t>
      </w:r>
    </w:p>
    <w:p w14:paraId="64F2390C" w14:textId="77777777" w:rsidR="00DB2B68" w:rsidRDefault="00000000">
      <w:r>
        <w:t>QF</w:t>
      </w:r>
    </w:p>
    <w:p w14:paraId="3B836AA2" w14:textId="77777777" w:rsidR="00DB2B68" w:rsidRDefault="00000000">
      <w:pPr>
        <w:pStyle w:val="Author-eSectionHeading6Numberless"/>
      </w:pPr>
      <w:bookmarkStart w:id="11" w:name="_Toc220495181"/>
      <w:r>
        <w:t>21.11.1b Maçonneries portantes en briques de terre cuite à coller CCTB 01.11</w:t>
      </w:r>
      <w:bookmarkEnd w:id="11"/>
    </w:p>
    <w:p w14:paraId="3B9EAA8F" w14:textId="77777777" w:rsidR="00DB2B68" w:rsidRDefault="00000000">
      <w:pPr>
        <w:pStyle w:val="pheading"/>
      </w:pPr>
      <w:r>
        <w:t>DESCRIPTION</w:t>
      </w:r>
    </w:p>
    <w:p w14:paraId="51020465" w14:textId="77777777" w:rsidR="00DB2B68" w:rsidRDefault="00000000">
      <w:pPr>
        <w:pStyle w:val="pheading"/>
      </w:pPr>
      <w:r>
        <w:t>- Définition / Comprend</w:t>
      </w:r>
    </w:p>
    <w:p w14:paraId="556F655D" w14:textId="77777777" w:rsidR="00DB2B68" w:rsidRDefault="00000000">
      <w:r>
        <w:t>Il s’agit de la fourniture et la pose de maçonneries portantes en briques de terre cuite à coller.</w:t>
      </w:r>
    </w:p>
    <w:p w14:paraId="2D909659" w14:textId="77777777" w:rsidR="00DB2B68" w:rsidRDefault="00000000">
      <w:r>
        <w:t>La portée des travaux est décrite dans l’article </w:t>
      </w:r>
      <w:hyperlink w:anchor="294" w:history="1">
        <w:r>
          <w:rPr>
            <w:color w:val="0000EE"/>
          </w:rPr>
          <w:t>21.1 Maçonneries portantes</w:t>
        </w:r>
      </w:hyperlink>
      <w:r>
        <w:t>.</w:t>
      </w:r>
    </w:p>
    <w:p w14:paraId="1EE4ADF3" w14:textId="77777777" w:rsidR="00DB2B68" w:rsidRDefault="00000000">
      <w:pPr>
        <w:pStyle w:val="pheading"/>
      </w:pPr>
      <w:r>
        <w:t>- Localisation</w:t>
      </w:r>
    </w:p>
    <w:p w14:paraId="45F2000B" w14:textId="77777777" w:rsidR="00DB2B68" w:rsidRDefault="00000000">
      <w:r>
        <w:t>La pose est réalisée aux endroits suivants :</w:t>
      </w:r>
      <w:r>
        <w:rPr>
          <w:rStyle w:val="optioncarChar"/>
        </w:rPr>
        <w:t xml:space="preserve"> ***</w:t>
      </w:r>
      <w:r>
        <w:t>.</w:t>
      </w:r>
      <w:r>
        <w:br/>
        <w:t>Voir plans et métrés détaillés.</w:t>
      </w:r>
    </w:p>
    <w:p w14:paraId="6FF88BBF" w14:textId="77777777" w:rsidR="00DB2B68" w:rsidRDefault="00000000">
      <w:pPr>
        <w:pStyle w:val="pheading"/>
      </w:pPr>
      <w:r>
        <w:t>MATÉRIAUX</w:t>
      </w:r>
    </w:p>
    <w:p w14:paraId="2D1611DA" w14:textId="77777777" w:rsidR="00DB2B68" w:rsidRDefault="00000000">
      <w:pPr>
        <w:pStyle w:val="pheading"/>
      </w:pPr>
      <w:r>
        <w:t>- Caractéristiques générales</w:t>
      </w:r>
    </w:p>
    <w:p w14:paraId="42B7AE96" w14:textId="77777777" w:rsidR="00DB2B68" w:rsidRDefault="00000000">
      <w:pPr>
        <w:pStyle w:val="heading"/>
      </w:pPr>
      <w:r>
        <w:t>Spécifications</w:t>
      </w:r>
    </w:p>
    <w:p w14:paraId="1BB19AE5" w14:textId="77777777" w:rsidR="00DB2B68" w:rsidRDefault="00000000">
      <w:r>
        <w:rPr>
          <w:u w:val="single"/>
        </w:rPr>
        <w:t>Briques</w:t>
      </w:r>
    </w:p>
    <w:p w14:paraId="078FF3F9" w14:textId="77777777" w:rsidR="00DB2B68" w:rsidRDefault="00000000">
      <w:r>
        <w:t>En ce qui concerne la déclaration de la résistance à la compression, les briques sont de catégorie I (la résistance à la compression est déclarée avec une fiabilité de 95%).</w:t>
      </w:r>
      <w:r>
        <w:br/>
      </w:r>
      <w:r>
        <w:br/>
      </w:r>
      <w:r>
        <w:rPr>
          <w:color w:val="000000"/>
          <w:shd w:val="clear" w:color="auto" w:fill="FFFFFF"/>
        </w:rPr>
        <w:t xml:space="preserve">La résistance en compression </w:t>
      </w:r>
      <w:r>
        <w:rPr>
          <w:rStyle w:val="optioncarChar"/>
        </w:rPr>
        <w:t>moyenne (f</w:t>
      </w:r>
      <w:r>
        <w:rPr>
          <w:rStyle w:val="optioncarChar"/>
          <w:vertAlign w:val="subscript"/>
        </w:rPr>
        <w:t>mean</w:t>
      </w:r>
      <w:r>
        <w:rPr>
          <w:rStyle w:val="optioncarChar"/>
        </w:rPr>
        <w:t xml:space="preserve">) </w:t>
      </w:r>
      <w:r>
        <w:rPr>
          <w:rStyle w:val="optioncarChar"/>
          <w:shd w:val="clear" w:color="auto" w:fill="FFFFFF"/>
        </w:rPr>
        <w:t>/ normalisé (f</w:t>
      </w:r>
      <w:r>
        <w:rPr>
          <w:rStyle w:val="optioncarChar"/>
          <w:vertAlign w:val="subscript"/>
        </w:rPr>
        <w:t>b</w:t>
      </w:r>
      <w:r>
        <w:rPr>
          <w:rStyle w:val="optioncarChar"/>
          <w:shd w:val="clear" w:color="auto" w:fill="FFFFFF"/>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shd w:val="clear" w:color="auto" w:fill="FFFFFF"/>
        </w:rPr>
        <w:t xml:space="preserve"> est au minimum: </w:t>
      </w:r>
      <w:r>
        <w:rPr>
          <w:rStyle w:val="optioncarChar"/>
        </w:rPr>
        <w:t>***</w:t>
      </w:r>
      <w:r>
        <w:rPr>
          <w:color w:val="000000"/>
          <w:shd w:val="clear" w:color="auto" w:fill="FFFFFF"/>
        </w:rPr>
        <w:t xml:space="preserve"> N/mm² (MPa).  </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lastRenderedPageBreak/>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w:t>
      </w:r>
      <w:r>
        <w:rPr>
          <w:rStyle w:val="optioncarChar"/>
        </w:rPr>
        <w:t xml:space="preserve"> / assemblage à rainures et languettes / assemblage à rainures et poignées</w:t>
      </w:r>
      <w:r>
        <w:br/>
        <w:t xml:space="preserve"> Face qui reste visible :</w:t>
      </w:r>
      <w:r>
        <w:rPr>
          <w:rStyle w:val="optioncarChar"/>
        </w:rPr>
        <w:t xml:space="preserve"> lisse </w:t>
      </w:r>
      <w:r>
        <w:t>(par défaut) </w:t>
      </w:r>
      <w:r>
        <w:rPr>
          <w:rStyle w:val="optioncarChar"/>
        </w:rPr>
        <w:t>/ striée / ***</w:t>
      </w:r>
      <w:r>
        <w:br/>
        <w:t xml:space="preserve"> Face à cimenter ou plafonner : </w:t>
      </w:r>
      <w:r>
        <w:rPr>
          <w:rStyle w:val="optioncarChar"/>
        </w:rPr>
        <w:t>lisse</w:t>
      </w:r>
      <w:r>
        <w:t xml:space="preserve"> (par défaut)</w:t>
      </w:r>
      <w:r>
        <w:rPr>
          <w:rStyle w:val="optioncarChar"/>
        </w:rPr>
        <w:t xml:space="preserve"> / striée / rainurée</w:t>
      </w:r>
      <w:r>
        <w:br/>
        <w:t xml:space="preserve">Teinte : </w:t>
      </w:r>
      <w:r>
        <w:rPr>
          <w:rStyle w:val="optioncarChar"/>
        </w:rPr>
        <w:t xml:space="preserve">blanc / rouge </w:t>
      </w:r>
      <w:r>
        <w:t>(par défaut)</w:t>
      </w:r>
      <w:r>
        <w:rPr>
          <w:rStyle w:val="optioncarChar"/>
        </w:rPr>
        <w:t xml:space="preserve"> / gris / ***</w:t>
      </w:r>
      <w:r>
        <w:br/>
        <w:t xml:space="preserve">Format : (L x l x h) </w:t>
      </w:r>
      <w:r>
        <w:rPr>
          <w:rStyle w:val="optioncarChar"/>
        </w:rPr>
        <w:t>*** x *** x *** mm / format modulaire proposé par l'entrepreneur</w:t>
      </w:r>
      <w:r>
        <w:t> (par défaut)</w:t>
      </w:r>
      <w:r>
        <w:br/>
      </w:r>
      <w:r>
        <w:br/>
        <w:t xml:space="preserve">Tolérances dimensionnelles : </w:t>
      </w:r>
      <w:r>
        <w:br/>
        <w:t xml:space="preserve">Tolérances de la valeur moyenne : </w:t>
      </w:r>
      <w:r>
        <w:rPr>
          <w:rStyle w:val="optioncarChar"/>
        </w:rPr>
        <w:t>T1 / T2 / Tm</w:t>
      </w:r>
      <w:r>
        <w:br/>
        <w:t xml:space="preserve">Plage : </w:t>
      </w:r>
      <w:r>
        <w:rPr>
          <w:rStyle w:val="optioncarChar"/>
        </w:rPr>
        <w:t>R1 / R2 / Rm</w:t>
      </w:r>
      <w:r>
        <w:br/>
      </w:r>
      <w:r>
        <w:br/>
        <w:t>Taux initial d’absorption d’eau : classe</w:t>
      </w:r>
      <w:r>
        <w:rPr>
          <w:rStyle w:val="optioncarChar"/>
        </w:rPr>
        <w:t xml:space="preserve"> IW1 / IW2 / IW3 / IW4</w:t>
      </w:r>
    </w:p>
    <w:p w14:paraId="388F5473" w14:textId="77777777" w:rsidR="00DB2B68" w:rsidRDefault="00000000">
      <w:r>
        <w:t>Résistance au gel suivant les classes d’application MX… selon [NBN EN 1996-2 ANB] et [NIT 271].</w:t>
      </w:r>
      <w:r>
        <w:br/>
      </w:r>
      <w:r>
        <w:br/>
        <w:t>Réaction au feu :</w:t>
      </w:r>
      <w:r>
        <w:rPr>
          <w:rStyle w:val="optioncarChar"/>
        </w:rPr>
        <w:t xml:space="preserve"> A1 </w:t>
      </w:r>
      <w:r>
        <w:t>(par défaut)</w:t>
      </w:r>
      <w:r>
        <w:rPr>
          <w:rStyle w:val="optioncarChar"/>
        </w:rPr>
        <w:t xml:space="preserve"> / ***</w:t>
      </w:r>
    </w:p>
    <w:p w14:paraId="6DA79412" w14:textId="77777777" w:rsidR="00DB2B68" w:rsidRDefault="00000000">
      <w:r>
        <w:rPr>
          <w:u w:val="single"/>
        </w:rPr>
        <w:t>Mortier</w:t>
      </w:r>
    </w:p>
    <w:p w14:paraId="50E85DA4" w14:textId="77777777" w:rsidR="00DB2B68" w:rsidRDefault="00000000">
      <w:r>
        <w:t xml:space="preserve">Le mortier est du type </w:t>
      </w:r>
      <w:r>
        <w:rPr>
          <w:rStyle w:val="optioncarChar"/>
        </w:rPr>
        <w:t xml:space="preserve">G </w:t>
      </w:r>
      <w:r>
        <w:t xml:space="preserve">(par défaut) </w:t>
      </w:r>
      <w:r>
        <w:rPr>
          <w:rStyle w:val="optioncarChar"/>
        </w:rPr>
        <w:t>/ ***</w:t>
      </w:r>
      <w:r>
        <w:t xml:space="preserve"> adapté à des joints d’épaisseur nominale de </w:t>
      </w:r>
      <w:r>
        <w:rPr>
          <w:rStyle w:val="optioncarChar"/>
        </w:rPr>
        <w:t xml:space="preserve">8 </w:t>
      </w:r>
      <w:r>
        <w:t>(par défaut) </w:t>
      </w:r>
      <w:r>
        <w:rPr>
          <w:rStyle w:val="optioncarChar"/>
        </w:rPr>
        <w:t>/ 12 / ***</w:t>
      </w:r>
      <w:r>
        <w:t xml:space="preserve"> mm.</w:t>
      </w:r>
    </w:p>
    <w:p w14:paraId="7D5D3404" w14:textId="77777777" w:rsidR="00DB2B68" w:rsidRDefault="00000000">
      <w:pPr>
        <w:pStyle w:val="heading"/>
      </w:pPr>
      <w:r>
        <w:t>Critères de performances de la paroi</w:t>
      </w:r>
    </w:p>
    <w:p w14:paraId="7BA17CAE" w14:textId="77777777" w:rsidR="00DB2B68" w:rsidRDefault="00000000">
      <w:r>
        <w:t>Coefficient de transmission :</w:t>
      </w:r>
    </w:p>
    <w:p w14:paraId="7D390988" w14:textId="77777777" w:rsidR="00DB2B68" w:rsidRDefault="00000000">
      <w:pPr>
        <w:pStyle w:val="Author-eListParagraph"/>
        <w:numPr>
          <w:ilvl w:val="0"/>
          <w:numId w:val="38"/>
        </w:numPr>
      </w:pPr>
      <w:r>
        <w:t xml:space="preserve">valeur U minimale de </w:t>
      </w:r>
      <w:r>
        <w:rPr>
          <w:rStyle w:val="optioncarChar"/>
        </w:rPr>
        <w:t>***</w:t>
      </w:r>
      <w:r>
        <w:t xml:space="preserve"> W/m²K</w:t>
      </w:r>
    </w:p>
    <w:p w14:paraId="102F9D05" w14:textId="77777777" w:rsidR="00DB2B68" w:rsidRDefault="00000000">
      <w:pPr>
        <w:pStyle w:val="Author-eListParagraph"/>
        <w:numPr>
          <w:ilvl w:val="0"/>
          <w:numId w:val="3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DA790FA" w14:textId="77777777" w:rsidR="00DB2B68" w:rsidRDefault="00000000">
      <w:r>
        <w:t>Résistance au feu :</w:t>
      </w:r>
    </w:p>
    <w:p w14:paraId="70717739" w14:textId="77777777" w:rsidR="00DB2B68" w:rsidRDefault="00000000">
      <w:pPr>
        <w:pStyle w:val="Author-eListParagraph"/>
        <w:numPr>
          <w:ilvl w:val="0"/>
          <w:numId w:val="39"/>
        </w:numPr>
      </w:pPr>
      <w:r>
        <w:t xml:space="preserve">pour les éléments porteurs structurels sans fonction séparante : </w:t>
      </w:r>
      <w:r>
        <w:rPr>
          <w:rStyle w:val="optioncarChar"/>
        </w:rPr>
        <w:t>R15 / R30 </w:t>
      </w:r>
      <w:r>
        <w:t>(par défaut)</w:t>
      </w:r>
      <w:r>
        <w:rPr>
          <w:rStyle w:val="optioncarChar"/>
        </w:rPr>
        <w:t xml:space="preserve"> / R60/ R90 / R120 / R***</w:t>
      </w:r>
    </w:p>
    <w:p w14:paraId="4BF7AC95" w14:textId="77777777" w:rsidR="00DB2B68" w:rsidRDefault="00000000">
      <w:pPr>
        <w:pStyle w:val="Author-eListParagraph"/>
        <w:numPr>
          <w:ilvl w:val="0"/>
          <w:numId w:val="39"/>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77A4B91A" w14:textId="77777777" w:rsidR="00DB2B68" w:rsidRDefault="00000000">
      <w:r>
        <w:t>selon la norme [NBN EN 1996-1-2 ANB].</w:t>
      </w:r>
    </w:p>
    <w:p w14:paraId="055E06A5" w14:textId="77777777" w:rsidR="00DB2B68" w:rsidRDefault="00000000">
      <w:pPr>
        <w:pStyle w:val="pheading"/>
      </w:pPr>
      <w:r>
        <w:t>- Finitions</w:t>
      </w:r>
    </w:p>
    <w:p w14:paraId="0331A683" w14:textId="77777777" w:rsidR="00DB2B68" w:rsidRDefault="00000000">
      <w:pPr>
        <w:pStyle w:val="Author-eListParagraph"/>
        <w:numPr>
          <w:ilvl w:val="0"/>
          <w:numId w:val="40"/>
        </w:numPr>
      </w:pPr>
      <w:r>
        <w:t xml:space="preserve">Les faces de murs suivantes sont exécutées comme maçonneries apparentes et sont rejointoyées selon l'article 61.1b Joints de maçonnerie apparente : </w:t>
      </w:r>
      <w:r>
        <w:rPr>
          <w:color w:val="FF0000"/>
        </w:rPr>
        <w:t>***</w:t>
      </w:r>
    </w:p>
    <w:p w14:paraId="22CD9668" w14:textId="77777777" w:rsidR="00DB2B68" w:rsidRDefault="00000000">
      <w:pPr>
        <w:pStyle w:val="Author-eListParagraph"/>
        <w:numPr>
          <w:ilvl w:val="0"/>
          <w:numId w:val="40"/>
        </w:numPr>
      </w:pPr>
      <w:r>
        <w:t>Les murs suivants sont exécutés avec une face restant apparente :</w:t>
      </w:r>
      <w:r>
        <w:rPr>
          <w:color w:val="FF0000"/>
        </w:rPr>
        <w:t>***</w:t>
      </w:r>
    </w:p>
    <w:p w14:paraId="440FCAB5" w14:textId="77777777" w:rsidR="00DB2B68" w:rsidRDefault="00000000">
      <w:pPr>
        <w:pStyle w:val="Author-eListParagraph"/>
        <w:numPr>
          <w:ilvl w:val="0"/>
          <w:numId w:val="40"/>
        </w:numPr>
      </w:pPr>
      <w:r>
        <w:t>Les murs suivants sont exécutés avec deux faces restant apparentes :</w:t>
      </w:r>
      <w:r>
        <w:rPr>
          <w:color w:val="FF0000"/>
        </w:rPr>
        <w:t xml:space="preserve"> ***</w:t>
      </w:r>
    </w:p>
    <w:p w14:paraId="2CE051B4" w14:textId="77777777" w:rsidR="00DB2B68" w:rsidRDefault="00000000">
      <w:r>
        <w:br/>
      </w:r>
    </w:p>
    <w:p w14:paraId="34AB38F6" w14:textId="77777777" w:rsidR="00DB2B68" w:rsidRDefault="00000000">
      <w:pPr>
        <w:ind w:left="750"/>
      </w:pPr>
      <w:r>
        <w:t> </w:t>
      </w:r>
    </w:p>
    <w:p w14:paraId="27B515A7" w14:textId="77777777" w:rsidR="00DB2B68" w:rsidRDefault="00000000">
      <w:pPr>
        <w:pStyle w:val="pheading"/>
      </w:pPr>
      <w:r>
        <w:t>MESURAGE</w:t>
      </w:r>
    </w:p>
    <w:p w14:paraId="690C6ACD" w14:textId="77777777" w:rsidR="00DB2B68" w:rsidRDefault="00000000">
      <w:pPr>
        <w:pStyle w:val="pheading"/>
      </w:pPr>
      <w:r>
        <w:t>- unité de mesure:</w:t>
      </w:r>
    </w:p>
    <w:p w14:paraId="1C6A3116" w14:textId="77777777" w:rsidR="00DB2B68" w:rsidRDefault="00000000">
      <w:r>
        <w:rPr>
          <w:rStyle w:val="optioncarChar"/>
        </w:rPr>
        <w:t>m³ </w:t>
      </w:r>
      <w:r>
        <w:t>(par défaut)</w:t>
      </w:r>
      <w:r>
        <w:rPr>
          <w:rStyle w:val="optioncarChar"/>
        </w:rPr>
        <w:t> / m²</w:t>
      </w:r>
    </w:p>
    <w:p w14:paraId="30E9E113" w14:textId="77777777" w:rsidR="00DB2B68" w:rsidRDefault="00000000">
      <w:r>
        <w:rPr>
          <w:b/>
        </w:rPr>
        <w:t>(soit par défaut)</w:t>
      </w:r>
    </w:p>
    <w:p w14:paraId="176C65B4" w14:textId="77777777" w:rsidR="00DB2B68" w:rsidRDefault="00000000">
      <w:r>
        <w:rPr>
          <w:rStyle w:val="soitChar"/>
        </w:rPr>
        <w:t>1. m³</w:t>
      </w:r>
    </w:p>
    <w:p w14:paraId="34866F07" w14:textId="77777777" w:rsidR="00DB2B68" w:rsidRDefault="00000000">
      <w:r>
        <w:rPr>
          <w:b/>
        </w:rPr>
        <w:t>(soit)</w:t>
      </w:r>
    </w:p>
    <w:p w14:paraId="245E21B5" w14:textId="77777777" w:rsidR="00DB2B68" w:rsidRDefault="00000000">
      <w:r>
        <w:rPr>
          <w:rStyle w:val="soitChar"/>
        </w:rPr>
        <w:t>2. m²</w:t>
      </w:r>
    </w:p>
    <w:p w14:paraId="4A3FDF24" w14:textId="77777777" w:rsidR="00DB2B68" w:rsidRDefault="00000000">
      <w:pPr>
        <w:pStyle w:val="pheading"/>
      </w:pPr>
      <w:r>
        <w:lastRenderedPageBreak/>
        <w:t>- code de mesurage:</w:t>
      </w:r>
    </w:p>
    <w:p w14:paraId="0F603F5F"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A6BEA70"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90DBD1B"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3F1C765F" w14:textId="77777777" w:rsidR="00DB2B68" w:rsidRDefault="00000000">
      <w:r>
        <w:br/>
      </w:r>
      <w:r>
        <w:rPr>
          <w:rStyle w:val="optioncarChar"/>
        </w:rPr>
        <w:t>Volume net </w:t>
      </w:r>
      <w:r>
        <w:t>(par défaut)</w:t>
      </w:r>
      <w:r>
        <w:rPr>
          <w:rStyle w:val="optioncarChar"/>
        </w:rPr>
        <w:t> / Surface nette</w:t>
      </w:r>
    </w:p>
    <w:p w14:paraId="41F5F1E1" w14:textId="77777777" w:rsidR="00DB2B68" w:rsidRDefault="00000000">
      <w:r>
        <w:rPr>
          <w:b/>
        </w:rPr>
        <w:t>(soit par défaut)</w:t>
      </w:r>
    </w:p>
    <w:p w14:paraId="134D16A3"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du mur. S’il s’agit de réemploi, distinguer : avec ou sans fourniture.</w:t>
      </w:r>
    </w:p>
    <w:p w14:paraId="0F6A3326" w14:textId="77777777" w:rsidR="00DB2B68" w:rsidRDefault="00000000">
      <w:r>
        <w:rPr>
          <w:b/>
        </w:rPr>
        <w:t>(soit)</w:t>
      </w:r>
    </w:p>
    <w:p w14:paraId="7838FAAA"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du mur. S’il s’agit de réemploi, distinguer : avec ou sans fourniture.</w:t>
      </w:r>
    </w:p>
    <w:p w14:paraId="3CF53F00" w14:textId="77777777" w:rsidR="00DB2B68" w:rsidRDefault="00000000">
      <w:pPr>
        <w:ind w:left="750"/>
      </w:pPr>
      <w:r>
        <w:t> </w:t>
      </w:r>
    </w:p>
    <w:p w14:paraId="277EA490" w14:textId="77777777" w:rsidR="00DB2B68" w:rsidRDefault="00000000">
      <w:pPr>
        <w:ind w:left="750"/>
      </w:pPr>
      <w:r>
        <w:t> </w:t>
      </w:r>
    </w:p>
    <w:p w14:paraId="407BFFAE" w14:textId="77777777" w:rsidR="00DB2B68" w:rsidRDefault="00000000">
      <w:pPr>
        <w:pStyle w:val="pheading"/>
      </w:pPr>
      <w:r>
        <w:t>- nature du marché:</w:t>
      </w:r>
    </w:p>
    <w:p w14:paraId="700C881B" w14:textId="77777777" w:rsidR="00DB2B68" w:rsidRDefault="00000000">
      <w:r>
        <w:t>QF</w:t>
      </w:r>
    </w:p>
    <w:p w14:paraId="2BCE621B" w14:textId="77777777" w:rsidR="00DB2B68" w:rsidRDefault="00000000">
      <w:pPr>
        <w:pStyle w:val="Author-eSectionHeading5Numberless"/>
      </w:pPr>
      <w:bookmarkStart w:id="12" w:name="_Toc220495182"/>
      <w:r>
        <w:t>21.11.2 Maçonneries portantes en briques de béton CCTB 01.11</w:t>
      </w:r>
      <w:bookmarkEnd w:id="12"/>
    </w:p>
    <w:p w14:paraId="279667AC" w14:textId="77777777" w:rsidR="00DB2B68" w:rsidRDefault="00000000">
      <w:pPr>
        <w:pStyle w:val="pheading"/>
      </w:pPr>
      <w:bookmarkStart w:id="13" w:name="361"/>
      <w:bookmarkEnd w:id="13"/>
      <w:r>
        <w:t>MATÉRIAUX</w:t>
      </w:r>
    </w:p>
    <w:p w14:paraId="5013FE5C" w14:textId="77777777" w:rsidR="00DB2B68" w:rsidRDefault="00000000">
      <w:r>
        <w:t xml:space="preserve">Il s'agit des briques en béton, qui répondent à la norme [NBN EN 771-3+A1] et au [PTV 21-001]. L'entrepreneur soumet un échantillon, la fiche technique et la déclaration des performances (DoP) du matériau pour approbation à l'auteur de projet et au maître de l’ouvrage. </w:t>
      </w:r>
    </w:p>
    <w:p w14:paraId="2A11F733" w14:textId="77777777" w:rsidR="00DB2B68" w:rsidRDefault="00000000">
      <w:pPr>
        <w:pStyle w:val="pheading"/>
      </w:pPr>
      <w:r>
        <w:t>EXÉCUTION / MISE EN ŒUVRE</w:t>
      </w:r>
    </w:p>
    <w:p w14:paraId="0E4528F6" w14:textId="77777777" w:rsidR="00DB2B68" w:rsidRDefault="00000000">
      <w:r>
        <w:t>Conformément au mode de mise en œuvre, les briques en béton sont maçonnés au mortier / collés à l’aide d’un mortier-colle selon les indications du fabricant des briques, du fabricant de mortier et des notes de calcul du bureau d’études.</w:t>
      </w:r>
    </w:p>
    <w:p w14:paraId="0E411925" w14:textId="77777777" w:rsidR="00DB2B68" w:rsidRDefault="00000000">
      <w:r>
        <w:t>Le mortier à coller / à maçonner (selon la norme [NBN EN 998-2] et le règlement d’application [TRA 651] répond à la catégorie :</w:t>
      </w:r>
      <w:r>
        <w:rPr>
          <w:rStyle w:val="optioncarChar"/>
        </w:rPr>
        <w:t xml:space="preserve"> M5 / M10 </w:t>
      </w:r>
      <w:r>
        <w:t>(par défaut) </w:t>
      </w:r>
      <w:r>
        <w:rPr>
          <w:rStyle w:val="optioncarChar"/>
        </w:rPr>
        <w:t>/ M15 / M20 / ***</w:t>
      </w:r>
      <w:r>
        <w:br/>
        <w:t xml:space="preserve">L'épaisseur des joints est d'au moins </w:t>
      </w:r>
      <w:r>
        <w:rPr>
          <w:rStyle w:val="optioncarChar"/>
        </w:rPr>
        <w:t>10 </w:t>
      </w:r>
      <w:r>
        <w:t>(par défaut)</w:t>
      </w:r>
      <w:r>
        <w:rPr>
          <w:rStyle w:val="optioncarChar"/>
        </w:rPr>
        <w:t xml:space="preserve">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w:t>
      </w:r>
      <w:r>
        <w:rPr>
          <w:rStyle w:val="optioncarChar"/>
        </w:rPr>
        <w:lastRenderedPageBreak/>
        <w:t>organique / acier inoxydable austénitique / ***</w:t>
      </w:r>
      <w:r>
        <w:b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w:t>
      </w:r>
    </w:p>
    <w:p w14:paraId="726E679F" w14:textId="77777777" w:rsidR="00DB2B68" w:rsidRDefault="00000000">
      <w:r>
        <w:rPr>
          <w:b/>
        </w:rPr>
        <w:t>- Notes d'exécution complémentaires</w:t>
      </w:r>
    </w:p>
    <w:p w14:paraId="108A2E09" w14:textId="77777777" w:rsidR="00DB2B68" w:rsidRDefault="00000000">
      <w:r>
        <w:t>Pour les maçonneries destinées à rester apparentes, seules des briques non endommagés sont utilisés.</w:t>
      </w:r>
    </w:p>
    <w:p w14:paraId="2014B8B5"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55FEBC63"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p>
    <w:p w14:paraId="288E0A7E"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6C354628" w14:textId="77777777" w:rsidR="00DB2B68" w:rsidRDefault="00000000">
      <w:r>
        <w:t xml:space="preserve">Les faces de murs suivantes sont exécutées comme maçonneries apparentes : </w:t>
      </w:r>
      <w:r>
        <w:rPr>
          <w:rStyle w:val="optioncarChar"/>
        </w:rPr>
        <w:t>***.</w:t>
      </w:r>
    </w:p>
    <w:p w14:paraId="52D16A2F" w14:textId="77777777" w:rsidR="00DB2B68" w:rsidRDefault="00000000">
      <w:r>
        <w:t xml:space="preserve">Crochets de mur : </w:t>
      </w:r>
      <w:r>
        <w:rPr>
          <w:rStyle w:val="optioncarChar"/>
        </w:rPr>
        <w:t xml:space="preserve">acier inoxydable </w:t>
      </w:r>
      <w:r>
        <w:t>(par défaut)</w:t>
      </w:r>
      <w:r>
        <w:rPr>
          <w:rStyle w:val="optioncarChar"/>
        </w:rPr>
        <w:t xml:space="preserve"> / *** , diamètre minimal 3,5</w:t>
      </w:r>
      <w:r>
        <w:t xml:space="preserve"> (par défaut)</w:t>
      </w:r>
      <w:r>
        <w:rPr>
          <w:rStyle w:val="optioncarChar"/>
        </w:rPr>
        <w:t xml:space="preserve"> / ***</w:t>
      </w:r>
      <w:r>
        <w:t xml:space="preserve"> mm</w:t>
      </w:r>
    </w:p>
    <w:p w14:paraId="46E37E71" w14:textId="77777777" w:rsidR="00DB2B68" w:rsidRDefault="00000000">
      <w:r>
        <w:br/>
        <w:t>Linteaux :</w:t>
      </w:r>
      <w:r>
        <w:rPr>
          <w:rStyle w:val="optioncarChar"/>
        </w:rPr>
        <w:t xml:space="preserve"> ***</w:t>
      </w:r>
      <w:r>
        <w:t xml:space="preserve"> conformément à l’article </w:t>
      </w:r>
      <w:hyperlink w:anchor="360" w:history="1">
        <w:r>
          <w:rPr>
            <w:color w:val="0000EE"/>
          </w:rPr>
          <w:t>22.13 Linteaux en béton</w:t>
        </w:r>
      </w:hyperlink>
      <w:r>
        <w:t>.</w:t>
      </w:r>
    </w:p>
    <w:p w14:paraId="20768813" w14:textId="77777777" w:rsidR="00DB2B68" w:rsidRDefault="00000000">
      <w:pPr>
        <w:ind w:left="750"/>
      </w:pPr>
      <w:r>
        <w:t> </w:t>
      </w:r>
    </w:p>
    <w:p w14:paraId="7E4EFE44" w14:textId="77777777" w:rsidR="00DB2B68" w:rsidRDefault="00000000">
      <w:pPr>
        <w:pStyle w:val="pheading"/>
      </w:pPr>
      <w:r>
        <w:t>AIDE</w:t>
      </w:r>
    </w:p>
    <w:p w14:paraId="377D6DD7" w14:textId="77777777" w:rsidR="00DB2B68" w:rsidRDefault="00000000">
      <w:r>
        <w:t>Note à l'attention de l'auteur du projet : pour le choix adéquat du mortier, se référer à la [STS 22 série].</w:t>
      </w:r>
    </w:p>
    <w:p w14:paraId="61EBA3C0" w14:textId="77777777" w:rsidR="00DB2B68" w:rsidRDefault="00000000">
      <w:pPr>
        <w:pStyle w:val="Author-eSectionHeading6Numberless"/>
      </w:pPr>
      <w:bookmarkStart w:id="14" w:name="_Toc220495183"/>
      <w:r>
        <w:t>21.11.2a Maçonneries portantes en briques de béton à maçonner CCTB 01.13</w:t>
      </w:r>
      <w:bookmarkEnd w:id="14"/>
    </w:p>
    <w:p w14:paraId="27F5E401" w14:textId="77777777" w:rsidR="00DB2B68" w:rsidRDefault="00000000">
      <w:pPr>
        <w:pStyle w:val="pheading"/>
      </w:pPr>
      <w:r>
        <w:t>DESCRIPTION</w:t>
      </w:r>
    </w:p>
    <w:p w14:paraId="1F38B961" w14:textId="77777777" w:rsidR="00DB2B68" w:rsidRDefault="00000000">
      <w:pPr>
        <w:pStyle w:val="pheading"/>
      </w:pPr>
      <w:r>
        <w:t>- Définition / Comprend</w:t>
      </w:r>
    </w:p>
    <w:p w14:paraId="5E2C8EDC" w14:textId="77777777" w:rsidR="00DB2B68" w:rsidRDefault="00000000">
      <w:r>
        <w:t xml:space="preserve">Il s’agit de la fourniture et la pose de maçonneries portantes en briques de béton à maçonner. </w:t>
      </w:r>
      <w:r>
        <w:br/>
        <w:t xml:space="preserve">La portée des travaux est décrite dans l’article </w:t>
      </w:r>
      <w:hyperlink w:anchor="361" w:history="1">
        <w:r>
          <w:rPr>
            <w:color w:val="0000EE"/>
          </w:rPr>
          <w:t>21.11.2 Maçonneries portantes en briques de béton</w:t>
        </w:r>
      </w:hyperlink>
      <w:r>
        <w:t>.</w:t>
      </w:r>
      <w:r>
        <w:br/>
        <w:t>Les travaux comprennent également la fourniture et la pose des pièces d’angle, de terminaison et de rencontre.</w:t>
      </w:r>
    </w:p>
    <w:p w14:paraId="6E7178D8" w14:textId="77777777" w:rsidR="00DB2B68" w:rsidRDefault="00000000">
      <w:pPr>
        <w:pStyle w:val="pheading"/>
      </w:pPr>
      <w:r>
        <w:t>- Localisation</w:t>
      </w:r>
    </w:p>
    <w:p w14:paraId="1235D807" w14:textId="77777777" w:rsidR="00DB2B68" w:rsidRDefault="00000000">
      <w:r>
        <w:t>La pose est réalisée aux endroits suivants :</w:t>
      </w:r>
      <w:r>
        <w:rPr>
          <w:rStyle w:val="optioncarChar"/>
        </w:rPr>
        <w:t xml:space="preserve"> ***</w:t>
      </w:r>
      <w:r>
        <w:t>.</w:t>
      </w:r>
      <w:r>
        <w:br/>
        <w:t>Voir plans et métrés détaillés.</w:t>
      </w:r>
    </w:p>
    <w:p w14:paraId="36AD4B34" w14:textId="77777777" w:rsidR="00DB2B68" w:rsidRDefault="00000000">
      <w:pPr>
        <w:pStyle w:val="pheading"/>
      </w:pPr>
      <w:r>
        <w:t>MATÉRIAUX</w:t>
      </w:r>
    </w:p>
    <w:p w14:paraId="312AC862" w14:textId="77777777" w:rsidR="00DB2B68" w:rsidRDefault="00000000">
      <w:pPr>
        <w:pStyle w:val="pheading"/>
      </w:pPr>
      <w:r>
        <w:t>- Caractéristiques générales</w:t>
      </w:r>
    </w:p>
    <w:p w14:paraId="51561DCF" w14:textId="77777777" w:rsidR="00DB2B68" w:rsidRDefault="00000000">
      <w:r>
        <w:rPr>
          <w:rStyle w:val="headingChar"/>
        </w:rPr>
        <w:t>Spécifications</w:t>
      </w:r>
    </w:p>
    <w:p w14:paraId="6FC26F9A" w14:textId="77777777" w:rsidR="00DB2B68" w:rsidRDefault="00000000">
      <w:r>
        <w:rPr>
          <w:u w:val="single"/>
        </w:rPr>
        <w:t>Briques</w:t>
      </w:r>
    </w:p>
    <w:p w14:paraId="11406C3F" w14:textId="77777777" w:rsidR="00DB2B68" w:rsidRDefault="00000000">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lastRenderedPageBreak/>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 xml:space="preserve">lisse </w:t>
      </w:r>
      <w:r>
        <w:rPr>
          <w:rStyle w:val="normalChar"/>
          <w:color w:val="000000"/>
        </w:rPr>
        <w:t>(par défaut)</w:t>
      </w:r>
      <w:r>
        <w:rPr>
          <w:rStyle w:val="optioncarChar"/>
        </w:rPr>
        <w:t xml:space="preserve"> / rainurée</w:t>
      </w:r>
      <w:r>
        <w:br/>
      </w:r>
      <w:r>
        <w:br/>
        <w:t xml:space="preserve">Teinte : </w:t>
      </w:r>
      <w:r>
        <w:rPr>
          <w:rStyle w:val="optioncarChar"/>
        </w:rPr>
        <w:t xml:space="preserve">blanc / gris </w:t>
      </w:r>
      <w:r>
        <w:t>(par défaut)</w:t>
      </w:r>
      <w:r>
        <w:rPr>
          <w:rStyle w:val="optioncarChar"/>
        </w:rPr>
        <w:t xml:space="preserve"> / ***</w:t>
      </w:r>
      <w:r>
        <w:br/>
      </w:r>
      <w:r>
        <w:br/>
        <w:t>Format : (L x l x h) :</w:t>
      </w:r>
      <w:r>
        <w:rPr>
          <w:rStyle w:val="optioncarChar"/>
        </w:rPr>
        <w:t xml:space="preserve"> format modulaire proposé par l'entrepreneur</w:t>
      </w:r>
      <w:r>
        <w:t xml:space="preserve"> (par défaut) </w:t>
      </w:r>
      <w:r>
        <w:rPr>
          <w:rStyle w:val="optioncarChar"/>
        </w:rPr>
        <w:t xml:space="preserve">/ (190 / *** </w:t>
      </w:r>
      <w:r>
        <w:t>x</w:t>
      </w:r>
      <w:r>
        <w:rPr>
          <w:rStyle w:val="optioncarChar"/>
        </w:rPr>
        <w:t> 90 / *** </w:t>
      </w:r>
      <w:r>
        <w:rPr>
          <w:rStyle w:val="optioncarChar"/>
          <w:color w:val="000000"/>
        </w:rPr>
        <w:t>x</w:t>
      </w:r>
      <w:r>
        <w:rPr>
          <w:rStyle w:val="optioncarChar"/>
        </w:rPr>
        <w:t> 52 / 65 / *** </w:t>
      </w:r>
      <w:r>
        <w:t xml:space="preserve"> ) mm</w:t>
      </w:r>
    </w:p>
    <w:p w14:paraId="6F8565C1"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680]).x</w:t>
      </w:r>
    </w:p>
    <w:p w14:paraId="6B9D9825" w14:textId="77777777" w:rsidR="00DB2B68" w:rsidRDefault="00000000">
      <w:r>
        <w:t xml:space="preserve">Taux initial d’absorption d’eau : classe </w:t>
      </w:r>
      <w:r>
        <w:rPr>
          <w:rStyle w:val="optioncarChar"/>
        </w:rPr>
        <w:t>IW1 / IW2 / IW3 / IW4</w:t>
      </w:r>
      <w:r>
        <w:br/>
        <w:t xml:space="preserve">Absorption d’eau par capillarité : </w:t>
      </w:r>
      <w:r>
        <w:rPr>
          <w:rStyle w:val="optioncarChar"/>
        </w:rPr>
        <w:t>A1 (exposé décoratif) / A2 (exposé) </w:t>
      </w:r>
      <w:r>
        <w:t>(par défaut)</w:t>
      </w:r>
      <w:r>
        <w:br/>
      </w:r>
      <w:r>
        <w:br/>
        <w:t xml:space="preserve">Réaction au feu : </w:t>
      </w:r>
      <w:r>
        <w:rPr>
          <w:rStyle w:val="optioncarChar"/>
        </w:rPr>
        <w:t>A1</w:t>
      </w:r>
      <w:r>
        <w:t> (par défaut)</w:t>
      </w:r>
      <w:r>
        <w:rPr>
          <w:rStyle w:val="optioncarChar"/>
        </w:rPr>
        <w:t xml:space="preserve"> / ***</w:t>
      </w:r>
    </w:p>
    <w:p w14:paraId="17E2A72C" w14:textId="77777777" w:rsidR="00DB2B68" w:rsidRDefault="00000000">
      <w:r>
        <w:rPr>
          <w:u w:val="single"/>
        </w:rPr>
        <w:t>Mortier</w:t>
      </w:r>
    </w:p>
    <w:p w14:paraId="6D3413D4" w14:textId="77777777" w:rsidR="00DB2B68" w:rsidRDefault="00000000">
      <w:r>
        <w:rPr>
          <w:rStyle w:val="normalChar"/>
          <w:color w:val="000000"/>
        </w:rPr>
        <w:t>Classe de résistance :</w:t>
      </w:r>
      <w:r>
        <w:rPr>
          <w:rStyle w:val="optioncarChar"/>
        </w:rPr>
        <w:t>M1 / M2,5 / M5 / M10</w:t>
      </w:r>
      <w:r>
        <w:t xml:space="preserve"> (par défaut)</w:t>
      </w:r>
      <w:r>
        <w:rPr>
          <w:rStyle w:val="optioncarChar"/>
        </w:rPr>
        <w:t xml:space="preserve"> / M15 / M20 </w:t>
      </w:r>
    </w:p>
    <w:p w14:paraId="01E9ABD9" w14:textId="77777777" w:rsidR="00DB2B68" w:rsidRDefault="00000000">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7C7252CF" w14:textId="77777777" w:rsidR="00DB2B68" w:rsidRDefault="00000000">
      <w:r>
        <w:rPr>
          <w:rStyle w:val="normalChar"/>
          <w:color w:val="000000"/>
        </w:rPr>
        <w:t>Résistance au gel : oui</w:t>
      </w:r>
    </w:p>
    <w:p w14:paraId="48DFCB22" w14:textId="77777777" w:rsidR="00DB2B68" w:rsidRDefault="00000000">
      <w:r>
        <w:br/>
      </w:r>
      <w:r>
        <w:rPr>
          <w:rStyle w:val="headingChar"/>
        </w:rPr>
        <w:t>Critères De Performances De La Paroi</w:t>
      </w:r>
    </w:p>
    <w:p w14:paraId="4C80B28A" w14:textId="77777777" w:rsidR="00DB2B68" w:rsidRDefault="00000000">
      <w:r>
        <w:t>Coefficient de transmission :</w:t>
      </w:r>
    </w:p>
    <w:p w14:paraId="004E3426" w14:textId="77777777" w:rsidR="00DB2B68" w:rsidRDefault="00000000">
      <w:pPr>
        <w:pStyle w:val="Author-eListParagraph"/>
        <w:numPr>
          <w:ilvl w:val="0"/>
          <w:numId w:val="41"/>
        </w:numPr>
      </w:pPr>
      <w:r>
        <w:t xml:space="preserve">valeur U minimale de </w:t>
      </w:r>
      <w:r>
        <w:rPr>
          <w:rStyle w:val="optioncarChar"/>
        </w:rPr>
        <w:t>***</w:t>
      </w:r>
      <w:r>
        <w:t xml:space="preserve"> W/m²K</w:t>
      </w:r>
    </w:p>
    <w:p w14:paraId="53334B61" w14:textId="77777777" w:rsidR="00DB2B68" w:rsidRDefault="00000000">
      <w:pPr>
        <w:pStyle w:val="Author-eListParagraph"/>
        <w:numPr>
          <w:ilvl w:val="0"/>
          <w:numId w:val="4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1DF9D35" w14:textId="77777777" w:rsidR="00DB2B68" w:rsidRDefault="00000000">
      <w:r>
        <w:t>Résistance au feu :</w:t>
      </w:r>
    </w:p>
    <w:p w14:paraId="2A9EE1BB" w14:textId="77777777" w:rsidR="00DB2B68" w:rsidRDefault="00000000">
      <w:pPr>
        <w:pStyle w:val="Author-eListParagraph"/>
        <w:numPr>
          <w:ilvl w:val="0"/>
          <w:numId w:val="42"/>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2C4696EE" w14:textId="77777777" w:rsidR="00DB2B68" w:rsidRDefault="00000000">
      <w:pPr>
        <w:pStyle w:val="Author-eListParagraph"/>
        <w:numPr>
          <w:ilvl w:val="0"/>
          <w:numId w:val="42"/>
        </w:numPr>
      </w:pPr>
      <w:r>
        <w:t xml:space="preserve">pour les éléments porteurs structurels avec fonction séparante : </w:t>
      </w:r>
      <w:r>
        <w:rPr>
          <w:rStyle w:val="optioncarChar"/>
        </w:rPr>
        <w:t>REI30 </w:t>
      </w:r>
      <w:r>
        <w:t>(par défaut)</w:t>
      </w:r>
      <w:r>
        <w:rPr>
          <w:rStyle w:val="optioncarChar"/>
        </w:rPr>
        <w:t xml:space="preserve"> / REI60/  REI90 / REI120 / REI***</w:t>
      </w:r>
    </w:p>
    <w:p w14:paraId="2B18F3B1" w14:textId="77777777" w:rsidR="00DB2B68" w:rsidRDefault="00000000">
      <w:r>
        <w:t xml:space="preserve">selon les tableaux dans [NBN EN 1996-1-2 ANB]. </w:t>
      </w:r>
      <w:r>
        <w:br/>
      </w:r>
      <w:r>
        <w:br/>
      </w:r>
    </w:p>
    <w:p w14:paraId="77498EDC" w14:textId="77777777" w:rsidR="00DB2B68" w:rsidRDefault="00000000">
      <w:pPr>
        <w:ind w:left="750"/>
      </w:pPr>
      <w:r>
        <w:t> </w:t>
      </w:r>
    </w:p>
    <w:p w14:paraId="5BFA8BA6" w14:textId="77777777" w:rsidR="00DB2B68" w:rsidRDefault="00000000">
      <w:pPr>
        <w:ind w:left="750"/>
      </w:pPr>
      <w:r>
        <w:t> </w:t>
      </w:r>
    </w:p>
    <w:p w14:paraId="35CC57B7" w14:textId="77777777" w:rsidR="00DB2B68" w:rsidRDefault="00000000">
      <w:pPr>
        <w:pStyle w:val="pheading"/>
      </w:pPr>
      <w:r>
        <w:t>- Finitions</w:t>
      </w:r>
    </w:p>
    <w:p w14:paraId="7B4DDD58" w14:textId="77777777" w:rsidR="00DB2B68" w:rsidRDefault="00000000">
      <w:pPr>
        <w:pStyle w:val="Author-eListParagraph"/>
        <w:numPr>
          <w:ilvl w:val="0"/>
          <w:numId w:val="43"/>
        </w:numPr>
      </w:pPr>
      <w:r>
        <w:t xml:space="preserve">Les faces de murs suivantes sont exécutées comme maçonneries apparentes et sont </w:t>
      </w:r>
      <w:r>
        <w:rPr>
          <w:rStyle w:val="normal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75317F50" w14:textId="77777777" w:rsidR="00DB2B68" w:rsidRDefault="00000000">
      <w:pPr>
        <w:pStyle w:val="Author-eListParagraph"/>
        <w:numPr>
          <w:ilvl w:val="0"/>
          <w:numId w:val="43"/>
        </w:numPr>
      </w:pPr>
      <w:r>
        <w:t>Les murs suivants sont exécutés avec une face restant apparente : </w:t>
      </w:r>
      <w:r>
        <w:rPr>
          <w:rStyle w:val="optioncarChar"/>
        </w:rPr>
        <w:t>***</w:t>
      </w:r>
    </w:p>
    <w:p w14:paraId="06EE1421" w14:textId="77777777" w:rsidR="00DB2B68" w:rsidRDefault="00000000">
      <w:pPr>
        <w:pStyle w:val="Author-eListParagraph"/>
        <w:numPr>
          <w:ilvl w:val="0"/>
          <w:numId w:val="43"/>
        </w:numPr>
      </w:pPr>
      <w:r>
        <w:t xml:space="preserve">Les murs suivants sont exécutés avec deux faces restant apparentes : </w:t>
      </w:r>
      <w:r>
        <w:rPr>
          <w:rStyle w:val="optioncarChar"/>
        </w:rPr>
        <w:t>***</w:t>
      </w:r>
    </w:p>
    <w:p w14:paraId="7686F766" w14:textId="77777777" w:rsidR="00DB2B68" w:rsidRDefault="00000000">
      <w:pPr>
        <w:ind w:left="750"/>
      </w:pPr>
      <w:r>
        <w:t> </w:t>
      </w:r>
    </w:p>
    <w:p w14:paraId="32CDF3D9" w14:textId="77777777" w:rsidR="00DB2B68" w:rsidRDefault="00000000">
      <w:pPr>
        <w:pStyle w:val="pheading"/>
      </w:pPr>
      <w:r>
        <w:t>MESURAGE</w:t>
      </w:r>
    </w:p>
    <w:p w14:paraId="2210A5F9" w14:textId="77777777" w:rsidR="00DB2B68" w:rsidRDefault="00000000">
      <w:pPr>
        <w:pStyle w:val="pheading"/>
      </w:pPr>
      <w:r>
        <w:t>- unité de mesure:</w:t>
      </w:r>
    </w:p>
    <w:p w14:paraId="73BC08A3" w14:textId="77777777" w:rsidR="00DB2B68" w:rsidRDefault="00000000">
      <w:r>
        <w:rPr>
          <w:rStyle w:val="optioncarChar"/>
        </w:rPr>
        <w:t>m³ </w:t>
      </w:r>
      <w:r>
        <w:t>(par défaut)</w:t>
      </w:r>
      <w:r>
        <w:rPr>
          <w:rStyle w:val="optioncarChar"/>
        </w:rPr>
        <w:t> / m²</w:t>
      </w:r>
    </w:p>
    <w:p w14:paraId="0FA4447D" w14:textId="77777777" w:rsidR="00DB2B68" w:rsidRDefault="00000000">
      <w:r>
        <w:rPr>
          <w:b/>
        </w:rPr>
        <w:lastRenderedPageBreak/>
        <w:t>(soit par défaut)</w:t>
      </w:r>
    </w:p>
    <w:p w14:paraId="2BE418D9" w14:textId="77777777" w:rsidR="00DB2B68" w:rsidRDefault="00000000">
      <w:r>
        <w:rPr>
          <w:rStyle w:val="soitChar"/>
        </w:rPr>
        <w:t>1. m³</w:t>
      </w:r>
    </w:p>
    <w:p w14:paraId="689A0177" w14:textId="77777777" w:rsidR="00DB2B68" w:rsidRDefault="00000000">
      <w:r>
        <w:rPr>
          <w:b/>
        </w:rPr>
        <w:t>(soit)</w:t>
      </w:r>
    </w:p>
    <w:p w14:paraId="77371AC1" w14:textId="77777777" w:rsidR="00DB2B68" w:rsidRDefault="00000000">
      <w:r>
        <w:rPr>
          <w:rStyle w:val="soitChar"/>
        </w:rPr>
        <w:t>2. m²</w:t>
      </w:r>
    </w:p>
    <w:p w14:paraId="180A46DE" w14:textId="77777777" w:rsidR="00DB2B68" w:rsidRDefault="00000000">
      <w:pPr>
        <w:pStyle w:val="pheading"/>
      </w:pPr>
      <w:r>
        <w:t>- code de mesurage:</w:t>
      </w:r>
    </w:p>
    <w:p w14:paraId="5D4D63BA"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CF7AF6F"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5121F7F"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634F33CF" w14:textId="77777777" w:rsidR="00DB2B68" w:rsidRDefault="00000000">
      <w:r>
        <w:br/>
      </w:r>
      <w:r>
        <w:rPr>
          <w:rStyle w:val="optioncarChar"/>
        </w:rPr>
        <w:t>Volume net </w:t>
      </w:r>
      <w:r>
        <w:t>(par défaut)</w:t>
      </w:r>
      <w:r>
        <w:rPr>
          <w:rStyle w:val="optioncarChar"/>
        </w:rPr>
        <w:t> / Surface nette</w:t>
      </w:r>
    </w:p>
    <w:p w14:paraId="708382E2" w14:textId="77777777" w:rsidR="00DB2B68" w:rsidRDefault="00000000">
      <w:r>
        <w:rPr>
          <w:b/>
        </w:rPr>
        <w:t>(soit par défaut)</w:t>
      </w:r>
    </w:p>
    <w:p w14:paraId="00410D85"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5AB04CB4" w14:textId="77777777" w:rsidR="00DB2B68" w:rsidRDefault="00000000">
      <w:r>
        <w:rPr>
          <w:b/>
        </w:rPr>
        <w:t>(soit)</w:t>
      </w:r>
    </w:p>
    <w:p w14:paraId="387B87BC"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r>
        <w:br/>
      </w:r>
    </w:p>
    <w:p w14:paraId="76130033" w14:textId="77777777" w:rsidR="00DB2B68" w:rsidRDefault="00000000">
      <w:pPr>
        <w:ind w:left="750"/>
      </w:pPr>
      <w:r>
        <w:t> </w:t>
      </w:r>
    </w:p>
    <w:p w14:paraId="51FB9A9D" w14:textId="77777777" w:rsidR="00DB2B68" w:rsidRDefault="00000000">
      <w:pPr>
        <w:ind w:left="750"/>
      </w:pPr>
      <w:r>
        <w:t> </w:t>
      </w:r>
    </w:p>
    <w:p w14:paraId="3C675D11" w14:textId="77777777" w:rsidR="00DB2B68" w:rsidRDefault="00000000">
      <w:pPr>
        <w:pStyle w:val="pheading"/>
      </w:pPr>
      <w:r>
        <w:t>- nature du marché:</w:t>
      </w:r>
    </w:p>
    <w:p w14:paraId="646A1B75" w14:textId="77777777" w:rsidR="00DB2B68" w:rsidRDefault="00000000">
      <w:r>
        <w:t>QF</w:t>
      </w:r>
    </w:p>
    <w:p w14:paraId="55AC3FE1" w14:textId="77777777" w:rsidR="00DB2B68" w:rsidRDefault="00000000">
      <w:pPr>
        <w:pStyle w:val="Author-eSectionHeading6Numberless"/>
      </w:pPr>
      <w:bookmarkStart w:id="15" w:name="_Toc220495184"/>
      <w:r>
        <w:t>21.11.2b Maçonneries portantes en briques de béton à coller CCTB 01.13</w:t>
      </w:r>
      <w:bookmarkEnd w:id="15"/>
    </w:p>
    <w:p w14:paraId="4C1B758D" w14:textId="77777777" w:rsidR="00DB2B68" w:rsidRDefault="00000000">
      <w:pPr>
        <w:pStyle w:val="pheading"/>
      </w:pPr>
      <w:r>
        <w:t>DESCRIPTION</w:t>
      </w:r>
    </w:p>
    <w:p w14:paraId="547981C1" w14:textId="77777777" w:rsidR="00DB2B68" w:rsidRDefault="00000000">
      <w:pPr>
        <w:pStyle w:val="pheading"/>
      </w:pPr>
      <w:r>
        <w:t>- Définition / Comprend</w:t>
      </w:r>
    </w:p>
    <w:p w14:paraId="5473B9A8" w14:textId="77777777" w:rsidR="00DB2B68" w:rsidRDefault="00000000">
      <w:r>
        <w:t xml:space="preserve">Il s’agit de la fourniture et la pose de maçonneries portantes en briques de béton à coller. </w:t>
      </w:r>
      <w:r>
        <w:br/>
        <w:t xml:space="preserve">La portée des travaux est décrite dans l’article </w:t>
      </w:r>
      <w:hyperlink w:anchor="361" w:history="1">
        <w:r>
          <w:rPr>
            <w:color w:val="0000EE"/>
          </w:rPr>
          <w:t>21.11.2 Maçonneries portantes en briques de béton</w:t>
        </w:r>
      </w:hyperlink>
      <w:r>
        <w:t>.</w:t>
      </w:r>
      <w:r>
        <w:br/>
        <w:t>Les travaux comprennent également la fourniture et la pose des pièces d’angle, de terminaison et de rencontre.</w:t>
      </w:r>
    </w:p>
    <w:p w14:paraId="76A63520" w14:textId="77777777" w:rsidR="00DB2B68" w:rsidRDefault="00000000">
      <w:pPr>
        <w:pStyle w:val="pheading"/>
      </w:pPr>
      <w:r>
        <w:t>- Localisation</w:t>
      </w:r>
    </w:p>
    <w:p w14:paraId="6150F752" w14:textId="77777777" w:rsidR="00DB2B68" w:rsidRDefault="00000000">
      <w:r>
        <w:t xml:space="preserve">La pose est réalisée aux endroits suivants : </w:t>
      </w:r>
      <w:r>
        <w:rPr>
          <w:rStyle w:val="optioncarChar"/>
        </w:rPr>
        <w:t>***</w:t>
      </w:r>
      <w:r>
        <w:t>.</w:t>
      </w:r>
      <w:r>
        <w:br/>
        <w:t>Voir plans et métrés détaillés.</w:t>
      </w:r>
    </w:p>
    <w:p w14:paraId="7A2CF7CD" w14:textId="77777777" w:rsidR="00DB2B68" w:rsidRDefault="00000000">
      <w:pPr>
        <w:pStyle w:val="pheading"/>
      </w:pPr>
      <w:r>
        <w:t>MATÉRIAUX</w:t>
      </w:r>
    </w:p>
    <w:p w14:paraId="2A2B6CB5" w14:textId="77777777" w:rsidR="00DB2B68" w:rsidRDefault="00000000">
      <w:pPr>
        <w:pStyle w:val="pheading"/>
      </w:pPr>
      <w:r>
        <w:lastRenderedPageBreak/>
        <w:t>- Caractéristiques générales</w:t>
      </w:r>
    </w:p>
    <w:p w14:paraId="5EF631B2" w14:textId="77777777" w:rsidR="00DB2B68" w:rsidRDefault="00000000">
      <w:r>
        <w:rPr>
          <w:rStyle w:val="headingChar"/>
        </w:rPr>
        <w:t>Spécifications</w:t>
      </w:r>
    </w:p>
    <w:p w14:paraId="25DD609E" w14:textId="77777777" w:rsidR="00DB2B68" w:rsidRDefault="00000000">
      <w:r>
        <w:rPr>
          <w:u w:val="single"/>
        </w:rPr>
        <w:t>Briques</w:t>
      </w:r>
    </w:p>
    <w:p w14:paraId="38D056E7" w14:textId="77777777" w:rsidR="00DB2B68" w:rsidRDefault="00000000">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Face à cimenter ou plafonner :</w:t>
      </w:r>
      <w:r>
        <w:rPr>
          <w:rStyle w:val="optioncarChar"/>
        </w:rPr>
        <w:t xml:space="preserve"> lisse (par défait) / adhérence améliorée / rainurée</w:t>
      </w:r>
      <w:r>
        <w:br/>
      </w:r>
      <w:r>
        <w:br/>
        <w:t xml:space="preserve">Teinte : </w:t>
      </w:r>
      <w:r>
        <w:rPr>
          <w:rStyle w:val="optioncarChar"/>
        </w:rPr>
        <w:t xml:space="preserve">blanc / gris </w:t>
      </w:r>
      <w:r>
        <w:t>(par défaut)</w:t>
      </w:r>
      <w:r>
        <w:rPr>
          <w:rStyle w:val="optioncarChar"/>
        </w:rPr>
        <w:t xml:space="preserve"> / ***</w:t>
      </w:r>
      <w:r>
        <w:br/>
      </w:r>
      <w:r>
        <w:br/>
      </w:r>
    </w:p>
    <w:p w14:paraId="2BA2BD07" w14:textId="77777777" w:rsidR="00DB2B68" w:rsidRDefault="00000000">
      <w:r>
        <w:t>Format : (L x l x h)  :</w:t>
      </w:r>
      <w:r>
        <w:rPr>
          <w:rStyle w:val="optioncarChar"/>
        </w:rPr>
        <w:t> format modulaire proposé par l'entrepreneur</w:t>
      </w:r>
      <w:r>
        <w:t> (par défaut) </w:t>
      </w:r>
      <w:r>
        <w:rPr>
          <w:rStyle w:val="optioncarChar"/>
        </w:rPr>
        <w:t xml:space="preserve">/ (190 / ***  </w:t>
      </w:r>
      <w:r>
        <w:t>x</w:t>
      </w:r>
      <w:r>
        <w:rPr>
          <w:rStyle w:val="optioncarChar"/>
        </w:rPr>
        <w:t> 90 / ***</w:t>
      </w:r>
      <w:r>
        <w:t> x</w:t>
      </w:r>
      <w:r>
        <w:rPr>
          <w:rStyle w:val="optioncarChar"/>
        </w:rPr>
        <w:t> 52 / 65 / ***</w:t>
      </w:r>
      <w:r>
        <w:t>) mm</w:t>
      </w:r>
    </w:p>
    <w:p w14:paraId="1D3A789B" w14:textId="77777777" w:rsidR="00DB2B68" w:rsidRDefault="00000000">
      <w:r>
        <w:t>Tolérances dimensionnelles :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w:t>
      </w:r>
      <w:r>
        <w:t> (par défaut)</w:t>
      </w:r>
      <w:r>
        <w:rPr>
          <w:rStyle w:val="optioncarChar"/>
        </w:rPr>
        <w:t xml:space="preserve"> / ***</w:t>
      </w:r>
    </w:p>
    <w:p w14:paraId="67319B96" w14:textId="77777777" w:rsidR="00DB2B68" w:rsidRDefault="00000000">
      <w:pPr>
        <w:spacing w:before="0" w:after="0"/>
      </w:pPr>
      <w:r>
        <w:rPr>
          <w:u w:val="single"/>
        </w:rPr>
        <w:t>Mortier</w:t>
      </w:r>
    </w:p>
    <w:p w14:paraId="752ABC0E" w14:textId="77777777" w:rsidR="00DB2B68" w:rsidRDefault="00000000">
      <w:pPr>
        <w:spacing w:before="0" w:after="0"/>
      </w:pPr>
      <w:r>
        <w:rPr>
          <w:rStyle w:val="normalChar"/>
          <w:color w:val="000000"/>
        </w:rPr>
        <w:t>Classe de résistance :</w:t>
      </w:r>
      <w:r>
        <w:rPr>
          <w:rStyle w:val="optioncarChar"/>
        </w:rPr>
        <w:t xml:space="preserve">M1 / M2,5 / M5 / M10 </w:t>
      </w:r>
      <w:r>
        <w:rPr>
          <w:rStyle w:val="optioncarChar"/>
          <w:color w:val="000000"/>
        </w:rPr>
        <w:t>(par défaut)</w:t>
      </w:r>
      <w:r>
        <w:rPr>
          <w:rStyle w:val="optioncarChar"/>
        </w:rPr>
        <w:t xml:space="preserve"> / M15 / M20 </w:t>
      </w:r>
    </w:p>
    <w:p w14:paraId="037D5AE1"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B140B87" w14:textId="77777777" w:rsidR="00DB2B68" w:rsidRDefault="00000000">
      <w:pPr>
        <w:spacing w:before="0" w:after="0"/>
      </w:pPr>
      <w:r>
        <w:rPr>
          <w:rStyle w:val="normalChar"/>
          <w:color w:val="000000"/>
        </w:rPr>
        <w:t>Résistance au gel : oui</w:t>
      </w:r>
    </w:p>
    <w:p w14:paraId="4B0B372C" w14:textId="77777777" w:rsidR="00DB2B68" w:rsidRDefault="00000000">
      <w:pPr>
        <w:spacing w:before="0" w:after="0"/>
      </w:pPr>
      <w:r>
        <w:br/>
      </w:r>
      <w:r>
        <w:rPr>
          <w:rStyle w:val="headingChar"/>
        </w:rPr>
        <w:t>Critères De Performances De La Paroi</w:t>
      </w:r>
    </w:p>
    <w:p w14:paraId="08507A04" w14:textId="77777777" w:rsidR="00DB2B68" w:rsidRDefault="00000000">
      <w:r>
        <w:t>Coefficient de transmission :</w:t>
      </w:r>
    </w:p>
    <w:p w14:paraId="12659591" w14:textId="77777777" w:rsidR="00DB2B68" w:rsidRDefault="00000000">
      <w:pPr>
        <w:pStyle w:val="Author-eListParagraph"/>
        <w:numPr>
          <w:ilvl w:val="0"/>
          <w:numId w:val="44"/>
        </w:numPr>
      </w:pPr>
      <w:r>
        <w:t xml:space="preserve">valeur U minimale de </w:t>
      </w:r>
      <w:r>
        <w:rPr>
          <w:rStyle w:val="optioncarChar"/>
        </w:rPr>
        <w:t>***</w:t>
      </w:r>
      <w:r>
        <w:t xml:space="preserve"> W/m²K</w:t>
      </w:r>
    </w:p>
    <w:p w14:paraId="5E27924C" w14:textId="77777777" w:rsidR="00DB2B68" w:rsidRDefault="00000000">
      <w:pPr>
        <w:pStyle w:val="Author-eListParagraph"/>
        <w:numPr>
          <w:ilvl w:val="0"/>
          <w:numId w:val="4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F245769" w14:textId="77777777" w:rsidR="00DB2B68" w:rsidRDefault="00000000">
      <w:r>
        <w:t>Résistance au feu :</w:t>
      </w:r>
    </w:p>
    <w:p w14:paraId="203A1CE8" w14:textId="77777777" w:rsidR="00DB2B68" w:rsidRDefault="00000000">
      <w:pPr>
        <w:pStyle w:val="Author-eListParagraph"/>
        <w:numPr>
          <w:ilvl w:val="0"/>
          <w:numId w:val="45"/>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7073A7E0" w14:textId="77777777" w:rsidR="00DB2B68" w:rsidRDefault="00000000">
      <w:pPr>
        <w:pStyle w:val="Author-eListParagraph"/>
        <w:numPr>
          <w:ilvl w:val="0"/>
          <w:numId w:val="45"/>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1FFC340A" w14:textId="77777777" w:rsidR="00DB2B68" w:rsidRDefault="00000000">
      <w:r>
        <w:t>selon les tableaux dans [NBN EN 1996-1-2 ANB].</w:t>
      </w:r>
    </w:p>
    <w:p w14:paraId="29651A42" w14:textId="77777777" w:rsidR="00DB2B68" w:rsidRDefault="00000000">
      <w:pPr>
        <w:ind w:left="750"/>
      </w:pPr>
      <w:r>
        <w:t> </w:t>
      </w:r>
    </w:p>
    <w:p w14:paraId="26AD196A" w14:textId="77777777" w:rsidR="00DB2B68" w:rsidRDefault="00000000">
      <w:pPr>
        <w:pStyle w:val="pheading"/>
      </w:pPr>
      <w:r>
        <w:lastRenderedPageBreak/>
        <w:t>- Finitions</w:t>
      </w:r>
    </w:p>
    <w:p w14:paraId="59B4BD44" w14:textId="77777777" w:rsidR="00DB2B68" w:rsidRDefault="00000000">
      <w:pPr>
        <w:pStyle w:val="Author-eListParagraph"/>
        <w:numPr>
          <w:ilvl w:val="0"/>
          <w:numId w:val="46"/>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w:t>
      </w:r>
      <w:r>
        <w:rPr>
          <w:rStyle w:val="optioncarChar"/>
        </w:rPr>
        <w:t xml:space="preserve"> ***</w:t>
      </w:r>
    </w:p>
    <w:p w14:paraId="05CDB7AB" w14:textId="77777777" w:rsidR="00DB2B68" w:rsidRDefault="00000000">
      <w:pPr>
        <w:pStyle w:val="Author-eListParagraph"/>
        <w:numPr>
          <w:ilvl w:val="0"/>
          <w:numId w:val="46"/>
        </w:numPr>
      </w:pPr>
      <w:r>
        <w:t xml:space="preserve">Les murs suivants sont exécutés avec une face restant apparente : </w:t>
      </w:r>
      <w:r>
        <w:rPr>
          <w:rStyle w:val="optioncarChar"/>
        </w:rPr>
        <w:t>***</w:t>
      </w:r>
    </w:p>
    <w:p w14:paraId="400BC60E" w14:textId="77777777" w:rsidR="00DB2B68" w:rsidRDefault="00000000">
      <w:pPr>
        <w:pStyle w:val="Author-eListParagraph"/>
        <w:numPr>
          <w:ilvl w:val="0"/>
          <w:numId w:val="46"/>
        </w:numPr>
      </w:pPr>
      <w:r>
        <w:t xml:space="preserve">Les murs suivants sont exécutés avec deux faces restant apparentes : </w:t>
      </w:r>
      <w:r>
        <w:rPr>
          <w:rStyle w:val="optioncarChar"/>
        </w:rPr>
        <w:t>***</w:t>
      </w:r>
    </w:p>
    <w:p w14:paraId="1EB9E400" w14:textId="77777777" w:rsidR="00DB2B68" w:rsidRDefault="00000000">
      <w:pPr>
        <w:ind w:left="750"/>
      </w:pPr>
      <w:r>
        <w:t> </w:t>
      </w:r>
    </w:p>
    <w:p w14:paraId="5C6C9077" w14:textId="77777777" w:rsidR="00DB2B68" w:rsidRDefault="00000000">
      <w:pPr>
        <w:pStyle w:val="pheading"/>
      </w:pPr>
      <w:r>
        <w:t>MESURAGE</w:t>
      </w:r>
    </w:p>
    <w:p w14:paraId="4BEF1579" w14:textId="77777777" w:rsidR="00DB2B68" w:rsidRDefault="00000000">
      <w:pPr>
        <w:pStyle w:val="pheading"/>
      </w:pPr>
      <w:r>
        <w:t>- unité de mesure:</w:t>
      </w:r>
    </w:p>
    <w:p w14:paraId="2E17A08B" w14:textId="77777777" w:rsidR="00DB2B68" w:rsidRDefault="00000000">
      <w:r>
        <w:rPr>
          <w:rStyle w:val="optioncarChar"/>
        </w:rPr>
        <w:t>m³ </w:t>
      </w:r>
      <w:r>
        <w:t>(par défaut)</w:t>
      </w:r>
      <w:r>
        <w:rPr>
          <w:rStyle w:val="optioncarChar"/>
        </w:rPr>
        <w:t> / m²</w:t>
      </w:r>
    </w:p>
    <w:p w14:paraId="5B76C950" w14:textId="77777777" w:rsidR="00DB2B68" w:rsidRDefault="00000000">
      <w:r>
        <w:rPr>
          <w:b/>
        </w:rPr>
        <w:t>(soit par défaut)</w:t>
      </w:r>
    </w:p>
    <w:p w14:paraId="7715F393" w14:textId="77777777" w:rsidR="00DB2B68" w:rsidRDefault="00000000">
      <w:r>
        <w:rPr>
          <w:rStyle w:val="soitChar"/>
        </w:rPr>
        <w:t>1. m³</w:t>
      </w:r>
    </w:p>
    <w:p w14:paraId="202E55BA" w14:textId="77777777" w:rsidR="00DB2B68" w:rsidRDefault="00000000">
      <w:r>
        <w:rPr>
          <w:b/>
        </w:rPr>
        <w:t>(soit)</w:t>
      </w:r>
    </w:p>
    <w:p w14:paraId="2C9B75D9" w14:textId="77777777" w:rsidR="00DB2B68" w:rsidRDefault="00000000">
      <w:r>
        <w:rPr>
          <w:rStyle w:val="soitChar"/>
        </w:rPr>
        <w:t>2. m²</w:t>
      </w:r>
    </w:p>
    <w:p w14:paraId="6304BEED" w14:textId="77777777" w:rsidR="00DB2B68" w:rsidRDefault="00000000">
      <w:pPr>
        <w:pStyle w:val="pheading"/>
      </w:pPr>
      <w:r>
        <w:t>- code de mesurage:</w:t>
      </w:r>
    </w:p>
    <w:p w14:paraId="481D73AC" w14:textId="77777777" w:rsidR="00DB2B68" w:rsidRDefault="00000000">
      <w:r>
        <w:t>Les maçonneries sont mesurées en fonction de leur forme géométrique.</w:t>
      </w:r>
    </w:p>
    <w:p w14:paraId="2CEB64B4" w14:textId="77777777" w:rsidR="00DB2B68" w:rsidRDefault="00000000">
      <w:r>
        <w:t>Si les maçonneries sont métrées en m², les quantités sont groupées selon leur épaisseur.</w:t>
      </w:r>
    </w:p>
    <w:p w14:paraId="5D831159" w14:textId="77777777" w:rsidR="00DB2B68" w:rsidRDefault="00000000">
      <w:r>
        <w:t>La longueur des murs est mesurée dans l'axe de l'élément ; lorsque deux murs se croisent ou se rencontrent, le mur le plus épais est compté. Aucun volume n'est porté deux fois en compte.</w:t>
      </w:r>
    </w:p>
    <w:p w14:paraId="083D79DF" w14:textId="77777777" w:rsidR="00DB2B68" w:rsidRDefault="00000000">
      <w:r>
        <w:t>Le creux du mur n'est jamais compté.</w:t>
      </w:r>
    </w:p>
    <w:p w14:paraId="39792120" w14:textId="77777777" w:rsidR="00DB2B68" w:rsidRDefault="00000000">
      <w:r>
        <w:t xml:space="preserve">Les ouvertures ou les éléments de construction intégrés dont la superficie est supérieure à 0,50 m² sont déduits (par ex. les linteaux ou poutres de ceinture dans la mesure où ils ne sont pas comptés dans le chapitre </w:t>
      </w:r>
      <w:hyperlink w:anchor="87" w:history="1">
        <w:r>
          <w:rPr>
            <w:color w:val="0000EE"/>
          </w:rPr>
          <w:t>22 Superstructures en béton</w:t>
        </w:r>
      </w:hyperlink>
      <w:r>
        <w:t xml:space="preserve"> ou dans le chapitre </w:t>
      </w:r>
      <w:hyperlink w:anchor="349" w:history="1">
        <w:r>
          <w:rPr>
            <w:color w:val="0000EE"/>
          </w:rPr>
          <w:t>23 Superstructures métalliques</w:t>
        </w:r>
      </w:hyperlink>
    </w:p>
    <w:p w14:paraId="76F89C8B"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p>
    <w:p w14:paraId="3A9A6B1F" w14:textId="77777777" w:rsidR="00DB2B68" w:rsidRDefault="00000000">
      <w:r>
        <w:t>La maçonnerie autour des conduits de fumée et de ventilation est mesurée comme un mur plein pour les fourreaux jusqu'à une section de 0,12 m2.</w:t>
      </w:r>
    </w:p>
    <w:p w14:paraId="510C4A05" w14:textId="77777777" w:rsidR="00DB2B68" w:rsidRDefault="00DB2B68"/>
    <w:p w14:paraId="5F807FC6" w14:textId="77777777" w:rsidR="00DB2B68" w:rsidRDefault="00000000">
      <w:pPr>
        <w:jc w:val="both"/>
      </w:pPr>
      <w:r>
        <w:rPr>
          <w:rStyle w:val="optioncarChar"/>
        </w:rPr>
        <w:t>Volume net </w:t>
      </w:r>
      <w:r>
        <w:t>(par défaut) </w:t>
      </w:r>
      <w:r>
        <w:rPr>
          <w:rStyle w:val="optioncarChar"/>
        </w:rPr>
        <w:t>/ Surface nette </w:t>
      </w:r>
    </w:p>
    <w:p w14:paraId="5FB2C697" w14:textId="77777777" w:rsidR="00DB2B68" w:rsidRDefault="00000000">
      <w:pPr>
        <w:jc w:val="both"/>
      </w:pPr>
      <w:r>
        <w:rPr>
          <w:b/>
        </w:rPr>
        <w:t>(soit par défaut)</w:t>
      </w:r>
    </w:p>
    <w:p w14:paraId="68796BC4" w14:textId="77777777" w:rsidR="00DB2B68" w:rsidRDefault="00000000">
      <w:pPr>
        <w:jc w:val="both"/>
      </w:pPr>
      <w:r>
        <w:rPr>
          <w:rStyle w:val="soitChar"/>
        </w:rPr>
        <w:t>1. </w:t>
      </w:r>
      <w:r>
        <w:rPr>
          <w:rStyle w:val="soitChar"/>
          <w:u w:val="single"/>
        </w:rPr>
        <w:t>Volume net</w:t>
      </w:r>
      <w:r>
        <w:rPr>
          <w:rStyle w:val="soitChar"/>
        </w:rPr>
        <w:t> : distinction faite suivant la densité prescrite</w:t>
      </w:r>
    </w:p>
    <w:p w14:paraId="15282109" w14:textId="77777777" w:rsidR="00DB2B68" w:rsidRDefault="00000000">
      <w:pPr>
        <w:jc w:val="both"/>
      </w:pPr>
      <w:r>
        <w:rPr>
          <w:b/>
        </w:rPr>
        <w:t>(soit)</w:t>
      </w:r>
    </w:p>
    <w:p w14:paraId="3F882026" w14:textId="77777777" w:rsidR="00DB2B68" w:rsidRDefault="00000000">
      <w:pPr>
        <w:jc w:val="both"/>
      </w:pPr>
      <w:r>
        <w:rPr>
          <w:rStyle w:val="soitChar"/>
        </w:rPr>
        <w:t>2. </w:t>
      </w:r>
      <w:r>
        <w:rPr>
          <w:rStyle w:val="soitChar"/>
          <w:u w:val="single"/>
        </w:rPr>
        <w:t>Surface nette</w:t>
      </w:r>
      <w:r>
        <w:rPr>
          <w:rStyle w:val="soitChar"/>
        </w:rPr>
        <w:t> : distinction faite suivant l'épaisseur </w:t>
      </w:r>
    </w:p>
    <w:p w14:paraId="64462F63" w14:textId="77777777" w:rsidR="00DB2B68" w:rsidRDefault="00000000">
      <w:pPr>
        <w:pStyle w:val="pheading"/>
      </w:pPr>
      <w:r>
        <w:t>- nature du marché:</w:t>
      </w:r>
    </w:p>
    <w:p w14:paraId="7394E425" w14:textId="77777777" w:rsidR="00DB2B68" w:rsidRDefault="00000000">
      <w:r>
        <w:t>QF</w:t>
      </w:r>
    </w:p>
    <w:p w14:paraId="320150F5" w14:textId="77777777" w:rsidR="00DB2B68" w:rsidRDefault="00000000">
      <w:pPr>
        <w:pStyle w:val="Author-eSectionHeading6Numberless"/>
      </w:pPr>
      <w:bookmarkStart w:id="16" w:name="_Toc220495185"/>
      <w:r>
        <w:t>21.11.2c Maçonneries portantes en briques de béton avec système de dosage pour liant hydraulique CCTB 01.13</w:t>
      </w:r>
      <w:bookmarkEnd w:id="16"/>
    </w:p>
    <w:p w14:paraId="778BA808" w14:textId="77777777" w:rsidR="00DB2B68" w:rsidRDefault="00000000">
      <w:pPr>
        <w:pStyle w:val="pheading"/>
      </w:pPr>
      <w:r>
        <w:t>DESCRIPTION</w:t>
      </w:r>
    </w:p>
    <w:p w14:paraId="43BA43BA" w14:textId="77777777" w:rsidR="00DB2B68" w:rsidRDefault="00000000">
      <w:pPr>
        <w:pStyle w:val="pheading"/>
      </w:pPr>
      <w:r>
        <w:t>- Définition / Comprend</w:t>
      </w:r>
    </w:p>
    <w:p w14:paraId="5BC5041F" w14:textId="77777777" w:rsidR="00DB2B68" w:rsidRDefault="00000000">
      <w:r>
        <w:t xml:space="preserve">Il s’agit de la fourniture et la pose de maçonneries portantes en briques de béton avec système de dosage pour liant hydraulique. </w:t>
      </w:r>
      <w:r>
        <w:br/>
      </w:r>
      <w:r>
        <w:lastRenderedPageBreak/>
        <w:t xml:space="preserve">La portée des travaux est décrite dans l’article </w:t>
      </w:r>
      <w:hyperlink w:anchor="361" w:history="1">
        <w:r>
          <w:rPr>
            <w:color w:val="0000EE"/>
          </w:rPr>
          <w:t>21.11.2 Maçonneries portantes en briques de béton</w:t>
        </w:r>
      </w:hyperlink>
      <w:r>
        <w:t>.</w:t>
      </w:r>
      <w:r>
        <w:br/>
        <w:t>Les travaux comprennent également la fourniture et la pose des pièces d’angle, de terminaison et de rencontre.</w:t>
      </w:r>
    </w:p>
    <w:p w14:paraId="303BF307" w14:textId="77777777" w:rsidR="00DB2B68" w:rsidRDefault="00000000">
      <w:pPr>
        <w:pStyle w:val="pheading"/>
      </w:pPr>
      <w:r>
        <w:t>- Localisation</w:t>
      </w:r>
    </w:p>
    <w:p w14:paraId="06E71E40" w14:textId="77777777" w:rsidR="00DB2B68" w:rsidRDefault="00000000">
      <w:r>
        <w:t xml:space="preserve">La pose est réalisée aux endroits suivants : </w:t>
      </w:r>
      <w:r>
        <w:rPr>
          <w:rStyle w:val="optioncarChar"/>
        </w:rPr>
        <w:t>***</w:t>
      </w:r>
      <w:r>
        <w:t>.</w:t>
      </w:r>
      <w:r>
        <w:br/>
        <w:t>Voir plans et métrés détaillés.</w:t>
      </w:r>
    </w:p>
    <w:p w14:paraId="6B803465" w14:textId="77777777" w:rsidR="00DB2B68" w:rsidRDefault="00000000">
      <w:pPr>
        <w:pStyle w:val="pheading"/>
      </w:pPr>
      <w:r>
        <w:t>MATÉRIAUX</w:t>
      </w:r>
    </w:p>
    <w:p w14:paraId="3066FAE8" w14:textId="77777777" w:rsidR="00DB2B68" w:rsidRDefault="00000000">
      <w:pPr>
        <w:pStyle w:val="pheading"/>
      </w:pPr>
      <w:r>
        <w:t>- Caractéristiques générales</w:t>
      </w:r>
    </w:p>
    <w:p w14:paraId="79B465A1" w14:textId="77777777" w:rsidR="00DB2B68" w:rsidRDefault="00000000">
      <w:r>
        <w:rPr>
          <w:rStyle w:val="headingChar"/>
        </w:rPr>
        <w:t>Spécifications</w:t>
      </w:r>
    </w:p>
    <w:p w14:paraId="18ABB90B" w14:textId="77777777" w:rsidR="00DB2B68" w:rsidRDefault="00000000">
      <w:r>
        <w:rPr>
          <w:u w:val="single"/>
        </w:rPr>
        <w:t>Briques</w:t>
      </w:r>
    </w:p>
    <w:p w14:paraId="0EE68FAD" w14:textId="77777777" w:rsidR="00DB2B68" w:rsidRDefault="00000000">
      <w:r>
        <w:t>En ce qui concerne la déclaration de la résistance à la compression, les briques sont de catégorie I (la résistance à la compression est déclarée avec une fiabilité de 95%).</w:t>
      </w:r>
      <w:r>
        <w:br/>
      </w:r>
      <w:r>
        <w:br/>
        <w:t>Les briques en béton sont de classe d’usage</w:t>
      </w:r>
      <w:r>
        <w:rPr>
          <w:rStyle w:val="optioncarChar"/>
        </w:rPr>
        <w:t xml:space="preserve"> 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rPr>
          <w:rStyle w:val="optioncarChar"/>
          <w:color w:val="000000"/>
        </w:rP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lisse </w:t>
      </w:r>
      <w:r>
        <w:rPr>
          <w:rStyle w:val="optioncarChar"/>
          <w:color w:val="000000"/>
        </w:rPr>
        <w:t>(par défaut)</w:t>
      </w:r>
      <w:r>
        <w:rPr>
          <w:rStyle w:val="optioncarChar"/>
        </w:rPr>
        <w:t xml:space="preserve"> / adhérence améliorée / rainurée</w:t>
      </w:r>
      <w:r>
        <w:br/>
      </w:r>
      <w:r>
        <w:br/>
        <w:t xml:space="preserve">Teinte : </w:t>
      </w:r>
      <w:r>
        <w:rPr>
          <w:rStyle w:val="optioncarChar"/>
        </w:rPr>
        <w:t xml:space="preserve">blanc / gris </w:t>
      </w:r>
      <w:r>
        <w:t>(par défaut)</w:t>
      </w:r>
      <w:r>
        <w:rPr>
          <w:rStyle w:val="optioncarChar"/>
        </w:rPr>
        <w:t xml:space="preserve"> / ***</w:t>
      </w:r>
    </w:p>
    <w:p w14:paraId="3E22878F" w14:textId="77777777" w:rsidR="00DB2B68"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DB75D21" w14:textId="77777777" w:rsidR="00DB2B68" w:rsidRDefault="00000000">
      <w:r>
        <w:t>La classe de tolérances dimensionnelles est D4</w:t>
      </w:r>
    </w:p>
    <w:p w14:paraId="0E7C8F36"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w:t>
      </w:r>
      <w:r>
        <w:t> (par défaut)</w:t>
      </w:r>
      <w:r>
        <w:rPr>
          <w:rStyle w:val="optioncarChar"/>
        </w:rPr>
        <w:t xml:space="preserve"> / ***</w:t>
      </w:r>
    </w:p>
    <w:p w14:paraId="5B8EC463" w14:textId="77777777" w:rsidR="00DB2B68" w:rsidRDefault="00000000">
      <w:pPr>
        <w:spacing w:before="0" w:after="0"/>
      </w:pPr>
      <w:r>
        <w:rPr>
          <w:u w:val="single"/>
        </w:rPr>
        <w:t>Mortier</w:t>
      </w:r>
    </w:p>
    <w:p w14:paraId="0F10E588"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16424489" w14:textId="77777777" w:rsidR="00DB2B68" w:rsidRDefault="00000000">
      <w:r>
        <w:rPr>
          <w:rStyle w:val="headingChar"/>
        </w:rPr>
        <w:t>Critères De Performances De La Paroi</w:t>
      </w:r>
    </w:p>
    <w:p w14:paraId="074C031B" w14:textId="77777777" w:rsidR="00DB2B68" w:rsidRDefault="00000000">
      <w:r>
        <w:t>Coefficient de transmission :</w:t>
      </w:r>
    </w:p>
    <w:p w14:paraId="0A1FD34A" w14:textId="77777777" w:rsidR="00DB2B68" w:rsidRDefault="00000000">
      <w:pPr>
        <w:pStyle w:val="Author-eListParagraph"/>
        <w:numPr>
          <w:ilvl w:val="0"/>
          <w:numId w:val="47"/>
        </w:numPr>
      </w:pPr>
      <w:r>
        <w:t xml:space="preserve">valeur U minimale de </w:t>
      </w:r>
      <w:r>
        <w:rPr>
          <w:rStyle w:val="optioncarChar"/>
        </w:rPr>
        <w:t>***</w:t>
      </w:r>
      <w:r>
        <w:t xml:space="preserve"> W/m²K</w:t>
      </w:r>
    </w:p>
    <w:p w14:paraId="01F9855E" w14:textId="77777777" w:rsidR="00DB2B68" w:rsidRDefault="00000000">
      <w:pPr>
        <w:pStyle w:val="Author-eListParagraph"/>
        <w:numPr>
          <w:ilvl w:val="0"/>
          <w:numId w:val="4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C7E2590" w14:textId="77777777" w:rsidR="00DB2B68" w:rsidRDefault="00000000">
      <w:r>
        <w:t>Résistance au feu :</w:t>
      </w:r>
    </w:p>
    <w:p w14:paraId="6E73EAEA" w14:textId="77777777" w:rsidR="00DB2B68" w:rsidRDefault="00000000">
      <w:pPr>
        <w:pStyle w:val="Author-eListParagraph"/>
        <w:numPr>
          <w:ilvl w:val="0"/>
          <w:numId w:val="48"/>
        </w:numPr>
      </w:pPr>
      <w:r>
        <w:lastRenderedPageBreak/>
        <w:t xml:space="preserve">pour les éléments porteurs structurels sans fonction séparante : </w:t>
      </w:r>
      <w:r>
        <w:rPr>
          <w:rStyle w:val="optioncarChar"/>
        </w:rPr>
        <w:t>R15 / R30 </w:t>
      </w:r>
      <w:r>
        <w:t>(par défaut)</w:t>
      </w:r>
      <w:r>
        <w:rPr>
          <w:rStyle w:val="optioncarChar"/>
        </w:rPr>
        <w:t xml:space="preserve"> / R60 / R90 / R120 / R***</w:t>
      </w:r>
    </w:p>
    <w:p w14:paraId="70080F89" w14:textId="77777777" w:rsidR="00DB2B68" w:rsidRDefault="00000000">
      <w:pPr>
        <w:pStyle w:val="Author-eListParagraph"/>
        <w:numPr>
          <w:ilvl w:val="0"/>
          <w:numId w:val="48"/>
        </w:numPr>
      </w:pPr>
      <w:r>
        <w:t xml:space="preserve">pour les éléments porteurs structurels avec fonction séparante : </w:t>
      </w:r>
      <w:r>
        <w:rPr>
          <w:rStyle w:val="optioncarChar"/>
        </w:rPr>
        <w:t xml:space="preserve">REI30 </w:t>
      </w:r>
      <w:r>
        <w:t>(par défaut) </w:t>
      </w:r>
      <w:r>
        <w:rPr>
          <w:rStyle w:val="optioncarChar"/>
        </w:rPr>
        <w:t>/ REI60 / REI90 / REI120 / REI***</w:t>
      </w:r>
    </w:p>
    <w:p w14:paraId="0048F6C8" w14:textId="77777777" w:rsidR="00DB2B68" w:rsidRDefault="00000000">
      <w:r>
        <w:t>selon les tableaux dans [NBN EN 1996-1-2 ANB].</w:t>
      </w:r>
    </w:p>
    <w:p w14:paraId="0A2FFB73" w14:textId="77777777" w:rsidR="00DB2B68" w:rsidRDefault="00000000">
      <w:pPr>
        <w:ind w:left="750"/>
      </w:pPr>
      <w:r>
        <w:t> </w:t>
      </w:r>
    </w:p>
    <w:p w14:paraId="6DCE255F" w14:textId="77777777" w:rsidR="00DB2B68" w:rsidRDefault="00000000">
      <w:pPr>
        <w:pStyle w:val="pheading"/>
      </w:pPr>
      <w:r>
        <w:t>- Finitions</w:t>
      </w:r>
    </w:p>
    <w:p w14:paraId="187C9761" w14:textId="77777777" w:rsidR="00DB2B68" w:rsidRDefault="00000000">
      <w:pPr>
        <w:pStyle w:val="Author-eListParagraph"/>
        <w:numPr>
          <w:ilvl w:val="0"/>
          <w:numId w:val="49"/>
        </w:numPr>
      </w:pPr>
      <w:r>
        <w:t>Les faces</w:t>
      </w:r>
      <w:r>
        <w:rPr>
          <w:color w:val="000000"/>
        </w:rPr>
        <w:t xml:space="preserve"> de murs suivantes sont exécutées comme maçonneries apparentes et sont rejointoyées selon</w:t>
      </w:r>
      <w:hyperlink w:anchor="346" w:history="1">
        <w:r>
          <w:rPr>
            <w:color w:val="0000EE"/>
          </w:rPr>
          <w:t>21.61.1b Joints de maçonnerie apparente</w:t>
        </w:r>
      </w:hyperlink>
      <w:r>
        <w:t xml:space="preserve"> : </w:t>
      </w:r>
      <w:r>
        <w:rPr>
          <w:rStyle w:val="optioncarChar"/>
        </w:rPr>
        <w:t>***</w:t>
      </w:r>
    </w:p>
    <w:p w14:paraId="7EC821C0" w14:textId="77777777" w:rsidR="00DB2B68" w:rsidRDefault="00000000">
      <w:pPr>
        <w:pStyle w:val="Author-eListParagraph"/>
        <w:numPr>
          <w:ilvl w:val="0"/>
          <w:numId w:val="49"/>
        </w:numPr>
      </w:pPr>
      <w:r>
        <w:t xml:space="preserve">Les murs suivants sont exécutés avec une face restant apparente : </w:t>
      </w:r>
      <w:r>
        <w:rPr>
          <w:rStyle w:val="optioncarChar"/>
        </w:rPr>
        <w:t>***</w:t>
      </w:r>
    </w:p>
    <w:p w14:paraId="5EC3C7D2" w14:textId="77777777" w:rsidR="00DB2B68" w:rsidRDefault="00000000">
      <w:pPr>
        <w:pStyle w:val="Author-eListParagraph"/>
        <w:numPr>
          <w:ilvl w:val="0"/>
          <w:numId w:val="49"/>
        </w:numPr>
      </w:pPr>
      <w:r>
        <w:t xml:space="preserve">Les murs suivants sont exécutés avec deux faces restant apparentes : </w:t>
      </w:r>
      <w:r>
        <w:rPr>
          <w:rStyle w:val="optioncarChar"/>
        </w:rPr>
        <w:t>***</w:t>
      </w:r>
    </w:p>
    <w:p w14:paraId="17D5B3E9" w14:textId="77777777" w:rsidR="00DB2B68" w:rsidRDefault="00DB2B68"/>
    <w:p w14:paraId="7C63A557" w14:textId="77777777" w:rsidR="00DB2B68" w:rsidRDefault="00000000">
      <w:pPr>
        <w:pStyle w:val="pheading"/>
      </w:pPr>
      <w:r>
        <w:t>EXÉCUTION / MISE EN ŒUVRE</w:t>
      </w:r>
    </w:p>
    <w:p w14:paraId="15CB078C" w14:textId="77777777" w:rsidR="00DB2B68" w:rsidRDefault="00000000">
      <w:pPr>
        <w:pStyle w:val="pheading"/>
      </w:pPr>
      <w:r>
        <w:t>- Notes d’exécution complémentaires</w:t>
      </w:r>
    </w:p>
    <w:p w14:paraId="28ED52F6" w14:textId="77777777" w:rsidR="00DB2B68" w:rsidRDefault="00000000">
      <w:r>
        <w:t>Le mortier utilisé est spécifique au concept et possède une grande résistance à la compression (&gt; 20 N/mm²).</w:t>
      </w:r>
    </w:p>
    <w:p w14:paraId="33947DB0" w14:textId="77777777" w:rsidR="00DB2B68" w:rsidRDefault="00000000">
      <w:pPr>
        <w:pStyle w:val="pheading"/>
      </w:pPr>
      <w:r>
        <w:t>MESURAGE</w:t>
      </w:r>
    </w:p>
    <w:p w14:paraId="62A68601" w14:textId="77777777" w:rsidR="00DB2B68" w:rsidRDefault="00000000">
      <w:pPr>
        <w:pStyle w:val="pheading"/>
      </w:pPr>
      <w:r>
        <w:t>- unité de mesure:</w:t>
      </w:r>
    </w:p>
    <w:p w14:paraId="296FAFA1" w14:textId="77777777" w:rsidR="00DB2B68" w:rsidRDefault="00000000">
      <w:r>
        <w:rPr>
          <w:rStyle w:val="optioncarChar"/>
        </w:rPr>
        <w:t>m³ </w:t>
      </w:r>
      <w:r>
        <w:t>(par défaut)</w:t>
      </w:r>
      <w:r>
        <w:rPr>
          <w:rStyle w:val="optioncarChar"/>
        </w:rPr>
        <w:t> / m²</w:t>
      </w:r>
    </w:p>
    <w:p w14:paraId="3CB1701B" w14:textId="77777777" w:rsidR="00DB2B68" w:rsidRDefault="00000000">
      <w:r>
        <w:rPr>
          <w:b/>
        </w:rPr>
        <w:t>(soit par défaut)</w:t>
      </w:r>
    </w:p>
    <w:p w14:paraId="7E26939F" w14:textId="77777777" w:rsidR="00DB2B68" w:rsidRDefault="00000000">
      <w:r>
        <w:rPr>
          <w:rStyle w:val="soitChar"/>
        </w:rPr>
        <w:t>1. m³</w:t>
      </w:r>
    </w:p>
    <w:p w14:paraId="28FA3678" w14:textId="77777777" w:rsidR="00DB2B68" w:rsidRDefault="00000000">
      <w:r>
        <w:rPr>
          <w:b/>
        </w:rPr>
        <w:t>(soit)</w:t>
      </w:r>
    </w:p>
    <w:p w14:paraId="22086F3D" w14:textId="77777777" w:rsidR="00DB2B68" w:rsidRDefault="00000000">
      <w:r>
        <w:rPr>
          <w:rStyle w:val="soitChar"/>
        </w:rPr>
        <w:t>2. m²</w:t>
      </w:r>
    </w:p>
    <w:p w14:paraId="38A0423D" w14:textId="77777777" w:rsidR="00DB2B68" w:rsidRDefault="00000000">
      <w:pPr>
        <w:pStyle w:val="pheading"/>
      </w:pPr>
      <w:r>
        <w:t>- code de mesurage:</w:t>
      </w:r>
    </w:p>
    <w:p w14:paraId="7719F825"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A51A96A"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9DD18A7"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6207B401" w14:textId="77777777" w:rsidR="00DB2B68" w:rsidRDefault="00000000">
      <w:r>
        <w:br/>
      </w:r>
      <w:r>
        <w:rPr>
          <w:rStyle w:val="optioncarChar"/>
        </w:rPr>
        <w:t>Volume net </w:t>
      </w:r>
      <w:r>
        <w:t>(par défaut)</w:t>
      </w:r>
      <w:r>
        <w:rPr>
          <w:rStyle w:val="optioncarChar"/>
        </w:rPr>
        <w:t> / Surface nette</w:t>
      </w:r>
    </w:p>
    <w:p w14:paraId="5C91756F" w14:textId="77777777" w:rsidR="00DB2B68" w:rsidRDefault="00000000">
      <w:r>
        <w:rPr>
          <w:b/>
        </w:rPr>
        <w:t>(soit par défaut)</w:t>
      </w:r>
    </w:p>
    <w:p w14:paraId="535312D1"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3505C08E" w14:textId="77777777" w:rsidR="00DB2B68" w:rsidRDefault="00000000">
      <w:r>
        <w:rPr>
          <w:b/>
        </w:rPr>
        <w:t>(soit)</w:t>
      </w:r>
    </w:p>
    <w:p w14:paraId="38B8DF41" w14:textId="77777777" w:rsidR="00DB2B68" w:rsidRDefault="00000000">
      <w:r>
        <w:rPr>
          <w:rStyle w:val="soitChar"/>
        </w:rPr>
        <w:lastRenderedPageBreak/>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27598806" w14:textId="77777777" w:rsidR="00DB2B68" w:rsidRDefault="00000000">
      <w:pPr>
        <w:pStyle w:val="pheading"/>
      </w:pPr>
      <w:r>
        <w:t>- nature du marché:</w:t>
      </w:r>
    </w:p>
    <w:p w14:paraId="30C405A1" w14:textId="77777777" w:rsidR="00DB2B68" w:rsidRDefault="00000000">
      <w:r>
        <w:t>QF</w:t>
      </w:r>
    </w:p>
    <w:p w14:paraId="6B18B4D9" w14:textId="77777777" w:rsidR="00DB2B68" w:rsidRDefault="00000000">
      <w:pPr>
        <w:pStyle w:val="Author-eSectionHeading5Numberless"/>
      </w:pPr>
      <w:bookmarkStart w:id="17" w:name="_Toc220495186"/>
      <w:r>
        <w:t>21.11.3 Maçonneries portantes en briques de silico-calcaire CCTB 01.11</w:t>
      </w:r>
      <w:bookmarkEnd w:id="17"/>
    </w:p>
    <w:p w14:paraId="2DDECDFD" w14:textId="77777777" w:rsidR="00DB2B68" w:rsidRDefault="00000000">
      <w:pPr>
        <w:pStyle w:val="pheading"/>
      </w:pPr>
      <w:bookmarkStart w:id="18" w:name="362"/>
      <w:bookmarkEnd w:id="18"/>
      <w:r>
        <w:t>MATÉRIAUX</w:t>
      </w:r>
    </w:p>
    <w:p w14:paraId="57911EC7" w14:textId="77777777" w:rsidR="00DB2B68" w:rsidRDefault="00000000">
      <w:r>
        <w:t>Il s'agit des briques en silico-calcaire, qui répondent à la norme [NBN EN 771-2+A1] et au [PTV 21-003]. L'entrepreneur soumet un échantillon, la fiche technique et la déclaration des performances (DoP) du matériau pour approbation à l'auteur de projet et au maître de l’ouvrage.</w:t>
      </w:r>
    </w:p>
    <w:p w14:paraId="75569726" w14:textId="77777777" w:rsidR="00DB2B68" w:rsidRDefault="00000000">
      <w:pPr>
        <w:pStyle w:val="pheading"/>
      </w:pPr>
      <w:r>
        <w:t>EXÉCUTION / MISE EN ŒUVRE</w:t>
      </w:r>
    </w:p>
    <w:p w14:paraId="15F18B5D" w14:textId="77777777" w:rsidR="00DB2B68" w:rsidRDefault="00000000">
      <w:r>
        <w:t xml:space="preserve">Eléments en silico-calcaire à utiliser : </w:t>
      </w:r>
      <w:r>
        <w:rPr>
          <w:rStyle w:val="optioncarChar"/>
        </w:rPr>
        <w:t>U (maçonnerie non protégée) / P (maçonnerie protégée)</w:t>
      </w:r>
    </w:p>
    <w:p w14:paraId="6E7C1A51" w14:textId="77777777" w:rsidR="00DB2B68" w:rsidRDefault="00000000">
      <w:r>
        <w:t xml:space="preserve">Conformément au mode de mise en œuvre, les briques en silico-calcaire sont maçonnées au mortier / collées à l’aide d’un mortier-colle selon les indications </w:t>
      </w:r>
      <w:r>
        <w:rPr>
          <w:rStyle w:val="optioncarChar"/>
        </w:rPr>
        <w:t>du fabricant des briques / du fabricant de mortier</w:t>
      </w:r>
      <w:r>
        <w:t xml:space="preserve"> et des notes de calcul du bureau d’études.</w:t>
      </w:r>
    </w:p>
    <w:p w14:paraId="2A0A83B9" w14:textId="77777777" w:rsidR="00DB2B68"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défaut)</w:t>
      </w:r>
      <w:r>
        <w:rPr>
          <w:rStyle w:val="optioncarChar"/>
        </w:rPr>
        <w:t xml:space="preserve"> / M15 / M20 / ***</w:t>
      </w:r>
    </w:p>
    <w:p w14:paraId="706C1211" w14:textId="77777777" w:rsidR="00DB2B68" w:rsidRDefault="00000000">
      <w:r>
        <w:t xml:space="preserve">L'épaisseur des joints est d'au moins : </w:t>
      </w:r>
      <w:r>
        <w:rPr>
          <w:rStyle w:val="optioncarChar"/>
        </w:rPr>
        <w:t>2 / 10</w:t>
      </w:r>
      <w:r>
        <w:rPr>
          <w:rStyle w:val="optioncarChar"/>
          <w:color w:val="000000"/>
        </w:rPr>
        <w:t xml:space="preserve"> (par défaut)</w:t>
      </w:r>
      <w:r>
        <w:rPr>
          <w:rStyle w:val="optioncarChar"/>
        </w:rPr>
        <w:t xml:space="preserve"> / ***</w:t>
      </w:r>
      <w:r>
        <w:t xml:space="preserve"> mm (tolérances suivant [NIT 208])</w:t>
      </w:r>
    </w:p>
    <w:p w14:paraId="7CFE096A" w14:textId="77777777" w:rsidR="00DB2B68" w:rsidRDefault="00000000">
      <w: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w:t>
      </w:r>
    </w:p>
    <w:p w14:paraId="38BC0F6F" w14:textId="77777777" w:rsidR="00DB2B68" w:rsidRDefault="00000000">
      <w:r>
        <w:rPr>
          <w:b/>
        </w:rPr>
        <w:t>- Notes d'exécution complémentaires</w:t>
      </w:r>
      <w:r>
        <w:br/>
      </w:r>
      <w:r>
        <w:br/>
        <w:t>Pour les maçonneries destinées à rester apparentes, seules des briques non endommagés sont utilisés.</w:t>
      </w:r>
    </w:p>
    <w:p w14:paraId="21A8ECC5"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688FF411"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75931A59"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2766B0EF" w14:textId="77777777" w:rsidR="00DB2B68" w:rsidRDefault="00000000">
      <w:r>
        <w:t xml:space="preserve">Crochets de mur : </w:t>
      </w:r>
      <w:r>
        <w:rPr>
          <w:rStyle w:val="optioncarChar"/>
        </w:rPr>
        <w:t>acier inoxydable </w:t>
      </w:r>
      <w:r>
        <w:rPr>
          <w:rStyle w:val="optioncarChar"/>
          <w:color w:val="000000"/>
        </w:rPr>
        <w:t>(par défaut)</w:t>
      </w:r>
      <w:r>
        <w:rPr>
          <w:rStyle w:val="optioncarChar"/>
        </w:rPr>
        <w:t xml:space="preserve"> / ***</w:t>
      </w:r>
      <w:r>
        <w:t xml:space="preserve"> , diamètre minimal </w:t>
      </w:r>
      <w:r>
        <w:rPr>
          <w:rStyle w:val="optioncarChar"/>
        </w:rPr>
        <w:t>3,5</w:t>
      </w:r>
      <w:r>
        <w:t> (par défaut)</w:t>
      </w:r>
      <w:r>
        <w:rPr>
          <w:rStyle w:val="optioncarChar"/>
        </w:rPr>
        <w:t> / ***</w:t>
      </w:r>
      <w:r>
        <w:t xml:space="preserve"> mm</w:t>
      </w:r>
    </w:p>
    <w:p w14:paraId="299E8A2E"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p>
    <w:p w14:paraId="4227D9E2" w14:textId="77777777" w:rsidR="00DB2B68" w:rsidRDefault="00000000">
      <w:pPr>
        <w:pStyle w:val="pheading"/>
      </w:pPr>
      <w:r>
        <w:t>AIDE</w:t>
      </w:r>
    </w:p>
    <w:p w14:paraId="0DDE7E68" w14:textId="77777777" w:rsidR="00DB2B68" w:rsidRDefault="00000000">
      <w:r>
        <w:t>Pour le choix adéquat du mortier, se référer à la [STS 22 série].</w:t>
      </w:r>
    </w:p>
    <w:p w14:paraId="2BA42450" w14:textId="77777777" w:rsidR="00DB2B68" w:rsidRDefault="00000000">
      <w:pPr>
        <w:pStyle w:val="Author-eSectionHeading6Numberless"/>
      </w:pPr>
      <w:bookmarkStart w:id="19" w:name="_Toc220495187"/>
      <w:r>
        <w:t>21.11.3a Maçonneries portantes en briques de silico-calcaire à maçonner CCTB 01.12</w:t>
      </w:r>
      <w:bookmarkEnd w:id="19"/>
    </w:p>
    <w:p w14:paraId="5311E44F" w14:textId="77777777" w:rsidR="00DB2B68" w:rsidRDefault="00000000">
      <w:pPr>
        <w:pStyle w:val="pheading"/>
      </w:pPr>
      <w:r>
        <w:t>DESCRIPTION</w:t>
      </w:r>
    </w:p>
    <w:p w14:paraId="70707CF8" w14:textId="77777777" w:rsidR="00DB2B68" w:rsidRDefault="00000000">
      <w:pPr>
        <w:pStyle w:val="pheading"/>
      </w:pPr>
      <w:r>
        <w:t>- Définition / Comprend</w:t>
      </w:r>
    </w:p>
    <w:p w14:paraId="267720DE" w14:textId="77777777" w:rsidR="00DB2B68" w:rsidRDefault="00000000">
      <w:r>
        <w:t xml:space="preserve">Il s’agit de la fourniture et la pose de maçonneries portantes en briques de silico-calcaire à maçonner. </w:t>
      </w:r>
      <w:r>
        <w:br/>
        <w:t xml:space="preserve">La portée des travaux est décrite dans l’article </w:t>
      </w:r>
      <w:hyperlink w:anchor="362" w:history="1">
        <w:r>
          <w:rPr>
            <w:color w:val="0000EE"/>
          </w:rPr>
          <w:t>21.11.3 Maçonneries portantes en briques de silico-calcaire</w:t>
        </w:r>
      </w:hyperlink>
      <w:r>
        <w:t>.</w:t>
      </w:r>
      <w:r>
        <w:br/>
        <w:t>Les travaux comprennent également la fourniture et la pose des pièces d’angle, de terminaison et de rencontre.</w:t>
      </w:r>
    </w:p>
    <w:p w14:paraId="4334B858" w14:textId="77777777" w:rsidR="00DB2B68" w:rsidRDefault="00000000">
      <w:pPr>
        <w:pStyle w:val="pheading"/>
      </w:pPr>
      <w:r>
        <w:t>- Localisation</w:t>
      </w:r>
    </w:p>
    <w:p w14:paraId="5890DDAF" w14:textId="77777777" w:rsidR="00DB2B68" w:rsidRDefault="00000000">
      <w:r>
        <w:lastRenderedPageBreak/>
        <w:t xml:space="preserve">La pose est réalisée aux endroits suivants : </w:t>
      </w:r>
      <w:r>
        <w:rPr>
          <w:rStyle w:val="optioncarChar"/>
        </w:rPr>
        <w:t>***</w:t>
      </w:r>
      <w:r>
        <w:t>.</w:t>
      </w:r>
      <w:r>
        <w:br/>
        <w:t>Voir plans et métrés détaillés.</w:t>
      </w:r>
    </w:p>
    <w:p w14:paraId="48957AFC" w14:textId="77777777" w:rsidR="00DB2B68" w:rsidRDefault="00000000">
      <w:pPr>
        <w:pStyle w:val="pheading"/>
      </w:pPr>
      <w:r>
        <w:t>MATÉRIAUX</w:t>
      </w:r>
    </w:p>
    <w:p w14:paraId="299BEB6B" w14:textId="77777777" w:rsidR="00DB2B68" w:rsidRDefault="00000000">
      <w:pPr>
        <w:pStyle w:val="pheading"/>
      </w:pPr>
      <w:r>
        <w:t>- Caractéristiques générales</w:t>
      </w:r>
    </w:p>
    <w:p w14:paraId="5DA3217D" w14:textId="77777777" w:rsidR="00DB2B68" w:rsidRDefault="00000000">
      <w:pPr>
        <w:pStyle w:val="heading"/>
      </w:pPr>
      <w:r>
        <w:t>Spécifications</w:t>
      </w:r>
    </w:p>
    <w:p w14:paraId="5648AC66" w14:textId="77777777" w:rsidR="00DB2B68"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t xml:space="preserve">La classe de qualité suivant [PTV 21-003] est : </w:t>
      </w:r>
      <w:r>
        <w:rPr>
          <w:rStyle w:val="optioncarChar"/>
        </w:rPr>
        <w:t>20/1,8 / ***</w:t>
      </w:r>
      <w:r>
        <w:br/>
        <w:t>La résistance en compression normalisée (f</w:t>
      </w:r>
      <w:r>
        <w:rPr>
          <w:vertAlign w:val="subscript"/>
        </w:rPr>
        <w:t>b</w:t>
      </w:r>
      <w:r>
        <w:t xml:space="preserve">) suivant [NBN EN 1996 série] est au minimum: </w:t>
      </w:r>
      <w:r>
        <w:rPr>
          <w:rStyle w:val="optioncarChar"/>
        </w:rPr>
        <w:t>5 / 10 / 15 / 20 / 25</w:t>
      </w:r>
      <w:r>
        <w:t xml:space="preserve"> N/mm² (MPa) (classe f </w:t>
      </w:r>
      <w:r>
        <w:rPr>
          <w:rStyle w:val="optioncarChar"/>
        </w:rPr>
        <w:t>***</w:t>
      </w:r>
      <w:r>
        <w:t xml:space="preserve">) (selon [NBN EN 771-2+A1]). </w:t>
      </w:r>
      <w:r>
        <w:br/>
        <w:t xml:space="preserve">Le groupe de configuration suivant [NBN EN 1996-1-1+A1 ANB] est: </w:t>
      </w:r>
      <w:r>
        <w:rPr>
          <w:rStyle w:val="optioncarChar"/>
        </w:rPr>
        <w:t xml:space="preserve">1 </w:t>
      </w:r>
      <w:r>
        <w:t xml:space="preserve">(par défaut) </w:t>
      </w:r>
      <w:r>
        <w:rPr>
          <w:rStyle w:val="optioncarChar"/>
        </w:rPr>
        <w:t>/ ***</w:t>
      </w:r>
      <w:r>
        <w:br/>
        <w:t xml:space="preserve">La masse volumique sèche apparente des briques ρ (rho) est : </w:t>
      </w:r>
      <w:r>
        <w:rPr>
          <w:rStyle w:val="optioncarChar"/>
        </w:rPr>
        <w:t>***</w:t>
      </w:r>
      <w:r>
        <w:t xml:space="preserve"> kg/m³ (blocs pleins), selon la [NBN EN 771-2+A1]. </w:t>
      </w:r>
      <w:r>
        <w:br/>
        <w:t>La conductibilité thermique λ</w:t>
      </w:r>
      <w:r>
        <w:rPr>
          <w:vertAlign w:val="subscript"/>
        </w:rPr>
        <w:t>D</w:t>
      </w:r>
      <w:r>
        <w:t xml:space="preserve"> est compatible avec la valeur U prescrite pour la paroi. </w:t>
      </w:r>
      <w:r>
        <w:br/>
        <w:t>Boutisse : plate</w:t>
      </w:r>
      <w:r>
        <w:br/>
        <w:t>Face qui reste visible : lisse</w:t>
      </w:r>
      <w:r>
        <w:br/>
        <w:t>Face à cimenter ou plafonner : lisse</w:t>
      </w:r>
      <w:r>
        <w:br/>
        <w:t>Teinte : blanc</w:t>
      </w:r>
      <w:r>
        <w:br/>
        <w:t xml:space="preserve">Format : (L x l x h) </w:t>
      </w:r>
      <w:r>
        <w:rPr>
          <w:rStyle w:val="optioncarChar"/>
        </w:rPr>
        <w:t>*** x *** x *** mm / format modulaire proposé par l'entrepreneur </w:t>
      </w:r>
      <w:r>
        <w:t>(par défaut)</w:t>
      </w:r>
      <w:r>
        <w:br/>
        <w:t>Classe de tolérances dimensionnelles: T1</w:t>
      </w:r>
      <w:r>
        <w:br/>
        <w:t>Stabilité de forme : les éléments en silico-calcaire destinés à un usage extérieur ou en maçonnerie souterraine respectent le critère suivant en matière de comportement à l'humidité : retrait et gonflement hygrométriques ≤ 0.45 mm / m (cf. [PTV 21-003]).</w:t>
      </w:r>
      <w:r>
        <w:br/>
        <w:t>Résistance au gel suivant les classes d’application selon [NBN EN 1996-2 ANB] et [NIT 271].</w:t>
      </w:r>
      <w:r>
        <w:br/>
        <w:t xml:space="preserve">Réaction au feu : </w:t>
      </w:r>
      <w:r>
        <w:rPr>
          <w:rStyle w:val="optioncarChar"/>
        </w:rPr>
        <w:t xml:space="preserve">A1 </w:t>
      </w:r>
      <w:r>
        <w:t>(par défaut)</w:t>
      </w:r>
      <w:r>
        <w:rPr>
          <w:rStyle w:val="optioncarChar"/>
        </w:rPr>
        <w:t xml:space="preserve"> / ***</w:t>
      </w:r>
    </w:p>
    <w:p w14:paraId="3D0AA5CA" w14:textId="77777777" w:rsidR="00DB2B68" w:rsidRDefault="00000000">
      <w:r>
        <w:rPr>
          <w:rStyle w:val="headingChar"/>
        </w:rPr>
        <w:t>Critères De Performances De La Paroi</w:t>
      </w:r>
    </w:p>
    <w:p w14:paraId="5C86FCF7" w14:textId="77777777" w:rsidR="00DB2B68" w:rsidRDefault="00000000">
      <w:r>
        <w:t>Coefficient de transmission :</w:t>
      </w:r>
    </w:p>
    <w:p w14:paraId="41A36D9E" w14:textId="77777777" w:rsidR="00DB2B68" w:rsidRDefault="00000000">
      <w:pPr>
        <w:pStyle w:val="Author-eListParagraph"/>
        <w:numPr>
          <w:ilvl w:val="0"/>
          <w:numId w:val="50"/>
        </w:numPr>
      </w:pPr>
      <w:r>
        <w:t xml:space="preserve">valeur U minimale de </w:t>
      </w:r>
      <w:r>
        <w:rPr>
          <w:rStyle w:val="optioncarChar"/>
        </w:rPr>
        <w:t>***</w:t>
      </w:r>
      <w:r>
        <w:t xml:space="preserve"> W/m²K</w:t>
      </w:r>
    </w:p>
    <w:p w14:paraId="35B110BA" w14:textId="77777777" w:rsidR="00DB2B68" w:rsidRDefault="00000000">
      <w:pPr>
        <w:pStyle w:val="Author-eListParagraph"/>
        <w:numPr>
          <w:ilvl w:val="0"/>
          <w:numId w:val="5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4DB909A" w14:textId="77777777" w:rsidR="00DB2B68" w:rsidRDefault="00000000">
      <w:r>
        <w:t>Résistance au feu :</w:t>
      </w:r>
    </w:p>
    <w:p w14:paraId="56474666" w14:textId="77777777" w:rsidR="00DB2B68" w:rsidRDefault="00000000">
      <w:pPr>
        <w:pStyle w:val="Author-eListParagraph"/>
        <w:numPr>
          <w:ilvl w:val="0"/>
          <w:numId w:val="51"/>
        </w:numPr>
      </w:pPr>
      <w:r>
        <w:t xml:space="preserve">pour les éléments porteurs structuraux sans fonction séparante : </w:t>
      </w:r>
      <w:r>
        <w:rPr>
          <w:rStyle w:val="optioncarChar"/>
        </w:rPr>
        <w:t>R15 / R30 </w:t>
      </w:r>
      <w:r>
        <w:t>(par défaut)</w:t>
      </w:r>
      <w:r>
        <w:rPr>
          <w:rStyle w:val="optioncarChar"/>
        </w:rPr>
        <w:t xml:space="preserve"> / R60/ R90 / R120 / R***</w:t>
      </w:r>
    </w:p>
    <w:p w14:paraId="0764AAD3" w14:textId="77777777" w:rsidR="00DB2B68" w:rsidRDefault="00000000">
      <w:pPr>
        <w:pStyle w:val="Author-eListParagraph"/>
        <w:numPr>
          <w:ilvl w:val="0"/>
          <w:numId w:val="51"/>
        </w:numPr>
      </w:pPr>
      <w:r>
        <w:t xml:space="preserve">pour les éléments porteurs structuraux avec fonction séparante : </w:t>
      </w:r>
      <w:r>
        <w:rPr>
          <w:rStyle w:val="optioncarChar"/>
        </w:rPr>
        <w:t>REI30 </w:t>
      </w:r>
      <w:r>
        <w:t>(par défaut)</w:t>
      </w:r>
      <w:r>
        <w:rPr>
          <w:rStyle w:val="optioncarChar"/>
        </w:rPr>
        <w:t xml:space="preserve"> / REI60 / REI90 / REI120 / REI***</w:t>
      </w:r>
    </w:p>
    <w:p w14:paraId="3BFA061E" w14:textId="77777777" w:rsidR="00DB2B68" w:rsidRDefault="00000000">
      <w:r>
        <w:t>selon les tableaux dans [NBN EN 1996-1-2 ANB]</w:t>
      </w:r>
    </w:p>
    <w:p w14:paraId="01C97FD9" w14:textId="77777777" w:rsidR="00DB2B68" w:rsidRDefault="00000000">
      <w:pPr>
        <w:pStyle w:val="pheading"/>
      </w:pPr>
      <w:r>
        <w:t>- Finitions</w:t>
      </w:r>
    </w:p>
    <w:p w14:paraId="2A3A5E3B" w14:textId="77777777" w:rsidR="00DB2B68" w:rsidRDefault="00000000">
      <w:pPr>
        <w:pStyle w:val="Author-eListParagraph"/>
        <w:numPr>
          <w:ilvl w:val="0"/>
          <w:numId w:val="52"/>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1C3DD255" w14:textId="77777777" w:rsidR="00DB2B68" w:rsidRDefault="00000000">
      <w:pPr>
        <w:pStyle w:val="Author-eListParagraph"/>
        <w:numPr>
          <w:ilvl w:val="0"/>
          <w:numId w:val="52"/>
        </w:numPr>
      </w:pPr>
      <w:r>
        <w:t xml:space="preserve">Les murs suivants sont exécutés avec une face restant apparente : </w:t>
      </w:r>
      <w:r>
        <w:rPr>
          <w:rStyle w:val="optioncarChar"/>
        </w:rPr>
        <w:t>***</w:t>
      </w:r>
    </w:p>
    <w:p w14:paraId="0ABAC9A5" w14:textId="77777777" w:rsidR="00DB2B68" w:rsidRDefault="00000000">
      <w:pPr>
        <w:pStyle w:val="Author-eListParagraph"/>
        <w:numPr>
          <w:ilvl w:val="0"/>
          <w:numId w:val="52"/>
        </w:numPr>
      </w:pPr>
      <w:r>
        <w:t xml:space="preserve">Les murs suivants sont exécutés avec deux faces restant apparentes : </w:t>
      </w:r>
      <w:r>
        <w:rPr>
          <w:rStyle w:val="optioncarChar"/>
        </w:rPr>
        <w:t>***</w:t>
      </w:r>
    </w:p>
    <w:p w14:paraId="3AD66C59" w14:textId="77777777" w:rsidR="00DB2B68" w:rsidRDefault="00000000">
      <w:pPr>
        <w:ind w:left="750"/>
      </w:pPr>
      <w:r>
        <w:t> </w:t>
      </w:r>
    </w:p>
    <w:p w14:paraId="4F076F05" w14:textId="77777777" w:rsidR="00DB2B68" w:rsidRDefault="00000000">
      <w:pPr>
        <w:pStyle w:val="pheading"/>
      </w:pPr>
      <w:r>
        <w:t>MESURAGE</w:t>
      </w:r>
    </w:p>
    <w:p w14:paraId="6B3AE0BD" w14:textId="77777777" w:rsidR="00DB2B68" w:rsidRDefault="00000000">
      <w:pPr>
        <w:pStyle w:val="pheading"/>
      </w:pPr>
      <w:r>
        <w:t>- unité de mesure:</w:t>
      </w:r>
    </w:p>
    <w:p w14:paraId="4CCCAF44" w14:textId="77777777" w:rsidR="00DB2B68" w:rsidRDefault="00000000">
      <w:r>
        <w:rPr>
          <w:rStyle w:val="optioncarChar"/>
        </w:rPr>
        <w:t>m³ </w:t>
      </w:r>
      <w:r>
        <w:t>(par défaut)</w:t>
      </w:r>
      <w:r>
        <w:rPr>
          <w:rStyle w:val="optioncarChar"/>
        </w:rPr>
        <w:t> / m²</w:t>
      </w:r>
    </w:p>
    <w:p w14:paraId="636CA03D" w14:textId="77777777" w:rsidR="00DB2B68" w:rsidRDefault="00000000">
      <w:r>
        <w:rPr>
          <w:b/>
        </w:rPr>
        <w:t>(soit par défaut)</w:t>
      </w:r>
    </w:p>
    <w:p w14:paraId="594C2A83" w14:textId="77777777" w:rsidR="00DB2B68" w:rsidRDefault="00000000">
      <w:r>
        <w:rPr>
          <w:rStyle w:val="soitChar"/>
        </w:rPr>
        <w:lastRenderedPageBreak/>
        <w:t>1. m³</w:t>
      </w:r>
    </w:p>
    <w:p w14:paraId="5A07C213" w14:textId="77777777" w:rsidR="00DB2B68" w:rsidRDefault="00000000">
      <w:r>
        <w:rPr>
          <w:b/>
        </w:rPr>
        <w:t>(soit)</w:t>
      </w:r>
    </w:p>
    <w:p w14:paraId="76AD2E9D" w14:textId="77777777" w:rsidR="00DB2B68" w:rsidRDefault="00000000">
      <w:r>
        <w:rPr>
          <w:rStyle w:val="soitChar"/>
        </w:rPr>
        <w:t>2. m²</w:t>
      </w:r>
    </w:p>
    <w:p w14:paraId="6CE22376" w14:textId="77777777" w:rsidR="00DB2B68" w:rsidRDefault="00000000">
      <w:pPr>
        <w:pStyle w:val="pheading"/>
      </w:pPr>
      <w:r>
        <w:t>- code de mesurage:</w:t>
      </w:r>
    </w:p>
    <w:p w14:paraId="3A774B65"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D944054"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B7499CE"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33D2BA9" w14:textId="77777777" w:rsidR="00DB2B68" w:rsidRDefault="00000000">
      <w:r>
        <w:br/>
      </w:r>
      <w:r>
        <w:rPr>
          <w:rStyle w:val="optioncarChar"/>
        </w:rPr>
        <w:t>Volume net </w:t>
      </w:r>
      <w:r>
        <w:t>(par défaut)</w:t>
      </w:r>
      <w:r>
        <w:rPr>
          <w:rStyle w:val="optioncarChar"/>
        </w:rPr>
        <w:t> / Surface nette</w:t>
      </w:r>
    </w:p>
    <w:p w14:paraId="2CC0B23C" w14:textId="77777777" w:rsidR="00DB2B68" w:rsidRDefault="00000000">
      <w:r>
        <w:rPr>
          <w:b/>
        </w:rPr>
        <w:t>(soit par défaut)</w:t>
      </w:r>
    </w:p>
    <w:p w14:paraId="77827857"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634FABEC" w14:textId="77777777" w:rsidR="00DB2B68" w:rsidRDefault="00000000">
      <w:r>
        <w:rPr>
          <w:b/>
        </w:rPr>
        <w:t>(soit)</w:t>
      </w:r>
    </w:p>
    <w:p w14:paraId="02836291"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05690263" w14:textId="77777777" w:rsidR="00DB2B68" w:rsidRDefault="00000000">
      <w:pPr>
        <w:ind w:left="750"/>
      </w:pPr>
      <w:r>
        <w:t> </w:t>
      </w:r>
    </w:p>
    <w:p w14:paraId="288D3BCD" w14:textId="77777777" w:rsidR="00DB2B68" w:rsidRDefault="00000000">
      <w:pPr>
        <w:pStyle w:val="pheading"/>
      </w:pPr>
      <w:r>
        <w:t>- nature du marché:</w:t>
      </w:r>
    </w:p>
    <w:p w14:paraId="4D3BFBE8" w14:textId="77777777" w:rsidR="00DB2B68" w:rsidRDefault="00000000">
      <w:r>
        <w:t>QF</w:t>
      </w:r>
    </w:p>
    <w:p w14:paraId="113BD913" w14:textId="77777777" w:rsidR="00DB2B68" w:rsidRDefault="00000000">
      <w:pPr>
        <w:pStyle w:val="Author-eSectionHeading6Numberless"/>
      </w:pPr>
      <w:bookmarkStart w:id="20" w:name="_Toc220495188"/>
      <w:r>
        <w:t>21.11.3b Maçonneries portantes en briques de silico-calcaire à coller CCTB 01.11</w:t>
      </w:r>
      <w:bookmarkEnd w:id="20"/>
    </w:p>
    <w:p w14:paraId="40036B58" w14:textId="77777777" w:rsidR="00DB2B68" w:rsidRDefault="00000000">
      <w:pPr>
        <w:pStyle w:val="pheading"/>
      </w:pPr>
      <w:r>
        <w:t>DESCRIPTION</w:t>
      </w:r>
    </w:p>
    <w:p w14:paraId="5E39E6B5" w14:textId="77777777" w:rsidR="00DB2B68" w:rsidRDefault="00000000">
      <w:pPr>
        <w:pStyle w:val="pheading"/>
      </w:pPr>
      <w:r>
        <w:t>- Définition / Comprend</w:t>
      </w:r>
    </w:p>
    <w:p w14:paraId="6E54A27D" w14:textId="77777777" w:rsidR="00DB2B68" w:rsidRDefault="00000000">
      <w:r>
        <w:t xml:space="preserve">Il s’agit de la fourniture et la pose de maçonneries portantes en briques de silico-calcaire à coller. </w:t>
      </w:r>
      <w:r>
        <w:br/>
        <w:t xml:space="preserve">La portée des travaux est décrite dans l’article </w:t>
      </w:r>
      <w:hyperlink w:anchor="362" w:history="1">
        <w:r>
          <w:rPr>
            <w:color w:val="0000EE"/>
          </w:rPr>
          <w:t>21.11.3 Maçonneries portantes en briques de silico-calcaire</w:t>
        </w:r>
      </w:hyperlink>
      <w:r>
        <w:t>.</w:t>
      </w:r>
      <w:r>
        <w:br/>
        <w:t>Les travaux comprennent également la fourniture et la pose des pièces d’angle, de terminaison et de rencontre.</w:t>
      </w:r>
    </w:p>
    <w:p w14:paraId="3FEA9577" w14:textId="77777777" w:rsidR="00DB2B68" w:rsidRDefault="00000000">
      <w:pPr>
        <w:pStyle w:val="pheading"/>
      </w:pPr>
      <w:r>
        <w:t>- Localisation</w:t>
      </w:r>
    </w:p>
    <w:p w14:paraId="2574BA0B" w14:textId="77777777" w:rsidR="00DB2B68" w:rsidRDefault="00000000">
      <w:r>
        <w:t>La pose est réalisée aux endroits suivants :</w:t>
      </w:r>
      <w:r>
        <w:rPr>
          <w:rStyle w:val="optioncarChar"/>
        </w:rPr>
        <w:t xml:space="preserve"> ***</w:t>
      </w:r>
      <w:r>
        <w:t>.</w:t>
      </w:r>
      <w:r>
        <w:br/>
        <w:t>Voir plans et métrés détaillés.</w:t>
      </w:r>
    </w:p>
    <w:p w14:paraId="0A11FA3C" w14:textId="77777777" w:rsidR="00DB2B68" w:rsidRDefault="00000000">
      <w:pPr>
        <w:pStyle w:val="pheading"/>
      </w:pPr>
      <w:r>
        <w:t>MATÉRIAUX</w:t>
      </w:r>
    </w:p>
    <w:p w14:paraId="6EB99926" w14:textId="77777777" w:rsidR="00DB2B68" w:rsidRDefault="00000000">
      <w:pPr>
        <w:pStyle w:val="pheading"/>
      </w:pPr>
      <w:r>
        <w:t>- Caractéristiques générales</w:t>
      </w:r>
    </w:p>
    <w:p w14:paraId="61354056" w14:textId="77777777" w:rsidR="00DB2B68" w:rsidRDefault="00000000">
      <w:pPr>
        <w:pStyle w:val="heading"/>
      </w:pPr>
      <w:r>
        <w:t>Spécifications</w:t>
      </w:r>
    </w:p>
    <w:p w14:paraId="52F2150F" w14:textId="77777777" w:rsidR="00DB2B68" w:rsidRDefault="00000000">
      <w:r>
        <w:lastRenderedPageBreak/>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t xml:space="preserve">La classe de qualité suivant [PTV 21-003] est : </w:t>
      </w:r>
      <w:r>
        <w:rPr>
          <w:rStyle w:val="optioncarChar"/>
        </w:rPr>
        <w:t>20/1,8 / ***</w:t>
      </w:r>
      <w:r>
        <w:br/>
        <w:t>La résistance en compression normalisée (f</w:t>
      </w:r>
      <w:r>
        <w:rPr>
          <w:vertAlign w:val="subscript"/>
        </w:rPr>
        <w:t>b</w:t>
      </w:r>
      <w:r>
        <w:t xml:space="preserve">) suivant [NBN EN 1996 série] est au minimum: </w:t>
      </w:r>
      <w:r>
        <w:rPr>
          <w:rStyle w:val="optioncarChar"/>
        </w:rPr>
        <w:t>5 / 10</w:t>
      </w:r>
      <w:r>
        <w:rPr>
          <w:rStyle w:val="optioncarChar"/>
          <w:color w:val="000000"/>
        </w:rPr>
        <w:t xml:space="preserve"> (par défaut)</w:t>
      </w:r>
      <w:r>
        <w:rPr>
          <w:rStyle w:val="optioncarChar"/>
        </w:rPr>
        <w:t xml:space="preserve"> / 15 / 20 / 25 /</w:t>
      </w:r>
      <w:r>
        <w:t> N/mm² (MPa) (classe f</w:t>
      </w:r>
      <w:r>
        <w:rPr>
          <w:rStyle w:val="optioncarChar"/>
        </w:rPr>
        <w:t xml:space="preserve"> ***</w:t>
      </w:r>
      <w:r>
        <w:t xml:space="preserve">) (selon [NBN EN 771-2+A1]). </w:t>
      </w:r>
      <w:r>
        <w:br/>
        <w:t xml:space="preserve">Le groupe de configuration suivant [NBN EN 1996-1-1+A1 ANB] est: </w:t>
      </w:r>
      <w:r>
        <w:rPr>
          <w:rStyle w:val="optioncarChar"/>
        </w:rPr>
        <w:t>1 </w:t>
      </w:r>
      <w:r>
        <w:t>(par défaut)</w:t>
      </w:r>
      <w:r>
        <w:rPr>
          <w:rStyle w:val="optioncarChar"/>
        </w:rPr>
        <w:t xml:space="preserve"> / ***</w:t>
      </w:r>
      <w:r>
        <w:br/>
        <w:t xml:space="preserve">La masse volumique sèche apparente des briques ρ (rho) est : </w:t>
      </w:r>
      <w:r>
        <w:rPr>
          <w:rStyle w:val="optioncarChar"/>
        </w:rPr>
        <w:t>***</w:t>
      </w:r>
      <w:r>
        <w:t xml:space="preserve"> kg/m³ (blocs pleins), selon la [NBN EN 771-2+A1]. </w:t>
      </w:r>
      <w:r>
        <w:br/>
        <w:t>La conductibilité thermique λ</w:t>
      </w:r>
      <w:r>
        <w:rPr>
          <w:vertAlign w:val="subscript"/>
        </w:rPr>
        <w:t>D</w:t>
      </w:r>
      <w:r>
        <w:t xml:space="preserve"> est compatible avec la valeur U prescrite pour la paroi. </w:t>
      </w:r>
      <w:r>
        <w:br/>
        <w:t xml:space="preserve">Boutisse : </w:t>
      </w:r>
      <w:r>
        <w:rPr>
          <w:rStyle w:val="optioncarChar"/>
          <w:color w:val="000000"/>
        </w:rPr>
        <w:t>plate</w:t>
      </w:r>
      <w:r>
        <w:br/>
        <w:t>Face qui reste visible :</w:t>
      </w:r>
      <w:r>
        <w:rPr>
          <w:rStyle w:val="optioncarChar"/>
          <w:color w:val="000000"/>
        </w:rPr>
        <w:t xml:space="preserve"> lisse</w:t>
      </w:r>
      <w:r>
        <w:br/>
        <w:t xml:space="preserve">Face à cimenter ou plafonner : </w:t>
      </w:r>
      <w:r>
        <w:rPr>
          <w:rStyle w:val="optioncarChar"/>
          <w:color w:val="000000"/>
        </w:rPr>
        <w:t>lisse</w:t>
      </w:r>
      <w:r>
        <w:br/>
        <w:t xml:space="preserve">Teinte : blanc </w:t>
      </w:r>
      <w:r>
        <w:br/>
        <w:t xml:space="preserve">Format : (L x l x h) </w:t>
      </w:r>
      <w:r>
        <w:rPr>
          <w:rStyle w:val="optioncarChar"/>
        </w:rPr>
        <w:t>***x***x***mm / format modulaire proposé par l'entrepreneur </w:t>
      </w:r>
      <w:r>
        <w:t>(par défaut)</w:t>
      </w:r>
      <w:r>
        <w:br/>
        <w:t>Classe de tolérances dimensionnelles: T2</w:t>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t xml:space="preserve">Absorption d’eau par immersion : code </w:t>
      </w:r>
      <w:r>
        <w:rPr>
          <w:rStyle w:val="optioncarChar"/>
        </w:rPr>
        <w:t>A1 (exposé décoratif) / A2 (exposé) </w:t>
      </w:r>
      <w:r>
        <w:t>(par défaut)</w:t>
      </w:r>
      <w:r>
        <w:br/>
        <w:t>Résistance au gel suivant les classes d’application selon [NBN EN 1996-2 ANB] et [NIT 271].</w:t>
      </w:r>
      <w:r>
        <w:br/>
        <w:t>Réaction au feu :</w:t>
      </w:r>
      <w:r>
        <w:rPr>
          <w:rStyle w:val="optioncarChar"/>
        </w:rPr>
        <w:t xml:space="preserve"> A1 </w:t>
      </w:r>
      <w:r>
        <w:t>(par défaut)</w:t>
      </w:r>
      <w:r>
        <w:rPr>
          <w:rStyle w:val="optioncarChar"/>
        </w:rPr>
        <w:t xml:space="preserve"> / ***</w:t>
      </w:r>
    </w:p>
    <w:p w14:paraId="2C1EB6EB" w14:textId="77777777" w:rsidR="00DB2B68" w:rsidRDefault="00000000">
      <w:r>
        <w:br/>
      </w:r>
      <w:r>
        <w:rPr>
          <w:rStyle w:val="headingChar"/>
        </w:rPr>
        <w:t>Critères De Performances De La Paroi</w:t>
      </w:r>
    </w:p>
    <w:p w14:paraId="315C2060" w14:textId="77777777" w:rsidR="00DB2B68" w:rsidRDefault="00000000">
      <w:r>
        <w:t>Coefficient de transmission :</w:t>
      </w:r>
    </w:p>
    <w:p w14:paraId="3652D5E5" w14:textId="77777777" w:rsidR="00DB2B68" w:rsidRDefault="00000000">
      <w:pPr>
        <w:pStyle w:val="Author-eListParagraph"/>
        <w:numPr>
          <w:ilvl w:val="0"/>
          <w:numId w:val="53"/>
        </w:numPr>
      </w:pPr>
      <w:r>
        <w:t xml:space="preserve">valeur U minimale de </w:t>
      </w:r>
      <w:r>
        <w:rPr>
          <w:rStyle w:val="optioncarChar"/>
        </w:rPr>
        <w:t>***</w:t>
      </w:r>
      <w:r>
        <w:t xml:space="preserve"> W/m²K</w:t>
      </w:r>
    </w:p>
    <w:p w14:paraId="22E495EC" w14:textId="77777777" w:rsidR="00DB2B68" w:rsidRDefault="00000000">
      <w:pPr>
        <w:pStyle w:val="Author-eListParagraph"/>
        <w:numPr>
          <w:ilvl w:val="0"/>
          <w:numId w:val="5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6584F82" w14:textId="77777777" w:rsidR="00DB2B68" w:rsidRDefault="00000000">
      <w:r>
        <w:br/>
        <w:t>Résistance au feu :</w:t>
      </w:r>
    </w:p>
    <w:p w14:paraId="74EF00B8" w14:textId="77777777" w:rsidR="00DB2B68" w:rsidRDefault="00000000">
      <w:pPr>
        <w:pStyle w:val="Author-eListParagraph"/>
        <w:numPr>
          <w:ilvl w:val="0"/>
          <w:numId w:val="54"/>
        </w:numPr>
      </w:pPr>
      <w:r>
        <w:t xml:space="preserve">pour les éléments porteurs structuraux sans fonction séparante : </w:t>
      </w:r>
      <w:r>
        <w:rPr>
          <w:rStyle w:val="optioncarChar"/>
        </w:rPr>
        <w:t>R15 / R30 </w:t>
      </w:r>
      <w:r>
        <w:t>(par défaut)</w:t>
      </w:r>
      <w:r>
        <w:rPr>
          <w:rStyle w:val="optioncarChar"/>
        </w:rPr>
        <w:t xml:space="preserve"> / R60 / R90 / R120 / R***</w:t>
      </w:r>
    </w:p>
    <w:p w14:paraId="0FFB9286" w14:textId="77777777" w:rsidR="00DB2B68" w:rsidRDefault="00000000">
      <w:pPr>
        <w:pStyle w:val="Author-eListParagraph"/>
        <w:numPr>
          <w:ilvl w:val="0"/>
          <w:numId w:val="54"/>
        </w:numPr>
      </w:pPr>
      <w:r>
        <w:t xml:space="preserve">pour les éléments porteurs structuraux avec fonction séparante : </w:t>
      </w:r>
      <w:r>
        <w:rPr>
          <w:rStyle w:val="optioncarChar"/>
        </w:rPr>
        <w:t>REI30 </w:t>
      </w:r>
      <w:r>
        <w:t>(par défaut)</w:t>
      </w:r>
      <w:r>
        <w:rPr>
          <w:rStyle w:val="optioncarChar"/>
        </w:rPr>
        <w:t xml:space="preserve"> / REI60 / REI90 / REI120 / REI***</w:t>
      </w:r>
    </w:p>
    <w:p w14:paraId="4130E5F0" w14:textId="77777777" w:rsidR="00DB2B68" w:rsidRDefault="00000000">
      <w:r>
        <w:t>selon les tableaux dans [NBN EN 1996-1-2 ANB].</w:t>
      </w:r>
    </w:p>
    <w:p w14:paraId="0BF1F811" w14:textId="77777777" w:rsidR="00DB2B68" w:rsidRDefault="00000000">
      <w:pPr>
        <w:ind w:left="750"/>
      </w:pPr>
      <w:r>
        <w:t> </w:t>
      </w:r>
    </w:p>
    <w:p w14:paraId="5CC6496A" w14:textId="77777777" w:rsidR="00DB2B68" w:rsidRDefault="00000000">
      <w:pPr>
        <w:pStyle w:val="pheading"/>
      </w:pPr>
      <w:r>
        <w:t>- Finitions</w:t>
      </w:r>
    </w:p>
    <w:p w14:paraId="3DFB4BEA" w14:textId="77777777" w:rsidR="00DB2B68" w:rsidRDefault="00000000">
      <w:pPr>
        <w:pStyle w:val="Author-eListParagraph"/>
        <w:numPr>
          <w:ilvl w:val="0"/>
          <w:numId w:val="55"/>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6C9C12C4" w14:textId="77777777" w:rsidR="00DB2B68" w:rsidRDefault="00000000">
      <w:pPr>
        <w:pStyle w:val="Author-eListParagraph"/>
        <w:numPr>
          <w:ilvl w:val="0"/>
          <w:numId w:val="55"/>
        </w:numPr>
      </w:pPr>
      <w:r>
        <w:rPr>
          <w:rStyle w:val="normalChar"/>
        </w:rPr>
        <w:t>Les murs suivants sont exécutés avec une face restant apparente :</w:t>
      </w:r>
      <w:r>
        <w:rPr>
          <w:rStyle w:val="optioncarChar"/>
        </w:rPr>
        <w:t xml:space="preserve"> ***</w:t>
      </w:r>
    </w:p>
    <w:p w14:paraId="3A88E356" w14:textId="77777777" w:rsidR="00DB2B68" w:rsidRDefault="00000000">
      <w:pPr>
        <w:pStyle w:val="Author-eListParagraph"/>
        <w:numPr>
          <w:ilvl w:val="0"/>
          <w:numId w:val="55"/>
        </w:numPr>
      </w:pPr>
      <w:r>
        <w:rPr>
          <w:rStyle w:val="normalChar"/>
        </w:rPr>
        <w:t>Les murs suivants sont exécutés avec deux faces restant apparentes :</w:t>
      </w:r>
      <w:r>
        <w:rPr>
          <w:rStyle w:val="optioncarChar"/>
        </w:rPr>
        <w:t xml:space="preserve"> ***</w:t>
      </w:r>
    </w:p>
    <w:p w14:paraId="30863714" w14:textId="77777777" w:rsidR="00DB2B68" w:rsidRDefault="00000000">
      <w:pPr>
        <w:ind w:left="750"/>
      </w:pPr>
      <w:r>
        <w:t> </w:t>
      </w:r>
    </w:p>
    <w:p w14:paraId="27FBD621" w14:textId="77777777" w:rsidR="00DB2B68" w:rsidRDefault="00000000">
      <w:pPr>
        <w:pStyle w:val="pheading"/>
      </w:pPr>
      <w:r>
        <w:t>MESURAGE</w:t>
      </w:r>
    </w:p>
    <w:p w14:paraId="03527DFE" w14:textId="77777777" w:rsidR="00DB2B68" w:rsidRDefault="00000000">
      <w:pPr>
        <w:pStyle w:val="pheading"/>
      </w:pPr>
      <w:r>
        <w:t>- unité de mesure:</w:t>
      </w:r>
    </w:p>
    <w:p w14:paraId="0EB83020" w14:textId="77777777" w:rsidR="00DB2B68" w:rsidRDefault="00000000">
      <w:r>
        <w:rPr>
          <w:rStyle w:val="optioncarChar"/>
        </w:rPr>
        <w:t>m³ </w:t>
      </w:r>
      <w:r>
        <w:t>(par défaut)</w:t>
      </w:r>
      <w:r>
        <w:rPr>
          <w:rStyle w:val="optioncarChar"/>
        </w:rPr>
        <w:t> / m²</w:t>
      </w:r>
    </w:p>
    <w:p w14:paraId="4B1AED9B" w14:textId="77777777" w:rsidR="00DB2B68" w:rsidRDefault="00000000">
      <w:r>
        <w:rPr>
          <w:b/>
        </w:rPr>
        <w:t>(soit par défaut)</w:t>
      </w:r>
    </w:p>
    <w:p w14:paraId="631A23B4" w14:textId="77777777" w:rsidR="00DB2B68" w:rsidRDefault="00000000">
      <w:r>
        <w:rPr>
          <w:rStyle w:val="soitChar"/>
        </w:rPr>
        <w:t>1. m³</w:t>
      </w:r>
    </w:p>
    <w:p w14:paraId="7CD8ACC5" w14:textId="77777777" w:rsidR="00DB2B68" w:rsidRDefault="00000000">
      <w:r>
        <w:rPr>
          <w:b/>
        </w:rPr>
        <w:t>(soit)</w:t>
      </w:r>
    </w:p>
    <w:p w14:paraId="1F68EF7D" w14:textId="77777777" w:rsidR="00DB2B68" w:rsidRDefault="00000000">
      <w:r>
        <w:rPr>
          <w:rStyle w:val="soitChar"/>
        </w:rPr>
        <w:lastRenderedPageBreak/>
        <w:t>2. m²</w:t>
      </w:r>
    </w:p>
    <w:p w14:paraId="17B853DF" w14:textId="77777777" w:rsidR="00DB2B68" w:rsidRDefault="00000000">
      <w:pPr>
        <w:pStyle w:val="pheading"/>
      </w:pPr>
      <w:r>
        <w:t>- code de mesurage:</w:t>
      </w:r>
    </w:p>
    <w:p w14:paraId="1576541A"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78524DC"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9E40DB3"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CEE5695" w14:textId="77777777" w:rsidR="00DB2B68" w:rsidRDefault="00000000">
      <w:r>
        <w:br/>
      </w:r>
      <w:r>
        <w:rPr>
          <w:rStyle w:val="optioncarChar"/>
        </w:rPr>
        <w:t>Volume net </w:t>
      </w:r>
      <w:r>
        <w:t>(par défaut)</w:t>
      </w:r>
      <w:r>
        <w:rPr>
          <w:rStyle w:val="optioncarChar"/>
        </w:rPr>
        <w:t> / Surface nette</w:t>
      </w:r>
    </w:p>
    <w:p w14:paraId="6E7C61B3" w14:textId="77777777" w:rsidR="00DB2B68" w:rsidRDefault="00000000">
      <w:r>
        <w:rPr>
          <w:b/>
        </w:rPr>
        <w:t>(soit par défaut)</w:t>
      </w:r>
    </w:p>
    <w:p w14:paraId="34BD0C7C"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r>
        <w:br/>
      </w:r>
    </w:p>
    <w:p w14:paraId="5394BFA5" w14:textId="77777777" w:rsidR="00DB2B68" w:rsidRDefault="00000000">
      <w:r>
        <w:rPr>
          <w:b/>
        </w:rPr>
        <w:t>(soit)</w:t>
      </w:r>
    </w:p>
    <w:p w14:paraId="0C890B8A"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008C6482" w14:textId="77777777" w:rsidR="00DB2B68" w:rsidRDefault="00000000">
      <w:pPr>
        <w:ind w:left="750"/>
      </w:pPr>
      <w:r>
        <w:t> </w:t>
      </w:r>
    </w:p>
    <w:p w14:paraId="24F88B9F" w14:textId="77777777" w:rsidR="00DB2B68" w:rsidRDefault="00000000">
      <w:pPr>
        <w:pStyle w:val="pheading"/>
      </w:pPr>
      <w:r>
        <w:t>- nature du marché:</w:t>
      </w:r>
    </w:p>
    <w:p w14:paraId="6E1115AC" w14:textId="77777777" w:rsidR="00DB2B68" w:rsidRDefault="00000000">
      <w:r>
        <w:t>QF</w:t>
      </w:r>
    </w:p>
    <w:p w14:paraId="207954B2" w14:textId="77777777" w:rsidR="00DB2B68" w:rsidRDefault="00000000">
      <w:pPr>
        <w:pStyle w:val="Author-eSectionHeading5Numberless"/>
      </w:pPr>
      <w:bookmarkStart w:id="21" w:name="_Toc220495189"/>
      <w:r>
        <w:t>21.11.4 Maçonneries portantes en briques de terre crue CCTB 01.11</w:t>
      </w:r>
      <w:bookmarkEnd w:id="21"/>
    </w:p>
    <w:p w14:paraId="69B2ED6E" w14:textId="77777777" w:rsidR="00DB2B68" w:rsidRDefault="00000000">
      <w:pPr>
        <w:pStyle w:val="pheading"/>
      </w:pPr>
      <w:r>
        <w:t>DESCRIPTION</w:t>
      </w:r>
    </w:p>
    <w:p w14:paraId="104B7AB7" w14:textId="77777777" w:rsidR="00DB2B68" w:rsidRDefault="00000000">
      <w:pPr>
        <w:pStyle w:val="pheading"/>
      </w:pPr>
      <w:r>
        <w:t>- Définition / Comprend</w:t>
      </w:r>
    </w:p>
    <w:p w14:paraId="3AAF8B95" w14:textId="77777777" w:rsidR="00DB2B68" w:rsidRDefault="00000000">
      <w:r>
        <w:t xml:space="preserve">Il s'agit de maçonneries portantes en briques de terre crue. </w:t>
      </w:r>
    </w:p>
    <w:p w14:paraId="7B8AA971" w14:textId="77777777" w:rsidR="00DB2B68" w:rsidRDefault="00000000">
      <w:pPr>
        <w:pStyle w:val="pheading"/>
      </w:pPr>
      <w:r>
        <w:t>MATÉRIAUX</w:t>
      </w:r>
    </w:p>
    <w:p w14:paraId="11935DD9" w14:textId="77777777" w:rsidR="00DB2B68" w:rsidRDefault="00000000">
      <w:pPr>
        <w:jc w:val="both"/>
      </w:pPr>
      <w:r>
        <w:t>En l’absence de normes propres, les spécifications des briques sont basées sur la [NBN EN 771-3+A1] et le [PTV 21-001] relatifs aux éléments de maçonnerie en béton et les spécifications du mortier sont basées sur la [NBN EN 998-2] et le [PTV 651].</w:t>
      </w:r>
    </w:p>
    <w:p w14:paraId="5D8402CE" w14:textId="77777777" w:rsidR="00DB2B68" w:rsidRDefault="00000000">
      <w:pPr>
        <w:jc w:val="both"/>
      </w:pPr>
      <w:r>
        <w:t>L'entrepreneur soumet la fiche technique des matériaux (brique et mortier) pour approbation à l'auteur de projet et au maître de l’ouvrage.</w:t>
      </w:r>
    </w:p>
    <w:p w14:paraId="2C6C82C9" w14:textId="77777777" w:rsidR="00DB2B68" w:rsidRDefault="00000000">
      <w:pPr>
        <w:jc w:val="both"/>
      </w:pPr>
      <w:r>
        <w:t>La terre utilisée est issue de sol répondant au [DRW 2018-03-01]. En outre, les terre d’excavation sont conformes aux normes d'assainissements et normes d'intervention (voir [AGRBC 2018-03-29]). </w:t>
      </w:r>
    </w:p>
    <w:p w14:paraId="59E22CB7" w14:textId="77777777" w:rsidR="00DB2B68" w:rsidRDefault="00000000">
      <w:pPr>
        <w:pStyle w:val="pheading"/>
      </w:pPr>
      <w:r>
        <w:t>EXÉCUTION / MISE EN ŒUVRE</w:t>
      </w:r>
    </w:p>
    <w:p w14:paraId="54DA3E33" w14:textId="77777777" w:rsidR="00DB2B68" w:rsidRDefault="00000000">
      <w:pPr>
        <w:jc w:val="both"/>
      </w:pPr>
      <w:r>
        <w:t>Conformément au mode de mise en œuvre, les briques en terre crue sont maçonnées selon la documentation technique accompagnant les produits et selon les notes de calcul du bureau d’études.</w:t>
      </w:r>
    </w:p>
    <w:p w14:paraId="5390FC93" w14:textId="77777777" w:rsidR="00DB2B68" w:rsidRDefault="00000000">
      <w:pPr>
        <w:jc w:val="both"/>
      </w:pPr>
      <w:r>
        <w:rPr>
          <w:u w:val="single"/>
        </w:rPr>
        <w:lastRenderedPageBreak/>
        <w:t>Matériaux de liaison et d'ancrage</w:t>
      </w:r>
    </w:p>
    <w:p w14:paraId="7C366944" w14:textId="77777777" w:rsidR="00DB2B68" w:rsidRDefault="00000000">
      <w:pPr>
        <w:ind w:left="567"/>
        <w:jc w:val="both"/>
      </w:pPr>
      <w:r>
        <w:t xml:space="preserve">longueur nominale : </w:t>
      </w:r>
      <w:r>
        <w:rPr>
          <w:rStyle w:val="optioncarChar"/>
        </w:rPr>
        <w:t>***</w:t>
      </w:r>
    </w:p>
    <w:p w14:paraId="4E715C0D" w14:textId="77777777" w:rsidR="00DB2B68" w:rsidRDefault="00000000">
      <w:pPr>
        <w:ind w:left="567"/>
        <w:jc w:val="both"/>
      </w:pPr>
      <w:r>
        <w:t xml:space="preserve"> diamètre : </w:t>
      </w:r>
      <w:r>
        <w:rPr>
          <w:rStyle w:val="optioncarChar"/>
        </w:rPr>
        <w:t>***</w:t>
      </w:r>
    </w:p>
    <w:p w14:paraId="6DE52C6C" w14:textId="77777777" w:rsidR="00DB2B68" w:rsidRDefault="00000000">
      <w:pPr>
        <w:ind w:left="567"/>
        <w:jc w:val="both"/>
      </w:pPr>
      <w:r>
        <w:t xml:space="preserve"> classe d’exposition : </w:t>
      </w:r>
      <w:r>
        <w:rPr>
          <w:rStyle w:val="optioncarChar"/>
        </w:rPr>
        <w:t>MX1 / MX2 / MX3 / MX4 / MX5</w:t>
      </w:r>
    </w:p>
    <w:p w14:paraId="0BE612F0" w14:textId="77777777" w:rsidR="00DB2B68" w:rsidRDefault="00000000">
      <w:pPr>
        <w:ind w:left="567"/>
        <w:jc w:val="both"/>
      </w:pPr>
      <w:r>
        <w:t xml:space="preserve"> 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147143A7" w14:textId="77777777" w:rsidR="00DB2B68" w:rsidRDefault="00000000">
      <w:pPr>
        <w:jc w:val="both"/>
      </w:pPr>
      <w:r>
        <w:t xml:space="preserve">Isolation contre l'humidité : </w:t>
      </w:r>
      <w:r>
        <w:rPr>
          <w:rStyle w:val="optioncarChar"/>
        </w:rPr>
        <w:t xml:space="preserve">membranes en PE </w:t>
      </w:r>
      <w:r>
        <w:t>(par défaut)</w:t>
      </w:r>
      <w:r>
        <w:rPr>
          <w:rStyle w:val="optioncarChar"/>
        </w:rPr>
        <w:t xml:space="preserve"> / ***</w:t>
      </w:r>
      <w:r>
        <w:t xml:space="preserve"> conformément au sous-titre </w:t>
      </w:r>
      <w:hyperlink w:anchor="356" w:history="1">
        <w:r>
          <w:rPr>
            <w:color w:val="0000EE"/>
          </w:rPr>
          <w:t>26.11 Feuilles et membranes d'étanchéité à l'eau</w:t>
        </w:r>
      </w:hyperlink>
      <w:r>
        <w:t>.</w:t>
      </w:r>
    </w:p>
    <w:p w14:paraId="583D1590" w14:textId="77777777" w:rsidR="00DB2B68" w:rsidRDefault="00000000">
      <w:pPr>
        <w:jc w:val="both"/>
      </w:pPr>
      <w:r>
        <w:t>Pour les maçonneries destinées à rester apparentes, seules des briques non endommagées sont utilisées.</w:t>
      </w:r>
    </w:p>
    <w:p w14:paraId="3A71227C" w14:textId="77777777" w:rsidR="00DB2B68" w:rsidRDefault="00000000">
      <w:pPr>
        <w:jc w:val="both"/>
      </w:pPr>
      <w:r>
        <w:t xml:space="preserve">Les segments de murs sont pourvus d'armatures horizontales selon le chapitre </w:t>
      </w:r>
      <w:hyperlink w:anchor="357" w:history="1">
        <w:r>
          <w:rPr>
            <w:color w:val="0000EE"/>
          </w:rPr>
          <w:t>21.41.1 Armatures horizontales pour maçonneries</w:t>
        </w:r>
      </w:hyperlink>
      <w:r>
        <w:t xml:space="preserve">. Les segments de murs sont pourvus d'armatures verticales selon le chapitre </w:t>
      </w:r>
      <w:hyperlink w:anchor="365" w:history="1">
        <w:r>
          <w:rPr>
            <w:color w:val="0000EE"/>
          </w:rPr>
          <w:t>21.42.1 Crochets, tirants et pattes d'ancrages de maçonneries</w:t>
        </w:r>
      </w:hyperlink>
    </w:p>
    <w:p w14:paraId="2144BB7A" w14:textId="77777777" w:rsidR="00DB2B68" w:rsidRDefault="00000000">
      <w:pPr>
        <w:jc w:val="both"/>
      </w:pPr>
      <w:r>
        <w:t xml:space="preserve">Les maçonneries de caves en contact avec les terres sont rendues étanches selon la description au sous-titre </w:t>
      </w:r>
      <w:hyperlink w:anchor="359" w:history="1">
        <w:r>
          <w:rPr>
            <w:color w:val="0000EE"/>
          </w:rPr>
          <w:t>26.12 Traitements d'étanchéisation</w:t>
        </w:r>
      </w:hyperlink>
      <w:r>
        <w:t>.</w:t>
      </w:r>
    </w:p>
    <w:p w14:paraId="64D8F549" w14:textId="77777777" w:rsidR="00DB2B68" w:rsidRDefault="00000000">
      <w:pPr>
        <w:jc w:val="both"/>
      </w:pPr>
      <w:r>
        <w:t>Crochets de murs :</w:t>
      </w:r>
      <w:r>
        <w:rPr>
          <w:rStyle w:val="optioncarChar"/>
        </w:rPr>
        <w:t xml:space="preserve"> acier inoxydable </w:t>
      </w:r>
      <w:r>
        <w:t>(par défaut)</w:t>
      </w:r>
      <w:r>
        <w:rPr>
          <w:rStyle w:val="optioncarChar"/>
        </w:rPr>
        <w:t xml:space="preserve"> / ***</w:t>
      </w:r>
      <w:r>
        <w:t xml:space="preserve"> , diamètre minimal </w:t>
      </w:r>
      <w:r>
        <w:rPr>
          <w:rStyle w:val="optioncarChar"/>
        </w:rPr>
        <w:t>3,5 / ***</w:t>
      </w:r>
      <w:r>
        <w:t xml:space="preserve"> mm.</w:t>
      </w:r>
    </w:p>
    <w:p w14:paraId="7246D3AC" w14:textId="77777777" w:rsidR="00DB2B68" w:rsidRDefault="00000000">
      <w:pPr>
        <w:ind w:left="750"/>
      </w:pPr>
      <w:r>
        <w:t> </w:t>
      </w:r>
    </w:p>
    <w:p w14:paraId="22336BBE" w14:textId="77777777" w:rsidR="00DB2B68" w:rsidRDefault="00000000">
      <w:pPr>
        <w:pStyle w:val="pheading"/>
      </w:pPr>
      <w:r>
        <w:t>DOCUMENTS DE RÉFÉRENCE</w:t>
      </w:r>
    </w:p>
    <w:p w14:paraId="29B90E0C" w14:textId="77777777" w:rsidR="00DB2B68" w:rsidRDefault="00000000">
      <w:pPr>
        <w:pStyle w:val="pheading"/>
      </w:pPr>
      <w:r>
        <w:t>- Matériau</w:t>
      </w:r>
    </w:p>
    <w:p w14:paraId="3B5CBAC6" w14:textId="77777777" w:rsidR="00DB2B68" w:rsidRDefault="00000000">
      <w:r>
        <w:t>[NBN EN 771-3+A1, Spécifications pour éléments de maçonnerie - Partie 3: Éléments de maçonnerie en béton de granulats (granulats courants et légers)]</w:t>
      </w:r>
    </w:p>
    <w:p w14:paraId="6F7624A7" w14:textId="77777777" w:rsidR="00DB2B68" w:rsidRDefault="00000000">
      <w:r>
        <w:t>[PTV 21-001, Eléments de maçonnerie en béton (granulats courants et légers) - Classification et spécifications d'application]</w:t>
      </w:r>
    </w:p>
    <w:p w14:paraId="22691BFF" w14:textId="77777777" w:rsidR="00DB2B68" w:rsidRDefault="00000000">
      <w:r>
        <w:t>[NBN EN 998-2, Définitions et spécifications des mortiers pour maçonnerie - Partie 2: Mortiers de montage des éléments de maçonnerie]</w:t>
      </w:r>
    </w:p>
    <w:p w14:paraId="3563CCE5" w14:textId="77777777" w:rsidR="00DB2B68" w:rsidRDefault="00000000">
      <w:r>
        <w:t>[PTV 651, Mortier de maçonnerie et mortier de jointoyage]</w:t>
      </w:r>
    </w:p>
    <w:p w14:paraId="50B83D10" w14:textId="77777777" w:rsidR="00DB2B68" w:rsidRDefault="00000000">
      <w:r>
        <w:t>[CRATerre, CRATerre - Traité de construction en terre]</w:t>
      </w:r>
    </w:p>
    <w:p w14:paraId="470B80C7" w14:textId="77777777" w:rsidR="00DB2B68" w:rsidRDefault="00000000">
      <w:r>
        <w:t>[Moniteur Terre crue, Röhlen / Ziegert - Construire en terre crue: Construction - Rénovation - Finitions]</w:t>
      </w:r>
    </w:p>
    <w:p w14:paraId="1F5836B3" w14:textId="77777777" w:rsidR="00DB2B68" w:rsidRDefault="00000000">
      <w:r>
        <w:t>[DRW 2018-03-01, Décret relatif à la gestion et à l'assainissement des sols]</w:t>
      </w:r>
    </w:p>
    <w:p w14:paraId="163733CB" w14:textId="77777777" w:rsidR="00DB2B68" w:rsidRDefault="00DB2B68"/>
    <w:p w14:paraId="5ECAA027" w14:textId="77777777" w:rsidR="00DB2B68" w:rsidRDefault="00000000">
      <w:r>
        <w:t>[DIN 18945, Earth blocks - Requirements, test and labelling]</w:t>
      </w:r>
    </w:p>
    <w:p w14:paraId="1E6ED4DB" w14:textId="77777777" w:rsidR="00DB2B68" w:rsidRDefault="00000000">
      <w:r>
        <w:t>[DIN 18946, Earth masonry mortar - Requirements, test and labelling]</w:t>
      </w:r>
    </w:p>
    <w:p w14:paraId="1CE8A37D" w14:textId="77777777" w:rsidR="00DB2B68" w:rsidRDefault="00000000">
      <w:pPr>
        <w:pStyle w:val="pheading"/>
      </w:pPr>
      <w:r>
        <w:t>- Exécution</w:t>
      </w:r>
    </w:p>
    <w:p w14:paraId="23D4A24B" w14:textId="77777777" w:rsidR="00DB2B68" w:rsidRDefault="00000000">
      <w:r>
        <w:t>[CRATerre, CRATerre - Traité de construction en terre]</w:t>
      </w:r>
    </w:p>
    <w:p w14:paraId="2F62CD58" w14:textId="77777777" w:rsidR="00DB2B68" w:rsidRDefault="00000000">
      <w:r>
        <w:t>[Moniteur Terre crue, Röhlen / Ziegert - Construire en terre crue: Construction - Rénovation - Finitions]</w:t>
      </w:r>
    </w:p>
    <w:p w14:paraId="7C6C8859" w14:textId="77777777" w:rsidR="00DB2B68" w:rsidRDefault="00000000">
      <w:pPr>
        <w:pStyle w:val="Author-eSectionHeading6Numberless"/>
      </w:pPr>
      <w:bookmarkStart w:id="22" w:name="_Toc220495190"/>
      <w:r>
        <w:t>21.11.4a Maçonneries portantes en briques de terre crue stabilisée à maçonner CCTB 01.11</w:t>
      </w:r>
      <w:bookmarkEnd w:id="22"/>
    </w:p>
    <w:p w14:paraId="6AB7C74C" w14:textId="77777777" w:rsidR="00DB2B68" w:rsidRDefault="00000000">
      <w:pPr>
        <w:pStyle w:val="pheading"/>
      </w:pPr>
      <w:r>
        <w:t>DESCRIPTION</w:t>
      </w:r>
    </w:p>
    <w:p w14:paraId="2765B050" w14:textId="77777777" w:rsidR="00DB2B68" w:rsidRDefault="00000000">
      <w:pPr>
        <w:pStyle w:val="pheading"/>
      </w:pPr>
      <w:r>
        <w:t>- Définition / Comprend</w:t>
      </w:r>
    </w:p>
    <w:p w14:paraId="0329B0A7" w14:textId="77777777" w:rsidR="00DB2B68" w:rsidRDefault="00000000">
      <w:pPr>
        <w:jc w:val="both"/>
      </w:pPr>
      <w:r>
        <w:t>Il s’agit de la fourniture et la pose de maçonneries portantes en briques de terre crue stabilisées à maçonner.</w:t>
      </w:r>
    </w:p>
    <w:p w14:paraId="716AA3FF" w14:textId="77777777" w:rsidR="00DB2B68" w:rsidRDefault="00000000">
      <w:pPr>
        <w:jc w:val="both"/>
      </w:pPr>
      <w:r>
        <w:lastRenderedPageBreak/>
        <w:t xml:space="preserve">La portée des travaux est décrite dans l’élément </w:t>
      </w:r>
      <w:hyperlink w:anchor="294" w:history="1">
        <w:r>
          <w:rPr>
            <w:color w:val="0000EE"/>
          </w:rPr>
          <w:t>21.1 Maçonneries portantes</w:t>
        </w:r>
      </w:hyperlink>
      <w:r>
        <w:t>.</w:t>
      </w:r>
    </w:p>
    <w:p w14:paraId="232269B9" w14:textId="77777777" w:rsidR="00DB2B68" w:rsidRDefault="00000000">
      <w:pPr>
        <w:pStyle w:val="pheading"/>
      </w:pPr>
      <w:r>
        <w:t>- Localisation</w:t>
      </w:r>
    </w:p>
    <w:p w14:paraId="7A3EA0F7" w14:textId="77777777" w:rsidR="00DB2B68" w:rsidRDefault="00000000">
      <w:r>
        <w:t>Localisation des travaux :</w:t>
      </w:r>
      <w:r>
        <w:rPr>
          <w:rStyle w:val="optioncarChar"/>
        </w:rPr>
        <w:t xml:space="preserve"> ***</w:t>
      </w:r>
      <w:r>
        <w:t>.</w:t>
      </w:r>
    </w:p>
    <w:p w14:paraId="4FB21DDD" w14:textId="77777777" w:rsidR="00DB2B68" w:rsidRDefault="00000000">
      <w:r>
        <w:t>Voir plans et métrés détaillés.</w:t>
      </w:r>
    </w:p>
    <w:p w14:paraId="7F30841E" w14:textId="77777777" w:rsidR="00DB2B68" w:rsidRDefault="00000000">
      <w:pPr>
        <w:pStyle w:val="pheading"/>
      </w:pPr>
      <w:r>
        <w:t>MATÉRIAUX</w:t>
      </w:r>
    </w:p>
    <w:p w14:paraId="03497521" w14:textId="77777777" w:rsidR="00DB2B68" w:rsidRDefault="00000000">
      <w:pPr>
        <w:pStyle w:val="pheading"/>
      </w:pPr>
      <w:r>
        <w:t>- Caractéristiques générales</w:t>
      </w:r>
    </w:p>
    <w:p w14:paraId="341F1AC7" w14:textId="77777777" w:rsidR="00DB2B68" w:rsidRDefault="00000000">
      <w:pPr>
        <w:jc w:val="both"/>
      </w:pPr>
      <w:r>
        <w:t>Les briques, le mortier et la maçonnerie disposent d'une déclaration d'aptitude à l'utilisation suivant les prescriptions de l'élément 02.42.1 Critères d'acceptabilité</w:t>
      </w:r>
    </w:p>
    <w:p w14:paraId="28530915" w14:textId="77777777" w:rsidR="00DB2B68" w:rsidRDefault="00000000">
      <w:pPr>
        <w:jc w:val="both"/>
      </w:pPr>
      <w:r>
        <w:rPr>
          <w:rStyle w:val="headingChar"/>
        </w:rPr>
        <w:t>Spécifications</w:t>
      </w:r>
    </w:p>
    <w:p w14:paraId="14902B5F" w14:textId="77777777" w:rsidR="00DB2B68" w:rsidRDefault="00000000">
      <w:pPr>
        <w:jc w:val="both"/>
      </w:pPr>
      <w:r>
        <w:rPr>
          <w:u w:val="single"/>
        </w:rPr>
        <w:t>Brique</w:t>
      </w:r>
    </w:p>
    <w:p w14:paraId="79DC8C96" w14:textId="77777777" w:rsidR="00DB2B68" w:rsidRDefault="00000000">
      <w:pPr>
        <w:jc w:val="both"/>
      </w:pPr>
      <w:r>
        <w:t xml:space="preserve">Code d’identification du type de brique de maçonnerie suivant [PTV 21-001] : </w:t>
      </w:r>
      <w:r>
        <w:rPr>
          <w:rStyle w:val="optioncarChar"/>
        </w:rPr>
        <w:t>A1</w:t>
      </w:r>
      <w:r>
        <w:t xml:space="preserve"> (par défaut) </w:t>
      </w:r>
      <w:r>
        <w:rPr>
          <w:rStyle w:val="optioncarChar"/>
        </w:rPr>
        <w:t>/ A2 / B1 / B2 / C / D</w:t>
      </w:r>
    </w:p>
    <w:p w14:paraId="1D0A55B9" w14:textId="77777777" w:rsidR="00DB2B68" w:rsidRDefault="00000000">
      <w:pPr>
        <w:jc w:val="both"/>
      </w:pPr>
      <w:r>
        <w:t xml:space="preserve">Format (Lxlxh) mm : </w:t>
      </w:r>
      <w:r>
        <w:rPr>
          <w:rStyle w:val="optioncarChar"/>
        </w:rPr>
        <w:t>*** x *** x *** / format modulaire proposé par l'entrepreneur </w:t>
      </w:r>
      <w:r>
        <w:t>(par défaut)</w:t>
      </w:r>
    </w:p>
    <w:p w14:paraId="30875E2B" w14:textId="77777777" w:rsidR="00DB2B68" w:rsidRDefault="00000000">
      <w:pPr>
        <w:jc w:val="both"/>
      </w:pPr>
      <w:r>
        <w:t xml:space="preserve">Face qui reste visible : </w:t>
      </w:r>
      <w:r>
        <w:rPr>
          <w:rStyle w:val="optioncarChar"/>
        </w:rPr>
        <w:t xml:space="preserve">lisse </w:t>
      </w:r>
      <w:r>
        <w:t>(par défaut)</w:t>
      </w:r>
      <w:r>
        <w:rPr>
          <w:rStyle w:val="optioncarChar"/>
        </w:rPr>
        <w:t xml:space="preserve"> / ***</w:t>
      </w:r>
    </w:p>
    <w:p w14:paraId="543467CB" w14:textId="77777777" w:rsidR="00DB2B68" w:rsidRDefault="00000000">
      <w:pPr>
        <w:jc w:val="both"/>
      </w:pPr>
      <w:r>
        <w:t xml:space="preserve">Mode de fabrication : </w:t>
      </w:r>
      <w:r>
        <w:rPr>
          <w:rStyle w:val="optioncarChar"/>
        </w:rPr>
        <w:t>moulée à la main / moulée à la presse </w:t>
      </w:r>
      <w:r>
        <w:t>(par défaut)</w:t>
      </w:r>
      <w:r>
        <w:rPr>
          <w:rStyle w:val="optioncarChar"/>
        </w:rPr>
        <w:t xml:space="preserve"> / compressée / étirée</w:t>
      </w:r>
    </w:p>
    <w:p w14:paraId="797EBE38" w14:textId="77777777" w:rsidR="00DB2B68" w:rsidRDefault="00000000">
      <w:pPr>
        <w:jc w:val="both"/>
      </w:pPr>
      <w:r>
        <w:t xml:space="preserve">Granulats : </w:t>
      </w:r>
      <w:r>
        <w:rPr>
          <w:rStyle w:val="optioncarChar"/>
        </w:rPr>
        <w:t xml:space="preserve">pas de granulat </w:t>
      </w:r>
      <w:r>
        <w:t>(par défaut)</w:t>
      </w:r>
      <w:r>
        <w:rPr>
          <w:rStyle w:val="optioncarChar"/>
        </w:rPr>
        <w:t xml:space="preserve"> / minéraux / minéraux et végétaux / végétaux / ***</w:t>
      </w:r>
    </w:p>
    <w:p w14:paraId="0E5464A1" w14:textId="77777777" w:rsidR="00DB2B68" w:rsidRDefault="00000000">
      <w:pPr>
        <w:jc w:val="both"/>
      </w:pPr>
      <w:r>
        <w:t xml:space="preserve">Description des granulats : </w:t>
      </w:r>
      <w:r>
        <w:rPr>
          <w:rStyle w:val="optioncarChar"/>
        </w:rPr>
        <w:t>***</w:t>
      </w:r>
      <w:r>
        <w:t>.</w:t>
      </w:r>
    </w:p>
    <w:p w14:paraId="56A538BF" w14:textId="77777777" w:rsidR="00DB2B68" w:rsidRDefault="00000000">
      <w:pPr>
        <w:jc w:val="both"/>
      </w:pPr>
      <w:r>
        <w:t xml:space="preserve">Stabilisation des briques : </w:t>
      </w:r>
      <w:r>
        <w:rPr>
          <w:rStyle w:val="optioncarChar"/>
        </w:rPr>
        <w:t xml:space="preserve">au ciment </w:t>
      </w:r>
      <w:r>
        <w:t>(par défaut)</w:t>
      </w:r>
      <w:r>
        <w:rPr>
          <w:rStyle w:val="optioncarChar"/>
        </w:rPr>
        <w:t xml:space="preserve"> / à la chaux / ***</w:t>
      </w:r>
    </w:p>
    <w:p w14:paraId="1B7EE370" w14:textId="77777777" w:rsidR="00DB2B68" w:rsidRDefault="00000000">
      <w:pPr>
        <w:jc w:val="both"/>
      </w:pPr>
      <w:r>
        <w:rPr>
          <w:b/>
        </w:rPr>
        <w:t xml:space="preserve"> (soit par défaut) </w:t>
      </w:r>
    </w:p>
    <w:p w14:paraId="6DE7F050" w14:textId="77777777" w:rsidR="00DB2B68" w:rsidRDefault="00000000">
      <w:pPr>
        <w:jc w:val="both"/>
      </w:pPr>
      <w:r>
        <w:rPr>
          <w:rStyle w:val="soitChar"/>
          <w:u w:val="single"/>
        </w:rPr>
        <w:t xml:space="preserve"> Stabilisation au ciment </w:t>
      </w:r>
      <w:r>
        <w:rPr>
          <w:rStyle w:val="soitChar"/>
        </w:rPr>
        <w:t>, dosage : min</w:t>
      </w:r>
      <w:r>
        <w:rPr>
          <w:rStyle w:val="optioncarChar"/>
        </w:rPr>
        <w:t xml:space="preserve"> ***</w:t>
      </w:r>
      <w:r>
        <w:rPr>
          <w:rStyle w:val="soitChar"/>
        </w:rPr>
        <w:t xml:space="preserve"> % de ciment</w:t>
      </w:r>
    </w:p>
    <w:p w14:paraId="75FB28D7" w14:textId="77777777" w:rsidR="00DB2B68" w:rsidRDefault="00000000">
      <w:pPr>
        <w:jc w:val="both"/>
      </w:pPr>
      <w:r>
        <w:rPr>
          <w:b/>
        </w:rPr>
        <w:t>(soit)</w:t>
      </w:r>
    </w:p>
    <w:p w14:paraId="3F5AC301" w14:textId="77777777" w:rsidR="00DB2B68" w:rsidRDefault="00000000">
      <w:pPr>
        <w:jc w:val="both"/>
      </w:pPr>
      <w:r>
        <w:rPr>
          <w:rStyle w:val="soitChar"/>
          <w:u w:val="single"/>
        </w:rPr>
        <w:t xml:space="preserve"> Stabilisation à la chaux </w:t>
      </w:r>
      <w:r>
        <w:rPr>
          <w:rStyle w:val="soitChar"/>
        </w:rPr>
        <w:t xml:space="preserve">, dosage : min </w:t>
      </w:r>
      <w:r>
        <w:rPr>
          <w:rStyle w:val="optioncarChar"/>
        </w:rPr>
        <w:t>***</w:t>
      </w:r>
      <w:r>
        <w:rPr>
          <w:rStyle w:val="soitChar"/>
        </w:rPr>
        <w:t xml:space="preserve"> % de chaux</w:t>
      </w:r>
    </w:p>
    <w:p w14:paraId="17F7E3CB" w14:textId="77777777" w:rsidR="00DB2B68" w:rsidRDefault="00000000">
      <w:pPr>
        <w:jc w:val="both"/>
      </w:pPr>
      <w:r>
        <w:rPr>
          <w:b/>
        </w:rPr>
        <w:t>(soit)</w:t>
      </w:r>
    </w:p>
    <w:p w14:paraId="1BEAA1D7" w14:textId="77777777" w:rsidR="00DB2B68" w:rsidRDefault="00000000">
      <w:pPr>
        <w:jc w:val="both"/>
      </w:pPr>
      <w:r>
        <w:rPr>
          <w:rStyle w:val="optioncarChar"/>
        </w:rPr>
        <w:t>***</w:t>
      </w:r>
    </w:p>
    <w:p w14:paraId="134F6656" w14:textId="77777777" w:rsidR="00DB2B68" w:rsidRDefault="00000000">
      <w:pPr>
        <w:jc w:val="both"/>
      </w:pPr>
      <w:r>
        <w:t>Résistance à la compression [NBN EN 772-1+A1] </w:t>
      </w:r>
      <w:r>
        <w:rPr>
          <w:rStyle w:val="optioncarChar"/>
        </w:rPr>
        <w:t>moyenne </w:t>
      </w:r>
      <w:r>
        <w:t>(par défaut)</w:t>
      </w:r>
      <w:r>
        <w:rPr>
          <w:rStyle w:val="optioncarChar"/>
        </w:rPr>
        <w:t xml:space="preserve"> / normalisée (f</w:t>
      </w:r>
      <w:r>
        <w:rPr>
          <w:rStyle w:val="optioncarChar"/>
          <w:vertAlign w:val="subscript"/>
        </w:rPr>
        <w:t>b</w:t>
      </w:r>
      <w:r>
        <w:rPr>
          <w:rStyle w:val="optioncarChar"/>
        </w:rPr>
        <w:t>)</w:t>
      </w:r>
      <w:r>
        <w:t xml:space="preserve"> : ≥ </w:t>
      </w:r>
      <w:r>
        <w:rPr>
          <w:rStyle w:val="optioncarChar"/>
        </w:rPr>
        <w:t>***</w:t>
      </w:r>
      <w:r>
        <w:t xml:space="preserve"> N/mm²</w:t>
      </w:r>
    </w:p>
    <w:p w14:paraId="6815B1AE" w14:textId="77777777" w:rsidR="00DB2B68" w:rsidRDefault="00000000">
      <w:pPr>
        <w:jc w:val="both"/>
      </w:pPr>
      <w:r>
        <w:t xml:space="preserve">Résistance à la compression à l’état humide (conservation 48h par immersion dans l’eau puis essai selon [NBN EN 772-1+A1]) : ≥ </w:t>
      </w:r>
      <w:r>
        <w:rPr>
          <w:rStyle w:val="optioncarChar"/>
        </w:rPr>
        <w:t>***</w:t>
      </w:r>
      <w:r>
        <w:t xml:space="preserve"> N/mm²</w:t>
      </w:r>
    </w:p>
    <w:p w14:paraId="234E4225" w14:textId="77777777" w:rsidR="00DB2B68" w:rsidRDefault="00000000">
      <w:pPr>
        <w:jc w:val="both"/>
      </w:pPr>
      <w:r>
        <w:t xml:space="preserve">Masse volumique apparente selon la [NBN EN 772-13] : </w:t>
      </w:r>
      <w:r>
        <w:rPr>
          <w:rStyle w:val="optioncarChar"/>
        </w:rPr>
        <w:t>***</w:t>
      </w:r>
      <w:r>
        <w:t xml:space="preserve"> kg / m³</w:t>
      </w:r>
    </w:p>
    <w:p w14:paraId="0C4C486E" w14:textId="77777777" w:rsidR="00DB2B68" w:rsidRDefault="00000000">
      <w:pPr>
        <w:jc w:val="both"/>
      </w:pPr>
      <w:r>
        <w:t xml:space="preserve">Teneur en humidité à la sortie d’usine : </w:t>
      </w:r>
      <w:r>
        <w:rPr>
          <w:rStyle w:val="optioncarChar"/>
        </w:rPr>
        <w:t xml:space="preserve">≤ *** %  </w:t>
      </w:r>
      <w:r>
        <w:t xml:space="preserve">(par défaut) </w:t>
      </w:r>
      <w:r>
        <w:rPr>
          <w:rStyle w:val="optioncarChar"/>
        </w:rPr>
        <w:t>/ non-spécifié</w:t>
      </w:r>
    </w:p>
    <w:p w14:paraId="65836645" w14:textId="77777777" w:rsidR="00DB2B68" w:rsidRDefault="00000000">
      <w:pPr>
        <w:jc w:val="both"/>
      </w:pPr>
      <w:r>
        <w:t xml:space="preserve">Absorption capillaire de la face de parement (à 10 min) selon [NBN EN 772-11] : </w:t>
      </w:r>
      <w:r>
        <w:rPr>
          <w:rStyle w:val="optioncarChar"/>
        </w:rPr>
        <w:t xml:space="preserve">≤ *** g/m²s </w:t>
      </w:r>
      <w:r>
        <w:t>(par défaut)</w:t>
      </w:r>
      <w:r>
        <w:rPr>
          <w:rStyle w:val="optioncarChar"/>
        </w:rPr>
        <w:t xml:space="preserve"> / non spécifié</w:t>
      </w:r>
    </w:p>
    <w:p w14:paraId="7CF75BC0" w14:textId="77777777" w:rsidR="00DB2B68" w:rsidRDefault="00000000">
      <w:pPr>
        <w:jc w:val="both"/>
      </w:pPr>
      <w:r>
        <w:t xml:space="preserve">Taux initial d’absorption d’eau de la face de pose (à 1 min) selon [NBN EN 772-11] : </w:t>
      </w:r>
      <w:r>
        <w:rPr>
          <w:rStyle w:val="optioncarChar"/>
        </w:rPr>
        <w:t xml:space="preserve">≤ *** kg/m²min </w:t>
      </w:r>
      <w:r>
        <w:t>(par défaut)</w:t>
      </w:r>
      <w:r>
        <w:rPr>
          <w:rStyle w:val="optioncarChar"/>
        </w:rPr>
        <w:t xml:space="preserve"> / non spécifié</w:t>
      </w:r>
    </w:p>
    <w:p w14:paraId="3887CA2A" w14:textId="77777777" w:rsidR="00DB2B68" w:rsidRDefault="00000000">
      <w:pPr>
        <w:jc w:val="both"/>
      </w:pPr>
      <w:r>
        <w:t xml:space="preserve">Amplitude des déformations hygrométriques (retrait – gonflement) selon [NBN EN 772-14] : </w:t>
      </w:r>
      <w:r>
        <w:rPr>
          <w:rStyle w:val="optioncarChar"/>
        </w:rPr>
        <w:t xml:space="preserve">≤ *** mm/m </w:t>
      </w:r>
      <w:r>
        <w:t>(par défaut)</w:t>
      </w:r>
      <w:r>
        <w:rPr>
          <w:rStyle w:val="optioncarChar"/>
        </w:rPr>
        <w:t xml:space="preserve"> / non spécifié</w:t>
      </w:r>
    </w:p>
    <w:p w14:paraId="4C637903" w14:textId="77777777" w:rsidR="00DB2B68" w:rsidRDefault="00000000">
      <w:pPr>
        <w:jc w:val="both"/>
      </w:pPr>
      <w:r>
        <w:t xml:space="preserve"> Les éléments destinés à un usage extérieur ou en maçonnerie souterraine respectent le critère suivant en matière de comportement à l'humidité : retrait et gonflement hygrométriques ≤ 0,45 mm / m.</w:t>
      </w:r>
    </w:p>
    <w:p w14:paraId="1F263412" w14:textId="77777777" w:rsidR="00DB2B68" w:rsidRDefault="00000000">
      <w:pPr>
        <w:jc w:val="both"/>
      </w:pPr>
      <w:r>
        <w:t xml:space="preserve">Valeur µ selon [NBN EN ISO 12572] : </w:t>
      </w:r>
      <w:r>
        <w:rPr>
          <w:rStyle w:val="optioncarChar"/>
        </w:rPr>
        <w:t>*** / non spécifié</w:t>
      </w:r>
    </w:p>
    <w:p w14:paraId="17A85110" w14:textId="77777777" w:rsidR="00DB2B68" w:rsidRDefault="00000000">
      <w:pPr>
        <w:jc w:val="both"/>
      </w:pPr>
      <w:r>
        <w:t xml:space="preserve">Résistance au gel selon [NBN B 15-231] : </w:t>
      </w:r>
      <w:r>
        <w:rPr>
          <w:rStyle w:val="optioncarChar"/>
        </w:rPr>
        <w:t xml:space="preserve">résistant </w:t>
      </w:r>
      <w:r>
        <w:t>(par défaut)</w:t>
      </w:r>
      <w:r>
        <w:rPr>
          <w:rStyle w:val="optioncarChar"/>
        </w:rPr>
        <w:t xml:space="preserve"> / non spécifié</w:t>
      </w:r>
    </w:p>
    <w:p w14:paraId="2F3A80F8" w14:textId="77777777" w:rsidR="00DB2B68" w:rsidRDefault="00000000">
      <w:pPr>
        <w:jc w:val="both"/>
      </w:pPr>
      <w:r>
        <w:lastRenderedPageBreak/>
        <w:t>La conductibilité thermique λ</w:t>
      </w:r>
      <w:r>
        <w:rPr>
          <w:vertAlign w:val="subscript"/>
        </w:rPr>
        <w:t>D</w:t>
      </w:r>
      <w:r>
        <w:t xml:space="preserve"> est compatible avec la valeur U prescrite pour la paroi ; λ</w:t>
      </w:r>
      <w:r>
        <w:rPr>
          <w:vertAlign w:val="subscript"/>
        </w:rPr>
        <w:t>D</w:t>
      </w:r>
      <w:r>
        <w:t xml:space="preserve"> : ≤ </w:t>
      </w:r>
      <w:r>
        <w:rPr>
          <w:rStyle w:val="optioncarChar"/>
        </w:rPr>
        <w:t>***</w:t>
      </w:r>
      <w:r>
        <w:t xml:space="preserve"> W/mK.</w:t>
      </w:r>
    </w:p>
    <w:p w14:paraId="72727FBC" w14:textId="77777777" w:rsidR="00DB2B68" w:rsidRDefault="00000000">
      <w:pPr>
        <w:jc w:val="both"/>
      </w:pPr>
      <w:r>
        <w:t>Chaleur spécifique :</w:t>
      </w:r>
      <w:r>
        <w:rPr>
          <w:rStyle w:val="optioncarChar"/>
        </w:rPr>
        <w:t xml:space="preserve"> *** J/kg K </w:t>
      </w:r>
      <w:r>
        <w:t>(par défaut)</w:t>
      </w:r>
      <w:r>
        <w:rPr>
          <w:rStyle w:val="optioncarChar"/>
        </w:rPr>
        <w:t xml:space="preserve"> / non spécifié</w:t>
      </w:r>
    </w:p>
    <w:p w14:paraId="2D9B40BD" w14:textId="77777777" w:rsidR="00DB2B68" w:rsidRDefault="00000000">
      <w:pPr>
        <w:jc w:val="both"/>
      </w:pPr>
      <w:r>
        <w:t xml:space="preserve">Réaction au feu : </w:t>
      </w:r>
      <w:r>
        <w:rPr>
          <w:rStyle w:val="optioncarChar"/>
        </w:rPr>
        <w:t>***</w:t>
      </w:r>
    </w:p>
    <w:p w14:paraId="380F6CCD" w14:textId="77777777" w:rsidR="00DB2B68" w:rsidRDefault="00000000">
      <w:pPr>
        <w:jc w:val="both"/>
      </w:pPr>
      <w:r>
        <w:t xml:space="preserve">Emission de COV : </w:t>
      </w:r>
      <w:r>
        <w:rPr>
          <w:rStyle w:val="optioncarChar"/>
        </w:rPr>
        <w:t xml:space="preserve">≤ *** </w:t>
      </w:r>
      <w:r>
        <w:t>(par défaut)</w:t>
      </w:r>
      <w:r>
        <w:rPr>
          <w:rStyle w:val="optioncarChar"/>
        </w:rPr>
        <w:t xml:space="preserve"> / non spécifié</w:t>
      </w:r>
    </w:p>
    <w:p w14:paraId="42CDBBA8" w14:textId="77777777" w:rsidR="00DB2B68" w:rsidRDefault="00DB2B68"/>
    <w:p w14:paraId="69A4E4EF" w14:textId="77777777" w:rsidR="00DB2B68" w:rsidRDefault="00000000">
      <w:pPr>
        <w:jc w:val="both"/>
      </w:pPr>
      <w:r>
        <w:rPr>
          <w:b/>
        </w:rPr>
        <w:t>Mortier</w:t>
      </w:r>
    </w:p>
    <w:p w14:paraId="75EF9AE9" w14:textId="77777777" w:rsidR="00DB2B68" w:rsidRDefault="00000000">
      <w:pPr>
        <w:jc w:val="both"/>
      </w:pPr>
      <w:r>
        <w:t xml:space="preserve">Type : </w:t>
      </w:r>
      <w:r>
        <w:rPr>
          <w:rStyle w:val="optioncarChar"/>
        </w:rPr>
        <w:t>mortier en terre crue </w:t>
      </w:r>
      <w:r>
        <w:t xml:space="preserve">(par défaut) </w:t>
      </w:r>
      <w:r>
        <w:rPr>
          <w:rStyle w:val="optioncarChar"/>
        </w:rPr>
        <w:t>/ mortier en terre crue stabilisée au ciment / mortier en terre crue stabilisée à la chaux / mortier à la chaux hydraulique.</w:t>
      </w:r>
    </w:p>
    <w:p w14:paraId="0416C0AE" w14:textId="77777777" w:rsidR="00DB2B68" w:rsidRDefault="00000000">
      <w:pPr>
        <w:jc w:val="both"/>
      </w:pPr>
      <w:r>
        <w:t xml:space="preserve">Masse volumique apparente selon [NBN EN 1015-10] : </w:t>
      </w:r>
      <w:r>
        <w:rPr>
          <w:rStyle w:val="optioncarChar"/>
        </w:rPr>
        <w:t>***</w:t>
      </w:r>
      <w:r>
        <w:t xml:space="preserve"> kg/m³</w:t>
      </w:r>
    </w:p>
    <w:p w14:paraId="77EA7334" w14:textId="77777777" w:rsidR="00DB2B68" w:rsidRDefault="00000000">
      <w:pPr>
        <w:jc w:val="both"/>
      </w:pPr>
      <w:r>
        <w:t xml:space="preserve">Résistance en compression selon [NBN EN 1015-11] : ≥ </w:t>
      </w:r>
      <w:r>
        <w:rPr>
          <w:rStyle w:val="optioncarChar"/>
        </w:rPr>
        <w:t>***</w:t>
      </w:r>
      <w:r>
        <w:t xml:space="preserve"> N/mm²</w:t>
      </w:r>
    </w:p>
    <w:p w14:paraId="7852813B" w14:textId="77777777" w:rsidR="00DB2B68" w:rsidRDefault="00000000">
      <w:pPr>
        <w:jc w:val="both"/>
      </w:pPr>
      <w:r>
        <w:t>Absorption d’eau selon [NBN EN 1015-18]:</w:t>
      </w:r>
      <w:r>
        <w:rPr>
          <w:rStyle w:val="optioncarChar"/>
        </w:rPr>
        <w:t xml:space="preserve"> ***</w:t>
      </w:r>
      <w:r>
        <w:t xml:space="preserve"> kg/m²</w:t>
      </w:r>
    </w:p>
    <w:p w14:paraId="1034B1A4" w14:textId="77777777" w:rsidR="00DB2B68" w:rsidRDefault="00000000">
      <w:pPr>
        <w:jc w:val="both"/>
      </w:pPr>
      <w:r>
        <w:t xml:space="preserve">Adhérence : voir </w:t>
      </w:r>
      <w:r>
        <w:rPr>
          <w:i/>
        </w:rPr>
        <w:t>‘Maçonnerie – résistance initiale au cisaillement’</w:t>
      </w:r>
      <w:r>
        <w:t xml:space="preserve"> ci-dessous.</w:t>
      </w:r>
    </w:p>
    <w:p w14:paraId="508FA822" w14:textId="77777777" w:rsidR="00DB2B68" w:rsidRDefault="00000000">
      <w:pPr>
        <w:jc w:val="both"/>
      </w:pPr>
      <w:r>
        <w:t xml:space="preserve">Epaisseur des joints : </w:t>
      </w:r>
      <w:r>
        <w:rPr>
          <w:rStyle w:val="optioncarChar"/>
        </w:rPr>
        <w:t xml:space="preserve">12 </w:t>
      </w:r>
      <w:r>
        <w:t>(par défaut)</w:t>
      </w:r>
      <w:r>
        <w:rPr>
          <w:rStyle w:val="optioncarChar"/>
        </w:rPr>
        <w:t xml:space="preserve"> / ***</w:t>
      </w:r>
      <w:r>
        <w:t xml:space="preserve"> mm.</w:t>
      </w:r>
    </w:p>
    <w:p w14:paraId="32320C1A" w14:textId="77777777" w:rsidR="00DB2B68" w:rsidRDefault="00000000">
      <w:pPr>
        <w:jc w:val="both"/>
      </w:pPr>
      <w:r>
        <w:t xml:space="preserve">Réaction au feu : </w:t>
      </w:r>
      <w:r>
        <w:rPr>
          <w:rStyle w:val="optioncarChar"/>
        </w:rPr>
        <w:t>***</w:t>
      </w:r>
    </w:p>
    <w:p w14:paraId="4506FC90" w14:textId="77777777" w:rsidR="00DB2B68" w:rsidRDefault="00000000">
      <w:pPr>
        <w:jc w:val="both"/>
      </w:pPr>
      <w:r>
        <w:t xml:space="preserve">Emission de COV : </w:t>
      </w:r>
      <w:r>
        <w:rPr>
          <w:rStyle w:val="optioncarChar"/>
        </w:rPr>
        <w:t>≤ *** / non spécifié</w:t>
      </w:r>
    </w:p>
    <w:p w14:paraId="38140637" w14:textId="77777777" w:rsidR="00DB2B68" w:rsidRDefault="00DB2B68"/>
    <w:p w14:paraId="733F4704" w14:textId="77777777" w:rsidR="00DB2B68" w:rsidRDefault="00000000">
      <w:pPr>
        <w:jc w:val="both"/>
      </w:pPr>
      <w:r>
        <w:rPr>
          <w:rStyle w:val="headingChar"/>
        </w:rPr>
        <w:t>Critères De Performances De La Paroi</w:t>
      </w:r>
    </w:p>
    <w:p w14:paraId="5D9458E4" w14:textId="77777777" w:rsidR="00DB2B68" w:rsidRDefault="00DB2B68">
      <w:pPr>
        <w:jc w:val="both"/>
      </w:pPr>
    </w:p>
    <w:p w14:paraId="1F230729" w14:textId="77777777" w:rsidR="00DB2B68" w:rsidRDefault="00000000">
      <w:pPr>
        <w:jc w:val="both"/>
      </w:pPr>
      <w:r>
        <w:t>Résistance à la compression f</w:t>
      </w:r>
      <w:r>
        <w:rPr>
          <w:vertAlign w:val="subscript"/>
        </w:rPr>
        <w:t>k</w:t>
      </w:r>
      <w:r>
        <w:t xml:space="preserve"> selon la [NBN EN 1052-1] : ≥ </w:t>
      </w:r>
      <w:r>
        <w:rPr>
          <w:rStyle w:val="optioncarChar"/>
        </w:rPr>
        <w:t>***</w:t>
      </w:r>
      <w:r>
        <w:t xml:space="preserve"> N/mm²</w:t>
      </w:r>
    </w:p>
    <w:p w14:paraId="1DD66BB1" w14:textId="77777777" w:rsidR="00DB2B68" w:rsidRDefault="00000000">
      <w:pPr>
        <w:jc w:val="both"/>
      </w:pPr>
      <w:r>
        <w:t xml:space="preserve">Module de Young E selon [NBN EN 1052-1] : </w:t>
      </w:r>
      <w:r>
        <w:rPr>
          <w:rStyle w:val="optioncarChar"/>
        </w:rPr>
        <w:t>***</w:t>
      </w:r>
      <w:r>
        <w:t xml:space="preserve"> N/mm²</w:t>
      </w:r>
    </w:p>
    <w:p w14:paraId="45EE16D4" w14:textId="77777777" w:rsidR="00DB2B68" w:rsidRDefault="00000000">
      <w:pPr>
        <w:jc w:val="both"/>
      </w:pPr>
      <w:r>
        <w:t>Résistance à la flexion selon la [NBN EN 1052-2] : f</w:t>
      </w:r>
      <w:r>
        <w:rPr>
          <w:vertAlign w:val="subscript"/>
        </w:rPr>
        <w:t>xk1</w:t>
      </w:r>
      <w:r>
        <w:t xml:space="preserve"> ≥ </w:t>
      </w:r>
      <w:r>
        <w:rPr>
          <w:rStyle w:val="optioncarChar"/>
        </w:rPr>
        <w:t>***</w:t>
      </w:r>
      <w:r>
        <w:t xml:space="preserve"> N/mm² ; f</w:t>
      </w:r>
      <w:r>
        <w:rPr>
          <w:vertAlign w:val="subscript"/>
        </w:rPr>
        <w:t>xk2</w:t>
      </w:r>
      <w:r>
        <w:t xml:space="preserve"> : ≥ </w:t>
      </w:r>
      <w:r>
        <w:rPr>
          <w:rStyle w:val="optioncarChar"/>
        </w:rPr>
        <w:t>***</w:t>
      </w:r>
      <w:r>
        <w:t xml:space="preserve"> N/mm²</w:t>
      </w:r>
    </w:p>
    <w:p w14:paraId="59EE9F53" w14:textId="77777777" w:rsidR="00DB2B68" w:rsidRDefault="00000000">
      <w:pPr>
        <w:jc w:val="both"/>
      </w:pPr>
      <w:r>
        <w:t>Résistance initiale au cisaillement f</w:t>
      </w:r>
      <w:r>
        <w:rPr>
          <w:vertAlign w:val="subscript"/>
        </w:rPr>
        <w:t>vk0</w:t>
      </w:r>
      <w:r>
        <w:t xml:space="preserve"> selon la [NBN EN 1052-3] : ≥ </w:t>
      </w:r>
      <w:r>
        <w:rPr>
          <w:rStyle w:val="optioncarChar"/>
        </w:rPr>
        <w:t>***</w:t>
      </w:r>
      <w:r>
        <w:t xml:space="preserve"> N/mm²</w:t>
      </w:r>
    </w:p>
    <w:p w14:paraId="32632AF7" w14:textId="77777777" w:rsidR="00DB2B68" w:rsidRDefault="00000000">
      <w:pPr>
        <w:jc w:val="both"/>
      </w:pPr>
      <w:r>
        <w:t xml:space="preserve">Autres éventuelles exigences de résistances mécaniques (compression excentrée, fluage) : </w:t>
      </w:r>
      <w:r>
        <w:rPr>
          <w:rStyle w:val="optioncarChar"/>
        </w:rPr>
        <w:t>***.</w:t>
      </w:r>
    </w:p>
    <w:p w14:paraId="21740A38" w14:textId="77777777" w:rsidR="00DB2B68" w:rsidRDefault="00000000">
      <w:pPr>
        <w:jc w:val="both"/>
      </w:pPr>
      <w:r>
        <w:t>Valeur λ</w:t>
      </w:r>
      <w:r>
        <w:rPr>
          <w:vertAlign w:val="subscript"/>
        </w:rPr>
        <w:t>Ui</w:t>
      </w:r>
      <w:r>
        <w:t xml:space="preserve"> ou λ</w:t>
      </w:r>
      <w:r>
        <w:rPr>
          <w:vertAlign w:val="subscript"/>
        </w:rPr>
        <w:t>Ue</w:t>
      </w:r>
      <w:r>
        <w:t> : ≤</w:t>
      </w:r>
      <w:r>
        <w:rPr>
          <w:rStyle w:val="optioncarChar"/>
        </w:rPr>
        <w:t xml:space="preserve"> ***</w:t>
      </w:r>
      <w:r>
        <w:t xml:space="preserve"> W/mK (suivant l’application).</w:t>
      </w:r>
    </w:p>
    <w:p w14:paraId="7BB8BA91" w14:textId="77777777" w:rsidR="00DB2B68" w:rsidRDefault="00000000">
      <w:pPr>
        <w:jc w:val="both"/>
      </w:pPr>
      <w:r>
        <w:t>Résistance au feu ([NBN EN 13501-2], [NBN EN 1365-1]):</w:t>
      </w:r>
    </w:p>
    <w:p w14:paraId="78DA3DAA" w14:textId="77777777" w:rsidR="00DB2B68" w:rsidRDefault="00000000">
      <w:pPr>
        <w:pStyle w:val="Author-eListParagraph"/>
        <w:numPr>
          <w:ilvl w:val="0"/>
          <w:numId w:val="56"/>
        </w:numPr>
      </w:pPr>
      <w:r>
        <w:t>pour les éléments porteurs structurels sans fonction séparante :</w:t>
      </w:r>
      <w:r>
        <w:rPr>
          <w:rStyle w:val="optioncarChar"/>
        </w:rPr>
        <w:t xml:space="preserve"> R15 / R30 </w:t>
      </w:r>
      <w:r>
        <w:t>(par défaut)</w:t>
      </w:r>
      <w:r>
        <w:rPr>
          <w:rStyle w:val="optioncarChar"/>
        </w:rPr>
        <w:t xml:space="preserve"> / R60 / R90 / R120 / ***</w:t>
      </w:r>
    </w:p>
    <w:p w14:paraId="677C9FA9" w14:textId="77777777" w:rsidR="00DB2B68" w:rsidRDefault="00000000">
      <w:pPr>
        <w:pStyle w:val="Author-eListParagraph"/>
        <w:numPr>
          <w:ilvl w:val="0"/>
          <w:numId w:val="56"/>
        </w:numPr>
      </w:pPr>
      <w:r>
        <w:t xml:space="preserve">pour les éléments porteurs structurels avec fonction séparante : </w:t>
      </w:r>
      <w:r>
        <w:rPr>
          <w:rStyle w:val="optioncarChar"/>
        </w:rPr>
        <w:t>REI30</w:t>
      </w:r>
      <w:r>
        <w:t> (par défaut)</w:t>
      </w:r>
      <w:r>
        <w:rPr>
          <w:rStyle w:val="optioncarChar"/>
        </w:rPr>
        <w:t xml:space="preserve"> / REI60 / REI90 / REI120 / ***</w:t>
      </w:r>
    </w:p>
    <w:p w14:paraId="33060ECE" w14:textId="77777777" w:rsidR="00DB2B68" w:rsidRDefault="00000000">
      <w:pPr>
        <w:pStyle w:val="pheading"/>
      </w:pPr>
      <w:r>
        <w:t>- Finitions</w:t>
      </w:r>
    </w:p>
    <w:p w14:paraId="0A72CAB5" w14:textId="77777777" w:rsidR="00DB2B68" w:rsidRDefault="00000000">
      <w:pPr>
        <w:jc w:val="both"/>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w:t>
      </w:r>
      <w:r>
        <w:rPr>
          <w:rStyle w:val="optioncarChar"/>
        </w:rPr>
        <w:t>***</w:t>
      </w:r>
    </w:p>
    <w:p w14:paraId="70D73B5F" w14:textId="77777777" w:rsidR="00DB2B68" w:rsidRDefault="00000000">
      <w:pPr>
        <w:jc w:val="both"/>
      </w:pPr>
      <w:r>
        <w:t xml:space="preserve">Les murs suivants sont exécutés avec deux faces restant apparentes : </w:t>
      </w:r>
      <w:r>
        <w:rPr>
          <w:rStyle w:val="optioncarChar"/>
        </w:rPr>
        <w:t>***</w:t>
      </w:r>
    </w:p>
    <w:p w14:paraId="0C0D9F81" w14:textId="77777777" w:rsidR="00DB2B68" w:rsidRDefault="00000000">
      <w:pPr>
        <w:jc w:val="both"/>
      </w:pPr>
      <w:r>
        <w:t xml:space="preserve">Couleur des joints : </w:t>
      </w:r>
      <w:r>
        <w:rPr>
          <w:rStyle w:val="optioncarChar"/>
        </w:rPr>
        <w:t xml:space="preserve">couleur approchant celle des briques </w:t>
      </w:r>
      <w:r>
        <w:t xml:space="preserve">(par défaut) </w:t>
      </w:r>
      <w:r>
        <w:rPr>
          <w:rStyle w:val="optioncarChar"/>
        </w:rPr>
        <w:t>/ ***</w:t>
      </w:r>
    </w:p>
    <w:p w14:paraId="01ACD23D" w14:textId="77777777" w:rsidR="00DB2B68" w:rsidRDefault="00000000">
      <w:pPr>
        <w:jc w:val="both"/>
      </w:pPr>
      <w:r>
        <w:t>Type de joints :</w:t>
      </w:r>
      <w:r>
        <w:rPr>
          <w:rStyle w:val="optioncarChar"/>
        </w:rPr>
        <w:t xml:space="preserve"> joint creux</w:t>
      </w:r>
      <w:r>
        <w:t xml:space="preserve"> (par défaut) </w:t>
      </w:r>
      <w:r>
        <w:rPr>
          <w:rStyle w:val="optioncarChar"/>
        </w:rPr>
        <w:t>/ joint creux en retrait / joint plat / joint plat en retrait / joint biais en retrait / ***</w:t>
      </w:r>
    </w:p>
    <w:p w14:paraId="5E0A0E61" w14:textId="77777777" w:rsidR="00DB2B68" w:rsidRDefault="00000000">
      <w:pPr>
        <w:jc w:val="both"/>
      </w:pPr>
      <w:r>
        <w:t>Finition des joints :</w:t>
      </w:r>
      <w:r>
        <w:rPr>
          <w:rStyle w:val="optioncarChar"/>
        </w:rPr>
        <w:t xml:space="preserve"> joint brossé </w:t>
      </w:r>
      <w:r>
        <w:t>(par défaut)</w:t>
      </w:r>
      <w:r>
        <w:rPr>
          <w:rStyle w:val="optioncarChar"/>
        </w:rPr>
        <w:t xml:space="preserve"> / finition lisse / joint frappé à la brosse dure / ***</w:t>
      </w:r>
    </w:p>
    <w:p w14:paraId="42D67D20" w14:textId="77777777" w:rsidR="00DB2B68" w:rsidRDefault="00000000">
      <w:pPr>
        <w:ind w:left="750"/>
      </w:pPr>
      <w:r>
        <w:t> </w:t>
      </w:r>
    </w:p>
    <w:p w14:paraId="398B15F5" w14:textId="77777777" w:rsidR="00DB2B68" w:rsidRDefault="00000000">
      <w:pPr>
        <w:pStyle w:val="pheading"/>
      </w:pPr>
      <w:r>
        <w:t>EXÉCUTION / MISE EN ŒUVRE</w:t>
      </w:r>
    </w:p>
    <w:p w14:paraId="27D62FF9" w14:textId="77777777" w:rsidR="00DB2B68" w:rsidRDefault="00000000">
      <w:pPr>
        <w:pStyle w:val="pheading"/>
      </w:pPr>
      <w:r>
        <w:t>- Prescriptions générales</w:t>
      </w:r>
    </w:p>
    <w:p w14:paraId="5EFB205F" w14:textId="77777777" w:rsidR="00DB2B68" w:rsidRDefault="00000000">
      <w:pPr>
        <w:jc w:val="both"/>
      </w:pPr>
      <w:r>
        <w:lastRenderedPageBreak/>
        <w:t xml:space="preserve">La maçonnerie est exécutée en appareillage </w:t>
      </w:r>
      <w:r>
        <w:rPr>
          <w:rStyle w:val="optioncarChar"/>
        </w:rPr>
        <w:t xml:space="preserve">voir plans </w:t>
      </w:r>
      <w:r>
        <w:t>(par défaut)</w:t>
      </w:r>
      <w:r>
        <w:rPr>
          <w:rStyle w:val="optioncarChar"/>
        </w:rPr>
        <w:t xml:space="preserve"> / d’une demi-brique / ***.</w:t>
      </w:r>
    </w:p>
    <w:p w14:paraId="6315D033" w14:textId="77777777" w:rsidR="00DB2B68" w:rsidRDefault="00000000">
      <w:pPr>
        <w:jc w:val="both"/>
      </w:pPr>
      <w:r>
        <w:t xml:space="preserve">Linteaux : </w:t>
      </w:r>
      <w:r>
        <w:rPr>
          <w:rStyle w:val="optioncarChar"/>
        </w:rPr>
        <w:t>***</w:t>
      </w:r>
      <w:r>
        <w:t>.</w:t>
      </w:r>
    </w:p>
    <w:p w14:paraId="56E11FC0" w14:textId="77777777" w:rsidR="00DB2B68" w:rsidRDefault="00000000">
      <w:pPr>
        <w:pStyle w:val="pheading"/>
      </w:pPr>
      <w:r>
        <w:t>- Notes d’exécution complémentaires</w:t>
      </w:r>
    </w:p>
    <w:p w14:paraId="158BDFD2" w14:textId="77777777" w:rsidR="00DB2B68" w:rsidRDefault="00000000">
      <w:pPr>
        <w:jc w:val="both"/>
      </w:pPr>
      <w:r>
        <w:rPr>
          <w:rStyle w:val="facultChar"/>
        </w:rPr>
        <w:t xml:space="preserve">Armatures horizontales : selon l'élément </w:t>
      </w:r>
      <w:hyperlink w:anchor="357" w:history="1">
        <w:r>
          <w:rPr>
            <w:rStyle w:val="facultChar"/>
            <w:color w:val="0000EE"/>
          </w:rPr>
          <w:t>21.41.1 Armatures horizontales pour maçonneries</w:t>
        </w:r>
      </w:hyperlink>
      <w:r>
        <w:rPr>
          <w:rStyle w:val="facultChar"/>
        </w:rPr>
        <w:t>.</w:t>
      </w:r>
    </w:p>
    <w:p w14:paraId="32163150" w14:textId="77777777" w:rsidR="00DB2B68" w:rsidRDefault="00000000">
      <w:pPr>
        <w:jc w:val="both"/>
      </w:pPr>
      <w:r>
        <w:rPr>
          <w:rStyle w:val="facultChar"/>
        </w:rPr>
        <w:t xml:space="preserve">Ancrages : selon l'élément </w:t>
      </w:r>
      <w:hyperlink w:anchor="364" w:history="1">
        <w:r>
          <w:rPr>
            <w:rStyle w:val="facultChar"/>
            <w:color w:val="0000EE"/>
          </w:rPr>
          <w:t>21.42 Ancrages et fixations de maçonneries</w:t>
        </w:r>
      </w:hyperlink>
    </w:p>
    <w:p w14:paraId="186EA27B" w14:textId="77777777" w:rsidR="00DB2B68" w:rsidRDefault="00000000">
      <w:pPr>
        <w:jc w:val="both"/>
      </w:pPr>
      <w:r>
        <w:rPr>
          <w:rStyle w:val="facultChar"/>
        </w:rPr>
        <w:t xml:space="preserve">Briques spéciales : </w:t>
      </w:r>
      <w:r>
        <w:rPr>
          <w:rStyle w:val="optioncarChar"/>
        </w:rPr>
        <w:t>*** </w:t>
      </w:r>
    </w:p>
    <w:p w14:paraId="675C090C" w14:textId="77777777" w:rsidR="00DB2B68" w:rsidRDefault="00000000">
      <w:pPr>
        <w:jc w:val="both"/>
      </w:pPr>
      <w:r>
        <w:rPr>
          <w:rStyle w:val="facultChar"/>
        </w:rPr>
        <w:t xml:space="preserve">Étanchéité : </w:t>
      </w:r>
      <w:r>
        <w:rPr>
          <w:rStyle w:val="optioncarChar"/>
        </w:rPr>
        <w:t>***</w:t>
      </w:r>
    </w:p>
    <w:p w14:paraId="50D3EC52" w14:textId="77777777" w:rsidR="00DB2B68" w:rsidRDefault="00000000">
      <w:pPr>
        <w:jc w:val="both"/>
      </w:pPr>
      <w:r>
        <w:rPr>
          <w:rStyle w:val="facultChar"/>
        </w:rPr>
        <w:t xml:space="preserve">Joints de dilatation : </w:t>
      </w:r>
      <w:r>
        <w:rPr>
          <w:rStyle w:val="optioncarChar"/>
        </w:rPr>
        <w:t>***</w:t>
      </w:r>
    </w:p>
    <w:p w14:paraId="6D1DF342" w14:textId="77777777" w:rsidR="00DB2B68" w:rsidRDefault="00000000">
      <w:pPr>
        <w:pStyle w:val="pheading"/>
      </w:pPr>
      <w:r>
        <w:t>- Échantillons</w:t>
      </w:r>
    </w:p>
    <w:p w14:paraId="310A1347" w14:textId="77777777" w:rsidR="00DB2B68" w:rsidRDefault="00000000">
      <w:pPr>
        <w:jc w:val="both"/>
      </w:pPr>
      <w:r>
        <w:t>L’entrepreneur soumet un échantillon de briques.</w:t>
      </w:r>
    </w:p>
    <w:p w14:paraId="6A925EA3" w14:textId="77777777" w:rsidR="00DB2B68" w:rsidRDefault="00000000">
      <w:pPr>
        <w:jc w:val="both"/>
      </w:pPr>
      <w:r>
        <w:t>En vue du choix définitif des briques, un ou plusieurs échantillons d'environ 1 m² sont maçonnés à la demande de l'auteur de projet; les frais inhérents à la construction et à la démolition de ces murs sont à charge de l'entrepreneur.</w:t>
      </w:r>
    </w:p>
    <w:p w14:paraId="0C4576DF" w14:textId="77777777" w:rsidR="00DB2B68" w:rsidRDefault="00000000">
      <w:pPr>
        <w:pStyle w:val="pheading"/>
      </w:pPr>
      <w:r>
        <w:t>DOCUMENTS DE RÉFÉRENCE COMPLÉMENTAIRES</w:t>
      </w:r>
    </w:p>
    <w:p w14:paraId="5FEE12D1" w14:textId="77777777" w:rsidR="00DB2B68" w:rsidRDefault="00000000">
      <w:pPr>
        <w:pStyle w:val="pheading"/>
      </w:pPr>
      <w:r>
        <w:t>- Matériau</w:t>
      </w:r>
    </w:p>
    <w:p w14:paraId="4B54B28B" w14:textId="77777777" w:rsidR="00DB2B68" w:rsidRDefault="00000000">
      <w:r>
        <w:t>[PTV 21-001, Eléments de maçonnerie en béton (granulats courants et légers) - Classification et spécifications d'application]</w:t>
      </w:r>
    </w:p>
    <w:p w14:paraId="0B525771" w14:textId="77777777" w:rsidR="00DB2B68" w:rsidRDefault="00000000">
      <w:r>
        <w:t>[NBN EN 772-1+A1, Méthodes d'essai des éléments de maçonnerie - Partie 1: Détermination de la résistance à la compression]</w:t>
      </w:r>
    </w:p>
    <w:p w14:paraId="70F12E77" w14:textId="77777777" w:rsidR="00DB2B68" w:rsidRDefault="0000000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6F906FB5" w14:textId="77777777" w:rsidR="00DB2B68" w:rsidRDefault="00000000">
      <w:r>
        <w:t>[NBN EN 772-13, Méthodes d'essai des éléments de maçonnerie - Partie 13: Détermination de la masse volumique absolue sèche et de la masse volumique apparente sèche des éléments de maçonnerie (excepté les pierres naturelles)]</w:t>
      </w:r>
    </w:p>
    <w:p w14:paraId="131A62ED" w14:textId="77777777" w:rsidR="00DB2B68" w:rsidRDefault="00000000">
      <w:r>
        <w:t>[NBN EN 772-14, Méthode d'essai pour des éléments de maçonnerie - Partie 14 : Détermination de la variation due à l'humidité des éléments de maçonnerie en béton de granulats et en pierre reconstituée]</w:t>
      </w:r>
    </w:p>
    <w:p w14:paraId="7651CE6C" w14:textId="77777777" w:rsidR="00DB2B68" w:rsidRDefault="00000000">
      <w:r>
        <w:t>[NBN EN ISO 12572, Performance hygrothermique des matériaux et produits pour le bâtiment - Détermination des propriétés de transmission de la vapeur d'eau - Méthode de la coupelle (ISO 12572:2016)]</w:t>
      </w:r>
    </w:p>
    <w:p w14:paraId="3B690B82" w14:textId="77777777" w:rsidR="00DB2B68" w:rsidRDefault="00000000">
      <w:r>
        <w:t>[NBN B 15-231, Essais des bétons - Gélivité]</w:t>
      </w:r>
    </w:p>
    <w:p w14:paraId="47EB40E2" w14:textId="77777777" w:rsidR="00DB2B68" w:rsidRDefault="00000000">
      <w:r>
        <w:t>[NBN EN 1015-10, Méthodes d'essai des mortiers pour la maçonnerie - Partie 10: Détermination de la masse volumique apparente sèche du mortier durci]</w:t>
      </w:r>
    </w:p>
    <w:p w14:paraId="272502F5" w14:textId="77777777" w:rsidR="00DB2B68" w:rsidRDefault="00000000">
      <w:r>
        <w:t>[NBN EN 1015-11, Méthodes d'essai des mortiers pour maçonnerie - Détermination de la résistance à la flexion et à la compression du mortier durci]</w:t>
      </w:r>
    </w:p>
    <w:p w14:paraId="51EF3736" w14:textId="77777777" w:rsidR="00DB2B68" w:rsidRDefault="00000000">
      <w:r>
        <w:t>[NBN EN 1015-18, Méthodes d'essai des mortiers pour maçonnerie - Partie 18: Détermination du coefficient d'absorption d'eau par capillarité du mortier durci]</w:t>
      </w:r>
    </w:p>
    <w:p w14:paraId="6125F406" w14:textId="77777777" w:rsidR="00DB2B68" w:rsidRDefault="00000000">
      <w:r>
        <w:t>[NBN EN 1052-1, Méthodes d'essai de la maçonnerie - Partie 1: Détermination de la résistance à la compression]</w:t>
      </w:r>
    </w:p>
    <w:p w14:paraId="080F691E" w14:textId="77777777" w:rsidR="00DB2B68" w:rsidRDefault="00000000">
      <w:r>
        <w:t>[NBN EN 1052-2, Méthodes d'essai de la maçonnerie - Partie 2: Détermination de la résistance à la flexion (Corrected version - 2017-03-22)]</w:t>
      </w:r>
    </w:p>
    <w:p w14:paraId="52405CB1" w14:textId="77777777" w:rsidR="00DB2B68" w:rsidRDefault="00000000">
      <w:r>
        <w:t>[NBN EN 1052-3, Méthodes d'essai de la maçonnerie - Partie 3: Détermination de la résistance initiale au cisaillement]</w:t>
      </w:r>
    </w:p>
    <w:p w14:paraId="0A30E65E" w14:textId="77777777" w:rsidR="00DB2B68" w:rsidRDefault="00000000">
      <w:r>
        <w:lastRenderedPageBreak/>
        <w:t>[NBN EN 13501-2, Classement au feu des produits et éléments de construction - Partie 2 : Classement à partir des données d’essais de résistance au feu et/ou de contrôle des fumées à l’exclusion des produits utilisés dans les systèmes de ventilation ]</w:t>
      </w:r>
    </w:p>
    <w:p w14:paraId="1102657D" w14:textId="77777777" w:rsidR="00DB2B68" w:rsidRDefault="00000000">
      <w:r>
        <w:t>[NBN EN 1365-1, Essais de résistance au feu des éléments porteurs - Partie 1: Murs (+ AC:2013)]</w:t>
      </w:r>
    </w:p>
    <w:p w14:paraId="23FC2EE0" w14:textId="77777777" w:rsidR="00DB2B68" w:rsidRDefault="00000000">
      <w:r>
        <w:t>[DIN 18945, Earth blocks - Requirements, test and labelling]</w:t>
      </w:r>
    </w:p>
    <w:p w14:paraId="1C9EFF46" w14:textId="77777777" w:rsidR="00DB2B68" w:rsidRDefault="00000000">
      <w:r>
        <w:t>[DIN 18946, Earth masonry mortar - Requirements, test and labelling]</w:t>
      </w:r>
    </w:p>
    <w:p w14:paraId="1AB3E73D" w14:textId="77777777" w:rsidR="00DB2B68" w:rsidRDefault="00000000">
      <w:pPr>
        <w:pStyle w:val="pheading"/>
      </w:pPr>
      <w:r>
        <w:t>MESURAGE</w:t>
      </w:r>
    </w:p>
    <w:p w14:paraId="02BADB97" w14:textId="77777777" w:rsidR="00DB2B68" w:rsidRDefault="00000000">
      <w:pPr>
        <w:pStyle w:val="pheading"/>
      </w:pPr>
      <w:r>
        <w:t>- unité de mesure:</w:t>
      </w:r>
    </w:p>
    <w:p w14:paraId="5586EDD2" w14:textId="77777777" w:rsidR="00DB2B68" w:rsidRDefault="00000000">
      <w:r>
        <w:rPr>
          <w:rStyle w:val="optioncarChar"/>
        </w:rPr>
        <w:t>m³ </w:t>
      </w:r>
      <w:r>
        <w:t>(par défaut)</w:t>
      </w:r>
      <w:r>
        <w:rPr>
          <w:rStyle w:val="optioncarChar"/>
        </w:rPr>
        <w:t> / m²</w:t>
      </w:r>
    </w:p>
    <w:p w14:paraId="345E7373" w14:textId="77777777" w:rsidR="00DB2B68" w:rsidRDefault="00000000">
      <w:r>
        <w:rPr>
          <w:b/>
        </w:rPr>
        <w:t>(soit par défaut)</w:t>
      </w:r>
    </w:p>
    <w:p w14:paraId="267FCB4F" w14:textId="77777777" w:rsidR="00DB2B68" w:rsidRDefault="00000000">
      <w:r>
        <w:rPr>
          <w:rStyle w:val="soitChar"/>
        </w:rPr>
        <w:t>1. m³</w:t>
      </w:r>
    </w:p>
    <w:p w14:paraId="0FA768F3" w14:textId="77777777" w:rsidR="00DB2B68" w:rsidRDefault="00000000">
      <w:r>
        <w:rPr>
          <w:b/>
        </w:rPr>
        <w:t>(soit)</w:t>
      </w:r>
    </w:p>
    <w:p w14:paraId="2471DE30" w14:textId="77777777" w:rsidR="00DB2B68" w:rsidRDefault="00000000">
      <w:r>
        <w:rPr>
          <w:rStyle w:val="soitChar"/>
        </w:rPr>
        <w:t>2. m²</w:t>
      </w:r>
    </w:p>
    <w:p w14:paraId="3F659BD9" w14:textId="77777777" w:rsidR="00DB2B68" w:rsidRDefault="00000000">
      <w:pPr>
        <w:pStyle w:val="pheading"/>
      </w:pPr>
      <w:r>
        <w:t>- code de mesurage:</w:t>
      </w:r>
    </w:p>
    <w:p w14:paraId="3818A774"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4DCDBE4"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7EC8FFF"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95CFF21" w14:textId="77777777" w:rsidR="00DB2B68" w:rsidRDefault="00000000">
      <w:r>
        <w:br/>
      </w:r>
      <w:r>
        <w:rPr>
          <w:rStyle w:val="optioncarChar"/>
        </w:rPr>
        <w:t>Volume net </w:t>
      </w:r>
      <w:r>
        <w:t>(par défaut)</w:t>
      </w:r>
      <w:r>
        <w:rPr>
          <w:rStyle w:val="optioncarChar"/>
        </w:rPr>
        <w:t> / Surface nette</w:t>
      </w:r>
    </w:p>
    <w:p w14:paraId="5FB4787E" w14:textId="77777777" w:rsidR="00DB2B68" w:rsidRDefault="00000000">
      <w:r>
        <w:rPr>
          <w:b/>
        </w:rPr>
        <w:t>(soit par défaut)</w:t>
      </w:r>
    </w:p>
    <w:p w14:paraId="297F5C02"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5F9713A" w14:textId="77777777" w:rsidR="00DB2B68" w:rsidRDefault="00000000">
      <w:r>
        <w:rPr>
          <w:b/>
        </w:rPr>
        <w:t>(soit)</w:t>
      </w:r>
    </w:p>
    <w:p w14:paraId="1D796FE6"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6C69C60" w14:textId="77777777" w:rsidR="00DB2B68" w:rsidRDefault="00DB2B68"/>
    <w:p w14:paraId="1C69F634" w14:textId="77777777" w:rsidR="00DB2B68" w:rsidRDefault="00000000">
      <w:pPr>
        <w:ind w:left="750"/>
      </w:pPr>
      <w:r>
        <w:t> </w:t>
      </w:r>
    </w:p>
    <w:p w14:paraId="2816EEE0" w14:textId="77777777" w:rsidR="00DB2B68" w:rsidRDefault="00000000">
      <w:pPr>
        <w:pStyle w:val="pheading"/>
      </w:pPr>
      <w:r>
        <w:t>- nature du marché:</w:t>
      </w:r>
    </w:p>
    <w:p w14:paraId="12D6D3E1" w14:textId="77777777" w:rsidR="00DB2B68" w:rsidRDefault="00000000">
      <w:r>
        <w:t>QF</w:t>
      </w:r>
    </w:p>
    <w:p w14:paraId="568B23AC" w14:textId="77777777" w:rsidR="00DB2B68" w:rsidRDefault="00000000">
      <w:pPr>
        <w:pStyle w:val="Author-eSectionHeading4Numberless"/>
      </w:pPr>
      <w:bookmarkStart w:id="23" w:name="_Toc220495191"/>
      <w:r>
        <w:t>21.12 Maçonneries portantes en blocs CCTB 01.04</w:t>
      </w:r>
      <w:bookmarkEnd w:id="23"/>
    </w:p>
    <w:p w14:paraId="32E45B85" w14:textId="77777777" w:rsidR="00DB2B68" w:rsidRDefault="00000000">
      <w:pPr>
        <w:pStyle w:val="Author-eSectionHeading5Numberless"/>
      </w:pPr>
      <w:bookmarkStart w:id="24" w:name="454"/>
      <w:bookmarkStart w:id="25" w:name="_Toc220495192"/>
      <w:bookmarkEnd w:id="24"/>
      <w:r>
        <w:t>21.12.1 Maçonneries portantes de fondation en blocs CCTB 01.11</w:t>
      </w:r>
      <w:bookmarkEnd w:id="25"/>
    </w:p>
    <w:p w14:paraId="7D97D594" w14:textId="77777777" w:rsidR="00DB2B68" w:rsidRDefault="00000000">
      <w:pPr>
        <w:pStyle w:val="pheading"/>
      </w:pPr>
      <w:bookmarkStart w:id="26" w:name="367"/>
      <w:bookmarkEnd w:id="26"/>
      <w:r>
        <w:lastRenderedPageBreak/>
        <w:t>MATÉRIAUX</w:t>
      </w:r>
    </w:p>
    <w:p w14:paraId="44E98DEB" w14:textId="77777777" w:rsidR="00DB2B68" w:rsidRDefault="00000000">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14:paraId="4EF653A7" w14:textId="77777777" w:rsidR="00DB2B68" w:rsidRDefault="00000000">
      <w:pPr>
        <w:pStyle w:val="pheading"/>
      </w:pPr>
      <w:r>
        <w:t>EXÉCUTION / MISE EN ŒUVRE</w:t>
      </w:r>
    </w:p>
    <w:p w14:paraId="5AF3FAFE" w14:textId="77777777" w:rsidR="00DB2B68"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5CF0CD7F" w14:textId="77777777" w:rsidR="00DB2B68"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défaut)</w:t>
      </w:r>
      <w:r>
        <w:rPr>
          <w:rStyle w:val="optioncarChar"/>
        </w:rPr>
        <w:t>/ M15 / M20 / ***</w:t>
      </w:r>
      <w:r>
        <w:b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Eléments de liaison et d'ancrage :</w:t>
      </w:r>
    </w:p>
    <w:p w14:paraId="1D085835" w14:textId="77777777" w:rsidR="00DB2B68"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642C9F46" w14:textId="77777777" w:rsidR="00DB2B68" w:rsidRDefault="00000000">
      <w: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 xml:space="preserve">. </w:t>
      </w:r>
      <w:r>
        <w:br/>
      </w:r>
      <w:r>
        <w:br/>
      </w:r>
      <w:r>
        <w:rPr>
          <w:u w:val="single"/>
        </w:rPr>
        <w:t>-Notes d'exécution complémentaires</w:t>
      </w:r>
    </w:p>
    <w:p w14:paraId="1EE73F36" w14:textId="77777777" w:rsidR="00DB2B68" w:rsidRDefault="00000000">
      <w:r>
        <w:t>Pour les maçonneries destinées à rester apparentes, seules des blocs non endommagés sont utilisés.</w:t>
      </w:r>
    </w:p>
    <w:p w14:paraId="2870BAFB"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07C20A26"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3A0C1AEA"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7D7144F1" w14:textId="77777777" w:rsidR="00DB2B68" w:rsidRDefault="00000000">
      <w:r>
        <w:t xml:space="preserve">Crochets de mur : </w:t>
      </w:r>
      <w:r>
        <w:rPr>
          <w:rStyle w:val="optioncarChar"/>
        </w:rPr>
        <w:t xml:space="preserve">acier inoxydable </w:t>
      </w:r>
      <w:r>
        <w:t>(par défaut)</w:t>
      </w:r>
      <w:r>
        <w:rPr>
          <w:rStyle w:val="optioncarChar"/>
        </w:rPr>
        <w:t xml:space="preserve"> / ***</w:t>
      </w:r>
      <w:r>
        <w:t xml:space="preserve"> , diamètre minimal </w:t>
      </w:r>
      <w:r>
        <w:rPr>
          <w:rStyle w:val="optioncarChar"/>
        </w:rPr>
        <w:t>3,5 / ***</w:t>
      </w:r>
      <w:r>
        <w:t xml:space="preserve"> mm</w:t>
      </w:r>
    </w:p>
    <w:p w14:paraId="7D6ECBC1"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r>
        <w:t>.</w:t>
      </w:r>
    </w:p>
    <w:p w14:paraId="1E8BB535" w14:textId="77777777" w:rsidR="00DB2B68" w:rsidRDefault="00000000">
      <w:pPr>
        <w:ind w:left="750"/>
      </w:pPr>
      <w:r>
        <w:t> </w:t>
      </w:r>
    </w:p>
    <w:p w14:paraId="70B38319" w14:textId="77777777" w:rsidR="00DB2B68" w:rsidRDefault="00000000">
      <w:pPr>
        <w:pStyle w:val="pheading"/>
      </w:pPr>
      <w:r>
        <w:t>AIDE</w:t>
      </w:r>
    </w:p>
    <w:p w14:paraId="31B955E9" w14:textId="77777777" w:rsidR="00DB2B68" w:rsidRDefault="00000000">
      <w:r>
        <w:t>Note à l'attention de l'auteur du projet : pour le choix adéquat du mortier, se référer à la [STS 22 série]</w:t>
      </w:r>
    </w:p>
    <w:p w14:paraId="2E21A0FD" w14:textId="77777777" w:rsidR="00DB2B68" w:rsidRDefault="00000000">
      <w:pPr>
        <w:pStyle w:val="Author-eSectionHeading6Numberless"/>
      </w:pPr>
      <w:bookmarkStart w:id="27" w:name="_Toc220495193"/>
      <w:r>
        <w:t>21.12.1a Maçonneries portantes de fondation en blocs de béton pleins à maçonner CCTB 01.13</w:t>
      </w:r>
      <w:bookmarkEnd w:id="27"/>
    </w:p>
    <w:p w14:paraId="5B29DF7A" w14:textId="77777777" w:rsidR="00DB2B68" w:rsidRDefault="00000000">
      <w:pPr>
        <w:pStyle w:val="pheading"/>
      </w:pPr>
      <w:r>
        <w:t>DESCRIPTION</w:t>
      </w:r>
    </w:p>
    <w:p w14:paraId="706F35CA" w14:textId="77777777" w:rsidR="00DB2B68" w:rsidRDefault="00000000">
      <w:pPr>
        <w:pStyle w:val="pheading"/>
      </w:pPr>
      <w:r>
        <w:t>- Définition / Comprend</w:t>
      </w:r>
    </w:p>
    <w:p w14:paraId="756F8ADA" w14:textId="77777777" w:rsidR="00DB2B68" w:rsidRDefault="00000000">
      <w:r>
        <w:t xml:space="preserve">Il s’agit de la fourniture et la pose de maçonneries portantes de fondation en blocs de béton pleins à maçonner. </w:t>
      </w:r>
      <w:r>
        <w:br/>
        <w:t xml:space="preserve">La portée des travaux est décrite dans l’article </w:t>
      </w:r>
      <w:hyperlink w:anchor="367" w:history="1">
        <w:r>
          <w:rPr>
            <w:color w:val="0000EE"/>
          </w:rPr>
          <w:t>21.12.1 Maçonneries portantes de fondation en blocs</w:t>
        </w:r>
      </w:hyperlink>
      <w:r>
        <w:t>.</w:t>
      </w:r>
      <w:r>
        <w:br/>
        <w:t>Les travaux comprennent également la fourniture et la pose des pièces d’angle, de terminaison et de rencontre.</w:t>
      </w:r>
    </w:p>
    <w:p w14:paraId="532ED2CB" w14:textId="77777777" w:rsidR="00DB2B68" w:rsidRDefault="00000000">
      <w:pPr>
        <w:pStyle w:val="pheading"/>
      </w:pPr>
      <w:r>
        <w:t>- Localisation</w:t>
      </w:r>
    </w:p>
    <w:p w14:paraId="46598A7D" w14:textId="77777777" w:rsidR="00DB2B68" w:rsidRDefault="00000000">
      <w:r>
        <w:lastRenderedPageBreak/>
        <w:t xml:space="preserve">La pose est réalisée aux endroits suivants : </w:t>
      </w:r>
      <w:r>
        <w:rPr>
          <w:rStyle w:val="optioncarChar"/>
        </w:rPr>
        <w:t>***</w:t>
      </w:r>
      <w:r>
        <w:t>.</w:t>
      </w:r>
      <w:r>
        <w:br/>
        <w:t>Voir plans et métrés détaillés.</w:t>
      </w:r>
    </w:p>
    <w:p w14:paraId="7422C7F5" w14:textId="77777777" w:rsidR="00DB2B68" w:rsidRDefault="00000000">
      <w:pPr>
        <w:pStyle w:val="pheading"/>
      </w:pPr>
      <w:r>
        <w:t>MATÉRIAUX</w:t>
      </w:r>
    </w:p>
    <w:p w14:paraId="755DE714" w14:textId="77777777" w:rsidR="00DB2B68" w:rsidRDefault="00000000">
      <w:pPr>
        <w:pStyle w:val="pheading"/>
      </w:pPr>
      <w:r>
        <w:t>- Caractéristiques générales</w:t>
      </w:r>
    </w:p>
    <w:p w14:paraId="2E76EBD1" w14:textId="77777777" w:rsidR="00DB2B68" w:rsidRDefault="00000000">
      <w:r>
        <w:rPr>
          <w:rStyle w:val="headingChar"/>
        </w:rPr>
        <w:t>Spécifications</w:t>
      </w:r>
    </w:p>
    <w:p w14:paraId="23418D04" w14:textId="77777777" w:rsidR="00DB2B68" w:rsidRDefault="00000000">
      <w:r>
        <w:rPr>
          <w:u w:val="single"/>
        </w:rPr>
        <w:t>Blocs</w:t>
      </w:r>
    </w:p>
    <w:p w14:paraId="24CB8EFF"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C / D</w:t>
      </w:r>
      <w:r>
        <w:br/>
        <w:t>La classe de qualité suivant [PTV 21-001] est :</w:t>
      </w:r>
      <w:r>
        <w:rPr>
          <w:rStyle w:val="optioncarChar"/>
        </w:rPr>
        <w:t xml:space="preserve"> 2/0,8 / 3/1,0 / 4/1,2 / 5/1,4 / 6/1,6 / 8/1,9 / 10/2.2</w:t>
      </w:r>
      <w:r>
        <w:rPr>
          <w:rStyle w:val="optioncarChar"/>
          <w:color w:val="000000"/>
        </w:rPr>
        <w:t xml:space="preserve"> (par défaut)</w:t>
      </w:r>
      <w:r>
        <w:rPr>
          <w:rStyle w:val="optioncarChar"/>
        </w:rPr>
        <w:t xml:space="preserve"> / 15/2,2+ / ***</w:t>
      </w:r>
      <w:r>
        <w:br/>
        <w:t xml:space="preserve">Le groupe de configuration suivant [NBN EN 1996-1-1+A1 ANB] est 1 </w:t>
      </w:r>
      <w:r>
        <w:br/>
        <w:t xml:space="preserve">La masse volumique sèche apparente des blocs ρ (rho) est : </w:t>
      </w:r>
      <w:r>
        <w:rPr>
          <w:rStyle w:val="optioncarChar"/>
        </w:rPr>
        <w:t>***</w:t>
      </w:r>
      <w:r>
        <w:t xml:space="preserve"> kg/m³, selon la [NBN EN 771-3+A1]. </w:t>
      </w:r>
      <w:r>
        <w:br/>
        <w:t xml:space="preserve">Boutisse : </w:t>
      </w:r>
      <w:r>
        <w:rPr>
          <w:rStyle w:val="optioncarChar"/>
        </w:rPr>
        <w:t xml:space="preserve">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 xml:space="preserve">lisse </w:t>
      </w:r>
      <w:r>
        <w:rPr>
          <w:rStyle w:val="optioncarChar"/>
          <w:color w:val="000000"/>
        </w:rPr>
        <w:t>(par défaut)</w:t>
      </w:r>
      <w:r>
        <w:rPr>
          <w:rStyle w:val="optioncarChar"/>
        </w:rPr>
        <w:t xml:space="preserve"> / adhérence améliorée / rainurée</w:t>
      </w:r>
      <w:r>
        <w:br/>
        <w:t xml:space="preserve">Teinte : </w:t>
      </w:r>
      <w:r>
        <w:rPr>
          <w:rStyle w:val="optioncarChar"/>
        </w:rPr>
        <w:t xml:space="preserve">blanc / gris </w:t>
      </w:r>
      <w:r>
        <w:t>(par défaut)</w:t>
      </w:r>
      <w:r>
        <w:rPr>
          <w:rStyle w:val="optioncarChar"/>
        </w:rPr>
        <w:t xml:space="preserve"> / ***</w:t>
      </w:r>
    </w:p>
    <w:p w14:paraId="30399D7C" w14:textId="77777777" w:rsidR="00DB2B68"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2D5B7783"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2904B1C9" w14:textId="77777777" w:rsidR="00DB2B68" w:rsidRDefault="00000000">
      <w:r>
        <w:rPr>
          <w:u w:val="single"/>
        </w:rPr>
        <w:t>Mortier</w:t>
      </w:r>
    </w:p>
    <w:p w14:paraId="342533A7" w14:textId="77777777" w:rsidR="00DB2B68" w:rsidRDefault="00000000">
      <w:pPr>
        <w:spacing w:before="0" w:after="0"/>
      </w:pPr>
      <w:r>
        <w:rPr>
          <w:rStyle w:val="normalChar"/>
          <w:color w:val="000000"/>
        </w:rPr>
        <w:t>Classe de résistance :</w:t>
      </w:r>
      <w:r>
        <w:rPr>
          <w:rStyle w:val="optioncarChar"/>
        </w:rPr>
        <w:t xml:space="preserve">M1 / M2,5 / M5/ M10 </w:t>
      </w:r>
      <w:r>
        <w:t>(par défaut)</w:t>
      </w:r>
      <w:r>
        <w:rPr>
          <w:rStyle w:val="optioncarChar"/>
        </w:rPr>
        <w:t xml:space="preserve"> / M15 / M20 </w:t>
      </w:r>
    </w:p>
    <w:p w14:paraId="123B5A06"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09F94F2E" w14:textId="77777777" w:rsidR="00DB2B68" w:rsidRDefault="00000000">
      <w:pPr>
        <w:spacing w:before="0" w:after="0"/>
      </w:pPr>
      <w:r>
        <w:rPr>
          <w:rStyle w:val="normalChar"/>
          <w:color w:val="000000"/>
        </w:rPr>
        <w:t>Résistance au gel : oui</w:t>
      </w:r>
    </w:p>
    <w:p w14:paraId="3C5F57A0" w14:textId="77777777" w:rsidR="00DB2B68" w:rsidRDefault="00000000">
      <w:pPr>
        <w:ind w:left="750"/>
      </w:pPr>
      <w:r>
        <w:t> </w:t>
      </w:r>
    </w:p>
    <w:p w14:paraId="30B16CA4" w14:textId="77777777" w:rsidR="00DB2B68" w:rsidRDefault="00000000">
      <w:pPr>
        <w:pStyle w:val="pheading"/>
      </w:pPr>
      <w:r>
        <w:t>- Finitions</w:t>
      </w:r>
    </w:p>
    <w:p w14:paraId="21A1AF6A" w14:textId="77777777" w:rsidR="00DB2B68" w:rsidRDefault="00000000">
      <w:pPr>
        <w:pStyle w:val="Author-eListParagraph"/>
        <w:numPr>
          <w:ilvl w:val="0"/>
          <w:numId w:val="57"/>
        </w:numPr>
      </w:pPr>
      <w:r>
        <w:t>Les faces de murs suivantes sont exécutées comme maçonneries apparentes et sont</w:t>
      </w:r>
      <w:r>
        <w:rPr>
          <w:rStyle w:val="optioncarChar"/>
          <w:color w:val="000000"/>
        </w:rPr>
        <w:t xml:space="preserve"> rejointoyées </w:t>
      </w:r>
      <w:r>
        <w:t xml:space="preserve">selon </w:t>
      </w:r>
      <w:hyperlink w:anchor="346" w:history="1">
        <w:r>
          <w:rPr>
            <w:color w:val="0000EE"/>
          </w:rPr>
          <w:t>21.61.1b Joints de maçonnerie apparente</w:t>
        </w:r>
      </w:hyperlink>
      <w:r>
        <w:t xml:space="preserve"> : </w:t>
      </w:r>
      <w:r>
        <w:rPr>
          <w:rStyle w:val="optioncarChar"/>
        </w:rPr>
        <w:t>***</w:t>
      </w:r>
    </w:p>
    <w:p w14:paraId="52D33532" w14:textId="77777777" w:rsidR="00DB2B68" w:rsidRDefault="00000000">
      <w:pPr>
        <w:pStyle w:val="Author-eListParagraph"/>
        <w:numPr>
          <w:ilvl w:val="0"/>
          <w:numId w:val="57"/>
        </w:numPr>
      </w:pPr>
      <w:r>
        <w:t xml:space="preserve">Les murs suivants sont exécutés avec une face restant apparente : </w:t>
      </w:r>
      <w:r>
        <w:rPr>
          <w:rStyle w:val="optioncarChar"/>
        </w:rPr>
        <w:t>***</w:t>
      </w:r>
    </w:p>
    <w:p w14:paraId="0BACA824" w14:textId="77777777" w:rsidR="00DB2B68" w:rsidRDefault="00000000">
      <w:pPr>
        <w:pStyle w:val="Author-eListParagraph"/>
        <w:numPr>
          <w:ilvl w:val="0"/>
          <w:numId w:val="57"/>
        </w:numPr>
      </w:pPr>
      <w:r>
        <w:t xml:space="preserve">Les murs suivants sont exécutés avec deux faces restant apparentes : </w:t>
      </w:r>
      <w:r>
        <w:rPr>
          <w:rStyle w:val="optioncarChar"/>
        </w:rPr>
        <w:t>***</w:t>
      </w:r>
    </w:p>
    <w:p w14:paraId="79BB32E8" w14:textId="77777777" w:rsidR="00DB2B68" w:rsidRDefault="00000000">
      <w:pPr>
        <w:pStyle w:val="pheading"/>
      </w:pPr>
      <w:r>
        <w:t>MESURAGE</w:t>
      </w:r>
    </w:p>
    <w:p w14:paraId="1D9CF993" w14:textId="77777777" w:rsidR="00DB2B68" w:rsidRDefault="00000000">
      <w:pPr>
        <w:pStyle w:val="pheading"/>
      </w:pPr>
      <w:r>
        <w:t>- unité de mesure:</w:t>
      </w:r>
    </w:p>
    <w:p w14:paraId="2A1F49A8" w14:textId="77777777" w:rsidR="00DB2B68" w:rsidRDefault="00000000">
      <w:r>
        <w:rPr>
          <w:rStyle w:val="optioncarChar"/>
        </w:rPr>
        <w:t>m³ </w:t>
      </w:r>
      <w:r>
        <w:t>(par défaut)</w:t>
      </w:r>
      <w:r>
        <w:rPr>
          <w:rStyle w:val="optioncarChar"/>
        </w:rPr>
        <w:t> / m²</w:t>
      </w:r>
    </w:p>
    <w:p w14:paraId="0D596FED" w14:textId="77777777" w:rsidR="00DB2B68" w:rsidRDefault="00000000">
      <w:r>
        <w:rPr>
          <w:b/>
        </w:rPr>
        <w:t>(soit par défaut)</w:t>
      </w:r>
    </w:p>
    <w:p w14:paraId="3B278BEC" w14:textId="77777777" w:rsidR="00DB2B68" w:rsidRDefault="00000000">
      <w:r>
        <w:rPr>
          <w:rStyle w:val="soitChar"/>
        </w:rPr>
        <w:t>1. m³</w:t>
      </w:r>
    </w:p>
    <w:p w14:paraId="772FB8BE" w14:textId="77777777" w:rsidR="00DB2B68" w:rsidRDefault="00000000">
      <w:r>
        <w:rPr>
          <w:b/>
        </w:rPr>
        <w:t>(soit)</w:t>
      </w:r>
    </w:p>
    <w:p w14:paraId="7CCF5352" w14:textId="77777777" w:rsidR="00DB2B68" w:rsidRDefault="00000000">
      <w:r>
        <w:rPr>
          <w:rStyle w:val="soitChar"/>
        </w:rPr>
        <w:t>2. m²</w:t>
      </w:r>
    </w:p>
    <w:p w14:paraId="38BC6C32" w14:textId="77777777" w:rsidR="00DB2B68" w:rsidRDefault="00000000">
      <w:pPr>
        <w:pStyle w:val="pheading"/>
      </w:pPr>
      <w:r>
        <w:t>- code de mesurage:</w:t>
      </w:r>
    </w:p>
    <w:p w14:paraId="2F8F9A4C" w14:textId="77777777" w:rsidR="00DB2B68" w:rsidRDefault="00000000">
      <w:r>
        <w:t>Les maçonneries sont mesurées en fonction de leur forme géométrique.</w:t>
      </w:r>
      <w:r>
        <w:br/>
      </w:r>
      <w:r>
        <w:br/>
        <w:t xml:space="preserve">La longueur des murs est mesurée dans l'axe de l'élément; lorsque deux murs se croisent ou se </w:t>
      </w:r>
      <w:r>
        <w:lastRenderedPageBreak/>
        <w:t>rencontrent, le mur le plus épais est compté. Aucun volume n'est porté deux fois en compte.</w:t>
      </w:r>
      <w:r>
        <w:br/>
        <w:t>Le creux du mur n'est jamais compté.</w:t>
      </w:r>
    </w:p>
    <w:p w14:paraId="331F312C"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EAE3D79"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0D7938A8" w14:textId="77777777" w:rsidR="00DB2B68" w:rsidRDefault="00000000">
      <w:r>
        <w:br/>
      </w:r>
      <w:r>
        <w:rPr>
          <w:rStyle w:val="optioncarChar"/>
        </w:rPr>
        <w:t>Volume net </w:t>
      </w:r>
      <w:r>
        <w:t>(par défaut)</w:t>
      </w:r>
      <w:r>
        <w:rPr>
          <w:rStyle w:val="optioncarChar"/>
        </w:rPr>
        <w:t> / Surface nette</w:t>
      </w:r>
    </w:p>
    <w:p w14:paraId="7E7F3582" w14:textId="77777777" w:rsidR="00DB2B68" w:rsidRDefault="00000000">
      <w:r>
        <w:rPr>
          <w:b/>
        </w:rPr>
        <w:t>(soit par défaut)</w:t>
      </w:r>
    </w:p>
    <w:p w14:paraId="7134AA12"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C6D5979" w14:textId="77777777" w:rsidR="00DB2B68" w:rsidRDefault="00000000">
      <w:r>
        <w:rPr>
          <w:b/>
        </w:rPr>
        <w:t>(soit)</w:t>
      </w:r>
    </w:p>
    <w:p w14:paraId="5A0E1DD8"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A9BCBB8" w14:textId="77777777" w:rsidR="00DB2B68" w:rsidRDefault="00000000">
      <w:pPr>
        <w:ind w:left="750"/>
      </w:pPr>
      <w:r>
        <w:t> </w:t>
      </w:r>
    </w:p>
    <w:p w14:paraId="75E35364" w14:textId="77777777" w:rsidR="00DB2B68" w:rsidRDefault="00000000">
      <w:pPr>
        <w:pStyle w:val="pheading"/>
      </w:pPr>
      <w:r>
        <w:t>- nature du marché:</w:t>
      </w:r>
    </w:p>
    <w:p w14:paraId="2D0325B4" w14:textId="77777777" w:rsidR="00DB2B68" w:rsidRDefault="00000000">
      <w:r>
        <w:t>QF</w:t>
      </w:r>
    </w:p>
    <w:p w14:paraId="6CCA4653" w14:textId="77777777" w:rsidR="00DB2B68" w:rsidRDefault="00DB2B68"/>
    <w:p w14:paraId="26F8D97C" w14:textId="77777777" w:rsidR="00DB2B68" w:rsidRDefault="00000000">
      <w:pPr>
        <w:pStyle w:val="Author-eSectionHeading6Numberless"/>
      </w:pPr>
      <w:bookmarkStart w:id="28" w:name="_Toc220495194"/>
      <w:r>
        <w:t>21.12.1b Maçonneries portantes de fondation en blocs de coffrage en béton CCTB 01.11</w:t>
      </w:r>
      <w:bookmarkEnd w:id="28"/>
    </w:p>
    <w:p w14:paraId="33BC434A" w14:textId="77777777" w:rsidR="00DB2B68" w:rsidRDefault="00000000">
      <w:pPr>
        <w:pStyle w:val="pheading"/>
      </w:pPr>
      <w:r>
        <w:t>DESCRIPTION</w:t>
      </w:r>
    </w:p>
    <w:p w14:paraId="586E2E2C" w14:textId="77777777" w:rsidR="00DB2B68" w:rsidRDefault="00000000">
      <w:pPr>
        <w:pStyle w:val="pheading"/>
      </w:pPr>
      <w:r>
        <w:t>- Définition / Comprend</w:t>
      </w:r>
    </w:p>
    <w:p w14:paraId="15EE21FB" w14:textId="77777777" w:rsidR="00DB2B68" w:rsidRDefault="00000000">
      <w:r>
        <w:t xml:space="preserve">Il s’agit de la fourniture et la pose de maçonneries portantes de fondation en blocs de coffrage de béton. </w:t>
      </w:r>
      <w:r>
        <w:br/>
        <w:t xml:space="preserve">La portée des travaux est décrite dans l’article </w:t>
      </w:r>
      <w:hyperlink w:anchor="367" w:history="1">
        <w:r>
          <w:rPr>
            <w:color w:val="0000EE"/>
          </w:rPr>
          <w:t>21.12.1 Maçonneries portantes de fondation en blocs</w:t>
        </w:r>
      </w:hyperlink>
      <w:r>
        <w:t>.</w:t>
      </w:r>
      <w:r>
        <w:br/>
        <w:t>Les travaux comprennent également la fourniture et la pose des pièces d’angle, de terminaison et de rencontre.</w:t>
      </w:r>
    </w:p>
    <w:p w14:paraId="6B9A6569" w14:textId="77777777" w:rsidR="00DB2B68" w:rsidRDefault="00000000">
      <w:pPr>
        <w:pStyle w:val="pheading"/>
      </w:pPr>
      <w:r>
        <w:t>- Localisation</w:t>
      </w:r>
    </w:p>
    <w:p w14:paraId="1D315513" w14:textId="77777777" w:rsidR="00DB2B68" w:rsidRDefault="00000000">
      <w:r>
        <w:t xml:space="preserve">La pose est réalisée aux endroits suivants : </w:t>
      </w:r>
      <w:r>
        <w:rPr>
          <w:rStyle w:val="optioncarChar"/>
        </w:rPr>
        <w:t>***</w:t>
      </w:r>
      <w:r>
        <w:t>.</w:t>
      </w:r>
      <w:r>
        <w:br/>
        <w:t>Voir plans et métrés détaillés.</w:t>
      </w:r>
    </w:p>
    <w:p w14:paraId="08996AFC" w14:textId="77777777" w:rsidR="00DB2B68" w:rsidRDefault="00000000">
      <w:pPr>
        <w:pStyle w:val="pheading"/>
      </w:pPr>
      <w:r>
        <w:t>MESURAGE</w:t>
      </w:r>
    </w:p>
    <w:p w14:paraId="00A9F80E" w14:textId="77777777" w:rsidR="00DB2B68" w:rsidRDefault="00000000">
      <w:pPr>
        <w:pStyle w:val="pheading"/>
      </w:pPr>
      <w:r>
        <w:t>- unité de mesure:</w:t>
      </w:r>
    </w:p>
    <w:p w14:paraId="139DCE89" w14:textId="77777777" w:rsidR="00DB2B68" w:rsidRDefault="00000000">
      <w:r>
        <w:rPr>
          <w:rStyle w:val="optioncarChar"/>
        </w:rPr>
        <w:t>m³ </w:t>
      </w:r>
      <w:r>
        <w:t>(par défaut)</w:t>
      </w:r>
      <w:r>
        <w:rPr>
          <w:rStyle w:val="optioncarChar"/>
        </w:rPr>
        <w:t> / m²</w:t>
      </w:r>
    </w:p>
    <w:p w14:paraId="28092002" w14:textId="77777777" w:rsidR="00DB2B68" w:rsidRDefault="00000000">
      <w:r>
        <w:rPr>
          <w:b/>
        </w:rPr>
        <w:t>(soit par défaut)</w:t>
      </w:r>
    </w:p>
    <w:p w14:paraId="011DC196" w14:textId="77777777" w:rsidR="00DB2B68" w:rsidRDefault="00000000">
      <w:r>
        <w:rPr>
          <w:rStyle w:val="soitChar"/>
        </w:rPr>
        <w:t>1. m³</w:t>
      </w:r>
    </w:p>
    <w:p w14:paraId="6D9852F2" w14:textId="77777777" w:rsidR="00DB2B68" w:rsidRDefault="00000000">
      <w:r>
        <w:rPr>
          <w:b/>
        </w:rPr>
        <w:t>(soit)</w:t>
      </w:r>
    </w:p>
    <w:p w14:paraId="07B2FFFF" w14:textId="77777777" w:rsidR="00DB2B68" w:rsidRDefault="00000000">
      <w:r>
        <w:rPr>
          <w:rStyle w:val="soitChar"/>
        </w:rPr>
        <w:t>2. m²</w:t>
      </w:r>
    </w:p>
    <w:p w14:paraId="79139A72" w14:textId="77777777" w:rsidR="00DB2B68" w:rsidRDefault="00000000">
      <w:pPr>
        <w:pStyle w:val="pheading"/>
      </w:pPr>
      <w:r>
        <w:lastRenderedPageBreak/>
        <w:t>- code de mesurage:</w:t>
      </w:r>
    </w:p>
    <w:p w14:paraId="00190C31"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BF5622E"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FC4694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D06FBB1" w14:textId="77777777" w:rsidR="00DB2B68" w:rsidRDefault="00000000">
      <w:r>
        <w:br/>
      </w:r>
      <w:r>
        <w:rPr>
          <w:rStyle w:val="optioncarChar"/>
        </w:rPr>
        <w:t>Volume net </w:t>
      </w:r>
      <w:r>
        <w:t>(par défaut)</w:t>
      </w:r>
      <w:r>
        <w:rPr>
          <w:rStyle w:val="optioncarChar"/>
        </w:rPr>
        <w:t> / Surface nette</w:t>
      </w:r>
    </w:p>
    <w:p w14:paraId="6FF292BC" w14:textId="77777777" w:rsidR="00DB2B68" w:rsidRDefault="00000000">
      <w:r>
        <w:rPr>
          <w:b/>
        </w:rPr>
        <w:t>(soit par défaut)</w:t>
      </w:r>
    </w:p>
    <w:p w14:paraId="47F4238B"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C045F0A" w14:textId="77777777" w:rsidR="00DB2B68" w:rsidRDefault="00000000">
      <w:r>
        <w:rPr>
          <w:b/>
        </w:rPr>
        <w:t>(soit)</w:t>
      </w:r>
    </w:p>
    <w:p w14:paraId="4EBEF0C7"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E27DCBC" w14:textId="77777777" w:rsidR="00DB2B68" w:rsidRDefault="00000000">
      <w:pPr>
        <w:ind w:left="750"/>
      </w:pPr>
      <w:r>
        <w:t> </w:t>
      </w:r>
    </w:p>
    <w:p w14:paraId="2A4BD4FE" w14:textId="77777777" w:rsidR="00DB2B68" w:rsidRDefault="00000000">
      <w:pPr>
        <w:pStyle w:val="pheading"/>
      </w:pPr>
      <w:r>
        <w:t>- nature du marché:</w:t>
      </w:r>
    </w:p>
    <w:p w14:paraId="3A36CCB2" w14:textId="77777777" w:rsidR="00DB2B68" w:rsidRDefault="00000000">
      <w:r>
        <w:t>QF</w:t>
      </w:r>
    </w:p>
    <w:p w14:paraId="635799E2" w14:textId="77777777" w:rsidR="00DB2B68" w:rsidRDefault="00000000">
      <w:pPr>
        <w:pStyle w:val="Author-eSectionHeading5Numberless"/>
      </w:pPr>
      <w:bookmarkStart w:id="29" w:name="_Toc220495195"/>
      <w:r>
        <w:t>21.12.2 Maçonneries portantes en blocs pour murs en contact direct avec la terre CCTB 01.11</w:t>
      </w:r>
      <w:bookmarkEnd w:id="29"/>
    </w:p>
    <w:p w14:paraId="32B76F69" w14:textId="77777777" w:rsidR="00DB2B68" w:rsidRDefault="00000000">
      <w:pPr>
        <w:pStyle w:val="pheading"/>
      </w:pPr>
      <w:bookmarkStart w:id="30" w:name="368"/>
      <w:bookmarkEnd w:id="30"/>
      <w:r>
        <w:t>MATÉRIAUX</w:t>
      </w:r>
    </w:p>
    <w:p w14:paraId="4239CFBC" w14:textId="77777777" w:rsidR="00DB2B68" w:rsidRDefault="00000000">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14:paraId="3EE328CD" w14:textId="77777777" w:rsidR="00DB2B68" w:rsidRDefault="00000000">
      <w:pPr>
        <w:pStyle w:val="pheading"/>
      </w:pPr>
      <w:r>
        <w:t>EXÉCUTION / MISE EN ŒUVRE</w:t>
      </w:r>
    </w:p>
    <w:p w14:paraId="2BA12195" w14:textId="77777777" w:rsidR="00DB2B68"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5F921430" w14:textId="77777777" w:rsidR="00DB2B68"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défaut)</w:t>
      </w:r>
      <w:r>
        <w:rPr>
          <w:rStyle w:val="optioncarChar"/>
        </w:rPr>
        <w:t xml:space="preserve"> / M15 / M20 / ***</w:t>
      </w:r>
      <w:r>
        <w:br/>
        <w:t xml:space="preserve">L'épaisseur des joints est d'au moins </w:t>
      </w:r>
      <w:r>
        <w:rPr>
          <w:rStyle w:val="optioncarChar"/>
        </w:rPr>
        <w:t xml:space="preserve">10 </w:t>
      </w:r>
      <w:r>
        <w:t xml:space="preserve">(par défaut) </w:t>
      </w:r>
      <w:r>
        <w:rPr>
          <w:rStyle w:val="optioncarChar"/>
        </w:rPr>
        <w:t>/ ***</w:t>
      </w:r>
      <w:r>
        <w:t xml:space="preserve"> mm (tolérances suivant [NIT 208])</w:t>
      </w:r>
      <w:r>
        <w:br/>
      </w:r>
      <w:r>
        <w:br/>
        <w:t>Matériaux de liaison et d'ancrage :</w:t>
      </w:r>
    </w:p>
    <w:p w14:paraId="021D6516" w14:textId="77777777" w:rsidR="00DB2B68"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r>
      <w:r>
        <w:lastRenderedPageBreak/>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3CBBA2D5" w14:textId="77777777" w:rsidR="00DB2B68"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w:t>
      </w:r>
      <w:r>
        <w:br/>
      </w:r>
      <w:r>
        <w:br/>
      </w:r>
      <w:r>
        <w:rPr>
          <w:u w:val="single"/>
        </w:rPr>
        <w:t>-Notes d'exécution complémentaires</w:t>
      </w:r>
    </w:p>
    <w:p w14:paraId="056294CF" w14:textId="77777777" w:rsidR="00DB2B68" w:rsidRDefault="00000000">
      <w:r>
        <w:t>Pour les maçonneries destinées à rester apparentes, seules des blocs non endommagés sont utilisés.</w:t>
      </w:r>
    </w:p>
    <w:p w14:paraId="31F381FF"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65CEE156"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4CA787F1"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52171160" w14:textId="77777777" w:rsidR="00DB2B68" w:rsidRDefault="00000000">
      <w:r>
        <w:t xml:space="preserve">Les faces de murs suivantes sont exécutées comme maçonneries apparentes : </w:t>
      </w:r>
      <w:r>
        <w:rPr>
          <w:rStyle w:val="optioncarChar"/>
        </w:rPr>
        <w:t>***</w:t>
      </w:r>
    </w:p>
    <w:p w14:paraId="5A026E22" w14:textId="77777777" w:rsidR="00DB2B68" w:rsidRDefault="00000000">
      <w:r>
        <w:t xml:space="preserve">Les murs et les jonctions verticales sont </w:t>
      </w:r>
      <w:r>
        <w:rPr>
          <w:rStyle w:val="optioncarChar"/>
        </w:rPr>
        <w:t xml:space="preserve">rejointoyés en montant </w:t>
      </w:r>
      <w:r>
        <w:t>(par défaut) </w:t>
      </w:r>
      <w:r>
        <w:rPr>
          <w:rStyle w:val="optioncarChar"/>
        </w:rPr>
        <w:t>/ rejointoyés par après au mortier de rejointoiement / ***.</w:t>
      </w:r>
    </w:p>
    <w:p w14:paraId="2A47FB86" w14:textId="77777777" w:rsidR="00DB2B68"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2689101C"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r>
        <w:t>.</w:t>
      </w:r>
    </w:p>
    <w:p w14:paraId="733BC023" w14:textId="77777777" w:rsidR="00DB2B68" w:rsidRDefault="00000000">
      <w:pPr>
        <w:ind w:left="750"/>
      </w:pPr>
      <w:r>
        <w:t> </w:t>
      </w:r>
    </w:p>
    <w:p w14:paraId="5646E0DF" w14:textId="77777777" w:rsidR="00DB2B68" w:rsidRDefault="00000000">
      <w:pPr>
        <w:pStyle w:val="pheading"/>
      </w:pPr>
      <w:r>
        <w:t>AIDE</w:t>
      </w:r>
    </w:p>
    <w:p w14:paraId="782DA30D" w14:textId="77777777" w:rsidR="00DB2B68" w:rsidRDefault="00000000">
      <w:r>
        <w:t>Note à l'attention de l'auteur du projet : pour le choix adéquat du mortier, se référer à la [STS 22 série].</w:t>
      </w:r>
      <w:r>
        <w:br/>
      </w:r>
      <w:r>
        <w:br/>
      </w:r>
    </w:p>
    <w:p w14:paraId="09D513FA" w14:textId="77777777" w:rsidR="00DB2B68" w:rsidRDefault="00000000">
      <w:pPr>
        <w:pStyle w:val="Author-eSectionHeading6Numberless"/>
      </w:pPr>
      <w:bookmarkStart w:id="31" w:name="_Toc220495196"/>
      <w:r>
        <w:t>21.12.2a Maçonneries portantes en blocs de béton pleins à maçonner CCTB 01.13</w:t>
      </w:r>
      <w:bookmarkEnd w:id="31"/>
    </w:p>
    <w:p w14:paraId="4E6C00D0" w14:textId="77777777" w:rsidR="00DB2B68" w:rsidRDefault="00000000">
      <w:pPr>
        <w:pStyle w:val="pheading"/>
      </w:pPr>
      <w:r>
        <w:t>DESCRIPTION</w:t>
      </w:r>
    </w:p>
    <w:p w14:paraId="2067FEBC" w14:textId="77777777" w:rsidR="00DB2B68" w:rsidRDefault="00000000">
      <w:pPr>
        <w:pStyle w:val="pheading"/>
      </w:pPr>
      <w:r>
        <w:t>- Définition / Comprend</w:t>
      </w:r>
    </w:p>
    <w:p w14:paraId="50A43D99" w14:textId="77777777" w:rsidR="00DB2B68" w:rsidRDefault="00000000">
      <w:r>
        <w:t xml:space="preserve">Il s’agit de la fourniture et la pose de maçonneries portantes en blocs de béton pleins à maçonner. </w:t>
      </w:r>
      <w:r>
        <w:br/>
        <w:t xml:space="preserve">La portée des travaux est décrite dans l’article </w:t>
      </w:r>
      <w:hyperlink w:anchor="368" w:history="1">
        <w:r>
          <w:rPr>
            <w:color w:val="0000EE"/>
          </w:rPr>
          <w:t>21.12.2 Maçonneries portantes en blocs pour murs en contact direct avec la terre</w:t>
        </w:r>
      </w:hyperlink>
      <w:r>
        <w:t>.</w:t>
      </w:r>
      <w:r>
        <w:br/>
        <w:t>Les travaux comprennent également la fourniture et la pose des pièces d’angle, de terminaison et de rencontre.</w:t>
      </w:r>
    </w:p>
    <w:p w14:paraId="47DC057A" w14:textId="77777777" w:rsidR="00DB2B68" w:rsidRDefault="00000000">
      <w:pPr>
        <w:pStyle w:val="pheading"/>
      </w:pPr>
      <w:r>
        <w:t>- Localisation</w:t>
      </w:r>
    </w:p>
    <w:p w14:paraId="5ECAEC90" w14:textId="77777777" w:rsidR="00DB2B68" w:rsidRDefault="00000000">
      <w:r>
        <w:t xml:space="preserve">La pose est réalisée aux endroits suivants : </w:t>
      </w:r>
      <w:r>
        <w:rPr>
          <w:rStyle w:val="optioncarChar"/>
        </w:rPr>
        <w:t>***</w:t>
      </w:r>
      <w:r>
        <w:t>.</w:t>
      </w:r>
      <w:r>
        <w:br/>
        <w:t>Voir plans et métrés détaillés.</w:t>
      </w:r>
    </w:p>
    <w:p w14:paraId="29E248F3" w14:textId="77777777" w:rsidR="00DB2B68" w:rsidRDefault="00000000">
      <w:pPr>
        <w:pStyle w:val="pheading"/>
      </w:pPr>
      <w:r>
        <w:t>MATÉRIAUX</w:t>
      </w:r>
    </w:p>
    <w:p w14:paraId="691556AF" w14:textId="77777777" w:rsidR="00DB2B68" w:rsidRDefault="00000000">
      <w:pPr>
        <w:pStyle w:val="pheading"/>
      </w:pPr>
      <w:r>
        <w:t>- Caractéristiques générales</w:t>
      </w:r>
    </w:p>
    <w:p w14:paraId="72AB718E" w14:textId="77777777" w:rsidR="00DB2B68" w:rsidRDefault="00000000">
      <w:r>
        <w:rPr>
          <w:rStyle w:val="headingChar"/>
        </w:rPr>
        <w:t>Spécifications</w:t>
      </w:r>
    </w:p>
    <w:p w14:paraId="363049B3" w14:textId="77777777" w:rsidR="00DB2B68" w:rsidRDefault="00000000">
      <w:r>
        <w:rPr>
          <w:u w:val="single"/>
        </w:rPr>
        <w:t>Blocs</w:t>
      </w:r>
    </w:p>
    <w:p w14:paraId="75882E44" w14:textId="77777777" w:rsidR="00DB2B68"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r>
      <w:r>
        <w:lastRenderedPageBreak/>
        <w:t xml:space="preserve">La classe de qualité suivant [PTV 21-001] est : </w:t>
      </w:r>
      <w:r>
        <w:rPr>
          <w:rStyle w:val="optioncarChar"/>
        </w:rPr>
        <w:t>2/0,8 / 3/1,0 / 4/1,2 / 5/1,4 / 6/1,6 / 8/1,9 / 10/2.2</w:t>
      </w:r>
      <w:r>
        <w:rPr>
          <w:rStyle w:val="optioncarChar"/>
          <w:color w:val="000000"/>
        </w:rPr>
        <w:t xml:space="preserve"> (par défaut)</w:t>
      </w:r>
      <w:r>
        <w:rPr>
          <w:rStyle w:val="optioncarChar"/>
        </w:rPr>
        <w:t xml:space="preserve"> / 15/2,2+ / ***</w:t>
      </w:r>
    </w:p>
    <w:p w14:paraId="0463E988" w14:textId="77777777" w:rsidR="00DB2B68" w:rsidRDefault="00000000">
      <w:r>
        <w:t xml:space="preserve">Le groupe de configuration suivant [NBN EN 1996-1-1+A1 ANB] est 1. </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 xml:space="preserve">lisse </w:t>
      </w:r>
      <w:r>
        <w:t xml:space="preserve">(par défaut) </w:t>
      </w:r>
      <w:r>
        <w:rPr>
          <w:rStyle w:val="optioncarChar"/>
        </w:rPr>
        <w:t xml:space="preserve"> / adhérence améliorée / rainurée</w:t>
      </w:r>
      <w:r>
        <w:br/>
      </w:r>
      <w:r>
        <w:br/>
        <w:t>Teinte :</w:t>
      </w:r>
      <w:r>
        <w:rPr>
          <w:rStyle w:val="optioncarChar"/>
        </w:rPr>
        <w:t xml:space="preserve"> blanc / gris </w:t>
      </w:r>
      <w:r>
        <w:t>(par défaut)</w:t>
      </w:r>
      <w:r>
        <w:rPr>
          <w:rStyle w:val="optioncarChar"/>
        </w:rPr>
        <w:t xml:space="preserve"> / ***</w:t>
      </w:r>
      <w:r>
        <w:br/>
      </w:r>
      <w:r>
        <w:br/>
      </w:r>
    </w:p>
    <w:p w14:paraId="0802BF95" w14:textId="77777777" w:rsidR="00DB2B68"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6C7C5AF1"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Réaction au feu :</w:t>
      </w:r>
      <w:r>
        <w:rPr>
          <w:rStyle w:val="optioncarChar"/>
        </w:rPr>
        <w:t xml:space="preserve"> A1 </w:t>
      </w:r>
      <w:r>
        <w:t>(par défaut)</w:t>
      </w:r>
      <w:r>
        <w:rPr>
          <w:rStyle w:val="optioncarChar"/>
        </w:rPr>
        <w:t xml:space="preserve"> / ***</w:t>
      </w:r>
    </w:p>
    <w:p w14:paraId="79B9C902" w14:textId="77777777" w:rsidR="00DB2B68" w:rsidRDefault="00000000">
      <w:pPr>
        <w:spacing w:before="0" w:after="0"/>
      </w:pPr>
      <w:r>
        <w:rPr>
          <w:u w:val="single"/>
        </w:rPr>
        <w:t>Mortier</w:t>
      </w:r>
    </w:p>
    <w:p w14:paraId="67613C7F" w14:textId="77777777" w:rsidR="00DB2B68"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185ACE33" w14:textId="77777777" w:rsidR="00DB2B68"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6EA529E1" w14:textId="77777777" w:rsidR="00DB2B68" w:rsidRDefault="00000000">
      <w:pPr>
        <w:spacing w:before="0" w:after="0"/>
      </w:pPr>
      <w:r>
        <w:rPr>
          <w:rStyle w:val="normalChar"/>
          <w:color w:val="000000"/>
        </w:rPr>
        <w:t>Résistance au gel : oui</w:t>
      </w:r>
    </w:p>
    <w:p w14:paraId="51449526" w14:textId="77777777" w:rsidR="00DB2B68" w:rsidRDefault="00000000">
      <w:r>
        <w:br/>
      </w:r>
      <w:r>
        <w:br/>
      </w:r>
      <w:r>
        <w:rPr>
          <w:rStyle w:val="headingChar"/>
        </w:rPr>
        <w:t>Critères De Performances De La Paroi</w:t>
      </w:r>
    </w:p>
    <w:p w14:paraId="4F1AA8BF" w14:textId="77777777" w:rsidR="00DB2B68" w:rsidRDefault="00000000">
      <w:r>
        <w:t>Coefficient de transmission :</w:t>
      </w:r>
    </w:p>
    <w:p w14:paraId="4CC88E56" w14:textId="77777777" w:rsidR="00DB2B68" w:rsidRDefault="00000000">
      <w:pPr>
        <w:pStyle w:val="Author-eListParagraph"/>
        <w:numPr>
          <w:ilvl w:val="0"/>
          <w:numId w:val="58"/>
        </w:numPr>
      </w:pPr>
      <w:r>
        <w:t xml:space="preserve">valeur U minimale de </w:t>
      </w:r>
      <w:r>
        <w:rPr>
          <w:rStyle w:val="optioncarChar"/>
        </w:rPr>
        <w:t>***</w:t>
      </w:r>
      <w:r>
        <w:t xml:space="preserve"> W/m²K</w:t>
      </w:r>
    </w:p>
    <w:p w14:paraId="4509691C" w14:textId="77777777" w:rsidR="00DB2B68" w:rsidRDefault="00000000">
      <w:pPr>
        <w:pStyle w:val="Author-eListParagraph"/>
        <w:numPr>
          <w:ilvl w:val="0"/>
          <w:numId w:val="5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5123848" w14:textId="77777777" w:rsidR="00DB2B68" w:rsidRDefault="00000000">
      <w:r>
        <w:br/>
        <w:t>Résistance au feu :</w:t>
      </w:r>
    </w:p>
    <w:p w14:paraId="7705E537" w14:textId="77777777" w:rsidR="00DB2B68" w:rsidRDefault="00000000">
      <w:pPr>
        <w:pStyle w:val="Author-eListParagraph"/>
        <w:numPr>
          <w:ilvl w:val="0"/>
          <w:numId w:val="59"/>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38375EA0" w14:textId="77777777" w:rsidR="00DB2B68" w:rsidRDefault="00000000">
      <w:pPr>
        <w:pStyle w:val="Author-eListParagraph"/>
        <w:numPr>
          <w:ilvl w:val="0"/>
          <w:numId w:val="59"/>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3F35EC7A" w14:textId="77777777" w:rsidR="00DB2B68" w:rsidRDefault="00000000">
      <w:r>
        <w:t>selon les tableaux dans [NBN EN 1996-1-2 ANB].</w:t>
      </w:r>
    </w:p>
    <w:p w14:paraId="12BDE1AF" w14:textId="77777777" w:rsidR="00DB2B68" w:rsidRDefault="00000000">
      <w:pPr>
        <w:pStyle w:val="pheading"/>
      </w:pPr>
      <w:r>
        <w:t>- Finitions</w:t>
      </w:r>
    </w:p>
    <w:p w14:paraId="1987B67E" w14:textId="77777777" w:rsidR="00DB2B68" w:rsidRDefault="00000000">
      <w:pPr>
        <w:pStyle w:val="Author-eListParagraph"/>
        <w:numPr>
          <w:ilvl w:val="0"/>
          <w:numId w:val="60"/>
        </w:numPr>
      </w:pPr>
      <w:r>
        <w:t xml:space="preserve">Les faces de murs suivantes sont exécutées comme maçonneries apparentes et sont </w:t>
      </w:r>
      <w:r>
        <w:rPr>
          <w:rStyle w:val="optioncarChar"/>
          <w:color w:val="000000"/>
        </w:rPr>
        <w:t>rejointoyées </w:t>
      </w:r>
      <w:r>
        <w:t xml:space="preserve">selon l'article </w:t>
      </w:r>
      <w:hyperlink w:anchor="346" w:history="1">
        <w:r>
          <w:rPr>
            <w:color w:val="0000EE"/>
          </w:rPr>
          <w:t>21.61.1b Joints de maçonnerie apparente</w:t>
        </w:r>
      </w:hyperlink>
      <w:r>
        <w:t xml:space="preserve"> : </w:t>
      </w:r>
      <w:r>
        <w:rPr>
          <w:rStyle w:val="optioncarChar"/>
        </w:rPr>
        <w:t>***</w:t>
      </w:r>
    </w:p>
    <w:p w14:paraId="0670B0EE" w14:textId="77777777" w:rsidR="00DB2B68" w:rsidRDefault="00000000">
      <w:pPr>
        <w:pStyle w:val="Author-eListParagraph"/>
        <w:numPr>
          <w:ilvl w:val="0"/>
          <w:numId w:val="60"/>
        </w:numPr>
      </w:pPr>
      <w:r>
        <w:t xml:space="preserve">Les murs suivants sont exécutés avec une face restant apparente : </w:t>
      </w:r>
      <w:r>
        <w:rPr>
          <w:rStyle w:val="optioncarChar"/>
        </w:rPr>
        <w:t>***</w:t>
      </w:r>
    </w:p>
    <w:p w14:paraId="2C4053EF" w14:textId="77777777" w:rsidR="00DB2B68" w:rsidRDefault="00000000">
      <w:pPr>
        <w:pStyle w:val="Author-eListParagraph"/>
        <w:numPr>
          <w:ilvl w:val="0"/>
          <w:numId w:val="60"/>
        </w:numPr>
      </w:pPr>
      <w:r>
        <w:t xml:space="preserve">Les murs suivants sont exécutés avec deux faces restant apparentes : </w:t>
      </w:r>
      <w:r>
        <w:rPr>
          <w:rStyle w:val="optioncarChar"/>
        </w:rPr>
        <w:t>***</w:t>
      </w:r>
    </w:p>
    <w:p w14:paraId="3AE0B784" w14:textId="77777777" w:rsidR="00DB2B68" w:rsidRDefault="00DB2B68"/>
    <w:p w14:paraId="59ED0590" w14:textId="77777777" w:rsidR="00DB2B68" w:rsidRDefault="00000000">
      <w:pPr>
        <w:pStyle w:val="pheading"/>
      </w:pPr>
      <w:r>
        <w:t>EXÉCUTION / MISE EN ŒUVRE</w:t>
      </w:r>
    </w:p>
    <w:p w14:paraId="74FB5182" w14:textId="77777777" w:rsidR="00DB2B68" w:rsidRDefault="00000000">
      <w:pPr>
        <w:pStyle w:val="pheading"/>
      </w:pPr>
      <w:r>
        <w:t>- Prescriptions générales</w:t>
      </w:r>
    </w:p>
    <w:p w14:paraId="6872CD27" w14:textId="77777777" w:rsidR="00DB2B68" w:rsidRDefault="00000000">
      <w:r>
        <w:t>Tous les joints horizontaux et verticaux sont bien remplis. Les maçonneries et les colonnes en béton dans les murs extérieurs continus sont liaisonnés mécaniquement tous les 0,60 m.</w:t>
      </w:r>
    </w:p>
    <w:p w14:paraId="173544C9" w14:textId="77777777" w:rsidR="00DB2B68" w:rsidRDefault="00000000">
      <w:pPr>
        <w:pStyle w:val="pheading"/>
      </w:pPr>
      <w:r>
        <w:lastRenderedPageBreak/>
        <w:t>MESURAGE</w:t>
      </w:r>
    </w:p>
    <w:p w14:paraId="719C90E8" w14:textId="77777777" w:rsidR="00DB2B68" w:rsidRDefault="00000000">
      <w:pPr>
        <w:pStyle w:val="pheading"/>
      </w:pPr>
      <w:r>
        <w:t>- unité de mesure:</w:t>
      </w:r>
    </w:p>
    <w:p w14:paraId="1E7015D6" w14:textId="77777777" w:rsidR="00DB2B68" w:rsidRDefault="00000000">
      <w:r>
        <w:rPr>
          <w:rStyle w:val="optioncarChar"/>
        </w:rPr>
        <w:t>m³ </w:t>
      </w:r>
      <w:r>
        <w:t>(par défaut)</w:t>
      </w:r>
      <w:r>
        <w:rPr>
          <w:rStyle w:val="optioncarChar"/>
        </w:rPr>
        <w:t> / m²</w:t>
      </w:r>
    </w:p>
    <w:p w14:paraId="4D026877" w14:textId="77777777" w:rsidR="00DB2B68" w:rsidRDefault="00000000">
      <w:r>
        <w:rPr>
          <w:b/>
        </w:rPr>
        <w:t>(soit par défaut)</w:t>
      </w:r>
    </w:p>
    <w:p w14:paraId="706E8022" w14:textId="77777777" w:rsidR="00DB2B68" w:rsidRDefault="00000000">
      <w:r>
        <w:rPr>
          <w:rStyle w:val="soitChar"/>
        </w:rPr>
        <w:t>1. m³</w:t>
      </w:r>
    </w:p>
    <w:p w14:paraId="5A368F90" w14:textId="77777777" w:rsidR="00DB2B68" w:rsidRDefault="00000000">
      <w:r>
        <w:rPr>
          <w:b/>
        </w:rPr>
        <w:t>(soit)</w:t>
      </w:r>
    </w:p>
    <w:p w14:paraId="7A2E60D9" w14:textId="77777777" w:rsidR="00DB2B68" w:rsidRDefault="00000000">
      <w:r>
        <w:rPr>
          <w:rStyle w:val="soitChar"/>
        </w:rPr>
        <w:t>2. m²</w:t>
      </w:r>
    </w:p>
    <w:p w14:paraId="6046675B" w14:textId="77777777" w:rsidR="00DB2B68" w:rsidRDefault="00000000">
      <w:pPr>
        <w:pStyle w:val="pheading"/>
      </w:pPr>
      <w:r>
        <w:t>- code de mesurage:</w:t>
      </w:r>
    </w:p>
    <w:p w14:paraId="07F7F816"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EF5184B"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BB1C6D8"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E261EE3" w14:textId="77777777" w:rsidR="00DB2B68" w:rsidRDefault="00000000">
      <w:r>
        <w:br/>
      </w:r>
      <w:r>
        <w:rPr>
          <w:rStyle w:val="optioncarChar"/>
        </w:rPr>
        <w:t>Volume net </w:t>
      </w:r>
      <w:r>
        <w:t>(par défaut)</w:t>
      </w:r>
      <w:r>
        <w:rPr>
          <w:rStyle w:val="optioncarChar"/>
        </w:rPr>
        <w:t> / Surface nette</w:t>
      </w:r>
    </w:p>
    <w:p w14:paraId="777BE32C" w14:textId="77777777" w:rsidR="00DB2B68" w:rsidRDefault="00000000">
      <w:r>
        <w:rPr>
          <w:b/>
        </w:rPr>
        <w:t>(soit par défaut)</w:t>
      </w:r>
    </w:p>
    <w:p w14:paraId="66C700B9"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B73AF37" w14:textId="77777777" w:rsidR="00DB2B68" w:rsidRDefault="00000000">
      <w:r>
        <w:rPr>
          <w:b/>
        </w:rPr>
        <w:t>(soit)</w:t>
      </w:r>
    </w:p>
    <w:p w14:paraId="2015D468"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0826457" w14:textId="77777777" w:rsidR="00DB2B68" w:rsidRDefault="00000000">
      <w:pPr>
        <w:ind w:left="750"/>
      </w:pPr>
      <w:r>
        <w:t> </w:t>
      </w:r>
    </w:p>
    <w:p w14:paraId="255006D1" w14:textId="77777777" w:rsidR="00DB2B68" w:rsidRDefault="00000000">
      <w:pPr>
        <w:pStyle w:val="pheading"/>
      </w:pPr>
      <w:r>
        <w:t>- nature du marché:</w:t>
      </w:r>
    </w:p>
    <w:p w14:paraId="0A225606" w14:textId="77777777" w:rsidR="00DB2B68" w:rsidRDefault="00000000">
      <w:r>
        <w:t>QF</w:t>
      </w:r>
    </w:p>
    <w:p w14:paraId="624AD7D7" w14:textId="77777777" w:rsidR="00DB2B68" w:rsidRDefault="00000000">
      <w:pPr>
        <w:pStyle w:val="pheading"/>
      </w:pPr>
      <w:r>
        <w:t>AIDE</w:t>
      </w:r>
    </w:p>
    <w:p w14:paraId="6C474961" w14:textId="77777777" w:rsidR="00DB2B68" w:rsidRDefault="00000000">
      <w:r>
        <w:t>Note à l'attention de l'auteur du projet</w:t>
      </w:r>
      <w:r>
        <w:br/>
        <w:t>Les blocs de béton pleins sont répartis en catégories de qualité en fonction des combinaisons de résistance à la compression normalisée (premier chiffre exprimé en N/mm2) et à la masse volumique sèche (deuxième chiffre exprimé en tonnes/m3).</w:t>
      </w:r>
    </w:p>
    <w:p w14:paraId="05D6F08C" w14:textId="77777777" w:rsidR="00DB2B68" w:rsidRDefault="00000000">
      <w:pPr>
        <w:pStyle w:val="Author-eSectionHeading6Numberless"/>
      </w:pPr>
      <w:bookmarkStart w:id="32" w:name="_Toc220495197"/>
      <w:r>
        <w:t>21.12.2b Maçonneries portantes en blocs de béton pleins à coller CCTB 01.13</w:t>
      </w:r>
      <w:bookmarkEnd w:id="32"/>
    </w:p>
    <w:p w14:paraId="21D6EA53" w14:textId="77777777" w:rsidR="00DB2B68" w:rsidRDefault="00000000">
      <w:pPr>
        <w:pStyle w:val="pheading"/>
      </w:pPr>
      <w:r>
        <w:t>DESCRIPTION</w:t>
      </w:r>
    </w:p>
    <w:p w14:paraId="4CE84639" w14:textId="77777777" w:rsidR="00DB2B68" w:rsidRDefault="00000000">
      <w:pPr>
        <w:pStyle w:val="pheading"/>
      </w:pPr>
      <w:r>
        <w:t>- Définition / Comprend</w:t>
      </w:r>
    </w:p>
    <w:p w14:paraId="05DACAE8" w14:textId="77777777" w:rsidR="00DB2B68" w:rsidRDefault="00000000">
      <w:r>
        <w:lastRenderedPageBreak/>
        <w:t xml:space="preserve">Il s’agit de la fourniture et la pose de maçonneries portantes en blocs de béton plains à coller. </w:t>
      </w:r>
      <w:r>
        <w:br/>
        <w:t xml:space="preserve">La portée des travaux est décrite dans l’article </w:t>
      </w:r>
      <w:hyperlink w:anchor="368" w:history="1">
        <w:r>
          <w:rPr>
            <w:color w:val="0000EE"/>
          </w:rPr>
          <w:t>21.12.2 Maçonneries portantes en blocs pour murs en contact direct avec la terre</w:t>
        </w:r>
      </w:hyperlink>
      <w:r>
        <w:t>.</w:t>
      </w:r>
      <w:r>
        <w:br/>
        <w:t>Les travaux comprennent également la fourniture et la pose des pièces d’angle, de terminaison et de rencontre.</w:t>
      </w:r>
    </w:p>
    <w:p w14:paraId="35A6E3B9" w14:textId="77777777" w:rsidR="00DB2B68" w:rsidRDefault="00000000">
      <w:pPr>
        <w:pStyle w:val="pheading"/>
      </w:pPr>
      <w:r>
        <w:t>- Localisation</w:t>
      </w:r>
    </w:p>
    <w:p w14:paraId="5E7B07F2" w14:textId="77777777" w:rsidR="00DB2B68" w:rsidRDefault="00000000">
      <w:r>
        <w:t xml:space="preserve">La pose est réalisée aux endroits suivants : </w:t>
      </w:r>
      <w:r>
        <w:rPr>
          <w:rStyle w:val="optioncarChar"/>
        </w:rPr>
        <w:t>***</w:t>
      </w:r>
      <w:r>
        <w:t>.</w:t>
      </w:r>
      <w:r>
        <w:br/>
        <w:t>Voir plans et métrés détaillés.</w:t>
      </w:r>
    </w:p>
    <w:p w14:paraId="30ECC3A7" w14:textId="77777777" w:rsidR="00DB2B68" w:rsidRDefault="00000000">
      <w:pPr>
        <w:pStyle w:val="pheading"/>
      </w:pPr>
      <w:r>
        <w:t>MATÉRIAUX</w:t>
      </w:r>
    </w:p>
    <w:p w14:paraId="061AB75C" w14:textId="77777777" w:rsidR="00DB2B68" w:rsidRDefault="00000000">
      <w:pPr>
        <w:pStyle w:val="pheading"/>
      </w:pPr>
      <w:r>
        <w:t>- Caractéristiques générales</w:t>
      </w:r>
    </w:p>
    <w:p w14:paraId="49F90828" w14:textId="77777777" w:rsidR="00DB2B68" w:rsidRDefault="00000000">
      <w:r>
        <w:rPr>
          <w:rStyle w:val="headingChar"/>
        </w:rPr>
        <w:t>Spécifications</w:t>
      </w:r>
    </w:p>
    <w:p w14:paraId="71BAC829" w14:textId="77777777" w:rsidR="00DB2B68" w:rsidRDefault="00000000">
      <w:r>
        <w:rPr>
          <w:u w:val="single"/>
        </w:rPr>
        <w:t>Blocs</w:t>
      </w:r>
    </w:p>
    <w:p w14:paraId="259DC0BC" w14:textId="77777777" w:rsidR="00DB2B68"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 xml:space="preserve">2/0,8 / 3/1,0 / 4/1,2 / 5/1,4 / 6/1,6 / 8/1,9 / 10/2.2 </w:t>
      </w:r>
      <w:r>
        <w:rPr>
          <w:rStyle w:val="optioncarChar"/>
          <w:color w:val="000000"/>
        </w:rPr>
        <w:t>(par défaut)</w:t>
      </w:r>
      <w:r>
        <w:rPr>
          <w:rStyle w:val="optioncarChar"/>
        </w:rPr>
        <w:t xml:space="preserve"> /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lisse</w:t>
      </w:r>
      <w:r>
        <w:t xml:space="preserve"> (par défaut)</w:t>
      </w:r>
      <w:r>
        <w:rPr>
          <w:rStyle w:val="optioncarChar"/>
        </w:rPr>
        <w:t xml:space="preserve"> / adhérence améliorée / rainurée</w:t>
      </w:r>
      <w:r>
        <w:br/>
      </w:r>
      <w:r>
        <w:br/>
        <w:t xml:space="preserve">Teinte : </w:t>
      </w:r>
      <w:r>
        <w:rPr>
          <w:rStyle w:val="optioncarChar"/>
        </w:rPr>
        <w:t>blanc / gris </w:t>
      </w:r>
      <w:r>
        <w:t xml:space="preserve">(par défaut) </w:t>
      </w:r>
      <w:r>
        <w:rPr>
          <w:rStyle w:val="optioncarChar"/>
        </w:rPr>
        <w:t>/ ***</w:t>
      </w:r>
    </w:p>
    <w:p w14:paraId="2FF7BF3E" w14:textId="77777777" w:rsidR="00DB2B68"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E708A49" w14:textId="77777777" w:rsidR="00DB2B68" w:rsidRDefault="00000000">
      <w:r>
        <w:t>La classe de tolérances dimensionnelles est D4.</w:t>
      </w:r>
    </w:p>
    <w:p w14:paraId="4E75E76A"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 xml:space="preserve">(par défaut) </w:t>
      </w:r>
      <w:r>
        <w:rPr>
          <w:rStyle w:val="optioncarChar"/>
        </w:rPr>
        <w:t>/ ***</w:t>
      </w:r>
    </w:p>
    <w:p w14:paraId="1C3B9FA2" w14:textId="77777777" w:rsidR="00DB2B68" w:rsidRDefault="00000000">
      <w:pPr>
        <w:spacing w:before="0" w:after="0"/>
      </w:pPr>
      <w:r>
        <w:rPr>
          <w:u w:val="single"/>
        </w:rPr>
        <w:t>Mortier</w:t>
      </w:r>
    </w:p>
    <w:p w14:paraId="3667C053" w14:textId="77777777" w:rsidR="00DB2B68"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454A0C04" w14:textId="77777777" w:rsidR="00DB2B68"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44BBC374" w14:textId="77777777" w:rsidR="00DB2B68" w:rsidRDefault="00000000">
      <w:pPr>
        <w:spacing w:before="0" w:after="0"/>
      </w:pPr>
      <w:r>
        <w:rPr>
          <w:rStyle w:val="normalChar"/>
          <w:color w:val="000000"/>
        </w:rPr>
        <w:t>Résistance au gel : oui</w:t>
      </w:r>
    </w:p>
    <w:p w14:paraId="72461659" w14:textId="77777777" w:rsidR="00DB2B68" w:rsidRDefault="00000000">
      <w:r>
        <w:br/>
      </w:r>
      <w:r>
        <w:rPr>
          <w:rStyle w:val="headingChar"/>
        </w:rPr>
        <w:t>Critères De Performances De La Paroi</w:t>
      </w:r>
    </w:p>
    <w:p w14:paraId="05D4530A" w14:textId="77777777" w:rsidR="00DB2B68" w:rsidRDefault="00000000">
      <w:r>
        <w:t>Coefficient de transmission :</w:t>
      </w:r>
    </w:p>
    <w:p w14:paraId="3D82601A" w14:textId="77777777" w:rsidR="00DB2B68" w:rsidRDefault="00000000">
      <w:pPr>
        <w:pStyle w:val="Author-eListParagraph"/>
        <w:numPr>
          <w:ilvl w:val="0"/>
          <w:numId w:val="61"/>
        </w:numPr>
      </w:pPr>
      <w:r>
        <w:t xml:space="preserve">valeur U minimale de </w:t>
      </w:r>
      <w:r>
        <w:rPr>
          <w:rStyle w:val="optioncarChar"/>
        </w:rPr>
        <w:t>***</w:t>
      </w:r>
      <w:r>
        <w:t xml:space="preserve"> W/m²K</w:t>
      </w:r>
    </w:p>
    <w:p w14:paraId="4DADAB7F" w14:textId="77777777" w:rsidR="00DB2B68" w:rsidRDefault="00000000">
      <w:pPr>
        <w:pStyle w:val="Author-eListParagraph"/>
        <w:numPr>
          <w:ilvl w:val="0"/>
          <w:numId w:val="6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A99101D" w14:textId="77777777" w:rsidR="00DB2B68" w:rsidRDefault="00000000">
      <w:r>
        <w:lastRenderedPageBreak/>
        <w:br/>
        <w:t>Résistance au feu :</w:t>
      </w:r>
    </w:p>
    <w:p w14:paraId="7D0BEE5D" w14:textId="77777777" w:rsidR="00DB2B68" w:rsidRDefault="00000000">
      <w:pPr>
        <w:pStyle w:val="Author-eListParagraph"/>
        <w:numPr>
          <w:ilvl w:val="0"/>
          <w:numId w:val="62"/>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4DC47114" w14:textId="77777777" w:rsidR="00DB2B68" w:rsidRDefault="00000000">
      <w:pPr>
        <w:pStyle w:val="Author-eListParagraph"/>
        <w:numPr>
          <w:ilvl w:val="0"/>
          <w:numId w:val="62"/>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0432D985" w14:textId="77777777" w:rsidR="00DB2B68" w:rsidRDefault="00000000">
      <w:r>
        <w:t>selon les tableaux dans [NBN EN 1996-1-2 ANB].</w:t>
      </w:r>
    </w:p>
    <w:p w14:paraId="2DCF8135" w14:textId="77777777" w:rsidR="00DB2B68" w:rsidRDefault="00000000">
      <w:pPr>
        <w:pStyle w:val="pheading"/>
      </w:pPr>
      <w:r>
        <w:t>- Finitions</w:t>
      </w:r>
    </w:p>
    <w:p w14:paraId="0C9CA972" w14:textId="77777777" w:rsidR="00DB2B68" w:rsidRDefault="00000000">
      <w:r>
        <w:t>Les faces de murs suivantes sont exécutées comme maçonneries apparentes et sont</w:t>
      </w:r>
      <w:r>
        <w:rPr>
          <w:rStyle w:val="optioncarChar"/>
        </w:rPr>
        <w:t xml:space="preserve"> rejointoyées</w:t>
      </w:r>
      <w:r>
        <w:t xml:space="preserve"> selon </w:t>
      </w:r>
      <w:hyperlink w:anchor="346" w:history="1">
        <w:r>
          <w:rPr>
            <w:color w:val="0000EE"/>
          </w:rP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r>
        <w:br/>
      </w:r>
      <w:r>
        <w:br/>
      </w:r>
    </w:p>
    <w:p w14:paraId="711D300F" w14:textId="77777777" w:rsidR="00DB2B68" w:rsidRDefault="00000000">
      <w:pPr>
        <w:pStyle w:val="pheading"/>
      </w:pPr>
      <w:r>
        <w:t>EXÉCUTION / MISE EN ŒUVRE</w:t>
      </w:r>
    </w:p>
    <w:p w14:paraId="07C9B1C1" w14:textId="77777777" w:rsidR="00DB2B68" w:rsidRDefault="00000000">
      <w:pPr>
        <w:pStyle w:val="pheading"/>
      </w:pPr>
      <w:r>
        <w:t>- Prescriptions générales</w:t>
      </w:r>
    </w:p>
    <w:p w14:paraId="5FB4E7CB" w14:textId="77777777" w:rsidR="00DB2B68" w:rsidRDefault="00000000">
      <w:r>
        <w:t>Tous les joints horizontaux et verticaux sont bien remplis. Les maçonneries et les colonnes en béton dans les murs extérieurs continus sont liaisonnés mécaniquement tous les 0,60 m.</w:t>
      </w:r>
    </w:p>
    <w:p w14:paraId="3A2D36CE" w14:textId="77777777" w:rsidR="00DB2B68" w:rsidRDefault="00000000">
      <w:pPr>
        <w:pStyle w:val="pheading"/>
      </w:pPr>
      <w:r>
        <w:t>MESURAGE</w:t>
      </w:r>
    </w:p>
    <w:p w14:paraId="739C516D" w14:textId="77777777" w:rsidR="00DB2B68" w:rsidRDefault="00000000">
      <w:pPr>
        <w:pStyle w:val="pheading"/>
      </w:pPr>
      <w:r>
        <w:t>- unité de mesure:</w:t>
      </w:r>
    </w:p>
    <w:p w14:paraId="4EECC592" w14:textId="77777777" w:rsidR="00DB2B68" w:rsidRDefault="00000000">
      <w:r>
        <w:rPr>
          <w:rStyle w:val="optioncarChar"/>
        </w:rPr>
        <w:t>m³ </w:t>
      </w:r>
      <w:r>
        <w:t>(par défaut)</w:t>
      </w:r>
      <w:r>
        <w:rPr>
          <w:rStyle w:val="optioncarChar"/>
        </w:rPr>
        <w:t> / m²</w:t>
      </w:r>
    </w:p>
    <w:p w14:paraId="6C645F5B" w14:textId="77777777" w:rsidR="00DB2B68" w:rsidRDefault="00000000">
      <w:r>
        <w:rPr>
          <w:b/>
        </w:rPr>
        <w:t>(soit par défaut)</w:t>
      </w:r>
    </w:p>
    <w:p w14:paraId="61AB26C9" w14:textId="77777777" w:rsidR="00DB2B68" w:rsidRDefault="00000000">
      <w:r>
        <w:rPr>
          <w:rStyle w:val="soitChar"/>
        </w:rPr>
        <w:t>1. m³</w:t>
      </w:r>
    </w:p>
    <w:p w14:paraId="7DFBC941" w14:textId="77777777" w:rsidR="00DB2B68" w:rsidRDefault="00000000">
      <w:r>
        <w:rPr>
          <w:b/>
        </w:rPr>
        <w:t>(soit)</w:t>
      </w:r>
    </w:p>
    <w:p w14:paraId="3F64B375" w14:textId="77777777" w:rsidR="00DB2B68" w:rsidRDefault="00000000">
      <w:r>
        <w:rPr>
          <w:rStyle w:val="soitChar"/>
        </w:rPr>
        <w:t>2. m²</w:t>
      </w:r>
    </w:p>
    <w:p w14:paraId="15455843" w14:textId="77777777" w:rsidR="00DB2B68" w:rsidRDefault="00000000">
      <w:pPr>
        <w:pStyle w:val="pheading"/>
      </w:pPr>
      <w:r>
        <w:t>- code de mesurage:</w:t>
      </w:r>
    </w:p>
    <w:p w14:paraId="2057C421"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20BEBE5"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E659C16"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B21E76A" w14:textId="77777777" w:rsidR="00DB2B68" w:rsidRDefault="00000000">
      <w:r>
        <w:br/>
      </w:r>
      <w:r>
        <w:rPr>
          <w:rStyle w:val="optioncarChar"/>
        </w:rPr>
        <w:t>Volume net </w:t>
      </w:r>
      <w:r>
        <w:t>(par défaut)</w:t>
      </w:r>
      <w:r>
        <w:rPr>
          <w:rStyle w:val="optioncarChar"/>
        </w:rPr>
        <w:t> / Surface nette</w:t>
      </w:r>
    </w:p>
    <w:p w14:paraId="7EB784E0" w14:textId="77777777" w:rsidR="00DB2B68" w:rsidRDefault="00000000">
      <w:r>
        <w:rPr>
          <w:b/>
        </w:rPr>
        <w:t>(soit par défaut)</w:t>
      </w:r>
    </w:p>
    <w:p w14:paraId="61718E7E"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C746132" w14:textId="77777777" w:rsidR="00DB2B68" w:rsidRDefault="00000000">
      <w:r>
        <w:rPr>
          <w:b/>
        </w:rPr>
        <w:lastRenderedPageBreak/>
        <w:t>(soit)</w:t>
      </w:r>
    </w:p>
    <w:p w14:paraId="77C1AACE"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BC29366" w14:textId="77777777" w:rsidR="00DB2B68" w:rsidRDefault="00000000">
      <w:pPr>
        <w:ind w:left="750"/>
      </w:pPr>
      <w:r>
        <w:t> </w:t>
      </w:r>
    </w:p>
    <w:p w14:paraId="529DA5EB" w14:textId="77777777" w:rsidR="00DB2B68" w:rsidRDefault="00000000">
      <w:pPr>
        <w:pStyle w:val="pheading"/>
      </w:pPr>
      <w:r>
        <w:t>- nature du marché:</w:t>
      </w:r>
    </w:p>
    <w:p w14:paraId="04F2F780" w14:textId="77777777" w:rsidR="00DB2B68" w:rsidRDefault="00DB2B68"/>
    <w:p w14:paraId="780D95C8" w14:textId="77777777" w:rsidR="00DB2B68" w:rsidRDefault="00000000">
      <w:r>
        <w:t>QF</w:t>
      </w:r>
    </w:p>
    <w:p w14:paraId="3C3800E8" w14:textId="77777777" w:rsidR="00DB2B68" w:rsidRDefault="00000000">
      <w:pPr>
        <w:pStyle w:val="Author-eSectionHeading6Numberless"/>
      </w:pPr>
      <w:bookmarkStart w:id="33" w:name="_Toc220495198"/>
      <w:r>
        <w:t>21.12.2c Maçonneries portantes en blocs de béton creux à maçonner CCTB 01.13</w:t>
      </w:r>
      <w:bookmarkEnd w:id="33"/>
    </w:p>
    <w:p w14:paraId="4B87A9CF" w14:textId="77777777" w:rsidR="00DB2B68" w:rsidRDefault="00000000">
      <w:pPr>
        <w:pStyle w:val="pheading"/>
      </w:pPr>
      <w:r>
        <w:t>DESCRIPTION</w:t>
      </w:r>
    </w:p>
    <w:p w14:paraId="2E8A48C3" w14:textId="77777777" w:rsidR="00DB2B68" w:rsidRDefault="00000000">
      <w:pPr>
        <w:pStyle w:val="pheading"/>
      </w:pPr>
      <w:r>
        <w:t>- Définition / Comprend</w:t>
      </w:r>
    </w:p>
    <w:p w14:paraId="0A161D29" w14:textId="77777777" w:rsidR="00DB2B68" w:rsidRDefault="00000000">
      <w:r>
        <w:t xml:space="preserve">Il s’agit de la fourniture et la pose de maçonneries portantes en blocs de béton creux à maçonner. </w:t>
      </w:r>
      <w:r>
        <w:br/>
        <w:t xml:space="preserve">La portée des travaux est décrite dans l’article </w:t>
      </w:r>
      <w:hyperlink w:anchor="368" w:history="1">
        <w:r>
          <w:rPr>
            <w:color w:val="0000EE"/>
          </w:rPr>
          <w:t>21.12.2 Maçonneries portantes en blocs pour murs en contact direct avec la terre</w:t>
        </w:r>
      </w:hyperlink>
      <w:r>
        <w:t>.</w:t>
      </w:r>
      <w:r>
        <w:br/>
        <w:t>Les travaux comprennent également la fourniture et la pose des pièces d’angle, de terminaison et de rencontre.</w:t>
      </w:r>
    </w:p>
    <w:p w14:paraId="0D6969D7" w14:textId="77777777" w:rsidR="00DB2B68" w:rsidRDefault="00000000">
      <w:pPr>
        <w:pStyle w:val="pheading"/>
      </w:pPr>
      <w:r>
        <w:t>- Localisation</w:t>
      </w:r>
    </w:p>
    <w:p w14:paraId="200E1C92" w14:textId="77777777" w:rsidR="00DB2B68" w:rsidRDefault="00000000">
      <w:r>
        <w:t xml:space="preserve">La pose est réalisée aux endroits suivants : </w:t>
      </w:r>
      <w:r>
        <w:rPr>
          <w:rStyle w:val="optioncarChar"/>
        </w:rPr>
        <w:t>***</w:t>
      </w:r>
      <w:r>
        <w:t>.</w:t>
      </w:r>
      <w:r>
        <w:br/>
        <w:t>Voir plans et métrés détaillés.</w:t>
      </w:r>
    </w:p>
    <w:p w14:paraId="586AE11C" w14:textId="77777777" w:rsidR="00DB2B68" w:rsidRDefault="00000000">
      <w:pPr>
        <w:pStyle w:val="pheading"/>
      </w:pPr>
      <w:r>
        <w:t>MATÉRIAUX</w:t>
      </w:r>
    </w:p>
    <w:p w14:paraId="174AC15F" w14:textId="77777777" w:rsidR="00DB2B68" w:rsidRDefault="00000000">
      <w:pPr>
        <w:pStyle w:val="pheading"/>
      </w:pPr>
      <w:r>
        <w:t>- Caractéristiques générales</w:t>
      </w:r>
    </w:p>
    <w:p w14:paraId="29E916F4" w14:textId="77777777" w:rsidR="00DB2B68" w:rsidRDefault="00000000">
      <w:r>
        <w:rPr>
          <w:rStyle w:val="headingChar"/>
        </w:rPr>
        <w:t>Spécifications</w:t>
      </w:r>
    </w:p>
    <w:p w14:paraId="6E226661" w14:textId="77777777" w:rsidR="00DB2B68" w:rsidRDefault="00000000">
      <w:r>
        <w:rPr>
          <w:u w:val="single"/>
        </w:rPr>
        <w:t>Blocs</w:t>
      </w:r>
    </w:p>
    <w:p w14:paraId="38BE8BFA" w14:textId="77777777" w:rsidR="00DB2B68"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 / 3/1,0 / 4/1,2 / 5/1,4 / 6/1,6 / 8/1,9 / 10/2.2</w:t>
      </w:r>
      <w:r>
        <w:rPr>
          <w:rStyle w:val="optioncarChar"/>
          <w:color w:val="000000"/>
        </w:rPr>
        <w:t xml:space="preserve"> (par défaut)</w:t>
      </w:r>
      <w:r>
        <w:rPr>
          <w:rStyle w:val="optioncarChar"/>
        </w:rPr>
        <w:t xml:space="preserve"> / 15/2,2+ / ***</w:t>
      </w:r>
    </w:p>
    <w:p w14:paraId="010CCFAA" w14:textId="77777777" w:rsidR="00DB2B68" w:rsidRDefault="00000000">
      <w:r>
        <w:t xml:space="preserve">Le groupe de configuration suivant [NBN EN 1996-1-1+A1 ANB] est: </w:t>
      </w:r>
      <w:r>
        <w:rPr>
          <w:rStyle w:val="optioncarChar"/>
        </w:rPr>
        <w:t>2 / 3 / 4 / creux </w:t>
      </w:r>
      <w:r>
        <w:t>(par défaut)</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Face à cimenter ou plafonner :</w:t>
      </w:r>
      <w:r>
        <w:rPr>
          <w:rStyle w:val="optioncarChar"/>
        </w:rPr>
        <w:t xml:space="preserve"> lisse</w:t>
      </w:r>
      <w:r>
        <w:t xml:space="preserve"> (par défaut)</w:t>
      </w:r>
      <w:r>
        <w:rPr>
          <w:rStyle w:val="optioncarChar"/>
        </w:rPr>
        <w:t xml:space="preserve"> / adhérence améliorée/ rainurée</w:t>
      </w:r>
      <w:r>
        <w:br/>
      </w:r>
      <w:r>
        <w:br/>
        <w:t>Teinte :</w:t>
      </w:r>
      <w:r>
        <w:rPr>
          <w:rStyle w:val="optioncarChar"/>
        </w:rPr>
        <w:t xml:space="preserve"> blanc / gris </w:t>
      </w:r>
      <w:r>
        <w:t>(par défaut) </w:t>
      </w:r>
      <w:r>
        <w:rPr>
          <w:rStyle w:val="optioncarChar"/>
        </w:rPr>
        <w:t>/ ***</w:t>
      </w:r>
      <w:r>
        <w:br/>
      </w:r>
      <w:r>
        <w:br/>
        <w:t xml:space="preserve">Format : (L x l x h) </w:t>
      </w:r>
      <w:r>
        <w:rPr>
          <w:rStyle w:val="optioncarChar"/>
        </w:rPr>
        <w:t>*** x *** x *** mm / format modulaire proposé par l'entrepreneur</w:t>
      </w:r>
      <w:r>
        <w:t> (par défaut)</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w:t>
      </w:r>
      <w:r>
        <w:t> (par défaut)</w:t>
      </w:r>
      <w:r>
        <w:rPr>
          <w:rStyle w:val="optioncarChar"/>
        </w:rPr>
        <w:t xml:space="preserve"> / ***</w:t>
      </w:r>
    </w:p>
    <w:p w14:paraId="63875811" w14:textId="77777777" w:rsidR="00DB2B68" w:rsidRDefault="00000000">
      <w:pPr>
        <w:spacing w:before="0" w:after="0"/>
      </w:pPr>
      <w:r>
        <w:rPr>
          <w:u w:val="single"/>
        </w:rPr>
        <w:lastRenderedPageBreak/>
        <w:t>Mortier</w:t>
      </w:r>
    </w:p>
    <w:p w14:paraId="5A4A5D91"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71F45D5D"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6AEA2E2" w14:textId="77777777" w:rsidR="00DB2B68" w:rsidRDefault="00000000">
      <w:pPr>
        <w:spacing w:before="0" w:after="0"/>
      </w:pPr>
      <w:r>
        <w:rPr>
          <w:rStyle w:val="normalChar"/>
          <w:color w:val="000000"/>
        </w:rPr>
        <w:t>Résistance au gel : oui</w:t>
      </w:r>
    </w:p>
    <w:p w14:paraId="34AB99BC" w14:textId="77777777" w:rsidR="00DB2B68" w:rsidRDefault="00000000">
      <w:r>
        <w:br/>
      </w:r>
      <w:r>
        <w:rPr>
          <w:rStyle w:val="headingChar"/>
        </w:rPr>
        <w:t>Critères De Performances De La Paroi</w:t>
      </w:r>
    </w:p>
    <w:p w14:paraId="36358EC6" w14:textId="77777777" w:rsidR="00DB2B68" w:rsidRDefault="00000000">
      <w:r>
        <w:t>Coefficient de transmission :</w:t>
      </w:r>
    </w:p>
    <w:p w14:paraId="3FB314BA" w14:textId="77777777" w:rsidR="00DB2B68" w:rsidRDefault="00000000">
      <w:pPr>
        <w:pStyle w:val="Author-eListParagraph"/>
        <w:numPr>
          <w:ilvl w:val="0"/>
          <w:numId w:val="63"/>
        </w:numPr>
      </w:pPr>
      <w:r>
        <w:t xml:space="preserve">valeur U minimale de </w:t>
      </w:r>
      <w:r>
        <w:rPr>
          <w:rStyle w:val="optioncarChar"/>
        </w:rPr>
        <w:t>***</w:t>
      </w:r>
      <w:r>
        <w:t xml:space="preserve"> W/m²K</w:t>
      </w:r>
    </w:p>
    <w:p w14:paraId="542EF265" w14:textId="77777777" w:rsidR="00DB2B68" w:rsidRDefault="00000000">
      <w:pPr>
        <w:pStyle w:val="Author-eListParagraph"/>
        <w:numPr>
          <w:ilvl w:val="0"/>
          <w:numId w:val="6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815E9D4" w14:textId="77777777" w:rsidR="00DB2B68" w:rsidRDefault="00000000">
      <w:r>
        <w:br/>
        <w:t>Résistance au feu :</w:t>
      </w:r>
    </w:p>
    <w:p w14:paraId="6BB83B63" w14:textId="77777777" w:rsidR="00DB2B68" w:rsidRDefault="00000000">
      <w:pPr>
        <w:pStyle w:val="Author-eListParagraph"/>
        <w:numPr>
          <w:ilvl w:val="0"/>
          <w:numId w:val="64"/>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15CB28D9" w14:textId="77777777" w:rsidR="00DB2B68" w:rsidRDefault="00000000">
      <w:pPr>
        <w:pStyle w:val="Author-eListParagraph"/>
        <w:numPr>
          <w:ilvl w:val="0"/>
          <w:numId w:val="64"/>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2DEAC541" w14:textId="77777777" w:rsidR="00DB2B68" w:rsidRDefault="00000000">
      <w:r>
        <w:t>selon les tableaux dans [NBN EN 1996-1-2 ANB].</w:t>
      </w:r>
    </w:p>
    <w:p w14:paraId="229E1FD6" w14:textId="77777777" w:rsidR="00DB2B68" w:rsidRDefault="00000000">
      <w:pPr>
        <w:pStyle w:val="pheading"/>
      </w:pPr>
      <w:r>
        <w:t>- Finitions</w:t>
      </w:r>
    </w:p>
    <w:p w14:paraId="27382AB0" w14:textId="77777777" w:rsidR="00DB2B68" w:rsidRDefault="00000000">
      <w:pPr>
        <w:pStyle w:val="Author-eListParagraph"/>
        <w:numPr>
          <w:ilvl w:val="0"/>
          <w:numId w:val="65"/>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30CA6287" w14:textId="77777777" w:rsidR="00DB2B68" w:rsidRDefault="00000000">
      <w:pPr>
        <w:pStyle w:val="Author-eListParagraph"/>
        <w:numPr>
          <w:ilvl w:val="0"/>
          <w:numId w:val="65"/>
        </w:numPr>
      </w:pPr>
      <w:r>
        <w:t xml:space="preserve">Les murs suivants sont exécutés avec une face restant apparente : </w:t>
      </w:r>
      <w:r>
        <w:rPr>
          <w:rStyle w:val="optioncarChar"/>
        </w:rPr>
        <w:t>***</w:t>
      </w:r>
    </w:p>
    <w:p w14:paraId="5F329E8C" w14:textId="77777777" w:rsidR="00DB2B68" w:rsidRDefault="00000000">
      <w:pPr>
        <w:pStyle w:val="Author-eListParagraph"/>
        <w:numPr>
          <w:ilvl w:val="0"/>
          <w:numId w:val="65"/>
        </w:numPr>
      </w:pPr>
      <w:r>
        <w:t xml:space="preserve">Les murs suivants sont exécutés avec deux faces restant apparentes : </w:t>
      </w:r>
      <w:r>
        <w:rPr>
          <w:rStyle w:val="optioncarChar"/>
        </w:rPr>
        <w:t>***</w:t>
      </w:r>
    </w:p>
    <w:p w14:paraId="33F941F8" w14:textId="77777777" w:rsidR="00DB2B68" w:rsidRDefault="00000000">
      <w:pPr>
        <w:ind w:left="750"/>
      </w:pPr>
      <w:r>
        <w:t> </w:t>
      </w:r>
    </w:p>
    <w:p w14:paraId="7C648A27" w14:textId="77777777" w:rsidR="00DB2B68" w:rsidRDefault="00000000">
      <w:pPr>
        <w:pStyle w:val="pheading"/>
      </w:pPr>
      <w:r>
        <w:t>EXÉCUTION / MISE EN ŒUVRE</w:t>
      </w:r>
    </w:p>
    <w:p w14:paraId="3814E9D0" w14:textId="77777777" w:rsidR="00DB2B68" w:rsidRDefault="00000000">
      <w:pPr>
        <w:pStyle w:val="pheading"/>
      </w:pPr>
      <w:r>
        <w:t>- Prescriptions générales</w:t>
      </w:r>
    </w:p>
    <w:p w14:paraId="155A9CEB" w14:textId="77777777" w:rsidR="00DB2B68" w:rsidRDefault="00000000">
      <w:r>
        <w:t>La pose est effectuée à plein bain de mortier (tous les joints horizontaux et verticaux sont bien remplis) Aux endroits prévus pour la pose de linteaux et/ou de poutres de répartition, les blocs creux sont remplis de béton.</w:t>
      </w:r>
    </w:p>
    <w:p w14:paraId="50429A5E" w14:textId="77777777" w:rsidR="00DB2B68" w:rsidRDefault="00000000">
      <w:pPr>
        <w:pStyle w:val="pheading"/>
      </w:pPr>
      <w:r>
        <w:t>MESURAGE</w:t>
      </w:r>
    </w:p>
    <w:p w14:paraId="2628EE6D" w14:textId="77777777" w:rsidR="00DB2B68" w:rsidRDefault="00000000">
      <w:pPr>
        <w:pStyle w:val="pheading"/>
      </w:pPr>
      <w:r>
        <w:t>- unité de mesure:</w:t>
      </w:r>
    </w:p>
    <w:p w14:paraId="0B4FA31E" w14:textId="77777777" w:rsidR="00DB2B68" w:rsidRDefault="00000000">
      <w:r>
        <w:rPr>
          <w:rStyle w:val="optioncarChar"/>
        </w:rPr>
        <w:t>m³ </w:t>
      </w:r>
      <w:r>
        <w:t>(par défaut)</w:t>
      </w:r>
      <w:r>
        <w:rPr>
          <w:rStyle w:val="optioncarChar"/>
        </w:rPr>
        <w:t> / m²</w:t>
      </w:r>
    </w:p>
    <w:p w14:paraId="09316F5F" w14:textId="77777777" w:rsidR="00DB2B68" w:rsidRDefault="00000000">
      <w:r>
        <w:rPr>
          <w:b/>
        </w:rPr>
        <w:t>(soit par défaut)</w:t>
      </w:r>
    </w:p>
    <w:p w14:paraId="488A4F33" w14:textId="77777777" w:rsidR="00DB2B68" w:rsidRDefault="00000000">
      <w:r>
        <w:rPr>
          <w:rStyle w:val="soitChar"/>
        </w:rPr>
        <w:t>1. m³</w:t>
      </w:r>
    </w:p>
    <w:p w14:paraId="7D0D4080" w14:textId="77777777" w:rsidR="00DB2B68" w:rsidRDefault="00000000">
      <w:r>
        <w:rPr>
          <w:b/>
        </w:rPr>
        <w:t>(soit)</w:t>
      </w:r>
    </w:p>
    <w:p w14:paraId="00705AB3" w14:textId="77777777" w:rsidR="00DB2B68" w:rsidRDefault="00000000">
      <w:r>
        <w:rPr>
          <w:rStyle w:val="soitChar"/>
        </w:rPr>
        <w:t>2. m²</w:t>
      </w:r>
    </w:p>
    <w:p w14:paraId="71544397" w14:textId="77777777" w:rsidR="00DB2B68" w:rsidRDefault="00000000">
      <w:pPr>
        <w:pStyle w:val="pheading"/>
      </w:pPr>
      <w:r>
        <w:t>- code de mesurage:</w:t>
      </w:r>
    </w:p>
    <w:p w14:paraId="48B1EB65"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CA06A84"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1232836" w14:textId="77777777" w:rsidR="00DB2B68" w:rsidRDefault="00000000">
      <w:r>
        <w:lastRenderedPageBreak/>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CCA8CF1" w14:textId="77777777" w:rsidR="00DB2B68" w:rsidRDefault="00000000">
      <w:r>
        <w:br/>
      </w:r>
      <w:r>
        <w:rPr>
          <w:rStyle w:val="optioncarChar"/>
        </w:rPr>
        <w:t>Volume net </w:t>
      </w:r>
      <w:r>
        <w:t>(par défaut)</w:t>
      </w:r>
      <w:r>
        <w:rPr>
          <w:rStyle w:val="optioncarChar"/>
        </w:rPr>
        <w:t> / Surface nette</w:t>
      </w:r>
    </w:p>
    <w:p w14:paraId="218DAD8E" w14:textId="77777777" w:rsidR="00DB2B68" w:rsidRDefault="00000000">
      <w:r>
        <w:rPr>
          <w:b/>
        </w:rPr>
        <w:t>(soit par défaut)</w:t>
      </w:r>
    </w:p>
    <w:p w14:paraId="5347D64F"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5F5779C" w14:textId="77777777" w:rsidR="00DB2B68" w:rsidRDefault="00000000">
      <w:r>
        <w:rPr>
          <w:b/>
        </w:rPr>
        <w:t>(soit)</w:t>
      </w:r>
    </w:p>
    <w:p w14:paraId="34FA4628"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0624600" w14:textId="77777777" w:rsidR="00DB2B68" w:rsidRDefault="00000000">
      <w:pPr>
        <w:pStyle w:val="pheading"/>
      </w:pPr>
      <w:r>
        <w:t>- nature du marché:</w:t>
      </w:r>
    </w:p>
    <w:p w14:paraId="55241CD4" w14:textId="77777777" w:rsidR="00DB2B68" w:rsidRDefault="00000000">
      <w:r>
        <w:t>QF</w:t>
      </w:r>
    </w:p>
    <w:p w14:paraId="6572DF03" w14:textId="77777777" w:rsidR="00DB2B68" w:rsidRDefault="00000000">
      <w:pPr>
        <w:pStyle w:val="Author-eSectionHeading6Numberless"/>
      </w:pPr>
      <w:bookmarkStart w:id="34" w:name="_Toc220495199"/>
      <w:r>
        <w:t>21.12.2d Maçonneries portantes en blocs de béton creux à coller CCTB 01.13</w:t>
      </w:r>
      <w:bookmarkEnd w:id="34"/>
    </w:p>
    <w:p w14:paraId="02E250D5" w14:textId="77777777" w:rsidR="00DB2B68" w:rsidRDefault="00000000">
      <w:pPr>
        <w:pStyle w:val="pheading"/>
      </w:pPr>
      <w:r>
        <w:t>DESCRIPTION</w:t>
      </w:r>
    </w:p>
    <w:p w14:paraId="3F43AD95" w14:textId="77777777" w:rsidR="00DB2B68" w:rsidRDefault="00000000">
      <w:pPr>
        <w:pStyle w:val="pheading"/>
      </w:pPr>
      <w:r>
        <w:t>- Définition / Comprend</w:t>
      </w:r>
    </w:p>
    <w:p w14:paraId="2266FB6F" w14:textId="77777777" w:rsidR="00DB2B68" w:rsidRDefault="00000000">
      <w:r>
        <w:t xml:space="preserve">Il s’agit de la fourniture et la pose de maçonneries portantes en blocs de béton creux à coller. </w:t>
      </w:r>
      <w:r>
        <w:br/>
        <w:t xml:space="preserve">La portée des travaux est décrite dans l’article </w:t>
      </w:r>
      <w:hyperlink w:anchor="368" w:history="1">
        <w:r>
          <w:rPr>
            <w:color w:val="0000EE"/>
          </w:rPr>
          <w:t>21.12.2 Maçonneries portantes en blocs pour murs en contact direct avec la terre</w:t>
        </w:r>
      </w:hyperlink>
      <w:r>
        <w:t>.</w:t>
      </w:r>
      <w:r>
        <w:br/>
        <w:t>Les travaux comprennent également la fourniture et la pose des pièces d’angle, de terminaison et de rencontre.</w:t>
      </w:r>
    </w:p>
    <w:p w14:paraId="63C894AF" w14:textId="77777777" w:rsidR="00DB2B68" w:rsidRDefault="00000000">
      <w:pPr>
        <w:pStyle w:val="pheading"/>
      </w:pPr>
      <w:r>
        <w:t>- Localisation</w:t>
      </w:r>
    </w:p>
    <w:p w14:paraId="20FCE2BB" w14:textId="77777777" w:rsidR="00DB2B68" w:rsidRDefault="00000000">
      <w:r>
        <w:t>La pose est réalisée aux endroits suivants :</w:t>
      </w:r>
      <w:r>
        <w:rPr>
          <w:rStyle w:val="optioncarChar"/>
        </w:rPr>
        <w:t xml:space="preserve"> ***</w:t>
      </w:r>
      <w:r>
        <w:t>.</w:t>
      </w:r>
      <w:r>
        <w:br/>
        <w:t>Voir plans et métrés détaillés.</w:t>
      </w:r>
    </w:p>
    <w:p w14:paraId="2092DBA7" w14:textId="77777777" w:rsidR="00DB2B68" w:rsidRDefault="00000000">
      <w:pPr>
        <w:pStyle w:val="pheading"/>
      </w:pPr>
      <w:r>
        <w:t>MATÉRIAUX</w:t>
      </w:r>
    </w:p>
    <w:p w14:paraId="3D016697" w14:textId="77777777" w:rsidR="00DB2B68" w:rsidRDefault="00000000">
      <w:pPr>
        <w:pStyle w:val="pheading"/>
      </w:pPr>
      <w:r>
        <w:t>- Caractéristiques générales</w:t>
      </w:r>
    </w:p>
    <w:p w14:paraId="79C98F49" w14:textId="77777777" w:rsidR="00DB2B68" w:rsidRDefault="00000000">
      <w:r>
        <w:rPr>
          <w:rStyle w:val="headingChar"/>
        </w:rPr>
        <w:t>Spécifications</w:t>
      </w:r>
    </w:p>
    <w:p w14:paraId="448ADAF5" w14:textId="77777777" w:rsidR="00DB2B68" w:rsidRDefault="00000000">
      <w:r>
        <w:rPr>
          <w:u w:val="single"/>
        </w:rPr>
        <w:t>Blocs</w:t>
      </w:r>
    </w:p>
    <w:p w14:paraId="1DFEB12A" w14:textId="77777777" w:rsidR="00DB2B68"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w:t>
      </w:r>
      <w:r>
        <w:t xml:space="preserve"> (par défaut) </w:t>
      </w:r>
      <w:r>
        <w:rPr>
          <w:rStyle w:val="optioncarChar"/>
        </w:rPr>
        <w:t xml:space="preserve">/ 3/1,0 / 4/1,2 / 5/1,4 / 6/1,6 / 8/1,9 / 10/2.2 </w:t>
      </w:r>
      <w:r>
        <w:rPr>
          <w:rStyle w:val="optioncarChar"/>
          <w:color w:val="000000"/>
        </w:rPr>
        <w:t>(par défaut)</w:t>
      </w:r>
      <w:r>
        <w:rPr>
          <w:rStyle w:val="optioncarChar"/>
        </w:rPr>
        <w:t xml:space="preserve"> / 15/2,2+ / ***</w:t>
      </w:r>
    </w:p>
    <w:p w14:paraId="4EDF48A9" w14:textId="77777777" w:rsidR="00DB2B68" w:rsidRDefault="00000000">
      <w:r>
        <w:t xml:space="preserve">Le groupe de configuration suivant [NBN EN 1996-1-1+A1 ANB] est </w:t>
      </w:r>
      <w:r>
        <w:rPr>
          <w:rStyle w:val="optioncarChar"/>
        </w:rPr>
        <w:t>2 / 3 / 4 / creux </w:t>
      </w:r>
      <w:r>
        <w:t>(par défaut)</w:t>
      </w:r>
      <w:r>
        <w:rPr>
          <w:rStyle w:val="optioncarChar"/>
        </w:rPr>
        <w:t xml:space="preserve"> / ***</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w:t>
      </w:r>
      <w:r>
        <w:t xml:space="preserve"> (par défaut) </w:t>
      </w:r>
      <w:r>
        <w:rPr>
          <w:rStyle w:val="optioncarChar"/>
        </w:rPr>
        <w:t>/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lisse</w:t>
      </w:r>
      <w:r>
        <w:t xml:space="preserve"> (par défaut)</w:t>
      </w:r>
      <w:r>
        <w:rPr>
          <w:rStyle w:val="optioncarChar"/>
        </w:rPr>
        <w:t xml:space="preserve"> / adhérence améliorée/ rainurée</w:t>
      </w:r>
      <w:r>
        <w:br/>
      </w:r>
      <w:r>
        <w:lastRenderedPageBreak/>
        <w:br/>
        <w:t xml:space="preserve">Teinte : </w:t>
      </w:r>
      <w:r>
        <w:rPr>
          <w:rStyle w:val="optioncarChar"/>
        </w:rPr>
        <w:t xml:space="preserve">blanc / gris </w:t>
      </w:r>
      <w:r>
        <w:t>(par défaut) </w:t>
      </w:r>
      <w:r>
        <w:rPr>
          <w:rStyle w:val="optioncarChar"/>
        </w:rPr>
        <w:t>/ ***</w:t>
      </w:r>
      <w:r>
        <w:br/>
      </w:r>
      <w:r>
        <w:br/>
      </w:r>
    </w:p>
    <w:p w14:paraId="66F36245" w14:textId="77777777" w:rsidR="00DB2B68" w:rsidRDefault="00000000">
      <w: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220DD9F8" w14:textId="77777777" w:rsidR="00DB2B68" w:rsidRDefault="00000000">
      <w:r>
        <w:t>La classe de tolérances dimensionnelles est D4</w:t>
      </w:r>
    </w:p>
    <w:p w14:paraId="086FBDF6"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Réaction au feu :</w:t>
      </w:r>
      <w:r>
        <w:rPr>
          <w:rStyle w:val="optioncarChar"/>
        </w:rPr>
        <w:t xml:space="preserve"> A1 </w:t>
      </w:r>
      <w:r>
        <w:t>(par défaut)</w:t>
      </w:r>
      <w:r>
        <w:rPr>
          <w:rStyle w:val="optioncarChar"/>
        </w:rPr>
        <w:t xml:space="preserve"> / ***</w:t>
      </w:r>
    </w:p>
    <w:p w14:paraId="41D7490E" w14:textId="77777777" w:rsidR="00DB2B68" w:rsidRDefault="00000000">
      <w:pPr>
        <w:spacing w:before="0" w:after="0"/>
      </w:pPr>
      <w:r>
        <w:rPr>
          <w:u w:val="single"/>
        </w:rPr>
        <w:t>Mortier</w:t>
      </w:r>
    </w:p>
    <w:p w14:paraId="7B1A6AE2" w14:textId="77777777" w:rsidR="00DB2B68"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3F836746" w14:textId="77777777" w:rsidR="00DB2B68"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2F1DB5FB" w14:textId="77777777" w:rsidR="00DB2B68" w:rsidRDefault="00000000">
      <w:pPr>
        <w:spacing w:before="0" w:after="0"/>
      </w:pPr>
      <w:r>
        <w:rPr>
          <w:rStyle w:val="normalChar"/>
          <w:color w:val="000000"/>
        </w:rPr>
        <w:t>Résistance au gel : oui</w:t>
      </w:r>
    </w:p>
    <w:p w14:paraId="21DB37F3" w14:textId="77777777" w:rsidR="00DB2B68" w:rsidRDefault="00000000">
      <w:r>
        <w:br/>
      </w:r>
      <w:r>
        <w:rPr>
          <w:rStyle w:val="headingChar"/>
        </w:rPr>
        <w:t>Critères De Performances De La Paroi</w:t>
      </w:r>
    </w:p>
    <w:p w14:paraId="71FE2FFA" w14:textId="77777777" w:rsidR="00DB2B68" w:rsidRDefault="00000000">
      <w:r>
        <w:t>Coefficient de transmission :</w:t>
      </w:r>
    </w:p>
    <w:p w14:paraId="3F838DB2" w14:textId="77777777" w:rsidR="00DB2B68" w:rsidRDefault="00000000">
      <w:pPr>
        <w:pStyle w:val="Author-eListParagraph"/>
        <w:numPr>
          <w:ilvl w:val="0"/>
          <w:numId w:val="66"/>
        </w:numPr>
      </w:pPr>
      <w:r>
        <w:t xml:space="preserve">valeur U minimale de </w:t>
      </w:r>
      <w:r>
        <w:rPr>
          <w:rStyle w:val="optioncarChar"/>
        </w:rPr>
        <w:t>***</w:t>
      </w:r>
      <w:r>
        <w:t xml:space="preserve"> W/m²K</w:t>
      </w:r>
    </w:p>
    <w:p w14:paraId="34DFB384" w14:textId="77777777" w:rsidR="00DB2B68" w:rsidRDefault="00000000">
      <w:pPr>
        <w:pStyle w:val="Author-eListParagraph"/>
        <w:numPr>
          <w:ilvl w:val="0"/>
          <w:numId w:val="6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4F69E3B" w14:textId="77777777" w:rsidR="00DB2B68" w:rsidRDefault="00000000">
      <w:r>
        <w:br/>
        <w:t>Résistance au feu :</w:t>
      </w:r>
    </w:p>
    <w:p w14:paraId="0420F7A8" w14:textId="77777777" w:rsidR="00DB2B68" w:rsidRDefault="00000000">
      <w:pPr>
        <w:pStyle w:val="Author-eListParagraph"/>
        <w:numPr>
          <w:ilvl w:val="0"/>
          <w:numId w:val="67"/>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7FC9A0AC" w14:textId="77777777" w:rsidR="00DB2B68" w:rsidRDefault="00000000">
      <w:pPr>
        <w:pStyle w:val="Author-eListParagraph"/>
        <w:numPr>
          <w:ilvl w:val="0"/>
          <w:numId w:val="67"/>
        </w:numPr>
      </w:pPr>
      <w:r>
        <w:t xml:space="preserve">pour les éléments porteurs structurels avec fonction séparante : </w:t>
      </w:r>
      <w:r>
        <w:rPr>
          <w:rStyle w:val="optioncarChar"/>
        </w:rPr>
        <w:t>REI30 </w:t>
      </w:r>
      <w:r>
        <w:t>(par défaut) </w:t>
      </w:r>
      <w:r>
        <w:rPr>
          <w:rStyle w:val="optioncarChar"/>
        </w:rPr>
        <w:t>/ REI60 / REI90/ REI120 / REI***</w:t>
      </w:r>
    </w:p>
    <w:p w14:paraId="7525F2F9" w14:textId="77777777" w:rsidR="00DB2B68" w:rsidRDefault="00000000">
      <w:r>
        <w:t>selon les tableaux dans [NBN EN 1996-1-2 ANB].</w:t>
      </w:r>
    </w:p>
    <w:p w14:paraId="4BE72A79" w14:textId="77777777" w:rsidR="00DB2B68" w:rsidRDefault="00000000">
      <w:pPr>
        <w:pStyle w:val="pheading"/>
      </w:pPr>
      <w:r>
        <w:t>- Finitions</w:t>
      </w:r>
    </w:p>
    <w:p w14:paraId="7E555312" w14:textId="77777777" w:rsidR="00DB2B68" w:rsidRDefault="00000000">
      <w:pPr>
        <w:pStyle w:val="Author-eListParagraph"/>
        <w:numPr>
          <w:ilvl w:val="0"/>
          <w:numId w:val="68"/>
        </w:numPr>
      </w:pPr>
      <w:r>
        <w:t xml:space="preserve">Les faces de murs suivantes sont exécutées comme maçonneries apparentes et sont </w:t>
      </w:r>
      <w:r>
        <w:rP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2A60E80E" w14:textId="77777777" w:rsidR="00DB2B68" w:rsidRDefault="00000000">
      <w:pPr>
        <w:pStyle w:val="Author-eListParagraph"/>
        <w:numPr>
          <w:ilvl w:val="0"/>
          <w:numId w:val="68"/>
        </w:numPr>
      </w:pPr>
      <w:r>
        <w:t xml:space="preserve">Les murs suivants sont exécutés avec une face restant apparente : </w:t>
      </w:r>
      <w:r>
        <w:rPr>
          <w:rStyle w:val="optioncarChar"/>
        </w:rPr>
        <w:t>***</w:t>
      </w:r>
    </w:p>
    <w:p w14:paraId="62B32724" w14:textId="77777777" w:rsidR="00DB2B68" w:rsidRDefault="00000000">
      <w:pPr>
        <w:pStyle w:val="Author-eListParagraph"/>
        <w:numPr>
          <w:ilvl w:val="0"/>
          <w:numId w:val="68"/>
        </w:numPr>
      </w:pPr>
      <w:r>
        <w:t xml:space="preserve">Les murs suivants sont exécutés avec deux faces restant apparentes : </w:t>
      </w:r>
      <w:r>
        <w:rPr>
          <w:rStyle w:val="optioncarChar"/>
        </w:rPr>
        <w:t>***</w:t>
      </w:r>
    </w:p>
    <w:p w14:paraId="0DF189EA" w14:textId="77777777" w:rsidR="00DB2B68" w:rsidRDefault="00DB2B68"/>
    <w:p w14:paraId="064496D3" w14:textId="77777777" w:rsidR="00DB2B68" w:rsidRDefault="00000000">
      <w:pPr>
        <w:pStyle w:val="pheading"/>
      </w:pPr>
      <w:r>
        <w:t>EXÉCUTION / MISE EN ŒUVRE</w:t>
      </w:r>
    </w:p>
    <w:p w14:paraId="105AD4B4" w14:textId="77777777" w:rsidR="00DB2B68" w:rsidRDefault="00000000">
      <w:pPr>
        <w:pStyle w:val="pheading"/>
      </w:pPr>
      <w:r>
        <w:t>- Prescriptions générales</w:t>
      </w:r>
    </w:p>
    <w:p w14:paraId="079EABC6" w14:textId="77777777" w:rsidR="00DB2B68" w:rsidRDefault="00000000">
      <w:r>
        <w:t>La pose est effectuée à plein bain de mortier colle. Aux endroits prévus pour la pose de linteaux et/ou de poutres de répartition, les blocs creux sont remplis de béton.</w:t>
      </w:r>
    </w:p>
    <w:p w14:paraId="6D308F1D" w14:textId="77777777" w:rsidR="00DB2B68" w:rsidRDefault="00000000">
      <w:pPr>
        <w:pStyle w:val="pheading"/>
      </w:pPr>
      <w:r>
        <w:t>MESURAGE</w:t>
      </w:r>
    </w:p>
    <w:p w14:paraId="7AEF309C" w14:textId="77777777" w:rsidR="00DB2B68" w:rsidRDefault="00000000">
      <w:pPr>
        <w:pStyle w:val="pheading"/>
      </w:pPr>
      <w:r>
        <w:t>- unité de mesure:</w:t>
      </w:r>
    </w:p>
    <w:p w14:paraId="4528D239" w14:textId="77777777" w:rsidR="00DB2B68" w:rsidRDefault="00000000">
      <w:r>
        <w:rPr>
          <w:rStyle w:val="optioncarChar"/>
        </w:rPr>
        <w:t>m³ </w:t>
      </w:r>
      <w:r>
        <w:t>(par défaut)</w:t>
      </w:r>
      <w:r>
        <w:rPr>
          <w:rStyle w:val="optioncarChar"/>
        </w:rPr>
        <w:t> / m²</w:t>
      </w:r>
    </w:p>
    <w:p w14:paraId="4A15B0CB" w14:textId="77777777" w:rsidR="00DB2B68" w:rsidRDefault="00000000">
      <w:r>
        <w:rPr>
          <w:b/>
        </w:rPr>
        <w:t>(soit par défaut)</w:t>
      </w:r>
    </w:p>
    <w:p w14:paraId="3D2C3EA7" w14:textId="77777777" w:rsidR="00DB2B68" w:rsidRDefault="00000000">
      <w:r>
        <w:rPr>
          <w:rStyle w:val="soitChar"/>
        </w:rPr>
        <w:t>1. m³</w:t>
      </w:r>
    </w:p>
    <w:p w14:paraId="656C5D83" w14:textId="77777777" w:rsidR="00DB2B68" w:rsidRDefault="00000000">
      <w:r>
        <w:rPr>
          <w:b/>
        </w:rPr>
        <w:t>(soit)</w:t>
      </w:r>
    </w:p>
    <w:p w14:paraId="094C6A6C" w14:textId="77777777" w:rsidR="00DB2B68" w:rsidRDefault="00000000">
      <w:r>
        <w:rPr>
          <w:rStyle w:val="soitChar"/>
        </w:rPr>
        <w:t>2. m²</w:t>
      </w:r>
    </w:p>
    <w:p w14:paraId="539B6010" w14:textId="77777777" w:rsidR="00DB2B68" w:rsidRDefault="00000000">
      <w:pPr>
        <w:pStyle w:val="pheading"/>
      </w:pPr>
      <w:r>
        <w:lastRenderedPageBreak/>
        <w:t>- code de mesurage:</w:t>
      </w:r>
    </w:p>
    <w:p w14:paraId="0AC133D0"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0ED588D"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C6AF696"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E829868" w14:textId="77777777" w:rsidR="00DB2B68" w:rsidRDefault="00000000">
      <w:r>
        <w:rPr>
          <w:rStyle w:val="optioncarChar"/>
        </w:rPr>
        <w:t>Volume net </w:t>
      </w:r>
      <w:r>
        <w:t>(par défaut)</w:t>
      </w:r>
      <w:r>
        <w:rPr>
          <w:rStyle w:val="optioncarChar"/>
        </w:rPr>
        <w:t> / Surface nette</w:t>
      </w:r>
    </w:p>
    <w:p w14:paraId="031DA54D" w14:textId="77777777" w:rsidR="00DB2B68" w:rsidRDefault="00000000">
      <w:r>
        <w:rPr>
          <w:b/>
        </w:rPr>
        <w:t>(soit par défaut)</w:t>
      </w:r>
    </w:p>
    <w:p w14:paraId="235B3472"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CF7B91A" w14:textId="77777777" w:rsidR="00DB2B68" w:rsidRDefault="00000000">
      <w:r>
        <w:rPr>
          <w:b/>
        </w:rPr>
        <w:t>(soit)</w:t>
      </w:r>
    </w:p>
    <w:p w14:paraId="46851A6C"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B53845C" w14:textId="77777777" w:rsidR="00DB2B68" w:rsidRDefault="00000000">
      <w:pPr>
        <w:pStyle w:val="pheading"/>
      </w:pPr>
      <w:r>
        <w:t>- nature du marché:</w:t>
      </w:r>
    </w:p>
    <w:p w14:paraId="4E09C98A" w14:textId="77777777" w:rsidR="00DB2B68" w:rsidRDefault="00000000">
      <w:r>
        <w:t>QF</w:t>
      </w:r>
    </w:p>
    <w:p w14:paraId="68858062" w14:textId="77777777" w:rsidR="00DB2B68" w:rsidRDefault="00000000">
      <w:pPr>
        <w:pStyle w:val="pheading"/>
      </w:pPr>
      <w:r>
        <w:t>AIDE</w:t>
      </w:r>
    </w:p>
    <w:p w14:paraId="649B13DB" w14:textId="77777777" w:rsidR="00DB2B68" w:rsidRDefault="00000000">
      <w:r>
        <w:t>Note à l'attention de l'auteur du projet</w:t>
      </w:r>
    </w:p>
    <w:p w14:paraId="2C5593BF" w14:textId="77777777" w:rsidR="00DB2B68" w:rsidRDefault="00000000">
      <w:r>
        <w:t>La masse volumique sèche apparente des blocs creux est supérieure à 1200 kg/m</w:t>
      </w:r>
      <w:r>
        <w:rPr>
          <w:vertAlign w:val="superscript"/>
        </w:rPr>
        <w:t>3</w:t>
      </w:r>
      <w:r>
        <w:t>.</w:t>
      </w:r>
    </w:p>
    <w:p w14:paraId="6A11E265" w14:textId="77777777" w:rsidR="00DB2B68" w:rsidRDefault="00000000">
      <w:r>
        <w:t>* Les blocs de maçonnerie en béton sont répartis en catégories de qualité en fonction des combinaisons de résistance à la compression normalisée (premier chiffre exprimé en N/mm</w:t>
      </w:r>
      <w:r>
        <w:rPr>
          <w:vertAlign w:val="superscript"/>
        </w:rPr>
        <w:t>2</w:t>
      </w:r>
      <w:r>
        <w:t>) et à la masse volumique sèche (deuxième chiffre exprimé en tonnes/m3). D'autres catégories de qualité sont autorisées dans la mesure où elles ne combinent pas une certaine classe f avec une classe ρ supérieure à celle qui correspond à cette classe f dans le tableau et inversement, pourvu qu'elles ne combinent pas une classe f qui soit inférieure à celle qui correspond à la classe rho du tableau.</w:t>
      </w:r>
    </w:p>
    <w:p w14:paraId="4B273EFE" w14:textId="77777777" w:rsidR="00DB2B68" w:rsidRDefault="00000000">
      <w:pPr>
        <w:pStyle w:val="Author-eSectionHeading6Numberless"/>
      </w:pPr>
      <w:bookmarkStart w:id="35" w:name="_Toc220495200"/>
      <w:r>
        <w:t>21.12.2e Maçonneries portantes en blocs de béton empilables CCTB 01.11</w:t>
      </w:r>
      <w:bookmarkEnd w:id="35"/>
    </w:p>
    <w:p w14:paraId="3BA86B3E" w14:textId="77777777" w:rsidR="00DB2B68" w:rsidRDefault="00000000">
      <w:pPr>
        <w:pStyle w:val="pheading"/>
      </w:pPr>
      <w:r>
        <w:t>DESCRIPTION</w:t>
      </w:r>
    </w:p>
    <w:p w14:paraId="4727029D" w14:textId="77777777" w:rsidR="00DB2B68" w:rsidRDefault="00000000">
      <w:pPr>
        <w:pStyle w:val="pheading"/>
      </w:pPr>
      <w:r>
        <w:t>- Définition / Comprend</w:t>
      </w:r>
    </w:p>
    <w:p w14:paraId="3E9C19C0" w14:textId="77777777" w:rsidR="00DB2B68" w:rsidRDefault="00000000">
      <w:r>
        <w:t xml:space="preserve">Il s’agit de la fourniture et la pose de maçonneries portantes en blocs de béton empilables. </w:t>
      </w:r>
      <w:r>
        <w:br/>
        <w:t xml:space="preserve">La portée des travaux est décrite dans l’article </w:t>
      </w:r>
      <w:hyperlink w:anchor="368" w:history="1">
        <w:r>
          <w:rPr>
            <w:color w:val="0000EE"/>
          </w:rPr>
          <w:t>21.12.2 Maçonneries portantes en blocs pour murs en contact direct avec la terre</w:t>
        </w:r>
      </w:hyperlink>
      <w:r>
        <w:t>.</w:t>
      </w:r>
      <w:r>
        <w:br/>
        <w:t>Les travaux comprennent également la fourniture et la pose des pièces d’angle, de terminaison et de rencontre.</w:t>
      </w:r>
    </w:p>
    <w:p w14:paraId="0594B6FE" w14:textId="77777777" w:rsidR="00DB2B68" w:rsidRDefault="00000000">
      <w:pPr>
        <w:pStyle w:val="pheading"/>
      </w:pPr>
      <w:r>
        <w:t>- Localisation</w:t>
      </w:r>
    </w:p>
    <w:p w14:paraId="353CD264" w14:textId="77777777" w:rsidR="00DB2B68" w:rsidRDefault="00000000">
      <w:r>
        <w:t xml:space="preserve">La pose est réalisée aux endroits suivants : </w:t>
      </w:r>
      <w:r>
        <w:rPr>
          <w:rStyle w:val="optioncarChar"/>
        </w:rPr>
        <w:t>***</w:t>
      </w:r>
      <w:r>
        <w:t>.</w:t>
      </w:r>
      <w:r>
        <w:br/>
        <w:t>Voir plans et métrés détaillés.</w:t>
      </w:r>
    </w:p>
    <w:p w14:paraId="79600EEE" w14:textId="77777777" w:rsidR="00DB2B68" w:rsidRDefault="00000000">
      <w:pPr>
        <w:pStyle w:val="pheading"/>
      </w:pPr>
      <w:r>
        <w:lastRenderedPageBreak/>
        <w:t>MESURAGE</w:t>
      </w:r>
    </w:p>
    <w:p w14:paraId="7529C109" w14:textId="77777777" w:rsidR="00DB2B68" w:rsidRDefault="00000000">
      <w:pPr>
        <w:pStyle w:val="pheading"/>
      </w:pPr>
      <w:r>
        <w:t>- unité de mesure:</w:t>
      </w:r>
    </w:p>
    <w:p w14:paraId="5DDF6AC8" w14:textId="77777777" w:rsidR="00DB2B68" w:rsidRDefault="00000000">
      <w:r>
        <w:rPr>
          <w:rStyle w:val="optioncarChar"/>
        </w:rPr>
        <w:t>m³ </w:t>
      </w:r>
      <w:r>
        <w:t>(par défaut)</w:t>
      </w:r>
      <w:r>
        <w:rPr>
          <w:rStyle w:val="optioncarChar"/>
        </w:rPr>
        <w:t> / m²</w:t>
      </w:r>
    </w:p>
    <w:p w14:paraId="5F1065E1" w14:textId="77777777" w:rsidR="00DB2B68" w:rsidRDefault="00000000">
      <w:r>
        <w:rPr>
          <w:b/>
        </w:rPr>
        <w:t>(soit par défaut)</w:t>
      </w:r>
    </w:p>
    <w:p w14:paraId="13213FCF" w14:textId="77777777" w:rsidR="00DB2B68" w:rsidRDefault="00000000">
      <w:r>
        <w:rPr>
          <w:rStyle w:val="soitChar"/>
        </w:rPr>
        <w:t>1. m³</w:t>
      </w:r>
    </w:p>
    <w:p w14:paraId="7D999E38" w14:textId="77777777" w:rsidR="00DB2B68" w:rsidRDefault="00000000">
      <w:r>
        <w:rPr>
          <w:b/>
        </w:rPr>
        <w:t>(soit)</w:t>
      </w:r>
    </w:p>
    <w:p w14:paraId="0957C920" w14:textId="77777777" w:rsidR="00DB2B68" w:rsidRDefault="00000000">
      <w:r>
        <w:rPr>
          <w:rStyle w:val="soitChar"/>
        </w:rPr>
        <w:t>2. m²</w:t>
      </w:r>
    </w:p>
    <w:p w14:paraId="07CB90FE" w14:textId="77777777" w:rsidR="00DB2B68" w:rsidRDefault="00000000">
      <w:pPr>
        <w:pStyle w:val="pheading"/>
      </w:pPr>
      <w:r>
        <w:t>- code de mesurage:</w:t>
      </w:r>
    </w:p>
    <w:p w14:paraId="278614E0"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DDB9C7B"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D0F02FC"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3F25164" w14:textId="77777777" w:rsidR="00DB2B68" w:rsidRDefault="00DB2B68"/>
    <w:p w14:paraId="12294CFC" w14:textId="77777777" w:rsidR="00DB2B68" w:rsidRDefault="00000000">
      <w:r>
        <w:rPr>
          <w:rStyle w:val="optioncarChar"/>
        </w:rPr>
        <w:t>Volume net </w:t>
      </w:r>
      <w:r>
        <w:t>(par défaut)</w:t>
      </w:r>
      <w:r>
        <w:rPr>
          <w:rStyle w:val="optioncarChar"/>
        </w:rPr>
        <w:t> / Surface nette</w:t>
      </w:r>
    </w:p>
    <w:p w14:paraId="557B295A" w14:textId="77777777" w:rsidR="00DB2B68" w:rsidRDefault="00000000">
      <w:r>
        <w:rPr>
          <w:b/>
        </w:rPr>
        <w:t>(soit par défaut)</w:t>
      </w:r>
    </w:p>
    <w:p w14:paraId="70EE384F"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DF32E00" w14:textId="77777777" w:rsidR="00DB2B68" w:rsidRDefault="00000000">
      <w:r>
        <w:rPr>
          <w:b/>
        </w:rPr>
        <w:t>(soit)</w:t>
      </w:r>
    </w:p>
    <w:p w14:paraId="7538A737"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973D481" w14:textId="77777777" w:rsidR="00DB2B68" w:rsidRDefault="00DB2B68"/>
    <w:p w14:paraId="0BAC2585" w14:textId="77777777" w:rsidR="00DB2B68" w:rsidRDefault="00000000">
      <w:pPr>
        <w:pStyle w:val="pheading"/>
      </w:pPr>
      <w:r>
        <w:t>- nature du marché:</w:t>
      </w:r>
    </w:p>
    <w:p w14:paraId="66280BD2" w14:textId="77777777" w:rsidR="00DB2B68" w:rsidRDefault="00000000">
      <w:r>
        <w:t>QF</w:t>
      </w:r>
    </w:p>
    <w:p w14:paraId="295A7372" w14:textId="77777777" w:rsidR="00DB2B68" w:rsidRDefault="00000000">
      <w:pPr>
        <w:pStyle w:val="Author-eSectionHeading6Numberless"/>
      </w:pPr>
      <w:bookmarkStart w:id="36" w:name="_Toc220495201"/>
      <w:r>
        <w:t>21.12.2f Maçonneries portantes en blocs de béton avec système de dosage pour liant hydraulique CCTB 01.13</w:t>
      </w:r>
      <w:bookmarkEnd w:id="36"/>
    </w:p>
    <w:p w14:paraId="0E0BB56F" w14:textId="77777777" w:rsidR="00DB2B68" w:rsidRDefault="00000000">
      <w:pPr>
        <w:pStyle w:val="pheading"/>
      </w:pPr>
      <w:r>
        <w:t>DESCRIPTION</w:t>
      </w:r>
    </w:p>
    <w:p w14:paraId="723C0EB4" w14:textId="77777777" w:rsidR="00DB2B68" w:rsidRDefault="00000000">
      <w:pPr>
        <w:pStyle w:val="pheading"/>
      </w:pPr>
      <w:r>
        <w:t>- Définition / Comprend</w:t>
      </w:r>
    </w:p>
    <w:p w14:paraId="050D161E" w14:textId="77777777" w:rsidR="00DB2B68" w:rsidRDefault="00000000">
      <w:r>
        <w:t xml:space="preserve">Il s’agit de la fourniture et la pose de maçonneries portantes en blocs de béton avec système de dosage pour liant hydraulique. </w:t>
      </w:r>
      <w:r>
        <w:br/>
        <w:t xml:space="preserve">La portée des travaux est décrite dans l’article </w:t>
      </w:r>
      <w:hyperlink w:anchor="368" w:history="1">
        <w:r>
          <w:rPr>
            <w:color w:val="0000EE"/>
          </w:rPr>
          <w:t>21.12.2 Maçonneries portantes en blocs pour murs en contact direct avec la terre</w:t>
        </w:r>
      </w:hyperlink>
      <w:r>
        <w:t>.</w:t>
      </w:r>
      <w:r>
        <w:br/>
        <w:t>Les travaux comprennent également la fourniture et la pose des pièces d’angle, de terminaison et de rencontre.</w:t>
      </w:r>
    </w:p>
    <w:p w14:paraId="621620CA" w14:textId="77777777" w:rsidR="00DB2B68" w:rsidRDefault="00000000">
      <w:pPr>
        <w:pStyle w:val="pheading"/>
      </w:pPr>
      <w:r>
        <w:lastRenderedPageBreak/>
        <w:t>- Localisation</w:t>
      </w:r>
    </w:p>
    <w:p w14:paraId="05F4BF73" w14:textId="77777777" w:rsidR="00DB2B68" w:rsidRDefault="00000000">
      <w:r>
        <w:t xml:space="preserve">La pose est réalisée aux endroits suivants : </w:t>
      </w:r>
      <w:r>
        <w:rPr>
          <w:rStyle w:val="optioncarChar"/>
        </w:rPr>
        <w:t>***</w:t>
      </w:r>
      <w:r>
        <w:t>.</w:t>
      </w:r>
      <w:r>
        <w:br/>
        <w:t>Voir plans et métrés détaillés.</w:t>
      </w:r>
    </w:p>
    <w:p w14:paraId="19615EFE" w14:textId="77777777" w:rsidR="00DB2B68" w:rsidRDefault="00000000">
      <w:pPr>
        <w:pStyle w:val="pheading"/>
      </w:pPr>
      <w:r>
        <w:t>MATÉRIAUX</w:t>
      </w:r>
    </w:p>
    <w:p w14:paraId="4786034D" w14:textId="77777777" w:rsidR="00DB2B68" w:rsidRDefault="00000000">
      <w:pPr>
        <w:pStyle w:val="pheading"/>
      </w:pPr>
      <w:r>
        <w:t>- Caractéristiques générales</w:t>
      </w:r>
    </w:p>
    <w:p w14:paraId="7B397052" w14:textId="77777777" w:rsidR="00DB2B68" w:rsidRDefault="00000000">
      <w:r>
        <w:rPr>
          <w:rStyle w:val="headingChar"/>
        </w:rPr>
        <w:t>Spécifications</w:t>
      </w:r>
    </w:p>
    <w:p w14:paraId="6596E157" w14:textId="77777777" w:rsidR="00DB2B68" w:rsidRDefault="00000000">
      <w:r>
        <w:rPr>
          <w:u w:val="single"/>
        </w:rPr>
        <w:t>Blocs</w:t>
      </w:r>
    </w:p>
    <w:p w14:paraId="684FA1A4" w14:textId="77777777" w:rsidR="00DB2B68"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 </w:t>
      </w:r>
      <w:r>
        <w:t>(par défaut)</w:t>
      </w:r>
      <w:r>
        <w:rPr>
          <w:rStyle w:val="optioncarChar"/>
        </w:rPr>
        <w:t xml:space="preserve"> / 3/1,0 / 4/1,2 / 5/1,4 / 6/1,6 / 8/1,9 / 10/2.2 </w:t>
      </w:r>
      <w:r>
        <w:rPr>
          <w:rStyle w:val="optioncarChar"/>
          <w:color w:val="000000"/>
        </w:rPr>
        <w:t>(par défaut)</w:t>
      </w:r>
      <w:r>
        <w:rPr>
          <w:rStyle w:val="optioncarChar"/>
        </w:rPr>
        <w:t xml:space="preserve"> / 15/2,2+ / ***</w:t>
      </w:r>
      <w:r>
        <w:br/>
      </w:r>
      <w:r>
        <w:br/>
        <w:t xml:space="preserve">Le groupe de configuration suivant [NBN EN 1996-1-1+A1 ANB] est: </w:t>
      </w:r>
      <w:r>
        <w:rPr>
          <w:rStyle w:val="optioncarChar"/>
        </w:rPr>
        <w:t xml:space="preserve">1 / 2 / 3 / 4 / creux </w:t>
      </w:r>
      <w:r>
        <w:t>(par défaut) </w:t>
      </w:r>
      <w:r>
        <w:rPr>
          <w:rStyle w:val="optioncarChar"/>
        </w:rPr>
        <w:t>/ plein / ***</w:t>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t>La conductibilité thermique ρ</w:t>
      </w:r>
      <w:r>
        <w:rPr>
          <w:vertAlign w:val="subscript"/>
        </w:rPr>
        <w:t>D</w:t>
      </w:r>
      <w:r>
        <w:t xml:space="preserve"> est compatible avec la valeur U prescrite pour la paroi. </w:t>
      </w:r>
      <w:r>
        <w:br/>
      </w:r>
      <w:r>
        <w:br/>
        <w:t xml:space="preserve">Boutisse : </w:t>
      </w:r>
      <w:r>
        <w:rPr>
          <w:rStyle w:val="optioncarChar"/>
        </w:rPr>
        <w:t>plate</w:t>
      </w:r>
      <w:r>
        <w:t> (par défaut)</w:t>
      </w:r>
      <w:r>
        <w:rPr>
          <w:rStyle w:val="optioncarChar"/>
        </w:rPr>
        <w:t> / assemblage à rainures et languettes / assemblage à rainures et poignées</w:t>
      </w:r>
      <w:r>
        <w:br/>
        <w:t>Face qui reste visible :</w:t>
      </w:r>
      <w:r>
        <w:rPr>
          <w:rStyle w:val="optioncarChar"/>
        </w:rPr>
        <w:t xml:space="preserve"> lisse</w:t>
      </w:r>
      <w:r>
        <w:t xml:space="preserve"> (par défaut) </w:t>
      </w:r>
      <w:r>
        <w:rPr>
          <w:rStyle w:val="optioncarChar"/>
        </w:rPr>
        <w:t>/ clivé / ***</w:t>
      </w:r>
      <w:r>
        <w:br/>
        <w:t xml:space="preserve">Face à cimenter ou plafonner : </w:t>
      </w:r>
      <w:r>
        <w:rPr>
          <w:rStyle w:val="optioncarChar"/>
        </w:rPr>
        <w:t xml:space="preserve">lisse </w:t>
      </w:r>
      <w:r>
        <w:t>(par défaut)</w:t>
      </w:r>
      <w:r>
        <w:rPr>
          <w:rStyle w:val="optioncarChar"/>
        </w:rPr>
        <w:t xml:space="preserve"> / adhérence améliorée/ rainurée</w:t>
      </w:r>
      <w:r>
        <w:br/>
      </w:r>
      <w:r>
        <w:br/>
        <w:t xml:space="preserve">Teinte : </w:t>
      </w:r>
      <w:r>
        <w:rPr>
          <w:rStyle w:val="optioncarChar"/>
        </w:rPr>
        <w:t>blanc / gris </w:t>
      </w:r>
      <w:r>
        <w:t xml:space="preserve">(par défaut) </w:t>
      </w:r>
      <w:r>
        <w:rPr>
          <w:rStyle w:val="optioncarChar"/>
        </w:rPr>
        <w:t>/ ***</w:t>
      </w:r>
      <w:r>
        <w:br/>
      </w:r>
      <w:r>
        <w:br/>
      </w:r>
    </w:p>
    <w:p w14:paraId="51F90504" w14:textId="77777777" w:rsidR="00DB2B68"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59424EA2" w14:textId="77777777" w:rsidR="00DB2B68"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 xml:space="preserve">A1 </w:t>
      </w:r>
      <w:r>
        <w:t>(par défaut) </w:t>
      </w:r>
      <w:r>
        <w:rPr>
          <w:rStyle w:val="optioncarChar"/>
        </w:rPr>
        <w:t>/ ***</w:t>
      </w:r>
    </w:p>
    <w:p w14:paraId="5FCF7112" w14:textId="77777777" w:rsidR="00DB2B68" w:rsidRDefault="00000000">
      <w:pPr>
        <w:spacing w:before="0" w:after="0"/>
      </w:pPr>
      <w:r>
        <w:rPr>
          <w:u w:val="single"/>
        </w:rPr>
        <w:t>Mortier</w:t>
      </w:r>
    </w:p>
    <w:p w14:paraId="34319FAC"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6EC7650B" w14:textId="77777777" w:rsidR="00DB2B68" w:rsidRDefault="00000000">
      <w:r>
        <w:br/>
      </w:r>
      <w:r>
        <w:rPr>
          <w:rStyle w:val="headingChar"/>
        </w:rPr>
        <w:t>Critères De Performances De La Paroi</w:t>
      </w:r>
    </w:p>
    <w:p w14:paraId="727C55D9" w14:textId="77777777" w:rsidR="00DB2B68" w:rsidRDefault="00000000">
      <w:r>
        <w:t>Coefficient de transmission :</w:t>
      </w:r>
    </w:p>
    <w:p w14:paraId="26F6539B" w14:textId="77777777" w:rsidR="00DB2B68" w:rsidRDefault="00000000">
      <w:pPr>
        <w:pStyle w:val="Author-eListParagraph"/>
        <w:numPr>
          <w:ilvl w:val="0"/>
          <w:numId w:val="69"/>
        </w:numPr>
      </w:pPr>
      <w:r>
        <w:t xml:space="preserve">valeur U minimale de </w:t>
      </w:r>
      <w:r>
        <w:rPr>
          <w:rStyle w:val="optioncarChar"/>
        </w:rPr>
        <w:t>***</w:t>
      </w:r>
      <w:r>
        <w:t xml:space="preserve"> W/m²K</w:t>
      </w:r>
    </w:p>
    <w:p w14:paraId="52F218D4" w14:textId="77777777" w:rsidR="00DB2B68" w:rsidRDefault="00000000">
      <w:pPr>
        <w:pStyle w:val="Author-eListParagraph"/>
        <w:numPr>
          <w:ilvl w:val="0"/>
          <w:numId w:val="6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CAF6DB6" w14:textId="77777777" w:rsidR="00DB2B68" w:rsidRDefault="00000000">
      <w:r>
        <w:br/>
        <w:t>Résistance au feu :</w:t>
      </w:r>
    </w:p>
    <w:p w14:paraId="611099C9" w14:textId="77777777" w:rsidR="00DB2B68" w:rsidRDefault="00000000">
      <w:pPr>
        <w:pStyle w:val="Author-eListParagraph"/>
        <w:numPr>
          <w:ilvl w:val="0"/>
          <w:numId w:val="70"/>
        </w:numPr>
      </w:pPr>
      <w:r>
        <w:lastRenderedPageBreak/>
        <w:t xml:space="preserve">pour les éléments porteurs structurels sans fonction séparante : </w:t>
      </w:r>
      <w:r>
        <w:rPr>
          <w:rStyle w:val="optioncarChar"/>
        </w:rPr>
        <w:t>R15 / R30</w:t>
      </w:r>
      <w:r>
        <w:t> (par défaut)</w:t>
      </w:r>
      <w:r>
        <w:rPr>
          <w:rStyle w:val="optioncarChar"/>
        </w:rPr>
        <w:t xml:space="preserve"> / R60 / R90 / R120 / R***</w:t>
      </w:r>
    </w:p>
    <w:p w14:paraId="54E89679" w14:textId="77777777" w:rsidR="00DB2B68" w:rsidRDefault="00000000">
      <w:pPr>
        <w:pStyle w:val="Author-eListParagraph"/>
        <w:numPr>
          <w:ilvl w:val="0"/>
          <w:numId w:val="70"/>
        </w:numPr>
      </w:pPr>
      <w:r>
        <w:t xml:space="preserve">pour les éléments porteurs structurels avec fonction séparante : </w:t>
      </w:r>
      <w:r>
        <w:rPr>
          <w:rStyle w:val="optioncarChar"/>
        </w:rPr>
        <w:t>REI30 </w:t>
      </w:r>
      <w:r>
        <w:t xml:space="preserve">(par défaut) </w:t>
      </w:r>
      <w:r>
        <w:rPr>
          <w:rStyle w:val="optioncarChar"/>
        </w:rPr>
        <w:t xml:space="preserve">/ REI60 / REI90 / REI120 / REI*** </w:t>
      </w:r>
    </w:p>
    <w:p w14:paraId="79E193B8" w14:textId="77777777" w:rsidR="00DB2B68" w:rsidRDefault="00000000">
      <w:r>
        <w:t>selon les tableaux dans [NBN EN 1996-1-2 ANB].</w:t>
      </w:r>
    </w:p>
    <w:p w14:paraId="5DECEC08" w14:textId="77777777" w:rsidR="00DB2B68" w:rsidRDefault="00000000">
      <w:pPr>
        <w:pStyle w:val="pheading"/>
      </w:pPr>
      <w:r>
        <w:t>- Finitions</w:t>
      </w:r>
    </w:p>
    <w:p w14:paraId="6527E837" w14:textId="77777777" w:rsidR="00DB2B68" w:rsidRDefault="00000000">
      <w:pPr>
        <w:pStyle w:val="Author-eListParagraph"/>
        <w:numPr>
          <w:ilvl w:val="0"/>
          <w:numId w:val="71"/>
        </w:numPr>
      </w:pPr>
      <w:r>
        <w:t xml:space="preserve">Les faces de murs suivantes sont exécutées comme maçonneries apparentes et sont </w:t>
      </w:r>
      <w:r>
        <w:rPr>
          <w:color w:val="000000"/>
        </w:rPr>
        <w:t>rejointoyées s</w:t>
      </w:r>
      <w:r>
        <w:t xml:space="preserve">elon </w:t>
      </w:r>
      <w:hyperlink w:anchor="346" w:history="1">
        <w:r>
          <w:rPr>
            <w:color w:val="0000EE"/>
          </w:rPr>
          <w:t>21.61.1b Joints de maçonnerie apparente</w:t>
        </w:r>
      </w:hyperlink>
      <w:r>
        <w:t xml:space="preserve"> : </w:t>
      </w:r>
      <w:r>
        <w:rPr>
          <w:rStyle w:val="optioncarChar"/>
        </w:rPr>
        <w:t>***</w:t>
      </w:r>
    </w:p>
    <w:p w14:paraId="470462BE" w14:textId="77777777" w:rsidR="00DB2B68" w:rsidRDefault="00000000">
      <w:pPr>
        <w:pStyle w:val="Author-eListParagraph"/>
        <w:numPr>
          <w:ilvl w:val="0"/>
          <w:numId w:val="71"/>
        </w:numPr>
      </w:pPr>
      <w:r>
        <w:t>Les murs suivants sont exécutés avec une face restant apparente :</w:t>
      </w:r>
      <w:r>
        <w:rPr>
          <w:rStyle w:val="optioncarChar"/>
        </w:rPr>
        <w:t xml:space="preserve"> ***</w:t>
      </w:r>
    </w:p>
    <w:p w14:paraId="0E4CE7EC" w14:textId="77777777" w:rsidR="00DB2B68" w:rsidRDefault="00000000">
      <w:pPr>
        <w:pStyle w:val="Author-eListParagraph"/>
        <w:numPr>
          <w:ilvl w:val="0"/>
          <w:numId w:val="71"/>
        </w:numPr>
      </w:pPr>
      <w:r>
        <w:t>Les murs suivants sont exécutés avec deux faces restant apparentes :</w:t>
      </w:r>
      <w:r>
        <w:rPr>
          <w:rStyle w:val="optioncarChar"/>
        </w:rPr>
        <w:t xml:space="preserve"> ***</w:t>
      </w:r>
    </w:p>
    <w:p w14:paraId="3769F47E" w14:textId="77777777" w:rsidR="00DB2B68" w:rsidRDefault="00000000">
      <w:pPr>
        <w:ind w:left="750"/>
      </w:pPr>
      <w:r>
        <w:t> </w:t>
      </w:r>
    </w:p>
    <w:p w14:paraId="76D5629B" w14:textId="77777777" w:rsidR="00DB2B68" w:rsidRDefault="00000000">
      <w:pPr>
        <w:pStyle w:val="pheading"/>
      </w:pPr>
      <w:r>
        <w:t>EXÉCUTION / MISE EN ŒUVRE</w:t>
      </w:r>
    </w:p>
    <w:p w14:paraId="7334D688" w14:textId="77777777" w:rsidR="00DB2B68" w:rsidRDefault="00000000">
      <w:pPr>
        <w:pStyle w:val="pheading"/>
      </w:pPr>
      <w:r>
        <w:t>- Notes d’exécution complémentaires</w:t>
      </w:r>
    </w:p>
    <w:p w14:paraId="4D1713EB" w14:textId="77777777" w:rsidR="00DB2B68" w:rsidRDefault="00000000">
      <w:r>
        <w:t>Le mortier utilisé est spécifique au concept et possède une grande résistance à la compression (&gt; 20 N/mm²).</w:t>
      </w:r>
    </w:p>
    <w:p w14:paraId="09640999" w14:textId="77777777" w:rsidR="00DB2B68" w:rsidRDefault="00000000">
      <w:pPr>
        <w:pStyle w:val="pheading"/>
      </w:pPr>
      <w:r>
        <w:t>MESURAGE</w:t>
      </w:r>
    </w:p>
    <w:p w14:paraId="5DD0E349" w14:textId="77777777" w:rsidR="00DB2B68" w:rsidRDefault="00000000">
      <w:pPr>
        <w:pStyle w:val="pheading"/>
      </w:pPr>
      <w:r>
        <w:t>- unité de mesure:</w:t>
      </w:r>
    </w:p>
    <w:p w14:paraId="31AC43E8" w14:textId="77777777" w:rsidR="00DB2B68" w:rsidRDefault="00000000">
      <w:r>
        <w:rPr>
          <w:rStyle w:val="optioncarChar"/>
        </w:rPr>
        <w:t>m³ </w:t>
      </w:r>
      <w:r>
        <w:t>(par défaut)</w:t>
      </w:r>
      <w:r>
        <w:rPr>
          <w:rStyle w:val="optioncarChar"/>
        </w:rPr>
        <w:t> / m²</w:t>
      </w:r>
    </w:p>
    <w:p w14:paraId="38B5F3B3" w14:textId="77777777" w:rsidR="00DB2B68" w:rsidRDefault="00000000">
      <w:r>
        <w:rPr>
          <w:b/>
        </w:rPr>
        <w:t>(soit par défaut)</w:t>
      </w:r>
    </w:p>
    <w:p w14:paraId="3752DA64" w14:textId="77777777" w:rsidR="00DB2B68" w:rsidRDefault="00000000">
      <w:r>
        <w:rPr>
          <w:rStyle w:val="soitChar"/>
        </w:rPr>
        <w:t>1. m³</w:t>
      </w:r>
    </w:p>
    <w:p w14:paraId="0091094C" w14:textId="77777777" w:rsidR="00DB2B68" w:rsidRDefault="00000000">
      <w:r>
        <w:rPr>
          <w:b/>
        </w:rPr>
        <w:t>(soit)</w:t>
      </w:r>
    </w:p>
    <w:p w14:paraId="571E495A" w14:textId="77777777" w:rsidR="00DB2B68" w:rsidRDefault="00000000">
      <w:r>
        <w:rPr>
          <w:rStyle w:val="soitChar"/>
        </w:rPr>
        <w:t>2. m²</w:t>
      </w:r>
    </w:p>
    <w:p w14:paraId="3FF0E9FF" w14:textId="77777777" w:rsidR="00DB2B68" w:rsidRDefault="00000000">
      <w:pPr>
        <w:pStyle w:val="pheading"/>
      </w:pPr>
      <w:r>
        <w:t>- code de mesurage:</w:t>
      </w:r>
    </w:p>
    <w:p w14:paraId="184DBAF3"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909B18C"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3ED4DAF"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1C9F5EF" w14:textId="77777777" w:rsidR="00DB2B68" w:rsidRDefault="00DB2B68"/>
    <w:p w14:paraId="7BECB6F9" w14:textId="77777777" w:rsidR="00DB2B68" w:rsidRDefault="00000000">
      <w:r>
        <w:rPr>
          <w:rStyle w:val="optioncarChar"/>
        </w:rPr>
        <w:t>Volume net </w:t>
      </w:r>
      <w:r>
        <w:t>(par défaut)</w:t>
      </w:r>
      <w:r>
        <w:rPr>
          <w:rStyle w:val="optioncarChar"/>
        </w:rPr>
        <w:t> / Surface nette</w:t>
      </w:r>
    </w:p>
    <w:p w14:paraId="433476E7" w14:textId="77777777" w:rsidR="00DB2B68" w:rsidRDefault="00000000">
      <w:r>
        <w:rPr>
          <w:b/>
        </w:rPr>
        <w:t>(soit par défaut)</w:t>
      </w:r>
    </w:p>
    <w:p w14:paraId="4EC24CEA"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F0D946A" w14:textId="77777777" w:rsidR="00DB2B68" w:rsidRDefault="00000000">
      <w:r>
        <w:rPr>
          <w:b/>
        </w:rPr>
        <w:t>(soit)</w:t>
      </w:r>
    </w:p>
    <w:p w14:paraId="17034D19" w14:textId="77777777" w:rsidR="00DB2B68" w:rsidRDefault="00000000">
      <w:r>
        <w:rPr>
          <w:rStyle w:val="soitChar"/>
        </w:rPr>
        <w:lastRenderedPageBreak/>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4B18076" w14:textId="77777777" w:rsidR="00DB2B68" w:rsidRDefault="00DB2B68"/>
    <w:p w14:paraId="589A1A8A" w14:textId="77777777" w:rsidR="00DB2B68" w:rsidRDefault="00000000">
      <w:pPr>
        <w:pStyle w:val="pheading"/>
      </w:pPr>
      <w:r>
        <w:t>- nature du marché:</w:t>
      </w:r>
    </w:p>
    <w:p w14:paraId="2AF8FAB9" w14:textId="77777777" w:rsidR="00DB2B68" w:rsidRDefault="00000000">
      <w:r>
        <w:t>QF</w:t>
      </w:r>
    </w:p>
    <w:p w14:paraId="2CB755D6" w14:textId="77777777" w:rsidR="00DB2B68" w:rsidRDefault="00000000">
      <w:pPr>
        <w:pStyle w:val="Author-eSectionHeading6Numberless"/>
      </w:pPr>
      <w:bookmarkStart w:id="37" w:name="_Toc220495202"/>
      <w:r>
        <w:t>21.12.2g Maçonneries portantes en blocs de coffrage en béton CCTB 01.13</w:t>
      </w:r>
      <w:bookmarkEnd w:id="37"/>
    </w:p>
    <w:p w14:paraId="1064C94A" w14:textId="77777777" w:rsidR="00DB2B68" w:rsidRDefault="00000000">
      <w:pPr>
        <w:pStyle w:val="pheading"/>
      </w:pPr>
      <w:r>
        <w:t>DESCRIPTION</w:t>
      </w:r>
    </w:p>
    <w:p w14:paraId="058AC77F" w14:textId="77777777" w:rsidR="00DB2B68" w:rsidRDefault="00000000">
      <w:pPr>
        <w:pStyle w:val="pheading"/>
      </w:pPr>
      <w:r>
        <w:t>- Définition / Comprend</w:t>
      </w:r>
    </w:p>
    <w:p w14:paraId="3813FBAC" w14:textId="77777777" w:rsidR="00DB2B68" w:rsidRDefault="00000000">
      <w:r>
        <w:t xml:space="preserve">Il s’agit de la fourniture et la pose de maçonneries portantes en blocs de coffrage en béton. </w:t>
      </w:r>
      <w:r>
        <w:br/>
        <w:t xml:space="preserve">La portée des travaux est décrite dans l’article </w:t>
      </w:r>
      <w:hyperlink w:anchor="368" w:history="1">
        <w:r>
          <w:rPr>
            <w:color w:val="0000EE"/>
          </w:rPr>
          <w:t>21.12.2 Maçonneries portantes en blocs pour murs en contact direct avec la terre</w:t>
        </w:r>
      </w:hyperlink>
      <w:r>
        <w:br/>
        <w:t>Les travaux comprennent également la fourniture et la pose des pièces d’angle, de terminaison et de rencontre.</w:t>
      </w:r>
    </w:p>
    <w:p w14:paraId="71AAD996" w14:textId="77777777" w:rsidR="00DB2B68" w:rsidRDefault="00000000">
      <w:pPr>
        <w:pStyle w:val="pheading"/>
      </w:pPr>
      <w:r>
        <w:t>- Localisation</w:t>
      </w:r>
    </w:p>
    <w:p w14:paraId="426A431B" w14:textId="77777777" w:rsidR="00DB2B68" w:rsidRDefault="00000000">
      <w:r>
        <w:t xml:space="preserve">La pose est réalisée aux endroits suivants : </w:t>
      </w:r>
      <w:r>
        <w:rPr>
          <w:rStyle w:val="optioncarChar"/>
        </w:rPr>
        <w:t>***</w:t>
      </w:r>
      <w:r>
        <w:t>.</w:t>
      </w:r>
      <w:r>
        <w:br/>
        <w:t>Voir plans et métrés détaillés.</w:t>
      </w:r>
    </w:p>
    <w:p w14:paraId="019D4724" w14:textId="77777777" w:rsidR="00DB2B68" w:rsidRDefault="00000000">
      <w:pPr>
        <w:pStyle w:val="pheading"/>
      </w:pPr>
      <w:r>
        <w:t>MATÉRIAUX</w:t>
      </w:r>
    </w:p>
    <w:p w14:paraId="09BEEBE0" w14:textId="77777777" w:rsidR="00DB2B68" w:rsidRDefault="00000000">
      <w:pPr>
        <w:pStyle w:val="pheading"/>
      </w:pPr>
      <w:r>
        <w:t>- Caractéristiques générales</w:t>
      </w:r>
    </w:p>
    <w:p w14:paraId="7C6BA1E7" w14:textId="77777777" w:rsidR="00DB2B68" w:rsidRDefault="00000000">
      <w:r>
        <w:rPr>
          <w:rStyle w:val="headingChar"/>
        </w:rPr>
        <w:t>Spécifications</w:t>
      </w:r>
    </w:p>
    <w:p w14:paraId="482F02BB" w14:textId="77777777" w:rsidR="00DB2B68" w:rsidRDefault="00000000">
      <w:r>
        <w:rPr>
          <w:u w:val="single"/>
        </w:rPr>
        <w:t>Blocs</w:t>
      </w:r>
    </w:p>
    <w:p w14:paraId="4E88A011" w14:textId="77777777" w:rsidR="00DB2B68"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2/0,8 </w:t>
      </w:r>
      <w:r>
        <w:t xml:space="preserve">(par défaut) </w:t>
      </w:r>
      <w:r>
        <w:rPr>
          <w:rStyle w:val="optioncarChar"/>
        </w:rPr>
        <w:t xml:space="preserve">/ 3/1,0 / 4/1,2 / 5/1,4 / 6/1,6 / 8/1,9 / 10/2.2 </w:t>
      </w:r>
      <w:r>
        <w:rPr>
          <w:rStyle w:val="optioncarChar"/>
          <w:color w:val="000000"/>
        </w:rPr>
        <w:t>(par défaut)</w:t>
      </w:r>
      <w:r>
        <w:rPr>
          <w:rStyle w:val="optioncarChar"/>
        </w:rPr>
        <w:t xml:space="preserve"> / 15/2,2+ / ***</w:t>
      </w:r>
      <w:r>
        <w:br/>
      </w:r>
      <w:r>
        <w:br/>
        <w:t xml:space="preserve">Le groupe de configuration suivant [NBN EN 1996-1-1+A1 ANB] est: </w:t>
      </w:r>
      <w:r>
        <w:rPr>
          <w:rStyle w:val="optioncarChar"/>
        </w:rPr>
        <w:t>1 / 2 / 3 / 4 / creux </w:t>
      </w:r>
      <w:r>
        <w:t xml:space="preserve">(par défaut) </w:t>
      </w:r>
      <w:r>
        <w:rPr>
          <w:rStyle w:val="optioncarChar"/>
        </w:rPr>
        <w:t>/ plein / ***</w:t>
      </w:r>
      <w:r>
        <w:br/>
      </w:r>
      <w:r>
        <w:br/>
        <w:t xml:space="preserve">La masse volumique sèche apparente des blocs ρ (rho) est : </w:t>
      </w:r>
      <w:r>
        <w:rPr>
          <w:rStyle w:val="optioncarChar"/>
        </w:rPr>
        <w:t>*** </w:t>
      </w:r>
      <w:r>
        <w:t>kg/m³ (blocs creux),</w:t>
      </w:r>
      <w:r>
        <w:rPr>
          <w:rStyle w:val="optioncarChar"/>
        </w:rPr>
        <w:t> ***</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rPr>
        <w:t>lisse</w:t>
      </w:r>
      <w:r>
        <w:t xml:space="preserve"> (par défaut)</w:t>
      </w:r>
      <w:r>
        <w:rPr>
          <w:rStyle w:val="optioncarChar"/>
        </w:rPr>
        <w:t xml:space="preserve"> / adhérence améliorée / rainurée</w:t>
      </w:r>
      <w:r>
        <w:br/>
      </w:r>
      <w:r>
        <w:br/>
        <w:t xml:space="preserve">Teinte : </w:t>
      </w:r>
      <w:r>
        <w:rPr>
          <w:rStyle w:val="optioncarChar"/>
        </w:rPr>
        <w:t>blanc / gris </w:t>
      </w:r>
      <w:r>
        <w:t xml:space="preserve">(par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6A7187BC" w14:textId="77777777" w:rsidR="00DB2B68" w:rsidRDefault="00000000">
      <w:r>
        <w:t xml:space="preserve">Stabilité de forme : les éléments en béton destinés à un usage extérieur ou en maçonnerie souterraine respectent le critère suivant en matière de comportement à l'humidité : retrait et </w:t>
      </w:r>
      <w:r>
        <w:lastRenderedPageBreak/>
        <w:t>gonflement hygrométriques ≤ 0,45 mm / m (cf. [NBN EN 772 série] et [NBN EN 680]). </w:t>
      </w:r>
      <w:r>
        <w:br/>
        <w:t xml:space="preserve">Taux initial d’absorption d’eau : classe </w:t>
      </w:r>
      <w:r>
        <w:rPr>
          <w:rStyle w:val="optioncarChar"/>
        </w:rPr>
        <w:t>IW1 </w:t>
      </w:r>
      <w:r>
        <w:t>(par défaut)</w:t>
      </w:r>
      <w:r>
        <w:rPr>
          <w:rStyle w:val="optioncarChar"/>
        </w:rPr>
        <w:t xml:space="preserve"> / IW2 / IW3 / IW4</w:t>
      </w:r>
      <w:r>
        <w:br/>
        <w:t xml:space="preserve">Absorption d’eau par capillarité : </w:t>
      </w:r>
      <w:r>
        <w:rPr>
          <w:rStyle w:val="optioncarChar"/>
        </w:rPr>
        <w:t>A1 (exposé décoratif) / A2 (exposé)</w:t>
      </w:r>
      <w:r>
        <w:t> </w:t>
      </w:r>
      <w:r>
        <w:rPr>
          <w:rStyle w:val="optioncarChar"/>
          <w:color w:val="000000"/>
        </w:rPr>
        <w:t>(par défaut)</w:t>
      </w:r>
      <w:r>
        <w:br/>
      </w:r>
      <w:r>
        <w:br/>
        <w:t>Réaction au feu :</w:t>
      </w:r>
      <w:r>
        <w:rPr>
          <w:rStyle w:val="optioncarChar"/>
        </w:rPr>
        <w:t xml:space="preserve"> A1</w:t>
      </w:r>
      <w:r>
        <w:t xml:space="preserve"> (par défaut) </w:t>
      </w:r>
      <w:r>
        <w:rPr>
          <w:rStyle w:val="optioncarChar"/>
        </w:rPr>
        <w:t>/ ***</w:t>
      </w:r>
    </w:p>
    <w:p w14:paraId="20713627" w14:textId="77777777" w:rsidR="00DB2B68" w:rsidRDefault="00000000">
      <w:pPr>
        <w:spacing w:before="0" w:after="0"/>
      </w:pPr>
      <w:r>
        <w:rPr>
          <w:u w:val="single"/>
        </w:rPr>
        <w:t>Mortier</w:t>
      </w:r>
    </w:p>
    <w:p w14:paraId="32373D80" w14:textId="77777777" w:rsidR="00DB2B68" w:rsidRDefault="00000000">
      <w:pPr>
        <w:spacing w:before="0" w:after="0"/>
      </w:pPr>
      <w:r>
        <w:rPr>
          <w:rStyle w:val="normalChar"/>
          <w:color w:val="000000"/>
        </w:rPr>
        <w:t>Classe de résistance :</w:t>
      </w:r>
      <w:r>
        <w:rPr>
          <w:rStyle w:val="optioncarChar"/>
        </w:rPr>
        <w:t xml:space="preserve">M1 / M2,5 / M5 / M10 </w:t>
      </w:r>
      <w:r>
        <w:t xml:space="preserve">(par défaut) </w:t>
      </w:r>
      <w:r>
        <w:rPr>
          <w:rStyle w:val="optioncarChar"/>
        </w:rPr>
        <w:t xml:space="preserve">/ M15 / M20 </w:t>
      </w:r>
    </w:p>
    <w:p w14:paraId="0C3F2E58"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EE1AD73" w14:textId="77777777" w:rsidR="00DB2B68" w:rsidRDefault="00000000">
      <w:pPr>
        <w:spacing w:before="0" w:after="0"/>
      </w:pPr>
      <w:r>
        <w:rPr>
          <w:rStyle w:val="normalChar"/>
          <w:color w:val="000000"/>
        </w:rPr>
        <w:t>Résistance au gel : oui</w:t>
      </w:r>
    </w:p>
    <w:p w14:paraId="62C7F98E" w14:textId="77777777" w:rsidR="00DB2B68" w:rsidRDefault="00000000">
      <w:r>
        <w:br/>
      </w:r>
      <w:r>
        <w:rPr>
          <w:rStyle w:val="headingChar"/>
        </w:rPr>
        <w:t>Critères De Performances De La Paroi</w:t>
      </w:r>
      <w:r>
        <w:br/>
        <w:t xml:space="preserve">Coefficient de transmission : </w:t>
      </w:r>
      <w:r>
        <w:br/>
        <w:t>• valeur U minimale de</w:t>
      </w:r>
      <w:r>
        <w:rPr>
          <w:rStyle w:val="optioncarChar"/>
        </w:rPr>
        <w:t xml:space="preserve"> ***</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r>
        <w:br/>
      </w:r>
      <w:r>
        <w:br/>
        <w:t xml:space="preserve">Résistance au feu : </w:t>
      </w:r>
      <w:r>
        <w:br/>
        <w:t xml:space="preserve">• pour les éléments porteurs structurels sans fonction séparante : </w:t>
      </w:r>
      <w:r>
        <w:rPr>
          <w:rStyle w:val="optioncarChar"/>
        </w:rPr>
        <w:t>R 15 / R 30</w:t>
      </w:r>
      <w:r>
        <w:t xml:space="preserve"> (par défaut) </w:t>
      </w:r>
      <w:r>
        <w:rPr>
          <w:rStyle w:val="optioncarChar"/>
        </w:rPr>
        <w:t>/ R 60 / R 120 / R ***</w:t>
      </w:r>
      <w:r>
        <w:br/>
        <w:t xml:space="preserve">• pour les éléments porteurs structurels avec fonction séparante : </w:t>
      </w:r>
      <w:r>
        <w:rPr>
          <w:rStyle w:val="optioncarChar"/>
        </w:rPr>
        <w:t>REI 30 </w:t>
      </w:r>
      <w:r>
        <w:t>(par défaut)</w:t>
      </w:r>
      <w:r>
        <w:rPr>
          <w:rStyle w:val="optioncarChar"/>
        </w:rPr>
        <w:t xml:space="preserve"> / REI 60 / REI 120 / REI ***</w:t>
      </w:r>
      <w:r>
        <w:br/>
        <w:t>selon les tableaux dans [NBN EN 1996-1-2 ANB]</w:t>
      </w:r>
    </w:p>
    <w:p w14:paraId="2CBDA244" w14:textId="77777777" w:rsidR="00DB2B68" w:rsidRDefault="00000000">
      <w:pPr>
        <w:pStyle w:val="pheading"/>
      </w:pPr>
      <w:r>
        <w:t>- Finitions</w:t>
      </w:r>
    </w:p>
    <w:p w14:paraId="0206D0D7" w14:textId="77777777" w:rsidR="00DB2B68" w:rsidRDefault="00000000">
      <w:r>
        <w:t xml:space="preserve">Les faces de murs suivantes sont exécutées comme maçonneries apparentes et sont </w:t>
      </w:r>
      <w:r>
        <w:rPr>
          <w:rStyle w:val="optioncarChar"/>
        </w:rPr>
        <w:t>rejointoyées en cours d'élévation </w:t>
      </w:r>
      <w:r>
        <w:t>(par défaut)</w:t>
      </w:r>
      <w:r>
        <w:rPr>
          <w:rStyle w:val="optioncarChar"/>
        </w:rPr>
        <w:t xml:space="preserve"> / rejointoyées par après / ***</w:t>
      </w:r>
      <w:r>
        <w:t xml:space="preserve"> selon l'article </w:t>
      </w:r>
      <w:hyperlink w:anchor="346" w:history="1">
        <w:r>
          <w:rPr>
            <w:color w:val="0000EE"/>
          </w:rPr>
          <w:t>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p>
    <w:p w14:paraId="5A867C2E" w14:textId="77777777" w:rsidR="00DB2B68" w:rsidRDefault="00000000">
      <w:pPr>
        <w:pStyle w:val="pheading"/>
      </w:pPr>
      <w:r>
        <w:t>MESURAGE</w:t>
      </w:r>
    </w:p>
    <w:p w14:paraId="7456D3C4" w14:textId="77777777" w:rsidR="00DB2B68" w:rsidRDefault="00000000">
      <w:pPr>
        <w:pStyle w:val="pheading"/>
      </w:pPr>
      <w:r>
        <w:t>- unité de mesure:</w:t>
      </w:r>
    </w:p>
    <w:p w14:paraId="4206FBFE" w14:textId="77777777" w:rsidR="00DB2B68" w:rsidRDefault="00000000">
      <w:r>
        <w:rPr>
          <w:rStyle w:val="optioncarChar"/>
        </w:rPr>
        <w:t>m³ </w:t>
      </w:r>
      <w:r>
        <w:t>(par défaut)</w:t>
      </w:r>
      <w:r>
        <w:rPr>
          <w:rStyle w:val="optioncarChar"/>
        </w:rPr>
        <w:t> / m²</w:t>
      </w:r>
    </w:p>
    <w:p w14:paraId="20FE076E" w14:textId="77777777" w:rsidR="00DB2B68" w:rsidRDefault="00000000">
      <w:r>
        <w:rPr>
          <w:b/>
        </w:rPr>
        <w:t>(soit par défaut)</w:t>
      </w:r>
    </w:p>
    <w:p w14:paraId="4C6FDDBA" w14:textId="77777777" w:rsidR="00DB2B68" w:rsidRDefault="00000000">
      <w:r>
        <w:rPr>
          <w:rStyle w:val="soitChar"/>
        </w:rPr>
        <w:t>1. m³</w:t>
      </w:r>
    </w:p>
    <w:p w14:paraId="7A9A0F72" w14:textId="77777777" w:rsidR="00DB2B68" w:rsidRDefault="00000000">
      <w:r>
        <w:rPr>
          <w:b/>
        </w:rPr>
        <w:t>(soit)</w:t>
      </w:r>
    </w:p>
    <w:p w14:paraId="034F7151" w14:textId="77777777" w:rsidR="00DB2B68" w:rsidRDefault="00000000">
      <w:r>
        <w:rPr>
          <w:rStyle w:val="soitChar"/>
        </w:rPr>
        <w:t>2. m²</w:t>
      </w:r>
    </w:p>
    <w:p w14:paraId="19BAEF4B" w14:textId="77777777" w:rsidR="00DB2B68" w:rsidRDefault="00000000">
      <w:pPr>
        <w:pStyle w:val="pheading"/>
      </w:pPr>
      <w:r>
        <w:t>- code de mesurage:</w:t>
      </w:r>
    </w:p>
    <w:p w14:paraId="337AD2F0"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9FAFEA2"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D073E3A"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9EB2BD0" w14:textId="77777777" w:rsidR="00DB2B68" w:rsidRDefault="00DB2B68"/>
    <w:p w14:paraId="6DFC7E09" w14:textId="77777777" w:rsidR="00DB2B68" w:rsidRDefault="00000000">
      <w:r>
        <w:rPr>
          <w:rStyle w:val="optioncarChar"/>
        </w:rPr>
        <w:t>Volume net </w:t>
      </w:r>
      <w:r>
        <w:t>(par défaut)</w:t>
      </w:r>
      <w:r>
        <w:rPr>
          <w:rStyle w:val="optioncarChar"/>
        </w:rPr>
        <w:t> / Surface nette</w:t>
      </w:r>
    </w:p>
    <w:p w14:paraId="0A7C174F" w14:textId="77777777" w:rsidR="00DB2B68" w:rsidRDefault="00000000">
      <w:r>
        <w:rPr>
          <w:b/>
        </w:rPr>
        <w:t>(soit par défaut)</w:t>
      </w:r>
    </w:p>
    <w:p w14:paraId="5596E4E0"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8D7418A" w14:textId="77777777" w:rsidR="00DB2B68" w:rsidRDefault="00000000">
      <w:r>
        <w:rPr>
          <w:b/>
        </w:rPr>
        <w:t>(soit)</w:t>
      </w:r>
    </w:p>
    <w:p w14:paraId="14FA0EA5"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8109CAB" w14:textId="77777777" w:rsidR="00DB2B68" w:rsidRDefault="00DB2B68"/>
    <w:p w14:paraId="105725F7" w14:textId="77777777" w:rsidR="00DB2B68" w:rsidRDefault="00000000">
      <w:pPr>
        <w:pStyle w:val="pheading"/>
      </w:pPr>
      <w:r>
        <w:t>- nature du marché:</w:t>
      </w:r>
    </w:p>
    <w:p w14:paraId="7A582009" w14:textId="77777777" w:rsidR="00DB2B68" w:rsidRDefault="00000000">
      <w:r>
        <w:t>QF</w:t>
      </w:r>
    </w:p>
    <w:p w14:paraId="21D1F906" w14:textId="77777777" w:rsidR="00DB2B68" w:rsidRDefault="00000000">
      <w:pPr>
        <w:pStyle w:val="Author-eSectionHeading6Numberless"/>
      </w:pPr>
      <w:bookmarkStart w:id="38" w:name="_Toc220495203"/>
      <w:r>
        <w:t>21.12.2h Maçonneries portantes en blocs de coffrage en béton cellulaire CCTB 01.13</w:t>
      </w:r>
      <w:bookmarkEnd w:id="38"/>
    </w:p>
    <w:p w14:paraId="0F4B297C" w14:textId="77777777" w:rsidR="00DB2B68" w:rsidRDefault="00000000">
      <w:pPr>
        <w:pStyle w:val="pheading"/>
      </w:pPr>
      <w:r>
        <w:t>DESCRIPTION</w:t>
      </w:r>
    </w:p>
    <w:p w14:paraId="51832667" w14:textId="77777777" w:rsidR="00DB2B68" w:rsidRDefault="00000000">
      <w:pPr>
        <w:pStyle w:val="pheading"/>
      </w:pPr>
      <w:r>
        <w:t>- Définition / Comprend</w:t>
      </w:r>
    </w:p>
    <w:p w14:paraId="2F652BA4" w14:textId="77777777" w:rsidR="00DB2B68" w:rsidRDefault="00000000">
      <w:r>
        <w:t xml:space="preserve">Il s’agit de la fourniture et la pose de maçonneries portantes en blocs de coffrage en béton cellulaire. </w:t>
      </w:r>
      <w:r>
        <w:br/>
        <w:t xml:space="preserve">La portée des travaux est décrite dans l’article </w:t>
      </w:r>
      <w:hyperlink w:anchor="368" w:history="1">
        <w:r>
          <w:rPr>
            <w:color w:val="0000EE"/>
          </w:rPr>
          <w:t>21.12.2 Maçonneries portantes en blocs pour murs en contact direct avec la terre</w:t>
        </w:r>
      </w:hyperlink>
      <w:r>
        <w:t>.</w:t>
      </w:r>
      <w:r>
        <w:br/>
        <w:t>Les travaux comprennent également la fourniture et la pose des pièces d’angle, de terminaison et de rencontre.</w:t>
      </w:r>
    </w:p>
    <w:p w14:paraId="5747ED78" w14:textId="77777777" w:rsidR="00DB2B68" w:rsidRDefault="00000000">
      <w:pPr>
        <w:pStyle w:val="pheading"/>
      </w:pPr>
      <w:r>
        <w:t>- Localisation</w:t>
      </w:r>
    </w:p>
    <w:p w14:paraId="7D6E0BF3" w14:textId="77777777" w:rsidR="00DB2B68" w:rsidRDefault="00000000">
      <w:r>
        <w:t xml:space="preserve">La pose est réalisée aux endroits suivants : </w:t>
      </w:r>
      <w:r>
        <w:rPr>
          <w:rStyle w:val="optioncarChar"/>
        </w:rPr>
        <w:t>***</w:t>
      </w:r>
      <w:r>
        <w:t>.</w:t>
      </w:r>
      <w:r>
        <w:br/>
        <w:t>Voir plans et métrés détaillés.</w:t>
      </w:r>
    </w:p>
    <w:p w14:paraId="01CD770C" w14:textId="77777777" w:rsidR="00DB2B68" w:rsidRDefault="00000000">
      <w:pPr>
        <w:pStyle w:val="pheading"/>
      </w:pPr>
      <w:r>
        <w:t>MATÉRIAUX</w:t>
      </w:r>
    </w:p>
    <w:p w14:paraId="425CADF3" w14:textId="77777777" w:rsidR="00DB2B68" w:rsidRDefault="00000000">
      <w:pPr>
        <w:pStyle w:val="pheading"/>
      </w:pPr>
      <w:r>
        <w:t>- Caractéristiques générales</w:t>
      </w:r>
    </w:p>
    <w:p w14:paraId="788A0BA8" w14:textId="77777777" w:rsidR="00DB2B68" w:rsidRDefault="00000000">
      <w:r>
        <w:rPr>
          <w:rStyle w:val="headingChar"/>
        </w:rPr>
        <w:t>Spécifications</w:t>
      </w:r>
      <w:r>
        <w:br/>
        <w:t>En ce qui concerne la déclaration de la résistance à la compression, les blocs sont de catégorie I (la résistance à la compression est déclarée avec une fiabilité de 95%).</w:t>
      </w:r>
      <w:r>
        <w:br/>
      </w:r>
      <w:r>
        <w:br/>
        <w:t>Les blocs en béton cellulaire sont de classe d’usage D</w:t>
      </w:r>
      <w:r>
        <w:br/>
        <w:t xml:space="preserve">La classe de qualité suivant [PTV 21-002] est : </w:t>
      </w:r>
      <w:r>
        <w:rPr>
          <w:rStyle w:val="optioncarChar"/>
        </w:rPr>
        <w:t xml:space="preserve">C4/550 </w:t>
      </w:r>
      <w:r>
        <w:t>(par défaut) </w:t>
      </w:r>
      <w:r>
        <w:rPr>
          <w:rStyle w:val="optioncarChar"/>
        </w:rPr>
        <w:t>/ ***</w:t>
      </w:r>
      <w:r>
        <w:br/>
      </w:r>
      <w:r>
        <w:br/>
        <w:t xml:space="preserve">La masse volumique sèche apparente des blocs ρ (rho) est : </w:t>
      </w:r>
      <w:r>
        <w:rPr>
          <w:rStyle w:val="optioncarChar"/>
        </w:rPr>
        <w:t>… kg/m³ (blocs pleins)</w:t>
      </w:r>
      <w:r>
        <w:t xml:space="preserve">, selon la [NBN EN 771-4+A1]. </w:t>
      </w:r>
      <w:r>
        <w:br/>
        <w:t>Conductibilité thermique :λ</w:t>
      </w:r>
      <w:r>
        <w:rPr>
          <w:vertAlign w:val="subscript"/>
        </w:rPr>
        <w:t>D</w:t>
      </w:r>
      <w:r>
        <w:t xml:space="preserve"> compatible avec la valeur U prescrite pour la paroi. </w:t>
      </w:r>
      <w:r>
        <w:br/>
      </w:r>
      <w:r>
        <w:br/>
        <w:t xml:space="preserve">Boutisse : </w:t>
      </w:r>
      <w:r>
        <w:rPr>
          <w:rStyle w:val="optioncarChar"/>
          <w:color w:val="000000"/>
        </w:rPr>
        <w:t>plate</w:t>
      </w:r>
      <w:r>
        <w:br/>
        <w:t xml:space="preserve">Face qui reste visible : </w:t>
      </w:r>
      <w:r>
        <w:rPr>
          <w:rStyle w:val="optioncarChar"/>
        </w:rPr>
        <w:t>lisse </w:t>
      </w:r>
      <w:r>
        <w:t>(par défaut)</w:t>
      </w:r>
      <w:r>
        <w:rPr>
          <w:rStyle w:val="optioncarChar"/>
        </w:rPr>
        <w:t xml:space="preserve"> /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(par défaut) </w:t>
      </w:r>
      <w:r>
        <w:rPr>
          <w:rStyle w:val="optioncarChar"/>
        </w:rPr>
        <w:t xml:space="preserve"> / ***</w:t>
      </w:r>
      <w:r>
        <w:br/>
      </w:r>
      <w:r>
        <w:br/>
        <w:t>Format :</w:t>
      </w:r>
      <w:r>
        <w:rPr>
          <w:rStyle w:val="optioncarChar"/>
        </w:rPr>
        <w:t> format modulaire proposé par l'entrepreneur</w:t>
      </w:r>
      <w:r>
        <w:t> (par défaut) </w:t>
      </w:r>
      <w:r>
        <w:rPr>
          <w:rStyle w:val="optioncarChar"/>
        </w:rPr>
        <w:t>/ (600 / 625 / *** </w:t>
      </w:r>
      <w:r>
        <w:t>x</w:t>
      </w:r>
      <w:r>
        <w:rPr>
          <w:rStyle w:val="optioncarChar"/>
        </w:rPr>
        <w:t> 250 / ***</w:t>
      </w:r>
      <w:r>
        <w:t> x</w:t>
      </w:r>
      <w:r>
        <w:rPr>
          <w:rStyle w:val="optioncarChar"/>
        </w:rPr>
        <w:t> 200 / 240 / 300 / 365 / ***</w:t>
      </w:r>
      <w:r>
        <w:t> ) mm</w:t>
      </w:r>
    </w:p>
    <w:p w14:paraId="62EE2EB4" w14:textId="77777777" w:rsidR="00DB2B68" w:rsidRDefault="00000000">
      <w:r>
        <w:t>La classe de tolérances dimensionnelles est TLMA.</w:t>
      </w:r>
    </w:p>
    <w:p w14:paraId="6682A733" w14:textId="77777777" w:rsidR="00DB2B68" w:rsidRDefault="00000000">
      <w:r>
        <w:lastRenderedPageBreak/>
        <w:t>Stabilité de forme : les éléments en béton cellulaire destinés à un usage extérieur ou en maçonnerie souterraine respectent le critère suivant en matière de comportement à l'humidité : retrait et gonflement hygrométriques ≤ 0,45 mm / m (cf. [NBN EN 772 série] et [NBN EN 680]).</w:t>
      </w:r>
    </w:p>
    <w:p w14:paraId="3D553A60" w14:textId="77777777" w:rsidR="00DB2B68" w:rsidRDefault="00000000">
      <w:r>
        <w:t xml:space="preserve">Réaction au feu : </w:t>
      </w:r>
      <w:r>
        <w:rPr>
          <w:rStyle w:val="optioncarChar"/>
        </w:rPr>
        <w:t xml:space="preserve">A1 </w:t>
      </w:r>
      <w:r>
        <w:t>(par défaut) </w:t>
      </w:r>
      <w:r>
        <w:rPr>
          <w:rStyle w:val="optioncarChar"/>
        </w:rPr>
        <w:t>/ ***</w:t>
      </w:r>
      <w:r>
        <w:br/>
      </w:r>
      <w:r>
        <w:br/>
      </w:r>
      <w:r>
        <w:br/>
      </w:r>
      <w:r>
        <w:rPr>
          <w:rStyle w:val="headingChar"/>
        </w:rPr>
        <w:t>Critères De Performances De La Paroi</w:t>
      </w:r>
      <w:r>
        <w:br/>
        <w:t>Coefficient de transmission :</w:t>
      </w:r>
    </w:p>
    <w:p w14:paraId="09AD4F78" w14:textId="77777777" w:rsidR="00DB2B68" w:rsidRDefault="00000000">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8CE52DC" w14:textId="77777777" w:rsidR="00DB2B68" w:rsidRDefault="00000000">
      <w:r>
        <w:t>Résistance au feu :</w:t>
      </w:r>
    </w:p>
    <w:p w14:paraId="7E4D9876" w14:textId="77777777" w:rsidR="00DB2B68" w:rsidRDefault="00000000">
      <w:pPr>
        <w:ind w:left="567"/>
      </w:pPr>
      <w:r>
        <w:t>• pour les éléments porteurs structurels sans fonction séparante :</w:t>
      </w:r>
      <w:r>
        <w:rPr>
          <w:rStyle w:val="optioncarChar"/>
        </w:rPr>
        <w:t xml:space="preserve"> R 15 / R 30 </w:t>
      </w:r>
      <w:r>
        <w:t>(par défaut)</w:t>
      </w:r>
      <w:r>
        <w:rPr>
          <w:rStyle w:val="optioncarChar"/>
        </w:rPr>
        <w:t xml:space="preserve"> / R 60 / R 120 / R ***</w:t>
      </w:r>
      <w:r>
        <w:br/>
        <w:t xml:space="preserve">• pour les éléments porteurs structurels avec fonction séparante : </w:t>
      </w:r>
      <w:r>
        <w:rPr>
          <w:rStyle w:val="optioncarChar"/>
        </w:rPr>
        <w:t xml:space="preserve">REI 30 </w:t>
      </w:r>
      <w:r>
        <w:t>(par défaut) </w:t>
      </w:r>
      <w:r>
        <w:rPr>
          <w:rStyle w:val="optioncarChar"/>
        </w:rPr>
        <w:t>/ REI 60 / REI 120 / REI ***</w:t>
      </w:r>
    </w:p>
    <w:p w14:paraId="01DEDF35" w14:textId="77777777" w:rsidR="00DB2B68" w:rsidRDefault="00000000">
      <w:pPr>
        <w:pStyle w:val="pheading"/>
      </w:pPr>
      <w:r>
        <w:t>- Finitions</w:t>
      </w:r>
    </w:p>
    <w:p w14:paraId="5E259CF0" w14:textId="77777777" w:rsidR="00DB2B68" w:rsidRDefault="00000000">
      <w:pPr>
        <w:pStyle w:val="Author-eListParagraph"/>
        <w:numPr>
          <w:ilvl w:val="0"/>
          <w:numId w:val="72"/>
        </w:numPr>
      </w:pPr>
      <w:r>
        <w:t xml:space="preserve">Les faces de murs suivantes sont exécutées comme maçonneries apparentes et sont </w:t>
      </w:r>
      <w:r>
        <w:rPr>
          <w:rStyle w:val="optioncarChar"/>
          <w:color w:val="000000"/>
        </w:rPr>
        <w:t>rejointoyées</w:t>
      </w:r>
      <w:r>
        <w:t xml:space="preserve"> selon l'article </w:t>
      </w:r>
      <w:hyperlink w:anchor="346" w:history="1">
        <w:r>
          <w:rPr>
            <w:color w:val="0000EE"/>
          </w:rPr>
          <w:t>Joints de maçonnerie apparente</w:t>
        </w:r>
      </w:hyperlink>
      <w:r>
        <w:t xml:space="preserve"> : </w:t>
      </w:r>
      <w:r>
        <w:rPr>
          <w:rStyle w:val="optioncarChar"/>
        </w:rPr>
        <w:t>***</w:t>
      </w:r>
    </w:p>
    <w:p w14:paraId="6402953B" w14:textId="77777777" w:rsidR="00DB2B68" w:rsidRDefault="00000000">
      <w:pPr>
        <w:pStyle w:val="Author-eListParagraph"/>
        <w:numPr>
          <w:ilvl w:val="0"/>
          <w:numId w:val="72"/>
        </w:numPr>
      </w:pPr>
      <w:r>
        <w:t>Les murs suivants sont exécutés avec une face restant apparentes :</w:t>
      </w:r>
      <w:r>
        <w:rPr>
          <w:color w:val="FF0000"/>
        </w:rPr>
        <w:t>***</w:t>
      </w:r>
    </w:p>
    <w:p w14:paraId="5223D472" w14:textId="77777777" w:rsidR="00DB2B68" w:rsidRDefault="00000000">
      <w:pPr>
        <w:pStyle w:val="Author-eListParagraph"/>
        <w:numPr>
          <w:ilvl w:val="0"/>
          <w:numId w:val="72"/>
        </w:numPr>
      </w:pPr>
      <w:r>
        <w:t>Les murs suivants sont exécutés avec deux faces restant apparentes :</w:t>
      </w:r>
      <w:r>
        <w:rPr>
          <w:color w:val="FF0000"/>
        </w:rPr>
        <w:t xml:space="preserve"> ***</w:t>
      </w:r>
    </w:p>
    <w:p w14:paraId="4399F55A" w14:textId="77777777" w:rsidR="00DB2B68" w:rsidRDefault="00000000">
      <w:pPr>
        <w:ind w:left="750"/>
      </w:pPr>
      <w:r>
        <w:t> </w:t>
      </w:r>
    </w:p>
    <w:p w14:paraId="046652AB" w14:textId="77777777" w:rsidR="00DB2B68" w:rsidRDefault="00000000">
      <w:pPr>
        <w:pStyle w:val="pheading"/>
      </w:pPr>
      <w:r>
        <w:t>- Prescriptions complémentaires</w:t>
      </w:r>
    </w:p>
    <w:p w14:paraId="647E1CD8"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5525898C" w14:textId="77777777" w:rsidR="00DB2B68" w:rsidRDefault="00000000">
      <w:pPr>
        <w:pStyle w:val="pheading"/>
      </w:pPr>
      <w:r>
        <w:t>MESURAGE</w:t>
      </w:r>
    </w:p>
    <w:p w14:paraId="1C1A9C19" w14:textId="77777777" w:rsidR="00DB2B68" w:rsidRDefault="00000000">
      <w:pPr>
        <w:pStyle w:val="pheading"/>
      </w:pPr>
      <w:r>
        <w:t>- unité de mesure:</w:t>
      </w:r>
    </w:p>
    <w:p w14:paraId="43E33590" w14:textId="77777777" w:rsidR="00DB2B68" w:rsidRDefault="00000000">
      <w:r>
        <w:rPr>
          <w:rStyle w:val="optioncarChar"/>
        </w:rPr>
        <w:t>m³ </w:t>
      </w:r>
      <w:r>
        <w:t>(par défaut)</w:t>
      </w:r>
      <w:r>
        <w:rPr>
          <w:rStyle w:val="optioncarChar"/>
        </w:rPr>
        <w:t> / m²</w:t>
      </w:r>
    </w:p>
    <w:p w14:paraId="7E8A9DEA" w14:textId="77777777" w:rsidR="00DB2B68" w:rsidRDefault="00000000">
      <w:r>
        <w:rPr>
          <w:b/>
        </w:rPr>
        <w:t>(soit par défaut)</w:t>
      </w:r>
    </w:p>
    <w:p w14:paraId="26D91A96" w14:textId="77777777" w:rsidR="00DB2B68" w:rsidRDefault="00000000">
      <w:r>
        <w:rPr>
          <w:rStyle w:val="soitChar"/>
        </w:rPr>
        <w:t>1. m³</w:t>
      </w:r>
    </w:p>
    <w:p w14:paraId="71DDBAA4" w14:textId="77777777" w:rsidR="00DB2B68" w:rsidRDefault="00000000">
      <w:r>
        <w:rPr>
          <w:b/>
        </w:rPr>
        <w:t>(soit)</w:t>
      </w:r>
    </w:p>
    <w:p w14:paraId="624E10B9" w14:textId="77777777" w:rsidR="00DB2B68" w:rsidRDefault="00000000">
      <w:r>
        <w:rPr>
          <w:rStyle w:val="soitChar"/>
        </w:rPr>
        <w:t>2. m²</w:t>
      </w:r>
    </w:p>
    <w:p w14:paraId="67E47FD1" w14:textId="77777777" w:rsidR="00DB2B68" w:rsidRDefault="00000000">
      <w:pPr>
        <w:pStyle w:val="pheading"/>
      </w:pPr>
      <w:r>
        <w:t>- code de mesurage:</w:t>
      </w:r>
    </w:p>
    <w:p w14:paraId="4408635F"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0D90350"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060D8B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r>
      <w:r>
        <w:lastRenderedPageBreak/>
        <w:t>La maçonnerie autour des conduits de fumée et de ventilation est mesurée comme un mur plein pour les fourreaux jusqu'à une section de 0,12 m2.</w:t>
      </w:r>
    </w:p>
    <w:p w14:paraId="4E660D30" w14:textId="77777777" w:rsidR="00DB2B68" w:rsidRDefault="00DB2B68"/>
    <w:p w14:paraId="3C14D343" w14:textId="77777777" w:rsidR="00DB2B68" w:rsidRDefault="00000000">
      <w:r>
        <w:rPr>
          <w:rStyle w:val="optioncarChar"/>
        </w:rPr>
        <w:t>Volume net </w:t>
      </w:r>
      <w:r>
        <w:t>(par défaut)</w:t>
      </w:r>
      <w:r>
        <w:rPr>
          <w:rStyle w:val="optioncarChar"/>
        </w:rPr>
        <w:t> / Surface nette</w:t>
      </w:r>
    </w:p>
    <w:p w14:paraId="05F98F9A" w14:textId="77777777" w:rsidR="00DB2B68" w:rsidRDefault="00000000">
      <w:r>
        <w:rPr>
          <w:b/>
        </w:rPr>
        <w:t>(soit par défaut)</w:t>
      </w:r>
    </w:p>
    <w:p w14:paraId="5206CDC0"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A10318A" w14:textId="77777777" w:rsidR="00DB2B68" w:rsidRDefault="00000000">
      <w:r>
        <w:rPr>
          <w:b/>
        </w:rPr>
        <w:t>(soit)</w:t>
      </w:r>
    </w:p>
    <w:p w14:paraId="0A495F77"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BE01406" w14:textId="77777777" w:rsidR="00DB2B68" w:rsidRDefault="00000000">
      <w:pPr>
        <w:pStyle w:val="pheading"/>
      </w:pPr>
      <w:r>
        <w:t>- nature du marché:</w:t>
      </w:r>
    </w:p>
    <w:p w14:paraId="1E6D0213" w14:textId="77777777" w:rsidR="00DB2B68" w:rsidRDefault="00000000">
      <w:r>
        <w:t>QF</w:t>
      </w:r>
    </w:p>
    <w:p w14:paraId="56F548DA" w14:textId="77777777" w:rsidR="00DB2B68" w:rsidRDefault="00000000">
      <w:pPr>
        <w:pStyle w:val="Author-eSectionHeading6Numberless"/>
      </w:pPr>
      <w:bookmarkStart w:id="39" w:name="_Toc220495204"/>
      <w:r>
        <w:t>21.12.2i Maçonneries portantes en blocs treillis de terre cuite à maçonner CCTB 01.11</w:t>
      </w:r>
      <w:bookmarkEnd w:id="39"/>
    </w:p>
    <w:p w14:paraId="1AF8A4A5" w14:textId="77777777" w:rsidR="00DB2B68" w:rsidRDefault="00000000">
      <w:pPr>
        <w:pStyle w:val="pheading"/>
      </w:pPr>
      <w:r>
        <w:t>DESCRIPTION</w:t>
      </w:r>
    </w:p>
    <w:p w14:paraId="4FD1126D" w14:textId="77777777" w:rsidR="00DB2B68" w:rsidRDefault="00000000">
      <w:pPr>
        <w:pStyle w:val="pheading"/>
      </w:pPr>
      <w:r>
        <w:t>- Définition / Comprend</w:t>
      </w:r>
    </w:p>
    <w:p w14:paraId="22BCBA30" w14:textId="77777777" w:rsidR="00DB2B68" w:rsidRDefault="00000000">
      <w:r>
        <w:t xml:space="preserve">Il s’agit de la fourniture et la pose de maçonneries portantes en blocs treillis de terre cuite à maçonner. </w:t>
      </w:r>
      <w:r>
        <w:br/>
        <w:t xml:space="preserve">La portée des travaux est décrite dans l’article </w:t>
      </w:r>
      <w:hyperlink w:anchor="368" w:history="1">
        <w:r>
          <w:rPr>
            <w:color w:val="0000EE"/>
          </w:rPr>
          <w:t>21.12.2 Maçonneries portantes en blocs pour murs en contact direct avec la terre</w:t>
        </w:r>
      </w:hyperlink>
      <w:r>
        <w:t>.</w:t>
      </w:r>
      <w:r>
        <w:br/>
        <w:t>Les travaux comprennent également la fourniture et la pose des pièces d’angle, de terminaison et de rencontre.</w:t>
      </w:r>
    </w:p>
    <w:p w14:paraId="3D3F8E11" w14:textId="77777777" w:rsidR="00DB2B68" w:rsidRDefault="00000000">
      <w:pPr>
        <w:pStyle w:val="pheading"/>
      </w:pPr>
      <w:r>
        <w:t>- Localisation</w:t>
      </w:r>
    </w:p>
    <w:p w14:paraId="4A39F8B8" w14:textId="77777777" w:rsidR="00DB2B68" w:rsidRDefault="00000000">
      <w:r>
        <w:t xml:space="preserve">La pose est réalisée aux endroits suivants : </w:t>
      </w:r>
      <w:r>
        <w:rPr>
          <w:rStyle w:val="optioncarChar"/>
        </w:rPr>
        <w:t>***</w:t>
      </w:r>
      <w:r>
        <w:t>.</w:t>
      </w:r>
      <w:r>
        <w:br/>
        <w:t>Voir plans et métrés détaillés.</w:t>
      </w:r>
    </w:p>
    <w:p w14:paraId="2D077CD1" w14:textId="77777777" w:rsidR="00DB2B68" w:rsidRDefault="00000000">
      <w:pPr>
        <w:pStyle w:val="pheading"/>
      </w:pPr>
      <w:r>
        <w:t>MESURAGE</w:t>
      </w:r>
    </w:p>
    <w:p w14:paraId="134C2CD4" w14:textId="77777777" w:rsidR="00DB2B68" w:rsidRDefault="00000000">
      <w:pPr>
        <w:pStyle w:val="pheading"/>
      </w:pPr>
      <w:r>
        <w:t>- unité de mesure:</w:t>
      </w:r>
    </w:p>
    <w:p w14:paraId="6C607EC1" w14:textId="77777777" w:rsidR="00DB2B68" w:rsidRDefault="00000000">
      <w:r>
        <w:rPr>
          <w:rStyle w:val="optioncarChar"/>
        </w:rPr>
        <w:t>m³ </w:t>
      </w:r>
      <w:r>
        <w:t>(par défaut)</w:t>
      </w:r>
      <w:r>
        <w:rPr>
          <w:rStyle w:val="optioncarChar"/>
        </w:rPr>
        <w:t> / m²</w:t>
      </w:r>
    </w:p>
    <w:p w14:paraId="4CEBA5BA" w14:textId="77777777" w:rsidR="00DB2B68" w:rsidRDefault="00000000">
      <w:r>
        <w:rPr>
          <w:b/>
        </w:rPr>
        <w:t>(soit par défaut)</w:t>
      </w:r>
    </w:p>
    <w:p w14:paraId="0741B4E7" w14:textId="77777777" w:rsidR="00DB2B68" w:rsidRDefault="00000000">
      <w:r>
        <w:rPr>
          <w:rStyle w:val="soitChar"/>
        </w:rPr>
        <w:t>1. m³</w:t>
      </w:r>
    </w:p>
    <w:p w14:paraId="7EC5BDB5" w14:textId="77777777" w:rsidR="00DB2B68" w:rsidRDefault="00000000">
      <w:r>
        <w:rPr>
          <w:b/>
        </w:rPr>
        <w:t>(soit)</w:t>
      </w:r>
    </w:p>
    <w:p w14:paraId="030BC703" w14:textId="77777777" w:rsidR="00DB2B68" w:rsidRDefault="00000000">
      <w:r>
        <w:rPr>
          <w:rStyle w:val="soitChar"/>
        </w:rPr>
        <w:t>2. m²</w:t>
      </w:r>
    </w:p>
    <w:p w14:paraId="75DE741C" w14:textId="77777777" w:rsidR="00DB2B68" w:rsidRDefault="00000000">
      <w:pPr>
        <w:pStyle w:val="pheading"/>
      </w:pPr>
      <w:r>
        <w:t>- code de mesurage:</w:t>
      </w:r>
    </w:p>
    <w:p w14:paraId="721954F3"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0DCEC15"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659BA92" w14:textId="77777777" w:rsidR="00DB2B68" w:rsidRDefault="00000000">
      <w:r>
        <w:lastRenderedPageBreak/>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B573DD0" w14:textId="77777777" w:rsidR="00DB2B68" w:rsidRDefault="00DB2B68"/>
    <w:p w14:paraId="5CEB5F67" w14:textId="77777777" w:rsidR="00DB2B68" w:rsidRDefault="00000000">
      <w:r>
        <w:rPr>
          <w:rStyle w:val="optioncarChar"/>
        </w:rPr>
        <w:t>Volume net </w:t>
      </w:r>
      <w:r>
        <w:t>(par défaut)</w:t>
      </w:r>
      <w:r>
        <w:rPr>
          <w:rStyle w:val="optioncarChar"/>
        </w:rPr>
        <w:t> / Surface nette</w:t>
      </w:r>
    </w:p>
    <w:p w14:paraId="4CB7E296" w14:textId="77777777" w:rsidR="00DB2B68" w:rsidRDefault="00000000">
      <w:r>
        <w:rPr>
          <w:b/>
        </w:rPr>
        <w:t>(soit par défaut)</w:t>
      </w:r>
    </w:p>
    <w:p w14:paraId="457C6B1C"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125EA1C" w14:textId="77777777" w:rsidR="00DB2B68" w:rsidRDefault="00000000">
      <w:r>
        <w:rPr>
          <w:b/>
        </w:rPr>
        <w:t>(soit)</w:t>
      </w:r>
    </w:p>
    <w:p w14:paraId="36932551"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60B528B" w14:textId="77777777" w:rsidR="00DB2B68" w:rsidRDefault="00000000">
      <w:pPr>
        <w:pStyle w:val="pheading"/>
      </w:pPr>
      <w:r>
        <w:t>- nature du marché:</w:t>
      </w:r>
    </w:p>
    <w:p w14:paraId="3B6A683A" w14:textId="77777777" w:rsidR="00DB2B68" w:rsidRDefault="00000000">
      <w:r>
        <w:t>QF</w:t>
      </w:r>
    </w:p>
    <w:p w14:paraId="7C2D48B7" w14:textId="77777777" w:rsidR="00DB2B68" w:rsidRDefault="00000000">
      <w:pPr>
        <w:pStyle w:val="Author-eSectionHeading6Numberless"/>
      </w:pPr>
      <w:bookmarkStart w:id="40" w:name="_Toc220495205"/>
      <w:r>
        <w:t>21.12.2j Maçonneries portantes en blocs treillis de terre cuite à coller CCTB 01.11</w:t>
      </w:r>
      <w:bookmarkEnd w:id="40"/>
    </w:p>
    <w:p w14:paraId="704B97E7" w14:textId="77777777" w:rsidR="00DB2B68" w:rsidRDefault="00000000">
      <w:pPr>
        <w:pStyle w:val="pheading"/>
      </w:pPr>
      <w:r>
        <w:t>DESCRIPTION</w:t>
      </w:r>
    </w:p>
    <w:p w14:paraId="1F0F69D6" w14:textId="77777777" w:rsidR="00DB2B68" w:rsidRDefault="00000000">
      <w:pPr>
        <w:pStyle w:val="pheading"/>
      </w:pPr>
      <w:r>
        <w:t>- Définition / Comprend</w:t>
      </w:r>
    </w:p>
    <w:p w14:paraId="2D5C0664" w14:textId="77777777" w:rsidR="00DB2B68" w:rsidRDefault="00000000">
      <w:r>
        <w:t xml:space="preserve">Il s’agit de la fourniture et la pose de maçonneries portantes en blocs treillis de terre cuite à coller. </w:t>
      </w:r>
      <w:r>
        <w:br/>
        <w:t xml:space="preserve">La portée des travaux est décrite dans l’article </w:t>
      </w:r>
      <w:hyperlink w:anchor="368" w:history="1">
        <w:r>
          <w:rPr>
            <w:color w:val="0000EE"/>
          </w:rPr>
          <w:t>21.12.2 Maçonneries portantes en blocs pour murs en contact direct avec la terre</w:t>
        </w:r>
      </w:hyperlink>
      <w:r>
        <w:t>.</w:t>
      </w:r>
      <w:r>
        <w:br/>
        <w:t>Les travaux comprennent également la fourniture et la pose des pièces d’angle, de terminaison et de rencontre.</w:t>
      </w:r>
    </w:p>
    <w:p w14:paraId="3E6E0764" w14:textId="77777777" w:rsidR="00DB2B68" w:rsidRDefault="00000000">
      <w:pPr>
        <w:pStyle w:val="pheading"/>
      </w:pPr>
      <w:r>
        <w:t>- Localisation</w:t>
      </w:r>
    </w:p>
    <w:p w14:paraId="1E1E51BC" w14:textId="77777777" w:rsidR="00DB2B68" w:rsidRDefault="00000000">
      <w:r>
        <w:t xml:space="preserve">La pose est réalisée aux endroits suivants : </w:t>
      </w:r>
      <w:r>
        <w:rPr>
          <w:rStyle w:val="optioncarChar"/>
        </w:rPr>
        <w:t>***</w:t>
      </w:r>
      <w:r>
        <w:t>.</w:t>
      </w:r>
      <w:r>
        <w:br/>
        <w:t>Voir plans et métrés détaillés.</w:t>
      </w:r>
    </w:p>
    <w:p w14:paraId="0C325AF0" w14:textId="77777777" w:rsidR="00DB2B68" w:rsidRDefault="00000000">
      <w:pPr>
        <w:pStyle w:val="pheading"/>
      </w:pPr>
      <w:r>
        <w:t>MESURAGE</w:t>
      </w:r>
    </w:p>
    <w:p w14:paraId="02D7612A" w14:textId="77777777" w:rsidR="00DB2B68" w:rsidRDefault="00000000">
      <w:pPr>
        <w:pStyle w:val="pheading"/>
      </w:pPr>
      <w:r>
        <w:t>- unité de mesure:</w:t>
      </w:r>
    </w:p>
    <w:p w14:paraId="1BB72FAC" w14:textId="77777777" w:rsidR="00DB2B68" w:rsidRDefault="00000000">
      <w:r>
        <w:rPr>
          <w:rStyle w:val="optioncarChar"/>
        </w:rPr>
        <w:t>m³ </w:t>
      </w:r>
      <w:r>
        <w:t>(par défaut)</w:t>
      </w:r>
      <w:r>
        <w:rPr>
          <w:rStyle w:val="optioncarChar"/>
        </w:rPr>
        <w:t> / m²</w:t>
      </w:r>
    </w:p>
    <w:p w14:paraId="5DACA1CB" w14:textId="77777777" w:rsidR="00DB2B68" w:rsidRDefault="00000000">
      <w:r>
        <w:rPr>
          <w:b/>
        </w:rPr>
        <w:t>(soit par défaut)</w:t>
      </w:r>
    </w:p>
    <w:p w14:paraId="42C7BE17" w14:textId="77777777" w:rsidR="00DB2B68" w:rsidRDefault="00000000">
      <w:r>
        <w:rPr>
          <w:rStyle w:val="soitChar"/>
        </w:rPr>
        <w:t>1. m³</w:t>
      </w:r>
    </w:p>
    <w:p w14:paraId="03D44DED" w14:textId="77777777" w:rsidR="00DB2B68" w:rsidRDefault="00000000">
      <w:r>
        <w:rPr>
          <w:b/>
        </w:rPr>
        <w:t>(soit)</w:t>
      </w:r>
    </w:p>
    <w:p w14:paraId="02BE4136" w14:textId="77777777" w:rsidR="00DB2B68" w:rsidRDefault="00000000">
      <w:r>
        <w:rPr>
          <w:rStyle w:val="soitChar"/>
        </w:rPr>
        <w:t>2. m²</w:t>
      </w:r>
    </w:p>
    <w:p w14:paraId="57D86C5D" w14:textId="77777777" w:rsidR="00DB2B68" w:rsidRDefault="00000000">
      <w:pPr>
        <w:pStyle w:val="pheading"/>
      </w:pPr>
      <w:r>
        <w:t>- code de mesurage:</w:t>
      </w:r>
    </w:p>
    <w:p w14:paraId="24C20B06"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32DAA7D" w14:textId="77777777" w:rsidR="00DB2B68" w:rsidRDefault="00000000">
      <w:r>
        <w:t xml:space="preserve">Les ouvertures ou les éléments de construction intégrés, dont la superficie est supérieure à 0,50 m², sont déduits.  Sont notamment déduits les linteaux et poutres de ceinture, dont la superficie est </w:t>
      </w:r>
      <w:r>
        <w:lastRenderedPageBreak/>
        <w:t>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9F257EC"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123E2C1" w14:textId="77777777" w:rsidR="00DB2B68" w:rsidRDefault="00DB2B68"/>
    <w:p w14:paraId="08BF0725" w14:textId="77777777" w:rsidR="00DB2B68" w:rsidRDefault="00000000">
      <w:r>
        <w:rPr>
          <w:rStyle w:val="optioncarChar"/>
        </w:rPr>
        <w:t>Volume net </w:t>
      </w:r>
      <w:r>
        <w:t>(par défaut)</w:t>
      </w:r>
      <w:r>
        <w:rPr>
          <w:rStyle w:val="optioncarChar"/>
        </w:rPr>
        <w:t> / Surface nette</w:t>
      </w:r>
    </w:p>
    <w:p w14:paraId="2381C1D4" w14:textId="77777777" w:rsidR="00DB2B68" w:rsidRDefault="00000000">
      <w:r>
        <w:rPr>
          <w:b/>
        </w:rPr>
        <w:t>(soit par défaut)</w:t>
      </w:r>
    </w:p>
    <w:p w14:paraId="43F59C03"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06EE932" w14:textId="77777777" w:rsidR="00DB2B68" w:rsidRDefault="00000000">
      <w:r>
        <w:rPr>
          <w:b/>
        </w:rPr>
        <w:t>(soit)</w:t>
      </w:r>
    </w:p>
    <w:p w14:paraId="79F4EF4A"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48CD8B4" w14:textId="77777777" w:rsidR="00DB2B68" w:rsidRDefault="00000000">
      <w:pPr>
        <w:ind w:left="750"/>
      </w:pPr>
      <w:r>
        <w:t> </w:t>
      </w:r>
    </w:p>
    <w:p w14:paraId="6A623DBE" w14:textId="77777777" w:rsidR="00DB2B68" w:rsidRDefault="00000000">
      <w:pPr>
        <w:pStyle w:val="pheading"/>
      </w:pPr>
      <w:r>
        <w:t>- nature du marché:</w:t>
      </w:r>
    </w:p>
    <w:p w14:paraId="55E77F62" w14:textId="77777777" w:rsidR="00DB2B68" w:rsidRDefault="00000000">
      <w:r>
        <w:t>QF</w:t>
      </w:r>
    </w:p>
    <w:p w14:paraId="2D0EB8E1" w14:textId="77777777" w:rsidR="00DB2B68" w:rsidRDefault="00000000">
      <w:pPr>
        <w:pStyle w:val="Author-eSectionHeading5Numberless"/>
      </w:pPr>
      <w:bookmarkStart w:id="41" w:name="_Toc220495206"/>
      <w:r>
        <w:t>21.12.3 Maçonneries portantes en blocs treillis de terre cuite CCTB 01.11</w:t>
      </w:r>
      <w:bookmarkEnd w:id="41"/>
    </w:p>
    <w:p w14:paraId="28D76742" w14:textId="77777777" w:rsidR="00DB2B68" w:rsidRDefault="00000000">
      <w:pPr>
        <w:pStyle w:val="pheading"/>
      </w:pPr>
      <w:bookmarkStart w:id="42" w:name="369"/>
      <w:bookmarkEnd w:id="42"/>
      <w:r>
        <w:t>MATÉRIAUX</w:t>
      </w:r>
    </w:p>
    <w:p w14:paraId="6AA10872" w14:textId="77777777" w:rsidR="00DB2B68" w:rsidRDefault="00000000">
      <w:r>
        <w:t>Il s'agit des blocs treillis de construction en terre cuite, qui répondent à la norme [NBN EN 771-1+A1] et au [PTV 23-003]. L'entrepreneur soumet un échantillon, la fiche technique et la déclaration des performances (DoP) du matériau pour approbation à l'auteur de projet et au maître de l’ouvrage.</w:t>
      </w:r>
    </w:p>
    <w:p w14:paraId="3ECDE377" w14:textId="77777777" w:rsidR="00DB2B68" w:rsidRDefault="00000000">
      <w:r>
        <w:t xml:space="preserve">Type : </w:t>
      </w:r>
      <w:r>
        <w:rPr>
          <w:rStyle w:val="optioncarChar"/>
        </w:rPr>
        <w:t>pressées</w:t>
      </w:r>
      <w:r>
        <w:t> (par défaut)</w:t>
      </w:r>
      <w:r>
        <w:rPr>
          <w:rStyle w:val="optioncarChar"/>
        </w:rPr>
        <w:t xml:space="preserve"> / perforées / étirées / isolantes / ***</w:t>
      </w:r>
    </w:p>
    <w:p w14:paraId="7B9C3534" w14:textId="77777777" w:rsidR="00DB2B68" w:rsidRDefault="00000000">
      <w:r>
        <w:t>Conformément au mode de mise en œuvre, les blocs de construction en terre cuite sont maçonnés au mortier / collés à l’aide d’un mortier-colle selon les indications du fabricant de mortier et des notes de calcul du bureau d’études.</w:t>
      </w:r>
    </w:p>
    <w:p w14:paraId="32B1F817" w14:textId="77777777" w:rsidR="00DB2B68" w:rsidRDefault="00000000">
      <w:r>
        <w:t xml:space="preserve">Le mortier à coller / à maçonner (selon la norme [NBN EN 998-2] et le règlement d’application [TRA 651] ) répond à la catégorie : </w:t>
      </w:r>
      <w:r>
        <w:rPr>
          <w:rStyle w:val="optioncarChar"/>
        </w:rPr>
        <w:t>M10</w:t>
      </w:r>
      <w:r>
        <w:t xml:space="preserve"> (par défaut)</w:t>
      </w:r>
      <w:r>
        <w:rPr>
          <w:rStyle w:val="optioncarChar"/>
        </w:rPr>
        <w:t> / M15 / M20 / ***</w:t>
      </w:r>
    </w:p>
    <w:p w14:paraId="708748EB" w14:textId="77777777" w:rsidR="00DB2B68"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w:t>
      </w:r>
    </w:p>
    <w:p w14:paraId="110552EA" w14:textId="77777777" w:rsidR="00DB2B68" w:rsidRDefault="00000000">
      <w:pPr>
        <w:pStyle w:val="pheading"/>
      </w:pPr>
      <w:r>
        <w:t>EXÉCUTION / MISE EN ŒUVRE</w:t>
      </w:r>
    </w:p>
    <w:p w14:paraId="144A9215" w14:textId="77777777" w:rsidR="00DB2B68" w:rsidRDefault="00000000">
      <w:r>
        <w:rPr>
          <w:color w:val="000000"/>
          <w:u w:val="single"/>
          <w:shd w:val="clear" w:color="auto" w:fill="FFFFFF"/>
        </w:rPr>
        <w:t>- prescriptions générales</w:t>
      </w:r>
    </w:p>
    <w:p w14:paraId="0BD2F684" w14:textId="77777777" w:rsidR="00DB2B68" w:rsidRDefault="00000000">
      <w:r>
        <w:rPr>
          <w:color w:val="000000"/>
          <w:shd w:val="clear" w:color="auto" w:fill="FFFFFF"/>
        </w:rPr>
        <w:t xml:space="preserve">Eléments en terre cuite à utiliser : </w:t>
      </w:r>
      <w:r>
        <w:rPr>
          <w:rStyle w:val="optioncarChar"/>
          <w:color w:val="000000"/>
          <w:shd w:val="clear" w:color="auto" w:fill="FFFFFF"/>
        </w:rPr>
        <w:t xml:space="preserve">bloc U </w:t>
      </w:r>
      <w:r>
        <w:t>(par défaut) </w:t>
      </w:r>
      <w:r>
        <w:rPr>
          <w:rStyle w:val="optioncarChar"/>
          <w:color w:val="000000"/>
          <w:shd w:val="clear" w:color="auto" w:fill="FFFFFF"/>
        </w:rPr>
        <w:t>/ bloc P</w:t>
      </w:r>
      <w:r>
        <w:rPr>
          <w:color w:val="000000"/>
          <w:shd w:val="clear" w:color="auto" w:fill="FFFFFF"/>
        </w:rPr>
        <w:t xml:space="preserve"> conformément à l'article </w:t>
      </w:r>
      <w:hyperlink w:anchor="295" w:history="1">
        <w:r>
          <w:rPr>
            <w:color w:val="0000EE"/>
            <w:shd w:val="clear" w:color="auto" w:fill="FFFFFF"/>
          </w:rPr>
          <w:t>21 Superstructures en maçonnerie</w:t>
        </w:r>
      </w:hyperlink>
      <w:r>
        <w:rPr>
          <w:color w:val="000000"/>
          <w:shd w:val="clear" w:color="auto" w:fill="FFFFFF"/>
        </w:rPr>
        <w:t xml:space="preserve"> Classification .</w:t>
      </w:r>
    </w:p>
    <w:p w14:paraId="3747D2FC" w14:textId="77777777" w:rsidR="00DB2B68" w:rsidRDefault="00000000">
      <w:r>
        <w:rPr>
          <w:color w:val="000000"/>
          <w:shd w:val="clear" w:color="auto" w:fill="FFFFFF"/>
        </w:rPr>
        <w:t xml:space="preserve">Type : </w:t>
      </w:r>
      <w:r>
        <w:rPr>
          <w:rStyle w:val="optioncarChar"/>
          <w:color w:val="000000"/>
          <w:shd w:val="clear" w:color="auto" w:fill="FFFFFF"/>
        </w:rPr>
        <w:t xml:space="preserve">pressées </w:t>
      </w:r>
      <w:r>
        <w:t>(par défaut) </w:t>
      </w:r>
      <w:r>
        <w:rPr>
          <w:rStyle w:val="optioncarChar"/>
          <w:color w:val="000000"/>
          <w:shd w:val="clear" w:color="auto" w:fill="FFFFFF"/>
        </w:rPr>
        <w:t>/ perforées / étirées / isolantes / ***</w:t>
      </w:r>
      <w:r>
        <w:br/>
      </w:r>
    </w:p>
    <w:p w14:paraId="5975EDC1" w14:textId="77777777" w:rsidR="00DB2B68" w:rsidRDefault="00000000">
      <w:r>
        <w:rPr>
          <w:color w:val="000000"/>
          <w:shd w:val="clear" w:color="auto" w:fill="FFFFFF"/>
        </w:rPr>
        <w:t>Conformément au mode de mise en œuvre, les blocs de construction en terre cuite sont maçonnés au mortier / collés à l’aide d’un mortier-colle selon les indications du fabricant de mortier et des notes de calcul du bureau d’études.</w:t>
      </w:r>
      <w:r>
        <w:br/>
      </w:r>
    </w:p>
    <w:p w14:paraId="1C2EE7A6" w14:textId="77777777" w:rsidR="00DB2B68" w:rsidRDefault="00000000">
      <w:r>
        <w:rPr>
          <w:color w:val="000000"/>
          <w:shd w:val="clear" w:color="auto" w:fill="FFFFFF"/>
        </w:rPr>
        <w:lastRenderedPageBreak/>
        <w:t xml:space="preserve">Le mortier à coller / à maçonner (selon la norme [NBN EN 998-2] et le règlement d’application [TRA 651]) répond à la catégorie : </w:t>
      </w:r>
      <w:r>
        <w:rPr>
          <w:rStyle w:val="optioncarChar"/>
          <w:color w:val="000000"/>
          <w:shd w:val="clear" w:color="auto" w:fill="FFFFFF"/>
        </w:rPr>
        <w:t>M10 </w:t>
      </w:r>
      <w:r>
        <w:t>(par défaut)</w:t>
      </w:r>
      <w:r>
        <w:rPr>
          <w:rStyle w:val="optioncarChar"/>
          <w:color w:val="000000"/>
          <w:shd w:val="clear" w:color="auto" w:fill="FFFFFF"/>
        </w:rPr>
        <w:t xml:space="preserve"> / M15 / M20 / ***</w:t>
      </w:r>
      <w:r>
        <w:br/>
      </w:r>
    </w:p>
    <w:p w14:paraId="4E79794F" w14:textId="77777777" w:rsidR="00DB2B68" w:rsidRDefault="00000000">
      <w:r>
        <w:rPr>
          <w:color w:val="000000"/>
          <w:shd w:val="clear" w:color="auto" w:fill="FFFFFF"/>
        </w:rPr>
        <w:t xml:space="preserve">Isolation contre l'humidité : membranes en </w:t>
      </w:r>
      <w:r>
        <w:rPr>
          <w:rStyle w:val="optioncarChar"/>
          <w:color w:val="000000"/>
          <w:shd w:val="clear" w:color="auto" w:fill="FFFFFF"/>
        </w:rPr>
        <w:t>PE </w:t>
      </w:r>
      <w:r>
        <w:t>(par défaut)</w:t>
      </w:r>
      <w:r>
        <w:rPr>
          <w:rStyle w:val="optioncarChar"/>
          <w:color w:val="000000"/>
          <w:shd w:val="clear" w:color="auto" w:fill="FFFFFF"/>
        </w:rPr>
        <w:t xml:space="preserve"> / ***</w:t>
      </w:r>
      <w:r>
        <w:rPr>
          <w:color w:val="000000"/>
          <w:shd w:val="clear" w:color="auto" w:fill="FFFFFF"/>
        </w:rPr>
        <w:t xml:space="preserve"> conformément à l'article </w:t>
      </w:r>
      <w:hyperlink w:anchor="356" w:history="1">
        <w:r>
          <w:rPr>
            <w:color w:val="0000EE"/>
          </w:rPr>
          <w:t>26.11 Feuilles et membranes d'étanchéité à l'eau</w:t>
        </w:r>
      </w:hyperlink>
      <w:r>
        <w:t>.</w:t>
      </w:r>
      <w:r>
        <w:br/>
      </w:r>
      <w:r>
        <w:br/>
      </w:r>
    </w:p>
    <w:p w14:paraId="252FB9C5" w14:textId="77777777" w:rsidR="00DB2B68" w:rsidRDefault="00000000">
      <w:r>
        <w:rPr>
          <w:color w:val="000000"/>
          <w:u w:val="single"/>
          <w:shd w:val="clear" w:color="auto" w:fill="FFFFFF"/>
        </w:rPr>
        <w:t>- Notes d’exécution complémentaires</w:t>
      </w:r>
    </w:p>
    <w:p w14:paraId="32F68DE3" w14:textId="77777777" w:rsidR="00DB2B68" w:rsidRDefault="00000000">
      <w:r>
        <w:t>Pour les maçonneries destinées à rester apparentes, seules des blocs treillis non endommagés sont utilisés.</w:t>
      </w:r>
    </w:p>
    <w:p w14:paraId="37AE16B5"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 xml:space="preserve">. Les segments de murs sont pourvus d'armatures verticales selon l'article </w:t>
      </w:r>
      <w:hyperlink w:anchor="358" w:history="1">
        <w:r>
          <w:rPr>
            <w:color w:val="0000EE"/>
          </w:rPr>
          <w:t>21.41.2 Armatures verticales pour maçonneries</w:t>
        </w:r>
      </w:hyperlink>
      <w:r>
        <w:t>.</w:t>
      </w:r>
    </w:p>
    <w:p w14:paraId="2CA9DE0B"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0BB81FFF" w14:textId="77777777" w:rsidR="00DB2B68"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31B01E81" w14:textId="77777777" w:rsidR="00DB2B68" w:rsidRDefault="00000000">
      <w:r>
        <w:br/>
        <w:t xml:space="preserve">Linteaux : </w:t>
      </w:r>
      <w:r>
        <w:rPr>
          <w:rStyle w:val="optioncarChar"/>
        </w:rPr>
        <w:t>***</w:t>
      </w:r>
      <w:r>
        <w:t xml:space="preserve"> conformément à l’article </w:t>
      </w:r>
      <w:hyperlink w:anchor="360" w:history="1">
        <w:r>
          <w:rPr>
            <w:color w:val="0000EE"/>
          </w:rPr>
          <w:t>22.13 Linteaux en béton</w:t>
        </w:r>
      </w:hyperlink>
      <w:r>
        <w:t>.</w:t>
      </w:r>
    </w:p>
    <w:p w14:paraId="4C8EFC6D" w14:textId="77777777" w:rsidR="00DB2B68" w:rsidRDefault="00000000">
      <w:pPr>
        <w:pStyle w:val="pheading"/>
      </w:pPr>
      <w:r>
        <w:t>AIDE</w:t>
      </w:r>
    </w:p>
    <w:p w14:paraId="2476B8F7" w14:textId="77777777" w:rsidR="00DB2B68" w:rsidRDefault="00000000">
      <w:r>
        <w:t>Note à l'attention de l'auteur du projet : pour le choix adéquat du mortier, se référer à la [STS 22 série].</w:t>
      </w:r>
    </w:p>
    <w:p w14:paraId="79A2ADA0" w14:textId="77777777" w:rsidR="00DB2B68" w:rsidRDefault="00000000">
      <w:pPr>
        <w:pStyle w:val="Author-eSectionHeading6Numberless"/>
      </w:pPr>
      <w:bookmarkStart w:id="43" w:name="_Toc220495207"/>
      <w:r>
        <w:t>21.12.3a Maçonneries portantes en blocs treillis de terre cuite à maçonner CCTB 01.12</w:t>
      </w:r>
      <w:bookmarkEnd w:id="43"/>
    </w:p>
    <w:p w14:paraId="70EBC16B" w14:textId="77777777" w:rsidR="00DB2B68" w:rsidRDefault="00000000">
      <w:pPr>
        <w:pStyle w:val="pheading"/>
      </w:pPr>
      <w:r>
        <w:t>DESCRIPTION</w:t>
      </w:r>
    </w:p>
    <w:p w14:paraId="1F680E19" w14:textId="77777777" w:rsidR="00DB2B68" w:rsidRDefault="00000000">
      <w:pPr>
        <w:pStyle w:val="pheading"/>
      </w:pPr>
      <w:r>
        <w:t>- Définition / Comprend</w:t>
      </w:r>
    </w:p>
    <w:p w14:paraId="75F1A208" w14:textId="77777777" w:rsidR="00DB2B68" w:rsidRDefault="00000000">
      <w:r>
        <w:t xml:space="preserve">Il s’agit de la fourniture et la pose de maçonneries portantes en blocs treillis de terre cuite à maçonner. </w:t>
      </w:r>
      <w:r>
        <w:br/>
        <w:t xml:space="preserve">La portée des travaux est décrite dans l’article </w:t>
      </w:r>
      <w:hyperlink w:anchor="369" w:history="1">
        <w:r>
          <w:rPr>
            <w:color w:val="0000EE"/>
          </w:rPr>
          <w:t>21.12.3 Maçonneries portantes en blocs treillis de terre cuite</w:t>
        </w:r>
      </w:hyperlink>
      <w:r>
        <w:t>.</w:t>
      </w:r>
      <w:r>
        <w:br/>
        <w:t>Les travaux comprennent également la fourniture et la pose des pièces d’angle, de terminaison et de rencontre.</w:t>
      </w:r>
    </w:p>
    <w:p w14:paraId="51E1FBA6" w14:textId="77777777" w:rsidR="00DB2B68" w:rsidRDefault="00000000">
      <w:pPr>
        <w:pStyle w:val="pheading"/>
      </w:pPr>
      <w:r>
        <w:t>- Localisation</w:t>
      </w:r>
    </w:p>
    <w:p w14:paraId="657FFB20" w14:textId="77777777" w:rsidR="00DB2B68" w:rsidRDefault="00000000">
      <w:r>
        <w:t xml:space="preserve">La pose est réalisée aux endroits suivants : </w:t>
      </w:r>
      <w:r>
        <w:rPr>
          <w:rStyle w:val="optioncarChar"/>
        </w:rPr>
        <w:t>***</w:t>
      </w:r>
      <w:r>
        <w:t>.</w:t>
      </w:r>
      <w:r>
        <w:br/>
        <w:t>Voir plans et métrés détaillés.</w:t>
      </w:r>
    </w:p>
    <w:p w14:paraId="79D1E312" w14:textId="77777777" w:rsidR="00DB2B68" w:rsidRDefault="00000000">
      <w:pPr>
        <w:pStyle w:val="pheading"/>
      </w:pPr>
      <w:r>
        <w:t>MATÉRIAUX</w:t>
      </w:r>
    </w:p>
    <w:p w14:paraId="040131B0" w14:textId="77777777" w:rsidR="00DB2B68" w:rsidRDefault="00000000">
      <w:pPr>
        <w:pStyle w:val="pheading"/>
      </w:pPr>
      <w:r>
        <w:t>- Caractéristiques générales</w:t>
      </w:r>
    </w:p>
    <w:p w14:paraId="3CDBE210" w14:textId="77777777" w:rsidR="00DB2B68" w:rsidRDefault="00000000">
      <w:r>
        <w:rPr>
          <w:rStyle w:val="headingChar"/>
        </w:rPr>
        <w:t>Spécifications</w:t>
      </w:r>
    </w:p>
    <w:p w14:paraId="5A7C5155" w14:textId="77777777" w:rsidR="00DB2B68" w:rsidRDefault="00000000">
      <w:r>
        <w:t>En ce qui concerne la déclaration de la résistance à la compression, les blocs treillis sont de catégorie I (la résistance à la compression est déclarée avec une fiabilité de 95%).</w:t>
      </w:r>
    </w:p>
    <w:p w14:paraId="6E491BB1" w14:textId="77777777" w:rsidR="00DB2B68" w:rsidRDefault="00000000">
      <w:r>
        <w:br/>
      </w:r>
      <w:r>
        <w:rPr>
          <w:color w:val="000000"/>
          <w:shd w:val="clear" w:color="auto" w:fill="FFFFFF"/>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w:t>
      </w:r>
      <w:r>
        <w:rPr>
          <w:rStyle w:val="optioncarChar"/>
          <w:shd w:val="clear" w:color="auto" w:fill="FFFFFF"/>
        </w:rPr>
        <w:t>/ normalisé (f</w:t>
      </w:r>
      <w:r>
        <w:rPr>
          <w:rStyle w:val="optioncarChar"/>
          <w:vertAlign w:val="subscript"/>
        </w:rPr>
        <w:t>b</w:t>
      </w:r>
      <w:r>
        <w:rPr>
          <w:rStyle w:val="optioncarChar"/>
          <w:shd w:val="clear" w:color="auto" w:fill="FFFFFF"/>
        </w:rPr>
        <w:t xml:space="preserve">) </w:t>
      </w:r>
      <w:r>
        <w:rPr>
          <w:rStyle w:val="normalChar"/>
          <w:color w:val="000000"/>
        </w:rPr>
        <w:t xml:space="preserve">selon la </w:t>
      </w:r>
      <w:r>
        <w:rPr>
          <w:rStyle w:val="optioncarChar"/>
        </w:rPr>
        <w:t>[NBN EN 771-1+A1]</w:t>
      </w:r>
      <w:r>
        <w:rPr>
          <w:rStyle w:val="normalChar"/>
          <w:color w:val="000000"/>
        </w:rPr>
        <w:t>, la [NBN EN 772-1+A1]</w:t>
      </w:r>
      <w:r>
        <w:rPr>
          <w:rStyle w:val="normalChar"/>
          <w:color w:val="FF0000"/>
        </w:rPr>
        <w:t> </w:t>
      </w:r>
      <w:r>
        <w:rPr>
          <w:rStyle w:val="normalChar"/>
          <w:color w:val="000000"/>
        </w:rPr>
        <w:t>et la </w:t>
      </w:r>
      <w:r>
        <w:rPr>
          <w:rStyle w:val="optioncarChar"/>
        </w:rPr>
        <w:t>[NBN EN 1996 série]</w:t>
      </w:r>
      <w:r>
        <w:rPr>
          <w:color w:val="000000"/>
          <w:shd w:val="clear" w:color="auto" w:fill="FFFFFF"/>
        </w:rPr>
        <w:t xml:space="preserve"> est au minimum : </w:t>
      </w:r>
      <w:r>
        <w:rPr>
          <w:rStyle w:val="optioncarChar"/>
        </w:rPr>
        <w:t>20 / 25</w:t>
      </w:r>
      <w:r>
        <w:rPr>
          <w:color w:val="000000"/>
          <w:shd w:val="clear" w:color="auto" w:fill="FFFFFF"/>
        </w:rPr>
        <w:t xml:space="preserve"> N/mm² (MPa). </w:t>
      </w:r>
    </w:p>
    <w:p w14:paraId="05B85223" w14:textId="77777777" w:rsidR="00DB2B68" w:rsidRDefault="00000000">
      <w:r>
        <w:t xml:space="preserve">Le groupe de configuration suivant [NBN EN 1996-1-1+A1 ANB] est: </w:t>
      </w:r>
      <w:r>
        <w:rPr>
          <w:rStyle w:val="optioncarChar"/>
        </w:rPr>
        <w:t>1 / 2 / 3 / 4.</w:t>
      </w:r>
      <w:r>
        <w:br/>
      </w:r>
      <w:r>
        <w:br/>
        <w:t xml:space="preserve">La masse volumique sèche apparente des blocs ρ (rho) est : </w:t>
      </w:r>
      <w:r>
        <w:rPr>
          <w:rStyle w:val="optioncarChar"/>
        </w:rPr>
        <w:t>925 </w:t>
      </w:r>
      <w:r>
        <w:t xml:space="preserve">&lt; ρ &lt; </w:t>
      </w:r>
      <w:r>
        <w:rPr>
          <w:rStyle w:val="optioncarChar"/>
        </w:rPr>
        <w:t>1150</w:t>
      </w:r>
      <w:r>
        <w:t xml:space="preserve"> kg/m³ selon la [NBN EN </w:t>
      </w:r>
      <w:r>
        <w:lastRenderedPageBreak/>
        <w:t xml:space="preserve">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color w:val="000000"/>
        </w:rPr>
        <w:t>lisse</w:t>
      </w:r>
      <w:r>
        <w:br/>
        <w:t xml:space="preserve">Face à cimenter ou plafonner : </w:t>
      </w:r>
      <w:r>
        <w:rPr>
          <w:rStyle w:val="optioncarChar"/>
        </w:rPr>
        <w:t>lisse</w:t>
      </w:r>
      <w:r>
        <w:t xml:space="preserve"> (par défaut)</w:t>
      </w:r>
      <w:r>
        <w:rPr>
          <w:rStyle w:val="optioncarChar"/>
        </w:rPr>
        <w:t xml:space="preserve"> / rainurée</w:t>
      </w:r>
      <w:r>
        <w:br/>
      </w:r>
      <w:r>
        <w:br/>
        <w:t xml:space="preserve">Teinte : </w:t>
      </w:r>
      <w:r>
        <w:rPr>
          <w:rStyle w:val="optioncarChar"/>
        </w:rPr>
        <w:t>blanc / rouge</w:t>
      </w:r>
      <w:r>
        <w:t xml:space="preserve"> (par défaut) </w:t>
      </w:r>
      <w:r>
        <w:rPr>
          <w:rStyle w:val="optioncarChar"/>
        </w:rPr>
        <w:t>/ gris / ***</w:t>
      </w:r>
      <w:r>
        <w:br/>
      </w:r>
      <w:r>
        <w:br/>
        <w:t xml:space="preserve">Format : (L x l x h) </w:t>
      </w:r>
      <w:r>
        <w:rPr>
          <w:rStyle w:val="optioncarChar"/>
        </w:rPr>
        <w:t xml:space="preserve">(500/390 x 140/190 x 250) </w:t>
      </w:r>
      <w:r>
        <w:t>mm</w:t>
      </w:r>
      <w:r>
        <w:rPr>
          <w:rStyle w:val="optioncarChar"/>
        </w:rPr>
        <w:t xml:space="preserve"> / format modulaire proposé par l'entrepreneur </w:t>
      </w:r>
      <w:r>
        <w:t>(par défaut)</w:t>
      </w:r>
    </w:p>
    <w:p w14:paraId="0B33AD82" w14:textId="77777777" w:rsidR="00DB2B68" w:rsidRDefault="00000000">
      <w: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14:paraId="58940ED2" w14:textId="77777777" w:rsidR="00DB2B68" w:rsidRDefault="00000000">
      <w:r>
        <w:t>Résistance au gel suivant les classes d’application MX… selon [NBN EN 1996-1-2 ANB] et [NIT 271].</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430969C7" w14:textId="77777777" w:rsidR="00DB2B68" w:rsidRDefault="00000000">
      <w:r>
        <w:t>Coefficient de transmission :</w:t>
      </w:r>
    </w:p>
    <w:p w14:paraId="5B2BC8D0" w14:textId="77777777" w:rsidR="00DB2B68" w:rsidRDefault="00000000">
      <w:pPr>
        <w:pStyle w:val="Author-eListParagraph"/>
        <w:numPr>
          <w:ilvl w:val="0"/>
          <w:numId w:val="73"/>
        </w:numPr>
      </w:pPr>
      <w:r>
        <w:t xml:space="preserve">valeur U minimale de </w:t>
      </w:r>
      <w:r>
        <w:rPr>
          <w:rStyle w:val="optioncarChar"/>
        </w:rPr>
        <w:t>***</w:t>
      </w:r>
      <w:r>
        <w:t xml:space="preserve"> W/m²K</w:t>
      </w:r>
    </w:p>
    <w:p w14:paraId="39C3C561" w14:textId="77777777" w:rsidR="00DB2B68" w:rsidRDefault="00000000">
      <w:pPr>
        <w:pStyle w:val="Author-eListParagraph"/>
        <w:numPr>
          <w:ilvl w:val="0"/>
          <w:numId w:val="73"/>
        </w:numPr>
      </w:pPr>
      <w:r>
        <w:t>valeur λ</w:t>
      </w:r>
      <w:r>
        <w:rPr>
          <w:vertAlign w:val="subscript"/>
        </w:rPr>
        <w:t>Ui</w:t>
      </w:r>
      <w:r>
        <w:t xml:space="preserve"> ou λ</w:t>
      </w:r>
      <w:r>
        <w:rPr>
          <w:vertAlign w:val="subscript"/>
        </w:rPr>
        <w:t>Ue</w:t>
      </w:r>
      <w:r>
        <w:t xml:space="preserve"> maximum </w:t>
      </w:r>
      <w:r>
        <w:rPr>
          <w:rStyle w:val="optioncarChar"/>
        </w:rPr>
        <w:t>0,26</w:t>
      </w:r>
      <w:r>
        <w:t> W/mK (suivant l’application).</w:t>
      </w:r>
    </w:p>
    <w:p w14:paraId="2677F0B5" w14:textId="77777777" w:rsidR="00DB2B68" w:rsidRDefault="00000000">
      <w:r>
        <w:br/>
        <w:t>Résistance au feu :</w:t>
      </w:r>
    </w:p>
    <w:p w14:paraId="625A1AC1" w14:textId="77777777" w:rsidR="00DB2B68" w:rsidRDefault="00000000">
      <w:pPr>
        <w:pStyle w:val="Author-eListParagraph"/>
        <w:numPr>
          <w:ilvl w:val="0"/>
          <w:numId w:val="74"/>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35C15780" w14:textId="77777777" w:rsidR="00DB2B68" w:rsidRDefault="00000000">
      <w:pPr>
        <w:pStyle w:val="Author-eListParagraph"/>
        <w:numPr>
          <w:ilvl w:val="0"/>
          <w:numId w:val="74"/>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554686DE" w14:textId="77777777" w:rsidR="00DB2B68" w:rsidRDefault="00000000">
      <w:r>
        <w:t>selon la norme [NBN EN 1996-1-2 ANB].</w:t>
      </w:r>
    </w:p>
    <w:p w14:paraId="0DB0C36D" w14:textId="77777777" w:rsidR="00DB2B68" w:rsidRDefault="00000000">
      <w:pPr>
        <w:pStyle w:val="pheading"/>
      </w:pPr>
      <w:r>
        <w:t>- Finitions</w:t>
      </w:r>
    </w:p>
    <w:p w14:paraId="5145D8BB" w14:textId="77777777" w:rsidR="00DB2B68" w:rsidRDefault="00000000">
      <w:r>
        <w:t xml:space="preserve">Les faces de murs suivantes sont exécutées comme maçonneries apparentes et sont </w:t>
      </w:r>
      <w:r>
        <w:rPr>
          <w:rStyle w:val="optioncarChar"/>
          <w:color w:val="000000"/>
        </w:rPr>
        <w:t>rejointoyées </w:t>
      </w:r>
      <w:r>
        <w:t xml:space="preserve">selon l'article </w:t>
      </w:r>
      <w:hyperlink w:anchor="346" w:history="1">
        <w:r>
          <w:rPr>
            <w:color w:val="0000EE"/>
          </w:rP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r>
        <w:br/>
      </w:r>
      <w:r>
        <w:br/>
      </w:r>
    </w:p>
    <w:p w14:paraId="7F98573F" w14:textId="77777777" w:rsidR="00DB2B68" w:rsidRDefault="00000000">
      <w:pPr>
        <w:pStyle w:val="pheading"/>
      </w:pPr>
      <w:r>
        <w:t>MESURAGE</w:t>
      </w:r>
    </w:p>
    <w:p w14:paraId="1257F983" w14:textId="77777777" w:rsidR="00DB2B68" w:rsidRDefault="00000000">
      <w:pPr>
        <w:pStyle w:val="pheading"/>
      </w:pPr>
      <w:r>
        <w:t>- unité de mesure:</w:t>
      </w:r>
    </w:p>
    <w:p w14:paraId="540BC02D" w14:textId="77777777" w:rsidR="00DB2B68" w:rsidRDefault="00000000">
      <w:r>
        <w:rPr>
          <w:rStyle w:val="optioncarChar"/>
        </w:rPr>
        <w:t>m³ </w:t>
      </w:r>
      <w:r>
        <w:t>(par défaut)</w:t>
      </w:r>
      <w:r>
        <w:rPr>
          <w:rStyle w:val="optioncarChar"/>
        </w:rPr>
        <w:t> / m²</w:t>
      </w:r>
    </w:p>
    <w:p w14:paraId="61D850EB" w14:textId="77777777" w:rsidR="00DB2B68" w:rsidRDefault="00000000">
      <w:r>
        <w:rPr>
          <w:b/>
        </w:rPr>
        <w:t>(soit par défaut)</w:t>
      </w:r>
    </w:p>
    <w:p w14:paraId="42A527A7" w14:textId="77777777" w:rsidR="00DB2B68" w:rsidRDefault="00000000">
      <w:r>
        <w:rPr>
          <w:rStyle w:val="soitChar"/>
        </w:rPr>
        <w:t>1. m³</w:t>
      </w:r>
    </w:p>
    <w:p w14:paraId="54EF1B2B" w14:textId="77777777" w:rsidR="00DB2B68" w:rsidRDefault="00000000">
      <w:r>
        <w:rPr>
          <w:b/>
        </w:rPr>
        <w:t>(soit)</w:t>
      </w:r>
    </w:p>
    <w:p w14:paraId="73F210DE" w14:textId="77777777" w:rsidR="00DB2B68" w:rsidRDefault="00000000">
      <w:r>
        <w:rPr>
          <w:rStyle w:val="soitChar"/>
        </w:rPr>
        <w:t>2. m²</w:t>
      </w:r>
    </w:p>
    <w:p w14:paraId="287E0318" w14:textId="77777777" w:rsidR="00DB2B68" w:rsidRDefault="00000000">
      <w:pPr>
        <w:pStyle w:val="pheading"/>
      </w:pPr>
      <w:r>
        <w:lastRenderedPageBreak/>
        <w:t>- code de mesurage:</w:t>
      </w:r>
    </w:p>
    <w:p w14:paraId="05497FAC"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FB395B1"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57828795"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59848B4" w14:textId="77777777" w:rsidR="00DB2B68" w:rsidRDefault="00DB2B68"/>
    <w:p w14:paraId="7E29F89B" w14:textId="77777777" w:rsidR="00DB2B68" w:rsidRDefault="00000000">
      <w:r>
        <w:rPr>
          <w:rStyle w:val="optioncarChar"/>
        </w:rPr>
        <w:t>Volume net </w:t>
      </w:r>
      <w:r>
        <w:t>(par défaut)</w:t>
      </w:r>
      <w:r>
        <w:rPr>
          <w:rStyle w:val="optioncarChar"/>
        </w:rPr>
        <w:t> / Surface nette</w:t>
      </w:r>
    </w:p>
    <w:p w14:paraId="2B333CA2" w14:textId="77777777" w:rsidR="00DB2B68" w:rsidRDefault="00000000">
      <w:r>
        <w:rPr>
          <w:b/>
        </w:rPr>
        <w:t>(soit par défaut)</w:t>
      </w:r>
    </w:p>
    <w:p w14:paraId="67A9E319"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B7A2486" w14:textId="77777777" w:rsidR="00DB2B68" w:rsidRDefault="00000000">
      <w:r>
        <w:rPr>
          <w:b/>
        </w:rPr>
        <w:t>(soit)</w:t>
      </w:r>
    </w:p>
    <w:p w14:paraId="17D81ED8"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924092D" w14:textId="77777777" w:rsidR="00DB2B68" w:rsidRDefault="00000000">
      <w:pPr>
        <w:pStyle w:val="pheading"/>
      </w:pPr>
      <w:r>
        <w:t>- nature du marché:</w:t>
      </w:r>
    </w:p>
    <w:p w14:paraId="5680F2D7" w14:textId="77777777" w:rsidR="00DB2B68" w:rsidRDefault="00000000">
      <w:r>
        <w:t>QF</w:t>
      </w:r>
    </w:p>
    <w:p w14:paraId="2BF106BC" w14:textId="77777777" w:rsidR="00DB2B68" w:rsidRDefault="00000000">
      <w:pPr>
        <w:pStyle w:val="Author-eSectionHeading6Numberless"/>
      </w:pPr>
      <w:bookmarkStart w:id="44" w:name="_Toc220495208"/>
      <w:r>
        <w:t>21.12.3b Maçonneries portantes en blocs treillis de terre cuite à coller avec mortier-colle CCTB 01.11</w:t>
      </w:r>
      <w:bookmarkEnd w:id="44"/>
    </w:p>
    <w:p w14:paraId="589C31F6" w14:textId="77777777" w:rsidR="00DB2B68" w:rsidRDefault="00000000">
      <w:pPr>
        <w:pStyle w:val="pheading"/>
      </w:pPr>
      <w:r>
        <w:t>DESCRIPTION</w:t>
      </w:r>
    </w:p>
    <w:p w14:paraId="7B359822" w14:textId="77777777" w:rsidR="00DB2B68" w:rsidRDefault="00000000">
      <w:pPr>
        <w:pStyle w:val="pheading"/>
      </w:pPr>
      <w:r>
        <w:t>- Définition / Comprend</w:t>
      </w:r>
    </w:p>
    <w:p w14:paraId="521A5486" w14:textId="77777777" w:rsidR="00DB2B68" w:rsidRDefault="00000000">
      <w:r>
        <w:t xml:space="preserve">Il s’agit de la fourniture et la pose de maçonneries portantes en blocs treillis cuite à coller. </w:t>
      </w:r>
      <w:r>
        <w:br/>
        <w:t xml:space="preserve">La portée des travaux est décrite dans l’article </w:t>
      </w:r>
      <w:hyperlink w:anchor="369" w:history="1">
        <w:r>
          <w:rPr>
            <w:color w:val="0000EE"/>
          </w:rPr>
          <w:t>21.12.3 Maçonneries portantes en blocs treillis de terre cuite</w:t>
        </w:r>
      </w:hyperlink>
      <w:r>
        <w:t>.</w:t>
      </w:r>
      <w:r>
        <w:br/>
        <w:t>Les travaux comprennent également la fourniture et la pose des pièces d’angle, de terminaison et de rencontre.</w:t>
      </w:r>
    </w:p>
    <w:p w14:paraId="57298267" w14:textId="77777777" w:rsidR="00DB2B68" w:rsidRDefault="00000000">
      <w:pPr>
        <w:pStyle w:val="pheading"/>
      </w:pPr>
      <w:r>
        <w:t>- Localisation</w:t>
      </w:r>
    </w:p>
    <w:p w14:paraId="6E7C8E92" w14:textId="77777777" w:rsidR="00DB2B68" w:rsidRDefault="00000000">
      <w:r>
        <w:t>- Localisation</w:t>
      </w:r>
      <w:r>
        <w:br/>
        <w:t xml:space="preserve">La pose est réalisée aux endroits suivants : </w:t>
      </w:r>
      <w:r>
        <w:rPr>
          <w:rStyle w:val="optioncarChar"/>
        </w:rPr>
        <w:t>***</w:t>
      </w:r>
      <w:r>
        <w:t>.</w:t>
      </w:r>
      <w:r>
        <w:br/>
        <w:t>Voir plans et métrés détaillés.</w:t>
      </w:r>
    </w:p>
    <w:p w14:paraId="3B76591F" w14:textId="77777777" w:rsidR="00DB2B68" w:rsidRDefault="00000000">
      <w:pPr>
        <w:pStyle w:val="pheading"/>
      </w:pPr>
      <w:r>
        <w:t>MATÉRIAUX</w:t>
      </w:r>
    </w:p>
    <w:p w14:paraId="4645CB42" w14:textId="77777777" w:rsidR="00DB2B68" w:rsidRDefault="00000000">
      <w:pPr>
        <w:pStyle w:val="pheading"/>
      </w:pPr>
      <w:r>
        <w:t>- Caractéristiques générales</w:t>
      </w:r>
    </w:p>
    <w:p w14:paraId="7E938A60" w14:textId="77777777" w:rsidR="00DB2B68" w:rsidRDefault="00000000">
      <w:r>
        <w:rPr>
          <w:rStyle w:val="headingChar"/>
        </w:rPr>
        <w:t>Spécifications</w:t>
      </w:r>
    </w:p>
    <w:p w14:paraId="7D307830" w14:textId="77777777" w:rsidR="00DB2B68" w:rsidRDefault="00000000">
      <w:r>
        <w:t>En ce qui concerne la déclaration de la résistance à la compression, les blocs treillis sont de catégorie I (la résistance à la compression est déclarée avec une fiabilité de 95%).</w:t>
      </w:r>
    </w:p>
    <w:p w14:paraId="477FB842" w14:textId="77777777" w:rsidR="00DB2B68" w:rsidRDefault="00000000">
      <w:r>
        <w:lastRenderedPageBreak/>
        <w:t>Caractéristiques :</w:t>
      </w:r>
    </w:p>
    <w:p w14:paraId="09CC8855" w14:textId="77777777" w:rsidR="00DB2B68" w:rsidRDefault="00000000">
      <w:pPr>
        <w:pStyle w:val="Author-eListParagraph"/>
        <w:numPr>
          <w:ilvl w:val="0"/>
          <w:numId w:val="75"/>
        </w:numPr>
      </w:pPr>
      <w:r>
        <w:rPr>
          <w:color w:val="000000"/>
          <w:shd w:val="clear" w:color="auto" w:fill="FFFFFF"/>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w:t>
      </w:r>
      <w:r>
        <w:rPr>
          <w:rStyle w:val="optioncarChar"/>
          <w:shd w:val="clear" w:color="auto" w:fill="FFFFFF"/>
        </w:rPr>
        <w:t>/ normalisé (f</w:t>
      </w:r>
      <w:r>
        <w:rPr>
          <w:rStyle w:val="optioncarChar"/>
          <w:vertAlign w:val="subscript"/>
        </w:rPr>
        <w:t>b</w:t>
      </w:r>
      <w:r>
        <w:rPr>
          <w:rStyle w:val="optioncarChar"/>
          <w:shd w:val="clear" w:color="auto" w:fill="FFFFFF"/>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shd w:val="clear" w:color="auto" w:fill="FFFFFF"/>
        </w:rPr>
        <w:t xml:space="preserve"> est ≥ </w:t>
      </w:r>
      <w:r>
        <w:rPr>
          <w:rStyle w:val="optioncarChar"/>
        </w:rPr>
        <w:t>20 / 25</w:t>
      </w:r>
      <w:r>
        <w:rPr>
          <w:color w:val="000000"/>
          <w:shd w:val="clear" w:color="auto" w:fill="FFFFFF"/>
        </w:rPr>
        <w:t xml:space="preserve"> N/mm² (MPa). </w:t>
      </w:r>
    </w:p>
    <w:p w14:paraId="0696DBE1" w14:textId="77777777" w:rsidR="00DB2B68" w:rsidRDefault="00000000">
      <w:pPr>
        <w:pStyle w:val="Author-eListParagraph"/>
        <w:numPr>
          <w:ilvl w:val="0"/>
          <w:numId w:val="75"/>
        </w:numPr>
      </w:pPr>
      <w:r>
        <w:t xml:space="preserve">Le groupe de configuration suivant [NBN EN 1996-1-1+A1 ANB] est : </w:t>
      </w:r>
      <w:r>
        <w:rPr>
          <w:rStyle w:val="optioncarChar"/>
        </w:rPr>
        <w:t>1 / 2 / 3 / 4</w:t>
      </w:r>
    </w:p>
    <w:p w14:paraId="647E06A6" w14:textId="77777777" w:rsidR="00DB2B68" w:rsidRDefault="00000000">
      <w:pPr>
        <w:pStyle w:val="Author-eListParagraph"/>
        <w:numPr>
          <w:ilvl w:val="0"/>
          <w:numId w:val="75"/>
        </w:numPr>
      </w:pPr>
      <w:r>
        <w:t xml:space="preserve">La masse volumique sèche apparente des blocs ρ (rho) est : </w:t>
      </w:r>
      <w:r>
        <w:rPr>
          <w:rStyle w:val="optioncarChar"/>
        </w:rPr>
        <w:t>925</w:t>
      </w:r>
      <w:r>
        <w:t xml:space="preserve"> &lt; ρ &lt; </w:t>
      </w:r>
      <w:r>
        <w:rPr>
          <w:rStyle w:val="optioncarChar"/>
        </w:rPr>
        <w:t>1150</w:t>
      </w:r>
      <w:r>
        <w:t> kg/m³ selon la [NBN EN 771-1+A1].</w:t>
      </w:r>
    </w:p>
    <w:p w14:paraId="51D20C2F" w14:textId="77777777" w:rsidR="00DB2B68" w:rsidRDefault="00000000">
      <w:pPr>
        <w:pStyle w:val="Author-eListParagraph"/>
        <w:numPr>
          <w:ilvl w:val="0"/>
          <w:numId w:val="75"/>
        </w:numPr>
      </w:pPr>
      <w:r>
        <w:t>La conductibilité thermique λ</w:t>
      </w:r>
      <w:r>
        <w:rPr>
          <w:vertAlign w:val="subscript"/>
        </w:rPr>
        <w:t>D</w:t>
      </w:r>
      <w:r>
        <w:t xml:space="preserve"> est compatible avec la valeur U prescrite pour la paroi.</w:t>
      </w:r>
    </w:p>
    <w:p w14:paraId="022A46E9" w14:textId="77777777" w:rsidR="00DB2B68" w:rsidRDefault="00000000">
      <w:pPr>
        <w:pStyle w:val="Author-eListParagraph"/>
        <w:numPr>
          <w:ilvl w:val="0"/>
          <w:numId w:val="75"/>
        </w:numPr>
      </w:pPr>
      <w:r>
        <w:t xml:space="preserve">Boutisse : </w:t>
      </w:r>
      <w:r>
        <w:rPr>
          <w:rStyle w:val="optioncarChar"/>
        </w:rPr>
        <w:t>plate </w:t>
      </w:r>
      <w:r>
        <w:t>(par défaut)</w:t>
      </w:r>
      <w:r>
        <w:rPr>
          <w:rStyle w:val="optioncarChar"/>
        </w:rPr>
        <w:t xml:space="preserve"> / assemblage à tenon et mortaise</w:t>
      </w:r>
    </w:p>
    <w:p w14:paraId="2AEF1856" w14:textId="77777777" w:rsidR="00DB2B68" w:rsidRDefault="00000000">
      <w:pPr>
        <w:pStyle w:val="Author-eListParagraph"/>
        <w:numPr>
          <w:ilvl w:val="0"/>
          <w:numId w:val="75"/>
        </w:numPr>
      </w:pPr>
      <w:r>
        <w:t>Face qui reste visible :</w:t>
      </w:r>
      <w:r>
        <w:rPr>
          <w:rStyle w:val="optioncarChar"/>
          <w:color w:val="000000"/>
        </w:rPr>
        <w:t xml:space="preserve"> lisse</w:t>
      </w:r>
    </w:p>
    <w:p w14:paraId="31855DDB" w14:textId="77777777" w:rsidR="00DB2B68" w:rsidRDefault="00000000">
      <w:pPr>
        <w:pStyle w:val="Author-eListParagraph"/>
        <w:numPr>
          <w:ilvl w:val="0"/>
          <w:numId w:val="75"/>
        </w:numPr>
      </w:pPr>
      <w:r>
        <w:t xml:space="preserve">Face à cimenter ou plafonner : </w:t>
      </w:r>
      <w:r>
        <w:rPr>
          <w:rStyle w:val="optioncarChar"/>
        </w:rPr>
        <w:t>lisse</w:t>
      </w:r>
      <w:r>
        <w:t xml:space="preserve"> (par défaut)</w:t>
      </w:r>
      <w:r>
        <w:rPr>
          <w:rStyle w:val="optioncarChar"/>
        </w:rPr>
        <w:t xml:space="preserve"> / adhérence améliorée / rainurée</w:t>
      </w:r>
    </w:p>
    <w:p w14:paraId="646E7765" w14:textId="77777777" w:rsidR="00DB2B68" w:rsidRDefault="00000000">
      <w:pPr>
        <w:pStyle w:val="Author-eListParagraph"/>
        <w:numPr>
          <w:ilvl w:val="0"/>
          <w:numId w:val="75"/>
        </w:numPr>
      </w:pPr>
      <w:r>
        <w:t xml:space="preserve">Teinte : </w:t>
      </w:r>
      <w:r>
        <w:rPr>
          <w:rStyle w:val="optioncarChar"/>
        </w:rPr>
        <w:t>blanc / rouge </w:t>
      </w:r>
      <w:r>
        <w:t>(par défaut)</w:t>
      </w:r>
      <w:r>
        <w:rPr>
          <w:rStyle w:val="optioncarChar"/>
        </w:rPr>
        <w:t xml:space="preserve"> / gris / ***</w:t>
      </w:r>
    </w:p>
    <w:p w14:paraId="7CE7398D" w14:textId="77777777" w:rsidR="00DB2B68" w:rsidRDefault="00000000">
      <w:pPr>
        <w:pStyle w:val="Author-eListParagraph"/>
        <w:numPr>
          <w:ilvl w:val="0"/>
          <w:numId w:val="75"/>
        </w:numPr>
      </w:pPr>
      <w:r>
        <w:t xml:space="preserve">Format : (L x l x h) </w:t>
      </w:r>
      <w:r>
        <w:rPr>
          <w:rStyle w:val="optioncarChar"/>
        </w:rPr>
        <w:t>(500 / 390 / 300 x 140 / 190 x 250) </w:t>
      </w:r>
      <w:r>
        <w:t>mm</w:t>
      </w:r>
      <w:r>
        <w:rPr>
          <w:rStyle w:val="optioncarChar"/>
        </w:rPr>
        <w:t xml:space="preserve"> / format modulaire proposé par l'entrepreneur </w:t>
      </w:r>
      <w:r>
        <w:t>(par défaut)</w:t>
      </w:r>
    </w:p>
    <w:p w14:paraId="4D97CA96" w14:textId="77777777" w:rsidR="00DB2B68" w:rsidRDefault="00000000">
      <w:pPr>
        <w:pStyle w:val="Author-eListParagraph"/>
        <w:numPr>
          <w:ilvl w:val="0"/>
          <w:numId w:val="75"/>
        </w:numPr>
      </w:pPr>
      <w:r>
        <w:t>Tolérances dimensionnelles :</w:t>
      </w:r>
    </w:p>
    <w:p w14:paraId="5343B9C7" w14:textId="77777777" w:rsidR="00DB2B68" w:rsidRDefault="00000000">
      <w:pPr>
        <w:pStyle w:val="Author-eListParagraph"/>
        <w:numPr>
          <w:ilvl w:val="0"/>
          <w:numId w:val="75"/>
        </w:numPr>
      </w:pPr>
      <w:r>
        <w:t xml:space="preserve">Tolérances de la valeur moyenne </w:t>
      </w:r>
      <w:r>
        <w:rPr>
          <w:rStyle w:val="normalChar"/>
        </w:rPr>
        <w:t>:</w:t>
      </w:r>
      <w:r>
        <w:rPr>
          <w:rStyle w:val="optioncarChar"/>
        </w:rPr>
        <w:t xml:space="preserve"> T1 / T1+ / T2 / T2+ / Tm / ***</w:t>
      </w:r>
    </w:p>
    <w:p w14:paraId="683AE69A" w14:textId="77777777" w:rsidR="00DB2B68" w:rsidRDefault="00000000">
      <w:pPr>
        <w:pStyle w:val="Author-eListParagraph"/>
        <w:numPr>
          <w:ilvl w:val="0"/>
          <w:numId w:val="75"/>
        </w:numPr>
      </w:pPr>
      <w:r>
        <w:rPr>
          <w:rStyle w:val="normalChar"/>
        </w:rPr>
        <w:t>Plage :</w:t>
      </w:r>
      <w:r>
        <w:rPr>
          <w:rStyle w:val="optioncarChar"/>
        </w:rPr>
        <w:t xml:space="preserve"> R1 / R1+ / R2 / R2+ / Rm / ***</w:t>
      </w:r>
    </w:p>
    <w:p w14:paraId="36AD7D95" w14:textId="77777777" w:rsidR="00DB2B68" w:rsidRDefault="00000000">
      <w:pPr>
        <w:pStyle w:val="Author-eListParagraph"/>
        <w:numPr>
          <w:ilvl w:val="0"/>
          <w:numId w:val="75"/>
        </w:numPr>
      </w:pPr>
      <w:r>
        <w:t>Taux initial d’absorption d’eau : classe</w:t>
      </w:r>
      <w:r>
        <w:rPr>
          <w:rStyle w:val="optioncarChar"/>
        </w:rPr>
        <w:t xml:space="preserve"> IW1 / IW2 / IW3 / IW4</w:t>
      </w:r>
    </w:p>
    <w:p w14:paraId="38B79C97" w14:textId="77777777" w:rsidR="00DB2B68" w:rsidRDefault="00000000">
      <w:pPr>
        <w:pStyle w:val="Author-eListParagraph"/>
        <w:numPr>
          <w:ilvl w:val="0"/>
          <w:numId w:val="75"/>
        </w:numPr>
      </w:pPr>
      <w:r>
        <w:t>Résistance au gel suivant les classes d’application MX… selon [NBN EN 1996-2 ANB] et [NIT 271].</w:t>
      </w:r>
    </w:p>
    <w:p w14:paraId="76FF1010" w14:textId="77777777" w:rsidR="00DB2B68" w:rsidRDefault="00000000">
      <w:pPr>
        <w:pStyle w:val="Author-eListParagraph"/>
        <w:numPr>
          <w:ilvl w:val="0"/>
          <w:numId w:val="75"/>
        </w:numPr>
      </w:pPr>
      <w:r>
        <w:t xml:space="preserve">Réaction au feu : </w:t>
      </w:r>
      <w:r>
        <w:rPr>
          <w:rStyle w:val="optioncarChar"/>
        </w:rPr>
        <w:t>A1 </w:t>
      </w:r>
      <w:r>
        <w:t>(par défaut)</w:t>
      </w:r>
      <w:r>
        <w:rPr>
          <w:rStyle w:val="optioncarChar"/>
        </w:rPr>
        <w:t xml:space="preserve"> / ***</w:t>
      </w:r>
    </w:p>
    <w:p w14:paraId="32183365" w14:textId="77777777" w:rsidR="00DB2B68" w:rsidRDefault="00000000">
      <w:r>
        <w:rPr>
          <w:rStyle w:val="headingChar"/>
        </w:rPr>
        <w:t>Critères De Performances De La Paroi</w:t>
      </w:r>
    </w:p>
    <w:p w14:paraId="65786DA6" w14:textId="77777777" w:rsidR="00DB2B68" w:rsidRDefault="00000000">
      <w:r>
        <w:t>Coefficient de transmission :</w:t>
      </w:r>
    </w:p>
    <w:p w14:paraId="58136FD7" w14:textId="77777777" w:rsidR="00DB2B68" w:rsidRDefault="00000000">
      <w:pPr>
        <w:pStyle w:val="Author-eListParagraph"/>
        <w:numPr>
          <w:ilvl w:val="0"/>
          <w:numId w:val="76"/>
        </w:numPr>
      </w:pPr>
      <w:r>
        <w:t xml:space="preserve">valeur U minimale de </w:t>
      </w:r>
      <w:r>
        <w:rPr>
          <w:rStyle w:val="optioncarChar"/>
        </w:rPr>
        <w:t>***</w:t>
      </w:r>
      <w:r>
        <w:t xml:space="preserve"> W/m²K</w:t>
      </w:r>
    </w:p>
    <w:p w14:paraId="7CB67294" w14:textId="77777777" w:rsidR="00DB2B68" w:rsidRDefault="00000000">
      <w:pPr>
        <w:pStyle w:val="Author-eListParagraph"/>
        <w:numPr>
          <w:ilvl w:val="0"/>
          <w:numId w:val="76"/>
        </w:numPr>
      </w:pPr>
      <w:r>
        <w:t>valeur λ</w:t>
      </w:r>
      <w:r>
        <w:rPr>
          <w:vertAlign w:val="subscript"/>
        </w:rPr>
        <w:t>Ui</w:t>
      </w:r>
      <w:r>
        <w:t xml:space="preserve"> ou λ</w:t>
      </w:r>
      <w:r>
        <w:rPr>
          <w:vertAlign w:val="subscript"/>
        </w:rPr>
        <w:t>Ue</w:t>
      </w:r>
      <w:r>
        <w:t xml:space="preserve"> ≤ </w:t>
      </w:r>
      <w:r>
        <w:rPr>
          <w:rStyle w:val="optioncarChar"/>
        </w:rPr>
        <w:t>0,26</w:t>
      </w:r>
      <w:r>
        <w:t> W/mK (suivant l’application).</w:t>
      </w:r>
    </w:p>
    <w:p w14:paraId="7E56920C" w14:textId="77777777" w:rsidR="00DB2B68" w:rsidRDefault="00000000">
      <w:r>
        <w:t>Résistance au feu selon la norme [NBN EN 1996-1-2 ANB] :</w:t>
      </w:r>
    </w:p>
    <w:p w14:paraId="5A2DC0FB" w14:textId="77777777" w:rsidR="00DB2B68" w:rsidRDefault="00000000">
      <w:pPr>
        <w:pStyle w:val="Author-eListParagraph"/>
        <w:numPr>
          <w:ilvl w:val="0"/>
          <w:numId w:val="77"/>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2851494F" w14:textId="77777777" w:rsidR="00DB2B68" w:rsidRDefault="00000000">
      <w:pPr>
        <w:pStyle w:val="Author-eListParagraph"/>
        <w:numPr>
          <w:ilvl w:val="0"/>
          <w:numId w:val="77"/>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5176134C" w14:textId="77777777" w:rsidR="00DB2B68" w:rsidRDefault="00000000">
      <w:pPr>
        <w:pStyle w:val="pheading"/>
      </w:pPr>
      <w:r>
        <w:t>- Finitions</w:t>
      </w:r>
    </w:p>
    <w:p w14:paraId="39CF1BE8" w14:textId="77777777" w:rsidR="00DB2B68" w:rsidRDefault="00000000">
      <w:r>
        <w:t xml:space="preserve">Les faces de murs suivantes sont exécutées comme maçonneries apparentes et sont </w:t>
      </w:r>
      <w:r>
        <w:rPr>
          <w:rStyle w:val="optioncarChar"/>
          <w:color w:val="000000"/>
        </w:rPr>
        <w:t>rejointoyées</w:t>
      </w:r>
      <w:r>
        <w:t xml:space="preserve"> selon l'article </w:t>
      </w:r>
      <w:hyperlink w:anchor="346" w:history="1">
        <w:r>
          <w:rPr>
            <w:color w:val="0000EE"/>
          </w:rPr>
          <w:t>21.61.1b Joints de maçonnerie apparente</w:t>
        </w:r>
      </w:hyperlink>
      <w:r>
        <w:t xml:space="preserve"> :</w:t>
      </w:r>
      <w:r>
        <w:rPr>
          <w:rStyle w:val="optioncarChar"/>
        </w:rPr>
        <w:t xml:space="preserve"> ***</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p>
    <w:p w14:paraId="596E7031" w14:textId="77777777" w:rsidR="00DB2B68" w:rsidRDefault="00000000">
      <w:pPr>
        <w:pStyle w:val="pheading"/>
      </w:pPr>
      <w:r>
        <w:t>MESURAGE</w:t>
      </w:r>
    </w:p>
    <w:p w14:paraId="7CD2EAA1" w14:textId="77777777" w:rsidR="00DB2B68" w:rsidRDefault="00000000">
      <w:pPr>
        <w:pStyle w:val="pheading"/>
      </w:pPr>
      <w:r>
        <w:t>- unité de mesure:</w:t>
      </w:r>
    </w:p>
    <w:p w14:paraId="428012BB" w14:textId="77777777" w:rsidR="00DB2B68" w:rsidRDefault="00000000">
      <w:r>
        <w:rPr>
          <w:rStyle w:val="optioncarChar"/>
        </w:rPr>
        <w:t>m³ </w:t>
      </w:r>
      <w:r>
        <w:t>(par défaut)</w:t>
      </w:r>
      <w:r>
        <w:rPr>
          <w:rStyle w:val="optioncarChar"/>
        </w:rPr>
        <w:t> / m²</w:t>
      </w:r>
    </w:p>
    <w:p w14:paraId="465B6DAB" w14:textId="77777777" w:rsidR="00DB2B68" w:rsidRDefault="00000000">
      <w:r>
        <w:rPr>
          <w:b/>
        </w:rPr>
        <w:t>(soit par défaut)</w:t>
      </w:r>
    </w:p>
    <w:p w14:paraId="3C8B1BE1" w14:textId="77777777" w:rsidR="00DB2B68" w:rsidRDefault="00000000">
      <w:r>
        <w:rPr>
          <w:rStyle w:val="soitChar"/>
        </w:rPr>
        <w:t>1. m³</w:t>
      </w:r>
    </w:p>
    <w:p w14:paraId="3FB949A6" w14:textId="77777777" w:rsidR="00DB2B68" w:rsidRDefault="00000000">
      <w:r>
        <w:rPr>
          <w:b/>
        </w:rPr>
        <w:t>(soit)</w:t>
      </w:r>
    </w:p>
    <w:p w14:paraId="424B4703" w14:textId="77777777" w:rsidR="00DB2B68" w:rsidRDefault="00000000">
      <w:r>
        <w:rPr>
          <w:rStyle w:val="soitChar"/>
        </w:rPr>
        <w:t>2. m²</w:t>
      </w:r>
    </w:p>
    <w:p w14:paraId="5CF01288" w14:textId="77777777" w:rsidR="00DB2B68" w:rsidRDefault="00000000">
      <w:pPr>
        <w:pStyle w:val="pheading"/>
      </w:pPr>
      <w:r>
        <w:t>- code de mesurage:</w:t>
      </w:r>
    </w:p>
    <w:p w14:paraId="0103E073" w14:textId="77777777" w:rsidR="00DB2B68" w:rsidRDefault="00000000">
      <w:r>
        <w:t>Les maçonneries sont mesurées en fonction de leur forme géométrique.</w:t>
      </w:r>
      <w:r>
        <w:br/>
        <w:t>La longueur des murs est mesurée dans l'axe de l'élément. Lorsque deux murs se croisent ou se rencontrent, le mur le plus épais est compté. Aucun volume n'est porté deux fois en compte.</w:t>
      </w:r>
      <w:r>
        <w:br/>
        <w:t>Le creux du mur n'est jamais compté.</w:t>
      </w:r>
      <w:r>
        <w:br/>
        <w:t xml:space="preserve">Les ouvertures ou les éléments de construction intégrés, dont la superficie est &gt; 0,50 m², sont </w:t>
      </w:r>
      <w:r>
        <w:lastRenderedPageBreak/>
        <w:t>déduits.  Sont notamment déduits les linteaux et poutres de ceinture, dont la superficie est &gt;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r>
        <w:br/>
        <w:t xml:space="preserve">L'appui des dalles de sol sur le mur porteur de contre-façade n'est pas déduit mais compté comme ouvrage de maçonnerie.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S ≤ 0,12 m².</w:t>
      </w:r>
    </w:p>
    <w:p w14:paraId="0CC6449E" w14:textId="77777777" w:rsidR="00DB2B68" w:rsidRDefault="00000000">
      <w:r>
        <w:rPr>
          <w:rStyle w:val="optioncarChar"/>
        </w:rPr>
        <w:t>Volume net </w:t>
      </w:r>
      <w:r>
        <w:t>(par défaut)</w:t>
      </w:r>
      <w:r>
        <w:rPr>
          <w:rStyle w:val="optioncarChar"/>
        </w:rPr>
        <w:t> / Surface nette</w:t>
      </w:r>
    </w:p>
    <w:p w14:paraId="2D4314A7" w14:textId="77777777" w:rsidR="00DB2B68" w:rsidRDefault="00000000">
      <w:r>
        <w:rPr>
          <w:b/>
        </w:rPr>
        <w:t>(soit par défaut)</w:t>
      </w:r>
    </w:p>
    <w:p w14:paraId="017C12F1"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FEF4F3B" w14:textId="77777777" w:rsidR="00DB2B68" w:rsidRDefault="00000000">
      <w:r>
        <w:rPr>
          <w:b/>
        </w:rPr>
        <w:t>(soit)</w:t>
      </w:r>
    </w:p>
    <w:p w14:paraId="6ABF3195"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3DE1618" w14:textId="77777777" w:rsidR="00DB2B68" w:rsidRDefault="00000000">
      <w:pPr>
        <w:pStyle w:val="pheading"/>
      </w:pPr>
      <w:r>
        <w:t>- nature du marché:</w:t>
      </w:r>
    </w:p>
    <w:p w14:paraId="3A025EF3" w14:textId="77777777" w:rsidR="00DB2B68" w:rsidRDefault="00000000">
      <w:r>
        <w:t>QF</w:t>
      </w:r>
    </w:p>
    <w:p w14:paraId="08016E04" w14:textId="77777777" w:rsidR="00DB2B68" w:rsidRDefault="00000000">
      <w:pPr>
        <w:pStyle w:val="Author-eSectionHeading6Numberless"/>
      </w:pPr>
      <w:bookmarkStart w:id="45" w:name="_Toc220495209"/>
      <w:r>
        <w:t>21.12.3c Maçonneries portantes en blocs treillis de terre cuite avec colle PU uni-composante CCTB 01.12</w:t>
      </w:r>
      <w:bookmarkEnd w:id="45"/>
    </w:p>
    <w:p w14:paraId="39E64BD9" w14:textId="77777777" w:rsidR="00DB2B68" w:rsidRDefault="00000000">
      <w:pPr>
        <w:pStyle w:val="pheading"/>
      </w:pPr>
      <w:r>
        <w:t>DESCRIPTION</w:t>
      </w:r>
    </w:p>
    <w:p w14:paraId="52F886BE" w14:textId="77777777" w:rsidR="00DB2B68" w:rsidRDefault="00000000">
      <w:pPr>
        <w:pStyle w:val="pheading"/>
      </w:pPr>
      <w:r>
        <w:t>- Définition / Comprend</w:t>
      </w:r>
    </w:p>
    <w:p w14:paraId="235608BB" w14:textId="77777777" w:rsidR="00DB2B68" w:rsidRDefault="00000000">
      <w:r>
        <w:t>Cet article vise la fourniture et la pose de maçonneries portantes en blocs treillis de terre cuite à coller avec une colle PU uni-composante.</w:t>
      </w:r>
      <w:r>
        <w:br/>
        <w:t xml:space="preserve">La portée des travaux est décrite dans l’article </w:t>
      </w:r>
      <w:hyperlink w:anchor="369" w:history="1">
        <w:r>
          <w:rPr>
            <w:color w:val="0000EE"/>
          </w:rPr>
          <w:t>21.12.3 Maçonneries portantes en blocs treillis de terre cuite</w:t>
        </w:r>
      </w:hyperlink>
      <w:r>
        <w:t>.</w:t>
      </w:r>
      <w:r>
        <w:br/>
        <w:t>Les travaux comprennent également la fourniture et la pose des pièces d’angle, de terminaison et de rencontre.</w:t>
      </w:r>
    </w:p>
    <w:p w14:paraId="3699C261" w14:textId="77777777" w:rsidR="00DB2B68" w:rsidRDefault="00000000">
      <w:pPr>
        <w:pStyle w:val="pheading"/>
      </w:pPr>
      <w:r>
        <w:t>- Localisation</w:t>
      </w:r>
    </w:p>
    <w:p w14:paraId="43C2D1EA" w14:textId="77777777" w:rsidR="00DB2B68" w:rsidRDefault="00000000">
      <w:r>
        <w:t xml:space="preserve">La pose est réalisée aux endroits suivants : </w:t>
      </w:r>
      <w:r>
        <w:rPr>
          <w:rStyle w:val="optioncarChar"/>
        </w:rPr>
        <w:t>***</w:t>
      </w:r>
      <w:r>
        <w:t>.</w:t>
      </w:r>
    </w:p>
    <w:p w14:paraId="23FBCD36" w14:textId="77777777" w:rsidR="00DB2B68" w:rsidRDefault="00000000">
      <w:r>
        <w:t>Voir plans et métrés détaillés.</w:t>
      </w:r>
    </w:p>
    <w:p w14:paraId="0DFC43DF" w14:textId="77777777" w:rsidR="00DB2B68" w:rsidRDefault="00000000">
      <w:pPr>
        <w:pStyle w:val="pheading"/>
      </w:pPr>
      <w:r>
        <w:t>MATÉRIAUX</w:t>
      </w:r>
    </w:p>
    <w:p w14:paraId="21C47EC8" w14:textId="77777777" w:rsidR="00DB2B68" w:rsidRDefault="00000000">
      <w:pPr>
        <w:pStyle w:val="pheading"/>
      </w:pPr>
      <w:r>
        <w:t>- Caractéristiques générales</w:t>
      </w:r>
    </w:p>
    <w:p w14:paraId="0A407E0D" w14:textId="77777777" w:rsidR="00DB2B68" w:rsidRDefault="00000000">
      <w:r>
        <w:rPr>
          <w:rStyle w:val="headingChar"/>
        </w:rPr>
        <w:t>Spécifications</w:t>
      </w:r>
    </w:p>
    <w:p w14:paraId="67305F75" w14:textId="77777777" w:rsidR="00DB2B68" w:rsidRDefault="00000000">
      <w:r>
        <w:t>En ce qui concerne la déclaration de la résistance à la compression, les blocs treillis sont de catégorie I (la résistance à la compression est déclarée avec une fiabilité de 95%).</w:t>
      </w:r>
    </w:p>
    <w:p w14:paraId="45CB082F" w14:textId="77777777" w:rsidR="00DB2B68" w:rsidRDefault="00000000">
      <w:pPr>
        <w:spacing w:after="0"/>
      </w:pPr>
      <w:r>
        <w:rPr>
          <w:rStyle w:val="normalChar"/>
          <w:color w:val="000000"/>
        </w:rPr>
        <w:t>La résistance en compression </w:t>
      </w:r>
      <w:r>
        <w:rPr>
          <w:rStyle w:val="optioncarChar"/>
          <w:color w:val="000000"/>
        </w:rPr>
        <w:t>moyenne (fmean) / normalisée (fb)</w:t>
      </w:r>
      <w:r>
        <w:rPr>
          <w:color w:val="000000"/>
        </w:rPr>
        <w:t xml:space="preserve"> selon la [NBN EN 771-1+A1], la [NBN EN 772-1+A1] et la [NBN EN 1996 série] est au minimum : </w:t>
      </w:r>
      <w:r>
        <w:rPr>
          <w:rStyle w:val="optioncarChar"/>
          <w:color w:val="000000"/>
        </w:rPr>
        <w:t>20 / 25</w:t>
      </w:r>
      <w:r>
        <w:rPr>
          <w:color w:val="000000"/>
        </w:rPr>
        <w:t> N/mm² (MPa).</w:t>
      </w:r>
    </w:p>
    <w:p w14:paraId="1905D682" w14:textId="77777777" w:rsidR="00DB2B68" w:rsidRDefault="00000000">
      <w:r>
        <w:t>Le groupe de configuration suivant [NBN EN 1996-1-1+A1 ANB] est : 2</w:t>
      </w:r>
    </w:p>
    <w:p w14:paraId="1002EE21" w14:textId="77777777" w:rsidR="00DB2B68" w:rsidRDefault="00000000">
      <w:r>
        <w:t xml:space="preserve">La masse volumique sèche apparente des blocs ρ (rho) est </w:t>
      </w:r>
      <w:r>
        <w:rPr>
          <w:rStyle w:val="optioncarChar"/>
        </w:rPr>
        <w:t>850</w:t>
      </w:r>
      <w:r>
        <w:t> (par défaut) </w:t>
      </w:r>
      <w:r>
        <w:rPr>
          <w:rStyle w:val="optioncarChar"/>
        </w:rPr>
        <w:t>/ ***</w:t>
      </w:r>
      <w:r>
        <w:t xml:space="preserve"> &lt; ρ &lt; </w:t>
      </w:r>
      <w:r>
        <w:rPr>
          <w:rStyle w:val="optioncarChar"/>
        </w:rPr>
        <w:t>925</w:t>
      </w:r>
      <w:r>
        <w:t xml:space="preserve"> (par défaut) </w:t>
      </w:r>
      <w:r>
        <w:rPr>
          <w:rStyle w:val="optioncarChar"/>
        </w:rPr>
        <w:t>/ *** </w:t>
      </w:r>
      <w:r>
        <w:t xml:space="preserve">kg/m³ selon la [NBN EN 771-1+A1]. (catégorie de tolérance </w:t>
      </w:r>
      <w:r>
        <w:rPr>
          <w:rStyle w:val="optioncarChar"/>
        </w:rPr>
        <w:t>D1 / D2 / ***</w:t>
      </w:r>
      <w:r>
        <w:t>).</w:t>
      </w:r>
    </w:p>
    <w:p w14:paraId="5B76249B" w14:textId="77777777" w:rsidR="00DB2B68" w:rsidRDefault="00000000">
      <w:r>
        <w:t>Les blocs répondent aux conditions requises pour une utilisation avec une colle PU uni-composant reprises dans la déclaration de l’aptitude à l’emploi du système de construction.</w:t>
      </w:r>
    </w:p>
    <w:p w14:paraId="5E67261F" w14:textId="77777777" w:rsidR="00DB2B68" w:rsidRDefault="00000000">
      <w:r>
        <w:rPr>
          <w:rStyle w:val="normalChar"/>
          <w:color w:val="000000"/>
        </w:rPr>
        <w:lastRenderedPageBreak/>
        <w:t>L’entrepreneur soumet à la Direction de chantier la fiche technique et, s’il le juge nécessaire, un échantillon pour approbation.</w:t>
      </w:r>
    </w:p>
    <w:p w14:paraId="362E6EF8" w14:textId="77777777" w:rsidR="00DB2B68" w:rsidRDefault="00000000">
      <w:r>
        <w:rPr>
          <w:rStyle w:val="normalChar"/>
          <w:color w:val="000000"/>
        </w:rPr>
        <w:t>Boutisse: assemblage à tenon et mortaise</w:t>
      </w:r>
    </w:p>
    <w:p w14:paraId="2E63F5AA" w14:textId="77777777" w:rsidR="00DB2B68" w:rsidRDefault="00000000">
      <w:r>
        <w:rPr>
          <w:rStyle w:val="normalChar"/>
          <w:color w:val="000000"/>
        </w:rPr>
        <w:t>Face qui reste visible:  </w:t>
      </w:r>
      <w:r>
        <w:rPr>
          <w:rStyle w:val="optioncarChar"/>
          <w:color w:val="000000"/>
        </w:rPr>
        <w:t>lisse</w:t>
      </w:r>
    </w:p>
    <w:p w14:paraId="4BD43EDE" w14:textId="77777777" w:rsidR="00DB2B68" w:rsidRDefault="00000000">
      <w:r>
        <w:rPr>
          <w:rStyle w:val="normalChar"/>
          <w:color w:val="000000"/>
        </w:rPr>
        <w:t>Face à cimenter ou plafonner:  </w:t>
      </w:r>
      <w:r>
        <w:rPr>
          <w:rStyle w:val="optioncarChar"/>
          <w:color w:val="000000"/>
        </w:rPr>
        <w:t>lisse</w:t>
      </w:r>
    </w:p>
    <w:p w14:paraId="287CA8C3" w14:textId="77777777" w:rsidR="00DB2B68" w:rsidRDefault="00000000">
      <w:r>
        <w:rPr>
          <w:rStyle w:val="normalChar"/>
          <w:color w:val="000000"/>
        </w:rPr>
        <w:t xml:space="preserve">Format : (L x l x h) : </w:t>
      </w:r>
      <w:r>
        <w:rPr>
          <w:rStyle w:val="optioncarChar"/>
          <w:color w:val="000000"/>
        </w:rPr>
        <w:t xml:space="preserve"> (500/390 x 140/190 x 250) </w:t>
      </w:r>
      <w:r>
        <w:t xml:space="preserve">mm </w:t>
      </w:r>
      <w:r>
        <w:rPr>
          <w:rStyle w:val="optioncarChar"/>
          <w:color w:val="000000"/>
        </w:rPr>
        <w:t>/ format modulaire proposé par l'entrepreneur</w:t>
      </w:r>
      <w:r>
        <w:rPr>
          <w:rStyle w:val="normalChar"/>
          <w:color w:val="000000"/>
        </w:rPr>
        <w:t> (par défaut) mm</w:t>
      </w:r>
    </w:p>
    <w:p w14:paraId="5162F9B6" w14:textId="77777777" w:rsidR="00DB2B68" w:rsidRDefault="00000000">
      <w:r>
        <w:rPr>
          <w:rStyle w:val="normalChar"/>
          <w:color w:val="000000"/>
        </w:rPr>
        <w:t xml:space="preserve">Tolérances dimensionnelles: </w:t>
      </w:r>
    </w:p>
    <w:p w14:paraId="5D128FC9" w14:textId="77777777" w:rsidR="00DB2B68" w:rsidRDefault="00000000">
      <w:r>
        <w:rPr>
          <w:rStyle w:val="normalChar"/>
          <w:color w:val="000000"/>
        </w:rPr>
        <w:t xml:space="preserve">Tolérances de la valeur moyenne: T1+ </w:t>
      </w:r>
    </w:p>
    <w:p w14:paraId="2C22F59A" w14:textId="77777777" w:rsidR="00DB2B68" w:rsidRDefault="00000000">
      <w:r>
        <w:rPr>
          <w:rStyle w:val="normalChar"/>
          <w:color w:val="000000"/>
        </w:rPr>
        <w:t xml:space="preserve">Plage: R1+ </w:t>
      </w:r>
    </w:p>
    <w:p w14:paraId="5434D7C8" w14:textId="77777777" w:rsidR="00DB2B68" w:rsidRDefault="00000000">
      <w:r>
        <w:rPr>
          <w:rStyle w:val="normalChar"/>
          <w:color w:val="000000"/>
        </w:rPr>
        <w:t xml:space="preserve">Planéité: 0,5 mm </w:t>
      </w:r>
    </w:p>
    <w:p w14:paraId="0A46EE66" w14:textId="77777777" w:rsidR="00DB2B68" w:rsidRDefault="00000000">
      <w:r>
        <w:rPr>
          <w:rStyle w:val="normalChar"/>
          <w:color w:val="000000"/>
        </w:rPr>
        <w:t>Parallélisme: 1  mm</w:t>
      </w:r>
    </w:p>
    <w:p w14:paraId="5E347141" w14:textId="77777777" w:rsidR="00DB2B68" w:rsidRDefault="00000000">
      <w:r>
        <w:rPr>
          <w:rStyle w:val="normalChar"/>
          <w:color w:val="000000"/>
        </w:rPr>
        <w:t xml:space="preserve">Taux initial d’absorption d’eau : classe </w:t>
      </w:r>
      <w:r>
        <w:rPr>
          <w:rStyle w:val="optioncarChar"/>
        </w:rPr>
        <w:t>IW2 / IW3</w:t>
      </w:r>
    </w:p>
    <w:p w14:paraId="1CE9BF47" w14:textId="77777777" w:rsidR="00DB2B68" w:rsidRDefault="00000000">
      <w:r>
        <w:rPr>
          <w:rStyle w:val="normalChar"/>
          <w:color w:val="000000"/>
        </w:rPr>
        <w:t>Résistance au gel suivant les classes d’application MX… selon [NBN EN 1996-2 ANB] et [NIT 271].</w:t>
      </w:r>
    </w:p>
    <w:p w14:paraId="4E5BD983" w14:textId="77777777" w:rsidR="00DB2B68" w:rsidRDefault="00000000">
      <w:r>
        <w:rPr>
          <w:rStyle w:val="normalChar"/>
          <w:color w:val="000000"/>
        </w:rPr>
        <w:t xml:space="preserve">Réaction au feu : A1 selon </w:t>
      </w:r>
      <w:r>
        <w:rPr>
          <w:color w:val="00B050"/>
        </w:rPr>
        <w:t>[NBN EN 13501-1].</w:t>
      </w:r>
    </w:p>
    <w:p w14:paraId="34B464CF" w14:textId="77777777" w:rsidR="00DB2B68" w:rsidRDefault="00000000">
      <w:r>
        <w:rPr>
          <w:rStyle w:val="normalChar"/>
          <w:color w:val="000000"/>
        </w:rPr>
        <w:t>Type de mortier : colle PU uni-composante durcissant à l’eau  selon </w:t>
      </w:r>
      <w:hyperlink w:anchor="295" w:history="1">
        <w:r>
          <w:rPr>
            <w:rStyle w:val="normalChar"/>
            <w:color w:val="0000EE"/>
          </w:rPr>
          <w:t>21 Superstructures en maçonnerie</w:t>
        </w:r>
      </w:hyperlink>
      <w:r>
        <w:rPr>
          <w:rStyle w:val="normalChar"/>
          <w:color w:val="B01780"/>
        </w:rPr>
        <w:t>.</w:t>
      </w:r>
    </w:p>
    <w:p w14:paraId="078C3A76" w14:textId="77777777" w:rsidR="00DB2B68" w:rsidRDefault="00000000">
      <w:r>
        <w:rPr>
          <w:rStyle w:val="headingChar"/>
        </w:rPr>
        <w:t xml:space="preserve"> Critères de performances de la paroi </w:t>
      </w:r>
    </w:p>
    <w:p w14:paraId="29AB6B81" w14:textId="77777777" w:rsidR="00DB2B68" w:rsidRDefault="00000000">
      <w:pPr>
        <w:spacing w:line="259" w:lineRule="auto"/>
      </w:pPr>
      <w:r>
        <w:t>Résistance à la compression du mur:</w:t>
      </w:r>
    </w:p>
    <w:p w14:paraId="3047F4E7" w14:textId="77777777" w:rsidR="00DB2B68" w:rsidRDefault="00000000">
      <w:pPr>
        <w:pStyle w:val="Author-eListParagraph"/>
        <w:numPr>
          <w:ilvl w:val="0"/>
          <w:numId w:val="78"/>
        </w:numPr>
      </w:pPr>
      <w:r>
        <w:t>Testée selon [NBN EN 1052-1].</w:t>
      </w:r>
    </w:p>
    <w:p w14:paraId="538B0EDE" w14:textId="77777777" w:rsidR="00DB2B68" w:rsidRDefault="00000000">
      <w:pPr>
        <w:pStyle w:val="Author-eListParagraph"/>
        <w:numPr>
          <w:ilvl w:val="0"/>
          <w:numId w:val="78"/>
        </w:numPr>
      </w:pPr>
      <w:r>
        <w:t>Les règles de calcul de la [NBN EN 1996-1-1+A1 ANB] sont d’application.</w:t>
      </w:r>
    </w:p>
    <w:p w14:paraId="18C64965" w14:textId="77777777" w:rsidR="00DB2B68" w:rsidRDefault="00000000">
      <w:pPr>
        <w:spacing w:line="259" w:lineRule="auto"/>
      </w:pPr>
      <w:r>
        <w:t xml:space="preserve">Résistance à la flexion testée selon [NBN EN 1052-2]: </w:t>
      </w:r>
    </w:p>
    <w:p w14:paraId="09FA6D01" w14:textId="77777777" w:rsidR="00DB2B68" w:rsidRDefault="00000000">
      <w:pPr>
        <w:pStyle w:val="Author-eListParagraph"/>
        <w:numPr>
          <w:ilvl w:val="0"/>
          <w:numId w:val="79"/>
        </w:numPr>
      </w:pPr>
      <w:r>
        <w:t>f</w:t>
      </w:r>
      <w:r>
        <w:rPr>
          <w:vertAlign w:val="subscript"/>
        </w:rPr>
        <w:t>xk1</w:t>
      </w:r>
      <w:r>
        <w:t xml:space="preserve"> = </w:t>
      </w:r>
      <w:r>
        <w:rPr>
          <w:rStyle w:val="optioncarChar"/>
        </w:rPr>
        <w:t>0,10 </w:t>
      </w:r>
      <w:r>
        <w:t>(par défaut)</w:t>
      </w:r>
      <w:r>
        <w:rPr>
          <w:rStyle w:val="optioncarChar"/>
        </w:rPr>
        <w:t xml:space="preserve"> / ***</w:t>
      </w:r>
      <w:r>
        <w:t>N/mm²</w:t>
      </w:r>
    </w:p>
    <w:p w14:paraId="67347383" w14:textId="77777777" w:rsidR="00DB2B68" w:rsidRDefault="00000000">
      <w:pPr>
        <w:pStyle w:val="Author-eListParagraph"/>
        <w:numPr>
          <w:ilvl w:val="0"/>
          <w:numId w:val="79"/>
        </w:numPr>
      </w:pPr>
      <w:r>
        <w:t>f</w:t>
      </w:r>
      <w:r>
        <w:rPr>
          <w:vertAlign w:val="subscript"/>
        </w:rPr>
        <w:t>xk2</w:t>
      </w:r>
      <w:r>
        <w:t xml:space="preserve"> = </w:t>
      </w:r>
      <w:r>
        <w:rPr>
          <w:rStyle w:val="optioncarChar"/>
        </w:rPr>
        <w:t>0,10 </w:t>
      </w:r>
      <w:r>
        <w:t>(par défaut)</w:t>
      </w:r>
      <w:r>
        <w:rPr>
          <w:rStyle w:val="optioncarChar"/>
        </w:rPr>
        <w:t xml:space="preserve"> / *** </w:t>
      </w:r>
      <w:r>
        <w:t>N/mm²</w:t>
      </w:r>
    </w:p>
    <w:p w14:paraId="6240529D" w14:textId="77777777" w:rsidR="00DB2B68" w:rsidRDefault="00000000">
      <w:pPr>
        <w:spacing w:line="259" w:lineRule="auto"/>
      </w:pPr>
      <w:r>
        <w:t xml:space="preserve">Résistance au cisaillement testée selon [NBN EN 1052-3/A1]: </w:t>
      </w:r>
    </w:p>
    <w:p w14:paraId="58AE2BB2" w14:textId="77777777" w:rsidR="00DB2B68" w:rsidRDefault="00000000">
      <w:pPr>
        <w:pStyle w:val="Author-eListParagraph"/>
        <w:numPr>
          <w:ilvl w:val="0"/>
          <w:numId w:val="80"/>
        </w:numPr>
      </w:pPr>
      <w:r>
        <w:t>f</w:t>
      </w:r>
      <w:r>
        <w:rPr>
          <w:vertAlign w:val="subscript"/>
        </w:rPr>
        <w:t>vk0</w:t>
      </w:r>
      <w:r>
        <w:t xml:space="preserve"> = </w:t>
      </w:r>
      <w:r>
        <w:rPr>
          <w:rStyle w:val="optioncarChar"/>
        </w:rPr>
        <w:t>0,10 (</w:t>
      </w:r>
      <w:r>
        <w:t>par défaut)</w:t>
      </w:r>
      <w:r>
        <w:rPr>
          <w:rStyle w:val="optioncarChar"/>
        </w:rPr>
        <w:t xml:space="preserve"> / ***</w:t>
      </w:r>
      <w:r>
        <w:t>N/mm²</w:t>
      </w:r>
    </w:p>
    <w:p w14:paraId="2CCF43A0" w14:textId="77777777" w:rsidR="00DB2B68" w:rsidRDefault="00000000">
      <w:pPr>
        <w:spacing w:line="259" w:lineRule="auto"/>
      </w:pPr>
      <w:r>
        <w:t>Coefficient de transmission :</w:t>
      </w:r>
    </w:p>
    <w:p w14:paraId="2662238C" w14:textId="77777777" w:rsidR="00DB2B68" w:rsidRDefault="00000000">
      <w:pPr>
        <w:pStyle w:val="Author-eListParagraph"/>
        <w:numPr>
          <w:ilvl w:val="0"/>
          <w:numId w:val="81"/>
        </w:numPr>
      </w:pPr>
      <w:r>
        <w:t xml:space="preserve">valeur U minimale de </w:t>
      </w:r>
      <w:r>
        <w:rPr>
          <w:rStyle w:val="optioncarChar"/>
        </w:rPr>
        <w:t>***</w:t>
      </w:r>
      <w:r>
        <w:t xml:space="preserve"> W/m²K</w:t>
      </w:r>
    </w:p>
    <w:p w14:paraId="1DFA8435" w14:textId="77777777" w:rsidR="00DB2B68" w:rsidRDefault="00000000">
      <w:pPr>
        <w:pStyle w:val="Author-eListParagraph"/>
        <w:numPr>
          <w:ilvl w:val="0"/>
          <w:numId w:val="81"/>
        </w:numPr>
      </w:pPr>
      <w:r>
        <w:t>valeur λ</w:t>
      </w:r>
      <w:r>
        <w:rPr>
          <w:vertAlign w:val="subscript"/>
        </w:rPr>
        <w:t>Ui</w:t>
      </w:r>
      <w:r>
        <w:t xml:space="preserve"> ou λ</w:t>
      </w:r>
      <w:r>
        <w:rPr>
          <w:vertAlign w:val="subscript"/>
        </w:rPr>
        <w:t>Ue</w:t>
      </w:r>
      <w:r>
        <w:t xml:space="preserve"> : max. </w:t>
      </w:r>
      <w:r>
        <w:rPr>
          <w:rStyle w:val="optioncarChar"/>
        </w:rPr>
        <w:t xml:space="preserve">0,185 / 0,26 / *** </w:t>
      </w:r>
      <w:r>
        <w:t>W/mK (suivant l’application).</w:t>
      </w:r>
    </w:p>
    <w:p w14:paraId="2EAEB0A2" w14:textId="77777777" w:rsidR="00DB2B68" w:rsidRDefault="00000000">
      <w:pPr>
        <w:pStyle w:val="Author-eListParagraph"/>
        <w:numPr>
          <w:ilvl w:val="0"/>
          <w:numId w:val="81"/>
        </w:numPr>
      </w:pPr>
      <w:r>
        <w:t>coefficient de conductivité thermique  déclaré: λ</w:t>
      </w:r>
      <w:r>
        <w:rPr>
          <w:vertAlign w:val="subscript"/>
        </w:rPr>
        <w:t xml:space="preserve">10,sec,bloc (50/50) </w:t>
      </w:r>
      <w:r>
        <w:t xml:space="preserve">(selon ): max. </w:t>
      </w:r>
      <w:r>
        <w:rPr>
          <w:rStyle w:val="optioncarChar"/>
        </w:rPr>
        <w:t>0,175</w:t>
      </w:r>
      <w:r>
        <w:t> (par défaut)</w:t>
      </w:r>
      <w:r>
        <w:rPr>
          <w:rStyle w:val="optioncarChar"/>
        </w:rPr>
        <w:t xml:space="preserve"> / 0,23 / *** </w:t>
      </w:r>
      <w:r>
        <w:t>W/mK</w:t>
      </w:r>
    </w:p>
    <w:p w14:paraId="7EBB0659" w14:textId="77777777" w:rsidR="00DB2B68" w:rsidRDefault="00000000">
      <w:pPr>
        <w:pStyle w:val="Author-eListParagraph"/>
        <w:numPr>
          <w:ilvl w:val="0"/>
          <w:numId w:val="81"/>
        </w:numPr>
      </w:pPr>
      <w:r>
        <w:t>coefficient de conductivité thermique  déclaré λ</w:t>
      </w:r>
      <w:r>
        <w:rPr>
          <w:vertAlign w:val="subscript"/>
        </w:rPr>
        <w:t xml:space="preserve">D </w:t>
      </w:r>
      <w:r>
        <w:t xml:space="preserve">: max. </w:t>
      </w:r>
      <w:r>
        <w:rPr>
          <w:rStyle w:val="optioncarChar"/>
        </w:rPr>
        <w:t>0,18</w:t>
      </w:r>
      <w:r>
        <w:t xml:space="preserve"> (par défaut)</w:t>
      </w:r>
      <w:r>
        <w:rPr>
          <w:rStyle w:val="optioncarChar"/>
        </w:rPr>
        <w:t xml:space="preserve"> / 0,24 / *** </w:t>
      </w:r>
      <w:r>
        <w:t>W/mK.</w:t>
      </w:r>
    </w:p>
    <w:p w14:paraId="67EF79D1" w14:textId="77777777" w:rsidR="00DB2B68" w:rsidRDefault="00000000">
      <w:pPr>
        <w:spacing w:line="259" w:lineRule="auto"/>
      </w:pPr>
      <w:r>
        <w:t>Résistance au feu:</w:t>
      </w:r>
    </w:p>
    <w:p w14:paraId="69213FEF" w14:textId="77777777" w:rsidR="00DB2B68" w:rsidRDefault="00000000">
      <w:pPr>
        <w:pStyle w:val="Author-eListParagraph"/>
        <w:numPr>
          <w:ilvl w:val="0"/>
          <w:numId w:val="82"/>
        </w:numPr>
      </w:pPr>
      <w:r>
        <w:t xml:space="preserve">pour les éléments porteurs structurels sans fonction séparante : </w:t>
      </w:r>
      <w:r>
        <w:rPr>
          <w:rStyle w:val="optioncarChar"/>
        </w:rPr>
        <w:t>R120 </w:t>
      </w:r>
      <w:r>
        <w:t>(par défaut)</w:t>
      </w:r>
      <w:r>
        <w:rPr>
          <w:rStyle w:val="optioncarChar"/>
        </w:rPr>
        <w:t xml:space="preserve"> / ***</w:t>
      </w:r>
    </w:p>
    <w:p w14:paraId="3B9E9B13" w14:textId="77777777" w:rsidR="00DB2B68" w:rsidRDefault="00000000">
      <w:pPr>
        <w:pStyle w:val="Author-eListParagraph"/>
        <w:numPr>
          <w:ilvl w:val="0"/>
          <w:numId w:val="82"/>
        </w:numPr>
      </w:pPr>
      <w:r>
        <w:t xml:space="preserve">pour les éléments porteurs structurels avec fonction séparante : </w:t>
      </w:r>
      <w:r>
        <w:rPr>
          <w:rStyle w:val="optioncarChar"/>
        </w:rPr>
        <w:t>REI120 </w:t>
      </w:r>
      <w:r>
        <w:t>(par défaut)</w:t>
      </w:r>
      <w:r>
        <w:rPr>
          <w:rStyle w:val="optioncarChar"/>
        </w:rPr>
        <w:t xml:space="preserve"> / ***</w:t>
      </w:r>
    </w:p>
    <w:p w14:paraId="4EB00D48" w14:textId="77777777" w:rsidR="00DB2B68" w:rsidRDefault="00000000">
      <w:pPr>
        <w:spacing w:line="259" w:lineRule="auto"/>
        <w:ind w:left="360"/>
      </w:pPr>
      <w:r>
        <w:t>testée selon la norme [NBN EN 1363-1] et [NBN EN 1363-1].</w:t>
      </w:r>
    </w:p>
    <w:p w14:paraId="52FA53C7" w14:textId="77777777" w:rsidR="00DB2B68" w:rsidRDefault="00000000">
      <w:pPr>
        <w:pStyle w:val="pheading"/>
      </w:pPr>
      <w:r>
        <w:t>- Finitions</w:t>
      </w:r>
    </w:p>
    <w:p w14:paraId="686CE437" w14:textId="77777777" w:rsidR="00DB2B68" w:rsidRDefault="00000000">
      <w:r>
        <w:t xml:space="preserve">Les murs suivants sont érigés  avec deux faces restant apparentes : </w:t>
      </w:r>
      <w:r>
        <w:rPr>
          <w:rStyle w:val="optioncarChar"/>
        </w:rPr>
        <w:t>***</w:t>
      </w:r>
    </w:p>
    <w:p w14:paraId="347BF38A" w14:textId="77777777" w:rsidR="00DB2B68" w:rsidRDefault="00000000">
      <w:pPr>
        <w:pStyle w:val="pheading"/>
      </w:pPr>
      <w:r>
        <w:t>EXÉCUTION / MISE EN ŒUVRE</w:t>
      </w:r>
    </w:p>
    <w:p w14:paraId="123ABBA5" w14:textId="77777777" w:rsidR="00DB2B68" w:rsidRDefault="00000000">
      <w:pPr>
        <w:pStyle w:val="pheading"/>
      </w:pPr>
      <w:r>
        <w:t>- Prescriptions générales</w:t>
      </w:r>
    </w:p>
    <w:p w14:paraId="723D597E" w14:textId="77777777" w:rsidR="00DB2B68" w:rsidRDefault="00000000">
      <w:r>
        <w:rPr>
          <w:rStyle w:val="normalChar"/>
          <w:color w:val="000000"/>
        </w:rPr>
        <w:t>La mise en œuvre, y compris le bloc d’assise, est conforme à la déclaration de l’aptitude à l’emploi du système de construction.</w:t>
      </w:r>
    </w:p>
    <w:p w14:paraId="369F2B96" w14:textId="77777777" w:rsidR="00DB2B68" w:rsidRDefault="00000000">
      <w:r>
        <w:rPr>
          <w:rStyle w:val="normalChar"/>
          <w:color w:val="000000"/>
        </w:rPr>
        <w:lastRenderedPageBreak/>
        <w:t xml:space="preserve">Les linteaux sont réalisés selon article </w:t>
      </w:r>
      <w:hyperlink w:anchor="370" w:history="1">
        <w:r>
          <w:rPr>
            <w:rStyle w:val="normalChar"/>
            <w:color w:val="0000EE"/>
          </w:rPr>
          <w:t>21.43.1 Linteaux</w:t>
        </w:r>
      </w:hyperlink>
      <w:r>
        <w:rPr>
          <w:rStyle w:val="normalChar"/>
          <w:color w:val="000000"/>
        </w:rPr>
        <w:t>.</w:t>
      </w:r>
    </w:p>
    <w:p w14:paraId="1357FA3A" w14:textId="77777777" w:rsidR="00DB2B68" w:rsidRDefault="00000000">
      <w:r>
        <w:t>Il y a des bandes acoustiques </w:t>
      </w:r>
      <w:r>
        <w:rPr>
          <w:rStyle w:val="optioncarChar"/>
        </w:rPr>
        <w:t xml:space="preserve"> en bas des murs / en haut des murs / en bas et en haut des murs </w:t>
      </w:r>
      <w:r>
        <w:t>(par défaut)</w:t>
      </w:r>
      <w:r>
        <w:rPr>
          <w:rStyle w:val="optioncarChar"/>
        </w:rPr>
        <w:t> </w:t>
      </w:r>
      <w:r>
        <w:t xml:space="preserve">selon une étude acoustique.  La liaison entre les bandes acoustiques et les blocs treillis se fait avec un mortier traditionnel. </w:t>
      </w:r>
    </w:p>
    <w:p w14:paraId="312749A7" w14:textId="77777777" w:rsidR="00DB2B68" w:rsidRDefault="00000000">
      <w:pPr>
        <w:pStyle w:val="pheading"/>
      </w:pPr>
      <w:r>
        <w:t>MESURAGE</w:t>
      </w:r>
    </w:p>
    <w:p w14:paraId="4B41698E" w14:textId="77777777" w:rsidR="00DB2B68" w:rsidRDefault="00000000">
      <w:pPr>
        <w:pStyle w:val="pheading"/>
      </w:pPr>
      <w:r>
        <w:t>- unité de mesure:</w:t>
      </w:r>
    </w:p>
    <w:p w14:paraId="277B36EB" w14:textId="77777777" w:rsidR="00DB2B68" w:rsidRDefault="00000000">
      <w:r>
        <w:rPr>
          <w:rStyle w:val="optioncarChar"/>
        </w:rPr>
        <w:t>m³ </w:t>
      </w:r>
      <w:r>
        <w:t>(par défaut)</w:t>
      </w:r>
      <w:r>
        <w:rPr>
          <w:rStyle w:val="optioncarChar"/>
        </w:rPr>
        <w:t> / m²</w:t>
      </w:r>
    </w:p>
    <w:p w14:paraId="3CF6900A" w14:textId="77777777" w:rsidR="00DB2B68" w:rsidRDefault="00000000">
      <w:r>
        <w:rPr>
          <w:b/>
        </w:rPr>
        <w:t>(soit par défaut)</w:t>
      </w:r>
    </w:p>
    <w:p w14:paraId="5A00B216" w14:textId="77777777" w:rsidR="00DB2B68" w:rsidRDefault="00000000">
      <w:r>
        <w:rPr>
          <w:rStyle w:val="soitChar"/>
        </w:rPr>
        <w:t>1. m³</w:t>
      </w:r>
    </w:p>
    <w:p w14:paraId="67BCE9C1" w14:textId="77777777" w:rsidR="00DB2B68" w:rsidRDefault="00000000">
      <w:r>
        <w:rPr>
          <w:b/>
        </w:rPr>
        <w:t>(soit)</w:t>
      </w:r>
    </w:p>
    <w:p w14:paraId="5560834E" w14:textId="77777777" w:rsidR="00DB2B68" w:rsidRDefault="00000000">
      <w:r>
        <w:rPr>
          <w:rStyle w:val="soitChar"/>
        </w:rPr>
        <w:t>2. m²</w:t>
      </w:r>
    </w:p>
    <w:p w14:paraId="729A1A47" w14:textId="77777777" w:rsidR="00DB2B68" w:rsidRDefault="00000000">
      <w:pPr>
        <w:pStyle w:val="pheading"/>
      </w:pPr>
      <w:r>
        <w:t>- code de mesurage:</w:t>
      </w:r>
    </w:p>
    <w:p w14:paraId="1CEF18EC"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B9BC46B"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1CAF691"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261ED46" w14:textId="77777777" w:rsidR="00DB2B68" w:rsidRDefault="00DB2B68"/>
    <w:p w14:paraId="21D84CAE" w14:textId="77777777" w:rsidR="00DB2B68" w:rsidRDefault="00000000">
      <w:r>
        <w:rPr>
          <w:rStyle w:val="optioncarChar"/>
        </w:rPr>
        <w:t>Volume net </w:t>
      </w:r>
      <w:r>
        <w:t>(par défaut)</w:t>
      </w:r>
      <w:r>
        <w:rPr>
          <w:rStyle w:val="optioncarChar"/>
        </w:rPr>
        <w:t> / Surface nette</w:t>
      </w:r>
    </w:p>
    <w:p w14:paraId="0202762C" w14:textId="77777777" w:rsidR="00DB2B68" w:rsidRDefault="00000000">
      <w:r>
        <w:rPr>
          <w:b/>
        </w:rPr>
        <w:t>(soit par défaut)</w:t>
      </w:r>
    </w:p>
    <w:p w14:paraId="337C29FC"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D6384A3" w14:textId="77777777" w:rsidR="00DB2B68" w:rsidRDefault="00000000">
      <w:r>
        <w:rPr>
          <w:b/>
        </w:rPr>
        <w:t>(soit)</w:t>
      </w:r>
    </w:p>
    <w:p w14:paraId="2DE434C3"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26C8E49F" w14:textId="77777777" w:rsidR="00DB2B68" w:rsidRDefault="00000000">
      <w:pPr>
        <w:pStyle w:val="pheading"/>
      </w:pPr>
      <w:r>
        <w:t>- nature du marché:</w:t>
      </w:r>
    </w:p>
    <w:p w14:paraId="03F7820E" w14:textId="77777777" w:rsidR="00DB2B68" w:rsidRDefault="00000000">
      <w:r>
        <w:t>QF</w:t>
      </w:r>
    </w:p>
    <w:p w14:paraId="494501D7" w14:textId="77777777" w:rsidR="00DB2B68" w:rsidRDefault="00000000">
      <w:pPr>
        <w:pStyle w:val="Author-eSectionHeading5Numberless"/>
      </w:pPr>
      <w:bookmarkStart w:id="46" w:name="_Toc220495210"/>
      <w:r>
        <w:t>21.12.4 Maçonneries portantes en blocs de béton CCTB 01.11</w:t>
      </w:r>
      <w:bookmarkEnd w:id="46"/>
    </w:p>
    <w:p w14:paraId="77647C21" w14:textId="77777777" w:rsidR="00DB2B68" w:rsidRDefault="00000000">
      <w:pPr>
        <w:pStyle w:val="pheading"/>
      </w:pPr>
      <w:bookmarkStart w:id="47" w:name="371"/>
      <w:bookmarkEnd w:id="47"/>
      <w:r>
        <w:t>MATÉRIAUX</w:t>
      </w:r>
    </w:p>
    <w:p w14:paraId="64FAF4D3" w14:textId="77777777" w:rsidR="00DB2B68" w:rsidRDefault="00000000">
      <w:r>
        <w:t>Il s'agit des blocs en béton, qui répondent à la norme [NBN EN 771-3+A1] et au [PTV 21-001]. L'entrepreneur soumet un échantillon, la fiche technique et la déclaration des performances (DoP) du matériau pour approbation à l'auteur de projet et au maître de l’ouvrage</w:t>
      </w:r>
    </w:p>
    <w:p w14:paraId="0A8F1FCB" w14:textId="77777777" w:rsidR="00DB2B68" w:rsidRDefault="00000000">
      <w:pPr>
        <w:pStyle w:val="pheading"/>
      </w:pPr>
      <w:r>
        <w:lastRenderedPageBreak/>
        <w:t>EXÉCUTION / MISE EN ŒUVRE</w:t>
      </w:r>
    </w:p>
    <w:p w14:paraId="2FC359C2" w14:textId="77777777" w:rsidR="00DB2B68" w:rsidRDefault="00000000">
      <w:r>
        <w:rPr>
          <w:u w:val="single"/>
        </w:rPr>
        <w:t>-Prescriptions générales</w:t>
      </w:r>
    </w:p>
    <w:p w14:paraId="745724FD" w14:textId="77777777" w:rsidR="00DB2B68" w:rsidRDefault="00000000">
      <w:r>
        <w:t>Conformément au mode de mise en œuvre, les blocs en béton sont</w:t>
      </w:r>
      <w:r>
        <w:rPr>
          <w:rStyle w:val="optioncarChar"/>
        </w:rPr>
        <w:t xml:space="preserve"> maçonnés au mortier </w:t>
      </w:r>
      <w:r>
        <w:t>(par défaut)</w:t>
      </w:r>
      <w:r>
        <w:rPr>
          <w:rStyle w:val="optioncarChar"/>
        </w:rPr>
        <w:t xml:space="preserve"> / collés à l’aide d’un mortier-colle</w:t>
      </w:r>
      <w:r>
        <w:t xml:space="preserve"> selon les indications du fabricant </w:t>
      </w:r>
      <w:r>
        <w:rPr>
          <w:rStyle w:val="optioncarChar"/>
        </w:rPr>
        <w:t>des blocs </w:t>
      </w:r>
      <w:r>
        <w:t>(par défaut)</w:t>
      </w:r>
      <w:r>
        <w:rPr>
          <w:rStyle w:val="optioncarChar"/>
        </w:rPr>
        <w:t xml:space="preserve"> / du fabricant de mortier</w:t>
      </w:r>
      <w:r>
        <w:t xml:space="preserve"> et des notes de calcul du bureau d’études.</w:t>
      </w:r>
    </w:p>
    <w:p w14:paraId="4E3302FB" w14:textId="77777777" w:rsidR="00DB2B68" w:rsidRDefault="00000000">
      <w:r>
        <w:t xml:space="preserve">Le mortier </w:t>
      </w:r>
      <w:r>
        <w:rPr>
          <w:rStyle w:val="optioncarChar"/>
        </w:rPr>
        <w:t xml:space="preserve">à coller / à maçonner </w:t>
      </w:r>
      <w:r>
        <w:t xml:space="preserve">(par défaut)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160647CE" w14:textId="77777777" w:rsidR="00DB2B68" w:rsidRDefault="00000000">
      <w: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09FD5D8A" w14:textId="77777777" w:rsidR="00DB2B68"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 xml:space="preserve">. </w:t>
      </w:r>
      <w:r>
        <w:br/>
      </w:r>
      <w:r>
        <w:br/>
      </w:r>
      <w:r>
        <w:rPr>
          <w:u w:val="single"/>
        </w:rPr>
        <w:t>-Notes d'exécution complémentaires</w:t>
      </w:r>
    </w:p>
    <w:p w14:paraId="57FA3758" w14:textId="77777777" w:rsidR="00DB2B68" w:rsidRDefault="00000000">
      <w:r>
        <w:t xml:space="preserve">Pour les maçonneries destinées à rester apparentes, seules des blocs non endommagés sont utilisés. </w:t>
      </w:r>
      <w:r>
        <w:br/>
        <w:t xml:space="preserve">Les segments de murs sont pourvus d'armatures horizontales selon l'article </w:t>
      </w:r>
      <w:hyperlink w:anchor="357" w:history="1">
        <w:r>
          <w:rPr>
            <w:color w:val="0000EE"/>
          </w:rPr>
          <w:t>21.41.1 Armatures horizontales pour maçonneries</w:t>
        </w:r>
      </w:hyperlink>
      <w:r>
        <w:t xml:space="preserve">. Les segments de murs sont pourvus d'armatures verticales selon l'article </w:t>
      </w:r>
      <w:hyperlink w:anchor="358" w:history="1">
        <w:r>
          <w:rPr>
            <w:color w:val="0000EE"/>
          </w:rPr>
          <w:t>21.41.2 Armatures verticales pour maçonneries</w:t>
        </w:r>
      </w:hyperlink>
      <w:r>
        <w:t>.</w:t>
      </w:r>
    </w:p>
    <w:p w14:paraId="352A1E5C"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2BDB7EC6" w14:textId="77777777" w:rsidR="00DB2B68" w:rsidRDefault="00000000">
      <w:r>
        <w:t xml:space="preserve">Les faces de murs suivantes sont exécutées comme maçonneries apparentes : </w:t>
      </w:r>
      <w:r>
        <w:rPr>
          <w:rStyle w:val="optioncarChar"/>
        </w:rPr>
        <w:t>***.</w:t>
      </w:r>
    </w:p>
    <w:p w14:paraId="1E9B331F" w14:textId="77777777" w:rsidR="00DB2B68" w:rsidRDefault="00000000">
      <w:r>
        <w:t xml:space="preserve">Crochets de mur : </w:t>
      </w:r>
      <w:r>
        <w:rPr>
          <w:rStyle w:val="optioncarChar"/>
        </w:rPr>
        <w:t>acier inoxydable </w:t>
      </w:r>
      <w:r>
        <w:t>(par défaut)</w:t>
      </w:r>
      <w:r>
        <w:rPr>
          <w:rStyle w:val="optioncarChar"/>
        </w:rPr>
        <w:t> / ***</w:t>
      </w:r>
      <w:r>
        <w:t xml:space="preserve"> , diamètre minimal </w:t>
      </w:r>
      <w:r>
        <w:rPr>
          <w:rStyle w:val="optioncarChar"/>
        </w:rPr>
        <w:t>3,5 </w:t>
      </w:r>
      <w:r>
        <w:t>(par défaut)</w:t>
      </w:r>
      <w:r>
        <w:rPr>
          <w:rStyle w:val="optioncarChar"/>
        </w:rPr>
        <w:t> / ***</w:t>
      </w:r>
      <w:r>
        <w:t xml:space="preserve"> mm.</w:t>
      </w:r>
    </w:p>
    <w:p w14:paraId="4304E0C9"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r>
        <w:t>.</w:t>
      </w:r>
    </w:p>
    <w:p w14:paraId="2D306586" w14:textId="77777777" w:rsidR="00DB2B68" w:rsidRDefault="00000000">
      <w:pPr>
        <w:pStyle w:val="pheading"/>
      </w:pPr>
      <w:r>
        <w:t>AIDE</w:t>
      </w:r>
    </w:p>
    <w:p w14:paraId="34B38BBD" w14:textId="77777777" w:rsidR="00DB2B68" w:rsidRDefault="00000000">
      <w:r>
        <w:t>Note à l'attention de l'auteur du projet : pour le choix adéquat du mortier, se référer à la [STS 22 série].</w:t>
      </w:r>
    </w:p>
    <w:p w14:paraId="6704A521" w14:textId="77777777" w:rsidR="00DB2B68" w:rsidRDefault="00000000">
      <w:pPr>
        <w:pStyle w:val="Author-eSectionHeading6Numberless"/>
      </w:pPr>
      <w:bookmarkStart w:id="48" w:name="_Toc220495211"/>
      <w:r>
        <w:t>21.12.4a Maçonneries portantes en blocs de béton pleins à maçonner CCTB 01.13</w:t>
      </w:r>
      <w:bookmarkEnd w:id="48"/>
    </w:p>
    <w:p w14:paraId="383FCA2A" w14:textId="77777777" w:rsidR="00DB2B68" w:rsidRDefault="00000000">
      <w:pPr>
        <w:pStyle w:val="pheading"/>
      </w:pPr>
      <w:r>
        <w:t>DESCRIPTION</w:t>
      </w:r>
    </w:p>
    <w:p w14:paraId="023B8BAC" w14:textId="77777777" w:rsidR="00DB2B68" w:rsidRDefault="00000000">
      <w:pPr>
        <w:pStyle w:val="pheading"/>
      </w:pPr>
      <w:r>
        <w:t>- Définition / Comprend</w:t>
      </w:r>
    </w:p>
    <w:p w14:paraId="4169F3DD" w14:textId="77777777" w:rsidR="00DB2B68" w:rsidRDefault="00000000">
      <w:r>
        <w:t>- nature du marché</w:t>
      </w:r>
      <w:r>
        <w:br/>
        <w:t xml:space="preserve">Il s’agit de la fourniture et la pose de maçonneries portantes en blocs de béton pleins à maçonner. </w:t>
      </w:r>
      <w:r>
        <w:br/>
        <w:t xml:space="preserve">La portée des travaux est décrite dans l’article </w:t>
      </w:r>
      <w:hyperlink w:anchor="371" w:history="1">
        <w:r>
          <w:rPr>
            <w:color w:val="0000EE"/>
          </w:rPr>
          <w:t>21.12.4 Maçonneries portantes en blocs de béton</w:t>
        </w:r>
      </w:hyperlink>
      <w:r>
        <w:t>.</w:t>
      </w:r>
      <w:r>
        <w:br/>
        <w:t>Les travaux comprennent également la fourniture et la pose des pièces d’angle, de terminaison et de rencontre.</w:t>
      </w:r>
    </w:p>
    <w:p w14:paraId="18BD4FD7" w14:textId="77777777" w:rsidR="00DB2B68" w:rsidRDefault="00000000">
      <w:pPr>
        <w:pStyle w:val="pheading"/>
      </w:pPr>
      <w:r>
        <w:t>- Localisation</w:t>
      </w:r>
    </w:p>
    <w:p w14:paraId="31AC9A76" w14:textId="77777777" w:rsidR="00DB2B68" w:rsidRDefault="00000000">
      <w:r>
        <w:t xml:space="preserve">La pose est réalisée aux endroits suivants : </w:t>
      </w:r>
      <w:r>
        <w:rPr>
          <w:rStyle w:val="optioncarChar"/>
        </w:rPr>
        <w:t>***</w:t>
      </w:r>
      <w:r>
        <w:t>.</w:t>
      </w:r>
      <w:r>
        <w:br/>
        <w:t>Voir plans et métrés détaillés.</w:t>
      </w:r>
    </w:p>
    <w:p w14:paraId="45AE72EA" w14:textId="77777777" w:rsidR="00DB2B68" w:rsidRDefault="00000000">
      <w:pPr>
        <w:pStyle w:val="pheading"/>
      </w:pPr>
      <w:r>
        <w:t>MATÉRIAUX</w:t>
      </w:r>
    </w:p>
    <w:p w14:paraId="507B50E0" w14:textId="77777777" w:rsidR="00DB2B68" w:rsidRDefault="00000000">
      <w:pPr>
        <w:pStyle w:val="pheading"/>
      </w:pPr>
      <w:r>
        <w:t>- Caractéristiques générales</w:t>
      </w:r>
    </w:p>
    <w:p w14:paraId="25DA815C" w14:textId="77777777" w:rsidR="00DB2B68" w:rsidRDefault="00000000">
      <w:r>
        <w:rPr>
          <w:rStyle w:val="headingChar"/>
        </w:rPr>
        <w:lastRenderedPageBreak/>
        <w:t>Spécifications</w:t>
      </w:r>
    </w:p>
    <w:p w14:paraId="4AA1740C" w14:textId="77777777" w:rsidR="00DB2B68" w:rsidRDefault="00000000">
      <w:r>
        <w:rPr>
          <w:u w:val="single"/>
        </w:rPr>
        <w:t>Blocs</w:t>
      </w:r>
    </w:p>
    <w:p w14:paraId="2EEDD118"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747B4C4C" w14:textId="77777777" w:rsidR="00DB2B68" w:rsidRDefault="0000000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w:t>
      </w:r>
      <w:r>
        <w:t> (par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w:t>
      </w:r>
      <w:r>
        <w:rPr>
          <w:rStyle w:val="optioncarChar"/>
          <w:color w:val="000000"/>
        </w:rPr>
        <w:t xml:space="preserve">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392B03DC"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w:t>
      </w:r>
      <w:r>
        <w:t> (par défaut)</w:t>
      </w:r>
      <w:r>
        <w:rPr>
          <w:rStyle w:val="optioncarChar"/>
        </w:rPr>
        <w:t> / ***</w:t>
      </w:r>
    </w:p>
    <w:p w14:paraId="423FD953" w14:textId="77777777" w:rsidR="00DB2B68" w:rsidRDefault="00000000">
      <w:pPr>
        <w:spacing w:before="0" w:after="0"/>
      </w:pPr>
      <w:r>
        <w:rPr>
          <w:u w:val="single"/>
        </w:rPr>
        <w:t>Mortier</w:t>
      </w:r>
    </w:p>
    <w:p w14:paraId="26812D28"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44AE0F81"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49595A3" w14:textId="77777777" w:rsidR="00DB2B68" w:rsidRDefault="00000000">
      <w:pPr>
        <w:spacing w:before="0" w:after="0"/>
      </w:pPr>
      <w:r>
        <w:rPr>
          <w:rStyle w:val="normalChar"/>
          <w:color w:val="000000"/>
        </w:rPr>
        <w:t>Résistance au gel : oui</w:t>
      </w:r>
    </w:p>
    <w:p w14:paraId="599A7CE2" w14:textId="77777777" w:rsidR="00DB2B68" w:rsidRDefault="00000000">
      <w:r>
        <w:br/>
      </w:r>
      <w:r>
        <w:rPr>
          <w:rStyle w:val="headingChar"/>
        </w:rPr>
        <w:t>Critères De Performances De La Paroi</w:t>
      </w:r>
    </w:p>
    <w:p w14:paraId="16B5CECF" w14:textId="77777777" w:rsidR="00DB2B68" w:rsidRDefault="00000000">
      <w:r>
        <w:t>Coefficient de transmission :</w:t>
      </w:r>
    </w:p>
    <w:p w14:paraId="57CB9378" w14:textId="77777777" w:rsidR="00DB2B68" w:rsidRDefault="00000000">
      <w:pPr>
        <w:pStyle w:val="Author-eListParagraph"/>
        <w:numPr>
          <w:ilvl w:val="0"/>
          <w:numId w:val="83"/>
        </w:numPr>
      </w:pPr>
      <w:r>
        <w:t xml:space="preserve">valeur U minimale de </w:t>
      </w:r>
      <w:r>
        <w:rPr>
          <w:rStyle w:val="optioncarChar"/>
        </w:rPr>
        <w:t>***</w:t>
      </w:r>
      <w:r>
        <w:t xml:space="preserve"> W/m²K</w:t>
      </w:r>
    </w:p>
    <w:p w14:paraId="37E54C3E" w14:textId="77777777" w:rsidR="00DB2B68" w:rsidRDefault="00000000">
      <w:pPr>
        <w:pStyle w:val="Author-eListParagraph"/>
        <w:numPr>
          <w:ilvl w:val="0"/>
          <w:numId w:val="8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2AAC4B5" w14:textId="77777777" w:rsidR="00DB2B68" w:rsidRDefault="00000000">
      <w:r>
        <w:br/>
        <w:t>Résistance au feu :</w:t>
      </w:r>
    </w:p>
    <w:p w14:paraId="1C4939F5" w14:textId="77777777" w:rsidR="00DB2B68" w:rsidRDefault="00000000">
      <w:pPr>
        <w:pStyle w:val="Author-eListParagraph"/>
        <w:numPr>
          <w:ilvl w:val="0"/>
          <w:numId w:val="84"/>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40413C8D" w14:textId="77777777" w:rsidR="00DB2B68" w:rsidRDefault="00000000">
      <w:pPr>
        <w:pStyle w:val="Author-eListParagraph"/>
        <w:numPr>
          <w:ilvl w:val="0"/>
          <w:numId w:val="84"/>
        </w:numPr>
      </w:pPr>
      <w:r>
        <w:t xml:space="preserve">pour les éléments porteurs structurels avec fonction séparante : </w:t>
      </w:r>
      <w:r>
        <w:rPr>
          <w:rStyle w:val="optioncarChar"/>
        </w:rPr>
        <w:t>REI30</w:t>
      </w:r>
      <w:r>
        <w:t> (par défaut)</w:t>
      </w:r>
      <w:r>
        <w:rPr>
          <w:rStyle w:val="optioncarChar"/>
        </w:rPr>
        <w:t xml:space="preserve"> / REI60 / REI90 / REI120 / REI*** </w:t>
      </w:r>
    </w:p>
    <w:p w14:paraId="21BCD12E" w14:textId="77777777" w:rsidR="00DB2B68" w:rsidRDefault="00000000">
      <w:r>
        <w:t>selon les tableaux dans [NBN EN 1996-1-2 ANB].</w:t>
      </w:r>
    </w:p>
    <w:p w14:paraId="63B19106" w14:textId="77777777" w:rsidR="00DB2B68" w:rsidRDefault="00000000">
      <w:pPr>
        <w:pStyle w:val="pheading"/>
      </w:pPr>
      <w:r>
        <w:t>- Finitions</w:t>
      </w:r>
    </w:p>
    <w:p w14:paraId="2E157FAD" w14:textId="77777777" w:rsidR="00DB2B68" w:rsidRDefault="00000000">
      <w:pPr>
        <w:pStyle w:val="Author-eListParagraph"/>
        <w:numPr>
          <w:ilvl w:val="0"/>
          <w:numId w:val="85"/>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09CFEA4A" w14:textId="77777777" w:rsidR="00DB2B68" w:rsidRDefault="00000000">
      <w:pPr>
        <w:pStyle w:val="Author-eListParagraph"/>
        <w:numPr>
          <w:ilvl w:val="0"/>
          <w:numId w:val="85"/>
        </w:numPr>
      </w:pPr>
      <w:r>
        <w:t xml:space="preserve">Les murs suivants sont exécutés avec une face restant apparente : </w:t>
      </w:r>
      <w:r>
        <w:rPr>
          <w:rStyle w:val="optioncarChar"/>
        </w:rPr>
        <w:t>***</w:t>
      </w:r>
    </w:p>
    <w:p w14:paraId="085BD594" w14:textId="77777777" w:rsidR="00DB2B68" w:rsidRDefault="00000000">
      <w:pPr>
        <w:pStyle w:val="Author-eListParagraph"/>
        <w:numPr>
          <w:ilvl w:val="0"/>
          <w:numId w:val="85"/>
        </w:numPr>
      </w:pPr>
      <w:r>
        <w:lastRenderedPageBreak/>
        <w:t xml:space="preserve">Les murs suivants sont exécutés avec deux faces restant apparentes : </w:t>
      </w:r>
      <w:r>
        <w:rPr>
          <w:rStyle w:val="optioncarChar"/>
        </w:rPr>
        <w:t>***</w:t>
      </w:r>
    </w:p>
    <w:p w14:paraId="461D4730" w14:textId="77777777" w:rsidR="00DB2B68" w:rsidRDefault="00000000">
      <w:pPr>
        <w:pStyle w:val="pheading"/>
      </w:pPr>
      <w:r>
        <w:t>MESURAGE</w:t>
      </w:r>
    </w:p>
    <w:p w14:paraId="6C40CDA8" w14:textId="77777777" w:rsidR="00DB2B68" w:rsidRDefault="00000000">
      <w:pPr>
        <w:pStyle w:val="pheading"/>
      </w:pPr>
      <w:r>
        <w:t>- unité de mesure:</w:t>
      </w:r>
    </w:p>
    <w:p w14:paraId="0D1EA257" w14:textId="77777777" w:rsidR="00DB2B68" w:rsidRDefault="00000000">
      <w:r>
        <w:rPr>
          <w:rStyle w:val="optioncarChar"/>
        </w:rPr>
        <w:t>m³ </w:t>
      </w:r>
      <w:r>
        <w:t>(par défaut)</w:t>
      </w:r>
      <w:r>
        <w:rPr>
          <w:rStyle w:val="optioncarChar"/>
        </w:rPr>
        <w:t> / m²</w:t>
      </w:r>
    </w:p>
    <w:p w14:paraId="6B46A444" w14:textId="77777777" w:rsidR="00DB2B68" w:rsidRDefault="00000000">
      <w:r>
        <w:rPr>
          <w:b/>
        </w:rPr>
        <w:t>(soit par défaut)</w:t>
      </w:r>
    </w:p>
    <w:p w14:paraId="1018BB8B" w14:textId="77777777" w:rsidR="00DB2B68" w:rsidRDefault="00000000">
      <w:r>
        <w:rPr>
          <w:rStyle w:val="soitChar"/>
        </w:rPr>
        <w:t>1. m³</w:t>
      </w:r>
    </w:p>
    <w:p w14:paraId="1FDF7A45" w14:textId="77777777" w:rsidR="00DB2B68" w:rsidRDefault="00000000">
      <w:r>
        <w:rPr>
          <w:b/>
        </w:rPr>
        <w:t>(soit)</w:t>
      </w:r>
    </w:p>
    <w:p w14:paraId="5B627A70" w14:textId="77777777" w:rsidR="00DB2B68" w:rsidRDefault="00000000">
      <w:r>
        <w:rPr>
          <w:rStyle w:val="soitChar"/>
        </w:rPr>
        <w:t>2. m²</w:t>
      </w:r>
    </w:p>
    <w:p w14:paraId="6BFFFE91" w14:textId="77777777" w:rsidR="00DB2B68" w:rsidRDefault="00000000">
      <w:pPr>
        <w:pStyle w:val="pheading"/>
      </w:pPr>
      <w:r>
        <w:t>- code de mesurage:</w:t>
      </w:r>
    </w:p>
    <w:p w14:paraId="56D5DF62"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5E7A337"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26D7569"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3C3DFD5C" w14:textId="77777777" w:rsidR="00DB2B68" w:rsidRDefault="00DB2B68"/>
    <w:p w14:paraId="312D7F74" w14:textId="77777777" w:rsidR="00DB2B68" w:rsidRDefault="00000000">
      <w:r>
        <w:rPr>
          <w:rStyle w:val="optioncarChar"/>
        </w:rPr>
        <w:t>Volume net </w:t>
      </w:r>
      <w:r>
        <w:t>(par défaut)</w:t>
      </w:r>
      <w:r>
        <w:rPr>
          <w:rStyle w:val="optioncarChar"/>
        </w:rPr>
        <w:t> / Surface nette</w:t>
      </w:r>
    </w:p>
    <w:p w14:paraId="397F4521" w14:textId="77777777" w:rsidR="00DB2B68" w:rsidRDefault="00000000">
      <w:r>
        <w:rPr>
          <w:b/>
        </w:rPr>
        <w:t>(soit par défaut)</w:t>
      </w:r>
    </w:p>
    <w:p w14:paraId="628BE179"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B55BAAC" w14:textId="77777777" w:rsidR="00DB2B68" w:rsidRDefault="00000000">
      <w:r>
        <w:rPr>
          <w:b/>
        </w:rPr>
        <w:t>(soit)</w:t>
      </w:r>
    </w:p>
    <w:p w14:paraId="12E7188D"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6A59850" w14:textId="77777777" w:rsidR="00DB2B68" w:rsidRDefault="00000000">
      <w:pPr>
        <w:pStyle w:val="pheading"/>
      </w:pPr>
      <w:r>
        <w:t>- nature du marché:</w:t>
      </w:r>
    </w:p>
    <w:p w14:paraId="59D10CA7" w14:textId="77777777" w:rsidR="00DB2B68" w:rsidRDefault="00000000">
      <w:r>
        <w:t>QF</w:t>
      </w:r>
    </w:p>
    <w:p w14:paraId="43DF4978" w14:textId="77777777" w:rsidR="00DB2B68" w:rsidRDefault="00000000">
      <w:pPr>
        <w:pStyle w:val="Author-eSectionHeading6Numberless"/>
      </w:pPr>
      <w:bookmarkStart w:id="49" w:name="_Toc220495212"/>
      <w:r>
        <w:t>21.12.4b Maçonneries portantes en blocs de béton pleins à coller CCTB 01.13</w:t>
      </w:r>
      <w:bookmarkEnd w:id="49"/>
    </w:p>
    <w:p w14:paraId="68126286" w14:textId="77777777" w:rsidR="00DB2B68" w:rsidRDefault="00000000">
      <w:pPr>
        <w:pStyle w:val="pheading"/>
      </w:pPr>
      <w:r>
        <w:t>DESCRIPTION</w:t>
      </w:r>
    </w:p>
    <w:p w14:paraId="245A9808" w14:textId="77777777" w:rsidR="00DB2B68" w:rsidRDefault="00000000">
      <w:pPr>
        <w:pStyle w:val="pheading"/>
      </w:pPr>
      <w:r>
        <w:t>- Définition / Comprend</w:t>
      </w:r>
    </w:p>
    <w:p w14:paraId="42872D38" w14:textId="77777777" w:rsidR="00DB2B68" w:rsidRDefault="00000000">
      <w:r>
        <w:t xml:space="preserve">Il s’agit de la fourniture et la pose de maçonneries portantes en blocs de béton pleins à coller. </w:t>
      </w:r>
      <w:r>
        <w:br/>
        <w:t xml:space="preserve">La portée des travaux est décrite dans l’article </w:t>
      </w:r>
      <w:hyperlink w:anchor="371" w:history="1">
        <w:r>
          <w:rPr>
            <w:color w:val="0000EE"/>
          </w:rPr>
          <w:t>21.12.4 Maçonneries portantes en blocs de béton</w:t>
        </w:r>
      </w:hyperlink>
      <w:r>
        <w:t>.</w:t>
      </w:r>
      <w:r>
        <w:br/>
        <w:t>Les travaux comprennent également la fourniture et la pose des pièces d’angle, de terminaison et de rencontre.</w:t>
      </w:r>
    </w:p>
    <w:p w14:paraId="56DE8DAA" w14:textId="77777777" w:rsidR="00DB2B68" w:rsidRDefault="00000000">
      <w:pPr>
        <w:pStyle w:val="pheading"/>
      </w:pPr>
      <w:r>
        <w:t>- Localisation</w:t>
      </w:r>
    </w:p>
    <w:p w14:paraId="32EDA82C" w14:textId="77777777" w:rsidR="00DB2B68" w:rsidRDefault="00000000">
      <w:r>
        <w:lastRenderedPageBreak/>
        <w:t xml:space="preserve">La pose est réalisée aux endroits suivants : </w:t>
      </w:r>
      <w:r>
        <w:rPr>
          <w:rStyle w:val="optioncarChar"/>
        </w:rPr>
        <w:t>***</w:t>
      </w:r>
      <w:r>
        <w:t>.</w:t>
      </w:r>
      <w:r>
        <w:br/>
        <w:t>Voir plans et métrés détaillés.</w:t>
      </w:r>
    </w:p>
    <w:p w14:paraId="62596BA9" w14:textId="77777777" w:rsidR="00DB2B68" w:rsidRDefault="00000000">
      <w:pPr>
        <w:pStyle w:val="pheading"/>
      </w:pPr>
      <w:r>
        <w:t>MATÉRIAUX</w:t>
      </w:r>
    </w:p>
    <w:p w14:paraId="1B841DC5" w14:textId="77777777" w:rsidR="00DB2B68" w:rsidRDefault="00000000">
      <w:pPr>
        <w:pStyle w:val="pheading"/>
      </w:pPr>
      <w:r>
        <w:t>- Caractéristiques générales</w:t>
      </w:r>
    </w:p>
    <w:p w14:paraId="3676CD35" w14:textId="77777777" w:rsidR="00DB2B68" w:rsidRDefault="00000000">
      <w:r>
        <w:rPr>
          <w:rStyle w:val="headingChar"/>
        </w:rPr>
        <w:t>Spécifications</w:t>
      </w:r>
    </w:p>
    <w:p w14:paraId="06AB3E67" w14:textId="77777777" w:rsidR="00DB2B68" w:rsidRDefault="00000000">
      <w:r>
        <w:rPr>
          <w:u w:val="single"/>
        </w:rPr>
        <w:t>Blocs</w:t>
      </w:r>
    </w:p>
    <w:p w14:paraId="7285A837" w14:textId="77777777" w:rsidR="00DB2B68" w:rsidRDefault="00000000">
      <w:r>
        <w:t>En ce qui concerne la déclaration de la résistance à la compression, les blocs sont de catégorie I (la résistance à la compression est déclarée avec une fiabilité de 95 %).</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w:t>
      </w:r>
    </w:p>
    <w:p w14:paraId="0C934C08" w14:textId="77777777" w:rsidR="00DB2B68" w:rsidRDefault="00000000">
      <w: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9D880BD" w14:textId="77777777" w:rsidR="00DB2B68"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(par défaut)</w:t>
      </w:r>
      <w:r>
        <w:rPr>
          <w:rStyle w:val="optioncarChar"/>
        </w:rPr>
        <w:t xml:space="preserve"> / A2***</w:t>
      </w:r>
    </w:p>
    <w:p w14:paraId="51CF7E1E" w14:textId="77777777" w:rsidR="00DB2B68" w:rsidRDefault="00000000">
      <w:pPr>
        <w:spacing w:before="0" w:after="0"/>
      </w:pPr>
      <w:r>
        <w:rPr>
          <w:u w:val="single"/>
        </w:rPr>
        <w:t>Mortier</w:t>
      </w:r>
    </w:p>
    <w:p w14:paraId="20262C3A" w14:textId="77777777" w:rsidR="00DB2B68" w:rsidRDefault="00000000">
      <w:pPr>
        <w:spacing w:before="0" w:after="0"/>
      </w:pPr>
      <w:r>
        <w:rPr>
          <w:rStyle w:val="normalChar"/>
          <w:color w:val="000000"/>
        </w:rPr>
        <w:t>Classe de résistance :</w:t>
      </w:r>
      <w:r>
        <w:rPr>
          <w:rStyle w:val="optioncarChar"/>
        </w:rPr>
        <w:t xml:space="preserve">M1 / M2,5 / M5 </w:t>
      </w:r>
      <w:r>
        <w:t>(par défaut)</w:t>
      </w:r>
      <w:r>
        <w:rPr>
          <w:rStyle w:val="optioncarChar"/>
        </w:rPr>
        <w:t xml:space="preserve"> / M10 / M15 / M20 </w:t>
      </w:r>
    </w:p>
    <w:p w14:paraId="737B730D"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1F9AC96" w14:textId="77777777" w:rsidR="00DB2B68" w:rsidRDefault="00000000">
      <w:pPr>
        <w:spacing w:before="0" w:after="0"/>
      </w:pPr>
      <w:r>
        <w:rPr>
          <w:rStyle w:val="normalChar"/>
          <w:color w:val="000000"/>
        </w:rPr>
        <w:t>Résistance au gel : oui</w:t>
      </w:r>
    </w:p>
    <w:p w14:paraId="425EE1DD" w14:textId="77777777" w:rsidR="00DB2B68" w:rsidRDefault="00000000">
      <w:pPr>
        <w:spacing w:before="0" w:after="0"/>
      </w:pPr>
      <w:r>
        <w:br/>
      </w:r>
      <w:r>
        <w:rPr>
          <w:rStyle w:val="headingChar"/>
        </w:rPr>
        <w:t>Critères De Performances De La Paroi</w:t>
      </w:r>
    </w:p>
    <w:p w14:paraId="4D0BC04A" w14:textId="77777777" w:rsidR="00DB2B68" w:rsidRDefault="00000000">
      <w:r>
        <w:t>Coefficient de transmission :</w:t>
      </w:r>
    </w:p>
    <w:p w14:paraId="56DCAB07" w14:textId="77777777" w:rsidR="00DB2B68" w:rsidRDefault="00000000">
      <w:pPr>
        <w:pStyle w:val="Author-eListParagraph"/>
        <w:numPr>
          <w:ilvl w:val="0"/>
          <w:numId w:val="86"/>
        </w:numPr>
      </w:pPr>
      <w:r>
        <w:t xml:space="preserve">valeur U minimale de </w:t>
      </w:r>
      <w:r>
        <w:rPr>
          <w:rStyle w:val="optioncarChar"/>
        </w:rPr>
        <w:t>***</w:t>
      </w:r>
      <w:r>
        <w:t xml:space="preserve"> W/m²K</w:t>
      </w:r>
    </w:p>
    <w:p w14:paraId="6A9A04B5" w14:textId="77777777" w:rsidR="00DB2B68" w:rsidRDefault="00000000">
      <w:pPr>
        <w:pStyle w:val="Author-eListParagraph"/>
        <w:numPr>
          <w:ilvl w:val="0"/>
          <w:numId w:val="8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1B37370" w14:textId="77777777" w:rsidR="00DB2B68" w:rsidRDefault="00000000">
      <w:r>
        <w:t>Résistance au feu :</w:t>
      </w:r>
    </w:p>
    <w:p w14:paraId="4C6067CE" w14:textId="77777777" w:rsidR="00DB2B68" w:rsidRDefault="00000000">
      <w:pPr>
        <w:pStyle w:val="Author-eListParagraph"/>
        <w:numPr>
          <w:ilvl w:val="0"/>
          <w:numId w:val="87"/>
        </w:numPr>
      </w:pPr>
      <w:r>
        <w:t xml:space="preserve">pour les éléments porteurs structurels sans fonction séparante : </w:t>
      </w:r>
      <w:r>
        <w:rPr>
          <w:rStyle w:val="optioncarChar"/>
        </w:rPr>
        <w:t>R15 / R30</w:t>
      </w:r>
      <w:r>
        <w:t> (par défaut)</w:t>
      </w:r>
      <w:r>
        <w:rPr>
          <w:rStyle w:val="optioncarChar"/>
        </w:rPr>
        <w:t xml:space="preserve"> / R60 / R90 / R120 / R240 / ***</w:t>
      </w:r>
    </w:p>
    <w:p w14:paraId="297B14B1" w14:textId="77777777" w:rsidR="00DB2B68" w:rsidRDefault="00000000">
      <w:pPr>
        <w:pStyle w:val="Author-eListParagraph"/>
        <w:numPr>
          <w:ilvl w:val="0"/>
          <w:numId w:val="87"/>
        </w:numPr>
      </w:pPr>
      <w:r>
        <w:t xml:space="preserve">pour les éléments porteurs structurels avec fonction séparante : </w:t>
      </w:r>
      <w:r>
        <w:rPr>
          <w:rStyle w:val="optioncarChar"/>
        </w:rPr>
        <w:t>REI30 </w:t>
      </w:r>
      <w:r>
        <w:t>(par défaut)</w:t>
      </w:r>
      <w:r>
        <w:rPr>
          <w:rStyle w:val="optioncarChar"/>
        </w:rPr>
        <w:t xml:space="preserve"> / REI60 / REI90 / REI120 / REI 240 / ***</w:t>
      </w:r>
    </w:p>
    <w:p w14:paraId="71D58F62" w14:textId="77777777" w:rsidR="00DB2B68" w:rsidRDefault="00000000">
      <w:r>
        <w:t>Selon les tableaux dans [NBN EN 1996-1-2 ANB]. </w:t>
      </w:r>
    </w:p>
    <w:p w14:paraId="28EA8E93" w14:textId="77777777" w:rsidR="00DB2B68" w:rsidRDefault="00000000">
      <w:r>
        <w:lastRenderedPageBreak/>
        <w:t>Prescriptions complémentaires :</w:t>
      </w:r>
    </w:p>
    <w:p w14:paraId="496C6D80" w14:textId="77777777" w:rsidR="00DB2B68" w:rsidRDefault="00000000">
      <w:pPr>
        <w:pStyle w:val="Author-eListParagraph"/>
        <w:numPr>
          <w:ilvl w:val="0"/>
          <w:numId w:val="88"/>
        </w:numPr>
      </w:pPr>
      <w:r>
        <w:t xml:space="preserve">Résistance à la compression : </w:t>
      </w:r>
      <w:r>
        <w:rPr>
          <w:rStyle w:val="optioncarChar"/>
        </w:rPr>
        <w:t>15 / ***</w:t>
      </w:r>
      <w:r>
        <w:t xml:space="preserve"> N/mm²</w:t>
      </w:r>
    </w:p>
    <w:p w14:paraId="5FB1A802" w14:textId="77777777" w:rsidR="00DB2B68" w:rsidRDefault="00000000">
      <w:pPr>
        <w:pStyle w:val="Author-eListParagraph"/>
        <w:numPr>
          <w:ilvl w:val="0"/>
          <w:numId w:val="88"/>
        </w:numPr>
      </w:pPr>
      <w:r>
        <w:t xml:space="preserve">Classification types de briques de maçonnerie suivant [NBN EN 771-3+A1] : </w:t>
      </w:r>
      <w:r>
        <w:rPr>
          <w:rStyle w:val="optioncarChar"/>
        </w:rPr>
        <w:t>A2-C-D / ***</w:t>
      </w:r>
    </w:p>
    <w:p w14:paraId="3D872CC5" w14:textId="77777777" w:rsidR="00DB2B68" w:rsidRDefault="00000000">
      <w:pPr>
        <w:pStyle w:val="pheading"/>
      </w:pPr>
      <w:r>
        <w:t>- Finitions</w:t>
      </w:r>
    </w:p>
    <w:p w14:paraId="05CD4575" w14:textId="77777777" w:rsidR="00DB2B68" w:rsidRDefault="00000000">
      <w:pPr>
        <w:pStyle w:val="Author-eListParagraph"/>
        <w:numPr>
          <w:ilvl w:val="0"/>
          <w:numId w:val="89"/>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2EEE3C59" w14:textId="77777777" w:rsidR="00DB2B68" w:rsidRDefault="00000000">
      <w:pPr>
        <w:pStyle w:val="Author-eListParagraph"/>
        <w:numPr>
          <w:ilvl w:val="0"/>
          <w:numId w:val="89"/>
        </w:numPr>
      </w:pPr>
      <w:r>
        <w:t xml:space="preserve">Les murs suivants sont exécutés avec une face restant apparente : </w:t>
      </w:r>
      <w:r>
        <w:rPr>
          <w:rStyle w:val="optioncarChar"/>
        </w:rPr>
        <w:t>***</w:t>
      </w:r>
    </w:p>
    <w:p w14:paraId="048DE792" w14:textId="77777777" w:rsidR="00DB2B68" w:rsidRDefault="00000000">
      <w:pPr>
        <w:pStyle w:val="Author-eListParagraph"/>
        <w:numPr>
          <w:ilvl w:val="0"/>
          <w:numId w:val="89"/>
        </w:numPr>
      </w:pPr>
      <w:r>
        <w:t xml:space="preserve">Les murs suivants sont exécutés avec deux faces restant apparentes : </w:t>
      </w:r>
      <w:r>
        <w:rPr>
          <w:rStyle w:val="optioncarChar"/>
        </w:rPr>
        <w:t>***</w:t>
      </w:r>
    </w:p>
    <w:p w14:paraId="52F97938" w14:textId="77777777" w:rsidR="00DB2B68" w:rsidRDefault="00000000">
      <w:pPr>
        <w:pStyle w:val="pheading"/>
      </w:pPr>
      <w:r>
        <w:t>MESURAGE</w:t>
      </w:r>
    </w:p>
    <w:p w14:paraId="47AC477D" w14:textId="77777777" w:rsidR="00DB2B68" w:rsidRDefault="00000000">
      <w:pPr>
        <w:pStyle w:val="pheading"/>
      </w:pPr>
      <w:r>
        <w:t>- unité de mesure:</w:t>
      </w:r>
    </w:p>
    <w:p w14:paraId="373F60B3" w14:textId="77777777" w:rsidR="00DB2B68" w:rsidRDefault="00000000">
      <w:r>
        <w:rPr>
          <w:rStyle w:val="optioncarChar"/>
        </w:rPr>
        <w:t>m³ </w:t>
      </w:r>
      <w:r>
        <w:t>(par défaut)</w:t>
      </w:r>
      <w:r>
        <w:rPr>
          <w:rStyle w:val="optioncarChar"/>
        </w:rPr>
        <w:t> / m²</w:t>
      </w:r>
    </w:p>
    <w:p w14:paraId="156D8826" w14:textId="77777777" w:rsidR="00DB2B68" w:rsidRDefault="00000000">
      <w:r>
        <w:rPr>
          <w:b/>
        </w:rPr>
        <w:t>(soit par défaut)</w:t>
      </w:r>
    </w:p>
    <w:p w14:paraId="260CDA78" w14:textId="77777777" w:rsidR="00DB2B68" w:rsidRDefault="00000000">
      <w:r>
        <w:rPr>
          <w:rStyle w:val="soitChar"/>
        </w:rPr>
        <w:t>1. m³</w:t>
      </w:r>
    </w:p>
    <w:p w14:paraId="5625FE11" w14:textId="77777777" w:rsidR="00DB2B68" w:rsidRDefault="00000000">
      <w:r>
        <w:rPr>
          <w:b/>
        </w:rPr>
        <w:t>(soit)</w:t>
      </w:r>
    </w:p>
    <w:p w14:paraId="0A90AF2A" w14:textId="77777777" w:rsidR="00DB2B68" w:rsidRDefault="00000000">
      <w:r>
        <w:rPr>
          <w:rStyle w:val="soitChar"/>
        </w:rPr>
        <w:t>2. m²</w:t>
      </w:r>
    </w:p>
    <w:p w14:paraId="6B9CA1B1" w14:textId="77777777" w:rsidR="00DB2B68" w:rsidRDefault="00000000">
      <w:pPr>
        <w:pStyle w:val="pheading"/>
      </w:pPr>
      <w:r>
        <w:t>- code de mesurage:</w:t>
      </w:r>
    </w:p>
    <w:p w14:paraId="72F3EF6B" w14:textId="77777777" w:rsidR="00DB2B68" w:rsidRDefault="00000000">
      <w:r>
        <w:t>Les maçonneries sont mesurées en fonction de leur forme géométrique.</w:t>
      </w:r>
      <w:r>
        <w:br/>
        <w:t>La longueur des murs est mesurée dans l'axe de l'élément. Lorsque deux murs se croisent ou se rencontrent, le mur le plus épais est compté. Aucun volume n'est porté deux fois en compte.</w:t>
      </w:r>
      <w:r>
        <w:br/>
        <w:t>Le creux du mur n'est jamais compté.</w:t>
      </w:r>
    </w:p>
    <w:p w14:paraId="1334E046" w14:textId="77777777" w:rsidR="00DB2B68" w:rsidRDefault="00000000">
      <w:r>
        <w:t>Les ouvertures ou les éléments de construction intégrés, dont la superficie est S &gt; 0,50 m², sont déduits. Sont notamment déduits les linteaux et poutres de ceinture, dont la superficie est S &gt;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E8C8F68"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 ≤ 0,12 m². </w:t>
      </w:r>
    </w:p>
    <w:p w14:paraId="2166688B" w14:textId="77777777" w:rsidR="00DB2B68" w:rsidRDefault="00000000">
      <w:r>
        <w:rPr>
          <w:rStyle w:val="optioncarChar"/>
        </w:rPr>
        <w:t>Volume net </w:t>
      </w:r>
      <w:r>
        <w:t>(par défaut)</w:t>
      </w:r>
      <w:r>
        <w:rPr>
          <w:rStyle w:val="optioncarChar"/>
        </w:rPr>
        <w:t> / Surface nette</w:t>
      </w:r>
    </w:p>
    <w:p w14:paraId="70C5555D" w14:textId="77777777" w:rsidR="00DB2B68" w:rsidRDefault="00000000">
      <w:r>
        <w:rPr>
          <w:b/>
        </w:rPr>
        <w:t>(soit par défaut)</w:t>
      </w:r>
    </w:p>
    <w:p w14:paraId="5D68CBD1"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85FF4A8" w14:textId="77777777" w:rsidR="00DB2B68" w:rsidRDefault="00000000">
      <w:r>
        <w:rPr>
          <w:b/>
        </w:rPr>
        <w:t>(soit)</w:t>
      </w:r>
    </w:p>
    <w:p w14:paraId="3439A1CE"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2012E56" w14:textId="77777777" w:rsidR="00DB2B68" w:rsidRDefault="00000000">
      <w:pPr>
        <w:pStyle w:val="pheading"/>
      </w:pPr>
      <w:r>
        <w:t>- nature du marché:</w:t>
      </w:r>
    </w:p>
    <w:p w14:paraId="225B4C32" w14:textId="77777777" w:rsidR="00DB2B68" w:rsidRDefault="00000000">
      <w:r>
        <w:t>QF</w:t>
      </w:r>
    </w:p>
    <w:p w14:paraId="2386E16C" w14:textId="77777777" w:rsidR="00DB2B68" w:rsidRDefault="00000000">
      <w:pPr>
        <w:pStyle w:val="Author-eSectionHeading6Numberless"/>
      </w:pPr>
      <w:bookmarkStart w:id="50" w:name="_Toc220495213"/>
      <w:r>
        <w:t>21.12.4c Maçonneries portantes en blocs de béton creux à maçonner CCTB 01.12</w:t>
      </w:r>
      <w:bookmarkEnd w:id="50"/>
    </w:p>
    <w:p w14:paraId="0882BC1D" w14:textId="77777777" w:rsidR="00DB2B68" w:rsidRDefault="00000000">
      <w:pPr>
        <w:pStyle w:val="pheading"/>
      </w:pPr>
      <w:r>
        <w:t>DESCRIPTION</w:t>
      </w:r>
    </w:p>
    <w:p w14:paraId="1A7749C7" w14:textId="77777777" w:rsidR="00DB2B68" w:rsidRDefault="00000000">
      <w:pPr>
        <w:pStyle w:val="pheading"/>
      </w:pPr>
      <w:r>
        <w:t>- Définition / Comprend</w:t>
      </w:r>
    </w:p>
    <w:p w14:paraId="6D561555" w14:textId="77777777" w:rsidR="00DB2B68" w:rsidRDefault="00000000">
      <w:r>
        <w:lastRenderedPageBreak/>
        <w:t xml:space="preserve">Il s’agit de la fourniture et la pose de maçonneries portantes en blocs de béton creux à maçonner. </w:t>
      </w:r>
      <w:r>
        <w:br/>
        <w:t xml:space="preserve">La portée des travaux est décrite dans l’article </w:t>
      </w:r>
      <w:hyperlink w:anchor="371" w:history="1">
        <w:r>
          <w:rPr>
            <w:color w:val="0000EE"/>
          </w:rPr>
          <w:t>21.12.4 Maçonneries portantes en blocs de béton</w:t>
        </w:r>
      </w:hyperlink>
      <w:r>
        <w:t>.</w:t>
      </w:r>
      <w:r>
        <w:br/>
        <w:t>Les travaux comprennent également la fourniture et la pose des pièces d’angle, de terminaison et de rencontre.</w:t>
      </w:r>
    </w:p>
    <w:p w14:paraId="1A7D4702" w14:textId="77777777" w:rsidR="00DB2B68" w:rsidRDefault="00000000">
      <w:pPr>
        <w:pStyle w:val="pheading"/>
      </w:pPr>
      <w:r>
        <w:t>- Localisation</w:t>
      </w:r>
    </w:p>
    <w:p w14:paraId="5319C535" w14:textId="77777777" w:rsidR="00DB2B68" w:rsidRDefault="00000000">
      <w:r>
        <w:t xml:space="preserve">La pose est réalisée aux endroits suivants : </w:t>
      </w:r>
      <w:r>
        <w:rPr>
          <w:rStyle w:val="optioncarChar"/>
        </w:rPr>
        <w:t>***</w:t>
      </w:r>
      <w:r>
        <w:t>.</w:t>
      </w:r>
      <w:r>
        <w:br/>
        <w:t>Voir plans et métrés détaillés.</w:t>
      </w:r>
    </w:p>
    <w:p w14:paraId="1EAF65E9" w14:textId="77777777" w:rsidR="00DB2B68" w:rsidRDefault="00000000">
      <w:pPr>
        <w:pStyle w:val="pheading"/>
      </w:pPr>
      <w:r>
        <w:t>MATÉRIAUX</w:t>
      </w:r>
    </w:p>
    <w:p w14:paraId="49E56573" w14:textId="77777777" w:rsidR="00DB2B68" w:rsidRDefault="00000000">
      <w:pPr>
        <w:pStyle w:val="pheading"/>
      </w:pPr>
      <w:r>
        <w:t>- Caractéristiques générales</w:t>
      </w:r>
    </w:p>
    <w:p w14:paraId="0071C366" w14:textId="77777777" w:rsidR="00DB2B68" w:rsidRDefault="00000000">
      <w:r>
        <w:rPr>
          <w:rStyle w:val="headingChar"/>
        </w:rPr>
        <w:t>Spécifications</w:t>
      </w:r>
    </w:p>
    <w:p w14:paraId="2761D2A2" w14:textId="77777777" w:rsidR="00DB2B68" w:rsidRDefault="00000000">
      <w:r>
        <w:rPr>
          <w:u w:val="single"/>
        </w:rPr>
        <w:t>Blocs</w:t>
      </w:r>
    </w:p>
    <w:p w14:paraId="6EDA5BA1"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color w:val="000000"/>
        </w:rPr>
        <w:t>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9FA1F78"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Résistance au gel suivant les classes d’application MX… selon [NBN EN 1996-2 ANB] et [NIT 271]: </w:t>
      </w:r>
      <w:r>
        <w:rPr>
          <w:rStyle w:val="optioncarChar"/>
        </w:rPr>
        <w:t>sans résistance au gel / résistance normale au gel (MX3.1) </w:t>
      </w:r>
      <w:r>
        <w:t>(par défaut)</w:t>
      </w:r>
      <w:r>
        <w:rPr>
          <w:rStyle w:val="optioncarChar"/>
        </w:rPr>
        <w:t> / résistance élevée au gel (MX3.2)</w:t>
      </w:r>
      <w:r>
        <w:br/>
      </w:r>
      <w:r>
        <w:br/>
        <w:t xml:space="preserve">Réaction au feu : </w:t>
      </w:r>
      <w:r>
        <w:rPr>
          <w:rStyle w:val="optioncarChar"/>
        </w:rPr>
        <w:t>A1</w:t>
      </w:r>
      <w:r>
        <w:t xml:space="preserve"> (par défaut) </w:t>
      </w:r>
      <w:r>
        <w:rPr>
          <w:rStyle w:val="optioncarChar"/>
        </w:rPr>
        <w:t>/ ***</w:t>
      </w:r>
    </w:p>
    <w:p w14:paraId="1B961716" w14:textId="77777777" w:rsidR="00DB2B68" w:rsidRDefault="00000000">
      <w:pPr>
        <w:spacing w:before="0" w:after="0"/>
      </w:pPr>
      <w:r>
        <w:rPr>
          <w:u w:val="single"/>
        </w:rPr>
        <w:t>Mortier</w:t>
      </w:r>
    </w:p>
    <w:p w14:paraId="68006E52" w14:textId="77777777" w:rsidR="00DB2B68" w:rsidRDefault="00000000">
      <w:pPr>
        <w:spacing w:before="0" w:after="0"/>
      </w:pPr>
      <w:r>
        <w:rPr>
          <w:rStyle w:val="normalChar"/>
          <w:color w:val="000000"/>
        </w:rPr>
        <w:t>Classe de résistance :</w:t>
      </w:r>
      <w:r>
        <w:rPr>
          <w:rStyle w:val="optioncarChar"/>
        </w:rPr>
        <w:t>M1 / M2,5 / M5</w:t>
      </w:r>
      <w:r>
        <w:t xml:space="preserve"> (par défaut) </w:t>
      </w:r>
      <w:r>
        <w:rPr>
          <w:rStyle w:val="optioncarChar"/>
        </w:rPr>
        <w:t xml:space="preserve">/ M10 / M15 / M20 </w:t>
      </w:r>
    </w:p>
    <w:p w14:paraId="73953CFE"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3F51CA1E" w14:textId="77777777" w:rsidR="00DB2B68" w:rsidRDefault="00000000">
      <w:pPr>
        <w:spacing w:before="0" w:after="0"/>
      </w:pPr>
      <w:r>
        <w:rPr>
          <w:rStyle w:val="normalChar"/>
          <w:color w:val="000000"/>
        </w:rPr>
        <w:t>Résistance au gel : oui</w:t>
      </w:r>
    </w:p>
    <w:p w14:paraId="3FC3C5D4" w14:textId="77777777" w:rsidR="00DB2B68" w:rsidRDefault="00000000">
      <w:r>
        <w:br/>
      </w:r>
      <w:r>
        <w:rPr>
          <w:rStyle w:val="headingChar"/>
        </w:rPr>
        <w:t>Critères De Performances De La Paroi</w:t>
      </w:r>
    </w:p>
    <w:p w14:paraId="54892331" w14:textId="77777777" w:rsidR="00DB2B68" w:rsidRDefault="00000000">
      <w:r>
        <w:t>Coefficient de transmission :</w:t>
      </w:r>
    </w:p>
    <w:p w14:paraId="2C17EC17" w14:textId="77777777" w:rsidR="00DB2B68" w:rsidRDefault="00000000">
      <w:pPr>
        <w:pStyle w:val="Author-eListParagraph"/>
        <w:numPr>
          <w:ilvl w:val="0"/>
          <w:numId w:val="90"/>
        </w:numPr>
      </w:pPr>
      <w:r>
        <w:t xml:space="preserve">valeur U minimale de </w:t>
      </w:r>
      <w:r>
        <w:rPr>
          <w:rStyle w:val="optioncarChar"/>
        </w:rPr>
        <w:t>***</w:t>
      </w:r>
      <w:r>
        <w:t xml:space="preserve"> W/m²K</w:t>
      </w:r>
    </w:p>
    <w:p w14:paraId="2CC8E74D" w14:textId="77777777" w:rsidR="00DB2B68" w:rsidRDefault="00000000">
      <w:pPr>
        <w:pStyle w:val="Author-eListParagraph"/>
        <w:numPr>
          <w:ilvl w:val="0"/>
          <w:numId w:val="9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25E509C" w14:textId="77777777" w:rsidR="00DB2B68" w:rsidRDefault="00000000">
      <w:r>
        <w:lastRenderedPageBreak/>
        <w:br/>
        <w:t>Résistance au feu :</w:t>
      </w:r>
    </w:p>
    <w:p w14:paraId="67475021" w14:textId="77777777" w:rsidR="00DB2B68" w:rsidRDefault="00000000">
      <w:pPr>
        <w:pStyle w:val="Author-eListParagraph"/>
        <w:numPr>
          <w:ilvl w:val="0"/>
          <w:numId w:val="91"/>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35D9EB90" w14:textId="77777777" w:rsidR="00DB2B68" w:rsidRDefault="00000000">
      <w:pPr>
        <w:pStyle w:val="Author-eListParagraph"/>
        <w:numPr>
          <w:ilvl w:val="0"/>
          <w:numId w:val="91"/>
        </w:numPr>
      </w:pPr>
      <w:r>
        <w:t xml:space="preserve">pour les éléments porteurs structurels avec fonction séparante : </w:t>
      </w:r>
      <w:r>
        <w:rPr>
          <w:rStyle w:val="optioncarChar"/>
        </w:rPr>
        <w:t xml:space="preserve">REI30 </w:t>
      </w:r>
      <w:r>
        <w:t>(par défaut) </w:t>
      </w:r>
      <w:r>
        <w:rPr>
          <w:rStyle w:val="optioncarChar"/>
        </w:rPr>
        <w:t xml:space="preserve">/ REI60 / REI90 / REI120 / REI*** </w:t>
      </w:r>
    </w:p>
    <w:p w14:paraId="042ECA88" w14:textId="77777777" w:rsidR="00DB2B68" w:rsidRDefault="00000000">
      <w:r>
        <w:t>selon les tableaux dans [NBN EN 1996-1-2 ANB].</w:t>
      </w:r>
    </w:p>
    <w:p w14:paraId="121C875F" w14:textId="77777777" w:rsidR="00DB2B68" w:rsidRDefault="00000000">
      <w:pPr>
        <w:ind w:left="750"/>
      </w:pPr>
      <w:r>
        <w:t> </w:t>
      </w:r>
    </w:p>
    <w:p w14:paraId="6B81F152" w14:textId="77777777" w:rsidR="00DB2B68" w:rsidRDefault="00000000">
      <w:pPr>
        <w:pStyle w:val="pheading"/>
      </w:pPr>
      <w:r>
        <w:t>- Finitions</w:t>
      </w:r>
    </w:p>
    <w:p w14:paraId="7313BE43" w14:textId="77777777" w:rsidR="00DB2B68" w:rsidRDefault="00000000">
      <w:r>
        <w:t xml:space="preserve">Les faces de murs suivantes sont exécutées comme maçonneries apparentes et sont </w:t>
      </w:r>
      <w:r>
        <w:rPr>
          <w:rStyle w:val="optioncarChar"/>
        </w:rPr>
        <w:t xml:space="preserve">rejointoyées </w:t>
      </w:r>
      <w:r>
        <w:t xml:space="preserve">selon </w:t>
      </w:r>
      <w:hyperlink w:anchor="346" w:history="1">
        <w:r>
          <w:rPr>
            <w:color w:val="0000EE"/>
          </w:rP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p>
    <w:p w14:paraId="57770AB2" w14:textId="77777777" w:rsidR="00DB2B68" w:rsidRDefault="00000000">
      <w:pPr>
        <w:pStyle w:val="pheading"/>
      </w:pPr>
      <w:r>
        <w:t>MESURAGE</w:t>
      </w:r>
    </w:p>
    <w:p w14:paraId="0CE24055" w14:textId="77777777" w:rsidR="00DB2B68" w:rsidRDefault="00000000">
      <w:pPr>
        <w:pStyle w:val="pheading"/>
      </w:pPr>
      <w:r>
        <w:t>- unité de mesure:</w:t>
      </w:r>
    </w:p>
    <w:p w14:paraId="5ECAC568" w14:textId="77777777" w:rsidR="00DB2B68" w:rsidRDefault="00000000">
      <w:r>
        <w:rPr>
          <w:rStyle w:val="optioncarChar"/>
        </w:rPr>
        <w:t>m³ </w:t>
      </w:r>
      <w:r>
        <w:t>(par défaut)</w:t>
      </w:r>
      <w:r>
        <w:rPr>
          <w:rStyle w:val="optioncarChar"/>
        </w:rPr>
        <w:t> / m²</w:t>
      </w:r>
    </w:p>
    <w:p w14:paraId="24042064" w14:textId="77777777" w:rsidR="00DB2B68" w:rsidRDefault="00000000">
      <w:r>
        <w:rPr>
          <w:b/>
        </w:rPr>
        <w:t>(soit par défaut)</w:t>
      </w:r>
    </w:p>
    <w:p w14:paraId="4D5B6E99" w14:textId="77777777" w:rsidR="00DB2B68" w:rsidRDefault="00000000">
      <w:r>
        <w:rPr>
          <w:rStyle w:val="soitChar"/>
        </w:rPr>
        <w:t>1. m³</w:t>
      </w:r>
    </w:p>
    <w:p w14:paraId="47AECE5B" w14:textId="77777777" w:rsidR="00DB2B68" w:rsidRDefault="00000000">
      <w:r>
        <w:rPr>
          <w:b/>
        </w:rPr>
        <w:t>(soit)</w:t>
      </w:r>
    </w:p>
    <w:p w14:paraId="182F4CAE" w14:textId="77777777" w:rsidR="00DB2B68" w:rsidRDefault="00000000">
      <w:r>
        <w:rPr>
          <w:rStyle w:val="soitChar"/>
        </w:rPr>
        <w:t>2. m²</w:t>
      </w:r>
    </w:p>
    <w:p w14:paraId="699D7DF5" w14:textId="77777777" w:rsidR="00DB2B68" w:rsidRDefault="00000000">
      <w:pPr>
        <w:pStyle w:val="pheading"/>
      </w:pPr>
      <w:r>
        <w:t>- code de mesurage:</w:t>
      </w:r>
    </w:p>
    <w:p w14:paraId="59F61C89"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1B18943"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2EBB2D9"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738EAB3" w14:textId="77777777" w:rsidR="00DB2B68" w:rsidRDefault="00DB2B68"/>
    <w:p w14:paraId="6D90B3E2" w14:textId="77777777" w:rsidR="00DB2B68" w:rsidRDefault="00000000">
      <w:r>
        <w:rPr>
          <w:rStyle w:val="optioncarChar"/>
        </w:rPr>
        <w:t>Volume net </w:t>
      </w:r>
      <w:r>
        <w:t>(par défaut)</w:t>
      </w:r>
      <w:r>
        <w:rPr>
          <w:rStyle w:val="optioncarChar"/>
        </w:rPr>
        <w:t> / Surface nette</w:t>
      </w:r>
    </w:p>
    <w:p w14:paraId="6351E3A7" w14:textId="77777777" w:rsidR="00DB2B68" w:rsidRDefault="00000000">
      <w:r>
        <w:rPr>
          <w:b/>
        </w:rPr>
        <w:t>(soit par défaut)</w:t>
      </w:r>
    </w:p>
    <w:p w14:paraId="579775ED"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893F364" w14:textId="77777777" w:rsidR="00DB2B68" w:rsidRDefault="00000000">
      <w:r>
        <w:rPr>
          <w:b/>
        </w:rPr>
        <w:t>(soit)</w:t>
      </w:r>
    </w:p>
    <w:p w14:paraId="0EED2B8F"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BACB377" w14:textId="77777777" w:rsidR="00DB2B68" w:rsidRDefault="00000000">
      <w:pPr>
        <w:ind w:left="750"/>
      </w:pPr>
      <w:r>
        <w:lastRenderedPageBreak/>
        <w:t> </w:t>
      </w:r>
    </w:p>
    <w:p w14:paraId="6B6D9DA4" w14:textId="77777777" w:rsidR="00DB2B68" w:rsidRDefault="00000000">
      <w:pPr>
        <w:pStyle w:val="pheading"/>
      </w:pPr>
      <w:r>
        <w:t>- nature du marché:</w:t>
      </w:r>
    </w:p>
    <w:p w14:paraId="67458C5E" w14:textId="77777777" w:rsidR="00DB2B68" w:rsidRDefault="00000000">
      <w:r>
        <w:t>QF</w:t>
      </w:r>
    </w:p>
    <w:p w14:paraId="7226F2A6" w14:textId="77777777" w:rsidR="00DB2B68" w:rsidRDefault="00000000">
      <w:pPr>
        <w:pStyle w:val="Author-eSectionHeading6Numberless"/>
      </w:pPr>
      <w:bookmarkStart w:id="51" w:name="_Toc220495214"/>
      <w:r>
        <w:t>21.12.4d Maçonneries portantes en blocs de béton creux à coller CCTB 01.13</w:t>
      </w:r>
      <w:bookmarkEnd w:id="51"/>
    </w:p>
    <w:p w14:paraId="5B37B7D9" w14:textId="77777777" w:rsidR="00DB2B68" w:rsidRDefault="00000000">
      <w:pPr>
        <w:pStyle w:val="pheading"/>
      </w:pPr>
      <w:r>
        <w:t>DESCRIPTION</w:t>
      </w:r>
    </w:p>
    <w:p w14:paraId="0394EF41" w14:textId="77777777" w:rsidR="00DB2B68" w:rsidRDefault="00000000">
      <w:pPr>
        <w:pStyle w:val="pheading"/>
      </w:pPr>
      <w:r>
        <w:t>- Définition / Comprend</w:t>
      </w:r>
    </w:p>
    <w:p w14:paraId="03AB47EA" w14:textId="77777777" w:rsidR="00DB2B68" w:rsidRDefault="00000000">
      <w:r>
        <w:t xml:space="preserve">Il s’agit de la fourniture et la pose de maçonneries portantes en blocs de béton creux à coller. </w:t>
      </w:r>
      <w:r>
        <w:br/>
        <w:t xml:space="preserve">La portée des travaux est décrite dans l’article </w:t>
      </w:r>
      <w:hyperlink w:anchor="371" w:history="1">
        <w:r>
          <w:rPr>
            <w:color w:val="0000EE"/>
          </w:rPr>
          <w:t>21.12.4 Maçonneries portantes en blocs de béton</w:t>
        </w:r>
      </w:hyperlink>
      <w:r>
        <w:t>.</w:t>
      </w:r>
      <w:r>
        <w:br/>
        <w:t>Les travaux comprennent également la fourniture et la pose des pièces d’angle, de terminaison et de rencontre.</w:t>
      </w:r>
    </w:p>
    <w:p w14:paraId="5CF2916E" w14:textId="77777777" w:rsidR="00DB2B68" w:rsidRDefault="00000000">
      <w:pPr>
        <w:pStyle w:val="pheading"/>
      </w:pPr>
      <w:r>
        <w:t>- Localisation</w:t>
      </w:r>
    </w:p>
    <w:p w14:paraId="60C2165B" w14:textId="77777777" w:rsidR="00DB2B68" w:rsidRDefault="00000000">
      <w:r>
        <w:t>La pose est réalisée aux endroits suivants :</w:t>
      </w:r>
      <w:r>
        <w:rPr>
          <w:rStyle w:val="optioncarChar"/>
        </w:rPr>
        <w:t xml:space="preserve"> ***</w:t>
      </w:r>
      <w:r>
        <w:t>.</w:t>
      </w:r>
      <w:r>
        <w:br/>
        <w:t>Voir plans et métrés détaillés.</w:t>
      </w:r>
    </w:p>
    <w:p w14:paraId="10E08265" w14:textId="77777777" w:rsidR="00DB2B68" w:rsidRDefault="00000000">
      <w:pPr>
        <w:pStyle w:val="pheading"/>
      </w:pPr>
      <w:r>
        <w:t>MATÉRIAUX</w:t>
      </w:r>
    </w:p>
    <w:p w14:paraId="0FF70E4C" w14:textId="77777777" w:rsidR="00DB2B68" w:rsidRDefault="00000000">
      <w:pPr>
        <w:pStyle w:val="pheading"/>
      </w:pPr>
      <w:r>
        <w:t>- Caractéristiques générales</w:t>
      </w:r>
    </w:p>
    <w:p w14:paraId="13EC3687" w14:textId="77777777" w:rsidR="00DB2B68" w:rsidRDefault="00000000">
      <w:r>
        <w:rPr>
          <w:rStyle w:val="headingChar"/>
        </w:rPr>
        <w:t>Spécifications</w:t>
      </w:r>
    </w:p>
    <w:p w14:paraId="67F4A65E" w14:textId="77777777" w:rsidR="00DB2B68" w:rsidRDefault="00000000">
      <w:r>
        <w:rPr>
          <w:u w:val="single"/>
        </w:rPr>
        <w:t>Blocs</w:t>
      </w:r>
    </w:p>
    <w:p w14:paraId="2F9F4F5F"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w:t>
      </w:r>
      <w:r>
        <w:rPr>
          <w:rStyle w:val="optioncarChar"/>
        </w:rPr>
        <w:t xml:space="preserve"> 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DB4C695" w14:textId="77777777" w:rsidR="00DB2B68"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(par défaut)</w:t>
      </w:r>
      <w:r>
        <w:rPr>
          <w:rStyle w:val="optioncarChar"/>
        </w:rPr>
        <w:t xml:space="preserve"> / ***</w:t>
      </w:r>
    </w:p>
    <w:p w14:paraId="6B32F826" w14:textId="77777777" w:rsidR="00DB2B68" w:rsidRDefault="00000000">
      <w:pPr>
        <w:spacing w:before="0" w:after="0"/>
      </w:pPr>
      <w:r>
        <w:rPr>
          <w:u w:val="single"/>
        </w:rPr>
        <w:t>Mortier</w:t>
      </w:r>
    </w:p>
    <w:p w14:paraId="1D66C896"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0B29E2DC" w14:textId="77777777" w:rsidR="00DB2B68" w:rsidRDefault="00000000">
      <w:pPr>
        <w:spacing w:before="0" w:after="0"/>
      </w:pPr>
      <w:r>
        <w:rPr>
          <w:rStyle w:val="normalChar"/>
          <w:color w:val="000000"/>
        </w:rPr>
        <w:lastRenderedPageBreak/>
        <w:t>Adhérence en cisaillement :</w:t>
      </w:r>
      <w:r>
        <w:rPr>
          <w:rStyle w:val="optioncarChar"/>
        </w:rPr>
        <w:t xml:space="preserve"> ≥ 0,10 N/mm² / ≥ 0,15 N/mm²</w:t>
      </w:r>
      <w:r>
        <w:t xml:space="preserve"> (par défaut)</w:t>
      </w:r>
      <w:r>
        <w:rPr>
          <w:rStyle w:val="optioncarChar"/>
        </w:rPr>
        <w:t xml:space="preserve"> / non spécifié / ***</w:t>
      </w:r>
    </w:p>
    <w:p w14:paraId="60F0C685" w14:textId="77777777" w:rsidR="00DB2B68" w:rsidRDefault="00000000">
      <w:pPr>
        <w:spacing w:before="0" w:after="0"/>
      </w:pPr>
      <w:r>
        <w:rPr>
          <w:rStyle w:val="normalChar"/>
          <w:color w:val="000000"/>
        </w:rPr>
        <w:t>Résistance au gel : oui</w:t>
      </w:r>
    </w:p>
    <w:p w14:paraId="0FFCC9CA" w14:textId="77777777" w:rsidR="00DB2B68" w:rsidRDefault="00000000">
      <w:r>
        <w:br/>
      </w:r>
      <w:r>
        <w:rPr>
          <w:rStyle w:val="headingChar"/>
        </w:rPr>
        <w:t>Critères De Performances De La Paroi</w:t>
      </w:r>
    </w:p>
    <w:p w14:paraId="6FD60C51" w14:textId="77777777" w:rsidR="00DB2B68" w:rsidRDefault="00000000">
      <w:r>
        <w:t>Coefficient de transmission :</w:t>
      </w:r>
    </w:p>
    <w:p w14:paraId="01A379A3" w14:textId="77777777" w:rsidR="00DB2B68" w:rsidRDefault="00000000">
      <w:pPr>
        <w:pStyle w:val="Author-eListParagraph"/>
        <w:numPr>
          <w:ilvl w:val="0"/>
          <w:numId w:val="92"/>
        </w:numPr>
      </w:pPr>
      <w:r>
        <w:t xml:space="preserve">valeur U minimale de </w:t>
      </w:r>
      <w:r>
        <w:rPr>
          <w:rStyle w:val="optioncarChar"/>
        </w:rPr>
        <w:t>***</w:t>
      </w:r>
      <w:r>
        <w:t xml:space="preserve"> W/m²K</w:t>
      </w:r>
    </w:p>
    <w:p w14:paraId="777E1F94" w14:textId="77777777" w:rsidR="00DB2B68" w:rsidRDefault="00000000">
      <w:pPr>
        <w:pStyle w:val="Author-eListParagraph"/>
        <w:numPr>
          <w:ilvl w:val="0"/>
          <w:numId w:val="9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C8E67E7" w14:textId="77777777" w:rsidR="00DB2B68" w:rsidRDefault="00000000">
      <w:r>
        <w:br/>
        <w:t>Résistance au feu :</w:t>
      </w:r>
    </w:p>
    <w:p w14:paraId="3E34E6F4" w14:textId="77777777" w:rsidR="00DB2B68" w:rsidRDefault="00000000">
      <w:pPr>
        <w:pStyle w:val="Author-eListParagraph"/>
        <w:numPr>
          <w:ilvl w:val="0"/>
          <w:numId w:val="93"/>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0E8CF6E9" w14:textId="77777777" w:rsidR="00DB2B68" w:rsidRDefault="00000000">
      <w:pPr>
        <w:pStyle w:val="Author-eListParagraph"/>
        <w:numPr>
          <w:ilvl w:val="0"/>
          <w:numId w:val="93"/>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50E8FB12" w14:textId="77777777" w:rsidR="00DB2B68" w:rsidRDefault="00000000">
      <w:r>
        <w:t>selon les tableaux dans [NBN EN 1996-1-2 ANB].</w:t>
      </w:r>
    </w:p>
    <w:p w14:paraId="14F4C4BF" w14:textId="77777777" w:rsidR="00DB2B68" w:rsidRDefault="00000000">
      <w:pPr>
        <w:ind w:left="750"/>
      </w:pPr>
      <w:r>
        <w:t> </w:t>
      </w:r>
    </w:p>
    <w:p w14:paraId="0D2C99BF" w14:textId="77777777" w:rsidR="00DB2B68" w:rsidRDefault="00000000">
      <w:pPr>
        <w:pStyle w:val="pheading"/>
      </w:pPr>
      <w:r>
        <w:t>- Finitions</w:t>
      </w:r>
    </w:p>
    <w:p w14:paraId="0312FD5F" w14:textId="77777777" w:rsidR="00DB2B68" w:rsidRDefault="00000000">
      <w:pPr>
        <w:pStyle w:val="Author-eListParagraph"/>
        <w:numPr>
          <w:ilvl w:val="0"/>
          <w:numId w:val="94"/>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0A8ED5D8" w14:textId="77777777" w:rsidR="00DB2B68" w:rsidRDefault="00000000">
      <w:pPr>
        <w:pStyle w:val="Author-eListParagraph"/>
        <w:numPr>
          <w:ilvl w:val="0"/>
          <w:numId w:val="94"/>
        </w:numPr>
      </w:pPr>
      <w:r>
        <w:t xml:space="preserve">Les murs suivants sont exécutés avec une face restant apparente : </w:t>
      </w:r>
      <w:r>
        <w:rPr>
          <w:rStyle w:val="optioncarChar"/>
        </w:rPr>
        <w:t>***</w:t>
      </w:r>
    </w:p>
    <w:p w14:paraId="24AE7905" w14:textId="77777777" w:rsidR="00DB2B68" w:rsidRDefault="00000000">
      <w:pPr>
        <w:pStyle w:val="Author-eListParagraph"/>
        <w:numPr>
          <w:ilvl w:val="0"/>
          <w:numId w:val="94"/>
        </w:numPr>
      </w:pPr>
      <w:r>
        <w:t xml:space="preserve">Les murs suivants sont exécutés avec deux faces restant apparentes : </w:t>
      </w:r>
      <w:r>
        <w:rPr>
          <w:rStyle w:val="optioncarChar"/>
        </w:rPr>
        <w:t>***</w:t>
      </w:r>
    </w:p>
    <w:p w14:paraId="54656C1A" w14:textId="77777777" w:rsidR="00DB2B68" w:rsidRDefault="00000000">
      <w:pPr>
        <w:pStyle w:val="pheading"/>
      </w:pPr>
      <w:r>
        <w:t>MESURAGE</w:t>
      </w:r>
    </w:p>
    <w:p w14:paraId="51F11459" w14:textId="77777777" w:rsidR="00DB2B68" w:rsidRDefault="00000000">
      <w:pPr>
        <w:pStyle w:val="pheading"/>
      </w:pPr>
      <w:r>
        <w:t>- unité de mesure:</w:t>
      </w:r>
    </w:p>
    <w:p w14:paraId="28A675E5" w14:textId="77777777" w:rsidR="00DB2B68" w:rsidRDefault="00000000">
      <w:r>
        <w:rPr>
          <w:rStyle w:val="optioncarChar"/>
        </w:rPr>
        <w:t>m³ </w:t>
      </w:r>
      <w:r>
        <w:t>(par défaut)</w:t>
      </w:r>
      <w:r>
        <w:rPr>
          <w:rStyle w:val="optioncarChar"/>
        </w:rPr>
        <w:t> / m²</w:t>
      </w:r>
    </w:p>
    <w:p w14:paraId="1505AAAF" w14:textId="77777777" w:rsidR="00DB2B68" w:rsidRDefault="00000000">
      <w:r>
        <w:rPr>
          <w:b/>
        </w:rPr>
        <w:t>(soit par défaut)</w:t>
      </w:r>
    </w:p>
    <w:p w14:paraId="1571C2E9" w14:textId="77777777" w:rsidR="00DB2B68" w:rsidRDefault="00000000">
      <w:r>
        <w:rPr>
          <w:rStyle w:val="soitChar"/>
        </w:rPr>
        <w:t>1. m³</w:t>
      </w:r>
    </w:p>
    <w:p w14:paraId="484F151F" w14:textId="77777777" w:rsidR="00DB2B68" w:rsidRDefault="00000000">
      <w:r>
        <w:rPr>
          <w:b/>
        </w:rPr>
        <w:t>(soit)</w:t>
      </w:r>
    </w:p>
    <w:p w14:paraId="1CEA341C" w14:textId="77777777" w:rsidR="00DB2B68" w:rsidRDefault="00000000">
      <w:r>
        <w:rPr>
          <w:rStyle w:val="soitChar"/>
        </w:rPr>
        <w:t>2. m²</w:t>
      </w:r>
    </w:p>
    <w:p w14:paraId="5FDDD496" w14:textId="77777777" w:rsidR="00DB2B68" w:rsidRDefault="00000000">
      <w:pPr>
        <w:pStyle w:val="pheading"/>
      </w:pPr>
      <w:r>
        <w:t>- code de mesurage:</w:t>
      </w:r>
    </w:p>
    <w:p w14:paraId="5C316418"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DD9D23E"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5863997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00028D40" w14:textId="77777777" w:rsidR="00DB2B68" w:rsidRDefault="00DB2B68"/>
    <w:p w14:paraId="7CF173C3" w14:textId="77777777" w:rsidR="00DB2B68" w:rsidRDefault="00000000">
      <w:r>
        <w:rPr>
          <w:rStyle w:val="optioncarChar"/>
        </w:rPr>
        <w:t>Volume net </w:t>
      </w:r>
      <w:r>
        <w:t>(par défaut)</w:t>
      </w:r>
      <w:r>
        <w:rPr>
          <w:rStyle w:val="optioncarChar"/>
        </w:rPr>
        <w:t> / Surface nette</w:t>
      </w:r>
    </w:p>
    <w:p w14:paraId="55F303CA" w14:textId="77777777" w:rsidR="00DB2B68" w:rsidRDefault="00000000">
      <w:r>
        <w:rPr>
          <w:b/>
        </w:rPr>
        <w:t>(soit par défaut)</w:t>
      </w:r>
    </w:p>
    <w:p w14:paraId="66E53F10" w14:textId="77777777" w:rsidR="00DB2B68" w:rsidRDefault="00000000">
      <w:r>
        <w:rPr>
          <w:rStyle w:val="soitChar"/>
        </w:rPr>
        <w:lastRenderedPageBreak/>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3B12B1F" w14:textId="77777777" w:rsidR="00DB2B68" w:rsidRDefault="00000000">
      <w:r>
        <w:rPr>
          <w:b/>
        </w:rPr>
        <w:t>(soit)</w:t>
      </w:r>
    </w:p>
    <w:p w14:paraId="3ED003BA"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D2BCAA4" w14:textId="77777777" w:rsidR="00DB2B68" w:rsidRDefault="00000000">
      <w:pPr>
        <w:pStyle w:val="pheading"/>
      </w:pPr>
      <w:r>
        <w:t>- nature du marché:</w:t>
      </w:r>
    </w:p>
    <w:p w14:paraId="2409C7C7" w14:textId="77777777" w:rsidR="00DB2B68" w:rsidRDefault="00000000">
      <w:r>
        <w:t>QF</w:t>
      </w:r>
    </w:p>
    <w:p w14:paraId="2641DABC" w14:textId="77777777" w:rsidR="00DB2B68" w:rsidRDefault="00000000">
      <w:pPr>
        <w:pStyle w:val="Author-eSectionHeading6Numberless"/>
      </w:pPr>
      <w:bookmarkStart w:id="52" w:name="_Toc220495215"/>
      <w:r>
        <w:t>21.12.4e Maçonneries portantes en blocs de béton avec système de dosage pour liant hydraulique CCTB 01.13</w:t>
      </w:r>
      <w:bookmarkEnd w:id="52"/>
    </w:p>
    <w:p w14:paraId="4771360A" w14:textId="77777777" w:rsidR="00DB2B68" w:rsidRDefault="00000000">
      <w:pPr>
        <w:pStyle w:val="pheading"/>
      </w:pPr>
      <w:r>
        <w:t>DESCRIPTION</w:t>
      </w:r>
    </w:p>
    <w:p w14:paraId="5D32EC02" w14:textId="77777777" w:rsidR="00DB2B68" w:rsidRDefault="00000000">
      <w:pPr>
        <w:pStyle w:val="pheading"/>
      </w:pPr>
      <w:r>
        <w:t>- Définition / Comprend</w:t>
      </w:r>
    </w:p>
    <w:p w14:paraId="0594E26B" w14:textId="77777777" w:rsidR="00DB2B68" w:rsidRDefault="00000000">
      <w:r>
        <w:t xml:space="preserve">Il s’agit de la fourniture et la pose de maçonneries portantes en blocs de béton avec système de dosage pur liant hydraulique. </w:t>
      </w:r>
      <w:r>
        <w:br/>
        <w:t xml:space="preserve">La portée des travaux est décrite dans l’article </w:t>
      </w:r>
      <w:hyperlink w:anchor="371" w:history="1">
        <w:r>
          <w:rPr>
            <w:color w:val="0000EE"/>
          </w:rPr>
          <w:t>21.12.4 Maçonneries portantes en blocs de béton</w:t>
        </w:r>
      </w:hyperlink>
      <w:r>
        <w:t>.</w:t>
      </w:r>
      <w:r>
        <w:br/>
        <w:t>Les travaux comprennent également la fourniture et la pose des pièces d’angle, de terminaison et de rencontre.</w:t>
      </w:r>
    </w:p>
    <w:p w14:paraId="3BBEE69B" w14:textId="77777777" w:rsidR="00DB2B68" w:rsidRDefault="00000000">
      <w:pPr>
        <w:pStyle w:val="pheading"/>
      </w:pPr>
      <w:r>
        <w:t>- Localisation</w:t>
      </w:r>
    </w:p>
    <w:p w14:paraId="25A1A9F1" w14:textId="77777777" w:rsidR="00DB2B68" w:rsidRDefault="00000000">
      <w:r>
        <w:t xml:space="preserve">La pose est réalisée aux endroits suivants : </w:t>
      </w:r>
      <w:r>
        <w:rPr>
          <w:rStyle w:val="optioncarChar"/>
        </w:rPr>
        <w:t>***</w:t>
      </w:r>
      <w:r>
        <w:t>.</w:t>
      </w:r>
      <w:r>
        <w:br/>
        <w:t>Voir plans et métrés détaillés.</w:t>
      </w:r>
    </w:p>
    <w:p w14:paraId="46015007" w14:textId="77777777" w:rsidR="00DB2B68" w:rsidRDefault="00000000">
      <w:pPr>
        <w:pStyle w:val="pheading"/>
      </w:pPr>
      <w:r>
        <w:t>MATÉRIAUX</w:t>
      </w:r>
    </w:p>
    <w:p w14:paraId="3B67EF57" w14:textId="77777777" w:rsidR="00DB2B68" w:rsidRDefault="00000000">
      <w:pPr>
        <w:pStyle w:val="pheading"/>
      </w:pPr>
      <w:r>
        <w:t>- Caractéristiques générales</w:t>
      </w:r>
    </w:p>
    <w:p w14:paraId="1D55AB6F" w14:textId="77777777" w:rsidR="00DB2B68" w:rsidRDefault="00000000">
      <w:r>
        <w:rPr>
          <w:rStyle w:val="headingChar"/>
        </w:rPr>
        <w:t>Spécifications</w:t>
      </w:r>
    </w:p>
    <w:p w14:paraId="7A9E7818" w14:textId="77777777" w:rsidR="00DB2B68" w:rsidRDefault="00000000">
      <w:r>
        <w:rPr>
          <w:u w:val="single"/>
        </w:rPr>
        <w:t>Blocs</w:t>
      </w:r>
    </w:p>
    <w:p w14:paraId="2C722875"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w:t>
      </w:r>
      <w:r>
        <w:t>(par défaut)</w:t>
      </w:r>
      <w:r>
        <w:rPr>
          <w:rStyle w:val="optioncarChar"/>
        </w:rPr>
        <w:t xml:space="preserve">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w:t>
      </w:r>
      <w:r>
        <w:rPr>
          <w:rStyle w:val="optioncarChar"/>
        </w:rPr>
        <w:t xml:space="preserve"> lisse </w:t>
      </w:r>
      <w:r>
        <w:t>(par défaut)</w:t>
      </w:r>
      <w:r>
        <w:rPr>
          <w:rStyle w:val="optioncarChar"/>
        </w:rPr>
        <w:t xml:space="preserve"> / clivé / ***</w:t>
      </w:r>
      <w:r>
        <w:br/>
        <w:t>Face à cimenter ou plafonner :</w:t>
      </w:r>
      <w:r>
        <w:rPr>
          <w:rStyle w:val="optioncarChar"/>
          <w:color w:val="000000"/>
        </w:rPr>
        <w:t xml:space="preserve"> lisse</w:t>
      </w:r>
      <w:r>
        <w:br/>
        <w:t>Teinte :</w:t>
      </w:r>
      <w:r>
        <w:rPr>
          <w:rStyle w:val="optioncarChar"/>
        </w:rPr>
        <w:t xml:space="preserve"> blanc / gris </w:t>
      </w:r>
      <w:r>
        <w:t>(par défaut)</w:t>
      </w:r>
      <w:r>
        <w:rPr>
          <w:rStyle w:val="optioncarChar"/>
        </w:rPr>
        <w:t xml:space="preserve"> / ***</w:t>
      </w:r>
      <w:r>
        <w:br/>
      </w:r>
      <w:r>
        <w:br/>
      </w:r>
      <w:r>
        <w:lastRenderedPageBreak/>
        <w:t>Format : (L x l x h)</w:t>
      </w:r>
      <w:r>
        <w:rPr>
          <w:rStyle w:val="optioncarChar"/>
        </w:rPr>
        <w:t>: format modulaire proposé par l'entrepreneur (par défaut) / (290 / 300 / *** x 140 /150 / 190 / 200 / *** x 140 / 150 / 190 / 200 / *** ) mm</w:t>
      </w:r>
    </w:p>
    <w:p w14:paraId="3286CE2C" w14:textId="77777777" w:rsidR="00DB2B68"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(par défaut)</w:t>
      </w:r>
      <w:r>
        <w:rPr>
          <w:rStyle w:val="optioncarChar"/>
        </w:rPr>
        <w:t xml:space="preserve"> / ***</w:t>
      </w:r>
    </w:p>
    <w:p w14:paraId="78A03444" w14:textId="77777777" w:rsidR="00DB2B68" w:rsidRDefault="00000000">
      <w:pPr>
        <w:spacing w:before="0" w:after="0"/>
      </w:pPr>
      <w:r>
        <w:rPr>
          <w:u w:val="single"/>
        </w:rPr>
        <w:t>Mortier</w:t>
      </w:r>
    </w:p>
    <w:p w14:paraId="3501FD14"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2856C328" w14:textId="77777777" w:rsidR="00DB2B68" w:rsidRDefault="00000000">
      <w:r>
        <w:br/>
      </w:r>
      <w:r>
        <w:rPr>
          <w:rStyle w:val="headingChar"/>
        </w:rPr>
        <w:t>Critères De Performances De La Paroi</w:t>
      </w:r>
    </w:p>
    <w:p w14:paraId="238995AC" w14:textId="77777777" w:rsidR="00DB2B68" w:rsidRDefault="00000000">
      <w:r>
        <w:t>Coefficient de transmission :</w:t>
      </w:r>
    </w:p>
    <w:p w14:paraId="703FAD8A" w14:textId="77777777" w:rsidR="00DB2B68" w:rsidRDefault="00000000">
      <w:pPr>
        <w:pStyle w:val="Author-eListParagraph"/>
        <w:numPr>
          <w:ilvl w:val="0"/>
          <w:numId w:val="95"/>
        </w:numPr>
      </w:pPr>
      <w:r>
        <w:t xml:space="preserve">valeur U minimale de </w:t>
      </w:r>
      <w:r>
        <w:rPr>
          <w:rStyle w:val="optioncarChar"/>
        </w:rPr>
        <w:t>***</w:t>
      </w:r>
      <w:r>
        <w:t xml:space="preserve"> W/m²K</w:t>
      </w:r>
    </w:p>
    <w:p w14:paraId="55F180F7" w14:textId="77777777" w:rsidR="00DB2B68" w:rsidRDefault="00000000">
      <w:pPr>
        <w:pStyle w:val="Author-eListParagraph"/>
        <w:numPr>
          <w:ilvl w:val="0"/>
          <w:numId w:val="9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CED6B0F" w14:textId="77777777" w:rsidR="00DB2B68" w:rsidRDefault="00000000">
      <w:r>
        <w:br/>
        <w:t>Résistance au feu :</w:t>
      </w:r>
    </w:p>
    <w:p w14:paraId="2B30E46F" w14:textId="77777777" w:rsidR="00DB2B68" w:rsidRDefault="00000000">
      <w:pPr>
        <w:pStyle w:val="Author-eListParagraph"/>
        <w:numPr>
          <w:ilvl w:val="0"/>
          <w:numId w:val="96"/>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0DB842D4" w14:textId="77777777" w:rsidR="00DB2B68" w:rsidRDefault="00000000">
      <w:pPr>
        <w:pStyle w:val="Author-eListParagraph"/>
        <w:numPr>
          <w:ilvl w:val="0"/>
          <w:numId w:val="96"/>
        </w:numPr>
      </w:pPr>
      <w:r>
        <w:t xml:space="preserve">pour les éléments porteurs structurels avec fonction séparante : </w:t>
      </w:r>
      <w:r>
        <w:rPr>
          <w:rStyle w:val="optioncarChar"/>
        </w:rPr>
        <w:t>REI30</w:t>
      </w:r>
      <w:r>
        <w:t xml:space="preserve"> (par défaut) </w:t>
      </w:r>
      <w:r>
        <w:rPr>
          <w:rStyle w:val="optioncarChar"/>
        </w:rPr>
        <w:t>/ REI60 / REI90 / REI120 / REI***</w:t>
      </w:r>
    </w:p>
    <w:p w14:paraId="70E883F2" w14:textId="77777777" w:rsidR="00DB2B68" w:rsidRDefault="00000000">
      <w:r>
        <w:t>selon les tableaux dans [NBN EN 1996-1-2 ANB].</w:t>
      </w:r>
    </w:p>
    <w:p w14:paraId="231ADF50" w14:textId="77777777" w:rsidR="00DB2B68" w:rsidRDefault="00000000">
      <w:pPr>
        <w:ind w:left="750"/>
      </w:pPr>
      <w:r>
        <w:t> </w:t>
      </w:r>
    </w:p>
    <w:p w14:paraId="58F5D867" w14:textId="77777777" w:rsidR="00DB2B68" w:rsidRDefault="00000000">
      <w:pPr>
        <w:pStyle w:val="pheading"/>
      </w:pPr>
      <w:r>
        <w:t>- Finitions</w:t>
      </w:r>
    </w:p>
    <w:p w14:paraId="6A7BC72D" w14:textId="77777777" w:rsidR="00DB2B68" w:rsidRDefault="00000000">
      <w:pPr>
        <w:pStyle w:val="Author-eListParagraph"/>
        <w:numPr>
          <w:ilvl w:val="0"/>
          <w:numId w:val="97"/>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2994E86F" w14:textId="77777777" w:rsidR="00DB2B68" w:rsidRDefault="00000000">
      <w:pPr>
        <w:pStyle w:val="Author-eListParagraph"/>
        <w:numPr>
          <w:ilvl w:val="0"/>
          <w:numId w:val="97"/>
        </w:numPr>
      </w:pPr>
      <w:r>
        <w:t xml:space="preserve">Les murs suivants sont exécutés avec une face restant apparente : </w:t>
      </w:r>
      <w:r>
        <w:rPr>
          <w:rStyle w:val="optioncarChar"/>
        </w:rPr>
        <w:t>***</w:t>
      </w:r>
    </w:p>
    <w:p w14:paraId="50A5B10E" w14:textId="77777777" w:rsidR="00DB2B68" w:rsidRDefault="00000000">
      <w:pPr>
        <w:pStyle w:val="Author-eListParagraph"/>
        <w:numPr>
          <w:ilvl w:val="0"/>
          <w:numId w:val="97"/>
        </w:numPr>
      </w:pPr>
      <w:r>
        <w:t xml:space="preserve">Les murs suivants sont exécutés avec deux faces restant apparentes : </w:t>
      </w:r>
      <w:r>
        <w:rPr>
          <w:rStyle w:val="optioncarChar"/>
        </w:rPr>
        <w:t>***</w:t>
      </w:r>
    </w:p>
    <w:p w14:paraId="7F8651E7" w14:textId="77777777" w:rsidR="00DB2B68" w:rsidRDefault="00000000">
      <w:pPr>
        <w:ind w:left="750"/>
      </w:pPr>
      <w:r>
        <w:t> </w:t>
      </w:r>
    </w:p>
    <w:p w14:paraId="5F0119BB" w14:textId="77777777" w:rsidR="00DB2B68" w:rsidRDefault="00000000">
      <w:pPr>
        <w:pStyle w:val="pheading"/>
      </w:pPr>
      <w:r>
        <w:t>EXÉCUTION / MISE EN ŒUVRE</w:t>
      </w:r>
    </w:p>
    <w:p w14:paraId="4844FCDD" w14:textId="77777777" w:rsidR="00DB2B68" w:rsidRDefault="00000000">
      <w:pPr>
        <w:pStyle w:val="pheading"/>
      </w:pPr>
      <w:r>
        <w:t>- Notes d’exécution complémentaires</w:t>
      </w:r>
    </w:p>
    <w:p w14:paraId="19A593A3" w14:textId="77777777" w:rsidR="00DB2B68" w:rsidRDefault="00000000">
      <w:r>
        <w:t>Le mortier utilisé est spécifique au concept et possède une grande résistance à la compression (&gt; 20 N/mm²).</w:t>
      </w:r>
    </w:p>
    <w:p w14:paraId="001D9688" w14:textId="77777777" w:rsidR="00DB2B68" w:rsidRDefault="00000000">
      <w:pPr>
        <w:pStyle w:val="pheading"/>
      </w:pPr>
      <w:r>
        <w:t>MESURAGE</w:t>
      </w:r>
    </w:p>
    <w:p w14:paraId="0A24895F" w14:textId="77777777" w:rsidR="00DB2B68" w:rsidRDefault="00000000">
      <w:pPr>
        <w:pStyle w:val="pheading"/>
      </w:pPr>
      <w:r>
        <w:t>- unité de mesure:</w:t>
      </w:r>
    </w:p>
    <w:p w14:paraId="36B6AA33" w14:textId="77777777" w:rsidR="00DB2B68" w:rsidRDefault="00000000">
      <w:r>
        <w:rPr>
          <w:rStyle w:val="optioncarChar"/>
        </w:rPr>
        <w:t>m³ </w:t>
      </w:r>
      <w:r>
        <w:t>(par défaut)</w:t>
      </w:r>
      <w:r>
        <w:rPr>
          <w:rStyle w:val="optioncarChar"/>
        </w:rPr>
        <w:t> / m²</w:t>
      </w:r>
    </w:p>
    <w:p w14:paraId="18AC4096" w14:textId="77777777" w:rsidR="00DB2B68" w:rsidRDefault="00000000">
      <w:r>
        <w:rPr>
          <w:b/>
        </w:rPr>
        <w:t>(soit par défaut)</w:t>
      </w:r>
    </w:p>
    <w:p w14:paraId="23366B6C" w14:textId="77777777" w:rsidR="00DB2B68" w:rsidRDefault="00000000">
      <w:r>
        <w:rPr>
          <w:rStyle w:val="soitChar"/>
        </w:rPr>
        <w:t>1. m³</w:t>
      </w:r>
    </w:p>
    <w:p w14:paraId="79C3D929" w14:textId="77777777" w:rsidR="00DB2B68" w:rsidRDefault="00000000">
      <w:r>
        <w:rPr>
          <w:b/>
        </w:rPr>
        <w:t>(soit)</w:t>
      </w:r>
    </w:p>
    <w:p w14:paraId="696EEC4F" w14:textId="77777777" w:rsidR="00DB2B68" w:rsidRDefault="00000000">
      <w:r>
        <w:rPr>
          <w:rStyle w:val="soitChar"/>
        </w:rPr>
        <w:t>2. m²</w:t>
      </w:r>
    </w:p>
    <w:p w14:paraId="5F6C7AA0" w14:textId="77777777" w:rsidR="00DB2B68" w:rsidRDefault="00000000">
      <w:pPr>
        <w:pStyle w:val="pheading"/>
      </w:pPr>
      <w:r>
        <w:t>- code de mesurage:</w:t>
      </w:r>
    </w:p>
    <w:p w14:paraId="5FA9237D" w14:textId="77777777" w:rsidR="00DB2B68" w:rsidRDefault="00000000">
      <w:r>
        <w:lastRenderedPageBreak/>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6C36AAB"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1E0106A"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BE29ABC" w14:textId="77777777" w:rsidR="00DB2B68" w:rsidRDefault="00DB2B68"/>
    <w:p w14:paraId="4F56EB2C" w14:textId="77777777" w:rsidR="00DB2B68" w:rsidRDefault="00000000">
      <w:r>
        <w:rPr>
          <w:rStyle w:val="optioncarChar"/>
        </w:rPr>
        <w:t>Volume net </w:t>
      </w:r>
      <w:r>
        <w:t>(par défaut)</w:t>
      </w:r>
      <w:r>
        <w:rPr>
          <w:rStyle w:val="optioncarChar"/>
        </w:rPr>
        <w:t> / Surface nette</w:t>
      </w:r>
    </w:p>
    <w:p w14:paraId="5488DEC2" w14:textId="77777777" w:rsidR="00DB2B68" w:rsidRDefault="00000000">
      <w:r>
        <w:rPr>
          <w:b/>
        </w:rPr>
        <w:t>(soit par défaut)</w:t>
      </w:r>
    </w:p>
    <w:p w14:paraId="21D6A846"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3023935" w14:textId="77777777" w:rsidR="00DB2B68" w:rsidRDefault="00000000">
      <w:r>
        <w:rPr>
          <w:b/>
        </w:rPr>
        <w:t>(soit)</w:t>
      </w:r>
    </w:p>
    <w:p w14:paraId="47596D70"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CC82A98" w14:textId="77777777" w:rsidR="00DB2B68" w:rsidRDefault="00000000">
      <w:pPr>
        <w:ind w:left="750"/>
      </w:pPr>
      <w:r>
        <w:t> </w:t>
      </w:r>
    </w:p>
    <w:p w14:paraId="3616D8F2" w14:textId="77777777" w:rsidR="00DB2B68" w:rsidRDefault="00000000">
      <w:pPr>
        <w:pStyle w:val="pheading"/>
      </w:pPr>
      <w:r>
        <w:t>- nature du marché:</w:t>
      </w:r>
    </w:p>
    <w:p w14:paraId="258D7995" w14:textId="77777777" w:rsidR="00DB2B68" w:rsidRDefault="00000000">
      <w:r>
        <w:t>QF</w:t>
      </w:r>
    </w:p>
    <w:p w14:paraId="3F7E0F69" w14:textId="77777777" w:rsidR="00DB2B68" w:rsidRDefault="00000000">
      <w:pPr>
        <w:pStyle w:val="Author-eSectionHeading6Numberless"/>
      </w:pPr>
      <w:bookmarkStart w:id="53" w:name="_Toc220495216"/>
      <w:r>
        <w:t>21.12.4f Maçonneries portantes en blocs de béton acoustiques CCTB 01.13</w:t>
      </w:r>
      <w:bookmarkEnd w:id="53"/>
    </w:p>
    <w:p w14:paraId="62221785" w14:textId="77777777" w:rsidR="00DB2B68" w:rsidRDefault="00000000">
      <w:pPr>
        <w:pStyle w:val="pheading"/>
      </w:pPr>
      <w:r>
        <w:t>DESCRIPTION</w:t>
      </w:r>
    </w:p>
    <w:p w14:paraId="50ED2421" w14:textId="77777777" w:rsidR="00DB2B68" w:rsidRDefault="00000000">
      <w:pPr>
        <w:pStyle w:val="pheading"/>
      </w:pPr>
      <w:r>
        <w:t>- Définition / Comprend</w:t>
      </w:r>
    </w:p>
    <w:p w14:paraId="348FE586" w14:textId="77777777" w:rsidR="00DB2B68" w:rsidRDefault="00000000">
      <w:r>
        <w:t xml:space="preserve">Il s’agit de la fourniture et la pose de maçonneries portantes en blocs de béton acoustiques. </w:t>
      </w:r>
      <w:r>
        <w:br/>
        <w:t xml:space="preserve">La portée des travaux est décrite dans l’article </w:t>
      </w:r>
      <w:hyperlink w:anchor="371" w:history="1">
        <w:r>
          <w:rPr>
            <w:color w:val="0000EE"/>
          </w:rPr>
          <w:t>21.12.4 Maçonneries portantes en blocs de béton</w:t>
        </w:r>
      </w:hyperlink>
      <w:r>
        <w:t>.</w:t>
      </w:r>
      <w:r>
        <w:br/>
        <w:t>Les travaux comprennent également la fourniture et la pose des pièces d’angle, de terminaison et de rencontre.</w:t>
      </w:r>
    </w:p>
    <w:p w14:paraId="0F650FDD" w14:textId="77777777" w:rsidR="00DB2B68" w:rsidRDefault="00000000">
      <w:pPr>
        <w:pStyle w:val="pheading"/>
      </w:pPr>
      <w:r>
        <w:t>- Localisation</w:t>
      </w:r>
    </w:p>
    <w:p w14:paraId="331E3E05" w14:textId="77777777" w:rsidR="00DB2B68" w:rsidRDefault="00000000">
      <w:r>
        <w:t>La pose est réalisée aux endroits suivants :</w:t>
      </w:r>
      <w:r>
        <w:rPr>
          <w:rStyle w:val="optioncarChar"/>
        </w:rPr>
        <w:t xml:space="preserve"> ***</w:t>
      </w:r>
      <w:r>
        <w:t>.</w:t>
      </w:r>
      <w:r>
        <w:br/>
        <w:t>Voir plans et métrés détaillés.</w:t>
      </w:r>
    </w:p>
    <w:p w14:paraId="2A3E0A27" w14:textId="77777777" w:rsidR="00DB2B68" w:rsidRDefault="00000000">
      <w:pPr>
        <w:pStyle w:val="pheading"/>
      </w:pPr>
      <w:r>
        <w:t>MATÉRIAUX</w:t>
      </w:r>
    </w:p>
    <w:p w14:paraId="291846D2" w14:textId="77777777" w:rsidR="00DB2B68" w:rsidRDefault="00000000">
      <w:pPr>
        <w:pStyle w:val="pheading"/>
      </w:pPr>
      <w:r>
        <w:t>- Caractéristiques générales</w:t>
      </w:r>
    </w:p>
    <w:p w14:paraId="2361B929" w14:textId="77777777" w:rsidR="00DB2B68" w:rsidRDefault="00000000">
      <w:r>
        <w:rPr>
          <w:rStyle w:val="headingChar"/>
        </w:rPr>
        <w:t>Spécifications</w:t>
      </w:r>
    </w:p>
    <w:p w14:paraId="77092FAF" w14:textId="77777777" w:rsidR="00DB2B68" w:rsidRDefault="00000000">
      <w:r>
        <w:rPr>
          <w:u w:val="single"/>
        </w:rPr>
        <w:t>Blocs</w:t>
      </w:r>
    </w:p>
    <w:p w14:paraId="36774BF4"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lastRenderedPageBreak/>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w:t>
      </w:r>
      <w:r>
        <w:t>(par défaut)</w:t>
      </w:r>
      <w:r>
        <w:rPr>
          <w:rStyle w:val="optioncarChar"/>
        </w:rPr>
        <w:t xml:space="preserve">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w:t>
      </w:r>
      <w:r>
        <w:rPr>
          <w:rStyle w:val="optioncarChar"/>
        </w:rPr>
        <w:t xml:space="preserve"> / assemblage à rainures et languettes / assemblage à rainures et poig</w:t>
      </w:r>
      <w:r>
        <w:t>nées</w:t>
      </w:r>
      <w:r>
        <w:br/>
        <w:t xml:space="preserve">Face qui reste visible : </w:t>
      </w:r>
      <w:r>
        <w:rPr>
          <w:rStyle w:val="optioncarChar"/>
        </w:rPr>
        <w:t>lisse </w:t>
      </w:r>
      <w:r>
        <w:t>(par défaut)</w:t>
      </w:r>
      <w:r>
        <w:rPr>
          <w:rStyle w:val="optioncarChar"/>
        </w:rPr>
        <w:t xml:space="preserve"> / clivé / ***</w:t>
      </w:r>
      <w:r>
        <w:br/>
        <w:t>Face à cimenter ou plafonner : lisse</w:t>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9A9A164"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1BA13353" w14:textId="77777777" w:rsidR="00DB2B68" w:rsidRDefault="00000000">
      <w:r>
        <w:t xml:space="preserve">Réaction au feu : </w:t>
      </w:r>
      <w:r>
        <w:rPr>
          <w:rStyle w:val="optioncarChar"/>
        </w:rPr>
        <w:t>A1</w:t>
      </w:r>
      <w:r>
        <w:t xml:space="preserve"> (par défaut) </w:t>
      </w:r>
      <w:r>
        <w:rPr>
          <w:rStyle w:val="optioncarChar"/>
        </w:rPr>
        <w:t>/ ***</w:t>
      </w:r>
    </w:p>
    <w:p w14:paraId="123AC142" w14:textId="77777777" w:rsidR="00DB2B68" w:rsidRDefault="00000000">
      <w:pPr>
        <w:spacing w:before="0" w:after="0"/>
      </w:pPr>
      <w:r>
        <w:rPr>
          <w:u w:val="single"/>
        </w:rPr>
        <w:t>Mortier</w:t>
      </w:r>
    </w:p>
    <w:p w14:paraId="7314CD1A"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000D4D45"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1959F60F" w14:textId="77777777" w:rsidR="00DB2B68" w:rsidRDefault="00000000">
      <w:pPr>
        <w:spacing w:before="0" w:after="0"/>
      </w:pPr>
      <w:r>
        <w:rPr>
          <w:rStyle w:val="normalChar"/>
          <w:color w:val="000000"/>
        </w:rPr>
        <w:t>Résistance au gel : oui</w:t>
      </w:r>
    </w:p>
    <w:p w14:paraId="2B415473" w14:textId="77777777" w:rsidR="00DB2B68" w:rsidRDefault="00000000">
      <w:r>
        <w:br/>
      </w:r>
      <w:r>
        <w:rPr>
          <w:rStyle w:val="headingChar"/>
        </w:rPr>
        <w:t>Critères De Performances De La Paroi</w:t>
      </w:r>
    </w:p>
    <w:p w14:paraId="04518D5A" w14:textId="77777777" w:rsidR="00DB2B68" w:rsidRDefault="00000000">
      <w:r>
        <w:t>Coefficient de transmission :</w:t>
      </w:r>
    </w:p>
    <w:p w14:paraId="47A8613A" w14:textId="77777777" w:rsidR="00DB2B68" w:rsidRDefault="00000000">
      <w:pPr>
        <w:pStyle w:val="Author-eListParagraph"/>
        <w:numPr>
          <w:ilvl w:val="0"/>
          <w:numId w:val="98"/>
        </w:numPr>
      </w:pPr>
      <w:r>
        <w:t xml:space="preserve">valeur U minimale de </w:t>
      </w:r>
      <w:r>
        <w:rPr>
          <w:rStyle w:val="optioncarChar"/>
        </w:rPr>
        <w:t>***</w:t>
      </w:r>
      <w:r>
        <w:t xml:space="preserve"> W/m²K</w:t>
      </w:r>
    </w:p>
    <w:p w14:paraId="21A6DC5E" w14:textId="77777777" w:rsidR="00DB2B68" w:rsidRDefault="00000000">
      <w:pPr>
        <w:pStyle w:val="Author-eListParagraph"/>
        <w:numPr>
          <w:ilvl w:val="0"/>
          <w:numId w:val="9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960C403" w14:textId="77777777" w:rsidR="00DB2B68" w:rsidRDefault="00000000">
      <w:r>
        <w:br/>
        <w:t>Résistance au feu :</w:t>
      </w:r>
    </w:p>
    <w:p w14:paraId="304C73F8" w14:textId="77777777" w:rsidR="00DB2B68" w:rsidRDefault="00000000">
      <w:pPr>
        <w:pStyle w:val="Author-eListParagraph"/>
        <w:numPr>
          <w:ilvl w:val="0"/>
          <w:numId w:val="99"/>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0009B283" w14:textId="77777777" w:rsidR="00DB2B68" w:rsidRDefault="00000000">
      <w:pPr>
        <w:pStyle w:val="Author-eListParagraph"/>
        <w:numPr>
          <w:ilvl w:val="0"/>
          <w:numId w:val="99"/>
        </w:numPr>
      </w:pPr>
      <w:r>
        <w:t xml:space="preserve">pour les éléments porteurs structurels avec fonction séparante : </w:t>
      </w:r>
      <w:r>
        <w:rPr>
          <w:rStyle w:val="optioncarChar"/>
        </w:rPr>
        <w:t>REI30</w:t>
      </w:r>
      <w:r>
        <w:t xml:space="preserve"> (par défaut) </w:t>
      </w:r>
      <w:r>
        <w:rPr>
          <w:rStyle w:val="optioncarChar"/>
        </w:rPr>
        <w:t>/ REI60 / REI90 / REI120 / REI***</w:t>
      </w:r>
    </w:p>
    <w:p w14:paraId="0F11EEA9" w14:textId="77777777" w:rsidR="00DB2B68" w:rsidRDefault="00000000">
      <w:r>
        <w:t>selon les tableaux dans [NBN EN 1996-1-2 ANB].</w:t>
      </w:r>
    </w:p>
    <w:p w14:paraId="3DFD7D2C" w14:textId="77777777" w:rsidR="00DB2B68" w:rsidRDefault="00000000">
      <w:pPr>
        <w:ind w:left="750"/>
      </w:pPr>
      <w:r>
        <w:t> </w:t>
      </w:r>
    </w:p>
    <w:p w14:paraId="40B7D5D2" w14:textId="77777777" w:rsidR="00DB2B68" w:rsidRDefault="00000000">
      <w:pPr>
        <w:pStyle w:val="pheading"/>
      </w:pPr>
      <w:r>
        <w:t>- Finitions</w:t>
      </w:r>
    </w:p>
    <w:p w14:paraId="6792C2F0" w14:textId="77777777" w:rsidR="00DB2B68" w:rsidRDefault="00000000">
      <w:pPr>
        <w:pStyle w:val="Author-eListParagraph"/>
        <w:numPr>
          <w:ilvl w:val="0"/>
          <w:numId w:val="100"/>
        </w:numPr>
      </w:pPr>
      <w:r>
        <w:rPr>
          <w:color w:val="000000"/>
        </w:rPr>
        <w:t xml:space="preserve">Les faces de murs suivantes sont exécutées comme maçonneries apparentes et sont rejointoyées selon </w:t>
      </w:r>
      <w:hyperlink w:anchor="346" w:history="1">
        <w:r>
          <w:rPr>
            <w:color w:val="0000EE"/>
          </w:rPr>
          <w:t>21.61.1b Joints de maçonnerie apparente</w:t>
        </w:r>
      </w:hyperlink>
      <w:r>
        <w:rPr>
          <w:color w:val="000000"/>
        </w:rPr>
        <w:t xml:space="preserve"> : </w:t>
      </w:r>
      <w:r>
        <w:rPr>
          <w:rStyle w:val="optioncarChar"/>
          <w:color w:val="000000"/>
        </w:rPr>
        <w:t>***</w:t>
      </w:r>
    </w:p>
    <w:p w14:paraId="044D4F60" w14:textId="77777777" w:rsidR="00DB2B68" w:rsidRDefault="00000000">
      <w:pPr>
        <w:pStyle w:val="Author-eListParagraph"/>
        <w:numPr>
          <w:ilvl w:val="0"/>
          <w:numId w:val="100"/>
        </w:numPr>
      </w:pPr>
      <w:r>
        <w:rPr>
          <w:color w:val="000000"/>
        </w:rPr>
        <w:t xml:space="preserve">Les murs suivants sont exécutés avec une face restant apparente : </w:t>
      </w:r>
      <w:r>
        <w:rPr>
          <w:rStyle w:val="optioncarChar"/>
          <w:color w:val="000000"/>
        </w:rPr>
        <w:t>***</w:t>
      </w:r>
    </w:p>
    <w:p w14:paraId="24EAD5B7" w14:textId="77777777" w:rsidR="00DB2B68" w:rsidRDefault="00000000">
      <w:pPr>
        <w:pStyle w:val="Author-eListParagraph"/>
        <w:numPr>
          <w:ilvl w:val="0"/>
          <w:numId w:val="100"/>
        </w:numPr>
      </w:pPr>
      <w:r>
        <w:rPr>
          <w:color w:val="000000"/>
        </w:rPr>
        <w:t xml:space="preserve">Les murs suivants sont exécutés avec deux faces restant apparentes : </w:t>
      </w:r>
      <w:r>
        <w:rPr>
          <w:rStyle w:val="optioncarChar"/>
          <w:color w:val="000000"/>
        </w:rPr>
        <w:t>***</w:t>
      </w:r>
    </w:p>
    <w:p w14:paraId="60159E07" w14:textId="77777777" w:rsidR="00DB2B68" w:rsidRDefault="00000000">
      <w:pPr>
        <w:pStyle w:val="pheading"/>
      </w:pPr>
      <w:r>
        <w:t>MESURAGE</w:t>
      </w:r>
    </w:p>
    <w:p w14:paraId="385C5680" w14:textId="77777777" w:rsidR="00DB2B68" w:rsidRDefault="00000000">
      <w:pPr>
        <w:pStyle w:val="pheading"/>
      </w:pPr>
      <w:r>
        <w:t>- unité de mesure:</w:t>
      </w:r>
    </w:p>
    <w:p w14:paraId="496F2BD0" w14:textId="77777777" w:rsidR="00DB2B68" w:rsidRDefault="00000000">
      <w:r>
        <w:rPr>
          <w:rStyle w:val="optioncarChar"/>
        </w:rPr>
        <w:t>m³ </w:t>
      </w:r>
      <w:r>
        <w:t>(par défaut)</w:t>
      </w:r>
      <w:r>
        <w:rPr>
          <w:rStyle w:val="optioncarChar"/>
        </w:rPr>
        <w:t> / m²</w:t>
      </w:r>
    </w:p>
    <w:p w14:paraId="48F0B70F" w14:textId="77777777" w:rsidR="00DB2B68" w:rsidRDefault="00000000">
      <w:r>
        <w:rPr>
          <w:b/>
        </w:rPr>
        <w:lastRenderedPageBreak/>
        <w:t>(soit par défaut)</w:t>
      </w:r>
    </w:p>
    <w:p w14:paraId="55AB94E3" w14:textId="77777777" w:rsidR="00DB2B68" w:rsidRDefault="00000000">
      <w:r>
        <w:rPr>
          <w:rStyle w:val="soitChar"/>
        </w:rPr>
        <w:t>1. m³</w:t>
      </w:r>
    </w:p>
    <w:p w14:paraId="327BAB85" w14:textId="77777777" w:rsidR="00DB2B68" w:rsidRDefault="00000000">
      <w:r>
        <w:rPr>
          <w:b/>
        </w:rPr>
        <w:t>(soit)</w:t>
      </w:r>
    </w:p>
    <w:p w14:paraId="4D6FEC1A" w14:textId="77777777" w:rsidR="00DB2B68" w:rsidRDefault="00000000">
      <w:r>
        <w:rPr>
          <w:rStyle w:val="soitChar"/>
        </w:rPr>
        <w:t>2. m²</w:t>
      </w:r>
    </w:p>
    <w:p w14:paraId="59C172AB" w14:textId="77777777" w:rsidR="00DB2B68" w:rsidRDefault="00000000">
      <w:pPr>
        <w:pStyle w:val="pheading"/>
      </w:pPr>
      <w:r>
        <w:t>- code de mesurage:</w:t>
      </w:r>
    </w:p>
    <w:p w14:paraId="6D58E010"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598ACC5"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D28A4DB"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B49549B" w14:textId="77777777" w:rsidR="00DB2B68" w:rsidRDefault="00DB2B68"/>
    <w:p w14:paraId="373F7921" w14:textId="77777777" w:rsidR="00DB2B68" w:rsidRDefault="00000000">
      <w:r>
        <w:rPr>
          <w:rStyle w:val="optioncarChar"/>
        </w:rPr>
        <w:t>Volume net </w:t>
      </w:r>
      <w:r>
        <w:t>(par défaut)</w:t>
      </w:r>
      <w:r>
        <w:rPr>
          <w:rStyle w:val="optioncarChar"/>
        </w:rPr>
        <w:t> / Surface nette</w:t>
      </w:r>
    </w:p>
    <w:p w14:paraId="1916B105" w14:textId="77777777" w:rsidR="00DB2B68" w:rsidRDefault="00000000">
      <w:r>
        <w:rPr>
          <w:b/>
        </w:rPr>
        <w:t>(soit par défaut)</w:t>
      </w:r>
    </w:p>
    <w:p w14:paraId="1691D1FA"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3313065" w14:textId="77777777" w:rsidR="00DB2B68" w:rsidRDefault="00000000">
      <w:r>
        <w:rPr>
          <w:b/>
        </w:rPr>
        <w:t>(soit)</w:t>
      </w:r>
    </w:p>
    <w:p w14:paraId="411A84F5"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16B84FE" w14:textId="77777777" w:rsidR="00DB2B68" w:rsidRDefault="00000000">
      <w:pPr>
        <w:pStyle w:val="pheading"/>
      </w:pPr>
      <w:r>
        <w:t>- nature du marché:</w:t>
      </w:r>
    </w:p>
    <w:p w14:paraId="04D9E3E3" w14:textId="77777777" w:rsidR="00DB2B68" w:rsidRDefault="00000000">
      <w:r>
        <w:t>QF</w:t>
      </w:r>
    </w:p>
    <w:p w14:paraId="36082640" w14:textId="77777777" w:rsidR="00DB2B68" w:rsidRDefault="00000000">
      <w:pPr>
        <w:pStyle w:val="Author-eSectionHeading6Numberless"/>
      </w:pPr>
      <w:bookmarkStart w:id="54" w:name="_Toc220495217"/>
      <w:r>
        <w:t>21.12.4g Maçonneries portantes en blocs de coffrage en béton CCTB 01.11</w:t>
      </w:r>
      <w:bookmarkEnd w:id="54"/>
    </w:p>
    <w:p w14:paraId="71B03439" w14:textId="77777777" w:rsidR="00DB2B68" w:rsidRDefault="00000000">
      <w:pPr>
        <w:pStyle w:val="pheading"/>
      </w:pPr>
      <w:r>
        <w:t>DESCRIPTION</w:t>
      </w:r>
    </w:p>
    <w:p w14:paraId="0FD059C8" w14:textId="77777777" w:rsidR="00DB2B68" w:rsidRDefault="00000000">
      <w:pPr>
        <w:pStyle w:val="pheading"/>
      </w:pPr>
      <w:r>
        <w:t>- Définition / Comprend</w:t>
      </w:r>
    </w:p>
    <w:p w14:paraId="471116DC" w14:textId="77777777" w:rsidR="00DB2B68" w:rsidRDefault="00000000">
      <w:r>
        <w:t xml:space="preserve">Il s’agit de la fourniture et la pose de maçonneries portantes en blocs de coffrage en béton. </w:t>
      </w:r>
      <w:r>
        <w:br/>
        <w:t xml:space="preserve">La portée des travaux est décrite dans l’article </w:t>
      </w:r>
      <w:hyperlink w:anchor="371" w:history="1">
        <w:r>
          <w:rPr>
            <w:color w:val="0000EE"/>
          </w:rPr>
          <w:t>21.12.4 Maçonneries portantes en blocs de béton</w:t>
        </w:r>
      </w:hyperlink>
      <w:r>
        <w:t>.</w:t>
      </w:r>
      <w:r>
        <w:br/>
        <w:t>Les travaux comprennent également la fourniture et la pose des pièces d’angle, de terminaison et de rencontre.</w:t>
      </w:r>
    </w:p>
    <w:p w14:paraId="75A6E184" w14:textId="77777777" w:rsidR="00DB2B68" w:rsidRDefault="00000000">
      <w:pPr>
        <w:pStyle w:val="pheading"/>
      </w:pPr>
      <w:r>
        <w:t>- Localisation</w:t>
      </w:r>
    </w:p>
    <w:p w14:paraId="1E267EDD" w14:textId="77777777" w:rsidR="00DB2B68" w:rsidRDefault="00000000">
      <w:r>
        <w:t xml:space="preserve">La pose est réalisée aux endroits suivants : </w:t>
      </w:r>
      <w:r>
        <w:rPr>
          <w:rStyle w:val="optioncarChar"/>
        </w:rPr>
        <w:t>***</w:t>
      </w:r>
      <w:r>
        <w:t>.</w:t>
      </w:r>
      <w:r>
        <w:br/>
        <w:t>Voir plans et métrés détaillés.</w:t>
      </w:r>
    </w:p>
    <w:p w14:paraId="45DDAC24" w14:textId="77777777" w:rsidR="00DB2B68" w:rsidRDefault="00000000">
      <w:pPr>
        <w:pStyle w:val="pheading"/>
      </w:pPr>
      <w:r>
        <w:t>MESURAGE</w:t>
      </w:r>
    </w:p>
    <w:p w14:paraId="6421C255" w14:textId="77777777" w:rsidR="00DB2B68" w:rsidRDefault="00000000">
      <w:pPr>
        <w:pStyle w:val="pheading"/>
      </w:pPr>
      <w:r>
        <w:t>- unité de mesure:</w:t>
      </w:r>
    </w:p>
    <w:p w14:paraId="7E292E3C" w14:textId="77777777" w:rsidR="00DB2B68" w:rsidRDefault="00000000">
      <w:r>
        <w:rPr>
          <w:rStyle w:val="optioncarChar"/>
        </w:rPr>
        <w:t>m³ </w:t>
      </w:r>
      <w:r>
        <w:t>(par défaut)</w:t>
      </w:r>
      <w:r>
        <w:rPr>
          <w:rStyle w:val="optioncarChar"/>
        </w:rPr>
        <w:t> / m²</w:t>
      </w:r>
    </w:p>
    <w:p w14:paraId="0CDFC191" w14:textId="77777777" w:rsidR="00DB2B68" w:rsidRDefault="00000000">
      <w:r>
        <w:rPr>
          <w:b/>
        </w:rPr>
        <w:lastRenderedPageBreak/>
        <w:t>(soit par défaut)</w:t>
      </w:r>
    </w:p>
    <w:p w14:paraId="7F117E43" w14:textId="77777777" w:rsidR="00DB2B68" w:rsidRDefault="00000000">
      <w:r>
        <w:rPr>
          <w:rStyle w:val="soitChar"/>
        </w:rPr>
        <w:t>1. m³</w:t>
      </w:r>
    </w:p>
    <w:p w14:paraId="5D25BF15" w14:textId="77777777" w:rsidR="00DB2B68" w:rsidRDefault="00000000">
      <w:r>
        <w:rPr>
          <w:b/>
        </w:rPr>
        <w:t>(soit)</w:t>
      </w:r>
    </w:p>
    <w:p w14:paraId="0C207474" w14:textId="77777777" w:rsidR="00DB2B68" w:rsidRDefault="00000000">
      <w:r>
        <w:rPr>
          <w:rStyle w:val="soitChar"/>
        </w:rPr>
        <w:t>2. m²</w:t>
      </w:r>
    </w:p>
    <w:p w14:paraId="5420483A" w14:textId="77777777" w:rsidR="00DB2B68" w:rsidRDefault="00000000">
      <w:pPr>
        <w:pStyle w:val="pheading"/>
      </w:pPr>
      <w:r>
        <w:t>- code de mesurage:</w:t>
      </w:r>
    </w:p>
    <w:p w14:paraId="757FBAD9"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030189C"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02CE33B"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515F7A5" w14:textId="77777777" w:rsidR="00DB2B68" w:rsidRDefault="00DB2B68"/>
    <w:p w14:paraId="56CA4B08" w14:textId="77777777" w:rsidR="00DB2B68" w:rsidRDefault="00000000">
      <w:r>
        <w:rPr>
          <w:rStyle w:val="optioncarChar"/>
        </w:rPr>
        <w:t>Volume net </w:t>
      </w:r>
      <w:r>
        <w:t>(par défaut)</w:t>
      </w:r>
      <w:r>
        <w:rPr>
          <w:rStyle w:val="optioncarChar"/>
        </w:rPr>
        <w:t> / Surface nette</w:t>
      </w:r>
    </w:p>
    <w:p w14:paraId="29AD66CC" w14:textId="77777777" w:rsidR="00DB2B68" w:rsidRDefault="00000000">
      <w:r>
        <w:rPr>
          <w:b/>
        </w:rPr>
        <w:t>(soit par défaut)</w:t>
      </w:r>
    </w:p>
    <w:p w14:paraId="7C4D615E"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F9D5B5E" w14:textId="77777777" w:rsidR="00DB2B68" w:rsidRDefault="00000000">
      <w:r>
        <w:rPr>
          <w:b/>
        </w:rPr>
        <w:t>(soit)</w:t>
      </w:r>
    </w:p>
    <w:p w14:paraId="12C707AF"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87E7294" w14:textId="77777777" w:rsidR="00DB2B68" w:rsidRDefault="00000000">
      <w:pPr>
        <w:ind w:left="750"/>
      </w:pPr>
      <w:r>
        <w:t> </w:t>
      </w:r>
    </w:p>
    <w:p w14:paraId="25FE85D6" w14:textId="77777777" w:rsidR="00DB2B68" w:rsidRDefault="00000000">
      <w:pPr>
        <w:pStyle w:val="pheading"/>
      </w:pPr>
      <w:r>
        <w:t>- nature du marché:</w:t>
      </w:r>
    </w:p>
    <w:p w14:paraId="30613623" w14:textId="77777777" w:rsidR="00DB2B68" w:rsidRDefault="00000000">
      <w:r>
        <w:t>QF</w:t>
      </w:r>
    </w:p>
    <w:p w14:paraId="1C66BCED" w14:textId="77777777" w:rsidR="00DB2B68" w:rsidRDefault="00000000">
      <w:pPr>
        <w:pStyle w:val="Author-eSectionHeading5Numberless"/>
      </w:pPr>
      <w:bookmarkStart w:id="55" w:name="_Toc220495218"/>
      <w:r>
        <w:t>21.12.5 Maçonneries portantes en blocs de silico-calcaire CCTB 01.11</w:t>
      </w:r>
      <w:bookmarkEnd w:id="55"/>
    </w:p>
    <w:p w14:paraId="2C6A8C44" w14:textId="77777777" w:rsidR="00DB2B68" w:rsidRDefault="00000000">
      <w:pPr>
        <w:pStyle w:val="pheading"/>
      </w:pPr>
      <w:bookmarkStart w:id="56" w:name="372"/>
      <w:bookmarkEnd w:id="56"/>
      <w:r>
        <w:t>MATÉRIAUX</w:t>
      </w:r>
    </w:p>
    <w:p w14:paraId="0E93E113" w14:textId="77777777" w:rsidR="00DB2B68" w:rsidRDefault="00000000">
      <w:r>
        <w:t xml:space="preserve">Il s'agit des blocs en silico-calcaire, qui répondent à la norme [NBN EN 771-2+A1] et au [PTV 21-003]. L'entrepreneur soumet un échantillon, la fiche technique et la déclaration des performances (DoP) du matériau pour approbation à l'auteur de projet et au maître de l’ouvrage. </w:t>
      </w:r>
    </w:p>
    <w:p w14:paraId="5A2E5D9C" w14:textId="77777777" w:rsidR="00DB2B68" w:rsidRDefault="00000000">
      <w:pPr>
        <w:pStyle w:val="pheading"/>
      </w:pPr>
      <w:r>
        <w:t>EXÉCUTION / MISE EN ŒUVRE</w:t>
      </w:r>
    </w:p>
    <w:p w14:paraId="3FC9FCFE" w14:textId="77777777" w:rsidR="00DB2B68" w:rsidRDefault="00000000">
      <w:r>
        <w:rPr>
          <w:u w:val="single"/>
        </w:rPr>
        <w:t>-Prescriptions générales</w:t>
      </w:r>
    </w:p>
    <w:p w14:paraId="42FB7583" w14:textId="77777777" w:rsidR="00DB2B68" w:rsidRDefault="00000000">
      <w:r>
        <w:t xml:space="preserve">Eléments en silico-calcaire à utiliser : </w:t>
      </w:r>
      <w:r>
        <w:rPr>
          <w:rStyle w:val="optioncarChar"/>
        </w:rPr>
        <w:t>U (maçonnerie non protégée) </w:t>
      </w:r>
      <w:r>
        <w:t>(par défaut)</w:t>
      </w:r>
      <w:r>
        <w:rPr>
          <w:rStyle w:val="optioncarChar"/>
        </w:rPr>
        <w:t xml:space="preserve"> / P (maçonnerie protégée)</w:t>
      </w:r>
    </w:p>
    <w:p w14:paraId="43D8093E" w14:textId="77777777" w:rsidR="00DB2B68" w:rsidRDefault="00000000">
      <w:r>
        <w:t xml:space="preserve">Conformément au mode de mise en œuvre, les blocs en silico-calcaire sont </w:t>
      </w:r>
      <w:r>
        <w:rPr>
          <w:rStyle w:val="optioncarChar"/>
        </w:rPr>
        <w:t>maçonnés au mortier</w:t>
      </w:r>
      <w:r>
        <w:t> (par défaut)</w:t>
      </w:r>
      <w:r>
        <w:rPr>
          <w:rStyle w:val="optioncarChar"/>
        </w:rPr>
        <w:t xml:space="preserve"> / collés à l’aide d’un mortier-colle</w:t>
      </w:r>
      <w:r>
        <w:t xml:space="preserve"> selon les indications du </w:t>
      </w:r>
      <w:r>
        <w:rPr>
          <w:rStyle w:val="optioncarChar"/>
        </w:rPr>
        <w:t>fabricant des blocs</w:t>
      </w:r>
      <w:r>
        <w:t xml:space="preserve"> (par défaut)</w:t>
      </w:r>
      <w:r>
        <w:rPr>
          <w:rStyle w:val="optioncarChar"/>
        </w:rPr>
        <w:t> / du fabricant de mortier</w:t>
      </w:r>
      <w:r>
        <w:t xml:space="preserve"> et des notes de calcul du bureau d’études.</w:t>
      </w:r>
    </w:p>
    <w:p w14:paraId="51E76384" w14:textId="77777777" w:rsidR="00DB2B68" w:rsidRDefault="00000000">
      <w:r>
        <w:lastRenderedPageBreak/>
        <w:t xml:space="preserve">Le mortier </w:t>
      </w:r>
      <w:r>
        <w:rPr>
          <w:rStyle w:val="optioncarChar"/>
        </w:rPr>
        <w:t>à coller/ à maçonner</w:t>
      </w:r>
      <w:r>
        <w:t xml:space="preserve"> (par défaut) (selon la norme [NBN EN 998-2] et le règlement d’application [TRA 651] ) répond à la catégorie : </w:t>
      </w:r>
      <w:r>
        <w:rPr>
          <w:rStyle w:val="optioncarChar"/>
        </w:rPr>
        <w:t xml:space="preserve">M5 / M10 </w:t>
      </w:r>
      <w:r>
        <w:rPr>
          <w:rStyle w:val="optioncarChar"/>
          <w:color w:val="000000"/>
        </w:rPr>
        <w:t xml:space="preserve">(par défaut) </w:t>
      </w:r>
      <w:r>
        <w:rPr>
          <w:rStyle w:val="optioncarChar"/>
        </w:rPr>
        <w:t>/ M15 / M20 / ***</w:t>
      </w:r>
    </w:p>
    <w:p w14:paraId="34E1B08C" w14:textId="77777777" w:rsidR="00DB2B68" w:rsidRDefault="00000000">
      <w:r>
        <w:t xml:space="preserve">L'épaisseur des joints est d'au moins </w:t>
      </w:r>
      <w:r>
        <w:rPr>
          <w:rStyle w:val="optioncarChar"/>
        </w:rPr>
        <w:t xml:space="preserve">10 </w:t>
      </w:r>
      <w:r>
        <w:t>(par défaut) </w:t>
      </w:r>
      <w:r>
        <w:rPr>
          <w:rStyle w:val="optioncarChar"/>
        </w:rPr>
        <w:t>/ ***</w:t>
      </w:r>
      <w:r>
        <w:t xml:space="preserve"> mm (tolérances suivant la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513EAC6C" w14:textId="77777777" w:rsidR="00DB2B68"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 xml:space="preserve">. </w:t>
      </w:r>
      <w:r>
        <w:br/>
      </w:r>
      <w:r>
        <w:br/>
      </w:r>
      <w:r>
        <w:rPr>
          <w:u w:val="single"/>
        </w:rPr>
        <w:t>-Notes d'exécution complémentaires</w:t>
      </w:r>
    </w:p>
    <w:p w14:paraId="6C698299" w14:textId="77777777" w:rsidR="00DB2B68" w:rsidRDefault="00000000">
      <w:r>
        <w:t>Pour les maçonneries destinées à rester apparentes, seuls des blocs non endommagés sont utilisés.</w:t>
      </w:r>
    </w:p>
    <w:p w14:paraId="26C41FD8"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 xml:space="preserve">. Les segments de murs sont pourvus d'armatures verticales selon l'article </w:t>
      </w:r>
      <w:hyperlink w:anchor="358" w:history="1">
        <w:r>
          <w:rPr>
            <w:color w:val="0000EE"/>
          </w:rPr>
          <w:t>21.41.2 Armatures verticales pour maçonneries</w:t>
        </w:r>
      </w:hyperlink>
      <w:r>
        <w:t>.</w:t>
      </w:r>
    </w:p>
    <w:p w14:paraId="4D066979"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0A093627" w14:textId="77777777" w:rsidR="00DB2B68" w:rsidRDefault="00000000">
      <w:r>
        <w:t xml:space="preserve">Crochets de mur : </w:t>
      </w:r>
      <w:r>
        <w:rPr>
          <w:rStyle w:val="optioncarChar"/>
        </w:rPr>
        <w:t>acier inoxydable </w:t>
      </w:r>
      <w:r>
        <w:t>(par défaut)</w:t>
      </w:r>
      <w:r>
        <w:rPr>
          <w:rStyle w:val="optioncarChar"/>
        </w:rPr>
        <w:t xml:space="preserve"> / ***</w:t>
      </w:r>
      <w:r>
        <w:t xml:space="preserve"> , diamètre minimal</w:t>
      </w:r>
      <w:r>
        <w:rPr>
          <w:rStyle w:val="optioncarChar"/>
        </w:rPr>
        <w:t xml:space="preserve"> 3,5 </w:t>
      </w:r>
      <w:r>
        <w:t>(par défaut)</w:t>
      </w:r>
      <w:r>
        <w:rPr>
          <w:rStyle w:val="optioncarChar"/>
        </w:rPr>
        <w:t xml:space="preserve"> / ***</w:t>
      </w:r>
      <w:r>
        <w:t xml:space="preserve"> mm.</w:t>
      </w:r>
    </w:p>
    <w:p w14:paraId="1E6F3EED"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r>
        <w:t>.</w:t>
      </w:r>
    </w:p>
    <w:p w14:paraId="2CCDCBE3" w14:textId="77777777" w:rsidR="00DB2B68" w:rsidRDefault="00000000">
      <w:pPr>
        <w:pStyle w:val="pheading"/>
      </w:pPr>
      <w:r>
        <w:t>AIDE</w:t>
      </w:r>
    </w:p>
    <w:p w14:paraId="6E13895F" w14:textId="77777777" w:rsidR="00DB2B68" w:rsidRDefault="00000000">
      <w:r>
        <w:t>Note à l'attention de l'auteur du projet : pour le choix adéquat du mortier, se référer à la [STS 22 série].</w:t>
      </w:r>
    </w:p>
    <w:p w14:paraId="7E89ED68" w14:textId="77777777" w:rsidR="00DB2B68" w:rsidRDefault="00000000">
      <w:pPr>
        <w:pStyle w:val="Author-eSectionHeading6Numberless"/>
      </w:pPr>
      <w:bookmarkStart w:id="57" w:name="_Toc220495219"/>
      <w:r>
        <w:t>21.12.5a Maçonneries portantes en blocs de silico-calcaire creux à maçonner CCTB 01.12</w:t>
      </w:r>
      <w:bookmarkEnd w:id="57"/>
    </w:p>
    <w:p w14:paraId="0C659E34" w14:textId="77777777" w:rsidR="00DB2B68" w:rsidRDefault="00000000">
      <w:pPr>
        <w:pStyle w:val="pheading"/>
      </w:pPr>
      <w:r>
        <w:t>DESCRIPTION</w:t>
      </w:r>
    </w:p>
    <w:p w14:paraId="3172E844" w14:textId="77777777" w:rsidR="00DB2B68" w:rsidRDefault="00000000">
      <w:pPr>
        <w:pStyle w:val="pheading"/>
      </w:pPr>
      <w:r>
        <w:t>- Définition / Comprend</w:t>
      </w:r>
    </w:p>
    <w:p w14:paraId="20453519" w14:textId="77777777" w:rsidR="00DB2B68" w:rsidRDefault="00000000">
      <w:r>
        <w:t xml:space="preserve">Il s’agit de la fourniture et la pose de maçonneries portantes en blocs de silico-calcaire creux à maçonner. </w:t>
      </w:r>
      <w:r>
        <w:br/>
        <w:t xml:space="preserve">La portée des travaux est décrite dans l’article </w:t>
      </w:r>
      <w:hyperlink w:anchor="372" w:history="1">
        <w:r>
          <w:rPr>
            <w:color w:val="0000EE"/>
          </w:rPr>
          <w:t>21.12.5 Maçonneries portantes en blocs de silico-calcaire</w:t>
        </w:r>
      </w:hyperlink>
      <w:r>
        <w:t>.</w:t>
      </w:r>
      <w:r>
        <w:br/>
        <w:t>Les travaux comprennent également la fourniture et la pose des pièces d’angle, de terminaison et de rencontre.</w:t>
      </w:r>
    </w:p>
    <w:p w14:paraId="1A12C2FF" w14:textId="77777777" w:rsidR="00DB2B68" w:rsidRDefault="00000000">
      <w:pPr>
        <w:pStyle w:val="pheading"/>
      </w:pPr>
      <w:r>
        <w:t>- Localisation</w:t>
      </w:r>
    </w:p>
    <w:p w14:paraId="5CCF6BFA" w14:textId="77777777" w:rsidR="00DB2B68" w:rsidRDefault="00000000">
      <w:r>
        <w:t>La pose est réalisée aux endroits suivants :</w:t>
      </w:r>
      <w:r>
        <w:rPr>
          <w:rStyle w:val="optioncarChar"/>
        </w:rPr>
        <w:t xml:space="preserve"> ***</w:t>
      </w:r>
      <w:r>
        <w:t>.</w:t>
      </w:r>
      <w:r>
        <w:br/>
        <w:t>Voir plans et métrés détaillés.</w:t>
      </w:r>
    </w:p>
    <w:p w14:paraId="1C6E50A1" w14:textId="77777777" w:rsidR="00DB2B68" w:rsidRDefault="00000000">
      <w:pPr>
        <w:pStyle w:val="pheading"/>
      </w:pPr>
      <w:r>
        <w:t>MATÉRIAUX</w:t>
      </w:r>
    </w:p>
    <w:p w14:paraId="4F17FF2A" w14:textId="77777777" w:rsidR="00DB2B68" w:rsidRDefault="00000000">
      <w:pPr>
        <w:pStyle w:val="pheading"/>
      </w:pPr>
      <w:r>
        <w:t>- Caractéristiques générales</w:t>
      </w:r>
    </w:p>
    <w:p w14:paraId="66A4BD74" w14:textId="77777777" w:rsidR="00DB2B68" w:rsidRDefault="00000000">
      <w:r>
        <w:rPr>
          <w:rStyle w:val="headingChar"/>
        </w:rPr>
        <w:t>Spécifications</w:t>
      </w:r>
    </w:p>
    <w:p w14:paraId="59050B1E"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r>
      <w:r>
        <w:lastRenderedPageBreak/>
        <w:t xml:space="preserve">La classe de qualité suivant [PTV 21-003] est : </w:t>
      </w:r>
      <w:r>
        <w:rPr>
          <w:rStyle w:val="optioncarChar"/>
        </w:rPr>
        <w:t>15/1,4 </w:t>
      </w:r>
      <w:r>
        <w:t>(par défaut)</w:t>
      </w:r>
      <w:r>
        <w:rPr>
          <w:rStyle w:val="optioncarChar"/>
        </w:rPr>
        <w:t xml:space="preserve"> / ***</w:t>
      </w:r>
      <w:r>
        <w:br/>
      </w:r>
      <w:r>
        <w:br/>
        <w:t>La résistance en compression normalisée (f</w:t>
      </w:r>
      <w:r>
        <w:rPr>
          <w:vertAlign w:val="subscript"/>
        </w:rPr>
        <w:t>b</w:t>
      </w:r>
      <w:r>
        <w:t xml:space="preserve">) suivant [NBN EN 1996 série] est au minimum : </w:t>
      </w:r>
      <w:r>
        <w:rPr>
          <w:rStyle w:val="optioncarChar"/>
        </w:rPr>
        <w:t>5 / 10 / 15 </w:t>
      </w:r>
      <w:r>
        <w:rPr>
          <w:rStyle w:val="optioncarChar"/>
          <w:color w:val="000000"/>
        </w:rPr>
        <w:t>(par défaut)</w:t>
      </w:r>
      <w:r>
        <w:rPr>
          <w:rStyle w:val="optioncarChar"/>
        </w:rPr>
        <w:t xml:space="preserve">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w:t>
      </w:r>
      <w:r>
        <w:t>(par défaut)</w:t>
      </w:r>
      <w:r>
        <w:rPr>
          <w:rStyle w:val="optioncarChar"/>
        </w:rPr>
        <w:t xml:space="preserve"> / ***</w:t>
      </w:r>
      <w:r>
        <w:t xml:space="preserve"> kg/m³ (blocs creux) selon la [NBN EN 771-2+A1].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(290 / *** </w:t>
      </w:r>
      <w:r>
        <w:t>x</w:t>
      </w:r>
      <w:r>
        <w:rPr>
          <w:rStyle w:val="optioncarChar"/>
        </w:rPr>
        <w:t> 140 /190 ***</w:t>
      </w:r>
      <w:r>
        <w:t> x</w:t>
      </w:r>
      <w:r>
        <w:rPr>
          <w:rStyle w:val="optioncarChar"/>
        </w:rPr>
        <w:t> 140 / 190 ***</w:t>
      </w:r>
      <w:r>
        <w:t> ) mm</w:t>
      </w:r>
    </w:p>
    <w:p w14:paraId="31886108" w14:textId="77777777" w:rsidR="00DB2B68" w:rsidRDefault="00000000">
      <w: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57FF2F4B" w14:textId="77777777" w:rsidR="00DB2B68" w:rsidRDefault="00000000">
      <w:r>
        <w:t>Coefficient de transmission :</w:t>
      </w:r>
    </w:p>
    <w:p w14:paraId="73C643B5" w14:textId="77777777" w:rsidR="00DB2B68" w:rsidRDefault="00000000">
      <w:pPr>
        <w:pStyle w:val="Author-eListParagraph"/>
        <w:numPr>
          <w:ilvl w:val="0"/>
          <w:numId w:val="101"/>
        </w:numPr>
      </w:pPr>
      <w:r>
        <w:t xml:space="preserve">valeur U minimale de </w:t>
      </w:r>
      <w:r>
        <w:rPr>
          <w:rStyle w:val="optioncarChar"/>
        </w:rPr>
        <w:t>***</w:t>
      </w:r>
      <w:r>
        <w:t xml:space="preserve"> W/m²K</w:t>
      </w:r>
    </w:p>
    <w:p w14:paraId="18207370" w14:textId="77777777" w:rsidR="00DB2B68" w:rsidRDefault="00000000">
      <w:pPr>
        <w:pStyle w:val="Author-eListParagraph"/>
        <w:numPr>
          <w:ilvl w:val="0"/>
          <w:numId w:val="10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FF94CC1" w14:textId="77777777" w:rsidR="00DB2B68" w:rsidRDefault="00000000">
      <w:r>
        <w:br/>
        <w:t>Résistance au feu :</w:t>
      </w:r>
    </w:p>
    <w:p w14:paraId="0A026361" w14:textId="77777777" w:rsidR="00DB2B68" w:rsidRDefault="00000000">
      <w:pPr>
        <w:pStyle w:val="Author-eListParagraph"/>
        <w:numPr>
          <w:ilvl w:val="0"/>
          <w:numId w:val="102"/>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18AB3CDC" w14:textId="77777777" w:rsidR="00DB2B68" w:rsidRDefault="00000000">
      <w:pPr>
        <w:pStyle w:val="Author-eListParagraph"/>
        <w:numPr>
          <w:ilvl w:val="0"/>
          <w:numId w:val="102"/>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7C4A755F" w14:textId="77777777" w:rsidR="00DB2B68" w:rsidRDefault="00000000">
      <w:r>
        <w:t>selon les tableaux dans [NBN EN 1996-1-2 ANB].</w:t>
      </w:r>
    </w:p>
    <w:p w14:paraId="4F85B938" w14:textId="77777777" w:rsidR="00DB2B68" w:rsidRDefault="00000000">
      <w:pPr>
        <w:pStyle w:val="pheading"/>
      </w:pPr>
      <w:r>
        <w:t>- Finitions</w:t>
      </w:r>
    </w:p>
    <w:p w14:paraId="581F6EFC" w14:textId="77777777" w:rsidR="00DB2B68" w:rsidRDefault="00000000">
      <w:pPr>
        <w:pStyle w:val="Author-eListParagraph"/>
        <w:numPr>
          <w:ilvl w:val="0"/>
          <w:numId w:val="103"/>
        </w:numPr>
      </w:pPr>
      <w:r>
        <w:t>Les faces de murs suivantes sont exécutées comme maçonneries apparentes et sont</w:t>
      </w:r>
      <w:r>
        <w:rPr>
          <w:rStyle w:val="optioncarChar"/>
          <w:color w:val="000000"/>
        </w:rPr>
        <w:t xml:space="preserve"> rejointoyées </w:t>
      </w:r>
      <w:r>
        <w:t xml:space="preserve">selon </w:t>
      </w:r>
      <w:hyperlink w:anchor="346" w:history="1">
        <w:r>
          <w:rPr>
            <w:color w:val="0000EE"/>
          </w:rPr>
          <w:t>21.61.1b Joints de maçonnerie apparente</w:t>
        </w:r>
      </w:hyperlink>
      <w:r>
        <w:t xml:space="preserve"> : </w:t>
      </w:r>
      <w:r>
        <w:rPr>
          <w:rStyle w:val="optioncarChar"/>
        </w:rPr>
        <w:t>***</w:t>
      </w:r>
    </w:p>
    <w:p w14:paraId="48F1AAFD" w14:textId="77777777" w:rsidR="00DB2B68" w:rsidRDefault="00000000">
      <w:pPr>
        <w:pStyle w:val="Author-eListParagraph"/>
        <w:numPr>
          <w:ilvl w:val="0"/>
          <w:numId w:val="103"/>
        </w:numPr>
      </w:pPr>
      <w:r>
        <w:t xml:space="preserve">Les murs suivants sont exécutés avec une face restant apparente : </w:t>
      </w:r>
      <w:r>
        <w:rPr>
          <w:rStyle w:val="optioncarChar"/>
        </w:rPr>
        <w:t>***</w:t>
      </w:r>
    </w:p>
    <w:p w14:paraId="7A3985E5" w14:textId="77777777" w:rsidR="00DB2B68" w:rsidRDefault="00000000">
      <w:pPr>
        <w:pStyle w:val="Author-eListParagraph"/>
        <w:numPr>
          <w:ilvl w:val="0"/>
          <w:numId w:val="103"/>
        </w:numPr>
      </w:pPr>
      <w:r>
        <w:t xml:space="preserve">Les murs suivants sont exécutés avec deux faces restant apparentes : </w:t>
      </w:r>
      <w:r>
        <w:rPr>
          <w:rStyle w:val="optioncarChar"/>
        </w:rPr>
        <w:t>***</w:t>
      </w:r>
    </w:p>
    <w:p w14:paraId="0BD2A82B"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2B8A2468" w14:textId="77777777" w:rsidR="00DB2B68" w:rsidRDefault="00000000">
      <w:pPr>
        <w:ind w:left="750"/>
      </w:pPr>
      <w:r>
        <w:t> </w:t>
      </w:r>
    </w:p>
    <w:p w14:paraId="6DA378C1" w14:textId="77777777" w:rsidR="00DB2B68" w:rsidRDefault="00000000">
      <w:pPr>
        <w:ind w:left="750"/>
      </w:pPr>
      <w:r>
        <w:lastRenderedPageBreak/>
        <w:t> </w:t>
      </w:r>
    </w:p>
    <w:p w14:paraId="335C6F30" w14:textId="77777777" w:rsidR="00DB2B68" w:rsidRDefault="00000000">
      <w:pPr>
        <w:pStyle w:val="pheading"/>
      </w:pPr>
      <w:r>
        <w:t>MESURAGE</w:t>
      </w:r>
    </w:p>
    <w:p w14:paraId="7C224DA4" w14:textId="77777777" w:rsidR="00DB2B68" w:rsidRDefault="00000000">
      <w:pPr>
        <w:pStyle w:val="pheading"/>
      </w:pPr>
      <w:r>
        <w:t>- unité de mesure:</w:t>
      </w:r>
    </w:p>
    <w:p w14:paraId="4B09782D" w14:textId="77777777" w:rsidR="00DB2B68" w:rsidRDefault="00000000">
      <w:r>
        <w:rPr>
          <w:rStyle w:val="optioncarChar"/>
        </w:rPr>
        <w:t>m³ </w:t>
      </w:r>
      <w:r>
        <w:t>(par défaut)</w:t>
      </w:r>
      <w:r>
        <w:rPr>
          <w:rStyle w:val="optioncarChar"/>
        </w:rPr>
        <w:t> / m²</w:t>
      </w:r>
    </w:p>
    <w:p w14:paraId="455429E5" w14:textId="77777777" w:rsidR="00DB2B68" w:rsidRDefault="00000000">
      <w:r>
        <w:rPr>
          <w:b/>
        </w:rPr>
        <w:t>(soit par défaut)</w:t>
      </w:r>
    </w:p>
    <w:p w14:paraId="48D7FDF9" w14:textId="77777777" w:rsidR="00DB2B68" w:rsidRDefault="00000000">
      <w:r>
        <w:rPr>
          <w:rStyle w:val="soitChar"/>
        </w:rPr>
        <w:t>1. m³</w:t>
      </w:r>
    </w:p>
    <w:p w14:paraId="213713BF" w14:textId="77777777" w:rsidR="00DB2B68" w:rsidRDefault="00000000">
      <w:r>
        <w:rPr>
          <w:b/>
        </w:rPr>
        <w:t>(soit)</w:t>
      </w:r>
    </w:p>
    <w:p w14:paraId="58FD5B81" w14:textId="77777777" w:rsidR="00DB2B68" w:rsidRDefault="00000000">
      <w:r>
        <w:rPr>
          <w:rStyle w:val="soitChar"/>
        </w:rPr>
        <w:t>2. m²</w:t>
      </w:r>
    </w:p>
    <w:p w14:paraId="0AAC4AE5" w14:textId="77777777" w:rsidR="00DB2B68" w:rsidRDefault="00000000">
      <w:pPr>
        <w:pStyle w:val="pheading"/>
      </w:pPr>
      <w:r>
        <w:t>- code de mesurage:</w:t>
      </w:r>
    </w:p>
    <w:p w14:paraId="0EC1DD4E"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E53AFF6"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B9233CE"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2DA2B99" w14:textId="77777777" w:rsidR="00DB2B68" w:rsidRDefault="00DB2B68"/>
    <w:p w14:paraId="26C7442E" w14:textId="77777777" w:rsidR="00DB2B68" w:rsidRDefault="00000000">
      <w:r>
        <w:rPr>
          <w:rStyle w:val="optioncarChar"/>
        </w:rPr>
        <w:t>Volume net </w:t>
      </w:r>
      <w:r>
        <w:t>(par défaut)</w:t>
      </w:r>
      <w:r>
        <w:rPr>
          <w:rStyle w:val="optioncarChar"/>
        </w:rPr>
        <w:t> / Surface nette</w:t>
      </w:r>
    </w:p>
    <w:p w14:paraId="458F6A02" w14:textId="77777777" w:rsidR="00DB2B68" w:rsidRDefault="00000000">
      <w:r>
        <w:rPr>
          <w:b/>
        </w:rPr>
        <w:t>(soit par défaut)</w:t>
      </w:r>
    </w:p>
    <w:p w14:paraId="29E2ABA4"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7DF6F0B" w14:textId="77777777" w:rsidR="00DB2B68" w:rsidRDefault="00000000">
      <w:r>
        <w:rPr>
          <w:b/>
        </w:rPr>
        <w:t>(soit)</w:t>
      </w:r>
    </w:p>
    <w:p w14:paraId="51B3E93D"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E07A6E4" w14:textId="77777777" w:rsidR="00DB2B68" w:rsidRDefault="00000000">
      <w:pPr>
        <w:ind w:left="750"/>
      </w:pPr>
      <w:r>
        <w:t> </w:t>
      </w:r>
    </w:p>
    <w:p w14:paraId="069A81F3" w14:textId="77777777" w:rsidR="00DB2B68" w:rsidRDefault="00000000">
      <w:pPr>
        <w:pStyle w:val="pheading"/>
      </w:pPr>
      <w:r>
        <w:t>- nature du marché:</w:t>
      </w:r>
    </w:p>
    <w:p w14:paraId="70780A56" w14:textId="77777777" w:rsidR="00DB2B68" w:rsidRDefault="00000000">
      <w:r>
        <w:t>QF</w:t>
      </w:r>
    </w:p>
    <w:p w14:paraId="483174E3" w14:textId="77777777" w:rsidR="00DB2B68" w:rsidRDefault="00000000">
      <w:pPr>
        <w:pStyle w:val="Author-eSectionHeading6Numberless"/>
      </w:pPr>
      <w:bookmarkStart w:id="58" w:name="_Toc220495220"/>
      <w:r>
        <w:t>21.12.5b Maçonneries portantes en blocs de silico-calcaire pleins à coller CCTB 01.12</w:t>
      </w:r>
      <w:bookmarkEnd w:id="58"/>
    </w:p>
    <w:p w14:paraId="2C5DF4D1" w14:textId="77777777" w:rsidR="00DB2B68" w:rsidRDefault="00000000">
      <w:pPr>
        <w:pStyle w:val="pheading"/>
      </w:pPr>
      <w:r>
        <w:t>DESCRIPTION</w:t>
      </w:r>
    </w:p>
    <w:p w14:paraId="2B85D34A" w14:textId="77777777" w:rsidR="00DB2B68" w:rsidRDefault="00000000">
      <w:pPr>
        <w:pStyle w:val="pheading"/>
      </w:pPr>
      <w:r>
        <w:t>- Définition / Comprend</w:t>
      </w:r>
    </w:p>
    <w:p w14:paraId="48077DCC" w14:textId="77777777" w:rsidR="00DB2B68" w:rsidRDefault="00000000">
      <w:r>
        <w:t xml:space="preserve">Il s’agit de la fourniture et la pose de maçonneries portantes en blocs de silico-calcaire pleins à coller. </w:t>
      </w:r>
      <w:r>
        <w:br/>
        <w:t xml:space="preserve">La portée des travaux est décrite dans l’article </w:t>
      </w:r>
      <w:hyperlink w:anchor="372" w:history="1">
        <w:r>
          <w:rPr>
            <w:color w:val="0000EE"/>
          </w:rPr>
          <w:t>21.12.5 Maçonneries portantes en blocs de silico-calcaire</w:t>
        </w:r>
      </w:hyperlink>
      <w:r>
        <w:t>.</w:t>
      </w:r>
      <w:r>
        <w:br/>
      </w:r>
      <w:r>
        <w:lastRenderedPageBreak/>
        <w:t>Les travaux comprennent également la fourniture et la pose des pièces d’angle, de terminaison et de rencontre.</w:t>
      </w:r>
    </w:p>
    <w:p w14:paraId="6271D2A0" w14:textId="77777777" w:rsidR="00DB2B68" w:rsidRDefault="00000000">
      <w:pPr>
        <w:pStyle w:val="pheading"/>
      </w:pPr>
      <w:r>
        <w:t>- Localisation</w:t>
      </w:r>
    </w:p>
    <w:p w14:paraId="43AA23F5" w14:textId="77777777" w:rsidR="00DB2B68" w:rsidRDefault="00000000">
      <w:r>
        <w:t xml:space="preserve">La pose est réalisée aux endroits suivants : </w:t>
      </w:r>
      <w:r>
        <w:rPr>
          <w:rStyle w:val="optioncarChar"/>
        </w:rPr>
        <w:t>***</w:t>
      </w:r>
      <w:r>
        <w:t>.</w:t>
      </w:r>
      <w:r>
        <w:br/>
        <w:t>Voir plans et métrés détaillés.</w:t>
      </w:r>
    </w:p>
    <w:p w14:paraId="7132540E" w14:textId="77777777" w:rsidR="00DB2B68" w:rsidRDefault="00000000">
      <w:pPr>
        <w:pStyle w:val="pheading"/>
      </w:pPr>
      <w:r>
        <w:t>MATÉRIAUX</w:t>
      </w:r>
    </w:p>
    <w:p w14:paraId="32CF8610" w14:textId="77777777" w:rsidR="00DB2B68" w:rsidRDefault="00000000">
      <w:pPr>
        <w:pStyle w:val="pheading"/>
      </w:pPr>
      <w:r>
        <w:t>- Caractéristiques générales</w:t>
      </w:r>
    </w:p>
    <w:p w14:paraId="5E56D9B8" w14:textId="77777777" w:rsidR="00DB2B68" w:rsidRDefault="00000000">
      <w:r>
        <w:rPr>
          <w:rStyle w:val="headingChar"/>
        </w:rPr>
        <w:t>Spécifications</w:t>
      </w:r>
    </w:p>
    <w:p w14:paraId="44EB53BE"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25/1,8 / ***</w:t>
      </w:r>
      <w:r>
        <w:br/>
      </w:r>
      <w:r>
        <w:br/>
        <w:t>La résistance en compression normalisée (f</w:t>
      </w:r>
      <w:r>
        <w:rPr>
          <w:vertAlign w:val="subscript"/>
        </w:rPr>
        <w:t>b</w:t>
      </w:r>
      <w:r>
        <w:t>) suivant [NBN EN 1996 série] est au minimum :</w:t>
      </w:r>
      <w:r>
        <w:rPr>
          <w:rStyle w:val="optioncarChar"/>
        </w:rPr>
        <w:t xml:space="preserve"> 5 / 10 / 15 / 20 / 25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w:t>
      </w:r>
      <w:r>
        <w:rPr>
          <w:rStyle w:val="optioncarChar"/>
        </w:rPr>
        <w:t>1800 kg/m³ (blocs pleins)</w:t>
      </w:r>
      <w:r>
        <w:t xml:space="preserve"> (par défaut)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 </w:t>
      </w:r>
      <w:r>
        <w:rPr>
          <w:rStyle w:val="optioncarChar"/>
        </w:rPr>
        <w:t>150 / 200 / ***</w:t>
      </w:r>
      <w:r>
        <w:t> x</w:t>
      </w:r>
      <w:r>
        <w:rPr>
          <w:rStyle w:val="optioncarChar"/>
        </w:rPr>
        <w:t> 150 / 200 / ***</w:t>
      </w:r>
      <w:r>
        <w:t> ) mm</w:t>
      </w:r>
    </w:p>
    <w:p w14:paraId="12F86915" w14:textId="77777777" w:rsidR="00DB2B68"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 xml:space="preserve">(par défaut) </w:t>
      </w:r>
      <w:r>
        <w:rPr>
          <w:rStyle w:val="optioncarChar"/>
        </w:rPr>
        <w:t>/ ***</w:t>
      </w:r>
      <w:r>
        <w:br/>
      </w:r>
      <w:r>
        <w:br/>
      </w:r>
      <w:r>
        <w:rPr>
          <w:rStyle w:val="headingChar"/>
        </w:rPr>
        <w:t>Critères De Performances De La Paroi</w:t>
      </w:r>
    </w:p>
    <w:p w14:paraId="5EE401ED" w14:textId="77777777" w:rsidR="00DB2B68" w:rsidRDefault="00000000">
      <w:r>
        <w:t>Coefficient de transmission :</w:t>
      </w:r>
    </w:p>
    <w:p w14:paraId="6C2ABCE2" w14:textId="77777777" w:rsidR="00DB2B68" w:rsidRDefault="00000000">
      <w:pPr>
        <w:pStyle w:val="Author-eListParagraph"/>
        <w:numPr>
          <w:ilvl w:val="0"/>
          <w:numId w:val="104"/>
        </w:numPr>
      </w:pPr>
      <w:r>
        <w:t xml:space="preserve">valeur U minimale de </w:t>
      </w:r>
      <w:r>
        <w:rPr>
          <w:rStyle w:val="optioncarChar"/>
        </w:rPr>
        <w:t>***</w:t>
      </w:r>
      <w:r>
        <w:t xml:space="preserve"> W/m²K</w:t>
      </w:r>
    </w:p>
    <w:p w14:paraId="3E9D177F" w14:textId="77777777" w:rsidR="00DB2B68" w:rsidRDefault="00000000">
      <w:pPr>
        <w:pStyle w:val="Author-eListParagraph"/>
        <w:numPr>
          <w:ilvl w:val="0"/>
          <w:numId w:val="10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B9B4478" w14:textId="77777777" w:rsidR="00DB2B68" w:rsidRDefault="00000000">
      <w:r>
        <w:br/>
        <w:t>Résistance au feu :</w:t>
      </w:r>
    </w:p>
    <w:p w14:paraId="7E9E878E" w14:textId="77777777" w:rsidR="00DB2B68" w:rsidRDefault="00000000">
      <w:pPr>
        <w:pStyle w:val="Author-eListParagraph"/>
        <w:numPr>
          <w:ilvl w:val="0"/>
          <w:numId w:val="105"/>
        </w:numPr>
      </w:pPr>
      <w:r>
        <w:lastRenderedPageBreak/>
        <w:t xml:space="preserve">pour les éléments porteurs structurels sans fonction séparante : </w:t>
      </w:r>
      <w:r>
        <w:rPr>
          <w:rStyle w:val="optioncarChar"/>
        </w:rPr>
        <w:t>R15 / R30 </w:t>
      </w:r>
      <w:r>
        <w:t>(par défaut)</w:t>
      </w:r>
      <w:r>
        <w:rPr>
          <w:rStyle w:val="optioncarChar"/>
        </w:rPr>
        <w:t xml:space="preserve"> / R60 / R90 / R120 / R***</w:t>
      </w:r>
    </w:p>
    <w:p w14:paraId="22C35C3B" w14:textId="77777777" w:rsidR="00DB2B68" w:rsidRDefault="00000000">
      <w:pPr>
        <w:pStyle w:val="Author-eListParagraph"/>
        <w:numPr>
          <w:ilvl w:val="0"/>
          <w:numId w:val="105"/>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3BB610D6" w14:textId="77777777" w:rsidR="00DB2B68" w:rsidRDefault="00000000">
      <w:r>
        <w:t>selon les tableaux dans [NBN EN 1996-1-2 ANB].</w:t>
      </w:r>
    </w:p>
    <w:p w14:paraId="52B0AD92" w14:textId="77777777" w:rsidR="00DB2B68" w:rsidRDefault="00000000">
      <w:pPr>
        <w:pStyle w:val="pheading"/>
      </w:pPr>
      <w:r>
        <w:t>- Finitions</w:t>
      </w:r>
    </w:p>
    <w:p w14:paraId="5EFF8CFC" w14:textId="77777777" w:rsidR="00DB2B68" w:rsidRDefault="00000000">
      <w:pPr>
        <w:pStyle w:val="Author-eListParagraph"/>
        <w:numPr>
          <w:ilvl w:val="0"/>
          <w:numId w:val="106"/>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0CD07C50" w14:textId="77777777" w:rsidR="00DB2B68" w:rsidRDefault="00000000">
      <w:pPr>
        <w:pStyle w:val="Author-eListParagraph"/>
        <w:numPr>
          <w:ilvl w:val="0"/>
          <w:numId w:val="106"/>
        </w:numPr>
      </w:pPr>
      <w:r>
        <w:t xml:space="preserve">Les murs suivants sont exécutés avec une face restant apparente : </w:t>
      </w:r>
      <w:r>
        <w:rPr>
          <w:rStyle w:val="optioncarChar"/>
        </w:rPr>
        <w:t>***</w:t>
      </w:r>
    </w:p>
    <w:p w14:paraId="353DB798" w14:textId="77777777" w:rsidR="00DB2B68" w:rsidRDefault="00000000">
      <w:pPr>
        <w:pStyle w:val="Author-eListParagraph"/>
        <w:numPr>
          <w:ilvl w:val="0"/>
          <w:numId w:val="106"/>
        </w:numPr>
      </w:pPr>
      <w:r>
        <w:t xml:space="preserve">Les murs suivants sont exécutés avec deux faces restant apparentes : </w:t>
      </w:r>
      <w:r>
        <w:rPr>
          <w:rStyle w:val="optioncarChar"/>
        </w:rPr>
        <w:t>***</w:t>
      </w:r>
    </w:p>
    <w:p w14:paraId="1BB91458"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264E2A72" w14:textId="77777777" w:rsidR="00DB2B68" w:rsidRDefault="00000000">
      <w:pPr>
        <w:pStyle w:val="pheading"/>
      </w:pPr>
      <w:r>
        <w:t>MESURAGE</w:t>
      </w:r>
    </w:p>
    <w:p w14:paraId="1FBF0CEA" w14:textId="77777777" w:rsidR="00DB2B68" w:rsidRDefault="00000000">
      <w:pPr>
        <w:pStyle w:val="pheading"/>
      </w:pPr>
      <w:r>
        <w:t>- unité de mesure:</w:t>
      </w:r>
    </w:p>
    <w:p w14:paraId="7F5F3B01" w14:textId="77777777" w:rsidR="00DB2B68" w:rsidRDefault="00000000">
      <w:r>
        <w:rPr>
          <w:rStyle w:val="optioncarChar"/>
        </w:rPr>
        <w:t>m³ </w:t>
      </w:r>
      <w:r>
        <w:t>(par défaut)</w:t>
      </w:r>
      <w:r>
        <w:rPr>
          <w:rStyle w:val="optioncarChar"/>
        </w:rPr>
        <w:t> / m²</w:t>
      </w:r>
    </w:p>
    <w:p w14:paraId="036798F1" w14:textId="77777777" w:rsidR="00DB2B68" w:rsidRDefault="00000000">
      <w:r>
        <w:rPr>
          <w:b/>
        </w:rPr>
        <w:t>(soit par défaut)</w:t>
      </w:r>
    </w:p>
    <w:p w14:paraId="38630787" w14:textId="77777777" w:rsidR="00DB2B68" w:rsidRDefault="00000000">
      <w:r>
        <w:rPr>
          <w:rStyle w:val="soitChar"/>
        </w:rPr>
        <w:t>1. m³</w:t>
      </w:r>
    </w:p>
    <w:p w14:paraId="4A24A5CD" w14:textId="77777777" w:rsidR="00DB2B68" w:rsidRDefault="00000000">
      <w:r>
        <w:rPr>
          <w:b/>
        </w:rPr>
        <w:t>(soit)</w:t>
      </w:r>
    </w:p>
    <w:p w14:paraId="7AF9888E" w14:textId="77777777" w:rsidR="00DB2B68" w:rsidRDefault="00000000">
      <w:r>
        <w:rPr>
          <w:rStyle w:val="soitChar"/>
        </w:rPr>
        <w:t>2. m²</w:t>
      </w:r>
    </w:p>
    <w:p w14:paraId="51F89CAE" w14:textId="77777777" w:rsidR="00DB2B68" w:rsidRDefault="00000000">
      <w:pPr>
        <w:pStyle w:val="pheading"/>
      </w:pPr>
      <w:r>
        <w:t>- code de mesurage:</w:t>
      </w:r>
    </w:p>
    <w:p w14:paraId="499FAB08"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D713A5C"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BD896D7"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F1F9184" w14:textId="77777777" w:rsidR="00DB2B68" w:rsidRDefault="00DB2B68"/>
    <w:p w14:paraId="091E65E0" w14:textId="77777777" w:rsidR="00DB2B68" w:rsidRDefault="00000000">
      <w:r>
        <w:rPr>
          <w:rStyle w:val="optioncarChar"/>
        </w:rPr>
        <w:t>Volume net </w:t>
      </w:r>
      <w:r>
        <w:t>(par défaut)</w:t>
      </w:r>
      <w:r>
        <w:rPr>
          <w:rStyle w:val="optioncarChar"/>
        </w:rPr>
        <w:t> / Surface nette</w:t>
      </w:r>
    </w:p>
    <w:p w14:paraId="6E36EB95" w14:textId="77777777" w:rsidR="00DB2B68" w:rsidRDefault="00000000">
      <w:r>
        <w:rPr>
          <w:b/>
        </w:rPr>
        <w:t>(soit par défaut)</w:t>
      </w:r>
    </w:p>
    <w:p w14:paraId="4BF8AF96"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E74DC18" w14:textId="77777777" w:rsidR="00DB2B68" w:rsidRDefault="00000000">
      <w:r>
        <w:rPr>
          <w:b/>
        </w:rPr>
        <w:t>(soit)</w:t>
      </w:r>
    </w:p>
    <w:p w14:paraId="042C4CF4"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290E404" w14:textId="77777777" w:rsidR="00DB2B68" w:rsidRDefault="00000000">
      <w:pPr>
        <w:pStyle w:val="pheading"/>
      </w:pPr>
      <w:r>
        <w:t>- nature du marché:</w:t>
      </w:r>
    </w:p>
    <w:p w14:paraId="7B8829D8" w14:textId="77777777" w:rsidR="00DB2B68" w:rsidRDefault="00000000">
      <w:r>
        <w:lastRenderedPageBreak/>
        <w:t>QF</w:t>
      </w:r>
    </w:p>
    <w:p w14:paraId="31BA2CBF" w14:textId="77777777" w:rsidR="00DB2B68" w:rsidRDefault="00000000">
      <w:pPr>
        <w:pStyle w:val="Author-eSectionHeading6Numberless"/>
      </w:pPr>
      <w:bookmarkStart w:id="59" w:name="_Toc220495221"/>
      <w:r>
        <w:t>21.12.5c Maçonneries portantes en blocs de silico-calcaire creux à coller CCTB 01.12</w:t>
      </w:r>
      <w:bookmarkEnd w:id="59"/>
    </w:p>
    <w:p w14:paraId="4E5356CE" w14:textId="77777777" w:rsidR="00DB2B68" w:rsidRDefault="00000000">
      <w:pPr>
        <w:pStyle w:val="pheading"/>
      </w:pPr>
      <w:r>
        <w:t>DESCRIPTION</w:t>
      </w:r>
    </w:p>
    <w:p w14:paraId="6E35F83F" w14:textId="77777777" w:rsidR="00DB2B68" w:rsidRDefault="00000000">
      <w:pPr>
        <w:pStyle w:val="pheading"/>
      </w:pPr>
      <w:r>
        <w:t>- Définition / Comprend</w:t>
      </w:r>
    </w:p>
    <w:p w14:paraId="278179CE" w14:textId="77777777" w:rsidR="00DB2B68" w:rsidRDefault="00000000">
      <w:r>
        <w:t xml:space="preserve">Il s’agit de la fourniture et la pose de maçonneries portantes en blocs de silico-calcaire creux à coller. </w:t>
      </w:r>
      <w:r>
        <w:br/>
        <w:t xml:space="preserve">La portée des travaux est décrite dans l’article </w:t>
      </w:r>
      <w:hyperlink w:anchor="372" w:history="1">
        <w:r>
          <w:rPr>
            <w:color w:val="0000EE"/>
          </w:rPr>
          <w:t>21.12.5 Maçonneries portantes en blocs de silico-calcaire</w:t>
        </w:r>
      </w:hyperlink>
      <w:r>
        <w:t>.</w:t>
      </w:r>
      <w:r>
        <w:br/>
        <w:t>Les travaux comprennent également la fourniture et la pose des pièces d’angle, de terminaison et de rencontre.</w:t>
      </w:r>
    </w:p>
    <w:p w14:paraId="2D2AA37C" w14:textId="77777777" w:rsidR="00DB2B68" w:rsidRDefault="00000000">
      <w:pPr>
        <w:pStyle w:val="pheading"/>
      </w:pPr>
      <w:r>
        <w:t>- Localisation</w:t>
      </w:r>
    </w:p>
    <w:p w14:paraId="57CEA91B" w14:textId="77777777" w:rsidR="00DB2B68" w:rsidRDefault="00000000">
      <w:r>
        <w:t xml:space="preserve">La pose est réalisée aux endroits suivants : </w:t>
      </w:r>
      <w:r>
        <w:rPr>
          <w:rStyle w:val="optioncarChar"/>
        </w:rPr>
        <w:t>***</w:t>
      </w:r>
      <w:r>
        <w:t>.</w:t>
      </w:r>
      <w:r>
        <w:br/>
        <w:t>Voir plans et métrés détaillés.</w:t>
      </w:r>
    </w:p>
    <w:p w14:paraId="2E3A6194" w14:textId="77777777" w:rsidR="00DB2B68" w:rsidRDefault="00000000">
      <w:pPr>
        <w:pStyle w:val="pheading"/>
      </w:pPr>
      <w:r>
        <w:t>MATÉRIAUX</w:t>
      </w:r>
    </w:p>
    <w:p w14:paraId="10BE2C68" w14:textId="77777777" w:rsidR="00DB2B68" w:rsidRDefault="00000000">
      <w:pPr>
        <w:pStyle w:val="pheading"/>
      </w:pPr>
      <w:r>
        <w:t>- Caractéristiques générales</w:t>
      </w:r>
    </w:p>
    <w:p w14:paraId="6ABA49C0" w14:textId="77777777" w:rsidR="00DB2B68" w:rsidRDefault="00000000">
      <w:r>
        <w:rPr>
          <w:rStyle w:val="headingChar"/>
        </w:rPr>
        <w:t>Spécifications</w:t>
      </w:r>
    </w:p>
    <w:p w14:paraId="07AC3EE5"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w:t>
      </w:r>
      <w:r>
        <w:rPr>
          <w:rStyle w:val="optioncarChar"/>
          <w:color w:val="000000"/>
        </w:rPr>
        <w:t>(par défaut)</w:t>
      </w:r>
      <w:r>
        <w:rPr>
          <w:rStyle w:val="optioncarChar"/>
        </w:rPr>
        <w:t xml:space="preserve">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 </w:t>
      </w:r>
      <w:r>
        <w:rPr>
          <w:rStyle w:val="optioncarChar"/>
        </w:rPr>
        <w:t>150 / 200 / ***</w:t>
      </w:r>
      <w:r>
        <w:t> x</w:t>
      </w:r>
      <w:r>
        <w:rPr>
          <w:rStyle w:val="optioncarChar"/>
        </w:rPr>
        <w:t> 150 / 200 / ***</w:t>
      </w:r>
      <w:r>
        <w:t> ) mm </w:t>
      </w:r>
    </w:p>
    <w:p w14:paraId="75F57922" w14:textId="77777777" w:rsidR="00DB2B68" w:rsidRDefault="00000000">
      <w: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code </w:t>
      </w:r>
      <w:r>
        <w:rPr>
          <w:rStyle w:val="optioncarChar"/>
        </w:rPr>
        <w:t>A1 (exposé décoratif) / A2 (exposé)</w:t>
      </w:r>
      <w:r>
        <w:t> (par défaut)</w:t>
      </w:r>
      <w:r>
        <w:br/>
      </w:r>
      <w:r>
        <w:br/>
        <w:t xml:space="preserve">Résistance au gel suivant les classes d’application selon [NBN EN 1996-2 ANB] et [NIT 271]: </w:t>
      </w:r>
      <w:r>
        <w:rPr>
          <w:rStyle w:val="optioncarChar"/>
        </w:rPr>
        <w:t>classe F1 (MX3.1) </w:t>
      </w:r>
      <w:r>
        <w:t>(par défaut)</w:t>
      </w:r>
      <w:r>
        <w:rPr>
          <w:rStyle w:val="optioncarChar"/>
        </w:rPr>
        <w:t xml:space="preserve"> / classe F2 (MX3.2</w:t>
      </w:r>
      <w:r>
        <w:t>)</w:t>
      </w:r>
      <w:r>
        <w:br/>
      </w:r>
      <w:r>
        <w:br/>
      </w:r>
      <w:r>
        <w:lastRenderedPageBreak/>
        <w:t xml:space="preserve">Réaction au feu : </w:t>
      </w:r>
      <w:r>
        <w:rPr>
          <w:rStyle w:val="optioncarChar"/>
        </w:rPr>
        <w:t>A1</w:t>
      </w:r>
      <w:r>
        <w:t> (par défaut)</w:t>
      </w:r>
      <w:r>
        <w:rPr>
          <w:rStyle w:val="optioncarChar"/>
        </w:rPr>
        <w:t xml:space="preserve"> / ***</w:t>
      </w:r>
      <w:r>
        <w:br/>
      </w:r>
      <w:r>
        <w:br/>
      </w:r>
      <w:r>
        <w:rPr>
          <w:rStyle w:val="headingChar"/>
        </w:rPr>
        <w:t>Critères De Performances De La Paroi</w:t>
      </w:r>
    </w:p>
    <w:p w14:paraId="6534F20E" w14:textId="77777777" w:rsidR="00DB2B68" w:rsidRDefault="00000000">
      <w:r>
        <w:t>Coefficient de transmission :</w:t>
      </w:r>
    </w:p>
    <w:p w14:paraId="3B36E1B9" w14:textId="77777777" w:rsidR="00DB2B68" w:rsidRDefault="00000000">
      <w:pPr>
        <w:pStyle w:val="Author-eListParagraph"/>
        <w:numPr>
          <w:ilvl w:val="0"/>
          <w:numId w:val="107"/>
        </w:numPr>
      </w:pPr>
      <w:r>
        <w:t xml:space="preserve">valeur U minimale de </w:t>
      </w:r>
      <w:r>
        <w:rPr>
          <w:rStyle w:val="optioncarChar"/>
        </w:rPr>
        <w:t>***</w:t>
      </w:r>
      <w:r>
        <w:t xml:space="preserve"> W/m²K</w:t>
      </w:r>
    </w:p>
    <w:p w14:paraId="437E397E" w14:textId="77777777" w:rsidR="00DB2B68" w:rsidRDefault="00000000">
      <w:pPr>
        <w:pStyle w:val="Author-eListParagraph"/>
        <w:numPr>
          <w:ilvl w:val="0"/>
          <w:numId w:val="10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C7074F5" w14:textId="77777777" w:rsidR="00DB2B68" w:rsidRDefault="00000000">
      <w:r>
        <w:br/>
        <w:t>Résistance au feu :</w:t>
      </w:r>
    </w:p>
    <w:p w14:paraId="6143C134" w14:textId="77777777" w:rsidR="00DB2B68" w:rsidRDefault="00000000">
      <w:pPr>
        <w:pStyle w:val="Author-eListParagraph"/>
        <w:numPr>
          <w:ilvl w:val="0"/>
          <w:numId w:val="108"/>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7F57DECC" w14:textId="77777777" w:rsidR="00DB2B68" w:rsidRDefault="00000000">
      <w:pPr>
        <w:pStyle w:val="Author-eListParagraph"/>
        <w:numPr>
          <w:ilvl w:val="0"/>
          <w:numId w:val="108"/>
        </w:numPr>
      </w:pPr>
      <w:r>
        <w:t xml:space="preserve">pour les éléments porteurs structurels avec fonction séparante : </w:t>
      </w:r>
      <w:r>
        <w:rPr>
          <w:rStyle w:val="optioncarChar"/>
        </w:rPr>
        <w:t>REI30</w:t>
      </w:r>
      <w:r>
        <w:t xml:space="preserve"> (par défaut) </w:t>
      </w:r>
      <w:r>
        <w:rPr>
          <w:rStyle w:val="optioncarChar"/>
        </w:rPr>
        <w:t>/ REI60 / REI90 / REI120 / REI***</w:t>
      </w:r>
    </w:p>
    <w:p w14:paraId="690B426D" w14:textId="77777777" w:rsidR="00DB2B68" w:rsidRDefault="00000000">
      <w:r>
        <w:t>selon les tableaux dans [NBN EN 1996-1-2 ANB].</w:t>
      </w:r>
    </w:p>
    <w:p w14:paraId="7000356C" w14:textId="77777777" w:rsidR="00DB2B68" w:rsidRDefault="00000000">
      <w:pPr>
        <w:ind w:left="750"/>
      </w:pPr>
      <w:r>
        <w:t> </w:t>
      </w:r>
    </w:p>
    <w:p w14:paraId="530E6AAB" w14:textId="77777777" w:rsidR="00DB2B68" w:rsidRDefault="00000000">
      <w:pPr>
        <w:pStyle w:val="pheading"/>
      </w:pPr>
      <w:r>
        <w:t>- Finitions</w:t>
      </w:r>
    </w:p>
    <w:p w14:paraId="6B1EF477" w14:textId="77777777" w:rsidR="00DB2B68" w:rsidRDefault="00000000">
      <w:pPr>
        <w:pStyle w:val="Author-eListParagraph"/>
        <w:numPr>
          <w:ilvl w:val="0"/>
          <w:numId w:val="109"/>
        </w:numPr>
      </w:pPr>
      <w:r>
        <w:t>Les faces de murs suivantes sont exécutées comme maçonneries apparentes et sont</w:t>
      </w:r>
      <w:r>
        <w:rPr>
          <w:rStyle w:val="optioncarChar"/>
          <w:color w:val="000000"/>
        </w:rPr>
        <w:t xml:space="preserve"> rejointoyées</w:t>
      </w:r>
      <w:r>
        <w:t xml:space="preserve"> selon </w:t>
      </w:r>
      <w:hyperlink w:anchor="346" w:history="1">
        <w:r>
          <w:rPr>
            <w:color w:val="0000EE"/>
          </w:rPr>
          <w:t>21.61.1b Joints de maçonnerie apparente</w:t>
        </w:r>
      </w:hyperlink>
      <w:r>
        <w:t xml:space="preserve"> : </w:t>
      </w:r>
      <w:r>
        <w:rPr>
          <w:rStyle w:val="optioncarChar"/>
        </w:rPr>
        <w:t>***</w:t>
      </w:r>
    </w:p>
    <w:p w14:paraId="1D956AF9" w14:textId="77777777" w:rsidR="00DB2B68" w:rsidRDefault="00000000">
      <w:pPr>
        <w:pStyle w:val="Author-eListParagraph"/>
        <w:numPr>
          <w:ilvl w:val="0"/>
          <w:numId w:val="109"/>
        </w:numPr>
      </w:pPr>
      <w:r>
        <w:t xml:space="preserve">Les murs suivants sont exécutés avec une face restant apparente : </w:t>
      </w:r>
      <w:r>
        <w:rPr>
          <w:rStyle w:val="optioncarChar"/>
        </w:rPr>
        <w:t>***</w:t>
      </w:r>
    </w:p>
    <w:p w14:paraId="0835A21C" w14:textId="77777777" w:rsidR="00DB2B68" w:rsidRDefault="00000000">
      <w:pPr>
        <w:pStyle w:val="Author-eListParagraph"/>
        <w:numPr>
          <w:ilvl w:val="0"/>
          <w:numId w:val="109"/>
        </w:numPr>
      </w:pPr>
      <w:r>
        <w:t xml:space="preserve">Les murs suivants sont exécutés avec deux faces restant apparentes : </w:t>
      </w:r>
      <w:r>
        <w:rPr>
          <w:rStyle w:val="optioncarChar"/>
        </w:rPr>
        <w:t>***</w:t>
      </w:r>
    </w:p>
    <w:p w14:paraId="0C98C2DF"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5B78AF6A" w14:textId="77777777" w:rsidR="00DB2B68" w:rsidRDefault="00000000">
      <w:pPr>
        <w:pStyle w:val="pheading"/>
      </w:pPr>
      <w:r>
        <w:t>MESURAGE</w:t>
      </w:r>
    </w:p>
    <w:p w14:paraId="3FEE5D82" w14:textId="77777777" w:rsidR="00DB2B68" w:rsidRDefault="00000000">
      <w:pPr>
        <w:pStyle w:val="pheading"/>
      </w:pPr>
      <w:r>
        <w:t>- unité de mesure:</w:t>
      </w:r>
    </w:p>
    <w:p w14:paraId="36862290" w14:textId="77777777" w:rsidR="00DB2B68" w:rsidRDefault="00000000">
      <w:r>
        <w:rPr>
          <w:rStyle w:val="optioncarChar"/>
        </w:rPr>
        <w:t>m³ </w:t>
      </w:r>
      <w:r>
        <w:t>(par défaut)</w:t>
      </w:r>
      <w:r>
        <w:rPr>
          <w:rStyle w:val="optioncarChar"/>
        </w:rPr>
        <w:t> / m²</w:t>
      </w:r>
    </w:p>
    <w:p w14:paraId="52E8BC16" w14:textId="77777777" w:rsidR="00DB2B68" w:rsidRDefault="00000000">
      <w:r>
        <w:rPr>
          <w:b/>
        </w:rPr>
        <w:t>(soit par défaut)</w:t>
      </w:r>
    </w:p>
    <w:p w14:paraId="458486A9" w14:textId="77777777" w:rsidR="00DB2B68" w:rsidRDefault="00000000">
      <w:r>
        <w:rPr>
          <w:rStyle w:val="soitChar"/>
        </w:rPr>
        <w:t>1. m³</w:t>
      </w:r>
    </w:p>
    <w:p w14:paraId="082EE61A" w14:textId="77777777" w:rsidR="00DB2B68" w:rsidRDefault="00000000">
      <w:r>
        <w:rPr>
          <w:b/>
        </w:rPr>
        <w:t>(soit)</w:t>
      </w:r>
    </w:p>
    <w:p w14:paraId="0A3E2BB8" w14:textId="77777777" w:rsidR="00DB2B68" w:rsidRDefault="00000000">
      <w:r>
        <w:rPr>
          <w:rStyle w:val="soitChar"/>
        </w:rPr>
        <w:t>2. m²</w:t>
      </w:r>
    </w:p>
    <w:p w14:paraId="0E1FF522" w14:textId="77777777" w:rsidR="00DB2B68" w:rsidRDefault="00000000">
      <w:pPr>
        <w:pStyle w:val="pheading"/>
      </w:pPr>
      <w:r>
        <w:t>- code de mesurage:</w:t>
      </w:r>
    </w:p>
    <w:p w14:paraId="7B0BD12B"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F646B31"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A70E0FD"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7740780" w14:textId="77777777" w:rsidR="00DB2B68" w:rsidRDefault="00000000">
      <w:r>
        <w:rPr>
          <w:rStyle w:val="optioncarChar"/>
        </w:rPr>
        <w:t>Volume net </w:t>
      </w:r>
      <w:r>
        <w:t>(par défaut)</w:t>
      </w:r>
      <w:r>
        <w:rPr>
          <w:rStyle w:val="optioncarChar"/>
        </w:rPr>
        <w:t> / Surface nette</w:t>
      </w:r>
    </w:p>
    <w:p w14:paraId="39509F2E" w14:textId="77777777" w:rsidR="00DB2B68" w:rsidRDefault="00000000">
      <w:r>
        <w:rPr>
          <w:b/>
        </w:rPr>
        <w:lastRenderedPageBreak/>
        <w:t>(soit par défaut)</w:t>
      </w:r>
    </w:p>
    <w:p w14:paraId="64F76DEB"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340B1C8" w14:textId="77777777" w:rsidR="00DB2B68" w:rsidRDefault="00000000">
      <w:r>
        <w:rPr>
          <w:b/>
        </w:rPr>
        <w:t>(soit)</w:t>
      </w:r>
    </w:p>
    <w:p w14:paraId="63F0FE3A"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F55D63C" w14:textId="77777777" w:rsidR="00DB2B68" w:rsidRDefault="00000000">
      <w:pPr>
        <w:ind w:left="750"/>
      </w:pPr>
      <w:r>
        <w:t> </w:t>
      </w:r>
    </w:p>
    <w:p w14:paraId="0B087A24" w14:textId="77777777" w:rsidR="00DB2B68" w:rsidRDefault="00000000">
      <w:pPr>
        <w:pStyle w:val="pheading"/>
      </w:pPr>
      <w:r>
        <w:t>- nature du marché:</w:t>
      </w:r>
    </w:p>
    <w:p w14:paraId="5F426F59" w14:textId="77777777" w:rsidR="00DB2B68" w:rsidRDefault="00000000">
      <w:r>
        <w:t>QF</w:t>
      </w:r>
    </w:p>
    <w:p w14:paraId="12B692FC" w14:textId="77777777" w:rsidR="00DB2B68" w:rsidRDefault="00000000">
      <w:pPr>
        <w:pStyle w:val="Author-eSectionHeading6Numberless"/>
      </w:pPr>
      <w:bookmarkStart w:id="60" w:name="_Toc220495222"/>
      <w:r>
        <w:t>21.12.5d Maçonneries portantes en blocs de silico-calcaire apparents à coller avec chanfreins CCTB 01.12</w:t>
      </w:r>
      <w:bookmarkEnd w:id="60"/>
    </w:p>
    <w:p w14:paraId="0131855F" w14:textId="77777777" w:rsidR="00DB2B68" w:rsidRDefault="00000000">
      <w:pPr>
        <w:pStyle w:val="pheading"/>
      </w:pPr>
      <w:r>
        <w:t>DESCRIPTION</w:t>
      </w:r>
    </w:p>
    <w:p w14:paraId="63D64D59" w14:textId="77777777" w:rsidR="00DB2B68" w:rsidRDefault="00000000">
      <w:pPr>
        <w:pStyle w:val="pheading"/>
      </w:pPr>
      <w:r>
        <w:t>- Définition / Comprend</w:t>
      </w:r>
    </w:p>
    <w:p w14:paraId="2F62463F" w14:textId="77777777" w:rsidR="00DB2B68" w:rsidRDefault="00000000">
      <w:r>
        <w:t xml:space="preserve">Il s’agit de la fourniture et la pose de maçonneries portantes en blocs de silico-calcaire apparents à coller avec chanfreins. </w:t>
      </w:r>
      <w:r>
        <w:br/>
        <w:t xml:space="preserve">La portée des travaux est décrite dans l’article </w:t>
      </w:r>
      <w:hyperlink w:anchor="372" w:history="1">
        <w:r>
          <w:rPr>
            <w:color w:val="0000EE"/>
          </w:rPr>
          <w:t>21.12.5 Maçonneries portantes en blocs de silico-calcaire</w:t>
        </w:r>
      </w:hyperlink>
      <w:r>
        <w:t>.</w:t>
      </w:r>
      <w:r>
        <w:br/>
        <w:t>Les travaux comprennent également la fourniture et la pose des pièces d’angle, de terminaison et de rencontre.</w:t>
      </w:r>
    </w:p>
    <w:p w14:paraId="682DA7F1" w14:textId="77777777" w:rsidR="00DB2B68" w:rsidRDefault="00000000">
      <w:pPr>
        <w:pStyle w:val="pheading"/>
      </w:pPr>
      <w:r>
        <w:t>- Localisation</w:t>
      </w:r>
    </w:p>
    <w:p w14:paraId="3A90A636" w14:textId="77777777" w:rsidR="00DB2B68" w:rsidRDefault="00000000">
      <w:r>
        <w:t xml:space="preserve">La pose est réalisée aux endroits suivants : </w:t>
      </w:r>
      <w:r>
        <w:rPr>
          <w:rStyle w:val="optioncarChar"/>
        </w:rPr>
        <w:t>***</w:t>
      </w:r>
      <w:r>
        <w:t>.</w:t>
      </w:r>
      <w:r>
        <w:br/>
        <w:t>Voir plans et métrés détaillés.</w:t>
      </w:r>
    </w:p>
    <w:p w14:paraId="5A454167" w14:textId="77777777" w:rsidR="00DB2B68" w:rsidRDefault="00000000">
      <w:pPr>
        <w:pStyle w:val="pheading"/>
      </w:pPr>
      <w:r>
        <w:t>MATÉRIAUX</w:t>
      </w:r>
    </w:p>
    <w:p w14:paraId="2DEAF9D1" w14:textId="77777777" w:rsidR="00DB2B68" w:rsidRDefault="00000000">
      <w:pPr>
        <w:pStyle w:val="pheading"/>
      </w:pPr>
      <w:r>
        <w:t>- Caractéristiques générales</w:t>
      </w:r>
    </w:p>
    <w:p w14:paraId="2A7E81E5" w14:textId="77777777" w:rsidR="00DB2B68" w:rsidRDefault="00000000">
      <w:r>
        <w:rPr>
          <w:rStyle w:val="headingChar"/>
        </w:rPr>
        <w:t>Spécifications</w:t>
      </w:r>
      <w:r>
        <w:br/>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avec chanfreins </w:t>
      </w:r>
      <w:r>
        <w:br/>
      </w:r>
      <w:r>
        <w:br/>
      </w:r>
      <w:r>
        <w:lastRenderedPageBreak/>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150 / 200 / ***</w:t>
      </w:r>
      <w:r>
        <w:t> ) mm</w:t>
      </w:r>
    </w:p>
    <w:p w14:paraId="524A0628" w14:textId="77777777" w:rsidR="00DB2B68"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w:t>
      </w:r>
      <w:r>
        <w:t> (par défaut</w:t>
      </w:r>
      <w:r>
        <w:rPr>
          <w:rStyle w:val="optioncarChar"/>
        </w:rPr>
        <w:t>) / ***</w:t>
      </w:r>
      <w:r>
        <w:br/>
      </w:r>
      <w:r>
        <w:br/>
      </w:r>
      <w:r>
        <w:rPr>
          <w:rStyle w:val="headingChar"/>
        </w:rPr>
        <w:t>Critères De Performances De La Paroi</w:t>
      </w:r>
    </w:p>
    <w:p w14:paraId="7CDB0FCF" w14:textId="77777777" w:rsidR="00DB2B68" w:rsidRDefault="00000000">
      <w:r>
        <w:t>Coefficient de transmission :</w:t>
      </w:r>
    </w:p>
    <w:p w14:paraId="7AFA6BE3" w14:textId="77777777" w:rsidR="00DB2B68" w:rsidRDefault="00000000">
      <w:pPr>
        <w:pStyle w:val="Author-eListParagraph"/>
        <w:numPr>
          <w:ilvl w:val="0"/>
          <w:numId w:val="110"/>
        </w:numPr>
      </w:pPr>
      <w:r>
        <w:t xml:space="preserve">valeur U minimale de </w:t>
      </w:r>
      <w:r>
        <w:rPr>
          <w:rStyle w:val="optioncarChar"/>
        </w:rPr>
        <w:t>***</w:t>
      </w:r>
      <w:r>
        <w:t xml:space="preserve"> W/m²K</w:t>
      </w:r>
    </w:p>
    <w:p w14:paraId="7409CEAF" w14:textId="77777777" w:rsidR="00DB2B68" w:rsidRDefault="00000000">
      <w:pPr>
        <w:pStyle w:val="Author-eListParagraph"/>
        <w:numPr>
          <w:ilvl w:val="0"/>
          <w:numId w:val="11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74B0D14" w14:textId="77777777" w:rsidR="00DB2B68" w:rsidRDefault="00000000">
      <w:r>
        <w:br/>
        <w:t>Résistance au feu :</w:t>
      </w:r>
    </w:p>
    <w:p w14:paraId="55419BB2" w14:textId="77777777" w:rsidR="00DB2B68" w:rsidRDefault="00000000">
      <w:pPr>
        <w:pStyle w:val="Author-eListParagraph"/>
        <w:numPr>
          <w:ilvl w:val="0"/>
          <w:numId w:val="111"/>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50FED6ED" w14:textId="77777777" w:rsidR="00DB2B68" w:rsidRDefault="00000000">
      <w:pPr>
        <w:pStyle w:val="Author-eListParagraph"/>
        <w:numPr>
          <w:ilvl w:val="0"/>
          <w:numId w:val="111"/>
        </w:numPr>
      </w:pPr>
      <w:r>
        <w:t xml:space="preserve">pour les éléments porteurs structurels avec fonction séparante : </w:t>
      </w:r>
      <w:r>
        <w:rPr>
          <w:rStyle w:val="optioncarChar"/>
        </w:rPr>
        <w:t>REI30 </w:t>
      </w:r>
      <w:r>
        <w:t>(par défaut)</w:t>
      </w:r>
      <w:r>
        <w:rPr>
          <w:rStyle w:val="optioncarChar"/>
        </w:rPr>
        <w:t xml:space="preserve"> / REI60 / R90 / REI120 / REI***</w:t>
      </w:r>
    </w:p>
    <w:p w14:paraId="5B882514" w14:textId="77777777" w:rsidR="00DB2B68" w:rsidRDefault="00000000">
      <w:r>
        <w:t>selon les tableaux dans [NBN EN 1996-1-2 ANB].</w:t>
      </w:r>
    </w:p>
    <w:p w14:paraId="11034816" w14:textId="77777777" w:rsidR="00DB2B68" w:rsidRDefault="00000000">
      <w:pPr>
        <w:pStyle w:val="pheading"/>
      </w:pPr>
      <w:r>
        <w:t>- Finitions</w:t>
      </w:r>
    </w:p>
    <w:p w14:paraId="45F122F9" w14:textId="77777777" w:rsidR="00DB2B68" w:rsidRDefault="00000000">
      <w:r>
        <w:t xml:space="preserve">Les faces de murs suivantes sont exécutées comme maçonneries apparentes et sont </w:t>
      </w:r>
      <w:r>
        <w:rPr>
          <w:rStyle w:val="optioncarChar"/>
          <w:color w:val="000000"/>
        </w:rPr>
        <w:t>rejointoyées </w:t>
      </w:r>
      <w:r>
        <w:t xml:space="preserve">selon l'article </w:t>
      </w:r>
      <w:hyperlink w:anchor="346" w:history="1">
        <w:r>
          <w:rPr>
            <w:color w:val="0000EE"/>
          </w:rPr>
          <w:t>21.61.1b Joints de maçonnerie apparente</w:t>
        </w:r>
      </w:hyperlink>
      <w:r>
        <w:t xml:space="preserve"> : </w:t>
      </w:r>
      <w:r>
        <w:rPr>
          <w:rStyle w:val="optioncarChar"/>
        </w:rPr>
        <w:t>***</w:t>
      </w:r>
    </w:p>
    <w:p w14:paraId="4ED78006" w14:textId="77777777" w:rsidR="00DB2B68" w:rsidRDefault="00000000">
      <w:r>
        <w:t xml:space="preserve">Les murs suivants sont exécutés avec une face restant apparente : </w:t>
      </w:r>
      <w:r>
        <w:rPr>
          <w:rStyle w:val="optioncarChar"/>
        </w:rPr>
        <w:t>***</w:t>
      </w:r>
    </w:p>
    <w:p w14:paraId="3C5750A7" w14:textId="77777777" w:rsidR="00DB2B68" w:rsidRDefault="00000000">
      <w:r>
        <w:t xml:space="preserve">Les murs suivants sont exécutés avec deux faces restant apparentes : </w:t>
      </w:r>
      <w:r>
        <w:rPr>
          <w:rStyle w:val="optioncarChar"/>
        </w:rPr>
        <w:t>***</w:t>
      </w:r>
    </w:p>
    <w:p w14:paraId="7CBDF4C6"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1E645587" w14:textId="77777777" w:rsidR="00DB2B68" w:rsidRDefault="00000000">
      <w:pPr>
        <w:pStyle w:val="pheading"/>
      </w:pPr>
      <w:r>
        <w:t>MESURAGE</w:t>
      </w:r>
    </w:p>
    <w:p w14:paraId="0A31F0CA" w14:textId="77777777" w:rsidR="00DB2B68" w:rsidRDefault="00000000">
      <w:pPr>
        <w:pStyle w:val="pheading"/>
      </w:pPr>
      <w:r>
        <w:t>- unité de mesure:</w:t>
      </w:r>
    </w:p>
    <w:p w14:paraId="38EF3991" w14:textId="77777777" w:rsidR="00DB2B68" w:rsidRDefault="00000000">
      <w:r>
        <w:rPr>
          <w:rStyle w:val="optioncarChar"/>
        </w:rPr>
        <w:t>m³ </w:t>
      </w:r>
      <w:r>
        <w:t>(par défaut)</w:t>
      </w:r>
      <w:r>
        <w:rPr>
          <w:rStyle w:val="optioncarChar"/>
        </w:rPr>
        <w:t> / m²</w:t>
      </w:r>
    </w:p>
    <w:p w14:paraId="4C8054C1" w14:textId="77777777" w:rsidR="00DB2B68" w:rsidRDefault="00000000">
      <w:r>
        <w:rPr>
          <w:b/>
        </w:rPr>
        <w:t>(soit par défaut)</w:t>
      </w:r>
    </w:p>
    <w:p w14:paraId="72404B39" w14:textId="77777777" w:rsidR="00DB2B68" w:rsidRDefault="00000000">
      <w:r>
        <w:rPr>
          <w:rStyle w:val="soitChar"/>
        </w:rPr>
        <w:t>1. m³</w:t>
      </w:r>
    </w:p>
    <w:p w14:paraId="2792C51E" w14:textId="77777777" w:rsidR="00DB2B68" w:rsidRDefault="00000000">
      <w:r>
        <w:rPr>
          <w:b/>
        </w:rPr>
        <w:t>(soit)</w:t>
      </w:r>
    </w:p>
    <w:p w14:paraId="44A0C9AB" w14:textId="77777777" w:rsidR="00DB2B68" w:rsidRDefault="00000000">
      <w:r>
        <w:rPr>
          <w:rStyle w:val="soitChar"/>
        </w:rPr>
        <w:t>2. m²</w:t>
      </w:r>
    </w:p>
    <w:p w14:paraId="676580AE" w14:textId="77777777" w:rsidR="00DB2B68" w:rsidRDefault="00000000">
      <w:pPr>
        <w:pStyle w:val="pheading"/>
      </w:pPr>
      <w:r>
        <w:t>- code de mesurage:</w:t>
      </w:r>
    </w:p>
    <w:p w14:paraId="3C069211"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31E5D81" w14:textId="77777777" w:rsidR="00DB2B68" w:rsidRDefault="00000000">
      <w:r>
        <w:lastRenderedPageBreak/>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EF61B1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62794905" w14:textId="77777777" w:rsidR="00DB2B68" w:rsidRDefault="00DB2B68"/>
    <w:p w14:paraId="61F32998" w14:textId="77777777" w:rsidR="00DB2B68" w:rsidRDefault="00000000">
      <w:r>
        <w:rPr>
          <w:rStyle w:val="optioncarChar"/>
        </w:rPr>
        <w:t>Volume net </w:t>
      </w:r>
      <w:r>
        <w:t>(par défaut)</w:t>
      </w:r>
      <w:r>
        <w:rPr>
          <w:rStyle w:val="optioncarChar"/>
        </w:rPr>
        <w:t> / Surface nette</w:t>
      </w:r>
    </w:p>
    <w:p w14:paraId="488F91D2" w14:textId="77777777" w:rsidR="00DB2B68" w:rsidRDefault="00000000">
      <w:r>
        <w:rPr>
          <w:b/>
        </w:rPr>
        <w:t>(soit par défaut)</w:t>
      </w:r>
    </w:p>
    <w:p w14:paraId="46DA0AD1"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5DDD27C" w14:textId="77777777" w:rsidR="00DB2B68" w:rsidRDefault="00000000">
      <w:r>
        <w:rPr>
          <w:b/>
        </w:rPr>
        <w:t>(soit)</w:t>
      </w:r>
    </w:p>
    <w:p w14:paraId="19E0C1BB"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E74DEE0" w14:textId="77777777" w:rsidR="00DB2B68" w:rsidRDefault="00000000">
      <w:pPr>
        <w:pStyle w:val="pheading"/>
      </w:pPr>
      <w:r>
        <w:t>- nature du marché:</w:t>
      </w:r>
    </w:p>
    <w:p w14:paraId="44971D34" w14:textId="77777777" w:rsidR="00DB2B68" w:rsidRDefault="00000000">
      <w:r>
        <w:t>QF</w:t>
      </w:r>
    </w:p>
    <w:p w14:paraId="744827F5" w14:textId="77777777" w:rsidR="00DB2B68" w:rsidRDefault="00000000">
      <w:pPr>
        <w:pStyle w:val="Author-eSectionHeading5Numberless"/>
      </w:pPr>
      <w:bookmarkStart w:id="61" w:name="_Toc220495223"/>
      <w:r>
        <w:t>21.12.6 Maçonneries portantes en blocs de béton d'argile expansée CCTB 01.11</w:t>
      </w:r>
      <w:bookmarkEnd w:id="61"/>
    </w:p>
    <w:p w14:paraId="0F31DA91" w14:textId="77777777" w:rsidR="00DB2B68" w:rsidRDefault="00000000">
      <w:pPr>
        <w:pStyle w:val="pheading"/>
      </w:pPr>
      <w:bookmarkStart w:id="62" w:name="373"/>
      <w:bookmarkEnd w:id="62"/>
      <w:r>
        <w:t>MATÉRIAUX</w:t>
      </w:r>
    </w:p>
    <w:p w14:paraId="069AAA32" w14:textId="77777777" w:rsidR="00DB2B68" w:rsidRDefault="00000000">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14:paraId="767FF882" w14:textId="77777777" w:rsidR="00DB2B68" w:rsidRDefault="00000000">
      <w:pPr>
        <w:pStyle w:val="pheading"/>
      </w:pPr>
      <w:r>
        <w:t>EXÉCUTION / MISE EN ŒUVRE</w:t>
      </w:r>
    </w:p>
    <w:p w14:paraId="266D83D8" w14:textId="77777777" w:rsidR="00DB2B68" w:rsidRDefault="00000000">
      <w:r>
        <w:rPr>
          <w:u w:val="single"/>
        </w:rPr>
        <w:t>-Prescriptions générales</w:t>
      </w:r>
    </w:p>
    <w:p w14:paraId="5267CF9B" w14:textId="77777777" w:rsidR="00DB2B68"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73945ADA" w14:textId="77777777" w:rsidR="00DB2B68"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1D6E4C77" w14:textId="77777777" w:rsidR="00DB2B68" w:rsidRDefault="00000000">
      <w:r>
        <w:t xml:space="preserve">L'épaisseur des joints est d'au moins </w:t>
      </w:r>
      <w:r>
        <w:rPr>
          <w:rStyle w:val="optioncarChar"/>
        </w:rPr>
        <w:t>10</w:t>
      </w:r>
      <w:r>
        <w:t> (par défaut)</w:t>
      </w:r>
      <w:r>
        <w:rPr>
          <w:rStyle w:val="optioncarChar"/>
        </w:rPr>
        <w:t xml:space="preserve">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2B784108" w14:textId="77777777" w:rsidR="00DB2B68"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w:t>
      </w:r>
      <w:r>
        <w:br/>
      </w:r>
      <w:r>
        <w:br/>
      </w:r>
      <w:r>
        <w:rPr>
          <w:u w:val="single"/>
        </w:rPr>
        <w:t>-Notes d'exécution complémentaires</w:t>
      </w:r>
    </w:p>
    <w:p w14:paraId="3F63948A" w14:textId="77777777" w:rsidR="00DB2B68" w:rsidRDefault="00000000">
      <w:r>
        <w:lastRenderedPageBreak/>
        <w:t>Pour les maçonneries destinées à rester apparentes, seules des blocs non endommagés sont utilisés.</w:t>
      </w:r>
    </w:p>
    <w:p w14:paraId="6A465AA8"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2810C7C8"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26CD1AF3"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258FA735" w14:textId="77777777" w:rsidR="00DB2B68"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130E684F"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r>
        <w:t>.</w:t>
      </w:r>
    </w:p>
    <w:p w14:paraId="2AC46030" w14:textId="77777777" w:rsidR="00DB2B68" w:rsidRDefault="00000000">
      <w:pPr>
        <w:pStyle w:val="pheading"/>
      </w:pPr>
      <w:r>
        <w:t>AIDE</w:t>
      </w:r>
    </w:p>
    <w:p w14:paraId="4AAAE1D6" w14:textId="77777777" w:rsidR="00DB2B68" w:rsidRDefault="00000000">
      <w:r>
        <w:t>Note à l'attention de l'auteur du projet : pour le choix adéquat du mortier, se référer à la [STS 22 série].</w:t>
      </w:r>
    </w:p>
    <w:p w14:paraId="18A6A4C3" w14:textId="77777777" w:rsidR="00DB2B68" w:rsidRDefault="00000000">
      <w:pPr>
        <w:pStyle w:val="Author-eSectionHeading6Numberless"/>
      </w:pPr>
      <w:bookmarkStart w:id="63" w:name="_Toc220495224"/>
      <w:r>
        <w:t>21.12.6a Maçonneries portantes en blocs de béton d'argile expansée pleins à maçonner CCTB 01.13</w:t>
      </w:r>
      <w:bookmarkEnd w:id="63"/>
    </w:p>
    <w:p w14:paraId="4C0B9465" w14:textId="77777777" w:rsidR="00DB2B68" w:rsidRDefault="00000000">
      <w:pPr>
        <w:pStyle w:val="pheading"/>
      </w:pPr>
      <w:r>
        <w:t>DESCRIPTION</w:t>
      </w:r>
    </w:p>
    <w:p w14:paraId="7348D26F" w14:textId="77777777" w:rsidR="00DB2B68" w:rsidRDefault="00000000">
      <w:pPr>
        <w:pStyle w:val="pheading"/>
      </w:pPr>
      <w:r>
        <w:t>- Définition / Comprend</w:t>
      </w:r>
    </w:p>
    <w:p w14:paraId="4BBDF42B" w14:textId="77777777" w:rsidR="00DB2B68" w:rsidRDefault="00000000">
      <w:r>
        <w:t xml:space="preserve">Il s’agit de la fourniture et la pose de maçonneries portantes en blocs de béton d’argile expansée pleins à maçonner. </w:t>
      </w:r>
      <w:r>
        <w:br/>
        <w:t xml:space="preserve">La portée des travaux est décrite dans l’article </w:t>
      </w:r>
      <w:hyperlink w:anchor="373" w:history="1">
        <w:r>
          <w:rPr>
            <w:color w:val="0000EE"/>
          </w:rPr>
          <w:t>21.12.6 Maçonneries portantes en blocs de béton d'argile expansée</w:t>
        </w:r>
      </w:hyperlink>
      <w:r>
        <w:t>.</w:t>
      </w:r>
      <w:r>
        <w:br/>
        <w:t>Les travaux comprennent également la fourniture et la pose des pièces d’angle, de terminaison et de rencontre.</w:t>
      </w:r>
    </w:p>
    <w:p w14:paraId="514CFB99" w14:textId="77777777" w:rsidR="00DB2B68" w:rsidRDefault="00000000">
      <w:pPr>
        <w:pStyle w:val="pheading"/>
      </w:pPr>
      <w:r>
        <w:t>- Localisation</w:t>
      </w:r>
    </w:p>
    <w:p w14:paraId="115CFE97" w14:textId="77777777" w:rsidR="00DB2B68" w:rsidRDefault="00000000">
      <w:r>
        <w:t>La pose est réalisée aux endroits suivants :</w:t>
      </w:r>
      <w:r>
        <w:rPr>
          <w:rStyle w:val="optioncarChar"/>
        </w:rPr>
        <w:t xml:space="preserve"> ***</w:t>
      </w:r>
      <w:r>
        <w:t>.</w:t>
      </w:r>
      <w:r>
        <w:br/>
        <w:t>Voir plans et métrés détaillés.</w:t>
      </w:r>
    </w:p>
    <w:p w14:paraId="379FB0CF" w14:textId="77777777" w:rsidR="00DB2B68" w:rsidRDefault="00000000">
      <w:pPr>
        <w:pStyle w:val="pheading"/>
      </w:pPr>
      <w:r>
        <w:t>MATÉRIAUX</w:t>
      </w:r>
    </w:p>
    <w:p w14:paraId="044ED9C2" w14:textId="77777777" w:rsidR="00DB2B68" w:rsidRDefault="00000000">
      <w:pPr>
        <w:pStyle w:val="pheading"/>
      </w:pPr>
      <w:r>
        <w:t>- Caractéristiques générales</w:t>
      </w:r>
    </w:p>
    <w:p w14:paraId="600491CF" w14:textId="77777777" w:rsidR="00DB2B68" w:rsidRDefault="00000000">
      <w:r>
        <w:rPr>
          <w:rStyle w:val="headingChar"/>
        </w:rPr>
        <w:t>Spécifications</w:t>
      </w:r>
    </w:p>
    <w:p w14:paraId="2A5AA418" w14:textId="77777777" w:rsidR="00DB2B68" w:rsidRDefault="00000000">
      <w:r>
        <w:rPr>
          <w:u w:val="single"/>
        </w:rPr>
        <w:t>Blocs</w:t>
      </w:r>
    </w:p>
    <w:p w14:paraId="7255E3CA"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6410A9A0" w14:textId="77777777" w:rsidR="00DB2B68" w:rsidRDefault="0000000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r>
      <w:r>
        <w:lastRenderedPageBreak/>
        <w:t xml:space="preserve">Face qui reste visible : </w:t>
      </w:r>
      <w:r>
        <w:rPr>
          <w:rStyle w:val="optioncarChar"/>
        </w:rPr>
        <w:t>lisse </w:t>
      </w:r>
      <w:r>
        <w:t>(par défaut)</w:t>
      </w:r>
      <w:r>
        <w:rPr>
          <w:rStyle w:val="optioncarChar"/>
        </w:rPr>
        <w:t xml:space="preserve">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6E485908" w14:textId="77777777" w:rsidR="00DB2B68" w:rsidRDefault="00000000">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(par défaut)</w:t>
      </w:r>
      <w:r>
        <w:rPr>
          <w:rStyle w:val="optioncarChar"/>
        </w:rPr>
        <w:t xml:space="preserve"> / ***</w:t>
      </w:r>
    </w:p>
    <w:p w14:paraId="688C760C" w14:textId="77777777" w:rsidR="00DB2B68" w:rsidRDefault="00000000">
      <w:pPr>
        <w:spacing w:before="0" w:after="0"/>
      </w:pPr>
      <w:r>
        <w:rPr>
          <w:u w:val="single"/>
        </w:rPr>
        <w:t>Mortier</w:t>
      </w:r>
    </w:p>
    <w:p w14:paraId="6F99AB29" w14:textId="77777777" w:rsidR="00DB2B68" w:rsidRDefault="00000000">
      <w:pPr>
        <w:spacing w:before="0" w:after="0"/>
      </w:pPr>
      <w:r>
        <w:rPr>
          <w:rStyle w:val="normalChar"/>
          <w:color w:val="000000"/>
        </w:rPr>
        <w:t>Classe de résistance :</w:t>
      </w:r>
      <w:r>
        <w:rPr>
          <w:rStyle w:val="optioncarChar"/>
        </w:rPr>
        <w:t xml:space="preserve">M1 / M2,5 / M5 / M10 </w:t>
      </w:r>
      <w:r>
        <w:rPr>
          <w:rStyle w:val="optioncarChar"/>
          <w:color w:val="000000"/>
        </w:rPr>
        <w:t>(</w:t>
      </w:r>
      <w:r>
        <w:t xml:space="preserve">par défaut) </w:t>
      </w:r>
      <w:r>
        <w:rPr>
          <w:rStyle w:val="optioncarChar"/>
        </w:rPr>
        <w:t xml:space="preserve">/ M15 / M20 </w:t>
      </w:r>
    </w:p>
    <w:p w14:paraId="754826F2"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C0B1736" w14:textId="77777777" w:rsidR="00DB2B68" w:rsidRDefault="00000000">
      <w:pPr>
        <w:spacing w:before="0" w:after="0"/>
      </w:pPr>
      <w:r>
        <w:rPr>
          <w:rStyle w:val="normalChar"/>
          <w:color w:val="000000"/>
        </w:rPr>
        <w:t>Résistance au gel : oui</w:t>
      </w:r>
    </w:p>
    <w:p w14:paraId="008651DB" w14:textId="77777777" w:rsidR="00DB2B68" w:rsidRDefault="00000000">
      <w:r>
        <w:br/>
      </w:r>
      <w:r>
        <w:rPr>
          <w:rStyle w:val="headingChar"/>
        </w:rPr>
        <w:t>Critères De Performances De La Paroi</w:t>
      </w:r>
    </w:p>
    <w:p w14:paraId="3BFEECF1" w14:textId="77777777" w:rsidR="00DB2B68" w:rsidRDefault="00000000">
      <w:r>
        <w:t>Coefficient de transmission :</w:t>
      </w:r>
    </w:p>
    <w:p w14:paraId="3DD49DBD" w14:textId="77777777" w:rsidR="00DB2B68" w:rsidRDefault="00000000">
      <w:pPr>
        <w:pStyle w:val="Author-eListParagraph"/>
        <w:numPr>
          <w:ilvl w:val="0"/>
          <w:numId w:val="112"/>
        </w:numPr>
      </w:pPr>
      <w:r>
        <w:t xml:space="preserve">valeur U minimale de </w:t>
      </w:r>
      <w:r>
        <w:rPr>
          <w:rStyle w:val="optioncarChar"/>
        </w:rPr>
        <w:t>***</w:t>
      </w:r>
      <w:r>
        <w:t xml:space="preserve"> W/m²K</w:t>
      </w:r>
    </w:p>
    <w:p w14:paraId="20B425D7" w14:textId="77777777" w:rsidR="00DB2B68" w:rsidRDefault="00000000">
      <w:pPr>
        <w:pStyle w:val="Author-eListParagraph"/>
        <w:numPr>
          <w:ilvl w:val="0"/>
          <w:numId w:val="11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A1C7C34" w14:textId="77777777" w:rsidR="00DB2B68" w:rsidRDefault="00000000">
      <w:r>
        <w:br/>
        <w:t>Résistance au feu :</w:t>
      </w:r>
    </w:p>
    <w:p w14:paraId="71D59B39" w14:textId="77777777" w:rsidR="00DB2B68" w:rsidRDefault="00000000">
      <w:pPr>
        <w:pStyle w:val="Author-eListParagraph"/>
        <w:numPr>
          <w:ilvl w:val="0"/>
          <w:numId w:val="11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2AB0CCB9" w14:textId="77777777" w:rsidR="00DB2B68" w:rsidRDefault="00000000">
      <w:pPr>
        <w:pStyle w:val="Author-eListParagraph"/>
        <w:numPr>
          <w:ilvl w:val="0"/>
          <w:numId w:val="113"/>
        </w:numPr>
      </w:pPr>
      <w:r>
        <w:t xml:space="preserve">pour les éléments porteurs structurels avec fonction séparante : </w:t>
      </w:r>
      <w:r>
        <w:rPr>
          <w:rStyle w:val="optioncarChar"/>
        </w:rPr>
        <w:t>REI30 </w:t>
      </w:r>
      <w:r>
        <w:t>(par défaut)</w:t>
      </w:r>
      <w:r>
        <w:rPr>
          <w:rStyle w:val="optioncarChar"/>
        </w:rPr>
        <w:t xml:space="preserve"> / REI6 0/ REI90 / REI120 / REI***</w:t>
      </w:r>
    </w:p>
    <w:p w14:paraId="5BAAA827" w14:textId="77777777" w:rsidR="00DB2B68" w:rsidRDefault="00000000">
      <w:r>
        <w:t>selon les tableaux dans [NBN EN 1996-1-2 ANB].</w:t>
      </w:r>
    </w:p>
    <w:p w14:paraId="3D01BCEE" w14:textId="77777777" w:rsidR="00DB2B68" w:rsidRDefault="00000000">
      <w:pPr>
        <w:pStyle w:val="pheading"/>
      </w:pPr>
      <w:r>
        <w:t>- Finitions</w:t>
      </w:r>
    </w:p>
    <w:p w14:paraId="06B9CB5C" w14:textId="77777777" w:rsidR="00DB2B68" w:rsidRDefault="00000000">
      <w:pPr>
        <w:pStyle w:val="Author-eListParagraph"/>
        <w:numPr>
          <w:ilvl w:val="0"/>
          <w:numId w:val="114"/>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p>
    <w:p w14:paraId="20BB342F" w14:textId="77777777" w:rsidR="00DB2B68" w:rsidRDefault="00000000">
      <w:pPr>
        <w:pStyle w:val="Author-eListParagraph"/>
        <w:numPr>
          <w:ilvl w:val="0"/>
          <w:numId w:val="114"/>
        </w:numPr>
      </w:pPr>
      <w:r>
        <w:t xml:space="preserve">Les murs suivants sont exécutés avec une face restant apparente : </w:t>
      </w:r>
      <w:r>
        <w:rPr>
          <w:rStyle w:val="optioncarChar"/>
        </w:rPr>
        <w:t>***</w:t>
      </w:r>
    </w:p>
    <w:p w14:paraId="48CDA58C" w14:textId="77777777" w:rsidR="00DB2B68" w:rsidRDefault="00000000">
      <w:pPr>
        <w:pStyle w:val="Author-eListParagraph"/>
        <w:numPr>
          <w:ilvl w:val="0"/>
          <w:numId w:val="114"/>
        </w:numPr>
      </w:pPr>
      <w:r>
        <w:t xml:space="preserve">Les murs suivants sont exécutés avec deux faces restant apparentes : </w:t>
      </w:r>
      <w:r>
        <w:rPr>
          <w:rStyle w:val="optioncarChar"/>
        </w:rPr>
        <w:t>***</w:t>
      </w:r>
    </w:p>
    <w:p w14:paraId="1454C7B9" w14:textId="77777777" w:rsidR="00DB2B68" w:rsidRDefault="00000000">
      <w:pPr>
        <w:pStyle w:val="pheading"/>
      </w:pPr>
      <w:r>
        <w:t>MESURAGE</w:t>
      </w:r>
    </w:p>
    <w:p w14:paraId="137ED236" w14:textId="77777777" w:rsidR="00DB2B68" w:rsidRDefault="00000000">
      <w:pPr>
        <w:pStyle w:val="pheading"/>
      </w:pPr>
      <w:r>
        <w:t>- unité de mesure:</w:t>
      </w:r>
    </w:p>
    <w:p w14:paraId="03531878" w14:textId="77777777" w:rsidR="00DB2B68" w:rsidRDefault="00000000">
      <w:r>
        <w:rPr>
          <w:rStyle w:val="optioncarChar"/>
        </w:rPr>
        <w:t>m³ </w:t>
      </w:r>
      <w:r>
        <w:t>(par défaut)</w:t>
      </w:r>
      <w:r>
        <w:rPr>
          <w:rStyle w:val="optioncarChar"/>
        </w:rPr>
        <w:t> / m²</w:t>
      </w:r>
    </w:p>
    <w:p w14:paraId="25DE6593" w14:textId="77777777" w:rsidR="00DB2B68" w:rsidRDefault="00000000">
      <w:r>
        <w:rPr>
          <w:b/>
        </w:rPr>
        <w:t>(soit par défaut)</w:t>
      </w:r>
    </w:p>
    <w:p w14:paraId="5FEB71CC" w14:textId="77777777" w:rsidR="00DB2B68" w:rsidRDefault="00000000">
      <w:r>
        <w:rPr>
          <w:rStyle w:val="soitChar"/>
        </w:rPr>
        <w:t>1. m³</w:t>
      </w:r>
    </w:p>
    <w:p w14:paraId="66799532" w14:textId="77777777" w:rsidR="00DB2B68" w:rsidRDefault="00000000">
      <w:r>
        <w:rPr>
          <w:b/>
        </w:rPr>
        <w:t>(soit)</w:t>
      </w:r>
    </w:p>
    <w:p w14:paraId="615D8331" w14:textId="77777777" w:rsidR="00DB2B68" w:rsidRDefault="00000000">
      <w:r>
        <w:rPr>
          <w:rStyle w:val="soitChar"/>
        </w:rPr>
        <w:t>2. m²</w:t>
      </w:r>
    </w:p>
    <w:p w14:paraId="5B7EDB72" w14:textId="77777777" w:rsidR="00DB2B68" w:rsidRDefault="00000000">
      <w:pPr>
        <w:pStyle w:val="pheading"/>
      </w:pPr>
      <w:r>
        <w:t>- code de mesurage:</w:t>
      </w:r>
    </w:p>
    <w:p w14:paraId="2CB58CCA"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BE6FC32" w14:textId="77777777" w:rsidR="00DB2B68" w:rsidRDefault="00000000">
      <w:r>
        <w:lastRenderedPageBreak/>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765E9B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BC34235" w14:textId="77777777" w:rsidR="00DB2B68" w:rsidRDefault="00DB2B68"/>
    <w:p w14:paraId="2CCFBE80" w14:textId="77777777" w:rsidR="00DB2B68" w:rsidRDefault="00000000">
      <w:r>
        <w:rPr>
          <w:rStyle w:val="optioncarChar"/>
        </w:rPr>
        <w:t>Volume net </w:t>
      </w:r>
      <w:r>
        <w:t>(par défaut)</w:t>
      </w:r>
      <w:r>
        <w:rPr>
          <w:rStyle w:val="optioncarChar"/>
        </w:rPr>
        <w:t> / Surface nette</w:t>
      </w:r>
    </w:p>
    <w:p w14:paraId="38CC06C6" w14:textId="77777777" w:rsidR="00DB2B68" w:rsidRDefault="00000000">
      <w:r>
        <w:rPr>
          <w:b/>
        </w:rPr>
        <w:t>(soit par défaut)</w:t>
      </w:r>
    </w:p>
    <w:p w14:paraId="062C9E58"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8C34339" w14:textId="77777777" w:rsidR="00DB2B68" w:rsidRDefault="00000000">
      <w:r>
        <w:rPr>
          <w:b/>
        </w:rPr>
        <w:t>(soit)</w:t>
      </w:r>
    </w:p>
    <w:p w14:paraId="75F6D6D1"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99C0C89" w14:textId="77777777" w:rsidR="00DB2B68" w:rsidRDefault="00000000">
      <w:pPr>
        <w:pStyle w:val="pheading"/>
      </w:pPr>
      <w:r>
        <w:t>- nature du marché:</w:t>
      </w:r>
    </w:p>
    <w:p w14:paraId="129999F2" w14:textId="77777777" w:rsidR="00DB2B68" w:rsidRDefault="00000000">
      <w:r>
        <w:t>QF</w:t>
      </w:r>
    </w:p>
    <w:p w14:paraId="29B398E8" w14:textId="77777777" w:rsidR="00DB2B68" w:rsidRDefault="00000000">
      <w:pPr>
        <w:pStyle w:val="Author-eSectionHeading6Numberless"/>
      </w:pPr>
      <w:bookmarkStart w:id="64" w:name="_Toc220495225"/>
      <w:r>
        <w:t>21.12.6b Maçonneries portantes en blocs de béton d'argile expansée pleins à coller CCTB 01.13</w:t>
      </w:r>
      <w:bookmarkEnd w:id="64"/>
    </w:p>
    <w:p w14:paraId="69FDB466" w14:textId="77777777" w:rsidR="00DB2B68" w:rsidRDefault="00000000">
      <w:pPr>
        <w:pStyle w:val="pheading"/>
      </w:pPr>
      <w:r>
        <w:t>DESCRIPTION</w:t>
      </w:r>
    </w:p>
    <w:p w14:paraId="44FEAF21" w14:textId="77777777" w:rsidR="00DB2B68" w:rsidRDefault="00000000">
      <w:pPr>
        <w:pStyle w:val="pheading"/>
      </w:pPr>
      <w:r>
        <w:t>- Définition / Comprend</w:t>
      </w:r>
    </w:p>
    <w:p w14:paraId="79916B69" w14:textId="77777777" w:rsidR="00DB2B68" w:rsidRDefault="00000000">
      <w:r>
        <w:t xml:space="preserve">Il s’agit de la fourniture et la pose de maçonneries portantes en blocs de béton d’argile expansée pleins à coller. </w:t>
      </w:r>
      <w:r>
        <w:br/>
        <w:t xml:space="preserve">La portée des travaux est décrite dans l’article </w:t>
      </w:r>
      <w:hyperlink w:anchor="373" w:history="1">
        <w:r>
          <w:rPr>
            <w:color w:val="0000EE"/>
          </w:rPr>
          <w:t>21.12.6 Maçonneries portantes en blocs de béton d'argile expansée</w:t>
        </w:r>
      </w:hyperlink>
      <w:r>
        <w:t>.</w:t>
      </w:r>
      <w:r>
        <w:br/>
        <w:t>Les travaux comprennent également la fourniture et la pose des pièces d’angle, de terminaison et de rencontre.</w:t>
      </w:r>
    </w:p>
    <w:p w14:paraId="5AD2A6F6" w14:textId="77777777" w:rsidR="00DB2B68" w:rsidRDefault="00000000">
      <w:pPr>
        <w:pStyle w:val="pheading"/>
      </w:pPr>
      <w:r>
        <w:t>- Localisation</w:t>
      </w:r>
    </w:p>
    <w:p w14:paraId="5E5C031B" w14:textId="77777777" w:rsidR="00DB2B68" w:rsidRDefault="00000000">
      <w:r>
        <w:t>La pose est réalisée aux endroits suivants :</w:t>
      </w:r>
      <w:r>
        <w:rPr>
          <w:rStyle w:val="optioncarChar"/>
        </w:rPr>
        <w:t xml:space="preserve"> ***</w:t>
      </w:r>
      <w:r>
        <w:t>.</w:t>
      </w:r>
      <w:r>
        <w:br/>
        <w:t>Voir plans et métrés détaillés.</w:t>
      </w:r>
    </w:p>
    <w:p w14:paraId="0AF0178D" w14:textId="77777777" w:rsidR="00DB2B68" w:rsidRDefault="00000000">
      <w:pPr>
        <w:pStyle w:val="pheading"/>
      </w:pPr>
      <w:r>
        <w:t>MATÉRIAUX</w:t>
      </w:r>
    </w:p>
    <w:p w14:paraId="37C42F8D" w14:textId="77777777" w:rsidR="00DB2B68" w:rsidRDefault="00000000">
      <w:pPr>
        <w:pStyle w:val="pheading"/>
      </w:pPr>
      <w:r>
        <w:t>- Caractéristiques générales</w:t>
      </w:r>
    </w:p>
    <w:p w14:paraId="7C60F7F4" w14:textId="77777777" w:rsidR="00DB2B68" w:rsidRDefault="00000000">
      <w:r>
        <w:rPr>
          <w:rStyle w:val="headingChar"/>
        </w:rPr>
        <w:t>Spécifications</w:t>
      </w:r>
    </w:p>
    <w:p w14:paraId="2F1553A3" w14:textId="77777777" w:rsidR="00DB2B68" w:rsidRDefault="00000000">
      <w:r>
        <w:rPr>
          <w:u w:val="single"/>
        </w:rPr>
        <w:t>Blocs</w:t>
      </w:r>
    </w:p>
    <w:p w14:paraId="603661C4"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215175F8" w14:textId="77777777" w:rsidR="00DB2B68" w:rsidRDefault="00000000">
      <w:r>
        <w:lastRenderedPageBreak/>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 xml:space="preserve">Face à cimenter ou plafonner : </w:t>
      </w:r>
      <w:r>
        <w:rPr>
          <w:rStyle w:val="optioncarChar"/>
        </w:rPr>
        <w:t>lisse</w:t>
      </w:r>
      <w:r>
        <w:t xml:space="preserve"> (par défaut) </w:t>
      </w:r>
      <w:r>
        <w:rPr>
          <w:rStyle w:val="optioncarChar"/>
        </w:rPr>
        <w:t xml:space="preserve"> / adhérence améliorée/ rainurée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w:t>
      </w:r>
      <w:r>
        <w:t xml:space="preserve"> (par défaut) </w:t>
      </w:r>
      <w:r>
        <w:rPr>
          <w:rStyle w:val="optioncarChar"/>
        </w:rPr>
        <w:t>/ ***</w:t>
      </w:r>
    </w:p>
    <w:p w14:paraId="4D2775CC" w14:textId="77777777" w:rsidR="00DB2B68" w:rsidRDefault="00000000">
      <w:pPr>
        <w:spacing w:before="0" w:after="0"/>
      </w:pPr>
      <w:r>
        <w:rPr>
          <w:u w:val="single"/>
        </w:rPr>
        <w:t>Mortier</w:t>
      </w:r>
    </w:p>
    <w:p w14:paraId="7DDEF09E" w14:textId="77777777" w:rsidR="00DB2B68" w:rsidRDefault="00000000">
      <w:pPr>
        <w:spacing w:before="0" w:after="0"/>
      </w:pPr>
      <w:r>
        <w:rPr>
          <w:rStyle w:val="normalChar"/>
          <w:color w:val="000000"/>
        </w:rPr>
        <w:t>Classe de résistance :</w:t>
      </w:r>
      <w:r>
        <w:rPr>
          <w:rStyle w:val="optioncarChar"/>
        </w:rPr>
        <w:t xml:space="preserve">M1 / M2,5 / M5 / M10 </w:t>
      </w:r>
      <w:r>
        <w:t xml:space="preserve">(par défaut) </w:t>
      </w:r>
      <w:r>
        <w:rPr>
          <w:rStyle w:val="optioncarChar"/>
        </w:rPr>
        <w:t xml:space="preserve"> / M15 / M20 </w:t>
      </w:r>
    </w:p>
    <w:p w14:paraId="6CC1D19C"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2934362" w14:textId="77777777" w:rsidR="00DB2B68" w:rsidRDefault="00000000">
      <w:pPr>
        <w:spacing w:before="0" w:after="0"/>
      </w:pPr>
      <w:r>
        <w:rPr>
          <w:rStyle w:val="normalChar"/>
          <w:color w:val="000000"/>
        </w:rPr>
        <w:t>Résistance au gel : oui</w:t>
      </w:r>
    </w:p>
    <w:p w14:paraId="468CEE3A" w14:textId="77777777" w:rsidR="00DB2B68" w:rsidRDefault="00000000">
      <w:r>
        <w:br/>
      </w:r>
      <w:r>
        <w:br/>
      </w:r>
      <w:r>
        <w:rPr>
          <w:rStyle w:val="headingChar"/>
        </w:rPr>
        <w:t>Critères De Performances De La Paroi</w:t>
      </w:r>
    </w:p>
    <w:p w14:paraId="279C08EE" w14:textId="77777777" w:rsidR="00DB2B68" w:rsidRDefault="00000000">
      <w:r>
        <w:t>Coefficient de transmission :</w:t>
      </w:r>
    </w:p>
    <w:p w14:paraId="280F4E7B" w14:textId="77777777" w:rsidR="00DB2B68" w:rsidRDefault="00000000">
      <w:pPr>
        <w:pStyle w:val="Author-eListParagraph"/>
        <w:numPr>
          <w:ilvl w:val="0"/>
          <w:numId w:val="115"/>
        </w:numPr>
      </w:pPr>
      <w:r>
        <w:t xml:space="preserve">valeur U minimale de </w:t>
      </w:r>
      <w:r>
        <w:rPr>
          <w:rStyle w:val="optioncarChar"/>
        </w:rPr>
        <w:t>***</w:t>
      </w:r>
      <w:r>
        <w:t xml:space="preserve"> W/m²K</w:t>
      </w:r>
    </w:p>
    <w:p w14:paraId="6E428B1D" w14:textId="77777777" w:rsidR="00DB2B68" w:rsidRDefault="00000000">
      <w:pPr>
        <w:pStyle w:val="Author-eListParagraph"/>
        <w:numPr>
          <w:ilvl w:val="0"/>
          <w:numId w:val="11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9DFCDDA" w14:textId="77777777" w:rsidR="00DB2B68" w:rsidRDefault="00000000">
      <w:r>
        <w:br/>
        <w:t>Résistance au feu :</w:t>
      </w:r>
    </w:p>
    <w:p w14:paraId="69E8D07A" w14:textId="77777777" w:rsidR="00DB2B68" w:rsidRDefault="00000000">
      <w:pPr>
        <w:pStyle w:val="Author-eListParagraph"/>
        <w:numPr>
          <w:ilvl w:val="0"/>
          <w:numId w:val="116"/>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2392BF93" w14:textId="77777777" w:rsidR="00DB2B68" w:rsidRDefault="00000000">
      <w:pPr>
        <w:pStyle w:val="Author-eListParagraph"/>
        <w:numPr>
          <w:ilvl w:val="0"/>
          <w:numId w:val="116"/>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4FCC296B" w14:textId="77777777" w:rsidR="00DB2B68" w:rsidRDefault="00000000">
      <w:r>
        <w:t>selon les tableaux dans [NBN EN 1996-1-2 ANB].</w:t>
      </w:r>
    </w:p>
    <w:p w14:paraId="665DBE7E" w14:textId="77777777" w:rsidR="00DB2B68" w:rsidRDefault="00000000">
      <w:pPr>
        <w:ind w:left="750"/>
      </w:pPr>
      <w:r>
        <w:t> </w:t>
      </w:r>
    </w:p>
    <w:p w14:paraId="3561D2B2" w14:textId="77777777" w:rsidR="00DB2B68" w:rsidRDefault="00000000">
      <w:pPr>
        <w:pStyle w:val="pheading"/>
      </w:pPr>
      <w:r>
        <w:t>- Finitions</w:t>
      </w:r>
    </w:p>
    <w:p w14:paraId="04DCD83A" w14:textId="77777777" w:rsidR="00DB2B68" w:rsidRDefault="00000000">
      <w:pPr>
        <w:pStyle w:val="Author-eListParagraph"/>
        <w:numPr>
          <w:ilvl w:val="0"/>
          <w:numId w:val="117"/>
        </w:numPr>
      </w:pPr>
      <w:r>
        <w:t xml:space="preserve">Les faces de murs suivantes sont exécutées comme maçonneries apparentes et sont </w:t>
      </w:r>
      <w:r>
        <w:rPr>
          <w:rStyle w:val="optioncarChar"/>
          <w:color w:val="000000"/>
        </w:rPr>
        <w:t xml:space="preserve">rejointoyées </w:t>
      </w:r>
      <w:r>
        <w:t xml:space="preserve">selon l'article </w:t>
      </w:r>
      <w:hyperlink w:anchor="346" w:history="1">
        <w:r>
          <w:rPr>
            <w:color w:val="0000EE"/>
          </w:rPr>
          <w:t>21.61.1b Joints de maçonnerie apparente</w:t>
        </w:r>
      </w:hyperlink>
    </w:p>
    <w:p w14:paraId="275FC937" w14:textId="77777777" w:rsidR="00DB2B68" w:rsidRDefault="00000000">
      <w:pPr>
        <w:pStyle w:val="Author-eListParagraph"/>
        <w:numPr>
          <w:ilvl w:val="0"/>
          <w:numId w:val="117"/>
        </w:numPr>
      </w:pPr>
      <w:r>
        <w:t xml:space="preserve">Les murs suivants sont exécutés avec une face restant apparente : </w:t>
      </w:r>
      <w:r>
        <w:rPr>
          <w:rStyle w:val="optioncarChar"/>
        </w:rPr>
        <w:t>***</w:t>
      </w:r>
    </w:p>
    <w:p w14:paraId="20B719E6" w14:textId="77777777" w:rsidR="00DB2B68" w:rsidRDefault="00000000">
      <w:pPr>
        <w:pStyle w:val="Author-eListParagraph"/>
        <w:numPr>
          <w:ilvl w:val="0"/>
          <w:numId w:val="117"/>
        </w:numPr>
      </w:pPr>
      <w:r>
        <w:t xml:space="preserve">Les murs suivants sont exécutés avec deux faces restant apparentes : </w:t>
      </w:r>
      <w:r>
        <w:rPr>
          <w:rStyle w:val="optioncarChar"/>
        </w:rPr>
        <w:t>***</w:t>
      </w:r>
    </w:p>
    <w:p w14:paraId="2B695B02" w14:textId="77777777" w:rsidR="00DB2B68" w:rsidRDefault="00000000">
      <w:pPr>
        <w:pStyle w:val="pheading"/>
      </w:pPr>
      <w:r>
        <w:t>MESURAGE</w:t>
      </w:r>
    </w:p>
    <w:p w14:paraId="03D51606" w14:textId="77777777" w:rsidR="00DB2B68" w:rsidRDefault="00000000">
      <w:pPr>
        <w:pStyle w:val="pheading"/>
      </w:pPr>
      <w:r>
        <w:t>- unité de mesure:</w:t>
      </w:r>
    </w:p>
    <w:p w14:paraId="20BAA3CC" w14:textId="77777777" w:rsidR="00DB2B68" w:rsidRDefault="00000000">
      <w:r>
        <w:rPr>
          <w:rStyle w:val="optioncarChar"/>
        </w:rPr>
        <w:t>m³ </w:t>
      </w:r>
      <w:r>
        <w:t>(par défaut)</w:t>
      </w:r>
      <w:r>
        <w:rPr>
          <w:rStyle w:val="optioncarChar"/>
        </w:rPr>
        <w:t> / m²</w:t>
      </w:r>
    </w:p>
    <w:p w14:paraId="332A84C1" w14:textId="77777777" w:rsidR="00DB2B68" w:rsidRDefault="00000000">
      <w:r>
        <w:rPr>
          <w:b/>
        </w:rPr>
        <w:t>(soit par défaut)</w:t>
      </w:r>
    </w:p>
    <w:p w14:paraId="0133AA12" w14:textId="77777777" w:rsidR="00DB2B68" w:rsidRDefault="00000000">
      <w:r>
        <w:rPr>
          <w:rStyle w:val="soitChar"/>
        </w:rPr>
        <w:lastRenderedPageBreak/>
        <w:t>1. m³</w:t>
      </w:r>
    </w:p>
    <w:p w14:paraId="361032BB" w14:textId="77777777" w:rsidR="00DB2B68" w:rsidRDefault="00000000">
      <w:r>
        <w:rPr>
          <w:b/>
        </w:rPr>
        <w:t>(soit)</w:t>
      </w:r>
    </w:p>
    <w:p w14:paraId="267700A2" w14:textId="77777777" w:rsidR="00DB2B68" w:rsidRDefault="00000000">
      <w:r>
        <w:rPr>
          <w:rStyle w:val="soitChar"/>
        </w:rPr>
        <w:t>2. m²</w:t>
      </w:r>
    </w:p>
    <w:p w14:paraId="3E601DD8" w14:textId="77777777" w:rsidR="00DB2B68" w:rsidRDefault="00000000">
      <w:pPr>
        <w:pStyle w:val="pheading"/>
      </w:pPr>
      <w:r>
        <w:t>- code de mesurage:</w:t>
      </w:r>
    </w:p>
    <w:p w14:paraId="0865BCE4"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20C2D00"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8273F5A"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4B63E2E" w14:textId="77777777" w:rsidR="00DB2B68" w:rsidRDefault="00000000">
      <w:r>
        <w:rPr>
          <w:rStyle w:val="optioncarChar"/>
        </w:rPr>
        <w:t>Volume net </w:t>
      </w:r>
      <w:r>
        <w:t>(par défaut)</w:t>
      </w:r>
      <w:r>
        <w:rPr>
          <w:rStyle w:val="optioncarChar"/>
        </w:rPr>
        <w:t> / Surface nette</w:t>
      </w:r>
    </w:p>
    <w:p w14:paraId="1E7C466D" w14:textId="77777777" w:rsidR="00DB2B68" w:rsidRDefault="00000000">
      <w:r>
        <w:rPr>
          <w:b/>
        </w:rPr>
        <w:t>(soit par défaut)</w:t>
      </w:r>
    </w:p>
    <w:p w14:paraId="20A683AA"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F15CFD9" w14:textId="77777777" w:rsidR="00DB2B68" w:rsidRDefault="00000000">
      <w:r>
        <w:rPr>
          <w:b/>
        </w:rPr>
        <w:t>(soit)</w:t>
      </w:r>
    </w:p>
    <w:p w14:paraId="72D38F6C"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9320909" w14:textId="77777777" w:rsidR="00DB2B68" w:rsidRDefault="00000000">
      <w:pPr>
        <w:pStyle w:val="pheading"/>
      </w:pPr>
      <w:r>
        <w:t>- nature du marché:</w:t>
      </w:r>
    </w:p>
    <w:p w14:paraId="4F918033" w14:textId="77777777" w:rsidR="00DB2B68" w:rsidRDefault="00000000">
      <w:r>
        <w:t>QF</w:t>
      </w:r>
    </w:p>
    <w:p w14:paraId="1BF00DE1" w14:textId="77777777" w:rsidR="00DB2B68" w:rsidRDefault="00000000">
      <w:pPr>
        <w:pStyle w:val="Author-eSectionHeading6Numberless"/>
      </w:pPr>
      <w:bookmarkStart w:id="65" w:name="_Toc220495226"/>
      <w:r>
        <w:t>21.12.6c Maçonneries portantes en blocs de béton d'argile expansée creux à maçonner CCTB 01.13</w:t>
      </w:r>
      <w:bookmarkEnd w:id="65"/>
    </w:p>
    <w:p w14:paraId="6351330C" w14:textId="77777777" w:rsidR="00DB2B68" w:rsidRDefault="00000000">
      <w:pPr>
        <w:pStyle w:val="pheading"/>
      </w:pPr>
      <w:r>
        <w:t>DESCRIPTION</w:t>
      </w:r>
    </w:p>
    <w:p w14:paraId="3D204A0C" w14:textId="77777777" w:rsidR="00DB2B68" w:rsidRDefault="00000000">
      <w:pPr>
        <w:pStyle w:val="pheading"/>
      </w:pPr>
      <w:r>
        <w:t>- Définition / Comprend</w:t>
      </w:r>
    </w:p>
    <w:p w14:paraId="1AC57D69" w14:textId="77777777" w:rsidR="00DB2B68" w:rsidRDefault="00000000">
      <w:r>
        <w:t xml:space="preserve">Il s’agit de la fourniture et la pose de maçonneries portantes en blocs de béton d’argile expansée creux à maçonner. </w:t>
      </w:r>
      <w:r>
        <w:br/>
        <w:t xml:space="preserve">La portée des travaux est décrite dans l’article </w:t>
      </w:r>
      <w:hyperlink w:anchor="373" w:history="1">
        <w:r>
          <w:rPr>
            <w:color w:val="0000EE"/>
          </w:rPr>
          <w:t>21.12.6 Maçonneries portantes en blocs de béton d'argile expansée</w:t>
        </w:r>
      </w:hyperlink>
      <w:r>
        <w:t>.</w:t>
      </w:r>
      <w:r>
        <w:br/>
        <w:t>Les travaux comprennent également la fourniture et la pose des pièces d’angle, de terminaison et de rencontre.</w:t>
      </w:r>
    </w:p>
    <w:p w14:paraId="2568F0D3" w14:textId="77777777" w:rsidR="00DB2B68" w:rsidRDefault="00000000">
      <w:pPr>
        <w:pStyle w:val="pheading"/>
      </w:pPr>
      <w:r>
        <w:t>- Localisation</w:t>
      </w:r>
    </w:p>
    <w:p w14:paraId="45EB93A9" w14:textId="77777777" w:rsidR="00DB2B68" w:rsidRDefault="00000000">
      <w:r>
        <w:t xml:space="preserve">La pose est réalisée aux endroits suivants : </w:t>
      </w:r>
      <w:r>
        <w:rPr>
          <w:rStyle w:val="optioncarChar"/>
        </w:rPr>
        <w:t>***</w:t>
      </w:r>
      <w:r>
        <w:t>.</w:t>
      </w:r>
      <w:r>
        <w:br/>
        <w:t>Voir plans et métrés détaillés.</w:t>
      </w:r>
    </w:p>
    <w:p w14:paraId="798C9F65" w14:textId="77777777" w:rsidR="00DB2B68" w:rsidRDefault="00000000">
      <w:pPr>
        <w:pStyle w:val="pheading"/>
      </w:pPr>
      <w:r>
        <w:t>MATÉRIAUX</w:t>
      </w:r>
    </w:p>
    <w:p w14:paraId="22CBE034" w14:textId="77777777" w:rsidR="00DB2B68" w:rsidRDefault="00000000">
      <w:pPr>
        <w:pStyle w:val="pheading"/>
      </w:pPr>
      <w:r>
        <w:t>- Caractéristiques générales</w:t>
      </w:r>
    </w:p>
    <w:p w14:paraId="0264DDC5" w14:textId="77777777" w:rsidR="00DB2B68" w:rsidRDefault="00000000">
      <w:r>
        <w:rPr>
          <w:rStyle w:val="headingChar"/>
        </w:rPr>
        <w:t>Spécifications</w:t>
      </w:r>
    </w:p>
    <w:p w14:paraId="729C8EDA" w14:textId="77777777" w:rsidR="00DB2B68" w:rsidRDefault="00000000">
      <w:r>
        <w:rPr>
          <w:u w:val="single"/>
        </w:rPr>
        <w:lastRenderedPageBreak/>
        <w:t>Blocs</w:t>
      </w:r>
    </w:p>
    <w:p w14:paraId="7B213B8D"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44F698D1" w14:textId="77777777" w:rsidR="00DB2B68" w:rsidRDefault="00000000">
      <w:r>
        <w:t xml:space="preserve">Le groupe de configuration suivant [NBN EN 1996-1-1+A1 ANB] est </w:t>
      </w:r>
      <w:r>
        <w:rPr>
          <w:rStyle w:val="optioncarChar"/>
        </w:rPr>
        <w:t>2 / 3 / 4 creux</w:t>
      </w:r>
      <w:r>
        <w:t> </w:t>
      </w:r>
      <w:r>
        <w:rPr>
          <w:rStyle w:val="optioncarChar"/>
        </w:rPr>
        <w:t>/ ***</w:t>
      </w:r>
      <w:r>
        <w:t xml:space="preserve">.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435168DC" w14:textId="77777777" w:rsidR="00DB2B68" w:rsidRDefault="00000000">
      <w:r>
        <w:t xml:space="preserve">Réaction au feu : </w:t>
      </w:r>
      <w:r>
        <w:rPr>
          <w:rStyle w:val="optioncarChar"/>
        </w:rPr>
        <w:t>A1 </w:t>
      </w:r>
      <w:r>
        <w:t xml:space="preserve">(par défaut) </w:t>
      </w:r>
      <w:r>
        <w:rPr>
          <w:rStyle w:val="optioncarChar"/>
        </w:rPr>
        <w:t>/ ***</w:t>
      </w:r>
    </w:p>
    <w:p w14:paraId="25309F15" w14:textId="77777777" w:rsidR="00DB2B68" w:rsidRDefault="00000000">
      <w:pPr>
        <w:spacing w:before="0" w:after="0"/>
      </w:pPr>
      <w:r>
        <w:rPr>
          <w:u w:val="single"/>
        </w:rPr>
        <w:t>Mortier</w:t>
      </w:r>
    </w:p>
    <w:p w14:paraId="5553B654"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07869C38"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223D2CE" w14:textId="77777777" w:rsidR="00DB2B68" w:rsidRDefault="00000000">
      <w:pPr>
        <w:spacing w:before="0" w:after="0"/>
      </w:pPr>
      <w:r>
        <w:rPr>
          <w:rStyle w:val="normalChar"/>
          <w:color w:val="000000"/>
        </w:rPr>
        <w:t>Résistance au gel : oui</w:t>
      </w:r>
    </w:p>
    <w:p w14:paraId="435B0719" w14:textId="77777777" w:rsidR="00DB2B68" w:rsidRDefault="00000000">
      <w:r>
        <w:br/>
      </w:r>
      <w:r>
        <w:rPr>
          <w:rStyle w:val="headingChar"/>
        </w:rPr>
        <w:t>Critères De Performances De La Paroi</w:t>
      </w:r>
    </w:p>
    <w:p w14:paraId="162C10E4" w14:textId="77777777" w:rsidR="00DB2B68" w:rsidRDefault="00000000">
      <w:r>
        <w:t>Coefficient de transmission :</w:t>
      </w:r>
    </w:p>
    <w:p w14:paraId="3390C742" w14:textId="77777777" w:rsidR="00DB2B68" w:rsidRDefault="00000000">
      <w:pPr>
        <w:pStyle w:val="Author-eListParagraph"/>
        <w:numPr>
          <w:ilvl w:val="0"/>
          <w:numId w:val="118"/>
        </w:numPr>
      </w:pPr>
      <w:r>
        <w:t xml:space="preserve">valeur U minimale de </w:t>
      </w:r>
      <w:r>
        <w:rPr>
          <w:rStyle w:val="optioncarChar"/>
        </w:rPr>
        <w:t>***</w:t>
      </w:r>
      <w:r>
        <w:t xml:space="preserve"> W/m²K</w:t>
      </w:r>
    </w:p>
    <w:p w14:paraId="5438ECF1" w14:textId="77777777" w:rsidR="00DB2B68" w:rsidRDefault="00000000">
      <w:pPr>
        <w:pStyle w:val="Author-eListParagraph"/>
        <w:numPr>
          <w:ilvl w:val="0"/>
          <w:numId w:val="11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6E6BBB5" w14:textId="77777777" w:rsidR="00DB2B68" w:rsidRDefault="00000000">
      <w:r>
        <w:br/>
        <w:t>Résistance au feu :</w:t>
      </w:r>
    </w:p>
    <w:p w14:paraId="7CBBE6A4" w14:textId="77777777" w:rsidR="00DB2B68" w:rsidRDefault="00000000">
      <w:pPr>
        <w:pStyle w:val="Author-eListParagraph"/>
        <w:numPr>
          <w:ilvl w:val="0"/>
          <w:numId w:val="119"/>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4F8C2441" w14:textId="77777777" w:rsidR="00DB2B68" w:rsidRDefault="00000000">
      <w:pPr>
        <w:pStyle w:val="Author-eListParagraph"/>
        <w:numPr>
          <w:ilvl w:val="0"/>
          <w:numId w:val="119"/>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4E57A30F" w14:textId="77777777" w:rsidR="00DB2B68" w:rsidRDefault="00000000">
      <w:r>
        <w:t>selon les tableaux dans [NBN EN 1996-1-2 ANB].</w:t>
      </w:r>
    </w:p>
    <w:p w14:paraId="1317614D" w14:textId="77777777" w:rsidR="00DB2B68" w:rsidRDefault="00000000">
      <w:pPr>
        <w:ind w:left="750"/>
      </w:pPr>
      <w:r>
        <w:t> </w:t>
      </w:r>
    </w:p>
    <w:p w14:paraId="02FC7B34" w14:textId="77777777" w:rsidR="00DB2B68" w:rsidRDefault="00000000">
      <w:pPr>
        <w:pStyle w:val="pheading"/>
      </w:pPr>
      <w:r>
        <w:t>- Finitions</w:t>
      </w:r>
    </w:p>
    <w:p w14:paraId="2B0F1E28" w14:textId="77777777" w:rsidR="00DB2B68" w:rsidRDefault="00000000">
      <w:pPr>
        <w:pStyle w:val="Author-eListParagraph"/>
        <w:numPr>
          <w:ilvl w:val="0"/>
          <w:numId w:val="120"/>
        </w:numPr>
      </w:pPr>
      <w:r>
        <w:t xml:space="preserve">Les faces de murs suivantes sont exécutées comme maçonneries apparentes et sont </w:t>
      </w:r>
      <w:r>
        <w:rPr>
          <w:rStyle w:val="optioncarChar"/>
          <w:color w:val="000000"/>
        </w:rPr>
        <w:t>rejointoyées</w:t>
      </w:r>
      <w:r>
        <w:t xml:space="preserve"> selon </w:t>
      </w:r>
      <w:hyperlink w:anchor="346" w:history="1">
        <w:r>
          <w:rPr>
            <w:color w:val="0000EE"/>
          </w:rPr>
          <w:t>21.61.1b Joints de maçonnerie apparente</w:t>
        </w:r>
      </w:hyperlink>
      <w:r>
        <w:t xml:space="preserve"> : </w:t>
      </w:r>
      <w:r>
        <w:rPr>
          <w:rStyle w:val="optioncarChar"/>
        </w:rPr>
        <w:t>***</w:t>
      </w:r>
    </w:p>
    <w:p w14:paraId="7E04BB13" w14:textId="77777777" w:rsidR="00DB2B68" w:rsidRDefault="00000000">
      <w:pPr>
        <w:pStyle w:val="Author-eListParagraph"/>
        <w:numPr>
          <w:ilvl w:val="0"/>
          <w:numId w:val="120"/>
        </w:numPr>
      </w:pPr>
      <w:r>
        <w:t xml:space="preserve">Les murs suivants sont exécutés avec une face restant apparente : </w:t>
      </w:r>
      <w:r>
        <w:rPr>
          <w:rStyle w:val="optioncarChar"/>
        </w:rPr>
        <w:t>***</w:t>
      </w:r>
    </w:p>
    <w:p w14:paraId="1689B0E1" w14:textId="77777777" w:rsidR="00DB2B68" w:rsidRDefault="00000000">
      <w:pPr>
        <w:pStyle w:val="Author-eListParagraph"/>
        <w:numPr>
          <w:ilvl w:val="0"/>
          <w:numId w:val="120"/>
        </w:numPr>
      </w:pPr>
      <w:r>
        <w:lastRenderedPageBreak/>
        <w:t xml:space="preserve">Les murs suivants sont exécutés avec deux faces restant apparentes : </w:t>
      </w:r>
      <w:r>
        <w:rPr>
          <w:rStyle w:val="optioncarChar"/>
        </w:rPr>
        <w:t>***</w:t>
      </w:r>
    </w:p>
    <w:p w14:paraId="3B536DA6" w14:textId="77777777" w:rsidR="00DB2B68" w:rsidRDefault="00000000">
      <w:pPr>
        <w:pStyle w:val="pheading"/>
      </w:pPr>
      <w:r>
        <w:t>MESURAGE</w:t>
      </w:r>
    </w:p>
    <w:p w14:paraId="0AA23ED7" w14:textId="77777777" w:rsidR="00DB2B68" w:rsidRDefault="00000000">
      <w:pPr>
        <w:pStyle w:val="pheading"/>
      </w:pPr>
      <w:r>
        <w:t>- unité de mesure:</w:t>
      </w:r>
    </w:p>
    <w:p w14:paraId="0D51872A" w14:textId="77777777" w:rsidR="00DB2B68" w:rsidRDefault="00000000">
      <w:r>
        <w:rPr>
          <w:rStyle w:val="optioncarChar"/>
        </w:rPr>
        <w:t>m³ </w:t>
      </w:r>
      <w:r>
        <w:t>(par défaut)</w:t>
      </w:r>
      <w:r>
        <w:rPr>
          <w:rStyle w:val="optioncarChar"/>
        </w:rPr>
        <w:t> / m²</w:t>
      </w:r>
    </w:p>
    <w:p w14:paraId="0BBB0D8F" w14:textId="77777777" w:rsidR="00DB2B68" w:rsidRDefault="00000000">
      <w:r>
        <w:rPr>
          <w:b/>
        </w:rPr>
        <w:t>(soit par défaut)</w:t>
      </w:r>
    </w:p>
    <w:p w14:paraId="2203DC60" w14:textId="77777777" w:rsidR="00DB2B68" w:rsidRDefault="00000000">
      <w:r>
        <w:rPr>
          <w:rStyle w:val="soitChar"/>
        </w:rPr>
        <w:t>1. m³</w:t>
      </w:r>
    </w:p>
    <w:p w14:paraId="092A15E9" w14:textId="77777777" w:rsidR="00DB2B68" w:rsidRDefault="00000000">
      <w:r>
        <w:rPr>
          <w:b/>
        </w:rPr>
        <w:t>(soit)</w:t>
      </w:r>
    </w:p>
    <w:p w14:paraId="2E97469D" w14:textId="77777777" w:rsidR="00DB2B68" w:rsidRDefault="00000000">
      <w:r>
        <w:rPr>
          <w:rStyle w:val="soitChar"/>
        </w:rPr>
        <w:t>2. m²</w:t>
      </w:r>
    </w:p>
    <w:p w14:paraId="7C7CCCFF" w14:textId="77777777" w:rsidR="00DB2B68" w:rsidRDefault="00000000">
      <w:pPr>
        <w:pStyle w:val="pheading"/>
      </w:pPr>
      <w:r>
        <w:t>- code de mesurage:</w:t>
      </w:r>
    </w:p>
    <w:p w14:paraId="5AD15C47"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CCE038F"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66B50C6"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0E06B53E" w14:textId="77777777" w:rsidR="00DB2B68" w:rsidRDefault="00000000">
      <w:r>
        <w:rPr>
          <w:rStyle w:val="optioncarChar"/>
        </w:rPr>
        <w:t>Volume net </w:t>
      </w:r>
      <w:r>
        <w:t>(par défaut)</w:t>
      </w:r>
      <w:r>
        <w:rPr>
          <w:rStyle w:val="optioncarChar"/>
        </w:rPr>
        <w:t> / Surface nette</w:t>
      </w:r>
    </w:p>
    <w:p w14:paraId="3263C1FF" w14:textId="77777777" w:rsidR="00DB2B68" w:rsidRDefault="00000000">
      <w:r>
        <w:rPr>
          <w:b/>
        </w:rPr>
        <w:t>(soit par défaut)</w:t>
      </w:r>
    </w:p>
    <w:p w14:paraId="38162F80"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6290F80" w14:textId="77777777" w:rsidR="00DB2B68" w:rsidRDefault="00000000">
      <w:r>
        <w:rPr>
          <w:b/>
        </w:rPr>
        <w:t>(soit)</w:t>
      </w:r>
    </w:p>
    <w:p w14:paraId="30447EB6"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EBDE475" w14:textId="77777777" w:rsidR="00DB2B68" w:rsidRDefault="00000000">
      <w:pPr>
        <w:pStyle w:val="pheading"/>
      </w:pPr>
      <w:r>
        <w:t>- nature du marché:</w:t>
      </w:r>
    </w:p>
    <w:p w14:paraId="65F23C43" w14:textId="77777777" w:rsidR="00DB2B68" w:rsidRDefault="00000000">
      <w:r>
        <w:t>QF</w:t>
      </w:r>
    </w:p>
    <w:p w14:paraId="18FEB56D" w14:textId="77777777" w:rsidR="00DB2B68" w:rsidRDefault="00000000">
      <w:pPr>
        <w:pStyle w:val="Author-eSectionHeading6Numberless"/>
      </w:pPr>
      <w:bookmarkStart w:id="66" w:name="_Toc220495227"/>
      <w:r>
        <w:t>21.12.6d Maçonneries portantes en blocs de béton d'argile expansée creux à coller CCTB 01.13</w:t>
      </w:r>
      <w:bookmarkEnd w:id="66"/>
    </w:p>
    <w:p w14:paraId="7E82DD54" w14:textId="77777777" w:rsidR="00DB2B68" w:rsidRDefault="00000000">
      <w:pPr>
        <w:pStyle w:val="pheading"/>
      </w:pPr>
      <w:r>
        <w:t>DESCRIPTION</w:t>
      </w:r>
    </w:p>
    <w:p w14:paraId="7D71CB56" w14:textId="77777777" w:rsidR="00DB2B68" w:rsidRDefault="00000000">
      <w:pPr>
        <w:pStyle w:val="pheading"/>
      </w:pPr>
      <w:r>
        <w:t>- Définition / Comprend</w:t>
      </w:r>
    </w:p>
    <w:p w14:paraId="11928AC5" w14:textId="77777777" w:rsidR="00DB2B68" w:rsidRDefault="00000000">
      <w:r>
        <w:t xml:space="preserve">Il s’agit de la fourniture et la pose de maçonneries portantes en blocs de béton d’argile expansée creux à coller. </w:t>
      </w:r>
      <w:r>
        <w:br/>
        <w:t xml:space="preserve">La portée des travaux est décrite dans l’article </w:t>
      </w:r>
      <w:hyperlink w:anchor="373" w:history="1">
        <w:r>
          <w:rPr>
            <w:color w:val="0000EE"/>
          </w:rPr>
          <w:t>21.12.6 Maçonneries portantes en blocs de béton d'argile expansée</w:t>
        </w:r>
      </w:hyperlink>
      <w:r>
        <w:t>.</w:t>
      </w:r>
      <w:r>
        <w:br/>
        <w:t>Les travaux comprennent également la fourniture et la pose des pièces d’angle, de terminaison et de rencontre.</w:t>
      </w:r>
    </w:p>
    <w:p w14:paraId="3DE26A07" w14:textId="77777777" w:rsidR="00DB2B68" w:rsidRDefault="00000000">
      <w:pPr>
        <w:pStyle w:val="pheading"/>
      </w:pPr>
      <w:r>
        <w:t>- Localisation</w:t>
      </w:r>
    </w:p>
    <w:p w14:paraId="320A6CCE" w14:textId="77777777" w:rsidR="00DB2B68" w:rsidRDefault="00000000">
      <w:r>
        <w:lastRenderedPageBreak/>
        <w:t xml:space="preserve">La pose est réalisée aux endroits suivants : </w:t>
      </w:r>
      <w:r>
        <w:rPr>
          <w:rStyle w:val="optioncarChar"/>
        </w:rPr>
        <w:t>***</w:t>
      </w:r>
      <w:r>
        <w:t>.</w:t>
      </w:r>
      <w:r>
        <w:br/>
        <w:t>Voir plans et métrés détaillés.</w:t>
      </w:r>
    </w:p>
    <w:p w14:paraId="54FCE1A4" w14:textId="77777777" w:rsidR="00DB2B68" w:rsidRDefault="00000000">
      <w:pPr>
        <w:pStyle w:val="pheading"/>
      </w:pPr>
      <w:r>
        <w:t>MATÉRIAUX</w:t>
      </w:r>
    </w:p>
    <w:p w14:paraId="0469435F" w14:textId="77777777" w:rsidR="00DB2B68" w:rsidRDefault="00000000">
      <w:pPr>
        <w:pStyle w:val="pheading"/>
      </w:pPr>
      <w:r>
        <w:t>- Caractéristiques générales</w:t>
      </w:r>
    </w:p>
    <w:p w14:paraId="554A517A" w14:textId="77777777" w:rsidR="00DB2B68" w:rsidRDefault="00000000">
      <w:r>
        <w:rPr>
          <w:rStyle w:val="headingChar"/>
        </w:rPr>
        <w:t>Spécifications</w:t>
      </w:r>
    </w:p>
    <w:p w14:paraId="1F24977B" w14:textId="77777777" w:rsidR="00DB2B68" w:rsidRDefault="00000000">
      <w:r>
        <w:rPr>
          <w:u w:val="single"/>
        </w:rPr>
        <w:t>Blocs</w:t>
      </w:r>
    </w:p>
    <w:p w14:paraId="59D3FB36"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45922EE" w14:textId="77777777" w:rsidR="00DB2B68" w:rsidRDefault="00000000">
      <w:r>
        <w:t xml:space="preserve">Le groupe de configuration suivant [NBN EN 1996-1-1+A1 ANB] est </w:t>
      </w:r>
      <w:r>
        <w:rPr>
          <w:rStyle w:val="optioncarChar"/>
        </w:rPr>
        <w:t>2 / 3 / 4 / creux / ***</w:t>
      </w:r>
      <w:r>
        <w:t xml:space="preserve">. </w:t>
      </w:r>
      <w:r>
        <w:br/>
      </w:r>
      <w:r>
        <w:br/>
        <w:t xml:space="preserve">La masse volumique sèche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5A9DD5E8" w14:textId="77777777" w:rsidR="00DB2B68" w:rsidRDefault="00000000">
      <w:r>
        <w:t xml:space="preserve">Réaction au feu : </w:t>
      </w:r>
      <w:r>
        <w:rPr>
          <w:rStyle w:val="optioncarChar"/>
        </w:rPr>
        <w:t>A1</w:t>
      </w:r>
      <w:r>
        <w:t> (par défaut)</w:t>
      </w:r>
      <w:r>
        <w:rPr>
          <w:rStyle w:val="optioncarChar"/>
        </w:rPr>
        <w:t xml:space="preserve"> / ***</w:t>
      </w:r>
    </w:p>
    <w:p w14:paraId="74241020" w14:textId="77777777" w:rsidR="00DB2B68" w:rsidRDefault="00000000">
      <w:pPr>
        <w:spacing w:before="0" w:after="0"/>
      </w:pPr>
      <w:r>
        <w:rPr>
          <w:u w:val="single"/>
        </w:rPr>
        <w:t>Mortier</w:t>
      </w:r>
    </w:p>
    <w:p w14:paraId="268B9C94" w14:textId="77777777" w:rsidR="00DB2B68" w:rsidRDefault="00000000">
      <w:pPr>
        <w:spacing w:before="0" w:after="0"/>
      </w:pPr>
      <w:r>
        <w:rPr>
          <w:rStyle w:val="normalChar"/>
          <w:color w:val="000000"/>
        </w:rPr>
        <w:t>Classe de résistance :</w:t>
      </w:r>
      <w:r>
        <w:rPr>
          <w:rStyle w:val="optioncarChar"/>
        </w:rPr>
        <w:t>M1 / M2,5 / M5 (</w:t>
      </w:r>
      <w:r>
        <w:t>par défaut)</w:t>
      </w:r>
      <w:r>
        <w:rPr>
          <w:rStyle w:val="optioncarChar"/>
        </w:rPr>
        <w:t xml:space="preserve"> / M10 / M15 / M20 </w:t>
      </w:r>
    </w:p>
    <w:p w14:paraId="5502A478"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16C6D1A" w14:textId="77777777" w:rsidR="00DB2B68" w:rsidRDefault="00000000">
      <w:pPr>
        <w:spacing w:before="0" w:after="0"/>
      </w:pPr>
      <w:r>
        <w:rPr>
          <w:rStyle w:val="normalChar"/>
          <w:color w:val="000000"/>
        </w:rPr>
        <w:t>Résistance au gel : oui</w:t>
      </w:r>
    </w:p>
    <w:p w14:paraId="17A272A9" w14:textId="77777777" w:rsidR="00DB2B68" w:rsidRDefault="00000000">
      <w:r>
        <w:br/>
      </w:r>
      <w:r>
        <w:rPr>
          <w:rStyle w:val="headingChar"/>
        </w:rPr>
        <w:t>Critères De Performances De La Paroi</w:t>
      </w:r>
    </w:p>
    <w:p w14:paraId="4E158CAB" w14:textId="77777777" w:rsidR="00DB2B68" w:rsidRDefault="00000000">
      <w:r>
        <w:t>Coefficient de transmission :</w:t>
      </w:r>
    </w:p>
    <w:p w14:paraId="2BC25CB5" w14:textId="77777777" w:rsidR="00DB2B68" w:rsidRDefault="00000000">
      <w:pPr>
        <w:pStyle w:val="Author-eListParagraph"/>
        <w:numPr>
          <w:ilvl w:val="0"/>
          <w:numId w:val="121"/>
        </w:numPr>
      </w:pPr>
      <w:r>
        <w:t xml:space="preserve">valeur U minimale de </w:t>
      </w:r>
      <w:r>
        <w:rPr>
          <w:rStyle w:val="optioncarChar"/>
        </w:rPr>
        <w:t>***</w:t>
      </w:r>
      <w:r>
        <w:t xml:space="preserve"> W/m²K</w:t>
      </w:r>
    </w:p>
    <w:p w14:paraId="5A6B4466" w14:textId="77777777" w:rsidR="00DB2B68" w:rsidRDefault="00000000">
      <w:pPr>
        <w:pStyle w:val="Author-eListParagraph"/>
        <w:numPr>
          <w:ilvl w:val="0"/>
          <w:numId w:val="12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02BE32E" w14:textId="77777777" w:rsidR="00DB2B68" w:rsidRDefault="00000000">
      <w:r>
        <w:br/>
        <w:t>Résistance au feu :</w:t>
      </w:r>
    </w:p>
    <w:p w14:paraId="0EB74BA8" w14:textId="77777777" w:rsidR="00DB2B68" w:rsidRDefault="00000000">
      <w:pPr>
        <w:pStyle w:val="Author-eListParagraph"/>
        <w:numPr>
          <w:ilvl w:val="0"/>
          <w:numId w:val="122"/>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28DE2DBF" w14:textId="77777777" w:rsidR="00DB2B68" w:rsidRDefault="00000000">
      <w:pPr>
        <w:pStyle w:val="Author-eListParagraph"/>
        <w:numPr>
          <w:ilvl w:val="0"/>
          <w:numId w:val="122"/>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6E8DB753" w14:textId="77777777" w:rsidR="00DB2B68" w:rsidRDefault="00000000">
      <w:r>
        <w:lastRenderedPageBreak/>
        <w:t>selon les tableaux dans [NBN EN 1996-1-2 ANB].</w:t>
      </w:r>
    </w:p>
    <w:p w14:paraId="4DBEDB2B" w14:textId="77777777" w:rsidR="00DB2B68" w:rsidRDefault="00000000">
      <w:pPr>
        <w:ind w:left="750"/>
      </w:pPr>
      <w:r>
        <w:t> </w:t>
      </w:r>
    </w:p>
    <w:p w14:paraId="2DEAEFBE" w14:textId="77777777" w:rsidR="00DB2B68" w:rsidRDefault="00000000">
      <w:pPr>
        <w:pStyle w:val="pheading"/>
      </w:pPr>
      <w:r>
        <w:t>- Finitions</w:t>
      </w:r>
    </w:p>
    <w:p w14:paraId="28FC0DD0" w14:textId="77777777" w:rsidR="00DB2B68" w:rsidRDefault="00000000">
      <w:pPr>
        <w:pStyle w:val="Author-eListParagraph"/>
        <w:numPr>
          <w:ilvl w:val="0"/>
          <w:numId w:val="123"/>
        </w:numPr>
      </w:pPr>
      <w:r>
        <w:t>Les faces de murs suivantes sont exécutées comme maçonneries apparentes et sont</w:t>
      </w:r>
      <w:r>
        <w:rPr>
          <w:rStyle w:val="optioncarChar"/>
          <w:color w:val="000000"/>
        </w:rPr>
        <w:t xml:space="preserve"> rejointoyées</w:t>
      </w:r>
      <w:r>
        <w:t xml:space="preserve"> selon </w:t>
      </w:r>
      <w:hyperlink w:anchor="346" w:history="1">
        <w:r>
          <w:rPr>
            <w:color w:val="0000EE"/>
          </w:rPr>
          <w:t>21.61.1b Joints de maçonnerie apparente</w:t>
        </w:r>
      </w:hyperlink>
      <w:r>
        <w:t xml:space="preserve"> : </w:t>
      </w:r>
      <w:r>
        <w:rPr>
          <w:rStyle w:val="optioncarChar"/>
        </w:rPr>
        <w:t>***</w:t>
      </w:r>
    </w:p>
    <w:p w14:paraId="68AAAA78" w14:textId="77777777" w:rsidR="00DB2B68" w:rsidRDefault="00000000">
      <w:pPr>
        <w:pStyle w:val="Author-eListParagraph"/>
        <w:numPr>
          <w:ilvl w:val="0"/>
          <w:numId w:val="123"/>
        </w:numPr>
      </w:pPr>
      <w:r>
        <w:t xml:space="preserve">Les murs suivants sont exécutés avec une face restant apparente : </w:t>
      </w:r>
      <w:r>
        <w:rPr>
          <w:rStyle w:val="optioncarChar"/>
        </w:rPr>
        <w:t>***</w:t>
      </w:r>
    </w:p>
    <w:p w14:paraId="765AA97D" w14:textId="77777777" w:rsidR="00DB2B68" w:rsidRDefault="00000000">
      <w:pPr>
        <w:pStyle w:val="Author-eListParagraph"/>
        <w:numPr>
          <w:ilvl w:val="0"/>
          <w:numId w:val="123"/>
        </w:numPr>
      </w:pPr>
      <w:r>
        <w:t xml:space="preserve">Les murs suivants sont exécutés avec deux faces restant apparentes : </w:t>
      </w:r>
      <w:r>
        <w:rPr>
          <w:rStyle w:val="optioncarChar"/>
        </w:rPr>
        <w:t>***</w:t>
      </w:r>
    </w:p>
    <w:p w14:paraId="0F250FD5" w14:textId="77777777" w:rsidR="00DB2B68" w:rsidRDefault="00000000">
      <w:pPr>
        <w:pStyle w:val="pheading"/>
      </w:pPr>
      <w:r>
        <w:t>MESURAGE</w:t>
      </w:r>
    </w:p>
    <w:p w14:paraId="1BDD15C1" w14:textId="77777777" w:rsidR="00DB2B68" w:rsidRDefault="00000000">
      <w:pPr>
        <w:pStyle w:val="pheading"/>
      </w:pPr>
      <w:r>
        <w:t>- unité de mesure:</w:t>
      </w:r>
    </w:p>
    <w:p w14:paraId="0B984982" w14:textId="77777777" w:rsidR="00DB2B68" w:rsidRDefault="00000000">
      <w:r>
        <w:rPr>
          <w:rStyle w:val="optioncarChar"/>
        </w:rPr>
        <w:t>m³ </w:t>
      </w:r>
      <w:r>
        <w:t>(par défaut)</w:t>
      </w:r>
      <w:r>
        <w:rPr>
          <w:rStyle w:val="optioncarChar"/>
        </w:rPr>
        <w:t> / m²</w:t>
      </w:r>
    </w:p>
    <w:p w14:paraId="6C48C323" w14:textId="77777777" w:rsidR="00DB2B68" w:rsidRDefault="00000000">
      <w:r>
        <w:rPr>
          <w:b/>
        </w:rPr>
        <w:t>(soit par défaut)</w:t>
      </w:r>
    </w:p>
    <w:p w14:paraId="3E72F76C" w14:textId="77777777" w:rsidR="00DB2B68" w:rsidRDefault="00000000">
      <w:r>
        <w:rPr>
          <w:rStyle w:val="soitChar"/>
        </w:rPr>
        <w:t>1. m³</w:t>
      </w:r>
    </w:p>
    <w:p w14:paraId="5B8ABEAD" w14:textId="77777777" w:rsidR="00DB2B68" w:rsidRDefault="00000000">
      <w:r>
        <w:rPr>
          <w:b/>
        </w:rPr>
        <w:t>(soit)</w:t>
      </w:r>
    </w:p>
    <w:p w14:paraId="74C1E7E2" w14:textId="77777777" w:rsidR="00DB2B68" w:rsidRDefault="00000000">
      <w:r>
        <w:rPr>
          <w:rStyle w:val="soitChar"/>
        </w:rPr>
        <w:t>2. m²</w:t>
      </w:r>
    </w:p>
    <w:p w14:paraId="4DE9BEAA" w14:textId="77777777" w:rsidR="00DB2B68" w:rsidRDefault="00000000">
      <w:pPr>
        <w:pStyle w:val="pheading"/>
      </w:pPr>
      <w:r>
        <w:t>- code de mesurage:</w:t>
      </w:r>
    </w:p>
    <w:p w14:paraId="1B445973"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8285484"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E3F0739"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304E32F" w14:textId="77777777" w:rsidR="00DB2B68" w:rsidRDefault="00000000">
      <w:r>
        <w:rPr>
          <w:rStyle w:val="optioncarChar"/>
        </w:rPr>
        <w:t>Volume net </w:t>
      </w:r>
      <w:r>
        <w:t>(par défaut)</w:t>
      </w:r>
      <w:r>
        <w:rPr>
          <w:rStyle w:val="optioncarChar"/>
        </w:rPr>
        <w:t> / Surface nette</w:t>
      </w:r>
    </w:p>
    <w:p w14:paraId="2D8C54DF" w14:textId="77777777" w:rsidR="00DB2B68" w:rsidRDefault="00000000">
      <w:r>
        <w:rPr>
          <w:b/>
        </w:rPr>
        <w:t>(soit par défaut)</w:t>
      </w:r>
    </w:p>
    <w:p w14:paraId="7BA0BDD5"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09F97E0" w14:textId="77777777" w:rsidR="00DB2B68" w:rsidRDefault="00000000">
      <w:r>
        <w:rPr>
          <w:b/>
        </w:rPr>
        <w:t>(soit)</w:t>
      </w:r>
    </w:p>
    <w:p w14:paraId="6592642F"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C1A49EC" w14:textId="77777777" w:rsidR="00DB2B68" w:rsidRDefault="00000000">
      <w:pPr>
        <w:ind w:left="750"/>
      </w:pPr>
      <w:r>
        <w:t> </w:t>
      </w:r>
    </w:p>
    <w:p w14:paraId="5792BD52" w14:textId="77777777" w:rsidR="00DB2B68" w:rsidRDefault="00000000">
      <w:pPr>
        <w:pStyle w:val="pheading"/>
      </w:pPr>
      <w:r>
        <w:t>- nature du marché:</w:t>
      </w:r>
    </w:p>
    <w:p w14:paraId="3375E3C8" w14:textId="77777777" w:rsidR="00DB2B68" w:rsidRDefault="00000000">
      <w:r>
        <w:t>QF</w:t>
      </w:r>
    </w:p>
    <w:p w14:paraId="4CB04633" w14:textId="77777777" w:rsidR="00DB2B68" w:rsidRDefault="00000000">
      <w:pPr>
        <w:pStyle w:val="Author-eSectionHeading6Numberless"/>
      </w:pPr>
      <w:bookmarkStart w:id="67" w:name="_Toc220495228"/>
      <w:r>
        <w:t>21.12.6e Maçonneries portantes en blocs de béton d'argile expansée avec système de dosage pour liant hydraulique CCTB 01.13</w:t>
      </w:r>
      <w:bookmarkEnd w:id="67"/>
    </w:p>
    <w:p w14:paraId="2181E480" w14:textId="77777777" w:rsidR="00DB2B68" w:rsidRDefault="00000000">
      <w:pPr>
        <w:pStyle w:val="pheading"/>
      </w:pPr>
      <w:r>
        <w:t>DESCRIPTION</w:t>
      </w:r>
    </w:p>
    <w:p w14:paraId="0F27D167" w14:textId="77777777" w:rsidR="00DB2B68" w:rsidRDefault="00000000">
      <w:pPr>
        <w:pStyle w:val="pheading"/>
      </w:pPr>
      <w:r>
        <w:lastRenderedPageBreak/>
        <w:t>- Définition / Comprend</w:t>
      </w:r>
    </w:p>
    <w:p w14:paraId="05991A2A" w14:textId="77777777" w:rsidR="00DB2B68" w:rsidRDefault="00000000">
      <w:r>
        <w:t xml:space="preserve">Il s’agit de la fourniture et la pose de maçonneries portantes en blocs de béton d’argile expansée avec système de dosage pour liant hydraulique. </w:t>
      </w:r>
      <w:r>
        <w:br/>
        <w:t xml:space="preserve">La portée des travaux est décrite dans l’article </w:t>
      </w:r>
      <w:hyperlink w:anchor="373" w:history="1">
        <w:r>
          <w:rPr>
            <w:color w:val="0000EE"/>
          </w:rPr>
          <w:t>21.12.6 Maçonneries portantes en blocs de béton d'argile expansée</w:t>
        </w:r>
      </w:hyperlink>
      <w:r>
        <w:t>.</w:t>
      </w:r>
      <w:r>
        <w:br/>
        <w:t>Les travaux comprennent également la fourniture et la pose des pièces d’angle, de terminaison et de rencontre.</w:t>
      </w:r>
    </w:p>
    <w:p w14:paraId="5D8D6425" w14:textId="77777777" w:rsidR="00DB2B68" w:rsidRDefault="00000000">
      <w:pPr>
        <w:pStyle w:val="pheading"/>
      </w:pPr>
      <w:r>
        <w:t>- Localisation</w:t>
      </w:r>
    </w:p>
    <w:p w14:paraId="1447C3B3" w14:textId="77777777" w:rsidR="00DB2B68" w:rsidRDefault="00000000">
      <w:r>
        <w:t xml:space="preserve">La pose est réalisée aux endroits suivants : </w:t>
      </w:r>
      <w:r>
        <w:rPr>
          <w:rStyle w:val="optioncarChar"/>
        </w:rPr>
        <w:t>***</w:t>
      </w:r>
      <w:r>
        <w:t>.</w:t>
      </w:r>
      <w:r>
        <w:br/>
        <w:t>Voir plans et métrés détaillés.</w:t>
      </w:r>
    </w:p>
    <w:p w14:paraId="202B5EDB" w14:textId="77777777" w:rsidR="00DB2B68" w:rsidRDefault="00000000">
      <w:pPr>
        <w:pStyle w:val="pheading"/>
      </w:pPr>
      <w:r>
        <w:t>MATÉRIAUX</w:t>
      </w:r>
    </w:p>
    <w:p w14:paraId="3AE2AD35" w14:textId="77777777" w:rsidR="00DB2B68" w:rsidRDefault="00000000">
      <w:pPr>
        <w:pStyle w:val="pheading"/>
      </w:pPr>
      <w:r>
        <w:t>- Caractéristiques générales</w:t>
      </w:r>
    </w:p>
    <w:p w14:paraId="251BA631" w14:textId="77777777" w:rsidR="00DB2B68" w:rsidRDefault="00000000">
      <w:r>
        <w:rPr>
          <w:rStyle w:val="headingChar"/>
        </w:rPr>
        <w:t>Spécifications</w:t>
      </w:r>
    </w:p>
    <w:p w14:paraId="30C37AC5" w14:textId="77777777" w:rsidR="00DB2B68" w:rsidRDefault="00000000">
      <w:r>
        <w:rPr>
          <w:u w:val="single"/>
        </w:rPr>
        <w:t>Blocs</w:t>
      </w:r>
    </w:p>
    <w:p w14:paraId="5649B0A8"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640AF5BF" w14:textId="77777777" w:rsidR="00DB2B68" w:rsidRDefault="0000000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13827CA0" w14:textId="77777777" w:rsidR="00DB2B68" w:rsidRDefault="00000000">
      <w: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0FF3D09B" w14:textId="77777777" w:rsidR="00DB2B68" w:rsidRDefault="00000000">
      <w:r>
        <w:t xml:space="preserve">Réaction au feu : </w:t>
      </w:r>
      <w:r>
        <w:rPr>
          <w:rStyle w:val="optioncarChar"/>
        </w:rPr>
        <w:t>A1</w:t>
      </w:r>
      <w:r>
        <w:t> (par défaut)</w:t>
      </w:r>
      <w:r>
        <w:rPr>
          <w:rStyle w:val="optioncarChar"/>
        </w:rPr>
        <w:t xml:space="preserve"> / ***</w:t>
      </w:r>
    </w:p>
    <w:p w14:paraId="179692EB" w14:textId="77777777" w:rsidR="00DB2B68" w:rsidRDefault="00000000">
      <w:pPr>
        <w:spacing w:before="0" w:after="0"/>
      </w:pPr>
      <w:r>
        <w:rPr>
          <w:u w:val="single"/>
        </w:rPr>
        <w:t>Mortier</w:t>
      </w:r>
    </w:p>
    <w:p w14:paraId="068EF53A"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356259DC" w14:textId="77777777" w:rsidR="00DB2B68" w:rsidRDefault="00000000">
      <w:r>
        <w:br/>
      </w:r>
      <w:r>
        <w:rPr>
          <w:rStyle w:val="headingChar"/>
        </w:rPr>
        <w:t>Critères De Performances De La Paroi</w:t>
      </w:r>
    </w:p>
    <w:p w14:paraId="191E11B5" w14:textId="77777777" w:rsidR="00DB2B68" w:rsidRDefault="00000000">
      <w:r>
        <w:lastRenderedPageBreak/>
        <w:t>Coefficient de transmission :</w:t>
      </w:r>
    </w:p>
    <w:p w14:paraId="319A1CDA" w14:textId="77777777" w:rsidR="00DB2B68" w:rsidRDefault="00000000">
      <w:pPr>
        <w:pStyle w:val="Author-eListParagraph"/>
        <w:numPr>
          <w:ilvl w:val="0"/>
          <w:numId w:val="124"/>
        </w:numPr>
      </w:pPr>
      <w:r>
        <w:t xml:space="preserve">valeur U minimale de </w:t>
      </w:r>
      <w:r>
        <w:rPr>
          <w:rStyle w:val="optioncarChar"/>
        </w:rPr>
        <w:t>***</w:t>
      </w:r>
      <w:r>
        <w:t xml:space="preserve"> W/m²K</w:t>
      </w:r>
    </w:p>
    <w:p w14:paraId="0051B7B5" w14:textId="77777777" w:rsidR="00DB2B68" w:rsidRDefault="00000000">
      <w:pPr>
        <w:pStyle w:val="Author-eListParagraph"/>
        <w:numPr>
          <w:ilvl w:val="0"/>
          <w:numId w:val="12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A014C6E" w14:textId="77777777" w:rsidR="00DB2B68" w:rsidRDefault="00000000">
      <w:r>
        <w:br/>
        <w:t>Résistance au feu :</w:t>
      </w:r>
    </w:p>
    <w:p w14:paraId="7EDE0235" w14:textId="77777777" w:rsidR="00DB2B68" w:rsidRDefault="00000000">
      <w:pPr>
        <w:pStyle w:val="Author-eListParagraph"/>
        <w:numPr>
          <w:ilvl w:val="0"/>
          <w:numId w:val="125"/>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2607A936" w14:textId="77777777" w:rsidR="00DB2B68" w:rsidRDefault="00000000">
      <w:pPr>
        <w:pStyle w:val="Author-eListParagraph"/>
        <w:numPr>
          <w:ilvl w:val="0"/>
          <w:numId w:val="125"/>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0EF33D22" w14:textId="77777777" w:rsidR="00DB2B68" w:rsidRDefault="00000000">
      <w:r>
        <w:t>selon les tableaux dans [NBN EN 1996-1-2 ANB].</w:t>
      </w:r>
    </w:p>
    <w:p w14:paraId="247D03E4" w14:textId="77777777" w:rsidR="00DB2B68" w:rsidRDefault="00000000">
      <w:pPr>
        <w:ind w:left="750"/>
      </w:pPr>
      <w:r>
        <w:t> </w:t>
      </w:r>
    </w:p>
    <w:p w14:paraId="6B0B00B1" w14:textId="77777777" w:rsidR="00DB2B68" w:rsidRDefault="00000000">
      <w:pPr>
        <w:pStyle w:val="pheading"/>
      </w:pPr>
      <w:r>
        <w:t>- Finitions</w:t>
      </w:r>
    </w:p>
    <w:p w14:paraId="20266F5A" w14:textId="77777777" w:rsidR="00DB2B68" w:rsidRDefault="00000000">
      <w:pPr>
        <w:pStyle w:val="Author-eListParagraph"/>
        <w:numPr>
          <w:ilvl w:val="0"/>
          <w:numId w:val="126"/>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7D8A9CA5" w14:textId="77777777" w:rsidR="00DB2B68" w:rsidRDefault="00000000">
      <w:pPr>
        <w:pStyle w:val="Author-eListParagraph"/>
        <w:numPr>
          <w:ilvl w:val="0"/>
          <w:numId w:val="126"/>
        </w:numPr>
      </w:pPr>
      <w:r>
        <w:t xml:space="preserve">Les murs suivants sont exécutés avec une face restant apparente : </w:t>
      </w:r>
      <w:r>
        <w:rPr>
          <w:color w:val="FF0000"/>
        </w:rPr>
        <w:t>***</w:t>
      </w:r>
    </w:p>
    <w:p w14:paraId="49A854AF" w14:textId="77777777" w:rsidR="00DB2B68" w:rsidRDefault="00000000">
      <w:pPr>
        <w:pStyle w:val="Author-eListParagraph"/>
        <w:numPr>
          <w:ilvl w:val="0"/>
          <w:numId w:val="126"/>
        </w:numPr>
      </w:pPr>
      <w:r>
        <w:t xml:space="preserve">Les murs suivants sont exécutés avec deux faces restant apparentes : </w:t>
      </w:r>
      <w:r>
        <w:rPr>
          <w:rStyle w:val="optioncarChar"/>
        </w:rPr>
        <w:t>***</w:t>
      </w:r>
    </w:p>
    <w:p w14:paraId="59C5A965" w14:textId="77777777" w:rsidR="00DB2B68" w:rsidRDefault="00000000">
      <w:pPr>
        <w:pStyle w:val="pheading"/>
      </w:pPr>
      <w:r>
        <w:t>MESURAGE</w:t>
      </w:r>
    </w:p>
    <w:p w14:paraId="0F007025" w14:textId="77777777" w:rsidR="00DB2B68" w:rsidRDefault="00000000">
      <w:pPr>
        <w:pStyle w:val="pheading"/>
      </w:pPr>
      <w:r>
        <w:t>- unité de mesure:</w:t>
      </w:r>
    </w:p>
    <w:p w14:paraId="1EDAF6DD" w14:textId="77777777" w:rsidR="00DB2B68" w:rsidRDefault="00000000">
      <w:r>
        <w:rPr>
          <w:rStyle w:val="optioncarChar"/>
        </w:rPr>
        <w:t>m³ </w:t>
      </w:r>
      <w:r>
        <w:t>(par défaut)</w:t>
      </w:r>
      <w:r>
        <w:rPr>
          <w:rStyle w:val="optioncarChar"/>
        </w:rPr>
        <w:t> / m²</w:t>
      </w:r>
    </w:p>
    <w:p w14:paraId="513D3155" w14:textId="77777777" w:rsidR="00DB2B68" w:rsidRDefault="00000000">
      <w:r>
        <w:rPr>
          <w:b/>
        </w:rPr>
        <w:t>(soit par défaut)</w:t>
      </w:r>
    </w:p>
    <w:p w14:paraId="339A7ACC" w14:textId="77777777" w:rsidR="00DB2B68" w:rsidRDefault="00000000">
      <w:r>
        <w:rPr>
          <w:rStyle w:val="soitChar"/>
        </w:rPr>
        <w:t>1. m³</w:t>
      </w:r>
    </w:p>
    <w:p w14:paraId="4865B3AF" w14:textId="77777777" w:rsidR="00DB2B68" w:rsidRDefault="00000000">
      <w:r>
        <w:rPr>
          <w:b/>
        </w:rPr>
        <w:t>(soit)</w:t>
      </w:r>
    </w:p>
    <w:p w14:paraId="00AB16AC" w14:textId="77777777" w:rsidR="00DB2B68" w:rsidRDefault="00000000">
      <w:r>
        <w:rPr>
          <w:rStyle w:val="soitChar"/>
        </w:rPr>
        <w:t>2. m²</w:t>
      </w:r>
    </w:p>
    <w:p w14:paraId="3E916CA5" w14:textId="77777777" w:rsidR="00DB2B68" w:rsidRDefault="00000000">
      <w:pPr>
        <w:pStyle w:val="pheading"/>
      </w:pPr>
      <w:r>
        <w:t>- code de mesurage:</w:t>
      </w:r>
    </w:p>
    <w:p w14:paraId="6C01DD91"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E9DF100"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C334114"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55458F5" w14:textId="77777777" w:rsidR="00DB2B68" w:rsidRDefault="00000000">
      <w:r>
        <w:rPr>
          <w:rStyle w:val="optioncarChar"/>
        </w:rPr>
        <w:t>Volume net </w:t>
      </w:r>
      <w:r>
        <w:t>(par défaut)</w:t>
      </w:r>
      <w:r>
        <w:rPr>
          <w:rStyle w:val="optioncarChar"/>
        </w:rPr>
        <w:t> / Surface nette</w:t>
      </w:r>
    </w:p>
    <w:p w14:paraId="4FE58DCA" w14:textId="77777777" w:rsidR="00DB2B68" w:rsidRDefault="00000000">
      <w:r>
        <w:rPr>
          <w:b/>
        </w:rPr>
        <w:t>(soit par défaut)</w:t>
      </w:r>
    </w:p>
    <w:p w14:paraId="347D4F9B"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663C340" w14:textId="77777777" w:rsidR="00DB2B68" w:rsidRDefault="00000000">
      <w:r>
        <w:rPr>
          <w:b/>
        </w:rPr>
        <w:t>(soit)</w:t>
      </w:r>
    </w:p>
    <w:p w14:paraId="7C465533" w14:textId="77777777" w:rsidR="00DB2B68" w:rsidRDefault="00000000">
      <w:r>
        <w:rPr>
          <w:rStyle w:val="soitChar"/>
        </w:rPr>
        <w:lastRenderedPageBreak/>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313F7566" w14:textId="77777777" w:rsidR="00DB2B68" w:rsidRDefault="00000000">
      <w:pPr>
        <w:ind w:left="750"/>
      </w:pPr>
      <w:r>
        <w:t> </w:t>
      </w:r>
    </w:p>
    <w:p w14:paraId="6A8784DF" w14:textId="77777777" w:rsidR="00DB2B68" w:rsidRDefault="00000000">
      <w:pPr>
        <w:pStyle w:val="pheading"/>
      </w:pPr>
      <w:r>
        <w:t>- nature du marché:</w:t>
      </w:r>
    </w:p>
    <w:p w14:paraId="6C014F67" w14:textId="77777777" w:rsidR="00DB2B68" w:rsidRDefault="00000000">
      <w:r>
        <w:t>QF</w:t>
      </w:r>
    </w:p>
    <w:p w14:paraId="09500DF2" w14:textId="77777777" w:rsidR="00DB2B68" w:rsidRDefault="00000000">
      <w:pPr>
        <w:pStyle w:val="pheading"/>
      </w:pPr>
      <w:r>
        <w:t>AIDE</w:t>
      </w:r>
    </w:p>
    <w:p w14:paraId="5F33A333" w14:textId="77777777" w:rsidR="00DB2B68" w:rsidRDefault="00000000">
      <w:r>
        <w:t>À l'attention de l'auteur de projet</w:t>
      </w:r>
    </w:p>
    <w:p w14:paraId="5B08D4C3" w14:textId="77777777" w:rsidR="00DB2B68" w:rsidRDefault="00000000">
      <w:r>
        <w:t>D'autres catégories de qualité sont autorisées pourvu qu'elles ne combinent pas une certaine classe f avec une classe rho supérieure à celle qui correspond à cette classe f dans le tableau. Elles seront proposées par l’auteur de projet au maître de l’ouvrage. Dans le cas de la maçonnerie portante calculée, la classe f requise est déterminée sur la base des calculs effectués selon l'Eurocode 6 et son annexe nationale. La classe f2 est uniquement autorisée pour la maçonnerie non-portante.</w:t>
      </w:r>
    </w:p>
    <w:p w14:paraId="7CD712A1" w14:textId="77777777" w:rsidR="00DB2B68" w:rsidRDefault="00000000">
      <w:pPr>
        <w:pStyle w:val="Author-eSectionHeading6Numberless"/>
      </w:pPr>
      <w:bookmarkStart w:id="68" w:name="_Toc220495229"/>
      <w:r>
        <w:t>21.12.6f Maçonneries portantes en blocs de béton d'argile expansée acoustiques CCTB 01.13</w:t>
      </w:r>
      <w:bookmarkEnd w:id="68"/>
    </w:p>
    <w:p w14:paraId="61F2A9DD" w14:textId="77777777" w:rsidR="00DB2B68" w:rsidRDefault="00000000">
      <w:pPr>
        <w:pStyle w:val="pheading"/>
      </w:pPr>
      <w:r>
        <w:t>DESCRIPTION</w:t>
      </w:r>
    </w:p>
    <w:p w14:paraId="356B7B65" w14:textId="77777777" w:rsidR="00DB2B68" w:rsidRDefault="00000000">
      <w:pPr>
        <w:pStyle w:val="pheading"/>
      </w:pPr>
      <w:r>
        <w:t>- Définition / Comprend</w:t>
      </w:r>
    </w:p>
    <w:p w14:paraId="7769B20C" w14:textId="77777777" w:rsidR="00DB2B68" w:rsidRDefault="00000000">
      <w:r>
        <w:t xml:space="preserve">Il s’agit de la fourniture et la pose de maçonneries portantes en blocs de béton d’argile expansée acoustiques. </w:t>
      </w:r>
      <w:r>
        <w:br/>
        <w:t xml:space="preserve">La portée des travaux est décrite dans l’article </w:t>
      </w:r>
      <w:hyperlink w:anchor="373" w:history="1">
        <w:r>
          <w:rPr>
            <w:color w:val="0000EE"/>
          </w:rPr>
          <w:t>21.12.6 Maçonneries portantes en blocs de béton d'argile expansée</w:t>
        </w:r>
      </w:hyperlink>
      <w:r>
        <w:t>.</w:t>
      </w:r>
      <w:r>
        <w:br/>
        <w:t>Les travaux comprennent également la fourniture et la pose des pièces d’angle, de terminaison et de rencontre.</w:t>
      </w:r>
    </w:p>
    <w:p w14:paraId="2CE066D4" w14:textId="77777777" w:rsidR="00DB2B68" w:rsidRDefault="00000000">
      <w:pPr>
        <w:pStyle w:val="pheading"/>
      </w:pPr>
      <w:r>
        <w:t>- Localisation</w:t>
      </w:r>
    </w:p>
    <w:p w14:paraId="37D59F38" w14:textId="77777777" w:rsidR="00DB2B68" w:rsidRDefault="00000000">
      <w:r>
        <w:t xml:space="preserve">La pose est réalisée aux endroits suivants : </w:t>
      </w:r>
      <w:r>
        <w:rPr>
          <w:rStyle w:val="optioncarChar"/>
        </w:rPr>
        <w:t>***</w:t>
      </w:r>
      <w:r>
        <w:t>.</w:t>
      </w:r>
      <w:r>
        <w:br/>
        <w:t>Voir plans et métrés détaillés.</w:t>
      </w:r>
    </w:p>
    <w:p w14:paraId="1949F6C5" w14:textId="77777777" w:rsidR="00DB2B68" w:rsidRDefault="00000000">
      <w:pPr>
        <w:pStyle w:val="pheading"/>
      </w:pPr>
      <w:r>
        <w:t>MATÉRIAUX</w:t>
      </w:r>
    </w:p>
    <w:p w14:paraId="458CABB9" w14:textId="77777777" w:rsidR="00DB2B68" w:rsidRDefault="00000000">
      <w:pPr>
        <w:pStyle w:val="pheading"/>
      </w:pPr>
      <w:r>
        <w:t>- Caractéristiques générales</w:t>
      </w:r>
    </w:p>
    <w:p w14:paraId="40A4AEF9" w14:textId="77777777" w:rsidR="00DB2B68" w:rsidRDefault="00000000">
      <w:r>
        <w:rPr>
          <w:rStyle w:val="headingChar"/>
        </w:rPr>
        <w:t>Spécifications</w:t>
      </w:r>
    </w:p>
    <w:p w14:paraId="08D96D56" w14:textId="77777777" w:rsidR="00DB2B68" w:rsidRDefault="00000000">
      <w:r>
        <w:rPr>
          <w:u w:val="single"/>
        </w:rPr>
        <w:t>Blocs</w:t>
      </w:r>
    </w:p>
    <w:p w14:paraId="18443EC8"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0D293D86" w14:textId="77777777" w:rsidR="00DB2B68" w:rsidRDefault="0000000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022A005F" w14:textId="77777777" w:rsidR="00DB2B68" w:rsidRDefault="00000000">
      <w: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xml:space="preserve">/ assemblage à rainures et languettes / assemblage à rainures et </w:t>
      </w:r>
      <w:r>
        <w:rPr>
          <w:rStyle w:val="optioncarChar"/>
        </w:rPr>
        <w:lastRenderedPageBreak/>
        <w:t>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rPr>
        <w:t>lisse / adhérence améliorée </w:t>
      </w:r>
      <w:r>
        <w:t xml:space="preserve">(par défaut) </w:t>
      </w:r>
      <w:r>
        <w:rPr>
          <w:rStyle w:val="optioncarChar"/>
        </w:rPr>
        <w:t>/ rainurée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205CE2F4" w14:textId="77777777" w:rsidR="00DB2B68" w:rsidRDefault="00000000">
      <w:r>
        <w:t xml:space="preserve">Réaction au feu : </w:t>
      </w:r>
      <w:r>
        <w:rPr>
          <w:rStyle w:val="optioncarChar"/>
        </w:rPr>
        <w:t>A1 / ***</w:t>
      </w:r>
    </w:p>
    <w:p w14:paraId="267B6517" w14:textId="77777777" w:rsidR="00DB2B68" w:rsidRDefault="00000000">
      <w:pPr>
        <w:spacing w:before="0" w:after="0"/>
      </w:pPr>
      <w:r>
        <w:rPr>
          <w:u w:val="single"/>
        </w:rPr>
        <w:t>Mortier</w:t>
      </w:r>
    </w:p>
    <w:p w14:paraId="66E1E18B"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02968890"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401A17A" w14:textId="77777777" w:rsidR="00DB2B68" w:rsidRDefault="00000000">
      <w:pPr>
        <w:spacing w:before="0" w:after="0"/>
      </w:pPr>
      <w:r>
        <w:rPr>
          <w:rStyle w:val="normalChar"/>
          <w:color w:val="000000"/>
        </w:rPr>
        <w:t>Résistance au gel : oui</w:t>
      </w:r>
    </w:p>
    <w:p w14:paraId="2D9CA2C2" w14:textId="77777777" w:rsidR="00DB2B68" w:rsidRDefault="00000000">
      <w:r>
        <w:br/>
      </w:r>
      <w:r>
        <w:rPr>
          <w:rStyle w:val="headingChar"/>
        </w:rPr>
        <w:t>Critères De Performances De La Paroi</w:t>
      </w:r>
    </w:p>
    <w:p w14:paraId="6D1CCA5C" w14:textId="77777777" w:rsidR="00DB2B68" w:rsidRDefault="00000000">
      <w:r>
        <w:t>Coefficient de transmission :</w:t>
      </w:r>
    </w:p>
    <w:p w14:paraId="048C1C1E" w14:textId="77777777" w:rsidR="00DB2B68" w:rsidRDefault="00000000">
      <w:pPr>
        <w:pStyle w:val="Author-eListParagraph"/>
        <w:numPr>
          <w:ilvl w:val="0"/>
          <w:numId w:val="127"/>
        </w:numPr>
      </w:pPr>
      <w:r>
        <w:t xml:space="preserve">valeur U minimale de </w:t>
      </w:r>
      <w:r>
        <w:rPr>
          <w:rStyle w:val="optioncarChar"/>
        </w:rPr>
        <w:t>***</w:t>
      </w:r>
      <w:r>
        <w:t xml:space="preserve"> W/m²K</w:t>
      </w:r>
    </w:p>
    <w:p w14:paraId="0E1F6592" w14:textId="77777777" w:rsidR="00DB2B68" w:rsidRDefault="00000000">
      <w:pPr>
        <w:pStyle w:val="Author-eListParagraph"/>
        <w:numPr>
          <w:ilvl w:val="0"/>
          <w:numId w:val="12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5884E21" w14:textId="77777777" w:rsidR="00DB2B68" w:rsidRDefault="00000000">
      <w:r>
        <w:br/>
        <w:t>Résistance au feu :</w:t>
      </w:r>
    </w:p>
    <w:p w14:paraId="392A3BC1" w14:textId="77777777" w:rsidR="00DB2B68" w:rsidRDefault="00000000">
      <w:pPr>
        <w:pStyle w:val="Author-eListParagraph"/>
        <w:numPr>
          <w:ilvl w:val="0"/>
          <w:numId w:val="128"/>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244326F1" w14:textId="77777777" w:rsidR="00DB2B68" w:rsidRDefault="00000000">
      <w:pPr>
        <w:pStyle w:val="Author-eListParagraph"/>
        <w:numPr>
          <w:ilvl w:val="0"/>
          <w:numId w:val="128"/>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3F39BE7F" w14:textId="77777777" w:rsidR="00DB2B68" w:rsidRDefault="00000000">
      <w:r>
        <w:t>selon les tableaux dans [NBN EN 1996-1-2 ANB].</w:t>
      </w:r>
    </w:p>
    <w:p w14:paraId="254DEAE6" w14:textId="77777777" w:rsidR="00DB2B68" w:rsidRDefault="00000000">
      <w:pPr>
        <w:ind w:left="750"/>
      </w:pPr>
      <w:r>
        <w:t> </w:t>
      </w:r>
    </w:p>
    <w:p w14:paraId="39394E73" w14:textId="77777777" w:rsidR="00DB2B68" w:rsidRDefault="00000000">
      <w:pPr>
        <w:pStyle w:val="pheading"/>
      </w:pPr>
      <w:r>
        <w:t>- Finitions</w:t>
      </w:r>
    </w:p>
    <w:p w14:paraId="668363E6" w14:textId="77777777" w:rsidR="00DB2B68" w:rsidRDefault="00000000">
      <w:pPr>
        <w:pStyle w:val="Author-eListParagraph"/>
        <w:numPr>
          <w:ilvl w:val="0"/>
          <w:numId w:val="129"/>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599C4B64" w14:textId="77777777" w:rsidR="00DB2B68" w:rsidRDefault="00000000">
      <w:pPr>
        <w:pStyle w:val="Author-eListParagraph"/>
        <w:numPr>
          <w:ilvl w:val="0"/>
          <w:numId w:val="129"/>
        </w:numPr>
      </w:pPr>
      <w:r>
        <w:t xml:space="preserve">Les murs suivants sont exécutés avec une face restant apparente : </w:t>
      </w:r>
      <w:r>
        <w:rPr>
          <w:rStyle w:val="optioncarChar"/>
        </w:rPr>
        <w:t>***</w:t>
      </w:r>
    </w:p>
    <w:p w14:paraId="5C051730" w14:textId="77777777" w:rsidR="00DB2B68" w:rsidRDefault="00000000">
      <w:pPr>
        <w:pStyle w:val="Author-eListParagraph"/>
        <w:numPr>
          <w:ilvl w:val="0"/>
          <w:numId w:val="129"/>
        </w:numPr>
      </w:pPr>
      <w:r>
        <w:t xml:space="preserve">Les murs suivants sont exécutés avec deux faces restant apparentes : </w:t>
      </w:r>
      <w:r>
        <w:rPr>
          <w:rStyle w:val="optioncarChar"/>
        </w:rPr>
        <w:t>***</w:t>
      </w:r>
    </w:p>
    <w:p w14:paraId="4A5780CD" w14:textId="77777777" w:rsidR="00DB2B68" w:rsidRDefault="00000000">
      <w:pPr>
        <w:pStyle w:val="pheading"/>
      </w:pPr>
      <w:r>
        <w:t>MESURAGE</w:t>
      </w:r>
    </w:p>
    <w:p w14:paraId="19F515B0" w14:textId="77777777" w:rsidR="00DB2B68" w:rsidRDefault="00000000">
      <w:pPr>
        <w:pStyle w:val="pheading"/>
      </w:pPr>
      <w:r>
        <w:t>- unité de mesure:</w:t>
      </w:r>
    </w:p>
    <w:p w14:paraId="6A4DB2EA" w14:textId="77777777" w:rsidR="00DB2B68" w:rsidRDefault="00000000">
      <w:r>
        <w:rPr>
          <w:rStyle w:val="optioncarChar"/>
        </w:rPr>
        <w:t>m³ </w:t>
      </w:r>
      <w:r>
        <w:t>(par défaut)</w:t>
      </w:r>
      <w:r>
        <w:rPr>
          <w:rStyle w:val="optioncarChar"/>
        </w:rPr>
        <w:t> / m²</w:t>
      </w:r>
    </w:p>
    <w:p w14:paraId="41D59AC4" w14:textId="77777777" w:rsidR="00DB2B68" w:rsidRDefault="00000000">
      <w:r>
        <w:rPr>
          <w:b/>
        </w:rPr>
        <w:t>(soit par défaut)</w:t>
      </w:r>
    </w:p>
    <w:p w14:paraId="3A9F304A" w14:textId="77777777" w:rsidR="00DB2B68" w:rsidRDefault="00000000">
      <w:r>
        <w:rPr>
          <w:rStyle w:val="soitChar"/>
        </w:rPr>
        <w:t>1. m³</w:t>
      </w:r>
    </w:p>
    <w:p w14:paraId="080C4D9E" w14:textId="77777777" w:rsidR="00DB2B68" w:rsidRDefault="00000000">
      <w:r>
        <w:rPr>
          <w:b/>
        </w:rPr>
        <w:t>(soit)</w:t>
      </w:r>
    </w:p>
    <w:p w14:paraId="5B0A6BDB" w14:textId="77777777" w:rsidR="00DB2B68" w:rsidRDefault="00000000">
      <w:r>
        <w:rPr>
          <w:rStyle w:val="soitChar"/>
        </w:rPr>
        <w:t>2. m²</w:t>
      </w:r>
    </w:p>
    <w:p w14:paraId="39D89902" w14:textId="77777777" w:rsidR="00DB2B68" w:rsidRDefault="00000000">
      <w:pPr>
        <w:pStyle w:val="pheading"/>
      </w:pPr>
      <w:r>
        <w:t>- code de mesurage:</w:t>
      </w:r>
    </w:p>
    <w:p w14:paraId="4572C382" w14:textId="77777777" w:rsidR="00DB2B68" w:rsidRDefault="00000000">
      <w:r>
        <w:t>Les maçonneries sont mesurées en fonction de leur forme géométrique.</w:t>
      </w:r>
      <w:r>
        <w:br/>
      </w:r>
      <w:r>
        <w:br/>
        <w:t xml:space="preserve">La longueur des murs est mesurée dans l'axe de l'élément; lorsque deux murs se croisent ou se </w:t>
      </w:r>
      <w:r>
        <w:lastRenderedPageBreak/>
        <w:t>rencontrent, le mur le plus épais est compté. Aucun volume n'est porté deux fois en compte.</w:t>
      </w:r>
      <w:r>
        <w:br/>
        <w:t>Le creux du mur n'est jamais compté.</w:t>
      </w:r>
    </w:p>
    <w:p w14:paraId="5EC32DA3"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0BAB723"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61062EE" w14:textId="77777777" w:rsidR="00DB2B68" w:rsidRDefault="00000000">
      <w:r>
        <w:rPr>
          <w:rStyle w:val="optioncarChar"/>
        </w:rPr>
        <w:t>Volume net </w:t>
      </w:r>
      <w:r>
        <w:t>(par défaut)</w:t>
      </w:r>
      <w:r>
        <w:rPr>
          <w:rStyle w:val="optioncarChar"/>
        </w:rPr>
        <w:t> / Surface nette</w:t>
      </w:r>
    </w:p>
    <w:p w14:paraId="0DAFF432" w14:textId="77777777" w:rsidR="00DB2B68" w:rsidRDefault="00000000">
      <w:r>
        <w:rPr>
          <w:b/>
        </w:rPr>
        <w:t>(soit par défaut)</w:t>
      </w:r>
    </w:p>
    <w:p w14:paraId="3237D5D4"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312F5EE" w14:textId="77777777" w:rsidR="00DB2B68" w:rsidRDefault="00000000">
      <w:r>
        <w:rPr>
          <w:b/>
        </w:rPr>
        <w:t>(soit)</w:t>
      </w:r>
    </w:p>
    <w:p w14:paraId="2971675E"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E97504F" w14:textId="77777777" w:rsidR="00DB2B68" w:rsidRDefault="00000000">
      <w:pPr>
        <w:ind w:left="750"/>
      </w:pPr>
      <w:r>
        <w:t> </w:t>
      </w:r>
    </w:p>
    <w:p w14:paraId="0DF0D004" w14:textId="77777777" w:rsidR="00DB2B68" w:rsidRDefault="00000000">
      <w:pPr>
        <w:pStyle w:val="pheading"/>
      </w:pPr>
      <w:r>
        <w:t>- nature du marché:</w:t>
      </w:r>
    </w:p>
    <w:p w14:paraId="6A68D522" w14:textId="77777777" w:rsidR="00DB2B68" w:rsidRDefault="00000000">
      <w:r>
        <w:t>QF</w:t>
      </w:r>
    </w:p>
    <w:p w14:paraId="52C57595" w14:textId="77777777" w:rsidR="00DB2B68" w:rsidRDefault="00000000">
      <w:pPr>
        <w:pStyle w:val="Author-eSectionHeading5Numberless"/>
      </w:pPr>
      <w:bookmarkStart w:id="69" w:name="_Toc220495230"/>
      <w:r>
        <w:t>21.12.7 Maçonneries portantes en blocs de béton cellulaire CCTB 01.11</w:t>
      </w:r>
      <w:bookmarkEnd w:id="69"/>
    </w:p>
    <w:p w14:paraId="7C3CB51C" w14:textId="77777777" w:rsidR="00DB2B68" w:rsidRDefault="00000000">
      <w:pPr>
        <w:pStyle w:val="pheading"/>
      </w:pPr>
      <w:bookmarkStart w:id="70" w:name="374"/>
      <w:bookmarkEnd w:id="70"/>
      <w:r>
        <w:t>MATÉRIAUX</w:t>
      </w:r>
    </w:p>
    <w:p w14:paraId="3FFCE729" w14:textId="77777777" w:rsidR="00DB2B68" w:rsidRDefault="00000000">
      <w:r>
        <w:t>Il s'agit des blocs en béton cellulaire, qui répondent à la norme [NBN EN 771-4+A1] et au [PTV 21-002]. L'entrepreneur soumet un échantillon, la fiche technique et la déclaration des performances (DoP) du matériau pour approbation à l'auteur de projet et au maître de l’ouvrage.</w:t>
      </w:r>
    </w:p>
    <w:p w14:paraId="643CF0A0" w14:textId="77777777" w:rsidR="00DB2B68" w:rsidRDefault="00000000">
      <w:pPr>
        <w:pStyle w:val="pheading"/>
      </w:pPr>
      <w:r>
        <w:t>EXÉCUTION / MISE EN ŒUVRE</w:t>
      </w:r>
    </w:p>
    <w:p w14:paraId="10E81713" w14:textId="77777777" w:rsidR="00DB2B68" w:rsidRDefault="00000000">
      <w:r>
        <w:rPr>
          <w:u w:val="single"/>
        </w:rPr>
        <w:t>- Prescriptions générales</w:t>
      </w:r>
    </w:p>
    <w:p w14:paraId="32C9EB6D" w14:textId="77777777" w:rsidR="00DB2B68" w:rsidRDefault="00000000">
      <w:r>
        <w:t>Conformément au mode de mise en œuvre, les blocs en béton cellulaire sont collés à l’aide d’un mortier-colle selon les indications du fabricant des blocs et des notes de calcul du bureau d’études.</w:t>
      </w:r>
    </w:p>
    <w:p w14:paraId="07597EEE" w14:textId="77777777" w:rsidR="00DB2B68" w:rsidRDefault="00000000">
      <w:r>
        <w:t xml:space="preserve">Le mortier à coller (selon la norme [NBN EN 998-2] et le règlement d’application [TRA 651] ) répond à la catégorie : </w:t>
      </w:r>
      <w:r>
        <w:rPr>
          <w:rStyle w:val="optioncarChar"/>
        </w:rPr>
        <w:t>M10 </w:t>
      </w:r>
      <w:r>
        <w:t>(par défaut)</w:t>
      </w:r>
      <w:r>
        <w:rPr>
          <w:rStyle w:val="optioncarChar"/>
        </w:rPr>
        <w:t xml:space="preserve"> / ***</w:t>
      </w:r>
    </w:p>
    <w:p w14:paraId="0F672B22" w14:textId="77777777" w:rsidR="00DB2B68" w:rsidRDefault="00000000">
      <w:r>
        <w:t xml:space="preserve">L'épaisseur des joints est d'au moins </w:t>
      </w:r>
      <w:r>
        <w:rPr>
          <w:rStyle w:val="optioncarChar"/>
        </w:rPr>
        <w:t>2 / ***</w:t>
      </w:r>
      <w:r>
        <w:t xml:space="preserve"> mm (tolérances suivant [NIT 208])</w:t>
      </w:r>
      <w:r>
        <w:br/>
      </w:r>
      <w:r>
        <w:br/>
        <w:t>Eléments de liaison et d'ancrage :</w:t>
      </w:r>
    </w:p>
    <w:p w14:paraId="03EE7373" w14:textId="77777777" w:rsidR="00DB2B68"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6DCFA9D0" w14:textId="77777777" w:rsidR="00DB2B68" w:rsidRDefault="00000000">
      <w:r>
        <w:t xml:space="preserve">Isolation contre l'humidité : </w:t>
      </w:r>
      <w:r>
        <w:rPr>
          <w:rStyle w:val="optioncarChar"/>
        </w:rPr>
        <w:t>membranes en PE </w:t>
      </w:r>
      <w:r>
        <w:t>(par défaut)</w:t>
      </w:r>
      <w:r>
        <w:rPr>
          <w:rStyle w:val="optioncarChar"/>
        </w:rPr>
        <w:t xml:space="preserve"> / ***</w:t>
      </w:r>
      <w:r>
        <w:rPr>
          <w:rStyle w:val="normalChar"/>
        </w:rPr>
        <w:t xml:space="preserve"> conformément à l'article </w:t>
      </w:r>
      <w:hyperlink w:anchor="356" w:history="1">
        <w:r>
          <w:rPr>
            <w:color w:val="0000EE"/>
          </w:rPr>
          <w:t>26.11 Feuilles et membranes d'étanchéité à l'eau</w:t>
        </w:r>
      </w:hyperlink>
      <w:r>
        <w:br/>
      </w:r>
      <w:r>
        <w:br/>
      </w:r>
    </w:p>
    <w:p w14:paraId="52B282C1" w14:textId="77777777" w:rsidR="00DB2B68" w:rsidRDefault="00000000">
      <w:r>
        <w:rPr>
          <w:u w:val="single"/>
        </w:rPr>
        <w:lastRenderedPageBreak/>
        <w:t>- Notes d'exécution complémentaires</w:t>
      </w:r>
    </w:p>
    <w:p w14:paraId="254EF910" w14:textId="77777777" w:rsidR="00DB2B68" w:rsidRDefault="00000000">
      <w:r>
        <w:t>Pour les maçonneries destinées à rester apparentes, seuls des blocs non endommagés sont utilisés.</w:t>
      </w:r>
    </w:p>
    <w:p w14:paraId="61B59135"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0D909984"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7F5E08B5"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55810AF4" w14:textId="77777777" w:rsidR="00DB2B68" w:rsidRDefault="00000000">
      <w:r>
        <w:t xml:space="preserve">Crochets de mur : </w:t>
      </w:r>
      <w:r>
        <w:rPr>
          <w:rStyle w:val="optioncarChar"/>
        </w:rPr>
        <w:t>acier inoxydable </w:t>
      </w:r>
      <w:r>
        <w:t xml:space="preserve">(par défaut) </w:t>
      </w:r>
      <w:r>
        <w:rPr>
          <w:rStyle w:val="optioncarChar"/>
        </w:rPr>
        <w:t>/ ***</w:t>
      </w:r>
      <w:r>
        <w:t xml:space="preserve"> , diamètre minimal </w:t>
      </w:r>
      <w:r>
        <w:rPr>
          <w:rStyle w:val="optioncarChar"/>
        </w:rPr>
        <w:t>3,5 </w:t>
      </w:r>
      <w:r>
        <w:t>(par défaut)</w:t>
      </w:r>
      <w:r>
        <w:rPr>
          <w:rStyle w:val="optioncarChar"/>
        </w:rPr>
        <w:t xml:space="preserve"> / ***</w:t>
      </w:r>
      <w:r>
        <w:t xml:space="preserve"> mm</w:t>
      </w:r>
    </w:p>
    <w:p w14:paraId="528E0E94"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p>
    <w:p w14:paraId="2ED218BC" w14:textId="77777777" w:rsidR="00DB2B68" w:rsidRDefault="00000000">
      <w:pPr>
        <w:ind w:left="750"/>
      </w:pPr>
      <w:r>
        <w:t> </w:t>
      </w:r>
    </w:p>
    <w:p w14:paraId="4D0BBD63" w14:textId="77777777" w:rsidR="00DB2B68" w:rsidRDefault="00000000">
      <w:pPr>
        <w:pStyle w:val="pheading"/>
      </w:pPr>
      <w:r>
        <w:t>AIDE</w:t>
      </w:r>
    </w:p>
    <w:p w14:paraId="566D57AE" w14:textId="77777777" w:rsidR="00DB2B68" w:rsidRDefault="00000000">
      <w:r>
        <w:t>Note à l'attention de l'auteur du projet : pour le choix adéquat du mortier, se référer à la [STS 22 série].</w:t>
      </w:r>
    </w:p>
    <w:p w14:paraId="3BC98A73" w14:textId="77777777" w:rsidR="00DB2B68" w:rsidRDefault="00000000">
      <w:pPr>
        <w:pStyle w:val="Author-eSectionHeading6Numberless"/>
      </w:pPr>
      <w:bookmarkStart w:id="71" w:name="_Toc220495231"/>
      <w:r>
        <w:t>21.12.7a Maçonneries portantes en blocs de béton cellulaire CCTB 01.12</w:t>
      </w:r>
      <w:bookmarkEnd w:id="71"/>
    </w:p>
    <w:p w14:paraId="3DD12842" w14:textId="77777777" w:rsidR="00DB2B68" w:rsidRDefault="00000000">
      <w:pPr>
        <w:pStyle w:val="pheading"/>
      </w:pPr>
      <w:r>
        <w:t>DESCRIPTION</w:t>
      </w:r>
    </w:p>
    <w:p w14:paraId="1C023496" w14:textId="77777777" w:rsidR="00DB2B68" w:rsidRDefault="00000000">
      <w:pPr>
        <w:pStyle w:val="pheading"/>
      </w:pPr>
      <w:r>
        <w:t>- Définition / Comprend</w:t>
      </w:r>
    </w:p>
    <w:p w14:paraId="1BA81258" w14:textId="77777777" w:rsidR="00DB2B68" w:rsidRDefault="00000000">
      <w:r>
        <w:t xml:space="preserve">Il s’agit de la fourniture et la pose de maçonneries portantes en blocs de béton cellulaire. </w:t>
      </w:r>
      <w:r>
        <w:br/>
        <w:t xml:space="preserve">La portée des travaux est décrite dans l’article </w:t>
      </w:r>
      <w:hyperlink w:anchor="374" w:history="1">
        <w:r>
          <w:rPr>
            <w:color w:val="0000EE"/>
          </w:rPr>
          <w:t>21.12.7 Maçonneries portantes en blocs de béton cellulaire</w:t>
        </w:r>
      </w:hyperlink>
      <w:r>
        <w:t>.</w:t>
      </w:r>
      <w:r>
        <w:br/>
        <w:t>Les travaux comprennent également la fourniture et la pose des pièces d’angle, de terminaison et de rencontre.</w:t>
      </w:r>
    </w:p>
    <w:p w14:paraId="19D4881F" w14:textId="77777777" w:rsidR="00DB2B68" w:rsidRDefault="00000000">
      <w:pPr>
        <w:pStyle w:val="pheading"/>
      </w:pPr>
      <w:r>
        <w:t>- Localisation</w:t>
      </w:r>
    </w:p>
    <w:p w14:paraId="0976D20D" w14:textId="77777777" w:rsidR="00DB2B68" w:rsidRDefault="00000000">
      <w:r>
        <w:t xml:space="preserve">La pose est réalisée aux endroits suivants : </w:t>
      </w:r>
      <w:r>
        <w:rPr>
          <w:rStyle w:val="optioncarChar"/>
        </w:rPr>
        <w:t>***</w:t>
      </w:r>
      <w:r>
        <w:t>.</w:t>
      </w:r>
      <w:r>
        <w:br/>
        <w:t>Voir plans et métrés détaillés.</w:t>
      </w:r>
    </w:p>
    <w:p w14:paraId="2E64E676" w14:textId="77777777" w:rsidR="00DB2B68" w:rsidRDefault="00000000">
      <w:pPr>
        <w:pStyle w:val="pheading"/>
      </w:pPr>
      <w:r>
        <w:t>MATÉRIAUX</w:t>
      </w:r>
    </w:p>
    <w:p w14:paraId="6FE9F702" w14:textId="77777777" w:rsidR="00DB2B68" w:rsidRDefault="00000000">
      <w:pPr>
        <w:pStyle w:val="pheading"/>
      </w:pPr>
      <w:r>
        <w:t>- Caractéristiques générales</w:t>
      </w:r>
    </w:p>
    <w:p w14:paraId="7DB60621" w14:textId="77777777" w:rsidR="00DB2B68" w:rsidRDefault="00000000">
      <w:r>
        <w:rPr>
          <w:rStyle w:val="headingChar"/>
        </w:rPr>
        <w:t>Spécifications</w:t>
      </w:r>
    </w:p>
    <w:p w14:paraId="4B160A50"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cellulaire sont de classe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 moyenne (f</w:t>
      </w:r>
      <w:r>
        <w:rPr>
          <w:vertAlign w:val="subscript"/>
        </w:rPr>
        <w:t>mean</w:t>
      </w:r>
      <w:r>
        <w:t>) suivant [NBN EN 1996 série] est au minimum:</w:t>
      </w:r>
      <w:r>
        <w:rPr>
          <w:rStyle w:val="optioncarChar"/>
        </w:rPr>
        <w:t xml:space="preserve"> 2 / 3 / 4 / 5 / ***</w:t>
      </w:r>
      <w:r>
        <w:t xml:space="preserve"> N/mm² (MPa) (classe f </w:t>
      </w:r>
      <w:r>
        <w:rPr>
          <w:rStyle w:val="optioncarChar"/>
        </w:rPr>
        <w:t>***</w:t>
      </w:r>
      <w:r>
        <w:t xml:space="preserve">) (selon [NBN EN 771-4+A1]). </w:t>
      </w:r>
      <w:r>
        <w:br/>
      </w:r>
      <w:r>
        <w:br/>
        <w:t xml:space="preserve">Le groupe de configuration suivant [NBN EN 1996-1-1+A1 ANB] est: </w:t>
      </w:r>
      <w:r>
        <w:rPr>
          <w:rStyle w:val="optioncarChar"/>
        </w:rPr>
        <w:t>1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w:t>
      </w:r>
      <w:r>
        <w:rPr>
          <w:rStyle w:val="optioncarChar"/>
        </w:rPr>
        <w:lastRenderedPageBreak/>
        <w:t>poignées</w:t>
      </w:r>
      <w:r>
        <w:br/>
        <w:t>Face qui reste visible : lisse</w:t>
      </w:r>
      <w:r>
        <w:br/>
        <w:t>Face à cimenter ou plafonner : lisse</w:t>
      </w:r>
      <w:r>
        <w:br/>
      </w:r>
      <w:r>
        <w:br/>
        <w:t xml:space="preserve">Teinte : </w:t>
      </w:r>
      <w:r>
        <w:rPr>
          <w:rStyle w:val="optioncarChar"/>
        </w:rPr>
        <w:t>blanc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(600 / *** </w:t>
      </w:r>
      <w:r>
        <w:t>x</w:t>
      </w:r>
      <w:r>
        <w:rPr>
          <w:rStyle w:val="optioncarChar"/>
        </w:rPr>
        <w:t> 200 / 250 / 500 ***</w:t>
      </w:r>
      <w:r>
        <w:t> x</w:t>
      </w:r>
      <w:r>
        <w:rPr>
          <w:rStyle w:val="optioncarChar"/>
        </w:rPr>
        <w:t> 150 / 175 / 200 / 240 / 300 / 365 / ***</w:t>
      </w:r>
      <w:r>
        <w:t> ) mm</w:t>
      </w:r>
    </w:p>
    <w:p w14:paraId="27966F50" w14:textId="77777777" w:rsidR="00DB2B68" w:rsidRDefault="00000000">
      <w:r>
        <w:t>Stabilité de forme : les éléments en béton cellulaire destinés à un usage extérieur ou en maçonnerie souterraine respectent le critère suivant en matière de comportement à l'humidité : retrait et gonflement hygrométriques ≤ 0.45 mm / m (cf. [NBN EN 772 série] et [NBN EN 680]).</w:t>
      </w:r>
      <w:r>
        <w:br/>
      </w:r>
      <w:r>
        <w:br/>
        <w:t xml:space="preserve">Absorption d’eau par capillarité : code A inférieur à </w:t>
      </w:r>
      <w:r>
        <w:rPr>
          <w:rStyle w:val="optioncarChar"/>
        </w:rPr>
        <w:t>4500 g/m² en 10 min </w:t>
      </w:r>
      <w:r>
        <w:t xml:space="preserve">(par défaut) </w:t>
      </w:r>
      <w:r>
        <w:rPr>
          <w:rStyle w:val="optioncarChar"/>
        </w:rPr>
        <w:t>/ 6000 g/m² en 30 min / 8000 g/m² en 90 min</w:t>
      </w:r>
      <w:r>
        <w:br/>
      </w:r>
      <w:r>
        <w:br/>
        <w:t>Résistance au gel suivant les classes d’application selon [NBN EN 1996-2 ANB] et [NIT 271].</w:t>
      </w:r>
      <w:r>
        <w:br/>
      </w:r>
      <w:r>
        <w:br/>
        <w:t xml:space="preserve">Réaction au feu : </w:t>
      </w:r>
      <w:r>
        <w:rPr>
          <w:rStyle w:val="optioncarChar"/>
        </w:rPr>
        <w:t>A1</w:t>
      </w:r>
      <w:r>
        <w:t xml:space="preserve"> (par défaut)</w:t>
      </w:r>
      <w:r>
        <w:rPr>
          <w:rStyle w:val="optioncarChar"/>
        </w:rPr>
        <w:t> / ***</w:t>
      </w:r>
      <w:r>
        <w:br/>
      </w:r>
      <w:r>
        <w:br/>
      </w:r>
      <w:r>
        <w:rPr>
          <w:rStyle w:val="headingChar"/>
        </w:rPr>
        <w:t>Critères De Performances De La Paroi</w:t>
      </w:r>
    </w:p>
    <w:p w14:paraId="51391825" w14:textId="77777777" w:rsidR="00DB2B68" w:rsidRDefault="00000000">
      <w:r>
        <w:t>Coefficient de transmission :</w:t>
      </w:r>
    </w:p>
    <w:p w14:paraId="1660133E" w14:textId="77777777" w:rsidR="00DB2B68" w:rsidRDefault="00000000">
      <w:pPr>
        <w:pStyle w:val="Author-eListParagraph"/>
        <w:numPr>
          <w:ilvl w:val="0"/>
          <w:numId w:val="130"/>
        </w:numPr>
      </w:pPr>
      <w:r>
        <w:t xml:space="preserve">valeur U minimale de </w:t>
      </w:r>
      <w:r>
        <w:rPr>
          <w:rStyle w:val="optioncarChar"/>
        </w:rPr>
        <w:t>***</w:t>
      </w:r>
      <w:r>
        <w:t xml:space="preserve"> W/m²K</w:t>
      </w:r>
    </w:p>
    <w:p w14:paraId="7ECEF627" w14:textId="77777777" w:rsidR="00DB2B68" w:rsidRDefault="00000000">
      <w:pPr>
        <w:pStyle w:val="Author-eListParagraph"/>
        <w:numPr>
          <w:ilvl w:val="0"/>
          <w:numId w:val="13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4C6450E" w14:textId="77777777" w:rsidR="00DB2B68" w:rsidRDefault="00000000">
      <w:r>
        <w:br/>
        <w:t>Résistance au feu :</w:t>
      </w:r>
    </w:p>
    <w:p w14:paraId="255412EA" w14:textId="77777777" w:rsidR="00DB2B68" w:rsidRDefault="00000000">
      <w:pPr>
        <w:pStyle w:val="Author-eListParagraph"/>
        <w:numPr>
          <w:ilvl w:val="0"/>
          <w:numId w:val="131"/>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256652E8" w14:textId="77777777" w:rsidR="00DB2B68" w:rsidRDefault="00000000">
      <w:pPr>
        <w:pStyle w:val="Author-eListParagraph"/>
        <w:numPr>
          <w:ilvl w:val="0"/>
          <w:numId w:val="131"/>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61875516" w14:textId="77777777" w:rsidR="00DB2B68" w:rsidRDefault="00000000">
      <w:r>
        <w:t>selon les tableaux dans [NBN EN 1996-1-2 ANB].</w:t>
      </w:r>
    </w:p>
    <w:p w14:paraId="1FD81FC9" w14:textId="77777777" w:rsidR="00DB2B68" w:rsidRDefault="00000000">
      <w:pPr>
        <w:ind w:left="750"/>
      </w:pPr>
      <w:r>
        <w:t> </w:t>
      </w:r>
    </w:p>
    <w:p w14:paraId="41481FFC" w14:textId="77777777" w:rsidR="00DB2B68" w:rsidRDefault="00000000">
      <w:pPr>
        <w:pStyle w:val="pheading"/>
      </w:pPr>
      <w:r>
        <w:t>- Finitions</w:t>
      </w:r>
    </w:p>
    <w:p w14:paraId="06FFE8B5" w14:textId="77777777" w:rsidR="00DB2B68" w:rsidRDefault="00000000">
      <w:pPr>
        <w:pStyle w:val="Author-eListParagraph"/>
        <w:numPr>
          <w:ilvl w:val="0"/>
          <w:numId w:val="132"/>
        </w:numPr>
      </w:pPr>
      <w:r>
        <w:t>Les faces de murs suivantes sont exécutées comme maçonneries apparentes et son</w:t>
      </w:r>
      <w:r>
        <w:rPr>
          <w:color w:val="000000"/>
        </w:rPr>
        <w:t xml:space="preserve">t rejointoyées </w:t>
      </w:r>
      <w:r>
        <w:t xml:space="preserve">selon </w:t>
      </w:r>
      <w:hyperlink w:anchor="346" w:history="1">
        <w:r>
          <w:rPr>
            <w:color w:val="0000EE"/>
          </w:rPr>
          <w:t>21.61.1b Joints de maçonnerie apparente</w:t>
        </w:r>
      </w:hyperlink>
      <w:r>
        <w:t xml:space="preserve"> : </w:t>
      </w:r>
      <w:r>
        <w:rPr>
          <w:rStyle w:val="optioncarChar"/>
        </w:rPr>
        <w:t>***</w:t>
      </w:r>
    </w:p>
    <w:p w14:paraId="228F1949" w14:textId="77777777" w:rsidR="00DB2B68" w:rsidRDefault="00000000">
      <w:pPr>
        <w:pStyle w:val="Author-eListParagraph"/>
        <w:numPr>
          <w:ilvl w:val="0"/>
          <w:numId w:val="132"/>
        </w:numPr>
      </w:pPr>
      <w:r>
        <w:t xml:space="preserve">Les murs suivants sont exécutés avec une face restant apparente : </w:t>
      </w:r>
      <w:r>
        <w:rPr>
          <w:rStyle w:val="optioncarChar"/>
        </w:rPr>
        <w:t>***</w:t>
      </w:r>
    </w:p>
    <w:p w14:paraId="66C9BB77" w14:textId="77777777" w:rsidR="00DB2B68" w:rsidRDefault="00000000">
      <w:pPr>
        <w:pStyle w:val="Author-eListParagraph"/>
        <w:numPr>
          <w:ilvl w:val="0"/>
          <w:numId w:val="132"/>
        </w:numPr>
      </w:pPr>
      <w:r>
        <w:t xml:space="preserve">Les murs suivants sont exécutés avec deux faces restant apparentes : </w:t>
      </w:r>
      <w:r>
        <w:rPr>
          <w:rStyle w:val="optioncarChar"/>
        </w:rPr>
        <w:t>***</w:t>
      </w:r>
    </w:p>
    <w:p w14:paraId="6429BC0A"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301FB67B" w14:textId="77777777" w:rsidR="00DB2B68" w:rsidRDefault="00000000">
      <w:pPr>
        <w:pStyle w:val="pheading"/>
      </w:pPr>
      <w:r>
        <w:t>MESURAGE</w:t>
      </w:r>
    </w:p>
    <w:p w14:paraId="4BA86746" w14:textId="77777777" w:rsidR="00DB2B68" w:rsidRDefault="00000000">
      <w:pPr>
        <w:pStyle w:val="pheading"/>
      </w:pPr>
      <w:r>
        <w:t>- unité de mesure:</w:t>
      </w:r>
    </w:p>
    <w:p w14:paraId="168EB310" w14:textId="77777777" w:rsidR="00DB2B68" w:rsidRDefault="00000000">
      <w:r>
        <w:rPr>
          <w:rStyle w:val="optioncarChar"/>
        </w:rPr>
        <w:t>m³ </w:t>
      </w:r>
      <w:r>
        <w:t>(par défaut)</w:t>
      </w:r>
      <w:r>
        <w:rPr>
          <w:rStyle w:val="optioncarChar"/>
        </w:rPr>
        <w:t> / m²</w:t>
      </w:r>
    </w:p>
    <w:p w14:paraId="7B781CFD" w14:textId="77777777" w:rsidR="00DB2B68" w:rsidRDefault="00000000">
      <w:r>
        <w:rPr>
          <w:b/>
        </w:rPr>
        <w:t>(soit par défaut)</w:t>
      </w:r>
    </w:p>
    <w:p w14:paraId="49FD0E3F" w14:textId="77777777" w:rsidR="00DB2B68" w:rsidRDefault="00000000">
      <w:r>
        <w:rPr>
          <w:rStyle w:val="soitChar"/>
        </w:rPr>
        <w:t>1. m³</w:t>
      </w:r>
    </w:p>
    <w:p w14:paraId="0C1855F1" w14:textId="77777777" w:rsidR="00DB2B68" w:rsidRDefault="00000000">
      <w:r>
        <w:rPr>
          <w:b/>
        </w:rPr>
        <w:t>(soit)</w:t>
      </w:r>
    </w:p>
    <w:p w14:paraId="1CA5A3DE" w14:textId="77777777" w:rsidR="00DB2B68" w:rsidRDefault="00000000">
      <w:r>
        <w:rPr>
          <w:rStyle w:val="soitChar"/>
        </w:rPr>
        <w:t>2. m²</w:t>
      </w:r>
    </w:p>
    <w:p w14:paraId="198C40A9" w14:textId="77777777" w:rsidR="00DB2B68" w:rsidRDefault="00000000">
      <w:pPr>
        <w:pStyle w:val="pheading"/>
      </w:pPr>
      <w:r>
        <w:t>- code de mesurage:</w:t>
      </w:r>
    </w:p>
    <w:p w14:paraId="34995209" w14:textId="77777777" w:rsidR="00DB2B68" w:rsidRDefault="00000000">
      <w:r>
        <w:lastRenderedPageBreak/>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8ECF769"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5DC76AC"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65C18451" w14:textId="77777777" w:rsidR="00DB2B68" w:rsidRDefault="00000000">
      <w:r>
        <w:rPr>
          <w:rStyle w:val="optioncarChar"/>
        </w:rPr>
        <w:t>Volume net </w:t>
      </w:r>
      <w:r>
        <w:t>(par défaut)</w:t>
      </w:r>
      <w:r>
        <w:rPr>
          <w:rStyle w:val="optioncarChar"/>
        </w:rPr>
        <w:t> / Surface nette</w:t>
      </w:r>
    </w:p>
    <w:p w14:paraId="4BFDFD7A" w14:textId="77777777" w:rsidR="00DB2B68" w:rsidRDefault="00000000">
      <w:r>
        <w:rPr>
          <w:b/>
        </w:rPr>
        <w:t>(soit par défaut)</w:t>
      </w:r>
    </w:p>
    <w:p w14:paraId="69F21A4B"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7E79B72" w14:textId="77777777" w:rsidR="00DB2B68" w:rsidRDefault="00000000">
      <w:r>
        <w:rPr>
          <w:b/>
        </w:rPr>
        <w:t>(soit)</w:t>
      </w:r>
    </w:p>
    <w:p w14:paraId="5B4322FA"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9A1C45C" w14:textId="77777777" w:rsidR="00DB2B68" w:rsidRDefault="00000000">
      <w:pPr>
        <w:ind w:left="750"/>
      </w:pPr>
      <w:r>
        <w:t> </w:t>
      </w:r>
    </w:p>
    <w:p w14:paraId="0DF6DAB6" w14:textId="77777777" w:rsidR="00DB2B68" w:rsidRDefault="00000000">
      <w:pPr>
        <w:pStyle w:val="pheading"/>
      </w:pPr>
      <w:r>
        <w:t>- nature du marché:</w:t>
      </w:r>
    </w:p>
    <w:p w14:paraId="52313110" w14:textId="77777777" w:rsidR="00DB2B68" w:rsidRDefault="00000000">
      <w:r>
        <w:t>QF</w:t>
      </w:r>
    </w:p>
    <w:p w14:paraId="44340E73" w14:textId="77777777" w:rsidR="00DB2B68" w:rsidRDefault="00000000">
      <w:pPr>
        <w:pStyle w:val="Author-eSectionHeading6Numberless"/>
      </w:pPr>
      <w:bookmarkStart w:id="72" w:name="_Toc220495232"/>
      <w:r>
        <w:t>21.12.7b Maçonneries portantes en blocs de coffrage de béton cellulaire CCTB 01.04</w:t>
      </w:r>
      <w:bookmarkEnd w:id="72"/>
    </w:p>
    <w:p w14:paraId="1C1B313D" w14:textId="77777777" w:rsidR="00DB2B68" w:rsidRDefault="00000000">
      <w:pPr>
        <w:pStyle w:val="Author-eSectionHeading5Numberless"/>
      </w:pPr>
      <w:bookmarkStart w:id="73" w:name="_Toc220495233"/>
      <w:r>
        <w:t>21.12.8 Maçonneries portantes en blocs de terre crue CCTB 01.11</w:t>
      </w:r>
      <w:bookmarkEnd w:id="73"/>
    </w:p>
    <w:p w14:paraId="5A3CB45F" w14:textId="77777777" w:rsidR="00DB2B68" w:rsidRDefault="00000000">
      <w:pPr>
        <w:pStyle w:val="pheading"/>
      </w:pPr>
      <w:r>
        <w:t>DESCRIPTION</w:t>
      </w:r>
    </w:p>
    <w:p w14:paraId="65E077BA" w14:textId="77777777" w:rsidR="00DB2B68" w:rsidRDefault="00000000">
      <w:pPr>
        <w:pStyle w:val="pheading"/>
      </w:pPr>
      <w:r>
        <w:t>- Définition / Comprend</w:t>
      </w:r>
    </w:p>
    <w:p w14:paraId="6F5E04E4" w14:textId="77777777" w:rsidR="00DB2B68" w:rsidRDefault="00000000">
      <w:r>
        <w:t>Il s'agit de maçonneries portantes en blocs de terre crue.</w:t>
      </w:r>
    </w:p>
    <w:p w14:paraId="04EE955E" w14:textId="77777777" w:rsidR="00DB2B68" w:rsidRDefault="00000000">
      <w:pPr>
        <w:pStyle w:val="pheading"/>
      </w:pPr>
      <w:r>
        <w:t>MATÉRIAUX</w:t>
      </w:r>
    </w:p>
    <w:p w14:paraId="4FE4F869" w14:textId="77777777" w:rsidR="00DB2B68" w:rsidRDefault="00000000">
      <w:pPr>
        <w:jc w:val="both"/>
      </w:pPr>
      <w:r>
        <w:t>En l’absence de normes propres, les spécifications des blocs sont basées sur la [NBN EN 771-3+A1] et le [PTV 21-001] relatifs aux éléments en béton et les spécifications du mortier sont basées sur la  [NBN EN 998-2] et le [PTV 651].</w:t>
      </w:r>
    </w:p>
    <w:p w14:paraId="1E1AB601" w14:textId="77777777" w:rsidR="00DB2B68" w:rsidRDefault="00000000">
      <w:pPr>
        <w:jc w:val="both"/>
      </w:pPr>
      <w:r>
        <w:t>L'entrepreneur soumet la fiche technique des matériaux (bloc et mortier) pour approbation à l'auteur de projet et au maître de l’ouvrage.</w:t>
      </w:r>
    </w:p>
    <w:p w14:paraId="01C50063" w14:textId="77777777" w:rsidR="00DB2B68" w:rsidRDefault="00000000">
      <w:pPr>
        <w:jc w:val="both"/>
      </w:pPr>
      <w:r>
        <w:t>La terre utilisée est issue de sol répondant au [DRW 2018-03-01]. En outre, les terre d’excavation sont conformes aux normes d'assainissements et normes d'intervention (voir [AGRBC 2018-03-29]).</w:t>
      </w:r>
    </w:p>
    <w:p w14:paraId="7DAC7608" w14:textId="77777777" w:rsidR="00DB2B68" w:rsidRDefault="00000000">
      <w:pPr>
        <w:pStyle w:val="pheading"/>
      </w:pPr>
      <w:r>
        <w:t>EXÉCUTION / MISE EN ŒUVRE</w:t>
      </w:r>
    </w:p>
    <w:p w14:paraId="5C390738" w14:textId="77777777" w:rsidR="00DB2B68" w:rsidRDefault="00000000">
      <w:pPr>
        <w:jc w:val="both"/>
      </w:pPr>
      <w:r>
        <w:t>Conformément au mode de mise en œuvre, les blocs en terre crue sont maçonnés selon la documentation technique accompagnant les produits et selon les notes de calcul du bureau d’études.</w:t>
      </w:r>
    </w:p>
    <w:p w14:paraId="12D6D8EC" w14:textId="77777777" w:rsidR="00DB2B68" w:rsidRDefault="00000000">
      <w:pPr>
        <w:jc w:val="both"/>
      </w:pPr>
      <w:r>
        <w:rPr>
          <w:u w:val="single"/>
        </w:rPr>
        <w:t>Matériaux de liaison et d'ancrage</w:t>
      </w:r>
    </w:p>
    <w:p w14:paraId="574C8696" w14:textId="77777777" w:rsidR="00DB2B68" w:rsidRDefault="00DB2B68"/>
    <w:p w14:paraId="2DD412D1" w14:textId="77777777" w:rsidR="00DB2B68" w:rsidRDefault="00000000">
      <w:pPr>
        <w:ind w:left="567"/>
        <w:jc w:val="both"/>
      </w:pPr>
      <w:r>
        <w:lastRenderedPageBreak/>
        <w:t xml:space="preserve"> longueur nominale : </w:t>
      </w:r>
      <w:r>
        <w:rPr>
          <w:rStyle w:val="optioncarChar"/>
        </w:rPr>
        <w:t>***</w:t>
      </w:r>
    </w:p>
    <w:p w14:paraId="3BE2AC1A" w14:textId="77777777" w:rsidR="00DB2B68" w:rsidRDefault="00000000">
      <w:pPr>
        <w:ind w:left="567"/>
        <w:jc w:val="both"/>
      </w:pPr>
      <w:r>
        <w:t xml:space="preserve"> diamètre : </w:t>
      </w:r>
      <w:r>
        <w:rPr>
          <w:rStyle w:val="optioncarChar"/>
        </w:rPr>
        <w:t>***</w:t>
      </w:r>
    </w:p>
    <w:p w14:paraId="01F12290" w14:textId="77777777" w:rsidR="00DB2B68" w:rsidRDefault="00000000">
      <w:pPr>
        <w:ind w:left="567"/>
        <w:jc w:val="both"/>
      </w:pPr>
      <w:r>
        <w:t xml:space="preserve"> classe d’exposition : </w:t>
      </w:r>
      <w:r>
        <w:rPr>
          <w:rStyle w:val="optioncarChar"/>
        </w:rPr>
        <w:t>MX1 / MX2 / MX3 / MX4 / MX5</w:t>
      </w:r>
    </w:p>
    <w:p w14:paraId="1AC79BDF" w14:textId="77777777" w:rsidR="00DB2B68" w:rsidRDefault="00000000">
      <w:pPr>
        <w:ind w:left="567"/>
        <w:jc w:val="both"/>
      </w:pPr>
      <w:r>
        <w:t xml:space="preserve"> 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76B37E45" w14:textId="77777777" w:rsidR="00DB2B68" w:rsidRDefault="00DB2B68"/>
    <w:p w14:paraId="5F00201D" w14:textId="77777777" w:rsidR="00DB2B68" w:rsidRDefault="00000000">
      <w:pPr>
        <w:jc w:val="both"/>
      </w:pPr>
      <w:r>
        <w:t xml:space="preserve">Isolation contre l'humidité : </w:t>
      </w:r>
      <w:r>
        <w:rPr>
          <w:rStyle w:val="optioncarChar"/>
        </w:rPr>
        <w:t xml:space="preserve">membranes en PE </w:t>
      </w:r>
      <w:r>
        <w:t>(par défaut) </w:t>
      </w:r>
      <w:r>
        <w:rPr>
          <w:rStyle w:val="optioncarChar"/>
        </w:rPr>
        <w:t>/ ***</w:t>
      </w:r>
      <w:r>
        <w:t xml:space="preserve"> conformément au sous-titre </w:t>
      </w:r>
      <w:hyperlink w:anchor="356" w:history="1">
        <w:r>
          <w:rPr>
            <w:color w:val="0000EE"/>
          </w:rPr>
          <w:t>26.11 Feuilles et membranes d'étanchéité à l'eau</w:t>
        </w:r>
      </w:hyperlink>
      <w:r>
        <w:t xml:space="preserve">. </w:t>
      </w:r>
    </w:p>
    <w:p w14:paraId="22DCECE7" w14:textId="77777777" w:rsidR="00DB2B68" w:rsidRDefault="00DB2B68">
      <w:pPr>
        <w:jc w:val="both"/>
      </w:pPr>
    </w:p>
    <w:p w14:paraId="107910C5" w14:textId="77777777" w:rsidR="00DB2B68" w:rsidRDefault="00000000">
      <w:pPr>
        <w:jc w:val="both"/>
      </w:pPr>
      <w:r>
        <w:t xml:space="preserve"> Pour les maçonneries destinées à rester apparentes, seules des blocs non endommagés sont utilisés. </w:t>
      </w:r>
    </w:p>
    <w:p w14:paraId="0F85078C" w14:textId="77777777" w:rsidR="00DB2B68" w:rsidRDefault="00DB2B68">
      <w:pPr>
        <w:jc w:val="both"/>
      </w:pPr>
    </w:p>
    <w:p w14:paraId="7D7F3F40" w14:textId="77777777" w:rsidR="00DB2B68" w:rsidRDefault="00000000">
      <w:pPr>
        <w:jc w:val="both"/>
      </w:pPr>
      <w:r>
        <w:t xml:space="preserve"> Les segments de murs sont pourvus d'armatures horizontales selon le chapitre </w:t>
      </w:r>
      <w:hyperlink w:anchor="357" w:history="1">
        <w:r>
          <w:rPr>
            <w:color w:val="0000EE"/>
          </w:rPr>
          <w:t>21.41.1 Armatures horizontales pour maçonneries</w:t>
        </w:r>
      </w:hyperlink>
      <w:r>
        <w:t>.</w:t>
      </w:r>
    </w:p>
    <w:p w14:paraId="15AA7FB3" w14:textId="77777777" w:rsidR="00DB2B68" w:rsidRDefault="00000000">
      <w:pPr>
        <w:jc w:val="both"/>
      </w:pPr>
      <w:r>
        <w:t xml:space="preserve">Les segments de murs sont pourvus d'armatures verticales selon le chapitre </w:t>
      </w:r>
      <w:hyperlink w:anchor="358" w:history="1">
        <w:r>
          <w:rPr>
            <w:color w:val="0000EE"/>
          </w:rPr>
          <w:t>21.41.2 Armatures verticales pour maçonneries</w:t>
        </w:r>
      </w:hyperlink>
      <w:r>
        <w:t>.</w:t>
      </w:r>
    </w:p>
    <w:p w14:paraId="48F1BCD6" w14:textId="77777777" w:rsidR="00DB2B68" w:rsidRDefault="00000000">
      <w:pPr>
        <w:jc w:val="both"/>
      </w:pPr>
      <w:r>
        <w:t xml:space="preserve">Les maçonneries de caves en contact avec les terres sont rendues étanches selon la description au sous-titre </w:t>
      </w:r>
      <w:hyperlink w:anchor="359" w:history="1">
        <w:r>
          <w:rPr>
            <w:color w:val="0000EE"/>
          </w:rPr>
          <w:t>26.12 Traitements d'étanchéisation</w:t>
        </w:r>
      </w:hyperlink>
      <w:r>
        <w:t>.</w:t>
      </w:r>
    </w:p>
    <w:p w14:paraId="7CE62A2A" w14:textId="77777777" w:rsidR="00DB2B68" w:rsidRDefault="00000000">
      <w:pPr>
        <w:jc w:val="both"/>
      </w:pPr>
      <w:r>
        <w:t xml:space="preserve">Crochets de mur : </w:t>
      </w:r>
      <w:r>
        <w:rPr>
          <w:rStyle w:val="optioncarChar"/>
        </w:rPr>
        <w:t xml:space="preserve">acier inoxydable </w:t>
      </w:r>
      <w:r>
        <w:t>(par défaut) </w:t>
      </w:r>
      <w:r>
        <w:rPr>
          <w:rStyle w:val="optioncarChar"/>
        </w:rPr>
        <w:t>/ ***</w:t>
      </w:r>
      <w:r>
        <w:t xml:space="preserve"> , diamètre minimum </w:t>
      </w:r>
      <w:r>
        <w:rPr>
          <w:rStyle w:val="optioncarChar"/>
        </w:rPr>
        <w:t>3,5 </w:t>
      </w:r>
      <w:r>
        <w:t>(par défaut)</w:t>
      </w:r>
      <w:r>
        <w:rPr>
          <w:rStyle w:val="optioncarChar"/>
        </w:rPr>
        <w:t xml:space="preserve"> / ***</w:t>
      </w:r>
      <w:r>
        <w:t xml:space="preserve"> mm.</w:t>
      </w:r>
    </w:p>
    <w:p w14:paraId="24EC97F4" w14:textId="77777777" w:rsidR="00DB2B68" w:rsidRDefault="00000000">
      <w:pPr>
        <w:ind w:left="750"/>
      </w:pPr>
      <w:r>
        <w:t> </w:t>
      </w:r>
    </w:p>
    <w:p w14:paraId="238E2783" w14:textId="77777777" w:rsidR="00DB2B68" w:rsidRDefault="00000000">
      <w:pPr>
        <w:pStyle w:val="pheading"/>
      </w:pPr>
      <w:r>
        <w:t>DOCUMENTS DE RÉFÉRENCE</w:t>
      </w:r>
    </w:p>
    <w:p w14:paraId="1F8E8517" w14:textId="77777777" w:rsidR="00DB2B68" w:rsidRDefault="00000000">
      <w:pPr>
        <w:pStyle w:val="pheading"/>
      </w:pPr>
      <w:r>
        <w:t>- Matériau</w:t>
      </w:r>
    </w:p>
    <w:p w14:paraId="3994752F" w14:textId="77777777" w:rsidR="00DB2B68" w:rsidRDefault="00000000">
      <w:r>
        <w:t>[NBN EN 771-3+A1, Spécifications pour éléments de maçonnerie - Partie 3: Éléments de maçonnerie en béton de granulats (granulats courants et légers)]</w:t>
      </w:r>
    </w:p>
    <w:p w14:paraId="0F605DE6" w14:textId="77777777" w:rsidR="00DB2B68" w:rsidRDefault="00000000">
      <w:r>
        <w:t>[PTV 21-001, Eléments de maçonnerie en béton (granulats courants et légers) - Classification et spécifications d'application]</w:t>
      </w:r>
    </w:p>
    <w:p w14:paraId="7EFF0184" w14:textId="77777777" w:rsidR="00DB2B68" w:rsidRDefault="00000000">
      <w:r>
        <w:t>[NBN EN 998-2, Définitions et spécifications des mortiers pour maçonnerie - Partie 2: Mortiers de montage des éléments de maçonnerie]</w:t>
      </w:r>
    </w:p>
    <w:p w14:paraId="17EA114D" w14:textId="77777777" w:rsidR="00DB2B68" w:rsidRDefault="00000000">
      <w:r>
        <w:t>[PTV 651, Mortier de maçonnerie et mortier de jointoyage]</w:t>
      </w:r>
    </w:p>
    <w:p w14:paraId="09A683A1" w14:textId="77777777" w:rsidR="00DB2B68" w:rsidRDefault="00000000">
      <w:r>
        <w:t>[CRATerre, CRATerre - Traité de construction en terre]</w:t>
      </w:r>
    </w:p>
    <w:p w14:paraId="541463FF" w14:textId="77777777" w:rsidR="00DB2B68" w:rsidRDefault="00000000">
      <w:r>
        <w:t>[Moniteur Terre crue, Röhlen / Ziegert - Construire en terre crue: Construction - Rénovation - Finitions]</w:t>
      </w:r>
    </w:p>
    <w:p w14:paraId="2D4D036E" w14:textId="77777777" w:rsidR="00DB2B68" w:rsidRDefault="00000000">
      <w:r>
        <w:t>[DIN 18945, Earth blocks - Requirements, test and labelling]</w:t>
      </w:r>
    </w:p>
    <w:p w14:paraId="7E896BF9" w14:textId="77777777" w:rsidR="00DB2B68" w:rsidRDefault="00000000">
      <w:r>
        <w:t>[DIN 18946, Earth masonry mortar - Requirements, test and labelling]</w:t>
      </w:r>
    </w:p>
    <w:p w14:paraId="79002790" w14:textId="77777777" w:rsidR="00DB2B68" w:rsidRDefault="00000000">
      <w:r>
        <w:t>[DRW 2018-03-01, Décret relatif à la gestion et à l'assainissement des sols]</w:t>
      </w:r>
    </w:p>
    <w:p w14:paraId="15FAC61D" w14:textId="77777777" w:rsidR="00DB2B68" w:rsidRDefault="00DB2B68"/>
    <w:p w14:paraId="508EF152" w14:textId="77777777" w:rsidR="00DB2B68" w:rsidRDefault="00000000">
      <w:pPr>
        <w:pStyle w:val="pheading"/>
      </w:pPr>
      <w:r>
        <w:t>- Exécution</w:t>
      </w:r>
    </w:p>
    <w:p w14:paraId="16CCA5C4" w14:textId="77777777" w:rsidR="00DB2B68" w:rsidRDefault="00000000">
      <w:r>
        <w:t>[CRATerre, CRATerre - Traité de construction en terre]</w:t>
      </w:r>
    </w:p>
    <w:p w14:paraId="440014EA" w14:textId="77777777" w:rsidR="00DB2B68" w:rsidRDefault="00000000">
      <w:r>
        <w:t>[Moniteur Terre crue, Röhlen / Ziegert - Construire en terre crue: Construction - Rénovation - Finitions]</w:t>
      </w:r>
    </w:p>
    <w:p w14:paraId="522F1E23" w14:textId="77777777" w:rsidR="00DB2B68" w:rsidRDefault="00000000">
      <w:pPr>
        <w:pStyle w:val="Author-eSectionHeading6Numberless"/>
      </w:pPr>
      <w:bookmarkStart w:id="74" w:name="_Toc220495234"/>
      <w:r>
        <w:t>21.12.8a Maçonneries portantes en blocs de terre crue stabilisée à maçonner CCTB 01.12</w:t>
      </w:r>
      <w:bookmarkEnd w:id="74"/>
    </w:p>
    <w:p w14:paraId="74A40957" w14:textId="77777777" w:rsidR="00DB2B68" w:rsidRDefault="00000000">
      <w:pPr>
        <w:pStyle w:val="pheading"/>
      </w:pPr>
      <w:r>
        <w:lastRenderedPageBreak/>
        <w:t>DESCRIPTION</w:t>
      </w:r>
    </w:p>
    <w:p w14:paraId="54074CA2" w14:textId="77777777" w:rsidR="00DB2B68" w:rsidRDefault="00000000">
      <w:pPr>
        <w:pStyle w:val="pheading"/>
      </w:pPr>
      <w:r>
        <w:t>- Définition / Comprend</w:t>
      </w:r>
    </w:p>
    <w:p w14:paraId="3713D0C6" w14:textId="77777777" w:rsidR="00DB2B68" w:rsidRDefault="00000000">
      <w:pPr>
        <w:jc w:val="both"/>
      </w:pPr>
      <w:r>
        <w:t>Il s’agit de la fourniture et la pose de maçonneries portantes en blocs de terre crue stabilisées à maçonner.</w:t>
      </w:r>
    </w:p>
    <w:p w14:paraId="0E3D0151" w14:textId="77777777" w:rsidR="00DB2B68" w:rsidRDefault="00000000">
      <w:pPr>
        <w:jc w:val="both"/>
      </w:pPr>
      <w:r>
        <w:t xml:space="preserve">La portée des travaux est décrite dans l’élément </w:t>
      </w:r>
      <w:hyperlink w:anchor="294" w:history="1">
        <w:r>
          <w:rPr>
            <w:color w:val="0000EE"/>
          </w:rPr>
          <w:t>21.1 Maçonneries portantes</w:t>
        </w:r>
      </w:hyperlink>
      <w:r>
        <w:t>.</w:t>
      </w:r>
    </w:p>
    <w:p w14:paraId="55683B8B" w14:textId="77777777" w:rsidR="00DB2B68" w:rsidRDefault="00000000">
      <w:pPr>
        <w:pStyle w:val="pheading"/>
      </w:pPr>
      <w:r>
        <w:t>- Localisation</w:t>
      </w:r>
    </w:p>
    <w:p w14:paraId="1AC12967" w14:textId="77777777" w:rsidR="00DB2B68" w:rsidRDefault="00000000">
      <w:r>
        <w:t xml:space="preserve">Localisation des travaux : </w:t>
      </w:r>
      <w:r>
        <w:rPr>
          <w:rStyle w:val="optioncarChar"/>
        </w:rPr>
        <w:t>***</w:t>
      </w:r>
      <w:r>
        <w:t>.</w:t>
      </w:r>
    </w:p>
    <w:p w14:paraId="7F5E0917" w14:textId="77777777" w:rsidR="00DB2B68" w:rsidRDefault="00000000">
      <w:r>
        <w:t>Voir plans et métrés détaillés.</w:t>
      </w:r>
    </w:p>
    <w:p w14:paraId="558FABCB" w14:textId="77777777" w:rsidR="00DB2B68" w:rsidRDefault="00000000">
      <w:pPr>
        <w:pStyle w:val="pheading"/>
      </w:pPr>
      <w:r>
        <w:t>MATÉRIAUX</w:t>
      </w:r>
    </w:p>
    <w:p w14:paraId="03BE6F14" w14:textId="77777777" w:rsidR="00DB2B68" w:rsidRDefault="00000000">
      <w:pPr>
        <w:pStyle w:val="pheading"/>
      </w:pPr>
      <w:r>
        <w:t>- Caractéristiques générales</w:t>
      </w:r>
    </w:p>
    <w:p w14:paraId="3BB80E0F" w14:textId="77777777" w:rsidR="00DB2B68" w:rsidRDefault="00000000">
      <w:pPr>
        <w:jc w:val="both"/>
      </w:pPr>
      <w:r>
        <w:rPr>
          <w:rStyle w:val="headingChar"/>
        </w:rPr>
        <w:t>Spécifications</w:t>
      </w:r>
    </w:p>
    <w:p w14:paraId="1F002D58" w14:textId="77777777" w:rsidR="00DB2B68" w:rsidRDefault="00000000">
      <w:pPr>
        <w:jc w:val="both"/>
      </w:pPr>
      <w:r>
        <w:t>Les blocs, le mortier et la maçonnerie disposent d'une déclaration d'aptitude à l'utilisation suivant les prescriptions de l'élément 02.42.1 Critères d'acceptabilité</w:t>
      </w:r>
    </w:p>
    <w:p w14:paraId="64D83EEA" w14:textId="77777777" w:rsidR="00DB2B68" w:rsidRDefault="00000000">
      <w:pPr>
        <w:jc w:val="both"/>
      </w:pPr>
      <w:r>
        <w:rPr>
          <w:u w:val="single"/>
        </w:rPr>
        <w:t>Blocs</w:t>
      </w:r>
    </w:p>
    <w:p w14:paraId="56F28ED1" w14:textId="77777777" w:rsidR="00DB2B68" w:rsidRDefault="00000000">
      <w:pPr>
        <w:jc w:val="both"/>
      </w:pPr>
      <w:r>
        <w:t xml:space="preserve">Code d’identification du type de bloc de maçonnerie suivant [PTV 21-001] : </w:t>
      </w:r>
      <w:r>
        <w:rPr>
          <w:rStyle w:val="optioncarChar"/>
        </w:rPr>
        <w:t>A1 / A2 / B1 / B2 / C / D</w:t>
      </w:r>
    </w:p>
    <w:p w14:paraId="325DD2C6" w14:textId="77777777" w:rsidR="00DB2B68" w:rsidRDefault="00000000">
      <w:pPr>
        <w:jc w:val="both"/>
      </w:pPr>
      <w:r>
        <w:t xml:space="preserve">Format (Lxlxh) mm : </w:t>
      </w:r>
      <w:r>
        <w:rPr>
          <w:rStyle w:val="optioncarChar"/>
        </w:rPr>
        <w:t>*** x *** x *** / format modulaire proposé par l'entrepreneur </w:t>
      </w:r>
      <w:r>
        <w:t>(par défaut)</w:t>
      </w:r>
    </w:p>
    <w:p w14:paraId="546BD084" w14:textId="77777777" w:rsidR="00DB2B68" w:rsidRDefault="00000000">
      <w:pPr>
        <w:jc w:val="both"/>
      </w:pPr>
      <w:r>
        <w:t>Face qui reste visible : lisse</w:t>
      </w:r>
    </w:p>
    <w:p w14:paraId="472B48F2" w14:textId="77777777" w:rsidR="00DB2B68" w:rsidRDefault="00000000">
      <w:pPr>
        <w:jc w:val="both"/>
      </w:pPr>
      <w:r>
        <w:t xml:space="preserve">Mode de fabrication : </w:t>
      </w:r>
      <w:r>
        <w:rPr>
          <w:rStyle w:val="optioncarChar"/>
        </w:rPr>
        <w:t>moulée à la main / moulée à la presse </w:t>
      </w:r>
      <w:r>
        <w:t>(par défaut)</w:t>
      </w:r>
      <w:r>
        <w:rPr>
          <w:rStyle w:val="optioncarChar"/>
        </w:rPr>
        <w:t xml:space="preserve"> / compressée / étirée</w:t>
      </w:r>
    </w:p>
    <w:p w14:paraId="629A4274" w14:textId="77777777" w:rsidR="00DB2B68" w:rsidRDefault="00000000">
      <w:pPr>
        <w:jc w:val="both"/>
      </w:pPr>
      <w:r>
        <w:t xml:space="preserve">Granulats : </w:t>
      </w:r>
      <w:r>
        <w:rPr>
          <w:rStyle w:val="optioncarChar"/>
        </w:rPr>
        <w:t xml:space="preserve">pas de granulat </w:t>
      </w:r>
      <w:r>
        <w:t xml:space="preserve">(par défaut) </w:t>
      </w:r>
      <w:r>
        <w:rPr>
          <w:rStyle w:val="optioncarChar"/>
        </w:rPr>
        <w:t>/ minéraux / minéraux et végétaux / végétaux / ***</w:t>
      </w:r>
    </w:p>
    <w:p w14:paraId="52F4547A" w14:textId="77777777" w:rsidR="00DB2B68" w:rsidRDefault="00000000">
      <w:pPr>
        <w:jc w:val="both"/>
      </w:pPr>
      <w:r>
        <w:t>Description des granulats :</w:t>
      </w:r>
      <w:r>
        <w:rPr>
          <w:rStyle w:val="optioncarChar"/>
        </w:rPr>
        <w:t xml:space="preserve"> ***</w:t>
      </w:r>
      <w:r>
        <w:t>.</w:t>
      </w:r>
    </w:p>
    <w:p w14:paraId="02599B39" w14:textId="77777777" w:rsidR="00DB2B68" w:rsidRDefault="00000000">
      <w:pPr>
        <w:jc w:val="both"/>
      </w:pPr>
      <w:r>
        <w:t xml:space="preserve">Stabilisation des blocs : </w:t>
      </w:r>
      <w:r>
        <w:rPr>
          <w:rStyle w:val="optioncarChar"/>
        </w:rPr>
        <w:t xml:space="preserve">au ciment </w:t>
      </w:r>
      <w:r>
        <w:t>(par défaut) </w:t>
      </w:r>
      <w:r>
        <w:rPr>
          <w:rStyle w:val="optioncarChar"/>
        </w:rPr>
        <w:t>/ à la chaux / *** :</w:t>
      </w:r>
    </w:p>
    <w:p w14:paraId="42A49773" w14:textId="77777777" w:rsidR="00DB2B68" w:rsidRDefault="00000000">
      <w:pPr>
        <w:jc w:val="both"/>
      </w:pPr>
      <w:r>
        <w:rPr>
          <w:b/>
        </w:rPr>
        <w:t>(soit par défaut)</w:t>
      </w:r>
    </w:p>
    <w:p w14:paraId="3F52E408" w14:textId="77777777" w:rsidR="00DB2B68" w:rsidRDefault="00000000">
      <w:pPr>
        <w:jc w:val="both"/>
      </w:pPr>
      <w:r>
        <w:rPr>
          <w:rStyle w:val="soitChar"/>
          <w:b/>
          <w:u w:val="single"/>
        </w:rPr>
        <w:t>Au Ciment</w:t>
      </w:r>
      <w:r>
        <w:rPr>
          <w:rStyle w:val="soitChar"/>
          <w:b/>
        </w:rPr>
        <w:t xml:space="preserve"> : stabilisation au ciment</w:t>
      </w:r>
      <w:r>
        <w:rPr>
          <w:rStyle w:val="soitChar"/>
        </w:rPr>
        <w:t xml:space="preserve">, dosage : min </w:t>
      </w:r>
      <w:r>
        <w:rPr>
          <w:rStyle w:val="optioncarChar"/>
        </w:rPr>
        <w:t>***</w:t>
      </w:r>
      <w:r>
        <w:rPr>
          <w:rStyle w:val="soitChar"/>
        </w:rPr>
        <w:t xml:space="preserve"> % de ciment</w:t>
      </w:r>
    </w:p>
    <w:p w14:paraId="6A02DBCC" w14:textId="77777777" w:rsidR="00DB2B68" w:rsidRDefault="00000000">
      <w:pPr>
        <w:jc w:val="both"/>
      </w:pPr>
      <w:r>
        <w:rPr>
          <w:b/>
        </w:rPr>
        <w:t>(soit)</w:t>
      </w:r>
    </w:p>
    <w:p w14:paraId="0AB71999" w14:textId="77777777" w:rsidR="00DB2B68" w:rsidRDefault="00000000">
      <w:pPr>
        <w:jc w:val="both"/>
      </w:pPr>
      <w:r>
        <w:rPr>
          <w:rStyle w:val="soitChar"/>
          <w:b/>
          <w:u w:val="single"/>
        </w:rPr>
        <w:t>A la chaux</w:t>
      </w:r>
      <w:r>
        <w:rPr>
          <w:rStyle w:val="soitChar"/>
          <w:b/>
        </w:rPr>
        <w:t xml:space="preserve"> : stabilisation à la chaux</w:t>
      </w:r>
      <w:r>
        <w:rPr>
          <w:rStyle w:val="soitChar"/>
        </w:rPr>
        <w:t xml:space="preserve">, dosage : min </w:t>
      </w:r>
      <w:r>
        <w:rPr>
          <w:rStyle w:val="optioncarChar"/>
        </w:rPr>
        <w:t>***</w:t>
      </w:r>
      <w:r>
        <w:rPr>
          <w:rStyle w:val="soitChar"/>
        </w:rPr>
        <w:t>% de chaux</w:t>
      </w:r>
    </w:p>
    <w:p w14:paraId="2D5DB90E" w14:textId="77777777" w:rsidR="00DB2B68" w:rsidRDefault="00000000">
      <w:pPr>
        <w:jc w:val="both"/>
      </w:pPr>
      <w:r>
        <w:rPr>
          <w:b/>
        </w:rPr>
        <w:t>(soit)</w:t>
      </w:r>
    </w:p>
    <w:p w14:paraId="7F9129F2" w14:textId="77777777" w:rsidR="00DB2B68" w:rsidRDefault="00000000">
      <w:pPr>
        <w:jc w:val="both"/>
      </w:pPr>
      <w:r>
        <w:rPr>
          <w:rStyle w:val="optioncarChar"/>
        </w:rPr>
        <w:t>***</w:t>
      </w:r>
    </w:p>
    <w:p w14:paraId="7F031D46" w14:textId="77777777" w:rsidR="00DB2B68" w:rsidRDefault="00000000">
      <w:pPr>
        <w:jc w:val="both"/>
      </w:pPr>
      <w:r>
        <w:t>Résistance à la compression [NBN EN 772-1+A1] </w:t>
      </w:r>
      <w:r>
        <w:rPr>
          <w:rStyle w:val="optioncarChar"/>
        </w:rPr>
        <w:t>moyenne </w:t>
      </w:r>
      <w:r>
        <w:t>(par défaut) </w:t>
      </w:r>
      <w:r>
        <w:rPr>
          <w:rStyle w:val="optioncarChar"/>
        </w:rPr>
        <w:t>/ normalisée (f</w:t>
      </w:r>
      <w:r>
        <w:rPr>
          <w:rStyle w:val="optioncarChar"/>
          <w:vertAlign w:val="subscript"/>
        </w:rPr>
        <w:t>b</w:t>
      </w:r>
      <w:r>
        <w:rPr>
          <w:rStyle w:val="optioncarChar"/>
        </w:rPr>
        <w:t>)</w:t>
      </w:r>
      <w:r>
        <w:t xml:space="preserve"> : ≥ </w:t>
      </w:r>
      <w:r>
        <w:rPr>
          <w:rStyle w:val="optioncarChar"/>
        </w:rPr>
        <w:t>***</w:t>
      </w:r>
      <w:r>
        <w:t xml:space="preserve"> N/mm²</w:t>
      </w:r>
    </w:p>
    <w:p w14:paraId="35870A14" w14:textId="77777777" w:rsidR="00DB2B68" w:rsidRDefault="00000000">
      <w:pPr>
        <w:jc w:val="both"/>
      </w:pPr>
      <w:r>
        <w:t xml:space="preserve">Résistance à la compression à l’état humide (conservation 48h par immersion dans l’eau puis essai selon [NBN EN 772-1+A1]) : ≥ </w:t>
      </w:r>
      <w:r>
        <w:rPr>
          <w:rStyle w:val="optioncarChar"/>
        </w:rPr>
        <w:t>***</w:t>
      </w:r>
      <w:r>
        <w:t xml:space="preserve"> N/mm²</w:t>
      </w:r>
    </w:p>
    <w:p w14:paraId="189A80A7" w14:textId="77777777" w:rsidR="00DB2B68" w:rsidRDefault="00000000">
      <w:pPr>
        <w:jc w:val="both"/>
      </w:pPr>
      <w:r>
        <w:t>Masse volumique apparente selon la [NBN EN 772-13] :</w:t>
      </w:r>
      <w:r>
        <w:rPr>
          <w:rStyle w:val="optioncarChar"/>
        </w:rPr>
        <w:t xml:space="preserve"> ***</w:t>
      </w:r>
      <w:r>
        <w:t xml:space="preserve"> kg / m³</w:t>
      </w:r>
    </w:p>
    <w:p w14:paraId="7A4642E8" w14:textId="77777777" w:rsidR="00DB2B68" w:rsidRDefault="00000000">
      <w:pPr>
        <w:jc w:val="both"/>
      </w:pPr>
      <w:r>
        <w:t xml:space="preserve">Teneur en humidité à la sortie d’usine : </w:t>
      </w:r>
      <w:r>
        <w:rPr>
          <w:rStyle w:val="optioncarChar"/>
        </w:rPr>
        <w:t>≤ *** % / non-spécifié</w:t>
      </w:r>
    </w:p>
    <w:p w14:paraId="7481BFFB" w14:textId="77777777" w:rsidR="00DB2B68" w:rsidRDefault="00000000">
      <w:pPr>
        <w:jc w:val="both"/>
      </w:pPr>
      <w:r>
        <w:t xml:space="preserve">Absorption capillaire de la face de parement (à 10 min) selon [NBN EN 772-11] : </w:t>
      </w:r>
      <w:r>
        <w:rPr>
          <w:rStyle w:val="optioncarChar"/>
        </w:rPr>
        <w:t>≤ *** g/m²s / non spécifié</w:t>
      </w:r>
    </w:p>
    <w:p w14:paraId="30AEEA35" w14:textId="77777777" w:rsidR="00DB2B68" w:rsidRDefault="00000000">
      <w:pPr>
        <w:jc w:val="both"/>
      </w:pPr>
      <w:r>
        <w:t xml:space="preserve">Taux initial d’absorption d’eau de la face de pose (à 1 min) selon [NBN EN 772-11] : </w:t>
      </w:r>
      <w:r>
        <w:rPr>
          <w:rStyle w:val="optioncarChar"/>
        </w:rPr>
        <w:t>≤ *** kg/m²min / non spécifié</w:t>
      </w:r>
    </w:p>
    <w:p w14:paraId="415BCDFE" w14:textId="77777777" w:rsidR="00DB2B68" w:rsidRDefault="00000000">
      <w:pPr>
        <w:jc w:val="both"/>
      </w:pPr>
      <w:r>
        <w:t xml:space="preserve">Amplitude des déformations hygrométriques (retrait – gonflement) selon [NBN EN 772-14] : </w:t>
      </w:r>
      <w:r>
        <w:rPr>
          <w:rStyle w:val="optioncarChar"/>
        </w:rPr>
        <w:t>≤ *** mm/m / non spécifié.</w:t>
      </w:r>
    </w:p>
    <w:p w14:paraId="79FA61D6" w14:textId="77777777" w:rsidR="00DB2B68" w:rsidRDefault="00000000">
      <w:pPr>
        <w:jc w:val="both"/>
      </w:pPr>
      <w:r>
        <w:t xml:space="preserve"> Les éléments destinés à un usage extérieur ou en maçonnerie souterraine respectent le critère suivant en matière de comportement à l'humidité : retrait et gonflement hygrométriques ≤ 0.45 mm / m.</w:t>
      </w:r>
    </w:p>
    <w:p w14:paraId="15884369" w14:textId="77777777" w:rsidR="00DB2B68" w:rsidRDefault="00000000">
      <w:pPr>
        <w:jc w:val="both"/>
      </w:pPr>
      <w:r>
        <w:lastRenderedPageBreak/>
        <w:t xml:space="preserve">Valeur µ selon [NBN EN ISO 12572] : </w:t>
      </w:r>
      <w:r>
        <w:rPr>
          <w:rStyle w:val="optioncarChar"/>
        </w:rPr>
        <w:t>*** / non spécifié</w:t>
      </w:r>
    </w:p>
    <w:p w14:paraId="278EBF94" w14:textId="77777777" w:rsidR="00DB2B68" w:rsidRDefault="00000000">
      <w:pPr>
        <w:jc w:val="both"/>
      </w:pPr>
      <w:r>
        <w:t xml:space="preserve">Résistance au gel selon [NBN B 15-231] : </w:t>
      </w:r>
      <w:r>
        <w:rPr>
          <w:rStyle w:val="optioncarChar"/>
        </w:rPr>
        <w:t>résistant </w:t>
      </w:r>
      <w:r>
        <w:t>(par défaut)</w:t>
      </w:r>
      <w:r>
        <w:rPr>
          <w:rStyle w:val="optioncarChar"/>
        </w:rPr>
        <w:t xml:space="preserve"> / non spécifié</w:t>
      </w:r>
    </w:p>
    <w:p w14:paraId="2A585F98" w14:textId="77777777" w:rsidR="00DB2B68" w:rsidRDefault="00000000">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14:paraId="1B5800FE" w14:textId="77777777" w:rsidR="00DB2B68" w:rsidRDefault="00000000">
      <w:pPr>
        <w:jc w:val="both"/>
      </w:pPr>
      <w:r>
        <w:t xml:space="preserve">Chaleur spécifique : </w:t>
      </w:r>
      <w:r>
        <w:rPr>
          <w:rStyle w:val="optioncarChar"/>
        </w:rPr>
        <w:t>*** J/kg K / non spécifié</w:t>
      </w:r>
    </w:p>
    <w:p w14:paraId="1A2AE1A6" w14:textId="77777777" w:rsidR="00DB2B68" w:rsidRDefault="00000000">
      <w:pPr>
        <w:jc w:val="both"/>
      </w:pPr>
      <w:r>
        <w:t xml:space="preserve">Réaction au feu : </w:t>
      </w:r>
      <w:r>
        <w:rPr>
          <w:rStyle w:val="optioncarChar"/>
        </w:rPr>
        <w:t>***</w:t>
      </w:r>
    </w:p>
    <w:p w14:paraId="7A1F5AD1" w14:textId="77777777" w:rsidR="00DB2B68" w:rsidRDefault="00000000">
      <w:pPr>
        <w:jc w:val="both"/>
      </w:pPr>
      <w:r>
        <w:t xml:space="preserve">Emission de COV : </w:t>
      </w:r>
      <w:r>
        <w:rPr>
          <w:rStyle w:val="optioncarChar"/>
        </w:rPr>
        <w:t>≤ *** / non spécifié</w:t>
      </w:r>
    </w:p>
    <w:p w14:paraId="1FEC0900" w14:textId="77777777" w:rsidR="00DB2B68" w:rsidRDefault="00000000">
      <w:pPr>
        <w:jc w:val="both"/>
      </w:pPr>
      <w:r>
        <w:t> </w:t>
      </w:r>
    </w:p>
    <w:p w14:paraId="3D220F41" w14:textId="77777777" w:rsidR="00DB2B68" w:rsidRDefault="00000000">
      <w:pPr>
        <w:jc w:val="both"/>
      </w:pPr>
      <w:r>
        <w:rPr>
          <w:u w:val="single"/>
        </w:rPr>
        <w:t>Mortier</w:t>
      </w:r>
    </w:p>
    <w:p w14:paraId="5EB00AAD" w14:textId="77777777" w:rsidR="00DB2B68" w:rsidRDefault="00000000">
      <w:pPr>
        <w:jc w:val="both"/>
      </w:pPr>
      <w:r>
        <w:t xml:space="preserve">Type : </w:t>
      </w:r>
      <w:r>
        <w:rPr>
          <w:rStyle w:val="optioncarChar"/>
        </w:rPr>
        <w:t>mortier en terre crue / mortier en terre crue stabilisée au ciment </w:t>
      </w:r>
      <w:r>
        <w:t>(par défaut)</w:t>
      </w:r>
      <w:r>
        <w:rPr>
          <w:rStyle w:val="optioncarChar"/>
        </w:rPr>
        <w:t xml:space="preserve"> / mortier en terre crue stabilisée à la chaux / mortier à la chaux hydraulique.</w:t>
      </w:r>
    </w:p>
    <w:p w14:paraId="2296756D" w14:textId="77777777" w:rsidR="00DB2B68" w:rsidRDefault="00000000">
      <w:pPr>
        <w:jc w:val="both"/>
      </w:pPr>
      <w:r>
        <w:t xml:space="preserve">Masse volumique apparente selon [NBN EN 1015-10] : </w:t>
      </w:r>
      <w:r>
        <w:rPr>
          <w:rStyle w:val="optioncarChar"/>
        </w:rPr>
        <w:t>***</w:t>
      </w:r>
      <w:r>
        <w:t xml:space="preserve"> kg/m³</w:t>
      </w:r>
    </w:p>
    <w:p w14:paraId="0123A3A1" w14:textId="77777777" w:rsidR="00DB2B68" w:rsidRDefault="00000000">
      <w:pPr>
        <w:jc w:val="both"/>
      </w:pPr>
      <w:r>
        <w:t xml:space="preserve">Résistance en compression selon [NBN EN 1015-11] : ≥ </w:t>
      </w:r>
      <w:r>
        <w:rPr>
          <w:rStyle w:val="optioncarChar"/>
        </w:rPr>
        <w:t>***</w:t>
      </w:r>
      <w:r>
        <w:t xml:space="preserve"> N/mm²</w:t>
      </w:r>
    </w:p>
    <w:p w14:paraId="4F490079" w14:textId="77777777" w:rsidR="00DB2B68" w:rsidRDefault="00000000">
      <w:pPr>
        <w:jc w:val="both"/>
      </w:pPr>
      <w:r>
        <w:t xml:space="preserve">Absorption d’eau selon [NBN EN 1015-18] : </w:t>
      </w:r>
      <w:r>
        <w:rPr>
          <w:rStyle w:val="optioncarChar"/>
        </w:rPr>
        <w:t>***</w:t>
      </w:r>
      <w:r>
        <w:t xml:space="preserve"> kg/m²</w:t>
      </w:r>
    </w:p>
    <w:p w14:paraId="3EA40982" w14:textId="77777777" w:rsidR="00DB2B68" w:rsidRDefault="00000000">
      <w:pPr>
        <w:jc w:val="both"/>
      </w:pPr>
      <w:r>
        <w:t xml:space="preserve">Adhérence : voir </w:t>
      </w:r>
      <w:r>
        <w:rPr>
          <w:i/>
        </w:rPr>
        <w:t>‘Maçonnerie – résistance initiale au cisaillement’</w:t>
      </w:r>
      <w:r>
        <w:t xml:space="preserve"> ci-dessous.</w:t>
      </w:r>
    </w:p>
    <w:p w14:paraId="360DA694" w14:textId="77777777" w:rsidR="00DB2B68" w:rsidRDefault="00000000">
      <w:pPr>
        <w:jc w:val="both"/>
      </w:pPr>
      <w:r>
        <w:t xml:space="preserve">Epaisseur des joints : </w:t>
      </w:r>
      <w:r>
        <w:rPr>
          <w:rStyle w:val="optioncarChar"/>
        </w:rPr>
        <w:t>12 / ***</w:t>
      </w:r>
      <w:r>
        <w:t xml:space="preserve"> mm.</w:t>
      </w:r>
    </w:p>
    <w:p w14:paraId="44BC5A40" w14:textId="77777777" w:rsidR="00DB2B68" w:rsidRDefault="00000000">
      <w:pPr>
        <w:jc w:val="both"/>
      </w:pPr>
      <w:r>
        <w:t xml:space="preserve">Réaction au feu : </w:t>
      </w:r>
      <w:r>
        <w:rPr>
          <w:rStyle w:val="optioncarChar"/>
        </w:rPr>
        <w:t>***</w:t>
      </w:r>
    </w:p>
    <w:p w14:paraId="08DF24F7" w14:textId="77777777" w:rsidR="00DB2B68" w:rsidRDefault="00000000">
      <w:pPr>
        <w:jc w:val="both"/>
      </w:pPr>
      <w:r>
        <w:t xml:space="preserve">Emission de COV : </w:t>
      </w:r>
      <w:r>
        <w:rPr>
          <w:rStyle w:val="optioncarChar"/>
        </w:rPr>
        <w:t>≤ *** / non spécifié</w:t>
      </w:r>
    </w:p>
    <w:p w14:paraId="7399D7CB" w14:textId="77777777" w:rsidR="00DB2B68" w:rsidRDefault="00000000">
      <w:pPr>
        <w:jc w:val="both"/>
      </w:pPr>
      <w:r>
        <w:t> </w:t>
      </w:r>
    </w:p>
    <w:p w14:paraId="6FF86C32" w14:textId="77777777" w:rsidR="00DB2B68" w:rsidRDefault="00000000">
      <w:pPr>
        <w:jc w:val="both"/>
      </w:pPr>
      <w:r>
        <w:rPr>
          <w:rStyle w:val="headingChar"/>
        </w:rPr>
        <w:t>Performances De La Parois</w:t>
      </w:r>
    </w:p>
    <w:p w14:paraId="285BB845" w14:textId="77777777" w:rsidR="00DB2B68" w:rsidRDefault="00DB2B68">
      <w:pPr>
        <w:jc w:val="both"/>
      </w:pPr>
    </w:p>
    <w:p w14:paraId="61B8FD84" w14:textId="77777777" w:rsidR="00DB2B68" w:rsidRDefault="00000000">
      <w:pPr>
        <w:jc w:val="both"/>
      </w:pPr>
      <w:r>
        <w:t>Résistance à la compression f</w:t>
      </w:r>
      <w:r>
        <w:rPr>
          <w:vertAlign w:val="subscript"/>
        </w:rPr>
        <w:t>k</w:t>
      </w:r>
      <w:r>
        <w:t xml:space="preserve"> selon la [NBN EN 1052-1] : ≥ </w:t>
      </w:r>
      <w:r>
        <w:rPr>
          <w:rStyle w:val="optioncarChar"/>
        </w:rPr>
        <w:t>***</w:t>
      </w:r>
      <w:r>
        <w:t xml:space="preserve"> N/mm²</w:t>
      </w:r>
    </w:p>
    <w:p w14:paraId="10E2919D" w14:textId="77777777" w:rsidR="00DB2B68" w:rsidRDefault="00000000">
      <w:pPr>
        <w:jc w:val="both"/>
      </w:pPr>
      <w:r>
        <w:t xml:space="preserve">Module de Young E selon [NBN EN 1052-1] : </w:t>
      </w:r>
      <w:r>
        <w:rPr>
          <w:rStyle w:val="optioncarChar"/>
        </w:rPr>
        <w:t>***</w:t>
      </w:r>
      <w:r>
        <w:t xml:space="preserve"> N/mm²</w:t>
      </w:r>
    </w:p>
    <w:p w14:paraId="5EF8F3A6" w14:textId="77777777" w:rsidR="00DB2B68" w:rsidRDefault="00000000">
      <w:pPr>
        <w:jc w:val="both"/>
      </w:pPr>
      <w:r>
        <w:t>Résistance à la flexion selon la [NBN EN 1052-2] : f</w:t>
      </w:r>
      <w:r>
        <w:rPr>
          <w:vertAlign w:val="subscript"/>
        </w:rPr>
        <w:t>xk1</w:t>
      </w:r>
      <w:r>
        <w:t xml:space="preserve"> ≥ </w:t>
      </w:r>
      <w:r>
        <w:rPr>
          <w:rStyle w:val="optioncarChar"/>
        </w:rPr>
        <w:t>***</w:t>
      </w:r>
      <w:r>
        <w:t xml:space="preserve"> N/mm² ; f</w:t>
      </w:r>
      <w:r>
        <w:rPr>
          <w:vertAlign w:val="subscript"/>
        </w:rPr>
        <w:t>xk2</w:t>
      </w:r>
      <w:r>
        <w:t> : ≥</w:t>
      </w:r>
      <w:r>
        <w:rPr>
          <w:rStyle w:val="optioncarChar"/>
        </w:rPr>
        <w:t xml:space="preserve"> ***</w:t>
      </w:r>
      <w:r>
        <w:t xml:space="preserve"> N/mm²</w:t>
      </w:r>
    </w:p>
    <w:p w14:paraId="0FA80950" w14:textId="77777777" w:rsidR="00DB2B68" w:rsidRDefault="00000000">
      <w:pPr>
        <w:jc w:val="both"/>
      </w:pPr>
      <w:r>
        <w:t>Résistance initiale au cisaillement f</w:t>
      </w:r>
      <w:r>
        <w:rPr>
          <w:vertAlign w:val="subscript"/>
        </w:rPr>
        <w:t>vk0</w:t>
      </w:r>
      <w:r>
        <w:t xml:space="preserve"> selon la [NBN EN 1052-3] : ≥</w:t>
      </w:r>
      <w:r>
        <w:rPr>
          <w:rStyle w:val="optioncarChar"/>
        </w:rPr>
        <w:t xml:space="preserve"> ***</w:t>
      </w:r>
      <w:r>
        <w:t xml:space="preserve"> N/mm²</w:t>
      </w:r>
    </w:p>
    <w:p w14:paraId="3C7A0C04" w14:textId="77777777" w:rsidR="00DB2B68" w:rsidRDefault="00000000">
      <w:pPr>
        <w:jc w:val="both"/>
      </w:pPr>
      <w:r>
        <w:t>Autres éventuelles exigences de résistances mécaniques (compression excentrée, fluage) :</w:t>
      </w:r>
      <w:r>
        <w:rPr>
          <w:rStyle w:val="optioncarChar"/>
        </w:rPr>
        <w:t xml:space="preserve"> ***.</w:t>
      </w:r>
    </w:p>
    <w:p w14:paraId="312BDA02" w14:textId="77777777" w:rsidR="00DB2B68" w:rsidRDefault="00000000">
      <w:pPr>
        <w:jc w:val="both"/>
      </w:pPr>
      <w:r>
        <w:t>Valeur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14:paraId="7A574F6C" w14:textId="77777777" w:rsidR="00DB2B68" w:rsidRDefault="00000000">
      <w:pPr>
        <w:jc w:val="both"/>
      </w:pPr>
      <w:r>
        <w:t> </w:t>
      </w:r>
    </w:p>
    <w:p w14:paraId="028ED421" w14:textId="77777777" w:rsidR="00DB2B68" w:rsidRDefault="00000000">
      <w:pPr>
        <w:jc w:val="both"/>
      </w:pPr>
      <w:r>
        <w:t>Résistance au feu ([NBN EN 13501-2], [NBN EN 1365-1]):</w:t>
      </w:r>
    </w:p>
    <w:p w14:paraId="3C6CAD10" w14:textId="77777777" w:rsidR="00DB2B68" w:rsidRDefault="00000000">
      <w:pPr>
        <w:pStyle w:val="Author-eListParagraph"/>
        <w:numPr>
          <w:ilvl w:val="0"/>
          <w:numId w:val="133"/>
        </w:numPr>
      </w:pPr>
      <w:r>
        <w:t>pour les éléments porteurs structurels sans fonction séparante :</w:t>
      </w:r>
      <w:r>
        <w:rPr>
          <w:rStyle w:val="optioncarChar"/>
        </w:rPr>
        <w:t xml:space="preserve"> R15 / R30</w:t>
      </w:r>
      <w:r>
        <w:t> (par défaut)</w:t>
      </w:r>
      <w:r>
        <w:rPr>
          <w:rStyle w:val="optioncarChar"/>
        </w:rPr>
        <w:t xml:space="preserve"> / R60 / R90 / R120 / ***</w:t>
      </w:r>
    </w:p>
    <w:p w14:paraId="303805B3" w14:textId="77777777" w:rsidR="00DB2B68" w:rsidRDefault="00000000">
      <w:pPr>
        <w:pStyle w:val="Author-eListParagraph"/>
        <w:numPr>
          <w:ilvl w:val="0"/>
          <w:numId w:val="133"/>
        </w:numPr>
      </w:pPr>
      <w:r>
        <w:t xml:space="preserve">pour les éléments porteurs structurels avec fonction séparante : </w:t>
      </w:r>
      <w:r>
        <w:rPr>
          <w:rStyle w:val="optioncarChar"/>
        </w:rPr>
        <w:t>REI30 </w:t>
      </w:r>
      <w:r>
        <w:t>(par défaut)</w:t>
      </w:r>
      <w:r>
        <w:rPr>
          <w:rStyle w:val="optioncarChar"/>
        </w:rPr>
        <w:t xml:space="preserve"> / REI60 / REI90 / REI120 / ***</w:t>
      </w:r>
    </w:p>
    <w:p w14:paraId="703F680F" w14:textId="77777777" w:rsidR="00DB2B68" w:rsidRDefault="00000000">
      <w:pPr>
        <w:ind w:left="750"/>
      </w:pPr>
      <w:r>
        <w:t> </w:t>
      </w:r>
    </w:p>
    <w:p w14:paraId="4B8804F4" w14:textId="77777777" w:rsidR="00DB2B68" w:rsidRDefault="00000000">
      <w:pPr>
        <w:pStyle w:val="pheading"/>
      </w:pPr>
      <w:r>
        <w:t>- Finitions</w:t>
      </w:r>
    </w:p>
    <w:p w14:paraId="3C32E812" w14:textId="77777777" w:rsidR="00DB2B68" w:rsidRDefault="00000000">
      <w:pPr>
        <w:pStyle w:val="Author-eListParagraph"/>
        <w:numPr>
          <w:ilvl w:val="0"/>
          <w:numId w:val="134"/>
        </w:numPr>
      </w:pPr>
      <w:r>
        <w:t xml:space="preserve">Les faces de murs suivantes sont exécutées comme maçonneries apparentes et sont </w:t>
      </w:r>
      <w:r>
        <w:rPr>
          <w:rStyle w:val="optioncarChar"/>
        </w:rPr>
        <w:t xml:space="preserve">rejointoyées </w:t>
      </w:r>
      <w:r>
        <w:t xml:space="preserve">selon </w:t>
      </w:r>
      <w:hyperlink w:anchor="346" w:history="1">
        <w:r>
          <w:rPr>
            <w:color w:val="0000EE"/>
          </w:rPr>
          <w:t>21.61.1b Joints de maçonnerie apparente</w:t>
        </w:r>
      </w:hyperlink>
      <w:r>
        <w:t xml:space="preserve">: </w:t>
      </w:r>
      <w:r>
        <w:rPr>
          <w:color w:val="FF0000"/>
        </w:rPr>
        <w:t>***</w:t>
      </w:r>
    </w:p>
    <w:p w14:paraId="07FDD5CE" w14:textId="77777777" w:rsidR="00DB2B68" w:rsidRDefault="00000000">
      <w:pPr>
        <w:pStyle w:val="Author-eListParagraph"/>
        <w:numPr>
          <w:ilvl w:val="0"/>
          <w:numId w:val="134"/>
        </w:numPr>
      </w:pPr>
      <w:r>
        <w:t xml:space="preserve">Les murs suivants sont exécutés avec une face restant apparente : </w:t>
      </w:r>
      <w:r>
        <w:rPr>
          <w:rStyle w:val="optioncarChar"/>
        </w:rPr>
        <w:t>***</w:t>
      </w:r>
    </w:p>
    <w:p w14:paraId="2FFFFC74" w14:textId="77777777" w:rsidR="00DB2B68" w:rsidRDefault="00000000">
      <w:pPr>
        <w:pStyle w:val="Author-eListParagraph"/>
        <w:numPr>
          <w:ilvl w:val="0"/>
          <w:numId w:val="134"/>
        </w:numPr>
      </w:pPr>
      <w:r>
        <w:t xml:space="preserve">Les murs suivants sont exécutés avec deux faces restant apparentes : </w:t>
      </w:r>
      <w:r>
        <w:rPr>
          <w:rStyle w:val="optioncarChar"/>
        </w:rPr>
        <w:t>***</w:t>
      </w:r>
    </w:p>
    <w:p w14:paraId="0A84C5F6" w14:textId="77777777" w:rsidR="00DB2B68" w:rsidRDefault="00000000">
      <w:pPr>
        <w:jc w:val="both"/>
      </w:pPr>
      <w:r>
        <w:t>Couleur des joints :</w:t>
      </w:r>
      <w:r>
        <w:rPr>
          <w:rStyle w:val="optioncarChar"/>
        </w:rPr>
        <w:t xml:space="preserve"> couleur approchant celle des briques </w:t>
      </w:r>
      <w:r>
        <w:t>(par défaut)</w:t>
      </w:r>
      <w:r>
        <w:rPr>
          <w:rStyle w:val="optioncarChar"/>
        </w:rPr>
        <w:t xml:space="preserve"> / ***</w:t>
      </w:r>
    </w:p>
    <w:p w14:paraId="22AB1D59" w14:textId="77777777" w:rsidR="00DB2B68" w:rsidRDefault="00000000">
      <w:pPr>
        <w:jc w:val="both"/>
      </w:pPr>
      <w:r>
        <w:t>Type de joints :</w:t>
      </w:r>
      <w:r>
        <w:rPr>
          <w:rStyle w:val="optioncarChar"/>
        </w:rPr>
        <w:t xml:space="preserve"> joint creux</w:t>
      </w:r>
      <w:r>
        <w:t xml:space="preserve"> (par défaut)</w:t>
      </w:r>
      <w:r>
        <w:rPr>
          <w:rStyle w:val="optioncarChar"/>
        </w:rPr>
        <w:t xml:space="preserve"> / joint creux en retrait / joint plat / joint plat en retrait / joint biais en retrait / ***</w:t>
      </w:r>
    </w:p>
    <w:p w14:paraId="1991B4E7" w14:textId="77777777" w:rsidR="00DB2B68" w:rsidRDefault="00000000">
      <w:pPr>
        <w:jc w:val="both"/>
      </w:pPr>
      <w:r>
        <w:lastRenderedPageBreak/>
        <w:t>Finition des joints :</w:t>
      </w:r>
      <w:r>
        <w:rPr>
          <w:rStyle w:val="optioncarChar"/>
        </w:rPr>
        <w:t xml:space="preserve"> joint brossé</w:t>
      </w:r>
      <w:r>
        <w:t xml:space="preserve"> (par défaut)</w:t>
      </w:r>
      <w:r>
        <w:rPr>
          <w:rStyle w:val="optioncarChar"/>
        </w:rPr>
        <w:t xml:space="preserve"> / finition lisse / joint frappé à la brosse dure / ***</w:t>
      </w:r>
    </w:p>
    <w:p w14:paraId="05D5C608" w14:textId="77777777" w:rsidR="00DB2B68" w:rsidRDefault="00000000">
      <w:pPr>
        <w:pStyle w:val="pheading"/>
      </w:pPr>
      <w:r>
        <w:t>EXÉCUTION / MISE EN ŒUVRE</w:t>
      </w:r>
    </w:p>
    <w:p w14:paraId="751AD8A6" w14:textId="77777777" w:rsidR="00DB2B68" w:rsidRDefault="00000000">
      <w:pPr>
        <w:pStyle w:val="pheading"/>
      </w:pPr>
      <w:r>
        <w:t>- Prescriptions générales</w:t>
      </w:r>
    </w:p>
    <w:p w14:paraId="21F65DE7" w14:textId="77777777" w:rsidR="00DB2B68" w:rsidRDefault="00000000">
      <w:pPr>
        <w:jc w:val="both"/>
      </w:pPr>
      <w:r>
        <w:t xml:space="preserve">La maçonnerie est exécutée en appareillage </w:t>
      </w:r>
      <w:r>
        <w:rPr>
          <w:rStyle w:val="optioncarChar"/>
        </w:rPr>
        <w:t>d’une demi-brique / ***</w:t>
      </w:r>
      <w:r>
        <w:t>.</w:t>
      </w:r>
    </w:p>
    <w:p w14:paraId="037D3BAA" w14:textId="77777777" w:rsidR="00DB2B68" w:rsidRDefault="00000000">
      <w:pPr>
        <w:jc w:val="both"/>
      </w:pPr>
      <w:r>
        <w:t>Linteaux :</w:t>
      </w:r>
      <w:r>
        <w:rPr>
          <w:rStyle w:val="optioncarChar"/>
        </w:rPr>
        <w:t xml:space="preserve"> ***</w:t>
      </w:r>
      <w:r>
        <w:t>.</w:t>
      </w:r>
    </w:p>
    <w:p w14:paraId="7666ACF1" w14:textId="77777777" w:rsidR="00DB2B68" w:rsidRDefault="00000000">
      <w:pPr>
        <w:pStyle w:val="pheading"/>
      </w:pPr>
      <w:r>
        <w:t>- Notes d’exécution complémentaires</w:t>
      </w:r>
    </w:p>
    <w:p w14:paraId="5C057EA1" w14:textId="77777777" w:rsidR="00DB2B68" w:rsidRDefault="00000000">
      <w:pPr>
        <w:jc w:val="both"/>
      </w:pPr>
      <w:r>
        <w:rPr>
          <w:rStyle w:val="facultChar"/>
        </w:rPr>
        <w:t xml:space="preserve">Armatures horizontales : selon l'élément </w:t>
      </w:r>
      <w:hyperlink w:anchor="357" w:history="1">
        <w:r>
          <w:rPr>
            <w:rStyle w:val="facultChar"/>
            <w:color w:val="0000EE"/>
          </w:rPr>
          <w:t>21.41.1 Armatures horizontales pour maçonneries</w:t>
        </w:r>
      </w:hyperlink>
    </w:p>
    <w:p w14:paraId="59D7C1AD" w14:textId="77777777" w:rsidR="00DB2B68" w:rsidRDefault="00000000">
      <w:pPr>
        <w:jc w:val="both"/>
      </w:pPr>
      <w:r>
        <w:rPr>
          <w:rStyle w:val="facultChar"/>
        </w:rPr>
        <w:t xml:space="preserve">Ancrages : selon l'élément </w:t>
      </w:r>
      <w:hyperlink w:anchor="364" w:history="1">
        <w:r>
          <w:rPr>
            <w:rStyle w:val="facultChar"/>
            <w:color w:val="0000EE"/>
          </w:rPr>
          <w:t>21.42 Ancrages et fixations de maçonneries</w:t>
        </w:r>
      </w:hyperlink>
    </w:p>
    <w:p w14:paraId="452DE5DC" w14:textId="77777777" w:rsidR="00DB2B68" w:rsidRDefault="00000000">
      <w:pPr>
        <w:jc w:val="both"/>
      </w:pPr>
      <w:r>
        <w:rPr>
          <w:rStyle w:val="facultChar"/>
        </w:rPr>
        <w:t xml:space="preserve">Blocs spéciaux : </w:t>
      </w:r>
      <w:r>
        <w:rPr>
          <w:rStyle w:val="optioncarChar"/>
        </w:rPr>
        <w:t>***</w:t>
      </w:r>
    </w:p>
    <w:p w14:paraId="0CD804DD" w14:textId="77777777" w:rsidR="00DB2B68" w:rsidRDefault="00000000">
      <w:pPr>
        <w:jc w:val="both"/>
      </w:pPr>
      <w:r>
        <w:rPr>
          <w:rStyle w:val="facultChar"/>
        </w:rPr>
        <w:t xml:space="preserve">Étanchéité : </w:t>
      </w:r>
      <w:r>
        <w:rPr>
          <w:rStyle w:val="optioncarChar"/>
        </w:rPr>
        <w:t>***</w:t>
      </w:r>
    </w:p>
    <w:p w14:paraId="563F40E4" w14:textId="77777777" w:rsidR="00DB2B68" w:rsidRDefault="00000000">
      <w:pPr>
        <w:jc w:val="both"/>
      </w:pPr>
      <w:r>
        <w:rPr>
          <w:rStyle w:val="facultChar"/>
        </w:rPr>
        <w:t>Joints de dilatation :</w:t>
      </w:r>
      <w:r>
        <w:rPr>
          <w:rStyle w:val="optioncarChar"/>
        </w:rPr>
        <w:t xml:space="preserve"> ***</w:t>
      </w:r>
    </w:p>
    <w:p w14:paraId="53A943EB" w14:textId="77777777" w:rsidR="00DB2B68" w:rsidRDefault="00000000">
      <w:pPr>
        <w:pStyle w:val="pheading"/>
      </w:pPr>
      <w:r>
        <w:t>- Échantillons</w:t>
      </w:r>
    </w:p>
    <w:p w14:paraId="1F9F6717" w14:textId="77777777" w:rsidR="00DB2B68" w:rsidRDefault="00000000">
      <w:pPr>
        <w:jc w:val="both"/>
      </w:pPr>
      <w:r>
        <w:t>L’entrepreneur soumet un échantillon de bloc.</w:t>
      </w:r>
    </w:p>
    <w:p w14:paraId="4142933B" w14:textId="77777777" w:rsidR="00DB2B68" w:rsidRDefault="00000000">
      <w:pPr>
        <w:jc w:val="both"/>
      </w:pPr>
      <w:r>
        <w:t>En vue du choix définitif des blocs, un ou plusieurs échantillons d'environ 1 m² sont maçonnés à la demande de l'auteur de projet; les frais inhérents à la construction et à la démolition de ces murs sont à charge de l'entrepreneur.</w:t>
      </w:r>
    </w:p>
    <w:p w14:paraId="321708EA" w14:textId="77777777" w:rsidR="00DB2B68" w:rsidRDefault="00000000">
      <w:pPr>
        <w:pStyle w:val="pheading"/>
      </w:pPr>
      <w:r>
        <w:t>DOCUMENTS DE RÉFÉRENCE COMPLÉMENTAIRES</w:t>
      </w:r>
    </w:p>
    <w:p w14:paraId="38BDC19D" w14:textId="77777777" w:rsidR="00DB2B68" w:rsidRDefault="00000000">
      <w:pPr>
        <w:pStyle w:val="pheading"/>
      </w:pPr>
      <w:r>
        <w:t>- Matériau</w:t>
      </w:r>
    </w:p>
    <w:p w14:paraId="62B97E3F" w14:textId="77777777" w:rsidR="00DB2B68" w:rsidRDefault="00000000">
      <w:r>
        <w:t>[PTV 21-001, Eléments de maçonnerie en béton (granulats courants et légers) - Classification et spécifications d'application]</w:t>
      </w:r>
    </w:p>
    <w:p w14:paraId="012D2B68" w14:textId="77777777" w:rsidR="00DB2B68" w:rsidRDefault="00000000">
      <w:r>
        <w:t>[NBN EN 772-1+A1, Méthodes d'essai des éléments de maçonnerie - Partie 1: Détermination de la résistance à la compression]</w:t>
      </w:r>
    </w:p>
    <w:p w14:paraId="3CE6D334" w14:textId="77777777" w:rsidR="00DB2B68" w:rsidRDefault="0000000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7E4141FD" w14:textId="77777777" w:rsidR="00DB2B68" w:rsidRDefault="00000000">
      <w:r>
        <w:t>[NBN EN 772-13, Méthodes d'essai des éléments de maçonnerie - Partie 13: Détermination de la masse volumique absolue sèche et de la masse volumique apparente sèche des éléments de maçonnerie (excepté les pierres naturelles)]</w:t>
      </w:r>
    </w:p>
    <w:p w14:paraId="288D72E2" w14:textId="77777777" w:rsidR="00DB2B68" w:rsidRDefault="00000000">
      <w:r>
        <w:t>[NBN EN 772-14, Méthode d'essai pour des éléments de maçonnerie - Partie 14 : Détermination de la variation due à l'humidité des éléments de maçonnerie en béton de granulats et en pierre reconstituée]</w:t>
      </w:r>
    </w:p>
    <w:p w14:paraId="557D1833" w14:textId="77777777" w:rsidR="00DB2B68" w:rsidRDefault="00000000">
      <w:r>
        <w:t>[NBN EN ISO 12572, Performance hygrothermique des matériaux et produits pour le bâtiment - Détermination des propriétés de transmission de la vapeur d'eau - Méthode de la coupelle (ISO 12572:2016)]</w:t>
      </w:r>
    </w:p>
    <w:p w14:paraId="3B163D09" w14:textId="77777777" w:rsidR="00DB2B68" w:rsidRDefault="00000000">
      <w:r>
        <w:t>[NBN B 15-231, Essais des bétons - Gélivité]</w:t>
      </w:r>
    </w:p>
    <w:p w14:paraId="5F305A4F" w14:textId="77777777" w:rsidR="00DB2B68" w:rsidRDefault="00000000">
      <w:r>
        <w:t>[NBN EN 1015-10, Méthodes d'essai des mortiers pour la maçonnerie - Partie 10: Détermination de la masse volumique apparente sèche du mortier durci]</w:t>
      </w:r>
    </w:p>
    <w:p w14:paraId="5D0572F2" w14:textId="77777777" w:rsidR="00DB2B68" w:rsidRDefault="00000000">
      <w:r>
        <w:t>[NBN EN 1015-11, Méthodes d'essai des mortiers pour maçonnerie - Détermination de la résistance à la flexion et à la compression du mortier durci]</w:t>
      </w:r>
    </w:p>
    <w:p w14:paraId="35179D7C" w14:textId="77777777" w:rsidR="00DB2B68" w:rsidRDefault="00000000">
      <w:r>
        <w:t>[NBN EN 1015-18, Méthodes d'essai des mortiers pour maçonnerie - Partie 18: Détermination du coefficient d'absorption d'eau par capillarité du mortier durci]</w:t>
      </w:r>
    </w:p>
    <w:p w14:paraId="66016347" w14:textId="77777777" w:rsidR="00DB2B68" w:rsidRDefault="00000000">
      <w:r>
        <w:t>[NBN EN 1052-1, Méthodes d'essai de la maçonnerie - Partie 1: Détermination de la résistance à la compression]</w:t>
      </w:r>
    </w:p>
    <w:p w14:paraId="5E4A94B3" w14:textId="77777777" w:rsidR="00DB2B68" w:rsidRDefault="00000000">
      <w:r>
        <w:lastRenderedPageBreak/>
        <w:t>[NBN EN 1052-2, Méthodes d'essai de la maçonnerie - Partie 2: Détermination de la résistance à la flexion (Corrected version - 2017-03-22)]</w:t>
      </w:r>
    </w:p>
    <w:p w14:paraId="6E37852B" w14:textId="77777777" w:rsidR="00DB2B68" w:rsidRDefault="00000000">
      <w:r>
        <w:t>[NBN EN 1052-3, Méthodes d'essai de la maçonnerie - Partie 3: Détermination de la résistance initiale au cisaillement]</w:t>
      </w:r>
    </w:p>
    <w:p w14:paraId="62FCC345"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15DC29A0" w14:textId="77777777" w:rsidR="00DB2B68" w:rsidRDefault="00000000">
      <w:r>
        <w:t>[NBN EN 1365-1, Essais de résistance au feu des éléments porteurs - Partie 1: Murs (+ AC:2013)]</w:t>
      </w:r>
    </w:p>
    <w:p w14:paraId="3A35A6C2" w14:textId="77777777" w:rsidR="00DB2B68" w:rsidRDefault="00000000">
      <w:r>
        <w:t>[DIN 18945, Earth blocks - Requirements, test and labelling]</w:t>
      </w:r>
    </w:p>
    <w:p w14:paraId="374B2CD4" w14:textId="77777777" w:rsidR="00DB2B68" w:rsidRDefault="00000000">
      <w:r>
        <w:t>[DIN 18946, Earth masonry mortar - Requirements, test and labelling]</w:t>
      </w:r>
    </w:p>
    <w:p w14:paraId="5A039E60" w14:textId="77777777" w:rsidR="00DB2B68" w:rsidRDefault="00000000">
      <w:pPr>
        <w:pStyle w:val="pheading"/>
      </w:pPr>
      <w:r>
        <w:t>MESURAGE</w:t>
      </w:r>
    </w:p>
    <w:p w14:paraId="57DFAF27" w14:textId="77777777" w:rsidR="00DB2B68" w:rsidRDefault="00000000">
      <w:pPr>
        <w:pStyle w:val="pheading"/>
      </w:pPr>
      <w:r>
        <w:t>- unité de mesure:</w:t>
      </w:r>
    </w:p>
    <w:p w14:paraId="3B4F42AF" w14:textId="77777777" w:rsidR="00DB2B68" w:rsidRDefault="00000000">
      <w:r>
        <w:rPr>
          <w:rStyle w:val="optioncarChar"/>
        </w:rPr>
        <w:t>m³</w:t>
      </w:r>
      <w:r>
        <w:t xml:space="preserve"> (par défaut)</w:t>
      </w:r>
      <w:r>
        <w:rPr>
          <w:rStyle w:val="optioncarChar"/>
        </w:rPr>
        <w:t xml:space="preserve"> / m²</w:t>
      </w:r>
    </w:p>
    <w:p w14:paraId="6ABE1368" w14:textId="77777777" w:rsidR="00DB2B68" w:rsidRDefault="00000000">
      <w:r>
        <w:rPr>
          <w:b/>
          <w:i/>
        </w:rPr>
        <w:t>(Soit par défaut)</w:t>
      </w:r>
    </w:p>
    <w:p w14:paraId="18FB62D6" w14:textId="77777777" w:rsidR="00DB2B68" w:rsidRDefault="00000000">
      <w:r>
        <w:rPr>
          <w:rStyle w:val="soitChar"/>
        </w:rPr>
        <w:t>m³</w:t>
      </w:r>
      <w:r>
        <w:br/>
      </w:r>
      <w:r>
        <w:br/>
      </w:r>
      <w:r>
        <w:rPr>
          <w:b/>
          <w:i/>
        </w:rPr>
        <w:t>(Soit)</w:t>
      </w:r>
    </w:p>
    <w:p w14:paraId="7F0B6E5A" w14:textId="77777777" w:rsidR="00DB2B68" w:rsidRDefault="00000000">
      <w:r>
        <w:rPr>
          <w:rStyle w:val="soitChar"/>
        </w:rPr>
        <w:t>m²</w:t>
      </w:r>
    </w:p>
    <w:p w14:paraId="74955EE4" w14:textId="77777777" w:rsidR="00DB2B68" w:rsidRDefault="00000000">
      <w:pPr>
        <w:pStyle w:val="pheading"/>
      </w:pPr>
      <w:r>
        <w:t>- code de mesurage:</w:t>
      </w:r>
    </w:p>
    <w:p w14:paraId="216635C2"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92920BA"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9D963D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3D770D7" w14:textId="77777777" w:rsidR="00DB2B68" w:rsidRDefault="00000000">
      <w:r>
        <w:rPr>
          <w:rStyle w:val="optioncarChar"/>
        </w:rPr>
        <w:t>Volume net </w:t>
      </w:r>
      <w:r>
        <w:t>(par défaut)</w:t>
      </w:r>
      <w:r>
        <w:rPr>
          <w:rStyle w:val="optioncarChar"/>
        </w:rPr>
        <w:t> / Surface nette</w:t>
      </w:r>
    </w:p>
    <w:p w14:paraId="0B10C41F" w14:textId="77777777" w:rsidR="00DB2B68" w:rsidRDefault="00000000">
      <w:r>
        <w:rPr>
          <w:b/>
        </w:rPr>
        <w:t>(soit par défaut)</w:t>
      </w:r>
    </w:p>
    <w:p w14:paraId="1D408ED7"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0B47CB6" w14:textId="77777777" w:rsidR="00DB2B68" w:rsidRDefault="00000000">
      <w:r>
        <w:rPr>
          <w:b/>
        </w:rPr>
        <w:t>(soit)</w:t>
      </w:r>
    </w:p>
    <w:p w14:paraId="37212B35"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E8368F9" w14:textId="77777777" w:rsidR="00DB2B68" w:rsidRDefault="00DB2B68"/>
    <w:p w14:paraId="625ECE54" w14:textId="77777777" w:rsidR="00DB2B68" w:rsidRDefault="00000000">
      <w:pPr>
        <w:pStyle w:val="pheading"/>
      </w:pPr>
      <w:r>
        <w:t>- nature du marché:</w:t>
      </w:r>
    </w:p>
    <w:p w14:paraId="6A1E5D5B" w14:textId="77777777" w:rsidR="00DB2B68" w:rsidRDefault="00000000">
      <w:r>
        <w:t>QF</w:t>
      </w:r>
    </w:p>
    <w:p w14:paraId="29F05B07" w14:textId="77777777" w:rsidR="00DB2B68" w:rsidRDefault="00000000">
      <w:pPr>
        <w:pStyle w:val="Author-eSectionHeading4Numberless"/>
      </w:pPr>
      <w:bookmarkStart w:id="75" w:name="_Toc220495235"/>
      <w:r>
        <w:lastRenderedPageBreak/>
        <w:t>21.13 Maçonneries portantes en pierre CCTB 01.02</w:t>
      </w:r>
      <w:bookmarkEnd w:id="75"/>
    </w:p>
    <w:p w14:paraId="04E0F5C3" w14:textId="77777777" w:rsidR="00DB2B68" w:rsidRDefault="00000000">
      <w:pPr>
        <w:pStyle w:val="Author-eSectionHeading5Numberless"/>
      </w:pPr>
      <w:bookmarkStart w:id="76" w:name="455"/>
      <w:bookmarkStart w:id="77" w:name="_Toc220495236"/>
      <w:bookmarkEnd w:id="76"/>
      <w:r>
        <w:t>21.13.1 Maçonneries portantes en pierre de taille CCTB 01.02</w:t>
      </w:r>
      <w:bookmarkEnd w:id="77"/>
    </w:p>
    <w:p w14:paraId="4540E1A0" w14:textId="77777777" w:rsidR="00DB2B68" w:rsidRDefault="00000000">
      <w:pPr>
        <w:pStyle w:val="Author-eSectionHeading6Numberless"/>
      </w:pPr>
      <w:bookmarkStart w:id="78" w:name="_Toc220495237"/>
      <w:r>
        <w:t>21.13.1a Maçonneries portantes en petit granit - pierre bleue CCTB 01.04</w:t>
      </w:r>
      <w:bookmarkEnd w:id="78"/>
    </w:p>
    <w:p w14:paraId="651CA245" w14:textId="77777777" w:rsidR="00DB2B68" w:rsidRDefault="00000000">
      <w:pPr>
        <w:pStyle w:val="Author-eSectionHeading6Numberless"/>
      </w:pPr>
      <w:bookmarkStart w:id="79" w:name="_Toc220495238"/>
      <w:r>
        <w:t>21.13.1b Maçonneries portantes en pierre calcaire CCTB 01.04</w:t>
      </w:r>
      <w:bookmarkEnd w:id="79"/>
    </w:p>
    <w:p w14:paraId="168A2788" w14:textId="77777777" w:rsidR="00DB2B68" w:rsidRDefault="00000000">
      <w:pPr>
        <w:pStyle w:val="Author-eSectionHeading5Numberless"/>
      </w:pPr>
      <w:bookmarkStart w:id="80" w:name="_Toc220495239"/>
      <w:r>
        <w:t>21.13.2 Maçonneries portantes en moellons de pierre calcaire CCTB 01.02</w:t>
      </w:r>
      <w:bookmarkEnd w:id="80"/>
    </w:p>
    <w:p w14:paraId="4D1B468D" w14:textId="77777777" w:rsidR="00DB2B68" w:rsidRDefault="00000000">
      <w:pPr>
        <w:pStyle w:val="Author-eSectionHeading6Numberless"/>
      </w:pPr>
      <w:bookmarkStart w:id="81" w:name="_Toc220495240"/>
      <w:r>
        <w:t>21.13.2a Maçonneries portantes en moellons de pierre bleue CCTB 01.04</w:t>
      </w:r>
      <w:bookmarkEnd w:id="81"/>
    </w:p>
    <w:p w14:paraId="2A6E6744" w14:textId="77777777" w:rsidR="00DB2B68" w:rsidRDefault="00000000">
      <w:pPr>
        <w:pStyle w:val="Author-eSectionHeading6Numberless"/>
      </w:pPr>
      <w:bookmarkStart w:id="82" w:name="_Toc220495241"/>
      <w:r>
        <w:t>21.13.2b Maçonneries portantes en moellons de pierre blanche CCTB 01.04</w:t>
      </w:r>
      <w:bookmarkEnd w:id="82"/>
    </w:p>
    <w:p w14:paraId="687C5F96" w14:textId="77777777" w:rsidR="00DB2B68" w:rsidRDefault="00000000">
      <w:pPr>
        <w:pStyle w:val="Author-eSectionHeading6Numberless"/>
      </w:pPr>
      <w:bookmarkStart w:id="83" w:name="_Toc220495242"/>
      <w:r>
        <w:t>21.13.2c Maçonneries portantes en moellons de marbre CCTB 01.04</w:t>
      </w:r>
      <w:bookmarkEnd w:id="83"/>
    </w:p>
    <w:p w14:paraId="066BED10" w14:textId="77777777" w:rsidR="00DB2B68" w:rsidRDefault="00000000">
      <w:pPr>
        <w:pStyle w:val="Author-eSectionHeading5Numberless"/>
      </w:pPr>
      <w:bookmarkStart w:id="84" w:name="_Toc220495243"/>
      <w:r>
        <w:t>21.13.3 Maçonneries portantes en moellons de pierres siliceuses CCTB 01.02</w:t>
      </w:r>
      <w:bookmarkEnd w:id="84"/>
    </w:p>
    <w:p w14:paraId="7572440B" w14:textId="77777777" w:rsidR="00DB2B68" w:rsidRDefault="00000000">
      <w:pPr>
        <w:pStyle w:val="Author-eSectionHeading6Numberless"/>
      </w:pPr>
      <w:bookmarkStart w:id="85" w:name="_Toc220495244"/>
      <w:r>
        <w:t>21.13.3a Maçonneries portantes en moellons d'arkose CCTB 01.04</w:t>
      </w:r>
      <w:bookmarkEnd w:id="85"/>
    </w:p>
    <w:p w14:paraId="3BA953E8" w14:textId="77777777" w:rsidR="00DB2B68" w:rsidRDefault="00000000">
      <w:pPr>
        <w:pStyle w:val="Author-eSectionHeading6Numberless"/>
      </w:pPr>
      <w:bookmarkStart w:id="86" w:name="_Toc220495245"/>
      <w:r>
        <w:t>21.13.3b Maçonneries portantes en moellons de schiste CCTB 01.04</w:t>
      </w:r>
      <w:bookmarkEnd w:id="86"/>
    </w:p>
    <w:p w14:paraId="6A04B323" w14:textId="77777777" w:rsidR="00DB2B68" w:rsidRDefault="00000000">
      <w:pPr>
        <w:pStyle w:val="Author-eSectionHeading6Numberless"/>
      </w:pPr>
      <w:bookmarkStart w:id="87" w:name="_Toc220495246"/>
      <w:r>
        <w:t>21.13.3c Maçonneries portantes en moellons de grès CCTB 01.02</w:t>
      </w:r>
      <w:bookmarkEnd w:id="87"/>
    </w:p>
    <w:p w14:paraId="515926F9" w14:textId="77777777" w:rsidR="00DB2B68" w:rsidRDefault="00000000">
      <w:pPr>
        <w:pStyle w:val="Author-eSectionHeading6Numberless"/>
      </w:pPr>
      <w:bookmarkStart w:id="88" w:name="_Toc220495247"/>
      <w:r>
        <w:t>21.13.3d Maçonneries portantes en moellons de quartzite CCTB 01.04</w:t>
      </w:r>
      <w:bookmarkEnd w:id="88"/>
    </w:p>
    <w:p w14:paraId="6438EF74" w14:textId="77777777" w:rsidR="00DB2B68" w:rsidRDefault="00000000">
      <w:pPr>
        <w:pStyle w:val="Author-eSectionHeading6Numberless"/>
      </w:pPr>
      <w:bookmarkStart w:id="89" w:name="_Toc220495248"/>
      <w:r>
        <w:t>21.13.3e Maçonneries portantes en moellons de silex CCTB 01.04</w:t>
      </w:r>
      <w:bookmarkEnd w:id="89"/>
    </w:p>
    <w:p w14:paraId="77471C8A" w14:textId="77777777" w:rsidR="00DB2B68" w:rsidRDefault="00000000">
      <w:pPr>
        <w:pStyle w:val="Author-eSectionHeading4Numberless"/>
      </w:pPr>
      <w:bookmarkStart w:id="90" w:name="_Toc220495249"/>
      <w:r>
        <w:t>21.14 Maçonneries portantes en grands éléments CCTB 01.04</w:t>
      </w:r>
      <w:bookmarkEnd w:id="90"/>
    </w:p>
    <w:p w14:paraId="7E1ECD72" w14:textId="77777777" w:rsidR="00DB2B68" w:rsidRDefault="00000000">
      <w:pPr>
        <w:pStyle w:val="Author-eSectionHeading5Numberless"/>
      </w:pPr>
      <w:bookmarkStart w:id="91" w:name="456"/>
      <w:bookmarkStart w:id="92" w:name="_Toc220495250"/>
      <w:bookmarkEnd w:id="91"/>
      <w:r>
        <w:t>21.14.1 Maçonneries portantes en éléments de grand format CCTB 01.11</w:t>
      </w:r>
      <w:bookmarkEnd w:id="92"/>
    </w:p>
    <w:p w14:paraId="7EBC7D3B" w14:textId="77777777" w:rsidR="00DB2B68" w:rsidRDefault="00000000">
      <w:pPr>
        <w:pStyle w:val="pheading"/>
      </w:pPr>
      <w:bookmarkStart w:id="93" w:name="375"/>
      <w:bookmarkEnd w:id="93"/>
      <w:r>
        <w:t>MATÉRIAUX</w:t>
      </w:r>
    </w:p>
    <w:p w14:paraId="201D3327" w14:textId="77777777" w:rsidR="00DB2B68" w:rsidRDefault="00000000">
      <w:r>
        <w:t>Il s'agit des grands éléments de construction en silico-calcaire, qui répondent à la norme [NBN EN 771-2+A1] et au [PTV 21-003]. L'entrepreneur soumet un échantillon, la fiche technique et la déclaration des performances (DoP) du matériau pour approbation à l'auteur de projet et au maître de l’ouvrage</w:t>
      </w:r>
    </w:p>
    <w:p w14:paraId="1B40163E" w14:textId="77777777" w:rsidR="00DB2B68" w:rsidRDefault="00000000">
      <w:pPr>
        <w:pStyle w:val="pheading"/>
      </w:pPr>
      <w:r>
        <w:t>EXÉCUTION / MISE EN ŒUVRE</w:t>
      </w:r>
    </w:p>
    <w:p w14:paraId="04A20F69" w14:textId="77777777" w:rsidR="00DB2B68" w:rsidRDefault="00000000">
      <w:r>
        <w:rPr>
          <w:u w:val="single"/>
        </w:rPr>
        <w:t>-Prescriptions générales</w:t>
      </w:r>
    </w:p>
    <w:p w14:paraId="5835DC2D" w14:textId="77777777" w:rsidR="00DB2B68" w:rsidRDefault="00000000">
      <w:r>
        <w:t xml:space="preserve">Eléments en silico-calcaire à utiliser : </w:t>
      </w:r>
      <w:r>
        <w:rPr>
          <w:rStyle w:val="optioncarChar"/>
        </w:rPr>
        <w:t>U (maçonnerie non protégée) / P (maçonnerie protégée)</w:t>
      </w:r>
    </w:p>
    <w:p w14:paraId="254C8A8F" w14:textId="77777777" w:rsidR="00DB2B68" w:rsidRDefault="00000000">
      <w:r>
        <w:t>Conformément au mode de mise en œuvre, les grands éléments de construction en silico-calcaire sont collés à l’aide d’un mortier-colle selon les indications du fabricant des grands éléments et des notes de calcul du bureau d’études.</w:t>
      </w:r>
    </w:p>
    <w:p w14:paraId="046C4C1F" w14:textId="77777777" w:rsidR="00DB2B68" w:rsidRDefault="00000000">
      <w:r>
        <w:t xml:space="preserve">Le mortier à coller (selon la norme [NBN EN 998-2] et le règlement d’application [TRA 651]) répond à la catégorie : </w:t>
      </w:r>
      <w:r>
        <w:rPr>
          <w:rStyle w:val="optioncarChar"/>
        </w:rPr>
        <w:t>M5 / M10 </w:t>
      </w:r>
      <w:r>
        <w:rPr>
          <w:rStyle w:val="optioncarChar"/>
          <w:color w:val="000000"/>
        </w:rPr>
        <w:t>(par défaut)</w:t>
      </w:r>
      <w:r>
        <w:rPr>
          <w:rStyle w:val="optioncarChar"/>
        </w:rPr>
        <w:t xml:space="preserve"> / M15 / M20 / ***</w:t>
      </w:r>
    </w:p>
    <w:p w14:paraId="49B0EF44" w14:textId="77777777" w:rsidR="00DB2B68" w:rsidRDefault="00000000">
      <w:r>
        <w:t xml:space="preserve">L'épaisseur des joints est d'au moins </w:t>
      </w:r>
      <w:r>
        <w:rPr>
          <w:rStyle w:val="optioncarChar"/>
        </w:rPr>
        <w:t xml:space="preserve">2 </w:t>
      </w:r>
      <w:r>
        <w:t>(par défaut) </w:t>
      </w:r>
      <w:r>
        <w:rPr>
          <w:rStyle w:val="optioncarChar"/>
        </w:rPr>
        <w:t>/ ***</w:t>
      </w:r>
      <w:r>
        <w:t xml:space="preserve"> mm (tolérances suivant la [NIT 208])</w:t>
      </w:r>
      <w:r>
        <w:br/>
      </w:r>
      <w:r>
        <w:br/>
        <w:t>Eléments de liaison et d'ancrage :</w:t>
      </w:r>
    </w:p>
    <w:p w14:paraId="23D7F1C6" w14:textId="77777777" w:rsidR="00DB2B68"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2E630C40" w14:textId="77777777" w:rsidR="00DB2B68" w:rsidRDefault="00000000">
      <w:r>
        <w:lastRenderedPageBreak/>
        <w:t xml:space="preserve">Isolation contre l'humidité : membranes en </w:t>
      </w:r>
      <w:r>
        <w:rPr>
          <w:rStyle w:val="optioncarChar"/>
        </w:rPr>
        <w:t xml:space="preserve">PE </w:t>
      </w:r>
      <w:r>
        <w:t>(par défaut) </w:t>
      </w:r>
      <w:r>
        <w:rPr>
          <w:rStyle w:val="optioncarChar"/>
        </w:rPr>
        <w:t>/ ***</w:t>
      </w:r>
      <w:r>
        <w:t xml:space="preserve"> conformément à l'article </w:t>
      </w:r>
      <w:hyperlink w:anchor="356" w:history="1">
        <w:r>
          <w:rPr>
            <w:color w:val="0000EE"/>
          </w:rPr>
          <w:t>26.11 Feuilles et membranes d'étanchéité à l'eau</w:t>
        </w:r>
      </w:hyperlink>
      <w:r>
        <w:t xml:space="preserve">. </w:t>
      </w:r>
      <w:r>
        <w:br/>
      </w:r>
      <w:r>
        <w:br/>
      </w:r>
      <w:r>
        <w:rPr>
          <w:u w:val="single"/>
        </w:rPr>
        <w:t>-Notes d'exécution complémentaires</w:t>
      </w:r>
    </w:p>
    <w:p w14:paraId="28D9CC7E" w14:textId="77777777" w:rsidR="00DB2B68" w:rsidRDefault="00000000">
      <w:r>
        <w:t>Pour les maçonneries destinées à rester apparentes, seuls des grands éléments non endommagés sont utilisés.</w:t>
      </w:r>
    </w:p>
    <w:p w14:paraId="4686BE10"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3A363FCF"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p>
    <w:p w14:paraId="4E3AB36D"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3D024486" w14:textId="77777777" w:rsidR="00DB2B68"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 ***</w:t>
      </w:r>
      <w:r>
        <w:t xml:space="preserve"> mm</w:t>
      </w:r>
    </w:p>
    <w:p w14:paraId="1B0BA00C" w14:textId="77777777" w:rsidR="00DB2B68" w:rsidRDefault="00000000">
      <w:r>
        <w:t>Linteaux :</w:t>
      </w:r>
      <w:r>
        <w:rPr>
          <w:rStyle w:val="optioncarChar"/>
        </w:rPr>
        <w:t xml:space="preserve"> ***</w:t>
      </w:r>
      <w:r>
        <w:t xml:space="preserve"> conformément à l’article </w:t>
      </w:r>
      <w:hyperlink w:anchor="360" w:history="1">
        <w:r>
          <w:rPr>
            <w:color w:val="0000EE"/>
          </w:rPr>
          <w:t>22.13 Linteaux en béton</w:t>
        </w:r>
      </w:hyperlink>
    </w:p>
    <w:p w14:paraId="2807BE42" w14:textId="77777777" w:rsidR="00DB2B68" w:rsidRDefault="00000000">
      <w:pPr>
        <w:ind w:left="750"/>
      </w:pPr>
      <w:r>
        <w:t> </w:t>
      </w:r>
    </w:p>
    <w:p w14:paraId="4C1AB1E8" w14:textId="77777777" w:rsidR="00DB2B68" w:rsidRDefault="00000000">
      <w:pPr>
        <w:pStyle w:val="pheading"/>
      </w:pPr>
      <w:r>
        <w:t>AIDE</w:t>
      </w:r>
    </w:p>
    <w:p w14:paraId="3727F982" w14:textId="77777777" w:rsidR="00DB2B68" w:rsidRDefault="00000000">
      <w:r>
        <w:t>Note à l'attention de l'auteur du projet : pour le choix adéquat du mortier, se référer à la [STS 22 série].</w:t>
      </w:r>
    </w:p>
    <w:p w14:paraId="139BBD1B" w14:textId="77777777" w:rsidR="00DB2B68" w:rsidRDefault="00000000">
      <w:pPr>
        <w:pStyle w:val="Author-eSectionHeading6Numberless"/>
      </w:pPr>
      <w:bookmarkStart w:id="94" w:name="_Toc220495251"/>
      <w:r>
        <w:t>21.14.1a Maçonneries portantes en éléments de grand format de silico-calcaire CCTB 01.12</w:t>
      </w:r>
      <w:bookmarkEnd w:id="94"/>
    </w:p>
    <w:p w14:paraId="58B27638" w14:textId="77777777" w:rsidR="00DB2B68" w:rsidRDefault="00000000">
      <w:pPr>
        <w:pStyle w:val="pheading"/>
      </w:pPr>
      <w:r>
        <w:t>DESCRIPTION</w:t>
      </w:r>
    </w:p>
    <w:p w14:paraId="516E3223" w14:textId="77777777" w:rsidR="00DB2B68" w:rsidRDefault="00000000">
      <w:pPr>
        <w:pStyle w:val="pheading"/>
      </w:pPr>
      <w:r>
        <w:t>- Définition / Comprend</w:t>
      </w:r>
    </w:p>
    <w:p w14:paraId="0B8642DB" w14:textId="77777777" w:rsidR="00DB2B68" w:rsidRDefault="00000000">
      <w:r>
        <w:t xml:space="preserve">Il s’agit de la fourniture et la pose de maçonneries portantes en éléments de grand format de silico-calcaire. </w:t>
      </w:r>
      <w:r>
        <w:br/>
        <w:t xml:space="preserve">La portée des travaux est décrite dans l’article </w:t>
      </w:r>
      <w:hyperlink w:anchor="375" w:history="1">
        <w:r>
          <w:rPr>
            <w:color w:val="0000EE"/>
          </w:rPr>
          <w:t>21.14.1 Maçonneries portantes en éléments de grand format</w:t>
        </w:r>
      </w:hyperlink>
      <w:r>
        <w:t>.</w:t>
      </w:r>
      <w:r>
        <w:br/>
        <w:t>Les travaux comprennent également la fourniture et la pose des pièces d’angle, de terminaison et de rencontre.</w:t>
      </w:r>
    </w:p>
    <w:p w14:paraId="38BF92BE" w14:textId="77777777" w:rsidR="00DB2B68" w:rsidRDefault="00000000">
      <w:pPr>
        <w:pStyle w:val="pheading"/>
      </w:pPr>
      <w:r>
        <w:t>- Localisation</w:t>
      </w:r>
    </w:p>
    <w:p w14:paraId="286D4BEE" w14:textId="77777777" w:rsidR="00DB2B68" w:rsidRDefault="00000000">
      <w:r>
        <w:t xml:space="preserve">La pose est réalisée aux endroits suivants : </w:t>
      </w:r>
      <w:r>
        <w:rPr>
          <w:rStyle w:val="optioncarChar"/>
        </w:rPr>
        <w:t>***</w:t>
      </w:r>
      <w:r>
        <w:t>.</w:t>
      </w:r>
      <w:r>
        <w:br/>
        <w:t>Voir plans et métrés détaillés.</w:t>
      </w:r>
    </w:p>
    <w:p w14:paraId="0406B930" w14:textId="77777777" w:rsidR="00DB2B68" w:rsidRDefault="00000000">
      <w:pPr>
        <w:pStyle w:val="pheading"/>
      </w:pPr>
      <w:r>
        <w:t>MATÉRIAUX</w:t>
      </w:r>
    </w:p>
    <w:p w14:paraId="10FB241B" w14:textId="77777777" w:rsidR="00DB2B68" w:rsidRDefault="00000000">
      <w:pPr>
        <w:pStyle w:val="pheading"/>
      </w:pPr>
      <w:r>
        <w:t>- Caractéristiques générales</w:t>
      </w:r>
    </w:p>
    <w:p w14:paraId="0DA4E618" w14:textId="77777777" w:rsidR="00DB2B68" w:rsidRDefault="00000000">
      <w:r>
        <w:rPr>
          <w:rStyle w:val="headingChar"/>
        </w:rPr>
        <w:t>Spécifications</w:t>
      </w:r>
    </w:p>
    <w:p w14:paraId="0A1BE8BC" w14:textId="77777777" w:rsidR="00DB2B68" w:rsidRDefault="00000000">
      <w:r>
        <w:t>En ce qui concerne la déclaration de la résistance à la compression, les grands éléments sont de catégorie I (la résistance à la compression est déclarée avec une fiabilité de 95%).</w:t>
      </w:r>
      <w:r>
        <w:br/>
      </w:r>
      <w:r>
        <w:br/>
        <w:t>Les grands éléments en silico-calcaire sont de classe d’usage :</w:t>
      </w:r>
      <w:r>
        <w:rPr>
          <w:rStyle w:val="optioncarChar"/>
        </w:rPr>
        <w:t xml:space="preserve"> A1 / A2 / B1 / B2 / C / D</w:t>
      </w:r>
      <w:r>
        <w:br/>
      </w:r>
      <w:r>
        <w:br/>
        <w:t xml:space="preserve">La classe de qualité suivant [PTV 21-003] est : </w:t>
      </w:r>
      <w:r>
        <w:rPr>
          <w:rStyle w:val="optioncarChar"/>
        </w:rPr>
        <w:t>20/1,8 </w:t>
      </w:r>
      <w:r>
        <w:t xml:space="preserve">(par défaut) </w:t>
      </w:r>
      <w:r>
        <w:rPr>
          <w:rStyle w:val="optioncarChar"/>
        </w:rPr>
        <w:t>/ ***</w:t>
      </w:r>
      <w:r>
        <w:br/>
      </w:r>
      <w:r>
        <w:br/>
        <w:t>La résistance en compression normalisée (f</w:t>
      </w:r>
      <w:r>
        <w:rPr>
          <w:vertAlign w:val="subscript"/>
        </w:rPr>
        <w:t>b</w:t>
      </w:r>
      <w:r>
        <w:t xml:space="preserve">) suivant [NBN EN 1996 série] est au minimum: </w:t>
      </w:r>
      <w:r>
        <w:rPr>
          <w:rStyle w:val="optioncarChar"/>
        </w:rPr>
        <w:t>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 xml:space="preserve">(par défaut) </w:t>
      </w:r>
      <w:r>
        <w:rPr>
          <w:rStyle w:val="optioncarChar"/>
        </w:rPr>
        <w:t>/ ***</w:t>
      </w:r>
      <w:r>
        <w:br/>
      </w:r>
      <w:r>
        <w:br/>
      </w:r>
      <w:r>
        <w:lastRenderedPageBreak/>
        <w:t xml:space="preserve">La masse volumique sèche apparente des blocs ρ (rho) est : 1800 kg/m³ (éléments pleins),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 xml:space="preserve">Format : (L x l x h) : </w:t>
      </w:r>
      <w:r>
        <w:rPr>
          <w:rStyle w:val="optioncarChar"/>
        </w:rPr>
        <w:t> format modulaire proposé par l'entrepreneur</w:t>
      </w:r>
      <w:r>
        <w:t> (par défaut) </w:t>
      </w:r>
      <w:r>
        <w:rPr>
          <w:rStyle w:val="optioncarChar"/>
        </w:rPr>
        <w:t>/ (900 / *** </w:t>
      </w:r>
      <w:r>
        <w:t>x</w:t>
      </w:r>
      <w:r>
        <w:rPr>
          <w:rStyle w:val="optioncarChar"/>
        </w:rPr>
        <w:t> 600 / ***</w:t>
      </w:r>
      <w:r>
        <w:t> x</w:t>
      </w:r>
      <w:r>
        <w:rPr>
          <w:rStyle w:val="optioncarChar"/>
        </w:rPr>
        <w:t> 150 / 175 / 214 / 240 / 300 / ***</w:t>
      </w:r>
      <w:r>
        <w:t> ) mm</w:t>
      </w:r>
    </w:p>
    <w:p w14:paraId="6BBC28BF" w14:textId="77777777" w:rsidR="00DB2B68" w:rsidRDefault="00000000">
      <w: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code </w:t>
      </w:r>
      <w:r>
        <w:rPr>
          <w:rStyle w:val="optioncarChar"/>
        </w:rPr>
        <w:t>A1 (exposé décoratif) / A2 (exposé) </w:t>
      </w:r>
      <w:r>
        <w:t>(par défaut)</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2C7406EC" w14:textId="77777777" w:rsidR="00DB2B68" w:rsidRDefault="00000000">
      <w:r>
        <w:t>Coefficient de transmission :</w:t>
      </w:r>
    </w:p>
    <w:p w14:paraId="7A3A55FC" w14:textId="77777777" w:rsidR="00DB2B68" w:rsidRDefault="00000000">
      <w:pPr>
        <w:pStyle w:val="Author-eListParagraph"/>
        <w:numPr>
          <w:ilvl w:val="0"/>
          <w:numId w:val="135"/>
        </w:numPr>
      </w:pPr>
      <w:r>
        <w:t xml:space="preserve">valeur U minimale de </w:t>
      </w:r>
      <w:r>
        <w:rPr>
          <w:rStyle w:val="optioncarChar"/>
        </w:rPr>
        <w:t>***</w:t>
      </w:r>
      <w:r>
        <w:t xml:space="preserve"> W/m²K</w:t>
      </w:r>
    </w:p>
    <w:p w14:paraId="2B01A4FA" w14:textId="77777777" w:rsidR="00DB2B68" w:rsidRDefault="00000000">
      <w:pPr>
        <w:pStyle w:val="Author-eListParagraph"/>
        <w:numPr>
          <w:ilvl w:val="0"/>
          <w:numId w:val="13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922CB2E" w14:textId="77777777" w:rsidR="00DB2B68" w:rsidRDefault="00000000">
      <w:r>
        <w:br/>
        <w:t>Résistance au feu :</w:t>
      </w:r>
    </w:p>
    <w:p w14:paraId="46D9A509" w14:textId="77777777" w:rsidR="00DB2B68" w:rsidRDefault="00000000">
      <w:pPr>
        <w:pStyle w:val="Author-eListParagraph"/>
        <w:numPr>
          <w:ilvl w:val="0"/>
          <w:numId w:val="13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269D37E4" w14:textId="77777777" w:rsidR="00DB2B68" w:rsidRDefault="00000000">
      <w:pPr>
        <w:pStyle w:val="Author-eListParagraph"/>
        <w:numPr>
          <w:ilvl w:val="0"/>
          <w:numId w:val="136"/>
        </w:numPr>
      </w:pPr>
      <w:r>
        <w:t xml:space="preserve">pour les éléments porteurs structurels avec fonction séparante : </w:t>
      </w:r>
      <w:r>
        <w:rPr>
          <w:rStyle w:val="optioncarChar"/>
        </w:rPr>
        <w:t>REI30</w:t>
      </w:r>
      <w:r>
        <w:t> (par défaut)</w:t>
      </w:r>
      <w:r>
        <w:rPr>
          <w:rStyle w:val="optioncarChar"/>
        </w:rPr>
        <w:t xml:space="preserve"> / REI60 / REI90 / REI120 / REI***</w:t>
      </w:r>
    </w:p>
    <w:p w14:paraId="7875F5B3" w14:textId="77777777" w:rsidR="00DB2B68" w:rsidRDefault="00000000">
      <w:r>
        <w:t>selon les tableaux dans [NBN EN 1996-1-2 ANB].</w:t>
      </w:r>
    </w:p>
    <w:p w14:paraId="605FC5FE" w14:textId="77777777" w:rsidR="00DB2B68" w:rsidRDefault="00000000">
      <w:pPr>
        <w:ind w:left="750"/>
      </w:pPr>
      <w:r>
        <w:t> </w:t>
      </w:r>
    </w:p>
    <w:p w14:paraId="553B85C0" w14:textId="77777777" w:rsidR="00DB2B68" w:rsidRDefault="00000000">
      <w:pPr>
        <w:pStyle w:val="pheading"/>
      </w:pPr>
      <w:r>
        <w:t>- Finitions</w:t>
      </w:r>
    </w:p>
    <w:p w14:paraId="678706D7" w14:textId="77777777" w:rsidR="00DB2B68" w:rsidRDefault="00000000">
      <w:pPr>
        <w:pStyle w:val="Author-eListParagraph"/>
        <w:numPr>
          <w:ilvl w:val="0"/>
          <w:numId w:val="137"/>
        </w:numPr>
      </w:pPr>
      <w:r>
        <w:t>Les faces de murs suivantes sont exécutées comme maçonneries apparentes et sont</w:t>
      </w:r>
      <w:r>
        <w:rPr>
          <w:rStyle w:val="optioncarChar"/>
          <w:color w:val="000000"/>
        </w:rPr>
        <w:t xml:space="preserve"> rejointoyées </w:t>
      </w:r>
      <w:r>
        <w:t xml:space="preserve">selon </w:t>
      </w:r>
      <w:hyperlink w:anchor="346" w:history="1">
        <w:r>
          <w:rPr>
            <w:color w:val="0000EE"/>
          </w:rPr>
          <w:t>21.61.1b Joints de maçonnerie apparente</w:t>
        </w:r>
      </w:hyperlink>
      <w:r>
        <w:t xml:space="preserve"> : </w:t>
      </w:r>
      <w:r>
        <w:rPr>
          <w:rStyle w:val="optioncarChar"/>
        </w:rPr>
        <w:t>***</w:t>
      </w:r>
    </w:p>
    <w:p w14:paraId="421E5C1E" w14:textId="77777777" w:rsidR="00DB2B68" w:rsidRDefault="00000000">
      <w:pPr>
        <w:pStyle w:val="Author-eListParagraph"/>
        <w:numPr>
          <w:ilvl w:val="0"/>
          <w:numId w:val="137"/>
        </w:numPr>
      </w:pPr>
      <w:r>
        <w:t xml:space="preserve">Les murs suivants sont exécutés avec une face restant apparente : </w:t>
      </w:r>
      <w:r>
        <w:rPr>
          <w:rStyle w:val="optioncarChar"/>
        </w:rPr>
        <w:t>***</w:t>
      </w:r>
    </w:p>
    <w:p w14:paraId="21C0C7F6" w14:textId="77777777" w:rsidR="00DB2B68" w:rsidRDefault="00000000">
      <w:pPr>
        <w:pStyle w:val="Author-eListParagraph"/>
        <w:numPr>
          <w:ilvl w:val="0"/>
          <w:numId w:val="137"/>
        </w:numPr>
      </w:pPr>
      <w:r>
        <w:t xml:space="preserve">Les murs suivants sont exécutés avec deux faces restant apparentes : </w:t>
      </w:r>
      <w:r>
        <w:rPr>
          <w:rStyle w:val="optioncarChar"/>
        </w:rPr>
        <w:t>***</w:t>
      </w:r>
    </w:p>
    <w:p w14:paraId="7BC3F2C5" w14:textId="77777777" w:rsidR="00DB2B68" w:rsidRDefault="00000000">
      <w:pPr>
        <w:ind w:left="750"/>
      </w:pPr>
      <w:r>
        <w:t> </w:t>
      </w:r>
    </w:p>
    <w:p w14:paraId="27455792" w14:textId="77777777" w:rsidR="00DB2B68" w:rsidRDefault="00000000">
      <w:pPr>
        <w:ind w:left="750"/>
      </w:pPr>
      <w:r>
        <w:t> </w:t>
      </w:r>
    </w:p>
    <w:p w14:paraId="2A3D3403" w14:textId="77777777" w:rsidR="00DB2B68" w:rsidRDefault="00000000">
      <w:pPr>
        <w:pStyle w:val="pheading"/>
      </w:pPr>
      <w:r>
        <w:t>EXÉCUTION / MISE EN ŒUVRE</w:t>
      </w:r>
    </w:p>
    <w:p w14:paraId="090124DE" w14:textId="77777777" w:rsidR="00DB2B68" w:rsidRDefault="00000000">
      <w:pPr>
        <w:pStyle w:val="pheading"/>
      </w:pPr>
      <w:r>
        <w:t>- Prescriptions générales</w:t>
      </w:r>
    </w:p>
    <w:p w14:paraId="0BF020F5" w14:textId="77777777" w:rsidR="00DB2B68" w:rsidRDefault="00000000">
      <w:r>
        <w:t xml:space="preserve">On utilise des éléments à assemblage à rainure et languette à assembler par collage, longueur </w:t>
      </w:r>
      <w:r>
        <w:rPr>
          <w:rStyle w:val="optioncarChar"/>
        </w:rPr>
        <w:t>90 </w:t>
      </w:r>
      <w:r>
        <w:t>(par défaut)</w:t>
      </w:r>
      <w:r>
        <w:rPr>
          <w:rStyle w:val="optioncarChar"/>
        </w:rPr>
        <w:t xml:space="preserve"> / ***</w:t>
      </w:r>
      <w:r>
        <w:t xml:space="preserve"> cm hauteur </w:t>
      </w:r>
      <w:r>
        <w:rPr>
          <w:rStyle w:val="optioncarChar"/>
        </w:rPr>
        <w:t>60</w:t>
      </w:r>
      <w:r>
        <w:t> (par défaut)</w:t>
      </w:r>
      <w:r>
        <w:rPr>
          <w:rStyle w:val="optioncarChar"/>
        </w:rPr>
        <w:t xml:space="preserve"> / ***</w:t>
      </w:r>
      <w:r>
        <w:t xml:space="preserve"> cm. Ils sont livrés sur le chantier prêts à poser, y compris les pièces d'ajustage (droites, obliques, …), selon le calepinage des murs préalablement approuvé. La mise en œuvre s'effectue selon les prescriptions du fabricant. Les murs qui se </w:t>
      </w:r>
      <w:r>
        <w:lastRenderedPageBreak/>
        <w:t>recoupent ne doivent pas être maçonnés en appareil, on peut faire usage de bandes de liaisons encollées qui donnent un résultat identique.</w:t>
      </w:r>
    </w:p>
    <w:p w14:paraId="162D1559" w14:textId="77777777" w:rsidR="00DB2B68" w:rsidRDefault="00000000">
      <w:pPr>
        <w:ind w:left="750"/>
      </w:pPr>
      <w:r>
        <w:t> </w:t>
      </w:r>
    </w:p>
    <w:p w14:paraId="5A98AF9A" w14:textId="77777777" w:rsidR="00DB2B68" w:rsidRDefault="00000000">
      <w:pPr>
        <w:pStyle w:val="pheading"/>
      </w:pPr>
      <w:r>
        <w:t>MESURAGE</w:t>
      </w:r>
    </w:p>
    <w:p w14:paraId="2E959098" w14:textId="77777777" w:rsidR="00DB2B68" w:rsidRDefault="00000000">
      <w:pPr>
        <w:pStyle w:val="pheading"/>
      </w:pPr>
      <w:r>
        <w:t>- unité de mesure:</w:t>
      </w:r>
    </w:p>
    <w:p w14:paraId="3AD8F567" w14:textId="77777777" w:rsidR="00DB2B68" w:rsidRDefault="00000000">
      <w:r>
        <w:rPr>
          <w:rStyle w:val="optioncarChar"/>
        </w:rPr>
        <w:t>m³ </w:t>
      </w:r>
      <w:r>
        <w:t>(par défaut)</w:t>
      </w:r>
      <w:r>
        <w:rPr>
          <w:rStyle w:val="optioncarChar"/>
        </w:rPr>
        <w:t> / m²</w:t>
      </w:r>
    </w:p>
    <w:p w14:paraId="304B569F" w14:textId="77777777" w:rsidR="00DB2B68" w:rsidRDefault="00000000">
      <w:r>
        <w:rPr>
          <w:b/>
        </w:rPr>
        <w:t>(soit par défaut)</w:t>
      </w:r>
    </w:p>
    <w:p w14:paraId="5546E24F" w14:textId="77777777" w:rsidR="00DB2B68" w:rsidRDefault="00000000">
      <w:r>
        <w:rPr>
          <w:rStyle w:val="soitChar"/>
        </w:rPr>
        <w:t>1. m³</w:t>
      </w:r>
    </w:p>
    <w:p w14:paraId="1B64D4A8" w14:textId="77777777" w:rsidR="00DB2B68" w:rsidRDefault="00000000">
      <w:r>
        <w:rPr>
          <w:b/>
        </w:rPr>
        <w:t>(soit)</w:t>
      </w:r>
    </w:p>
    <w:p w14:paraId="063EF059" w14:textId="77777777" w:rsidR="00DB2B68" w:rsidRDefault="00000000">
      <w:r>
        <w:rPr>
          <w:rStyle w:val="soitChar"/>
        </w:rPr>
        <w:t>2. m²</w:t>
      </w:r>
    </w:p>
    <w:p w14:paraId="37974C77" w14:textId="77777777" w:rsidR="00DB2B68" w:rsidRDefault="00000000">
      <w:pPr>
        <w:pStyle w:val="pheading"/>
      </w:pPr>
      <w:r>
        <w:t>- code de mesurage:</w:t>
      </w:r>
    </w:p>
    <w:p w14:paraId="425D4BAB"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02CC22E"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022172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6DE4493" w14:textId="77777777" w:rsidR="00DB2B68" w:rsidRDefault="00000000">
      <w:r>
        <w:rPr>
          <w:rStyle w:val="optioncarChar"/>
        </w:rPr>
        <w:t>Volume net </w:t>
      </w:r>
      <w:r>
        <w:t>(par défaut)</w:t>
      </w:r>
      <w:r>
        <w:rPr>
          <w:rStyle w:val="optioncarChar"/>
        </w:rPr>
        <w:t> / Surface nette</w:t>
      </w:r>
    </w:p>
    <w:p w14:paraId="27F99159" w14:textId="77777777" w:rsidR="00DB2B68" w:rsidRDefault="00000000">
      <w:r>
        <w:rPr>
          <w:b/>
        </w:rPr>
        <w:t>(soit par défaut)</w:t>
      </w:r>
    </w:p>
    <w:p w14:paraId="2C49C3EC"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4EDFE3E" w14:textId="77777777" w:rsidR="00DB2B68" w:rsidRDefault="00000000">
      <w:r>
        <w:rPr>
          <w:b/>
        </w:rPr>
        <w:t>(soit)</w:t>
      </w:r>
    </w:p>
    <w:p w14:paraId="593F4B44"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C375920" w14:textId="77777777" w:rsidR="00DB2B68" w:rsidRDefault="00DB2B68"/>
    <w:p w14:paraId="22631045" w14:textId="77777777" w:rsidR="00DB2B68" w:rsidRDefault="00000000">
      <w:pPr>
        <w:pStyle w:val="pheading"/>
      </w:pPr>
      <w:r>
        <w:t>- nature du marché:</w:t>
      </w:r>
    </w:p>
    <w:p w14:paraId="4D73F36B" w14:textId="77777777" w:rsidR="00DB2B68" w:rsidRDefault="00000000">
      <w:r>
        <w:t>QF</w:t>
      </w:r>
    </w:p>
    <w:p w14:paraId="744E2D3B" w14:textId="77777777" w:rsidR="00DB2B68" w:rsidRDefault="00000000">
      <w:pPr>
        <w:pStyle w:val="Author-eSectionHeading5Numberless"/>
      </w:pPr>
      <w:bookmarkStart w:id="95" w:name="_Toc220495252"/>
      <w:r>
        <w:t>21.14.2 Maçonneries portantes préfabriquées CCTB 01.04</w:t>
      </w:r>
      <w:bookmarkEnd w:id="95"/>
    </w:p>
    <w:p w14:paraId="762A16B5" w14:textId="77777777" w:rsidR="00DB2B68" w:rsidRDefault="00000000">
      <w:pPr>
        <w:pStyle w:val="Author-eSectionHeading6Numberless"/>
      </w:pPr>
      <w:bookmarkStart w:id="96" w:name="376"/>
      <w:bookmarkStart w:id="97" w:name="_Toc220495253"/>
      <w:bookmarkEnd w:id="96"/>
      <w:r>
        <w:t>21.14.2a Maçonneries portantes préfabriquées en blocs de terre cuite CCTB 01.12</w:t>
      </w:r>
      <w:bookmarkEnd w:id="97"/>
    </w:p>
    <w:p w14:paraId="47B61BB5" w14:textId="77777777" w:rsidR="00DB2B68" w:rsidRDefault="00000000">
      <w:pPr>
        <w:pStyle w:val="pheading"/>
      </w:pPr>
      <w:r>
        <w:t>DESCRIPTION</w:t>
      </w:r>
    </w:p>
    <w:p w14:paraId="3051D5A2" w14:textId="77777777" w:rsidR="00DB2B68" w:rsidRDefault="00000000">
      <w:pPr>
        <w:pStyle w:val="pheading"/>
      </w:pPr>
      <w:r>
        <w:t>- Définition / Comprend</w:t>
      </w:r>
    </w:p>
    <w:p w14:paraId="4E7D6A63" w14:textId="77777777" w:rsidR="00DB2B68" w:rsidRDefault="00000000">
      <w:r>
        <w:t xml:space="preserve">Il s’agit de la fourniture et la pose de maçonneries portantes préfabriquées en blocs de terre cuite. </w:t>
      </w:r>
      <w:r>
        <w:br/>
        <w:t xml:space="preserve">La portée des travaux est décrite dans l’article </w:t>
      </w:r>
      <w:hyperlink w:anchor="376" w:history="1">
        <w:r>
          <w:rPr>
            <w:color w:val="0000EE"/>
          </w:rPr>
          <w:t>21.14.2 Maçonneries portantes préfabriquées</w:t>
        </w:r>
      </w:hyperlink>
      <w:r>
        <w:t>.</w:t>
      </w:r>
      <w:r>
        <w:br/>
      </w:r>
      <w:r>
        <w:lastRenderedPageBreak/>
        <w:t>Les travaux comprennent également la fourniture et la pose des pièces d’angle, de terminaison et de rencontre.</w:t>
      </w:r>
    </w:p>
    <w:p w14:paraId="3C673D32" w14:textId="77777777" w:rsidR="00DB2B68" w:rsidRDefault="00000000">
      <w:pPr>
        <w:pStyle w:val="pheading"/>
      </w:pPr>
      <w:r>
        <w:t>- Localisation</w:t>
      </w:r>
    </w:p>
    <w:p w14:paraId="5FA369D9" w14:textId="77777777" w:rsidR="00DB2B68" w:rsidRDefault="00000000">
      <w:r>
        <w:t xml:space="preserve">La pose est réalisée aux endroits suivants : </w:t>
      </w:r>
      <w:r>
        <w:rPr>
          <w:rStyle w:val="optioncarChar"/>
        </w:rPr>
        <w:t>***</w:t>
      </w:r>
      <w:r>
        <w:t>.</w:t>
      </w:r>
      <w:r>
        <w:br/>
        <w:t>Voir plans et métrés détaillés.</w:t>
      </w:r>
    </w:p>
    <w:p w14:paraId="1B209D00" w14:textId="77777777" w:rsidR="00DB2B68" w:rsidRDefault="00000000">
      <w:pPr>
        <w:pStyle w:val="pheading"/>
      </w:pPr>
      <w:r>
        <w:t>MESURAGE</w:t>
      </w:r>
    </w:p>
    <w:p w14:paraId="4D33C372" w14:textId="77777777" w:rsidR="00DB2B68" w:rsidRDefault="00000000">
      <w:pPr>
        <w:pStyle w:val="pheading"/>
      </w:pPr>
      <w:r>
        <w:t>- unité de mesure:</w:t>
      </w:r>
    </w:p>
    <w:p w14:paraId="55DDB9F7" w14:textId="77777777" w:rsidR="00DB2B68" w:rsidRDefault="00000000">
      <w:r>
        <w:rPr>
          <w:rStyle w:val="optioncarChar"/>
        </w:rPr>
        <w:t>m³ </w:t>
      </w:r>
      <w:r>
        <w:t>(par défaut)</w:t>
      </w:r>
      <w:r>
        <w:rPr>
          <w:rStyle w:val="optioncarChar"/>
        </w:rPr>
        <w:t> / m²</w:t>
      </w:r>
    </w:p>
    <w:p w14:paraId="3634127F" w14:textId="77777777" w:rsidR="00DB2B68" w:rsidRDefault="00000000">
      <w:r>
        <w:rPr>
          <w:b/>
        </w:rPr>
        <w:t>(soit par défaut)</w:t>
      </w:r>
    </w:p>
    <w:p w14:paraId="06B65CD8" w14:textId="77777777" w:rsidR="00DB2B68" w:rsidRDefault="00000000">
      <w:r>
        <w:rPr>
          <w:rStyle w:val="soitChar"/>
        </w:rPr>
        <w:t>1. m³</w:t>
      </w:r>
    </w:p>
    <w:p w14:paraId="1D14819E" w14:textId="77777777" w:rsidR="00DB2B68" w:rsidRDefault="00000000">
      <w:r>
        <w:rPr>
          <w:b/>
        </w:rPr>
        <w:t>(soit)</w:t>
      </w:r>
    </w:p>
    <w:p w14:paraId="36BD5840" w14:textId="77777777" w:rsidR="00DB2B68" w:rsidRDefault="00000000">
      <w:r>
        <w:rPr>
          <w:rStyle w:val="soitChar"/>
        </w:rPr>
        <w:t>2. m²</w:t>
      </w:r>
    </w:p>
    <w:p w14:paraId="18EF5E87" w14:textId="77777777" w:rsidR="00DB2B68" w:rsidRDefault="00000000">
      <w:pPr>
        <w:pStyle w:val="pheading"/>
      </w:pPr>
      <w:r>
        <w:t>- code de mesurage:</w:t>
      </w:r>
    </w:p>
    <w:p w14:paraId="320A1B43"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8C4B859"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DE11476"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EDABC71" w14:textId="77777777" w:rsidR="00DB2B68" w:rsidRDefault="00000000">
      <w:r>
        <w:rPr>
          <w:rStyle w:val="optioncarChar"/>
        </w:rPr>
        <w:t>Volume net </w:t>
      </w:r>
      <w:r>
        <w:t>(par défaut)</w:t>
      </w:r>
      <w:r>
        <w:rPr>
          <w:rStyle w:val="optioncarChar"/>
        </w:rPr>
        <w:t> / Surface nette</w:t>
      </w:r>
    </w:p>
    <w:p w14:paraId="287C497E" w14:textId="77777777" w:rsidR="00DB2B68" w:rsidRDefault="00000000">
      <w:r>
        <w:rPr>
          <w:b/>
        </w:rPr>
        <w:t>(soit par défaut)</w:t>
      </w:r>
    </w:p>
    <w:p w14:paraId="431C25CA"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9E28702" w14:textId="77777777" w:rsidR="00DB2B68" w:rsidRDefault="00000000">
      <w:r>
        <w:rPr>
          <w:b/>
        </w:rPr>
        <w:t>(soit)</w:t>
      </w:r>
    </w:p>
    <w:p w14:paraId="72621C48"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8E3FE14" w14:textId="77777777" w:rsidR="00DB2B68" w:rsidRDefault="00DB2B68"/>
    <w:p w14:paraId="1D970BED" w14:textId="77777777" w:rsidR="00DB2B68" w:rsidRDefault="00000000">
      <w:pPr>
        <w:pStyle w:val="pheading"/>
      </w:pPr>
      <w:r>
        <w:t>- nature du marché:</w:t>
      </w:r>
    </w:p>
    <w:p w14:paraId="46B14196" w14:textId="77777777" w:rsidR="00DB2B68" w:rsidRDefault="00000000">
      <w:r>
        <w:t>QF</w:t>
      </w:r>
    </w:p>
    <w:p w14:paraId="192E0411" w14:textId="77777777" w:rsidR="00DB2B68" w:rsidRDefault="00000000">
      <w:pPr>
        <w:pStyle w:val="Author-eSectionHeading6Numberless"/>
      </w:pPr>
      <w:bookmarkStart w:id="98" w:name="_Toc220495254"/>
      <w:r>
        <w:t>21.14.2b Maçonneries portantes préfabriquées en blocs de béton CCTB 01.11</w:t>
      </w:r>
      <w:bookmarkEnd w:id="98"/>
    </w:p>
    <w:p w14:paraId="155EBB39" w14:textId="77777777" w:rsidR="00DB2B68" w:rsidRDefault="00000000">
      <w:pPr>
        <w:pStyle w:val="pheading"/>
      </w:pPr>
      <w:r>
        <w:t>DESCRIPTION</w:t>
      </w:r>
    </w:p>
    <w:p w14:paraId="6E413247" w14:textId="77777777" w:rsidR="00DB2B68" w:rsidRDefault="00000000">
      <w:pPr>
        <w:pStyle w:val="pheading"/>
      </w:pPr>
      <w:r>
        <w:t>- Définition / Comprend</w:t>
      </w:r>
    </w:p>
    <w:p w14:paraId="5632ACF3" w14:textId="77777777" w:rsidR="00DB2B68" w:rsidRDefault="00000000">
      <w:r>
        <w:t xml:space="preserve">Il s’agit de la fourniture et la pose de maçonneries portantes préfabriquées en blocs de béton. </w:t>
      </w:r>
      <w:r>
        <w:br/>
        <w:t xml:space="preserve">La portée des travaux est décrite dans l’article </w:t>
      </w:r>
      <w:hyperlink w:anchor="376" w:history="1">
        <w:r>
          <w:rPr>
            <w:color w:val="0000EE"/>
          </w:rPr>
          <w:t>21.14.2 Maçonneries portantes préfabriquées</w:t>
        </w:r>
      </w:hyperlink>
      <w:r>
        <w:t>.</w:t>
      </w:r>
      <w:r>
        <w:br/>
      </w:r>
      <w:r>
        <w:lastRenderedPageBreak/>
        <w:t>Les travaux comprennent également la fourniture et la pose des pièces d’angle, de terminaison et de rencontre.</w:t>
      </w:r>
    </w:p>
    <w:p w14:paraId="7121DA7D" w14:textId="77777777" w:rsidR="00DB2B68" w:rsidRDefault="00000000">
      <w:pPr>
        <w:pStyle w:val="pheading"/>
      </w:pPr>
      <w:r>
        <w:t>- Localisation</w:t>
      </w:r>
    </w:p>
    <w:p w14:paraId="3AC7E30C" w14:textId="77777777" w:rsidR="00DB2B68" w:rsidRDefault="00000000">
      <w:r>
        <w:t xml:space="preserve">La pose est réalisée aux endroits suivants : </w:t>
      </w:r>
      <w:r>
        <w:rPr>
          <w:rStyle w:val="optioncarChar"/>
        </w:rPr>
        <w:t>***</w:t>
      </w:r>
      <w:r>
        <w:t>.</w:t>
      </w:r>
      <w:r>
        <w:br/>
        <w:t>Voir plans et métrés détaillés.</w:t>
      </w:r>
    </w:p>
    <w:p w14:paraId="215E2418" w14:textId="77777777" w:rsidR="00DB2B68" w:rsidRDefault="00000000">
      <w:pPr>
        <w:pStyle w:val="pheading"/>
      </w:pPr>
      <w:r>
        <w:t>MESURAGE</w:t>
      </w:r>
    </w:p>
    <w:p w14:paraId="339B734D" w14:textId="77777777" w:rsidR="00DB2B68" w:rsidRDefault="00000000">
      <w:pPr>
        <w:pStyle w:val="pheading"/>
      </w:pPr>
      <w:r>
        <w:t>- unité de mesure:</w:t>
      </w:r>
    </w:p>
    <w:p w14:paraId="6DA32EDB" w14:textId="77777777" w:rsidR="00DB2B68" w:rsidRDefault="00000000">
      <w:r>
        <w:rPr>
          <w:rStyle w:val="optioncarChar"/>
        </w:rPr>
        <w:t>m³ </w:t>
      </w:r>
      <w:r>
        <w:t>(par défaut)</w:t>
      </w:r>
      <w:r>
        <w:rPr>
          <w:rStyle w:val="optioncarChar"/>
        </w:rPr>
        <w:t> / m²</w:t>
      </w:r>
    </w:p>
    <w:p w14:paraId="28497841" w14:textId="77777777" w:rsidR="00DB2B68" w:rsidRDefault="00000000">
      <w:r>
        <w:rPr>
          <w:b/>
        </w:rPr>
        <w:t>(soit par défaut)</w:t>
      </w:r>
    </w:p>
    <w:p w14:paraId="25971049" w14:textId="77777777" w:rsidR="00DB2B68" w:rsidRDefault="00000000">
      <w:r>
        <w:rPr>
          <w:rStyle w:val="soitChar"/>
        </w:rPr>
        <w:t>1. m³</w:t>
      </w:r>
    </w:p>
    <w:p w14:paraId="2F587C9D" w14:textId="77777777" w:rsidR="00DB2B68" w:rsidRDefault="00000000">
      <w:r>
        <w:rPr>
          <w:b/>
        </w:rPr>
        <w:t>(soit)</w:t>
      </w:r>
    </w:p>
    <w:p w14:paraId="70B1606F" w14:textId="77777777" w:rsidR="00DB2B68" w:rsidRDefault="00000000">
      <w:r>
        <w:rPr>
          <w:rStyle w:val="soitChar"/>
        </w:rPr>
        <w:t>2. m²</w:t>
      </w:r>
    </w:p>
    <w:p w14:paraId="5FCD7483" w14:textId="77777777" w:rsidR="00DB2B68" w:rsidRDefault="00000000">
      <w:pPr>
        <w:pStyle w:val="pheading"/>
      </w:pPr>
      <w:r>
        <w:t>- code de mesurage:</w:t>
      </w:r>
    </w:p>
    <w:p w14:paraId="67FBBEE6"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FD75A51"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3B0AA5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6B82DDE8" w14:textId="77777777" w:rsidR="00DB2B68" w:rsidRDefault="00000000">
      <w:r>
        <w:rPr>
          <w:rStyle w:val="optioncarChar"/>
        </w:rPr>
        <w:t>Volume net </w:t>
      </w:r>
      <w:r>
        <w:t>(par défaut)</w:t>
      </w:r>
      <w:r>
        <w:rPr>
          <w:rStyle w:val="optioncarChar"/>
        </w:rPr>
        <w:t> / Surface nette</w:t>
      </w:r>
    </w:p>
    <w:p w14:paraId="1688107C" w14:textId="77777777" w:rsidR="00DB2B68" w:rsidRDefault="00000000">
      <w:r>
        <w:rPr>
          <w:b/>
        </w:rPr>
        <w:t>(soit par défaut)</w:t>
      </w:r>
    </w:p>
    <w:p w14:paraId="7CED1A9E"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F231ABB" w14:textId="77777777" w:rsidR="00DB2B68" w:rsidRDefault="00000000">
      <w:r>
        <w:rPr>
          <w:b/>
        </w:rPr>
        <w:t>(soit)</w:t>
      </w:r>
    </w:p>
    <w:p w14:paraId="70C5512C"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CC7EBA2" w14:textId="77777777" w:rsidR="00DB2B68" w:rsidRDefault="00DB2B68"/>
    <w:p w14:paraId="7CA7A05B" w14:textId="77777777" w:rsidR="00DB2B68" w:rsidRDefault="00000000">
      <w:pPr>
        <w:pStyle w:val="pheading"/>
      </w:pPr>
      <w:r>
        <w:t>- nature du marché:</w:t>
      </w:r>
    </w:p>
    <w:p w14:paraId="45BFC296" w14:textId="77777777" w:rsidR="00DB2B68" w:rsidRDefault="00000000">
      <w:r>
        <w:t>QF</w:t>
      </w:r>
    </w:p>
    <w:p w14:paraId="6898D453" w14:textId="77777777" w:rsidR="00DB2B68" w:rsidRDefault="00000000">
      <w:pPr>
        <w:pStyle w:val="Author-eSectionHeading6Numberless"/>
      </w:pPr>
      <w:bookmarkStart w:id="99" w:name="_Toc220495255"/>
      <w:r>
        <w:t>21.14.2c Maçonneries portantes préfabriquées en blocs de béton d'argile expansée CCTB 01.11</w:t>
      </w:r>
      <w:bookmarkEnd w:id="99"/>
    </w:p>
    <w:p w14:paraId="4A165A34" w14:textId="77777777" w:rsidR="00DB2B68" w:rsidRDefault="00000000">
      <w:pPr>
        <w:pStyle w:val="pheading"/>
      </w:pPr>
      <w:r>
        <w:t>DESCRIPTION</w:t>
      </w:r>
    </w:p>
    <w:p w14:paraId="568F65DD" w14:textId="77777777" w:rsidR="00DB2B68" w:rsidRDefault="00000000">
      <w:pPr>
        <w:pStyle w:val="pheading"/>
      </w:pPr>
      <w:r>
        <w:t>- Définition / Comprend</w:t>
      </w:r>
    </w:p>
    <w:p w14:paraId="5643BB7B" w14:textId="77777777" w:rsidR="00DB2B68" w:rsidRDefault="00000000">
      <w:r>
        <w:lastRenderedPageBreak/>
        <w:t xml:space="preserve">Il s’agit de la fourniture et la pose de maçonneries portantes préfabriquées en blocs de béton d’argile expansée. </w:t>
      </w:r>
      <w:r>
        <w:br/>
        <w:t xml:space="preserve">La portée des travaux est décrite dans l’article </w:t>
      </w:r>
      <w:hyperlink w:anchor="376" w:history="1">
        <w:r>
          <w:rPr>
            <w:color w:val="0000EE"/>
          </w:rPr>
          <w:t>21.14.2 Maçonneries portantes préfabriquées</w:t>
        </w:r>
      </w:hyperlink>
      <w:r>
        <w:t>.</w:t>
      </w:r>
      <w:r>
        <w:br/>
        <w:t>Les travaux comprennent également la fourniture et la pose des pièces d’angle, de terminaison et de rencontre.</w:t>
      </w:r>
    </w:p>
    <w:p w14:paraId="7F7C429C" w14:textId="77777777" w:rsidR="00DB2B68" w:rsidRDefault="00000000">
      <w:pPr>
        <w:pStyle w:val="pheading"/>
      </w:pPr>
      <w:r>
        <w:t>- Localisation</w:t>
      </w:r>
    </w:p>
    <w:p w14:paraId="5D144E36" w14:textId="77777777" w:rsidR="00DB2B68" w:rsidRDefault="00000000">
      <w:r>
        <w:t xml:space="preserve">La pose est réalisée aux endroits suivants : </w:t>
      </w:r>
      <w:r>
        <w:rPr>
          <w:rStyle w:val="optioncarChar"/>
        </w:rPr>
        <w:t>***</w:t>
      </w:r>
      <w:r>
        <w:t>.</w:t>
      </w:r>
      <w:r>
        <w:br/>
        <w:t>Voir plans et métrés détaillés.</w:t>
      </w:r>
    </w:p>
    <w:p w14:paraId="6F094B0D" w14:textId="77777777" w:rsidR="00DB2B68" w:rsidRDefault="00000000">
      <w:pPr>
        <w:pStyle w:val="pheading"/>
      </w:pPr>
      <w:r>
        <w:t>MESURAGE</w:t>
      </w:r>
    </w:p>
    <w:p w14:paraId="52911EF8" w14:textId="77777777" w:rsidR="00DB2B68" w:rsidRDefault="00000000">
      <w:pPr>
        <w:pStyle w:val="pheading"/>
      </w:pPr>
      <w:r>
        <w:t>- unité de mesure:</w:t>
      </w:r>
    </w:p>
    <w:p w14:paraId="245DE3A4" w14:textId="77777777" w:rsidR="00DB2B68" w:rsidRDefault="00000000">
      <w:r>
        <w:rPr>
          <w:rStyle w:val="optioncarChar"/>
        </w:rPr>
        <w:t>m³ </w:t>
      </w:r>
      <w:r>
        <w:t>(par défaut)</w:t>
      </w:r>
      <w:r>
        <w:rPr>
          <w:rStyle w:val="optioncarChar"/>
        </w:rPr>
        <w:t> / m²</w:t>
      </w:r>
    </w:p>
    <w:p w14:paraId="40F2D25C" w14:textId="77777777" w:rsidR="00DB2B68" w:rsidRDefault="00000000">
      <w:r>
        <w:rPr>
          <w:b/>
        </w:rPr>
        <w:t>(soit par défaut)</w:t>
      </w:r>
    </w:p>
    <w:p w14:paraId="3E7CEDB6" w14:textId="77777777" w:rsidR="00DB2B68" w:rsidRDefault="00000000">
      <w:r>
        <w:rPr>
          <w:rStyle w:val="soitChar"/>
        </w:rPr>
        <w:t>1. m³</w:t>
      </w:r>
    </w:p>
    <w:p w14:paraId="59B8343C" w14:textId="77777777" w:rsidR="00DB2B68" w:rsidRDefault="00000000">
      <w:r>
        <w:rPr>
          <w:b/>
        </w:rPr>
        <w:t>(soit)</w:t>
      </w:r>
    </w:p>
    <w:p w14:paraId="0AB8C8D4" w14:textId="77777777" w:rsidR="00DB2B68" w:rsidRDefault="00000000">
      <w:r>
        <w:rPr>
          <w:rStyle w:val="soitChar"/>
        </w:rPr>
        <w:t>2. m²</w:t>
      </w:r>
    </w:p>
    <w:p w14:paraId="6DFD171F" w14:textId="77777777" w:rsidR="00DB2B68" w:rsidRDefault="00000000">
      <w:pPr>
        <w:pStyle w:val="pheading"/>
      </w:pPr>
      <w:r>
        <w:t>- code de mesurage:</w:t>
      </w:r>
    </w:p>
    <w:p w14:paraId="216D039D"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E30618B"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511B0496"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48BC856" w14:textId="77777777" w:rsidR="00DB2B68" w:rsidRDefault="00000000">
      <w:r>
        <w:rPr>
          <w:rStyle w:val="optioncarChar"/>
        </w:rPr>
        <w:t>Volume net </w:t>
      </w:r>
      <w:r>
        <w:t>(par défaut)</w:t>
      </w:r>
      <w:r>
        <w:rPr>
          <w:rStyle w:val="optioncarChar"/>
        </w:rPr>
        <w:t> / Surface nette</w:t>
      </w:r>
    </w:p>
    <w:p w14:paraId="5191368D" w14:textId="77777777" w:rsidR="00DB2B68" w:rsidRDefault="00000000">
      <w:r>
        <w:rPr>
          <w:b/>
        </w:rPr>
        <w:t>(soit par défaut)</w:t>
      </w:r>
    </w:p>
    <w:p w14:paraId="4AE6989D"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B798D44" w14:textId="77777777" w:rsidR="00DB2B68" w:rsidRDefault="00000000">
      <w:r>
        <w:rPr>
          <w:b/>
        </w:rPr>
        <w:t>(soit)</w:t>
      </w:r>
    </w:p>
    <w:p w14:paraId="512D0F17"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8A8D7B2" w14:textId="77777777" w:rsidR="00DB2B68" w:rsidRDefault="00DB2B68"/>
    <w:p w14:paraId="1067A88D" w14:textId="77777777" w:rsidR="00DB2B68" w:rsidRDefault="00000000">
      <w:pPr>
        <w:pStyle w:val="pheading"/>
      </w:pPr>
      <w:r>
        <w:t>- nature du marché:</w:t>
      </w:r>
    </w:p>
    <w:p w14:paraId="73B9D760" w14:textId="77777777" w:rsidR="00DB2B68" w:rsidRDefault="00000000">
      <w:r>
        <w:t>QF</w:t>
      </w:r>
    </w:p>
    <w:p w14:paraId="3B8879E2" w14:textId="77777777" w:rsidR="00DB2B68" w:rsidRDefault="00000000">
      <w:pPr>
        <w:pStyle w:val="Author-eSectionHeading6Numberless"/>
      </w:pPr>
      <w:bookmarkStart w:id="100" w:name="_Toc220495256"/>
      <w:r>
        <w:t>21.14.2d Maçonneries portantes préfabriquées en blocs de silico-calcaire CCTB 01.12</w:t>
      </w:r>
      <w:bookmarkEnd w:id="100"/>
    </w:p>
    <w:p w14:paraId="7DB89E40" w14:textId="77777777" w:rsidR="00DB2B68" w:rsidRDefault="00000000">
      <w:pPr>
        <w:pStyle w:val="pheading"/>
      </w:pPr>
      <w:r>
        <w:t>DESCRIPTION</w:t>
      </w:r>
    </w:p>
    <w:p w14:paraId="2E9C0492" w14:textId="77777777" w:rsidR="00DB2B68" w:rsidRDefault="00000000">
      <w:pPr>
        <w:pStyle w:val="pheading"/>
      </w:pPr>
      <w:r>
        <w:lastRenderedPageBreak/>
        <w:t>- Définition / Comprend</w:t>
      </w:r>
    </w:p>
    <w:p w14:paraId="326830AD" w14:textId="77777777" w:rsidR="00DB2B68" w:rsidRDefault="00000000">
      <w:r>
        <w:t xml:space="preserve">Il s’agit de la fourniture et la pose de maçonneries portantes préfabriquées en blocs de silico-calcaire. </w:t>
      </w:r>
      <w:r>
        <w:br/>
        <w:t xml:space="preserve">La portée des travaux est décrite dans l’article </w:t>
      </w:r>
      <w:hyperlink w:anchor="376" w:history="1">
        <w:r>
          <w:rPr>
            <w:color w:val="0000EE"/>
          </w:rPr>
          <w:t>21.14.2 Maçonneries portantes préfabriquées</w:t>
        </w:r>
      </w:hyperlink>
      <w:r>
        <w:t>.</w:t>
      </w:r>
      <w:r>
        <w:br/>
        <w:t>Les travaux comprennent également la fourniture et la pose des pièces d’angle, de terminaison et de rencontre.</w:t>
      </w:r>
    </w:p>
    <w:p w14:paraId="62203C4E" w14:textId="77777777" w:rsidR="00DB2B68" w:rsidRDefault="00000000">
      <w:pPr>
        <w:pStyle w:val="pheading"/>
      </w:pPr>
      <w:r>
        <w:t>- Localisation</w:t>
      </w:r>
    </w:p>
    <w:p w14:paraId="09B665EA" w14:textId="77777777" w:rsidR="00DB2B68" w:rsidRDefault="00000000">
      <w:r>
        <w:t xml:space="preserve">La pose est réalisée aux endroits suivants : </w:t>
      </w:r>
      <w:r>
        <w:rPr>
          <w:rStyle w:val="optioncarChar"/>
        </w:rPr>
        <w:t>***</w:t>
      </w:r>
      <w:r>
        <w:t>.</w:t>
      </w:r>
      <w:r>
        <w:br/>
        <w:t>Voir plans et métrés détaillés.</w:t>
      </w:r>
    </w:p>
    <w:p w14:paraId="357072DD" w14:textId="77777777" w:rsidR="00DB2B68" w:rsidRDefault="00000000">
      <w:pPr>
        <w:pStyle w:val="pheading"/>
      </w:pPr>
      <w:r>
        <w:t>MATÉRIAUX</w:t>
      </w:r>
    </w:p>
    <w:p w14:paraId="35F34C3F" w14:textId="77777777" w:rsidR="00DB2B68" w:rsidRDefault="00000000">
      <w:pPr>
        <w:pStyle w:val="pheading"/>
      </w:pPr>
      <w:r>
        <w:t>- Caractéristiques générales</w:t>
      </w:r>
    </w:p>
    <w:p w14:paraId="51C0DD0F" w14:textId="77777777" w:rsidR="00DB2B68" w:rsidRDefault="00000000">
      <w:r>
        <w:rPr>
          <w:rStyle w:val="headingChar"/>
        </w:rPr>
        <w:t>Spécifications</w:t>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w:t>
      </w:r>
      <w:r>
        <w:t>(par défaut)</w:t>
      </w:r>
      <w:r>
        <w:rPr>
          <w:rStyle w:val="optioncarChar"/>
        </w:rPr>
        <w:t xml:space="preserve"> / ***</w:t>
      </w:r>
      <w:r>
        <w:br/>
      </w:r>
      <w:r>
        <w:br/>
        <w:t>La résistance en compression normalisée (f</w:t>
      </w:r>
      <w:r>
        <w:rPr>
          <w:vertAlign w:val="subscript"/>
        </w:rPr>
        <w:t>b</w:t>
      </w:r>
      <w:r>
        <w:t xml:space="preserve">) suivant [NBN EN 1996-1-1+A1 ANB] est au minimum: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1400 kg/m³ (blocs creux) </w:t>
      </w:r>
      <w:r>
        <w:t>(par défaut)</w:t>
      </w:r>
      <w:r>
        <w:rPr>
          <w:rStyle w:val="optioncarChar"/>
        </w:rPr>
        <w:t xml:space="preserve"> / ***</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w:t>
      </w:r>
      <w:r>
        <w:rPr>
          <w:rStyle w:val="optioncarChar"/>
          <w:color w:val="000000"/>
        </w:rPr>
        <w:t xml:space="preserve"> assemblage à rainures et languettes</w:t>
      </w:r>
      <w:r>
        <w:br/>
        <w:t>Face qui reste visible :</w:t>
      </w:r>
      <w:r>
        <w:rPr>
          <w:rStyle w:val="optioncarChar"/>
          <w:color w:val="000000"/>
        </w:rPr>
        <w:t xml:space="preserve"> lisse</w:t>
      </w:r>
      <w:r>
        <w:br/>
        <w:t>Face à cimenter ou plafonner :</w:t>
      </w:r>
      <w:r>
        <w:rPr>
          <w:rStyle w:val="optioncarChar"/>
          <w:color w:val="000000"/>
        </w:rPr>
        <w:t xml:space="preserve"> lisse</w:t>
      </w:r>
      <w:r>
        <w:br/>
      </w:r>
      <w:r>
        <w:br/>
        <w:t xml:space="preserve">Teinte : </w:t>
      </w:r>
      <w:r>
        <w:rPr>
          <w:rStyle w:val="optioncarChar"/>
        </w:rPr>
        <w:t>blanc</w:t>
      </w:r>
      <w:r>
        <w:br/>
      </w:r>
      <w:r>
        <w:br/>
        <w:t>Format : (L x l x h) :</w:t>
      </w:r>
      <w:r>
        <w:rPr>
          <w:rStyle w:val="optioncarChar"/>
        </w:rPr>
        <w:t> format modulaire proposé par l'entrepreneur</w:t>
      </w:r>
      <w:r>
        <w:t> (par défaut) </w:t>
      </w:r>
      <w:r>
        <w:rPr>
          <w:rStyle w:val="optioncarChar"/>
        </w:rPr>
        <w:t>/</w:t>
      </w:r>
      <w:r>
        <w:t xml:space="preserve"> (</w:t>
      </w:r>
      <w:r>
        <w:rPr>
          <w:rStyle w:val="optioncarChar"/>
        </w:rPr>
        <w:t>300 / *** </w:t>
      </w:r>
      <w:r>
        <w:t>x</w:t>
      </w:r>
      <w:r>
        <w:rPr>
          <w:rStyle w:val="optioncarChar"/>
        </w:rPr>
        <w:t> 150 / 200 / ***</w:t>
      </w:r>
      <w:r>
        <w:t> x</w:t>
      </w:r>
      <w:r>
        <w:rPr>
          <w:rStyle w:val="optioncarChar"/>
        </w:rPr>
        <w:t> 150 / 200 / ***</w:t>
      </w:r>
      <w:r>
        <w:t> ) mm</w:t>
      </w:r>
    </w:p>
    <w:p w14:paraId="6EED6FEC" w14:textId="77777777" w:rsidR="00DB2B68"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t> </w:t>
      </w:r>
      <w:r>
        <w:rPr>
          <w:rStyle w:val="optioncarChar"/>
          <w:color w:val="000000"/>
        </w:rPr>
        <w:t>(par défaut)</w:t>
      </w:r>
      <w:r>
        <w:br/>
      </w:r>
      <w:r>
        <w:br/>
        <w:t>Résistance au gel suivant les classes d’application selon [NBN EN 1996-2] et [NIT 271].</w:t>
      </w:r>
      <w:r>
        <w:br/>
      </w:r>
      <w:r>
        <w:br/>
        <w:t xml:space="preserve">Réaction au feu : </w:t>
      </w:r>
      <w:r>
        <w:rPr>
          <w:rStyle w:val="optioncarChar"/>
        </w:rPr>
        <w:t>A1</w:t>
      </w:r>
      <w:r>
        <w:t> (par défaut)</w:t>
      </w:r>
      <w:r>
        <w:rPr>
          <w:rStyle w:val="optioncarChar"/>
        </w:rPr>
        <w:t> / ***</w:t>
      </w:r>
      <w:r>
        <w:br/>
      </w:r>
      <w:r>
        <w:br/>
        <w:t>Critères de performances de la paroi</w:t>
      </w:r>
      <w:r>
        <w:br/>
        <w:t>Coefficient de transmission :</w:t>
      </w:r>
    </w:p>
    <w:p w14:paraId="25EBAB05" w14:textId="77777777" w:rsidR="00DB2B68" w:rsidRDefault="00000000">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D0CA313" w14:textId="77777777" w:rsidR="00DB2B68" w:rsidRDefault="00000000">
      <w:r>
        <w:t>Résistance au feu :</w:t>
      </w:r>
    </w:p>
    <w:p w14:paraId="48D8FBF3" w14:textId="77777777" w:rsidR="00DB2B68" w:rsidRDefault="00000000">
      <w:pPr>
        <w:ind w:left="567"/>
      </w:pPr>
      <w:r>
        <w:lastRenderedPageBreak/>
        <w:t xml:space="preserve">• pour les éléments porteurs structurels sans fonction séparante : </w:t>
      </w:r>
      <w:r>
        <w:rPr>
          <w:rStyle w:val="optioncarChar"/>
        </w:rPr>
        <w:t>R 15 / R 30 </w:t>
      </w:r>
      <w:r>
        <w:t>(par défaut)</w:t>
      </w:r>
      <w:r>
        <w:rPr>
          <w:rStyle w:val="optioncarChar"/>
        </w:rPr>
        <w:t xml:space="preserve"> / R 60 / R 120 / R ***</w:t>
      </w:r>
      <w:r>
        <w:br/>
        <w:t xml:space="preserve">• pour les éléments porteurs structurels avec fonction séparante : </w:t>
      </w:r>
      <w:r>
        <w:rPr>
          <w:rStyle w:val="optioncarChar"/>
        </w:rPr>
        <w:t>REI 30</w:t>
      </w:r>
      <w:r>
        <w:t> (par défaut)</w:t>
      </w:r>
      <w:r>
        <w:rPr>
          <w:rStyle w:val="optioncarChar"/>
        </w:rPr>
        <w:t xml:space="preserve"> / REI 60 / REI 120 / REI ***</w:t>
      </w:r>
    </w:p>
    <w:p w14:paraId="47467045" w14:textId="77777777" w:rsidR="00DB2B68" w:rsidRDefault="00000000">
      <w:r>
        <w:t>selon les tableaux dans [NBN EN 1996-1-2 ANB].</w:t>
      </w:r>
    </w:p>
    <w:p w14:paraId="744DDC7B" w14:textId="77777777" w:rsidR="00DB2B68" w:rsidRDefault="00000000">
      <w:pPr>
        <w:ind w:left="750"/>
      </w:pPr>
      <w:r>
        <w:t> </w:t>
      </w:r>
    </w:p>
    <w:p w14:paraId="6A105D95" w14:textId="77777777" w:rsidR="00DB2B68" w:rsidRDefault="00000000">
      <w:pPr>
        <w:pStyle w:val="pheading"/>
      </w:pPr>
      <w:r>
        <w:t>- Finitions</w:t>
      </w:r>
    </w:p>
    <w:p w14:paraId="10E3038F" w14:textId="77777777" w:rsidR="00DB2B68" w:rsidRDefault="00000000">
      <w:pPr>
        <w:pStyle w:val="Author-eListParagraph"/>
        <w:numPr>
          <w:ilvl w:val="0"/>
          <w:numId w:val="138"/>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Joints de maçonnerie apparente</w:t>
        </w:r>
      </w:hyperlink>
      <w:r>
        <w:t xml:space="preserve"> : </w:t>
      </w:r>
      <w:r>
        <w:rPr>
          <w:rStyle w:val="optioncarChar"/>
        </w:rPr>
        <w:t>***</w:t>
      </w:r>
    </w:p>
    <w:p w14:paraId="700C4409" w14:textId="77777777" w:rsidR="00DB2B68" w:rsidRDefault="00000000">
      <w:pPr>
        <w:pStyle w:val="Author-eListParagraph"/>
        <w:numPr>
          <w:ilvl w:val="0"/>
          <w:numId w:val="138"/>
        </w:numPr>
      </w:pPr>
      <w:r>
        <w:t>Les murs suivants sont exécutés avec une face restant apparente :</w:t>
      </w:r>
      <w:r>
        <w:rPr>
          <w:color w:val="FF0000"/>
        </w:rPr>
        <w:t>***</w:t>
      </w:r>
    </w:p>
    <w:p w14:paraId="219B0B3A" w14:textId="77777777" w:rsidR="00DB2B68" w:rsidRDefault="00000000">
      <w:pPr>
        <w:pStyle w:val="Author-eListParagraph"/>
        <w:numPr>
          <w:ilvl w:val="0"/>
          <w:numId w:val="138"/>
        </w:numPr>
      </w:pPr>
      <w:r>
        <w:t>Les murs suivants sont exécutés avec deux faces restant apparentes :</w:t>
      </w:r>
      <w:r>
        <w:rPr>
          <w:color w:val="FF0000"/>
        </w:rPr>
        <w:t xml:space="preserve"> ***</w:t>
      </w:r>
    </w:p>
    <w:p w14:paraId="540A7095" w14:textId="77777777" w:rsidR="00DB2B68" w:rsidRDefault="00000000">
      <w:pPr>
        <w:pStyle w:val="pheading"/>
      </w:pPr>
      <w:r>
        <w:t>- Prescriptions complémentaires</w:t>
      </w:r>
    </w:p>
    <w:p w14:paraId="2F8DED08" w14:textId="77777777" w:rsidR="00DB2B68" w:rsidRDefault="00000000">
      <w:r>
        <w:t>La mise en œuvre s'effectue selon les prescriptions du fabricant. Les murs ne sont pas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72CB0AC5" w14:textId="77777777" w:rsidR="00DB2B68" w:rsidRDefault="00000000">
      <w:pPr>
        <w:pStyle w:val="pheading"/>
      </w:pPr>
      <w:r>
        <w:t>MESURAGE</w:t>
      </w:r>
    </w:p>
    <w:p w14:paraId="7269109D" w14:textId="77777777" w:rsidR="00DB2B68" w:rsidRDefault="00000000">
      <w:pPr>
        <w:pStyle w:val="pheading"/>
      </w:pPr>
      <w:r>
        <w:t>- unité de mesure:</w:t>
      </w:r>
    </w:p>
    <w:p w14:paraId="43AF4A5A" w14:textId="77777777" w:rsidR="00DB2B68" w:rsidRDefault="00000000">
      <w:r>
        <w:rPr>
          <w:rStyle w:val="optioncarChar"/>
        </w:rPr>
        <w:t>m³ </w:t>
      </w:r>
      <w:r>
        <w:t>(par défaut)</w:t>
      </w:r>
      <w:r>
        <w:rPr>
          <w:rStyle w:val="optioncarChar"/>
        </w:rPr>
        <w:t> / m²</w:t>
      </w:r>
    </w:p>
    <w:p w14:paraId="36C42727" w14:textId="77777777" w:rsidR="00DB2B68" w:rsidRDefault="00000000">
      <w:r>
        <w:rPr>
          <w:b/>
        </w:rPr>
        <w:t>(soit par défaut)</w:t>
      </w:r>
    </w:p>
    <w:p w14:paraId="1E1ECF73" w14:textId="77777777" w:rsidR="00DB2B68" w:rsidRDefault="00000000">
      <w:r>
        <w:rPr>
          <w:rStyle w:val="soitChar"/>
        </w:rPr>
        <w:t>1. m³</w:t>
      </w:r>
    </w:p>
    <w:p w14:paraId="1F091ECF" w14:textId="77777777" w:rsidR="00DB2B68" w:rsidRDefault="00000000">
      <w:r>
        <w:rPr>
          <w:b/>
        </w:rPr>
        <w:t>(soit)</w:t>
      </w:r>
    </w:p>
    <w:p w14:paraId="3BEFAF3C" w14:textId="77777777" w:rsidR="00DB2B68" w:rsidRDefault="00000000">
      <w:r>
        <w:rPr>
          <w:rStyle w:val="soitChar"/>
        </w:rPr>
        <w:t>2. m²</w:t>
      </w:r>
    </w:p>
    <w:p w14:paraId="752267F0" w14:textId="77777777" w:rsidR="00DB2B68" w:rsidRDefault="00000000">
      <w:pPr>
        <w:pStyle w:val="pheading"/>
      </w:pPr>
      <w:r>
        <w:t>- code de mesurage:</w:t>
      </w:r>
    </w:p>
    <w:p w14:paraId="43FA458B"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34AB9F0"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4CC213A"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6237D6B" w14:textId="77777777" w:rsidR="00DB2B68" w:rsidRDefault="00000000">
      <w:r>
        <w:rPr>
          <w:rStyle w:val="optioncarChar"/>
        </w:rPr>
        <w:t>Volume net </w:t>
      </w:r>
      <w:r>
        <w:t>(par défaut)</w:t>
      </w:r>
      <w:r>
        <w:rPr>
          <w:rStyle w:val="optioncarChar"/>
        </w:rPr>
        <w:t> / Surface nette</w:t>
      </w:r>
    </w:p>
    <w:p w14:paraId="4A8F596C" w14:textId="77777777" w:rsidR="00DB2B68" w:rsidRDefault="00000000">
      <w:r>
        <w:rPr>
          <w:b/>
        </w:rPr>
        <w:t>(soit par défaut)</w:t>
      </w:r>
    </w:p>
    <w:p w14:paraId="78665F45"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A61CE82" w14:textId="77777777" w:rsidR="00DB2B68" w:rsidRDefault="00000000">
      <w:r>
        <w:rPr>
          <w:b/>
        </w:rPr>
        <w:t>(soit)</w:t>
      </w:r>
    </w:p>
    <w:p w14:paraId="653C0F31"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C1FACF5" w14:textId="77777777" w:rsidR="00DB2B68" w:rsidRDefault="00DB2B68"/>
    <w:p w14:paraId="763B0AE4" w14:textId="77777777" w:rsidR="00DB2B68" w:rsidRDefault="00000000">
      <w:pPr>
        <w:pStyle w:val="pheading"/>
      </w:pPr>
      <w:r>
        <w:t>- nature du marché:</w:t>
      </w:r>
    </w:p>
    <w:p w14:paraId="521DCF81" w14:textId="77777777" w:rsidR="00DB2B68" w:rsidRDefault="00000000">
      <w:r>
        <w:t>QF</w:t>
      </w:r>
    </w:p>
    <w:p w14:paraId="5CAE594F" w14:textId="77777777" w:rsidR="00DB2B68" w:rsidRDefault="00000000">
      <w:pPr>
        <w:pStyle w:val="Author-eSectionHeading4Numberless"/>
      </w:pPr>
      <w:bookmarkStart w:id="101" w:name="_Toc220495257"/>
      <w:r>
        <w:t>21.15 Maçonneries portantes particulières CCTB 01.02</w:t>
      </w:r>
      <w:bookmarkEnd w:id="101"/>
    </w:p>
    <w:p w14:paraId="27A5168C" w14:textId="77777777" w:rsidR="00DB2B68" w:rsidRDefault="00000000">
      <w:pPr>
        <w:pStyle w:val="Author-eSectionHeading5Numberless"/>
      </w:pPr>
      <w:bookmarkStart w:id="102" w:name="457"/>
      <w:bookmarkStart w:id="103" w:name="_Toc220495258"/>
      <w:bookmarkEnd w:id="102"/>
      <w:r>
        <w:t>21.15.1 Escaliers en maçonnerie CCTB 01.13</w:t>
      </w:r>
      <w:bookmarkEnd w:id="103"/>
    </w:p>
    <w:p w14:paraId="035ED374" w14:textId="77777777" w:rsidR="00DB2B68" w:rsidRDefault="00000000">
      <w:pPr>
        <w:pStyle w:val="pheading"/>
      </w:pPr>
      <w:bookmarkStart w:id="104" w:name="1111"/>
      <w:bookmarkEnd w:id="104"/>
      <w:r>
        <w:t>AIDE</w:t>
      </w:r>
    </w:p>
    <w:p w14:paraId="67E2AD67" w14:textId="77777777" w:rsidR="00DB2B68" w:rsidRDefault="00000000">
      <w:r>
        <w:rPr>
          <w:shd w:val="clear" w:color="auto" w:fill="FFFFFF"/>
        </w:rPr>
        <w:t>Note à l'auteur de projet</w:t>
      </w:r>
    </w:p>
    <w:p w14:paraId="7E234552" w14:textId="77777777" w:rsidR="00DB2B68" w:rsidRDefault="00000000">
      <w:r>
        <w:t> </w:t>
      </w:r>
    </w:p>
    <w:p w14:paraId="2A275320" w14:textId="77777777" w:rsidR="00DB2B68" w:rsidRDefault="00000000">
      <w:r>
        <w:rPr>
          <w:b/>
          <w:shd w:val="clear" w:color="auto" w:fill="FFFFFF"/>
        </w:rPr>
        <w:t>Accessibilité aux personnes à mobilité réduite (PMR)</w:t>
      </w:r>
    </w:p>
    <w:p w14:paraId="41ACC1AD" w14:textId="77777777" w:rsidR="00DB2B68" w:rsidRDefault="00000000">
      <w:r>
        <w:t> </w:t>
      </w:r>
      <w:r>
        <w:rPr>
          <w:i/>
          <w:u w:val="single"/>
        </w:rPr>
        <w:t>Général :</w:t>
      </w:r>
    </w:p>
    <w:p w14:paraId="1B8ED587" w14:textId="77777777" w:rsidR="00DB2B68" w:rsidRDefault="00000000">
      <w:r>
        <w:t>Pente : entre 19° et 33° [Buildwise Article Dossier (2004/4.06)]</w:t>
      </w:r>
    </w:p>
    <w:p w14:paraId="51A2610D" w14:textId="77777777" w:rsidR="00DB2B68" w:rsidRDefault="00000000">
      <w:r>
        <w:t>Géométrie : éviter les escaliers en colimaçon et l’utilisation de la méthode de balancement des marches [Buildwise Article Dossier (2004/4.06)]</w:t>
      </w:r>
    </w:p>
    <w:p w14:paraId="5D7214B9" w14:textId="77777777" w:rsidR="00DB2B68" w:rsidRDefault="00000000">
      <w:r>
        <w:t>Echappée : 220 cm minimum [SWL CALA]</w:t>
      </w:r>
    </w:p>
    <w:p w14:paraId="7C91F7B6" w14:textId="77777777" w:rsidR="00DB2B68" w:rsidRDefault="00000000">
      <w:r>
        <w:t>Largeur de libre passage, en cas de :</w:t>
      </w:r>
    </w:p>
    <w:p w14:paraId="06D900A6" w14:textId="77777777" w:rsidR="00DB2B68" w:rsidRDefault="00000000">
      <w:pPr>
        <w:pStyle w:val="Author-eListParagraph"/>
        <w:numPr>
          <w:ilvl w:val="0"/>
          <w:numId w:val="139"/>
        </w:numPr>
      </w:pPr>
      <w:r>
        <w:t>Installation d’un fauteuil monte-escalier : 70 cm minimum</w:t>
      </w:r>
    </w:p>
    <w:p w14:paraId="4DFA99C6" w14:textId="77777777" w:rsidR="00DB2B68" w:rsidRDefault="00000000">
      <w:pPr>
        <w:pStyle w:val="Author-eListParagraph"/>
        <w:numPr>
          <w:ilvl w:val="0"/>
          <w:numId w:val="139"/>
        </w:numPr>
      </w:pPr>
      <w:r>
        <w:t>Installation d’une plateforme : 90 cm minimum [Buildwise Article Dossier (2004/4.06)]</w:t>
      </w:r>
    </w:p>
    <w:p w14:paraId="21EA26FC" w14:textId="77777777" w:rsidR="00DB2B68" w:rsidRDefault="00000000">
      <w:pPr>
        <w:pStyle w:val="Author-eListParagraph"/>
        <w:numPr>
          <w:ilvl w:val="0"/>
          <w:numId w:val="139"/>
        </w:numPr>
      </w:pPr>
      <w:r>
        <w:t>Evacuation manuelle : 122 cm minimum [NFPA 101 Life Safety Code Handbook]</w:t>
      </w:r>
    </w:p>
    <w:p w14:paraId="2EE65429" w14:textId="77777777" w:rsidR="00DB2B68" w:rsidRDefault="00000000">
      <w:pPr>
        <w:pStyle w:val="Author-eListParagraph"/>
        <w:numPr>
          <w:ilvl w:val="0"/>
          <w:numId w:val="139"/>
        </w:numPr>
      </w:pPr>
      <w:r>
        <w:t>Utilisation d’une chaise d’évacuation : à établir en fonction des dimensions de la chaise</w:t>
      </w:r>
    </w:p>
    <w:p w14:paraId="55376EBA" w14:textId="77777777" w:rsidR="00DB2B68" w:rsidRDefault="00000000">
      <w:r>
        <w:rPr>
          <w:i/>
          <w:u w:val="single"/>
        </w:rPr>
        <w:t xml:space="preserve">Marches et contremarches : </w:t>
      </w:r>
      <w:r>
        <w:br/>
        <w:t>Nombre de marches par volée : 15 à 20 maximum [SWL CALA], [NBN ISO 21542] et [BS 8300]</w:t>
      </w:r>
    </w:p>
    <w:p w14:paraId="4A9FBA80" w14:textId="77777777" w:rsidR="00DB2B68" w:rsidRDefault="00000000">
      <w:r>
        <w:t>Module de pas (M=2H+G) : entre 60 et 64 cm [SWL CALA]</w:t>
      </w:r>
    </w:p>
    <w:p w14:paraId="6CC28DAC" w14:textId="77777777" w:rsidR="00DB2B68" w:rsidRDefault="00000000">
      <w:r>
        <w:t>Hauteur des marches (H) : 18 cm maximum [SWL CALA]</w:t>
      </w:r>
    </w:p>
    <w:p w14:paraId="7EC20321" w14:textId="77777777" w:rsidR="00DB2B68" w:rsidRDefault="00000000">
      <w:r>
        <w:t>Giron (G) : 25 cm minimum [SWL CALA]</w:t>
      </w:r>
    </w:p>
    <w:p w14:paraId="73FF0EBC" w14:textId="77777777" w:rsidR="00DB2B68" w:rsidRDefault="00000000">
      <w:r>
        <w:t>Type de marches : pleines, antidérapantes [CoDT] et [SWL CALA]</w:t>
      </w:r>
    </w:p>
    <w:p w14:paraId="1AE524FB" w14:textId="77777777" w:rsidR="00DB2B68" w:rsidRDefault="00000000">
      <w:r>
        <w:t>Type de contremarches : pleines, profil oblique [SWL CALA], [NBN ISO 21542] et [BS 8300]</w:t>
      </w:r>
    </w:p>
    <w:p w14:paraId="63C86D33" w14:textId="77777777" w:rsidR="00DB2B68" w:rsidRDefault="00000000">
      <w:r>
        <w:rPr>
          <w:i/>
          <w:u w:val="single"/>
        </w:rPr>
        <w:t>Nez de marches :</w:t>
      </w:r>
    </w:p>
    <w:p w14:paraId="1B122A53" w14:textId="77777777" w:rsidR="00DB2B68" w:rsidRDefault="00000000">
      <w:r>
        <w:t>Forme : non saillants [SWL CALA], [NBN ISO 21542] et [BS 8300]</w:t>
      </w:r>
    </w:p>
    <w:p w14:paraId="22EE821A" w14:textId="77777777" w:rsidR="00DB2B68" w:rsidRDefault="00000000">
      <w:r>
        <w:t>Projection : 2.5 cm maximum [NBN ISO 21542] et [BS 8300]</w:t>
      </w:r>
    </w:p>
    <w:p w14:paraId="3301F204" w14:textId="77777777" w:rsidR="00DB2B68" w:rsidRDefault="00000000">
      <w:r>
        <w:t>Indicateurs visuels sur les nez de marches : [NBN ISO 21542] et [BS 8300]</w:t>
      </w:r>
    </w:p>
    <w:p w14:paraId="6CAE63BC" w14:textId="77777777" w:rsidR="00DB2B68" w:rsidRDefault="00000000">
      <w:pPr>
        <w:pStyle w:val="Author-eListParagraph"/>
        <w:numPr>
          <w:ilvl w:val="0"/>
          <w:numId w:val="140"/>
        </w:numPr>
      </w:pPr>
      <w:r>
        <w:t>Localisation : de préférence, sur chaque marche ; sinon, sur la première et la dernière marche de chaque volée </w:t>
      </w:r>
    </w:p>
    <w:p w14:paraId="79350CCB" w14:textId="77777777" w:rsidR="00DB2B68" w:rsidRDefault="00000000">
      <w:pPr>
        <w:pStyle w:val="Author-eListParagraph"/>
        <w:numPr>
          <w:ilvl w:val="0"/>
          <w:numId w:val="141"/>
        </w:numPr>
      </w:pPr>
      <w:r>
        <w:t>Largeur : continus sur toute la largeur des marches</w:t>
      </w:r>
    </w:p>
    <w:p w14:paraId="0338BE5D" w14:textId="77777777" w:rsidR="00DB2B68" w:rsidRDefault="00000000">
      <w:pPr>
        <w:pStyle w:val="Author-eListParagraph"/>
        <w:numPr>
          <w:ilvl w:val="0"/>
          <w:numId w:val="141"/>
        </w:numPr>
      </w:pPr>
      <w:r>
        <w:t>Revêtement : antidérapants</w:t>
      </w:r>
    </w:p>
    <w:p w14:paraId="32EB9794" w14:textId="77777777" w:rsidR="00DB2B68" w:rsidRDefault="00000000">
      <w:pPr>
        <w:pStyle w:val="Author-eListParagraph"/>
        <w:numPr>
          <w:ilvl w:val="0"/>
          <w:numId w:val="141"/>
        </w:numPr>
      </w:pPr>
      <w:r>
        <w:t>Profondeur : 4 cm minimum sur la marche, peut redescendre sur la contremarche</w:t>
      </w:r>
    </w:p>
    <w:p w14:paraId="1322DF8A" w14:textId="77777777" w:rsidR="00DB2B68" w:rsidRDefault="00000000">
      <w:pPr>
        <w:pStyle w:val="Author-eListParagraph"/>
        <w:numPr>
          <w:ilvl w:val="0"/>
          <w:numId w:val="141"/>
        </w:numPr>
      </w:pPr>
      <w:r>
        <w:t>Contraste : différence de coefficient de réflexion (LRV) entre les indicateurs et les marches de minimum 60%</w:t>
      </w:r>
    </w:p>
    <w:p w14:paraId="3BE66249" w14:textId="77777777" w:rsidR="00DB2B68" w:rsidRDefault="00000000">
      <w:r>
        <w:rPr>
          <w:i/>
          <w:u w:val="single"/>
        </w:rPr>
        <w:t>Paliers :</w:t>
      </w:r>
      <w:r>
        <w:t>  [CoDT] et [NBN ISO 21542]</w:t>
      </w:r>
    </w:p>
    <w:p w14:paraId="10556A5B" w14:textId="77777777" w:rsidR="00DB2B68" w:rsidRDefault="00000000">
      <w:r>
        <w:t>Contraste : différence de coefficient de réflexion (LRV) entre les paliers et les marches de minimum 60%</w:t>
      </w:r>
    </w:p>
    <w:p w14:paraId="37DDE4C0" w14:textId="77777777" w:rsidR="00DB2B68" w:rsidRDefault="00000000">
      <w:r>
        <w:rPr>
          <w:i/>
          <w:u w:val="single"/>
        </w:rPr>
        <w:t>Dalles d’éveil à la vigilance (ou dalles podotactiles) :</w:t>
      </w:r>
      <w:r>
        <w:t>  [CoDT], [SWL CALA], [NBN ISO 21542] et [NEN 1814]</w:t>
      </w:r>
    </w:p>
    <w:p w14:paraId="569D5C5C" w14:textId="77777777" w:rsidR="00DB2B68" w:rsidRDefault="00000000">
      <w:r>
        <w:lastRenderedPageBreak/>
        <w:t>Position : sur les paliers, au-dessus et en-dessous de chaque volée, à 50 cm du nez de la première et de la dernière marche</w:t>
      </w:r>
    </w:p>
    <w:p w14:paraId="6DED219E" w14:textId="77777777" w:rsidR="00DB2B68" w:rsidRDefault="00000000">
      <w:r>
        <w:t>Largeur : sur toute la largeur de l’escalier</w:t>
      </w:r>
    </w:p>
    <w:p w14:paraId="3D2F8F54" w14:textId="77777777" w:rsidR="00DB2B68" w:rsidRDefault="00000000">
      <w:r>
        <w:t>Profondeur : 60 cm minimum</w:t>
      </w:r>
    </w:p>
    <w:p w14:paraId="649A56C4" w14:textId="77777777" w:rsidR="00DB2B68" w:rsidRDefault="00000000">
      <w:r>
        <w:rPr>
          <w:i/>
          <w:u w:val="single"/>
        </w:rPr>
        <w:t>Main-courantes :</w:t>
      </w:r>
    </w:p>
    <w:p w14:paraId="0FFF8176" w14:textId="77777777" w:rsidR="00DB2B68" w:rsidRDefault="00000000">
      <w:r>
        <w:t>Type : double (2 lisses) [SWL CALA], [NBN ISO 21542] et [BS 8300]</w:t>
      </w:r>
    </w:p>
    <w:p w14:paraId="581640B1" w14:textId="77777777" w:rsidR="00DB2B68" w:rsidRDefault="00000000">
      <w:r>
        <w:t>Position : de chaque côté de l’escalier [CoDT] et [SWL CALA]</w:t>
      </w:r>
    </w:p>
    <w:p w14:paraId="68BCA250" w14:textId="77777777" w:rsidR="00DB2B68" w:rsidRDefault="00000000">
      <w:r>
        <w:t>Géométrie : solides et continues sur les paliers [CoDT] et [SWL CALA]</w:t>
      </w:r>
    </w:p>
    <w:p w14:paraId="27ABB300" w14:textId="77777777" w:rsidR="00DB2B68" w:rsidRDefault="00000000">
      <w:r>
        <w:t>Prolongement : [CoDT] et [SWL CALA]</w:t>
      </w:r>
    </w:p>
    <w:p w14:paraId="00FEDBF9" w14:textId="77777777" w:rsidR="00DB2B68" w:rsidRDefault="00000000">
      <w:pPr>
        <w:pStyle w:val="Author-eListParagraph"/>
        <w:numPr>
          <w:ilvl w:val="0"/>
          <w:numId w:val="142"/>
        </w:numPr>
      </w:pPr>
      <w:r>
        <w:t>Côté mur : prolongement de 40 cm à l’origine et à l’extrémité de l’escalier</w:t>
      </w:r>
    </w:p>
    <w:p w14:paraId="4C49922F" w14:textId="77777777" w:rsidR="00DB2B68" w:rsidRDefault="00000000">
      <w:pPr>
        <w:pStyle w:val="Author-eListParagraph"/>
        <w:numPr>
          <w:ilvl w:val="0"/>
          <w:numId w:val="142"/>
        </w:numPr>
      </w:pPr>
      <w:r>
        <w:t>Côté vide : prolongement jusqu’au sol, et de 40 cm à l’origine et à l’extrémité de l’escalier pour autant que ce prolongement ne représente aucun obstacle ni danger    </w:t>
      </w:r>
    </w:p>
    <w:p w14:paraId="3D79EDCA" w14:textId="77777777" w:rsidR="00DB2B68" w:rsidRDefault="00000000">
      <w:r>
        <w:t>Hauteur : [SWL CALA] et [NBN ISO 21542]</w:t>
      </w:r>
    </w:p>
    <w:p w14:paraId="09A44616" w14:textId="77777777" w:rsidR="00DB2B68" w:rsidRDefault="00000000">
      <w:pPr>
        <w:pStyle w:val="Author-eListParagraph"/>
        <w:numPr>
          <w:ilvl w:val="0"/>
          <w:numId w:val="143"/>
        </w:numPr>
      </w:pPr>
      <w:r>
        <w:t>Main-courante principale : entre 85 et 100 cm par rapport au nez de marche</w:t>
      </w:r>
    </w:p>
    <w:p w14:paraId="7E217C73" w14:textId="77777777" w:rsidR="00DB2B68" w:rsidRDefault="00000000">
      <w:pPr>
        <w:pStyle w:val="Author-eListParagraph"/>
        <w:numPr>
          <w:ilvl w:val="0"/>
          <w:numId w:val="143"/>
        </w:numPr>
      </w:pPr>
      <w:r>
        <w:t>Main-courante secondaire : entre 60 et 75 cm par rapport au nez de marche</w:t>
      </w:r>
    </w:p>
    <w:p w14:paraId="65B04C66" w14:textId="77777777" w:rsidR="00DB2B68" w:rsidRDefault="00000000">
      <w:r>
        <w:t>Distance du mur : 4 cm minimum [SWL CALA]</w:t>
      </w:r>
    </w:p>
    <w:p w14:paraId="376FD260" w14:textId="77777777" w:rsidR="00DB2B68" w:rsidRDefault="00000000">
      <w:r>
        <w:t>Diamètre : entre 4 et 5 cm [SWL CALA]</w:t>
      </w:r>
    </w:p>
    <w:p w14:paraId="57E6873D" w14:textId="77777777" w:rsidR="00DB2B68" w:rsidRDefault="00000000">
      <w:r>
        <w:t>Contraste : différence de coefficient de réflexion (LRV) entre la main courante et son support de minimum 30% [NBN ISO 21542] et [BS 8300]</w:t>
      </w:r>
    </w:p>
    <w:p w14:paraId="41DF0B3F" w14:textId="77777777" w:rsidR="00DB2B68" w:rsidRDefault="00000000">
      <w:pPr>
        <w:pStyle w:val="Author-eSectionHeading6Numberless"/>
      </w:pPr>
      <w:bookmarkStart w:id="105" w:name="_Toc220495259"/>
      <w:r>
        <w:t>21.15.1a Assises d'escaliers en maçonnerie (pour finition ultérieure) CCTB 01.04</w:t>
      </w:r>
      <w:bookmarkEnd w:id="105"/>
    </w:p>
    <w:p w14:paraId="24BF52CB" w14:textId="77777777" w:rsidR="00DB2B68" w:rsidRDefault="00000000">
      <w:pPr>
        <w:pStyle w:val="Author-eSectionHeading6Numberless"/>
      </w:pPr>
      <w:bookmarkStart w:id="106" w:name="_Toc220495260"/>
      <w:r>
        <w:t>21.15.1b Escaliers en briques CCTB 01.02</w:t>
      </w:r>
      <w:bookmarkEnd w:id="106"/>
    </w:p>
    <w:p w14:paraId="5AD80698" w14:textId="77777777" w:rsidR="00DB2B68" w:rsidRDefault="00000000">
      <w:pPr>
        <w:pStyle w:val="Author-eSectionHeading6Numberless"/>
      </w:pPr>
      <w:bookmarkStart w:id="107" w:name="_Toc220495261"/>
      <w:r>
        <w:t>21.15.1c Escaliers en pierre naturelle CCTB 01.02</w:t>
      </w:r>
      <w:bookmarkEnd w:id="107"/>
    </w:p>
    <w:p w14:paraId="2C81CEAF" w14:textId="77777777" w:rsidR="00DB2B68" w:rsidRDefault="00000000">
      <w:pPr>
        <w:pStyle w:val="Author-eSectionHeading6Numberless"/>
      </w:pPr>
      <w:bookmarkStart w:id="108" w:name="_Toc220495262"/>
      <w:r>
        <w:t>21.15.1d Assises d'escaliers en maçonnerie en blocs de béton CCTB 01.04</w:t>
      </w:r>
      <w:bookmarkEnd w:id="108"/>
    </w:p>
    <w:p w14:paraId="0AE2E4C5" w14:textId="77777777" w:rsidR="00DB2B68" w:rsidRDefault="00000000">
      <w:pPr>
        <w:pStyle w:val="Author-eSectionHeading6Numberless"/>
      </w:pPr>
      <w:bookmarkStart w:id="109" w:name="_Toc220495263"/>
      <w:r>
        <w:t>21.15.1e Assises d'escaliers en maçonnerie en briques CCTB 01.04</w:t>
      </w:r>
      <w:bookmarkEnd w:id="109"/>
    </w:p>
    <w:p w14:paraId="3D6F2133" w14:textId="77777777" w:rsidR="00DB2B68" w:rsidRDefault="00000000">
      <w:pPr>
        <w:pStyle w:val="Author-eSectionHeading6Numberless"/>
      </w:pPr>
      <w:bookmarkStart w:id="110" w:name="_Toc220495264"/>
      <w:r>
        <w:t>21.15.1f Finitions d'escaliers CCTB 01.04</w:t>
      </w:r>
      <w:bookmarkEnd w:id="110"/>
    </w:p>
    <w:p w14:paraId="6B596DE1" w14:textId="77777777" w:rsidR="00DB2B68" w:rsidRDefault="00000000">
      <w:pPr>
        <w:pStyle w:val="pheading"/>
      </w:pPr>
      <w:r>
        <w:t>DESCRIPTION</w:t>
      </w:r>
    </w:p>
    <w:p w14:paraId="60D92E19" w14:textId="77777777" w:rsidR="00DB2B68" w:rsidRDefault="00000000">
      <w:pPr>
        <w:pStyle w:val="pheading"/>
      </w:pPr>
      <w:r>
        <w:t>- Définition / Comprend</w:t>
      </w:r>
    </w:p>
    <w:p w14:paraId="06CA5B83" w14:textId="77777777" w:rsidR="00DB2B68" w:rsidRDefault="00000000">
      <w:r>
        <w:t>Renvoi au §57.1 Escaliers et garde-corps complets</w:t>
      </w:r>
    </w:p>
    <w:p w14:paraId="1C256FAF" w14:textId="77777777" w:rsidR="00DB2B68" w:rsidRDefault="00000000">
      <w:pPr>
        <w:pStyle w:val="Author-eSectionHeading5Numberless"/>
      </w:pPr>
      <w:bookmarkStart w:id="111" w:name="_Toc220495265"/>
      <w:r>
        <w:t>21.15.2 Garde-corps et rampes en maçonnerie CCTB 01.13</w:t>
      </w:r>
      <w:bookmarkEnd w:id="111"/>
    </w:p>
    <w:p w14:paraId="633A3DCD" w14:textId="77777777" w:rsidR="00DB2B68" w:rsidRDefault="00000000">
      <w:pPr>
        <w:pStyle w:val="pheading"/>
      </w:pPr>
      <w:bookmarkStart w:id="112" w:name="1115"/>
      <w:bookmarkEnd w:id="112"/>
      <w:r>
        <w:t>DOCUMENTS DE RÉFÉRENCE</w:t>
      </w:r>
    </w:p>
    <w:p w14:paraId="4C61C846" w14:textId="77777777" w:rsidR="00DB2B68" w:rsidRDefault="00000000">
      <w:pPr>
        <w:pStyle w:val="pheading"/>
      </w:pPr>
      <w:r>
        <w:t>- Exécution</w:t>
      </w:r>
    </w:p>
    <w:p w14:paraId="5E4D075C" w14:textId="77777777" w:rsidR="00DB2B68" w:rsidRDefault="00000000">
      <w:r>
        <w:t>[NBN B 03-004, Garde-corps de bâtiments]</w:t>
      </w:r>
    </w:p>
    <w:p w14:paraId="4C203DC5" w14:textId="77777777" w:rsidR="00DB2B68" w:rsidRDefault="00000000">
      <w:pPr>
        <w:pStyle w:val="pheading"/>
      </w:pPr>
      <w:r>
        <w:t>AIDE</w:t>
      </w:r>
    </w:p>
    <w:p w14:paraId="0BEE973F" w14:textId="77777777" w:rsidR="00DB2B68" w:rsidRDefault="00000000">
      <w:r>
        <w:t>Note à l'auteur de projet</w:t>
      </w:r>
    </w:p>
    <w:p w14:paraId="5B2CF5D8" w14:textId="77777777" w:rsidR="00DB2B68" w:rsidRDefault="00000000">
      <w:r>
        <w:rPr>
          <w:b/>
          <w:shd w:val="clear" w:color="auto" w:fill="FFFFFF"/>
        </w:rPr>
        <w:t>Accessibilité aux personnes à mobilité réduite (PMR)</w:t>
      </w:r>
    </w:p>
    <w:p w14:paraId="66E054E1" w14:textId="77777777" w:rsidR="00DB2B68" w:rsidRDefault="00000000">
      <w:r>
        <w:rPr>
          <w:i/>
        </w:rPr>
        <w:t>Main-courantes :</w:t>
      </w:r>
    </w:p>
    <w:p w14:paraId="47252DC7" w14:textId="77777777" w:rsidR="00DB2B68" w:rsidRDefault="00000000">
      <w:r>
        <w:t>Type : double (2 lisses) [SWL CALA], [NBN ISO 21542] et [BS 8300]</w:t>
      </w:r>
    </w:p>
    <w:p w14:paraId="785A16A9" w14:textId="77777777" w:rsidR="00DB2B68" w:rsidRDefault="00000000">
      <w:r>
        <w:t>Position : de chaque côté de l’escalier [CoDT] et [SWL CALA]</w:t>
      </w:r>
    </w:p>
    <w:p w14:paraId="33245CC3" w14:textId="77777777" w:rsidR="00DB2B68" w:rsidRDefault="00000000">
      <w:r>
        <w:t>Géométrie : solides et continues sur les paliers [CoDT] et [SWL CALA]</w:t>
      </w:r>
    </w:p>
    <w:p w14:paraId="150778FD" w14:textId="77777777" w:rsidR="00DB2B68" w:rsidRDefault="00000000">
      <w:r>
        <w:lastRenderedPageBreak/>
        <w:t>Prolongement : [CoDT] et [SWL CALA]</w:t>
      </w:r>
    </w:p>
    <w:p w14:paraId="5AB934B6" w14:textId="77777777" w:rsidR="00DB2B68" w:rsidRDefault="00000000">
      <w:pPr>
        <w:pStyle w:val="Author-eListParagraph"/>
        <w:numPr>
          <w:ilvl w:val="0"/>
          <w:numId w:val="144"/>
        </w:numPr>
      </w:pPr>
      <w:r>
        <w:t>Côté mur : prolongement de 40 cm à l’origine et à l’extrémité de l’escalier</w:t>
      </w:r>
    </w:p>
    <w:p w14:paraId="0E2809CE" w14:textId="77777777" w:rsidR="00DB2B68" w:rsidRDefault="00000000">
      <w:pPr>
        <w:pStyle w:val="Author-eListParagraph"/>
        <w:numPr>
          <w:ilvl w:val="0"/>
          <w:numId w:val="144"/>
        </w:numPr>
      </w:pPr>
      <w:r>
        <w:t>Côté vide : prolongement jusqu’au sol et de 40 cm, à l’origine et à l’extrémité de l’escalier pour autant que ce prolongement ne représente aucun obstacle ni danger    </w:t>
      </w:r>
    </w:p>
    <w:p w14:paraId="310CD597" w14:textId="77777777" w:rsidR="00DB2B68" w:rsidRDefault="00000000">
      <w:r>
        <w:t>Hauteur : [SWL CALA] et [NBN ISO 21542]</w:t>
      </w:r>
    </w:p>
    <w:p w14:paraId="546ACCB5" w14:textId="77777777" w:rsidR="00DB2B68" w:rsidRDefault="00000000">
      <w:pPr>
        <w:pStyle w:val="Author-eListParagraph"/>
        <w:numPr>
          <w:ilvl w:val="0"/>
          <w:numId w:val="145"/>
        </w:numPr>
      </w:pPr>
      <w:r>
        <w:t>Main-courante principale : entre 85 et 100 cm par rapport au nez de marche</w:t>
      </w:r>
    </w:p>
    <w:p w14:paraId="203C2734" w14:textId="77777777" w:rsidR="00DB2B68" w:rsidRDefault="00000000">
      <w:pPr>
        <w:pStyle w:val="Author-eListParagraph"/>
        <w:numPr>
          <w:ilvl w:val="0"/>
          <w:numId w:val="145"/>
        </w:numPr>
      </w:pPr>
      <w:r>
        <w:t>Main-courante secondaire : entre 60 et 75 cm par rapport au nez de marche</w:t>
      </w:r>
    </w:p>
    <w:p w14:paraId="3EB8BB80" w14:textId="77777777" w:rsidR="00DB2B68" w:rsidRDefault="00000000">
      <w:r>
        <w:t>Distance du mur : 4 cm minimum [SWL CALA]</w:t>
      </w:r>
    </w:p>
    <w:p w14:paraId="4FFDED86" w14:textId="77777777" w:rsidR="00DB2B68" w:rsidRDefault="00000000">
      <w:r>
        <w:t>Diamètre : entre 4 et 5 cm [SWL CALA]</w:t>
      </w:r>
    </w:p>
    <w:p w14:paraId="5B8E0738" w14:textId="77777777" w:rsidR="00DB2B68" w:rsidRDefault="00000000">
      <w:r>
        <w:t>Contraste: différence de coefficient de réflexion (LRV) entre la main courante et son support de minimum 30% [NBN ISO 21542] et [BS 8300]</w:t>
      </w:r>
    </w:p>
    <w:p w14:paraId="72B7CB81" w14:textId="77777777" w:rsidR="00DB2B68" w:rsidRDefault="00000000">
      <w:pPr>
        <w:pStyle w:val="Author-eSectionHeading6Numberless"/>
      </w:pPr>
      <w:bookmarkStart w:id="113" w:name="_Toc220495266"/>
      <w:r>
        <w:t>21.15.2a Garde-corps en briques de terre cuite CCTB 01.04</w:t>
      </w:r>
      <w:bookmarkEnd w:id="113"/>
    </w:p>
    <w:p w14:paraId="1006FDBD" w14:textId="77777777" w:rsidR="00DB2B68" w:rsidRDefault="00000000">
      <w:pPr>
        <w:pStyle w:val="Author-eSectionHeading6Numberless"/>
      </w:pPr>
      <w:bookmarkStart w:id="114" w:name="_Toc220495267"/>
      <w:r>
        <w:t>21.15.2b Garde-corps en briques de béton CCTB 01.04</w:t>
      </w:r>
      <w:bookmarkEnd w:id="114"/>
    </w:p>
    <w:p w14:paraId="77410875" w14:textId="77777777" w:rsidR="00DB2B68" w:rsidRDefault="00000000">
      <w:pPr>
        <w:pStyle w:val="Author-eSectionHeading6Numberless"/>
      </w:pPr>
      <w:bookmarkStart w:id="115" w:name="_Toc220495268"/>
      <w:r>
        <w:t>21.15.2c Garde-corps en blocs de béton CCTB 01.04</w:t>
      </w:r>
      <w:bookmarkEnd w:id="115"/>
    </w:p>
    <w:p w14:paraId="14EE77AD" w14:textId="77777777" w:rsidR="00DB2B68" w:rsidRDefault="00000000">
      <w:pPr>
        <w:pStyle w:val="Author-eSectionHeading6Numberless"/>
      </w:pPr>
      <w:bookmarkStart w:id="116" w:name="_Toc220495269"/>
      <w:r>
        <w:t>21.15.2d Garde-corps en pierre naturelle CCTB 01.02</w:t>
      </w:r>
      <w:bookmarkEnd w:id="116"/>
    </w:p>
    <w:p w14:paraId="1B71F567" w14:textId="77777777" w:rsidR="00DB2B68" w:rsidRDefault="00000000">
      <w:pPr>
        <w:pStyle w:val="Author-eSectionHeading5Numberless"/>
      </w:pPr>
      <w:bookmarkStart w:id="117" w:name="_Toc220495270"/>
      <w:r>
        <w:t>21.15.3 Colonnes et piliers CCTB 01.11</w:t>
      </w:r>
      <w:bookmarkEnd w:id="117"/>
    </w:p>
    <w:p w14:paraId="7DE023D1" w14:textId="77777777" w:rsidR="00DB2B68" w:rsidRDefault="00000000">
      <w:pPr>
        <w:pStyle w:val="pheading"/>
      </w:pPr>
      <w:r>
        <w:t>DESCRIPTION</w:t>
      </w:r>
    </w:p>
    <w:p w14:paraId="1ACAF9FF" w14:textId="77777777" w:rsidR="00DB2B68" w:rsidRDefault="00000000">
      <w:pPr>
        <w:pStyle w:val="pheading"/>
      </w:pPr>
      <w:r>
        <w:t>- Définition / Comprend</w:t>
      </w:r>
    </w:p>
    <w:p w14:paraId="77E562DB" w14:textId="77777777" w:rsidR="00DB2B68" w:rsidRDefault="00000000">
      <w:pPr>
        <w:jc w:val="both"/>
      </w:pPr>
      <w:r>
        <w:t>Il s’agit de la fourniture et de tous les travaux de réalisation de colonnes et piliers en maçonnerie portante.</w:t>
      </w:r>
    </w:p>
    <w:p w14:paraId="360E66BE" w14:textId="77777777" w:rsidR="00DB2B68" w:rsidRDefault="00000000">
      <w:pPr>
        <w:pStyle w:val="pheading"/>
      </w:pPr>
      <w:r>
        <w:t>EXÉCUTION / MISE EN ŒUVRE</w:t>
      </w:r>
    </w:p>
    <w:p w14:paraId="6188522D" w14:textId="77777777" w:rsidR="00DB2B68" w:rsidRDefault="00000000">
      <w:pPr>
        <w:jc w:val="both"/>
      </w:pPr>
      <w:r>
        <w:t>Conformément au mode de mise en œuvre, les éléments sont maçonnés au mortier ou collés au mortier-colle selon les recommandations accompagnant le produit ou les notes de calcul du bureau d’études.</w:t>
      </w:r>
    </w:p>
    <w:p w14:paraId="45C5694E" w14:textId="77777777" w:rsidR="00DB2B68" w:rsidRDefault="00000000">
      <w:pPr>
        <w:jc w:val="both"/>
      </w:pPr>
      <w:r>
        <w:t>Les piliers en contact avec les terres sont rendus étanches selon la description du </w:t>
      </w:r>
      <w:hyperlink w:anchor="359" w:history="1">
        <w:r>
          <w:rPr>
            <w:color w:val="0000EE"/>
          </w:rPr>
          <w:t>26.12 Traitements d'étanchéisation</w:t>
        </w:r>
      </w:hyperlink>
      <w:r>
        <w:t xml:space="preserve"> et éléments qui en découlent.</w:t>
      </w:r>
    </w:p>
    <w:p w14:paraId="4165B0D3" w14:textId="77777777" w:rsidR="00DB2B68" w:rsidRDefault="00000000">
      <w:pPr>
        <w:pStyle w:val="Author-eSectionHeading6Numberless"/>
      </w:pPr>
      <w:bookmarkStart w:id="118" w:name="_Toc220495271"/>
      <w:r>
        <w:t>21.15.3a Colonnes et piliers en briques de terre cuite CCTB 01.12</w:t>
      </w:r>
      <w:bookmarkEnd w:id="118"/>
    </w:p>
    <w:p w14:paraId="753D602C" w14:textId="77777777" w:rsidR="00DB2B68" w:rsidRDefault="00000000">
      <w:pPr>
        <w:pStyle w:val="pheading"/>
      </w:pPr>
      <w:r>
        <w:t>DESCRIPTION</w:t>
      </w:r>
    </w:p>
    <w:p w14:paraId="4E9F69CD" w14:textId="77777777" w:rsidR="00DB2B68" w:rsidRDefault="00000000">
      <w:pPr>
        <w:pStyle w:val="pheading"/>
      </w:pPr>
      <w:r>
        <w:t>- Définition / Comprend</w:t>
      </w:r>
    </w:p>
    <w:p w14:paraId="54AAB404" w14:textId="77777777" w:rsidR="00DB2B68" w:rsidRDefault="00000000">
      <w:pPr>
        <w:jc w:val="both"/>
      </w:pPr>
      <w:r>
        <w:t>Il s’agit de la fourniture et la pose de maçonneries portantes en briques de terre cuite pour la réalisation des colonnes et piliers.</w:t>
      </w:r>
    </w:p>
    <w:p w14:paraId="33C8CF6D" w14:textId="77777777" w:rsidR="00DB2B68" w:rsidRDefault="00000000">
      <w:pPr>
        <w:pStyle w:val="pheading"/>
      </w:pPr>
      <w:r>
        <w:t>MATÉRIAUX</w:t>
      </w:r>
    </w:p>
    <w:p w14:paraId="39CA577F" w14:textId="77777777" w:rsidR="00DB2B68" w:rsidRDefault="00000000">
      <w:pPr>
        <w:pStyle w:val="pheading"/>
      </w:pPr>
      <w:r>
        <w:t>- Caractéristiques générales</w:t>
      </w:r>
    </w:p>
    <w:p w14:paraId="228B873E" w14:textId="77777777" w:rsidR="00DB2B68" w:rsidRDefault="00000000">
      <w:pPr>
        <w:jc w:val="both"/>
      </w:pPr>
      <w:r>
        <w:t xml:space="preserve">Briques : </w:t>
      </w:r>
      <w:r>
        <w:rPr>
          <w:rStyle w:val="optioncarChar"/>
        </w:rPr>
        <w:t>identiques aux murs</w:t>
      </w:r>
      <w:r>
        <w:t xml:space="preserve"> (par défaut)</w:t>
      </w:r>
      <w:r>
        <w:rPr>
          <w:rStyle w:val="optioncarChar"/>
        </w:rPr>
        <w:t xml:space="preserve"> / suivant prescriptions</w:t>
      </w:r>
    </w:p>
    <w:p w14:paraId="5DD022C6" w14:textId="77777777" w:rsidR="00DB2B68" w:rsidRDefault="00000000">
      <w:pPr>
        <w:jc w:val="both"/>
      </w:pPr>
      <w:r>
        <w:rPr>
          <w:b/>
        </w:rPr>
        <w:t>Identiques aux murs :</w:t>
      </w:r>
    </w:p>
    <w:p w14:paraId="14D2EA30" w14:textId="77777777" w:rsidR="00DB2B68" w:rsidRDefault="00000000">
      <w:pPr>
        <w:jc w:val="both"/>
      </w:pPr>
      <w:r>
        <w:t>Les briques utilisées pour les colonnes/piliers sont identiques et ont la même provenance que les briques utilisées pour les maçonneries des murs</w:t>
      </w:r>
      <w:r>
        <w:rPr>
          <w:rStyle w:val="optioncarChar"/>
        </w:rPr>
        <w:t xml:space="preserve"> portants</w:t>
      </w:r>
      <w:r>
        <w:t xml:space="preserve"> (par défaut)</w:t>
      </w:r>
      <w:r>
        <w:rPr>
          <w:rStyle w:val="optioncarChar"/>
        </w:rPr>
        <w:t xml:space="preserve"> / de parement</w:t>
      </w:r>
      <w:r>
        <w:t xml:space="preserve"> en briques de terre cuite.</w:t>
      </w:r>
    </w:p>
    <w:p w14:paraId="7A6EE842" w14:textId="77777777" w:rsidR="00DB2B68" w:rsidRDefault="00000000">
      <w:pPr>
        <w:jc w:val="both"/>
      </w:pPr>
      <w:r>
        <w:rPr>
          <w:b/>
        </w:rPr>
        <w:t>(soit par défaut)</w:t>
      </w:r>
    </w:p>
    <w:p w14:paraId="0BD12E5B" w14:textId="77777777" w:rsidR="00DB2B68" w:rsidRDefault="00000000">
      <w:pPr>
        <w:jc w:val="both"/>
      </w:pPr>
      <w:r>
        <w:rPr>
          <w:rStyle w:val="soitChar"/>
          <w:u w:val="single"/>
        </w:rPr>
        <w:t>Portants :</w:t>
      </w:r>
    </w:p>
    <w:p w14:paraId="72EC0EA1" w14:textId="77777777" w:rsidR="00DB2B68" w:rsidRDefault="00000000">
      <w:pPr>
        <w:jc w:val="both"/>
      </w:pPr>
      <w:r>
        <w:rPr>
          <w:rStyle w:val="soitChar"/>
        </w:rPr>
        <w:lastRenderedPageBreak/>
        <w:t xml:space="preserve">Voir les prescriptions du matériau aux éléments qui découlent du </w:t>
      </w:r>
      <w:hyperlink w:anchor="378" w:history="1">
        <w:r>
          <w:rPr>
            <w:rStyle w:val="soitChar"/>
            <w:color w:val="0000EE"/>
          </w:rPr>
          <w:t>21.11.1 Maçonneries portantes en briques de terre cuite</w:t>
        </w:r>
      </w:hyperlink>
      <w:r>
        <w:rPr>
          <w:rStyle w:val="soitChar"/>
        </w:rPr>
        <w:t>.</w:t>
      </w:r>
    </w:p>
    <w:p w14:paraId="64FA31D1" w14:textId="77777777" w:rsidR="00DB2B68" w:rsidRDefault="00000000">
      <w:pPr>
        <w:jc w:val="both"/>
      </w:pPr>
      <w:r>
        <w:rPr>
          <w:b/>
        </w:rPr>
        <w:t>(soit)</w:t>
      </w:r>
    </w:p>
    <w:p w14:paraId="6D561E87" w14:textId="77777777" w:rsidR="00DB2B68" w:rsidRDefault="00000000">
      <w:pPr>
        <w:jc w:val="both"/>
      </w:pPr>
      <w:r>
        <w:rPr>
          <w:rStyle w:val="soitChar"/>
          <w:u w:val="single"/>
        </w:rPr>
        <w:t>De parement :</w:t>
      </w:r>
    </w:p>
    <w:p w14:paraId="1BDE07B3" w14:textId="77777777" w:rsidR="00DB2B68" w:rsidRDefault="00000000">
      <w:pPr>
        <w:jc w:val="both"/>
      </w:pPr>
      <w:r>
        <w:rPr>
          <w:rStyle w:val="soitChar"/>
        </w:rPr>
        <w:t xml:space="preserve">Voir les prescriptions du matériau aux éléments qui découlent du </w:t>
      </w:r>
      <w:hyperlink w:anchor="379" w:history="1">
        <w:r>
          <w:rPr>
            <w:rStyle w:val="soitChar"/>
            <w:color w:val="0000EE"/>
          </w:rPr>
          <w:t>21.31.1 Maçonneries de parement en briques de terre cuite</w:t>
        </w:r>
      </w:hyperlink>
      <w:r>
        <w:rPr>
          <w:rStyle w:val="soitChar"/>
        </w:rPr>
        <w:t>.</w:t>
      </w:r>
    </w:p>
    <w:p w14:paraId="2FDA0BCF" w14:textId="77777777" w:rsidR="00DB2B68" w:rsidRDefault="00000000">
      <w:pPr>
        <w:jc w:val="both"/>
      </w:pPr>
      <w:r>
        <w:rPr>
          <w:b/>
        </w:rPr>
        <w:t>Suivant prescriptions :</w:t>
      </w:r>
    </w:p>
    <w:p w14:paraId="5B03DD5D" w14:textId="77777777" w:rsidR="00DB2B68" w:rsidRDefault="00000000">
      <w:pPr>
        <w:jc w:val="both"/>
      </w:pPr>
      <w:r>
        <w:t>Les briques de construction en terre cuite répondent au [PTV 23-002] et à la norme [NBN EN 771-1+A1] :</w:t>
      </w:r>
    </w:p>
    <w:p w14:paraId="3E501878" w14:textId="77777777" w:rsidR="00DB2B68" w:rsidRDefault="00000000">
      <w:pPr>
        <w:pStyle w:val="Author-eListParagraph"/>
        <w:numPr>
          <w:ilvl w:val="0"/>
          <w:numId w:val="146"/>
        </w:numPr>
      </w:pPr>
      <w:r>
        <w:t xml:space="preserve">Masse volumique sèche apparente des briques ρ (rho) ≥ </w:t>
      </w:r>
      <w:r>
        <w:rPr>
          <w:rStyle w:val="optioncarChar"/>
        </w:rPr>
        <w:t xml:space="preserve">*** </w:t>
      </w:r>
      <w:r>
        <w:t>kg/m³</w:t>
      </w:r>
    </w:p>
    <w:p w14:paraId="21C78BB6" w14:textId="77777777" w:rsidR="00DB2B68" w:rsidRDefault="00000000">
      <w:pPr>
        <w:pStyle w:val="Author-eListParagraph"/>
        <w:numPr>
          <w:ilvl w:val="0"/>
          <w:numId w:val="146"/>
        </w:numPr>
      </w:pPr>
      <w:r>
        <w:t>Type de briques : </w:t>
      </w:r>
      <w:r>
        <w:rPr>
          <w:rStyle w:val="optioncarChar"/>
        </w:rPr>
        <w:t xml:space="preserve">moulées à la main </w:t>
      </w:r>
      <w:r>
        <w:t xml:space="preserve">(par défaut) </w:t>
      </w:r>
      <w:r>
        <w:rPr>
          <w:rStyle w:val="optioncarChar"/>
        </w:rPr>
        <w:t>/ pleines / pressées / perforées / étirées / ***</w:t>
      </w:r>
    </w:p>
    <w:p w14:paraId="7F478FF8" w14:textId="77777777" w:rsidR="00DB2B68" w:rsidRDefault="00000000">
      <w:pPr>
        <w:pStyle w:val="Author-eListParagraph"/>
        <w:numPr>
          <w:ilvl w:val="0"/>
          <w:numId w:val="146"/>
        </w:numPr>
      </w:pPr>
      <w:r>
        <w:t xml:space="preserve">Face visible : </w:t>
      </w:r>
      <w:r>
        <w:rPr>
          <w:rStyle w:val="optioncarChar"/>
        </w:rPr>
        <w:t xml:space="preserve">lisse </w:t>
      </w:r>
      <w:r>
        <w:t>(par défaut) </w:t>
      </w:r>
      <w:r>
        <w:rPr>
          <w:rStyle w:val="optioncarChar"/>
        </w:rPr>
        <w:t>/ striée / émaillée / étirée / ***</w:t>
      </w:r>
    </w:p>
    <w:p w14:paraId="776B088A" w14:textId="77777777" w:rsidR="00DB2B68" w:rsidRDefault="00000000">
      <w:pPr>
        <w:pStyle w:val="Author-eListParagraph"/>
        <w:numPr>
          <w:ilvl w:val="0"/>
          <w:numId w:val="146"/>
        </w:numPr>
      </w:pPr>
      <w:r>
        <w:t>Teinte : </w:t>
      </w:r>
      <w:r>
        <w:rPr>
          <w:rStyle w:val="optioncarChar"/>
        </w:rPr>
        <w:t>blanc / rouge</w:t>
      </w:r>
      <w:r>
        <w:rPr>
          <w:rStyle w:val="optioncarChar"/>
          <w:color w:val="000000"/>
        </w:rPr>
        <w:t xml:space="preserve"> (par défaut)</w:t>
      </w:r>
      <w:r>
        <w:rPr>
          <w:rStyle w:val="optioncarChar"/>
        </w:rPr>
        <w:t xml:space="preserve"> / gris / ***</w:t>
      </w:r>
    </w:p>
    <w:p w14:paraId="60338241" w14:textId="77777777" w:rsidR="00DB2B68" w:rsidRDefault="00000000">
      <w:pPr>
        <w:pStyle w:val="Author-eListParagraph"/>
        <w:numPr>
          <w:ilvl w:val="0"/>
          <w:numId w:val="146"/>
        </w:numPr>
      </w:pPr>
      <w:r>
        <w:t xml:space="preserve">Format : (L x l x h) = </w:t>
      </w:r>
      <w:r>
        <w:rPr>
          <w:rStyle w:val="optioncarChar"/>
        </w:rPr>
        <w:t xml:space="preserve">proposé par l'entrepreneur </w:t>
      </w:r>
      <w:r>
        <w:t>(par défaut)</w:t>
      </w:r>
      <w:r>
        <w:rPr>
          <w:rStyle w:val="optioncarChar"/>
        </w:rPr>
        <w:t xml:space="preserve"> / *** x *** x *** </w:t>
      </w:r>
      <w:r>
        <w:t>mm</w:t>
      </w:r>
    </w:p>
    <w:p w14:paraId="3318D5A6" w14:textId="77777777" w:rsidR="00DB2B68" w:rsidRDefault="00000000">
      <w:pPr>
        <w:pStyle w:val="Author-eListParagraph"/>
        <w:numPr>
          <w:ilvl w:val="0"/>
          <w:numId w:val="146"/>
        </w:numPr>
        <w:jc w:val="both"/>
      </w:pPr>
      <w:r>
        <w:t xml:space="preserve">Tolérances dimensionnelles : </w:t>
      </w:r>
    </w:p>
    <w:p w14:paraId="5AC91992" w14:textId="77777777" w:rsidR="00DB2B68" w:rsidRDefault="00000000">
      <w:pPr>
        <w:pStyle w:val="Author-eListParagraph"/>
        <w:numPr>
          <w:ilvl w:val="1"/>
          <w:numId w:val="147"/>
        </w:numPr>
        <w:jc w:val="both"/>
      </w:pPr>
      <w:r>
        <w:t>tolérances de la valeur moyenne : </w:t>
      </w:r>
      <w:r>
        <w:rPr>
          <w:rStyle w:val="optioncarChar"/>
        </w:rPr>
        <w:t xml:space="preserve">T1 / T2 / Tm </w:t>
      </w:r>
      <w:r>
        <w:t>(par défaut)</w:t>
      </w:r>
      <w:r>
        <w:rPr>
          <w:rStyle w:val="optioncarChar"/>
        </w:rPr>
        <w:t xml:space="preserve"> / non spécifié</w:t>
      </w:r>
    </w:p>
    <w:p w14:paraId="6FE6CED4" w14:textId="77777777" w:rsidR="00DB2B68" w:rsidRDefault="00000000">
      <w:pPr>
        <w:pStyle w:val="Author-eListParagraph"/>
        <w:numPr>
          <w:ilvl w:val="1"/>
          <w:numId w:val="147"/>
        </w:numPr>
        <w:jc w:val="both"/>
      </w:pPr>
      <w:r>
        <w:t>plage : </w:t>
      </w:r>
      <w:r>
        <w:rPr>
          <w:rStyle w:val="optioncarChar"/>
        </w:rPr>
        <w:t xml:space="preserve">R1 / R2 / Rm </w:t>
      </w:r>
      <w:r>
        <w:t xml:space="preserve">(par défaut) </w:t>
      </w:r>
      <w:r>
        <w:rPr>
          <w:rStyle w:val="optioncarChar"/>
        </w:rPr>
        <w:t>/ non spécifié</w:t>
      </w:r>
    </w:p>
    <w:p w14:paraId="04997E3A" w14:textId="77777777" w:rsidR="00DB2B68" w:rsidRDefault="00000000">
      <w:pPr>
        <w:pStyle w:val="Author-eListParagraph"/>
        <w:numPr>
          <w:ilvl w:val="0"/>
          <w:numId w:val="146"/>
        </w:numPr>
        <w:jc w:val="both"/>
      </w:pPr>
      <w:r>
        <w:t>Classe d’exposition déterminant la résistance au gel, selon [NBN EN 1996-2] et [NIT 271].</w:t>
      </w:r>
    </w:p>
    <w:p w14:paraId="0F8C1711" w14:textId="77777777" w:rsidR="00DB2B68" w:rsidRDefault="00000000">
      <w:pPr>
        <w:pStyle w:val="Author-eListParagraph"/>
        <w:numPr>
          <w:ilvl w:val="0"/>
          <w:numId w:val="146"/>
        </w:numPr>
        <w:jc w:val="both"/>
      </w:pPr>
      <w:r>
        <w:t xml:space="preserve">Origine des briques : </w:t>
      </w:r>
      <w:r>
        <w:rPr>
          <w:rStyle w:val="optioncarChar"/>
        </w:rPr>
        <w:t xml:space="preserve">neuves </w:t>
      </w:r>
      <w:r>
        <w:t xml:space="preserve">(par défaut) </w:t>
      </w:r>
      <w:r>
        <w:rPr>
          <w:rStyle w:val="optioncarChar"/>
        </w:rPr>
        <w:t>/ de réemploi</w:t>
      </w:r>
    </w:p>
    <w:p w14:paraId="0C5DB029" w14:textId="77777777" w:rsidR="00DB2B68" w:rsidRDefault="00000000">
      <w:pPr>
        <w:ind w:left="567"/>
        <w:jc w:val="both"/>
      </w:pPr>
      <w:r>
        <w:rPr>
          <w:b/>
        </w:rPr>
        <w:t>(soit par défaut)</w:t>
      </w:r>
    </w:p>
    <w:p w14:paraId="013BC53A" w14:textId="77777777" w:rsidR="00DB2B68" w:rsidRDefault="00000000">
      <w:pPr>
        <w:ind w:left="567"/>
        <w:jc w:val="both"/>
      </w:pPr>
      <w:r>
        <w:rPr>
          <w:rStyle w:val="soitChar"/>
          <w:u w:val="single"/>
        </w:rPr>
        <w:t>Neuve :</w:t>
      </w:r>
    </w:p>
    <w:p w14:paraId="6D09FB9D" w14:textId="77777777" w:rsidR="00DB2B68" w:rsidRDefault="00000000">
      <w:pPr>
        <w:pStyle w:val="Author-eListParagraph"/>
        <w:numPr>
          <w:ilvl w:val="0"/>
          <w:numId w:val="148"/>
        </w:numPr>
      </w:pPr>
      <w:r>
        <w:rPr>
          <w:rStyle w:val="soitChar"/>
        </w:rPr>
        <w:t xml:space="preserve">Utilisation de la brique : brique </w:t>
      </w:r>
      <w:r>
        <w:rPr>
          <w:rStyle w:val="optioncarChar"/>
        </w:rPr>
        <w:t xml:space="preserve">U (non protégée) </w:t>
      </w:r>
      <w:r>
        <w:t>(par défaut)</w:t>
      </w:r>
      <w:r>
        <w:rPr>
          <w:rStyle w:val="optioncarChar"/>
        </w:rPr>
        <w:t xml:space="preserve"> / P (protégée)</w:t>
      </w:r>
    </w:p>
    <w:p w14:paraId="3306A30F" w14:textId="77777777" w:rsidR="00DB2B68" w:rsidRDefault="00000000">
      <w:pPr>
        <w:pStyle w:val="Author-eListParagraph"/>
        <w:numPr>
          <w:ilvl w:val="0"/>
          <w:numId w:val="148"/>
        </w:numPr>
      </w:pPr>
      <w:r>
        <w:rPr>
          <w:rStyle w:val="soitChar"/>
        </w:rPr>
        <w:t>La résistance à la compression des briques est déclarée avec une fiabilité de 95% (catégorie I) :</w:t>
      </w:r>
    </w:p>
    <w:p w14:paraId="20AA408E" w14:textId="77777777" w:rsidR="00DB2B68" w:rsidRDefault="00000000">
      <w:pPr>
        <w:pStyle w:val="Author-eListParagraph"/>
        <w:numPr>
          <w:ilvl w:val="1"/>
          <w:numId w:val="149"/>
        </w:numPr>
      </w:pPr>
      <w:r>
        <w:rPr>
          <w:rStyle w:val="soitChar"/>
        </w:rPr>
        <w:t>Valeur de la résistance en compression </w:t>
      </w:r>
      <w:r>
        <w:rPr>
          <w:rStyle w:val="optioncarChar"/>
        </w:rPr>
        <w:t>moyenne (f</w:t>
      </w:r>
      <w:r>
        <w:rPr>
          <w:rStyle w:val="optioncarChar"/>
          <w:vertAlign w:val="subscript"/>
        </w:rPr>
        <w:t>mean</w:t>
      </w:r>
      <w:r>
        <w:rPr>
          <w:rStyle w:val="optioncarChar"/>
        </w:rPr>
        <w:t>)</w:t>
      </w:r>
      <w:r>
        <w:t> (par défaut)</w:t>
      </w:r>
      <w:r>
        <w:rPr>
          <w:rStyle w:val="optioncarChar"/>
        </w:rPr>
        <w:t xml:space="preserve"> / normalisée (f</w:t>
      </w:r>
      <w:r>
        <w:rPr>
          <w:rStyle w:val="optioncarChar"/>
          <w:vertAlign w:val="subscript"/>
        </w:rPr>
        <w:t>b</w:t>
      </w:r>
      <w:r>
        <w:rPr>
          <w:rStyle w:val="optioncarChar"/>
        </w:rPr>
        <w:t>)</w:t>
      </w:r>
    </w:p>
    <w:p w14:paraId="3E7B53B7" w14:textId="77777777" w:rsidR="00DB2B68" w:rsidRDefault="00000000">
      <w:pPr>
        <w:pStyle w:val="Author-eListParagraph"/>
        <w:numPr>
          <w:ilvl w:val="1"/>
          <w:numId w:val="149"/>
        </w:numPr>
      </w:pPr>
      <w:r>
        <w:rPr>
          <w:rStyle w:val="soitChar"/>
        </w:rPr>
        <w:t xml:space="preserve"> ≥ </w:t>
      </w:r>
      <w:r>
        <w:rPr>
          <w:rStyle w:val="optioncarChar"/>
        </w:rPr>
        <w:t>voir l’étude du bureau de stabilité</w:t>
      </w:r>
      <w:r>
        <w:t xml:space="preserve"> (par défaut)</w:t>
      </w:r>
      <w:r>
        <w:rPr>
          <w:rStyle w:val="optioncarChar"/>
        </w:rPr>
        <w:t xml:space="preserve"> / 10 / 15 / 20 / *** </w:t>
      </w:r>
      <w:r>
        <w:rPr>
          <w:rStyle w:val="soitChar"/>
        </w:rPr>
        <w:t>N/mm² (MPa)</w:t>
      </w:r>
    </w:p>
    <w:p w14:paraId="1C475BF0" w14:textId="77777777" w:rsidR="00DB2B68" w:rsidRDefault="00000000">
      <w:pPr>
        <w:pStyle w:val="Author-eListParagraph"/>
        <w:numPr>
          <w:ilvl w:val="0"/>
          <w:numId w:val="148"/>
        </w:numPr>
      </w:pPr>
      <w:r>
        <w:rPr>
          <w:rStyle w:val="soitChar"/>
        </w:rPr>
        <w:t>Taux initial d’absorption d’eau :</w:t>
      </w:r>
      <w:r>
        <w:rPr>
          <w:rStyle w:val="optioncarChar"/>
        </w:rPr>
        <w:t xml:space="preserve"> IW1</w:t>
      </w:r>
      <w:r>
        <w:t xml:space="preserve"> (par défaut)</w:t>
      </w:r>
      <w:r>
        <w:rPr>
          <w:rStyle w:val="optioncarChar"/>
        </w:rPr>
        <w:t xml:space="preserve"> / IW2 / IW3 / IW4 </w:t>
      </w:r>
    </w:p>
    <w:p w14:paraId="789ED276" w14:textId="77777777" w:rsidR="00DB2B68" w:rsidRDefault="00000000">
      <w:pPr>
        <w:ind w:left="567"/>
        <w:jc w:val="both"/>
      </w:pPr>
      <w:r>
        <w:rPr>
          <w:b/>
        </w:rPr>
        <w:t>(soit)</w:t>
      </w:r>
    </w:p>
    <w:p w14:paraId="7FFCF59F" w14:textId="77777777" w:rsidR="00DB2B68" w:rsidRDefault="00000000">
      <w:pPr>
        <w:ind w:left="567"/>
        <w:jc w:val="both"/>
      </w:pPr>
      <w:r>
        <w:rPr>
          <w:rStyle w:val="soitChar"/>
          <w:u w:val="single"/>
        </w:rPr>
        <w:t>De réemploi :</w:t>
      </w:r>
    </w:p>
    <w:p w14:paraId="2667BF3D" w14:textId="77777777" w:rsidR="00DB2B68" w:rsidRDefault="00000000">
      <w:pPr>
        <w:ind w:left="567"/>
        <w:jc w:val="both"/>
      </w:pPr>
      <w:r>
        <w:rPr>
          <w:rStyle w:val="soitChar"/>
        </w:rPr>
        <w:t>Les briques de récupération sont triées sur palette par lot selon leur origine, leurs dimensions, leur coloration (niveau de cuisson). Un lot comporte en général de 1 à 5 palettes.</w:t>
      </w:r>
    </w:p>
    <w:p w14:paraId="75203EFB" w14:textId="77777777" w:rsidR="00DB2B68" w:rsidRDefault="00000000">
      <w:pPr>
        <w:pStyle w:val="Author-eListParagraph"/>
        <w:numPr>
          <w:ilvl w:val="0"/>
          <w:numId w:val="150"/>
        </w:numPr>
      </w:pPr>
      <w:r>
        <w:rPr>
          <w:rStyle w:val="soitChar"/>
        </w:rPr>
        <w:t>Résistance à la compression  ≥ </w:t>
      </w:r>
      <w:r>
        <w:rPr>
          <w:rStyle w:val="optioncarChar"/>
        </w:rPr>
        <w:t>voir l’étude du bureau de stabilité</w:t>
      </w:r>
      <w:r>
        <w:t xml:space="preserve"> (par défaut)</w:t>
      </w:r>
      <w:r>
        <w:rPr>
          <w:rStyle w:val="optioncarChar"/>
        </w:rPr>
        <w:t xml:space="preserve"> / 10 / 15 / 20 / *** </w:t>
      </w:r>
      <w:r>
        <w:rPr>
          <w:rStyle w:val="soitChar"/>
        </w:rPr>
        <w:t>N/mm² . Echantillon de 5 briques par lot testées en laboratoire suivant la [NBN EN 772-1+A1]</w:t>
      </w:r>
    </w:p>
    <w:p w14:paraId="711D0962" w14:textId="77777777" w:rsidR="00DB2B68" w:rsidRDefault="00DB2B68"/>
    <w:p w14:paraId="01FDEB84" w14:textId="77777777" w:rsidR="00DB2B68" w:rsidRDefault="00000000">
      <w:pPr>
        <w:pStyle w:val="Author-eListParagraph"/>
        <w:numPr>
          <w:ilvl w:val="0"/>
          <w:numId w:val="151"/>
        </w:numPr>
      </w:pPr>
      <w:r>
        <w:t>Réaction au feu selon la [NBN EN 13501-1] : A1</w:t>
      </w:r>
    </w:p>
    <w:p w14:paraId="0540E49F" w14:textId="77777777" w:rsidR="00DB2B68" w:rsidRDefault="00000000">
      <w:pPr>
        <w:pStyle w:val="Author-eListParagraph"/>
        <w:numPr>
          <w:ilvl w:val="0"/>
          <w:numId w:val="151"/>
        </w:numPr>
      </w:pPr>
      <w:r>
        <w:t xml:space="preserve">Résistance au feu, selon la [NBN EN 13501-2] : </w:t>
      </w:r>
      <w:r>
        <w:rPr>
          <w:rStyle w:val="optioncarChar"/>
        </w:rPr>
        <w:t>pas d’application / R30 / R60</w:t>
      </w:r>
      <w:r>
        <w:t xml:space="preserve"> (par défaut)</w:t>
      </w:r>
      <w:r>
        <w:rPr>
          <w:rStyle w:val="optioncarChar"/>
        </w:rPr>
        <w:t xml:space="preserve"> / R90 / R120.</w:t>
      </w:r>
      <w:r>
        <w:br/>
        <w:t>En cas d’application, cette résistance au feu est atteinte sans traitement particulier. Elle est démontrée par test au feu selon la [NBN EN 13501-2] ou par calcul selon l’Eurocode [NBN EN 1996-1-2] conformément à l’[AM 2013-05-17].</w:t>
      </w:r>
    </w:p>
    <w:p w14:paraId="258F6E0C" w14:textId="77777777" w:rsidR="00DB2B68" w:rsidRDefault="00000000">
      <w:pPr>
        <w:pStyle w:val="pheading"/>
      </w:pPr>
      <w:r>
        <w:t>- Finitions</w:t>
      </w:r>
    </w:p>
    <w:p w14:paraId="0A7D9B5E" w14:textId="77777777" w:rsidR="00DB2B68" w:rsidRDefault="00000000">
      <w:pPr>
        <w:jc w:val="both"/>
      </w:pPr>
      <w:r>
        <w:rPr>
          <w:rStyle w:val="optioncarChar"/>
          <w:color w:val="000000"/>
        </w:rPr>
        <w:t xml:space="preserve">Les piliers sont exécutées comme maçonneries apparentes et sont rejointoyées selon </w:t>
      </w:r>
      <w:hyperlink w:anchor="346" w:history="1">
        <w:r>
          <w:rPr>
            <w:rStyle w:val="optioncarChar"/>
            <w:color w:val="0000EE"/>
          </w:rPr>
          <w:t>21.61.1b Joints de maçonnerie apparente</w:t>
        </w:r>
      </w:hyperlink>
      <w:r>
        <w:t>.</w:t>
      </w:r>
    </w:p>
    <w:p w14:paraId="0FBE27A7" w14:textId="77777777" w:rsidR="00DB2B68" w:rsidRDefault="00000000">
      <w:pPr>
        <w:pStyle w:val="pheading"/>
      </w:pPr>
      <w:r>
        <w:t>EXÉCUTION / MISE EN ŒUVRE</w:t>
      </w:r>
    </w:p>
    <w:p w14:paraId="0D03D9DF" w14:textId="77777777" w:rsidR="00DB2B68" w:rsidRDefault="00000000">
      <w:pPr>
        <w:pStyle w:val="pheading"/>
      </w:pPr>
      <w:r>
        <w:t>- Prescriptions générales</w:t>
      </w:r>
    </w:p>
    <w:p w14:paraId="67C9F193" w14:textId="77777777" w:rsidR="00DB2B68" w:rsidRDefault="00000000">
      <w:pPr>
        <w:jc w:val="both"/>
      </w:pPr>
      <w:r>
        <w:lastRenderedPageBreak/>
        <w:t>Les briques sont </w:t>
      </w:r>
      <w:r>
        <w:rPr>
          <w:rStyle w:val="optioncarChar"/>
        </w:rPr>
        <w:t xml:space="preserve">maçonnées au mortier </w:t>
      </w:r>
      <w:r>
        <w:t xml:space="preserve">(par défaut) </w:t>
      </w:r>
      <w:r>
        <w:rPr>
          <w:rStyle w:val="optioncarChar"/>
        </w:rPr>
        <w:t>/ collées au mortier-colle</w:t>
      </w:r>
      <w:r>
        <w:t>.</w:t>
      </w:r>
    </w:p>
    <w:p w14:paraId="49458761" w14:textId="77777777" w:rsidR="00DB2B68" w:rsidRDefault="00000000">
      <w:pPr>
        <w:jc w:val="both"/>
      </w:pPr>
      <w:r>
        <w:t xml:space="preserve">Le mortier de pose répond à la catégorie, selon la [NBN EN 998-2] : </w:t>
      </w:r>
      <w:r>
        <w:rPr>
          <w:rStyle w:val="optioncarChar"/>
        </w:rPr>
        <w:t>M10 / M15</w:t>
      </w:r>
      <w:r>
        <w:t xml:space="preserve"> (par défaut) </w:t>
      </w:r>
      <w:r>
        <w:rPr>
          <w:rStyle w:val="optioncarChar"/>
        </w:rPr>
        <w:t>/ M20 / ***</w:t>
      </w:r>
    </w:p>
    <w:p w14:paraId="0B6776D9" w14:textId="77777777" w:rsidR="00DB2B68" w:rsidRDefault="00000000">
      <w:pPr>
        <w:jc w:val="both"/>
      </w:pPr>
      <w:r>
        <w:t xml:space="preserve">L'épaisseur des joints est ≥ </w:t>
      </w:r>
      <w:r>
        <w:rPr>
          <w:rStyle w:val="optioncarChar"/>
        </w:rPr>
        <w:t xml:space="preserve">3 / 5 / 10 </w:t>
      </w:r>
      <w:r>
        <w:t xml:space="preserve">(par défaut) </w:t>
      </w:r>
      <w:r>
        <w:rPr>
          <w:rStyle w:val="optioncarChar"/>
        </w:rPr>
        <w:t>/ sans joint / ***</w:t>
      </w:r>
      <w:r>
        <w:t xml:space="preserve"> mm </w:t>
      </w:r>
    </w:p>
    <w:p w14:paraId="1B4717CF" w14:textId="77777777" w:rsidR="00DB2B68" w:rsidRDefault="00000000">
      <w:pPr>
        <w:jc w:val="both"/>
      </w:pPr>
      <w:r>
        <w:t>Type d’appareillage : </w:t>
      </w:r>
      <w:r>
        <w:rPr>
          <w:rStyle w:val="optioncarChar"/>
        </w:rPr>
        <w:t>boutisse-panneresse</w:t>
      </w:r>
      <w:r>
        <w:t xml:space="preserve"> (par défaut) </w:t>
      </w:r>
      <w:r>
        <w:rPr>
          <w:rStyle w:val="optioncarChar"/>
        </w:rPr>
        <w:t>/ à demi-brique / ***</w:t>
      </w:r>
    </w:p>
    <w:p w14:paraId="116923CA" w14:textId="77777777" w:rsidR="00DB2B68" w:rsidRDefault="00000000">
      <w:pPr>
        <w:jc w:val="both"/>
      </w:pPr>
      <w:r>
        <w:t>Pour les maçonneries destinées à rester apparentes, seules des briques non endommagées sont utilisées.</w:t>
      </w:r>
    </w:p>
    <w:p w14:paraId="098EA9B8" w14:textId="77777777" w:rsidR="00DB2B68" w:rsidRDefault="00000000">
      <w:pPr>
        <w:jc w:val="both"/>
      </w:pPr>
      <w:r>
        <w:t xml:space="preserve">Isolation contre l'humidité, selon la description des éléments qui découlent du </w:t>
      </w:r>
      <w:hyperlink w:anchor="356" w:history="1">
        <w:r>
          <w:rPr>
            <w:color w:val="0000EE"/>
          </w:rPr>
          <w:t>26.11 Feuilles et membranes d'étanchéité à l'eau</w:t>
        </w:r>
      </w:hyperlink>
      <w:r>
        <w:t xml:space="preserve"> : </w:t>
      </w:r>
      <w:r>
        <w:rPr>
          <w:rStyle w:val="optioncarChar"/>
        </w:rPr>
        <w:t>oui</w:t>
      </w:r>
      <w:r>
        <w:t xml:space="preserve"> (par défaut)</w:t>
      </w:r>
      <w:r>
        <w:rPr>
          <w:rStyle w:val="optioncarChar"/>
        </w:rPr>
        <w:t xml:space="preserve"> / non</w:t>
      </w:r>
    </w:p>
    <w:p w14:paraId="4111A733" w14:textId="77777777" w:rsidR="00DB2B68" w:rsidRDefault="00000000">
      <w:pPr>
        <w:jc w:val="both"/>
      </w:pPr>
      <w:r>
        <w:t xml:space="preserve">Les piliers sont pourvus d'armatures horizontales selon la description des éléments qui découlent du </w:t>
      </w:r>
      <w:hyperlink w:anchor="357" w:history="1">
        <w:r>
          <w:rPr>
            <w:color w:val="0000EE"/>
          </w:rPr>
          <w:t>21.41.1 Armatures horizontales pour maçonneries</w:t>
        </w:r>
      </w:hyperlink>
      <w:r>
        <w:t xml:space="preserve"> : </w:t>
      </w:r>
      <w:r>
        <w:rPr>
          <w:rStyle w:val="optioncarChar"/>
        </w:rPr>
        <w:t>oui</w:t>
      </w:r>
      <w:r>
        <w:t xml:space="preserve"> (par défaut)</w:t>
      </w:r>
      <w:r>
        <w:rPr>
          <w:rStyle w:val="optioncarChar"/>
        </w:rPr>
        <w:t xml:space="preserve"> / non</w:t>
      </w:r>
    </w:p>
    <w:p w14:paraId="5D482193" w14:textId="77777777" w:rsidR="00DB2B68" w:rsidRDefault="00000000">
      <w:pPr>
        <w:jc w:val="both"/>
      </w:pPr>
      <w:r>
        <w:t xml:space="preserve">Les piliers sont pourvus d'armatures verticales selon la description des éléments qui découlent du </w:t>
      </w:r>
      <w:hyperlink w:anchor="358" w:history="1">
        <w:r>
          <w:rPr>
            <w:color w:val="0000EE"/>
          </w:rPr>
          <w:t>21.41.2 Armatures verticales pour maçonneries</w:t>
        </w:r>
      </w:hyperlink>
      <w:r>
        <w:t xml:space="preserve"> : </w:t>
      </w:r>
      <w:r>
        <w:rPr>
          <w:rStyle w:val="optioncarChar"/>
        </w:rPr>
        <w:t>non</w:t>
      </w:r>
      <w:r>
        <w:t xml:space="preserve"> (par défaut)</w:t>
      </w:r>
      <w:r>
        <w:rPr>
          <w:rStyle w:val="optioncarChar"/>
        </w:rPr>
        <w:t xml:space="preserve"> / oui</w:t>
      </w:r>
    </w:p>
    <w:p w14:paraId="333CDA45" w14:textId="77777777" w:rsidR="00DB2B68" w:rsidRDefault="00000000">
      <w:pPr>
        <w:pStyle w:val="pheading"/>
      </w:pPr>
      <w:r>
        <w:t>- Échantillons</w:t>
      </w:r>
    </w:p>
    <w:p w14:paraId="408E690D" w14:textId="77777777" w:rsidR="00DB2B68" w:rsidRDefault="00000000">
      <w:r>
        <w:t>L'entrepreneur soumet un échantillon, la fiche technique et la déclaration des performances (DoP) du matériau pour approbation à l'auteur de projet et au maître de l’ouvrage avant exécution.</w:t>
      </w:r>
    </w:p>
    <w:p w14:paraId="3260E559" w14:textId="77777777" w:rsidR="00DB2B68" w:rsidRDefault="00000000">
      <w:pPr>
        <w:pStyle w:val="pheading"/>
      </w:pPr>
      <w:r>
        <w:t>MESURAGE</w:t>
      </w:r>
    </w:p>
    <w:p w14:paraId="4A4B6810" w14:textId="77777777" w:rsidR="00DB2B68" w:rsidRDefault="00000000">
      <w:pPr>
        <w:pStyle w:val="pheading"/>
      </w:pPr>
      <w:r>
        <w:t>- unité de mesure:</w:t>
      </w:r>
    </w:p>
    <w:p w14:paraId="49E41AC2" w14:textId="77777777" w:rsidR="00DB2B68" w:rsidRDefault="00000000">
      <w:r>
        <w:t xml:space="preserve">m³  </w:t>
      </w:r>
    </w:p>
    <w:p w14:paraId="4EE3625C" w14:textId="77777777" w:rsidR="00DB2B68" w:rsidRDefault="00000000">
      <w:pPr>
        <w:pStyle w:val="pheading"/>
      </w:pPr>
      <w:r>
        <w:t>- code de mesurage:</w:t>
      </w:r>
    </w:p>
    <w:p w14:paraId="0441541E" w14:textId="77777777" w:rsidR="00DB2B68" w:rsidRDefault="00000000">
      <w:pPr>
        <w:jc w:val="both"/>
      </w:pPr>
      <w:r>
        <w:t>Volume net à mettre en œuvre.</w:t>
      </w:r>
    </w:p>
    <w:p w14:paraId="5944BD91" w14:textId="77777777" w:rsidR="00DB2B68" w:rsidRDefault="00000000">
      <w:pPr>
        <w:pStyle w:val="pheading"/>
      </w:pPr>
      <w:r>
        <w:t>- nature du marché:</w:t>
      </w:r>
    </w:p>
    <w:p w14:paraId="3D294622" w14:textId="77777777" w:rsidR="00DB2B68" w:rsidRDefault="00000000">
      <w:r>
        <w:t>QF</w:t>
      </w:r>
    </w:p>
    <w:p w14:paraId="737453C0" w14:textId="77777777" w:rsidR="00DB2B68" w:rsidRDefault="00000000">
      <w:pPr>
        <w:pStyle w:val="Author-eSectionHeading6Numberless"/>
      </w:pPr>
      <w:bookmarkStart w:id="119" w:name="_Toc220495272"/>
      <w:r>
        <w:t>21.15.3b Colonnes et piliers en briques de béton CCTB 01.11</w:t>
      </w:r>
      <w:bookmarkEnd w:id="119"/>
    </w:p>
    <w:p w14:paraId="50BDDEF1" w14:textId="77777777" w:rsidR="00DB2B68" w:rsidRDefault="00000000">
      <w:pPr>
        <w:pStyle w:val="Author-eSectionHeading6Numberless"/>
      </w:pPr>
      <w:bookmarkStart w:id="120" w:name="_Toc220495273"/>
      <w:r>
        <w:t>21.15.3c Colonnes et piliers en blocs de béton CCTB 01.04</w:t>
      </w:r>
      <w:bookmarkEnd w:id="120"/>
    </w:p>
    <w:p w14:paraId="1F1E9680" w14:textId="77777777" w:rsidR="00DB2B68" w:rsidRDefault="00000000">
      <w:pPr>
        <w:pStyle w:val="Author-eSectionHeading6Numberless"/>
      </w:pPr>
      <w:bookmarkStart w:id="121" w:name="_Toc220495274"/>
      <w:r>
        <w:t>21.15.3d Colonnes et piliers en pierre naturelle CCTB 01.13</w:t>
      </w:r>
      <w:bookmarkEnd w:id="121"/>
    </w:p>
    <w:p w14:paraId="738062E5" w14:textId="77777777" w:rsidR="00DB2B68" w:rsidRDefault="00000000">
      <w:pPr>
        <w:pStyle w:val="pheading"/>
      </w:pPr>
      <w:r>
        <w:t>DESCRIPTION</w:t>
      </w:r>
    </w:p>
    <w:p w14:paraId="1F5EE673" w14:textId="77777777" w:rsidR="00DB2B68" w:rsidRDefault="00000000">
      <w:pPr>
        <w:pStyle w:val="pheading"/>
      </w:pPr>
      <w:r>
        <w:t>- Définition / Comprend</w:t>
      </w:r>
    </w:p>
    <w:p w14:paraId="16BB9BFA" w14:textId="77777777" w:rsidR="00DB2B68" w:rsidRDefault="00000000">
      <w:pPr>
        <w:jc w:val="both"/>
      </w:pPr>
      <w:r>
        <w:t>Il s’agit de la fourniture et la pose de maçonneries portantes en pierre naturelle pour la réalisation des colonnes et piliers.</w:t>
      </w:r>
    </w:p>
    <w:p w14:paraId="365B8343" w14:textId="77777777" w:rsidR="00DB2B68" w:rsidRDefault="00000000">
      <w:pPr>
        <w:pStyle w:val="pheading"/>
      </w:pPr>
      <w:r>
        <w:t>MATÉRIAUX</w:t>
      </w:r>
    </w:p>
    <w:p w14:paraId="6FC77914" w14:textId="77777777" w:rsidR="00DB2B68" w:rsidRDefault="00000000">
      <w:pPr>
        <w:pStyle w:val="pheading"/>
      </w:pPr>
      <w:r>
        <w:t>- Caractéristiques générales</w:t>
      </w:r>
    </w:p>
    <w:p w14:paraId="527CE901" w14:textId="77777777" w:rsidR="00DB2B68" w:rsidRDefault="00000000">
      <w:pPr>
        <w:jc w:val="both"/>
      </w:pPr>
      <w:r>
        <w:t>Les pierres naturelles répondent à la norme [NBN EN 771-6+A1] :</w:t>
      </w:r>
    </w:p>
    <w:p w14:paraId="1D03A534" w14:textId="77777777" w:rsidR="00DB2B68" w:rsidRDefault="00000000">
      <w:pPr>
        <w:pStyle w:val="Author-eListParagraph"/>
        <w:numPr>
          <w:ilvl w:val="0"/>
          <w:numId w:val="152"/>
        </w:numPr>
      </w:pPr>
      <w:r>
        <w:t xml:space="preserve">Aspect : </w:t>
      </w:r>
      <w:r>
        <w:rPr>
          <w:rStyle w:val="optioncarChar"/>
        </w:rPr>
        <w:t>moellon équarri</w:t>
      </w:r>
      <w:r>
        <w:t xml:space="preserve"> (par défaut) </w:t>
      </w:r>
      <w:r>
        <w:rPr>
          <w:rStyle w:val="optioncarChar"/>
        </w:rPr>
        <w:t>/ moellon brut / pierre de taille</w:t>
      </w:r>
    </w:p>
    <w:p w14:paraId="2FE58D90" w14:textId="77777777" w:rsidR="00DB2B68" w:rsidRDefault="00000000">
      <w:pPr>
        <w:pStyle w:val="Author-eListParagraph"/>
        <w:numPr>
          <w:ilvl w:val="0"/>
          <w:numId w:val="152"/>
        </w:numPr>
      </w:pPr>
      <w:r>
        <w:t xml:space="preserve">Format approximatif (L x l x h) = </w:t>
      </w:r>
      <w:r>
        <w:rPr>
          <w:rStyle w:val="optioncarChar"/>
        </w:rPr>
        <w:t xml:space="preserve">proposé par l'entrepreneur </w:t>
      </w:r>
      <w:r>
        <w:t>(par défaut)</w:t>
      </w:r>
      <w:r>
        <w:rPr>
          <w:rStyle w:val="optioncarChar"/>
        </w:rPr>
        <w:t xml:space="preserve"> / *** x *** x ***</w:t>
      </w:r>
      <w:r>
        <w:t xml:space="preserve"> mm</w:t>
      </w:r>
    </w:p>
    <w:p w14:paraId="1474A6B4" w14:textId="77777777" w:rsidR="00DB2B68" w:rsidRDefault="00000000">
      <w:pPr>
        <w:pStyle w:val="Author-eListParagraph"/>
        <w:numPr>
          <w:ilvl w:val="0"/>
          <w:numId w:val="152"/>
        </w:numPr>
      </w:pPr>
      <w:r>
        <w:t xml:space="preserve">Dénomination de référence, suivant la [NBN EN 12440] : </w:t>
      </w:r>
      <w:r>
        <w:rPr>
          <w:rStyle w:val="optioncarChar"/>
        </w:rPr>
        <w:t>***</w:t>
      </w:r>
    </w:p>
    <w:p w14:paraId="5A2C159D" w14:textId="77777777" w:rsidR="00DB2B68" w:rsidRDefault="00000000">
      <w:pPr>
        <w:pStyle w:val="Author-eListParagraph"/>
        <w:numPr>
          <w:ilvl w:val="0"/>
          <w:numId w:val="152"/>
        </w:numPr>
      </w:pPr>
      <w:r>
        <w:t xml:space="preserve">Masse volumique sèche apparente ρ (rho), en kg/m³ ≥ </w:t>
      </w:r>
      <w:r>
        <w:rPr>
          <w:rStyle w:val="optioncarChar"/>
        </w:rPr>
        <w:t>***</w:t>
      </w:r>
    </w:p>
    <w:p w14:paraId="68461A26" w14:textId="77777777" w:rsidR="00DB2B68" w:rsidRDefault="00000000">
      <w:pPr>
        <w:pStyle w:val="Author-eListParagraph"/>
        <w:numPr>
          <w:ilvl w:val="0"/>
          <w:numId w:val="152"/>
        </w:numPr>
      </w:pPr>
      <w:r>
        <w:t>Porosité ouverte, en vol. % ≤ </w:t>
      </w:r>
      <w:r>
        <w:rPr>
          <w:rStyle w:val="optioncarChar"/>
        </w:rPr>
        <w:t>***</w:t>
      </w:r>
    </w:p>
    <w:p w14:paraId="64661625" w14:textId="77777777" w:rsidR="00DB2B68" w:rsidRDefault="00000000">
      <w:pPr>
        <w:pStyle w:val="Author-eListParagraph"/>
        <w:numPr>
          <w:ilvl w:val="0"/>
          <w:numId w:val="152"/>
        </w:numPr>
      </w:pPr>
      <w:r>
        <w:t xml:space="preserve">Résistance en compression normalisée moyenne (fb) ≥ </w:t>
      </w:r>
      <w:r>
        <w:rPr>
          <w:rStyle w:val="optioncarChar"/>
        </w:rPr>
        <w:t xml:space="preserve">voir l’étude du bureau de stabilité </w:t>
      </w:r>
      <w:r>
        <w:t xml:space="preserve">(par défaut) </w:t>
      </w:r>
      <w:r>
        <w:rPr>
          <w:rStyle w:val="optioncarChar"/>
        </w:rPr>
        <w:t>/ ***</w:t>
      </w:r>
      <w:r>
        <w:t> N/mm² (MPa)</w:t>
      </w:r>
    </w:p>
    <w:p w14:paraId="3B6C6A53" w14:textId="77777777" w:rsidR="00DB2B68" w:rsidRDefault="00000000">
      <w:pPr>
        <w:pStyle w:val="Author-eListParagraph"/>
        <w:numPr>
          <w:ilvl w:val="0"/>
          <w:numId w:val="152"/>
        </w:numPr>
      </w:pPr>
      <w:r>
        <w:t xml:space="preserve">Résistance au gel, selon la [NBN B 27-009]  ≥ </w:t>
      </w:r>
      <w:r>
        <w:rPr>
          <w:rStyle w:val="optioncarChar"/>
        </w:rPr>
        <w:t>400 / 500 / 650</w:t>
      </w:r>
      <w:r>
        <w:t xml:space="preserve"> (par défaut)</w:t>
      </w:r>
      <w:r>
        <w:rPr>
          <w:rStyle w:val="optioncarChar"/>
        </w:rPr>
        <w:t xml:space="preserve"> / ***</w:t>
      </w:r>
      <w:r>
        <w:t xml:space="preserve"> mm Hg</w:t>
      </w:r>
    </w:p>
    <w:p w14:paraId="4937C6AC" w14:textId="77777777" w:rsidR="00DB2B68" w:rsidRDefault="00000000">
      <w:pPr>
        <w:pStyle w:val="Author-eListParagraph"/>
        <w:numPr>
          <w:ilvl w:val="0"/>
          <w:numId w:val="152"/>
        </w:numPr>
      </w:pPr>
      <w:r>
        <w:t>Réaction au feu selon la [NBN EN 13501-1] : A1</w:t>
      </w:r>
    </w:p>
    <w:p w14:paraId="7BCD8A20" w14:textId="77777777" w:rsidR="00DB2B68" w:rsidRDefault="00000000">
      <w:pPr>
        <w:pStyle w:val="Author-eListParagraph"/>
        <w:numPr>
          <w:ilvl w:val="0"/>
          <w:numId w:val="152"/>
        </w:numPr>
      </w:pPr>
      <w:r>
        <w:lastRenderedPageBreak/>
        <w:t xml:space="preserve">Résistance au feu, selon la [NBN EN 13501-2] : </w:t>
      </w:r>
      <w:r>
        <w:rPr>
          <w:rStyle w:val="optioncarChar"/>
        </w:rPr>
        <w:t>pas d’application / R30 / R60</w:t>
      </w:r>
      <w:r>
        <w:t xml:space="preserve"> (par défaut)</w:t>
      </w:r>
      <w:r>
        <w:rPr>
          <w:rStyle w:val="optioncarChar"/>
        </w:rPr>
        <w:t xml:space="preserve"> / R90 / R120</w:t>
      </w:r>
    </w:p>
    <w:p w14:paraId="1738DF12" w14:textId="77777777" w:rsidR="00DB2B68" w:rsidRDefault="00000000">
      <w:pPr>
        <w:jc w:val="both"/>
      </w:pPr>
      <w:r>
        <w:t>En cas d’application, cette résistance au feu est atteinte sans traitement particulier. Elle est démontrée par test au feu selon la [NBN EN 13501-2].</w:t>
      </w:r>
    </w:p>
    <w:p w14:paraId="7BD26950" w14:textId="77777777" w:rsidR="00DB2B68" w:rsidRDefault="00000000">
      <w:pPr>
        <w:pStyle w:val="pheading"/>
      </w:pPr>
      <w:r>
        <w:t>- Finitions</w:t>
      </w:r>
    </w:p>
    <w:p w14:paraId="521F0F9B" w14:textId="77777777" w:rsidR="00DB2B68" w:rsidRDefault="00000000">
      <w:pPr>
        <w:jc w:val="both"/>
      </w:pPr>
      <w:r>
        <w:t xml:space="preserve">Face visible : </w:t>
      </w:r>
      <w:r>
        <w:rPr>
          <w:rStyle w:val="optioncarChar"/>
        </w:rPr>
        <w:t xml:space="preserve">taille grossière </w:t>
      </w:r>
      <w:r>
        <w:t>(par défaut)</w:t>
      </w:r>
      <w:r>
        <w:rPr>
          <w:rStyle w:val="optioncarChar"/>
        </w:rPr>
        <w:t xml:space="preserve"> / taille fine / lisse</w:t>
      </w:r>
    </w:p>
    <w:p w14:paraId="0CA69CBB" w14:textId="77777777" w:rsidR="00DB2B68" w:rsidRDefault="00000000">
      <w:pPr>
        <w:jc w:val="both"/>
      </w:pPr>
      <w:r>
        <w:rPr>
          <w:b/>
        </w:rPr>
        <w:t>(soit par défaut)</w:t>
      </w:r>
    </w:p>
    <w:p w14:paraId="6ED7693A" w14:textId="77777777" w:rsidR="00DB2B68" w:rsidRDefault="00000000">
      <w:pPr>
        <w:jc w:val="both"/>
      </w:pPr>
      <w:r>
        <w:rPr>
          <w:rStyle w:val="soitChar"/>
          <w:u w:val="single"/>
        </w:rPr>
        <w:t>Taille grossière </w:t>
      </w:r>
      <w:r>
        <w:rPr>
          <w:rStyle w:val="soitChar"/>
        </w:rPr>
        <w:t>: Type :</w:t>
      </w:r>
      <w:r>
        <w:rPr>
          <w:rStyle w:val="optioncarChar"/>
        </w:rPr>
        <w:t>clivé</w:t>
      </w:r>
      <w:r>
        <w:t xml:space="preserve"> (par défaut)</w:t>
      </w:r>
      <w:r>
        <w:rPr>
          <w:rStyle w:val="optioncarChar"/>
        </w:rPr>
        <w:t xml:space="preserve"> / piqueté / strié / sclypé (layé) / sablé / gradiné / flammé</w:t>
      </w:r>
    </w:p>
    <w:p w14:paraId="58ECD838" w14:textId="77777777" w:rsidR="00DB2B68" w:rsidRDefault="00000000">
      <w:pPr>
        <w:jc w:val="both"/>
      </w:pPr>
      <w:r>
        <w:rPr>
          <w:b/>
        </w:rPr>
        <w:t>(soit)</w:t>
      </w:r>
    </w:p>
    <w:p w14:paraId="112FC9D1" w14:textId="77777777" w:rsidR="00DB2B68" w:rsidRDefault="00000000">
      <w:pPr>
        <w:jc w:val="both"/>
      </w:pPr>
      <w:r>
        <w:rPr>
          <w:rStyle w:val="soitChar"/>
          <w:u w:val="single"/>
        </w:rPr>
        <w:t>Taille fine :</w:t>
      </w:r>
      <w:r>
        <w:rPr>
          <w:rStyle w:val="soitChar"/>
        </w:rPr>
        <w:t xml:space="preserve"> Type :</w:t>
      </w:r>
      <w:r>
        <w:rPr>
          <w:rStyle w:val="optioncarChar"/>
        </w:rPr>
        <w:t>taille ancienne mécanique</w:t>
      </w:r>
      <w:r>
        <w:t xml:space="preserve"> (par défaut)</w:t>
      </w:r>
      <w:r>
        <w:rPr>
          <w:rStyle w:val="optioncarChar"/>
        </w:rPr>
        <w:t xml:space="preserve"> / taille ancienne manuelle / givré / ciselé manuel / ciselé mécanique / sbattu / bouchardé manuel / bouchardé mécanique</w:t>
      </w:r>
    </w:p>
    <w:p w14:paraId="715E18DC" w14:textId="77777777" w:rsidR="00DB2B68" w:rsidRDefault="00000000">
      <w:pPr>
        <w:jc w:val="both"/>
      </w:pPr>
      <w:r>
        <w:rPr>
          <w:b/>
        </w:rPr>
        <w:t>(soit)</w:t>
      </w:r>
    </w:p>
    <w:p w14:paraId="41ECAA21" w14:textId="77777777" w:rsidR="00DB2B68" w:rsidRDefault="00000000">
      <w:pPr>
        <w:jc w:val="both"/>
      </w:pPr>
      <w:r>
        <w:rPr>
          <w:rStyle w:val="soitChar"/>
          <w:u w:val="single"/>
        </w:rPr>
        <w:t>Lisse :</w:t>
      </w:r>
      <w:r>
        <w:rPr>
          <w:rStyle w:val="soitChar"/>
        </w:rPr>
        <w:t xml:space="preserve"> Type :</w:t>
      </w:r>
      <w:r>
        <w:rPr>
          <w:rStyle w:val="optioncarChar"/>
        </w:rPr>
        <w:t xml:space="preserve">adouci </w:t>
      </w:r>
      <w:r>
        <w:t>(par défaut)</w:t>
      </w:r>
      <w:r>
        <w:rPr>
          <w:rStyle w:val="optioncarChar"/>
        </w:rPr>
        <w:t xml:space="preserve"> / scié / meulé-écuré / poli</w:t>
      </w:r>
    </w:p>
    <w:p w14:paraId="2F4797B8" w14:textId="77777777" w:rsidR="00DB2B68" w:rsidRDefault="00000000">
      <w:pPr>
        <w:jc w:val="both"/>
      </w:pPr>
      <w:r>
        <w:t>Les piliers sont rejointoyés </w:t>
      </w:r>
      <w:r>
        <w:rPr>
          <w:rStyle w:val="optioncarChar"/>
        </w:rPr>
        <w:t xml:space="preserve">à posteriori (décrit et comptabilisé au </w:t>
      </w:r>
      <w:hyperlink w:anchor="380" w:history="1">
        <w:r>
          <w:rPr>
            <w:rStyle w:val="optioncarChar"/>
            <w:color w:val="0000EE"/>
          </w:rPr>
          <w:t>21.61.1 Rejointoyage</w:t>
        </w:r>
      </w:hyperlink>
      <w:r>
        <w:t> </w:t>
      </w:r>
      <w:r>
        <w:rPr>
          <w:rStyle w:val="optioncarChar"/>
        </w:rPr>
        <w:t>et éléments qui en découlent)</w:t>
      </w:r>
      <w:r>
        <w:t xml:space="preserve"> (par défaut) </w:t>
      </w:r>
      <w:r>
        <w:rPr>
          <w:rStyle w:val="optioncarChar"/>
        </w:rPr>
        <w:t>/ en montant (compris dans le présent travail)</w:t>
      </w:r>
      <w:r>
        <w:t>.</w:t>
      </w:r>
    </w:p>
    <w:p w14:paraId="68943E9D" w14:textId="77777777" w:rsidR="00DB2B68" w:rsidRDefault="00000000">
      <w:pPr>
        <w:pStyle w:val="pheading"/>
      </w:pPr>
      <w:r>
        <w:t>EXÉCUTION / MISE EN ŒUVRE</w:t>
      </w:r>
    </w:p>
    <w:p w14:paraId="1A3305E6" w14:textId="77777777" w:rsidR="00DB2B68" w:rsidRDefault="00000000">
      <w:pPr>
        <w:pStyle w:val="pheading"/>
      </w:pPr>
      <w:r>
        <w:t>- Prescriptions générales</w:t>
      </w:r>
    </w:p>
    <w:p w14:paraId="3275FB82" w14:textId="77777777" w:rsidR="00DB2B68" w:rsidRDefault="00000000">
      <w:pPr>
        <w:jc w:val="both"/>
      </w:pPr>
      <w:r>
        <w:rPr>
          <w:b/>
        </w:rPr>
        <w:t>Pierres</w:t>
      </w:r>
    </w:p>
    <w:p w14:paraId="733E717B" w14:textId="77777777" w:rsidR="00DB2B68" w:rsidRDefault="00000000">
      <w:pPr>
        <w:jc w:val="both"/>
      </w:pPr>
      <w:r>
        <w:t>Les pierres sont exécutées d'aplomb, d'équerre et de la façon la plus plane possible. Les faces de parement présentent des arêtes droites sans épaufrures ou écornures. Les pierres ciselées sont toutes posées avec le ciselage dans le même sens.</w:t>
      </w:r>
    </w:p>
    <w:p w14:paraId="3D9471EC" w14:textId="77777777" w:rsidR="00DB2B68" w:rsidRDefault="00000000">
      <w:pPr>
        <w:jc w:val="both"/>
      </w:pPr>
      <w:r>
        <w:t>Les faces de pose et les joints sont bien lissés dans le plan de la maçonnerie.</w:t>
      </w:r>
    </w:p>
    <w:p w14:paraId="02E3367E" w14:textId="77777777" w:rsidR="00DB2B68" w:rsidRDefault="00000000">
      <w:pPr>
        <w:jc w:val="both"/>
      </w:pPr>
      <w:r>
        <w:t>Toutes les précautions sont prises pour que les pierres de taille aient et conservent un aspect soigné et propre.</w:t>
      </w:r>
    </w:p>
    <w:p w14:paraId="61AE2563" w14:textId="77777777" w:rsidR="00DB2B68" w:rsidRDefault="00000000">
      <w:pPr>
        <w:jc w:val="both"/>
      </w:pPr>
      <w:r>
        <w:t xml:space="preserve">Les pierres sont </w:t>
      </w:r>
      <w:r>
        <w:rPr>
          <w:rStyle w:val="optioncarChar"/>
        </w:rPr>
        <w:t>maçonnées au mortier</w:t>
      </w:r>
      <w:r>
        <w:t xml:space="preserve"> (par défaut) </w:t>
      </w:r>
      <w:r>
        <w:rPr>
          <w:rStyle w:val="optioncarChar"/>
        </w:rPr>
        <w:t>/ collées au mortier-colle</w:t>
      </w:r>
      <w:r>
        <w:t>.</w:t>
      </w:r>
    </w:p>
    <w:p w14:paraId="70DD27D9" w14:textId="77777777" w:rsidR="00DB2B68" w:rsidRDefault="00000000">
      <w:pPr>
        <w:jc w:val="both"/>
      </w:pPr>
      <w:r>
        <w:t xml:space="preserve">Le mortier de pose répond à la catégorie, selon la [NBN EN 998-2] : </w:t>
      </w:r>
      <w:r>
        <w:rPr>
          <w:rStyle w:val="optioncarChar"/>
        </w:rPr>
        <w:t>M10 / M15</w:t>
      </w:r>
      <w:r>
        <w:t xml:space="preserve"> (par défaut)</w:t>
      </w:r>
      <w:r>
        <w:rPr>
          <w:rStyle w:val="optioncarChar"/>
        </w:rPr>
        <w:t xml:space="preserve"> / M20 / ***</w:t>
      </w:r>
    </w:p>
    <w:p w14:paraId="6F4E9B5A" w14:textId="77777777" w:rsidR="00DB2B68" w:rsidRDefault="00000000">
      <w:pPr>
        <w:jc w:val="both"/>
      </w:pPr>
      <w:r>
        <w:t xml:space="preserve">L'épaisseur des joints est ≥ </w:t>
      </w:r>
      <w:r>
        <w:rPr>
          <w:rStyle w:val="optioncarChar"/>
        </w:rPr>
        <w:t xml:space="preserve">3 mm / 5 mm / 10 mm / adaptée en fonction des pierres </w:t>
      </w:r>
      <w:r>
        <w:t>(par défaut)</w:t>
      </w:r>
      <w:r>
        <w:rPr>
          <w:rStyle w:val="optioncarChar"/>
        </w:rPr>
        <w:t xml:space="preserve"> / sans joint.</w:t>
      </w:r>
    </w:p>
    <w:p w14:paraId="35AABEB6" w14:textId="77777777" w:rsidR="00DB2B68" w:rsidRDefault="00000000">
      <w:pPr>
        <w:jc w:val="both"/>
      </w:pPr>
      <w:r>
        <w:t xml:space="preserve">Isolation contre l'humidité, selon la description des éléments qui découlent du </w:t>
      </w:r>
      <w:hyperlink w:anchor="356" w:history="1">
        <w:r>
          <w:rPr>
            <w:color w:val="0000EE"/>
          </w:rPr>
          <w:t>26.11 Feuilles et membranes d'étanchéité à l'eau</w:t>
        </w:r>
      </w:hyperlink>
      <w:r>
        <w:t xml:space="preserve"> : </w:t>
      </w:r>
      <w:r>
        <w:rPr>
          <w:rStyle w:val="optioncarChar"/>
        </w:rPr>
        <w:t xml:space="preserve">oui </w:t>
      </w:r>
      <w:r>
        <w:t>(par défaut)</w:t>
      </w:r>
      <w:r>
        <w:rPr>
          <w:rStyle w:val="optioncarChar"/>
        </w:rPr>
        <w:t xml:space="preserve"> / non</w:t>
      </w:r>
    </w:p>
    <w:p w14:paraId="72631F0F" w14:textId="77777777" w:rsidR="00DB2B68" w:rsidRDefault="00000000">
      <w:pPr>
        <w:jc w:val="both"/>
      </w:pPr>
      <w:r>
        <w:t xml:space="preserve">Les piliers sont pourvus d'armatures horizontales selon la description des éléments qui découlent du </w:t>
      </w:r>
      <w:hyperlink w:anchor="357" w:history="1">
        <w:r>
          <w:rPr>
            <w:color w:val="0000EE"/>
          </w:rPr>
          <w:t>21.41.1 Armatures horizontales pour maçonneries</w:t>
        </w:r>
      </w:hyperlink>
      <w:r>
        <w:t xml:space="preserve"> : </w:t>
      </w:r>
      <w:r>
        <w:rPr>
          <w:rStyle w:val="optioncarChar"/>
        </w:rPr>
        <w:t>oui</w:t>
      </w:r>
      <w:r>
        <w:t xml:space="preserve"> (par défaut)</w:t>
      </w:r>
      <w:r>
        <w:rPr>
          <w:rStyle w:val="optioncarChar"/>
        </w:rPr>
        <w:t xml:space="preserve"> / non</w:t>
      </w:r>
    </w:p>
    <w:p w14:paraId="5FAB8592" w14:textId="77777777" w:rsidR="00DB2B68" w:rsidRDefault="00000000">
      <w:pPr>
        <w:jc w:val="both"/>
      </w:pPr>
      <w:r>
        <w:t xml:space="preserve">Les piliers sont pourvus d'armatures verticales selon la description des éléments qui découlent du </w:t>
      </w:r>
      <w:hyperlink w:anchor="358" w:history="1">
        <w:r>
          <w:rPr>
            <w:color w:val="0000EE"/>
          </w:rPr>
          <w:t>21.41.2 Armatures verticales pour maçonneries</w:t>
        </w:r>
      </w:hyperlink>
      <w:r>
        <w:t xml:space="preserve"> : </w:t>
      </w:r>
      <w:r>
        <w:rPr>
          <w:rStyle w:val="optioncarChar"/>
        </w:rPr>
        <w:t xml:space="preserve">non </w:t>
      </w:r>
      <w:r>
        <w:t xml:space="preserve">(par défaut) </w:t>
      </w:r>
      <w:r>
        <w:rPr>
          <w:rStyle w:val="optioncarChar"/>
        </w:rPr>
        <w:t>/ oui</w:t>
      </w:r>
    </w:p>
    <w:p w14:paraId="52302D72" w14:textId="77777777" w:rsidR="00DB2B68" w:rsidRDefault="00000000">
      <w:pPr>
        <w:pStyle w:val="pheading"/>
      </w:pPr>
      <w:r>
        <w:t>- Échantillons</w:t>
      </w:r>
    </w:p>
    <w:p w14:paraId="1D4C4E79" w14:textId="77777777" w:rsidR="00DB2B68" w:rsidRDefault="00000000">
      <w:pPr>
        <w:jc w:val="both"/>
      </w:pPr>
      <w:r>
        <w:t>L'entrepreneur soumet un échantillon, la fiche technique et la déclaration des performances (DoP) du matériau pour approbation à l'auteur de projet et au maître de l’ouvrage avant exécution.</w:t>
      </w:r>
    </w:p>
    <w:p w14:paraId="136B4C8E" w14:textId="77777777" w:rsidR="00DB2B68" w:rsidRDefault="00000000">
      <w:pPr>
        <w:pStyle w:val="pheading"/>
      </w:pPr>
      <w:r>
        <w:t>CONTRÔLES PARTICULIERS</w:t>
      </w:r>
    </w:p>
    <w:p w14:paraId="166499D6" w14:textId="77777777" w:rsidR="00DB2B68" w:rsidRDefault="00000000">
      <w:pPr>
        <w:jc w:val="both"/>
      </w:pPr>
      <w:r>
        <w:t>Toute pierre qui est fêlée, écornée ou dont les arêtes sont épaufrées est refusée et remplacée par et aux frais de l'entrepreneur.</w:t>
      </w:r>
    </w:p>
    <w:p w14:paraId="2C6E6DB3" w14:textId="77777777" w:rsidR="00DB2B68" w:rsidRDefault="00000000">
      <w:pPr>
        <w:pStyle w:val="pheading"/>
      </w:pPr>
      <w:r>
        <w:t>DOCUMENTS DE RÉFÉRENCE COMPLÉMENTAIRES</w:t>
      </w:r>
    </w:p>
    <w:p w14:paraId="23734665" w14:textId="77777777" w:rsidR="00DB2B68" w:rsidRDefault="00000000">
      <w:pPr>
        <w:pStyle w:val="pheading"/>
      </w:pPr>
      <w:r>
        <w:t>- Matériau</w:t>
      </w:r>
    </w:p>
    <w:p w14:paraId="1860466B" w14:textId="77777777" w:rsidR="00DB2B68" w:rsidRDefault="00000000">
      <w:r>
        <w:lastRenderedPageBreak/>
        <w:t>[NBN EN 12440, Pierres naturelles - Critères de dénomination]</w:t>
      </w:r>
    </w:p>
    <w:p w14:paraId="407A336A" w14:textId="77777777" w:rsidR="00DB2B68" w:rsidRDefault="00000000">
      <w:r>
        <w:t>[NIT 228] Pierres naturelles</w:t>
      </w:r>
    </w:p>
    <w:p w14:paraId="2B133A5B" w14:textId="77777777" w:rsidR="00DB2B68" w:rsidRDefault="00000000">
      <w:pPr>
        <w:pStyle w:val="pheading"/>
      </w:pPr>
      <w:r>
        <w:t>MESURAGE</w:t>
      </w:r>
    </w:p>
    <w:p w14:paraId="1BB28E87" w14:textId="77777777" w:rsidR="00DB2B68" w:rsidRDefault="00000000">
      <w:pPr>
        <w:pStyle w:val="pheading"/>
      </w:pPr>
      <w:r>
        <w:t>- unité de mesure:</w:t>
      </w:r>
    </w:p>
    <w:p w14:paraId="2C127FE0" w14:textId="77777777" w:rsidR="00DB2B68" w:rsidRDefault="00000000">
      <w:r>
        <w:t>m³</w:t>
      </w:r>
    </w:p>
    <w:p w14:paraId="5CC07C01" w14:textId="77777777" w:rsidR="00DB2B68" w:rsidRDefault="00000000">
      <w:pPr>
        <w:pStyle w:val="pheading"/>
      </w:pPr>
      <w:r>
        <w:t>- code de mesurage:</w:t>
      </w:r>
    </w:p>
    <w:p w14:paraId="5F622514" w14:textId="77777777" w:rsidR="00DB2B68" w:rsidRDefault="00000000">
      <w:r>
        <w:t>Volume net à mettre en œuvre.</w:t>
      </w:r>
    </w:p>
    <w:p w14:paraId="53354DA0" w14:textId="77777777" w:rsidR="00DB2B68" w:rsidRDefault="00000000">
      <w:pPr>
        <w:pStyle w:val="pheading"/>
      </w:pPr>
      <w:r>
        <w:t>- nature du marché:</w:t>
      </w:r>
    </w:p>
    <w:p w14:paraId="3EEFD967" w14:textId="77777777" w:rsidR="00DB2B68" w:rsidRDefault="00000000">
      <w:r>
        <w:t>QF</w:t>
      </w:r>
    </w:p>
    <w:p w14:paraId="12741BF0" w14:textId="77777777" w:rsidR="00DB2B68" w:rsidRDefault="00000000">
      <w:pPr>
        <w:pStyle w:val="pheading"/>
      </w:pPr>
      <w:r>
        <w:t>AIDE</w:t>
      </w:r>
    </w:p>
    <w:p w14:paraId="0B607FA9" w14:textId="77777777" w:rsidR="00DB2B68" w:rsidRDefault="00000000">
      <w:r>
        <w:t>Consulter les fiches techniques de la [NIT 228] pour  compléter les caractéristiques des pierres.</w:t>
      </w:r>
    </w:p>
    <w:p w14:paraId="100E3616" w14:textId="77777777" w:rsidR="00DB2B68" w:rsidRDefault="00000000">
      <w:pPr>
        <w:pStyle w:val="Author-eSectionHeading5Numberless"/>
      </w:pPr>
      <w:bookmarkStart w:id="122" w:name="_Toc220495275"/>
      <w:r>
        <w:t>21.15.4 Socles et embases CCTB 01.02</w:t>
      </w:r>
      <w:bookmarkEnd w:id="122"/>
    </w:p>
    <w:p w14:paraId="0C3DAC9B" w14:textId="77777777" w:rsidR="00DB2B68" w:rsidRDefault="00000000">
      <w:pPr>
        <w:pStyle w:val="Author-eSectionHeading6Numberless"/>
      </w:pPr>
      <w:bookmarkStart w:id="123" w:name="1535"/>
      <w:bookmarkStart w:id="124" w:name="_Toc220495276"/>
      <w:bookmarkEnd w:id="123"/>
      <w:r>
        <w:t>21.15.4a Socles et embases en briques de terre cuite CCTB 01.04</w:t>
      </w:r>
      <w:bookmarkEnd w:id="124"/>
    </w:p>
    <w:p w14:paraId="35137C25" w14:textId="77777777" w:rsidR="00DB2B68" w:rsidRDefault="00000000">
      <w:pPr>
        <w:pStyle w:val="pheading"/>
      </w:pPr>
      <w:r>
        <w:t>AIDE</w:t>
      </w:r>
    </w:p>
    <w:p w14:paraId="478E5602" w14:textId="77777777" w:rsidR="00DB2B68" w:rsidRDefault="00000000">
      <w:r>
        <w:t>À l'attention de l'auteur de projet</w:t>
      </w:r>
    </w:p>
    <w:p w14:paraId="3A8657E7" w14:textId="77777777" w:rsidR="00DB2B68" w:rsidRDefault="00000000">
      <w:r>
        <w:t>- Les socles en maçonnerie ne sont plus que rarement appliqués. Il est plus usuel de réaliser des revêtements à l'aide de matériaux en plaques.</w:t>
      </w:r>
    </w:p>
    <w:p w14:paraId="4EE71634" w14:textId="77777777" w:rsidR="00DB2B68" w:rsidRDefault="00000000">
      <w:pPr>
        <w:pStyle w:val="Author-eSectionHeading6Numberless"/>
      </w:pPr>
      <w:bookmarkStart w:id="125" w:name="_Toc220495277"/>
      <w:r>
        <w:t>21.15.4b Socles et embases en briques de béton CCTB 01.04</w:t>
      </w:r>
      <w:bookmarkEnd w:id="125"/>
    </w:p>
    <w:p w14:paraId="124BA834" w14:textId="77777777" w:rsidR="00DB2B68" w:rsidRDefault="00000000">
      <w:pPr>
        <w:pStyle w:val="pheading"/>
      </w:pPr>
      <w:r>
        <w:t>AIDE</w:t>
      </w:r>
    </w:p>
    <w:p w14:paraId="7B808829" w14:textId="77777777" w:rsidR="00DB2B68" w:rsidRDefault="00000000">
      <w:r>
        <w:t>À l'attention de l'auteur de projet</w:t>
      </w:r>
    </w:p>
    <w:p w14:paraId="0CF492B8" w14:textId="77777777" w:rsidR="00DB2B68" w:rsidRDefault="00000000">
      <w:r>
        <w:t>- Les socles en maçonnerie ne sont plus que rarement appliqués. Il est plus usuel de réaliser des revêtements à l'aide de matériaux en plaques.</w:t>
      </w:r>
    </w:p>
    <w:p w14:paraId="1DAD6035" w14:textId="77777777" w:rsidR="00DB2B68" w:rsidRDefault="00000000">
      <w:pPr>
        <w:pStyle w:val="Author-eSectionHeading6Numberless"/>
      </w:pPr>
      <w:bookmarkStart w:id="126" w:name="_Toc220495278"/>
      <w:r>
        <w:t>21.15.4c Socles et embases en blocs de béton CCTB 01.04</w:t>
      </w:r>
      <w:bookmarkEnd w:id="126"/>
    </w:p>
    <w:p w14:paraId="1F50900C" w14:textId="77777777" w:rsidR="00DB2B68" w:rsidRDefault="00000000">
      <w:pPr>
        <w:pStyle w:val="Author-eSectionHeading6Numberless"/>
      </w:pPr>
      <w:bookmarkStart w:id="127" w:name="_Toc220495279"/>
      <w:r>
        <w:t>21.15.4d Socles et embases en pierre naturelle CCTB 01.02</w:t>
      </w:r>
      <w:bookmarkEnd w:id="127"/>
    </w:p>
    <w:p w14:paraId="70B2D813" w14:textId="77777777" w:rsidR="00DB2B68" w:rsidRDefault="00000000">
      <w:pPr>
        <w:pStyle w:val="Author-eSectionHeading5Numberless"/>
      </w:pPr>
      <w:bookmarkStart w:id="128" w:name="_Toc220495280"/>
      <w:r>
        <w:t>21.15.5 Voûtes et voussettes CCTB 01.02</w:t>
      </w:r>
      <w:bookmarkEnd w:id="128"/>
    </w:p>
    <w:p w14:paraId="18184831" w14:textId="77777777" w:rsidR="00DB2B68" w:rsidRDefault="00000000">
      <w:pPr>
        <w:pStyle w:val="Author-eSectionHeading6Numberless"/>
      </w:pPr>
      <w:bookmarkStart w:id="129" w:name="_Toc220495281"/>
      <w:r>
        <w:t>21.15.5a Voûtes et voussettes en briques de terre cuite CCTB 01.04</w:t>
      </w:r>
      <w:bookmarkEnd w:id="129"/>
    </w:p>
    <w:p w14:paraId="769639DE" w14:textId="77777777" w:rsidR="00DB2B68" w:rsidRDefault="00000000">
      <w:pPr>
        <w:pStyle w:val="Author-eSectionHeading6Numberless"/>
      </w:pPr>
      <w:bookmarkStart w:id="130" w:name="_Toc220495282"/>
      <w:r>
        <w:t>21.15.5b Voûtes et voussettes en briques de béton CCTB 01.04</w:t>
      </w:r>
      <w:bookmarkEnd w:id="130"/>
    </w:p>
    <w:p w14:paraId="7C36F115" w14:textId="77777777" w:rsidR="00DB2B68" w:rsidRDefault="00000000">
      <w:pPr>
        <w:pStyle w:val="Author-eSectionHeading6Numberless"/>
      </w:pPr>
      <w:bookmarkStart w:id="131" w:name="_Toc220495283"/>
      <w:r>
        <w:t>21.15.5c Voûtes et voussettes en pierre naturelle CCTB 01.02</w:t>
      </w:r>
      <w:bookmarkEnd w:id="131"/>
    </w:p>
    <w:p w14:paraId="62CBA125" w14:textId="77777777" w:rsidR="00DB2B68" w:rsidRDefault="00000000">
      <w:pPr>
        <w:pStyle w:val="Author-eSectionHeading5Numberless"/>
      </w:pPr>
      <w:bookmarkStart w:id="132" w:name="_Toc220495284"/>
      <w:r>
        <w:t>21.15.6 Arcs CCTB 01.02</w:t>
      </w:r>
      <w:bookmarkEnd w:id="132"/>
    </w:p>
    <w:p w14:paraId="38F205A6" w14:textId="77777777" w:rsidR="00DB2B68" w:rsidRDefault="00000000">
      <w:pPr>
        <w:pStyle w:val="Author-eSectionHeading6Numberless"/>
      </w:pPr>
      <w:bookmarkStart w:id="133" w:name="_Toc220495285"/>
      <w:r>
        <w:t>21.15.6a Arcs en briques de terre cuite CCTB 01.04</w:t>
      </w:r>
      <w:bookmarkEnd w:id="133"/>
    </w:p>
    <w:p w14:paraId="37CF78C9" w14:textId="77777777" w:rsidR="00DB2B68" w:rsidRDefault="00000000">
      <w:pPr>
        <w:pStyle w:val="Author-eSectionHeading6Numberless"/>
      </w:pPr>
      <w:bookmarkStart w:id="134" w:name="_Toc220495286"/>
      <w:r>
        <w:t>21.15.6b Arcs en briques de béton CCTB 01.04</w:t>
      </w:r>
      <w:bookmarkEnd w:id="134"/>
    </w:p>
    <w:p w14:paraId="2D599BCD" w14:textId="77777777" w:rsidR="00DB2B68" w:rsidRDefault="00000000">
      <w:pPr>
        <w:pStyle w:val="Author-eSectionHeading6Numberless"/>
      </w:pPr>
      <w:bookmarkStart w:id="135" w:name="_Toc220495287"/>
      <w:r>
        <w:t>21.15.6c Arcs en pierre naturelle CCTB 01.02</w:t>
      </w:r>
      <w:bookmarkEnd w:id="135"/>
    </w:p>
    <w:p w14:paraId="61BAC6B6" w14:textId="77777777" w:rsidR="00DB2B68" w:rsidRDefault="00000000">
      <w:pPr>
        <w:pStyle w:val="Author-eSectionHeading3Numberless"/>
      </w:pPr>
      <w:bookmarkStart w:id="136" w:name="_Toc220495288"/>
      <w:r>
        <w:t>21.2 Maçonneries non portantes CCTB 01.09</w:t>
      </w:r>
      <w:bookmarkEnd w:id="136"/>
    </w:p>
    <w:p w14:paraId="556619A5" w14:textId="77777777" w:rsidR="00DB2B68" w:rsidRDefault="00000000">
      <w:pPr>
        <w:pStyle w:val="pheading"/>
      </w:pPr>
      <w:bookmarkStart w:id="137" w:name="383"/>
      <w:bookmarkEnd w:id="137"/>
      <w:r>
        <w:t>DESCRIPTION</w:t>
      </w:r>
    </w:p>
    <w:p w14:paraId="48F2AD80" w14:textId="77777777" w:rsidR="00DB2B68" w:rsidRDefault="00000000">
      <w:pPr>
        <w:pStyle w:val="pheading"/>
      </w:pPr>
      <w:r>
        <w:t>- Définition / Comprend</w:t>
      </w:r>
    </w:p>
    <w:p w14:paraId="20F6EA2F" w14:textId="77777777" w:rsidR="00DB2B68" w:rsidRDefault="00000000">
      <w:r>
        <w:t xml:space="preserve">Ce poste comprend tous les éléments, travaux et fournitures pour la réalisation des murs intérieurs non-porteurs en maçonnerie (cloisons). </w:t>
      </w:r>
    </w:p>
    <w:p w14:paraId="3B82C904" w14:textId="77777777" w:rsidR="00DB2B68" w:rsidRDefault="00000000">
      <w:pPr>
        <w:pStyle w:val="pheading"/>
      </w:pPr>
      <w:r>
        <w:lastRenderedPageBreak/>
        <w:t>EXÉCUTION / MISE EN ŒUVRE</w:t>
      </w:r>
    </w:p>
    <w:p w14:paraId="23668448" w14:textId="77777777" w:rsidR="00DB2B68" w:rsidRDefault="00000000">
      <w:pPr>
        <w:spacing w:line="259" w:lineRule="auto"/>
      </w:pPr>
      <w:r>
        <w:rPr>
          <w:rStyle w:val="normalChar"/>
          <w:color w:val="000000"/>
        </w:rPr>
        <w:t>Les murs non porteurs sont érigés indépendamment de la construction porteuse adjacente. Les connexions des murs non porteurs avec d’autres éléments de la structure porteuse répondent aux exigences nécessaires par rapport à la résistance au feu et permettent suffisamment de liberté de mouvement.</w:t>
      </w:r>
    </w:p>
    <w:p w14:paraId="2EED923A" w14:textId="77777777" w:rsidR="00DB2B68" w:rsidRDefault="00000000">
      <w:pPr>
        <w:pStyle w:val="Author-eSectionHeading4Numberless"/>
      </w:pPr>
      <w:bookmarkStart w:id="138" w:name="_Toc220495289"/>
      <w:r>
        <w:t>21.21 Maçonneries non portantes en briques CCTB 01.02</w:t>
      </w:r>
      <w:bookmarkEnd w:id="138"/>
    </w:p>
    <w:p w14:paraId="6B0F8D44" w14:textId="77777777" w:rsidR="00DB2B68" w:rsidRDefault="00000000">
      <w:pPr>
        <w:pStyle w:val="Author-eSectionHeading5Numberless"/>
      </w:pPr>
      <w:bookmarkStart w:id="139" w:name="458"/>
      <w:bookmarkStart w:id="140" w:name="_Toc220495290"/>
      <w:bookmarkEnd w:id="139"/>
      <w:r>
        <w:t>21.21.1 Maçonneries non portantes en briques de terre cuite CCTB 01.11</w:t>
      </w:r>
      <w:bookmarkEnd w:id="140"/>
    </w:p>
    <w:p w14:paraId="4EAB4D82" w14:textId="77777777" w:rsidR="00DB2B68" w:rsidRDefault="00000000">
      <w:pPr>
        <w:pStyle w:val="pheading"/>
      </w:pPr>
      <w:bookmarkStart w:id="141" w:name="384"/>
      <w:bookmarkEnd w:id="141"/>
      <w:r>
        <w:t>MATÉRIAUX</w:t>
      </w:r>
    </w:p>
    <w:p w14:paraId="1CC94BF8" w14:textId="77777777" w:rsidR="00DB2B68" w:rsidRDefault="00000000">
      <w:r>
        <w:t>Il s'agit des briques de construction en terre cuite, qui répondent à la norme [NBN EN 771-1+A1] et au [PTV 23-002]. L'entrepreneur soumet un échantillon, la fiche technique et la déclaration des performances (DoP) du matériau pour approbation à l'auteur de projet et au maître de l’ouvrage.</w:t>
      </w:r>
    </w:p>
    <w:p w14:paraId="71743777" w14:textId="77777777" w:rsidR="00DB2B68" w:rsidRDefault="00000000">
      <w:pPr>
        <w:pStyle w:val="pheading"/>
      </w:pPr>
      <w:r>
        <w:t>EXÉCUTION / MISE EN ŒUVRE</w:t>
      </w:r>
    </w:p>
    <w:p w14:paraId="1280D049" w14:textId="77777777" w:rsidR="00DB2B68" w:rsidRDefault="00000000">
      <w:r>
        <w:t xml:space="preserve">Eléments en terre cuite à utiliser : </w:t>
      </w:r>
      <w:r>
        <w:rPr>
          <w:rStyle w:val="optioncarChar"/>
        </w:rPr>
        <w:t xml:space="preserve">brique U </w:t>
      </w:r>
      <w:r>
        <w:t>(par défaut) </w:t>
      </w:r>
      <w:r>
        <w:rPr>
          <w:rStyle w:val="optioncarChar"/>
        </w:rPr>
        <w:t>/ brique P</w:t>
      </w:r>
      <w:r>
        <w:t xml:space="preserve"> conformément à l'article </w:t>
      </w:r>
      <w:hyperlink w:anchor="295" w:history="1">
        <w:r>
          <w:rPr>
            <w:color w:val="0000EE"/>
          </w:rPr>
          <w:t>21 Superstructures en maçonnerie</w:t>
        </w:r>
      </w:hyperlink>
      <w:r>
        <w:t xml:space="preserve"> Classification.</w:t>
      </w:r>
    </w:p>
    <w:p w14:paraId="72C34454" w14:textId="77777777" w:rsidR="00DB2B68" w:rsidRDefault="00000000">
      <w:r>
        <w:t xml:space="preserve">Type : </w:t>
      </w:r>
      <w:r>
        <w:rPr>
          <w:rStyle w:val="optioncarChar"/>
        </w:rPr>
        <w:t>moulées à la main / pleines </w:t>
      </w:r>
      <w:r>
        <w:t xml:space="preserve">(par défaut) </w:t>
      </w:r>
      <w:r>
        <w:rPr>
          <w:rStyle w:val="optioncarChar"/>
        </w:rPr>
        <w:t>/ isolantes / pressées /perforées / étirées / ***</w:t>
      </w:r>
    </w:p>
    <w:p w14:paraId="4821331E" w14:textId="77777777" w:rsidR="00DB2B68" w:rsidRDefault="00000000">
      <w:r>
        <w:t>Conformément au mode de mise en œuvre, les briques de construction en terre cuite sont maçonnés au mortier / collés à l’aide d’un mortier-colle selon les indications du fabricant de mortier et des notes de calcul du bureau d’études.</w:t>
      </w:r>
    </w:p>
    <w:p w14:paraId="3CB2CF41" w14:textId="77777777" w:rsidR="00DB2B68" w:rsidRDefault="00000000">
      <w:r>
        <w:t xml:space="preserve">Le mortier à coller / à maçonner (selon la [NBN EN 998-2] et le règlement d’application [TRA 651] ) répond à la catégorie : </w:t>
      </w:r>
      <w:r>
        <w:rPr>
          <w:rStyle w:val="optioncarChar"/>
        </w:rPr>
        <w:t xml:space="preserve">M10 </w:t>
      </w:r>
      <w:r>
        <w:rPr>
          <w:rStyle w:val="optioncarChar"/>
          <w:color w:val="000000"/>
        </w:rPr>
        <w:t xml:space="preserve">(par défaut) </w:t>
      </w:r>
      <w:r>
        <w:rPr>
          <w:rStyle w:val="optioncarChar"/>
        </w:rPr>
        <w:t>/ M15 / M20 / ***</w:t>
      </w:r>
    </w:p>
    <w:p w14:paraId="32C5C3C9" w14:textId="77777777" w:rsidR="00DB2B68"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p>
    <w:p w14:paraId="67F4C152" w14:textId="77777777" w:rsidR="00DB2B68" w:rsidRDefault="00000000">
      <w:r>
        <w:t>Pour les maçonneries destinées à rester apparentes, seules des briques non endommagés sont utilisés.</w:t>
      </w:r>
    </w:p>
    <w:p w14:paraId="33A955AF"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0248EDD3"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42D8638F" w14:textId="77777777" w:rsidR="00DB2B68" w:rsidRDefault="00000000">
      <w:r>
        <w:t xml:space="preserve">Les maçonneries de caves en contact avec les terres sont rendues étanches selon la description au chapitre </w:t>
      </w:r>
      <w:hyperlink w:anchor="356" w:history="1">
        <w:r>
          <w:rPr>
            <w:color w:val="0000EE"/>
          </w:rPr>
          <w:t>26.11 Feuilles et membranes d'étanchéité à l'eau</w:t>
        </w:r>
      </w:hyperlink>
      <w:r>
        <w:t>.</w:t>
      </w:r>
    </w:p>
    <w:p w14:paraId="02704FBA" w14:textId="77777777" w:rsidR="00DB2B68" w:rsidRDefault="00000000">
      <w:r>
        <w:t xml:space="preserve">Crochets de mur : </w:t>
      </w:r>
      <w:r>
        <w:rPr>
          <w:rStyle w:val="optioncarChar"/>
        </w:rPr>
        <w:t>acier inoxydable </w:t>
      </w:r>
      <w:r>
        <w:t>(par défaut)</w:t>
      </w:r>
      <w:r>
        <w:rPr>
          <w:rStyle w:val="optioncarChar"/>
        </w:rPr>
        <w:t xml:space="preserve"> / *** </w:t>
      </w:r>
      <w:r>
        <w:rPr>
          <w:rStyle w:val="optioncarChar"/>
          <w:color w:val="000000"/>
        </w:rPr>
        <w:t>, diamètre minimal</w:t>
      </w:r>
      <w:r>
        <w:rPr>
          <w:rStyle w:val="optioncarChar"/>
        </w:rPr>
        <w:t xml:space="preserve"> 3,5 </w:t>
      </w:r>
      <w:r>
        <w:t>(par défaut)</w:t>
      </w:r>
      <w:r>
        <w:rPr>
          <w:rStyle w:val="optioncarChar"/>
        </w:rPr>
        <w:t xml:space="preserve"> / ***</w:t>
      </w:r>
      <w:r>
        <w:t xml:space="preserve"> mm</w:t>
      </w:r>
    </w:p>
    <w:p w14:paraId="29AF56D5"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r>
        <w:t>.</w:t>
      </w:r>
    </w:p>
    <w:p w14:paraId="46A2EF11" w14:textId="77777777" w:rsidR="00DB2B68" w:rsidRDefault="00000000">
      <w:pPr>
        <w:pStyle w:val="pheading"/>
      </w:pPr>
      <w:r>
        <w:t>AIDE</w:t>
      </w:r>
    </w:p>
    <w:p w14:paraId="73BA26CE" w14:textId="77777777" w:rsidR="00DB2B68" w:rsidRDefault="00000000">
      <w:r>
        <w:t>Note à l'attention de l'auteur du projet : pour le choix adéquat du mortier, se référer à la [STS 22 série].</w:t>
      </w:r>
    </w:p>
    <w:p w14:paraId="476F9F8D" w14:textId="77777777" w:rsidR="00DB2B68" w:rsidRDefault="00000000">
      <w:pPr>
        <w:pStyle w:val="Author-eSectionHeading6Numberless"/>
      </w:pPr>
      <w:bookmarkStart w:id="142" w:name="_Toc220495291"/>
      <w:r>
        <w:t>21.21.1a Maçonneries non portantes en briques de terre cuite à maçonner CCTB 01.12</w:t>
      </w:r>
      <w:bookmarkEnd w:id="142"/>
    </w:p>
    <w:p w14:paraId="2048C1A9" w14:textId="77777777" w:rsidR="00DB2B68" w:rsidRDefault="00000000">
      <w:pPr>
        <w:pStyle w:val="pheading"/>
      </w:pPr>
      <w:r>
        <w:t>DESCRIPTION</w:t>
      </w:r>
    </w:p>
    <w:p w14:paraId="223A3747" w14:textId="77777777" w:rsidR="00DB2B68" w:rsidRDefault="00000000">
      <w:pPr>
        <w:pStyle w:val="pheading"/>
      </w:pPr>
      <w:r>
        <w:t>- Définition / Comprend</w:t>
      </w:r>
    </w:p>
    <w:p w14:paraId="2E677231" w14:textId="77777777" w:rsidR="00DB2B68" w:rsidRDefault="00000000">
      <w:r>
        <w:t xml:space="preserve">Il s’agit de la fourniture et la pose de maçonneries non portantes en briques de terre cuite à maçonner. </w:t>
      </w:r>
      <w:r>
        <w:br/>
        <w:t xml:space="preserve">La portée des travaux est décrite dans l’article </w:t>
      </w:r>
      <w:hyperlink w:anchor="384" w:history="1">
        <w:r>
          <w:rPr>
            <w:color w:val="0000EE"/>
          </w:rPr>
          <w:t xml:space="preserve">21.21.1 Maçonneries non portantes en briques de terre </w:t>
        </w:r>
        <w:r>
          <w:rPr>
            <w:color w:val="0000EE"/>
          </w:rPr>
          <w:lastRenderedPageBreak/>
          <w:t>cuite</w:t>
        </w:r>
      </w:hyperlink>
      <w:r>
        <w:t>.</w:t>
      </w:r>
      <w:r>
        <w:br/>
        <w:t>Les travaux comprennent également la fourniture et la pose des pièces d’angle, de terminaison et de rencontre.</w:t>
      </w:r>
    </w:p>
    <w:p w14:paraId="51947BA5" w14:textId="77777777" w:rsidR="00DB2B68" w:rsidRDefault="00000000">
      <w:pPr>
        <w:pStyle w:val="pheading"/>
      </w:pPr>
      <w:r>
        <w:t>- Localisation</w:t>
      </w:r>
    </w:p>
    <w:p w14:paraId="48584B79" w14:textId="77777777" w:rsidR="00DB2B68" w:rsidRDefault="00000000">
      <w:r>
        <w:t xml:space="preserve">La pose est réalisée aux endroits suivants : </w:t>
      </w:r>
      <w:r>
        <w:rPr>
          <w:rStyle w:val="optioncarChar"/>
        </w:rPr>
        <w:t>***</w:t>
      </w:r>
      <w:r>
        <w:t>.</w:t>
      </w:r>
      <w:r>
        <w:br/>
        <w:t>Voir plans et métrés détaillés.</w:t>
      </w:r>
    </w:p>
    <w:p w14:paraId="7E543553" w14:textId="77777777" w:rsidR="00DB2B68" w:rsidRDefault="00000000">
      <w:pPr>
        <w:pStyle w:val="pheading"/>
      </w:pPr>
      <w:r>
        <w:t>MATÉRIAUX</w:t>
      </w:r>
    </w:p>
    <w:p w14:paraId="7F8E9F38" w14:textId="77777777" w:rsidR="00DB2B68" w:rsidRDefault="00000000">
      <w:pPr>
        <w:pStyle w:val="pheading"/>
      </w:pPr>
      <w:r>
        <w:t>- Caractéristiques générales</w:t>
      </w:r>
    </w:p>
    <w:p w14:paraId="1D7F211B" w14:textId="77777777" w:rsidR="00DB2B68" w:rsidRDefault="00000000">
      <w:pPr>
        <w:pStyle w:val="heading"/>
      </w:pPr>
      <w:r>
        <w:t>Spécifications</w:t>
      </w:r>
    </w:p>
    <w:p w14:paraId="3125C2BB" w14:textId="77777777" w:rsidR="00DB2B68" w:rsidRDefault="00000000">
      <w:r>
        <w:t>En ce qui concerne la déclaration de la résistance à la compression, les briques sont de catégorie I (la résistance à la compression est déclarée avec une fiabilité de 95%).</w:t>
      </w:r>
      <w:r>
        <w:br/>
      </w:r>
      <w:r>
        <w:br/>
      </w:r>
      <w:r>
        <w:rPr>
          <w:color w:val="000000"/>
          <w:shd w:val="clear" w:color="auto" w:fill="FFFFFF"/>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w:t>
      </w:r>
      <w:r>
        <w:rPr>
          <w:rStyle w:val="optioncarChar"/>
          <w:shd w:val="clear" w:color="auto" w:fill="FFFFFF"/>
        </w:rPr>
        <w:t>/ normalisé (f</w:t>
      </w:r>
      <w:r>
        <w:rPr>
          <w:rStyle w:val="optioncarChar"/>
          <w:vertAlign w:val="subscript"/>
        </w:rPr>
        <w:t>b</w:t>
      </w:r>
      <w:r>
        <w:rPr>
          <w:rStyle w:val="optioncarChar"/>
          <w:shd w:val="clear" w:color="auto" w:fill="FFFFFF"/>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shd w:val="clear" w:color="auto" w:fill="FFFFFF"/>
        </w:rPr>
        <w:t xml:space="preserve"> est au minimum: </w:t>
      </w:r>
      <w:r>
        <w:rPr>
          <w:rStyle w:val="optioncarChar"/>
        </w:rPr>
        <w:t>***</w:t>
      </w:r>
      <w:r>
        <w:rPr>
          <w:color w:val="000000"/>
          <w:shd w:val="clear" w:color="auto" w:fill="FFFFFF"/>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w:t>
      </w:r>
      <w:r>
        <w:t xml:space="preserve"> (par défaut)</w:t>
      </w:r>
      <w:r>
        <w:rPr>
          <w:rStyle w:val="optioncarChar"/>
        </w:rPr>
        <w:t> / assemblage à rainures et languettes / assemblage à rainures et poignées</w:t>
      </w:r>
      <w:r>
        <w:br/>
        <w:t xml:space="preserve">Face qui reste visible : </w:t>
      </w:r>
      <w:r>
        <w:rPr>
          <w:rStyle w:val="optioncarChar"/>
        </w:rPr>
        <w:t>lisse </w:t>
      </w:r>
      <w:r>
        <w:t>(par défaut)</w:t>
      </w:r>
      <w:r>
        <w:rPr>
          <w:rStyle w:val="optioncarChar"/>
        </w:rPr>
        <w:t xml:space="preserve"> / striée / ***</w:t>
      </w:r>
      <w:r>
        <w:br/>
        <w:t>Face à cimenter ou plafonner :</w:t>
      </w:r>
      <w:r>
        <w:rPr>
          <w:rStyle w:val="optioncarChar"/>
        </w:rPr>
        <w:t xml:space="preserve"> lisse </w:t>
      </w:r>
      <w:r>
        <w:rPr>
          <w:rStyle w:val="optioncarChar"/>
          <w:color w:val="000000"/>
        </w:rPr>
        <w:t xml:space="preserve">(par défaut) </w:t>
      </w:r>
      <w:r>
        <w:rPr>
          <w:rStyle w:val="optioncarChar"/>
        </w:rPr>
        <w:t>/ striée / rainurée</w:t>
      </w:r>
      <w:r>
        <w:br/>
      </w:r>
      <w:r>
        <w:br/>
        <w:t xml:space="preserve">Teinte : </w:t>
      </w:r>
      <w:r>
        <w:rPr>
          <w:rStyle w:val="optioncarChar"/>
        </w:rPr>
        <w:t>blanc / rouge </w:t>
      </w:r>
      <w:r>
        <w:t>(par défaut)</w:t>
      </w:r>
      <w:r>
        <w:rPr>
          <w:rStyle w:val="optioncarChar"/>
        </w:rPr>
        <w:t xml:space="preserve"> / gris / ***</w:t>
      </w:r>
      <w:r>
        <w:br/>
      </w:r>
      <w:r>
        <w:br/>
        <w:t xml:space="preserve">Format : (L x l x h) </w:t>
      </w:r>
      <w:r>
        <w:rPr>
          <w:rStyle w:val="optioncarChar"/>
        </w:rPr>
        <w:t>*** x *** x *** mm / format modulaire proposé par l'entrepreneur </w:t>
      </w:r>
      <w:r>
        <w:t>(par défaut)</w:t>
      </w:r>
      <w:r>
        <w:br/>
      </w:r>
      <w:r>
        <w:br/>
        <w:t xml:space="preserve">Tolérances dimensionnelles : </w:t>
      </w:r>
      <w:r>
        <w:br/>
        <w:t xml:space="preserve">Tolérances de la valeur moyenne : </w:t>
      </w:r>
      <w:r>
        <w:rPr>
          <w:rStyle w:val="optioncarChar"/>
        </w:rPr>
        <w:t>T1 </w:t>
      </w:r>
      <w:r>
        <w:t>(par défaut)</w:t>
      </w:r>
      <w:r>
        <w:rPr>
          <w:rStyle w:val="optioncarChar"/>
        </w:rPr>
        <w:t xml:space="preserve"> / T2 / Tm / ***</w:t>
      </w:r>
      <w:r>
        <w:br/>
        <w:t xml:space="preserve">Plage : </w:t>
      </w:r>
      <w:r>
        <w:rPr>
          <w:rStyle w:val="optioncarChar"/>
        </w:rPr>
        <w:t>R1 </w:t>
      </w:r>
      <w:r>
        <w:t>(par défaut)</w:t>
      </w:r>
      <w:r>
        <w:rPr>
          <w:rStyle w:val="optioncarChar"/>
        </w:rPr>
        <w:t xml:space="preserve"> / R2 / Rm / ***</w:t>
      </w:r>
      <w:r>
        <w:br/>
      </w:r>
      <w:r>
        <w:br/>
        <w:t xml:space="preserve">Taux initial d’absorption d’eau : classe </w:t>
      </w:r>
      <w:r>
        <w:rPr>
          <w:rStyle w:val="optioncarChar"/>
        </w:rPr>
        <w:t>IW1 / IW2 / IW3 / IW4</w:t>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10AC4313" w14:textId="77777777" w:rsidR="00DB2B68" w:rsidRDefault="00000000">
      <w:pPr>
        <w:pStyle w:val="heading"/>
      </w:pPr>
      <w:r>
        <w:t>Critères de performances de la paroi</w:t>
      </w:r>
    </w:p>
    <w:p w14:paraId="3B95D9CA" w14:textId="77777777" w:rsidR="00DB2B68" w:rsidRDefault="00000000">
      <w:r>
        <w:t>Coefficient de transmission :</w:t>
      </w:r>
    </w:p>
    <w:p w14:paraId="7ED0E276" w14:textId="77777777" w:rsidR="00DB2B68" w:rsidRDefault="00000000">
      <w:pPr>
        <w:pStyle w:val="Author-eListParagraph"/>
        <w:numPr>
          <w:ilvl w:val="0"/>
          <w:numId w:val="153"/>
        </w:numPr>
      </w:pPr>
      <w:r>
        <w:t xml:space="preserve">valeur U minimale de </w:t>
      </w:r>
      <w:r>
        <w:rPr>
          <w:rStyle w:val="optioncarChar"/>
        </w:rPr>
        <w:t>***</w:t>
      </w:r>
      <w:r>
        <w:t xml:space="preserve"> W/m²K</w:t>
      </w:r>
    </w:p>
    <w:p w14:paraId="2E8CBF08" w14:textId="77777777" w:rsidR="00DB2B68" w:rsidRDefault="00000000">
      <w:pPr>
        <w:pStyle w:val="Author-eListParagraph"/>
        <w:numPr>
          <w:ilvl w:val="0"/>
          <w:numId w:val="15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8895A9D" w14:textId="77777777" w:rsidR="00DB2B68" w:rsidRDefault="00000000">
      <w:r>
        <w:t xml:space="preserve">Résistance au feu : </w:t>
      </w:r>
      <w:r>
        <w:rPr>
          <w:rStyle w:val="optioncarChar"/>
        </w:rPr>
        <w:t>EI30</w:t>
      </w:r>
      <w:r>
        <w:t xml:space="preserve"> (par défaut)</w:t>
      </w:r>
      <w:r>
        <w:rPr>
          <w:rStyle w:val="optioncarChar"/>
        </w:rPr>
        <w:t xml:space="preserve"> / EI60 / EI90 / EI120 / EI *** </w:t>
      </w:r>
      <w:r>
        <w:t>selon la norme [NBN EN 1996-1-2 ANB].</w:t>
      </w:r>
    </w:p>
    <w:p w14:paraId="78662886" w14:textId="77777777" w:rsidR="00DB2B68" w:rsidRDefault="00000000">
      <w:pPr>
        <w:ind w:left="750"/>
      </w:pPr>
      <w:r>
        <w:t> </w:t>
      </w:r>
    </w:p>
    <w:p w14:paraId="022DA7AD" w14:textId="77777777" w:rsidR="00DB2B68" w:rsidRDefault="00000000">
      <w:pPr>
        <w:pStyle w:val="pheading"/>
      </w:pPr>
      <w:r>
        <w:t>- Finitions</w:t>
      </w:r>
    </w:p>
    <w:p w14:paraId="2C86493A" w14:textId="77777777" w:rsidR="00DB2B68" w:rsidRDefault="00000000">
      <w:pPr>
        <w:pStyle w:val="Author-eListParagraph"/>
        <w:numPr>
          <w:ilvl w:val="0"/>
          <w:numId w:val="154"/>
        </w:numPr>
      </w:pPr>
      <w:r>
        <w:t xml:space="preserve">Les faces de murs suivantes sont exécutées comme maçonneries apparentes et sont </w:t>
      </w:r>
      <w:r>
        <w:rPr>
          <w:rStyle w:val="optioncarChar"/>
          <w:color w:val="000000"/>
        </w:rPr>
        <w:t>rejointoyées</w:t>
      </w:r>
      <w:r>
        <w:t xml:space="preserve"> selon l'article </w:t>
      </w:r>
      <w:hyperlink w:anchor="346" w:history="1">
        <w:r>
          <w:rPr>
            <w:color w:val="0000EE"/>
          </w:rPr>
          <w:t>21.61.1b Joints de maçonnerie apparente</w:t>
        </w:r>
      </w:hyperlink>
      <w:r>
        <w:t xml:space="preserve"> : </w:t>
      </w:r>
      <w:r>
        <w:rPr>
          <w:rStyle w:val="optioncarChar"/>
        </w:rPr>
        <w:t>***</w:t>
      </w:r>
    </w:p>
    <w:p w14:paraId="36B40473" w14:textId="77777777" w:rsidR="00DB2B68" w:rsidRDefault="00000000">
      <w:pPr>
        <w:pStyle w:val="Author-eListParagraph"/>
        <w:numPr>
          <w:ilvl w:val="0"/>
          <w:numId w:val="154"/>
        </w:numPr>
      </w:pPr>
      <w:r>
        <w:lastRenderedPageBreak/>
        <w:t xml:space="preserve">Les murs suivants sont exécutés avec une face restant apparente : </w:t>
      </w:r>
      <w:r>
        <w:rPr>
          <w:rStyle w:val="optioncarChar"/>
        </w:rPr>
        <w:t>***</w:t>
      </w:r>
    </w:p>
    <w:p w14:paraId="331B7A1B" w14:textId="77777777" w:rsidR="00DB2B68" w:rsidRDefault="00000000">
      <w:pPr>
        <w:pStyle w:val="Author-eListParagraph"/>
        <w:numPr>
          <w:ilvl w:val="0"/>
          <w:numId w:val="154"/>
        </w:numPr>
      </w:pPr>
      <w:r>
        <w:t xml:space="preserve">Les murs suivants sont exécutés avec deux faces restant apparentes : </w:t>
      </w:r>
      <w:r>
        <w:rPr>
          <w:rStyle w:val="optioncarChar"/>
        </w:rPr>
        <w:t>***</w:t>
      </w:r>
    </w:p>
    <w:p w14:paraId="40283ED7" w14:textId="77777777" w:rsidR="00DB2B68" w:rsidRDefault="00000000">
      <w:pPr>
        <w:pStyle w:val="pheading"/>
      </w:pPr>
      <w:r>
        <w:t>MESURAGE</w:t>
      </w:r>
    </w:p>
    <w:p w14:paraId="62FFA08F" w14:textId="77777777" w:rsidR="00DB2B68" w:rsidRDefault="00000000">
      <w:pPr>
        <w:pStyle w:val="pheading"/>
      </w:pPr>
      <w:r>
        <w:t>- unité de mesure:</w:t>
      </w:r>
    </w:p>
    <w:p w14:paraId="03BF81B8" w14:textId="77777777" w:rsidR="00DB2B68" w:rsidRDefault="00000000">
      <w:r>
        <w:rPr>
          <w:rStyle w:val="optioncarChar"/>
        </w:rPr>
        <w:t>m³ </w:t>
      </w:r>
      <w:r>
        <w:t>(par défaut)</w:t>
      </w:r>
      <w:r>
        <w:rPr>
          <w:rStyle w:val="optioncarChar"/>
        </w:rPr>
        <w:t> / m²</w:t>
      </w:r>
    </w:p>
    <w:p w14:paraId="64E0154E" w14:textId="77777777" w:rsidR="00DB2B68" w:rsidRDefault="00000000">
      <w:r>
        <w:rPr>
          <w:b/>
        </w:rPr>
        <w:t>(soit par défaut)</w:t>
      </w:r>
    </w:p>
    <w:p w14:paraId="039E4AA6" w14:textId="77777777" w:rsidR="00DB2B68" w:rsidRDefault="00000000">
      <w:r>
        <w:rPr>
          <w:rStyle w:val="soitChar"/>
        </w:rPr>
        <w:t>1. m³</w:t>
      </w:r>
    </w:p>
    <w:p w14:paraId="6AA278B3" w14:textId="77777777" w:rsidR="00DB2B68" w:rsidRDefault="00000000">
      <w:r>
        <w:rPr>
          <w:b/>
        </w:rPr>
        <w:t>(soit)</w:t>
      </w:r>
    </w:p>
    <w:p w14:paraId="75FD6648" w14:textId="77777777" w:rsidR="00DB2B68" w:rsidRDefault="00000000">
      <w:r>
        <w:rPr>
          <w:rStyle w:val="soitChar"/>
        </w:rPr>
        <w:t>2. m²</w:t>
      </w:r>
    </w:p>
    <w:p w14:paraId="1549D0A5" w14:textId="77777777" w:rsidR="00DB2B68" w:rsidRDefault="00000000">
      <w:pPr>
        <w:pStyle w:val="pheading"/>
      </w:pPr>
      <w:r>
        <w:t>- code de mesurage:</w:t>
      </w:r>
    </w:p>
    <w:p w14:paraId="4BD6006A"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BDABE5E"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1C61083"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66744EE0" w14:textId="77777777" w:rsidR="00DB2B68" w:rsidRDefault="00000000">
      <w:r>
        <w:br/>
      </w:r>
      <w:r>
        <w:rPr>
          <w:rStyle w:val="optioncarChar"/>
        </w:rPr>
        <w:t>Volume net </w:t>
      </w:r>
      <w:r>
        <w:t>(par défaut)</w:t>
      </w:r>
      <w:r>
        <w:rPr>
          <w:rStyle w:val="optioncarChar"/>
        </w:rPr>
        <w:t> / Surface nette</w:t>
      </w:r>
    </w:p>
    <w:p w14:paraId="1702C6B0" w14:textId="77777777" w:rsidR="00DB2B68" w:rsidRDefault="00000000">
      <w:r>
        <w:rPr>
          <w:b/>
        </w:rPr>
        <w:t>(soit par défaut)</w:t>
      </w:r>
    </w:p>
    <w:p w14:paraId="608D0336"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CC10E14" w14:textId="77777777" w:rsidR="00DB2B68" w:rsidRDefault="00000000">
      <w:r>
        <w:rPr>
          <w:b/>
        </w:rPr>
        <w:t>(soit)</w:t>
      </w:r>
    </w:p>
    <w:p w14:paraId="3545D87A"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538E9789" w14:textId="77777777" w:rsidR="00DB2B68" w:rsidRDefault="00000000">
      <w:pPr>
        <w:pStyle w:val="pheading"/>
      </w:pPr>
      <w:r>
        <w:t>- nature du marché:</w:t>
      </w:r>
    </w:p>
    <w:p w14:paraId="20584D18" w14:textId="77777777" w:rsidR="00DB2B68" w:rsidRDefault="00000000">
      <w:r>
        <w:t>QF</w:t>
      </w:r>
    </w:p>
    <w:p w14:paraId="769261E4" w14:textId="77777777" w:rsidR="00DB2B68" w:rsidRDefault="00000000">
      <w:pPr>
        <w:pStyle w:val="Author-eSectionHeading6Numberless"/>
      </w:pPr>
      <w:bookmarkStart w:id="143" w:name="_Toc220495292"/>
      <w:r>
        <w:t>21.21.1b Maçonneries non portantes en briques de terre cuite à coller CCTB 01.11</w:t>
      </w:r>
      <w:bookmarkEnd w:id="143"/>
    </w:p>
    <w:p w14:paraId="68C24F4D" w14:textId="77777777" w:rsidR="00DB2B68" w:rsidRDefault="00000000">
      <w:pPr>
        <w:pStyle w:val="pheading"/>
      </w:pPr>
      <w:r>
        <w:t>DESCRIPTION</w:t>
      </w:r>
    </w:p>
    <w:p w14:paraId="01693756" w14:textId="77777777" w:rsidR="00DB2B68" w:rsidRDefault="00000000">
      <w:pPr>
        <w:pStyle w:val="pheading"/>
      </w:pPr>
      <w:r>
        <w:t>- Définition / Comprend</w:t>
      </w:r>
    </w:p>
    <w:p w14:paraId="3C7C831C" w14:textId="77777777" w:rsidR="00DB2B68" w:rsidRDefault="00000000">
      <w:r>
        <w:t xml:space="preserve">Il s’agit de la fourniture et la pose de maçonneries non portantes en briques de terre cuite à coller. </w:t>
      </w:r>
      <w:r>
        <w:br/>
        <w:t xml:space="preserve">La portée des travaux est décrite dans l’article </w:t>
      </w:r>
      <w:hyperlink w:anchor="384" w:history="1">
        <w:r>
          <w:rPr>
            <w:color w:val="0000EE"/>
          </w:rPr>
          <w:t>21.21.1 Maçonneries non portantes en briques de terre cuite</w:t>
        </w:r>
      </w:hyperlink>
      <w:r>
        <w:t xml:space="preserve"> .</w:t>
      </w:r>
      <w:r>
        <w:br/>
        <w:t>Les travaux comprennent également la fourniture et la pose des pièces d’angle, de terminaison et de rencontre.</w:t>
      </w:r>
    </w:p>
    <w:p w14:paraId="0FBE8ABD" w14:textId="77777777" w:rsidR="00DB2B68" w:rsidRDefault="00000000">
      <w:pPr>
        <w:pStyle w:val="pheading"/>
      </w:pPr>
      <w:r>
        <w:t>- Localisation</w:t>
      </w:r>
    </w:p>
    <w:p w14:paraId="1BDD3121" w14:textId="77777777" w:rsidR="00DB2B68" w:rsidRDefault="00000000">
      <w:r>
        <w:lastRenderedPageBreak/>
        <w:t>La pose est réalisée aux endroits suivants :</w:t>
      </w:r>
      <w:r>
        <w:rPr>
          <w:rStyle w:val="optioncarChar"/>
        </w:rPr>
        <w:t xml:space="preserve"> ***</w:t>
      </w:r>
      <w:r>
        <w:t>.</w:t>
      </w:r>
      <w:r>
        <w:br/>
        <w:t>Voir plans et métrés détaillés.</w:t>
      </w:r>
    </w:p>
    <w:p w14:paraId="0FB288DF" w14:textId="77777777" w:rsidR="00DB2B68" w:rsidRDefault="00000000">
      <w:pPr>
        <w:pStyle w:val="pheading"/>
      </w:pPr>
      <w:r>
        <w:t>MATÉRIAUX</w:t>
      </w:r>
    </w:p>
    <w:p w14:paraId="4F398A3C" w14:textId="77777777" w:rsidR="00DB2B68" w:rsidRDefault="00000000">
      <w:pPr>
        <w:pStyle w:val="pheading"/>
      </w:pPr>
      <w:r>
        <w:t>- Caractéristiques générales</w:t>
      </w:r>
    </w:p>
    <w:p w14:paraId="6D78F49D" w14:textId="77777777" w:rsidR="00DB2B68" w:rsidRDefault="00000000">
      <w:pPr>
        <w:pStyle w:val="heading"/>
      </w:pPr>
      <w:r>
        <w:t>Spécifications</w:t>
      </w:r>
    </w:p>
    <w:p w14:paraId="544D1C8D" w14:textId="77777777" w:rsidR="00DB2B68" w:rsidRDefault="00000000">
      <w:r>
        <w:t>En ce qui concerne la déclaration de la résistance à la compression, les briques sont de catégorie I (la résistance à la compression est déclarée avec une fiabilité de 95%).</w:t>
      </w:r>
      <w:r>
        <w:br/>
      </w:r>
      <w:r>
        <w:br/>
      </w:r>
      <w:r>
        <w:rPr>
          <w:color w:val="000000"/>
          <w:shd w:val="clear" w:color="auto" w:fill="FFFFFF"/>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w:t>
      </w:r>
      <w:r>
        <w:rPr>
          <w:rStyle w:val="optioncarChar"/>
          <w:shd w:val="clear" w:color="auto" w:fill="FFFFFF"/>
        </w:rPr>
        <w:t>/ normalisé (f</w:t>
      </w:r>
      <w:r>
        <w:rPr>
          <w:rStyle w:val="optioncarChar"/>
          <w:vertAlign w:val="subscript"/>
        </w:rPr>
        <w:t>b</w:t>
      </w:r>
      <w:r>
        <w:rPr>
          <w:rStyle w:val="optioncarChar"/>
          <w:shd w:val="clear" w:color="auto" w:fill="FFFFFF"/>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shd w:val="clear" w:color="auto" w:fill="FFFFFF"/>
        </w:rPr>
        <w:t xml:space="preserve"> est au minimum: </w:t>
      </w:r>
      <w:r>
        <w:rPr>
          <w:rStyle w:val="optioncarChar"/>
        </w:rPr>
        <w:t>***</w:t>
      </w:r>
      <w:r>
        <w:rPr>
          <w:color w:val="000000"/>
          <w:shd w:val="clear" w:color="auto" w:fill="FFFFFF"/>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w:t>
      </w:r>
    </w:p>
    <w:p w14:paraId="2D4D2E42" w14:textId="77777777" w:rsidR="00DB2B68" w:rsidRDefault="00000000">
      <w: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w:t>
      </w:r>
      <w:r>
        <w:br/>
        <w:t xml:space="preserve">Face à cimenter ou plafonner : </w:t>
      </w:r>
      <w:r>
        <w:rPr>
          <w:rStyle w:val="optioncarChar"/>
        </w:rPr>
        <w:t xml:space="preserve">lisse </w:t>
      </w:r>
      <w:r>
        <w:t>(par défaut)</w:t>
      </w:r>
      <w:r>
        <w:rPr>
          <w:rStyle w:val="optioncarChar"/>
        </w:rPr>
        <w:t xml:space="preserve"> / rainurée</w:t>
      </w:r>
      <w:r>
        <w:br/>
      </w:r>
      <w:r>
        <w:br/>
        <w:t xml:space="preserve">Teinte : </w:t>
      </w:r>
      <w:r>
        <w:rPr>
          <w:rStyle w:val="optioncarChar"/>
        </w:rPr>
        <w:t>blanc / rouge </w:t>
      </w:r>
      <w:r>
        <w:t>(par défaut)</w:t>
      </w:r>
      <w:r>
        <w:rPr>
          <w:rStyle w:val="optioncarChar"/>
        </w:rPr>
        <w:t> / gris / ***λ</w:t>
      </w:r>
      <w:r>
        <w:br/>
      </w:r>
      <w:r>
        <w:br/>
        <w:t xml:space="preserve">Format : (L x l x h) </w:t>
      </w:r>
      <w:r>
        <w:rPr>
          <w:rStyle w:val="optioncarChar"/>
        </w:rPr>
        <w:t>*** x *** x *** mm / format modulaire proposé par l'entrepreneur </w:t>
      </w:r>
      <w:r>
        <w:t>(par défaut)</w:t>
      </w:r>
      <w:r>
        <w:br/>
      </w:r>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p>
    <w:p w14:paraId="04F45613" w14:textId="77777777" w:rsidR="00DB2B68" w:rsidRDefault="00000000">
      <w:r>
        <w:t>Résistance au gel suivant les classes d’application MX… selon [NBN EN 1996-2 ANB] et [NIT 271].</w:t>
      </w:r>
      <w:r>
        <w:br/>
      </w:r>
      <w:r>
        <w:br/>
        <w:t>Réaction au feu :</w:t>
      </w:r>
      <w:r>
        <w:rPr>
          <w:rStyle w:val="optioncarChar"/>
        </w:rPr>
        <w:t xml:space="preserve"> A1 / ***</w:t>
      </w:r>
    </w:p>
    <w:p w14:paraId="2C96BDF1" w14:textId="77777777" w:rsidR="00DB2B68" w:rsidRDefault="00000000">
      <w:pPr>
        <w:pStyle w:val="heading"/>
      </w:pPr>
      <w:r>
        <w:t>Critères de performances de la paroi</w:t>
      </w:r>
    </w:p>
    <w:p w14:paraId="2E019261" w14:textId="77777777" w:rsidR="00DB2B68" w:rsidRDefault="00000000">
      <w:r>
        <w:t>Coefficient de transmission :</w:t>
      </w:r>
    </w:p>
    <w:p w14:paraId="0D596630" w14:textId="77777777" w:rsidR="00DB2B68" w:rsidRDefault="00000000">
      <w:pPr>
        <w:pStyle w:val="Author-eListParagraph"/>
        <w:numPr>
          <w:ilvl w:val="0"/>
          <w:numId w:val="155"/>
        </w:numPr>
      </w:pPr>
      <w:r>
        <w:t xml:space="preserve">valeur U minimale de </w:t>
      </w:r>
      <w:r>
        <w:rPr>
          <w:rStyle w:val="optioncarChar"/>
        </w:rPr>
        <w:t>***</w:t>
      </w:r>
      <w:r>
        <w:t xml:space="preserve"> W/m²K</w:t>
      </w:r>
    </w:p>
    <w:p w14:paraId="39B1F5D6" w14:textId="77777777" w:rsidR="00DB2B68" w:rsidRDefault="00000000">
      <w:pPr>
        <w:pStyle w:val="Author-eListParagraph"/>
        <w:numPr>
          <w:ilvl w:val="0"/>
          <w:numId w:val="15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B30E7A2" w14:textId="77777777" w:rsidR="00DB2B68" w:rsidRDefault="00000000">
      <w:r>
        <w:br/>
        <w:t xml:space="preserve">Résistance au feu : </w:t>
      </w:r>
      <w:r>
        <w:rPr>
          <w:rStyle w:val="optioncarChar"/>
        </w:rPr>
        <w:t>EI30 </w:t>
      </w:r>
      <w:r>
        <w:t>(par défaut)</w:t>
      </w:r>
      <w:r>
        <w:rPr>
          <w:rStyle w:val="optioncarChar"/>
        </w:rPr>
        <w:t xml:space="preserve"> / EI60 / EI90 / EI120 / EI*** </w:t>
      </w:r>
    </w:p>
    <w:p w14:paraId="1E332A57" w14:textId="77777777" w:rsidR="00DB2B68" w:rsidRDefault="00000000">
      <w:r>
        <w:t>selon la norme [NBN EN 1996-1-2 ANB].</w:t>
      </w:r>
    </w:p>
    <w:p w14:paraId="2BEC0214" w14:textId="77777777" w:rsidR="00DB2B68" w:rsidRDefault="00000000">
      <w:pPr>
        <w:ind w:left="750"/>
      </w:pPr>
      <w:r>
        <w:t> </w:t>
      </w:r>
    </w:p>
    <w:p w14:paraId="18189521" w14:textId="77777777" w:rsidR="00DB2B68" w:rsidRDefault="00000000">
      <w:pPr>
        <w:pStyle w:val="pheading"/>
      </w:pPr>
      <w:r>
        <w:t>- Finitions</w:t>
      </w:r>
    </w:p>
    <w:p w14:paraId="021DE0FE" w14:textId="77777777" w:rsidR="00DB2B68" w:rsidRDefault="00000000">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4F4D271F" w14:textId="77777777" w:rsidR="00DB2B68" w:rsidRDefault="00000000">
      <w:r>
        <w:rPr>
          <w:rStyle w:val="normalChar"/>
        </w:rPr>
        <w:t>Les murs suivants sont exécutés avec une face restant apparente :</w:t>
      </w:r>
      <w:r>
        <w:rPr>
          <w:rStyle w:val="optioncarChar"/>
        </w:rPr>
        <w:t>***</w:t>
      </w:r>
    </w:p>
    <w:p w14:paraId="5DE2A89A" w14:textId="77777777" w:rsidR="00DB2B68" w:rsidRDefault="00000000">
      <w:r>
        <w:rPr>
          <w:rStyle w:val="normalChar"/>
        </w:rPr>
        <w:t>Les murs suivants sont exécutés avec deux faces restant apparentes :</w:t>
      </w:r>
      <w:r>
        <w:rPr>
          <w:rStyle w:val="optioncarChar"/>
        </w:rPr>
        <w:t>***</w:t>
      </w:r>
    </w:p>
    <w:p w14:paraId="5B6B12B5" w14:textId="77777777" w:rsidR="00DB2B68" w:rsidRDefault="00000000">
      <w:pPr>
        <w:pStyle w:val="pheading"/>
      </w:pPr>
      <w:r>
        <w:lastRenderedPageBreak/>
        <w:t>MESURAGE</w:t>
      </w:r>
    </w:p>
    <w:p w14:paraId="35B97FC6" w14:textId="77777777" w:rsidR="00DB2B68" w:rsidRDefault="00000000">
      <w:pPr>
        <w:pStyle w:val="pheading"/>
      </w:pPr>
      <w:r>
        <w:t>- unité de mesure:</w:t>
      </w:r>
    </w:p>
    <w:p w14:paraId="2867967D" w14:textId="77777777" w:rsidR="00DB2B68" w:rsidRDefault="00000000">
      <w:r>
        <w:rPr>
          <w:rStyle w:val="optioncarChar"/>
        </w:rPr>
        <w:t>m³ </w:t>
      </w:r>
      <w:r>
        <w:t>(par défaut)</w:t>
      </w:r>
      <w:r>
        <w:rPr>
          <w:rStyle w:val="optioncarChar"/>
        </w:rPr>
        <w:t> / m²</w:t>
      </w:r>
    </w:p>
    <w:p w14:paraId="2904FECC" w14:textId="77777777" w:rsidR="00DB2B68" w:rsidRDefault="00000000">
      <w:r>
        <w:rPr>
          <w:b/>
        </w:rPr>
        <w:t>(soit par défaut)</w:t>
      </w:r>
    </w:p>
    <w:p w14:paraId="3FAF933A" w14:textId="77777777" w:rsidR="00DB2B68" w:rsidRDefault="00000000">
      <w:r>
        <w:rPr>
          <w:rStyle w:val="soitChar"/>
        </w:rPr>
        <w:t>1. m³</w:t>
      </w:r>
    </w:p>
    <w:p w14:paraId="4DAFFDF9" w14:textId="77777777" w:rsidR="00DB2B68" w:rsidRDefault="00000000">
      <w:r>
        <w:rPr>
          <w:b/>
        </w:rPr>
        <w:t>(soit)</w:t>
      </w:r>
    </w:p>
    <w:p w14:paraId="73AF147E" w14:textId="77777777" w:rsidR="00DB2B68" w:rsidRDefault="00000000">
      <w:r>
        <w:rPr>
          <w:rStyle w:val="soitChar"/>
        </w:rPr>
        <w:t>2. m²</w:t>
      </w:r>
    </w:p>
    <w:p w14:paraId="1EB21A37" w14:textId="77777777" w:rsidR="00DB2B68" w:rsidRDefault="00000000">
      <w:pPr>
        <w:pStyle w:val="pheading"/>
      </w:pPr>
      <w:r>
        <w:t>- code de mesurage:</w:t>
      </w:r>
    </w:p>
    <w:p w14:paraId="31A46DF3"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C1ABF13"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920ED6D"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F417145" w14:textId="77777777" w:rsidR="00DB2B68" w:rsidRDefault="00000000">
      <w:r>
        <w:br/>
      </w:r>
      <w:r>
        <w:rPr>
          <w:rStyle w:val="optioncarChar"/>
        </w:rPr>
        <w:t>Volume net </w:t>
      </w:r>
      <w:r>
        <w:t>(par défaut)</w:t>
      </w:r>
      <w:r>
        <w:rPr>
          <w:rStyle w:val="optioncarChar"/>
        </w:rPr>
        <w:t> / Surface nette</w:t>
      </w:r>
    </w:p>
    <w:p w14:paraId="0CA35BE1" w14:textId="77777777" w:rsidR="00DB2B68" w:rsidRDefault="00000000">
      <w:r>
        <w:rPr>
          <w:b/>
        </w:rPr>
        <w:t>(soit par défaut)</w:t>
      </w:r>
    </w:p>
    <w:p w14:paraId="72088B4C"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CD4C42A" w14:textId="77777777" w:rsidR="00DB2B68" w:rsidRDefault="00000000">
      <w:r>
        <w:rPr>
          <w:b/>
        </w:rPr>
        <w:t>(soit)</w:t>
      </w:r>
    </w:p>
    <w:p w14:paraId="19766C48"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6F24C4A5" w14:textId="77777777" w:rsidR="00DB2B68" w:rsidRDefault="00000000">
      <w:pPr>
        <w:ind w:left="750"/>
      </w:pPr>
      <w:r>
        <w:t> </w:t>
      </w:r>
    </w:p>
    <w:p w14:paraId="7098DA83" w14:textId="77777777" w:rsidR="00DB2B68" w:rsidRDefault="00000000">
      <w:pPr>
        <w:pStyle w:val="pheading"/>
      </w:pPr>
      <w:r>
        <w:t>- nature du marché:</w:t>
      </w:r>
    </w:p>
    <w:p w14:paraId="3303B513" w14:textId="77777777" w:rsidR="00DB2B68" w:rsidRDefault="00000000">
      <w:r>
        <w:t>QF</w:t>
      </w:r>
    </w:p>
    <w:p w14:paraId="30465985" w14:textId="77777777" w:rsidR="00DB2B68" w:rsidRDefault="00000000">
      <w:pPr>
        <w:pStyle w:val="Author-eSectionHeading6Numberless"/>
      </w:pPr>
      <w:bookmarkStart w:id="144" w:name="_Toc220495293"/>
      <w:r>
        <w:t>21.21.1c Maçonneries non portantes en briques de terre cuite de réemploi CCTB 01.12</w:t>
      </w:r>
      <w:bookmarkEnd w:id="144"/>
    </w:p>
    <w:p w14:paraId="15E4FEF6" w14:textId="77777777" w:rsidR="00DB2B68" w:rsidRDefault="00000000">
      <w:pPr>
        <w:pStyle w:val="pheading"/>
      </w:pPr>
      <w:bookmarkStart w:id="145" w:name="142"/>
      <w:bookmarkEnd w:id="145"/>
      <w:r>
        <w:t>DESCRIPTION</w:t>
      </w:r>
    </w:p>
    <w:p w14:paraId="0D15ED53" w14:textId="77777777" w:rsidR="00DB2B68" w:rsidRDefault="00000000">
      <w:pPr>
        <w:pStyle w:val="pheading"/>
      </w:pPr>
      <w:r>
        <w:t>- Définition / Comprend</w:t>
      </w:r>
    </w:p>
    <w:p w14:paraId="1D3E4758" w14:textId="77777777" w:rsidR="00DB2B68" w:rsidRDefault="00000000">
      <w:r>
        <w:t xml:space="preserve">Il s’agit de la fourniture et la pose de maçonneries non portantes en briques de terre cuite de réemploi. </w:t>
      </w:r>
      <w:r>
        <w:br/>
        <w:t xml:space="preserve">La portée des travaux est décrite dans l’article </w:t>
      </w:r>
      <w:hyperlink w:anchor="384" w:history="1">
        <w:r>
          <w:rPr>
            <w:color w:val="0000EE"/>
          </w:rPr>
          <w:t>21.21.1 Maçonneries non portantes en briques de terre cuite</w:t>
        </w:r>
      </w:hyperlink>
      <w:r>
        <w:t>.</w:t>
      </w:r>
      <w:r>
        <w:br/>
        <w:t>Les travaux comprennent également la fourniture et la pose des pièces d’angle, de terminaison et de rencontre.</w:t>
      </w:r>
    </w:p>
    <w:p w14:paraId="7943CBAA" w14:textId="77777777" w:rsidR="00DB2B68" w:rsidRDefault="00000000">
      <w:pPr>
        <w:pStyle w:val="pheading"/>
      </w:pPr>
      <w:r>
        <w:lastRenderedPageBreak/>
        <w:t>- Localisation</w:t>
      </w:r>
    </w:p>
    <w:p w14:paraId="38E92AA6" w14:textId="77777777" w:rsidR="00DB2B68" w:rsidRDefault="00000000">
      <w:r>
        <w:t xml:space="preserve">La pose est réalisée aux endroits suivants : </w:t>
      </w:r>
      <w:r>
        <w:rPr>
          <w:rStyle w:val="optioncarChar"/>
        </w:rPr>
        <w:t>***</w:t>
      </w:r>
      <w:r>
        <w:t>.</w:t>
      </w:r>
      <w:r>
        <w:br/>
        <w:t>Voir plans et métrés détaillés.</w:t>
      </w:r>
    </w:p>
    <w:p w14:paraId="6415FFBD" w14:textId="77777777" w:rsidR="00DB2B68" w:rsidRDefault="00000000">
      <w:pPr>
        <w:pStyle w:val="pheading"/>
      </w:pPr>
      <w:r>
        <w:t>MATÉRIAUX</w:t>
      </w:r>
    </w:p>
    <w:p w14:paraId="3B00E2E8" w14:textId="77777777" w:rsidR="00DB2B68" w:rsidRDefault="00000000">
      <w:pPr>
        <w:pStyle w:val="pheading"/>
      </w:pPr>
      <w:r>
        <w:t>- Caractéristiques générales</w:t>
      </w:r>
    </w:p>
    <w:p w14:paraId="2C0DB1AE" w14:textId="77777777" w:rsidR="00DB2B68" w:rsidRDefault="00000000">
      <w:pPr>
        <w:pStyle w:val="heading"/>
      </w:pPr>
      <w:r>
        <w:t>Spécifications</w:t>
      </w:r>
    </w:p>
    <w:p w14:paraId="24661A0F" w14:textId="77777777" w:rsidR="00DB2B68" w:rsidRDefault="00000000">
      <w:r>
        <w:t>En ce qui concerne la déclaration de la résistance à la compression, les briques sont de catégorie I (la résistance à la compression est déclarée avec une fiabilité de 95%).</w:t>
      </w:r>
      <w:r>
        <w:br/>
      </w:r>
      <w:r>
        <w:br/>
      </w:r>
      <w:r>
        <w:rPr>
          <w:color w:val="000000"/>
          <w:shd w:val="clear" w:color="auto" w:fill="FFFFFF"/>
        </w:rPr>
        <w:t xml:space="preserve">La résistance en compression </w:t>
      </w:r>
      <w:r>
        <w:rPr>
          <w:rStyle w:val="optioncarChar"/>
        </w:rPr>
        <w:t>moyenne (f</w:t>
      </w:r>
      <w:r>
        <w:rPr>
          <w:rStyle w:val="optioncarChar"/>
          <w:vertAlign w:val="subscript"/>
        </w:rPr>
        <w:t>mean</w:t>
      </w:r>
      <w:r>
        <w:rPr>
          <w:rStyle w:val="optioncarChar"/>
        </w:rPr>
        <w:t xml:space="preserve">) </w:t>
      </w:r>
      <w:r>
        <w:t>(par défaut) </w:t>
      </w:r>
      <w:r>
        <w:rPr>
          <w:rStyle w:val="optioncarChar"/>
          <w:shd w:val="clear" w:color="auto" w:fill="FFFFFF"/>
        </w:rPr>
        <w:t>/ normalisé (f</w:t>
      </w:r>
      <w:r>
        <w:rPr>
          <w:rStyle w:val="optioncarChar"/>
          <w:vertAlign w:val="subscript"/>
        </w:rPr>
        <w:t>b</w:t>
      </w:r>
      <w:r>
        <w:rPr>
          <w:rStyle w:val="optioncarChar"/>
          <w:shd w:val="clear" w:color="auto" w:fill="FFFFFF"/>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shd w:val="clear" w:color="auto" w:fill="FFFFFF"/>
        </w:rPr>
        <w:t xml:space="preserve"> est au minimum: </w:t>
      </w:r>
      <w:r>
        <w:rPr>
          <w:rStyle w:val="optioncarChar"/>
        </w:rPr>
        <w:t>***</w:t>
      </w:r>
      <w:r>
        <w:rPr>
          <w:color w:val="000000"/>
          <w:shd w:val="clear" w:color="auto" w:fill="FFFFFF"/>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&lt; ρ &lt;</w:t>
      </w:r>
      <w:r>
        <w:rPr>
          <w:rStyle w:val="optioncarChar"/>
        </w:rPr>
        <w:t xml:space="preserve"> ***</w:t>
      </w:r>
      <w:r>
        <w:t xml:space="preserve"> kg/m³ selon la [NBN EN 771-1+A1].</w:t>
      </w:r>
    </w:p>
    <w:p w14:paraId="7C026D9D" w14:textId="77777777" w:rsidR="00DB2B68" w:rsidRDefault="00000000">
      <w: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w:t>
      </w:r>
      <w:r>
        <w:rPr>
          <w:rStyle w:val="optioncarChar"/>
        </w:rPr>
        <w:t xml:space="preserve"> lisse </w:t>
      </w:r>
      <w:r>
        <w:t>(par défaut) </w:t>
      </w:r>
      <w:r>
        <w:rPr>
          <w:rStyle w:val="optioncarChar"/>
        </w:rPr>
        <w:t>/ rainuré</w:t>
      </w:r>
      <w:r>
        <w:br/>
      </w:r>
      <w:r>
        <w:br/>
        <w:t xml:space="preserve">Teinte : </w:t>
      </w:r>
      <w:r>
        <w:rPr>
          <w:rStyle w:val="optioncarChar"/>
        </w:rPr>
        <w:t>blanc / rouge </w:t>
      </w:r>
      <w:r>
        <w:t>(par défaut)</w:t>
      </w:r>
      <w:r>
        <w:rPr>
          <w:rStyle w:val="optioncarChar"/>
        </w:rPr>
        <w:t xml:space="preserve"> / gris / *** </w:t>
      </w:r>
      <w:r>
        <w:br/>
      </w:r>
      <w:r>
        <w:br/>
        <w:t xml:space="preserve">Format : (L x l x h) </w:t>
      </w:r>
      <w:r>
        <w:rPr>
          <w:rStyle w:val="optioncarChar"/>
        </w:rPr>
        <w:t>*** x *** x *** mm / format modulaire proposé par l'entrepreneur </w:t>
      </w:r>
      <w:r>
        <w:t>(par défaut)</w:t>
      </w:r>
    </w:p>
    <w:p w14:paraId="04341AC6" w14:textId="77777777" w:rsidR="00DB2B68" w:rsidRDefault="00000000">
      <w: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r>
        <w:br/>
        <w:t>Résistance au gel suivant les classes d’application MX… selon [NBN EN 1996-2 ANB] et [NIT 271].</w:t>
      </w:r>
      <w:r>
        <w:br/>
      </w:r>
      <w:r>
        <w:br/>
        <w:t xml:space="preserve">Réaction au feu : </w:t>
      </w:r>
      <w:r>
        <w:rPr>
          <w:rStyle w:val="optioncarChar"/>
        </w:rPr>
        <w:t xml:space="preserve">A1 </w:t>
      </w:r>
      <w:r>
        <w:t>(par défaut) </w:t>
      </w:r>
      <w:r>
        <w:rPr>
          <w:rStyle w:val="optioncarChar"/>
        </w:rPr>
        <w:t>/ ***</w:t>
      </w:r>
      <w:r>
        <w:br/>
      </w:r>
      <w:r>
        <w:br/>
      </w:r>
    </w:p>
    <w:p w14:paraId="5DF3BF6C" w14:textId="77777777" w:rsidR="00DB2B68" w:rsidRDefault="00000000">
      <w:pPr>
        <w:pStyle w:val="heading"/>
      </w:pPr>
      <w:r>
        <w:t>Critères de performances</w:t>
      </w:r>
    </w:p>
    <w:p w14:paraId="6B03737D" w14:textId="77777777" w:rsidR="00DB2B68" w:rsidRDefault="00000000">
      <w:r>
        <w:t>Coefficient de transmission :</w:t>
      </w:r>
    </w:p>
    <w:p w14:paraId="7E7279C4" w14:textId="77777777" w:rsidR="00DB2B68" w:rsidRDefault="00000000">
      <w:pPr>
        <w:pStyle w:val="Author-eListParagraph"/>
        <w:numPr>
          <w:ilvl w:val="0"/>
          <w:numId w:val="156"/>
        </w:numPr>
      </w:pPr>
      <w:r>
        <w:t xml:space="preserve">valeur U minimale de </w:t>
      </w:r>
      <w:r>
        <w:rPr>
          <w:rStyle w:val="optioncarChar"/>
        </w:rPr>
        <w:t>***</w:t>
      </w:r>
      <w:r>
        <w:t xml:space="preserve"> W/m²K</w:t>
      </w:r>
    </w:p>
    <w:p w14:paraId="08B6620C" w14:textId="77777777" w:rsidR="00DB2B68" w:rsidRDefault="00000000">
      <w:pPr>
        <w:pStyle w:val="Author-eListParagraph"/>
        <w:numPr>
          <w:ilvl w:val="0"/>
          <w:numId w:val="15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7DC13FD" w14:textId="77777777" w:rsidR="00DB2B68" w:rsidRDefault="00000000">
      <w:r>
        <w:br/>
        <w:t xml:space="preserve">Résistance au feu : </w:t>
      </w:r>
      <w:r>
        <w:rPr>
          <w:rStyle w:val="optioncarChar"/>
        </w:rPr>
        <w:t>EI30</w:t>
      </w:r>
      <w:r>
        <w:t> (par défaut)</w:t>
      </w:r>
      <w:r>
        <w:rPr>
          <w:rStyle w:val="optioncarChar"/>
        </w:rPr>
        <w:t xml:space="preserve"> / EI60 / EI90 / EI120 / EI*** </w:t>
      </w:r>
    </w:p>
    <w:p w14:paraId="30F7C281" w14:textId="77777777" w:rsidR="00DB2B68" w:rsidRDefault="00000000">
      <w:r>
        <w:t>selon la norme [NBN EN 1996-1-2 ANB].</w:t>
      </w:r>
    </w:p>
    <w:p w14:paraId="2BED906D" w14:textId="77777777" w:rsidR="00DB2B68" w:rsidRDefault="00000000">
      <w:pPr>
        <w:ind w:left="750"/>
      </w:pPr>
      <w:r>
        <w:t> </w:t>
      </w:r>
    </w:p>
    <w:p w14:paraId="53CA7CF7" w14:textId="77777777" w:rsidR="00DB2B68" w:rsidRDefault="00000000">
      <w:pPr>
        <w:pStyle w:val="pheading"/>
      </w:pPr>
      <w:r>
        <w:t>- Finitions</w:t>
      </w:r>
    </w:p>
    <w:p w14:paraId="1A28E1A1" w14:textId="77777777" w:rsidR="00DB2B68" w:rsidRDefault="00000000">
      <w:pPr>
        <w:pStyle w:val="Author-eListParagraph"/>
        <w:numPr>
          <w:ilvl w:val="0"/>
          <w:numId w:val="157"/>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2D64A56C" w14:textId="77777777" w:rsidR="00DB2B68" w:rsidRDefault="00000000">
      <w:pPr>
        <w:pStyle w:val="Author-eListParagraph"/>
        <w:numPr>
          <w:ilvl w:val="0"/>
          <w:numId w:val="157"/>
        </w:numPr>
      </w:pPr>
      <w:r>
        <w:rPr>
          <w:rStyle w:val="normalChar"/>
        </w:rPr>
        <w:t>Les murs suivants sont exécutés avec deux faces restant apparentes :</w:t>
      </w:r>
      <w:r>
        <w:rPr>
          <w:rStyle w:val="optioncarChar"/>
        </w:rPr>
        <w:t>***</w:t>
      </w:r>
    </w:p>
    <w:p w14:paraId="092AE21A" w14:textId="77777777" w:rsidR="00DB2B68" w:rsidRDefault="00000000">
      <w:pPr>
        <w:pStyle w:val="Author-eListParagraph"/>
        <w:numPr>
          <w:ilvl w:val="0"/>
          <w:numId w:val="157"/>
        </w:numPr>
      </w:pPr>
      <w:r>
        <w:rPr>
          <w:rStyle w:val="normalChar"/>
        </w:rPr>
        <w:lastRenderedPageBreak/>
        <w:t>Les murs suivants sont exécutés avec deux faces restant apparentes :</w:t>
      </w:r>
      <w:r>
        <w:rPr>
          <w:rStyle w:val="optioncarChar"/>
        </w:rPr>
        <w:t>***</w:t>
      </w:r>
    </w:p>
    <w:p w14:paraId="4D30A5F5" w14:textId="77777777" w:rsidR="00DB2B68" w:rsidRDefault="00000000">
      <w:pPr>
        <w:pStyle w:val="pheading"/>
      </w:pPr>
      <w:r>
        <w:t>MESURAGE</w:t>
      </w:r>
    </w:p>
    <w:p w14:paraId="5E5B8FC7" w14:textId="77777777" w:rsidR="00DB2B68" w:rsidRDefault="00000000">
      <w:pPr>
        <w:pStyle w:val="pheading"/>
      </w:pPr>
      <w:r>
        <w:t>- unité de mesure:</w:t>
      </w:r>
    </w:p>
    <w:p w14:paraId="79A7B515" w14:textId="77777777" w:rsidR="00DB2B68" w:rsidRDefault="00000000">
      <w:r>
        <w:rPr>
          <w:rStyle w:val="optioncarChar"/>
        </w:rPr>
        <w:t>m³ </w:t>
      </w:r>
      <w:r>
        <w:t>(par défaut)</w:t>
      </w:r>
      <w:r>
        <w:rPr>
          <w:rStyle w:val="optioncarChar"/>
        </w:rPr>
        <w:t> / m²</w:t>
      </w:r>
    </w:p>
    <w:p w14:paraId="31DAE722" w14:textId="77777777" w:rsidR="00DB2B68" w:rsidRDefault="00000000">
      <w:r>
        <w:rPr>
          <w:b/>
        </w:rPr>
        <w:t>(soit par défaut)</w:t>
      </w:r>
    </w:p>
    <w:p w14:paraId="35E1CA9C" w14:textId="77777777" w:rsidR="00DB2B68" w:rsidRDefault="00000000">
      <w:r>
        <w:rPr>
          <w:rStyle w:val="soitChar"/>
        </w:rPr>
        <w:t>1. m³</w:t>
      </w:r>
    </w:p>
    <w:p w14:paraId="3226928C" w14:textId="77777777" w:rsidR="00DB2B68" w:rsidRDefault="00000000">
      <w:r>
        <w:rPr>
          <w:b/>
        </w:rPr>
        <w:t>(soit)</w:t>
      </w:r>
    </w:p>
    <w:p w14:paraId="0CD0D077" w14:textId="77777777" w:rsidR="00DB2B68" w:rsidRDefault="00000000">
      <w:r>
        <w:rPr>
          <w:rStyle w:val="soitChar"/>
        </w:rPr>
        <w:t>2. m²</w:t>
      </w:r>
    </w:p>
    <w:p w14:paraId="41DA2345" w14:textId="77777777" w:rsidR="00DB2B68" w:rsidRDefault="00000000">
      <w:pPr>
        <w:pStyle w:val="pheading"/>
      </w:pPr>
      <w:r>
        <w:t>- code de mesurage:</w:t>
      </w:r>
    </w:p>
    <w:p w14:paraId="6887F730"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322E692"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CF44BBA"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3309EC7F" w14:textId="77777777" w:rsidR="00DB2B68" w:rsidRDefault="00000000">
      <w:r>
        <w:br/>
      </w:r>
      <w:r>
        <w:rPr>
          <w:rStyle w:val="optioncarChar"/>
        </w:rPr>
        <w:t>Volume net </w:t>
      </w:r>
      <w:r>
        <w:t>(par défaut)</w:t>
      </w:r>
      <w:r>
        <w:rPr>
          <w:rStyle w:val="optioncarChar"/>
        </w:rPr>
        <w:t> / Surface nette</w:t>
      </w:r>
    </w:p>
    <w:p w14:paraId="1EC29A62" w14:textId="77777777" w:rsidR="00DB2B68" w:rsidRDefault="00000000">
      <w:r>
        <w:rPr>
          <w:b/>
        </w:rPr>
        <w:t>(soit par défaut)</w:t>
      </w:r>
    </w:p>
    <w:p w14:paraId="2AA957B4"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3D964D69" w14:textId="77777777" w:rsidR="00DB2B68" w:rsidRDefault="00000000">
      <w:r>
        <w:rPr>
          <w:b/>
        </w:rPr>
        <w:t>(soit)</w:t>
      </w:r>
    </w:p>
    <w:p w14:paraId="4A2497C0"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et nature de brique (neuve et/ou de réemploi) et l’épaisseur. S’il s’agit de réemploi, distinguer : avec ou sans fourniture.</w:t>
      </w:r>
    </w:p>
    <w:p w14:paraId="78DE7C16" w14:textId="77777777" w:rsidR="00DB2B68" w:rsidRDefault="00000000">
      <w:pPr>
        <w:ind w:left="750"/>
      </w:pPr>
      <w:r>
        <w:t> </w:t>
      </w:r>
    </w:p>
    <w:p w14:paraId="0A4B41F2" w14:textId="77777777" w:rsidR="00DB2B68" w:rsidRDefault="00000000">
      <w:pPr>
        <w:pStyle w:val="pheading"/>
      </w:pPr>
      <w:r>
        <w:t>- nature du marché:</w:t>
      </w:r>
    </w:p>
    <w:p w14:paraId="042D8E66" w14:textId="77777777" w:rsidR="00DB2B68" w:rsidRDefault="00000000">
      <w:r>
        <w:t>QF</w:t>
      </w:r>
    </w:p>
    <w:p w14:paraId="62BC9C58" w14:textId="77777777" w:rsidR="00DB2B68" w:rsidRDefault="00000000">
      <w:pPr>
        <w:pStyle w:val="Author-eSectionHeading5Numberless"/>
      </w:pPr>
      <w:bookmarkStart w:id="146" w:name="_Toc220495294"/>
      <w:r>
        <w:t>21.21.2 Maçonneries non portantes en briques de béton CCTB 01.12</w:t>
      </w:r>
      <w:bookmarkEnd w:id="146"/>
    </w:p>
    <w:p w14:paraId="78C6CC22" w14:textId="77777777" w:rsidR="00DB2B68" w:rsidRDefault="00000000">
      <w:pPr>
        <w:pStyle w:val="pheading"/>
      </w:pPr>
      <w:bookmarkStart w:id="147" w:name="385"/>
      <w:bookmarkEnd w:id="147"/>
      <w:r>
        <w:t>MATÉRIAUX</w:t>
      </w:r>
    </w:p>
    <w:p w14:paraId="7D923154" w14:textId="77777777" w:rsidR="00DB2B68" w:rsidRDefault="00000000">
      <w:r>
        <w:t>Il s'agit des briques en béton, qui répondent à la norme [NBN EN 771-3+A1] et au [PTV 21-001]. L'entrepreneur soumet un échantillon, la fiche technique et la déclaration des performances (DoP) du matériau pour approbation à l'auteur de projet et au maître de l’ouvrage.</w:t>
      </w:r>
    </w:p>
    <w:p w14:paraId="6C7B62D1" w14:textId="77777777" w:rsidR="00DB2B68" w:rsidRDefault="00000000">
      <w:pPr>
        <w:pStyle w:val="pheading"/>
      </w:pPr>
      <w:r>
        <w:t>EXÉCUTION / MISE EN ŒUVRE</w:t>
      </w:r>
    </w:p>
    <w:p w14:paraId="548ADD24" w14:textId="77777777" w:rsidR="00DB2B68" w:rsidRDefault="00000000">
      <w:r>
        <w:lastRenderedPageBreak/>
        <w:t>Conformément au mode de mise en œuvre, les briques en béton sont maçonnés au mortier / collés à l’aide d’un mortier-colle selon les indications du fabricant des briques, du fabricant de mortier et des notes de calcul du bureau d’études.</w:t>
      </w:r>
    </w:p>
    <w:p w14:paraId="6E529999" w14:textId="77777777" w:rsidR="00DB2B68" w:rsidRDefault="00000000">
      <w:r>
        <w:t>Le mortier à coller / à maçonner (selon la norme [NBN EN 998-2] et le règlement d’application [TRA 651] répond à la catégorie :</w:t>
      </w:r>
      <w:r>
        <w:rPr>
          <w:rStyle w:val="optioncarChar"/>
        </w:rPr>
        <w:t xml:space="preserve"> M5 / M10 </w:t>
      </w:r>
      <w:r>
        <w:rPr>
          <w:rStyle w:val="optioncarChar"/>
          <w:color w:val="000000"/>
        </w:rPr>
        <w:t xml:space="preserve">﻿(par défaut) </w:t>
      </w:r>
      <w:r>
        <w:rPr>
          <w:rStyle w:val="optioncarChar"/>
        </w:rPr>
        <w:t>/ M15 / M20 / ***</w:t>
      </w:r>
      <w:r>
        <w:br/>
        <w:t xml:space="preserve">L'épaisseur des joints est d'au moins </w:t>
      </w:r>
      <w:r>
        <w:rPr>
          <w:rStyle w:val="optioncarChar"/>
        </w:rPr>
        <w:t>10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 </w:t>
      </w:r>
      <w:r>
        <w:rPr>
          <w:rStyle w:val="optioncarChar"/>
        </w:rPr>
        <w:t>/ acier galvanisé min 60 g/m² avec revêtement organique / acier inoxydable austénitique / ***</w:t>
      </w:r>
      <w:r>
        <w:br/>
        <w:t xml:space="preserve">Isolation contre l'humidité : membranes en </w:t>
      </w:r>
      <w:r>
        <w:rPr>
          <w:rStyle w:val="optioncarChar"/>
        </w:rPr>
        <w:t>PE</w:t>
      </w:r>
      <w:r>
        <w:t> (par défaut)</w:t>
      </w:r>
      <w:r>
        <w:rPr>
          <w:rStyle w:val="optioncarChar"/>
        </w:rPr>
        <w:t xml:space="preserve"> / ***</w:t>
      </w:r>
      <w:r>
        <w:t xml:space="preserve"> conformément à l'article </w:t>
      </w:r>
      <w:hyperlink w:anchor="356" w:history="1">
        <w:r>
          <w:rPr>
            <w:color w:val="0000EE"/>
          </w:rPr>
          <w:t>26.11 Feuilles et membranes d'étanchéité à l'eau</w:t>
        </w:r>
      </w:hyperlink>
      <w:r>
        <w:t>.</w:t>
      </w:r>
    </w:p>
    <w:p w14:paraId="71DB7585" w14:textId="77777777" w:rsidR="00DB2B68" w:rsidRDefault="00000000">
      <w:r>
        <w:t>Pour les maçonneries destinées à rester apparentes, seules des briques non endommagés sont utilisés.</w:t>
      </w:r>
    </w:p>
    <w:p w14:paraId="0B3861BC"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0D0A2ADD"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p>
    <w:p w14:paraId="5A1B1149"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5B7315C7" w14:textId="77777777" w:rsidR="00DB2B68" w:rsidRDefault="00000000">
      <w:r>
        <w:t xml:space="preserve">Crochets de mur : </w:t>
      </w:r>
      <w:r>
        <w:rPr>
          <w:rStyle w:val="optioncarChar"/>
        </w:rPr>
        <w:t xml:space="preserve">acier inoxydable </w:t>
      </w:r>
      <w:r>
        <w:t>(par défaut) </w:t>
      </w:r>
      <w:r>
        <w:rPr>
          <w:rStyle w:val="optioncarChar"/>
        </w:rPr>
        <w:t>/ *** , diamètre minimal 3,5 </w:t>
      </w:r>
      <w:r>
        <w:t>(par défaut)</w:t>
      </w:r>
      <w:r>
        <w:rPr>
          <w:rStyle w:val="optioncarChar"/>
        </w:rPr>
        <w:t xml:space="preserve"> / ***</w:t>
      </w:r>
      <w:r>
        <w:t xml:space="preserve"> mm</w:t>
      </w:r>
    </w:p>
    <w:p w14:paraId="69176196" w14:textId="77777777" w:rsidR="00DB2B68" w:rsidRDefault="00000000">
      <w:r>
        <w:t>Linteaux :</w:t>
      </w:r>
      <w:r>
        <w:rPr>
          <w:rStyle w:val="optioncarChar"/>
        </w:rPr>
        <w:t xml:space="preserve"> ***</w:t>
      </w:r>
      <w:r>
        <w:t xml:space="preserve"> conformément à l’article </w:t>
      </w:r>
      <w:hyperlink w:anchor="360" w:history="1">
        <w:r>
          <w:rPr>
            <w:color w:val="0000EE"/>
          </w:rPr>
          <w:t>22.13 Linteaux en béton</w:t>
        </w:r>
      </w:hyperlink>
      <w:r>
        <w:t>.</w:t>
      </w:r>
    </w:p>
    <w:p w14:paraId="41079FB8" w14:textId="77777777" w:rsidR="00DB2B68" w:rsidRDefault="00000000">
      <w:pPr>
        <w:pStyle w:val="pheading"/>
      </w:pPr>
      <w:r>
        <w:t>AIDE</w:t>
      </w:r>
    </w:p>
    <w:p w14:paraId="5C8722B8" w14:textId="77777777" w:rsidR="00DB2B68" w:rsidRDefault="00000000">
      <w:r>
        <w:t>Note à l'attention de l'auteur du projet : pour le choix adéquat du mortier, se référer à la [STS 22 série].</w:t>
      </w:r>
    </w:p>
    <w:p w14:paraId="474BD49F" w14:textId="77777777" w:rsidR="00DB2B68" w:rsidRDefault="00000000">
      <w:pPr>
        <w:pStyle w:val="Author-eSectionHeading6Numberless"/>
      </w:pPr>
      <w:bookmarkStart w:id="148" w:name="_Toc220495295"/>
      <w:r>
        <w:t>21.21.2a Maçonneries non portantes en briques de béton à maçonner CCTB 01.13</w:t>
      </w:r>
      <w:bookmarkEnd w:id="148"/>
    </w:p>
    <w:p w14:paraId="4328A131" w14:textId="77777777" w:rsidR="00DB2B68" w:rsidRDefault="00000000">
      <w:pPr>
        <w:pStyle w:val="pheading"/>
      </w:pPr>
      <w:r>
        <w:t>DESCRIPTION</w:t>
      </w:r>
    </w:p>
    <w:p w14:paraId="08BCAEF1" w14:textId="77777777" w:rsidR="00DB2B68" w:rsidRDefault="00000000">
      <w:pPr>
        <w:pStyle w:val="pheading"/>
      </w:pPr>
      <w:r>
        <w:t>- Définition / Comprend</w:t>
      </w:r>
    </w:p>
    <w:p w14:paraId="49901ABB" w14:textId="77777777" w:rsidR="00DB2B68" w:rsidRDefault="00000000">
      <w:r>
        <w:t xml:space="preserve">Il s’agit de la fourniture et la pose de maçonneries non portantes en briques en béton à maçonner. </w:t>
      </w:r>
      <w:r>
        <w:br/>
        <w:t xml:space="preserve">La portée des travaux est décrite dans l’article </w:t>
      </w:r>
      <w:hyperlink w:anchor="385" w:history="1">
        <w:r>
          <w:rPr>
            <w:color w:val="0000EE"/>
          </w:rPr>
          <w:t>21.21.2 Maçonneries non portantes en briques de béton</w:t>
        </w:r>
      </w:hyperlink>
      <w:r>
        <w:t>.</w:t>
      </w:r>
      <w:r>
        <w:br/>
        <w:t>Les travaux comprennent également la fourniture et la pose des pièces d’angle, de terminaison et de rencontre.</w:t>
      </w:r>
    </w:p>
    <w:p w14:paraId="385E6734" w14:textId="77777777" w:rsidR="00DB2B68" w:rsidRDefault="00000000">
      <w:pPr>
        <w:pStyle w:val="pheading"/>
      </w:pPr>
      <w:r>
        <w:t>- Localisation</w:t>
      </w:r>
    </w:p>
    <w:p w14:paraId="18AA059E" w14:textId="77777777" w:rsidR="00DB2B68" w:rsidRDefault="00000000">
      <w:r>
        <w:t>La pose est réalisée aux endroits suivants :</w:t>
      </w:r>
      <w:r>
        <w:rPr>
          <w:rStyle w:val="optioncarChar"/>
        </w:rPr>
        <w:t xml:space="preserve"> ***</w:t>
      </w:r>
      <w:r>
        <w:t>.</w:t>
      </w:r>
      <w:r>
        <w:br/>
        <w:t>Voir plans et métrés détaillés.</w:t>
      </w:r>
    </w:p>
    <w:p w14:paraId="4DA63C10" w14:textId="77777777" w:rsidR="00DB2B68" w:rsidRDefault="00000000">
      <w:pPr>
        <w:pStyle w:val="pheading"/>
      </w:pPr>
      <w:r>
        <w:t>MATÉRIAUX</w:t>
      </w:r>
    </w:p>
    <w:p w14:paraId="7D5B1E75" w14:textId="77777777" w:rsidR="00DB2B68" w:rsidRDefault="00000000">
      <w:pPr>
        <w:pStyle w:val="pheading"/>
      </w:pPr>
      <w:r>
        <w:t>- Caractéristiques générales</w:t>
      </w:r>
    </w:p>
    <w:p w14:paraId="2BAC56E1" w14:textId="77777777" w:rsidR="00DB2B68" w:rsidRDefault="00000000">
      <w:r>
        <w:rPr>
          <w:rStyle w:val="headingChar"/>
        </w:rPr>
        <w:t>Spécifications</w:t>
      </w:r>
    </w:p>
    <w:p w14:paraId="0D8DD0A1" w14:textId="77777777" w:rsidR="00DB2B68" w:rsidRDefault="00000000">
      <w:r>
        <w:rPr>
          <w:u w:val="single"/>
        </w:rPr>
        <w:t>Blocs</w:t>
      </w:r>
    </w:p>
    <w:p w14:paraId="148970A1" w14:textId="77777777" w:rsidR="00DB2B68" w:rsidRDefault="00000000">
      <w:r>
        <w:t>En ce qui concerne la déclaration de la résistance à la compression, les briques sont de catégorie I (la résistance à la compression est déclarée avec une fiabilité de 95%).</w:t>
      </w:r>
      <w:r>
        <w:br/>
      </w:r>
      <w:r>
        <w:br/>
      </w:r>
      <w:r>
        <w:lastRenderedPageBreak/>
        <w:t xml:space="preserve">Les briques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 xml:space="preserve">Format : (L x l x h) : </w:t>
      </w:r>
      <w:r>
        <w:rPr>
          <w:rStyle w:val="optioncarChar"/>
        </w:rPr>
        <w:t>format modulaire proposé par l'entrepreneur</w:t>
      </w:r>
      <w:r>
        <w:t> (par défaut) </w:t>
      </w:r>
      <w:r>
        <w:rPr>
          <w:rStyle w:val="optioncarChar"/>
        </w:rPr>
        <w:t xml:space="preserve">/ (190 / *** </w:t>
      </w:r>
      <w:r>
        <w:t> x</w:t>
      </w:r>
      <w:r>
        <w:rPr>
          <w:rStyle w:val="optioncarChar"/>
        </w:rPr>
        <w:t> 90 / *** </w:t>
      </w:r>
      <w:r>
        <w:rPr>
          <w:rStyle w:val="optioncarChar"/>
          <w:color w:val="000000"/>
        </w:rPr>
        <w:t>x</w:t>
      </w:r>
      <w:r>
        <w:rPr>
          <w:rStyle w:val="optioncarChar"/>
        </w:rPr>
        <w:t> 52 / 65 / ***</w:t>
      </w:r>
      <w:r>
        <w:t xml:space="preserve"> ) mm</w:t>
      </w:r>
    </w:p>
    <w:p w14:paraId="77B2968B"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 ).</w:t>
      </w:r>
    </w:p>
    <w:p w14:paraId="19464C55" w14:textId="77777777" w:rsidR="00DB2B68" w:rsidRDefault="00000000">
      <w:r>
        <w:t xml:space="preserve">Taux initial d’absorption d’eau : classe </w:t>
      </w:r>
      <w:r>
        <w:rPr>
          <w:rStyle w:val="optioncarChar"/>
        </w:rPr>
        <w:t>IW1 / IW2 / IW3 / IW4</w:t>
      </w:r>
      <w:r>
        <w:br/>
        <w:t xml:space="preserve">Absorption d’eau par capillarité : </w:t>
      </w:r>
      <w:r>
        <w:rPr>
          <w:rStyle w:val="optioncarChar"/>
        </w:rPr>
        <w:t>A1 (exposé décoratif) / A2 (exposé) </w:t>
      </w:r>
      <w:r>
        <w:t>(par défaut)</w:t>
      </w:r>
      <w:r>
        <w:br/>
      </w:r>
      <w:r>
        <w:br/>
        <w:t xml:space="preserve">Réaction au feu : </w:t>
      </w:r>
      <w:r>
        <w:rPr>
          <w:rStyle w:val="optioncarChar"/>
        </w:rPr>
        <w:t>A1 </w:t>
      </w:r>
      <w:r>
        <w:t>(par défaut)</w:t>
      </w:r>
      <w:r>
        <w:rPr>
          <w:rStyle w:val="optioncarChar"/>
        </w:rPr>
        <w:t xml:space="preserve"> / ***</w:t>
      </w:r>
    </w:p>
    <w:p w14:paraId="38EB19D8" w14:textId="77777777" w:rsidR="00DB2B68" w:rsidRDefault="00000000">
      <w:pPr>
        <w:spacing w:before="0" w:after="0"/>
      </w:pPr>
      <w:r>
        <w:rPr>
          <w:u w:val="single"/>
        </w:rPr>
        <w:t>Mortier</w:t>
      </w:r>
    </w:p>
    <w:p w14:paraId="2E4B3974"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16E7E3A5"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914F5E0" w14:textId="77777777" w:rsidR="00DB2B68" w:rsidRDefault="00000000">
      <w:pPr>
        <w:spacing w:before="0" w:after="0"/>
      </w:pPr>
      <w:r>
        <w:rPr>
          <w:rStyle w:val="normalChar"/>
          <w:color w:val="000000"/>
        </w:rPr>
        <w:t>Résistance au gel : oui</w:t>
      </w:r>
    </w:p>
    <w:p w14:paraId="1429706A" w14:textId="77777777" w:rsidR="00DB2B68" w:rsidRDefault="00000000">
      <w:r>
        <w:br/>
      </w:r>
      <w:r>
        <w:rPr>
          <w:rStyle w:val="headingChar"/>
        </w:rPr>
        <w:t>Critères De Performances De La Paroi</w:t>
      </w:r>
    </w:p>
    <w:p w14:paraId="14CA446A" w14:textId="77777777" w:rsidR="00DB2B68" w:rsidRDefault="00000000">
      <w:r>
        <w:t>Coefficient de transmission :</w:t>
      </w:r>
    </w:p>
    <w:p w14:paraId="2EAF48F0" w14:textId="77777777" w:rsidR="00DB2B68" w:rsidRDefault="00000000">
      <w:pPr>
        <w:pStyle w:val="Author-eListParagraph"/>
        <w:numPr>
          <w:ilvl w:val="0"/>
          <w:numId w:val="158"/>
        </w:numPr>
      </w:pPr>
      <w:r>
        <w:t xml:space="preserve">valeur U minimale de </w:t>
      </w:r>
      <w:r>
        <w:rPr>
          <w:rStyle w:val="optioncarChar"/>
        </w:rPr>
        <w:t>***</w:t>
      </w:r>
      <w:r>
        <w:t xml:space="preserve"> W/m²K</w:t>
      </w:r>
    </w:p>
    <w:p w14:paraId="158DDC08" w14:textId="77777777" w:rsidR="00DB2B68" w:rsidRDefault="00000000">
      <w:pPr>
        <w:pStyle w:val="Author-eListParagraph"/>
        <w:numPr>
          <w:ilvl w:val="0"/>
          <w:numId w:val="15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E3EE543" w14:textId="77777777" w:rsidR="00DB2B68" w:rsidRDefault="00000000">
      <w:r>
        <w:br/>
        <w:t xml:space="preserve">Résistance au feu : </w:t>
      </w:r>
      <w:r>
        <w:rPr>
          <w:rStyle w:val="optioncarChar"/>
        </w:rPr>
        <w:t>EI30 </w:t>
      </w:r>
      <w:r>
        <w:t>(par défaut)</w:t>
      </w:r>
      <w:r>
        <w:rPr>
          <w:rStyle w:val="optioncarChar"/>
        </w:rPr>
        <w:t xml:space="preserve"> / EI60 / EI90 / EI120 / EI***</w:t>
      </w:r>
    </w:p>
    <w:p w14:paraId="4DEE2AAF" w14:textId="77777777" w:rsidR="00DB2B68" w:rsidRDefault="00000000">
      <w:r>
        <w:t>selon les tableaux dans [NBN EN 1996-1-2 ANB];</w:t>
      </w:r>
    </w:p>
    <w:p w14:paraId="44E8526B" w14:textId="77777777" w:rsidR="00DB2B68" w:rsidRDefault="00000000">
      <w:pPr>
        <w:ind w:left="750"/>
      </w:pPr>
      <w:r>
        <w:t> </w:t>
      </w:r>
    </w:p>
    <w:p w14:paraId="1FAE9A5B" w14:textId="77777777" w:rsidR="00DB2B68" w:rsidRDefault="00000000">
      <w:pPr>
        <w:pStyle w:val="pheading"/>
      </w:pPr>
      <w:r>
        <w:t>- Finitions</w:t>
      </w:r>
    </w:p>
    <w:p w14:paraId="0864537A" w14:textId="77777777" w:rsidR="00DB2B68" w:rsidRDefault="00000000">
      <w:pPr>
        <w:pStyle w:val="Author-eListParagraph"/>
        <w:numPr>
          <w:ilvl w:val="0"/>
          <w:numId w:val="159"/>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0BE32E90" w14:textId="77777777" w:rsidR="00DB2B68" w:rsidRDefault="00000000">
      <w:pPr>
        <w:pStyle w:val="Author-eListParagraph"/>
        <w:numPr>
          <w:ilvl w:val="0"/>
          <w:numId w:val="159"/>
        </w:numPr>
      </w:pPr>
      <w:r>
        <w:t>Les murs suivants sont exécutés avec une face restant apparente :</w:t>
      </w:r>
      <w:r>
        <w:rPr>
          <w:rStyle w:val="optioncarChar"/>
        </w:rPr>
        <w:t xml:space="preserve"> ***</w:t>
      </w:r>
    </w:p>
    <w:p w14:paraId="257E097B" w14:textId="77777777" w:rsidR="00DB2B68" w:rsidRDefault="00000000">
      <w:pPr>
        <w:pStyle w:val="Author-eListParagraph"/>
        <w:numPr>
          <w:ilvl w:val="0"/>
          <w:numId w:val="159"/>
        </w:numPr>
      </w:pPr>
      <w:r>
        <w:t>Les murs suivants sont exécutés avec deux faces restant apparentes :</w:t>
      </w:r>
      <w:r>
        <w:rPr>
          <w:rStyle w:val="optioncarChar"/>
        </w:rPr>
        <w:t xml:space="preserve"> ***</w:t>
      </w:r>
    </w:p>
    <w:p w14:paraId="6F3E6BE1" w14:textId="77777777" w:rsidR="00DB2B68" w:rsidRDefault="00000000">
      <w:pPr>
        <w:pStyle w:val="pheading"/>
      </w:pPr>
      <w:r>
        <w:t>MESURAGE</w:t>
      </w:r>
    </w:p>
    <w:p w14:paraId="48BD796B" w14:textId="77777777" w:rsidR="00DB2B68" w:rsidRDefault="00000000">
      <w:pPr>
        <w:pStyle w:val="pheading"/>
      </w:pPr>
      <w:r>
        <w:t>- unité de mesure:</w:t>
      </w:r>
    </w:p>
    <w:p w14:paraId="27E7E041" w14:textId="77777777" w:rsidR="00DB2B68" w:rsidRDefault="00000000">
      <w:r>
        <w:rPr>
          <w:rStyle w:val="optioncarChar"/>
        </w:rPr>
        <w:t>m³ </w:t>
      </w:r>
      <w:r>
        <w:t>(par défaut)</w:t>
      </w:r>
      <w:r>
        <w:rPr>
          <w:rStyle w:val="optioncarChar"/>
        </w:rPr>
        <w:t> / m²</w:t>
      </w:r>
    </w:p>
    <w:p w14:paraId="0592E40D" w14:textId="77777777" w:rsidR="00DB2B68" w:rsidRDefault="00000000">
      <w:r>
        <w:rPr>
          <w:b/>
        </w:rPr>
        <w:t>(soit par défaut)</w:t>
      </w:r>
    </w:p>
    <w:p w14:paraId="6F43704E" w14:textId="77777777" w:rsidR="00DB2B68" w:rsidRDefault="00000000">
      <w:r>
        <w:rPr>
          <w:rStyle w:val="soitChar"/>
        </w:rPr>
        <w:lastRenderedPageBreak/>
        <w:t>1. m³</w:t>
      </w:r>
    </w:p>
    <w:p w14:paraId="09385946" w14:textId="77777777" w:rsidR="00DB2B68" w:rsidRDefault="00000000">
      <w:r>
        <w:rPr>
          <w:b/>
        </w:rPr>
        <w:t>(soit)</w:t>
      </w:r>
    </w:p>
    <w:p w14:paraId="51C58C80" w14:textId="77777777" w:rsidR="00DB2B68" w:rsidRDefault="00000000">
      <w:r>
        <w:rPr>
          <w:rStyle w:val="soitChar"/>
        </w:rPr>
        <w:t>2. m²</w:t>
      </w:r>
    </w:p>
    <w:p w14:paraId="22ABDB93" w14:textId="77777777" w:rsidR="00DB2B68" w:rsidRDefault="00000000">
      <w:pPr>
        <w:pStyle w:val="pheading"/>
      </w:pPr>
      <w:r>
        <w:t>- code de mesurage:</w:t>
      </w:r>
    </w:p>
    <w:p w14:paraId="36135E69"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019AAFA"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3C10194"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6E664C8D" w14:textId="77777777" w:rsidR="00DB2B68" w:rsidRDefault="00000000">
      <w:r>
        <w:br/>
      </w:r>
      <w:r>
        <w:rPr>
          <w:rStyle w:val="optioncarChar"/>
        </w:rPr>
        <w:t>Volume net </w:t>
      </w:r>
      <w:r>
        <w:t>(par défaut)</w:t>
      </w:r>
      <w:r>
        <w:rPr>
          <w:rStyle w:val="optioncarChar"/>
        </w:rPr>
        <w:t> / Surface nette</w:t>
      </w:r>
    </w:p>
    <w:p w14:paraId="6593A97E" w14:textId="77777777" w:rsidR="00DB2B68" w:rsidRDefault="00000000">
      <w:r>
        <w:rPr>
          <w:b/>
        </w:rPr>
        <w:t>(soit par défaut)</w:t>
      </w:r>
    </w:p>
    <w:p w14:paraId="6CDA32BE"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09D9996A" w14:textId="77777777" w:rsidR="00DB2B68" w:rsidRDefault="00000000">
      <w:r>
        <w:rPr>
          <w:b/>
        </w:rPr>
        <w:t>(soit)</w:t>
      </w:r>
    </w:p>
    <w:p w14:paraId="7BDF2AAE"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3B7557BD" w14:textId="77777777" w:rsidR="00DB2B68" w:rsidRDefault="00000000">
      <w:pPr>
        <w:pStyle w:val="pheading"/>
      </w:pPr>
      <w:r>
        <w:t>- nature du marché:</w:t>
      </w:r>
    </w:p>
    <w:p w14:paraId="1FB3B153" w14:textId="77777777" w:rsidR="00DB2B68" w:rsidRDefault="00000000">
      <w:r>
        <w:t>QF</w:t>
      </w:r>
    </w:p>
    <w:p w14:paraId="4BA67174" w14:textId="77777777" w:rsidR="00DB2B68" w:rsidRDefault="00000000">
      <w:pPr>
        <w:pStyle w:val="Author-eSectionHeading6Numberless"/>
      </w:pPr>
      <w:bookmarkStart w:id="149" w:name="_Toc220495296"/>
      <w:r>
        <w:t>21.21.2b Maçonneries non portantes en briques de béton à coller CCTB 01.13</w:t>
      </w:r>
      <w:bookmarkEnd w:id="149"/>
    </w:p>
    <w:p w14:paraId="4B5B40BD" w14:textId="77777777" w:rsidR="00DB2B68" w:rsidRDefault="00000000">
      <w:pPr>
        <w:pStyle w:val="pheading"/>
      </w:pPr>
      <w:r>
        <w:t>DESCRIPTION</w:t>
      </w:r>
    </w:p>
    <w:p w14:paraId="06CF6516" w14:textId="77777777" w:rsidR="00DB2B68" w:rsidRDefault="00000000">
      <w:pPr>
        <w:pStyle w:val="pheading"/>
      </w:pPr>
      <w:r>
        <w:t>- Définition / Comprend</w:t>
      </w:r>
    </w:p>
    <w:p w14:paraId="5D65A8F9" w14:textId="77777777" w:rsidR="00DB2B68" w:rsidRDefault="00000000">
      <w:r>
        <w:t xml:space="preserve">Il s’agit de la fourniture et la pose de maçonneries non portantes en briques en béton à coller. </w:t>
      </w:r>
      <w:r>
        <w:br/>
        <w:t xml:space="preserve">La portée des travaux est décrite dans l’article </w:t>
      </w:r>
      <w:hyperlink w:anchor="385" w:history="1">
        <w:r>
          <w:rPr>
            <w:color w:val="0000EE"/>
          </w:rPr>
          <w:t>21.21.2 Maçonneries non portantes en briques de béton</w:t>
        </w:r>
      </w:hyperlink>
      <w:r>
        <w:t>.</w:t>
      </w:r>
      <w:r>
        <w:br/>
        <w:t>Les travaux comprennent également la fourniture et la pose des pièces d’angle, de terminaison et de rencontre.</w:t>
      </w:r>
    </w:p>
    <w:p w14:paraId="20104A33" w14:textId="77777777" w:rsidR="00DB2B68" w:rsidRDefault="00000000">
      <w:pPr>
        <w:pStyle w:val="pheading"/>
      </w:pPr>
      <w:r>
        <w:t>- Localisation</w:t>
      </w:r>
    </w:p>
    <w:p w14:paraId="2BFB5607" w14:textId="77777777" w:rsidR="00DB2B68" w:rsidRDefault="00000000">
      <w:r>
        <w:t xml:space="preserve">La pose est réalisée aux endroits suivants : </w:t>
      </w:r>
      <w:r>
        <w:rPr>
          <w:rStyle w:val="optioncarChar"/>
        </w:rPr>
        <w:t>***</w:t>
      </w:r>
      <w:r>
        <w:t>.</w:t>
      </w:r>
      <w:r>
        <w:br/>
        <w:t>Voir plans et métrés détaillés.</w:t>
      </w:r>
    </w:p>
    <w:p w14:paraId="642019AA" w14:textId="77777777" w:rsidR="00DB2B68" w:rsidRDefault="00000000">
      <w:pPr>
        <w:pStyle w:val="pheading"/>
      </w:pPr>
      <w:r>
        <w:t>MATÉRIAUX</w:t>
      </w:r>
    </w:p>
    <w:p w14:paraId="3E8587C4" w14:textId="77777777" w:rsidR="00DB2B68" w:rsidRDefault="00000000">
      <w:pPr>
        <w:pStyle w:val="pheading"/>
      </w:pPr>
      <w:r>
        <w:t>- Caractéristiques générales</w:t>
      </w:r>
    </w:p>
    <w:p w14:paraId="23B65175" w14:textId="77777777" w:rsidR="00DB2B68" w:rsidRDefault="00000000">
      <w:r>
        <w:rPr>
          <w:rStyle w:val="headingChar"/>
        </w:rPr>
        <w:t>Spécifications</w:t>
      </w:r>
    </w:p>
    <w:p w14:paraId="245FB485" w14:textId="77777777" w:rsidR="00DB2B68" w:rsidRDefault="00000000">
      <w:r>
        <w:rPr>
          <w:u w:val="single"/>
        </w:rPr>
        <w:t>Blocs</w:t>
      </w:r>
    </w:p>
    <w:p w14:paraId="069D22F1" w14:textId="77777777" w:rsidR="00DB2B68" w:rsidRDefault="00000000">
      <w:r>
        <w:lastRenderedPageBreak/>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La masse volumique sèche apparente des blocs ρ (rho) est : ***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(190 / *** </w:t>
      </w:r>
      <w:r>
        <w:t>x</w:t>
      </w:r>
      <w:r>
        <w:rPr>
          <w:rStyle w:val="optioncarChar"/>
        </w:rPr>
        <w:t> 50 / 65 / ***</w:t>
      </w:r>
      <w:r>
        <w:t> x</w:t>
      </w:r>
      <w:r>
        <w:rPr>
          <w:rStyle w:val="optioncarChar"/>
        </w:rPr>
        <w:t> 90 / ***</w:t>
      </w:r>
      <w:r>
        <w:t> ) mm</w:t>
      </w:r>
    </w:p>
    <w:p w14:paraId="55523C1C" w14:textId="77777777" w:rsidR="00DB2B68" w:rsidRDefault="00000000">
      <w:r>
        <w:t>Tolérances dimensionnelles :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(par défaut)</w:t>
      </w:r>
      <w:r>
        <w:rPr>
          <w:rStyle w:val="optioncarChar"/>
        </w:rPr>
        <w:t xml:space="preserve"> / ***</w:t>
      </w:r>
    </w:p>
    <w:p w14:paraId="4ED8DFBA" w14:textId="77777777" w:rsidR="00DB2B68" w:rsidRDefault="00000000">
      <w:pPr>
        <w:spacing w:before="0" w:after="0"/>
      </w:pPr>
      <w:r>
        <w:rPr>
          <w:u w:val="single"/>
        </w:rPr>
        <w:t>Mortier</w:t>
      </w:r>
    </w:p>
    <w:p w14:paraId="710BCF70" w14:textId="77777777" w:rsidR="00DB2B68" w:rsidRDefault="00000000">
      <w:pPr>
        <w:spacing w:before="0" w:after="0"/>
      </w:pPr>
      <w:r>
        <w:rPr>
          <w:rStyle w:val="normalChar"/>
          <w:color w:val="000000"/>
        </w:rPr>
        <w:t>Classe de résistance :</w:t>
      </w:r>
      <w:r>
        <w:rPr>
          <w:rStyle w:val="optioncarChar"/>
        </w:rPr>
        <w:t xml:space="preserve">M1 / M2,5 / M5 / M10 </w:t>
      </w:r>
      <w:r>
        <w:t xml:space="preserve"> (par défaut) </w:t>
      </w:r>
      <w:r>
        <w:rPr>
          <w:rStyle w:val="optioncarChar"/>
        </w:rPr>
        <w:t xml:space="preserve">/ M15 / M20 </w:t>
      </w:r>
    </w:p>
    <w:p w14:paraId="6D21F8F7"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B59108B" w14:textId="77777777" w:rsidR="00DB2B68" w:rsidRDefault="00000000">
      <w:pPr>
        <w:spacing w:before="0" w:after="0"/>
      </w:pPr>
      <w:r>
        <w:rPr>
          <w:rStyle w:val="normalChar"/>
          <w:color w:val="000000"/>
        </w:rPr>
        <w:t>Résistance au gel : oui</w:t>
      </w:r>
    </w:p>
    <w:p w14:paraId="32DC853B" w14:textId="77777777" w:rsidR="00DB2B68" w:rsidRDefault="00000000">
      <w:r>
        <w:br/>
      </w:r>
      <w:r>
        <w:rPr>
          <w:rStyle w:val="headingChar"/>
        </w:rPr>
        <w:t>Critères De Performances De La Paroi</w:t>
      </w:r>
    </w:p>
    <w:p w14:paraId="50EFEF04" w14:textId="77777777" w:rsidR="00DB2B68" w:rsidRDefault="00000000">
      <w:r>
        <w:t>Coefficient de transmission :</w:t>
      </w:r>
    </w:p>
    <w:p w14:paraId="1FB14A57" w14:textId="77777777" w:rsidR="00DB2B68" w:rsidRDefault="00000000">
      <w:pPr>
        <w:pStyle w:val="Author-eListParagraph"/>
        <w:numPr>
          <w:ilvl w:val="0"/>
          <w:numId w:val="160"/>
        </w:numPr>
      </w:pPr>
      <w:r>
        <w:t xml:space="preserve">valeur U minimale de </w:t>
      </w:r>
      <w:r>
        <w:rPr>
          <w:rStyle w:val="optioncarChar"/>
        </w:rPr>
        <w:t>***</w:t>
      </w:r>
      <w:r>
        <w:t xml:space="preserve"> W/m²K</w:t>
      </w:r>
    </w:p>
    <w:p w14:paraId="6F7DB5EF" w14:textId="77777777" w:rsidR="00DB2B68" w:rsidRDefault="00000000">
      <w:pPr>
        <w:pStyle w:val="Author-eListParagraph"/>
        <w:numPr>
          <w:ilvl w:val="0"/>
          <w:numId w:val="16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4B972DB" w14:textId="77777777" w:rsidR="00DB2B68" w:rsidRDefault="00000000">
      <w:r>
        <w:br/>
        <w:t xml:space="preserve">Résistance au feu : </w:t>
      </w:r>
      <w:r>
        <w:rPr>
          <w:rStyle w:val="optioncarChar"/>
        </w:rPr>
        <w:t>EI30 </w:t>
      </w:r>
      <w:r>
        <w:t>(par défaut)</w:t>
      </w:r>
      <w:r>
        <w:rPr>
          <w:rStyle w:val="optioncarChar"/>
        </w:rPr>
        <w:t xml:space="preserve"> / EI60 / EI90 / EI120 / EI***</w:t>
      </w:r>
    </w:p>
    <w:p w14:paraId="19781E18" w14:textId="77777777" w:rsidR="00DB2B68" w:rsidRDefault="00000000">
      <w:r>
        <w:t>selon les tableaux dans [NBN EN 1996-1-2 ANB].</w:t>
      </w:r>
    </w:p>
    <w:p w14:paraId="30272CBA" w14:textId="77777777" w:rsidR="00DB2B68" w:rsidRDefault="00000000">
      <w:pPr>
        <w:ind w:left="750"/>
      </w:pPr>
      <w:r>
        <w:t> </w:t>
      </w:r>
    </w:p>
    <w:p w14:paraId="69EBA346" w14:textId="77777777" w:rsidR="00DB2B68" w:rsidRDefault="00000000">
      <w:pPr>
        <w:pStyle w:val="pheading"/>
      </w:pPr>
      <w:r>
        <w:t>- Finitions</w:t>
      </w:r>
    </w:p>
    <w:p w14:paraId="0FE3AE1E" w14:textId="77777777" w:rsidR="00DB2B68" w:rsidRDefault="00000000">
      <w:pPr>
        <w:pStyle w:val="Author-eListParagraph"/>
        <w:numPr>
          <w:ilvl w:val="0"/>
          <w:numId w:val="161"/>
        </w:numPr>
      </w:pPr>
      <w:r>
        <w:t>Les faces de murs suivantes sont exécutées comme maçonneries apparentes et sont</w:t>
      </w:r>
      <w:r>
        <w:rPr>
          <w:rStyle w:val="optioncarChar"/>
          <w:color w:val="000000"/>
        </w:rPr>
        <w:t xml:space="preserve"> rejointoyées </w:t>
      </w:r>
      <w:r>
        <w:t xml:space="preserve">selon </w:t>
      </w:r>
      <w:hyperlink w:anchor="346" w:history="1">
        <w:r>
          <w:rPr>
            <w:color w:val="0000EE"/>
          </w:rPr>
          <w:t>21.61.1b Joints de maçonnerie apparente</w:t>
        </w:r>
      </w:hyperlink>
      <w:r>
        <w:t xml:space="preserve"> :</w:t>
      </w:r>
      <w:r>
        <w:rPr>
          <w:rStyle w:val="optioncarChar"/>
        </w:rPr>
        <w:t xml:space="preserve"> ***</w:t>
      </w:r>
    </w:p>
    <w:p w14:paraId="2C9B67C7" w14:textId="77777777" w:rsidR="00DB2B68" w:rsidRDefault="00000000">
      <w:pPr>
        <w:pStyle w:val="Author-eListParagraph"/>
        <w:numPr>
          <w:ilvl w:val="0"/>
          <w:numId w:val="161"/>
        </w:numPr>
      </w:pPr>
      <w:r>
        <w:t xml:space="preserve">Les murs suivants sont exécutés avec une face restant apparente : </w:t>
      </w:r>
      <w:r>
        <w:rPr>
          <w:rStyle w:val="optioncarChar"/>
        </w:rPr>
        <w:t>***</w:t>
      </w:r>
    </w:p>
    <w:p w14:paraId="60E8FD94" w14:textId="77777777" w:rsidR="00DB2B68" w:rsidRDefault="00000000">
      <w:pPr>
        <w:pStyle w:val="Author-eListParagraph"/>
        <w:numPr>
          <w:ilvl w:val="0"/>
          <w:numId w:val="161"/>
        </w:numPr>
      </w:pPr>
      <w:r>
        <w:t xml:space="preserve">Les murs suivants sont exécutés avec deux faces restant apparentes : </w:t>
      </w:r>
      <w:r>
        <w:rPr>
          <w:rStyle w:val="optioncarChar"/>
        </w:rPr>
        <w:t>***</w:t>
      </w:r>
    </w:p>
    <w:p w14:paraId="6555111F" w14:textId="77777777" w:rsidR="00DB2B68" w:rsidRDefault="00000000">
      <w:pPr>
        <w:pStyle w:val="pheading"/>
      </w:pPr>
      <w:r>
        <w:t>MESURAGE</w:t>
      </w:r>
    </w:p>
    <w:p w14:paraId="0B7EC3DB" w14:textId="77777777" w:rsidR="00DB2B68" w:rsidRDefault="00000000">
      <w:pPr>
        <w:pStyle w:val="pheading"/>
      </w:pPr>
      <w:r>
        <w:t>- unité de mesure:</w:t>
      </w:r>
    </w:p>
    <w:p w14:paraId="192C6A20" w14:textId="77777777" w:rsidR="00DB2B68" w:rsidRDefault="00000000">
      <w:r>
        <w:rPr>
          <w:rStyle w:val="optioncarChar"/>
        </w:rPr>
        <w:lastRenderedPageBreak/>
        <w:t>m³ </w:t>
      </w:r>
      <w:r>
        <w:t>(par défaut)</w:t>
      </w:r>
      <w:r>
        <w:rPr>
          <w:rStyle w:val="optioncarChar"/>
        </w:rPr>
        <w:t> / m²</w:t>
      </w:r>
    </w:p>
    <w:p w14:paraId="57EFFEA1" w14:textId="77777777" w:rsidR="00DB2B68" w:rsidRDefault="00000000">
      <w:r>
        <w:rPr>
          <w:b/>
        </w:rPr>
        <w:t>(soit par défaut)</w:t>
      </w:r>
    </w:p>
    <w:p w14:paraId="2D083863" w14:textId="77777777" w:rsidR="00DB2B68" w:rsidRDefault="00000000">
      <w:r>
        <w:rPr>
          <w:rStyle w:val="soitChar"/>
        </w:rPr>
        <w:t>1. m³</w:t>
      </w:r>
    </w:p>
    <w:p w14:paraId="2F67F5E6" w14:textId="77777777" w:rsidR="00DB2B68" w:rsidRDefault="00000000">
      <w:r>
        <w:rPr>
          <w:b/>
        </w:rPr>
        <w:t>(soit)</w:t>
      </w:r>
    </w:p>
    <w:p w14:paraId="42513A6B" w14:textId="77777777" w:rsidR="00DB2B68" w:rsidRDefault="00000000">
      <w:r>
        <w:rPr>
          <w:rStyle w:val="soitChar"/>
        </w:rPr>
        <w:t>2. m²</w:t>
      </w:r>
    </w:p>
    <w:p w14:paraId="413AE7BF" w14:textId="77777777" w:rsidR="00DB2B68" w:rsidRDefault="00000000">
      <w:pPr>
        <w:pStyle w:val="pheading"/>
      </w:pPr>
      <w:r>
        <w:t>- code de mesurage:</w:t>
      </w:r>
    </w:p>
    <w:p w14:paraId="0BD9722A"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FFD7EB0"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AF20014" w14:textId="77777777" w:rsidR="00DB2B68" w:rsidRDefault="00000000">
      <w:r>
        <w:t>L'appui des dalles de sol sur le mur porteur de contre-façade n'est pas déduit mais compté comme ouvrage de maçonnerie ; par contre, les murs intérieurs porteurs sont mesurés entre les planchers (voir sous-titre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0F9C673" w14:textId="77777777" w:rsidR="00DB2B68" w:rsidRDefault="00000000">
      <w:r>
        <w:br/>
      </w:r>
      <w:r>
        <w:rPr>
          <w:rStyle w:val="optioncarChar"/>
        </w:rPr>
        <w:t>Volume net </w:t>
      </w:r>
      <w:r>
        <w:t>(par défaut)</w:t>
      </w:r>
      <w:r>
        <w:rPr>
          <w:rStyle w:val="optioncarChar"/>
        </w:rPr>
        <w:t> / Surface nette</w:t>
      </w:r>
    </w:p>
    <w:p w14:paraId="293EF2AF" w14:textId="77777777" w:rsidR="00DB2B68" w:rsidRDefault="00000000">
      <w:r>
        <w:rPr>
          <w:b/>
        </w:rPr>
        <w:t>(soit par défaut)</w:t>
      </w:r>
    </w:p>
    <w:p w14:paraId="6EF0F34C"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2CB28EA4" w14:textId="77777777" w:rsidR="00DB2B68" w:rsidRDefault="00000000">
      <w:r>
        <w:rPr>
          <w:b/>
        </w:rPr>
        <w:t>(soit)</w:t>
      </w:r>
    </w:p>
    <w:p w14:paraId="5916EFEF"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5FFF932B" w14:textId="77777777" w:rsidR="00DB2B68" w:rsidRDefault="00000000">
      <w:pPr>
        <w:ind w:left="750"/>
      </w:pPr>
      <w:r>
        <w:t> </w:t>
      </w:r>
    </w:p>
    <w:p w14:paraId="6ABDAF50" w14:textId="77777777" w:rsidR="00DB2B68" w:rsidRDefault="00000000">
      <w:pPr>
        <w:pStyle w:val="pheading"/>
      </w:pPr>
      <w:r>
        <w:t>- nature du marché:</w:t>
      </w:r>
    </w:p>
    <w:p w14:paraId="09FB6FF9" w14:textId="77777777" w:rsidR="00DB2B68" w:rsidRDefault="00000000">
      <w:r>
        <w:t>QF</w:t>
      </w:r>
    </w:p>
    <w:p w14:paraId="0E036A1E" w14:textId="77777777" w:rsidR="00DB2B68" w:rsidRDefault="00000000">
      <w:pPr>
        <w:pStyle w:val="Author-eSectionHeading6Numberless"/>
      </w:pPr>
      <w:bookmarkStart w:id="150" w:name="_Toc220495297"/>
      <w:r>
        <w:t>21.21.2c Maçonneries non portantes en briques de béton avec système de dosage pour liant hydraulique CCTB 01.13</w:t>
      </w:r>
      <w:bookmarkEnd w:id="150"/>
    </w:p>
    <w:p w14:paraId="340ABF64" w14:textId="77777777" w:rsidR="00DB2B68" w:rsidRDefault="00000000">
      <w:pPr>
        <w:pStyle w:val="pheading"/>
      </w:pPr>
      <w:r>
        <w:t>DESCRIPTION</w:t>
      </w:r>
    </w:p>
    <w:p w14:paraId="1B5D258A" w14:textId="77777777" w:rsidR="00DB2B68" w:rsidRDefault="00000000">
      <w:pPr>
        <w:pStyle w:val="pheading"/>
      </w:pPr>
      <w:r>
        <w:t>- Définition / Comprend</w:t>
      </w:r>
    </w:p>
    <w:p w14:paraId="5F75DA2D" w14:textId="77777777" w:rsidR="00DB2B68" w:rsidRDefault="00000000">
      <w:r>
        <w:t xml:space="preserve">Il s’agit de la fourniture et la pose de maçonneries non portantes en briques en béton avec système de dosage pour liant hydraulique. </w:t>
      </w:r>
      <w:r>
        <w:br/>
        <w:t xml:space="preserve">La portée des travaux est décrite dans l’article </w:t>
      </w:r>
      <w:hyperlink w:anchor="385" w:history="1">
        <w:r>
          <w:rPr>
            <w:color w:val="0000EE"/>
          </w:rPr>
          <w:t>21.21.2 Maçonneries non portantes en briques de béton</w:t>
        </w:r>
      </w:hyperlink>
      <w:r>
        <w:t>.</w:t>
      </w:r>
      <w:r>
        <w:br/>
        <w:t>Les travaux comprennent également la fourniture et la pose des pièces d’angle, de terminaison et de rencontre.</w:t>
      </w:r>
    </w:p>
    <w:p w14:paraId="473FCF48" w14:textId="77777777" w:rsidR="00DB2B68" w:rsidRDefault="00000000">
      <w:pPr>
        <w:pStyle w:val="pheading"/>
      </w:pPr>
      <w:r>
        <w:t>- Localisation</w:t>
      </w:r>
    </w:p>
    <w:p w14:paraId="75FFDC50" w14:textId="77777777" w:rsidR="00DB2B68" w:rsidRDefault="00000000">
      <w:r>
        <w:lastRenderedPageBreak/>
        <w:t xml:space="preserve">La pose est réalisée aux endroits suivants : </w:t>
      </w:r>
      <w:r>
        <w:rPr>
          <w:rStyle w:val="optioncarChar"/>
        </w:rPr>
        <w:t>***</w:t>
      </w:r>
      <w:r>
        <w:t>.</w:t>
      </w:r>
      <w:r>
        <w:br/>
        <w:t>Voir plans et métrés détaillés.</w:t>
      </w:r>
    </w:p>
    <w:p w14:paraId="73B3DD20" w14:textId="77777777" w:rsidR="00DB2B68" w:rsidRDefault="00000000">
      <w:pPr>
        <w:pStyle w:val="pheading"/>
      </w:pPr>
      <w:r>
        <w:t>MATÉRIAUX</w:t>
      </w:r>
    </w:p>
    <w:p w14:paraId="5636FC66" w14:textId="77777777" w:rsidR="00DB2B68" w:rsidRDefault="00000000">
      <w:pPr>
        <w:pStyle w:val="pheading"/>
      </w:pPr>
      <w:r>
        <w:t>- Caractéristiques générales</w:t>
      </w:r>
    </w:p>
    <w:p w14:paraId="167DC4ED" w14:textId="77777777" w:rsidR="00DB2B68" w:rsidRDefault="00000000">
      <w:r>
        <w:rPr>
          <w:rStyle w:val="headingChar"/>
        </w:rPr>
        <w:t>Spécifications</w:t>
      </w:r>
    </w:p>
    <w:p w14:paraId="71F872D7" w14:textId="77777777" w:rsidR="00DB2B68" w:rsidRDefault="00000000">
      <w:r>
        <w:rPr>
          <w:u w:val="single"/>
        </w:rPr>
        <w:t>Blocs</w:t>
      </w:r>
    </w:p>
    <w:p w14:paraId="635A8B87" w14:textId="77777777" w:rsidR="00DB2B68" w:rsidRDefault="00000000">
      <w:r>
        <w:t>En ce qui concerne la déclaration de la résistance à la compression, les briques sont de catégorie I (la résistance à la compression est déclarée avec une fiabilité de 95%).</w:t>
      </w:r>
      <w:r>
        <w:br/>
      </w:r>
      <w:r>
        <w:br/>
        <w:t>Les briques en béton sont de classe d’usage</w:t>
      </w:r>
      <w:r>
        <w:rPr>
          <w:rStyle w:val="optioncarChar"/>
        </w:rPr>
        <w:t xml:space="preserve"> 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p>
    <w:p w14:paraId="23A7A9C3" w14:textId="77777777" w:rsidR="00DB2B68" w:rsidRDefault="00000000">
      <w: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xml:space="preserve">/ (190 / *** </w:t>
      </w:r>
      <w:r>
        <w:t>x</w:t>
      </w:r>
      <w:r>
        <w:rPr>
          <w:rStyle w:val="optioncarChar"/>
        </w:rPr>
        <w:t> 90 / ***</w:t>
      </w:r>
      <w:r>
        <w:t> x</w:t>
      </w:r>
      <w:r>
        <w:rPr>
          <w:rStyle w:val="optioncarChar"/>
        </w:rPr>
        <w:t> 52 / 65 / ***</w:t>
      </w:r>
      <w:r>
        <w:t>) mm</w:t>
      </w:r>
    </w:p>
    <w:p w14:paraId="72287102" w14:textId="77777777" w:rsidR="00DB2B68" w:rsidRDefault="00000000">
      <w:r>
        <w:t>La classe de tolérances dimensionnelles est D4</w:t>
      </w:r>
    </w:p>
    <w:p w14:paraId="14844B65"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324D2A4C" w14:textId="77777777" w:rsidR="00DB2B68" w:rsidRDefault="00000000">
      <w:r>
        <w:t xml:space="preserve">Réaction au feu : </w:t>
      </w:r>
      <w:r>
        <w:rPr>
          <w:rStyle w:val="optioncarChar"/>
        </w:rPr>
        <w:t>A1 </w:t>
      </w:r>
      <w:r>
        <w:t xml:space="preserve">(par défaut) </w:t>
      </w:r>
      <w:r>
        <w:rPr>
          <w:rStyle w:val="optioncarChar"/>
        </w:rPr>
        <w:t>/ ***</w:t>
      </w:r>
    </w:p>
    <w:p w14:paraId="555C7FD2" w14:textId="77777777" w:rsidR="00DB2B68" w:rsidRDefault="00000000">
      <w:pPr>
        <w:spacing w:before="0" w:after="0"/>
      </w:pPr>
      <w:r>
        <w:rPr>
          <w:u w:val="single"/>
        </w:rPr>
        <w:t>Mortier</w:t>
      </w:r>
    </w:p>
    <w:p w14:paraId="58A08FCD"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22B9969F" w14:textId="77777777" w:rsidR="00DB2B68" w:rsidRDefault="00000000">
      <w:r>
        <w:br/>
      </w:r>
      <w:r>
        <w:rPr>
          <w:rStyle w:val="headingChar"/>
        </w:rPr>
        <w:t>Critères De Performances De La Paroi</w:t>
      </w:r>
    </w:p>
    <w:p w14:paraId="44D421DC" w14:textId="77777777" w:rsidR="00DB2B68" w:rsidRDefault="00000000">
      <w:r>
        <w:t>Coefficient de transmission :</w:t>
      </w:r>
    </w:p>
    <w:p w14:paraId="1923D56F" w14:textId="77777777" w:rsidR="00DB2B68" w:rsidRDefault="00000000">
      <w:pPr>
        <w:pStyle w:val="Author-eListParagraph"/>
        <w:numPr>
          <w:ilvl w:val="0"/>
          <w:numId w:val="162"/>
        </w:numPr>
      </w:pPr>
      <w:r>
        <w:t xml:space="preserve">valeur U minimale de </w:t>
      </w:r>
      <w:r>
        <w:rPr>
          <w:rStyle w:val="optioncarChar"/>
        </w:rPr>
        <w:t>***</w:t>
      </w:r>
      <w:r>
        <w:t xml:space="preserve"> W/m²K</w:t>
      </w:r>
    </w:p>
    <w:p w14:paraId="0EBFB501" w14:textId="77777777" w:rsidR="00DB2B68" w:rsidRDefault="00000000">
      <w:pPr>
        <w:pStyle w:val="Author-eListParagraph"/>
        <w:numPr>
          <w:ilvl w:val="0"/>
          <w:numId w:val="16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B8FAB3F" w14:textId="77777777" w:rsidR="00DB2B68" w:rsidRDefault="00000000">
      <w:r>
        <w:br/>
        <w:t xml:space="preserve">Résistance au feu : </w:t>
      </w:r>
      <w:r>
        <w:rPr>
          <w:rStyle w:val="optioncarChar"/>
        </w:rPr>
        <w:t>EI30 </w:t>
      </w:r>
      <w:r>
        <w:t>(par défaut)</w:t>
      </w:r>
      <w:r>
        <w:rPr>
          <w:rStyle w:val="optioncarChar"/>
        </w:rPr>
        <w:t xml:space="preserve"> / EI60 / EI90 / EI120 / EI***</w:t>
      </w:r>
    </w:p>
    <w:p w14:paraId="01A97F76" w14:textId="77777777" w:rsidR="00DB2B68" w:rsidRDefault="00000000">
      <w:r>
        <w:t>selon les tableaux dans [NBN EN 1996-1-2 ANB].</w:t>
      </w:r>
    </w:p>
    <w:p w14:paraId="5E8B70D0" w14:textId="77777777" w:rsidR="00DB2B68" w:rsidRDefault="00000000">
      <w:pPr>
        <w:ind w:left="750"/>
      </w:pPr>
      <w:r>
        <w:t> </w:t>
      </w:r>
    </w:p>
    <w:p w14:paraId="2673B614" w14:textId="77777777" w:rsidR="00DB2B68" w:rsidRDefault="00000000">
      <w:pPr>
        <w:pStyle w:val="pheading"/>
      </w:pPr>
      <w:r>
        <w:t>- Finitions</w:t>
      </w:r>
    </w:p>
    <w:p w14:paraId="401CEC64" w14:textId="77777777" w:rsidR="00DB2B68" w:rsidRDefault="00000000">
      <w:pPr>
        <w:pStyle w:val="Author-eListParagraph"/>
        <w:numPr>
          <w:ilvl w:val="0"/>
          <w:numId w:val="163"/>
        </w:numPr>
      </w:pPr>
      <w:r>
        <w:lastRenderedPageBreak/>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30A58AFA" w14:textId="77777777" w:rsidR="00DB2B68" w:rsidRDefault="00000000">
      <w:pPr>
        <w:pStyle w:val="Author-eListParagraph"/>
        <w:numPr>
          <w:ilvl w:val="0"/>
          <w:numId w:val="163"/>
        </w:numPr>
      </w:pPr>
      <w:r>
        <w:t xml:space="preserve">Les murs suivants sont exécutés avec une face restant apparente : </w:t>
      </w:r>
      <w:r>
        <w:rPr>
          <w:rStyle w:val="optioncarChar"/>
        </w:rPr>
        <w:t>***</w:t>
      </w:r>
    </w:p>
    <w:p w14:paraId="59D159B5" w14:textId="77777777" w:rsidR="00DB2B68" w:rsidRDefault="00000000">
      <w:pPr>
        <w:pStyle w:val="Author-eListParagraph"/>
        <w:numPr>
          <w:ilvl w:val="0"/>
          <w:numId w:val="163"/>
        </w:numPr>
      </w:pPr>
      <w:r>
        <w:t xml:space="preserve">Les murs suivants sont exécutés avec deux faces restant apparentes : </w:t>
      </w:r>
      <w:r>
        <w:rPr>
          <w:rStyle w:val="optioncarChar"/>
        </w:rPr>
        <w:t>***</w:t>
      </w:r>
    </w:p>
    <w:p w14:paraId="4F6B5A22" w14:textId="77777777" w:rsidR="00DB2B68" w:rsidRDefault="00000000">
      <w:pPr>
        <w:pStyle w:val="pheading"/>
      </w:pPr>
      <w:r>
        <w:t>EXÉCUTION / MISE EN ŒUVRE</w:t>
      </w:r>
    </w:p>
    <w:p w14:paraId="646D9AF9" w14:textId="77777777" w:rsidR="00DB2B68" w:rsidRDefault="00000000">
      <w:pPr>
        <w:pStyle w:val="pheading"/>
      </w:pPr>
      <w:r>
        <w:t>- Notes d’exécution complémentaires</w:t>
      </w:r>
    </w:p>
    <w:p w14:paraId="5BDF2D61" w14:textId="77777777" w:rsidR="00DB2B68" w:rsidRDefault="00000000">
      <w:r>
        <w:t>Le mortier utilisé est spécifique au concept et possède une grande résistance à la compression (&gt; 20 N/mm²).</w:t>
      </w:r>
    </w:p>
    <w:p w14:paraId="1BDCC3CC" w14:textId="77777777" w:rsidR="00DB2B68" w:rsidRDefault="00000000">
      <w:pPr>
        <w:pStyle w:val="pheading"/>
      </w:pPr>
      <w:r>
        <w:t>MESURAGE</w:t>
      </w:r>
    </w:p>
    <w:p w14:paraId="7F502F9D" w14:textId="77777777" w:rsidR="00DB2B68" w:rsidRDefault="00000000">
      <w:pPr>
        <w:pStyle w:val="pheading"/>
      </w:pPr>
      <w:r>
        <w:t>- unité de mesure:</w:t>
      </w:r>
    </w:p>
    <w:p w14:paraId="423F9751" w14:textId="77777777" w:rsidR="00DB2B68" w:rsidRDefault="00000000">
      <w:r>
        <w:rPr>
          <w:rStyle w:val="optioncarChar"/>
        </w:rPr>
        <w:t>m³ </w:t>
      </w:r>
      <w:r>
        <w:t>(par défaut)</w:t>
      </w:r>
      <w:r>
        <w:rPr>
          <w:rStyle w:val="optioncarChar"/>
        </w:rPr>
        <w:t> / m²</w:t>
      </w:r>
    </w:p>
    <w:p w14:paraId="1C9CCCE1" w14:textId="77777777" w:rsidR="00DB2B68" w:rsidRDefault="00000000">
      <w:r>
        <w:rPr>
          <w:b/>
        </w:rPr>
        <w:t>(soit par défaut)</w:t>
      </w:r>
    </w:p>
    <w:p w14:paraId="466C8E08" w14:textId="77777777" w:rsidR="00DB2B68" w:rsidRDefault="00000000">
      <w:r>
        <w:rPr>
          <w:rStyle w:val="soitChar"/>
        </w:rPr>
        <w:t>1. m³</w:t>
      </w:r>
    </w:p>
    <w:p w14:paraId="4D91AEE2" w14:textId="77777777" w:rsidR="00DB2B68" w:rsidRDefault="00000000">
      <w:r>
        <w:rPr>
          <w:b/>
        </w:rPr>
        <w:t>(soit)</w:t>
      </w:r>
    </w:p>
    <w:p w14:paraId="68EEF61B" w14:textId="77777777" w:rsidR="00DB2B68" w:rsidRDefault="00000000">
      <w:r>
        <w:rPr>
          <w:rStyle w:val="soitChar"/>
        </w:rPr>
        <w:t>2. m²</w:t>
      </w:r>
    </w:p>
    <w:p w14:paraId="32645A21" w14:textId="77777777" w:rsidR="00DB2B68" w:rsidRDefault="00000000">
      <w:pPr>
        <w:pStyle w:val="pheading"/>
      </w:pPr>
      <w:r>
        <w:t>- code de mesurage:</w:t>
      </w:r>
    </w:p>
    <w:p w14:paraId="4EE2622E"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DDD4F68"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E3C3AAD"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37A3B5EC" w14:textId="77777777" w:rsidR="00DB2B68" w:rsidRDefault="00000000">
      <w:r>
        <w:br/>
      </w:r>
      <w:r>
        <w:rPr>
          <w:rStyle w:val="optioncarChar"/>
        </w:rPr>
        <w:t>Volume net </w:t>
      </w:r>
      <w:r>
        <w:t>(par défaut)</w:t>
      </w:r>
      <w:r>
        <w:rPr>
          <w:rStyle w:val="optioncarChar"/>
        </w:rPr>
        <w:t> / Surface nette</w:t>
      </w:r>
    </w:p>
    <w:p w14:paraId="1E86E59E" w14:textId="77777777" w:rsidR="00DB2B68" w:rsidRDefault="00000000">
      <w:r>
        <w:rPr>
          <w:b/>
        </w:rPr>
        <w:t>(soit par défaut)</w:t>
      </w:r>
    </w:p>
    <w:p w14:paraId="3823B1CB"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C6898F4" w14:textId="77777777" w:rsidR="00DB2B68" w:rsidRDefault="00000000">
      <w:r>
        <w:rPr>
          <w:b/>
        </w:rPr>
        <w:t>(soit)</w:t>
      </w:r>
    </w:p>
    <w:p w14:paraId="63C0AB2B"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71738B5A" w14:textId="77777777" w:rsidR="00DB2B68" w:rsidRDefault="00000000">
      <w:pPr>
        <w:pStyle w:val="pheading"/>
      </w:pPr>
      <w:r>
        <w:t>- nature du marché:</w:t>
      </w:r>
    </w:p>
    <w:p w14:paraId="78B5E9C3" w14:textId="77777777" w:rsidR="00DB2B68" w:rsidRDefault="00000000">
      <w:r>
        <w:t>QF</w:t>
      </w:r>
    </w:p>
    <w:p w14:paraId="75D5D798" w14:textId="77777777" w:rsidR="00DB2B68" w:rsidRDefault="00000000">
      <w:pPr>
        <w:pStyle w:val="Author-eSectionHeading5Numberless"/>
      </w:pPr>
      <w:bookmarkStart w:id="151" w:name="_Toc220495298"/>
      <w:r>
        <w:t>21.21.3 Maçonneries non portantes en briques de silico-calcaire CCTB 01.12</w:t>
      </w:r>
      <w:bookmarkEnd w:id="151"/>
    </w:p>
    <w:p w14:paraId="27BCE8DE" w14:textId="77777777" w:rsidR="00DB2B68" w:rsidRDefault="00000000">
      <w:pPr>
        <w:pStyle w:val="pheading"/>
      </w:pPr>
      <w:bookmarkStart w:id="152" w:name="386"/>
      <w:bookmarkEnd w:id="152"/>
      <w:r>
        <w:lastRenderedPageBreak/>
        <w:t>MATÉRIAUX</w:t>
      </w:r>
    </w:p>
    <w:p w14:paraId="153E4FDD" w14:textId="77777777" w:rsidR="00DB2B68" w:rsidRDefault="00000000">
      <w:r>
        <w:t>Il s'agit des briques en silico-calcaire, qui répondent à la norme [NBN EN 771-2+A1] et au [PTV 21-003]. L'entrepreneur soumet un échantillon, la fiche technique et la déclaration des performances (DoP) du matériau pour approbation à l'auteur de projet et au maître de l’ouvrage.</w:t>
      </w:r>
    </w:p>
    <w:p w14:paraId="128A8224" w14:textId="77777777" w:rsidR="00DB2B68" w:rsidRDefault="00000000">
      <w:pPr>
        <w:pStyle w:val="pheading"/>
      </w:pPr>
      <w:r>
        <w:t>EXÉCUTION / MISE EN ŒUVRE</w:t>
      </w:r>
    </w:p>
    <w:p w14:paraId="66AF6309" w14:textId="77777777" w:rsidR="00DB2B68" w:rsidRDefault="00000000">
      <w:r>
        <w:t xml:space="preserve">Eléments en silico-calcaire à utiliser : </w:t>
      </w:r>
      <w:r>
        <w:rPr>
          <w:rStyle w:val="optioncarChar"/>
        </w:rPr>
        <w:t>U (maçonnerie non protégée) </w:t>
      </w:r>
      <w:r>
        <w:t>(par défaut) </w:t>
      </w:r>
      <w:r>
        <w:rPr>
          <w:rStyle w:val="optioncarChar"/>
        </w:rPr>
        <w:t>/ P (maçonnerie protégée)</w:t>
      </w:r>
    </w:p>
    <w:p w14:paraId="717746CE" w14:textId="77777777" w:rsidR="00DB2B68" w:rsidRDefault="00000000">
      <w:r>
        <w:t xml:space="preserve">Conformément au mode de mise en œuvre, les briques en silico-calcaire sont maçonnées au mortier / collées à l’aide d’un mortier-colle selon les indications </w:t>
      </w:r>
      <w:r>
        <w:rPr>
          <w:rStyle w:val="optioncarChar"/>
        </w:rPr>
        <w:t>du fabricant des briques </w:t>
      </w:r>
      <w:r>
        <w:t>(par défaut)</w:t>
      </w:r>
      <w:r>
        <w:rPr>
          <w:rStyle w:val="optioncarChar"/>
        </w:rPr>
        <w:t xml:space="preserve"> / du fabricant de mortier</w:t>
      </w:r>
      <w:r>
        <w:t xml:space="preserve"> et des notes de calcul du bureau d’études.</w:t>
      </w:r>
    </w:p>
    <w:p w14:paraId="07E43451" w14:textId="77777777" w:rsidR="00DB2B68"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58B7B50E" w14:textId="77777777" w:rsidR="00DB2B68" w:rsidRDefault="00000000">
      <w:r>
        <w:t xml:space="preserve">L'épaisseur des joints est d'au moins : </w:t>
      </w:r>
      <w:r>
        <w:rPr>
          <w:rStyle w:val="optioncarChar"/>
        </w:rPr>
        <w:t>2 / 10</w:t>
      </w:r>
      <w:r>
        <w:t xml:space="preserve"> (par défaut) </w:t>
      </w:r>
      <w:r>
        <w:rPr>
          <w:rStyle w:val="optioncarChar"/>
        </w:rPr>
        <w:t>/ ***</w:t>
      </w:r>
      <w:r>
        <w:t xml:space="preserve"> mm (tolérances suivant [NIT 208])</w:t>
      </w:r>
      <w:r>
        <w:br/>
      </w:r>
      <w:r>
        <w:br/>
        <w:t>Eléments de liaison et d'ancrage :</w:t>
      </w:r>
    </w:p>
    <w:p w14:paraId="1AA9CBAE" w14:textId="77777777" w:rsidR="00DB2B68" w:rsidRDefault="00000000">
      <w:pPr>
        <w:ind w:left="567"/>
      </w:pPr>
      <w:r>
        <w:t xml:space="preserve">longueur nominale : </w:t>
      </w:r>
      <w:r>
        <w:rPr>
          <w:rStyle w:val="optioncarChar"/>
        </w:rPr>
        <w:t>***</w:t>
      </w:r>
      <w:r>
        <w:br/>
        <w:t xml:space="preserve">diamètre : </w:t>
      </w:r>
      <w:r>
        <w:rPr>
          <w:rStyle w:val="optioncarChar"/>
        </w:rPr>
        <w:t>***</w:t>
      </w:r>
      <w:r>
        <w:br/>
        <w:t>classe d’exposition :</w:t>
      </w:r>
      <w:r>
        <w:rPr>
          <w:rStyle w:val="optioncarChar"/>
        </w:rPr>
        <w:t xml:space="preserve"> 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7EF793C5" w14:textId="77777777" w:rsidR="00DB2B68" w:rsidRDefault="00000000">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356" w:history="1">
        <w:r>
          <w:rPr>
            <w:color w:val="0000EE"/>
          </w:rPr>
          <w:t>26.11 Feuilles et membranes d'étanchéité à l'eau</w:t>
        </w:r>
      </w:hyperlink>
      <w:r>
        <w:t>.</w:t>
      </w:r>
    </w:p>
    <w:p w14:paraId="7AECEA4B" w14:textId="77777777" w:rsidR="00DB2B68" w:rsidRDefault="00000000">
      <w:r>
        <w:rPr>
          <w:b/>
        </w:rPr>
        <w:t>- Notes d'exécution complémentaires</w:t>
      </w:r>
    </w:p>
    <w:p w14:paraId="6DE537A7" w14:textId="77777777" w:rsidR="00DB2B68" w:rsidRDefault="00000000">
      <w:r>
        <w:t>Pour les maçonneries destinées à rester apparentes, seules des briques non endommagés sont utilisés.</w:t>
      </w:r>
    </w:p>
    <w:p w14:paraId="0D94FDFA"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27E0207C"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5C4B0585"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451F9C4D" w14:textId="77777777" w:rsidR="00DB2B68"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68BC1FC5"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p>
    <w:p w14:paraId="141BB4B1" w14:textId="77777777" w:rsidR="00DB2B68" w:rsidRDefault="00000000">
      <w:pPr>
        <w:pStyle w:val="pheading"/>
      </w:pPr>
      <w:r>
        <w:t>AIDE</w:t>
      </w:r>
    </w:p>
    <w:p w14:paraId="05EFA1E7" w14:textId="77777777" w:rsidR="00DB2B68" w:rsidRDefault="00000000">
      <w:r>
        <w:t>Note à l'attention de l'auteur du projet : pour le choix adéquat du mortier, se référer à la [STS 22 série].</w:t>
      </w:r>
    </w:p>
    <w:p w14:paraId="5522C5DA" w14:textId="77777777" w:rsidR="00DB2B68" w:rsidRDefault="00000000">
      <w:pPr>
        <w:pStyle w:val="Author-eSectionHeading6Numberless"/>
      </w:pPr>
      <w:bookmarkStart w:id="153" w:name="_Toc220495299"/>
      <w:r>
        <w:t>21.21.3a Maçonneries non portantes en briques de silico-calcaire à maçonner CCTB 01.12</w:t>
      </w:r>
      <w:bookmarkEnd w:id="153"/>
    </w:p>
    <w:p w14:paraId="320D191C" w14:textId="77777777" w:rsidR="00DB2B68" w:rsidRDefault="00000000">
      <w:pPr>
        <w:pStyle w:val="pheading"/>
      </w:pPr>
      <w:r>
        <w:t>DESCRIPTION</w:t>
      </w:r>
    </w:p>
    <w:p w14:paraId="3B8903A4" w14:textId="77777777" w:rsidR="00DB2B68" w:rsidRDefault="00000000">
      <w:pPr>
        <w:pStyle w:val="pheading"/>
      </w:pPr>
      <w:r>
        <w:t>- Définition / Comprend</w:t>
      </w:r>
    </w:p>
    <w:p w14:paraId="125D7476" w14:textId="77777777" w:rsidR="00DB2B68" w:rsidRDefault="00000000">
      <w:r>
        <w:t xml:space="preserve">Il s’agit de la fourniture et la pose de maçonneries non portantes en briques de silico-calcaire à maçonner. </w:t>
      </w:r>
      <w:r>
        <w:br/>
        <w:t xml:space="preserve">La portée des travaux est décrite dans l’article </w:t>
      </w:r>
      <w:hyperlink w:anchor="386" w:history="1">
        <w:r>
          <w:rPr>
            <w:color w:val="0000EE"/>
          </w:rPr>
          <w:t>21.21.3 Maçonneries non portantes en briques de silico-calcaire</w:t>
        </w:r>
      </w:hyperlink>
      <w:r>
        <w:t>.</w:t>
      </w:r>
      <w:r>
        <w:br/>
        <w:t>Les travaux comprennent également la fourniture et la pose des pièces d’angle, de terminaison et de rencontre.</w:t>
      </w:r>
    </w:p>
    <w:p w14:paraId="26498A17" w14:textId="77777777" w:rsidR="00DB2B68" w:rsidRDefault="00000000">
      <w:pPr>
        <w:pStyle w:val="pheading"/>
      </w:pPr>
      <w:r>
        <w:lastRenderedPageBreak/>
        <w:t>- Localisation</w:t>
      </w:r>
    </w:p>
    <w:p w14:paraId="6E43692C" w14:textId="77777777" w:rsidR="00DB2B68" w:rsidRDefault="00000000">
      <w:r>
        <w:t xml:space="preserve">La pose est réalisée aux endroits suivants : </w:t>
      </w:r>
      <w:r>
        <w:rPr>
          <w:rStyle w:val="optioncarChar"/>
        </w:rPr>
        <w:t>***</w:t>
      </w:r>
      <w:r>
        <w:t>.</w:t>
      </w:r>
      <w:r>
        <w:br/>
        <w:t>Voir plans et métrés détaillés.</w:t>
      </w:r>
    </w:p>
    <w:p w14:paraId="2B26AE81" w14:textId="77777777" w:rsidR="00DB2B68" w:rsidRDefault="00000000">
      <w:pPr>
        <w:pStyle w:val="pheading"/>
      </w:pPr>
      <w:r>
        <w:t>MATÉRIAUX</w:t>
      </w:r>
    </w:p>
    <w:p w14:paraId="06014589" w14:textId="77777777" w:rsidR="00DB2B68" w:rsidRDefault="00000000">
      <w:pPr>
        <w:pStyle w:val="pheading"/>
      </w:pPr>
      <w:r>
        <w:t>- Caractéristiques générales</w:t>
      </w:r>
    </w:p>
    <w:p w14:paraId="79D554DC" w14:textId="77777777" w:rsidR="00DB2B68" w:rsidRDefault="00000000">
      <w:pPr>
        <w:pStyle w:val="heading"/>
      </w:pPr>
      <w:r>
        <w:t>Spécifications</w:t>
      </w:r>
    </w:p>
    <w:p w14:paraId="08256FB1" w14:textId="77777777" w:rsidR="00DB2B68"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 xml:space="preserve">(par défaut) </w:t>
      </w:r>
      <w:r>
        <w:rPr>
          <w:rStyle w:val="optioncarChar"/>
        </w:rPr>
        <w:t>/ ***</w:t>
      </w:r>
      <w:r>
        <w:br/>
      </w:r>
      <w:r>
        <w:br/>
        <w:t xml:space="preserve">La masse volumique sèche apparente des briques ρ (rho) est : </w:t>
      </w:r>
      <w:r>
        <w:rPr>
          <w:rStyle w:val="optioncarChar"/>
        </w:rPr>
        <w:t>***</w:t>
      </w:r>
      <w:r>
        <w:t xml:space="preserve"> kg/m³ (blocs pleins), selon la [NBN EN 771-2+A1].</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 blanc</w:t>
      </w:r>
      <w:r>
        <w:br/>
      </w:r>
      <w:r>
        <w:br/>
        <w:t xml:space="preserve">Format : (L x l x h) </w:t>
      </w:r>
      <w:r>
        <w:rPr>
          <w:rStyle w:val="optioncarChar"/>
        </w:rPr>
        <w:t>*** x *** x *** mm / format modulaire proposé par l'entrepreneur </w:t>
      </w:r>
      <w:r>
        <w:t>(par défaut)</w:t>
      </w:r>
      <w:r>
        <w:br/>
      </w:r>
      <w:r>
        <w:br/>
        <w:t>Classe de tolérances dimensionnelles: T1</w:t>
      </w:r>
      <w:r>
        <w:br/>
      </w:r>
      <w:r>
        <w:b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p>
    <w:p w14:paraId="1F3A7ED8" w14:textId="77777777" w:rsidR="00DB2B68" w:rsidRDefault="00000000">
      <w:r>
        <w:rPr>
          <w:rStyle w:val="headingChar"/>
        </w:rPr>
        <w:t>Critères De Performances De La Paroi</w:t>
      </w:r>
    </w:p>
    <w:p w14:paraId="2220D806" w14:textId="77777777" w:rsidR="00DB2B68" w:rsidRDefault="00000000">
      <w:r>
        <w:t>Coefficient de transmission :</w:t>
      </w:r>
    </w:p>
    <w:p w14:paraId="610C1074" w14:textId="77777777" w:rsidR="00DB2B68" w:rsidRDefault="00000000">
      <w:pPr>
        <w:pStyle w:val="Author-eListParagraph"/>
        <w:numPr>
          <w:ilvl w:val="0"/>
          <w:numId w:val="164"/>
        </w:numPr>
      </w:pPr>
      <w:r>
        <w:t xml:space="preserve">valeur U minimale de </w:t>
      </w:r>
      <w:r>
        <w:rPr>
          <w:rStyle w:val="optioncarChar"/>
        </w:rPr>
        <w:t>***</w:t>
      </w:r>
      <w:r>
        <w:t xml:space="preserve"> W/m²K</w:t>
      </w:r>
    </w:p>
    <w:p w14:paraId="26E02DC6" w14:textId="77777777" w:rsidR="00DB2B68" w:rsidRDefault="00000000">
      <w:pPr>
        <w:pStyle w:val="Author-eListParagraph"/>
        <w:numPr>
          <w:ilvl w:val="0"/>
          <w:numId w:val="16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148D389" w14:textId="77777777" w:rsidR="00DB2B68" w:rsidRDefault="00000000">
      <w:r>
        <w:t xml:space="preserve">Résistance au feu : </w:t>
      </w:r>
      <w:r>
        <w:rPr>
          <w:rStyle w:val="optioncarChar"/>
        </w:rPr>
        <w:t>EI30 </w:t>
      </w:r>
      <w:r>
        <w:t xml:space="preserve">(par défaut) </w:t>
      </w:r>
      <w:r>
        <w:rPr>
          <w:rStyle w:val="optioncarChar"/>
        </w:rPr>
        <w:t>/ EI60 / EI90 / EI120 / EI***</w:t>
      </w:r>
    </w:p>
    <w:p w14:paraId="61E7D0A3" w14:textId="77777777" w:rsidR="00DB2B68" w:rsidRDefault="00000000">
      <w:r>
        <w:t>selon les tableaux dans [NBN EN 1996-1-2 ANB].</w:t>
      </w:r>
    </w:p>
    <w:p w14:paraId="153BDAF4" w14:textId="77777777" w:rsidR="00DB2B68" w:rsidRDefault="00000000">
      <w:pPr>
        <w:ind w:left="750"/>
      </w:pPr>
      <w:r>
        <w:t> </w:t>
      </w:r>
    </w:p>
    <w:p w14:paraId="344B8A7F" w14:textId="77777777" w:rsidR="00DB2B68" w:rsidRDefault="00000000">
      <w:pPr>
        <w:pStyle w:val="pheading"/>
      </w:pPr>
      <w:r>
        <w:lastRenderedPageBreak/>
        <w:t>- Finitions</w:t>
      </w:r>
    </w:p>
    <w:p w14:paraId="510D0B65" w14:textId="77777777" w:rsidR="00DB2B68" w:rsidRDefault="00000000">
      <w:r>
        <w:t xml:space="preserve">Les faces de murs suivantes sont exécutées comme maçonneries apparentes et sont </w:t>
      </w:r>
      <w:r>
        <w:rPr>
          <w:rStyle w:val="optioncarChar"/>
        </w:rPr>
        <w:t>rejointoyées en cours d'élévation </w:t>
      </w:r>
      <w:r>
        <w:t>(par défaut)</w:t>
      </w:r>
      <w:r>
        <w:rPr>
          <w:rStyle w:val="optioncarChar"/>
        </w:rPr>
        <w:t xml:space="preserve"> / rejointoyées par après / ***</w:t>
      </w:r>
      <w:r>
        <w:t xml:space="preserve"> selon l'article </w:t>
      </w:r>
      <w:hyperlink w:anchor="346" w:history="1">
        <w:r>
          <w:rPr>
            <w:color w:val="0000EE"/>
          </w:rP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14:paraId="7C7AF2AF" w14:textId="77777777" w:rsidR="00DB2B68" w:rsidRDefault="00000000">
      <w:pPr>
        <w:pStyle w:val="pheading"/>
      </w:pPr>
      <w:r>
        <w:t>MESURAGE</w:t>
      </w:r>
    </w:p>
    <w:p w14:paraId="13BD3157" w14:textId="77777777" w:rsidR="00DB2B68" w:rsidRDefault="00000000">
      <w:pPr>
        <w:pStyle w:val="pheading"/>
      </w:pPr>
      <w:r>
        <w:t>- unité de mesure:</w:t>
      </w:r>
    </w:p>
    <w:p w14:paraId="5C1AA38E" w14:textId="77777777" w:rsidR="00DB2B68" w:rsidRDefault="00000000">
      <w:r>
        <w:rPr>
          <w:rStyle w:val="optioncarChar"/>
        </w:rPr>
        <w:t>m³ </w:t>
      </w:r>
      <w:r>
        <w:t>(par défaut)</w:t>
      </w:r>
      <w:r>
        <w:rPr>
          <w:rStyle w:val="optioncarChar"/>
        </w:rPr>
        <w:t> / m²</w:t>
      </w:r>
    </w:p>
    <w:p w14:paraId="05016D55" w14:textId="77777777" w:rsidR="00DB2B68" w:rsidRDefault="00000000">
      <w:r>
        <w:rPr>
          <w:b/>
        </w:rPr>
        <w:t>(soit par défaut)</w:t>
      </w:r>
    </w:p>
    <w:p w14:paraId="22CC1B31" w14:textId="77777777" w:rsidR="00DB2B68" w:rsidRDefault="00000000">
      <w:r>
        <w:rPr>
          <w:rStyle w:val="soitChar"/>
        </w:rPr>
        <w:t>1. m³</w:t>
      </w:r>
    </w:p>
    <w:p w14:paraId="0B3BDAF4" w14:textId="77777777" w:rsidR="00DB2B68" w:rsidRDefault="00000000">
      <w:r>
        <w:rPr>
          <w:b/>
        </w:rPr>
        <w:t>(soit)</w:t>
      </w:r>
    </w:p>
    <w:p w14:paraId="124B864E" w14:textId="77777777" w:rsidR="00DB2B68" w:rsidRDefault="00000000">
      <w:r>
        <w:rPr>
          <w:rStyle w:val="soitChar"/>
        </w:rPr>
        <w:t>2. m²</w:t>
      </w:r>
    </w:p>
    <w:p w14:paraId="766C12A2" w14:textId="77777777" w:rsidR="00DB2B68" w:rsidRDefault="00000000">
      <w:pPr>
        <w:pStyle w:val="pheading"/>
      </w:pPr>
      <w:r>
        <w:t>- code de mesurage:</w:t>
      </w:r>
    </w:p>
    <w:p w14:paraId="2B13C8D0"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10BA60F"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6EE66C4" w14:textId="77777777" w:rsidR="00DB2B68" w:rsidRDefault="00000000">
      <w:r>
        <w:t>L'appui des dalles de sol sur le mur porteur de contre-façade n'est pas déduit mais compté comme ouvrage de maçonnerie ; par contre, les murs intérieurs porteurs sont mesurés entre les planchers (voir sous-titre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2E93476" w14:textId="77777777" w:rsidR="00DB2B68" w:rsidRDefault="00000000">
      <w:r>
        <w:br/>
      </w:r>
      <w:r>
        <w:rPr>
          <w:rStyle w:val="optioncarChar"/>
        </w:rPr>
        <w:t>Volume net </w:t>
      </w:r>
      <w:r>
        <w:t>(par défaut)</w:t>
      </w:r>
      <w:r>
        <w:rPr>
          <w:rStyle w:val="optioncarChar"/>
        </w:rPr>
        <w:t> / Surface nette</w:t>
      </w:r>
    </w:p>
    <w:p w14:paraId="678E62BD" w14:textId="77777777" w:rsidR="00DB2B68" w:rsidRDefault="00000000">
      <w:r>
        <w:rPr>
          <w:b/>
        </w:rPr>
        <w:t>(soit par défaut)</w:t>
      </w:r>
    </w:p>
    <w:p w14:paraId="5C6EDEA0"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245F8488" w14:textId="77777777" w:rsidR="00DB2B68" w:rsidRDefault="00000000">
      <w:r>
        <w:rPr>
          <w:b/>
        </w:rPr>
        <w:t>(soit)</w:t>
      </w:r>
    </w:p>
    <w:p w14:paraId="7F6C182A"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70E7FD63" w14:textId="77777777" w:rsidR="00DB2B68" w:rsidRDefault="00000000">
      <w:pPr>
        <w:pStyle w:val="pheading"/>
      </w:pPr>
      <w:r>
        <w:t>- nature du marché:</w:t>
      </w:r>
    </w:p>
    <w:p w14:paraId="0EF0C22B" w14:textId="77777777" w:rsidR="00DB2B68" w:rsidRDefault="00000000">
      <w:r>
        <w:t>QF</w:t>
      </w:r>
    </w:p>
    <w:p w14:paraId="4555A132" w14:textId="77777777" w:rsidR="00DB2B68" w:rsidRDefault="00000000">
      <w:pPr>
        <w:pStyle w:val="Author-eSectionHeading6Numberless"/>
      </w:pPr>
      <w:bookmarkStart w:id="154" w:name="_Toc220495300"/>
      <w:r>
        <w:t>21.21.3b Maçonneries non portantes en briques de silico-calcaire à coller CCTB 01.12</w:t>
      </w:r>
      <w:bookmarkEnd w:id="154"/>
    </w:p>
    <w:p w14:paraId="0115D023" w14:textId="77777777" w:rsidR="00DB2B68" w:rsidRDefault="00000000">
      <w:pPr>
        <w:pStyle w:val="pheading"/>
      </w:pPr>
      <w:r>
        <w:t>DESCRIPTION</w:t>
      </w:r>
    </w:p>
    <w:p w14:paraId="3CDE8171" w14:textId="77777777" w:rsidR="00DB2B68" w:rsidRDefault="00000000">
      <w:pPr>
        <w:pStyle w:val="pheading"/>
      </w:pPr>
      <w:r>
        <w:t>- Définition / Comprend</w:t>
      </w:r>
    </w:p>
    <w:p w14:paraId="3F18A4C4" w14:textId="77777777" w:rsidR="00DB2B68" w:rsidRDefault="00000000">
      <w:r>
        <w:lastRenderedPageBreak/>
        <w:t xml:space="preserve">Il s’agit de la fourniture et la pose de maçonneries non portantes en briques de silico-calcaire à coller. </w:t>
      </w:r>
      <w:r>
        <w:br/>
        <w:t xml:space="preserve">La portée des travaux est décrite dans l’article </w:t>
      </w:r>
      <w:hyperlink w:anchor="386" w:history="1">
        <w:r>
          <w:rPr>
            <w:color w:val="0000EE"/>
          </w:rPr>
          <w:t>21.21.3 Maçonneries non portantes en briques de silico-calcaire</w:t>
        </w:r>
      </w:hyperlink>
      <w:r>
        <w:t>.</w:t>
      </w:r>
      <w:r>
        <w:br/>
        <w:t>Les travaux comprennent également la fourniture et la pose des pièces d’angle, de terminaison et de rencontre.</w:t>
      </w:r>
    </w:p>
    <w:p w14:paraId="2F75DAE8" w14:textId="77777777" w:rsidR="00DB2B68" w:rsidRDefault="00000000">
      <w:pPr>
        <w:pStyle w:val="pheading"/>
      </w:pPr>
      <w:r>
        <w:t>- Localisation</w:t>
      </w:r>
    </w:p>
    <w:p w14:paraId="575BB8BE" w14:textId="77777777" w:rsidR="00DB2B68" w:rsidRDefault="00000000">
      <w:r>
        <w:t xml:space="preserve">La pose est réalisée aux endroits suivants : </w:t>
      </w:r>
      <w:r>
        <w:rPr>
          <w:rStyle w:val="optioncarChar"/>
        </w:rPr>
        <w:t>***</w:t>
      </w:r>
      <w:r>
        <w:t>.</w:t>
      </w:r>
      <w:r>
        <w:br/>
        <w:t>Voir plans et métrés détaillés.</w:t>
      </w:r>
    </w:p>
    <w:p w14:paraId="74CB2F48" w14:textId="77777777" w:rsidR="00DB2B68" w:rsidRDefault="00000000">
      <w:pPr>
        <w:pStyle w:val="pheading"/>
      </w:pPr>
      <w:r>
        <w:t>MATÉRIAUX</w:t>
      </w:r>
    </w:p>
    <w:p w14:paraId="31E1CA54" w14:textId="77777777" w:rsidR="00DB2B68" w:rsidRDefault="00000000">
      <w:pPr>
        <w:pStyle w:val="pheading"/>
      </w:pPr>
      <w:r>
        <w:t>- Caractéristiques générales</w:t>
      </w:r>
    </w:p>
    <w:p w14:paraId="3E1BC505" w14:textId="77777777" w:rsidR="00DB2B68" w:rsidRDefault="00000000">
      <w:pPr>
        <w:pStyle w:val="heading"/>
      </w:pPr>
      <w:r>
        <w:t>Spécifications</w:t>
      </w:r>
    </w:p>
    <w:p w14:paraId="4A6215C0" w14:textId="77777777" w:rsidR="00DB2B68"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w:t>
      </w:r>
      <w:r>
        <w:rPr>
          <w:rStyle w:val="optioncarChar"/>
        </w:rPr>
        <w:t xml:space="preserve"> ***</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briques ρ (rho) est : </w:t>
      </w:r>
      <w:r>
        <w:rPr>
          <w:rStyle w:val="optioncarChar"/>
        </w:rPr>
        <w:t>***</w:t>
      </w:r>
      <w:r>
        <w:t xml:space="preserve"> kg/m³ (blocs pleins), selon la [NBN EN 771-2+A1].</w:t>
      </w:r>
    </w:p>
    <w:p w14:paraId="2FE944C9" w14:textId="77777777" w:rsidR="00DB2B68" w:rsidRDefault="00000000">
      <w: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 xml:space="preserve">Teinte : blanc </w:t>
      </w:r>
      <w:r>
        <w:br/>
      </w:r>
      <w:r>
        <w:br/>
        <w:t xml:space="preserve">Format : (L x l x h) </w:t>
      </w:r>
      <w:r>
        <w:rPr>
          <w:rStyle w:val="optioncarChar"/>
        </w:rPr>
        <w:t>*** x *** x ***mm / format modulaire proposé par l'entrepreneur </w:t>
      </w:r>
      <w:r>
        <w:t>(par défaut)</w:t>
      </w:r>
    </w:p>
    <w:p w14:paraId="2300AB4A" w14:textId="77777777" w:rsidR="00DB2B68" w:rsidRDefault="00000000">
      <w:r>
        <w:t>Classe de tolérances dimensionnelles: T2</w:t>
      </w:r>
    </w:p>
    <w:p w14:paraId="6BB7E84F" w14:textId="77777777" w:rsidR="00DB2B68" w:rsidRDefault="00000000">
      <w: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code </w:t>
      </w:r>
      <w:r>
        <w:rPr>
          <w:rStyle w:val="optioncarChar"/>
        </w:rPr>
        <w:t>A1 (exposé décoratif) / A2 (exposé)</w:t>
      </w:r>
      <w:r>
        <w:t> </w:t>
      </w:r>
      <w:r>
        <w:rPr>
          <w:rStyle w:val="optioncarChar"/>
        </w:rPr>
        <w:t>(par défaut)</w:t>
      </w:r>
      <w:r>
        <w:br/>
      </w:r>
      <w:r>
        <w:br/>
        <w:t>Résistance au gel suivant les classes d’application selon [NBN EN 1996-2 ANB] et [NIT 271].</w:t>
      </w:r>
      <w:r>
        <w:br/>
      </w:r>
      <w:r>
        <w:br/>
        <w:t>Réaction au feu :</w:t>
      </w:r>
      <w:r>
        <w:rPr>
          <w:rStyle w:val="optioncarChar"/>
        </w:rPr>
        <w:t xml:space="preserve"> A1 </w:t>
      </w:r>
      <w:r>
        <w:t>(par défaut)</w:t>
      </w:r>
      <w:r>
        <w:rPr>
          <w:rStyle w:val="optioncarChar"/>
        </w:rPr>
        <w:t xml:space="preserve"> / ***</w:t>
      </w:r>
    </w:p>
    <w:p w14:paraId="095801E8" w14:textId="77777777" w:rsidR="00DB2B68" w:rsidRDefault="00000000">
      <w:r>
        <w:br/>
      </w:r>
      <w:r>
        <w:br/>
      </w:r>
      <w:r>
        <w:rPr>
          <w:rStyle w:val="headingChar"/>
        </w:rPr>
        <w:t>Critères De Performances De La Paroi</w:t>
      </w:r>
    </w:p>
    <w:p w14:paraId="104DE7A4" w14:textId="77777777" w:rsidR="00DB2B68" w:rsidRDefault="00000000">
      <w:r>
        <w:t>Coefficient de transmission :</w:t>
      </w:r>
    </w:p>
    <w:p w14:paraId="17BC4790" w14:textId="77777777" w:rsidR="00DB2B68" w:rsidRDefault="00000000">
      <w:pPr>
        <w:pStyle w:val="Author-eListParagraph"/>
        <w:numPr>
          <w:ilvl w:val="0"/>
          <w:numId w:val="165"/>
        </w:numPr>
      </w:pPr>
      <w:r>
        <w:t xml:space="preserve">valeur U minimale de </w:t>
      </w:r>
      <w:r>
        <w:rPr>
          <w:rStyle w:val="optioncarChar"/>
        </w:rPr>
        <w:t>***</w:t>
      </w:r>
      <w:r>
        <w:t xml:space="preserve"> W/m²K</w:t>
      </w:r>
    </w:p>
    <w:p w14:paraId="2D120FA5" w14:textId="77777777" w:rsidR="00DB2B68" w:rsidRDefault="00000000">
      <w:pPr>
        <w:pStyle w:val="Author-eListParagraph"/>
        <w:numPr>
          <w:ilvl w:val="0"/>
          <w:numId w:val="16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8EEE67D" w14:textId="77777777" w:rsidR="00DB2B68" w:rsidRDefault="00000000">
      <w:r>
        <w:lastRenderedPageBreak/>
        <w:br/>
        <w:t xml:space="preserve">Résistance au feu : </w:t>
      </w:r>
      <w:r>
        <w:rPr>
          <w:rStyle w:val="optioncarChar"/>
        </w:rPr>
        <w:t>EI30 </w:t>
      </w:r>
      <w:r>
        <w:t xml:space="preserve">(par défaut) </w:t>
      </w:r>
      <w:r>
        <w:rPr>
          <w:rStyle w:val="optioncarChar"/>
        </w:rPr>
        <w:t>/ EI60 / EI90 / EI120 / EI***</w:t>
      </w:r>
    </w:p>
    <w:p w14:paraId="700D1011" w14:textId="77777777" w:rsidR="00DB2B68" w:rsidRDefault="00000000">
      <w:r>
        <w:t>selon les tableaux dans [NBN EN 1996-1-2 ANB].</w:t>
      </w:r>
    </w:p>
    <w:p w14:paraId="402E4108" w14:textId="77777777" w:rsidR="00DB2B68" w:rsidRDefault="00000000">
      <w:pPr>
        <w:ind w:left="750"/>
      </w:pPr>
      <w:r>
        <w:t> </w:t>
      </w:r>
    </w:p>
    <w:p w14:paraId="49819643" w14:textId="77777777" w:rsidR="00DB2B68" w:rsidRDefault="00000000">
      <w:pPr>
        <w:pStyle w:val="pheading"/>
      </w:pPr>
      <w:r>
        <w:t>- Finitions</w:t>
      </w:r>
    </w:p>
    <w:p w14:paraId="0B6E77B0" w14:textId="77777777" w:rsidR="00DB2B68" w:rsidRDefault="00000000">
      <w:pPr>
        <w:pStyle w:val="Author-eListParagraph"/>
        <w:numPr>
          <w:ilvl w:val="0"/>
          <w:numId w:val="166"/>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27F24B45" w14:textId="77777777" w:rsidR="00DB2B68" w:rsidRDefault="00000000">
      <w:pPr>
        <w:pStyle w:val="Author-eListParagraph"/>
        <w:numPr>
          <w:ilvl w:val="0"/>
          <w:numId w:val="166"/>
        </w:numPr>
      </w:pPr>
      <w:r>
        <w:t xml:space="preserve">Les murs suivants sont exécutés avec une face restant apparente : </w:t>
      </w:r>
      <w:r>
        <w:rPr>
          <w:rStyle w:val="optioncarChar"/>
        </w:rPr>
        <w:t>***</w:t>
      </w:r>
    </w:p>
    <w:p w14:paraId="153E4F9D" w14:textId="77777777" w:rsidR="00DB2B68" w:rsidRDefault="00000000">
      <w:pPr>
        <w:pStyle w:val="Author-eListParagraph"/>
        <w:numPr>
          <w:ilvl w:val="0"/>
          <w:numId w:val="166"/>
        </w:numPr>
      </w:pPr>
      <w:r>
        <w:t xml:space="preserve">Les murs suivants sont exécutés avec deux faces restant apparentes : </w:t>
      </w:r>
      <w:r>
        <w:rPr>
          <w:rStyle w:val="optioncarChar"/>
        </w:rPr>
        <w:t>***</w:t>
      </w:r>
    </w:p>
    <w:p w14:paraId="128100B2" w14:textId="77777777" w:rsidR="00DB2B68" w:rsidRDefault="00DB2B68"/>
    <w:p w14:paraId="7A046B27" w14:textId="77777777" w:rsidR="00DB2B68" w:rsidRDefault="00000000">
      <w:pPr>
        <w:pStyle w:val="pheading"/>
      </w:pPr>
      <w:r>
        <w:t>MESURAGE</w:t>
      </w:r>
    </w:p>
    <w:p w14:paraId="168FA3BE" w14:textId="77777777" w:rsidR="00DB2B68" w:rsidRDefault="00000000">
      <w:pPr>
        <w:pStyle w:val="pheading"/>
      </w:pPr>
      <w:r>
        <w:t>- unité de mesure:</w:t>
      </w:r>
    </w:p>
    <w:p w14:paraId="1F896B25" w14:textId="77777777" w:rsidR="00DB2B68" w:rsidRDefault="00000000">
      <w:r>
        <w:rPr>
          <w:rStyle w:val="optioncarChar"/>
        </w:rPr>
        <w:t>m³ </w:t>
      </w:r>
      <w:r>
        <w:t>(par défaut)</w:t>
      </w:r>
      <w:r>
        <w:rPr>
          <w:rStyle w:val="optioncarChar"/>
        </w:rPr>
        <w:t> / m²</w:t>
      </w:r>
    </w:p>
    <w:p w14:paraId="75E029FA" w14:textId="77777777" w:rsidR="00DB2B68" w:rsidRDefault="00000000">
      <w:r>
        <w:rPr>
          <w:b/>
        </w:rPr>
        <w:t>(soit par défaut)</w:t>
      </w:r>
    </w:p>
    <w:p w14:paraId="33B75D39" w14:textId="77777777" w:rsidR="00DB2B68" w:rsidRDefault="00000000">
      <w:r>
        <w:rPr>
          <w:rStyle w:val="soitChar"/>
        </w:rPr>
        <w:t>1. m³</w:t>
      </w:r>
    </w:p>
    <w:p w14:paraId="1C8021DC" w14:textId="77777777" w:rsidR="00DB2B68" w:rsidRDefault="00000000">
      <w:r>
        <w:rPr>
          <w:b/>
        </w:rPr>
        <w:t>(soit)</w:t>
      </w:r>
    </w:p>
    <w:p w14:paraId="7A9FB9B4" w14:textId="77777777" w:rsidR="00DB2B68" w:rsidRDefault="00000000">
      <w:r>
        <w:rPr>
          <w:rStyle w:val="soitChar"/>
        </w:rPr>
        <w:t>2. m²</w:t>
      </w:r>
    </w:p>
    <w:p w14:paraId="5CA424DA" w14:textId="77777777" w:rsidR="00DB2B68" w:rsidRDefault="00000000">
      <w:pPr>
        <w:pStyle w:val="pheading"/>
      </w:pPr>
      <w:r>
        <w:t>- code de mesurage:</w:t>
      </w:r>
    </w:p>
    <w:p w14:paraId="20269FC8"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4CC744E"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296941A"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5BC7306" w14:textId="77777777" w:rsidR="00DB2B68" w:rsidRDefault="00000000">
      <w:r>
        <w:br/>
      </w:r>
      <w:r>
        <w:rPr>
          <w:rStyle w:val="optioncarChar"/>
        </w:rPr>
        <w:t>Volume net </w:t>
      </w:r>
      <w:r>
        <w:t>(par défaut)</w:t>
      </w:r>
      <w:r>
        <w:rPr>
          <w:rStyle w:val="optioncarChar"/>
        </w:rPr>
        <w:t> / Surface nette</w:t>
      </w:r>
    </w:p>
    <w:p w14:paraId="39959541" w14:textId="77777777" w:rsidR="00DB2B68" w:rsidRDefault="00000000">
      <w:r>
        <w:rPr>
          <w:b/>
        </w:rPr>
        <w:t>(soit par défaut)</w:t>
      </w:r>
    </w:p>
    <w:p w14:paraId="3A8BC3EB" w14:textId="77777777" w:rsidR="00DB2B68"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EE7D807" w14:textId="77777777" w:rsidR="00DB2B68" w:rsidRDefault="00000000">
      <w:r>
        <w:rPr>
          <w:b/>
        </w:rPr>
        <w:t>(soit)</w:t>
      </w:r>
    </w:p>
    <w:p w14:paraId="3F574D39" w14:textId="77777777" w:rsidR="00DB2B68"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33A64E4" w14:textId="77777777" w:rsidR="00DB2B68" w:rsidRDefault="00000000">
      <w:pPr>
        <w:pStyle w:val="pheading"/>
      </w:pPr>
      <w:r>
        <w:t>- nature du marché:</w:t>
      </w:r>
    </w:p>
    <w:p w14:paraId="423D48DC" w14:textId="77777777" w:rsidR="00DB2B68" w:rsidRDefault="00000000">
      <w:r>
        <w:t>QF</w:t>
      </w:r>
    </w:p>
    <w:p w14:paraId="4420E515" w14:textId="77777777" w:rsidR="00DB2B68" w:rsidRDefault="00000000">
      <w:pPr>
        <w:pStyle w:val="Author-eSectionHeading4Numberless"/>
      </w:pPr>
      <w:bookmarkStart w:id="155" w:name="_Toc220495301"/>
      <w:r>
        <w:lastRenderedPageBreak/>
        <w:t>21.22 Maçonneries non portantes en blocs CCTB 01.02</w:t>
      </w:r>
      <w:bookmarkEnd w:id="155"/>
    </w:p>
    <w:p w14:paraId="3D012335" w14:textId="77777777" w:rsidR="00DB2B68" w:rsidRDefault="00000000">
      <w:pPr>
        <w:pStyle w:val="Author-eSectionHeading5Numberless"/>
      </w:pPr>
      <w:bookmarkStart w:id="156" w:name="459"/>
      <w:bookmarkStart w:id="157" w:name="_Toc220495302"/>
      <w:bookmarkEnd w:id="156"/>
      <w:r>
        <w:t>21.22.1 Maçonneries non portantes en blocs treillis de terre cuite CCTB 01.11</w:t>
      </w:r>
      <w:bookmarkEnd w:id="157"/>
    </w:p>
    <w:p w14:paraId="6FB07427" w14:textId="77777777" w:rsidR="00DB2B68" w:rsidRDefault="00000000">
      <w:pPr>
        <w:pStyle w:val="pheading"/>
      </w:pPr>
      <w:bookmarkStart w:id="158" w:name="387"/>
      <w:bookmarkEnd w:id="158"/>
      <w:r>
        <w:t>MATÉRIAUX</w:t>
      </w:r>
    </w:p>
    <w:p w14:paraId="5F64FC72" w14:textId="77777777" w:rsidR="00DB2B68" w:rsidRDefault="00000000">
      <w:r>
        <w:rPr>
          <w:color w:val="000000"/>
          <w:shd w:val="clear" w:color="auto" w:fill="FFFFFF"/>
        </w:rPr>
        <w:t xml:space="preserve">Eléments en terre cuite à utiliser : </w:t>
      </w:r>
      <w:r>
        <w:rPr>
          <w:rStyle w:val="optioncarChar"/>
          <w:color w:val="000000"/>
          <w:shd w:val="clear" w:color="auto" w:fill="FFFFFF"/>
        </w:rPr>
        <w:t>bloc U / bloc P</w:t>
      </w:r>
      <w:r>
        <w:rPr>
          <w:color w:val="000000"/>
          <w:shd w:val="clear" w:color="auto" w:fill="FFFFFF"/>
        </w:rPr>
        <w:t xml:space="preserve"> conformément à l'article </w:t>
      </w:r>
      <w:hyperlink w:anchor="295" w:history="1">
        <w:r>
          <w:rPr>
            <w:color w:val="0000EE"/>
            <w:shd w:val="clear" w:color="auto" w:fill="FFFFFF"/>
          </w:rPr>
          <w:t>21 Superstructures en maçonnerie</w:t>
        </w:r>
      </w:hyperlink>
      <w:r>
        <w:rPr>
          <w:color w:val="000000"/>
          <w:shd w:val="clear" w:color="auto" w:fill="FFFFFF"/>
        </w:rPr>
        <w:t xml:space="preserve"> Classification .</w:t>
      </w:r>
    </w:p>
    <w:p w14:paraId="40357A0E" w14:textId="77777777" w:rsidR="00DB2B68" w:rsidRDefault="00000000">
      <w:r>
        <w:t>Il s'agit des blocs treillis de construction en terre cuite, qui répondent à la norme [NBN EN 771-1+A1] et au [PTV 23-003]. L'entrepreneur soumet un échantillon, la fiche technique et la déclaration des performances (DoP) du matériau pour approbation à l'auteur de projet et au maître de l’ouvrage.</w:t>
      </w:r>
    </w:p>
    <w:p w14:paraId="5E98405A" w14:textId="77777777" w:rsidR="00DB2B68" w:rsidRDefault="00000000">
      <w:r>
        <w:t xml:space="preserve">Type : </w:t>
      </w:r>
      <w:r>
        <w:rPr>
          <w:rStyle w:val="optioncarChar"/>
        </w:rPr>
        <w:t>pressées </w:t>
      </w:r>
      <w:r>
        <w:t>(par défaut)</w:t>
      </w:r>
      <w:r>
        <w:rPr>
          <w:rStyle w:val="optioncarChar"/>
        </w:rPr>
        <w:t xml:space="preserve"> /perforées / étirées / isolantes / ***</w:t>
      </w:r>
    </w:p>
    <w:p w14:paraId="11E9B1A9" w14:textId="77777777" w:rsidR="00DB2B68" w:rsidRDefault="00000000">
      <w:r>
        <w:t>Conformément au mode de mise en œuvre, les blocs de construction en terre cuite sont maçonnés au mortier / collés à l’aide d’un mortier-colle selon les indications du fabricant de mortier et des notes de calcul du bureau d’études.</w:t>
      </w:r>
    </w:p>
    <w:p w14:paraId="4D5168A0" w14:textId="77777777" w:rsidR="00DB2B68" w:rsidRDefault="00000000">
      <w:r>
        <w:t xml:space="preserve">Le mortier à coller / à maçonner (selon la norme [NBN EN 998-2] et le règlement d’application [TRA 651] répond à la catégorie : </w:t>
      </w:r>
      <w:r>
        <w:rPr>
          <w:rStyle w:val="optioncarChar"/>
        </w:rPr>
        <w:t xml:space="preserve">M10 </w:t>
      </w:r>
      <w:r>
        <w:rPr>
          <w:rStyle w:val="optioncarChar"/>
          <w:color w:val="000000"/>
        </w:rPr>
        <w:t xml:space="preserve">﻿(par défaut) </w:t>
      </w:r>
      <w:r>
        <w:rPr>
          <w:rStyle w:val="optioncarChar"/>
        </w:rPr>
        <w:t>/ M15 / M20 / ***</w:t>
      </w:r>
    </w:p>
    <w:p w14:paraId="47279FDC" w14:textId="77777777" w:rsidR="00DB2B68" w:rsidRDefault="00000000">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356" w:history="1">
        <w:r>
          <w:rPr>
            <w:color w:val="0000EE"/>
          </w:rPr>
          <w:t>26.11 Feuilles et membranes d'étanchéité à l'eau</w:t>
        </w:r>
      </w:hyperlink>
      <w:r>
        <w:t>.</w:t>
      </w:r>
    </w:p>
    <w:p w14:paraId="562C9DAD" w14:textId="77777777" w:rsidR="00DB2B68" w:rsidRDefault="00000000">
      <w:pPr>
        <w:pStyle w:val="pheading"/>
      </w:pPr>
      <w:r>
        <w:t>EXÉCUTION / MISE EN ŒUVRE</w:t>
      </w:r>
    </w:p>
    <w:p w14:paraId="08A9DF20" w14:textId="77777777" w:rsidR="00DB2B68" w:rsidRDefault="00000000">
      <w:r>
        <w:rPr>
          <w:color w:val="000000"/>
          <w:u w:val="single"/>
          <w:shd w:val="clear" w:color="auto" w:fill="FFFFFF"/>
        </w:rPr>
        <w:t>- Notes d’exécution complémentaires</w:t>
      </w:r>
    </w:p>
    <w:p w14:paraId="77E189F7" w14:textId="77777777" w:rsidR="00DB2B68" w:rsidRDefault="00000000">
      <w:r>
        <w:t>Pour les maçonneries destinées à rester apparentes, seules des blocs treillis non endommagés sont utilisés.</w:t>
      </w:r>
    </w:p>
    <w:p w14:paraId="2276C38A"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413853E2"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28F6DB45"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2146BB90" w14:textId="77777777" w:rsidR="00DB2B68" w:rsidRDefault="00000000">
      <w:r>
        <w:t xml:space="preserve">Crochets de mur : </w:t>
      </w:r>
      <w:r>
        <w:rPr>
          <w:rStyle w:val="optioncarChar"/>
        </w:rPr>
        <w:t>acier inoxydable </w:t>
      </w:r>
      <w:r>
        <w:t>(par défaut)</w:t>
      </w:r>
      <w:r>
        <w:rPr>
          <w:rStyle w:val="optioncarChar"/>
        </w:rPr>
        <w:t xml:space="preserve"> / ***</w:t>
      </w:r>
      <w:r>
        <w:t xml:space="preserve"> , diamètre minimum </w:t>
      </w:r>
      <w:r>
        <w:rPr>
          <w:rStyle w:val="optioncarChar"/>
        </w:rPr>
        <w:t>3,5 </w:t>
      </w:r>
      <w:r>
        <w:t xml:space="preserve">(par défaut) </w:t>
      </w:r>
      <w:r>
        <w:rPr>
          <w:rStyle w:val="optioncarChar"/>
        </w:rPr>
        <w:t>/ ***</w:t>
      </w:r>
      <w:r>
        <w:t xml:space="preserve"> mm.</w:t>
      </w:r>
    </w:p>
    <w:p w14:paraId="31964075"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r>
        <w:t>.</w:t>
      </w:r>
    </w:p>
    <w:p w14:paraId="6C33845F" w14:textId="77777777" w:rsidR="00DB2B68" w:rsidRDefault="00000000">
      <w:pPr>
        <w:pStyle w:val="pheading"/>
      </w:pPr>
      <w:r>
        <w:t>AIDE</w:t>
      </w:r>
    </w:p>
    <w:p w14:paraId="0F6A0F60" w14:textId="77777777" w:rsidR="00DB2B68" w:rsidRDefault="00000000">
      <w:r>
        <w:t>Note à l'attention de l'auteur du projet : pour le choix adéquat du mortier, se référer à la [STS 22 série].</w:t>
      </w:r>
    </w:p>
    <w:p w14:paraId="72DC87D9" w14:textId="77777777" w:rsidR="00DB2B68" w:rsidRDefault="00000000">
      <w:pPr>
        <w:pStyle w:val="Author-eSectionHeading6Numberless"/>
      </w:pPr>
      <w:bookmarkStart w:id="159" w:name="_Toc220495303"/>
      <w:r>
        <w:t>21.22.1a Maçonneries non portantes en blocs treillis de terre cuite à maçonner CCTB 01.11</w:t>
      </w:r>
      <w:bookmarkEnd w:id="159"/>
    </w:p>
    <w:p w14:paraId="115495F5" w14:textId="77777777" w:rsidR="00DB2B68" w:rsidRDefault="00000000">
      <w:pPr>
        <w:pStyle w:val="pheading"/>
      </w:pPr>
      <w:r>
        <w:t>DESCRIPTION</w:t>
      </w:r>
    </w:p>
    <w:p w14:paraId="750990DF" w14:textId="77777777" w:rsidR="00DB2B68" w:rsidRDefault="00000000">
      <w:pPr>
        <w:pStyle w:val="pheading"/>
      </w:pPr>
      <w:r>
        <w:t>- Définition / Comprend</w:t>
      </w:r>
    </w:p>
    <w:p w14:paraId="0B07B60C" w14:textId="77777777" w:rsidR="00DB2B68" w:rsidRDefault="00000000">
      <w:r>
        <w:t xml:space="preserve">Il s’agit de la fourniture et la pose de maçonneries non portantes en blocs treillis de terre cuite à maçonner. </w:t>
      </w:r>
      <w:r>
        <w:br/>
        <w:t xml:space="preserve">La portée des travaux est décrite dans l’article </w:t>
      </w:r>
      <w:hyperlink w:anchor="387" w:history="1">
        <w:r>
          <w:rPr>
            <w:color w:val="0000EE"/>
          </w:rPr>
          <w:t>21.22.1 Maçonneries non portantes en blocs treillis de terre cuite</w:t>
        </w:r>
      </w:hyperlink>
      <w:r>
        <w:t>.</w:t>
      </w:r>
      <w:r>
        <w:br/>
        <w:t>Les travaux comprennent également la fourniture et la pose des pièces d’angle, de terminaison et de rencontre.</w:t>
      </w:r>
    </w:p>
    <w:p w14:paraId="41DFA7BA" w14:textId="77777777" w:rsidR="00DB2B68" w:rsidRDefault="00000000">
      <w:pPr>
        <w:pStyle w:val="pheading"/>
      </w:pPr>
      <w:r>
        <w:t>- Localisation</w:t>
      </w:r>
    </w:p>
    <w:p w14:paraId="3C325B58" w14:textId="77777777" w:rsidR="00DB2B68" w:rsidRDefault="00000000">
      <w:r>
        <w:lastRenderedPageBreak/>
        <w:t xml:space="preserve">La pose est réalisée aux endroits suivants : </w:t>
      </w:r>
      <w:r>
        <w:rPr>
          <w:rStyle w:val="optioncarChar"/>
        </w:rPr>
        <w:t>***</w:t>
      </w:r>
      <w:r>
        <w:t>.</w:t>
      </w:r>
      <w:r>
        <w:br/>
        <w:t>Voir plans et métrés détaillés.</w:t>
      </w:r>
    </w:p>
    <w:p w14:paraId="72E71176" w14:textId="77777777" w:rsidR="00DB2B68" w:rsidRDefault="00000000">
      <w:pPr>
        <w:pStyle w:val="pheading"/>
      </w:pPr>
      <w:r>
        <w:t>MATÉRIAUX</w:t>
      </w:r>
    </w:p>
    <w:p w14:paraId="2595DB8C" w14:textId="77777777" w:rsidR="00DB2B68" w:rsidRDefault="00000000">
      <w:pPr>
        <w:pStyle w:val="pheading"/>
      </w:pPr>
      <w:r>
        <w:t>- Caractéristiques générales</w:t>
      </w:r>
    </w:p>
    <w:p w14:paraId="0114511F" w14:textId="77777777" w:rsidR="00DB2B68" w:rsidRDefault="00000000">
      <w:r>
        <w:rPr>
          <w:rStyle w:val="headingChar"/>
        </w:rPr>
        <w:t>Spécifications</w:t>
      </w:r>
    </w:p>
    <w:p w14:paraId="0378BBC7" w14:textId="77777777" w:rsidR="00DB2B68" w:rsidRDefault="00000000">
      <w:r>
        <w:t>En ce qui concerne la déclaration de la résistance à la compression, les blocs treillis sont de catégorie I (la résistance à la compression est déclarée avec une fiabilité de 95%).</w:t>
      </w:r>
    </w:p>
    <w:p w14:paraId="49C86689" w14:textId="77777777" w:rsidR="00DB2B68" w:rsidRDefault="00000000">
      <w:r>
        <w:rPr>
          <w:color w:val="000000"/>
          <w:shd w:val="clear" w:color="auto" w:fill="FFFFFF"/>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w:t>
      </w:r>
      <w:r>
        <w:rPr>
          <w:rStyle w:val="optioncarChar"/>
          <w:shd w:val="clear" w:color="auto" w:fill="FFFFFF"/>
        </w:rPr>
        <w:t>/ normalisé (f</w:t>
      </w:r>
      <w:r>
        <w:rPr>
          <w:rStyle w:val="optioncarChar"/>
          <w:vertAlign w:val="subscript"/>
        </w:rPr>
        <w:t>b</w:t>
      </w:r>
      <w:r>
        <w:rPr>
          <w:rStyle w:val="optioncarChar"/>
          <w:shd w:val="clear" w:color="auto" w:fill="FFFFFF"/>
        </w:rPr>
        <w:t xml:space="preserve">) </w:t>
      </w:r>
      <w:r>
        <w:rPr>
          <w:rStyle w:val="normalChar"/>
          <w:color w:val="000000"/>
        </w:rPr>
        <w:t>selon l</w:t>
      </w:r>
      <w:r>
        <w:t>a [NBN EN 771-1+A1] ,</w:t>
      </w:r>
      <w:r>
        <w:rPr>
          <w:rStyle w:val="normalChar"/>
          <w:color w:val="000000"/>
        </w:rPr>
        <w:t xml:space="preserve"> la [NBN EN 772-1+A1]et la </w:t>
      </w:r>
      <w:r>
        <w:rPr>
          <w:rStyle w:val="optioncarChar"/>
        </w:rPr>
        <w:t>[NBN EN 1996 série]</w:t>
      </w:r>
      <w:r>
        <w:rPr>
          <w:color w:val="000000"/>
          <w:shd w:val="clear" w:color="auto" w:fill="FFFFFF"/>
        </w:rPr>
        <w:t xml:space="preserve"> est au minimum : </w:t>
      </w:r>
      <w:r>
        <w:rPr>
          <w:rStyle w:val="optioncarChar"/>
        </w:rPr>
        <w:t xml:space="preserve">10 </w:t>
      </w:r>
      <w:r>
        <w:rPr>
          <w:rStyle w:val="optioncarChar"/>
          <w:color w:val="000000"/>
        </w:rPr>
        <w:t xml:space="preserve">(par défaut) </w:t>
      </w:r>
      <w:r>
        <w:rPr>
          <w:rStyle w:val="optioncarChar"/>
        </w:rPr>
        <w:t>/ 15</w:t>
      </w:r>
      <w:r>
        <w:rPr>
          <w:color w:val="000000"/>
          <w:shd w:val="clear" w:color="auto" w:fill="FFFFFF"/>
        </w:rPr>
        <w:t> N/mm² (MPa).</w:t>
      </w:r>
    </w:p>
    <w:p w14:paraId="28125F4F" w14:textId="77777777" w:rsidR="00DB2B68" w:rsidRDefault="00000000">
      <w:r>
        <w:t>Le groupe de configuration suivant</w:t>
      </w:r>
      <w:r>
        <w:rPr>
          <w:color w:val="0000FF"/>
        </w:rPr>
        <w:t> [NBN EN 1996-1-1+A1 ANB]</w:t>
      </w:r>
      <w:r>
        <w:t xml:space="preserve">est : </w:t>
      </w:r>
      <w:r>
        <w:rPr>
          <w:rStyle w:val="optioncarChar"/>
        </w:rPr>
        <w:t>1 / 2 / 3 / 4.</w:t>
      </w:r>
      <w:r>
        <w:br/>
      </w:r>
      <w:r>
        <w:br/>
        <w:t xml:space="preserve">La masse volumique sèche apparente des blocs ρ (rho) est : </w:t>
      </w:r>
      <w:r>
        <w:rPr>
          <w:rStyle w:val="optioncarChar"/>
        </w:rPr>
        <w:t>850 </w:t>
      </w:r>
      <w:r>
        <w:t>(par défaut)</w:t>
      </w:r>
      <w:r>
        <w:rPr>
          <w:rStyle w:val="optioncarChar"/>
        </w:rPr>
        <w:t> / ***</w:t>
      </w:r>
      <w:r>
        <w:t> &lt; ρ &lt; </w:t>
      </w:r>
      <w:r>
        <w:rPr>
          <w:rStyle w:val="optioncarChar"/>
        </w:rPr>
        <w:t>925 </w:t>
      </w:r>
      <w:r>
        <w:t>(par défaut)</w:t>
      </w:r>
      <w:r>
        <w:rPr>
          <w:rStyle w:val="optioncarChar"/>
        </w:rPr>
        <w:t> / ***</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Face qui reste visible : lisse</w:t>
      </w:r>
      <w:r>
        <w:br/>
        <w:t xml:space="preserve">Face à cimenter ou plafonner : </w:t>
      </w:r>
      <w:r>
        <w:rPr>
          <w:rStyle w:val="optioncarChar"/>
        </w:rPr>
        <w:t>lisse</w:t>
      </w:r>
      <w:r>
        <w:t xml:space="preserve"> (par défaut)</w:t>
      </w:r>
      <w:r>
        <w:rPr>
          <w:rStyle w:val="optioncarChar"/>
        </w:rPr>
        <w:t xml:space="preserve"> / rainurée</w:t>
      </w:r>
      <w:r>
        <w:br/>
      </w:r>
      <w:r>
        <w:br/>
        <w:t xml:space="preserve">Teinte : </w:t>
      </w:r>
      <w:r>
        <w:rPr>
          <w:rStyle w:val="optioncarChar"/>
        </w:rPr>
        <w:t xml:space="preserve">blanc / rouge </w:t>
      </w:r>
      <w:r>
        <w:rPr>
          <w:rStyle w:val="optioncarChar"/>
          <w:color w:val="000000"/>
        </w:rPr>
        <w:t xml:space="preserve">(par défaut) </w:t>
      </w:r>
      <w:r>
        <w:rPr>
          <w:rStyle w:val="optioncarChar"/>
        </w:rPr>
        <w:t>/ gris / ***</w:t>
      </w:r>
      <w:r>
        <w:br/>
      </w:r>
      <w:r>
        <w:br/>
        <w:t xml:space="preserve">Format : (L x l x h) </w:t>
      </w:r>
      <w:r>
        <w:rPr>
          <w:rStyle w:val="optioncarChar"/>
        </w:rPr>
        <w:t>(500 x 100/140/190 x 135/185/250 mm) / format modulaire proposé par l'entrepreneur </w:t>
      </w:r>
      <w:r>
        <w:t xml:space="preserve">(par défaut) </w:t>
      </w:r>
      <w:r>
        <w:rPr>
          <w:rStyle w:val="optioncarChar"/>
        </w:rPr>
        <w:t>/ ***</w:t>
      </w:r>
    </w:p>
    <w:p w14:paraId="63DF2380" w14:textId="77777777" w:rsidR="00DB2B68" w:rsidRDefault="00000000">
      <w:r>
        <w:t>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14:paraId="0261E27C" w14:textId="77777777" w:rsidR="00DB2B68" w:rsidRDefault="00000000">
      <w:r>
        <w:t>Résistance au gel suivant les classes d’application MX… selon [NBN EN 1996-1-2 ANB] et [NIT 271].</w:t>
      </w:r>
      <w:r>
        <w:br/>
      </w:r>
      <w:r>
        <w:br/>
        <w:t xml:space="preserve">Réaction au feu : </w:t>
      </w:r>
      <w:r>
        <w:rPr>
          <w:rStyle w:val="optioncarChar"/>
        </w:rPr>
        <w:t>A1</w:t>
      </w:r>
      <w:r>
        <w:t xml:space="preserve"> (par défaut) </w:t>
      </w:r>
      <w:r>
        <w:rPr>
          <w:rStyle w:val="optioncarChar"/>
        </w:rPr>
        <w:t>/ ***</w:t>
      </w:r>
      <w:r>
        <w:br/>
      </w:r>
      <w:r>
        <w:br/>
      </w:r>
      <w:r>
        <w:br/>
      </w:r>
      <w:r>
        <w:rPr>
          <w:rStyle w:val="headingChar"/>
        </w:rPr>
        <w:t>Critères De Performances De La Paroi</w:t>
      </w:r>
    </w:p>
    <w:p w14:paraId="003A61A1" w14:textId="77777777" w:rsidR="00DB2B68" w:rsidRDefault="00000000">
      <w:r>
        <w:t>Coefficient de transmission :</w:t>
      </w:r>
    </w:p>
    <w:p w14:paraId="5AC001E8" w14:textId="77777777" w:rsidR="00DB2B68" w:rsidRDefault="00000000">
      <w:pPr>
        <w:pStyle w:val="Author-eListParagraph"/>
        <w:numPr>
          <w:ilvl w:val="0"/>
          <w:numId w:val="167"/>
        </w:numPr>
      </w:pPr>
      <w:r>
        <w:t xml:space="preserve">valeur U minimale de </w:t>
      </w:r>
      <w:r>
        <w:rPr>
          <w:rStyle w:val="optioncarChar"/>
        </w:rPr>
        <w:t>***</w:t>
      </w:r>
      <w:r>
        <w:t xml:space="preserve"> W/m²K</w:t>
      </w:r>
    </w:p>
    <w:p w14:paraId="1315F666" w14:textId="77777777" w:rsidR="00DB2B68" w:rsidRDefault="00000000">
      <w:pPr>
        <w:pStyle w:val="Author-eListParagraph"/>
        <w:numPr>
          <w:ilvl w:val="0"/>
          <w:numId w:val="167"/>
        </w:numPr>
      </w:pPr>
      <w:r>
        <w:t>valeur λ</w:t>
      </w:r>
      <w:r>
        <w:rPr>
          <w:vertAlign w:val="subscript"/>
        </w:rPr>
        <w:t>Ui</w:t>
      </w:r>
      <w:r>
        <w:t xml:space="preserve"> ou λ</w:t>
      </w:r>
      <w:r>
        <w:rPr>
          <w:vertAlign w:val="subscript"/>
        </w:rPr>
        <w:t>Ue</w:t>
      </w:r>
      <w:r>
        <w:t xml:space="preserve"> maximum </w:t>
      </w:r>
      <w:r>
        <w:rPr>
          <w:rStyle w:val="optioncarChar"/>
        </w:rPr>
        <w:t>0.26 / 0.29</w:t>
      </w:r>
      <w:r>
        <w:t> W/mK (suivant l’application).</w:t>
      </w:r>
    </w:p>
    <w:p w14:paraId="4C9A5775" w14:textId="77777777" w:rsidR="00DB2B68" w:rsidRDefault="00000000">
      <w:r>
        <w:br/>
        <w:t xml:space="preserve">Résistance au feu : </w:t>
      </w:r>
      <w:r>
        <w:rPr>
          <w:rStyle w:val="optioncarChar"/>
        </w:rPr>
        <w:t>EI30</w:t>
      </w:r>
      <w:r>
        <w:t xml:space="preserve"> (par défaut) </w:t>
      </w:r>
      <w:r>
        <w:rPr>
          <w:rStyle w:val="optioncarChar"/>
        </w:rPr>
        <w:t>/ EI60 / EI90 / EI120 / EI***</w:t>
      </w:r>
    </w:p>
    <w:p w14:paraId="581A0A61" w14:textId="77777777" w:rsidR="00DB2B68" w:rsidRDefault="00000000">
      <w:r>
        <w:t>selon la norme [NBN EN 1996-1-2 ANB].</w:t>
      </w:r>
    </w:p>
    <w:p w14:paraId="7A0D1422" w14:textId="77777777" w:rsidR="00DB2B68" w:rsidRDefault="00000000">
      <w:pPr>
        <w:pStyle w:val="pheading"/>
      </w:pPr>
      <w:r>
        <w:t>- Finitions</w:t>
      </w:r>
    </w:p>
    <w:p w14:paraId="62CA67F1" w14:textId="77777777" w:rsidR="00DB2B68" w:rsidRDefault="00000000">
      <w:pPr>
        <w:pStyle w:val="Author-eListParagraph"/>
        <w:numPr>
          <w:ilvl w:val="0"/>
          <w:numId w:val="168"/>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0A0271AE" w14:textId="77777777" w:rsidR="00DB2B68" w:rsidRDefault="00000000">
      <w:pPr>
        <w:pStyle w:val="Author-eListParagraph"/>
        <w:numPr>
          <w:ilvl w:val="0"/>
          <w:numId w:val="168"/>
        </w:numPr>
      </w:pPr>
      <w:r>
        <w:t xml:space="preserve">Les murs suivants sont exécutés avec une face restant apparente : </w:t>
      </w:r>
      <w:r>
        <w:rPr>
          <w:rStyle w:val="optioncarChar"/>
        </w:rPr>
        <w:t>***</w:t>
      </w:r>
    </w:p>
    <w:p w14:paraId="1ACFCD9F" w14:textId="77777777" w:rsidR="00DB2B68" w:rsidRDefault="00000000">
      <w:pPr>
        <w:pStyle w:val="Author-eListParagraph"/>
        <w:numPr>
          <w:ilvl w:val="0"/>
          <w:numId w:val="168"/>
        </w:numPr>
      </w:pPr>
      <w:r>
        <w:t xml:space="preserve">Les murs suivants sont exécutés avec deux faces restant apparentes : </w:t>
      </w:r>
      <w:r>
        <w:rPr>
          <w:rStyle w:val="optioncarChar"/>
        </w:rPr>
        <w:t>***</w:t>
      </w:r>
    </w:p>
    <w:p w14:paraId="31100316" w14:textId="77777777" w:rsidR="00DB2B68" w:rsidRDefault="00000000">
      <w:pPr>
        <w:pStyle w:val="pheading"/>
      </w:pPr>
      <w:r>
        <w:lastRenderedPageBreak/>
        <w:t>MESURAGE</w:t>
      </w:r>
    </w:p>
    <w:p w14:paraId="4E5330EB" w14:textId="77777777" w:rsidR="00DB2B68" w:rsidRDefault="00000000">
      <w:pPr>
        <w:pStyle w:val="pheading"/>
      </w:pPr>
      <w:r>
        <w:t>- unité de mesure:</w:t>
      </w:r>
    </w:p>
    <w:p w14:paraId="68887D9D" w14:textId="77777777" w:rsidR="00DB2B68" w:rsidRDefault="00000000">
      <w:r>
        <w:rPr>
          <w:rStyle w:val="optioncarChar"/>
        </w:rPr>
        <w:t>m³ </w:t>
      </w:r>
      <w:r>
        <w:t>(par défaut)</w:t>
      </w:r>
      <w:r>
        <w:rPr>
          <w:rStyle w:val="optioncarChar"/>
        </w:rPr>
        <w:t> / m²</w:t>
      </w:r>
    </w:p>
    <w:p w14:paraId="5747CC7F" w14:textId="77777777" w:rsidR="00DB2B68" w:rsidRDefault="00000000">
      <w:r>
        <w:rPr>
          <w:b/>
        </w:rPr>
        <w:t>(soit par défaut)</w:t>
      </w:r>
    </w:p>
    <w:p w14:paraId="787D0384" w14:textId="77777777" w:rsidR="00DB2B68" w:rsidRDefault="00000000">
      <w:r>
        <w:rPr>
          <w:rStyle w:val="soitChar"/>
        </w:rPr>
        <w:t>1. m³</w:t>
      </w:r>
    </w:p>
    <w:p w14:paraId="6EFCE7EB" w14:textId="77777777" w:rsidR="00DB2B68" w:rsidRDefault="00000000">
      <w:r>
        <w:rPr>
          <w:b/>
        </w:rPr>
        <w:t>(soit)</w:t>
      </w:r>
    </w:p>
    <w:p w14:paraId="775A2412" w14:textId="77777777" w:rsidR="00DB2B68" w:rsidRDefault="00000000">
      <w:r>
        <w:rPr>
          <w:rStyle w:val="soitChar"/>
        </w:rPr>
        <w:t>2. m²</w:t>
      </w:r>
    </w:p>
    <w:p w14:paraId="5826B090" w14:textId="77777777" w:rsidR="00DB2B68" w:rsidRDefault="00000000">
      <w:pPr>
        <w:pStyle w:val="pheading"/>
      </w:pPr>
      <w:r>
        <w:t>- code de mesurage:</w:t>
      </w:r>
    </w:p>
    <w:p w14:paraId="5F505F0D"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95B4E4A"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ED73B2F"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2064CCC" w14:textId="77777777" w:rsidR="00DB2B68" w:rsidRDefault="00000000">
      <w:r>
        <w:rPr>
          <w:rStyle w:val="optioncarChar"/>
        </w:rPr>
        <w:t>Volume net </w:t>
      </w:r>
      <w:r>
        <w:t>(par défaut)</w:t>
      </w:r>
      <w:r>
        <w:rPr>
          <w:rStyle w:val="optioncarChar"/>
        </w:rPr>
        <w:t> / Surface nette</w:t>
      </w:r>
    </w:p>
    <w:p w14:paraId="16BCF5F8" w14:textId="77777777" w:rsidR="00DB2B68" w:rsidRDefault="00000000">
      <w:r>
        <w:rPr>
          <w:b/>
        </w:rPr>
        <w:t>(soit par défaut)</w:t>
      </w:r>
    </w:p>
    <w:p w14:paraId="6A34E5FC"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A67EBE9" w14:textId="77777777" w:rsidR="00DB2B68" w:rsidRDefault="00000000">
      <w:r>
        <w:rPr>
          <w:b/>
        </w:rPr>
        <w:t>(soit)</w:t>
      </w:r>
    </w:p>
    <w:p w14:paraId="4FD20AAF"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7F0A887" w14:textId="77777777" w:rsidR="00DB2B68" w:rsidRDefault="00000000">
      <w:pPr>
        <w:ind w:left="750"/>
      </w:pPr>
      <w:r>
        <w:t> </w:t>
      </w:r>
    </w:p>
    <w:p w14:paraId="767E0B6C" w14:textId="77777777" w:rsidR="00DB2B68" w:rsidRDefault="00000000">
      <w:pPr>
        <w:pStyle w:val="pheading"/>
      </w:pPr>
      <w:r>
        <w:t>- nature du marché:</w:t>
      </w:r>
    </w:p>
    <w:p w14:paraId="5C8919E8" w14:textId="77777777" w:rsidR="00DB2B68" w:rsidRDefault="00000000">
      <w:r>
        <w:t>QF</w:t>
      </w:r>
    </w:p>
    <w:p w14:paraId="12B3B3DF" w14:textId="77777777" w:rsidR="00DB2B68" w:rsidRDefault="00000000">
      <w:pPr>
        <w:pStyle w:val="Author-eSectionHeading6Numberless"/>
      </w:pPr>
      <w:bookmarkStart w:id="160" w:name="_Toc220495304"/>
      <w:r>
        <w:t>21.22.1b Maçonneries non portantes en blocs treillis de terre cuite à coller CCTB 01.12</w:t>
      </w:r>
      <w:bookmarkEnd w:id="160"/>
    </w:p>
    <w:p w14:paraId="13083CA5" w14:textId="77777777" w:rsidR="00DB2B68" w:rsidRDefault="00000000">
      <w:pPr>
        <w:pStyle w:val="pheading"/>
      </w:pPr>
      <w:bookmarkStart w:id="161" w:name="388"/>
      <w:bookmarkEnd w:id="161"/>
      <w:r>
        <w:t>DESCRIPTION</w:t>
      </w:r>
    </w:p>
    <w:p w14:paraId="3E0B361F" w14:textId="77777777" w:rsidR="00DB2B68" w:rsidRDefault="00000000">
      <w:pPr>
        <w:pStyle w:val="pheading"/>
      </w:pPr>
      <w:r>
        <w:t>- Définition / Comprend</w:t>
      </w:r>
    </w:p>
    <w:p w14:paraId="4F28153C" w14:textId="77777777" w:rsidR="00DB2B68" w:rsidRDefault="00000000">
      <w:r>
        <w:t xml:space="preserve">Il s’agit de la fourniture et la pose de maçonneries non portantes en blocs treillis de terre cuite à coller. </w:t>
      </w:r>
      <w:r>
        <w:br/>
        <w:t xml:space="preserve">La portée des travaux est décrite dans l’article </w:t>
      </w:r>
      <w:hyperlink w:anchor="388" w:history="1">
        <w:r>
          <w:rPr>
            <w:color w:val="0000EE"/>
          </w:rPr>
          <w:t>21.22.1b Maçonneries non portantes en blocs treillis de terre cuite à coller</w:t>
        </w:r>
      </w:hyperlink>
      <w:r>
        <w:t>.</w:t>
      </w:r>
      <w:r>
        <w:br/>
        <w:t>Les travaux comprennent également la fourniture et la pose des pièces d’angle, de terminaison et de rencontre.</w:t>
      </w:r>
    </w:p>
    <w:p w14:paraId="4FC36DB2" w14:textId="77777777" w:rsidR="00DB2B68" w:rsidRDefault="00000000">
      <w:pPr>
        <w:pStyle w:val="pheading"/>
      </w:pPr>
      <w:r>
        <w:t>- Localisation</w:t>
      </w:r>
    </w:p>
    <w:p w14:paraId="175429C5" w14:textId="77777777" w:rsidR="00DB2B68" w:rsidRDefault="00000000">
      <w:r>
        <w:lastRenderedPageBreak/>
        <w:t xml:space="preserve">La pose est réalisée aux endroits suivants : </w:t>
      </w:r>
      <w:r>
        <w:rPr>
          <w:rStyle w:val="optioncarChar"/>
        </w:rPr>
        <w:t>***</w:t>
      </w:r>
      <w:r>
        <w:t>.</w:t>
      </w:r>
      <w:r>
        <w:br/>
        <w:t>Voir plans et métrés détaillés.</w:t>
      </w:r>
    </w:p>
    <w:p w14:paraId="12D337D2" w14:textId="77777777" w:rsidR="00DB2B68" w:rsidRDefault="00000000">
      <w:pPr>
        <w:pStyle w:val="pheading"/>
      </w:pPr>
      <w:r>
        <w:t>MATÉRIAUX</w:t>
      </w:r>
    </w:p>
    <w:p w14:paraId="4C11312E" w14:textId="77777777" w:rsidR="00DB2B68" w:rsidRDefault="00000000">
      <w:pPr>
        <w:pStyle w:val="pheading"/>
      </w:pPr>
      <w:r>
        <w:t>- Caractéristiques générales</w:t>
      </w:r>
    </w:p>
    <w:p w14:paraId="4A988CE6" w14:textId="77777777" w:rsidR="00DB2B68" w:rsidRDefault="00000000">
      <w:r>
        <w:rPr>
          <w:rStyle w:val="headingChar"/>
        </w:rPr>
        <w:t>Spécifications</w:t>
      </w:r>
    </w:p>
    <w:p w14:paraId="59622F91" w14:textId="77777777" w:rsidR="00DB2B68" w:rsidRDefault="00000000">
      <w:r>
        <w:t>En ce qui concerne la déclaration de la résistance à la compression, les blocs treillis sont de catégorie I (la résistance à la compression est déclarée avec une fiabilité de 95%).</w:t>
      </w:r>
      <w:r>
        <w:br/>
      </w:r>
      <w:r>
        <w:br/>
      </w:r>
      <w:r>
        <w:rPr>
          <w:color w:val="000000"/>
          <w:shd w:val="clear" w:color="auto" w:fill="FFFFFF"/>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w:t>
      </w:r>
      <w:r>
        <w:rPr>
          <w:rStyle w:val="optioncarChar"/>
          <w:shd w:val="clear" w:color="auto" w:fill="FFFFFF"/>
        </w:rPr>
        <w:t>/ normalisé (f</w:t>
      </w:r>
      <w:r>
        <w:rPr>
          <w:rStyle w:val="optioncarChar"/>
          <w:vertAlign w:val="subscript"/>
        </w:rPr>
        <w:t>b</w:t>
      </w:r>
      <w:r>
        <w:rPr>
          <w:rStyle w:val="optioncarChar"/>
          <w:shd w:val="clear" w:color="auto" w:fill="FFFFFF"/>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shd w:val="clear" w:color="auto" w:fill="FFFFFF"/>
        </w:rPr>
        <w:t xml:space="preserve"> est au minimum : </w:t>
      </w:r>
      <w:r>
        <w:rPr>
          <w:rStyle w:val="optioncarChar"/>
        </w:rPr>
        <w:t xml:space="preserve">10 </w:t>
      </w:r>
      <w:r>
        <w:rPr>
          <w:rStyle w:val="optioncarChar"/>
          <w:color w:val="000000"/>
        </w:rPr>
        <w:t xml:space="preserve">(par défaut) </w:t>
      </w:r>
      <w:r>
        <w:rPr>
          <w:rStyle w:val="optioncarChar"/>
        </w:rPr>
        <w:t>/ 15</w:t>
      </w:r>
      <w:r>
        <w:rPr>
          <w:color w:val="000000"/>
          <w:shd w:val="clear" w:color="auto" w:fill="FFFFFF"/>
        </w:rPr>
        <w:t> N/mm² (MPa).</w:t>
      </w:r>
      <w:r>
        <w:t> </w:t>
      </w:r>
      <w:r>
        <w:br/>
      </w:r>
      <w:r>
        <w:br/>
        <w:t xml:space="preserve">Le groupe de configuration suivant [NBN EN 1996-1-1+A1 ANB] est : </w:t>
      </w:r>
      <w:r>
        <w:rPr>
          <w:rStyle w:val="optioncarChar"/>
        </w:rPr>
        <w:t>1 / 2 / 3 / 4</w:t>
      </w:r>
      <w:r>
        <w:br/>
      </w:r>
      <w:r>
        <w:br/>
        <w:t xml:space="preserve">La masse volumique sèche apparente des blocs ρ (rho) est : </w:t>
      </w:r>
      <w:r>
        <w:rPr>
          <w:rStyle w:val="optioncarChar"/>
        </w:rPr>
        <w:t xml:space="preserve">850 </w:t>
      </w:r>
      <w:r>
        <w:t>(par défaut)</w:t>
      </w:r>
      <w:r>
        <w:rPr>
          <w:rStyle w:val="optioncarChar"/>
        </w:rPr>
        <w:t xml:space="preserve"> / ***</w:t>
      </w:r>
      <w:r>
        <w:t xml:space="preserve"> &lt; ρ &lt; </w:t>
      </w:r>
      <w:r>
        <w:rPr>
          <w:rStyle w:val="optioncarChar"/>
        </w:rPr>
        <w:t xml:space="preserve">925 </w:t>
      </w:r>
      <w:r>
        <w:t>(par défaut)</w:t>
      </w:r>
      <w:r>
        <w:rPr>
          <w:rStyle w:val="optioncarChar"/>
        </w:rPr>
        <w:t xml:space="preserve"> / ***</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tenon et mortaise</w:t>
      </w:r>
      <w:r>
        <w:br/>
        <w:t>Face qui reste visible : lisse</w:t>
      </w:r>
      <w:r>
        <w:br/>
        <w:t xml:space="preserve">Face à cimenter ou plafonner : </w:t>
      </w:r>
      <w:r>
        <w:rPr>
          <w:rStyle w:val="optioncarChar"/>
        </w:rPr>
        <w:t xml:space="preserve">lisse </w:t>
      </w:r>
      <w:r>
        <w:t>(par défaut)</w:t>
      </w:r>
      <w:r>
        <w:rPr>
          <w:rStyle w:val="optioncarChar"/>
        </w:rPr>
        <w:t> / rainurée</w:t>
      </w:r>
      <w:r>
        <w:br/>
      </w:r>
      <w:r>
        <w:br/>
        <w:t xml:space="preserve">Teinte : </w:t>
      </w:r>
      <w:r>
        <w:rPr>
          <w:rStyle w:val="optioncarChar"/>
        </w:rPr>
        <w:t xml:space="preserve">blanc / rouge </w:t>
      </w:r>
      <w:r>
        <w:t>(par défaut) </w:t>
      </w:r>
      <w:r>
        <w:rPr>
          <w:rStyle w:val="optioncarChar"/>
        </w:rPr>
        <w:t>/ gris / ***</w:t>
      </w:r>
      <w:r>
        <w:br/>
      </w:r>
      <w:r>
        <w:br/>
        <w:t xml:space="preserve">Format : (L x l x h) </w:t>
      </w:r>
      <w:r>
        <w:rPr>
          <w:rStyle w:val="optioncarChar"/>
        </w:rPr>
        <w:t>(500 x 100/140/190 x 135/185/250 mm) </w:t>
      </w:r>
      <w:r>
        <w:t>mm</w:t>
      </w:r>
      <w:r>
        <w:rPr>
          <w:rStyle w:val="optioncarChar"/>
        </w:rPr>
        <w:t xml:space="preserve"> / format modulaire proposé par l'entrepreneur </w:t>
      </w:r>
      <w:r>
        <w:t>(par défaut)</w:t>
      </w:r>
    </w:p>
    <w:p w14:paraId="26C7A99D" w14:textId="77777777" w:rsidR="00DB2B68" w:rsidRDefault="00000000">
      <w:r>
        <w:t xml:space="preserve">Tolérances dimensionnelles : </w:t>
      </w:r>
      <w:r>
        <w:br/>
        <w:t xml:space="preserve">Tolérances de la valeur moyenne : </w:t>
      </w:r>
      <w:r>
        <w:rPr>
          <w:rStyle w:val="optioncarChar"/>
        </w:rPr>
        <w:t>T1 / T1+ / T2 / T2+ / Tm / ***</w:t>
      </w:r>
      <w:r>
        <w:br/>
      </w:r>
      <w:r>
        <w:rPr>
          <w:rStyle w:val="normalChar"/>
        </w:rPr>
        <w:t>Plage :</w:t>
      </w:r>
      <w:r>
        <w:rPr>
          <w:rStyle w:val="optioncarChar"/>
        </w:rPr>
        <w:t xml:space="preserve"> R1 / R1+ / R2 / R2+ / Rm / ***</w:t>
      </w:r>
      <w:r>
        <w:br/>
      </w:r>
      <w:r>
        <w:br/>
      </w:r>
      <w:r>
        <w:br/>
        <w:t>Taux initial d’absorption d’eau : classe</w:t>
      </w:r>
      <w:r>
        <w:rPr>
          <w:rStyle w:val="optioncarChar"/>
        </w:rPr>
        <w:t xml:space="preserve"> IW1 / IW2 / IW3 / IW4</w:t>
      </w:r>
    </w:p>
    <w:p w14:paraId="54C2C101" w14:textId="77777777" w:rsidR="00DB2B68" w:rsidRDefault="00000000">
      <w:r>
        <w:t xml:space="preserve">Résistance au gel suivant les classes d’application MX… selon [NBN EN 1996-2 ANB] et [NIT 271]. </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4E731C74" w14:textId="77777777" w:rsidR="00DB2B68" w:rsidRDefault="00000000">
      <w:r>
        <w:t>Coefficient de transmission :</w:t>
      </w:r>
    </w:p>
    <w:p w14:paraId="311766DB" w14:textId="77777777" w:rsidR="00DB2B68" w:rsidRDefault="00000000">
      <w:pPr>
        <w:pStyle w:val="Author-eListParagraph"/>
        <w:numPr>
          <w:ilvl w:val="0"/>
          <w:numId w:val="169"/>
        </w:numPr>
      </w:pPr>
      <w:r>
        <w:t xml:space="preserve">valeur U minimale de </w:t>
      </w:r>
      <w:r>
        <w:rPr>
          <w:rStyle w:val="optioncarChar"/>
        </w:rPr>
        <w:t>***</w:t>
      </w:r>
      <w:r>
        <w:t xml:space="preserve"> W/m²K</w:t>
      </w:r>
    </w:p>
    <w:p w14:paraId="69D1BBCB" w14:textId="77777777" w:rsidR="00DB2B68" w:rsidRDefault="00000000">
      <w:pPr>
        <w:pStyle w:val="Author-eListParagraph"/>
        <w:numPr>
          <w:ilvl w:val="0"/>
          <w:numId w:val="169"/>
        </w:numPr>
      </w:pPr>
      <w:r>
        <w:t>valeur λ</w:t>
      </w:r>
      <w:r>
        <w:rPr>
          <w:vertAlign w:val="subscript"/>
        </w:rPr>
        <w:t>Ui</w:t>
      </w:r>
      <w:r>
        <w:t xml:space="preserve"> ou λ</w:t>
      </w:r>
      <w:r>
        <w:rPr>
          <w:vertAlign w:val="subscript"/>
        </w:rPr>
        <w:t>Ue</w:t>
      </w:r>
      <w:r>
        <w:t xml:space="preserve"> maximum </w:t>
      </w:r>
      <w:r>
        <w:rPr>
          <w:rStyle w:val="optioncarChar"/>
        </w:rPr>
        <w:t>0,26 / 0,29</w:t>
      </w:r>
      <w:r>
        <w:t> W/mK (suivant l’application).</w:t>
      </w:r>
    </w:p>
    <w:p w14:paraId="2E1E4B97" w14:textId="77777777" w:rsidR="00DB2B68" w:rsidRDefault="00000000">
      <w:r>
        <w:br/>
        <w:t xml:space="preserve">Résistance au feu : </w:t>
      </w:r>
      <w:r>
        <w:rPr>
          <w:rStyle w:val="optioncarChar"/>
        </w:rPr>
        <w:t>EI30 </w:t>
      </w:r>
      <w:r>
        <w:t>(par défaut)</w:t>
      </w:r>
      <w:r>
        <w:rPr>
          <w:rStyle w:val="optioncarChar"/>
        </w:rPr>
        <w:t xml:space="preserve"> / EI60 / EI90 / EI120 / EI*** </w:t>
      </w:r>
    </w:p>
    <w:p w14:paraId="5B46A876" w14:textId="77777777" w:rsidR="00DB2B68" w:rsidRDefault="00000000">
      <w:r>
        <w:t>selon la norme [NBN EN 1996-1-2 ANB].</w:t>
      </w:r>
    </w:p>
    <w:p w14:paraId="40B99115" w14:textId="77777777" w:rsidR="00DB2B68" w:rsidRDefault="00000000">
      <w:pPr>
        <w:ind w:left="750"/>
      </w:pPr>
      <w:r>
        <w:t> </w:t>
      </w:r>
    </w:p>
    <w:p w14:paraId="29FFA0C8" w14:textId="77777777" w:rsidR="00DB2B68" w:rsidRDefault="00000000">
      <w:pPr>
        <w:ind w:left="750"/>
      </w:pPr>
      <w:r>
        <w:t> </w:t>
      </w:r>
    </w:p>
    <w:p w14:paraId="4EC7DD71" w14:textId="77777777" w:rsidR="00DB2B68" w:rsidRDefault="00000000">
      <w:pPr>
        <w:pStyle w:val="pheading"/>
      </w:pPr>
      <w:r>
        <w:t>- Finitions</w:t>
      </w:r>
    </w:p>
    <w:p w14:paraId="64870826" w14:textId="77777777" w:rsidR="00DB2B68" w:rsidRDefault="00000000">
      <w:r>
        <w:lastRenderedPageBreak/>
        <w:t xml:space="preserve">Les faces de murs suivantes sont exécutées comme maçonneries apparentes et sont </w:t>
      </w:r>
      <w:r>
        <w:rPr>
          <w:rStyle w:val="optioncarChar"/>
        </w:rPr>
        <w:t xml:space="preserve">rejointoyées en cours d'élévation </w:t>
      </w:r>
      <w:r>
        <w:t>(par défaut) </w:t>
      </w:r>
      <w:r>
        <w:rPr>
          <w:rStyle w:val="optioncarChar"/>
        </w:rPr>
        <w:t>/ rejointoyées par après / ***</w:t>
      </w:r>
      <w:r>
        <w:t xml:space="preserve"> selon l'article </w:t>
      </w:r>
      <w:hyperlink w:anchor="346" w:history="1">
        <w:r>
          <w:rPr>
            <w:color w:val="0000EE"/>
          </w:rPr>
          <w:t>21.61.1b 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p>
    <w:p w14:paraId="2B507A50" w14:textId="77777777" w:rsidR="00DB2B68" w:rsidRDefault="00000000">
      <w:pPr>
        <w:pStyle w:val="pheading"/>
      </w:pPr>
      <w:r>
        <w:t>MESURAGE</w:t>
      </w:r>
    </w:p>
    <w:p w14:paraId="4971271A" w14:textId="77777777" w:rsidR="00DB2B68" w:rsidRDefault="00000000">
      <w:pPr>
        <w:pStyle w:val="pheading"/>
      </w:pPr>
      <w:r>
        <w:t>- unité de mesure:</w:t>
      </w:r>
    </w:p>
    <w:p w14:paraId="14F5FAB2" w14:textId="77777777" w:rsidR="00DB2B68" w:rsidRDefault="00000000">
      <w:r>
        <w:rPr>
          <w:rStyle w:val="optioncarChar"/>
        </w:rPr>
        <w:t>m³ </w:t>
      </w:r>
      <w:r>
        <w:t>(par défaut)</w:t>
      </w:r>
      <w:r>
        <w:rPr>
          <w:rStyle w:val="optioncarChar"/>
        </w:rPr>
        <w:t> / m²</w:t>
      </w:r>
    </w:p>
    <w:p w14:paraId="3B9F47DF" w14:textId="77777777" w:rsidR="00DB2B68" w:rsidRDefault="00000000">
      <w:r>
        <w:rPr>
          <w:b/>
        </w:rPr>
        <w:t>(soit par défaut)</w:t>
      </w:r>
    </w:p>
    <w:p w14:paraId="6894FB3E" w14:textId="77777777" w:rsidR="00DB2B68" w:rsidRDefault="00000000">
      <w:r>
        <w:rPr>
          <w:rStyle w:val="soitChar"/>
        </w:rPr>
        <w:t>1. m³</w:t>
      </w:r>
    </w:p>
    <w:p w14:paraId="3677736F" w14:textId="77777777" w:rsidR="00DB2B68" w:rsidRDefault="00000000">
      <w:r>
        <w:rPr>
          <w:b/>
        </w:rPr>
        <w:t>(soit)</w:t>
      </w:r>
    </w:p>
    <w:p w14:paraId="1F94311C" w14:textId="77777777" w:rsidR="00DB2B68" w:rsidRDefault="00000000">
      <w:r>
        <w:rPr>
          <w:rStyle w:val="soitChar"/>
        </w:rPr>
        <w:t>2. m²</w:t>
      </w:r>
    </w:p>
    <w:p w14:paraId="132CB31A" w14:textId="77777777" w:rsidR="00DB2B68" w:rsidRDefault="00000000">
      <w:pPr>
        <w:pStyle w:val="pheading"/>
      </w:pPr>
      <w:r>
        <w:t>- code de mesurage:</w:t>
      </w:r>
    </w:p>
    <w:p w14:paraId="34DF9B34"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151DA8F"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C3A4A0F"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337FE70" w14:textId="77777777" w:rsidR="00DB2B68" w:rsidRDefault="00000000">
      <w:r>
        <w:rPr>
          <w:rStyle w:val="optioncarChar"/>
        </w:rPr>
        <w:t>Volume net </w:t>
      </w:r>
      <w:r>
        <w:t>(par défaut)</w:t>
      </w:r>
      <w:r>
        <w:rPr>
          <w:rStyle w:val="optioncarChar"/>
        </w:rPr>
        <w:t> / Surface nette</w:t>
      </w:r>
    </w:p>
    <w:p w14:paraId="3628DD97" w14:textId="77777777" w:rsidR="00DB2B68" w:rsidRDefault="00000000">
      <w:r>
        <w:rPr>
          <w:b/>
        </w:rPr>
        <w:t>(soit par défaut)</w:t>
      </w:r>
    </w:p>
    <w:p w14:paraId="58C9A798"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B2F65D5" w14:textId="77777777" w:rsidR="00DB2B68" w:rsidRDefault="00000000">
      <w:r>
        <w:rPr>
          <w:b/>
        </w:rPr>
        <w:t>(soit)</w:t>
      </w:r>
    </w:p>
    <w:p w14:paraId="746280A1"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1EDA20B" w14:textId="77777777" w:rsidR="00DB2B68" w:rsidRDefault="00DB2B68"/>
    <w:p w14:paraId="146E35B9" w14:textId="77777777" w:rsidR="00DB2B68" w:rsidRDefault="00000000">
      <w:pPr>
        <w:ind w:left="750"/>
      </w:pPr>
      <w:r>
        <w:t> </w:t>
      </w:r>
    </w:p>
    <w:p w14:paraId="630FB6C0" w14:textId="77777777" w:rsidR="00DB2B68" w:rsidRDefault="00000000">
      <w:pPr>
        <w:pStyle w:val="pheading"/>
      </w:pPr>
      <w:r>
        <w:t>- nature du marché:</w:t>
      </w:r>
    </w:p>
    <w:p w14:paraId="6CE2CB99" w14:textId="77777777" w:rsidR="00DB2B68" w:rsidRDefault="00000000">
      <w:r>
        <w:t>QF</w:t>
      </w:r>
    </w:p>
    <w:p w14:paraId="53A9A358" w14:textId="77777777" w:rsidR="00DB2B68" w:rsidRDefault="00000000">
      <w:pPr>
        <w:pStyle w:val="Author-eSectionHeading6Numberless"/>
      </w:pPr>
      <w:bookmarkStart w:id="162" w:name="_Toc220495305"/>
      <w:r>
        <w:t>21.22.1c Maçonneries non portantes en blocs treillis de terre cuite à coller avec colle PU uni-composante CCTB 01.11</w:t>
      </w:r>
      <w:bookmarkEnd w:id="162"/>
    </w:p>
    <w:p w14:paraId="2DEC3D10" w14:textId="77777777" w:rsidR="00DB2B68" w:rsidRDefault="00000000">
      <w:pPr>
        <w:pStyle w:val="pheading"/>
      </w:pPr>
      <w:r>
        <w:t>DESCRIPTION</w:t>
      </w:r>
    </w:p>
    <w:p w14:paraId="5AEF5D56" w14:textId="77777777" w:rsidR="00DB2B68" w:rsidRDefault="00000000">
      <w:pPr>
        <w:pStyle w:val="pheading"/>
      </w:pPr>
      <w:r>
        <w:t>- Définition / Comprend</w:t>
      </w:r>
    </w:p>
    <w:p w14:paraId="2BDC93DF" w14:textId="77777777" w:rsidR="00DB2B68" w:rsidRDefault="00000000">
      <w:r>
        <w:rPr>
          <w:rStyle w:val="normalChar"/>
          <w:color w:val="000000"/>
        </w:rPr>
        <w:lastRenderedPageBreak/>
        <w:t>Cet article vise la fourniture et la pose de maçonneries non portantes en blocs treillis de terre cuite à coller avec une colle PU uni-composante.</w:t>
      </w:r>
    </w:p>
    <w:p w14:paraId="48218D81" w14:textId="77777777" w:rsidR="00DB2B68" w:rsidRDefault="00000000">
      <w:r>
        <w:rPr>
          <w:rStyle w:val="normalChar"/>
          <w:color w:val="000000"/>
        </w:rPr>
        <w:t xml:space="preserve">La portée des travaux est décrite dans l’article </w:t>
      </w:r>
      <w:hyperlink w:anchor="387" w:history="1">
        <w:r>
          <w:rPr>
            <w:rStyle w:val="normalChar"/>
            <w:color w:val="0000EE"/>
          </w:rPr>
          <w:t>21.22.1 Maçonneries non portantes en blocs treillis de terre cuite</w:t>
        </w:r>
      </w:hyperlink>
      <w:r>
        <w:rPr>
          <w:rStyle w:val="normalChar"/>
          <w:color w:val="000000"/>
        </w:rPr>
        <w:t>.</w:t>
      </w:r>
    </w:p>
    <w:p w14:paraId="4A3E703E" w14:textId="77777777" w:rsidR="00DB2B68" w:rsidRDefault="00000000">
      <w:r>
        <w:rPr>
          <w:rStyle w:val="normalChar"/>
          <w:color w:val="000000"/>
        </w:rPr>
        <w:t>Les travaux comprennent également la fourniture et la pose des pièces d’angle, de terminaison et de rencontre.</w:t>
      </w:r>
    </w:p>
    <w:p w14:paraId="5864E751" w14:textId="77777777" w:rsidR="00DB2B68" w:rsidRDefault="00000000">
      <w:pPr>
        <w:pStyle w:val="pheading"/>
      </w:pPr>
      <w:r>
        <w:t>- Localisation</w:t>
      </w:r>
    </w:p>
    <w:p w14:paraId="320B04BD" w14:textId="77777777" w:rsidR="00DB2B68" w:rsidRDefault="00000000">
      <w:r>
        <w:rPr>
          <w:rStyle w:val="normalChar"/>
          <w:color w:val="000000"/>
        </w:rPr>
        <w:t xml:space="preserve">La pose est réalisée aux endroits suivants : </w:t>
      </w:r>
      <w:r>
        <w:rPr>
          <w:rStyle w:val="optioncarChar"/>
          <w:color w:val="000000"/>
        </w:rPr>
        <w:t>***</w:t>
      </w:r>
      <w:r>
        <w:rPr>
          <w:rStyle w:val="normalChar"/>
          <w:color w:val="000000"/>
        </w:rPr>
        <w:t>.</w:t>
      </w:r>
    </w:p>
    <w:p w14:paraId="6BC1993B" w14:textId="77777777" w:rsidR="00DB2B68" w:rsidRDefault="00000000">
      <w:r>
        <w:rPr>
          <w:rStyle w:val="normalChar"/>
          <w:color w:val="000000"/>
        </w:rPr>
        <w:t>Voir plans et métrés détaillés.</w:t>
      </w:r>
    </w:p>
    <w:p w14:paraId="7D204CB7" w14:textId="77777777" w:rsidR="00DB2B68" w:rsidRDefault="00000000">
      <w:pPr>
        <w:pStyle w:val="pheading"/>
      </w:pPr>
      <w:r>
        <w:t>MATÉRIAUX</w:t>
      </w:r>
    </w:p>
    <w:p w14:paraId="5B2BF20E" w14:textId="77777777" w:rsidR="00DB2B68" w:rsidRDefault="00000000">
      <w:pPr>
        <w:pStyle w:val="pheading"/>
      </w:pPr>
      <w:r>
        <w:t>- Caractéristiques générales</w:t>
      </w:r>
    </w:p>
    <w:p w14:paraId="3FF1DA61" w14:textId="77777777" w:rsidR="00DB2B68" w:rsidRDefault="00000000">
      <w:pPr>
        <w:spacing w:line="259" w:lineRule="auto"/>
      </w:pPr>
      <w:r>
        <w:rPr>
          <w:b/>
        </w:rPr>
        <w:t>Spécifications</w:t>
      </w:r>
    </w:p>
    <w:p w14:paraId="3C53862B" w14:textId="77777777" w:rsidR="00DB2B68" w:rsidRDefault="00000000">
      <w:r>
        <w:t>En ce qui concerne la déclaration de la résistance à la compression, les blocs treillis sont de catégorie I (la résistance à la compression est déclarée avec une fiabilité de 95%).</w:t>
      </w:r>
    </w:p>
    <w:p w14:paraId="6B4EEBAC" w14:textId="77777777" w:rsidR="00DB2B68" w:rsidRDefault="00000000">
      <w:r>
        <w:br/>
      </w:r>
      <w:r>
        <w:rPr>
          <w:color w:val="000000"/>
          <w:shd w:val="clear" w:color="auto" w:fill="FFFFFF"/>
        </w:rPr>
        <w:t xml:space="preserve">La résistance en compression </w:t>
      </w:r>
      <w:r>
        <w:rPr>
          <w:rStyle w:val="optioncarChar"/>
        </w:rPr>
        <w:t>moyenne (f</w:t>
      </w:r>
      <w:r>
        <w:rPr>
          <w:rStyle w:val="optioncarChar"/>
          <w:vertAlign w:val="subscript"/>
        </w:rPr>
        <w:t>mean</w:t>
      </w:r>
      <w:r>
        <w:rPr>
          <w:rStyle w:val="optioncarChar"/>
        </w:rPr>
        <w:t xml:space="preserve">) </w:t>
      </w:r>
      <w:r>
        <w:t>(par défaut) </w:t>
      </w:r>
      <w:r>
        <w:rPr>
          <w:rStyle w:val="optioncarChar"/>
          <w:shd w:val="clear" w:color="auto" w:fill="FFFFFF"/>
        </w:rPr>
        <w:t>/ normalisé (f</w:t>
      </w:r>
      <w:r>
        <w:rPr>
          <w:rStyle w:val="optioncarChar"/>
          <w:vertAlign w:val="subscript"/>
        </w:rPr>
        <w:t>b</w:t>
      </w:r>
      <w:r>
        <w:rPr>
          <w:rStyle w:val="optioncarChar"/>
          <w:shd w:val="clear" w:color="auto" w:fill="FFFFFF"/>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shd w:val="clear" w:color="auto" w:fill="FFFFFF"/>
        </w:rPr>
        <w:t xml:space="preserve"> est au minimum : </w:t>
      </w:r>
      <w:r>
        <w:rPr>
          <w:rStyle w:val="optioncarChar"/>
          <w:color w:val="000000"/>
          <w:shd w:val="clear" w:color="auto" w:fill="FFFFFF"/>
        </w:rPr>
        <w:t xml:space="preserve">10 / 15 / </w:t>
      </w:r>
      <w:r>
        <w:rPr>
          <w:rStyle w:val="optioncarChar"/>
        </w:rPr>
        <w:t>***</w:t>
      </w:r>
      <w:r>
        <w:rPr>
          <w:color w:val="000000"/>
          <w:shd w:val="clear" w:color="auto" w:fill="FFFFFF"/>
        </w:rPr>
        <w:t xml:space="preserve"> N/mm² (MPa).</w:t>
      </w:r>
    </w:p>
    <w:p w14:paraId="4DB40D56" w14:textId="77777777" w:rsidR="00DB2B68" w:rsidRDefault="00000000">
      <w:r>
        <w:t>Le groupe de configuration suivant [NBN EN 1996-1-1+A1 ANB] est : 2</w:t>
      </w:r>
    </w:p>
    <w:p w14:paraId="0F706CCB" w14:textId="77777777" w:rsidR="00DB2B68" w:rsidRDefault="00000000">
      <w:r>
        <w:t xml:space="preserve">La masse volumique sèche apparente des blocs ρ (rho) est </w:t>
      </w:r>
      <w:r>
        <w:rPr>
          <w:rStyle w:val="optioncarChar"/>
        </w:rPr>
        <w:t>850 </w:t>
      </w:r>
      <w:r>
        <w:t>(par défaut)</w:t>
      </w:r>
      <w:r>
        <w:rPr>
          <w:rStyle w:val="optioncarChar"/>
        </w:rPr>
        <w:t> / ***</w:t>
      </w:r>
      <w:r>
        <w:t> &lt; ρ &lt; </w:t>
      </w:r>
      <w:r>
        <w:rPr>
          <w:rStyle w:val="optioncarChar"/>
        </w:rPr>
        <w:t>925 </w:t>
      </w:r>
      <w:r>
        <w:t>(par défaut)</w:t>
      </w:r>
      <w:r>
        <w:rPr>
          <w:rStyle w:val="optioncarChar"/>
        </w:rPr>
        <w:t> / ***</w:t>
      </w:r>
      <w:r>
        <w:t xml:space="preserve"> kg/m³ selon la [NBN EN 771-1+A1]. (catégorie de tolérance </w:t>
      </w:r>
      <w:r>
        <w:rPr>
          <w:rStyle w:val="optioncarChar"/>
        </w:rPr>
        <w:t>D1 / D2 / ***</w:t>
      </w:r>
      <w:r>
        <w:t>).</w:t>
      </w:r>
    </w:p>
    <w:p w14:paraId="670A6556" w14:textId="77777777" w:rsidR="00DB2B68" w:rsidRDefault="00000000">
      <w:r>
        <w:t>Les blocs répondent aux conditions requises pour une utilisation avec une colle PU uni-composant reprises dans la déclaration de l’aptitude à l’emploi du système de construction.</w:t>
      </w:r>
    </w:p>
    <w:p w14:paraId="14DE79EC" w14:textId="77777777" w:rsidR="00DB2B68" w:rsidRDefault="00000000">
      <w:r>
        <w:rPr>
          <w:rStyle w:val="normalChar"/>
        </w:rPr>
        <w:t>L’entrepreneur soumet à la Direction de chantier la fiche technique et, s’il le juge nécessaire, un échantillon pour approbation.</w:t>
      </w:r>
    </w:p>
    <w:p w14:paraId="35F818DE" w14:textId="77777777" w:rsidR="00DB2B68" w:rsidRDefault="00000000">
      <w:r>
        <w:rPr>
          <w:rStyle w:val="normalChar"/>
        </w:rPr>
        <w:t>Boutisse: plate</w:t>
      </w:r>
    </w:p>
    <w:p w14:paraId="09DED717" w14:textId="77777777" w:rsidR="00DB2B68" w:rsidRDefault="00000000">
      <w:r>
        <w:rPr>
          <w:rStyle w:val="normalChar"/>
        </w:rPr>
        <w:t>Face qui reste visible : lisse</w:t>
      </w:r>
    </w:p>
    <w:p w14:paraId="44EE4A0C" w14:textId="77777777" w:rsidR="00DB2B68" w:rsidRDefault="00000000">
      <w:r>
        <w:rPr>
          <w:rStyle w:val="normalChar"/>
        </w:rPr>
        <w:t>Face à cimenter ou plafonner : l</w:t>
      </w:r>
      <w:r>
        <w:rPr>
          <w:rStyle w:val="optioncarChar"/>
        </w:rPr>
        <w:t>isse</w:t>
      </w:r>
      <w:r>
        <w:t xml:space="preserve"> (par défaut)</w:t>
      </w:r>
      <w:r>
        <w:rPr>
          <w:rStyle w:val="optioncarChar"/>
        </w:rPr>
        <w:t xml:space="preserve"> / rainurée</w:t>
      </w:r>
    </w:p>
    <w:p w14:paraId="049B8D26" w14:textId="77777777" w:rsidR="00DB2B68" w:rsidRDefault="00000000">
      <w:r>
        <w:rPr>
          <w:rStyle w:val="normalChar"/>
          <w:color w:val="000000"/>
        </w:rPr>
        <w:t xml:space="preserve">Format : (L x l x h) </w:t>
      </w:r>
      <w:r>
        <w:rPr>
          <w:rStyle w:val="optioncarChar"/>
          <w:color w:val="000000"/>
        </w:rPr>
        <w:t>(500 x 100/140/190 x 135/185/250 mm)</w:t>
      </w:r>
      <w:r>
        <w:rPr>
          <w:rStyle w:val="normalChar"/>
          <w:color w:val="000000"/>
        </w:rPr>
        <w:t> mm /</w:t>
      </w:r>
      <w:r>
        <w:rPr>
          <w:rStyle w:val="optioncarChar"/>
          <w:color w:val="000000"/>
        </w:rPr>
        <w:t> format</w:t>
      </w:r>
      <w:r>
        <w:rPr>
          <w:rStyle w:val="normalChar"/>
          <w:color w:val="000000"/>
        </w:rPr>
        <w:t xml:space="preserve"> modulaire</w:t>
      </w:r>
      <w:r>
        <w:rPr>
          <w:rStyle w:val="optioncarChar"/>
          <w:color w:val="000000"/>
        </w:rPr>
        <w:t xml:space="preserve"> proposé par l'entrepreneur</w:t>
      </w:r>
      <w:r>
        <w:rPr>
          <w:rStyle w:val="normalChar"/>
          <w:color w:val="000000"/>
        </w:rPr>
        <w:t> (par défaut)</w:t>
      </w:r>
    </w:p>
    <w:p w14:paraId="5E8295AA" w14:textId="77777777" w:rsidR="00DB2B68" w:rsidRDefault="00000000">
      <w:r>
        <w:rPr>
          <w:rStyle w:val="normalChar"/>
          <w:color w:val="000000"/>
        </w:rPr>
        <w:t xml:space="preserve">Tolérances dimensionnelles : </w:t>
      </w:r>
    </w:p>
    <w:p w14:paraId="52B470B3" w14:textId="77777777" w:rsidR="00DB2B68" w:rsidRDefault="00000000">
      <w:r>
        <w:rPr>
          <w:rStyle w:val="normalChar"/>
          <w:color w:val="000000"/>
        </w:rPr>
        <w:t xml:space="preserve">Tolérances de la valeur moyenne : T1+ </w:t>
      </w:r>
    </w:p>
    <w:p w14:paraId="6F5469FA" w14:textId="77777777" w:rsidR="00DB2B68" w:rsidRDefault="00000000">
      <w:r>
        <w:rPr>
          <w:rStyle w:val="normalChar"/>
          <w:color w:val="000000"/>
        </w:rPr>
        <w:t xml:space="preserve">Plage : R1+ </w:t>
      </w:r>
    </w:p>
    <w:p w14:paraId="14728BB1" w14:textId="77777777" w:rsidR="00DB2B68" w:rsidRDefault="00000000">
      <w:r>
        <w:rPr>
          <w:rStyle w:val="normalChar"/>
          <w:color w:val="000000"/>
        </w:rPr>
        <w:t xml:space="preserve">Planéité : 0,5 mm </w:t>
      </w:r>
    </w:p>
    <w:p w14:paraId="0965C020" w14:textId="77777777" w:rsidR="00DB2B68" w:rsidRDefault="00000000">
      <w:r>
        <w:rPr>
          <w:rStyle w:val="normalChar"/>
          <w:color w:val="000000"/>
        </w:rPr>
        <w:t>Parallélisme : 1  mm</w:t>
      </w:r>
    </w:p>
    <w:p w14:paraId="1F882F4B" w14:textId="77777777" w:rsidR="00DB2B68" w:rsidRDefault="00000000">
      <w:r>
        <w:rPr>
          <w:rStyle w:val="normalChar"/>
          <w:color w:val="000000"/>
        </w:rPr>
        <w:t xml:space="preserve">Taux initial d’absorption d’eau : classe </w:t>
      </w:r>
      <w:r>
        <w:rPr>
          <w:rStyle w:val="optioncarChar"/>
          <w:color w:val="000000"/>
        </w:rPr>
        <w:t xml:space="preserve"> IW2 / IW3</w:t>
      </w:r>
    </w:p>
    <w:p w14:paraId="468B1568" w14:textId="77777777" w:rsidR="00DB2B68" w:rsidRDefault="00000000">
      <w:r>
        <w:rPr>
          <w:rStyle w:val="normalChar"/>
          <w:color w:val="000000"/>
        </w:rPr>
        <w:t>Résistance au gel suivant les classes d’application MX… selon [NBN EN 1996-1-2 ANB]</w:t>
      </w:r>
      <w:r>
        <w:t xml:space="preserve"> et [NIT 271].</w:t>
      </w:r>
    </w:p>
    <w:p w14:paraId="60C1035B" w14:textId="77777777" w:rsidR="00DB2B68" w:rsidRDefault="00000000">
      <w:r>
        <w:rPr>
          <w:rStyle w:val="normalChar"/>
          <w:color w:val="000000"/>
        </w:rPr>
        <w:t>Réaction au feu : A1 selon [NBN EN 13501-1].</w:t>
      </w:r>
    </w:p>
    <w:p w14:paraId="67AAAC52" w14:textId="77777777" w:rsidR="00DB2B68" w:rsidRDefault="00000000">
      <w:r>
        <w:t xml:space="preserve">Type de mortier : colle PU uni-composante durcissant à l’eau selon </w:t>
      </w:r>
      <w:r>
        <w:rPr>
          <w:rStyle w:val="normalChar"/>
          <w:color w:val="000000"/>
        </w:rPr>
        <w:t xml:space="preserve">paragraphe </w:t>
      </w:r>
      <w:hyperlink w:anchor="295" w:history="1">
        <w:r>
          <w:rPr>
            <w:color w:val="0000EE"/>
          </w:rPr>
          <w:t>21 Superstructures en maçonnerie</w:t>
        </w:r>
      </w:hyperlink>
    </w:p>
    <w:p w14:paraId="19A1C612" w14:textId="77777777" w:rsidR="00DB2B68" w:rsidRDefault="00000000">
      <w:r>
        <w:rPr>
          <w:b/>
        </w:rPr>
        <w:t>Critères de performances de la paroi</w:t>
      </w:r>
    </w:p>
    <w:p w14:paraId="6E3852D0" w14:textId="77777777" w:rsidR="00DB2B68" w:rsidRDefault="00000000">
      <w:pPr>
        <w:spacing w:line="259" w:lineRule="auto"/>
      </w:pPr>
      <w:r>
        <w:t>Résistance à la compression du mur :</w:t>
      </w:r>
    </w:p>
    <w:p w14:paraId="01CDF133" w14:textId="77777777" w:rsidR="00DB2B68" w:rsidRDefault="00000000">
      <w:pPr>
        <w:pStyle w:val="Author-eListParagraph"/>
        <w:numPr>
          <w:ilvl w:val="0"/>
          <w:numId w:val="170"/>
        </w:numPr>
      </w:pPr>
      <w:r>
        <w:t>Testée selon [NBN EN 1052-1]</w:t>
      </w:r>
    </w:p>
    <w:p w14:paraId="54AAD9EA" w14:textId="77777777" w:rsidR="00DB2B68" w:rsidRDefault="00000000">
      <w:pPr>
        <w:pStyle w:val="Author-eListParagraph"/>
        <w:numPr>
          <w:ilvl w:val="0"/>
          <w:numId w:val="170"/>
        </w:numPr>
      </w:pPr>
      <w:r>
        <w:t>Les règles de calcul de la [NBN EN 1996-1-1+A1 ANB] sont d’application.</w:t>
      </w:r>
    </w:p>
    <w:p w14:paraId="3976BC2E" w14:textId="77777777" w:rsidR="00DB2B68" w:rsidRDefault="00000000">
      <w:pPr>
        <w:spacing w:line="259" w:lineRule="auto"/>
      </w:pPr>
      <w:r>
        <w:lastRenderedPageBreak/>
        <w:t xml:space="preserve">Résistance à la flexion testée selon [NBN EN 1052-2]: </w:t>
      </w:r>
    </w:p>
    <w:p w14:paraId="1B1DF6D9" w14:textId="77777777" w:rsidR="00DB2B68" w:rsidRDefault="00000000">
      <w:pPr>
        <w:pStyle w:val="Author-eListParagraph"/>
        <w:numPr>
          <w:ilvl w:val="0"/>
          <w:numId w:val="171"/>
        </w:numPr>
      </w:pPr>
      <w:r>
        <w:t>f</w:t>
      </w:r>
      <w:r>
        <w:rPr>
          <w:vertAlign w:val="subscript"/>
        </w:rPr>
        <w:t>xk1</w:t>
      </w:r>
      <w:r>
        <w:t xml:space="preserve"> = </w:t>
      </w:r>
      <w:r>
        <w:rPr>
          <w:rStyle w:val="optioncarChar"/>
        </w:rPr>
        <w:t xml:space="preserve">0,10 / *** </w:t>
      </w:r>
      <w:r>
        <w:t>N/mm²</w:t>
      </w:r>
    </w:p>
    <w:p w14:paraId="679396E8" w14:textId="77777777" w:rsidR="00DB2B68" w:rsidRDefault="00000000">
      <w:pPr>
        <w:pStyle w:val="Author-eListParagraph"/>
        <w:numPr>
          <w:ilvl w:val="0"/>
          <w:numId w:val="171"/>
        </w:numPr>
      </w:pPr>
      <w:r>
        <w:t>f</w:t>
      </w:r>
      <w:r>
        <w:rPr>
          <w:vertAlign w:val="subscript"/>
        </w:rPr>
        <w:t>xk2</w:t>
      </w:r>
      <w:r>
        <w:t xml:space="preserve"> = </w:t>
      </w:r>
      <w:r>
        <w:rPr>
          <w:rStyle w:val="optioncarChar"/>
        </w:rPr>
        <w:t xml:space="preserve">0,10 / *** </w:t>
      </w:r>
      <w:r>
        <w:t>N/mm²</w:t>
      </w:r>
    </w:p>
    <w:p w14:paraId="24112557" w14:textId="77777777" w:rsidR="00DB2B68" w:rsidRDefault="00000000">
      <w:pPr>
        <w:spacing w:line="259" w:lineRule="auto"/>
      </w:pPr>
      <w:r>
        <w:t xml:space="preserve">Résistance au cisaillement testée selon[NBN EN 1052-3/A1]: </w:t>
      </w:r>
    </w:p>
    <w:p w14:paraId="40D23307" w14:textId="77777777" w:rsidR="00DB2B68" w:rsidRDefault="00000000">
      <w:pPr>
        <w:pStyle w:val="Author-eListParagraph"/>
        <w:numPr>
          <w:ilvl w:val="0"/>
          <w:numId w:val="172"/>
        </w:numPr>
      </w:pPr>
      <w:r>
        <w:t>f</w:t>
      </w:r>
      <w:r>
        <w:rPr>
          <w:vertAlign w:val="subscript"/>
        </w:rPr>
        <w:t>vk0</w:t>
      </w:r>
      <w:r>
        <w:t xml:space="preserve"> = </w:t>
      </w:r>
      <w:r>
        <w:rPr>
          <w:rStyle w:val="optioncarChar"/>
        </w:rPr>
        <w:t>0,10 / ***</w:t>
      </w:r>
      <w:r>
        <w:t>N/mm²</w:t>
      </w:r>
    </w:p>
    <w:p w14:paraId="5AFC64C4" w14:textId="77777777" w:rsidR="00DB2B68" w:rsidRDefault="00000000">
      <w:pPr>
        <w:spacing w:line="259" w:lineRule="auto"/>
      </w:pPr>
      <w:r>
        <w:t>Coefficient de transmission :</w:t>
      </w:r>
    </w:p>
    <w:p w14:paraId="1FB28926" w14:textId="77777777" w:rsidR="00DB2B68" w:rsidRDefault="00000000">
      <w:pPr>
        <w:pStyle w:val="Author-eListParagraph"/>
        <w:numPr>
          <w:ilvl w:val="0"/>
          <w:numId w:val="173"/>
        </w:numPr>
      </w:pPr>
      <w:r>
        <w:t xml:space="preserve">valeur U minimale de </w:t>
      </w:r>
      <w:r>
        <w:rPr>
          <w:rStyle w:val="optioncarChar"/>
        </w:rPr>
        <w:t>***</w:t>
      </w:r>
      <w:r>
        <w:t xml:space="preserve"> W/m²K</w:t>
      </w:r>
    </w:p>
    <w:p w14:paraId="1F443765" w14:textId="77777777" w:rsidR="00DB2B68" w:rsidRDefault="00000000">
      <w:pPr>
        <w:pStyle w:val="Author-eListParagraph"/>
        <w:numPr>
          <w:ilvl w:val="0"/>
          <w:numId w:val="173"/>
        </w:numPr>
      </w:pPr>
      <w:r>
        <w:t>valeur λ</w:t>
      </w:r>
      <w:r>
        <w:rPr>
          <w:vertAlign w:val="subscript"/>
        </w:rPr>
        <w:t>Ui</w:t>
      </w:r>
      <w:r>
        <w:t xml:space="preserve"> ou λ</w:t>
      </w:r>
      <w:r>
        <w:rPr>
          <w:vertAlign w:val="subscript"/>
        </w:rPr>
        <w:t>Ue</w:t>
      </w:r>
      <w:r>
        <w:t xml:space="preserve"> : max. </w:t>
      </w:r>
      <w:r>
        <w:rPr>
          <w:rStyle w:val="optioncarChar"/>
        </w:rPr>
        <w:t>0,185 / 0,26 / 0,29 </w:t>
      </w:r>
      <w:r>
        <w:t>W/mK (suivant l’application).</w:t>
      </w:r>
    </w:p>
    <w:p w14:paraId="170DE733" w14:textId="77777777" w:rsidR="00DB2B68" w:rsidRDefault="00000000">
      <w:pPr>
        <w:pStyle w:val="Author-eListParagraph"/>
        <w:numPr>
          <w:ilvl w:val="0"/>
          <w:numId w:val="173"/>
        </w:numPr>
      </w:pPr>
      <w:r>
        <w:t>coefficient de conductivité thermique  déclaré: λ</w:t>
      </w:r>
      <w:r>
        <w:rPr>
          <w:vertAlign w:val="subscript"/>
        </w:rPr>
        <w:t xml:space="preserve">10,sec,bloc (50/50) </w:t>
      </w:r>
      <w:r>
        <w:t>(selon [NBN EN 1745]): max.</w:t>
      </w:r>
      <w:r>
        <w:rPr>
          <w:rStyle w:val="optioncarChar"/>
        </w:rPr>
        <w:t xml:space="preserve"> 0,175 / 0,23 / *** </w:t>
      </w:r>
      <w:r>
        <w:t>W/mK</w:t>
      </w:r>
    </w:p>
    <w:p w14:paraId="0B6B4A46" w14:textId="77777777" w:rsidR="00DB2B68" w:rsidRDefault="00000000">
      <w:pPr>
        <w:pStyle w:val="Author-eListParagraph"/>
        <w:numPr>
          <w:ilvl w:val="0"/>
          <w:numId w:val="173"/>
        </w:numPr>
      </w:pPr>
      <w:r>
        <w:t>coefficient de conductivité thermique  déclaré λ</w:t>
      </w:r>
      <w:r>
        <w:rPr>
          <w:vertAlign w:val="subscript"/>
        </w:rPr>
        <w:t xml:space="preserve">D </w:t>
      </w:r>
      <w:r>
        <w:t>: max.</w:t>
      </w:r>
      <w:r>
        <w:rPr>
          <w:rStyle w:val="optioncarChar"/>
        </w:rPr>
        <w:t xml:space="preserve"> 0,18 / 0,24 / *** </w:t>
      </w:r>
      <w:r>
        <w:t>W/mK.</w:t>
      </w:r>
    </w:p>
    <w:p w14:paraId="2E0D227E" w14:textId="77777777" w:rsidR="00DB2B68" w:rsidRDefault="00000000">
      <w:pPr>
        <w:spacing w:line="259" w:lineRule="auto"/>
      </w:pPr>
      <w:r>
        <w:t>Résistance au feu :</w:t>
      </w:r>
    </w:p>
    <w:p w14:paraId="48F1050E" w14:textId="77777777" w:rsidR="00DB2B68" w:rsidRDefault="00000000">
      <w:pPr>
        <w:pStyle w:val="Author-eListParagraph"/>
        <w:numPr>
          <w:ilvl w:val="0"/>
          <w:numId w:val="174"/>
        </w:numPr>
      </w:pPr>
      <w:r>
        <w:t xml:space="preserve">pour les éléments porteurs structurels sans fonction séparante : </w:t>
      </w:r>
      <w:r>
        <w:rPr>
          <w:rStyle w:val="optioncarChar"/>
        </w:rPr>
        <w:t>R120 / ***</w:t>
      </w:r>
    </w:p>
    <w:p w14:paraId="615BB649" w14:textId="77777777" w:rsidR="00DB2B68" w:rsidRDefault="00000000">
      <w:pPr>
        <w:pStyle w:val="Author-eListParagraph"/>
        <w:numPr>
          <w:ilvl w:val="0"/>
          <w:numId w:val="174"/>
        </w:numPr>
      </w:pPr>
      <w:r>
        <w:t xml:space="preserve">pour les éléments porteurs structurels avec fonction séparante : </w:t>
      </w:r>
      <w:r>
        <w:rPr>
          <w:rStyle w:val="optioncarChar"/>
        </w:rPr>
        <w:t>REI120 / ***</w:t>
      </w:r>
    </w:p>
    <w:p w14:paraId="166D044F" w14:textId="77777777" w:rsidR="00DB2B68" w:rsidRDefault="00000000">
      <w:pPr>
        <w:spacing w:line="259" w:lineRule="auto"/>
        <w:ind w:left="360"/>
      </w:pPr>
      <w:r>
        <w:t>testée selon la norme [NBN EN 1363-1] et [NBN EN 1365-2]</w:t>
      </w:r>
    </w:p>
    <w:p w14:paraId="6F4B12DA" w14:textId="77777777" w:rsidR="00DB2B68" w:rsidRDefault="00000000">
      <w:pPr>
        <w:ind w:left="750"/>
      </w:pPr>
      <w:r>
        <w:t> </w:t>
      </w:r>
    </w:p>
    <w:p w14:paraId="2E1F3254" w14:textId="77777777" w:rsidR="00DB2B68" w:rsidRDefault="00000000">
      <w:pPr>
        <w:pStyle w:val="pheading"/>
      </w:pPr>
      <w:r>
        <w:t>- Finitions</w:t>
      </w:r>
    </w:p>
    <w:p w14:paraId="7DDA812D" w14:textId="77777777" w:rsidR="00DB2B68" w:rsidRDefault="00000000">
      <w:pPr>
        <w:pStyle w:val="Author-eListParagraph"/>
        <w:numPr>
          <w:ilvl w:val="0"/>
          <w:numId w:val="175"/>
        </w:numPr>
      </w:pPr>
      <w:r>
        <w:t>Les murs suivants sont érigés  avec une face restant apparente :</w:t>
      </w:r>
      <w:r>
        <w:rPr>
          <w:rStyle w:val="optioncarChar"/>
        </w:rPr>
        <w:t xml:space="preserve"> ***</w:t>
      </w:r>
    </w:p>
    <w:p w14:paraId="429A922F" w14:textId="77777777" w:rsidR="00DB2B68" w:rsidRDefault="00000000">
      <w:pPr>
        <w:pStyle w:val="Author-eListParagraph"/>
        <w:numPr>
          <w:ilvl w:val="0"/>
          <w:numId w:val="175"/>
        </w:numPr>
      </w:pPr>
      <w:r>
        <w:t>Les murs suivants sont érigés  avec deux faces restant apparentes :</w:t>
      </w:r>
      <w:r>
        <w:rPr>
          <w:rStyle w:val="optioncarChar"/>
        </w:rPr>
        <w:t xml:space="preserve"> ***</w:t>
      </w:r>
    </w:p>
    <w:p w14:paraId="3EE6F236" w14:textId="77777777" w:rsidR="00DB2B68" w:rsidRDefault="00000000">
      <w:pPr>
        <w:pStyle w:val="pheading"/>
      </w:pPr>
      <w:r>
        <w:t>EXÉCUTION / MISE EN ŒUVRE</w:t>
      </w:r>
    </w:p>
    <w:p w14:paraId="3CE6D2FD" w14:textId="77777777" w:rsidR="00DB2B68" w:rsidRDefault="00000000">
      <w:pPr>
        <w:pStyle w:val="pheading"/>
      </w:pPr>
      <w:r>
        <w:t>- Prescriptions générales</w:t>
      </w:r>
    </w:p>
    <w:p w14:paraId="7E3917C9" w14:textId="77777777" w:rsidR="00DB2B68" w:rsidRDefault="00000000">
      <w:r>
        <w:rPr>
          <w:color w:val="000000"/>
        </w:rPr>
        <w:t>La mise en œuvre, y compris le bloc d’assise, est conforme à la déclaration de l’aptitude à l’emploi du système de construction.</w:t>
      </w:r>
    </w:p>
    <w:p w14:paraId="6F527F17" w14:textId="77777777" w:rsidR="00DB2B68" w:rsidRDefault="00000000">
      <w:r>
        <w:rPr>
          <w:color w:val="000000"/>
        </w:rPr>
        <w:t>Les linteaux seront réalisés selon article 21.43.1.</w:t>
      </w:r>
    </w:p>
    <w:p w14:paraId="4AE285F9" w14:textId="77777777" w:rsidR="00DB2B68" w:rsidRDefault="00000000">
      <w:pPr>
        <w:pStyle w:val="pheading"/>
      </w:pPr>
      <w:r>
        <w:t>MESURAGE</w:t>
      </w:r>
    </w:p>
    <w:p w14:paraId="6F3A7B98" w14:textId="77777777" w:rsidR="00DB2B68" w:rsidRDefault="00000000">
      <w:pPr>
        <w:pStyle w:val="pheading"/>
      </w:pPr>
      <w:r>
        <w:t>- unité de mesure:</w:t>
      </w:r>
    </w:p>
    <w:p w14:paraId="31A463C4" w14:textId="77777777" w:rsidR="00DB2B68" w:rsidRDefault="00000000">
      <w:r>
        <w:rPr>
          <w:rStyle w:val="optioncarChar"/>
        </w:rPr>
        <w:t>m³ </w:t>
      </w:r>
      <w:r>
        <w:t>(par défaut)</w:t>
      </w:r>
      <w:r>
        <w:rPr>
          <w:rStyle w:val="optioncarChar"/>
        </w:rPr>
        <w:t> / m²</w:t>
      </w:r>
    </w:p>
    <w:p w14:paraId="0A941F43" w14:textId="77777777" w:rsidR="00DB2B68" w:rsidRDefault="00000000">
      <w:r>
        <w:rPr>
          <w:b/>
        </w:rPr>
        <w:t>(soit par défaut)</w:t>
      </w:r>
    </w:p>
    <w:p w14:paraId="6F8004A2" w14:textId="77777777" w:rsidR="00DB2B68" w:rsidRDefault="00000000">
      <w:r>
        <w:rPr>
          <w:rStyle w:val="soitChar"/>
        </w:rPr>
        <w:t>1. m³</w:t>
      </w:r>
    </w:p>
    <w:p w14:paraId="1D3EBD01" w14:textId="77777777" w:rsidR="00DB2B68" w:rsidRDefault="00000000">
      <w:r>
        <w:rPr>
          <w:b/>
        </w:rPr>
        <w:t>(soit)</w:t>
      </w:r>
    </w:p>
    <w:p w14:paraId="0AE59679" w14:textId="77777777" w:rsidR="00DB2B68" w:rsidRDefault="00000000">
      <w:r>
        <w:rPr>
          <w:rStyle w:val="soitChar"/>
        </w:rPr>
        <w:t>2. m²</w:t>
      </w:r>
    </w:p>
    <w:p w14:paraId="24CA61E5" w14:textId="77777777" w:rsidR="00DB2B68" w:rsidRDefault="00000000">
      <w:pPr>
        <w:pStyle w:val="pheading"/>
      </w:pPr>
      <w:r>
        <w:t>- code de mesurage:</w:t>
      </w:r>
    </w:p>
    <w:p w14:paraId="031A620A"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62FD6ED"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4550BE8" w14:textId="77777777" w:rsidR="00DB2B68" w:rsidRDefault="00000000">
      <w:r>
        <w:t xml:space="preserve">L'appui des dalles de sol sur le mur porteur de contre-façade n'est pas déduit mais compté comme ouvrage de maçonnerie ; par contre, les murs intérieurs porteurs sont mesurés entre les planchers </w:t>
      </w:r>
      <w:r>
        <w:lastRenderedPageBreak/>
        <w:t xml:space="preserve">(voir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DB68A8A" w14:textId="77777777" w:rsidR="00DB2B68" w:rsidRDefault="00000000">
      <w:r>
        <w:rPr>
          <w:rStyle w:val="optioncarChar"/>
        </w:rPr>
        <w:t>Volume net </w:t>
      </w:r>
      <w:r>
        <w:t>(par défaut)</w:t>
      </w:r>
      <w:r>
        <w:rPr>
          <w:rStyle w:val="optioncarChar"/>
        </w:rPr>
        <w:t> / Surface nette</w:t>
      </w:r>
    </w:p>
    <w:p w14:paraId="7EEDA001" w14:textId="77777777" w:rsidR="00DB2B68" w:rsidRDefault="00000000">
      <w:r>
        <w:rPr>
          <w:b/>
        </w:rPr>
        <w:t>(soit par défaut)</w:t>
      </w:r>
    </w:p>
    <w:p w14:paraId="7D203853"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81DD2FE" w14:textId="77777777" w:rsidR="00DB2B68" w:rsidRDefault="00000000">
      <w:r>
        <w:rPr>
          <w:b/>
        </w:rPr>
        <w:t>(soit)</w:t>
      </w:r>
    </w:p>
    <w:p w14:paraId="0B344A72"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018A7AA" w14:textId="77777777" w:rsidR="00DB2B68" w:rsidRDefault="00DB2B68"/>
    <w:p w14:paraId="7CE5240F" w14:textId="77777777" w:rsidR="00DB2B68" w:rsidRDefault="00000000">
      <w:pPr>
        <w:ind w:left="750"/>
      </w:pPr>
      <w:r>
        <w:t> </w:t>
      </w:r>
    </w:p>
    <w:p w14:paraId="7DA544AA" w14:textId="77777777" w:rsidR="00DB2B68" w:rsidRDefault="00000000">
      <w:pPr>
        <w:pStyle w:val="pheading"/>
      </w:pPr>
      <w:r>
        <w:t>- nature du marché:</w:t>
      </w:r>
    </w:p>
    <w:p w14:paraId="48481948" w14:textId="77777777" w:rsidR="00DB2B68" w:rsidRDefault="00000000">
      <w:r>
        <w:t>QF</w:t>
      </w:r>
    </w:p>
    <w:p w14:paraId="10FEABD0" w14:textId="77777777" w:rsidR="00DB2B68" w:rsidRDefault="00000000">
      <w:pPr>
        <w:pStyle w:val="Author-eSectionHeading5Numberless"/>
      </w:pPr>
      <w:bookmarkStart w:id="163" w:name="_Toc220495306"/>
      <w:r>
        <w:t>21.22.2 Maçonneries non portantes en blocs de béton CCTB 01.11</w:t>
      </w:r>
      <w:bookmarkEnd w:id="163"/>
    </w:p>
    <w:p w14:paraId="1511F713" w14:textId="77777777" w:rsidR="00DB2B68" w:rsidRDefault="00000000">
      <w:pPr>
        <w:pStyle w:val="pheading"/>
      </w:pPr>
      <w:bookmarkStart w:id="164" w:name="389"/>
      <w:bookmarkEnd w:id="164"/>
      <w:r>
        <w:t>MATÉRIAUX</w:t>
      </w:r>
    </w:p>
    <w:p w14:paraId="6D404354" w14:textId="77777777" w:rsidR="00DB2B68" w:rsidRDefault="00000000">
      <w:r>
        <w:t>Il s'agit des blocs en béton, qui répondent à la norme [NBN EN 771-3+A1] et au [PTV 21-001]. L'entrepreneur soumet un échantillon, la fiche technique et la déclaration des performances (DoP) du matériau pour approbation à l'auteur de projet et au maître de l’ouvrage</w:t>
      </w:r>
    </w:p>
    <w:p w14:paraId="5563ECE5" w14:textId="77777777" w:rsidR="00DB2B68" w:rsidRDefault="00000000">
      <w:pPr>
        <w:pStyle w:val="pheading"/>
      </w:pPr>
      <w:r>
        <w:t>EXÉCUTION / MISE EN ŒUVRE</w:t>
      </w:r>
    </w:p>
    <w:p w14:paraId="7583DEEF" w14:textId="77777777" w:rsidR="00DB2B68" w:rsidRDefault="00000000">
      <w:r>
        <w:rPr>
          <w:u w:val="single"/>
        </w:rPr>
        <w:t>-Prescriptions générales</w:t>
      </w:r>
    </w:p>
    <w:p w14:paraId="5F0C7D8B" w14:textId="77777777" w:rsidR="00DB2B68"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7D392E1C" w14:textId="77777777" w:rsidR="00DB2B68"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15AAE89A" w14:textId="77777777" w:rsidR="00DB2B68" w:rsidRDefault="00000000">
      <w: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Matériaux de liaison et d'ancrage :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58AA1C4F" w14:textId="77777777" w:rsidR="00DB2B68"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 xml:space="preserve">. </w:t>
      </w:r>
      <w:r>
        <w:br/>
      </w:r>
      <w:r>
        <w:br/>
      </w:r>
      <w:r>
        <w:rPr>
          <w:u w:val="single"/>
        </w:rPr>
        <w:t>-Notes d'exécution complémentaires</w:t>
      </w:r>
    </w:p>
    <w:p w14:paraId="110CDDAA" w14:textId="77777777" w:rsidR="00DB2B68" w:rsidRDefault="00000000">
      <w:r>
        <w:t xml:space="preserve">Pour les maçonneries destinées à rester apparentes, seules des blocs non endommagés sont utilisés. </w:t>
      </w:r>
      <w:r>
        <w:br/>
        <w:t xml:space="preserve">Les segments de murs sont pourvus d'armatures horizontales selon l'article </w:t>
      </w:r>
      <w:hyperlink w:anchor="357" w:history="1">
        <w:r>
          <w:rPr>
            <w:color w:val="0000EE"/>
          </w:rPr>
          <w:t>21.41.1 Armatures horizontales pour maçonneries</w:t>
        </w:r>
      </w:hyperlink>
      <w:r>
        <w:t>.</w:t>
      </w:r>
    </w:p>
    <w:p w14:paraId="35A089DE"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6AD5CB95" w14:textId="77777777" w:rsidR="00DB2B68" w:rsidRDefault="00000000">
      <w:r>
        <w:lastRenderedPageBreak/>
        <w:t xml:space="preserve">Les maçonneries de caves en contact avec les terres sont rendues étanches selon la description au chapitre </w:t>
      </w:r>
      <w:hyperlink w:anchor="359" w:history="1">
        <w:r>
          <w:rPr>
            <w:color w:val="0000EE"/>
          </w:rPr>
          <w:t>26.12 Traitements d'étanchéisation</w:t>
        </w:r>
      </w:hyperlink>
      <w:r>
        <w:t>.</w:t>
      </w:r>
    </w:p>
    <w:p w14:paraId="26F00D57" w14:textId="77777777" w:rsidR="00DB2B68"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 xml:space="preserve">3,5 </w:t>
      </w:r>
      <w:r>
        <w:t>(par défaut) </w:t>
      </w:r>
      <w:r>
        <w:rPr>
          <w:rStyle w:val="optioncarChar"/>
        </w:rPr>
        <w:t>/ ***</w:t>
      </w:r>
      <w:r>
        <w:t xml:space="preserve"> mm.</w:t>
      </w:r>
    </w:p>
    <w:p w14:paraId="623C7FF8" w14:textId="77777777" w:rsidR="00DB2B68" w:rsidRDefault="00000000">
      <w:r>
        <w:t xml:space="preserve">Linteaux : *** conformément à l’article </w:t>
      </w:r>
      <w:hyperlink w:anchor="360" w:history="1">
        <w:r>
          <w:rPr>
            <w:color w:val="0000EE"/>
          </w:rPr>
          <w:t>22.13 Linteaux en béton</w:t>
        </w:r>
      </w:hyperlink>
      <w:r>
        <w:t>.</w:t>
      </w:r>
    </w:p>
    <w:p w14:paraId="4606443B" w14:textId="77777777" w:rsidR="00DB2B68" w:rsidRDefault="00000000">
      <w:pPr>
        <w:pStyle w:val="pheading"/>
      </w:pPr>
      <w:r>
        <w:t>AIDE</w:t>
      </w:r>
    </w:p>
    <w:p w14:paraId="79745DED" w14:textId="77777777" w:rsidR="00DB2B68" w:rsidRDefault="00000000">
      <w:r>
        <w:t>Note à l'attention de l'auteur du projet : pour le choix adéquat du mortier, se référer à la [STS 22 série].</w:t>
      </w:r>
    </w:p>
    <w:p w14:paraId="00444CC8" w14:textId="77777777" w:rsidR="00DB2B68" w:rsidRDefault="00000000">
      <w:pPr>
        <w:pStyle w:val="Author-eSectionHeading6Numberless"/>
      </w:pPr>
      <w:bookmarkStart w:id="165" w:name="_Toc220495307"/>
      <w:r>
        <w:t>21.22.2a Maçonneries non portantes en blocs de béton pleins à maçonner CCTB 01.13</w:t>
      </w:r>
      <w:bookmarkEnd w:id="165"/>
    </w:p>
    <w:p w14:paraId="5742358C" w14:textId="77777777" w:rsidR="00DB2B68" w:rsidRDefault="00000000">
      <w:pPr>
        <w:pStyle w:val="pheading"/>
      </w:pPr>
      <w:r>
        <w:t>DESCRIPTION</w:t>
      </w:r>
    </w:p>
    <w:p w14:paraId="220D321A" w14:textId="77777777" w:rsidR="00DB2B68" w:rsidRDefault="00000000">
      <w:pPr>
        <w:pStyle w:val="pheading"/>
      </w:pPr>
      <w:r>
        <w:t>- Définition / Comprend</w:t>
      </w:r>
    </w:p>
    <w:p w14:paraId="6F47C311" w14:textId="77777777" w:rsidR="00DB2B68" w:rsidRDefault="00000000">
      <w:r>
        <w:t xml:space="preserve">Il s’agit de la fourniture et la pose de maçonneries non portantes en blocs de béton pleins à maçonner. </w:t>
      </w:r>
      <w:r>
        <w:br/>
        <w:t xml:space="preserve">La portée des travaux est décrite dans l’article </w:t>
      </w:r>
      <w:hyperlink w:anchor="389" w:history="1">
        <w:r>
          <w:rPr>
            <w:color w:val="0000EE"/>
          </w:rPr>
          <w:t>21.22.2 Maçonneries non portantes en blocs de béton</w:t>
        </w:r>
      </w:hyperlink>
      <w:r>
        <w:t>.</w:t>
      </w:r>
      <w:r>
        <w:br/>
        <w:t>Les travaux comprennent également la fourniture et la pose des pièces d’angle, de terminaison et de rencontre.</w:t>
      </w:r>
    </w:p>
    <w:p w14:paraId="2F136926" w14:textId="77777777" w:rsidR="00DB2B68" w:rsidRDefault="00000000">
      <w:pPr>
        <w:pStyle w:val="pheading"/>
      </w:pPr>
      <w:r>
        <w:t>- Localisation</w:t>
      </w:r>
    </w:p>
    <w:p w14:paraId="16B5A7F4" w14:textId="77777777" w:rsidR="00DB2B68" w:rsidRDefault="00000000">
      <w:r>
        <w:t>La pose est réalisée aux endroits suivants :</w:t>
      </w:r>
      <w:r>
        <w:rPr>
          <w:rStyle w:val="optioncarChar"/>
        </w:rPr>
        <w:t xml:space="preserve"> ***</w:t>
      </w:r>
      <w:r>
        <w:t>.</w:t>
      </w:r>
      <w:r>
        <w:br/>
        <w:t>Voir plans et métrés détaillés.</w:t>
      </w:r>
    </w:p>
    <w:p w14:paraId="51F90A9D" w14:textId="77777777" w:rsidR="00DB2B68" w:rsidRDefault="00000000">
      <w:pPr>
        <w:pStyle w:val="pheading"/>
      </w:pPr>
      <w:r>
        <w:t>MATÉRIAUX</w:t>
      </w:r>
    </w:p>
    <w:p w14:paraId="5A19141B" w14:textId="77777777" w:rsidR="00DB2B68" w:rsidRDefault="00000000">
      <w:pPr>
        <w:pStyle w:val="pheading"/>
      </w:pPr>
      <w:r>
        <w:t>- Caractéristiques générales</w:t>
      </w:r>
    </w:p>
    <w:p w14:paraId="0F253F4E" w14:textId="77777777" w:rsidR="00DB2B68" w:rsidRDefault="00000000">
      <w:r>
        <w:rPr>
          <w:rStyle w:val="headingChar"/>
        </w:rPr>
        <w:t>Spécifications</w:t>
      </w:r>
    </w:p>
    <w:p w14:paraId="22FA519A" w14:textId="77777777" w:rsidR="00DB2B68" w:rsidRDefault="00000000">
      <w:r>
        <w:rPr>
          <w:u w:val="single"/>
        </w:rPr>
        <w:t>Blocs</w:t>
      </w:r>
    </w:p>
    <w:p w14:paraId="7819589C"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7F694670" w14:textId="77777777" w:rsidR="00DB2B68" w:rsidRDefault="0000000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 </w:t>
      </w:r>
      <w:r>
        <w:rPr>
          <w:rStyle w:val="optioncarChar"/>
        </w:rPr>
        <w:t>/ assemblage à rainures et languettes / assemblage à rainures et poignées</w:t>
      </w:r>
      <w:r>
        <w:br/>
        <w:t xml:space="preserve">Face qui reste visible : </w:t>
      </w:r>
      <w:r>
        <w:rPr>
          <w:rStyle w:val="optioncarChar"/>
        </w:rPr>
        <w:t>lisse </w:t>
      </w:r>
      <w:r>
        <w:t xml:space="preserve">(par défaut) </w:t>
      </w:r>
      <w:r>
        <w:rPr>
          <w:rStyle w:val="optioncarChar"/>
        </w:rPr>
        <w:t>/ clivé / ***</w:t>
      </w:r>
      <w:r>
        <w:br/>
        <w:t>Face à cimenter ou plafonner :</w:t>
      </w:r>
      <w:r>
        <w:rPr>
          <w:rStyle w:val="optioncarChar"/>
        </w:rPr>
        <w:t xml:space="preserve"> lisse </w:t>
      </w:r>
      <w:r>
        <w:t>(par défaut)</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4C03AF1" w14:textId="77777777" w:rsidR="00DB2B68" w:rsidRDefault="00000000">
      <w:r>
        <w:t xml:space="preserve">Stabilité de forme : les éléments en béton destinés à un usage extérieur ou en maçonnerie souterraine respectent le critère suivant en matière de comportement à l'humidité : retrait et </w:t>
      </w:r>
      <w:r>
        <w:lastRenderedPageBreak/>
        <w:t>gonflement hygrométriques ≤ 0.45 mm / m (cf. [NBN EN 772 série] et [NBN EN 680]).</w:t>
      </w:r>
      <w:r>
        <w:br/>
      </w:r>
      <w:r>
        <w:br/>
        <w:t xml:space="preserve">Réaction au feu : </w:t>
      </w:r>
      <w:r>
        <w:rPr>
          <w:rStyle w:val="optioncarChar"/>
        </w:rPr>
        <w:t>A1 </w:t>
      </w:r>
      <w:r>
        <w:t>(par défaut)</w:t>
      </w:r>
      <w:r>
        <w:rPr>
          <w:rStyle w:val="optioncarChar"/>
        </w:rPr>
        <w:t xml:space="preserve"> / ***</w:t>
      </w:r>
    </w:p>
    <w:p w14:paraId="5DA1D397" w14:textId="77777777" w:rsidR="00DB2B68" w:rsidRDefault="00000000">
      <w:pPr>
        <w:spacing w:before="0" w:after="0"/>
      </w:pPr>
      <w:r>
        <w:rPr>
          <w:u w:val="single"/>
        </w:rPr>
        <w:t>Mortier</w:t>
      </w:r>
    </w:p>
    <w:p w14:paraId="243F2FDC" w14:textId="77777777" w:rsidR="00DB2B68" w:rsidRDefault="00000000">
      <w:pPr>
        <w:spacing w:before="0" w:after="0"/>
      </w:pPr>
      <w:r>
        <w:rPr>
          <w:rStyle w:val="normalChar"/>
          <w:color w:val="000000"/>
        </w:rPr>
        <w:t>Classe de résistance :</w:t>
      </w:r>
      <w:r>
        <w:rPr>
          <w:rStyle w:val="optioncarChar"/>
        </w:rPr>
        <w:t xml:space="preserve">M1 / M2,5 / M5 / M10 </w:t>
      </w:r>
      <w:r>
        <w:t xml:space="preserve"> (par défaut) </w:t>
      </w:r>
      <w:r>
        <w:rPr>
          <w:rStyle w:val="optioncarChar"/>
        </w:rPr>
        <w:t xml:space="preserve">/ M15 / M20 </w:t>
      </w:r>
    </w:p>
    <w:p w14:paraId="271BC2E5"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F1098F7" w14:textId="77777777" w:rsidR="00DB2B68" w:rsidRDefault="00000000">
      <w:pPr>
        <w:spacing w:before="0" w:after="0"/>
      </w:pPr>
      <w:r>
        <w:rPr>
          <w:rStyle w:val="normalChar"/>
          <w:color w:val="000000"/>
        </w:rPr>
        <w:t>Résistance au gel : oui</w:t>
      </w:r>
    </w:p>
    <w:p w14:paraId="6AC92A66" w14:textId="77777777" w:rsidR="00DB2B68" w:rsidRDefault="00000000">
      <w:r>
        <w:br/>
      </w:r>
      <w:r>
        <w:rPr>
          <w:rStyle w:val="headingChar"/>
        </w:rPr>
        <w:t>Critères De Performances De La Paroi</w:t>
      </w:r>
    </w:p>
    <w:p w14:paraId="426C6FD5" w14:textId="77777777" w:rsidR="00DB2B68" w:rsidRDefault="00000000">
      <w:r>
        <w:t>Coefficient de transmission :</w:t>
      </w:r>
    </w:p>
    <w:p w14:paraId="550B240E" w14:textId="77777777" w:rsidR="00DB2B68" w:rsidRDefault="00000000">
      <w:pPr>
        <w:pStyle w:val="Author-eListParagraph"/>
        <w:numPr>
          <w:ilvl w:val="0"/>
          <w:numId w:val="176"/>
        </w:numPr>
      </w:pPr>
      <w:r>
        <w:t xml:space="preserve">valeur U minimale de </w:t>
      </w:r>
      <w:r>
        <w:rPr>
          <w:rStyle w:val="optioncarChar"/>
        </w:rPr>
        <w:t>***</w:t>
      </w:r>
      <w:r>
        <w:t xml:space="preserve"> W/m²K</w:t>
      </w:r>
    </w:p>
    <w:p w14:paraId="27731995" w14:textId="77777777" w:rsidR="00DB2B68" w:rsidRDefault="00000000">
      <w:pPr>
        <w:pStyle w:val="Author-eListParagraph"/>
        <w:numPr>
          <w:ilvl w:val="0"/>
          <w:numId w:val="17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5A94392" w14:textId="77777777" w:rsidR="00DB2B68" w:rsidRDefault="00000000">
      <w:r>
        <w:br/>
        <w:t xml:space="preserve">Résistance au feu : </w:t>
      </w:r>
      <w:r>
        <w:rPr>
          <w:rStyle w:val="optioncarChar"/>
        </w:rPr>
        <w:t>EI30</w:t>
      </w:r>
      <w:r>
        <w:t> (par défaut)</w:t>
      </w:r>
      <w:r>
        <w:rPr>
          <w:rStyle w:val="optioncarChar"/>
        </w:rPr>
        <w:t xml:space="preserve"> / EI60/ EI90 / EI120 / EI*** </w:t>
      </w:r>
    </w:p>
    <w:p w14:paraId="4991F4BB" w14:textId="77777777" w:rsidR="00DB2B68" w:rsidRDefault="00000000">
      <w:r>
        <w:t xml:space="preserve">selon les tableaux dans </w:t>
      </w:r>
      <w:r>
        <w:rPr>
          <w:color w:val="0000FF"/>
        </w:rPr>
        <w:t>[NBN EN 1996-1-2 ANB]</w:t>
      </w:r>
      <w:r>
        <w:t>.</w:t>
      </w:r>
    </w:p>
    <w:p w14:paraId="7F6688B7" w14:textId="77777777" w:rsidR="00DB2B68" w:rsidRDefault="00000000">
      <w:pPr>
        <w:ind w:left="750"/>
      </w:pPr>
      <w:r>
        <w:t> </w:t>
      </w:r>
    </w:p>
    <w:p w14:paraId="1B97CC12" w14:textId="77777777" w:rsidR="00DB2B68" w:rsidRDefault="00000000">
      <w:pPr>
        <w:pStyle w:val="pheading"/>
      </w:pPr>
      <w:r>
        <w:t>- Finitions</w:t>
      </w:r>
    </w:p>
    <w:p w14:paraId="297C7E1F" w14:textId="77777777" w:rsidR="00DB2B68" w:rsidRDefault="00000000">
      <w:pPr>
        <w:pStyle w:val="Author-eListParagraph"/>
        <w:numPr>
          <w:ilvl w:val="0"/>
          <w:numId w:val="177"/>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27FF2BDA" w14:textId="77777777" w:rsidR="00DB2B68" w:rsidRDefault="00000000">
      <w:pPr>
        <w:pStyle w:val="Author-eListParagraph"/>
        <w:numPr>
          <w:ilvl w:val="0"/>
          <w:numId w:val="177"/>
        </w:numPr>
      </w:pPr>
      <w:r>
        <w:t xml:space="preserve">Les murs suivants sont exécutés avec une face restant apparente : </w:t>
      </w:r>
      <w:r>
        <w:rPr>
          <w:rStyle w:val="optioncarChar"/>
        </w:rPr>
        <w:t>***</w:t>
      </w:r>
    </w:p>
    <w:p w14:paraId="034213B4" w14:textId="77777777" w:rsidR="00DB2B68" w:rsidRDefault="00000000">
      <w:pPr>
        <w:pStyle w:val="Author-eListParagraph"/>
        <w:numPr>
          <w:ilvl w:val="0"/>
          <w:numId w:val="177"/>
        </w:numPr>
      </w:pPr>
      <w:r>
        <w:t xml:space="preserve">Les murs suivants sont exécutés avec deux faces restant apparentes : </w:t>
      </w:r>
      <w:r>
        <w:rPr>
          <w:rStyle w:val="optioncarChar"/>
        </w:rPr>
        <w:t>***</w:t>
      </w:r>
    </w:p>
    <w:p w14:paraId="18FA9B23" w14:textId="77777777" w:rsidR="00DB2B68" w:rsidRDefault="00000000">
      <w:pPr>
        <w:pStyle w:val="pheading"/>
      </w:pPr>
      <w:r>
        <w:t>MESURAGE</w:t>
      </w:r>
    </w:p>
    <w:p w14:paraId="611E50C7" w14:textId="77777777" w:rsidR="00DB2B68" w:rsidRDefault="00000000">
      <w:pPr>
        <w:pStyle w:val="pheading"/>
      </w:pPr>
      <w:r>
        <w:t>- unité de mesure:</w:t>
      </w:r>
    </w:p>
    <w:p w14:paraId="630DC293" w14:textId="77777777" w:rsidR="00DB2B68" w:rsidRDefault="00000000">
      <w:r>
        <w:rPr>
          <w:rStyle w:val="optioncarChar"/>
        </w:rPr>
        <w:t>m³ </w:t>
      </w:r>
      <w:r>
        <w:t>(par défaut)</w:t>
      </w:r>
      <w:r>
        <w:rPr>
          <w:rStyle w:val="optioncarChar"/>
        </w:rPr>
        <w:t> / m²</w:t>
      </w:r>
    </w:p>
    <w:p w14:paraId="21EE6AE7" w14:textId="77777777" w:rsidR="00DB2B68" w:rsidRDefault="00000000">
      <w:r>
        <w:rPr>
          <w:b/>
        </w:rPr>
        <w:t>(soit par défaut)</w:t>
      </w:r>
    </w:p>
    <w:p w14:paraId="5287F02A" w14:textId="77777777" w:rsidR="00DB2B68" w:rsidRDefault="00000000">
      <w:r>
        <w:rPr>
          <w:rStyle w:val="soitChar"/>
        </w:rPr>
        <w:t>1. m³</w:t>
      </w:r>
    </w:p>
    <w:p w14:paraId="441569B4" w14:textId="77777777" w:rsidR="00DB2B68" w:rsidRDefault="00000000">
      <w:r>
        <w:rPr>
          <w:b/>
        </w:rPr>
        <w:t>(soit)</w:t>
      </w:r>
    </w:p>
    <w:p w14:paraId="0484EE31" w14:textId="77777777" w:rsidR="00DB2B68" w:rsidRDefault="00000000">
      <w:r>
        <w:rPr>
          <w:rStyle w:val="soitChar"/>
        </w:rPr>
        <w:t>2. m²</w:t>
      </w:r>
    </w:p>
    <w:p w14:paraId="7AB2926F" w14:textId="77777777" w:rsidR="00DB2B68" w:rsidRDefault="00000000">
      <w:pPr>
        <w:pStyle w:val="pheading"/>
      </w:pPr>
      <w:r>
        <w:t>- code de mesurage:</w:t>
      </w:r>
    </w:p>
    <w:p w14:paraId="2FA894DA"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16331A7"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574D84C"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6E9A7C33" w14:textId="77777777" w:rsidR="00DB2B68" w:rsidRDefault="00000000">
      <w:r>
        <w:rPr>
          <w:rStyle w:val="optioncarChar"/>
        </w:rPr>
        <w:t>Volume net </w:t>
      </w:r>
      <w:r>
        <w:t>(par défaut)</w:t>
      </w:r>
      <w:r>
        <w:rPr>
          <w:rStyle w:val="optioncarChar"/>
        </w:rPr>
        <w:t> / Surface nette</w:t>
      </w:r>
    </w:p>
    <w:p w14:paraId="379BB141" w14:textId="77777777" w:rsidR="00DB2B68" w:rsidRDefault="00000000">
      <w:r>
        <w:rPr>
          <w:b/>
        </w:rPr>
        <w:t>(soit par défaut)</w:t>
      </w:r>
    </w:p>
    <w:p w14:paraId="6AEBE6D9" w14:textId="77777777" w:rsidR="00DB2B68" w:rsidRDefault="00000000">
      <w:r>
        <w:rPr>
          <w:rStyle w:val="soitChar"/>
        </w:rPr>
        <w:lastRenderedPageBreak/>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70403AC" w14:textId="77777777" w:rsidR="00DB2B68" w:rsidRDefault="00000000">
      <w:r>
        <w:rPr>
          <w:b/>
        </w:rPr>
        <w:t>(soit)</w:t>
      </w:r>
    </w:p>
    <w:p w14:paraId="700DCC9A"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C6F182B" w14:textId="77777777" w:rsidR="00DB2B68" w:rsidRDefault="00000000">
      <w:pPr>
        <w:ind w:left="750"/>
      </w:pPr>
      <w:r>
        <w:t> </w:t>
      </w:r>
    </w:p>
    <w:p w14:paraId="2CFF1CF0" w14:textId="77777777" w:rsidR="00DB2B68" w:rsidRDefault="00000000">
      <w:pPr>
        <w:pStyle w:val="pheading"/>
      </w:pPr>
      <w:r>
        <w:t>- nature du marché:</w:t>
      </w:r>
    </w:p>
    <w:p w14:paraId="5205EB91" w14:textId="77777777" w:rsidR="00DB2B68" w:rsidRDefault="00000000">
      <w:r>
        <w:t>QF</w:t>
      </w:r>
    </w:p>
    <w:p w14:paraId="482B0559" w14:textId="77777777" w:rsidR="00DB2B68" w:rsidRDefault="00000000">
      <w:pPr>
        <w:pStyle w:val="Author-eSectionHeading6Numberless"/>
      </w:pPr>
      <w:bookmarkStart w:id="166" w:name="_Toc220495308"/>
      <w:r>
        <w:t>21.22.2b Maçonneries non portantes en blocs de béton pleins à coller CCTB 01.13</w:t>
      </w:r>
      <w:bookmarkEnd w:id="166"/>
    </w:p>
    <w:p w14:paraId="357901D9" w14:textId="77777777" w:rsidR="00DB2B68" w:rsidRDefault="00000000">
      <w:pPr>
        <w:pStyle w:val="pheading"/>
      </w:pPr>
      <w:r>
        <w:t>DESCRIPTION</w:t>
      </w:r>
    </w:p>
    <w:p w14:paraId="7E48A57D" w14:textId="77777777" w:rsidR="00DB2B68" w:rsidRDefault="00000000">
      <w:pPr>
        <w:pStyle w:val="pheading"/>
      </w:pPr>
      <w:r>
        <w:t>- Définition / Comprend</w:t>
      </w:r>
    </w:p>
    <w:p w14:paraId="4401AD70" w14:textId="77777777" w:rsidR="00DB2B68" w:rsidRDefault="00000000">
      <w:r>
        <w:t xml:space="preserve">Il s’agit de la fourniture et la pose de maçonneries non portantes en blocs de béton à coller. </w:t>
      </w:r>
      <w:r>
        <w:br/>
        <w:t xml:space="preserve">La portée des travaux est décrite dans l’article </w:t>
      </w:r>
      <w:hyperlink w:anchor="389" w:history="1">
        <w:r>
          <w:rPr>
            <w:color w:val="0000EE"/>
          </w:rPr>
          <w:t>21.22.2 Maçonneries non portantes en blocs de béton</w:t>
        </w:r>
      </w:hyperlink>
      <w:r>
        <w:t>.</w:t>
      </w:r>
      <w:r>
        <w:br/>
        <w:t>Les travaux comprennent également la fourniture et la pose des pièces d’angle, de terminaison et de rencontre.</w:t>
      </w:r>
    </w:p>
    <w:p w14:paraId="0F677370" w14:textId="77777777" w:rsidR="00DB2B68" w:rsidRDefault="00000000">
      <w:pPr>
        <w:pStyle w:val="pheading"/>
      </w:pPr>
      <w:r>
        <w:t>- Localisation</w:t>
      </w:r>
    </w:p>
    <w:p w14:paraId="0EC449AF" w14:textId="77777777" w:rsidR="00DB2B68" w:rsidRDefault="00000000">
      <w:r>
        <w:t xml:space="preserve">La pose est réalisée aux endroits suivants : </w:t>
      </w:r>
      <w:r>
        <w:rPr>
          <w:rStyle w:val="optioncarChar"/>
        </w:rPr>
        <w:t>***</w:t>
      </w:r>
      <w:r>
        <w:t>.</w:t>
      </w:r>
      <w:r>
        <w:br/>
        <w:t>Voir plans et métrés détaillés.</w:t>
      </w:r>
    </w:p>
    <w:p w14:paraId="1B4B88AE" w14:textId="77777777" w:rsidR="00DB2B68" w:rsidRDefault="00000000">
      <w:pPr>
        <w:pStyle w:val="pheading"/>
      </w:pPr>
      <w:r>
        <w:t>MATÉRIAUX</w:t>
      </w:r>
    </w:p>
    <w:p w14:paraId="3BC74757" w14:textId="77777777" w:rsidR="00DB2B68" w:rsidRDefault="00000000">
      <w:pPr>
        <w:pStyle w:val="pheading"/>
      </w:pPr>
      <w:r>
        <w:t>- Caractéristiques générales</w:t>
      </w:r>
    </w:p>
    <w:p w14:paraId="67089D0F" w14:textId="77777777" w:rsidR="00DB2B68" w:rsidRDefault="00000000">
      <w:r>
        <w:rPr>
          <w:rStyle w:val="headingChar"/>
        </w:rPr>
        <w:t>Spécifications</w:t>
      </w:r>
    </w:p>
    <w:p w14:paraId="507E3B17" w14:textId="77777777" w:rsidR="00DB2B68" w:rsidRDefault="00000000">
      <w:r>
        <w:rPr>
          <w:u w:val="single"/>
        </w:rPr>
        <w:t>Blocs</w:t>
      </w:r>
    </w:p>
    <w:p w14:paraId="15ADB7C0"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46F04C9" w14:textId="77777777" w:rsidR="00DB2B68" w:rsidRDefault="00000000">
      <w:r>
        <w:t>La classe de tolérances dimensionnelles est D4</w:t>
      </w:r>
      <w:r>
        <w:br/>
      </w:r>
      <w:r>
        <w:br/>
      </w:r>
      <w:r>
        <w:lastRenderedPageBreak/>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w:t>
      </w:r>
      <w:r>
        <w:t> (par défaut)</w:t>
      </w:r>
      <w:r>
        <w:rPr>
          <w:rStyle w:val="optioncarChar"/>
        </w:rPr>
        <w:t xml:space="preserve"> / ***</w:t>
      </w:r>
    </w:p>
    <w:p w14:paraId="72176A29" w14:textId="77777777" w:rsidR="00DB2B68" w:rsidRDefault="00000000">
      <w:pPr>
        <w:spacing w:before="0" w:after="0"/>
      </w:pPr>
      <w:r>
        <w:rPr>
          <w:u w:val="single"/>
        </w:rPr>
        <w:t>Mortier</w:t>
      </w:r>
    </w:p>
    <w:p w14:paraId="07508A41"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37D48DB2"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04CB456" w14:textId="77777777" w:rsidR="00DB2B68" w:rsidRDefault="00000000">
      <w:pPr>
        <w:spacing w:before="0" w:after="0"/>
      </w:pPr>
      <w:r>
        <w:rPr>
          <w:rStyle w:val="normalChar"/>
          <w:color w:val="000000"/>
        </w:rPr>
        <w:t>Résistance au gel : oui</w:t>
      </w:r>
    </w:p>
    <w:p w14:paraId="49AF3CCE" w14:textId="77777777" w:rsidR="00DB2B68" w:rsidRDefault="00000000">
      <w:r>
        <w:br/>
      </w:r>
      <w:r>
        <w:rPr>
          <w:rStyle w:val="headingChar"/>
        </w:rPr>
        <w:t>Critères De Performances De La Paroi</w:t>
      </w:r>
    </w:p>
    <w:p w14:paraId="62BC8486" w14:textId="77777777" w:rsidR="00DB2B68" w:rsidRDefault="00000000">
      <w:r>
        <w:t>Coefficient de transmission :</w:t>
      </w:r>
    </w:p>
    <w:p w14:paraId="7534F2C6" w14:textId="77777777" w:rsidR="00DB2B68" w:rsidRDefault="00000000">
      <w:pPr>
        <w:pStyle w:val="Author-eListParagraph"/>
        <w:numPr>
          <w:ilvl w:val="0"/>
          <w:numId w:val="178"/>
        </w:numPr>
      </w:pPr>
      <w:r>
        <w:t xml:space="preserve">valeur U minimale de </w:t>
      </w:r>
      <w:r>
        <w:rPr>
          <w:rStyle w:val="optioncarChar"/>
        </w:rPr>
        <w:t>***</w:t>
      </w:r>
      <w:r>
        <w:t xml:space="preserve"> W/m²K</w:t>
      </w:r>
    </w:p>
    <w:p w14:paraId="0B529DEE" w14:textId="77777777" w:rsidR="00DB2B68" w:rsidRDefault="00000000">
      <w:pPr>
        <w:pStyle w:val="Author-eListParagraph"/>
        <w:numPr>
          <w:ilvl w:val="0"/>
          <w:numId w:val="17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B815AA5" w14:textId="77777777" w:rsidR="00DB2B68" w:rsidRDefault="00000000">
      <w:r>
        <w:br/>
        <w:t xml:space="preserve">Résistance au feu: </w:t>
      </w:r>
      <w:r>
        <w:rPr>
          <w:rStyle w:val="optioncarChar"/>
        </w:rPr>
        <w:t xml:space="preserve">EI30 </w:t>
      </w:r>
      <w:r>
        <w:t>(par défaut) </w:t>
      </w:r>
      <w:r>
        <w:rPr>
          <w:rStyle w:val="optioncarChar"/>
        </w:rPr>
        <w:t>/ EI60 / EI90 / EI120 / EI***</w:t>
      </w:r>
    </w:p>
    <w:p w14:paraId="2C7F6C12" w14:textId="77777777" w:rsidR="00DB2B68" w:rsidRDefault="00000000">
      <w:r>
        <w:t>selon les tableaux dans [NBN EN 1996-1-2 ANB].</w:t>
      </w:r>
    </w:p>
    <w:p w14:paraId="2F61B965" w14:textId="77777777" w:rsidR="00DB2B68" w:rsidRDefault="00000000">
      <w:pPr>
        <w:ind w:left="750"/>
      </w:pPr>
      <w:r>
        <w:t> </w:t>
      </w:r>
    </w:p>
    <w:p w14:paraId="53121CC6" w14:textId="77777777" w:rsidR="00DB2B68" w:rsidRDefault="00000000">
      <w:pPr>
        <w:pStyle w:val="pheading"/>
      </w:pPr>
      <w:r>
        <w:t>- Finitions</w:t>
      </w:r>
    </w:p>
    <w:p w14:paraId="78E6C3E6" w14:textId="77777777" w:rsidR="00DB2B68" w:rsidRDefault="00000000">
      <w:pPr>
        <w:pStyle w:val="Author-eListParagraph"/>
        <w:numPr>
          <w:ilvl w:val="0"/>
          <w:numId w:val="179"/>
        </w:numPr>
      </w:pPr>
      <w:r>
        <w:t xml:space="preserve">Les murs suivants sont exécutés avec deux faces restant apparentes : </w:t>
      </w:r>
      <w:r>
        <w:rPr>
          <w:rStyle w:val="optioncarChar"/>
        </w:rPr>
        <w:t>***</w:t>
      </w:r>
    </w:p>
    <w:p w14:paraId="47F644F1" w14:textId="77777777" w:rsidR="00DB2B68" w:rsidRDefault="00000000">
      <w:pPr>
        <w:pStyle w:val="Author-eListParagraph"/>
        <w:numPr>
          <w:ilvl w:val="0"/>
          <w:numId w:val="179"/>
        </w:numPr>
      </w:pPr>
      <w:r>
        <w:t xml:space="preserve">Les murs suivants sont exécutés avec deux faces restant apparentes : </w:t>
      </w:r>
      <w:r>
        <w:rPr>
          <w:rStyle w:val="optioncarChar"/>
        </w:rPr>
        <w:t>***</w:t>
      </w:r>
    </w:p>
    <w:p w14:paraId="4DBFAB17" w14:textId="77777777" w:rsidR="00DB2B68" w:rsidRDefault="00000000">
      <w:pPr>
        <w:pStyle w:val="pheading"/>
      </w:pPr>
      <w:r>
        <w:t>MESURAGE</w:t>
      </w:r>
    </w:p>
    <w:p w14:paraId="4D136D84" w14:textId="77777777" w:rsidR="00DB2B68" w:rsidRDefault="00000000">
      <w:pPr>
        <w:pStyle w:val="pheading"/>
      </w:pPr>
      <w:r>
        <w:t>- unité de mesure:</w:t>
      </w:r>
    </w:p>
    <w:p w14:paraId="7D5D4AD3" w14:textId="77777777" w:rsidR="00DB2B68" w:rsidRDefault="00000000">
      <w:r>
        <w:rPr>
          <w:rStyle w:val="optioncarChar"/>
        </w:rPr>
        <w:t>m³ </w:t>
      </w:r>
      <w:r>
        <w:t>(par défaut)</w:t>
      </w:r>
      <w:r>
        <w:rPr>
          <w:rStyle w:val="optioncarChar"/>
        </w:rPr>
        <w:t> / m²</w:t>
      </w:r>
    </w:p>
    <w:p w14:paraId="7F0C73BD" w14:textId="77777777" w:rsidR="00DB2B68" w:rsidRDefault="00000000">
      <w:r>
        <w:rPr>
          <w:b/>
        </w:rPr>
        <w:t>(soit par défaut)</w:t>
      </w:r>
    </w:p>
    <w:p w14:paraId="1BC119DD" w14:textId="77777777" w:rsidR="00DB2B68" w:rsidRDefault="00000000">
      <w:r>
        <w:rPr>
          <w:rStyle w:val="soitChar"/>
        </w:rPr>
        <w:t>1. m³</w:t>
      </w:r>
    </w:p>
    <w:p w14:paraId="5A0A0508" w14:textId="77777777" w:rsidR="00DB2B68" w:rsidRDefault="00000000">
      <w:r>
        <w:rPr>
          <w:b/>
        </w:rPr>
        <w:t>(soit)</w:t>
      </w:r>
    </w:p>
    <w:p w14:paraId="4D6FE443" w14:textId="77777777" w:rsidR="00DB2B68" w:rsidRDefault="00000000">
      <w:r>
        <w:rPr>
          <w:rStyle w:val="soitChar"/>
        </w:rPr>
        <w:t>2. m²</w:t>
      </w:r>
    </w:p>
    <w:p w14:paraId="5894CECE" w14:textId="77777777" w:rsidR="00DB2B68" w:rsidRDefault="00000000">
      <w:pPr>
        <w:pStyle w:val="pheading"/>
      </w:pPr>
      <w:r>
        <w:t>- code de mesurage:</w:t>
      </w:r>
    </w:p>
    <w:p w14:paraId="5FCEA753"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5F609F9"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AE961BD"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06573FB1" w14:textId="77777777" w:rsidR="00DB2B68" w:rsidRDefault="00000000">
      <w:r>
        <w:rPr>
          <w:rStyle w:val="optioncarChar"/>
        </w:rPr>
        <w:t>Volume net </w:t>
      </w:r>
      <w:r>
        <w:t>(par défaut)</w:t>
      </w:r>
      <w:r>
        <w:rPr>
          <w:rStyle w:val="optioncarChar"/>
        </w:rPr>
        <w:t> / Surface nette</w:t>
      </w:r>
    </w:p>
    <w:p w14:paraId="5C332D56" w14:textId="77777777" w:rsidR="00DB2B68" w:rsidRDefault="00000000">
      <w:r>
        <w:rPr>
          <w:b/>
        </w:rPr>
        <w:t>(soit par défaut)</w:t>
      </w:r>
    </w:p>
    <w:p w14:paraId="325F1363" w14:textId="77777777" w:rsidR="00DB2B68" w:rsidRDefault="00000000">
      <w:r>
        <w:rPr>
          <w:rStyle w:val="soitChar"/>
        </w:rPr>
        <w:lastRenderedPageBreak/>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47779F6" w14:textId="77777777" w:rsidR="00DB2B68" w:rsidRDefault="00000000">
      <w:r>
        <w:rPr>
          <w:b/>
        </w:rPr>
        <w:t>(soit)</w:t>
      </w:r>
    </w:p>
    <w:p w14:paraId="768E804C"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3DCCAB6" w14:textId="77777777" w:rsidR="00DB2B68" w:rsidRDefault="00000000">
      <w:pPr>
        <w:pStyle w:val="pheading"/>
      </w:pPr>
      <w:r>
        <w:t>- nature du marché:</w:t>
      </w:r>
    </w:p>
    <w:p w14:paraId="58597F8F" w14:textId="77777777" w:rsidR="00DB2B68" w:rsidRDefault="00000000">
      <w:r>
        <w:t>QF</w:t>
      </w:r>
    </w:p>
    <w:p w14:paraId="7C7F69D0" w14:textId="77777777" w:rsidR="00DB2B68" w:rsidRDefault="00000000">
      <w:pPr>
        <w:pStyle w:val="Author-eSectionHeading6Numberless"/>
      </w:pPr>
      <w:bookmarkStart w:id="167" w:name="_Toc220495309"/>
      <w:r>
        <w:t>21.22.2c Maçonneries non portantes en blocs de béton creux à maçonner CCTB 01.13</w:t>
      </w:r>
      <w:bookmarkEnd w:id="167"/>
    </w:p>
    <w:p w14:paraId="3F0B3ABC" w14:textId="77777777" w:rsidR="00DB2B68" w:rsidRDefault="00000000">
      <w:pPr>
        <w:pStyle w:val="pheading"/>
      </w:pPr>
      <w:r>
        <w:t>DESCRIPTION</w:t>
      </w:r>
    </w:p>
    <w:p w14:paraId="2CD926F9" w14:textId="77777777" w:rsidR="00DB2B68" w:rsidRDefault="00000000">
      <w:pPr>
        <w:pStyle w:val="pheading"/>
      </w:pPr>
      <w:r>
        <w:t>- Définition / Comprend</w:t>
      </w:r>
    </w:p>
    <w:p w14:paraId="21B8EEC8" w14:textId="77777777" w:rsidR="00DB2B68" w:rsidRDefault="00000000">
      <w:r>
        <w:t xml:space="preserve">Il s’agit de la fourniture et la pose de maçonneries non portantes en blocs de béton creux à maçonner. </w:t>
      </w:r>
      <w:r>
        <w:br/>
        <w:t xml:space="preserve">La portée des travaux est décrite dans l’article </w:t>
      </w:r>
      <w:hyperlink w:anchor="389" w:history="1">
        <w:r>
          <w:rPr>
            <w:color w:val="0000EE"/>
          </w:rPr>
          <w:t>21.22.2 Maçonneries non portantes en blocs de béton</w:t>
        </w:r>
      </w:hyperlink>
      <w:r>
        <w:t>.</w:t>
      </w:r>
      <w:r>
        <w:br/>
        <w:t>Les travaux comprennent également la fourniture et la pose des pièces d’angle, de terminaison et de rencontre.</w:t>
      </w:r>
    </w:p>
    <w:p w14:paraId="4EAD3DB4" w14:textId="77777777" w:rsidR="00DB2B68" w:rsidRDefault="00000000">
      <w:pPr>
        <w:pStyle w:val="pheading"/>
      </w:pPr>
      <w:r>
        <w:t>- Localisation</w:t>
      </w:r>
    </w:p>
    <w:p w14:paraId="6725146E" w14:textId="77777777" w:rsidR="00DB2B68" w:rsidRDefault="00000000">
      <w:r>
        <w:t xml:space="preserve">La pose est réalisée aux endroits suivants : </w:t>
      </w:r>
      <w:r>
        <w:rPr>
          <w:rStyle w:val="optioncarChar"/>
        </w:rPr>
        <w:t>***</w:t>
      </w:r>
      <w:r>
        <w:t>.</w:t>
      </w:r>
      <w:r>
        <w:br/>
        <w:t>Voir plans et métrés détaillés.</w:t>
      </w:r>
    </w:p>
    <w:p w14:paraId="148DAB56" w14:textId="77777777" w:rsidR="00DB2B68" w:rsidRDefault="00000000">
      <w:pPr>
        <w:pStyle w:val="pheading"/>
      </w:pPr>
      <w:r>
        <w:t>MATÉRIAUX</w:t>
      </w:r>
    </w:p>
    <w:p w14:paraId="19F2C0E3" w14:textId="77777777" w:rsidR="00DB2B68" w:rsidRDefault="00000000">
      <w:pPr>
        <w:pStyle w:val="pheading"/>
      </w:pPr>
      <w:r>
        <w:t>- Caractéristiques générales</w:t>
      </w:r>
    </w:p>
    <w:p w14:paraId="10DE7240" w14:textId="77777777" w:rsidR="00DB2B68" w:rsidRDefault="00000000">
      <w:r>
        <w:rPr>
          <w:rStyle w:val="headingChar"/>
        </w:rPr>
        <w:t>Spécifications</w:t>
      </w:r>
    </w:p>
    <w:p w14:paraId="40D1B40D" w14:textId="77777777" w:rsidR="00DB2B68" w:rsidRDefault="00000000">
      <w:r>
        <w:rPr>
          <w:u w:val="single"/>
        </w:rPr>
        <w:t>Blocs</w:t>
      </w:r>
    </w:p>
    <w:p w14:paraId="47F53668"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25350BE6" w14:textId="77777777" w:rsidR="00DB2B68" w:rsidRDefault="00000000">
      <w: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p>
    <w:p w14:paraId="7F164168" w14:textId="77777777" w:rsidR="00DB2B68" w:rsidRDefault="00000000">
      <w:r>
        <w:t>Face qui reste visible : lisse</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3D81E3B" w14:textId="77777777" w:rsidR="00DB2B68" w:rsidRDefault="00000000">
      <w:r>
        <w:lastRenderedPageBreak/>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 ***</w:t>
      </w:r>
    </w:p>
    <w:p w14:paraId="650C8331" w14:textId="77777777" w:rsidR="00DB2B68" w:rsidRDefault="00000000">
      <w:pPr>
        <w:spacing w:before="0" w:after="0"/>
      </w:pPr>
      <w:r>
        <w:rPr>
          <w:u w:val="single"/>
        </w:rPr>
        <w:t>Mortier</w:t>
      </w:r>
    </w:p>
    <w:p w14:paraId="2C11CCC3"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41E92623"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2868E9A1" w14:textId="77777777" w:rsidR="00DB2B68" w:rsidRDefault="00000000">
      <w:pPr>
        <w:spacing w:before="0" w:after="0"/>
      </w:pPr>
      <w:r>
        <w:rPr>
          <w:rStyle w:val="normalChar"/>
          <w:color w:val="000000"/>
        </w:rPr>
        <w:t>Résistance au gel : oui</w:t>
      </w:r>
    </w:p>
    <w:p w14:paraId="5BD781F4" w14:textId="77777777" w:rsidR="00DB2B68" w:rsidRDefault="00000000">
      <w:r>
        <w:br/>
      </w:r>
      <w:r>
        <w:rPr>
          <w:rStyle w:val="headingChar"/>
        </w:rPr>
        <w:t>Critères De Performances De La Paroi</w:t>
      </w:r>
    </w:p>
    <w:p w14:paraId="75A15DE1" w14:textId="77777777" w:rsidR="00DB2B68" w:rsidRDefault="00000000">
      <w:r>
        <w:t>Coefficient de transmission :</w:t>
      </w:r>
    </w:p>
    <w:p w14:paraId="4A9B84B0" w14:textId="77777777" w:rsidR="00DB2B68" w:rsidRDefault="00000000">
      <w:pPr>
        <w:pStyle w:val="Author-eListParagraph"/>
        <w:numPr>
          <w:ilvl w:val="0"/>
          <w:numId w:val="180"/>
        </w:numPr>
      </w:pPr>
      <w:r>
        <w:t xml:space="preserve">valeur U minimale de </w:t>
      </w:r>
      <w:r>
        <w:rPr>
          <w:rStyle w:val="optioncarChar"/>
        </w:rPr>
        <w:t>***</w:t>
      </w:r>
      <w:r>
        <w:t xml:space="preserve"> W/m²K</w:t>
      </w:r>
    </w:p>
    <w:p w14:paraId="4B3E28D5" w14:textId="77777777" w:rsidR="00DB2B68" w:rsidRDefault="00000000">
      <w:pPr>
        <w:pStyle w:val="Author-eListParagraph"/>
        <w:numPr>
          <w:ilvl w:val="0"/>
          <w:numId w:val="18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AB14580" w14:textId="77777777" w:rsidR="00DB2B68" w:rsidRDefault="00000000">
      <w:r>
        <w:br/>
        <w:t xml:space="preserve">Résistance au feu : </w:t>
      </w:r>
      <w:r>
        <w:rPr>
          <w:rStyle w:val="optioncarChar"/>
        </w:rPr>
        <w:t>EI30 </w:t>
      </w:r>
      <w:r>
        <w:t>(par défaut)</w:t>
      </w:r>
      <w:r>
        <w:rPr>
          <w:rStyle w:val="optioncarChar"/>
        </w:rPr>
        <w:t xml:space="preserve"> / EI60 / EI90 / EI120 / EI*** </w:t>
      </w:r>
    </w:p>
    <w:p w14:paraId="6DC41C55" w14:textId="77777777" w:rsidR="00DB2B68" w:rsidRDefault="00000000">
      <w:r>
        <w:t>selon les tableaux dans [NBN EN 1996-1-2 ANB].</w:t>
      </w:r>
    </w:p>
    <w:p w14:paraId="177FEB1B" w14:textId="77777777" w:rsidR="00DB2B68" w:rsidRDefault="00000000">
      <w:pPr>
        <w:ind w:left="750"/>
      </w:pPr>
      <w:r>
        <w:t> </w:t>
      </w:r>
    </w:p>
    <w:p w14:paraId="216B38F6" w14:textId="77777777" w:rsidR="00DB2B68" w:rsidRDefault="00000000">
      <w:pPr>
        <w:pStyle w:val="pheading"/>
      </w:pPr>
      <w:r>
        <w:t>- Finitions</w:t>
      </w:r>
    </w:p>
    <w:p w14:paraId="2974FA27" w14:textId="77777777" w:rsidR="00DB2B68" w:rsidRDefault="00000000">
      <w:pPr>
        <w:pStyle w:val="Author-eListParagraph"/>
        <w:numPr>
          <w:ilvl w:val="0"/>
          <w:numId w:val="181"/>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07AD7A45" w14:textId="77777777" w:rsidR="00DB2B68" w:rsidRDefault="00000000">
      <w:pPr>
        <w:pStyle w:val="Author-eListParagraph"/>
        <w:numPr>
          <w:ilvl w:val="0"/>
          <w:numId w:val="181"/>
        </w:numPr>
      </w:pPr>
      <w:r>
        <w:t xml:space="preserve">Les murs suivants sont exécutés avec une face restant apparente : </w:t>
      </w:r>
      <w:r>
        <w:rPr>
          <w:rStyle w:val="optioncarChar"/>
        </w:rPr>
        <w:t>***</w:t>
      </w:r>
    </w:p>
    <w:p w14:paraId="25386336" w14:textId="77777777" w:rsidR="00DB2B68" w:rsidRDefault="00000000">
      <w:pPr>
        <w:pStyle w:val="Author-eListParagraph"/>
        <w:numPr>
          <w:ilvl w:val="0"/>
          <w:numId w:val="181"/>
        </w:numPr>
      </w:pPr>
      <w:r>
        <w:t xml:space="preserve">Les murs suivants sont exécutés avec deux faces restant apparentes : </w:t>
      </w:r>
      <w:r>
        <w:rPr>
          <w:rStyle w:val="optioncarChar"/>
        </w:rPr>
        <w:t>***</w:t>
      </w:r>
    </w:p>
    <w:p w14:paraId="7F42E6A8" w14:textId="77777777" w:rsidR="00DB2B68" w:rsidRDefault="00000000">
      <w:pPr>
        <w:pStyle w:val="pheading"/>
      </w:pPr>
      <w:r>
        <w:t>MESURAGE</w:t>
      </w:r>
    </w:p>
    <w:p w14:paraId="4497A548" w14:textId="77777777" w:rsidR="00DB2B68" w:rsidRDefault="00000000">
      <w:pPr>
        <w:pStyle w:val="pheading"/>
      </w:pPr>
      <w:r>
        <w:t>- unité de mesure:</w:t>
      </w:r>
    </w:p>
    <w:p w14:paraId="08AC8484" w14:textId="77777777" w:rsidR="00DB2B68" w:rsidRDefault="00000000">
      <w:r>
        <w:rPr>
          <w:rStyle w:val="optioncarChar"/>
        </w:rPr>
        <w:t>m³ </w:t>
      </w:r>
      <w:r>
        <w:t>(par défaut)</w:t>
      </w:r>
      <w:r>
        <w:rPr>
          <w:rStyle w:val="optioncarChar"/>
        </w:rPr>
        <w:t> / m²</w:t>
      </w:r>
    </w:p>
    <w:p w14:paraId="5D6468C2" w14:textId="77777777" w:rsidR="00DB2B68" w:rsidRDefault="00000000">
      <w:r>
        <w:rPr>
          <w:b/>
        </w:rPr>
        <w:t>(soit par défaut)</w:t>
      </w:r>
    </w:p>
    <w:p w14:paraId="7013CC24" w14:textId="77777777" w:rsidR="00DB2B68" w:rsidRDefault="00000000">
      <w:r>
        <w:rPr>
          <w:rStyle w:val="soitChar"/>
        </w:rPr>
        <w:t>1. m³</w:t>
      </w:r>
    </w:p>
    <w:p w14:paraId="428B6FF9" w14:textId="77777777" w:rsidR="00DB2B68" w:rsidRDefault="00000000">
      <w:r>
        <w:rPr>
          <w:b/>
        </w:rPr>
        <w:t>(soit)</w:t>
      </w:r>
    </w:p>
    <w:p w14:paraId="7A5376B3" w14:textId="77777777" w:rsidR="00DB2B68" w:rsidRDefault="00000000">
      <w:r>
        <w:rPr>
          <w:rStyle w:val="soitChar"/>
        </w:rPr>
        <w:t>2. m²</w:t>
      </w:r>
    </w:p>
    <w:p w14:paraId="6EFDA9A9" w14:textId="77777777" w:rsidR="00DB2B68" w:rsidRDefault="00000000">
      <w:pPr>
        <w:pStyle w:val="pheading"/>
      </w:pPr>
      <w:r>
        <w:t>- code de mesurage:</w:t>
      </w:r>
    </w:p>
    <w:p w14:paraId="1462A352"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7203C0F"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AACD8ED"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40ACEE4" w14:textId="77777777" w:rsidR="00DB2B68" w:rsidRDefault="00000000">
      <w:r>
        <w:rPr>
          <w:rStyle w:val="optioncarChar"/>
        </w:rPr>
        <w:t>Volume net </w:t>
      </w:r>
      <w:r>
        <w:t>(par défaut)</w:t>
      </w:r>
      <w:r>
        <w:rPr>
          <w:rStyle w:val="optioncarChar"/>
        </w:rPr>
        <w:t> / Surface nette</w:t>
      </w:r>
    </w:p>
    <w:p w14:paraId="5DAFF604" w14:textId="77777777" w:rsidR="00DB2B68" w:rsidRDefault="00000000">
      <w:r>
        <w:rPr>
          <w:b/>
        </w:rPr>
        <w:lastRenderedPageBreak/>
        <w:t>(soit par défaut)</w:t>
      </w:r>
    </w:p>
    <w:p w14:paraId="427DD497"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051763A" w14:textId="77777777" w:rsidR="00DB2B68" w:rsidRDefault="00000000">
      <w:r>
        <w:rPr>
          <w:b/>
        </w:rPr>
        <w:t>(soit)</w:t>
      </w:r>
    </w:p>
    <w:p w14:paraId="003172F4"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413B311" w14:textId="77777777" w:rsidR="00DB2B68" w:rsidRDefault="00DB2B68"/>
    <w:p w14:paraId="02C93E0A" w14:textId="77777777" w:rsidR="00DB2B68" w:rsidRDefault="00000000">
      <w:pPr>
        <w:ind w:left="750"/>
      </w:pPr>
      <w:r>
        <w:t> </w:t>
      </w:r>
    </w:p>
    <w:p w14:paraId="7D5DC395" w14:textId="77777777" w:rsidR="00DB2B68" w:rsidRDefault="00000000">
      <w:pPr>
        <w:pStyle w:val="pheading"/>
      </w:pPr>
      <w:r>
        <w:t>- nature du marché:</w:t>
      </w:r>
    </w:p>
    <w:p w14:paraId="11251CC5" w14:textId="77777777" w:rsidR="00DB2B68" w:rsidRDefault="00000000">
      <w:r>
        <w:t>QF</w:t>
      </w:r>
    </w:p>
    <w:p w14:paraId="57CD5BC0" w14:textId="77777777" w:rsidR="00DB2B68" w:rsidRDefault="00000000">
      <w:pPr>
        <w:pStyle w:val="Author-eSectionHeading6Numberless"/>
      </w:pPr>
      <w:bookmarkStart w:id="168" w:name="_Toc220495310"/>
      <w:r>
        <w:t>21.22.2d Maçonneries non portantes en blocs de béton creux à coller CCTB 01.13</w:t>
      </w:r>
      <w:bookmarkEnd w:id="168"/>
    </w:p>
    <w:p w14:paraId="7C45B8B3" w14:textId="77777777" w:rsidR="00DB2B68" w:rsidRDefault="00000000">
      <w:pPr>
        <w:pStyle w:val="pheading"/>
      </w:pPr>
      <w:r>
        <w:t>DESCRIPTION</w:t>
      </w:r>
    </w:p>
    <w:p w14:paraId="19CBB712" w14:textId="77777777" w:rsidR="00DB2B68" w:rsidRDefault="00000000">
      <w:pPr>
        <w:pStyle w:val="pheading"/>
      </w:pPr>
      <w:r>
        <w:t>- Définition / Comprend</w:t>
      </w:r>
    </w:p>
    <w:p w14:paraId="373AF3BF" w14:textId="77777777" w:rsidR="00DB2B68" w:rsidRDefault="00000000">
      <w:r>
        <w:t xml:space="preserve">Il s’agit de la fourniture et la pose de maçonneries non portantes en blocs en béton creux à coller. </w:t>
      </w:r>
      <w:r>
        <w:br/>
        <w:t xml:space="preserve">La portée des travaux est décrite dans l’article </w:t>
      </w:r>
      <w:hyperlink w:anchor="389" w:history="1">
        <w:r>
          <w:rPr>
            <w:color w:val="0000EE"/>
          </w:rPr>
          <w:t>21.22.2 Maçonneries non portantes en blocs de béton</w:t>
        </w:r>
      </w:hyperlink>
      <w:r>
        <w:t>.</w:t>
      </w:r>
      <w:r>
        <w:br/>
        <w:t>Les travaux comprennent également la fourniture et la pose des pièces d’angle, de terminaison et de rencontre.</w:t>
      </w:r>
    </w:p>
    <w:p w14:paraId="6BA5C7CB" w14:textId="77777777" w:rsidR="00DB2B68" w:rsidRDefault="00000000">
      <w:pPr>
        <w:pStyle w:val="pheading"/>
      </w:pPr>
      <w:r>
        <w:t>- Localisation</w:t>
      </w:r>
    </w:p>
    <w:p w14:paraId="51EE95AE" w14:textId="77777777" w:rsidR="00DB2B68" w:rsidRDefault="00000000">
      <w:r>
        <w:t xml:space="preserve">La pose est réalisée aux endroits suivants : </w:t>
      </w:r>
      <w:r>
        <w:rPr>
          <w:rStyle w:val="optioncarChar"/>
        </w:rPr>
        <w:t>***</w:t>
      </w:r>
      <w:r>
        <w:t>.</w:t>
      </w:r>
      <w:r>
        <w:br/>
        <w:t>Voir plans et métrés détaillés.</w:t>
      </w:r>
    </w:p>
    <w:p w14:paraId="48F11372" w14:textId="77777777" w:rsidR="00DB2B68" w:rsidRDefault="00000000">
      <w:pPr>
        <w:pStyle w:val="pheading"/>
      </w:pPr>
      <w:r>
        <w:t>MATÉRIAUX</w:t>
      </w:r>
    </w:p>
    <w:p w14:paraId="6383D115" w14:textId="77777777" w:rsidR="00DB2B68" w:rsidRDefault="00000000">
      <w:pPr>
        <w:pStyle w:val="pheading"/>
      </w:pPr>
      <w:r>
        <w:t>- Caractéristiques générales</w:t>
      </w:r>
    </w:p>
    <w:p w14:paraId="52F8F635" w14:textId="77777777" w:rsidR="00DB2B68" w:rsidRDefault="00000000">
      <w:r>
        <w:rPr>
          <w:rStyle w:val="headingChar"/>
        </w:rPr>
        <w:t>Spécifications</w:t>
      </w:r>
    </w:p>
    <w:p w14:paraId="340A3874" w14:textId="77777777" w:rsidR="00DB2B68" w:rsidRDefault="00000000">
      <w:r>
        <w:rPr>
          <w:u w:val="single"/>
        </w:rPr>
        <w:t>Blocs</w:t>
      </w:r>
    </w:p>
    <w:p w14:paraId="072494E2"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 xml:space="preserve">Face à cimenter ou plafonner : </w:t>
      </w:r>
      <w:r>
        <w:rPr>
          <w:rStyle w:val="optioncarChar"/>
        </w:rPr>
        <w:t xml:space="preserve">lisse </w:t>
      </w:r>
      <w:r>
        <w:t>(par défaut)</w:t>
      </w:r>
      <w:r>
        <w:rPr>
          <w:rStyle w:val="optioncarChar"/>
        </w:rPr>
        <w:t xml:space="preserve"> / rainurée</w:t>
      </w:r>
      <w:r>
        <w:br/>
      </w:r>
      <w:r>
        <w:br/>
        <w:t xml:space="preserve">Teinte : </w:t>
      </w:r>
      <w:r>
        <w:rPr>
          <w:rStyle w:val="optioncarChar"/>
        </w:rPr>
        <w:t>blanc / gris </w:t>
      </w:r>
      <w:r>
        <w:t>(par défaut)</w:t>
      </w:r>
      <w:r>
        <w:rPr>
          <w:rStyle w:val="optioncarChar"/>
        </w:rPr>
        <w:t xml:space="preserve"> / ***</w:t>
      </w:r>
      <w:r>
        <w:br/>
      </w:r>
      <w:r>
        <w:br/>
        <w:t>Format : (L x l x h) : </w:t>
      </w:r>
      <w:r>
        <w:rPr>
          <w:rStyle w:val="optioncarChar"/>
        </w:rPr>
        <w:t>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2170544E" w14:textId="77777777" w:rsidR="00DB2B68" w:rsidRDefault="00000000">
      <w:r>
        <w:lastRenderedPageBreak/>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selon [NBN EN 1996-2 ANB] et [NIT 271].</w:t>
      </w:r>
      <w:r>
        <w:br/>
      </w:r>
      <w:r>
        <w:br/>
        <w:t xml:space="preserve">Réaction au feu : </w:t>
      </w:r>
      <w:r>
        <w:rPr>
          <w:rStyle w:val="optioncarChar"/>
        </w:rPr>
        <w:t>A1</w:t>
      </w:r>
      <w:r>
        <w:t xml:space="preserve"> (par défaut) </w:t>
      </w:r>
      <w:r>
        <w:rPr>
          <w:rStyle w:val="optioncarChar"/>
        </w:rPr>
        <w:t>/ ***</w:t>
      </w:r>
    </w:p>
    <w:p w14:paraId="6D5F02A2" w14:textId="77777777" w:rsidR="00DB2B68" w:rsidRDefault="00000000">
      <w:pPr>
        <w:spacing w:before="0" w:after="0"/>
      </w:pPr>
      <w:r>
        <w:rPr>
          <w:u w:val="single"/>
        </w:rPr>
        <w:t>Mortier</w:t>
      </w:r>
    </w:p>
    <w:p w14:paraId="70F4F9EF" w14:textId="77777777" w:rsidR="00DB2B68"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0125340C"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0B4A6B55" w14:textId="77777777" w:rsidR="00DB2B68" w:rsidRDefault="00000000">
      <w:pPr>
        <w:spacing w:before="0" w:after="0"/>
      </w:pPr>
      <w:r>
        <w:rPr>
          <w:rStyle w:val="normalChar"/>
          <w:color w:val="000000"/>
        </w:rPr>
        <w:t>Résistance au gel : oui</w:t>
      </w:r>
    </w:p>
    <w:p w14:paraId="41044D7C" w14:textId="77777777" w:rsidR="00DB2B68" w:rsidRDefault="00000000">
      <w:r>
        <w:br/>
      </w:r>
      <w:r>
        <w:rPr>
          <w:rStyle w:val="headingChar"/>
        </w:rPr>
        <w:t>Critères De Performances De La Paroi</w:t>
      </w:r>
    </w:p>
    <w:p w14:paraId="5D1D5677" w14:textId="77777777" w:rsidR="00DB2B68" w:rsidRDefault="00000000">
      <w:r>
        <w:t>Coefficient de transmission :</w:t>
      </w:r>
    </w:p>
    <w:p w14:paraId="498AEF3E" w14:textId="77777777" w:rsidR="00DB2B68" w:rsidRDefault="00000000">
      <w:pPr>
        <w:pStyle w:val="Author-eListParagraph"/>
        <w:numPr>
          <w:ilvl w:val="0"/>
          <w:numId w:val="182"/>
        </w:numPr>
      </w:pPr>
      <w:r>
        <w:t xml:space="preserve">valeur U minimale de </w:t>
      </w:r>
      <w:r>
        <w:rPr>
          <w:rStyle w:val="optioncarChar"/>
        </w:rPr>
        <w:t>***</w:t>
      </w:r>
      <w:r>
        <w:t xml:space="preserve"> W/m²K</w:t>
      </w:r>
    </w:p>
    <w:p w14:paraId="7208F975" w14:textId="77777777" w:rsidR="00DB2B68" w:rsidRDefault="00000000">
      <w:pPr>
        <w:pStyle w:val="Author-eListParagraph"/>
        <w:numPr>
          <w:ilvl w:val="0"/>
          <w:numId w:val="18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D56F8D6" w14:textId="77777777" w:rsidR="00DB2B68" w:rsidRDefault="00000000">
      <w:r>
        <w:br/>
        <w:t xml:space="preserve">Résistance au feu : </w:t>
      </w:r>
      <w:r>
        <w:rPr>
          <w:rStyle w:val="optioncarChar"/>
        </w:rPr>
        <w:t>EI30</w:t>
      </w:r>
      <w:r>
        <w:t> (par défaut)</w:t>
      </w:r>
      <w:r>
        <w:rPr>
          <w:rStyle w:val="optioncarChar"/>
        </w:rPr>
        <w:t xml:space="preserve"> / EI60 / EI90 / EI120 / EI*** </w:t>
      </w:r>
    </w:p>
    <w:p w14:paraId="6C9502FB" w14:textId="77777777" w:rsidR="00DB2B68" w:rsidRDefault="00000000">
      <w:r>
        <w:t>selon les tableaux dans [NBN EN 1996-1-2 ANB].</w:t>
      </w:r>
    </w:p>
    <w:p w14:paraId="2BA03DD6" w14:textId="77777777" w:rsidR="00DB2B68" w:rsidRDefault="00000000">
      <w:pPr>
        <w:ind w:left="750"/>
      </w:pPr>
      <w:r>
        <w:t> </w:t>
      </w:r>
    </w:p>
    <w:p w14:paraId="3D710EE3" w14:textId="77777777" w:rsidR="00DB2B68" w:rsidRDefault="00000000">
      <w:pPr>
        <w:pStyle w:val="pheading"/>
      </w:pPr>
      <w:r>
        <w:t>- Finitions</w:t>
      </w:r>
    </w:p>
    <w:p w14:paraId="3554F3A1" w14:textId="77777777" w:rsidR="00DB2B68" w:rsidRDefault="00000000">
      <w:pPr>
        <w:pStyle w:val="Author-eListParagraph"/>
        <w:numPr>
          <w:ilvl w:val="0"/>
          <w:numId w:val="183"/>
        </w:numPr>
      </w:pPr>
      <w:r>
        <w:t xml:space="preserve">Les murs suivants sont exécutés avec une face restant apparente : </w:t>
      </w:r>
      <w:r>
        <w:rPr>
          <w:rStyle w:val="optioncarChar"/>
        </w:rPr>
        <w:t>*** </w:t>
      </w:r>
    </w:p>
    <w:p w14:paraId="1713472D" w14:textId="77777777" w:rsidR="00DB2B68" w:rsidRDefault="00000000">
      <w:pPr>
        <w:pStyle w:val="Author-eListParagraph"/>
        <w:numPr>
          <w:ilvl w:val="0"/>
          <w:numId w:val="183"/>
        </w:numPr>
      </w:pPr>
      <w:r>
        <w:t xml:space="preserve">Les murs suivants sont exécutés avec deux faces restant apparentes : </w:t>
      </w:r>
      <w:r>
        <w:rPr>
          <w:rStyle w:val="optioncarChar"/>
        </w:rPr>
        <w:t>***</w:t>
      </w:r>
    </w:p>
    <w:p w14:paraId="599E3B19" w14:textId="77777777" w:rsidR="00DB2B68" w:rsidRDefault="00000000">
      <w:pPr>
        <w:pStyle w:val="pheading"/>
      </w:pPr>
      <w:r>
        <w:t>MESURAGE</w:t>
      </w:r>
    </w:p>
    <w:p w14:paraId="264E1F4D" w14:textId="77777777" w:rsidR="00DB2B68" w:rsidRDefault="00000000">
      <w:pPr>
        <w:pStyle w:val="pheading"/>
      </w:pPr>
      <w:r>
        <w:t>- unité de mesure:</w:t>
      </w:r>
    </w:p>
    <w:p w14:paraId="1E13920F" w14:textId="77777777" w:rsidR="00DB2B68" w:rsidRDefault="00000000">
      <w:r>
        <w:rPr>
          <w:rStyle w:val="optioncarChar"/>
        </w:rPr>
        <w:t>m³ </w:t>
      </w:r>
      <w:r>
        <w:t>(par défaut)</w:t>
      </w:r>
      <w:r>
        <w:rPr>
          <w:rStyle w:val="optioncarChar"/>
        </w:rPr>
        <w:t> / m²</w:t>
      </w:r>
    </w:p>
    <w:p w14:paraId="6FD70F0E" w14:textId="77777777" w:rsidR="00DB2B68" w:rsidRDefault="00000000">
      <w:r>
        <w:rPr>
          <w:b/>
        </w:rPr>
        <w:t>(soit par défaut)</w:t>
      </w:r>
    </w:p>
    <w:p w14:paraId="28698279" w14:textId="77777777" w:rsidR="00DB2B68" w:rsidRDefault="00000000">
      <w:r>
        <w:rPr>
          <w:rStyle w:val="soitChar"/>
        </w:rPr>
        <w:t>1. m³</w:t>
      </w:r>
    </w:p>
    <w:p w14:paraId="72BF357E" w14:textId="77777777" w:rsidR="00DB2B68" w:rsidRDefault="00000000">
      <w:r>
        <w:rPr>
          <w:b/>
        </w:rPr>
        <w:t>(soit)</w:t>
      </w:r>
    </w:p>
    <w:p w14:paraId="2C74254D" w14:textId="77777777" w:rsidR="00DB2B68" w:rsidRDefault="00000000">
      <w:r>
        <w:rPr>
          <w:rStyle w:val="soitChar"/>
        </w:rPr>
        <w:t>2. m²</w:t>
      </w:r>
    </w:p>
    <w:p w14:paraId="7EC7BEA1" w14:textId="77777777" w:rsidR="00DB2B68" w:rsidRDefault="00000000">
      <w:pPr>
        <w:pStyle w:val="pheading"/>
      </w:pPr>
      <w:r>
        <w:t>- code de mesurage:</w:t>
      </w:r>
    </w:p>
    <w:p w14:paraId="4FE92784"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E9DC4B3"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58FE763"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r>
      <w:r>
        <w:lastRenderedPageBreak/>
        <w:t>La maçonnerie autour des conduits de fumée et de ventilation est mesurée comme un mur plein pour les fourreaux jusqu'à une section de 0,12 m2.</w:t>
      </w:r>
    </w:p>
    <w:p w14:paraId="3CAC8B12" w14:textId="77777777" w:rsidR="00DB2B68" w:rsidRDefault="00000000">
      <w:r>
        <w:rPr>
          <w:rStyle w:val="optioncarChar"/>
        </w:rPr>
        <w:t>Volume net </w:t>
      </w:r>
      <w:r>
        <w:t>(par défaut)</w:t>
      </w:r>
      <w:r>
        <w:rPr>
          <w:rStyle w:val="optioncarChar"/>
        </w:rPr>
        <w:t> / Surface nette</w:t>
      </w:r>
    </w:p>
    <w:p w14:paraId="425FFDAB" w14:textId="77777777" w:rsidR="00DB2B68" w:rsidRDefault="00000000">
      <w:r>
        <w:rPr>
          <w:b/>
        </w:rPr>
        <w:t>(soit par défaut)</w:t>
      </w:r>
    </w:p>
    <w:p w14:paraId="77935193"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9AD670A" w14:textId="77777777" w:rsidR="00DB2B68" w:rsidRDefault="00000000">
      <w:r>
        <w:rPr>
          <w:b/>
        </w:rPr>
        <w:t>(soit)</w:t>
      </w:r>
    </w:p>
    <w:p w14:paraId="3C56E78A"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CFD6B1A" w14:textId="77777777" w:rsidR="00DB2B68" w:rsidRDefault="00DB2B68"/>
    <w:p w14:paraId="5102B9B5" w14:textId="77777777" w:rsidR="00DB2B68" w:rsidRDefault="00000000">
      <w:pPr>
        <w:ind w:left="750"/>
      </w:pPr>
      <w:r>
        <w:t> </w:t>
      </w:r>
    </w:p>
    <w:p w14:paraId="709B38EE" w14:textId="77777777" w:rsidR="00DB2B68" w:rsidRDefault="00000000">
      <w:pPr>
        <w:pStyle w:val="pheading"/>
      </w:pPr>
      <w:r>
        <w:t>- nature du marché:</w:t>
      </w:r>
    </w:p>
    <w:p w14:paraId="0DE3FD0C" w14:textId="77777777" w:rsidR="00DB2B68" w:rsidRDefault="00000000">
      <w:r>
        <w:t>QF</w:t>
      </w:r>
    </w:p>
    <w:p w14:paraId="7E6F6F20" w14:textId="77777777" w:rsidR="00DB2B68" w:rsidRDefault="00000000">
      <w:pPr>
        <w:pStyle w:val="Author-eSectionHeading6Numberless"/>
      </w:pPr>
      <w:bookmarkStart w:id="169" w:name="_Toc220495311"/>
      <w:r>
        <w:t>21.22.2e Maçonneries non portantes en blocs de béton à système de dosage pour liant hydraulique CCTB 01.13</w:t>
      </w:r>
      <w:bookmarkEnd w:id="169"/>
    </w:p>
    <w:p w14:paraId="1407208E" w14:textId="77777777" w:rsidR="00DB2B68" w:rsidRDefault="00000000">
      <w:pPr>
        <w:pStyle w:val="pheading"/>
      </w:pPr>
      <w:r>
        <w:t>DESCRIPTION</w:t>
      </w:r>
    </w:p>
    <w:p w14:paraId="707899DC" w14:textId="77777777" w:rsidR="00DB2B68" w:rsidRDefault="00000000">
      <w:pPr>
        <w:pStyle w:val="pheading"/>
      </w:pPr>
      <w:r>
        <w:t>- Définition / Comprend</w:t>
      </w:r>
    </w:p>
    <w:p w14:paraId="5DB3888D" w14:textId="77777777" w:rsidR="00DB2B68" w:rsidRDefault="00000000">
      <w:r>
        <w:t>Il s’agit de la fourniture et la pose de maçonneries non portantes en blocs de béton à système de dosage pour liant hydraulique.</w:t>
      </w:r>
    </w:p>
    <w:p w14:paraId="4B8A7E56" w14:textId="77777777" w:rsidR="00DB2B68" w:rsidRDefault="00000000">
      <w:r>
        <w:t>La portée des travaux est décrite dans l’article</w:t>
      </w:r>
      <w:r>
        <w:rPr>
          <w:color w:val="00B050"/>
        </w:rPr>
        <w:t> </w:t>
      </w:r>
      <w:hyperlink w:anchor="389" w:history="1">
        <w:r>
          <w:rPr>
            <w:color w:val="0000EE"/>
          </w:rPr>
          <w:t>21.22.2 Maçonneries non portantes en blocs de béton</w:t>
        </w:r>
      </w:hyperlink>
      <w:r>
        <w:rPr>
          <w:color w:val="000000"/>
        </w:rPr>
        <w:t>.</w:t>
      </w:r>
    </w:p>
    <w:p w14:paraId="1B1D7F6A" w14:textId="77777777" w:rsidR="00DB2B68" w:rsidRDefault="00000000">
      <w:r>
        <w:t>Les travaux comprennent également la fourniture et la pose des pièces d’angle, de terminaison et de rencontre.</w:t>
      </w:r>
    </w:p>
    <w:p w14:paraId="55ADB4A3" w14:textId="77777777" w:rsidR="00DB2B68" w:rsidRDefault="00000000">
      <w:pPr>
        <w:pStyle w:val="pheading"/>
      </w:pPr>
      <w:r>
        <w:t>- Localisation</w:t>
      </w:r>
    </w:p>
    <w:p w14:paraId="03F7B4B9" w14:textId="77777777" w:rsidR="00DB2B68" w:rsidRDefault="00000000">
      <w:r>
        <w:t>La pose est réalisée aux endroits suivants :</w:t>
      </w:r>
      <w:r>
        <w:rPr>
          <w:rStyle w:val="optioncarChar"/>
        </w:rPr>
        <w:t xml:space="preserve"> ***</w:t>
      </w:r>
      <w:r>
        <w:t>.</w:t>
      </w:r>
      <w:r>
        <w:br/>
        <w:t>Voir plans et métrés détaillés.</w:t>
      </w:r>
    </w:p>
    <w:p w14:paraId="50DCD913" w14:textId="77777777" w:rsidR="00DB2B68" w:rsidRDefault="00000000">
      <w:pPr>
        <w:pStyle w:val="pheading"/>
      </w:pPr>
      <w:r>
        <w:t>MATÉRIAUX</w:t>
      </w:r>
    </w:p>
    <w:p w14:paraId="43808CC3" w14:textId="77777777" w:rsidR="00DB2B68" w:rsidRDefault="00000000">
      <w:pPr>
        <w:pStyle w:val="pheading"/>
      </w:pPr>
      <w:r>
        <w:t>- Caractéristiques générales</w:t>
      </w:r>
    </w:p>
    <w:p w14:paraId="35A4ED08" w14:textId="77777777" w:rsidR="00DB2B68" w:rsidRDefault="00000000">
      <w:r>
        <w:rPr>
          <w:rStyle w:val="headingChar"/>
        </w:rPr>
        <w:t>Spécifications</w:t>
      </w:r>
    </w:p>
    <w:p w14:paraId="13261DBB" w14:textId="77777777" w:rsidR="00DB2B68" w:rsidRDefault="00000000">
      <w:r>
        <w:rPr>
          <w:u w:val="single"/>
        </w:rPr>
        <w:t>Blocs</w:t>
      </w:r>
    </w:p>
    <w:p w14:paraId="384F4FE6"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lastRenderedPageBreak/>
        <w:br/>
        <w:t>Boutisse : plate</w:t>
      </w:r>
      <w:r>
        <w:br/>
        <w:t>Face qui reste visible : lisse</w:t>
      </w:r>
      <w:r>
        <w:br/>
        <w:t>Face à cimenter ou plafonner : lisse</w:t>
      </w:r>
      <w:r>
        <w:br/>
      </w:r>
      <w:r>
        <w:br/>
        <w:t>Teinte :</w:t>
      </w:r>
      <w:r>
        <w:rPr>
          <w:rStyle w:val="optioncarChar"/>
        </w:rPr>
        <w:t xml:space="preserve"> blanc / gris </w:t>
      </w:r>
      <w:r>
        <w:t>(par défaut)</w:t>
      </w:r>
      <w:r>
        <w:rPr>
          <w:rStyle w:val="optioncarChar"/>
        </w:rPr>
        <w:t xml:space="preserve"> / ***</w:t>
      </w:r>
      <w:r>
        <w:br/>
      </w:r>
      <w:r>
        <w:br/>
        <w:t>Format : (L x l x h)</w:t>
      </w:r>
      <w:r>
        <w:rPr>
          <w:rStyle w:val="optioncarChar"/>
        </w:rPr>
        <w:t>: format modulaire proposé par l'entrepreneur (par défaut) / (290 / 300 / *** x 140 /150 / 190 / 200 / *** x 140 / 150 / 190 / 200 / *** ) mm</w:t>
      </w:r>
    </w:p>
    <w:p w14:paraId="55B8F089" w14:textId="77777777" w:rsidR="00DB2B68"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(par défaut)</w:t>
      </w:r>
      <w:r>
        <w:rPr>
          <w:rStyle w:val="optioncarChar"/>
        </w:rPr>
        <w:t xml:space="preserve"> / ***</w:t>
      </w:r>
    </w:p>
    <w:p w14:paraId="32F0AAA3" w14:textId="77777777" w:rsidR="00DB2B68" w:rsidRDefault="00000000">
      <w:pPr>
        <w:spacing w:before="0" w:after="0"/>
      </w:pPr>
      <w:r>
        <w:rPr>
          <w:u w:val="single"/>
        </w:rPr>
        <w:t>Mortier</w:t>
      </w:r>
    </w:p>
    <w:p w14:paraId="55CEF426"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7F7933D6" w14:textId="77777777" w:rsidR="00DB2B68" w:rsidRDefault="00000000">
      <w:r>
        <w:br/>
      </w:r>
      <w:r>
        <w:rPr>
          <w:rStyle w:val="headingChar"/>
        </w:rPr>
        <w:t>Critères De Performances De La Paroi</w:t>
      </w:r>
    </w:p>
    <w:p w14:paraId="67C6975E" w14:textId="77777777" w:rsidR="00DB2B68" w:rsidRDefault="00000000">
      <w:r>
        <w:t>Coefficient de transmission :</w:t>
      </w:r>
    </w:p>
    <w:p w14:paraId="48A9F074" w14:textId="77777777" w:rsidR="00DB2B68" w:rsidRDefault="00000000">
      <w:pPr>
        <w:pStyle w:val="Author-eListParagraph"/>
        <w:numPr>
          <w:ilvl w:val="0"/>
          <w:numId w:val="184"/>
        </w:numPr>
      </w:pPr>
      <w:r>
        <w:t xml:space="preserve">valeur U minimale de </w:t>
      </w:r>
      <w:r>
        <w:rPr>
          <w:rStyle w:val="optioncarChar"/>
        </w:rPr>
        <w:t>***</w:t>
      </w:r>
      <w:r>
        <w:t xml:space="preserve"> W/m²K</w:t>
      </w:r>
    </w:p>
    <w:p w14:paraId="3A7A5CEB" w14:textId="77777777" w:rsidR="00DB2B68" w:rsidRDefault="00000000">
      <w:pPr>
        <w:pStyle w:val="Author-eListParagraph"/>
        <w:numPr>
          <w:ilvl w:val="0"/>
          <w:numId w:val="18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34B87DB" w14:textId="77777777" w:rsidR="00DB2B68" w:rsidRDefault="00000000">
      <w:r>
        <w:br/>
        <w:t xml:space="preserve">Résistance au feu : </w:t>
      </w:r>
      <w:r>
        <w:rPr>
          <w:rStyle w:val="optioncarChar"/>
        </w:rPr>
        <w:t>EI30</w:t>
      </w:r>
      <w:r>
        <w:t> (par défaut)</w:t>
      </w:r>
      <w:r>
        <w:rPr>
          <w:rStyle w:val="optioncarChar"/>
        </w:rPr>
        <w:t xml:space="preserve"> / EI60 / EI90 / EI120 / EI***</w:t>
      </w:r>
    </w:p>
    <w:p w14:paraId="03A77FEE" w14:textId="77777777" w:rsidR="00DB2B68" w:rsidRDefault="00000000">
      <w:r>
        <w:t>selon les tableaux dans [NBN EN 1996-1-2 ANB].</w:t>
      </w:r>
    </w:p>
    <w:p w14:paraId="4BE376C0" w14:textId="77777777" w:rsidR="00DB2B68" w:rsidRDefault="00000000">
      <w:pPr>
        <w:ind w:left="750"/>
      </w:pPr>
      <w:r>
        <w:t> </w:t>
      </w:r>
    </w:p>
    <w:p w14:paraId="704F7170" w14:textId="77777777" w:rsidR="00DB2B68" w:rsidRDefault="00000000">
      <w:pPr>
        <w:pStyle w:val="pheading"/>
      </w:pPr>
      <w:r>
        <w:t>- Finitions</w:t>
      </w:r>
    </w:p>
    <w:p w14:paraId="32BFD478" w14:textId="77777777" w:rsidR="00DB2B68" w:rsidRDefault="00000000">
      <w:pPr>
        <w:pStyle w:val="Author-eListParagraph"/>
        <w:numPr>
          <w:ilvl w:val="0"/>
          <w:numId w:val="185"/>
        </w:numPr>
      </w:pPr>
      <w:r>
        <w:t xml:space="preserve">Les murs suivants sont exécutés avec une face restant apparente : </w:t>
      </w:r>
      <w:r>
        <w:rPr>
          <w:rStyle w:val="optioncarChar"/>
        </w:rPr>
        <w:t>***</w:t>
      </w:r>
    </w:p>
    <w:p w14:paraId="0446BFF6" w14:textId="77777777" w:rsidR="00DB2B68" w:rsidRDefault="00000000">
      <w:pPr>
        <w:pStyle w:val="Author-eListParagraph"/>
        <w:numPr>
          <w:ilvl w:val="0"/>
          <w:numId w:val="185"/>
        </w:numPr>
      </w:pPr>
      <w:r>
        <w:t xml:space="preserve">Les murs suivants sont exécutés avec deux faces restant apparentes : </w:t>
      </w:r>
      <w:r>
        <w:rPr>
          <w:rStyle w:val="optioncarChar"/>
        </w:rPr>
        <w:t>***</w:t>
      </w:r>
    </w:p>
    <w:p w14:paraId="293EF4F8" w14:textId="77777777" w:rsidR="00DB2B68" w:rsidRDefault="00000000">
      <w:pPr>
        <w:pStyle w:val="pheading"/>
      </w:pPr>
      <w:r>
        <w:t>EXÉCUTION / MISE EN ŒUVRE</w:t>
      </w:r>
    </w:p>
    <w:p w14:paraId="6F489533" w14:textId="77777777" w:rsidR="00DB2B68" w:rsidRDefault="00000000">
      <w:pPr>
        <w:pStyle w:val="pheading"/>
      </w:pPr>
      <w:r>
        <w:t>- Notes d’exécution complémentaires</w:t>
      </w:r>
    </w:p>
    <w:p w14:paraId="4E90ADD4" w14:textId="77777777" w:rsidR="00DB2B68" w:rsidRDefault="00000000">
      <w:r>
        <w:t>Le mortier utilisé est spécifique au concept et possède une grande résistance à la compression (&gt; 20 N/mm²).</w:t>
      </w:r>
    </w:p>
    <w:p w14:paraId="1F6971DD" w14:textId="77777777" w:rsidR="00DB2B68" w:rsidRDefault="00000000">
      <w:pPr>
        <w:pStyle w:val="pheading"/>
      </w:pPr>
      <w:r>
        <w:t>MESURAGE</w:t>
      </w:r>
    </w:p>
    <w:p w14:paraId="2B41E894" w14:textId="77777777" w:rsidR="00DB2B68" w:rsidRDefault="00000000">
      <w:pPr>
        <w:pStyle w:val="pheading"/>
      </w:pPr>
      <w:r>
        <w:t>- unité de mesure:</w:t>
      </w:r>
    </w:p>
    <w:p w14:paraId="1A843F93" w14:textId="77777777" w:rsidR="00DB2B68" w:rsidRDefault="00000000">
      <w:r>
        <w:rPr>
          <w:rStyle w:val="optioncarChar"/>
        </w:rPr>
        <w:t>m³ </w:t>
      </w:r>
      <w:r>
        <w:t>(par défaut)</w:t>
      </w:r>
      <w:r>
        <w:rPr>
          <w:rStyle w:val="optioncarChar"/>
        </w:rPr>
        <w:t> / m²</w:t>
      </w:r>
    </w:p>
    <w:p w14:paraId="5E879AA8" w14:textId="77777777" w:rsidR="00DB2B68" w:rsidRDefault="00000000">
      <w:r>
        <w:rPr>
          <w:b/>
        </w:rPr>
        <w:t>(soit par défaut)</w:t>
      </w:r>
    </w:p>
    <w:p w14:paraId="1344F7F9" w14:textId="77777777" w:rsidR="00DB2B68" w:rsidRDefault="00000000">
      <w:r>
        <w:rPr>
          <w:rStyle w:val="soitChar"/>
        </w:rPr>
        <w:t>1. m³</w:t>
      </w:r>
    </w:p>
    <w:p w14:paraId="57E9D63C" w14:textId="77777777" w:rsidR="00DB2B68" w:rsidRDefault="00000000">
      <w:r>
        <w:rPr>
          <w:b/>
        </w:rPr>
        <w:t>(soit)</w:t>
      </w:r>
    </w:p>
    <w:p w14:paraId="40CCA047" w14:textId="77777777" w:rsidR="00DB2B68" w:rsidRDefault="00000000">
      <w:r>
        <w:rPr>
          <w:rStyle w:val="soitChar"/>
        </w:rPr>
        <w:t>2. m²</w:t>
      </w:r>
    </w:p>
    <w:p w14:paraId="052D8D87" w14:textId="77777777" w:rsidR="00DB2B68" w:rsidRDefault="00000000">
      <w:pPr>
        <w:pStyle w:val="pheading"/>
      </w:pPr>
      <w:r>
        <w:t>- code de mesurage:</w:t>
      </w:r>
    </w:p>
    <w:p w14:paraId="3F9B1D54" w14:textId="77777777" w:rsidR="00DB2B68" w:rsidRDefault="00000000">
      <w:r>
        <w:lastRenderedPageBreak/>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CC0FC94"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52A6842B"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9294D9F" w14:textId="77777777" w:rsidR="00DB2B68" w:rsidRDefault="00000000">
      <w:r>
        <w:rPr>
          <w:rStyle w:val="optioncarChar"/>
        </w:rPr>
        <w:t>Volume net </w:t>
      </w:r>
      <w:r>
        <w:t>(par défaut)</w:t>
      </w:r>
      <w:r>
        <w:rPr>
          <w:rStyle w:val="optioncarChar"/>
        </w:rPr>
        <w:t> / Surface nette</w:t>
      </w:r>
    </w:p>
    <w:p w14:paraId="2093AB19" w14:textId="77777777" w:rsidR="00DB2B68" w:rsidRDefault="00000000">
      <w:r>
        <w:rPr>
          <w:b/>
        </w:rPr>
        <w:t>(soit par défaut)</w:t>
      </w:r>
    </w:p>
    <w:p w14:paraId="5C17ABDB"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 .</w:t>
      </w:r>
    </w:p>
    <w:p w14:paraId="1328DF3B" w14:textId="77777777" w:rsidR="00DB2B68" w:rsidRDefault="00000000">
      <w:r>
        <w:rPr>
          <w:b/>
        </w:rPr>
        <w:t>(soit)</w:t>
      </w:r>
    </w:p>
    <w:p w14:paraId="220898C7"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ED9C291" w14:textId="77777777" w:rsidR="00DB2B68" w:rsidRDefault="00000000">
      <w:pPr>
        <w:ind w:left="750"/>
      </w:pPr>
      <w:r>
        <w:t> </w:t>
      </w:r>
    </w:p>
    <w:p w14:paraId="4309F7F6" w14:textId="77777777" w:rsidR="00DB2B68" w:rsidRDefault="00000000">
      <w:pPr>
        <w:pStyle w:val="pheading"/>
      </w:pPr>
      <w:r>
        <w:t>- nature du marché:</w:t>
      </w:r>
    </w:p>
    <w:p w14:paraId="707A768D" w14:textId="77777777" w:rsidR="00DB2B68" w:rsidRDefault="00000000">
      <w:r>
        <w:t>QF</w:t>
      </w:r>
    </w:p>
    <w:p w14:paraId="2522E56D" w14:textId="77777777" w:rsidR="00DB2B68" w:rsidRDefault="00000000">
      <w:pPr>
        <w:pStyle w:val="Author-eSectionHeading6Numberless"/>
      </w:pPr>
      <w:bookmarkStart w:id="170" w:name="_Toc220495312"/>
      <w:r>
        <w:t>21.22.2f Maçonneries non portantes en blocs de béton acoustiques CCTB 01.13</w:t>
      </w:r>
      <w:bookmarkEnd w:id="170"/>
    </w:p>
    <w:p w14:paraId="46C85725" w14:textId="77777777" w:rsidR="00DB2B68" w:rsidRDefault="00000000">
      <w:pPr>
        <w:pStyle w:val="pheading"/>
      </w:pPr>
      <w:r>
        <w:t>DESCRIPTION</w:t>
      </w:r>
    </w:p>
    <w:p w14:paraId="0EC40A66" w14:textId="77777777" w:rsidR="00DB2B68" w:rsidRDefault="00000000">
      <w:pPr>
        <w:pStyle w:val="pheading"/>
      </w:pPr>
      <w:r>
        <w:t>- Définition / Comprend</w:t>
      </w:r>
    </w:p>
    <w:p w14:paraId="11CFAA5F" w14:textId="77777777" w:rsidR="00DB2B68" w:rsidRDefault="00000000">
      <w:r>
        <w:t xml:space="preserve">Il s’agit de la fourniture et la pose de maçonneries non portantes en blocs de béton acoustiques. </w:t>
      </w:r>
      <w:r>
        <w:br/>
        <w:t xml:space="preserve">La portée des travaux est décrite dans l’article </w:t>
      </w:r>
      <w:hyperlink w:anchor="389" w:history="1">
        <w:r>
          <w:rPr>
            <w:color w:val="0000EE"/>
          </w:rPr>
          <w:t>21.22.2 Maçonneries non portantes en blocs de béton</w:t>
        </w:r>
      </w:hyperlink>
      <w:r>
        <w:t>.</w:t>
      </w:r>
      <w:r>
        <w:br/>
        <w:t>Les travaux comprennent également la fourniture et la pose des pièces d’angle, de terminaison et de rencontre.</w:t>
      </w:r>
    </w:p>
    <w:p w14:paraId="66C7C4A4" w14:textId="77777777" w:rsidR="00DB2B68" w:rsidRDefault="00000000">
      <w:pPr>
        <w:pStyle w:val="pheading"/>
      </w:pPr>
      <w:r>
        <w:t>- Localisation</w:t>
      </w:r>
    </w:p>
    <w:p w14:paraId="18CFC862" w14:textId="77777777" w:rsidR="00DB2B68" w:rsidRDefault="00000000">
      <w:r>
        <w:t xml:space="preserve">La pose est réalisée aux endroits suivants : </w:t>
      </w:r>
      <w:r>
        <w:rPr>
          <w:rStyle w:val="optioncarChar"/>
        </w:rPr>
        <w:t>***</w:t>
      </w:r>
      <w:r>
        <w:t>.</w:t>
      </w:r>
      <w:r>
        <w:br/>
        <w:t>Voir plans et métrés détaillés.</w:t>
      </w:r>
    </w:p>
    <w:p w14:paraId="7647144A" w14:textId="77777777" w:rsidR="00DB2B68" w:rsidRDefault="00000000">
      <w:pPr>
        <w:pStyle w:val="pheading"/>
      </w:pPr>
      <w:r>
        <w:t>MATÉRIAUX</w:t>
      </w:r>
    </w:p>
    <w:p w14:paraId="1FE26008" w14:textId="77777777" w:rsidR="00DB2B68" w:rsidRDefault="00000000">
      <w:pPr>
        <w:pStyle w:val="pheading"/>
      </w:pPr>
      <w:r>
        <w:t>- Caractéristiques générales</w:t>
      </w:r>
    </w:p>
    <w:p w14:paraId="4A8AE434" w14:textId="77777777" w:rsidR="00DB2B68" w:rsidRDefault="00000000">
      <w:r>
        <w:rPr>
          <w:rStyle w:val="headingChar"/>
        </w:rPr>
        <w:t>Spécifications</w:t>
      </w:r>
    </w:p>
    <w:p w14:paraId="4D617BCD" w14:textId="77777777" w:rsidR="00DB2B68" w:rsidRDefault="00000000">
      <w:r>
        <w:rPr>
          <w:u w:val="single"/>
        </w:rPr>
        <w:t>Blocs</w:t>
      </w:r>
    </w:p>
    <w:p w14:paraId="2FD74A4E"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w:t>
      </w:r>
      <w:r>
        <w:rPr>
          <w:rStyle w:val="optioncarChar"/>
          <w:color w:val="000000"/>
        </w:rPr>
        <w:lastRenderedPageBreak/>
        <w:t xml:space="preserve">défaut) </w:t>
      </w:r>
      <w:r>
        <w:rPr>
          <w:rStyle w:val="optioncarChar"/>
        </w:rPr>
        <w:t>/ 15/2,2+ / ***</w:t>
      </w:r>
      <w:r>
        <w:br/>
      </w:r>
      <w:r>
        <w:br/>
        <w:t xml:space="preserve">Le groupe de configuration suivant [NBN EN 1996-1-1+A1 ANB] est: </w:t>
      </w:r>
      <w:r>
        <w:rPr>
          <w:rStyle w:val="optioncarChar"/>
        </w:rPr>
        <w:t>1 / 2 / 3 / 4 / creux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w:t>
      </w:r>
      <w:r>
        <w:rPr>
          <w:rStyle w:val="optioncarChar"/>
        </w:rPr>
        <w:t xml:space="preserve"> blanc / gris </w:t>
      </w:r>
      <w:r>
        <w:t>(par défaut)</w:t>
      </w:r>
      <w:r>
        <w:rPr>
          <w:rStyle w:val="optioncarChar"/>
        </w:rPr>
        <w:t xml:space="preserve"> / ***</w:t>
      </w:r>
      <w:r>
        <w:br/>
      </w:r>
      <w:r>
        <w:br/>
        <w:t>Format : (L x l x h) :</w:t>
      </w:r>
      <w:r>
        <w:rPr>
          <w:rStyle w:val="optioncarChar"/>
        </w:rPr>
        <w:t>: format modulaire proposé par l'entrepreneur (par défaut) / (290 / 300 / *** x 140 /150 / 190 / 200 / *** x 140 / 150 / 190 / 200 / *** ) mm</w:t>
      </w:r>
    </w:p>
    <w:p w14:paraId="714A5C36" w14:textId="77777777" w:rsidR="00DB2B68"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(par défaut)</w:t>
      </w:r>
      <w:r>
        <w:rPr>
          <w:rStyle w:val="optioncarChar"/>
        </w:rPr>
        <w:t xml:space="preserve"> / ***</w:t>
      </w:r>
    </w:p>
    <w:p w14:paraId="4CC08791" w14:textId="77777777" w:rsidR="00DB2B68" w:rsidRDefault="00000000">
      <w:pPr>
        <w:spacing w:before="0" w:after="0"/>
      </w:pPr>
      <w:r>
        <w:rPr>
          <w:u w:val="single"/>
        </w:rPr>
        <w:t>Mortier</w:t>
      </w:r>
    </w:p>
    <w:p w14:paraId="111D9A93" w14:textId="77777777" w:rsidR="00DB2B68" w:rsidRDefault="00000000">
      <w:pPr>
        <w:spacing w:before="0" w:after="0"/>
      </w:pPr>
      <w:r>
        <w:rPr>
          <w:rStyle w:val="normalChar"/>
          <w:color w:val="000000"/>
        </w:rPr>
        <w:t>Classe de résistance :</w:t>
      </w:r>
      <w:r>
        <w:rPr>
          <w:rStyle w:val="optioncarChar"/>
        </w:rPr>
        <w:t xml:space="preserve">M1 / M2,5 / M5/ M10 </w:t>
      </w:r>
      <w:r>
        <w:t xml:space="preserve"> (par défaut) </w:t>
      </w:r>
      <w:r>
        <w:rPr>
          <w:rStyle w:val="optioncarChar"/>
        </w:rPr>
        <w:t xml:space="preserve">/ M15 / M20 </w:t>
      </w:r>
    </w:p>
    <w:p w14:paraId="37BFA529" w14:textId="77777777" w:rsidR="00DB2B68"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4E2FF2BB" w14:textId="77777777" w:rsidR="00DB2B68" w:rsidRDefault="00000000">
      <w:pPr>
        <w:spacing w:before="0" w:after="0"/>
      </w:pPr>
      <w:r>
        <w:rPr>
          <w:rStyle w:val="normalChar"/>
          <w:color w:val="000000"/>
        </w:rPr>
        <w:t>Résistance au gel : oui</w:t>
      </w:r>
    </w:p>
    <w:p w14:paraId="207FCBCC" w14:textId="77777777" w:rsidR="00DB2B68" w:rsidRDefault="00000000">
      <w:r>
        <w:br/>
      </w:r>
      <w:r>
        <w:rPr>
          <w:rStyle w:val="headingChar"/>
        </w:rPr>
        <w:t>Critères De Performances De La Paroi</w:t>
      </w:r>
    </w:p>
    <w:p w14:paraId="61BA1F1C" w14:textId="77777777" w:rsidR="00DB2B68" w:rsidRDefault="00000000">
      <w:r>
        <w:t>Coefficient de transmission :</w:t>
      </w:r>
    </w:p>
    <w:p w14:paraId="3C485262" w14:textId="77777777" w:rsidR="00DB2B68" w:rsidRDefault="00000000">
      <w:pPr>
        <w:pStyle w:val="Author-eListParagraph"/>
        <w:numPr>
          <w:ilvl w:val="0"/>
          <w:numId w:val="186"/>
        </w:numPr>
      </w:pPr>
      <w:r>
        <w:t xml:space="preserve">valeur U minimale de </w:t>
      </w:r>
      <w:r>
        <w:rPr>
          <w:rStyle w:val="optioncarChar"/>
        </w:rPr>
        <w:t>***</w:t>
      </w:r>
      <w:r>
        <w:t xml:space="preserve"> W/m²K</w:t>
      </w:r>
    </w:p>
    <w:p w14:paraId="3D8D51F1" w14:textId="77777777" w:rsidR="00DB2B68" w:rsidRDefault="00000000">
      <w:pPr>
        <w:pStyle w:val="Author-eListParagraph"/>
        <w:numPr>
          <w:ilvl w:val="0"/>
          <w:numId w:val="18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18D6A4E" w14:textId="77777777" w:rsidR="00DB2B68" w:rsidRDefault="00000000">
      <w:r>
        <w:br/>
        <w:t xml:space="preserve">Résistance au feu : </w:t>
      </w:r>
      <w:r>
        <w:rPr>
          <w:rStyle w:val="optioncarChar"/>
        </w:rPr>
        <w:t xml:space="preserve">EI30 </w:t>
      </w:r>
      <w:r>
        <w:t>(par défaut) </w:t>
      </w:r>
      <w:r>
        <w:rPr>
          <w:rStyle w:val="optioncarChar"/>
        </w:rPr>
        <w:t>/ EI60/ EI90 / EI120 / EI***</w:t>
      </w:r>
    </w:p>
    <w:p w14:paraId="593437C8" w14:textId="77777777" w:rsidR="00DB2B68" w:rsidRDefault="00000000">
      <w:r>
        <w:t>selon les tableaux dans [NBN EN 1996-1-2 ANB].</w:t>
      </w:r>
    </w:p>
    <w:p w14:paraId="434CE0D4" w14:textId="77777777" w:rsidR="00DB2B68" w:rsidRDefault="00000000">
      <w:pPr>
        <w:ind w:left="750"/>
      </w:pPr>
      <w:r>
        <w:t> </w:t>
      </w:r>
    </w:p>
    <w:p w14:paraId="7759F170" w14:textId="77777777" w:rsidR="00DB2B68" w:rsidRDefault="00000000">
      <w:pPr>
        <w:pStyle w:val="pheading"/>
      </w:pPr>
      <w:r>
        <w:t>- Finitions</w:t>
      </w:r>
    </w:p>
    <w:p w14:paraId="50906061" w14:textId="77777777" w:rsidR="00DB2B68" w:rsidRDefault="00000000">
      <w:pPr>
        <w:pStyle w:val="Author-eListParagraph"/>
        <w:numPr>
          <w:ilvl w:val="0"/>
          <w:numId w:val="187"/>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4DCE4B78" w14:textId="77777777" w:rsidR="00DB2B68" w:rsidRDefault="00000000">
      <w:pPr>
        <w:pStyle w:val="Author-eListParagraph"/>
        <w:numPr>
          <w:ilvl w:val="0"/>
          <w:numId w:val="187"/>
        </w:numPr>
      </w:pPr>
      <w:r>
        <w:t xml:space="preserve">Les murs suivants sont exécutés avec une face restant apparente : </w:t>
      </w:r>
      <w:r>
        <w:rPr>
          <w:rStyle w:val="optioncarChar"/>
        </w:rPr>
        <w:t>***</w:t>
      </w:r>
    </w:p>
    <w:p w14:paraId="7E321973" w14:textId="77777777" w:rsidR="00DB2B68" w:rsidRDefault="00000000">
      <w:pPr>
        <w:pStyle w:val="Author-eListParagraph"/>
        <w:numPr>
          <w:ilvl w:val="0"/>
          <w:numId w:val="187"/>
        </w:numPr>
      </w:pPr>
      <w:r>
        <w:t xml:space="preserve">Les murs suivants sont exécutés avec deux faces restant apparentes : </w:t>
      </w:r>
      <w:r>
        <w:rPr>
          <w:rStyle w:val="optioncarChar"/>
        </w:rPr>
        <w:t>***</w:t>
      </w:r>
    </w:p>
    <w:p w14:paraId="63074F54" w14:textId="77777777" w:rsidR="00DB2B68" w:rsidRDefault="00000000">
      <w:pPr>
        <w:pStyle w:val="pheading"/>
      </w:pPr>
      <w:r>
        <w:t>MESURAGE</w:t>
      </w:r>
    </w:p>
    <w:p w14:paraId="2A7B41C7" w14:textId="77777777" w:rsidR="00DB2B68" w:rsidRDefault="00000000">
      <w:pPr>
        <w:pStyle w:val="pheading"/>
      </w:pPr>
      <w:r>
        <w:t>- unité de mesure:</w:t>
      </w:r>
    </w:p>
    <w:p w14:paraId="55973739" w14:textId="77777777" w:rsidR="00DB2B68" w:rsidRDefault="00000000">
      <w:r>
        <w:rPr>
          <w:rStyle w:val="optioncarChar"/>
        </w:rPr>
        <w:t>m³ </w:t>
      </w:r>
      <w:r>
        <w:t>(par défaut)</w:t>
      </w:r>
      <w:r>
        <w:rPr>
          <w:rStyle w:val="optioncarChar"/>
        </w:rPr>
        <w:t> / m²</w:t>
      </w:r>
    </w:p>
    <w:p w14:paraId="252E6DEF" w14:textId="77777777" w:rsidR="00DB2B68" w:rsidRDefault="00000000">
      <w:r>
        <w:rPr>
          <w:b/>
        </w:rPr>
        <w:t>(soit par défaut)</w:t>
      </w:r>
    </w:p>
    <w:p w14:paraId="013C36B4" w14:textId="77777777" w:rsidR="00DB2B68" w:rsidRDefault="00000000">
      <w:r>
        <w:rPr>
          <w:rStyle w:val="soitChar"/>
        </w:rPr>
        <w:t>1. m³</w:t>
      </w:r>
    </w:p>
    <w:p w14:paraId="7E0B58CD" w14:textId="77777777" w:rsidR="00DB2B68" w:rsidRDefault="00000000">
      <w:r>
        <w:rPr>
          <w:b/>
        </w:rPr>
        <w:t>(soit)</w:t>
      </w:r>
    </w:p>
    <w:p w14:paraId="145AA045" w14:textId="77777777" w:rsidR="00DB2B68" w:rsidRDefault="00000000">
      <w:r>
        <w:rPr>
          <w:rStyle w:val="soitChar"/>
        </w:rPr>
        <w:lastRenderedPageBreak/>
        <w:t>2. m²</w:t>
      </w:r>
    </w:p>
    <w:p w14:paraId="73C33661" w14:textId="77777777" w:rsidR="00DB2B68" w:rsidRDefault="00000000">
      <w:pPr>
        <w:pStyle w:val="pheading"/>
      </w:pPr>
      <w:r>
        <w:t>- code de mesurage:</w:t>
      </w:r>
    </w:p>
    <w:p w14:paraId="230A13BD"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4A3EDBC"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FE4285A"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EECE37A" w14:textId="77777777" w:rsidR="00DB2B68" w:rsidRDefault="00000000">
      <w:r>
        <w:rPr>
          <w:rStyle w:val="optioncarChar"/>
        </w:rPr>
        <w:t>Volume net </w:t>
      </w:r>
      <w:r>
        <w:t>(par défaut)</w:t>
      </w:r>
      <w:r>
        <w:rPr>
          <w:rStyle w:val="optioncarChar"/>
        </w:rPr>
        <w:t> / Surface nette</w:t>
      </w:r>
    </w:p>
    <w:p w14:paraId="40DFB6E8" w14:textId="77777777" w:rsidR="00DB2B68" w:rsidRDefault="00000000">
      <w:r>
        <w:rPr>
          <w:b/>
        </w:rPr>
        <w:t>(soit par défaut)</w:t>
      </w:r>
    </w:p>
    <w:p w14:paraId="6178B839"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F4049A8" w14:textId="77777777" w:rsidR="00DB2B68" w:rsidRDefault="00000000">
      <w:r>
        <w:rPr>
          <w:b/>
        </w:rPr>
        <w:t>(soit)</w:t>
      </w:r>
    </w:p>
    <w:p w14:paraId="1056A1E7"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68DD5BC" w14:textId="77777777" w:rsidR="00DB2B68" w:rsidRDefault="00DB2B68"/>
    <w:p w14:paraId="6A4D7DB0" w14:textId="77777777" w:rsidR="00DB2B68" w:rsidRDefault="00000000">
      <w:pPr>
        <w:ind w:left="750"/>
      </w:pPr>
      <w:r>
        <w:t> </w:t>
      </w:r>
    </w:p>
    <w:p w14:paraId="39DBB476" w14:textId="77777777" w:rsidR="00DB2B68" w:rsidRDefault="00000000">
      <w:pPr>
        <w:pStyle w:val="pheading"/>
      </w:pPr>
      <w:r>
        <w:t>- nature du marché:</w:t>
      </w:r>
    </w:p>
    <w:p w14:paraId="3CA6DF72" w14:textId="77777777" w:rsidR="00DB2B68" w:rsidRDefault="00000000">
      <w:r>
        <w:t>QF</w:t>
      </w:r>
    </w:p>
    <w:p w14:paraId="68D6E450" w14:textId="77777777" w:rsidR="00DB2B68" w:rsidRDefault="00000000">
      <w:pPr>
        <w:pStyle w:val="Author-eSectionHeading6Numberless"/>
      </w:pPr>
      <w:bookmarkStart w:id="171" w:name="_Toc220495313"/>
      <w:r>
        <w:t>21.22.2g Maçonneries non portantes en blocs de coffrage en béton CCTB 01.11</w:t>
      </w:r>
      <w:bookmarkEnd w:id="171"/>
    </w:p>
    <w:p w14:paraId="1701D158" w14:textId="77777777" w:rsidR="00DB2B68" w:rsidRDefault="00000000">
      <w:pPr>
        <w:pStyle w:val="pheading"/>
      </w:pPr>
      <w:r>
        <w:t>DESCRIPTION</w:t>
      </w:r>
    </w:p>
    <w:p w14:paraId="3BC8CF3F" w14:textId="77777777" w:rsidR="00DB2B68" w:rsidRDefault="00000000">
      <w:pPr>
        <w:pStyle w:val="pheading"/>
      </w:pPr>
      <w:r>
        <w:t>- Définition / Comprend</w:t>
      </w:r>
    </w:p>
    <w:p w14:paraId="21C37928" w14:textId="77777777" w:rsidR="00DB2B68" w:rsidRDefault="00000000">
      <w:r>
        <w:t xml:space="preserve">Il s’agit de la fourniture et la pose de maçonneries non portantes en blocs de coffrage en béton. </w:t>
      </w:r>
      <w:r>
        <w:br/>
        <w:t xml:space="preserve">La portée des travaux est décrite dans l’article </w:t>
      </w:r>
      <w:hyperlink w:anchor="389" w:history="1">
        <w:r>
          <w:rPr>
            <w:color w:val="0000EE"/>
          </w:rPr>
          <w:t>21.22.2 Maçonneries non portantes en blocs de béton</w:t>
        </w:r>
      </w:hyperlink>
      <w:r>
        <w:t>.</w:t>
      </w:r>
      <w:r>
        <w:br/>
        <w:t>Les travaux comprennent également la fourniture et la pose des pièces d’angle, de terminaison et de rencontre.</w:t>
      </w:r>
    </w:p>
    <w:p w14:paraId="630BC221" w14:textId="77777777" w:rsidR="00DB2B68" w:rsidRDefault="00000000">
      <w:pPr>
        <w:pStyle w:val="pheading"/>
      </w:pPr>
      <w:r>
        <w:t>- Localisation</w:t>
      </w:r>
    </w:p>
    <w:p w14:paraId="55235A95" w14:textId="77777777" w:rsidR="00DB2B68" w:rsidRDefault="00000000">
      <w:r>
        <w:t xml:space="preserve">La pose est réalisée aux endroits suivants : </w:t>
      </w:r>
      <w:r>
        <w:rPr>
          <w:rStyle w:val="optioncarChar"/>
        </w:rPr>
        <w:t>***</w:t>
      </w:r>
      <w:r>
        <w:t>.</w:t>
      </w:r>
      <w:r>
        <w:br/>
        <w:t>Voir plans et métrés détaillés.</w:t>
      </w:r>
    </w:p>
    <w:p w14:paraId="4856E3DD" w14:textId="77777777" w:rsidR="00DB2B68" w:rsidRDefault="00000000">
      <w:pPr>
        <w:pStyle w:val="pheading"/>
      </w:pPr>
      <w:r>
        <w:t>MESURAGE</w:t>
      </w:r>
    </w:p>
    <w:p w14:paraId="4870780A" w14:textId="77777777" w:rsidR="00DB2B68" w:rsidRDefault="00000000">
      <w:pPr>
        <w:pStyle w:val="pheading"/>
      </w:pPr>
      <w:r>
        <w:t>- unité de mesure:</w:t>
      </w:r>
    </w:p>
    <w:p w14:paraId="1DBA00E9" w14:textId="77777777" w:rsidR="00DB2B68" w:rsidRDefault="00000000">
      <w:r>
        <w:rPr>
          <w:rStyle w:val="optioncarChar"/>
        </w:rPr>
        <w:t>m³ </w:t>
      </w:r>
      <w:r>
        <w:t>(par défaut)</w:t>
      </w:r>
      <w:r>
        <w:rPr>
          <w:rStyle w:val="optioncarChar"/>
        </w:rPr>
        <w:t> / m²</w:t>
      </w:r>
    </w:p>
    <w:p w14:paraId="03C1A5FE" w14:textId="77777777" w:rsidR="00DB2B68" w:rsidRDefault="00000000">
      <w:r>
        <w:rPr>
          <w:b/>
        </w:rPr>
        <w:t>(soit par défaut)</w:t>
      </w:r>
    </w:p>
    <w:p w14:paraId="3709AF5B" w14:textId="77777777" w:rsidR="00DB2B68" w:rsidRDefault="00000000">
      <w:r>
        <w:rPr>
          <w:rStyle w:val="soitChar"/>
        </w:rPr>
        <w:t>1. m³</w:t>
      </w:r>
    </w:p>
    <w:p w14:paraId="099904BD" w14:textId="77777777" w:rsidR="00DB2B68" w:rsidRDefault="00000000">
      <w:r>
        <w:rPr>
          <w:b/>
        </w:rPr>
        <w:lastRenderedPageBreak/>
        <w:t>(soit)</w:t>
      </w:r>
    </w:p>
    <w:p w14:paraId="4E576F7F" w14:textId="77777777" w:rsidR="00DB2B68" w:rsidRDefault="00000000">
      <w:r>
        <w:rPr>
          <w:rStyle w:val="soitChar"/>
        </w:rPr>
        <w:t>2. m²</w:t>
      </w:r>
    </w:p>
    <w:p w14:paraId="0B5D34C1" w14:textId="77777777" w:rsidR="00DB2B68" w:rsidRDefault="00000000">
      <w:pPr>
        <w:pStyle w:val="pheading"/>
      </w:pPr>
      <w:r>
        <w:t>- code de mesurage:</w:t>
      </w:r>
    </w:p>
    <w:p w14:paraId="11BD8CE2"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FD2797E"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88BA3E0"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601A9EB1" w14:textId="77777777" w:rsidR="00DB2B68" w:rsidRDefault="00000000">
      <w:r>
        <w:rPr>
          <w:rStyle w:val="optioncarChar"/>
        </w:rPr>
        <w:t>Volume net </w:t>
      </w:r>
      <w:r>
        <w:t>(par défaut)</w:t>
      </w:r>
      <w:r>
        <w:rPr>
          <w:rStyle w:val="optioncarChar"/>
        </w:rPr>
        <w:t> / Surface nette</w:t>
      </w:r>
    </w:p>
    <w:p w14:paraId="7846CFBA" w14:textId="77777777" w:rsidR="00DB2B68" w:rsidRDefault="00000000">
      <w:r>
        <w:rPr>
          <w:b/>
        </w:rPr>
        <w:t>(soit par défaut)</w:t>
      </w:r>
    </w:p>
    <w:p w14:paraId="4F9C1432"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1BFA54C" w14:textId="77777777" w:rsidR="00DB2B68" w:rsidRDefault="00000000">
      <w:r>
        <w:rPr>
          <w:b/>
        </w:rPr>
        <w:t>(soit)</w:t>
      </w:r>
    </w:p>
    <w:p w14:paraId="20351400"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F4D111A" w14:textId="77777777" w:rsidR="00DB2B68" w:rsidRDefault="00000000">
      <w:pPr>
        <w:ind w:left="750"/>
      </w:pPr>
      <w:r>
        <w:t> </w:t>
      </w:r>
    </w:p>
    <w:p w14:paraId="3A95E8C3" w14:textId="77777777" w:rsidR="00DB2B68" w:rsidRDefault="00000000">
      <w:pPr>
        <w:pStyle w:val="pheading"/>
      </w:pPr>
      <w:r>
        <w:t>- nature du marché:</w:t>
      </w:r>
    </w:p>
    <w:p w14:paraId="240F6446" w14:textId="77777777" w:rsidR="00DB2B68" w:rsidRDefault="00000000">
      <w:r>
        <w:t>QF</w:t>
      </w:r>
    </w:p>
    <w:p w14:paraId="7D868653" w14:textId="77777777" w:rsidR="00DB2B68" w:rsidRDefault="00000000">
      <w:pPr>
        <w:pStyle w:val="Author-eSectionHeading5Numberless"/>
      </w:pPr>
      <w:bookmarkStart w:id="172" w:name="_Toc220495314"/>
      <w:r>
        <w:t>21.22.3 Maçonneries non portantes en blocs de silico-calcaire CCTB 01.11</w:t>
      </w:r>
      <w:bookmarkEnd w:id="172"/>
    </w:p>
    <w:p w14:paraId="2CDC277F" w14:textId="77777777" w:rsidR="00DB2B68" w:rsidRDefault="00000000">
      <w:pPr>
        <w:pStyle w:val="pheading"/>
      </w:pPr>
      <w:bookmarkStart w:id="173" w:name="390"/>
      <w:bookmarkEnd w:id="173"/>
      <w:r>
        <w:t>MATÉRIAUX</w:t>
      </w:r>
    </w:p>
    <w:p w14:paraId="14E40B08" w14:textId="77777777" w:rsidR="00DB2B68" w:rsidRDefault="00000000">
      <w:r>
        <w:t>Il s'agit des blocs en silico-calcaire, qui répondent à la norme [NBN EN 771-2+A1] et au [PTV 21-003]. L'entrepreneur soumet un échantillon, la fiche technique et la déclaration des performances (DoP) du matériau pour approbation à l'auteur de projet et au maître de l’ouvrage.</w:t>
      </w:r>
    </w:p>
    <w:p w14:paraId="0B87E7DC" w14:textId="77777777" w:rsidR="00DB2B68" w:rsidRDefault="00000000">
      <w:pPr>
        <w:pStyle w:val="pheading"/>
      </w:pPr>
      <w:r>
        <w:t>EXÉCUTION / MISE EN ŒUVRE</w:t>
      </w:r>
    </w:p>
    <w:p w14:paraId="77D68E01" w14:textId="77777777" w:rsidR="00DB2B68" w:rsidRDefault="00000000">
      <w:r>
        <w:rPr>
          <w:u w:val="single"/>
        </w:rPr>
        <w:t>-Prescriptions générales</w:t>
      </w:r>
    </w:p>
    <w:p w14:paraId="7D12A735" w14:textId="77777777" w:rsidR="00DB2B68" w:rsidRDefault="00000000">
      <w:r>
        <w:t xml:space="preserve">Eléments en silico-calcaire à utiliser : </w:t>
      </w:r>
      <w:r>
        <w:rPr>
          <w:rStyle w:val="optioncarChar"/>
        </w:rPr>
        <w:t xml:space="preserve">U (maçonnerie non protégée) </w:t>
      </w:r>
      <w:r>
        <w:t>(par défaut) </w:t>
      </w:r>
      <w:r>
        <w:rPr>
          <w:rStyle w:val="optioncarChar"/>
        </w:rPr>
        <w:t>/ P (maçonnerie protégée)</w:t>
      </w:r>
    </w:p>
    <w:p w14:paraId="4FA59D5B" w14:textId="77777777" w:rsidR="00DB2B68" w:rsidRDefault="00000000">
      <w:r>
        <w:t xml:space="preserve">Conformément au mode de mise en œuvre, les blocs en silico-calcaire sont maçonnés au mortier / collés à l’aide d’un mortier-colle selon les indications du </w:t>
      </w:r>
      <w:r>
        <w:rPr>
          <w:rStyle w:val="optioncarChar"/>
        </w:rPr>
        <w:t>fabricant des blocs </w:t>
      </w:r>
      <w:r>
        <w:t>(par défaut)</w:t>
      </w:r>
      <w:r>
        <w:rPr>
          <w:rStyle w:val="optioncarChar"/>
        </w:rPr>
        <w:t> / du fabricant de mortier</w:t>
      </w:r>
      <w:r>
        <w:t xml:space="preserve"> et des notes de calcul du bureau d’études.</w:t>
      </w:r>
    </w:p>
    <w:p w14:paraId="1F9284B3" w14:textId="77777777" w:rsidR="00DB2B68"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52F99C4B" w14:textId="77777777" w:rsidR="00DB2B68" w:rsidRDefault="00000000">
      <w:r>
        <w:lastRenderedPageBreak/>
        <w:t xml:space="preserve">L'épaisseur des joints est d'au moins </w:t>
      </w:r>
      <w:r>
        <w:rPr>
          <w:rStyle w:val="optioncarChar"/>
        </w:rPr>
        <w:t>2 / 10 </w:t>
      </w:r>
      <w:r>
        <w:t xml:space="preserve">(par défaut) </w:t>
      </w:r>
      <w:r>
        <w:rPr>
          <w:rStyle w:val="optioncarChar"/>
        </w:rPr>
        <w:t>/ ***</w:t>
      </w:r>
      <w:r>
        <w:t xml:space="preserve"> mm (tolérances suivant :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4CEDDE35" w14:textId="77777777" w:rsidR="00DB2B68"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 xml:space="preserve">. </w:t>
      </w:r>
      <w:r>
        <w:br/>
      </w:r>
      <w:r>
        <w:br/>
      </w:r>
      <w:r>
        <w:rPr>
          <w:u w:val="single"/>
        </w:rPr>
        <w:t>-Notes d'exécution complémentaires</w:t>
      </w:r>
    </w:p>
    <w:p w14:paraId="5C7285D9" w14:textId="77777777" w:rsidR="00DB2B68" w:rsidRDefault="00000000">
      <w:r>
        <w:t>Pour les maçonneries destinées à rester apparentes, seuls des blocs non endommagés sont utilisés.</w:t>
      </w:r>
    </w:p>
    <w:p w14:paraId="3085B392"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1446A46F"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751EF93B"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404C5481" w14:textId="77777777" w:rsidR="00DB2B68" w:rsidRDefault="00DB2B68"/>
    <w:p w14:paraId="4B52AD4F" w14:textId="77777777" w:rsidR="00DB2B68" w:rsidRDefault="00000000">
      <w:r>
        <w:t xml:space="preserve">Crochets de mur : </w:t>
      </w:r>
      <w:r>
        <w:rPr>
          <w:color w:val="FF0000"/>
        </w:rPr>
        <w:t>a</w:t>
      </w:r>
      <w:r>
        <w:rPr>
          <w:rStyle w:val="optioncarChar"/>
        </w:rPr>
        <w:t>cier inoxydable</w:t>
      </w:r>
      <w:r>
        <w:t> (par défaut)</w:t>
      </w:r>
      <w:r>
        <w:rPr>
          <w:rStyle w:val="optioncarChar"/>
        </w:rPr>
        <w:t xml:space="preserve"> / ***</w:t>
      </w:r>
      <w:r>
        <w:t xml:space="preserve"> , diamètre minimal</w:t>
      </w:r>
      <w:r>
        <w:rPr>
          <w:rStyle w:val="optioncarChar"/>
        </w:rPr>
        <w:t xml:space="preserve"> 3,5 </w:t>
      </w:r>
      <w:r>
        <w:t>(par défaut)</w:t>
      </w:r>
      <w:r>
        <w:rPr>
          <w:rStyle w:val="optioncarChar"/>
        </w:rPr>
        <w:t xml:space="preserve"> / ***</w:t>
      </w:r>
      <w:r>
        <w:t xml:space="preserve"> mm.</w:t>
      </w:r>
    </w:p>
    <w:p w14:paraId="3DCF7E60"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r>
        <w:t>.</w:t>
      </w:r>
    </w:p>
    <w:p w14:paraId="5C2FF813" w14:textId="77777777" w:rsidR="00DB2B68" w:rsidRDefault="00000000">
      <w:pPr>
        <w:pStyle w:val="pheading"/>
      </w:pPr>
      <w:r>
        <w:t>AIDE</w:t>
      </w:r>
    </w:p>
    <w:p w14:paraId="374CCA84" w14:textId="77777777" w:rsidR="00DB2B68" w:rsidRDefault="00000000">
      <w:r>
        <w:t>Note à l'attention de l'auteur du projet : pour le choix adéquat du mortier, se référer à la [STS 22 série].</w:t>
      </w:r>
    </w:p>
    <w:p w14:paraId="18020D16" w14:textId="77777777" w:rsidR="00DB2B68" w:rsidRDefault="00000000">
      <w:pPr>
        <w:pStyle w:val="Author-eSectionHeading6Numberless"/>
      </w:pPr>
      <w:bookmarkStart w:id="174" w:name="_Toc220495315"/>
      <w:r>
        <w:t>21.22.3a Maçonneries non portantes en blocs de silico-calcaire à maçonner CCTB 01.12</w:t>
      </w:r>
      <w:bookmarkEnd w:id="174"/>
    </w:p>
    <w:p w14:paraId="21BCC462" w14:textId="77777777" w:rsidR="00DB2B68" w:rsidRDefault="00000000">
      <w:pPr>
        <w:pStyle w:val="pheading"/>
      </w:pPr>
      <w:r>
        <w:t>DESCRIPTION</w:t>
      </w:r>
    </w:p>
    <w:p w14:paraId="61C6B0B3" w14:textId="77777777" w:rsidR="00DB2B68" w:rsidRDefault="00000000">
      <w:pPr>
        <w:pStyle w:val="pheading"/>
      </w:pPr>
      <w:r>
        <w:t>- Définition / Comprend</w:t>
      </w:r>
    </w:p>
    <w:p w14:paraId="1E75BFB6" w14:textId="77777777" w:rsidR="00DB2B68" w:rsidRDefault="00000000">
      <w:r>
        <w:t xml:space="preserve">Il s’agit de la fourniture et la pose de maçonneries non portantes en blocs de silico-calcaire à maçonner. </w:t>
      </w:r>
      <w:r>
        <w:br/>
        <w:t xml:space="preserve">La portée des travaux est décrite dans l’article </w:t>
      </w:r>
      <w:hyperlink w:anchor="390" w:history="1">
        <w:r>
          <w:rPr>
            <w:color w:val="0000EE"/>
          </w:rPr>
          <w:t>21.22.3 Maçonneries non portantes en blocs de silico-calcaire</w:t>
        </w:r>
      </w:hyperlink>
      <w:r>
        <w:t>.</w:t>
      </w:r>
      <w:r>
        <w:br/>
        <w:t>Les travaux comprennent également la fourniture et la pose des pièces d’angle, de terminaison et de rencontre.</w:t>
      </w:r>
    </w:p>
    <w:p w14:paraId="26486630" w14:textId="77777777" w:rsidR="00DB2B68" w:rsidRDefault="00000000">
      <w:pPr>
        <w:pStyle w:val="pheading"/>
      </w:pPr>
      <w:r>
        <w:t>- Localisation</w:t>
      </w:r>
    </w:p>
    <w:p w14:paraId="4284F456" w14:textId="77777777" w:rsidR="00DB2B68" w:rsidRDefault="00000000">
      <w:r>
        <w:t xml:space="preserve">La pose est réalisée aux endroits suivants : </w:t>
      </w:r>
      <w:r>
        <w:rPr>
          <w:rStyle w:val="optioncarChar"/>
        </w:rPr>
        <w:t>***</w:t>
      </w:r>
      <w:r>
        <w:t>.</w:t>
      </w:r>
      <w:r>
        <w:br/>
        <w:t>Voir plans et métrés détaillés.</w:t>
      </w:r>
    </w:p>
    <w:p w14:paraId="019E6A3A" w14:textId="77777777" w:rsidR="00DB2B68" w:rsidRDefault="00000000">
      <w:pPr>
        <w:pStyle w:val="pheading"/>
      </w:pPr>
      <w:r>
        <w:t>MATÉRIAUX</w:t>
      </w:r>
    </w:p>
    <w:p w14:paraId="355DE486" w14:textId="77777777" w:rsidR="00DB2B68" w:rsidRDefault="00000000">
      <w:pPr>
        <w:pStyle w:val="pheading"/>
      </w:pPr>
      <w:r>
        <w:t>- Caractéristiques générales</w:t>
      </w:r>
    </w:p>
    <w:p w14:paraId="6E14BE06" w14:textId="77777777" w:rsidR="00DB2B68" w:rsidRDefault="00000000">
      <w:r>
        <w:rPr>
          <w:rStyle w:val="headingChar"/>
        </w:rPr>
        <w:t>Spécifications</w:t>
      </w:r>
    </w:p>
    <w:p w14:paraId="2CCACD40"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r>
      <w:r>
        <w:lastRenderedPageBreak/>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w:t>
      </w:r>
      <w:r>
        <w:rPr>
          <w:rStyle w:val="optioncarChar"/>
          <w:color w:val="000000"/>
        </w:rPr>
        <w:t xml:space="preserve">(par défaut) </w:t>
      </w:r>
      <w:r>
        <w:rPr>
          <w:rStyle w:val="optioncarChar"/>
        </w:rPr>
        <w:t>/ 15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w:t>
      </w:r>
      <w:r>
        <w:t>(par défaut)</w:t>
      </w:r>
      <w:r>
        <w:rPr>
          <w:rStyle w:val="optioncarChar"/>
        </w:rPr>
        <w:t xml:space="preserve"> / ***</w:t>
      </w:r>
      <w:r>
        <w:t xml:space="preserve"> kg/m³ (blocs creux) selon la [NBN EN 771-2+A1].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(290 / *** </w:t>
      </w:r>
      <w:r>
        <w:t>x</w:t>
      </w:r>
      <w:r>
        <w:rPr>
          <w:rStyle w:val="optioncarChar"/>
        </w:rPr>
        <w:t> 140 / 190 / ***</w:t>
      </w:r>
      <w:r>
        <w:t> x</w:t>
      </w:r>
      <w:r>
        <w:rPr>
          <w:rStyle w:val="optioncarChar"/>
        </w:rPr>
        <w:t> 90 / 140 / 190 / ***</w:t>
      </w:r>
      <w:r>
        <w:t> ) mm</w:t>
      </w:r>
    </w:p>
    <w:p w14:paraId="7B30E30B" w14:textId="77777777" w:rsidR="00DB2B68" w:rsidRDefault="00000000">
      <w:r>
        <w:b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 xml:space="preserve">(par défaut) </w:t>
      </w:r>
      <w:r>
        <w:rPr>
          <w:rStyle w:val="optioncarChar"/>
        </w:rPr>
        <w:t>/ ***</w:t>
      </w:r>
      <w:r>
        <w:br/>
      </w:r>
      <w:r>
        <w:br/>
      </w:r>
      <w:r>
        <w:rPr>
          <w:rStyle w:val="headingChar"/>
        </w:rPr>
        <w:t>Critères De Performances De La Paroi</w:t>
      </w:r>
    </w:p>
    <w:p w14:paraId="1D831230" w14:textId="77777777" w:rsidR="00DB2B68" w:rsidRDefault="00000000">
      <w:r>
        <w:t>Coefficient de transmission :</w:t>
      </w:r>
    </w:p>
    <w:p w14:paraId="485D7236" w14:textId="77777777" w:rsidR="00DB2B68" w:rsidRDefault="00000000">
      <w:pPr>
        <w:pStyle w:val="Author-eListParagraph"/>
        <w:numPr>
          <w:ilvl w:val="0"/>
          <w:numId w:val="188"/>
        </w:numPr>
      </w:pPr>
      <w:r>
        <w:t xml:space="preserve">valeur U minimale de </w:t>
      </w:r>
      <w:r>
        <w:rPr>
          <w:rStyle w:val="optioncarChar"/>
        </w:rPr>
        <w:t>***</w:t>
      </w:r>
      <w:r>
        <w:t xml:space="preserve"> W/m²K</w:t>
      </w:r>
    </w:p>
    <w:p w14:paraId="43F352FD" w14:textId="77777777" w:rsidR="00DB2B68" w:rsidRDefault="00000000">
      <w:pPr>
        <w:pStyle w:val="Author-eListParagraph"/>
        <w:numPr>
          <w:ilvl w:val="0"/>
          <w:numId w:val="18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8C397CA" w14:textId="77777777" w:rsidR="00DB2B68" w:rsidRDefault="00000000">
      <w:r>
        <w:br/>
        <w:t xml:space="preserve">Résistance au feu : </w:t>
      </w:r>
      <w:r>
        <w:rPr>
          <w:rStyle w:val="optioncarChar"/>
        </w:rPr>
        <w:t>EI30 </w:t>
      </w:r>
      <w:r>
        <w:t xml:space="preserve">(par défaut) </w:t>
      </w:r>
      <w:r>
        <w:rPr>
          <w:rStyle w:val="optioncarChar"/>
        </w:rPr>
        <w:t>/ EI60 / EI90 / EI120 / EI***</w:t>
      </w:r>
    </w:p>
    <w:p w14:paraId="32A2FF18" w14:textId="77777777" w:rsidR="00DB2B68" w:rsidRDefault="00000000">
      <w:r>
        <w:t>selon les tableaux dans [NBN EN 1996-1-2 ANB].</w:t>
      </w:r>
    </w:p>
    <w:p w14:paraId="322105F9" w14:textId="77777777" w:rsidR="00DB2B68" w:rsidRDefault="00000000">
      <w:pPr>
        <w:ind w:left="750"/>
      </w:pPr>
      <w:r>
        <w:t> </w:t>
      </w:r>
    </w:p>
    <w:p w14:paraId="37EEFB86" w14:textId="77777777" w:rsidR="00DB2B68" w:rsidRDefault="00000000">
      <w:pPr>
        <w:pStyle w:val="pheading"/>
      </w:pPr>
      <w:r>
        <w:t>- Finitions</w:t>
      </w:r>
    </w:p>
    <w:p w14:paraId="663403E4" w14:textId="77777777" w:rsidR="00DB2B68" w:rsidRDefault="00000000">
      <w:pPr>
        <w:pStyle w:val="Author-eListParagraph"/>
        <w:numPr>
          <w:ilvl w:val="0"/>
          <w:numId w:val="189"/>
        </w:numPr>
      </w:pPr>
      <w:r>
        <w:t>Les faces de murs suivantes sont exécutées comme maçonneries apparentes et sont </w:t>
      </w:r>
      <w:r>
        <w:rPr>
          <w:rStyle w:val="optioncarChar"/>
          <w:color w:val="000000"/>
        </w:rPr>
        <w:t>rejointoyées </w:t>
      </w:r>
      <w:r>
        <w:t>selon l'article </w:t>
      </w:r>
      <w:hyperlink w:anchor="346" w:history="1">
        <w:r>
          <w:rPr>
            <w:color w:val="0000EE"/>
          </w:rPr>
          <w:t>21.61.1b Joints de maçonnerie apparente</w:t>
        </w:r>
      </w:hyperlink>
      <w:r>
        <w:t> : </w:t>
      </w:r>
      <w:r>
        <w:rPr>
          <w:rStyle w:val="optioncarChar"/>
        </w:rPr>
        <w:t>***</w:t>
      </w:r>
    </w:p>
    <w:p w14:paraId="74863537" w14:textId="77777777" w:rsidR="00DB2B68" w:rsidRDefault="00000000">
      <w:pPr>
        <w:pStyle w:val="Author-eListParagraph"/>
        <w:numPr>
          <w:ilvl w:val="0"/>
          <w:numId w:val="189"/>
        </w:numPr>
      </w:pPr>
      <w:r>
        <w:t>Les murs suivants sont exécutés avec une face restant apparente : </w:t>
      </w:r>
      <w:r>
        <w:rPr>
          <w:rStyle w:val="optioncarChar"/>
        </w:rPr>
        <w:t>***</w:t>
      </w:r>
    </w:p>
    <w:p w14:paraId="5BB474B1" w14:textId="77777777" w:rsidR="00DB2B68" w:rsidRDefault="00000000">
      <w:pPr>
        <w:pStyle w:val="Author-eListParagraph"/>
        <w:numPr>
          <w:ilvl w:val="0"/>
          <w:numId w:val="189"/>
        </w:numPr>
      </w:pPr>
      <w:r>
        <w:t>Les murs suivants sont exécutés avec deux faces restant apparentes : </w:t>
      </w:r>
      <w:r>
        <w:rPr>
          <w:rStyle w:val="optioncarChar"/>
        </w:rPr>
        <w:t>***</w:t>
      </w:r>
    </w:p>
    <w:p w14:paraId="34ED91ED"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190412F5" w14:textId="77777777" w:rsidR="00DB2B68" w:rsidRDefault="00000000">
      <w:pPr>
        <w:pStyle w:val="pheading"/>
      </w:pPr>
      <w:r>
        <w:t>MESURAGE</w:t>
      </w:r>
    </w:p>
    <w:p w14:paraId="4C57FD05" w14:textId="77777777" w:rsidR="00DB2B68" w:rsidRDefault="00000000">
      <w:pPr>
        <w:pStyle w:val="pheading"/>
      </w:pPr>
      <w:r>
        <w:t>- unité de mesure:</w:t>
      </w:r>
    </w:p>
    <w:p w14:paraId="6692959C" w14:textId="77777777" w:rsidR="00DB2B68" w:rsidRDefault="00000000">
      <w:r>
        <w:rPr>
          <w:rStyle w:val="optioncarChar"/>
        </w:rPr>
        <w:t>m³ </w:t>
      </w:r>
      <w:r>
        <w:t>(par défaut)</w:t>
      </w:r>
      <w:r>
        <w:rPr>
          <w:rStyle w:val="optioncarChar"/>
        </w:rPr>
        <w:t> / m²</w:t>
      </w:r>
    </w:p>
    <w:p w14:paraId="208277FC" w14:textId="77777777" w:rsidR="00DB2B68" w:rsidRDefault="00000000">
      <w:r>
        <w:rPr>
          <w:b/>
        </w:rPr>
        <w:lastRenderedPageBreak/>
        <w:t>(soit par défaut)</w:t>
      </w:r>
    </w:p>
    <w:p w14:paraId="4841D11E" w14:textId="77777777" w:rsidR="00DB2B68" w:rsidRDefault="00000000">
      <w:r>
        <w:rPr>
          <w:rStyle w:val="soitChar"/>
        </w:rPr>
        <w:t>1. m³</w:t>
      </w:r>
    </w:p>
    <w:p w14:paraId="20004C2F" w14:textId="77777777" w:rsidR="00DB2B68" w:rsidRDefault="00000000">
      <w:r>
        <w:rPr>
          <w:b/>
        </w:rPr>
        <w:t>(soit)</w:t>
      </w:r>
    </w:p>
    <w:p w14:paraId="46776A36" w14:textId="77777777" w:rsidR="00DB2B68" w:rsidRDefault="00000000">
      <w:r>
        <w:rPr>
          <w:rStyle w:val="soitChar"/>
        </w:rPr>
        <w:t>2. m²</w:t>
      </w:r>
    </w:p>
    <w:p w14:paraId="6E3269DD" w14:textId="77777777" w:rsidR="00DB2B68" w:rsidRDefault="00000000">
      <w:pPr>
        <w:pStyle w:val="pheading"/>
      </w:pPr>
      <w:r>
        <w:t>- code de mesurage:</w:t>
      </w:r>
    </w:p>
    <w:p w14:paraId="1F1431BB"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4C4A2E1"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6A98AAC"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139C8C5" w14:textId="77777777" w:rsidR="00DB2B68" w:rsidRDefault="00000000">
      <w:r>
        <w:rPr>
          <w:rStyle w:val="optioncarChar"/>
        </w:rPr>
        <w:t>Volume net </w:t>
      </w:r>
      <w:r>
        <w:t>(par défaut)</w:t>
      </w:r>
      <w:r>
        <w:rPr>
          <w:rStyle w:val="optioncarChar"/>
        </w:rPr>
        <w:t> / Surface nette</w:t>
      </w:r>
    </w:p>
    <w:p w14:paraId="70D7F0B3" w14:textId="77777777" w:rsidR="00DB2B68" w:rsidRDefault="00000000">
      <w:r>
        <w:rPr>
          <w:b/>
        </w:rPr>
        <w:t>(soit par défaut)</w:t>
      </w:r>
    </w:p>
    <w:p w14:paraId="2739F9A4"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62AD0BB" w14:textId="77777777" w:rsidR="00DB2B68" w:rsidRDefault="00000000">
      <w:r>
        <w:rPr>
          <w:b/>
        </w:rPr>
        <w:t>(soit)</w:t>
      </w:r>
    </w:p>
    <w:p w14:paraId="63969310"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294B3D7" w14:textId="77777777" w:rsidR="00DB2B68" w:rsidRDefault="00000000">
      <w:pPr>
        <w:ind w:left="750"/>
      </w:pPr>
      <w:r>
        <w:t> </w:t>
      </w:r>
    </w:p>
    <w:p w14:paraId="3DC40F94" w14:textId="77777777" w:rsidR="00DB2B68" w:rsidRDefault="00000000">
      <w:pPr>
        <w:pStyle w:val="pheading"/>
      </w:pPr>
      <w:r>
        <w:t>- nature du marché:</w:t>
      </w:r>
    </w:p>
    <w:p w14:paraId="25967DC1" w14:textId="77777777" w:rsidR="00DB2B68" w:rsidRDefault="00000000">
      <w:r>
        <w:t>QF</w:t>
      </w:r>
    </w:p>
    <w:p w14:paraId="1963188D" w14:textId="77777777" w:rsidR="00DB2B68" w:rsidRDefault="00000000">
      <w:pPr>
        <w:pStyle w:val="Author-eSectionHeading6Numberless"/>
      </w:pPr>
      <w:bookmarkStart w:id="175" w:name="_Toc220495316"/>
      <w:r>
        <w:t>21.22.3b Maçonneries non portantes en blocs de silico-calcaire pleins à coller CCTB 01.12</w:t>
      </w:r>
      <w:bookmarkEnd w:id="175"/>
    </w:p>
    <w:p w14:paraId="09B19EFC" w14:textId="77777777" w:rsidR="00DB2B68" w:rsidRDefault="00000000">
      <w:pPr>
        <w:pStyle w:val="pheading"/>
      </w:pPr>
      <w:r>
        <w:t>DESCRIPTION</w:t>
      </w:r>
    </w:p>
    <w:p w14:paraId="7E2CE124" w14:textId="77777777" w:rsidR="00DB2B68" w:rsidRDefault="00000000">
      <w:pPr>
        <w:pStyle w:val="pheading"/>
      </w:pPr>
      <w:r>
        <w:t>- Définition / Comprend</w:t>
      </w:r>
    </w:p>
    <w:p w14:paraId="1AC619BE" w14:textId="77777777" w:rsidR="00DB2B68" w:rsidRDefault="00000000">
      <w:r>
        <w:t xml:space="preserve">Il s’agit de la fourniture et la pose de maçonneries non portantes en blocs de silico-calcaire à coller. </w:t>
      </w:r>
      <w:r>
        <w:br/>
        <w:t xml:space="preserve">La portée des travaux est décrite dans l’article </w:t>
      </w:r>
      <w:hyperlink w:anchor="390" w:history="1">
        <w:r>
          <w:rPr>
            <w:color w:val="0000EE"/>
          </w:rPr>
          <w:t>21.22.3 Maçonneries non portantes en blocs de silico-calcaire</w:t>
        </w:r>
      </w:hyperlink>
      <w:r>
        <w:t>.</w:t>
      </w:r>
      <w:r>
        <w:br/>
        <w:t>Les travaux comprennent également la fourniture et la pose des pièces d’angle, de terminaison et de rencontre.</w:t>
      </w:r>
    </w:p>
    <w:p w14:paraId="3CD644A6" w14:textId="77777777" w:rsidR="00DB2B68" w:rsidRDefault="00000000">
      <w:pPr>
        <w:pStyle w:val="pheading"/>
      </w:pPr>
      <w:r>
        <w:t>- Localisation</w:t>
      </w:r>
    </w:p>
    <w:p w14:paraId="031457BF" w14:textId="77777777" w:rsidR="00DB2B68" w:rsidRDefault="00000000">
      <w:r>
        <w:t xml:space="preserve">La pose est réalisée aux endroits suivants : </w:t>
      </w:r>
      <w:r>
        <w:rPr>
          <w:rStyle w:val="optioncarChar"/>
        </w:rPr>
        <w:t>***</w:t>
      </w:r>
      <w:r>
        <w:t>.</w:t>
      </w:r>
      <w:r>
        <w:br/>
        <w:t>Voir plans et métrés détaillés.</w:t>
      </w:r>
    </w:p>
    <w:p w14:paraId="3E76D9C8" w14:textId="77777777" w:rsidR="00DB2B68" w:rsidRDefault="00000000">
      <w:pPr>
        <w:pStyle w:val="pheading"/>
      </w:pPr>
      <w:r>
        <w:t>MATÉRIAUX</w:t>
      </w:r>
    </w:p>
    <w:p w14:paraId="708DAB9E" w14:textId="77777777" w:rsidR="00DB2B68" w:rsidRDefault="00000000">
      <w:pPr>
        <w:pStyle w:val="pheading"/>
      </w:pPr>
      <w:r>
        <w:t>- Caractéristiques générales</w:t>
      </w:r>
    </w:p>
    <w:p w14:paraId="05FDB4B4" w14:textId="77777777" w:rsidR="00DB2B68" w:rsidRDefault="00000000">
      <w:r>
        <w:rPr>
          <w:rStyle w:val="headingChar"/>
        </w:rPr>
        <w:lastRenderedPageBreak/>
        <w:t>Spécifications</w:t>
      </w:r>
    </w:p>
    <w:p w14:paraId="710A0ADF" w14:textId="77777777" w:rsidR="00DB2B68" w:rsidRDefault="00000000">
      <w:r>
        <w:t>En ce qui concerne la déclaration de la résistance à la compression, les blocs sont de catégorie I (la résistance à la compression est déclarée avec une fiabilité de 95%).</w:t>
      </w:r>
      <w:r>
        <w:br/>
      </w:r>
      <w:r>
        <w:br/>
        <w:t>Les blocs en silico-calcaire sont de classe d’usage : </w:t>
      </w:r>
      <w:r>
        <w:rPr>
          <w:rStyle w:val="optioncarChar"/>
        </w:rPr>
        <w:t>A1 / A2 / B1 / B2 / C / D</w:t>
      </w:r>
      <w:r>
        <w:br/>
      </w:r>
      <w:r>
        <w:br/>
        <w:t>La classe de qualité suivant [PTV 21-003] est : </w:t>
      </w:r>
      <w:r>
        <w:rPr>
          <w:rStyle w:val="optioncarChar"/>
        </w:rPr>
        <w:t>15/1,4 / ***</w:t>
      </w:r>
      <w:r>
        <w:br/>
      </w:r>
      <w:r>
        <w:br/>
        <w:t>La résistance en compression normalisée (f</w:t>
      </w:r>
      <w:r>
        <w:rPr>
          <w:vertAlign w:val="subscript"/>
        </w:rPr>
        <w:t>b</w:t>
      </w:r>
      <w:r>
        <w:t>) suivant [NBN EN 1996 série] est au minimum : </w:t>
      </w:r>
      <w:r>
        <w:rPr>
          <w:rStyle w:val="optioncarChar"/>
        </w:rPr>
        <w:t xml:space="preserve">5 / 10 / 15 </w:t>
      </w:r>
      <w:r>
        <w:rPr>
          <w:rStyle w:val="optioncarChar"/>
          <w:color w:val="000000"/>
        </w:rPr>
        <w:t xml:space="preserve">(par défaut) </w:t>
      </w:r>
      <w:r>
        <w:rPr>
          <w:rStyle w:val="optioncarChar"/>
        </w:rPr>
        <w:t>/ ***</w:t>
      </w:r>
      <w:r>
        <w:t> N/mm² (MPa) (classe f </w:t>
      </w:r>
      <w:r>
        <w:rPr>
          <w:rStyle w:val="optioncarChar"/>
        </w:rPr>
        <w:t>***</w:t>
      </w:r>
      <w:r>
        <w:t>) (selon [NBN EN 771-2+A1]).</w:t>
      </w:r>
      <w:r>
        <w:br/>
      </w:r>
      <w:r>
        <w:br/>
        <w:t>Le groupe de configuration suivant [NBN EN 1996-1-1+A1 ANB] est : </w:t>
      </w:r>
      <w:r>
        <w:rPr>
          <w:rStyle w:val="optioncarChar"/>
        </w:rPr>
        <w:t>1 / 2 / ***</w:t>
      </w:r>
      <w:r>
        <w:br/>
      </w:r>
      <w:r>
        <w:br/>
        <w:t>La masse volumique sèche apparente des blocs ρ (rho) est : </w:t>
      </w:r>
      <w:r>
        <w:rPr>
          <w:rStyle w:val="optioncarChar"/>
        </w:rPr>
        <w:t>1400 </w:t>
      </w:r>
      <w:r>
        <w:t>(par défaut)</w:t>
      </w:r>
      <w:r>
        <w:rPr>
          <w:rStyle w:val="optioncarChar"/>
        </w:rPr>
        <w:t xml:space="preserve"> / ***</w:t>
      </w:r>
      <w:r>
        <w:t> kg/m³ (blocs creux) selon la [NBN EN 771-2+A1].</w:t>
      </w:r>
      <w:r>
        <w:br/>
      </w:r>
      <w:r>
        <w:br/>
        <w:t>La conductibilité thermique λ</w:t>
      </w:r>
      <w:r>
        <w:rPr>
          <w:vertAlign w:val="subscript"/>
        </w:rPr>
        <w:t>D</w:t>
      </w:r>
      <w:r>
        <w:t> est compatible avec la valeur U prescrite pour la paroi.</w:t>
      </w:r>
      <w:r>
        <w:br/>
      </w:r>
      <w:r>
        <w:br/>
        <w:t>Boutisse : plate</w:t>
      </w:r>
      <w:r>
        <w:br/>
        <w:t>Face qui reste visible : lisse</w:t>
      </w:r>
      <w:r>
        <w:br/>
        <w:t>Face à cimenter ou plafonner : lisse</w:t>
      </w:r>
      <w:r>
        <w:br/>
      </w:r>
      <w:r>
        <w:br/>
        <w:t>Teinte : blanc</w:t>
      </w:r>
      <w:r>
        <w:br/>
      </w:r>
      <w:r>
        <w:br/>
        <w:t>Format : (L x l x h) :</w:t>
      </w:r>
      <w:r>
        <w:rPr>
          <w:rStyle w:val="optioncarChar"/>
        </w:rPr>
        <w:t> format modulaire proposé par l'entrepreneur</w:t>
      </w:r>
      <w:r>
        <w:t> (par défaut) </w:t>
      </w:r>
      <w:r>
        <w:rPr>
          <w:rStyle w:val="optioncarChar"/>
        </w:rPr>
        <w:t>/ (290 / *** </w:t>
      </w:r>
      <w:r>
        <w:t>x</w:t>
      </w:r>
      <w:r>
        <w:rPr>
          <w:rStyle w:val="optioncarChar"/>
        </w:rPr>
        <w:t> 140 / 190 / ***</w:t>
      </w:r>
      <w:r>
        <w:t> x</w:t>
      </w:r>
      <w:r>
        <w:rPr>
          <w:rStyle w:val="optioncarChar"/>
        </w:rPr>
        <w:t> 90 / 140 / 190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Absorption d’eau par immersion : </w:t>
      </w:r>
      <w:r>
        <w:rPr>
          <w:rStyle w:val="optioncarChar"/>
        </w:rPr>
        <w:t>code A1 (exposé décoratif) / A2 (exposé) </w:t>
      </w:r>
      <w:r>
        <w:t>(par défaut)</w:t>
      </w:r>
      <w:r>
        <w:br/>
      </w:r>
      <w:r>
        <w:br/>
        <w:t>Résistance au gel suivant les classes d’application selon [NBN EN 1996-2 ANB] et [NIT 271].</w:t>
      </w:r>
      <w:r>
        <w:br/>
      </w:r>
      <w:r>
        <w:br/>
        <w:t>Réaction au feu : </w:t>
      </w:r>
      <w:r>
        <w:rPr>
          <w:rStyle w:val="optioncarChar"/>
        </w:rPr>
        <w:t>A1 </w:t>
      </w:r>
      <w:r>
        <w:t>(par défaut)</w:t>
      </w:r>
      <w:r>
        <w:rPr>
          <w:rStyle w:val="optioncarChar"/>
        </w:rPr>
        <w:t xml:space="preserve"> / ***</w:t>
      </w:r>
      <w:r>
        <w:br/>
      </w:r>
      <w:r>
        <w:br/>
      </w:r>
      <w:r>
        <w:rPr>
          <w:rStyle w:val="headingChar"/>
        </w:rPr>
        <w:t>Critères De Performances De La Paroi</w:t>
      </w:r>
    </w:p>
    <w:p w14:paraId="294FF0AB" w14:textId="77777777" w:rsidR="00DB2B68" w:rsidRDefault="00000000">
      <w:r>
        <w:t>Coefficient de transmission :</w:t>
      </w:r>
    </w:p>
    <w:p w14:paraId="7AD09A12" w14:textId="77777777" w:rsidR="00DB2B68" w:rsidRDefault="00000000">
      <w:pPr>
        <w:pStyle w:val="Author-eListParagraph"/>
        <w:numPr>
          <w:ilvl w:val="0"/>
          <w:numId w:val="190"/>
        </w:numPr>
      </w:pPr>
      <w:r>
        <w:t>valeur U minimale de </w:t>
      </w:r>
      <w:r>
        <w:rPr>
          <w:rStyle w:val="optioncarChar"/>
        </w:rPr>
        <w:t>***</w:t>
      </w:r>
      <w:r>
        <w:t> W/m²K</w:t>
      </w:r>
    </w:p>
    <w:p w14:paraId="2FB3AF75" w14:textId="77777777" w:rsidR="00DB2B68" w:rsidRDefault="00000000">
      <w:pPr>
        <w:pStyle w:val="Author-eListParagraph"/>
        <w:numPr>
          <w:ilvl w:val="0"/>
          <w:numId w:val="190"/>
        </w:numPr>
      </w:pPr>
      <w:r>
        <w:t>valeur λ</w:t>
      </w:r>
      <w:r>
        <w:rPr>
          <w:vertAlign w:val="subscript"/>
        </w:rPr>
        <w:t>Ui</w:t>
      </w:r>
      <w:r>
        <w:t> ou λ</w:t>
      </w:r>
      <w:r>
        <w:rPr>
          <w:vertAlign w:val="subscript"/>
        </w:rPr>
        <w:t>Ue</w:t>
      </w:r>
      <w:r>
        <w:t> maximum </w:t>
      </w:r>
      <w:r>
        <w:rPr>
          <w:rStyle w:val="optioncarChar"/>
        </w:rPr>
        <w:t>***</w:t>
      </w:r>
      <w:r>
        <w:t> W/mK (suivant l’application).</w:t>
      </w:r>
    </w:p>
    <w:p w14:paraId="1B5EEC5B" w14:textId="77777777" w:rsidR="00DB2B68" w:rsidRDefault="00000000">
      <w:r>
        <w:br/>
        <w:t>Résistance au feu : </w:t>
      </w:r>
      <w:r>
        <w:rPr>
          <w:rStyle w:val="optioncarChar"/>
        </w:rPr>
        <w:t>EI30 </w:t>
      </w:r>
      <w:r>
        <w:t>(par défaut)</w:t>
      </w:r>
      <w:r>
        <w:rPr>
          <w:rStyle w:val="optioncarChar"/>
        </w:rPr>
        <w:t xml:space="preserve">  / EI60 / EI90 / EI120 / EI***</w:t>
      </w:r>
    </w:p>
    <w:p w14:paraId="239E1229" w14:textId="77777777" w:rsidR="00DB2B68" w:rsidRDefault="00000000">
      <w:r>
        <w:t>selon les tableaux dans [NBN EN 1996-1-2 ANB].</w:t>
      </w:r>
    </w:p>
    <w:p w14:paraId="022B8418" w14:textId="77777777" w:rsidR="00DB2B68" w:rsidRDefault="00000000">
      <w:pPr>
        <w:ind w:left="750"/>
      </w:pPr>
      <w:r>
        <w:t> </w:t>
      </w:r>
    </w:p>
    <w:p w14:paraId="5A772DFC" w14:textId="77777777" w:rsidR="00DB2B68" w:rsidRDefault="00000000">
      <w:pPr>
        <w:pStyle w:val="pheading"/>
      </w:pPr>
      <w:r>
        <w:t>- Finitions</w:t>
      </w:r>
    </w:p>
    <w:p w14:paraId="292C0F44" w14:textId="77777777" w:rsidR="00DB2B68" w:rsidRDefault="00000000">
      <w:pPr>
        <w:pStyle w:val="Author-eListParagraph"/>
        <w:numPr>
          <w:ilvl w:val="0"/>
          <w:numId w:val="191"/>
        </w:numPr>
      </w:pPr>
      <w:r>
        <w:t xml:space="preserve">Les murs suivants sont exécutés avec deux faces restant apparentes : </w:t>
      </w:r>
      <w:r>
        <w:rPr>
          <w:rStyle w:val="optioncarChar"/>
        </w:rPr>
        <w:t>***</w:t>
      </w:r>
    </w:p>
    <w:p w14:paraId="1A5271B5" w14:textId="77777777" w:rsidR="00DB2B68" w:rsidRDefault="00000000">
      <w:pPr>
        <w:pStyle w:val="Author-eListParagraph"/>
        <w:numPr>
          <w:ilvl w:val="0"/>
          <w:numId w:val="191"/>
        </w:numPr>
      </w:pPr>
      <w:r>
        <w:t>Les murs suivants sont exécutés avec deux faces restant apparentes : </w:t>
      </w:r>
      <w:r>
        <w:rPr>
          <w:rStyle w:val="optioncarChar"/>
        </w:rPr>
        <w:t>***</w:t>
      </w:r>
    </w:p>
    <w:p w14:paraId="67E0E399"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39886349" w14:textId="77777777" w:rsidR="00DB2B68" w:rsidRDefault="00000000">
      <w:pPr>
        <w:pStyle w:val="pheading"/>
      </w:pPr>
      <w:r>
        <w:lastRenderedPageBreak/>
        <w:t>MESURAGE</w:t>
      </w:r>
    </w:p>
    <w:p w14:paraId="4055C747" w14:textId="77777777" w:rsidR="00DB2B68" w:rsidRDefault="00000000">
      <w:pPr>
        <w:pStyle w:val="pheading"/>
      </w:pPr>
      <w:r>
        <w:t>- unité de mesure:</w:t>
      </w:r>
    </w:p>
    <w:p w14:paraId="35CACDE1" w14:textId="77777777" w:rsidR="00DB2B68" w:rsidRDefault="00000000">
      <w:r>
        <w:rPr>
          <w:rStyle w:val="optioncarChar"/>
        </w:rPr>
        <w:t>m³ </w:t>
      </w:r>
      <w:r>
        <w:t>(par défaut)</w:t>
      </w:r>
      <w:r>
        <w:rPr>
          <w:rStyle w:val="optioncarChar"/>
        </w:rPr>
        <w:t> / m²</w:t>
      </w:r>
    </w:p>
    <w:p w14:paraId="4048F779" w14:textId="77777777" w:rsidR="00DB2B68" w:rsidRDefault="00000000">
      <w:r>
        <w:rPr>
          <w:b/>
        </w:rPr>
        <w:t>(soit par défaut)</w:t>
      </w:r>
    </w:p>
    <w:p w14:paraId="4A4AA26A" w14:textId="77777777" w:rsidR="00DB2B68" w:rsidRDefault="00000000">
      <w:r>
        <w:rPr>
          <w:rStyle w:val="soitChar"/>
        </w:rPr>
        <w:t>1. m³</w:t>
      </w:r>
    </w:p>
    <w:p w14:paraId="2C45A4F6" w14:textId="77777777" w:rsidR="00DB2B68" w:rsidRDefault="00000000">
      <w:r>
        <w:rPr>
          <w:b/>
        </w:rPr>
        <w:t>(soit)</w:t>
      </w:r>
    </w:p>
    <w:p w14:paraId="06D62CCA" w14:textId="77777777" w:rsidR="00DB2B68" w:rsidRDefault="00000000">
      <w:r>
        <w:rPr>
          <w:rStyle w:val="soitChar"/>
        </w:rPr>
        <w:t>2. m²</w:t>
      </w:r>
    </w:p>
    <w:p w14:paraId="6180F66E" w14:textId="77777777" w:rsidR="00DB2B68" w:rsidRDefault="00000000">
      <w:pPr>
        <w:pStyle w:val="pheading"/>
      </w:pPr>
      <w:r>
        <w:t>- code de mesurage:</w:t>
      </w:r>
    </w:p>
    <w:p w14:paraId="2B7ACAE1"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0C5E950"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3947827"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1D2650E" w14:textId="77777777" w:rsidR="00DB2B68" w:rsidRDefault="00000000">
      <w:r>
        <w:rPr>
          <w:rStyle w:val="optioncarChar"/>
        </w:rPr>
        <w:t>Volume net </w:t>
      </w:r>
      <w:r>
        <w:t>(par défaut)</w:t>
      </w:r>
      <w:r>
        <w:rPr>
          <w:rStyle w:val="optioncarChar"/>
        </w:rPr>
        <w:t> / Surface nette</w:t>
      </w:r>
    </w:p>
    <w:p w14:paraId="0F7BB1B7" w14:textId="77777777" w:rsidR="00DB2B68" w:rsidRDefault="00000000">
      <w:r>
        <w:rPr>
          <w:b/>
        </w:rPr>
        <w:t>(soit par défaut)</w:t>
      </w:r>
    </w:p>
    <w:p w14:paraId="175D74FA"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75D56D6" w14:textId="77777777" w:rsidR="00DB2B68" w:rsidRDefault="00000000">
      <w:r>
        <w:rPr>
          <w:b/>
        </w:rPr>
        <w:t>(soit)</w:t>
      </w:r>
    </w:p>
    <w:p w14:paraId="52D93C8A"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2F44A14" w14:textId="77777777" w:rsidR="00DB2B68" w:rsidRDefault="00000000">
      <w:pPr>
        <w:pStyle w:val="pheading"/>
      </w:pPr>
      <w:r>
        <w:t>- nature du marché:</w:t>
      </w:r>
    </w:p>
    <w:p w14:paraId="20CADA34" w14:textId="77777777" w:rsidR="00DB2B68" w:rsidRDefault="00000000">
      <w:r>
        <w:t>QF</w:t>
      </w:r>
    </w:p>
    <w:p w14:paraId="2121B6F6" w14:textId="77777777" w:rsidR="00DB2B68" w:rsidRDefault="00000000">
      <w:pPr>
        <w:pStyle w:val="Author-eSectionHeading6Numberless"/>
      </w:pPr>
      <w:bookmarkStart w:id="176" w:name="_Toc220495317"/>
      <w:r>
        <w:t>21.22.3c Maçonneries non portantes en blocs de silico-calcaire creux à coller CCTB 01.12</w:t>
      </w:r>
      <w:bookmarkEnd w:id="176"/>
    </w:p>
    <w:p w14:paraId="2574CC71" w14:textId="77777777" w:rsidR="00DB2B68" w:rsidRDefault="00000000">
      <w:pPr>
        <w:pStyle w:val="pheading"/>
      </w:pPr>
      <w:r>
        <w:t>DESCRIPTION</w:t>
      </w:r>
    </w:p>
    <w:p w14:paraId="0CD3D30F" w14:textId="77777777" w:rsidR="00DB2B68" w:rsidRDefault="00000000">
      <w:pPr>
        <w:pStyle w:val="pheading"/>
      </w:pPr>
      <w:r>
        <w:t>- Définition / Comprend</w:t>
      </w:r>
    </w:p>
    <w:p w14:paraId="3554AF48" w14:textId="77777777" w:rsidR="00DB2B68" w:rsidRDefault="00000000">
      <w:r>
        <w:t xml:space="preserve">Il s’agit de la fourniture et la pose de maçonneries non portantes en blocs de silico-calcaire creux à coller. </w:t>
      </w:r>
      <w:r>
        <w:br/>
        <w:t xml:space="preserve">La portée des travaux est décrite dans l’article </w:t>
      </w:r>
      <w:hyperlink w:anchor="390" w:history="1">
        <w:r>
          <w:rPr>
            <w:color w:val="0000EE"/>
          </w:rPr>
          <w:t>21.22.3 Maçonneries non portantes en blocs de silico-calcaire</w:t>
        </w:r>
      </w:hyperlink>
      <w:r>
        <w:t>.</w:t>
      </w:r>
      <w:r>
        <w:br/>
        <w:t>Les travaux comprennent également la fourniture et la pose des pièces d’angle, de terminaison et de rencontre.</w:t>
      </w:r>
    </w:p>
    <w:p w14:paraId="0CD525EA" w14:textId="77777777" w:rsidR="00DB2B68" w:rsidRDefault="00000000">
      <w:pPr>
        <w:pStyle w:val="pheading"/>
      </w:pPr>
      <w:r>
        <w:t>- Localisation</w:t>
      </w:r>
    </w:p>
    <w:p w14:paraId="681C43CB" w14:textId="77777777" w:rsidR="00DB2B68" w:rsidRDefault="00000000">
      <w:r>
        <w:lastRenderedPageBreak/>
        <w:t xml:space="preserve">La pose est réalisée aux endroits suivants : </w:t>
      </w:r>
      <w:r>
        <w:rPr>
          <w:rStyle w:val="optioncarChar"/>
        </w:rPr>
        <w:t>***</w:t>
      </w:r>
      <w:r>
        <w:t>.</w:t>
      </w:r>
      <w:r>
        <w:br/>
        <w:t>Voir plans et métrés détaillés.</w:t>
      </w:r>
    </w:p>
    <w:p w14:paraId="1F61AF05" w14:textId="77777777" w:rsidR="00DB2B68" w:rsidRDefault="00000000">
      <w:pPr>
        <w:pStyle w:val="pheading"/>
      </w:pPr>
      <w:r>
        <w:t>MATÉRIAUX</w:t>
      </w:r>
    </w:p>
    <w:p w14:paraId="0184185B" w14:textId="77777777" w:rsidR="00DB2B68" w:rsidRDefault="00000000">
      <w:pPr>
        <w:pStyle w:val="pheading"/>
      </w:pPr>
      <w:r>
        <w:t>- Caractéristiques générales</w:t>
      </w:r>
    </w:p>
    <w:p w14:paraId="43A6FDC0" w14:textId="77777777" w:rsidR="00DB2B68" w:rsidRDefault="00000000">
      <w:r>
        <w:rPr>
          <w:rStyle w:val="headingChar"/>
        </w:rPr>
        <w:t>Spécifications</w:t>
      </w:r>
    </w:p>
    <w:p w14:paraId="78618C69"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Absorption d’eau par immersion : code A1 (exposé décoratif) / A2 (exposé) </w:t>
      </w:r>
      <w:r>
        <w:rPr>
          <w:rStyle w:val="optioncarChar"/>
        </w:rPr>
        <w:t>(par défaut)</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51547F65" w14:textId="77777777" w:rsidR="00DB2B68" w:rsidRDefault="00000000">
      <w:r>
        <w:t>Coefficient de transmission :</w:t>
      </w:r>
    </w:p>
    <w:p w14:paraId="31A82B38" w14:textId="77777777" w:rsidR="00DB2B68" w:rsidRDefault="00000000">
      <w:pPr>
        <w:pStyle w:val="Author-eListParagraph"/>
        <w:numPr>
          <w:ilvl w:val="0"/>
          <w:numId w:val="192"/>
        </w:numPr>
      </w:pPr>
      <w:r>
        <w:t xml:space="preserve">valeur U minimale de </w:t>
      </w:r>
      <w:r>
        <w:rPr>
          <w:rStyle w:val="optioncarChar"/>
        </w:rPr>
        <w:t>***</w:t>
      </w:r>
      <w:r>
        <w:t xml:space="preserve"> W/m²K</w:t>
      </w:r>
    </w:p>
    <w:p w14:paraId="1B8EE1E8" w14:textId="77777777" w:rsidR="00DB2B68" w:rsidRDefault="00000000">
      <w:pPr>
        <w:pStyle w:val="Author-eListParagraph"/>
        <w:numPr>
          <w:ilvl w:val="0"/>
          <w:numId w:val="19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37D3D99" w14:textId="77777777" w:rsidR="00DB2B68" w:rsidRDefault="00000000">
      <w:r>
        <w:br/>
        <w:t xml:space="preserve">Résistance au feu : </w:t>
      </w:r>
      <w:r>
        <w:rPr>
          <w:rStyle w:val="optioncarChar"/>
        </w:rPr>
        <w:t xml:space="preserve">EI30 </w:t>
      </w:r>
      <w:r>
        <w:t>(par défaut) </w:t>
      </w:r>
      <w:r>
        <w:rPr>
          <w:rStyle w:val="optioncarChar"/>
        </w:rPr>
        <w:t>/ EI60 / EI90 / EI120 / EI***</w:t>
      </w:r>
    </w:p>
    <w:p w14:paraId="06B0F8E4" w14:textId="77777777" w:rsidR="00DB2B68" w:rsidRDefault="00000000">
      <w:r>
        <w:t>selon les tableaux dans [NBN EN 1996-1-2 ANB].</w:t>
      </w:r>
    </w:p>
    <w:p w14:paraId="4E49024B" w14:textId="77777777" w:rsidR="00DB2B68" w:rsidRDefault="00000000">
      <w:pPr>
        <w:ind w:left="750"/>
      </w:pPr>
      <w:r>
        <w:t> </w:t>
      </w:r>
    </w:p>
    <w:p w14:paraId="61E9CB50" w14:textId="77777777" w:rsidR="00DB2B68" w:rsidRDefault="00000000">
      <w:pPr>
        <w:pStyle w:val="pheading"/>
      </w:pPr>
      <w:r>
        <w:t>- Finitions</w:t>
      </w:r>
    </w:p>
    <w:p w14:paraId="6129B49F" w14:textId="77777777" w:rsidR="00DB2B68" w:rsidRDefault="00000000">
      <w:pPr>
        <w:pStyle w:val="Author-eListParagraph"/>
        <w:numPr>
          <w:ilvl w:val="0"/>
          <w:numId w:val="193"/>
        </w:numPr>
      </w:pPr>
      <w:r>
        <w:lastRenderedPageBreak/>
        <w:t xml:space="preserve">Les murs suivants sont exécutés avec deux faces restant apparentes : </w:t>
      </w:r>
      <w:r>
        <w:rPr>
          <w:rStyle w:val="optioncarChar"/>
        </w:rPr>
        <w:t>***</w:t>
      </w:r>
    </w:p>
    <w:p w14:paraId="18031B92" w14:textId="77777777" w:rsidR="00DB2B68" w:rsidRDefault="00000000">
      <w:pPr>
        <w:pStyle w:val="Author-eListParagraph"/>
        <w:numPr>
          <w:ilvl w:val="0"/>
          <w:numId w:val="193"/>
        </w:numPr>
      </w:pPr>
      <w:r>
        <w:t xml:space="preserve">Les murs suivants sont exécutés avec deux faces restant apparentes : </w:t>
      </w:r>
      <w:r>
        <w:rPr>
          <w:rStyle w:val="optioncarChar"/>
        </w:rPr>
        <w:t>***</w:t>
      </w:r>
    </w:p>
    <w:p w14:paraId="4A45616B"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r>
        <w:br/>
      </w:r>
    </w:p>
    <w:p w14:paraId="62B7143F" w14:textId="77777777" w:rsidR="00DB2B68" w:rsidRDefault="00000000">
      <w:pPr>
        <w:pStyle w:val="pheading"/>
      </w:pPr>
      <w:r>
        <w:t>MESURAGE</w:t>
      </w:r>
    </w:p>
    <w:p w14:paraId="24908E94" w14:textId="77777777" w:rsidR="00DB2B68" w:rsidRDefault="00000000">
      <w:pPr>
        <w:pStyle w:val="pheading"/>
      </w:pPr>
      <w:r>
        <w:t>- unité de mesure:</w:t>
      </w:r>
    </w:p>
    <w:p w14:paraId="58BA8780" w14:textId="77777777" w:rsidR="00DB2B68" w:rsidRDefault="00000000">
      <w:r>
        <w:rPr>
          <w:rStyle w:val="optioncarChar"/>
        </w:rPr>
        <w:t>m³ </w:t>
      </w:r>
      <w:r>
        <w:t>(par défaut)</w:t>
      </w:r>
      <w:r>
        <w:rPr>
          <w:rStyle w:val="optioncarChar"/>
        </w:rPr>
        <w:t> / m²</w:t>
      </w:r>
    </w:p>
    <w:p w14:paraId="06ED1B23" w14:textId="77777777" w:rsidR="00DB2B68" w:rsidRDefault="00000000">
      <w:r>
        <w:rPr>
          <w:b/>
        </w:rPr>
        <w:t>(soit par défaut)</w:t>
      </w:r>
    </w:p>
    <w:p w14:paraId="5136B4D4" w14:textId="77777777" w:rsidR="00DB2B68" w:rsidRDefault="00000000">
      <w:r>
        <w:rPr>
          <w:rStyle w:val="soitChar"/>
        </w:rPr>
        <w:t>1. m³</w:t>
      </w:r>
    </w:p>
    <w:p w14:paraId="3AC3FBD0" w14:textId="77777777" w:rsidR="00DB2B68" w:rsidRDefault="00000000">
      <w:r>
        <w:rPr>
          <w:b/>
        </w:rPr>
        <w:t>(soit)</w:t>
      </w:r>
    </w:p>
    <w:p w14:paraId="0BA02964" w14:textId="77777777" w:rsidR="00DB2B68" w:rsidRDefault="00000000">
      <w:r>
        <w:rPr>
          <w:rStyle w:val="soitChar"/>
        </w:rPr>
        <w:t>2. m²</w:t>
      </w:r>
    </w:p>
    <w:p w14:paraId="1A60981A" w14:textId="77777777" w:rsidR="00DB2B68" w:rsidRDefault="00000000">
      <w:pPr>
        <w:pStyle w:val="pheading"/>
      </w:pPr>
      <w:r>
        <w:t>- code de mesurage:</w:t>
      </w:r>
    </w:p>
    <w:p w14:paraId="06B7EED2"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951ABCE"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D38DC8C"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971B11C" w14:textId="77777777" w:rsidR="00DB2B68" w:rsidRDefault="00000000">
      <w:r>
        <w:rPr>
          <w:rStyle w:val="optioncarChar"/>
        </w:rPr>
        <w:t>Volume net </w:t>
      </w:r>
      <w:r>
        <w:t>(par défaut)</w:t>
      </w:r>
      <w:r>
        <w:rPr>
          <w:rStyle w:val="optioncarChar"/>
        </w:rPr>
        <w:t> / Surface nette</w:t>
      </w:r>
    </w:p>
    <w:p w14:paraId="19A47F9A" w14:textId="77777777" w:rsidR="00DB2B68" w:rsidRDefault="00000000">
      <w:r>
        <w:rPr>
          <w:b/>
        </w:rPr>
        <w:t>(soit par défaut)</w:t>
      </w:r>
    </w:p>
    <w:p w14:paraId="56BFF74F"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D7F6CAA" w14:textId="77777777" w:rsidR="00DB2B68" w:rsidRDefault="00000000">
      <w:r>
        <w:rPr>
          <w:b/>
        </w:rPr>
        <w:t>(soit)</w:t>
      </w:r>
    </w:p>
    <w:p w14:paraId="3C787CDE"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55B1295" w14:textId="77777777" w:rsidR="00DB2B68" w:rsidRDefault="00DB2B68"/>
    <w:p w14:paraId="41E4D856" w14:textId="77777777" w:rsidR="00DB2B68" w:rsidRDefault="00000000">
      <w:pPr>
        <w:pStyle w:val="pheading"/>
      </w:pPr>
      <w:r>
        <w:t>- nature du marché:</w:t>
      </w:r>
    </w:p>
    <w:p w14:paraId="034C3EFA" w14:textId="77777777" w:rsidR="00DB2B68" w:rsidRDefault="00000000">
      <w:r>
        <w:t>QF</w:t>
      </w:r>
    </w:p>
    <w:p w14:paraId="1F18A73B" w14:textId="77777777" w:rsidR="00DB2B68" w:rsidRDefault="00000000">
      <w:pPr>
        <w:pStyle w:val="Author-eSectionHeading6Numberless"/>
      </w:pPr>
      <w:bookmarkStart w:id="177" w:name="_Toc220495318"/>
      <w:r>
        <w:t>21.22.3d Maçonneries non portantes en blocs de silico-calcaire apparents à coller avec chanfreins CCTB 01.11</w:t>
      </w:r>
      <w:bookmarkEnd w:id="177"/>
    </w:p>
    <w:p w14:paraId="0FD454EF" w14:textId="77777777" w:rsidR="00DB2B68" w:rsidRDefault="00000000">
      <w:pPr>
        <w:pStyle w:val="pheading"/>
      </w:pPr>
      <w:r>
        <w:t>DESCRIPTION</w:t>
      </w:r>
    </w:p>
    <w:p w14:paraId="5FCB1EC7" w14:textId="77777777" w:rsidR="00DB2B68" w:rsidRDefault="00000000">
      <w:pPr>
        <w:pStyle w:val="pheading"/>
      </w:pPr>
      <w:r>
        <w:t>- Définition / Comprend</w:t>
      </w:r>
    </w:p>
    <w:p w14:paraId="0E689CDA" w14:textId="77777777" w:rsidR="00DB2B68" w:rsidRDefault="00000000">
      <w:r>
        <w:lastRenderedPageBreak/>
        <w:t xml:space="preserve">Il s’agit de la fourniture et la pose de maçonneries non portantes en blocs de silico-calcaire apparents à coller avec chanfreins. </w:t>
      </w:r>
      <w:r>
        <w:br/>
        <w:t xml:space="preserve">La portée des travaux est décrite dans l’article </w:t>
      </w:r>
      <w:hyperlink w:anchor="390" w:history="1">
        <w:r>
          <w:rPr>
            <w:color w:val="0000EE"/>
          </w:rPr>
          <w:t>21.22.3 Maçonneries non portantes en blocs de silico-calcaire</w:t>
        </w:r>
      </w:hyperlink>
      <w:r>
        <w:t>.</w:t>
      </w:r>
      <w:r>
        <w:br/>
        <w:t>Les travaux comprennent également la fourniture et la pose des pièces d’angle, de terminaison et de rencontre.</w:t>
      </w:r>
    </w:p>
    <w:p w14:paraId="5E560187" w14:textId="77777777" w:rsidR="00DB2B68" w:rsidRDefault="00000000">
      <w:pPr>
        <w:pStyle w:val="pheading"/>
      </w:pPr>
      <w:r>
        <w:t>- Localisation</w:t>
      </w:r>
    </w:p>
    <w:p w14:paraId="248589F0" w14:textId="77777777" w:rsidR="00DB2B68" w:rsidRDefault="00000000">
      <w:r>
        <w:t xml:space="preserve">La pose est réalisée aux endroits suivants : </w:t>
      </w:r>
      <w:r>
        <w:rPr>
          <w:rStyle w:val="optioncarChar"/>
        </w:rPr>
        <w:t>***</w:t>
      </w:r>
      <w:r>
        <w:t>.</w:t>
      </w:r>
      <w:r>
        <w:br/>
        <w:t>Voir plans et métrés détaillés.</w:t>
      </w:r>
    </w:p>
    <w:p w14:paraId="32097343" w14:textId="77777777" w:rsidR="00DB2B68" w:rsidRDefault="00000000">
      <w:pPr>
        <w:pStyle w:val="pheading"/>
      </w:pPr>
      <w:r>
        <w:t>MATÉRIAUX</w:t>
      </w:r>
    </w:p>
    <w:p w14:paraId="2F979839" w14:textId="77777777" w:rsidR="00DB2B68" w:rsidRDefault="00000000">
      <w:pPr>
        <w:pStyle w:val="pheading"/>
      </w:pPr>
      <w:r>
        <w:t>- Caractéristiques générales</w:t>
      </w:r>
    </w:p>
    <w:p w14:paraId="65B7961A" w14:textId="77777777" w:rsidR="00DB2B68" w:rsidRDefault="00000000">
      <w:r>
        <w:rPr>
          <w:rStyle w:val="headingChar"/>
        </w:rPr>
        <w:t>Spécifications</w:t>
      </w:r>
      <w:r>
        <w:br/>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w:t>
      </w:r>
      <w:r>
        <w:t> (par défaut)</w:t>
      </w:r>
      <w:r>
        <w:rPr>
          <w:rStyle w:val="optioncarChar"/>
        </w:rPr>
        <w:t xml:space="preserve">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avec chanfreins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4F0643A7" w14:textId="77777777" w:rsidR="00DB2B68" w:rsidRDefault="00000000">
      <w:r>
        <w:t>Coefficient de transmission :</w:t>
      </w:r>
    </w:p>
    <w:p w14:paraId="3E5E4033" w14:textId="77777777" w:rsidR="00DB2B68" w:rsidRDefault="00000000">
      <w:pPr>
        <w:pStyle w:val="Author-eListParagraph"/>
        <w:numPr>
          <w:ilvl w:val="0"/>
          <w:numId w:val="194"/>
        </w:numPr>
      </w:pPr>
      <w:r>
        <w:t xml:space="preserve">valeur U minimale de </w:t>
      </w:r>
      <w:r>
        <w:rPr>
          <w:rStyle w:val="optioncarChar"/>
        </w:rPr>
        <w:t>***</w:t>
      </w:r>
      <w:r>
        <w:t xml:space="preserve"> W/m²K</w:t>
      </w:r>
    </w:p>
    <w:p w14:paraId="40D1B8E6" w14:textId="77777777" w:rsidR="00DB2B68" w:rsidRDefault="00000000">
      <w:pPr>
        <w:pStyle w:val="Author-eListParagraph"/>
        <w:numPr>
          <w:ilvl w:val="0"/>
          <w:numId w:val="19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8AF1743" w14:textId="77777777" w:rsidR="00DB2B68" w:rsidRDefault="00000000">
      <w:r>
        <w:lastRenderedPageBreak/>
        <w:br/>
        <w:t xml:space="preserve">Résistance au feu : </w:t>
      </w:r>
      <w:r>
        <w:rPr>
          <w:rStyle w:val="optioncarChar"/>
        </w:rPr>
        <w:t>EI30 </w:t>
      </w:r>
      <w:r>
        <w:t>(par défaut)</w:t>
      </w:r>
      <w:r>
        <w:rPr>
          <w:rStyle w:val="optioncarChar"/>
        </w:rPr>
        <w:t xml:space="preserve"> / EI60 / EI90 / EI120 / EI***</w:t>
      </w:r>
    </w:p>
    <w:p w14:paraId="001C38AA" w14:textId="77777777" w:rsidR="00DB2B68" w:rsidRDefault="00000000">
      <w:r>
        <w:t>selon les tableaux dans [NBN EN 1996-1-2 ANB].</w:t>
      </w:r>
    </w:p>
    <w:p w14:paraId="55B684A2" w14:textId="77777777" w:rsidR="00DB2B68" w:rsidRDefault="00000000">
      <w:pPr>
        <w:ind w:left="750"/>
      </w:pPr>
      <w:r>
        <w:t> </w:t>
      </w:r>
    </w:p>
    <w:p w14:paraId="560B2181" w14:textId="77777777" w:rsidR="00DB2B68" w:rsidRDefault="00000000">
      <w:pPr>
        <w:pStyle w:val="pheading"/>
      </w:pPr>
      <w:r>
        <w:t>- Finitions</w:t>
      </w:r>
    </w:p>
    <w:p w14:paraId="04113440" w14:textId="77777777" w:rsidR="00DB2B68" w:rsidRDefault="00000000">
      <w:pPr>
        <w:pStyle w:val="Author-eListParagraph"/>
        <w:numPr>
          <w:ilvl w:val="0"/>
          <w:numId w:val="195"/>
        </w:numPr>
      </w:pPr>
      <w:r>
        <w:t xml:space="preserve">Les murs suivants sont exécutés avec une face restant apparente : </w:t>
      </w:r>
      <w:r>
        <w:rPr>
          <w:rStyle w:val="optioncarChar"/>
        </w:rPr>
        <w:t>***</w:t>
      </w:r>
    </w:p>
    <w:p w14:paraId="230E1B52" w14:textId="77777777" w:rsidR="00DB2B68" w:rsidRDefault="00000000">
      <w:pPr>
        <w:pStyle w:val="Author-eListParagraph"/>
        <w:numPr>
          <w:ilvl w:val="0"/>
          <w:numId w:val="195"/>
        </w:numPr>
      </w:pPr>
      <w:r>
        <w:t xml:space="preserve">Les murs suivants sont exécutés avec deux faces restant apparentes : </w:t>
      </w:r>
      <w:r>
        <w:rPr>
          <w:rStyle w:val="optioncarChar"/>
        </w:rPr>
        <w:t>***</w:t>
      </w:r>
    </w:p>
    <w:p w14:paraId="6F3AE8BC"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41FF6D3B" w14:textId="77777777" w:rsidR="00DB2B68" w:rsidRDefault="00000000">
      <w:pPr>
        <w:pStyle w:val="pheading"/>
      </w:pPr>
      <w:r>
        <w:t>MESURAGE</w:t>
      </w:r>
    </w:p>
    <w:p w14:paraId="7F0E50DD" w14:textId="77777777" w:rsidR="00DB2B68" w:rsidRDefault="00000000">
      <w:pPr>
        <w:pStyle w:val="pheading"/>
      </w:pPr>
      <w:r>
        <w:t>- unité de mesure:</w:t>
      </w:r>
    </w:p>
    <w:p w14:paraId="634125B8" w14:textId="77777777" w:rsidR="00DB2B68" w:rsidRDefault="00000000">
      <w:r>
        <w:rPr>
          <w:rStyle w:val="optioncarChar"/>
        </w:rPr>
        <w:t>m³ </w:t>
      </w:r>
      <w:r>
        <w:t>(par défaut)</w:t>
      </w:r>
      <w:r>
        <w:rPr>
          <w:rStyle w:val="optioncarChar"/>
        </w:rPr>
        <w:t> / m²</w:t>
      </w:r>
    </w:p>
    <w:p w14:paraId="5550F25D" w14:textId="77777777" w:rsidR="00DB2B68" w:rsidRDefault="00000000">
      <w:r>
        <w:rPr>
          <w:b/>
        </w:rPr>
        <w:t>(soit par défaut)</w:t>
      </w:r>
    </w:p>
    <w:p w14:paraId="1D6EB08E" w14:textId="77777777" w:rsidR="00DB2B68" w:rsidRDefault="00000000">
      <w:r>
        <w:rPr>
          <w:rStyle w:val="soitChar"/>
        </w:rPr>
        <w:t>1. m³</w:t>
      </w:r>
    </w:p>
    <w:p w14:paraId="3A77F81A" w14:textId="77777777" w:rsidR="00DB2B68" w:rsidRDefault="00000000">
      <w:r>
        <w:rPr>
          <w:b/>
        </w:rPr>
        <w:t>(soit)</w:t>
      </w:r>
    </w:p>
    <w:p w14:paraId="2775BFFC" w14:textId="77777777" w:rsidR="00DB2B68" w:rsidRDefault="00000000">
      <w:r>
        <w:rPr>
          <w:rStyle w:val="soitChar"/>
        </w:rPr>
        <w:t>2. m²</w:t>
      </w:r>
    </w:p>
    <w:p w14:paraId="6B52E569" w14:textId="77777777" w:rsidR="00DB2B68" w:rsidRDefault="00000000">
      <w:pPr>
        <w:pStyle w:val="pheading"/>
      </w:pPr>
      <w:r>
        <w:t>- code de mesurage:</w:t>
      </w:r>
    </w:p>
    <w:p w14:paraId="6637D631"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721091F"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9678C48"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347D6B77" w14:textId="77777777" w:rsidR="00DB2B68" w:rsidRDefault="00000000">
      <w:r>
        <w:rPr>
          <w:rStyle w:val="optioncarChar"/>
        </w:rPr>
        <w:t>Volume net </w:t>
      </w:r>
      <w:r>
        <w:t>(par défaut)</w:t>
      </w:r>
      <w:r>
        <w:rPr>
          <w:rStyle w:val="optioncarChar"/>
        </w:rPr>
        <w:t> / Surface nette</w:t>
      </w:r>
    </w:p>
    <w:p w14:paraId="4A908EBE" w14:textId="77777777" w:rsidR="00DB2B68" w:rsidRDefault="00000000">
      <w:r>
        <w:rPr>
          <w:b/>
        </w:rPr>
        <w:t>(soit par défaut)</w:t>
      </w:r>
    </w:p>
    <w:p w14:paraId="26C0F90D"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41F1C06" w14:textId="77777777" w:rsidR="00DB2B68" w:rsidRDefault="00000000">
      <w:r>
        <w:rPr>
          <w:b/>
        </w:rPr>
        <w:t>(soit)</w:t>
      </w:r>
    </w:p>
    <w:p w14:paraId="4882E3C7"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0691BB6" w14:textId="77777777" w:rsidR="00DB2B68" w:rsidRDefault="00000000">
      <w:pPr>
        <w:ind w:left="750"/>
      </w:pPr>
      <w:r>
        <w:t> </w:t>
      </w:r>
    </w:p>
    <w:p w14:paraId="3B590DD4" w14:textId="77777777" w:rsidR="00DB2B68" w:rsidRDefault="00000000">
      <w:pPr>
        <w:pStyle w:val="pheading"/>
      </w:pPr>
      <w:r>
        <w:t>- nature du marché:</w:t>
      </w:r>
    </w:p>
    <w:p w14:paraId="62744964" w14:textId="77777777" w:rsidR="00DB2B68" w:rsidRDefault="00000000">
      <w:r>
        <w:t>QF</w:t>
      </w:r>
    </w:p>
    <w:p w14:paraId="22307731" w14:textId="77777777" w:rsidR="00DB2B68" w:rsidRDefault="00000000">
      <w:pPr>
        <w:pStyle w:val="Author-eSectionHeading5Numberless"/>
      </w:pPr>
      <w:bookmarkStart w:id="178" w:name="_Toc220495319"/>
      <w:r>
        <w:lastRenderedPageBreak/>
        <w:t>21.22.4 Maçonneries non portantes en blocs de béton d'argile expansée CCTB 01.11</w:t>
      </w:r>
      <w:bookmarkEnd w:id="178"/>
    </w:p>
    <w:p w14:paraId="385961ED" w14:textId="77777777" w:rsidR="00DB2B68" w:rsidRDefault="00000000">
      <w:pPr>
        <w:pStyle w:val="pheading"/>
      </w:pPr>
      <w:bookmarkStart w:id="179" w:name="391"/>
      <w:bookmarkEnd w:id="179"/>
      <w:r>
        <w:t>MATÉRIAUX</w:t>
      </w:r>
    </w:p>
    <w:p w14:paraId="580E93BE" w14:textId="77777777" w:rsidR="00DB2B68" w:rsidRDefault="00000000">
      <w:r>
        <w:t>Il s'agit des blocs en béton, qui répondent à la norme [NBN EN 771-3+A1] et au [PTV 21-001]. L'entrepreneur soumet un échantillon, la fiche technique et la déclaration des performances (DoP) du matériau pour approbation à l'auteur de projet et au maître de l’ouvrage.</w:t>
      </w:r>
    </w:p>
    <w:p w14:paraId="4246C746" w14:textId="77777777" w:rsidR="00DB2B68" w:rsidRDefault="00000000">
      <w:pPr>
        <w:pStyle w:val="pheading"/>
      </w:pPr>
      <w:r>
        <w:t>EXÉCUTION / MISE EN ŒUVRE</w:t>
      </w:r>
    </w:p>
    <w:p w14:paraId="3057ADCF" w14:textId="77777777" w:rsidR="00DB2B68" w:rsidRDefault="00000000">
      <w:r>
        <w:rPr>
          <w:u w:val="single"/>
        </w:rPr>
        <w:t>-Prescriptions générales</w:t>
      </w:r>
    </w:p>
    <w:p w14:paraId="2EB3AED3" w14:textId="77777777" w:rsidR="00DB2B68"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3E469936" w14:textId="77777777" w:rsidR="00DB2B68"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35708E2D" w14:textId="77777777" w:rsidR="00DB2B68" w:rsidRDefault="00000000">
      <w:r>
        <w:t xml:space="preserve">L'épaisseur des joints est d'au moins </w:t>
      </w:r>
      <w:r>
        <w:rPr>
          <w:rStyle w:val="optioncarChar"/>
        </w:rPr>
        <w:t>10 </w:t>
      </w:r>
      <w:r>
        <w:t xml:space="preserve">(par défaut) </w:t>
      </w:r>
      <w:r>
        <w:rPr>
          <w:rStyle w:val="optioncarChar"/>
        </w:rPr>
        <w:t>/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3A0B1ADB" w14:textId="77777777" w:rsidR="00DB2B68"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r>
        <w:t>.</w:t>
      </w:r>
      <w:r>
        <w:br/>
      </w:r>
      <w:r>
        <w:br/>
      </w:r>
      <w:r>
        <w:rPr>
          <w:u w:val="single"/>
        </w:rPr>
        <w:t>-Notes d'exécution complémentaires</w:t>
      </w:r>
    </w:p>
    <w:p w14:paraId="57121A79" w14:textId="77777777" w:rsidR="00DB2B68" w:rsidRDefault="00000000">
      <w:r>
        <w:t>Pour les maçonneries destinées à rester apparentes, seules des blocs non endommagés sont utilisés.</w:t>
      </w:r>
    </w:p>
    <w:p w14:paraId="6C8E88C5"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3321CE3A"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32F146D6"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6D374952" w14:textId="77777777" w:rsidR="00DB2B68"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7D04B6DC"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r>
        <w:t>.</w:t>
      </w:r>
    </w:p>
    <w:p w14:paraId="38E821AA" w14:textId="77777777" w:rsidR="00DB2B68" w:rsidRDefault="00000000">
      <w:pPr>
        <w:ind w:left="750"/>
      </w:pPr>
      <w:r>
        <w:t> </w:t>
      </w:r>
    </w:p>
    <w:p w14:paraId="3C604775" w14:textId="77777777" w:rsidR="00DB2B68" w:rsidRDefault="00000000">
      <w:pPr>
        <w:pStyle w:val="pheading"/>
      </w:pPr>
      <w:r>
        <w:t>AIDE</w:t>
      </w:r>
    </w:p>
    <w:p w14:paraId="54A21F08" w14:textId="77777777" w:rsidR="00DB2B68" w:rsidRDefault="00000000">
      <w:r>
        <w:t>Note à l'attention de l'auteur du projet : pour le choix adéquat du mortier, se référer à la [STS 22 série].</w:t>
      </w:r>
    </w:p>
    <w:p w14:paraId="6A8D5357" w14:textId="77777777" w:rsidR="00DB2B68" w:rsidRDefault="00000000">
      <w:pPr>
        <w:pStyle w:val="Author-eSectionHeading6Numberless"/>
      </w:pPr>
      <w:bookmarkStart w:id="180" w:name="_Toc220495320"/>
      <w:r>
        <w:t>21.22.4a Maçonneries non portantes en blocs de béton d'argile expansée pleins à maçonner CCTB 01.13</w:t>
      </w:r>
      <w:bookmarkEnd w:id="180"/>
    </w:p>
    <w:p w14:paraId="4AC31DDA" w14:textId="77777777" w:rsidR="00DB2B68" w:rsidRDefault="00000000">
      <w:pPr>
        <w:pStyle w:val="pheading"/>
      </w:pPr>
      <w:r>
        <w:t>DESCRIPTION</w:t>
      </w:r>
    </w:p>
    <w:p w14:paraId="3A5D0797" w14:textId="77777777" w:rsidR="00DB2B68" w:rsidRDefault="00000000">
      <w:pPr>
        <w:pStyle w:val="pheading"/>
      </w:pPr>
      <w:r>
        <w:t>- Définition / Comprend</w:t>
      </w:r>
    </w:p>
    <w:p w14:paraId="1DF90C11" w14:textId="77777777" w:rsidR="00DB2B68" w:rsidRDefault="00000000">
      <w:r>
        <w:t xml:space="preserve">Il s’agit de la fourniture et la pose de maçonneries non portantes en blocs de béton d’argile expansée pleins à maçonner. </w:t>
      </w:r>
      <w:r>
        <w:br/>
      </w:r>
      <w:r>
        <w:lastRenderedPageBreak/>
        <w:t xml:space="preserve">La portée des travaux est décrite dans l’article </w:t>
      </w:r>
      <w:hyperlink w:anchor="391" w:history="1">
        <w:r>
          <w:rPr>
            <w:color w:val="0000EE"/>
          </w:rPr>
          <w:t>21.22.4 Maçonneries non portantes en blocs de béton d'argile expansée</w:t>
        </w:r>
      </w:hyperlink>
      <w:r>
        <w:t>.</w:t>
      </w:r>
      <w:r>
        <w:br/>
        <w:t>Les travaux comprennent également la fourniture et la pose des pièces d’angle, de terminaison et de rencontre.</w:t>
      </w:r>
    </w:p>
    <w:p w14:paraId="7650A457" w14:textId="77777777" w:rsidR="00DB2B68" w:rsidRDefault="00000000">
      <w:pPr>
        <w:pStyle w:val="pheading"/>
      </w:pPr>
      <w:r>
        <w:t>- Localisation</w:t>
      </w:r>
    </w:p>
    <w:p w14:paraId="0EBD9857" w14:textId="77777777" w:rsidR="00DB2B68" w:rsidRDefault="00000000">
      <w:r>
        <w:t xml:space="preserve">La pose est réalisée aux endroits suivants : </w:t>
      </w:r>
      <w:r>
        <w:rPr>
          <w:rStyle w:val="optioncarChar"/>
        </w:rPr>
        <w:t>***</w:t>
      </w:r>
      <w:r>
        <w:t>.</w:t>
      </w:r>
      <w:r>
        <w:br/>
        <w:t>Voir plans et métrés détaillés.</w:t>
      </w:r>
    </w:p>
    <w:p w14:paraId="1A8A0977" w14:textId="77777777" w:rsidR="00DB2B68" w:rsidRDefault="00000000">
      <w:pPr>
        <w:pStyle w:val="pheading"/>
      </w:pPr>
      <w:r>
        <w:t>MATÉRIAUX</w:t>
      </w:r>
    </w:p>
    <w:p w14:paraId="3C99D520" w14:textId="77777777" w:rsidR="00DB2B68" w:rsidRDefault="00000000">
      <w:pPr>
        <w:pStyle w:val="pheading"/>
      </w:pPr>
      <w:r>
        <w:t>- Caractéristiques générales</w:t>
      </w:r>
    </w:p>
    <w:p w14:paraId="7491FD9F" w14:textId="77777777" w:rsidR="00DB2B68" w:rsidRDefault="00000000">
      <w:r>
        <w:rPr>
          <w:rStyle w:val="headingChar"/>
        </w:rPr>
        <w:t>Spécifications</w:t>
      </w:r>
    </w:p>
    <w:p w14:paraId="1FBBA42A" w14:textId="77777777" w:rsidR="00DB2B68" w:rsidRDefault="00000000">
      <w:r>
        <w:rPr>
          <w:u w:val="single"/>
        </w:rPr>
        <w:t>Blocs</w:t>
      </w:r>
    </w:p>
    <w:p w14:paraId="7C95AC35"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14FC5C00" w14:textId="77777777" w:rsidR="00DB2B68" w:rsidRDefault="00000000">
      <w:r>
        <w:t xml:space="preserve">Le groupe de configuration suivant [PTV 21-001]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30623176"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 xml:space="preserve">(par défaut) </w:t>
      </w:r>
      <w:r>
        <w:rPr>
          <w:rStyle w:val="optioncarChar"/>
        </w:rPr>
        <w:t>/ ***</w:t>
      </w:r>
    </w:p>
    <w:p w14:paraId="42103DF4" w14:textId="77777777" w:rsidR="00DB2B68" w:rsidRDefault="00000000">
      <w:pPr>
        <w:spacing w:before="0" w:after="0"/>
      </w:pPr>
      <w:r>
        <w:rPr>
          <w:u w:val="single"/>
        </w:rPr>
        <w:t>Mortier</w:t>
      </w:r>
    </w:p>
    <w:p w14:paraId="04259B6D" w14:textId="77777777" w:rsidR="00DB2B68"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31C859A6" w14:textId="77777777" w:rsidR="00DB2B68"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6E23FFDB" w14:textId="77777777" w:rsidR="00DB2B68" w:rsidRDefault="00000000">
      <w:pPr>
        <w:spacing w:before="0" w:after="0"/>
      </w:pPr>
      <w:r>
        <w:rPr>
          <w:rStyle w:val="normalChar"/>
          <w:color w:val="000000"/>
        </w:rPr>
        <w:t>Résistance au gel : oui</w:t>
      </w:r>
    </w:p>
    <w:p w14:paraId="761B6A7E" w14:textId="77777777" w:rsidR="00DB2B68" w:rsidRDefault="00000000">
      <w:r>
        <w:br/>
      </w:r>
      <w:r>
        <w:rPr>
          <w:rStyle w:val="headingChar"/>
        </w:rPr>
        <w:t>Critères De Performances De La Paroi</w:t>
      </w:r>
    </w:p>
    <w:p w14:paraId="14D16062" w14:textId="77777777" w:rsidR="00DB2B68" w:rsidRDefault="00000000">
      <w:r>
        <w:t>Coefficient de transmission :</w:t>
      </w:r>
    </w:p>
    <w:p w14:paraId="3F6B45C6" w14:textId="77777777" w:rsidR="00DB2B68" w:rsidRDefault="00000000">
      <w:pPr>
        <w:pStyle w:val="Author-eListParagraph"/>
        <w:numPr>
          <w:ilvl w:val="0"/>
          <w:numId w:val="196"/>
        </w:numPr>
      </w:pPr>
      <w:r>
        <w:t xml:space="preserve">valeur U minimale de </w:t>
      </w:r>
      <w:r>
        <w:rPr>
          <w:rStyle w:val="optioncarChar"/>
        </w:rPr>
        <w:t>***</w:t>
      </w:r>
      <w:r>
        <w:t xml:space="preserve"> W/m²K</w:t>
      </w:r>
    </w:p>
    <w:p w14:paraId="1160A349" w14:textId="77777777" w:rsidR="00DB2B68" w:rsidRDefault="00000000">
      <w:pPr>
        <w:pStyle w:val="Author-eListParagraph"/>
        <w:numPr>
          <w:ilvl w:val="0"/>
          <w:numId w:val="19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364DFA4" w14:textId="77777777" w:rsidR="00DB2B68" w:rsidRDefault="00000000">
      <w:r>
        <w:br/>
        <w:t xml:space="preserve">Résistance au feu : </w:t>
      </w:r>
      <w:r>
        <w:rPr>
          <w:rStyle w:val="optioncarChar"/>
        </w:rPr>
        <w:t>EI30</w:t>
      </w:r>
      <w:r>
        <w:t> (par défaut)</w:t>
      </w:r>
      <w:r>
        <w:rPr>
          <w:rStyle w:val="optioncarChar"/>
        </w:rPr>
        <w:t xml:space="preserve"> / EI60/ EI90 / EI120 / EI***</w:t>
      </w:r>
    </w:p>
    <w:p w14:paraId="0FE4724B" w14:textId="77777777" w:rsidR="00DB2B68" w:rsidRDefault="00000000">
      <w:r>
        <w:lastRenderedPageBreak/>
        <w:t>selon les tableaux dans [NBN EN 1996-1-2 ANB].</w:t>
      </w:r>
    </w:p>
    <w:p w14:paraId="4A01674F" w14:textId="77777777" w:rsidR="00DB2B68" w:rsidRDefault="00000000">
      <w:pPr>
        <w:pStyle w:val="pheading"/>
      </w:pPr>
      <w:r>
        <w:t>- Finitions</w:t>
      </w:r>
    </w:p>
    <w:p w14:paraId="32E52727" w14:textId="77777777" w:rsidR="00DB2B68" w:rsidRDefault="00000000">
      <w:pPr>
        <w:pStyle w:val="Author-eListParagraph"/>
        <w:numPr>
          <w:ilvl w:val="0"/>
          <w:numId w:val="197"/>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p>
    <w:p w14:paraId="1C1BDAC3" w14:textId="77777777" w:rsidR="00DB2B68" w:rsidRDefault="00000000">
      <w:pPr>
        <w:pStyle w:val="Author-eListParagraph"/>
        <w:numPr>
          <w:ilvl w:val="0"/>
          <w:numId w:val="197"/>
        </w:numPr>
      </w:pPr>
      <w:r>
        <w:t xml:space="preserve">Les murs suivants sont exécutés avec une face restant apparente : </w:t>
      </w:r>
      <w:r>
        <w:rPr>
          <w:rStyle w:val="optioncarChar"/>
        </w:rPr>
        <w:t>***</w:t>
      </w:r>
    </w:p>
    <w:p w14:paraId="73A42B46" w14:textId="77777777" w:rsidR="00DB2B68" w:rsidRDefault="00000000">
      <w:pPr>
        <w:pStyle w:val="Author-eListParagraph"/>
        <w:numPr>
          <w:ilvl w:val="0"/>
          <w:numId w:val="197"/>
        </w:numPr>
      </w:pPr>
      <w:r>
        <w:t xml:space="preserve">Les murs suivants sont exécutés avec deux faces restant apparentes : </w:t>
      </w:r>
      <w:r>
        <w:rPr>
          <w:rStyle w:val="optioncarChar"/>
        </w:rPr>
        <w:t>***</w:t>
      </w:r>
    </w:p>
    <w:p w14:paraId="7C1D24B9" w14:textId="77777777" w:rsidR="00DB2B68" w:rsidRDefault="00000000">
      <w:pPr>
        <w:pStyle w:val="pheading"/>
      </w:pPr>
      <w:r>
        <w:t>MESURAGE</w:t>
      </w:r>
    </w:p>
    <w:p w14:paraId="0516B6A3" w14:textId="77777777" w:rsidR="00DB2B68" w:rsidRDefault="00000000">
      <w:pPr>
        <w:pStyle w:val="pheading"/>
      </w:pPr>
      <w:r>
        <w:t>- unité de mesure:</w:t>
      </w:r>
    </w:p>
    <w:p w14:paraId="53692E35" w14:textId="77777777" w:rsidR="00DB2B68" w:rsidRDefault="00000000">
      <w:r>
        <w:rPr>
          <w:rStyle w:val="optioncarChar"/>
        </w:rPr>
        <w:t>m³ </w:t>
      </w:r>
      <w:r>
        <w:t>(par défaut)</w:t>
      </w:r>
      <w:r>
        <w:rPr>
          <w:rStyle w:val="optioncarChar"/>
        </w:rPr>
        <w:t> / m²</w:t>
      </w:r>
    </w:p>
    <w:p w14:paraId="051E7A6E" w14:textId="77777777" w:rsidR="00DB2B68" w:rsidRDefault="00000000">
      <w:r>
        <w:rPr>
          <w:b/>
        </w:rPr>
        <w:t>(soit par défaut)</w:t>
      </w:r>
    </w:p>
    <w:p w14:paraId="7D4B72E6" w14:textId="77777777" w:rsidR="00DB2B68" w:rsidRDefault="00000000">
      <w:r>
        <w:rPr>
          <w:rStyle w:val="soitChar"/>
        </w:rPr>
        <w:t>1. m³</w:t>
      </w:r>
    </w:p>
    <w:p w14:paraId="5283D073" w14:textId="77777777" w:rsidR="00DB2B68" w:rsidRDefault="00000000">
      <w:r>
        <w:rPr>
          <w:b/>
        </w:rPr>
        <w:t>(soit)</w:t>
      </w:r>
    </w:p>
    <w:p w14:paraId="25E09F06" w14:textId="77777777" w:rsidR="00DB2B68" w:rsidRDefault="00000000">
      <w:r>
        <w:rPr>
          <w:rStyle w:val="soitChar"/>
        </w:rPr>
        <w:t>2. m²</w:t>
      </w:r>
    </w:p>
    <w:p w14:paraId="35417B74" w14:textId="77777777" w:rsidR="00DB2B68" w:rsidRDefault="00000000">
      <w:pPr>
        <w:pStyle w:val="pheading"/>
      </w:pPr>
      <w:r>
        <w:t>- code de mesurage:</w:t>
      </w:r>
    </w:p>
    <w:p w14:paraId="2C29D58D"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BF255D7"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AD40E37"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34325083" w14:textId="77777777" w:rsidR="00DB2B68" w:rsidRDefault="00000000">
      <w:r>
        <w:rPr>
          <w:rStyle w:val="optioncarChar"/>
        </w:rPr>
        <w:t>Volume net </w:t>
      </w:r>
      <w:r>
        <w:t>(par défaut)</w:t>
      </w:r>
      <w:r>
        <w:rPr>
          <w:rStyle w:val="optioncarChar"/>
        </w:rPr>
        <w:t> / Surface nette</w:t>
      </w:r>
    </w:p>
    <w:p w14:paraId="0947873D" w14:textId="77777777" w:rsidR="00DB2B68" w:rsidRDefault="00000000">
      <w:r>
        <w:rPr>
          <w:b/>
        </w:rPr>
        <w:t>(soit par défaut)</w:t>
      </w:r>
    </w:p>
    <w:p w14:paraId="181BD3E1"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E9C125C" w14:textId="77777777" w:rsidR="00DB2B68" w:rsidRDefault="00000000">
      <w:r>
        <w:rPr>
          <w:b/>
        </w:rPr>
        <w:t>(soit)</w:t>
      </w:r>
    </w:p>
    <w:p w14:paraId="44795965"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E6748D6" w14:textId="77777777" w:rsidR="00DB2B68" w:rsidRDefault="00DB2B68"/>
    <w:p w14:paraId="5B622F14" w14:textId="77777777" w:rsidR="00DB2B68" w:rsidRDefault="00000000">
      <w:pPr>
        <w:ind w:left="750"/>
      </w:pPr>
      <w:r>
        <w:t> </w:t>
      </w:r>
    </w:p>
    <w:p w14:paraId="60B4FD7D" w14:textId="77777777" w:rsidR="00DB2B68" w:rsidRDefault="00000000">
      <w:pPr>
        <w:pStyle w:val="pheading"/>
      </w:pPr>
      <w:r>
        <w:t>- nature du marché:</w:t>
      </w:r>
    </w:p>
    <w:p w14:paraId="1A6D7B7B" w14:textId="77777777" w:rsidR="00DB2B68" w:rsidRDefault="00000000">
      <w:r>
        <w:t>QF</w:t>
      </w:r>
    </w:p>
    <w:p w14:paraId="7526D3B4" w14:textId="77777777" w:rsidR="00DB2B68" w:rsidRDefault="00000000">
      <w:pPr>
        <w:pStyle w:val="Author-eSectionHeading6Numberless"/>
      </w:pPr>
      <w:bookmarkStart w:id="181" w:name="_Toc220495321"/>
      <w:r>
        <w:t>21.22.4b Maçonneries non portantes en blocs de béton d'argile expansée pleins à coller CCTB 01.13</w:t>
      </w:r>
      <w:bookmarkEnd w:id="181"/>
    </w:p>
    <w:p w14:paraId="6D949F2B" w14:textId="77777777" w:rsidR="00DB2B68" w:rsidRDefault="00000000">
      <w:pPr>
        <w:pStyle w:val="pheading"/>
      </w:pPr>
      <w:r>
        <w:t>DESCRIPTION</w:t>
      </w:r>
    </w:p>
    <w:p w14:paraId="79AB1B58" w14:textId="77777777" w:rsidR="00DB2B68" w:rsidRDefault="00000000">
      <w:pPr>
        <w:pStyle w:val="pheading"/>
      </w:pPr>
      <w:r>
        <w:lastRenderedPageBreak/>
        <w:t>- Définition / Comprend</w:t>
      </w:r>
    </w:p>
    <w:p w14:paraId="3445005F" w14:textId="77777777" w:rsidR="00DB2B68" w:rsidRDefault="00000000">
      <w:r>
        <w:t xml:space="preserve">Il s’agit de la fourniture et la pose de maçonneries non portantes en blocs de béton d’argile expansée pleins à coller. </w:t>
      </w:r>
      <w:r>
        <w:br/>
        <w:t xml:space="preserve">La portée des travaux est décrite dans l’article </w:t>
      </w:r>
      <w:hyperlink w:anchor="391" w:history="1">
        <w:r>
          <w:rPr>
            <w:color w:val="0000EE"/>
          </w:rPr>
          <w:t>21.22.4 Maçonneries non portantes en blocs de béton d'argile expansée</w:t>
        </w:r>
      </w:hyperlink>
      <w:r>
        <w:t>.</w:t>
      </w:r>
      <w:r>
        <w:br/>
        <w:t>Les travaux comprennent également la fourniture et la pose des pièces d’angle, de terminaison et de rencontre.</w:t>
      </w:r>
    </w:p>
    <w:p w14:paraId="562C0AA9" w14:textId="77777777" w:rsidR="00DB2B68" w:rsidRDefault="00000000">
      <w:pPr>
        <w:pStyle w:val="pheading"/>
      </w:pPr>
      <w:r>
        <w:t>- Localisation</w:t>
      </w:r>
    </w:p>
    <w:p w14:paraId="72A1E08A" w14:textId="77777777" w:rsidR="00DB2B68" w:rsidRDefault="00000000">
      <w:r>
        <w:t xml:space="preserve">La pose est réalisée aux endroits suivants : </w:t>
      </w:r>
      <w:r>
        <w:rPr>
          <w:rStyle w:val="optioncarChar"/>
        </w:rPr>
        <w:t>***</w:t>
      </w:r>
      <w:r>
        <w:t>.</w:t>
      </w:r>
      <w:r>
        <w:br/>
        <w:t>Voir plans et métrés détaillés.</w:t>
      </w:r>
    </w:p>
    <w:p w14:paraId="47300498" w14:textId="77777777" w:rsidR="00DB2B68" w:rsidRDefault="00000000">
      <w:pPr>
        <w:pStyle w:val="pheading"/>
      </w:pPr>
      <w:r>
        <w:t>MATÉRIAUX</w:t>
      </w:r>
    </w:p>
    <w:p w14:paraId="182D1BCE" w14:textId="77777777" w:rsidR="00DB2B68" w:rsidRDefault="00000000">
      <w:pPr>
        <w:pStyle w:val="pheading"/>
      </w:pPr>
      <w:r>
        <w:t>- Caractéristiques générales</w:t>
      </w:r>
    </w:p>
    <w:p w14:paraId="1590667C" w14:textId="77777777" w:rsidR="00DB2B68" w:rsidRDefault="00000000">
      <w:r>
        <w:rPr>
          <w:rStyle w:val="headingChar"/>
        </w:rPr>
        <w:t>Spécifications</w:t>
      </w:r>
    </w:p>
    <w:p w14:paraId="5FB862CF" w14:textId="77777777" w:rsidR="00DB2B68" w:rsidRDefault="00000000">
      <w:r>
        <w:rPr>
          <w:u w:val="single"/>
        </w:rPr>
        <w:t>Blocs</w:t>
      </w:r>
    </w:p>
    <w:p w14:paraId="3FB38F24"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66874027" w14:textId="77777777" w:rsidR="00DB2B68" w:rsidRDefault="0000000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w:t>
      </w:r>
      <w:r>
        <w:t xml:space="preserve"> (</w:t>
      </w:r>
      <w:r>
        <w:rPr>
          <w:rStyle w:val="optioncarChar"/>
        </w:rPr>
        <w:t>290 / 300 / *** </w:t>
      </w:r>
      <w:r>
        <w:t>x</w:t>
      </w:r>
      <w:r>
        <w:rPr>
          <w:rStyle w:val="optioncarChar"/>
        </w:rPr>
        <w:t> 140 / 150 / 190 / 200 / ***</w:t>
      </w:r>
      <w:r>
        <w:t> x</w:t>
      </w:r>
      <w:r>
        <w:rPr>
          <w:rStyle w:val="optioncarChar"/>
        </w:rPr>
        <w:t> 140 / 150 / 190 / 200 / ***</w:t>
      </w:r>
      <w:r>
        <w:t> ) mm</w:t>
      </w:r>
    </w:p>
    <w:p w14:paraId="6DB4FD78"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Réaction au feu : </w:t>
      </w:r>
      <w:r>
        <w:rPr>
          <w:rStyle w:val="optioncarChar"/>
        </w:rPr>
        <w:t>A1 </w:t>
      </w:r>
      <w:r>
        <w:t>(par défaut)</w:t>
      </w:r>
      <w:r>
        <w:rPr>
          <w:rStyle w:val="optioncarChar"/>
        </w:rPr>
        <w:t xml:space="preserve"> / ***</w:t>
      </w:r>
    </w:p>
    <w:p w14:paraId="536CD49C" w14:textId="77777777" w:rsidR="00DB2B68" w:rsidRDefault="00000000">
      <w:pPr>
        <w:spacing w:before="0" w:after="0"/>
      </w:pPr>
      <w:r>
        <w:rPr>
          <w:u w:val="single"/>
        </w:rPr>
        <w:t>Mortier</w:t>
      </w:r>
    </w:p>
    <w:p w14:paraId="112553CB"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600C5488"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413D1AD" w14:textId="77777777" w:rsidR="00DB2B68" w:rsidRDefault="00000000">
      <w:pPr>
        <w:spacing w:before="0" w:after="0"/>
      </w:pPr>
      <w:r>
        <w:rPr>
          <w:rStyle w:val="normalChar"/>
          <w:color w:val="000000"/>
        </w:rPr>
        <w:t>Résistance au gel : oui</w:t>
      </w:r>
    </w:p>
    <w:p w14:paraId="175FC5BF" w14:textId="77777777" w:rsidR="00DB2B68" w:rsidRDefault="00000000">
      <w:r>
        <w:br/>
      </w:r>
      <w:r>
        <w:rPr>
          <w:rStyle w:val="headingChar"/>
        </w:rPr>
        <w:t>Critères De Performances De La Paroi</w:t>
      </w:r>
    </w:p>
    <w:p w14:paraId="5031F971" w14:textId="77777777" w:rsidR="00DB2B68" w:rsidRDefault="00000000">
      <w:r>
        <w:t>Coefficient de transmission :</w:t>
      </w:r>
    </w:p>
    <w:p w14:paraId="283B41B7" w14:textId="77777777" w:rsidR="00DB2B68" w:rsidRDefault="00000000">
      <w:pPr>
        <w:pStyle w:val="Author-eListParagraph"/>
        <w:numPr>
          <w:ilvl w:val="0"/>
          <w:numId w:val="198"/>
        </w:numPr>
      </w:pPr>
      <w:r>
        <w:t xml:space="preserve">valeur U minimale de </w:t>
      </w:r>
      <w:r>
        <w:rPr>
          <w:rStyle w:val="optioncarChar"/>
        </w:rPr>
        <w:t>***</w:t>
      </w:r>
      <w:r>
        <w:t xml:space="preserve"> W/m²K</w:t>
      </w:r>
    </w:p>
    <w:p w14:paraId="0454BEE9" w14:textId="77777777" w:rsidR="00DB2B68" w:rsidRDefault="00000000">
      <w:pPr>
        <w:pStyle w:val="Author-eListParagraph"/>
        <w:numPr>
          <w:ilvl w:val="0"/>
          <w:numId w:val="198"/>
        </w:numPr>
      </w:pPr>
      <w:r>
        <w:lastRenderedPageBreak/>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22C9150" w14:textId="77777777" w:rsidR="00DB2B68" w:rsidRDefault="00000000">
      <w:r>
        <w:br/>
        <w:t xml:space="preserve">Résistance au feu : </w:t>
      </w:r>
      <w:r>
        <w:rPr>
          <w:rStyle w:val="optioncarChar"/>
        </w:rPr>
        <w:t>EI30</w:t>
      </w:r>
      <w:r>
        <w:t xml:space="preserve"> (par défaut) </w:t>
      </w:r>
      <w:r>
        <w:rPr>
          <w:rStyle w:val="optioncarChar"/>
        </w:rPr>
        <w:t>/ EI60 / EI90 / EI120 / EI***</w:t>
      </w:r>
    </w:p>
    <w:p w14:paraId="42CF8B65" w14:textId="77777777" w:rsidR="00DB2B68" w:rsidRDefault="00000000">
      <w:r>
        <w:t>selon les tableaux dans [NBN EN 1996-1-2 ANB].</w:t>
      </w:r>
    </w:p>
    <w:p w14:paraId="2F2379A9" w14:textId="77777777" w:rsidR="00DB2B68" w:rsidRDefault="00000000">
      <w:pPr>
        <w:ind w:left="750"/>
      </w:pPr>
      <w:r>
        <w:t> </w:t>
      </w:r>
    </w:p>
    <w:p w14:paraId="7EFF054F" w14:textId="77777777" w:rsidR="00DB2B68" w:rsidRDefault="00000000">
      <w:pPr>
        <w:pStyle w:val="pheading"/>
      </w:pPr>
      <w:r>
        <w:t>- Finitions</w:t>
      </w:r>
    </w:p>
    <w:p w14:paraId="187B9B64" w14:textId="77777777" w:rsidR="00DB2B68" w:rsidRDefault="00000000">
      <w:pPr>
        <w:pStyle w:val="Author-eListParagraph"/>
        <w:numPr>
          <w:ilvl w:val="0"/>
          <w:numId w:val="199"/>
        </w:numPr>
      </w:pPr>
      <w:r>
        <w:t xml:space="preserve">Les murs suivants sont exécutés avec une face restant apparente : </w:t>
      </w:r>
      <w:r>
        <w:rPr>
          <w:rStyle w:val="optioncarChar"/>
        </w:rPr>
        <w:t>***</w:t>
      </w:r>
    </w:p>
    <w:p w14:paraId="59051030" w14:textId="77777777" w:rsidR="00DB2B68" w:rsidRDefault="00000000">
      <w:pPr>
        <w:pStyle w:val="Author-eListParagraph"/>
        <w:numPr>
          <w:ilvl w:val="0"/>
          <w:numId w:val="199"/>
        </w:numPr>
      </w:pPr>
      <w:r>
        <w:t xml:space="preserve">Les murs suivants sont exécutés avec deux faces restant apparentes : </w:t>
      </w:r>
      <w:r>
        <w:rPr>
          <w:rStyle w:val="optioncarChar"/>
        </w:rPr>
        <w:t>***</w:t>
      </w:r>
    </w:p>
    <w:p w14:paraId="324AD881" w14:textId="77777777" w:rsidR="00DB2B68" w:rsidRDefault="00000000">
      <w:pPr>
        <w:pStyle w:val="pheading"/>
      </w:pPr>
      <w:r>
        <w:t>MESURAGE</w:t>
      </w:r>
    </w:p>
    <w:p w14:paraId="7C60A93F" w14:textId="77777777" w:rsidR="00DB2B68" w:rsidRDefault="00000000">
      <w:pPr>
        <w:pStyle w:val="pheading"/>
      </w:pPr>
      <w:r>
        <w:t>- unité de mesure:</w:t>
      </w:r>
    </w:p>
    <w:p w14:paraId="2349D4AB" w14:textId="77777777" w:rsidR="00DB2B68" w:rsidRDefault="00000000">
      <w:r>
        <w:rPr>
          <w:rStyle w:val="optioncarChar"/>
        </w:rPr>
        <w:t>m³ </w:t>
      </w:r>
      <w:r>
        <w:t>(par défaut)</w:t>
      </w:r>
      <w:r>
        <w:rPr>
          <w:rStyle w:val="optioncarChar"/>
        </w:rPr>
        <w:t> / m²</w:t>
      </w:r>
    </w:p>
    <w:p w14:paraId="6270647C" w14:textId="77777777" w:rsidR="00DB2B68" w:rsidRDefault="00000000">
      <w:r>
        <w:rPr>
          <w:b/>
        </w:rPr>
        <w:t>(soit par défaut)</w:t>
      </w:r>
    </w:p>
    <w:p w14:paraId="0CCBC403" w14:textId="77777777" w:rsidR="00DB2B68" w:rsidRDefault="00000000">
      <w:r>
        <w:rPr>
          <w:rStyle w:val="soitChar"/>
        </w:rPr>
        <w:t>1. m³</w:t>
      </w:r>
    </w:p>
    <w:p w14:paraId="002B6E33" w14:textId="77777777" w:rsidR="00DB2B68" w:rsidRDefault="00000000">
      <w:r>
        <w:rPr>
          <w:b/>
        </w:rPr>
        <w:t>(soit)</w:t>
      </w:r>
    </w:p>
    <w:p w14:paraId="1D2F5C77" w14:textId="77777777" w:rsidR="00DB2B68" w:rsidRDefault="00000000">
      <w:r>
        <w:rPr>
          <w:rStyle w:val="soitChar"/>
        </w:rPr>
        <w:t>2. m²</w:t>
      </w:r>
    </w:p>
    <w:p w14:paraId="3CFB1514" w14:textId="77777777" w:rsidR="00DB2B68" w:rsidRDefault="00000000">
      <w:pPr>
        <w:pStyle w:val="pheading"/>
      </w:pPr>
      <w:r>
        <w:t>- code de mesurage:</w:t>
      </w:r>
    </w:p>
    <w:p w14:paraId="07646BF2"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28DE7ED"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9072DBE"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3727FCD" w14:textId="77777777" w:rsidR="00DB2B68" w:rsidRDefault="00000000">
      <w:r>
        <w:rPr>
          <w:rStyle w:val="optioncarChar"/>
        </w:rPr>
        <w:t>Volume net </w:t>
      </w:r>
      <w:r>
        <w:t>(par défaut)</w:t>
      </w:r>
      <w:r>
        <w:rPr>
          <w:rStyle w:val="optioncarChar"/>
        </w:rPr>
        <w:t> / Surface nette</w:t>
      </w:r>
    </w:p>
    <w:p w14:paraId="0A9DDB01" w14:textId="77777777" w:rsidR="00DB2B68" w:rsidRDefault="00000000">
      <w:r>
        <w:rPr>
          <w:b/>
        </w:rPr>
        <w:t>(soit par défaut)</w:t>
      </w:r>
    </w:p>
    <w:p w14:paraId="64E76ED5"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D93C76F" w14:textId="77777777" w:rsidR="00DB2B68" w:rsidRDefault="00000000">
      <w:r>
        <w:rPr>
          <w:b/>
        </w:rPr>
        <w:t>(soit)</w:t>
      </w:r>
    </w:p>
    <w:p w14:paraId="4956AFEF"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DA85006" w14:textId="77777777" w:rsidR="00DB2B68" w:rsidRDefault="00000000">
      <w:pPr>
        <w:pStyle w:val="pheading"/>
      </w:pPr>
      <w:r>
        <w:t>- nature du marché:</w:t>
      </w:r>
    </w:p>
    <w:p w14:paraId="5D12B4BE" w14:textId="77777777" w:rsidR="00DB2B68" w:rsidRDefault="00000000">
      <w:r>
        <w:t>QF</w:t>
      </w:r>
    </w:p>
    <w:p w14:paraId="31ACD090" w14:textId="77777777" w:rsidR="00DB2B68" w:rsidRDefault="00000000">
      <w:pPr>
        <w:pStyle w:val="Author-eSectionHeading6Numberless"/>
      </w:pPr>
      <w:bookmarkStart w:id="182" w:name="_Toc220495322"/>
      <w:r>
        <w:t>21.22.4c Maçonneries non portantes en blocs de béton d'argile expansée creux à maçonner CCTB 01.13</w:t>
      </w:r>
      <w:bookmarkEnd w:id="182"/>
    </w:p>
    <w:p w14:paraId="4DCA0199" w14:textId="77777777" w:rsidR="00DB2B68" w:rsidRDefault="00000000">
      <w:pPr>
        <w:pStyle w:val="pheading"/>
      </w:pPr>
      <w:r>
        <w:t>DESCRIPTION</w:t>
      </w:r>
    </w:p>
    <w:p w14:paraId="59AC29E4" w14:textId="77777777" w:rsidR="00DB2B68" w:rsidRDefault="00000000">
      <w:pPr>
        <w:pStyle w:val="pheading"/>
      </w:pPr>
      <w:r>
        <w:lastRenderedPageBreak/>
        <w:t>- Définition / Comprend</w:t>
      </w:r>
    </w:p>
    <w:p w14:paraId="3CCFEB77" w14:textId="77777777" w:rsidR="00DB2B68" w:rsidRDefault="00000000">
      <w:r>
        <w:t xml:space="preserve">Il s’agit de la fourniture et la pose de maçonneries non portantes en blocs de béton d’argile expansée creux à maçonner. </w:t>
      </w:r>
      <w:r>
        <w:br/>
        <w:t xml:space="preserve">La portée des travaux est décrite dans l’article </w:t>
      </w:r>
      <w:hyperlink w:anchor="391" w:history="1">
        <w:r>
          <w:rPr>
            <w:color w:val="0000EE"/>
          </w:rPr>
          <w:t>21.22.4 Maçonneries non portantes en blocs de béton d'argile expansée</w:t>
        </w:r>
      </w:hyperlink>
      <w:r>
        <w:t>.</w:t>
      </w:r>
      <w:r>
        <w:br/>
        <w:t>Les travaux comprennent également la fourniture et la pose des pièces d’angle, de terminaison et de rencontre.</w:t>
      </w:r>
    </w:p>
    <w:p w14:paraId="0F8913B1" w14:textId="77777777" w:rsidR="00DB2B68" w:rsidRDefault="00000000">
      <w:pPr>
        <w:pStyle w:val="pheading"/>
      </w:pPr>
      <w:r>
        <w:t>- Localisation</w:t>
      </w:r>
    </w:p>
    <w:p w14:paraId="18C53084" w14:textId="77777777" w:rsidR="00DB2B68" w:rsidRDefault="00000000">
      <w:r>
        <w:t>La pose est réalisée aux endroits suivants :</w:t>
      </w:r>
      <w:r>
        <w:rPr>
          <w:rStyle w:val="optioncarChar"/>
        </w:rPr>
        <w:t xml:space="preserve"> ***</w:t>
      </w:r>
      <w:r>
        <w:t>.</w:t>
      </w:r>
      <w:r>
        <w:br/>
        <w:t>Voir plans et métrés détaillés.</w:t>
      </w:r>
    </w:p>
    <w:p w14:paraId="5FE2E8CE" w14:textId="77777777" w:rsidR="00DB2B68" w:rsidRDefault="00000000">
      <w:pPr>
        <w:pStyle w:val="pheading"/>
      </w:pPr>
      <w:r>
        <w:t>MATÉRIAUX</w:t>
      </w:r>
    </w:p>
    <w:p w14:paraId="1F0A1129" w14:textId="77777777" w:rsidR="00DB2B68" w:rsidRDefault="00000000">
      <w:pPr>
        <w:pStyle w:val="pheading"/>
      </w:pPr>
      <w:r>
        <w:t>- Caractéristiques générales</w:t>
      </w:r>
    </w:p>
    <w:p w14:paraId="60412211" w14:textId="77777777" w:rsidR="00DB2B68" w:rsidRDefault="00000000">
      <w:r>
        <w:rPr>
          <w:rStyle w:val="headingChar"/>
        </w:rPr>
        <w:t>Spécifications</w:t>
      </w:r>
    </w:p>
    <w:p w14:paraId="3DC4CDA7" w14:textId="77777777" w:rsidR="00DB2B68" w:rsidRDefault="00000000">
      <w:r>
        <w:rPr>
          <w:u w:val="single"/>
        </w:rPr>
        <w:t>Blocs</w:t>
      </w:r>
    </w:p>
    <w:p w14:paraId="42125396"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w:t>
      </w:r>
      <w:r>
        <w:rPr>
          <w:rStyle w:val="optioncarChar"/>
          <w:color w:val="000000"/>
        </w:rPr>
        <w:t>(par défaut)</w:t>
      </w:r>
      <w:r>
        <w:rPr>
          <w:rStyle w:val="optioncarChar"/>
        </w:rPr>
        <w:t xml:space="preserve"> / 15/2,2+ / ***</w:t>
      </w:r>
    </w:p>
    <w:p w14:paraId="541D8C1D" w14:textId="77777777" w:rsidR="00DB2B68" w:rsidRDefault="00000000">
      <w:r>
        <w:t xml:space="preserve">Le groupe de configuration suivant [NBN EN 1996-1-1+A1 ANB] est </w:t>
      </w:r>
      <w:r>
        <w:rPr>
          <w:rStyle w:val="optioncarChar"/>
        </w:rPr>
        <w:t>2 / 3 / 4 / creux / ***</w:t>
      </w:r>
      <w:r>
        <w:t xml:space="preserve">.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C952096"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Réaction au feu : </w:t>
      </w:r>
      <w:r>
        <w:rPr>
          <w:rStyle w:val="optioncarChar"/>
        </w:rPr>
        <w:t>A1 </w:t>
      </w:r>
      <w:r>
        <w:t xml:space="preserve">(par défaut) </w:t>
      </w:r>
      <w:r>
        <w:rPr>
          <w:rStyle w:val="optioncarChar"/>
        </w:rPr>
        <w:t>/ ***</w:t>
      </w:r>
    </w:p>
    <w:p w14:paraId="500FCB1F" w14:textId="77777777" w:rsidR="00DB2B68" w:rsidRDefault="00000000">
      <w:pPr>
        <w:spacing w:before="0" w:after="0"/>
      </w:pPr>
      <w:r>
        <w:rPr>
          <w:u w:val="single"/>
        </w:rPr>
        <w:t>Mortier</w:t>
      </w:r>
    </w:p>
    <w:p w14:paraId="08F039AF"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02E1A4C0" w14:textId="77777777" w:rsidR="00DB2B68"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257A19BE" w14:textId="77777777" w:rsidR="00DB2B68" w:rsidRDefault="00000000">
      <w:pPr>
        <w:spacing w:before="0" w:after="0"/>
      </w:pPr>
      <w:r>
        <w:rPr>
          <w:rStyle w:val="normalChar"/>
          <w:color w:val="000000"/>
        </w:rPr>
        <w:t>Résistance au gel : oui</w:t>
      </w:r>
    </w:p>
    <w:p w14:paraId="583A4625" w14:textId="77777777" w:rsidR="00DB2B68" w:rsidRDefault="00000000">
      <w:r>
        <w:br/>
      </w:r>
      <w:r>
        <w:rPr>
          <w:rStyle w:val="headingChar"/>
        </w:rPr>
        <w:t>Critères De Performances De La Paroi</w:t>
      </w:r>
    </w:p>
    <w:p w14:paraId="4EA1EC28" w14:textId="77777777" w:rsidR="00DB2B68" w:rsidRDefault="00000000">
      <w:r>
        <w:t>Coefficient de transmission :</w:t>
      </w:r>
    </w:p>
    <w:p w14:paraId="34ED97E5" w14:textId="77777777" w:rsidR="00DB2B68" w:rsidRDefault="00000000">
      <w:pPr>
        <w:pStyle w:val="Author-eListParagraph"/>
        <w:numPr>
          <w:ilvl w:val="0"/>
          <w:numId w:val="200"/>
        </w:numPr>
      </w:pPr>
      <w:r>
        <w:t xml:space="preserve">valeur U minimale de </w:t>
      </w:r>
      <w:r>
        <w:rPr>
          <w:rStyle w:val="optioncarChar"/>
        </w:rPr>
        <w:t>***</w:t>
      </w:r>
      <w:r>
        <w:t xml:space="preserve"> W/m²K</w:t>
      </w:r>
    </w:p>
    <w:p w14:paraId="19E8EC1C" w14:textId="77777777" w:rsidR="00DB2B68" w:rsidRDefault="00000000">
      <w:pPr>
        <w:pStyle w:val="Author-eListParagraph"/>
        <w:numPr>
          <w:ilvl w:val="0"/>
          <w:numId w:val="200"/>
        </w:numPr>
      </w:pPr>
      <w:r>
        <w:lastRenderedPageBreak/>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7B69F54" w14:textId="77777777" w:rsidR="00DB2B68" w:rsidRDefault="00000000">
      <w:r>
        <w:br/>
        <w:t xml:space="preserve">Résistance au feu : </w:t>
      </w:r>
      <w:r>
        <w:rPr>
          <w:rStyle w:val="optioncarChar"/>
        </w:rPr>
        <w:t>EI30 </w:t>
      </w:r>
      <w:r>
        <w:t>(par défaut)</w:t>
      </w:r>
      <w:r>
        <w:rPr>
          <w:rStyle w:val="optioncarChar"/>
        </w:rPr>
        <w:t xml:space="preserve"> / EI60 / EI90 / EI120 / EI***</w:t>
      </w:r>
    </w:p>
    <w:p w14:paraId="540B12FC" w14:textId="77777777" w:rsidR="00DB2B68" w:rsidRDefault="00000000">
      <w:r>
        <w:t>selon les tableaux dans [NBN EN 1996-1-2 ANB].</w:t>
      </w:r>
    </w:p>
    <w:p w14:paraId="47E43399" w14:textId="77777777" w:rsidR="00DB2B68" w:rsidRDefault="00000000">
      <w:pPr>
        <w:ind w:left="750"/>
      </w:pPr>
      <w:r>
        <w:t> </w:t>
      </w:r>
    </w:p>
    <w:p w14:paraId="189C5D8F" w14:textId="77777777" w:rsidR="00DB2B68" w:rsidRDefault="00000000">
      <w:pPr>
        <w:pStyle w:val="pheading"/>
      </w:pPr>
      <w:r>
        <w:t>- Finitions</w:t>
      </w:r>
    </w:p>
    <w:p w14:paraId="41BDFCC8" w14:textId="77777777" w:rsidR="00DB2B68" w:rsidRDefault="00000000">
      <w:pPr>
        <w:pStyle w:val="Author-eListParagraph"/>
        <w:numPr>
          <w:ilvl w:val="0"/>
          <w:numId w:val="201"/>
        </w:numPr>
      </w:pPr>
      <w:r>
        <w:t>Les faces de murs suivantes sont exécutées comme maçonneries apparentes et sont</w:t>
      </w:r>
      <w:r>
        <w:rPr>
          <w:rStyle w:val="optioncarChar"/>
          <w:color w:val="000000"/>
        </w:rPr>
        <w:t xml:space="preserve"> rejointoyées </w:t>
      </w:r>
      <w:r>
        <w:t xml:space="preserve">selon </w:t>
      </w:r>
      <w:hyperlink w:anchor="346" w:history="1">
        <w:r>
          <w:rPr>
            <w:color w:val="0000EE"/>
          </w:rPr>
          <w:t>21.61.1b Joints de maçonnerie apparente</w:t>
        </w:r>
      </w:hyperlink>
      <w:r>
        <w:t xml:space="preserve"> : </w:t>
      </w:r>
      <w:r>
        <w:rPr>
          <w:rStyle w:val="optioncarChar"/>
        </w:rPr>
        <w:t>***</w:t>
      </w:r>
    </w:p>
    <w:p w14:paraId="30976996" w14:textId="77777777" w:rsidR="00DB2B68" w:rsidRDefault="00000000">
      <w:pPr>
        <w:pStyle w:val="Author-eListParagraph"/>
        <w:numPr>
          <w:ilvl w:val="0"/>
          <w:numId w:val="201"/>
        </w:numPr>
      </w:pPr>
      <w:r>
        <w:t xml:space="preserve">Les murs suivants sont exécutés avec une face restant apparente : </w:t>
      </w:r>
      <w:r>
        <w:rPr>
          <w:rStyle w:val="optioncarChar"/>
        </w:rPr>
        <w:t>***</w:t>
      </w:r>
    </w:p>
    <w:p w14:paraId="3BBA6CAB" w14:textId="77777777" w:rsidR="00DB2B68" w:rsidRDefault="00000000">
      <w:pPr>
        <w:pStyle w:val="Author-eListParagraph"/>
        <w:numPr>
          <w:ilvl w:val="0"/>
          <w:numId w:val="201"/>
        </w:numPr>
      </w:pPr>
      <w:r>
        <w:t xml:space="preserve">Les murs suivants sont exécutés avec deux faces restant apparentes : </w:t>
      </w:r>
      <w:r>
        <w:rPr>
          <w:rStyle w:val="optioncarChar"/>
        </w:rPr>
        <w:t>***</w:t>
      </w:r>
    </w:p>
    <w:p w14:paraId="79E7B967" w14:textId="77777777" w:rsidR="00DB2B68" w:rsidRDefault="00000000">
      <w:pPr>
        <w:pStyle w:val="pheading"/>
      </w:pPr>
      <w:r>
        <w:t>MESURAGE</w:t>
      </w:r>
    </w:p>
    <w:p w14:paraId="49C0AA17" w14:textId="77777777" w:rsidR="00DB2B68" w:rsidRDefault="00000000">
      <w:pPr>
        <w:pStyle w:val="pheading"/>
      </w:pPr>
      <w:r>
        <w:t>- unité de mesure:</w:t>
      </w:r>
    </w:p>
    <w:p w14:paraId="7F4A0FFD" w14:textId="77777777" w:rsidR="00DB2B68" w:rsidRDefault="00000000">
      <w:r>
        <w:rPr>
          <w:rStyle w:val="optioncarChar"/>
        </w:rPr>
        <w:t>m³ </w:t>
      </w:r>
      <w:r>
        <w:t>(par défaut)</w:t>
      </w:r>
      <w:r>
        <w:rPr>
          <w:rStyle w:val="optioncarChar"/>
        </w:rPr>
        <w:t> / m²</w:t>
      </w:r>
    </w:p>
    <w:p w14:paraId="575462BB" w14:textId="77777777" w:rsidR="00DB2B68" w:rsidRDefault="00000000">
      <w:r>
        <w:rPr>
          <w:b/>
        </w:rPr>
        <w:t>(soit par défaut)</w:t>
      </w:r>
    </w:p>
    <w:p w14:paraId="5B5C89A8" w14:textId="77777777" w:rsidR="00DB2B68" w:rsidRDefault="00000000">
      <w:r>
        <w:rPr>
          <w:rStyle w:val="soitChar"/>
        </w:rPr>
        <w:t>1. m³</w:t>
      </w:r>
    </w:p>
    <w:p w14:paraId="0819D730" w14:textId="77777777" w:rsidR="00DB2B68" w:rsidRDefault="00000000">
      <w:r>
        <w:rPr>
          <w:b/>
        </w:rPr>
        <w:t>(soit)</w:t>
      </w:r>
    </w:p>
    <w:p w14:paraId="62610827" w14:textId="77777777" w:rsidR="00DB2B68" w:rsidRDefault="00000000">
      <w:r>
        <w:rPr>
          <w:rStyle w:val="soitChar"/>
        </w:rPr>
        <w:t>2. m²</w:t>
      </w:r>
    </w:p>
    <w:p w14:paraId="3F82B774" w14:textId="77777777" w:rsidR="00DB2B68" w:rsidRDefault="00000000">
      <w:pPr>
        <w:pStyle w:val="pheading"/>
      </w:pPr>
      <w:r>
        <w:t>- code de mesurage:</w:t>
      </w:r>
    </w:p>
    <w:p w14:paraId="14C4BD94"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AA98179"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3D8ED54"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4157859" w14:textId="77777777" w:rsidR="00DB2B68" w:rsidRDefault="00000000">
      <w:r>
        <w:rPr>
          <w:rStyle w:val="optioncarChar"/>
        </w:rPr>
        <w:t>Volume net </w:t>
      </w:r>
      <w:r>
        <w:t>(par défaut)</w:t>
      </w:r>
      <w:r>
        <w:rPr>
          <w:rStyle w:val="optioncarChar"/>
        </w:rPr>
        <w:t> / Surface nette</w:t>
      </w:r>
    </w:p>
    <w:p w14:paraId="66B6B716" w14:textId="77777777" w:rsidR="00DB2B68" w:rsidRDefault="00000000">
      <w:r>
        <w:rPr>
          <w:b/>
        </w:rPr>
        <w:t>(soit par défaut)</w:t>
      </w:r>
    </w:p>
    <w:p w14:paraId="0A9AAF25"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B3DE459" w14:textId="77777777" w:rsidR="00DB2B68" w:rsidRDefault="00000000">
      <w:r>
        <w:rPr>
          <w:b/>
        </w:rPr>
        <w:t>(soit)</w:t>
      </w:r>
    </w:p>
    <w:p w14:paraId="406E163B"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A579E7D" w14:textId="77777777" w:rsidR="00DB2B68" w:rsidRDefault="00000000">
      <w:pPr>
        <w:pStyle w:val="pheading"/>
      </w:pPr>
      <w:r>
        <w:t>- nature du marché:</w:t>
      </w:r>
    </w:p>
    <w:p w14:paraId="6E67FF11" w14:textId="77777777" w:rsidR="00DB2B68" w:rsidRDefault="00000000">
      <w:r>
        <w:t>QF</w:t>
      </w:r>
    </w:p>
    <w:p w14:paraId="26B13154" w14:textId="77777777" w:rsidR="00DB2B68" w:rsidRDefault="00000000">
      <w:pPr>
        <w:pStyle w:val="Author-eSectionHeading6Numberless"/>
      </w:pPr>
      <w:bookmarkStart w:id="183" w:name="_Toc220495323"/>
      <w:r>
        <w:lastRenderedPageBreak/>
        <w:t>21.22.4d Maçonneries non portantes en blocs de béton d'argile expansée creux à coller CCTB 01.13</w:t>
      </w:r>
      <w:bookmarkEnd w:id="183"/>
    </w:p>
    <w:p w14:paraId="76BE2A9F" w14:textId="77777777" w:rsidR="00DB2B68" w:rsidRDefault="00000000">
      <w:pPr>
        <w:pStyle w:val="pheading"/>
      </w:pPr>
      <w:r>
        <w:t>DESCRIPTION</w:t>
      </w:r>
    </w:p>
    <w:p w14:paraId="7875FE0F" w14:textId="77777777" w:rsidR="00DB2B68" w:rsidRDefault="00000000">
      <w:pPr>
        <w:pStyle w:val="pheading"/>
      </w:pPr>
      <w:r>
        <w:t>- Définition / Comprend</w:t>
      </w:r>
    </w:p>
    <w:p w14:paraId="61A07FA8" w14:textId="77777777" w:rsidR="00DB2B68" w:rsidRDefault="00000000">
      <w:r>
        <w:t xml:space="preserve">Il s’agit de la fourniture et la pose de maçonneries non portantes en blocs de béton d’argile expansée creux à coller. </w:t>
      </w:r>
      <w:r>
        <w:br/>
        <w:t xml:space="preserve">La portée des travaux est décrite dans l’article </w:t>
      </w:r>
      <w:hyperlink w:anchor="391" w:history="1">
        <w:r>
          <w:rPr>
            <w:color w:val="0000EE"/>
          </w:rPr>
          <w:t>21.22.4 Maçonneries non portantes en blocs de béton d'argile expansée</w:t>
        </w:r>
      </w:hyperlink>
      <w:r>
        <w:t>.</w:t>
      </w:r>
      <w:r>
        <w:br/>
        <w:t>Les travaux comprennent également la fourniture et la pose des pièces d’angle, de terminaison et de rencontre.</w:t>
      </w:r>
    </w:p>
    <w:p w14:paraId="654E33C2" w14:textId="77777777" w:rsidR="00DB2B68" w:rsidRDefault="00000000">
      <w:pPr>
        <w:pStyle w:val="pheading"/>
      </w:pPr>
      <w:r>
        <w:t>- Localisation</w:t>
      </w:r>
    </w:p>
    <w:p w14:paraId="0424909E" w14:textId="77777777" w:rsidR="00DB2B68" w:rsidRDefault="00000000">
      <w:r>
        <w:t xml:space="preserve">La pose est réalisée aux endroits suivants : </w:t>
      </w:r>
      <w:r>
        <w:rPr>
          <w:rStyle w:val="optioncarChar"/>
        </w:rPr>
        <w:t>***</w:t>
      </w:r>
      <w:r>
        <w:t>.</w:t>
      </w:r>
      <w:r>
        <w:br/>
        <w:t>Voir plans et métrés détaillés.</w:t>
      </w:r>
    </w:p>
    <w:p w14:paraId="09CCA989" w14:textId="77777777" w:rsidR="00DB2B68" w:rsidRDefault="00000000">
      <w:pPr>
        <w:pStyle w:val="pheading"/>
      </w:pPr>
      <w:r>
        <w:t>MATÉRIAUX</w:t>
      </w:r>
    </w:p>
    <w:p w14:paraId="0B909FB9" w14:textId="77777777" w:rsidR="00DB2B68" w:rsidRDefault="00000000">
      <w:pPr>
        <w:pStyle w:val="pheading"/>
      </w:pPr>
      <w:r>
        <w:t>- Caractéristiques générales</w:t>
      </w:r>
    </w:p>
    <w:p w14:paraId="464C4377" w14:textId="77777777" w:rsidR="00DB2B68" w:rsidRDefault="00000000">
      <w:r>
        <w:rPr>
          <w:rStyle w:val="headingChar"/>
        </w:rPr>
        <w:t>Spécifications</w:t>
      </w:r>
    </w:p>
    <w:p w14:paraId="76C4FC1A" w14:textId="77777777" w:rsidR="00DB2B68" w:rsidRDefault="00000000">
      <w:r>
        <w:rPr>
          <w:u w:val="single"/>
        </w:rPr>
        <w:t>Blocs</w:t>
      </w:r>
    </w:p>
    <w:p w14:paraId="7E086368"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22DA97A0" w14:textId="77777777" w:rsidR="00DB2B68" w:rsidRDefault="00000000">
      <w:r>
        <w:t xml:space="preserve">Le groupe de configuration suivant [NBN EN 1996-1-1+A1 ANB] est </w:t>
      </w:r>
      <w:r>
        <w:rPr>
          <w:rStyle w:val="optioncarChar"/>
        </w:rPr>
        <w:t>2 / 3 / 4 creux / ***</w:t>
      </w:r>
      <w:r>
        <w:t xml:space="preserve">. </w:t>
      </w:r>
      <w:r>
        <w:br/>
      </w:r>
      <w:r>
        <w:br/>
        <w:t xml:space="preserve">La masse volumique sèche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36F79EEE"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5498E714" w14:textId="77777777" w:rsidR="00DB2B68" w:rsidRDefault="00000000">
      <w:r>
        <w:t xml:space="preserve">Réaction au feu : </w:t>
      </w:r>
      <w:r>
        <w:rPr>
          <w:rStyle w:val="optioncarChar"/>
        </w:rPr>
        <w:t>A1</w:t>
      </w:r>
      <w:r>
        <w:t> (par défaut)</w:t>
      </w:r>
      <w:r>
        <w:rPr>
          <w:rStyle w:val="optioncarChar"/>
        </w:rPr>
        <w:t xml:space="preserve"> / ***</w:t>
      </w:r>
    </w:p>
    <w:p w14:paraId="08E5C336" w14:textId="77777777" w:rsidR="00DB2B68" w:rsidRDefault="00000000">
      <w:pPr>
        <w:spacing w:before="0" w:after="0"/>
      </w:pPr>
      <w:r>
        <w:rPr>
          <w:u w:val="single"/>
        </w:rPr>
        <w:t>Mortier</w:t>
      </w:r>
    </w:p>
    <w:p w14:paraId="717E9308"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1FDB7E63"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28C65C5" w14:textId="77777777" w:rsidR="00DB2B68" w:rsidRDefault="00000000">
      <w:pPr>
        <w:spacing w:before="0" w:after="0"/>
      </w:pPr>
      <w:r>
        <w:rPr>
          <w:rStyle w:val="normalChar"/>
          <w:color w:val="000000"/>
        </w:rPr>
        <w:t>Résistance au gel : oui</w:t>
      </w:r>
    </w:p>
    <w:p w14:paraId="1F290D30" w14:textId="77777777" w:rsidR="00DB2B68" w:rsidRDefault="00000000">
      <w:r>
        <w:lastRenderedPageBreak/>
        <w:br/>
      </w:r>
      <w:r>
        <w:rPr>
          <w:rStyle w:val="headingChar"/>
        </w:rPr>
        <w:t>Critères De Performances De La Paroi</w:t>
      </w:r>
    </w:p>
    <w:p w14:paraId="04EB9D05" w14:textId="77777777" w:rsidR="00DB2B68" w:rsidRDefault="00000000">
      <w:r>
        <w:t>Coefficient de transmission :</w:t>
      </w:r>
    </w:p>
    <w:p w14:paraId="5DF36D3B" w14:textId="77777777" w:rsidR="00DB2B68" w:rsidRDefault="00000000">
      <w:pPr>
        <w:pStyle w:val="Author-eListParagraph"/>
        <w:numPr>
          <w:ilvl w:val="0"/>
          <w:numId w:val="202"/>
        </w:numPr>
      </w:pPr>
      <w:r>
        <w:t xml:space="preserve">valeur U minimale de </w:t>
      </w:r>
      <w:r>
        <w:rPr>
          <w:rStyle w:val="optioncarChar"/>
        </w:rPr>
        <w:t>***</w:t>
      </w:r>
      <w:r>
        <w:t xml:space="preserve"> W/m²K</w:t>
      </w:r>
    </w:p>
    <w:p w14:paraId="5EB254E9" w14:textId="77777777" w:rsidR="00DB2B68" w:rsidRDefault="00000000">
      <w:pPr>
        <w:pStyle w:val="Author-eListParagraph"/>
        <w:numPr>
          <w:ilvl w:val="0"/>
          <w:numId w:val="20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A705EBC" w14:textId="77777777" w:rsidR="00DB2B68" w:rsidRDefault="00000000">
      <w:r>
        <w:br/>
        <w:t xml:space="preserve">Résistance au feu : </w:t>
      </w:r>
      <w:r>
        <w:rPr>
          <w:rStyle w:val="optioncarChar"/>
        </w:rPr>
        <w:t>EI30</w:t>
      </w:r>
      <w:r>
        <w:t xml:space="preserve"> (par défaut) </w:t>
      </w:r>
      <w:r>
        <w:rPr>
          <w:rStyle w:val="optioncarChar"/>
        </w:rPr>
        <w:t>/ EI60 / EI90 / EI120 / EI***</w:t>
      </w:r>
    </w:p>
    <w:p w14:paraId="43EF484F" w14:textId="77777777" w:rsidR="00DB2B68" w:rsidRDefault="00000000">
      <w:r>
        <w:t>selon les tableaux dans [NBN EN 1996-1-2 ANB].</w:t>
      </w:r>
    </w:p>
    <w:p w14:paraId="4DB5DBD6" w14:textId="77777777" w:rsidR="00DB2B68" w:rsidRDefault="00000000">
      <w:pPr>
        <w:ind w:left="750"/>
      </w:pPr>
      <w:r>
        <w:t> </w:t>
      </w:r>
    </w:p>
    <w:p w14:paraId="54BF721D" w14:textId="77777777" w:rsidR="00DB2B68" w:rsidRDefault="00000000">
      <w:pPr>
        <w:pStyle w:val="pheading"/>
      </w:pPr>
      <w:r>
        <w:t>- Finitions</w:t>
      </w:r>
    </w:p>
    <w:p w14:paraId="4F89A66A" w14:textId="77777777" w:rsidR="00DB2B68" w:rsidRDefault="00000000">
      <w:pPr>
        <w:pStyle w:val="Author-eListParagraph"/>
        <w:numPr>
          <w:ilvl w:val="0"/>
          <w:numId w:val="203"/>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6EC20F37" w14:textId="77777777" w:rsidR="00DB2B68" w:rsidRDefault="00000000">
      <w:pPr>
        <w:pStyle w:val="Author-eListParagraph"/>
        <w:numPr>
          <w:ilvl w:val="0"/>
          <w:numId w:val="203"/>
        </w:numPr>
      </w:pPr>
      <w:r>
        <w:t xml:space="preserve">Les murs suivants sont exécutés avec une face restant apparente : </w:t>
      </w:r>
      <w:r>
        <w:rPr>
          <w:rStyle w:val="optioncarChar"/>
        </w:rPr>
        <w:t>***</w:t>
      </w:r>
    </w:p>
    <w:p w14:paraId="25CEA19A" w14:textId="77777777" w:rsidR="00DB2B68" w:rsidRDefault="00000000">
      <w:pPr>
        <w:pStyle w:val="Author-eListParagraph"/>
        <w:numPr>
          <w:ilvl w:val="0"/>
          <w:numId w:val="203"/>
        </w:numPr>
      </w:pPr>
      <w:r>
        <w:t xml:space="preserve">Les murs suivants sont exécutés avec deux faces restant apparentes : </w:t>
      </w:r>
      <w:r>
        <w:rPr>
          <w:rStyle w:val="optioncarChar"/>
        </w:rPr>
        <w:t>***</w:t>
      </w:r>
    </w:p>
    <w:p w14:paraId="031A44BA" w14:textId="77777777" w:rsidR="00DB2B68" w:rsidRDefault="00000000">
      <w:pPr>
        <w:pStyle w:val="pheading"/>
      </w:pPr>
      <w:r>
        <w:t>MESURAGE</w:t>
      </w:r>
    </w:p>
    <w:p w14:paraId="21CB3464" w14:textId="77777777" w:rsidR="00DB2B68" w:rsidRDefault="00000000">
      <w:pPr>
        <w:pStyle w:val="pheading"/>
      </w:pPr>
      <w:r>
        <w:t>- unité de mesure:</w:t>
      </w:r>
    </w:p>
    <w:p w14:paraId="0BA5A93D" w14:textId="77777777" w:rsidR="00DB2B68" w:rsidRDefault="00000000">
      <w:r>
        <w:rPr>
          <w:rStyle w:val="optioncarChar"/>
        </w:rPr>
        <w:t>m³ </w:t>
      </w:r>
      <w:r>
        <w:t>(par défaut)</w:t>
      </w:r>
      <w:r>
        <w:rPr>
          <w:rStyle w:val="optioncarChar"/>
        </w:rPr>
        <w:t> / m²</w:t>
      </w:r>
    </w:p>
    <w:p w14:paraId="6D5A4985" w14:textId="77777777" w:rsidR="00DB2B68" w:rsidRDefault="00000000">
      <w:r>
        <w:rPr>
          <w:b/>
        </w:rPr>
        <w:t>(soit par défaut)</w:t>
      </w:r>
    </w:p>
    <w:p w14:paraId="3BC374A5" w14:textId="77777777" w:rsidR="00DB2B68" w:rsidRDefault="00000000">
      <w:r>
        <w:rPr>
          <w:rStyle w:val="soitChar"/>
        </w:rPr>
        <w:t>1. m³</w:t>
      </w:r>
    </w:p>
    <w:p w14:paraId="545EA533" w14:textId="77777777" w:rsidR="00DB2B68" w:rsidRDefault="00000000">
      <w:r>
        <w:rPr>
          <w:b/>
        </w:rPr>
        <w:t>(soit)</w:t>
      </w:r>
    </w:p>
    <w:p w14:paraId="4DF46566" w14:textId="77777777" w:rsidR="00DB2B68" w:rsidRDefault="00000000">
      <w:r>
        <w:rPr>
          <w:rStyle w:val="soitChar"/>
        </w:rPr>
        <w:t>2. m²</w:t>
      </w:r>
    </w:p>
    <w:p w14:paraId="33E2EC06" w14:textId="77777777" w:rsidR="00DB2B68" w:rsidRDefault="00000000">
      <w:pPr>
        <w:pStyle w:val="pheading"/>
      </w:pPr>
      <w:r>
        <w:t>- code de mesurage:</w:t>
      </w:r>
    </w:p>
    <w:p w14:paraId="23856039"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EC92D78"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6E2285E" w14:textId="77777777" w:rsidR="00DB2B68" w:rsidRDefault="00000000">
      <w:r>
        <w:t>L'appui des dalles de sol sur le mur porteur de contre-façade n'est pas déduit mais est compté comme ouvrage de maçonnerie ; par contre, les murs intérieurs porteurs sont mesurés entre les planchers (voir sous-titre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D335478" w14:textId="77777777" w:rsidR="00DB2B68" w:rsidRDefault="00000000">
      <w:r>
        <w:rPr>
          <w:rStyle w:val="optioncarChar"/>
        </w:rPr>
        <w:t>Volume net </w:t>
      </w:r>
      <w:r>
        <w:t>(par défaut)</w:t>
      </w:r>
      <w:r>
        <w:rPr>
          <w:rStyle w:val="optioncarChar"/>
        </w:rPr>
        <w:t> / Surface nette</w:t>
      </w:r>
    </w:p>
    <w:p w14:paraId="353C73E2" w14:textId="77777777" w:rsidR="00DB2B68" w:rsidRDefault="00000000">
      <w:r>
        <w:rPr>
          <w:b/>
        </w:rPr>
        <w:t>(soit par défaut)</w:t>
      </w:r>
    </w:p>
    <w:p w14:paraId="6B367B57"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426BB6F" w14:textId="77777777" w:rsidR="00DB2B68" w:rsidRDefault="00000000">
      <w:r>
        <w:rPr>
          <w:b/>
        </w:rPr>
        <w:t>(soit)</w:t>
      </w:r>
    </w:p>
    <w:p w14:paraId="7CF14A7E"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FC3B451" w14:textId="77777777" w:rsidR="00DB2B68" w:rsidRDefault="00000000">
      <w:pPr>
        <w:ind w:left="750"/>
      </w:pPr>
      <w:r>
        <w:lastRenderedPageBreak/>
        <w:t> </w:t>
      </w:r>
    </w:p>
    <w:p w14:paraId="21E95AAC" w14:textId="77777777" w:rsidR="00DB2B68" w:rsidRDefault="00000000">
      <w:pPr>
        <w:pStyle w:val="pheading"/>
      </w:pPr>
      <w:r>
        <w:t>- nature du marché:</w:t>
      </w:r>
    </w:p>
    <w:p w14:paraId="10484AC2" w14:textId="77777777" w:rsidR="00DB2B68" w:rsidRDefault="00000000">
      <w:r>
        <w:t>QF</w:t>
      </w:r>
    </w:p>
    <w:p w14:paraId="4068B8E3" w14:textId="77777777" w:rsidR="00DB2B68" w:rsidRDefault="00000000">
      <w:pPr>
        <w:pStyle w:val="Author-eSectionHeading6Numberless"/>
      </w:pPr>
      <w:bookmarkStart w:id="184" w:name="_Toc220495324"/>
      <w:r>
        <w:t>21.22.4e Maçonneries non portantes en blocs de béton d'argile expansée avec système de dosage pour liant hydraulique CCTB 01.13</w:t>
      </w:r>
      <w:bookmarkEnd w:id="184"/>
    </w:p>
    <w:p w14:paraId="0C89B017" w14:textId="77777777" w:rsidR="00DB2B68" w:rsidRDefault="00000000">
      <w:pPr>
        <w:pStyle w:val="pheading"/>
      </w:pPr>
      <w:r>
        <w:t>DESCRIPTION</w:t>
      </w:r>
    </w:p>
    <w:p w14:paraId="19350ABF" w14:textId="77777777" w:rsidR="00DB2B68" w:rsidRDefault="00000000">
      <w:pPr>
        <w:pStyle w:val="pheading"/>
      </w:pPr>
      <w:r>
        <w:t>- Définition / Comprend</w:t>
      </w:r>
    </w:p>
    <w:p w14:paraId="22E9F131" w14:textId="77777777" w:rsidR="00DB2B68" w:rsidRDefault="00000000">
      <w:r>
        <w:t xml:space="preserve">Il s’agit de la fourniture et la pose de maçonneries non portantes en blocs de béton d’argile expansée avec dosage pour liant hydraulique. </w:t>
      </w:r>
      <w:r>
        <w:br/>
        <w:t xml:space="preserve">La portée des travaux est décrite dans l’article </w:t>
      </w:r>
      <w:hyperlink w:anchor="391" w:history="1">
        <w:r>
          <w:rPr>
            <w:color w:val="0000EE"/>
          </w:rPr>
          <w:t>21.22.4 Maçonneries non portantes en blocs de béton d’argile expansée</w:t>
        </w:r>
      </w:hyperlink>
      <w:r>
        <w:t>.</w:t>
      </w:r>
      <w:r>
        <w:br/>
        <w:t>Les travaux comprennent également la fourniture et la pose des pièces d’angle, de terminaison et de rencontre.</w:t>
      </w:r>
    </w:p>
    <w:p w14:paraId="03D6BA4C" w14:textId="77777777" w:rsidR="00DB2B68" w:rsidRDefault="00000000">
      <w:pPr>
        <w:pStyle w:val="pheading"/>
      </w:pPr>
      <w:r>
        <w:t>- Localisation</w:t>
      </w:r>
    </w:p>
    <w:p w14:paraId="5FB5B2C0" w14:textId="77777777" w:rsidR="00DB2B68" w:rsidRDefault="00000000">
      <w:r>
        <w:t xml:space="preserve">La pose est réalisée aux endroits suivants : </w:t>
      </w:r>
      <w:r>
        <w:rPr>
          <w:rStyle w:val="optioncarChar"/>
        </w:rPr>
        <w:t>***</w:t>
      </w:r>
      <w:r>
        <w:t>.</w:t>
      </w:r>
      <w:r>
        <w:br/>
        <w:t>Voir plans et métrés détaillés.</w:t>
      </w:r>
    </w:p>
    <w:p w14:paraId="589751FB" w14:textId="77777777" w:rsidR="00DB2B68" w:rsidRDefault="00000000">
      <w:pPr>
        <w:pStyle w:val="pheading"/>
      </w:pPr>
      <w:r>
        <w:t>MATÉRIAUX</w:t>
      </w:r>
    </w:p>
    <w:p w14:paraId="4030E90B" w14:textId="77777777" w:rsidR="00DB2B68" w:rsidRDefault="00000000">
      <w:pPr>
        <w:pStyle w:val="pheading"/>
      </w:pPr>
      <w:r>
        <w:t>- Caractéristiques générales</w:t>
      </w:r>
    </w:p>
    <w:p w14:paraId="2F692330" w14:textId="77777777" w:rsidR="00DB2B68" w:rsidRDefault="00000000">
      <w:r>
        <w:rPr>
          <w:rStyle w:val="headingChar"/>
        </w:rPr>
        <w:t>Spécifications</w:t>
      </w:r>
    </w:p>
    <w:p w14:paraId="6F77BA42" w14:textId="77777777" w:rsidR="00DB2B68" w:rsidRDefault="00000000">
      <w:r>
        <w:rPr>
          <w:u w:val="single"/>
        </w:rPr>
        <w:t>Blocs</w:t>
      </w:r>
    </w:p>
    <w:p w14:paraId="5F315D4D"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03D53F66" w14:textId="77777777" w:rsidR="00DB2B68" w:rsidRDefault="0000000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26EDD92A" w14:textId="77777777" w:rsidR="00DB2B68" w:rsidRDefault="00000000">
      <w: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DB0E113" w14:textId="77777777" w:rsidR="00DB2B68" w:rsidRDefault="00000000">
      <w: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55B74DF3" w14:textId="77777777" w:rsidR="00DB2B68" w:rsidRDefault="00000000">
      <w:r>
        <w:lastRenderedPageBreak/>
        <w:t>Résistance au gel suivant les classes d’application selon [NBN EN 1996-2 ANB] et [NIT 271].</w:t>
      </w:r>
      <w:r>
        <w:br/>
      </w:r>
      <w:r>
        <w:br/>
        <w:t xml:space="preserve">Réaction au feu : </w:t>
      </w:r>
      <w:r>
        <w:rPr>
          <w:rStyle w:val="optioncarChar"/>
        </w:rPr>
        <w:t>A1</w:t>
      </w:r>
      <w:r>
        <w:t>(par défaut)</w:t>
      </w:r>
      <w:r>
        <w:rPr>
          <w:rStyle w:val="optioncarChar"/>
        </w:rPr>
        <w:t xml:space="preserve"> / ***</w:t>
      </w:r>
    </w:p>
    <w:p w14:paraId="74363805" w14:textId="77777777" w:rsidR="00DB2B68" w:rsidRDefault="00000000">
      <w:pPr>
        <w:spacing w:before="0" w:after="0"/>
      </w:pPr>
      <w:r>
        <w:rPr>
          <w:u w:val="single"/>
        </w:rPr>
        <w:t>Mortier</w:t>
      </w:r>
    </w:p>
    <w:p w14:paraId="5F10025D"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04378F04" w14:textId="77777777" w:rsidR="00DB2B68" w:rsidRDefault="00000000">
      <w:r>
        <w:br/>
      </w:r>
      <w:r>
        <w:rPr>
          <w:rStyle w:val="headingChar"/>
        </w:rPr>
        <w:t>Critères De Performances De La Paroi</w:t>
      </w:r>
    </w:p>
    <w:p w14:paraId="62764F23" w14:textId="77777777" w:rsidR="00DB2B68" w:rsidRDefault="00000000">
      <w:r>
        <w:t>Coefficient de transmission :</w:t>
      </w:r>
    </w:p>
    <w:p w14:paraId="6FC6E4E1" w14:textId="77777777" w:rsidR="00DB2B68" w:rsidRDefault="00000000">
      <w:pPr>
        <w:pStyle w:val="Author-eListParagraph"/>
        <w:numPr>
          <w:ilvl w:val="0"/>
          <w:numId w:val="204"/>
        </w:numPr>
      </w:pPr>
      <w:r>
        <w:t xml:space="preserve">valeur U minimale de </w:t>
      </w:r>
      <w:r>
        <w:rPr>
          <w:rStyle w:val="optioncarChar"/>
        </w:rPr>
        <w:t>***</w:t>
      </w:r>
      <w:r>
        <w:t xml:space="preserve"> W/m²K</w:t>
      </w:r>
    </w:p>
    <w:p w14:paraId="3C476C8C" w14:textId="77777777" w:rsidR="00DB2B68" w:rsidRDefault="00000000">
      <w:pPr>
        <w:pStyle w:val="Author-eListParagraph"/>
        <w:numPr>
          <w:ilvl w:val="0"/>
          <w:numId w:val="20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B1C046A" w14:textId="77777777" w:rsidR="00DB2B68" w:rsidRDefault="00000000">
      <w:r>
        <w:br/>
        <w:t xml:space="preserve">Résistance au feu : </w:t>
      </w:r>
      <w:r>
        <w:rPr>
          <w:rStyle w:val="optioncarChar"/>
        </w:rPr>
        <w:t>EI30 </w:t>
      </w:r>
      <w:r>
        <w:t>(par défaut)</w:t>
      </w:r>
      <w:r>
        <w:rPr>
          <w:rStyle w:val="optioncarChar"/>
        </w:rPr>
        <w:t xml:space="preserve"> / EI60 / EI90 / EI120 / EI***</w:t>
      </w:r>
    </w:p>
    <w:p w14:paraId="1CE209E9" w14:textId="77777777" w:rsidR="00DB2B68" w:rsidRDefault="00000000">
      <w:r>
        <w:t>selon les tableaux dans [NBN EN 1996-1-2 ANB].</w:t>
      </w:r>
    </w:p>
    <w:p w14:paraId="26A2FA5A" w14:textId="77777777" w:rsidR="00DB2B68" w:rsidRDefault="00000000">
      <w:pPr>
        <w:pStyle w:val="pheading"/>
      </w:pPr>
      <w:r>
        <w:t>- Finitions</w:t>
      </w:r>
    </w:p>
    <w:p w14:paraId="556B05D7" w14:textId="77777777" w:rsidR="00DB2B68" w:rsidRDefault="00000000">
      <w:pPr>
        <w:pStyle w:val="Author-eListParagraph"/>
        <w:numPr>
          <w:ilvl w:val="0"/>
          <w:numId w:val="205"/>
        </w:numPr>
      </w:pPr>
      <w:r>
        <w:t xml:space="preserve">Les murs suivants sont exécutés avec une face restant apparente : </w:t>
      </w:r>
      <w:r>
        <w:rPr>
          <w:rStyle w:val="optioncarChar"/>
        </w:rPr>
        <w:t>***</w:t>
      </w:r>
    </w:p>
    <w:p w14:paraId="05CBFD53" w14:textId="77777777" w:rsidR="00DB2B68" w:rsidRDefault="00000000">
      <w:pPr>
        <w:pStyle w:val="Author-eListParagraph"/>
        <w:numPr>
          <w:ilvl w:val="0"/>
          <w:numId w:val="205"/>
        </w:numPr>
      </w:pPr>
      <w:r>
        <w:t xml:space="preserve">Les murs suivants sont exécutés avec deux faces restant apparentes : </w:t>
      </w:r>
      <w:r>
        <w:rPr>
          <w:rStyle w:val="optioncarChar"/>
        </w:rPr>
        <w:t>***</w:t>
      </w:r>
    </w:p>
    <w:p w14:paraId="7DC2020F" w14:textId="77777777" w:rsidR="00DB2B68" w:rsidRDefault="00000000">
      <w:pPr>
        <w:pStyle w:val="pheading"/>
      </w:pPr>
      <w:r>
        <w:t>MESURAGE</w:t>
      </w:r>
    </w:p>
    <w:p w14:paraId="16D60066" w14:textId="77777777" w:rsidR="00DB2B68" w:rsidRDefault="00000000">
      <w:pPr>
        <w:pStyle w:val="pheading"/>
      </w:pPr>
      <w:r>
        <w:t>- unité de mesure:</w:t>
      </w:r>
    </w:p>
    <w:p w14:paraId="2ADA01C7" w14:textId="77777777" w:rsidR="00DB2B68" w:rsidRDefault="00000000">
      <w:r>
        <w:rPr>
          <w:rStyle w:val="optioncarChar"/>
        </w:rPr>
        <w:t>m³ </w:t>
      </w:r>
      <w:r>
        <w:t>(par défaut)</w:t>
      </w:r>
      <w:r>
        <w:rPr>
          <w:rStyle w:val="optioncarChar"/>
        </w:rPr>
        <w:t> / m²</w:t>
      </w:r>
    </w:p>
    <w:p w14:paraId="0882F607" w14:textId="77777777" w:rsidR="00DB2B68" w:rsidRDefault="00000000">
      <w:r>
        <w:rPr>
          <w:b/>
        </w:rPr>
        <w:t>(soit par défaut)</w:t>
      </w:r>
    </w:p>
    <w:p w14:paraId="23253001" w14:textId="77777777" w:rsidR="00DB2B68" w:rsidRDefault="00000000">
      <w:r>
        <w:rPr>
          <w:rStyle w:val="soitChar"/>
        </w:rPr>
        <w:t>1. m³</w:t>
      </w:r>
    </w:p>
    <w:p w14:paraId="64AF5873" w14:textId="77777777" w:rsidR="00DB2B68" w:rsidRDefault="00000000">
      <w:r>
        <w:rPr>
          <w:b/>
        </w:rPr>
        <w:t>(soit)</w:t>
      </w:r>
    </w:p>
    <w:p w14:paraId="35E1158F" w14:textId="77777777" w:rsidR="00DB2B68" w:rsidRDefault="00000000">
      <w:r>
        <w:rPr>
          <w:rStyle w:val="soitChar"/>
        </w:rPr>
        <w:t>2. m²</w:t>
      </w:r>
    </w:p>
    <w:p w14:paraId="1704EA5D" w14:textId="77777777" w:rsidR="00DB2B68" w:rsidRDefault="00000000">
      <w:pPr>
        <w:pStyle w:val="pheading"/>
      </w:pPr>
      <w:r>
        <w:t>- code de mesurage:</w:t>
      </w:r>
    </w:p>
    <w:p w14:paraId="329FBC57"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509252E"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AE42BCE"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E714C5C" w14:textId="77777777" w:rsidR="00DB2B68" w:rsidRDefault="00000000">
      <w:r>
        <w:rPr>
          <w:rStyle w:val="optioncarChar"/>
        </w:rPr>
        <w:t>Volume net </w:t>
      </w:r>
      <w:r>
        <w:t>(par défaut)</w:t>
      </w:r>
      <w:r>
        <w:rPr>
          <w:rStyle w:val="optioncarChar"/>
        </w:rPr>
        <w:t> / Surface nette</w:t>
      </w:r>
    </w:p>
    <w:p w14:paraId="3B8B4D0C" w14:textId="77777777" w:rsidR="00DB2B68" w:rsidRDefault="00000000">
      <w:r>
        <w:rPr>
          <w:b/>
        </w:rPr>
        <w:t>(soit par défaut)</w:t>
      </w:r>
    </w:p>
    <w:p w14:paraId="6A17A737"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876CB5D" w14:textId="77777777" w:rsidR="00DB2B68" w:rsidRDefault="00000000">
      <w:r>
        <w:rPr>
          <w:b/>
        </w:rPr>
        <w:lastRenderedPageBreak/>
        <w:t>(soit)</w:t>
      </w:r>
    </w:p>
    <w:p w14:paraId="70647537"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8F1B54B" w14:textId="77777777" w:rsidR="00DB2B68" w:rsidRDefault="00DB2B68"/>
    <w:p w14:paraId="4BC4D0E4" w14:textId="77777777" w:rsidR="00DB2B68" w:rsidRDefault="00000000">
      <w:pPr>
        <w:ind w:left="750"/>
      </w:pPr>
      <w:r>
        <w:t> </w:t>
      </w:r>
    </w:p>
    <w:p w14:paraId="588EA214" w14:textId="77777777" w:rsidR="00DB2B68" w:rsidRDefault="00000000">
      <w:pPr>
        <w:pStyle w:val="pheading"/>
      </w:pPr>
      <w:r>
        <w:t>- nature du marché:</w:t>
      </w:r>
    </w:p>
    <w:p w14:paraId="72ECBEA4" w14:textId="77777777" w:rsidR="00DB2B68" w:rsidRDefault="00000000">
      <w:r>
        <w:t>QF</w:t>
      </w:r>
    </w:p>
    <w:p w14:paraId="7F5A9090" w14:textId="77777777" w:rsidR="00DB2B68" w:rsidRDefault="00000000">
      <w:pPr>
        <w:pStyle w:val="Author-eSectionHeading6Numberless"/>
      </w:pPr>
      <w:bookmarkStart w:id="185" w:name="_Toc220495325"/>
      <w:r>
        <w:t>21.22.4f Maçonneries non portantes en blocs de béton d'argile expansée acoustiques CCTB 01.13</w:t>
      </w:r>
      <w:bookmarkEnd w:id="185"/>
    </w:p>
    <w:p w14:paraId="5068CF3C" w14:textId="77777777" w:rsidR="00DB2B68" w:rsidRDefault="00000000">
      <w:pPr>
        <w:pStyle w:val="pheading"/>
      </w:pPr>
      <w:r>
        <w:t>DESCRIPTION</w:t>
      </w:r>
    </w:p>
    <w:p w14:paraId="5FE3126D" w14:textId="77777777" w:rsidR="00DB2B68" w:rsidRDefault="00000000">
      <w:pPr>
        <w:pStyle w:val="pheading"/>
      </w:pPr>
      <w:r>
        <w:t>- Définition / Comprend</w:t>
      </w:r>
    </w:p>
    <w:p w14:paraId="2546D370" w14:textId="77777777" w:rsidR="00DB2B68" w:rsidRDefault="00000000">
      <w:r>
        <w:t xml:space="preserve">Il s’agit de la fourniture et la pose de maçonneries non portantes en blocs de béton d’argile expansée acoustiques. </w:t>
      </w:r>
      <w:r>
        <w:br/>
        <w:t xml:space="preserve">La portée des travaux est décrite dans l’article </w:t>
      </w:r>
      <w:hyperlink w:anchor="391" w:history="1">
        <w:r>
          <w:rPr>
            <w:color w:val="0000EE"/>
          </w:rPr>
          <w:t>21.22.4 Maçonneries non portantes en blocs de béton d'argile expansée</w:t>
        </w:r>
      </w:hyperlink>
      <w:r>
        <w:t>.</w:t>
      </w:r>
      <w:r>
        <w:br/>
        <w:t>Les travaux comprennent également la fourniture et la pose des pièces d’angle, de terminaison et de rencontre.</w:t>
      </w:r>
    </w:p>
    <w:p w14:paraId="292A427C" w14:textId="77777777" w:rsidR="00DB2B68" w:rsidRDefault="00000000">
      <w:pPr>
        <w:pStyle w:val="pheading"/>
      </w:pPr>
      <w:r>
        <w:t>- Localisation</w:t>
      </w:r>
    </w:p>
    <w:p w14:paraId="55455DDF" w14:textId="77777777" w:rsidR="00DB2B68" w:rsidRDefault="00000000">
      <w:r>
        <w:t>La pose est réalisée aux endroits suivants :</w:t>
      </w:r>
      <w:r>
        <w:rPr>
          <w:rStyle w:val="optioncarChar"/>
        </w:rPr>
        <w:t xml:space="preserve"> ***</w:t>
      </w:r>
      <w:r>
        <w:t>.</w:t>
      </w:r>
      <w:r>
        <w:br/>
        <w:t>Voir plans et métrés détaillés.</w:t>
      </w:r>
    </w:p>
    <w:p w14:paraId="612F1125" w14:textId="77777777" w:rsidR="00DB2B68" w:rsidRDefault="00000000">
      <w:pPr>
        <w:pStyle w:val="pheading"/>
      </w:pPr>
      <w:r>
        <w:t>MATÉRIAUX</w:t>
      </w:r>
    </w:p>
    <w:p w14:paraId="65B1B02D" w14:textId="77777777" w:rsidR="00DB2B68" w:rsidRDefault="00000000">
      <w:pPr>
        <w:pStyle w:val="pheading"/>
      </w:pPr>
      <w:r>
        <w:t>- Caractéristiques générales</w:t>
      </w:r>
    </w:p>
    <w:p w14:paraId="6CC0923A" w14:textId="77777777" w:rsidR="00DB2B68" w:rsidRDefault="00000000">
      <w:r>
        <w:rPr>
          <w:rStyle w:val="headingChar"/>
        </w:rPr>
        <w:t>Spécifications</w:t>
      </w:r>
    </w:p>
    <w:p w14:paraId="32B699C8" w14:textId="77777777" w:rsidR="00DB2B68" w:rsidRDefault="00000000">
      <w:r>
        <w:rPr>
          <w:u w:val="single"/>
        </w:rPr>
        <w:t>Blocs</w:t>
      </w:r>
    </w:p>
    <w:p w14:paraId="223657EA" w14:textId="77777777" w:rsidR="00DB2B68"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19D75FB6" w14:textId="77777777" w:rsidR="00DB2B68" w:rsidRDefault="0000000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767F8954" w14:textId="77777777" w:rsidR="00DB2B68" w:rsidRDefault="00000000">
      <w: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p>
    <w:p w14:paraId="15C44EE8" w14:textId="77777777" w:rsidR="00DB2B68" w:rsidRDefault="00000000">
      <w: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2713E9A2" w14:textId="77777777" w:rsidR="00DB2B68" w:rsidRDefault="00000000">
      <w:r>
        <w:lastRenderedPageBreak/>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41F6AD0A" w14:textId="77777777" w:rsidR="00DB2B68" w:rsidRDefault="00000000">
      <w:r>
        <w:t>Résistance au gel suivant les classes d’application selon [NBN EN 1996-2 ANB] et [NIT 271].</w:t>
      </w:r>
    </w:p>
    <w:p w14:paraId="2F593386" w14:textId="77777777" w:rsidR="00DB2B68" w:rsidRDefault="00000000">
      <w:r>
        <w:t xml:space="preserve">Réaction au feu : </w:t>
      </w:r>
      <w:r>
        <w:rPr>
          <w:rStyle w:val="optioncarChar"/>
        </w:rPr>
        <w:t>A1</w:t>
      </w:r>
      <w:r>
        <w:t> (par défaut)</w:t>
      </w:r>
      <w:r>
        <w:rPr>
          <w:rStyle w:val="optioncarChar"/>
        </w:rPr>
        <w:t> / ***</w:t>
      </w:r>
    </w:p>
    <w:p w14:paraId="0C1A5BD2" w14:textId="77777777" w:rsidR="00DB2B68" w:rsidRDefault="00000000">
      <w:pPr>
        <w:spacing w:before="0" w:after="0"/>
      </w:pPr>
      <w:r>
        <w:rPr>
          <w:u w:val="single"/>
        </w:rPr>
        <w:t>Mortier</w:t>
      </w:r>
    </w:p>
    <w:p w14:paraId="6A414D58" w14:textId="77777777" w:rsidR="00DB2B68"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664122CD" w14:textId="77777777" w:rsidR="00DB2B68"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BE0F9A6" w14:textId="77777777" w:rsidR="00DB2B68" w:rsidRDefault="00000000">
      <w:pPr>
        <w:spacing w:before="0" w:after="0"/>
      </w:pPr>
      <w:r>
        <w:rPr>
          <w:rStyle w:val="normalChar"/>
          <w:color w:val="000000"/>
        </w:rPr>
        <w:t>Résistance au gel : oui</w:t>
      </w:r>
    </w:p>
    <w:p w14:paraId="30D633B7" w14:textId="77777777" w:rsidR="00DB2B68" w:rsidRDefault="00000000">
      <w:r>
        <w:br/>
      </w:r>
      <w:r>
        <w:rPr>
          <w:rStyle w:val="headingChar"/>
        </w:rPr>
        <w:t>Critères De Performances De La Paroi</w:t>
      </w:r>
    </w:p>
    <w:p w14:paraId="248AC83A" w14:textId="77777777" w:rsidR="00DB2B68" w:rsidRDefault="00000000">
      <w:r>
        <w:t>Coefficient de transmission :</w:t>
      </w:r>
    </w:p>
    <w:p w14:paraId="7B301D40" w14:textId="77777777" w:rsidR="00DB2B68" w:rsidRDefault="00000000">
      <w:pPr>
        <w:pStyle w:val="Author-eListParagraph"/>
        <w:numPr>
          <w:ilvl w:val="0"/>
          <w:numId w:val="206"/>
        </w:numPr>
      </w:pPr>
      <w:r>
        <w:t xml:space="preserve">valeur U minimale de </w:t>
      </w:r>
      <w:r>
        <w:rPr>
          <w:rStyle w:val="optioncarChar"/>
        </w:rPr>
        <w:t>***</w:t>
      </w:r>
      <w:r>
        <w:t xml:space="preserve"> W/m²K</w:t>
      </w:r>
    </w:p>
    <w:p w14:paraId="7FDF2BB0" w14:textId="77777777" w:rsidR="00DB2B68" w:rsidRDefault="00000000">
      <w:pPr>
        <w:pStyle w:val="Author-eListParagraph"/>
        <w:numPr>
          <w:ilvl w:val="0"/>
          <w:numId w:val="20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F9C007D" w14:textId="77777777" w:rsidR="00DB2B68" w:rsidRDefault="00000000">
      <w:r>
        <w:t xml:space="preserve">Résistance au feu </w:t>
      </w:r>
      <w:r>
        <w:rPr>
          <w:rStyle w:val="optioncarChar"/>
        </w:rPr>
        <w:t>EI30 </w:t>
      </w:r>
      <w:r>
        <w:t xml:space="preserve">(par défaut) </w:t>
      </w:r>
      <w:r>
        <w:rPr>
          <w:rStyle w:val="optioncarChar"/>
        </w:rPr>
        <w:t xml:space="preserve">/ EI60 / EI90 / EI120 / EI*** </w:t>
      </w:r>
      <w:r>
        <w:t>selon les tableaux dans [NBN EN 1996-1-2 ANB].</w:t>
      </w:r>
    </w:p>
    <w:p w14:paraId="0ECB9780" w14:textId="77777777" w:rsidR="00DB2B68" w:rsidRDefault="00000000">
      <w:pPr>
        <w:ind w:left="750"/>
      </w:pPr>
      <w:r>
        <w:t> </w:t>
      </w:r>
    </w:p>
    <w:p w14:paraId="337FC60B" w14:textId="77777777" w:rsidR="00DB2B68" w:rsidRDefault="00000000">
      <w:pPr>
        <w:pStyle w:val="pheading"/>
      </w:pPr>
      <w:r>
        <w:t>- Finitions</w:t>
      </w:r>
    </w:p>
    <w:p w14:paraId="47DD64D8" w14:textId="77777777" w:rsidR="00DB2B68" w:rsidRDefault="00000000">
      <w:pPr>
        <w:pStyle w:val="Author-eListParagraph"/>
        <w:numPr>
          <w:ilvl w:val="0"/>
          <w:numId w:val="207"/>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13728BF0" w14:textId="77777777" w:rsidR="00DB2B68" w:rsidRDefault="00000000">
      <w:pPr>
        <w:pStyle w:val="Author-eListParagraph"/>
        <w:numPr>
          <w:ilvl w:val="0"/>
          <w:numId w:val="207"/>
        </w:numPr>
      </w:pPr>
      <w:r>
        <w:t xml:space="preserve">Les murs suivants sont exécutés avec une face restant apparente : </w:t>
      </w:r>
      <w:r>
        <w:rPr>
          <w:rStyle w:val="optioncarChar"/>
        </w:rPr>
        <w:t>***</w:t>
      </w:r>
    </w:p>
    <w:p w14:paraId="2C6F2505" w14:textId="77777777" w:rsidR="00DB2B68" w:rsidRDefault="00000000">
      <w:pPr>
        <w:pStyle w:val="Author-eListParagraph"/>
        <w:numPr>
          <w:ilvl w:val="0"/>
          <w:numId w:val="207"/>
        </w:numPr>
      </w:pPr>
      <w:r>
        <w:t xml:space="preserve">Les murs suivants sont exécutés avec deux faces restant apparentes : </w:t>
      </w:r>
      <w:r>
        <w:rPr>
          <w:rStyle w:val="optioncarChar"/>
        </w:rPr>
        <w:t>***</w:t>
      </w:r>
    </w:p>
    <w:p w14:paraId="3EEBF873" w14:textId="77777777" w:rsidR="00DB2B68" w:rsidRDefault="00000000">
      <w:pPr>
        <w:pStyle w:val="pheading"/>
      </w:pPr>
      <w:r>
        <w:t>MESURAGE</w:t>
      </w:r>
    </w:p>
    <w:p w14:paraId="7DA72020" w14:textId="77777777" w:rsidR="00DB2B68" w:rsidRDefault="00000000">
      <w:pPr>
        <w:pStyle w:val="pheading"/>
      </w:pPr>
      <w:r>
        <w:t>- unité de mesure:</w:t>
      </w:r>
    </w:p>
    <w:p w14:paraId="0F886F5A" w14:textId="77777777" w:rsidR="00DB2B68" w:rsidRDefault="00000000">
      <w:r>
        <w:rPr>
          <w:rStyle w:val="optioncarChar"/>
        </w:rPr>
        <w:t>m³ </w:t>
      </w:r>
      <w:r>
        <w:t>(par défaut)</w:t>
      </w:r>
      <w:r>
        <w:rPr>
          <w:rStyle w:val="optioncarChar"/>
        </w:rPr>
        <w:t> / m²</w:t>
      </w:r>
    </w:p>
    <w:p w14:paraId="00248FC3" w14:textId="77777777" w:rsidR="00DB2B68" w:rsidRDefault="00000000">
      <w:r>
        <w:rPr>
          <w:b/>
        </w:rPr>
        <w:t>(soit par défaut)</w:t>
      </w:r>
    </w:p>
    <w:p w14:paraId="15ABEAEF" w14:textId="77777777" w:rsidR="00DB2B68" w:rsidRDefault="00000000">
      <w:r>
        <w:rPr>
          <w:rStyle w:val="soitChar"/>
        </w:rPr>
        <w:t>1. m³</w:t>
      </w:r>
    </w:p>
    <w:p w14:paraId="7F60840D" w14:textId="77777777" w:rsidR="00DB2B68" w:rsidRDefault="00000000">
      <w:r>
        <w:rPr>
          <w:b/>
        </w:rPr>
        <w:t>(soit)</w:t>
      </w:r>
    </w:p>
    <w:p w14:paraId="34B6DBE5" w14:textId="77777777" w:rsidR="00DB2B68" w:rsidRDefault="00000000">
      <w:r>
        <w:rPr>
          <w:rStyle w:val="soitChar"/>
        </w:rPr>
        <w:t>2. m²</w:t>
      </w:r>
    </w:p>
    <w:p w14:paraId="661E9EE8" w14:textId="77777777" w:rsidR="00DB2B68" w:rsidRDefault="00000000">
      <w:pPr>
        <w:pStyle w:val="pheading"/>
      </w:pPr>
      <w:r>
        <w:t>- code de mesurage:</w:t>
      </w:r>
    </w:p>
    <w:p w14:paraId="3FC30565"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7B2C8BC"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0CBB45A"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01D2DBA8" w14:textId="77777777" w:rsidR="00DB2B68" w:rsidRDefault="00000000">
      <w:r>
        <w:rPr>
          <w:rStyle w:val="optioncarChar"/>
        </w:rPr>
        <w:t>Volume net </w:t>
      </w:r>
      <w:r>
        <w:t>(par défaut)</w:t>
      </w:r>
      <w:r>
        <w:rPr>
          <w:rStyle w:val="optioncarChar"/>
        </w:rPr>
        <w:t> / Surface nette</w:t>
      </w:r>
    </w:p>
    <w:p w14:paraId="11417248" w14:textId="77777777" w:rsidR="00DB2B68" w:rsidRDefault="00000000">
      <w:r>
        <w:rPr>
          <w:b/>
        </w:rPr>
        <w:lastRenderedPageBreak/>
        <w:t>(soit par défaut)</w:t>
      </w:r>
    </w:p>
    <w:p w14:paraId="16C9FB1E"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DB378E6" w14:textId="77777777" w:rsidR="00DB2B68" w:rsidRDefault="00000000">
      <w:r>
        <w:rPr>
          <w:b/>
        </w:rPr>
        <w:t>(soit)</w:t>
      </w:r>
    </w:p>
    <w:p w14:paraId="493208F0"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F8DC2EB" w14:textId="77777777" w:rsidR="00DB2B68" w:rsidRDefault="00000000">
      <w:pPr>
        <w:pStyle w:val="pheading"/>
      </w:pPr>
      <w:r>
        <w:t>- nature du marché:</w:t>
      </w:r>
    </w:p>
    <w:p w14:paraId="1C7B8225" w14:textId="77777777" w:rsidR="00DB2B68" w:rsidRDefault="00000000">
      <w:r>
        <w:t>QF</w:t>
      </w:r>
    </w:p>
    <w:p w14:paraId="493C97F0" w14:textId="77777777" w:rsidR="00DB2B68" w:rsidRDefault="00000000">
      <w:pPr>
        <w:pStyle w:val="Author-eSectionHeading5Numberless"/>
      </w:pPr>
      <w:bookmarkStart w:id="186" w:name="_Toc220495326"/>
      <w:r>
        <w:t>21.22.5 Maçonneries non portantes en béton cellulaire CCTB 01.11</w:t>
      </w:r>
      <w:bookmarkEnd w:id="186"/>
    </w:p>
    <w:p w14:paraId="349DAB81" w14:textId="77777777" w:rsidR="00DB2B68" w:rsidRDefault="00000000">
      <w:pPr>
        <w:pStyle w:val="pheading"/>
      </w:pPr>
      <w:bookmarkStart w:id="187" w:name="392"/>
      <w:bookmarkEnd w:id="187"/>
      <w:r>
        <w:t>MATÉRIAUX</w:t>
      </w:r>
    </w:p>
    <w:p w14:paraId="1FC93B1F" w14:textId="77777777" w:rsidR="00DB2B68" w:rsidRDefault="00000000">
      <w:r>
        <w:t>Il s'agit d'éléments en béton cellulaire (blocs / grands éléments, selon le cas), qui répondent à la norme [NBN EN 771-4+A1] et au [PTV 21-002]. L'entrepreneur soumet un échantillon, la fiche technique et la déclaration des performances (DoP) du matériau pour approbation à l'auteur de projet et au maître de l’ouvrage.</w:t>
      </w:r>
    </w:p>
    <w:p w14:paraId="05EDE424" w14:textId="77777777" w:rsidR="00DB2B68" w:rsidRDefault="00000000">
      <w:pPr>
        <w:pStyle w:val="pheading"/>
      </w:pPr>
      <w:r>
        <w:t>EXÉCUTION / MISE EN ŒUVRE</w:t>
      </w:r>
    </w:p>
    <w:p w14:paraId="1255DE52" w14:textId="77777777" w:rsidR="00DB2B68" w:rsidRDefault="00000000">
      <w:r>
        <w:rPr>
          <w:u w:val="single"/>
        </w:rPr>
        <w:t>- Prescriptions générales</w:t>
      </w:r>
    </w:p>
    <w:p w14:paraId="033EADD5" w14:textId="77777777" w:rsidR="00DB2B68" w:rsidRDefault="00000000">
      <w:r>
        <w:t>Conformément au mode de mise en œuvre, les éléments en béton cellulaire sont collés à l’aide d’un mortier-colle selon les indications du fabricant des blocs et des notes de calcul du bureau d’études.</w:t>
      </w:r>
    </w:p>
    <w:p w14:paraId="169F8725" w14:textId="77777777" w:rsidR="00DB2B68" w:rsidRDefault="00000000">
      <w:r>
        <w:t xml:space="preserve">Le mortier à coller (selon la norme [NBN EN 998-2] et le règlement d’application [TRA 651]) répond à la catégorie : </w:t>
      </w:r>
      <w:r>
        <w:rPr>
          <w:rStyle w:val="optioncarChar"/>
        </w:rPr>
        <w:t xml:space="preserve">M10 </w:t>
      </w:r>
      <w:r>
        <w:rPr>
          <w:rStyle w:val="optioncarChar"/>
          <w:color w:val="000000"/>
        </w:rPr>
        <w:t xml:space="preserve">(par défaut) </w:t>
      </w:r>
      <w:r>
        <w:rPr>
          <w:rStyle w:val="optioncarChar"/>
        </w:rPr>
        <w:t>/ ***</w:t>
      </w:r>
    </w:p>
    <w:p w14:paraId="011043DB" w14:textId="77777777" w:rsidR="00DB2B68" w:rsidRDefault="00000000">
      <w:r>
        <w:t xml:space="preserve">L'épaisseur des joints est d'au moins </w:t>
      </w:r>
      <w:r>
        <w:rPr>
          <w:rStyle w:val="optioncarChar"/>
        </w:rPr>
        <w:t>2 </w:t>
      </w:r>
      <w:r>
        <w:t>(par défaut)</w:t>
      </w:r>
      <w:r>
        <w:rPr>
          <w:rStyle w:val="optioncarChar"/>
        </w:rPr>
        <w:t xml:space="preserve"> / ***</w:t>
      </w:r>
      <w:r>
        <w:t xml:space="preserve"> mm (tolérances suivant [NIT 208])</w:t>
      </w:r>
      <w:r>
        <w:br/>
        <w:t>Eléments de liaison et d'ancrage :</w:t>
      </w:r>
    </w:p>
    <w:p w14:paraId="6807CF85" w14:textId="77777777" w:rsidR="00DB2B68"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0EB10C8B" w14:textId="77777777" w:rsidR="00DB2B68" w:rsidRDefault="00000000">
      <w:r>
        <w:t xml:space="preserve">Isolation contre l'humidité : </w:t>
      </w:r>
      <w:r>
        <w:rPr>
          <w:rStyle w:val="optioncarChar"/>
        </w:rPr>
        <w:t>membranes en PE </w:t>
      </w:r>
      <w:r>
        <w:t>(par défaut)</w:t>
      </w:r>
      <w:r>
        <w:rPr>
          <w:rStyle w:val="optioncarChar"/>
        </w:rPr>
        <w:t xml:space="preserve"> / ***</w:t>
      </w:r>
      <w:r>
        <w:rPr>
          <w:rStyle w:val="normalChar"/>
        </w:rPr>
        <w:t xml:space="preserve"> conformément à l'article </w:t>
      </w:r>
      <w:hyperlink w:anchor="356" w:history="1">
        <w:r>
          <w:rPr>
            <w:color w:val="0000EE"/>
          </w:rPr>
          <w:t>26.11 Feuilles et membranes d'étanchéité à l'eau</w:t>
        </w:r>
      </w:hyperlink>
      <w:r>
        <w:br/>
      </w:r>
      <w:r>
        <w:br/>
      </w:r>
    </w:p>
    <w:p w14:paraId="393AECAA" w14:textId="77777777" w:rsidR="00DB2B68" w:rsidRDefault="00000000">
      <w:r>
        <w:rPr>
          <w:u w:val="single"/>
        </w:rPr>
        <w:t>- Notes d'exécution complémentaires</w:t>
      </w:r>
    </w:p>
    <w:p w14:paraId="24960A21" w14:textId="77777777" w:rsidR="00DB2B68" w:rsidRDefault="00000000">
      <w:r>
        <w:t>Pour les maçonneries destinées à rester apparentes, seuls des éléments non endommagés sont utilisés.</w:t>
      </w:r>
    </w:p>
    <w:p w14:paraId="2B0F5BB2" w14:textId="77777777" w:rsidR="00DB2B68" w:rsidRDefault="00000000">
      <w:r>
        <w:t xml:space="preserve">Les segments de murs sont pourvus d'armatures horizontales selon l'article </w:t>
      </w:r>
      <w:hyperlink w:anchor="357" w:history="1">
        <w:r>
          <w:rPr>
            <w:color w:val="0000EE"/>
          </w:rPr>
          <w:t>21.41.1 Armatures horizontales pour maçonneries</w:t>
        </w:r>
      </w:hyperlink>
      <w:r>
        <w:t>.</w:t>
      </w:r>
    </w:p>
    <w:p w14:paraId="073D8EFD" w14:textId="77777777" w:rsidR="00DB2B68" w:rsidRDefault="00000000">
      <w:r>
        <w:t xml:space="preserve">Les segments de murs sont pourvus d'armatures verticales selon l'article </w:t>
      </w:r>
      <w:hyperlink w:anchor="358" w:history="1">
        <w:r>
          <w:rPr>
            <w:color w:val="0000EE"/>
          </w:rPr>
          <w:t>21.41.2 Armatures verticales pour maçonneries</w:t>
        </w:r>
      </w:hyperlink>
      <w:r>
        <w:t>.</w:t>
      </w:r>
    </w:p>
    <w:p w14:paraId="5FA332C9" w14:textId="77777777" w:rsidR="00DB2B68" w:rsidRDefault="00000000">
      <w:r>
        <w:t xml:space="preserve">Les maçonneries de caves en contact avec les terres sont rendues étanches selon la description au chapitre </w:t>
      </w:r>
      <w:hyperlink w:anchor="359" w:history="1">
        <w:r>
          <w:rPr>
            <w:color w:val="0000EE"/>
          </w:rPr>
          <w:t>26.12 Traitements d'étanchéisation</w:t>
        </w:r>
      </w:hyperlink>
      <w:r>
        <w:t>.</w:t>
      </w:r>
    </w:p>
    <w:p w14:paraId="12E02FAD" w14:textId="77777777" w:rsidR="00DB2B68" w:rsidRDefault="00000000">
      <w:r>
        <w:t xml:space="preserve">Crochets de mur : </w:t>
      </w:r>
      <w:r>
        <w:rPr>
          <w:rStyle w:val="optioncarChar"/>
        </w:rPr>
        <w:t xml:space="preserve">acier inoxydable </w:t>
      </w:r>
      <w:r>
        <w:t>(par défaut) </w:t>
      </w:r>
      <w:r>
        <w:rPr>
          <w:rStyle w:val="optioncarChar"/>
        </w:rPr>
        <w:t>/ ***</w:t>
      </w:r>
      <w:r>
        <w:t xml:space="preserve"> , diamètre minimal </w:t>
      </w:r>
      <w:r>
        <w:rPr>
          <w:rStyle w:val="optioncarChar"/>
        </w:rPr>
        <w:t>3,5 </w:t>
      </w:r>
      <w:r>
        <w:t>(par défaut) </w:t>
      </w:r>
      <w:r>
        <w:rPr>
          <w:rStyle w:val="optioncarChar"/>
        </w:rPr>
        <w:t>/ ***</w:t>
      </w:r>
      <w:r>
        <w:t xml:space="preserve"> mm</w:t>
      </w:r>
    </w:p>
    <w:p w14:paraId="3D91AD7B" w14:textId="77777777" w:rsidR="00DB2B68" w:rsidRDefault="00000000">
      <w:r>
        <w:t xml:space="preserve">Linteaux : </w:t>
      </w:r>
      <w:r>
        <w:rPr>
          <w:rStyle w:val="optioncarChar"/>
        </w:rPr>
        <w:t>***</w:t>
      </w:r>
      <w:r>
        <w:t xml:space="preserve"> conformément à l’article </w:t>
      </w:r>
      <w:hyperlink w:anchor="360" w:history="1">
        <w:r>
          <w:rPr>
            <w:color w:val="0000EE"/>
          </w:rPr>
          <w:t>22.13 Linteaux en béton</w:t>
        </w:r>
      </w:hyperlink>
    </w:p>
    <w:p w14:paraId="18B912EA" w14:textId="77777777" w:rsidR="00DB2B68" w:rsidRDefault="00000000">
      <w:pPr>
        <w:pStyle w:val="pheading"/>
      </w:pPr>
      <w:r>
        <w:t>AIDE</w:t>
      </w:r>
    </w:p>
    <w:p w14:paraId="0F175C93" w14:textId="77777777" w:rsidR="00DB2B68" w:rsidRDefault="00000000">
      <w:r>
        <w:lastRenderedPageBreak/>
        <w:t>Note à l'attention de l'auteur du projet : pour le choix adéquat du mortier, se référer à la [STS 22 série].</w:t>
      </w:r>
    </w:p>
    <w:p w14:paraId="0E472469" w14:textId="77777777" w:rsidR="00DB2B68" w:rsidRDefault="00000000">
      <w:pPr>
        <w:pStyle w:val="Author-eSectionHeading6Numberless"/>
      </w:pPr>
      <w:bookmarkStart w:id="188" w:name="_Toc220495327"/>
      <w:r>
        <w:t>21.22.5a Maçonneries non portantes en blocs de béton cellulaire CCTB 01.12</w:t>
      </w:r>
      <w:bookmarkEnd w:id="188"/>
    </w:p>
    <w:p w14:paraId="5A4C7BAD" w14:textId="77777777" w:rsidR="00DB2B68" w:rsidRDefault="00000000">
      <w:pPr>
        <w:pStyle w:val="pheading"/>
      </w:pPr>
      <w:r>
        <w:t>DESCRIPTION</w:t>
      </w:r>
    </w:p>
    <w:p w14:paraId="43318A24" w14:textId="77777777" w:rsidR="00DB2B68" w:rsidRDefault="00000000">
      <w:pPr>
        <w:pStyle w:val="pheading"/>
      </w:pPr>
      <w:r>
        <w:t>- Définition / Comprend</w:t>
      </w:r>
    </w:p>
    <w:p w14:paraId="5E8D6F4D" w14:textId="77777777" w:rsidR="00DB2B68" w:rsidRDefault="00000000">
      <w:r>
        <w:t xml:space="preserve">Il s’agit de la fourniture et la pose de maçonneries non portantes en blocs de béton cellulaire. </w:t>
      </w:r>
      <w:r>
        <w:br/>
        <w:t xml:space="preserve">La portée des travaux est décrite dans l’article </w:t>
      </w:r>
      <w:hyperlink w:anchor="392" w:history="1">
        <w:r>
          <w:rPr>
            <w:color w:val="0000EE"/>
          </w:rPr>
          <w:t>21.22.5 Maçonneries non portantes en béton cellulaire</w:t>
        </w:r>
      </w:hyperlink>
      <w:r>
        <w:t>.</w:t>
      </w:r>
      <w:r>
        <w:br/>
        <w:t>Les travaux comprennent également la fourniture et la pose des pièces d’angle, de terminaison et de rencontre.</w:t>
      </w:r>
    </w:p>
    <w:p w14:paraId="72F3D036" w14:textId="77777777" w:rsidR="00DB2B68" w:rsidRDefault="00000000">
      <w:pPr>
        <w:pStyle w:val="pheading"/>
      </w:pPr>
      <w:r>
        <w:t>- Localisation</w:t>
      </w:r>
    </w:p>
    <w:p w14:paraId="0E878F65" w14:textId="77777777" w:rsidR="00DB2B68" w:rsidRDefault="00000000">
      <w:r>
        <w:t xml:space="preserve">La pose est réalisée aux endroits suivants : </w:t>
      </w:r>
      <w:r>
        <w:rPr>
          <w:rStyle w:val="optioncarChar"/>
        </w:rPr>
        <w:t>***</w:t>
      </w:r>
      <w:r>
        <w:t>.</w:t>
      </w:r>
      <w:r>
        <w:br/>
        <w:t>Voir plans et métrés détaillés</w:t>
      </w:r>
    </w:p>
    <w:p w14:paraId="0194DF33" w14:textId="77777777" w:rsidR="00DB2B68" w:rsidRDefault="00000000">
      <w:pPr>
        <w:pStyle w:val="pheading"/>
      </w:pPr>
      <w:r>
        <w:t>MATÉRIAUX</w:t>
      </w:r>
    </w:p>
    <w:p w14:paraId="47436245" w14:textId="77777777" w:rsidR="00DB2B68" w:rsidRDefault="00000000">
      <w:pPr>
        <w:pStyle w:val="pheading"/>
      </w:pPr>
      <w:r>
        <w:t>- Caractéristiques générales</w:t>
      </w:r>
    </w:p>
    <w:p w14:paraId="7F1DDA7D" w14:textId="77777777" w:rsidR="00DB2B68" w:rsidRDefault="00000000">
      <w:r>
        <w:rPr>
          <w:rStyle w:val="headingChar"/>
        </w:rPr>
        <w:t>Spécifications</w:t>
      </w:r>
    </w:p>
    <w:p w14:paraId="3753E885"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béton cellulaire sont de classe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 moyenne (f</w:t>
      </w:r>
      <w:r>
        <w:rPr>
          <w:vertAlign w:val="subscript"/>
        </w:rPr>
        <w:t>mean</w:t>
      </w:r>
      <w:r>
        <w:t>) suivant [NBN EN 1996 série] est au minimum:</w:t>
      </w:r>
      <w:r>
        <w:rPr>
          <w:rStyle w:val="optioncarChar"/>
        </w:rPr>
        <w:t xml:space="preserve"> 2 / 3 / 4 / 5 / ***</w:t>
      </w:r>
      <w:r>
        <w:t xml:space="preserve"> N/mm² (MPa) (classe f </w:t>
      </w:r>
      <w:r>
        <w:rPr>
          <w:rStyle w:val="optioncarChar"/>
        </w:rPr>
        <w:t>***</w:t>
      </w:r>
      <w:r>
        <w:t xml:space="preserve">) (selon [NBN EN 771-4+A1].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(600 / *** </w:t>
      </w:r>
      <w:r>
        <w:t>x</w:t>
      </w:r>
      <w:r>
        <w:rPr>
          <w:rStyle w:val="optioncarChar"/>
        </w:rPr>
        <w:t> 200 / 250 / 500 / ***</w:t>
      </w:r>
      <w:r>
        <w:t> x</w:t>
      </w:r>
      <w:r>
        <w:rPr>
          <w:rStyle w:val="optioncarChar"/>
        </w:rPr>
        <w:t> 150 / 175 / 200 / 240 / 300 / 365 ***</w:t>
      </w:r>
      <w:r>
        <w:t> ) mm</w:t>
      </w:r>
      <w:r>
        <w:br/>
      </w:r>
      <w:r>
        <w:br/>
        <w:t>Stabilité de forme : les éléments en béton cellulaire destinés à un usage extérieur ou en maçonnerie souterraine respectent le critère suivant en matière de comportement à l'humidité : retrait et gonflement hygrométriques ≤ 0.45 mm / m (cf. [NBN EN 772 série] et [NBN EN 680]).</w:t>
      </w:r>
      <w:r>
        <w:br/>
      </w:r>
      <w:r>
        <w:br/>
        <w:t xml:space="preserve">Absorption d’eau par capillarité : code A inférieur à </w:t>
      </w:r>
      <w:r>
        <w:rPr>
          <w:rStyle w:val="optioncarChar"/>
        </w:rPr>
        <w:t xml:space="preserve">4500 g/m² en 10 min </w:t>
      </w:r>
      <w:r>
        <w:t>(par défaut) </w:t>
      </w:r>
      <w:r>
        <w:rPr>
          <w:rStyle w:val="optioncarChar"/>
        </w:rPr>
        <w:t>/ 6000 g/m² en 30 min / 8000 g/m² en 90 min</w:t>
      </w:r>
      <w:r>
        <w:br/>
      </w:r>
      <w:r>
        <w:br/>
        <w:t>Résistance au gel suivant les classes d’application selon [NBN EN 1996-2 ANB] et [NIT 271].</w:t>
      </w:r>
      <w:r>
        <w:br/>
      </w:r>
      <w:r>
        <w:lastRenderedPageBreak/>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290BFA94" w14:textId="77777777" w:rsidR="00DB2B68" w:rsidRDefault="00000000">
      <w:r>
        <w:t>Coefficient de transmission :</w:t>
      </w:r>
    </w:p>
    <w:p w14:paraId="4B98C573" w14:textId="77777777" w:rsidR="00DB2B68" w:rsidRDefault="00000000">
      <w:pPr>
        <w:pStyle w:val="Author-eListParagraph"/>
        <w:numPr>
          <w:ilvl w:val="0"/>
          <w:numId w:val="208"/>
        </w:numPr>
      </w:pPr>
      <w:r>
        <w:t xml:space="preserve">valeur U minimale de </w:t>
      </w:r>
      <w:r>
        <w:rPr>
          <w:rStyle w:val="optioncarChar"/>
        </w:rPr>
        <w:t>***</w:t>
      </w:r>
      <w:r>
        <w:t xml:space="preserve"> W/m²K</w:t>
      </w:r>
    </w:p>
    <w:p w14:paraId="3EDBA3C5" w14:textId="77777777" w:rsidR="00DB2B68" w:rsidRDefault="00000000">
      <w:pPr>
        <w:pStyle w:val="Author-eListParagraph"/>
        <w:numPr>
          <w:ilvl w:val="0"/>
          <w:numId w:val="20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B2691FD" w14:textId="77777777" w:rsidR="00DB2B68" w:rsidRDefault="00000000">
      <w:r>
        <w:br/>
        <w:t xml:space="preserve">Résistance au feu : </w:t>
      </w:r>
      <w:r>
        <w:rPr>
          <w:rStyle w:val="optioncarChar"/>
        </w:rPr>
        <w:t>EI30</w:t>
      </w:r>
      <w:r>
        <w:t> (par défaut)</w:t>
      </w:r>
      <w:r>
        <w:rPr>
          <w:rStyle w:val="optioncarChar"/>
        </w:rPr>
        <w:t xml:space="preserve"> / EI60/ EI90 / EI120 / EI***</w:t>
      </w:r>
    </w:p>
    <w:p w14:paraId="61BB4D15" w14:textId="77777777" w:rsidR="00DB2B68" w:rsidRDefault="00000000">
      <w:r>
        <w:t>selon les tableaux dans [NBN EN 1996-1-2 ANB].</w:t>
      </w:r>
    </w:p>
    <w:p w14:paraId="698904FB" w14:textId="77777777" w:rsidR="00DB2B68" w:rsidRDefault="00000000">
      <w:pPr>
        <w:ind w:left="750"/>
      </w:pPr>
      <w:r>
        <w:t> </w:t>
      </w:r>
    </w:p>
    <w:p w14:paraId="4890EFAB" w14:textId="77777777" w:rsidR="00DB2B68" w:rsidRDefault="00000000">
      <w:pPr>
        <w:pStyle w:val="pheading"/>
      </w:pPr>
      <w:r>
        <w:t>- Finitions</w:t>
      </w:r>
    </w:p>
    <w:p w14:paraId="7B474ED4" w14:textId="77777777" w:rsidR="00DB2B68" w:rsidRDefault="00000000">
      <w:pPr>
        <w:pStyle w:val="Author-eListParagraph"/>
        <w:numPr>
          <w:ilvl w:val="0"/>
          <w:numId w:val="209"/>
        </w:numPr>
      </w:pPr>
      <w:r>
        <w:t xml:space="preserve">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xml:space="preserve"> : </w:t>
      </w:r>
      <w:r>
        <w:rPr>
          <w:rStyle w:val="optioncarChar"/>
        </w:rPr>
        <w:t>***</w:t>
      </w:r>
    </w:p>
    <w:p w14:paraId="79A827CD" w14:textId="77777777" w:rsidR="00DB2B68" w:rsidRDefault="00000000">
      <w:pPr>
        <w:pStyle w:val="Author-eListParagraph"/>
        <w:numPr>
          <w:ilvl w:val="0"/>
          <w:numId w:val="209"/>
        </w:numPr>
      </w:pPr>
      <w:r>
        <w:t xml:space="preserve">Les murs suivants sont exécutés avec une face restant apparente : </w:t>
      </w:r>
      <w:r>
        <w:rPr>
          <w:rStyle w:val="optioncarChar"/>
        </w:rPr>
        <w:t>***</w:t>
      </w:r>
    </w:p>
    <w:p w14:paraId="430BEF5D" w14:textId="77777777" w:rsidR="00DB2B68" w:rsidRDefault="00000000">
      <w:pPr>
        <w:pStyle w:val="Author-eListParagraph"/>
        <w:numPr>
          <w:ilvl w:val="0"/>
          <w:numId w:val="209"/>
        </w:numPr>
      </w:pPr>
      <w:r>
        <w:t xml:space="preserve">Les murs suivants sont exécutés avec deux faces restant apparentes : </w:t>
      </w:r>
      <w:r>
        <w:rPr>
          <w:rStyle w:val="optioncarChar"/>
        </w:rPr>
        <w:t>***</w:t>
      </w:r>
    </w:p>
    <w:p w14:paraId="3BEAA16C"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333F6F85" w14:textId="77777777" w:rsidR="00DB2B68" w:rsidRDefault="00000000">
      <w:pPr>
        <w:pStyle w:val="pheading"/>
      </w:pPr>
      <w:r>
        <w:t>MESURAGE</w:t>
      </w:r>
    </w:p>
    <w:p w14:paraId="23A61F81" w14:textId="77777777" w:rsidR="00DB2B68" w:rsidRDefault="00000000">
      <w:pPr>
        <w:pStyle w:val="pheading"/>
      </w:pPr>
      <w:r>
        <w:t>- unité de mesure:</w:t>
      </w:r>
    </w:p>
    <w:p w14:paraId="371357B4" w14:textId="77777777" w:rsidR="00DB2B68" w:rsidRDefault="00000000">
      <w:r>
        <w:rPr>
          <w:rStyle w:val="optioncarChar"/>
        </w:rPr>
        <w:t>m³ </w:t>
      </w:r>
      <w:r>
        <w:t>(par défaut)</w:t>
      </w:r>
      <w:r>
        <w:rPr>
          <w:rStyle w:val="optioncarChar"/>
        </w:rPr>
        <w:t> / m²</w:t>
      </w:r>
    </w:p>
    <w:p w14:paraId="7C1864EF" w14:textId="77777777" w:rsidR="00DB2B68" w:rsidRDefault="00000000">
      <w:r>
        <w:rPr>
          <w:b/>
        </w:rPr>
        <w:t>(soit par défaut)</w:t>
      </w:r>
    </w:p>
    <w:p w14:paraId="4EE52F24" w14:textId="77777777" w:rsidR="00DB2B68" w:rsidRDefault="00000000">
      <w:r>
        <w:rPr>
          <w:rStyle w:val="soitChar"/>
        </w:rPr>
        <w:t>1. m³</w:t>
      </w:r>
    </w:p>
    <w:p w14:paraId="494E5DE8" w14:textId="77777777" w:rsidR="00DB2B68" w:rsidRDefault="00000000">
      <w:r>
        <w:rPr>
          <w:b/>
        </w:rPr>
        <w:t>(soit)</w:t>
      </w:r>
    </w:p>
    <w:p w14:paraId="5E756159" w14:textId="77777777" w:rsidR="00DB2B68" w:rsidRDefault="00000000">
      <w:r>
        <w:rPr>
          <w:rStyle w:val="soitChar"/>
        </w:rPr>
        <w:t>2. m²</w:t>
      </w:r>
    </w:p>
    <w:p w14:paraId="58248BE4" w14:textId="77777777" w:rsidR="00DB2B68" w:rsidRDefault="00000000">
      <w:pPr>
        <w:pStyle w:val="pheading"/>
      </w:pPr>
      <w:r>
        <w:t>- code de mesurage:</w:t>
      </w:r>
    </w:p>
    <w:p w14:paraId="0D178DA3"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BA15797"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57AA3098"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371710E9" w14:textId="77777777" w:rsidR="00DB2B68" w:rsidRDefault="00000000">
      <w:r>
        <w:rPr>
          <w:rStyle w:val="optioncarChar"/>
        </w:rPr>
        <w:t>Volume net </w:t>
      </w:r>
      <w:r>
        <w:t>(par défaut)</w:t>
      </w:r>
      <w:r>
        <w:rPr>
          <w:rStyle w:val="optioncarChar"/>
        </w:rPr>
        <w:t> / Surface nette</w:t>
      </w:r>
    </w:p>
    <w:p w14:paraId="0AF07E62" w14:textId="77777777" w:rsidR="00DB2B68" w:rsidRDefault="00000000">
      <w:r>
        <w:rPr>
          <w:b/>
        </w:rPr>
        <w:t>(soit par défaut)</w:t>
      </w:r>
    </w:p>
    <w:p w14:paraId="472D30DF" w14:textId="77777777" w:rsidR="00DB2B68" w:rsidRDefault="00000000">
      <w:r>
        <w:rPr>
          <w:rStyle w:val="soitChar"/>
        </w:rPr>
        <w:lastRenderedPageBreak/>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BB8A87D" w14:textId="77777777" w:rsidR="00DB2B68" w:rsidRDefault="00000000">
      <w:r>
        <w:rPr>
          <w:b/>
        </w:rPr>
        <w:t>(soit)</w:t>
      </w:r>
    </w:p>
    <w:p w14:paraId="66249634"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24A33E15" w14:textId="77777777" w:rsidR="00DB2B68" w:rsidRDefault="00000000">
      <w:pPr>
        <w:ind w:left="750"/>
      </w:pPr>
      <w:r>
        <w:t> </w:t>
      </w:r>
    </w:p>
    <w:p w14:paraId="25916267" w14:textId="77777777" w:rsidR="00DB2B68" w:rsidRDefault="00000000">
      <w:pPr>
        <w:pStyle w:val="pheading"/>
      </w:pPr>
      <w:r>
        <w:t>- nature du marché:</w:t>
      </w:r>
    </w:p>
    <w:p w14:paraId="5578DACA" w14:textId="77777777" w:rsidR="00DB2B68" w:rsidRDefault="00000000">
      <w:r>
        <w:t>QF</w:t>
      </w:r>
    </w:p>
    <w:p w14:paraId="186E5B44" w14:textId="77777777" w:rsidR="00DB2B68" w:rsidRDefault="00000000">
      <w:pPr>
        <w:pStyle w:val="Author-eSectionHeading6Numberless"/>
      </w:pPr>
      <w:bookmarkStart w:id="189" w:name="_Toc220495328"/>
      <w:r>
        <w:t>21.22.5b Maçonneries non portantes en carreaux de béton cellulaire CCTB 01.12</w:t>
      </w:r>
      <w:bookmarkEnd w:id="189"/>
    </w:p>
    <w:p w14:paraId="5CAFF80C" w14:textId="77777777" w:rsidR="00DB2B68" w:rsidRDefault="00000000">
      <w:pPr>
        <w:pStyle w:val="pheading"/>
      </w:pPr>
      <w:r>
        <w:t>DESCRIPTION</w:t>
      </w:r>
    </w:p>
    <w:p w14:paraId="65CBD4FA" w14:textId="77777777" w:rsidR="00DB2B68" w:rsidRDefault="00000000">
      <w:pPr>
        <w:pStyle w:val="pheading"/>
      </w:pPr>
      <w:r>
        <w:t>- Définition / Comprend</w:t>
      </w:r>
    </w:p>
    <w:p w14:paraId="57B654E2" w14:textId="77777777" w:rsidR="00DB2B68" w:rsidRDefault="00000000">
      <w:r>
        <w:t xml:space="preserve">Il s’agit de la fourniture et la pose de maçonneries non portantes en carreaux de béton cellulaire. </w:t>
      </w:r>
      <w:r>
        <w:br/>
        <w:t xml:space="preserve">La portée des travaux est décrite dans l’article </w:t>
      </w:r>
      <w:hyperlink w:anchor="392" w:history="1">
        <w:r>
          <w:rPr>
            <w:color w:val="0000EE"/>
          </w:rPr>
          <w:t>21.22.5 Maçonneries non portantes en béton cellulaire</w:t>
        </w:r>
      </w:hyperlink>
      <w:r>
        <w:t xml:space="preserve">. </w:t>
      </w:r>
      <w:r>
        <w:br/>
        <w:t>Les travaux comprennent également la fourniture et la pose des pièces d’angle, de terminaison et de rencontre.</w:t>
      </w:r>
    </w:p>
    <w:p w14:paraId="08E348AF" w14:textId="77777777" w:rsidR="00DB2B68" w:rsidRDefault="00000000">
      <w:pPr>
        <w:pStyle w:val="pheading"/>
      </w:pPr>
      <w:r>
        <w:t>- Localisation</w:t>
      </w:r>
    </w:p>
    <w:p w14:paraId="1268083E" w14:textId="77777777" w:rsidR="00DB2B68" w:rsidRDefault="00000000">
      <w:r>
        <w:t xml:space="preserve">La pose est réalisée aux endroits suivants : </w:t>
      </w:r>
      <w:r>
        <w:rPr>
          <w:rStyle w:val="optioncarChar"/>
        </w:rPr>
        <w:t>***</w:t>
      </w:r>
      <w:r>
        <w:t>.</w:t>
      </w:r>
      <w:r>
        <w:br/>
        <w:t>Voir plans et métrés détaillés.</w:t>
      </w:r>
    </w:p>
    <w:p w14:paraId="3C10DB83" w14:textId="77777777" w:rsidR="00DB2B68" w:rsidRDefault="00000000">
      <w:pPr>
        <w:pStyle w:val="pheading"/>
      </w:pPr>
      <w:r>
        <w:t>MATÉRIAUX</w:t>
      </w:r>
    </w:p>
    <w:p w14:paraId="6DC1F1C6" w14:textId="77777777" w:rsidR="00DB2B68" w:rsidRDefault="00000000">
      <w:pPr>
        <w:pStyle w:val="pheading"/>
      </w:pPr>
      <w:r>
        <w:t>- Caractéristiques générales</w:t>
      </w:r>
    </w:p>
    <w:p w14:paraId="44653A2E" w14:textId="77777777" w:rsidR="00DB2B68" w:rsidRDefault="00000000">
      <w:r>
        <w:rPr>
          <w:rStyle w:val="headingChar"/>
        </w:rPr>
        <w:t>Spécifications</w:t>
      </w:r>
    </w:p>
    <w:p w14:paraId="7A75DD49" w14:textId="77777777" w:rsidR="00DB2B68" w:rsidRDefault="00000000">
      <w:r>
        <w:t>En ce qui concerne la déclaration de la résistance à la compression, les grands éléments sont de catégorie I (la résistance à la compression est déclarée avec une fiabilité de 95%).</w:t>
      </w:r>
      <w:r>
        <w:br/>
      </w:r>
      <w:r>
        <w:br/>
        <w:t xml:space="preserve">Les éléments en béton cellulaire sont de classe d’usage </w:t>
      </w:r>
      <w:r>
        <w:rPr>
          <w:rStyle w:val="optioncarChar"/>
        </w:rPr>
        <w:t>D</w:t>
      </w:r>
      <w:r>
        <w:br/>
      </w:r>
      <w:r>
        <w:br/>
        <w:t xml:space="preserve">La classe de qualité suivant [PTV 21-002] est : </w:t>
      </w:r>
      <w:r>
        <w:rPr>
          <w:rStyle w:val="optioncarChar"/>
        </w:rPr>
        <w:t>C4/550 / ***</w:t>
      </w:r>
      <w:r>
        <w:br/>
      </w:r>
      <w:r>
        <w:br/>
        <w:t>La résistance en compression normalisée (f</w:t>
      </w:r>
      <w:r>
        <w:rPr>
          <w:vertAlign w:val="subscript"/>
        </w:rPr>
        <w:t>b</w:t>
      </w:r>
      <w:r>
        <w:t>) / moyenne (f</w:t>
      </w:r>
      <w:r>
        <w:rPr>
          <w:vertAlign w:val="subscript"/>
        </w:rPr>
        <w:t>mean</w:t>
      </w:r>
      <w:r>
        <w:t xml:space="preserve">) suivant [NBN EN 1996 série] est au minimum: </w:t>
      </w:r>
      <w:r>
        <w:rPr>
          <w:rStyle w:val="optioncarChar"/>
        </w:rPr>
        <w:t>4 / ***</w:t>
      </w:r>
      <w:r>
        <w:t xml:space="preserve"> N/mm² (MPa) (classe f</w:t>
      </w:r>
      <w:r>
        <w:rPr>
          <w:rStyle w:val="optioncarChar"/>
        </w:rPr>
        <w:t xml:space="preserve"> ***</w:t>
      </w:r>
      <w:r>
        <w:t xml:space="preserve">) (selon [NBN EN 771-4+A1]).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w:t>
      </w:r>
      <w:r>
        <w:rPr>
          <w:rStyle w:val="optioncarChar"/>
        </w:rPr>
        <w:t>lisse </w:t>
      </w:r>
      <w:r>
        <w:t>(par défaut)</w:t>
      </w:r>
      <w:r>
        <w:rPr>
          <w:rStyle w:val="optioncarChar"/>
        </w:rPr>
        <w:t xml:space="preserve"> /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 xml:space="preserve">(par défaut) </w:t>
      </w:r>
      <w:r>
        <w:rPr>
          <w:rStyle w:val="optioncarChar"/>
        </w:rPr>
        <w:t>/ ***</w:t>
      </w:r>
      <w:r>
        <w:br/>
      </w:r>
      <w:r>
        <w:br/>
        <w:t>Format : (L x l x h) :</w:t>
      </w:r>
      <w:r>
        <w:rPr>
          <w:rStyle w:val="optioncarChar"/>
        </w:rPr>
        <w:t> format modulaire proposé par l'entrepreneur</w:t>
      </w:r>
      <w:r>
        <w:t> (par défaut) </w:t>
      </w:r>
      <w:r>
        <w:rPr>
          <w:rStyle w:val="optioncarChar"/>
        </w:rPr>
        <w:t>/ (600 / 1200 / *** </w:t>
      </w:r>
      <w:r>
        <w:t>x</w:t>
      </w:r>
      <w:r>
        <w:rPr>
          <w:rStyle w:val="optioncarChar"/>
        </w:rPr>
        <w:t xml:space="preserve"> 500 </w:t>
      </w:r>
      <w:r>
        <w:rPr>
          <w:rStyle w:val="optioncarChar"/>
        </w:rPr>
        <w:lastRenderedPageBreak/>
        <w:t>/600 / ***</w:t>
      </w:r>
      <w:r>
        <w:t> x</w:t>
      </w:r>
      <w:r>
        <w:rPr>
          <w:rStyle w:val="optioncarChar"/>
        </w:rPr>
        <w:t> 70 / 100 / 200 / 240 /300 / 365 / ***</w:t>
      </w:r>
      <w:r>
        <w:t> ) mm</w:t>
      </w:r>
      <w:r>
        <w:br/>
        <w:t xml:space="preserve">longueur : </w:t>
      </w:r>
      <w:r>
        <w:rPr>
          <w:rStyle w:val="optioncarChar"/>
        </w:rPr>
        <w:t>600 / 1200 / *** mm / au choix de l'entrepreneur</w:t>
      </w:r>
      <w:r>
        <w:br/>
        <w:t xml:space="preserve">hauteur : </w:t>
      </w:r>
      <w:r>
        <w:rPr>
          <w:rStyle w:val="optioncarChar"/>
        </w:rPr>
        <w:t>500 / 600 / *** mm / au choix de l'entrepreneur</w:t>
      </w:r>
      <w:r>
        <w:br/>
        <w:t xml:space="preserve">largeur : </w:t>
      </w:r>
      <w:r>
        <w:rPr>
          <w:rStyle w:val="optioncarChar"/>
        </w:rPr>
        <w:t>70 / 100 / 200 / 240 / 300 / 365 / ***</w:t>
      </w:r>
      <w:r>
        <w:t xml:space="preserve"> mm </w:t>
      </w:r>
      <w:r>
        <w:br/>
      </w:r>
      <w:r>
        <w:br/>
        <w:t>Stabilité de forme : les éléments en béton cellulaire destinés à un usage extérieur ou en maçonnerie souterraine respectent le critère suivant en matière de comportement à l'humidité : retrait et gonflement hygrométriques ≤ 0.45 mm / m (cf. [NBN EN 772 série] et [NBN EN 680]).</w:t>
      </w:r>
    </w:p>
    <w:p w14:paraId="16B72CE9" w14:textId="77777777" w:rsidR="00DB2B68" w:rsidRDefault="00000000">
      <w:r>
        <w:t xml:space="preserve">Absorption d’eau par capillarité : code A inférieur à </w:t>
      </w:r>
      <w:r>
        <w:rPr>
          <w:rStyle w:val="optioncarChar"/>
        </w:rPr>
        <w:t>4500 g/m² en 10 min </w:t>
      </w:r>
      <w:r>
        <w:t xml:space="preserve">(par défaut) </w:t>
      </w:r>
      <w:r>
        <w:rPr>
          <w:rStyle w:val="optioncarChar"/>
        </w:rPr>
        <w:t>/ 6000 g/m² en 30 min / 8000 g/m² en 90 min</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0C42B5FF" w14:textId="77777777" w:rsidR="00DB2B68" w:rsidRDefault="00000000">
      <w:r>
        <w:t>Coefficient de transmission :</w:t>
      </w:r>
    </w:p>
    <w:p w14:paraId="764CB8D2" w14:textId="77777777" w:rsidR="00DB2B68" w:rsidRDefault="00000000">
      <w:pPr>
        <w:pStyle w:val="Author-eListParagraph"/>
        <w:numPr>
          <w:ilvl w:val="0"/>
          <w:numId w:val="210"/>
        </w:numPr>
      </w:pPr>
      <w:r>
        <w:t xml:space="preserve">valeur U minimale de </w:t>
      </w:r>
      <w:r>
        <w:rPr>
          <w:rStyle w:val="optioncarChar"/>
        </w:rPr>
        <w:t>***</w:t>
      </w:r>
      <w:r>
        <w:t xml:space="preserve"> W/m²K</w:t>
      </w:r>
    </w:p>
    <w:p w14:paraId="785B518A" w14:textId="77777777" w:rsidR="00DB2B68" w:rsidRDefault="00000000">
      <w:pPr>
        <w:pStyle w:val="Author-eListParagraph"/>
        <w:numPr>
          <w:ilvl w:val="0"/>
          <w:numId w:val="21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25401B5" w14:textId="77777777" w:rsidR="00DB2B68" w:rsidRDefault="00000000">
      <w:r>
        <w:br/>
        <w:t xml:space="preserve">Résistance au feu pour les éléments non porteurs avec fonction séparante : </w:t>
      </w:r>
      <w:r>
        <w:rPr>
          <w:rStyle w:val="optioncarChar"/>
        </w:rPr>
        <w:t>EI 30 </w:t>
      </w:r>
      <w:r>
        <w:t>(par défaut)</w:t>
      </w:r>
      <w:r>
        <w:rPr>
          <w:rStyle w:val="optioncarChar"/>
        </w:rPr>
        <w:t xml:space="preserve"> / EI 60/ EI 90 / EI 120 / EI ***</w:t>
      </w:r>
      <w:r>
        <w:br/>
        <w:t>selon les tableaux dans [NBN EN 1996-1-2 ANB]</w:t>
      </w:r>
    </w:p>
    <w:p w14:paraId="4BD27038" w14:textId="77777777" w:rsidR="00DB2B68" w:rsidRDefault="00000000">
      <w:pPr>
        <w:ind w:left="750"/>
      </w:pPr>
      <w:r>
        <w:t> </w:t>
      </w:r>
    </w:p>
    <w:p w14:paraId="6327EAA9" w14:textId="77777777" w:rsidR="00DB2B68" w:rsidRDefault="00000000">
      <w:pPr>
        <w:pStyle w:val="pheading"/>
      </w:pPr>
      <w:r>
        <w:t>- Finitions</w:t>
      </w:r>
    </w:p>
    <w:p w14:paraId="0D6238D4" w14:textId="77777777" w:rsidR="00DB2B68" w:rsidRDefault="00000000">
      <w:pPr>
        <w:pStyle w:val="Author-eListParagraph"/>
        <w:numPr>
          <w:ilvl w:val="0"/>
          <w:numId w:val="211"/>
        </w:numPr>
      </w:pPr>
      <w:r>
        <w:t xml:space="preserve">Les murs suivants sont exécutés avec une face restant apparente : </w:t>
      </w:r>
      <w:r>
        <w:rPr>
          <w:rStyle w:val="optioncarChar"/>
        </w:rPr>
        <w:t>***</w:t>
      </w:r>
    </w:p>
    <w:p w14:paraId="0C2AD1EB" w14:textId="77777777" w:rsidR="00DB2B68" w:rsidRDefault="00000000">
      <w:pPr>
        <w:pStyle w:val="Author-eListParagraph"/>
        <w:numPr>
          <w:ilvl w:val="0"/>
          <w:numId w:val="211"/>
        </w:numPr>
      </w:pPr>
      <w:r>
        <w:t xml:space="preserve">Les murs suivants sont exécutés avec deux faces restant apparentes : </w:t>
      </w:r>
      <w:r>
        <w:rPr>
          <w:rStyle w:val="optioncarChar"/>
        </w:rPr>
        <w:t>***</w:t>
      </w:r>
    </w:p>
    <w:p w14:paraId="61C3E0FD" w14:textId="77777777" w:rsidR="00DB2B68" w:rsidRDefault="00DB2B68"/>
    <w:p w14:paraId="329B21BA" w14:textId="77777777" w:rsidR="00DB2B68" w:rsidRDefault="00000000">
      <w:pPr>
        <w:pStyle w:val="pheading"/>
      </w:pPr>
      <w:r>
        <w:t>- Prescriptions complémentaires</w:t>
      </w:r>
    </w:p>
    <w:p w14:paraId="0469B1EB"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65DB3393" w14:textId="77777777" w:rsidR="00DB2B68" w:rsidRDefault="00000000">
      <w:pPr>
        <w:pStyle w:val="pheading"/>
      </w:pPr>
      <w:r>
        <w:t>MESURAGE</w:t>
      </w:r>
    </w:p>
    <w:p w14:paraId="255678E1" w14:textId="77777777" w:rsidR="00DB2B68" w:rsidRDefault="00000000">
      <w:pPr>
        <w:pStyle w:val="pheading"/>
      </w:pPr>
      <w:r>
        <w:t>- unité de mesure:</w:t>
      </w:r>
    </w:p>
    <w:p w14:paraId="0168077D" w14:textId="77777777" w:rsidR="00DB2B68" w:rsidRDefault="00000000">
      <w:r>
        <w:rPr>
          <w:rStyle w:val="optioncarChar"/>
        </w:rPr>
        <w:t>m³ </w:t>
      </w:r>
      <w:r>
        <w:t>(par défaut)</w:t>
      </w:r>
      <w:r>
        <w:rPr>
          <w:rStyle w:val="optioncarChar"/>
        </w:rPr>
        <w:t> / m²</w:t>
      </w:r>
    </w:p>
    <w:p w14:paraId="0EF3FF49" w14:textId="77777777" w:rsidR="00DB2B68" w:rsidRDefault="00000000">
      <w:r>
        <w:rPr>
          <w:b/>
        </w:rPr>
        <w:t>(soit par défaut)</w:t>
      </w:r>
    </w:p>
    <w:p w14:paraId="419541D4" w14:textId="77777777" w:rsidR="00DB2B68" w:rsidRDefault="00000000">
      <w:r>
        <w:rPr>
          <w:rStyle w:val="soitChar"/>
        </w:rPr>
        <w:t>1. m³</w:t>
      </w:r>
    </w:p>
    <w:p w14:paraId="160B2ABD" w14:textId="77777777" w:rsidR="00DB2B68" w:rsidRDefault="00000000">
      <w:r>
        <w:rPr>
          <w:b/>
        </w:rPr>
        <w:t>(soit)</w:t>
      </w:r>
    </w:p>
    <w:p w14:paraId="45733FD2" w14:textId="77777777" w:rsidR="00DB2B68" w:rsidRDefault="00000000">
      <w:r>
        <w:rPr>
          <w:rStyle w:val="soitChar"/>
        </w:rPr>
        <w:t>2. m²</w:t>
      </w:r>
    </w:p>
    <w:p w14:paraId="716426BD" w14:textId="77777777" w:rsidR="00DB2B68" w:rsidRDefault="00000000">
      <w:pPr>
        <w:pStyle w:val="pheading"/>
      </w:pPr>
      <w:r>
        <w:t>- code de mesurage:</w:t>
      </w:r>
    </w:p>
    <w:p w14:paraId="2A2F1D7E"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C8B35ED" w14:textId="77777777" w:rsidR="00DB2B68" w:rsidRDefault="00000000">
      <w:r>
        <w:lastRenderedPageBreak/>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3A0A60E"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350F42B9" w14:textId="77777777" w:rsidR="00DB2B68" w:rsidRDefault="00000000">
      <w:r>
        <w:rPr>
          <w:rStyle w:val="optioncarChar"/>
        </w:rPr>
        <w:t>Volume net </w:t>
      </w:r>
      <w:r>
        <w:t>(par défaut)</w:t>
      </w:r>
      <w:r>
        <w:rPr>
          <w:rStyle w:val="optioncarChar"/>
        </w:rPr>
        <w:t> / Surface nette</w:t>
      </w:r>
    </w:p>
    <w:p w14:paraId="257F92AB" w14:textId="77777777" w:rsidR="00DB2B68" w:rsidRDefault="00000000">
      <w:r>
        <w:rPr>
          <w:b/>
        </w:rPr>
        <w:t>(soit par défaut)</w:t>
      </w:r>
    </w:p>
    <w:p w14:paraId="2A2A6D55"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8B12D19" w14:textId="77777777" w:rsidR="00DB2B68" w:rsidRDefault="00000000">
      <w:r>
        <w:rPr>
          <w:b/>
        </w:rPr>
        <w:t>(soit)</w:t>
      </w:r>
    </w:p>
    <w:p w14:paraId="001BDC0C"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7D5622B" w14:textId="77777777" w:rsidR="00DB2B68" w:rsidRDefault="00DB2B68"/>
    <w:p w14:paraId="6023F319" w14:textId="77777777" w:rsidR="00DB2B68" w:rsidRDefault="00000000">
      <w:pPr>
        <w:ind w:left="750"/>
      </w:pPr>
      <w:r>
        <w:t> </w:t>
      </w:r>
    </w:p>
    <w:p w14:paraId="5E31E863" w14:textId="77777777" w:rsidR="00DB2B68" w:rsidRDefault="00000000">
      <w:pPr>
        <w:pStyle w:val="pheading"/>
      </w:pPr>
      <w:r>
        <w:t>- nature du marché:</w:t>
      </w:r>
    </w:p>
    <w:p w14:paraId="3BAD03CB" w14:textId="77777777" w:rsidR="00DB2B68" w:rsidRDefault="00000000">
      <w:r>
        <w:t>QF</w:t>
      </w:r>
    </w:p>
    <w:p w14:paraId="777756D0" w14:textId="77777777" w:rsidR="00DB2B68" w:rsidRDefault="00000000">
      <w:pPr>
        <w:pStyle w:val="Author-eSectionHeading5Numberless"/>
      </w:pPr>
      <w:bookmarkStart w:id="190" w:name="_Toc220495329"/>
      <w:r>
        <w:t>21.22.6 Maçonneries non portantes en blocs de plâtre CCTB 01.04</w:t>
      </w:r>
      <w:bookmarkEnd w:id="190"/>
    </w:p>
    <w:p w14:paraId="384A621F" w14:textId="77777777" w:rsidR="00DB2B68" w:rsidRDefault="00000000">
      <w:pPr>
        <w:pStyle w:val="Author-eSectionHeading6Numberless"/>
      </w:pPr>
      <w:bookmarkStart w:id="191" w:name="393"/>
      <w:bookmarkStart w:id="192" w:name="_Toc220495330"/>
      <w:bookmarkEnd w:id="191"/>
      <w:r>
        <w:t>21.22.6a Maçonneries non portantes en blocs de plâtre CCTB 01.11</w:t>
      </w:r>
      <w:bookmarkEnd w:id="192"/>
    </w:p>
    <w:p w14:paraId="18A32325" w14:textId="77777777" w:rsidR="00DB2B68" w:rsidRDefault="00000000">
      <w:pPr>
        <w:pStyle w:val="pheading"/>
      </w:pPr>
      <w:r>
        <w:t>DESCRIPTION</w:t>
      </w:r>
    </w:p>
    <w:p w14:paraId="4587FACA" w14:textId="77777777" w:rsidR="00DB2B68" w:rsidRDefault="00000000">
      <w:pPr>
        <w:pStyle w:val="pheading"/>
      </w:pPr>
      <w:r>
        <w:t>- Définition / Comprend</w:t>
      </w:r>
    </w:p>
    <w:p w14:paraId="0CACE1A4" w14:textId="77777777" w:rsidR="00DB2B68" w:rsidRDefault="00000000">
      <w:r>
        <w:t xml:space="preserve">Il s’agit de la fourniture et la pose de maçonneries non portantes en blocs de plâtre. </w:t>
      </w:r>
      <w:r>
        <w:br/>
        <w:t xml:space="preserve">La portée des travaux est décrite dans l’article </w:t>
      </w:r>
      <w:hyperlink w:anchor="393" w:history="1">
        <w:r>
          <w:rPr>
            <w:color w:val="0000EE"/>
          </w:rPr>
          <w:t>21.22.6 Maçonneries non portantes en blocs de plâtre</w:t>
        </w:r>
      </w:hyperlink>
      <w:r>
        <w:t>.</w:t>
      </w:r>
      <w:r>
        <w:br/>
        <w:t>Les travaux comprennent également la fourniture et la pose des pièces d’angle, de terminaison et de rencontre.</w:t>
      </w:r>
    </w:p>
    <w:p w14:paraId="5F590447" w14:textId="77777777" w:rsidR="00DB2B68" w:rsidRDefault="00000000">
      <w:pPr>
        <w:pStyle w:val="pheading"/>
      </w:pPr>
      <w:r>
        <w:t>- Localisation</w:t>
      </w:r>
    </w:p>
    <w:p w14:paraId="7505FE5E" w14:textId="77777777" w:rsidR="00DB2B68" w:rsidRDefault="00000000">
      <w:r>
        <w:t xml:space="preserve">Blocs ordinaires, la pose est réalisée aux endroits suivants : </w:t>
      </w:r>
      <w:r>
        <w:rPr>
          <w:rStyle w:val="optioncarChar"/>
        </w:rPr>
        <w:t>***</w:t>
      </w:r>
      <w:r>
        <w:t>.</w:t>
      </w:r>
    </w:p>
    <w:p w14:paraId="01FC4F8B" w14:textId="77777777" w:rsidR="00DB2B68" w:rsidRDefault="00000000">
      <w:r>
        <w:t>Blocs hydrofuges : première assise + cloisons complètes dans les salles de bains et les cuisines hors projection d’eau</w:t>
      </w:r>
    </w:p>
    <w:p w14:paraId="4784307B" w14:textId="77777777" w:rsidR="00DB2B68" w:rsidRDefault="00000000">
      <w:r>
        <w:t>Voir plans et métrés détaillés.</w:t>
      </w:r>
    </w:p>
    <w:p w14:paraId="3544C63D" w14:textId="77777777" w:rsidR="00DB2B68" w:rsidRDefault="00000000">
      <w:pPr>
        <w:pStyle w:val="pheading"/>
      </w:pPr>
      <w:r>
        <w:t>MATÉRIAUX</w:t>
      </w:r>
    </w:p>
    <w:p w14:paraId="2A75DDB1" w14:textId="77777777" w:rsidR="00DB2B68" w:rsidRDefault="00000000">
      <w:pPr>
        <w:pStyle w:val="pheading"/>
      </w:pPr>
      <w:r>
        <w:t>- Caractéristiques générales</w:t>
      </w:r>
    </w:p>
    <w:p w14:paraId="06C68660" w14:textId="77777777" w:rsidR="00DB2B68" w:rsidRDefault="00000000">
      <w:r>
        <w:t>Il s'agit de blocs pleins fabriqués en plâtre de bonne qualité et présentant deux faces lisses. Les blocs sont pourvus d'un profil à rainure et languette pour permettre d'effectuer la pose avec précision. Pour les locaux humides, on utilise des blocs hydrofuges, traités avec un produit hydrofuge dans la masse (ceux-ci se distinguent par leur couleur verte) hors projection d’eau (ex : parois douches)</w:t>
      </w:r>
    </w:p>
    <w:p w14:paraId="091DD7C3" w14:textId="77777777" w:rsidR="00DB2B68" w:rsidRDefault="00000000">
      <w:pPr>
        <w:pStyle w:val="heading"/>
      </w:pPr>
      <w:r>
        <w:t>Spécifications</w:t>
      </w:r>
    </w:p>
    <w:p w14:paraId="58EB00DF" w14:textId="77777777" w:rsidR="00DB2B68" w:rsidRDefault="00000000">
      <w:r>
        <w:t xml:space="preserve">Masse volumique : au moins </w:t>
      </w:r>
      <w:r>
        <w:rPr>
          <w:rStyle w:val="optioncarChar"/>
        </w:rPr>
        <w:t>700 </w:t>
      </w:r>
      <w:r>
        <w:t>(par défaut)</w:t>
      </w:r>
      <w:r>
        <w:rPr>
          <w:rStyle w:val="optioncarChar"/>
        </w:rPr>
        <w:t xml:space="preserve"> / 900 / 1100 / 1200 / ***</w:t>
      </w:r>
      <w:r>
        <w:t xml:space="preserve"> kg/m3</w:t>
      </w:r>
    </w:p>
    <w:p w14:paraId="4A8D4B38" w14:textId="77777777" w:rsidR="00DB2B68" w:rsidRDefault="00000000">
      <w:r>
        <w:lastRenderedPageBreak/>
        <w:t xml:space="preserve">Epaisseur du mur : environ </w:t>
      </w:r>
      <w:r>
        <w:rPr>
          <w:rStyle w:val="optioncarChar"/>
        </w:rPr>
        <w:t>6 / 7 / 8 / 10 / *** cm / selon les indications sur les plans et en fonction de la résistance au feu exigée</w:t>
      </w:r>
      <w:r>
        <w:t> (par défaut)</w:t>
      </w:r>
    </w:p>
    <w:p w14:paraId="298B85E0" w14:textId="77777777" w:rsidR="00DB2B68" w:rsidRDefault="00000000">
      <w:r>
        <w:t xml:space="preserve">Résistance au feu : </w:t>
      </w:r>
      <w:r>
        <w:rPr>
          <w:rStyle w:val="optioncarChar"/>
        </w:rPr>
        <w:t>E 30 / E 60 / E *** / EI 30 </w:t>
      </w:r>
      <w:r>
        <w:t>(par défaut)</w:t>
      </w:r>
      <w:r>
        <w:rPr>
          <w:rStyle w:val="optioncarChar"/>
        </w:rPr>
        <w:t xml:space="preserve"> / EI 60 / EI 120 / EI ***</w:t>
      </w:r>
      <w:r>
        <w:t xml:space="preserve"> (remarque : la durée de résistance au feu spécifiée a une influence sur l’épaisseur nominale du mur).</w:t>
      </w:r>
    </w:p>
    <w:p w14:paraId="689BB6BE" w14:textId="77777777" w:rsidR="00DB2B68" w:rsidRDefault="00000000">
      <w:pPr>
        <w:pStyle w:val="pheading"/>
      </w:pPr>
      <w:r>
        <w:t>- Prescriptions complémentaires</w:t>
      </w:r>
    </w:p>
    <w:p w14:paraId="38BE8518" w14:textId="77777777" w:rsidR="00DB2B68" w:rsidRDefault="00000000">
      <w:r>
        <w:t>Les blocs ont obtenu l'agrément technique UBAtc pour l'application concernée.</w:t>
      </w:r>
    </w:p>
    <w:p w14:paraId="0004BD0B" w14:textId="77777777" w:rsidR="00DB2B68" w:rsidRDefault="00000000">
      <w:pPr>
        <w:pStyle w:val="pheading"/>
      </w:pPr>
      <w:r>
        <w:t>EXÉCUTION / MISE EN ŒUVRE</w:t>
      </w:r>
    </w:p>
    <w:p w14:paraId="50D501DF" w14:textId="77777777" w:rsidR="00DB2B68" w:rsidRDefault="00000000">
      <w:pPr>
        <w:pStyle w:val="pheading"/>
      </w:pPr>
      <w:r>
        <w:t>- Prescriptions générales</w:t>
      </w:r>
    </w:p>
    <w:p w14:paraId="16B5AEAB" w14:textId="77777777" w:rsidR="00DB2B68" w:rsidRDefault="00000000">
      <w:r>
        <w:t>Les blocs sont collés en appareil à l'aide d'une colle à base de plâtre. La mise en œuvre de la colle s'effectue conformément aux prescriptions du fabricant. Les blocs sont posés directement sur le sol, dans un mélange composé de 50% de colle et 50% de plâtre.</w:t>
      </w:r>
    </w:p>
    <w:p w14:paraId="52FA919D" w14:textId="77777777" w:rsidR="00DB2B68" w:rsidRDefault="00000000">
      <w:r>
        <w:t>Lorsque l'humidité ascensionnelle est à craindre, on pose d'abord sous le mur une feuille de polyéthylène d'au moins 40 cm. Cette feuille est remontée le long des faces intérieures de façon à dépasser de 2 cm au-dessus du niveau fini du sol.</w:t>
      </w:r>
    </w:p>
    <w:p w14:paraId="71B1166A" w14:textId="77777777" w:rsidR="00DB2B68" w:rsidRDefault="00000000">
      <w:r>
        <w:t>Les jonctions transversales avec la maçonnerie d'élévation portante ou les colonnes en béton sont réalisées à l'aide de pattes d'ancrage adaptées. Lorsque plusieurs cloisons doivent être liaisonnées, les assises successives doivent s'alterner.</w:t>
      </w:r>
    </w:p>
    <w:p w14:paraId="31B5CD4E" w14:textId="77777777" w:rsidR="00DB2B68" w:rsidRDefault="00000000">
      <w:r>
        <w:t>Pour les linteaux de faible portée, on pose à hauteur des baies de portes un support provisoire. Après durcissement complet, l'ouverture exacte est sciée. Pour les portées supérieures à 160 cm, on utilise des linteaux préfabriqués.</w:t>
      </w:r>
    </w:p>
    <w:p w14:paraId="2691F949" w14:textId="77777777" w:rsidR="00DB2B68" w:rsidRDefault="00000000">
      <w:r>
        <w:t xml:space="preserve">La jonction avec le plafond s'effectue par de la </w:t>
      </w:r>
      <w:r>
        <w:rPr>
          <w:rStyle w:val="optioncarChar"/>
        </w:rPr>
        <w:t>bande compressible / mousse de PUR</w:t>
      </w:r>
      <w:r>
        <w:t xml:space="preserve"> : </w:t>
      </w:r>
    </w:p>
    <w:p w14:paraId="49153817" w14:textId="77777777" w:rsidR="00DB2B68" w:rsidRDefault="00000000">
      <w:r>
        <w:rPr>
          <w:b/>
        </w:rPr>
        <w:t>(soit)</w:t>
      </w:r>
    </w:p>
    <w:p w14:paraId="4E15AAA3" w14:textId="77777777" w:rsidR="00DB2B68" w:rsidRDefault="00000000">
      <w:r>
        <w:rPr>
          <w:rStyle w:val="soitChar"/>
          <w:u w:val="single"/>
        </w:rPr>
        <w:t>Bande compressible</w:t>
      </w:r>
      <w:r>
        <w:rPr>
          <w:rStyle w:val="soitChar"/>
        </w:rPr>
        <w:t xml:space="preserve"> : par collage au plafond d'une bande compressible d'au moins 10 mm d'épaisseur.</w:t>
      </w:r>
    </w:p>
    <w:p w14:paraId="304018B7" w14:textId="77777777" w:rsidR="00DB2B68" w:rsidRDefault="00000000">
      <w:r>
        <w:rPr>
          <w:b/>
        </w:rPr>
        <w:t xml:space="preserve">(soit) </w:t>
      </w:r>
    </w:p>
    <w:p w14:paraId="2600F4BB" w14:textId="77777777" w:rsidR="00DB2B68" w:rsidRDefault="00000000">
      <w:r>
        <w:rPr>
          <w:rStyle w:val="soitChar"/>
          <w:u w:val="single"/>
        </w:rPr>
        <w:t>Mousse de PUR</w:t>
      </w:r>
      <w:r>
        <w:rPr>
          <w:rStyle w:val="soitChar"/>
        </w:rPr>
        <w:t xml:space="preserve"> : en remplissant le joint de mousse de PUR dont les débordements seront découpés après durcissement.</w:t>
      </w:r>
    </w:p>
    <w:p w14:paraId="0DB97205" w14:textId="77777777" w:rsidR="00DB2B68" w:rsidRDefault="00000000">
      <w:r>
        <w:t>Les angles sortants sont protégés à l'aide d'une cornière scellée, qui est ensuite enduite à l'aide d'un mélange composé de 50% de colle et 50% de plâtre.</w:t>
      </w:r>
    </w:p>
    <w:p w14:paraId="1E57D341" w14:textId="77777777" w:rsidR="00DB2B68" w:rsidRDefault="00000000">
      <w:r>
        <w:t>Après l'achèvement des joints, la surface est parachevée en appliquant sur toute la surface une colle formant une fine pellicule. Après l'application de cet enduit, les murs doivent être prêts à peindre. Là où des carrelages sont prévus, l'enduit pelliculaire ne peut pas être appliqué.</w:t>
      </w:r>
    </w:p>
    <w:p w14:paraId="2A502940" w14:textId="77777777" w:rsidR="00DB2B68" w:rsidRDefault="00000000">
      <w:pPr>
        <w:pStyle w:val="pheading"/>
      </w:pPr>
      <w:r>
        <w:t>- Notes d’exécution complémentaires</w:t>
      </w:r>
    </w:p>
    <w:p w14:paraId="604B3E69" w14:textId="77777777" w:rsidR="00DB2B68" w:rsidRDefault="00000000">
      <w:r>
        <w:t>Les cloisons construites en blocs collés sont enduites d'un mince enduit pelliculaire conformément à l'article 51.54.3 Enduit à base de plâtre, pelliculaire</w:t>
      </w:r>
    </w:p>
    <w:p w14:paraId="41A62AE5" w14:textId="77777777" w:rsidR="00DB2B68" w:rsidRDefault="00000000">
      <w:pPr>
        <w:pStyle w:val="pheading"/>
      </w:pPr>
      <w:r>
        <w:t>MESURAGE</w:t>
      </w:r>
    </w:p>
    <w:p w14:paraId="1EC86A7C" w14:textId="77777777" w:rsidR="00DB2B68" w:rsidRDefault="00000000">
      <w:pPr>
        <w:pStyle w:val="pheading"/>
      </w:pPr>
      <w:r>
        <w:t>- unité de mesure:</w:t>
      </w:r>
    </w:p>
    <w:p w14:paraId="09A9E1FB" w14:textId="77777777" w:rsidR="00DB2B68" w:rsidRDefault="00000000">
      <w:r>
        <w:rPr>
          <w:rStyle w:val="optioncarChar"/>
        </w:rPr>
        <w:t>m³ </w:t>
      </w:r>
      <w:r>
        <w:t>(par défaut)</w:t>
      </w:r>
      <w:r>
        <w:rPr>
          <w:rStyle w:val="optioncarChar"/>
        </w:rPr>
        <w:t> / m²</w:t>
      </w:r>
    </w:p>
    <w:p w14:paraId="554EFFDF" w14:textId="77777777" w:rsidR="00DB2B68" w:rsidRDefault="00000000">
      <w:r>
        <w:rPr>
          <w:b/>
        </w:rPr>
        <w:t>(soit par défaut)</w:t>
      </w:r>
    </w:p>
    <w:p w14:paraId="52BAF5DD" w14:textId="77777777" w:rsidR="00DB2B68" w:rsidRDefault="00000000">
      <w:r>
        <w:rPr>
          <w:rStyle w:val="soitChar"/>
        </w:rPr>
        <w:t>1. m³</w:t>
      </w:r>
    </w:p>
    <w:p w14:paraId="6976EFAE" w14:textId="77777777" w:rsidR="00DB2B68" w:rsidRDefault="00000000">
      <w:r>
        <w:rPr>
          <w:b/>
        </w:rPr>
        <w:t>(soit)</w:t>
      </w:r>
    </w:p>
    <w:p w14:paraId="12D5E298" w14:textId="77777777" w:rsidR="00DB2B68" w:rsidRDefault="00000000">
      <w:r>
        <w:rPr>
          <w:rStyle w:val="soitChar"/>
        </w:rPr>
        <w:t>2. m²</w:t>
      </w:r>
    </w:p>
    <w:p w14:paraId="3262A8C7" w14:textId="77777777" w:rsidR="00DB2B68" w:rsidRDefault="00000000">
      <w:pPr>
        <w:pStyle w:val="pheading"/>
      </w:pPr>
      <w:r>
        <w:t>- code de mesurage:</w:t>
      </w:r>
    </w:p>
    <w:p w14:paraId="0DF19FAE" w14:textId="77777777" w:rsidR="00DB2B68" w:rsidRDefault="00000000">
      <w:r>
        <w:lastRenderedPageBreak/>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9879155"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0DF296B"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C44C8E8" w14:textId="77777777" w:rsidR="00DB2B68" w:rsidRDefault="00000000">
      <w:r>
        <w:rPr>
          <w:rStyle w:val="optioncarChar"/>
        </w:rPr>
        <w:t>Volume net </w:t>
      </w:r>
      <w:r>
        <w:t>(par défaut)</w:t>
      </w:r>
      <w:r>
        <w:rPr>
          <w:rStyle w:val="optioncarChar"/>
        </w:rPr>
        <w:t> / Surface nette</w:t>
      </w:r>
    </w:p>
    <w:p w14:paraId="75DC60B8" w14:textId="77777777" w:rsidR="00DB2B68" w:rsidRDefault="00000000">
      <w:r>
        <w:rPr>
          <w:b/>
        </w:rPr>
        <w:t>(soit par défaut)</w:t>
      </w:r>
    </w:p>
    <w:p w14:paraId="2277572D"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7581537" w14:textId="77777777" w:rsidR="00DB2B68" w:rsidRDefault="00000000">
      <w:r>
        <w:rPr>
          <w:b/>
        </w:rPr>
        <w:t>(soit)</w:t>
      </w:r>
    </w:p>
    <w:p w14:paraId="6932BDD6"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AA9B94B" w14:textId="77777777" w:rsidR="00DB2B68" w:rsidRDefault="00DB2B68"/>
    <w:p w14:paraId="3C366A6E" w14:textId="77777777" w:rsidR="00DB2B68" w:rsidRDefault="00000000">
      <w:pPr>
        <w:pStyle w:val="pheading"/>
      </w:pPr>
      <w:r>
        <w:t>- nature du marché:</w:t>
      </w:r>
    </w:p>
    <w:p w14:paraId="0E9DE54A" w14:textId="77777777" w:rsidR="00DB2B68" w:rsidRDefault="00000000">
      <w:r>
        <w:t>QF</w:t>
      </w:r>
    </w:p>
    <w:p w14:paraId="5A720DDD" w14:textId="77777777" w:rsidR="00DB2B68" w:rsidRDefault="00000000">
      <w:pPr>
        <w:pStyle w:val="pheading"/>
      </w:pPr>
      <w:r>
        <w:t>AIDE</w:t>
      </w:r>
    </w:p>
    <w:p w14:paraId="648ACA26" w14:textId="77777777" w:rsidR="00DB2B68" w:rsidRDefault="00000000">
      <w:r>
        <w:t>À l'attention de l'auteur de projet</w:t>
      </w:r>
    </w:p>
    <w:p w14:paraId="3B79FF1A" w14:textId="77777777" w:rsidR="00DB2B68" w:rsidRDefault="00000000">
      <w:r>
        <w:t>- Masse volumique inférieure : entre 600 et 800 kg/m3</w:t>
      </w:r>
    </w:p>
    <w:p w14:paraId="523C667B" w14:textId="77777777" w:rsidR="00DB2B68" w:rsidRDefault="00000000">
      <w:r>
        <w:t>- Masse volumique moyenne: entre 800 et 1100 kg/m3</w:t>
      </w:r>
    </w:p>
    <w:p w14:paraId="723454F2" w14:textId="77777777" w:rsidR="00DB2B68" w:rsidRDefault="00000000">
      <w:r>
        <w:t>- Masse volumique supérieure (lourde) : entre 1100 et 1500 kg/m3</w:t>
      </w:r>
    </w:p>
    <w:p w14:paraId="5CABC711" w14:textId="77777777" w:rsidR="00DB2B68" w:rsidRDefault="00000000">
      <w:pPr>
        <w:pStyle w:val="Author-eSectionHeading5Numberless"/>
      </w:pPr>
      <w:bookmarkStart w:id="193" w:name="_Toc220495331"/>
      <w:r>
        <w:t>21.22.7 Maçonneries non portantes en blocs de terre crue CCTB 01.11</w:t>
      </w:r>
      <w:bookmarkEnd w:id="193"/>
    </w:p>
    <w:p w14:paraId="4500BA75" w14:textId="77777777" w:rsidR="00DB2B68" w:rsidRDefault="00000000">
      <w:pPr>
        <w:pStyle w:val="pheading"/>
      </w:pPr>
      <w:r>
        <w:t>DESCRIPTION</w:t>
      </w:r>
    </w:p>
    <w:p w14:paraId="47FDE7D4" w14:textId="77777777" w:rsidR="00DB2B68" w:rsidRDefault="00000000">
      <w:pPr>
        <w:pStyle w:val="pheading"/>
      </w:pPr>
      <w:r>
        <w:t>- Définition / Comprend</w:t>
      </w:r>
    </w:p>
    <w:p w14:paraId="72B39B3C" w14:textId="77777777" w:rsidR="00DB2B68" w:rsidRDefault="00000000">
      <w:pPr>
        <w:jc w:val="both"/>
      </w:pPr>
      <w:r>
        <w:t>Il s'agit de maçonneries non portantes en blocs de terre crue.</w:t>
      </w:r>
    </w:p>
    <w:p w14:paraId="6F574A39" w14:textId="77777777" w:rsidR="00DB2B68" w:rsidRDefault="00000000">
      <w:pPr>
        <w:pStyle w:val="pheading"/>
      </w:pPr>
      <w:r>
        <w:t>MATÉRIAUX</w:t>
      </w:r>
    </w:p>
    <w:p w14:paraId="02C76F9C" w14:textId="77777777" w:rsidR="00DB2B68" w:rsidRDefault="00000000">
      <w:pPr>
        <w:jc w:val="both"/>
      </w:pPr>
      <w:r>
        <w:t>En l’absence de normes propres, les spécifications des blocs sont basées sur la [NBN EN 771-3+A1] et le [PTV 21-001] relatifs aux éléments en béton et les spécifications du mortier sont basées sur la [NBN EN 998-2] et le [PTV 651].</w:t>
      </w:r>
    </w:p>
    <w:p w14:paraId="381173BD" w14:textId="77777777" w:rsidR="00DB2B68" w:rsidRDefault="00000000">
      <w:pPr>
        <w:jc w:val="both"/>
      </w:pPr>
      <w:r>
        <w:t>L'entrepreneur soumet la fiche technique des matériaux (bloc et mortier) pour approbation à l'auteur de projet et au maître de l’ouvrage.</w:t>
      </w:r>
    </w:p>
    <w:p w14:paraId="1091D8C1" w14:textId="77777777" w:rsidR="00DB2B68" w:rsidRDefault="00000000">
      <w:pPr>
        <w:jc w:val="both"/>
      </w:pPr>
      <w:r>
        <w:t>La terre utilisée est issue de sol répondant au [DRW 2013-11-28]. En outre, les terre d’excavation sont conformes aux normes d'assainissements et normes d'intervention (voir [Arrêté du 29/03/2018 du Gouvernement de la Région de Bruxelles-Capitale déterminant les normes d’intervention et les normes d’assainissement].</w:t>
      </w:r>
    </w:p>
    <w:p w14:paraId="46352C58" w14:textId="77777777" w:rsidR="00DB2B68" w:rsidRDefault="00000000">
      <w:pPr>
        <w:pStyle w:val="pheading"/>
      </w:pPr>
      <w:r>
        <w:lastRenderedPageBreak/>
        <w:t>EXÉCUTION / MISE EN ŒUVRE</w:t>
      </w:r>
    </w:p>
    <w:p w14:paraId="00F309B5" w14:textId="77777777" w:rsidR="00DB2B68" w:rsidRDefault="00000000">
      <w:pPr>
        <w:jc w:val="both"/>
      </w:pPr>
      <w:r>
        <w:t>Conformément au mode de mise en œuvre, les blocs en terre crue sont maçonnés selon la documentation technique accompagnant les produits.</w:t>
      </w:r>
    </w:p>
    <w:p w14:paraId="06C82126" w14:textId="77777777" w:rsidR="00DB2B68" w:rsidRDefault="00000000">
      <w:pPr>
        <w:jc w:val="both"/>
      </w:pPr>
      <w:r>
        <w:t>Matériaux de liaison et d'ancrage</w:t>
      </w:r>
    </w:p>
    <w:p w14:paraId="46AC71B7" w14:textId="77777777" w:rsidR="00DB2B68" w:rsidRDefault="00000000">
      <w:pPr>
        <w:pStyle w:val="Author-eListParagraph"/>
        <w:numPr>
          <w:ilvl w:val="0"/>
          <w:numId w:val="212"/>
        </w:numPr>
      </w:pPr>
      <w:r>
        <w:t xml:space="preserve">longueur nominale : </w:t>
      </w:r>
      <w:r>
        <w:rPr>
          <w:rStyle w:val="optioncarChar"/>
        </w:rPr>
        <w:t>***</w:t>
      </w:r>
    </w:p>
    <w:p w14:paraId="609366B0" w14:textId="77777777" w:rsidR="00DB2B68" w:rsidRDefault="00000000">
      <w:pPr>
        <w:pStyle w:val="Author-eListParagraph"/>
        <w:numPr>
          <w:ilvl w:val="0"/>
          <w:numId w:val="212"/>
        </w:numPr>
      </w:pPr>
      <w:r>
        <w:t xml:space="preserve">diamètre : </w:t>
      </w:r>
      <w:r>
        <w:rPr>
          <w:rStyle w:val="optioncarChar"/>
        </w:rPr>
        <w:t>***</w:t>
      </w:r>
    </w:p>
    <w:p w14:paraId="11D750FF" w14:textId="77777777" w:rsidR="00DB2B68" w:rsidRDefault="00000000">
      <w:pPr>
        <w:pStyle w:val="Author-eListParagraph"/>
        <w:numPr>
          <w:ilvl w:val="0"/>
          <w:numId w:val="212"/>
        </w:numPr>
      </w:pPr>
      <w:r>
        <w:t xml:space="preserve">classe d’exposition : </w:t>
      </w:r>
      <w:r>
        <w:rPr>
          <w:rStyle w:val="optioncarChar"/>
        </w:rPr>
        <w:t>MX1 / MX2 / MX3 / MX4 / MX5</w:t>
      </w:r>
    </w:p>
    <w:p w14:paraId="0C4AFF10" w14:textId="77777777" w:rsidR="00DB2B68" w:rsidRDefault="00000000">
      <w:pPr>
        <w:pStyle w:val="Author-eListParagraph"/>
        <w:numPr>
          <w:ilvl w:val="0"/>
          <w:numId w:val="212"/>
        </w:numPr>
      </w:pPr>
      <w: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3427B3AC" w14:textId="77777777" w:rsidR="00DB2B68" w:rsidRDefault="00000000">
      <w:pPr>
        <w:jc w:val="both"/>
      </w:pPr>
      <w:r>
        <w:t xml:space="preserve">Isolation contre l'humidité : </w:t>
      </w:r>
      <w:r>
        <w:rPr>
          <w:rStyle w:val="optioncarChar"/>
        </w:rPr>
        <w:t>membranes en PE </w:t>
      </w:r>
      <w:r>
        <w:t>(par défaut)</w:t>
      </w:r>
      <w:r>
        <w:rPr>
          <w:rStyle w:val="optioncarChar"/>
        </w:rPr>
        <w:t> / ***</w:t>
      </w:r>
      <w:r>
        <w:t xml:space="preserve"> conformément au sous-titre </w:t>
      </w:r>
      <w:hyperlink w:anchor="356" w:history="1">
        <w:r>
          <w:rPr>
            <w:color w:val="0000EE"/>
          </w:rPr>
          <w:t>26.11 Feuilles et membranes d'étanchéité à l'eau</w:t>
        </w:r>
      </w:hyperlink>
      <w:r>
        <w:t xml:space="preserve">. </w:t>
      </w:r>
    </w:p>
    <w:p w14:paraId="7224A36D" w14:textId="77777777" w:rsidR="00DB2B68" w:rsidRDefault="00DB2B68">
      <w:pPr>
        <w:jc w:val="both"/>
      </w:pPr>
    </w:p>
    <w:p w14:paraId="029E738E" w14:textId="77777777" w:rsidR="00DB2B68" w:rsidRDefault="00000000">
      <w:pPr>
        <w:jc w:val="both"/>
      </w:pPr>
      <w:r>
        <w:t xml:space="preserve"> Pour les maçonneries destinées à rester apparentes, seules des blocs non endommagés sont utilisés.</w:t>
      </w:r>
    </w:p>
    <w:p w14:paraId="13C3B1E1" w14:textId="77777777" w:rsidR="00DB2B68" w:rsidRDefault="00000000">
      <w:pPr>
        <w:jc w:val="both"/>
      </w:pPr>
      <w:r>
        <w:t xml:space="preserve">Les segments de murs sont pourvus d'armatures horizontales selon le chapitre </w:t>
      </w:r>
      <w:hyperlink w:anchor="357" w:history="1">
        <w:r>
          <w:rPr>
            <w:color w:val="0000EE"/>
          </w:rPr>
          <w:t>21.41.1 Armatures horizontales pour maçonneries</w:t>
        </w:r>
      </w:hyperlink>
      <w:r>
        <w:t>.</w:t>
      </w:r>
    </w:p>
    <w:p w14:paraId="558BCD6C" w14:textId="77777777" w:rsidR="00DB2B68" w:rsidRDefault="00000000">
      <w:pPr>
        <w:jc w:val="both"/>
      </w:pPr>
      <w:r>
        <w:t xml:space="preserve">Les segments de murs sont pourvus d'armatures verticales selon le chapitre </w:t>
      </w:r>
      <w:hyperlink w:anchor="358" w:history="1">
        <w:r>
          <w:rPr>
            <w:color w:val="0000EE"/>
          </w:rPr>
          <w:t>21.41.2 Armatures verticales pour maçonneries</w:t>
        </w:r>
      </w:hyperlink>
      <w:r>
        <w:t>.</w:t>
      </w:r>
    </w:p>
    <w:p w14:paraId="6F547A0E" w14:textId="77777777" w:rsidR="00DB2B68" w:rsidRDefault="00000000">
      <w:pPr>
        <w:jc w:val="both"/>
      </w:pPr>
      <w:r>
        <w:t xml:space="preserve">Les maçonneries de caves en contact avec les terres sont rendues étanches selon la description au sous-titre </w:t>
      </w:r>
      <w:hyperlink w:anchor="359" w:history="1">
        <w:r>
          <w:rPr>
            <w:color w:val="0000EE"/>
          </w:rPr>
          <w:t>26.12 Traitements d'étanchéisation</w:t>
        </w:r>
      </w:hyperlink>
      <w:r>
        <w:t>.</w:t>
      </w:r>
    </w:p>
    <w:p w14:paraId="16DB526A" w14:textId="77777777" w:rsidR="00DB2B68" w:rsidRDefault="00000000">
      <w:pPr>
        <w:jc w:val="both"/>
      </w:pPr>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76F57290" w14:textId="77777777" w:rsidR="00DB2B68" w:rsidRDefault="00000000">
      <w:pPr>
        <w:pStyle w:val="pheading"/>
      </w:pPr>
      <w:r>
        <w:t>DOCUMENTS DE RÉFÉRENCE</w:t>
      </w:r>
    </w:p>
    <w:p w14:paraId="4138F825" w14:textId="77777777" w:rsidR="00DB2B68" w:rsidRDefault="00000000">
      <w:pPr>
        <w:pStyle w:val="pheading"/>
      </w:pPr>
      <w:r>
        <w:t>- Matériau</w:t>
      </w:r>
    </w:p>
    <w:p w14:paraId="41948AC5" w14:textId="77777777" w:rsidR="00DB2B68" w:rsidRDefault="00000000">
      <w:r>
        <w:rPr>
          <w:color w:val="000000"/>
        </w:rPr>
        <w:t>[NBN EN 771-3+A1, Spécifications pour éléments de maçonnerie - Partie 3: Éléments de maçonnerie en béton de granulats (granulats courants et légers)]</w:t>
      </w:r>
    </w:p>
    <w:p w14:paraId="7A9C6D8C" w14:textId="77777777" w:rsidR="00DB2B68" w:rsidRDefault="00000000">
      <w:r>
        <w:rPr>
          <w:color w:val="000000"/>
        </w:rPr>
        <w:t>[PTV 21-001, Eléments de maçonnerie en béton (granulats courants et légers) - Classification et spécifications d'application]</w:t>
      </w:r>
    </w:p>
    <w:p w14:paraId="5E2386B9" w14:textId="77777777" w:rsidR="00DB2B68" w:rsidRDefault="00000000">
      <w:r>
        <w:rPr>
          <w:color w:val="000000"/>
        </w:rPr>
        <w:t>[NBN EN 998-2, Définitions et spécifications des mortiers pour maçonnerie - Partie 2: Mortiers de montage des éléments de maçonnerie]</w:t>
      </w:r>
    </w:p>
    <w:p w14:paraId="13F45295" w14:textId="77777777" w:rsidR="00DB2B68" w:rsidRDefault="00000000">
      <w:r>
        <w:rPr>
          <w:color w:val="000000"/>
        </w:rPr>
        <w:t>[PTV 651, Mortier de maçonnerie et mortier de jointoyage]</w:t>
      </w:r>
    </w:p>
    <w:p w14:paraId="1F10DCC5" w14:textId="77777777" w:rsidR="00DB2B68" w:rsidRDefault="00000000">
      <w:r>
        <w:rPr>
          <w:color w:val="000000"/>
        </w:rPr>
        <w:t>[CRATerre, CRATerre - Traité de construction en terre]</w:t>
      </w:r>
    </w:p>
    <w:p w14:paraId="64F245B5" w14:textId="77777777" w:rsidR="00DB2B68" w:rsidRDefault="00000000">
      <w:r>
        <w:rPr>
          <w:color w:val="000000"/>
        </w:rPr>
        <w:t>[Moniteur Terre crue, Röhlen / Ziegert - Construire en terre crue: Construction - Rénovation - Finitions]</w:t>
      </w:r>
    </w:p>
    <w:p w14:paraId="3D693048" w14:textId="77777777" w:rsidR="00DB2B68" w:rsidRDefault="00000000">
      <w:r>
        <w:t>[DRW 2018-03-01, Décret relatif à la gestion et à l'assainissement des sols]</w:t>
      </w:r>
    </w:p>
    <w:p w14:paraId="076E19D8" w14:textId="77777777" w:rsidR="00DB2B68" w:rsidRDefault="00DB2B68"/>
    <w:p w14:paraId="25E22539" w14:textId="77777777" w:rsidR="00DB2B68" w:rsidRDefault="00000000">
      <w:r>
        <w:rPr>
          <w:color w:val="000000"/>
        </w:rPr>
        <w:t>[DIN 18945, Earth blocks - Requirements, test and labelling]</w:t>
      </w:r>
    </w:p>
    <w:p w14:paraId="6FBAC68F" w14:textId="77777777" w:rsidR="00DB2B68" w:rsidRDefault="00000000">
      <w:r>
        <w:rPr>
          <w:color w:val="000000"/>
        </w:rPr>
        <w:t>[DIN 18946, Earth masonry mortar - Requirements, test and labelling]</w:t>
      </w:r>
    </w:p>
    <w:p w14:paraId="6B604765" w14:textId="77777777" w:rsidR="00DB2B68" w:rsidRDefault="00000000">
      <w:pPr>
        <w:pStyle w:val="pheading"/>
      </w:pPr>
      <w:r>
        <w:t>- Exécution</w:t>
      </w:r>
    </w:p>
    <w:p w14:paraId="679FD9D0" w14:textId="77777777" w:rsidR="00DB2B68" w:rsidRDefault="00000000">
      <w:r>
        <w:rPr>
          <w:color w:val="000000"/>
        </w:rPr>
        <w:t>[CRATerre, CRATerre - Traité de construction en terre]</w:t>
      </w:r>
    </w:p>
    <w:p w14:paraId="7A73DE98" w14:textId="77777777" w:rsidR="00DB2B68" w:rsidRDefault="00000000">
      <w:r>
        <w:rPr>
          <w:color w:val="000000"/>
        </w:rPr>
        <w:t>[Moniteur Terre crue, Röhlen / Ziegert - Construire en terre crue: Construction - Rénovation - Finitions]</w:t>
      </w:r>
    </w:p>
    <w:p w14:paraId="4A2F6BD9" w14:textId="77777777" w:rsidR="00DB2B68" w:rsidRDefault="00000000">
      <w:pPr>
        <w:pStyle w:val="Author-eSectionHeading6Numberless"/>
      </w:pPr>
      <w:bookmarkStart w:id="194" w:name="_Toc220495332"/>
      <w:r>
        <w:t>21.22.7a Maçonneries non portantes en blocs de terre crue à maçonner CCTB 01.11</w:t>
      </w:r>
      <w:bookmarkEnd w:id="194"/>
    </w:p>
    <w:p w14:paraId="18493CC6" w14:textId="77777777" w:rsidR="00DB2B68" w:rsidRDefault="00000000">
      <w:pPr>
        <w:pStyle w:val="pheading"/>
      </w:pPr>
      <w:r>
        <w:t>DESCRIPTION</w:t>
      </w:r>
    </w:p>
    <w:p w14:paraId="4CAD42B5" w14:textId="77777777" w:rsidR="00DB2B68" w:rsidRDefault="00000000">
      <w:pPr>
        <w:pStyle w:val="pheading"/>
      </w:pPr>
      <w:r>
        <w:lastRenderedPageBreak/>
        <w:t>- Définition / Comprend</w:t>
      </w:r>
    </w:p>
    <w:p w14:paraId="2DE4FE3C" w14:textId="77777777" w:rsidR="00DB2B68" w:rsidRDefault="00000000">
      <w:pPr>
        <w:jc w:val="both"/>
      </w:pPr>
      <w:r>
        <w:t>Il s’agit de la fourniture et la pose de maçonneries non portantes en blocs de terre crue à maçonner.</w:t>
      </w:r>
    </w:p>
    <w:p w14:paraId="44FA0D87" w14:textId="77777777" w:rsidR="00DB2B68" w:rsidRDefault="00000000">
      <w:pPr>
        <w:jc w:val="both"/>
      </w:pPr>
      <w:r>
        <w:t xml:space="preserve">La portée des travaux est décrite dans l’élément </w:t>
      </w:r>
      <w:hyperlink w:anchor="383" w:history="1">
        <w:r>
          <w:rPr>
            <w:color w:val="0000EE"/>
          </w:rPr>
          <w:t>21.2 Maçonneries non portantes</w:t>
        </w:r>
      </w:hyperlink>
      <w:r>
        <w:t>.</w:t>
      </w:r>
    </w:p>
    <w:p w14:paraId="47E5C3B1" w14:textId="77777777" w:rsidR="00DB2B68" w:rsidRDefault="00000000">
      <w:pPr>
        <w:pStyle w:val="pheading"/>
      </w:pPr>
      <w:r>
        <w:t>- Localisation</w:t>
      </w:r>
    </w:p>
    <w:p w14:paraId="54913A5C" w14:textId="77777777" w:rsidR="00DB2B68" w:rsidRDefault="00000000">
      <w:r>
        <w:t>Localisation des travaux : </w:t>
      </w:r>
      <w:r>
        <w:rPr>
          <w:rStyle w:val="optioncarChar"/>
        </w:rPr>
        <w:t>***</w:t>
      </w:r>
      <w:r>
        <w:t>.</w:t>
      </w:r>
    </w:p>
    <w:p w14:paraId="6278CC30" w14:textId="77777777" w:rsidR="00DB2B68" w:rsidRDefault="00000000">
      <w:r>
        <w:t>Voir plans et métrés détaillés.</w:t>
      </w:r>
    </w:p>
    <w:p w14:paraId="4F3E3570" w14:textId="77777777" w:rsidR="00DB2B68" w:rsidRDefault="00000000">
      <w:pPr>
        <w:pStyle w:val="pheading"/>
      </w:pPr>
      <w:r>
        <w:t>MATÉRIAUX</w:t>
      </w:r>
    </w:p>
    <w:p w14:paraId="2094E806" w14:textId="77777777" w:rsidR="00DB2B68" w:rsidRDefault="00000000">
      <w:pPr>
        <w:pStyle w:val="pheading"/>
      </w:pPr>
      <w:r>
        <w:t>- Caractéristiques générales</w:t>
      </w:r>
    </w:p>
    <w:p w14:paraId="0B95FBF5" w14:textId="77777777" w:rsidR="00DB2B68" w:rsidRDefault="00000000">
      <w:pPr>
        <w:jc w:val="both"/>
      </w:pPr>
      <w:r>
        <w:rPr>
          <w:rStyle w:val="headingChar"/>
        </w:rPr>
        <w:t>Spécification</w:t>
      </w:r>
    </w:p>
    <w:p w14:paraId="13EFAE50" w14:textId="77777777" w:rsidR="00DB2B68" w:rsidRDefault="00000000">
      <w:pPr>
        <w:jc w:val="both"/>
      </w:pPr>
      <w:r>
        <w:rPr>
          <w:u w:val="single"/>
        </w:rPr>
        <w:t>Blocs</w:t>
      </w:r>
    </w:p>
    <w:p w14:paraId="6CFEF167" w14:textId="77777777" w:rsidR="00DB2B68" w:rsidRDefault="00000000">
      <w:pPr>
        <w:jc w:val="both"/>
      </w:pPr>
      <w:r>
        <w:t>Code d’identification du type de bloc de maçonnerie suivant [PTV 21-001] : </w:t>
      </w:r>
      <w:r>
        <w:rPr>
          <w:rStyle w:val="optioncarChar"/>
        </w:rPr>
        <w:t>A1 / A2 / B1 / B2 / C / D</w:t>
      </w:r>
    </w:p>
    <w:p w14:paraId="0B7FDB0E" w14:textId="77777777" w:rsidR="00DB2B68" w:rsidRDefault="00000000">
      <w:pPr>
        <w:jc w:val="both"/>
      </w:pPr>
      <w:r>
        <w:t>Format (Lxlxh) mm :</w:t>
      </w:r>
      <w:r>
        <w:rPr>
          <w:rStyle w:val="optioncarChar"/>
        </w:rPr>
        <w:t> *** x *** x *** / format modulaire proposé par l'entrepreneur</w:t>
      </w:r>
      <w:r>
        <w:t> (par défaut)</w:t>
      </w:r>
    </w:p>
    <w:p w14:paraId="43036B72" w14:textId="77777777" w:rsidR="00DB2B68" w:rsidRDefault="00000000">
      <w:pPr>
        <w:jc w:val="both"/>
      </w:pPr>
      <w:r>
        <w:t>Face qui reste visible : </w:t>
      </w:r>
      <w:r>
        <w:rPr>
          <w:rStyle w:val="optioncarChar"/>
        </w:rPr>
        <w:t>lisse </w:t>
      </w:r>
      <w:r>
        <w:t>(par défaut)</w:t>
      </w:r>
      <w:r>
        <w:rPr>
          <w:rStyle w:val="optioncarChar"/>
        </w:rPr>
        <w:t xml:space="preserve"> / ***</w:t>
      </w:r>
    </w:p>
    <w:p w14:paraId="753DD990" w14:textId="77777777" w:rsidR="00DB2B68" w:rsidRDefault="00000000">
      <w:pPr>
        <w:jc w:val="both"/>
      </w:pPr>
      <w:r>
        <w:t>Mode de fabrication :</w:t>
      </w:r>
      <w:r>
        <w:rPr>
          <w:rStyle w:val="optioncarChar"/>
        </w:rPr>
        <w:t> moulée à la main / moulée à la presse / compressée / étirée</w:t>
      </w:r>
    </w:p>
    <w:p w14:paraId="60D071C1" w14:textId="77777777" w:rsidR="00DB2B68" w:rsidRDefault="00000000">
      <w:pPr>
        <w:jc w:val="both"/>
      </w:pPr>
      <w:r>
        <w:t>Granulats : </w:t>
      </w:r>
      <w:r>
        <w:rPr>
          <w:rStyle w:val="optioncarChar"/>
        </w:rPr>
        <w:t>pas de granulat</w:t>
      </w:r>
      <w:r>
        <w:t> (par défaut) </w:t>
      </w:r>
      <w:r>
        <w:rPr>
          <w:rStyle w:val="optioncarChar"/>
        </w:rPr>
        <w:t>/ minéraux / minéraux et végétaux / végétaux / ***</w:t>
      </w:r>
    </w:p>
    <w:p w14:paraId="37A8F07A" w14:textId="77777777" w:rsidR="00DB2B68" w:rsidRDefault="00000000">
      <w:pPr>
        <w:jc w:val="both"/>
      </w:pPr>
      <w:r>
        <w:t>Description des granulats : </w:t>
      </w:r>
      <w:r>
        <w:rPr>
          <w:rStyle w:val="optioncarChar"/>
        </w:rPr>
        <w:t>***</w:t>
      </w:r>
      <w:r>
        <w:t>.</w:t>
      </w:r>
    </w:p>
    <w:p w14:paraId="671E395B" w14:textId="77777777" w:rsidR="00DB2B68" w:rsidRDefault="00000000">
      <w:pPr>
        <w:jc w:val="both"/>
      </w:pPr>
      <w:r>
        <w:t>Stabilisation des blocs : </w:t>
      </w:r>
      <w:r>
        <w:rPr>
          <w:rStyle w:val="optioncarChar"/>
        </w:rPr>
        <w:t>oui / non.</w:t>
      </w:r>
    </w:p>
    <w:p w14:paraId="0D8B4B60" w14:textId="77777777" w:rsidR="00DB2B68" w:rsidRDefault="00000000">
      <w:pPr>
        <w:jc w:val="both"/>
      </w:pPr>
      <w:r>
        <w:t>Mode de stabilisation des blocs le cas échéant : </w:t>
      </w:r>
      <w:r>
        <w:rPr>
          <w:rStyle w:val="optioncarChar"/>
        </w:rPr>
        <w:t xml:space="preserve">au ciment </w:t>
      </w:r>
      <w:r>
        <w:t>(par défaut) </w:t>
      </w:r>
      <w:r>
        <w:rPr>
          <w:rStyle w:val="optioncarChar"/>
        </w:rPr>
        <w:t>/ à la chaux / ***</w:t>
      </w:r>
    </w:p>
    <w:p w14:paraId="33D76A42" w14:textId="77777777" w:rsidR="00DB2B68" w:rsidRDefault="00000000">
      <w:pPr>
        <w:jc w:val="both"/>
      </w:pPr>
      <w:r>
        <w:rPr>
          <w:b/>
        </w:rPr>
        <w:t>(soit)</w:t>
      </w:r>
    </w:p>
    <w:p w14:paraId="6A142B48" w14:textId="77777777" w:rsidR="00DB2B68" w:rsidRDefault="00000000">
      <w:pPr>
        <w:jc w:val="both"/>
      </w:pPr>
      <w:r>
        <w:rPr>
          <w:rStyle w:val="soitChar"/>
          <w:u w:val="single"/>
        </w:rPr>
        <w:t>Au ciment</w:t>
      </w:r>
      <w:r>
        <w:rPr>
          <w:rStyle w:val="soitChar"/>
        </w:rPr>
        <w:t>, dosage : min</w:t>
      </w:r>
      <w:r>
        <w:t> </w:t>
      </w:r>
      <w:r>
        <w:rPr>
          <w:rStyle w:val="optioncarChar"/>
        </w:rPr>
        <w:t>***</w:t>
      </w:r>
      <w:r>
        <w:t> </w:t>
      </w:r>
      <w:r>
        <w:rPr>
          <w:rStyle w:val="soitChar"/>
        </w:rPr>
        <w:t>% de ciment</w:t>
      </w:r>
    </w:p>
    <w:p w14:paraId="22CD6A09" w14:textId="77777777" w:rsidR="00DB2B68" w:rsidRDefault="00000000">
      <w:pPr>
        <w:jc w:val="both"/>
      </w:pPr>
      <w:r>
        <w:rPr>
          <w:b/>
        </w:rPr>
        <w:t>(soit)</w:t>
      </w:r>
    </w:p>
    <w:p w14:paraId="3D699EEE" w14:textId="77777777" w:rsidR="00DB2B68" w:rsidRDefault="00000000">
      <w:pPr>
        <w:jc w:val="both"/>
      </w:pPr>
      <w:r>
        <w:rPr>
          <w:rStyle w:val="soitChar"/>
          <w:u w:val="single"/>
        </w:rPr>
        <w:t xml:space="preserve">A la chaux   </w:t>
      </w:r>
      <w:r>
        <w:rPr>
          <w:rStyle w:val="soitChar"/>
        </w:rPr>
        <w:t>, dosage : min </w:t>
      </w:r>
      <w:r>
        <w:rPr>
          <w:rStyle w:val="optioncarChar"/>
        </w:rPr>
        <w:t>***</w:t>
      </w:r>
      <w:r>
        <w:t> </w:t>
      </w:r>
      <w:r>
        <w:rPr>
          <w:rStyle w:val="soitChar"/>
        </w:rPr>
        <w:t>% de chaux</w:t>
      </w:r>
    </w:p>
    <w:p w14:paraId="1802EB20" w14:textId="77777777" w:rsidR="00DB2B68" w:rsidRDefault="00000000">
      <w:pPr>
        <w:jc w:val="both"/>
      </w:pPr>
      <w:r>
        <w:rPr>
          <w:b/>
        </w:rPr>
        <w:t>(soit)</w:t>
      </w:r>
    </w:p>
    <w:p w14:paraId="4302FC39" w14:textId="77777777" w:rsidR="00DB2B68" w:rsidRDefault="00000000">
      <w:pPr>
        <w:jc w:val="both"/>
      </w:pPr>
      <w:r>
        <w:rPr>
          <w:rStyle w:val="optioncarChar"/>
        </w:rPr>
        <w:t>***</w:t>
      </w:r>
    </w:p>
    <w:p w14:paraId="6492E920" w14:textId="77777777" w:rsidR="00DB2B68" w:rsidRDefault="00000000">
      <w:pPr>
        <w:jc w:val="both"/>
      </w:pPr>
      <w:r>
        <w:t>Résistance à la compression [NBN EN 772-1+A1] </w:t>
      </w:r>
      <w:r>
        <w:rPr>
          <w:rStyle w:val="optioncarChar"/>
        </w:rPr>
        <w:t>moyenne </w:t>
      </w:r>
      <w:r>
        <w:t xml:space="preserve">(par défaut) </w:t>
      </w:r>
      <w:r>
        <w:rPr>
          <w:rStyle w:val="optioncarChar"/>
        </w:rPr>
        <w:t>/ normalisée (f</w:t>
      </w:r>
      <w:r>
        <w:rPr>
          <w:rStyle w:val="optioncarChar"/>
          <w:vertAlign w:val="subscript"/>
        </w:rPr>
        <w:t>b</w:t>
      </w:r>
      <w:r>
        <w:rPr>
          <w:rStyle w:val="optioncarChar"/>
        </w:rPr>
        <w:t>)</w:t>
      </w:r>
      <w:r>
        <w:t> : ≥ </w:t>
      </w:r>
      <w:r>
        <w:rPr>
          <w:rStyle w:val="optioncarChar"/>
        </w:rPr>
        <w:t>***</w:t>
      </w:r>
      <w:r>
        <w:t> N/mm²</w:t>
      </w:r>
    </w:p>
    <w:p w14:paraId="73066955" w14:textId="77777777" w:rsidR="00DB2B68" w:rsidRDefault="00000000">
      <w:pPr>
        <w:jc w:val="both"/>
      </w:pPr>
      <w:r>
        <w:t>Résistance à la compression à l’état humide (conservation 48h par immersion dans l’eau puis essai selon [NBN EN 772-1+A1]) : </w:t>
      </w:r>
      <w:r>
        <w:rPr>
          <w:rStyle w:val="optioncarChar"/>
        </w:rPr>
        <w:t>≥ *** N/mm² / non spécifié</w:t>
      </w:r>
    </w:p>
    <w:p w14:paraId="5803D39E" w14:textId="77777777" w:rsidR="00DB2B68" w:rsidRDefault="00000000">
      <w:pPr>
        <w:jc w:val="both"/>
      </w:pPr>
      <w:r>
        <w:t>Masse volumique apparente selon la [NBN EN 772-13] : </w:t>
      </w:r>
      <w:r>
        <w:rPr>
          <w:rStyle w:val="optioncarChar"/>
        </w:rPr>
        <w:t>***</w:t>
      </w:r>
      <w:r>
        <w:t> kg / m³</w:t>
      </w:r>
    </w:p>
    <w:p w14:paraId="25DA4A6A" w14:textId="77777777" w:rsidR="00DB2B68" w:rsidRDefault="00000000">
      <w:pPr>
        <w:jc w:val="both"/>
      </w:pPr>
      <w:r>
        <w:t>Teneur en humidité à la sortie d’usine : </w:t>
      </w:r>
      <w:r>
        <w:rPr>
          <w:rStyle w:val="optioncarChar"/>
        </w:rPr>
        <w:t>≤ *** % / non-spécifié</w:t>
      </w:r>
    </w:p>
    <w:p w14:paraId="42657B35" w14:textId="77777777" w:rsidR="00DB2B68" w:rsidRDefault="00000000">
      <w:pPr>
        <w:jc w:val="both"/>
      </w:pPr>
      <w:r>
        <w:t>Absorption capillaire de la face de parement (à 10 min) selon [NBN EN 772-11] : </w:t>
      </w:r>
      <w:r>
        <w:rPr>
          <w:rStyle w:val="optioncarChar"/>
        </w:rPr>
        <w:t>≤ *** g/m²s / non spécifié</w:t>
      </w:r>
    </w:p>
    <w:p w14:paraId="4A346AA8" w14:textId="77777777" w:rsidR="00DB2B68" w:rsidRDefault="00000000">
      <w:pPr>
        <w:jc w:val="both"/>
      </w:pPr>
      <w:r>
        <w:t>Taux initial d’absorption d’eau de la face de pose (à 1 min) selon [NBN EN 772-11] : </w:t>
      </w:r>
      <w:r>
        <w:rPr>
          <w:rStyle w:val="optioncarChar"/>
        </w:rPr>
        <w:t>≤ *** kg/m²min / non spécifié</w:t>
      </w:r>
    </w:p>
    <w:p w14:paraId="57EC9708" w14:textId="77777777" w:rsidR="00DB2B68" w:rsidRDefault="00000000">
      <w:pPr>
        <w:jc w:val="both"/>
      </w:pPr>
      <w:r>
        <w:t>Amplitude des déformations hygrométriques (retrait – gonflement) selon [NBN EN 772-14] : </w:t>
      </w:r>
      <w:r>
        <w:rPr>
          <w:rStyle w:val="optioncarChar"/>
        </w:rPr>
        <w:t>≤ *** mm/m / non spécifié.</w:t>
      </w:r>
    </w:p>
    <w:p w14:paraId="2A6AEC3E" w14:textId="77777777" w:rsidR="00DB2B68" w:rsidRDefault="00000000">
      <w:pPr>
        <w:jc w:val="both"/>
      </w:pPr>
      <w:r>
        <w:t>Les éléments destinés à un usage extérieur ou en maçonnerie souterraine respectent le critère suivant en matière de comportement à l'humidité : retrait et gonflement hygrométriques ≤ 0.45 mm / m.</w:t>
      </w:r>
    </w:p>
    <w:p w14:paraId="62F5D44C" w14:textId="77777777" w:rsidR="00DB2B68" w:rsidRDefault="00000000">
      <w:pPr>
        <w:jc w:val="both"/>
      </w:pPr>
      <w:r>
        <w:t>Valeur µ selon [NBN EN ISO 12572] : </w:t>
      </w:r>
      <w:r>
        <w:rPr>
          <w:rStyle w:val="optioncarChar"/>
        </w:rPr>
        <w:t>*** / non spécifié</w:t>
      </w:r>
    </w:p>
    <w:p w14:paraId="0BDE5648" w14:textId="77777777" w:rsidR="00DB2B68" w:rsidRDefault="00000000">
      <w:pPr>
        <w:jc w:val="both"/>
      </w:pPr>
      <w:r>
        <w:t>Résistance au gel selon [NBN B 15-231] : </w:t>
      </w:r>
      <w:r>
        <w:rPr>
          <w:rStyle w:val="optioncarChar"/>
        </w:rPr>
        <w:t>résistant / non spécifié</w:t>
      </w:r>
    </w:p>
    <w:p w14:paraId="6BA0C67F" w14:textId="77777777" w:rsidR="00DB2B68" w:rsidRDefault="00000000">
      <w:pPr>
        <w:jc w:val="both"/>
      </w:pPr>
      <w:r>
        <w:lastRenderedPageBreak/>
        <w:t>La conductibilité thermique λ</w:t>
      </w:r>
      <w:r>
        <w:rPr>
          <w:vertAlign w:val="subscript"/>
        </w:rPr>
        <w:t>D</w:t>
      </w:r>
      <w:r>
        <w:t> est compatible avec la valeur U prescrite pour la paroi ; λ</w:t>
      </w:r>
      <w:r>
        <w:rPr>
          <w:vertAlign w:val="subscript"/>
        </w:rPr>
        <w:t>D</w:t>
      </w:r>
      <w:r>
        <w:t> : ≤</w:t>
      </w:r>
      <w:r>
        <w:rPr>
          <w:rStyle w:val="optioncarChar"/>
        </w:rPr>
        <w:t> ***</w:t>
      </w:r>
      <w:r>
        <w:t> W/mK.</w:t>
      </w:r>
    </w:p>
    <w:p w14:paraId="11EBD4C6" w14:textId="77777777" w:rsidR="00DB2B68" w:rsidRDefault="00000000">
      <w:pPr>
        <w:jc w:val="both"/>
      </w:pPr>
      <w:r>
        <w:t>Chaleur spécifique : </w:t>
      </w:r>
      <w:r>
        <w:rPr>
          <w:rStyle w:val="optioncarChar"/>
        </w:rPr>
        <w:t>*** J/kg K / non spécifié</w:t>
      </w:r>
    </w:p>
    <w:p w14:paraId="1F4E734B" w14:textId="77777777" w:rsidR="00DB2B68" w:rsidRDefault="00000000">
      <w:pPr>
        <w:jc w:val="both"/>
      </w:pPr>
      <w:r>
        <w:t>Réaction au feu : </w:t>
      </w:r>
      <w:r>
        <w:rPr>
          <w:rStyle w:val="optioncarChar"/>
        </w:rPr>
        <w:t>***</w:t>
      </w:r>
    </w:p>
    <w:p w14:paraId="1FA9C30A" w14:textId="77777777" w:rsidR="00DB2B68" w:rsidRDefault="00000000">
      <w:pPr>
        <w:jc w:val="both"/>
      </w:pPr>
      <w:r>
        <w:t>Emission de COV : </w:t>
      </w:r>
      <w:r>
        <w:rPr>
          <w:rStyle w:val="optioncarChar"/>
        </w:rPr>
        <w:t>≤ *** / non spécifié</w:t>
      </w:r>
    </w:p>
    <w:p w14:paraId="4EAC125A" w14:textId="77777777" w:rsidR="00DB2B68" w:rsidRDefault="00000000">
      <w:pPr>
        <w:jc w:val="both"/>
      </w:pPr>
      <w:r>
        <w:t> </w:t>
      </w:r>
    </w:p>
    <w:p w14:paraId="3A48D79E" w14:textId="77777777" w:rsidR="00DB2B68" w:rsidRDefault="00000000">
      <w:pPr>
        <w:jc w:val="both"/>
      </w:pPr>
      <w:r>
        <w:rPr>
          <w:u w:val="single"/>
        </w:rPr>
        <w:t>Mortier</w:t>
      </w:r>
    </w:p>
    <w:p w14:paraId="1784A8D5" w14:textId="77777777" w:rsidR="00DB2B68" w:rsidRDefault="00000000">
      <w:pPr>
        <w:jc w:val="both"/>
      </w:pPr>
      <w:r>
        <w:t>Type : </w:t>
      </w:r>
      <w:r>
        <w:rPr>
          <w:rStyle w:val="optioncarChar"/>
        </w:rPr>
        <w:t>mortier en terre crue / mortier en terre crue stabilisée au ciment </w:t>
      </w:r>
      <w:r>
        <w:t>(par défaut)</w:t>
      </w:r>
      <w:r>
        <w:rPr>
          <w:rStyle w:val="optioncarChar"/>
        </w:rPr>
        <w:t xml:space="preserve"> / mortier en terre crue stabilisée à la chaux / mortier à la chaux hydraulique</w:t>
      </w:r>
      <w:r>
        <w:t>.</w:t>
      </w:r>
    </w:p>
    <w:p w14:paraId="574DC473" w14:textId="77777777" w:rsidR="00DB2B68" w:rsidRDefault="00000000">
      <w:pPr>
        <w:jc w:val="both"/>
      </w:pPr>
      <w:r>
        <w:t>Masse volumique apparente selon [NBN EN 1015-10] :</w:t>
      </w:r>
      <w:r>
        <w:rPr>
          <w:rStyle w:val="optioncarChar"/>
        </w:rPr>
        <w:t> ***</w:t>
      </w:r>
      <w:r>
        <w:t> kg/m³</w:t>
      </w:r>
    </w:p>
    <w:p w14:paraId="5D765E25" w14:textId="77777777" w:rsidR="00DB2B68" w:rsidRDefault="00000000">
      <w:pPr>
        <w:jc w:val="both"/>
      </w:pPr>
      <w:r>
        <w:t>Résistance en compression selon [NBN EN 1015-11] : ≥ </w:t>
      </w:r>
      <w:r>
        <w:rPr>
          <w:rStyle w:val="optioncarChar"/>
        </w:rPr>
        <w:t>***</w:t>
      </w:r>
      <w:r>
        <w:t> N/mm²</w:t>
      </w:r>
    </w:p>
    <w:p w14:paraId="2106A0A3" w14:textId="77777777" w:rsidR="00DB2B68" w:rsidRDefault="00000000">
      <w:pPr>
        <w:jc w:val="both"/>
      </w:pPr>
      <w:r>
        <w:t>Absorption d’eau selon [NBN EN 1015-18]] :</w:t>
      </w:r>
      <w:r>
        <w:rPr>
          <w:rStyle w:val="optioncarChar"/>
        </w:rPr>
        <w:t> ***</w:t>
      </w:r>
      <w:r>
        <w:t> kg/m²</w:t>
      </w:r>
    </w:p>
    <w:p w14:paraId="164D55F9" w14:textId="77777777" w:rsidR="00DB2B68" w:rsidRDefault="00000000">
      <w:pPr>
        <w:jc w:val="both"/>
      </w:pPr>
      <w:r>
        <w:t>Adhérence  - Résistance initiale au cisaillement f</w:t>
      </w:r>
      <w:r>
        <w:rPr>
          <w:vertAlign w:val="subscript"/>
        </w:rPr>
        <w:t>vk0</w:t>
      </w:r>
      <w:r>
        <w:t> selon la [NBN EN 1052-3] : ≥</w:t>
      </w:r>
      <w:r>
        <w:rPr>
          <w:rStyle w:val="optioncarChar"/>
        </w:rPr>
        <w:t> ***</w:t>
      </w:r>
      <w:r>
        <w:t> N/mm²</w:t>
      </w:r>
    </w:p>
    <w:p w14:paraId="2FE7F33F" w14:textId="77777777" w:rsidR="00DB2B68" w:rsidRDefault="00000000">
      <w:pPr>
        <w:jc w:val="both"/>
      </w:pPr>
      <w:r>
        <w:t>Epaisseur des joints : </w:t>
      </w:r>
      <w:r>
        <w:rPr>
          <w:rStyle w:val="optioncarChar"/>
        </w:rPr>
        <w:t>12 / ***</w:t>
      </w:r>
      <w:r>
        <w:t> mm.</w:t>
      </w:r>
    </w:p>
    <w:p w14:paraId="706B7DCB" w14:textId="77777777" w:rsidR="00DB2B68" w:rsidRDefault="00000000">
      <w:pPr>
        <w:jc w:val="both"/>
      </w:pPr>
      <w:r>
        <w:t>Réaction au feu : </w:t>
      </w:r>
      <w:r>
        <w:rPr>
          <w:rStyle w:val="optioncarChar"/>
        </w:rPr>
        <w:t>***</w:t>
      </w:r>
    </w:p>
    <w:p w14:paraId="66C5C0A4" w14:textId="77777777" w:rsidR="00DB2B68" w:rsidRDefault="00000000">
      <w:pPr>
        <w:jc w:val="both"/>
      </w:pPr>
      <w:r>
        <w:t>Emission de COV : </w:t>
      </w:r>
      <w:r>
        <w:rPr>
          <w:rStyle w:val="optioncarChar"/>
        </w:rPr>
        <w:t>≤ *** / non spécifié</w:t>
      </w:r>
    </w:p>
    <w:p w14:paraId="4B7C42FF" w14:textId="77777777" w:rsidR="00DB2B68" w:rsidRDefault="00000000">
      <w:pPr>
        <w:jc w:val="both"/>
      </w:pPr>
      <w:r>
        <w:t> </w:t>
      </w:r>
    </w:p>
    <w:p w14:paraId="79230E4B" w14:textId="77777777" w:rsidR="00DB2B68" w:rsidRDefault="00000000">
      <w:pPr>
        <w:jc w:val="both"/>
      </w:pPr>
      <w:r>
        <w:rPr>
          <w:rStyle w:val="headingChar"/>
        </w:rPr>
        <w:t>Critères De Performances De La Parois</w:t>
      </w:r>
    </w:p>
    <w:p w14:paraId="50E85565" w14:textId="77777777" w:rsidR="00DB2B68" w:rsidRDefault="00DB2B68">
      <w:pPr>
        <w:jc w:val="both"/>
      </w:pPr>
    </w:p>
    <w:p w14:paraId="7C20F129" w14:textId="77777777" w:rsidR="00DB2B68" w:rsidRDefault="00000000">
      <w:pPr>
        <w:jc w:val="both"/>
      </w:pPr>
      <w:r>
        <w:t>Valeur λ</w:t>
      </w:r>
      <w:r>
        <w:rPr>
          <w:vertAlign w:val="subscript"/>
        </w:rPr>
        <w:t>Ui</w:t>
      </w:r>
      <w:r>
        <w:t> ou λ</w:t>
      </w:r>
      <w:r>
        <w:rPr>
          <w:vertAlign w:val="subscript"/>
        </w:rPr>
        <w:t>Ue</w:t>
      </w:r>
      <w:r>
        <w:t> : ≤ </w:t>
      </w:r>
      <w:r>
        <w:rPr>
          <w:rStyle w:val="optioncarChar"/>
        </w:rPr>
        <w:t>***</w:t>
      </w:r>
      <w:r>
        <w:t> W/mK (suivant l’application).</w:t>
      </w:r>
    </w:p>
    <w:p w14:paraId="16D09A33" w14:textId="77777777" w:rsidR="00DB2B68" w:rsidRDefault="00000000">
      <w:pPr>
        <w:jc w:val="both"/>
      </w:pPr>
      <w:r>
        <w:t>Résistance au feu ([NBN EN 13501-2], [NBN EN 1364-1]):</w:t>
      </w:r>
      <w:r>
        <w:rPr>
          <w:rStyle w:val="optioncarChar"/>
        </w:rPr>
        <w:t> EI30 </w:t>
      </w:r>
      <w:r>
        <w:t>(par défaut)</w:t>
      </w:r>
      <w:r>
        <w:rPr>
          <w:rStyle w:val="optioncarChar"/>
        </w:rPr>
        <w:t xml:space="preserve"> / EI60 / EI90 / EI120 / ***</w:t>
      </w:r>
    </w:p>
    <w:p w14:paraId="5BB84402" w14:textId="77777777" w:rsidR="00DB2B68" w:rsidRDefault="00000000">
      <w:pPr>
        <w:ind w:left="750"/>
      </w:pPr>
      <w:r>
        <w:t> </w:t>
      </w:r>
    </w:p>
    <w:p w14:paraId="4715E462" w14:textId="77777777" w:rsidR="00DB2B68" w:rsidRDefault="00000000">
      <w:pPr>
        <w:pStyle w:val="pheading"/>
      </w:pPr>
      <w:r>
        <w:t>- Finitions</w:t>
      </w:r>
    </w:p>
    <w:p w14:paraId="2DE74D68" w14:textId="77777777" w:rsidR="00DB2B68" w:rsidRDefault="00000000">
      <w:pPr>
        <w:pStyle w:val="Author-eListParagraph"/>
        <w:numPr>
          <w:ilvl w:val="0"/>
          <w:numId w:val="213"/>
        </w:numPr>
      </w:pPr>
      <w:r>
        <w:t>Les faces de murs suivantes sont exécutées comme maçonneries apparentes et sont </w:t>
      </w:r>
      <w:r>
        <w:rPr>
          <w:rStyle w:val="optioncarChar"/>
          <w:color w:val="000000"/>
        </w:rPr>
        <w:t xml:space="preserve">rejointoyées </w:t>
      </w:r>
      <w:r>
        <w:t xml:space="preserve">selon </w:t>
      </w:r>
      <w:hyperlink w:anchor="346" w:history="1">
        <w:r>
          <w:rPr>
            <w:color w:val="0000EE"/>
          </w:rPr>
          <w:t>21.61.1b Joints de maçonnerie apparente</w:t>
        </w:r>
      </w:hyperlink>
      <w:r>
        <w:t>: </w:t>
      </w:r>
      <w:r>
        <w:rPr>
          <w:rStyle w:val="optioncarChar"/>
        </w:rPr>
        <w:t>***</w:t>
      </w:r>
      <w:r>
        <w:t>.</w:t>
      </w:r>
    </w:p>
    <w:p w14:paraId="1D916567" w14:textId="77777777" w:rsidR="00DB2B68" w:rsidRDefault="00000000">
      <w:pPr>
        <w:pStyle w:val="Author-eListParagraph"/>
        <w:numPr>
          <w:ilvl w:val="0"/>
          <w:numId w:val="213"/>
        </w:numPr>
      </w:pPr>
      <w:r>
        <w:t>Les murs suivants sont exécutés avec une face restant apparente : </w:t>
      </w:r>
      <w:r>
        <w:rPr>
          <w:rStyle w:val="optioncarChar"/>
        </w:rPr>
        <w:t>***</w:t>
      </w:r>
    </w:p>
    <w:p w14:paraId="6DEBD2FE" w14:textId="77777777" w:rsidR="00DB2B68" w:rsidRDefault="00000000">
      <w:pPr>
        <w:pStyle w:val="Author-eListParagraph"/>
        <w:numPr>
          <w:ilvl w:val="0"/>
          <w:numId w:val="213"/>
        </w:numPr>
      </w:pPr>
      <w:r>
        <w:t xml:space="preserve">Les murs suivants sont exécutés avec deux faces restant apparentes : </w:t>
      </w:r>
      <w:r>
        <w:rPr>
          <w:rStyle w:val="optioncarChar"/>
        </w:rPr>
        <w:t>***</w:t>
      </w:r>
    </w:p>
    <w:p w14:paraId="0B0A4B6B" w14:textId="77777777" w:rsidR="00DB2B68" w:rsidRDefault="00000000">
      <w:pPr>
        <w:jc w:val="both"/>
      </w:pPr>
      <w:r>
        <w:t>Couleur des joints : </w:t>
      </w:r>
      <w:r>
        <w:rPr>
          <w:rStyle w:val="optioncarChar"/>
        </w:rPr>
        <w:t xml:space="preserve">couleur approchant celle des blocs </w:t>
      </w:r>
      <w:r>
        <w:t>(par défaut) </w:t>
      </w:r>
      <w:r>
        <w:rPr>
          <w:rStyle w:val="optioncarChar"/>
        </w:rPr>
        <w:t>/ ***</w:t>
      </w:r>
      <w:r>
        <w:t>.</w:t>
      </w:r>
    </w:p>
    <w:p w14:paraId="24FC0623" w14:textId="77777777" w:rsidR="00DB2B68" w:rsidRDefault="00000000">
      <w:pPr>
        <w:jc w:val="both"/>
      </w:pPr>
      <w:r>
        <w:t>Type de joints : </w:t>
      </w:r>
      <w:r>
        <w:rPr>
          <w:rStyle w:val="optioncarChar"/>
        </w:rPr>
        <w:t>joint creux</w:t>
      </w:r>
      <w:r>
        <w:t> (par défaut)</w:t>
      </w:r>
      <w:r>
        <w:rPr>
          <w:rStyle w:val="optioncarChar"/>
        </w:rPr>
        <w:t> / joint creux en retrait / joint plat / joint plat en retrait / joint biais en retrait / ***.</w:t>
      </w:r>
    </w:p>
    <w:p w14:paraId="73844461" w14:textId="77777777" w:rsidR="00DB2B68" w:rsidRDefault="00000000">
      <w:pPr>
        <w:jc w:val="both"/>
      </w:pPr>
      <w:r>
        <w:t>Finition des joints :</w:t>
      </w:r>
      <w:r>
        <w:rPr>
          <w:rStyle w:val="optioncarChar"/>
        </w:rPr>
        <w:t> joint brossé</w:t>
      </w:r>
      <w:r>
        <w:t> (par défaut) </w:t>
      </w:r>
      <w:r>
        <w:rPr>
          <w:rStyle w:val="optioncarChar"/>
        </w:rPr>
        <w:t>/ finition lisse / joint frappé à la brosse dure / ***</w:t>
      </w:r>
      <w:r>
        <w:t>.</w:t>
      </w:r>
    </w:p>
    <w:p w14:paraId="34402B02" w14:textId="77777777" w:rsidR="00DB2B68" w:rsidRDefault="00000000">
      <w:pPr>
        <w:ind w:left="750"/>
      </w:pPr>
      <w:r>
        <w:t> </w:t>
      </w:r>
    </w:p>
    <w:p w14:paraId="1CBEC99D" w14:textId="77777777" w:rsidR="00DB2B68" w:rsidRDefault="00000000">
      <w:pPr>
        <w:pStyle w:val="pheading"/>
      </w:pPr>
      <w:r>
        <w:t>- Prescriptions complémentaires</w:t>
      </w:r>
    </w:p>
    <w:p w14:paraId="5E49565D" w14:textId="77777777" w:rsidR="00DB2B68" w:rsidRDefault="00000000">
      <w:pPr>
        <w:jc w:val="both"/>
      </w:pPr>
      <w:r>
        <w:rPr>
          <w:rStyle w:val="facultChar"/>
        </w:rPr>
        <w:t>Les blocs, le mortier et la maçonnerie disposent d'une déclaration d'aptitude à l'utilisation suivant les prescriptions de l'élément  02.42.1 Critères d'acceptabilité .</w:t>
      </w:r>
    </w:p>
    <w:p w14:paraId="3E830ED1" w14:textId="77777777" w:rsidR="00DB2B68" w:rsidRDefault="00000000">
      <w:pPr>
        <w:pStyle w:val="pheading"/>
      </w:pPr>
      <w:r>
        <w:t>EXÉCUTION / MISE EN ŒUVRE</w:t>
      </w:r>
    </w:p>
    <w:p w14:paraId="44DC4A62" w14:textId="77777777" w:rsidR="00DB2B68" w:rsidRDefault="00000000">
      <w:pPr>
        <w:pStyle w:val="pheading"/>
      </w:pPr>
      <w:r>
        <w:t>- Prescriptions générales</w:t>
      </w:r>
    </w:p>
    <w:p w14:paraId="521E5F00" w14:textId="77777777" w:rsidR="00DB2B68" w:rsidRDefault="00000000">
      <w:pPr>
        <w:jc w:val="both"/>
      </w:pPr>
      <w:r>
        <w:t>La maçonnerie est exécutée en appareillage </w:t>
      </w:r>
      <w:r>
        <w:rPr>
          <w:rStyle w:val="optioncarChar"/>
        </w:rPr>
        <w:t>d’une demi-brique / ***</w:t>
      </w:r>
      <w:r>
        <w:t>.</w:t>
      </w:r>
    </w:p>
    <w:p w14:paraId="722F7530" w14:textId="77777777" w:rsidR="00DB2B68" w:rsidRDefault="00000000">
      <w:pPr>
        <w:jc w:val="both"/>
      </w:pPr>
      <w:r>
        <w:t>Linteaux : </w:t>
      </w:r>
      <w:r>
        <w:rPr>
          <w:rStyle w:val="optioncarChar"/>
        </w:rPr>
        <w:t>***</w:t>
      </w:r>
      <w:r>
        <w:t>.</w:t>
      </w:r>
    </w:p>
    <w:p w14:paraId="21AFABC0" w14:textId="77777777" w:rsidR="00DB2B68" w:rsidRDefault="00000000">
      <w:pPr>
        <w:pStyle w:val="pheading"/>
      </w:pPr>
      <w:r>
        <w:t>- Notes d’exécution complémentaires</w:t>
      </w:r>
    </w:p>
    <w:p w14:paraId="6B5C9B38" w14:textId="77777777" w:rsidR="00DB2B68" w:rsidRDefault="00000000">
      <w:pPr>
        <w:jc w:val="both"/>
      </w:pPr>
      <w:r>
        <w:rPr>
          <w:rStyle w:val="facultChar"/>
        </w:rPr>
        <w:t>Armatures horizontales : selon l'élément </w:t>
      </w:r>
      <w:hyperlink w:anchor="357" w:history="1">
        <w:r>
          <w:rPr>
            <w:rStyle w:val="facultChar"/>
            <w:color w:val="0000EE"/>
          </w:rPr>
          <w:t>21.41.1 Armatures horizontales pour maçonneries</w:t>
        </w:r>
      </w:hyperlink>
      <w:r>
        <w:rPr>
          <w:rStyle w:val="facultChar"/>
        </w:rPr>
        <w:t>.</w:t>
      </w:r>
    </w:p>
    <w:p w14:paraId="5ABBB591" w14:textId="77777777" w:rsidR="00DB2B68" w:rsidRDefault="00000000">
      <w:pPr>
        <w:jc w:val="both"/>
      </w:pPr>
      <w:r>
        <w:rPr>
          <w:rStyle w:val="facultChar"/>
        </w:rPr>
        <w:lastRenderedPageBreak/>
        <w:t>Ancrages : selon l'élément </w:t>
      </w:r>
      <w:hyperlink w:anchor="364" w:history="1">
        <w:r>
          <w:rPr>
            <w:rStyle w:val="facultChar"/>
            <w:color w:val="0000EE"/>
          </w:rPr>
          <w:t>21.42 Ancrages et fixations de maçonneries</w:t>
        </w:r>
      </w:hyperlink>
    </w:p>
    <w:p w14:paraId="6E317030" w14:textId="77777777" w:rsidR="00DB2B68" w:rsidRDefault="00000000">
      <w:pPr>
        <w:jc w:val="both"/>
      </w:pPr>
      <w:r>
        <w:rPr>
          <w:rStyle w:val="facultChar"/>
        </w:rPr>
        <w:t>Blocs spéciaux :</w:t>
      </w:r>
      <w:r>
        <w:t> </w:t>
      </w:r>
      <w:r>
        <w:rPr>
          <w:rStyle w:val="optioncarChar"/>
        </w:rPr>
        <w:t>***</w:t>
      </w:r>
    </w:p>
    <w:p w14:paraId="79A9CC95" w14:textId="77777777" w:rsidR="00DB2B68" w:rsidRDefault="00000000">
      <w:pPr>
        <w:jc w:val="both"/>
      </w:pPr>
      <w:r>
        <w:rPr>
          <w:rStyle w:val="facultChar"/>
        </w:rPr>
        <w:t>Étanchéité :</w:t>
      </w:r>
      <w:r>
        <w:t> </w:t>
      </w:r>
      <w:r>
        <w:rPr>
          <w:rStyle w:val="optioncarChar"/>
        </w:rPr>
        <w:t>***</w:t>
      </w:r>
    </w:p>
    <w:p w14:paraId="021A66BF" w14:textId="77777777" w:rsidR="00DB2B68" w:rsidRDefault="00000000">
      <w:pPr>
        <w:jc w:val="both"/>
      </w:pPr>
      <w:r>
        <w:rPr>
          <w:rStyle w:val="facultChar"/>
        </w:rPr>
        <w:t>Joints de dilatation :</w:t>
      </w:r>
      <w:r>
        <w:t> </w:t>
      </w:r>
      <w:r>
        <w:rPr>
          <w:rStyle w:val="optioncarChar"/>
        </w:rPr>
        <w:t>***</w:t>
      </w:r>
    </w:p>
    <w:p w14:paraId="49E44F2E" w14:textId="77777777" w:rsidR="00DB2B68" w:rsidRDefault="00000000">
      <w:pPr>
        <w:pStyle w:val="pheading"/>
      </w:pPr>
      <w:r>
        <w:t>- Échantillons</w:t>
      </w:r>
    </w:p>
    <w:p w14:paraId="56BE6E7B" w14:textId="77777777" w:rsidR="00DB2B68" w:rsidRDefault="00000000">
      <w:pPr>
        <w:jc w:val="both"/>
      </w:pPr>
      <w:r>
        <w:t>L’entrepreneur soumet un échantillon de bloc.</w:t>
      </w:r>
    </w:p>
    <w:p w14:paraId="62A13C33" w14:textId="77777777" w:rsidR="00DB2B68" w:rsidRDefault="00000000">
      <w:pPr>
        <w:jc w:val="both"/>
      </w:pPr>
      <w:r>
        <w:t>En vue du choix définitif des blocs, un ou plusieurs échantillons d'environ 1 m² sont maçonnés à la demande de l'auteur de projet; les frais inhérents à la construction et à la démolition de ces murs sont à charge de l'entrepreneur.</w:t>
      </w:r>
    </w:p>
    <w:p w14:paraId="5E8F505C" w14:textId="77777777" w:rsidR="00DB2B68" w:rsidRDefault="00000000">
      <w:pPr>
        <w:pStyle w:val="pheading"/>
      </w:pPr>
      <w:r>
        <w:t>DOCUMENTS DE RÉFÉRENCE COMPLÉMENTAIRES</w:t>
      </w:r>
    </w:p>
    <w:p w14:paraId="3B0ABF7A" w14:textId="77777777" w:rsidR="00DB2B68" w:rsidRDefault="00000000">
      <w:pPr>
        <w:pStyle w:val="pheading"/>
      </w:pPr>
      <w:r>
        <w:t>- Matériau</w:t>
      </w:r>
    </w:p>
    <w:p w14:paraId="26606DEF" w14:textId="77777777" w:rsidR="00DB2B68" w:rsidRDefault="00000000">
      <w:r>
        <w:t>[PTV 21-001, Eléments de maçonnerie en béton (granulats courants et légers) - Classification et spécifications d'application]</w:t>
      </w:r>
    </w:p>
    <w:p w14:paraId="5C662FA8" w14:textId="77777777" w:rsidR="00DB2B68" w:rsidRDefault="00000000">
      <w:r>
        <w:t>[NBN EN 772-1+A1, Méthodes d'essai des éléments de maçonnerie - Partie 1: Détermination de la résistance à la compression]</w:t>
      </w:r>
    </w:p>
    <w:p w14:paraId="573F24F5" w14:textId="77777777" w:rsidR="00DB2B68" w:rsidRDefault="0000000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2C79BE8B" w14:textId="77777777" w:rsidR="00DB2B68" w:rsidRDefault="00000000">
      <w:r>
        <w:t>[NBN EN 772-13, Méthodes d'essai des éléments de maçonnerie - Partie 13: Détermination de la masse volumique absolue sèche et de la masse volumique apparente sèche des éléments de maçonnerie (excepté les pierres naturelles)]</w:t>
      </w:r>
    </w:p>
    <w:p w14:paraId="558FB7C8" w14:textId="77777777" w:rsidR="00DB2B68" w:rsidRDefault="00000000">
      <w:r>
        <w:t>[NBN EN 772-14, Méthode d'essai pour des éléments de maçonnerie - Partie 14 : Détermination de la variation due à l'humidité des éléments de maçonnerie en béton de granulats et en pierre reconstituée]</w:t>
      </w:r>
    </w:p>
    <w:p w14:paraId="058A52F8" w14:textId="77777777" w:rsidR="00DB2B68" w:rsidRDefault="00000000">
      <w:r>
        <w:t>[NBN EN ISO 12572, Performance hygrothermique des matériaux et produits pour le bâtiment - Détermination des propriétés de transmission de la vapeur d'eau - Méthode de la coupelle (ISO 12572:2016)]</w:t>
      </w:r>
    </w:p>
    <w:p w14:paraId="269DA95F" w14:textId="77777777" w:rsidR="00DB2B68" w:rsidRDefault="00000000">
      <w:r>
        <w:t>[NBN B 15-231, Essais des bétons - Gélivité]</w:t>
      </w:r>
    </w:p>
    <w:p w14:paraId="09775A9C" w14:textId="77777777" w:rsidR="00DB2B68" w:rsidRDefault="00000000">
      <w:r>
        <w:t>[NBN EN 1015-10, Méthodes d'essai des mortiers pour la maçonnerie - Partie 10: Détermination de la masse volumique apparente sèche du mortier durci]</w:t>
      </w:r>
    </w:p>
    <w:p w14:paraId="42DBD5E2" w14:textId="77777777" w:rsidR="00DB2B68" w:rsidRDefault="00000000">
      <w:r>
        <w:t>[NBN EN 1015-11, Méthodes d'essai des mortiers pour maçonnerie - Détermination de la résistance à la flexion et à la compression du mortier durci]</w:t>
      </w:r>
    </w:p>
    <w:p w14:paraId="06A91652" w14:textId="77777777" w:rsidR="00DB2B68" w:rsidRDefault="00000000">
      <w:r>
        <w:t>[NBN EN 1015-18, Méthodes d'essai des mortiers pour maçonnerie - Partie 18: Détermination du coefficient d'absorption d'eau par capillarité du mortier durci]</w:t>
      </w:r>
    </w:p>
    <w:p w14:paraId="1FCA0BC0" w14:textId="77777777" w:rsidR="00DB2B68" w:rsidRDefault="00000000">
      <w:r>
        <w:t>[NBN EN 1052-3, Méthodes d'essai de la maçonnerie - Partie 3: Détermination de la résistance initiale au cisaillement]</w:t>
      </w:r>
    </w:p>
    <w:p w14:paraId="253194ED"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7A2B0935" w14:textId="77777777" w:rsidR="00DB2B68" w:rsidRDefault="00000000">
      <w:r>
        <w:t>[NBN EN 1364-1, Essais de résistance au feu des éléments non porteurs - Partie 1: Murs]</w:t>
      </w:r>
    </w:p>
    <w:p w14:paraId="600D3089" w14:textId="77777777" w:rsidR="00DB2B68" w:rsidRDefault="00000000">
      <w:r>
        <w:t>[DIN 18945, Earth blocks - Requirements, test and labelling]</w:t>
      </w:r>
    </w:p>
    <w:p w14:paraId="750BE264" w14:textId="77777777" w:rsidR="00DB2B68" w:rsidRDefault="00000000">
      <w:r>
        <w:t>[DIN 18946, Earth masonry mortar - Requirements, test and labelling]</w:t>
      </w:r>
    </w:p>
    <w:p w14:paraId="63F9025F" w14:textId="77777777" w:rsidR="00DB2B68" w:rsidRDefault="00000000">
      <w:pPr>
        <w:pStyle w:val="pheading"/>
      </w:pPr>
      <w:r>
        <w:t>MESURAGE</w:t>
      </w:r>
    </w:p>
    <w:p w14:paraId="62DCF404" w14:textId="77777777" w:rsidR="00DB2B68" w:rsidRDefault="00000000">
      <w:pPr>
        <w:pStyle w:val="pheading"/>
      </w:pPr>
      <w:r>
        <w:t>- unité de mesure:</w:t>
      </w:r>
    </w:p>
    <w:p w14:paraId="518A20CF" w14:textId="77777777" w:rsidR="00DB2B68" w:rsidRDefault="00000000">
      <w:r>
        <w:rPr>
          <w:rStyle w:val="optioncarChar"/>
        </w:rPr>
        <w:lastRenderedPageBreak/>
        <w:t>m³</w:t>
      </w:r>
      <w:r>
        <w:t> (par défaut)</w:t>
      </w:r>
      <w:r>
        <w:rPr>
          <w:rStyle w:val="optioncarChar"/>
        </w:rPr>
        <w:t> / m²</w:t>
      </w:r>
    </w:p>
    <w:p w14:paraId="3B19797F" w14:textId="77777777" w:rsidR="00DB2B68" w:rsidRDefault="00000000">
      <w:r>
        <w:rPr>
          <w:b/>
          <w:i/>
        </w:rPr>
        <w:t>(Soit par défaut)</w:t>
      </w:r>
    </w:p>
    <w:p w14:paraId="5B56BDE0" w14:textId="77777777" w:rsidR="00DB2B68" w:rsidRDefault="00000000">
      <w:r>
        <w:rPr>
          <w:rStyle w:val="soitChar"/>
        </w:rPr>
        <w:t>m³</w:t>
      </w:r>
      <w:r>
        <w:t> </w:t>
      </w:r>
      <w:r>
        <w:br/>
      </w:r>
      <w:r>
        <w:br/>
      </w:r>
      <w:r>
        <w:rPr>
          <w:b/>
          <w:i/>
        </w:rPr>
        <w:t>(Soit)</w:t>
      </w:r>
    </w:p>
    <w:p w14:paraId="29BF11D1" w14:textId="77777777" w:rsidR="00DB2B68" w:rsidRDefault="00000000">
      <w:r>
        <w:rPr>
          <w:rStyle w:val="soitChar"/>
        </w:rPr>
        <w:t>m²</w:t>
      </w:r>
    </w:p>
    <w:p w14:paraId="221B57CB" w14:textId="77777777" w:rsidR="00DB2B68" w:rsidRDefault="00000000">
      <w:pPr>
        <w:pStyle w:val="pheading"/>
      </w:pPr>
      <w:r>
        <w:t>- code de mesurage:</w:t>
      </w:r>
    </w:p>
    <w:p w14:paraId="0E03CA8F"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27E9230"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CBB04CC"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DB3B2EA" w14:textId="77777777" w:rsidR="00DB2B68" w:rsidRDefault="00000000">
      <w:r>
        <w:rPr>
          <w:rStyle w:val="optioncarChar"/>
        </w:rPr>
        <w:t>Volume net </w:t>
      </w:r>
      <w:r>
        <w:t>(par défaut)</w:t>
      </w:r>
      <w:r>
        <w:rPr>
          <w:rStyle w:val="optioncarChar"/>
        </w:rPr>
        <w:t> / Surface nette</w:t>
      </w:r>
    </w:p>
    <w:p w14:paraId="71E3ACAC" w14:textId="77777777" w:rsidR="00DB2B68" w:rsidRDefault="00000000">
      <w:r>
        <w:rPr>
          <w:b/>
        </w:rPr>
        <w:t>(soit par défaut)</w:t>
      </w:r>
    </w:p>
    <w:p w14:paraId="46643174"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CCA096F" w14:textId="77777777" w:rsidR="00DB2B68" w:rsidRDefault="00000000">
      <w:r>
        <w:rPr>
          <w:b/>
        </w:rPr>
        <w:t>(soit)</w:t>
      </w:r>
    </w:p>
    <w:p w14:paraId="3DD89614"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902644B" w14:textId="77777777" w:rsidR="00DB2B68" w:rsidRDefault="00DB2B68"/>
    <w:p w14:paraId="2BCE61B8" w14:textId="77777777" w:rsidR="00DB2B68" w:rsidRDefault="00000000">
      <w:pPr>
        <w:ind w:left="750"/>
      </w:pPr>
      <w:r>
        <w:t> </w:t>
      </w:r>
    </w:p>
    <w:p w14:paraId="2787ACD5" w14:textId="77777777" w:rsidR="00DB2B68" w:rsidRDefault="00000000">
      <w:pPr>
        <w:pStyle w:val="pheading"/>
      </w:pPr>
      <w:r>
        <w:t>- nature du marché:</w:t>
      </w:r>
    </w:p>
    <w:p w14:paraId="1AFE2AD1" w14:textId="77777777" w:rsidR="00DB2B68" w:rsidRDefault="00000000">
      <w:r>
        <w:t>QF</w:t>
      </w:r>
    </w:p>
    <w:p w14:paraId="23BD59B0" w14:textId="77777777" w:rsidR="00DB2B68" w:rsidRDefault="00000000">
      <w:pPr>
        <w:pStyle w:val="Author-eSectionHeading5Numberless"/>
      </w:pPr>
      <w:bookmarkStart w:id="195" w:name="_Toc220495333"/>
      <w:r>
        <w:t>21.22.8 Maçonneries non portantes en blocs de chaux-chanvre CCTB 01.11</w:t>
      </w:r>
      <w:bookmarkEnd w:id="195"/>
    </w:p>
    <w:p w14:paraId="32266C89" w14:textId="77777777" w:rsidR="00DB2B68" w:rsidRDefault="00000000">
      <w:pPr>
        <w:pStyle w:val="pheading"/>
      </w:pPr>
      <w:r>
        <w:t>DESCRIPTION</w:t>
      </w:r>
    </w:p>
    <w:p w14:paraId="071E9512" w14:textId="77777777" w:rsidR="00DB2B68" w:rsidRDefault="00000000">
      <w:pPr>
        <w:pStyle w:val="pheading"/>
      </w:pPr>
      <w:r>
        <w:t>- Définition / Comprend</w:t>
      </w:r>
    </w:p>
    <w:p w14:paraId="3B498A16" w14:textId="77777777" w:rsidR="00DB2B68" w:rsidRDefault="00000000">
      <w:r>
        <w:t>Il s'agit de maçonneries non portantes en blocs de chaux-chanvre.</w:t>
      </w:r>
    </w:p>
    <w:p w14:paraId="0F4350D3" w14:textId="77777777" w:rsidR="00DB2B68" w:rsidRDefault="00000000">
      <w:pPr>
        <w:pStyle w:val="pheading"/>
      </w:pPr>
      <w:r>
        <w:t>MATÉRIAUX</w:t>
      </w:r>
    </w:p>
    <w:p w14:paraId="24807889" w14:textId="77777777" w:rsidR="00DB2B68" w:rsidRDefault="00000000">
      <w:pPr>
        <w:jc w:val="both"/>
      </w:pPr>
      <w:r>
        <w:t>En l’absence de normes propres, les spécifications des blocs sont basées sur la [NBN EN 771-3+A1] et le [PTV 21-001] et les spécifications du mortier sont basées sur la [NBN EN 998-2] et le [PTV 651].</w:t>
      </w:r>
    </w:p>
    <w:p w14:paraId="6F9CD6FD" w14:textId="77777777" w:rsidR="00DB2B68" w:rsidRDefault="00000000">
      <w:pPr>
        <w:jc w:val="both"/>
      </w:pPr>
      <w:r>
        <w:t>L'entrepreneur soumet la fiche technique des matériaux (bloc et mortier) pour approbation à l'auteur de projet et au maître de l’ouvrage.</w:t>
      </w:r>
    </w:p>
    <w:p w14:paraId="6EF0A317" w14:textId="77777777" w:rsidR="00DB2B68" w:rsidRDefault="00000000">
      <w:pPr>
        <w:pStyle w:val="pheading"/>
      </w:pPr>
      <w:r>
        <w:lastRenderedPageBreak/>
        <w:t>EXÉCUTION / MISE EN ŒUVRE</w:t>
      </w:r>
    </w:p>
    <w:p w14:paraId="20AD9AE0" w14:textId="77777777" w:rsidR="00DB2B68" w:rsidRDefault="00000000">
      <w:pPr>
        <w:jc w:val="both"/>
      </w:pPr>
      <w:r>
        <w:t>Conformément au mode de mise en œuvre, les blocs de chaux-chanvre sont maçonnés selon la documentation technique accompagnant les produits.</w:t>
      </w:r>
    </w:p>
    <w:p w14:paraId="3F1B3E0B" w14:textId="77777777" w:rsidR="00DB2B68" w:rsidRDefault="00000000">
      <w:pPr>
        <w:jc w:val="both"/>
      </w:pPr>
      <w:r>
        <w:t>Matériaux de liaison et d'ancrage</w:t>
      </w:r>
    </w:p>
    <w:p w14:paraId="13280E74" w14:textId="77777777" w:rsidR="00DB2B68" w:rsidRDefault="00000000">
      <w:pPr>
        <w:pStyle w:val="Author-eListParagraph"/>
        <w:numPr>
          <w:ilvl w:val="0"/>
          <w:numId w:val="214"/>
        </w:numPr>
      </w:pPr>
      <w:r>
        <w:t xml:space="preserve">longueur nominale : </w:t>
      </w:r>
      <w:r>
        <w:rPr>
          <w:rStyle w:val="optioncarChar"/>
        </w:rPr>
        <w:t>***</w:t>
      </w:r>
    </w:p>
    <w:p w14:paraId="02BF458C" w14:textId="77777777" w:rsidR="00DB2B68" w:rsidRDefault="00000000">
      <w:pPr>
        <w:pStyle w:val="Author-eListParagraph"/>
        <w:numPr>
          <w:ilvl w:val="0"/>
          <w:numId w:val="214"/>
        </w:numPr>
      </w:pPr>
      <w:r>
        <w:t xml:space="preserve">diamètre : </w:t>
      </w:r>
      <w:r>
        <w:rPr>
          <w:rStyle w:val="optioncarChar"/>
        </w:rPr>
        <w:t>***</w:t>
      </w:r>
    </w:p>
    <w:p w14:paraId="7EDBB152" w14:textId="77777777" w:rsidR="00DB2B68" w:rsidRDefault="00000000">
      <w:pPr>
        <w:pStyle w:val="Author-eListParagraph"/>
        <w:numPr>
          <w:ilvl w:val="0"/>
          <w:numId w:val="214"/>
        </w:numPr>
      </w:pPr>
      <w:r>
        <w:t xml:space="preserve">classe d’exposition : </w:t>
      </w:r>
      <w:r>
        <w:rPr>
          <w:rStyle w:val="optioncarChar"/>
        </w:rPr>
        <w:t xml:space="preserve">MX1 </w:t>
      </w:r>
      <w:r>
        <w:t>(par défaut)</w:t>
      </w:r>
      <w:r>
        <w:rPr>
          <w:rStyle w:val="optioncarChar"/>
        </w:rPr>
        <w:t xml:space="preserve"> / MX2 / MX3 / MX4 / MX5</w:t>
      </w:r>
    </w:p>
    <w:p w14:paraId="4D2E901A" w14:textId="77777777" w:rsidR="00DB2B68" w:rsidRDefault="00000000">
      <w:pPr>
        <w:pStyle w:val="Author-eListParagraph"/>
        <w:numPr>
          <w:ilvl w:val="0"/>
          <w:numId w:val="214"/>
        </w:numPr>
      </w:pPr>
      <w: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0E5B02D9" w14:textId="77777777" w:rsidR="00DB2B68" w:rsidRDefault="00DB2B68"/>
    <w:p w14:paraId="54890AA9" w14:textId="77777777" w:rsidR="00DB2B68" w:rsidRDefault="00000000">
      <w:pPr>
        <w:jc w:val="both"/>
      </w:pPr>
      <w:r>
        <w:t xml:space="preserve">Isolation contre l'humidité : </w:t>
      </w:r>
      <w:r>
        <w:rPr>
          <w:rStyle w:val="optioncarChar"/>
        </w:rPr>
        <w:t>membranes en PE </w:t>
      </w:r>
      <w:r>
        <w:t>(par défaut)</w:t>
      </w:r>
      <w:r>
        <w:rPr>
          <w:rStyle w:val="optioncarChar"/>
        </w:rPr>
        <w:t xml:space="preserve"> / ***</w:t>
      </w:r>
      <w:r>
        <w:t xml:space="preserve"> conformément au sous-titre </w:t>
      </w:r>
      <w:hyperlink w:anchor="356" w:history="1">
        <w:r>
          <w:rPr>
            <w:color w:val="0000EE"/>
          </w:rPr>
          <w:t>26.11 Feuilles et membranes d'étanchéité à l'eau</w:t>
        </w:r>
      </w:hyperlink>
      <w:r>
        <w:t xml:space="preserve">. </w:t>
      </w:r>
    </w:p>
    <w:p w14:paraId="286AC858" w14:textId="77777777" w:rsidR="00DB2B68" w:rsidRDefault="00DB2B68">
      <w:pPr>
        <w:jc w:val="both"/>
      </w:pPr>
    </w:p>
    <w:p w14:paraId="23948E5E" w14:textId="77777777" w:rsidR="00DB2B68" w:rsidRDefault="00000000">
      <w:pPr>
        <w:jc w:val="both"/>
      </w:pPr>
      <w:r>
        <w:t xml:space="preserve"> Pour les maçonneries destinées à rester apparentes, seules des blocs non endommagés sont utilisés.</w:t>
      </w:r>
    </w:p>
    <w:p w14:paraId="1526810C" w14:textId="77777777" w:rsidR="00DB2B68" w:rsidRDefault="00000000">
      <w:pPr>
        <w:jc w:val="both"/>
      </w:pPr>
      <w:r>
        <w:t xml:space="preserve">Les segments de murs sont pourvus d'armatures horizontales selon le chapitre </w:t>
      </w:r>
      <w:hyperlink w:anchor="357" w:history="1">
        <w:r>
          <w:rPr>
            <w:color w:val="0000EE"/>
          </w:rPr>
          <w:t>21.41.1 Armatures horizontales pour maçonneries</w:t>
        </w:r>
      </w:hyperlink>
      <w:r>
        <w:t>.</w:t>
      </w:r>
    </w:p>
    <w:p w14:paraId="0131551F" w14:textId="77777777" w:rsidR="00DB2B68" w:rsidRDefault="00000000">
      <w:pPr>
        <w:jc w:val="both"/>
      </w:pPr>
      <w:r>
        <w:t xml:space="preserve">Les segments de murs sont pourvus d'armatures verticales selon le chapitre </w:t>
      </w:r>
      <w:hyperlink w:anchor="358" w:history="1">
        <w:r>
          <w:rPr>
            <w:color w:val="0000EE"/>
          </w:rPr>
          <w:t>21.41.2 Armatures verticales pour maçonneries</w:t>
        </w:r>
      </w:hyperlink>
      <w:r>
        <w:t>.</w:t>
      </w:r>
    </w:p>
    <w:p w14:paraId="5C9B3CBC" w14:textId="77777777" w:rsidR="00DB2B68" w:rsidRDefault="00000000">
      <w:pPr>
        <w:jc w:val="both"/>
      </w:pPr>
      <w:r>
        <w:t xml:space="preserve">Les maçonneries de caves en contact avec les terres sont rendues étanches selon la description au sous-titre </w:t>
      </w:r>
      <w:hyperlink w:anchor="359" w:history="1">
        <w:r>
          <w:rPr>
            <w:color w:val="0000EE"/>
          </w:rPr>
          <w:t>26.12 Traitements d'étanchéisation</w:t>
        </w:r>
      </w:hyperlink>
      <w:r>
        <w:t>.</w:t>
      </w:r>
    </w:p>
    <w:p w14:paraId="4A75D429" w14:textId="77777777" w:rsidR="00DB2B68" w:rsidRDefault="00000000">
      <w:pPr>
        <w:pStyle w:val="pheading"/>
      </w:pPr>
      <w:r>
        <w:t>DOCUMENTS DE RÉFÉRENCE</w:t>
      </w:r>
    </w:p>
    <w:p w14:paraId="2559025C" w14:textId="77777777" w:rsidR="00DB2B68" w:rsidRDefault="00000000">
      <w:pPr>
        <w:pStyle w:val="pheading"/>
      </w:pPr>
      <w:r>
        <w:t>- Matériau</w:t>
      </w:r>
    </w:p>
    <w:p w14:paraId="62BC589D" w14:textId="77777777" w:rsidR="00DB2B68" w:rsidRDefault="00000000">
      <w:r>
        <w:t>[NBN EN 771-3+A1, Spécifications pour éléments de maçonnerie - Partie 3: Éléments de maçonnerie en béton de granulats (granulats courants et légers)]</w:t>
      </w:r>
    </w:p>
    <w:p w14:paraId="6EA06D07" w14:textId="77777777" w:rsidR="00DB2B68" w:rsidRDefault="00000000">
      <w:r>
        <w:t>[PTV 21-001, Eléments de maçonnerie en béton (granulats courants et légers) - Classification et spécifications d'application]</w:t>
      </w:r>
    </w:p>
    <w:p w14:paraId="1B839843" w14:textId="77777777" w:rsidR="00DB2B68" w:rsidRDefault="00000000">
      <w:r>
        <w:t>[NBN EN 998-2, Définitions et spécifications des mortiers pour maçonnerie - Partie 2: Mortiers de montage des éléments de maçonnerie]</w:t>
      </w:r>
    </w:p>
    <w:p w14:paraId="2274F96A" w14:textId="77777777" w:rsidR="00DB2B68" w:rsidRDefault="00000000">
      <w:r>
        <w:t>[PTV 651, Mortier de maçonnerie et mortier de jointoyage]</w:t>
      </w:r>
    </w:p>
    <w:p w14:paraId="7C911E63" w14:textId="77777777" w:rsidR="00DB2B68" w:rsidRDefault="00000000">
      <w:pPr>
        <w:pStyle w:val="Author-eSectionHeading6Numberless"/>
      </w:pPr>
      <w:bookmarkStart w:id="196" w:name="_Toc220495334"/>
      <w:r>
        <w:t>21.22.8a Maçonneries non portantes en blocs de chaux-chanvre CCTB 01.12</w:t>
      </w:r>
      <w:bookmarkEnd w:id="196"/>
    </w:p>
    <w:p w14:paraId="6647B5B9" w14:textId="77777777" w:rsidR="00DB2B68" w:rsidRDefault="00000000">
      <w:pPr>
        <w:pStyle w:val="pheading"/>
      </w:pPr>
      <w:r>
        <w:t>DESCRIPTION</w:t>
      </w:r>
    </w:p>
    <w:p w14:paraId="68135A7D" w14:textId="77777777" w:rsidR="00DB2B68" w:rsidRDefault="00000000">
      <w:pPr>
        <w:pStyle w:val="pheading"/>
      </w:pPr>
      <w:r>
        <w:t>- Définition / Comprend</w:t>
      </w:r>
    </w:p>
    <w:p w14:paraId="498356E9" w14:textId="77777777" w:rsidR="00DB2B68" w:rsidRDefault="00000000">
      <w:pPr>
        <w:jc w:val="both"/>
      </w:pPr>
      <w:r>
        <w:t>Il s’agit de la fourniture et la pose de maçonneries non portantes en blocs de chaux-chanvre.</w:t>
      </w:r>
    </w:p>
    <w:p w14:paraId="4EA9F8E4" w14:textId="77777777" w:rsidR="00DB2B68" w:rsidRDefault="00000000">
      <w:pPr>
        <w:jc w:val="both"/>
      </w:pPr>
      <w:r>
        <w:t xml:space="preserve">La portée des travaux est décrite dans l’élément </w:t>
      </w:r>
      <w:hyperlink w:anchor="383" w:history="1">
        <w:r>
          <w:rPr>
            <w:color w:val="0000EE"/>
          </w:rPr>
          <w:t>21.2 Maçonneries non portantes</w:t>
        </w:r>
      </w:hyperlink>
      <w:r>
        <w:t>.</w:t>
      </w:r>
    </w:p>
    <w:p w14:paraId="69BE3145" w14:textId="77777777" w:rsidR="00DB2B68" w:rsidRDefault="00000000">
      <w:pPr>
        <w:pStyle w:val="pheading"/>
      </w:pPr>
      <w:r>
        <w:t>- Localisation</w:t>
      </w:r>
    </w:p>
    <w:p w14:paraId="40751A3B" w14:textId="77777777" w:rsidR="00DB2B68" w:rsidRDefault="00000000">
      <w:r>
        <w:t xml:space="preserve">Localisation des travaux : </w:t>
      </w:r>
      <w:r>
        <w:rPr>
          <w:rStyle w:val="optioncarChar"/>
        </w:rPr>
        <w:t>***</w:t>
      </w:r>
      <w:r>
        <w:t>.</w:t>
      </w:r>
    </w:p>
    <w:p w14:paraId="677C0E11" w14:textId="77777777" w:rsidR="00DB2B68" w:rsidRDefault="00000000">
      <w:r>
        <w:t>Voir plans et métrés détaillés.</w:t>
      </w:r>
    </w:p>
    <w:p w14:paraId="1D348AB4" w14:textId="77777777" w:rsidR="00DB2B68" w:rsidRDefault="00000000">
      <w:pPr>
        <w:pStyle w:val="pheading"/>
      </w:pPr>
      <w:r>
        <w:t>MATÉRIAUX</w:t>
      </w:r>
    </w:p>
    <w:p w14:paraId="03B9DDC8" w14:textId="77777777" w:rsidR="00DB2B68" w:rsidRDefault="00000000">
      <w:pPr>
        <w:pStyle w:val="pheading"/>
      </w:pPr>
      <w:r>
        <w:t>- Caractéristiques générales</w:t>
      </w:r>
    </w:p>
    <w:p w14:paraId="0C7DF297" w14:textId="77777777" w:rsidR="00DB2B68" w:rsidRDefault="00000000">
      <w:pPr>
        <w:jc w:val="both"/>
      </w:pPr>
      <w:r>
        <w:rPr>
          <w:b/>
        </w:rPr>
        <w:t>Bloc</w:t>
      </w:r>
    </w:p>
    <w:p w14:paraId="56D02F6B" w14:textId="77777777" w:rsidR="00DB2B68" w:rsidRDefault="00000000">
      <w:pPr>
        <w:jc w:val="both"/>
      </w:pPr>
      <w:r>
        <w:lastRenderedPageBreak/>
        <w:t>Les blocs disposent d'une déclaration d'aptitude à l'utilisation suivant les prescriptions de l'élément 02.42.1 Critères d'acceptabilité.</w:t>
      </w:r>
    </w:p>
    <w:p w14:paraId="0BB80E4A" w14:textId="77777777" w:rsidR="00DB2B68" w:rsidRDefault="00000000">
      <w:pPr>
        <w:jc w:val="both"/>
      </w:pPr>
      <w:r>
        <w:t>Format (Lxlxh) mm :</w:t>
      </w:r>
      <w:r>
        <w:rPr>
          <w:rStyle w:val="optioncarChar"/>
        </w:rPr>
        <w:t xml:space="preserve"> *** x *** x *** / format modulaire proposé par l'entrepreneur</w:t>
      </w:r>
      <w:r>
        <w:t> (par défaut)</w:t>
      </w:r>
    </w:p>
    <w:p w14:paraId="2F08EE5F" w14:textId="77777777" w:rsidR="00DB2B68" w:rsidRDefault="00000000">
      <w:pPr>
        <w:jc w:val="both"/>
      </w:pPr>
      <w:r>
        <w:t xml:space="preserve">Face qui reste visible : </w:t>
      </w:r>
      <w:r>
        <w:rPr>
          <w:rStyle w:val="optioncarChar"/>
        </w:rPr>
        <w:t xml:space="preserve">lisse </w:t>
      </w:r>
      <w:r>
        <w:t>(par défaut)</w:t>
      </w:r>
      <w:r>
        <w:rPr>
          <w:rStyle w:val="optioncarChar"/>
        </w:rPr>
        <w:t xml:space="preserve"> / ***</w:t>
      </w:r>
    </w:p>
    <w:p w14:paraId="04AD82EA" w14:textId="77777777" w:rsidR="00DB2B68" w:rsidRDefault="00DB2B68">
      <w:pPr>
        <w:jc w:val="both"/>
      </w:pPr>
    </w:p>
    <w:p w14:paraId="0F83FAAA" w14:textId="77777777" w:rsidR="00DB2B68" w:rsidRDefault="00000000">
      <w:pPr>
        <w:jc w:val="both"/>
      </w:pPr>
      <w:r>
        <w:t xml:space="preserve">Description des granulats (granulométrie) : </w:t>
      </w:r>
      <w:r>
        <w:rPr>
          <w:rStyle w:val="optioncarChar"/>
        </w:rPr>
        <w:t xml:space="preserve">≤ 20 mm </w:t>
      </w:r>
      <w:r>
        <w:t>(par défaut)</w:t>
      </w:r>
      <w:r>
        <w:rPr>
          <w:rStyle w:val="optioncarChar"/>
        </w:rPr>
        <w:t xml:space="preserve"> / ***</w:t>
      </w:r>
      <w:r>
        <w:t>.</w:t>
      </w:r>
    </w:p>
    <w:p w14:paraId="55341350" w14:textId="77777777" w:rsidR="00DB2B68" w:rsidRDefault="00000000">
      <w:pPr>
        <w:jc w:val="both"/>
      </w:pPr>
      <w:r>
        <w:t>Résistance à la compression [NBN EN 772-1+A1] </w:t>
      </w:r>
      <w:r>
        <w:rPr>
          <w:rStyle w:val="optioncarChar"/>
        </w:rPr>
        <w:t xml:space="preserve">moyenne </w:t>
      </w:r>
      <w:r>
        <w:t xml:space="preserve">(par défaut) </w:t>
      </w:r>
      <w:r>
        <w:rPr>
          <w:rStyle w:val="optioncarChar"/>
        </w:rPr>
        <w:t>/ normalisée (f</w:t>
      </w:r>
      <w:r>
        <w:rPr>
          <w:rStyle w:val="optioncarChar"/>
          <w:vertAlign w:val="subscript"/>
        </w:rPr>
        <w:t>b</w:t>
      </w:r>
      <w:r>
        <w:rPr>
          <w:rStyle w:val="optioncarChar"/>
        </w:rPr>
        <w:t>)</w:t>
      </w:r>
      <w:r>
        <w:t xml:space="preserve"> : ≥ </w:t>
      </w:r>
      <w:r>
        <w:rPr>
          <w:rStyle w:val="optioncarChar"/>
        </w:rPr>
        <w:t>***</w:t>
      </w:r>
      <w:r>
        <w:t xml:space="preserve"> N/mm²</w:t>
      </w:r>
    </w:p>
    <w:p w14:paraId="49D5CFCF" w14:textId="77777777" w:rsidR="00DB2B68" w:rsidRDefault="00000000">
      <w:pPr>
        <w:jc w:val="both"/>
      </w:pPr>
      <w:r>
        <w:t xml:space="preserve">Masse volumique apparente selon la [NBN EN 772-13] : </w:t>
      </w:r>
      <w:r>
        <w:rPr>
          <w:rStyle w:val="optioncarChar"/>
        </w:rPr>
        <w:t>***</w:t>
      </w:r>
      <w:r>
        <w:t xml:space="preserve"> kg / m³</w:t>
      </w:r>
    </w:p>
    <w:p w14:paraId="2A9219AF" w14:textId="77777777" w:rsidR="00DB2B68" w:rsidRDefault="00000000">
      <w:pPr>
        <w:jc w:val="both"/>
      </w:pPr>
      <w:r>
        <w:t xml:space="preserve">Teneur en humidité à la sortie d’usine : </w:t>
      </w:r>
      <w:r>
        <w:rPr>
          <w:rStyle w:val="optioncarChar"/>
        </w:rPr>
        <w:t>≤ *** % / non-spécifié</w:t>
      </w:r>
    </w:p>
    <w:p w14:paraId="41F00E1D" w14:textId="77777777" w:rsidR="00DB2B68" w:rsidRDefault="00000000">
      <w:pPr>
        <w:jc w:val="both"/>
      </w:pPr>
      <w:r>
        <w:t xml:space="preserve">Absorption capillaire de la face de parement (à 10 min) selon [NBN EN 772-11] : </w:t>
      </w:r>
      <w:r>
        <w:rPr>
          <w:rStyle w:val="optioncarChar"/>
        </w:rPr>
        <w:t>≤ *** g/m²s / non spécifié</w:t>
      </w:r>
    </w:p>
    <w:p w14:paraId="315A4993" w14:textId="77777777" w:rsidR="00DB2B68" w:rsidRDefault="00000000">
      <w:pPr>
        <w:jc w:val="both"/>
      </w:pPr>
      <w:r>
        <w:t xml:space="preserve">Taux initial d’absorption d’eau de la face de pose (à 1 min) selon [NBN EN 772-11] : </w:t>
      </w:r>
      <w:r>
        <w:rPr>
          <w:rStyle w:val="optioncarChar"/>
        </w:rPr>
        <w:t>≤ *** kg/m²min / non spécifié</w:t>
      </w:r>
    </w:p>
    <w:p w14:paraId="6FC55A7A" w14:textId="77777777" w:rsidR="00DB2B68" w:rsidRDefault="00000000">
      <w:pPr>
        <w:jc w:val="both"/>
      </w:pPr>
      <w:r>
        <w:t xml:space="preserve">Amplitude des déformations hygrométriques (retrait – gonflement) selon [NBN EN 772-14] : </w:t>
      </w:r>
      <w:r>
        <w:rPr>
          <w:rStyle w:val="optioncarChar"/>
        </w:rPr>
        <w:t>≤ *** mm/m / non spécifié.</w:t>
      </w:r>
    </w:p>
    <w:p w14:paraId="012CDE81" w14:textId="77777777" w:rsidR="00DB2B68" w:rsidRDefault="00000000">
      <w:pPr>
        <w:jc w:val="both"/>
      </w:pPr>
      <w:r>
        <w:t xml:space="preserve"> Les éléments destinés à un usage extérieur ou en maçonnerie souterraine respectent le critère suivant en matière de comportement à l'humidité : retrait et gonflement hygrométriques ≤ 0,45 mm / m.</w:t>
      </w:r>
    </w:p>
    <w:p w14:paraId="3160A8CC" w14:textId="77777777" w:rsidR="00DB2B68" w:rsidRDefault="00000000">
      <w:pPr>
        <w:jc w:val="both"/>
      </w:pPr>
      <w:r>
        <w:t xml:space="preserve">Valeur µ selon [NBN EN ISO 12572] : </w:t>
      </w:r>
      <w:r>
        <w:rPr>
          <w:rStyle w:val="optioncarChar"/>
        </w:rPr>
        <w:t>*** / non spécifié</w:t>
      </w:r>
    </w:p>
    <w:p w14:paraId="64385AD9" w14:textId="77777777" w:rsidR="00DB2B68" w:rsidRDefault="00000000">
      <w:pPr>
        <w:jc w:val="both"/>
      </w:pPr>
      <w:r>
        <w:t xml:space="preserve">Résistance au gel selon [NBN B 15-231] : </w:t>
      </w:r>
      <w:r>
        <w:rPr>
          <w:rStyle w:val="optioncarChar"/>
        </w:rPr>
        <w:t>résistant / non spécifié</w:t>
      </w:r>
    </w:p>
    <w:p w14:paraId="610219C6" w14:textId="77777777" w:rsidR="00DB2B68" w:rsidRDefault="00000000">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14:paraId="28A3A87B" w14:textId="77777777" w:rsidR="00DB2B68" w:rsidRDefault="00000000">
      <w:pPr>
        <w:jc w:val="both"/>
      </w:pPr>
      <w:r>
        <w:t xml:space="preserve">Chaleur spécifique : </w:t>
      </w:r>
      <w:r>
        <w:rPr>
          <w:rStyle w:val="optioncarChar"/>
        </w:rPr>
        <w:t>*** J/kg K / non spécifié</w:t>
      </w:r>
    </w:p>
    <w:p w14:paraId="29835193" w14:textId="77777777" w:rsidR="00DB2B68" w:rsidRDefault="00000000">
      <w:pPr>
        <w:jc w:val="both"/>
      </w:pPr>
      <w:r>
        <w:t xml:space="preserve">Réaction au feu : </w:t>
      </w:r>
      <w:r>
        <w:rPr>
          <w:rStyle w:val="optioncarChar"/>
        </w:rPr>
        <w:t>***</w:t>
      </w:r>
    </w:p>
    <w:p w14:paraId="2DDD348B" w14:textId="77777777" w:rsidR="00DB2B68" w:rsidRDefault="00000000">
      <w:pPr>
        <w:jc w:val="both"/>
      </w:pPr>
      <w:r>
        <w:t> </w:t>
      </w:r>
    </w:p>
    <w:p w14:paraId="1A357E8F" w14:textId="77777777" w:rsidR="00DB2B68" w:rsidRDefault="00000000">
      <w:pPr>
        <w:jc w:val="both"/>
      </w:pPr>
      <w:r>
        <w:rPr>
          <w:b/>
        </w:rPr>
        <w:t>Mortier</w:t>
      </w:r>
    </w:p>
    <w:p w14:paraId="1144E10F" w14:textId="77777777" w:rsidR="00DB2B68" w:rsidRDefault="00000000">
      <w:pPr>
        <w:jc w:val="both"/>
      </w:pPr>
      <w:r>
        <w:t xml:space="preserve">Type : </w:t>
      </w:r>
      <w:r>
        <w:rPr>
          <w:rStyle w:val="optioncarChar"/>
        </w:rPr>
        <w:t xml:space="preserve">mortier-colle au plâtre-chaux </w:t>
      </w:r>
      <w:r>
        <w:t>(par défaut)</w:t>
      </w:r>
      <w:r>
        <w:rPr>
          <w:rStyle w:val="optioncarChar"/>
        </w:rPr>
        <w:t xml:space="preserve"> / mortier à la chaux hydraulique / ***</w:t>
      </w:r>
      <w:r>
        <w:t>.</w:t>
      </w:r>
    </w:p>
    <w:p w14:paraId="1A7ABD44" w14:textId="77777777" w:rsidR="00DB2B68" w:rsidRDefault="00000000">
      <w:pPr>
        <w:jc w:val="both"/>
      </w:pPr>
      <w:r>
        <w:t>Masse volumique apparente selon [NBN EN 1015-10] :</w:t>
      </w:r>
      <w:r>
        <w:rPr>
          <w:rStyle w:val="optioncarChar"/>
        </w:rPr>
        <w:t xml:space="preserve"> ***</w:t>
      </w:r>
      <w:r>
        <w:t xml:space="preserve"> kg/m³</w:t>
      </w:r>
    </w:p>
    <w:p w14:paraId="71BB91BF" w14:textId="77777777" w:rsidR="00DB2B68" w:rsidRDefault="00000000">
      <w:pPr>
        <w:jc w:val="both"/>
      </w:pPr>
      <w:r>
        <w:t xml:space="preserve">Résistance en compression selon [NBN EN 1015-11] : ≥ </w:t>
      </w:r>
      <w:r>
        <w:rPr>
          <w:rStyle w:val="optioncarChar"/>
        </w:rPr>
        <w:t>***</w:t>
      </w:r>
      <w:r>
        <w:t xml:space="preserve"> N/mm²</w:t>
      </w:r>
    </w:p>
    <w:p w14:paraId="43D3477E" w14:textId="77777777" w:rsidR="00DB2B68" w:rsidRDefault="00000000">
      <w:pPr>
        <w:jc w:val="both"/>
      </w:pPr>
      <w:r>
        <w:t>Absorption d’eau selon [NBN EN 1015-18] :</w:t>
      </w:r>
      <w:r>
        <w:rPr>
          <w:rStyle w:val="optioncarChar"/>
        </w:rPr>
        <w:t xml:space="preserve"> ***</w:t>
      </w:r>
      <w:r>
        <w:t xml:space="preserve"> kg/m²</w:t>
      </w:r>
    </w:p>
    <w:p w14:paraId="1B6A9766" w14:textId="77777777" w:rsidR="00DB2B68" w:rsidRDefault="00000000">
      <w:pPr>
        <w:jc w:val="both"/>
      </w:pPr>
      <w:r>
        <w:t>Adhérence  - Résistance initiale au cisaillement f</w:t>
      </w:r>
      <w:r>
        <w:rPr>
          <w:vertAlign w:val="subscript"/>
        </w:rPr>
        <w:t>vk0</w:t>
      </w:r>
      <w:r>
        <w:t xml:space="preserve"> selon la [NBN EN 1052-3] : ≥</w:t>
      </w:r>
      <w:r>
        <w:rPr>
          <w:rStyle w:val="optioncarChar"/>
        </w:rPr>
        <w:t xml:space="preserve"> ***</w:t>
      </w:r>
      <w:r>
        <w:t xml:space="preserve"> N/mm²</w:t>
      </w:r>
    </w:p>
    <w:p w14:paraId="633EE9BC" w14:textId="77777777" w:rsidR="00DB2B68" w:rsidRDefault="00000000">
      <w:pPr>
        <w:jc w:val="both"/>
      </w:pPr>
      <w:r>
        <w:t xml:space="preserve">Epaisseur des joints : </w:t>
      </w:r>
      <w:r>
        <w:rPr>
          <w:rStyle w:val="optioncarChar"/>
        </w:rPr>
        <w:t>3 ( mortier-colle)</w:t>
      </w:r>
      <w:r>
        <w:t xml:space="preserve"> (par défaut)</w:t>
      </w:r>
      <w:r>
        <w:rPr>
          <w:rStyle w:val="optioncarChar"/>
        </w:rPr>
        <w:t> / 12 (mortier à la chaux) / ***</w:t>
      </w:r>
      <w:r>
        <w:t xml:space="preserve"> mm.</w:t>
      </w:r>
    </w:p>
    <w:p w14:paraId="7F99CEA6" w14:textId="77777777" w:rsidR="00DB2B68" w:rsidRDefault="00000000">
      <w:pPr>
        <w:jc w:val="both"/>
      </w:pPr>
      <w:r>
        <w:t xml:space="preserve">Réaction au feu : </w:t>
      </w:r>
      <w:r>
        <w:rPr>
          <w:rStyle w:val="optioncarChar"/>
        </w:rPr>
        <w:t>***</w:t>
      </w:r>
    </w:p>
    <w:p w14:paraId="4A99B216" w14:textId="77777777" w:rsidR="00DB2B68" w:rsidRDefault="00000000">
      <w:pPr>
        <w:jc w:val="both"/>
      </w:pPr>
      <w:r>
        <w:t> </w:t>
      </w:r>
    </w:p>
    <w:p w14:paraId="0551D288" w14:textId="77777777" w:rsidR="00DB2B68" w:rsidRDefault="00000000">
      <w:pPr>
        <w:jc w:val="both"/>
      </w:pPr>
      <w:r>
        <w:rPr>
          <w:b/>
        </w:rPr>
        <w:t>Maçonnerie</w:t>
      </w:r>
    </w:p>
    <w:p w14:paraId="2F066B65" w14:textId="77777777" w:rsidR="00DB2B68" w:rsidRDefault="00000000">
      <w:pPr>
        <w:jc w:val="both"/>
      </w:pPr>
      <w:r>
        <w:t>Valeur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14:paraId="2452E02E" w14:textId="77777777" w:rsidR="00DB2B68" w:rsidRDefault="00000000">
      <w:pPr>
        <w:jc w:val="both"/>
      </w:pPr>
      <w:r>
        <w:t>Résistance au feu ([NBN EN 13501-2], [NBN EN 1364-1]):</w:t>
      </w:r>
      <w:r>
        <w:rPr>
          <w:rStyle w:val="optioncarChar"/>
        </w:rPr>
        <w:t xml:space="preserve"> EI30 </w:t>
      </w:r>
      <w:r>
        <w:t>(par défaut)</w:t>
      </w:r>
      <w:r>
        <w:rPr>
          <w:rStyle w:val="optioncarChar"/>
        </w:rPr>
        <w:t xml:space="preserve"> / EI60 / EI90 / EI120 / ***</w:t>
      </w:r>
    </w:p>
    <w:p w14:paraId="1A6EFA10" w14:textId="77777777" w:rsidR="00DB2B68" w:rsidRDefault="00000000">
      <w:pPr>
        <w:jc w:val="both"/>
      </w:pPr>
      <w:r>
        <w:t xml:space="preserve">Performances acoustiques : </w:t>
      </w:r>
      <w:r>
        <w:rPr>
          <w:rStyle w:val="optioncarChar"/>
        </w:rPr>
        <w:t>***</w:t>
      </w:r>
    </w:p>
    <w:p w14:paraId="2E7BF7E1" w14:textId="77777777" w:rsidR="00DB2B68" w:rsidRDefault="00000000">
      <w:pPr>
        <w:pStyle w:val="pheading"/>
      </w:pPr>
      <w:r>
        <w:t>- Finitions</w:t>
      </w:r>
    </w:p>
    <w:p w14:paraId="64E131D3" w14:textId="77777777" w:rsidR="00DB2B68" w:rsidRDefault="00000000">
      <w:pPr>
        <w:jc w:val="both"/>
      </w:pPr>
      <w:r>
        <w:t xml:space="preserve">Les blocs de chaux-chanvre sont : </w:t>
      </w:r>
      <w:r>
        <w:rPr>
          <w:rStyle w:val="optioncarChar"/>
        </w:rPr>
        <w:t xml:space="preserve">apparents </w:t>
      </w:r>
      <w:r>
        <w:t>(soit par défaut)</w:t>
      </w:r>
      <w:r>
        <w:rPr>
          <w:rStyle w:val="optioncarChar"/>
        </w:rPr>
        <w:t xml:space="preserve"> / enduits / peints</w:t>
      </w:r>
      <w:r>
        <w:t>.</w:t>
      </w:r>
    </w:p>
    <w:p w14:paraId="2E41699C" w14:textId="77777777" w:rsidR="00DB2B68" w:rsidRDefault="00000000">
      <w:pPr>
        <w:jc w:val="both"/>
      </w:pPr>
      <w:r>
        <w:rPr>
          <w:b/>
        </w:rPr>
        <w:t>(soit par défaut)</w:t>
      </w:r>
    </w:p>
    <w:p w14:paraId="1E7D461D" w14:textId="77777777" w:rsidR="00DB2B68" w:rsidRDefault="00000000">
      <w:pPr>
        <w:jc w:val="both"/>
      </w:pPr>
      <w:r>
        <w:rPr>
          <w:rStyle w:val="soitChar"/>
          <w:u w:val="single"/>
        </w:rPr>
        <w:lastRenderedPageBreak/>
        <w:t>Apparents</w:t>
      </w:r>
      <w:r>
        <w:rPr>
          <w:rStyle w:val="soitChar"/>
        </w:rPr>
        <w:t xml:space="preserve"> : Laissés apparents</w:t>
      </w:r>
    </w:p>
    <w:p w14:paraId="46F7821A" w14:textId="77777777" w:rsidR="00DB2B68" w:rsidRDefault="00000000">
      <w:pPr>
        <w:jc w:val="both"/>
      </w:pPr>
      <w:r>
        <w:rPr>
          <w:b/>
        </w:rPr>
        <w:t>(soit)</w:t>
      </w:r>
    </w:p>
    <w:p w14:paraId="204708CC" w14:textId="77777777" w:rsidR="00DB2B68" w:rsidRDefault="00000000">
      <w:pPr>
        <w:jc w:val="both"/>
      </w:pPr>
      <w:r>
        <w:rPr>
          <w:rStyle w:val="soitChar"/>
          <w:u w:val="single"/>
        </w:rPr>
        <w:t>Enduits</w:t>
      </w:r>
      <w:r>
        <w:rPr>
          <w:rStyle w:val="soitChar"/>
        </w:rPr>
        <w:t xml:space="preserve"> : enduit plâtreux, cimentage ou encore enduit d'argile décrits et comptabilisés dans des articles séparés</w:t>
      </w:r>
    </w:p>
    <w:p w14:paraId="60293C6B" w14:textId="77777777" w:rsidR="00DB2B68" w:rsidRDefault="00000000">
      <w:pPr>
        <w:jc w:val="both"/>
      </w:pPr>
      <w:r>
        <w:rPr>
          <w:b/>
        </w:rPr>
        <w:t>(soit)</w:t>
      </w:r>
    </w:p>
    <w:p w14:paraId="28FFCB8F" w14:textId="77777777" w:rsidR="00DB2B68" w:rsidRDefault="00000000">
      <w:pPr>
        <w:jc w:val="both"/>
      </w:pPr>
      <w:r>
        <w:rPr>
          <w:rStyle w:val="soitChar"/>
          <w:u w:val="single"/>
        </w:rPr>
        <w:t>Peints</w:t>
      </w:r>
      <w:r>
        <w:rPr>
          <w:rStyle w:val="soitChar"/>
        </w:rPr>
        <w:t> : travaux de peinture décrits et comptabilisés dans des articles séparés</w:t>
      </w:r>
    </w:p>
    <w:p w14:paraId="7830FBFF" w14:textId="77777777" w:rsidR="00DB2B68" w:rsidRDefault="00000000">
      <w:pPr>
        <w:jc w:val="both"/>
      </w:pPr>
      <w:r>
        <w:t xml:space="preserve">Les maçonneries en blocs de chaux-chanvre </w:t>
      </w:r>
      <w:r>
        <w:rPr>
          <w:rStyle w:val="optioncarChar"/>
        </w:rPr>
        <w:t>sont / ne sont pas</w:t>
      </w:r>
      <w:r>
        <w:t xml:space="preserve"> (par défaut) rejointoyées.</w:t>
      </w:r>
    </w:p>
    <w:p w14:paraId="0A4057AE" w14:textId="77777777" w:rsidR="00DB2B68" w:rsidRDefault="00000000">
      <w:pPr>
        <w:pStyle w:val="Author-eListParagraph"/>
        <w:numPr>
          <w:ilvl w:val="0"/>
          <w:numId w:val="215"/>
        </w:numPr>
      </w:pPr>
      <w:r>
        <w:t xml:space="preserve">Le cas échéant, 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w:t>
      </w:r>
      <w:r>
        <w:rPr>
          <w:rStyle w:val="optioncarChar"/>
        </w:rPr>
        <w:t>***</w:t>
      </w:r>
      <w:r>
        <w:t>.</w:t>
      </w:r>
    </w:p>
    <w:p w14:paraId="6170735E" w14:textId="77777777" w:rsidR="00DB2B68" w:rsidRDefault="00000000">
      <w:pPr>
        <w:pStyle w:val="Author-eListParagraph"/>
        <w:numPr>
          <w:ilvl w:val="0"/>
          <w:numId w:val="215"/>
        </w:numPr>
      </w:pPr>
      <w:r>
        <w:t xml:space="preserve">Les murs suivants sont exécutés avec une face restant apparente : </w:t>
      </w:r>
      <w:r>
        <w:rPr>
          <w:rStyle w:val="optioncarChar"/>
        </w:rPr>
        <w:t>***</w:t>
      </w:r>
    </w:p>
    <w:p w14:paraId="3206D017" w14:textId="77777777" w:rsidR="00DB2B68" w:rsidRDefault="00000000">
      <w:pPr>
        <w:pStyle w:val="Author-eListParagraph"/>
        <w:numPr>
          <w:ilvl w:val="0"/>
          <w:numId w:val="215"/>
        </w:numPr>
      </w:pPr>
      <w:r>
        <w:t xml:space="preserve">Les murs suivants sont exécutés avec deux faces restant apparentes : </w:t>
      </w:r>
      <w:r>
        <w:rPr>
          <w:rStyle w:val="optioncarChar"/>
        </w:rPr>
        <w:t>***</w:t>
      </w:r>
    </w:p>
    <w:p w14:paraId="4A69CE42" w14:textId="77777777" w:rsidR="00DB2B68" w:rsidRDefault="00000000">
      <w:pPr>
        <w:jc w:val="both"/>
      </w:pPr>
      <w:r>
        <w:t xml:space="preserve">Couleur des joints : </w:t>
      </w:r>
      <w:r>
        <w:rPr>
          <w:rStyle w:val="optioncarChar"/>
        </w:rPr>
        <w:t>pas de joint /</w:t>
      </w:r>
      <w:r>
        <w:t> </w:t>
      </w:r>
      <w:r>
        <w:rPr>
          <w:rStyle w:val="optioncarChar"/>
        </w:rPr>
        <w:t>couleur approchant celle des blocs </w:t>
      </w:r>
      <w:r>
        <w:t>(par défaut)</w:t>
      </w:r>
      <w:r>
        <w:rPr>
          <w:rStyle w:val="optioncarChar"/>
        </w:rPr>
        <w:t xml:space="preserve"> / ***</w:t>
      </w:r>
      <w:r>
        <w:t>.</w:t>
      </w:r>
    </w:p>
    <w:p w14:paraId="581A93E4" w14:textId="77777777" w:rsidR="00DB2B68" w:rsidRDefault="00000000">
      <w:pPr>
        <w:jc w:val="both"/>
      </w:pPr>
      <w:r>
        <w:t xml:space="preserve">Type de joints : </w:t>
      </w:r>
      <w:r>
        <w:rPr>
          <w:rStyle w:val="optioncarChar"/>
        </w:rPr>
        <w:t>joint creux</w:t>
      </w:r>
      <w:r>
        <w:t xml:space="preserve"> (par défaut)</w:t>
      </w:r>
      <w:r>
        <w:rPr>
          <w:rStyle w:val="optioncarChar"/>
        </w:rPr>
        <w:t xml:space="preserve"> / joint creux en retrait / joint plat / joint plat en retrait / joint biais en retrait / ***.</w:t>
      </w:r>
    </w:p>
    <w:p w14:paraId="0EA86A79" w14:textId="77777777" w:rsidR="00DB2B68" w:rsidRDefault="00000000">
      <w:pPr>
        <w:jc w:val="both"/>
      </w:pPr>
      <w:r>
        <w:t>Finition des joints :</w:t>
      </w:r>
      <w:r>
        <w:rPr>
          <w:rStyle w:val="optioncarChar"/>
        </w:rPr>
        <w:t xml:space="preserve"> joint brossé</w:t>
      </w:r>
      <w:r>
        <w:t xml:space="preserve"> (par défaut) </w:t>
      </w:r>
      <w:r>
        <w:rPr>
          <w:rStyle w:val="optioncarChar"/>
        </w:rPr>
        <w:t>/ finition lisse / joint frappé à la brosse dure / ***</w:t>
      </w:r>
      <w:r>
        <w:t>.</w:t>
      </w:r>
    </w:p>
    <w:p w14:paraId="6E0952DC" w14:textId="77777777" w:rsidR="00DB2B68" w:rsidRDefault="00000000">
      <w:pPr>
        <w:pStyle w:val="pheading"/>
      </w:pPr>
      <w:r>
        <w:t>- Prescriptions complémentaires</w:t>
      </w:r>
    </w:p>
    <w:p w14:paraId="76BCB6E2" w14:textId="77777777" w:rsidR="00DB2B68" w:rsidRDefault="00000000">
      <w:pPr>
        <w:jc w:val="both"/>
      </w:pPr>
      <w:r>
        <w:rPr>
          <w:rStyle w:val="facultChar"/>
        </w:rPr>
        <w:t>Le mortier et la maçonnerie disposent d'une déclaration d'aptitude à l'utilisation suivant les prescriptions de l'élément 02.42.1 Critères d'acceptabilité.</w:t>
      </w:r>
    </w:p>
    <w:p w14:paraId="40C0EAC5" w14:textId="77777777" w:rsidR="00DB2B68" w:rsidRDefault="00000000">
      <w:pPr>
        <w:pStyle w:val="pheading"/>
      </w:pPr>
      <w:r>
        <w:t>EXÉCUTION / MISE EN ŒUVRE</w:t>
      </w:r>
    </w:p>
    <w:p w14:paraId="43FB6C58" w14:textId="77777777" w:rsidR="00DB2B68" w:rsidRDefault="00000000">
      <w:pPr>
        <w:pStyle w:val="pheading"/>
      </w:pPr>
      <w:r>
        <w:t>- Prescriptions générales</w:t>
      </w:r>
    </w:p>
    <w:p w14:paraId="1F785193" w14:textId="77777777" w:rsidR="00DB2B68" w:rsidRDefault="00000000">
      <w:pPr>
        <w:jc w:val="both"/>
      </w:pPr>
      <w:r>
        <w:t>La documentation technique accompagnant le produit renseigne les spécificités de la mise en œuvre (chevauchement minimal, etc.).</w:t>
      </w:r>
    </w:p>
    <w:p w14:paraId="65DE3391" w14:textId="77777777" w:rsidR="00DB2B68" w:rsidRDefault="00000000">
      <w:pPr>
        <w:jc w:val="both"/>
      </w:pPr>
      <w:r>
        <w:t xml:space="preserve">La maçonnerie est exécutée en appareillage </w:t>
      </w:r>
      <w:r>
        <w:rPr>
          <w:rStyle w:val="optioncarChar"/>
        </w:rPr>
        <w:t>d’une demi-brique / un tiers de brique minimum /***</w:t>
      </w:r>
      <w:r>
        <w:t>.</w:t>
      </w:r>
    </w:p>
    <w:p w14:paraId="186D203D" w14:textId="77777777" w:rsidR="00DB2B68" w:rsidRDefault="00000000">
      <w:pPr>
        <w:jc w:val="both"/>
      </w:pPr>
      <w:r>
        <w:t xml:space="preserve">Linteaux : </w:t>
      </w:r>
      <w:r>
        <w:rPr>
          <w:rStyle w:val="optioncarChar"/>
        </w:rPr>
        <w:t>***</w:t>
      </w:r>
      <w:r>
        <w:t>.</w:t>
      </w:r>
    </w:p>
    <w:p w14:paraId="2D7A807B" w14:textId="77777777" w:rsidR="00DB2B68" w:rsidRDefault="00000000">
      <w:pPr>
        <w:pStyle w:val="pheading"/>
      </w:pPr>
      <w:r>
        <w:t>- Notes d’exécution complémentaires</w:t>
      </w:r>
    </w:p>
    <w:p w14:paraId="4F9FAAA0" w14:textId="77777777" w:rsidR="00DB2B68" w:rsidRDefault="00000000">
      <w:pPr>
        <w:jc w:val="both"/>
      </w:pPr>
      <w:r>
        <w:rPr>
          <w:rStyle w:val="facultChar"/>
        </w:rPr>
        <w:t xml:space="preserve">Armatures horizontales : selon l'élément </w:t>
      </w:r>
      <w:hyperlink w:anchor="357" w:history="1">
        <w:r>
          <w:rPr>
            <w:rStyle w:val="facultChar"/>
            <w:color w:val="0000EE"/>
          </w:rPr>
          <w:t>21.41.1 Armatures horizontales pour maçonneries</w:t>
        </w:r>
      </w:hyperlink>
      <w:r>
        <w:rPr>
          <w:rStyle w:val="facultChar"/>
        </w:rPr>
        <w:t>.</w:t>
      </w:r>
    </w:p>
    <w:p w14:paraId="3B61A1F4" w14:textId="77777777" w:rsidR="00DB2B68" w:rsidRDefault="00000000">
      <w:pPr>
        <w:jc w:val="both"/>
      </w:pPr>
      <w:r>
        <w:rPr>
          <w:rStyle w:val="facultChar"/>
        </w:rPr>
        <w:t xml:space="preserve">Ancrages : selon l'élément </w:t>
      </w:r>
      <w:hyperlink w:anchor="364" w:history="1">
        <w:r>
          <w:rPr>
            <w:rStyle w:val="facultChar"/>
            <w:color w:val="0000EE"/>
          </w:rPr>
          <w:t>21.42 Ancrages et fixations de maçonneries</w:t>
        </w:r>
      </w:hyperlink>
    </w:p>
    <w:p w14:paraId="2B8EE1B6" w14:textId="77777777" w:rsidR="00DB2B68" w:rsidRDefault="00000000">
      <w:pPr>
        <w:jc w:val="both"/>
      </w:pPr>
      <w:r>
        <w:rPr>
          <w:rStyle w:val="facultChar"/>
        </w:rPr>
        <w:t>Blocs spéciaux :</w:t>
      </w:r>
      <w:r>
        <w:rPr>
          <w:rStyle w:val="optioncarChar"/>
        </w:rPr>
        <w:t>***</w:t>
      </w:r>
    </w:p>
    <w:p w14:paraId="2375D551" w14:textId="77777777" w:rsidR="00DB2B68" w:rsidRDefault="00000000">
      <w:pPr>
        <w:jc w:val="both"/>
      </w:pPr>
      <w:r>
        <w:rPr>
          <w:rStyle w:val="facultChar"/>
        </w:rPr>
        <w:t>Étanchéité :</w:t>
      </w:r>
      <w:r>
        <w:rPr>
          <w:rStyle w:val="optioncarChar"/>
        </w:rPr>
        <w:t>***</w:t>
      </w:r>
    </w:p>
    <w:p w14:paraId="7A8541DD" w14:textId="77777777" w:rsidR="00DB2B68" w:rsidRDefault="00000000">
      <w:pPr>
        <w:jc w:val="both"/>
      </w:pPr>
      <w:r>
        <w:rPr>
          <w:rStyle w:val="facultChar"/>
        </w:rPr>
        <w:t>Joints de dilatation :</w:t>
      </w:r>
      <w:r>
        <w:rPr>
          <w:rStyle w:val="optioncarChar"/>
        </w:rPr>
        <w:t>***</w:t>
      </w:r>
    </w:p>
    <w:p w14:paraId="653CB963" w14:textId="77777777" w:rsidR="00DB2B68" w:rsidRDefault="00000000">
      <w:pPr>
        <w:pStyle w:val="pheading"/>
      </w:pPr>
      <w:r>
        <w:t>- Échantillons</w:t>
      </w:r>
    </w:p>
    <w:p w14:paraId="65A0FFC7" w14:textId="77777777" w:rsidR="00DB2B68" w:rsidRDefault="00000000">
      <w:pPr>
        <w:jc w:val="both"/>
      </w:pPr>
      <w:r>
        <w:t>L’entrepreneur soumet un échantillon de bloc à l'auteur de projet.</w:t>
      </w:r>
    </w:p>
    <w:p w14:paraId="6C8155F3" w14:textId="77777777" w:rsidR="00DB2B68" w:rsidRDefault="00000000">
      <w:pPr>
        <w:jc w:val="both"/>
      </w:pPr>
      <w:r>
        <w:t>En vue du choix définitif des blocs, un ou plusieurs échantillons d'environ 1 m² sont maçonnés à la demande de l'auteur de projet; les frais inhérents à la construction et à la démolition de ces murs sont à charge de l'entrepreneur.</w:t>
      </w:r>
    </w:p>
    <w:p w14:paraId="38CB3141" w14:textId="77777777" w:rsidR="00DB2B68" w:rsidRDefault="00000000">
      <w:pPr>
        <w:pStyle w:val="pheading"/>
      </w:pPr>
      <w:r>
        <w:t>DOCUMENTS DE RÉFÉRENCE COMPLÉMENTAIRES</w:t>
      </w:r>
    </w:p>
    <w:p w14:paraId="662D6CB1" w14:textId="77777777" w:rsidR="00DB2B68" w:rsidRDefault="00000000">
      <w:pPr>
        <w:pStyle w:val="pheading"/>
      </w:pPr>
      <w:r>
        <w:t>- Matériau</w:t>
      </w:r>
    </w:p>
    <w:p w14:paraId="77AFB995" w14:textId="77777777" w:rsidR="00DB2B68" w:rsidRDefault="00000000">
      <w:r>
        <w:t>[PTV 21-001, Eléments de maçonnerie en béton (granulats courants et légers) - Classification et spécifications d'application]</w:t>
      </w:r>
    </w:p>
    <w:p w14:paraId="2B6F8FED" w14:textId="77777777" w:rsidR="00DB2B68" w:rsidRDefault="00000000">
      <w:r>
        <w:t>[NBN EN 772-1+A1, Méthodes d'essai des éléments de maçonnerie - Partie 1: Détermination de la résistance à la compression]</w:t>
      </w:r>
    </w:p>
    <w:p w14:paraId="71F1483E" w14:textId="77777777" w:rsidR="00DB2B68" w:rsidRDefault="00000000">
      <w:r>
        <w:lastRenderedPageBreak/>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506D67DC" w14:textId="77777777" w:rsidR="00DB2B68" w:rsidRDefault="00000000">
      <w:r>
        <w:t>[NBN EN 772-13, Méthodes d'essai des éléments de maçonnerie - Partie 13: Détermination de la masse volumique absolue sèche et de la masse volumique apparente sèche des éléments de maçonnerie (excepté les pierres naturelles)]</w:t>
      </w:r>
    </w:p>
    <w:p w14:paraId="10364E26" w14:textId="77777777" w:rsidR="00DB2B68" w:rsidRDefault="00000000">
      <w:r>
        <w:t>[NBN EN 772-14, Méthode d'essai pour des éléments de maçonnerie - Partie 14 : Détermination de la variation due à l'humidité des éléments de maçonnerie en béton de granulats et en pierre reconstituée]</w:t>
      </w:r>
    </w:p>
    <w:p w14:paraId="0E60B883" w14:textId="77777777" w:rsidR="00DB2B68" w:rsidRDefault="00000000">
      <w:r>
        <w:t>[NBN EN ISO 12572, Performance hygrothermique des matériaux et produits pour le bâtiment - Détermination des propriétés de transmission de la vapeur d'eau - Méthode de la coupelle (ISO 12572:2016)]</w:t>
      </w:r>
    </w:p>
    <w:p w14:paraId="2F932F9D" w14:textId="77777777" w:rsidR="00DB2B68" w:rsidRDefault="00000000">
      <w:r>
        <w:t>[NBN B 15-231, Essais des bétons - Gélivité]</w:t>
      </w:r>
    </w:p>
    <w:p w14:paraId="3C967273" w14:textId="77777777" w:rsidR="00DB2B68" w:rsidRDefault="00000000">
      <w:r>
        <w:t>[NBN EN 1015-10, Méthodes d'essai des mortiers pour la maçonnerie - Partie 10: Détermination de la masse volumique apparente sèche du mortier durci]</w:t>
      </w:r>
    </w:p>
    <w:p w14:paraId="72B18C80" w14:textId="77777777" w:rsidR="00DB2B68" w:rsidRDefault="00000000">
      <w:r>
        <w:t>[NBN EN 1015-11, Méthodes d'essai des mortiers pour maçonnerie - Détermination de la résistance à la flexion et à la compression du mortier durci]</w:t>
      </w:r>
    </w:p>
    <w:p w14:paraId="20680BD4" w14:textId="77777777" w:rsidR="00DB2B68" w:rsidRDefault="00000000">
      <w:r>
        <w:t>[NBN EN 1015-18, Méthodes d'essai des mortiers pour maçonnerie - Partie 18: Détermination du coefficient d'absorption d'eau par capillarité du mortier durci]</w:t>
      </w:r>
    </w:p>
    <w:p w14:paraId="529A8B46" w14:textId="77777777" w:rsidR="00DB2B68" w:rsidRDefault="00000000">
      <w:r>
        <w:t>[NBN EN 1052-3, Méthodes d'essai de la maçonnerie - Partie 3: Détermination de la résistance initiale au cisaillement]</w:t>
      </w:r>
    </w:p>
    <w:p w14:paraId="0DDDCC4E"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10F397F1" w14:textId="77777777" w:rsidR="00DB2B68" w:rsidRDefault="00000000">
      <w:r>
        <w:t>[NBN EN 1364-1, Essais de résistance au feu des éléments non porteurs - Partie 1: Murs]</w:t>
      </w:r>
    </w:p>
    <w:p w14:paraId="6C18B697" w14:textId="77777777" w:rsidR="00DB2B68" w:rsidRDefault="00000000">
      <w:pPr>
        <w:pStyle w:val="pheading"/>
      </w:pPr>
      <w:r>
        <w:t>MESURAGE</w:t>
      </w:r>
    </w:p>
    <w:p w14:paraId="0B21A7FC" w14:textId="77777777" w:rsidR="00DB2B68" w:rsidRDefault="00000000">
      <w:pPr>
        <w:pStyle w:val="pheading"/>
      </w:pPr>
      <w:r>
        <w:t>- unité de mesure:</w:t>
      </w:r>
    </w:p>
    <w:p w14:paraId="25361C08" w14:textId="77777777" w:rsidR="00DB2B68" w:rsidRDefault="00000000">
      <w:r>
        <w:rPr>
          <w:rStyle w:val="optioncarChar"/>
        </w:rPr>
        <w:t>m³ </w:t>
      </w:r>
      <w:r>
        <w:t>(par défaut)</w:t>
      </w:r>
      <w:r>
        <w:rPr>
          <w:rStyle w:val="optioncarChar"/>
        </w:rPr>
        <w:t> / m²</w:t>
      </w:r>
    </w:p>
    <w:p w14:paraId="27DE1C33" w14:textId="77777777" w:rsidR="00DB2B68" w:rsidRDefault="00000000">
      <w:r>
        <w:rPr>
          <w:b/>
        </w:rPr>
        <w:t>(soit par défaut)</w:t>
      </w:r>
    </w:p>
    <w:p w14:paraId="0EEC9A56" w14:textId="77777777" w:rsidR="00DB2B68" w:rsidRDefault="00000000">
      <w:r>
        <w:rPr>
          <w:rStyle w:val="soitChar"/>
        </w:rPr>
        <w:t>1. m³</w:t>
      </w:r>
    </w:p>
    <w:p w14:paraId="25E9857F" w14:textId="77777777" w:rsidR="00DB2B68" w:rsidRDefault="00000000">
      <w:r>
        <w:rPr>
          <w:b/>
        </w:rPr>
        <w:t>(soit)</w:t>
      </w:r>
    </w:p>
    <w:p w14:paraId="0AB33215" w14:textId="77777777" w:rsidR="00DB2B68" w:rsidRDefault="00000000">
      <w:r>
        <w:rPr>
          <w:rStyle w:val="soitChar"/>
        </w:rPr>
        <w:t>2. m²</w:t>
      </w:r>
    </w:p>
    <w:p w14:paraId="1794F40C" w14:textId="77777777" w:rsidR="00DB2B68" w:rsidRDefault="00000000">
      <w:pPr>
        <w:pStyle w:val="pheading"/>
      </w:pPr>
      <w:r>
        <w:t>- code de mesurage:</w:t>
      </w:r>
    </w:p>
    <w:p w14:paraId="48632E7A"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FFAC80D"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2D96A5E"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r>
      <w:r>
        <w:lastRenderedPageBreak/>
        <w:t>La maçonnerie autour des conduits de fumée et de ventilation est mesurée comme un mur plein pour les fourreaux jusqu'à une section de 0,12 m2.</w:t>
      </w:r>
    </w:p>
    <w:p w14:paraId="19D29B93" w14:textId="77777777" w:rsidR="00DB2B68" w:rsidRDefault="00000000">
      <w:r>
        <w:rPr>
          <w:rStyle w:val="optioncarChar"/>
        </w:rPr>
        <w:t>Volume net </w:t>
      </w:r>
      <w:r>
        <w:t>(par défaut)</w:t>
      </w:r>
      <w:r>
        <w:rPr>
          <w:rStyle w:val="optioncarChar"/>
        </w:rPr>
        <w:t> / Surface nette</w:t>
      </w:r>
    </w:p>
    <w:p w14:paraId="3FA720F5" w14:textId="77777777" w:rsidR="00DB2B68" w:rsidRDefault="00000000">
      <w:r>
        <w:rPr>
          <w:b/>
        </w:rPr>
        <w:t>(soit par défaut)</w:t>
      </w:r>
    </w:p>
    <w:p w14:paraId="09A82695"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2DCD1DC" w14:textId="77777777" w:rsidR="00DB2B68" w:rsidRDefault="00000000">
      <w:r>
        <w:rPr>
          <w:b/>
        </w:rPr>
        <w:t>(soit)</w:t>
      </w:r>
    </w:p>
    <w:p w14:paraId="3C6BB373"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AD0040B" w14:textId="77777777" w:rsidR="00DB2B68" w:rsidRDefault="00000000">
      <w:pPr>
        <w:pStyle w:val="pheading"/>
      </w:pPr>
      <w:r>
        <w:t>- nature du marché:</w:t>
      </w:r>
    </w:p>
    <w:p w14:paraId="6937D57D" w14:textId="77777777" w:rsidR="00DB2B68" w:rsidRDefault="00000000">
      <w:r>
        <w:t>QF</w:t>
      </w:r>
    </w:p>
    <w:p w14:paraId="1E05FECB" w14:textId="77777777" w:rsidR="00DB2B68" w:rsidRDefault="00000000">
      <w:pPr>
        <w:pStyle w:val="Author-eSectionHeading4Numberless"/>
      </w:pPr>
      <w:bookmarkStart w:id="197" w:name="_Toc220495335"/>
      <w:r>
        <w:t>21.23 Maçonneries non portantes en pierre CCTB 01.12</w:t>
      </w:r>
      <w:bookmarkEnd w:id="197"/>
    </w:p>
    <w:p w14:paraId="670C782D" w14:textId="77777777" w:rsidR="00DB2B68" w:rsidRDefault="00000000">
      <w:pPr>
        <w:pStyle w:val="pheading"/>
      </w:pPr>
      <w:bookmarkStart w:id="198" w:name="460"/>
      <w:bookmarkEnd w:id="198"/>
      <w:r>
        <w:t>MATÉRIAUX</w:t>
      </w:r>
    </w:p>
    <w:p w14:paraId="646B4CA8" w14:textId="77777777" w:rsidR="00DB2B68" w:rsidRDefault="00000000">
      <w:pPr>
        <w:jc w:val="both"/>
      </w:pPr>
      <w:r>
        <w:rPr>
          <w:b/>
        </w:rPr>
        <w:t>Divers :</w:t>
      </w:r>
    </w:p>
    <w:p w14:paraId="0368C1F8" w14:textId="77777777" w:rsidR="00DB2B68" w:rsidRDefault="00000000">
      <w:pPr>
        <w:jc w:val="both"/>
      </w:pPr>
      <w:r>
        <w:t>Toutes les pierres sont exemptes de défauts de nature à compromettre leur bonne tenue dans le temps et à entraver leur utilisation.</w:t>
      </w:r>
    </w:p>
    <w:p w14:paraId="64E60103" w14:textId="77777777" w:rsidR="00DB2B68" w:rsidRDefault="00000000">
      <w:pPr>
        <w:jc w:val="both"/>
      </w:pPr>
      <w:r>
        <w:t>Les pierres sont saines, compactes et cohérentes, sans microfissuration ni minéraux altérés, sonnent clair sous le coup d'un marteau de fer.</w:t>
      </w:r>
    </w:p>
    <w:p w14:paraId="66C1B996" w14:textId="77777777" w:rsidR="00DB2B68" w:rsidRDefault="00000000">
      <w:pPr>
        <w:jc w:val="both"/>
      </w:pPr>
      <w:r>
        <w:t>Elles sont débarrassées de toute gangue ou terre, ébousinées à vif et parfaitement nettoyées.</w:t>
      </w:r>
    </w:p>
    <w:p w14:paraId="30F9A61B" w14:textId="77777777" w:rsidR="00DB2B68" w:rsidRDefault="00000000">
      <w:pPr>
        <w:jc w:val="both"/>
      </w:pPr>
      <w:r>
        <w:t>Elles sont exemptes de toutes souillures comme les taches de graisse, d'huile, rouille, etc.</w:t>
      </w:r>
    </w:p>
    <w:p w14:paraId="746621E3" w14:textId="77777777" w:rsidR="00DB2B68" w:rsidRDefault="00000000">
      <w:pPr>
        <w:jc w:val="both"/>
      </w:pPr>
      <w:r>
        <w:t>Les fortes hétérogénéités (comme les zones schisteuses ou de poudingues) et les discontinuités, en particulier celles qui présentent un comportement inégal lors du séchage, conduisent au rebut.</w:t>
      </w:r>
    </w:p>
    <w:p w14:paraId="0D2EF7A1" w14:textId="77777777" w:rsidR="00DB2B68" w:rsidRDefault="00000000">
      <w:pPr>
        <w:jc w:val="both"/>
      </w:pPr>
      <w:r>
        <w:t>Les pierres considérées inaptes ne sont pas posées et sont, le cas échéant, remplacées aux frais de l'entrepreneur.</w:t>
      </w:r>
    </w:p>
    <w:p w14:paraId="5DDEA032" w14:textId="77777777" w:rsidR="00DB2B68" w:rsidRDefault="00000000">
      <w:pPr>
        <w:jc w:val="both"/>
      </w:pPr>
      <w:r>
        <w:t>Les pierres mises en œuvre dans une même partie d'un bâtiment proviennent d’un même lot et ne différent pas de teinte entre elles.</w:t>
      </w:r>
    </w:p>
    <w:p w14:paraId="40B48DA8" w14:textId="77777777" w:rsidR="00DB2B68" w:rsidRDefault="00000000">
      <w:pPr>
        <w:jc w:val="both"/>
      </w:pPr>
      <w:r>
        <w:t>Il est interdit d'utiliser un mastic ou toute autre pâte de jointoiement pour cacher les défauts.</w:t>
      </w:r>
    </w:p>
    <w:p w14:paraId="69AB4AA8" w14:textId="77777777" w:rsidR="00DB2B68" w:rsidRDefault="00000000">
      <w:pPr>
        <w:pStyle w:val="pheading"/>
      </w:pPr>
      <w:r>
        <w:t>EXÉCUTION / MISE EN ŒUVRE</w:t>
      </w:r>
    </w:p>
    <w:p w14:paraId="6B5C0D0F" w14:textId="77777777" w:rsidR="00DB2B68" w:rsidRDefault="00000000">
      <w:pPr>
        <w:jc w:val="both"/>
      </w:pPr>
      <w:r>
        <w:rPr>
          <w:b/>
        </w:rPr>
        <w:t>Travail de pierre / Pose :</w:t>
      </w:r>
    </w:p>
    <w:p w14:paraId="456DE638" w14:textId="77777777" w:rsidR="00DB2B68" w:rsidRDefault="00000000">
      <w:pPr>
        <w:jc w:val="both"/>
      </w:pPr>
      <w:r>
        <w:t>Toutes les précautions sont prises pour que les maçonneries de moellons aient et conservent un aspect soigné et propre.</w:t>
      </w:r>
    </w:p>
    <w:p w14:paraId="2425D03B" w14:textId="77777777" w:rsidR="00DB2B68" w:rsidRDefault="00000000">
      <w:pPr>
        <w:pStyle w:val="Author-eSectionHeading5Numberless"/>
      </w:pPr>
      <w:bookmarkStart w:id="199" w:name="_Toc220495336"/>
      <w:r>
        <w:t>21.23.1 Maçonneries non portantes en pierre de taille CCTB 01.02</w:t>
      </w:r>
      <w:bookmarkEnd w:id="199"/>
    </w:p>
    <w:p w14:paraId="59B231C3" w14:textId="77777777" w:rsidR="00DB2B68" w:rsidRDefault="00000000">
      <w:pPr>
        <w:pStyle w:val="Author-eSectionHeading6Numberless"/>
      </w:pPr>
      <w:bookmarkStart w:id="200" w:name="_Toc220495337"/>
      <w:r>
        <w:t>21.23.1a Maçonneries non portantes en petit granit - pierre bleue CCTB 01.04</w:t>
      </w:r>
      <w:bookmarkEnd w:id="200"/>
    </w:p>
    <w:p w14:paraId="242BE6E0" w14:textId="77777777" w:rsidR="00DB2B68" w:rsidRDefault="00000000">
      <w:pPr>
        <w:pStyle w:val="Author-eSectionHeading6Numberless"/>
      </w:pPr>
      <w:bookmarkStart w:id="201" w:name="_Toc220495338"/>
      <w:r>
        <w:t>21.23.1b Maçonneries non portantes en pierre calcaire CCTB 01.04</w:t>
      </w:r>
      <w:bookmarkEnd w:id="201"/>
    </w:p>
    <w:p w14:paraId="4344DB78" w14:textId="77777777" w:rsidR="00DB2B68" w:rsidRDefault="00000000">
      <w:pPr>
        <w:pStyle w:val="Author-eSectionHeading5Numberless"/>
      </w:pPr>
      <w:bookmarkStart w:id="202" w:name="_Toc220495339"/>
      <w:r>
        <w:t>21.23.2 Maçonneries non portantes en moellons de pierre calcaire CCTB 01.02</w:t>
      </w:r>
      <w:bookmarkEnd w:id="202"/>
    </w:p>
    <w:p w14:paraId="43A457FF" w14:textId="77777777" w:rsidR="00DB2B68" w:rsidRDefault="00000000">
      <w:pPr>
        <w:pStyle w:val="Author-eSectionHeading6Numberless"/>
      </w:pPr>
      <w:bookmarkStart w:id="203" w:name="_Toc220495340"/>
      <w:r>
        <w:t>21.23.2a Maçonneries non portantes en moellons de pierre bleue CCTB 01.04</w:t>
      </w:r>
      <w:bookmarkEnd w:id="203"/>
    </w:p>
    <w:p w14:paraId="12D09D78" w14:textId="77777777" w:rsidR="00DB2B68" w:rsidRDefault="00000000">
      <w:pPr>
        <w:pStyle w:val="Author-eSectionHeading6Numberless"/>
      </w:pPr>
      <w:bookmarkStart w:id="204" w:name="_Toc220495341"/>
      <w:r>
        <w:t>21.23.2b Maçonneries non portantes en moellons de pierre blanche CCTB 01.04</w:t>
      </w:r>
      <w:bookmarkEnd w:id="204"/>
    </w:p>
    <w:p w14:paraId="6835B12D" w14:textId="77777777" w:rsidR="00DB2B68" w:rsidRDefault="00000000">
      <w:pPr>
        <w:pStyle w:val="Author-eSectionHeading6Numberless"/>
      </w:pPr>
      <w:bookmarkStart w:id="205" w:name="_Toc220495342"/>
      <w:r>
        <w:t>21.23.2c Maçonneries non portantes en moellons de marbre CCTB 01.04</w:t>
      </w:r>
      <w:bookmarkEnd w:id="205"/>
    </w:p>
    <w:p w14:paraId="6EDAE81B" w14:textId="77777777" w:rsidR="00DB2B68" w:rsidRDefault="00000000">
      <w:pPr>
        <w:pStyle w:val="pheading"/>
      </w:pPr>
      <w:r>
        <w:lastRenderedPageBreak/>
        <w:t>MESURAGE</w:t>
      </w:r>
    </w:p>
    <w:p w14:paraId="5F074F10" w14:textId="77777777" w:rsidR="00DB2B68" w:rsidRDefault="00000000">
      <w:pPr>
        <w:pStyle w:val="pheading"/>
      </w:pPr>
      <w:r>
        <w:t>- unité de mesure:</w:t>
      </w:r>
    </w:p>
    <w:p w14:paraId="3671115F" w14:textId="77777777" w:rsidR="00DB2B68" w:rsidRDefault="00000000">
      <w:r>
        <w:t>m²</w:t>
      </w:r>
    </w:p>
    <w:p w14:paraId="2AB44D51" w14:textId="77777777" w:rsidR="00DB2B68" w:rsidRDefault="00000000">
      <w:pPr>
        <w:pStyle w:val="pheading"/>
      </w:pPr>
      <w:r>
        <w:t>- nature du marché:</w:t>
      </w:r>
    </w:p>
    <w:p w14:paraId="6206F42A" w14:textId="77777777" w:rsidR="00DB2B68" w:rsidRDefault="00000000">
      <w:r>
        <w:t>QF</w:t>
      </w:r>
    </w:p>
    <w:p w14:paraId="3FD1E3FF" w14:textId="77777777" w:rsidR="00DB2B68" w:rsidRDefault="00DB2B68"/>
    <w:p w14:paraId="72248753" w14:textId="77777777" w:rsidR="00DB2B68" w:rsidRDefault="00000000">
      <w:pPr>
        <w:pStyle w:val="Author-eSectionHeading5Numberless"/>
      </w:pPr>
      <w:bookmarkStart w:id="206" w:name="_Toc220495343"/>
      <w:r>
        <w:t>21.23.3 Maçonneries non portantes en moellons de pierres siliceuses CCTB 01.12</w:t>
      </w:r>
      <w:bookmarkEnd w:id="206"/>
    </w:p>
    <w:p w14:paraId="7E68653F" w14:textId="77777777" w:rsidR="00DB2B68" w:rsidRDefault="00000000">
      <w:pPr>
        <w:pStyle w:val="pheading"/>
      </w:pPr>
      <w:r>
        <w:t>EXÉCUTION / MISE EN ŒUVRE</w:t>
      </w:r>
    </w:p>
    <w:p w14:paraId="060129E3" w14:textId="77777777" w:rsidR="00DB2B68" w:rsidRDefault="00000000">
      <w:pPr>
        <w:jc w:val="both"/>
      </w:pPr>
      <w:r>
        <w:rPr>
          <w:b/>
        </w:rPr>
        <w:t>Recommandations spécifiques :</w:t>
      </w:r>
      <w:r>
        <w:t xml:space="preserve"> voir [NIT 228, Pierres naturelles (NIT interactive et évolutive en remplacement de la NIT 205).]</w:t>
      </w:r>
    </w:p>
    <w:p w14:paraId="75B090A6" w14:textId="77777777" w:rsidR="00DB2B68" w:rsidRDefault="00000000">
      <w:pPr>
        <w:jc w:val="both"/>
      </w:pPr>
      <w:r>
        <w:t>Un défaut d'adhérence au mortier de pose peut apparaître avec certains types de pierre. L’entrepreneur prend toutes les mesures nécessaires pour y remédier via un renforcement de l'adhérence (par exemple, par badigeonnage d'un lait de ciment ou d'une résine PVA sur la face de pose), éventuellement précédé d'un nettoyage de la face de pose à l'aide d'un produit dégraissant adéquat.</w:t>
      </w:r>
    </w:p>
    <w:p w14:paraId="11AA306F" w14:textId="77777777" w:rsidR="00DB2B68" w:rsidRDefault="00000000">
      <w:pPr>
        <w:pStyle w:val="Author-eSectionHeading6Numberless"/>
      </w:pPr>
      <w:bookmarkStart w:id="207" w:name="_Toc220495344"/>
      <w:r>
        <w:t>21.23.3a Maçonneries non portantes en moellons d'arkose CCTB 01.04</w:t>
      </w:r>
      <w:bookmarkEnd w:id="207"/>
    </w:p>
    <w:p w14:paraId="4910DD2D" w14:textId="77777777" w:rsidR="00DB2B68" w:rsidRDefault="00000000">
      <w:pPr>
        <w:pStyle w:val="Author-eSectionHeading6Numberless"/>
      </w:pPr>
      <w:bookmarkStart w:id="208" w:name="_Toc220495345"/>
      <w:r>
        <w:t>21.23.3b Maçonneries non portantes en moellons de schiste CCTB 01.04</w:t>
      </w:r>
      <w:bookmarkEnd w:id="208"/>
    </w:p>
    <w:p w14:paraId="2701F2CC" w14:textId="77777777" w:rsidR="00DB2B68" w:rsidRDefault="00000000">
      <w:pPr>
        <w:pStyle w:val="Author-eSectionHeading6Numberless"/>
      </w:pPr>
      <w:bookmarkStart w:id="209" w:name="_Toc220495346"/>
      <w:r>
        <w:t>21.23.3c Maçonneries non portantes en moellons de grès CCTB 01.13</w:t>
      </w:r>
      <w:bookmarkEnd w:id="209"/>
    </w:p>
    <w:p w14:paraId="10CC41B9" w14:textId="77777777" w:rsidR="00DB2B68" w:rsidRDefault="00000000">
      <w:pPr>
        <w:pStyle w:val="pheading"/>
      </w:pPr>
      <w:r>
        <w:t>DESCRIPTION</w:t>
      </w:r>
    </w:p>
    <w:p w14:paraId="0701FFDF" w14:textId="77777777" w:rsidR="00DB2B68" w:rsidRDefault="00000000">
      <w:pPr>
        <w:pStyle w:val="pheading"/>
      </w:pPr>
      <w:r>
        <w:t>- Définition / Comprend</w:t>
      </w:r>
    </w:p>
    <w:p w14:paraId="72C1C12F" w14:textId="77777777" w:rsidR="00DB2B68" w:rsidRDefault="00000000">
      <w:pPr>
        <w:jc w:val="both"/>
      </w:pPr>
      <w:r>
        <w:t>Il s’agit de la fourniture (hormis les pierres en provenance éventuellement du chantier en question) et de la pose de maçonneries intérieures, non portantes, en moellons de grès.</w:t>
      </w:r>
    </w:p>
    <w:p w14:paraId="0E1D2A9A" w14:textId="77777777" w:rsidR="00DB2B68" w:rsidRDefault="00000000">
      <w:pPr>
        <w:jc w:val="both"/>
      </w:pPr>
      <w:r>
        <w:t>Les maçonneries comprennent notamment :</w:t>
      </w:r>
    </w:p>
    <w:p w14:paraId="0FF8199C" w14:textId="77777777" w:rsidR="00DB2B68" w:rsidRDefault="00000000">
      <w:pPr>
        <w:pStyle w:val="Author-eListParagraph"/>
        <w:numPr>
          <w:ilvl w:val="0"/>
          <w:numId w:val="216"/>
        </w:numPr>
      </w:pPr>
      <w:r>
        <w:t>Les moellons proprement dits ;</w:t>
      </w:r>
    </w:p>
    <w:p w14:paraId="3BFB29F9" w14:textId="77777777" w:rsidR="00DB2B68" w:rsidRDefault="00000000">
      <w:pPr>
        <w:pStyle w:val="Author-eListParagraph"/>
        <w:numPr>
          <w:ilvl w:val="0"/>
          <w:numId w:val="216"/>
        </w:numPr>
      </w:pPr>
      <w:r>
        <w:t>Les éléments d'angle, de terminaison et de rencontre, …</w:t>
      </w:r>
    </w:p>
    <w:p w14:paraId="2D86070E" w14:textId="77777777" w:rsidR="00DB2B68" w:rsidRDefault="00000000">
      <w:pPr>
        <w:jc w:val="both"/>
      </w:pPr>
      <w:r>
        <w:t xml:space="preserve">Si un rejointoiement est réalisé à postériori, il est décrit et compris aux </w:t>
      </w:r>
      <w:hyperlink w:anchor="395" w:history="1">
        <w:r>
          <w:rPr>
            <w:color w:val="0000EE"/>
          </w:rPr>
          <w:t>21.6 Réalisation de joints</w:t>
        </w:r>
      </w:hyperlink>
      <w:r>
        <w:t xml:space="preserve"> et suivants.</w:t>
      </w:r>
    </w:p>
    <w:p w14:paraId="09C97683" w14:textId="77777777" w:rsidR="00DB2B68" w:rsidRDefault="00000000">
      <w:pPr>
        <w:pStyle w:val="pheading"/>
      </w:pPr>
      <w:r>
        <w:t>MATÉRIAUX</w:t>
      </w:r>
    </w:p>
    <w:p w14:paraId="10D42B93" w14:textId="77777777" w:rsidR="00DB2B68" w:rsidRDefault="00000000">
      <w:pPr>
        <w:pStyle w:val="pheading"/>
      </w:pPr>
      <w:r>
        <w:t>- Caractéristiques générales</w:t>
      </w:r>
    </w:p>
    <w:p w14:paraId="369871C8" w14:textId="77777777" w:rsidR="00DB2B68" w:rsidRDefault="00000000">
      <w:pPr>
        <w:jc w:val="both"/>
      </w:pPr>
      <w:r>
        <w:t>La [NIT 228] est d'application.</w:t>
      </w:r>
    </w:p>
    <w:p w14:paraId="1151D529" w14:textId="77777777" w:rsidR="00DB2B68" w:rsidRDefault="00DB2B68">
      <w:pPr>
        <w:jc w:val="both"/>
      </w:pPr>
    </w:p>
    <w:p w14:paraId="0B6B2EA9" w14:textId="77777777" w:rsidR="00DB2B68" w:rsidRDefault="00000000">
      <w:pPr>
        <w:jc w:val="both"/>
      </w:pPr>
      <w:r>
        <w:t xml:space="preserve">Les pierres sont des éléments : </w:t>
      </w:r>
      <w:r>
        <w:rPr>
          <w:rStyle w:val="optioncarChar"/>
        </w:rPr>
        <w:t xml:space="preserve">neufs </w:t>
      </w:r>
      <w:r>
        <w:t>(par défaut) </w:t>
      </w:r>
      <w:r>
        <w:rPr>
          <w:rStyle w:val="optioncarChar"/>
        </w:rPr>
        <w:t>/ recyclés / de réemploi</w:t>
      </w:r>
    </w:p>
    <w:p w14:paraId="29E9B5AE" w14:textId="77777777" w:rsidR="00DB2B68" w:rsidRDefault="00000000">
      <w:pPr>
        <w:jc w:val="both"/>
      </w:pPr>
      <w:r>
        <w:rPr>
          <w:b/>
        </w:rPr>
        <w:t>Généralités :</w:t>
      </w:r>
    </w:p>
    <w:p w14:paraId="05EB951A" w14:textId="77777777" w:rsidR="00DB2B68" w:rsidRDefault="00000000">
      <w:pPr>
        <w:pStyle w:val="Author-eListParagraph"/>
        <w:numPr>
          <w:ilvl w:val="0"/>
          <w:numId w:val="217"/>
        </w:numPr>
      </w:pPr>
      <w:r>
        <w:t xml:space="preserve">Dénomination de référence [NBN EN 12440] : </w:t>
      </w:r>
      <w:r>
        <w:rPr>
          <w:rStyle w:val="optioncarChar"/>
        </w:rPr>
        <w:t>Grès famenniens du Condroz / Grès gris-vert de Steinbach / Pierre de Waimes EN / ***</w:t>
      </w:r>
    </w:p>
    <w:p w14:paraId="39C3C576" w14:textId="77777777" w:rsidR="00DB2B68" w:rsidRDefault="00000000">
      <w:pPr>
        <w:pStyle w:val="Author-eListParagraph"/>
        <w:numPr>
          <w:ilvl w:val="0"/>
          <w:numId w:val="217"/>
        </w:numPr>
      </w:pPr>
      <w:r>
        <w:t xml:space="preserve">Dénomination commerciale usuelle : </w:t>
      </w:r>
      <w:r>
        <w:rPr>
          <w:rStyle w:val="optioncarChar"/>
        </w:rPr>
        <w:t>Grès durs / Pierre de Steinbach / Arkose de Waimes / ***</w:t>
      </w:r>
    </w:p>
    <w:p w14:paraId="267B107E" w14:textId="77777777" w:rsidR="00DB2B68" w:rsidRDefault="00000000">
      <w:pPr>
        <w:pStyle w:val="Author-eListParagraph"/>
        <w:numPr>
          <w:ilvl w:val="0"/>
          <w:numId w:val="217"/>
        </w:numPr>
      </w:pPr>
      <w:r>
        <w:t xml:space="preserve">Lieu d'extraction : </w:t>
      </w:r>
      <w:r>
        <w:rPr>
          <w:rStyle w:val="optioncarChar"/>
        </w:rPr>
        <w:t>La Meuse et ses affluents, Condroz, Belgique / Ardennes, région de Malmédy, province de Liège, Belgique / Ardennes, région de Malmédy, Plateau des Tailles, province de Liège, Belgique / ***</w:t>
      </w:r>
    </w:p>
    <w:p w14:paraId="5A347655" w14:textId="77777777" w:rsidR="00DB2B68" w:rsidRDefault="00000000">
      <w:pPr>
        <w:pStyle w:val="Author-eListParagraph"/>
        <w:numPr>
          <w:ilvl w:val="0"/>
          <w:numId w:val="217"/>
        </w:numPr>
      </w:pPr>
      <w:r>
        <w:t xml:space="preserve">Variétés : </w:t>
      </w:r>
      <w:r>
        <w:rPr>
          <w:rStyle w:val="optioncarChar"/>
        </w:rPr>
        <w:t>Grès de l'Ourthe, grès d'Yvoir, grès de Meuse, grès d'Arbre / ***</w:t>
      </w:r>
    </w:p>
    <w:p w14:paraId="29AC7C70" w14:textId="77777777" w:rsidR="00DB2B68" w:rsidRDefault="00000000">
      <w:pPr>
        <w:pStyle w:val="Author-eListParagraph"/>
        <w:numPr>
          <w:ilvl w:val="0"/>
          <w:numId w:val="217"/>
        </w:numPr>
      </w:pPr>
      <w:r>
        <w:lastRenderedPageBreak/>
        <w:t xml:space="preserve">Descriptions macroscopique / microscopique : </w:t>
      </w:r>
      <w:r>
        <w:rPr>
          <w:rStyle w:val="optioncarChar"/>
        </w:rPr>
        <w:t>Roche de teinte, homogène, à grain grossier - Structure compacte - Aucun litage n'est décelable / Pierre homogène, à grain grossier - Structure peu compacte – Présence localement de quelques petites cavités d'un demi-centimètre de diamètre, parfois remplies d'argile de même couleur - Aucun litage n'est décelable / ***</w:t>
      </w:r>
    </w:p>
    <w:p w14:paraId="592E9B32" w14:textId="77777777" w:rsidR="00DB2B68" w:rsidRDefault="00000000">
      <w:pPr>
        <w:pStyle w:val="Author-eListParagraph"/>
        <w:numPr>
          <w:ilvl w:val="0"/>
          <w:numId w:val="217"/>
        </w:numPr>
      </w:pPr>
      <w:r>
        <w:t xml:space="preserve">Classification selon [PTV 819-4] : </w:t>
      </w:r>
      <w:r>
        <w:rPr>
          <w:rStyle w:val="optioncarChar"/>
        </w:rPr>
        <w:t>2.1.1.1 roche sédimentaire silicoclastique - grès - quartzarénite / 2.1.1.2 roche sédimentaire silicoclastique, type grès – litharénite / ***</w:t>
      </w:r>
    </w:p>
    <w:p w14:paraId="6C04A414" w14:textId="77777777" w:rsidR="00DB2B68" w:rsidRDefault="00000000">
      <w:pPr>
        <w:jc w:val="both"/>
      </w:pPr>
      <w:r>
        <w:rPr>
          <w:b/>
        </w:rPr>
        <w:t>Caractéristiques techniques intrinsèques de la pierre :</w:t>
      </w:r>
    </w:p>
    <w:p w14:paraId="09178815" w14:textId="77777777" w:rsidR="00DB2B68" w:rsidRDefault="00000000">
      <w:pPr>
        <w:pStyle w:val="Author-eListParagraph"/>
        <w:numPr>
          <w:ilvl w:val="0"/>
          <w:numId w:val="218"/>
        </w:numPr>
      </w:pPr>
      <w:r>
        <w:t xml:space="preserve">Masse volumique apparente, ± : </w:t>
      </w:r>
      <w:r>
        <w:rPr>
          <w:rStyle w:val="optioncarChar"/>
        </w:rPr>
        <w:t>2630 / 2640 / 2670 / ***</w:t>
      </w:r>
      <w:r>
        <w:t xml:space="preserve"> kg/m³, selon [NBN EN 1936]</w:t>
      </w:r>
    </w:p>
    <w:p w14:paraId="66CC47FF" w14:textId="77777777" w:rsidR="00DB2B68" w:rsidRDefault="00000000">
      <w:pPr>
        <w:pStyle w:val="Author-eListParagraph"/>
        <w:numPr>
          <w:ilvl w:val="0"/>
          <w:numId w:val="218"/>
        </w:numPr>
      </w:pPr>
      <w:r>
        <w:t xml:space="preserve">Porosité, ± : </w:t>
      </w:r>
      <w:r>
        <w:rPr>
          <w:rStyle w:val="optioncarChar"/>
        </w:rPr>
        <w:t>1,1 / 1,9 / 2,5 / ***</w:t>
      </w:r>
      <w:r>
        <w:t xml:space="preserve"> % vol, selon [NBN EN 1936]</w:t>
      </w:r>
    </w:p>
    <w:p w14:paraId="45F2EE95" w14:textId="77777777" w:rsidR="00DB2B68" w:rsidRDefault="00000000">
      <w:pPr>
        <w:pStyle w:val="Author-eListParagraph"/>
        <w:numPr>
          <w:ilvl w:val="0"/>
          <w:numId w:val="218"/>
        </w:numPr>
      </w:pPr>
      <w:r>
        <w:t xml:space="preserve">Résistance à la compression, ± : </w:t>
      </w:r>
      <w:r>
        <w:rPr>
          <w:rStyle w:val="optioncarChar"/>
        </w:rPr>
        <w:t>160 / 210 / 260 / ***</w:t>
      </w:r>
      <w:r>
        <w:t xml:space="preserve"> MPa, selon [NBN EN 1926]</w:t>
      </w:r>
    </w:p>
    <w:p w14:paraId="13B7A804" w14:textId="77777777" w:rsidR="00DB2B68" w:rsidRDefault="00000000">
      <w:pPr>
        <w:pStyle w:val="Author-eListParagraph"/>
        <w:numPr>
          <w:ilvl w:val="0"/>
          <w:numId w:val="218"/>
        </w:numPr>
      </w:pPr>
      <w:r>
        <w:t xml:space="preserve">Résistance à la flexion, ± : </w:t>
      </w:r>
      <w:r>
        <w:rPr>
          <w:rStyle w:val="optioncarChar"/>
        </w:rPr>
        <w:t>27 / 36 / 42 / ***</w:t>
      </w:r>
      <w:r>
        <w:t xml:space="preserve"> MPa, selon [NBN EN 12372]</w:t>
      </w:r>
    </w:p>
    <w:p w14:paraId="07B56BC9" w14:textId="77777777" w:rsidR="00DB2B68" w:rsidRDefault="00000000">
      <w:pPr>
        <w:pStyle w:val="Author-eListParagraph"/>
        <w:numPr>
          <w:ilvl w:val="0"/>
          <w:numId w:val="218"/>
        </w:numPr>
      </w:pPr>
      <w:r>
        <w:t xml:space="preserve">Résistance à l'usure, ± : </w:t>
      </w:r>
      <w:r>
        <w:rPr>
          <w:rStyle w:val="optioncarChar"/>
        </w:rPr>
        <w:t>0 / 15 / ***</w:t>
      </w:r>
      <w:r>
        <w:t xml:space="preserve"> mm, selon [NBN EN 14157]</w:t>
      </w:r>
      <w:r>
        <w:rPr>
          <w:rStyle w:val="optioncarChar"/>
        </w:rPr>
        <w:t> / méthode Capon [NBN EN 1341] / ***</w:t>
      </w:r>
    </w:p>
    <w:p w14:paraId="55F4B8B0" w14:textId="77777777" w:rsidR="00DB2B68" w:rsidRDefault="00000000">
      <w:pPr>
        <w:pStyle w:val="Author-eListParagraph"/>
        <w:numPr>
          <w:ilvl w:val="0"/>
          <w:numId w:val="218"/>
        </w:numPr>
      </w:pPr>
      <w:r>
        <w:t xml:space="preserve">Vitesse du son //, ± : </w:t>
      </w:r>
      <w:r>
        <w:rPr>
          <w:rStyle w:val="optioncarChar"/>
        </w:rPr>
        <w:t>5,2 / ***</w:t>
      </w:r>
      <w:r>
        <w:t xml:space="preserve"> km/s, selon [NBN EN 14157]</w:t>
      </w:r>
    </w:p>
    <w:p w14:paraId="285E1A65" w14:textId="77777777" w:rsidR="00DB2B68" w:rsidRDefault="00000000">
      <w:pPr>
        <w:pStyle w:val="Author-eListParagraph"/>
        <w:numPr>
          <w:ilvl w:val="0"/>
          <w:numId w:val="218"/>
        </w:numPr>
      </w:pPr>
      <w:r>
        <w:t xml:space="preserve">Vitesse du son Ʇ, ± : </w:t>
      </w:r>
      <w:r>
        <w:rPr>
          <w:rStyle w:val="optioncarChar"/>
        </w:rPr>
        <w:t>4,9 / ***</w:t>
      </w:r>
      <w:r>
        <w:t xml:space="preserve"> km/s, selon [NBN EN 14157]</w:t>
      </w:r>
    </w:p>
    <w:p w14:paraId="3D276218" w14:textId="77777777" w:rsidR="00DB2B68" w:rsidRDefault="00000000">
      <w:pPr>
        <w:pStyle w:val="Author-eListParagraph"/>
        <w:numPr>
          <w:ilvl w:val="0"/>
          <w:numId w:val="218"/>
        </w:numPr>
      </w:pPr>
      <w:r>
        <w:t xml:space="preserve">Coefficient de dilatation thermique, ± : </w:t>
      </w:r>
      <w:r>
        <w:rPr>
          <w:rStyle w:val="optioncarChar"/>
        </w:rPr>
        <w:t>9,8 E-06 / ***</w:t>
      </w:r>
      <w:r>
        <w:t xml:space="preserve"> [1/°C], selon [NBN EN 14581]</w:t>
      </w:r>
    </w:p>
    <w:p w14:paraId="2AEAFE8C" w14:textId="77777777" w:rsidR="00DB2B68" w:rsidRDefault="00000000">
      <w:pPr>
        <w:pStyle w:val="Author-eListParagraph"/>
        <w:numPr>
          <w:ilvl w:val="0"/>
          <w:numId w:val="218"/>
        </w:numPr>
      </w:pPr>
      <w:r>
        <w:t xml:space="preserve">Sensibilité au tachage accidentel : </w:t>
      </w:r>
      <w:r>
        <w:rPr>
          <w:rStyle w:val="optioncarChar"/>
        </w:rPr>
        <w:t>***</w:t>
      </w:r>
      <w:r>
        <w:t>, selon [NBN EN 16301]</w:t>
      </w:r>
    </w:p>
    <w:p w14:paraId="143413CF" w14:textId="77777777" w:rsidR="00DB2B68" w:rsidRDefault="00000000">
      <w:pPr>
        <w:pStyle w:val="Author-eListParagraph"/>
        <w:numPr>
          <w:ilvl w:val="0"/>
          <w:numId w:val="218"/>
        </w:numPr>
      </w:pPr>
      <w:r>
        <w:t xml:space="preserve">Recommandations spécifiques au type de pierre : </w:t>
      </w:r>
      <w:r>
        <w:rPr>
          <w:rStyle w:val="optioncarChar"/>
        </w:rPr>
        <w:t>***</w:t>
      </w:r>
    </w:p>
    <w:p w14:paraId="2CE8A299" w14:textId="77777777" w:rsidR="00DB2B68" w:rsidRDefault="00000000">
      <w:pPr>
        <w:jc w:val="both"/>
      </w:pPr>
      <w:r>
        <w:rPr>
          <w:b/>
        </w:rPr>
        <w:t>Finition – Critères techniques (Voir AIDE):</w:t>
      </w:r>
    </w:p>
    <w:p w14:paraId="73B29C79" w14:textId="77777777" w:rsidR="00DB2B68" w:rsidRDefault="00000000">
      <w:pPr>
        <w:jc w:val="both"/>
      </w:pPr>
      <w:r>
        <w:t>Il est fait usage de pierres :</w:t>
      </w:r>
    </w:p>
    <w:p w14:paraId="2629C672" w14:textId="77777777" w:rsidR="00DB2B68" w:rsidRDefault="00000000">
      <w:pPr>
        <w:pStyle w:val="Author-eListParagraph"/>
        <w:numPr>
          <w:ilvl w:val="0"/>
          <w:numId w:val="219"/>
        </w:numPr>
      </w:pPr>
      <w:r>
        <w:t xml:space="preserve">épincées : </w:t>
      </w:r>
      <w:r>
        <w:rPr>
          <w:rStyle w:val="optioncarChar"/>
        </w:rPr>
        <w:t>oui / non</w:t>
      </w:r>
    </w:p>
    <w:p w14:paraId="2BAEB9E3" w14:textId="77777777" w:rsidR="00DB2B68" w:rsidRDefault="00000000">
      <w:pPr>
        <w:pStyle w:val="Author-eListParagraph"/>
        <w:numPr>
          <w:ilvl w:val="0"/>
          <w:numId w:val="219"/>
        </w:numPr>
      </w:pPr>
      <w:r>
        <w:t xml:space="preserve">équarries : </w:t>
      </w:r>
      <w:r>
        <w:rPr>
          <w:rStyle w:val="optioncarChar"/>
        </w:rPr>
        <w:t>oui / non</w:t>
      </w:r>
    </w:p>
    <w:p w14:paraId="691E1553" w14:textId="77777777" w:rsidR="00DB2B68" w:rsidRDefault="00000000">
      <w:pPr>
        <w:pStyle w:val="Author-eListParagraph"/>
        <w:numPr>
          <w:ilvl w:val="0"/>
          <w:numId w:val="219"/>
        </w:numPr>
      </w:pPr>
      <w:r>
        <w:rPr>
          <w:rStyle w:val="optioncarChar"/>
        </w:rPr>
        <w:t>***</w:t>
      </w:r>
    </w:p>
    <w:p w14:paraId="42250584" w14:textId="77777777" w:rsidR="00DB2B68" w:rsidRDefault="00000000">
      <w:pPr>
        <w:jc w:val="both"/>
      </w:pPr>
      <w:r>
        <w:t>Les dimensions des faces de dos sont au moins égales au 2/3 de la dimension correspondante de la face de parement.</w:t>
      </w:r>
    </w:p>
    <w:p w14:paraId="2151762B" w14:textId="77777777" w:rsidR="00DB2B68" w:rsidRDefault="00000000">
      <w:pPr>
        <w:jc w:val="both"/>
      </w:pPr>
      <w:r>
        <w:t xml:space="preserve">L’entrepreneur fournit une déclaration d’origine de la pierre, établie par le producteur et complétée par des rapports d’essais : </w:t>
      </w:r>
      <w:r>
        <w:rPr>
          <w:rStyle w:val="optioncarChar"/>
        </w:rPr>
        <w:t>oui (</w:t>
      </w:r>
      <w:r>
        <w:t>par défaut)</w:t>
      </w:r>
      <w:r>
        <w:rPr>
          <w:rStyle w:val="optioncarChar"/>
        </w:rPr>
        <w:t xml:space="preserve"> / non.</w:t>
      </w:r>
    </w:p>
    <w:p w14:paraId="4D2F0199" w14:textId="77777777" w:rsidR="00DB2B68" w:rsidRDefault="00000000">
      <w:pPr>
        <w:jc w:val="both"/>
      </w:pPr>
      <w:r>
        <w:rPr>
          <w:b/>
        </w:rPr>
        <w:t>(soit par défaut)</w:t>
      </w:r>
    </w:p>
    <w:p w14:paraId="1F5D2A58" w14:textId="77777777" w:rsidR="00DB2B68" w:rsidRDefault="00000000">
      <w:pPr>
        <w:jc w:val="both"/>
      </w:pPr>
      <w:r>
        <w:rPr>
          <w:rStyle w:val="soitChar"/>
          <w:u w:val="single"/>
        </w:rPr>
        <w:t>Oui :</w:t>
      </w:r>
    </w:p>
    <w:p w14:paraId="542E2AB0" w14:textId="77777777" w:rsidR="00DB2B68" w:rsidRDefault="00000000">
      <w:pPr>
        <w:jc w:val="both"/>
      </w:pPr>
      <w:r>
        <w:rPr>
          <w:rStyle w:val="soitChar"/>
        </w:rPr>
        <w:t>L’entrepreneur fournit un document pour chaque livraison.</w:t>
      </w:r>
    </w:p>
    <w:p w14:paraId="0A288F09" w14:textId="77777777" w:rsidR="00DB2B68" w:rsidRDefault="00000000">
      <w:pPr>
        <w:jc w:val="both"/>
      </w:pPr>
      <w:r>
        <w:rPr>
          <w:rStyle w:val="soitChar"/>
        </w:rPr>
        <w:t>La déclaration d’origine comporte obligatoirement les renseignements suivants :</w:t>
      </w:r>
    </w:p>
    <w:p w14:paraId="510411BA" w14:textId="77777777" w:rsidR="00DB2B68" w:rsidRDefault="00000000">
      <w:pPr>
        <w:jc w:val="both"/>
      </w:pPr>
      <w:r>
        <w:rPr>
          <w:rStyle w:val="soitChar"/>
          <w:u w:val="single"/>
        </w:rPr>
        <w:t>Pour les éléments neufs :</w:t>
      </w:r>
    </w:p>
    <w:p w14:paraId="2428F506" w14:textId="77777777" w:rsidR="00DB2B68" w:rsidRDefault="00000000">
      <w:pPr>
        <w:pStyle w:val="Author-eListParagraph"/>
        <w:numPr>
          <w:ilvl w:val="0"/>
          <w:numId w:val="220"/>
        </w:numPr>
      </w:pPr>
      <w:r>
        <w:rPr>
          <w:rStyle w:val="soitChar"/>
        </w:rPr>
        <w:t>Le nom commercial de la pierre selon [NBN EN 12440]</w:t>
      </w:r>
    </w:p>
    <w:p w14:paraId="524CA299" w14:textId="77777777" w:rsidR="00DB2B68" w:rsidRDefault="00000000">
      <w:pPr>
        <w:pStyle w:val="Author-eListParagraph"/>
        <w:numPr>
          <w:ilvl w:val="0"/>
          <w:numId w:val="220"/>
        </w:numPr>
      </w:pPr>
      <w:r>
        <w:rPr>
          <w:rStyle w:val="soitChar"/>
        </w:rPr>
        <w:t>La nature lithologique de la pierre, déterminée conformément au [PTV 819-4] jusqu’au niveau le plus précis</w:t>
      </w:r>
    </w:p>
    <w:p w14:paraId="6106A2FE" w14:textId="77777777" w:rsidR="00DB2B68" w:rsidRDefault="00000000">
      <w:pPr>
        <w:pStyle w:val="Author-eListParagraph"/>
        <w:numPr>
          <w:ilvl w:val="0"/>
          <w:numId w:val="220"/>
        </w:numPr>
      </w:pPr>
      <w:r>
        <w:rPr>
          <w:rStyle w:val="soitChar"/>
        </w:rPr>
        <w:t>Le nom et les coordonnées du producteur de la pierre</w:t>
      </w:r>
    </w:p>
    <w:p w14:paraId="56A7DB30" w14:textId="77777777" w:rsidR="00DB2B68" w:rsidRDefault="00000000">
      <w:pPr>
        <w:pStyle w:val="Author-eListParagraph"/>
        <w:numPr>
          <w:ilvl w:val="0"/>
          <w:numId w:val="220"/>
        </w:numPr>
      </w:pPr>
      <w:r>
        <w:rPr>
          <w:rStyle w:val="soitChar"/>
        </w:rPr>
        <w:t>Le nom et les coordonnées du transformateur (producteur des produits finis) si différent</w:t>
      </w:r>
    </w:p>
    <w:p w14:paraId="0090B661" w14:textId="77777777" w:rsidR="00DB2B68" w:rsidRDefault="00000000">
      <w:pPr>
        <w:pStyle w:val="Author-eListParagraph"/>
        <w:numPr>
          <w:ilvl w:val="0"/>
          <w:numId w:val="220"/>
        </w:numPr>
      </w:pPr>
      <w:r>
        <w:rPr>
          <w:rStyle w:val="soitChar"/>
        </w:rPr>
        <w:t>Le nom et les coordonnées du fournisseur si différent.</w:t>
      </w:r>
    </w:p>
    <w:p w14:paraId="4AB156F8" w14:textId="77777777" w:rsidR="00DB2B68" w:rsidRDefault="00000000">
      <w:pPr>
        <w:jc w:val="both"/>
      </w:pPr>
      <w:r>
        <w:rPr>
          <w:rStyle w:val="soitChar"/>
          <w:u w:val="single"/>
        </w:rPr>
        <w:t>Pour les éléments recyclés et de réemploi :</w:t>
      </w:r>
    </w:p>
    <w:p w14:paraId="1062369F" w14:textId="77777777" w:rsidR="00DB2B68" w:rsidRDefault="00000000">
      <w:pPr>
        <w:pStyle w:val="Author-eListParagraph"/>
        <w:numPr>
          <w:ilvl w:val="0"/>
          <w:numId w:val="221"/>
        </w:numPr>
      </w:pPr>
      <w:r>
        <w:rPr>
          <w:rStyle w:val="soitChar"/>
        </w:rPr>
        <w:t>Le nom commercial de la pierre selon [NBN EN 12440]</w:t>
      </w:r>
    </w:p>
    <w:p w14:paraId="22D63E7E" w14:textId="77777777" w:rsidR="00DB2B68" w:rsidRDefault="00000000">
      <w:pPr>
        <w:pStyle w:val="Author-eListParagraph"/>
        <w:numPr>
          <w:ilvl w:val="0"/>
          <w:numId w:val="221"/>
        </w:numPr>
      </w:pPr>
      <w:r>
        <w:rPr>
          <w:rStyle w:val="soitChar"/>
        </w:rPr>
        <w:t>La nature lithologique de la pierre, déterminée conformément au [PTV 819-4] jusqu’au niveau le plus précis</w:t>
      </w:r>
    </w:p>
    <w:p w14:paraId="10281B41" w14:textId="77777777" w:rsidR="00DB2B68" w:rsidRDefault="00000000">
      <w:pPr>
        <w:pStyle w:val="Author-eListParagraph"/>
        <w:numPr>
          <w:ilvl w:val="0"/>
          <w:numId w:val="221"/>
        </w:numPr>
      </w:pPr>
      <w:r>
        <w:rPr>
          <w:rStyle w:val="soitChar"/>
        </w:rPr>
        <w:t>L’origine des matières premières (y compris traçabilité administrative de la dernière mise en œuvre au moins, conformément à la législation wallonne en vigueur et des différents intervenants de la filière)</w:t>
      </w:r>
    </w:p>
    <w:p w14:paraId="6DAA37EB" w14:textId="77777777" w:rsidR="00DB2B68" w:rsidRDefault="00000000">
      <w:pPr>
        <w:pStyle w:val="Author-eListParagraph"/>
        <w:numPr>
          <w:ilvl w:val="0"/>
          <w:numId w:val="221"/>
        </w:numPr>
      </w:pPr>
      <w:r>
        <w:rPr>
          <w:rStyle w:val="soitChar"/>
        </w:rPr>
        <w:t>La procédure d’acceptation des matières premières détaillant les contrôles et tris effectués ainsi que la gestion du stockage</w:t>
      </w:r>
    </w:p>
    <w:p w14:paraId="36303220" w14:textId="77777777" w:rsidR="00DB2B68" w:rsidRDefault="00000000">
      <w:pPr>
        <w:pStyle w:val="Author-eListParagraph"/>
        <w:numPr>
          <w:ilvl w:val="0"/>
          <w:numId w:val="221"/>
        </w:numPr>
      </w:pPr>
      <w:r>
        <w:rPr>
          <w:rStyle w:val="soitChar"/>
        </w:rPr>
        <w:lastRenderedPageBreak/>
        <w:t>Le nom et les coordonnées du transformateur (producteur des produits finis) si différent</w:t>
      </w:r>
    </w:p>
    <w:p w14:paraId="71FFC3EC" w14:textId="77777777" w:rsidR="00DB2B68" w:rsidRDefault="00000000">
      <w:pPr>
        <w:pStyle w:val="Author-eListParagraph"/>
        <w:numPr>
          <w:ilvl w:val="0"/>
          <w:numId w:val="221"/>
        </w:numPr>
      </w:pPr>
      <w:r>
        <w:rPr>
          <w:rStyle w:val="soitChar"/>
        </w:rPr>
        <w:t>Le nom et les coordonnées du fournisseur si différent.</w:t>
      </w:r>
    </w:p>
    <w:p w14:paraId="7C0C2DD1" w14:textId="77777777" w:rsidR="00DB2B68" w:rsidRDefault="00000000">
      <w:pPr>
        <w:jc w:val="both"/>
      </w:pPr>
      <w:r>
        <w:rPr>
          <w:rStyle w:val="soitChar"/>
        </w:rPr>
        <w:t>Dans tous les cas, la déclaration d’origine est complétée par des rapports d’essais réalisés par des laboratoires accrédités pour ces essais et portant sur les caractéristiques physiques et mécaniques pertinentes exigées pour l’usage requis (aptitude spécifique à l’emploi).</w:t>
      </w:r>
    </w:p>
    <w:p w14:paraId="7A469924" w14:textId="77777777" w:rsidR="00DB2B68" w:rsidRDefault="00000000">
      <w:pPr>
        <w:jc w:val="both"/>
      </w:pPr>
      <w:r>
        <w:rPr>
          <w:b/>
        </w:rPr>
        <w:t>(soit)</w:t>
      </w:r>
    </w:p>
    <w:p w14:paraId="016E01C7" w14:textId="77777777" w:rsidR="00DB2B68" w:rsidRDefault="00000000">
      <w:pPr>
        <w:jc w:val="both"/>
      </w:pPr>
      <w:r>
        <w:rPr>
          <w:rStyle w:val="soitChar"/>
          <w:u w:val="single"/>
        </w:rPr>
        <w:t>Non :</w:t>
      </w:r>
    </w:p>
    <w:p w14:paraId="7446E0F8" w14:textId="77777777" w:rsidR="00DB2B68" w:rsidRDefault="00000000">
      <w:pPr>
        <w:jc w:val="both"/>
      </w:pPr>
      <w:r>
        <w:rPr>
          <w:rStyle w:val="soitChar"/>
        </w:rPr>
        <w:t>Aucun document n’est exigé.</w:t>
      </w:r>
    </w:p>
    <w:p w14:paraId="5E317457" w14:textId="77777777" w:rsidR="00DB2B68" w:rsidRDefault="00000000">
      <w:pPr>
        <w:jc w:val="both"/>
      </w:pPr>
      <w:r>
        <w:rPr>
          <w:b/>
        </w:rPr>
        <w:t>Pierres en provenance du chantier en question :</w:t>
      </w:r>
    </w:p>
    <w:p w14:paraId="2A4928B7" w14:textId="77777777" w:rsidR="00DB2B68" w:rsidRDefault="00000000">
      <w:pPr>
        <w:jc w:val="both"/>
      </w:pPr>
      <w:r>
        <w:t>L’entrepreneur réalise toutes les prestations préparatoires nécessaires (tri, nettoyage, …) à la mise en œuvre de ces éléments existants.</w:t>
      </w:r>
    </w:p>
    <w:p w14:paraId="53ABB8AA" w14:textId="77777777" w:rsidR="00DB2B68" w:rsidRDefault="00000000">
      <w:pPr>
        <w:jc w:val="both"/>
      </w:pPr>
      <w:r>
        <w:t>Les critères d’acceptabilité sont notamment définis aux 02.42 Approbations / agréations de matériaux et suivants.</w:t>
      </w:r>
    </w:p>
    <w:p w14:paraId="7DD836D5" w14:textId="77777777" w:rsidR="00DB2B68" w:rsidRDefault="00000000">
      <w:pPr>
        <w:jc w:val="both"/>
      </w:pPr>
      <w:r>
        <w:rPr>
          <w:b/>
        </w:rPr>
        <w:t>Mortier :</w:t>
      </w:r>
    </w:p>
    <w:p w14:paraId="6ABC8ADA" w14:textId="77777777" w:rsidR="00DB2B68" w:rsidRDefault="00000000">
      <w:pPr>
        <w:jc w:val="both"/>
      </w:pPr>
      <w:r>
        <w:t>Le mortier à maçonner répond à la catégorie : </w:t>
      </w:r>
      <w:r>
        <w:rPr>
          <w:rStyle w:val="optioncarChar"/>
        </w:rPr>
        <w:t>M10 </w:t>
      </w:r>
      <w:r>
        <w:t>(par défaut)</w:t>
      </w:r>
      <w:r>
        <w:rPr>
          <w:rStyle w:val="optioncarChar"/>
        </w:rPr>
        <w:t xml:space="preserve"> / M15 / M20 / ***</w:t>
      </w:r>
      <w:r>
        <w:t>, selon [NBN EN 998-2]</w:t>
      </w:r>
    </w:p>
    <w:p w14:paraId="5E27C89A" w14:textId="77777777" w:rsidR="00DB2B68" w:rsidRDefault="00000000">
      <w:pPr>
        <w:pStyle w:val="pheading"/>
      </w:pPr>
      <w:r>
        <w:t>- Finitions</w:t>
      </w:r>
    </w:p>
    <w:p w14:paraId="37479C01" w14:textId="77777777" w:rsidR="00DB2B68" w:rsidRDefault="00000000">
      <w:pPr>
        <w:jc w:val="both"/>
      </w:pPr>
      <w:r>
        <w:rPr>
          <w:b/>
        </w:rPr>
        <w:t>Dimensions / Forme / Aspect :</w:t>
      </w:r>
    </w:p>
    <w:p w14:paraId="5138A6F5" w14:textId="77777777" w:rsidR="00DB2B68" w:rsidRDefault="00000000">
      <w:pPr>
        <w:jc w:val="both"/>
      </w:pPr>
      <w:r>
        <w:t xml:space="preserve">Avant le début des travaux, l’entrepreneur soumet au minium </w:t>
      </w:r>
      <w:r>
        <w:rPr>
          <w:rStyle w:val="optioncarChar"/>
        </w:rPr>
        <w:t xml:space="preserve">2 </w:t>
      </w:r>
      <w:r>
        <w:t>(par défaut)</w:t>
      </w:r>
      <w:r>
        <w:rPr>
          <w:rStyle w:val="optioncarChar"/>
        </w:rPr>
        <w:t xml:space="preserve"> / 3 / ***</w:t>
      </w:r>
      <w:r>
        <w:t xml:space="preserve"> choix possibles à la direction des travaux en fournissant des échantillons représentatifs. </w:t>
      </w:r>
    </w:p>
    <w:p w14:paraId="0569E19F" w14:textId="77777777" w:rsidR="00DB2B68" w:rsidRDefault="00000000">
      <w:pPr>
        <w:pStyle w:val="Author-eListParagraph"/>
        <w:numPr>
          <w:ilvl w:val="0"/>
          <w:numId w:val="222"/>
        </w:numPr>
      </w:pPr>
      <w:r>
        <w:t xml:space="preserve">Dimensions nominales : </w:t>
      </w:r>
    </w:p>
    <w:p w14:paraId="4A01315B" w14:textId="77777777" w:rsidR="00DB2B68" w:rsidRDefault="00000000">
      <w:pPr>
        <w:pStyle w:val="Author-eListParagraph"/>
        <w:numPr>
          <w:ilvl w:val="1"/>
          <w:numId w:val="223"/>
        </w:numPr>
      </w:pPr>
      <w:r>
        <w:t xml:space="preserve">Hauteur d’assise : ≤ </w:t>
      </w:r>
      <w:r>
        <w:rPr>
          <w:rStyle w:val="optioncarChar"/>
        </w:rPr>
        <w:t>15 / 20 / 30 / ***</w:t>
      </w:r>
      <w:r>
        <w:t xml:space="preserve"> cm</w:t>
      </w:r>
    </w:p>
    <w:p w14:paraId="2ACF4A6C" w14:textId="77777777" w:rsidR="00DB2B68" w:rsidRDefault="00000000">
      <w:pPr>
        <w:pStyle w:val="Author-eListParagraph"/>
        <w:numPr>
          <w:ilvl w:val="1"/>
          <w:numId w:val="223"/>
        </w:numPr>
      </w:pPr>
      <w:r>
        <w:t xml:space="preserve">Profondeur d’assise : ≤ </w:t>
      </w:r>
      <w:r>
        <w:rPr>
          <w:rStyle w:val="optioncarChar"/>
        </w:rPr>
        <w:t>30 / 40 / 50 / ***</w:t>
      </w:r>
      <w:r>
        <w:t xml:space="preserve"> cm</w:t>
      </w:r>
    </w:p>
    <w:p w14:paraId="6D66ED52" w14:textId="77777777" w:rsidR="00DB2B68" w:rsidRDefault="00000000">
      <w:pPr>
        <w:pStyle w:val="Author-eListParagraph"/>
        <w:numPr>
          <w:ilvl w:val="1"/>
          <w:numId w:val="223"/>
        </w:numPr>
      </w:pPr>
      <w:r>
        <w:t xml:space="preserve">Profondeur de queue : ≤ </w:t>
      </w:r>
      <w:r>
        <w:rPr>
          <w:rStyle w:val="optioncarChar"/>
        </w:rPr>
        <w:t>9 / 10/ 12 / 15 / 20 / ***</w:t>
      </w:r>
      <w:r>
        <w:t xml:space="preserve"> cm</w:t>
      </w:r>
    </w:p>
    <w:p w14:paraId="20AB45B2" w14:textId="77777777" w:rsidR="00DB2B68" w:rsidRDefault="00000000">
      <w:pPr>
        <w:pStyle w:val="Author-eListParagraph"/>
        <w:numPr>
          <w:ilvl w:val="0"/>
          <w:numId w:val="222"/>
        </w:numPr>
      </w:pPr>
      <w:r>
        <w:t xml:space="preserve">Gamme des teintes : </w:t>
      </w:r>
      <w:r>
        <w:rPr>
          <w:rStyle w:val="optioncarChar"/>
        </w:rPr>
        <w:t>gris, gris bleu, gris vert, rouge / jaune - brun / jaune - ocre / rosé / tendance gris / mélangés gris-bleu, bleu-jaune, jaune-rouille, rouge grenat / ***</w:t>
      </w:r>
    </w:p>
    <w:p w14:paraId="659D8E82" w14:textId="77777777" w:rsidR="00DB2B68" w:rsidRDefault="00000000">
      <w:pPr>
        <w:pStyle w:val="Author-eListParagraph"/>
        <w:numPr>
          <w:ilvl w:val="0"/>
          <w:numId w:val="222"/>
        </w:numPr>
      </w:pPr>
      <w:r>
        <w:t>Finition des pierres :</w:t>
      </w:r>
      <w:r>
        <w:br/>
        <w:t xml:space="preserve">En fonction des critères technique indiqués ci-avant, les moellons sont : </w:t>
      </w:r>
      <w:r>
        <w:rPr>
          <w:rStyle w:val="optioncarChar"/>
        </w:rPr>
        <w:t>taillés d’équerre / clivés et retaillés manuellement / débrutis au gros marteau, avec tolérances dans le parallélisme des arêtes / de format « tout venant » / ***</w:t>
      </w:r>
    </w:p>
    <w:p w14:paraId="6871110D" w14:textId="77777777" w:rsidR="00DB2B68" w:rsidRDefault="00000000">
      <w:pPr>
        <w:jc w:val="both"/>
      </w:pPr>
      <w:r>
        <w:t>Remarque : les pierres présentent naturellement une variabilité de teinte et d’aspect.</w:t>
      </w:r>
    </w:p>
    <w:p w14:paraId="54A81B47" w14:textId="77777777" w:rsidR="00DB2B68" w:rsidRDefault="00000000">
      <w:pPr>
        <w:jc w:val="both"/>
      </w:pPr>
      <w:r>
        <w:rPr>
          <w:b/>
        </w:rPr>
        <w:t>Rejointoiement :</w:t>
      </w:r>
    </w:p>
    <w:p w14:paraId="502B60C9" w14:textId="77777777" w:rsidR="00DB2B68" w:rsidRDefault="00000000">
      <w:pPr>
        <w:jc w:val="both"/>
      </w:pPr>
      <w:r>
        <w:t xml:space="preserve">Types de joint : </w:t>
      </w:r>
      <w:r>
        <w:rPr>
          <w:rStyle w:val="optioncarChar"/>
        </w:rPr>
        <w:t>plat à fleur de parement</w:t>
      </w:r>
      <w:r>
        <w:t xml:space="preserve"> (par défaut)</w:t>
      </w:r>
      <w:r>
        <w:rPr>
          <w:rStyle w:val="optioncarChar"/>
        </w:rPr>
        <w:t xml:space="preserve"> / plat en refend ou en retrait / ***</w:t>
      </w:r>
    </w:p>
    <w:p w14:paraId="2B2CF1BD" w14:textId="77777777" w:rsidR="00DB2B68" w:rsidRDefault="00000000">
      <w:pPr>
        <w:jc w:val="both"/>
      </w:pPr>
      <w:r>
        <w:t xml:space="preserve">Type de finition : </w:t>
      </w:r>
      <w:r>
        <w:rPr>
          <w:rStyle w:val="optioncarChar"/>
        </w:rPr>
        <w:t>lissée</w:t>
      </w:r>
      <w:r>
        <w:t xml:space="preserve"> (par défaut)</w:t>
      </w:r>
      <w:r>
        <w:rPr>
          <w:rStyle w:val="optioncarChar"/>
        </w:rPr>
        <w:t xml:space="preserve"> / brossée / ***</w:t>
      </w:r>
    </w:p>
    <w:p w14:paraId="764296A8" w14:textId="77777777" w:rsidR="00DB2B68" w:rsidRDefault="00000000">
      <w:pPr>
        <w:pStyle w:val="pheading"/>
      </w:pPr>
      <w:r>
        <w:t>EXÉCUTION / MISE EN ŒUVRE</w:t>
      </w:r>
    </w:p>
    <w:p w14:paraId="739A914E" w14:textId="77777777" w:rsidR="00DB2B68" w:rsidRDefault="00000000">
      <w:pPr>
        <w:pStyle w:val="pheading"/>
      </w:pPr>
      <w:r>
        <w:t>- Prescriptions générales</w:t>
      </w:r>
    </w:p>
    <w:p w14:paraId="0BC55B4B" w14:textId="77777777" w:rsidR="00DB2B68" w:rsidRDefault="00000000">
      <w:pPr>
        <w:jc w:val="both"/>
      </w:pPr>
      <w:r>
        <w:rPr>
          <w:b/>
        </w:rPr>
        <w:t>Travail de la pierre / Pose :</w:t>
      </w:r>
    </w:p>
    <w:p w14:paraId="2D4C0CC3" w14:textId="77777777" w:rsidR="00DB2B68" w:rsidRDefault="00000000">
      <w:pPr>
        <w:jc w:val="both"/>
      </w:pPr>
      <w:r>
        <w:t>Les maçonneries sont exécutées d'aplomb, d'équerre et de la façon la plus plane possible.</w:t>
      </w:r>
    </w:p>
    <w:p w14:paraId="59925760" w14:textId="77777777" w:rsidR="00DB2B68" w:rsidRDefault="00000000">
      <w:pPr>
        <w:jc w:val="both"/>
      </w:pPr>
      <w:r>
        <w:t>Les faces de parement présentent des arêtes nettes, sans épaufrures ou écornures.</w:t>
      </w:r>
    </w:p>
    <w:p w14:paraId="5E2EE31A" w14:textId="77777777" w:rsidR="00DB2B68" w:rsidRDefault="00000000">
      <w:pPr>
        <w:jc w:val="both"/>
      </w:pPr>
      <w:r>
        <w:t xml:space="preserve">Le parement des moellons ne présente aucune rugosité de plus de </w:t>
      </w:r>
      <w:r>
        <w:rPr>
          <w:rStyle w:val="optioncarChar"/>
        </w:rPr>
        <w:t xml:space="preserve">2 </w:t>
      </w:r>
      <w:r>
        <w:t>(par défaut)</w:t>
      </w:r>
      <w:r>
        <w:rPr>
          <w:rStyle w:val="optioncarChar"/>
        </w:rPr>
        <w:t xml:space="preserve"> / 3 / ***</w:t>
      </w:r>
      <w:r>
        <w:t xml:space="preserve"> cm en creux ou en saillie par rapport au plan passant par les arêtes. Les aspérités plus fortes sont rabattues.</w:t>
      </w:r>
    </w:p>
    <w:p w14:paraId="47CB457F" w14:textId="77777777" w:rsidR="00DB2B68" w:rsidRDefault="00000000">
      <w:pPr>
        <w:jc w:val="both"/>
      </w:pPr>
      <w:r>
        <w:t>Les moellons sont posés à plein bain de mortier.</w:t>
      </w:r>
    </w:p>
    <w:p w14:paraId="5C35E5F0" w14:textId="77777777" w:rsidR="00DB2B68" w:rsidRDefault="00000000">
      <w:pPr>
        <w:jc w:val="both"/>
      </w:pPr>
      <w:r>
        <w:t xml:space="preserve">La mise en œuvre se fait : </w:t>
      </w:r>
      <w:r>
        <w:rPr>
          <w:rStyle w:val="optioncarChar"/>
        </w:rPr>
        <w:t xml:space="preserve">en lit de carrière </w:t>
      </w:r>
      <w:r>
        <w:t>(par défaut)</w:t>
      </w:r>
      <w:r>
        <w:rPr>
          <w:rStyle w:val="optioncarChar"/>
        </w:rPr>
        <w:t xml:space="preserve"> / ***</w:t>
      </w:r>
    </w:p>
    <w:p w14:paraId="1AC308FF" w14:textId="77777777" w:rsidR="00DB2B68" w:rsidRDefault="00000000">
      <w:pPr>
        <w:jc w:val="both"/>
      </w:pPr>
      <w:r>
        <w:t>Les faces de pose et des joints sont bien lissées dans le plan du parement. </w:t>
      </w:r>
    </w:p>
    <w:p w14:paraId="473CEC30" w14:textId="77777777" w:rsidR="00DB2B68" w:rsidRDefault="00000000">
      <w:pPr>
        <w:jc w:val="both"/>
      </w:pPr>
      <w:r>
        <w:rPr>
          <w:b/>
        </w:rPr>
        <w:lastRenderedPageBreak/>
        <w:t>Mode de mise en œuvre :</w:t>
      </w:r>
    </w:p>
    <w:p w14:paraId="073DC735" w14:textId="77777777" w:rsidR="00DB2B68" w:rsidRDefault="00000000">
      <w:pPr>
        <w:jc w:val="both"/>
      </w:pPr>
      <w:r>
        <w:t xml:space="preserve">En fonction notamment des critères techniques indiqués ci-avant, les moellons sont montés par assises réglées : </w:t>
      </w:r>
      <w:r>
        <w:rPr>
          <w:rStyle w:val="optioncarChar"/>
        </w:rPr>
        <w:t>non (concerne les moellons non équarris et non épincés ) / oui (concerne les moellons équarris et épincés) / ***</w:t>
      </w:r>
    </w:p>
    <w:p w14:paraId="680FE098" w14:textId="77777777" w:rsidR="00DB2B68" w:rsidRDefault="00000000">
      <w:pPr>
        <w:jc w:val="both"/>
      </w:pPr>
      <w:r>
        <w:rPr>
          <w:b/>
        </w:rPr>
        <w:t>(soit)</w:t>
      </w:r>
    </w:p>
    <w:p w14:paraId="442804BB" w14:textId="77777777" w:rsidR="00DB2B68" w:rsidRDefault="00000000">
      <w:pPr>
        <w:jc w:val="both"/>
      </w:pPr>
      <w:r>
        <w:rPr>
          <w:rStyle w:val="soitChar"/>
          <w:u w:val="single"/>
        </w:rPr>
        <w:t>Non :</w:t>
      </w:r>
    </w:p>
    <w:p w14:paraId="4E4A47C9" w14:textId="77777777" w:rsidR="00DB2B68" w:rsidRDefault="00000000">
      <w:pPr>
        <w:jc w:val="both"/>
      </w:pPr>
      <w:r>
        <w:rPr>
          <w:rStyle w:val="soitChar"/>
        </w:rPr>
        <w:t>La maçonnerie est montée sans recherche d'appareillage ni souci d'une rectitude et d'une continuité parfaites des lits.</w:t>
      </w:r>
    </w:p>
    <w:p w14:paraId="12B0B94C" w14:textId="77777777" w:rsidR="00DB2B68" w:rsidRDefault="00000000">
      <w:pPr>
        <w:jc w:val="both"/>
      </w:pPr>
      <w:r>
        <w:rPr>
          <w:rStyle w:val="soitChar"/>
        </w:rPr>
        <w:t xml:space="preserve"> Les joints verticaux sont décalés autant qu'il est possible et en tout cas ne se prolongent jamais au-delà de deux hauteurs de moellons.</w:t>
      </w:r>
    </w:p>
    <w:p w14:paraId="20C152D5" w14:textId="77777777" w:rsidR="00DB2B68" w:rsidRDefault="00000000">
      <w:pPr>
        <w:jc w:val="both"/>
      </w:pPr>
      <w:r>
        <w:rPr>
          <w:rStyle w:val="soitChar"/>
        </w:rPr>
        <w:t xml:space="preserve"> L'épaisseur des lits et des joints ne dépasse pas </w:t>
      </w:r>
      <w:r>
        <w:rPr>
          <w:rStyle w:val="optioncarChar"/>
        </w:rPr>
        <w:t>2 / 3</w:t>
      </w:r>
      <w:r>
        <w:t xml:space="preserve"> (par défaut) </w:t>
      </w:r>
      <w:r>
        <w:rPr>
          <w:rStyle w:val="optioncarChar"/>
        </w:rPr>
        <w:t>/ ***</w:t>
      </w:r>
      <w:r>
        <w:rPr>
          <w:rStyle w:val="soitChar"/>
        </w:rPr>
        <w:t xml:space="preserve"> cm.</w:t>
      </w:r>
    </w:p>
    <w:p w14:paraId="33936E07" w14:textId="77777777" w:rsidR="00DB2B68" w:rsidRDefault="00000000">
      <w:pPr>
        <w:jc w:val="both"/>
      </w:pPr>
      <w:r>
        <w:rPr>
          <w:rStyle w:val="soitChar"/>
        </w:rPr>
        <w:t xml:space="preserve">La maçonnerie </w:t>
      </w:r>
      <w:r>
        <w:rPr>
          <w:rStyle w:val="optioncarChar"/>
        </w:rPr>
        <w:t>est / n’est pas</w:t>
      </w:r>
      <w:r>
        <w:rPr>
          <w:rStyle w:val="soitChar"/>
        </w:rPr>
        <w:t xml:space="preserve"> montée par assises sensiblement horizontales.</w:t>
      </w:r>
    </w:p>
    <w:p w14:paraId="39F0C24F" w14:textId="77777777" w:rsidR="00DB2B68" w:rsidRDefault="00000000">
      <w:pPr>
        <w:jc w:val="both"/>
      </w:pPr>
      <w:r>
        <w:rPr>
          <w:b/>
        </w:rPr>
        <w:t>(soit)</w:t>
      </w:r>
    </w:p>
    <w:p w14:paraId="645B1A47" w14:textId="77777777" w:rsidR="00DB2B68" w:rsidRDefault="00000000">
      <w:pPr>
        <w:jc w:val="both"/>
      </w:pPr>
      <w:r>
        <w:rPr>
          <w:rStyle w:val="soitChar"/>
          <w:u w:val="single"/>
        </w:rPr>
        <w:t>Oui :</w:t>
      </w:r>
    </w:p>
    <w:p w14:paraId="160BFDDF" w14:textId="77777777" w:rsidR="00DB2B68" w:rsidRDefault="00000000">
      <w:pPr>
        <w:jc w:val="both"/>
      </w:pPr>
      <w:r>
        <w:rPr>
          <w:rStyle w:val="soitChar"/>
        </w:rPr>
        <w:t xml:space="preserve">Les ouvrages sont érigés selon un dessin d'appareil : </w:t>
      </w:r>
      <w:r>
        <w:rPr>
          <w:rStyle w:val="optioncarChar"/>
        </w:rPr>
        <w:t xml:space="preserve">soumis à la direction des travaux avant exécution, par l’entrepreneur </w:t>
      </w:r>
      <w:r>
        <w:t xml:space="preserve">(par défaut) </w:t>
      </w:r>
      <w:r>
        <w:rPr>
          <w:rStyle w:val="optioncarChar"/>
        </w:rPr>
        <w:t>/ indiqué aux plans / ***</w:t>
      </w:r>
    </w:p>
    <w:p w14:paraId="651712F3" w14:textId="77777777" w:rsidR="00DB2B68" w:rsidRDefault="00000000">
      <w:pPr>
        <w:jc w:val="both"/>
      </w:pPr>
      <w:r>
        <w:rPr>
          <w:rStyle w:val="soitChar"/>
        </w:rPr>
        <w:t xml:space="preserve">Les moellons sont montés à assises : </w:t>
      </w:r>
      <w:r>
        <w:rPr>
          <w:rStyle w:val="optioncarChar"/>
        </w:rPr>
        <w:t>irrégulières / régulières</w:t>
      </w:r>
    </w:p>
    <w:p w14:paraId="413EE44C" w14:textId="77777777" w:rsidR="00DB2B68" w:rsidRDefault="00000000">
      <w:pPr>
        <w:ind w:left="567"/>
        <w:jc w:val="both"/>
      </w:pPr>
      <w:r>
        <w:rPr>
          <w:b/>
        </w:rPr>
        <w:t>(soit)</w:t>
      </w:r>
    </w:p>
    <w:p w14:paraId="24C9004B" w14:textId="77777777" w:rsidR="00DB2B68" w:rsidRDefault="00000000">
      <w:pPr>
        <w:ind w:left="567"/>
        <w:jc w:val="both"/>
      </w:pPr>
      <w:r>
        <w:rPr>
          <w:rStyle w:val="soitChar"/>
          <w:u w:val="single"/>
        </w:rPr>
        <w:t>Irrégulières :</w:t>
      </w:r>
    </w:p>
    <w:p w14:paraId="4E1CF810" w14:textId="77777777" w:rsidR="00DB2B68" w:rsidRDefault="00000000">
      <w:pPr>
        <w:ind w:left="567"/>
        <w:jc w:val="both"/>
      </w:pPr>
      <w:r>
        <w:rPr>
          <w:rStyle w:val="soitChar"/>
        </w:rPr>
        <w:t>La maçonnerie est conduite par assises horizontales réglées à joints décalés, la hauteur pouvant varier d'une assise à l'autre.</w:t>
      </w:r>
    </w:p>
    <w:p w14:paraId="48656E34" w14:textId="77777777" w:rsidR="00DB2B68" w:rsidRDefault="00000000">
      <w:pPr>
        <w:ind w:left="567"/>
        <w:jc w:val="both"/>
      </w:pPr>
      <w:r>
        <w:rPr>
          <w:rStyle w:val="soitChar"/>
        </w:rPr>
        <w:t xml:space="preserve"> Les joints sont aussi réguliers que possible.</w:t>
      </w:r>
    </w:p>
    <w:p w14:paraId="7641AC69" w14:textId="77777777" w:rsidR="00DB2B68" w:rsidRDefault="00000000">
      <w:pPr>
        <w:ind w:left="567"/>
        <w:jc w:val="both"/>
      </w:pPr>
      <w:r>
        <w:rPr>
          <w:rStyle w:val="soitChar"/>
        </w:rPr>
        <w:t xml:space="preserve"> Leur épaisseur ne dépasse généralement pas </w:t>
      </w:r>
      <w:r>
        <w:rPr>
          <w:rStyle w:val="optioncarChar"/>
        </w:rPr>
        <w:t>1 / 1,5 / 2</w:t>
      </w:r>
      <w:r>
        <w:t xml:space="preserve"> (par défaut)</w:t>
      </w:r>
      <w:r>
        <w:rPr>
          <w:rStyle w:val="optioncarChar"/>
        </w:rPr>
        <w:t xml:space="preserve"> / ***</w:t>
      </w:r>
      <w:r>
        <w:rPr>
          <w:rStyle w:val="soitChar"/>
        </w:rPr>
        <w:t xml:space="preserve"> cm.</w:t>
      </w:r>
    </w:p>
    <w:p w14:paraId="50802B15" w14:textId="77777777" w:rsidR="00DB2B68" w:rsidRDefault="00000000">
      <w:pPr>
        <w:ind w:left="567"/>
        <w:jc w:val="both"/>
      </w:pPr>
      <w:r>
        <w:rPr>
          <w:rStyle w:val="soitChar"/>
        </w:rPr>
        <w:t xml:space="preserve"> Il peut être posé quelques moellons de la hauteur de deux assises, répartis irrégulièrement pour obtenir un effet décoratif.</w:t>
      </w:r>
    </w:p>
    <w:p w14:paraId="6001B70B" w14:textId="77777777" w:rsidR="00DB2B68" w:rsidRDefault="00000000">
      <w:pPr>
        <w:ind w:left="567"/>
        <w:jc w:val="both"/>
      </w:pPr>
      <w:r>
        <w:rPr>
          <w:b/>
        </w:rPr>
        <w:t>(soit)</w:t>
      </w:r>
    </w:p>
    <w:p w14:paraId="3CD808D9" w14:textId="77777777" w:rsidR="00DB2B68" w:rsidRDefault="00000000">
      <w:pPr>
        <w:ind w:left="567"/>
        <w:jc w:val="both"/>
      </w:pPr>
      <w:r>
        <w:rPr>
          <w:rStyle w:val="soitChar"/>
          <w:u w:val="single"/>
        </w:rPr>
        <w:t>Régulières :</w:t>
      </w:r>
    </w:p>
    <w:p w14:paraId="46D83D3B" w14:textId="77777777" w:rsidR="00DB2B68" w:rsidRDefault="00000000">
      <w:pPr>
        <w:ind w:left="567"/>
        <w:jc w:val="both"/>
      </w:pPr>
      <w:r>
        <w:rPr>
          <w:rStyle w:val="soitChar"/>
        </w:rPr>
        <w:t xml:space="preserve">La maçonnerie est conduite par assises horizontales de même hauteur réglées à joints décalés. </w:t>
      </w:r>
    </w:p>
    <w:p w14:paraId="70B1D673" w14:textId="77777777" w:rsidR="00DB2B68" w:rsidRDefault="00000000">
      <w:pPr>
        <w:ind w:left="567"/>
        <w:jc w:val="both"/>
      </w:pPr>
      <w:r>
        <w:rPr>
          <w:rStyle w:val="soitChar"/>
        </w:rPr>
        <w:t xml:space="preserve"> Les joints sont aussi réguliers que possible.</w:t>
      </w:r>
    </w:p>
    <w:p w14:paraId="717CE7B2" w14:textId="77777777" w:rsidR="00DB2B68" w:rsidRDefault="00000000">
      <w:pPr>
        <w:ind w:left="567"/>
        <w:jc w:val="both"/>
      </w:pPr>
      <w:r>
        <w:rPr>
          <w:rStyle w:val="soitChar"/>
        </w:rPr>
        <w:t xml:space="preserve"> Leur épaisseur ne dépasse généralement pas </w:t>
      </w:r>
      <w:r>
        <w:rPr>
          <w:rStyle w:val="optioncarChar"/>
        </w:rPr>
        <w:t xml:space="preserve">1,5 / 2 </w:t>
      </w:r>
      <w:r>
        <w:t>(par défaut)</w:t>
      </w:r>
      <w:r>
        <w:rPr>
          <w:rStyle w:val="optioncarChar"/>
        </w:rPr>
        <w:t xml:space="preserve"> / ***</w:t>
      </w:r>
      <w:r>
        <w:rPr>
          <w:rStyle w:val="soitChar"/>
        </w:rPr>
        <w:t xml:space="preserve"> cm.</w:t>
      </w:r>
    </w:p>
    <w:p w14:paraId="5FD1837C" w14:textId="77777777" w:rsidR="00DB2B68" w:rsidRDefault="00000000">
      <w:pPr>
        <w:jc w:val="both"/>
      </w:pPr>
      <w:r>
        <w:rPr>
          <w:b/>
        </w:rPr>
        <w:t>(soit)</w:t>
      </w:r>
    </w:p>
    <w:p w14:paraId="03AE1493" w14:textId="77777777" w:rsidR="00DB2B68" w:rsidRDefault="00000000">
      <w:pPr>
        <w:jc w:val="both"/>
      </w:pPr>
      <w:r>
        <w:rPr>
          <w:rStyle w:val="optioncarChar"/>
        </w:rPr>
        <w:t>***</w:t>
      </w:r>
    </w:p>
    <w:p w14:paraId="48580DCA" w14:textId="77777777" w:rsidR="00DB2B68" w:rsidRDefault="00000000">
      <w:pPr>
        <w:pStyle w:val="pheading"/>
      </w:pPr>
      <w:r>
        <w:t>DOCUMENTS DE RÉFÉRENCE COMPLÉMENTAIRES</w:t>
      </w:r>
    </w:p>
    <w:p w14:paraId="7515D5AC" w14:textId="77777777" w:rsidR="00DB2B68" w:rsidRDefault="00000000">
      <w:pPr>
        <w:pStyle w:val="pheading"/>
      </w:pPr>
      <w:r>
        <w:t>- Matériau</w:t>
      </w:r>
    </w:p>
    <w:p w14:paraId="61B318C6" w14:textId="77777777" w:rsidR="00DB2B68" w:rsidRDefault="00000000">
      <w:r>
        <w:t>[NIT 228, Pierres naturelles (NIT interactive et évolutive en remplacement de la NIT 205).]</w:t>
      </w:r>
    </w:p>
    <w:p w14:paraId="2ECA5659" w14:textId="77777777" w:rsidR="00DB2B68" w:rsidRDefault="00000000">
      <w:r>
        <w:t>[STS 22-1, Maçonnerie pour construction basse - Partie 1 : Matériaux]</w:t>
      </w:r>
    </w:p>
    <w:p w14:paraId="235F55D2" w14:textId="77777777" w:rsidR="00DB2B68" w:rsidRDefault="00000000">
      <w:r>
        <w:t>[STS 22-2, Maçonnerie pour construction basse - Partie 2 : Stabilité]</w:t>
      </w:r>
    </w:p>
    <w:p w14:paraId="1B6C29B1" w14:textId="77777777" w:rsidR="00DB2B68" w:rsidRDefault="00000000">
      <w:r>
        <w:t>[STS 22-3, Maçonnerie pour construction basse-Thermique, acoustique, feu et étanchéité à l'air]</w:t>
      </w:r>
    </w:p>
    <w:p w14:paraId="1F881AF5" w14:textId="77777777" w:rsidR="00DB2B68" w:rsidRDefault="00000000">
      <w:r>
        <w:t>[NBN EN 771-6+A1, Spécification pour éléments de maçonnerie - Partie 6: Éléments de maçonnerie en pierre naturelle]</w:t>
      </w:r>
    </w:p>
    <w:p w14:paraId="437EF08F" w14:textId="77777777" w:rsidR="00DB2B68" w:rsidRDefault="00000000">
      <w:r>
        <w:lastRenderedPageBreak/>
        <w:t>[NBN EN 998-2, Définitions et spécifications des mortiers pour maçonnerie - Partie 2: Mortiers de montage des éléments de maçonnerie]</w:t>
      </w:r>
    </w:p>
    <w:p w14:paraId="77DF89B1" w14:textId="77777777" w:rsidR="00DB2B68" w:rsidRDefault="00000000">
      <w:r>
        <w:t>[NBN EN 12670, Pierre naturelle – Terminologie]</w:t>
      </w:r>
    </w:p>
    <w:p w14:paraId="55B25325" w14:textId="77777777" w:rsidR="00DB2B68" w:rsidRDefault="00000000">
      <w:r>
        <w:t>[PTV 819-4, Prescriptions techniques pour classification des roches]</w:t>
      </w:r>
    </w:p>
    <w:p w14:paraId="352C986B" w14:textId="77777777" w:rsidR="00DB2B68" w:rsidRDefault="00000000">
      <w:r>
        <w:t>[NBN EN 1925, Méthodes d'essai pour pierres naturelles - Détermination du coefficient d'absorption d'eau par capillarité.]</w:t>
      </w:r>
      <w:r>
        <w:br/>
      </w:r>
      <w:r>
        <w:br/>
        <w:t>[NBN EN 1926, Méthodes d'essai des pierres naturelles - Détermination de la résistance en compression uniaxiale]</w:t>
      </w:r>
      <w:r>
        <w:br/>
      </w:r>
      <w:r>
        <w:br/>
        <w:t>[NBN EN 1936, Méthodes d'essai des pierres naturelles - Détermination des masses volumiques réelle et apparente et des porosités ouverte et totale]</w:t>
      </w:r>
      <w:r>
        <w:br/>
      </w:r>
      <w:r>
        <w:br/>
        <w:t>[NBN EN 12371, Méthodes d’essai pour pierres naturelles - Détermination de la résistance au gel]</w:t>
      </w:r>
      <w:r>
        <w:br/>
      </w:r>
      <w:r>
        <w:br/>
        <w:t>[NBN EN 12372, Méthodes d'essai pour pierres naturelles - Détermination de la résistance à la flexion sous charge centrée]</w:t>
      </w:r>
      <w:r>
        <w:br/>
      </w:r>
      <w:r>
        <w:br/>
        <w:t>[NBN EN 12407, Méthodes d'essai pour pierres naturelles. Examen pétrographique]</w:t>
      </w:r>
      <w:r>
        <w:br/>
      </w:r>
      <w:r>
        <w:br/>
        <w:t>[NBN EN 12440, Pierres naturelles - Critères de dénomination]</w:t>
      </w:r>
      <w:r>
        <w:br/>
      </w:r>
      <w:r>
        <w:br/>
        <w:t>[NBN EN 13364, Méthodes d'essai pour pierre naturelle - Détermination de l'effort de rupture au niveau du goujon de l'agrafe ]</w:t>
      </w:r>
      <w:r>
        <w:br/>
      </w:r>
      <w:r>
        <w:br/>
        <w:t>[NBN EN 13755, Méthodes d'essai pour pierres naturelles - Détermination de l'absorption d'eau à la pression atmosphérique]</w:t>
      </w:r>
      <w:r>
        <w:br/>
      </w:r>
      <w:r>
        <w:br/>
        <w:t>[NBN EN 14158, Méthodes d'essai pour pierres naturelles. Examen pétrographique]</w:t>
      </w:r>
      <w:r>
        <w:br/>
      </w:r>
      <w:r>
        <w:br/>
        <w:t>[NBN EN 14157, Méthodes d'essai pour pierres naturelles - Détermination de la résistance à l'usure]</w:t>
      </w:r>
      <w:r>
        <w:br/>
      </w:r>
      <w:r>
        <w:br/>
        <w:t>[NBN EN 14158, Méthodes d'essai pour pierres naturelles - Détermination de l'énergie de rupture]</w:t>
      </w:r>
      <w:r>
        <w:br/>
      </w:r>
      <w:r>
        <w:br/>
        <w:t>[NBN EN 14579, Méthodes d'essai pour pierres naturelles - Détermination de la vitesse et propagation du son]</w:t>
      </w:r>
      <w:r>
        <w:br/>
      </w:r>
      <w:r>
        <w:br/>
        <w:t>[NBN EN 14581, Méthodes d'essai pour pierres naturelles - Détermination du coefficient linéaire de dilatation thermique]</w:t>
      </w:r>
      <w:r>
        <w:br/>
      </w:r>
      <w:r>
        <w:br/>
        <w:t>[NBN EN 16140, Méthodes d'essai pour pierres naturelles - Détermination de la sensibilité aux changements d'aspect induits par des cycles thermiques]</w:t>
      </w:r>
      <w:r>
        <w:br/>
      </w:r>
      <w:r>
        <w:br/>
        <w:t>[NBN EN 14066, Méthodes d'essai pour les pierres naturelles - Détermination de la résistance au vieillissement accéléré par choc thermique]</w:t>
      </w:r>
      <w:r>
        <w:br/>
      </w:r>
      <w:r>
        <w:br/>
        <w:t>[NBN EN 14231, Méthodes d'essai pour les pierres naturelles - Détermination de la résistance à la glissance au moyen du pendule de frottement]</w:t>
      </w:r>
      <w:r>
        <w:br/>
      </w:r>
      <w:r>
        <w:br/>
        <w:t>[NBN EN 16301, Méthodes d'essai pour les pierres naturelles - Détermination de la sensibilité au tachage accidentel]</w:t>
      </w:r>
      <w:r>
        <w:br/>
      </w:r>
      <w:r>
        <w:br/>
        <w:t>[NBN EN 16306, Méthodes d'essai pour pierres naturelles - Détermination de la résistance du marbre aux cycles thermiques et d'humidité]</w:t>
      </w:r>
    </w:p>
    <w:p w14:paraId="0AE022E2" w14:textId="77777777" w:rsidR="00DB2B68" w:rsidRDefault="00000000">
      <w:pPr>
        <w:pStyle w:val="pheading"/>
      </w:pPr>
      <w:r>
        <w:lastRenderedPageBreak/>
        <w:t>- Exécution</w:t>
      </w:r>
    </w:p>
    <w:p w14:paraId="53A6DBB1" w14:textId="77777777" w:rsidR="00DB2B68" w:rsidRDefault="00000000">
      <w:r>
        <w:t>[NIT 271, Exécution des maçonneries]</w:t>
      </w:r>
    </w:p>
    <w:p w14:paraId="4346F9DB" w14:textId="77777777" w:rsidR="00DB2B68" w:rsidRDefault="00000000">
      <w:r>
        <w:t>[STS 22-4, Maçonnerie pour construction basse - Conception et prescriptions pour l’exécution]</w:t>
      </w:r>
    </w:p>
    <w:p w14:paraId="14EC1742" w14:textId="77777777" w:rsidR="00DB2B68" w:rsidRDefault="00000000">
      <w:r>
        <w:t>Chapitre J du [CCT Qualiroutes, Cahier des charges type Qualiroutes]</w:t>
      </w:r>
    </w:p>
    <w:p w14:paraId="40450A81" w14:textId="77777777" w:rsidR="00DB2B68" w:rsidRDefault="00000000">
      <w:pPr>
        <w:pStyle w:val="pheading"/>
      </w:pPr>
      <w:r>
        <w:t>MESURAGE</w:t>
      </w:r>
    </w:p>
    <w:p w14:paraId="33B0D44D" w14:textId="77777777" w:rsidR="00DB2B68" w:rsidRDefault="00000000">
      <w:pPr>
        <w:pStyle w:val="pheading"/>
      </w:pPr>
      <w:r>
        <w:t>- unité de mesure:</w:t>
      </w:r>
    </w:p>
    <w:p w14:paraId="21CD54DB" w14:textId="77777777" w:rsidR="00DB2B68" w:rsidRDefault="00000000">
      <w:r>
        <w:rPr>
          <w:rStyle w:val="optioncarChar"/>
        </w:rPr>
        <w:t xml:space="preserve">m² </w:t>
      </w:r>
      <w:r>
        <w:t xml:space="preserve">(par défaut) </w:t>
      </w:r>
      <w:r>
        <w:rPr>
          <w:rStyle w:val="optioncarChar"/>
        </w:rPr>
        <w:t>/ m³</w:t>
      </w:r>
    </w:p>
    <w:p w14:paraId="5D3D28F4" w14:textId="77777777" w:rsidR="00DB2B68" w:rsidRDefault="00000000">
      <w:r>
        <w:rPr>
          <w:b/>
        </w:rPr>
        <w:t>(soit par défaut)</w:t>
      </w:r>
      <w:r>
        <w:br/>
      </w:r>
      <w:r>
        <w:rPr>
          <w:rStyle w:val="soitChar"/>
        </w:rPr>
        <w:t>1.  m²</w:t>
      </w:r>
      <w:r>
        <w:br/>
      </w:r>
      <w:r>
        <w:rPr>
          <w:b/>
        </w:rPr>
        <w:t>(soit)</w:t>
      </w:r>
      <w:r>
        <w:br/>
      </w:r>
      <w:r>
        <w:rPr>
          <w:rStyle w:val="soitChar"/>
        </w:rPr>
        <w:t>2.  m³</w:t>
      </w:r>
    </w:p>
    <w:p w14:paraId="0E58F8DA" w14:textId="77777777" w:rsidR="00DB2B68" w:rsidRDefault="00000000">
      <w:pPr>
        <w:pStyle w:val="pheading"/>
      </w:pPr>
      <w:r>
        <w:t>- code de mesurage:</w:t>
      </w:r>
    </w:p>
    <w:p w14:paraId="064F7F5E" w14:textId="77777777" w:rsidR="00DB2B68" w:rsidRDefault="00000000">
      <w:pPr>
        <w:jc w:val="both"/>
      </w:pPr>
      <w:r>
        <w:rPr>
          <w:rStyle w:val="optioncarChar"/>
        </w:rPr>
        <w:t xml:space="preserve">Surface nette </w:t>
      </w:r>
      <w:r>
        <w:t xml:space="preserve">(par défaut) </w:t>
      </w:r>
      <w:r>
        <w:rPr>
          <w:rStyle w:val="optioncarChar"/>
        </w:rPr>
        <w:t>/ Volume net</w:t>
      </w:r>
    </w:p>
    <w:p w14:paraId="32D5E728" w14:textId="77777777" w:rsidR="00DB2B68" w:rsidRDefault="00000000">
      <w:pPr>
        <w:jc w:val="both"/>
      </w:pPr>
      <w:r>
        <w:rPr>
          <w:b/>
        </w:rPr>
        <w:t>(soit par défaut)</w:t>
      </w:r>
    </w:p>
    <w:p w14:paraId="5311B13D" w14:textId="77777777" w:rsidR="00DB2B68" w:rsidRDefault="00000000">
      <w:pPr>
        <w:jc w:val="both"/>
      </w:pPr>
      <w:r>
        <w:rPr>
          <w:rStyle w:val="soitChar"/>
        </w:rPr>
        <w:t xml:space="preserve">1. </w:t>
      </w:r>
      <w:r>
        <w:rPr>
          <w:rStyle w:val="soitChar"/>
          <w:u w:val="single"/>
        </w:rPr>
        <w:t>Surface nette :</w:t>
      </w:r>
    </w:p>
    <w:p w14:paraId="68C9447A" w14:textId="77777777" w:rsidR="00DB2B68" w:rsidRDefault="00000000">
      <w:pPr>
        <w:jc w:val="both"/>
      </w:pPr>
      <w:r>
        <w:rPr>
          <w:rStyle w:val="soitChar"/>
        </w:rPr>
        <w:t>Mesurée selon sa forme géométrique dans l’axe de la maçonnerie de parement.</w:t>
      </w:r>
    </w:p>
    <w:p w14:paraId="0C54FBED" w14:textId="77777777" w:rsidR="00DB2B68" w:rsidRDefault="00000000">
      <w:pPr>
        <w:jc w:val="both"/>
      </w:pPr>
      <w:r>
        <w:rPr>
          <w:rStyle w:val="soitChar"/>
        </w:rPr>
        <w:t xml:space="preserve"> Il n’est pas fait distinction entre les assises de chant, assises de panneresses, seuils, éventuels blocs d'angle, assises en maçonnerie décorative, etc.</w:t>
      </w:r>
    </w:p>
    <w:p w14:paraId="33517363" w14:textId="77777777" w:rsidR="00DB2B68" w:rsidRDefault="00000000">
      <w:pPr>
        <w:jc w:val="both"/>
      </w:pPr>
      <w:r>
        <w:rPr>
          <w:rStyle w:val="soitChar"/>
        </w:rPr>
        <w:t>Les ébrasements des ouvertures et des baies de fenêtres ainsi que la face inférieure des linteaux ne sont comptés (en surface nette) que lorsque leur largeur est supérieure à celle des moellons de façade.</w:t>
      </w:r>
    </w:p>
    <w:p w14:paraId="56C470F5" w14:textId="77777777" w:rsidR="00DB2B68" w:rsidRDefault="00000000">
      <w:pPr>
        <w:jc w:val="both"/>
      </w:pPr>
      <w:r>
        <w:rPr>
          <w:rStyle w:val="soitChar"/>
        </w:rPr>
        <w:t>La coulisse éventuelle n'est jamais prise en compte.</w:t>
      </w:r>
    </w:p>
    <w:p w14:paraId="492E5898" w14:textId="77777777" w:rsidR="00DB2B68" w:rsidRDefault="00000000">
      <w:pPr>
        <w:jc w:val="both"/>
      </w:pPr>
      <w:r>
        <w:rPr>
          <w:rStyle w:val="soitChar"/>
        </w:rPr>
        <w:t>Les accessoires (crochets de maçonnerie, …) sont compris dans le prix.</w:t>
      </w:r>
    </w:p>
    <w:p w14:paraId="1209A726" w14:textId="77777777" w:rsidR="00DB2B68" w:rsidRDefault="00000000">
      <w:pPr>
        <w:jc w:val="both"/>
      </w:pPr>
      <w:r>
        <w:rPr>
          <w:rStyle w:val="soitChar"/>
        </w:rPr>
        <w:t xml:space="preserve">La surface est éventuellement scindée dans différents postes selon : le type ; la nature des moellons (neufs et/ou recyclés et/ou de réemploi) ; l’épaisseur ; … </w:t>
      </w:r>
    </w:p>
    <w:p w14:paraId="175E0DD0" w14:textId="77777777" w:rsidR="00DB2B68" w:rsidRDefault="00000000">
      <w:pPr>
        <w:jc w:val="both"/>
      </w:pPr>
      <w:r>
        <w:rPr>
          <w:rStyle w:val="soitChar"/>
        </w:rPr>
        <w:t xml:space="preserve"> Distinction est faite des maçonneries réalisées à l’aide de pierres en provenance du chantier en question.</w:t>
      </w:r>
    </w:p>
    <w:p w14:paraId="0E449019" w14:textId="77777777" w:rsidR="00DB2B68" w:rsidRDefault="00000000">
      <w:pPr>
        <w:jc w:val="both"/>
      </w:pPr>
      <w:r>
        <w:rPr>
          <w:b/>
        </w:rPr>
        <w:t>(soit)</w:t>
      </w:r>
    </w:p>
    <w:p w14:paraId="7758D703" w14:textId="77777777" w:rsidR="00DB2B68" w:rsidRDefault="00000000">
      <w:pPr>
        <w:jc w:val="both"/>
      </w:pPr>
      <w:r>
        <w:rPr>
          <w:rStyle w:val="soitChar"/>
        </w:rPr>
        <w:t xml:space="preserve">2. </w:t>
      </w:r>
      <w:r>
        <w:rPr>
          <w:rStyle w:val="soitChar"/>
          <w:u w:val="single"/>
        </w:rPr>
        <w:t>Volume net :</w:t>
      </w:r>
    </w:p>
    <w:p w14:paraId="263D7651" w14:textId="77777777" w:rsidR="00DB2B68" w:rsidRDefault="00000000">
      <w:pPr>
        <w:jc w:val="both"/>
      </w:pPr>
      <w:r>
        <w:rPr>
          <w:rStyle w:val="soitChar"/>
        </w:rPr>
        <w:t>Mesuré selon sa forme géométrique.</w:t>
      </w:r>
    </w:p>
    <w:p w14:paraId="1EF0CE61" w14:textId="77777777" w:rsidR="00DB2B68" w:rsidRDefault="00000000">
      <w:pPr>
        <w:jc w:val="both"/>
      </w:pPr>
      <w:r>
        <w:rPr>
          <w:rStyle w:val="soitChar"/>
        </w:rPr>
        <w:t>La longueur des murs est mesurée dans l'axe de l'élément.</w:t>
      </w:r>
    </w:p>
    <w:p w14:paraId="172A279F" w14:textId="77777777" w:rsidR="00DB2B68" w:rsidRDefault="00000000">
      <w:pPr>
        <w:jc w:val="both"/>
      </w:pPr>
      <w:r>
        <w:rPr>
          <w:rStyle w:val="soitChar"/>
        </w:rPr>
        <w:t xml:space="preserve"> A l’intersection de deux murs, seul le mur le plus épais est considéré.</w:t>
      </w:r>
    </w:p>
    <w:p w14:paraId="473EC412" w14:textId="77777777" w:rsidR="00DB2B68" w:rsidRDefault="00000000">
      <w:pPr>
        <w:jc w:val="both"/>
      </w:pPr>
      <w:r>
        <w:rPr>
          <w:rStyle w:val="soitChar"/>
        </w:rPr>
        <w:t xml:space="preserve"> Aucun volume n'est compté deux fois.</w:t>
      </w:r>
    </w:p>
    <w:p w14:paraId="4DF4C10D" w14:textId="77777777" w:rsidR="00DB2B68" w:rsidRDefault="00000000">
      <w:pPr>
        <w:jc w:val="both"/>
      </w:pPr>
      <w:r>
        <w:rPr>
          <w:rStyle w:val="soitChar"/>
        </w:rPr>
        <w:t>Les ouvertures ou les éléments de construction intégrés dont l'aire est ˃ 0,50 m² sont déduits.</w:t>
      </w:r>
    </w:p>
    <w:p w14:paraId="419EF9BF" w14:textId="77777777" w:rsidR="00DB2B68" w:rsidRDefault="00000000">
      <w:pPr>
        <w:jc w:val="both"/>
      </w:pPr>
      <w:r>
        <w:rPr>
          <w:rStyle w:val="soitChar"/>
        </w:rPr>
        <w:t xml:space="preserve">Le volume est éventuellement scindé dans différents postes selon : le type , la nature des moellons (neufs et/ou recyclés et/ou de réemploi) , l’épaisseur ; … </w:t>
      </w:r>
    </w:p>
    <w:p w14:paraId="0ADFEF0E" w14:textId="77777777" w:rsidR="00DB2B68" w:rsidRDefault="00000000">
      <w:pPr>
        <w:jc w:val="both"/>
      </w:pPr>
      <w:r>
        <w:rPr>
          <w:rStyle w:val="soitChar"/>
        </w:rPr>
        <w:t xml:space="preserve"> Distinction est faite des maçonneries réalisées à l’aide de pierres en provenance du chantier en question (réemploi).</w:t>
      </w:r>
    </w:p>
    <w:p w14:paraId="4BE29752" w14:textId="77777777" w:rsidR="00DB2B68" w:rsidRDefault="00000000">
      <w:pPr>
        <w:pStyle w:val="pheading"/>
      </w:pPr>
      <w:r>
        <w:t>- nature du marché:</w:t>
      </w:r>
    </w:p>
    <w:p w14:paraId="4ED3F736" w14:textId="77777777" w:rsidR="00DB2B68" w:rsidRDefault="00000000">
      <w:r>
        <w:rPr>
          <w:rStyle w:val="optioncarChar"/>
        </w:rPr>
        <w:t xml:space="preserve">QF </w:t>
      </w:r>
      <w:r>
        <w:t>(par défaut)</w:t>
      </w:r>
      <w:r>
        <w:rPr>
          <w:rStyle w:val="optioncarChar"/>
        </w:rPr>
        <w:t xml:space="preserve"> / QP</w:t>
      </w:r>
    </w:p>
    <w:p w14:paraId="34BFA4F7" w14:textId="77777777" w:rsidR="00DB2B68" w:rsidRDefault="00000000">
      <w:r>
        <w:rPr>
          <w:b/>
        </w:rPr>
        <w:t>(soit par défaut)</w:t>
      </w:r>
      <w:r>
        <w:br/>
      </w:r>
      <w:r>
        <w:rPr>
          <w:rStyle w:val="soitChar"/>
        </w:rPr>
        <w:t>1. 2. QF</w:t>
      </w:r>
      <w:r>
        <w:br/>
      </w:r>
      <w:r>
        <w:rPr>
          <w:b/>
        </w:rPr>
        <w:lastRenderedPageBreak/>
        <w:t>(soit)</w:t>
      </w:r>
      <w:r>
        <w:br/>
      </w:r>
      <w:r>
        <w:rPr>
          <w:rStyle w:val="soitChar"/>
        </w:rPr>
        <w:t>1. 2. QP</w:t>
      </w:r>
    </w:p>
    <w:p w14:paraId="3728631C" w14:textId="77777777" w:rsidR="00DB2B68" w:rsidRDefault="00000000">
      <w:pPr>
        <w:pStyle w:val="pheading"/>
      </w:pPr>
      <w:r>
        <w:t>AIDE</w:t>
      </w:r>
    </w:p>
    <w:p w14:paraId="236EF8AC" w14:textId="77777777" w:rsidR="00DB2B68" w:rsidRDefault="00000000">
      <w:pPr>
        <w:jc w:val="both"/>
      </w:pPr>
      <w:r>
        <w:t>L’épinçage consiste à rectifier les faces vues d’une pierre de façon à ce que leurs arêtes se situent dans un même plan.</w:t>
      </w:r>
    </w:p>
    <w:p w14:paraId="7346AD9B" w14:textId="77777777" w:rsidR="00DB2B68" w:rsidRDefault="00000000">
      <w:pPr>
        <w:jc w:val="both"/>
      </w:pPr>
      <w:r>
        <w:t>L’équarrissage consiste à rectifier une pierre de façon à donner aux faces vues une forme se rapprochant d’un rectangle.</w:t>
      </w:r>
    </w:p>
    <w:p w14:paraId="797F0C51" w14:textId="77777777" w:rsidR="00DB2B68" w:rsidRDefault="00000000">
      <w:pPr>
        <w:pStyle w:val="Author-eSectionHeading6Numberless"/>
      </w:pPr>
      <w:bookmarkStart w:id="210" w:name="_Toc220495347"/>
      <w:r>
        <w:t>21.23.3d Maçonneries non portantes en moellons de quartzite CCTB 01.04</w:t>
      </w:r>
      <w:bookmarkEnd w:id="210"/>
    </w:p>
    <w:p w14:paraId="1A0866C1" w14:textId="77777777" w:rsidR="00DB2B68" w:rsidRDefault="00000000">
      <w:pPr>
        <w:pStyle w:val="Author-eSectionHeading6Numberless"/>
      </w:pPr>
      <w:bookmarkStart w:id="211" w:name="_Toc220495348"/>
      <w:r>
        <w:t>21.23.3e Maçonneries non portantes en moellons de silex CCTB 01.04</w:t>
      </w:r>
      <w:bookmarkEnd w:id="211"/>
    </w:p>
    <w:p w14:paraId="4F5AC02C" w14:textId="77777777" w:rsidR="00DB2B68" w:rsidRDefault="00000000">
      <w:pPr>
        <w:pStyle w:val="Author-eSectionHeading4Numberless"/>
      </w:pPr>
      <w:bookmarkStart w:id="212" w:name="_Toc220495349"/>
      <w:r>
        <w:t>21.24 Maçonneries non portantes en grands éléments CCTB 01.04</w:t>
      </w:r>
      <w:bookmarkEnd w:id="212"/>
    </w:p>
    <w:p w14:paraId="678B2B74" w14:textId="77777777" w:rsidR="00DB2B68" w:rsidRDefault="00000000">
      <w:pPr>
        <w:pStyle w:val="Author-eSectionHeading5Numberless"/>
      </w:pPr>
      <w:bookmarkStart w:id="213" w:name="461"/>
      <w:bookmarkStart w:id="214" w:name="_Toc220495350"/>
      <w:bookmarkEnd w:id="213"/>
      <w:r>
        <w:t>21.24.1 Maçonneries non portantes en éléments de grand format CCTB 01.04</w:t>
      </w:r>
      <w:bookmarkEnd w:id="214"/>
    </w:p>
    <w:p w14:paraId="610EE851" w14:textId="77777777" w:rsidR="00DB2B68" w:rsidRDefault="00000000">
      <w:pPr>
        <w:pStyle w:val="Author-eSectionHeading6Numberless"/>
      </w:pPr>
      <w:bookmarkStart w:id="215" w:name="397"/>
      <w:bookmarkStart w:id="216" w:name="_Toc220495351"/>
      <w:bookmarkEnd w:id="215"/>
      <w:r>
        <w:t>21.24.1a Maçonneries non portantes en éléments de grand format de silico-calcaire CCTB 01.12</w:t>
      </w:r>
      <w:bookmarkEnd w:id="216"/>
    </w:p>
    <w:p w14:paraId="13F349D7" w14:textId="77777777" w:rsidR="00DB2B68" w:rsidRDefault="00000000">
      <w:pPr>
        <w:pStyle w:val="pheading"/>
      </w:pPr>
      <w:r>
        <w:t>DESCRIPTION</w:t>
      </w:r>
    </w:p>
    <w:p w14:paraId="77646B7C" w14:textId="77777777" w:rsidR="00DB2B68" w:rsidRDefault="00000000">
      <w:pPr>
        <w:pStyle w:val="pheading"/>
      </w:pPr>
      <w:r>
        <w:t>- Définition / Comprend</w:t>
      </w:r>
    </w:p>
    <w:p w14:paraId="627C5E98" w14:textId="77777777" w:rsidR="00DB2B68" w:rsidRDefault="00000000">
      <w:r>
        <w:t xml:space="preserve">Il s’agit de la fourniture et la pose de maçonneries non portantes en éléments de grand format de silico-calcaire. </w:t>
      </w:r>
      <w:r>
        <w:br/>
        <w:t xml:space="preserve">La portée des travaux est décrite dans l’article </w:t>
      </w:r>
      <w:hyperlink w:anchor="397" w:history="1">
        <w:r>
          <w:rPr>
            <w:color w:val="0000EE"/>
          </w:rPr>
          <w:t>21.24.1 Maçonneries non portantes en éléments de grand format</w:t>
        </w:r>
      </w:hyperlink>
      <w:r>
        <w:t>.</w:t>
      </w:r>
      <w:r>
        <w:br/>
        <w:t>Les travaux comprennent également la fourniture et la pose des pièces d’angle, de terminaison et de rencontre.</w:t>
      </w:r>
    </w:p>
    <w:p w14:paraId="5845D272" w14:textId="77777777" w:rsidR="00DB2B68" w:rsidRDefault="00000000">
      <w:pPr>
        <w:pStyle w:val="pheading"/>
      </w:pPr>
      <w:r>
        <w:t>- Localisation</w:t>
      </w:r>
    </w:p>
    <w:p w14:paraId="09A74878" w14:textId="77777777" w:rsidR="00DB2B68" w:rsidRDefault="00000000">
      <w:r>
        <w:t xml:space="preserve">La pose est réalisée aux endroits suivants : </w:t>
      </w:r>
      <w:r>
        <w:rPr>
          <w:rStyle w:val="optioncarChar"/>
        </w:rPr>
        <w:t>***</w:t>
      </w:r>
      <w:r>
        <w:t>.</w:t>
      </w:r>
      <w:r>
        <w:br/>
        <w:t>Voir plans et métrés détaillés.</w:t>
      </w:r>
    </w:p>
    <w:p w14:paraId="7193CA07" w14:textId="77777777" w:rsidR="00DB2B68" w:rsidRDefault="00000000">
      <w:pPr>
        <w:pStyle w:val="pheading"/>
      </w:pPr>
      <w:r>
        <w:t>MATÉRIAUX</w:t>
      </w:r>
    </w:p>
    <w:p w14:paraId="4DBA75B7" w14:textId="77777777" w:rsidR="00DB2B68" w:rsidRDefault="00000000">
      <w:pPr>
        <w:pStyle w:val="pheading"/>
      </w:pPr>
      <w:r>
        <w:t>- Caractéristiques générales</w:t>
      </w:r>
    </w:p>
    <w:p w14:paraId="0542BB09" w14:textId="77777777" w:rsidR="00DB2B68" w:rsidRDefault="00000000">
      <w:r>
        <w:t xml:space="preserve">Il s'agit des grands éléments de construction en silico-calcaire, qui répondent à la norme [NBN EN 771-2+A1] et au [PTV 21-003]. L'entrepreneur soumet un échantillon, la fiche technique et la déclaration des performances (DoP) du matériau pour approbation à l'auteur de projet et au maître de l’ouvrage. </w:t>
      </w:r>
      <w:r>
        <w:br/>
      </w:r>
      <w:r>
        <w:br/>
        <w:t>Spécifications</w:t>
      </w:r>
      <w:r>
        <w:br/>
        <w:t>En ce qui concerne la déclaration de la résistance à la compression, les grands éléments sont de catégorie I (la résistance à la compression est déclarée avec une fiabilité de 95%).</w:t>
      </w:r>
      <w:r>
        <w:br/>
      </w:r>
      <w:r>
        <w:br/>
        <w:t xml:space="preserve">Les éléments en silico-calcaire sont de classe d’usage : </w:t>
      </w:r>
      <w:r>
        <w:rPr>
          <w:rStyle w:val="optioncarChar"/>
        </w:rPr>
        <w:t>A1 / A2 / B1 / B2 / C / D</w:t>
      </w:r>
      <w:r>
        <w:br/>
      </w:r>
      <w:r>
        <w:br/>
        <w:t xml:space="preserve">La classe de qualité suivant [PTV 21-003] est : </w:t>
      </w:r>
      <w:r>
        <w:rPr>
          <w:rStyle w:val="optioncarChar"/>
        </w:rPr>
        <w:t>20/1,8 / ***</w:t>
      </w:r>
      <w:r>
        <w:br/>
      </w:r>
      <w:r>
        <w:br/>
        <w:t xml:space="preserve">La résistance en compression normalisée (fb)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 xml:space="preserve">1800 </w:t>
      </w:r>
      <w:r>
        <w:t>(par défaut) </w:t>
      </w:r>
      <w:r>
        <w:rPr>
          <w:rStyle w:val="optioncarChar"/>
        </w:rPr>
        <w:t>/ ***</w:t>
      </w:r>
      <w:r>
        <w:t xml:space="preserve"> kg/m³ (éléments </w:t>
      </w:r>
      <w:r>
        <w:lastRenderedPageBreak/>
        <w:t xml:space="preserve">pleins), selon la [NBN EN 771-2+A1]. </w:t>
      </w:r>
      <w:r>
        <w:br/>
      </w:r>
      <w:r>
        <w:br/>
        <w:t xml:space="preserve">La conductibilité thermique λD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Format : (L x l x h)</w:t>
      </w:r>
      <w:r>
        <w:rPr>
          <w:rStyle w:val="optioncarChar"/>
        </w:rPr>
        <w:t>: format modulaire proposé par l'entrepreneur (par défaut) / (900 / *** x 600 / *** x 100 / 150 / 175 / 214 / *** ) mm</w:t>
      </w:r>
      <w:r>
        <w:br/>
      </w:r>
      <w:r>
        <w:br/>
        <w:t>Stabilité de forme : les éléments en silico-calcaire destinés à un usage extérieur ou en maçonnerie souterraine respectent le critère suivant en matière de comportement à l'humidité : retrait et gonflement hygrométriques ≤ 0.45 mm / m (cf. [PTV 21-003] annexe E).</w:t>
      </w:r>
      <w:r>
        <w:br/>
      </w:r>
      <w:r>
        <w:br/>
        <w:t xml:space="preserve">Absorption d’eau par immersion : code </w:t>
      </w:r>
      <w:r>
        <w:rPr>
          <w:rStyle w:val="optioncarChar"/>
        </w:rPr>
        <w:t>A1 (exposé décoratif) / A2 (exposé) </w:t>
      </w:r>
      <w:r>
        <w:t>(par défaut)</w:t>
      </w:r>
      <w:r>
        <w:br/>
      </w:r>
      <w:r>
        <w:br/>
        <w:t>Résistance au gel suivant les classes d’application selon [NBN EN 1996-1-2 ANB] et [NIT 271].</w:t>
      </w:r>
      <w:r>
        <w:br/>
      </w:r>
      <w:r>
        <w:br/>
        <w:t xml:space="preserve">Réaction au feu : </w:t>
      </w:r>
      <w:r>
        <w:rPr>
          <w:rStyle w:val="optioncarChar"/>
        </w:rPr>
        <w:t xml:space="preserve">A1 </w:t>
      </w:r>
      <w:r>
        <w:t>(par défaut) </w:t>
      </w:r>
      <w:r>
        <w:rPr>
          <w:rStyle w:val="optioncarChar"/>
        </w:rPr>
        <w:t>/ ***</w:t>
      </w:r>
      <w:r>
        <w:br/>
      </w:r>
      <w:r>
        <w:br/>
        <w:t>Critères de performances de la paroi</w:t>
      </w:r>
      <w:r>
        <w:b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EI 30 </w:t>
      </w:r>
      <w:r>
        <w:t>(par défaut)</w:t>
      </w:r>
      <w:r>
        <w:rPr>
          <w:rStyle w:val="optioncarChar"/>
        </w:rPr>
        <w:t xml:space="preserve"> / EI 60/ EI 120 / EI ***</w:t>
      </w:r>
      <w:r>
        <w:t xml:space="preserve"> selon les tableaux dans [NBN EN 1996-1-2 ANB].</w:t>
      </w:r>
    </w:p>
    <w:p w14:paraId="6C0DFBAB" w14:textId="77777777" w:rsidR="00DB2B68" w:rsidRDefault="00000000">
      <w:pPr>
        <w:pStyle w:val="pheading"/>
      </w:pPr>
      <w:r>
        <w:t>- Finitions</w:t>
      </w:r>
    </w:p>
    <w:p w14:paraId="6F7CC02F" w14:textId="77777777" w:rsidR="00DB2B68" w:rsidRDefault="00000000">
      <w:pPr>
        <w:pStyle w:val="Author-eListParagraph"/>
        <w:numPr>
          <w:ilvl w:val="0"/>
          <w:numId w:val="224"/>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1FE5CF06" w14:textId="77777777" w:rsidR="00DB2B68" w:rsidRDefault="00000000">
      <w:pPr>
        <w:pStyle w:val="Author-eListParagraph"/>
        <w:numPr>
          <w:ilvl w:val="0"/>
          <w:numId w:val="224"/>
        </w:numPr>
      </w:pPr>
      <w:r>
        <w:t xml:space="preserve">Les murs suivants sont exécutés avec une face restant apparente : </w:t>
      </w:r>
      <w:r>
        <w:rPr>
          <w:rStyle w:val="optioncarChar"/>
        </w:rPr>
        <w:t>***</w:t>
      </w:r>
    </w:p>
    <w:p w14:paraId="4E43EE13" w14:textId="77777777" w:rsidR="00DB2B68" w:rsidRDefault="00000000">
      <w:pPr>
        <w:pStyle w:val="Author-eListParagraph"/>
        <w:numPr>
          <w:ilvl w:val="0"/>
          <w:numId w:val="224"/>
        </w:numPr>
      </w:pPr>
      <w:r>
        <w:t xml:space="preserve">Les murs suivants sont exécutés avec deux faces restant apparentes : </w:t>
      </w:r>
      <w:r>
        <w:rPr>
          <w:rStyle w:val="optioncarChar"/>
        </w:rPr>
        <w:t>***</w:t>
      </w:r>
    </w:p>
    <w:p w14:paraId="1F112107" w14:textId="77777777" w:rsidR="00DB2B68" w:rsidRDefault="00000000">
      <w:pPr>
        <w:pStyle w:val="pheading"/>
      </w:pPr>
      <w:r>
        <w:t>- Prescriptions complémentaires</w:t>
      </w:r>
    </w:p>
    <w:p w14:paraId="6F2CC003" w14:textId="77777777" w:rsidR="00DB2B68" w:rsidRDefault="00000000">
      <w:r>
        <w:t xml:space="preserve">On utilise des éléments à assemblage à rainure et languette à assembler par collage, longueur </w:t>
      </w:r>
      <w:r>
        <w:rPr>
          <w:rStyle w:val="optioncarChar"/>
        </w:rPr>
        <w:t>90 </w:t>
      </w:r>
      <w:r>
        <w:t>(par défaut)</w:t>
      </w:r>
      <w:r>
        <w:rPr>
          <w:rStyle w:val="optioncarChar"/>
        </w:rPr>
        <w:t xml:space="preserve"> / ***</w:t>
      </w:r>
      <w:r>
        <w:t xml:space="preserve"> cm hauteur </w:t>
      </w:r>
      <w:r>
        <w:rPr>
          <w:rStyle w:val="optioncarChar"/>
        </w:rPr>
        <w:t xml:space="preserve">60 </w:t>
      </w:r>
      <w:r>
        <w:t>(par défaut) </w:t>
      </w:r>
      <w:r>
        <w:rPr>
          <w:rStyle w:val="optioncarChar"/>
        </w:rPr>
        <w:t>/ ***</w:t>
      </w:r>
      <w:r>
        <w:t xml:space="preserve"> cm. Ils sont livrés sur le chantier prêts à poser, y compris les pièces d'ajustage (droites, obliques, …), selon le calepinage des murs préalablement approuvé. La mise en œuvre s'effectue selon les prescriptions du fabricant. Les murs qui se recoupent ne doivent pas être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22CF3551" w14:textId="77777777" w:rsidR="00DB2B68" w:rsidRDefault="00000000">
      <w:pPr>
        <w:pStyle w:val="pheading"/>
      </w:pPr>
      <w:r>
        <w:t>EXÉCUTION / MISE EN ŒUVRE</w:t>
      </w:r>
    </w:p>
    <w:p w14:paraId="023D3295" w14:textId="77777777" w:rsidR="00DB2B68" w:rsidRDefault="00000000">
      <w:pPr>
        <w:pStyle w:val="pheading"/>
      </w:pPr>
      <w:r>
        <w:t>- Prescriptions générales</w:t>
      </w:r>
    </w:p>
    <w:p w14:paraId="00CA1C8E" w14:textId="77777777" w:rsidR="00DB2B68" w:rsidRDefault="00000000">
      <w:r>
        <w:t xml:space="preserve">Eléments en silico-calcaire à utiliser : </w:t>
      </w:r>
      <w:r>
        <w:rPr>
          <w:rStyle w:val="optioncarChar"/>
        </w:rPr>
        <w:t>U (maçonnerie non protégée) </w:t>
      </w:r>
      <w:r>
        <w:t>(par défaut)</w:t>
      </w:r>
      <w:r>
        <w:rPr>
          <w:rStyle w:val="optioncarChar"/>
        </w:rPr>
        <w:t xml:space="preserve"> / P (maçonnerie protégée)</w:t>
      </w:r>
      <w:r>
        <w:br/>
        <w:t xml:space="preserve">Conformément au mode de mise en œuvre, les grands éléments de construction en silico-calcaire sont collés à l’aide d’un mortier-colle selon les indications du fabricant des grands éléments et des notes de calcul du bureau d’études. </w:t>
      </w:r>
      <w:r>
        <w:br/>
        <w:t xml:space="preserve">Le mortier à coller (selon la norme [NBN EN 998-2] et le règlement d’application [TRA 651]) répond à la catégorie : </w:t>
      </w:r>
      <w:r>
        <w:rPr>
          <w:rStyle w:val="optioncarChar"/>
        </w:rPr>
        <w:t xml:space="preserve">M5 / M10 / M15 / M20 </w:t>
      </w:r>
      <w:r>
        <w:rPr>
          <w:rStyle w:val="optioncarChar"/>
          <w:color w:val="000000"/>
        </w:rPr>
        <w:t xml:space="preserve">﻿(par défaut) </w:t>
      </w:r>
      <w:r>
        <w:rPr>
          <w:rStyle w:val="optioncarChar"/>
        </w:rPr>
        <w:t>/ ***</w:t>
      </w:r>
      <w:r>
        <w:br/>
      </w:r>
      <w:r>
        <w:lastRenderedPageBreak/>
        <w:t xml:space="preserve">L'épaisseur des joints est d'au moins </w:t>
      </w:r>
      <w:r>
        <w:rPr>
          <w:rStyle w:val="optioncarChar"/>
        </w:rPr>
        <w:t>2 / 10</w:t>
      </w:r>
      <w:r>
        <w:t> (par défaut)</w:t>
      </w:r>
      <w:r>
        <w:rPr>
          <w:rStyle w:val="optioncarChar"/>
        </w:rPr>
        <w:t xml:space="preserve"> / ***</w:t>
      </w:r>
      <w:r>
        <w:t xml:space="preserve"> mm (tolérances suivant [NIT 208])</w:t>
      </w:r>
      <w:r>
        <w:br/>
      </w:r>
      <w:r>
        <w:br/>
        <w:t>Matériaux de liaison et d'ancrage :</w:t>
      </w:r>
      <w:r>
        <w:br/>
        <w:t xml:space="preserve">longueur nominale : </w:t>
      </w:r>
      <w:r>
        <w:rPr>
          <w:rStyle w:val="optioncarChar"/>
        </w:rPr>
        <w:t>***</w:t>
      </w:r>
      <w:r>
        <w:br/>
        <w:t>diamètre :</w:t>
      </w:r>
      <w:r>
        <w:rPr>
          <w:rStyle w:val="optioncarChar"/>
        </w:rPr>
        <w:t xml:space="preserve"> ***</w:t>
      </w:r>
      <w:r>
        <w:br/>
        <w:t xml:space="preserve">classe d’exposition : </w:t>
      </w:r>
      <w:r>
        <w:rPr>
          <w:rStyle w:val="optioncarChar"/>
        </w:rPr>
        <w:t>MX1 / MX2 / MX3 / MX4 / MX5</w:t>
      </w:r>
      <w:r>
        <w:br/>
        <w:t>matériau :</w:t>
      </w:r>
      <w:r>
        <w:rPr>
          <w:rStyle w:val="optioncarChar"/>
        </w:rPr>
        <w:t xml:space="preserve"> acier galvanisé min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p>
    <w:p w14:paraId="64B61D52" w14:textId="77777777" w:rsidR="00DB2B68" w:rsidRDefault="00000000">
      <w:pPr>
        <w:ind w:left="750"/>
      </w:pPr>
      <w:r>
        <w:t> </w:t>
      </w:r>
    </w:p>
    <w:p w14:paraId="398FCA4B" w14:textId="77777777" w:rsidR="00DB2B68" w:rsidRDefault="00000000">
      <w:pPr>
        <w:pStyle w:val="pheading"/>
      </w:pPr>
      <w:r>
        <w:t>- Notes d’exécution complémentaires</w:t>
      </w:r>
    </w:p>
    <w:p w14:paraId="5C50817A" w14:textId="77777777" w:rsidR="00DB2B68" w:rsidRDefault="00000000">
      <w:r>
        <w:t xml:space="preserve">Pour les maçonneries destinées à rester apparentes, seuls des grands éléments non endommagés sont utilisés. </w:t>
      </w:r>
      <w:r>
        <w:br/>
        <w:t xml:space="preserve">Les segments de murs sont pourvus d'armatures horizontales selon l'article </w:t>
      </w:r>
      <w:hyperlink w:anchor="357" w:history="1">
        <w:r>
          <w:rPr>
            <w:color w:val="0000EE"/>
          </w:rPr>
          <w:t>21.41.1 Armatures horizontales pour maçonneries</w:t>
        </w:r>
      </w:hyperlink>
      <w:r>
        <w:t>.</w:t>
      </w:r>
      <w:r>
        <w:br/>
        <w:t xml:space="preserve">Les segments de murs sont pourvus d'armatures verticales selon l'article </w:t>
      </w:r>
      <w:hyperlink w:anchor="358" w:history="1">
        <w:r>
          <w:rPr>
            <w:color w:val="0000EE"/>
          </w:rPr>
          <w:t>21.41.2 Armatures verticales pour maçonneries</w:t>
        </w:r>
      </w:hyperlink>
      <w:hyperlink r:id="rId8" w:anchor="dv_0_843_0_0_0" w:history="1">
        <w:r>
          <w:rPr>
            <w:color w:val="0000EE"/>
          </w:rPr>
          <w:t>.</w:t>
        </w:r>
      </w:hyperlink>
      <w:r>
        <w:br/>
        <w:t xml:space="preserve">Les maçonneries de caves en contact avec les terres sont rendues étanches selon la description au chapitre </w:t>
      </w:r>
      <w:hyperlink w:anchor="359" w:history="1">
        <w:r>
          <w:rPr>
            <w:color w:val="0000EE"/>
          </w:rPr>
          <w:t>26.12 Traitements d'étanchéisation</w:t>
        </w:r>
      </w:hyperlink>
      <w:r>
        <w:t>.</w:t>
      </w:r>
      <w:r>
        <w:b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r>
        <w:br/>
        <w:t>Linteaux :</w:t>
      </w:r>
      <w:r>
        <w:rPr>
          <w:rStyle w:val="optioncarChar"/>
        </w:rPr>
        <w:t xml:space="preserve"> ***</w:t>
      </w:r>
      <w:r>
        <w:t xml:space="preserve"> conformément à l’article </w:t>
      </w:r>
      <w:hyperlink w:anchor="41" w:history="1">
        <w:r>
          <w:rPr>
            <w:color w:val="0000EE"/>
          </w:rPr>
          <w:t>2 T2 Superstructures</w:t>
        </w:r>
      </w:hyperlink>
    </w:p>
    <w:p w14:paraId="1784042F" w14:textId="77777777" w:rsidR="00DB2B68" w:rsidRDefault="00000000">
      <w:pPr>
        <w:pStyle w:val="pheading"/>
      </w:pPr>
      <w:r>
        <w:t>MESURAGE</w:t>
      </w:r>
    </w:p>
    <w:p w14:paraId="3EA130E7" w14:textId="77777777" w:rsidR="00DB2B68" w:rsidRDefault="00000000">
      <w:pPr>
        <w:pStyle w:val="pheading"/>
      </w:pPr>
      <w:r>
        <w:t>- unité de mesure:</w:t>
      </w:r>
    </w:p>
    <w:p w14:paraId="48DDDFBD" w14:textId="77777777" w:rsidR="00DB2B68" w:rsidRDefault="00000000">
      <w:r>
        <w:rPr>
          <w:rStyle w:val="optioncarChar"/>
        </w:rPr>
        <w:t>m³ </w:t>
      </w:r>
      <w:r>
        <w:t>(par défaut)</w:t>
      </w:r>
      <w:r>
        <w:rPr>
          <w:rStyle w:val="optioncarChar"/>
        </w:rPr>
        <w:t> / m²</w:t>
      </w:r>
    </w:p>
    <w:p w14:paraId="02DD3CFE" w14:textId="77777777" w:rsidR="00DB2B68" w:rsidRDefault="00000000">
      <w:r>
        <w:rPr>
          <w:b/>
        </w:rPr>
        <w:t>(soit par défaut)</w:t>
      </w:r>
    </w:p>
    <w:p w14:paraId="7C797BE4" w14:textId="77777777" w:rsidR="00DB2B68" w:rsidRDefault="00000000">
      <w:r>
        <w:rPr>
          <w:rStyle w:val="soitChar"/>
        </w:rPr>
        <w:t>1. m³</w:t>
      </w:r>
    </w:p>
    <w:p w14:paraId="5B92CCB2" w14:textId="77777777" w:rsidR="00DB2B68" w:rsidRDefault="00000000">
      <w:r>
        <w:rPr>
          <w:b/>
        </w:rPr>
        <w:t>(soit)</w:t>
      </w:r>
    </w:p>
    <w:p w14:paraId="29C3A49A" w14:textId="77777777" w:rsidR="00DB2B68" w:rsidRDefault="00000000">
      <w:r>
        <w:rPr>
          <w:rStyle w:val="soitChar"/>
        </w:rPr>
        <w:t>2. m²</w:t>
      </w:r>
    </w:p>
    <w:p w14:paraId="518E7CEA" w14:textId="77777777" w:rsidR="00DB2B68" w:rsidRDefault="00000000">
      <w:pPr>
        <w:pStyle w:val="pheading"/>
      </w:pPr>
      <w:r>
        <w:t>- code de mesurage:</w:t>
      </w:r>
    </w:p>
    <w:p w14:paraId="625AF619"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69FF5CC"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51A56F58"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52AD73CF" w14:textId="77777777" w:rsidR="00DB2B68" w:rsidRDefault="00000000">
      <w:r>
        <w:rPr>
          <w:rStyle w:val="optioncarChar"/>
        </w:rPr>
        <w:t>Volume net </w:t>
      </w:r>
      <w:r>
        <w:t>(par défaut)</w:t>
      </w:r>
      <w:r>
        <w:rPr>
          <w:rStyle w:val="optioncarChar"/>
        </w:rPr>
        <w:t> / Surface nette</w:t>
      </w:r>
    </w:p>
    <w:p w14:paraId="6340BB2B" w14:textId="77777777" w:rsidR="00DB2B68" w:rsidRDefault="00000000">
      <w:r>
        <w:rPr>
          <w:b/>
        </w:rPr>
        <w:t>(soit par défaut)</w:t>
      </w:r>
    </w:p>
    <w:p w14:paraId="45593AD6" w14:textId="77777777" w:rsidR="00DB2B68" w:rsidRDefault="00000000">
      <w:r>
        <w:rPr>
          <w:rStyle w:val="soitChar"/>
        </w:rPr>
        <w:lastRenderedPageBreak/>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B32F1E5" w14:textId="77777777" w:rsidR="00DB2B68" w:rsidRDefault="00000000">
      <w:r>
        <w:rPr>
          <w:b/>
        </w:rPr>
        <w:t>(soit)</w:t>
      </w:r>
    </w:p>
    <w:p w14:paraId="3C76A2FA"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E5720EC" w14:textId="77777777" w:rsidR="00DB2B68" w:rsidRDefault="00000000">
      <w:pPr>
        <w:ind w:left="750"/>
      </w:pPr>
      <w:r>
        <w:t> </w:t>
      </w:r>
    </w:p>
    <w:p w14:paraId="5F96B7E1" w14:textId="77777777" w:rsidR="00DB2B68" w:rsidRDefault="00000000">
      <w:pPr>
        <w:pStyle w:val="pheading"/>
      </w:pPr>
      <w:r>
        <w:t>- nature du marché:</w:t>
      </w:r>
    </w:p>
    <w:p w14:paraId="34190AC8" w14:textId="77777777" w:rsidR="00DB2B68" w:rsidRDefault="00000000">
      <w:r>
        <w:t>QF</w:t>
      </w:r>
    </w:p>
    <w:p w14:paraId="3FBF5E8B" w14:textId="77777777" w:rsidR="00DB2B68" w:rsidRDefault="00000000">
      <w:pPr>
        <w:pStyle w:val="pheading"/>
      </w:pPr>
      <w:r>
        <w:t>AIDE</w:t>
      </w:r>
    </w:p>
    <w:p w14:paraId="2B9AC3B4" w14:textId="77777777" w:rsidR="00DB2B68" w:rsidRDefault="00000000">
      <w:r>
        <w:t>Note à l'attention de l'auteur du projet : pour le choix adéquat du mortier, se référer à la [STS 22 série].</w:t>
      </w:r>
    </w:p>
    <w:p w14:paraId="6B52959F" w14:textId="77777777" w:rsidR="00DB2B68" w:rsidRDefault="00000000">
      <w:pPr>
        <w:pStyle w:val="Author-eSectionHeading6Numberless"/>
      </w:pPr>
      <w:bookmarkStart w:id="217" w:name="_Toc220495352"/>
      <w:r>
        <w:t>21.24.1b Maçonneries non portantes en panneaux verticaux collés en béton cellulaire CCTB 01.11</w:t>
      </w:r>
      <w:bookmarkEnd w:id="217"/>
    </w:p>
    <w:p w14:paraId="5A42EEAB" w14:textId="77777777" w:rsidR="00DB2B68" w:rsidRDefault="00000000">
      <w:pPr>
        <w:pStyle w:val="pheading"/>
      </w:pPr>
      <w:r>
        <w:t>DESCRIPTION</w:t>
      </w:r>
    </w:p>
    <w:p w14:paraId="54CB0457" w14:textId="77777777" w:rsidR="00DB2B68" w:rsidRDefault="00000000">
      <w:pPr>
        <w:pStyle w:val="pheading"/>
      </w:pPr>
      <w:r>
        <w:t>- Définition / Comprend</w:t>
      </w:r>
    </w:p>
    <w:p w14:paraId="0B725EDE" w14:textId="77777777" w:rsidR="00DB2B68" w:rsidRDefault="00000000">
      <w:r>
        <w:t xml:space="preserve">Il s’agit de la fourniture et la pose de maçonneries non portantes en panneaux verticaux collés en béton cellulaire. </w:t>
      </w:r>
      <w:r>
        <w:br/>
        <w:t xml:space="preserve">La portée des travaux est décrite dans l’article </w:t>
      </w:r>
      <w:hyperlink w:anchor="397" w:history="1">
        <w:r>
          <w:rPr>
            <w:color w:val="0000EE"/>
          </w:rPr>
          <w:t>21.24.1 Maçonneries non portantes en éléments de grand format</w:t>
        </w:r>
      </w:hyperlink>
      <w:r>
        <w:t>.</w:t>
      </w:r>
      <w:r>
        <w:br/>
        <w:t>Les travaux comprennent également la fourniture et la pose des pièces d’angle, de terminaison et de rencontre.</w:t>
      </w:r>
    </w:p>
    <w:p w14:paraId="3DAE1548" w14:textId="77777777" w:rsidR="00DB2B68" w:rsidRDefault="00000000">
      <w:pPr>
        <w:pStyle w:val="pheading"/>
      </w:pPr>
      <w:r>
        <w:t>- Localisation</w:t>
      </w:r>
    </w:p>
    <w:p w14:paraId="5A73528E" w14:textId="77777777" w:rsidR="00DB2B68" w:rsidRDefault="00000000">
      <w:r>
        <w:t xml:space="preserve">La pose est réalisée aux endroits suivants : </w:t>
      </w:r>
      <w:r>
        <w:rPr>
          <w:rStyle w:val="optioncarChar"/>
        </w:rPr>
        <w:t>***</w:t>
      </w:r>
      <w:r>
        <w:t>.</w:t>
      </w:r>
      <w:r>
        <w:br/>
        <w:t>Voir plans et métrés détaillés.</w:t>
      </w:r>
    </w:p>
    <w:p w14:paraId="153304E7" w14:textId="77777777" w:rsidR="00DB2B68" w:rsidRDefault="00000000">
      <w:pPr>
        <w:pStyle w:val="pheading"/>
      </w:pPr>
      <w:r>
        <w:t>MATÉRIAUX</w:t>
      </w:r>
    </w:p>
    <w:p w14:paraId="614FDA4C" w14:textId="77777777" w:rsidR="00DB2B68" w:rsidRDefault="00000000">
      <w:pPr>
        <w:pStyle w:val="pheading"/>
      </w:pPr>
      <w:r>
        <w:t>- Caractéristiques générales</w:t>
      </w:r>
    </w:p>
    <w:p w14:paraId="4F768148" w14:textId="77777777" w:rsidR="00DB2B68" w:rsidRDefault="00000000">
      <w:r>
        <w:rPr>
          <w:rStyle w:val="headingChar"/>
        </w:rPr>
        <w:t>Spécifications</w:t>
      </w:r>
    </w:p>
    <w:p w14:paraId="104A81AC" w14:textId="77777777" w:rsidR="00DB2B68" w:rsidRDefault="00000000">
      <w:r>
        <w:t>La classe de qualité suivant [NBN EN 12602] est :</w:t>
      </w:r>
      <w:r>
        <w:rPr>
          <w:rStyle w:val="optioncarChar"/>
        </w:rPr>
        <w:t xml:space="preserve"> AAC 4/550 / AAC 5/750 / ***</w:t>
      </w:r>
      <w:r>
        <w:br/>
      </w:r>
      <w:r>
        <w:br/>
        <w:t xml:space="preserve">La résistance en compression normalisée (fb) est au minimum: </w:t>
      </w:r>
      <w:r>
        <w:rPr>
          <w:rStyle w:val="optioncarChar"/>
        </w:rPr>
        <w:t>4 / 5 / ***</w:t>
      </w:r>
      <w:r>
        <w:t xml:space="preserve"> N/mm² (MPa).</w:t>
      </w:r>
      <w:r>
        <w:br/>
      </w:r>
      <w:r>
        <w:br/>
        <w:t xml:space="preserve">La masse volumique sèche apparente des blocs ρ (rho) est : </w:t>
      </w:r>
      <w:r>
        <w:rPr>
          <w:rStyle w:val="optioncarChar"/>
        </w:rPr>
        <w:t>***</w:t>
      </w:r>
      <w:r>
        <w:t xml:space="preserve"> kg/m³ (blocs pleins), selon la [NBN EN 12602]. </w:t>
      </w:r>
      <w:r>
        <w:br/>
      </w:r>
      <w:r>
        <w:br/>
        <w:t xml:space="preserve">La conductibilité thermique λD est compatible avec la valeur U prescrite pour la paroi. </w:t>
      </w:r>
      <w:r>
        <w:br/>
      </w:r>
      <w:r>
        <w:br/>
        <w:t xml:space="preserve">Boutisse : plate </w:t>
      </w:r>
      <w:r>
        <w:br/>
        <w:t>Face qui reste visible : lisse</w:t>
      </w:r>
      <w:r>
        <w:br/>
        <w:t>Face à cimenter ou plafonner : lisse</w:t>
      </w:r>
      <w:r>
        <w:br/>
      </w:r>
      <w:r>
        <w:br/>
        <w:t xml:space="preserve">Teinte : </w:t>
      </w:r>
      <w:r>
        <w:rPr>
          <w:rStyle w:val="optioncarChar"/>
        </w:rPr>
        <w:t>blanc </w:t>
      </w:r>
      <w:r>
        <w:t>(par défaut)</w:t>
      </w:r>
      <w:r>
        <w:rPr>
          <w:rStyle w:val="optioncarChar"/>
        </w:rPr>
        <w:t xml:space="preserve"> / ***</w:t>
      </w:r>
      <w:r>
        <w:br/>
        <w:t>Format : (L x xl h) :</w:t>
      </w:r>
      <w:r>
        <w:rPr>
          <w:rStyle w:val="optioncarChar"/>
        </w:rPr>
        <w:t> format modulaire proposé par l'entrepreneur</w:t>
      </w:r>
      <w:r>
        <w:t> (par défaut) </w:t>
      </w:r>
      <w:r>
        <w:rPr>
          <w:rStyle w:val="optioncarChar"/>
        </w:rPr>
        <w:t>/ (max 3000 / *** </w:t>
      </w:r>
      <w:r>
        <w:t>x</w:t>
      </w:r>
      <w:r>
        <w:rPr>
          <w:rStyle w:val="optioncarChar"/>
        </w:rPr>
        <w:t> 500 / 600 / ***</w:t>
      </w:r>
      <w:r>
        <w:t> x</w:t>
      </w:r>
      <w:r>
        <w:rPr>
          <w:rStyle w:val="optioncarChar"/>
        </w:rPr>
        <w:t> 70 / 100 / ***</w:t>
      </w:r>
      <w:r>
        <w:t> ) mm</w:t>
      </w:r>
    </w:p>
    <w:p w14:paraId="155D6726" w14:textId="77777777" w:rsidR="00DB2B68" w:rsidRDefault="00000000">
      <w:r>
        <w:t>Réaction au feu :</w:t>
      </w:r>
      <w:r>
        <w:rPr>
          <w:rStyle w:val="optioncarChar"/>
        </w:rPr>
        <w:t xml:space="preserve"> A1 </w:t>
      </w:r>
      <w:r>
        <w:t>(par défaut)</w:t>
      </w:r>
      <w:r>
        <w:rPr>
          <w:rStyle w:val="optioncarChar"/>
        </w:rPr>
        <w:t xml:space="preserve"> / ***</w:t>
      </w:r>
    </w:p>
    <w:p w14:paraId="3B4AD11B" w14:textId="77777777" w:rsidR="00DB2B68" w:rsidRDefault="00000000">
      <w:r>
        <w:rPr>
          <w:rStyle w:val="headingChar"/>
        </w:rPr>
        <w:lastRenderedPageBreak/>
        <w:t>Critères De Performances De La Paroi</w:t>
      </w:r>
    </w:p>
    <w:p w14:paraId="4044CA68" w14:textId="77777777" w:rsidR="00DB2B68" w:rsidRDefault="00000000">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EI 30 </w:t>
      </w:r>
      <w:r>
        <w:t>(par défaut)</w:t>
      </w:r>
      <w:r>
        <w:rPr>
          <w:rStyle w:val="optioncarChar"/>
        </w:rPr>
        <w:t xml:space="preserve"> / EI 60/ EI 120 / EI ***</w:t>
      </w:r>
      <w:r>
        <w:t xml:space="preserve"> selon les tableaux dans [NBN EN 1996-1-2 ANB].</w:t>
      </w:r>
    </w:p>
    <w:p w14:paraId="2A15CA34" w14:textId="77777777" w:rsidR="00DB2B68" w:rsidRDefault="00000000">
      <w:pPr>
        <w:ind w:left="750"/>
      </w:pPr>
      <w:r>
        <w:t> </w:t>
      </w:r>
    </w:p>
    <w:p w14:paraId="20FAFF3D" w14:textId="77777777" w:rsidR="00DB2B68" w:rsidRDefault="00000000">
      <w:pPr>
        <w:pStyle w:val="pheading"/>
      </w:pPr>
      <w:r>
        <w:t>- Finitions</w:t>
      </w:r>
    </w:p>
    <w:p w14:paraId="581E9289" w14:textId="77777777" w:rsidR="00DB2B68" w:rsidRDefault="00000000">
      <w:pPr>
        <w:pStyle w:val="Author-eListParagraph"/>
        <w:numPr>
          <w:ilvl w:val="0"/>
          <w:numId w:val="225"/>
        </w:numPr>
      </w:pPr>
      <w:r>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27E887A2" w14:textId="77777777" w:rsidR="00DB2B68" w:rsidRDefault="00000000">
      <w:pPr>
        <w:pStyle w:val="Author-eListParagraph"/>
        <w:numPr>
          <w:ilvl w:val="0"/>
          <w:numId w:val="225"/>
        </w:numPr>
      </w:pPr>
      <w:r>
        <w:t xml:space="preserve">Les murs suivants sont exécutés avec une face restant apparente : </w:t>
      </w:r>
      <w:r>
        <w:rPr>
          <w:rStyle w:val="optioncarChar"/>
        </w:rPr>
        <w:t>***</w:t>
      </w:r>
    </w:p>
    <w:p w14:paraId="1EA820FA" w14:textId="77777777" w:rsidR="00DB2B68" w:rsidRDefault="00000000">
      <w:pPr>
        <w:pStyle w:val="Author-eListParagraph"/>
        <w:numPr>
          <w:ilvl w:val="0"/>
          <w:numId w:val="225"/>
        </w:numPr>
      </w:pPr>
      <w:r>
        <w:t xml:space="preserve">Les murs suivants sont exécutés avec deux faces restant apparentes : </w:t>
      </w:r>
      <w:r>
        <w:rPr>
          <w:rStyle w:val="optioncarChar"/>
        </w:rPr>
        <w:t>***</w:t>
      </w:r>
    </w:p>
    <w:p w14:paraId="3305E978" w14:textId="77777777" w:rsidR="00DB2B68" w:rsidRDefault="00000000">
      <w:pPr>
        <w:pStyle w:val="pheading"/>
      </w:pPr>
      <w:r>
        <w:t>- Prescriptions complémentaires</w:t>
      </w:r>
    </w:p>
    <w:p w14:paraId="04DA617C"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r>
        <w:br/>
        <w:t>Les murs suivants sont exécutés avec deux faces restant apparentes :</w:t>
      </w:r>
      <w:r>
        <w:rPr>
          <w:rStyle w:val="optioncarChar"/>
        </w:rPr>
        <w:t xml:space="preserve"> ***</w:t>
      </w:r>
    </w:p>
    <w:p w14:paraId="48DA9110" w14:textId="77777777" w:rsidR="00DB2B68" w:rsidRDefault="00000000">
      <w:pPr>
        <w:pStyle w:val="pheading"/>
      </w:pPr>
      <w:r>
        <w:t>EXÉCUTION / MISE EN ŒUVRE</w:t>
      </w:r>
    </w:p>
    <w:p w14:paraId="03FBE370" w14:textId="77777777" w:rsidR="00DB2B68" w:rsidRDefault="00000000">
      <w:pPr>
        <w:pStyle w:val="pheading"/>
      </w:pPr>
      <w:r>
        <w:t>- Prescriptions générales</w:t>
      </w:r>
    </w:p>
    <w:p w14:paraId="7151043F" w14:textId="77777777" w:rsidR="00DB2B68" w:rsidRDefault="00000000">
      <w:r>
        <w:t xml:space="preserve">Conformément au mode de mise en œuvre, les panneaux en béton cellulaire sont collés à l’aide d’un mortier-colle selon les indications du fabricant des blocs et des notes de calcul du bureau d’études. </w:t>
      </w:r>
      <w:r>
        <w:br/>
        <w:t xml:space="preserve">Le mortier à coller (selon la norme [NBN EN 998-2] et le règlement d’application [TRA 651]) répond à la catégorie : </w:t>
      </w:r>
      <w:r>
        <w:rPr>
          <w:rStyle w:val="optioncarChar"/>
        </w:rPr>
        <w:t>M10 / ***</w:t>
      </w:r>
      <w:r>
        <w:br/>
        <w:t xml:space="preserve">L'épaisseur des joints est d'au moins </w:t>
      </w:r>
      <w:r>
        <w:rPr>
          <w:rStyle w:val="optioncarChar"/>
        </w:rPr>
        <w:t>2</w:t>
      </w:r>
      <w:r>
        <w:t xml:space="preserve"> (par défaut) </w:t>
      </w:r>
      <w:r>
        <w:rPr>
          <w:rStyle w:val="optioncarChar"/>
        </w:rPr>
        <w:t>/ ***</w:t>
      </w:r>
      <w:r>
        <w:t xml:space="preserve"> mm (tolérances suivant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6" w:history="1">
        <w:r>
          <w:rPr>
            <w:color w:val="0000EE"/>
          </w:rPr>
          <w:t>26.11 Feuilles et membranes d'étanchéité à l'eau</w:t>
        </w:r>
      </w:hyperlink>
    </w:p>
    <w:p w14:paraId="4C1CC671" w14:textId="77777777" w:rsidR="00DB2B68" w:rsidRDefault="00000000">
      <w:pPr>
        <w:pStyle w:val="pheading"/>
      </w:pPr>
      <w:r>
        <w:t>- Notes d’exécution complémentaires</w:t>
      </w:r>
    </w:p>
    <w:p w14:paraId="06F5CA13" w14:textId="77777777" w:rsidR="00DB2B68" w:rsidRDefault="00000000">
      <w:r>
        <w:t xml:space="preserve">Pour les maçonneries destinées à rester apparentes, seuls des panneaux non endommagés sont utilisés. </w:t>
      </w:r>
      <w:r>
        <w:br/>
        <w:t xml:space="preserve">Les segments de murs sont pourvus d'armatures horizontales selon l'article </w:t>
      </w:r>
      <w:hyperlink w:anchor="357" w:history="1">
        <w:r>
          <w:rPr>
            <w:color w:val="0000EE"/>
          </w:rPr>
          <w:t>21.41.1 Armatures horizontales pour maçonneries</w:t>
        </w:r>
      </w:hyperlink>
      <w:r>
        <w:t>.</w:t>
      </w:r>
      <w:r>
        <w:br/>
        <w:t xml:space="preserve">Les segments de murs sont pourvus d'armatures verticales selon l'article </w:t>
      </w:r>
      <w:hyperlink w:anchor="358" w:history="1">
        <w:r>
          <w:rPr>
            <w:color w:val="0000EE"/>
          </w:rPr>
          <w:t>21.41.2 Armatures verticales pour maçonneries</w:t>
        </w:r>
      </w:hyperlink>
      <w:r>
        <w:t>;</w:t>
      </w:r>
      <w:r>
        <w:br/>
        <w:t xml:space="preserve">Les maçonneries de caves en contact avec les terres sont rendues étanches selon la description au chapitre </w:t>
      </w:r>
      <w:hyperlink w:anchor="359" w:history="1">
        <w:r>
          <w:rPr>
            <w:color w:val="0000EE"/>
          </w:rPr>
          <w:t>26.12 Traitements d'étanchéisation</w:t>
        </w:r>
      </w:hyperlink>
      <w:r>
        <w:t>.</w:t>
      </w:r>
      <w:r>
        <w:br/>
        <w:t xml:space="preserve">Crochets de mur : </w:t>
      </w:r>
      <w:r>
        <w:rPr>
          <w:rStyle w:val="optioncarChar"/>
        </w:rPr>
        <w:t>acier inoxydable</w:t>
      </w:r>
      <w:r>
        <w:t xml:space="preserve"> (par défaut)</w:t>
      </w:r>
      <w:r>
        <w:rPr>
          <w:rStyle w:val="optioncarChar"/>
        </w:rPr>
        <w:t> / ***</w:t>
      </w:r>
      <w:r>
        <w:t xml:space="preserve"> , diamètre minimal </w:t>
      </w:r>
      <w:r>
        <w:rPr>
          <w:rStyle w:val="optioncarChar"/>
        </w:rPr>
        <w:t>3,5 </w:t>
      </w:r>
      <w:r>
        <w:t>(par défaut)</w:t>
      </w:r>
      <w:r>
        <w:rPr>
          <w:rStyle w:val="optioncarChar"/>
        </w:rPr>
        <w:t xml:space="preserve"> / ***</w:t>
      </w:r>
      <w:r>
        <w:t xml:space="preserve"> mm</w:t>
      </w:r>
      <w:r>
        <w:br/>
        <w:t xml:space="preserve">Linteaux : </w:t>
      </w:r>
      <w:r>
        <w:rPr>
          <w:rStyle w:val="optioncarChar"/>
        </w:rPr>
        <w:t>***</w:t>
      </w:r>
      <w:r>
        <w:t xml:space="preserve"> conformément à l’article </w:t>
      </w:r>
      <w:hyperlink w:anchor="360" w:history="1">
        <w:r>
          <w:rPr>
            <w:color w:val="0000EE"/>
          </w:rPr>
          <w:t>22.13 Linteaux en béton</w:t>
        </w:r>
      </w:hyperlink>
    </w:p>
    <w:p w14:paraId="1E55F965" w14:textId="77777777" w:rsidR="00DB2B68" w:rsidRDefault="00000000">
      <w:pPr>
        <w:pStyle w:val="pheading"/>
      </w:pPr>
      <w:r>
        <w:t>MESURAGE</w:t>
      </w:r>
    </w:p>
    <w:p w14:paraId="634D5DE6" w14:textId="77777777" w:rsidR="00DB2B68" w:rsidRDefault="00000000">
      <w:pPr>
        <w:pStyle w:val="pheading"/>
      </w:pPr>
      <w:r>
        <w:t>- unité de mesure:</w:t>
      </w:r>
    </w:p>
    <w:p w14:paraId="2A1821F7" w14:textId="77777777" w:rsidR="00DB2B68" w:rsidRDefault="00000000">
      <w:r>
        <w:rPr>
          <w:rStyle w:val="optioncarChar"/>
        </w:rPr>
        <w:t>m³ </w:t>
      </w:r>
      <w:r>
        <w:t>(par défaut)</w:t>
      </w:r>
      <w:r>
        <w:rPr>
          <w:rStyle w:val="optioncarChar"/>
        </w:rPr>
        <w:t> / m²</w:t>
      </w:r>
    </w:p>
    <w:p w14:paraId="7ADBB94C" w14:textId="77777777" w:rsidR="00DB2B68" w:rsidRDefault="00000000">
      <w:r>
        <w:rPr>
          <w:b/>
        </w:rPr>
        <w:lastRenderedPageBreak/>
        <w:t>(soit par défaut)</w:t>
      </w:r>
    </w:p>
    <w:p w14:paraId="5A609E21" w14:textId="77777777" w:rsidR="00DB2B68" w:rsidRDefault="00000000">
      <w:r>
        <w:rPr>
          <w:rStyle w:val="soitChar"/>
        </w:rPr>
        <w:t>1. m³</w:t>
      </w:r>
    </w:p>
    <w:p w14:paraId="479F4C34" w14:textId="77777777" w:rsidR="00DB2B68" w:rsidRDefault="00000000">
      <w:r>
        <w:rPr>
          <w:b/>
        </w:rPr>
        <w:t>(soit)</w:t>
      </w:r>
    </w:p>
    <w:p w14:paraId="453B362A" w14:textId="77777777" w:rsidR="00DB2B68" w:rsidRDefault="00000000">
      <w:r>
        <w:rPr>
          <w:rStyle w:val="soitChar"/>
        </w:rPr>
        <w:t>2. m²</w:t>
      </w:r>
    </w:p>
    <w:p w14:paraId="0B99C9D8" w14:textId="77777777" w:rsidR="00DB2B68" w:rsidRDefault="00000000">
      <w:pPr>
        <w:pStyle w:val="pheading"/>
      </w:pPr>
      <w:r>
        <w:t>- code de mesurage:</w:t>
      </w:r>
    </w:p>
    <w:p w14:paraId="25E11C1E"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8006AAA"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5308C556"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12875C52" w14:textId="77777777" w:rsidR="00DB2B68" w:rsidRDefault="00000000">
      <w:r>
        <w:rPr>
          <w:rStyle w:val="optioncarChar"/>
        </w:rPr>
        <w:t>Volume net </w:t>
      </w:r>
      <w:r>
        <w:t>(par défaut)</w:t>
      </w:r>
      <w:r>
        <w:rPr>
          <w:rStyle w:val="optioncarChar"/>
        </w:rPr>
        <w:t> / Surface nette</w:t>
      </w:r>
    </w:p>
    <w:p w14:paraId="6DED74BA" w14:textId="77777777" w:rsidR="00DB2B68" w:rsidRDefault="00000000">
      <w:r>
        <w:rPr>
          <w:b/>
        </w:rPr>
        <w:t>(soit par défaut)</w:t>
      </w:r>
    </w:p>
    <w:p w14:paraId="49A3F396"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1C4B09D" w14:textId="77777777" w:rsidR="00DB2B68" w:rsidRDefault="00000000">
      <w:r>
        <w:rPr>
          <w:b/>
        </w:rPr>
        <w:t>(soit)</w:t>
      </w:r>
    </w:p>
    <w:p w14:paraId="61B838D2"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368BC8F" w14:textId="77777777" w:rsidR="00DB2B68" w:rsidRDefault="00000000">
      <w:pPr>
        <w:pStyle w:val="pheading"/>
      </w:pPr>
      <w:r>
        <w:t>- nature du marché:</w:t>
      </w:r>
    </w:p>
    <w:p w14:paraId="1416A5D9" w14:textId="77777777" w:rsidR="00DB2B68" w:rsidRDefault="00000000">
      <w:r>
        <w:t>QF</w:t>
      </w:r>
    </w:p>
    <w:p w14:paraId="43E53EE3" w14:textId="77777777" w:rsidR="00DB2B68" w:rsidRDefault="00000000">
      <w:pPr>
        <w:pStyle w:val="pheading"/>
      </w:pPr>
      <w:r>
        <w:t>AIDE</w:t>
      </w:r>
    </w:p>
    <w:p w14:paraId="4CAA6820" w14:textId="77777777" w:rsidR="00DB2B68" w:rsidRDefault="00000000">
      <w:r>
        <w:t>Note à l'attention de l'auteur du projet : pour le choix adéquat du mortier, se référer à la [STS 22 série].</w:t>
      </w:r>
    </w:p>
    <w:p w14:paraId="40696F6A" w14:textId="77777777" w:rsidR="00DB2B68" w:rsidRDefault="00000000">
      <w:pPr>
        <w:pStyle w:val="Author-eSectionHeading5Numberless"/>
      </w:pPr>
      <w:bookmarkStart w:id="218" w:name="_Toc220495353"/>
      <w:r>
        <w:t>21.24.2 Maçonneries non portantes préfabriquées CCTB 01.04</w:t>
      </w:r>
      <w:bookmarkEnd w:id="218"/>
    </w:p>
    <w:p w14:paraId="27E3FC8B" w14:textId="77777777" w:rsidR="00DB2B68" w:rsidRDefault="00000000">
      <w:pPr>
        <w:pStyle w:val="Author-eSectionHeading6Numberless"/>
      </w:pPr>
      <w:bookmarkStart w:id="219" w:name="399"/>
      <w:bookmarkStart w:id="220" w:name="_Toc220495354"/>
      <w:bookmarkEnd w:id="219"/>
      <w:r>
        <w:t>21.24.2a Maçonneries non portantes préfabriquées en blocs de terre cuite CCTB 01.11</w:t>
      </w:r>
      <w:bookmarkEnd w:id="220"/>
    </w:p>
    <w:p w14:paraId="705C1B76" w14:textId="77777777" w:rsidR="00DB2B68" w:rsidRDefault="00000000">
      <w:pPr>
        <w:pStyle w:val="pheading"/>
      </w:pPr>
      <w:r>
        <w:t>DESCRIPTION</w:t>
      </w:r>
    </w:p>
    <w:p w14:paraId="18967C33" w14:textId="77777777" w:rsidR="00DB2B68" w:rsidRDefault="00000000">
      <w:pPr>
        <w:pStyle w:val="pheading"/>
      </w:pPr>
      <w:r>
        <w:t>- Définition / Comprend</w:t>
      </w:r>
    </w:p>
    <w:p w14:paraId="60276D98" w14:textId="77777777" w:rsidR="00DB2B68" w:rsidRDefault="00000000">
      <w:r>
        <w:t xml:space="preserve">Il s’agit de la fourniture et la pose de maçonneries non portantes préfabriquées en blocs de terre cuite. </w:t>
      </w:r>
      <w:r>
        <w:br/>
        <w:t xml:space="preserve">La portée des travaux est décrite dans l’article </w:t>
      </w:r>
      <w:hyperlink w:anchor="399" w:history="1">
        <w:r>
          <w:rPr>
            <w:color w:val="0000EE"/>
          </w:rPr>
          <w:t>21.24.2 Maçonneries non portantes préfabriquées</w:t>
        </w:r>
      </w:hyperlink>
      <w:r>
        <w:t>.</w:t>
      </w:r>
      <w:r>
        <w:br/>
        <w:t>Les travaux comprennent également la fourniture et la pose des pièces d’angle, de terminaison et de rencontre.</w:t>
      </w:r>
    </w:p>
    <w:p w14:paraId="63A43B7B" w14:textId="77777777" w:rsidR="00DB2B68" w:rsidRDefault="00000000">
      <w:pPr>
        <w:pStyle w:val="pheading"/>
      </w:pPr>
      <w:r>
        <w:t>- Localisation</w:t>
      </w:r>
    </w:p>
    <w:p w14:paraId="2E8AC0AA" w14:textId="77777777" w:rsidR="00DB2B68" w:rsidRDefault="00000000">
      <w:r>
        <w:lastRenderedPageBreak/>
        <w:t xml:space="preserve">La pose est réalisée aux endroits suivants : </w:t>
      </w:r>
      <w:r>
        <w:rPr>
          <w:rStyle w:val="optioncarChar"/>
        </w:rPr>
        <w:t>***</w:t>
      </w:r>
      <w:r>
        <w:t>.</w:t>
      </w:r>
      <w:r>
        <w:br/>
        <w:t>Voir plans et métrés détaillés.</w:t>
      </w:r>
    </w:p>
    <w:p w14:paraId="1C0E1194" w14:textId="77777777" w:rsidR="00DB2B68" w:rsidRDefault="00000000">
      <w:pPr>
        <w:pStyle w:val="pheading"/>
      </w:pPr>
      <w:r>
        <w:t>MESURAGE</w:t>
      </w:r>
    </w:p>
    <w:p w14:paraId="62C509BE" w14:textId="77777777" w:rsidR="00DB2B68" w:rsidRDefault="00000000">
      <w:pPr>
        <w:pStyle w:val="pheading"/>
      </w:pPr>
      <w:r>
        <w:t>- unité de mesure:</w:t>
      </w:r>
    </w:p>
    <w:p w14:paraId="3C13B9F5" w14:textId="77777777" w:rsidR="00DB2B68" w:rsidRDefault="00000000">
      <w:r>
        <w:rPr>
          <w:rStyle w:val="optioncarChar"/>
        </w:rPr>
        <w:t>m³ </w:t>
      </w:r>
      <w:r>
        <w:t>(par défaut)</w:t>
      </w:r>
      <w:r>
        <w:rPr>
          <w:rStyle w:val="optioncarChar"/>
        </w:rPr>
        <w:t> / m²</w:t>
      </w:r>
    </w:p>
    <w:p w14:paraId="5BD1B01D" w14:textId="77777777" w:rsidR="00DB2B68" w:rsidRDefault="00000000">
      <w:r>
        <w:rPr>
          <w:b/>
        </w:rPr>
        <w:t>(soit par défaut)</w:t>
      </w:r>
    </w:p>
    <w:p w14:paraId="165E26A6" w14:textId="77777777" w:rsidR="00DB2B68" w:rsidRDefault="00000000">
      <w:r>
        <w:rPr>
          <w:rStyle w:val="soitChar"/>
        </w:rPr>
        <w:t>1. m³</w:t>
      </w:r>
    </w:p>
    <w:p w14:paraId="34FD672D" w14:textId="77777777" w:rsidR="00DB2B68" w:rsidRDefault="00000000">
      <w:r>
        <w:rPr>
          <w:b/>
        </w:rPr>
        <w:t>(soit)</w:t>
      </w:r>
    </w:p>
    <w:p w14:paraId="786BFE03" w14:textId="77777777" w:rsidR="00DB2B68" w:rsidRDefault="00000000">
      <w:r>
        <w:rPr>
          <w:rStyle w:val="soitChar"/>
        </w:rPr>
        <w:t>2. m²</w:t>
      </w:r>
    </w:p>
    <w:p w14:paraId="61FCC308" w14:textId="77777777" w:rsidR="00DB2B68" w:rsidRDefault="00000000">
      <w:pPr>
        <w:pStyle w:val="pheading"/>
      </w:pPr>
      <w:r>
        <w:t>- code de mesurage:</w:t>
      </w:r>
    </w:p>
    <w:p w14:paraId="38D2F32E"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FC80D6C"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8B7965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060E701B" w14:textId="77777777" w:rsidR="00DB2B68" w:rsidRDefault="00000000">
      <w:r>
        <w:rPr>
          <w:rStyle w:val="optioncarChar"/>
        </w:rPr>
        <w:t>Volume net </w:t>
      </w:r>
      <w:r>
        <w:t>(par défaut)</w:t>
      </w:r>
      <w:r>
        <w:rPr>
          <w:rStyle w:val="optioncarChar"/>
        </w:rPr>
        <w:t> / Surface nette</w:t>
      </w:r>
    </w:p>
    <w:p w14:paraId="72EF64A4" w14:textId="77777777" w:rsidR="00DB2B68" w:rsidRDefault="00000000">
      <w:r>
        <w:rPr>
          <w:b/>
        </w:rPr>
        <w:t>(soit par défaut)</w:t>
      </w:r>
    </w:p>
    <w:p w14:paraId="64F4E78E"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26415B8" w14:textId="77777777" w:rsidR="00DB2B68" w:rsidRDefault="00000000">
      <w:r>
        <w:rPr>
          <w:b/>
        </w:rPr>
        <w:t>(soit)</w:t>
      </w:r>
    </w:p>
    <w:p w14:paraId="74A1F33B"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3FD11E7" w14:textId="77777777" w:rsidR="00DB2B68" w:rsidRDefault="00000000">
      <w:pPr>
        <w:ind w:left="750"/>
      </w:pPr>
      <w:r>
        <w:t> </w:t>
      </w:r>
    </w:p>
    <w:p w14:paraId="1EA47AF3" w14:textId="77777777" w:rsidR="00DB2B68" w:rsidRDefault="00000000">
      <w:pPr>
        <w:pStyle w:val="pheading"/>
      </w:pPr>
      <w:r>
        <w:t>- nature du marché:</w:t>
      </w:r>
    </w:p>
    <w:p w14:paraId="270D8050" w14:textId="77777777" w:rsidR="00DB2B68" w:rsidRDefault="00000000">
      <w:r>
        <w:t>QF</w:t>
      </w:r>
    </w:p>
    <w:p w14:paraId="4C005434" w14:textId="77777777" w:rsidR="00DB2B68" w:rsidRDefault="00000000">
      <w:pPr>
        <w:pStyle w:val="Author-eSectionHeading6Numberless"/>
      </w:pPr>
      <w:bookmarkStart w:id="221" w:name="_Toc220495355"/>
      <w:r>
        <w:t>21.24.2b Maçonneries non portantes préfabriquées en blocs de béton CCTB 01.11</w:t>
      </w:r>
      <w:bookmarkEnd w:id="221"/>
    </w:p>
    <w:p w14:paraId="43AB323F" w14:textId="77777777" w:rsidR="00DB2B68" w:rsidRDefault="00000000">
      <w:pPr>
        <w:pStyle w:val="pheading"/>
      </w:pPr>
      <w:r>
        <w:t>DESCRIPTION</w:t>
      </w:r>
    </w:p>
    <w:p w14:paraId="19B36F2F" w14:textId="77777777" w:rsidR="00DB2B68" w:rsidRDefault="00000000">
      <w:pPr>
        <w:pStyle w:val="pheading"/>
      </w:pPr>
      <w:r>
        <w:t>- Définition / Comprend</w:t>
      </w:r>
    </w:p>
    <w:p w14:paraId="13BD1ED1" w14:textId="77777777" w:rsidR="00DB2B68" w:rsidRDefault="00000000">
      <w:r>
        <w:t xml:space="preserve">Il s’agit de la fourniture et la pose de maçonneries non portantes préfabriquées en blocs de béton. </w:t>
      </w:r>
      <w:r>
        <w:br/>
        <w:t xml:space="preserve">La portée des travaux est décrite dans l’article </w:t>
      </w:r>
      <w:hyperlink w:anchor="399" w:history="1">
        <w:r>
          <w:rPr>
            <w:color w:val="0000EE"/>
          </w:rPr>
          <w:t>21.24.2 Maçonneries non portantes préfabriquées</w:t>
        </w:r>
      </w:hyperlink>
      <w:r>
        <w:t>.</w:t>
      </w:r>
      <w:r>
        <w:br/>
        <w:t>Les travaux comprennent également la fourniture et la pose des pièces d’angle, de terminaison et de rencontre.</w:t>
      </w:r>
    </w:p>
    <w:p w14:paraId="5953E901" w14:textId="77777777" w:rsidR="00DB2B68" w:rsidRDefault="00000000">
      <w:pPr>
        <w:pStyle w:val="pheading"/>
      </w:pPr>
      <w:r>
        <w:t>- Localisation</w:t>
      </w:r>
    </w:p>
    <w:p w14:paraId="031EA43B" w14:textId="77777777" w:rsidR="00DB2B68" w:rsidRDefault="00000000">
      <w:r>
        <w:lastRenderedPageBreak/>
        <w:t xml:space="preserve">La pose est réalisée aux endroits suivants : </w:t>
      </w:r>
      <w:r>
        <w:rPr>
          <w:rStyle w:val="optioncarChar"/>
        </w:rPr>
        <w:t>***</w:t>
      </w:r>
      <w:r>
        <w:t>.</w:t>
      </w:r>
      <w:r>
        <w:br/>
        <w:t>Voir plans et métrés détaillés.</w:t>
      </w:r>
    </w:p>
    <w:p w14:paraId="498F2F3E" w14:textId="77777777" w:rsidR="00DB2B68" w:rsidRDefault="00000000">
      <w:pPr>
        <w:pStyle w:val="pheading"/>
      </w:pPr>
      <w:r>
        <w:t>MESURAGE</w:t>
      </w:r>
    </w:p>
    <w:p w14:paraId="15144621" w14:textId="77777777" w:rsidR="00DB2B68" w:rsidRDefault="00000000">
      <w:pPr>
        <w:pStyle w:val="pheading"/>
      </w:pPr>
      <w:r>
        <w:t>- unité de mesure:</w:t>
      </w:r>
    </w:p>
    <w:p w14:paraId="45D319FC" w14:textId="77777777" w:rsidR="00DB2B68" w:rsidRDefault="00000000">
      <w:r>
        <w:rPr>
          <w:rStyle w:val="optioncarChar"/>
        </w:rPr>
        <w:t>m³ </w:t>
      </w:r>
      <w:r>
        <w:t>(par défaut)</w:t>
      </w:r>
      <w:r>
        <w:rPr>
          <w:rStyle w:val="optioncarChar"/>
        </w:rPr>
        <w:t> / m²</w:t>
      </w:r>
    </w:p>
    <w:p w14:paraId="4E98A2A7" w14:textId="77777777" w:rsidR="00DB2B68" w:rsidRDefault="00000000">
      <w:r>
        <w:rPr>
          <w:b/>
        </w:rPr>
        <w:t>(soit par défaut)</w:t>
      </w:r>
    </w:p>
    <w:p w14:paraId="50A4ACCB" w14:textId="77777777" w:rsidR="00DB2B68" w:rsidRDefault="00000000">
      <w:r>
        <w:rPr>
          <w:rStyle w:val="soitChar"/>
        </w:rPr>
        <w:t>1. m³</w:t>
      </w:r>
    </w:p>
    <w:p w14:paraId="5885D690" w14:textId="77777777" w:rsidR="00DB2B68" w:rsidRDefault="00000000">
      <w:r>
        <w:rPr>
          <w:b/>
        </w:rPr>
        <w:t>(soit)</w:t>
      </w:r>
    </w:p>
    <w:p w14:paraId="218544F4" w14:textId="77777777" w:rsidR="00DB2B68" w:rsidRDefault="00000000">
      <w:r>
        <w:rPr>
          <w:rStyle w:val="soitChar"/>
        </w:rPr>
        <w:t>2. m²</w:t>
      </w:r>
    </w:p>
    <w:p w14:paraId="10B31B09" w14:textId="77777777" w:rsidR="00DB2B68" w:rsidRDefault="00000000">
      <w:pPr>
        <w:pStyle w:val="pheading"/>
      </w:pPr>
      <w:r>
        <w:t>- code de mesurage:</w:t>
      </w:r>
    </w:p>
    <w:p w14:paraId="4220EC4E"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416437B"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652782AC"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37CCFB25" w14:textId="77777777" w:rsidR="00DB2B68" w:rsidRDefault="00000000">
      <w:r>
        <w:rPr>
          <w:rStyle w:val="optioncarChar"/>
        </w:rPr>
        <w:t>Volume net </w:t>
      </w:r>
      <w:r>
        <w:t>(par défaut)</w:t>
      </w:r>
      <w:r>
        <w:rPr>
          <w:rStyle w:val="optioncarChar"/>
        </w:rPr>
        <w:t> / Surface nette</w:t>
      </w:r>
    </w:p>
    <w:p w14:paraId="4DCB7B2E" w14:textId="77777777" w:rsidR="00DB2B68" w:rsidRDefault="00000000">
      <w:r>
        <w:rPr>
          <w:b/>
        </w:rPr>
        <w:t>(soit par défaut)</w:t>
      </w:r>
    </w:p>
    <w:p w14:paraId="12416B28"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2B89008" w14:textId="77777777" w:rsidR="00DB2B68" w:rsidRDefault="00000000">
      <w:r>
        <w:rPr>
          <w:b/>
        </w:rPr>
        <w:t>(soit)</w:t>
      </w:r>
    </w:p>
    <w:p w14:paraId="2D7A6D15"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CB780F1" w14:textId="77777777" w:rsidR="00DB2B68" w:rsidRDefault="00000000">
      <w:pPr>
        <w:ind w:left="750"/>
      </w:pPr>
      <w:r>
        <w:t> </w:t>
      </w:r>
    </w:p>
    <w:p w14:paraId="36DA6DE0" w14:textId="77777777" w:rsidR="00DB2B68" w:rsidRDefault="00000000">
      <w:pPr>
        <w:pStyle w:val="pheading"/>
      </w:pPr>
      <w:r>
        <w:t>- nature du marché:</w:t>
      </w:r>
    </w:p>
    <w:p w14:paraId="74B5F96C" w14:textId="77777777" w:rsidR="00DB2B68" w:rsidRDefault="00000000">
      <w:r>
        <w:t>QF</w:t>
      </w:r>
    </w:p>
    <w:p w14:paraId="042E9647" w14:textId="77777777" w:rsidR="00DB2B68" w:rsidRDefault="00000000">
      <w:pPr>
        <w:pStyle w:val="Author-eSectionHeading6Numberless"/>
      </w:pPr>
      <w:bookmarkStart w:id="222" w:name="_Toc220495356"/>
      <w:r>
        <w:t>21.24.2c Maçonneries non portantes préfabriquées en blocs de béton d'argile expansée CCTB 01.11</w:t>
      </w:r>
      <w:bookmarkEnd w:id="222"/>
    </w:p>
    <w:p w14:paraId="0A47E6F5" w14:textId="77777777" w:rsidR="00DB2B68" w:rsidRDefault="00000000">
      <w:pPr>
        <w:pStyle w:val="pheading"/>
      </w:pPr>
      <w:r>
        <w:t>DESCRIPTION</w:t>
      </w:r>
    </w:p>
    <w:p w14:paraId="0373EB39" w14:textId="77777777" w:rsidR="00DB2B68" w:rsidRDefault="00000000">
      <w:pPr>
        <w:pStyle w:val="pheading"/>
      </w:pPr>
      <w:r>
        <w:t>- Définition / Comprend</w:t>
      </w:r>
    </w:p>
    <w:p w14:paraId="11138F40" w14:textId="77777777" w:rsidR="00DB2B68" w:rsidRDefault="00000000">
      <w:r>
        <w:t xml:space="preserve">Il s’agit de la fourniture et la pose de maçonneries non portantes préfabriquées en blocs de béton d’argile expansée. </w:t>
      </w:r>
      <w:r>
        <w:br/>
        <w:t xml:space="preserve">La portée des travaux est décrite dans l’article </w:t>
      </w:r>
      <w:hyperlink w:anchor="399" w:history="1">
        <w:r>
          <w:rPr>
            <w:color w:val="0000EE"/>
          </w:rPr>
          <w:t>21.24.2 Maçonneries non portantes préfabriquées</w:t>
        </w:r>
      </w:hyperlink>
      <w:r>
        <w:t>.</w:t>
      </w:r>
      <w:r>
        <w:br/>
        <w:t>Les travaux comprennent également la fourniture et la pose des pièces d’angle, de terminaison et de rencontre.</w:t>
      </w:r>
    </w:p>
    <w:p w14:paraId="366B3DCD" w14:textId="77777777" w:rsidR="00DB2B68" w:rsidRDefault="00000000">
      <w:pPr>
        <w:pStyle w:val="pheading"/>
      </w:pPr>
      <w:r>
        <w:lastRenderedPageBreak/>
        <w:t>- Localisation</w:t>
      </w:r>
    </w:p>
    <w:p w14:paraId="4B2EBA1D" w14:textId="77777777" w:rsidR="00DB2B68" w:rsidRDefault="00000000">
      <w:r>
        <w:t xml:space="preserve">La pose est réalisée aux endroits suivants : </w:t>
      </w:r>
      <w:r>
        <w:rPr>
          <w:rStyle w:val="optioncarChar"/>
        </w:rPr>
        <w:t>***</w:t>
      </w:r>
      <w:r>
        <w:t>.</w:t>
      </w:r>
      <w:r>
        <w:br/>
        <w:t>Voir plans et métrés détaillés.</w:t>
      </w:r>
    </w:p>
    <w:p w14:paraId="5AA6BFCD" w14:textId="77777777" w:rsidR="00DB2B68" w:rsidRDefault="00000000">
      <w:pPr>
        <w:pStyle w:val="pheading"/>
      </w:pPr>
      <w:r>
        <w:t>MESURAGE</w:t>
      </w:r>
    </w:p>
    <w:p w14:paraId="4A19106F" w14:textId="77777777" w:rsidR="00DB2B68" w:rsidRDefault="00000000">
      <w:pPr>
        <w:pStyle w:val="pheading"/>
      </w:pPr>
      <w:r>
        <w:t>- unité de mesure:</w:t>
      </w:r>
    </w:p>
    <w:p w14:paraId="3E9860EB" w14:textId="77777777" w:rsidR="00DB2B68" w:rsidRDefault="00000000">
      <w:r>
        <w:rPr>
          <w:rStyle w:val="optioncarChar"/>
        </w:rPr>
        <w:t>m³ </w:t>
      </w:r>
      <w:r>
        <w:t>(par défaut)</w:t>
      </w:r>
      <w:r>
        <w:rPr>
          <w:rStyle w:val="optioncarChar"/>
        </w:rPr>
        <w:t> / m²</w:t>
      </w:r>
    </w:p>
    <w:p w14:paraId="76CAF51A" w14:textId="77777777" w:rsidR="00DB2B68" w:rsidRDefault="00000000">
      <w:r>
        <w:rPr>
          <w:b/>
        </w:rPr>
        <w:t>(soit par défaut)</w:t>
      </w:r>
    </w:p>
    <w:p w14:paraId="6329EF90" w14:textId="77777777" w:rsidR="00DB2B68" w:rsidRDefault="00000000">
      <w:r>
        <w:rPr>
          <w:rStyle w:val="soitChar"/>
        </w:rPr>
        <w:t>1. m³</w:t>
      </w:r>
    </w:p>
    <w:p w14:paraId="5AD850BC" w14:textId="77777777" w:rsidR="00DB2B68" w:rsidRDefault="00000000">
      <w:r>
        <w:rPr>
          <w:b/>
        </w:rPr>
        <w:t>(soit)</w:t>
      </w:r>
    </w:p>
    <w:p w14:paraId="379E2BF1" w14:textId="77777777" w:rsidR="00DB2B68" w:rsidRDefault="00000000">
      <w:r>
        <w:rPr>
          <w:rStyle w:val="soitChar"/>
        </w:rPr>
        <w:t>2. m²</w:t>
      </w:r>
    </w:p>
    <w:p w14:paraId="4A0888C1" w14:textId="77777777" w:rsidR="00DB2B68" w:rsidRDefault="00000000">
      <w:pPr>
        <w:pStyle w:val="pheading"/>
      </w:pPr>
      <w:r>
        <w:t>- code de mesurage:</w:t>
      </w:r>
    </w:p>
    <w:p w14:paraId="4473238A"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0272D4B"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A0146A6"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E00352F" w14:textId="77777777" w:rsidR="00DB2B68" w:rsidRDefault="00000000">
      <w:r>
        <w:rPr>
          <w:rStyle w:val="optioncarChar"/>
        </w:rPr>
        <w:t>Volume net </w:t>
      </w:r>
      <w:r>
        <w:t>(par défaut)</w:t>
      </w:r>
      <w:r>
        <w:rPr>
          <w:rStyle w:val="optioncarChar"/>
        </w:rPr>
        <w:t> / Surface nette</w:t>
      </w:r>
    </w:p>
    <w:p w14:paraId="59050E9C" w14:textId="77777777" w:rsidR="00DB2B68" w:rsidRDefault="00000000">
      <w:r>
        <w:rPr>
          <w:b/>
        </w:rPr>
        <w:t>(soit par défaut)</w:t>
      </w:r>
    </w:p>
    <w:p w14:paraId="320E5BE7"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BE86F9A" w14:textId="77777777" w:rsidR="00DB2B68" w:rsidRDefault="00000000">
      <w:r>
        <w:rPr>
          <w:b/>
        </w:rPr>
        <w:t>(soit)</w:t>
      </w:r>
    </w:p>
    <w:p w14:paraId="4F0E5A1C"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4A3C50D" w14:textId="77777777" w:rsidR="00DB2B68" w:rsidRDefault="00000000">
      <w:pPr>
        <w:pStyle w:val="pheading"/>
      </w:pPr>
      <w:r>
        <w:t>- nature du marché:</w:t>
      </w:r>
    </w:p>
    <w:p w14:paraId="49CB7E9B" w14:textId="77777777" w:rsidR="00DB2B68" w:rsidRDefault="00000000">
      <w:r>
        <w:t>QF</w:t>
      </w:r>
    </w:p>
    <w:p w14:paraId="1EC4D5F4" w14:textId="77777777" w:rsidR="00DB2B68" w:rsidRDefault="00000000">
      <w:pPr>
        <w:pStyle w:val="Author-eSectionHeading6Numberless"/>
      </w:pPr>
      <w:bookmarkStart w:id="223" w:name="_Toc220495357"/>
      <w:r>
        <w:t>21.24.2d Maçonneries non portantes préfabriquées en blocs de silico-calcaire CCTB 01.12</w:t>
      </w:r>
      <w:bookmarkEnd w:id="223"/>
    </w:p>
    <w:p w14:paraId="0050BCB9" w14:textId="77777777" w:rsidR="00DB2B68" w:rsidRDefault="00000000">
      <w:pPr>
        <w:pStyle w:val="pheading"/>
      </w:pPr>
      <w:r>
        <w:t>DESCRIPTION</w:t>
      </w:r>
    </w:p>
    <w:p w14:paraId="3464B8D5" w14:textId="77777777" w:rsidR="00DB2B68" w:rsidRDefault="00000000">
      <w:pPr>
        <w:pStyle w:val="pheading"/>
      </w:pPr>
      <w:r>
        <w:t>- Définition / Comprend</w:t>
      </w:r>
    </w:p>
    <w:p w14:paraId="1713A2FE" w14:textId="77777777" w:rsidR="00DB2B68" w:rsidRDefault="00000000">
      <w:r>
        <w:t xml:space="preserve">Il s’agit de la fourniture et la pose de maçonneries non portantes préfabriquées en blocs de silico-calcaire. </w:t>
      </w:r>
      <w:r>
        <w:br/>
        <w:t xml:space="preserve">La portée des travaux est décrite dans l’article </w:t>
      </w:r>
      <w:hyperlink w:anchor="399" w:history="1">
        <w:r>
          <w:rPr>
            <w:color w:val="0000EE"/>
          </w:rPr>
          <w:t>21.24.2 Maçonneries non portantes préfabriquées</w:t>
        </w:r>
      </w:hyperlink>
      <w:r>
        <w:t>.</w:t>
      </w:r>
      <w:r>
        <w:br/>
        <w:t>Les travaux comprennent également la fourniture et la pose des pièces d’angle, de terminaison et de rencontre.</w:t>
      </w:r>
    </w:p>
    <w:p w14:paraId="6760A371" w14:textId="77777777" w:rsidR="00DB2B68" w:rsidRDefault="00000000">
      <w:pPr>
        <w:pStyle w:val="pheading"/>
      </w:pPr>
      <w:r>
        <w:lastRenderedPageBreak/>
        <w:t>- Localisation</w:t>
      </w:r>
    </w:p>
    <w:p w14:paraId="016B1699" w14:textId="77777777" w:rsidR="00DB2B68" w:rsidRDefault="00000000">
      <w:r>
        <w:t xml:space="preserve">La pose est réalisée aux endroits suivants : </w:t>
      </w:r>
      <w:r>
        <w:rPr>
          <w:rStyle w:val="optioncarChar"/>
        </w:rPr>
        <w:t>***</w:t>
      </w:r>
      <w:r>
        <w:t>.</w:t>
      </w:r>
      <w:r>
        <w:br/>
        <w:t>Voir plans et métrés détaillés.</w:t>
      </w:r>
    </w:p>
    <w:p w14:paraId="044E9851" w14:textId="77777777" w:rsidR="00DB2B68" w:rsidRDefault="00000000">
      <w:pPr>
        <w:pStyle w:val="pheading"/>
      </w:pPr>
      <w:r>
        <w:t>MATÉRIAUX</w:t>
      </w:r>
    </w:p>
    <w:p w14:paraId="56361FC3" w14:textId="77777777" w:rsidR="00DB2B68" w:rsidRDefault="00000000">
      <w:pPr>
        <w:pStyle w:val="pheading"/>
      </w:pPr>
      <w:r>
        <w:t>- Caractéristiques générales</w:t>
      </w:r>
    </w:p>
    <w:p w14:paraId="756D53FC" w14:textId="77777777" w:rsidR="00DB2B68" w:rsidRDefault="00000000">
      <w:r>
        <w:rPr>
          <w:rStyle w:val="headingChar"/>
        </w:rPr>
        <w:t>Spécifications</w:t>
      </w:r>
    </w:p>
    <w:p w14:paraId="7E3BEAD2" w14:textId="77777777" w:rsidR="00DB2B68"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 xml:space="preserve">La résistance en compression normalisée (fb) suivant [NBN EN 1996 série] + ANB est au minimum: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w:t>
      </w:r>
      <w:r>
        <w:t> (par défaut)</w:t>
      </w:r>
      <w:r>
        <w:rPr>
          <w:rStyle w:val="optioncarChar"/>
        </w:rPr>
        <w:t xml:space="preserve"> / ***</w:t>
      </w:r>
      <w:r>
        <w:br/>
      </w:r>
      <w:r>
        <w:br/>
        <w:t xml:space="preserve">La masse volumique sèche apparente des blocs ρ (rho) est : </w:t>
      </w:r>
      <w:r>
        <w:rPr>
          <w:rStyle w:val="optioncarChar"/>
        </w:rPr>
        <w:t>1400 kg/m³ (blocs creux) </w:t>
      </w:r>
      <w:r>
        <w:t>(par défaut)</w:t>
      </w:r>
      <w:r>
        <w:rPr>
          <w:rStyle w:val="optioncarChar"/>
        </w:rPr>
        <w:t xml:space="preserve"> / ***</w:t>
      </w:r>
      <w:r>
        <w:t xml:space="preserve"> kg/m³, selon la [NBN EN 771-2+A1]. </w:t>
      </w:r>
      <w:r>
        <w:br/>
      </w:r>
      <w:r>
        <w:br/>
        <w:t xml:space="preserve">La conductibilité thermique λD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 [PTV 21-003] annexe E).</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5BAC794B" w14:textId="77777777" w:rsidR="00DB2B68" w:rsidRDefault="00000000">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 xml:space="preserve">EI 30 </w:t>
      </w:r>
      <w:r>
        <w:t>(par défaut) </w:t>
      </w:r>
      <w:r>
        <w:rPr>
          <w:rStyle w:val="optioncarChar"/>
        </w:rPr>
        <w:t>/ EI 60/ EI 120 / EI ***</w:t>
      </w:r>
      <w:r>
        <w:t xml:space="preserve"> selon les tableaux dans [NBN EN 1996-1-2 ANB].</w:t>
      </w:r>
    </w:p>
    <w:p w14:paraId="02B60798" w14:textId="77777777" w:rsidR="00DB2B68" w:rsidRDefault="00000000">
      <w:pPr>
        <w:ind w:left="750"/>
      </w:pPr>
      <w:r>
        <w:t> </w:t>
      </w:r>
    </w:p>
    <w:p w14:paraId="1C4E016D" w14:textId="77777777" w:rsidR="00DB2B68" w:rsidRDefault="00000000">
      <w:pPr>
        <w:pStyle w:val="pheading"/>
      </w:pPr>
      <w:r>
        <w:t>- Finitions</w:t>
      </w:r>
    </w:p>
    <w:p w14:paraId="779976B5" w14:textId="77777777" w:rsidR="00DB2B68" w:rsidRDefault="00000000">
      <w:pPr>
        <w:pStyle w:val="Author-eListParagraph"/>
        <w:numPr>
          <w:ilvl w:val="0"/>
          <w:numId w:val="226"/>
        </w:numPr>
      </w:pPr>
      <w:r>
        <w:lastRenderedPageBreak/>
        <w:t xml:space="preserve">Les faces de murs suivantes sont exécutées comme maçonneries apparentes et sont </w:t>
      </w:r>
      <w:r>
        <w:rPr>
          <w:rStyle w:val="optioncarChar"/>
          <w:color w:val="000000"/>
        </w:rPr>
        <w:t>rejointoyées </w:t>
      </w:r>
      <w:r>
        <w:t xml:space="preserve">selon </w:t>
      </w:r>
      <w:hyperlink w:anchor="346" w:history="1">
        <w:r>
          <w:rPr>
            <w:color w:val="0000EE"/>
          </w:rPr>
          <w:t>21.61.1b Joints de maçonnerie apparente</w:t>
        </w:r>
      </w:hyperlink>
      <w:r>
        <w:t xml:space="preserve"> : </w:t>
      </w:r>
      <w:r>
        <w:rPr>
          <w:rStyle w:val="optioncarChar"/>
        </w:rPr>
        <w:t>***</w:t>
      </w:r>
    </w:p>
    <w:p w14:paraId="556BF2DE" w14:textId="77777777" w:rsidR="00DB2B68" w:rsidRDefault="00000000">
      <w:pPr>
        <w:pStyle w:val="Author-eListParagraph"/>
        <w:numPr>
          <w:ilvl w:val="0"/>
          <w:numId w:val="226"/>
        </w:numPr>
      </w:pPr>
      <w:r>
        <w:t xml:space="preserve">Les murs suivants sont exécutés avec une face restant apparente : </w:t>
      </w:r>
      <w:r>
        <w:rPr>
          <w:rStyle w:val="optioncarChar"/>
        </w:rPr>
        <w:t>***</w:t>
      </w:r>
    </w:p>
    <w:p w14:paraId="295104E5" w14:textId="77777777" w:rsidR="00DB2B68" w:rsidRDefault="00000000">
      <w:pPr>
        <w:pStyle w:val="Author-eListParagraph"/>
        <w:numPr>
          <w:ilvl w:val="0"/>
          <w:numId w:val="226"/>
        </w:numPr>
      </w:pPr>
      <w:r>
        <w:t xml:space="preserve">Les murs suivants sont exécutés avec deux faces restant apparentes : </w:t>
      </w:r>
      <w:r>
        <w:rPr>
          <w:rStyle w:val="optioncarChar"/>
        </w:rPr>
        <w:t>***</w:t>
      </w:r>
    </w:p>
    <w:p w14:paraId="24357B4B" w14:textId="77777777" w:rsidR="00DB2B68" w:rsidRDefault="00DB2B68"/>
    <w:p w14:paraId="32C7A545" w14:textId="77777777" w:rsidR="00DB2B68" w:rsidRDefault="00000000">
      <w:pPr>
        <w:pStyle w:val="pheading"/>
      </w:pPr>
      <w:r>
        <w:t>- Prescriptions complémentaires</w:t>
      </w:r>
    </w:p>
    <w:p w14:paraId="301C044F" w14:textId="77777777" w:rsidR="00DB2B68" w:rsidRDefault="00000000">
      <w:r>
        <w:t>La mise en œuvre s'effectue selon les prescriptions du fabricant. Les murs ne sont pas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3DDE260A" w14:textId="77777777" w:rsidR="00DB2B68" w:rsidRDefault="00000000">
      <w:pPr>
        <w:pStyle w:val="pheading"/>
      </w:pPr>
      <w:r>
        <w:t>MESURAGE</w:t>
      </w:r>
    </w:p>
    <w:p w14:paraId="0E661139" w14:textId="77777777" w:rsidR="00DB2B68" w:rsidRDefault="00000000">
      <w:pPr>
        <w:pStyle w:val="pheading"/>
      </w:pPr>
      <w:r>
        <w:t>- unité de mesure:</w:t>
      </w:r>
    </w:p>
    <w:p w14:paraId="7CAF6509" w14:textId="77777777" w:rsidR="00DB2B68" w:rsidRDefault="00000000">
      <w:r>
        <w:rPr>
          <w:rStyle w:val="optioncarChar"/>
        </w:rPr>
        <w:t>m³ </w:t>
      </w:r>
      <w:r>
        <w:t>(par défaut)</w:t>
      </w:r>
      <w:r>
        <w:rPr>
          <w:rStyle w:val="optioncarChar"/>
        </w:rPr>
        <w:t> / m²</w:t>
      </w:r>
    </w:p>
    <w:p w14:paraId="6FC40659" w14:textId="77777777" w:rsidR="00DB2B68" w:rsidRDefault="00000000">
      <w:r>
        <w:rPr>
          <w:b/>
        </w:rPr>
        <w:t>(soit par défaut)</w:t>
      </w:r>
    </w:p>
    <w:p w14:paraId="4E347CBE" w14:textId="77777777" w:rsidR="00DB2B68" w:rsidRDefault="00000000">
      <w:r>
        <w:rPr>
          <w:rStyle w:val="soitChar"/>
        </w:rPr>
        <w:t>1. m³</w:t>
      </w:r>
    </w:p>
    <w:p w14:paraId="4EA25AF7" w14:textId="77777777" w:rsidR="00DB2B68" w:rsidRDefault="00000000">
      <w:r>
        <w:rPr>
          <w:b/>
        </w:rPr>
        <w:t>(soit)</w:t>
      </w:r>
    </w:p>
    <w:p w14:paraId="45889CAF" w14:textId="77777777" w:rsidR="00DB2B68" w:rsidRDefault="00000000">
      <w:r>
        <w:rPr>
          <w:rStyle w:val="soitChar"/>
        </w:rPr>
        <w:t>2. m²</w:t>
      </w:r>
    </w:p>
    <w:p w14:paraId="24EFAF15" w14:textId="77777777" w:rsidR="00DB2B68" w:rsidRDefault="00000000">
      <w:pPr>
        <w:pStyle w:val="pheading"/>
      </w:pPr>
      <w:r>
        <w:t>- code de mesurage:</w:t>
      </w:r>
    </w:p>
    <w:p w14:paraId="1A1C7360"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082ECEF"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9C87C78"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2B5BD3CC" w14:textId="77777777" w:rsidR="00DB2B68" w:rsidRDefault="00000000">
      <w:r>
        <w:rPr>
          <w:rStyle w:val="optioncarChar"/>
        </w:rPr>
        <w:t>Volume net </w:t>
      </w:r>
      <w:r>
        <w:t>(par défaut)</w:t>
      </w:r>
      <w:r>
        <w:rPr>
          <w:rStyle w:val="optioncarChar"/>
        </w:rPr>
        <w:t> / Surface nette</w:t>
      </w:r>
    </w:p>
    <w:p w14:paraId="7CD90888" w14:textId="77777777" w:rsidR="00DB2B68" w:rsidRDefault="00000000">
      <w:r>
        <w:rPr>
          <w:b/>
        </w:rPr>
        <w:t>(soit par défaut)</w:t>
      </w:r>
    </w:p>
    <w:p w14:paraId="2D2937ED"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15355F1" w14:textId="77777777" w:rsidR="00DB2B68" w:rsidRDefault="00000000">
      <w:r>
        <w:rPr>
          <w:b/>
        </w:rPr>
        <w:t>(soit)</w:t>
      </w:r>
    </w:p>
    <w:p w14:paraId="1514C609"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8FE05AF" w14:textId="77777777" w:rsidR="00DB2B68" w:rsidRDefault="00000000">
      <w:pPr>
        <w:ind w:left="750"/>
      </w:pPr>
      <w:r>
        <w:t> </w:t>
      </w:r>
    </w:p>
    <w:p w14:paraId="242CF02E" w14:textId="77777777" w:rsidR="00DB2B68" w:rsidRDefault="00000000">
      <w:pPr>
        <w:pStyle w:val="pheading"/>
      </w:pPr>
      <w:r>
        <w:t>- nature du marché:</w:t>
      </w:r>
    </w:p>
    <w:p w14:paraId="6B06D3E0" w14:textId="77777777" w:rsidR="00DB2B68" w:rsidRDefault="00000000">
      <w:r>
        <w:t>QF</w:t>
      </w:r>
    </w:p>
    <w:p w14:paraId="7FFB16EE" w14:textId="77777777" w:rsidR="00DB2B68" w:rsidRDefault="00000000">
      <w:pPr>
        <w:pStyle w:val="Author-eSectionHeading4Numberless"/>
      </w:pPr>
      <w:bookmarkStart w:id="224" w:name="_Toc220495358"/>
      <w:r>
        <w:lastRenderedPageBreak/>
        <w:t>21.25 Maçonneries non portantes en ensembles de blocs de verre CCTB 01.10</w:t>
      </w:r>
      <w:bookmarkEnd w:id="224"/>
    </w:p>
    <w:p w14:paraId="5EABB1A7" w14:textId="77777777" w:rsidR="00DB2B68" w:rsidRDefault="00000000">
      <w:pPr>
        <w:pStyle w:val="pheading"/>
      </w:pPr>
      <w:bookmarkStart w:id="225" w:name="462"/>
      <w:bookmarkEnd w:id="225"/>
      <w:r>
        <w:t>DESCRIPTION</w:t>
      </w:r>
    </w:p>
    <w:p w14:paraId="7BCB43FB" w14:textId="77777777" w:rsidR="00DB2B68" w:rsidRDefault="00000000">
      <w:pPr>
        <w:pStyle w:val="pheading"/>
      </w:pPr>
      <w:r>
        <w:t>- Définition / Comprend</w:t>
      </w:r>
    </w:p>
    <w:p w14:paraId="3FFBFF1A" w14:textId="77777777" w:rsidR="00DB2B68" w:rsidRDefault="00000000">
      <w:r>
        <w:t xml:space="preserve">Renvoi au § </w:t>
      </w:r>
      <w:hyperlink w:anchor="401" w:history="1">
        <w:r>
          <w:rPr>
            <w:color w:val="0000EE"/>
          </w:rPr>
          <w:t>21.45 Blocs de verre individuels</w:t>
        </w:r>
      </w:hyperlink>
    </w:p>
    <w:p w14:paraId="4176594B" w14:textId="77777777" w:rsidR="00DB2B68" w:rsidRDefault="00000000">
      <w:pPr>
        <w:pStyle w:val="pheading"/>
      </w:pPr>
      <w:r>
        <w:t>- Remarques importantes</w:t>
      </w:r>
    </w:p>
    <w:p w14:paraId="744C6BB5" w14:textId="77777777" w:rsidR="00DB2B68" w:rsidRDefault="00000000">
      <w:r>
        <w:t>Les maçonneries non portantes en blocs de verre peuvent être soumises à des exigences en termes de performances au feu. Le cas échéant, l’auteur de projet spécifie les exigences requises basées notamment sur les documents de référence d’application. Il peut s’agir (voir les généralités chapitre </w:t>
      </w:r>
      <w:hyperlink w:anchor="41" w:history="1">
        <w:r>
          <w:rPr>
            <w:color w:val="0000EE"/>
          </w:rPr>
          <w:t>2 T2 Superstructures</w:t>
        </w:r>
      </w:hyperlink>
      <w:r>
        <w:t>)</w:t>
      </w:r>
    </w:p>
    <w:p w14:paraId="32CCFA50" w14:textId="77777777" w:rsidR="00DB2B68" w:rsidRDefault="00000000">
      <w:pPr>
        <w:pStyle w:val="Author-eListParagraph"/>
        <w:numPr>
          <w:ilvl w:val="0"/>
          <w:numId w:val="227"/>
        </w:numPr>
      </w:pPr>
      <w:r>
        <w:t>D’exigence de résistance au feu : E tt ou EI tt (tt étant le temps en minutes)</w:t>
      </w:r>
    </w:p>
    <w:p w14:paraId="7CAB96C4" w14:textId="77777777" w:rsidR="00DB2B68" w:rsidRDefault="00000000">
      <w:pPr>
        <w:pStyle w:val="Author-eListParagraph"/>
        <w:numPr>
          <w:ilvl w:val="0"/>
          <w:numId w:val="227"/>
        </w:numPr>
      </w:pPr>
      <w:r>
        <w:t>D’exigence de réaction au feu du revêtement de la paroi (en l’occurrence le bloc de verre) : A1 à F, complétée des aspects additionnels s et d.</w:t>
      </w:r>
    </w:p>
    <w:p w14:paraId="5DC3D6E3" w14:textId="77777777" w:rsidR="00DB2B68" w:rsidRDefault="00000000">
      <w:pPr>
        <w:pStyle w:val="Author-eSectionHeading5Numberless"/>
      </w:pPr>
      <w:bookmarkStart w:id="226" w:name="_Toc220495359"/>
      <w:r>
        <w:t>21.25.1 Maçonneries non portantes en ensembles de blocs de verre CCTB 01.11</w:t>
      </w:r>
      <w:bookmarkEnd w:id="226"/>
    </w:p>
    <w:p w14:paraId="3D179BB4" w14:textId="77777777" w:rsidR="00DB2B68" w:rsidRDefault="00000000">
      <w:pPr>
        <w:pStyle w:val="pheading"/>
      </w:pPr>
      <w:bookmarkStart w:id="227" w:name="400"/>
      <w:bookmarkEnd w:id="227"/>
      <w:r>
        <w:t>DESCRIPTION</w:t>
      </w:r>
    </w:p>
    <w:p w14:paraId="4DBD2F0B" w14:textId="77777777" w:rsidR="00DB2B68" w:rsidRDefault="00000000">
      <w:pPr>
        <w:pStyle w:val="pheading"/>
      </w:pPr>
      <w:r>
        <w:t>- Définition / Comprend</w:t>
      </w:r>
    </w:p>
    <w:p w14:paraId="6DC28CFD" w14:textId="77777777" w:rsidR="00DB2B68" w:rsidRDefault="00000000">
      <w:r>
        <w:t>Ce poste comprend toutes les fournitures et les travaux nécessaires en vue de la réalisation de murs translucides préfabriqués et/ou d'éléments de façades en briques de verre. Conformément aux dispositions générales et/ou spécifiques du cahier spécial des charges, les prix unitaires compris dans ce poste doivent toujours comprendre, soit selon la ventilation au métré récapitulatif, soit dans leur totalité :</w:t>
      </w:r>
    </w:p>
    <w:p w14:paraId="5BA7B780" w14:textId="77777777" w:rsidR="00DB2B68" w:rsidRDefault="00000000">
      <w:pPr>
        <w:pStyle w:val="Author-eListParagraph"/>
        <w:numPr>
          <w:ilvl w:val="0"/>
          <w:numId w:val="228"/>
        </w:numPr>
      </w:pPr>
      <w:r>
        <w:t>la fourniture et la préparation de tous les matériaux c'est-à-dire des briques ou panneaux, des mortiers, de tous les ancrages et les dispositifs de liaison nécessaires avec les murs, les raccordements aux rives de toiture (solins), l'étanchéité au droit des baies de façade et des rives de toiture, les étanchéités et les bandes d'isolation thermique dans les ébrasements des baies de façade;</w:t>
      </w:r>
    </w:p>
    <w:p w14:paraId="4C37916D" w14:textId="77777777" w:rsidR="00DB2B68" w:rsidRDefault="00000000">
      <w:pPr>
        <w:pStyle w:val="Author-eListParagraph"/>
        <w:numPr>
          <w:ilvl w:val="0"/>
          <w:numId w:val="228"/>
        </w:numPr>
      </w:pPr>
      <w:r>
        <w:t>la pose proprement dite des blocs de verre ou des panneaux et les éventuelles mesures de protection,</w:t>
      </w:r>
    </w:p>
    <w:p w14:paraId="0AD2D9F8" w14:textId="77777777" w:rsidR="00DB2B68" w:rsidRDefault="00000000">
      <w:pPr>
        <w:pStyle w:val="Author-eListParagraph"/>
        <w:numPr>
          <w:ilvl w:val="0"/>
          <w:numId w:val="228"/>
        </w:numPr>
      </w:pPr>
      <w:r>
        <w:t>l'évidement des joints ou le jointoiement et le parachèvement;</w:t>
      </w:r>
    </w:p>
    <w:p w14:paraId="5600AAA0" w14:textId="77777777" w:rsidR="00DB2B68" w:rsidRDefault="00000000">
      <w:pPr>
        <w:pStyle w:val="Author-eListParagraph"/>
        <w:numPr>
          <w:ilvl w:val="0"/>
          <w:numId w:val="228"/>
        </w:numPr>
      </w:pPr>
      <w:r>
        <w:t>le nettoyage des briques de verre et/ou des parties souillées de la façade;</w:t>
      </w:r>
    </w:p>
    <w:p w14:paraId="729EAA6B" w14:textId="77777777" w:rsidR="00DB2B68" w:rsidRDefault="00000000">
      <w:pPr>
        <w:pStyle w:val="Author-eListParagraph"/>
        <w:numPr>
          <w:ilvl w:val="0"/>
          <w:numId w:val="228"/>
        </w:numPr>
      </w:pPr>
      <w:r>
        <w:t>l'enlèvement des protections;</w:t>
      </w:r>
    </w:p>
    <w:p w14:paraId="4BFCB319" w14:textId="77777777" w:rsidR="00DB2B68" w:rsidRDefault="00000000">
      <w:pPr>
        <w:pStyle w:val="Author-eListParagraph"/>
        <w:numPr>
          <w:ilvl w:val="0"/>
          <w:numId w:val="228"/>
        </w:numPr>
      </w:pPr>
      <w:r>
        <w:t>le déblaiement et le nettoyage du chantier.</w:t>
      </w:r>
    </w:p>
    <w:p w14:paraId="386F9309" w14:textId="77777777" w:rsidR="00DB2B68" w:rsidRDefault="00000000">
      <w:pPr>
        <w:ind w:left="750"/>
      </w:pPr>
      <w:r>
        <w:t> </w:t>
      </w:r>
    </w:p>
    <w:p w14:paraId="2B6888A7" w14:textId="77777777" w:rsidR="00DB2B68" w:rsidRDefault="00000000">
      <w:pPr>
        <w:pStyle w:val="pheading"/>
      </w:pPr>
      <w:r>
        <w:t>MATÉRIAUX</w:t>
      </w:r>
    </w:p>
    <w:p w14:paraId="644F33FA" w14:textId="77777777" w:rsidR="00DB2B68" w:rsidRDefault="00000000">
      <w:r>
        <w:t>Les blocs de verre répondent à la [NBN S 23-002] et sont mises en œuvre sous la forme de panneaux préfabriqués ou en tant qu'éléments indépendants, conformément au cahier spécial des charges. Les blocs de verre à double paroi consistent en deux demi-éléments soudés l'un à l'autre, la coulisse contenant uniquement de l'air. Les bords sont revêtus d'une membrane blanche synthétique ou d'une couche de revêtement afin d'améliorer le passage de la lumière. Les blocs de verre sont insensibles aux chocs et aux influences atmosphériques. Les éléments répondent aux exigences de la paroi dans laquelle ils sont (verre A1). Les mortiers hydrofuges et/ou les mortiers de colle satisfont aux prescriptions du fabricant.</w:t>
      </w:r>
    </w:p>
    <w:p w14:paraId="4D89D855" w14:textId="77777777" w:rsidR="00DB2B68" w:rsidRDefault="00000000">
      <w:pPr>
        <w:ind w:left="750"/>
      </w:pPr>
      <w:r>
        <w:t> </w:t>
      </w:r>
    </w:p>
    <w:p w14:paraId="3C3D1EE7" w14:textId="77777777" w:rsidR="00DB2B68" w:rsidRDefault="00000000">
      <w:pPr>
        <w:pStyle w:val="pheading"/>
      </w:pPr>
      <w:r>
        <w:t>EXÉCUTION / MISE EN ŒUVRE</w:t>
      </w:r>
    </w:p>
    <w:p w14:paraId="0FD75E96" w14:textId="77777777" w:rsidR="00DB2B68" w:rsidRDefault="00000000">
      <w:r>
        <w:lastRenderedPageBreak/>
        <w:t>Les maçonneries en blocs de verre sont exécutées conformément à la [NBN S 23-002] complétée par les prescriptions d'exécution du fabricant. Le montage des panneaux préfabriqués se fait uniquement par des ouvriers spécialisés. Pour les panneaux en blocs de verre, l'entrepreneur soumet les notes de calcul et les dessins d'exécution à l'approbation de l'auteur de projet. Ils tiennent compte des directives de la [NBN S 23-002] et de la [NBN EN 1991-1-4] en ce qui concerne l'étanchéité au vent.</w:t>
      </w:r>
    </w:p>
    <w:p w14:paraId="54544BBA" w14:textId="77777777" w:rsidR="00DB2B68" w:rsidRDefault="00000000">
      <w:r>
        <w:t>À l'attention de l'auteur de projet</w:t>
      </w:r>
    </w:p>
    <w:p w14:paraId="40E9F0FE" w14:textId="77777777" w:rsidR="00DB2B68" w:rsidRDefault="00000000">
      <w:r>
        <w:t>Pour plus d'information, consultez aussi Parois extérieures en blocs de verre [Buildwise Article Revue (1996-04-31)]</w:t>
      </w:r>
    </w:p>
    <w:p w14:paraId="69CF129E" w14:textId="77777777" w:rsidR="00DB2B68" w:rsidRDefault="00000000">
      <w:pPr>
        <w:ind w:left="750"/>
      </w:pPr>
      <w:r>
        <w:t> </w:t>
      </w:r>
    </w:p>
    <w:p w14:paraId="480A2924" w14:textId="77777777" w:rsidR="00DB2B68" w:rsidRDefault="00000000">
      <w:pPr>
        <w:pStyle w:val="Author-eSectionHeading6Numberless"/>
      </w:pPr>
      <w:bookmarkStart w:id="228" w:name="_Toc220495360"/>
      <w:r>
        <w:t>21.25.1a Maçonneries non portantes en ensembles de blocs de verre CCTB 01.11</w:t>
      </w:r>
      <w:bookmarkEnd w:id="228"/>
    </w:p>
    <w:p w14:paraId="48D91994" w14:textId="77777777" w:rsidR="00DB2B68" w:rsidRDefault="00000000">
      <w:pPr>
        <w:pStyle w:val="pheading"/>
      </w:pPr>
      <w:r>
        <w:t>DESCRIPTION</w:t>
      </w:r>
    </w:p>
    <w:p w14:paraId="4BB711E4" w14:textId="77777777" w:rsidR="00DB2B68" w:rsidRDefault="00000000">
      <w:pPr>
        <w:pStyle w:val="pheading"/>
      </w:pPr>
      <w:r>
        <w:t>- Définition / Comprend</w:t>
      </w:r>
    </w:p>
    <w:p w14:paraId="49362A79" w14:textId="77777777" w:rsidR="00DB2B68" w:rsidRDefault="00000000">
      <w:r>
        <w:t xml:space="preserve">Il s’agit de la fourniture et la pose de maçonneries non portantes en ensembles de blocs de verre. </w:t>
      </w:r>
      <w:r>
        <w:br/>
        <w:t xml:space="preserve">La portée des travaux est décrite dans l’article </w:t>
      </w:r>
      <w:hyperlink w:anchor="400" w:history="1">
        <w:r>
          <w:rPr>
            <w:color w:val="0000EE"/>
          </w:rPr>
          <w:t>21.25.1 Maçonneries non portantes en ensembles de blocs de verre</w:t>
        </w:r>
      </w:hyperlink>
      <w:r>
        <w:t>.</w:t>
      </w:r>
      <w:r>
        <w:br/>
        <w:t>Les travaux comprennent également la fourniture et la pose des panneaux, des</w:t>
      </w:r>
      <w:r>
        <w:br/>
        <w:t>isolations périphériques, les couches d'étanchéité, les bavettes de plomb, les armatures, les solins, les accessoires, des pièces d’angle, de terminaison et de rencontre, jusqu'au rejointoiement</w:t>
      </w:r>
      <w:r>
        <w:br/>
        <w:t>complet et le ragréage à l'aide d'un mastic élastique.</w:t>
      </w:r>
    </w:p>
    <w:p w14:paraId="3E084B35" w14:textId="77777777" w:rsidR="00DB2B68" w:rsidRDefault="00000000">
      <w:r>
        <w:t>Les blocs de verre avec ventilation peuvent, le cas échéant, être comptés séparément comme</w:t>
      </w:r>
      <w:r>
        <w:br/>
        <w:t>supplément pour la surface des panneaux.</w:t>
      </w:r>
    </w:p>
    <w:p w14:paraId="5F3A15A1" w14:textId="77777777" w:rsidR="00DB2B68" w:rsidRDefault="00000000">
      <w:pPr>
        <w:pStyle w:val="pheading"/>
      </w:pPr>
      <w:r>
        <w:t>- Localisation</w:t>
      </w:r>
    </w:p>
    <w:p w14:paraId="525CB879" w14:textId="77777777" w:rsidR="00DB2B68" w:rsidRDefault="00000000">
      <w:r>
        <w:t xml:space="preserve">La pose est réalisée aux endroits suivants : </w:t>
      </w:r>
      <w:r>
        <w:rPr>
          <w:rStyle w:val="optioncarChar"/>
        </w:rPr>
        <w:t>***</w:t>
      </w:r>
      <w:r>
        <w:t>.</w:t>
      </w:r>
      <w:r>
        <w:br/>
        <w:t>Voir plans et métrés détaillés.</w:t>
      </w:r>
    </w:p>
    <w:p w14:paraId="4A1DE4E1" w14:textId="77777777" w:rsidR="00DB2B68" w:rsidRDefault="00000000">
      <w:pPr>
        <w:pStyle w:val="pheading"/>
      </w:pPr>
      <w:r>
        <w:t>MATÉRIAUX</w:t>
      </w:r>
    </w:p>
    <w:p w14:paraId="77E26D4B" w14:textId="77777777" w:rsidR="00DB2B68" w:rsidRDefault="00000000">
      <w:pPr>
        <w:pStyle w:val="pheading"/>
      </w:pPr>
      <w:r>
        <w:t>- Caractéristiques générales</w:t>
      </w:r>
    </w:p>
    <w:p w14:paraId="4487C31E" w14:textId="77777777" w:rsidR="00DB2B68" w:rsidRDefault="00000000">
      <w:pPr>
        <w:pStyle w:val="heading"/>
      </w:pPr>
      <w:r>
        <w:t>Spécifications</w:t>
      </w:r>
    </w:p>
    <w:p w14:paraId="27552CE4" w14:textId="77777777" w:rsidR="00DB2B68" w:rsidRDefault="00000000">
      <w:r>
        <w:t xml:space="preserve">Format des blocs de verre (mm) : </w:t>
      </w:r>
      <w:r>
        <w:rPr>
          <w:rStyle w:val="optioncarChar"/>
        </w:rPr>
        <w:t>145 x 145 x 55 / 190 x 190 x 80 </w:t>
      </w:r>
      <w:r>
        <w:t>(par défaut)</w:t>
      </w:r>
      <w:r>
        <w:rPr>
          <w:rStyle w:val="optioncarChar"/>
        </w:rPr>
        <w:t xml:space="preserve"> / 240 x 240 x 80 / 240 x 115 x 80 / 300 x 300 x 100 / *** x *** x ***</w:t>
      </w:r>
      <w:r>
        <w:t xml:space="preserve"> mm</w:t>
      </w:r>
    </w:p>
    <w:p w14:paraId="09A7FC40" w14:textId="77777777" w:rsidR="00DB2B68" w:rsidRDefault="00000000">
      <w:r>
        <w:t xml:space="preserve">Aspect des blocs de verre : </w:t>
      </w:r>
      <w:r>
        <w:rPr>
          <w:rStyle w:val="optioncarChar"/>
        </w:rPr>
        <w:t>lisse uni </w:t>
      </w:r>
      <w:r>
        <w:t>(par défaut)</w:t>
      </w:r>
      <w:r>
        <w:rPr>
          <w:rStyle w:val="optioncarChar"/>
        </w:rPr>
        <w:t xml:space="preserve"> / lisse strié / lisse ondé / ***</w:t>
      </w:r>
    </w:p>
    <w:p w14:paraId="0C84D96D" w14:textId="77777777" w:rsidR="00DB2B68" w:rsidRDefault="00000000">
      <w:r>
        <w:t>Valeur d'isolation acoustique : environ 36dB</w:t>
      </w:r>
    </w:p>
    <w:p w14:paraId="5F95EA96" w14:textId="77777777" w:rsidR="00DB2B68" w:rsidRDefault="00000000">
      <w:r>
        <w:t xml:space="preserve">Valeur d'isolation thermique : </w:t>
      </w:r>
      <w:r>
        <w:rPr>
          <w:shd w:val="clear" w:color="auto" w:fill="FFFFFF"/>
        </w:rPr>
        <w:t xml:space="preserve">k </w:t>
      </w:r>
      <w:r>
        <w:rPr>
          <w:u w:val="single"/>
          <w:shd w:val="clear" w:color="auto" w:fill="FFFFFF"/>
        </w:rPr>
        <w:t>&lt;</w:t>
      </w:r>
      <w:r>
        <w:rPr>
          <w:shd w:val="clear" w:color="auto" w:fill="FFFFFF"/>
        </w:rPr>
        <w:t xml:space="preserve"> 2.6 kcal/m2 </w:t>
      </w:r>
      <w:r>
        <w:t>(ne s'applique pas aux éléments de ventilation).</w:t>
      </w:r>
    </w:p>
    <w:p w14:paraId="15555AFB" w14:textId="77777777" w:rsidR="00DB2B68" w:rsidRDefault="00000000">
      <w:pPr>
        <w:pStyle w:val="pheading"/>
      </w:pPr>
      <w:r>
        <w:t>- Finitions</w:t>
      </w:r>
    </w:p>
    <w:p w14:paraId="06900489" w14:textId="77777777" w:rsidR="00DB2B68" w:rsidRDefault="00000000">
      <w:r>
        <w:t xml:space="preserve">Teinte des blocs de verre : </w:t>
      </w:r>
      <w:r>
        <w:rPr>
          <w:rStyle w:val="optioncarChar"/>
        </w:rPr>
        <w:t>transparentes claires </w:t>
      </w:r>
      <w:r>
        <w:t>(par défaut)</w:t>
      </w:r>
      <w:r>
        <w:rPr>
          <w:rStyle w:val="optioncarChar"/>
        </w:rPr>
        <w:t xml:space="preserve"> / ***</w:t>
      </w:r>
    </w:p>
    <w:p w14:paraId="5E0ABBD5" w14:textId="77777777" w:rsidR="00DB2B68" w:rsidRDefault="00000000">
      <w:pPr>
        <w:pStyle w:val="pheading"/>
      </w:pPr>
      <w:r>
        <w:t>- Prescriptions complémentaires</w:t>
      </w:r>
    </w:p>
    <w:p w14:paraId="5CD4BFD5" w14:textId="77777777" w:rsidR="00DB2B68" w:rsidRDefault="00000000">
      <w:r>
        <w:t xml:space="preserve">Eléments de ventilation : les blocs de verre avec ventilation répondent à la [NBN S 23-002] et ont une </w:t>
      </w:r>
      <w:r>
        <w:rPr>
          <w:rStyle w:val="optioncarChar"/>
        </w:rPr>
        <w:t>ouverture fixe / un clapet réglable / un clapet réglable avec moustiquaire</w:t>
      </w:r>
      <w:r>
        <w:t xml:space="preserve">, avec passage libre de l'air de </w:t>
      </w:r>
      <w:r>
        <w:rPr>
          <w:rStyle w:val="optioncarChar"/>
        </w:rPr>
        <w:t>25</w:t>
      </w:r>
      <w:r>
        <w:t> (par défaut)</w:t>
      </w:r>
      <w:r>
        <w:rPr>
          <w:rStyle w:val="optioncarChar"/>
        </w:rPr>
        <w:t xml:space="preserve"> / ***</w:t>
      </w:r>
      <w:r>
        <w:t xml:space="preserve"> %. L'application est conforme aux indications sur les plans et/ou aux dessins d'exécution.</w:t>
      </w:r>
    </w:p>
    <w:p w14:paraId="68D025F8" w14:textId="77777777" w:rsidR="00DB2B68" w:rsidRDefault="00000000">
      <w:r>
        <w:t xml:space="preserve">Si une façade vitrée domine des constructions, les toitures de ces constructions doivent répondre à </w:t>
      </w:r>
      <w:r>
        <w:rPr>
          <w:rStyle w:val="optioncarChar"/>
        </w:rPr>
        <w:t xml:space="preserve">E60 </w:t>
      </w:r>
      <w:r>
        <w:t>(par défaut) </w:t>
      </w:r>
      <w:r>
        <w:rPr>
          <w:rStyle w:val="optioncarChar"/>
        </w:rPr>
        <w:t xml:space="preserve">/ E120 / *** </w:t>
      </w:r>
      <w:r>
        <w:t>selon la [NBN EN 13501-2], sur une distance de 5m à partir de ces façades. Sinon, la façade ne peut pas être vitrée.</w:t>
      </w:r>
    </w:p>
    <w:p w14:paraId="144D81E6" w14:textId="77777777" w:rsidR="00DB2B68" w:rsidRDefault="00000000">
      <w:pPr>
        <w:pStyle w:val="pheading"/>
      </w:pPr>
      <w:r>
        <w:t>EXÉCUTION / MISE EN ŒUVRE</w:t>
      </w:r>
    </w:p>
    <w:p w14:paraId="7C7D101F" w14:textId="77777777" w:rsidR="00DB2B68" w:rsidRDefault="00000000">
      <w:pPr>
        <w:pStyle w:val="pheading"/>
      </w:pPr>
      <w:r>
        <w:t>- Prescriptions générales</w:t>
      </w:r>
    </w:p>
    <w:p w14:paraId="64E05E9C" w14:textId="77777777" w:rsidR="00DB2B68" w:rsidRDefault="00000000">
      <w:r>
        <w:lastRenderedPageBreak/>
        <w:t xml:space="preserve">Les blocs de verre isolés sont insérés dans la maçonnerie à l'aide de mortier de maçonnerie, les joints entre les blocs de verre présentent une épaisseur constante de </w:t>
      </w:r>
      <w:r>
        <w:rPr>
          <w:rStyle w:val="optioncarChar"/>
        </w:rPr>
        <w:t>10 </w:t>
      </w:r>
      <w:r>
        <w:t>(par défaut)</w:t>
      </w:r>
      <w:r>
        <w:rPr>
          <w:rStyle w:val="optioncarChar"/>
        </w:rPr>
        <w:t xml:space="preserve"> / ***</w:t>
      </w:r>
      <w:r>
        <w:t xml:space="preserve"> mm. Pendant la mise en œuvre, les blocs sont nettoyés et lissés, il est conseillé de les enduire préalablement d'une couche protectrice. Tous les joints sont lissés et doivent être étanches.</w:t>
      </w:r>
    </w:p>
    <w:p w14:paraId="0E9A6F80" w14:textId="77777777" w:rsidR="00DB2B68" w:rsidRDefault="00000000">
      <w:r>
        <w:t>Dans tous les joints verticaux et horizontaux, on prévoit des armatures, en fonction des sollicitations dues au vent. Tous les joints, tant verticaux qu'horizontaux, sont armés d'au moins deux barres BE 400 diamètre 5 mm; ces barres se situent à au moins 20 mm des faces extérieures.</w:t>
      </w:r>
    </w:p>
    <w:p w14:paraId="55B43965" w14:textId="77777777" w:rsidR="00DB2B68" w:rsidRDefault="00000000">
      <w:r>
        <w:t xml:space="preserve">La face inférieure et tous les autres bords incorporés reçoivent une bande bitumineuse d’une épaisseur de 1 cm. Lorsque la base repose sur un seuil approprié, une bande </w:t>
      </w:r>
      <w:r>
        <w:rPr>
          <w:shd w:val="clear" w:color="auto" w:fill="FFFFFF"/>
        </w:rPr>
        <w:t>de plomb</w:t>
      </w:r>
      <w:r>
        <w:t>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14:paraId="7E0AC4DC" w14:textId="77777777" w:rsidR="00DB2B68" w:rsidRDefault="00000000">
      <w:pPr>
        <w:ind w:left="750"/>
      </w:pPr>
      <w:r>
        <w:t> </w:t>
      </w:r>
    </w:p>
    <w:p w14:paraId="7E2F1EB5" w14:textId="77777777" w:rsidR="00DB2B68" w:rsidRDefault="00000000">
      <w:pPr>
        <w:pStyle w:val="pheading"/>
      </w:pPr>
      <w:r>
        <w:t>- Notes d’exécution complémentaires</w:t>
      </w:r>
    </w:p>
    <w:p w14:paraId="70BA1072" w14:textId="77777777" w:rsidR="00DB2B68" w:rsidRDefault="00000000">
      <w:r>
        <w:t>Les blocs de verre individuels ventilés sont intégrés dans la maçonnerie à l'aide de mortier de maçonnerie.</w:t>
      </w:r>
    </w:p>
    <w:p w14:paraId="2D15C7A6" w14:textId="77777777" w:rsidR="00DB2B68" w:rsidRDefault="00000000">
      <w:r>
        <w:t xml:space="preserve">A l'intérieur, les niches sont parachevées à l'aide </w:t>
      </w:r>
      <w:r>
        <w:rPr>
          <w:rStyle w:val="optioncarChar"/>
        </w:rPr>
        <w:t>d'un cimentage / d'un plafonnage</w:t>
      </w:r>
      <w:r>
        <w:t>.</w:t>
      </w:r>
    </w:p>
    <w:p w14:paraId="3798E3E0" w14:textId="77777777" w:rsidR="00DB2B68" w:rsidRDefault="00000000">
      <w:pPr>
        <w:pStyle w:val="pheading"/>
      </w:pPr>
      <w:r>
        <w:t>MESURAGE</w:t>
      </w:r>
    </w:p>
    <w:p w14:paraId="7F6AE788" w14:textId="77777777" w:rsidR="00DB2B68" w:rsidRDefault="00000000">
      <w:pPr>
        <w:pStyle w:val="pheading"/>
      </w:pPr>
      <w:r>
        <w:t>- unité de mesure:</w:t>
      </w:r>
    </w:p>
    <w:p w14:paraId="43414078" w14:textId="77777777" w:rsidR="00DB2B68" w:rsidRDefault="00000000">
      <w:pPr>
        <w:ind w:left="454"/>
      </w:pPr>
      <w:r>
        <w:rPr>
          <w:rStyle w:val="optioncarChar"/>
        </w:rPr>
        <w:t xml:space="preserve">m³ </w:t>
      </w:r>
      <w:r>
        <w:t>(par défaut)</w:t>
      </w:r>
      <w:r>
        <w:rPr>
          <w:rStyle w:val="optioncarChar"/>
        </w:rPr>
        <w:t xml:space="preserve"> / m²/ Pce</w:t>
      </w:r>
    </w:p>
    <w:p w14:paraId="3953235F" w14:textId="77777777" w:rsidR="00DB2B68" w:rsidRDefault="00000000">
      <w:pPr>
        <w:pStyle w:val="pheading"/>
      </w:pPr>
      <w:r>
        <w:t>- code de mesurage:</w:t>
      </w:r>
    </w:p>
    <w:p w14:paraId="4580BCF1"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6DD43B0"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17AA47C"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7904F219" w14:textId="77777777" w:rsidR="00DB2B68" w:rsidRDefault="00000000">
      <w:r>
        <w:rPr>
          <w:rStyle w:val="optioncarChar"/>
        </w:rPr>
        <w:t>Volume net </w:t>
      </w:r>
      <w:r>
        <w:t>(par défaut)</w:t>
      </w:r>
      <w:r>
        <w:rPr>
          <w:rStyle w:val="optioncarChar"/>
        </w:rPr>
        <w:t> / Surface nette</w:t>
      </w:r>
    </w:p>
    <w:p w14:paraId="4DC8AD1B" w14:textId="77777777" w:rsidR="00DB2B68" w:rsidRDefault="00000000">
      <w:r>
        <w:rPr>
          <w:b/>
        </w:rPr>
        <w:t>(soit par défaut)</w:t>
      </w:r>
    </w:p>
    <w:p w14:paraId="26A5C0BF"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FE0345B" w14:textId="77777777" w:rsidR="00DB2B68" w:rsidRDefault="00000000">
      <w:r>
        <w:rPr>
          <w:b/>
        </w:rPr>
        <w:t>(soit)</w:t>
      </w:r>
    </w:p>
    <w:p w14:paraId="17456027"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B866A85" w14:textId="77777777" w:rsidR="00DB2B68" w:rsidRDefault="00DB2B68"/>
    <w:p w14:paraId="4EB14C8D" w14:textId="77777777" w:rsidR="00DB2B68" w:rsidRDefault="00000000">
      <w:pPr>
        <w:pStyle w:val="pheading"/>
      </w:pPr>
      <w:r>
        <w:t>- nature du marché:</w:t>
      </w:r>
    </w:p>
    <w:p w14:paraId="02D2AE12" w14:textId="77777777" w:rsidR="00DB2B68" w:rsidRDefault="00000000">
      <w:r>
        <w:lastRenderedPageBreak/>
        <w:t>QF</w:t>
      </w:r>
    </w:p>
    <w:p w14:paraId="676C8AC7" w14:textId="77777777" w:rsidR="00DB2B68" w:rsidRDefault="00000000">
      <w:pPr>
        <w:pStyle w:val="pheading"/>
      </w:pPr>
      <w:r>
        <w:t>AIDE</w:t>
      </w:r>
    </w:p>
    <w:p w14:paraId="4A14F4DF" w14:textId="77777777" w:rsidR="00DB2B68" w:rsidRDefault="00000000">
      <w:r>
        <w:t>Support aux prescripteurs : [AR 1994-07-07] et [SWL GSI/T1/C] de la prévention passive .</w:t>
      </w:r>
    </w:p>
    <w:p w14:paraId="2102F42B" w14:textId="77777777" w:rsidR="00DB2B68" w:rsidRDefault="00000000">
      <w:pPr>
        <w:pStyle w:val="Author-eSectionHeading6Numberless"/>
      </w:pPr>
      <w:bookmarkStart w:id="229" w:name="_Toc220495361"/>
      <w:r>
        <w:t>21.25.1b Maçonneries non portantes en panneaux préfabriqués en blocs de verre CCTB 01.11</w:t>
      </w:r>
      <w:bookmarkEnd w:id="229"/>
    </w:p>
    <w:p w14:paraId="095DD158" w14:textId="77777777" w:rsidR="00DB2B68" w:rsidRDefault="00000000">
      <w:pPr>
        <w:pStyle w:val="pheading"/>
      </w:pPr>
      <w:r>
        <w:t>DESCRIPTION</w:t>
      </w:r>
    </w:p>
    <w:p w14:paraId="6F34C787" w14:textId="77777777" w:rsidR="00DB2B68" w:rsidRDefault="00000000">
      <w:pPr>
        <w:pStyle w:val="pheading"/>
      </w:pPr>
      <w:r>
        <w:t>- Définition / Comprend</w:t>
      </w:r>
    </w:p>
    <w:p w14:paraId="56D7667A" w14:textId="77777777" w:rsidR="00DB2B68" w:rsidRDefault="00000000">
      <w:r>
        <w:t xml:space="preserve">Il s’agit de la fourniture et la pose de maçonneries non portantes en panneaux préfabriqués de blocs de verre. </w:t>
      </w:r>
      <w:r>
        <w:br/>
        <w:t xml:space="preserve">La portée des travaux est décrite dans l’article </w:t>
      </w:r>
      <w:hyperlink w:anchor="400" w:history="1">
        <w:r>
          <w:rPr>
            <w:color w:val="0000EE"/>
          </w:rPr>
          <w:t>21.25.1 Maçonneries non portantes en ensembles de blocs de verre</w:t>
        </w:r>
      </w:hyperlink>
      <w:r>
        <w:t>.</w:t>
      </w:r>
      <w:r>
        <w:br/>
        <w:t>Les travaux comprennent également la fourniture et la pose des pièces d’angle, de terminaison et de rencontre.</w:t>
      </w:r>
    </w:p>
    <w:p w14:paraId="20832778" w14:textId="77777777" w:rsidR="00DB2B68" w:rsidRDefault="00000000">
      <w:r>
        <w:t>Les travaux comprennent également la fourniture et la pose des panneaux, des</w:t>
      </w:r>
      <w:r>
        <w:br/>
        <w:t>isolations périphériques, les couches d'étanchéité, les bavettes de plomb, les armatures, les solins, les accessoires, des pièces d’angle, de terminaison et de rencontre, jusqu'au rejointoiement</w:t>
      </w:r>
      <w:r>
        <w:br/>
        <w:t>complet et le ragréage à l'aide d'un mastic élastique.</w:t>
      </w:r>
    </w:p>
    <w:p w14:paraId="628DF591" w14:textId="77777777" w:rsidR="00DB2B68" w:rsidRDefault="00000000">
      <w:r>
        <w:t>Les blocs de verre avec ventilation peuvent, le cas échéant, être comptés séparément comme</w:t>
      </w:r>
      <w:r>
        <w:br/>
        <w:t>supplément pour la surface des panneaux.</w:t>
      </w:r>
    </w:p>
    <w:p w14:paraId="7B12A6BF" w14:textId="77777777" w:rsidR="00DB2B68" w:rsidRDefault="00000000">
      <w:pPr>
        <w:pStyle w:val="pheading"/>
      </w:pPr>
      <w:r>
        <w:t>- Localisation</w:t>
      </w:r>
    </w:p>
    <w:p w14:paraId="1593DCE2" w14:textId="77777777" w:rsidR="00DB2B68" w:rsidRDefault="00000000">
      <w:r>
        <w:t>La pose est réalisée aux endroits suivants :</w:t>
      </w:r>
      <w:r>
        <w:rPr>
          <w:rStyle w:val="optioncarChar"/>
        </w:rPr>
        <w:t xml:space="preserve"> ***</w:t>
      </w:r>
      <w:r>
        <w:t>.</w:t>
      </w:r>
      <w:r>
        <w:br/>
        <w:t>Voir plans et métrés détaillés.</w:t>
      </w:r>
    </w:p>
    <w:p w14:paraId="648D885D" w14:textId="77777777" w:rsidR="00DB2B68" w:rsidRDefault="00000000">
      <w:pPr>
        <w:pStyle w:val="pheading"/>
      </w:pPr>
      <w:r>
        <w:t>MATÉRIAUX</w:t>
      </w:r>
    </w:p>
    <w:p w14:paraId="24B555D1" w14:textId="77777777" w:rsidR="00DB2B68" w:rsidRDefault="00000000">
      <w:pPr>
        <w:pStyle w:val="pheading"/>
      </w:pPr>
      <w:r>
        <w:t>- Caractéristiques générales</w:t>
      </w:r>
    </w:p>
    <w:p w14:paraId="5BA9FA55" w14:textId="77777777" w:rsidR="00DB2B68" w:rsidRDefault="00000000">
      <w:r>
        <w:t>Il s'agit de blocs de verre préassemblés dans des cadres préfabriqués sur mesure, en vue de constituer des panneaux. Le montage est effectué par une firme spécialisée. Latéralement, les panneaux sont ancrés dans la maçonnerie à l'aide d'armatures dépassantes, d'un diamètre d'environ 1 cm; ces armatures permettent la fixation des panneaux et sont maçonnées dans la maçonnerie attenante. L'entrepreneur soumet les notes de calcul et les détails d'exécution des panneaux préfabriqués en blocs de verre pour approbation à l'auteur de projet. Ils respectent la [NBN S 23-002] et la [NBN EN 1991-1-4] en ce qui concerne l'étanchéité des murs extérieurs.</w:t>
      </w:r>
    </w:p>
    <w:p w14:paraId="22F56CB1" w14:textId="77777777" w:rsidR="00DB2B68" w:rsidRDefault="00000000">
      <w:pPr>
        <w:pStyle w:val="heading"/>
      </w:pPr>
      <w:r>
        <w:t>Spécifications</w:t>
      </w:r>
    </w:p>
    <w:p w14:paraId="3C5785A9" w14:textId="77777777" w:rsidR="00DB2B68" w:rsidRDefault="00000000">
      <w:r>
        <w:t>Cadre : cadre en béton d'au moins</w:t>
      </w:r>
      <w:r>
        <w:rPr>
          <w:rStyle w:val="optioncarChar"/>
        </w:rPr>
        <w:t xml:space="preserve"> 5 </w:t>
      </w:r>
      <w:r>
        <w:t>(par défaut)</w:t>
      </w:r>
      <w:r>
        <w:rPr>
          <w:rStyle w:val="optioncarChar"/>
        </w:rPr>
        <w:t xml:space="preserve"> / *** cm de largeur.</w:t>
      </w:r>
    </w:p>
    <w:p w14:paraId="04AF898D" w14:textId="77777777" w:rsidR="00DB2B68" w:rsidRDefault="00000000">
      <w:r>
        <w:t xml:space="preserve">Dimensions du cadre (cm) : </w:t>
      </w:r>
      <w:r>
        <w:rPr>
          <w:rStyle w:val="optioncarChar"/>
        </w:rPr>
        <w:t>selon les indications sur les plans </w:t>
      </w:r>
      <w:r>
        <w:t xml:space="preserve">(par défaut) </w:t>
      </w:r>
      <w:r>
        <w:rPr>
          <w:rStyle w:val="optioncarChar"/>
        </w:rPr>
        <w:t>/ *** x ***</w:t>
      </w:r>
      <w:r>
        <w:t> </w:t>
      </w:r>
    </w:p>
    <w:p w14:paraId="5D3CA1F0" w14:textId="77777777" w:rsidR="00DB2B68" w:rsidRDefault="00000000">
      <w:r>
        <w:t xml:space="preserve">Format des blocs de verre (mm) : </w:t>
      </w:r>
      <w:r>
        <w:rPr>
          <w:rStyle w:val="optioncarChar"/>
        </w:rPr>
        <w:t>145 x 145 x 55 / 190 x 190 x 80 </w:t>
      </w:r>
      <w:r>
        <w:t>(par défaut)</w:t>
      </w:r>
      <w:r>
        <w:rPr>
          <w:rStyle w:val="optioncarChar"/>
        </w:rPr>
        <w:t> / 240 x 240 x 80 / 240 x 115 x 80 / 300 x 300 x 100 / *** x *** x ***</w:t>
      </w:r>
    </w:p>
    <w:p w14:paraId="7A1D6B78" w14:textId="77777777" w:rsidR="00DB2B68" w:rsidRDefault="00000000">
      <w:r>
        <w:t xml:space="preserve">Aspect des blocs de verre : </w:t>
      </w:r>
      <w:r>
        <w:rPr>
          <w:rStyle w:val="optioncarChar"/>
        </w:rPr>
        <w:t>lisse uni </w:t>
      </w:r>
      <w:r>
        <w:t>(par défaut)</w:t>
      </w:r>
      <w:r>
        <w:rPr>
          <w:rStyle w:val="optioncarChar"/>
        </w:rPr>
        <w:t xml:space="preserve"> / lisse strié / lisse ondé / ***</w:t>
      </w:r>
    </w:p>
    <w:p w14:paraId="55B0E164" w14:textId="77777777" w:rsidR="00DB2B68" w:rsidRDefault="00000000">
      <w:pPr>
        <w:ind w:left="750"/>
      </w:pPr>
      <w:r>
        <w:t> </w:t>
      </w:r>
    </w:p>
    <w:p w14:paraId="7DC38A79" w14:textId="77777777" w:rsidR="00DB2B68" w:rsidRDefault="00000000">
      <w:pPr>
        <w:pStyle w:val="pheading"/>
      </w:pPr>
      <w:r>
        <w:t>- Finitions</w:t>
      </w:r>
    </w:p>
    <w:p w14:paraId="51A4394B" w14:textId="77777777" w:rsidR="00DB2B68" w:rsidRDefault="00000000">
      <w:r>
        <w:t xml:space="preserve">Teinte des blocs de verre : </w:t>
      </w:r>
      <w:r>
        <w:rPr>
          <w:rStyle w:val="optioncarChar"/>
        </w:rPr>
        <w:t>transparentes claires</w:t>
      </w:r>
      <w:r>
        <w:t xml:space="preserve"> (par défaut)</w:t>
      </w:r>
      <w:r>
        <w:rPr>
          <w:rStyle w:val="optioncarChar"/>
        </w:rPr>
        <w:t> / ***</w:t>
      </w:r>
    </w:p>
    <w:p w14:paraId="2436DD78" w14:textId="77777777" w:rsidR="00DB2B68" w:rsidRDefault="00000000">
      <w:pPr>
        <w:pStyle w:val="pheading"/>
      </w:pPr>
      <w:r>
        <w:t>- Prescriptions complémentaires</w:t>
      </w:r>
    </w:p>
    <w:p w14:paraId="67DB1BA9" w14:textId="77777777" w:rsidR="00DB2B68" w:rsidRDefault="00000000">
      <w:r>
        <w:t xml:space="preserve">Eléments de ventilation : les blocs de verre ventilées répondent à la [NBN S 23-002] et présentent </w:t>
      </w:r>
      <w:r>
        <w:rPr>
          <w:rStyle w:val="optioncarChar"/>
        </w:rPr>
        <w:t>une ouverture fixe / un clapet réglable / un clapet réglable avec moustiquaire</w:t>
      </w:r>
      <w:r>
        <w:t xml:space="preserve">, passage libre de l'air de </w:t>
      </w:r>
      <w:r>
        <w:rPr>
          <w:rStyle w:val="optioncarChar"/>
        </w:rPr>
        <w:lastRenderedPageBreak/>
        <w:t xml:space="preserve">25 </w:t>
      </w:r>
      <w:r>
        <w:t>(par défaut) </w:t>
      </w:r>
      <w:r>
        <w:rPr>
          <w:rStyle w:val="optioncarChar"/>
        </w:rPr>
        <w:t xml:space="preserve">/ *** </w:t>
      </w:r>
      <w:r>
        <w:t>%. L'application est conforme aux indications sur les plans et/ou aux dessins de d'exécution.</w:t>
      </w:r>
    </w:p>
    <w:p w14:paraId="5BC0FEC8" w14:textId="77777777" w:rsidR="00DB2B68" w:rsidRDefault="00000000">
      <w:r>
        <w:t>On pose une bande de polystyrène extrudé d'une épaisseur de 15 mm sur les côtés et de 25 mm au-dessus des panneaux préfabriqués</w:t>
      </w:r>
    </w:p>
    <w:p w14:paraId="15FB1713" w14:textId="77777777" w:rsidR="00DB2B68" w:rsidRDefault="00000000">
      <w:r>
        <w:t xml:space="preserve">Si une façade vitrée domine des constructions, les toitures de ces constructions doivent répondre à </w:t>
      </w:r>
      <w:r>
        <w:rPr>
          <w:rStyle w:val="optioncarChar"/>
        </w:rPr>
        <w:t>E60 </w:t>
      </w:r>
      <w:r>
        <w:t>(par défaut) </w:t>
      </w:r>
      <w:r>
        <w:rPr>
          <w:rStyle w:val="optioncarChar"/>
        </w:rPr>
        <w:t xml:space="preserve">/ E120 </w:t>
      </w:r>
      <w:r>
        <w:t>selon la [NBN EN 13501-2], sur une distance de 5m à partir de ces façades. Sinon, la façade ne peut pas être vitrée.</w:t>
      </w:r>
    </w:p>
    <w:p w14:paraId="5CB0F444" w14:textId="77777777" w:rsidR="00DB2B68" w:rsidRDefault="00000000">
      <w:pPr>
        <w:ind w:left="750"/>
      </w:pPr>
      <w:r>
        <w:t> </w:t>
      </w:r>
    </w:p>
    <w:p w14:paraId="0B97AFAB" w14:textId="77777777" w:rsidR="00DB2B68" w:rsidRDefault="00000000">
      <w:pPr>
        <w:pStyle w:val="pheading"/>
      </w:pPr>
      <w:r>
        <w:t>EXÉCUTION / MISE EN ŒUVRE</w:t>
      </w:r>
    </w:p>
    <w:p w14:paraId="553AFA3A" w14:textId="77777777" w:rsidR="00DB2B68" w:rsidRDefault="00000000">
      <w:pPr>
        <w:pStyle w:val="pheading"/>
      </w:pPr>
      <w:r>
        <w:t>- Prescriptions générales</w:t>
      </w:r>
    </w:p>
    <w:p w14:paraId="529E6B5F" w14:textId="77777777" w:rsidR="00DB2B68" w:rsidRDefault="00000000">
      <w:r>
        <w:t> L'ancrage et la pose des panneaux en briques de verre s'effectuent conformément aux directives du fabricant des blocs de verre et de l'entreprise spécialisée. La construction est totalement indépendante de l'ouvrage de gros-œuvre et ne peut en aucun cas subir les sollicitations et les tassements du gros-œuvre. A cet effet, on insère au-dessus et sur les côtés un joint de dilatation en matériau extrêmement compressible (par exemple, un mastic de polysulfide à deux composantes), d'une épaisseur d'environ 10 mm (au-dessus 15 mm). Les joints sont lissés et doivent à la fois rester étanches à l'eau et conserver leur élasticité. La couleur est déterminée par l'auteur de projet.</w:t>
      </w:r>
    </w:p>
    <w:p w14:paraId="2289EF5C" w14:textId="77777777" w:rsidR="00DB2B68" w:rsidRDefault="00000000">
      <w:pPr>
        <w:pStyle w:val="pheading"/>
      </w:pPr>
      <w:r>
        <w:t>- Notes d’exécution complémentaires</w:t>
      </w:r>
    </w:p>
    <w:p w14:paraId="20B059B7" w14:textId="77777777" w:rsidR="00DB2B68" w:rsidRDefault="00000000">
      <w:r>
        <w:t>Les joints périphériques sont rembourrés à l'aide d'un matériau isolant approprié.</w:t>
      </w:r>
    </w:p>
    <w:p w14:paraId="286E8B49" w14:textId="77777777" w:rsidR="00DB2B68" w:rsidRDefault="00000000">
      <w:r>
        <w:t>Les bords inférieurs sont pourvus d'une couche hydrofuge, c'est-à-dire d’une bande de bitume et d’une bavette de plomb continue</w:t>
      </w:r>
      <w:r>
        <w:rPr>
          <w:color w:val="FF0000"/>
        </w:rPr>
        <w:t>.</w:t>
      </w:r>
    </w:p>
    <w:p w14:paraId="33E24623" w14:textId="77777777" w:rsidR="00DB2B68" w:rsidRDefault="00000000">
      <w:r>
        <w:t>Les blocs de verre ventilés sont intégrés dans les panneaux préfabriqués selon les indications sur les plans et/ou les dessins de détail.</w:t>
      </w:r>
    </w:p>
    <w:p w14:paraId="0AA985A9" w14:textId="77777777" w:rsidR="00DB2B68" w:rsidRDefault="00000000">
      <w:pPr>
        <w:pStyle w:val="pheading"/>
      </w:pPr>
      <w:r>
        <w:t>MESURAGE</w:t>
      </w:r>
    </w:p>
    <w:p w14:paraId="247948D0" w14:textId="77777777" w:rsidR="00DB2B68" w:rsidRDefault="00000000">
      <w:pPr>
        <w:pStyle w:val="pheading"/>
      </w:pPr>
      <w:r>
        <w:t>- unité de mesure:</w:t>
      </w:r>
    </w:p>
    <w:p w14:paraId="5BEB11AD" w14:textId="77777777" w:rsidR="00DB2B68" w:rsidRDefault="00000000">
      <w:r>
        <w:rPr>
          <w:rStyle w:val="optioncarChar"/>
        </w:rPr>
        <w:t>m³ </w:t>
      </w:r>
      <w:r>
        <w:t>(par défaut)</w:t>
      </w:r>
      <w:r>
        <w:rPr>
          <w:rStyle w:val="optioncarChar"/>
        </w:rPr>
        <w:t> / m²</w:t>
      </w:r>
    </w:p>
    <w:p w14:paraId="641209F0" w14:textId="77777777" w:rsidR="00DB2B68" w:rsidRDefault="00000000">
      <w:r>
        <w:rPr>
          <w:b/>
        </w:rPr>
        <w:t>(soit par défaut)</w:t>
      </w:r>
    </w:p>
    <w:p w14:paraId="23143234" w14:textId="77777777" w:rsidR="00DB2B68" w:rsidRDefault="00000000">
      <w:r>
        <w:rPr>
          <w:rStyle w:val="soitChar"/>
        </w:rPr>
        <w:t>1. m³</w:t>
      </w:r>
    </w:p>
    <w:p w14:paraId="58D6AB96" w14:textId="77777777" w:rsidR="00DB2B68" w:rsidRDefault="00000000">
      <w:r>
        <w:rPr>
          <w:b/>
        </w:rPr>
        <w:t>(soit)</w:t>
      </w:r>
    </w:p>
    <w:p w14:paraId="3E818A42" w14:textId="77777777" w:rsidR="00DB2B68" w:rsidRDefault="00000000">
      <w:r>
        <w:rPr>
          <w:rStyle w:val="soitChar"/>
        </w:rPr>
        <w:t>2. m²</w:t>
      </w:r>
    </w:p>
    <w:p w14:paraId="0AA1EDFB" w14:textId="77777777" w:rsidR="00DB2B68" w:rsidRDefault="00000000">
      <w:pPr>
        <w:pStyle w:val="pheading"/>
      </w:pPr>
      <w:r>
        <w:t>- code de mesurage:</w:t>
      </w:r>
    </w:p>
    <w:p w14:paraId="01336E29" w14:textId="77777777" w:rsidR="00DB2B68"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D15C24F" w14:textId="77777777" w:rsidR="00DB2B68"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6CC1902" w14:textId="77777777" w:rsidR="00DB2B68" w:rsidRDefault="00000000">
      <w:r>
        <w:t xml:space="preserve">L'appui des dalles de sol sur le mur porteur de contre-façade n'est pas déduit mais compté comme ouvrage de maçonnerie ; par contre, les murs intérieurs porteurs sont mesurés entre les planchers (voir </w:t>
      </w:r>
      <w:hyperlink w:anchor="88" w:history="1">
        <w:r>
          <w:rPr>
            <w:color w:val="0000EE"/>
          </w:rPr>
          <w:t>22.15 Planchers en béton</w:t>
        </w:r>
      </w:hyperlink>
      <w:r>
        <w:t>).</w:t>
      </w:r>
      <w:r>
        <w:br/>
        <w:t>La maçonnerie autour des conduits de fumée et de ventilation est mesurée comme un mur plein pour les fourreaux jusqu'à une section de 0,12 m2.</w:t>
      </w:r>
    </w:p>
    <w:p w14:paraId="4EE82B91" w14:textId="77777777" w:rsidR="00DB2B68" w:rsidRDefault="00000000">
      <w:r>
        <w:rPr>
          <w:rStyle w:val="optioncarChar"/>
        </w:rPr>
        <w:t>Volume net </w:t>
      </w:r>
      <w:r>
        <w:t>(par défaut)</w:t>
      </w:r>
      <w:r>
        <w:rPr>
          <w:rStyle w:val="optioncarChar"/>
        </w:rPr>
        <w:t> / Surface nette</w:t>
      </w:r>
    </w:p>
    <w:p w14:paraId="3BDC46EC" w14:textId="77777777" w:rsidR="00DB2B68" w:rsidRDefault="00000000">
      <w:r>
        <w:rPr>
          <w:b/>
        </w:rPr>
        <w:lastRenderedPageBreak/>
        <w:t>(soit par défaut)</w:t>
      </w:r>
    </w:p>
    <w:p w14:paraId="0C999F22" w14:textId="77777777" w:rsidR="00DB2B68"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C7A9531" w14:textId="77777777" w:rsidR="00DB2B68" w:rsidRDefault="00000000">
      <w:r>
        <w:rPr>
          <w:b/>
        </w:rPr>
        <w:t>(soit)</w:t>
      </w:r>
    </w:p>
    <w:p w14:paraId="05BA81B3" w14:textId="77777777" w:rsidR="00DB2B68"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F0E5E1B" w14:textId="77777777" w:rsidR="00DB2B68" w:rsidRDefault="00000000">
      <w:pPr>
        <w:ind w:left="750"/>
      </w:pPr>
      <w:r>
        <w:t> </w:t>
      </w:r>
    </w:p>
    <w:p w14:paraId="453D26D9" w14:textId="77777777" w:rsidR="00DB2B68" w:rsidRDefault="00000000">
      <w:pPr>
        <w:pStyle w:val="pheading"/>
      </w:pPr>
      <w:r>
        <w:t>- nature du marché:</w:t>
      </w:r>
    </w:p>
    <w:p w14:paraId="56082208" w14:textId="77777777" w:rsidR="00DB2B68" w:rsidRDefault="00000000">
      <w:r>
        <w:t>QF</w:t>
      </w:r>
    </w:p>
    <w:p w14:paraId="110E6686" w14:textId="77777777" w:rsidR="00DB2B68" w:rsidRDefault="00000000">
      <w:pPr>
        <w:pStyle w:val="pheading"/>
      </w:pPr>
      <w:r>
        <w:t>AIDE</w:t>
      </w:r>
    </w:p>
    <w:p w14:paraId="707FDF72" w14:textId="77777777" w:rsidR="00DB2B68" w:rsidRDefault="00000000">
      <w:r>
        <w:t>Support aux prescripteurs : [AR 1994-07-07] et [SWL GSI/T1/C] de la prévention passive.</w:t>
      </w:r>
    </w:p>
    <w:p w14:paraId="74ABFE2A" w14:textId="77777777" w:rsidR="00DB2B68" w:rsidRDefault="00000000">
      <w:pPr>
        <w:pStyle w:val="Author-eSectionHeading3Numberless"/>
      </w:pPr>
      <w:bookmarkStart w:id="230" w:name="_Toc220495362"/>
      <w:r>
        <w:t>21.3 Maçonneries de parement CCTB 01.11</w:t>
      </w:r>
      <w:bookmarkEnd w:id="230"/>
    </w:p>
    <w:p w14:paraId="054284E0" w14:textId="77777777" w:rsidR="00DB2B68" w:rsidRDefault="00000000">
      <w:pPr>
        <w:pStyle w:val="pheading"/>
      </w:pPr>
      <w:bookmarkStart w:id="231" w:name="381"/>
      <w:bookmarkEnd w:id="231"/>
      <w:r>
        <w:t>DESCRIPTION</w:t>
      </w:r>
    </w:p>
    <w:p w14:paraId="63F04357" w14:textId="77777777" w:rsidR="00DB2B68" w:rsidRDefault="00000000">
      <w:pPr>
        <w:pStyle w:val="pheading"/>
      </w:pPr>
      <w:r>
        <w:t>- Définition / Comprend</w:t>
      </w:r>
    </w:p>
    <w:p w14:paraId="135442C4" w14:textId="77777777" w:rsidR="00DB2B68" w:rsidRDefault="00000000">
      <w:r>
        <w:t>Ce poste comprend tous les éléments, travaux et fournitures pour les ouvrages de maçonnerie de parement décrits dans le cahier spécial des charges, y compris toutes les sujétions d'exécution en fonction de la nature de l'application et/ou de la composition.</w:t>
      </w:r>
    </w:p>
    <w:p w14:paraId="22920ABC" w14:textId="77777777" w:rsidR="00DB2B68" w:rsidRDefault="00000000">
      <w:r>
        <w:rPr>
          <w:rStyle w:val="normalChar"/>
          <w:color w:val="000000"/>
        </w:rPr>
        <w:t xml:space="preserve">Ce poste concerne les murs de parement non porteurs des murs creux (intérieurs ou extérieurs). </w:t>
      </w:r>
      <w:r>
        <w:br/>
      </w:r>
    </w:p>
    <w:p w14:paraId="57B2843E" w14:textId="77777777" w:rsidR="00DB2B68" w:rsidRDefault="00000000">
      <w:pPr>
        <w:pStyle w:val="pheading"/>
      </w:pPr>
      <w:r>
        <w:t>MATÉRIAUX</w:t>
      </w:r>
    </w:p>
    <w:p w14:paraId="76883655" w14:textId="77777777" w:rsidR="00DB2B68" w:rsidRDefault="00000000">
      <w:pPr>
        <w:spacing w:line="259" w:lineRule="auto"/>
      </w:pPr>
      <w:r>
        <w:rPr>
          <w:rStyle w:val="headingChar"/>
        </w:rPr>
        <w:t>A. ELEMENTS DE MACONNERIE</w:t>
      </w:r>
    </w:p>
    <w:p w14:paraId="629945BA" w14:textId="77777777" w:rsidR="00DB2B68" w:rsidRDefault="00DB2B68"/>
    <w:p w14:paraId="2D14CB4F" w14:textId="77777777" w:rsidR="00DB2B68" w:rsidRDefault="00000000">
      <w:pPr>
        <w:spacing w:line="259" w:lineRule="auto"/>
      </w:pPr>
      <w:r>
        <w:rPr>
          <w:rStyle w:val="normalChar"/>
          <w:color w:val="000000"/>
        </w:rPr>
        <w:t>Les éléments de maçonnerie qui présentent des défauts ou endommagements sont refusés à moins de pouvoir les utiliser partiellement (‘demi-brique’ par exemple). Le pourcentage de tels éléments est limité (voir définitions et limitations dans la [STS 22 série] et la [NIT 271]). Lorsque la livraison ne respecte pas cette limite, contact est pris avec le fournisseur en vue de refuser la livraison. Le triage préalable des éléments à cet égard ne fait pas partie des travaux normaux sauf mention contraire dans le cahier spécial des charges. Les briques de parement sont exemptes de crevasses, d'écornures ou d'épaufrures. Les éléments cassés ou ceux qui présentent des traces d'incuits, les éléments d'aspect ou de forme irrégulière sont refusés. Lorsque toute une livraison est refusée, l'entrepreneur a le droit de trier les briques sur chantier et d'évacuer les briques refusées en dehors du chantier.</w:t>
      </w:r>
    </w:p>
    <w:p w14:paraId="11C86E45" w14:textId="77777777" w:rsidR="00DB2B68" w:rsidRDefault="00000000">
      <w:r>
        <w:rPr>
          <w:rStyle w:val="normalChar"/>
          <w:color w:val="000000"/>
        </w:rPr>
        <w:t> </w:t>
      </w:r>
    </w:p>
    <w:p w14:paraId="513AF501" w14:textId="77777777" w:rsidR="00DB2B68" w:rsidRDefault="00000000">
      <w:r>
        <w:rPr>
          <w:rStyle w:val="headingChar"/>
        </w:rPr>
        <w:t>B. MORTIERS DE MACONNERIE</w:t>
      </w:r>
    </w:p>
    <w:p w14:paraId="5DD5FA15" w14:textId="77777777" w:rsidR="00DB2B68" w:rsidRDefault="00000000">
      <w:pPr>
        <w:pStyle w:val="heading"/>
      </w:pPr>
      <w:r>
        <w:t>composants des mortiers dosés in situ</w:t>
      </w:r>
    </w:p>
    <w:p w14:paraId="74E7E5D8" w14:textId="77777777" w:rsidR="00DB2B68" w:rsidRDefault="00000000">
      <w:r>
        <w:t>Le mortier doit être fabriqué à l'aide de sable rugueux (les sables gras ou argileux ainsi que les sables fins sont déconseillés). Le module de finesse du sable est compris entre 1-1,9. Le sable ne peut pas contenir plus de 0,05% de matières organiques et doit être exempt de substances solubles et non-solubles telles que les restes d'argile, les sulfates, les sels de fer, … Il doit en outre être stocké de manière à ne pas pouvoir être sali par des substances étrangères.</w:t>
      </w:r>
    </w:p>
    <w:p w14:paraId="7F699716" w14:textId="77777777" w:rsidR="00DB2B68" w:rsidRDefault="00000000">
      <w:r>
        <w:t>Le pourcentage d'eau de gâchage est de 30 à 35 % du volume total; l'eau ne peut pas être polluée par des matières organiques, des acides, des sels, des alcali, des sucres, des déchets industriels ou autres qui risquent de nuire à la résistance ou à la durabilité du mortier.</w:t>
      </w:r>
    </w:p>
    <w:p w14:paraId="10D61E82" w14:textId="77777777" w:rsidR="00DB2B68" w:rsidRDefault="00000000">
      <w:r>
        <w:lastRenderedPageBreak/>
        <w:t>Les adjuvants sont uniquement autorisés avec l'accord préalable de l'auteur de projet. Leur utilisation et le dosage exact doivent correspondre aux directives du fournisseur et aux normes de la série [NBN EN 934-1]. Les retardateurs de prise sont interdits.</w:t>
      </w:r>
    </w:p>
    <w:p w14:paraId="015D09EB" w14:textId="77777777" w:rsidR="00DB2B68" w:rsidRDefault="00000000">
      <w:r>
        <w:t>L'entrepreneur prend les précautions nécessaires pour protéger le mortier contre les influences atmosphériques. Il est interdit d'utiliser du mortier bâtard par temps de gel. Seul l'usage modéré et bien dosé d'agents moussants est alors autorisé.</w:t>
      </w:r>
    </w:p>
    <w:p w14:paraId="695221AF" w14:textId="77777777" w:rsidR="00DB2B68" w:rsidRDefault="00000000">
      <w:r>
        <w:t> </w:t>
      </w:r>
    </w:p>
    <w:p w14:paraId="0EE321F3" w14:textId="77777777" w:rsidR="00DB2B68" w:rsidRDefault="00000000">
      <w:pPr>
        <w:pStyle w:val="heading"/>
      </w:pPr>
      <w:r>
        <w:t>C. MORTIERS DE REJOINTOIEMENT</w:t>
      </w:r>
    </w:p>
    <w:p w14:paraId="3A9A3162" w14:textId="77777777" w:rsidR="00DB2B68" w:rsidRDefault="00000000">
      <w:r>
        <w:t>Le mortier de rejointoiement doit être adapté à la nature des briques aux caractéristiques du mortier de pose. Sous sa seule responsabilité, l'entrepreneur étudie les mortiers de pose et de rejointoiement afin de s'assurer de leur compatibilité. L'entrepreneur est responsable de la bonne adhérence des joints.</w:t>
      </w:r>
    </w:p>
    <w:p w14:paraId="486548BB" w14:textId="77777777" w:rsidR="00DB2B68" w:rsidRDefault="00000000">
      <w:r>
        <w:t>Le mortier de rejointoiement contient les adjuvants nécessaires afin d'assurer les performances suivantes : une bonne adhérence, des couleurs inaltérables, l'étanchéité dans la masse, une bonne résistance au retrait et aux fissures, l'absence de faïençage, d'efflorescences et de taches de rouille.</w:t>
      </w:r>
    </w:p>
    <w:p w14:paraId="70A3F663" w14:textId="77777777" w:rsidR="00DB2B68" w:rsidRDefault="00000000">
      <w:r>
        <w:t>Détermination de la couleur des joints : Trois échantillons de couleur, texture et forme différente du joint sont appliqués sur une surface d'essai d'environ 70 x 40 cm. Sur la base de ces modèles, l'auteur de projet et le maître de l'ouvrage choisissent le type de joint définitif. Le mélange est suffisamment homogène pour garantir une teinte uniforme sur toute la surface.</w:t>
      </w:r>
    </w:p>
    <w:p w14:paraId="5D30269B" w14:textId="77777777" w:rsidR="00DB2B68" w:rsidRDefault="00000000">
      <w:pPr>
        <w:pStyle w:val="Author-eListParagraph"/>
        <w:numPr>
          <w:ilvl w:val="0"/>
          <w:numId w:val="229"/>
        </w:numPr>
      </w:pPr>
      <w:r>
        <w:t>Mortier bâtard : composition </w:t>
      </w:r>
      <w:r>
        <w:rPr>
          <w:rStyle w:val="normalChar"/>
          <w:color w:val="000000"/>
        </w:rPr>
        <w:t xml:space="preserve">voir [NIT 208]. Choix : </w:t>
      </w:r>
      <w:r>
        <w:rPr>
          <w:rStyle w:val="optioncarChar"/>
          <w:color w:val="000000"/>
        </w:rPr>
        <w:t>***/non spécifié (par défaut)</w:t>
      </w:r>
    </w:p>
    <w:p w14:paraId="1B45DEDA" w14:textId="77777777" w:rsidR="00DB2B68" w:rsidRDefault="00000000">
      <w:pPr>
        <w:pStyle w:val="Author-eListParagraph"/>
        <w:numPr>
          <w:ilvl w:val="0"/>
          <w:numId w:val="229"/>
        </w:numPr>
      </w:pPr>
      <w:r>
        <w:t>Mortier d'usine : mortier spécial pour le rejointoiement, constitué d'un mélange complet, fabriqué à sec en usine auquel, pour la mise en œuvre, il suffit d'ajouter de l'eau claire, à l'exclusion de toute autre matière première. Le produit est livré en sac de papier hydrofuge. L'emballage mentionne clairement le nom du produit, sa provenance et la composition du mortier. Le mortier est régi par les dispositions de la [NBN EN 998-2] .</w:t>
      </w:r>
    </w:p>
    <w:p w14:paraId="6283232A" w14:textId="77777777" w:rsidR="00DB2B68" w:rsidRDefault="00000000">
      <w:r>
        <w:t>L'auteur de projet est toujours libre d'exiger un mélange de plusieurs produits de la gamme de fabrication afin d'obtenir la couleur souhaitée. </w:t>
      </w:r>
    </w:p>
    <w:p w14:paraId="5BE8F785" w14:textId="77777777" w:rsidR="00DB2B68" w:rsidRDefault="00000000">
      <w:pPr>
        <w:pStyle w:val="heading"/>
      </w:pPr>
      <w:r>
        <w:t>D. CROCHETS DE MUR</w:t>
      </w:r>
    </w:p>
    <w:p w14:paraId="136C8D6C" w14:textId="77777777" w:rsidR="00DB2B68" w:rsidRDefault="00000000">
      <w:pPr>
        <w:spacing w:line="259" w:lineRule="auto"/>
      </w:pPr>
      <w:r>
        <w:rPr>
          <w:rStyle w:val="normalChar"/>
          <w:color w:val="000000"/>
        </w:rPr>
        <w:t xml:space="preserve">Les crochets de mur sont fabriqués en acier galvanisé à chaud, en acier galvanisé revêtu d'une couche de protection époxy, et en acier inoxydable 18/8 ou 18/10 . Ils sont conformes à la [NBN EN 845-1:2013+A1]. </w:t>
      </w:r>
    </w:p>
    <w:p w14:paraId="467A357C" w14:textId="77777777" w:rsidR="00DB2B68" w:rsidRDefault="00000000">
      <w:pPr>
        <w:spacing w:line="259" w:lineRule="auto"/>
      </w:pPr>
      <w:r>
        <w:rPr>
          <w:rStyle w:val="normalChar"/>
          <w:color w:val="000000"/>
        </w:rPr>
        <w:t>Leur nature (référence du matériau) est choisie en fonction de la classe d’exposition de la maçonnerie conformément à la [NBN EN 1996-2]</w:t>
      </w:r>
    </w:p>
    <w:p w14:paraId="5962BA4D" w14:textId="77777777" w:rsidR="00DB2B68" w:rsidRDefault="00000000">
      <w:pPr>
        <w:spacing w:line="259" w:lineRule="auto"/>
      </w:pPr>
      <w:r>
        <w:rPr>
          <w:rStyle w:val="normalChar"/>
          <w:color w:val="000000"/>
        </w:rPr>
        <w:t>Le modèle doit être soumis à l'auteur de projet.</w:t>
      </w:r>
    </w:p>
    <w:p w14:paraId="3B91F729" w14:textId="77777777" w:rsidR="00DB2B68" w:rsidRDefault="00000000">
      <w:pPr>
        <w:spacing w:line="259" w:lineRule="auto"/>
      </w:pPr>
      <w:r>
        <w:rPr>
          <w:rStyle w:val="normalChar"/>
          <w:color w:val="000000"/>
        </w:rPr>
        <w:t>Leur nombre est au moins 5 par m² et dépend de l’action du vent ainsi que de leurs performances mécaniques déclarées par le fabricant (résistance à la traction et à la compression).</w:t>
      </w:r>
    </w:p>
    <w:p w14:paraId="69C3BBE7" w14:textId="77777777" w:rsidR="00DB2B68" w:rsidRDefault="00000000">
      <w:pPr>
        <w:spacing w:line="259" w:lineRule="auto"/>
      </w:pPr>
      <w:r>
        <w:rPr>
          <w:rStyle w:val="normalChar"/>
          <w:color w:val="000000"/>
        </w:rPr>
        <w:t xml:space="preserve"> A proximité des ouvertures dans la maçonnerie, on augmente le nombre des crochets. </w:t>
      </w:r>
    </w:p>
    <w:p w14:paraId="150C8F39" w14:textId="77777777" w:rsidR="00DB2B68" w:rsidRDefault="00000000">
      <w:r>
        <w:t>Les crochets sont toujours pourvus d'un larmier qui se trouve dans le vide de la coulisse. Lorsque la coulisse est partiellement remplie, une plaquette synthétique vient se glisser solidement sur les crochets de mur pour maintenir l'isolation des murs creux bien en place.</w:t>
      </w:r>
    </w:p>
    <w:p w14:paraId="1DDF2C51" w14:textId="77777777" w:rsidR="00DB2B68" w:rsidRDefault="00000000">
      <w:r>
        <w:t>Comme le mur de contre-façade / l'isolation / la maçonnerie de parement doivent être érigés en trois phases successives, on peut également utiliser, moyennant l'accord de l'auteur de projet, des chevilles d'ancrage appropriées, qui sont chassées dans la maçonnerie.</w:t>
      </w:r>
    </w:p>
    <w:p w14:paraId="15B3D228" w14:textId="77777777" w:rsidR="00DB2B68" w:rsidRDefault="00000000">
      <w:pPr>
        <w:pStyle w:val="pheading"/>
      </w:pPr>
      <w:r>
        <w:t>EXÉCUTION / MISE EN ŒUVRE</w:t>
      </w:r>
    </w:p>
    <w:p w14:paraId="2E91FAE2" w14:textId="77777777" w:rsidR="00DB2B68" w:rsidRDefault="00000000">
      <w:pPr>
        <w:spacing w:line="252" w:lineRule="auto"/>
      </w:pPr>
      <w:r>
        <w:rPr>
          <w:rStyle w:val="normalChar"/>
          <w:b/>
          <w:color w:val="000000"/>
        </w:rPr>
        <w:t>EFFLORESCENCES</w:t>
      </w:r>
    </w:p>
    <w:p w14:paraId="31528C57" w14:textId="77777777" w:rsidR="00DB2B68" w:rsidRDefault="00000000">
      <w:pPr>
        <w:spacing w:line="252" w:lineRule="auto"/>
      </w:pPr>
      <w:r>
        <w:t>Certains points de vigilance sont à respecter afin de limiter le risque d’apparitions d’efflorescences. Les prescriptions de la [NIT 271] et du [Buildwise Article Dossier (2019/06.05)] sont d’application.</w:t>
      </w:r>
    </w:p>
    <w:p w14:paraId="46DEB016" w14:textId="77777777" w:rsidR="00DB2B68" w:rsidRDefault="00DB2B68"/>
    <w:p w14:paraId="68160498" w14:textId="77777777" w:rsidR="00DB2B68" w:rsidRDefault="00000000">
      <w:pPr>
        <w:spacing w:line="252" w:lineRule="auto"/>
      </w:pPr>
      <w:r>
        <w:rPr>
          <w:rStyle w:val="normalChar"/>
          <w:color w:val="000000"/>
        </w:rPr>
        <w:t xml:space="preserve">Les traces d'efflorescence qui apparaissent avant la réception provisoire sont </w:t>
      </w:r>
      <w:r>
        <w:rPr>
          <w:rStyle w:val="normalChar"/>
          <w:color w:val="FF0000"/>
        </w:rPr>
        <w:t xml:space="preserve">non traitées </w:t>
      </w:r>
      <w:r>
        <w:t>(par défaut)</w:t>
      </w:r>
      <w:r>
        <w:rPr>
          <w:rStyle w:val="normalChar"/>
          <w:color w:val="FF0000"/>
        </w:rPr>
        <w:t xml:space="preserve"> / nettoyées à sec</w:t>
      </w:r>
      <w:r>
        <w:t xml:space="preserve"> :</w:t>
      </w:r>
    </w:p>
    <w:p w14:paraId="2FBB3BCC" w14:textId="77777777" w:rsidR="00DB2B68" w:rsidRDefault="00000000">
      <w:r>
        <w:rPr>
          <w:b/>
        </w:rPr>
        <w:t>(soit par défaut)</w:t>
      </w:r>
    </w:p>
    <w:p w14:paraId="3CF1CF43" w14:textId="77777777" w:rsidR="00DB2B68" w:rsidRDefault="00000000">
      <w:r>
        <w:rPr>
          <w:rStyle w:val="soitChar"/>
          <w:u w:val="single"/>
        </w:rPr>
        <w:t xml:space="preserve">Non traitées </w:t>
      </w:r>
    </w:p>
    <w:p w14:paraId="23A90220" w14:textId="77777777" w:rsidR="00DB2B68" w:rsidRDefault="00000000">
      <w:r>
        <w:rPr>
          <w:b/>
        </w:rPr>
        <w:t>(soit)</w:t>
      </w:r>
    </w:p>
    <w:p w14:paraId="25C355BA" w14:textId="77777777" w:rsidR="00DB2B68" w:rsidRDefault="00000000">
      <w:r>
        <w:rPr>
          <w:rStyle w:val="soitChar"/>
          <w:u w:val="single"/>
        </w:rPr>
        <w:t>Nettoyées à sec</w:t>
      </w:r>
      <w:r>
        <w:rPr>
          <w:rStyle w:val="soitChar"/>
        </w:rPr>
        <w:t xml:space="preserve"> (compris dans le prix unitaire)</w:t>
      </w:r>
    </w:p>
    <w:p w14:paraId="51BC7AB7" w14:textId="77777777" w:rsidR="00DB2B68" w:rsidRDefault="00000000">
      <w:pPr>
        <w:spacing w:line="252" w:lineRule="auto"/>
      </w:pPr>
      <w:r>
        <w:rPr>
          <w:rStyle w:val="normalChar"/>
          <w:color w:val="000000"/>
        </w:rPr>
        <w:t>Si les efflorescences persistent ou apparaissent après la réception provisoire, leur nature est à déterminer et un traitement approprié est proposé. Cette détermination et ce traitement ne font pas partie du présent marché.</w:t>
      </w:r>
    </w:p>
    <w:p w14:paraId="46BC9685" w14:textId="77777777" w:rsidR="00DB2B68" w:rsidRDefault="00DB2B68"/>
    <w:p w14:paraId="4BE75690" w14:textId="77777777" w:rsidR="00DB2B68" w:rsidRDefault="00000000">
      <w:pPr>
        <w:pStyle w:val="heading"/>
      </w:pPr>
      <w:r>
        <w:t>PRINCIPE D'EXÉCUTION</w:t>
      </w:r>
    </w:p>
    <w:p w14:paraId="04F0C1E2" w14:textId="77777777" w:rsidR="00DB2B68" w:rsidRDefault="00000000">
      <w:r>
        <w:rPr>
          <w:shd w:val="clear" w:color="auto" w:fill="FFFFFF"/>
        </w:rPr>
        <w:t xml:space="preserve">Les murs extérieurs à coulisse doivent obligatoirement (!) être exécutés en </w:t>
      </w:r>
      <w:r>
        <w:rPr>
          <w:u w:val="single"/>
          <w:shd w:val="clear" w:color="auto" w:fill="FFFFFF"/>
        </w:rPr>
        <w:t>trois phases successives</w:t>
      </w:r>
      <w:r>
        <w:rPr>
          <w:shd w:val="clear" w:color="auto" w:fill="FFFFFF"/>
        </w:rPr>
        <w:t>, selon le principe de base suivant :</w:t>
      </w:r>
    </w:p>
    <w:p w14:paraId="234AC056" w14:textId="77777777" w:rsidR="00DB2B68" w:rsidRDefault="00000000">
      <w:pPr>
        <w:pStyle w:val="Author-eListParagraph"/>
        <w:numPr>
          <w:ilvl w:val="0"/>
          <w:numId w:val="230"/>
        </w:numPr>
      </w:pPr>
      <w:r>
        <w:t xml:space="preserve">le mur intérieur porteur sur </w:t>
      </w:r>
      <w:r>
        <w:rPr>
          <w:u w:val="single"/>
        </w:rPr>
        <w:t>toute</w:t>
      </w:r>
      <w:r>
        <w:t xml:space="preserve"> sa hauteur;</w:t>
      </w:r>
    </w:p>
    <w:p w14:paraId="05C176CB" w14:textId="77777777" w:rsidR="00DB2B68" w:rsidRDefault="00000000">
      <w:pPr>
        <w:pStyle w:val="Author-eListParagraph"/>
        <w:numPr>
          <w:ilvl w:val="0"/>
          <w:numId w:val="230"/>
        </w:numPr>
      </w:pPr>
      <w:r>
        <w:t xml:space="preserve">ensuite, l'isolation sera appliquée sur </w:t>
      </w:r>
      <w:r>
        <w:rPr>
          <w:u w:val="single"/>
        </w:rPr>
        <w:t>toute</w:t>
      </w:r>
      <w:r>
        <w:t xml:space="preserve"> la surface;</w:t>
      </w:r>
    </w:p>
    <w:p w14:paraId="69F6EB29" w14:textId="77777777" w:rsidR="00DB2B68" w:rsidRDefault="00000000">
      <w:pPr>
        <w:pStyle w:val="Author-eListParagraph"/>
        <w:numPr>
          <w:ilvl w:val="0"/>
          <w:numId w:val="230"/>
        </w:numPr>
      </w:pPr>
      <w:r>
        <w:t>après le contrôle de ces ouvrages par l'auteur de projet, le mur de parement peut être érigé.</w:t>
      </w:r>
    </w:p>
    <w:p w14:paraId="40A8848C" w14:textId="77777777" w:rsidR="00DB2B68" w:rsidRDefault="00000000">
      <w:pPr>
        <w:pStyle w:val="Author-eListParagraph"/>
        <w:numPr>
          <w:ilvl w:val="0"/>
          <w:numId w:val="230"/>
        </w:numPr>
      </w:pPr>
      <w:r>
        <w:t>Les plaques d'isolation sont soigneusement pressées sur les crochets de murs et placées bien jointivement l'une contre l'autre afin d'obtenir des joints étanches. Le cas échéant, les plaques d'isolation peuvent être fixées à l'aide de plaquettes, de vis et de chevilles spéciales, qui sont introduites dans des trous forés dans la maçonnerie et fixées au mur de contre-façade.</w:t>
      </w:r>
    </w:p>
    <w:p w14:paraId="1BF1C3FB" w14:textId="77777777" w:rsidR="00DB2B68" w:rsidRDefault="00000000">
      <w:pPr>
        <w:pStyle w:val="heading"/>
      </w:pPr>
      <w:r>
        <w:t>CONCEPTION DE LA COULISSE</w:t>
      </w:r>
    </w:p>
    <w:p w14:paraId="24F834D9" w14:textId="77777777" w:rsidR="00DB2B68" w:rsidRDefault="00000000">
      <w:pPr>
        <w:spacing w:line="259" w:lineRule="auto"/>
      </w:pPr>
      <w:r>
        <w:rPr>
          <w:rStyle w:val="normalChar"/>
          <w:color w:val="000000"/>
        </w:rPr>
        <w:t xml:space="preserve">Conformément à la nature et/ou à l'épaisseur du matériau d'isolation prévu et à l’exposition aux pluies battantes, la coulisse est exécutée avec </w:t>
      </w:r>
      <w:r>
        <w:rPr>
          <w:rStyle w:val="optioncarChar"/>
          <w:color w:val="000000"/>
        </w:rPr>
        <w:t xml:space="preserve">un remplissage partiel </w:t>
      </w:r>
      <w:r>
        <w:t>(par défaut)</w:t>
      </w:r>
      <w:r>
        <w:rPr>
          <w:rStyle w:val="optioncarChar"/>
          <w:color w:val="000000"/>
        </w:rPr>
        <w:t xml:space="preserve"> / un remplissage complet de la coulisse </w:t>
      </w:r>
      <w:r>
        <w:rPr>
          <w:rStyle w:val="normalChar"/>
          <w:color w:val="000000"/>
        </w:rPr>
        <w:t>:</w:t>
      </w:r>
    </w:p>
    <w:p w14:paraId="6110394E" w14:textId="77777777" w:rsidR="00DB2B68" w:rsidRDefault="00000000">
      <w:r>
        <w:rPr>
          <w:b/>
        </w:rPr>
        <w:t xml:space="preserve"> (soit par défaut) : </w:t>
      </w:r>
    </w:p>
    <w:p w14:paraId="46734252" w14:textId="77777777" w:rsidR="00DB2B68" w:rsidRDefault="00000000">
      <w:r>
        <w:rPr>
          <w:rStyle w:val="soitChar"/>
          <w:u w:val="single"/>
        </w:rPr>
        <w:t>Un remplissage partiel</w:t>
      </w:r>
      <w:r>
        <w:rPr>
          <w:rStyle w:val="soitChar"/>
        </w:rPr>
        <w:t xml:space="preserve"> de la coulisse : La couche d'air verticale dans ce qu'il reste de la coulisse est d'au moins 30 mm en cas de maçonnerie traditionnelle et 20 mm en cas de maçonnerie collée à joints minces (largeur sur plan afin d’obtenir un creux effectif en pratique). </w:t>
      </w:r>
    </w:p>
    <w:p w14:paraId="4EC42D96" w14:textId="77777777" w:rsidR="00DB2B68" w:rsidRDefault="00000000">
      <w:r>
        <w:rPr>
          <w:b/>
        </w:rPr>
        <w:t xml:space="preserve"> (soit) </w:t>
      </w:r>
    </w:p>
    <w:p w14:paraId="5715BF9D" w14:textId="77777777" w:rsidR="00DB2B68" w:rsidRDefault="00000000">
      <w:r>
        <w:rPr>
          <w:rStyle w:val="soitChar"/>
          <w:u w:val="single"/>
        </w:rPr>
        <w:t>Un remplissage</w:t>
      </w:r>
      <w:r>
        <w:rPr>
          <w:rStyle w:val="soitChar"/>
        </w:rPr>
        <w:t xml:space="preserve"> complet de la coulisse (non ventilée)</w:t>
      </w:r>
    </w:p>
    <w:p w14:paraId="7864C7FE" w14:textId="77777777" w:rsidR="00DB2B68" w:rsidRDefault="00000000">
      <w:r>
        <w:rPr>
          <w:rStyle w:val="headingChar"/>
        </w:rPr>
        <w:t>ISOLATION CONTRE L'humidité</w:t>
      </w:r>
    </w:p>
    <w:p w14:paraId="4D5952EF" w14:textId="77777777" w:rsidR="00DB2B68" w:rsidRDefault="00000000">
      <w:pPr>
        <w:pStyle w:val="heading"/>
      </w:pPr>
      <w:r>
        <w:t>membranes d'étanchéité</w:t>
      </w:r>
    </w:p>
    <w:p w14:paraId="76CF77CF" w14:textId="77777777" w:rsidR="00DB2B68" w:rsidRDefault="00000000">
      <w:r>
        <w:t>Les membranes d'étanchéité sont constituées d'une feuille de polyéthylène (PE, 450 gr/m2) ou d'un matériau équivalent, conformément aux descriptifs du cahier des charges. Dans la mesure du possible, les feuilles sont posées d'un seul tenant dans le sens longitudinal. Les joints sont réalisés avec un chevauchement suffisant conforme aux prescriptions de pose du fabricant. Les chevauchements sont toujours fixés par collage  à l'aide de</w:t>
      </w:r>
      <w:r>
        <w:rPr>
          <w:color w:val="FF0000"/>
        </w:rPr>
        <w:t xml:space="preserve"> bande de soudure à froid / soudure à la flamme (APP, SBS, …)</w:t>
      </w:r>
    </w:p>
    <w:p w14:paraId="10342A00" w14:textId="77777777" w:rsidR="00DB2B68" w:rsidRDefault="00000000">
      <w:pPr>
        <w:pStyle w:val="heading"/>
      </w:pPr>
      <w:r>
        <w:t>raccords de rive de toiture</w:t>
      </w:r>
    </w:p>
    <w:p w14:paraId="3C3C07C2" w14:textId="77777777" w:rsidR="00DB2B68" w:rsidRDefault="00000000">
      <w:r>
        <w:t xml:space="preserve">L'exécution de la maçonnerie de parement doit assurer une étanchéité parfaite avec le matériau de couverture prévu, à hauteur des cheminées et des rives en butée. Tous les solins (bavettes de plomb d'une épaisseur d'au moins 1,5 mm), engravés dans la maçonnerie de parement (en parallèle ou en gradins), sont également compris. Les bavettes de plomb ont un débordement suffisant sur la face extérieure de la maçonnerie de manière à pouvoir être repliées par le couvreur. Le mode de pliage et </w:t>
      </w:r>
      <w:r>
        <w:lastRenderedPageBreak/>
        <w:t>de chevauchement assure une étanchéité parfaite et une exécution soignée et esthétique. Moyennant l'approbation préalable de l'auteur de projet, l'entrepreneur peut proposer en alternative un système approprié d'éléments préfabriqués en matière synthétique. Les modalités d'exécution adaptées au degré de complexité en ce qui concerne la maçonnerie de parement peuvent, conformément au descriptif du cahier des charges, être décrites séparément et comptées comme supplément au chapitre </w:t>
      </w:r>
      <w:hyperlink w:anchor="418" w:history="1">
        <w:r>
          <w:rPr>
            <w:color w:val="0000EE"/>
          </w:rPr>
          <w:t>27.31.1 Collet et habillage</w:t>
        </w:r>
      </w:hyperlink>
      <w:r>
        <w:t>.</w:t>
      </w:r>
    </w:p>
    <w:p w14:paraId="66027B6F" w14:textId="77777777" w:rsidR="00DB2B68" w:rsidRDefault="00000000">
      <w:pPr>
        <w:pStyle w:val="heading"/>
      </w:pPr>
      <w:r>
        <w:t>JOINTS DE DILATATION</w:t>
      </w:r>
    </w:p>
    <w:p w14:paraId="084648FD" w14:textId="77777777" w:rsidR="00DB2B68" w:rsidRDefault="00000000">
      <w:r>
        <w:rPr>
          <w:rStyle w:val="normalChar"/>
          <w:color w:val="000000"/>
        </w:rPr>
        <w:t xml:space="preserve">Des joints de dilatation sont réalisés conformément aux distances maximales préconisées dans la </w:t>
      </w:r>
      <w:r>
        <w:t xml:space="preserve">et  entre chaque groupe de deux habitations. Ces joints dans le parement sont conçus de manière à permettre la libre dilatation et le retrait des différents pans de murs, tandis que le joint demeure étanche. Leur largeur est d'environ 10 mm. Le fond de joint en retrait se compose de bandes de mousse de polyuréthane bitumeuse à structure cellulaire ouverte ou en caoutchouc de néoprène, enduites d'une couche de fond ou préformé en mousse de polyéthylène à cellules fermées. Le parachèvement du joint à l'extérieur est réalisé </w:t>
      </w:r>
      <w:r>
        <w:rPr>
          <w:shd w:val="clear" w:color="auto" w:fill="FFFFFF"/>
        </w:rPr>
        <w:t>à l'aide d'un joint élastique, du type mastic élastique, classe VI, selon la classification de la [NIT 124] ou selon les [STS 56.1].</w:t>
      </w:r>
      <w:r>
        <w:t xml:space="preserve"> Le mastic est inaltérable, adhésif et durablement élastique. La couleur se rapproche de celle du rejointoiement ou est de teinte gris-clair.</w:t>
      </w:r>
    </w:p>
    <w:p w14:paraId="0B6AC876" w14:textId="77777777" w:rsidR="00DB2B68" w:rsidRDefault="00000000">
      <w:pPr>
        <w:pStyle w:val="heading"/>
      </w:pPr>
      <w:r>
        <w:t>ARMATURES</w:t>
      </w:r>
    </w:p>
    <w:p w14:paraId="1A991356" w14:textId="77777777" w:rsidR="00DB2B68" w:rsidRDefault="00000000">
      <w:r>
        <w:t>Conformément au cahier spécial des charges et/ou selon les indications sur les plans, des armatures de joint d'assise spéciales sont posées aux endroits nécessaires. Elles sont protégées contre la corrosion et conviennent pour être posées dans une maçonnerie soumise à l'humidité le cas échéant. La mise en œuvre s'effectue conformément</w:t>
      </w:r>
      <w:r>
        <w:rPr>
          <w:rStyle w:val="normalChar"/>
          <w:color w:val="000000"/>
        </w:rPr>
        <w:t xml:space="preserve"> à la documentation technique accompagnant le produit. </w:t>
      </w:r>
      <w:r>
        <w:t>Conformément aux descriptifs du cahier des charges, les armatures peuvent, le cas échéant, être décrites séparément et comptées comme supplément au sous-titre </w:t>
      </w:r>
      <w:hyperlink w:anchor="419" w:history="1">
        <w:r>
          <w:rPr>
            <w:color w:val="0000EE"/>
          </w:rPr>
          <w:t>21.41 Armatures pour maçonneries</w:t>
        </w:r>
      </w:hyperlink>
      <w:r>
        <w:t> </w:t>
      </w:r>
    </w:p>
    <w:p w14:paraId="7D87941E" w14:textId="77777777" w:rsidR="00DB2B68" w:rsidRDefault="00000000">
      <w:pPr>
        <w:pStyle w:val="heading"/>
      </w:pPr>
      <w:r>
        <w:t>fourniture et entreposage des MATÉRIAUX</w:t>
      </w:r>
    </w:p>
    <w:p w14:paraId="554A46D9" w14:textId="77777777" w:rsidR="00DB2B68" w:rsidRDefault="00000000">
      <w:r>
        <w:t>L'approvisionnement, l'âge, le transport et l'entreposage des éléments de maçonnerie sont régis par les prescriptions de la . Les briques sont livrées sur palettes et emballées dans une feuille rétractible de manière à ce qu'elles soient sèches à l'air au moment de leur mise en œuvre. L'entrepreneur prend toutes les précautions pour que les briques puissent être entreposées à un endroit plan et sec. Il enlève l'emballage juste avant la mise en œuvre des briques. Les briques doivent être maintenues propres car les restes de boue, de poussière délavée et de lait de ciment s'enlèvent difficilement par la suite. Elles sont acheminées dans les plus grandes quantités possibles sur chantier et mélangées avant leur mise en œuvre, en prenant les briques en diagonale dans 5 paquets différents à la fois de façon à mélanger les différences de couleur et de texture dans les faces de parement.</w:t>
      </w:r>
    </w:p>
    <w:p w14:paraId="1D8CC7BA" w14:textId="77777777" w:rsidR="00DB2B68" w:rsidRDefault="00000000">
      <w:pPr>
        <w:pStyle w:val="heading"/>
      </w:pPr>
      <w:r>
        <w:t>mesures de protection</w:t>
      </w:r>
    </w:p>
    <w:p w14:paraId="3CD6FCB1" w14:textId="77777777" w:rsidR="00DB2B68" w:rsidRDefault="00000000">
      <w:r>
        <w:t>Les mesures de protection sont prises afin de protéger les ouvrages de maçonnerie exécutés contre les dégradations mécaniques et les influences atmosphériques :</w:t>
      </w:r>
    </w:p>
    <w:p w14:paraId="1EA8EF24" w14:textId="77777777" w:rsidR="00DB2B68" w:rsidRDefault="00000000">
      <w:r>
        <w:t>Afin d'obtenir une adhérence optimale entre le mortier et les briques, il est nécessaire d'étudier préalablement s'il y a lieu de les humidifier avant de les mettre en œuvre. Cela dépend des caractéristiques des briques, du mortier et des circonstances atmosphériques. Au cours des périodes de sécheresse, il est conseillé d'humidifier les briques la veille. Il est toutefois interdit d'humidifier les briques par immersion.</w:t>
      </w:r>
    </w:p>
    <w:p w14:paraId="51EAED93" w14:textId="77777777" w:rsidR="00DB2B68" w:rsidRDefault="00000000">
      <w:r>
        <w:t xml:space="preserve">Par temps sec et chaud ou sous un fort ensoleillement, la maçonnerie fraîchement exécutée doit être régulièrement aspergée afin de prévenir la dessiccation du mortier avant qu'il ne durcisse complètement. Par temps froid, l'entrepreneur se conforme aux prescriptions de la </w:t>
      </w:r>
      <w:r>
        <w:rPr>
          <w:shd w:val="clear" w:color="auto" w:fill="FFFFFF"/>
        </w:rPr>
        <w:t>.</w:t>
      </w:r>
    </w:p>
    <w:p w14:paraId="3CA914C4" w14:textId="77777777" w:rsidR="00DB2B68" w:rsidRDefault="00000000">
      <w:r>
        <w:t xml:space="preserve">En cours d'élévation, les coulisses ouvertes sont protégées des intempéries. A la fin de chaque journée de travail, les assises supérieures de l'ouvrage en maçonnerie sont </w:t>
      </w:r>
      <w:r>
        <w:rPr>
          <w:rStyle w:val="normalChar"/>
          <w:color w:val="000000"/>
        </w:rPr>
        <w:t>protégées contre leur humidification.</w:t>
      </w:r>
    </w:p>
    <w:p w14:paraId="3D8E806A" w14:textId="77777777" w:rsidR="00DB2B68" w:rsidRDefault="00000000">
      <w:pPr>
        <w:pStyle w:val="heading"/>
      </w:pPr>
      <w:r>
        <w:t>modalités de mise en œuvre</w:t>
      </w:r>
    </w:p>
    <w:p w14:paraId="1EE13ADA" w14:textId="77777777" w:rsidR="00DB2B68" w:rsidRDefault="00000000">
      <w:r>
        <w:lastRenderedPageBreak/>
        <w:t>Toutes les précautions sont prises pour que la coulisse reste propre, exempte de bavures et de restes de mortier qui risquent de former des ponts d'humidité ou de nuire aux performances du mur. Aucun contact direct n'est autorisé entre les deux parois du mur à coulisse.</w:t>
      </w:r>
    </w:p>
    <w:p w14:paraId="419B7697" w14:textId="77777777" w:rsidR="00DB2B68" w:rsidRDefault="00000000">
      <w:r>
        <w:t xml:space="preserve">Le mortier refluant le long des faces du mur orientées vers la coulisse, est lissé à la truelle tandis que les crochets de mur sont débarrassés de tous les restes de mortier. Du côté extérieur, les joints d'assise et debout sont évidés et brossés sur une profondeur de 10 à 15 mm </w:t>
      </w:r>
      <w:r>
        <w:rPr>
          <w:rStyle w:val="normalChar"/>
          <w:color w:val="000000"/>
        </w:rPr>
        <w:t>en fonction de la largeur du joint et de l’épaisseur de l’élément de maçonnerie</w:t>
      </w:r>
      <w:r>
        <w:t xml:space="preserve"> afin de permettre d'effectuer soigneusement le rejointoiement par après. Les joints montants ouverts sont marqués clairement jusqu'après l'exécution du rejointoiement.</w:t>
      </w:r>
    </w:p>
    <w:p w14:paraId="04215DF2" w14:textId="77777777" w:rsidR="00DB2B68" w:rsidRDefault="00000000">
      <w:r>
        <w:t>Les traces de mortier et/ou les souillures sur les faces de parement sont immédiatement enlevées à l'eau et à la brosse dure (à l'exclusion des brosses en métal).</w:t>
      </w:r>
    </w:p>
    <w:p w14:paraId="0F1DAD49" w14:textId="77777777" w:rsidR="00DB2B68" w:rsidRDefault="00000000">
      <w:pPr>
        <w:pStyle w:val="heading"/>
      </w:pPr>
      <w:r>
        <w:t>dimensions - appareillage - ASPECT</w:t>
      </w:r>
    </w:p>
    <w:p w14:paraId="008D8EFB" w14:textId="77777777" w:rsidR="00DB2B68" w:rsidRDefault="00000000">
      <w:r>
        <w:t>Toutes les règles de l'art sont respectées afin de donner à la maçonnerie un aspect propre, régulier et soigné. Chaque assise est maçonnée au cordeau en veillant à ce que :</w:t>
      </w:r>
    </w:p>
    <w:p w14:paraId="51B2F545" w14:textId="77777777" w:rsidR="00DB2B68" w:rsidRDefault="00000000">
      <w:pPr>
        <w:pStyle w:val="Author-eListParagraph"/>
        <w:numPr>
          <w:ilvl w:val="0"/>
          <w:numId w:val="231"/>
        </w:numPr>
      </w:pPr>
      <w:r>
        <w:t>la face vue des murs soit bien plane et que tous bords et les baies soient bien d'aplomb.</w:t>
      </w:r>
    </w:p>
    <w:p w14:paraId="597839D9" w14:textId="77777777" w:rsidR="00DB2B68" w:rsidRDefault="00000000">
      <w:pPr>
        <w:pStyle w:val="Author-eListParagraph"/>
        <w:numPr>
          <w:ilvl w:val="0"/>
          <w:numId w:val="231"/>
        </w:numPr>
      </w:pPr>
      <w:r>
        <w:t>tous les murs formant un ensemble soient érigés en même temps. Le liaisonnement entre les maçonneries de même type doit être effectué en respectant la continuité de l'appareillage.</w:t>
      </w:r>
    </w:p>
    <w:p w14:paraId="745020B5" w14:textId="77777777" w:rsidR="00DB2B68" w:rsidRDefault="00000000">
      <w:pPr>
        <w:pStyle w:val="Author-eListParagraph"/>
        <w:numPr>
          <w:ilvl w:val="0"/>
          <w:numId w:val="231"/>
        </w:numPr>
      </w:pPr>
      <w:r>
        <w:t xml:space="preserve">les joints aient partout la même épaisseur nominale; ils doivent être de niveau et rectilignes. L'épaisseur moyenne des joints se situe </w:t>
      </w:r>
      <w:r>
        <w:rPr>
          <w:rStyle w:val="normalChar"/>
          <w:color w:val="000000"/>
        </w:rPr>
        <w:t>dans la fourchette prescrite</w:t>
      </w:r>
      <w:r>
        <w:t>, compte tenu des tolérances dimensionnelles sur les briques utilisées. L'épaisseur moyenne des joints est contrôlée sur une hauteur de 10 tas.</w:t>
      </w:r>
    </w:p>
    <w:p w14:paraId="4103A8A7" w14:textId="77777777" w:rsidR="00DB2B68" w:rsidRDefault="00000000">
      <w:pPr>
        <w:pStyle w:val="Author-eListParagraph"/>
        <w:numPr>
          <w:ilvl w:val="0"/>
          <w:numId w:val="231"/>
        </w:numPr>
      </w:pPr>
      <w:r>
        <w:t>toutes les faces vues de la maçonnerie destinée à rester apparente doivent exclusivement être exécutées à l'aide d'éléments de construction dont la longueur est supérieure ou égale à une demi-brique. Les pièces d'ajustement sont sciées mécaniquement et non coupées de façon à ce qu'il n'y ait pas de traces de briques coupées dans la face de parement.</w:t>
      </w:r>
    </w:p>
    <w:p w14:paraId="4469F3E5" w14:textId="77777777" w:rsidR="00DB2B68" w:rsidRDefault="00000000">
      <w:r>
        <w:t>Sauf mentions contraires dans le cahier spécial des charges, les murs sont érigés en appareillage d'une demi-brique ou de panneresses. Dans les cas dérogatoires, l'auteur de projet établit un plan de détail de l'appareillage prescrit.</w:t>
      </w:r>
    </w:p>
    <w:p w14:paraId="2FBE813E" w14:textId="77777777" w:rsidR="00DB2B68" w:rsidRDefault="00000000">
      <w:pPr>
        <w:pStyle w:val="pheading"/>
      </w:pPr>
      <w:r>
        <w:t>DOCUMENTS DE RÉFÉRENCE</w:t>
      </w:r>
    </w:p>
    <w:p w14:paraId="3A70F453" w14:textId="77777777" w:rsidR="00DB2B68" w:rsidRDefault="00000000">
      <w:pPr>
        <w:pStyle w:val="pheading"/>
      </w:pPr>
      <w:r>
        <w:t>- Matériau</w:t>
      </w:r>
    </w:p>
    <w:p w14:paraId="1A59F4F6" w14:textId="77777777" w:rsidR="00DB2B68" w:rsidRDefault="00000000">
      <w:r>
        <w:t>voir section </w:t>
      </w:r>
      <w:hyperlink w:anchor="295" w:history="1">
        <w:r>
          <w:rPr>
            <w:color w:val="0000EE"/>
          </w:rPr>
          <w:t>21 Superstructures en maçonnerie</w:t>
        </w:r>
      </w:hyperlink>
    </w:p>
    <w:p w14:paraId="08174EEC" w14:textId="77777777" w:rsidR="00DB2B68" w:rsidRDefault="00000000">
      <w:pPr>
        <w:pStyle w:val="pheading"/>
      </w:pPr>
      <w:r>
        <w:t>- Exécution</w:t>
      </w:r>
    </w:p>
    <w:p w14:paraId="013B6724" w14:textId="77777777" w:rsidR="00DB2B68" w:rsidRDefault="00000000">
      <w:r>
        <w:t>voir section </w:t>
      </w:r>
      <w:hyperlink w:anchor="295" w:history="1">
        <w:r>
          <w:rPr>
            <w:color w:val="0000EE"/>
          </w:rPr>
          <w:t>21 Superstructures en maçonnerie</w:t>
        </w:r>
      </w:hyperlink>
    </w:p>
    <w:p w14:paraId="5EF0746B" w14:textId="77777777" w:rsidR="00DB2B68" w:rsidRDefault="00000000">
      <w:pPr>
        <w:pStyle w:val="pheading"/>
      </w:pPr>
      <w:r>
        <w:t>AIDE</w:t>
      </w:r>
    </w:p>
    <w:p w14:paraId="49AF0A62" w14:textId="77777777" w:rsidR="00DB2B68" w:rsidRDefault="00000000">
      <w:r>
        <w:t>À l'attention de l'auteur de projet</w:t>
      </w:r>
    </w:p>
    <w:p w14:paraId="5B2E2AEA" w14:textId="77777777" w:rsidR="00DB2B68" w:rsidRDefault="00000000">
      <w:r>
        <w:rPr>
          <w:rStyle w:val="normalChar"/>
        </w:rPr>
        <w:t>- Les efflorescences constituent un phénomène dont l’apparition dépend des circonstances. Elles sont parfois difficiles à éviter, mais elles ne présentent rarement, voir jamais, un problème de stabilité ni de durabilité. Cependant, dans certaines conditions, elles peuvent présenter un problème esthétique mineur. Exceptionnellement, elles présentent un problème esthétique majeur ; dans ce dernier cas, il y a lieu de prévoir un traitement.</w:t>
      </w:r>
    </w:p>
    <w:p w14:paraId="153140A1" w14:textId="77777777" w:rsidR="00DB2B68" w:rsidRDefault="00000000">
      <w:r>
        <w:t>- Les mortiers de ciment ont une plus grande résistance à la compression que les mortiers bâtards; en outre, leur prise est plus rapide. Par contre, ils sont plus sensibles au retrait.</w:t>
      </w:r>
    </w:p>
    <w:p w14:paraId="1D89305D" w14:textId="77777777" w:rsidR="00DB2B68" w:rsidRDefault="00000000">
      <w:r>
        <w:t>- Les mortiers bâtards ont l'avantage d'être plus élastiques et plus faciles à travailler que les mortiers de ciment purs tandis que leur retrait est nettement moindre. Le rôle de la chaux est celui d'un plastifiant qui retient mieux l'eau de gâchage. C'est pourquoi l'utilisation du mortier bâtard est recommandée par temps chaud ou pour le maçonnage des matériaux poreux. L'inconvénient du mortier bâtard est que le temps de durcissement s'en trouve accru.</w:t>
      </w:r>
    </w:p>
    <w:p w14:paraId="33112B64" w14:textId="77777777" w:rsidR="00DB2B68" w:rsidRDefault="00000000">
      <w:r>
        <w:lastRenderedPageBreak/>
        <w:t>- Lorsqu'une armature est posée dans la maçonnerie de façade, selon les dispositions du chapitre </w:t>
      </w:r>
      <w:hyperlink w:anchor="357" w:history="1">
        <w:r>
          <w:rPr>
            <w:color w:val="0000EE"/>
          </w:rPr>
          <w:t>21.41.1 Armatures horizontales pour maçonneries</w:t>
        </w:r>
      </w:hyperlink>
      <w:r>
        <w:rPr>
          <w:rStyle w:val="normalChar"/>
        </w:rPr>
        <w:t>, l’application peut requérir des éléments et un mortier de résistance minimale appropriée (voir documentation technique accompagnant le produit).</w:t>
      </w:r>
    </w:p>
    <w:p w14:paraId="34BA595F" w14:textId="77777777" w:rsidR="00DB2B68" w:rsidRDefault="00000000">
      <w:pPr>
        <w:pStyle w:val="Author-eSectionHeading4Numberless"/>
      </w:pPr>
      <w:bookmarkStart w:id="232" w:name="_Toc220495363"/>
      <w:r>
        <w:t>21.31 Maçonneries de parement en briques CCTB 01.09</w:t>
      </w:r>
      <w:bookmarkEnd w:id="232"/>
    </w:p>
    <w:p w14:paraId="6C035445" w14:textId="77777777" w:rsidR="00DB2B68" w:rsidRDefault="00000000">
      <w:pPr>
        <w:pStyle w:val="pheading"/>
      </w:pPr>
      <w:bookmarkStart w:id="233" w:name="409"/>
      <w:bookmarkEnd w:id="233"/>
      <w:r>
        <w:t>AIDE</w:t>
      </w:r>
    </w:p>
    <w:p w14:paraId="56C4D533" w14:textId="77777777" w:rsidR="00DB2B68" w:rsidRDefault="00000000">
      <w:r>
        <w:t>En pratique, l'utilisation des briques de terre cuite isolantes n'est intéressante que pour les murs de contre-façade. Pour les murs intérieurs, leur utilisation est inutile tandis que pour les murs de séparation d'habitations, leur usage est déconseillé du point de vue acoustique.</w:t>
      </w:r>
    </w:p>
    <w:p w14:paraId="5833E25D" w14:textId="77777777" w:rsidR="00DB2B68" w:rsidRDefault="00000000">
      <w:pPr>
        <w:pStyle w:val="Author-eSectionHeading5Numberless"/>
      </w:pPr>
      <w:bookmarkStart w:id="234" w:name="_Toc220495364"/>
      <w:r>
        <w:t>21.31.1 Maçonneries de parement en briques de terre cuite CCTB 01.11</w:t>
      </w:r>
      <w:bookmarkEnd w:id="234"/>
    </w:p>
    <w:p w14:paraId="597FE5A5" w14:textId="77777777" w:rsidR="00DB2B68" w:rsidRDefault="00000000">
      <w:pPr>
        <w:pStyle w:val="pheading"/>
      </w:pPr>
      <w:bookmarkStart w:id="235" w:name="379"/>
      <w:bookmarkEnd w:id="235"/>
      <w:r>
        <w:t>MATÉRIAUX</w:t>
      </w:r>
    </w:p>
    <w:p w14:paraId="1A99DF4F" w14:textId="77777777" w:rsidR="00DB2B68" w:rsidRDefault="00000000">
      <w:r>
        <w:t>Il s'agit des briques</w:t>
      </w:r>
      <w:r>
        <w:rPr>
          <w:rStyle w:val="normalChar"/>
          <w:color w:val="000000"/>
        </w:rPr>
        <w:t> mécaniques ou moulées à la main </w:t>
      </w:r>
      <w:r>
        <w:t>de parement en terre cuite, qui répondent à la norme [NBN EN 771-1+A1] et au [PTV 23-002]. L'entrepreneur soumet un échantillon, la fiche technique et la déclaration des performances (DoP) du matériau pour approbation à l'auteur de projet et au maître de l’ouvrage.</w:t>
      </w:r>
    </w:p>
    <w:p w14:paraId="1C18908D" w14:textId="77777777" w:rsidR="00DB2B68" w:rsidRDefault="00000000">
      <w:pPr>
        <w:spacing w:line="259" w:lineRule="auto"/>
      </w:pPr>
      <w:r>
        <w:rPr>
          <w:rStyle w:val="normalChar"/>
          <w:b/>
          <w:color w:val="000000"/>
        </w:rPr>
        <w:t>BRIQUES DE TERRE CUITE - caractéristiques mécaniques et physiques</w:t>
      </w:r>
    </w:p>
    <w:p w14:paraId="756E2332" w14:textId="77777777" w:rsidR="00DB2B68" w:rsidRDefault="00000000">
      <w:pPr>
        <w:spacing w:line="259" w:lineRule="auto"/>
      </w:pPr>
      <w:r>
        <w:rPr>
          <w:rStyle w:val="normalChar"/>
          <w:color w:val="000000"/>
        </w:rPr>
        <w:t>A chaque livraison, les certificats d'origine sont soumis. Les briques de parement doivent en outre répondre aux critères de performances suivants :</w:t>
      </w:r>
    </w:p>
    <w:p w14:paraId="1D493B4A" w14:textId="77777777" w:rsidR="00DB2B68" w:rsidRDefault="00000000">
      <w:pPr>
        <w:pStyle w:val="Author-eListParagraph"/>
        <w:numPr>
          <w:ilvl w:val="0"/>
          <w:numId w:val="232"/>
        </w:numPr>
      </w:pPr>
      <w:r>
        <w:rPr>
          <w:rStyle w:val="normalChar"/>
          <w:color w:val="000000"/>
        </w:rPr>
        <w:t xml:space="preserve"> Résistance au gel élevée (++) (~ classe 5 selon la [NBN B 27-0xx série]) : conformément aux valeurs GC obtenues selon la [NBN B 27-010], après l'essai de gélivité direct (20 cycles à -15°C) selon la [NBN B 27-009/A2] les briques ne présentent pas de dégâts visibles (code 0). Voir section 21 Superstructures en maçonnerie</w:t>
      </w:r>
    </w:p>
    <w:p w14:paraId="1D743EC1" w14:textId="77777777" w:rsidR="00DB2B68" w:rsidRDefault="00000000">
      <w:pPr>
        <w:pStyle w:val="Author-eListParagraph"/>
        <w:numPr>
          <w:ilvl w:val="0"/>
          <w:numId w:val="232"/>
        </w:numPr>
      </w:pPr>
      <w:r>
        <w:rPr>
          <w:rStyle w:val="normalChar"/>
          <w:color w:val="000000"/>
        </w:rPr>
        <w:t xml:space="preserve"> Absorption d'eau après 24h d'immersion (informatif) : </w:t>
      </w:r>
      <w:r>
        <w:rPr>
          <w:rStyle w:val="optioncarChar"/>
        </w:rPr>
        <w:t>***</w:t>
      </w:r>
      <w:r>
        <w:rPr>
          <w:rStyle w:val="normalChar"/>
          <w:color w:val="000000"/>
        </w:rPr>
        <w:t xml:space="preserve"> %;</w:t>
      </w:r>
    </w:p>
    <w:p w14:paraId="0F9846C9" w14:textId="77777777" w:rsidR="00DB2B68" w:rsidRDefault="00000000">
      <w:pPr>
        <w:pStyle w:val="Author-eListParagraph"/>
        <w:numPr>
          <w:ilvl w:val="0"/>
          <w:numId w:val="232"/>
        </w:numPr>
      </w:pPr>
      <w:r>
        <w:rPr>
          <w:rStyle w:val="normalChar"/>
          <w:color w:val="000000"/>
        </w:rPr>
        <w:t xml:space="preserve"> Taux initial d'absorption d'eau (IW) - d'importance pour le choix du mortier : </w:t>
      </w:r>
      <w:r>
        <w:rPr>
          <w:rStyle w:val="optioncarChar"/>
        </w:rPr>
        <w:t>***</w:t>
      </w:r>
      <w:r>
        <w:rPr>
          <w:rStyle w:val="normalChar"/>
          <w:color w:val="000000"/>
        </w:rPr>
        <w:t xml:space="preserve"> kg/m².min</w:t>
      </w:r>
    </w:p>
    <w:p w14:paraId="5FE04A3C" w14:textId="77777777" w:rsidR="00DB2B68" w:rsidRDefault="00000000">
      <w:pPr>
        <w:spacing w:line="259" w:lineRule="auto"/>
      </w:pPr>
      <w:r>
        <w:rPr>
          <w:rStyle w:val="normalChar"/>
          <w:color w:val="000000"/>
        </w:rPr>
        <w:t>I</w:t>
      </w:r>
      <w:r>
        <w:rPr>
          <w:rStyle w:val="optioncarChar"/>
        </w:rPr>
        <w:t>W1 : très peu de succion / IW2 : peu de succion / IW3 : succion normale / IW4 : Forte succion</w:t>
      </w:r>
    </w:p>
    <w:p w14:paraId="3A8CC8FF" w14:textId="77777777" w:rsidR="00DB2B68" w:rsidRDefault="00000000">
      <w:pPr>
        <w:pStyle w:val="Author-eListParagraph"/>
        <w:numPr>
          <w:ilvl w:val="0"/>
          <w:numId w:val="233"/>
        </w:numPr>
      </w:pPr>
      <w:r>
        <w:rPr>
          <w:rStyle w:val="normalChar"/>
          <w:color w:val="000000"/>
        </w:rPr>
        <w:t xml:space="preserve"> Essais d'efflorescence selon la [NBN B 24-209]: pas de taches blanches supérieures à 5 cm2 (briques de terre cuite);</w:t>
      </w:r>
    </w:p>
    <w:p w14:paraId="4607B960" w14:textId="77777777" w:rsidR="00DB2B68" w:rsidRDefault="00000000">
      <w:pPr>
        <w:pStyle w:val="Author-eListParagraph"/>
        <w:numPr>
          <w:ilvl w:val="0"/>
          <w:numId w:val="233"/>
        </w:numPr>
      </w:pPr>
      <w:r>
        <w:rPr>
          <w:rStyle w:val="normalChar"/>
          <w:color w:val="000000"/>
        </w:rPr>
        <w:t xml:space="preserve"> Teneur en sels solubles actifs : classe S2</w:t>
      </w:r>
    </w:p>
    <w:p w14:paraId="315F7071" w14:textId="77777777" w:rsidR="00DB2B68" w:rsidRDefault="00000000">
      <w:pPr>
        <w:pStyle w:val="Author-eListParagraph"/>
        <w:numPr>
          <w:ilvl w:val="0"/>
          <w:numId w:val="233"/>
        </w:numPr>
      </w:pPr>
      <w:r>
        <w:rPr>
          <w:rStyle w:val="normalChar"/>
          <w:color w:val="000000"/>
        </w:rPr>
        <w:t xml:space="preserve"> Essai de compression selon la [NBN EN 772-1+A1]: minimum </w:t>
      </w:r>
      <w:r>
        <w:rPr>
          <w:rStyle w:val="optioncarChar"/>
        </w:rPr>
        <w:t>***</w:t>
      </w:r>
      <w:r>
        <w:rPr>
          <w:rStyle w:val="normalChar"/>
          <w:color w:val="000000"/>
        </w:rPr>
        <w:t xml:space="preserve"> N/mm2.</w:t>
      </w:r>
    </w:p>
    <w:p w14:paraId="35696D5A" w14:textId="77777777" w:rsidR="00DB2B68" w:rsidRDefault="00000000">
      <w:pPr>
        <w:spacing w:line="259" w:lineRule="auto"/>
      </w:pPr>
      <w:r>
        <w:rPr>
          <w:rStyle w:val="normalChar"/>
          <w:color w:val="000000"/>
        </w:rPr>
        <w:t>La [Décision 96/603/CE] établit qu’une brique avec une teneur en matière organique inférieure à 1% (pourcentage massique ou volumique, selon la valeur la plus élevée) appartient à la classe de réaction au feu A1 (incombustible) sans qu’aucun autre test ne soit nécessaire.</w:t>
      </w:r>
    </w:p>
    <w:p w14:paraId="2894E86B" w14:textId="77777777" w:rsidR="00DB2B68" w:rsidRDefault="00DB2B68"/>
    <w:p w14:paraId="73A518B9" w14:textId="77777777" w:rsidR="00DB2B68" w:rsidRDefault="00000000">
      <w:pPr>
        <w:spacing w:line="259" w:lineRule="auto"/>
      </w:pPr>
      <w:r>
        <w:rPr>
          <w:rStyle w:val="normalChar"/>
          <w:b/>
          <w:color w:val="000000"/>
        </w:rPr>
        <w:t>BRIQUES DE TERRE CUITE - FORMAT, FORME &amp; ASPECT</w:t>
      </w:r>
    </w:p>
    <w:p w14:paraId="1FB278D4" w14:textId="77777777" w:rsidR="00DB2B68" w:rsidRDefault="00000000">
      <w:pPr>
        <w:spacing w:line="259" w:lineRule="auto"/>
      </w:pPr>
      <w:r>
        <w:rPr>
          <w:rStyle w:val="normalChar"/>
          <w:color w:val="000000"/>
        </w:rPr>
        <w:t>Avant l'exécution, au moins trois échantillons sont soumis pour approbation à l'auteur de projet et au maître de l'ouvrage, afin de déterminer la couleur définitive. A la demande de l'auteur de projet, on maçonne pour ce faire un ou plusieurs essais de murs d'environ 1 m2; les frais de la construction et de la démolition de ces murets sont à charge de l'entrepreneur.</w:t>
      </w:r>
    </w:p>
    <w:p w14:paraId="1CD22E2A" w14:textId="77777777" w:rsidR="00DB2B68" w:rsidRDefault="00000000">
      <w:pPr>
        <w:spacing w:line="259" w:lineRule="auto"/>
      </w:pPr>
      <w:r>
        <w:rPr>
          <w:rStyle w:val="normalChar"/>
          <w:color w:val="000000"/>
        </w:rPr>
        <w:t>Les briques à mettre en œuvre sont exemptes de crevasses, ou écornures. Les briques cassées ou qui présentent des traces d'incuits, les briques de forme ou d'aspect irréguliers sont refusées. Lorsque la fourniture entière est refusée, l'entrepreneur peut trier les briques sur place; les briques refusées doivent toutefois être évacuées du chantier.</w:t>
      </w:r>
    </w:p>
    <w:p w14:paraId="4641D03B" w14:textId="77777777" w:rsidR="00DB2B68" w:rsidRDefault="00000000">
      <w:pPr>
        <w:spacing w:line="259" w:lineRule="auto"/>
      </w:pPr>
      <w:r>
        <w:rPr>
          <w:rStyle w:val="normalChar"/>
          <w:color w:val="000000"/>
        </w:rPr>
        <w:t>En ce qui concerne les limites au niveau des dégradations et des défauts, les briques respectent le [PTV 23-002] :</w:t>
      </w:r>
    </w:p>
    <w:p w14:paraId="65DE5281" w14:textId="77777777" w:rsidR="00DB2B68" w:rsidRDefault="00000000">
      <w:pPr>
        <w:pStyle w:val="Author-eListParagraph"/>
        <w:numPr>
          <w:ilvl w:val="0"/>
          <w:numId w:val="234"/>
        </w:numPr>
      </w:pPr>
      <w:r>
        <w:rPr>
          <w:rStyle w:val="normalChar"/>
          <w:color w:val="000000"/>
        </w:rPr>
        <w:t xml:space="preserve">Dégradations (briques cassées, fissures, écornures, épaufrures visibles) : sur un échantillonnage de 100 briques, au moins 90 ne présentent pas de dégradations sur une </w:t>
      </w:r>
      <w:r>
        <w:rPr>
          <w:rStyle w:val="normalChar"/>
          <w:color w:val="000000"/>
        </w:rPr>
        <w:lastRenderedPageBreak/>
        <w:t>boutisse et une panneresse. Les dimensions minimales des dégradations sont définies dans le PTV en fonction du type de brique (étirée, pressée, moulée).</w:t>
      </w:r>
    </w:p>
    <w:p w14:paraId="1D100E5C" w14:textId="77777777" w:rsidR="00DB2B68" w:rsidRDefault="00000000">
      <w:pPr>
        <w:pStyle w:val="Author-eListParagraph"/>
        <w:numPr>
          <w:ilvl w:val="0"/>
          <w:numId w:val="234"/>
        </w:numPr>
      </w:pPr>
      <w:r>
        <w:rPr>
          <w:rStyle w:val="normalChar"/>
          <w:color w:val="000000"/>
        </w:rPr>
        <w:t>Défauts (présence d'inclusions ou fissures d'épaisseur ≥ 0.2 mm sur la face vue) : le nombre de briques avec défaut ne peut dépasser 5%.</w:t>
      </w:r>
    </w:p>
    <w:p w14:paraId="0C039DB1" w14:textId="77777777" w:rsidR="00DB2B68" w:rsidRDefault="00000000">
      <w:pPr>
        <w:spacing w:line="259" w:lineRule="auto"/>
      </w:pPr>
      <w:r>
        <w:rPr>
          <w:rStyle w:val="normalChar"/>
          <w:color w:val="000000"/>
        </w:rPr>
        <w:t>Attention : les critères concernant les dégradations ne sont pas d'application pour les briques dégradées intentionnellement en usine pour raisons esthétiques.</w:t>
      </w:r>
    </w:p>
    <w:p w14:paraId="01C5409C" w14:textId="77777777" w:rsidR="00DB2B68" w:rsidRDefault="00DB2B68"/>
    <w:p w14:paraId="074C41B8" w14:textId="77777777" w:rsidR="00DB2B68" w:rsidRDefault="00000000">
      <w:pPr>
        <w:spacing w:line="259" w:lineRule="auto"/>
      </w:pPr>
      <w:r>
        <w:rPr>
          <w:rStyle w:val="normalChar"/>
          <w:b/>
          <w:color w:val="000000"/>
        </w:rPr>
        <w:t>MORTIER</w:t>
      </w:r>
    </w:p>
    <w:p w14:paraId="1381E74C" w14:textId="77777777" w:rsidR="00DB2B68" w:rsidRDefault="00000000">
      <w:pPr>
        <w:spacing w:line="259" w:lineRule="auto"/>
      </w:pPr>
      <w:r>
        <w:rPr>
          <w:rStyle w:val="normalChar"/>
          <w:color w:val="000000"/>
        </w:rPr>
        <w:t>Le mortier à coller ou à maçonner répond à la norme [NBN EN 998-2] et au règlement d’application [TRA 651].</w:t>
      </w:r>
    </w:p>
    <w:p w14:paraId="79930299" w14:textId="77777777" w:rsidR="00DB2B68" w:rsidRDefault="00000000">
      <w:pPr>
        <w:pStyle w:val="Author-eSectionHeading6Numberless"/>
      </w:pPr>
      <w:bookmarkStart w:id="236" w:name="_Toc220495365"/>
      <w:r>
        <w:t>21.31.1a Maçonneries de parement en briques de terre cuite à maçonner CCTB 01.13</w:t>
      </w:r>
      <w:bookmarkEnd w:id="236"/>
    </w:p>
    <w:p w14:paraId="17D79AC9" w14:textId="77777777" w:rsidR="00DB2B68" w:rsidRDefault="00000000">
      <w:pPr>
        <w:pStyle w:val="pheading"/>
      </w:pPr>
      <w:r>
        <w:t>DESCRIPTION</w:t>
      </w:r>
    </w:p>
    <w:p w14:paraId="4559E22B" w14:textId="77777777" w:rsidR="00DB2B68" w:rsidRDefault="00000000">
      <w:pPr>
        <w:pStyle w:val="pheading"/>
      </w:pPr>
      <w:r>
        <w:t>- Définition / Comprend</w:t>
      </w:r>
    </w:p>
    <w:p w14:paraId="24465A99" w14:textId="77777777" w:rsidR="00DB2B68" w:rsidRDefault="00000000">
      <w:r>
        <w:t xml:space="preserve">Il s’agit de la fourniture et la pose de maçonneries de parement en briques de terre cuite à maçonner. </w:t>
      </w:r>
      <w:r>
        <w:br/>
        <w:t xml:space="preserve">La portée des travaux est décrite dans l’article </w:t>
      </w:r>
      <w:hyperlink w:anchor="381" w:history="1">
        <w:r>
          <w:rPr>
            <w:color w:val="0000EE"/>
          </w:rPr>
          <w:t>21.3 Maçonneries de parement</w:t>
        </w:r>
      </w:hyperlink>
      <w:r>
        <w:t>.</w:t>
      </w:r>
    </w:p>
    <w:p w14:paraId="3A0E644B" w14:textId="77777777" w:rsidR="00DB2B68" w:rsidRDefault="00000000">
      <w:pPr>
        <w:pStyle w:val="pheading"/>
      </w:pPr>
      <w:r>
        <w:t>- Localisation</w:t>
      </w:r>
    </w:p>
    <w:p w14:paraId="552A5A60" w14:textId="77777777" w:rsidR="00DB2B68" w:rsidRDefault="00000000">
      <w:r>
        <w:t xml:space="preserve">La pose est réalisée aux endroits suivants : </w:t>
      </w:r>
      <w:r>
        <w:rPr>
          <w:rStyle w:val="optioncarChar"/>
        </w:rPr>
        <w:t>***</w:t>
      </w:r>
      <w:r>
        <w:t>.</w:t>
      </w:r>
      <w:r>
        <w:br/>
        <w:t>Voir plans et métrés détaillés.</w:t>
      </w:r>
    </w:p>
    <w:p w14:paraId="54D9F981" w14:textId="77777777" w:rsidR="00DB2B68" w:rsidRDefault="00000000">
      <w:pPr>
        <w:pStyle w:val="pheading"/>
      </w:pPr>
      <w:r>
        <w:t>MATÉRIAUX</w:t>
      </w:r>
    </w:p>
    <w:p w14:paraId="4945A187" w14:textId="77777777" w:rsidR="00DB2B68" w:rsidRDefault="00000000">
      <w:pPr>
        <w:pStyle w:val="pheading"/>
      </w:pPr>
      <w:r>
        <w:t>- Caractéristiques générales</w:t>
      </w:r>
    </w:p>
    <w:p w14:paraId="0F52A5D1" w14:textId="77777777" w:rsidR="00DB2B68" w:rsidRDefault="00000000">
      <w:r>
        <w:t>B</w:t>
      </w:r>
      <w:r>
        <w:rPr>
          <w:b/>
        </w:rPr>
        <w:t>rique</w:t>
      </w:r>
    </w:p>
    <w:p w14:paraId="70AFFA5F" w14:textId="77777777" w:rsidR="00DB2B68" w:rsidRDefault="00000000">
      <w:r>
        <w:t>En ce qui concerne la déclaration de la résistance à la compression, les briques sont de catégorie I (la résistance à la compression est déclarée avec une fiabilité de 95%).</w:t>
      </w:r>
      <w:r>
        <w:br/>
      </w:r>
      <w:r>
        <w:br/>
      </w:r>
      <w:r>
        <w:rPr>
          <w:rStyle w:val="normalChar"/>
          <w:color w:val="000000"/>
        </w:rPr>
        <w:t>La résistance en compression</w:t>
      </w:r>
      <w:r>
        <w:rPr>
          <w:rStyle w:val="optioncarChar"/>
        </w:rPr>
        <w:t xml:space="preserve"> moyenne (fmean) </w:t>
      </w:r>
      <w:r>
        <w:t>(par défaut)</w:t>
      </w:r>
      <w:r>
        <w:rPr>
          <w:rStyle w:val="optioncarChar"/>
        </w:rPr>
        <w:t xml:space="preserve"> / normalisée (fb) </w:t>
      </w:r>
      <w:r>
        <w:rPr>
          <w:rStyle w:val="normalChar"/>
          <w:color w:val="000000"/>
        </w:rPr>
        <w:t>selon la [NBN EN 771-1+A1], la [NBN EN 772-1+A1] et la [NBN EN 1996 série] est au minimum:</w:t>
      </w:r>
      <w:r>
        <w:rPr>
          <w:rStyle w:val="optioncarChar"/>
          <w:color w:val="000000"/>
        </w:rPr>
        <w:t xml:space="preserve"> *** </w:t>
      </w:r>
      <w:r>
        <w:rPr>
          <w:rStyle w:val="normalChar"/>
          <w:color w:val="000000"/>
        </w:rPr>
        <w:t>N/mm² (MPa).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clivé / ***</w:t>
      </w:r>
      <w:r>
        <w:br/>
      </w:r>
      <w:r>
        <w:br/>
        <w:t xml:space="preserve">Teinte : </w:t>
      </w:r>
      <w:r>
        <w:rPr>
          <w:rStyle w:val="optioncarChar"/>
        </w:rPr>
        <w:t>blanc / rouge </w:t>
      </w:r>
      <w:r>
        <w:t>(par défaut)</w:t>
      </w:r>
      <w:r>
        <w:rPr>
          <w:rStyle w:val="optioncarChar"/>
        </w:rPr>
        <w:t xml:space="preserve"> / gris / ***</w:t>
      </w:r>
    </w:p>
    <w:p w14:paraId="2A24F83D" w14:textId="77777777" w:rsidR="00DB2B68" w:rsidRDefault="00000000">
      <w:r>
        <w:rPr>
          <w:rStyle w:val="normalChar"/>
          <w:color w:val="000000"/>
        </w:rPr>
        <w:t xml:space="preserve">Épaisseur nominale du mur : </w:t>
      </w:r>
      <w:r>
        <w:rPr>
          <w:rStyle w:val="optioncarChar"/>
          <w:color w:val="000000"/>
        </w:rPr>
        <w:t xml:space="preserve">6,5 / 9 / selon les indications sur les plans </w:t>
      </w:r>
      <w:r>
        <w:t>(par défaut)</w:t>
      </w:r>
      <w:r>
        <w:rPr>
          <w:rStyle w:val="optioncarChar"/>
        </w:rPr>
        <w:t xml:space="preserve"> / ***</w:t>
      </w:r>
      <w:r>
        <w:t xml:space="preserve"> cm</w:t>
      </w:r>
      <w:r>
        <w:rPr>
          <w:rStyle w:val="optioncarChar"/>
          <w:color w:val="000000"/>
        </w:rPr>
        <w:t>.</w:t>
      </w:r>
    </w:p>
    <w:p w14:paraId="6753FB06" w14:textId="77777777" w:rsidR="00DB2B68" w:rsidRDefault="00000000">
      <w:r>
        <w:br/>
        <w:t xml:space="preserve">Format : (L x l x h) </w:t>
      </w:r>
      <w:r>
        <w:rPr>
          <w:rStyle w:val="optioncarChar"/>
        </w:rPr>
        <w:t>*** x *** x *** mm / format modulaire proposé par l'entrepreneur </w:t>
      </w:r>
      <w:r>
        <w:t>(par défaut)</w:t>
      </w:r>
    </w:p>
    <w:p w14:paraId="1BD1FE3B" w14:textId="77777777" w:rsidR="00DB2B68" w:rsidRDefault="00000000">
      <w:r>
        <w:rPr>
          <w:rStyle w:val="normalChar"/>
          <w:color w:val="000000"/>
        </w:rPr>
        <w:t xml:space="preserve">Type de brique de forme spéciale pour donner un aspect maçonnerie à joints minces : </w:t>
      </w:r>
      <w:r>
        <w:rPr>
          <w:rStyle w:val="optioncarChar"/>
          <w:color w:val="000000"/>
        </w:rPr>
        <w:t>oui / non</w:t>
      </w:r>
    </w:p>
    <w:p w14:paraId="6212EA3C" w14:textId="77777777" w:rsidR="00DB2B68" w:rsidRDefault="00000000">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p>
    <w:p w14:paraId="0AB0E09C" w14:textId="77777777" w:rsidR="00DB2B68" w:rsidRDefault="00000000">
      <w:r>
        <w:lastRenderedPageBreak/>
        <w:t xml:space="preserve">La catégorie de la résistance au gel est adaptée à la classe d'exposition de la maçonnerie : </w:t>
      </w:r>
      <w:r>
        <w:rPr>
          <w:color w:val="FF0000"/>
        </w:rPr>
        <w:t>MX1/MX2/MX3.1/MX3.2 [NBN EN 771-1+A1]</w:t>
      </w:r>
      <w:r>
        <w:t xml:space="preserve"> , [PTV 23-002].</w:t>
      </w:r>
    </w:p>
    <w:p w14:paraId="3EA567DC" w14:textId="77777777" w:rsidR="00DB2B68" w:rsidRDefault="00000000">
      <w:r>
        <w:t xml:space="preserve">Taux initial d’absorption d’eau : classe </w:t>
      </w:r>
      <w:r>
        <w:rPr>
          <w:rStyle w:val="optioncarChar"/>
        </w:rPr>
        <w:t>IW1 / IW2 / IW3 / IW4</w:t>
      </w:r>
      <w:r>
        <w:br/>
      </w:r>
      <w:r>
        <w:br/>
        <w:t xml:space="preserve">Réaction au feu : </w:t>
      </w:r>
      <w:r>
        <w:rPr>
          <w:rStyle w:val="optioncarChar"/>
        </w:rPr>
        <w:t xml:space="preserve">A1 </w:t>
      </w:r>
      <w:r>
        <w:t>(par défaut) </w:t>
      </w:r>
      <w:r>
        <w:rPr>
          <w:rStyle w:val="optioncarChar"/>
        </w:rPr>
        <w:t>/ ***</w:t>
      </w:r>
      <w:r>
        <w:br/>
      </w:r>
      <w:r>
        <w:br/>
      </w:r>
      <w:r>
        <w:rPr>
          <w:b/>
        </w:rPr>
        <w:t>Mortier</w:t>
      </w:r>
    </w:p>
    <w:p w14:paraId="6A8E3CAF" w14:textId="77777777" w:rsidR="00DB2B68" w:rsidRDefault="00000000">
      <w:r>
        <w:rPr>
          <w:rStyle w:val="normalChar"/>
          <w:color w:val="000000"/>
        </w:rPr>
        <w:t xml:space="preserve">Le mortier est du type G ou dosé in situ adapté à des joints d’épaisseur nominale de </w:t>
      </w:r>
      <w:r>
        <w:rPr>
          <w:rStyle w:val="optioncarChar"/>
        </w:rPr>
        <w:t>8 </w:t>
      </w:r>
      <w:r>
        <w:t>(par défaut)</w:t>
      </w:r>
      <w:r>
        <w:rPr>
          <w:rStyle w:val="optioncarChar"/>
        </w:rPr>
        <w:t xml:space="preserve"> / 12 / ***</w:t>
      </w:r>
      <w:r>
        <w:t xml:space="preserve"> mm.</w:t>
      </w:r>
      <w:r>
        <w:br/>
      </w:r>
      <w:r>
        <w:br/>
      </w:r>
      <w:r>
        <w:br/>
      </w:r>
      <w:r>
        <w:rPr>
          <w:b/>
        </w:rPr>
        <w:t>Critères de performances du parement</w:t>
      </w:r>
    </w:p>
    <w:p w14:paraId="6DBAF6A3" w14:textId="77777777" w:rsidR="00DB2B68" w:rsidRDefault="00000000">
      <w:r>
        <w:br/>
        <w:t xml:space="preserve">• valeur λUi ou λUe maximum </w:t>
      </w:r>
      <w:r>
        <w:rPr>
          <w:rStyle w:val="optioncarChar"/>
        </w:rPr>
        <w:t>***</w:t>
      </w:r>
      <w:r>
        <w:t xml:space="preserve"> W/mK (suivant l’application).</w:t>
      </w:r>
    </w:p>
    <w:p w14:paraId="3894CF17" w14:textId="77777777" w:rsidR="00DB2B68" w:rsidRDefault="00000000">
      <w:pPr>
        <w:pStyle w:val="pheading"/>
      </w:pPr>
      <w:r>
        <w:t>- Finitions</w:t>
      </w:r>
    </w:p>
    <w:p w14:paraId="3FD97335"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14258788"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7ECD269F"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1F4FA723"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DCBA97A"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19319D44" w14:textId="77777777" w:rsidR="00DB2B68" w:rsidRDefault="00000000">
      <w:pPr>
        <w:pStyle w:val="pheading"/>
      </w:pPr>
      <w:r>
        <w:t>EXÉCUTION / MISE EN ŒUVRE</w:t>
      </w:r>
    </w:p>
    <w:p w14:paraId="1F6AFB6B" w14:textId="77777777" w:rsidR="00DB2B68" w:rsidRDefault="00000000">
      <w:pPr>
        <w:pStyle w:val="pheading"/>
      </w:pPr>
      <w:r>
        <w:t>- Prescriptions générales</w:t>
      </w:r>
    </w:p>
    <w:p w14:paraId="663BF6CF" w14:textId="77777777" w:rsidR="00DB2B68"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25785338" w14:textId="77777777" w:rsidR="00DB2B68" w:rsidRDefault="00DB2B68"/>
    <w:p w14:paraId="141D5407"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442D4B5D" w14:textId="77777777" w:rsidR="00DB2B68" w:rsidRDefault="00DB2B68"/>
    <w:p w14:paraId="18B0F8D1" w14:textId="77777777" w:rsidR="00DB2B68" w:rsidRDefault="00000000">
      <w:pPr>
        <w:spacing w:line="259" w:lineRule="auto"/>
      </w:pPr>
      <w:r>
        <w:rPr>
          <w:rStyle w:val="normalChar"/>
          <w:b/>
          <w:color w:val="000000"/>
        </w:rPr>
        <w:t>LINTEAUX</w:t>
      </w:r>
    </w:p>
    <w:p w14:paraId="58462F15"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17892B92" w14:textId="77777777" w:rsidR="00DB2B68" w:rsidRDefault="00000000">
      <w:r>
        <w:rPr>
          <w:b/>
        </w:rPr>
        <w:t>(soit par défaut)</w:t>
      </w:r>
    </w:p>
    <w:p w14:paraId="04594BF2" w14:textId="77777777" w:rsidR="00DB2B68" w:rsidRDefault="00000000">
      <w:r>
        <w:rPr>
          <w:rStyle w:val="soitChar"/>
          <w:u w:val="single"/>
        </w:rPr>
        <w:t>D'une armature et de crochets de mur</w:t>
      </w:r>
      <w:r>
        <w:rPr>
          <w:rStyle w:val="soitChar"/>
        </w:rPr>
        <w:t> :</w:t>
      </w:r>
    </w:p>
    <w:p w14:paraId="70C33676"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 xml:space="preserve">(par défaut) </w:t>
      </w:r>
      <w:r>
        <w:rPr>
          <w:rStyle w:val="optioncarChar"/>
        </w:rPr>
        <w:t>/ selon l’appareillage général de la maçonnerie / ***</w:t>
      </w:r>
    </w:p>
    <w:p w14:paraId="0C0D4BE0" w14:textId="77777777" w:rsidR="00DB2B68" w:rsidRDefault="00000000">
      <w:r>
        <w:rPr>
          <w:b/>
        </w:rPr>
        <w:t>(soit)</w:t>
      </w:r>
    </w:p>
    <w:p w14:paraId="75247F5A"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lastRenderedPageBreak/>
        <w:t>La brique est découpée pour masquer la cornière : </w:t>
      </w:r>
      <w:r>
        <w:rPr>
          <w:rStyle w:val="optioncarChar"/>
        </w:rPr>
        <w:t xml:space="preserve">oui / non </w:t>
      </w:r>
      <w:r>
        <w:rPr>
          <w:rStyle w:val="optioncarChar"/>
          <w:color w:val="000000"/>
        </w:rPr>
        <w:t>(par défaut)</w:t>
      </w:r>
      <w:r>
        <w:br/>
      </w:r>
    </w:p>
    <w:p w14:paraId="14369BA1" w14:textId="77777777" w:rsidR="00DB2B68" w:rsidRDefault="00000000">
      <w:r>
        <w:rPr>
          <w:b/>
        </w:rPr>
        <w:t>(soit)</w:t>
      </w:r>
    </w:p>
    <w:p w14:paraId="0DFD33C0"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r>
        <w:br/>
      </w:r>
    </w:p>
    <w:p w14:paraId="45B7126F" w14:textId="77777777" w:rsidR="00DB2B68" w:rsidRDefault="00000000">
      <w:r>
        <w:rPr>
          <w:b/>
        </w:rPr>
        <w:t>(soit)</w:t>
      </w:r>
    </w:p>
    <w:p w14:paraId="1B4B0352"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 xml:space="preserve">(par défaut) </w:t>
      </w:r>
      <w:r>
        <w:rPr>
          <w:rStyle w:val="optioncarChar"/>
        </w:rPr>
        <w:t>/ arcs / linteau en béton / linteau en pierre / ***</w:t>
      </w:r>
    </w:p>
    <w:p w14:paraId="27CB0FD9" w14:textId="77777777" w:rsidR="00DB2B68" w:rsidRDefault="00000000">
      <w:r>
        <w:rPr>
          <w:b/>
        </w:rPr>
        <w:t>(soit)</w:t>
      </w:r>
    </w:p>
    <w:p w14:paraId="342BAE02" w14:textId="77777777" w:rsidR="00DB2B68" w:rsidRDefault="00000000">
      <w:r>
        <w:rPr>
          <w:rStyle w:val="optioncarChar"/>
        </w:rPr>
        <w:t> ***</w:t>
      </w:r>
    </w:p>
    <w:p w14:paraId="0ABF42B8" w14:textId="77777777" w:rsidR="00DB2B68" w:rsidRDefault="00000000">
      <w:pPr>
        <w:ind w:left="750"/>
      </w:pPr>
      <w:r>
        <w:t> </w:t>
      </w:r>
    </w:p>
    <w:p w14:paraId="666F44F7" w14:textId="77777777" w:rsidR="00DB2B68" w:rsidRDefault="00000000">
      <w:pPr>
        <w:pStyle w:val="pheading"/>
      </w:pPr>
      <w:r>
        <w:t>MESURAGE</w:t>
      </w:r>
    </w:p>
    <w:p w14:paraId="55B59371" w14:textId="77777777" w:rsidR="00DB2B68" w:rsidRDefault="00000000">
      <w:pPr>
        <w:pStyle w:val="pheading"/>
      </w:pPr>
      <w:r>
        <w:t>- unité de mesure:</w:t>
      </w:r>
    </w:p>
    <w:p w14:paraId="31E63C7B" w14:textId="77777777" w:rsidR="00DB2B68" w:rsidRDefault="00000000">
      <w:r>
        <w:rPr>
          <w:rStyle w:val="optioncarChar"/>
        </w:rPr>
        <w:t xml:space="preserve">m² </w:t>
      </w:r>
      <w:r>
        <w:rPr>
          <w:rStyle w:val="optioncarChar"/>
          <w:color w:val="000000"/>
        </w:rPr>
        <w:t>(par défaut)</w:t>
      </w:r>
      <w:r>
        <w:rPr>
          <w:rStyle w:val="optioncarChar"/>
        </w:rPr>
        <w:t xml:space="preserve"> / m³</w:t>
      </w:r>
    </w:p>
    <w:p w14:paraId="68AAF9C5" w14:textId="77777777" w:rsidR="00DB2B68" w:rsidRDefault="00000000">
      <w:pPr>
        <w:spacing w:after="0" w:line="0" w:lineRule="atLeast"/>
      </w:pPr>
      <w:r>
        <w:rPr>
          <w:b/>
          <w:color w:val="000000"/>
        </w:rPr>
        <w:t xml:space="preserve"> (soit par défaut) </w:t>
      </w:r>
    </w:p>
    <w:p w14:paraId="023CF886" w14:textId="77777777" w:rsidR="00DB2B68" w:rsidRDefault="00000000">
      <w:pPr>
        <w:spacing w:after="0" w:line="0" w:lineRule="atLeast"/>
      </w:pPr>
      <w:r>
        <w:rPr>
          <w:rStyle w:val="soitChar"/>
        </w:rPr>
        <w:t>1. m²</w:t>
      </w:r>
    </w:p>
    <w:p w14:paraId="7816ED1D" w14:textId="77777777" w:rsidR="00DB2B68" w:rsidRDefault="00000000">
      <w:pPr>
        <w:spacing w:after="0" w:line="0" w:lineRule="atLeast"/>
      </w:pPr>
      <w:r>
        <w:rPr>
          <w:b/>
          <w:color w:val="000000"/>
        </w:rPr>
        <w:t xml:space="preserve"> (soit) </w:t>
      </w:r>
    </w:p>
    <w:p w14:paraId="229379D6" w14:textId="77777777" w:rsidR="00DB2B68" w:rsidRDefault="00000000">
      <w:pPr>
        <w:spacing w:after="0" w:line="0" w:lineRule="atLeast"/>
      </w:pPr>
      <w:r>
        <w:rPr>
          <w:rStyle w:val="soitChar"/>
        </w:rPr>
        <w:t>2. m³</w:t>
      </w:r>
    </w:p>
    <w:p w14:paraId="0EB5BA5F" w14:textId="77777777" w:rsidR="00DB2B68" w:rsidRDefault="00000000">
      <w:pPr>
        <w:pStyle w:val="pheading"/>
      </w:pPr>
      <w:r>
        <w:t>- code de mesurage:</w:t>
      </w:r>
    </w:p>
    <w:p w14:paraId="6CBB87C1" w14:textId="77777777" w:rsidR="00DB2B68" w:rsidRDefault="00000000">
      <w:pPr>
        <w:spacing w:before="0" w:after="0"/>
      </w:pPr>
      <w:r>
        <w:t>Les maçonneries sont mesurées en fonction de leur forme géométrique.</w:t>
      </w:r>
    </w:p>
    <w:p w14:paraId="7153EE9F"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3BF63F2D" w14:textId="77777777" w:rsidR="00DB2B68" w:rsidRDefault="00000000">
      <w:pPr>
        <w:spacing w:before="0" w:after="0"/>
      </w:pPr>
      <w:r>
        <w:t>La coulisse n'est jamais prise en compte.</w:t>
      </w:r>
    </w:p>
    <w:p w14:paraId="70E26D19" w14:textId="77777777" w:rsidR="00DB2B68" w:rsidRDefault="00000000">
      <w:pPr>
        <w:spacing w:after="0" w:line="259" w:lineRule="auto"/>
      </w:pPr>
      <w:r>
        <w:rPr>
          <w:rStyle w:val="normalChar"/>
        </w:rPr>
        <w:t>Les accessoires (linteaux non décrits et non comptés dans un autre poste, attaches,…) sont compris dans le prix.</w:t>
      </w:r>
    </w:p>
    <w:p w14:paraId="39804A6C" w14:textId="77777777" w:rsidR="00DB2B68" w:rsidRDefault="00000000">
      <w:pPr>
        <w:spacing w:after="0" w:line="259" w:lineRule="auto"/>
      </w:pPr>
      <w:r>
        <w:rPr>
          <w:rStyle w:val="normalChar"/>
        </w:rPr>
        <w:t>Sont entre-autres décrits et comptés dans un autre poste :</w:t>
      </w:r>
    </w:p>
    <w:p w14:paraId="09B3F245" w14:textId="77777777" w:rsidR="00DB2B68" w:rsidRDefault="00000000">
      <w:pPr>
        <w:pStyle w:val="Author-eListParagraph"/>
        <w:numPr>
          <w:ilvl w:val="0"/>
          <w:numId w:val="235"/>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5761FD28" w14:textId="77777777" w:rsidR="00DB2B68" w:rsidRDefault="00000000">
      <w:pPr>
        <w:pStyle w:val="Author-eListParagraph"/>
        <w:numPr>
          <w:ilvl w:val="0"/>
          <w:numId w:val="235"/>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6539DB4B" w14:textId="77777777" w:rsidR="00DB2B68" w:rsidRDefault="00000000">
      <w:pPr>
        <w:pStyle w:val="Author-eListParagraph"/>
        <w:numPr>
          <w:ilvl w:val="0"/>
          <w:numId w:val="235"/>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779EBE6F" w14:textId="77777777" w:rsidR="00DB2B68" w:rsidRDefault="0000000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14:paraId="1FFCA1A3" w14:textId="77777777" w:rsidR="00DB2B68" w:rsidRDefault="00000000">
      <w:pPr>
        <w:spacing w:after="0" w:line="252" w:lineRule="auto"/>
      </w:pPr>
      <w:r>
        <w:rPr>
          <w:b/>
          <w:color w:val="000000"/>
        </w:rPr>
        <w:t xml:space="preserve"> (soit par défaut) </w:t>
      </w:r>
    </w:p>
    <w:p w14:paraId="39D1A0B0" w14:textId="77777777" w:rsidR="00DB2B68" w:rsidRDefault="00000000">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14:paraId="3A0E5BCD" w14:textId="77777777" w:rsidR="00DB2B68" w:rsidRDefault="00000000">
      <w:pPr>
        <w:spacing w:after="0" w:line="252" w:lineRule="auto"/>
      </w:pPr>
      <w:r>
        <w:rPr>
          <w:rStyle w:val="soitChar"/>
        </w:rPr>
        <w:t>Distinction faite suivant l'épaisseur.</w:t>
      </w:r>
    </w:p>
    <w:p w14:paraId="53E49579" w14:textId="77777777" w:rsidR="00DB2B68" w:rsidRDefault="00000000">
      <w:pPr>
        <w:spacing w:line="252" w:lineRule="auto"/>
      </w:pPr>
      <w:r>
        <w:rPr>
          <w:b/>
          <w:color w:val="000000"/>
        </w:rPr>
        <w:t>(soit)</w:t>
      </w:r>
    </w:p>
    <w:p w14:paraId="0347202C" w14:textId="77777777" w:rsidR="00DB2B68" w:rsidRDefault="00000000">
      <w:pPr>
        <w:spacing w:line="252" w:lineRule="auto"/>
      </w:pPr>
      <w:r>
        <w:rPr>
          <w:rStyle w:val="soitChar"/>
          <w:u w:val="single"/>
        </w:rPr>
        <w:t xml:space="preserve">Volume net </w:t>
      </w:r>
      <w:r>
        <w:rPr>
          <w:rStyle w:val="soitChar"/>
        </w:rPr>
        <w:t xml:space="preserve">du parement ; la longueur des murs est mesurée dans l'axe de l'élément ; à l’intersection de deux murs, seul le mur le plus épais est considéré. Aucun volume n'est compté deux fois. </w:t>
      </w:r>
    </w:p>
    <w:p w14:paraId="5AA9E9F6"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43816221" w14:textId="77777777" w:rsidR="00DB2B68" w:rsidRDefault="00000000">
      <w:pPr>
        <w:pStyle w:val="pheading"/>
      </w:pPr>
      <w:r>
        <w:t>- nature du marché:</w:t>
      </w:r>
    </w:p>
    <w:p w14:paraId="559E5BB6" w14:textId="77777777" w:rsidR="00DB2B68" w:rsidRDefault="00000000">
      <w:r>
        <w:lastRenderedPageBreak/>
        <w:t>QF</w:t>
      </w:r>
    </w:p>
    <w:p w14:paraId="37313926" w14:textId="77777777" w:rsidR="00DB2B68" w:rsidRDefault="00000000">
      <w:pPr>
        <w:pStyle w:val="Author-eSectionHeading6Numberless"/>
      </w:pPr>
      <w:bookmarkStart w:id="237" w:name="_Toc220495366"/>
      <w:r>
        <w:t>21.31.1b Maçonneries de parement en briques de terre cuite à coller CCTB 01.13</w:t>
      </w:r>
      <w:bookmarkEnd w:id="237"/>
    </w:p>
    <w:p w14:paraId="766A2D16" w14:textId="77777777" w:rsidR="00DB2B68" w:rsidRDefault="00000000">
      <w:pPr>
        <w:pStyle w:val="pheading"/>
      </w:pPr>
      <w:r>
        <w:t>DESCRIPTION</w:t>
      </w:r>
    </w:p>
    <w:p w14:paraId="62508D5E" w14:textId="77777777" w:rsidR="00DB2B68" w:rsidRDefault="00000000">
      <w:pPr>
        <w:pStyle w:val="pheading"/>
      </w:pPr>
      <w:r>
        <w:t>- Définition / Comprend</w:t>
      </w:r>
    </w:p>
    <w:p w14:paraId="474C2A09" w14:textId="77777777" w:rsidR="00DB2B68" w:rsidRDefault="00000000">
      <w:r>
        <w:t xml:space="preserve">Il s’agit de la fourniture et la pose de maçonneries de parement en briques de terre cuite à coller. </w:t>
      </w:r>
      <w:r>
        <w:br/>
        <w:t xml:space="preserve">La portée des travaux est décrite dans l’article </w:t>
      </w:r>
      <w:hyperlink w:anchor="381" w:history="1">
        <w:r>
          <w:rPr>
            <w:color w:val="0000EE"/>
          </w:rPr>
          <w:t>21.3 Maçonneries de parement</w:t>
        </w:r>
      </w:hyperlink>
      <w:r>
        <w:t>.</w:t>
      </w:r>
    </w:p>
    <w:p w14:paraId="4FF581C5" w14:textId="77777777" w:rsidR="00DB2B68" w:rsidRDefault="00000000">
      <w:pPr>
        <w:pStyle w:val="pheading"/>
      </w:pPr>
      <w:r>
        <w:t>- Localisation</w:t>
      </w:r>
    </w:p>
    <w:p w14:paraId="18804EFE" w14:textId="77777777" w:rsidR="00DB2B68" w:rsidRDefault="00000000">
      <w:r>
        <w:t xml:space="preserve">La pose est réalisée aux endroits suivants : </w:t>
      </w:r>
      <w:r>
        <w:rPr>
          <w:rStyle w:val="optioncarChar"/>
        </w:rPr>
        <w:t>***</w:t>
      </w:r>
      <w:r>
        <w:t>.</w:t>
      </w:r>
      <w:r>
        <w:br/>
        <w:t>Voir plans et métrés détaillés.</w:t>
      </w:r>
    </w:p>
    <w:p w14:paraId="0D631362" w14:textId="77777777" w:rsidR="00DB2B68" w:rsidRDefault="00000000">
      <w:pPr>
        <w:pStyle w:val="pheading"/>
      </w:pPr>
      <w:r>
        <w:t>MATÉRIAUX</w:t>
      </w:r>
    </w:p>
    <w:p w14:paraId="2CEB576B" w14:textId="77777777" w:rsidR="00DB2B68" w:rsidRDefault="00000000">
      <w:pPr>
        <w:pStyle w:val="pheading"/>
      </w:pPr>
      <w:r>
        <w:t>- Caractéristiques générales</w:t>
      </w:r>
    </w:p>
    <w:p w14:paraId="5B855BEB" w14:textId="77777777" w:rsidR="00DB2B68" w:rsidRDefault="00000000">
      <w:r>
        <w:rPr>
          <w:b/>
        </w:rPr>
        <w:t>Briques</w:t>
      </w:r>
    </w:p>
    <w:p w14:paraId="26241B1E" w14:textId="77777777" w:rsidR="00DB2B68" w:rsidRDefault="0000000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[NBN EN 771-1+A1], la [NBN EN 772-1+A1] et la [NBN EN 1996 série] est au minimum: *** N/mm² (MPa).</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clivé / ***</w:t>
      </w:r>
      <w:r>
        <w:br/>
      </w:r>
      <w:r>
        <w:br/>
        <w:t xml:space="preserve">Teinte : </w:t>
      </w:r>
      <w:r>
        <w:rPr>
          <w:rStyle w:val="optioncarChar"/>
        </w:rPr>
        <w:t>blanc / rouge</w:t>
      </w:r>
      <w:r>
        <w:t> (par défaut)</w:t>
      </w:r>
      <w:r>
        <w:rPr>
          <w:rStyle w:val="optioncarChar"/>
        </w:rPr>
        <w:t xml:space="preserve"> / gris / ***</w:t>
      </w:r>
    </w:p>
    <w:p w14:paraId="52311215" w14:textId="77777777" w:rsidR="00DB2B68" w:rsidRDefault="00000000">
      <w:r>
        <w:rPr>
          <w:rStyle w:val="normalChar"/>
          <w:color w:val="000000"/>
        </w:rPr>
        <w:t xml:space="preserve">Épaisseur nominale du mur : </w:t>
      </w:r>
      <w:r>
        <w:rPr>
          <w:rStyle w:val="optioncarChar"/>
        </w:rPr>
        <w:t xml:space="preserve">6,5 / 9 / selon les indications sur les plans </w:t>
      </w:r>
      <w:r>
        <w:t xml:space="preserve">(par défaut) </w:t>
      </w:r>
      <w:r>
        <w:rPr>
          <w:rStyle w:val="optioncarChar"/>
        </w:rPr>
        <w:t>/ ***</w:t>
      </w:r>
      <w:r>
        <w:t xml:space="preserve"> cm</w:t>
      </w:r>
      <w:r>
        <w:rPr>
          <w:rStyle w:val="optioncarChar"/>
        </w:rPr>
        <w:t xml:space="preserve">. </w:t>
      </w:r>
    </w:p>
    <w:p w14:paraId="3F8F94B5" w14:textId="77777777" w:rsidR="00DB2B68" w:rsidRDefault="00000000">
      <w:r>
        <w:t xml:space="preserve">Format : (L x l x h) </w:t>
      </w:r>
      <w:r>
        <w:rPr>
          <w:rStyle w:val="optioncarChar"/>
        </w:rPr>
        <w:t>*** x *** x *** mm / format modulaire proposé par l'entrepreneur </w:t>
      </w:r>
      <w:r>
        <w:t>(par défaut)</w:t>
      </w:r>
    </w:p>
    <w:p w14:paraId="0248BEDF" w14:textId="77777777" w:rsidR="00DB2B68" w:rsidRDefault="00000000">
      <w:pPr>
        <w:spacing w:line="259" w:lineRule="auto"/>
      </w:pPr>
      <w:r>
        <w:rPr>
          <w:rStyle w:val="normalChar"/>
          <w:color w:val="000000"/>
        </w:rPr>
        <w:t>Type de brique de forme spéciale pour donner un aspect maçonnerie à joints minces :</w:t>
      </w:r>
      <w:r>
        <w:rPr>
          <w:rStyle w:val="optioncarChar"/>
        </w:rPr>
        <w:t>oui / non</w:t>
      </w:r>
      <w:r>
        <w:br/>
      </w:r>
      <w:r>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r>
    </w:p>
    <w:p w14:paraId="3BCF1FB1" w14:textId="77777777" w:rsidR="00DB2B68" w:rsidRDefault="00000000">
      <w:r>
        <w:t xml:space="preserve">La catégorie de la résistance au gel est adaptée à la classe d'exposition de la maçonnerie : </w:t>
      </w:r>
      <w:r>
        <w:rPr>
          <w:color w:val="FF0000"/>
        </w:rPr>
        <w:t>MX1/MX2/MX3.1/MX3.2 [NBN EN 771-1+A1]</w:t>
      </w:r>
      <w:r>
        <w:t xml:space="preserve"> , [PTV 23-002].</w:t>
      </w:r>
    </w:p>
    <w:p w14:paraId="13FFA95D" w14:textId="77777777" w:rsidR="00DB2B68" w:rsidRDefault="00000000">
      <w:r>
        <w:t xml:space="preserve">Taux initial d’absorption d’eau : classe </w:t>
      </w:r>
      <w:r>
        <w:rPr>
          <w:rStyle w:val="optioncarChar"/>
        </w:rPr>
        <w:t>IW1 / IW2 / IW3 / IW4</w:t>
      </w:r>
      <w:r>
        <w:br/>
      </w:r>
      <w:r>
        <w:br/>
        <w:t xml:space="preserve">Réaction au feu : </w:t>
      </w:r>
      <w:r>
        <w:rPr>
          <w:rStyle w:val="optioncarChar"/>
        </w:rPr>
        <w:t>A1</w:t>
      </w:r>
      <w:r>
        <w:t> (par défaut)</w:t>
      </w:r>
      <w:r>
        <w:rPr>
          <w:rStyle w:val="optioncarChar"/>
        </w:rPr>
        <w:t xml:space="preserve"> / ***</w:t>
      </w:r>
      <w:r>
        <w:br/>
      </w:r>
      <w:r>
        <w:br/>
      </w:r>
      <w:r>
        <w:rPr>
          <w:b/>
        </w:rPr>
        <w:t>Mortier</w:t>
      </w:r>
    </w:p>
    <w:p w14:paraId="52111A05" w14:textId="77777777" w:rsidR="00DB2B68" w:rsidRDefault="00000000">
      <w:pPr>
        <w:spacing w:line="259" w:lineRule="auto"/>
      </w:pPr>
      <w:r>
        <w:t>Le mortier-colle est du type T adapté à des joints d’épaisseur nominale comprise entre 3 et 6 mm.</w:t>
      </w:r>
      <w:r>
        <w:br/>
      </w:r>
      <w:r>
        <w:br/>
      </w:r>
      <w:r>
        <w:br/>
      </w:r>
      <w:r>
        <w:rPr>
          <w:b/>
        </w:rPr>
        <w:t>Critères de performances du parement</w:t>
      </w:r>
    </w:p>
    <w:p w14:paraId="7520055C" w14:textId="77777777" w:rsidR="00DB2B68" w:rsidRDefault="00000000">
      <w:pPr>
        <w:spacing w:line="259" w:lineRule="auto"/>
      </w:pPr>
      <w:r>
        <w:lastRenderedPageBreak/>
        <w:br/>
        <w:t xml:space="preserve">• valeur λUi ou λUe maximum </w:t>
      </w:r>
      <w:r>
        <w:rPr>
          <w:rStyle w:val="optioncarChar"/>
        </w:rPr>
        <w:t>***</w:t>
      </w:r>
      <w:r>
        <w:t xml:space="preserve"> W/mK (suivant l’application).</w:t>
      </w:r>
    </w:p>
    <w:p w14:paraId="687A8890" w14:textId="77777777" w:rsidR="00DB2B68" w:rsidRDefault="00000000">
      <w:r>
        <w:t> </w:t>
      </w:r>
    </w:p>
    <w:p w14:paraId="3FD5FD1D" w14:textId="77777777" w:rsidR="00DB2B68" w:rsidRDefault="00000000">
      <w:pPr>
        <w:pStyle w:val="pheading"/>
      </w:pPr>
      <w:r>
        <w:t>- Finitions</w:t>
      </w:r>
    </w:p>
    <w:p w14:paraId="0F5C2498"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5CF493A3" w14:textId="77777777" w:rsidR="00DB2B68" w:rsidRDefault="00000000">
      <w:pPr>
        <w:pStyle w:val="pheading"/>
      </w:pPr>
      <w:r>
        <w:t>EXÉCUTION / MISE EN ŒUVRE</w:t>
      </w:r>
    </w:p>
    <w:p w14:paraId="2DD0CBCD" w14:textId="77777777" w:rsidR="00DB2B68" w:rsidRDefault="00000000">
      <w:pPr>
        <w:pStyle w:val="pheading"/>
      </w:pPr>
      <w:r>
        <w:t>- Prescriptions générales</w:t>
      </w:r>
    </w:p>
    <w:p w14:paraId="3E274D6A" w14:textId="77777777" w:rsidR="00DB2B68"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04D1C277"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7E1DF25E" w14:textId="77777777" w:rsidR="00DB2B68" w:rsidRDefault="00DB2B68"/>
    <w:p w14:paraId="5DE8079E" w14:textId="77777777" w:rsidR="00DB2B68" w:rsidRDefault="00000000">
      <w:pPr>
        <w:spacing w:line="259" w:lineRule="auto"/>
      </w:pPr>
      <w:r>
        <w:rPr>
          <w:rStyle w:val="normalChar"/>
          <w:b/>
          <w:color w:val="000000"/>
        </w:rPr>
        <w:t>LINTEAUX</w:t>
      </w:r>
    </w:p>
    <w:p w14:paraId="297921D3" w14:textId="77777777" w:rsidR="00DB2B68" w:rsidRDefault="00000000">
      <w:pPr>
        <w:spacing w:line="259" w:lineRule="auto"/>
      </w:pPr>
      <w:r>
        <w:rPr>
          <w:rStyle w:val="normalChar"/>
          <w:color w:val="000000"/>
        </w:rPr>
        <w:t>Les linteaux des ouvertures du parement sont réalisés à l’aide </w:t>
      </w:r>
      <w:r>
        <w:rPr>
          <w:rStyle w:val="optioncarChar"/>
        </w:rPr>
        <w:t xml:space="preserve">d’une armature et de crochets de mur </w:t>
      </w:r>
      <w:r>
        <w:t>(par défaut)</w:t>
      </w:r>
      <w:r>
        <w:rPr>
          <w:rStyle w:val="optioncarChar"/>
        </w:rPr>
        <w:t xml:space="preserve"> / d’une cornière continue / de consoles trapézoïdales / de briques sur chants sans accessoires / ***</w:t>
      </w:r>
    </w:p>
    <w:p w14:paraId="271364EF" w14:textId="77777777" w:rsidR="00DB2B68" w:rsidRDefault="00000000">
      <w:r>
        <w:rPr>
          <w:b/>
        </w:rPr>
        <w:t xml:space="preserve"> (soit par défaut) </w:t>
      </w:r>
    </w:p>
    <w:p w14:paraId="2E13F107" w14:textId="77777777" w:rsidR="00DB2B68" w:rsidRDefault="00000000">
      <w:r>
        <w:rPr>
          <w:rStyle w:val="soitChar"/>
          <w:u w:val="single"/>
        </w:rPr>
        <w:t>D'une armature et de crochets de mur</w:t>
      </w:r>
      <w:r>
        <w:rPr>
          <w:rStyle w:val="soitChar"/>
        </w:rPr>
        <w:t xml:space="preserve"> :</w:t>
      </w:r>
    </w:p>
    <w:p w14:paraId="4E1268F7" w14:textId="77777777" w:rsidR="00DB2B68" w:rsidRDefault="00000000">
      <w:r>
        <w:rPr>
          <w:rStyle w:val="soitChar"/>
        </w:rPr>
        <w:t>L’armature est conforme aux descriptions du 21.41.1</w:t>
      </w:r>
      <w:r>
        <w:br/>
      </w:r>
      <w:r>
        <w:rPr>
          <w:color w:val="33CCCC"/>
        </w:rPr>
        <w:t>Les crochets sont prévus tous les</w:t>
      </w:r>
      <w:r>
        <w:rPr>
          <w:rStyle w:val="optioncarChar"/>
        </w:rPr>
        <w:t>*** </w:t>
      </w:r>
      <w:r>
        <w:rPr>
          <w:color w:val="33CCCC"/>
        </w:rPr>
        <w:t>joints montants. La nature de l’armature et des crochets est compatible avec la classe d’exposition.</w:t>
      </w:r>
      <w:r>
        <w:br/>
      </w:r>
      <w:r>
        <w:rPr>
          <w:color w:val="33CCCC"/>
        </w:rPr>
        <w:t xml:space="preserve">Les briques formant linteau sont disposées </w:t>
      </w:r>
      <w:r>
        <w:rPr>
          <w:rStyle w:val="optioncarChar"/>
        </w:rPr>
        <w:t>sur chant </w:t>
      </w:r>
      <w:r>
        <w:t>(par défaut)</w:t>
      </w:r>
      <w:r>
        <w:rPr>
          <w:rStyle w:val="optioncarChar"/>
        </w:rPr>
        <w:t xml:space="preserve"> / selon l’appareillage général de la maçonnerie / ***</w:t>
      </w:r>
    </w:p>
    <w:p w14:paraId="3351BA40" w14:textId="77777777" w:rsidR="00DB2B68" w:rsidRDefault="00000000">
      <w:r>
        <w:rPr>
          <w:b/>
        </w:rPr>
        <w:t xml:space="preserve"> (soit) </w:t>
      </w:r>
    </w:p>
    <w:p w14:paraId="61630004" w14:textId="77777777" w:rsidR="00DB2B68" w:rsidRDefault="00000000">
      <w:r>
        <w:rPr>
          <w:rStyle w:val="soitChar"/>
          <w:u w:val="single"/>
        </w:rPr>
        <w:t>D’une cornière continue</w:t>
      </w:r>
      <w:r>
        <w:rPr>
          <w:rStyle w:val="soitChar"/>
        </w:rPr>
        <w:t xml:space="preserve"> : </w:t>
      </w:r>
      <w:r>
        <w:br/>
      </w:r>
      <w:r>
        <w:rPr>
          <w:rStyle w:val="soitChar"/>
        </w:rPr>
        <w:t>La nature de la cornière continue est compatible avec la classe d’exposition.</w:t>
      </w:r>
      <w:r>
        <w:br/>
      </w:r>
      <w:r>
        <w:rPr>
          <w:color w:val="33CCCC"/>
        </w:rPr>
        <w:t xml:space="preserve">La brique est découpée pour masquer la cornière : </w:t>
      </w:r>
      <w:r>
        <w:rPr>
          <w:rStyle w:val="optioncarChar"/>
        </w:rPr>
        <w:t xml:space="preserve">oui / non </w:t>
      </w:r>
      <w:r>
        <w:rPr>
          <w:rStyle w:val="optioncarChar"/>
          <w:color w:val="000000"/>
        </w:rPr>
        <w:t>(par défaut)</w:t>
      </w:r>
      <w:r>
        <w:br/>
      </w:r>
    </w:p>
    <w:p w14:paraId="2E048055" w14:textId="77777777" w:rsidR="00DB2B68" w:rsidRDefault="00000000">
      <w:r>
        <w:rPr>
          <w:b/>
        </w:rPr>
        <w:t xml:space="preserve"> (soit) </w:t>
      </w:r>
    </w:p>
    <w:p w14:paraId="7DBBFF69"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 xml:space="preserve">La brique est découpée pour masquer la cornière : </w:t>
      </w:r>
      <w:r>
        <w:rPr>
          <w:rStyle w:val="optioncarChar"/>
        </w:rPr>
        <w:t xml:space="preserve">oui / non </w:t>
      </w:r>
      <w:r>
        <w:rPr>
          <w:rStyle w:val="optioncarChar"/>
          <w:color w:val="000000"/>
        </w:rPr>
        <w:t>﻿(par défaut)</w:t>
      </w:r>
      <w:r>
        <w:br/>
      </w:r>
    </w:p>
    <w:p w14:paraId="30426ABD" w14:textId="77777777" w:rsidR="00DB2B68" w:rsidRDefault="00000000">
      <w:r>
        <w:rPr>
          <w:b/>
        </w:rPr>
        <w:t xml:space="preserve"> (soit) </w:t>
      </w:r>
    </w:p>
    <w:p w14:paraId="7F05976B" w14:textId="77777777" w:rsidR="00DB2B68" w:rsidRDefault="00000000">
      <w:r>
        <w:rPr>
          <w:rStyle w:val="soitChar"/>
        </w:rPr>
        <w:t xml:space="preserve">De briques sur chant </w:t>
      </w:r>
      <w:r>
        <w:rPr>
          <w:rStyle w:val="optioncarChar"/>
        </w:rPr>
        <w:t>sans accessoires, pour portée limitée à 90 cm </w:t>
      </w:r>
      <w:r>
        <w:t>(par défaut)</w:t>
      </w:r>
      <w:r>
        <w:rPr>
          <w:rStyle w:val="optioncarChar"/>
        </w:rPr>
        <w:t xml:space="preserve"> / arcs / linteau en béton / linteau en pierre / ***</w:t>
      </w:r>
    </w:p>
    <w:p w14:paraId="148EDE02" w14:textId="77777777" w:rsidR="00DB2B68" w:rsidRDefault="00000000">
      <w:r>
        <w:rPr>
          <w:b/>
        </w:rPr>
        <w:t>(soit)</w:t>
      </w:r>
    </w:p>
    <w:p w14:paraId="47E7A933" w14:textId="77777777" w:rsidR="00DB2B68" w:rsidRDefault="00000000">
      <w:r>
        <w:rPr>
          <w:rStyle w:val="optioncarChar"/>
        </w:rPr>
        <w:t> ***</w:t>
      </w:r>
    </w:p>
    <w:p w14:paraId="1D52E564" w14:textId="77777777" w:rsidR="00DB2B68" w:rsidRDefault="00000000">
      <w:pPr>
        <w:pStyle w:val="pheading"/>
      </w:pPr>
      <w:r>
        <w:t>- Notes d’exécution complémentaires</w:t>
      </w:r>
    </w:p>
    <w:p w14:paraId="1036FB55" w14:textId="77777777" w:rsidR="00DB2B68" w:rsidRDefault="00000000">
      <w:pPr>
        <w:jc w:val="both"/>
      </w:pPr>
      <w:r>
        <w:rPr>
          <w:rStyle w:val="facultChar"/>
          <w:color w:val="000000"/>
        </w:rPr>
        <w:t xml:space="preserve">Afin de déterminer le choix définitif des briques de parement, un ou plusieurs </w:t>
      </w:r>
      <w:r>
        <w:rPr>
          <w:rStyle w:val="facultChar"/>
          <w:color w:val="000000"/>
          <w:u w:val="single"/>
        </w:rPr>
        <w:t>échantillons d'environ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de ces murets sont une charge de l'entreprise.</w:t>
      </w:r>
    </w:p>
    <w:p w14:paraId="2854A2BA" w14:textId="77777777" w:rsidR="00DB2B68" w:rsidRDefault="00000000">
      <w:pPr>
        <w:pStyle w:val="pheading"/>
      </w:pPr>
      <w:r>
        <w:t>MESURAGE</w:t>
      </w:r>
    </w:p>
    <w:p w14:paraId="51F391E9" w14:textId="77777777" w:rsidR="00DB2B68" w:rsidRDefault="00000000">
      <w:pPr>
        <w:pStyle w:val="pheading"/>
      </w:pPr>
      <w:r>
        <w:lastRenderedPageBreak/>
        <w:t>- unité de mesure:</w:t>
      </w:r>
    </w:p>
    <w:p w14:paraId="08317768" w14:textId="77777777" w:rsidR="00DB2B68" w:rsidRDefault="00000000">
      <w:r>
        <w:rPr>
          <w:rStyle w:val="optioncarChar"/>
        </w:rPr>
        <w:t>m² </w:t>
      </w:r>
      <w:r>
        <w:rPr>
          <w:rStyle w:val="optioncarChar"/>
          <w:color w:val="000000"/>
        </w:rPr>
        <w:t>(par défaut)</w:t>
      </w:r>
      <w:r>
        <w:rPr>
          <w:rStyle w:val="optioncarChar"/>
        </w:rPr>
        <w:t> / m³</w:t>
      </w:r>
    </w:p>
    <w:p w14:paraId="6CBE8980" w14:textId="77777777" w:rsidR="00DB2B68" w:rsidRDefault="00000000">
      <w:pPr>
        <w:spacing w:after="0" w:line="0" w:lineRule="atLeast"/>
      </w:pPr>
      <w:r>
        <w:rPr>
          <w:b/>
          <w:color w:val="000000"/>
        </w:rPr>
        <w:t>(soit par défaut)</w:t>
      </w:r>
    </w:p>
    <w:p w14:paraId="64ADE098" w14:textId="77777777" w:rsidR="00DB2B68" w:rsidRDefault="00000000">
      <w:pPr>
        <w:spacing w:after="0" w:line="0" w:lineRule="atLeast"/>
      </w:pPr>
      <w:r>
        <w:rPr>
          <w:rStyle w:val="soitChar"/>
        </w:rPr>
        <w:t>1. m²</w:t>
      </w:r>
    </w:p>
    <w:p w14:paraId="7D8E130A" w14:textId="77777777" w:rsidR="00DB2B68" w:rsidRDefault="00000000">
      <w:pPr>
        <w:spacing w:after="0" w:line="0" w:lineRule="atLeast"/>
      </w:pPr>
      <w:r>
        <w:rPr>
          <w:b/>
          <w:color w:val="000000"/>
        </w:rPr>
        <w:t>(soit)</w:t>
      </w:r>
    </w:p>
    <w:p w14:paraId="4E7D4F15" w14:textId="77777777" w:rsidR="00DB2B68" w:rsidRDefault="00000000">
      <w:pPr>
        <w:spacing w:after="0" w:line="0" w:lineRule="atLeast"/>
      </w:pPr>
      <w:r>
        <w:rPr>
          <w:rStyle w:val="soitChar"/>
        </w:rPr>
        <w:t>2. m³</w:t>
      </w:r>
    </w:p>
    <w:p w14:paraId="384FBA90" w14:textId="77777777" w:rsidR="00DB2B68" w:rsidRDefault="00000000">
      <w:pPr>
        <w:pStyle w:val="pheading"/>
      </w:pPr>
      <w:r>
        <w:t>- code de mesurage:</w:t>
      </w:r>
    </w:p>
    <w:p w14:paraId="65B4E94C" w14:textId="77777777" w:rsidR="00DB2B68" w:rsidRDefault="00000000">
      <w:pPr>
        <w:spacing w:before="0" w:after="0"/>
      </w:pPr>
      <w:r>
        <w:t>Les maçonneries sont mesurées en fonction de leur forme géométrique.</w:t>
      </w:r>
    </w:p>
    <w:p w14:paraId="6866F148"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50434DD8" w14:textId="77777777" w:rsidR="00DB2B68" w:rsidRDefault="00000000">
      <w:pPr>
        <w:spacing w:before="0" w:after="0"/>
      </w:pPr>
      <w:r>
        <w:t>La coulisse n'est jamais prise en compte.</w:t>
      </w:r>
    </w:p>
    <w:p w14:paraId="410E2685" w14:textId="77777777" w:rsidR="00DB2B68" w:rsidRDefault="00000000">
      <w:pPr>
        <w:spacing w:after="0" w:line="259" w:lineRule="auto"/>
      </w:pPr>
      <w:r>
        <w:rPr>
          <w:rStyle w:val="normalChar"/>
        </w:rPr>
        <w:t>Les accessoires (linteaux non décrits et non comptés dans un autre poste, attaches,…) sont compris dans le prix.</w:t>
      </w:r>
    </w:p>
    <w:p w14:paraId="56E887FE" w14:textId="77777777" w:rsidR="00DB2B68" w:rsidRDefault="00000000">
      <w:pPr>
        <w:spacing w:after="0" w:line="259" w:lineRule="auto"/>
      </w:pPr>
      <w:r>
        <w:rPr>
          <w:rStyle w:val="normalChar"/>
        </w:rPr>
        <w:t>Sont entre-autres décrits et comptés dans un autre poste :</w:t>
      </w:r>
    </w:p>
    <w:p w14:paraId="31B606A6" w14:textId="77777777" w:rsidR="00DB2B68" w:rsidRDefault="00000000">
      <w:pPr>
        <w:pStyle w:val="Author-eListParagraph"/>
        <w:numPr>
          <w:ilvl w:val="0"/>
          <w:numId w:val="236"/>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2F29CCF2" w14:textId="77777777" w:rsidR="00DB2B68" w:rsidRDefault="00000000">
      <w:pPr>
        <w:pStyle w:val="Author-eListParagraph"/>
        <w:numPr>
          <w:ilvl w:val="0"/>
          <w:numId w:val="236"/>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71A8340E" w14:textId="77777777" w:rsidR="00DB2B68" w:rsidRDefault="00DB2B68">
      <w:pPr>
        <w:pStyle w:val="Author-eListParagraph"/>
        <w:numPr>
          <w:ilvl w:val="0"/>
          <w:numId w:val="236"/>
        </w:numPr>
      </w:pPr>
    </w:p>
    <w:p w14:paraId="5CE1FC9D" w14:textId="77777777" w:rsidR="00DB2B68" w:rsidRDefault="00000000">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64A4F2DE" w14:textId="77777777" w:rsidR="00DB2B68" w:rsidRDefault="00000000">
      <w:r>
        <w:rPr>
          <w:rStyle w:val="optioncarChar"/>
        </w:rPr>
        <w:t>Surface nette (par défaut) / volume net</w:t>
      </w:r>
    </w:p>
    <w:p w14:paraId="270614B4" w14:textId="77777777" w:rsidR="00DB2B68" w:rsidRDefault="00000000">
      <w:r>
        <w:rPr>
          <w:b/>
        </w:rPr>
        <w:t>(Soit par défaut)</w:t>
      </w:r>
    </w:p>
    <w:p w14:paraId="2F550001" w14:textId="77777777" w:rsidR="00DB2B68" w:rsidRDefault="00000000">
      <w:r>
        <w:rPr>
          <w:rStyle w:val="soitChar"/>
        </w:rPr>
        <w:t>1. Surface nette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AEDEC32" w14:textId="77777777" w:rsidR="00DB2B68" w:rsidRDefault="00000000">
      <w:r>
        <w:rPr>
          <w:rStyle w:val="soitChar"/>
        </w:rPr>
        <w:t>Distinction faite suivant l'épaisseur.</w:t>
      </w:r>
    </w:p>
    <w:p w14:paraId="448B1F18" w14:textId="77777777" w:rsidR="00DB2B68" w:rsidRDefault="00000000">
      <w:r>
        <w:rPr>
          <w:b/>
        </w:rPr>
        <w:t>(Soit)</w:t>
      </w:r>
    </w:p>
    <w:p w14:paraId="2834A8F9" w14:textId="77777777" w:rsidR="00DB2B68" w:rsidRDefault="00000000">
      <w:r>
        <w:rPr>
          <w:rStyle w:val="soitChar"/>
        </w:rPr>
        <w:t>2. Volume net du parement ; la longueur des murs est mesurée dans l'axe de l'élément ; à l’intersection de deux murs, seul le mur le plus épais est considéré. Aucun volume n'est compté deux fois.</w:t>
      </w:r>
    </w:p>
    <w:p w14:paraId="0743165A" w14:textId="77777777" w:rsidR="00DB2B68" w:rsidRDefault="00000000">
      <w:r>
        <w:rPr>
          <w:rStyle w:val="soitChar"/>
        </w:rPr>
        <w:t>Les ouvertures ou les éléments de construction intégrés dont l'aire est supérieure à 0,5 m² multipliées par l’épaisseur à réaliser sont déduites.</w:t>
      </w:r>
    </w:p>
    <w:p w14:paraId="33BD2F85" w14:textId="77777777" w:rsidR="00DB2B68" w:rsidRDefault="00000000">
      <w:pPr>
        <w:pStyle w:val="pheading"/>
      </w:pPr>
      <w:r>
        <w:t>- nature du marché:</w:t>
      </w:r>
    </w:p>
    <w:p w14:paraId="7BD4DD53" w14:textId="77777777" w:rsidR="00DB2B68" w:rsidRDefault="00000000">
      <w:r>
        <w:t>QF</w:t>
      </w:r>
    </w:p>
    <w:p w14:paraId="303BBB74" w14:textId="77777777" w:rsidR="00DB2B68" w:rsidRDefault="00000000">
      <w:pPr>
        <w:pStyle w:val="pheading"/>
      </w:pPr>
      <w:r>
        <w:t>AIDE</w:t>
      </w:r>
    </w:p>
    <w:p w14:paraId="7E93262E" w14:textId="77777777" w:rsidR="00DB2B68" w:rsidRDefault="00000000">
      <w:pPr>
        <w:jc w:val="both"/>
      </w:pPr>
      <w:r>
        <w:t>L’épaisseur nominale minimale réalisable du joint de mortier et ses variations dépendent de la classe de dispersion de la brique et de la planéité de ses faces de pose (voir fiche technique) et du soin apporté à l’exécution. Au plus mince est le joint, au plus stricts doivent être ces écarts dimensionnels. Des joints minces de 3 mm d’épaisseur nominale nécessitent une mise en œuvre soignée caractérisée par une tolérance sur l’exécution plus stricte (2 mm pour la tolérance sévère au lieu de 4 mm pour la tolérance normale). Un appareil sauvage est à privilégier lorsque la brique est caractérisée par une classe de dispersion sur la longueur peu stricte afin d’éviter le manque d’alignement des joints verticaux.</w:t>
      </w:r>
    </w:p>
    <w:p w14:paraId="6E2CB921" w14:textId="77777777" w:rsidR="00DB2B68" w:rsidRDefault="00000000">
      <w:pPr>
        <w:jc w:val="both"/>
      </w:pPr>
      <w:r>
        <w:t xml:space="preserve"> Source : [Buildwise Article Dossier (2017/3.02)].</w:t>
      </w:r>
    </w:p>
    <w:p w14:paraId="44C72218" w14:textId="77777777" w:rsidR="00DB2B68" w:rsidRDefault="00000000">
      <w:pPr>
        <w:jc w:val="both"/>
      </w:pPr>
      <w:r>
        <w:t> </w:t>
      </w:r>
    </w:p>
    <w:p w14:paraId="2673DD58" w14:textId="77777777" w:rsidR="00DB2B68" w:rsidRDefault="00000000">
      <w:pPr>
        <w:jc w:val="both"/>
      </w:pPr>
      <w:r>
        <w:lastRenderedPageBreak/>
        <w:t>L’appareillage en demi-brique est souvent problématique en joints minces si les tolérances en longueur des briques ne sont pas hyper strictes. L’appareillage sauvage est libre au point qu’il mène à des joints verticaux alignés ou presqu’alignés sur plusieurs tas d’affilée.</w:t>
      </w:r>
    </w:p>
    <w:p w14:paraId="45FF3EA7" w14:textId="77777777" w:rsidR="00DB2B68" w:rsidRDefault="00000000">
      <w:pPr>
        <w:pStyle w:val="Author-eSectionHeading6Numberless"/>
      </w:pPr>
      <w:bookmarkStart w:id="238" w:name="_Toc220495367"/>
      <w:r>
        <w:t>21.31.1c Maçonneries de parement en briques de terre cuite de réemploi CCTB 01.13</w:t>
      </w:r>
      <w:bookmarkEnd w:id="238"/>
    </w:p>
    <w:p w14:paraId="6C1363A8" w14:textId="77777777" w:rsidR="00DB2B68" w:rsidRDefault="00000000">
      <w:pPr>
        <w:pStyle w:val="pheading"/>
      </w:pPr>
      <w:bookmarkStart w:id="239" w:name="143"/>
      <w:bookmarkEnd w:id="239"/>
      <w:r>
        <w:t>DESCRIPTION</w:t>
      </w:r>
    </w:p>
    <w:p w14:paraId="3EE31FD0" w14:textId="77777777" w:rsidR="00DB2B68" w:rsidRDefault="00000000">
      <w:pPr>
        <w:pStyle w:val="pheading"/>
      </w:pPr>
      <w:r>
        <w:t>- Définition / Comprend</w:t>
      </w:r>
    </w:p>
    <w:p w14:paraId="2A484B1A" w14:textId="77777777" w:rsidR="00DB2B68" w:rsidRDefault="00000000">
      <w:r>
        <w:t>Il s’agit de la fourniture et la pose de maçonneries de parement en briques de terre cuite de réemploi issues de déconstruction et ayant été sélectionnées dans ce but.</w:t>
      </w:r>
      <w:r>
        <w:br/>
        <w:t xml:space="preserve">La portée des travaux est décrite dans l’article </w:t>
      </w:r>
      <w:hyperlink w:anchor="41" w:history="1">
        <w:r>
          <w:rPr>
            <w:color w:val="0000EE"/>
          </w:rPr>
          <w:t>2 T2 Superstructures</w:t>
        </w:r>
      </w:hyperlink>
      <w:r>
        <w:t>.</w:t>
      </w:r>
    </w:p>
    <w:p w14:paraId="3275E46F" w14:textId="77777777" w:rsidR="00DB2B68" w:rsidRDefault="00000000">
      <w:pPr>
        <w:pStyle w:val="pheading"/>
      </w:pPr>
      <w:r>
        <w:t>- Localisation</w:t>
      </w:r>
    </w:p>
    <w:p w14:paraId="6FC954CE" w14:textId="77777777" w:rsidR="00DB2B68" w:rsidRDefault="00000000">
      <w:r>
        <w:t xml:space="preserve">La pose est réalisée aux endroits suivants : </w:t>
      </w:r>
      <w:r>
        <w:rPr>
          <w:rStyle w:val="optioncarChar"/>
        </w:rPr>
        <w:t>***</w:t>
      </w:r>
      <w:r>
        <w:t>.</w:t>
      </w:r>
      <w:r>
        <w:br/>
        <w:t>Voir plans et métrés détaillés.</w:t>
      </w:r>
    </w:p>
    <w:p w14:paraId="19C764EA" w14:textId="77777777" w:rsidR="00DB2B68" w:rsidRDefault="00000000">
      <w:pPr>
        <w:pStyle w:val="pheading"/>
      </w:pPr>
      <w:r>
        <w:t>MATÉRIAUX</w:t>
      </w:r>
    </w:p>
    <w:p w14:paraId="11772513" w14:textId="77777777" w:rsidR="00DB2B68" w:rsidRDefault="00000000">
      <w:pPr>
        <w:pStyle w:val="pheading"/>
      </w:pPr>
      <w:r>
        <w:t>- Caractéristiques générales</w:t>
      </w:r>
    </w:p>
    <w:p w14:paraId="22D608FE" w14:textId="77777777" w:rsidR="00DB2B68" w:rsidRDefault="00000000">
      <w:r>
        <w:rPr>
          <w:b/>
        </w:rPr>
        <w:t>Spécifications de la brique</w:t>
      </w:r>
    </w:p>
    <w:p w14:paraId="0823CFDE" w14:textId="77777777" w:rsidR="00DB2B68" w:rsidRDefault="00000000">
      <w:r>
        <w:t>Les travaux de maçonnerie sont exécutés en briques de récupération à soumettre préalablement pour approbation à la Direction de chantier. Les briques sont bien cuites et résistantes au gel.</w:t>
      </w:r>
      <w:r>
        <w:br/>
        <w:t>Les briques de récupération sont des mêmes espèces et origine et sont triées selon les mêmes dimensions. Toutes les faces de parement sont préalablement nettoyées. Les briques sont débarrassées de toutes bavures de mortier et de particules de chaux, les bords sont libérés. Aucune trace de mortier, de salissures ou de rouille ne peut subsister.</w:t>
      </w:r>
      <w:r>
        <w:br/>
      </w:r>
      <w:r>
        <w:br/>
        <w:t xml:space="preserve">La résistance en compression </w:t>
      </w:r>
      <w:r>
        <w:rPr>
          <w:rStyle w:val="optioncarChar"/>
        </w:rPr>
        <w:t>moyenne (fmean) selon la [NBN EN 771-1+A1] / normalisé (fb) suivant</w:t>
      </w:r>
      <w:r>
        <w:t xml:space="preserve">[NBN EN 1996 série] est au minimum: </w:t>
      </w:r>
      <w:r>
        <w:rPr>
          <w:rStyle w:val="optioncarChar"/>
        </w:rPr>
        <w:t>*** / non spécifié</w:t>
      </w:r>
      <w:r>
        <w:t xml:space="preserve"> N/mm² (MPa). </w:t>
      </w:r>
      <w:r>
        <w:br/>
      </w:r>
      <w:r>
        <w:br/>
        <w:t xml:space="preserve">Le groupe de configuration suivant [NBN EN 1996-1-1+A1 ANB] est: </w:t>
      </w:r>
      <w:r>
        <w:rPr>
          <w:rStyle w:val="optioncarChar"/>
        </w:rPr>
        <w:t>1 / 2 / non spécifié</w:t>
      </w:r>
      <w:r>
        <w:br/>
      </w:r>
      <w:r>
        <w:br/>
        <w:t xml:space="preserve">La masse volumique sèche apparente des briques ρ (rho) est : </w:t>
      </w:r>
      <w:r>
        <w:rPr>
          <w:rStyle w:val="optioncarChar"/>
        </w:rPr>
        <w:t>non spécifiée / ***&lt; ρ &lt; ***</w:t>
      </w:r>
      <w:r>
        <w:t xml:space="preserve"> kg/m³ selon la [NBN EN 771-1+A1]. </w:t>
      </w:r>
      <w:r>
        <w:br/>
      </w:r>
      <w:r>
        <w:br/>
        <w:t xml:space="preserve">La conductibilité thermique λD est compatible avec la valeur U prescrite pour la paroi. </w:t>
      </w:r>
      <w:r>
        <w:br/>
      </w:r>
      <w:r>
        <w:br/>
        <w:t xml:space="preserve">Teinte : </w:t>
      </w:r>
      <w:r>
        <w:rPr>
          <w:rStyle w:val="optioncarChar"/>
        </w:rPr>
        <w:t>blanc / rouge </w:t>
      </w:r>
      <w:r>
        <w:t xml:space="preserve">(par défaut) </w:t>
      </w:r>
      <w:r>
        <w:rPr>
          <w:rStyle w:val="optioncarChar"/>
        </w:rPr>
        <w:t>/ gris / ***</w:t>
      </w:r>
      <w:r>
        <w:br/>
      </w:r>
      <w:r>
        <w:br/>
        <w:t xml:space="preserve">Format : (L x l x h) </w:t>
      </w:r>
      <w:r>
        <w:rPr>
          <w:rStyle w:val="optioncarChar"/>
        </w:rPr>
        <w:t>*** x *** x *** / format modulaire proposé par l'entrepreneur</w:t>
      </w:r>
      <w:r>
        <w:t> (par défaut) mm</w:t>
      </w:r>
      <w:r>
        <w:br/>
      </w:r>
      <w:r>
        <w:br/>
        <w:t xml:space="preserve">Tolérances dimensionnelles : </w:t>
      </w:r>
      <w:r>
        <w:br/>
        <w:t xml:space="preserve">Tolérances de la valeur moyenne : </w:t>
      </w:r>
      <w:r>
        <w:rPr>
          <w:rStyle w:val="optioncarChar"/>
        </w:rPr>
        <w:t>T1 / T2 / Tm / non spécifié / ***</w:t>
      </w:r>
      <w:r>
        <w:br/>
        <w:t xml:space="preserve">Plage : </w:t>
      </w:r>
      <w:r>
        <w:rPr>
          <w:rStyle w:val="optioncarChar"/>
        </w:rPr>
        <w:t>R1 / R2 / Rm / non spécifié / ***</w:t>
      </w:r>
    </w:p>
    <w:p w14:paraId="60EA3816" w14:textId="77777777" w:rsidR="00DB2B68" w:rsidRDefault="00000000">
      <w:r>
        <w:rPr>
          <w:rStyle w:val="optioncarChar"/>
          <w:color w:val="000000"/>
        </w:rPr>
        <w:t xml:space="preserve">La catégorie de la résistance au gel est adaptée à la classe d'exposition de la maçonnerie : </w:t>
      </w:r>
      <w:r>
        <w:rPr>
          <w:rStyle w:val="optioncarChar"/>
        </w:rPr>
        <w:t>MX1/MX2/MX3.1/MX3.2  [NBN EN 771-1+A1]</w:t>
      </w:r>
      <w:r>
        <w:rPr>
          <w:rStyle w:val="optioncarChar"/>
          <w:color w:val="000000"/>
        </w:rPr>
        <w:t> , [PTV 23-002].</w:t>
      </w:r>
    </w:p>
    <w:p w14:paraId="147685ED" w14:textId="77777777" w:rsidR="00DB2B68" w:rsidRDefault="00000000">
      <w:r>
        <w:t xml:space="preserve">Taux initial d’absorption d’eau : classe </w:t>
      </w:r>
      <w:r>
        <w:rPr>
          <w:rStyle w:val="optioncarChar"/>
        </w:rPr>
        <w:t>IW1 / IW2 / IW3 / IW4</w:t>
      </w:r>
      <w:r>
        <w:br/>
      </w:r>
      <w:r>
        <w:br/>
        <w:t xml:space="preserve">Réaction au feu : </w:t>
      </w:r>
      <w:r>
        <w:rPr>
          <w:rStyle w:val="optioncarChar"/>
        </w:rPr>
        <w:t>A1 </w:t>
      </w:r>
      <w:r>
        <w:t>(par défaut)</w:t>
      </w:r>
      <w:r>
        <w:rPr>
          <w:rStyle w:val="optioncarChar"/>
        </w:rPr>
        <w:t xml:space="preserve"> / ***</w:t>
      </w:r>
      <w:r>
        <w:br/>
      </w:r>
      <w:r>
        <w:br/>
      </w:r>
      <w:r>
        <w:rPr>
          <w:b/>
        </w:rPr>
        <w:t>Mortier</w:t>
      </w:r>
    </w:p>
    <w:p w14:paraId="21FC9816" w14:textId="77777777" w:rsidR="00DB2B68" w:rsidRDefault="00000000">
      <w:r>
        <w:rPr>
          <w:rStyle w:val="normalChar"/>
          <w:color w:val="000000"/>
        </w:rPr>
        <w:t xml:space="preserve">Le mortier est du type G ou dosé in situ adapté à des joints d’épaisseur nominale de </w:t>
      </w:r>
      <w:r>
        <w:rPr>
          <w:rStyle w:val="optioncarChar"/>
        </w:rPr>
        <w:t xml:space="preserve">8 / 12 </w:t>
      </w:r>
      <w:r>
        <w:t>(par défaut) </w:t>
      </w:r>
      <w:r>
        <w:rPr>
          <w:rStyle w:val="optioncarChar"/>
        </w:rPr>
        <w:t>/ ***</w:t>
      </w:r>
      <w:r>
        <w:t xml:space="preserve"> mm.</w:t>
      </w:r>
      <w:r>
        <w:br/>
      </w:r>
      <w:r>
        <w:lastRenderedPageBreak/>
        <w:br/>
      </w:r>
      <w:r>
        <w:br/>
      </w:r>
      <w:r>
        <w:rPr>
          <w:b/>
        </w:rPr>
        <w:t>Critères de performances du parement</w:t>
      </w:r>
    </w:p>
    <w:p w14:paraId="7263464D" w14:textId="77777777" w:rsidR="00DB2B68" w:rsidRDefault="00000000">
      <w:r>
        <w:br/>
        <w:t xml:space="preserve">• valeur λUi ou λUe maximum </w:t>
      </w:r>
      <w:r>
        <w:rPr>
          <w:rStyle w:val="optioncarChar"/>
        </w:rPr>
        <w:t>***</w:t>
      </w:r>
      <w:r>
        <w:t xml:space="preserve"> W/mK (suivant l’application).</w:t>
      </w:r>
    </w:p>
    <w:p w14:paraId="658CEEA8" w14:textId="77777777" w:rsidR="00DB2B68" w:rsidRDefault="00000000">
      <w:r>
        <w:t> </w:t>
      </w:r>
    </w:p>
    <w:p w14:paraId="6AAC9871" w14:textId="77777777" w:rsidR="00DB2B68" w:rsidRDefault="00000000">
      <w:pPr>
        <w:pStyle w:val="pheading"/>
      </w:pPr>
      <w:r>
        <w:t>- Finitions</w:t>
      </w:r>
    </w:p>
    <w:p w14:paraId="7A611917"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7A0C72B9"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4A9A2EA6"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17FC717F"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A9ACAC9"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2F625CF5" w14:textId="77777777" w:rsidR="00DB2B68" w:rsidRDefault="00DB2B68"/>
    <w:p w14:paraId="6B94F7F8" w14:textId="77777777" w:rsidR="00DB2B68" w:rsidRDefault="00000000">
      <w:pPr>
        <w:pStyle w:val="pheading"/>
      </w:pPr>
      <w:r>
        <w:t>EXÉCUTION / MISE EN ŒUVRE</w:t>
      </w:r>
    </w:p>
    <w:p w14:paraId="4CF9E48C" w14:textId="77777777" w:rsidR="00DB2B68" w:rsidRDefault="00000000">
      <w:pPr>
        <w:pStyle w:val="pheading"/>
      </w:pPr>
      <w:r>
        <w:t>- Prescriptions générales</w:t>
      </w:r>
    </w:p>
    <w:p w14:paraId="29C1A7A7" w14:textId="77777777" w:rsidR="00DB2B68"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05496E83"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6D215DF2" w14:textId="77777777" w:rsidR="00DB2B68" w:rsidRDefault="00DB2B68"/>
    <w:p w14:paraId="341DFC42" w14:textId="77777777" w:rsidR="00DB2B68" w:rsidRDefault="00000000">
      <w:pPr>
        <w:spacing w:line="259" w:lineRule="auto"/>
      </w:pPr>
      <w:r>
        <w:rPr>
          <w:rStyle w:val="normalChar"/>
          <w:b/>
          <w:color w:val="000000"/>
        </w:rPr>
        <w:t>LINTEAUX</w:t>
      </w:r>
    </w:p>
    <w:p w14:paraId="7D6346D1"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64A0ADC5" w14:textId="77777777" w:rsidR="00DB2B68" w:rsidRDefault="00000000">
      <w:r>
        <w:rPr>
          <w:b/>
        </w:rPr>
        <w:t>(soit par défaut)</w:t>
      </w:r>
    </w:p>
    <w:p w14:paraId="03374380" w14:textId="77777777" w:rsidR="00DB2B68" w:rsidRDefault="00000000">
      <w:r>
        <w:rPr>
          <w:rStyle w:val="soitChar"/>
          <w:u w:val="single"/>
        </w:rPr>
        <w:t>D'une armature et de crochets de mur</w:t>
      </w:r>
      <w:r>
        <w:rPr>
          <w:rStyle w:val="soitChar"/>
        </w:rPr>
        <w:t> :</w:t>
      </w:r>
    </w:p>
    <w:p w14:paraId="7A252C4F"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 xml:space="preserve">(par défaut) </w:t>
      </w:r>
      <w:r>
        <w:rPr>
          <w:rStyle w:val="optioncarChar"/>
        </w:rPr>
        <w:t>/ selon l’appareillage général de la maçonnerie / ***</w:t>
      </w:r>
    </w:p>
    <w:p w14:paraId="7F21D659" w14:textId="77777777" w:rsidR="00DB2B68" w:rsidRDefault="00000000">
      <w:r>
        <w:rPr>
          <w:b/>
        </w:rPr>
        <w:t>(soit)</w:t>
      </w:r>
    </w:p>
    <w:p w14:paraId="50290AA5"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518A2E96" w14:textId="77777777" w:rsidR="00DB2B68" w:rsidRDefault="00000000">
      <w:r>
        <w:rPr>
          <w:b/>
        </w:rPr>
        <w:t>(soit)</w:t>
      </w:r>
    </w:p>
    <w:p w14:paraId="3D2A17BE"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12DDB968" w14:textId="77777777" w:rsidR="00DB2B68" w:rsidRDefault="00000000">
      <w:r>
        <w:rPr>
          <w:b/>
        </w:rPr>
        <w:t>(soit)</w:t>
      </w:r>
    </w:p>
    <w:p w14:paraId="5F1E750A"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2E7CEB8F" w14:textId="77777777" w:rsidR="00DB2B68" w:rsidRDefault="00000000">
      <w:r>
        <w:rPr>
          <w:b/>
        </w:rPr>
        <w:lastRenderedPageBreak/>
        <w:t>(soit)</w:t>
      </w:r>
    </w:p>
    <w:p w14:paraId="09658825" w14:textId="77777777" w:rsidR="00DB2B68" w:rsidRDefault="00000000">
      <w:r>
        <w:rPr>
          <w:rStyle w:val="optioncarChar"/>
        </w:rPr>
        <w:t> ***</w:t>
      </w:r>
    </w:p>
    <w:p w14:paraId="1724B9F4" w14:textId="77777777" w:rsidR="00DB2B68" w:rsidRDefault="00000000">
      <w:pPr>
        <w:ind w:left="750"/>
      </w:pPr>
      <w:r>
        <w:t> </w:t>
      </w:r>
    </w:p>
    <w:p w14:paraId="76FE7631" w14:textId="77777777" w:rsidR="00DB2B68" w:rsidRDefault="00000000">
      <w:pPr>
        <w:pStyle w:val="pheading"/>
      </w:pPr>
      <w:r>
        <w:t>MESURAGE</w:t>
      </w:r>
    </w:p>
    <w:p w14:paraId="1B092A9E" w14:textId="77777777" w:rsidR="00DB2B68" w:rsidRDefault="00000000">
      <w:pPr>
        <w:pStyle w:val="pheading"/>
      </w:pPr>
      <w:r>
        <w:t>- unité de mesure:</w:t>
      </w:r>
    </w:p>
    <w:p w14:paraId="49B4A9C4" w14:textId="77777777" w:rsidR="00DB2B68" w:rsidRDefault="00000000">
      <w:r>
        <w:rPr>
          <w:rStyle w:val="optioncarChar"/>
        </w:rPr>
        <w:t>m² </w:t>
      </w:r>
      <w:r>
        <w:rPr>
          <w:rStyle w:val="optioncarChar"/>
          <w:color w:val="000000"/>
        </w:rPr>
        <w:t>(par défaut)</w:t>
      </w:r>
      <w:r>
        <w:rPr>
          <w:rStyle w:val="optioncarChar"/>
        </w:rPr>
        <w:t> / m³</w:t>
      </w:r>
    </w:p>
    <w:p w14:paraId="32E1B126" w14:textId="77777777" w:rsidR="00DB2B68" w:rsidRDefault="00000000">
      <w:pPr>
        <w:spacing w:after="0" w:line="0" w:lineRule="atLeast"/>
      </w:pPr>
      <w:r>
        <w:rPr>
          <w:b/>
          <w:color w:val="000000"/>
        </w:rPr>
        <w:t>(soit par défaut)</w:t>
      </w:r>
    </w:p>
    <w:p w14:paraId="1755DCB1" w14:textId="77777777" w:rsidR="00DB2B68" w:rsidRDefault="00000000">
      <w:pPr>
        <w:spacing w:after="0" w:line="0" w:lineRule="atLeast"/>
      </w:pPr>
      <w:r>
        <w:rPr>
          <w:rStyle w:val="soitChar"/>
        </w:rPr>
        <w:t>1. m²</w:t>
      </w:r>
    </w:p>
    <w:p w14:paraId="54003CA1" w14:textId="77777777" w:rsidR="00DB2B68" w:rsidRDefault="00000000">
      <w:pPr>
        <w:spacing w:after="0" w:line="0" w:lineRule="atLeast"/>
      </w:pPr>
      <w:r>
        <w:rPr>
          <w:b/>
          <w:color w:val="000000"/>
        </w:rPr>
        <w:t>(soit)</w:t>
      </w:r>
    </w:p>
    <w:p w14:paraId="2822CD86" w14:textId="77777777" w:rsidR="00DB2B68" w:rsidRDefault="00000000">
      <w:pPr>
        <w:spacing w:after="0" w:line="0" w:lineRule="atLeast"/>
      </w:pPr>
      <w:r>
        <w:rPr>
          <w:rStyle w:val="soitChar"/>
        </w:rPr>
        <w:t>2. m³</w:t>
      </w:r>
    </w:p>
    <w:p w14:paraId="5A3349C5" w14:textId="77777777" w:rsidR="00DB2B68" w:rsidRDefault="00000000">
      <w:pPr>
        <w:pStyle w:val="pheading"/>
      </w:pPr>
      <w:r>
        <w:t>- code de mesurage:</w:t>
      </w:r>
    </w:p>
    <w:p w14:paraId="7CA1FE54" w14:textId="77777777" w:rsidR="00DB2B68" w:rsidRDefault="00000000">
      <w:pPr>
        <w:spacing w:before="0" w:after="0"/>
      </w:pPr>
      <w:r>
        <w:t>Les maçonneries sont mesurées en fonction de leur forme géométrique.</w:t>
      </w:r>
    </w:p>
    <w:p w14:paraId="6DA6CEB4"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3354C8B3" w14:textId="77777777" w:rsidR="00DB2B68" w:rsidRDefault="00000000">
      <w:pPr>
        <w:spacing w:before="0" w:after="0"/>
      </w:pPr>
      <w:r>
        <w:t>La coulisse n'est jamais prise en compte.</w:t>
      </w:r>
    </w:p>
    <w:p w14:paraId="56A457DD" w14:textId="77777777" w:rsidR="00DB2B68" w:rsidRDefault="00000000">
      <w:pPr>
        <w:spacing w:after="0" w:line="259" w:lineRule="auto"/>
      </w:pPr>
      <w:r>
        <w:rPr>
          <w:rStyle w:val="normalChar"/>
        </w:rPr>
        <w:t>Les accessoires (linteaux non décrits et non comptés dans un autre poste, attaches,…) sont compris dans le prix.</w:t>
      </w:r>
    </w:p>
    <w:p w14:paraId="79CB9525" w14:textId="77777777" w:rsidR="00DB2B68" w:rsidRDefault="00000000">
      <w:pPr>
        <w:spacing w:after="0" w:line="259" w:lineRule="auto"/>
      </w:pPr>
      <w:r>
        <w:rPr>
          <w:rStyle w:val="normalChar"/>
        </w:rPr>
        <w:t>Sont entre-autres décrits et comptés dans un autre poste :</w:t>
      </w:r>
    </w:p>
    <w:p w14:paraId="1225A0CF" w14:textId="77777777" w:rsidR="00DB2B68" w:rsidRDefault="00000000">
      <w:pPr>
        <w:pStyle w:val="Author-eListParagraph"/>
        <w:numPr>
          <w:ilvl w:val="0"/>
          <w:numId w:val="237"/>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4896DC1F" w14:textId="77777777" w:rsidR="00DB2B68" w:rsidRDefault="00000000">
      <w:pPr>
        <w:pStyle w:val="Author-eListParagraph"/>
        <w:numPr>
          <w:ilvl w:val="0"/>
          <w:numId w:val="237"/>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5E877092" w14:textId="77777777" w:rsidR="00DB2B68" w:rsidRDefault="00000000">
      <w:pPr>
        <w:pStyle w:val="Author-eListParagraph"/>
        <w:numPr>
          <w:ilvl w:val="0"/>
          <w:numId w:val="237"/>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0CF66CAE" w14:textId="77777777" w:rsidR="00DB2B68" w:rsidRDefault="00000000">
      <w:r>
        <w:rPr>
          <w:rStyle w:val="optioncarChar"/>
        </w:rPr>
        <w:t>Surface nette (par défaut) / volume net</w:t>
      </w:r>
    </w:p>
    <w:p w14:paraId="64B4084E" w14:textId="77777777" w:rsidR="00DB2B68" w:rsidRDefault="00000000">
      <w:r>
        <w:rPr>
          <w:b/>
        </w:rPr>
        <w:t>(Soit par défaut)</w:t>
      </w:r>
    </w:p>
    <w:p w14:paraId="69AF81E8" w14:textId="77777777" w:rsidR="00DB2B68" w:rsidRDefault="00000000">
      <w:r>
        <w:rPr>
          <w:rStyle w:val="soitChar"/>
        </w:rPr>
        <w:t>1. Surface nette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D179EDD" w14:textId="77777777" w:rsidR="00DB2B68" w:rsidRDefault="00000000">
      <w:r>
        <w:rPr>
          <w:rStyle w:val="soitChar"/>
        </w:rPr>
        <w:t>Distinction faite suivant l'épaisseur.</w:t>
      </w:r>
    </w:p>
    <w:p w14:paraId="5E36483E" w14:textId="77777777" w:rsidR="00DB2B68" w:rsidRDefault="00000000">
      <w:r>
        <w:rPr>
          <w:b/>
        </w:rPr>
        <w:t>(Soit)</w:t>
      </w:r>
    </w:p>
    <w:p w14:paraId="637E690F" w14:textId="77777777" w:rsidR="00DB2B68" w:rsidRDefault="00000000">
      <w:r>
        <w:rPr>
          <w:rStyle w:val="soitChar"/>
        </w:rPr>
        <w:t>2. Volume net du parement ; la longueur des murs est mesurée dans l'axe de l'élément ; à l’intersection de deux murs, seul le mur le plus épais est considéré. Aucun volume n'est compté deux fois.</w:t>
      </w:r>
    </w:p>
    <w:p w14:paraId="03914BEE" w14:textId="77777777" w:rsidR="00DB2B68" w:rsidRDefault="00000000">
      <w:r>
        <w:rPr>
          <w:rStyle w:val="soitChar"/>
        </w:rPr>
        <w:t>Les ouvertures ou les éléments de construction intégrés dont l'aire est supérieure à 0,5 m² multipliées par l’épaisseur à réaliser sont déduites.</w:t>
      </w:r>
    </w:p>
    <w:p w14:paraId="781A9704" w14:textId="77777777" w:rsidR="00DB2B68" w:rsidRDefault="00DB2B68"/>
    <w:p w14:paraId="2F205F14" w14:textId="77777777" w:rsidR="00DB2B68" w:rsidRDefault="00000000">
      <w:pPr>
        <w:pStyle w:val="pheading"/>
      </w:pPr>
      <w:r>
        <w:t>- nature du marché:</w:t>
      </w:r>
    </w:p>
    <w:p w14:paraId="07EC4807" w14:textId="77777777" w:rsidR="00DB2B68" w:rsidRDefault="00000000">
      <w:r>
        <w:t>QF</w:t>
      </w:r>
    </w:p>
    <w:p w14:paraId="0E93EC25" w14:textId="77777777" w:rsidR="00DB2B68" w:rsidRDefault="00000000">
      <w:pPr>
        <w:pStyle w:val="pheading"/>
      </w:pPr>
      <w:r>
        <w:t>AIDE</w:t>
      </w:r>
    </w:p>
    <w:p w14:paraId="5BD6F260" w14:textId="77777777" w:rsidR="00DB2B68" w:rsidRDefault="00000000">
      <w:r>
        <w:t xml:space="preserve">L’épaisseur nominale minimale réalisable du joint de mortier et ses variations dépendent de la classe de dispersion de la brique et de la planéité de ses faces de pose (voir fiche technique) et du soin apporté à l’exécution. Au plus mince est le joint, au plus stricts doivent être ces écarts dimensionnels. Des joints minces de 3 mm d’épaisseur nominale nécessitent une mise en œuvre soignée caractérisée par une tolérance sur l’exécution plus stricte (2 mm pour la tolérance sévère au lieu de 4 </w:t>
      </w:r>
      <w:r>
        <w:lastRenderedPageBreak/>
        <w:t>mm pour la tolérance normale). Un appareil sauvage est à privilégier lorsque la brique est caractérisée par une classe de dispersion sur la longueur peu stricte afin d’éviter le manque d’alignement des joints verticaux.</w:t>
      </w:r>
      <w:r>
        <w:br/>
        <w:t>Source : [Buildwise Article Dossier (2017/3.02)].</w:t>
      </w:r>
    </w:p>
    <w:p w14:paraId="601D29C9" w14:textId="77777777" w:rsidR="00DB2B68" w:rsidRDefault="00DB2B68"/>
    <w:p w14:paraId="59D8E6D9" w14:textId="77777777" w:rsidR="00DB2B68" w:rsidRDefault="00000000">
      <w:r>
        <w:t>L’appareillage en demi-brique est souvent problématique en joints minces si les tolérances en longueur des briques ne sont pas hyper strictes. L’appareillage sauvage est libre au point qu’il mène à des joints verticaux alignés ou presqu’alignés sur plusieurs tas d’affilée.</w:t>
      </w:r>
    </w:p>
    <w:p w14:paraId="711D0312" w14:textId="77777777" w:rsidR="00DB2B68" w:rsidRDefault="00000000">
      <w:pPr>
        <w:ind w:left="750"/>
      </w:pPr>
      <w:r>
        <w:t> </w:t>
      </w:r>
    </w:p>
    <w:p w14:paraId="010BCD7E" w14:textId="77777777" w:rsidR="00DB2B68" w:rsidRDefault="00000000">
      <w:pPr>
        <w:pStyle w:val="Author-eSectionHeading5Numberless"/>
      </w:pPr>
      <w:bookmarkStart w:id="240" w:name="_Toc220495368"/>
      <w:r>
        <w:t>21.31.2 Maçonneries de parement en briques de béton CCTB 01.11</w:t>
      </w:r>
      <w:bookmarkEnd w:id="240"/>
    </w:p>
    <w:p w14:paraId="3CD7094E" w14:textId="77777777" w:rsidR="00DB2B68" w:rsidRDefault="00000000">
      <w:pPr>
        <w:pStyle w:val="pheading"/>
      </w:pPr>
      <w:r>
        <w:t>MATÉRIAUX</w:t>
      </w:r>
    </w:p>
    <w:p w14:paraId="208CC776" w14:textId="77777777" w:rsidR="00DB2B68" w:rsidRDefault="00000000">
      <w:pPr>
        <w:spacing w:after="0" w:line="0" w:lineRule="atLeast"/>
      </w:pPr>
      <w:r>
        <w:rPr>
          <w:color w:val="000000"/>
        </w:rPr>
        <w:t>Il s'agit des briques de parement en béton, qui répondent à la norme [NBN EN 771-3+A1] et au [PTV 21-001]. L'entrepreneur soumet un échantillon, la fiche technique et la déclaration des performances (DoP) du matériau pour approbation à l'auteur de projet et au maître de l’ouvrage. Le mortier à coller</w:t>
      </w:r>
      <w:r>
        <w:rPr>
          <w:rStyle w:val="normalChar"/>
          <w:color w:val="000000"/>
        </w:rPr>
        <w:t xml:space="preserve"> ou </w:t>
      </w:r>
      <w:r>
        <w:rPr>
          <w:color w:val="000000"/>
        </w:rPr>
        <w:t xml:space="preserve">à maçonner (selon la norme [NBN EN 998-2] et le règlement d’application [TRA 651] répond à la catégorie : </w:t>
      </w:r>
      <w:r>
        <w:rPr>
          <w:color w:val="FF0000"/>
        </w:rPr>
        <w:t xml:space="preserve">M5 / M10 / M15 / M20 / *** </w:t>
      </w:r>
      <w:r>
        <w:rPr>
          <w:color w:val="000000"/>
        </w:rPr>
        <w:t xml:space="preserve">L'épaisseur des joints est d'au moins </w:t>
      </w:r>
      <w:r>
        <w:rPr>
          <w:color w:val="FF0000"/>
        </w:rPr>
        <w:t>10</w:t>
      </w:r>
      <w:r>
        <w:t xml:space="preserve"> (par défaut) </w:t>
      </w:r>
      <w:r>
        <w:rPr>
          <w:color w:val="FF0000"/>
        </w:rPr>
        <w:t xml:space="preserve">/ *** </w:t>
      </w:r>
      <w:r>
        <w:rPr>
          <w:color w:val="000000"/>
        </w:rPr>
        <w:t>mm (tolérances suivant [NIT 208]).</w:t>
      </w:r>
    </w:p>
    <w:p w14:paraId="53CCBBCE" w14:textId="77777777" w:rsidR="00DB2B68" w:rsidRDefault="00000000">
      <w:pPr>
        <w:pStyle w:val="Author-eSectionHeading6Numberless"/>
      </w:pPr>
      <w:bookmarkStart w:id="241" w:name="_Toc220495369"/>
      <w:r>
        <w:t>21.31.2a Maçonneries de parement en briques de béton à maçonner CCTB 01.11</w:t>
      </w:r>
      <w:bookmarkEnd w:id="241"/>
    </w:p>
    <w:p w14:paraId="704DA1AE" w14:textId="77777777" w:rsidR="00DB2B68" w:rsidRDefault="00000000">
      <w:pPr>
        <w:pStyle w:val="pheading"/>
      </w:pPr>
      <w:r>
        <w:t>DESCRIPTION</w:t>
      </w:r>
    </w:p>
    <w:p w14:paraId="6D4073DD" w14:textId="77777777" w:rsidR="00DB2B68" w:rsidRDefault="00000000">
      <w:pPr>
        <w:pStyle w:val="pheading"/>
      </w:pPr>
      <w:r>
        <w:t>- Définition / Comprend</w:t>
      </w:r>
    </w:p>
    <w:p w14:paraId="5CA9D59A" w14:textId="77777777" w:rsidR="00DB2B68" w:rsidRDefault="00000000">
      <w:r>
        <w:t>Il s’agit de la fourniture et la pose de maçonneries de parement en briques de béton à maçonner.</w:t>
      </w:r>
    </w:p>
    <w:p w14:paraId="7A745992" w14:textId="77777777" w:rsidR="00DB2B68" w:rsidRDefault="00000000">
      <w:r>
        <w:t xml:space="preserve">La portée des travaux est décrite dans l’article </w:t>
      </w:r>
      <w:hyperlink w:anchor="381" w:history="1">
        <w:r>
          <w:rPr>
            <w:color w:val="0000EE"/>
          </w:rPr>
          <w:t>21.3 Maçonneries de parement</w:t>
        </w:r>
      </w:hyperlink>
      <w:r>
        <w:t>.</w:t>
      </w:r>
    </w:p>
    <w:p w14:paraId="5C9D3411" w14:textId="77777777" w:rsidR="00DB2B68" w:rsidRDefault="00000000">
      <w:pPr>
        <w:pStyle w:val="pheading"/>
      </w:pPr>
      <w:r>
        <w:t>- Localisation</w:t>
      </w:r>
    </w:p>
    <w:p w14:paraId="15E35E19" w14:textId="77777777" w:rsidR="00DB2B68" w:rsidRDefault="00000000">
      <w:r>
        <w:t xml:space="preserve">La pose est réalisée aux endroits suivants : </w:t>
      </w:r>
      <w:r>
        <w:rPr>
          <w:rStyle w:val="optioncarChar"/>
        </w:rPr>
        <w:t>***</w:t>
      </w:r>
      <w:r>
        <w:t>.</w:t>
      </w:r>
    </w:p>
    <w:p w14:paraId="4E9DAA77" w14:textId="77777777" w:rsidR="00DB2B68" w:rsidRDefault="00000000">
      <w:r>
        <w:t>Voir plans et métrés détaillés.</w:t>
      </w:r>
    </w:p>
    <w:p w14:paraId="11A178B7" w14:textId="77777777" w:rsidR="00DB2B68" w:rsidRDefault="00000000">
      <w:pPr>
        <w:pStyle w:val="pheading"/>
      </w:pPr>
      <w:r>
        <w:t>MATÉRIAUX</w:t>
      </w:r>
    </w:p>
    <w:p w14:paraId="7AA0C404" w14:textId="77777777" w:rsidR="00DB2B68" w:rsidRDefault="00000000">
      <w:pPr>
        <w:pStyle w:val="pheading"/>
      </w:pPr>
      <w:r>
        <w:t>- Caractéristiques générales</w:t>
      </w:r>
    </w:p>
    <w:p w14:paraId="048CCEDC" w14:textId="77777777" w:rsidR="00DB2B68" w:rsidRDefault="00000000">
      <w:r>
        <w:rPr>
          <w:rStyle w:val="headingChar"/>
        </w:rPr>
        <w:t>Brique</w:t>
      </w:r>
    </w:p>
    <w:p w14:paraId="28E875B6" w14:textId="77777777" w:rsidR="00DB2B68" w:rsidRDefault="00000000">
      <w:pPr>
        <w:spacing w:after="0" w:line="0" w:lineRule="atLeast"/>
      </w:pPr>
      <w:r>
        <w:rPr>
          <w:rStyle w:val="normalChar"/>
          <w:color w:val="000000"/>
        </w:rPr>
        <w:t>En ce qui concerne la déclaration de la résistance à la compression, les briques sont de catégorie I (la résistance à la compression est déclarée avec une fiabilité de 95%). </w:t>
      </w:r>
    </w:p>
    <w:p w14:paraId="78F88BE6" w14:textId="77777777" w:rsidR="00DB2B68" w:rsidRDefault="00000000">
      <w:pPr>
        <w:spacing w:after="0" w:line="0" w:lineRule="atLeast"/>
      </w:pPr>
      <w:r>
        <w:rPr>
          <w:rStyle w:val="normalChar"/>
          <w:color w:val="000000"/>
        </w:rPr>
        <w:t>La classe de qualité suivant [PTV 21-001] est</w:t>
      </w:r>
      <w:r>
        <w:rPr>
          <w:rStyle w:val="optioncarChar"/>
        </w:rPr>
        <w:t xml:space="preserve"> 2/0,8 / 3/1,0 / 4/1,2 / 5/1,4 / 6/1,6 / 8/1,9 / 10/2,2 </w:t>
      </w:r>
      <w:r>
        <w:rPr>
          <w:rStyle w:val="optioncarChar"/>
          <w:color w:val="000000"/>
        </w:rPr>
        <w:t>(par défaut)</w:t>
      </w:r>
      <w:r>
        <w:rPr>
          <w:rStyle w:val="optioncarChar"/>
        </w:rPr>
        <w:t xml:space="preserve"> / 15/2,2 + / ***</w:t>
      </w:r>
    </w:p>
    <w:p w14:paraId="721BED03" w14:textId="77777777" w:rsidR="00DB2B68" w:rsidRDefault="00000000">
      <w:pPr>
        <w:spacing w:after="0" w:line="0" w:lineRule="atLeast"/>
      </w:pPr>
      <w:r>
        <w:rPr>
          <w:rStyle w:val="normalChar"/>
          <w:color w:val="000000"/>
        </w:rPr>
        <w:t xml:space="preserve">Le groupe de configuration suivant [PTV 21-001] est: </w:t>
      </w:r>
      <w:r>
        <w:rPr>
          <w:rStyle w:val="optioncarChar"/>
        </w:rPr>
        <w:t>1 / 2 / 3 / 4</w:t>
      </w:r>
    </w:p>
    <w:p w14:paraId="34609309" w14:textId="77777777" w:rsidR="00DB2B68" w:rsidRDefault="00000000">
      <w:pPr>
        <w:spacing w:after="0" w:line="0" w:lineRule="atLeast"/>
      </w:pPr>
      <w:r>
        <w:rPr>
          <w:rStyle w:val="normalChar"/>
          <w:color w:val="000000"/>
        </w:rPr>
        <w:t xml:space="preserve">Le code d’identification du type de brique de maçonnerie suivant [PTV 21-001] est </w:t>
      </w:r>
      <w:r>
        <w:rPr>
          <w:rStyle w:val="optioncarChar"/>
        </w:rPr>
        <w:t>A1 / A2 / B1 / B2</w:t>
      </w:r>
    </w:p>
    <w:p w14:paraId="77F59F5A" w14:textId="77777777" w:rsidR="00DB2B68" w:rsidRDefault="00000000">
      <w:pPr>
        <w:spacing w:after="0" w:line="0" w:lineRule="atLeast"/>
      </w:pPr>
      <w:r>
        <w:rPr>
          <w:rStyle w:val="normalChar"/>
          <w:color w:val="000000"/>
        </w:rPr>
        <w:t xml:space="preserve">La conductibilité thermique λD est compatible avec la valeur U prescrite pour la paroi. </w:t>
      </w:r>
    </w:p>
    <w:p w14:paraId="24EF2CCB" w14:textId="77777777" w:rsidR="00DB2B68" w:rsidRDefault="00000000">
      <w:pPr>
        <w:spacing w:after="0" w:line="0" w:lineRule="atLeast"/>
      </w:pPr>
      <w:r>
        <w:rPr>
          <w:rStyle w:val="normalChar"/>
          <w:color w:val="000000"/>
        </w:rPr>
        <w:t xml:space="preserve">Boutisse : </w:t>
      </w:r>
      <w:r>
        <w:t>plate</w:t>
      </w:r>
    </w:p>
    <w:p w14:paraId="06962D35" w14:textId="77777777" w:rsidR="00DB2B68" w:rsidRDefault="00000000">
      <w:pPr>
        <w:spacing w:after="0" w:line="0" w:lineRule="atLeast"/>
      </w:pPr>
      <w:r>
        <w:rPr>
          <w:rStyle w:val="normalChar"/>
          <w:color w:val="000000"/>
        </w:rPr>
        <w:t xml:space="preserve">Face qui reste visible : </w:t>
      </w:r>
      <w:r>
        <w:rPr>
          <w:rStyle w:val="optioncarChar"/>
          <w:color w:val="000000"/>
        </w:rPr>
        <w:t>lisse </w:t>
      </w:r>
      <w:r>
        <w:t>(par défaut)</w:t>
      </w:r>
      <w:r>
        <w:rPr>
          <w:rStyle w:val="optioncarChar"/>
          <w:color w:val="000000"/>
        </w:rPr>
        <w:t xml:space="preserve"> / ***</w:t>
      </w:r>
    </w:p>
    <w:p w14:paraId="4A510C57" w14:textId="77777777" w:rsidR="00DB2B68" w:rsidRDefault="00000000">
      <w:pPr>
        <w:spacing w:after="0" w:line="0" w:lineRule="atLeast"/>
      </w:pPr>
      <w:r>
        <w:rPr>
          <w:rStyle w:val="normalChar"/>
          <w:color w:val="000000"/>
        </w:rPr>
        <w:t xml:space="preserve">Teinte : </w:t>
      </w:r>
      <w:r>
        <w:rPr>
          <w:rStyle w:val="optioncarChar"/>
          <w:color w:val="000000"/>
        </w:rPr>
        <w:t>gris </w:t>
      </w:r>
      <w:r>
        <w:t>(par défaut)</w:t>
      </w:r>
      <w:r>
        <w:rPr>
          <w:rStyle w:val="optioncarChar"/>
          <w:color w:val="000000"/>
        </w:rPr>
        <w:t xml:space="preserve"> / blanc / noir / ***</w:t>
      </w:r>
    </w:p>
    <w:p w14:paraId="22534764" w14:textId="77777777" w:rsidR="00DB2B68" w:rsidRDefault="00000000">
      <w:pPr>
        <w:spacing w:after="0" w:line="0" w:lineRule="atLeast"/>
      </w:pPr>
      <w:r>
        <w:rPr>
          <w:rStyle w:val="normalChar"/>
          <w:color w:val="000000"/>
        </w:rPr>
        <w:t>Format (Lxlxh) mm :</w:t>
      </w:r>
      <w:r>
        <w:rPr>
          <w:rStyle w:val="optioncarChar"/>
          <w:color w:val="000000"/>
        </w:rPr>
        <w:t xml:space="preserve"> 190 x 90 x 65 / 190 x 90 x 90 / 290 X 90 x 90 /format modulaire proposé par l'entrepreneur</w:t>
      </w:r>
      <w:r>
        <w:t> (par défaut)</w:t>
      </w:r>
      <w:r>
        <w:rPr>
          <w:rStyle w:val="optioncarChar"/>
          <w:color w:val="000000"/>
        </w:rPr>
        <w:t xml:space="preserve"> / *** </w:t>
      </w:r>
      <w:r>
        <w:t>mm</w:t>
      </w:r>
    </w:p>
    <w:p w14:paraId="6FE67C60" w14:textId="77777777" w:rsidR="00DB2B68" w:rsidRDefault="00000000">
      <w:pPr>
        <w:spacing w:after="0" w:line="0" w:lineRule="atLeast"/>
      </w:pPr>
      <w:r>
        <w:rPr>
          <w:rStyle w:val="normalChar"/>
          <w:color w:val="000000"/>
        </w:rPr>
        <w:t xml:space="preserve">Réaction au feu : </w:t>
      </w:r>
      <w:r>
        <w:rPr>
          <w:rStyle w:val="optioncarChar"/>
          <w:color w:val="000000"/>
        </w:rPr>
        <w:t>A1 </w:t>
      </w:r>
      <w:r>
        <w:t>(par défaut)</w:t>
      </w:r>
      <w:r>
        <w:rPr>
          <w:rStyle w:val="optioncarChar"/>
          <w:color w:val="000000"/>
        </w:rPr>
        <w:t xml:space="preserve"> / ***</w:t>
      </w:r>
    </w:p>
    <w:p w14:paraId="783E5FCA" w14:textId="77777777" w:rsidR="00DB2B68" w:rsidRDefault="00000000">
      <w:pPr>
        <w:spacing w:after="0" w:line="0" w:lineRule="atLeast"/>
      </w:pPr>
      <w:r>
        <w:rPr>
          <w:rStyle w:val="normalChar"/>
          <w:b/>
          <w:color w:val="000000"/>
        </w:rPr>
        <w:t>Mortier</w:t>
      </w:r>
    </w:p>
    <w:p w14:paraId="0BEDBE66" w14:textId="77777777" w:rsidR="00DB2B68"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w:t>
      </w:r>
      <w:r>
        <w:t> (par défaut)</w:t>
      </w:r>
      <w:r>
        <w:rPr>
          <w:rStyle w:val="optioncarChar"/>
          <w:color w:val="000000"/>
        </w:rPr>
        <w:t xml:space="preserve"> / 12 / ***</w:t>
      </w:r>
      <w:r>
        <w:rPr>
          <w:rStyle w:val="normalChar"/>
          <w:color w:val="000000"/>
        </w:rPr>
        <w:t xml:space="preserve"> mm.</w:t>
      </w:r>
    </w:p>
    <w:p w14:paraId="3AAE05D4" w14:textId="77777777" w:rsidR="00DB2B68" w:rsidRDefault="00000000">
      <w:pPr>
        <w:spacing w:after="0" w:line="0" w:lineRule="atLeast"/>
      </w:pPr>
      <w:r>
        <w:rPr>
          <w:rStyle w:val="normalChar"/>
          <w:color w:val="000000"/>
        </w:rPr>
        <w:lastRenderedPageBreak/>
        <w:t xml:space="preserve">Classe de résistance : </w:t>
      </w:r>
      <w:r>
        <w:rPr>
          <w:rStyle w:val="optioncarChar"/>
          <w:color w:val="000000"/>
        </w:rPr>
        <w:t>M1 / M2,5 / M5 / M10</w:t>
      </w:r>
      <w:r>
        <w:t xml:space="preserve"> (par défaut)</w:t>
      </w:r>
      <w:r>
        <w:rPr>
          <w:rStyle w:val="optioncarChar"/>
          <w:color w:val="000000"/>
        </w:rPr>
        <w:t xml:space="preserve"> / M15 / M20</w:t>
      </w:r>
    </w:p>
    <w:p w14:paraId="41226763" w14:textId="77777777" w:rsidR="00DB2B68" w:rsidRDefault="00000000">
      <w:pPr>
        <w:spacing w:line="259" w:lineRule="auto"/>
      </w:pPr>
      <w:r>
        <w:rPr>
          <w:rStyle w:val="normalCha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w:t>
      </w:r>
    </w:p>
    <w:p w14:paraId="5FE524D8" w14:textId="77777777" w:rsidR="00DB2B68" w:rsidRDefault="00000000">
      <w:pPr>
        <w:spacing w:line="259" w:lineRule="auto"/>
      </w:pPr>
      <w:r>
        <w:rPr>
          <w:rStyle w:val="normalChar"/>
          <w:color w:val="000000"/>
        </w:rPr>
        <w:t xml:space="preserve">Résistance au gel : </w:t>
      </w:r>
      <w:r>
        <w:rPr>
          <w:rStyle w:val="optioncarChar"/>
          <w:color w:val="000000"/>
        </w:rPr>
        <w:t>oui</w:t>
      </w:r>
    </w:p>
    <w:p w14:paraId="74C3512D" w14:textId="77777777" w:rsidR="00DB2B68" w:rsidRDefault="00DB2B68"/>
    <w:p w14:paraId="040E1BF8" w14:textId="77777777" w:rsidR="00DB2B68" w:rsidRDefault="00000000">
      <w:pPr>
        <w:spacing w:line="259" w:lineRule="auto"/>
      </w:pPr>
      <w:r>
        <w:rPr>
          <w:rStyle w:val="normalChar"/>
          <w:b/>
          <w:color w:val="000000"/>
        </w:rPr>
        <w:t>Critères de performances du parement</w:t>
      </w:r>
    </w:p>
    <w:p w14:paraId="2C53ACDF" w14:textId="77777777" w:rsidR="00DB2B68" w:rsidRDefault="00000000">
      <w:pPr>
        <w:spacing w:after="0" w:line="0" w:lineRule="atLeast"/>
      </w:pPr>
      <w:r>
        <w:rPr>
          <w:rStyle w:val="normalChar"/>
          <w:color w:val="000000"/>
        </w:rPr>
        <w:t xml:space="preserve">• valeur λUi ou λUe maximum </w:t>
      </w:r>
      <w:r>
        <w:rPr>
          <w:rStyle w:val="optioncarChar"/>
          <w:color w:val="000000"/>
        </w:rPr>
        <w:t>***</w:t>
      </w:r>
      <w:r>
        <w:rPr>
          <w:rStyle w:val="normalChar"/>
          <w:color w:val="000000"/>
        </w:rPr>
        <w:t>W/mK (suivant l’application).</w:t>
      </w:r>
    </w:p>
    <w:p w14:paraId="211BAE32" w14:textId="77777777" w:rsidR="00DB2B68" w:rsidRDefault="00000000">
      <w:pPr>
        <w:ind w:left="750"/>
      </w:pPr>
      <w:r>
        <w:t> </w:t>
      </w:r>
    </w:p>
    <w:p w14:paraId="3DF67D12" w14:textId="77777777" w:rsidR="00DB2B68" w:rsidRDefault="00000000">
      <w:pPr>
        <w:pStyle w:val="pheading"/>
      </w:pPr>
      <w:r>
        <w:t>- Finitions</w:t>
      </w:r>
    </w:p>
    <w:p w14:paraId="3428EB44"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20D64D5F"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862FBCB"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6862831E"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264D1714"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67B136F" w14:textId="77777777" w:rsidR="00DB2B68" w:rsidRDefault="00000000">
      <w:pPr>
        <w:pStyle w:val="pheading"/>
      </w:pPr>
      <w:r>
        <w:t>EXÉCUTION / MISE EN ŒUVRE</w:t>
      </w:r>
    </w:p>
    <w:p w14:paraId="6AA579DD" w14:textId="77777777" w:rsidR="00DB2B68" w:rsidRDefault="00000000">
      <w:pPr>
        <w:pStyle w:val="pheading"/>
      </w:pPr>
      <w:r>
        <w:t>- Prescriptions générales</w:t>
      </w:r>
    </w:p>
    <w:p w14:paraId="69410CE4" w14:textId="77777777" w:rsidR="00DB2B68"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7F987F76"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185EBCA5" w14:textId="77777777" w:rsidR="00DB2B68" w:rsidRDefault="00DB2B68"/>
    <w:p w14:paraId="0577B347" w14:textId="77777777" w:rsidR="00DB2B68" w:rsidRDefault="00000000">
      <w:pPr>
        <w:spacing w:line="259" w:lineRule="auto"/>
      </w:pPr>
      <w:r>
        <w:rPr>
          <w:rStyle w:val="normalChar"/>
          <w:b/>
          <w:color w:val="000000"/>
        </w:rPr>
        <w:t>LINTEAUX</w:t>
      </w:r>
    </w:p>
    <w:p w14:paraId="5C255A25"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200035DA" w14:textId="77777777" w:rsidR="00DB2B68" w:rsidRDefault="00000000">
      <w:r>
        <w:rPr>
          <w:b/>
        </w:rPr>
        <w:t>(soit par défaut)</w:t>
      </w:r>
    </w:p>
    <w:p w14:paraId="431EC210" w14:textId="77777777" w:rsidR="00DB2B68" w:rsidRDefault="00000000">
      <w:r>
        <w:rPr>
          <w:rStyle w:val="soitChar"/>
          <w:u w:val="single"/>
        </w:rPr>
        <w:t>D'une armature et de crochets de mur</w:t>
      </w:r>
      <w:r>
        <w:rPr>
          <w:rStyle w:val="soitChar"/>
        </w:rPr>
        <w:t> :</w:t>
      </w:r>
    </w:p>
    <w:p w14:paraId="0E07BFCD"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5A55C2BC" w14:textId="77777777" w:rsidR="00DB2B68" w:rsidRDefault="00000000">
      <w:r>
        <w:rPr>
          <w:b/>
        </w:rPr>
        <w:t>(soit)</w:t>
      </w:r>
    </w:p>
    <w:p w14:paraId="271C8708"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w:t>
      </w:r>
      <w:r>
        <w:rPr>
          <w:rStyle w:val="optioncarChar"/>
          <w:color w:val="000000"/>
        </w:rPr>
        <w:t>(par défaut)</w:t>
      </w:r>
      <w:r>
        <w:rPr>
          <w:rStyle w:val="optioncarChar"/>
        </w:rPr>
        <w:t xml:space="preserve"> / non</w:t>
      </w:r>
    </w:p>
    <w:p w14:paraId="0C75047E" w14:textId="77777777" w:rsidR="00DB2B68" w:rsidRDefault="00000000">
      <w:r>
        <w:rPr>
          <w:b/>
        </w:rPr>
        <w:t>(soit)</w:t>
      </w:r>
    </w:p>
    <w:p w14:paraId="003A0D4D"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w:t>
      </w:r>
      <w:r>
        <w:rPr>
          <w:rStyle w:val="optioncarChar"/>
          <w:color w:val="000000"/>
        </w:rPr>
        <w:t>(par défaut)</w:t>
      </w:r>
      <w:r>
        <w:rPr>
          <w:rStyle w:val="optioncarChar"/>
        </w:rPr>
        <w:t xml:space="preserve"> / non</w:t>
      </w:r>
    </w:p>
    <w:p w14:paraId="4E1CE6F0" w14:textId="77777777" w:rsidR="00DB2B68" w:rsidRDefault="00000000">
      <w:r>
        <w:rPr>
          <w:b/>
        </w:rPr>
        <w:t>(soit)</w:t>
      </w:r>
    </w:p>
    <w:p w14:paraId="45D46639" w14:textId="77777777" w:rsidR="00DB2B68" w:rsidRDefault="00000000">
      <w:r>
        <w:rPr>
          <w:rStyle w:val="soitChar"/>
        </w:rPr>
        <w:lastRenderedPageBreak/>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00626331" w14:textId="77777777" w:rsidR="00DB2B68" w:rsidRDefault="00000000">
      <w:r>
        <w:rPr>
          <w:b/>
        </w:rPr>
        <w:t>(soit)</w:t>
      </w:r>
    </w:p>
    <w:p w14:paraId="5983F10B" w14:textId="77777777" w:rsidR="00DB2B68" w:rsidRDefault="00000000">
      <w:r>
        <w:rPr>
          <w:rStyle w:val="optioncarChar"/>
        </w:rPr>
        <w:t> ***</w:t>
      </w:r>
    </w:p>
    <w:p w14:paraId="35C30D36" w14:textId="77777777" w:rsidR="00DB2B68" w:rsidRDefault="00000000">
      <w:pPr>
        <w:ind w:left="750"/>
      </w:pPr>
      <w:r>
        <w:t> </w:t>
      </w:r>
    </w:p>
    <w:p w14:paraId="16DEAD28" w14:textId="77777777" w:rsidR="00DB2B68" w:rsidRDefault="00000000">
      <w:pPr>
        <w:pStyle w:val="pheading"/>
      </w:pPr>
      <w:r>
        <w:t>- Notes d’exécution complémentaires</w:t>
      </w:r>
    </w:p>
    <w:p w14:paraId="77A59784" w14:textId="77777777" w:rsidR="00DB2B68" w:rsidRDefault="00000000">
      <w:r>
        <w:t> En vue du choix définitif des briques de parement, un ou plusieurs échantillons d'environ 1 m2 sont maçonnés à la demande de l'auteur de projet; les frais inhérents à la construction et à la démolition de ces murs sont à charge de l'entrepreneur.</w:t>
      </w:r>
    </w:p>
    <w:p w14:paraId="26B2A7CE" w14:textId="77777777" w:rsidR="00DB2B68" w:rsidRDefault="00000000">
      <w:r>
        <w:t xml:space="preserve">• Armatures horizontales : selon l'article </w:t>
      </w:r>
      <w:hyperlink w:anchor="357" w:history="1">
        <w:r>
          <w:rPr>
            <w:color w:val="0000EE"/>
          </w:rPr>
          <w:t>21.41.1 Armatures horizontales pour maçonneries</w:t>
        </w:r>
      </w:hyperlink>
      <w:r>
        <w:t>. </w:t>
      </w:r>
    </w:p>
    <w:p w14:paraId="2EDC3F43" w14:textId="77777777" w:rsidR="00DB2B68" w:rsidRDefault="00000000">
      <w:r>
        <w:t xml:space="preserve">• Ancrages : selon l'article </w:t>
      </w:r>
      <w:hyperlink w:anchor="364" w:history="1">
        <w:r>
          <w:rPr>
            <w:color w:val="0000EE"/>
          </w:rPr>
          <w:t>21.42 Ancrages et fixations de maçonneries</w:t>
        </w:r>
      </w:hyperlink>
    </w:p>
    <w:p w14:paraId="5273B45F" w14:textId="77777777" w:rsidR="00DB2B68" w:rsidRDefault="00000000">
      <w:r>
        <w:t xml:space="preserve">Briques spéciales : </w:t>
      </w:r>
      <w:r>
        <w:rPr>
          <w:rStyle w:val="optioncarChar"/>
        </w:rPr>
        <w:t>***</w:t>
      </w:r>
    </w:p>
    <w:p w14:paraId="3BDB81D8" w14:textId="77777777" w:rsidR="00DB2B68" w:rsidRDefault="00000000">
      <w:r>
        <w:t xml:space="preserve">Étanchéité : </w:t>
      </w:r>
      <w:r>
        <w:rPr>
          <w:rStyle w:val="optioncarChar"/>
        </w:rPr>
        <w:t>***</w:t>
      </w:r>
    </w:p>
    <w:p w14:paraId="6F11136F" w14:textId="77777777" w:rsidR="00DB2B68" w:rsidRDefault="00000000">
      <w:r>
        <w:t xml:space="preserve">Joints de dilatation : </w:t>
      </w:r>
      <w:r>
        <w:rPr>
          <w:rStyle w:val="optioncarChar"/>
        </w:rPr>
        <w:t>***</w:t>
      </w:r>
    </w:p>
    <w:p w14:paraId="7D236C9A" w14:textId="77777777" w:rsidR="00DB2B68" w:rsidRDefault="00000000">
      <w:pPr>
        <w:pStyle w:val="pheading"/>
      </w:pPr>
      <w:r>
        <w:t>MESURAGE</w:t>
      </w:r>
    </w:p>
    <w:p w14:paraId="530A43B5" w14:textId="77777777" w:rsidR="00DB2B68" w:rsidRDefault="00000000">
      <w:pPr>
        <w:pStyle w:val="pheading"/>
      </w:pPr>
      <w:r>
        <w:t>- unité de mesure:</w:t>
      </w:r>
    </w:p>
    <w:p w14:paraId="4BD46905" w14:textId="77777777" w:rsidR="00DB2B68" w:rsidRDefault="00000000">
      <w:r>
        <w:rPr>
          <w:rStyle w:val="optioncarChar"/>
        </w:rPr>
        <w:t>m² </w:t>
      </w:r>
      <w:r>
        <w:rPr>
          <w:rStyle w:val="optioncarChar"/>
          <w:color w:val="000000"/>
        </w:rPr>
        <w:t>(par défaut)</w:t>
      </w:r>
      <w:r>
        <w:rPr>
          <w:rStyle w:val="optioncarChar"/>
        </w:rPr>
        <w:t> / m³</w:t>
      </w:r>
    </w:p>
    <w:p w14:paraId="2ECDBEBB" w14:textId="77777777" w:rsidR="00DB2B68" w:rsidRDefault="00000000">
      <w:pPr>
        <w:spacing w:after="0" w:line="0" w:lineRule="atLeast"/>
      </w:pPr>
      <w:r>
        <w:rPr>
          <w:b/>
          <w:color w:val="000000"/>
        </w:rPr>
        <w:t>(soit par défaut)</w:t>
      </w:r>
    </w:p>
    <w:p w14:paraId="261AE493" w14:textId="77777777" w:rsidR="00DB2B68" w:rsidRDefault="00000000">
      <w:pPr>
        <w:spacing w:after="0" w:line="0" w:lineRule="atLeast"/>
      </w:pPr>
      <w:r>
        <w:rPr>
          <w:rStyle w:val="soitChar"/>
        </w:rPr>
        <w:t>1. m²</w:t>
      </w:r>
    </w:p>
    <w:p w14:paraId="70BFB0AB" w14:textId="77777777" w:rsidR="00DB2B68" w:rsidRDefault="00000000">
      <w:pPr>
        <w:spacing w:after="0" w:line="0" w:lineRule="atLeast"/>
      </w:pPr>
      <w:r>
        <w:rPr>
          <w:b/>
          <w:color w:val="000000"/>
        </w:rPr>
        <w:t>(soit)</w:t>
      </w:r>
    </w:p>
    <w:p w14:paraId="04E98517" w14:textId="77777777" w:rsidR="00DB2B68" w:rsidRDefault="00000000">
      <w:pPr>
        <w:spacing w:after="0" w:line="0" w:lineRule="atLeast"/>
      </w:pPr>
      <w:r>
        <w:rPr>
          <w:rStyle w:val="soitChar"/>
        </w:rPr>
        <w:t>2. m³</w:t>
      </w:r>
    </w:p>
    <w:p w14:paraId="0DA3654D" w14:textId="77777777" w:rsidR="00DB2B68" w:rsidRDefault="00000000">
      <w:pPr>
        <w:pStyle w:val="pheading"/>
      </w:pPr>
      <w:r>
        <w:t>- code de mesurage:</w:t>
      </w:r>
    </w:p>
    <w:p w14:paraId="5071F950" w14:textId="77777777" w:rsidR="00DB2B68" w:rsidRDefault="00000000">
      <w:pPr>
        <w:spacing w:before="0" w:after="0"/>
      </w:pPr>
      <w:r>
        <w:t>Les maçonneries sont mesurées en fonction de leur forme géométrique.</w:t>
      </w:r>
    </w:p>
    <w:p w14:paraId="3F7650B3"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3902A650" w14:textId="77777777" w:rsidR="00DB2B68" w:rsidRDefault="00000000">
      <w:pPr>
        <w:spacing w:before="0" w:after="0"/>
      </w:pPr>
      <w:r>
        <w:t>La coulisse n'est jamais prise en compte.</w:t>
      </w:r>
    </w:p>
    <w:p w14:paraId="35B32940" w14:textId="77777777" w:rsidR="00DB2B68" w:rsidRDefault="00000000">
      <w:pPr>
        <w:spacing w:after="0" w:line="259" w:lineRule="auto"/>
      </w:pPr>
      <w:r>
        <w:rPr>
          <w:rStyle w:val="normalChar"/>
        </w:rPr>
        <w:t>Les accessoires (linteaux non décrits et non comptés dans un autre poste, attaches,…) sont compris dans le prix.</w:t>
      </w:r>
    </w:p>
    <w:p w14:paraId="35423C17" w14:textId="77777777" w:rsidR="00DB2B68" w:rsidRDefault="00000000">
      <w:r>
        <w:rPr>
          <w:rStyle w:val="normalChar"/>
        </w:rPr>
        <w:t>Sont entre-autres décrits et comptés dans un autre poste :</w:t>
      </w:r>
    </w:p>
    <w:p w14:paraId="49080EE7" w14:textId="77777777" w:rsidR="00DB2B68" w:rsidRDefault="00000000">
      <w:pPr>
        <w:pStyle w:val="Author-eListParagraph"/>
        <w:numPr>
          <w:ilvl w:val="0"/>
          <w:numId w:val="238"/>
        </w:numPr>
      </w:pPr>
      <w:r>
        <w:t xml:space="preserve">Les linteaux apparents en béton, pierre reconstituée et en pierre sont décrits et comptés en </w:t>
      </w:r>
      <w:hyperlink w:anchor="402" w:history="1">
        <w:r>
          <w:rPr>
            <w:color w:val="0000EE"/>
          </w:rPr>
          <w:t>21.36.3 Linteaux</w:t>
        </w:r>
      </w:hyperlink>
    </w:p>
    <w:p w14:paraId="553097DF" w14:textId="77777777" w:rsidR="00DB2B68" w:rsidRDefault="00000000">
      <w:pPr>
        <w:pStyle w:val="Author-eListParagraph"/>
        <w:numPr>
          <w:ilvl w:val="0"/>
          <w:numId w:val="238"/>
        </w:numPr>
      </w:pPr>
      <w:r>
        <w:t xml:space="preserve">Les linteaux apparents en acier sont décrits et comptés en </w:t>
      </w:r>
      <w:hyperlink w:anchor="403" w:history="1">
        <w:r>
          <w:rPr>
            <w:color w:val="0000EE"/>
          </w:rPr>
          <w:t>23.13 Linteaux métalliques</w:t>
        </w:r>
      </w:hyperlink>
      <w:r>
        <w:t>.</w:t>
      </w:r>
    </w:p>
    <w:p w14:paraId="443F2BB1" w14:textId="77777777" w:rsidR="00DB2B68" w:rsidRDefault="00000000">
      <w:pPr>
        <w:pStyle w:val="Author-eListParagraph"/>
        <w:numPr>
          <w:ilvl w:val="0"/>
          <w:numId w:val="238"/>
        </w:numPr>
      </w:pPr>
      <w:r>
        <w:t xml:space="preserve">Les linteaux apparents en bois sont décrits et comptés en </w:t>
      </w:r>
      <w:hyperlink w:anchor="404" w:history="1">
        <w:r>
          <w:rPr>
            <w:color w:val="0000EE"/>
          </w:rPr>
          <w:t>24.13 Poutres et barres en bois</w:t>
        </w:r>
      </w:hyperlink>
      <w:r>
        <w:t>.</w:t>
      </w:r>
    </w:p>
    <w:p w14:paraId="467BEB6F"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1B03DBC4" w14:textId="77777777" w:rsidR="00DB2B68" w:rsidRDefault="00000000">
      <w:pPr>
        <w:spacing w:after="0" w:line="252" w:lineRule="auto"/>
      </w:pPr>
      <w:r>
        <w:rPr>
          <w:b/>
          <w:color w:val="000000"/>
        </w:rPr>
        <w:t>(soit par défaut)</w:t>
      </w:r>
    </w:p>
    <w:p w14:paraId="7E12AAE4"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2D32F1FA" w14:textId="77777777" w:rsidR="00DB2B68" w:rsidRDefault="00000000">
      <w:pPr>
        <w:spacing w:after="0" w:line="252" w:lineRule="auto"/>
      </w:pPr>
      <w:r>
        <w:rPr>
          <w:rStyle w:val="soitChar"/>
        </w:rPr>
        <w:t>Distinction faite suivant l'épaisseur.</w:t>
      </w:r>
    </w:p>
    <w:p w14:paraId="1679D51F" w14:textId="77777777" w:rsidR="00DB2B68" w:rsidRDefault="00000000">
      <w:pPr>
        <w:spacing w:line="252" w:lineRule="auto"/>
      </w:pPr>
      <w:r>
        <w:rPr>
          <w:b/>
          <w:color w:val="000000"/>
        </w:rPr>
        <w:t>(soit)</w:t>
      </w:r>
    </w:p>
    <w:p w14:paraId="5AF1BCCF" w14:textId="77777777" w:rsidR="00DB2B68" w:rsidRDefault="00000000">
      <w:pPr>
        <w:spacing w:line="252" w:lineRule="auto"/>
      </w:pPr>
      <w:r>
        <w:rPr>
          <w:rStyle w:val="soitChar"/>
          <w:u w:val="single"/>
        </w:rPr>
        <w:t xml:space="preserve">Volume net du parement </w:t>
      </w:r>
      <w:r>
        <w:rPr>
          <w:rStyle w:val="soitChar"/>
        </w:rPr>
        <w:t>; la longueur des murs est mesurée dans l'axe de l'élément ; à l’intersection de deux murs, seul le mur le plus épais est considéré. Aucun volume n'est compté deux fois.</w:t>
      </w:r>
    </w:p>
    <w:p w14:paraId="06E53409" w14:textId="77777777" w:rsidR="00DB2B68" w:rsidRDefault="00000000">
      <w:pPr>
        <w:spacing w:line="252" w:lineRule="auto"/>
      </w:pPr>
      <w:r>
        <w:rPr>
          <w:rStyle w:val="soitChar"/>
        </w:rPr>
        <w:lastRenderedPageBreak/>
        <w:t>Les ouvertures ou les éléments de construction intégrés dont l'aire est supérieure à 0,5 m² multipliées par l’épaisseur à réaliser sont déduites.</w:t>
      </w:r>
    </w:p>
    <w:p w14:paraId="2209E0CA" w14:textId="77777777" w:rsidR="00DB2B68" w:rsidRDefault="00000000">
      <w:pPr>
        <w:pStyle w:val="pheading"/>
      </w:pPr>
      <w:r>
        <w:t>- nature du marché:</w:t>
      </w:r>
    </w:p>
    <w:p w14:paraId="70015C9A" w14:textId="77777777" w:rsidR="00DB2B68" w:rsidRDefault="00000000">
      <w:r>
        <w:t>QF</w:t>
      </w:r>
    </w:p>
    <w:p w14:paraId="7F4A7B20" w14:textId="77777777" w:rsidR="00DB2B68" w:rsidRDefault="00000000">
      <w:pPr>
        <w:pStyle w:val="Author-eSectionHeading6Numberless"/>
      </w:pPr>
      <w:bookmarkStart w:id="242" w:name="_Toc220495370"/>
      <w:r>
        <w:t>21.31.2b Maçonneries de parement en briques de béton à coller CCTB 01.11</w:t>
      </w:r>
      <w:bookmarkEnd w:id="242"/>
    </w:p>
    <w:p w14:paraId="67626C24" w14:textId="77777777" w:rsidR="00DB2B68" w:rsidRDefault="00000000">
      <w:pPr>
        <w:pStyle w:val="pheading"/>
      </w:pPr>
      <w:r>
        <w:t>DESCRIPTION</w:t>
      </w:r>
    </w:p>
    <w:p w14:paraId="45DB821C" w14:textId="77777777" w:rsidR="00DB2B68" w:rsidRDefault="00000000">
      <w:pPr>
        <w:pStyle w:val="pheading"/>
      </w:pPr>
      <w:r>
        <w:t>- Définition / Comprend</w:t>
      </w:r>
    </w:p>
    <w:p w14:paraId="111B4EA1" w14:textId="77777777" w:rsidR="00DB2B68" w:rsidRDefault="00000000">
      <w:r>
        <w:t xml:space="preserve">Il s’agit de la fourniture et la pose de maçonneries de parement en briques de béton à coller. </w:t>
      </w:r>
      <w:r>
        <w:br/>
        <w:t xml:space="preserve">La portée des travaux est décrite dans l’article </w:t>
      </w:r>
      <w:hyperlink w:anchor="381" w:history="1">
        <w:r>
          <w:rPr>
            <w:color w:val="0000EE"/>
          </w:rPr>
          <w:t>21.3 Maçonneries de parement</w:t>
        </w:r>
      </w:hyperlink>
      <w:r>
        <w:t>.</w:t>
      </w:r>
    </w:p>
    <w:p w14:paraId="5FA443E3" w14:textId="77777777" w:rsidR="00DB2B68" w:rsidRDefault="00000000">
      <w:pPr>
        <w:pStyle w:val="pheading"/>
      </w:pPr>
      <w:r>
        <w:t>- Localisation</w:t>
      </w:r>
    </w:p>
    <w:p w14:paraId="3BCD4DA8" w14:textId="77777777" w:rsidR="00DB2B68" w:rsidRDefault="00000000">
      <w:r>
        <w:t xml:space="preserve">La pose est réalisée aux endroits suivants : </w:t>
      </w:r>
      <w:r>
        <w:rPr>
          <w:rStyle w:val="optioncarChar"/>
        </w:rPr>
        <w:t>***</w:t>
      </w:r>
      <w:r>
        <w:t>.</w:t>
      </w:r>
      <w:r>
        <w:br/>
        <w:t>Voir plans et métrés détaillés.</w:t>
      </w:r>
    </w:p>
    <w:p w14:paraId="4E28F8FA" w14:textId="77777777" w:rsidR="00DB2B68" w:rsidRDefault="00000000">
      <w:pPr>
        <w:pStyle w:val="pheading"/>
      </w:pPr>
      <w:r>
        <w:t>MATÉRIAUX</w:t>
      </w:r>
    </w:p>
    <w:p w14:paraId="14E46B96" w14:textId="77777777" w:rsidR="00DB2B68" w:rsidRDefault="00000000">
      <w:pPr>
        <w:pStyle w:val="pheading"/>
      </w:pPr>
      <w:r>
        <w:t>- Caractéristiques générales</w:t>
      </w:r>
    </w:p>
    <w:p w14:paraId="1A000806" w14:textId="77777777" w:rsidR="00DB2B68" w:rsidRDefault="00000000">
      <w:r>
        <w:rPr>
          <w:rStyle w:val="headingChar"/>
        </w:rPr>
        <w:t>Brique</w:t>
      </w:r>
    </w:p>
    <w:p w14:paraId="0E40A04E" w14:textId="77777777" w:rsidR="00DB2B68" w:rsidRDefault="0000000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605286CF" w14:textId="77777777" w:rsidR="00DB2B68" w:rsidRDefault="00000000">
      <w:pPr>
        <w:spacing w:after="0" w:line="0" w:lineRule="atLeast"/>
      </w:pPr>
      <w:r>
        <w:rPr>
          <w:color w:val="000000"/>
        </w:rPr>
        <w:t xml:space="preserve">La classe de qualité suivant </w:t>
      </w:r>
      <w:r>
        <w:rPr>
          <w:color w:val="00B050"/>
        </w:rPr>
        <w:t>[PTV 21-001]  </w:t>
      </w:r>
      <w:r>
        <w:rPr>
          <w:color w:val="000000"/>
        </w:rPr>
        <w:t xml:space="preserve">est </w:t>
      </w:r>
      <w:r>
        <w:rPr>
          <w:rStyle w:val="optioncarChar"/>
        </w:rPr>
        <w:t>2/0,8 / 3/1,0 / 4/1,2 / 5/1,4 / 6/1,6 / 8/1,9 / 10/2,2</w:t>
      </w:r>
      <w:r>
        <w:rPr>
          <w:rStyle w:val="optioncarChar"/>
          <w:color w:val="000000"/>
        </w:rPr>
        <w:t>(par défaut)</w:t>
      </w:r>
      <w:r>
        <w:rPr>
          <w:rStyle w:val="optioncarChar"/>
        </w:rPr>
        <w:t xml:space="preserve"> / 15/2,2 + / ***</w:t>
      </w:r>
    </w:p>
    <w:p w14:paraId="590A8F0F" w14:textId="77777777" w:rsidR="00DB2B68" w:rsidRDefault="00000000">
      <w:pPr>
        <w:spacing w:after="0" w:line="0" w:lineRule="atLeast"/>
      </w:pPr>
      <w:r>
        <w:rPr>
          <w:color w:val="000000"/>
        </w:rPr>
        <w:t xml:space="preserve">Le groupe de configuration suivant </w:t>
      </w:r>
      <w:r>
        <w:t>[PTV 21-001]</w:t>
      </w:r>
      <w:r>
        <w:rPr>
          <w:color w:val="000000"/>
        </w:rPr>
        <w:t xml:space="preserve"> est: </w:t>
      </w:r>
      <w:r>
        <w:rPr>
          <w:rStyle w:val="optioncarChar"/>
        </w:rPr>
        <w:t>1 / 2 / 3 / 4</w:t>
      </w:r>
    </w:p>
    <w:p w14:paraId="051F26D1" w14:textId="77777777" w:rsidR="00DB2B68" w:rsidRDefault="00000000">
      <w:pPr>
        <w:spacing w:after="0" w:line="0" w:lineRule="atLeast"/>
      </w:pPr>
      <w:r>
        <w:rPr>
          <w:color w:val="000000"/>
        </w:rPr>
        <w:t xml:space="preserve">Le code d’identification du type de brique de maçonnerie suivant </w:t>
      </w:r>
      <w:r>
        <w:rPr>
          <w:color w:val="00B050"/>
        </w:rPr>
        <w:t xml:space="preserve">[PTV 21-001]  </w:t>
      </w:r>
      <w:r>
        <w:rPr>
          <w:color w:val="000000"/>
        </w:rPr>
        <w:t xml:space="preserve">est </w:t>
      </w:r>
      <w:r>
        <w:rPr>
          <w:rStyle w:val="optioncarChar"/>
        </w:rPr>
        <w:t>A1 / A2 / B1 / B2</w:t>
      </w:r>
    </w:p>
    <w:p w14:paraId="1720D6C7" w14:textId="77777777" w:rsidR="00DB2B68" w:rsidRDefault="00000000">
      <w:pPr>
        <w:spacing w:after="0" w:line="0" w:lineRule="atLeast"/>
      </w:pPr>
      <w:r>
        <w:rPr>
          <w:color w:val="000000"/>
        </w:rPr>
        <w:t xml:space="preserve">La conductibilité thermique λD est compatible avec la valeur U prescrite pour la paroi. </w:t>
      </w:r>
    </w:p>
    <w:p w14:paraId="61DC4245" w14:textId="77777777" w:rsidR="00DB2B68" w:rsidRDefault="00000000">
      <w:pPr>
        <w:spacing w:after="0" w:line="0" w:lineRule="atLeast"/>
      </w:pPr>
      <w:r>
        <w:rPr>
          <w:color w:val="000000"/>
        </w:rPr>
        <w:t>Boutisse :</w:t>
      </w:r>
      <w:r>
        <w:t xml:space="preserve"> plate</w:t>
      </w:r>
    </w:p>
    <w:p w14:paraId="59E730D3" w14:textId="77777777" w:rsidR="00DB2B68" w:rsidRDefault="00000000">
      <w:pPr>
        <w:spacing w:after="0" w:line="0" w:lineRule="atLeast"/>
      </w:pPr>
      <w:r>
        <w:rPr>
          <w:color w:val="000000"/>
        </w:rPr>
        <w:t xml:space="preserve">Face qui reste visible : </w:t>
      </w:r>
      <w:r>
        <w:rPr>
          <w:rStyle w:val="optioncarChar"/>
        </w:rPr>
        <w:t xml:space="preserve">lisse </w:t>
      </w:r>
      <w:r>
        <w:t>(par défaut) </w:t>
      </w:r>
      <w:r>
        <w:rPr>
          <w:rStyle w:val="optioncarChar"/>
        </w:rPr>
        <w:t>/ clivée / ***</w:t>
      </w:r>
    </w:p>
    <w:p w14:paraId="1548EDBD" w14:textId="77777777" w:rsidR="00DB2B68" w:rsidRDefault="00000000">
      <w:pPr>
        <w:spacing w:after="0" w:line="0" w:lineRule="atLeast"/>
      </w:pPr>
      <w:r>
        <w:rPr>
          <w:color w:val="000000"/>
        </w:rPr>
        <w:t xml:space="preserve">Teinte : </w:t>
      </w:r>
      <w:r>
        <w:rPr>
          <w:rStyle w:val="optioncarChar"/>
        </w:rPr>
        <w:t>gris </w:t>
      </w:r>
      <w:r>
        <w:t>(par défaut)</w:t>
      </w:r>
      <w:r>
        <w:rPr>
          <w:rStyle w:val="optioncarChar"/>
        </w:rPr>
        <w:t xml:space="preserve"> / blanc / noir / ***</w:t>
      </w:r>
    </w:p>
    <w:p w14:paraId="29D53265" w14:textId="77777777" w:rsidR="00DB2B68" w:rsidRDefault="00000000">
      <w:pPr>
        <w:spacing w:after="0" w:line="0" w:lineRule="atLeast"/>
      </w:pPr>
      <w:r>
        <w:rPr>
          <w:color w:val="000000"/>
        </w:rPr>
        <w:t xml:space="preserve">Format (Lxlxh) mm : </w:t>
      </w:r>
      <w:r>
        <w:rPr>
          <w:rStyle w:val="optioncarChar"/>
        </w:rPr>
        <w:t>190 x 90 x 65 / 190 x 90 x 90 / 290 X 90 x 90 / format modulaire proposé par l'entrepreneur </w:t>
      </w:r>
      <w:r>
        <w:t>(par défaut)</w:t>
      </w:r>
      <w:r>
        <w:rPr>
          <w:rStyle w:val="optioncarChar"/>
        </w:rPr>
        <w:t xml:space="preserve"> / ***</w:t>
      </w:r>
      <w:r>
        <w:t xml:space="preserve"> mm</w:t>
      </w:r>
    </w:p>
    <w:p w14:paraId="72FB1226" w14:textId="77777777" w:rsidR="00DB2B68" w:rsidRDefault="00000000">
      <w:pPr>
        <w:spacing w:after="0" w:line="0" w:lineRule="atLeast"/>
      </w:pPr>
      <w:r>
        <w:rPr>
          <w:color w:val="000000"/>
        </w:rPr>
        <w:t xml:space="preserve">Réaction au feu : </w:t>
      </w:r>
      <w:r>
        <w:rPr>
          <w:rStyle w:val="optioncarChar"/>
        </w:rPr>
        <w:t>A1</w:t>
      </w:r>
      <w:r>
        <w:t> (par défaut)</w:t>
      </w:r>
      <w:r>
        <w:rPr>
          <w:rStyle w:val="optioncarChar"/>
        </w:rPr>
        <w:t xml:space="preserve"> / ***</w:t>
      </w:r>
    </w:p>
    <w:p w14:paraId="24F42442" w14:textId="77777777" w:rsidR="00DB2B68" w:rsidRDefault="00000000">
      <w:pPr>
        <w:spacing w:after="0" w:line="0" w:lineRule="atLeast"/>
      </w:pPr>
      <w:r>
        <w:rPr>
          <w:rStyle w:val="headingChar"/>
          <w:color w:val="000000"/>
        </w:rPr>
        <w:t>Mortier</w:t>
      </w:r>
    </w:p>
    <w:p w14:paraId="451FB38B" w14:textId="77777777" w:rsidR="00DB2B68" w:rsidRDefault="00000000">
      <w:pPr>
        <w:spacing w:after="0" w:line="0" w:lineRule="atLeast"/>
      </w:pPr>
      <w:r>
        <w:t xml:space="preserve">Le mortier est du type T adapté à des joints d’épaisseur nominale de </w:t>
      </w:r>
      <w:r>
        <w:rPr>
          <w:rStyle w:val="optioncarChar"/>
        </w:rPr>
        <w:t xml:space="preserve">3 / *** </w:t>
      </w:r>
      <w:r>
        <w:t>mm.</w:t>
      </w:r>
    </w:p>
    <w:p w14:paraId="6C37C4D8" w14:textId="77777777" w:rsidR="00DB2B68" w:rsidRDefault="00000000">
      <w:pPr>
        <w:spacing w:after="0" w:line="0" w:lineRule="atLeast"/>
      </w:pPr>
      <w:r>
        <w:rPr>
          <w:rStyle w:val="normalChar"/>
          <w:color w:val="000000"/>
        </w:rPr>
        <w:t>Classe de résistance :</w:t>
      </w:r>
      <w:r>
        <w:rPr>
          <w:rStyle w:val="optioncarChar"/>
        </w:rPr>
        <w:t>M1 / M2,5 / M5/ M10</w:t>
      </w:r>
      <w:r>
        <w:t xml:space="preserve"> (par défaut)</w:t>
      </w:r>
      <w:r>
        <w:rPr>
          <w:rStyle w:val="optioncarChar"/>
        </w:rPr>
        <w:t xml:space="preserve"> / M15 / M20</w:t>
      </w:r>
    </w:p>
    <w:p w14:paraId="32877B25" w14:textId="77777777" w:rsidR="00DB2B68" w:rsidRDefault="00000000">
      <w:pPr>
        <w:spacing w:after="0" w:line="0" w:lineRule="atLeast"/>
      </w:pPr>
      <w:r>
        <w:rPr>
          <w:color w:val="000000"/>
        </w:rPr>
        <w:t>Adhérence en cisaillement :</w:t>
      </w:r>
      <w:r>
        <w:rPr>
          <w:rStyle w:val="optioncarChar"/>
        </w:rPr>
        <w:t xml:space="preserve"> ≥ 0,10 N/mm² / ≥ 0,15 N/mm² </w:t>
      </w:r>
      <w:r>
        <w:t>(par défaut)</w:t>
      </w:r>
      <w:r>
        <w:rPr>
          <w:rStyle w:val="optioncarChar"/>
        </w:rPr>
        <w:t xml:space="preserve"> / non spécifié / *** </w:t>
      </w:r>
    </w:p>
    <w:p w14:paraId="128C0AD8" w14:textId="77777777" w:rsidR="00DB2B68" w:rsidRDefault="00000000">
      <w:pPr>
        <w:spacing w:after="0" w:line="0" w:lineRule="atLeast"/>
      </w:pPr>
      <w:r>
        <w:rPr>
          <w:color w:val="000000"/>
        </w:rPr>
        <w:t xml:space="preserve">Résistance au gel : </w:t>
      </w:r>
      <w:r>
        <w:rPr>
          <w:rStyle w:val="optioncarChar"/>
          <w:color w:val="000000"/>
        </w:rPr>
        <w:t>oui</w:t>
      </w:r>
    </w:p>
    <w:p w14:paraId="2188B020" w14:textId="77777777" w:rsidR="00DB2B68" w:rsidRDefault="00DB2B68"/>
    <w:p w14:paraId="13D9832F" w14:textId="77777777" w:rsidR="00DB2B68" w:rsidRDefault="00000000">
      <w:pPr>
        <w:spacing w:line="259" w:lineRule="auto"/>
      </w:pPr>
      <w:r>
        <w:rPr>
          <w:rStyle w:val="headingChar"/>
        </w:rPr>
        <w:t xml:space="preserve"> Critères de performances</w:t>
      </w:r>
      <w:r>
        <w:rPr>
          <w:rStyle w:val="headingChar"/>
          <w:color w:val="000000"/>
        </w:rPr>
        <w:t xml:space="preserve"> du parement</w:t>
      </w:r>
    </w:p>
    <w:p w14:paraId="1A8A6776" w14:textId="77777777" w:rsidR="00DB2B68" w:rsidRDefault="00000000">
      <w:pPr>
        <w:spacing w:line="259" w:lineRule="auto"/>
      </w:pPr>
      <w:r>
        <w:rPr>
          <w:color w:val="000000"/>
        </w:rPr>
        <w:t xml:space="preserve">valeur λUi ou λUe maximum </w:t>
      </w:r>
      <w:r>
        <w:rPr>
          <w:rStyle w:val="optioncarChar"/>
          <w:color w:val="000000"/>
        </w:rPr>
        <w:t>***</w:t>
      </w:r>
      <w:r>
        <w:rPr>
          <w:color w:val="000000"/>
        </w:rPr>
        <w:t xml:space="preserve"> W/mK (suivant l’application).</w:t>
      </w:r>
    </w:p>
    <w:p w14:paraId="4AAFD4FC" w14:textId="77777777" w:rsidR="00DB2B68" w:rsidRDefault="00000000">
      <w:pPr>
        <w:ind w:left="750"/>
      </w:pPr>
      <w:r>
        <w:t> </w:t>
      </w:r>
    </w:p>
    <w:p w14:paraId="568AAD73" w14:textId="77777777" w:rsidR="00DB2B68" w:rsidRDefault="00000000">
      <w:pPr>
        <w:pStyle w:val="pheading"/>
      </w:pPr>
      <w:r>
        <w:t>- Finitions</w:t>
      </w:r>
    </w:p>
    <w:p w14:paraId="212CEFD1"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53F8F300" w14:textId="77777777" w:rsidR="00DB2B68" w:rsidRDefault="00000000">
      <w:pPr>
        <w:pStyle w:val="pheading"/>
      </w:pPr>
      <w:r>
        <w:t>EXÉCUTION / MISE EN ŒUVRE</w:t>
      </w:r>
    </w:p>
    <w:p w14:paraId="108F2B2F" w14:textId="77777777" w:rsidR="00DB2B68" w:rsidRDefault="00000000">
      <w:pPr>
        <w:pStyle w:val="pheading"/>
      </w:pPr>
      <w:r>
        <w:lastRenderedPageBreak/>
        <w:t>- Prescriptions générales</w:t>
      </w:r>
    </w:p>
    <w:p w14:paraId="5F7857EE" w14:textId="77777777" w:rsidR="00DB2B68" w:rsidRDefault="00000000">
      <w:pPr>
        <w:spacing w:line="259" w:lineRule="auto"/>
      </w:pPr>
      <w:r>
        <w:t xml:space="preserve">La maçonnerie est exécutée en appareil </w:t>
      </w:r>
      <w:r>
        <w:rPr>
          <w:rStyle w:val="optioncarChar"/>
        </w:rPr>
        <w:t>d'une demi-brique </w:t>
      </w:r>
      <w:r>
        <w:t xml:space="preserve">(par défaut) </w:t>
      </w:r>
      <w:r>
        <w:rPr>
          <w:rStyle w:val="optioncarChar"/>
        </w:rPr>
        <w:t>/ ***</w:t>
      </w:r>
    </w:p>
    <w:p w14:paraId="26D22599"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66F913C7" w14:textId="77777777" w:rsidR="00DB2B68" w:rsidRDefault="00DB2B68"/>
    <w:p w14:paraId="7C78B825" w14:textId="77777777" w:rsidR="00DB2B68" w:rsidRDefault="00000000">
      <w:pPr>
        <w:spacing w:line="259" w:lineRule="auto"/>
      </w:pPr>
      <w:r>
        <w:rPr>
          <w:rStyle w:val="normalChar"/>
          <w:b/>
          <w:color w:val="000000"/>
        </w:rPr>
        <w:t>LINTEAUX</w:t>
      </w:r>
    </w:p>
    <w:p w14:paraId="3E3D5123"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515E828E" w14:textId="77777777" w:rsidR="00DB2B68" w:rsidRDefault="00000000">
      <w:r>
        <w:rPr>
          <w:b/>
        </w:rPr>
        <w:t>(soit par défaut)</w:t>
      </w:r>
    </w:p>
    <w:p w14:paraId="31C36F6F" w14:textId="77777777" w:rsidR="00DB2B68" w:rsidRDefault="00000000">
      <w:r>
        <w:rPr>
          <w:rStyle w:val="soitChar"/>
          <w:u w:val="single"/>
        </w:rPr>
        <w:t>D'une armature et de crochets de mur</w:t>
      </w:r>
      <w:r>
        <w:rPr>
          <w:rStyle w:val="soitChar"/>
        </w:rPr>
        <w:t>  :</w:t>
      </w:r>
    </w:p>
    <w:p w14:paraId="3196B3BE" w14:textId="77777777" w:rsidR="00DB2B68" w:rsidRDefault="00000000">
      <w:r>
        <w:rPr>
          <w:rStyle w:val="soitChar"/>
        </w:rPr>
        <w:t>L’armature est conforme aux descriptions du 21.41.1</w:t>
      </w:r>
      <w:r>
        <w:br/>
      </w:r>
      <w:r>
        <w:rPr>
          <w:color w:val="33CCCC"/>
        </w:rPr>
        <w:t>Les crochets sont prévus tous les</w:t>
      </w:r>
      <w:r>
        <w:rPr>
          <w:rStyle w:val="optioncarChar"/>
        </w:rPr>
        <w:t>***</w:t>
      </w:r>
      <w: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t>(par défaut) </w:t>
      </w:r>
      <w:r>
        <w:rPr>
          <w:rStyle w:val="optioncarChar"/>
        </w:rPr>
        <w:t>/ selon l’appareillage général de la maçonnerie / ***</w:t>
      </w:r>
    </w:p>
    <w:p w14:paraId="7D7A3F42" w14:textId="77777777" w:rsidR="00DB2B68" w:rsidRDefault="00000000">
      <w:r>
        <w:rPr>
          <w:b/>
        </w:rPr>
        <w:t>(soit)</w:t>
      </w:r>
    </w:p>
    <w:p w14:paraId="55D9D2DE"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207B6D49" w14:textId="77777777" w:rsidR="00DB2B68" w:rsidRDefault="00000000">
      <w:r>
        <w:rPr>
          <w:b/>
        </w:rPr>
        <w:t>(soit)</w:t>
      </w:r>
    </w:p>
    <w:p w14:paraId="3A1C4CCE"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6ABB5905" w14:textId="77777777" w:rsidR="00DB2B68" w:rsidRDefault="00000000">
      <w:r>
        <w:rPr>
          <w:b/>
        </w:rPr>
        <w:t>(soit)</w:t>
      </w:r>
    </w:p>
    <w:p w14:paraId="3052FB05"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7A74BF5C" w14:textId="77777777" w:rsidR="00DB2B68" w:rsidRDefault="00000000">
      <w:r>
        <w:rPr>
          <w:b/>
        </w:rPr>
        <w:t>(soit)</w:t>
      </w:r>
    </w:p>
    <w:p w14:paraId="6BDE36BD" w14:textId="77777777" w:rsidR="00DB2B68" w:rsidRDefault="00000000">
      <w:r>
        <w:rPr>
          <w:rStyle w:val="optioncarChar"/>
        </w:rPr>
        <w:t> ***</w:t>
      </w:r>
    </w:p>
    <w:p w14:paraId="46E6D67D" w14:textId="77777777" w:rsidR="00DB2B68" w:rsidRDefault="00000000">
      <w:pPr>
        <w:pStyle w:val="pheading"/>
      </w:pPr>
      <w:r>
        <w:t>- Notes d’exécution complémentaires</w:t>
      </w:r>
    </w:p>
    <w:p w14:paraId="20BF4D8F" w14:textId="77777777" w:rsidR="00DB2B68" w:rsidRDefault="00000000">
      <w:r>
        <w:t>En vue du choix définitif des briques de parement, un ou plusieurs échantillons d'environ 1 m2 sont maçonnés à la demande de l'auteur de projet; les frais inhérents à la construction et à la démolition de ces murs sont à charge de l'entrepreneur.</w:t>
      </w:r>
    </w:p>
    <w:p w14:paraId="660F19C0" w14:textId="77777777" w:rsidR="00DB2B68" w:rsidRDefault="00000000">
      <w:r>
        <w:t xml:space="preserve">• Armatures horizontales : selon l'article </w:t>
      </w:r>
      <w:hyperlink w:anchor="357" w:history="1">
        <w:r>
          <w:rPr>
            <w:color w:val="0000EE"/>
          </w:rPr>
          <w:t>21.41.1 Armatures horizontales pour maçonneries</w:t>
        </w:r>
      </w:hyperlink>
      <w:r>
        <w:t>.</w:t>
      </w:r>
    </w:p>
    <w:p w14:paraId="6C5BBA6E" w14:textId="77777777" w:rsidR="00DB2B68" w:rsidRDefault="00000000">
      <w:r>
        <w:t xml:space="preserve">• Ancrages : selon l'article </w:t>
      </w:r>
      <w:hyperlink w:anchor="364" w:history="1">
        <w:r>
          <w:rPr>
            <w:color w:val="0000EE"/>
          </w:rPr>
          <w:t>21.42 Ancrages et fixations de maçonneries</w:t>
        </w:r>
      </w:hyperlink>
    </w:p>
    <w:p w14:paraId="160C0C71" w14:textId="77777777" w:rsidR="00DB2B68" w:rsidRDefault="00000000">
      <w:r>
        <w:t xml:space="preserve">Briques spéciales : </w:t>
      </w:r>
      <w:r>
        <w:rPr>
          <w:rStyle w:val="optioncarChar"/>
        </w:rPr>
        <w:t>***</w:t>
      </w:r>
    </w:p>
    <w:p w14:paraId="674615E7" w14:textId="77777777" w:rsidR="00DB2B68" w:rsidRDefault="00000000">
      <w:r>
        <w:t xml:space="preserve">Étanchéité : </w:t>
      </w:r>
      <w:r>
        <w:rPr>
          <w:rStyle w:val="optioncarChar"/>
        </w:rPr>
        <w:t>***</w:t>
      </w:r>
    </w:p>
    <w:p w14:paraId="06C32A5E" w14:textId="77777777" w:rsidR="00DB2B68" w:rsidRDefault="00000000">
      <w:r>
        <w:t xml:space="preserve">Joints de dilatation : </w:t>
      </w:r>
      <w:r>
        <w:rPr>
          <w:rStyle w:val="optioncarChar"/>
        </w:rPr>
        <w:t>***</w:t>
      </w:r>
    </w:p>
    <w:p w14:paraId="083D1DC3" w14:textId="77777777" w:rsidR="00DB2B68" w:rsidRDefault="00000000">
      <w:pPr>
        <w:pStyle w:val="pheading"/>
      </w:pPr>
      <w:r>
        <w:t>MESURAGE</w:t>
      </w:r>
    </w:p>
    <w:p w14:paraId="2BAB6B80" w14:textId="77777777" w:rsidR="00DB2B68" w:rsidRDefault="00000000">
      <w:pPr>
        <w:pStyle w:val="pheading"/>
      </w:pPr>
      <w:r>
        <w:t>- unité de mesure:</w:t>
      </w:r>
    </w:p>
    <w:p w14:paraId="6A47E709" w14:textId="77777777" w:rsidR="00DB2B68" w:rsidRDefault="00000000">
      <w:r>
        <w:rPr>
          <w:rStyle w:val="optioncarChar"/>
        </w:rPr>
        <w:t>m² </w:t>
      </w:r>
      <w:r>
        <w:rPr>
          <w:rStyle w:val="optioncarChar"/>
          <w:color w:val="000000"/>
        </w:rPr>
        <w:t>(par défaut)</w:t>
      </w:r>
      <w:r>
        <w:rPr>
          <w:rStyle w:val="optioncarChar"/>
        </w:rPr>
        <w:t> / m³</w:t>
      </w:r>
    </w:p>
    <w:p w14:paraId="637746CB" w14:textId="77777777" w:rsidR="00DB2B68" w:rsidRDefault="00000000">
      <w:pPr>
        <w:spacing w:after="0" w:line="0" w:lineRule="atLeast"/>
      </w:pPr>
      <w:r>
        <w:rPr>
          <w:b/>
          <w:color w:val="000000"/>
        </w:rPr>
        <w:t>(soit par défaut)</w:t>
      </w:r>
    </w:p>
    <w:p w14:paraId="71E3C39E" w14:textId="77777777" w:rsidR="00DB2B68" w:rsidRDefault="00000000">
      <w:pPr>
        <w:spacing w:after="0" w:line="0" w:lineRule="atLeast"/>
      </w:pPr>
      <w:r>
        <w:rPr>
          <w:rStyle w:val="soitChar"/>
        </w:rPr>
        <w:t>1. m²</w:t>
      </w:r>
    </w:p>
    <w:p w14:paraId="49D4777D" w14:textId="77777777" w:rsidR="00DB2B68" w:rsidRDefault="00000000">
      <w:pPr>
        <w:spacing w:after="0" w:line="0" w:lineRule="atLeast"/>
      </w:pPr>
      <w:r>
        <w:rPr>
          <w:b/>
          <w:color w:val="000000"/>
        </w:rPr>
        <w:lastRenderedPageBreak/>
        <w:t>(soit)</w:t>
      </w:r>
    </w:p>
    <w:p w14:paraId="76F8D03F" w14:textId="77777777" w:rsidR="00DB2B68" w:rsidRDefault="00000000">
      <w:pPr>
        <w:spacing w:after="0" w:line="0" w:lineRule="atLeast"/>
      </w:pPr>
      <w:r>
        <w:rPr>
          <w:rStyle w:val="soitChar"/>
        </w:rPr>
        <w:t>2. m³</w:t>
      </w:r>
    </w:p>
    <w:p w14:paraId="4259F8EC" w14:textId="77777777" w:rsidR="00DB2B68" w:rsidRDefault="00000000">
      <w:pPr>
        <w:pStyle w:val="pheading"/>
      </w:pPr>
      <w:r>
        <w:t>- code de mesurage:</w:t>
      </w:r>
    </w:p>
    <w:p w14:paraId="10AF4F47" w14:textId="77777777" w:rsidR="00DB2B68" w:rsidRDefault="00000000">
      <w:pPr>
        <w:spacing w:before="0" w:after="0"/>
      </w:pPr>
      <w:r>
        <w:t>Les maçonneries sont mesurées en fonction de leur forme géométrique.</w:t>
      </w:r>
    </w:p>
    <w:p w14:paraId="30810C98"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61CCE6BA" w14:textId="77777777" w:rsidR="00DB2B68" w:rsidRDefault="00000000">
      <w:pPr>
        <w:spacing w:before="0" w:after="0"/>
      </w:pPr>
      <w:r>
        <w:t>La coulisse n'est jamais prise en compte.</w:t>
      </w:r>
    </w:p>
    <w:p w14:paraId="0CBC60AA" w14:textId="77777777" w:rsidR="00DB2B68" w:rsidRDefault="00000000">
      <w:pPr>
        <w:spacing w:after="0" w:line="259" w:lineRule="auto"/>
      </w:pPr>
      <w:r>
        <w:rPr>
          <w:rStyle w:val="normalChar"/>
        </w:rPr>
        <w:t>Les accessoires (linteaux non décrits et non comptés dans un autre poste, attaches,…) sont compris dans le prix.</w:t>
      </w:r>
    </w:p>
    <w:p w14:paraId="31D50D3C" w14:textId="77777777" w:rsidR="00DB2B68" w:rsidRDefault="00DB2B68"/>
    <w:p w14:paraId="55698878" w14:textId="77777777" w:rsidR="00DB2B68" w:rsidRDefault="00000000">
      <w:r>
        <w:rPr>
          <w:rStyle w:val="normalChar"/>
        </w:rPr>
        <w:t>Sont entre-autres décrits et comptés dans un autre poste :</w:t>
      </w:r>
    </w:p>
    <w:p w14:paraId="4CA53CFC" w14:textId="77777777" w:rsidR="00DB2B68" w:rsidRDefault="00000000">
      <w:pPr>
        <w:pStyle w:val="Author-eListParagraph"/>
        <w:numPr>
          <w:ilvl w:val="0"/>
          <w:numId w:val="239"/>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7A215DC5" w14:textId="77777777" w:rsidR="00DB2B68" w:rsidRDefault="00000000">
      <w:pPr>
        <w:pStyle w:val="Author-eListParagraph"/>
        <w:numPr>
          <w:ilvl w:val="0"/>
          <w:numId w:val="239"/>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6D1740AE" w14:textId="77777777" w:rsidR="00DB2B68" w:rsidRDefault="00000000">
      <w:pPr>
        <w:pStyle w:val="Author-eListParagraph"/>
        <w:numPr>
          <w:ilvl w:val="0"/>
          <w:numId w:val="239"/>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301945A1"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490F30D" w14:textId="77777777" w:rsidR="00DB2B68" w:rsidRDefault="00000000">
      <w:pPr>
        <w:spacing w:after="0" w:line="252" w:lineRule="auto"/>
      </w:pPr>
      <w:r>
        <w:rPr>
          <w:b/>
          <w:color w:val="000000"/>
        </w:rPr>
        <w:t>(soit par défaut)</w:t>
      </w:r>
    </w:p>
    <w:p w14:paraId="57C91117"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57A17140" w14:textId="77777777" w:rsidR="00DB2B68" w:rsidRDefault="00000000">
      <w:pPr>
        <w:spacing w:after="0" w:line="252" w:lineRule="auto"/>
      </w:pPr>
      <w:r>
        <w:rPr>
          <w:rStyle w:val="soitChar"/>
        </w:rPr>
        <w:t>Distinction faite suivant l'épaisseur.</w:t>
      </w:r>
    </w:p>
    <w:p w14:paraId="6782928B" w14:textId="77777777" w:rsidR="00DB2B68" w:rsidRDefault="00000000">
      <w:pPr>
        <w:spacing w:line="252" w:lineRule="auto"/>
      </w:pPr>
      <w:r>
        <w:rPr>
          <w:b/>
          <w:color w:val="000000"/>
        </w:rPr>
        <w:t>(soit)</w:t>
      </w:r>
    </w:p>
    <w:p w14:paraId="173CC6B9"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11A07416"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53923167" w14:textId="77777777" w:rsidR="00DB2B68" w:rsidRDefault="00000000">
      <w:pPr>
        <w:pStyle w:val="pheading"/>
      </w:pPr>
      <w:r>
        <w:t>- nature du marché:</w:t>
      </w:r>
    </w:p>
    <w:p w14:paraId="2A7E2C36" w14:textId="77777777" w:rsidR="00DB2B68" w:rsidRDefault="00000000">
      <w:r>
        <w:t>QF</w:t>
      </w:r>
    </w:p>
    <w:p w14:paraId="4572EDC2" w14:textId="77777777" w:rsidR="00DB2B68" w:rsidRDefault="00000000">
      <w:pPr>
        <w:pStyle w:val="Author-eSectionHeading6Numberless"/>
      </w:pPr>
      <w:bookmarkStart w:id="243" w:name="_Toc220495371"/>
      <w:r>
        <w:t>21.31.2c Maçonneries de parement en briques de béton à système de dosage pour liant hydraulique CCTB 01.11</w:t>
      </w:r>
      <w:bookmarkEnd w:id="243"/>
    </w:p>
    <w:p w14:paraId="6517F2A8" w14:textId="77777777" w:rsidR="00DB2B68" w:rsidRDefault="00000000">
      <w:pPr>
        <w:pStyle w:val="pheading"/>
      </w:pPr>
      <w:r>
        <w:t>DESCRIPTION</w:t>
      </w:r>
    </w:p>
    <w:p w14:paraId="62C5064C" w14:textId="77777777" w:rsidR="00DB2B68" w:rsidRDefault="00000000">
      <w:pPr>
        <w:pStyle w:val="pheading"/>
      </w:pPr>
      <w:r>
        <w:t>- Définition / Comprend</w:t>
      </w:r>
    </w:p>
    <w:p w14:paraId="3B8F87B2" w14:textId="77777777" w:rsidR="00DB2B68" w:rsidRDefault="00000000">
      <w:r>
        <w:t>Il s’agit de la fourniture et la pose de maçonneries de parement en briques de béton à système de dosage pour liant hydraulique.</w:t>
      </w:r>
    </w:p>
    <w:p w14:paraId="0C559BB2" w14:textId="77777777" w:rsidR="00DB2B68" w:rsidRDefault="00000000">
      <w:r>
        <w:t xml:space="preserve">La portée des travaux est décrite dans l’article </w:t>
      </w:r>
      <w:hyperlink w:anchor="381" w:history="1">
        <w:r>
          <w:rPr>
            <w:color w:val="0000EE"/>
          </w:rPr>
          <w:t>21.3 Maçonneries de parement</w:t>
        </w:r>
      </w:hyperlink>
      <w:r>
        <w:t>.</w:t>
      </w:r>
    </w:p>
    <w:p w14:paraId="4B42C1F2" w14:textId="77777777" w:rsidR="00DB2B68" w:rsidRDefault="00000000">
      <w:pPr>
        <w:pStyle w:val="pheading"/>
      </w:pPr>
      <w:r>
        <w:t>- Localisation</w:t>
      </w:r>
    </w:p>
    <w:p w14:paraId="5B17494A" w14:textId="77777777" w:rsidR="00DB2B68" w:rsidRDefault="00000000">
      <w:r>
        <w:t xml:space="preserve">La pose est réalisée aux endroits suivants : </w:t>
      </w:r>
      <w:r>
        <w:rPr>
          <w:rStyle w:val="optioncarChar"/>
        </w:rPr>
        <w:t>***</w:t>
      </w:r>
      <w:r>
        <w:t>.</w:t>
      </w:r>
      <w:r>
        <w:br/>
        <w:t>Voir plans et métrés détaillés.</w:t>
      </w:r>
    </w:p>
    <w:p w14:paraId="276376B3" w14:textId="77777777" w:rsidR="00DB2B68" w:rsidRDefault="00000000">
      <w:pPr>
        <w:pStyle w:val="pheading"/>
      </w:pPr>
      <w:r>
        <w:t>MATÉRIAUX</w:t>
      </w:r>
    </w:p>
    <w:p w14:paraId="2DCD6A33" w14:textId="77777777" w:rsidR="00DB2B68" w:rsidRDefault="00000000">
      <w:pPr>
        <w:pStyle w:val="pheading"/>
      </w:pPr>
      <w:r>
        <w:t>- Caractéristiques générales</w:t>
      </w:r>
    </w:p>
    <w:p w14:paraId="3C6FF0B5" w14:textId="77777777" w:rsidR="00DB2B68" w:rsidRDefault="00000000">
      <w:r>
        <w:rPr>
          <w:rStyle w:val="headingChar"/>
          <w:color w:val="000000"/>
        </w:rPr>
        <w:t>Brique</w:t>
      </w:r>
    </w:p>
    <w:p w14:paraId="2D7222DA" w14:textId="77777777" w:rsidR="00DB2B68" w:rsidRDefault="00000000">
      <w:pPr>
        <w:spacing w:after="0" w:line="0" w:lineRule="atLeast"/>
      </w:pPr>
      <w:r>
        <w:rPr>
          <w:color w:val="000000"/>
        </w:rPr>
        <w:lastRenderedPageBreak/>
        <w:t xml:space="preserve">En ce qui concerne la déclaration de la résistance à la compression, les briques sont de catégorie I (la résistance à la compression est déclarée avec une fiabilité de 95%). </w:t>
      </w:r>
    </w:p>
    <w:p w14:paraId="0EAFC989" w14:textId="77777777" w:rsidR="00DB2B68"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08D33310" w14:textId="77777777" w:rsidR="00DB2B68" w:rsidRDefault="00000000">
      <w:pPr>
        <w:spacing w:after="0" w:line="0" w:lineRule="atLeast"/>
      </w:pPr>
      <w:r>
        <w:rPr>
          <w:color w:val="000000"/>
        </w:rPr>
        <w:t xml:space="preserve">Le groupe de configuration suivant [PTV 21-001] est: </w:t>
      </w:r>
      <w:r>
        <w:rPr>
          <w:rStyle w:val="optioncarChar"/>
          <w:color w:val="000000"/>
        </w:rPr>
        <w:t>1 / 2 / 3 / 4</w:t>
      </w:r>
    </w:p>
    <w:p w14:paraId="295A9952" w14:textId="77777777" w:rsidR="00DB2B68" w:rsidRDefault="00000000">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13B8B496" w14:textId="77777777" w:rsidR="00DB2B68" w:rsidRDefault="00000000">
      <w:pPr>
        <w:spacing w:after="0" w:line="0" w:lineRule="atLeast"/>
      </w:pPr>
      <w:r>
        <w:rPr>
          <w:color w:val="000000"/>
        </w:rPr>
        <w:t xml:space="preserve">La conductibilité thermique λD est compatible avec la valeur U prescrite pour la paroi. </w:t>
      </w:r>
    </w:p>
    <w:p w14:paraId="2FF49125" w14:textId="77777777" w:rsidR="00DB2B68" w:rsidRDefault="00000000">
      <w:pPr>
        <w:spacing w:after="0" w:line="0" w:lineRule="atLeast"/>
      </w:pPr>
      <w:r>
        <w:rPr>
          <w:color w:val="000000"/>
        </w:rPr>
        <w:t>Boutisse :</w:t>
      </w:r>
      <w:r>
        <w:t xml:space="preserve"> plate</w:t>
      </w:r>
    </w:p>
    <w:p w14:paraId="54710A30" w14:textId="77777777" w:rsidR="00DB2B68" w:rsidRDefault="00000000">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0FA0B3CC" w14:textId="77777777" w:rsidR="00DB2B68" w:rsidRDefault="00000000">
      <w:pPr>
        <w:spacing w:after="0" w:line="0" w:lineRule="atLeast"/>
      </w:pPr>
      <w:r>
        <w:rPr>
          <w:color w:val="000000"/>
        </w:rPr>
        <w:t xml:space="preserve">Teinte : </w:t>
      </w:r>
      <w:r>
        <w:rPr>
          <w:rStyle w:val="optioncarChar"/>
          <w:color w:val="000000"/>
        </w:rPr>
        <w:t xml:space="preserve">gris </w:t>
      </w:r>
      <w:r>
        <w:t>(par défaut) </w:t>
      </w:r>
      <w:r>
        <w:rPr>
          <w:rStyle w:val="optioncarChar"/>
          <w:color w:val="000000"/>
        </w:rPr>
        <w:t>/ blanc / noir / ***</w:t>
      </w:r>
    </w:p>
    <w:p w14:paraId="231E6337" w14:textId="77777777" w:rsidR="00DB2B68" w:rsidRDefault="00000000">
      <w:pPr>
        <w:spacing w:after="0" w:line="0" w:lineRule="atLeast"/>
      </w:pPr>
      <w:r>
        <w:rPr>
          <w:color w:val="000000"/>
        </w:rPr>
        <w:t xml:space="preserve">Format (Lxlxh) mm : </w:t>
      </w:r>
      <w:r>
        <w:rPr>
          <w:rStyle w:val="optioncarChar"/>
          <w:color w:val="000000"/>
        </w:rPr>
        <w:t>190 x 90 x 65 / 190 x 90 x 90 / 290 X 90 x 90 / format modulaire proposé par l'entrepreneur</w:t>
      </w:r>
      <w:r>
        <w:t xml:space="preserve"> (par défaut) </w:t>
      </w:r>
      <w:r>
        <w:rPr>
          <w:rStyle w:val="optioncarChar"/>
          <w:color w:val="000000"/>
        </w:rPr>
        <w:t>/ ***</w:t>
      </w:r>
      <w:r>
        <w:t xml:space="preserve"> mm</w:t>
      </w:r>
    </w:p>
    <w:p w14:paraId="5FD1011B" w14:textId="77777777" w:rsidR="00DB2B68" w:rsidRDefault="00000000">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702457A0" w14:textId="77777777" w:rsidR="00DB2B68" w:rsidRDefault="00DB2B68"/>
    <w:p w14:paraId="3D4287C4" w14:textId="77777777" w:rsidR="00DB2B68" w:rsidRDefault="00000000">
      <w:pPr>
        <w:spacing w:after="0" w:line="0" w:lineRule="atLeast"/>
      </w:pPr>
      <w:r>
        <w:rPr>
          <w:rStyle w:val="headingChar"/>
          <w:color w:val="000000"/>
        </w:rPr>
        <w:t>Mortier</w:t>
      </w:r>
    </w:p>
    <w:p w14:paraId="3C5F40BF" w14:textId="77777777" w:rsidR="00DB2B68" w:rsidRDefault="00000000">
      <w:r>
        <w:rPr>
          <w:shd w:val="clear" w:color="auto" w:fill="FFFFFF"/>
        </w:rP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2D43B15C" w14:textId="77777777" w:rsidR="00DB2B68" w:rsidRDefault="00DB2B68"/>
    <w:p w14:paraId="18F7E553" w14:textId="77777777" w:rsidR="00DB2B68" w:rsidRDefault="00000000">
      <w:pPr>
        <w:spacing w:line="259" w:lineRule="auto"/>
      </w:pPr>
      <w:r>
        <w:rPr>
          <w:rStyle w:val="headingChar"/>
          <w:color w:val="000000"/>
        </w:rPr>
        <w:t>Critères de performances du parement</w:t>
      </w:r>
    </w:p>
    <w:p w14:paraId="79255EE4" w14:textId="77777777" w:rsidR="00DB2B68" w:rsidRDefault="00DB2B68"/>
    <w:p w14:paraId="29B64472" w14:textId="77777777" w:rsidR="00DB2B68" w:rsidRDefault="00000000">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14:paraId="506C8761" w14:textId="77777777" w:rsidR="00DB2B68" w:rsidRDefault="00000000">
      <w:pPr>
        <w:ind w:left="750"/>
      </w:pPr>
      <w:r>
        <w:t> </w:t>
      </w:r>
    </w:p>
    <w:p w14:paraId="6E927664" w14:textId="77777777" w:rsidR="00DB2B68" w:rsidRDefault="00000000">
      <w:pPr>
        <w:pStyle w:val="pheading"/>
      </w:pPr>
      <w:r>
        <w:t>- Finitions</w:t>
      </w:r>
    </w:p>
    <w:p w14:paraId="03D4D896"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1785A885"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7D9EA85D"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4AAE04E0"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10FDE06B"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6971095" w14:textId="77777777" w:rsidR="00DB2B68" w:rsidRDefault="00DB2B68"/>
    <w:p w14:paraId="1C64084F" w14:textId="77777777" w:rsidR="00DB2B68" w:rsidRDefault="00000000">
      <w:pPr>
        <w:pStyle w:val="pheading"/>
      </w:pPr>
      <w:r>
        <w:t>EXÉCUTION / MISE EN ŒUVRE</w:t>
      </w:r>
    </w:p>
    <w:p w14:paraId="449F92FE" w14:textId="77777777" w:rsidR="00DB2B68" w:rsidRDefault="00000000">
      <w:pPr>
        <w:pStyle w:val="pheading"/>
      </w:pPr>
      <w:r>
        <w:t>- Prescriptions générales</w:t>
      </w:r>
    </w:p>
    <w:p w14:paraId="38D70160" w14:textId="77777777" w:rsidR="00DB2B68" w:rsidRDefault="00000000">
      <w:pPr>
        <w:spacing w:line="259" w:lineRule="auto"/>
      </w:pPr>
      <w:r>
        <w:t xml:space="preserve">La maçonnerie est exécutée en appareil </w:t>
      </w:r>
      <w:r>
        <w:rPr>
          <w:rStyle w:val="optioncarChar"/>
        </w:rPr>
        <w:t>d'</w:t>
      </w:r>
      <w:r>
        <w:rPr>
          <w:rStyle w:val="normalChar"/>
          <w:color w:val="FF0000"/>
        </w:rPr>
        <w:t>une demi-brique</w:t>
      </w:r>
      <w:r>
        <w:t> (par défaut)</w:t>
      </w:r>
      <w:r>
        <w:rPr>
          <w:rStyle w:val="normalChar"/>
          <w:color w:val="FF0000"/>
        </w:rPr>
        <w:t xml:space="preserve"> / ***</w:t>
      </w:r>
    </w:p>
    <w:p w14:paraId="2B5C9751" w14:textId="77777777" w:rsidR="00DB2B68" w:rsidRDefault="0000000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14:paraId="1A25D74B" w14:textId="77777777" w:rsidR="00DB2B68" w:rsidRDefault="00DB2B68"/>
    <w:p w14:paraId="38C11C0F" w14:textId="77777777" w:rsidR="00DB2B68" w:rsidRDefault="00000000">
      <w:pPr>
        <w:spacing w:line="259" w:lineRule="auto"/>
      </w:pPr>
      <w:r>
        <w:rPr>
          <w:rStyle w:val="normalChar"/>
          <w:b/>
          <w:color w:val="000000"/>
        </w:rPr>
        <w:t>LINTEAUX</w:t>
      </w:r>
    </w:p>
    <w:p w14:paraId="635E2DAF" w14:textId="77777777" w:rsidR="00DB2B68" w:rsidRDefault="00000000">
      <w:pPr>
        <w:spacing w:line="259" w:lineRule="auto"/>
      </w:pPr>
      <w:r>
        <w:rPr>
          <w:rStyle w:val="normalChar"/>
          <w:color w:val="000000"/>
        </w:rPr>
        <w:lastRenderedPageBreak/>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2F0B824B" w14:textId="77777777" w:rsidR="00DB2B68" w:rsidRDefault="00000000">
      <w:r>
        <w:rPr>
          <w:b/>
        </w:rPr>
        <w:t>(soit par défaut)</w:t>
      </w:r>
    </w:p>
    <w:p w14:paraId="67924A6A" w14:textId="77777777" w:rsidR="00DB2B68" w:rsidRDefault="00000000">
      <w:r>
        <w:rPr>
          <w:rStyle w:val="soitChar"/>
          <w:u w:val="single"/>
        </w:rPr>
        <w:t>D'une armature et de crochets de mur</w:t>
      </w:r>
      <w:r>
        <w:rPr>
          <w:rStyle w:val="soitChar"/>
        </w:rPr>
        <w:t>  :</w:t>
      </w:r>
    </w:p>
    <w:p w14:paraId="723DB62C" w14:textId="77777777" w:rsidR="00DB2B68"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4482A4E1" w14:textId="77777777" w:rsidR="00DB2B68" w:rsidRDefault="00000000">
      <w:r>
        <w:rPr>
          <w:b/>
        </w:rPr>
        <w:t>(soit)</w:t>
      </w:r>
    </w:p>
    <w:p w14:paraId="62FC1EFB"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7D3D7BD1" w14:textId="77777777" w:rsidR="00DB2B68" w:rsidRDefault="00000000">
      <w:r>
        <w:rPr>
          <w:b/>
        </w:rPr>
        <w:t>(soit)</w:t>
      </w:r>
    </w:p>
    <w:p w14:paraId="3AC3EBB3"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093605BA" w14:textId="77777777" w:rsidR="00DB2B68" w:rsidRDefault="00000000">
      <w:r>
        <w:rPr>
          <w:b/>
        </w:rPr>
        <w:t>(soit)</w:t>
      </w:r>
    </w:p>
    <w:p w14:paraId="78865FEC"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561AD925" w14:textId="77777777" w:rsidR="00DB2B68" w:rsidRDefault="00000000">
      <w:r>
        <w:rPr>
          <w:b/>
        </w:rPr>
        <w:t>(soit)</w:t>
      </w:r>
    </w:p>
    <w:p w14:paraId="5F093662" w14:textId="77777777" w:rsidR="00DB2B68" w:rsidRDefault="00000000">
      <w:r>
        <w:rPr>
          <w:rStyle w:val="optioncarChar"/>
        </w:rPr>
        <w:t> ***</w:t>
      </w:r>
    </w:p>
    <w:p w14:paraId="7F78348D" w14:textId="77777777" w:rsidR="00DB2B68" w:rsidRDefault="00000000">
      <w:pPr>
        <w:pStyle w:val="pheading"/>
      </w:pPr>
      <w:r>
        <w:t>- Notes d’exécution complémentaires</w:t>
      </w:r>
    </w:p>
    <w:p w14:paraId="4184F517" w14:textId="77777777" w:rsidR="00DB2B68" w:rsidRDefault="00000000">
      <w:r>
        <w:t> En vue du choix définitif des briques de parement, un ou plusieurs échantillons d'environ 1 m</w:t>
      </w:r>
      <w:r>
        <w:rPr>
          <w:vertAlign w:val="superscript"/>
        </w:rPr>
        <w:t>2</w:t>
      </w:r>
      <w:r>
        <w:t xml:space="preserve"> sont maçonnés à la demande de l'auteur de projet; les frais inhérents à la construction et à la démolition de ces murs sont à charge de l'entrepreneur.</w:t>
      </w:r>
    </w:p>
    <w:p w14:paraId="24BB548A" w14:textId="77777777" w:rsidR="00DB2B68" w:rsidRDefault="00000000">
      <w:r>
        <w:t xml:space="preserve">• Armatures horizontales : selon l'article </w:t>
      </w:r>
      <w:hyperlink w:anchor="357" w:history="1">
        <w:r>
          <w:rPr>
            <w:color w:val="0000EE"/>
          </w:rPr>
          <w:t>21.41.1 Armatures horizontales pour maçonneries</w:t>
        </w:r>
      </w:hyperlink>
      <w:r>
        <w:t>. </w:t>
      </w:r>
    </w:p>
    <w:p w14:paraId="41A6FC2A" w14:textId="77777777" w:rsidR="00DB2B68" w:rsidRDefault="00000000">
      <w:r>
        <w:t xml:space="preserve">• Ancrages : selon l'article </w:t>
      </w:r>
      <w:hyperlink w:anchor="364" w:history="1">
        <w:r>
          <w:rPr>
            <w:color w:val="0000EE"/>
          </w:rPr>
          <w:t>21.42 Ancrages et fixations de maçonneries</w:t>
        </w:r>
      </w:hyperlink>
    </w:p>
    <w:p w14:paraId="3E249C6B" w14:textId="77777777" w:rsidR="00DB2B68" w:rsidRDefault="00000000">
      <w:r>
        <w:t xml:space="preserve">Briques spéciales : </w:t>
      </w:r>
      <w:r>
        <w:rPr>
          <w:rStyle w:val="optioncarChar"/>
        </w:rPr>
        <w:t>***</w:t>
      </w:r>
    </w:p>
    <w:p w14:paraId="1D918173" w14:textId="77777777" w:rsidR="00DB2B68" w:rsidRDefault="00000000">
      <w:r>
        <w:t xml:space="preserve">Étanchéité : </w:t>
      </w:r>
      <w:r>
        <w:rPr>
          <w:rStyle w:val="optioncarChar"/>
        </w:rPr>
        <w:t>***</w:t>
      </w:r>
    </w:p>
    <w:p w14:paraId="721FE4AD" w14:textId="77777777" w:rsidR="00DB2B68" w:rsidRDefault="00000000">
      <w:r>
        <w:t xml:space="preserve">Joints de dilatation : </w:t>
      </w:r>
      <w:r>
        <w:rPr>
          <w:rStyle w:val="optioncarChar"/>
        </w:rPr>
        <w:t>***</w:t>
      </w:r>
    </w:p>
    <w:p w14:paraId="4C94C120" w14:textId="77777777" w:rsidR="00DB2B68" w:rsidRDefault="00000000">
      <w:r>
        <w:rPr>
          <w:shd w:val="clear" w:color="auto" w:fill="FFFFFF"/>
        </w:rPr>
        <w:t>Ce système est prévu pour des constructions de maisons unifamiliales, pour des constructions d’immeubles à appartements (5 niveaux maximum de murs porteurs) et pour des murs de remplissage entre poutres et colonnes</w:t>
      </w:r>
    </w:p>
    <w:p w14:paraId="01C1C145" w14:textId="77777777" w:rsidR="00DB2B68" w:rsidRDefault="00000000">
      <w:r>
        <w:rPr>
          <w:shd w:val="clear" w:color="auto" w:fill="FFFFFF"/>
        </w:rP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012022FA" w14:textId="77777777" w:rsidR="00DB2B68" w:rsidRDefault="00000000">
      <w:r>
        <w:rPr>
          <w:shd w:val="clear" w:color="auto" w:fill="FFFFFF"/>
        </w:rPr>
        <w:t>Les blocs de béton à base d'argile expansée et de liant hydraulique avec système de dosage automatique de mortier incorporé pour maçonnerie à joint mince sont couverts par une déclaration d'aptitude à l'utilisation conformément à l'article 02.42.1 Critères d'acceptabilité</w:t>
      </w:r>
    </w:p>
    <w:p w14:paraId="48EA790F" w14:textId="77777777" w:rsidR="00DB2B68" w:rsidRDefault="0000000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663313AD" w14:textId="77777777" w:rsidR="00DB2B68" w:rsidRDefault="00000000">
      <w:r>
        <w:lastRenderedPageBreak/>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12</w:t>
      </w:r>
      <w:r>
        <w:t xml:space="preserve"> (par défaut)</w:t>
      </w:r>
      <w:r>
        <w:rPr>
          <w:rStyle w:val="optioncarChar"/>
        </w:rPr>
        <w:t xml:space="preserve"> / *** </w:t>
      </w:r>
      <w:r>
        <w:t>mm et de composition moyenne :</w:t>
      </w:r>
    </w:p>
    <w:p w14:paraId="5086BBC6" w14:textId="77777777" w:rsidR="00DB2B68" w:rsidRDefault="00000000">
      <w:pPr>
        <w:pStyle w:val="Author-eListParagraph"/>
        <w:numPr>
          <w:ilvl w:val="0"/>
          <w:numId w:val="240"/>
        </w:numPr>
      </w:pPr>
      <w:r>
        <w:t>350 kg de ciment de la classe de résistance 52,5 N/mm2,</w:t>
      </w:r>
    </w:p>
    <w:p w14:paraId="5BDE724B" w14:textId="77777777" w:rsidR="00DB2B68" w:rsidRDefault="00000000">
      <w:pPr>
        <w:pStyle w:val="Author-eListParagraph"/>
        <w:numPr>
          <w:ilvl w:val="0"/>
          <w:numId w:val="240"/>
        </w:numPr>
      </w:pPr>
      <w:r>
        <w:t>720 l à 780 l de gravier roulé 4/28,</w:t>
      </w:r>
    </w:p>
    <w:p w14:paraId="7FD39F81" w14:textId="77777777" w:rsidR="00DB2B68" w:rsidRDefault="00000000">
      <w:pPr>
        <w:pStyle w:val="Author-eListParagraph"/>
        <w:numPr>
          <w:ilvl w:val="0"/>
          <w:numId w:val="240"/>
        </w:numPr>
      </w:pPr>
      <w:r>
        <w:t>380 l à 450 l de sable pour béton et armés de barres verticales ou horizontales, le cas échéant justifiées par une note de calcul,</w:t>
      </w:r>
    </w:p>
    <w:p w14:paraId="749B0628" w14:textId="77777777" w:rsidR="00DB2B68" w:rsidRDefault="00000000">
      <w:pPr>
        <w:pStyle w:val="Author-eListParagraph"/>
        <w:numPr>
          <w:ilvl w:val="0"/>
          <w:numId w:val="240"/>
        </w:numPr>
      </w:pPr>
      <w:r>
        <w:t>170 l à 180 l d’eau.</w:t>
      </w:r>
    </w:p>
    <w:p w14:paraId="7A4814C1" w14:textId="77777777" w:rsidR="00DB2B68" w:rsidRDefault="00000000">
      <w:r>
        <w:t>Pour les contraintes horizontales particulières (par ex : force du vent) une note de calcul spécifique doit être établie.</w:t>
      </w:r>
    </w:p>
    <w:p w14:paraId="3A51236E" w14:textId="77777777" w:rsidR="00DB2B68" w:rsidRDefault="00000000">
      <w:r>
        <w:t>Sauf indication contraire dans le cahier spécial des charges ou dans l'étude de stabilité, la répartition des charges des planchers, linteaux, poutres, etc. se fait au choix de l'entrepreneur, selon la méthode suivante :</w:t>
      </w:r>
    </w:p>
    <w:p w14:paraId="55C8FB6A" w14:textId="77777777" w:rsidR="00DB2B68" w:rsidRDefault="00000000">
      <w:pPr>
        <w:pStyle w:val="Author-eListParagraph"/>
        <w:numPr>
          <w:ilvl w:val="0"/>
          <w:numId w:val="241"/>
        </w:numPr>
      </w:pPr>
      <w:r>
        <w:t>en remplissant les éléments creux de béton ou de mortier</w:t>
      </w:r>
    </w:p>
    <w:p w14:paraId="1A620427" w14:textId="77777777" w:rsidR="00DB2B68" w:rsidRDefault="00000000">
      <w:pPr>
        <w:pStyle w:val="Author-eListParagraph"/>
        <w:numPr>
          <w:ilvl w:val="0"/>
          <w:numId w:val="241"/>
        </w:numPr>
      </w:pPr>
      <w:r>
        <w:t>en utilisant des blocs pleins</w:t>
      </w:r>
    </w:p>
    <w:p w14:paraId="3D45FC33" w14:textId="77777777" w:rsidR="00DB2B68" w:rsidRDefault="00000000">
      <w:pPr>
        <w:pStyle w:val="Author-eListParagraph"/>
        <w:numPr>
          <w:ilvl w:val="0"/>
          <w:numId w:val="241"/>
        </w:numPr>
      </w:pPr>
      <w:r>
        <w:t>en prévoyant une poutre de ceinture</w:t>
      </w:r>
    </w:p>
    <w:p w14:paraId="40E8F490" w14:textId="77777777" w:rsidR="00DB2B68" w:rsidRDefault="00000000">
      <w:pPr>
        <w:pStyle w:val="Author-eListParagraph"/>
        <w:numPr>
          <w:ilvl w:val="0"/>
          <w:numId w:val="241"/>
        </w:numPr>
      </w:pPr>
      <w:r>
        <w:t>en prévoyant une semelle de renforcement</w:t>
      </w:r>
    </w:p>
    <w:p w14:paraId="43FB0F74" w14:textId="77777777" w:rsidR="00DB2B68" w:rsidRDefault="00000000">
      <w:pPr>
        <w:pStyle w:val="Author-eListParagraph"/>
        <w:numPr>
          <w:ilvl w:val="0"/>
          <w:numId w:val="241"/>
        </w:numPr>
      </w:pPr>
      <w:r>
        <w:t>en prévoyant des armatures</w:t>
      </w:r>
    </w:p>
    <w:p w14:paraId="118CB880" w14:textId="77777777" w:rsidR="00DB2B68" w:rsidRDefault="00000000">
      <w:r>
        <w:t>Ces blocs ne peuvent pas contenir d'inclusions de fer, ferrugineuses ou de chaux qui risqueraient de provoquer des dégâts en surface.</w:t>
      </w:r>
    </w:p>
    <w:p w14:paraId="5E8EB46E" w14:textId="77777777" w:rsidR="00DB2B68" w:rsidRDefault="00000000">
      <w:pPr>
        <w:pStyle w:val="pheading"/>
      </w:pPr>
      <w:r>
        <w:t>MESURAGE</w:t>
      </w:r>
    </w:p>
    <w:p w14:paraId="23ACC710" w14:textId="77777777" w:rsidR="00DB2B68" w:rsidRDefault="00000000">
      <w:pPr>
        <w:pStyle w:val="pheading"/>
      </w:pPr>
      <w:r>
        <w:t>- unité de mesure:</w:t>
      </w:r>
    </w:p>
    <w:p w14:paraId="365D8841" w14:textId="77777777" w:rsidR="00DB2B68" w:rsidRDefault="00000000">
      <w:r>
        <w:rPr>
          <w:rStyle w:val="optioncarChar"/>
        </w:rPr>
        <w:t>m² </w:t>
      </w:r>
      <w:r>
        <w:rPr>
          <w:rStyle w:val="optioncarChar"/>
          <w:color w:val="000000"/>
        </w:rPr>
        <w:t>(par défaut)</w:t>
      </w:r>
      <w:r>
        <w:rPr>
          <w:rStyle w:val="optioncarChar"/>
        </w:rPr>
        <w:t> / m³</w:t>
      </w:r>
    </w:p>
    <w:p w14:paraId="3D40FE7B" w14:textId="77777777" w:rsidR="00DB2B68" w:rsidRDefault="00000000">
      <w:pPr>
        <w:spacing w:after="0" w:line="0" w:lineRule="atLeast"/>
      </w:pPr>
      <w:r>
        <w:rPr>
          <w:b/>
          <w:color w:val="000000"/>
        </w:rPr>
        <w:t>(soit par défaut)</w:t>
      </w:r>
    </w:p>
    <w:p w14:paraId="016F787F" w14:textId="77777777" w:rsidR="00DB2B68" w:rsidRDefault="00000000">
      <w:pPr>
        <w:spacing w:after="0" w:line="0" w:lineRule="atLeast"/>
      </w:pPr>
      <w:r>
        <w:rPr>
          <w:rStyle w:val="soitChar"/>
        </w:rPr>
        <w:t>1. m²</w:t>
      </w:r>
    </w:p>
    <w:p w14:paraId="2C6E6260" w14:textId="77777777" w:rsidR="00DB2B68" w:rsidRDefault="00000000">
      <w:pPr>
        <w:spacing w:after="0" w:line="0" w:lineRule="atLeast"/>
      </w:pPr>
      <w:r>
        <w:rPr>
          <w:b/>
          <w:color w:val="000000"/>
        </w:rPr>
        <w:t>(soit)</w:t>
      </w:r>
    </w:p>
    <w:p w14:paraId="21C0C63C" w14:textId="77777777" w:rsidR="00DB2B68" w:rsidRDefault="00000000">
      <w:pPr>
        <w:spacing w:after="0" w:line="0" w:lineRule="atLeast"/>
      </w:pPr>
      <w:r>
        <w:rPr>
          <w:rStyle w:val="soitChar"/>
        </w:rPr>
        <w:t>2. m³</w:t>
      </w:r>
    </w:p>
    <w:p w14:paraId="7B81A41A" w14:textId="77777777" w:rsidR="00DB2B68" w:rsidRDefault="00000000">
      <w:pPr>
        <w:pStyle w:val="pheading"/>
      </w:pPr>
      <w:r>
        <w:t>- code de mesurage:</w:t>
      </w:r>
    </w:p>
    <w:p w14:paraId="378179C3" w14:textId="77777777" w:rsidR="00DB2B68" w:rsidRDefault="00000000">
      <w:pPr>
        <w:spacing w:before="0" w:after="0"/>
      </w:pPr>
      <w:r>
        <w:t>Les maçonneries sont mesurées en fonction de leur forme géométrique.</w:t>
      </w:r>
    </w:p>
    <w:p w14:paraId="7D28F6E4"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27948CDB" w14:textId="77777777" w:rsidR="00DB2B68" w:rsidRDefault="00000000">
      <w:pPr>
        <w:spacing w:before="0" w:after="0"/>
      </w:pPr>
      <w:r>
        <w:t>La coulisse n'est jamais prise en compte.</w:t>
      </w:r>
    </w:p>
    <w:p w14:paraId="08EC6323" w14:textId="77777777" w:rsidR="00DB2B68" w:rsidRDefault="00000000">
      <w:pPr>
        <w:spacing w:after="0" w:line="259" w:lineRule="auto"/>
      </w:pPr>
      <w:r>
        <w:rPr>
          <w:rStyle w:val="normalChar"/>
        </w:rPr>
        <w:t>Les accessoires (linteaux non décrits et non comptés dans un autre poste, attaches,…) sont compris dans le prix.</w:t>
      </w:r>
    </w:p>
    <w:p w14:paraId="6FA3E451" w14:textId="77777777" w:rsidR="00DB2B68" w:rsidRDefault="00000000">
      <w:pPr>
        <w:spacing w:after="0" w:line="259" w:lineRule="auto"/>
      </w:pPr>
      <w:r>
        <w:rPr>
          <w:rStyle w:val="normalChar"/>
        </w:rPr>
        <w:t>Sont entre-autres décrits et comptés dans un autre poste :</w:t>
      </w:r>
    </w:p>
    <w:p w14:paraId="7D7AF6E0" w14:textId="77777777" w:rsidR="00DB2B68" w:rsidRDefault="00000000">
      <w:pPr>
        <w:pStyle w:val="Author-eListParagraph"/>
        <w:numPr>
          <w:ilvl w:val="0"/>
          <w:numId w:val="242"/>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715DEE87" w14:textId="77777777" w:rsidR="00DB2B68" w:rsidRDefault="00000000">
      <w:pPr>
        <w:pStyle w:val="Author-eListParagraph"/>
        <w:numPr>
          <w:ilvl w:val="0"/>
          <w:numId w:val="242"/>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3B949453" w14:textId="77777777" w:rsidR="00DB2B68" w:rsidRDefault="00000000">
      <w:pPr>
        <w:pStyle w:val="Author-eListParagraph"/>
        <w:numPr>
          <w:ilvl w:val="0"/>
          <w:numId w:val="242"/>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4E0B018E" w14:textId="77777777" w:rsidR="00DB2B68" w:rsidRDefault="00DB2B68"/>
    <w:p w14:paraId="1747706B"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2AB06574" w14:textId="77777777" w:rsidR="00DB2B68" w:rsidRDefault="00000000">
      <w:pPr>
        <w:spacing w:after="0" w:line="252" w:lineRule="auto"/>
      </w:pPr>
      <w:r>
        <w:rPr>
          <w:b/>
          <w:color w:val="000000"/>
        </w:rPr>
        <w:t>(soit par défaut)</w:t>
      </w:r>
    </w:p>
    <w:p w14:paraId="4C30EFE7" w14:textId="77777777" w:rsidR="00DB2B68" w:rsidRDefault="00000000">
      <w:pPr>
        <w:spacing w:after="0" w:line="252" w:lineRule="auto"/>
      </w:pPr>
      <w:r>
        <w:rPr>
          <w:rStyle w:val="soitChar"/>
          <w:u w:val="single"/>
        </w:rPr>
        <w:t>Surface nette </w:t>
      </w:r>
      <w:r>
        <w:rPr>
          <w:rStyle w:val="soitChar"/>
        </w:rPr>
        <w:t>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C7045D1" w14:textId="77777777" w:rsidR="00DB2B68" w:rsidRDefault="00000000">
      <w:pPr>
        <w:spacing w:after="0" w:line="252" w:lineRule="auto"/>
      </w:pPr>
      <w:r>
        <w:rPr>
          <w:rStyle w:val="soitChar"/>
        </w:rPr>
        <w:lastRenderedPageBreak/>
        <w:t>Distinction faite suivant l'épaisseur.</w:t>
      </w:r>
    </w:p>
    <w:p w14:paraId="4A330EAF" w14:textId="77777777" w:rsidR="00DB2B68" w:rsidRDefault="00000000">
      <w:pPr>
        <w:spacing w:line="252" w:lineRule="auto"/>
      </w:pPr>
      <w:r>
        <w:rPr>
          <w:b/>
          <w:color w:val="000000"/>
        </w:rPr>
        <w:t>(soit)</w:t>
      </w:r>
    </w:p>
    <w:p w14:paraId="23C72C6A"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2AFF9402"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29DDDEBB" w14:textId="77777777" w:rsidR="00DB2B68" w:rsidRDefault="00000000">
      <w:pPr>
        <w:pStyle w:val="pheading"/>
      </w:pPr>
      <w:r>
        <w:t>- nature du marché:</w:t>
      </w:r>
    </w:p>
    <w:p w14:paraId="3FB662C8" w14:textId="77777777" w:rsidR="00DB2B68" w:rsidRDefault="00000000">
      <w:r>
        <w:t>QF</w:t>
      </w:r>
    </w:p>
    <w:p w14:paraId="52F86AFF" w14:textId="77777777" w:rsidR="00DB2B68" w:rsidRDefault="00000000">
      <w:pPr>
        <w:pStyle w:val="Author-eSectionHeading6Numberless"/>
      </w:pPr>
      <w:bookmarkStart w:id="244" w:name="_Toc220495372"/>
      <w:r>
        <w:t>21.31.2d Maçonneries de parement en briques de béton clivé à maçonner CCTB 01.11</w:t>
      </w:r>
      <w:bookmarkEnd w:id="244"/>
    </w:p>
    <w:p w14:paraId="1F2D9866" w14:textId="77777777" w:rsidR="00DB2B68" w:rsidRDefault="00000000">
      <w:pPr>
        <w:pStyle w:val="pheading"/>
      </w:pPr>
      <w:r>
        <w:t>DESCRIPTION</w:t>
      </w:r>
    </w:p>
    <w:p w14:paraId="333C39C7" w14:textId="77777777" w:rsidR="00DB2B68" w:rsidRDefault="00000000">
      <w:pPr>
        <w:pStyle w:val="pheading"/>
      </w:pPr>
      <w:r>
        <w:t>- Définition / Comprend</w:t>
      </w:r>
    </w:p>
    <w:p w14:paraId="28814E07" w14:textId="77777777" w:rsidR="00DB2B68" w:rsidRDefault="00000000">
      <w:r>
        <w:t>Il s’agit de la fourniture et la pose de maçonneries de parement en briques de béton clivé.</w:t>
      </w:r>
    </w:p>
    <w:p w14:paraId="039B2801" w14:textId="77777777" w:rsidR="00DB2B68" w:rsidRDefault="00000000">
      <w:r>
        <w:t xml:space="preserve">La portée des travaux est décrite dans l’article </w:t>
      </w:r>
      <w:hyperlink w:anchor="381" w:history="1">
        <w:r>
          <w:rPr>
            <w:color w:val="0000EE"/>
          </w:rPr>
          <w:t>21.3 Maçonneries de parement</w:t>
        </w:r>
      </w:hyperlink>
      <w:r>
        <w:t>.</w:t>
      </w:r>
    </w:p>
    <w:p w14:paraId="725A7073" w14:textId="77777777" w:rsidR="00DB2B68" w:rsidRDefault="00000000">
      <w:pPr>
        <w:pStyle w:val="pheading"/>
      </w:pPr>
      <w:r>
        <w:t>- Localisation</w:t>
      </w:r>
    </w:p>
    <w:p w14:paraId="1298CD90" w14:textId="77777777" w:rsidR="00DB2B68" w:rsidRDefault="00000000">
      <w:r>
        <w:t xml:space="preserve">La pose est réalisée aux endroits suivants : </w:t>
      </w:r>
      <w:r>
        <w:rPr>
          <w:rStyle w:val="optioncarChar"/>
        </w:rPr>
        <w:t>***</w:t>
      </w:r>
      <w:r>
        <w:t>.</w:t>
      </w:r>
      <w:r>
        <w:br/>
        <w:t>Voir plans et métrés détaillés.</w:t>
      </w:r>
    </w:p>
    <w:p w14:paraId="0B12C271" w14:textId="77777777" w:rsidR="00DB2B68" w:rsidRDefault="00000000">
      <w:pPr>
        <w:pStyle w:val="pheading"/>
      </w:pPr>
      <w:r>
        <w:t>MATÉRIAUX</w:t>
      </w:r>
    </w:p>
    <w:p w14:paraId="69BA1435" w14:textId="77777777" w:rsidR="00DB2B68" w:rsidRDefault="00000000">
      <w:pPr>
        <w:pStyle w:val="pheading"/>
      </w:pPr>
      <w:r>
        <w:t>- Caractéristiques générales</w:t>
      </w:r>
    </w:p>
    <w:p w14:paraId="22A62712" w14:textId="77777777" w:rsidR="00DB2B68" w:rsidRDefault="00000000">
      <w:r>
        <w:rPr>
          <w:rStyle w:val="headingChar"/>
        </w:rPr>
        <w:t>Brique</w:t>
      </w:r>
    </w:p>
    <w:p w14:paraId="5B35B401" w14:textId="77777777" w:rsidR="00DB2B68" w:rsidRDefault="00000000">
      <w:r>
        <w:rPr>
          <w:color w:val="000000"/>
        </w:rPr>
        <w:t>En ce qui concerne la déclaration de la résistance à la compression, les briques sont de catégorie I (la résistance à la compression est déclarée avec une fiabilité de 95%).</w:t>
      </w:r>
    </w:p>
    <w:p w14:paraId="36477BBB" w14:textId="77777777" w:rsidR="00DB2B68" w:rsidRDefault="00000000">
      <w:pPr>
        <w:spacing w:after="0" w:line="0" w:lineRule="atLeast"/>
      </w:pPr>
      <w:r>
        <w:rPr>
          <w:rStyle w:val="normalChar"/>
          <w:color w:val="000000"/>
        </w:rPr>
        <w:t xml:space="preserve">La classe de qualité suivant [PTV 21-001] est </w:t>
      </w:r>
      <w:r>
        <w:rPr>
          <w:rStyle w:val="optioncarChar"/>
          <w:color w:val="000000"/>
        </w:rPr>
        <w:t>2/0,8 / 3/1,0 / 4/1,2 / 5/1,4 / 6/1,6 / 8/1,9 / 10/2,2 (par défaut) / 15/2,2 + / ***</w:t>
      </w:r>
    </w:p>
    <w:p w14:paraId="6F6287F4" w14:textId="77777777" w:rsidR="00DB2B68" w:rsidRDefault="00000000">
      <w:pPr>
        <w:spacing w:after="0" w:line="0" w:lineRule="atLeast"/>
      </w:pPr>
      <w:r>
        <w:rPr>
          <w:rStyle w:val="normalChar"/>
          <w:color w:val="000000"/>
        </w:rPr>
        <w:t xml:space="preserve">Le groupe de configuration suivant [PTV 21-001] est: </w:t>
      </w:r>
      <w:r>
        <w:rPr>
          <w:rStyle w:val="optioncarChar"/>
          <w:color w:val="000000"/>
        </w:rPr>
        <w:t xml:space="preserve">1 / 2 / 3 / 4 </w:t>
      </w:r>
    </w:p>
    <w:p w14:paraId="32067F5F" w14:textId="77777777" w:rsidR="00DB2B68" w:rsidRDefault="00000000">
      <w:pPr>
        <w:spacing w:after="0" w:line="0" w:lineRule="atLeast"/>
      </w:pPr>
      <w:r>
        <w:rPr>
          <w:rStyle w:val="normalChar"/>
          <w:color w:val="000000"/>
        </w:rPr>
        <w:t xml:space="preserve">Le code d’identification du type de brique de maçonnerie suivant [PTV 21-001] est </w:t>
      </w:r>
      <w:r>
        <w:rPr>
          <w:rStyle w:val="optioncarChar"/>
          <w:color w:val="000000"/>
        </w:rPr>
        <w:t>A1 / A2 / B1 / B2</w:t>
      </w:r>
    </w:p>
    <w:p w14:paraId="3E51305C" w14:textId="77777777" w:rsidR="00DB2B68" w:rsidRDefault="00000000">
      <w:pPr>
        <w:spacing w:after="0" w:line="0" w:lineRule="atLeast"/>
      </w:pPr>
      <w:r>
        <w:rPr>
          <w:rStyle w:val="normalChar"/>
          <w:color w:val="000000"/>
        </w:rPr>
        <w:t xml:space="preserve">La conductibilité thermique λD est compatible avec la valeur U prescrite pour la paroi. </w:t>
      </w:r>
    </w:p>
    <w:p w14:paraId="4BB912E3" w14:textId="77777777" w:rsidR="00DB2B68" w:rsidRDefault="00000000">
      <w:pPr>
        <w:spacing w:after="0" w:line="0" w:lineRule="atLeast"/>
      </w:pPr>
      <w:r>
        <w:rPr>
          <w:rStyle w:val="normalChar"/>
          <w:color w:val="000000"/>
        </w:rPr>
        <w:t xml:space="preserve">Boutisse : </w:t>
      </w:r>
      <w:r>
        <w:t>plate</w:t>
      </w:r>
    </w:p>
    <w:p w14:paraId="161663A9" w14:textId="77777777" w:rsidR="00DB2B68" w:rsidRDefault="00000000">
      <w:pPr>
        <w:spacing w:after="0" w:line="0" w:lineRule="atLeast"/>
      </w:pPr>
      <w:r>
        <w:rPr>
          <w:rStyle w:val="normalChar"/>
          <w:color w:val="000000"/>
        </w:rPr>
        <w:t xml:space="preserve">Face qui reste visible : </w:t>
      </w:r>
      <w:r>
        <w:t>clivé </w:t>
      </w:r>
    </w:p>
    <w:p w14:paraId="73FA1206" w14:textId="77777777" w:rsidR="00DB2B68" w:rsidRDefault="00000000">
      <w:pPr>
        <w:spacing w:after="0" w:line="0" w:lineRule="atLeast"/>
      </w:pPr>
      <w:r>
        <w:rPr>
          <w:rStyle w:val="normalChar"/>
          <w:color w:val="000000"/>
        </w:rPr>
        <w:t xml:space="preserve">Teinte : </w:t>
      </w:r>
      <w:r>
        <w:rPr>
          <w:rStyle w:val="optioncarChar"/>
          <w:color w:val="000000"/>
        </w:rPr>
        <w:t xml:space="preserve">gris </w:t>
      </w:r>
      <w:r>
        <w:t>(par défaut) </w:t>
      </w:r>
      <w:r>
        <w:rPr>
          <w:rStyle w:val="optioncarChar"/>
          <w:color w:val="000000"/>
        </w:rPr>
        <w:t>/ blanc / noir / ***</w:t>
      </w:r>
    </w:p>
    <w:p w14:paraId="5B9262E5" w14:textId="77777777" w:rsidR="00DB2B68" w:rsidRDefault="00000000">
      <w:pPr>
        <w:spacing w:after="0" w:line="0" w:lineRule="atLeast"/>
      </w:pPr>
      <w:r>
        <w:rPr>
          <w:rStyle w:val="normalChar"/>
          <w:color w:val="000000"/>
        </w:rPr>
        <w:t xml:space="preserve">Format (Lxlxh) mm : </w:t>
      </w:r>
      <w:r>
        <w:rPr>
          <w:rStyle w:val="optioncarChar"/>
          <w:color w:val="000000"/>
        </w:rPr>
        <w:t>190 x 90 x 65 / 190 x 90 x 90 / 290 X 90 x 90 / format modulaire proposé par l'entrepreneur</w:t>
      </w:r>
      <w:r>
        <w:rPr>
          <w:rStyle w:val="normalChar"/>
          <w:color w:val="000000"/>
        </w:rPr>
        <w:t> (par défaut)</w:t>
      </w:r>
      <w:r>
        <w:rPr>
          <w:rStyle w:val="optioncarChar"/>
          <w:color w:val="000000"/>
        </w:rPr>
        <w:t xml:space="preserve"> / ***</w:t>
      </w:r>
      <w:r>
        <w:rPr>
          <w:rStyle w:val="normalChar"/>
          <w:color w:val="000000"/>
        </w:rPr>
        <w:t xml:space="preserve"> mm</w:t>
      </w:r>
    </w:p>
    <w:p w14:paraId="19E8C8A1" w14:textId="77777777" w:rsidR="00DB2B68" w:rsidRDefault="00000000">
      <w:pPr>
        <w:spacing w:after="0" w:line="0" w:lineRule="atLeast"/>
      </w:pPr>
      <w:r>
        <w:rPr>
          <w:rStyle w:val="normalChar"/>
          <w:color w:val="000000"/>
        </w:rPr>
        <w:t xml:space="preserve">Réaction au feu : </w:t>
      </w:r>
      <w:r>
        <w:rPr>
          <w:rStyle w:val="optioncarChar"/>
          <w:color w:val="000000"/>
        </w:rPr>
        <w:t>A1 </w:t>
      </w:r>
      <w:r>
        <w:t>(par défaut)</w:t>
      </w:r>
      <w:r>
        <w:rPr>
          <w:rStyle w:val="optioncarChar"/>
          <w:color w:val="000000"/>
        </w:rPr>
        <w:t xml:space="preserve"> / ***</w:t>
      </w:r>
    </w:p>
    <w:p w14:paraId="12658F60" w14:textId="77777777" w:rsidR="00DB2B68" w:rsidRDefault="00000000">
      <w:pPr>
        <w:spacing w:after="0" w:line="0" w:lineRule="atLeast"/>
      </w:pPr>
      <w:r>
        <w:rPr>
          <w:rStyle w:val="headingChar"/>
          <w:color w:val="000000"/>
        </w:rPr>
        <w:t>Mortier</w:t>
      </w:r>
    </w:p>
    <w:p w14:paraId="5D3A02E8" w14:textId="77777777" w:rsidR="00DB2B68"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w:t>
      </w:r>
      <w:r>
        <w:t>(par défaut)</w:t>
      </w:r>
      <w:r>
        <w:rPr>
          <w:rStyle w:val="optioncarChar"/>
          <w:color w:val="000000"/>
        </w:rPr>
        <w:t xml:space="preserve"> / 12 / ***</w:t>
      </w:r>
      <w:r>
        <w:rPr>
          <w:rStyle w:val="normalChar"/>
          <w:color w:val="000000"/>
        </w:rPr>
        <w:t xml:space="preserve"> mm</w:t>
      </w:r>
      <w:r>
        <w:rPr>
          <w:rStyle w:val="normalChar"/>
          <w:strike/>
          <w:color w:val="000000"/>
        </w:rPr>
        <w:t>.</w:t>
      </w:r>
    </w:p>
    <w:p w14:paraId="158E5E7E" w14:textId="77777777" w:rsidR="00DB2B68" w:rsidRDefault="00000000">
      <w:pPr>
        <w:spacing w:line="259" w:lineRule="auto"/>
      </w:pPr>
      <w:r>
        <w:rPr>
          <w:rStyle w:val="normalCha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11CBC3F2" w14:textId="77777777" w:rsidR="00DB2B68" w:rsidRDefault="00000000">
      <w:pPr>
        <w:spacing w:line="259" w:lineRule="auto"/>
      </w:pPr>
      <w:r>
        <w:rPr>
          <w:rStyle w:val="normalChar"/>
          <w:color w:val="000000"/>
        </w:rPr>
        <w:t xml:space="preserve">Adhérence en cisaillement : </w:t>
      </w:r>
      <w:r>
        <w:rPr>
          <w:rStyle w:val="optioncarChar"/>
          <w:color w:val="000000"/>
        </w:rPr>
        <w:t xml:space="preserve">≥ 0,10 N/mm² / ≥ 0,15 N/mm² (par défaut) / non spécifié / *** </w:t>
      </w:r>
    </w:p>
    <w:p w14:paraId="5128C8EB" w14:textId="77777777" w:rsidR="00DB2B68" w:rsidRDefault="00000000">
      <w:pPr>
        <w:spacing w:line="259" w:lineRule="auto"/>
      </w:pPr>
      <w:r>
        <w:rPr>
          <w:rStyle w:val="normalChar"/>
          <w:color w:val="000000"/>
        </w:rPr>
        <w:t xml:space="preserve">Résistance au gel : </w:t>
      </w:r>
      <w:r>
        <w:rPr>
          <w:rStyle w:val="optioncarChar"/>
          <w:color w:val="000000"/>
        </w:rPr>
        <w:t>oui</w:t>
      </w:r>
    </w:p>
    <w:p w14:paraId="24B0CD71" w14:textId="77777777" w:rsidR="00DB2B68" w:rsidRDefault="00DB2B68"/>
    <w:p w14:paraId="2DC63B5F" w14:textId="77777777" w:rsidR="00DB2B68" w:rsidRDefault="00000000">
      <w:pPr>
        <w:spacing w:line="259" w:lineRule="auto"/>
      </w:pPr>
      <w:r>
        <w:rPr>
          <w:rStyle w:val="headingChar"/>
          <w:color w:val="000000"/>
        </w:rPr>
        <w:t>Critères de performances du parement</w:t>
      </w:r>
    </w:p>
    <w:p w14:paraId="28E084C1" w14:textId="77777777" w:rsidR="00DB2B68" w:rsidRDefault="00000000">
      <w:pPr>
        <w:spacing w:line="259" w:lineRule="auto"/>
      </w:pPr>
      <w:r>
        <w:lastRenderedPageBreak/>
        <w:t>V</w:t>
      </w:r>
      <w:r>
        <w:rPr>
          <w:rStyle w:val="normalChar"/>
          <w:color w:val="000000"/>
        </w:rPr>
        <w:t xml:space="preserve">aleur λUi ou λUe maximum </w:t>
      </w:r>
      <w:r>
        <w:rPr>
          <w:rStyle w:val="optioncarChar"/>
          <w:color w:val="000000"/>
        </w:rPr>
        <w:t>***</w:t>
      </w:r>
      <w:r>
        <w:rPr>
          <w:rStyle w:val="normalChar"/>
          <w:color w:val="000000"/>
        </w:rPr>
        <w:t xml:space="preserve"> W/mK (suivant l’application).</w:t>
      </w:r>
    </w:p>
    <w:p w14:paraId="4851A067" w14:textId="77777777" w:rsidR="00DB2B68" w:rsidRDefault="00000000">
      <w:pPr>
        <w:pStyle w:val="pheading"/>
      </w:pPr>
      <w:r>
        <w:t>- Finitions</w:t>
      </w:r>
    </w:p>
    <w:p w14:paraId="7E836369"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1189A4BD"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881A838"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511F6A13"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3D352CCD"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3C047C68" w14:textId="77777777" w:rsidR="00DB2B68" w:rsidRDefault="00DB2B68"/>
    <w:p w14:paraId="132563A5" w14:textId="77777777" w:rsidR="00DB2B68" w:rsidRDefault="00000000">
      <w:pPr>
        <w:pStyle w:val="pheading"/>
      </w:pPr>
      <w:r>
        <w:t>EXÉCUTION / MISE EN ŒUVRE</w:t>
      </w:r>
    </w:p>
    <w:p w14:paraId="1C6C7DD2" w14:textId="77777777" w:rsidR="00DB2B68" w:rsidRDefault="00000000">
      <w:pPr>
        <w:pStyle w:val="pheading"/>
      </w:pPr>
      <w:r>
        <w:t>- Prescriptions générales</w:t>
      </w:r>
    </w:p>
    <w:p w14:paraId="0923A2B5" w14:textId="77777777" w:rsidR="00DB2B68" w:rsidRDefault="00000000">
      <w:pPr>
        <w:spacing w:line="259" w:lineRule="auto"/>
      </w:pPr>
      <w:r>
        <w:t>La maçonnerie est exécutée en appareil</w:t>
      </w:r>
      <w:r>
        <w:rPr>
          <w:rStyle w:val="optioncarChar"/>
        </w:rPr>
        <w:t xml:space="preserve"> d'</w:t>
      </w:r>
      <w:r>
        <w:rPr>
          <w:rStyle w:val="normalChar"/>
          <w:color w:val="FF0000"/>
        </w:rPr>
        <w:t xml:space="preserve">une demi-brique </w:t>
      </w:r>
      <w:r>
        <w:t>(par défaut) </w:t>
      </w:r>
      <w:r>
        <w:rPr>
          <w:rStyle w:val="normalChar"/>
          <w:color w:val="FF0000"/>
        </w:rPr>
        <w:t>/ ***</w:t>
      </w:r>
    </w:p>
    <w:p w14:paraId="37259CD2"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38FDFE6E" w14:textId="77777777" w:rsidR="00DB2B68" w:rsidRDefault="00DB2B68"/>
    <w:p w14:paraId="03168926" w14:textId="77777777" w:rsidR="00DB2B68" w:rsidRDefault="00000000">
      <w:pPr>
        <w:spacing w:line="259" w:lineRule="auto"/>
      </w:pPr>
      <w:r>
        <w:rPr>
          <w:rStyle w:val="normalChar"/>
          <w:b/>
          <w:color w:val="000000"/>
        </w:rPr>
        <w:t>LINTEAUX</w:t>
      </w:r>
    </w:p>
    <w:p w14:paraId="1298195A" w14:textId="77777777" w:rsidR="00DB2B68"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70113B0E" w14:textId="77777777" w:rsidR="00DB2B68" w:rsidRDefault="00000000">
      <w:r>
        <w:rPr>
          <w:b/>
        </w:rPr>
        <w:t>(soit par défaut)</w:t>
      </w:r>
    </w:p>
    <w:p w14:paraId="6013831E" w14:textId="77777777" w:rsidR="00DB2B68" w:rsidRDefault="00000000">
      <w:r>
        <w:rPr>
          <w:rStyle w:val="soitChar"/>
          <w:u w:val="single"/>
        </w:rPr>
        <w:t>D'une armature et de crochets de mur</w:t>
      </w:r>
      <w:r>
        <w:rPr>
          <w:rStyle w:val="soitChar"/>
        </w:rPr>
        <w:t>  :</w:t>
      </w:r>
    </w:p>
    <w:p w14:paraId="6799F9A0"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90A6644" w14:textId="77777777" w:rsidR="00DB2B68" w:rsidRDefault="00000000">
      <w:r>
        <w:rPr>
          <w:b/>
        </w:rPr>
        <w:t>(soit)</w:t>
      </w:r>
    </w:p>
    <w:p w14:paraId="3F01EAD6"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79AED0E" w14:textId="77777777" w:rsidR="00DB2B68" w:rsidRDefault="00000000">
      <w:r>
        <w:rPr>
          <w:b/>
        </w:rPr>
        <w:t>(soit)</w:t>
      </w:r>
    </w:p>
    <w:p w14:paraId="1D851FB5"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171E32A1" w14:textId="77777777" w:rsidR="00DB2B68" w:rsidRDefault="00000000">
      <w:r>
        <w:rPr>
          <w:b/>
        </w:rPr>
        <w:t>(soit)</w:t>
      </w:r>
    </w:p>
    <w:p w14:paraId="7C891616"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22154C3" w14:textId="77777777" w:rsidR="00DB2B68" w:rsidRDefault="00000000">
      <w:r>
        <w:rPr>
          <w:b/>
        </w:rPr>
        <w:t>(soit)</w:t>
      </w:r>
    </w:p>
    <w:p w14:paraId="43BD7F9A" w14:textId="77777777" w:rsidR="00DB2B68" w:rsidRDefault="00000000">
      <w:r>
        <w:rPr>
          <w:rStyle w:val="optioncarChar"/>
        </w:rPr>
        <w:t> ***</w:t>
      </w:r>
    </w:p>
    <w:p w14:paraId="57D50AB7" w14:textId="77777777" w:rsidR="00DB2B68" w:rsidRDefault="00000000">
      <w:pPr>
        <w:ind w:left="750"/>
      </w:pPr>
      <w:r>
        <w:t> </w:t>
      </w:r>
    </w:p>
    <w:p w14:paraId="2308EB2B" w14:textId="77777777" w:rsidR="00DB2B68" w:rsidRDefault="00000000">
      <w:pPr>
        <w:pStyle w:val="pheading"/>
      </w:pPr>
      <w:r>
        <w:t>- Notes d’exécution complémentaires</w:t>
      </w:r>
    </w:p>
    <w:p w14:paraId="28329E8C" w14:textId="77777777" w:rsidR="00DB2B68" w:rsidRDefault="00000000">
      <w:r>
        <w:lastRenderedPageBreak/>
        <w:t>En vue du choix définitif des briques de parement, un ou plusieurs échantillons d'environ 1 m2 sont maçonnés à la demande de l'auteur de projet; les frais inhérents à la construction et à la démolition de ces murs sont à charge de l'entrepreneur.</w:t>
      </w:r>
    </w:p>
    <w:p w14:paraId="38F9371A" w14:textId="77777777" w:rsidR="00DB2B68" w:rsidRDefault="00000000">
      <w:r>
        <w:t xml:space="preserve">• Armatures horizontales : selon l'article </w:t>
      </w:r>
      <w:hyperlink w:anchor="357" w:history="1">
        <w:r>
          <w:rPr>
            <w:color w:val="0000EE"/>
          </w:rPr>
          <w:t>21.41.1 Armatures horizontales pour maçonneries</w:t>
        </w:r>
      </w:hyperlink>
      <w:r>
        <w:t>. </w:t>
      </w:r>
    </w:p>
    <w:p w14:paraId="4BC3BCE8" w14:textId="77777777" w:rsidR="00DB2B68" w:rsidRDefault="00000000">
      <w:r>
        <w:t xml:space="preserve">• Ancrages : selon l'article </w:t>
      </w:r>
      <w:hyperlink w:anchor="364" w:history="1">
        <w:r>
          <w:rPr>
            <w:color w:val="0000EE"/>
          </w:rPr>
          <w:t>21.42 Ancrages et fixations de maçonneries</w:t>
        </w:r>
      </w:hyperlink>
    </w:p>
    <w:p w14:paraId="2F32EFAB" w14:textId="77777777" w:rsidR="00DB2B68" w:rsidRDefault="00000000">
      <w:r>
        <w:t xml:space="preserve">Briques spéciales : </w:t>
      </w:r>
      <w:r>
        <w:rPr>
          <w:rStyle w:val="optioncarChar"/>
        </w:rPr>
        <w:t>***</w:t>
      </w:r>
    </w:p>
    <w:p w14:paraId="50212F5D" w14:textId="77777777" w:rsidR="00DB2B68" w:rsidRDefault="00000000">
      <w:r>
        <w:t xml:space="preserve">Étanchéité : </w:t>
      </w:r>
      <w:r>
        <w:rPr>
          <w:rStyle w:val="optioncarChar"/>
        </w:rPr>
        <w:t>***</w:t>
      </w:r>
    </w:p>
    <w:p w14:paraId="2422DE20" w14:textId="77777777" w:rsidR="00DB2B68" w:rsidRDefault="00000000">
      <w:r>
        <w:t xml:space="preserve">Joints de dilatation : </w:t>
      </w:r>
      <w:r>
        <w:rPr>
          <w:rStyle w:val="optioncarChar"/>
        </w:rPr>
        <w:t>***</w:t>
      </w:r>
    </w:p>
    <w:p w14:paraId="68B03535" w14:textId="77777777" w:rsidR="00DB2B68" w:rsidRDefault="00000000">
      <w:pPr>
        <w:pStyle w:val="pheading"/>
      </w:pPr>
      <w:r>
        <w:t>MESURAGE</w:t>
      </w:r>
    </w:p>
    <w:p w14:paraId="4AF62C50" w14:textId="77777777" w:rsidR="00DB2B68" w:rsidRDefault="00000000">
      <w:pPr>
        <w:pStyle w:val="pheading"/>
      </w:pPr>
      <w:r>
        <w:t>- unité de mesure:</w:t>
      </w:r>
    </w:p>
    <w:p w14:paraId="610ECEC7" w14:textId="77777777" w:rsidR="00DB2B68" w:rsidRDefault="00000000">
      <w:r>
        <w:rPr>
          <w:rStyle w:val="optioncarChar"/>
        </w:rPr>
        <w:t>m² </w:t>
      </w:r>
      <w:r>
        <w:rPr>
          <w:rStyle w:val="optioncarChar"/>
          <w:color w:val="000000"/>
        </w:rPr>
        <w:t>(par défaut)</w:t>
      </w:r>
      <w:r>
        <w:rPr>
          <w:rStyle w:val="optioncarChar"/>
        </w:rPr>
        <w:t> / m³</w:t>
      </w:r>
    </w:p>
    <w:p w14:paraId="101FA0B5" w14:textId="77777777" w:rsidR="00DB2B68" w:rsidRDefault="00000000">
      <w:pPr>
        <w:spacing w:after="0" w:line="0" w:lineRule="atLeast"/>
      </w:pPr>
      <w:r>
        <w:rPr>
          <w:b/>
          <w:color w:val="000000"/>
        </w:rPr>
        <w:t>(soit par défaut)</w:t>
      </w:r>
    </w:p>
    <w:p w14:paraId="2864EF43" w14:textId="77777777" w:rsidR="00DB2B68" w:rsidRDefault="00000000">
      <w:pPr>
        <w:spacing w:after="0" w:line="0" w:lineRule="atLeast"/>
      </w:pPr>
      <w:r>
        <w:rPr>
          <w:rStyle w:val="soitChar"/>
        </w:rPr>
        <w:t>1. m²</w:t>
      </w:r>
    </w:p>
    <w:p w14:paraId="433B96F6" w14:textId="77777777" w:rsidR="00DB2B68" w:rsidRDefault="00000000">
      <w:pPr>
        <w:spacing w:after="0" w:line="0" w:lineRule="atLeast"/>
      </w:pPr>
      <w:r>
        <w:rPr>
          <w:b/>
          <w:color w:val="000000"/>
        </w:rPr>
        <w:t>(soit)</w:t>
      </w:r>
    </w:p>
    <w:p w14:paraId="601B28FE" w14:textId="77777777" w:rsidR="00DB2B68" w:rsidRDefault="00000000">
      <w:pPr>
        <w:spacing w:after="0" w:line="0" w:lineRule="atLeast"/>
      </w:pPr>
      <w:r>
        <w:rPr>
          <w:rStyle w:val="soitChar"/>
        </w:rPr>
        <w:t>2. m³</w:t>
      </w:r>
    </w:p>
    <w:p w14:paraId="0D007902" w14:textId="77777777" w:rsidR="00DB2B68" w:rsidRDefault="00000000">
      <w:pPr>
        <w:pStyle w:val="pheading"/>
      </w:pPr>
      <w:r>
        <w:t>- code de mesurage:</w:t>
      </w:r>
    </w:p>
    <w:p w14:paraId="662F084F" w14:textId="77777777" w:rsidR="00DB2B68" w:rsidRDefault="00000000">
      <w:pPr>
        <w:spacing w:before="0" w:after="0"/>
        <w:ind w:left="454"/>
      </w:pPr>
      <w:r>
        <w:t>Les maçonneries sont mesurées en fonction de leur forme géométrique.</w:t>
      </w:r>
    </w:p>
    <w:p w14:paraId="355E9C96" w14:textId="77777777" w:rsidR="00DB2B68" w:rsidRDefault="00000000">
      <w:pPr>
        <w:spacing w:before="0" w:after="0"/>
        <w:ind w:left="454"/>
      </w:pPr>
      <w:r>
        <w:t>Les ébrasements des ouvertures et des baies de fenêtres ainsi que la face inférieure des linteaux ne sont comptés (en surface nette) que lorsque leur largeur est supérieure à celle des briques de façade.</w:t>
      </w:r>
    </w:p>
    <w:p w14:paraId="09A9F0D3" w14:textId="77777777" w:rsidR="00DB2B68" w:rsidRDefault="00000000">
      <w:pPr>
        <w:spacing w:before="0" w:after="0"/>
        <w:ind w:left="460"/>
      </w:pPr>
      <w:r>
        <w:t>La coulisse n'est jamais prise en compte.</w:t>
      </w:r>
    </w:p>
    <w:p w14:paraId="57888952" w14:textId="77777777" w:rsidR="00DB2B68" w:rsidRDefault="00000000">
      <w:pPr>
        <w:spacing w:after="0" w:line="259" w:lineRule="auto"/>
        <w:ind w:left="460"/>
      </w:pPr>
      <w:r>
        <w:rPr>
          <w:rStyle w:val="normalChar"/>
        </w:rPr>
        <w:t>Les accessoires (linteaux non décrits et non comptés dans un autre poste, attaches,…) sont compris dans le prix.</w:t>
      </w:r>
    </w:p>
    <w:p w14:paraId="2C08F13F" w14:textId="77777777" w:rsidR="00DB2B68" w:rsidRDefault="00000000">
      <w:pPr>
        <w:spacing w:after="0" w:line="259" w:lineRule="auto"/>
        <w:ind w:left="460"/>
      </w:pPr>
      <w:r>
        <w:rPr>
          <w:rStyle w:val="normalChar"/>
        </w:rPr>
        <w:t>Sont entre-autres décrits et comptés dans un autre poste :</w:t>
      </w:r>
    </w:p>
    <w:p w14:paraId="6E1BCB49" w14:textId="77777777" w:rsidR="00DB2B68" w:rsidRDefault="00000000">
      <w:pPr>
        <w:pStyle w:val="Author-eListParagraph"/>
        <w:numPr>
          <w:ilvl w:val="0"/>
          <w:numId w:val="243"/>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3B52A1B6" w14:textId="77777777" w:rsidR="00DB2B68" w:rsidRDefault="00000000">
      <w:pPr>
        <w:pStyle w:val="Author-eListParagraph"/>
        <w:numPr>
          <w:ilvl w:val="0"/>
          <w:numId w:val="243"/>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6C12960F" w14:textId="77777777" w:rsidR="00DB2B68" w:rsidRDefault="00000000">
      <w:pPr>
        <w:pStyle w:val="Author-eListParagraph"/>
        <w:numPr>
          <w:ilvl w:val="0"/>
          <w:numId w:val="243"/>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2013C093" w14:textId="77777777" w:rsidR="00DB2B68" w:rsidRDefault="00DB2B68"/>
    <w:p w14:paraId="30CF9C72"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27B1A179" w14:textId="77777777" w:rsidR="00DB2B68" w:rsidRDefault="00000000">
      <w:pPr>
        <w:spacing w:after="0" w:line="252" w:lineRule="auto"/>
      </w:pPr>
      <w:r>
        <w:rPr>
          <w:b/>
          <w:color w:val="000000"/>
        </w:rPr>
        <w:t>(soit par défaut)</w:t>
      </w:r>
    </w:p>
    <w:p w14:paraId="648C738D" w14:textId="77777777" w:rsidR="00DB2B68" w:rsidRDefault="00000000">
      <w:pPr>
        <w:spacing w:after="0" w:line="252" w:lineRule="auto"/>
      </w:pPr>
      <w:r>
        <w:rPr>
          <w:rStyle w:val="soitChar"/>
          <w:u w:val="single"/>
        </w:rPr>
        <w:t>Surface nette </w:t>
      </w:r>
      <w:r>
        <w:rPr>
          <w:rStyle w:val="soitChar"/>
        </w:rPr>
        <w:t>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B39C4D5" w14:textId="77777777" w:rsidR="00DB2B68" w:rsidRDefault="00000000">
      <w:pPr>
        <w:spacing w:after="0" w:line="252" w:lineRule="auto"/>
      </w:pPr>
      <w:r>
        <w:rPr>
          <w:rStyle w:val="soitChar"/>
        </w:rPr>
        <w:t>Distinction faite suivant l'épaisseur.</w:t>
      </w:r>
    </w:p>
    <w:p w14:paraId="72410CB2" w14:textId="77777777" w:rsidR="00DB2B68" w:rsidRDefault="00000000">
      <w:pPr>
        <w:spacing w:line="252" w:lineRule="auto"/>
      </w:pPr>
      <w:r>
        <w:rPr>
          <w:b/>
          <w:color w:val="000000"/>
        </w:rPr>
        <w:t>(soit)</w:t>
      </w:r>
    </w:p>
    <w:p w14:paraId="44910977"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B24FD5D"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2518982D" w14:textId="77777777" w:rsidR="00DB2B68" w:rsidRDefault="00000000">
      <w:pPr>
        <w:pStyle w:val="pheading"/>
      </w:pPr>
      <w:r>
        <w:t>- nature du marché:</w:t>
      </w:r>
    </w:p>
    <w:p w14:paraId="3B92C373" w14:textId="77777777" w:rsidR="00DB2B68" w:rsidRDefault="00000000">
      <w:r>
        <w:rPr>
          <w:rStyle w:val="optioncarChar"/>
        </w:rPr>
        <w:t>QF</w:t>
      </w:r>
      <w:r>
        <w:t xml:space="preserve"> (par défaut)</w:t>
      </w:r>
      <w:r>
        <w:rPr>
          <w:rStyle w:val="optioncarChar"/>
        </w:rPr>
        <w:t xml:space="preserve"> / QP</w:t>
      </w:r>
    </w:p>
    <w:p w14:paraId="0860E919" w14:textId="77777777" w:rsidR="00DB2B68" w:rsidRDefault="00000000">
      <w:pPr>
        <w:pStyle w:val="Author-eSectionHeading6Numberless"/>
      </w:pPr>
      <w:bookmarkStart w:id="245" w:name="_Toc220495373"/>
      <w:r>
        <w:t>21.31.2e Maçonneries de parement en briques de béton clivé à coller CCTB 01.11</w:t>
      </w:r>
      <w:bookmarkEnd w:id="245"/>
    </w:p>
    <w:p w14:paraId="08DB2127" w14:textId="77777777" w:rsidR="00DB2B68" w:rsidRDefault="00000000">
      <w:pPr>
        <w:pStyle w:val="pheading"/>
      </w:pPr>
      <w:r>
        <w:lastRenderedPageBreak/>
        <w:t>DESCRIPTION</w:t>
      </w:r>
    </w:p>
    <w:p w14:paraId="59938A11" w14:textId="77777777" w:rsidR="00DB2B68" w:rsidRDefault="00000000">
      <w:pPr>
        <w:pStyle w:val="pheading"/>
      </w:pPr>
      <w:r>
        <w:t>- Définition / Comprend</w:t>
      </w:r>
    </w:p>
    <w:p w14:paraId="0C249129" w14:textId="77777777" w:rsidR="00DB2B68" w:rsidRDefault="00000000">
      <w:r>
        <w:t>Il s’agit de la fourniture et la pose de maçonneries de parement en briques de béton clivé.</w:t>
      </w:r>
    </w:p>
    <w:p w14:paraId="71E18358" w14:textId="77777777" w:rsidR="00DB2B68" w:rsidRDefault="00000000">
      <w:r>
        <w:t xml:space="preserve">La portée des travaux est décrite dans l’article </w:t>
      </w:r>
      <w:hyperlink w:anchor="381" w:history="1">
        <w:r>
          <w:rPr>
            <w:color w:val="0000EE"/>
          </w:rPr>
          <w:t>21.3 Maçonneries de parement</w:t>
        </w:r>
      </w:hyperlink>
      <w:r>
        <w:t>.</w:t>
      </w:r>
    </w:p>
    <w:p w14:paraId="7378C2AC" w14:textId="77777777" w:rsidR="00DB2B68" w:rsidRDefault="00000000">
      <w:pPr>
        <w:pStyle w:val="pheading"/>
      </w:pPr>
      <w:r>
        <w:t>- Localisation</w:t>
      </w:r>
    </w:p>
    <w:p w14:paraId="7AD13C7D" w14:textId="77777777" w:rsidR="00DB2B68" w:rsidRDefault="00000000">
      <w:r>
        <w:t xml:space="preserve">La pose est réalisée aux endroits suivants : </w:t>
      </w:r>
      <w:r>
        <w:rPr>
          <w:rStyle w:val="optioncarChar"/>
        </w:rPr>
        <w:t>***</w:t>
      </w:r>
      <w:r>
        <w:t>.</w:t>
      </w:r>
      <w:r>
        <w:br/>
        <w:t>Voir plans et métrés détaillés.</w:t>
      </w:r>
    </w:p>
    <w:p w14:paraId="480A78ED" w14:textId="77777777" w:rsidR="00DB2B68" w:rsidRDefault="00000000">
      <w:pPr>
        <w:pStyle w:val="pheading"/>
      </w:pPr>
      <w:r>
        <w:t>MATÉRIAUX</w:t>
      </w:r>
    </w:p>
    <w:p w14:paraId="54CDFD21" w14:textId="77777777" w:rsidR="00DB2B68" w:rsidRDefault="00000000">
      <w:pPr>
        <w:pStyle w:val="pheading"/>
      </w:pPr>
      <w:r>
        <w:t>- Caractéristiques générales</w:t>
      </w:r>
    </w:p>
    <w:p w14:paraId="7D74BD71" w14:textId="77777777" w:rsidR="00DB2B68" w:rsidRDefault="00000000">
      <w:r>
        <w:rPr>
          <w:rStyle w:val="headingChar"/>
          <w:color w:val="000000"/>
        </w:rPr>
        <w:t>Brique</w:t>
      </w:r>
    </w:p>
    <w:p w14:paraId="02948BD2" w14:textId="77777777" w:rsidR="00DB2B68" w:rsidRDefault="0000000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17C49CD5" w14:textId="77777777" w:rsidR="00DB2B68"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6CC14AEE" w14:textId="77777777" w:rsidR="00DB2B68"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4E647C1B" w14:textId="77777777" w:rsidR="00DB2B68" w:rsidRDefault="00000000">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7FF9E428" w14:textId="77777777" w:rsidR="00DB2B68" w:rsidRDefault="00000000">
      <w:pPr>
        <w:spacing w:after="0" w:line="0" w:lineRule="atLeast"/>
      </w:pPr>
      <w:r>
        <w:rPr>
          <w:color w:val="000000"/>
        </w:rPr>
        <w:t xml:space="preserve">La conductibilité thermique λD est compatible avec la valeur U prescrite pour la paroi. </w:t>
      </w:r>
    </w:p>
    <w:p w14:paraId="30B2D642" w14:textId="77777777" w:rsidR="00DB2B68" w:rsidRDefault="00000000">
      <w:pPr>
        <w:spacing w:after="0" w:line="0" w:lineRule="atLeast"/>
      </w:pPr>
      <w:r>
        <w:rPr>
          <w:color w:val="000000"/>
        </w:rPr>
        <w:t xml:space="preserve">Boutisse </w:t>
      </w:r>
      <w:r>
        <w:t>: plate</w:t>
      </w:r>
    </w:p>
    <w:p w14:paraId="57D2620A" w14:textId="77777777" w:rsidR="00DB2B68" w:rsidRDefault="00000000">
      <w:pPr>
        <w:spacing w:after="0" w:line="0" w:lineRule="atLeast"/>
      </w:pPr>
      <w:r>
        <w:rPr>
          <w:color w:val="000000"/>
        </w:rPr>
        <w:t xml:space="preserve">Face qui reste visible : </w:t>
      </w:r>
      <w:r>
        <w:rPr>
          <w:color w:val="FF0000"/>
        </w:rPr>
        <w:t>clivée </w:t>
      </w:r>
      <w:r>
        <w:t>(par défaut)</w:t>
      </w:r>
      <w:r>
        <w:rPr>
          <w:color w:val="FF0000"/>
        </w:rPr>
        <w:t xml:space="preserve"> / tuyautée-clivée</w:t>
      </w:r>
    </w:p>
    <w:p w14:paraId="3D07FF16" w14:textId="77777777" w:rsidR="00DB2B68"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76D1C695" w14:textId="77777777" w:rsidR="00DB2B68" w:rsidRDefault="00000000">
      <w:pPr>
        <w:spacing w:after="0" w:line="0" w:lineRule="atLeast"/>
      </w:pPr>
      <w:r>
        <w:rPr>
          <w:color w:val="000000"/>
        </w:rPr>
        <w:t xml:space="preserve">Format (Lxlxh) mm : </w:t>
      </w:r>
      <w:r>
        <w:rPr>
          <w:rStyle w:val="optioncarChar"/>
          <w:color w:val="000000"/>
        </w:rPr>
        <w:t>190 x 90 x 65 / 190 x 90 x 90 / 290 X 90 x 90 / format modulaire proposé par l'entrepreneur</w:t>
      </w:r>
      <w:r>
        <w:rPr>
          <w:color w:val="000000"/>
        </w:rPr>
        <w:t xml:space="preserve"> (par défaut) </w:t>
      </w:r>
      <w:r>
        <w:rPr>
          <w:rStyle w:val="optioncarChar"/>
          <w:color w:val="000000"/>
        </w:rPr>
        <w:t>/ ***</w:t>
      </w:r>
      <w:r>
        <w:rPr>
          <w:color w:val="000000"/>
        </w:rPr>
        <w:t xml:space="preserve"> mm</w:t>
      </w:r>
    </w:p>
    <w:p w14:paraId="68BC28EE" w14:textId="77777777" w:rsidR="00DB2B68" w:rsidRDefault="00000000">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157B1465" w14:textId="77777777" w:rsidR="00DB2B68" w:rsidRDefault="00DB2B68"/>
    <w:p w14:paraId="2DCA29AE" w14:textId="77777777" w:rsidR="00DB2B68" w:rsidRDefault="00000000">
      <w:pPr>
        <w:spacing w:line="259" w:lineRule="auto"/>
      </w:pPr>
      <w:r>
        <w:rPr>
          <w:rStyle w:val="headingChar"/>
          <w:color w:val="000000"/>
        </w:rPr>
        <w:t>Mortier</w:t>
      </w:r>
    </w:p>
    <w:p w14:paraId="3FADBA86" w14:textId="77777777" w:rsidR="00DB2B68" w:rsidRDefault="00000000">
      <w:pPr>
        <w:spacing w:after="0" w:line="0" w:lineRule="atLeast"/>
      </w:pPr>
      <w:r>
        <w:rPr>
          <w:color w:val="000000"/>
        </w:rPr>
        <w:t>Le mortier est du type T adapté à des joints d’épaisseur nominale de</w:t>
      </w:r>
      <w:r>
        <w:rPr>
          <w:rStyle w:val="optioncarChar"/>
          <w:color w:val="005500"/>
        </w:rPr>
        <w:t xml:space="preserve"> 3</w:t>
      </w:r>
      <w:r>
        <w:t> (par défaut)</w:t>
      </w:r>
      <w:r>
        <w:rPr>
          <w:rStyle w:val="optioncarChar"/>
          <w:color w:val="005500"/>
        </w:rPr>
        <w:t xml:space="preserve">  / ***</w:t>
      </w:r>
      <w:r>
        <w:rPr>
          <w:color w:val="000000"/>
        </w:rPr>
        <w:t xml:space="preserve"> mm.</w:t>
      </w:r>
    </w:p>
    <w:p w14:paraId="06D97702" w14:textId="77777777" w:rsidR="00DB2B68"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5FB73069" w14:textId="77777777" w:rsidR="00DB2B68"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11C91E30" w14:textId="77777777" w:rsidR="00DB2B68" w:rsidRDefault="00000000">
      <w:pPr>
        <w:spacing w:line="259" w:lineRule="auto"/>
      </w:pPr>
      <w:r>
        <w:rPr>
          <w:color w:val="000000"/>
        </w:rPr>
        <w:t xml:space="preserve">Résistance au gel : </w:t>
      </w:r>
      <w:r>
        <w:rPr>
          <w:rStyle w:val="optioncarChar"/>
          <w:color w:val="000000"/>
        </w:rPr>
        <w:t>oui</w:t>
      </w:r>
    </w:p>
    <w:p w14:paraId="6B97DC72" w14:textId="77777777" w:rsidR="00DB2B68" w:rsidRDefault="00DB2B68"/>
    <w:p w14:paraId="3BF0E66B" w14:textId="77777777" w:rsidR="00DB2B68" w:rsidRDefault="00000000">
      <w:pPr>
        <w:spacing w:line="259" w:lineRule="auto"/>
      </w:pPr>
      <w:r>
        <w:rPr>
          <w:rStyle w:val="headingChar"/>
          <w:color w:val="000000"/>
        </w:rPr>
        <w:t>Critères de performances du parement</w:t>
      </w:r>
    </w:p>
    <w:p w14:paraId="23C46B05" w14:textId="77777777" w:rsidR="00DB2B68" w:rsidRDefault="00000000">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414A519E" w14:textId="77777777" w:rsidR="00DB2B68" w:rsidRDefault="00000000">
      <w:pPr>
        <w:pStyle w:val="pheading"/>
      </w:pPr>
      <w:r>
        <w:t>- Finitions</w:t>
      </w:r>
    </w:p>
    <w:p w14:paraId="5B29FA15"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746BCFBE" w14:textId="77777777" w:rsidR="00DB2B68" w:rsidRDefault="00000000">
      <w:pPr>
        <w:pStyle w:val="pheading"/>
      </w:pPr>
      <w:r>
        <w:t>EXÉCUTION / MISE EN ŒUVRE</w:t>
      </w:r>
    </w:p>
    <w:p w14:paraId="670D9D3D" w14:textId="77777777" w:rsidR="00DB2B68" w:rsidRDefault="00000000">
      <w:pPr>
        <w:pStyle w:val="pheading"/>
      </w:pPr>
      <w:r>
        <w:t>- Prescriptions générales</w:t>
      </w:r>
    </w:p>
    <w:p w14:paraId="105618AF" w14:textId="77777777" w:rsidR="00DB2B68" w:rsidRDefault="00000000">
      <w:pPr>
        <w:spacing w:line="259" w:lineRule="auto"/>
      </w:pPr>
      <w:r>
        <w:t xml:space="preserve">La maçonnerie est exécutée en appareil </w:t>
      </w:r>
      <w:r>
        <w:rPr>
          <w:rStyle w:val="optioncarChar"/>
        </w:rPr>
        <w:t>d'</w:t>
      </w:r>
      <w:r>
        <w:rPr>
          <w:rStyle w:val="normalChar"/>
          <w:color w:val="FF0000"/>
        </w:rPr>
        <w:t>une demi-brique</w:t>
      </w:r>
      <w:r>
        <w:t xml:space="preserve"> (par défaut)</w:t>
      </w:r>
      <w:r>
        <w:rPr>
          <w:rStyle w:val="normalChar"/>
          <w:color w:val="FF0000"/>
        </w:rPr>
        <w:t> / ***</w:t>
      </w:r>
    </w:p>
    <w:p w14:paraId="51FDBE26"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0E74AA13" w14:textId="77777777" w:rsidR="00DB2B68" w:rsidRDefault="00DB2B68"/>
    <w:p w14:paraId="2CAD4E74" w14:textId="77777777" w:rsidR="00DB2B68" w:rsidRDefault="00000000">
      <w:pPr>
        <w:spacing w:line="259" w:lineRule="auto"/>
      </w:pPr>
      <w:r>
        <w:rPr>
          <w:rStyle w:val="normalChar"/>
          <w:b/>
          <w:color w:val="000000"/>
        </w:rPr>
        <w:lastRenderedPageBreak/>
        <w:t>LINTEAUX</w:t>
      </w:r>
    </w:p>
    <w:p w14:paraId="0FA790C9"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2A6A1DED" w14:textId="77777777" w:rsidR="00DB2B68" w:rsidRDefault="00000000">
      <w:r>
        <w:rPr>
          <w:b/>
        </w:rPr>
        <w:t>(soit par défaut)</w:t>
      </w:r>
    </w:p>
    <w:p w14:paraId="440ADBB3" w14:textId="77777777" w:rsidR="00DB2B68" w:rsidRDefault="00000000">
      <w:r>
        <w:rPr>
          <w:rStyle w:val="soitChar"/>
          <w:u w:val="single"/>
        </w:rPr>
        <w:t>D'une armature et de crochets de mur</w:t>
      </w:r>
      <w:r>
        <w:rPr>
          <w:rStyle w:val="soitChar"/>
        </w:rPr>
        <w:t>  :</w:t>
      </w:r>
    </w:p>
    <w:p w14:paraId="6F9B2A41"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2EB103B7" w14:textId="77777777" w:rsidR="00DB2B68" w:rsidRDefault="00000000">
      <w:r>
        <w:rPr>
          <w:b/>
        </w:rPr>
        <w:t>(soit)</w:t>
      </w:r>
    </w:p>
    <w:p w14:paraId="57E83FF2"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03EA1729" w14:textId="77777777" w:rsidR="00DB2B68" w:rsidRDefault="00000000">
      <w:r>
        <w:rPr>
          <w:b/>
        </w:rPr>
        <w:t>(soit)</w:t>
      </w:r>
    </w:p>
    <w:p w14:paraId="4687371E"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4C5A4EB8" w14:textId="77777777" w:rsidR="00DB2B68" w:rsidRDefault="00000000">
      <w:r>
        <w:rPr>
          <w:b/>
        </w:rPr>
        <w:t>(soit)</w:t>
      </w:r>
    </w:p>
    <w:p w14:paraId="3F8AB3FF"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7281E98" w14:textId="77777777" w:rsidR="00DB2B68" w:rsidRDefault="00000000">
      <w:r>
        <w:rPr>
          <w:b/>
        </w:rPr>
        <w:t>(soit)</w:t>
      </w:r>
    </w:p>
    <w:p w14:paraId="692A88B4" w14:textId="77777777" w:rsidR="00DB2B68" w:rsidRDefault="00000000">
      <w:r>
        <w:rPr>
          <w:rStyle w:val="optioncarChar"/>
        </w:rPr>
        <w:t> ***</w:t>
      </w:r>
    </w:p>
    <w:p w14:paraId="1FCB5947" w14:textId="77777777" w:rsidR="00DB2B68" w:rsidRDefault="00000000">
      <w:pPr>
        <w:pStyle w:val="pheading"/>
      </w:pPr>
      <w:r>
        <w:t>- Notes d’exécution complémentaires</w:t>
      </w:r>
    </w:p>
    <w:p w14:paraId="572CC43F" w14:textId="77777777" w:rsidR="00DB2B68" w:rsidRDefault="00000000">
      <w:r>
        <w:t>En vue du choix définitif des briques en béton clivé de parement, un ou plusieurs échantillons d'environ 1 m2 sont maçonnés à la demande de l'auteur de projet; les frais inhérents à la construction et à la démolition de ces murs sont à charge de l'entrepreneur.</w:t>
      </w:r>
    </w:p>
    <w:p w14:paraId="6B717B5A" w14:textId="77777777" w:rsidR="00DB2B68" w:rsidRDefault="00000000">
      <w:r>
        <w:t xml:space="preserve">• Armatures horizontales : selon l'article </w:t>
      </w:r>
      <w:hyperlink w:anchor="357" w:history="1">
        <w:r>
          <w:rPr>
            <w:color w:val="0000EE"/>
          </w:rPr>
          <w:t>21.41.1 Armatures horizontales pour maçonneries</w:t>
        </w:r>
      </w:hyperlink>
      <w:r>
        <w:t>.</w:t>
      </w:r>
    </w:p>
    <w:p w14:paraId="7B961D0F" w14:textId="77777777" w:rsidR="00DB2B68" w:rsidRDefault="00000000">
      <w:r>
        <w:t xml:space="preserve">• Ancrages : selon l'article </w:t>
      </w:r>
      <w:hyperlink w:anchor="364" w:history="1">
        <w:r>
          <w:rPr>
            <w:color w:val="0000EE"/>
          </w:rPr>
          <w:t>21.42 Ancrages et fixations de maçonneries</w:t>
        </w:r>
      </w:hyperlink>
    </w:p>
    <w:p w14:paraId="48E5C1E8" w14:textId="77777777" w:rsidR="00DB2B68" w:rsidRDefault="00000000">
      <w:r>
        <w:t xml:space="preserve">Briques spéciales : </w:t>
      </w:r>
      <w:r>
        <w:rPr>
          <w:rStyle w:val="optioncarChar"/>
        </w:rPr>
        <w:t>***</w:t>
      </w:r>
    </w:p>
    <w:p w14:paraId="314CCC0E" w14:textId="77777777" w:rsidR="00DB2B68" w:rsidRDefault="00000000">
      <w:r>
        <w:t xml:space="preserve">Étanchéité : </w:t>
      </w:r>
      <w:r>
        <w:rPr>
          <w:rStyle w:val="optioncarChar"/>
        </w:rPr>
        <w:t>***</w:t>
      </w:r>
    </w:p>
    <w:p w14:paraId="6A3D08B4" w14:textId="77777777" w:rsidR="00DB2B68" w:rsidRDefault="00000000">
      <w:r>
        <w:t xml:space="preserve">Joints de dilatation : </w:t>
      </w:r>
      <w:r>
        <w:rPr>
          <w:rStyle w:val="optioncarChar"/>
        </w:rPr>
        <w:t>***</w:t>
      </w:r>
    </w:p>
    <w:p w14:paraId="4283D681" w14:textId="77777777" w:rsidR="00DB2B68" w:rsidRDefault="00000000">
      <w:pPr>
        <w:pStyle w:val="pheading"/>
      </w:pPr>
      <w:r>
        <w:t>MESURAGE</w:t>
      </w:r>
    </w:p>
    <w:p w14:paraId="56C8E908" w14:textId="77777777" w:rsidR="00DB2B68" w:rsidRDefault="00000000">
      <w:pPr>
        <w:pStyle w:val="pheading"/>
      </w:pPr>
      <w:r>
        <w:t>- unité de mesure:</w:t>
      </w:r>
    </w:p>
    <w:p w14:paraId="74A0AD66" w14:textId="77777777" w:rsidR="00DB2B68" w:rsidRDefault="00000000">
      <w:r>
        <w:rPr>
          <w:rStyle w:val="optioncarChar"/>
        </w:rPr>
        <w:t>m² </w:t>
      </w:r>
      <w:r>
        <w:rPr>
          <w:rStyle w:val="optioncarChar"/>
          <w:color w:val="000000"/>
        </w:rPr>
        <w:t>(par défaut)</w:t>
      </w:r>
      <w:r>
        <w:rPr>
          <w:rStyle w:val="optioncarChar"/>
        </w:rPr>
        <w:t> / m³</w:t>
      </w:r>
    </w:p>
    <w:p w14:paraId="5329058F" w14:textId="77777777" w:rsidR="00DB2B68" w:rsidRDefault="00000000">
      <w:pPr>
        <w:spacing w:after="0" w:line="0" w:lineRule="atLeast"/>
      </w:pPr>
      <w:r>
        <w:rPr>
          <w:b/>
          <w:color w:val="000000"/>
        </w:rPr>
        <w:t>(soit par défaut)</w:t>
      </w:r>
    </w:p>
    <w:p w14:paraId="67C7212E" w14:textId="77777777" w:rsidR="00DB2B68" w:rsidRDefault="00000000">
      <w:pPr>
        <w:spacing w:after="0" w:line="0" w:lineRule="atLeast"/>
      </w:pPr>
      <w:r>
        <w:rPr>
          <w:rStyle w:val="soitChar"/>
        </w:rPr>
        <w:t>1. m²</w:t>
      </w:r>
    </w:p>
    <w:p w14:paraId="5D50C092" w14:textId="77777777" w:rsidR="00DB2B68" w:rsidRDefault="00000000">
      <w:pPr>
        <w:spacing w:after="0" w:line="0" w:lineRule="atLeast"/>
      </w:pPr>
      <w:r>
        <w:rPr>
          <w:b/>
          <w:color w:val="000000"/>
        </w:rPr>
        <w:t>(soit)</w:t>
      </w:r>
    </w:p>
    <w:p w14:paraId="7DF8793A" w14:textId="77777777" w:rsidR="00DB2B68" w:rsidRDefault="00000000">
      <w:pPr>
        <w:spacing w:after="0" w:line="0" w:lineRule="atLeast"/>
      </w:pPr>
      <w:r>
        <w:rPr>
          <w:rStyle w:val="soitChar"/>
        </w:rPr>
        <w:t>2. m³</w:t>
      </w:r>
    </w:p>
    <w:p w14:paraId="404F9E41" w14:textId="77777777" w:rsidR="00DB2B68" w:rsidRDefault="00000000">
      <w:pPr>
        <w:pStyle w:val="pheading"/>
      </w:pPr>
      <w:r>
        <w:t>- code de mesurage:</w:t>
      </w:r>
    </w:p>
    <w:p w14:paraId="49770AF0" w14:textId="77777777" w:rsidR="00DB2B68" w:rsidRDefault="00000000">
      <w:pPr>
        <w:spacing w:before="0" w:after="0"/>
      </w:pPr>
      <w:r>
        <w:t>Les maçonneries sont mesurées en fonction de leur forme géométrique.</w:t>
      </w:r>
    </w:p>
    <w:p w14:paraId="76EB8588"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446EA545" w14:textId="77777777" w:rsidR="00DB2B68" w:rsidRDefault="00000000">
      <w:pPr>
        <w:spacing w:before="0" w:after="0"/>
      </w:pPr>
      <w:r>
        <w:lastRenderedPageBreak/>
        <w:t>La coulisse n'est jamais prise en compte.</w:t>
      </w:r>
    </w:p>
    <w:p w14:paraId="63C73370" w14:textId="77777777" w:rsidR="00DB2B68" w:rsidRDefault="00000000">
      <w:pPr>
        <w:spacing w:after="0" w:line="259" w:lineRule="auto"/>
      </w:pPr>
      <w:r>
        <w:rPr>
          <w:rStyle w:val="normalChar"/>
        </w:rPr>
        <w:t>Les accessoires (linteaux non décrits et non comptés dans un autre poste, attaches,…) sont compris dans le prix.</w:t>
      </w:r>
    </w:p>
    <w:p w14:paraId="6C0D34B0" w14:textId="77777777" w:rsidR="00DB2B68" w:rsidRDefault="00000000">
      <w:pPr>
        <w:spacing w:after="0" w:line="259" w:lineRule="auto"/>
      </w:pPr>
      <w:r>
        <w:rPr>
          <w:rStyle w:val="normalChar"/>
        </w:rPr>
        <w:t>Sont entre-autres décrits et comptés dans un autre poste :</w:t>
      </w:r>
    </w:p>
    <w:p w14:paraId="51AB3E72" w14:textId="77777777" w:rsidR="00DB2B68" w:rsidRDefault="00000000">
      <w:pPr>
        <w:pStyle w:val="Author-eListParagraph"/>
        <w:numPr>
          <w:ilvl w:val="0"/>
          <w:numId w:val="244"/>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318774A8" w14:textId="77777777" w:rsidR="00DB2B68" w:rsidRDefault="00000000">
      <w:pPr>
        <w:pStyle w:val="Author-eListParagraph"/>
        <w:numPr>
          <w:ilvl w:val="0"/>
          <w:numId w:val="244"/>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34931152" w14:textId="77777777" w:rsidR="00DB2B68" w:rsidRDefault="00000000">
      <w:pPr>
        <w:pStyle w:val="Author-eListParagraph"/>
        <w:numPr>
          <w:ilvl w:val="0"/>
          <w:numId w:val="244"/>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090C4ACA" w14:textId="77777777" w:rsidR="00DB2B68" w:rsidRDefault="00DB2B68"/>
    <w:p w14:paraId="379DCC40"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3BB174D0" w14:textId="77777777" w:rsidR="00DB2B68" w:rsidRDefault="00000000">
      <w:pPr>
        <w:spacing w:after="0" w:line="252" w:lineRule="auto"/>
      </w:pPr>
      <w:r>
        <w:rPr>
          <w:b/>
          <w:color w:val="000000"/>
        </w:rPr>
        <w:t>(soit par défaut)</w:t>
      </w:r>
    </w:p>
    <w:p w14:paraId="21DB26EE"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F714A5B" w14:textId="77777777" w:rsidR="00DB2B68" w:rsidRDefault="00000000">
      <w:pPr>
        <w:spacing w:after="0" w:line="252" w:lineRule="auto"/>
      </w:pPr>
      <w:r>
        <w:rPr>
          <w:rStyle w:val="soitChar"/>
        </w:rPr>
        <w:t>Distinction faite suivant l'épaisseur.</w:t>
      </w:r>
    </w:p>
    <w:p w14:paraId="683E735A" w14:textId="77777777" w:rsidR="00DB2B68" w:rsidRDefault="00000000">
      <w:pPr>
        <w:spacing w:line="252" w:lineRule="auto"/>
      </w:pPr>
      <w:r>
        <w:rPr>
          <w:b/>
          <w:color w:val="000000"/>
        </w:rPr>
        <w:t>(soit)</w:t>
      </w:r>
    </w:p>
    <w:p w14:paraId="3EDC2BEC"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1F8DC99D"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1D7C4D73" w14:textId="77777777" w:rsidR="00DB2B68" w:rsidRDefault="00000000">
      <w:pPr>
        <w:pStyle w:val="pheading"/>
      </w:pPr>
      <w:r>
        <w:t>- nature du marché:</w:t>
      </w:r>
    </w:p>
    <w:p w14:paraId="44B3FE35" w14:textId="77777777" w:rsidR="00DB2B68" w:rsidRDefault="00000000">
      <w:r>
        <w:rPr>
          <w:rStyle w:val="optioncarChar"/>
        </w:rPr>
        <w:t>QF</w:t>
      </w:r>
      <w:r>
        <w:t xml:space="preserve"> (par défaut)</w:t>
      </w:r>
      <w:r>
        <w:rPr>
          <w:rStyle w:val="optioncarChar"/>
        </w:rPr>
        <w:t xml:space="preserve"> / QP</w:t>
      </w:r>
    </w:p>
    <w:p w14:paraId="482C1164" w14:textId="77777777" w:rsidR="00DB2B68" w:rsidRDefault="00000000">
      <w:pPr>
        <w:pStyle w:val="Author-eSectionHeading6Numberless"/>
      </w:pPr>
      <w:bookmarkStart w:id="246" w:name="_Toc220495374"/>
      <w:r>
        <w:t>21.31.2f Maçonneries de parement en briques de béton clivé à système de dosage pour liant hydraulique CCTB 01.11</w:t>
      </w:r>
      <w:bookmarkEnd w:id="246"/>
    </w:p>
    <w:p w14:paraId="5DA416DF" w14:textId="77777777" w:rsidR="00DB2B68" w:rsidRDefault="00000000">
      <w:pPr>
        <w:pStyle w:val="pheading"/>
      </w:pPr>
      <w:r>
        <w:t>DESCRIPTION</w:t>
      </w:r>
    </w:p>
    <w:p w14:paraId="7B0E5847" w14:textId="77777777" w:rsidR="00DB2B68" w:rsidRDefault="00000000">
      <w:pPr>
        <w:pStyle w:val="pheading"/>
      </w:pPr>
      <w:r>
        <w:t>- Définition / Comprend</w:t>
      </w:r>
    </w:p>
    <w:p w14:paraId="705D91E1" w14:textId="77777777" w:rsidR="00DB2B68" w:rsidRDefault="00000000">
      <w:r>
        <w:t>Il s’agit de la fourniture et la pose de maçonneries de parement en briques de béton clivé à système de dosage pour liant hydraulique.</w:t>
      </w:r>
    </w:p>
    <w:p w14:paraId="50B248C4" w14:textId="77777777" w:rsidR="00DB2B68" w:rsidRDefault="00000000">
      <w:r>
        <w:t xml:space="preserve">La portée des travaux est décrite dans l’article </w:t>
      </w:r>
      <w:hyperlink w:anchor="381" w:history="1">
        <w:r>
          <w:rPr>
            <w:color w:val="0000EE"/>
          </w:rPr>
          <w:t>21.3 Maçonneries de parement</w:t>
        </w:r>
      </w:hyperlink>
      <w:r>
        <w:t>.</w:t>
      </w:r>
    </w:p>
    <w:p w14:paraId="629E73EC" w14:textId="77777777" w:rsidR="00DB2B68" w:rsidRDefault="00000000">
      <w:pPr>
        <w:pStyle w:val="pheading"/>
      </w:pPr>
      <w:r>
        <w:t>- Localisation</w:t>
      </w:r>
    </w:p>
    <w:p w14:paraId="73D21413" w14:textId="77777777" w:rsidR="00DB2B68" w:rsidRDefault="00000000">
      <w:r>
        <w:t xml:space="preserve">La pose est réalisée aux endroits suivants : </w:t>
      </w:r>
      <w:r>
        <w:rPr>
          <w:rStyle w:val="optioncarChar"/>
        </w:rPr>
        <w:t>***</w:t>
      </w:r>
      <w:r>
        <w:t>.</w:t>
      </w:r>
      <w:r>
        <w:br/>
        <w:t>Voir plans et métrés détaillés.</w:t>
      </w:r>
    </w:p>
    <w:p w14:paraId="5D5919F5" w14:textId="77777777" w:rsidR="00DB2B68" w:rsidRDefault="00000000">
      <w:pPr>
        <w:pStyle w:val="pheading"/>
      </w:pPr>
      <w:r>
        <w:t>MATÉRIAUX</w:t>
      </w:r>
    </w:p>
    <w:p w14:paraId="3E45ABFD" w14:textId="77777777" w:rsidR="00DB2B68" w:rsidRDefault="00000000">
      <w:pPr>
        <w:pStyle w:val="pheading"/>
      </w:pPr>
      <w:r>
        <w:t>- Caractéristiques générales</w:t>
      </w:r>
    </w:p>
    <w:p w14:paraId="11E3D68A" w14:textId="77777777" w:rsidR="00DB2B68" w:rsidRDefault="00000000">
      <w:r>
        <w:rPr>
          <w:rStyle w:val="headingChar"/>
          <w:color w:val="000000"/>
        </w:rPr>
        <w:t>Brique</w:t>
      </w:r>
    </w:p>
    <w:p w14:paraId="6CAA2680" w14:textId="77777777" w:rsidR="00DB2B68" w:rsidRDefault="0000000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5693E972" w14:textId="77777777" w:rsidR="00DB2B68"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036F9874" w14:textId="77777777" w:rsidR="00DB2B68"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6B384C0A" w14:textId="77777777" w:rsidR="00DB2B68" w:rsidRDefault="00000000">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69CA1AC9" w14:textId="77777777" w:rsidR="00DB2B68" w:rsidRDefault="00000000">
      <w:pPr>
        <w:spacing w:after="0" w:line="0" w:lineRule="atLeast"/>
      </w:pPr>
      <w:r>
        <w:rPr>
          <w:color w:val="000000"/>
        </w:rPr>
        <w:t xml:space="preserve">La conductibilité thermique λD est compatible avec la valeur U prescrite pour la paroi. </w:t>
      </w:r>
    </w:p>
    <w:p w14:paraId="0972744E" w14:textId="77777777" w:rsidR="00DB2B68" w:rsidRDefault="00000000">
      <w:pPr>
        <w:spacing w:after="0" w:line="0" w:lineRule="atLeast"/>
      </w:pPr>
      <w:r>
        <w:rPr>
          <w:color w:val="000000"/>
        </w:rPr>
        <w:lastRenderedPageBreak/>
        <w:t xml:space="preserve">Boutisse : </w:t>
      </w:r>
      <w:r>
        <w:t>plate</w:t>
      </w:r>
    </w:p>
    <w:p w14:paraId="06E47B4D" w14:textId="77777777" w:rsidR="00DB2B68" w:rsidRDefault="00000000">
      <w:pPr>
        <w:spacing w:after="0" w:line="0" w:lineRule="atLeast"/>
      </w:pPr>
      <w:r>
        <w:rPr>
          <w:color w:val="000000"/>
        </w:rPr>
        <w:t xml:space="preserve">Face qui reste visible : </w:t>
      </w:r>
      <w:r>
        <w:rPr>
          <w:rStyle w:val="optioncarChar"/>
        </w:rPr>
        <w:t xml:space="preserve">clivée </w:t>
      </w:r>
      <w:r>
        <w:t>(par défaut) </w:t>
      </w:r>
      <w:r>
        <w:rPr>
          <w:rStyle w:val="optioncarChar"/>
        </w:rPr>
        <w:t>/ tuyautée-clivée</w:t>
      </w:r>
    </w:p>
    <w:p w14:paraId="065AFDD6" w14:textId="77777777" w:rsidR="00DB2B68"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6BC8AB71" w14:textId="77777777" w:rsidR="00DB2B68" w:rsidRDefault="00000000">
      <w:pPr>
        <w:spacing w:after="0" w:line="0" w:lineRule="atLeast"/>
      </w:pPr>
      <w:r>
        <w:rPr>
          <w:color w:val="000000"/>
        </w:rPr>
        <w:t xml:space="preserve">Format (Lxlxh) mm : </w:t>
      </w:r>
      <w:r>
        <w:rPr>
          <w:rStyle w:val="optioncarChar"/>
          <w:color w:val="000000"/>
        </w:rPr>
        <w:t>190 x 90 x 65 / 190 x 90 x 90 / 290 X 90 x 90 / format modulaire proposé par l'entrepreneur</w:t>
      </w:r>
      <w:r>
        <w:t> (par défaut)</w:t>
      </w:r>
      <w:r>
        <w:rPr>
          <w:rStyle w:val="optioncarChar"/>
          <w:color w:val="000000"/>
        </w:rPr>
        <w:t xml:space="preserve"> / ***</w:t>
      </w:r>
      <w:r>
        <w:t xml:space="preserve"> mm</w:t>
      </w:r>
    </w:p>
    <w:p w14:paraId="0C6610CE" w14:textId="77777777" w:rsidR="00DB2B68" w:rsidRDefault="00000000">
      <w:pPr>
        <w:spacing w:after="0" w:line="0" w:lineRule="atLeast"/>
      </w:pPr>
      <w:r>
        <w:rPr>
          <w:color w:val="000000"/>
        </w:rPr>
        <w:t xml:space="preserve">Réaction au feu : </w:t>
      </w:r>
      <w:r>
        <w:rPr>
          <w:rStyle w:val="optioncarChar"/>
          <w:color w:val="000000"/>
        </w:rPr>
        <w:t>A1</w:t>
      </w:r>
      <w:r>
        <w:t xml:space="preserve"> (par défaut)</w:t>
      </w:r>
      <w:r>
        <w:rPr>
          <w:rStyle w:val="optioncarChar"/>
          <w:color w:val="000000"/>
        </w:rPr>
        <w:t> / ***</w:t>
      </w:r>
    </w:p>
    <w:p w14:paraId="429F60F7" w14:textId="77777777" w:rsidR="00DB2B68" w:rsidRDefault="00DB2B68"/>
    <w:p w14:paraId="7757AB0F" w14:textId="77777777" w:rsidR="00DB2B68" w:rsidRDefault="00000000">
      <w:pPr>
        <w:spacing w:after="0" w:line="0" w:lineRule="atLeast"/>
      </w:pPr>
      <w:r>
        <w:rPr>
          <w:rStyle w:val="headingChar"/>
          <w:color w:val="000000"/>
        </w:rPr>
        <w:t>Mortier</w:t>
      </w:r>
    </w:p>
    <w:p w14:paraId="794A5BA7"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34AB0397" w14:textId="77777777" w:rsidR="00DB2B68" w:rsidRDefault="00DB2B68"/>
    <w:p w14:paraId="1FB57D51" w14:textId="77777777" w:rsidR="00DB2B68" w:rsidRDefault="00000000">
      <w:pPr>
        <w:spacing w:line="259" w:lineRule="auto"/>
      </w:pPr>
      <w:r>
        <w:rPr>
          <w:rStyle w:val="headingChar"/>
          <w:color w:val="000000"/>
        </w:rPr>
        <w:t>Critères de performances du parement</w:t>
      </w:r>
    </w:p>
    <w:p w14:paraId="10954E84" w14:textId="77777777" w:rsidR="00DB2B68" w:rsidRDefault="00000000">
      <w:pPr>
        <w:spacing w:line="259" w:lineRule="auto"/>
      </w:pPr>
      <w:r>
        <w:t>V</w:t>
      </w:r>
      <w:r>
        <w:rPr>
          <w:color w:val="000000"/>
        </w:rPr>
        <w:t xml:space="preserve">aleur λUi ou λUe maximum </w:t>
      </w:r>
      <w:r>
        <w:rPr>
          <w:rStyle w:val="optioncarChar"/>
          <w:color w:val="000000"/>
        </w:rPr>
        <w:t>***</w:t>
      </w:r>
      <w:r>
        <w:rPr>
          <w:color w:val="000000"/>
        </w:rPr>
        <w:t xml:space="preserve"> W/mK (suivant l’application). </w:t>
      </w:r>
    </w:p>
    <w:p w14:paraId="4AF1D95F" w14:textId="77777777" w:rsidR="00DB2B68" w:rsidRDefault="00000000">
      <w:pPr>
        <w:ind w:left="750"/>
      </w:pPr>
      <w:r>
        <w:t> </w:t>
      </w:r>
    </w:p>
    <w:p w14:paraId="3B2CECED" w14:textId="77777777" w:rsidR="00DB2B68" w:rsidRDefault="00000000">
      <w:pPr>
        <w:pStyle w:val="pheading"/>
      </w:pPr>
      <w:r>
        <w:t>- Finitions</w:t>
      </w:r>
    </w:p>
    <w:p w14:paraId="458A0AA7"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5BC7783E"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0E5CB89F"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162353ED"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4576C5C"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08E4E748" w14:textId="77777777" w:rsidR="00DB2B68" w:rsidRDefault="00DB2B68"/>
    <w:p w14:paraId="5089712C" w14:textId="77777777" w:rsidR="00DB2B68" w:rsidRDefault="00000000">
      <w:pPr>
        <w:pStyle w:val="pheading"/>
      </w:pPr>
      <w:r>
        <w:t>EXÉCUTION / MISE EN ŒUVRE</w:t>
      </w:r>
    </w:p>
    <w:p w14:paraId="43C791C8" w14:textId="77777777" w:rsidR="00DB2B68" w:rsidRDefault="00000000">
      <w:pPr>
        <w:pStyle w:val="pheading"/>
      </w:pPr>
      <w:r>
        <w:t>- Prescriptions générales</w:t>
      </w:r>
    </w:p>
    <w:p w14:paraId="5A30759A" w14:textId="77777777" w:rsidR="00DB2B68" w:rsidRDefault="00000000">
      <w:pPr>
        <w:spacing w:line="259" w:lineRule="auto"/>
      </w:pPr>
      <w:r>
        <w:t xml:space="preserve">La maçonnerie est exécutée en appareil </w:t>
      </w:r>
      <w:r>
        <w:rPr>
          <w:rStyle w:val="optioncarChar"/>
        </w:rPr>
        <w:t>d'</w:t>
      </w:r>
      <w:r>
        <w:rPr>
          <w:rStyle w:val="normalChar"/>
          <w:color w:val="FF0000"/>
        </w:rPr>
        <w:t xml:space="preserve">une demi-brique </w:t>
      </w:r>
      <w:r>
        <w:t>(par défaut) </w:t>
      </w:r>
      <w:r>
        <w:rPr>
          <w:rStyle w:val="normalChar"/>
          <w:color w:val="FF0000"/>
        </w:rPr>
        <w:t>/ ***</w:t>
      </w:r>
    </w:p>
    <w:p w14:paraId="101C8DE2"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327BD106" w14:textId="77777777" w:rsidR="00DB2B68" w:rsidRDefault="00DB2B68"/>
    <w:p w14:paraId="530E9651" w14:textId="77777777" w:rsidR="00DB2B68" w:rsidRDefault="00000000">
      <w:pPr>
        <w:spacing w:line="259" w:lineRule="auto"/>
      </w:pPr>
      <w:r>
        <w:rPr>
          <w:rStyle w:val="normalChar"/>
          <w:b/>
          <w:color w:val="000000"/>
        </w:rPr>
        <w:t>LINTEAUX</w:t>
      </w:r>
    </w:p>
    <w:p w14:paraId="71A971AC" w14:textId="77777777" w:rsidR="00DB2B68"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0C7AC1EF" w14:textId="77777777" w:rsidR="00DB2B68" w:rsidRDefault="00000000">
      <w:r>
        <w:rPr>
          <w:b/>
        </w:rPr>
        <w:t>(soit par défaut)</w:t>
      </w:r>
    </w:p>
    <w:p w14:paraId="5C6E9768" w14:textId="77777777" w:rsidR="00DB2B68" w:rsidRDefault="00000000">
      <w:r>
        <w:rPr>
          <w:rStyle w:val="soitChar"/>
          <w:u w:val="single"/>
        </w:rPr>
        <w:t>D'une armature et de crochets de mur</w:t>
      </w:r>
      <w:r>
        <w:rPr>
          <w:rStyle w:val="soitChar"/>
        </w:rPr>
        <w:t>  :</w:t>
      </w:r>
    </w:p>
    <w:p w14:paraId="19B369B8"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2EB71C4" w14:textId="77777777" w:rsidR="00DB2B68" w:rsidRDefault="00000000">
      <w:r>
        <w:rPr>
          <w:b/>
        </w:rPr>
        <w:lastRenderedPageBreak/>
        <w:t>(soit)</w:t>
      </w:r>
    </w:p>
    <w:p w14:paraId="6D782F56"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36BCECDB" w14:textId="77777777" w:rsidR="00DB2B68" w:rsidRDefault="00000000">
      <w:r>
        <w:rPr>
          <w:b/>
        </w:rPr>
        <w:t>(soit)</w:t>
      </w:r>
    </w:p>
    <w:p w14:paraId="08D755B8"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800243F" w14:textId="77777777" w:rsidR="00DB2B68" w:rsidRDefault="00000000">
      <w:r>
        <w:rPr>
          <w:b/>
        </w:rPr>
        <w:t>(soit)</w:t>
      </w:r>
    </w:p>
    <w:p w14:paraId="487B6BC3"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1E200BD" w14:textId="77777777" w:rsidR="00DB2B68" w:rsidRDefault="00000000">
      <w:r>
        <w:rPr>
          <w:b/>
        </w:rPr>
        <w:t>(soit)</w:t>
      </w:r>
    </w:p>
    <w:p w14:paraId="164337E4" w14:textId="77777777" w:rsidR="00DB2B68" w:rsidRDefault="00000000">
      <w:r>
        <w:rPr>
          <w:rStyle w:val="optioncarChar"/>
        </w:rPr>
        <w:t> ***</w:t>
      </w:r>
    </w:p>
    <w:p w14:paraId="2BC3E884" w14:textId="77777777" w:rsidR="00DB2B68" w:rsidRDefault="00000000">
      <w:pPr>
        <w:pStyle w:val="pheading"/>
      </w:pPr>
      <w:r>
        <w:t>- Notes d’exécution complémentaires</w:t>
      </w:r>
    </w:p>
    <w:p w14:paraId="15BBDCC2" w14:textId="77777777" w:rsidR="00DB2B68" w:rsidRDefault="00000000">
      <w:r>
        <w:t> En vue du choix définitif des briques de parement, un ou plusieurs échantillons d'environ 1 m2 sont maçonnés à la demande de l'auteur de projet; les frais inhérents à la construction et à la démolition de ces murs sont à charge de l'entrepreneur.</w:t>
      </w:r>
    </w:p>
    <w:p w14:paraId="6310B8EB" w14:textId="77777777" w:rsidR="00DB2B68" w:rsidRDefault="00000000">
      <w:r>
        <w:t xml:space="preserve">• Armatures horizontales : selon l'article </w:t>
      </w:r>
      <w:hyperlink w:anchor="357" w:history="1">
        <w:r>
          <w:rPr>
            <w:color w:val="0000EE"/>
          </w:rPr>
          <w:t>21.41.1 Armatures horizontales pour maçonneries</w:t>
        </w:r>
      </w:hyperlink>
      <w:r>
        <w:t>. </w:t>
      </w:r>
    </w:p>
    <w:p w14:paraId="1393034A" w14:textId="77777777" w:rsidR="00DB2B68" w:rsidRDefault="00000000">
      <w:r>
        <w:t xml:space="preserve">• Ancrages : selon l'article </w:t>
      </w:r>
      <w:hyperlink w:anchor="364" w:history="1">
        <w:r>
          <w:rPr>
            <w:color w:val="0000EE"/>
          </w:rPr>
          <w:t>21.42 Ancrages et fixations de maçonneries</w:t>
        </w:r>
      </w:hyperlink>
    </w:p>
    <w:p w14:paraId="09F1E14A" w14:textId="77777777" w:rsidR="00DB2B68" w:rsidRDefault="00000000">
      <w:r>
        <w:t xml:space="preserve">Briques spéciales : </w:t>
      </w:r>
      <w:r>
        <w:rPr>
          <w:rStyle w:val="optioncarChar"/>
        </w:rPr>
        <w:t>***</w:t>
      </w:r>
    </w:p>
    <w:p w14:paraId="1F5C783A" w14:textId="77777777" w:rsidR="00DB2B68" w:rsidRDefault="00000000">
      <w:r>
        <w:t xml:space="preserve">Étanchéité : </w:t>
      </w:r>
      <w:r>
        <w:rPr>
          <w:rStyle w:val="optioncarChar"/>
        </w:rPr>
        <w:t>***</w:t>
      </w:r>
    </w:p>
    <w:p w14:paraId="397D0038" w14:textId="77777777" w:rsidR="00DB2B68" w:rsidRDefault="00000000">
      <w:r>
        <w:t xml:space="preserve">Joints de dilatation : </w:t>
      </w:r>
      <w:r>
        <w:rPr>
          <w:rStyle w:val="optioncarChar"/>
        </w:rPr>
        <w:t>***</w:t>
      </w:r>
    </w:p>
    <w:p w14:paraId="0B7E3233" w14:textId="77777777" w:rsidR="00DB2B68" w:rsidRDefault="00000000">
      <w:r>
        <w:rPr>
          <w:shd w:val="clear" w:color="auto" w:fill="FFFFFF"/>
        </w:rPr>
        <w:t>Ce système est prévu pour des constructions de maisons unifamiliales, pour des constructions d’immeubles à appartements (5 niveaux maximum de murs porteurs) et pour des murs de remplissage entre poutres et colonnes</w:t>
      </w:r>
    </w:p>
    <w:p w14:paraId="03587771" w14:textId="77777777" w:rsidR="00DB2B68" w:rsidRDefault="00000000">
      <w:r>
        <w:rPr>
          <w:shd w:val="clear" w:color="auto" w:fill="FFFFFF"/>
        </w:rP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73EAE444" w14:textId="77777777" w:rsidR="00DB2B68" w:rsidRDefault="00000000">
      <w:r>
        <w:rPr>
          <w:shd w:val="clear" w:color="auto" w:fill="FFFFFF"/>
        </w:rPr>
        <w:t>Les blocs de béton à base d'argile expansée et de liant hydraulique avec système de dosage automatique de mortier incorporé pour maçonnerie à joint mince sont couverts par une déclaration d'aptitude à l'utilisation conformément à l'article 02.42.1 Critères d'acceptabilité</w:t>
      </w:r>
    </w:p>
    <w:p w14:paraId="15440A14" w14:textId="77777777" w:rsidR="00DB2B68" w:rsidRDefault="0000000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6E436107" w14:textId="77777777" w:rsidR="00DB2B68" w:rsidRDefault="0000000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w:t>
      </w:r>
      <w:r>
        <w:t>(par défaut) </w:t>
      </w:r>
      <w:r>
        <w:rPr>
          <w:rStyle w:val="optioncarChar"/>
        </w:rPr>
        <w:t xml:space="preserve">/*** </w:t>
      </w:r>
      <w:r>
        <w:t>mm et de composition moyenne :</w:t>
      </w:r>
    </w:p>
    <w:p w14:paraId="29EE397D" w14:textId="77777777" w:rsidR="00DB2B68" w:rsidRDefault="00000000">
      <w:pPr>
        <w:pStyle w:val="Author-eListParagraph"/>
        <w:numPr>
          <w:ilvl w:val="0"/>
          <w:numId w:val="245"/>
        </w:numPr>
      </w:pPr>
      <w:r>
        <w:t>350kg de ciment de la classe de résistance 52,5 N/mm2,</w:t>
      </w:r>
    </w:p>
    <w:p w14:paraId="33203246" w14:textId="77777777" w:rsidR="00DB2B68" w:rsidRDefault="00000000">
      <w:pPr>
        <w:pStyle w:val="Author-eListParagraph"/>
        <w:numPr>
          <w:ilvl w:val="0"/>
          <w:numId w:val="245"/>
        </w:numPr>
      </w:pPr>
      <w:r>
        <w:t>720l à 780l de gravier roulé 4/28,</w:t>
      </w:r>
    </w:p>
    <w:p w14:paraId="7535744E" w14:textId="77777777" w:rsidR="00DB2B68" w:rsidRDefault="00000000">
      <w:pPr>
        <w:pStyle w:val="Author-eListParagraph"/>
        <w:numPr>
          <w:ilvl w:val="0"/>
          <w:numId w:val="245"/>
        </w:numPr>
      </w:pPr>
      <w:r>
        <w:t>380l à 450l de sable pour béton et armés de barres verticales ou horizontales, le cas échéant justifiées par une note de calcul,</w:t>
      </w:r>
    </w:p>
    <w:p w14:paraId="1EBBBC1D" w14:textId="77777777" w:rsidR="00DB2B68" w:rsidRDefault="00000000">
      <w:pPr>
        <w:pStyle w:val="Author-eListParagraph"/>
        <w:numPr>
          <w:ilvl w:val="0"/>
          <w:numId w:val="245"/>
        </w:numPr>
      </w:pPr>
      <w:r>
        <w:t>170l à 180l d’eau.</w:t>
      </w:r>
    </w:p>
    <w:p w14:paraId="232C6E0B" w14:textId="77777777" w:rsidR="00DB2B68" w:rsidRDefault="00000000">
      <w:r>
        <w:t>Pour les contraintes horizontales particulières (par ex : force du vent) une note de calcul spécifique doit être établie.</w:t>
      </w:r>
    </w:p>
    <w:p w14:paraId="7A8656BD" w14:textId="77777777" w:rsidR="00DB2B68" w:rsidRDefault="00000000">
      <w:r>
        <w:lastRenderedPageBreak/>
        <w:t>Sauf indication contraire dans le cahier spécial des charges ou dans l'étude de stabilité, la répartition des charges des planchers, linteaux, poutres, etc. se fait au choix de l'entrepreneur, selon la méthode suivante :</w:t>
      </w:r>
    </w:p>
    <w:p w14:paraId="0EBA7A16" w14:textId="77777777" w:rsidR="00DB2B68" w:rsidRDefault="00000000">
      <w:pPr>
        <w:pStyle w:val="Author-eListParagraph"/>
        <w:numPr>
          <w:ilvl w:val="0"/>
          <w:numId w:val="246"/>
        </w:numPr>
      </w:pPr>
      <w:r>
        <w:t>en remplissant les éléments creux de béton ou de mortier</w:t>
      </w:r>
    </w:p>
    <w:p w14:paraId="22EA6759" w14:textId="77777777" w:rsidR="00DB2B68" w:rsidRDefault="00000000">
      <w:pPr>
        <w:pStyle w:val="Author-eListParagraph"/>
        <w:numPr>
          <w:ilvl w:val="0"/>
          <w:numId w:val="246"/>
        </w:numPr>
      </w:pPr>
      <w:r>
        <w:t>en utilisant des blocs pleins</w:t>
      </w:r>
    </w:p>
    <w:p w14:paraId="158B9481" w14:textId="77777777" w:rsidR="00DB2B68" w:rsidRDefault="00000000">
      <w:pPr>
        <w:pStyle w:val="Author-eListParagraph"/>
        <w:numPr>
          <w:ilvl w:val="0"/>
          <w:numId w:val="246"/>
        </w:numPr>
      </w:pPr>
      <w:r>
        <w:t>en prévoyant une poutre de ceinture</w:t>
      </w:r>
    </w:p>
    <w:p w14:paraId="26CCE42B" w14:textId="77777777" w:rsidR="00DB2B68" w:rsidRDefault="00000000">
      <w:pPr>
        <w:pStyle w:val="Author-eListParagraph"/>
        <w:numPr>
          <w:ilvl w:val="0"/>
          <w:numId w:val="246"/>
        </w:numPr>
      </w:pPr>
      <w:r>
        <w:t>en prévoyant une semelle de renforcement</w:t>
      </w:r>
    </w:p>
    <w:p w14:paraId="1D5A0E27" w14:textId="77777777" w:rsidR="00DB2B68" w:rsidRDefault="00000000">
      <w:pPr>
        <w:pStyle w:val="Author-eListParagraph"/>
        <w:numPr>
          <w:ilvl w:val="0"/>
          <w:numId w:val="246"/>
        </w:numPr>
      </w:pPr>
      <w:r>
        <w:t>en prévoyant des armatures</w:t>
      </w:r>
    </w:p>
    <w:p w14:paraId="22DDC16A" w14:textId="77777777" w:rsidR="00DB2B68" w:rsidRDefault="00000000">
      <w:r>
        <w:t>Ces blocs ne peuvent pas contenir d'inclusions de fer, ferrugineuses ou de chaux qui risqueraient de provoquer des dégâts en surface.</w:t>
      </w:r>
    </w:p>
    <w:p w14:paraId="3051D1C8" w14:textId="77777777" w:rsidR="00DB2B68" w:rsidRDefault="00000000">
      <w:pPr>
        <w:pStyle w:val="pheading"/>
      </w:pPr>
      <w:r>
        <w:t>MESURAGE</w:t>
      </w:r>
    </w:p>
    <w:p w14:paraId="4DE9AA11" w14:textId="77777777" w:rsidR="00DB2B68" w:rsidRDefault="00000000">
      <w:pPr>
        <w:pStyle w:val="pheading"/>
      </w:pPr>
      <w:r>
        <w:t>- unité de mesure:</w:t>
      </w:r>
    </w:p>
    <w:p w14:paraId="182E21CC" w14:textId="77777777" w:rsidR="00DB2B68" w:rsidRDefault="00000000">
      <w:r>
        <w:rPr>
          <w:rStyle w:val="optioncarChar"/>
        </w:rPr>
        <w:t>m² </w:t>
      </w:r>
      <w:r>
        <w:rPr>
          <w:rStyle w:val="optioncarChar"/>
          <w:color w:val="000000"/>
        </w:rPr>
        <w:t>(par défaut)</w:t>
      </w:r>
      <w:r>
        <w:rPr>
          <w:rStyle w:val="optioncarChar"/>
        </w:rPr>
        <w:t> / m³</w:t>
      </w:r>
    </w:p>
    <w:p w14:paraId="3CD35DDC" w14:textId="77777777" w:rsidR="00DB2B68" w:rsidRDefault="00000000">
      <w:pPr>
        <w:spacing w:after="0" w:line="0" w:lineRule="atLeast"/>
      </w:pPr>
      <w:r>
        <w:rPr>
          <w:b/>
          <w:color w:val="000000"/>
        </w:rPr>
        <w:t>(soit par défaut)</w:t>
      </w:r>
    </w:p>
    <w:p w14:paraId="13C49718" w14:textId="77777777" w:rsidR="00DB2B68" w:rsidRDefault="00000000">
      <w:pPr>
        <w:spacing w:after="0" w:line="0" w:lineRule="atLeast"/>
      </w:pPr>
      <w:r>
        <w:rPr>
          <w:rStyle w:val="soitChar"/>
        </w:rPr>
        <w:t>1. m²</w:t>
      </w:r>
    </w:p>
    <w:p w14:paraId="77E522D8" w14:textId="77777777" w:rsidR="00DB2B68" w:rsidRDefault="00000000">
      <w:pPr>
        <w:spacing w:after="0" w:line="0" w:lineRule="atLeast"/>
      </w:pPr>
      <w:r>
        <w:rPr>
          <w:b/>
          <w:color w:val="000000"/>
        </w:rPr>
        <w:t>(soit)</w:t>
      </w:r>
    </w:p>
    <w:p w14:paraId="2C76C257" w14:textId="77777777" w:rsidR="00DB2B68" w:rsidRDefault="00000000">
      <w:pPr>
        <w:spacing w:after="0" w:line="0" w:lineRule="atLeast"/>
      </w:pPr>
      <w:r>
        <w:rPr>
          <w:rStyle w:val="soitChar"/>
        </w:rPr>
        <w:t>2. m³</w:t>
      </w:r>
    </w:p>
    <w:p w14:paraId="630A3F79" w14:textId="77777777" w:rsidR="00DB2B68" w:rsidRDefault="00000000">
      <w:pPr>
        <w:pStyle w:val="pheading"/>
      </w:pPr>
      <w:r>
        <w:t>- code de mesurage:</w:t>
      </w:r>
    </w:p>
    <w:p w14:paraId="1B31E3D2" w14:textId="77777777" w:rsidR="00DB2B68" w:rsidRDefault="00000000">
      <w:pPr>
        <w:spacing w:before="0" w:after="0"/>
      </w:pPr>
      <w:r>
        <w:t>Les maçonneries sont mesurées en fonction de leur forme géométrique.</w:t>
      </w:r>
    </w:p>
    <w:p w14:paraId="63FDA11D"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141ACDB9" w14:textId="77777777" w:rsidR="00DB2B68" w:rsidRDefault="00000000">
      <w:pPr>
        <w:spacing w:before="0" w:after="0"/>
      </w:pPr>
      <w:r>
        <w:t>La coulisse n'est jamais prise en compte.</w:t>
      </w:r>
    </w:p>
    <w:p w14:paraId="6352F32B" w14:textId="77777777" w:rsidR="00DB2B68" w:rsidRDefault="00000000">
      <w:pPr>
        <w:spacing w:after="0" w:line="259" w:lineRule="auto"/>
      </w:pPr>
      <w:r>
        <w:rPr>
          <w:rStyle w:val="normalChar"/>
        </w:rPr>
        <w:t>Les accessoires (linteaux non décrits et non comptés dans un autre poste, attaches,…) sont compris dans le prix.</w:t>
      </w:r>
    </w:p>
    <w:p w14:paraId="0047A4F9" w14:textId="77777777" w:rsidR="00DB2B68" w:rsidRDefault="00000000">
      <w:pPr>
        <w:spacing w:after="0" w:line="259" w:lineRule="auto"/>
      </w:pPr>
      <w:r>
        <w:rPr>
          <w:rStyle w:val="normalChar"/>
        </w:rPr>
        <w:t>Sont entre-autres décrits et comptés dans un autre poste :</w:t>
      </w:r>
    </w:p>
    <w:p w14:paraId="57908A98" w14:textId="77777777" w:rsidR="00DB2B68" w:rsidRDefault="00000000">
      <w:pPr>
        <w:pStyle w:val="Author-eListParagraph"/>
        <w:numPr>
          <w:ilvl w:val="0"/>
          <w:numId w:val="247"/>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5F21D484" w14:textId="77777777" w:rsidR="00DB2B68" w:rsidRDefault="00000000">
      <w:pPr>
        <w:pStyle w:val="Author-eListParagraph"/>
        <w:numPr>
          <w:ilvl w:val="0"/>
          <w:numId w:val="247"/>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2FE2B860" w14:textId="77777777" w:rsidR="00DB2B68" w:rsidRDefault="00000000">
      <w:pPr>
        <w:pStyle w:val="Author-eListParagraph"/>
        <w:numPr>
          <w:ilvl w:val="0"/>
          <w:numId w:val="247"/>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27C80E59" w14:textId="77777777" w:rsidR="00DB2B68" w:rsidRDefault="00DB2B68"/>
    <w:p w14:paraId="40DB2D25"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335FC2DA" w14:textId="77777777" w:rsidR="00DB2B68" w:rsidRDefault="00000000">
      <w:pPr>
        <w:spacing w:after="0" w:line="252" w:lineRule="auto"/>
      </w:pPr>
      <w:r>
        <w:rPr>
          <w:b/>
          <w:color w:val="000000"/>
        </w:rPr>
        <w:t>(soit par défaut)</w:t>
      </w:r>
    </w:p>
    <w:p w14:paraId="7BC2F9F0" w14:textId="77777777" w:rsidR="00DB2B68" w:rsidRDefault="00000000">
      <w:pPr>
        <w:spacing w:after="0" w:line="252" w:lineRule="auto"/>
      </w:pPr>
      <w:r>
        <w:rPr>
          <w:rStyle w:val="soitChar"/>
          <w:u w:val="single"/>
        </w:rPr>
        <w:t>Surface nette </w:t>
      </w:r>
      <w:r>
        <w:rPr>
          <w:rStyle w:val="soitChar"/>
        </w:rPr>
        <w:t>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1FB56BD" w14:textId="77777777" w:rsidR="00DB2B68" w:rsidRDefault="00000000">
      <w:pPr>
        <w:spacing w:after="0" w:line="252" w:lineRule="auto"/>
      </w:pPr>
      <w:r>
        <w:rPr>
          <w:rStyle w:val="soitChar"/>
        </w:rPr>
        <w:t>Distinction faite suivant l'épaisseur.</w:t>
      </w:r>
    </w:p>
    <w:p w14:paraId="223B4F87" w14:textId="77777777" w:rsidR="00DB2B68" w:rsidRDefault="00000000">
      <w:pPr>
        <w:spacing w:line="252" w:lineRule="auto"/>
      </w:pPr>
      <w:r>
        <w:rPr>
          <w:b/>
          <w:color w:val="000000"/>
        </w:rPr>
        <w:t>(soit)</w:t>
      </w:r>
    </w:p>
    <w:p w14:paraId="5866B0BB"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696D9BC"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142BFF67" w14:textId="77777777" w:rsidR="00DB2B68" w:rsidRDefault="00000000">
      <w:pPr>
        <w:pStyle w:val="pheading"/>
      </w:pPr>
      <w:r>
        <w:t>- nature du marché:</w:t>
      </w:r>
    </w:p>
    <w:p w14:paraId="76F1E0DD" w14:textId="77777777" w:rsidR="00DB2B68" w:rsidRDefault="00000000">
      <w:r>
        <w:rPr>
          <w:rStyle w:val="optioncarChar"/>
        </w:rPr>
        <w:t>QF</w:t>
      </w:r>
      <w:r>
        <w:t xml:space="preserve"> (par défaut)</w:t>
      </w:r>
      <w:r>
        <w:rPr>
          <w:rStyle w:val="optioncarChar"/>
        </w:rPr>
        <w:t xml:space="preserve"> / QP</w:t>
      </w:r>
    </w:p>
    <w:p w14:paraId="384C854F" w14:textId="77777777" w:rsidR="00DB2B68" w:rsidRDefault="00000000">
      <w:pPr>
        <w:pStyle w:val="Author-eSectionHeading5Numberless"/>
      </w:pPr>
      <w:bookmarkStart w:id="247" w:name="_Toc220495375"/>
      <w:r>
        <w:lastRenderedPageBreak/>
        <w:t>21.31.3 Maçonneries de parement en briques de silico-calcaire CCTB 01.11</w:t>
      </w:r>
      <w:bookmarkEnd w:id="247"/>
    </w:p>
    <w:p w14:paraId="6AA2E776" w14:textId="77777777" w:rsidR="00DB2B68" w:rsidRDefault="00000000">
      <w:pPr>
        <w:pStyle w:val="pheading"/>
      </w:pPr>
      <w:bookmarkStart w:id="248" w:name="405"/>
      <w:bookmarkEnd w:id="248"/>
      <w:r>
        <w:t>MATÉRIAUX</w:t>
      </w:r>
    </w:p>
    <w:p w14:paraId="069689D0" w14:textId="77777777" w:rsidR="00DB2B68" w:rsidRDefault="00000000">
      <w:pPr>
        <w:spacing w:line="0" w:lineRule="atLeast"/>
      </w:pPr>
      <w:r>
        <w:t xml:space="preserve">Il s'agit des briques en silico-calcaire, qui répondent à la norme [NBN EN 771-2+A1] et au [PTV 21-003]. L'entrepreneur soumet un échantillon, la fiche technique et la déclaration des performances (DoP) du matériau pour approbation à l'auteur de projet et au maître de l’ouvrage. Le mortier à maçonner (selon la norme </w:t>
      </w:r>
      <w:r>
        <w:rPr>
          <w:rStyle w:val="normalChar"/>
          <w:color w:val="0000FF"/>
        </w:rPr>
        <w:t>[NBN EN 998-2]</w:t>
      </w:r>
      <w:r>
        <w:t xml:space="preserve"> et le règlement d’application </w:t>
      </w:r>
      <w:r>
        <w:rPr>
          <w:color w:val="0000FF"/>
        </w:rPr>
        <w:t>[TRA 651]</w:t>
      </w:r>
      <w:r>
        <w:t>) répond à la catégorie :</w:t>
      </w:r>
      <w:r>
        <w:rPr>
          <w:rStyle w:val="optioncarChar"/>
        </w:rPr>
        <w:t xml:space="preserve"> M5 / M10</w:t>
      </w:r>
      <w:r>
        <w:rPr>
          <w:rStyle w:val="optioncarChar"/>
          <w:color w:val="000000"/>
        </w:rPr>
        <w:t>(par défaut)</w:t>
      </w:r>
      <w:r>
        <w:rPr>
          <w:rStyle w:val="optioncarChar"/>
        </w:rPr>
        <w:t xml:space="preserve"> / M15 / M20 / ***. </w:t>
      </w:r>
      <w:r>
        <w:t xml:space="preserve">L'épaisseur des joints est d'au moins </w:t>
      </w:r>
      <w:r>
        <w:rPr>
          <w:rStyle w:val="optioncarChar"/>
        </w:rPr>
        <w:t>10 </w:t>
      </w:r>
      <w:r>
        <w:t>(par défaut)</w:t>
      </w:r>
      <w:r>
        <w:rPr>
          <w:rStyle w:val="optioncarChar"/>
        </w:rPr>
        <w:t xml:space="preserve"> / *** </w:t>
      </w:r>
      <w:r>
        <w:t>mm (tolérances suivant [NIT 208]).</w:t>
      </w:r>
    </w:p>
    <w:p w14:paraId="5831B246" w14:textId="77777777" w:rsidR="00DB2B68" w:rsidRDefault="00000000">
      <w:pPr>
        <w:ind w:left="750"/>
      </w:pPr>
      <w:r>
        <w:t> </w:t>
      </w:r>
    </w:p>
    <w:p w14:paraId="05910CBD" w14:textId="77777777" w:rsidR="00DB2B68" w:rsidRDefault="00000000">
      <w:pPr>
        <w:pStyle w:val="pheading"/>
      </w:pPr>
      <w:r>
        <w:t>AIDE</w:t>
      </w:r>
    </w:p>
    <w:p w14:paraId="28A251F4" w14:textId="77777777" w:rsidR="00DB2B68" w:rsidRDefault="00000000">
      <w:r>
        <w:t>Note à l'attention de l'auteur du projet : pour le choix adéquat du mortier, se référer à la [STS 22 série]</w:t>
      </w:r>
    </w:p>
    <w:p w14:paraId="762EC651" w14:textId="77777777" w:rsidR="00DB2B68" w:rsidRDefault="00000000">
      <w:pPr>
        <w:pStyle w:val="Author-eSectionHeading6Numberless"/>
      </w:pPr>
      <w:bookmarkStart w:id="249" w:name="_Toc220495376"/>
      <w:r>
        <w:t>21.31.3a Maçonneries de parement à briques de silico-calcaire à maçonner CCTB 01.12</w:t>
      </w:r>
      <w:bookmarkEnd w:id="249"/>
    </w:p>
    <w:p w14:paraId="7B7B18F8" w14:textId="77777777" w:rsidR="00DB2B68" w:rsidRDefault="00000000">
      <w:pPr>
        <w:pStyle w:val="pheading"/>
      </w:pPr>
      <w:r>
        <w:t>DESCRIPTION</w:t>
      </w:r>
    </w:p>
    <w:p w14:paraId="3C79D290" w14:textId="77777777" w:rsidR="00DB2B68" w:rsidRDefault="00000000">
      <w:pPr>
        <w:pStyle w:val="pheading"/>
      </w:pPr>
      <w:r>
        <w:t>- Définition / Comprend</w:t>
      </w:r>
    </w:p>
    <w:p w14:paraId="288FAA84" w14:textId="77777777" w:rsidR="00DB2B68" w:rsidRDefault="00000000">
      <w:r>
        <w:t xml:space="preserve">Il s’agit de la fourniture et la pose de maçonneries de parement en briques de silico-calcaire à maçonner. </w:t>
      </w:r>
      <w:r>
        <w:br/>
        <w:t>La portée des travaux est décrite dans l’article </w:t>
      </w:r>
      <w:hyperlink w:anchor="381" w:history="1">
        <w:r>
          <w:rPr>
            <w:color w:val="0000EE"/>
          </w:rPr>
          <w:t>21.3 Maçonneries de parement</w:t>
        </w:r>
      </w:hyperlink>
      <w:r>
        <w:t>.</w:t>
      </w:r>
    </w:p>
    <w:p w14:paraId="2A8D5961" w14:textId="77777777" w:rsidR="00DB2B68" w:rsidRDefault="00000000">
      <w:pPr>
        <w:pStyle w:val="pheading"/>
      </w:pPr>
      <w:r>
        <w:t>- Localisation</w:t>
      </w:r>
    </w:p>
    <w:p w14:paraId="0BAAA666" w14:textId="77777777" w:rsidR="00DB2B68" w:rsidRDefault="00000000">
      <w:r>
        <w:t xml:space="preserve">La pose est réalisée aux endroits suivants : </w:t>
      </w:r>
      <w:r>
        <w:rPr>
          <w:rStyle w:val="optioncarChar"/>
        </w:rPr>
        <w:t>***</w:t>
      </w:r>
      <w:r>
        <w:t>.</w:t>
      </w:r>
    </w:p>
    <w:p w14:paraId="2CBE4776" w14:textId="77777777" w:rsidR="00DB2B68" w:rsidRDefault="00000000">
      <w:r>
        <w:t>Voir plans et métrés détaillés.</w:t>
      </w:r>
    </w:p>
    <w:p w14:paraId="1AC83A62" w14:textId="77777777" w:rsidR="00DB2B68" w:rsidRDefault="00000000">
      <w:pPr>
        <w:pStyle w:val="pheading"/>
      </w:pPr>
      <w:r>
        <w:t>MATÉRIAUX</w:t>
      </w:r>
    </w:p>
    <w:p w14:paraId="0E748424" w14:textId="77777777" w:rsidR="00DB2B68" w:rsidRDefault="00000000">
      <w:pPr>
        <w:pStyle w:val="pheading"/>
      </w:pPr>
      <w:r>
        <w:t>- Caractéristiques générales</w:t>
      </w:r>
    </w:p>
    <w:p w14:paraId="26FE17F2" w14:textId="77777777" w:rsidR="00DB2B68" w:rsidRDefault="00000000">
      <w:r>
        <w:rPr>
          <w:b/>
        </w:rPr>
        <w:t>Brique</w:t>
      </w:r>
    </w:p>
    <w:p w14:paraId="7CE96199" w14:textId="77777777" w:rsidR="00DB2B68"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w:t>
      </w:r>
      <w:r>
        <w:br/>
      </w:r>
      <w:r>
        <w:br/>
        <w:t xml:space="preserve">La classe de qualité suivant </w:t>
      </w:r>
      <w:r>
        <w:rPr>
          <w:color w:val="0000FF"/>
        </w:rPr>
        <w:t>[PTV 21-003]</w:t>
      </w:r>
      <w:r>
        <w:t xml:space="preserve"> est : </w:t>
      </w:r>
      <w:r>
        <w:rPr>
          <w:rStyle w:val="optioncarChar"/>
        </w:rPr>
        <w:t>20/1,8 / ***</w:t>
      </w:r>
      <w:r>
        <w:br/>
      </w:r>
      <w:r>
        <w:br/>
        <w:t xml:space="preserve">La résistance en compression normalisée (fb) suivant </w:t>
      </w:r>
      <w:r>
        <w:rPr>
          <w:color w:val="0000FF"/>
        </w:rPr>
        <w:t>[NBN EN 1996 série]</w:t>
      </w:r>
      <w:r>
        <w:t xml:space="preserve"> + ANB est au minimum: </w:t>
      </w:r>
      <w:r>
        <w:rPr>
          <w:rStyle w:val="optioncarChar"/>
        </w:rPr>
        <w:t xml:space="preserve">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w:t>
      </w:r>
      <w:r>
        <w:rPr>
          <w:color w:val="0000FF"/>
        </w:rPr>
        <w:t>[NBN EN 771-2+A1]</w:t>
      </w:r>
      <w:r>
        <w:t xml:space="preserve">). </w:t>
      </w:r>
      <w:r>
        <w:br/>
      </w:r>
      <w:r>
        <w:br/>
        <w:t xml:space="preserve">Le groupe de configuration suivant </w:t>
      </w:r>
      <w:r>
        <w:rPr>
          <w:color w:val="0000FF"/>
        </w:rPr>
        <w:t>[NBN EN 1996-1-1+A1 ANB]</w:t>
      </w:r>
      <w:r>
        <w:t xml:space="preserve"> est: </w:t>
      </w:r>
      <w:r>
        <w:rPr>
          <w:rStyle w:val="optioncarChar"/>
        </w:rPr>
        <w:t>1 / 2 / ***</w:t>
      </w:r>
      <w:r>
        <w:br/>
      </w:r>
      <w:r>
        <w:br/>
        <w:t xml:space="preserve">La masse volumique sèche apparente des blocs ρ (rho) est : </w:t>
      </w:r>
      <w:r>
        <w:rPr>
          <w:rStyle w:val="optioncarChar"/>
        </w:rPr>
        <w:t>1800 / ***</w:t>
      </w:r>
      <w:r>
        <w:t xml:space="preserve"> kg/m³ (blocs pleins), selon la </w:t>
      </w:r>
      <w:r>
        <w:rPr>
          <w:color w:val="0000FF"/>
        </w:rPr>
        <w:t>[NBN EN 771-2+A1]</w:t>
      </w:r>
      <w:r>
        <w:t xml:space="preserve">. </w:t>
      </w:r>
      <w:r>
        <w:br/>
      </w:r>
      <w:r>
        <w:br/>
        <w:t xml:space="preserve">La conductibilité thermique λD est compatible avec la valeur U prescrite pour la paroi. </w:t>
      </w:r>
      <w:r>
        <w:br/>
      </w:r>
      <w:r>
        <w:br/>
        <w:t>Boutisse : plate</w:t>
      </w:r>
      <w:r>
        <w:br/>
        <w:t xml:space="preserve">Face qui reste visible : lisse </w:t>
      </w:r>
      <w:r>
        <w:br/>
        <w:t xml:space="preserve">Face à cimenter ou plafonner : lisse </w:t>
      </w:r>
      <w:r>
        <w:br/>
      </w:r>
      <w:r>
        <w:br/>
        <w:t xml:space="preserve">Teinte : </w:t>
      </w:r>
      <w:r>
        <w:rPr>
          <w:rStyle w:val="optioncarChar"/>
        </w:rPr>
        <w:t>blanc </w:t>
      </w:r>
      <w:r>
        <w:t>(par défaut)</w:t>
      </w:r>
      <w:r>
        <w:rPr>
          <w:rStyle w:val="optioncarChar"/>
        </w:rPr>
        <w:t xml:space="preserve"> / ***</w:t>
      </w:r>
      <w:r>
        <w:br/>
      </w:r>
      <w:r>
        <w:lastRenderedPageBreak/>
        <w:br/>
        <w:t xml:space="preserve">Format : (L x l x h) </w:t>
      </w:r>
      <w:r>
        <w:rPr>
          <w:rStyle w:val="optioncarChar"/>
        </w:rPr>
        <w:t>*** x *** x *** mm / format modulaire proposé par l'entrepreneur </w:t>
      </w:r>
      <w:r>
        <w:t>(par défaut)</w:t>
      </w:r>
      <w:r>
        <w:br/>
      </w:r>
      <w:r>
        <w:br/>
      </w:r>
      <w:r>
        <w:br/>
        <w:t>Stabilité de forme : les éléments en silico-calcaire destinés à un usage extérieur ou en maçonnerie souterraine respectent le critère suivant en matière de comportement à l'humidité : retrait et gonflement hygrométriques ≤ 0.45 mm / m (cf. </w:t>
      </w:r>
      <w:r>
        <w:rPr>
          <w:color w:val="0000FF"/>
        </w:rPr>
        <w:t>[PTV 21-003]</w:t>
      </w:r>
      <w:r>
        <w:t xml:space="preserve"> annexe E).</w:t>
      </w:r>
      <w:r>
        <w:br/>
      </w:r>
      <w:r>
        <w:br/>
        <w:t xml:space="preserve">Absorption d’eau par immersion : </w:t>
      </w:r>
      <w:r>
        <w:rPr>
          <w:rStyle w:val="optioncarChar"/>
        </w:rPr>
        <w:t>code A1 (exposé décoratif) / A2 (exposé) </w:t>
      </w:r>
      <w:r>
        <w:t>(par défaut)</w:t>
      </w:r>
      <w:r>
        <w:br/>
      </w:r>
      <w:r>
        <w:br/>
        <w:t xml:space="preserve">Résistance au gel suivant les classes d’application selon </w:t>
      </w:r>
      <w:r>
        <w:rPr>
          <w:color w:val="0000FF"/>
        </w:rPr>
        <w:t>[NBN EN 1996-2 ANB]</w:t>
      </w:r>
      <w:r>
        <w:t xml:space="preserve"> : </w:t>
      </w:r>
      <w:r>
        <w:rPr>
          <w:rStyle w:val="optioncarChar"/>
        </w:rPr>
        <w:t>classe F1 (MX3.1) </w:t>
      </w:r>
      <w:r>
        <w:t>(par défaut)</w:t>
      </w:r>
      <w:r>
        <w:rPr>
          <w:rStyle w:val="optioncarChar"/>
        </w:rPr>
        <w:t xml:space="preserve"> / classe F2 (MX3.2)</w:t>
      </w:r>
    </w:p>
    <w:p w14:paraId="20521DC0" w14:textId="77777777" w:rsidR="00DB2B68" w:rsidRDefault="00000000">
      <w:pPr>
        <w:spacing w:line="0" w:lineRule="atLeast"/>
      </w:pPr>
      <w:r>
        <w:rPr>
          <w:rStyle w:val="normalChar"/>
          <w:color w:val="000000"/>
        </w:rPr>
        <w:t>Le niveau de résistance au gel est compatible avec la classe d’exposition.</w:t>
      </w:r>
    </w:p>
    <w:p w14:paraId="094C0946" w14:textId="77777777" w:rsidR="00DB2B68" w:rsidRDefault="00000000">
      <w:r>
        <w:t xml:space="preserve">Réaction au feu : </w:t>
      </w:r>
      <w:r>
        <w:rPr>
          <w:rStyle w:val="optioncarChar"/>
        </w:rPr>
        <w:t>A1 </w:t>
      </w:r>
      <w:r>
        <w:t>(par défaut)</w:t>
      </w:r>
      <w:r>
        <w:rPr>
          <w:rStyle w:val="optioncarChar"/>
        </w:rPr>
        <w:t xml:space="preserve"> / ***</w:t>
      </w:r>
    </w:p>
    <w:p w14:paraId="450C7096" w14:textId="77777777" w:rsidR="00DB2B68" w:rsidRDefault="00000000">
      <w:pPr>
        <w:spacing w:line="259" w:lineRule="auto"/>
      </w:pPr>
      <w:r>
        <w:rPr>
          <w:b/>
        </w:rPr>
        <w:t>Mortier</w:t>
      </w:r>
    </w:p>
    <w:p w14:paraId="09480024" w14:textId="77777777" w:rsidR="00DB2B68" w:rsidRDefault="00000000">
      <w:pPr>
        <w:spacing w:line="0" w:lineRule="atLeast"/>
      </w:pPr>
      <w:r>
        <w:rPr>
          <w:rStyle w:val="normalChar"/>
          <w:color w:val="000000"/>
        </w:rPr>
        <w:t xml:space="preserve">Le mortier est du type G, mortier bâtard ou dosé in situ adapté à des joints d’épaisseur nominale de </w:t>
      </w:r>
      <w:r>
        <w:rPr>
          <w:color w:val="FF0000"/>
        </w:rPr>
        <w:t>8 </w:t>
      </w:r>
      <w:r>
        <w:t>(par défaut)</w:t>
      </w:r>
      <w:r>
        <w:rPr>
          <w:color w:val="FF0000"/>
        </w:rPr>
        <w:t xml:space="preserve"> / 12 / ***</w:t>
      </w:r>
      <w:r>
        <w:rPr>
          <w:rStyle w:val="normalChar"/>
          <w:color w:val="000000"/>
        </w:rPr>
        <w:t xml:space="preserve"> mm.</w:t>
      </w:r>
    </w:p>
    <w:p w14:paraId="2A3A09CB" w14:textId="77777777" w:rsidR="00DB2B68" w:rsidRDefault="00000000">
      <w:pPr>
        <w:spacing w:line="0" w:lineRule="atLeast"/>
      </w:pPr>
      <w:r>
        <w:rPr>
          <w:rStyle w:val="normalChar"/>
          <w:color w:val="000000"/>
        </w:rPr>
        <w:t xml:space="preserve">Adhérence en cisaillement : </w:t>
      </w:r>
      <w:r>
        <w:rPr>
          <w:color w:val="FF0000"/>
        </w:rPr>
        <w:t xml:space="preserve">≥ 0,15 N/mm² </w:t>
      </w:r>
      <w:r>
        <w:t>(par défaut)</w:t>
      </w:r>
      <w:r>
        <w:rPr>
          <w:color w:val="FF0000"/>
        </w:rPr>
        <w:t xml:space="preserve"> / ***</w:t>
      </w:r>
    </w:p>
    <w:p w14:paraId="0F968ABD" w14:textId="77777777" w:rsidR="00DB2B68" w:rsidRDefault="00000000">
      <w:r>
        <w:rPr>
          <w:rStyle w:val="normalChar"/>
          <w:color w:val="000000"/>
        </w:rPr>
        <w:t>Résistance au gel</w:t>
      </w:r>
      <w:r>
        <w:rPr>
          <w:color w:val="000000"/>
        </w:rPr>
        <w:t xml:space="preserve"> : oui</w:t>
      </w:r>
    </w:p>
    <w:p w14:paraId="1D552DE8" w14:textId="77777777" w:rsidR="00DB2B68" w:rsidRDefault="00000000">
      <w:pPr>
        <w:pStyle w:val="pheading"/>
      </w:pPr>
      <w:r>
        <w:t>- Finitions</w:t>
      </w:r>
    </w:p>
    <w:p w14:paraId="67CEEE6D"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089DC0F0"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6FF7BE6"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3240EFB0"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0037F135"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D2D2F8E" w14:textId="77777777" w:rsidR="00DB2B68" w:rsidRDefault="00000000">
      <w:pPr>
        <w:pStyle w:val="pheading"/>
      </w:pPr>
      <w:r>
        <w:t>- Prescriptions complémentaires</w:t>
      </w:r>
    </w:p>
    <w:p w14:paraId="4986485B" w14:textId="77777777" w:rsidR="00DB2B68" w:rsidRDefault="00000000">
      <w:r>
        <w:t xml:space="preserve">Les murs suivants sont exécutés avec deux faces restant apparentes : </w:t>
      </w:r>
      <w:r>
        <w:rPr>
          <w:rStyle w:val="optioncarChar"/>
        </w:rPr>
        <w:t>***</w:t>
      </w:r>
    </w:p>
    <w:p w14:paraId="3F92B755" w14:textId="77777777" w:rsidR="00DB2B68" w:rsidRDefault="00000000">
      <w:pPr>
        <w:pStyle w:val="pheading"/>
      </w:pPr>
      <w:r>
        <w:t>EXÉCUTION / MISE EN ŒUVRE</w:t>
      </w:r>
    </w:p>
    <w:p w14:paraId="7A8FFD69" w14:textId="77777777" w:rsidR="00DB2B68" w:rsidRDefault="00000000">
      <w:pPr>
        <w:pStyle w:val="pheading"/>
      </w:pPr>
      <w:r>
        <w:t>- Prescriptions générales</w:t>
      </w:r>
    </w:p>
    <w:p w14:paraId="00F99491" w14:textId="77777777" w:rsidR="00DB2B68" w:rsidRDefault="00000000">
      <w:pPr>
        <w:spacing w:line="259" w:lineRule="auto"/>
      </w:pPr>
      <w:r>
        <w:rPr>
          <w:rStyle w:val="normalChar"/>
        </w:rPr>
        <w:t>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01C5360D" w14:textId="77777777" w:rsidR="00DB2B68" w:rsidRDefault="00DB2B68"/>
    <w:p w14:paraId="05B74D1F" w14:textId="77777777" w:rsidR="00DB2B68" w:rsidRDefault="00000000">
      <w:pPr>
        <w:spacing w:line="259" w:lineRule="auto"/>
      </w:pPr>
      <w:r>
        <w:rPr>
          <w:rStyle w:val="normalChar"/>
          <w:b/>
        </w:rPr>
        <w:t>LINTEAUX</w:t>
      </w:r>
    </w:p>
    <w:p w14:paraId="6416464F" w14:textId="77777777" w:rsidR="00DB2B68"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45941E10" w14:textId="77777777" w:rsidR="00DB2B68" w:rsidRDefault="00000000">
      <w:r>
        <w:rPr>
          <w:b/>
        </w:rPr>
        <w:t>(soit par défaut)</w:t>
      </w:r>
    </w:p>
    <w:p w14:paraId="5E52129E" w14:textId="77777777" w:rsidR="00DB2B68" w:rsidRDefault="00000000">
      <w:r>
        <w:rPr>
          <w:rStyle w:val="soitChar"/>
          <w:u w:val="single"/>
        </w:rPr>
        <w:t>D'une armature et de crochets de mur</w:t>
      </w:r>
      <w:r>
        <w:rPr>
          <w:rStyle w:val="soitChar"/>
        </w:rPr>
        <w:t>  :</w:t>
      </w:r>
    </w:p>
    <w:p w14:paraId="0DA12A31" w14:textId="77777777" w:rsidR="00DB2B68"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lastRenderedPageBreak/>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7ADC57C3" w14:textId="77777777" w:rsidR="00DB2B68" w:rsidRDefault="00000000">
      <w:r>
        <w:rPr>
          <w:b/>
        </w:rPr>
        <w:t>(soit)</w:t>
      </w:r>
    </w:p>
    <w:p w14:paraId="721FDC5B"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B558D76" w14:textId="77777777" w:rsidR="00DB2B68" w:rsidRDefault="00000000">
      <w:r>
        <w:rPr>
          <w:b/>
        </w:rPr>
        <w:t>(soit)</w:t>
      </w:r>
    </w:p>
    <w:p w14:paraId="2C20D231"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022C71FA" w14:textId="77777777" w:rsidR="00DB2B68" w:rsidRDefault="00000000">
      <w:r>
        <w:rPr>
          <w:b/>
        </w:rPr>
        <w:t>(soit)</w:t>
      </w:r>
    </w:p>
    <w:p w14:paraId="7E1D44EE"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3EA58BF" w14:textId="77777777" w:rsidR="00DB2B68" w:rsidRDefault="00000000">
      <w:r>
        <w:rPr>
          <w:b/>
        </w:rPr>
        <w:t>(soit)</w:t>
      </w:r>
    </w:p>
    <w:p w14:paraId="105B72BA" w14:textId="77777777" w:rsidR="00DB2B68" w:rsidRDefault="00000000">
      <w:r>
        <w:rPr>
          <w:rStyle w:val="optioncarChar"/>
        </w:rPr>
        <w:t> ***</w:t>
      </w:r>
    </w:p>
    <w:p w14:paraId="1F4D0D28" w14:textId="77777777" w:rsidR="00DB2B68" w:rsidRDefault="00000000">
      <w:pPr>
        <w:ind w:left="750"/>
      </w:pPr>
      <w:r>
        <w:t> </w:t>
      </w:r>
    </w:p>
    <w:p w14:paraId="69FE8B39" w14:textId="77777777" w:rsidR="00DB2B68" w:rsidRDefault="00000000">
      <w:pPr>
        <w:pStyle w:val="pheading"/>
      </w:pPr>
      <w:r>
        <w:t>MESURAGE</w:t>
      </w:r>
    </w:p>
    <w:p w14:paraId="653005C9" w14:textId="77777777" w:rsidR="00DB2B68" w:rsidRDefault="00000000">
      <w:pPr>
        <w:pStyle w:val="pheading"/>
      </w:pPr>
      <w:r>
        <w:t>- unité de mesure:</w:t>
      </w:r>
    </w:p>
    <w:p w14:paraId="7E5AE86D" w14:textId="77777777" w:rsidR="00DB2B68" w:rsidRDefault="00000000">
      <w:r>
        <w:rPr>
          <w:rStyle w:val="optioncarChar"/>
        </w:rPr>
        <w:t>m² </w:t>
      </w:r>
      <w:r>
        <w:t>(par défaut)</w:t>
      </w:r>
      <w:r>
        <w:rPr>
          <w:rStyle w:val="optioncarChar"/>
        </w:rPr>
        <w:t> / m³</w:t>
      </w:r>
    </w:p>
    <w:p w14:paraId="009399D5" w14:textId="77777777" w:rsidR="00DB2B68" w:rsidRDefault="00000000">
      <w:r>
        <w:rPr>
          <w:b/>
        </w:rPr>
        <w:t>(soit par défaut)</w:t>
      </w:r>
    </w:p>
    <w:p w14:paraId="39813A26" w14:textId="77777777" w:rsidR="00DB2B68" w:rsidRDefault="00000000">
      <w:r>
        <w:rPr>
          <w:rStyle w:val="soitChar"/>
        </w:rPr>
        <w:t>1. m²</w:t>
      </w:r>
    </w:p>
    <w:p w14:paraId="2DA09F5F" w14:textId="77777777" w:rsidR="00DB2B68" w:rsidRDefault="00000000">
      <w:r>
        <w:rPr>
          <w:b/>
        </w:rPr>
        <w:t>(soit)</w:t>
      </w:r>
    </w:p>
    <w:p w14:paraId="060EBD1B" w14:textId="77777777" w:rsidR="00DB2B68" w:rsidRDefault="00000000">
      <w:r>
        <w:rPr>
          <w:rStyle w:val="soitChar"/>
        </w:rPr>
        <w:t>2. m³</w:t>
      </w:r>
    </w:p>
    <w:p w14:paraId="7E79741F" w14:textId="77777777" w:rsidR="00DB2B68" w:rsidRDefault="00000000">
      <w:pPr>
        <w:pStyle w:val="pheading"/>
      </w:pPr>
      <w:r>
        <w:t>- code de mesurage:</w:t>
      </w:r>
    </w:p>
    <w:p w14:paraId="1468B5C3" w14:textId="77777777" w:rsidR="00DB2B68" w:rsidRDefault="00000000">
      <w:r>
        <w:t>Les maçonneries sont mesurées en fonction de leur forme géométrique.</w:t>
      </w:r>
    </w:p>
    <w:p w14:paraId="1011ADEB" w14:textId="77777777" w:rsidR="00DB2B68" w:rsidRDefault="00000000">
      <w:r>
        <w:t>Les ébrasements des ouvertures et des baies de fenêtres ainsi que la face inférieure des linteaux ne sont comptés (en surface nette) que lorsque leur largeur est supérieure à celle des briques de façade.</w:t>
      </w:r>
    </w:p>
    <w:p w14:paraId="1149CD11" w14:textId="77777777" w:rsidR="00DB2B68" w:rsidRDefault="00000000">
      <w:r>
        <w:t>La coulisse n'est jamais prise en compte.</w:t>
      </w:r>
    </w:p>
    <w:p w14:paraId="574CBD98" w14:textId="77777777" w:rsidR="00DB2B68" w:rsidRDefault="00000000">
      <w:pPr>
        <w:spacing w:after="0" w:line="259" w:lineRule="auto"/>
      </w:pPr>
      <w:r>
        <w:rPr>
          <w:rStyle w:val="normalChar"/>
        </w:rPr>
        <w:t>Les accessoires (linteaux non décrits et non comptés dans un autre poste, attaches,…) sont compris dans le prix.</w:t>
      </w:r>
    </w:p>
    <w:p w14:paraId="361267CE" w14:textId="77777777" w:rsidR="00DB2B68" w:rsidRDefault="00000000">
      <w:pPr>
        <w:spacing w:after="0" w:line="259" w:lineRule="auto"/>
      </w:pPr>
      <w:r>
        <w:rPr>
          <w:rStyle w:val="normalChar"/>
        </w:rPr>
        <w:t>Sont entre-autres décrits et comptés dans un autre poste :</w:t>
      </w:r>
    </w:p>
    <w:p w14:paraId="7B251FC7" w14:textId="77777777" w:rsidR="00DB2B68" w:rsidRDefault="00000000">
      <w:pPr>
        <w:pStyle w:val="Author-eListParagraph"/>
        <w:numPr>
          <w:ilvl w:val="0"/>
          <w:numId w:val="248"/>
        </w:numPr>
      </w:pPr>
      <w:r>
        <w:rPr>
          <w:rStyle w:val="normalChar"/>
        </w:rPr>
        <w:t xml:space="preserve">Les linteaux apparents en béton, pierre reconstituée et en pierre sont décrits et comptés en </w:t>
      </w:r>
      <w:hyperlink w:anchor="402" w:history="1">
        <w:r>
          <w:rPr>
            <w:rStyle w:val="normalChar"/>
            <w:color w:val="0000EE"/>
          </w:rPr>
          <w:t>21.36.3</w:t>
        </w:r>
      </w:hyperlink>
    </w:p>
    <w:p w14:paraId="5A40FC3E" w14:textId="77777777" w:rsidR="00DB2B68" w:rsidRDefault="00000000">
      <w:pPr>
        <w:pStyle w:val="Author-eListParagraph"/>
        <w:numPr>
          <w:ilvl w:val="0"/>
          <w:numId w:val="248"/>
        </w:numPr>
      </w:pPr>
      <w:r>
        <w:rPr>
          <w:rStyle w:val="normalChar"/>
        </w:rPr>
        <w:t xml:space="preserve">Les linteaux apparents en acier sont décrits et comptés en </w:t>
      </w:r>
      <w:hyperlink w:anchor="403" w:history="1">
        <w:r>
          <w:rPr>
            <w:rStyle w:val="normalChar"/>
            <w:color w:val="0000EE"/>
          </w:rPr>
          <w:t>23.13</w:t>
        </w:r>
      </w:hyperlink>
      <w:r>
        <w:rPr>
          <w:rStyle w:val="normalChar"/>
        </w:rPr>
        <w:t xml:space="preserve">. </w:t>
      </w:r>
    </w:p>
    <w:p w14:paraId="0A19C68B" w14:textId="77777777" w:rsidR="00DB2B68" w:rsidRDefault="00000000">
      <w:pPr>
        <w:pStyle w:val="Author-eListParagraph"/>
        <w:numPr>
          <w:ilvl w:val="0"/>
          <w:numId w:val="248"/>
        </w:numPr>
      </w:pPr>
      <w:r>
        <w:rPr>
          <w:rStyle w:val="normalChar"/>
        </w:rPr>
        <w:t xml:space="preserve">Les linteaux apparents en bois sont décrits et comptés en </w:t>
      </w:r>
      <w:hyperlink w:anchor="404" w:history="1">
        <w:r>
          <w:rPr>
            <w:rStyle w:val="normalChar"/>
            <w:color w:val="0000EE"/>
          </w:rPr>
          <w:t>24.13</w:t>
        </w:r>
      </w:hyperlink>
      <w:r>
        <w:rPr>
          <w:rStyle w:val="normalChar"/>
        </w:rPr>
        <w:t>.</w:t>
      </w:r>
    </w:p>
    <w:p w14:paraId="19E28B2E" w14:textId="77777777" w:rsidR="00DB2B68" w:rsidRDefault="00000000">
      <w:pPr>
        <w:spacing w:line="252" w:lineRule="auto"/>
      </w:pPr>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3021E88" w14:textId="77777777" w:rsidR="00DB2B68" w:rsidRDefault="00DB2B68"/>
    <w:p w14:paraId="235A1170"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15BBAD8" w14:textId="77777777" w:rsidR="00DB2B68" w:rsidRDefault="00000000">
      <w:pPr>
        <w:spacing w:after="0" w:line="252" w:lineRule="auto"/>
      </w:pPr>
      <w:r>
        <w:rPr>
          <w:b/>
          <w:color w:val="000000"/>
        </w:rPr>
        <w:t>(soit par défaut)</w:t>
      </w:r>
    </w:p>
    <w:p w14:paraId="471BE369" w14:textId="77777777" w:rsidR="00DB2B68" w:rsidRDefault="00000000">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w:t>
      </w:r>
      <w:r>
        <w:rPr>
          <w:rStyle w:val="soitChar"/>
        </w:rPr>
        <w:lastRenderedPageBreak/>
        <w:t>éventuels blocs d'angle, assises en maçonnerie décorative. Les ouvertures ou les éléments de construction intégrés dont l'aire est supérieure à 0,50 m² sont déduits.</w:t>
      </w:r>
    </w:p>
    <w:p w14:paraId="13EFFF0D" w14:textId="77777777" w:rsidR="00DB2B68" w:rsidRDefault="00000000">
      <w:pPr>
        <w:spacing w:after="0" w:line="252" w:lineRule="auto"/>
      </w:pPr>
      <w:r>
        <w:rPr>
          <w:rStyle w:val="soitChar"/>
        </w:rPr>
        <w:t>Distinction faite suivant l'épaisseur.</w:t>
      </w:r>
    </w:p>
    <w:p w14:paraId="79184945" w14:textId="77777777" w:rsidR="00DB2B68" w:rsidRDefault="00000000">
      <w:pPr>
        <w:spacing w:line="252" w:lineRule="auto"/>
      </w:pPr>
      <w:r>
        <w:rPr>
          <w:b/>
          <w:color w:val="000000"/>
        </w:rPr>
        <w:t>(soit)</w:t>
      </w:r>
    </w:p>
    <w:p w14:paraId="33BFDB12"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24416E1"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692EB1AB" w14:textId="77777777" w:rsidR="00DB2B68" w:rsidRDefault="00000000">
      <w:pPr>
        <w:pStyle w:val="pheading"/>
      </w:pPr>
      <w:r>
        <w:t>- nature du marché:</w:t>
      </w:r>
    </w:p>
    <w:p w14:paraId="3F62D798" w14:textId="77777777" w:rsidR="00DB2B68" w:rsidRDefault="00000000">
      <w:r>
        <w:rPr>
          <w:rStyle w:val="optioncarChar"/>
        </w:rPr>
        <w:t>QF</w:t>
      </w:r>
      <w:r>
        <w:t xml:space="preserve"> (par défaut)</w:t>
      </w:r>
      <w:r>
        <w:rPr>
          <w:rStyle w:val="optioncarChar"/>
        </w:rPr>
        <w:t xml:space="preserve"> / QP</w:t>
      </w:r>
    </w:p>
    <w:p w14:paraId="4DF5C054" w14:textId="77777777" w:rsidR="00DB2B68" w:rsidRDefault="00000000">
      <w:pPr>
        <w:pStyle w:val="Author-eSectionHeading6Numberless"/>
      </w:pPr>
      <w:bookmarkStart w:id="250" w:name="_Toc220495377"/>
      <w:r>
        <w:t>21.31.3b Maçonneries de parement en briques de silico-calcaire à coller CCTB 01.12</w:t>
      </w:r>
      <w:bookmarkEnd w:id="250"/>
    </w:p>
    <w:p w14:paraId="67E035BF" w14:textId="77777777" w:rsidR="00DB2B68" w:rsidRDefault="00000000">
      <w:pPr>
        <w:pStyle w:val="pheading"/>
      </w:pPr>
      <w:r>
        <w:t>DESCRIPTION</w:t>
      </w:r>
    </w:p>
    <w:p w14:paraId="1F7ADB6C" w14:textId="77777777" w:rsidR="00DB2B68" w:rsidRDefault="00000000">
      <w:pPr>
        <w:pStyle w:val="pheading"/>
      </w:pPr>
      <w:r>
        <w:t>- Définition / Comprend</w:t>
      </w:r>
    </w:p>
    <w:p w14:paraId="47407B73" w14:textId="77777777" w:rsidR="00DB2B68" w:rsidRDefault="00000000">
      <w:r>
        <w:t xml:space="preserve">Il s’agit de la fourniture et la pose de maçonneries de parement en briques de silico-calcaire à maçonner. </w:t>
      </w:r>
      <w:r>
        <w:br/>
        <w:t xml:space="preserve">La portée des travaux est décrite dans l’article </w:t>
      </w:r>
      <w:hyperlink w:anchor="405" w:history="1">
        <w:r>
          <w:rPr>
            <w:color w:val="0000EE"/>
          </w:rPr>
          <w:t>21.31.3 Maçonneries de parement en briques de silico-calcaire</w:t>
        </w:r>
      </w:hyperlink>
      <w:r>
        <w:t>.</w:t>
      </w:r>
    </w:p>
    <w:p w14:paraId="0FCCD3FB" w14:textId="77777777" w:rsidR="00DB2B68" w:rsidRDefault="00000000">
      <w:pPr>
        <w:pStyle w:val="pheading"/>
      </w:pPr>
      <w:r>
        <w:t>- Localisation</w:t>
      </w:r>
    </w:p>
    <w:p w14:paraId="3FECF88F" w14:textId="77777777" w:rsidR="00DB2B68" w:rsidRDefault="00000000">
      <w:r>
        <w:t xml:space="preserve">La pose est réalisée aux endroits suivants : </w:t>
      </w:r>
      <w:r>
        <w:rPr>
          <w:rStyle w:val="optioncarChar"/>
        </w:rPr>
        <w:t>***</w:t>
      </w:r>
      <w:r>
        <w:t>.</w:t>
      </w:r>
    </w:p>
    <w:p w14:paraId="01085E85" w14:textId="77777777" w:rsidR="00DB2B68" w:rsidRDefault="00000000">
      <w:r>
        <w:t>Voir plans et métrés détaillés.</w:t>
      </w:r>
    </w:p>
    <w:p w14:paraId="391EBC41" w14:textId="77777777" w:rsidR="00DB2B68" w:rsidRDefault="00000000">
      <w:pPr>
        <w:pStyle w:val="pheading"/>
      </w:pPr>
      <w:r>
        <w:t>MATÉRIAUX</w:t>
      </w:r>
    </w:p>
    <w:p w14:paraId="6B28DC55" w14:textId="77777777" w:rsidR="00DB2B68" w:rsidRDefault="00000000">
      <w:pPr>
        <w:pStyle w:val="pheading"/>
      </w:pPr>
      <w:r>
        <w:t>- Caractéristiques générales</w:t>
      </w:r>
    </w:p>
    <w:p w14:paraId="1999A291" w14:textId="77777777" w:rsidR="00DB2B68" w:rsidRDefault="00000000">
      <w:r>
        <w:rPr>
          <w:b/>
        </w:rPr>
        <w:t>Spécifications</w:t>
      </w:r>
    </w:p>
    <w:p w14:paraId="35FE478E" w14:textId="77777777" w:rsidR="00DB2B68"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w:t>
      </w:r>
      <w:r>
        <w:br/>
      </w:r>
      <w:r>
        <w:br/>
        <w:t xml:space="preserve">La classe de qualité suivant [PTV 21-003] est : </w:t>
      </w:r>
      <w:r>
        <w:rPr>
          <w:rStyle w:val="optioncarChar"/>
        </w:rPr>
        <w:t>20/1,8 / ***</w:t>
      </w:r>
      <w:r>
        <w:br/>
      </w:r>
      <w:r>
        <w:br/>
        <w:t xml:space="preserve">La résistance en compression normalisée (fb) suivant [NBN EN 1996 série] + ANB est au minimum: </w:t>
      </w:r>
      <w:r>
        <w:rPr>
          <w:rStyle w:val="optioncarChar"/>
        </w:rPr>
        <w:t xml:space="preserve">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2 / ***</w:t>
      </w:r>
      <w:r>
        <w:br/>
      </w:r>
      <w:r>
        <w:br/>
        <w:t xml:space="preserve">La masse volumique sèche apparente des blocs ρ (rho) est : </w:t>
      </w:r>
      <w:r>
        <w:rPr>
          <w:rStyle w:val="optioncarChar"/>
        </w:rPr>
        <w:t>1800 </w:t>
      </w:r>
      <w:r>
        <w:t>(par défaut)</w:t>
      </w:r>
      <w:r>
        <w:rPr>
          <w:rStyle w:val="optioncarChar"/>
        </w:rPr>
        <w:t xml:space="preserve"> / ***</w:t>
      </w:r>
      <w:r>
        <w:t xml:space="preserve"> kg/m³ (blocs pleins), selon la [NBN EN 771-2+A1]. </w:t>
      </w:r>
      <w:r>
        <w:br/>
      </w:r>
      <w:r>
        <w:br/>
        <w:t xml:space="preserve">La conductibilité thermique λD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r>
      <w:r>
        <w:lastRenderedPageBreak/>
        <w:t xml:space="preserve">Format : (L x l x h) </w:t>
      </w:r>
      <w:r>
        <w:rPr>
          <w:rStyle w:val="optioncarChar"/>
        </w:rPr>
        <w:t>*** x *** x *** mm / format modulaire proposé par l'entrepreneur </w:t>
      </w:r>
      <w:r>
        <w:t>(par défaut)</w:t>
      </w:r>
      <w:r>
        <w:br/>
      </w:r>
      <w:r>
        <w:br/>
      </w:r>
      <w:r>
        <w:br/>
        <w:t>Stabilité de forme : les éléments en silico-calcaire destinés à un usage extérieur ou en maçonnerie souterraine respectent le critère suivant en matière de comportement à l'humidité : retrait et gonflement hygrométriques ≤ 0.45 mm / m (cf. [PTV 21-003] annexe E).</w:t>
      </w:r>
      <w:r>
        <w:br/>
      </w:r>
      <w:r>
        <w:br/>
        <w:t xml:space="preserve">Absorption d’eau par immersion : </w:t>
      </w:r>
      <w:r>
        <w:rPr>
          <w:rStyle w:val="optioncarChar"/>
        </w:rPr>
        <w:t>code A1 (exposé décoratif) / A2 (exposé) </w:t>
      </w:r>
      <w:r>
        <w:t>(par défaut)</w:t>
      </w:r>
      <w:r>
        <w:br/>
      </w:r>
      <w:r>
        <w:br/>
        <w:t xml:space="preserve">Résistance au gel suivant les classes d’application selon [NBN EN 1996-2 ANB] : </w:t>
      </w:r>
      <w:r>
        <w:rPr>
          <w:rStyle w:val="optioncarChar"/>
        </w:rPr>
        <w:t xml:space="preserve">classe F1 (MX3.1) </w:t>
      </w:r>
      <w:r>
        <w:t>(par défaut) </w:t>
      </w:r>
      <w:r>
        <w:rPr>
          <w:rStyle w:val="optioncarChar"/>
        </w:rPr>
        <w:t>/ classe F2 (MX3.2)</w:t>
      </w:r>
      <w:r>
        <w:br/>
      </w:r>
      <w:r>
        <w:br/>
        <w:t xml:space="preserve">Réaction au feu : </w:t>
      </w:r>
      <w:r>
        <w:rPr>
          <w:rStyle w:val="optioncarChar"/>
        </w:rPr>
        <w:t>A1 </w:t>
      </w:r>
      <w:r>
        <w:t>(par défaut)</w:t>
      </w:r>
      <w:r>
        <w:rPr>
          <w:rStyle w:val="optioncarChar"/>
        </w:rPr>
        <w:t xml:space="preserve"> / ***</w:t>
      </w:r>
      <w:r>
        <w:br/>
      </w:r>
      <w:r>
        <w:br/>
      </w:r>
      <w:r>
        <w:rPr>
          <w:b/>
        </w:rPr>
        <w:t>Critères de performances de la paroi</w:t>
      </w:r>
    </w:p>
    <w:p w14:paraId="770BD2DF" w14:textId="77777777" w:rsidR="00DB2B68" w:rsidRDefault="00000000">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 </w:t>
      </w:r>
      <w:r>
        <w:br/>
        <w:t>• pour les éléments porteurs structuraux sans fonction séparante :</w:t>
      </w:r>
      <w:r>
        <w:rPr>
          <w:rStyle w:val="optioncarChar"/>
        </w:rPr>
        <w:t xml:space="preserve"> R 15 / R 30 </w:t>
      </w:r>
      <w:r>
        <w:t>(par défaut)</w:t>
      </w:r>
      <w:r>
        <w:rPr>
          <w:rStyle w:val="optioncarChar"/>
        </w:rPr>
        <w:t xml:space="preserve"> / R 60/ R 120 / R ***</w:t>
      </w:r>
      <w:r>
        <w:br/>
        <w:t xml:space="preserve">• pour les éléments porteurs structuraux avec fonction séparante : </w:t>
      </w:r>
      <w:r>
        <w:rPr>
          <w:rStyle w:val="optioncarChar"/>
        </w:rPr>
        <w:t>REI 30</w:t>
      </w:r>
      <w:r>
        <w:t> (par défaut)</w:t>
      </w:r>
      <w:r>
        <w:rPr>
          <w:rStyle w:val="optioncarChar"/>
        </w:rPr>
        <w:t xml:space="preserve"> / REI 60/ REI 120 / REI ***</w:t>
      </w:r>
      <w:r>
        <w:br/>
        <w:t xml:space="preserve">• pour les éléments non porteurs avec fonction séparante : </w:t>
      </w:r>
      <w:r>
        <w:rPr>
          <w:rStyle w:val="optioncarChar"/>
        </w:rPr>
        <w:t>EI 30 </w:t>
      </w:r>
      <w:r>
        <w:t>(par défaut)</w:t>
      </w:r>
      <w:r>
        <w:rPr>
          <w:rStyle w:val="optioncarChar"/>
        </w:rPr>
        <w:t xml:space="preserve"> / EI 60/ EI 120 / EI ***</w:t>
      </w:r>
      <w:r>
        <w:br/>
        <w:t>selon les tableaux dans [NBN EN 1996-1-2 ANB] </w:t>
      </w:r>
    </w:p>
    <w:p w14:paraId="1BA5AF5F" w14:textId="77777777" w:rsidR="00DB2B68" w:rsidRDefault="00000000">
      <w:pPr>
        <w:ind w:left="750"/>
      </w:pPr>
      <w:r>
        <w:t> </w:t>
      </w:r>
    </w:p>
    <w:p w14:paraId="3E459AD1" w14:textId="77777777" w:rsidR="00DB2B68" w:rsidRDefault="00000000">
      <w:pPr>
        <w:pStyle w:val="pheading"/>
      </w:pPr>
      <w:r>
        <w:t>- Finitions</w:t>
      </w:r>
    </w:p>
    <w:p w14:paraId="0F510C76"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3357B7C0" w14:textId="77777777" w:rsidR="00DB2B68" w:rsidRDefault="00000000">
      <w:pPr>
        <w:pStyle w:val="pheading"/>
      </w:pPr>
      <w:r>
        <w:t>MESURAGE</w:t>
      </w:r>
    </w:p>
    <w:p w14:paraId="47311305" w14:textId="77777777" w:rsidR="00DB2B68" w:rsidRDefault="00000000">
      <w:pPr>
        <w:pStyle w:val="pheading"/>
      </w:pPr>
      <w:r>
        <w:t>- unité de mesure:</w:t>
      </w:r>
    </w:p>
    <w:p w14:paraId="40B39197" w14:textId="77777777" w:rsidR="00DB2B68" w:rsidRDefault="00000000">
      <w:r>
        <w:rPr>
          <w:rStyle w:val="optioncarChar"/>
        </w:rPr>
        <w:t>m² </w:t>
      </w:r>
      <w:r>
        <w:t>(par défaut)</w:t>
      </w:r>
      <w:r>
        <w:rPr>
          <w:rStyle w:val="optioncarChar"/>
        </w:rPr>
        <w:t> / m³</w:t>
      </w:r>
    </w:p>
    <w:p w14:paraId="43E5217A" w14:textId="77777777" w:rsidR="00DB2B68" w:rsidRDefault="00000000">
      <w:r>
        <w:rPr>
          <w:b/>
        </w:rPr>
        <w:t>(soit par défaut)</w:t>
      </w:r>
    </w:p>
    <w:p w14:paraId="48421412" w14:textId="77777777" w:rsidR="00DB2B68" w:rsidRDefault="00000000">
      <w:r>
        <w:rPr>
          <w:rStyle w:val="soitChar"/>
        </w:rPr>
        <w:t>1. m²</w:t>
      </w:r>
    </w:p>
    <w:p w14:paraId="2A08CCB5" w14:textId="77777777" w:rsidR="00DB2B68" w:rsidRDefault="00000000">
      <w:r>
        <w:rPr>
          <w:b/>
        </w:rPr>
        <w:t>(soit)</w:t>
      </w:r>
    </w:p>
    <w:p w14:paraId="2EA21140" w14:textId="77777777" w:rsidR="00DB2B68" w:rsidRDefault="00000000">
      <w:r>
        <w:rPr>
          <w:rStyle w:val="soitChar"/>
        </w:rPr>
        <w:t>2. m³</w:t>
      </w:r>
    </w:p>
    <w:p w14:paraId="1A7C8165" w14:textId="77777777" w:rsidR="00DB2B68" w:rsidRDefault="00000000">
      <w:pPr>
        <w:pStyle w:val="pheading"/>
      </w:pPr>
      <w:r>
        <w:t>- code de mesurage:</w:t>
      </w:r>
    </w:p>
    <w:p w14:paraId="357CBB8F" w14:textId="77777777" w:rsidR="00DB2B68" w:rsidRDefault="00000000">
      <w:r>
        <w:t>Les maçonneries sont mesurées en fonction de leur forme géométrique.</w:t>
      </w:r>
    </w:p>
    <w:p w14:paraId="0D343BD0" w14:textId="77777777" w:rsidR="00DB2B68" w:rsidRDefault="00000000">
      <w:r>
        <w:t>Si les maçonneries sont métrées en m², les quantités sont groupées selon leur épaisseur.</w:t>
      </w:r>
    </w:p>
    <w:p w14:paraId="27E74C64"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6F6A6A26" w14:textId="77777777" w:rsidR="00DB2B68" w:rsidRDefault="00000000">
      <w:r>
        <w:t>Les ébrasements des ouvertures et des baies de fenêtres ainsi que la face inférieure des linteaux ne sont comptés (en surface nette) que lorsque leur largeur est supérieure à celle des briques de façade.</w:t>
      </w:r>
    </w:p>
    <w:p w14:paraId="60771B21" w14:textId="77777777" w:rsidR="00DB2B68" w:rsidRDefault="00000000">
      <w:r>
        <w:t>La coulisse n'est jamais prise en compte.</w:t>
      </w:r>
    </w:p>
    <w:p w14:paraId="5458AD69" w14:textId="77777777" w:rsidR="00DB2B68" w:rsidRDefault="00000000">
      <w:r>
        <w:t>Pour un mesurage en m³, la longueur des murs est mesurée dans l'axe de l'élément ; à l’intersection de deux murs, seul le mur le plus épais est considéré. Aucun volume n'est compté deux fois.</w:t>
      </w:r>
    </w:p>
    <w:p w14:paraId="6901689D" w14:textId="77777777" w:rsidR="00DB2B68" w:rsidRDefault="00000000">
      <w:r>
        <w:lastRenderedPageBreak/>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6173635"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73879406" w14:textId="77777777" w:rsidR="00DB2B68" w:rsidRDefault="00000000">
      <w:pPr>
        <w:spacing w:after="0" w:line="252" w:lineRule="auto"/>
      </w:pPr>
      <w:r>
        <w:rPr>
          <w:b/>
          <w:color w:val="000000"/>
        </w:rPr>
        <w:t>(soit par défaut)</w:t>
      </w:r>
    </w:p>
    <w:p w14:paraId="3346A54A"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83FCC25" w14:textId="77777777" w:rsidR="00DB2B68" w:rsidRDefault="00000000">
      <w:pPr>
        <w:spacing w:after="0" w:line="252" w:lineRule="auto"/>
      </w:pPr>
      <w:r>
        <w:rPr>
          <w:rStyle w:val="soitChar"/>
        </w:rPr>
        <w:t>Distinction faite suivant l'épaisseur.</w:t>
      </w:r>
    </w:p>
    <w:p w14:paraId="02876D21" w14:textId="77777777" w:rsidR="00DB2B68" w:rsidRDefault="00000000">
      <w:pPr>
        <w:spacing w:line="252" w:lineRule="auto"/>
      </w:pPr>
      <w:r>
        <w:rPr>
          <w:b/>
          <w:color w:val="000000"/>
        </w:rPr>
        <w:t>(soit)</w:t>
      </w:r>
    </w:p>
    <w:p w14:paraId="20723B9E"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5965F1D1"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36FAD277" w14:textId="77777777" w:rsidR="00DB2B68" w:rsidRDefault="00000000">
      <w:pPr>
        <w:pStyle w:val="pheading"/>
      </w:pPr>
      <w:r>
        <w:t>- nature du marché:</w:t>
      </w:r>
    </w:p>
    <w:p w14:paraId="4F68FC84" w14:textId="77777777" w:rsidR="00DB2B68" w:rsidRDefault="00000000">
      <w:r>
        <w:t>QF</w:t>
      </w:r>
    </w:p>
    <w:p w14:paraId="09AC3344" w14:textId="77777777" w:rsidR="00DB2B68" w:rsidRDefault="00000000">
      <w:pPr>
        <w:pStyle w:val="Author-eSectionHeading5Numberless"/>
      </w:pPr>
      <w:bookmarkStart w:id="251" w:name="_Toc220495378"/>
      <w:r>
        <w:t>21.31.4 Maçonneries de parement en briquettes CCTB 01.04</w:t>
      </w:r>
      <w:bookmarkEnd w:id="251"/>
    </w:p>
    <w:p w14:paraId="2E376CFB" w14:textId="77777777" w:rsidR="00DB2B68" w:rsidRDefault="00000000">
      <w:pPr>
        <w:pStyle w:val="pheading"/>
      </w:pPr>
      <w:r>
        <w:t>DESCRIPTION</w:t>
      </w:r>
    </w:p>
    <w:p w14:paraId="1F5C9248" w14:textId="77777777" w:rsidR="00DB2B68" w:rsidRDefault="00000000">
      <w:pPr>
        <w:pStyle w:val="pheading"/>
      </w:pPr>
      <w:r>
        <w:t>- Définition / Comprend</w:t>
      </w:r>
    </w:p>
    <w:p w14:paraId="3D64975E" w14:textId="77777777" w:rsidR="00DB2B68" w:rsidRDefault="00000000">
      <w:r>
        <w:t>Voir 43.33 Revêtements de façade rigides collés - plaquettes en terre cuite</w:t>
      </w:r>
    </w:p>
    <w:p w14:paraId="570FC85D" w14:textId="77777777" w:rsidR="00DB2B68" w:rsidRDefault="00000000">
      <w:pPr>
        <w:pStyle w:val="Author-eSectionHeading4Numberless"/>
      </w:pPr>
      <w:bookmarkStart w:id="252" w:name="_Toc220495379"/>
      <w:r>
        <w:t>21.32 Maçonneries de parement en blocs CCTB 01.02</w:t>
      </w:r>
      <w:bookmarkEnd w:id="252"/>
    </w:p>
    <w:p w14:paraId="1386821D" w14:textId="77777777" w:rsidR="00DB2B68" w:rsidRDefault="00000000">
      <w:pPr>
        <w:pStyle w:val="Author-eSectionHeading5Numberless"/>
      </w:pPr>
      <w:bookmarkStart w:id="253" w:name="463"/>
      <w:bookmarkStart w:id="254" w:name="_Toc220495380"/>
      <w:bookmarkEnd w:id="253"/>
      <w:r>
        <w:t>21.32.1 Maçonneries de parement en blocs treillis de terre cuite CCTB 01.13</w:t>
      </w:r>
      <w:bookmarkEnd w:id="254"/>
    </w:p>
    <w:p w14:paraId="2A3A3C59" w14:textId="77777777" w:rsidR="00DB2B68" w:rsidRDefault="00000000">
      <w:pPr>
        <w:pStyle w:val="Author-eSectionHeading6Numberless"/>
      </w:pPr>
      <w:bookmarkStart w:id="255" w:name="_Toc220495381"/>
      <w:r>
        <w:t>21.32.1a Maçonneries de parement en blocs treillis de terre cuite à maçonner CCTB 01.13</w:t>
      </w:r>
      <w:bookmarkEnd w:id="255"/>
    </w:p>
    <w:p w14:paraId="1729E373" w14:textId="77777777" w:rsidR="00DB2B68" w:rsidRDefault="00000000">
      <w:pPr>
        <w:pStyle w:val="pheading"/>
      </w:pPr>
      <w:r>
        <w:t>DESCRIPTION</w:t>
      </w:r>
    </w:p>
    <w:p w14:paraId="3D076056" w14:textId="77777777" w:rsidR="00DB2B68" w:rsidRDefault="00000000">
      <w:pPr>
        <w:pStyle w:val="pheading"/>
      </w:pPr>
      <w:r>
        <w:t>- Définition / Comprend</w:t>
      </w:r>
    </w:p>
    <w:p w14:paraId="5F078780" w14:textId="77777777" w:rsidR="00DB2B68" w:rsidRDefault="00000000">
      <w:r>
        <w:t xml:space="preserve">Il s’agit de la fourniture et la pose de maçonneries de parement en blocs treillis de terre cuite à maçonner. </w:t>
      </w:r>
      <w:r>
        <w:br/>
        <w:t>La portée des travaux est décrite dans l’article </w:t>
      </w:r>
      <w:hyperlink w:anchor="381" w:history="1">
        <w:r>
          <w:rPr>
            <w:color w:val="0000EE"/>
          </w:rPr>
          <w:t>21.3 Maçonneries de parement</w:t>
        </w:r>
      </w:hyperlink>
      <w:r>
        <w:t>.</w:t>
      </w:r>
    </w:p>
    <w:p w14:paraId="3EE6258C" w14:textId="77777777" w:rsidR="00DB2B68" w:rsidRDefault="00000000">
      <w:pPr>
        <w:pStyle w:val="pheading"/>
      </w:pPr>
      <w:r>
        <w:t>- Localisation</w:t>
      </w:r>
    </w:p>
    <w:p w14:paraId="1E3B42DA" w14:textId="77777777" w:rsidR="00DB2B68" w:rsidRDefault="00000000">
      <w:r>
        <w:t>La pose est réalisée aux endroits suivants :</w:t>
      </w:r>
      <w:r>
        <w:rPr>
          <w:rStyle w:val="optioncarChar"/>
        </w:rPr>
        <w:t xml:space="preserve"> ***</w:t>
      </w:r>
      <w:r>
        <w:t>.</w:t>
      </w:r>
    </w:p>
    <w:p w14:paraId="62807A9D" w14:textId="77777777" w:rsidR="00DB2B68" w:rsidRDefault="00000000">
      <w:r>
        <w:t>Voir plans et métrés détaillés.</w:t>
      </w:r>
    </w:p>
    <w:p w14:paraId="75ECB592" w14:textId="77777777" w:rsidR="00DB2B68" w:rsidRDefault="00000000">
      <w:pPr>
        <w:pStyle w:val="pheading"/>
      </w:pPr>
      <w:r>
        <w:t>MATÉRIAUX</w:t>
      </w:r>
    </w:p>
    <w:p w14:paraId="14FE8865" w14:textId="77777777" w:rsidR="00DB2B68" w:rsidRDefault="00000000">
      <w:pPr>
        <w:pStyle w:val="pheading"/>
      </w:pPr>
      <w:r>
        <w:t>- Caractéristiques générales</w:t>
      </w:r>
    </w:p>
    <w:p w14:paraId="03C342F7" w14:textId="77777777" w:rsidR="00DB2B68" w:rsidRDefault="00000000">
      <w:r>
        <w:t>B</w:t>
      </w:r>
      <w:r>
        <w:rPr>
          <w:b/>
        </w:rPr>
        <w:t>loc</w:t>
      </w:r>
    </w:p>
    <w:p w14:paraId="74ECC103" w14:textId="77777777" w:rsidR="00DB2B68" w:rsidRDefault="0000000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w:t>
      </w:r>
      <w:r>
        <w:rPr>
          <w:rStyle w:val="normalChar"/>
          <w:color w:val="0000FF"/>
        </w:rPr>
        <w:t>[NBN EN 771-1+A1]</w:t>
      </w:r>
      <w:r>
        <w:rPr>
          <w:rStyle w:val="normalChar"/>
          <w:color w:val="000000"/>
        </w:rPr>
        <w:t xml:space="preserve">, la </w:t>
      </w:r>
      <w:r>
        <w:rPr>
          <w:rStyle w:val="normalChar"/>
          <w:color w:val="0000FF"/>
        </w:rPr>
        <w:lastRenderedPageBreak/>
        <w:t>[NBN EN 772-1+A1]</w:t>
      </w:r>
      <w:r>
        <w:rPr>
          <w:rStyle w:val="normalChar"/>
          <w:color w:val="000000"/>
        </w:rPr>
        <w:t xml:space="preserve"> et la </w:t>
      </w:r>
      <w:r>
        <w:rPr>
          <w:rStyle w:val="normalChar"/>
          <w:color w:val="0000FF"/>
        </w:rPr>
        <w:t>[NBN EN 1996 série]</w:t>
      </w:r>
      <w:r>
        <w:rPr>
          <w:rStyle w:val="normalChar"/>
          <w:color w:val="000000"/>
        </w:rPr>
        <w:t xml:space="preserve"> est au minimum:</w:t>
      </w:r>
      <w:r>
        <w:rPr>
          <w:rStyle w:val="optioncarChar"/>
          <w:color w:val="000000"/>
        </w:rPr>
        <w:t xml:space="preserve"> *** </w:t>
      </w:r>
      <w:r>
        <w:rPr>
          <w:rStyle w:val="normalChar"/>
          <w:color w:val="000000"/>
        </w:rPr>
        <w:t>N/mm² (MPa). </w:t>
      </w:r>
      <w:r>
        <w:br/>
      </w:r>
      <w:r>
        <w:br/>
        <w:t xml:space="preserve">Le groupe de configuration suivant </w:t>
      </w:r>
      <w:r>
        <w:rPr>
          <w:color w:val="0000FF"/>
        </w:rPr>
        <w:t>[NBN EN 1996-1-1+A1 ANB]</w:t>
      </w:r>
      <w:r>
        <w:t xml:space="preserve">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w:t>
      </w:r>
      <w:r>
        <w:rPr>
          <w:color w:val="0000FF"/>
        </w:rPr>
        <w:t>[NBN EN 771-1+A1]</w:t>
      </w:r>
      <w:r>
        <w:t xml:space="preserve">.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w:t>
      </w:r>
      <w:r>
        <w:br/>
      </w:r>
      <w:r>
        <w:br/>
        <w:t xml:space="preserve">Teinte : </w:t>
      </w:r>
      <w:r>
        <w:rPr>
          <w:rStyle w:val="optioncarChar"/>
        </w:rPr>
        <w:t>blanc / rouge </w:t>
      </w:r>
      <w:r>
        <w:t>(par défaut)</w:t>
      </w:r>
      <w:r>
        <w:rPr>
          <w:rStyle w:val="optioncarChar"/>
        </w:rPr>
        <w:t xml:space="preserve"> / gris / ***</w:t>
      </w:r>
    </w:p>
    <w:p w14:paraId="39B594A4" w14:textId="77777777" w:rsidR="00DB2B68" w:rsidRDefault="00000000">
      <w:r>
        <w:rPr>
          <w:rStyle w:val="normalChar"/>
          <w:color w:val="000000"/>
        </w:rPr>
        <w:t>Épaisseur nominale du mur : </w:t>
      </w:r>
      <w:r>
        <w:rPr>
          <w:rStyle w:val="optioncarChar"/>
          <w:color w:val="000000"/>
        </w:rPr>
        <w:t xml:space="preserve"> 9 / 14 / 19 / ***</w:t>
      </w:r>
      <w:r>
        <w:rPr>
          <w:rStyle w:val="normalChar"/>
          <w:color w:val="000000"/>
        </w:rPr>
        <w:t xml:space="preserve"> cm </w:t>
      </w:r>
      <w:r>
        <w:rPr>
          <w:rStyle w:val="optioncarChar"/>
          <w:color w:val="000000"/>
        </w:rPr>
        <w:t xml:space="preserve">/ selon les indications sur les plans </w:t>
      </w:r>
      <w:r>
        <w:t>(par défaut)</w:t>
      </w:r>
      <w:r>
        <w:rPr>
          <w:rStyle w:val="optioncarChar"/>
          <w:color w:val="000000"/>
        </w:rPr>
        <w:t>.</w:t>
      </w:r>
    </w:p>
    <w:p w14:paraId="0614177F" w14:textId="77777777" w:rsidR="00DB2B68" w:rsidRDefault="00000000">
      <w:r>
        <w:br/>
        <w:t xml:space="preserve">Format : (L x l x h) </w:t>
      </w:r>
      <w:r>
        <w:rPr>
          <w:rStyle w:val="optioncarChar"/>
        </w:rPr>
        <w:t>*** x *** x *** mm / format modulaire proposé par l'entrepreneur </w:t>
      </w:r>
      <w:r>
        <w:t>(par défaut)</w:t>
      </w:r>
    </w:p>
    <w:p w14:paraId="4BD6144A" w14:textId="77777777" w:rsidR="00DB2B68" w:rsidRDefault="00000000">
      <w:r>
        <w:t>Tolérances dimensionnelles :</w:t>
      </w:r>
    </w:p>
    <w:p w14:paraId="6ED53AB7" w14:textId="77777777" w:rsidR="00DB2B68" w:rsidRDefault="00000000">
      <w:r>
        <w:t xml:space="preserve">Tolérances de la valeur moyenne : </w:t>
      </w:r>
      <w:r>
        <w:rPr>
          <w:rStyle w:val="optioncarChar"/>
        </w:rPr>
        <w:t>T1 / T2 / Tm / ***</w:t>
      </w:r>
      <w:r>
        <w:br/>
        <w:t xml:space="preserve">Plage : </w:t>
      </w:r>
      <w:r>
        <w:rPr>
          <w:rStyle w:val="optioncarChar"/>
        </w:rPr>
        <w:t>R1 / R2 / Rm / ***</w:t>
      </w:r>
    </w:p>
    <w:p w14:paraId="053A6489" w14:textId="77777777" w:rsidR="00DB2B68" w:rsidRDefault="00000000">
      <w:r>
        <w:t xml:space="preserve">La catégorie de la résistance au gel est adaptée à la classe d'exposition de la maçonnerie : </w:t>
      </w:r>
      <w:r>
        <w:rPr>
          <w:color w:val="FF0000"/>
        </w:rPr>
        <w:t>MX1/MX2/MX3.1/MX3.2 [NBN EN 771-1+A1]</w:t>
      </w:r>
      <w:r>
        <w:t xml:space="preserve"> , [PTV 23-002].</w:t>
      </w:r>
    </w:p>
    <w:p w14:paraId="2C2F9E88" w14:textId="77777777" w:rsidR="00DB2B68" w:rsidRDefault="00000000">
      <w:r>
        <w:t xml:space="preserve">Taux initial d’absorption d’eau : classe </w:t>
      </w:r>
      <w:r>
        <w:rPr>
          <w:rStyle w:val="optioncarChar"/>
        </w:rPr>
        <w:t>IW1 / IW2 / IW3 / IW4</w:t>
      </w:r>
      <w:r>
        <w:br/>
      </w:r>
      <w:r>
        <w:br/>
        <w:t xml:space="preserve">Réaction au feu : </w:t>
      </w:r>
      <w:r>
        <w:rPr>
          <w:rStyle w:val="optioncarChar"/>
        </w:rPr>
        <w:t>A1</w:t>
      </w:r>
      <w:r>
        <w:t> (par défaut)</w:t>
      </w:r>
      <w:r>
        <w:rPr>
          <w:rStyle w:val="optioncarChar"/>
        </w:rPr>
        <w:t xml:space="preserve"> / ***</w:t>
      </w:r>
      <w:r>
        <w:br/>
      </w:r>
      <w:r>
        <w:br/>
      </w:r>
      <w:r>
        <w:rPr>
          <w:b/>
        </w:rPr>
        <w:t>Mortier</w:t>
      </w:r>
    </w:p>
    <w:p w14:paraId="39E19B2D" w14:textId="77777777" w:rsidR="00DB2B68" w:rsidRDefault="00000000">
      <w:r>
        <w:rPr>
          <w:rStyle w:val="normalChar"/>
          <w:color w:val="000000"/>
        </w:rPr>
        <w:t xml:space="preserve">Le mortier est du type G ou dosé in situ adapté à des joints d’épaisseur nominale de </w:t>
      </w:r>
      <w:r>
        <w:rPr>
          <w:rStyle w:val="optioncarChar"/>
        </w:rPr>
        <w:t>8 </w:t>
      </w:r>
      <w:r>
        <w:t xml:space="preserve">(par défaut) </w:t>
      </w:r>
      <w:r>
        <w:rPr>
          <w:rStyle w:val="optioncarChar"/>
        </w:rPr>
        <w:t>/ 12 / ***</w:t>
      </w:r>
      <w:r>
        <w:t xml:space="preserve"> mm.</w:t>
      </w:r>
      <w:r>
        <w:br/>
      </w:r>
      <w:r>
        <w:br/>
      </w:r>
      <w:r>
        <w:br/>
      </w:r>
      <w:r>
        <w:rPr>
          <w:b/>
        </w:rPr>
        <w:t>Critères de performances du parement</w:t>
      </w:r>
    </w:p>
    <w:p w14:paraId="1F0AEA09" w14:textId="77777777" w:rsidR="00DB2B68" w:rsidRDefault="00000000">
      <w:r>
        <w:br/>
        <w:t xml:space="preserve">• valeur λUi ou λUe maximum </w:t>
      </w:r>
      <w:r>
        <w:rPr>
          <w:rStyle w:val="optioncarChar"/>
        </w:rPr>
        <w:t>***</w:t>
      </w:r>
      <w:r>
        <w:t xml:space="preserve"> W/mK (suivant l’application).</w:t>
      </w:r>
    </w:p>
    <w:p w14:paraId="00C12933" w14:textId="77777777" w:rsidR="00DB2B68" w:rsidRDefault="00000000">
      <w:pPr>
        <w:pStyle w:val="pheading"/>
      </w:pPr>
      <w:r>
        <w:t>- Finitions</w:t>
      </w:r>
    </w:p>
    <w:p w14:paraId="0D563969"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3FE5273F"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51F6068"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2FC26713"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FF90FF4"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20E5EB7E" w14:textId="77777777" w:rsidR="00DB2B68" w:rsidRDefault="00DB2B68"/>
    <w:p w14:paraId="2F88112C" w14:textId="77777777" w:rsidR="00DB2B68" w:rsidRDefault="00000000">
      <w:pPr>
        <w:pStyle w:val="pheading"/>
      </w:pPr>
      <w:r>
        <w:t>EXÉCUTION / MISE EN ŒUVRE</w:t>
      </w:r>
    </w:p>
    <w:p w14:paraId="12079B01" w14:textId="77777777" w:rsidR="00DB2B68" w:rsidRDefault="00000000">
      <w:pPr>
        <w:pStyle w:val="pheading"/>
      </w:pPr>
      <w:r>
        <w:t>- Prescriptions générales</w:t>
      </w:r>
    </w:p>
    <w:p w14:paraId="48D23CEB" w14:textId="77777777" w:rsidR="00DB2B68"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4477EF1E" w14:textId="77777777" w:rsidR="00DB2B68" w:rsidRDefault="00DB2B68"/>
    <w:p w14:paraId="481D3361" w14:textId="77777777" w:rsidR="00DB2B68" w:rsidRDefault="00000000">
      <w:pPr>
        <w:spacing w:line="259" w:lineRule="auto"/>
      </w:pPr>
      <w:r>
        <w:rPr>
          <w:rStyle w:val="normalChar"/>
          <w:color w:val="000000"/>
        </w:rPr>
        <w:lastRenderedPageBreak/>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2348F625" w14:textId="77777777" w:rsidR="00DB2B68" w:rsidRDefault="00DB2B68"/>
    <w:p w14:paraId="41179E1E" w14:textId="77777777" w:rsidR="00DB2B68" w:rsidRDefault="00000000">
      <w:pPr>
        <w:spacing w:line="259" w:lineRule="auto"/>
      </w:pPr>
      <w:r>
        <w:rPr>
          <w:rStyle w:val="normalChar"/>
          <w:b/>
          <w:color w:val="000000"/>
        </w:rPr>
        <w:t>LINTEAUX</w:t>
      </w:r>
    </w:p>
    <w:p w14:paraId="4219B2F9"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6EF3DEA2" w14:textId="77777777" w:rsidR="00DB2B68" w:rsidRDefault="00000000">
      <w:r>
        <w:rPr>
          <w:b/>
        </w:rPr>
        <w:t>(soit par défaut)</w:t>
      </w:r>
    </w:p>
    <w:p w14:paraId="1CB0E770" w14:textId="77777777" w:rsidR="00DB2B68" w:rsidRDefault="00000000">
      <w:r>
        <w:rPr>
          <w:rStyle w:val="soitChar"/>
          <w:u w:val="single"/>
        </w:rPr>
        <w:t>D'une armature et de crochets de mur</w:t>
      </w:r>
      <w:r>
        <w:rPr>
          <w:rStyle w:val="soitChar"/>
        </w:rPr>
        <w:t>  :</w:t>
      </w:r>
    </w:p>
    <w:p w14:paraId="49AB6D75"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5092FD11" w14:textId="77777777" w:rsidR="00DB2B68" w:rsidRDefault="00000000">
      <w:r>
        <w:rPr>
          <w:b/>
        </w:rPr>
        <w:t>(soit)</w:t>
      </w:r>
    </w:p>
    <w:p w14:paraId="32034DAB"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43C76074" w14:textId="77777777" w:rsidR="00DB2B68" w:rsidRDefault="00000000">
      <w:r>
        <w:rPr>
          <w:b/>
        </w:rPr>
        <w:t>(soit)</w:t>
      </w:r>
    </w:p>
    <w:p w14:paraId="52CC18FB"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7AE74306" w14:textId="77777777" w:rsidR="00DB2B68" w:rsidRDefault="00000000">
      <w:r>
        <w:rPr>
          <w:b/>
        </w:rPr>
        <w:t>(soit)</w:t>
      </w:r>
    </w:p>
    <w:p w14:paraId="15034853"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9FA5778" w14:textId="77777777" w:rsidR="00DB2B68" w:rsidRDefault="00000000">
      <w:r>
        <w:rPr>
          <w:b/>
        </w:rPr>
        <w:t>(soit)</w:t>
      </w:r>
    </w:p>
    <w:p w14:paraId="53FA5CBA" w14:textId="77777777" w:rsidR="00DB2B68" w:rsidRDefault="00000000">
      <w:r>
        <w:rPr>
          <w:rStyle w:val="optioncarChar"/>
        </w:rPr>
        <w:t> ***</w:t>
      </w:r>
    </w:p>
    <w:p w14:paraId="46C42602" w14:textId="77777777" w:rsidR="00DB2B68" w:rsidRDefault="00DB2B68"/>
    <w:p w14:paraId="6DF2FDC7" w14:textId="77777777" w:rsidR="00DB2B68" w:rsidRDefault="00000000">
      <w:pPr>
        <w:pStyle w:val="pheading"/>
      </w:pPr>
      <w:r>
        <w:t>MESURAGE</w:t>
      </w:r>
    </w:p>
    <w:p w14:paraId="1DFEC071" w14:textId="77777777" w:rsidR="00DB2B68" w:rsidRDefault="00000000">
      <w:pPr>
        <w:pStyle w:val="pheading"/>
      </w:pPr>
      <w:r>
        <w:t>- unité de mesure:</w:t>
      </w:r>
    </w:p>
    <w:p w14:paraId="51298059" w14:textId="77777777" w:rsidR="00DB2B68" w:rsidRDefault="00000000">
      <w:r>
        <w:rPr>
          <w:rStyle w:val="optioncarChar"/>
        </w:rPr>
        <w:t>m² </w:t>
      </w:r>
      <w:r>
        <w:rPr>
          <w:rStyle w:val="optioncarChar"/>
          <w:color w:val="000000"/>
        </w:rPr>
        <w:t>(par défaut)</w:t>
      </w:r>
      <w:r>
        <w:rPr>
          <w:rStyle w:val="optioncarChar"/>
        </w:rPr>
        <w:t> / m³</w:t>
      </w:r>
    </w:p>
    <w:p w14:paraId="402DB33E" w14:textId="77777777" w:rsidR="00DB2B68" w:rsidRDefault="00000000">
      <w:pPr>
        <w:spacing w:after="0" w:line="0" w:lineRule="atLeast"/>
      </w:pPr>
      <w:r>
        <w:rPr>
          <w:b/>
          <w:color w:val="000000"/>
        </w:rPr>
        <w:t>(soit par défaut)</w:t>
      </w:r>
    </w:p>
    <w:p w14:paraId="3442345B" w14:textId="77777777" w:rsidR="00DB2B68" w:rsidRDefault="00000000">
      <w:pPr>
        <w:spacing w:after="0" w:line="0" w:lineRule="atLeast"/>
      </w:pPr>
      <w:r>
        <w:rPr>
          <w:rStyle w:val="soitChar"/>
        </w:rPr>
        <w:t>1. m²</w:t>
      </w:r>
    </w:p>
    <w:p w14:paraId="6ADF50F0" w14:textId="77777777" w:rsidR="00DB2B68" w:rsidRDefault="00000000">
      <w:pPr>
        <w:spacing w:after="0" w:line="0" w:lineRule="atLeast"/>
      </w:pPr>
      <w:r>
        <w:rPr>
          <w:b/>
          <w:color w:val="000000"/>
        </w:rPr>
        <w:t>(soit)</w:t>
      </w:r>
    </w:p>
    <w:p w14:paraId="1430E4C7" w14:textId="77777777" w:rsidR="00DB2B68" w:rsidRDefault="00000000">
      <w:pPr>
        <w:spacing w:after="0" w:line="0" w:lineRule="atLeast"/>
      </w:pPr>
      <w:r>
        <w:rPr>
          <w:rStyle w:val="soitChar"/>
        </w:rPr>
        <w:t>2. m³</w:t>
      </w:r>
    </w:p>
    <w:p w14:paraId="32C554D3" w14:textId="77777777" w:rsidR="00DB2B68" w:rsidRDefault="00000000">
      <w:pPr>
        <w:pStyle w:val="pheading"/>
      </w:pPr>
      <w:r>
        <w:t>- code de mesurage:</w:t>
      </w:r>
    </w:p>
    <w:p w14:paraId="5753F4C6" w14:textId="77777777" w:rsidR="00DB2B68" w:rsidRDefault="00000000">
      <w:pPr>
        <w:spacing w:before="0" w:after="0"/>
      </w:pPr>
      <w:r>
        <w:t>Les maçonneries sont mesurées en fonction de leur forme géométrique.</w:t>
      </w:r>
    </w:p>
    <w:p w14:paraId="4AE22CC4"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61DC3710" w14:textId="77777777" w:rsidR="00DB2B68" w:rsidRDefault="00000000">
      <w:pPr>
        <w:spacing w:before="0" w:after="0"/>
      </w:pPr>
      <w:r>
        <w:t>La coulisse n'est jamais prise en compte.</w:t>
      </w:r>
    </w:p>
    <w:p w14:paraId="5839552D" w14:textId="77777777" w:rsidR="00DB2B68" w:rsidRDefault="00000000">
      <w:pPr>
        <w:spacing w:after="0" w:line="259" w:lineRule="auto"/>
      </w:pPr>
      <w:r>
        <w:rPr>
          <w:rStyle w:val="normalChar"/>
        </w:rPr>
        <w:t>Les accessoires (linteaux non décrits et non comptés dans un autre poste, attaches,…) sont compris dans le prix.</w:t>
      </w:r>
    </w:p>
    <w:p w14:paraId="2A857C8F" w14:textId="77777777" w:rsidR="00DB2B68" w:rsidRDefault="00000000">
      <w:pPr>
        <w:spacing w:after="0" w:line="259" w:lineRule="auto"/>
      </w:pPr>
      <w:r>
        <w:rPr>
          <w:rStyle w:val="normalChar"/>
        </w:rPr>
        <w:t>Sont entre-autres décrits et comptés dans un autre poste :</w:t>
      </w:r>
    </w:p>
    <w:p w14:paraId="5E08524A" w14:textId="77777777" w:rsidR="00DB2B68" w:rsidRDefault="00000000">
      <w:pPr>
        <w:pStyle w:val="Author-eListParagraph"/>
        <w:numPr>
          <w:ilvl w:val="0"/>
          <w:numId w:val="249"/>
        </w:numPr>
      </w:pPr>
      <w:r>
        <w:rPr>
          <w:rStyle w:val="normalChar"/>
        </w:rPr>
        <w:lastRenderedPageBreak/>
        <w:t xml:space="preserve">Les linteaux apparents en béton, pierre reconstituée et en pierre sont décrits et comptés en </w:t>
      </w:r>
      <w:hyperlink w:anchor="402" w:history="1">
        <w:r>
          <w:rPr>
            <w:rStyle w:val="normalChar"/>
            <w:color w:val="0000EE"/>
          </w:rPr>
          <w:t>21.36.3 Linteaux</w:t>
        </w:r>
      </w:hyperlink>
    </w:p>
    <w:p w14:paraId="0049C0A5" w14:textId="77777777" w:rsidR="00DB2B68" w:rsidRDefault="00000000">
      <w:pPr>
        <w:pStyle w:val="Author-eListParagraph"/>
        <w:numPr>
          <w:ilvl w:val="0"/>
          <w:numId w:val="249"/>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287032AA" w14:textId="77777777" w:rsidR="00DB2B68" w:rsidRDefault="00000000">
      <w:pPr>
        <w:pStyle w:val="Author-eListParagraph"/>
        <w:numPr>
          <w:ilvl w:val="0"/>
          <w:numId w:val="249"/>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73546A7D" w14:textId="77777777" w:rsidR="00DB2B68" w:rsidRDefault="00DB2B68"/>
    <w:p w14:paraId="0886379F"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20108C21" w14:textId="77777777" w:rsidR="00DB2B68" w:rsidRDefault="00000000">
      <w:pPr>
        <w:spacing w:after="0" w:line="252" w:lineRule="auto"/>
      </w:pPr>
      <w:r>
        <w:rPr>
          <w:b/>
          <w:color w:val="000000"/>
        </w:rPr>
        <w:t>(soit par défaut)</w:t>
      </w:r>
    </w:p>
    <w:p w14:paraId="35DC9EC3" w14:textId="77777777" w:rsidR="00DB2B68" w:rsidRDefault="00000000">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BC37155" w14:textId="77777777" w:rsidR="00DB2B68" w:rsidRDefault="00000000">
      <w:pPr>
        <w:spacing w:after="0" w:line="252" w:lineRule="auto"/>
      </w:pPr>
      <w:r>
        <w:rPr>
          <w:rStyle w:val="soitChar"/>
        </w:rPr>
        <w:t>Distinction faite suivant l'épaisseur.</w:t>
      </w:r>
    </w:p>
    <w:p w14:paraId="43DFC98F" w14:textId="77777777" w:rsidR="00DB2B68" w:rsidRDefault="00000000">
      <w:pPr>
        <w:spacing w:line="252" w:lineRule="auto"/>
      </w:pPr>
      <w:r>
        <w:rPr>
          <w:b/>
          <w:color w:val="000000"/>
        </w:rPr>
        <w:t>(soit)</w:t>
      </w:r>
    </w:p>
    <w:p w14:paraId="7B443A34"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379D322"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73A564BD" w14:textId="77777777" w:rsidR="00DB2B68" w:rsidRDefault="00000000">
      <w:pPr>
        <w:pStyle w:val="pheading"/>
      </w:pPr>
      <w:r>
        <w:t>- nature du marché:</w:t>
      </w:r>
    </w:p>
    <w:p w14:paraId="2B169901" w14:textId="77777777" w:rsidR="00DB2B68" w:rsidRDefault="00000000">
      <w:r>
        <w:t>QF</w:t>
      </w:r>
    </w:p>
    <w:p w14:paraId="1CF87609" w14:textId="77777777" w:rsidR="00DB2B68" w:rsidRDefault="00000000">
      <w:pPr>
        <w:pStyle w:val="Author-eSectionHeading6Numberless"/>
      </w:pPr>
      <w:bookmarkStart w:id="256" w:name="_Toc220495382"/>
      <w:r>
        <w:t>21.32.1b Maçonneries de parement en blocs treillis de terre cuite à coller CCTB 01.13</w:t>
      </w:r>
      <w:bookmarkEnd w:id="256"/>
    </w:p>
    <w:p w14:paraId="02D4F35E" w14:textId="77777777" w:rsidR="00DB2B68" w:rsidRDefault="00000000">
      <w:pPr>
        <w:pStyle w:val="pheading"/>
      </w:pPr>
      <w:r>
        <w:t>DESCRIPTION</w:t>
      </w:r>
    </w:p>
    <w:p w14:paraId="3E890430" w14:textId="77777777" w:rsidR="00DB2B68" w:rsidRDefault="00000000">
      <w:pPr>
        <w:pStyle w:val="pheading"/>
      </w:pPr>
      <w:r>
        <w:t>- Définition / Comprend</w:t>
      </w:r>
    </w:p>
    <w:p w14:paraId="29727145" w14:textId="77777777" w:rsidR="00DB2B68" w:rsidRDefault="00000000">
      <w:r>
        <w:t xml:space="preserve">Il s’agit de la fourniture et la pose de maçonneries de parement en blocs treillis de terre cuite à coller. </w:t>
      </w:r>
      <w:r>
        <w:br/>
        <w:t>La portée des travaux est décrite dans l’article </w:t>
      </w:r>
      <w:hyperlink w:anchor="381" w:history="1">
        <w:r>
          <w:rPr>
            <w:color w:val="0000EE"/>
          </w:rPr>
          <w:t>21.3 Maçonneries de parement</w:t>
        </w:r>
      </w:hyperlink>
      <w:r>
        <w:t>.</w:t>
      </w:r>
    </w:p>
    <w:p w14:paraId="267027A7" w14:textId="77777777" w:rsidR="00DB2B68" w:rsidRDefault="00000000">
      <w:r>
        <w:t>Les travaux comprennent également la fourniture et la pose des pièces d’angle, de terminaison et de rencontre.</w:t>
      </w:r>
    </w:p>
    <w:p w14:paraId="37AE055D" w14:textId="77777777" w:rsidR="00DB2B68" w:rsidRDefault="00000000">
      <w:pPr>
        <w:pStyle w:val="pheading"/>
      </w:pPr>
      <w:r>
        <w:t>- Localisation</w:t>
      </w:r>
    </w:p>
    <w:p w14:paraId="2A109681" w14:textId="77777777" w:rsidR="00DB2B68" w:rsidRDefault="00000000">
      <w:r>
        <w:t xml:space="preserve">La pose est réalisée aux endroits suivants : </w:t>
      </w:r>
      <w:r>
        <w:rPr>
          <w:rStyle w:val="optioncarChar"/>
        </w:rPr>
        <w:t>***</w:t>
      </w:r>
      <w:r>
        <w:t>.</w:t>
      </w:r>
    </w:p>
    <w:p w14:paraId="596AA4E9" w14:textId="77777777" w:rsidR="00DB2B68" w:rsidRDefault="00000000">
      <w:r>
        <w:t>Voir plans et métrés détaillés.</w:t>
      </w:r>
    </w:p>
    <w:p w14:paraId="6B455483" w14:textId="77777777" w:rsidR="00DB2B68" w:rsidRDefault="00000000">
      <w:pPr>
        <w:pStyle w:val="pheading"/>
      </w:pPr>
      <w:r>
        <w:t>MATÉRIAUX</w:t>
      </w:r>
    </w:p>
    <w:p w14:paraId="5DC80592" w14:textId="77777777" w:rsidR="00DB2B68" w:rsidRDefault="00000000">
      <w:pPr>
        <w:pStyle w:val="pheading"/>
      </w:pPr>
      <w:r>
        <w:t>- Caractéristiques générales</w:t>
      </w:r>
    </w:p>
    <w:p w14:paraId="5D8AA61A" w14:textId="77777777" w:rsidR="00DB2B68" w:rsidRDefault="00000000">
      <w:r>
        <w:rPr>
          <w:b/>
        </w:rPr>
        <w:t>Bloc</w:t>
      </w:r>
    </w:p>
    <w:p w14:paraId="2B131B26" w14:textId="77777777" w:rsidR="00DB2B68" w:rsidRDefault="0000000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(par défaut) / normalisée (fb)</w:t>
      </w:r>
      <w:r>
        <w:rPr>
          <w:rStyle w:val="normalChar"/>
          <w:color w:val="000000"/>
        </w:rPr>
        <w:t xml:space="preserve"> selon la </w:t>
      </w:r>
      <w:r>
        <w:rPr>
          <w:rStyle w:val="normalChar"/>
          <w:color w:val="0000FF"/>
        </w:rPr>
        <w:t>[NBN EN 771-1+A1]</w:t>
      </w:r>
      <w:r>
        <w:rPr>
          <w:rStyle w:val="normalChar"/>
          <w:color w:val="000000"/>
        </w:rPr>
        <w:t xml:space="preserve">, la </w:t>
      </w:r>
      <w:r>
        <w:rPr>
          <w:rStyle w:val="normalChar"/>
          <w:color w:val="0000FF"/>
        </w:rPr>
        <w:t>[NBN EN 772-1+A1]</w:t>
      </w:r>
      <w:r>
        <w:rPr>
          <w:rStyle w:val="normalChar"/>
          <w:color w:val="000000"/>
        </w:rPr>
        <w:t xml:space="preserve"> et la </w:t>
      </w:r>
      <w:r>
        <w:rPr>
          <w:rStyle w:val="normalChar"/>
          <w:color w:val="0000FF"/>
        </w:rPr>
        <w:t>[NBN EN 1996 série]</w:t>
      </w:r>
      <w:r>
        <w:rPr>
          <w:rStyle w:val="normalChar"/>
          <w:color w:val="000000"/>
        </w:rPr>
        <w:t xml:space="preserve"> est au minimum: </w:t>
      </w:r>
      <w:r>
        <w:rPr>
          <w:rStyle w:val="optioncarChar"/>
        </w:rPr>
        <w:t>***</w:t>
      </w:r>
      <w:r>
        <w:rPr>
          <w:rStyle w:val="normalChar"/>
          <w:color w:val="000000"/>
        </w:rPr>
        <w:t xml:space="preserve"> N/mm² (MPa).</w:t>
      </w:r>
      <w:r>
        <w:br/>
      </w:r>
      <w:r>
        <w:br/>
        <w:t xml:space="preserve">Le groupe de configuration suivant </w:t>
      </w:r>
      <w:r>
        <w:rPr>
          <w:color w:val="0000FF"/>
        </w:rPr>
        <w:t>[NBN EN 1996-1-1+A1 ANB]</w:t>
      </w:r>
      <w:r>
        <w:t xml:space="preserve">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w:t>
      </w:r>
      <w:r>
        <w:rPr>
          <w:color w:val="0000FF"/>
        </w:rPr>
        <w:t>[NBN EN 771-1+A1]</w:t>
      </w:r>
      <w:r>
        <w:t xml:space="preserve">. </w:t>
      </w:r>
      <w:r>
        <w:br/>
      </w:r>
      <w:r>
        <w:br/>
        <w:t xml:space="preserve">La conductibilité thermique λD est compatible avec la valeur U prescrite pour la paroi. </w:t>
      </w:r>
      <w:r>
        <w:br/>
      </w:r>
      <w:r>
        <w:lastRenderedPageBreak/>
        <w:br/>
        <w:t xml:space="preserve">Face qui reste visible : </w:t>
      </w:r>
      <w:r>
        <w:rPr>
          <w:rStyle w:val="optioncarChar"/>
        </w:rPr>
        <w:t>lisse </w:t>
      </w:r>
      <w:r>
        <w:t>(par défaut)</w:t>
      </w:r>
      <w:r>
        <w:rPr>
          <w:rStyle w:val="optioncarChar"/>
        </w:rPr>
        <w:t xml:space="preserve"> / striée / ***</w:t>
      </w:r>
      <w:r>
        <w:br/>
      </w:r>
      <w:r>
        <w:br/>
        <w:t xml:space="preserve">Teinte : </w:t>
      </w:r>
      <w:r>
        <w:rPr>
          <w:rStyle w:val="optioncarChar"/>
        </w:rPr>
        <w:t>blanc / rouge </w:t>
      </w:r>
      <w:r>
        <w:t>(par défaut)</w:t>
      </w:r>
      <w:r>
        <w:rPr>
          <w:rStyle w:val="optioncarChar"/>
        </w:rPr>
        <w:t xml:space="preserve"> / gris / ***</w:t>
      </w:r>
    </w:p>
    <w:p w14:paraId="17054345" w14:textId="77777777" w:rsidR="00DB2B68" w:rsidRDefault="00000000">
      <w:r>
        <w:rPr>
          <w:rStyle w:val="normalChar"/>
          <w:color w:val="000000"/>
        </w:rPr>
        <w:t>Épaisseur nominale du mur :</w:t>
      </w:r>
      <w:r>
        <w:rPr>
          <w:rStyle w:val="optioncarChar"/>
        </w:rPr>
        <w:t xml:space="preserve">  9 / 14 / 19 *** cm / selon les indications sur les plans </w:t>
      </w:r>
      <w:r>
        <w:t>(par défaut)</w:t>
      </w:r>
      <w:r>
        <w:rPr>
          <w:rStyle w:val="optioncarChar"/>
        </w:rPr>
        <w:t xml:space="preserve">. </w:t>
      </w:r>
    </w:p>
    <w:p w14:paraId="3FF265F7" w14:textId="77777777" w:rsidR="00DB2B68" w:rsidRDefault="00000000">
      <w:r>
        <w:t xml:space="preserve">Format : (L x l x h) </w:t>
      </w:r>
      <w:r>
        <w:rPr>
          <w:rStyle w:val="optioncarChar"/>
        </w:rPr>
        <w:t>*** x *** x *** mm / format modulaire proposé par l'entrepreneur</w:t>
      </w:r>
      <w:r>
        <w:t> (par défaut)</w:t>
      </w:r>
    </w:p>
    <w:p w14:paraId="513E7B89" w14:textId="77777777" w:rsidR="00DB2B68" w:rsidRDefault="00000000">
      <w:pPr>
        <w:spacing w:line="259" w:lineRule="auto"/>
      </w:pPr>
      <w:r>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r>
    </w:p>
    <w:p w14:paraId="6516298F" w14:textId="77777777" w:rsidR="00DB2B68" w:rsidRDefault="00000000">
      <w:r>
        <w:t xml:space="preserve">La catégorie de la résistance au gel est adaptée à la classe d'exposition de la maçonnerie : </w:t>
      </w:r>
      <w:r>
        <w:rPr>
          <w:color w:val="FF0000"/>
        </w:rPr>
        <w:t>MX1/MX2/MX3.1/MX3.2 [NBN EN 771-1+A1]</w:t>
      </w:r>
      <w:r>
        <w:t xml:space="preserve"> , [PTV 23-002].</w:t>
      </w:r>
    </w:p>
    <w:p w14:paraId="1E453748" w14:textId="77777777" w:rsidR="00DB2B68" w:rsidRDefault="00000000">
      <w:r>
        <w:t xml:space="preserve">Taux initial d’absorption d’eau : classe </w:t>
      </w:r>
      <w:r>
        <w:rPr>
          <w:rStyle w:val="optioncarChar"/>
        </w:rPr>
        <w:t>IW1 / IW2 / IW3 / IW4</w:t>
      </w:r>
      <w:r>
        <w:br/>
      </w:r>
      <w:r>
        <w:br/>
        <w:t xml:space="preserve">Réaction au feu : </w:t>
      </w:r>
      <w:r>
        <w:rPr>
          <w:rStyle w:val="optioncarChar"/>
        </w:rPr>
        <w:t>A1 </w:t>
      </w:r>
      <w:r>
        <w:t>(par défaut) </w:t>
      </w:r>
      <w:r>
        <w:rPr>
          <w:rStyle w:val="optioncarChar"/>
        </w:rPr>
        <w:t>/ ***</w:t>
      </w:r>
      <w:r>
        <w:br/>
      </w:r>
      <w:r>
        <w:br/>
      </w:r>
      <w:r>
        <w:rPr>
          <w:b/>
        </w:rPr>
        <w:t>Mortier</w:t>
      </w:r>
    </w:p>
    <w:p w14:paraId="606680F3" w14:textId="77777777" w:rsidR="00DB2B68" w:rsidRDefault="00000000">
      <w:pPr>
        <w:spacing w:line="259" w:lineRule="auto"/>
      </w:pPr>
      <w:r>
        <w:t>Le mortier-colle est du type T adapté à des joints d’épaisseur nominale comprise entre 3 et 6 mm.</w:t>
      </w:r>
      <w:r>
        <w:br/>
      </w:r>
      <w:r>
        <w:br/>
      </w:r>
      <w:r>
        <w:br/>
      </w:r>
      <w:r>
        <w:rPr>
          <w:b/>
        </w:rPr>
        <w:t>Critères de performances du parement</w:t>
      </w:r>
    </w:p>
    <w:p w14:paraId="576DC22B" w14:textId="77777777" w:rsidR="00DB2B68" w:rsidRDefault="00000000">
      <w:pPr>
        <w:spacing w:line="259" w:lineRule="auto"/>
      </w:pPr>
      <w:r>
        <w:br/>
        <w:t xml:space="preserve">• valeur λUi ou λUe maximum </w:t>
      </w:r>
      <w:r>
        <w:rPr>
          <w:rStyle w:val="optioncarChar"/>
        </w:rPr>
        <w:t>***</w:t>
      </w:r>
      <w:r>
        <w:t xml:space="preserve"> W/mK (suivant l’application).</w:t>
      </w:r>
    </w:p>
    <w:p w14:paraId="28BEC7EF" w14:textId="77777777" w:rsidR="00DB2B68" w:rsidRDefault="00000000">
      <w:pPr>
        <w:ind w:left="750"/>
      </w:pPr>
      <w:r>
        <w:t> </w:t>
      </w:r>
    </w:p>
    <w:p w14:paraId="3A08ED46" w14:textId="77777777" w:rsidR="00DB2B68" w:rsidRDefault="00000000">
      <w:pPr>
        <w:pStyle w:val="pheading"/>
      </w:pPr>
      <w:r>
        <w:t>- Finitions</w:t>
      </w:r>
    </w:p>
    <w:p w14:paraId="03835AEB" w14:textId="77777777" w:rsidR="00DB2B68" w:rsidRDefault="00000000">
      <w:r>
        <w:rPr>
          <w:rStyle w:val="normalChar"/>
        </w:rPr>
        <w:t>Les murs sont exécutés avec une face restant apparente, à l’exception des murs suivants qui sont exécutés avec deux faces restant apparentes :</w:t>
      </w:r>
      <w:r>
        <w:rPr>
          <w:rStyle w:val="optioncarChar"/>
        </w:rPr>
        <w:t xml:space="preserve"> ***</w:t>
      </w:r>
    </w:p>
    <w:p w14:paraId="61439D98" w14:textId="77777777" w:rsidR="00DB2B68" w:rsidRDefault="00000000">
      <w:pPr>
        <w:pStyle w:val="pheading"/>
      </w:pPr>
      <w:r>
        <w:t>EXÉCUTION / MISE EN ŒUVRE</w:t>
      </w:r>
    </w:p>
    <w:p w14:paraId="7A01C135" w14:textId="77777777" w:rsidR="00DB2B68" w:rsidRDefault="00000000">
      <w:pPr>
        <w:pStyle w:val="pheading"/>
      </w:pPr>
      <w:r>
        <w:t>- Prescriptions générales</w:t>
      </w:r>
    </w:p>
    <w:p w14:paraId="305E0B29" w14:textId="77777777" w:rsidR="00DB2B68" w:rsidRDefault="00000000">
      <w:pPr>
        <w:spacing w:line="259" w:lineRule="auto"/>
      </w:pPr>
      <w:r>
        <w:t xml:space="preserve">La maçonnerie est exécutée en appareil </w:t>
      </w:r>
      <w:r>
        <w:rPr>
          <w:rStyle w:val="optioncarChar"/>
        </w:rPr>
        <w:t xml:space="preserve">d'une demi-brique </w:t>
      </w:r>
      <w:r>
        <w:t>(par défaut) </w:t>
      </w:r>
      <w:r>
        <w:rPr>
          <w:rStyle w:val="optioncarChar"/>
        </w:rPr>
        <w:t>/ ***</w:t>
      </w:r>
    </w:p>
    <w:p w14:paraId="22DEF5F1" w14:textId="77777777" w:rsidR="00DB2B68" w:rsidRDefault="0000000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14:paraId="5E8DF46B" w14:textId="77777777" w:rsidR="00DB2B68" w:rsidRDefault="00DB2B68"/>
    <w:p w14:paraId="06E68CDC" w14:textId="77777777" w:rsidR="00DB2B68" w:rsidRDefault="00000000">
      <w:pPr>
        <w:spacing w:line="259" w:lineRule="auto"/>
      </w:pPr>
      <w:r>
        <w:rPr>
          <w:rStyle w:val="normalChar"/>
          <w:b/>
          <w:color w:val="000000"/>
        </w:rPr>
        <w:t>LINTEAUX</w:t>
      </w:r>
    </w:p>
    <w:p w14:paraId="55B67B2F"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54A09ACE" w14:textId="77777777" w:rsidR="00DB2B68" w:rsidRDefault="00000000">
      <w:r>
        <w:rPr>
          <w:b/>
        </w:rPr>
        <w:t>(soit par défaut)</w:t>
      </w:r>
    </w:p>
    <w:p w14:paraId="305FBDC8" w14:textId="77777777" w:rsidR="00DB2B68" w:rsidRDefault="00000000">
      <w:r>
        <w:rPr>
          <w:rStyle w:val="soitChar"/>
          <w:u w:val="single"/>
        </w:rPr>
        <w:t>D'une armature et de crochets de mur</w:t>
      </w:r>
      <w:r>
        <w:rPr>
          <w:rStyle w:val="soitChar"/>
        </w:rPr>
        <w:t>  :</w:t>
      </w:r>
    </w:p>
    <w:p w14:paraId="64007F8A" w14:textId="77777777" w:rsidR="00DB2B68" w:rsidRDefault="00000000">
      <w:r>
        <w:rPr>
          <w:rStyle w:val="soitChar"/>
        </w:rPr>
        <w:t>L’armature est conforme aux descriptions du 21.41.1</w:t>
      </w:r>
      <w:r>
        <w:br/>
      </w:r>
      <w:r>
        <w:rPr>
          <w:color w:val="33CCCC"/>
        </w:rPr>
        <w:t>Les crochets sont prévus tous les </w:t>
      </w:r>
      <w:r>
        <w:rPr>
          <w:rStyle w:val="optioncarChar"/>
        </w:rPr>
        <w:t>***</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0229C1D4" w14:textId="77777777" w:rsidR="00DB2B68" w:rsidRDefault="00000000">
      <w:r>
        <w:rPr>
          <w:b/>
        </w:rPr>
        <w:t>(soit)</w:t>
      </w:r>
    </w:p>
    <w:p w14:paraId="16FD9CB0" w14:textId="77777777" w:rsidR="00DB2B68" w:rsidRDefault="00000000">
      <w:r>
        <w:rPr>
          <w:rStyle w:val="soitChar"/>
          <w:u w:val="single"/>
        </w:rPr>
        <w:lastRenderedPageBreak/>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1A70C809" w14:textId="77777777" w:rsidR="00DB2B68" w:rsidRDefault="00000000">
      <w:r>
        <w:rPr>
          <w:b/>
        </w:rPr>
        <w:t>(soit)</w:t>
      </w:r>
    </w:p>
    <w:p w14:paraId="73B6BF4F"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44D622D3" w14:textId="77777777" w:rsidR="00DB2B68" w:rsidRDefault="00000000">
      <w:r>
        <w:rPr>
          <w:b/>
        </w:rPr>
        <w:t>(soit)</w:t>
      </w:r>
    </w:p>
    <w:p w14:paraId="6602CC7F" w14:textId="77777777" w:rsidR="00DB2B68"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146C07CB" w14:textId="77777777" w:rsidR="00DB2B68" w:rsidRDefault="00000000">
      <w:r>
        <w:rPr>
          <w:b/>
        </w:rPr>
        <w:t>(soit)</w:t>
      </w:r>
    </w:p>
    <w:p w14:paraId="0F73C08E" w14:textId="77777777" w:rsidR="00DB2B68" w:rsidRDefault="00000000">
      <w:r>
        <w:rPr>
          <w:rStyle w:val="optioncarChar"/>
        </w:rPr>
        <w:t> ***</w:t>
      </w:r>
    </w:p>
    <w:p w14:paraId="66AEB7D6" w14:textId="77777777" w:rsidR="00DB2B68" w:rsidRDefault="00000000">
      <w:pPr>
        <w:pStyle w:val="pheading"/>
      </w:pPr>
      <w:r>
        <w:t>- Notes d’exécution complémentaires</w:t>
      </w:r>
    </w:p>
    <w:p w14:paraId="57CF8C0B" w14:textId="77777777" w:rsidR="00DB2B68" w:rsidRDefault="00000000">
      <w:pPr>
        <w:jc w:val="both"/>
      </w:pPr>
      <w:r>
        <w:rPr>
          <w:rStyle w:val="facultChar"/>
          <w:color w:val="000000"/>
        </w:rPr>
        <w:t xml:space="preserve">Afin de déterminer le choix définitif des briques de parement, un ou plusieurs </w:t>
      </w:r>
      <w:r>
        <w:rPr>
          <w:rStyle w:val="facultChar"/>
          <w:color w:val="000000"/>
          <w:u w:val="single"/>
        </w:rPr>
        <w:t>échantillons d'environ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de ces murets sont une charge de l'entreprise.</w:t>
      </w:r>
    </w:p>
    <w:p w14:paraId="503C7323" w14:textId="77777777" w:rsidR="00DB2B68" w:rsidRDefault="00000000">
      <w:pPr>
        <w:pStyle w:val="pheading"/>
      </w:pPr>
      <w:r>
        <w:t>MESURAGE</w:t>
      </w:r>
    </w:p>
    <w:p w14:paraId="3A19EA32" w14:textId="77777777" w:rsidR="00DB2B68" w:rsidRDefault="00000000">
      <w:pPr>
        <w:pStyle w:val="pheading"/>
      </w:pPr>
      <w:r>
        <w:t>- unité de mesure:</w:t>
      </w:r>
    </w:p>
    <w:p w14:paraId="0F3A49E6" w14:textId="77777777" w:rsidR="00DB2B68" w:rsidRDefault="00000000">
      <w:r>
        <w:rPr>
          <w:rStyle w:val="optioncarChar"/>
        </w:rPr>
        <w:t>m² </w:t>
      </w:r>
      <w:r>
        <w:rPr>
          <w:rStyle w:val="optioncarChar"/>
          <w:color w:val="000000"/>
        </w:rPr>
        <w:t>(par défaut)</w:t>
      </w:r>
      <w:r>
        <w:rPr>
          <w:rStyle w:val="optioncarChar"/>
        </w:rPr>
        <w:t> / m³</w:t>
      </w:r>
    </w:p>
    <w:p w14:paraId="4A31A5D7" w14:textId="77777777" w:rsidR="00DB2B68" w:rsidRDefault="00000000">
      <w:pPr>
        <w:spacing w:after="0" w:line="0" w:lineRule="atLeast"/>
      </w:pPr>
      <w:r>
        <w:rPr>
          <w:b/>
          <w:color w:val="000000"/>
        </w:rPr>
        <w:t>(soit par défaut)</w:t>
      </w:r>
    </w:p>
    <w:p w14:paraId="6DB4062A" w14:textId="77777777" w:rsidR="00DB2B68" w:rsidRDefault="00000000">
      <w:pPr>
        <w:spacing w:after="0" w:line="0" w:lineRule="atLeast"/>
      </w:pPr>
      <w:r>
        <w:rPr>
          <w:rStyle w:val="soitChar"/>
        </w:rPr>
        <w:t>1. m²</w:t>
      </w:r>
    </w:p>
    <w:p w14:paraId="2E5D6A07" w14:textId="77777777" w:rsidR="00DB2B68" w:rsidRDefault="00000000">
      <w:pPr>
        <w:spacing w:after="0" w:line="0" w:lineRule="atLeast"/>
      </w:pPr>
      <w:r>
        <w:rPr>
          <w:b/>
          <w:color w:val="000000"/>
        </w:rPr>
        <w:t>(soit)</w:t>
      </w:r>
    </w:p>
    <w:p w14:paraId="50B95041" w14:textId="77777777" w:rsidR="00DB2B68" w:rsidRDefault="00000000">
      <w:pPr>
        <w:spacing w:after="0" w:line="0" w:lineRule="atLeast"/>
      </w:pPr>
      <w:r>
        <w:rPr>
          <w:rStyle w:val="soitChar"/>
        </w:rPr>
        <w:t>2. m³</w:t>
      </w:r>
    </w:p>
    <w:p w14:paraId="7048B2EA" w14:textId="77777777" w:rsidR="00DB2B68" w:rsidRDefault="00000000">
      <w:pPr>
        <w:pStyle w:val="pheading"/>
      </w:pPr>
      <w:r>
        <w:t>- code de mesurage:</w:t>
      </w:r>
    </w:p>
    <w:p w14:paraId="3004AB07" w14:textId="77777777" w:rsidR="00DB2B68" w:rsidRDefault="00000000">
      <w:pPr>
        <w:spacing w:before="0" w:after="0"/>
      </w:pPr>
      <w:r>
        <w:t>Les maçonneries sont mesurées en fonction de leur forme géométrique.</w:t>
      </w:r>
    </w:p>
    <w:p w14:paraId="3E21F44C"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37A5EFC3" w14:textId="77777777" w:rsidR="00DB2B68" w:rsidRDefault="00000000">
      <w:pPr>
        <w:spacing w:before="0" w:after="0"/>
      </w:pPr>
      <w:r>
        <w:t>La coulisse n'est jamais prise en compte.</w:t>
      </w:r>
    </w:p>
    <w:p w14:paraId="73EBD1BF" w14:textId="77777777" w:rsidR="00DB2B68" w:rsidRDefault="00000000">
      <w:pPr>
        <w:spacing w:after="0" w:line="259" w:lineRule="auto"/>
      </w:pPr>
      <w:r>
        <w:rPr>
          <w:rStyle w:val="normalChar"/>
        </w:rPr>
        <w:t>Sont entre-autres décrits et comptés dans un autre poste :</w:t>
      </w:r>
    </w:p>
    <w:p w14:paraId="38DA7849" w14:textId="77777777" w:rsidR="00DB2B68" w:rsidRDefault="00000000">
      <w:pPr>
        <w:pStyle w:val="Author-eListParagraph"/>
        <w:numPr>
          <w:ilvl w:val="0"/>
          <w:numId w:val="250"/>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30455193" w14:textId="77777777" w:rsidR="00DB2B68" w:rsidRDefault="00000000">
      <w:pPr>
        <w:pStyle w:val="Author-eListParagraph"/>
        <w:numPr>
          <w:ilvl w:val="0"/>
          <w:numId w:val="250"/>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6E57520F" w14:textId="77777777" w:rsidR="00DB2B68" w:rsidRDefault="00000000">
      <w:pPr>
        <w:pStyle w:val="Author-eListParagraph"/>
        <w:numPr>
          <w:ilvl w:val="0"/>
          <w:numId w:val="250"/>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26F40B9A" w14:textId="77777777" w:rsidR="00DB2B68" w:rsidRDefault="00DB2B68"/>
    <w:p w14:paraId="7B6DDA0D"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40530D06" w14:textId="77777777" w:rsidR="00DB2B68" w:rsidRDefault="00000000">
      <w:pPr>
        <w:spacing w:after="0" w:line="252" w:lineRule="auto"/>
      </w:pPr>
      <w:r>
        <w:rPr>
          <w:b/>
          <w:color w:val="000000"/>
        </w:rPr>
        <w:t>(soit par défaut)</w:t>
      </w:r>
    </w:p>
    <w:p w14:paraId="4D277306" w14:textId="77777777" w:rsidR="00DB2B68" w:rsidRDefault="00000000">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D7490D5" w14:textId="77777777" w:rsidR="00DB2B68" w:rsidRDefault="00000000">
      <w:pPr>
        <w:spacing w:after="0" w:line="252" w:lineRule="auto"/>
      </w:pPr>
      <w:r>
        <w:rPr>
          <w:rStyle w:val="soitChar"/>
        </w:rPr>
        <w:t>Distinction faite suivant l'épaisseur.</w:t>
      </w:r>
    </w:p>
    <w:p w14:paraId="7BE52B8B" w14:textId="77777777" w:rsidR="00DB2B68" w:rsidRDefault="00000000">
      <w:pPr>
        <w:spacing w:line="252" w:lineRule="auto"/>
      </w:pPr>
      <w:r>
        <w:rPr>
          <w:b/>
          <w:color w:val="000000"/>
        </w:rPr>
        <w:t>(soit)</w:t>
      </w:r>
    </w:p>
    <w:p w14:paraId="21C4708E"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81EB136" w14:textId="77777777" w:rsidR="00DB2B68" w:rsidRDefault="00000000">
      <w:pPr>
        <w:spacing w:line="252" w:lineRule="auto"/>
      </w:pPr>
      <w:r>
        <w:rPr>
          <w:rStyle w:val="soitChar"/>
        </w:rPr>
        <w:lastRenderedPageBreak/>
        <w:t>Les ouvertures ou les éléments de construction intégrés dont l'aire est supérieure à 0,5 m² multipliées par l’épaisseur à réaliser sont déduites.</w:t>
      </w:r>
    </w:p>
    <w:p w14:paraId="1C810BE2" w14:textId="77777777" w:rsidR="00DB2B68" w:rsidRDefault="00000000">
      <w:pPr>
        <w:pStyle w:val="pheading"/>
      </w:pPr>
      <w:r>
        <w:t>- nature du marché:</w:t>
      </w:r>
    </w:p>
    <w:p w14:paraId="1DB19779" w14:textId="77777777" w:rsidR="00DB2B68" w:rsidRDefault="00000000">
      <w:r>
        <w:t>QF</w:t>
      </w:r>
    </w:p>
    <w:p w14:paraId="410CC38A" w14:textId="77777777" w:rsidR="00DB2B68" w:rsidRDefault="00000000">
      <w:pPr>
        <w:pStyle w:val="Author-eSectionHeading5Numberless"/>
      </w:pPr>
      <w:bookmarkStart w:id="257" w:name="_Toc220495383"/>
      <w:r>
        <w:t>21.32.2 Maçonneries de parement en blocs de béton CCTB 01.02</w:t>
      </w:r>
      <w:bookmarkEnd w:id="257"/>
    </w:p>
    <w:p w14:paraId="21B66305" w14:textId="77777777" w:rsidR="00DB2B68" w:rsidRDefault="00000000">
      <w:pPr>
        <w:pStyle w:val="Author-eSectionHeading6Numberless"/>
      </w:pPr>
      <w:bookmarkStart w:id="258" w:name="_Toc220495384"/>
      <w:r>
        <w:t>21.32.2a Maçonneries de parement en blocs de béton pleins à maçonner CCTB 01.11</w:t>
      </w:r>
      <w:bookmarkEnd w:id="258"/>
    </w:p>
    <w:p w14:paraId="6D018125" w14:textId="77777777" w:rsidR="00DB2B68" w:rsidRDefault="00000000">
      <w:pPr>
        <w:pStyle w:val="pheading"/>
      </w:pPr>
      <w:r>
        <w:t>DESCRIPTION</w:t>
      </w:r>
    </w:p>
    <w:p w14:paraId="6DC44979" w14:textId="77777777" w:rsidR="00DB2B68" w:rsidRDefault="00000000">
      <w:pPr>
        <w:pStyle w:val="pheading"/>
      </w:pPr>
      <w:r>
        <w:t>- Définition / Comprend</w:t>
      </w:r>
    </w:p>
    <w:p w14:paraId="1E43897D" w14:textId="77777777" w:rsidR="00DB2B68" w:rsidRDefault="00000000">
      <w:r>
        <w:t>Il s’agit de la fourniture et la pose de maçonneries de parement en blocs de béton pleins à maçonner.</w:t>
      </w:r>
    </w:p>
    <w:p w14:paraId="1FFE54DB" w14:textId="77777777" w:rsidR="00DB2B68" w:rsidRDefault="00000000">
      <w:r>
        <w:t xml:space="preserve">La portée des travaux est décrite dans l’article </w:t>
      </w:r>
      <w:hyperlink w:anchor="381" w:history="1">
        <w:r>
          <w:rPr>
            <w:color w:val="0000EE"/>
          </w:rPr>
          <w:t>21.3 Maçonneries de parement</w:t>
        </w:r>
      </w:hyperlink>
      <w:r>
        <w:t>.</w:t>
      </w:r>
    </w:p>
    <w:p w14:paraId="7B0A243B" w14:textId="77777777" w:rsidR="00DB2B68" w:rsidRDefault="00000000">
      <w:pPr>
        <w:pStyle w:val="pheading"/>
      </w:pPr>
      <w:r>
        <w:t>- Localisation</w:t>
      </w:r>
    </w:p>
    <w:p w14:paraId="4F1CE0FF" w14:textId="77777777" w:rsidR="00DB2B68" w:rsidRDefault="00000000">
      <w:r>
        <w:t xml:space="preserve">La pose est réalisée aux endroits suivants : </w:t>
      </w:r>
      <w:r>
        <w:rPr>
          <w:rStyle w:val="optioncarChar"/>
        </w:rPr>
        <w:t>***</w:t>
      </w:r>
      <w:r>
        <w:t>.</w:t>
      </w:r>
      <w:r>
        <w:br/>
        <w:t>Voir plans et métrés détaillés.</w:t>
      </w:r>
    </w:p>
    <w:p w14:paraId="21F07054" w14:textId="77777777" w:rsidR="00DB2B68" w:rsidRDefault="00000000">
      <w:pPr>
        <w:pStyle w:val="pheading"/>
      </w:pPr>
      <w:r>
        <w:t>MATÉRIAUX</w:t>
      </w:r>
    </w:p>
    <w:p w14:paraId="20120A41" w14:textId="77777777" w:rsidR="00DB2B68" w:rsidRDefault="00000000">
      <w:pPr>
        <w:pStyle w:val="pheading"/>
      </w:pPr>
      <w:r>
        <w:t>- Caractéristiques générales</w:t>
      </w:r>
    </w:p>
    <w:p w14:paraId="6F201AE1" w14:textId="77777777" w:rsidR="00DB2B68" w:rsidRDefault="00000000">
      <w:r>
        <w:rPr>
          <w:rStyle w:val="headingChar"/>
          <w:color w:val="000000"/>
        </w:rPr>
        <w:t>Blocs</w:t>
      </w:r>
    </w:p>
    <w:p w14:paraId="3DB41D94" w14:textId="77777777" w:rsidR="00DB2B68"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41DF89B6" w14:textId="77777777" w:rsidR="00DB2B68"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37B2E7E1" w14:textId="77777777" w:rsidR="00DB2B68"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657677A1" w14:textId="77777777" w:rsidR="00DB2B68"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0CD853FA" w14:textId="77777777" w:rsidR="00DB2B68" w:rsidRDefault="00000000">
      <w:pPr>
        <w:spacing w:after="0" w:line="0" w:lineRule="atLeast"/>
      </w:pPr>
      <w:r>
        <w:rPr>
          <w:color w:val="000000"/>
        </w:rPr>
        <w:t xml:space="preserve">La conductibilité thermique λD est compatible avec la valeur U prescrite pour la paroi. </w:t>
      </w:r>
    </w:p>
    <w:p w14:paraId="621A544B" w14:textId="77777777" w:rsidR="00DB2B68" w:rsidRDefault="00000000">
      <w:pPr>
        <w:spacing w:after="0" w:line="0" w:lineRule="atLeast"/>
      </w:pPr>
      <w:r>
        <w:rPr>
          <w:color w:val="000000"/>
        </w:rPr>
        <w:t xml:space="preserve">Boutisse : </w:t>
      </w:r>
      <w:r>
        <w:t>plate</w:t>
      </w:r>
    </w:p>
    <w:p w14:paraId="27209D1C" w14:textId="77777777" w:rsidR="00DB2B68" w:rsidRDefault="00000000">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2938092D" w14:textId="77777777" w:rsidR="00DB2B68"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65C4BA31" w14:textId="77777777" w:rsidR="00DB2B68"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4727E881" w14:textId="77777777" w:rsidR="00DB2B68" w:rsidRDefault="00000000">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610F7C9F" w14:textId="77777777" w:rsidR="00DB2B68" w:rsidRDefault="00DB2B68"/>
    <w:p w14:paraId="2A2CBED9" w14:textId="77777777" w:rsidR="00DB2B68" w:rsidRDefault="00000000">
      <w:pPr>
        <w:spacing w:after="0" w:line="0" w:lineRule="atLeast"/>
      </w:pPr>
      <w:r>
        <w:rPr>
          <w:rStyle w:val="headingChar"/>
          <w:color w:val="000000"/>
        </w:rPr>
        <w:t>Mortier</w:t>
      </w:r>
    </w:p>
    <w:p w14:paraId="11A25191" w14:textId="77777777" w:rsidR="00DB2B68"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w:t>
      </w:r>
      <w:r>
        <w:t> (par défaut)</w:t>
      </w:r>
      <w:r>
        <w:rPr>
          <w:rStyle w:val="optioncarChar"/>
          <w:color w:val="000000"/>
        </w:rPr>
        <w:t xml:space="preserve"> / 12 / ***</w:t>
      </w:r>
      <w:r>
        <w:rPr>
          <w:color w:val="000000"/>
        </w:rPr>
        <w:t xml:space="preserve"> mm.</w:t>
      </w:r>
    </w:p>
    <w:p w14:paraId="1B1FED23" w14:textId="77777777" w:rsidR="00DB2B68"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32D919CD" w14:textId="77777777" w:rsidR="00DB2B68" w:rsidRDefault="00000000">
      <w:pPr>
        <w:spacing w:line="259" w:lineRule="auto"/>
      </w:pPr>
      <w:r>
        <w:rPr>
          <w:color w:val="000000"/>
        </w:rPr>
        <w:t xml:space="preserve">Adhérence en cisaillement : </w:t>
      </w:r>
      <w:r>
        <w:rPr>
          <w:rStyle w:val="optioncarChar"/>
          <w:color w:val="000000"/>
        </w:rPr>
        <w:t xml:space="preserve">≥ 0,10 N/mm² / ≥ 0,15 N/mm² </w:t>
      </w:r>
      <w:r>
        <w:t xml:space="preserve">(par défaut) </w:t>
      </w:r>
      <w:r>
        <w:rPr>
          <w:rStyle w:val="optioncarChar"/>
          <w:color w:val="000000"/>
        </w:rPr>
        <w:t xml:space="preserve">/ non spécifié / *** </w:t>
      </w:r>
    </w:p>
    <w:p w14:paraId="4DBFAF41" w14:textId="77777777" w:rsidR="00DB2B68" w:rsidRDefault="00000000">
      <w:pPr>
        <w:spacing w:line="259" w:lineRule="auto"/>
      </w:pPr>
      <w:r>
        <w:rPr>
          <w:color w:val="000000"/>
        </w:rPr>
        <w:t xml:space="preserve">Résistance au gel : </w:t>
      </w:r>
      <w:r>
        <w:rPr>
          <w:rStyle w:val="optioncarChar"/>
          <w:color w:val="000000"/>
        </w:rPr>
        <w:t>oui</w:t>
      </w:r>
    </w:p>
    <w:p w14:paraId="4DB32C06" w14:textId="77777777" w:rsidR="00DB2B68" w:rsidRDefault="00DB2B68"/>
    <w:p w14:paraId="6DACD318" w14:textId="77777777" w:rsidR="00DB2B68" w:rsidRDefault="00000000">
      <w:pPr>
        <w:spacing w:line="259" w:lineRule="auto"/>
      </w:pPr>
      <w:r>
        <w:rPr>
          <w:rStyle w:val="headingChar"/>
          <w:color w:val="000000"/>
        </w:rPr>
        <w:t>Critères de performances du parement</w:t>
      </w:r>
    </w:p>
    <w:p w14:paraId="1A2B35A9" w14:textId="77777777" w:rsidR="00DB2B68" w:rsidRDefault="00000000">
      <w:pPr>
        <w:spacing w:after="0" w:line="0" w:lineRule="atLeast"/>
      </w:pPr>
      <w:r>
        <w:t>V</w:t>
      </w:r>
      <w:r>
        <w:rPr>
          <w:color w:val="000000"/>
        </w:rPr>
        <w:t xml:space="preserve">aleur λUi ou λUe maximum </w:t>
      </w:r>
      <w:r>
        <w:rPr>
          <w:rStyle w:val="optioncarChar"/>
          <w:color w:val="000000"/>
        </w:rPr>
        <w:t>***</w:t>
      </w:r>
      <w:r>
        <w:rPr>
          <w:color w:val="000000"/>
        </w:rPr>
        <w:t xml:space="preserve"> W/mK (suivant l’application). </w:t>
      </w:r>
    </w:p>
    <w:p w14:paraId="06B64447" w14:textId="77777777" w:rsidR="00DB2B68" w:rsidRDefault="00000000">
      <w:pPr>
        <w:ind w:left="750"/>
      </w:pPr>
      <w:r>
        <w:t> </w:t>
      </w:r>
    </w:p>
    <w:p w14:paraId="19660DE5" w14:textId="77777777" w:rsidR="00DB2B68" w:rsidRDefault="00000000">
      <w:pPr>
        <w:ind w:left="750"/>
      </w:pPr>
      <w:r>
        <w:lastRenderedPageBreak/>
        <w:t> </w:t>
      </w:r>
    </w:p>
    <w:p w14:paraId="7B2FC335" w14:textId="77777777" w:rsidR="00DB2B68" w:rsidRDefault="00000000">
      <w:pPr>
        <w:pStyle w:val="pheading"/>
      </w:pPr>
      <w:r>
        <w:t>- Finitions</w:t>
      </w:r>
    </w:p>
    <w:p w14:paraId="7260D138"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0747530C"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649B705"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64FF157A"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28E7E148"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62BA5993" w14:textId="77777777" w:rsidR="00DB2B68" w:rsidRDefault="00000000">
      <w:pPr>
        <w:ind w:left="750"/>
      </w:pPr>
      <w:r>
        <w:t> </w:t>
      </w:r>
    </w:p>
    <w:p w14:paraId="220B551D" w14:textId="77777777" w:rsidR="00DB2B68" w:rsidRDefault="00000000">
      <w:pPr>
        <w:pStyle w:val="pheading"/>
      </w:pPr>
      <w:r>
        <w:t>EXÉCUTION / MISE EN ŒUVRE</w:t>
      </w:r>
    </w:p>
    <w:p w14:paraId="27CD04EA" w14:textId="77777777" w:rsidR="00DB2B68" w:rsidRDefault="00000000">
      <w:pPr>
        <w:pStyle w:val="pheading"/>
      </w:pPr>
      <w:r>
        <w:t>- Prescriptions générales</w:t>
      </w:r>
    </w:p>
    <w:p w14:paraId="7F425481" w14:textId="77777777" w:rsidR="00DB2B68" w:rsidRDefault="00000000">
      <w:pPr>
        <w:spacing w:line="259" w:lineRule="auto"/>
      </w:pPr>
      <w:r>
        <w:t xml:space="preserve">La maçonnerie est exécutée en appareil </w:t>
      </w:r>
      <w:r>
        <w:rPr>
          <w:rStyle w:val="normalChar"/>
        </w:rPr>
        <w:t>d'u</w:t>
      </w:r>
      <w:r>
        <w:rPr>
          <w:rStyle w:val="normalChar"/>
          <w:color w:val="FF0000"/>
        </w:rPr>
        <w:t xml:space="preserve">ne demi-bloc </w:t>
      </w:r>
      <w:r>
        <w:t>(par défaut) </w:t>
      </w:r>
      <w:r>
        <w:rPr>
          <w:rStyle w:val="normalChar"/>
          <w:color w:val="FF0000"/>
        </w:rPr>
        <w:t>/ ***</w:t>
      </w:r>
    </w:p>
    <w:p w14:paraId="2EB0CE5A"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4FE92557" w14:textId="77777777" w:rsidR="00DB2B68" w:rsidRDefault="00DB2B68"/>
    <w:p w14:paraId="3E4A61DB" w14:textId="77777777" w:rsidR="00DB2B68" w:rsidRDefault="00000000">
      <w:pPr>
        <w:spacing w:line="259" w:lineRule="auto"/>
      </w:pPr>
      <w:r>
        <w:rPr>
          <w:rStyle w:val="normalChar"/>
          <w:b/>
          <w:color w:val="000000"/>
        </w:rPr>
        <w:t>LINTEAUX</w:t>
      </w:r>
    </w:p>
    <w:p w14:paraId="4698F3F0"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74D30ECF" w14:textId="77777777" w:rsidR="00DB2B68" w:rsidRDefault="00000000">
      <w:r>
        <w:rPr>
          <w:b/>
        </w:rPr>
        <w:t>(soit par défaut)</w:t>
      </w:r>
    </w:p>
    <w:p w14:paraId="5FEC061F" w14:textId="77777777" w:rsidR="00DB2B68" w:rsidRDefault="00000000">
      <w:r>
        <w:rPr>
          <w:rStyle w:val="soitChar"/>
          <w:u w:val="single"/>
        </w:rPr>
        <w:t>D'une armature et de crochets de mur</w:t>
      </w:r>
      <w:r>
        <w:rPr>
          <w:rStyle w:val="soitChar"/>
        </w:rPr>
        <w:t>  :</w:t>
      </w:r>
    </w:p>
    <w:p w14:paraId="7CB3B4E4"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52F82AC" w14:textId="77777777" w:rsidR="00DB2B68" w:rsidRDefault="00000000">
      <w:r>
        <w:rPr>
          <w:b/>
        </w:rPr>
        <w:t>(soit)</w:t>
      </w:r>
    </w:p>
    <w:p w14:paraId="5AB4AD11"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606041EF" w14:textId="77777777" w:rsidR="00DB2B68" w:rsidRDefault="00000000">
      <w:r>
        <w:rPr>
          <w:b/>
        </w:rPr>
        <w:t>(soit)</w:t>
      </w:r>
    </w:p>
    <w:p w14:paraId="67CE6914"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74A21CBF" w14:textId="77777777" w:rsidR="00DB2B68" w:rsidRDefault="00000000">
      <w:r>
        <w:rPr>
          <w:b/>
        </w:rPr>
        <w:t>(soit)</w:t>
      </w:r>
    </w:p>
    <w:p w14:paraId="0A35CE97" w14:textId="77777777" w:rsidR="00DB2B68"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D432C6E" w14:textId="77777777" w:rsidR="00DB2B68" w:rsidRDefault="00000000">
      <w:r>
        <w:rPr>
          <w:b/>
        </w:rPr>
        <w:t>(soit)</w:t>
      </w:r>
    </w:p>
    <w:p w14:paraId="250C4CEE" w14:textId="77777777" w:rsidR="00DB2B68" w:rsidRDefault="00000000">
      <w:r>
        <w:rPr>
          <w:rStyle w:val="optioncarChar"/>
        </w:rPr>
        <w:t> ***</w:t>
      </w:r>
    </w:p>
    <w:p w14:paraId="63F01F8C" w14:textId="77777777" w:rsidR="00DB2B68" w:rsidRDefault="00000000">
      <w:pPr>
        <w:pStyle w:val="pheading"/>
      </w:pPr>
      <w:r>
        <w:t>- Notes d’exécution complémentaires</w:t>
      </w:r>
    </w:p>
    <w:p w14:paraId="0DF73CF1" w14:textId="77777777" w:rsidR="00DB2B68" w:rsidRDefault="00000000">
      <w:r>
        <w:lastRenderedPageBreak/>
        <w:t>En vue du choix définitif des blocs de parement, un ou plusieurs échantillons d'environ 1 m2 sont maçonnés à la demande de l'auteur de projet; les frais inhérents à la construction et à la démolition de ces murs sont à charge de l'entrepreneur.</w:t>
      </w:r>
    </w:p>
    <w:p w14:paraId="60E99F6C" w14:textId="77777777" w:rsidR="00DB2B68" w:rsidRDefault="00000000">
      <w:r>
        <w:t xml:space="preserve">• Armatures : selon l'article </w:t>
      </w:r>
      <w:hyperlink w:anchor="357" w:history="1">
        <w:r>
          <w:rPr>
            <w:color w:val="0000EE"/>
          </w:rPr>
          <w:t>21.41.1 Armatures horizontales pour maçonneries</w:t>
        </w:r>
      </w:hyperlink>
      <w:r>
        <w:t> </w:t>
      </w:r>
    </w:p>
    <w:p w14:paraId="7D95E313" w14:textId="77777777" w:rsidR="00DB2B68" w:rsidRDefault="00000000">
      <w:r>
        <w:t xml:space="preserve">• Ancrages : selon l'article </w:t>
      </w:r>
      <w:hyperlink w:anchor="364" w:history="1">
        <w:r>
          <w:rPr>
            <w:color w:val="0000EE"/>
          </w:rPr>
          <w:t>21.42 Ancrages et fixations de maçonneries</w:t>
        </w:r>
      </w:hyperlink>
    </w:p>
    <w:p w14:paraId="7A353EDE" w14:textId="77777777" w:rsidR="00DB2B68" w:rsidRDefault="00000000">
      <w:r>
        <w:t xml:space="preserve">Blocs spéciaux : </w:t>
      </w:r>
      <w:r>
        <w:rPr>
          <w:rStyle w:val="optioncarChar"/>
        </w:rPr>
        <w:t>***</w:t>
      </w:r>
    </w:p>
    <w:p w14:paraId="67B9CB4C" w14:textId="77777777" w:rsidR="00DB2B68" w:rsidRDefault="00000000">
      <w:r>
        <w:t xml:space="preserve">Étanchéité : </w:t>
      </w:r>
      <w:r>
        <w:rPr>
          <w:rStyle w:val="optioncarChar"/>
        </w:rPr>
        <w:t>***</w:t>
      </w:r>
    </w:p>
    <w:p w14:paraId="5DB91E2A" w14:textId="77777777" w:rsidR="00DB2B68" w:rsidRDefault="00000000">
      <w:r>
        <w:t xml:space="preserve">Joints de dilatation : </w:t>
      </w:r>
      <w:r>
        <w:rPr>
          <w:rStyle w:val="optioncarChar"/>
        </w:rPr>
        <w:t>***</w:t>
      </w:r>
    </w:p>
    <w:p w14:paraId="21C71F41" w14:textId="77777777" w:rsidR="00DB2B68" w:rsidRDefault="00000000">
      <w:pPr>
        <w:pStyle w:val="pheading"/>
      </w:pPr>
      <w:r>
        <w:t>MESURAGE</w:t>
      </w:r>
    </w:p>
    <w:p w14:paraId="6F06CCF6" w14:textId="77777777" w:rsidR="00DB2B68" w:rsidRDefault="00000000">
      <w:pPr>
        <w:pStyle w:val="pheading"/>
      </w:pPr>
      <w:r>
        <w:t>- unité de mesure:</w:t>
      </w:r>
    </w:p>
    <w:p w14:paraId="72F1FD17" w14:textId="77777777" w:rsidR="00DB2B68" w:rsidRDefault="00000000">
      <w:r>
        <w:rPr>
          <w:rStyle w:val="optioncarChar"/>
        </w:rPr>
        <w:t>m² </w:t>
      </w:r>
      <w:r>
        <w:rPr>
          <w:rStyle w:val="optioncarChar"/>
          <w:color w:val="000000"/>
        </w:rPr>
        <w:t>(par défaut)</w:t>
      </w:r>
      <w:r>
        <w:rPr>
          <w:rStyle w:val="optioncarChar"/>
        </w:rPr>
        <w:t> / m³</w:t>
      </w:r>
    </w:p>
    <w:p w14:paraId="488741C8" w14:textId="77777777" w:rsidR="00DB2B68" w:rsidRDefault="00000000">
      <w:pPr>
        <w:spacing w:after="0" w:line="0" w:lineRule="atLeast"/>
      </w:pPr>
      <w:r>
        <w:rPr>
          <w:b/>
          <w:color w:val="000000"/>
        </w:rPr>
        <w:t>(soit par défaut)</w:t>
      </w:r>
    </w:p>
    <w:p w14:paraId="07F37B30" w14:textId="77777777" w:rsidR="00DB2B68" w:rsidRDefault="00000000">
      <w:pPr>
        <w:spacing w:after="0" w:line="0" w:lineRule="atLeast"/>
      </w:pPr>
      <w:r>
        <w:rPr>
          <w:rStyle w:val="soitChar"/>
        </w:rPr>
        <w:t>1. m²</w:t>
      </w:r>
    </w:p>
    <w:p w14:paraId="22C998A3" w14:textId="77777777" w:rsidR="00DB2B68" w:rsidRDefault="00000000">
      <w:pPr>
        <w:spacing w:after="0" w:line="0" w:lineRule="atLeast"/>
      </w:pPr>
      <w:r>
        <w:rPr>
          <w:b/>
          <w:color w:val="000000"/>
        </w:rPr>
        <w:t>(soit)</w:t>
      </w:r>
    </w:p>
    <w:p w14:paraId="2AF16189" w14:textId="77777777" w:rsidR="00DB2B68" w:rsidRDefault="00000000">
      <w:pPr>
        <w:spacing w:after="0" w:line="0" w:lineRule="atLeast"/>
      </w:pPr>
      <w:r>
        <w:rPr>
          <w:rStyle w:val="soitChar"/>
        </w:rPr>
        <w:t>2. m³</w:t>
      </w:r>
    </w:p>
    <w:p w14:paraId="093780B7" w14:textId="77777777" w:rsidR="00DB2B68" w:rsidRDefault="00000000">
      <w:pPr>
        <w:pStyle w:val="pheading"/>
      </w:pPr>
      <w:r>
        <w:t>- code de mesurage:</w:t>
      </w:r>
    </w:p>
    <w:p w14:paraId="3151ABF2" w14:textId="77777777" w:rsidR="00DB2B68" w:rsidRDefault="00000000">
      <w:pPr>
        <w:spacing w:before="0" w:after="0"/>
      </w:pPr>
      <w:r>
        <w:t>Les maçonneries sont mesurées en fonction de leur forme géométrique.</w:t>
      </w:r>
    </w:p>
    <w:p w14:paraId="253E36FC"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5ED033BE" w14:textId="77777777" w:rsidR="00DB2B68" w:rsidRDefault="00000000">
      <w:pPr>
        <w:spacing w:before="0" w:after="0"/>
      </w:pPr>
      <w:r>
        <w:t>La coulisse n'est jamais prise en compte.</w:t>
      </w:r>
    </w:p>
    <w:p w14:paraId="745DE3D3" w14:textId="77777777" w:rsidR="00DB2B68" w:rsidRDefault="00000000">
      <w:pPr>
        <w:spacing w:after="0" w:line="259" w:lineRule="auto"/>
      </w:pPr>
      <w:r>
        <w:rPr>
          <w:rStyle w:val="normalChar"/>
        </w:rPr>
        <w:t>Les accessoires (linteaux non décrits et non comptés dans un autre poste, attaches,…) sont compris dans le prix.</w:t>
      </w:r>
    </w:p>
    <w:p w14:paraId="50FA13C2" w14:textId="77777777" w:rsidR="00DB2B68" w:rsidRDefault="00000000">
      <w:pPr>
        <w:spacing w:after="0" w:line="259" w:lineRule="auto"/>
      </w:pPr>
      <w:r>
        <w:rPr>
          <w:rStyle w:val="normalChar"/>
        </w:rPr>
        <w:t>Sont entre-autres décrits et comptés dans un autre poste :</w:t>
      </w:r>
    </w:p>
    <w:p w14:paraId="24D4C7EE" w14:textId="77777777" w:rsidR="00DB2B68" w:rsidRDefault="00000000">
      <w:pPr>
        <w:pStyle w:val="Author-eListParagraph"/>
        <w:numPr>
          <w:ilvl w:val="0"/>
          <w:numId w:val="251"/>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1206AFC2" w14:textId="77777777" w:rsidR="00DB2B68" w:rsidRDefault="00000000">
      <w:pPr>
        <w:pStyle w:val="Author-eListParagraph"/>
        <w:numPr>
          <w:ilvl w:val="0"/>
          <w:numId w:val="251"/>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25916518" w14:textId="77777777" w:rsidR="00DB2B68" w:rsidRDefault="00000000">
      <w:pPr>
        <w:pStyle w:val="Author-eListParagraph"/>
        <w:numPr>
          <w:ilvl w:val="0"/>
          <w:numId w:val="251"/>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55E0055C" w14:textId="77777777" w:rsidR="00DB2B68" w:rsidRDefault="00DB2B68"/>
    <w:p w14:paraId="0E3A8ABE"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76E95936" w14:textId="77777777" w:rsidR="00DB2B68" w:rsidRDefault="00000000">
      <w:pPr>
        <w:spacing w:after="0" w:line="252" w:lineRule="auto"/>
      </w:pPr>
      <w:r>
        <w:rPr>
          <w:b/>
          <w:color w:val="000000"/>
        </w:rPr>
        <w:t>(soit par défaut)</w:t>
      </w:r>
    </w:p>
    <w:p w14:paraId="711063AD"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1CCCD5D1" w14:textId="77777777" w:rsidR="00DB2B68" w:rsidRDefault="00000000">
      <w:pPr>
        <w:spacing w:after="0" w:line="252" w:lineRule="auto"/>
      </w:pPr>
      <w:r>
        <w:rPr>
          <w:rStyle w:val="soitChar"/>
        </w:rPr>
        <w:t>Distinction faite suivant l'épaisseur.</w:t>
      </w:r>
    </w:p>
    <w:p w14:paraId="7933710A" w14:textId="77777777" w:rsidR="00DB2B68" w:rsidRDefault="00000000">
      <w:pPr>
        <w:spacing w:line="252" w:lineRule="auto"/>
      </w:pPr>
      <w:r>
        <w:rPr>
          <w:b/>
          <w:color w:val="000000"/>
        </w:rPr>
        <w:t>(soit)</w:t>
      </w:r>
    </w:p>
    <w:p w14:paraId="45847CBA"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6B1BB39"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6B683067" w14:textId="77777777" w:rsidR="00DB2B68" w:rsidRDefault="00000000">
      <w:pPr>
        <w:pStyle w:val="pheading"/>
      </w:pPr>
      <w:r>
        <w:t>- nature du marché:</w:t>
      </w:r>
    </w:p>
    <w:p w14:paraId="1715D030" w14:textId="77777777" w:rsidR="00DB2B68" w:rsidRDefault="00000000">
      <w:r>
        <w:t>QF</w:t>
      </w:r>
    </w:p>
    <w:p w14:paraId="3AE08326" w14:textId="77777777" w:rsidR="00DB2B68" w:rsidRDefault="00000000">
      <w:pPr>
        <w:pStyle w:val="Author-eSectionHeading6Numberless"/>
      </w:pPr>
      <w:bookmarkStart w:id="259" w:name="_Toc220495385"/>
      <w:r>
        <w:t>21.32.2b Maçonneries de parement en blocs de béton pleins à coller CCTB 01.11</w:t>
      </w:r>
      <w:bookmarkEnd w:id="259"/>
    </w:p>
    <w:p w14:paraId="52142E1B" w14:textId="77777777" w:rsidR="00DB2B68" w:rsidRDefault="00000000">
      <w:pPr>
        <w:pStyle w:val="pheading"/>
      </w:pPr>
      <w:r>
        <w:lastRenderedPageBreak/>
        <w:t>DESCRIPTION</w:t>
      </w:r>
    </w:p>
    <w:p w14:paraId="6B39B1D3" w14:textId="77777777" w:rsidR="00DB2B68" w:rsidRDefault="00000000">
      <w:pPr>
        <w:pStyle w:val="pheading"/>
      </w:pPr>
      <w:r>
        <w:t>- Définition / Comprend</w:t>
      </w:r>
    </w:p>
    <w:p w14:paraId="1F67DAB3" w14:textId="77777777" w:rsidR="00DB2B68" w:rsidRDefault="00000000">
      <w:r>
        <w:t>Il s’agit de la fourniture et la pose de maçonneries de parement en blocs de béton pleins à coller.</w:t>
      </w:r>
    </w:p>
    <w:p w14:paraId="6E3DBFFE" w14:textId="77777777" w:rsidR="00DB2B68" w:rsidRDefault="00000000">
      <w:r>
        <w:t xml:space="preserve">La portée des travaux est décrite dans l’article </w:t>
      </w:r>
      <w:hyperlink w:anchor="381" w:history="1">
        <w:r>
          <w:rPr>
            <w:color w:val="0000EE"/>
          </w:rPr>
          <w:t>21.3 Maçonneries de parement</w:t>
        </w:r>
      </w:hyperlink>
      <w:r>
        <w:t>.</w:t>
      </w:r>
    </w:p>
    <w:p w14:paraId="51FB719A" w14:textId="77777777" w:rsidR="00DB2B68" w:rsidRDefault="00000000">
      <w:pPr>
        <w:pStyle w:val="pheading"/>
      </w:pPr>
      <w:r>
        <w:t>- Localisation</w:t>
      </w:r>
    </w:p>
    <w:p w14:paraId="36420460" w14:textId="77777777" w:rsidR="00DB2B68" w:rsidRDefault="00000000">
      <w:r>
        <w:t xml:space="preserve">La pose est réalisée aux endroits suivants : </w:t>
      </w:r>
      <w:r>
        <w:rPr>
          <w:rStyle w:val="optioncarChar"/>
        </w:rPr>
        <w:t>***</w:t>
      </w:r>
      <w:r>
        <w:t>.</w:t>
      </w:r>
      <w:r>
        <w:br/>
        <w:t>Voir plans et métrés détaillés.</w:t>
      </w:r>
    </w:p>
    <w:p w14:paraId="1DAEB224" w14:textId="77777777" w:rsidR="00DB2B68" w:rsidRDefault="00000000">
      <w:pPr>
        <w:pStyle w:val="pheading"/>
      </w:pPr>
      <w:r>
        <w:t>MATÉRIAUX</w:t>
      </w:r>
    </w:p>
    <w:p w14:paraId="51F4CBB2" w14:textId="77777777" w:rsidR="00DB2B68" w:rsidRDefault="00000000">
      <w:pPr>
        <w:pStyle w:val="pheading"/>
      </w:pPr>
      <w:r>
        <w:t>- Caractéristiques générales</w:t>
      </w:r>
    </w:p>
    <w:p w14:paraId="3737437B" w14:textId="77777777" w:rsidR="00DB2B68" w:rsidRDefault="00000000">
      <w:r>
        <w:t>Les blocs de béton pleins (grand format) répondent au [PTV 21-001]. Ils sont fabriqués à base de gravier, de sable, de ciment et d'adjuvants. La coloration dans la masse est homogène. Ils ont au moins deux mois d'âge avant d'être mis en œuvre sur chantier. L'entrepreneur soumet un échantillon et la fiche des performances pour approbation à l'auteur de projet.</w:t>
      </w:r>
    </w:p>
    <w:p w14:paraId="5E249B07" w14:textId="77777777" w:rsidR="00DB2B68" w:rsidRDefault="00000000">
      <w:pPr>
        <w:spacing w:line="259" w:lineRule="auto"/>
      </w:pPr>
      <w:r>
        <w:rPr>
          <w:b/>
          <w:color w:val="000000"/>
        </w:rPr>
        <w:t>Blocs</w:t>
      </w:r>
    </w:p>
    <w:p w14:paraId="3D5C311D" w14:textId="77777777" w:rsidR="00DB2B68"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14D4E9A6" w14:textId="77777777" w:rsidR="00DB2B68"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47143D0D" w14:textId="77777777" w:rsidR="00DB2B68"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6E76FAF4" w14:textId="77777777" w:rsidR="00DB2B68"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65865DAC" w14:textId="77777777" w:rsidR="00DB2B68" w:rsidRDefault="00000000">
      <w:pPr>
        <w:spacing w:after="0" w:line="0" w:lineRule="atLeast"/>
      </w:pPr>
      <w:r>
        <w:rPr>
          <w:color w:val="000000"/>
        </w:rPr>
        <w:t xml:space="preserve">La conductibilité thermique λD est compatible avec la valeur U prescrite pour la paroi. </w:t>
      </w:r>
    </w:p>
    <w:p w14:paraId="6EC47336" w14:textId="77777777" w:rsidR="00DB2B68" w:rsidRDefault="00000000">
      <w:pPr>
        <w:spacing w:after="0" w:line="0" w:lineRule="atLeast"/>
      </w:pPr>
      <w:r>
        <w:rPr>
          <w:color w:val="000000"/>
        </w:rPr>
        <w:t>Boutisse :</w:t>
      </w:r>
      <w:r>
        <w:t xml:space="preserve"> plate</w:t>
      </w:r>
    </w:p>
    <w:p w14:paraId="0184D5C2" w14:textId="77777777" w:rsidR="00DB2B68" w:rsidRDefault="00000000">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60091FC2" w14:textId="77777777" w:rsidR="00DB2B68"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59143CBA" w14:textId="77777777" w:rsidR="00DB2B68"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786A9C69" w14:textId="77777777" w:rsidR="00DB2B68" w:rsidRDefault="00000000">
      <w:pPr>
        <w:spacing w:after="0" w:line="0" w:lineRule="atLeast"/>
      </w:pPr>
      <w:r>
        <w:rPr>
          <w:color w:val="000000"/>
        </w:rPr>
        <w:t xml:space="preserve">Réaction au feu : </w:t>
      </w:r>
      <w:r>
        <w:rPr>
          <w:rStyle w:val="optioncarChar"/>
          <w:color w:val="000000"/>
        </w:rPr>
        <w:t>A1 </w:t>
      </w:r>
      <w:r>
        <w:t xml:space="preserve">(par défaut) </w:t>
      </w:r>
      <w:r>
        <w:rPr>
          <w:rStyle w:val="optioncarChar"/>
          <w:color w:val="000000"/>
        </w:rPr>
        <w:t>/ ***</w:t>
      </w:r>
    </w:p>
    <w:p w14:paraId="2CFF571D" w14:textId="77777777" w:rsidR="00DB2B68" w:rsidRDefault="00DB2B68"/>
    <w:p w14:paraId="5ABDCDD3" w14:textId="77777777" w:rsidR="00DB2B68" w:rsidRDefault="00000000">
      <w:pPr>
        <w:spacing w:after="0" w:line="0" w:lineRule="atLeast"/>
      </w:pPr>
      <w:r>
        <w:rPr>
          <w:rStyle w:val="headingChar"/>
          <w:color w:val="000000"/>
        </w:rPr>
        <w:t>Mortier</w:t>
      </w:r>
    </w:p>
    <w:p w14:paraId="3E8DECC5" w14:textId="77777777" w:rsidR="00DB2B68" w:rsidRDefault="00000000">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14:paraId="65C12897" w14:textId="77777777" w:rsidR="00DB2B68"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3E3F1FB1" w14:textId="77777777" w:rsidR="00DB2B68" w:rsidRDefault="00000000">
      <w:pPr>
        <w:spacing w:line="259" w:lineRule="auto"/>
      </w:pPr>
      <w:r>
        <w:rPr>
          <w:color w:val="000000"/>
        </w:rPr>
        <w:t>Adhérence en cisaillement :</w:t>
      </w:r>
      <w:r>
        <w:rPr>
          <w:rStyle w:val="optioncarChar"/>
          <w:color w:val="000000"/>
        </w:rPr>
        <w:t xml:space="preserve"> ≥ 0,10 N/mm² / ≥ 0,15 N/mm² </w:t>
      </w:r>
      <w:r>
        <w:t>(par défaut)</w:t>
      </w:r>
      <w:r>
        <w:rPr>
          <w:rStyle w:val="optioncarChar"/>
          <w:color w:val="000000"/>
        </w:rPr>
        <w:t xml:space="preserve"> / non spécifié / *** </w:t>
      </w:r>
    </w:p>
    <w:p w14:paraId="16AFA64A" w14:textId="77777777" w:rsidR="00DB2B68" w:rsidRDefault="00000000">
      <w:pPr>
        <w:spacing w:line="259" w:lineRule="auto"/>
      </w:pPr>
      <w:r>
        <w:rPr>
          <w:color w:val="000000"/>
        </w:rPr>
        <w:t xml:space="preserve">Résistance au gel : </w:t>
      </w:r>
      <w:r>
        <w:rPr>
          <w:rStyle w:val="optioncarChar"/>
          <w:color w:val="000000"/>
        </w:rPr>
        <w:t>oui</w:t>
      </w:r>
    </w:p>
    <w:p w14:paraId="6B8B2851" w14:textId="77777777" w:rsidR="00DB2B68" w:rsidRDefault="00DB2B68"/>
    <w:p w14:paraId="5496978C" w14:textId="77777777" w:rsidR="00DB2B68" w:rsidRDefault="00000000">
      <w:pPr>
        <w:spacing w:line="259" w:lineRule="auto"/>
      </w:pPr>
      <w:r>
        <w:rPr>
          <w:rStyle w:val="headingChar"/>
          <w:color w:val="000000"/>
        </w:rPr>
        <w:t>Critères de performances du parement</w:t>
      </w:r>
    </w:p>
    <w:p w14:paraId="3040B3E5" w14:textId="77777777" w:rsidR="00DB2B68" w:rsidRDefault="00000000">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3D423075" w14:textId="77777777" w:rsidR="00DB2B68" w:rsidRDefault="00000000">
      <w:pPr>
        <w:ind w:left="750"/>
      </w:pPr>
      <w:r>
        <w:t> </w:t>
      </w:r>
    </w:p>
    <w:p w14:paraId="2F49D14C" w14:textId="77777777" w:rsidR="00DB2B68" w:rsidRDefault="00000000">
      <w:pPr>
        <w:ind w:left="750"/>
      </w:pPr>
      <w:r>
        <w:t> </w:t>
      </w:r>
    </w:p>
    <w:p w14:paraId="3DEF0D74" w14:textId="77777777" w:rsidR="00DB2B68" w:rsidRDefault="00000000">
      <w:pPr>
        <w:pStyle w:val="pheading"/>
      </w:pPr>
      <w:r>
        <w:t>- Finitions</w:t>
      </w:r>
    </w:p>
    <w:p w14:paraId="16E3E180"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3F4EB47B" w14:textId="77777777" w:rsidR="00DB2B68" w:rsidRDefault="00000000">
      <w:pPr>
        <w:pStyle w:val="pheading"/>
      </w:pPr>
      <w:r>
        <w:t>EXÉCUTION / MISE EN ŒUVRE</w:t>
      </w:r>
    </w:p>
    <w:p w14:paraId="496EA960" w14:textId="77777777" w:rsidR="00DB2B68" w:rsidRDefault="00000000">
      <w:pPr>
        <w:pStyle w:val="pheading"/>
      </w:pPr>
      <w:r>
        <w:lastRenderedPageBreak/>
        <w:t>- Prescriptions générales</w:t>
      </w:r>
    </w:p>
    <w:p w14:paraId="3564A7C9" w14:textId="77777777" w:rsidR="00DB2B68" w:rsidRDefault="00000000">
      <w:pPr>
        <w:spacing w:line="259" w:lineRule="auto"/>
      </w:pPr>
      <w:r>
        <w:t xml:space="preserve">La maçonnerie est exécutée en appareil </w:t>
      </w:r>
      <w:r>
        <w:rPr>
          <w:rStyle w:val="optioncarChar"/>
        </w:rPr>
        <w:t>d'une</w:t>
      </w:r>
      <w:r>
        <w:rPr>
          <w:rStyle w:val="normalChar"/>
          <w:color w:val="FF0000"/>
        </w:rPr>
        <w:t xml:space="preserve"> demi-bloc </w:t>
      </w:r>
      <w:r>
        <w:t>(par défaut) </w:t>
      </w:r>
      <w:r>
        <w:rPr>
          <w:rStyle w:val="normalChar"/>
          <w:color w:val="FF0000"/>
        </w:rPr>
        <w:t>/ ***</w:t>
      </w:r>
    </w:p>
    <w:p w14:paraId="718590AD"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2C0C21B4" w14:textId="77777777" w:rsidR="00DB2B68" w:rsidRDefault="00DB2B68"/>
    <w:p w14:paraId="6875BCBF" w14:textId="77777777" w:rsidR="00DB2B68" w:rsidRDefault="00000000">
      <w:pPr>
        <w:spacing w:line="259" w:lineRule="auto"/>
      </w:pPr>
      <w:r>
        <w:rPr>
          <w:rStyle w:val="normalChar"/>
          <w:b/>
          <w:color w:val="000000"/>
        </w:rPr>
        <w:t>LINTEAUX</w:t>
      </w:r>
    </w:p>
    <w:p w14:paraId="07D6DABC" w14:textId="77777777" w:rsidR="00DB2B68" w:rsidRDefault="00000000">
      <w:pPr>
        <w:spacing w:line="259" w:lineRule="auto"/>
      </w:pPr>
      <w:r>
        <w:rPr>
          <w:rStyle w:val="normalChar"/>
          <w:color w:val="000000"/>
        </w:rPr>
        <w:t>Les linteaux des ouvertures du parement sont réalisés à l’aide</w:t>
      </w:r>
      <w:r>
        <w:t> </w:t>
      </w:r>
      <w:r>
        <w:rPr>
          <w:rStyle w:val="optioncarChar"/>
        </w:rPr>
        <w:t>d’une armature et de crochets de mur </w:t>
      </w:r>
      <w:r>
        <w:t>(par défaut)</w:t>
      </w:r>
      <w:r>
        <w:rPr>
          <w:rStyle w:val="optioncarChar"/>
        </w:rPr>
        <w:t> / d’une cornière continue / de consoles trapézoïdales / de blocs sur chants sans accessoires / ***</w:t>
      </w:r>
    </w:p>
    <w:p w14:paraId="58920EA0" w14:textId="77777777" w:rsidR="00DB2B68" w:rsidRDefault="00000000">
      <w:r>
        <w:rPr>
          <w:b/>
        </w:rPr>
        <w:t>(soit par défaut)</w:t>
      </w:r>
    </w:p>
    <w:p w14:paraId="7647F008" w14:textId="77777777" w:rsidR="00DB2B68" w:rsidRDefault="00000000">
      <w:r>
        <w:rPr>
          <w:rStyle w:val="soitChar"/>
          <w:u w:val="single"/>
        </w:rPr>
        <w:t>D'une armature et de crochets de mur</w:t>
      </w:r>
      <w:r>
        <w:rPr>
          <w:rStyle w:val="soitChar"/>
        </w:rPr>
        <w:t>  :</w:t>
      </w:r>
    </w:p>
    <w:p w14:paraId="40D04FED"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2971C07" w14:textId="77777777" w:rsidR="00DB2B68" w:rsidRDefault="00000000">
      <w:r>
        <w:rPr>
          <w:b/>
        </w:rPr>
        <w:t>(soit)</w:t>
      </w:r>
    </w:p>
    <w:p w14:paraId="4A1B05B8"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bloc est découpée pour masquer la cornière : </w:t>
      </w:r>
      <w:r>
        <w:rPr>
          <w:rStyle w:val="optioncarChar"/>
        </w:rPr>
        <w:t xml:space="preserve">oui / non </w:t>
      </w:r>
      <w:r>
        <w:rPr>
          <w:rStyle w:val="optioncarChar"/>
          <w:color w:val="000000"/>
        </w:rPr>
        <w:t>(par défaut)</w:t>
      </w:r>
    </w:p>
    <w:p w14:paraId="09B74122" w14:textId="77777777" w:rsidR="00DB2B68" w:rsidRDefault="00000000">
      <w:r>
        <w:rPr>
          <w:b/>
        </w:rPr>
        <w:t>(soit)</w:t>
      </w:r>
    </w:p>
    <w:p w14:paraId="564A6E4C"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bloc est découpée pour masquer la cornière : </w:t>
      </w:r>
      <w:r>
        <w:rPr>
          <w:rStyle w:val="optioncarChar"/>
        </w:rPr>
        <w:t xml:space="preserve">oui / non </w:t>
      </w:r>
      <w:r>
        <w:rPr>
          <w:rStyle w:val="optioncarChar"/>
          <w:color w:val="000000"/>
        </w:rPr>
        <w:t>(par défaut)</w:t>
      </w:r>
    </w:p>
    <w:p w14:paraId="00763540" w14:textId="77777777" w:rsidR="00DB2B68" w:rsidRDefault="00000000">
      <w:r>
        <w:rPr>
          <w:b/>
        </w:rPr>
        <w:t>(soit)</w:t>
      </w:r>
    </w:p>
    <w:p w14:paraId="51E59158" w14:textId="77777777" w:rsidR="00DB2B68"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6F05C68B" w14:textId="77777777" w:rsidR="00DB2B68" w:rsidRDefault="00000000">
      <w:r>
        <w:rPr>
          <w:b/>
        </w:rPr>
        <w:t>(soit)</w:t>
      </w:r>
    </w:p>
    <w:p w14:paraId="4B9EA52D" w14:textId="77777777" w:rsidR="00DB2B68" w:rsidRDefault="00000000">
      <w:r>
        <w:rPr>
          <w:rStyle w:val="optioncarChar"/>
        </w:rPr>
        <w:t> ***</w:t>
      </w:r>
    </w:p>
    <w:p w14:paraId="203391BB" w14:textId="77777777" w:rsidR="00DB2B68" w:rsidRDefault="00000000">
      <w:pPr>
        <w:pStyle w:val="pheading"/>
      </w:pPr>
      <w:r>
        <w:t>- Notes d’exécution complémentaires</w:t>
      </w:r>
    </w:p>
    <w:p w14:paraId="756A795D" w14:textId="77777777" w:rsidR="00DB2B68"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10BEDB1A" w14:textId="77777777" w:rsidR="00DB2B68" w:rsidRDefault="00000000">
      <w:r>
        <w:t xml:space="preserve">• Armatures : selon l'article </w:t>
      </w:r>
      <w:hyperlink w:anchor="357" w:history="1">
        <w:r>
          <w:rPr>
            <w:color w:val="0000EE"/>
          </w:rPr>
          <w:t>21.41.1 Armatures horizontales pour maçonneries</w:t>
        </w:r>
      </w:hyperlink>
      <w:r>
        <w:t xml:space="preserve"> Le cas échéant, seul le mortier de la catégorie 12 sera autorisé.</w:t>
      </w:r>
    </w:p>
    <w:p w14:paraId="04E820BB" w14:textId="77777777" w:rsidR="00DB2B68" w:rsidRDefault="00000000">
      <w:r>
        <w:t xml:space="preserve">• Ancrages : selon l'article </w:t>
      </w:r>
      <w:hyperlink w:anchor="364" w:history="1">
        <w:r>
          <w:rPr>
            <w:color w:val="0000EE"/>
          </w:rPr>
          <w:t>21.42 Ancrages et fixations de maçonneries</w:t>
        </w:r>
      </w:hyperlink>
    </w:p>
    <w:p w14:paraId="583C66D2" w14:textId="77777777" w:rsidR="00DB2B68" w:rsidRDefault="00000000">
      <w:r>
        <w:t xml:space="preserve">Blocs spéciaux : </w:t>
      </w:r>
      <w:r>
        <w:rPr>
          <w:rStyle w:val="optioncarChar"/>
        </w:rPr>
        <w:t>***</w:t>
      </w:r>
    </w:p>
    <w:p w14:paraId="20416BAB" w14:textId="77777777" w:rsidR="00DB2B68" w:rsidRDefault="00000000">
      <w:r>
        <w:t xml:space="preserve">Étanchéité : </w:t>
      </w:r>
      <w:r>
        <w:rPr>
          <w:rStyle w:val="optioncarChar"/>
        </w:rPr>
        <w:t>***</w:t>
      </w:r>
    </w:p>
    <w:p w14:paraId="08CC4FBF" w14:textId="77777777" w:rsidR="00DB2B68" w:rsidRDefault="00000000">
      <w:r>
        <w:t xml:space="preserve">Joints de dilatation : </w:t>
      </w:r>
      <w:r>
        <w:rPr>
          <w:rStyle w:val="optioncarChar"/>
        </w:rPr>
        <w:t>***</w:t>
      </w:r>
    </w:p>
    <w:p w14:paraId="211C16F3" w14:textId="77777777" w:rsidR="00DB2B68" w:rsidRDefault="00000000">
      <w:pPr>
        <w:pStyle w:val="pheading"/>
      </w:pPr>
      <w:r>
        <w:t>MESURAGE</w:t>
      </w:r>
    </w:p>
    <w:p w14:paraId="4DA92378" w14:textId="77777777" w:rsidR="00DB2B68" w:rsidRDefault="00000000">
      <w:pPr>
        <w:pStyle w:val="pheading"/>
      </w:pPr>
      <w:r>
        <w:t>- unité de mesure:</w:t>
      </w:r>
    </w:p>
    <w:p w14:paraId="6CC29F76" w14:textId="77777777" w:rsidR="00DB2B68" w:rsidRDefault="00000000">
      <w:r>
        <w:rPr>
          <w:rStyle w:val="optioncarChar"/>
        </w:rPr>
        <w:t>m² </w:t>
      </w:r>
      <w:r>
        <w:rPr>
          <w:rStyle w:val="optioncarChar"/>
          <w:color w:val="000000"/>
        </w:rPr>
        <w:t>(par défaut)</w:t>
      </w:r>
      <w:r>
        <w:rPr>
          <w:rStyle w:val="optioncarChar"/>
        </w:rPr>
        <w:t> / m³</w:t>
      </w:r>
    </w:p>
    <w:p w14:paraId="016C6F27" w14:textId="77777777" w:rsidR="00DB2B68" w:rsidRDefault="00000000">
      <w:pPr>
        <w:spacing w:after="0" w:line="0" w:lineRule="atLeast"/>
      </w:pPr>
      <w:r>
        <w:rPr>
          <w:b/>
          <w:color w:val="000000"/>
        </w:rPr>
        <w:t>(soit par défaut)</w:t>
      </w:r>
    </w:p>
    <w:p w14:paraId="37F0D341" w14:textId="77777777" w:rsidR="00DB2B68" w:rsidRDefault="00000000">
      <w:pPr>
        <w:spacing w:after="0" w:line="0" w:lineRule="atLeast"/>
      </w:pPr>
      <w:r>
        <w:rPr>
          <w:rStyle w:val="soitChar"/>
        </w:rPr>
        <w:t>1. m²</w:t>
      </w:r>
    </w:p>
    <w:p w14:paraId="2CE54546" w14:textId="77777777" w:rsidR="00DB2B68" w:rsidRDefault="00000000">
      <w:pPr>
        <w:spacing w:after="0" w:line="0" w:lineRule="atLeast"/>
      </w:pPr>
      <w:r>
        <w:rPr>
          <w:b/>
          <w:color w:val="000000"/>
        </w:rPr>
        <w:lastRenderedPageBreak/>
        <w:t>(soit)</w:t>
      </w:r>
    </w:p>
    <w:p w14:paraId="729F5981" w14:textId="77777777" w:rsidR="00DB2B68" w:rsidRDefault="00000000">
      <w:pPr>
        <w:spacing w:after="0" w:line="0" w:lineRule="atLeast"/>
      </w:pPr>
      <w:r>
        <w:rPr>
          <w:rStyle w:val="soitChar"/>
        </w:rPr>
        <w:t>2. m³</w:t>
      </w:r>
    </w:p>
    <w:p w14:paraId="6639AA37" w14:textId="77777777" w:rsidR="00DB2B68" w:rsidRDefault="00000000">
      <w:pPr>
        <w:pStyle w:val="pheading"/>
      </w:pPr>
      <w:r>
        <w:t>- code de mesurage:</w:t>
      </w:r>
    </w:p>
    <w:p w14:paraId="4D43DFAA" w14:textId="77777777" w:rsidR="00DB2B68" w:rsidRDefault="00000000">
      <w:pPr>
        <w:spacing w:before="0" w:after="0"/>
      </w:pPr>
      <w:r>
        <w:t>Les maçonneries sont mesurées en fonction de leur forme géométrique.</w:t>
      </w:r>
    </w:p>
    <w:p w14:paraId="3FE854E0"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4F0CE03A" w14:textId="77777777" w:rsidR="00DB2B68" w:rsidRDefault="00000000">
      <w:pPr>
        <w:spacing w:before="0" w:after="0"/>
      </w:pPr>
      <w:r>
        <w:t>La coulisse n'est jamais prise en compte.</w:t>
      </w:r>
    </w:p>
    <w:p w14:paraId="3C02FC85" w14:textId="77777777" w:rsidR="00DB2B68" w:rsidRDefault="00000000">
      <w:pPr>
        <w:spacing w:after="0" w:line="259" w:lineRule="auto"/>
      </w:pPr>
      <w:r>
        <w:rPr>
          <w:rStyle w:val="normalChar"/>
        </w:rPr>
        <w:t>Les accessoires (linteaux non décrits et non comptés dans un autre poste, attaches,…) sont compris dans le prix.</w:t>
      </w:r>
    </w:p>
    <w:p w14:paraId="599E3FEC" w14:textId="77777777" w:rsidR="00DB2B68" w:rsidRDefault="00000000">
      <w:pPr>
        <w:spacing w:after="0" w:line="259" w:lineRule="auto"/>
      </w:pPr>
      <w:r>
        <w:rPr>
          <w:rStyle w:val="normalChar"/>
        </w:rPr>
        <w:t>Sont entre-autres décrits et comptés dans un autre poste :</w:t>
      </w:r>
    </w:p>
    <w:p w14:paraId="2707371F" w14:textId="77777777" w:rsidR="00DB2B68" w:rsidRDefault="00000000">
      <w:pPr>
        <w:pStyle w:val="Author-eListParagraph"/>
        <w:numPr>
          <w:ilvl w:val="0"/>
          <w:numId w:val="252"/>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5ADA79CD" w14:textId="77777777" w:rsidR="00DB2B68" w:rsidRDefault="00000000">
      <w:pPr>
        <w:pStyle w:val="Author-eListParagraph"/>
        <w:numPr>
          <w:ilvl w:val="0"/>
          <w:numId w:val="252"/>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0A7F89A3" w14:textId="77777777" w:rsidR="00DB2B68" w:rsidRDefault="00000000">
      <w:pPr>
        <w:pStyle w:val="Author-eListParagraph"/>
        <w:numPr>
          <w:ilvl w:val="0"/>
          <w:numId w:val="252"/>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59CFF5B9" w14:textId="77777777" w:rsidR="00DB2B68" w:rsidRDefault="00DB2B68"/>
    <w:p w14:paraId="1A12AD4D"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98F1672" w14:textId="77777777" w:rsidR="00DB2B68" w:rsidRDefault="00000000">
      <w:pPr>
        <w:spacing w:after="0" w:line="252" w:lineRule="auto"/>
      </w:pPr>
      <w:r>
        <w:rPr>
          <w:b/>
          <w:color w:val="000000"/>
        </w:rPr>
        <w:t>(soit par défaut)</w:t>
      </w:r>
    </w:p>
    <w:p w14:paraId="615D0B73"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498D142B" w14:textId="77777777" w:rsidR="00DB2B68" w:rsidRDefault="00000000">
      <w:pPr>
        <w:spacing w:after="0" w:line="252" w:lineRule="auto"/>
      </w:pPr>
      <w:r>
        <w:rPr>
          <w:rStyle w:val="soitChar"/>
        </w:rPr>
        <w:t>Distinction faite suivant l'épaisseur.</w:t>
      </w:r>
    </w:p>
    <w:p w14:paraId="444B83D9" w14:textId="77777777" w:rsidR="00DB2B68" w:rsidRDefault="00000000">
      <w:pPr>
        <w:spacing w:line="252" w:lineRule="auto"/>
      </w:pPr>
      <w:r>
        <w:rPr>
          <w:b/>
          <w:color w:val="000000"/>
        </w:rPr>
        <w:t>(soit)</w:t>
      </w:r>
    </w:p>
    <w:p w14:paraId="200DE796"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507A3178"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7AC8A979" w14:textId="77777777" w:rsidR="00DB2B68" w:rsidRDefault="00000000">
      <w:pPr>
        <w:pStyle w:val="pheading"/>
      </w:pPr>
      <w:r>
        <w:t>- nature du marché:</w:t>
      </w:r>
    </w:p>
    <w:p w14:paraId="7F1A81D6" w14:textId="77777777" w:rsidR="00DB2B68" w:rsidRDefault="00000000">
      <w:r>
        <w:t>QF</w:t>
      </w:r>
    </w:p>
    <w:p w14:paraId="36F3EAC0" w14:textId="77777777" w:rsidR="00DB2B68" w:rsidRDefault="00000000">
      <w:pPr>
        <w:pStyle w:val="Author-eSectionHeading6Numberless"/>
      </w:pPr>
      <w:bookmarkStart w:id="260" w:name="_Toc220495386"/>
      <w:r>
        <w:t>21.32.2c Maçonneries de parement en blocs de béton creux à maçonner CCTB 01.11</w:t>
      </w:r>
      <w:bookmarkEnd w:id="260"/>
    </w:p>
    <w:p w14:paraId="468192E7" w14:textId="77777777" w:rsidR="00DB2B68" w:rsidRDefault="00000000">
      <w:pPr>
        <w:pStyle w:val="pheading"/>
      </w:pPr>
      <w:r>
        <w:t>DESCRIPTION</w:t>
      </w:r>
    </w:p>
    <w:p w14:paraId="73ED88DF" w14:textId="77777777" w:rsidR="00DB2B68" w:rsidRDefault="00000000">
      <w:pPr>
        <w:pStyle w:val="pheading"/>
      </w:pPr>
      <w:r>
        <w:t>- Définition / Comprend</w:t>
      </w:r>
    </w:p>
    <w:p w14:paraId="7AA8D4DC" w14:textId="77777777" w:rsidR="00DB2B68" w:rsidRDefault="00000000">
      <w:r>
        <w:t>Il s’agit de la fourniture et la pose de maçonneries de parement en blocs de béton creux à maçonner.</w:t>
      </w:r>
    </w:p>
    <w:p w14:paraId="39FAF3E2" w14:textId="77777777" w:rsidR="00DB2B68" w:rsidRDefault="00000000">
      <w:r>
        <w:t>La portée des travaux est décrite dans l’article </w:t>
      </w:r>
      <w:hyperlink w:anchor="381" w:history="1">
        <w:r>
          <w:rPr>
            <w:color w:val="0000EE"/>
          </w:rPr>
          <w:t>21.3 Maçonneries de parement</w:t>
        </w:r>
      </w:hyperlink>
      <w:r>
        <w:t>.</w:t>
      </w:r>
    </w:p>
    <w:p w14:paraId="6B6AF798" w14:textId="77777777" w:rsidR="00DB2B68" w:rsidRDefault="00000000">
      <w:pPr>
        <w:pStyle w:val="pheading"/>
      </w:pPr>
      <w:r>
        <w:t>- Localisation</w:t>
      </w:r>
    </w:p>
    <w:p w14:paraId="01A981E7" w14:textId="77777777" w:rsidR="00DB2B68" w:rsidRDefault="00000000">
      <w:r>
        <w:t xml:space="preserve">La pose est réalisée aux endroits suivants : </w:t>
      </w:r>
      <w:r>
        <w:rPr>
          <w:rStyle w:val="optioncarChar"/>
        </w:rPr>
        <w:t>***</w:t>
      </w:r>
      <w:r>
        <w:t>.</w:t>
      </w:r>
      <w:r>
        <w:br/>
        <w:t>Voir plans et métrés détaillés.</w:t>
      </w:r>
    </w:p>
    <w:p w14:paraId="5EE91BCF" w14:textId="77777777" w:rsidR="00DB2B68" w:rsidRDefault="00000000">
      <w:pPr>
        <w:pStyle w:val="pheading"/>
      </w:pPr>
      <w:r>
        <w:t>MATÉRIAUX</w:t>
      </w:r>
    </w:p>
    <w:p w14:paraId="2FDCCA70" w14:textId="77777777" w:rsidR="00DB2B68" w:rsidRDefault="00000000">
      <w:pPr>
        <w:pStyle w:val="pheading"/>
      </w:pPr>
      <w:r>
        <w:t>- Caractéristiques générales</w:t>
      </w:r>
    </w:p>
    <w:p w14:paraId="444F01C1" w14:textId="77777777" w:rsidR="00DB2B68" w:rsidRDefault="00000000">
      <w:r>
        <w:rPr>
          <w:rStyle w:val="headingChar"/>
          <w:color w:val="000000"/>
        </w:rPr>
        <w:t>Blocs</w:t>
      </w:r>
    </w:p>
    <w:p w14:paraId="26032580" w14:textId="77777777" w:rsidR="00DB2B68"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61C277EA" w14:textId="77777777" w:rsidR="00DB2B68" w:rsidRDefault="00000000">
      <w:pPr>
        <w:spacing w:after="0" w:line="0" w:lineRule="atLeast"/>
      </w:pPr>
      <w:r>
        <w:rPr>
          <w:color w:val="000000"/>
        </w:rPr>
        <w:lastRenderedPageBreak/>
        <w:t xml:space="preserve">La classe de qualité suivant [PTV 21-001] est </w:t>
      </w:r>
      <w:r>
        <w:rPr>
          <w:rStyle w:val="optioncarChar"/>
          <w:color w:val="000000"/>
        </w:rPr>
        <w:t>2/0,8 / 3/1,0 / 4/1,2 / 5/1,4 / 6/1,6 / 8/1,9 / 10/2,2 (par défaut) / 15/2,2 + / ***</w:t>
      </w:r>
    </w:p>
    <w:p w14:paraId="7C7F32BB" w14:textId="77777777" w:rsidR="00DB2B68" w:rsidRDefault="00000000">
      <w:pPr>
        <w:spacing w:after="0" w:line="0" w:lineRule="atLeast"/>
      </w:pPr>
      <w:r>
        <w:rPr>
          <w:color w:val="000000"/>
        </w:rPr>
        <w:t xml:space="preserve">Le groupe de configuration suivant [PTV 21-001] est: </w:t>
      </w:r>
      <w:r>
        <w:rPr>
          <w:rStyle w:val="optioncarChar"/>
          <w:color w:val="000000"/>
        </w:rPr>
        <w:t>1 / 2 / 3 / 4</w:t>
      </w:r>
    </w:p>
    <w:p w14:paraId="36CA3143" w14:textId="77777777" w:rsidR="00DB2B68"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05D09E9A" w14:textId="77777777" w:rsidR="00DB2B68" w:rsidRDefault="00000000">
      <w:pPr>
        <w:spacing w:after="0" w:line="0" w:lineRule="atLeast"/>
      </w:pPr>
      <w:r>
        <w:rPr>
          <w:color w:val="000000"/>
        </w:rPr>
        <w:t xml:space="preserve">La conductibilité thermique λD est compatible avec la valeur U prescrite pour la paroi. </w:t>
      </w:r>
    </w:p>
    <w:p w14:paraId="2F612375" w14:textId="77777777" w:rsidR="00DB2B68" w:rsidRDefault="00000000">
      <w:pPr>
        <w:spacing w:after="0" w:line="0" w:lineRule="atLeast"/>
      </w:pPr>
      <w:r>
        <w:rPr>
          <w:color w:val="000000"/>
        </w:rPr>
        <w:t xml:space="preserve">Boutisse : </w:t>
      </w:r>
      <w:r>
        <w:t>plate</w:t>
      </w:r>
    </w:p>
    <w:p w14:paraId="3C9A0B1B" w14:textId="77777777" w:rsidR="00DB2B68" w:rsidRDefault="00000000">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7CA8EF36" w14:textId="77777777" w:rsidR="00DB2B68" w:rsidRDefault="00000000">
      <w:pPr>
        <w:spacing w:after="0" w:line="0" w:lineRule="atLeast"/>
      </w:pPr>
      <w:r>
        <w:rPr>
          <w:color w:val="000000"/>
        </w:rPr>
        <w:t xml:space="preserve">Teinte : </w:t>
      </w:r>
      <w:r>
        <w:rPr>
          <w:rStyle w:val="optioncarChar"/>
          <w:color w:val="000000"/>
        </w:rPr>
        <w:t xml:space="preserve">gris </w:t>
      </w:r>
      <w:r>
        <w:t>(par défaut) </w:t>
      </w:r>
      <w:r>
        <w:rPr>
          <w:rStyle w:val="optioncarChar"/>
          <w:color w:val="000000"/>
        </w:rPr>
        <w:t>/ blanc / noir / ***</w:t>
      </w:r>
    </w:p>
    <w:p w14:paraId="77EDD3BD" w14:textId="77777777" w:rsidR="00DB2B68"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79E0F3DD" w14:textId="77777777" w:rsidR="00DB2B68" w:rsidRDefault="00000000">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45F86F61" w14:textId="77777777" w:rsidR="00DB2B68" w:rsidRDefault="00DB2B68"/>
    <w:p w14:paraId="66D5AD15" w14:textId="77777777" w:rsidR="00DB2B68" w:rsidRDefault="00000000">
      <w:pPr>
        <w:spacing w:after="0" w:line="0" w:lineRule="atLeast"/>
      </w:pPr>
      <w:r>
        <w:rPr>
          <w:rStyle w:val="headingChar"/>
          <w:color w:val="000000"/>
        </w:rPr>
        <w:t>Mortier</w:t>
      </w:r>
    </w:p>
    <w:p w14:paraId="2E5DFE75" w14:textId="77777777" w:rsidR="00DB2B68"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 12 / ***</w:t>
      </w:r>
      <w:r>
        <w:rPr>
          <w:color w:val="000000"/>
        </w:rPr>
        <w:t xml:space="preserve"> mm.</w:t>
      </w:r>
    </w:p>
    <w:p w14:paraId="66F7A3B2" w14:textId="77777777" w:rsidR="00DB2B68"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454FD1A9" w14:textId="77777777" w:rsidR="00DB2B68"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222B0CC0" w14:textId="77777777" w:rsidR="00DB2B68" w:rsidRDefault="00000000">
      <w:pPr>
        <w:spacing w:line="259" w:lineRule="auto"/>
      </w:pPr>
      <w:r>
        <w:rPr>
          <w:color w:val="000000"/>
        </w:rPr>
        <w:t xml:space="preserve">Résistance au gel : </w:t>
      </w:r>
      <w:r>
        <w:rPr>
          <w:rStyle w:val="optioncarChar"/>
          <w:color w:val="000000"/>
        </w:rPr>
        <w:t>oui</w:t>
      </w:r>
    </w:p>
    <w:p w14:paraId="6894D8BF" w14:textId="77777777" w:rsidR="00DB2B68" w:rsidRDefault="00DB2B68"/>
    <w:p w14:paraId="314BFDAA" w14:textId="77777777" w:rsidR="00DB2B68" w:rsidRDefault="00000000">
      <w:pPr>
        <w:spacing w:line="259" w:lineRule="auto"/>
      </w:pPr>
      <w:r>
        <w:rPr>
          <w:rStyle w:val="headingChar"/>
          <w:color w:val="000000"/>
        </w:rPr>
        <w:t>Critères de performances du parement</w:t>
      </w:r>
    </w:p>
    <w:p w14:paraId="4B4F3A46" w14:textId="77777777" w:rsidR="00DB2B68" w:rsidRDefault="00000000">
      <w:pPr>
        <w:spacing w:line="259" w:lineRule="auto"/>
      </w:pPr>
      <w:r>
        <w:t>V</w:t>
      </w:r>
      <w:r>
        <w:rPr>
          <w:color w:val="000000"/>
        </w:rPr>
        <w:t xml:space="preserve">aleur λUi ou λUe maximum *** W/mK (suivant l’application). </w:t>
      </w:r>
    </w:p>
    <w:p w14:paraId="397B6F44" w14:textId="77777777" w:rsidR="00DB2B68" w:rsidRDefault="00000000">
      <w:pPr>
        <w:pStyle w:val="pheading"/>
      </w:pPr>
      <w:r>
        <w:t>- Finitions</w:t>
      </w:r>
    </w:p>
    <w:p w14:paraId="4F684364"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6DEE3C4D"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78C422B"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0AD3508E"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7C5FE66"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31BD6C57" w14:textId="77777777" w:rsidR="00DB2B68" w:rsidRDefault="00000000">
      <w:pPr>
        <w:ind w:left="750"/>
      </w:pPr>
      <w:r>
        <w:t> </w:t>
      </w:r>
    </w:p>
    <w:p w14:paraId="4AF224EA" w14:textId="77777777" w:rsidR="00DB2B68" w:rsidRDefault="00000000">
      <w:pPr>
        <w:pStyle w:val="pheading"/>
      </w:pPr>
      <w:r>
        <w:t>EXÉCUTION / MISE EN ŒUVRE</w:t>
      </w:r>
    </w:p>
    <w:p w14:paraId="467F00A5" w14:textId="77777777" w:rsidR="00DB2B68" w:rsidRDefault="00000000">
      <w:pPr>
        <w:pStyle w:val="pheading"/>
      </w:pPr>
      <w:r>
        <w:t>- Prescriptions générales</w:t>
      </w:r>
    </w:p>
    <w:p w14:paraId="11489967" w14:textId="77777777" w:rsidR="00DB2B68" w:rsidRDefault="00000000">
      <w:pPr>
        <w:spacing w:line="259" w:lineRule="auto"/>
      </w:pPr>
      <w:r>
        <w:t xml:space="preserve">La maçonnerie est exécutée en appareil </w:t>
      </w:r>
      <w:r>
        <w:rPr>
          <w:rStyle w:val="optioncarChar"/>
        </w:rPr>
        <w:t>d'une demi-bloc / ***</w:t>
      </w:r>
    </w:p>
    <w:p w14:paraId="2931C7A1"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75C442B4" w14:textId="77777777" w:rsidR="00DB2B68" w:rsidRDefault="00DB2B68"/>
    <w:p w14:paraId="053FDDB8" w14:textId="77777777" w:rsidR="00DB2B68" w:rsidRDefault="00000000">
      <w:pPr>
        <w:spacing w:line="259" w:lineRule="auto"/>
      </w:pPr>
      <w:r>
        <w:rPr>
          <w:rStyle w:val="normalChar"/>
          <w:b/>
          <w:color w:val="000000"/>
        </w:rPr>
        <w:t>LINTEAUX</w:t>
      </w:r>
    </w:p>
    <w:p w14:paraId="7E2985BA"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19FC1F04" w14:textId="77777777" w:rsidR="00DB2B68" w:rsidRDefault="00000000">
      <w:r>
        <w:rPr>
          <w:b/>
        </w:rPr>
        <w:t>(soit par défaut)</w:t>
      </w:r>
    </w:p>
    <w:p w14:paraId="783EAC66" w14:textId="77777777" w:rsidR="00DB2B68" w:rsidRDefault="00000000">
      <w:r>
        <w:rPr>
          <w:rStyle w:val="soitChar"/>
          <w:u w:val="single"/>
        </w:rPr>
        <w:lastRenderedPageBreak/>
        <w:t>D'une armature et de crochets de mur</w:t>
      </w:r>
      <w:r>
        <w:rPr>
          <w:rStyle w:val="soitChar"/>
        </w:rPr>
        <w:t>  :</w:t>
      </w:r>
    </w:p>
    <w:p w14:paraId="1768BDFE" w14:textId="77777777" w:rsidR="00DB2B68" w:rsidRDefault="00000000">
      <w:r>
        <w:rPr>
          <w:rStyle w:val="soitChar"/>
        </w:rPr>
        <w:t>L’armature est conforme aux descriptions du 21.41.1</w:t>
      </w:r>
      <w:r>
        <w:br/>
      </w:r>
      <w:r>
        <w:rPr>
          <w:color w:val="33CCCC"/>
        </w:rPr>
        <w:t>Les crochets sont prévus tous les</w:t>
      </w:r>
      <w:r>
        <w:rPr>
          <w:rStyle w:val="optioncarChar"/>
        </w:rPr>
        <w:t>***</w:t>
      </w:r>
      <w: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284D7358" w14:textId="77777777" w:rsidR="00DB2B68" w:rsidRDefault="00000000">
      <w:r>
        <w:rPr>
          <w:b/>
        </w:rPr>
        <w:t>(soit)</w:t>
      </w:r>
    </w:p>
    <w:p w14:paraId="3E4EC80B"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6F5D1600" w14:textId="77777777" w:rsidR="00DB2B68" w:rsidRDefault="00000000">
      <w:r>
        <w:rPr>
          <w:b/>
        </w:rPr>
        <w:t>(soit)</w:t>
      </w:r>
    </w:p>
    <w:p w14:paraId="6121ED31"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6D955FEB" w14:textId="77777777" w:rsidR="00DB2B68" w:rsidRDefault="00000000">
      <w:r>
        <w:rPr>
          <w:b/>
        </w:rPr>
        <w:t>(soit)</w:t>
      </w:r>
    </w:p>
    <w:p w14:paraId="168DA286" w14:textId="77777777" w:rsidR="00DB2B68"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52A0B4BD" w14:textId="77777777" w:rsidR="00DB2B68" w:rsidRDefault="00000000">
      <w:r>
        <w:rPr>
          <w:b/>
        </w:rPr>
        <w:t>(soit)</w:t>
      </w:r>
    </w:p>
    <w:p w14:paraId="7A428A21" w14:textId="77777777" w:rsidR="00DB2B68" w:rsidRDefault="00000000">
      <w:r>
        <w:rPr>
          <w:rStyle w:val="optioncarChar"/>
        </w:rPr>
        <w:t> ***</w:t>
      </w:r>
    </w:p>
    <w:p w14:paraId="65B9FB2A" w14:textId="77777777" w:rsidR="00DB2B68" w:rsidRDefault="00000000">
      <w:pPr>
        <w:pStyle w:val="pheading"/>
      </w:pPr>
      <w:r>
        <w:t>- Notes d’exécution complémentaires</w:t>
      </w:r>
    </w:p>
    <w:p w14:paraId="2AE558BE" w14:textId="77777777" w:rsidR="00DB2B68"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3B8A4CBC" w14:textId="77777777" w:rsidR="00DB2B68" w:rsidRDefault="00000000">
      <w:r>
        <w:t xml:space="preserve">• Armatures : selon l'article </w:t>
      </w:r>
      <w:hyperlink w:anchor="357" w:history="1">
        <w:r>
          <w:rPr>
            <w:color w:val="0000EE"/>
          </w:rPr>
          <w:t>21.41.1 Armatures horizontales pour maçonneries</w:t>
        </w:r>
      </w:hyperlink>
    </w:p>
    <w:p w14:paraId="43AEAEB9" w14:textId="77777777" w:rsidR="00DB2B68" w:rsidRDefault="00000000">
      <w:r>
        <w:t xml:space="preserve">• Ancrages : selon l'article </w:t>
      </w:r>
      <w:hyperlink w:anchor="364" w:history="1">
        <w:r>
          <w:rPr>
            <w:color w:val="0000EE"/>
          </w:rPr>
          <w:t>21.42 Ancrages et fixations de maçonneries</w:t>
        </w:r>
      </w:hyperlink>
    </w:p>
    <w:p w14:paraId="1F71D4AA" w14:textId="77777777" w:rsidR="00DB2B68" w:rsidRDefault="00000000">
      <w:r>
        <w:t xml:space="preserve">Blocs spéciaux : </w:t>
      </w:r>
      <w:r>
        <w:rPr>
          <w:rStyle w:val="optioncarChar"/>
        </w:rPr>
        <w:t>***</w:t>
      </w:r>
    </w:p>
    <w:p w14:paraId="6CF82EFC" w14:textId="77777777" w:rsidR="00DB2B68" w:rsidRDefault="00000000">
      <w:r>
        <w:t xml:space="preserve">Étanchéité : </w:t>
      </w:r>
      <w:r>
        <w:rPr>
          <w:rStyle w:val="optioncarChar"/>
        </w:rPr>
        <w:t>***</w:t>
      </w:r>
    </w:p>
    <w:p w14:paraId="082F605A" w14:textId="77777777" w:rsidR="00DB2B68" w:rsidRDefault="00000000">
      <w:r>
        <w:t xml:space="preserve">Joints de dilatation : </w:t>
      </w:r>
      <w:r>
        <w:rPr>
          <w:rStyle w:val="optioncarChar"/>
        </w:rPr>
        <w:t>***</w:t>
      </w:r>
    </w:p>
    <w:p w14:paraId="1C901844" w14:textId="77777777" w:rsidR="00DB2B68" w:rsidRDefault="00000000">
      <w:pPr>
        <w:pStyle w:val="pheading"/>
      </w:pPr>
      <w:r>
        <w:t>MESURAGE</w:t>
      </w:r>
    </w:p>
    <w:p w14:paraId="5EFFABB0" w14:textId="77777777" w:rsidR="00DB2B68" w:rsidRDefault="00000000">
      <w:pPr>
        <w:pStyle w:val="pheading"/>
      </w:pPr>
      <w:r>
        <w:t>- unité de mesure:</w:t>
      </w:r>
    </w:p>
    <w:p w14:paraId="116A679E" w14:textId="77777777" w:rsidR="00DB2B68" w:rsidRDefault="00000000">
      <w:r>
        <w:rPr>
          <w:rStyle w:val="optioncarChar"/>
        </w:rPr>
        <w:t>m² </w:t>
      </w:r>
      <w:r>
        <w:rPr>
          <w:rStyle w:val="optioncarChar"/>
          <w:color w:val="000000"/>
        </w:rPr>
        <w:t>(par défaut)</w:t>
      </w:r>
      <w:r>
        <w:rPr>
          <w:rStyle w:val="optioncarChar"/>
        </w:rPr>
        <w:t> / m³</w:t>
      </w:r>
    </w:p>
    <w:p w14:paraId="3A15C25C" w14:textId="77777777" w:rsidR="00DB2B68" w:rsidRDefault="00000000">
      <w:pPr>
        <w:spacing w:after="0" w:line="0" w:lineRule="atLeast"/>
      </w:pPr>
      <w:r>
        <w:rPr>
          <w:b/>
          <w:color w:val="000000"/>
        </w:rPr>
        <w:t>(soit par défaut)</w:t>
      </w:r>
    </w:p>
    <w:p w14:paraId="6FCE1278" w14:textId="77777777" w:rsidR="00DB2B68" w:rsidRDefault="00000000">
      <w:pPr>
        <w:spacing w:after="0" w:line="0" w:lineRule="atLeast"/>
      </w:pPr>
      <w:r>
        <w:rPr>
          <w:rStyle w:val="soitChar"/>
        </w:rPr>
        <w:t>1. m²</w:t>
      </w:r>
    </w:p>
    <w:p w14:paraId="4FA777A2" w14:textId="77777777" w:rsidR="00DB2B68" w:rsidRDefault="00000000">
      <w:pPr>
        <w:spacing w:after="0" w:line="0" w:lineRule="atLeast"/>
      </w:pPr>
      <w:r>
        <w:rPr>
          <w:b/>
          <w:color w:val="000000"/>
        </w:rPr>
        <w:t>(soit)</w:t>
      </w:r>
    </w:p>
    <w:p w14:paraId="66A56D5F" w14:textId="77777777" w:rsidR="00DB2B68" w:rsidRDefault="00000000">
      <w:pPr>
        <w:spacing w:after="0" w:line="0" w:lineRule="atLeast"/>
      </w:pPr>
      <w:r>
        <w:rPr>
          <w:rStyle w:val="soitChar"/>
        </w:rPr>
        <w:t>2. m³</w:t>
      </w:r>
    </w:p>
    <w:p w14:paraId="7361C873" w14:textId="77777777" w:rsidR="00DB2B68" w:rsidRDefault="00000000">
      <w:pPr>
        <w:pStyle w:val="pheading"/>
      </w:pPr>
      <w:r>
        <w:t>- code de mesurage:</w:t>
      </w:r>
    </w:p>
    <w:p w14:paraId="0953D60C" w14:textId="77777777" w:rsidR="00DB2B68" w:rsidRDefault="00000000">
      <w:pPr>
        <w:spacing w:before="0" w:after="0"/>
      </w:pPr>
      <w:r>
        <w:t>Les maçonneries sont mesurées en fonction de leur forme géométrique.</w:t>
      </w:r>
    </w:p>
    <w:p w14:paraId="70473DFB"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7821CC27" w14:textId="77777777" w:rsidR="00DB2B68" w:rsidRDefault="00000000">
      <w:pPr>
        <w:spacing w:before="0" w:after="0"/>
      </w:pPr>
      <w:r>
        <w:t>La coulisse n'est jamais prise en compte.</w:t>
      </w:r>
    </w:p>
    <w:p w14:paraId="43A1EBAE" w14:textId="77777777" w:rsidR="00DB2B68" w:rsidRDefault="00000000">
      <w:pPr>
        <w:spacing w:after="0" w:line="259" w:lineRule="auto"/>
      </w:pPr>
      <w:r>
        <w:rPr>
          <w:rStyle w:val="normalChar"/>
        </w:rPr>
        <w:t>Les accessoires (linteaux non décrits et non comptés dans un autre poste, attaches, …) sont compris dans le prix.</w:t>
      </w:r>
    </w:p>
    <w:p w14:paraId="35DB4143" w14:textId="77777777" w:rsidR="00DB2B68" w:rsidRDefault="00000000">
      <w:pPr>
        <w:spacing w:after="0" w:line="259" w:lineRule="auto"/>
      </w:pPr>
      <w:r>
        <w:rPr>
          <w:rStyle w:val="normalChar"/>
        </w:rPr>
        <w:t>Sont entre-autres décrits et comptés dans un autre poste :</w:t>
      </w:r>
    </w:p>
    <w:p w14:paraId="37637305" w14:textId="77777777" w:rsidR="00DB2B68" w:rsidRDefault="00000000">
      <w:pPr>
        <w:pStyle w:val="Author-eListParagraph"/>
        <w:numPr>
          <w:ilvl w:val="0"/>
          <w:numId w:val="253"/>
        </w:numPr>
      </w:pPr>
      <w:r>
        <w:rPr>
          <w:rStyle w:val="normalChar"/>
        </w:rPr>
        <w:lastRenderedPageBreak/>
        <w:t xml:space="preserve">Les linteaux apparents en béton, pierre reconstituée et en pierre sont décrits et comptés en </w:t>
      </w:r>
      <w:hyperlink w:anchor="402" w:history="1">
        <w:r>
          <w:rPr>
            <w:rStyle w:val="normalChar"/>
            <w:color w:val="0000EE"/>
          </w:rPr>
          <w:t>21.36.3 Linteaux</w:t>
        </w:r>
      </w:hyperlink>
    </w:p>
    <w:p w14:paraId="7D404BD2" w14:textId="77777777" w:rsidR="00DB2B68" w:rsidRDefault="00000000">
      <w:pPr>
        <w:pStyle w:val="Author-eListParagraph"/>
        <w:numPr>
          <w:ilvl w:val="0"/>
          <w:numId w:val="253"/>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26A9C2A8" w14:textId="77777777" w:rsidR="00DB2B68" w:rsidRDefault="00000000">
      <w:pPr>
        <w:pStyle w:val="Author-eListParagraph"/>
        <w:numPr>
          <w:ilvl w:val="0"/>
          <w:numId w:val="253"/>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599D7B2D" w14:textId="77777777" w:rsidR="00DB2B68" w:rsidRDefault="00000000">
      <w:pPr>
        <w:spacing w:line="252" w:lineRule="auto"/>
      </w:pPr>
      <w:r>
        <w:rPr>
          <w:rStyle w:val="optioncarChar"/>
        </w:rPr>
        <w:t>Surface nette </w:t>
      </w:r>
      <w:r>
        <w:rPr>
          <w:rStyle w:val="optioncarChar"/>
          <w:color w:val="000000"/>
        </w:rPr>
        <w:t>(par défaut)</w:t>
      </w:r>
      <w:r>
        <w:rPr>
          <w:rStyle w:val="optioncarChar"/>
        </w:rPr>
        <w:t> / volume net</w:t>
      </w:r>
    </w:p>
    <w:p w14:paraId="098B4684" w14:textId="77777777" w:rsidR="00DB2B68" w:rsidRDefault="00000000">
      <w:pPr>
        <w:spacing w:after="0" w:line="252" w:lineRule="auto"/>
      </w:pPr>
      <w:r>
        <w:rPr>
          <w:b/>
          <w:color w:val="000000"/>
        </w:rPr>
        <w:t>(soit par défaut)</w:t>
      </w:r>
    </w:p>
    <w:p w14:paraId="3F1CEF46" w14:textId="77777777" w:rsidR="00DB2B68" w:rsidRDefault="00000000">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5414288B" w14:textId="77777777" w:rsidR="00DB2B68" w:rsidRDefault="00000000">
      <w:pPr>
        <w:spacing w:after="0" w:line="252" w:lineRule="auto"/>
      </w:pPr>
      <w:r>
        <w:rPr>
          <w:rStyle w:val="soitChar"/>
        </w:rPr>
        <w:t>Distinction faite suivant l'épaisseur.</w:t>
      </w:r>
    </w:p>
    <w:p w14:paraId="24644DB7" w14:textId="77777777" w:rsidR="00DB2B68" w:rsidRDefault="00000000">
      <w:pPr>
        <w:spacing w:line="252" w:lineRule="auto"/>
      </w:pPr>
      <w:r>
        <w:rPr>
          <w:b/>
          <w:color w:val="000000"/>
        </w:rPr>
        <w:t>(soit)</w:t>
      </w:r>
    </w:p>
    <w:p w14:paraId="37062A91"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29BC24A"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2C793A8B" w14:textId="77777777" w:rsidR="00DB2B68" w:rsidRDefault="00000000">
      <w:pPr>
        <w:pStyle w:val="pheading"/>
      </w:pPr>
      <w:r>
        <w:t>- nature du marché:</w:t>
      </w:r>
    </w:p>
    <w:p w14:paraId="41C7C00A" w14:textId="77777777" w:rsidR="00DB2B68" w:rsidRDefault="00000000">
      <w:r>
        <w:t>QF</w:t>
      </w:r>
    </w:p>
    <w:p w14:paraId="271F0C70" w14:textId="77777777" w:rsidR="00DB2B68" w:rsidRDefault="00000000">
      <w:pPr>
        <w:pStyle w:val="Author-eSectionHeading6Numberless"/>
      </w:pPr>
      <w:bookmarkStart w:id="261" w:name="_Toc220495387"/>
      <w:r>
        <w:t>21.32.2d Maçonneries de parement en blocs de béton creux à coller CCTB 01.11</w:t>
      </w:r>
      <w:bookmarkEnd w:id="261"/>
    </w:p>
    <w:p w14:paraId="6D2CDF21" w14:textId="77777777" w:rsidR="00DB2B68" w:rsidRDefault="00000000">
      <w:pPr>
        <w:pStyle w:val="pheading"/>
      </w:pPr>
      <w:r>
        <w:t>DESCRIPTION</w:t>
      </w:r>
    </w:p>
    <w:p w14:paraId="6D78E8E6" w14:textId="77777777" w:rsidR="00DB2B68" w:rsidRDefault="00000000">
      <w:pPr>
        <w:pStyle w:val="pheading"/>
      </w:pPr>
      <w:r>
        <w:t>- Définition / Comprend</w:t>
      </w:r>
    </w:p>
    <w:p w14:paraId="528BBFC2" w14:textId="77777777" w:rsidR="00DB2B68" w:rsidRDefault="00000000">
      <w:r>
        <w:t>Il s’agit de la fourniture et la pose de maçonneries de parement en blocs de béton creux à coller.</w:t>
      </w:r>
    </w:p>
    <w:p w14:paraId="56484739" w14:textId="77777777" w:rsidR="00DB2B68" w:rsidRDefault="00000000">
      <w:r>
        <w:t>La portée des travaux est décrite dans l’article </w:t>
      </w:r>
      <w:hyperlink w:anchor="381" w:history="1">
        <w:r>
          <w:rPr>
            <w:color w:val="0000EE"/>
          </w:rPr>
          <w:t>21.3 Maçonneries de parement</w:t>
        </w:r>
      </w:hyperlink>
      <w:r>
        <w:t>.</w:t>
      </w:r>
    </w:p>
    <w:p w14:paraId="2DE13611" w14:textId="77777777" w:rsidR="00DB2B68" w:rsidRDefault="00000000">
      <w:pPr>
        <w:pStyle w:val="pheading"/>
      </w:pPr>
      <w:r>
        <w:t>- Localisation</w:t>
      </w:r>
    </w:p>
    <w:p w14:paraId="33E3F448" w14:textId="77777777" w:rsidR="00DB2B68" w:rsidRDefault="00000000">
      <w:r>
        <w:t xml:space="preserve">La pose est réalisée aux endroits suivants : </w:t>
      </w:r>
      <w:r>
        <w:rPr>
          <w:rStyle w:val="optioncarChar"/>
        </w:rPr>
        <w:t>***</w:t>
      </w:r>
      <w:r>
        <w:t>.</w:t>
      </w:r>
      <w:r>
        <w:br/>
        <w:t>Voir plans et métrés détaillés.</w:t>
      </w:r>
    </w:p>
    <w:p w14:paraId="4B1F3A48" w14:textId="77777777" w:rsidR="00DB2B68" w:rsidRDefault="00000000">
      <w:pPr>
        <w:pStyle w:val="pheading"/>
      </w:pPr>
      <w:r>
        <w:t>MATÉRIAUX</w:t>
      </w:r>
    </w:p>
    <w:p w14:paraId="080BCAFB" w14:textId="77777777" w:rsidR="00DB2B68" w:rsidRDefault="00000000">
      <w:pPr>
        <w:pStyle w:val="pheading"/>
      </w:pPr>
      <w:r>
        <w:t>- Caractéristiques générales</w:t>
      </w:r>
    </w:p>
    <w:p w14:paraId="4776A519" w14:textId="77777777" w:rsidR="00DB2B68" w:rsidRDefault="00000000">
      <w:r>
        <w:rPr>
          <w:rStyle w:val="headingChar"/>
          <w:color w:val="000000"/>
        </w:rPr>
        <w:t>Blocs</w:t>
      </w:r>
    </w:p>
    <w:p w14:paraId="2DA8867A" w14:textId="77777777" w:rsidR="00DB2B68"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353BBA5B" w14:textId="77777777" w:rsidR="00DB2B68"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4F690C33" w14:textId="77777777" w:rsidR="00DB2B68" w:rsidRDefault="00000000">
      <w:pPr>
        <w:spacing w:after="0" w:line="0" w:lineRule="atLeast"/>
      </w:pPr>
      <w:r>
        <w:rPr>
          <w:color w:val="000000"/>
        </w:rPr>
        <w:t xml:space="preserve">Le groupe de configuration suivant [PTV 21-001]  est: </w:t>
      </w:r>
      <w:r>
        <w:rPr>
          <w:rStyle w:val="optioncarChar"/>
          <w:color w:val="000000"/>
        </w:rPr>
        <w:t>1 / 2 / 3 / 4</w:t>
      </w:r>
    </w:p>
    <w:p w14:paraId="0C05E3E3" w14:textId="77777777" w:rsidR="00DB2B68"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59042965" w14:textId="77777777" w:rsidR="00DB2B68" w:rsidRDefault="00000000">
      <w:pPr>
        <w:spacing w:after="0" w:line="0" w:lineRule="atLeast"/>
      </w:pPr>
      <w:r>
        <w:rPr>
          <w:color w:val="000000"/>
        </w:rPr>
        <w:t xml:space="preserve">La conductibilité thermique λD est compatible avec la valeur U prescrite pour la paroi. </w:t>
      </w:r>
    </w:p>
    <w:p w14:paraId="0FB4EECC" w14:textId="77777777" w:rsidR="00DB2B68" w:rsidRDefault="00000000">
      <w:pPr>
        <w:spacing w:after="0" w:line="0" w:lineRule="atLeast"/>
      </w:pPr>
      <w:r>
        <w:rPr>
          <w:color w:val="000000"/>
        </w:rPr>
        <w:t xml:space="preserve">Boutisse : </w:t>
      </w:r>
      <w:r>
        <w:t>plate</w:t>
      </w:r>
    </w:p>
    <w:p w14:paraId="2B39B930" w14:textId="77777777" w:rsidR="00DB2B68" w:rsidRDefault="00000000">
      <w:pPr>
        <w:spacing w:after="0" w:line="0" w:lineRule="atLeast"/>
      </w:pPr>
      <w:r>
        <w:rPr>
          <w:color w:val="000000"/>
        </w:rPr>
        <w:t xml:space="preserve">Face qui reste visible : </w:t>
      </w:r>
      <w:r>
        <w:rPr>
          <w:rStyle w:val="optioncarChar"/>
          <w:color w:val="000000"/>
        </w:rPr>
        <w:t>lisse / ***</w:t>
      </w:r>
    </w:p>
    <w:p w14:paraId="60823F4D" w14:textId="77777777" w:rsidR="00DB2B68"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7FC35724" w14:textId="77777777" w:rsidR="00DB2B68"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03F30F0C" w14:textId="77777777" w:rsidR="00DB2B68" w:rsidRDefault="00000000">
      <w:pPr>
        <w:spacing w:after="0" w:line="0" w:lineRule="atLeast"/>
      </w:pPr>
      <w:r>
        <w:rPr>
          <w:color w:val="000000"/>
        </w:rPr>
        <w:t>Réaction au feu :</w:t>
      </w:r>
      <w:r>
        <w:rPr>
          <w:rStyle w:val="optioncarChar"/>
          <w:color w:val="000000"/>
        </w:rPr>
        <w:t xml:space="preserve"> A1 </w:t>
      </w:r>
      <w:r>
        <w:t>(par défaut)</w:t>
      </w:r>
      <w:r>
        <w:rPr>
          <w:rStyle w:val="optioncarChar"/>
          <w:color w:val="000000"/>
        </w:rPr>
        <w:t xml:space="preserve"> / ***</w:t>
      </w:r>
    </w:p>
    <w:p w14:paraId="1E94E25A" w14:textId="77777777" w:rsidR="00DB2B68" w:rsidRDefault="00DB2B68"/>
    <w:p w14:paraId="50BC69DD" w14:textId="77777777" w:rsidR="00DB2B68" w:rsidRDefault="00000000">
      <w:pPr>
        <w:spacing w:after="0" w:line="0" w:lineRule="atLeast"/>
      </w:pPr>
      <w:r>
        <w:rPr>
          <w:rStyle w:val="headingChar"/>
          <w:color w:val="000000"/>
        </w:rPr>
        <w:lastRenderedPageBreak/>
        <w:t>Mortier</w:t>
      </w:r>
    </w:p>
    <w:p w14:paraId="673634F3" w14:textId="77777777" w:rsidR="00DB2B68" w:rsidRDefault="00000000">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14:paraId="259A3D2C" w14:textId="77777777" w:rsidR="00DB2B68"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2929943B" w14:textId="77777777" w:rsidR="00DB2B68"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3B286DB5" w14:textId="77777777" w:rsidR="00DB2B68" w:rsidRDefault="00000000">
      <w:pPr>
        <w:spacing w:line="259" w:lineRule="auto"/>
      </w:pPr>
      <w:r>
        <w:rPr>
          <w:color w:val="000000"/>
        </w:rPr>
        <w:t xml:space="preserve">Résistance au gel : </w:t>
      </w:r>
      <w:r>
        <w:rPr>
          <w:rStyle w:val="optioncarChar"/>
          <w:color w:val="000000"/>
        </w:rPr>
        <w:t>oui</w:t>
      </w:r>
    </w:p>
    <w:p w14:paraId="19057D2B" w14:textId="77777777" w:rsidR="00DB2B68" w:rsidRDefault="00DB2B68"/>
    <w:p w14:paraId="029F87E2" w14:textId="77777777" w:rsidR="00DB2B68" w:rsidRDefault="00000000">
      <w:pPr>
        <w:spacing w:line="259" w:lineRule="auto"/>
      </w:pPr>
      <w:r>
        <w:rPr>
          <w:rStyle w:val="headingChar"/>
          <w:color w:val="000000"/>
        </w:rPr>
        <w:t>Critères de performances du parement</w:t>
      </w:r>
    </w:p>
    <w:p w14:paraId="3D2C917D" w14:textId="77777777" w:rsidR="00DB2B68" w:rsidRDefault="00000000">
      <w:pPr>
        <w:spacing w:line="259" w:lineRule="auto"/>
      </w:pPr>
      <w:r>
        <w:t>V</w:t>
      </w:r>
      <w:r>
        <w:rPr>
          <w:color w:val="000000"/>
        </w:rPr>
        <w:t>aleur λUi ou λUe maximum *** W/mK (suivant l’application).</w:t>
      </w:r>
    </w:p>
    <w:p w14:paraId="71D63E94" w14:textId="77777777" w:rsidR="00DB2B68" w:rsidRDefault="00000000">
      <w:pPr>
        <w:pStyle w:val="pheading"/>
      </w:pPr>
      <w:r>
        <w:t>- Finitions</w:t>
      </w:r>
    </w:p>
    <w:p w14:paraId="432BA043"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7BB004C6"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AB4295A"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5CA31A44"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783381DC"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6B09C8FC" w14:textId="77777777" w:rsidR="00DB2B68" w:rsidRDefault="00000000">
      <w:pPr>
        <w:ind w:left="750"/>
      </w:pPr>
      <w:r>
        <w:t> </w:t>
      </w:r>
    </w:p>
    <w:p w14:paraId="71705352" w14:textId="77777777" w:rsidR="00DB2B68" w:rsidRDefault="00000000">
      <w:pPr>
        <w:pStyle w:val="pheading"/>
      </w:pPr>
      <w:r>
        <w:t>EXÉCUTION / MISE EN ŒUVRE</w:t>
      </w:r>
    </w:p>
    <w:p w14:paraId="7D3960A7" w14:textId="77777777" w:rsidR="00DB2B68" w:rsidRDefault="00000000">
      <w:pPr>
        <w:pStyle w:val="pheading"/>
      </w:pPr>
      <w:r>
        <w:t>- Prescriptions générales</w:t>
      </w:r>
    </w:p>
    <w:p w14:paraId="1D3DEE37" w14:textId="77777777" w:rsidR="00DB2B68" w:rsidRDefault="00000000">
      <w:pPr>
        <w:spacing w:line="259" w:lineRule="auto"/>
      </w:pPr>
      <w:r>
        <w:t>La maçonnerie est exécutée en appareil</w:t>
      </w:r>
      <w:r>
        <w:rPr>
          <w:rStyle w:val="optioncarChar"/>
        </w:rPr>
        <w:t xml:space="preserve"> d'</w:t>
      </w:r>
      <w:r>
        <w:rPr>
          <w:rStyle w:val="normalChar"/>
          <w:color w:val="FF0000"/>
        </w:rPr>
        <w:t>une demi-bloc / ***</w:t>
      </w:r>
    </w:p>
    <w:p w14:paraId="6BE87E15"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5139DE1E" w14:textId="77777777" w:rsidR="00DB2B68" w:rsidRDefault="00DB2B68"/>
    <w:p w14:paraId="340B13B8" w14:textId="77777777" w:rsidR="00DB2B68" w:rsidRDefault="00000000">
      <w:pPr>
        <w:spacing w:line="259" w:lineRule="auto"/>
      </w:pPr>
      <w:r>
        <w:rPr>
          <w:rStyle w:val="normalChar"/>
          <w:b/>
          <w:color w:val="000000"/>
        </w:rPr>
        <w:t>LINTEAUX</w:t>
      </w:r>
    </w:p>
    <w:p w14:paraId="2800461F"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2D8EE9A8" w14:textId="77777777" w:rsidR="00DB2B68" w:rsidRDefault="00000000">
      <w:r>
        <w:rPr>
          <w:b/>
        </w:rPr>
        <w:t>(soit par défaut)</w:t>
      </w:r>
    </w:p>
    <w:p w14:paraId="5EA69611" w14:textId="77777777" w:rsidR="00DB2B68" w:rsidRDefault="00000000">
      <w:r>
        <w:rPr>
          <w:rStyle w:val="soitChar"/>
          <w:u w:val="single"/>
        </w:rPr>
        <w:t>D'une armature et de crochets de mur</w:t>
      </w:r>
      <w:r>
        <w:rPr>
          <w:rStyle w:val="soitChar"/>
        </w:rPr>
        <w:t>  :</w:t>
      </w:r>
    </w:p>
    <w:p w14:paraId="37D7E151" w14:textId="77777777" w:rsidR="00DB2B68" w:rsidRDefault="00000000">
      <w:r>
        <w:rPr>
          <w:rStyle w:val="soitChar"/>
        </w:rPr>
        <w:t>L’armature est conforme aux descriptions du 21.41.1</w:t>
      </w:r>
      <w:r>
        <w:br/>
      </w:r>
      <w:r>
        <w:rPr>
          <w:color w:val="33CCCC"/>
        </w:rPr>
        <w:t>Les crochets sont prévus tous les </w:t>
      </w:r>
      <w:r>
        <w:rPr>
          <w:rStyle w:val="optioncarChar"/>
        </w:rPr>
        <w:t>***</w:t>
      </w:r>
      <w:r>
        <w:rPr>
          <w:rStyle w:val="optioncarChar"/>
          <w:color w:val="000000"/>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6FEBC3C7" w14:textId="77777777" w:rsidR="00DB2B68" w:rsidRDefault="00000000">
      <w:r>
        <w:rPr>
          <w:b/>
        </w:rPr>
        <w:t>(soit)</w:t>
      </w:r>
    </w:p>
    <w:p w14:paraId="42C2A3F3"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40188874" w14:textId="77777777" w:rsidR="00DB2B68" w:rsidRDefault="00000000">
      <w:r>
        <w:rPr>
          <w:b/>
        </w:rPr>
        <w:t>(soit)</w:t>
      </w:r>
    </w:p>
    <w:p w14:paraId="0837A88E" w14:textId="77777777" w:rsidR="00DB2B68" w:rsidRDefault="00000000">
      <w:r>
        <w:rPr>
          <w:rStyle w:val="soitChar"/>
          <w:u w:val="single"/>
        </w:rPr>
        <w:lastRenderedPageBreak/>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5A49FDF7" w14:textId="77777777" w:rsidR="00DB2B68" w:rsidRDefault="00000000">
      <w:r>
        <w:rPr>
          <w:b/>
        </w:rPr>
        <w:t>(soit)</w:t>
      </w:r>
    </w:p>
    <w:p w14:paraId="63A0D747" w14:textId="77777777" w:rsidR="00DB2B68"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2C6FA3DF" w14:textId="77777777" w:rsidR="00DB2B68" w:rsidRDefault="00000000">
      <w:r>
        <w:rPr>
          <w:b/>
        </w:rPr>
        <w:t>(soit)</w:t>
      </w:r>
    </w:p>
    <w:p w14:paraId="51EE7D20" w14:textId="77777777" w:rsidR="00DB2B68" w:rsidRDefault="00000000">
      <w:r>
        <w:rPr>
          <w:rStyle w:val="optioncarChar"/>
        </w:rPr>
        <w:t> ***</w:t>
      </w:r>
    </w:p>
    <w:p w14:paraId="454309AB" w14:textId="77777777" w:rsidR="00DB2B68" w:rsidRDefault="00000000">
      <w:pPr>
        <w:pStyle w:val="pheading"/>
      </w:pPr>
      <w:r>
        <w:t>- Notes d’exécution complémentaires</w:t>
      </w:r>
    </w:p>
    <w:p w14:paraId="37D6C52E" w14:textId="77777777" w:rsidR="00DB2B68"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45574A4E" w14:textId="77777777" w:rsidR="00DB2B68" w:rsidRDefault="00000000">
      <w:r>
        <w:t xml:space="preserve">• Armatures : selon l'article </w:t>
      </w:r>
      <w:hyperlink w:anchor="357" w:history="1">
        <w:r>
          <w:rPr>
            <w:color w:val="0000EE"/>
          </w:rPr>
          <w:t>21.41.1 Armatures horizontales pour maçonneries</w:t>
        </w:r>
      </w:hyperlink>
      <w:r>
        <w:t> </w:t>
      </w:r>
    </w:p>
    <w:p w14:paraId="40CA6EF3" w14:textId="77777777" w:rsidR="00DB2B68" w:rsidRDefault="00000000">
      <w:r>
        <w:t xml:space="preserve">• Ancrages : selon l'article </w:t>
      </w:r>
      <w:hyperlink w:anchor="364" w:history="1">
        <w:r>
          <w:rPr>
            <w:color w:val="0000EE"/>
          </w:rPr>
          <w:t>21.42 Ancrages et fixations de maçonneries</w:t>
        </w:r>
      </w:hyperlink>
    </w:p>
    <w:p w14:paraId="310F273C" w14:textId="77777777" w:rsidR="00DB2B68" w:rsidRDefault="00000000">
      <w:r>
        <w:t xml:space="preserve">Blocs spéciaux : </w:t>
      </w:r>
      <w:r>
        <w:rPr>
          <w:rStyle w:val="optioncarChar"/>
        </w:rPr>
        <w:t>***</w:t>
      </w:r>
    </w:p>
    <w:p w14:paraId="2D610329" w14:textId="77777777" w:rsidR="00DB2B68" w:rsidRDefault="00000000">
      <w:r>
        <w:t xml:space="preserve">Étanchéité : </w:t>
      </w:r>
      <w:r>
        <w:rPr>
          <w:rStyle w:val="optioncarChar"/>
        </w:rPr>
        <w:t>***</w:t>
      </w:r>
    </w:p>
    <w:p w14:paraId="7DC317FA" w14:textId="77777777" w:rsidR="00DB2B68" w:rsidRDefault="00000000">
      <w:r>
        <w:t xml:space="preserve">Joints de dilatation : </w:t>
      </w:r>
      <w:r>
        <w:rPr>
          <w:rStyle w:val="optioncarChar"/>
        </w:rPr>
        <w:t>***</w:t>
      </w:r>
    </w:p>
    <w:p w14:paraId="407BDB17" w14:textId="77777777" w:rsidR="00DB2B68" w:rsidRDefault="00000000">
      <w:pPr>
        <w:pStyle w:val="pheading"/>
      </w:pPr>
      <w:r>
        <w:t>MESURAGE</w:t>
      </w:r>
    </w:p>
    <w:p w14:paraId="6A90D233" w14:textId="77777777" w:rsidR="00DB2B68" w:rsidRDefault="00000000">
      <w:pPr>
        <w:pStyle w:val="pheading"/>
      </w:pPr>
      <w:r>
        <w:t>- unité de mesure:</w:t>
      </w:r>
    </w:p>
    <w:p w14:paraId="50DCEE5B" w14:textId="77777777" w:rsidR="00DB2B68" w:rsidRDefault="00000000">
      <w:r>
        <w:rPr>
          <w:rStyle w:val="optioncarChar"/>
        </w:rPr>
        <w:t>m² </w:t>
      </w:r>
      <w:r>
        <w:rPr>
          <w:rStyle w:val="optioncarChar"/>
          <w:color w:val="000000"/>
        </w:rPr>
        <w:t>(par défaut)</w:t>
      </w:r>
      <w:r>
        <w:rPr>
          <w:rStyle w:val="optioncarChar"/>
        </w:rPr>
        <w:t> / m³</w:t>
      </w:r>
    </w:p>
    <w:p w14:paraId="46B0EE41" w14:textId="77777777" w:rsidR="00DB2B68" w:rsidRDefault="00000000">
      <w:pPr>
        <w:spacing w:after="0" w:line="0" w:lineRule="atLeast"/>
      </w:pPr>
      <w:r>
        <w:rPr>
          <w:b/>
          <w:color w:val="000000"/>
        </w:rPr>
        <w:t>(soit par défaut)</w:t>
      </w:r>
    </w:p>
    <w:p w14:paraId="0CB0FB40" w14:textId="77777777" w:rsidR="00DB2B68" w:rsidRDefault="00000000">
      <w:pPr>
        <w:spacing w:after="0" w:line="0" w:lineRule="atLeast"/>
      </w:pPr>
      <w:r>
        <w:rPr>
          <w:rStyle w:val="soitChar"/>
        </w:rPr>
        <w:t>1. m²</w:t>
      </w:r>
    </w:p>
    <w:p w14:paraId="7CA36C3C" w14:textId="77777777" w:rsidR="00DB2B68" w:rsidRDefault="00000000">
      <w:pPr>
        <w:spacing w:after="0" w:line="0" w:lineRule="atLeast"/>
      </w:pPr>
      <w:r>
        <w:rPr>
          <w:b/>
          <w:color w:val="000000"/>
        </w:rPr>
        <w:t>(soit)</w:t>
      </w:r>
    </w:p>
    <w:p w14:paraId="247C3D86" w14:textId="77777777" w:rsidR="00DB2B68" w:rsidRDefault="00000000">
      <w:pPr>
        <w:spacing w:after="0" w:line="0" w:lineRule="atLeast"/>
      </w:pPr>
      <w:r>
        <w:rPr>
          <w:rStyle w:val="soitChar"/>
        </w:rPr>
        <w:t>2. m³</w:t>
      </w:r>
    </w:p>
    <w:p w14:paraId="4D50FDBE" w14:textId="77777777" w:rsidR="00DB2B68" w:rsidRDefault="00000000">
      <w:pPr>
        <w:pStyle w:val="pheading"/>
      </w:pPr>
      <w:r>
        <w:t>- code de mesurage:</w:t>
      </w:r>
    </w:p>
    <w:p w14:paraId="3723477A" w14:textId="77777777" w:rsidR="00DB2B68" w:rsidRDefault="00000000">
      <w:pPr>
        <w:spacing w:before="0" w:after="0"/>
      </w:pPr>
      <w:r>
        <w:t>Les maçonneries sont mesurées en fonction de leur forme géométrique.</w:t>
      </w:r>
    </w:p>
    <w:p w14:paraId="5F79EAE9"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6335D372" w14:textId="77777777" w:rsidR="00DB2B68" w:rsidRDefault="00000000">
      <w:pPr>
        <w:spacing w:before="0" w:after="0"/>
      </w:pPr>
      <w:r>
        <w:t>La coulisse n'est jamais prise en compte.</w:t>
      </w:r>
    </w:p>
    <w:p w14:paraId="22FD9E59" w14:textId="77777777" w:rsidR="00DB2B68" w:rsidRDefault="00000000">
      <w:pPr>
        <w:spacing w:after="0" w:line="259" w:lineRule="auto"/>
      </w:pPr>
      <w:r>
        <w:rPr>
          <w:rStyle w:val="normalChar"/>
        </w:rPr>
        <w:t>Les accessoires (linteaux non décrits et non comptés dans un autre poste, attaches,…) sont compris dans le prix.</w:t>
      </w:r>
    </w:p>
    <w:p w14:paraId="76B07F51" w14:textId="77777777" w:rsidR="00DB2B68" w:rsidRDefault="00000000">
      <w:pPr>
        <w:spacing w:after="0" w:line="259" w:lineRule="auto"/>
      </w:pPr>
      <w:r>
        <w:rPr>
          <w:rStyle w:val="normalChar"/>
        </w:rPr>
        <w:t>Sont entre-autres décrits et comptés dans un autre poste :</w:t>
      </w:r>
    </w:p>
    <w:p w14:paraId="6C112F19" w14:textId="77777777" w:rsidR="00DB2B68" w:rsidRDefault="00000000">
      <w:pPr>
        <w:pStyle w:val="Author-eListParagraph"/>
        <w:numPr>
          <w:ilvl w:val="0"/>
          <w:numId w:val="254"/>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6A48C8D7" w14:textId="77777777" w:rsidR="00DB2B68" w:rsidRDefault="00000000">
      <w:pPr>
        <w:pStyle w:val="Author-eListParagraph"/>
        <w:numPr>
          <w:ilvl w:val="0"/>
          <w:numId w:val="254"/>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054DDC91" w14:textId="77777777" w:rsidR="00DB2B68" w:rsidRDefault="00000000">
      <w:pPr>
        <w:pStyle w:val="Author-eListParagraph"/>
        <w:numPr>
          <w:ilvl w:val="0"/>
          <w:numId w:val="254"/>
        </w:numPr>
      </w:pPr>
      <w:r>
        <w:rPr>
          <w:rStyle w:val="normalChar"/>
        </w:rPr>
        <w:t xml:space="preserve">Les linteaux apparents en bois sont décrits et comptés en </w:t>
      </w:r>
      <w:hyperlink w:anchor="404" w:history="1">
        <w:r>
          <w:rPr>
            <w:rStyle w:val="normalChar"/>
            <w:color w:val="0000EE"/>
          </w:rPr>
          <w:t>24.13 Poutres et barres en bois</w:t>
        </w:r>
      </w:hyperlink>
    </w:p>
    <w:p w14:paraId="17134ED7" w14:textId="77777777" w:rsidR="00DB2B68" w:rsidRDefault="00000000">
      <w:r>
        <w:rPr>
          <w:rStyle w:val="optioncarChar"/>
        </w:rPr>
        <w:t>Surface nette </w:t>
      </w:r>
      <w:r>
        <w:rPr>
          <w:rStyle w:val="optioncarChar"/>
          <w:color w:val="000000"/>
        </w:rPr>
        <w:t>(par défaut)</w:t>
      </w:r>
      <w:r>
        <w:rPr>
          <w:rStyle w:val="optioncarChar"/>
        </w:rPr>
        <w:t> / volume net</w:t>
      </w:r>
    </w:p>
    <w:p w14:paraId="5AC44F5E" w14:textId="77777777" w:rsidR="00DB2B68" w:rsidRDefault="00000000">
      <w:pPr>
        <w:spacing w:after="0" w:line="252" w:lineRule="auto"/>
      </w:pPr>
      <w:r>
        <w:rPr>
          <w:b/>
          <w:color w:val="000000"/>
        </w:rPr>
        <w:t>(soit par défaut)</w:t>
      </w:r>
    </w:p>
    <w:p w14:paraId="3825AB01" w14:textId="77777777" w:rsidR="00DB2B68" w:rsidRDefault="00000000">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181E27BF" w14:textId="77777777" w:rsidR="00DB2B68" w:rsidRDefault="00000000">
      <w:pPr>
        <w:spacing w:after="0" w:line="252" w:lineRule="auto"/>
      </w:pPr>
      <w:r>
        <w:rPr>
          <w:rStyle w:val="soitChar"/>
        </w:rPr>
        <w:t>Distinction faite suivant l'épaisseur.</w:t>
      </w:r>
    </w:p>
    <w:p w14:paraId="57E790D1" w14:textId="77777777" w:rsidR="00DB2B68" w:rsidRDefault="00000000">
      <w:pPr>
        <w:spacing w:line="252" w:lineRule="auto"/>
      </w:pPr>
      <w:r>
        <w:rPr>
          <w:b/>
          <w:color w:val="000000"/>
        </w:rPr>
        <w:t>(soit)</w:t>
      </w:r>
    </w:p>
    <w:p w14:paraId="69AB983C" w14:textId="77777777" w:rsidR="00DB2B68" w:rsidRDefault="00000000">
      <w:pPr>
        <w:spacing w:line="252" w:lineRule="auto"/>
      </w:pPr>
      <w:r>
        <w:rPr>
          <w:rStyle w:val="soitChar"/>
          <w:u w:val="single"/>
        </w:rPr>
        <w:lastRenderedPageBreak/>
        <w:t>Volume net du parement </w:t>
      </w:r>
      <w:r>
        <w:rPr>
          <w:rStyle w:val="soitChar"/>
        </w:rPr>
        <w:t>; la longueur des murs est mesurée dans l'axe de l'élément ; à l’intersection de deux murs, seul le mur le plus épais est considéré. Aucun volume n'est compté deux fois.</w:t>
      </w:r>
    </w:p>
    <w:p w14:paraId="76FC2EBA"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43999C37" w14:textId="77777777" w:rsidR="00DB2B68" w:rsidRDefault="00000000">
      <w:pPr>
        <w:ind w:left="750"/>
      </w:pPr>
      <w:r>
        <w:t> </w:t>
      </w:r>
    </w:p>
    <w:p w14:paraId="770AD38D" w14:textId="77777777" w:rsidR="00DB2B68" w:rsidRDefault="00000000">
      <w:pPr>
        <w:pStyle w:val="pheading"/>
      </w:pPr>
      <w:r>
        <w:t>- nature du marché:</w:t>
      </w:r>
    </w:p>
    <w:p w14:paraId="7562C5CD" w14:textId="77777777" w:rsidR="00DB2B68" w:rsidRDefault="00000000">
      <w:r>
        <w:t>QF</w:t>
      </w:r>
    </w:p>
    <w:p w14:paraId="694B33CB" w14:textId="77777777" w:rsidR="00DB2B68" w:rsidRDefault="00000000">
      <w:pPr>
        <w:pStyle w:val="Author-eSectionHeading6Numberless"/>
      </w:pPr>
      <w:bookmarkStart w:id="262" w:name="_Toc220495388"/>
      <w:r>
        <w:t>21.32.2e Maçonneries de parement en blocs de béton à système de dosage pour liant hydraulique CCTB 01.11</w:t>
      </w:r>
      <w:bookmarkEnd w:id="262"/>
    </w:p>
    <w:p w14:paraId="050EE95D" w14:textId="77777777" w:rsidR="00DB2B68" w:rsidRDefault="00000000">
      <w:pPr>
        <w:pStyle w:val="pheading"/>
      </w:pPr>
      <w:r>
        <w:t>DESCRIPTION</w:t>
      </w:r>
    </w:p>
    <w:p w14:paraId="281B3681" w14:textId="77777777" w:rsidR="00DB2B68" w:rsidRDefault="00000000">
      <w:pPr>
        <w:pStyle w:val="pheading"/>
      </w:pPr>
      <w:r>
        <w:t>- Définition / Comprend</w:t>
      </w:r>
    </w:p>
    <w:p w14:paraId="3706C2AA" w14:textId="77777777" w:rsidR="00DB2B68" w:rsidRDefault="00000000">
      <w:r>
        <w:t>Il s’agit de la fourniture et la pose de maçonneries de parement en blocs de béton.</w:t>
      </w:r>
    </w:p>
    <w:p w14:paraId="1966B865" w14:textId="77777777" w:rsidR="00DB2B68" w:rsidRDefault="00000000">
      <w:r>
        <w:t>La portée des travaux est décrite dans l’article </w:t>
      </w:r>
      <w:hyperlink w:anchor="381" w:history="1">
        <w:r>
          <w:rPr>
            <w:color w:val="0000EE"/>
          </w:rPr>
          <w:t>21.3 Maçonneries de parement</w:t>
        </w:r>
      </w:hyperlink>
      <w:r>
        <w:t>.</w:t>
      </w:r>
    </w:p>
    <w:p w14:paraId="14BCBCDB" w14:textId="77777777" w:rsidR="00DB2B68" w:rsidRDefault="00000000">
      <w:pPr>
        <w:pStyle w:val="pheading"/>
      </w:pPr>
      <w:r>
        <w:t>- Localisation</w:t>
      </w:r>
    </w:p>
    <w:p w14:paraId="27A5DFF2" w14:textId="77777777" w:rsidR="00DB2B68" w:rsidRDefault="00000000">
      <w:r>
        <w:t xml:space="preserve">La pose est réalisée aux endroits suivants : </w:t>
      </w:r>
      <w:r>
        <w:rPr>
          <w:rStyle w:val="optioncarChar"/>
        </w:rPr>
        <w:t>***</w:t>
      </w:r>
      <w:r>
        <w:t>.</w:t>
      </w:r>
      <w:r>
        <w:br/>
        <w:t>Voir plans et métrés détaillés.</w:t>
      </w:r>
    </w:p>
    <w:p w14:paraId="218D1E35" w14:textId="77777777" w:rsidR="00DB2B68" w:rsidRDefault="00000000">
      <w:pPr>
        <w:pStyle w:val="pheading"/>
      </w:pPr>
      <w:r>
        <w:t>MATÉRIAUX</w:t>
      </w:r>
    </w:p>
    <w:p w14:paraId="3DCCA22F" w14:textId="77777777" w:rsidR="00DB2B68" w:rsidRDefault="00000000">
      <w:pPr>
        <w:pStyle w:val="pheading"/>
      </w:pPr>
      <w:r>
        <w:t>- Caractéristiques générales</w:t>
      </w:r>
    </w:p>
    <w:p w14:paraId="6E76B120" w14:textId="77777777" w:rsidR="00DB2B68" w:rsidRDefault="00000000">
      <w:r>
        <w:rPr>
          <w:rStyle w:val="headingChar"/>
          <w:color w:val="000000"/>
        </w:rPr>
        <w:t>Blocs</w:t>
      </w:r>
    </w:p>
    <w:p w14:paraId="5A760079" w14:textId="77777777" w:rsidR="00DB2B68"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7BFD18DD" w14:textId="77777777" w:rsidR="00DB2B68"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37AFE09B" w14:textId="77777777" w:rsidR="00DB2B68" w:rsidRDefault="00000000">
      <w:pPr>
        <w:spacing w:after="0" w:line="0" w:lineRule="atLeast"/>
      </w:pPr>
      <w:r>
        <w:rPr>
          <w:color w:val="000000"/>
        </w:rPr>
        <w:t xml:space="preserve">Le groupe de configuration suivant [PTV 21-001] est: </w:t>
      </w:r>
      <w:r>
        <w:rPr>
          <w:rStyle w:val="optioncarChar"/>
          <w:color w:val="000000"/>
        </w:rPr>
        <w:t>1 / 2 / 3 / 4</w:t>
      </w:r>
    </w:p>
    <w:p w14:paraId="714859C5" w14:textId="77777777" w:rsidR="00DB2B68"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7FA8D4FF" w14:textId="77777777" w:rsidR="00DB2B68" w:rsidRDefault="00000000">
      <w:pPr>
        <w:spacing w:after="0" w:line="0" w:lineRule="atLeast"/>
      </w:pPr>
      <w:r>
        <w:rPr>
          <w:color w:val="000000"/>
        </w:rPr>
        <w:t xml:space="preserve">La conductibilité thermique λD est compatible avec la valeur U prescrite pour la paroi. </w:t>
      </w:r>
    </w:p>
    <w:p w14:paraId="0B00335A" w14:textId="77777777" w:rsidR="00DB2B68" w:rsidRDefault="00000000">
      <w:pPr>
        <w:spacing w:after="0" w:line="0" w:lineRule="atLeast"/>
      </w:pPr>
      <w:r>
        <w:rPr>
          <w:color w:val="000000"/>
        </w:rPr>
        <w:t xml:space="preserve">Boutisse : </w:t>
      </w:r>
      <w:r>
        <w:t>plate</w:t>
      </w:r>
    </w:p>
    <w:p w14:paraId="21BEA8C9" w14:textId="77777777" w:rsidR="00DB2B68" w:rsidRDefault="00000000">
      <w:pPr>
        <w:spacing w:after="0" w:line="0" w:lineRule="atLeast"/>
      </w:pPr>
      <w:r>
        <w:rPr>
          <w:color w:val="000000"/>
        </w:rPr>
        <w:t xml:space="preserve">Face qui reste visible : </w:t>
      </w:r>
      <w:r>
        <w:rPr>
          <w:rStyle w:val="optioncarChar"/>
          <w:color w:val="000000"/>
        </w:rPr>
        <w:t xml:space="preserve">lisse </w:t>
      </w:r>
      <w:r>
        <w:t>(par défaut) </w:t>
      </w:r>
      <w:r>
        <w:rPr>
          <w:rStyle w:val="optioncarChar"/>
          <w:color w:val="000000"/>
        </w:rPr>
        <w:t>/ ***</w:t>
      </w:r>
    </w:p>
    <w:p w14:paraId="2A5DFD7D" w14:textId="77777777" w:rsidR="00DB2B68"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72D26F69" w14:textId="77777777" w:rsidR="00DB2B68"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0E090888" w14:textId="77777777" w:rsidR="00DB2B68" w:rsidRDefault="00000000">
      <w:pPr>
        <w:spacing w:after="0" w:line="0" w:lineRule="atLeast"/>
      </w:pPr>
      <w:r>
        <w:rPr>
          <w:color w:val="000000"/>
        </w:rPr>
        <w:t xml:space="preserve">Réaction au feu : </w:t>
      </w:r>
      <w:r>
        <w:rPr>
          <w:rStyle w:val="optioncarChar"/>
          <w:color w:val="000000"/>
        </w:rPr>
        <w:t>A1 </w:t>
      </w:r>
      <w:r>
        <w:t xml:space="preserve">(par défaut) </w:t>
      </w:r>
      <w:r>
        <w:rPr>
          <w:rStyle w:val="optioncarChar"/>
          <w:color w:val="000000"/>
        </w:rPr>
        <w:t>/ ***</w:t>
      </w:r>
    </w:p>
    <w:p w14:paraId="0B9906C7" w14:textId="77777777" w:rsidR="00DB2B68" w:rsidRDefault="00DB2B68"/>
    <w:p w14:paraId="08A5AAB5" w14:textId="77777777" w:rsidR="00DB2B68" w:rsidRDefault="00000000">
      <w:pPr>
        <w:spacing w:after="0" w:line="0" w:lineRule="atLeast"/>
      </w:pPr>
      <w:r>
        <w:rPr>
          <w:rStyle w:val="headingChar"/>
          <w:color w:val="000000"/>
        </w:rPr>
        <w:t>Mortier</w:t>
      </w:r>
    </w:p>
    <w:p w14:paraId="56928DE3"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4F5A16C7" w14:textId="77777777" w:rsidR="00DB2B68" w:rsidRDefault="00DB2B68"/>
    <w:p w14:paraId="4E28BDEA" w14:textId="77777777" w:rsidR="00DB2B68" w:rsidRDefault="00000000">
      <w:pPr>
        <w:spacing w:line="259" w:lineRule="auto"/>
      </w:pPr>
      <w:r>
        <w:rPr>
          <w:rStyle w:val="headingChar"/>
          <w:color w:val="000000"/>
        </w:rPr>
        <w:t>Critères de performances du parement</w:t>
      </w:r>
    </w:p>
    <w:p w14:paraId="0C0A89E3" w14:textId="77777777" w:rsidR="00DB2B68" w:rsidRDefault="00000000">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14:paraId="0B586EB5" w14:textId="77777777" w:rsidR="00DB2B68" w:rsidRDefault="00000000">
      <w:pPr>
        <w:pStyle w:val="pheading"/>
      </w:pPr>
      <w:r>
        <w:t>- Finitions</w:t>
      </w:r>
    </w:p>
    <w:p w14:paraId="5A9BD3CB" w14:textId="77777777" w:rsidR="00DB2B68" w:rsidRDefault="00000000">
      <w:pPr>
        <w:spacing w:line="259" w:lineRule="auto"/>
      </w:pPr>
      <w:r>
        <w:rPr>
          <w:rStyle w:val="normalChar"/>
        </w:rPr>
        <w:lastRenderedPageBreak/>
        <w:t>Les murs sont exécutés avec une face restant apparente, à l’exception des murs suivants qui sont exécutés avec deux faces restant apparentes :</w:t>
      </w:r>
      <w:r>
        <w:rPr>
          <w:rStyle w:val="optioncarChar"/>
        </w:rPr>
        <w:t xml:space="preserve"> ***</w:t>
      </w:r>
    </w:p>
    <w:p w14:paraId="2718FBDF"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04836DC9"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41176E58"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3AF0F3E5"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48C96E6F" w14:textId="77777777" w:rsidR="00DB2B68" w:rsidRDefault="00000000">
      <w:pPr>
        <w:ind w:left="750"/>
      </w:pPr>
      <w:r>
        <w:t> </w:t>
      </w:r>
    </w:p>
    <w:p w14:paraId="729E74C8" w14:textId="77777777" w:rsidR="00DB2B68" w:rsidRDefault="00000000">
      <w:pPr>
        <w:pStyle w:val="pheading"/>
      </w:pPr>
      <w:r>
        <w:t>EXÉCUTION / MISE EN ŒUVRE</w:t>
      </w:r>
    </w:p>
    <w:p w14:paraId="43F32267" w14:textId="77777777" w:rsidR="00DB2B68" w:rsidRDefault="00000000">
      <w:pPr>
        <w:pStyle w:val="pheading"/>
      </w:pPr>
      <w:r>
        <w:t>- Prescriptions générales</w:t>
      </w:r>
    </w:p>
    <w:p w14:paraId="617BAC19" w14:textId="77777777" w:rsidR="00DB2B68" w:rsidRDefault="00000000">
      <w:pPr>
        <w:spacing w:line="259" w:lineRule="auto"/>
      </w:pPr>
      <w:r>
        <w:t xml:space="preserve">La maçonnerie est exécutée en appareil </w:t>
      </w:r>
      <w:r>
        <w:rPr>
          <w:rStyle w:val="optioncarChar"/>
        </w:rPr>
        <w:t>d'</w:t>
      </w:r>
      <w:r>
        <w:rPr>
          <w:rStyle w:val="normalChar"/>
          <w:color w:val="FF0000"/>
        </w:rPr>
        <w:t>une demi-bloc / ***</w:t>
      </w:r>
    </w:p>
    <w:p w14:paraId="60861D63" w14:textId="77777777" w:rsidR="00DB2B68"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142244CC" w14:textId="77777777" w:rsidR="00DB2B68" w:rsidRDefault="00DB2B68"/>
    <w:p w14:paraId="01B5F3D2" w14:textId="77777777" w:rsidR="00DB2B68" w:rsidRDefault="00000000">
      <w:pPr>
        <w:spacing w:line="259" w:lineRule="auto"/>
      </w:pPr>
      <w:r>
        <w:rPr>
          <w:rStyle w:val="normalChar"/>
          <w:b/>
          <w:color w:val="000000"/>
        </w:rPr>
        <w:t>LINTEAUX</w:t>
      </w:r>
    </w:p>
    <w:p w14:paraId="3C576B1F"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00B56813" w14:textId="77777777" w:rsidR="00DB2B68" w:rsidRDefault="00000000">
      <w:r>
        <w:rPr>
          <w:b/>
        </w:rPr>
        <w:t>(soit par défaut)</w:t>
      </w:r>
    </w:p>
    <w:p w14:paraId="4A6642EB" w14:textId="77777777" w:rsidR="00DB2B68" w:rsidRDefault="00000000">
      <w:r>
        <w:rPr>
          <w:rStyle w:val="soitChar"/>
          <w:u w:val="single"/>
        </w:rPr>
        <w:t>D'une armature et de crochets de mur</w:t>
      </w:r>
      <w:r>
        <w:rPr>
          <w:rStyle w:val="soitChar"/>
        </w:rPr>
        <w:t>  :</w:t>
      </w:r>
    </w:p>
    <w:p w14:paraId="50221D0B"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47C114F9" w14:textId="77777777" w:rsidR="00DB2B68" w:rsidRDefault="00000000">
      <w:r>
        <w:rPr>
          <w:b/>
        </w:rPr>
        <w:t>(soit)</w:t>
      </w:r>
    </w:p>
    <w:p w14:paraId="554E7676"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3E237D2F" w14:textId="77777777" w:rsidR="00DB2B68" w:rsidRDefault="00000000">
      <w:r>
        <w:rPr>
          <w:b/>
        </w:rPr>
        <w:t>(soit)</w:t>
      </w:r>
    </w:p>
    <w:p w14:paraId="728658A0"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2702E930" w14:textId="77777777" w:rsidR="00DB2B68" w:rsidRDefault="00000000">
      <w:r>
        <w:rPr>
          <w:b/>
        </w:rPr>
        <w:t>(soit)</w:t>
      </w:r>
    </w:p>
    <w:p w14:paraId="35B8A20B" w14:textId="77777777" w:rsidR="00DB2B68"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072D3E0A" w14:textId="77777777" w:rsidR="00DB2B68" w:rsidRDefault="00000000">
      <w:r>
        <w:rPr>
          <w:b/>
        </w:rPr>
        <w:t>(soit)</w:t>
      </w:r>
    </w:p>
    <w:p w14:paraId="6DB1C864" w14:textId="77777777" w:rsidR="00DB2B68" w:rsidRDefault="00000000">
      <w:r>
        <w:rPr>
          <w:rStyle w:val="optioncarChar"/>
        </w:rPr>
        <w:t> ***</w:t>
      </w:r>
    </w:p>
    <w:p w14:paraId="58619E76" w14:textId="77777777" w:rsidR="00DB2B68" w:rsidRDefault="00000000">
      <w:pPr>
        <w:pStyle w:val="pheading"/>
      </w:pPr>
      <w:r>
        <w:t>- Notes d’exécution complémentaires</w:t>
      </w:r>
    </w:p>
    <w:p w14:paraId="3408F1B4" w14:textId="77777777" w:rsidR="00DB2B68"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562D6240" w14:textId="77777777" w:rsidR="00DB2B68" w:rsidRDefault="00000000">
      <w:r>
        <w:lastRenderedPageBreak/>
        <w:t xml:space="preserve">• Armatures : selon l'article </w:t>
      </w:r>
      <w:hyperlink w:anchor="357" w:history="1">
        <w:r>
          <w:rPr>
            <w:color w:val="0000EE"/>
          </w:rPr>
          <w:t>21.41.1 Armatures horizontales pour maçonneries</w:t>
        </w:r>
      </w:hyperlink>
    </w:p>
    <w:p w14:paraId="261F259E" w14:textId="77777777" w:rsidR="00DB2B68" w:rsidRDefault="00000000">
      <w:r>
        <w:t xml:space="preserve">• Ancrages : selon l'article </w:t>
      </w:r>
      <w:hyperlink w:anchor="364" w:history="1">
        <w:r>
          <w:rPr>
            <w:color w:val="0000EE"/>
          </w:rPr>
          <w:t>21.42 Ancrages et fixations de maçonneries</w:t>
        </w:r>
      </w:hyperlink>
    </w:p>
    <w:p w14:paraId="13F2D540" w14:textId="77777777" w:rsidR="00DB2B68" w:rsidRDefault="00000000">
      <w:r>
        <w:t xml:space="preserve">Blocs spéciaux : </w:t>
      </w:r>
      <w:r>
        <w:rPr>
          <w:rStyle w:val="optioncarChar"/>
        </w:rPr>
        <w:t>***</w:t>
      </w:r>
    </w:p>
    <w:p w14:paraId="65EBAA3A" w14:textId="77777777" w:rsidR="00DB2B68" w:rsidRDefault="00000000">
      <w:r>
        <w:t xml:space="preserve">Étanchéité : </w:t>
      </w:r>
      <w:r>
        <w:rPr>
          <w:rStyle w:val="optioncarChar"/>
        </w:rPr>
        <w:t>***</w:t>
      </w:r>
    </w:p>
    <w:p w14:paraId="1CEE52D5" w14:textId="77777777" w:rsidR="00DB2B68" w:rsidRDefault="00000000">
      <w:r>
        <w:t xml:space="preserve">Joints de dilatation : </w:t>
      </w:r>
      <w:r>
        <w:rPr>
          <w:rStyle w:val="optioncarChar"/>
        </w:rPr>
        <w:t>***</w:t>
      </w:r>
    </w:p>
    <w:p w14:paraId="7DEC6E19" w14:textId="77777777" w:rsidR="00DB2B68" w:rsidRDefault="00000000">
      <w:r>
        <w:rPr>
          <w:shd w:val="clear" w:color="auto" w:fill="FFFFFF"/>
        </w:rPr>
        <w:t>Ce système est prévu pour des constructions de maisons unifamiliales, pour des constructions d’immeubles à appartements (5 niveaux maximum de murs porteurs) et pour des murs de remplissage entre poutres et colonnes</w:t>
      </w:r>
    </w:p>
    <w:p w14:paraId="7248A22D" w14:textId="77777777" w:rsidR="00DB2B68" w:rsidRDefault="00000000">
      <w:r>
        <w:rPr>
          <w:shd w:val="clear" w:color="auto" w:fill="FFFFFF"/>
        </w:rP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6782842B" w14:textId="77777777" w:rsidR="00DB2B68" w:rsidRDefault="00000000">
      <w:r>
        <w:rPr>
          <w:shd w:val="clear" w:color="auto" w:fill="FFFFFF"/>
        </w:rPr>
        <w:t>Les blocs de béton à base d'argile expansée et de liant hydraulique avec système de dosage automatique de mortier incorporé pour maçonnerie à joint mince sont couverts par une déclaration d'aptitude à l'utilisation conformément à l'article 02.42.1 Critères d'acceptabilité</w:t>
      </w:r>
    </w:p>
    <w:p w14:paraId="15154E26" w14:textId="77777777" w:rsidR="00DB2B68" w:rsidRDefault="0000000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6D63CA30" w14:textId="77777777" w:rsidR="00DB2B68" w:rsidRDefault="0000000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 *** </w:t>
      </w:r>
      <w:r>
        <w:t>mm et de composition moyenne :</w:t>
      </w:r>
    </w:p>
    <w:p w14:paraId="28509118" w14:textId="77777777" w:rsidR="00DB2B68" w:rsidRDefault="00000000">
      <w:pPr>
        <w:pStyle w:val="Author-eListParagraph"/>
        <w:numPr>
          <w:ilvl w:val="0"/>
          <w:numId w:val="255"/>
        </w:numPr>
      </w:pPr>
      <w:r>
        <w:t>350kg de ciment de la classe de résistance 52,5 N/mm2,</w:t>
      </w:r>
    </w:p>
    <w:p w14:paraId="35DB10B9" w14:textId="77777777" w:rsidR="00DB2B68" w:rsidRDefault="00000000">
      <w:pPr>
        <w:pStyle w:val="Author-eListParagraph"/>
        <w:numPr>
          <w:ilvl w:val="0"/>
          <w:numId w:val="255"/>
        </w:numPr>
      </w:pPr>
      <w:r>
        <w:t>720l à 780l de gravier roulé 4/28,</w:t>
      </w:r>
    </w:p>
    <w:p w14:paraId="301D5C3B" w14:textId="77777777" w:rsidR="00DB2B68" w:rsidRDefault="00000000">
      <w:pPr>
        <w:pStyle w:val="Author-eListParagraph"/>
        <w:numPr>
          <w:ilvl w:val="0"/>
          <w:numId w:val="255"/>
        </w:numPr>
      </w:pPr>
      <w:r>
        <w:t>380l à 450l de sable pour béton et armés de barres verticales ou horizontales, le cas échéant justifiées par une note de calcul,</w:t>
      </w:r>
    </w:p>
    <w:p w14:paraId="716800CC" w14:textId="77777777" w:rsidR="00DB2B68" w:rsidRDefault="00000000">
      <w:pPr>
        <w:pStyle w:val="Author-eListParagraph"/>
        <w:numPr>
          <w:ilvl w:val="0"/>
          <w:numId w:val="255"/>
        </w:numPr>
      </w:pPr>
      <w:r>
        <w:t>170l à 180l d’eau.</w:t>
      </w:r>
    </w:p>
    <w:p w14:paraId="3DF3893F" w14:textId="77777777" w:rsidR="00DB2B68" w:rsidRDefault="00000000">
      <w:r>
        <w:t>Pour les contraintes horizontales particulières (par ex : force du vent) une note de calcul spécifique doit être établie.</w:t>
      </w:r>
    </w:p>
    <w:p w14:paraId="42E50888" w14:textId="77777777" w:rsidR="00DB2B68" w:rsidRDefault="00000000">
      <w:r>
        <w:t>Sauf indication contraire dans le cahier spécial des charges ou dans l'étude de stabilité, la répartition des charges des planchers, linteaux, poutres, etc. se fait au choix de l'entrepreneur, selon la méthode suivante :</w:t>
      </w:r>
    </w:p>
    <w:p w14:paraId="678530A8" w14:textId="77777777" w:rsidR="00DB2B68" w:rsidRDefault="00000000">
      <w:pPr>
        <w:pStyle w:val="Author-eListParagraph"/>
        <w:numPr>
          <w:ilvl w:val="0"/>
          <w:numId w:val="256"/>
        </w:numPr>
      </w:pPr>
      <w:r>
        <w:t>en remplissant les éléments creux de béton ou de mortier</w:t>
      </w:r>
    </w:p>
    <w:p w14:paraId="7BA88268" w14:textId="77777777" w:rsidR="00DB2B68" w:rsidRDefault="00000000">
      <w:pPr>
        <w:pStyle w:val="Author-eListParagraph"/>
        <w:numPr>
          <w:ilvl w:val="0"/>
          <w:numId w:val="256"/>
        </w:numPr>
      </w:pPr>
      <w:r>
        <w:t>en utilisant des blocs pleins</w:t>
      </w:r>
    </w:p>
    <w:p w14:paraId="0A9FC6C5" w14:textId="77777777" w:rsidR="00DB2B68" w:rsidRDefault="00000000">
      <w:pPr>
        <w:pStyle w:val="Author-eListParagraph"/>
        <w:numPr>
          <w:ilvl w:val="0"/>
          <w:numId w:val="256"/>
        </w:numPr>
      </w:pPr>
      <w:r>
        <w:t>en prévoyant une poutre de ceinture</w:t>
      </w:r>
    </w:p>
    <w:p w14:paraId="2E993821" w14:textId="77777777" w:rsidR="00DB2B68" w:rsidRDefault="00000000">
      <w:pPr>
        <w:pStyle w:val="Author-eListParagraph"/>
        <w:numPr>
          <w:ilvl w:val="0"/>
          <w:numId w:val="256"/>
        </w:numPr>
      </w:pPr>
      <w:r>
        <w:t>en prévoyant une semelle de renforcement</w:t>
      </w:r>
    </w:p>
    <w:p w14:paraId="470B052E" w14:textId="77777777" w:rsidR="00DB2B68" w:rsidRDefault="00000000">
      <w:pPr>
        <w:pStyle w:val="Author-eListParagraph"/>
        <w:numPr>
          <w:ilvl w:val="0"/>
          <w:numId w:val="256"/>
        </w:numPr>
      </w:pPr>
      <w:r>
        <w:t>en prévoyant des armatures</w:t>
      </w:r>
    </w:p>
    <w:p w14:paraId="0CD2A296" w14:textId="77777777" w:rsidR="00DB2B68" w:rsidRDefault="00000000">
      <w:r>
        <w:t>Ces blocs ne peuvent pas contenir d'inclusions de fer, ferrugineuses ou de chaux qui risqueraient de provoquer des dégâts en surface.</w:t>
      </w:r>
    </w:p>
    <w:p w14:paraId="07B4050D" w14:textId="77777777" w:rsidR="00DB2B68" w:rsidRDefault="00000000">
      <w:pPr>
        <w:ind w:left="750"/>
      </w:pPr>
      <w:r>
        <w:t> </w:t>
      </w:r>
    </w:p>
    <w:p w14:paraId="20326BD0" w14:textId="77777777" w:rsidR="00DB2B68" w:rsidRDefault="00000000">
      <w:pPr>
        <w:pStyle w:val="pheading"/>
      </w:pPr>
      <w:r>
        <w:t>MESURAGE</w:t>
      </w:r>
    </w:p>
    <w:p w14:paraId="495EC4DB" w14:textId="77777777" w:rsidR="00DB2B68" w:rsidRDefault="00000000">
      <w:pPr>
        <w:pStyle w:val="pheading"/>
      </w:pPr>
      <w:r>
        <w:t>- unité de mesure:</w:t>
      </w:r>
    </w:p>
    <w:p w14:paraId="53B2EB89" w14:textId="77777777" w:rsidR="00DB2B68" w:rsidRDefault="00000000">
      <w:r>
        <w:rPr>
          <w:rStyle w:val="optioncarChar"/>
        </w:rPr>
        <w:t>m² </w:t>
      </w:r>
      <w:r>
        <w:rPr>
          <w:rStyle w:val="optioncarChar"/>
          <w:color w:val="000000"/>
        </w:rPr>
        <w:t>(par défaut)</w:t>
      </w:r>
      <w:r>
        <w:rPr>
          <w:rStyle w:val="optioncarChar"/>
        </w:rPr>
        <w:t> / m³</w:t>
      </w:r>
    </w:p>
    <w:p w14:paraId="1202C8C7" w14:textId="77777777" w:rsidR="00DB2B68" w:rsidRDefault="00000000">
      <w:pPr>
        <w:spacing w:after="0" w:line="0" w:lineRule="atLeast"/>
      </w:pPr>
      <w:r>
        <w:rPr>
          <w:b/>
          <w:color w:val="000000"/>
        </w:rPr>
        <w:t>(soit par défaut)</w:t>
      </w:r>
    </w:p>
    <w:p w14:paraId="0FDD4440" w14:textId="77777777" w:rsidR="00DB2B68" w:rsidRDefault="00000000">
      <w:pPr>
        <w:spacing w:after="0" w:line="0" w:lineRule="atLeast"/>
      </w:pPr>
      <w:r>
        <w:rPr>
          <w:rStyle w:val="soitChar"/>
        </w:rPr>
        <w:t>1. m²</w:t>
      </w:r>
    </w:p>
    <w:p w14:paraId="36900971" w14:textId="77777777" w:rsidR="00DB2B68" w:rsidRDefault="00000000">
      <w:pPr>
        <w:spacing w:after="0" w:line="0" w:lineRule="atLeast"/>
      </w:pPr>
      <w:r>
        <w:rPr>
          <w:b/>
          <w:color w:val="000000"/>
        </w:rPr>
        <w:t>(soit)</w:t>
      </w:r>
    </w:p>
    <w:p w14:paraId="4EC704BF" w14:textId="77777777" w:rsidR="00DB2B68" w:rsidRDefault="00000000">
      <w:pPr>
        <w:spacing w:after="0" w:line="0" w:lineRule="atLeast"/>
      </w:pPr>
      <w:r>
        <w:rPr>
          <w:rStyle w:val="soitChar"/>
        </w:rPr>
        <w:t>2. m³</w:t>
      </w:r>
    </w:p>
    <w:p w14:paraId="440E0547" w14:textId="77777777" w:rsidR="00DB2B68" w:rsidRDefault="00000000">
      <w:pPr>
        <w:pStyle w:val="pheading"/>
      </w:pPr>
      <w:r>
        <w:lastRenderedPageBreak/>
        <w:t>- code de mesurage:</w:t>
      </w:r>
    </w:p>
    <w:p w14:paraId="68ED523A" w14:textId="77777777" w:rsidR="00DB2B68" w:rsidRDefault="00000000">
      <w:pPr>
        <w:spacing w:before="0" w:after="0"/>
        <w:ind w:left="454"/>
      </w:pPr>
      <w:r>
        <w:t>Les maçonneries sont mesurées en fonction de leur forme géométrique.</w:t>
      </w:r>
    </w:p>
    <w:p w14:paraId="73786850" w14:textId="77777777" w:rsidR="00DB2B68" w:rsidRDefault="00000000">
      <w:pPr>
        <w:spacing w:before="0" w:after="0"/>
        <w:ind w:left="454"/>
      </w:pPr>
      <w:r>
        <w:t>Les ébrasements des ouvertures et des baies de fenêtres ainsi que la face inférieure des linteaux ne sont comptés (en surface nette) que lorsque leur largeur est supérieure à celle des blocs de façade.</w:t>
      </w:r>
    </w:p>
    <w:p w14:paraId="6D46BED2" w14:textId="77777777" w:rsidR="00DB2B68" w:rsidRDefault="00000000">
      <w:pPr>
        <w:spacing w:before="0" w:after="0"/>
        <w:ind w:left="460"/>
      </w:pPr>
      <w:r>
        <w:t>La coulisse n'est jamais prise en compte.</w:t>
      </w:r>
    </w:p>
    <w:p w14:paraId="4E135E92" w14:textId="77777777" w:rsidR="00DB2B68" w:rsidRDefault="00000000">
      <w:pPr>
        <w:spacing w:after="0" w:line="259" w:lineRule="auto"/>
        <w:ind w:left="460"/>
      </w:pPr>
      <w:r>
        <w:rPr>
          <w:rStyle w:val="normalChar"/>
        </w:rPr>
        <w:t>Les accessoires (linteaux non décrits et non comptés dans un autre poste, attaches,…) sont compris dans le prix.</w:t>
      </w:r>
    </w:p>
    <w:p w14:paraId="581FF09D" w14:textId="77777777" w:rsidR="00DB2B68" w:rsidRDefault="00000000">
      <w:pPr>
        <w:spacing w:after="0" w:line="259" w:lineRule="auto"/>
        <w:ind w:left="460"/>
      </w:pPr>
      <w:r>
        <w:rPr>
          <w:rStyle w:val="normalChar"/>
        </w:rPr>
        <w:t>Sont entre-autres décrits et comptés dans un autre poste :</w:t>
      </w:r>
    </w:p>
    <w:p w14:paraId="5C5E8E40" w14:textId="77777777" w:rsidR="00DB2B68" w:rsidRDefault="00000000">
      <w:pPr>
        <w:pStyle w:val="Author-eListParagraph"/>
        <w:numPr>
          <w:ilvl w:val="0"/>
          <w:numId w:val="257"/>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32841793" w14:textId="77777777" w:rsidR="00DB2B68" w:rsidRDefault="00000000">
      <w:pPr>
        <w:pStyle w:val="Author-eListParagraph"/>
        <w:numPr>
          <w:ilvl w:val="0"/>
          <w:numId w:val="257"/>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10893294" w14:textId="77777777" w:rsidR="00DB2B68" w:rsidRDefault="00000000">
      <w:pPr>
        <w:pStyle w:val="Author-eListParagraph"/>
        <w:numPr>
          <w:ilvl w:val="0"/>
          <w:numId w:val="257"/>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7A6618E0" w14:textId="77777777" w:rsidR="00DB2B68" w:rsidRDefault="00DB2B68"/>
    <w:p w14:paraId="39D543A9" w14:textId="77777777" w:rsidR="00DB2B68" w:rsidRDefault="0000000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14:paraId="45916EA7" w14:textId="77777777" w:rsidR="00DB2B68" w:rsidRDefault="00000000">
      <w:pPr>
        <w:spacing w:after="0" w:line="252" w:lineRule="auto"/>
      </w:pPr>
      <w:r>
        <w:rPr>
          <w:b/>
          <w:i/>
          <w:color w:val="000000"/>
        </w:rPr>
        <w:t>(Soit par défaut)</w:t>
      </w:r>
    </w:p>
    <w:p w14:paraId="774EE8B6" w14:textId="77777777" w:rsidR="00DB2B68" w:rsidRDefault="0000000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14:paraId="29428B79" w14:textId="77777777" w:rsidR="00DB2B68" w:rsidRDefault="00000000">
      <w:pPr>
        <w:spacing w:after="0" w:line="252" w:lineRule="auto"/>
        <w:ind w:left="567"/>
      </w:pPr>
      <w:r>
        <w:rPr>
          <w:rStyle w:val="soitChar"/>
        </w:rPr>
        <w:t>Distinction faite suivant l'épaisseur.</w:t>
      </w:r>
    </w:p>
    <w:p w14:paraId="78ED7672" w14:textId="77777777" w:rsidR="00DB2B68" w:rsidRDefault="00000000">
      <w:pPr>
        <w:spacing w:line="252" w:lineRule="auto"/>
      </w:pPr>
      <w:r>
        <w:rPr>
          <w:b/>
          <w:i/>
          <w:color w:val="000000"/>
        </w:rPr>
        <w:t>(Soit)</w:t>
      </w:r>
    </w:p>
    <w:p w14:paraId="48E5FD48" w14:textId="77777777" w:rsidR="00DB2B68" w:rsidRDefault="0000000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14:paraId="3A329563" w14:textId="77777777" w:rsidR="00DB2B68" w:rsidRDefault="00000000">
      <w:pPr>
        <w:spacing w:line="252" w:lineRule="auto"/>
        <w:ind w:left="567"/>
      </w:pPr>
      <w:r>
        <w:rPr>
          <w:rStyle w:val="soitChar"/>
        </w:rPr>
        <w:t>Les ouvertures ou les éléments de construction intégrés dont l'aire est supérieure à 0,5 m² multipliées par l’épaisseur à réaliser sont déduites.</w:t>
      </w:r>
    </w:p>
    <w:p w14:paraId="4199D5D3" w14:textId="77777777" w:rsidR="00DB2B68" w:rsidRDefault="00000000">
      <w:pPr>
        <w:pStyle w:val="pheading"/>
      </w:pPr>
      <w:r>
        <w:t>- nature du marché:</w:t>
      </w:r>
    </w:p>
    <w:p w14:paraId="45ACD7D8" w14:textId="77777777" w:rsidR="00DB2B68" w:rsidRDefault="00000000">
      <w:r>
        <w:rPr>
          <w:rStyle w:val="optioncarChar"/>
        </w:rPr>
        <w:t>QF</w:t>
      </w:r>
      <w:r>
        <w:t xml:space="preserve"> (par défaut)</w:t>
      </w:r>
      <w:r>
        <w:rPr>
          <w:rStyle w:val="optioncarChar"/>
        </w:rPr>
        <w:t xml:space="preserve"> / QP</w:t>
      </w:r>
    </w:p>
    <w:p w14:paraId="12E14B4B" w14:textId="77777777" w:rsidR="00DB2B68" w:rsidRDefault="00000000">
      <w:pPr>
        <w:pStyle w:val="Author-eSectionHeading6Numberless"/>
      </w:pPr>
      <w:bookmarkStart w:id="263" w:name="_Toc220495389"/>
      <w:r>
        <w:t>21.32.2f Maçonneries de parement en blocs de béton clivé à maçonner CCTB 01.11</w:t>
      </w:r>
      <w:bookmarkEnd w:id="263"/>
    </w:p>
    <w:p w14:paraId="68123D35" w14:textId="77777777" w:rsidR="00DB2B68" w:rsidRDefault="00000000">
      <w:pPr>
        <w:pStyle w:val="pheading"/>
      </w:pPr>
      <w:r>
        <w:t>DESCRIPTION</w:t>
      </w:r>
    </w:p>
    <w:p w14:paraId="1EC3069A" w14:textId="77777777" w:rsidR="00DB2B68" w:rsidRDefault="00000000">
      <w:pPr>
        <w:pStyle w:val="pheading"/>
      </w:pPr>
      <w:r>
        <w:t>- Définition / Comprend</w:t>
      </w:r>
    </w:p>
    <w:p w14:paraId="3AE10E73" w14:textId="77777777" w:rsidR="00DB2B68" w:rsidRDefault="00000000">
      <w:r>
        <w:t>Il s’agit de la fourniture et la pose de maçonneries de parement en blocs de béton clivé à maçonner.</w:t>
      </w:r>
    </w:p>
    <w:p w14:paraId="66F416B6" w14:textId="77777777" w:rsidR="00DB2B68" w:rsidRDefault="00000000">
      <w:r>
        <w:t>La portée des travaux est décrite dans l’article </w:t>
      </w:r>
      <w:hyperlink w:anchor="381" w:history="1">
        <w:r>
          <w:rPr>
            <w:color w:val="0000EE"/>
          </w:rPr>
          <w:t>21.3 Maçonneries de parement</w:t>
        </w:r>
      </w:hyperlink>
    </w:p>
    <w:p w14:paraId="3D182227" w14:textId="77777777" w:rsidR="00DB2B68" w:rsidRDefault="00000000">
      <w:pPr>
        <w:pStyle w:val="pheading"/>
      </w:pPr>
      <w:r>
        <w:t>- Localisation</w:t>
      </w:r>
    </w:p>
    <w:p w14:paraId="61E30A6F" w14:textId="77777777" w:rsidR="00DB2B68" w:rsidRDefault="00000000">
      <w:r>
        <w:t xml:space="preserve">La pose est réalisée aux endroits suivants : </w:t>
      </w:r>
      <w:r>
        <w:rPr>
          <w:rStyle w:val="optioncarChar"/>
        </w:rPr>
        <w:t>***</w:t>
      </w:r>
      <w:r>
        <w:t>.</w:t>
      </w:r>
      <w:r>
        <w:br/>
        <w:t>Voir plans et métrés détaillés.</w:t>
      </w:r>
    </w:p>
    <w:p w14:paraId="5E141D1D" w14:textId="77777777" w:rsidR="00DB2B68" w:rsidRDefault="00000000">
      <w:pPr>
        <w:pStyle w:val="pheading"/>
      </w:pPr>
      <w:r>
        <w:t>MATÉRIAUX</w:t>
      </w:r>
    </w:p>
    <w:p w14:paraId="44ADC4BE" w14:textId="77777777" w:rsidR="00DB2B68" w:rsidRDefault="00000000">
      <w:pPr>
        <w:pStyle w:val="pheading"/>
      </w:pPr>
      <w:r>
        <w:t>- Caractéristiques générales</w:t>
      </w:r>
    </w:p>
    <w:p w14:paraId="59617361" w14:textId="77777777" w:rsidR="00DB2B68" w:rsidRDefault="00000000">
      <w:r>
        <w:rPr>
          <w:rStyle w:val="headingChar"/>
          <w:color w:val="000000"/>
        </w:rPr>
        <w:t>Blocs</w:t>
      </w:r>
    </w:p>
    <w:p w14:paraId="0A943F96" w14:textId="77777777" w:rsidR="00DB2B68"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74580DD1" w14:textId="77777777" w:rsidR="00DB2B68" w:rsidRDefault="00000000">
      <w:pPr>
        <w:spacing w:after="0" w:line="0" w:lineRule="atLeast"/>
      </w:pPr>
      <w:r>
        <w:rPr>
          <w:color w:val="000000"/>
        </w:rPr>
        <w:lastRenderedPageBreak/>
        <w:t xml:space="preserve">La classe de qualité suivant [PTV 21-001] est </w:t>
      </w:r>
      <w:r>
        <w:rPr>
          <w:rStyle w:val="optioncarChar"/>
          <w:color w:val="000000"/>
        </w:rPr>
        <w:t>2/0,8 / 3/1,0 / 4/1,2 / 5/1,4 / 6/1,6 / 8/1,9 / 10/2,2 (par défaut) / 15/2,2 + / ***</w:t>
      </w:r>
    </w:p>
    <w:p w14:paraId="71171132" w14:textId="77777777" w:rsidR="00DB2B68" w:rsidRDefault="00000000">
      <w:pPr>
        <w:spacing w:after="0" w:line="0" w:lineRule="atLeast"/>
      </w:pPr>
      <w:r>
        <w:rPr>
          <w:color w:val="000000"/>
        </w:rPr>
        <w:t xml:space="preserve">Le groupe de configuration suivant [PTV 21-001] est: </w:t>
      </w:r>
      <w:r>
        <w:rPr>
          <w:rStyle w:val="optioncarChar"/>
          <w:color w:val="000000"/>
        </w:rPr>
        <w:t>1 / 2 / 3 / 4</w:t>
      </w:r>
    </w:p>
    <w:p w14:paraId="1CFB9830" w14:textId="77777777" w:rsidR="00DB2B68"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7B0A2800" w14:textId="77777777" w:rsidR="00DB2B68" w:rsidRDefault="00000000">
      <w:pPr>
        <w:spacing w:after="0" w:line="0" w:lineRule="atLeast"/>
      </w:pPr>
      <w:r>
        <w:rPr>
          <w:color w:val="000000"/>
        </w:rPr>
        <w:t xml:space="preserve">La conductibilité thermique λD est compatible avec la valeur U prescrite pour la paroi. </w:t>
      </w:r>
    </w:p>
    <w:p w14:paraId="4FAD7B8A" w14:textId="77777777" w:rsidR="00DB2B68" w:rsidRDefault="00000000">
      <w:pPr>
        <w:spacing w:after="0" w:line="0" w:lineRule="atLeast"/>
      </w:pPr>
      <w:r>
        <w:rPr>
          <w:color w:val="000000"/>
        </w:rPr>
        <w:t xml:space="preserve">Boutisse : </w:t>
      </w:r>
      <w:r>
        <w:t>plate</w:t>
      </w:r>
    </w:p>
    <w:p w14:paraId="4D693A91" w14:textId="77777777" w:rsidR="00DB2B68" w:rsidRDefault="00000000">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58F8B9EC" w14:textId="77777777" w:rsidR="00DB2B68"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59016621" w14:textId="77777777" w:rsidR="00DB2B68"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25B7E033" w14:textId="77777777" w:rsidR="00DB2B68" w:rsidRDefault="00000000">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1A20C0B3" w14:textId="77777777" w:rsidR="00DB2B68" w:rsidRDefault="00000000">
      <w:pPr>
        <w:spacing w:after="0" w:line="0" w:lineRule="atLeast"/>
      </w:pPr>
      <w:r>
        <w:rPr>
          <w:rStyle w:val="headingChar"/>
          <w:color w:val="000000"/>
        </w:rPr>
        <w:t>Mortier</w:t>
      </w:r>
    </w:p>
    <w:p w14:paraId="758D4108" w14:textId="77777777" w:rsidR="00DB2B68"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w:t>
      </w:r>
      <w:r>
        <w:t>(par défaut)</w:t>
      </w:r>
      <w:r>
        <w:rPr>
          <w:rStyle w:val="optioncarChar"/>
          <w:color w:val="000000"/>
        </w:rPr>
        <w:t xml:space="preserve"> / 12 / ***</w:t>
      </w:r>
      <w:r>
        <w:rPr>
          <w:color w:val="000000"/>
        </w:rPr>
        <w:t xml:space="preserve"> mm.</w:t>
      </w:r>
    </w:p>
    <w:p w14:paraId="4704BDFA" w14:textId="77777777" w:rsidR="00DB2B68"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1BF8F338" w14:textId="77777777" w:rsidR="00DB2B68"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38976530" w14:textId="77777777" w:rsidR="00DB2B68" w:rsidRDefault="00000000">
      <w:pPr>
        <w:spacing w:line="259" w:lineRule="auto"/>
      </w:pPr>
      <w:r>
        <w:rPr>
          <w:color w:val="000000"/>
        </w:rPr>
        <w:t>Résistance au gel :</w:t>
      </w:r>
      <w:r>
        <w:rPr>
          <w:rStyle w:val="optioncarChar"/>
          <w:color w:val="000000"/>
        </w:rPr>
        <w:t xml:space="preserve"> oui</w:t>
      </w:r>
    </w:p>
    <w:p w14:paraId="2311C4F8" w14:textId="77777777" w:rsidR="00DB2B68" w:rsidRDefault="00DB2B68"/>
    <w:p w14:paraId="7BBE3276" w14:textId="77777777" w:rsidR="00DB2B68" w:rsidRDefault="00000000">
      <w:pPr>
        <w:spacing w:line="259" w:lineRule="auto"/>
      </w:pPr>
      <w:r>
        <w:rPr>
          <w:rStyle w:val="headingChar"/>
          <w:color w:val="000000"/>
        </w:rPr>
        <w:t>Critères de performances du parement</w:t>
      </w:r>
    </w:p>
    <w:p w14:paraId="4AA2C6F0" w14:textId="77777777" w:rsidR="00DB2B68" w:rsidRDefault="00000000">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61B6B895" w14:textId="77777777" w:rsidR="00DB2B68" w:rsidRDefault="00000000">
      <w:pPr>
        <w:pStyle w:val="pheading"/>
      </w:pPr>
      <w:r>
        <w:t>- Finitions</w:t>
      </w:r>
    </w:p>
    <w:p w14:paraId="39D40C56"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16EA21C7"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F1E7D4D"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3FB9BAAE"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533B7888"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2B8BD2A6" w14:textId="77777777" w:rsidR="00DB2B68" w:rsidRDefault="00000000">
      <w:pPr>
        <w:ind w:left="750"/>
      </w:pPr>
      <w:r>
        <w:t> </w:t>
      </w:r>
    </w:p>
    <w:p w14:paraId="2E1CEA98" w14:textId="77777777" w:rsidR="00DB2B68" w:rsidRDefault="00000000">
      <w:pPr>
        <w:pStyle w:val="pheading"/>
      </w:pPr>
      <w:r>
        <w:t>EXÉCUTION / MISE EN ŒUVRE</w:t>
      </w:r>
    </w:p>
    <w:p w14:paraId="26609D37" w14:textId="77777777" w:rsidR="00DB2B68" w:rsidRDefault="00000000">
      <w:pPr>
        <w:pStyle w:val="pheading"/>
      </w:pPr>
      <w:r>
        <w:t>- Prescriptions générales</w:t>
      </w:r>
    </w:p>
    <w:p w14:paraId="637C1235" w14:textId="77777777" w:rsidR="00DB2B68" w:rsidRDefault="00000000">
      <w:pPr>
        <w:spacing w:line="259" w:lineRule="auto"/>
      </w:pPr>
      <w:r>
        <w:t xml:space="preserve">La maçonnerie est exécutée en appareil </w:t>
      </w:r>
      <w:r>
        <w:rPr>
          <w:rStyle w:val="optioncarChar"/>
        </w:rPr>
        <w:t>d'</w:t>
      </w:r>
      <w:r>
        <w:rPr>
          <w:rStyle w:val="normalChar"/>
          <w:color w:val="FF0000"/>
        </w:rPr>
        <w:t>une demi-bloc / ***</w:t>
      </w:r>
    </w:p>
    <w:p w14:paraId="29D3632E" w14:textId="77777777" w:rsidR="00DB2B68" w:rsidRDefault="00000000">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2D90B314" w14:textId="77777777" w:rsidR="00DB2B68" w:rsidRDefault="00DB2B68"/>
    <w:p w14:paraId="2332D82A" w14:textId="77777777" w:rsidR="00DB2B68" w:rsidRDefault="00000000">
      <w:pPr>
        <w:spacing w:line="259" w:lineRule="auto"/>
      </w:pPr>
      <w:r>
        <w:rPr>
          <w:rStyle w:val="normalChar"/>
          <w:b/>
          <w:color w:val="000000"/>
        </w:rPr>
        <w:t>LINTEAUX</w:t>
      </w:r>
    </w:p>
    <w:p w14:paraId="709B8B30" w14:textId="77777777" w:rsidR="00DB2B68"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1A3798AA" w14:textId="77777777" w:rsidR="00DB2B68" w:rsidRDefault="00000000">
      <w:r>
        <w:rPr>
          <w:b/>
        </w:rPr>
        <w:t>(soit par défaut)</w:t>
      </w:r>
    </w:p>
    <w:p w14:paraId="61E87EB5" w14:textId="77777777" w:rsidR="00DB2B68" w:rsidRDefault="00000000">
      <w:r>
        <w:rPr>
          <w:rStyle w:val="soitChar"/>
          <w:u w:val="single"/>
        </w:rPr>
        <w:t>D'une armature et de crochets de mur</w:t>
      </w:r>
      <w:r>
        <w:rPr>
          <w:rStyle w:val="soitChar"/>
        </w:rPr>
        <w:t>  :</w:t>
      </w:r>
    </w:p>
    <w:p w14:paraId="2F51D480" w14:textId="77777777" w:rsidR="00DB2B68" w:rsidRDefault="00000000">
      <w:r>
        <w:rPr>
          <w:rStyle w:val="soitChar"/>
        </w:rPr>
        <w:lastRenderedPageBreak/>
        <w:t>L’armature est conforme aux descriptions du 21.41.1</w:t>
      </w:r>
      <w:r>
        <w:br/>
      </w:r>
      <w:r>
        <w:rPr>
          <w:color w:val="33CCCC"/>
        </w:rPr>
        <w:t>Les crochets sont prévus tous les</w:t>
      </w:r>
      <w:r>
        <w:t>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7151F7CE" w14:textId="77777777" w:rsidR="00DB2B68" w:rsidRDefault="00000000">
      <w:r>
        <w:rPr>
          <w:b/>
        </w:rPr>
        <w:t>(soit)</w:t>
      </w:r>
    </w:p>
    <w:p w14:paraId="709C9AB6"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42E82224" w14:textId="77777777" w:rsidR="00DB2B68" w:rsidRDefault="00000000">
      <w:r>
        <w:rPr>
          <w:b/>
        </w:rPr>
        <w:t>(soit)</w:t>
      </w:r>
    </w:p>
    <w:p w14:paraId="5E7299D1"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6D83BF7D" w14:textId="77777777" w:rsidR="00DB2B68" w:rsidRDefault="00000000">
      <w:r>
        <w:rPr>
          <w:b/>
        </w:rPr>
        <w:t>(soit)</w:t>
      </w:r>
    </w:p>
    <w:p w14:paraId="72561312" w14:textId="77777777" w:rsidR="00DB2B68"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6B2692B2" w14:textId="77777777" w:rsidR="00DB2B68" w:rsidRDefault="00000000">
      <w:r>
        <w:rPr>
          <w:b/>
        </w:rPr>
        <w:t>(soit)</w:t>
      </w:r>
    </w:p>
    <w:p w14:paraId="41D6ABED" w14:textId="77777777" w:rsidR="00DB2B68" w:rsidRDefault="00000000">
      <w:r>
        <w:rPr>
          <w:rStyle w:val="optioncarChar"/>
        </w:rPr>
        <w:t> ***</w:t>
      </w:r>
    </w:p>
    <w:p w14:paraId="638E8746" w14:textId="77777777" w:rsidR="00DB2B68" w:rsidRDefault="00000000">
      <w:pPr>
        <w:pStyle w:val="pheading"/>
      </w:pPr>
      <w:r>
        <w:t>- Notes d’exécution complémentaires</w:t>
      </w:r>
    </w:p>
    <w:p w14:paraId="6DE88303" w14:textId="77777777" w:rsidR="00DB2B68"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0BF6EA3A" w14:textId="77777777" w:rsidR="00DB2B68" w:rsidRDefault="00000000">
      <w:r>
        <w:t xml:space="preserve">• Armatures : selon l'article </w:t>
      </w:r>
      <w:hyperlink w:anchor="357" w:history="1">
        <w:r>
          <w:rPr>
            <w:color w:val="0000EE"/>
          </w:rPr>
          <w:t>21.41.1 Armatures horizontales pour maçonneries</w:t>
        </w:r>
      </w:hyperlink>
    </w:p>
    <w:p w14:paraId="1A846859" w14:textId="77777777" w:rsidR="00DB2B68" w:rsidRDefault="00000000">
      <w:r>
        <w:t xml:space="preserve">• Ancrages : selon l'article </w:t>
      </w:r>
      <w:hyperlink w:anchor="364" w:history="1">
        <w:r>
          <w:rPr>
            <w:color w:val="0000EE"/>
          </w:rPr>
          <w:t>21.42 Ancrages et fixations de maçonneries</w:t>
        </w:r>
      </w:hyperlink>
    </w:p>
    <w:p w14:paraId="64A3D76D" w14:textId="77777777" w:rsidR="00DB2B68" w:rsidRDefault="00000000">
      <w:r>
        <w:t xml:space="preserve">Blocs spéciaux : </w:t>
      </w:r>
      <w:r>
        <w:rPr>
          <w:rStyle w:val="optioncarChar"/>
        </w:rPr>
        <w:t>***</w:t>
      </w:r>
    </w:p>
    <w:p w14:paraId="7C8C5A2B" w14:textId="77777777" w:rsidR="00DB2B68" w:rsidRDefault="00000000">
      <w:r>
        <w:t xml:space="preserve">Étanchéité : </w:t>
      </w:r>
      <w:r>
        <w:rPr>
          <w:rStyle w:val="optioncarChar"/>
        </w:rPr>
        <w:t>***</w:t>
      </w:r>
    </w:p>
    <w:p w14:paraId="2F6C2134" w14:textId="77777777" w:rsidR="00DB2B68" w:rsidRDefault="00000000">
      <w:r>
        <w:t xml:space="preserve">Joints de dilatation : </w:t>
      </w:r>
      <w:r>
        <w:rPr>
          <w:rStyle w:val="optioncarChar"/>
        </w:rPr>
        <w:t>***</w:t>
      </w:r>
    </w:p>
    <w:p w14:paraId="62428BD9" w14:textId="77777777" w:rsidR="00DB2B68" w:rsidRDefault="00000000">
      <w:pPr>
        <w:pStyle w:val="pheading"/>
      </w:pPr>
      <w:r>
        <w:t>MESURAGE</w:t>
      </w:r>
    </w:p>
    <w:p w14:paraId="2DFBFA5F" w14:textId="77777777" w:rsidR="00DB2B68" w:rsidRDefault="00000000">
      <w:pPr>
        <w:pStyle w:val="pheading"/>
      </w:pPr>
      <w:r>
        <w:t>- unité de mesure:</w:t>
      </w:r>
    </w:p>
    <w:p w14:paraId="36C0CFA0" w14:textId="77777777" w:rsidR="00DB2B68" w:rsidRDefault="00000000">
      <w:r>
        <w:rPr>
          <w:rStyle w:val="optioncarChar"/>
        </w:rPr>
        <w:t>m² </w:t>
      </w:r>
      <w:r>
        <w:rPr>
          <w:rStyle w:val="optioncarChar"/>
          <w:color w:val="000000"/>
        </w:rPr>
        <w:t>(par défaut)</w:t>
      </w:r>
      <w:r>
        <w:rPr>
          <w:rStyle w:val="optioncarChar"/>
        </w:rPr>
        <w:t> / m³</w:t>
      </w:r>
    </w:p>
    <w:p w14:paraId="1DEA010C" w14:textId="77777777" w:rsidR="00DB2B68" w:rsidRDefault="00000000">
      <w:pPr>
        <w:spacing w:after="0" w:line="0" w:lineRule="atLeast"/>
      </w:pPr>
      <w:r>
        <w:rPr>
          <w:b/>
          <w:color w:val="000000"/>
        </w:rPr>
        <w:t>(soit par défaut)</w:t>
      </w:r>
    </w:p>
    <w:p w14:paraId="3536ED9F" w14:textId="77777777" w:rsidR="00DB2B68" w:rsidRDefault="00000000">
      <w:pPr>
        <w:spacing w:after="0" w:line="0" w:lineRule="atLeast"/>
      </w:pPr>
      <w:r>
        <w:rPr>
          <w:rStyle w:val="soitChar"/>
        </w:rPr>
        <w:t>1. m²</w:t>
      </w:r>
    </w:p>
    <w:p w14:paraId="1746B273" w14:textId="77777777" w:rsidR="00DB2B68" w:rsidRDefault="00000000">
      <w:pPr>
        <w:spacing w:after="0" w:line="0" w:lineRule="atLeast"/>
      </w:pPr>
      <w:r>
        <w:rPr>
          <w:b/>
          <w:color w:val="000000"/>
        </w:rPr>
        <w:t>(soit)</w:t>
      </w:r>
    </w:p>
    <w:p w14:paraId="0E389669" w14:textId="77777777" w:rsidR="00DB2B68" w:rsidRDefault="00000000">
      <w:pPr>
        <w:spacing w:after="0" w:line="0" w:lineRule="atLeast"/>
      </w:pPr>
      <w:r>
        <w:rPr>
          <w:rStyle w:val="soitChar"/>
        </w:rPr>
        <w:t>2. m³</w:t>
      </w:r>
    </w:p>
    <w:p w14:paraId="2BEEE933" w14:textId="77777777" w:rsidR="00DB2B68" w:rsidRDefault="00000000">
      <w:pPr>
        <w:pStyle w:val="pheading"/>
      </w:pPr>
      <w:r>
        <w:t>- code de mesurage:</w:t>
      </w:r>
    </w:p>
    <w:p w14:paraId="07752611" w14:textId="77777777" w:rsidR="00DB2B68" w:rsidRDefault="00000000">
      <w:pPr>
        <w:spacing w:before="0" w:after="0"/>
      </w:pPr>
      <w:r>
        <w:t>Les maçonneries sont mesurées en fonction de leur forme géométrique.</w:t>
      </w:r>
    </w:p>
    <w:p w14:paraId="34421A2A"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66F29BBE" w14:textId="77777777" w:rsidR="00DB2B68" w:rsidRDefault="00000000">
      <w:pPr>
        <w:spacing w:before="0" w:after="0"/>
      </w:pPr>
      <w:r>
        <w:t>La coulisse n'est jamais prise en compte.</w:t>
      </w:r>
    </w:p>
    <w:p w14:paraId="044DA3BD" w14:textId="77777777" w:rsidR="00DB2B68" w:rsidRDefault="00000000">
      <w:pPr>
        <w:spacing w:after="0" w:line="259" w:lineRule="auto"/>
      </w:pPr>
      <w:r>
        <w:rPr>
          <w:rStyle w:val="normalChar"/>
        </w:rPr>
        <w:t>Les accessoires (linteaux non décrits et non comptés dans un autre poste, attaches,…) sont compris dans le prix.</w:t>
      </w:r>
    </w:p>
    <w:p w14:paraId="318F49BA" w14:textId="77777777" w:rsidR="00DB2B68" w:rsidRDefault="00000000">
      <w:pPr>
        <w:spacing w:after="0" w:line="259" w:lineRule="auto"/>
      </w:pPr>
      <w:r>
        <w:rPr>
          <w:rStyle w:val="normalChar"/>
        </w:rPr>
        <w:t>Sont entre-autres décrits et comptés dans un autre poste :</w:t>
      </w:r>
    </w:p>
    <w:p w14:paraId="610C23A9" w14:textId="77777777" w:rsidR="00DB2B68" w:rsidRDefault="00000000">
      <w:pPr>
        <w:pStyle w:val="Author-eListParagraph"/>
        <w:numPr>
          <w:ilvl w:val="0"/>
          <w:numId w:val="258"/>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29C0E1FD" w14:textId="77777777" w:rsidR="00DB2B68" w:rsidRDefault="00000000">
      <w:pPr>
        <w:pStyle w:val="Author-eListParagraph"/>
        <w:numPr>
          <w:ilvl w:val="0"/>
          <w:numId w:val="258"/>
        </w:numPr>
      </w:pPr>
      <w:r>
        <w:rPr>
          <w:rStyle w:val="normalChar"/>
        </w:rPr>
        <w:lastRenderedPageBreak/>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67AA6759" w14:textId="77777777" w:rsidR="00DB2B68" w:rsidRDefault="00000000">
      <w:pPr>
        <w:pStyle w:val="Author-eListParagraph"/>
        <w:numPr>
          <w:ilvl w:val="0"/>
          <w:numId w:val="258"/>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0F4BA344" w14:textId="77777777" w:rsidR="00DB2B68" w:rsidRDefault="00DB2B68"/>
    <w:p w14:paraId="63C32AB0"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1498A9D" w14:textId="77777777" w:rsidR="00DB2B68" w:rsidRDefault="00000000">
      <w:pPr>
        <w:spacing w:after="0" w:line="252" w:lineRule="auto"/>
      </w:pPr>
      <w:r>
        <w:rPr>
          <w:b/>
          <w:color w:val="000000"/>
        </w:rPr>
        <w:t>(soit par défaut)</w:t>
      </w:r>
    </w:p>
    <w:p w14:paraId="0D57795D"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FD78D78" w14:textId="77777777" w:rsidR="00DB2B68" w:rsidRDefault="00000000">
      <w:pPr>
        <w:spacing w:after="0" w:line="252" w:lineRule="auto"/>
      </w:pPr>
      <w:r>
        <w:rPr>
          <w:rStyle w:val="soitChar"/>
        </w:rPr>
        <w:t>Distinction faite suivant l'épaisseur.</w:t>
      </w:r>
    </w:p>
    <w:p w14:paraId="3B5B26A3" w14:textId="77777777" w:rsidR="00DB2B68" w:rsidRDefault="00000000">
      <w:pPr>
        <w:spacing w:line="252" w:lineRule="auto"/>
      </w:pPr>
      <w:r>
        <w:rPr>
          <w:b/>
          <w:color w:val="000000"/>
        </w:rPr>
        <w:t>(soit)</w:t>
      </w:r>
    </w:p>
    <w:p w14:paraId="32E60060"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CA92F74"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418E410B" w14:textId="77777777" w:rsidR="00DB2B68" w:rsidRDefault="00000000">
      <w:pPr>
        <w:pStyle w:val="pheading"/>
      </w:pPr>
      <w:r>
        <w:t>- nature du marché:</w:t>
      </w:r>
    </w:p>
    <w:p w14:paraId="09621CEA" w14:textId="77777777" w:rsidR="00DB2B68" w:rsidRDefault="00000000">
      <w:r>
        <w:t>QF</w:t>
      </w:r>
    </w:p>
    <w:p w14:paraId="13FBEF4A" w14:textId="77777777" w:rsidR="00DB2B68" w:rsidRDefault="00000000">
      <w:pPr>
        <w:pStyle w:val="Author-eSectionHeading6Numberless"/>
      </w:pPr>
      <w:bookmarkStart w:id="264" w:name="_Toc220495390"/>
      <w:r>
        <w:t>21.32.2g Maçonneries de parement en blocs de béton clivé à coller CCTB 01.11</w:t>
      </w:r>
      <w:bookmarkEnd w:id="264"/>
    </w:p>
    <w:p w14:paraId="431798CA" w14:textId="77777777" w:rsidR="00DB2B68" w:rsidRDefault="00000000">
      <w:pPr>
        <w:pStyle w:val="pheading"/>
      </w:pPr>
      <w:r>
        <w:t>DESCRIPTION</w:t>
      </w:r>
    </w:p>
    <w:p w14:paraId="7B4D4BFB" w14:textId="77777777" w:rsidR="00DB2B68" w:rsidRDefault="00000000">
      <w:pPr>
        <w:pStyle w:val="pheading"/>
      </w:pPr>
      <w:r>
        <w:t>- Définition / Comprend</w:t>
      </w:r>
    </w:p>
    <w:p w14:paraId="5F68CAC7" w14:textId="77777777" w:rsidR="00DB2B68" w:rsidRDefault="00000000">
      <w:r>
        <w:t>Il s’agit de la fourniture et la pose de maçonneries de parement en blocs de béton clivé à coller.</w:t>
      </w:r>
    </w:p>
    <w:p w14:paraId="52381207" w14:textId="77777777" w:rsidR="00DB2B68" w:rsidRDefault="00000000">
      <w:r>
        <w:t>La portée des travaux est décrite dans l’article </w:t>
      </w:r>
      <w:hyperlink w:anchor="381" w:history="1">
        <w:r>
          <w:rPr>
            <w:color w:val="0000EE"/>
          </w:rPr>
          <w:t>21.3 Maçonneries de parement</w:t>
        </w:r>
      </w:hyperlink>
      <w:r>
        <w:t>.</w:t>
      </w:r>
    </w:p>
    <w:p w14:paraId="4C18794C" w14:textId="77777777" w:rsidR="00DB2B68" w:rsidRDefault="00000000">
      <w:pPr>
        <w:pStyle w:val="pheading"/>
      </w:pPr>
      <w:r>
        <w:t>- Localisation</w:t>
      </w:r>
    </w:p>
    <w:p w14:paraId="61F241E2" w14:textId="77777777" w:rsidR="00DB2B68" w:rsidRDefault="00000000">
      <w:r>
        <w:t xml:space="preserve">La pose est réalisée aux endroits suivants : </w:t>
      </w:r>
      <w:r>
        <w:rPr>
          <w:rStyle w:val="optioncarChar"/>
        </w:rPr>
        <w:t>***</w:t>
      </w:r>
      <w:r>
        <w:t>.</w:t>
      </w:r>
      <w:r>
        <w:br/>
        <w:t>Voir plans et métrés détaillés.</w:t>
      </w:r>
    </w:p>
    <w:p w14:paraId="25D65CCF" w14:textId="77777777" w:rsidR="00DB2B68" w:rsidRDefault="00000000">
      <w:pPr>
        <w:pStyle w:val="pheading"/>
      </w:pPr>
      <w:r>
        <w:t>MATÉRIAUX</w:t>
      </w:r>
    </w:p>
    <w:p w14:paraId="2BB345A5" w14:textId="77777777" w:rsidR="00DB2B68" w:rsidRDefault="00000000">
      <w:pPr>
        <w:pStyle w:val="pheading"/>
      </w:pPr>
      <w:r>
        <w:t>- Caractéristiques générales</w:t>
      </w:r>
    </w:p>
    <w:p w14:paraId="1783999E" w14:textId="77777777" w:rsidR="00DB2B68" w:rsidRDefault="00000000">
      <w:r>
        <w:rPr>
          <w:rStyle w:val="headingChar"/>
          <w:color w:val="000000"/>
        </w:rPr>
        <w:t>Blocs</w:t>
      </w:r>
    </w:p>
    <w:p w14:paraId="2EA91199" w14:textId="77777777" w:rsidR="00DB2B68"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2714F433" w14:textId="77777777" w:rsidR="00DB2B68"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69E9054B" w14:textId="77777777" w:rsidR="00DB2B68"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2B7CF400" w14:textId="77777777" w:rsidR="00DB2B68"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73A97119" w14:textId="77777777" w:rsidR="00DB2B68" w:rsidRDefault="00000000">
      <w:pPr>
        <w:spacing w:after="0" w:line="0" w:lineRule="atLeast"/>
      </w:pPr>
      <w:r>
        <w:rPr>
          <w:color w:val="000000"/>
        </w:rPr>
        <w:t xml:space="preserve">La conductibilité thermique λD est compatible avec la valeur U prescrite pour la paroi. </w:t>
      </w:r>
    </w:p>
    <w:p w14:paraId="4664C8C3" w14:textId="77777777" w:rsidR="00DB2B68" w:rsidRDefault="00000000">
      <w:pPr>
        <w:spacing w:after="0" w:line="0" w:lineRule="atLeast"/>
      </w:pPr>
      <w:r>
        <w:rPr>
          <w:color w:val="000000"/>
        </w:rPr>
        <w:t xml:space="preserve">Boutisse : </w:t>
      </w:r>
      <w:r>
        <w:t>plate</w:t>
      </w:r>
    </w:p>
    <w:p w14:paraId="2376C446" w14:textId="77777777" w:rsidR="00DB2B68" w:rsidRDefault="00000000">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1E546655" w14:textId="77777777" w:rsidR="00DB2B68"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26E6877F" w14:textId="77777777" w:rsidR="00DB2B68"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74E8EAF3" w14:textId="77777777" w:rsidR="00DB2B68" w:rsidRDefault="00000000">
      <w:pPr>
        <w:spacing w:after="0" w:line="0" w:lineRule="atLeast"/>
      </w:pPr>
      <w:r>
        <w:rPr>
          <w:color w:val="000000"/>
        </w:rPr>
        <w:t xml:space="preserve">Réaction au feu : </w:t>
      </w:r>
      <w:r>
        <w:rPr>
          <w:rStyle w:val="optioncarChar"/>
          <w:color w:val="000000"/>
        </w:rPr>
        <w:t>A1</w:t>
      </w:r>
      <w:r>
        <w:t xml:space="preserve"> (par défaut) </w:t>
      </w:r>
      <w:r>
        <w:rPr>
          <w:rStyle w:val="optioncarChar"/>
          <w:color w:val="000000"/>
        </w:rPr>
        <w:t>/ ***</w:t>
      </w:r>
    </w:p>
    <w:p w14:paraId="268A67FC" w14:textId="77777777" w:rsidR="00DB2B68" w:rsidRDefault="00DB2B68"/>
    <w:p w14:paraId="26C40431" w14:textId="77777777" w:rsidR="00DB2B68" w:rsidRDefault="00000000">
      <w:pPr>
        <w:spacing w:after="0" w:line="0" w:lineRule="atLeast"/>
      </w:pPr>
      <w:r>
        <w:rPr>
          <w:rStyle w:val="headingChar"/>
          <w:color w:val="000000"/>
        </w:rPr>
        <w:lastRenderedPageBreak/>
        <w:t>Mortier</w:t>
      </w:r>
    </w:p>
    <w:p w14:paraId="48E196E1" w14:textId="77777777" w:rsidR="00DB2B68" w:rsidRDefault="00000000">
      <w:pPr>
        <w:spacing w:after="0" w:line="0" w:lineRule="atLeast"/>
      </w:pPr>
      <w:r>
        <w:rPr>
          <w:color w:val="000000"/>
        </w:rPr>
        <w:t xml:space="preserve">Le mortier est du type T adapté à des joints d’épaisseur nominale de </w:t>
      </w:r>
      <w:r>
        <w:rPr>
          <w:rStyle w:val="optioncarChar"/>
          <w:color w:val="000000"/>
        </w:rPr>
        <w:t>3</w:t>
      </w:r>
      <w:r>
        <w:t xml:space="preserve"> (par défaut) </w:t>
      </w:r>
      <w:r>
        <w:rPr>
          <w:rStyle w:val="optioncarChar"/>
          <w:color w:val="000000"/>
        </w:rPr>
        <w:t>/ ***</w:t>
      </w:r>
      <w:r>
        <w:rPr>
          <w:color w:val="000000"/>
        </w:rPr>
        <w:t xml:space="preserve"> mm</w:t>
      </w:r>
    </w:p>
    <w:p w14:paraId="11660FBB" w14:textId="77777777" w:rsidR="00DB2B68"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1376322F" w14:textId="77777777" w:rsidR="00DB2B68"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386FDFDC" w14:textId="77777777" w:rsidR="00DB2B68" w:rsidRDefault="00000000">
      <w:pPr>
        <w:spacing w:line="259" w:lineRule="auto"/>
      </w:pPr>
      <w:r>
        <w:rPr>
          <w:color w:val="000000"/>
        </w:rPr>
        <w:t xml:space="preserve">Résistance au gel : </w:t>
      </w:r>
      <w:r>
        <w:rPr>
          <w:rStyle w:val="optioncarChar"/>
          <w:color w:val="000000"/>
        </w:rPr>
        <w:t>oui</w:t>
      </w:r>
    </w:p>
    <w:p w14:paraId="36EBC9E6" w14:textId="77777777" w:rsidR="00DB2B68" w:rsidRDefault="00DB2B68"/>
    <w:p w14:paraId="0EAD4144" w14:textId="77777777" w:rsidR="00DB2B68" w:rsidRDefault="00000000">
      <w:pPr>
        <w:spacing w:line="259" w:lineRule="auto"/>
      </w:pPr>
      <w:r>
        <w:rPr>
          <w:rStyle w:val="headingChar"/>
          <w:color w:val="000000"/>
        </w:rPr>
        <w:t>Critères de performances du parement</w:t>
      </w:r>
    </w:p>
    <w:p w14:paraId="27AD96D6" w14:textId="77777777" w:rsidR="00DB2B68" w:rsidRDefault="00000000">
      <w:pPr>
        <w:spacing w:line="259" w:lineRule="auto"/>
      </w:pPr>
      <w:r>
        <w:t>V</w:t>
      </w:r>
      <w:r>
        <w:rPr>
          <w:color w:val="000000"/>
        </w:rPr>
        <w:t>aleur λUi ou λUe maximum *** W/mK (suivant l’application). </w:t>
      </w:r>
    </w:p>
    <w:p w14:paraId="49804E02" w14:textId="77777777" w:rsidR="00DB2B68" w:rsidRDefault="00000000">
      <w:pPr>
        <w:pStyle w:val="pheading"/>
      </w:pPr>
      <w:r>
        <w:t>- Finitions</w:t>
      </w:r>
    </w:p>
    <w:p w14:paraId="5A3D7A64"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038D3C1A"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C4768E4"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3A8FDC8D"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3C0CF260"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7BB2EF4" w14:textId="77777777" w:rsidR="00DB2B68" w:rsidRDefault="00000000">
      <w:pPr>
        <w:pStyle w:val="pheading"/>
      </w:pPr>
      <w:r>
        <w:t>EXÉCUTION / MISE EN ŒUVRE</w:t>
      </w:r>
    </w:p>
    <w:p w14:paraId="43053DED" w14:textId="77777777" w:rsidR="00DB2B68" w:rsidRDefault="00000000">
      <w:pPr>
        <w:pStyle w:val="pheading"/>
      </w:pPr>
      <w:r>
        <w:t>- Prescriptions générales</w:t>
      </w:r>
    </w:p>
    <w:p w14:paraId="3B258D88" w14:textId="77777777" w:rsidR="00DB2B68" w:rsidRDefault="00000000">
      <w:pPr>
        <w:spacing w:line="259" w:lineRule="auto"/>
      </w:pPr>
      <w:r>
        <w:t xml:space="preserve">La maçonnerie est exécutée en appareil </w:t>
      </w:r>
      <w:r>
        <w:rPr>
          <w:rStyle w:val="optioncarChar"/>
        </w:rPr>
        <w:t>d'</w:t>
      </w:r>
      <w:r>
        <w:rPr>
          <w:rStyle w:val="normalChar"/>
          <w:color w:val="FF0000"/>
        </w:rPr>
        <w:t>une demi-bloc / ***</w:t>
      </w:r>
    </w:p>
    <w:p w14:paraId="2AB36B7B" w14:textId="77777777" w:rsidR="00DB2B68" w:rsidRDefault="00000000">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402F15B1" w14:textId="77777777" w:rsidR="00DB2B68" w:rsidRDefault="00DB2B68"/>
    <w:p w14:paraId="695FF021" w14:textId="77777777" w:rsidR="00DB2B68" w:rsidRDefault="00000000">
      <w:pPr>
        <w:spacing w:line="259" w:lineRule="auto"/>
      </w:pPr>
      <w:r>
        <w:rPr>
          <w:rStyle w:val="normalChar"/>
          <w:b/>
          <w:color w:val="000000"/>
        </w:rPr>
        <w:t>LINTEAUX</w:t>
      </w:r>
    </w:p>
    <w:p w14:paraId="208C111C"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387920F6" w14:textId="77777777" w:rsidR="00DB2B68" w:rsidRDefault="00000000">
      <w:r>
        <w:rPr>
          <w:b/>
        </w:rPr>
        <w:t>(soit par défaut)</w:t>
      </w:r>
    </w:p>
    <w:p w14:paraId="19F24347" w14:textId="77777777" w:rsidR="00DB2B68" w:rsidRDefault="00000000">
      <w:r>
        <w:rPr>
          <w:rStyle w:val="soitChar"/>
          <w:u w:val="single"/>
        </w:rPr>
        <w:t>D'une armature et de crochets de mur</w:t>
      </w:r>
      <w:r>
        <w:rPr>
          <w:rStyle w:val="soitChar"/>
        </w:rPr>
        <w:t>  :</w:t>
      </w:r>
    </w:p>
    <w:p w14:paraId="7E0BC053"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23DE1F93" w14:textId="77777777" w:rsidR="00DB2B68" w:rsidRDefault="00000000">
      <w:r>
        <w:rPr>
          <w:b/>
        </w:rPr>
        <w:t>(soit)</w:t>
      </w:r>
    </w:p>
    <w:p w14:paraId="1B6E01C7"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6646EBAF" w14:textId="77777777" w:rsidR="00DB2B68" w:rsidRDefault="00000000">
      <w:r>
        <w:rPr>
          <w:b/>
        </w:rPr>
        <w:t>(soit)</w:t>
      </w:r>
    </w:p>
    <w:p w14:paraId="49CC81D9"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459E438A" w14:textId="77777777" w:rsidR="00DB2B68" w:rsidRDefault="00000000">
      <w:r>
        <w:rPr>
          <w:b/>
        </w:rPr>
        <w:lastRenderedPageBreak/>
        <w:t>(soit)</w:t>
      </w:r>
    </w:p>
    <w:p w14:paraId="6391D993" w14:textId="77777777" w:rsidR="00DB2B68"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6D54D170" w14:textId="77777777" w:rsidR="00DB2B68" w:rsidRDefault="00000000">
      <w:r>
        <w:rPr>
          <w:b/>
        </w:rPr>
        <w:t>(soit)</w:t>
      </w:r>
    </w:p>
    <w:p w14:paraId="69F3AB3F" w14:textId="77777777" w:rsidR="00DB2B68" w:rsidRDefault="00000000">
      <w:r>
        <w:rPr>
          <w:rStyle w:val="optioncarChar"/>
        </w:rPr>
        <w:t> ***</w:t>
      </w:r>
    </w:p>
    <w:p w14:paraId="43FD8FF0" w14:textId="77777777" w:rsidR="00DB2B68" w:rsidRDefault="00000000">
      <w:pPr>
        <w:pStyle w:val="pheading"/>
      </w:pPr>
      <w:r>
        <w:t>- Notes d’exécution complémentaires</w:t>
      </w:r>
    </w:p>
    <w:p w14:paraId="7187D449" w14:textId="77777777" w:rsidR="00DB2B68"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02E7D628" w14:textId="77777777" w:rsidR="00DB2B68" w:rsidRDefault="00000000">
      <w:r>
        <w:t xml:space="preserve">• Armatures : selon l'article </w:t>
      </w:r>
      <w:hyperlink w:anchor="357" w:history="1">
        <w:r>
          <w:rPr>
            <w:color w:val="0000EE"/>
          </w:rPr>
          <w:t>21.41.1 Armatures horizontales pour maçonneries</w:t>
        </w:r>
      </w:hyperlink>
      <w:r>
        <w:t> </w:t>
      </w:r>
    </w:p>
    <w:p w14:paraId="130F63B9" w14:textId="77777777" w:rsidR="00DB2B68" w:rsidRDefault="00000000">
      <w:r>
        <w:t xml:space="preserve">• Ancrages : selon l'article </w:t>
      </w:r>
      <w:hyperlink w:anchor="364" w:history="1">
        <w:r>
          <w:rPr>
            <w:color w:val="0000EE"/>
          </w:rPr>
          <w:t>21.42 Ancrages et fixations de maçonneries</w:t>
        </w:r>
      </w:hyperlink>
    </w:p>
    <w:p w14:paraId="5071639C" w14:textId="77777777" w:rsidR="00DB2B68" w:rsidRDefault="00000000">
      <w:r>
        <w:t xml:space="preserve">Blocs spéciaux : </w:t>
      </w:r>
      <w:r>
        <w:rPr>
          <w:rStyle w:val="optioncarChar"/>
        </w:rPr>
        <w:t>***</w:t>
      </w:r>
    </w:p>
    <w:p w14:paraId="29073961" w14:textId="77777777" w:rsidR="00DB2B68" w:rsidRDefault="00000000">
      <w:r>
        <w:t xml:space="preserve">Étanchéité : </w:t>
      </w:r>
      <w:r>
        <w:rPr>
          <w:rStyle w:val="optioncarChar"/>
        </w:rPr>
        <w:t>***</w:t>
      </w:r>
    </w:p>
    <w:p w14:paraId="153112AF" w14:textId="77777777" w:rsidR="00DB2B68" w:rsidRDefault="00000000">
      <w:r>
        <w:t xml:space="preserve">Joints de dilatation : </w:t>
      </w:r>
      <w:r>
        <w:rPr>
          <w:rStyle w:val="optioncarChar"/>
        </w:rPr>
        <w:t>***</w:t>
      </w:r>
    </w:p>
    <w:p w14:paraId="16A69240" w14:textId="77777777" w:rsidR="00DB2B68" w:rsidRDefault="00000000">
      <w:pPr>
        <w:pStyle w:val="pheading"/>
      </w:pPr>
      <w:r>
        <w:t>MESURAGE</w:t>
      </w:r>
    </w:p>
    <w:p w14:paraId="0F457074" w14:textId="77777777" w:rsidR="00DB2B68" w:rsidRDefault="00000000">
      <w:pPr>
        <w:pStyle w:val="pheading"/>
      </w:pPr>
      <w:r>
        <w:t>- unité de mesure:</w:t>
      </w:r>
    </w:p>
    <w:p w14:paraId="75F7C563" w14:textId="77777777" w:rsidR="00DB2B68" w:rsidRDefault="00000000">
      <w:r>
        <w:rPr>
          <w:rStyle w:val="optioncarChar"/>
        </w:rPr>
        <w:t>m² </w:t>
      </w:r>
      <w:r>
        <w:rPr>
          <w:rStyle w:val="optioncarChar"/>
          <w:color w:val="000000"/>
        </w:rPr>
        <w:t>(par défaut)</w:t>
      </w:r>
      <w:r>
        <w:rPr>
          <w:rStyle w:val="optioncarChar"/>
        </w:rPr>
        <w:t> / m³</w:t>
      </w:r>
    </w:p>
    <w:p w14:paraId="3D5C7075" w14:textId="77777777" w:rsidR="00DB2B68" w:rsidRDefault="00000000">
      <w:pPr>
        <w:spacing w:after="0" w:line="0" w:lineRule="atLeast"/>
      </w:pPr>
      <w:r>
        <w:rPr>
          <w:b/>
          <w:color w:val="000000"/>
        </w:rPr>
        <w:t>(soit par défaut)</w:t>
      </w:r>
    </w:p>
    <w:p w14:paraId="1E531E55" w14:textId="77777777" w:rsidR="00DB2B68" w:rsidRDefault="00000000">
      <w:pPr>
        <w:spacing w:after="0" w:line="0" w:lineRule="atLeast"/>
      </w:pPr>
      <w:r>
        <w:rPr>
          <w:rStyle w:val="soitChar"/>
        </w:rPr>
        <w:t>1. m²</w:t>
      </w:r>
    </w:p>
    <w:p w14:paraId="75BF76F2" w14:textId="77777777" w:rsidR="00DB2B68" w:rsidRDefault="00000000">
      <w:pPr>
        <w:spacing w:after="0" w:line="0" w:lineRule="atLeast"/>
      </w:pPr>
      <w:r>
        <w:rPr>
          <w:b/>
          <w:color w:val="000000"/>
        </w:rPr>
        <w:t>(soit)</w:t>
      </w:r>
    </w:p>
    <w:p w14:paraId="4D431A79" w14:textId="77777777" w:rsidR="00DB2B68" w:rsidRDefault="00000000">
      <w:pPr>
        <w:spacing w:after="0" w:line="0" w:lineRule="atLeast"/>
      </w:pPr>
      <w:r>
        <w:rPr>
          <w:rStyle w:val="soitChar"/>
        </w:rPr>
        <w:t>2. m³</w:t>
      </w:r>
    </w:p>
    <w:p w14:paraId="225B77D7" w14:textId="77777777" w:rsidR="00DB2B68" w:rsidRDefault="00000000">
      <w:pPr>
        <w:pStyle w:val="pheading"/>
      </w:pPr>
      <w:r>
        <w:t>- code de mesurage:</w:t>
      </w:r>
    </w:p>
    <w:p w14:paraId="2A112B74" w14:textId="77777777" w:rsidR="00DB2B68" w:rsidRDefault="00000000">
      <w:pPr>
        <w:spacing w:before="0" w:after="0"/>
      </w:pPr>
      <w:r>
        <w:t>Les maçonneries sont mesurées en fonction de leur forme géométrique.</w:t>
      </w:r>
    </w:p>
    <w:p w14:paraId="6FBCCB64"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38D3BBC2" w14:textId="77777777" w:rsidR="00DB2B68" w:rsidRDefault="00000000">
      <w:pPr>
        <w:spacing w:before="0" w:after="0"/>
      </w:pPr>
      <w:r>
        <w:t>La coulisse n'est jamais prise en compte.</w:t>
      </w:r>
    </w:p>
    <w:p w14:paraId="2DD6C1D7" w14:textId="77777777" w:rsidR="00DB2B68" w:rsidRDefault="00000000">
      <w:pPr>
        <w:spacing w:after="0" w:line="259" w:lineRule="auto"/>
      </w:pPr>
      <w:r>
        <w:rPr>
          <w:rStyle w:val="normalChar"/>
        </w:rPr>
        <w:t>Les accessoires (linteaux non décrits et non comptés dans un autre poste, attaches,…) sont compris dans le prix.</w:t>
      </w:r>
    </w:p>
    <w:p w14:paraId="22D73012" w14:textId="77777777" w:rsidR="00DB2B68" w:rsidRDefault="00000000">
      <w:pPr>
        <w:spacing w:after="0" w:line="259" w:lineRule="auto"/>
      </w:pPr>
      <w:r>
        <w:rPr>
          <w:rStyle w:val="normalChar"/>
        </w:rPr>
        <w:t>Sont entre-autres décrits et comptés dans un autre poste :</w:t>
      </w:r>
    </w:p>
    <w:p w14:paraId="345BE9A6" w14:textId="77777777" w:rsidR="00DB2B68" w:rsidRDefault="00000000">
      <w:pPr>
        <w:pStyle w:val="Author-eListParagraph"/>
        <w:numPr>
          <w:ilvl w:val="0"/>
          <w:numId w:val="259"/>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451F473E" w14:textId="77777777" w:rsidR="00DB2B68" w:rsidRDefault="00000000">
      <w:pPr>
        <w:pStyle w:val="Author-eListParagraph"/>
        <w:numPr>
          <w:ilvl w:val="0"/>
          <w:numId w:val="259"/>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5BFCE95E" w14:textId="77777777" w:rsidR="00DB2B68" w:rsidRDefault="00000000">
      <w:pPr>
        <w:pStyle w:val="Author-eListParagraph"/>
        <w:numPr>
          <w:ilvl w:val="0"/>
          <w:numId w:val="259"/>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10919ECE"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3D860EA4" w14:textId="77777777" w:rsidR="00DB2B68" w:rsidRDefault="00000000">
      <w:pPr>
        <w:spacing w:after="0" w:line="252" w:lineRule="auto"/>
      </w:pPr>
      <w:r>
        <w:rPr>
          <w:b/>
          <w:color w:val="000000"/>
        </w:rPr>
        <w:t>(soit par défaut)</w:t>
      </w:r>
    </w:p>
    <w:p w14:paraId="5AEC8032"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DFED71B" w14:textId="77777777" w:rsidR="00DB2B68" w:rsidRDefault="00000000">
      <w:pPr>
        <w:spacing w:after="0" w:line="252" w:lineRule="auto"/>
      </w:pPr>
      <w:r>
        <w:rPr>
          <w:rStyle w:val="soitChar"/>
        </w:rPr>
        <w:t>Distinction faite suivant l'épaisseur.</w:t>
      </w:r>
    </w:p>
    <w:p w14:paraId="748EF196" w14:textId="77777777" w:rsidR="00DB2B68" w:rsidRDefault="00000000">
      <w:pPr>
        <w:spacing w:line="252" w:lineRule="auto"/>
      </w:pPr>
      <w:r>
        <w:rPr>
          <w:b/>
          <w:color w:val="000000"/>
        </w:rPr>
        <w:t>(soit)</w:t>
      </w:r>
    </w:p>
    <w:p w14:paraId="2AD6EBF9"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12277944" w14:textId="77777777" w:rsidR="00DB2B68" w:rsidRDefault="00000000">
      <w:pPr>
        <w:spacing w:line="252" w:lineRule="auto"/>
      </w:pPr>
      <w:r>
        <w:rPr>
          <w:rStyle w:val="soitChar"/>
        </w:rPr>
        <w:lastRenderedPageBreak/>
        <w:t>Les ouvertures ou les éléments de construction intégrés dont l'aire est supérieure à 0,5 m² multipliées par l’épaisseur à réaliser sont déduites.</w:t>
      </w:r>
    </w:p>
    <w:p w14:paraId="0F63D5F6" w14:textId="77777777" w:rsidR="00DB2B68" w:rsidRDefault="00000000">
      <w:pPr>
        <w:pStyle w:val="pheading"/>
      </w:pPr>
      <w:r>
        <w:t>- nature du marché:</w:t>
      </w:r>
    </w:p>
    <w:p w14:paraId="0413F0F3" w14:textId="77777777" w:rsidR="00DB2B68" w:rsidRDefault="00000000">
      <w:r>
        <w:t>QF</w:t>
      </w:r>
    </w:p>
    <w:p w14:paraId="0C0F3EB2" w14:textId="77777777" w:rsidR="00DB2B68" w:rsidRDefault="00000000">
      <w:pPr>
        <w:pStyle w:val="Author-eSectionHeading6Numberless"/>
      </w:pPr>
      <w:bookmarkStart w:id="265" w:name="_Toc220495391"/>
      <w:r>
        <w:t>21.32.2h Maçonneries de parement en blocs de béton clivé à système de dosage pour liant hydraulique CCTB 01.11</w:t>
      </w:r>
      <w:bookmarkEnd w:id="265"/>
    </w:p>
    <w:p w14:paraId="3FE4F0C8" w14:textId="77777777" w:rsidR="00DB2B68" w:rsidRDefault="00000000">
      <w:pPr>
        <w:pStyle w:val="pheading"/>
      </w:pPr>
      <w:r>
        <w:t>DESCRIPTION</w:t>
      </w:r>
    </w:p>
    <w:p w14:paraId="4CF5F263" w14:textId="77777777" w:rsidR="00DB2B68" w:rsidRDefault="00000000">
      <w:pPr>
        <w:pStyle w:val="pheading"/>
      </w:pPr>
      <w:r>
        <w:t>- Définition / Comprend</w:t>
      </w:r>
    </w:p>
    <w:p w14:paraId="12608F9E" w14:textId="77777777" w:rsidR="00DB2B68" w:rsidRDefault="00000000">
      <w:r>
        <w:t>Il s’agit de la fourniture et la pose de maçonneries de parement en blocs de béton pleins à coller.</w:t>
      </w:r>
    </w:p>
    <w:p w14:paraId="1D725719" w14:textId="77777777" w:rsidR="00DB2B68" w:rsidRDefault="00000000">
      <w:r>
        <w:t>La portée des travaux est décrite dans l’article </w:t>
      </w:r>
      <w:hyperlink w:anchor="381" w:history="1">
        <w:r>
          <w:rPr>
            <w:color w:val="0000EE"/>
          </w:rPr>
          <w:t>21.3 Maçonneries de parement</w:t>
        </w:r>
      </w:hyperlink>
      <w:r>
        <w:t>.</w:t>
      </w:r>
    </w:p>
    <w:p w14:paraId="4684247C" w14:textId="77777777" w:rsidR="00DB2B68" w:rsidRDefault="00000000">
      <w:pPr>
        <w:pStyle w:val="pheading"/>
      </w:pPr>
      <w:r>
        <w:t>- Localisation</w:t>
      </w:r>
    </w:p>
    <w:p w14:paraId="5678910C" w14:textId="77777777" w:rsidR="00DB2B68" w:rsidRDefault="00000000">
      <w:r>
        <w:t xml:space="preserve">La pose est réalisée aux endroits suivants : </w:t>
      </w:r>
      <w:r>
        <w:rPr>
          <w:rStyle w:val="optioncarChar"/>
        </w:rPr>
        <w:t>***</w:t>
      </w:r>
      <w:r>
        <w:t>.</w:t>
      </w:r>
      <w:r>
        <w:br/>
        <w:t>Voir plans et métrés détaillés.</w:t>
      </w:r>
    </w:p>
    <w:p w14:paraId="6A6157B1" w14:textId="77777777" w:rsidR="00DB2B68" w:rsidRDefault="00000000">
      <w:pPr>
        <w:pStyle w:val="pheading"/>
      </w:pPr>
      <w:r>
        <w:t>MATÉRIAUX</w:t>
      </w:r>
    </w:p>
    <w:p w14:paraId="336E1571" w14:textId="77777777" w:rsidR="00DB2B68" w:rsidRDefault="00000000">
      <w:pPr>
        <w:pStyle w:val="pheading"/>
      </w:pPr>
      <w:r>
        <w:t>- Caractéristiques générales</w:t>
      </w:r>
    </w:p>
    <w:p w14:paraId="2139585C" w14:textId="77777777" w:rsidR="00DB2B68" w:rsidRDefault="00000000">
      <w:r>
        <w:rPr>
          <w:rStyle w:val="headingChar"/>
          <w:color w:val="000000"/>
        </w:rPr>
        <w:t>Blocs</w:t>
      </w:r>
    </w:p>
    <w:p w14:paraId="2FFF7FC3" w14:textId="77777777" w:rsidR="00DB2B68"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77D53A79" w14:textId="77777777" w:rsidR="00DB2B68"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4A311D9B" w14:textId="77777777" w:rsidR="00DB2B68"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5949A1A4" w14:textId="77777777" w:rsidR="00DB2B68"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78CB04B7" w14:textId="77777777" w:rsidR="00DB2B68" w:rsidRDefault="00000000">
      <w:pPr>
        <w:spacing w:after="0" w:line="0" w:lineRule="atLeast"/>
      </w:pPr>
      <w:r>
        <w:rPr>
          <w:color w:val="000000"/>
        </w:rPr>
        <w:t xml:space="preserve">La conductibilité thermique λD est compatible avec la valeur U prescrite pour la paroi. </w:t>
      </w:r>
    </w:p>
    <w:p w14:paraId="1F80CF27" w14:textId="77777777" w:rsidR="00DB2B68" w:rsidRDefault="00000000">
      <w:pPr>
        <w:spacing w:after="0" w:line="0" w:lineRule="atLeast"/>
      </w:pPr>
      <w:r>
        <w:rPr>
          <w:color w:val="000000"/>
        </w:rPr>
        <w:t>Boutisse :</w:t>
      </w:r>
      <w:r>
        <w:t xml:space="preserve"> plate</w:t>
      </w:r>
    </w:p>
    <w:p w14:paraId="2B97C996" w14:textId="77777777" w:rsidR="00DB2B68" w:rsidRDefault="00000000">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791D3EBA" w14:textId="77777777" w:rsidR="00DB2B68" w:rsidRDefault="00000000">
      <w:pPr>
        <w:spacing w:after="0" w:line="0" w:lineRule="atLeast"/>
      </w:pPr>
      <w:r>
        <w:rPr>
          <w:color w:val="000000"/>
        </w:rPr>
        <w:t xml:space="preserve">Teinte : </w:t>
      </w:r>
      <w:r>
        <w:rPr>
          <w:rStyle w:val="optioncarChar"/>
          <w:color w:val="000000"/>
        </w:rPr>
        <w:t>gris </w:t>
      </w:r>
      <w:r>
        <w:t xml:space="preserve">(par défaut) </w:t>
      </w:r>
      <w:r>
        <w:rPr>
          <w:rStyle w:val="optioncarChar"/>
          <w:color w:val="000000"/>
        </w:rPr>
        <w:t>/ blanc / noir / ***</w:t>
      </w:r>
    </w:p>
    <w:p w14:paraId="71FC7175" w14:textId="77777777" w:rsidR="00DB2B68"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7C999A80" w14:textId="77777777" w:rsidR="00DB2B68" w:rsidRDefault="00000000">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2BC90A3A" w14:textId="77777777" w:rsidR="00DB2B68" w:rsidRDefault="00DB2B68"/>
    <w:p w14:paraId="5A9A11EF" w14:textId="77777777" w:rsidR="00DB2B68" w:rsidRDefault="00000000">
      <w:pPr>
        <w:spacing w:after="0" w:line="0" w:lineRule="atLeast"/>
      </w:pPr>
      <w:r>
        <w:rPr>
          <w:rStyle w:val="headingChar"/>
          <w:color w:val="000000"/>
        </w:rPr>
        <w:t>Mortier</w:t>
      </w:r>
    </w:p>
    <w:p w14:paraId="63AEE6DF" w14:textId="77777777" w:rsidR="00DB2B68" w:rsidRDefault="00000000">
      <w:r>
        <w:rPr>
          <w:shd w:val="clear" w:color="auto" w:fill="FFFFFF"/>
        </w:rP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47DBEC2D" w14:textId="77777777" w:rsidR="00DB2B68" w:rsidRDefault="00DB2B68"/>
    <w:p w14:paraId="5B005B27" w14:textId="77777777" w:rsidR="00DB2B68" w:rsidRDefault="00000000">
      <w:pPr>
        <w:spacing w:line="259" w:lineRule="auto"/>
      </w:pPr>
      <w:r>
        <w:rPr>
          <w:rStyle w:val="headingChar"/>
          <w:color w:val="000000"/>
        </w:rPr>
        <w:t>Critères de performances du parement</w:t>
      </w:r>
    </w:p>
    <w:p w14:paraId="37B5DB15" w14:textId="77777777" w:rsidR="00DB2B68" w:rsidRDefault="00000000">
      <w:pPr>
        <w:spacing w:line="259" w:lineRule="auto"/>
      </w:pPr>
      <w:r>
        <w:rPr>
          <w:color w:val="000000"/>
        </w:rPr>
        <w:t xml:space="preserve">Valeur λUi ou λUe maximum </w:t>
      </w:r>
      <w:r>
        <w:rPr>
          <w:rStyle w:val="optioncarChar"/>
          <w:color w:val="000000"/>
        </w:rPr>
        <w:t>***</w:t>
      </w:r>
      <w:r>
        <w:rPr>
          <w:color w:val="000000"/>
        </w:rPr>
        <w:t xml:space="preserve"> W/mK (suivant l’application).</w:t>
      </w:r>
    </w:p>
    <w:p w14:paraId="56A28E64" w14:textId="77777777" w:rsidR="00DB2B68" w:rsidRDefault="00000000">
      <w:pPr>
        <w:pStyle w:val="pheading"/>
      </w:pPr>
      <w:r>
        <w:t>- Finitions</w:t>
      </w:r>
    </w:p>
    <w:p w14:paraId="353D8365" w14:textId="77777777" w:rsidR="00DB2B68"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13E69734"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104373BF" w14:textId="77777777" w:rsidR="00DB2B68" w:rsidRDefault="00000000">
      <w:pPr>
        <w:spacing w:before="0" w:after="0"/>
      </w:pPr>
      <w:r>
        <w:lastRenderedPageBreak/>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06BC0F4D"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77A3B730"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EB7B1CF" w14:textId="77777777" w:rsidR="00DB2B68" w:rsidRDefault="00000000">
      <w:pPr>
        <w:ind w:left="750"/>
      </w:pPr>
      <w:r>
        <w:t> </w:t>
      </w:r>
    </w:p>
    <w:p w14:paraId="482D3854" w14:textId="77777777" w:rsidR="00DB2B68" w:rsidRDefault="00000000">
      <w:pPr>
        <w:pStyle w:val="pheading"/>
      </w:pPr>
      <w:r>
        <w:t>EXÉCUTION / MISE EN ŒUVRE</w:t>
      </w:r>
    </w:p>
    <w:p w14:paraId="09D6B819" w14:textId="77777777" w:rsidR="00DB2B68" w:rsidRDefault="00000000">
      <w:pPr>
        <w:pStyle w:val="pheading"/>
      </w:pPr>
      <w:r>
        <w:t>- Prescriptions générales</w:t>
      </w:r>
    </w:p>
    <w:p w14:paraId="0D6158CC" w14:textId="77777777" w:rsidR="00DB2B68" w:rsidRDefault="00000000">
      <w:pPr>
        <w:spacing w:line="259" w:lineRule="auto"/>
      </w:pPr>
      <w:r>
        <w:t xml:space="preserve">La maçonnerie est exécutée en appareil </w:t>
      </w:r>
      <w:r>
        <w:rPr>
          <w:rStyle w:val="optioncarChar"/>
        </w:rPr>
        <w:t>d'</w:t>
      </w:r>
      <w:r>
        <w:rPr>
          <w:rStyle w:val="normalChar"/>
          <w:color w:val="FF0000"/>
        </w:rPr>
        <w:t>une demi-bloc / ***</w:t>
      </w:r>
    </w:p>
    <w:p w14:paraId="6A98490C" w14:textId="77777777" w:rsidR="00DB2B68" w:rsidRDefault="00000000">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6F374160" w14:textId="77777777" w:rsidR="00DB2B68" w:rsidRDefault="00000000">
      <w:pPr>
        <w:spacing w:line="259" w:lineRule="auto"/>
      </w:pPr>
      <w:r>
        <w:rPr>
          <w:rStyle w:val="normalChar"/>
          <w:color w:val="000000"/>
        </w:rPr>
        <w:t>Les traces d'efflorescence qui apparaîtraient avant la réception provisoire sont</w:t>
      </w:r>
      <w:r>
        <w:rPr>
          <w:color w:val="000000"/>
        </w:rPr>
        <w:t> </w:t>
      </w:r>
      <w:r>
        <w:rPr>
          <w:rStyle w:val="optioncarChar"/>
        </w:rPr>
        <w:t>délavées naturellement par les pluies (par défaut) / nettoyées à l'aide d'un produit approprié</w:t>
      </w:r>
    </w:p>
    <w:p w14:paraId="35D3EEEB" w14:textId="77777777" w:rsidR="00DB2B68" w:rsidRDefault="00DB2B68"/>
    <w:p w14:paraId="1E818EB5" w14:textId="77777777" w:rsidR="00DB2B68" w:rsidRDefault="00000000">
      <w:pPr>
        <w:spacing w:line="259" w:lineRule="auto"/>
      </w:pPr>
      <w:r>
        <w:rPr>
          <w:rStyle w:val="normalChar"/>
          <w:b/>
          <w:color w:val="000000"/>
        </w:rPr>
        <w:t>LINTEAUX</w:t>
      </w:r>
    </w:p>
    <w:p w14:paraId="6B4C675B" w14:textId="77777777" w:rsidR="00DB2B68" w:rsidRDefault="00DB2B68"/>
    <w:p w14:paraId="6D25F156" w14:textId="77777777" w:rsidR="00DB2B68"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63A86401" w14:textId="77777777" w:rsidR="00DB2B68" w:rsidRDefault="00000000">
      <w:r>
        <w:rPr>
          <w:b/>
        </w:rPr>
        <w:t>(soit par défaut)</w:t>
      </w:r>
    </w:p>
    <w:p w14:paraId="4E116CA1" w14:textId="77777777" w:rsidR="00DB2B68" w:rsidRDefault="00000000">
      <w:r>
        <w:rPr>
          <w:rStyle w:val="soitChar"/>
          <w:u w:val="single"/>
        </w:rPr>
        <w:t>D'une armature et de crochets de mur</w:t>
      </w:r>
      <w:r>
        <w:rPr>
          <w:rStyle w:val="soitChar"/>
        </w:rPr>
        <w:t>  :</w:t>
      </w:r>
    </w:p>
    <w:p w14:paraId="0D813668" w14:textId="77777777" w:rsidR="00DB2B68"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3110E60F" w14:textId="77777777" w:rsidR="00DB2B68" w:rsidRDefault="00000000">
      <w:r>
        <w:rPr>
          <w:b/>
        </w:rPr>
        <w:t>(soit)</w:t>
      </w:r>
    </w:p>
    <w:p w14:paraId="7056A2B7" w14:textId="77777777" w:rsidR="00DB2B68"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46AD3B72" w14:textId="77777777" w:rsidR="00DB2B68" w:rsidRDefault="00000000">
      <w:r>
        <w:rPr>
          <w:b/>
        </w:rPr>
        <w:t>(soit)</w:t>
      </w:r>
    </w:p>
    <w:p w14:paraId="7ECE4CB7" w14:textId="77777777" w:rsidR="00DB2B68"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4B62138C" w14:textId="77777777" w:rsidR="00DB2B68" w:rsidRDefault="00000000">
      <w:r>
        <w:rPr>
          <w:b/>
        </w:rPr>
        <w:t>(soit)</w:t>
      </w:r>
    </w:p>
    <w:p w14:paraId="0C94C07F" w14:textId="77777777" w:rsidR="00DB2B68"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1A98B6C" w14:textId="77777777" w:rsidR="00DB2B68" w:rsidRDefault="00000000">
      <w:r>
        <w:rPr>
          <w:b/>
        </w:rPr>
        <w:t>(soit)</w:t>
      </w:r>
    </w:p>
    <w:p w14:paraId="20568C6C" w14:textId="77777777" w:rsidR="00DB2B68" w:rsidRDefault="00000000">
      <w:r>
        <w:rPr>
          <w:rStyle w:val="optioncarChar"/>
        </w:rPr>
        <w:t> ***</w:t>
      </w:r>
    </w:p>
    <w:p w14:paraId="3355CB13" w14:textId="77777777" w:rsidR="00DB2B68" w:rsidRDefault="00000000">
      <w:pPr>
        <w:pStyle w:val="pheading"/>
      </w:pPr>
      <w:r>
        <w:t>- Notes d’exécution complémentaires</w:t>
      </w:r>
    </w:p>
    <w:p w14:paraId="7D5C6872" w14:textId="77777777" w:rsidR="00DB2B68"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5D1FE7BB" w14:textId="77777777" w:rsidR="00DB2B68" w:rsidRDefault="00000000">
      <w:r>
        <w:t xml:space="preserve">• Armatures : selon l'article </w:t>
      </w:r>
      <w:hyperlink w:anchor="357" w:history="1">
        <w:r>
          <w:rPr>
            <w:color w:val="0000EE"/>
          </w:rPr>
          <w:t>21.41.1 Armatures horizontales pour maçonneries</w:t>
        </w:r>
      </w:hyperlink>
      <w:r>
        <w:t> </w:t>
      </w:r>
    </w:p>
    <w:p w14:paraId="2C09D6C3" w14:textId="77777777" w:rsidR="00DB2B68" w:rsidRDefault="00000000">
      <w:r>
        <w:lastRenderedPageBreak/>
        <w:t xml:space="preserve">• Ancrages : selon l'article </w:t>
      </w:r>
      <w:hyperlink w:anchor="364" w:history="1">
        <w:r>
          <w:rPr>
            <w:color w:val="0000EE"/>
          </w:rPr>
          <w:t>21.42 Ancrages et fixations de maçonneries</w:t>
        </w:r>
      </w:hyperlink>
    </w:p>
    <w:p w14:paraId="1080CAEA" w14:textId="77777777" w:rsidR="00DB2B68" w:rsidRDefault="00000000">
      <w:r>
        <w:t xml:space="preserve">Blocs spéciaux : </w:t>
      </w:r>
      <w:r>
        <w:rPr>
          <w:rStyle w:val="optioncarChar"/>
        </w:rPr>
        <w:t>***</w:t>
      </w:r>
    </w:p>
    <w:p w14:paraId="37F51ED7" w14:textId="77777777" w:rsidR="00DB2B68" w:rsidRDefault="00000000">
      <w:r>
        <w:t xml:space="preserve">Étanchéité : </w:t>
      </w:r>
      <w:r>
        <w:rPr>
          <w:rStyle w:val="optioncarChar"/>
        </w:rPr>
        <w:t>***</w:t>
      </w:r>
    </w:p>
    <w:p w14:paraId="51AD01E9" w14:textId="77777777" w:rsidR="00DB2B68" w:rsidRDefault="00000000">
      <w:r>
        <w:t xml:space="preserve">Joints de dilatation : </w:t>
      </w:r>
      <w:r>
        <w:rPr>
          <w:rStyle w:val="optioncarChar"/>
        </w:rPr>
        <w:t>***</w:t>
      </w:r>
    </w:p>
    <w:p w14:paraId="752F1F62" w14:textId="77777777" w:rsidR="00DB2B68" w:rsidRDefault="00000000">
      <w:r>
        <w:rPr>
          <w:shd w:val="clear" w:color="auto" w:fill="FFFFFF"/>
        </w:rPr>
        <w:t>Ce système est prévu pour des constructions de maisons unifamiliales, pour des constructions d’immeubles à appartements (5 niveaux maximum de murs porteurs) et pour des murs de remplissage entre poutres et colonnes</w:t>
      </w:r>
    </w:p>
    <w:p w14:paraId="2BD3E757" w14:textId="77777777" w:rsidR="00DB2B68" w:rsidRDefault="00000000">
      <w:r>
        <w:rPr>
          <w:shd w:val="clear" w:color="auto" w:fill="FFFFFF"/>
        </w:rP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7B5ECE71" w14:textId="77777777" w:rsidR="00DB2B68" w:rsidRDefault="00000000">
      <w:r>
        <w:rPr>
          <w:shd w:val="clear" w:color="auto" w:fill="FFFFFF"/>
        </w:rPr>
        <w:t>Les blocs de béton et de liant hydraulique avec système de dosage automatique de mortier incorporé pour maçonnerie à joint mince sont couverts par une déclaration d'aptitude à l'utilisation conformément à l'article 02.42.1 Critères d'acceptabilité</w:t>
      </w:r>
    </w:p>
    <w:p w14:paraId="7F22BD15" w14:textId="77777777" w:rsidR="00DB2B68" w:rsidRDefault="0000000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72BCCE87" w14:textId="77777777" w:rsidR="00DB2B68" w:rsidRDefault="0000000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12</w:t>
      </w:r>
      <w:r>
        <w:t> (par défaut)</w:t>
      </w:r>
      <w:r>
        <w:rPr>
          <w:rStyle w:val="optioncarChar"/>
        </w:rPr>
        <w:t xml:space="preserve"> / *** </w:t>
      </w:r>
      <w:r>
        <w:t>mm et de composition moyenne :</w:t>
      </w:r>
    </w:p>
    <w:p w14:paraId="504C13A4" w14:textId="77777777" w:rsidR="00DB2B68" w:rsidRDefault="00000000">
      <w:pPr>
        <w:pStyle w:val="Author-eListParagraph"/>
        <w:numPr>
          <w:ilvl w:val="0"/>
          <w:numId w:val="260"/>
        </w:numPr>
      </w:pPr>
      <w:r>
        <w:t>350kg de ciment de la classe de résistance 52,5 N/mm2,</w:t>
      </w:r>
    </w:p>
    <w:p w14:paraId="119A6B80" w14:textId="77777777" w:rsidR="00DB2B68" w:rsidRDefault="00000000">
      <w:pPr>
        <w:pStyle w:val="Author-eListParagraph"/>
        <w:numPr>
          <w:ilvl w:val="0"/>
          <w:numId w:val="260"/>
        </w:numPr>
      </w:pPr>
      <w:r>
        <w:t>720l à 780l de gravier roulé 4/28,</w:t>
      </w:r>
    </w:p>
    <w:p w14:paraId="6C1AB6B5" w14:textId="77777777" w:rsidR="00DB2B68" w:rsidRDefault="00000000">
      <w:pPr>
        <w:pStyle w:val="Author-eListParagraph"/>
        <w:numPr>
          <w:ilvl w:val="0"/>
          <w:numId w:val="260"/>
        </w:numPr>
      </w:pPr>
      <w:r>
        <w:t>380l à 450l de sable pour béton et armés de barres verticales ou horizontales, le cas échéant justifiées par une note de calcul,</w:t>
      </w:r>
    </w:p>
    <w:p w14:paraId="57E03A35" w14:textId="77777777" w:rsidR="00DB2B68" w:rsidRDefault="00000000">
      <w:pPr>
        <w:pStyle w:val="Author-eListParagraph"/>
        <w:numPr>
          <w:ilvl w:val="0"/>
          <w:numId w:val="260"/>
        </w:numPr>
      </w:pPr>
      <w:r>
        <w:t>170l à 180l d’eau.</w:t>
      </w:r>
    </w:p>
    <w:p w14:paraId="5025F837" w14:textId="77777777" w:rsidR="00DB2B68" w:rsidRDefault="00000000">
      <w:r>
        <w:t>Pour les contraintes horizontales particulières (par ex : force du vent) une note de calcul spécifique doit être établie.</w:t>
      </w:r>
    </w:p>
    <w:p w14:paraId="5BB04493" w14:textId="77777777" w:rsidR="00DB2B68" w:rsidRDefault="00000000">
      <w:r>
        <w:t>Sauf indication contraire dans le cahier spécial des charges ou dans l'étude de stabilité, la répartition des charges des planchers, linteaux, poutres, etc. se fait au choix de l'entrepreneur, selon la méthode suivante :</w:t>
      </w:r>
    </w:p>
    <w:p w14:paraId="14439924" w14:textId="77777777" w:rsidR="00DB2B68" w:rsidRDefault="00000000">
      <w:pPr>
        <w:pStyle w:val="Author-eListParagraph"/>
        <w:numPr>
          <w:ilvl w:val="0"/>
          <w:numId w:val="261"/>
        </w:numPr>
      </w:pPr>
      <w:r>
        <w:t>en remplissant les éléments creux de béton ou de mortier</w:t>
      </w:r>
    </w:p>
    <w:p w14:paraId="0056B679" w14:textId="77777777" w:rsidR="00DB2B68" w:rsidRDefault="00000000">
      <w:pPr>
        <w:pStyle w:val="Author-eListParagraph"/>
        <w:numPr>
          <w:ilvl w:val="0"/>
          <w:numId w:val="261"/>
        </w:numPr>
      </w:pPr>
      <w:r>
        <w:t>en utilisant des blocs pleins</w:t>
      </w:r>
    </w:p>
    <w:p w14:paraId="19A302DF" w14:textId="77777777" w:rsidR="00DB2B68" w:rsidRDefault="00000000">
      <w:pPr>
        <w:pStyle w:val="Author-eListParagraph"/>
        <w:numPr>
          <w:ilvl w:val="0"/>
          <w:numId w:val="261"/>
        </w:numPr>
      </w:pPr>
      <w:r>
        <w:t>en prévoyant une poutre de ceinture</w:t>
      </w:r>
    </w:p>
    <w:p w14:paraId="1DB1E05C" w14:textId="77777777" w:rsidR="00DB2B68" w:rsidRDefault="00000000">
      <w:pPr>
        <w:pStyle w:val="Author-eListParagraph"/>
        <w:numPr>
          <w:ilvl w:val="0"/>
          <w:numId w:val="261"/>
        </w:numPr>
      </w:pPr>
      <w:r>
        <w:t>en prévoyant une semelle de renforcement</w:t>
      </w:r>
    </w:p>
    <w:p w14:paraId="4BF8E5DF" w14:textId="77777777" w:rsidR="00DB2B68" w:rsidRDefault="00000000">
      <w:pPr>
        <w:pStyle w:val="Author-eListParagraph"/>
        <w:numPr>
          <w:ilvl w:val="0"/>
          <w:numId w:val="261"/>
        </w:numPr>
      </w:pPr>
      <w:r>
        <w:t>en prévoyant des armatures</w:t>
      </w:r>
    </w:p>
    <w:p w14:paraId="26976DC3" w14:textId="77777777" w:rsidR="00DB2B68" w:rsidRDefault="00000000">
      <w:r>
        <w:t>Ces blocs ne peuvent pas contenir d'inclusions de fer, ferrugineuses ou de chaux qui risqueraient de provoquer des dégâts en surface.</w:t>
      </w:r>
    </w:p>
    <w:p w14:paraId="1A5A8BD6" w14:textId="77777777" w:rsidR="00DB2B68" w:rsidRDefault="00000000">
      <w:pPr>
        <w:pStyle w:val="pheading"/>
      </w:pPr>
      <w:r>
        <w:t>MESURAGE</w:t>
      </w:r>
    </w:p>
    <w:p w14:paraId="1EB35AD9" w14:textId="77777777" w:rsidR="00DB2B68" w:rsidRDefault="00000000">
      <w:pPr>
        <w:pStyle w:val="pheading"/>
      </w:pPr>
      <w:r>
        <w:t>- unité de mesure:</w:t>
      </w:r>
    </w:p>
    <w:p w14:paraId="61B102F5" w14:textId="77777777" w:rsidR="00DB2B68" w:rsidRDefault="00000000">
      <w:r>
        <w:rPr>
          <w:rStyle w:val="optioncarChar"/>
        </w:rPr>
        <w:t>m² </w:t>
      </w:r>
      <w:r>
        <w:rPr>
          <w:rStyle w:val="optioncarChar"/>
          <w:color w:val="000000"/>
        </w:rPr>
        <w:t>(par défaut)</w:t>
      </w:r>
      <w:r>
        <w:rPr>
          <w:rStyle w:val="optioncarChar"/>
        </w:rPr>
        <w:t> / m³</w:t>
      </w:r>
    </w:p>
    <w:p w14:paraId="5ECB5FD2" w14:textId="77777777" w:rsidR="00DB2B68" w:rsidRDefault="00000000">
      <w:pPr>
        <w:spacing w:after="0" w:line="0" w:lineRule="atLeast"/>
      </w:pPr>
      <w:r>
        <w:rPr>
          <w:b/>
          <w:color w:val="000000"/>
        </w:rPr>
        <w:t>(soit par défaut)</w:t>
      </w:r>
    </w:p>
    <w:p w14:paraId="3B27EDEE" w14:textId="77777777" w:rsidR="00DB2B68" w:rsidRDefault="00000000">
      <w:pPr>
        <w:spacing w:after="0" w:line="0" w:lineRule="atLeast"/>
      </w:pPr>
      <w:r>
        <w:rPr>
          <w:rStyle w:val="soitChar"/>
        </w:rPr>
        <w:t>1. m²</w:t>
      </w:r>
    </w:p>
    <w:p w14:paraId="05DF99DB" w14:textId="77777777" w:rsidR="00DB2B68" w:rsidRDefault="00000000">
      <w:pPr>
        <w:spacing w:after="0" w:line="0" w:lineRule="atLeast"/>
      </w:pPr>
      <w:r>
        <w:rPr>
          <w:b/>
          <w:color w:val="000000"/>
        </w:rPr>
        <w:t>(soit)</w:t>
      </w:r>
    </w:p>
    <w:p w14:paraId="6E1E2A97" w14:textId="77777777" w:rsidR="00DB2B68" w:rsidRDefault="00000000">
      <w:pPr>
        <w:spacing w:after="0" w:line="0" w:lineRule="atLeast"/>
      </w:pPr>
      <w:r>
        <w:rPr>
          <w:rStyle w:val="soitChar"/>
        </w:rPr>
        <w:t>2. m³</w:t>
      </w:r>
    </w:p>
    <w:p w14:paraId="1654E05D" w14:textId="77777777" w:rsidR="00DB2B68" w:rsidRDefault="00000000">
      <w:pPr>
        <w:pStyle w:val="pheading"/>
      </w:pPr>
      <w:r>
        <w:t>- code de mesurage:</w:t>
      </w:r>
    </w:p>
    <w:p w14:paraId="51300CDA" w14:textId="77777777" w:rsidR="00DB2B68" w:rsidRDefault="00000000">
      <w:pPr>
        <w:spacing w:before="0" w:after="0"/>
      </w:pPr>
      <w:r>
        <w:t>Les maçonneries sont mesurées en fonction de leur forme géométrique.</w:t>
      </w:r>
    </w:p>
    <w:p w14:paraId="3B69E275" w14:textId="77777777" w:rsidR="00DB2B68" w:rsidRDefault="00000000">
      <w:pPr>
        <w:spacing w:before="0" w:after="0"/>
      </w:pPr>
      <w:r>
        <w:lastRenderedPageBreak/>
        <w:t>Les ébrasements des ouvertures et des baies de fenêtres ainsi que la face inférieure des linteaux ne sont comptés (en surface nette) que lorsque leur largeur est supérieure à celle des blocs de façade.</w:t>
      </w:r>
    </w:p>
    <w:p w14:paraId="6821857B" w14:textId="77777777" w:rsidR="00DB2B68" w:rsidRDefault="00000000">
      <w:pPr>
        <w:spacing w:before="0" w:after="0"/>
      </w:pPr>
      <w:r>
        <w:t>La coulisse n'est jamais prise en compte.</w:t>
      </w:r>
    </w:p>
    <w:p w14:paraId="690ABDDC" w14:textId="77777777" w:rsidR="00DB2B68" w:rsidRDefault="00000000">
      <w:pPr>
        <w:spacing w:after="0" w:line="259" w:lineRule="auto"/>
      </w:pPr>
      <w:r>
        <w:rPr>
          <w:rStyle w:val="normalChar"/>
        </w:rPr>
        <w:t>Les accessoires (linteaux non décrits et non comptés dans un autre poste, attaches,…) sont compris dans le prix.</w:t>
      </w:r>
    </w:p>
    <w:p w14:paraId="5C229CA1" w14:textId="77777777" w:rsidR="00DB2B68" w:rsidRDefault="00000000">
      <w:pPr>
        <w:spacing w:after="0" w:line="259" w:lineRule="auto"/>
      </w:pPr>
      <w:r>
        <w:rPr>
          <w:rStyle w:val="normalChar"/>
        </w:rPr>
        <w:t>Sont entre-autres décrits et comptés dans un autre poste :</w:t>
      </w:r>
    </w:p>
    <w:p w14:paraId="36DFA20F" w14:textId="77777777" w:rsidR="00DB2B68" w:rsidRDefault="00000000">
      <w:pPr>
        <w:pStyle w:val="Author-eListParagraph"/>
        <w:numPr>
          <w:ilvl w:val="0"/>
          <w:numId w:val="262"/>
        </w:numPr>
      </w:pPr>
      <w:r>
        <w:rPr>
          <w:rStyle w:val="normalChar"/>
        </w:rPr>
        <w:t xml:space="preserve">Les linteaux apparents en béton, pierre reconstituée et en pierre sont décrits et comptés en </w:t>
      </w:r>
      <w:hyperlink w:anchor="402" w:history="1">
        <w:r>
          <w:rPr>
            <w:rStyle w:val="normalChar"/>
            <w:color w:val="0000EE"/>
          </w:rPr>
          <w:t>21.36.3 Linteaux</w:t>
        </w:r>
      </w:hyperlink>
    </w:p>
    <w:p w14:paraId="3C58DD8F" w14:textId="77777777" w:rsidR="00DB2B68" w:rsidRDefault="00000000">
      <w:pPr>
        <w:pStyle w:val="Author-eListParagraph"/>
        <w:numPr>
          <w:ilvl w:val="0"/>
          <w:numId w:val="262"/>
        </w:numPr>
      </w:pPr>
      <w:r>
        <w:rPr>
          <w:rStyle w:val="normalChar"/>
        </w:rPr>
        <w:t xml:space="preserve">Les linteaux apparents en acier sont décrits et comptés en </w:t>
      </w:r>
      <w:hyperlink w:anchor="403" w:history="1">
        <w:r>
          <w:rPr>
            <w:rStyle w:val="normalChar"/>
            <w:color w:val="0000EE"/>
          </w:rPr>
          <w:t>23.13 Linteaux métalliques</w:t>
        </w:r>
      </w:hyperlink>
      <w:r>
        <w:rPr>
          <w:rStyle w:val="normalChar"/>
        </w:rPr>
        <w:t xml:space="preserve">. </w:t>
      </w:r>
    </w:p>
    <w:p w14:paraId="3838950F" w14:textId="77777777" w:rsidR="00DB2B68" w:rsidRDefault="00000000">
      <w:pPr>
        <w:pStyle w:val="Author-eListParagraph"/>
        <w:numPr>
          <w:ilvl w:val="0"/>
          <w:numId w:val="262"/>
        </w:numPr>
      </w:pPr>
      <w:r>
        <w:rPr>
          <w:rStyle w:val="normalChar"/>
        </w:rPr>
        <w:t xml:space="preserve">Les linteaux apparents en bois sont décrits et comptés en </w:t>
      </w:r>
      <w:hyperlink w:anchor="404" w:history="1">
        <w:r>
          <w:rPr>
            <w:rStyle w:val="normalChar"/>
            <w:color w:val="0000EE"/>
          </w:rPr>
          <w:t>24.13 Poutres et barres en bois</w:t>
        </w:r>
      </w:hyperlink>
      <w:r>
        <w:rPr>
          <w:rStyle w:val="normalChar"/>
        </w:rPr>
        <w:t>.</w:t>
      </w:r>
    </w:p>
    <w:p w14:paraId="6DBB3FAE"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4386F13E" w14:textId="77777777" w:rsidR="00DB2B68" w:rsidRDefault="00000000">
      <w:pPr>
        <w:spacing w:after="0" w:line="252" w:lineRule="auto"/>
      </w:pPr>
      <w:r>
        <w:rPr>
          <w:b/>
          <w:color w:val="000000"/>
        </w:rPr>
        <w:t>(soit par défaut)</w:t>
      </w:r>
    </w:p>
    <w:p w14:paraId="2AE1BB41" w14:textId="77777777" w:rsidR="00DB2B68" w:rsidRDefault="00000000">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0D97D63" w14:textId="77777777" w:rsidR="00DB2B68" w:rsidRDefault="00000000">
      <w:pPr>
        <w:spacing w:after="0" w:line="252" w:lineRule="auto"/>
      </w:pPr>
      <w:r>
        <w:rPr>
          <w:rStyle w:val="soitChar"/>
        </w:rPr>
        <w:t>Distinction faite suivant l'épaisseur.</w:t>
      </w:r>
    </w:p>
    <w:p w14:paraId="22AC1177" w14:textId="77777777" w:rsidR="00DB2B68" w:rsidRDefault="00000000">
      <w:pPr>
        <w:spacing w:line="252" w:lineRule="auto"/>
      </w:pPr>
      <w:r>
        <w:rPr>
          <w:b/>
          <w:color w:val="000000"/>
        </w:rPr>
        <w:t>(soit)</w:t>
      </w:r>
    </w:p>
    <w:p w14:paraId="3E26B52F"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E019354"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4D7DF3C1" w14:textId="77777777" w:rsidR="00DB2B68" w:rsidRDefault="00000000">
      <w:pPr>
        <w:pStyle w:val="pheading"/>
      </w:pPr>
      <w:r>
        <w:t>- nature du marché:</w:t>
      </w:r>
    </w:p>
    <w:p w14:paraId="73FCFEDD" w14:textId="77777777" w:rsidR="00DB2B68" w:rsidRDefault="00000000">
      <w:r>
        <w:t>QF</w:t>
      </w:r>
    </w:p>
    <w:p w14:paraId="4BCA56A0" w14:textId="77777777" w:rsidR="00DB2B68" w:rsidRDefault="00000000">
      <w:pPr>
        <w:pStyle w:val="Author-eSectionHeading5Numberless"/>
      </w:pPr>
      <w:bookmarkStart w:id="266" w:name="_Toc220495392"/>
      <w:r>
        <w:t>21.32.3 Maçonneries de parement en blocs de silico-calcaire CCTB 01.04</w:t>
      </w:r>
      <w:bookmarkEnd w:id="266"/>
    </w:p>
    <w:p w14:paraId="2C6A1929" w14:textId="77777777" w:rsidR="00DB2B68" w:rsidRDefault="00000000">
      <w:pPr>
        <w:pStyle w:val="Author-eSectionHeading6Numberless"/>
      </w:pPr>
      <w:bookmarkStart w:id="267" w:name="_Toc220495393"/>
      <w:r>
        <w:t>21.32.3a Maçonneries de parement en blocs de silico-calcaire pleins à maçonner CCTB 01.04</w:t>
      </w:r>
      <w:bookmarkEnd w:id="267"/>
    </w:p>
    <w:p w14:paraId="7D53F5FC" w14:textId="77777777" w:rsidR="00DB2B68" w:rsidRDefault="00000000">
      <w:pPr>
        <w:pStyle w:val="Author-eSectionHeading6Numberless"/>
      </w:pPr>
      <w:bookmarkStart w:id="268" w:name="_Toc220495394"/>
      <w:r>
        <w:t>21.32.3b Maçonneries de parement en blocs de silico-calcaire pleins à coller CCTB 01.11</w:t>
      </w:r>
      <w:bookmarkEnd w:id="268"/>
    </w:p>
    <w:p w14:paraId="1910B850" w14:textId="77777777" w:rsidR="00DB2B68" w:rsidRDefault="00000000">
      <w:pPr>
        <w:pStyle w:val="Author-eSectionHeading6Numberless"/>
      </w:pPr>
      <w:bookmarkStart w:id="269" w:name="_Toc220495395"/>
      <w:r>
        <w:t>21.32.3c Maçonneries de parement en blocs de silico-calcaire creux à coller CCTB 01.04</w:t>
      </w:r>
      <w:bookmarkEnd w:id="269"/>
    </w:p>
    <w:p w14:paraId="317BA0F7" w14:textId="77777777" w:rsidR="00DB2B68" w:rsidRDefault="00000000">
      <w:pPr>
        <w:pStyle w:val="Author-eSectionHeading6Numberless"/>
      </w:pPr>
      <w:bookmarkStart w:id="270" w:name="_Toc220495396"/>
      <w:r>
        <w:t>21.32.3d Maçonneries de parement en blocs de silico-calcaire apparents à coller avec chanfreins CCTB 01.04</w:t>
      </w:r>
      <w:bookmarkEnd w:id="270"/>
    </w:p>
    <w:p w14:paraId="6EDAFDA4" w14:textId="77777777" w:rsidR="00DB2B68" w:rsidRDefault="00000000">
      <w:pPr>
        <w:pStyle w:val="Author-eSectionHeading4Numberless"/>
      </w:pPr>
      <w:bookmarkStart w:id="271" w:name="_Toc220495397"/>
      <w:r>
        <w:t>21.33 Maçonneries de parement en pierre CCTB 01.02</w:t>
      </w:r>
      <w:bookmarkEnd w:id="271"/>
    </w:p>
    <w:p w14:paraId="62417B94" w14:textId="77777777" w:rsidR="00DB2B68" w:rsidRDefault="00000000">
      <w:pPr>
        <w:pStyle w:val="Author-eSectionHeading5Numberless"/>
      </w:pPr>
      <w:bookmarkStart w:id="272" w:name="464"/>
      <w:bookmarkStart w:id="273" w:name="_Toc220495398"/>
      <w:bookmarkEnd w:id="272"/>
      <w:r>
        <w:t>21.33.1 Maçonneries de parement en pierre de taille CCTB 01.04</w:t>
      </w:r>
      <w:bookmarkEnd w:id="273"/>
    </w:p>
    <w:p w14:paraId="052ED87A" w14:textId="77777777" w:rsidR="00DB2B68" w:rsidRDefault="00000000">
      <w:pPr>
        <w:pStyle w:val="Author-eSectionHeading6Numberless"/>
      </w:pPr>
      <w:bookmarkStart w:id="274" w:name="_Toc220495399"/>
      <w:r>
        <w:t>21.33.1a Maçonneries de parement en petit granit - pierre bleue CCTB 01.11</w:t>
      </w:r>
      <w:bookmarkEnd w:id="274"/>
    </w:p>
    <w:p w14:paraId="71336F86" w14:textId="77777777" w:rsidR="00DB2B68" w:rsidRDefault="00000000">
      <w:pPr>
        <w:pStyle w:val="pheading"/>
      </w:pPr>
      <w:r>
        <w:t>DESCRIPTION</w:t>
      </w:r>
    </w:p>
    <w:p w14:paraId="5D4A5227" w14:textId="77777777" w:rsidR="00DB2B68" w:rsidRDefault="00000000">
      <w:pPr>
        <w:pStyle w:val="pheading"/>
      </w:pPr>
      <w:r>
        <w:t>- Définition / Comprend</w:t>
      </w:r>
    </w:p>
    <w:p w14:paraId="073E805B" w14:textId="77777777" w:rsidR="00DB2B68" w:rsidRDefault="00000000">
      <w:r>
        <w:t>Il s'agit des prescriptions en ce qui concerne les qualités du matériau et le travail des pierres de taille, selon la stéréotomie des pierres, détaillée ou non, qui détermine respectivement la forme, les dimensions et la finition des pierres.</w:t>
      </w:r>
    </w:p>
    <w:p w14:paraId="03CEE2E7" w14:textId="77777777" w:rsidR="00DB2B68" w:rsidRDefault="00000000">
      <w:r>
        <w:lastRenderedPageBreak/>
        <w:t>Ce poste comprend les blocs en pierre bleue à intégrer dans la maçonnerie, les éléments d'angle, de terminaison et de rencontre, les colonnes, bordures, linteaux, seuils, pierres de couverture, encadrements, etc. dont le profil doit être décrit.</w:t>
      </w:r>
    </w:p>
    <w:p w14:paraId="32E3621B" w14:textId="77777777" w:rsidR="00DB2B68" w:rsidRDefault="00000000">
      <w:r>
        <w:t>Des prescriptions particulières sont établies pour :</w:t>
      </w:r>
    </w:p>
    <w:p w14:paraId="58376366" w14:textId="77777777" w:rsidR="00DB2B68" w:rsidRDefault="00000000">
      <w:pPr>
        <w:pStyle w:val="Author-eListParagraph"/>
        <w:numPr>
          <w:ilvl w:val="0"/>
          <w:numId w:val="263"/>
        </w:numPr>
      </w:pPr>
      <w:r>
        <w:t>les parements en pierre de taille,</w:t>
      </w:r>
    </w:p>
    <w:p w14:paraId="5FED25BB" w14:textId="77777777" w:rsidR="00DB2B68" w:rsidRDefault="00000000">
      <w:pPr>
        <w:pStyle w:val="Author-eListParagraph"/>
        <w:numPr>
          <w:ilvl w:val="0"/>
          <w:numId w:val="263"/>
        </w:numPr>
      </w:pPr>
      <w:r>
        <w:t>l'exécution des plinthes,</w:t>
      </w:r>
    </w:p>
    <w:p w14:paraId="27CD636E" w14:textId="77777777" w:rsidR="00DB2B68" w:rsidRDefault="00000000">
      <w:pPr>
        <w:pStyle w:val="Author-eListParagraph"/>
        <w:numPr>
          <w:ilvl w:val="0"/>
          <w:numId w:val="263"/>
        </w:numPr>
      </w:pPr>
      <w:r>
        <w:t>l'exécution des revêtements verticaux extérieurs en minces plaques de pierre naturelle</w:t>
      </w:r>
    </w:p>
    <w:p w14:paraId="0D6C4D67" w14:textId="77777777" w:rsidR="00DB2B68" w:rsidRDefault="00000000">
      <w:pPr>
        <w:pStyle w:val="Author-eListParagraph"/>
        <w:numPr>
          <w:ilvl w:val="0"/>
          <w:numId w:val="263"/>
        </w:numPr>
      </w:pPr>
      <w:r>
        <w:t xml:space="preserve">les pièces spécifiques de section ou de forme fixe ou les profils non décrits tels que les seuils </w:t>
      </w:r>
    </w:p>
    <w:p w14:paraId="0EE2251D" w14:textId="77777777" w:rsidR="00DB2B68" w:rsidRDefault="00000000">
      <w:r>
        <w:t>On distingue plusieurs catégories de qualité (voir [NIT 220] ) : </w:t>
      </w:r>
    </w:p>
    <w:p w14:paraId="14B681F6" w14:textId="77777777" w:rsidR="00DB2B68" w:rsidRDefault="00000000">
      <w:pPr>
        <w:pStyle w:val="Author-eListParagraph"/>
        <w:numPr>
          <w:ilvl w:val="0"/>
          <w:numId w:val="264"/>
        </w:numPr>
      </w:pPr>
      <w:r>
        <w:t xml:space="preserve">Catégorie bâtiment exceptionnel </w:t>
      </w:r>
    </w:p>
    <w:p w14:paraId="38A4653A" w14:textId="77777777" w:rsidR="00DB2B68" w:rsidRDefault="00000000">
      <w:pPr>
        <w:pStyle w:val="Author-eListParagraph"/>
        <w:numPr>
          <w:ilvl w:val="0"/>
          <w:numId w:val="264"/>
        </w:numPr>
      </w:pPr>
      <w:r>
        <w:t xml:space="preserve">Catégorie bâtiment courant </w:t>
      </w:r>
    </w:p>
    <w:p w14:paraId="15CC3804" w14:textId="77777777" w:rsidR="00DB2B68" w:rsidRDefault="00000000">
      <w:pPr>
        <w:pStyle w:val="Author-eListParagraph"/>
        <w:numPr>
          <w:ilvl w:val="0"/>
          <w:numId w:val="264"/>
        </w:numPr>
      </w:pPr>
      <w:r>
        <w:t>Catégorie technique</w:t>
      </w:r>
    </w:p>
    <w:p w14:paraId="568DB20A" w14:textId="77777777" w:rsidR="00DB2B68" w:rsidRDefault="00000000">
      <w:pPr>
        <w:pStyle w:val="pheading"/>
      </w:pPr>
      <w:r>
        <w:t>MATÉRIAUX</w:t>
      </w:r>
    </w:p>
    <w:p w14:paraId="14F41981" w14:textId="77777777" w:rsidR="00DB2B68" w:rsidRDefault="00000000">
      <w:pPr>
        <w:pStyle w:val="pheading"/>
      </w:pPr>
      <w:r>
        <w:t>- Caractéristiques générales</w:t>
      </w:r>
    </w:p>
    <w:p w14:paraId="7383249B" w14:textId="77777777" w:rsidR="00DB2B68" w:rsidRDefault="00000000">
      <w:pPr>
        <w:pStyle w:val="heading"/>
      </w:pPr>
      <w:r>
        <w:t>qualité de la pierre</w:t>
      </w:r>
    </w:p>
    <w:p w14:paraId="092037BD" w14:textId="77777777" w:rsidR="00DB2B68" w:rsidRDefault="00000000">
      <w:r>
        <w:t>La pierre bleue, pierre calcaire crinoïdique aussi appelée "Petit Granit", répond aux prescriptions de la [NIT 220]. Les pierres ont un poids spécifique de 2700 kg/m³ et une dureté minéralogique de 3 sur l'échelle de Mohs. Le lieu d'origine (la carrière) est préalablement soumis à l'approbation de l'auteur de projet.</w:t>
      </w:r>
    </w:p>
    <w:p w14:paraId="3406F0A7" w14:textId="77777777" w:rsidR="00DB2B68" w:rsidRDefault="00000000">
      <w:r>
        <w:t>Toutes les pierres sont exemptes de défauts de nature à compromettre leur bonne tenue dans le temps et à entraver leur utilisation. Les pierres sont saines, sonnent clair sous le coup d'un marteau de fer et sont ingélives. Elles sont débarrassées de toute gangue ou terre, ébousinées à vif et parfaitement nettoyées. Elles sont exemptes de toutes souillures comme les taches de graisse, d'huile, rouille, etc. Les pierres mises en œuvre dans une même partie d'un bâtiment ne différent pas de teinte entre elles.</w:t>
      </w:r>
    </w:p>
    <w:p w14:paraId="094B09D8" w14:textId="77777777" w:rsidR="00DB2B68" w:rsidRDefault="00000000">
      <w:r>
        <w:t>Les pierres dont l'aspect présente les caractéristiques suivantes sont refusées :</w:t>
      </w:r>
    </w:p>
    <w:p w14:paraId="1EC54869" w14:textId="77777777" w:rsidR="00DB2B68" w:rsidRDefault="00000000">
      <w:pPr>
        <w:pStyle w:val="Author-eListParagraph"/>
        <w:numPr>
          <w:ilvl w:val="0"/>
          <w:numId w:val="265"/>
        </w:numPr>
      </w:pPr>
      <w:r>
        <w:t>des zones de structure schisteuse ou hétérogène;</w:t>
      </w:r>
    </w:p>
    <w:p w14:paraId="1177ACAE" w14:textId="77777777" w:rsidR="00DB2B68" w:rsidRDefault="00000000">
      <w:pPr>
        <w:pStyle w:val="Author-eListParagraph"/>
        <w:numPr>
          <w:ilvl w:val="0"/>
          <w:numId w:val="265"/>
        </w:numPr>
      </w:pPr>
      <w:r>
        <w:t>des cavités;</w:t>
      </w:r>
    </w:p>
    <w:p w14:paraId="37283C18" w14:textId="77777777" w:rsidR="00DB2B68" w:rsidRDefault="00000000">
      <w:pPr>
        <w:pStyle w:val="Author-eListParagraph"/>
        <w:numPr>
          <w:ilvl w:val="0"/>
          <w:numId w:val="265"/>
        </w:numPr>
      </w:pPr>
      <w:r>
        <w:t>des fissures, des fils ou limés blancs qui retiennent ou ne retiennent pas l'eau et sont situés dans un parement;</w:t>
      </w:r>
    </w:p>
    <w:p w14:paraId="1D9636FE" w14:textId="77777777" w:rsidR="00DB2B68" w:rsidRDefault="00000000">
      <w:pPr>
        <w:pStyle w:val="Author-eListParagraph"/>
        <w:numPr>
          <w:ilvl w:val="0"/>
          <w:numId w:val="265"/>
        </w:numPr>
      </w:pPr>
      <w:r>
        <w:t>des stylolites retenant ou ne retenant pas l'eau, mais qui sont situés à moins de 2 cm d'une face saillante rejointoyée, à moins de 4 cm d'une arête saillante non rejointoyée ou dans les faces de parement visibles ou non des plaques minces (moins de 5 cm d'épaisseur);</w:t>
      </w:r>
    </w:p>
    <w:p w14:paraId="26C872AF" w14:textId="77777777" w:rsidR="00DB2B68" w:rsidRDefault="00000000">
      <w:pPr>
        <w:pStyle w:val="Author-eListParagraph"/>
        <w:numPr>
          <w:ilvl w:val="0"/>
          <w:numId w:val="265"/>
        </w:numPr>
      </w:pPr>
      <w:r>
        <w:t>des limés noirs lorsqu'ils retiennent l'eau;</w:t>
      </w:r>
    </w:p>
    <w:p w14:paraId="72E47731" w14:textId="77777777" w:rsidR="00DB2B68" w:rsidRDefault="00000000">
      <w:pPr>
        <w:pStyle w:val="Author-eListParagraph"/>
        <w:numPr>
          <w:ilvl w:val="0"/>
          <w:numId w:val="265"/>
        </w:numPr>
      </w:pPr>
      <w:r>
        <w:t>de taches blanches d'une superficie supérieure à 1 dm</w:t>
      </w:r>
      <w:r>
        <w:rPr>
          <w:vertAlign w:val="superscript"/>
        </w:rPr>
        <w:t>2</w:t>
      </w:r>
      <w:r>
        <w:t xml:space="preserve"> ou d'une superficie supérieure à 20 % de la face de parement visible de la pierre;</w:t>
      </w:r>
    </w:p>
    <w:p w14:paraId="41BD87EA" w14:textId="77777777" w:rsidR="00DB2B68" w:rsidRDefault="00000000">
      <w:pPr>
        <w:pStyle w:val="Author-eListParagraph"/>
        <w:numPr>
          <w:ilvl w:val="0"/>
          <w:numId w:val="265"/>
        </w:numPr>
      </w:pPr>
      <w:r>
        <w:t>des parties tendres et des fossiles non adhérents.</w:t>
      </w:r>
    </w:p>
    <w:p w14:paraId="1F13F241" w14:textId="77777777" w:rsidR="00DB2B68" w:rsidRDefault="00000000">
      <w:r>
        <w:t>Il est interdit d'utiliser un mastic ou toute autre pâte de jointoiement pour cacher les défauts.</w:t>
      </w:r>
    </w:p>
    <w:p w14:paraId="5B415DB6" w14:textId="77777777" w:rsidR="00DB2B68" w:rsidRDefault="00000000">
      <w:pPr>
        <w:pStyle w:val="pheading"/>
      </w:pPr>
      <w:r>
        <w:t>- Finitions</w:t>
      </w:r>
    </w:p>
    <w:p w14:paraId="75B4EE7F" w14:textId="77777777" w:rsidR="00DB2B68" w:rsidRDefault="00000000">
      <w:r>
        <w:t xml:space="preserve">Les tailles et finitions suivantes, même combinées entre elles, peuvent être appliquées : </w:t>
      </w:r>
      <w:r>
        <w:rPr>
          <w:rStyle w:val="optioncarChar"/>
        </w:rPr>
        <w:t>ciselé - gradiné - sbattu - sbattu gros - bouchardé fin - bouchardé gros - sclypé - taille ancienne mécanique - taille ancienne manuelle - brut ou clivé - meulé gris (poncé) - adouci bleu - adouci foncé ou poli mat - poli brillant - flammé.</w:t>
      </w:r>
    </w:p>
    <w:p w14:paraId="392E871B" w14:textId="77777777" w:rsidR="00DB2B68" w:rsidRDefault="00000000">
      <w:r>
        <w:t>D’autres finitions et combinaisons précisées par l’auteur de projet peuvent être mises en œuvre.</w:t>
      </w:r>
    </w:p>
    <w:p w14:paraId="4901F225" w14:textId="77777777" w:rsidR="00DB2B68" w:rsidRDefault="00000000">
      <w:pPr>
        <w:pStyle w:val="pheading"/>
      </w:pPr>
      <w:r>
        <w:t>- Prescriptions complémentaires</w:t>
      </w:r>
    </w:p>
    <w:p w14:paraId="6AB35F63" w14:textId="77777777" w:rsidR="00DB2B68" w:rsidRDefault="00000000">
      <w:r>
        <w:rPr>
          <w:u w:val="single"/>
        </w:rPr>
        <w:t xml:space="preserve">COMPOSITION - retouche des imperfections </w:t>
      </w:r>
    </w:p>
    <w:p w14:paraId="7E5F5305" w14:textId="77777777" w:rsidR="00DB2B68" w:rsidRDefault="00000000">
      <w:r>
        <w:lastRenderedPageBreak/>
        <w:t>Dans certains cas exceptionnels et conformément aux dispositions du cahier spécial des charges (par ex. pour les seuils de fenêtres) l'assemblage des pierres par collage est autorisé. Le cas échéant, l'entrepreneur doit, à la demande de l'auteur de projet, fournir toutes les références et les croquis. L'assemblage des pierres par collage est régi par les prescriptions de la [NIT 148] .</w:t>
      </w:r>
    </w:p>
    <w:p w14:paraId="2A00E2E6" w14:textId="77777777" w:rsidR="00DB2B68" w:rsidRDefault="00000000">
      <w:r>
        <w:rPr>
          <w:rStyle w:val="optioncarChar"/>
        </w:rPr>
        <w:t> </w:t>
      </w:r>
    </w:p>
    <w:p w14:paraId="7F0D6399" w14:textId="77777777" w:rsidR="00DB2B68" w:rsidRDefault="00000000">
      <w:r>
        <w:t>Les singularités dans la face de parement peuvent être retouchées dans la mesure où il n'y a aucun risque que la zone restaurée ne subisse des dégradations et à condition que le produit de ragréage soit presque aussi dur que la pierre, que la couleur du mastic soit choisie sur présentation de trois échantillons de référence, qu'elle ne subisse pas d'altérations qui soient visibles à plus de 1,5 m de distance à l'intérieur lorsque le mastic est appliqué pour les murs et les sols et à plus de 3 m pour les applications à l'extérieur, sur les façades ou les sols. Les altérations de couleur suite à une forme de pollution externe à la pierre ne sont pas prises en considération, ni pour la pierre, ni pour le masticage.</w:t>
      </w:r>
    </w:p>
    <w:p w14:paraId="3FB2E0D0" w14:textId="77777777" w:rsidR="00DB2B68" w:rsidRDefault="00000000">
      <w:pPr>
        <w:pStyle w:val="pheading"/>
      </w:pPr>
      <w:r>
        <w:t>EXÉCUTION / MISE EN ŒUVRE</w:t>
      </w:r>
    </w:p>
    <w:p w14:paraId="4C676BB2" w14:textId="77777777" w:rsidR="00DB2B68" w:rsidRDefault="00000000">
      <w:pPr>
        <w:pStyle w:val="pheading"/>
      </w:pPr>
      <w:r>
        <w:t>- Prescriptions générales</w:t>
      </w:r>
    </w:p>
    <w:p w14:paraId="369B673A" w14:textId="77777777" w:rsidR="00DB2B68" w:rsidRDefault="00000000">
      <w:r>
        <w:rPr>
          <w:u w:val="single"/>
        </w:rPr>
        <w:t>Travail de la pierre</w:t>
      </w:r>
    </w:p>
    <w:p w14:paraId="02D3F491" w14:textId="77777777" w:rsidR="00DB2B68" w:rsidRDefault="00000000">
      <w:r>
        <w:t>Les pierres de taille doivent être exécutées d'aplomb, d'équerre et de la façon la plus plane possible. Les faces de parement présentent des arêtes droites sans épaufrures ou écornures. Les pierres ciselées sont toutes posées avec le ciselage dans le même sens. Le mode de ciselage est indiqué à l'article spécifique.</w:t>
      </w:r>
    </w:p>
    <w:p w14:paraId="1859FFA6" w14:textId="77777777" w:rsidR="00DB2B68" w:rsidRDefault="00000000">
      <w:r>
        <w:rPr>
          <w:u w:val="single"/>
        </w:rPr>
        <w:t>Pose</w:t>
      </w:r>
    </w:p>
    <w:p w14:paraId="4FB133C9" w14:textId="77777777" w:rsidR="00DB2B68" w:rsidRDefault="00000000">
      <w:r>
        <w:t>Les faces de pose et des joints sont bien lissées dans le plan du parement.</w:t>
      </w:r>
    </w:p>
    <w:p w14:paraId="5C1C8481" w14:textId="77777777" w:rsidR="00DB2B68" w:rsidRDefault="00000000">
      <w:r>
        <w:t>Les dimensions des faces de dos doivent correspondre pour au moins 90% aux dimensions correspondantes de la face de parement opposée.</w:t>
      </w:r>
    </w:p>
    <w:p w14:paraId="4D142493" w14:textId="77777777" w:rsidR="00DB2B68" w:rsidRDefault="00000000">
      <w:r>
        <w:t>Les moulures sont égalisées sur toutes les faces de pose sans aucun rétrécissement.</w:t>
      </w:r>
    </w:p>
    <w:p w14:paraId="18CC01D5" w14:textId="77777777" w:rsidR="00DB2B68" w:rsidRDefault="00000000">
      <w:r>
        <w:t>Toutes les précautions sont prises pour que les pierres de taille aient et conservent un aspect soigné et propre.</w:t>
      </w:r>
    </w:p>
    <w:p w14:paraId="656F0777" w14:textId="77777777" w:rsidR="00DB2B68" w:rsidRDefault="00000000">
      <w:pPr>
        <w:pStyle w:val="pheading"/>
      </w:pPr>
      <w:r>
        <w:t>- Notes d’exécution complémentaires</w:t>
      </w:r>
    </w:p>
    <w:p w14:paraId="6F7E5E2F" w14:textId="77777777" w:rsidR="00DB2B68" w:rsidRDefault="00000000">
      <w:r>
        <w:t>Les ouvrages en pierre de taille sont érigés selon les dessins de détail réalisés par l'auteur de projet.</w:t>
      </w:r>
    </w:p>
    <w:p w14:paraId="5DF017E0" w14:textId="77777777" w:rsidR="00DB2B68" w:rsidRDefault="00000000">
      <w:pPr>
        <w:pStyle w:val="pheading"/>
      </w:pPr>
      <w:r>
        <w:t>CONTRÔLES PARTICULIERS</w:t>
      </w:r>
    </w:p>
    <w:p w14:paraId="5ED0CE4E" w14:textId="77777777" w:rsidR="00DB2B68" w:rsidRDefault="00000000">
      <w:r>
        <w:t>Toute pierre qui est fêlée, écornée ou dont les arêtes sont épaufrées est refusée et remplacée par et aux frais de l'entrepreneur. Les pierres écornées ou dont les arêtes ont été épaufrées au cours des transports, manutentions et travaux, ne sont pas posées en parement et sont remplacées aux frais de l'entrepreneur.</w:t>
      </w:r>
    </w:p>
    <w:p w14:paraId="0B876FB0" w14:textId="77777777" w:rsidR="00DB2B68" w:rsidRDefault="00000000">
      <w:pPr>
        <w:pStyle w:val="pheading"/>
      </w:pPr>
      <w:r>
        <w:t>MESURAGE</w:t>
      </w:r>
    </w:p>
    <w:p w14:paraId="65D4753F" w14:textId="77777777" w:rsidR="00DB2B68" w:rsidRDefault="00000000">
      <w:pPr>
        <w:pStyle w:val="pheading"/>
      </w:pPr>
      <w:r>
        <w:t>- unité de mesure:</w:t>
      </w:r>
    </w:p>
    <w:p w14:paraId="22A2E893" w14:textId="77777777" w:rsidR="00DB2B68" w:rsidRDefault="00000000">
      <w:r>
        <w:rPr>
          <w:rStyle w:val="optioncarChar"/>
        </w:rPr>
        <w:t>m² </w:t>
      </w:r>
      <w:r>
        <w:t>(par défaut)</w:t>
      </w:r>
      <w:r>
        <w:rPr>
          <w:rStyle w:val="optioncarChar"/>
        </w:rPr>
        <w:t> / m³</w:t>
      </w:r>
    </w:p>
    <w:p w14:paraId="5EC11E73" w14:textId="77777777" w:rsidR="00DB2B68" w:rsidRDefault="00000000">
      <w:r>
        <w:rPr>
          <w:b/>
        </w:rPr>
        <w:t>(soit par défaut)</w:t>
      </w:r>
    </w:p>
    <w:p w14:paraId="31BA13D2" w14:textId="77777777" w:rsidR="00DB2B68" w:rsidRDefault="00000000">
      <w:r>
        <w:rPr>
          <w:rStyle w:val="soitChar"/>
        </w:rPr>
        <w:t>1. m²</w:t>
      </w:r>
    </w:p>
    <w:p w14:paraId="4A97244C" w14:textId="77777777" w:rsidR="00DB2B68" w:rsidRDefault="00000000">
      <w:r>
        <w:rPr>
          <w:b/>
        </w:rPr>
        <w:t>(soit)</w:t>
      </w:r>
    </w:p>
    <w:p w14:paraId="23585C9D" w14:textId="77777777" w:rsidR="00DB2B68" w:rsidRDefault="00000000">
      <w:r>
        <w:rPr>
          <w:rStyle w:val="soitChar"/>
        </w:rPr>
        <w:t>2. m³</w:t>
      </w:r>
    </w:p>
    <w:p w14:paraId="0FE5C72F" w14:textId="77777777" w:rsidR="00DB2B68" w:rsidRDefault="00000000">
      <w:pPr>
        <w:pStyle w:val="pheading"/>
      </w:pPr>
      <w:r>
        <w:t>- code de mesurage:</w:t>
      </w:r>
    </w:p>
    <w:p w14:paraId="7D1708DF" w14:textId="77777777" w:rsidR="00DB2B68" w:rsidRDefault="00000000">
      <w:r>
        <w:t>Les maçonneries sont mesurées en fonction de leur forme géométrique.</w:t>
      </w:r>
    </w:p>
    <w:p w14:paraId="77BC590E" w14:textId="77777777" w:rsidR="00DB2B68" w:rsidRDefault="00000000">
      <w:r>
        <w:t>Si les maçonneries sont métrées en m², les quantités sont groupées selon leur épaisseur.</w:t>
      </w:r>
    </w:p>
    <w:p w14:paraId="0FB16CA5" w14:textId="77777777" w:rsidR="00DB2B68" w:rsidRDefault="00000000">
      <w:r>
        <w:lastRenderedPageBreak/>
        <w:t>Pour un mesurage en m², la surface apparente nette à exécuter  est mesurée dans l’axe de la maçonnerie de parement, sans distinction entre les assises de chant, assises de panneresses, seuils, éventuels blocs d'angle, assises en maçonnerie décorative, etc..</w:t>
      </w:r>
    </w:p>
    <w:p w14:paraId="24A1A17A" w14:textId="77777777" w:rsidR="00DB2B68" w:rsidRDefault="00000000">
      <w:r>
        <w:t>Les ébrasements des ouvertures et des baies de fenêtres ainsi que la face inférieure des linteaux ne sont comptés (en surface nette) que lorsque leur largeur est supérieure à celle des pierres de façade.</w:t>
      </w:r>
    </w:p>
    <w:p w14:paraId="67BC8D40" w14:textId="77777777" w:rsidR="00DB2B68" w:rsidRDefault="00000000">
      <w:r>
        <w:t>La coulisse n'est jamais prise en compte.</w:t>
      </w:r>
    </w:p>
    <w:p w14:paraId="4783B87A" w14:textId="77777777" w:rsidR="00DB2B68" w:rsidRDefault="00000000">
      <w:r>
        <w:t>Pour un mesurage en m³, la longueur des murs est mesurée dans l'axe de l'élément ; à l’intersection de deux murs, seul le mur le plus épais est considéré. Aucun volume n'est compté deux fois.</w:t>
      </w:r>
    </w:p>
    <w:p w14:paraId="2348ED33" w14:textId="77777777" w:rsidR="00DB2B68"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FC07EF1" w14:textId="77777777" w:rsidR="00DB2B68" w:rsidRDefault="00000000">
      <w:r>
        <w:br/>
      </w:r>
      <w:r>
        <w:rPr>
          <w:rStyle w:val="optioncarChar"/>
        </w:rPr>
        <w:t>Surface nette  </w:t>
      </w:r>
      <w:r>
        <w:t>(par défaut)</w:t>
      </w:r>
      <w:r>
        <w:rPr>
          <w:rStyle w:val="optioncarChar"/>
        </w:rPr>
        <w:t> / Volume net</w:t>
      </w:r>
    </w:p>
    <w:p w14:paraId="56D2ACFB" w14:textId="77777777" w:rsidR="00DB2B68" w:rsidRDefault="00000000">
      <w:r>
        <w:rPr>
          <w:b/>
        </w:rPr>
        <w:t>(soit par défaut)</w:t>
      </w:r>
    </w:p>
    <w:p w14:paraId="6B42F352" w14:textId="77777777" w:rsidR="00DB2B68"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027D7E57" w14:textId="77777777" w:rsidR="00DB2B68" w:rsidRDefault="00000000">
      <w:r>
        <w:rPr>
          <w:b/>
        </w:rPr>
        <w:t>(soit)</w:t>
      </w:r>
    </w:p>
    <w:p w14:paraId="2364724D" w14:textId="77777777" w:rsidR="00DB2B68"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5F81AB45" w14:textId="77777777" w:rsidR="00DB2B68" w:rsidRDefault="00000000">
      <w:pPr>
        <w:pStyle w:val="pheading"/>
      </w:pPr>
      <w:r>
        <w:t>- nature du marché:</w:t>
      </w:r>
    </w:p>
    <w:p w14:paraId="0C9468DC" w14:textId="77777777" w:rsidR="00DB2B68" w:rsidRDefault="00000000">
      <w:r>
        <w:t>QF</w:t>
      </w:r>
    </w:p>
    <w:p w14:paraId="34877DE3" w14:textId="77777777" w:rsidR="00DB2B68" w:rsidRDefault="00000000">
      <w:pPr>
        <w:pStyle w:val="Author-eSectionHeading6Numberless"/>
      </w:pPr>
      <w:bookmarkStart w:id="275" w:name="_Toc220495400"/>
      <w:r>
        <w:t>21.33.1b Maçonneries de parement en pierre calcaire CCTB 01.11</w:t>
      </w:r>
      <w:bookmarkEnd w:id="275"/>
    </w:p>
    <w:p w14:paraId="4CF54F9F" w14:textId="77777777" w:rsidR="00DB2B68" w:rsidRDefault="00000000">
      <w:pPr>
        <w:pStyle w:val="pheading"/>
      </w:pPr>
      <w:r>
        <w:t>MESURAGE</w:t>
      </w:r>
    </w:p>
    <w:p w14:paraId="79FC5EA6" w14:textId="77777777" w:rsidR="00DB2B68" w:rsidRDefault="00000000">
      <w:pPr>
        <w:pStyle w:val="pheading"/>
      </w:pPr>
      <w:r>
        <w:t>- unité de mesure:</w:t>
      </w:r>
    </w:p>
    <w:p w14:paraId="61C808FA" w14:textId="77777777" w:rsidR="00DB2B68" w:rsidRDefault="00000000">
      <w:r>
        <w:rPr>
          <w:rStyle w:val="optioncarChar"/>
        </w:rPr>
        <w:t>m² </w:t>
      </w:r>
      <w:r>
        <w:t>(par défaut)</w:t>
      </w:r>
      <w:r>
        <w:rPr>
          <w:rStyle w:val="optioncarChar"/>
        </w:rPr>
        <w:t> / m³</w:t>
      </w:r>
    </w:p>
    <w:p w14:paraId="520D56A1" w14:textId="77777777" w:rsidR="00DB2B68" w:rsidRDefault="00000000">
      <w:r>
        <w:rPr>
          <w:b/>
        </w:rPr>
        <w:t>(soit par défaut)</w:t>
      </w:r>
    </w:p>
    <w:p w14:paraId="64C14956" w14:textId="77777777" w:rsidR="00DB2B68" w:rsidRDefault="00000000">
      <w:r>
        <w:rPr>
          <w:rStyle w:val="soitChar"/>
        </w:rPr>
        <w:t>1. m²</w:t>
      </w:r>
    </w:p>
    <w:p w14:paraId="662742D4" w14:textId="77777777" w:rsidR="00DB2B68" w:rsidRDefault="00000000">
      <w:r>
        <w:rPr>
          <w:b/>
        </w:rPr>
        <w:t>(soit)</w:t>
      </w:r>
    </w:p>
    <w:p w14:paraId="0B3BB003" w14:textId="77777777" w:rsidR="00DB2B68" w:rsidRDefault="00000000">
      <w:r>
        <w:rPr>
          <w:rStyle w:val="soitChar"/>
        </w:rPr>
        <w:t>2. m³</w:t>
      </w:r>
    </w:p>
    <w:p w14:paraId="0BDC1346" w14:textId="77777777" w:rsidR="00DB2B68" w:rsidRDefault="00000000">
      <w:pPr>
        <w:pStyle w:val="pheading"/>
      </w:pPr>
      <w:r>
        <w:t>- code de mesurage:</w:t>
      </w:r>
    </w:p>
    <w:p w14:paraId="14DC100A" w14:textId="77777777" w:rsidR="00DB2B68" w:rsidRDefault="00000000">
      <w:r>
        <w:t>Les maçonneries sont mesurées en fonction de leur forme géométrique.</w:t>
      </w:r>
    </w:p>
    <w:p w14:paraId="59601E88" w14:textId="77777777" w:rsidR="00DB2B68" w:rsidRDefault="00000000">
      <w:r>
        <w:t>Si les maçonneries sont métrées en m², les quantités sont groupées selon leur épaisseur.</w:t>
      </w:r>
    </w:p>
    <w:p w14:paraId="57802B82"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6B120DD7" w14:textId="77777777" w:rsidR="00DB2B68" w:rsidRDefault="00000000">
      <w:r>
        <w:t>Les ébrasements des ouvertures et des baies de fenêtres ainsi que la face inférieure des linteaux ne sont comptés (en surface nette) que lorsque leur largeur est supérieure à celle des pierres de façade.</w:t>
      </w:r>
    </w:p>
    <w:p w14:paraId="2EA9D55C" w14:textId="77777777" w:rsidR="00DB2B68" w:rsidRDefault="00000000">
      <w:r>
        <w:t>La coulisse n'est jamais prise en compte.</w:t>
      </w:r>
    </w:p>
    <w:p w14:paraId="446B05C2" w14:textId="77777777" w:rsidR="00DB2B68" w:rsidRDefault="00000000">
      <w:r>
        <w:t>Pour un mesurage en m³, la longueur des murs est mesurée dans l'axe de l'élément ; à l’intersection de deux murs, seul le mur le plus épais est considéré. Aucun volume n'est compté deux fois.</w:t>
      </w:r>
    </w:p>
    <w:p w14:paraId="58C8CD6D" w14:textId="77777777" w:rsidR="00DB2B68" w:rsidRDefault="00000000">
      <w:r>
        <w:lastRenderedPageBreak/>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2A7DA24B" w14:textId="77777777" w:rsidR="00DB2B68" w:rsidRDefault="00000000">
      <w:r>
        <w:br/>
      </w:r>
      <w:r>
        <w:rPr>
          <w:rStyle w:val="optioncarChar"/>
        </w:rPr>
        <w:t>Surface nette  </w:t>
      </w:r>
      <w:r>
        <w:t>(par défaut)</w:t>
      </w:r>
      <w:r>
        <w:rPr>
          <w:rStyle w:val="optioncarChar"/>
        </w:rPr>
        <w:t> / Volume net</w:t>
      </w:r>
    </w:p>
    <w:p w14:paraId="30C7ECF7" w14:textId="77777777" w:rsidR="00DB2B68" w:rsidRDefault="00000000">
      <w:r>
        <w:rPr>
          <w:b/>
        </w:rPr>
        <w:t>(soit par défaut)</w:t>
      </w:r>
    </w:p>
    <w:p w14:paraId="00DA91C8" w14:textId="77777777" w:rsidR="00DB2B68"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5C175529" w14:textId="77777777" w:rsidR="00DB2B68" w:rsidRDefault="00000000">
      <w:r>
        <w:rPr>
          <w:b/>
        </w:rPr>
        <w:t>(soit)</w:t>
      </w:r>
    </w:p>
    <w:p w14:paraId="062AE5E2" w14:textId="77777777" w:rsidR="00DB2B68"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36C1C1D4" w14:textId="77777777" w:rsidR="00DB2B68" w:rsidRDefault="00000000">
      <w:pPr>
        <w:ind w:left="750"/>
      </w:pPr>
      <w:r>
        <w:t> </w:t>
      </w:r>
    </w:p>
    <w:p w14:paraId="4235BABB" w14:textId="77777777" w:rsidR="00DB2B68" w:rsidRDefault="00000000">
      <w:pPr>
        <w:ind w:left="750"/>
      </w:pPr>
      <w:r>
        <w:t> </w:t>
      </w:r>
    </w:p>
    <w:p w14:paraId="2249742C" w14:textId="77777777" w:rsidR="00DB2B68" w:rsidRDefault="00000000">
      <w:pPr>
        <w:pStyle w:val="pheading"/>
      </w:pPr>
      <w:r>
        <w:t>- nature du marché:</w:t>
      </w:r>
    </w:p>
    <w:p w14:paraId="76FA8676" w14:textId="77777777" w:rsidR="00DB2B68" w:rsidRDefault="00000000">
      <w:r>
        <w:t>QF</w:t>
      </w:r>
    </w:p>
    <w:p w14:paraId="04054BD7" w14:textId="77777777" w:rsidR="00DB2B68" w:rsidRDefault="00000000">
      <w:pPr>
        <w:pStyle w:val="Author-eSectionHeading5Numberless"/>
      </w:pPr>
      <w:bookmarkStart w:id="276" w:name="_Toc220495401"/>
      <w:r>
        <w:t>21.33.2 Maçonneries de parement en moellons de pierre calcaire CCTB 01.02</w:t>
      </w:r>
      <w:bookmarkEnd w:id="276"/>
    </w:p>
    <w:p w14:paraId="5A3B2B08" w14:textId="77777777" w:rsidR="00DB2B68" w:rsidRDefault="00000000">
      <w:pPr>
        <w:pStyle w:val="Author-eSectionHeading6Numberless"/>
      </w:pPr>
      <w:bookmarkStart w:id="277" w:name="_Toc220495402"/>
      <w:r>
        <w:t>21.33.2a Maçonneries de parement en moellons de pierre bleue CCTB 01.11</w:t>
      </w:r>
      <w:bookmarkEnd w:id="277"/>
    </w:p>
    <w:p w14:paraId="2AEEA707" w14:textId="77777777" w:rsidR="00DB2B68" w:rsidRDefault="00000000">
      <w:pPr>
        <w:pStyle w:val="pheading"/>
      </w:pPr>
      <w:r>
        <w:t>MESURAGE</w:t>
      </w:r>
    </w:p>
    <w:p w14:paraId="208A7835" w14:textId="77777777" w:rsidR="00DB2B68" w:rsidRDefault="00000000">
      <w:pPr>
        <w:pStyle w:val="pheading"/>
      </w:pPr>
      <w:r>
        <w:t>- unité de mesure:</w:t>
      </w:r>
    </w:p>
    <w:p w14:paraId="7B3259B9" w14:textId="77777777" w:rsidR="00DB2B68" w:rsidRDefault="00000000">
      <w:r>
        <w:rPr>
          <w:rStyle w:val="optioncarChar"/>
        </w:rPr>
        <w:t>m² </w:t>
      </w:r>
      <w:r>
        <w:t>(par défaut)</w:t>
      </w:r>
      <w:r>
        <w:rPr>
          <w:rStyle w:val="optioncarChar"/>
        </w:rPr>
        <w:t> / m³</w:t>
      </w:r>
    </w:p>
    <w:p w14:paraId="55A9118E" w14:textId="77777777" w:rsidR="00DB2B68" w:rsidRDefault="00000000">
      <w:r>
        <w:rPr>
          <w:b/>
        </w:rPr>
        <w:t>(soit par défaut)</w:t>
      </w:r>
    </w:p>
    <w:p w14:paraId="52135E75" w14:textId="77777777" w:rsidR="00DB2B68" w:rsidRDefault="00000000">
      <w:r>
        <w:rPr>
          <w:rStyle w:val="soitChar"/>
        </w:rPr>
        <w:t>1. m²</w:t>
      </w:r>
    </w:p>
    <w:p w14:paraId="4C1BA198" w14:textId="77777777" w:rsidR="00DB2B68" w:rsidRDefault="00000000">
      <w:r>
        <w:rPr>
          <w:b/>
        </w:rPr>
        <w:t>(soit)</w:t>
      </w:r>
    </w:p>
    <w:p w14:paraId="5B131E0E" w14:textId="77777777" w:rsidR="00DB2B68" w:rsidRDefault="00000000">
      <w:r>
        <w:rPr>
          <w:rStyle w:val="soitChar"/>
        </w:rPr>
        <w:t>2. m³</w:t>
      </w:r>
    </w:p>
    <w:p w14:paraId="0774F720" w14:textId="77777777" w:rsidR="00DB2B68" w:rsidRDefault="00000000">
      <w:pPr>
        <w:pStyle w:val="pheading"/>
      </w:pPr>
      <w:r>
        <w:t>- code de mesurage:</w:t>
      </w:r>
    </w:p>
    <w:p w14:paraId="2D3939A7" w14:textId="77777777" w:rsidR="00DB2B68" w:rsidRDefault="00000000">
      <w:r>
        <w:t>Les maçonneries sont mesurées en fonction de leur forme géométrique.</w:t>
      </w:r>
    </w:p>
    <w:p w14:paraId="076589E6" w14:textId="77777777" w:rsidR="00DB2B68" w:rsidRDefault="00000000">
      <w:r>
        <w:t>Si les maçonneries sont métrées en m², les quantités sont groupées selon leur épaisseur.</w:t>
      </w:r>
    </w:p>
    <w:p w14:paraId="5D67E1F1"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7553CCE3" w14:textId="77777777" w:rsidR="00DB2B68" w:rsidRDefault="00000000">
      <w:r>
        <w:t>Les ébrasements des ouvertures et des baies de fenêtres ainsi que la face inférieure des linteaux ne sont comptés (en surface nette) que lorsque leur largeur est supérieure à celle des pierres de façade.</w:t>
      </w:r>
    </w:p>
    <w:p w14:paraId="2AE827B6" w14:textId="77777777" w:rsidR="00DB2B68" w:rsidRDefault="00000000">
      <w:r>
        <w:t>La coulisse n'est jamais prise en compte.</w:t>
      </w:r>
    </w:p>
    <w:p w14:paraId="274845B7" w14:textId="77777777" w:rsidR="00DB2B68" w:rsidRDefault="00000000">
      <w:r>
        <w:t>Pour un mesurage en m³, la longueur des murs est mesurée dans l'axe de l'élément ; à l’intersection de deux murs, seul le mur le plus épais est considéré. Aucun volume n'est compté deux fois.</w:t>
      </w:r>
    </w:p>
    <w:p w14:paraId="1AA733BB" w14:textId="77777777" w:rsidR="00DB2B68"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1B7853E5" w14:textId="77777777" w:rsidR="00DB2B68" w:rsidRDefault="00000000">
      <w:r>
        <w:lastRenderedPageBreak/>
        <w:br/>
      </w:r>
      <w:r>
        <w:rPr>
          <w:rStyle w:val="optioncarChar"/>
        </w:rPr>
        <w:t>Surface nette  </w:t>
      </w:r>
      <w:r>
        <w:t>(par défaut)</w:t>
      </w:r>
      <w:r>
        <w:rPr>
          <w:rStyle w:val="optioncarChar"/>
        </w:rPr>
        <w:t> / Volume net</w:t>
      </w:r>
    </w:p>
    <w:p w14:paraId="72372C30" w14:textId="77777777" w:rsidR="00DB2B68" w:rsidRDefault="00000000">
      <w:r>
        <w:rPr>
          <w:b/>
        </w:rPr>
        <w:t>(soit par défaut)</w:t>
      </w:r>
    </w:p>
    <w:p w14:paraId="49A72FE3" w14:textId="77777777" w:rsidR="00DB2B68"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et nature de pierre (neuve et/ou de réemploi). S’il s’agit de réemploi, distinguer : avec ou sans fourniture et l’épaisseur</w:t>
      </w:r>
    </w:p>
    <w:p w14:paraId="2DE4FA72" w14:textId="77777777" w:rsidR="00DB2B68" w:rsidRDefault="00000000">
      <w:r>
        <w:rPr>
          <w:b/>
        </w:rPr>
        <w:t>(soit)</w:t>
      </w:r>
    </w:p>
    <w:p w14:paraId="4468BF3B" w14:textId="77777777" w:rsidR="00DB2B68"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et nature de pierre (neuve et/ou de réemploi). S’il s’agit de réemploi, distinguer : avec ou sans fourniture et l’épaisseur.</w:t>
      </w:r>
    </w:p>
    <w:p w14:paraId="017D0FC8" w14:textId="77777777" w:rsidR="00DB2B68" w:rsidRDefault="00000000">
      <w:pPr>
        <w:ind w:left="750"/>
      </w:pPr>
      <w:r>
        <w:t> </w:t>
      </w:r>
    </w:p>
    <w:p w14:paraId="35D31ADD" w14:textId="77777777" w:rsidR="00DB2B68" w:rsidRDefault="00000000">
      <w:pPr>
        <w:pStyle w:val="pheading"/>
      </w:pPr>
      <w:r>
        <w:t>- nature du marché:</w:t>
      </w:r>
    </w:p>
    <w:p w14:paraId="7EBA5465" w14:textId="77777777" w:rsidR="00DB2B68" w:rsidRDefault="00000000">
      <w:r>
        <w:t>QF</w:t>
      </w:r>
    </w:p>
    <w:p w14:paraId="4D449044" w14:textId="77777777" w:rsidR="00DB2B68" w:rsidRDefault="00000000">
      <w:pPr>
        <w:pStyle w:val="Author-eSectionHeading6Numberless"/>
      </w:pPr>
      <w:bookmarkStart w:id="278" w:name="_Toc220495403"/>
      <w:r>
        <w:t>21.33.2b Maçonneries de parement en moellons de pierre blanche CCTB 01.11</w:t>
      </w:r>
      <w:bookmarkEnd w:id="278"/>
    </w:p>
    <w:p w14:paraId="5A5F57FE" w14:textId="77777777" w:rsidR="00DB2B68" w:rsidRDefault="00000000">
      <w:pPr>
        <w:pStyle w:val="pheading"/>
      </w:pPr>
      <w:r>
        <w:t>MESURAGE</w:t>
      </w:r>
    </w:p>
    <w:p w14:paraId="16BF9C91" w14:textId="77777777" w:rsidR="00DB2B68" w:rsidRDefault="00000000">
      <w:pPr>
        <w:pStyle w:val="pheading"/>
      </w:pPr>
      <w:r>
        <w:t>- unité de mesure:</w:t>
      </w:r>
    </w:p>
    <w:p w14:paraId="4FE632BA" w14:textId="77777777" w:rsidR="00DB2B68" w:rsidRDefault="00000000">
      <w:r>
        <w:rPr>
          <w:rStyle w:val="optioncarChar"/>
        </w:rPr>
        <w:t>m² </w:t>
      </w:r>
      <w:r>
        <w:t>(par défaut)</w:t>
      </w:r>
      <w:r>
        <w:rPr>
          <w:rStyle w:val="optioncarChar"/>
        </w:rPr>
        <w:t> / m³</w:t>
      </w:r>
    </w:p>
    <w:p w14:paraId="4D34F16C" w14:textId="77777777" w:rsidR="00DB2B68" w:rsidRDefault="00000000">
      <w:r>
        <w:rPr>
          <w:b/>
        </w:rPr>
        <w:t>(soit par défaut)</w:t>
      </w:r>
    </w:p>
    <w:p w14:paraId="031E8CA3" w14:textId="77777777" w:rsidR="00DB2B68" w:rsidRDefault="00000000">
      <w:r>
        <w:rPr>
          <w:rStyle w:val="soitChar"/>
        </w:rPr>
        <w:t>1. m²</w:t>
      </w:r>
    </w:p>
    <w:p w14:paraId="4605F8DF" w14:textId="77777777" w:rsidR="00DB2B68" w:rsidRDefault="00000000">
      <w:r>
        <w:rPr>
          <w:b/>
        </w:rPr>
        <w:t>(soit)</w:t>
      </w:r>
    </w:p>
    <w:p w14:paraId="6E294A91" w14:textId="77777777" w:rsidR="00DB2B68" w:rsidRDefault="00000000">
      <w:r>
        <w:rPr>
          <w:rStyle w:val="soitChar"/>
        </w:rPr>
        <w:t>2. m³</w:t>
      </w:r>
    </w:p>
    <w:p w14:paraId="411E9F6D" w14:textId="77777777" w:rsidR="00DB2B68" w:rsidRDefault="00000000">
      <w:pPr>
        <w:pStyle w:val="pheading"/>
      </w:pPr>
      <w:r>
        <w:t>- code de mesurage:</w:t>
      </w:r>
    </w:p>
    <w:p w14:paraId="4ED6F116" w14:textId="77777777" w:rsidR="00DB2B68" w:rsidRDefault="00000000">
      <w:r>
        <w:t>Les maçonneries sont mesurées en fonction de leur forme géométrique.</w:t>
      </w:r>
    </w:p>
    <w:p w14:paraId="26EBC6B0" w14:textId="77777777" w:rsidR="00DB2B68" w:rsidRDefault="00000000">
      <w:r>
        <w:t>Si les maçonneries sont métrées en m², les quantités sont groupées selon leur épaisseur.</w:t>
      </w:r>
    </w:p>
    <w:p w14:paraId="3E3224C8"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24B9D424" w14:textId="77777777" w:rsidR="00DB2B68" w:rsidRDefault="00000000">
      <w:r>
        <w:t>Les ébrasements des ouvertures et des baies de fenêtres ainsi que la face inférieure des linteaux ne sont comptés (en surface nette) que lorsque leur largeur est supérieure à celle des pierres de façade.</w:t>
      </w:r>
    </w:p>
    <w:p w14:paraId="080C277F" w14:textId="77777777" w:rsidR="00DB2B68" w:rsidRDefault="00000000">
      <w:r>
        <w:t>La coulisse n'est jamais prise en compte.</w:t>
      </w:r>
    </w:p>
    <w:p w14:paraId="5553F260" w14:textId="77777777" w:rsidR="00DB2B68" w:rsidRDefault="00000000">
      <w:r>
        <w:t>Pour un mesurage en m³, la longueur des murs est mesurée dans l'axe de l'élément ; à l’intersection de deux murs, seul le mur le plus épais est considéré. Aucun volume n'est compté deux fois.</w:t>
      </w:r>
    </w:p>
    <w:p w14:paraId="10863268" w14:textId="77777777" w:rsidR="00DB2B68"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74877FB" w14:textId="77777777" w:rsidR="00DB2B68" w:rsidRDefault="00000000">
      <w:r>
        <w:br/>
      </w:r>
      <w:r>
        <w:rPr>
          <w:rStyle w:val="optioncarChar"/>
        </w:rPr>
        <w:t>Surface nette  </w:t>
      </w:r>
      <w:r>
        <w:t>(par défaut)</w:t>
      </w:r>
      <w:r>
        <w:rPr>
          <w:rStyle w:val="optioncarChar"/>
        </w:rPr>
        <w:t> / Volume net</w:t>
      </w:r>
    </w:p>
    <w:p w14:paraId="022F9481" w14:textId="77777777" w:rsidR="00DB2B68" w:rsidRDefault="00000000">
      <w:r>
        <w:rPr>
          <w:b/>
        </w:rPr>
        <w:t>(soit par défaut)</w:t>
      </w:r>
    </w:p>
    <w:p w14:paraId="7660D4CE" w14:textId="77777777" w:rsidR="00DB2B68"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7BD0C8AA" w14:textId="77777777" w:rsidR="00DB2B68" w:rsidRDefault="00000000">
      <w:r>
        <w:rPr>
          <w:b/>
        </w:rPr>
        <w:t>(soit)</w:t>
      </w:r>
    </w:p>
    <w:p w14:paraId="13AF0CD5" w14:textId="77777777" w:rsidR="00DB2B68" w:rsidRDefault="00000000">
      <w:r>
        <w:rPr>
          <w:rStyle w:val="soitChar"/>
        </w:rPr>
        <w:lastRenderedPageBreak/>
        <w:t>2. </w:t>
      </w:r>
      <w:r>
        <w:t> </w:t>
      </w:r>
      <w:r>
        <w:rPr>
          <w:rStyle w:val="soitChar"/>
          <w:u w:val="single"/>
        </w:rPr>
        <w:t>Volume net </w:t>
      </w:r>
      <w:r>
        <w:rPr>
          <w:rStyle w:val="soitChar"/>
        </w:rPr>
        <w:t>de maçonnerie à mettre en œuvre</w:t>
      </w:r>
      <w:r>
        <w:br/>
      </w:r>
      <w:r>
        <w:rPr>
          <w:rStyle w:val="soitChar"/>
        </w:rPr>
        <w:t>Distinction faite suivant le type, nature de pierre (neuve et/ou de réemploi) et l’épaisseur. S’il s’agit de réemploi, distinguer : avec ou sans fourniture.</w:t>
      </w:r>
    </w:p>
    <w:p w14:paraId="3D8C1096" w14:textId="77777777" w:rsidR="00DB2B68" w:rsidRDefault="00000000">
      <w:pPr>
        <w:pStyle w:val="pheading"/>
      </w:pPr>
      <w:r>
        <w:t>- nature du marché:</w:t>
      </w:r>
    </w:p>
    <w:p w14:paraId="41650FBA" w14:textId="77777777" w:rsidR="00DB2B68" w:rsidRDefault="00000000">
      <w:r>
        <w:t>QF</w:t>
      </w:r>
    </w:p>
    <w:p w14:paraId="5D19261D" w14:textId="77777777" w:rsidR="00DB2B68" w:rsidRDefault="00000000">
      <w:pPr>
        <w:pStyle w:val="Author-eSectionHeading6Numberless"/>
      </w:pPr>
      <w:bookmarkStart w:id="279" w:name="_Toc220495404"/>
      <w:r>
        <w:t>21.33.2c Maçonneries de parement en moellons de marbre CCTB 01.11</w:t>
      </w:r>
      <w:bookmarkEnd w:id="279"/>
    </w:p>
    <w:p w14:paraId="28D814AE" w14:textId="77777777" w:rsidR="00DB2B68" w:rsidRDefault="00000000">
      <w:pPr>
        <w:pStyle w:val="pheading"/>
      </w:pPr>
      <w:r>
        <w:t>MESURAGE</w:t>
      </w:r>
    </w:p>
    <w:p w14:paraId="049E3181" w14:textId="77777777" w:rsidR="00DB2B68" w:rsidRDefault="00000000">
      <w:pPr>
        <w:pStyle w:val="pheading"/>
      </w:pPr>
      <w:r>
        <w:t>- unité de mesure:</w:t>
      </w:r>
    </w:p>
    <w:p w14:paraId="43DDD09E" w14:textId="77777777" w:rsidR="00DB2B68" w:rsidRDefault="00000000">
      <w:r>
        <w:rPr>
          <w:rStyle w:val="optioncarChar"/>
        </w:rPr>
        <w:t>m² </w:t>
      </w:r>
      <w:r>
        <w:t>(par défaut)</w:t>
      </w:r>
      <w:r>
        <w:rPr>
          <w:rStyle w:val="optioncarChar"/>
        </w:rPr>
        <w:t> / m³</w:t>
      </w:r>
    </w:p>
    <w:p w14:paraId="2F99246D" w14:textId="77777777" w:rsidR="00DB2B68" w:rsidRDefault="00000000">
      <w:r>
        <w:rPr>
          <w:b/>
        </w:rPr>
        <w:t>(soit par défaut)</w:t>
      </w:r>
    </w:p>
    <w:p w14:paraId="21173A13" w14:textId="77777777" w:rsidR="00DB2B68" w:rsidRDefault="00000000">
      <w:r>
        <w:rPr>
          <w:rStyle w:val="soitChar"/>
        </w:rPr>
        <w:t>1. m²</w:t>
      </w:r>
    </w:p>
    <w:p w14:paraId="131BA187" w14:textId="77777777" w:rsidR="00DB2B68" w:rsidRDefault="00000000">
      <w:r>
        <w:rPr>
          <w:b/>
        </w:rPr>
        <w:t>(soit)</w:t>
      </w:r>
    </w:p>
    <w:p w14:paraId="26107B7B" w14:textId="77777777" w:rsidR="00DB2B68" w:rsidRDefault="00000000">
      <w:r>
        <w:rPr>
          <w:rStyle w:val="soitChar"/>
        </w:rPr>
        <w:t>2. m³</w:t>
      </w:r>
    </w:p>
    <w:p w14:paraId="615DE371" w14:textId="77777777" w:rsidR="00DB2B68" w:rsidRDefault="00000000">
      <w:pPr>
        <w:pStyle w:val="pheading"/>
      </w:pPr>
      <w:r>
        <w:t>- code de mesurage:</w:t>
      </w:r>
    </w:p>
    <w:p w14:paraId="69EB4402" w14:textId="77777777" w:rsidR="00DB2B68" w:rsidRDefault="00000000">
      <w:r>
        <w:t>Les maçonneries sont mesurées en fonction de leur forme géométrique.</w:t>
      </w:r>
    </w:p>
    <w:p w14:paraId="019CF864" w14:textId="77777777" w:rsidR="00DB2B68" w:rsidRDefault="00000000">
      <w:r>
        <w:t>Si les maçonneries sont métrées en m², les quantités sont groupées selon leur épaisseur.</w:t>
      </w:r>
    </w:p>
    <w:p w14:paraId="7DF1CADF"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4000D635" w14:textId="77777777" w:rsidR="00DB2B68" w:rsidRDefault="00000000">
      <w:r>
        <w:t>Les ébrasements des ouvertures et des baies de fenêtres ainsi que la face inférieure des linteaux ne sont comptés (en surface nette) que lorsque leur largeur est supérieure à celle des pierres de façade.</w:t>
      </w:r>
    </w:p>
    <w:p w14:paraId="7B2684BE" w14:textId="77777777" w:rsidR="00DB2B68" w:rsidRDefault="00000000">
      <w:r>
        <w:t>La coulisse n'est jamais prise en compte.</w:t>
      </w:r>
    </w:p>
    <w:p w14:paraId="0FBF76E5" w14:textId="77777777" w:rsidR="00DB2B68" w:rsidRDefault="00000000">
      <w:r>
        <w:t>Pour un mesurage en m³, la longueur des murs est mesurée dans l'axe de l'élément ; à l’intersection de deux murs, seul le mur le plus épais est considéré. Aucun volume n'est compté deux fois.</w:t>
      </w:r>
    </w:p>
    <w:p w14:paraId="3F40EB0F" w14:textId="77777777" w:rsidR="00DB2B68"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8867D4F" w14:textId="77777777" w:rsidR="00DB2B68" w:rsidRDefault="00000000">
      <w:r>
        <w:br/>
      </w:r>
      <w:r>
        <w:rPr>
          <w:rStyle w:val="optioncarChar"/>
        </w:rPr>
        <w:t>Surface nette  </w:t>
      </w:r>
      <w:r>
        <w:t>(par défaut)</w:t>
      </w:r>
      <w:r>
        <w:rPr>
          <w:rStyle w:val="optioncarChar"/>
        </w:rPr>
        <w:t> / Volume net</w:t>
      </w:r>
    </w:p>
    <w:p w14:paraId="1A8217E4" w14:textId="77777777" w:rsidR="00DB2B68" w:rsidRDefault="00000000">
      <w:r>
        <w:rPr>
          <w:b/>
        </w:rPr>
        <w:t>(soit par défaut)</w:t>
      </w:r>
    </w:p>
    <w:p w14:paraId="0BDB57A7" w14:textId="77777777" w:rsidR="00DB2B68"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78BE62A1" w14:textId="77777777" w:rsidR="00DB2B68" w:rsidRDefault="00000000">
      <w:r>
        <w:rPr>
          <w:b/>
        </w:rPr>
        <w:t>(soit)</w:t>
      </w:r>
    </w:p>
    <w:p w14:paraId="3ADAA6D6" w14:textId="77777777" w:rsidR="00DB2B68"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713F2C64" w14:textId="77777777" w:rsidR="00DB2B68" w:rsidRDefault="00000000">
      <w:pPr>
        <w:pStyle w:val="pheading"/>
      </w:pPr>
      <w:r>
        <w:t>- nature du marché:</w:t>
      </w:r>
    </w:p>
    <w:p w14:paraId="1F96F190" w14:textId="77777777" w:rsidR="00DB2B68" w:rsidRDefault="00000000">
      <w:r>
        <w:t>QF</w:t>
      </w:r>
    </w:p>
    <w:p w14:paraId="7CBDF740" w14:textId="77777777" w:rsidR="00DB2B68" w:rsidRDefault="00000000">
      <w:pPr>
        <w:pStyle w:val="Author-eSectionHeading5Numberless"/>
      </w:pPr>
      <w:bookmarkStart w:id="280" w:name="_Toc220495405"/>
      <w:r>
        <w:t>21.33.3 Maçonneries de parement en moellons de pierres siliceuses CCTB 01.02</w:t>
      </w:r>
      <w:bookmarkEnd w:id="280"/>
    </w:p>
    <w:p w14:paraId="1EC35F91" w14:textId="77777777" w:rsidR="00DB2B68" w:rsidRDefault="00000000">
      <w:pPr>
        <w:pStyle w:val="Author-eSectionHeading6Numberless"/>
      </w:pPr>
      <w:bookmarkStart w:id="281" w:name="_Toc220495406"/>
      <w:r>
        <w:t>21.33.3a Maçonneries de parement en moellons d'arkose CCTB 01.11</w:t>
      </w:r>
      <w:bookmarkEnd w:id="281"/>
    </w:p>
    <w:p w14:paraId="48360755" w14:textId="77777777" w:rsidR="00DB2B68" w:rsidRDefault="00000000">
      <w:pPr>
        <w:pStyle w:val="pheading"/>
      </w:pPr>
      <w:r>
        <w:lastRenderedPageBreak/>
        <w:t>MESURAGE</w:t>
      </w:r>
    </w:p>
    <w:p w14:paraId="5BC4108F" w14:textId="77777777" w:rsidR="00DB2B68" w:rsidRDefault="00000000">
      <w:pPr>
        <w:pStyle w:val="pheading"/>
      </w:pPr>
      <w:r>
        <w:t>- unité de mesure:</w:t>
      </w:r>
    </w:p>
    <w:p w14:paraId="0BBC1F22" w14:textId="77777777" w:rsidR="00DB2B68" w:rsidRDefault="00000000">
      <w:r>
        <w:rPr>
          <w:rStyle w:val="optioncarChar"/>
        </w:rPr>
        <w:t>m² </w:t>
      </w:r>
      <w:r>
        <w:t>(par défaut)</w:t>
      </w:r>
      <w:r>
        <w:rPr>
          <w:rStyle w:val="optioncarChar"/>
        </w:rPr>
        <w:t> / m³</w:t>
      </w:r>
    </w:p>
    <w:p w14:paraId="4B032561" w14:textId="77777777" w:rsidR="00DB2B68" w:rsidRDefault="00000000">
      <w:r>
        <w:rPr>
          <w:b/>
        </w:rPr>
        <w:t>(soit par défaut)</w:t>
      </w:r>
    </w:p>
    <w:p w14:paraId="52BDE5C2" w14:textId="77777777" w:rsidR="00DB2B68" w:rsidRDefault="00000000">
      <w:r>
        <w:rPr>
          <w:rStyle w:val="soitChar"/>
        </w:rPr>
        <w:t>1. m²</w:t>
      </w:r>
    </w:p>
    <w:p w14:paraId="5A24366A" w14:textId="77777777" w:rsidR="00DB2B68" w:rsidRDefault="00000000">
      <w:r>
        <w:rPr>
          <w:b/>
        </w:rPr>
        <w:t>(soit)</w:t>
      </w:r>
    </w:p>
    <w:p w14:paraId="3A4872C6" w14:textId="77777777" w:rsidR="00DB2B68" w:rsidRDefault="00000000">
      <w:r>
        <w:rPr>
          <w:rStyle w:val="soitChar"/>
        </w:rPr>
        <w:t>2. m³</w:t>
      </w:r>
    </w:p>
    <w:p w14:paraId="0867EFD9" w14:textId="77777777" w:rsidR="00DB2B68" w:rsidRDefault="00000000">
      <w:pPr>
        <w:pStyle w:val="pheading"/>
      </w:pPr>
      <w:r>
        <w:t>- code de mesurage:</w:t>
      </w:r>
    </w:p>
    <w:p w14:paraId="16690A1D" w14:textId="77777777" w:rsidR="00DB2B68" w:rsidRDefault="00000000">
      <w:r>
        <w:t>Les maçonneries sont mesurées en fonction de leur forme géométrique.</w:t>
      </w:r>
    </w:p>
    <w:p w14:paraId="56B5A970" w14:textId="77777777" w:rsidR="00DB2B68" w:rsidRDefault="00000000">
      <w:r>
        <w:t>Si les maçonneries sont métrées en m², les quantités sont groupées selon leur épaisseur.</w:t>
      </w:r>
    </w:p>
    <w:p w14:paraId="123222A7"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286828E7" w14:textId="77777777" w:rsidR="00DB2B68" w:rsidRDefault="00000000">
      <w:r>
        <w:t>Les ébrasements des ouvertures et des baies de fenêtres ainsi que la face inférieure des linteaux ne sont comptés (en surface nette) que lorsque leur largeur est supérieure à celle des moellons de façade.</w:t>
      </w:r>
    </w:p>
    <w:p w14:paraId="3EF5DD4A" w14:textId="77777777" w:rsidR="00DB2B68" w:rsidRDefault="00000000">
      <w:r>
        <w:t>La coulisse n'est jamais prise en compte.</w:t>
      </w:r>
    </w:p>
    <w:p w14:paraId="793742A3" w14:textId="77777777" w:rsidR="00DB2B68" w:rsidRDefault="00000000">
      <w:r>
        <w:t>Pour un mesurage en m³, la longueur des murs est mesurée dans l'axe de l'élément ; à l’intersection de deux murs, seul le mur le plus épais est considéré. Aucun volume n'est compté deux fois.</w:t>
      </w:r>
    </w:p>
    <w:p w14:paraId="5804507D" w14:textId="77777777" w:rsidR="00DB2B68"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3890AD31" w14:textId="77777777" w:rsidR="00DB2B68" w:rsidRDefault="00000000">
      <w:r>
        <w:br/>
      </w:r>
      <w:r>
        <w:rPr>
          <w:rStyle w:val="optioncarChar"/>
        </w:rPr>
        <w:t>Surface nette  </w:t>
      </w:r>
      <w:r>
        <w:t>(par défaut)</w:t>
      </w:r>
      <w:r>
        <w:rPr>
          <w:rStyle w:val="optioncarChar"/>
        </w:rPr>
        <w:t> / Volume net</w:t>
      </w:r>
    </w:p>
    <w:p w14:paraId="21510C37" w14:textId="77777777" w:rsidR="00DB2B68" w:rsidRDefault="00000000">
      <w:r>
        <w:rPr>
          <w:b/>
        </w:rPr>
        <w:t>(soit par défaut)</w:t>
      </w:r>
    </w:p>
    <w:p w14:paraId="3D4E6489" w14:textId="77777777" w:rsidR="00DB2B68"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0373AB59" w14:textId="77777777" w:rsidR="00DB2B68" w:rsidRDefault="00000000">
      <w:r>
        <w:rPr>
          <w:b/>
        </w:rPr>
        <w:t>(soit)</w:t>
      </w:r>
    </w:p>
    <w:p w14:paraId="07812511" w14:textId="77777777" w:rsidR="00DB2B68" w:rsidRDefault="00000000">
      <w:r>
        <w:rPr>
          <w:rStyle w:val="soitChar"/>
        </w:rPr>
        <w:t>2. </w:t>
      </w:r>
      <w:r>
        <w:t> </w:t>
      </w:r>
      <w:r>
        <w:rPr>
          <w:rStyle w:val="soitChar"/>
          <w:u w:val="single"/>
        </w:rPr>
        <w:t>Volume net </w:t>
      </w:r>
      <w:r>
        <w:rPr>
          <w:rStyle w:val="soitChar"/>
        </w:rPr>
        <w:t>de maçonnerie à mettre en œuvre</w:t>
      </w:r>
      <w:r>
        <w:br/>
      </w:r>
      <w:r>
        <w:rPr>
          <w:rStyle w:val="soitChar"/>
        </w:rPr>
        <w:t>Distinction faite suivant le type, nature des moellons (neuve et/ou de réemploi) et l’épaisseur. S’il s’agit de réemploi, distinguer : avec ou sans fourniture.</w:t>
      </w:r>
    </w:p>
    <w:p w14:paraId="0077A557" w14:textId="77777777" w:rsidR="00DB2B68" w:rsidRDefault="00000000">
      <w:pPr>
        <w:pStyle w:val="pheading"/>
      </w:pPr>
      <w:r>
        <w:t>- nature du marché:</w:t>
      </w:r>
    </w:p>
    <w:p w14:paraId="090EBBDF" w14:textId="77777777" w:rsidR="00DB2B68" w:rsidRDefault="00000000">
      <w:r>
        <w:t>QF</w:t>
      </w:r>
    </w:p>
    <w:p w14:paraId="154A1582" w14:textId="77777777" w:rsidR="00DB2B68" w:rsidRDefault="00000000">
      <w:pPr>
        <w:pStyle w:val="Author-eSectionHeading6Numberless"/>
      </w:pPr>
      <w:bookmarkStart w:id="282" w:name="_Toc220495407"/>
      <w:r>
        <w:t>21.33.3b Maçonneries de parement en moellons de schiste CCTB 01.11</w:t>
      </w:r>
      <w:bookmarkEnd w:id="282"/>
    </w:p>
    <w:p w14:paraId="5627E3BF" w14:textId="77777777" w:rsidR="00DB2B68" w:rsidRDefault="00000000">
      <w:pPr>
        <w:pStyle w:val="pheading"/>
      </w:pPr>
      <w:r>
        <w:t>MESURAGE</w:t>
      </w:r>
    </w:p>
    <w:p w14:paraId="5358EB78" w14:textId="77777777" w:rsidR="00DB2B68" w:rsidRDefault="00000000">
      <w:pPr>
        <w:pStyle w:val="pheading"/>
      </w:pPr>
      <w:r>
        <w:t>- unité de mesure:</w:t>
      </w:r>
    </w:p>
    <w:p w14:paraId="154E2AEB" w14:textId="77777777" w:rsidR="00DB2B68" w:rsidRDefault="00000000">
      <w:r>
        <w:rPr>
          <w:rStyle w:val="optioncarChar"/>
        </w:rPr>
        <w:t>m² </w:t>
      </w:r>
      <w:r>
        <w:t>(par défaut)</w:t>
      </w:r>
      <w:r>
        <w:rPr>
          <w:rStyle w:val="optioncarChar"/>
        </w:rPr>
        <w:t> / m³</w:t>
      </w:r>
    </w:p>
    <w:p w14:paraId="72D1486B" w14:textId="77777777" w:rsidR="00DB2B68" w:rsidRDefault="00000000">
      <w:r>
        <w:rPr>
          <w:b/>
        </w:rPr>
        <w:t>(soit par défaut)</w:t>
      </w:r>
    </w:p>
    <w:p w14:paraId="61D422E9" w14:textId="77777777" w:rsidR="00DB2B68" w:rsidRDefault="00000000">
      <w:r>
        <w:rPr>
          <w:rStyle w:val="soitChar"/>
        </w:rPr>
        <w:t>1. m²</w:t>
      </w:r>
    </w:p>
    <w:p w14:paraId="224C302B" w14:textId="77777777" w:rsidR="00DB2B68" w:rsidRDefault="00000000">
      <w:r>
        <w:rPr>
          <w:b/>
        </w:rPr>
        <w:t>(soit)</w:t>
      </w:r>
    </w:p>
    <w:p w14:paraId="5FE0AE32" w14:textId="77777777" w:rsidR="00DB2B68" w:rsidRDefault="00000000">
      <w:r>
        <w:rPr>
          <w:rStyle w:val="soitChar"/>
        </w:rPr>
        <w:t>2. m³</w:t>
      </w:r>
    </w:p>
    <w:p w14:paraId="4987A66E" w14:textId="77777777" w:rsidR="00DB2B68" w:rsidRDefault="00000000">
      <w:pPr>
        <w:pStyle w:val="pheading"/>
      </w:pPr>
      <w:r>
        <w:lastRenderedPageBreak/>
        <w:t>- code de mesurage:</w:t>
      </w:r>
    </w:p>
    <w:p w14:paraId="7408A3DF" w14:textId="77777777" w:rsidR="00DB2B68" w:rsidRDefault="00000000">
      <w:r>
        <w:t>Les maçonneries sont mesurées en fonction de leur forme géométrique.</w:t>
      </w:r>
    </w:p>
    <w:p w14:paraId="0A83A105" w14:textId="77777777" w:rsidR="00DB2B68" w:rsidRDefault="00000000">
      <w:r>
        <w:t>Si les maçonneries sont métrées en m², les quantités sont groupées selon leur épaisseur.</w:t>
      </w:r>
    </w:p>
    <w:p w14:paraId="76C4EBCB"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7B96C6AD" w14:textId="77777777" w:rsidR="00DB2B68" w:rsidRDefault="00000000">
      <w:r>
        <w:t>Les ébrasements des ouvertures et des baies de fenêtres ainsi que la face inférieure des linteaux ne sont comptés (en surface nette) que lorsque leur largeur est supérieure à celle des moellons de façade.</w:t>
      </w:r>
    </w:p>
    <w:p w14:paraId="6250C578" w14:textId="77777777" w:rsidR="00DB2B68" w:rsidRDefault="00000000">
      <w:r>
        <w:t>La coulisse n'est jamais prise en compte.</w:t>
      </w:r>
    </w:p>
    <w:p w14:paraId="4FB478B7" w14:textId="77777777" w:rsidR="00DB2B68" w:rsidRDefault="00000000">
      <w:r>
        <w:t>Pour un mesurage en m³, la longueur des murs est mesurée dans l'axe de l'élément ; à l’intersection de deux murs, seul le mur le plus épais est considéré. Aucun volume n'est compté deux fois.</w:t>
      </w:r>
    </w:p>
    <w:p w14:paraId="5987E270" w14:textId="77777777" w:rsidR="00DB2B68"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D06DA59" w14:textId="77777777" w:rsidR="00DB2B68" w:rsidRDefault="00000000">
      <w:r>
        <w:br/>
      </w:r>
      <w:r>
        <w:rPr>
          <w:rStyle w:val="optioncarChar"/>
        </w:rPr>
        <w:t>Surface nette  </w:t>
      </w:r>
      <w:r>
        <w:t>(par défaut)</w:t>
      </w:r>
      <w:r>
        <w:rPr>
          <w:rStyle w:val="optioncarChar"/>
        </w:rPr>
        <w:t> / Volume net</w:t>
      </w:r>
    </w:p>
    <w:p w14:paraId="1AF3653F" w14:textId="77777777" w:rsidR="00DB2B68" w:rsidRDefault="00000000">
      <w:r>
        <w:rPr>
          <w:b/>
        </w:rPr>
        <w:t>(soit par défaut)</w:t>
      </w:r>
    </w:p>
    <w:p w14:paraId="067FDE5C" w14:textId="77777777" w:rsidR="00DB2B68"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728212EF" w14:textId="77777777" w:rsidR="00DB2B68" w:rsidRDefault="00000000">
      <w:r>
        <w:rPr>
          <w:b/>
        </w:rPr>
        <w:t>(soit)</w:t>
      </w:r>
    </w:p>
    <w:p w14:paraId="031D5EC7" w14:textId="77777777" w:rsidR="00DB2B68" w:rsidRDefault="00000000">
      <w:r>
        <w:rPr>
          <w:rStyle w:val="soitChar"/>
        </w:rPr>
        <w:t>2. </w:t>
      </w:r>
      <w:r>
        <w:t> </w:t>
      </w:r>
      <w:r>
        <w:rPr>
          <w:rStyle w:val="soitChar"/>
          <w:u w:val="single"/>
        </w:rPr>
        <w:t>Volume net </w:t>
      </w:r>
      <w:r>
        <w:rPr>
          <w:rStyle w:val="soitChar"/>
        </w:rPr>
        <w:t>de maçonnerie à mettre en œuvre</w:t>
      </w:r>
      <w:r>
        <w:br/>
      </w:r>
      <w:r>
        <w:rPr>
          <w:rStyle w:val="soitChar"/>
        </w:rPr>
        <w:t>Distinction faite suivant le type, nature des moellons (neuve et/ou de réemploi) et l’épaisseur. S’il s’agit de réemploi, distinguer : avec ou sans fourniture.</w:t>
      </w:r>
    </w:p>
    <w:p w14:paraId="18C9A6D3" w14:textId="77777777" w:rsidR="00DB2B68" w:rsidRDefault="00000000">
      <w:pPr>
        <w:pStyle w:val="pheading"/>
      </w:pPr>
      <w:r>
        <w:t>- nature du marché:</w:t>
      </w:r>
    </w:p>
    <w:p w14:paraId="0B11BEC8" w14:textId="77777777" w:rsidR="00DB2B68" w:rsidRDefault="00000000">
      <w:r>
        <w:t>QF</w:t>
      </w:r>
    </w:p>
    <w:p w14:paraId="42D0A5C5" w14:textId="77777777" w:rsidR="00DB2B68" w:rsidRDefault="00000000">
      <w:pPr>
        <w:pStyle w:val="Author-eSectionHeading6Numberless"/>
      </w:pPr>
      <w:bookmarkStart w:id="283" w:name="_Toc220495408"/>
      <w:r>
        <w:t>21.33.3c Maçonneries de parement en moellons de grès CCTB 01.11</w:t>
      </w:r>
      <w:bookmarkEnd w:id="283"/>
    </w:p>
    <w:p w14:paraId="5974495C" w14:textId="77777777" w:rsidR="00DB2B68" w:rsidRDefault="00000000">
      <w:pPr>
        <w:pStyle w:val="pheading"/>
      </w:pPr>
      <w:r>
        <w:t>MESURAGE</w:t>
      </w:r>
    </w:p>
    <w:p w14:paraId="5D2F439C" w14:textId="77777777" w:rsidR="00DB2B68" w:rsidRDefault="00000000">
      <w:pPr>
        <w:pStyle w:val="pheading"/>
      </w:pPr>
      <w:r>
        <w:t>- unité de mesure:</w:t>
      </w:r>
    </w:p>
    <w:p w14:paraId="794194CE" w14:textId="77777777" w:rsidR="00DB2B68" w:rsidRDefault="00000000">
      <w:r>
        <w:rPr>
          <w:rStyle w:val="optioncarChar"/>
        </w:rPr>
        <w:t>m² </w:t>
      </w:r>
      <w:r>
        <w:t>(par défaut)</w:t>
      </w:r>
      <w:r>
        <w:rPr>
          <w:rStyle w:val="optioncarChar"/>
        </w:rPr>
        <w:t> / m³</w:t>
      </w:r>
    </w:p>
    <w:p w14:paraId="63F69A92" w14:textId="77777777" w:rsidR="00DB2B68" w:rsidRDefault="00000000">
      <w:r>
        <w:rPr>
          <w:b/>
        </w:rPr>
        <w:t>(soit par défaut)</w:t>
      </w:r>
    </w:p>
    <w:p w14:paraId="0694B712" w14:textId="77777777" w:rsidR="00DB2B68" w:rsidRDefault="00000000">
      <w:r>
        <w:rPr>
          <w:rStyle w:val="soitChar"/>
        </w:rPr>
        <w:t>1. m²</w:t>
      </w:r>
    </w:p>
    <w:p w14:paraId="123FF3D3" w14:textId="77777777" w:rsidR="00DB2B68" w:rsidRDefault="00000000">
      <w:r>
        <w:rPr>
          <w:b/>
        </w:rPr>
        <w:t>(soit)</w:t>
      </w:r>
    </w:p>
    <w:p w14:paraId="3A79A7AA" w14:textId="77777777" w:rsidR="00DB2B68" w:rsidRDefault="00000000">
      <w:r>
        <w:rPr>
          <w:rStyle w:val="soitChar"/>
        </w:rPr>
        <w:t>2. m³</w:t>
      </w:r>
    </w:p>
    <w:p w14:paraId="6821FF92" w14:textId="77777777" w:rsidR="00DB2B68" w:rsidRDefault="00000000">
      <w:pPr>
        <w:pStyle w:val="pheading"/>
      </w:pPr>
      <w:r>
        <w:t>- code de mesurage:</w:t>
      </w:r>
    </w:p>
    <w:p w14:paraId="7B566392" w14:textId="77777777" w:rsidR="00DB2B68" w:rsidRDefault="00000000">
      <w:r>
        <w:t>Les maçonneries sont mesurées en fonction de leur forme géométrique.</w:t>
      </w:r>
    </w:p>
    <w:p w14:paraId="3C36C895" w14:textId="77777777" w:rsidR="00DB2B68" w:rsidRDefault="00000000">
      <w:r>
        <w:t>Si les maçonneries sont métrées en m², les quantités sont groupées selon leur épaisseur.</w:t>
      </w:r>
    </w:p>
    <w:p w14:paraId="1CB9CF60"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1F556826" w14:textId="77777777" w:rsidR="00DB2B68" w:rsidRDefault="00000000">
      <w:r>
        <w:lastRenderedPageBreak/>
        <w:t>Les ébrasements des ouvertures et des baies de fenêtres ainsi que la face inférieure des linteaux ne sont comptés (en surface nette) que lorsque leur largeur est supérieure à celle des moellons de façade.</w:t>
      </w:r>
    </w:p>
    <w:p w14:paraId="2A893E37" w14:textId="77777777" w:rsidR="00DB2B68" w:rsidRDefault="00000000">
      <w:r>
        <w:t>La coulisse n'est jamais prise en compte.</w:t>
      </w:r>
    </w:p>
    <w:p w14:paraId="6E249799" w14:textId="77777777" w:rsidR="00DB2B68" w:rsidRDefault="00000000">
      <w:r>
        <w:t>Pour un mesurage en m³, la longueur des murs est mesurée dans l'axe de l'élément ; à l’intersection de deux murs, seul le mur le plus épais est considéré. Aucun volume n'est compté deux fois.</w:t>
      </w:r>
    </w:p>
    <w:p w14:paraId="0CD8BDB3" w14:textId="77777777" w:rsidR="00DB2B68"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71F22BE7" w14:textId="77777777" w:rsidR="00DB2B68" w:rsidRDefault="00000000">
      <w:r>
        <w:br/>
      </w:r>
      <w:r>
        <w:rPr>
          <w:rStyle w:val="optioncarChar"/>
        </w:rPr>
        <w:t>Surface nette  </w:t>
      </w:r>
      <w:r>
        <w:t>(par défaut)</w:t>
      </w:r>
      <w:r>
        <w:rPr>
          <w:rStyle w:val="optioncarChar"/>
        </w:rPr>
        <w:t> / Volume net</w:t>
      </w:r>
    </w:p>
    <w:p w14:paraId="728B3FBD" w14:textId="77777777" w:rsidR="00DB2B68" w:rsidRDefault="00000000">
      <w:r>
        <w:rPr>
          <w:b/>
        </w:rPr>
        <w:t>(soit par défaut)</w:t>
      </w:r>
    </w:p>
    <w:p w14:paraId="63193B8E" w14:textId="77777777" w:rsidR="00DB2B68"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5A0EA734" w14:textId="77777777" w:rsidR="00DB2B68" w:rsidRDefault="00000000">
      <w:r>
        <w:rPr>
          <w:b/>
        </w:rPr>
        <w:t>(soit)</w:t>
      </w:r>
    </w:p>
    <w:p w14:paraId="7F314FF3" w14:textId="77777777" w:rsidR="00DB2B68" w:rsidRDefault="00000000">
      <w:r>
        <w:rPr>
          <w:rStyle w:val="soitChar"/>
        </w:rPr>
        <w:t>2. </w:t>
      </w:r>
      <w:r>
        <w:t> </w:t>
      </w:r>
      <w:r>
        <w:rPr>
          <w:rStyle w:val="soitChar"/>
          <w:u w:val="single"/>
        </w:rPr>
        <w:t>Volume net </w:t>
      </w:r>
      <w:r>
        <w:rPr>
          <w:rStyle w:val="soitChar"/>
        </w:rPr>
        <w:t>de maçonnerie à mettre en œuvre</w:t>
      </w:r>
      <w:r>
        <w:br/>
      </w:r>
      <w:r>
        <w:rPr>
          <w:rStyle w:val="soitChar"/>
        </w:rPr>
        <w:t>Distinction faite suivant le type, nature des moellons (neuve et/ou de réemploi) et l’épaisseur. S’il s’agit de réemploi, distinguer : avec ou sans fourniture.</w:t>
      </w:r>
    </w:p>
    <w:p w14:paraId="21D52A38" w14:textId="77777777" w:rsidR="00DB2B68" w:rsidRDefault="00000000">
      <w:pPr>
        <w:pStyle w:val="pheading"/>
      </w:pPr>
      <w:r>
        <w:t>- nature du marché:</w:t>
      </w:r>
    </w:p>
    <w:p w14:paraId="09C17373" w14:textId="77777777" w:rsidR="00DB2B68" w:rsidRDefault="00000000">
      <w:r>
        <w:t>QF</w:t>
      </w:r>
    </w:p>
    <w:p w14:paraId="5D76B2BB" w14:textId="77777777" w:rsidR="00DB2B68" w:rsidRDefault="00000000">
      <w:pPr>
        <w:pStyle w:val="Author-eSectionHeading6Numberless"/>
      </w:pPr>
      <w:bookmarkStart w:id="284" w:name="_Toc220495409"/>
      <w:r>
        <w:t>21.33.3d Maçonneries de parement en moellons de quartzite CCTB 01.11</w:t>
      </w:r>
      <w:bookmarkEnd w:id="284"/>
    </w:p>
    <w:p w14:paraId="2DB3935D" w14:textId="77777777" w:rsidR="00DB2B68" w:rsidRDefault="00000000">
      <w:pPr>
        <w:pStyle w:val="pheading"/>
      </w:pPr>
      <w:r>
        <w:t>MESURAGE</w:t>
      </w:r>
    </w:p>
    <w:p w14:paraId="5D29320C" w14:textId="77777777" w:rsidR="00DB2B68" w:rsidRDefault="00000000">
      <w:pPr>
        <w:pStyle w:val="pheading"/>
      </w:pPr>
      <w:r>
        <w:t>- unité de mesure:</w:t>
      </w:r>
    </w:p>
    <w:p w14:paraId="1071D958" w14:textId="77777777" w:rsidR="00DB2B68" w:rsidRDefault="00000000">
      <w:r>
        <w:rPr>
          <w:rStyle w:val="optioncarChar"/>
        </w:rPr>
        <w:t>m² </w:t>
      </w:r>
      <w:r>
        <w:t>(par défaut)</w:t>
      </w:r>
      <w:r>
        <w:rPr>
          <w:rStyle w:val="optioncarChar"/>
        </w:rPr>
        <w:t> / m³</w:t>
      </w:r>
    </w:p>
    <w:p w14:paraId="7AABB66B" w14:textId="77777777" w:rsidR="00DB2B68" w:rsidRDefault="00000000">
      <w:r>
        <w:rPr>
          <w:b/>
        </w:rPr>
        <w:t>(soit par défaut)</w:t>
      </w:r>
    </w:p>
    <w:p w14:paraId="28822294" w14:textId="77777777" w:rsidR="00DB2B68" w:rsidRDefault="00000000">
      <w:r>
        <w:rPr>
          <w:rStyle w:val="soitChar"/>
        </w:rPr>
        <w:t>1. m²</w:t>
      </w:r>
    </w:p>
    <w:p w14:paraId="23755D69" w14:textId="77777777" w:rsidR="00DB2B68" w:rsidRDefault="00000000">
      <w:r>
        <w:rPr>
          <w:b/>
        </w:rPr>
        <w:t>(soit)</w:t>
      </w:r>
    </w:p>
    <w:p w14:paraId="688D5038" w14:textId="77777777" w:rsidR="00DB2B68" w:rsidRDefault="00000000">
      <w:r>
        <w:rPr>
          <w:rStyle w:val="soitChar"/>
        </w:rPr>
        <w:t>2. m³</w:t>
      </w:r>
    </w:p>
    <w:p w14:paraId="104B74B3" w14:textId="77777777" w:rsidR="00DB2B68" w:rsidRDefault="00000000">
      <w:pPr>
        <w:pStyle w:val="pheading"/>
      </w:pPr>
      <w:r>
        <w:t>- code de mesurage:</w:t>
      </w:r>
    </w:p>
    <w:p w14:paraId="39C8B046" w14:textId="77777777" w:rsidR="00DB2B68" w:rsidRDefault="00000000">
      <w:r>
        <w:t>Les maçonneries sont mesurées en fonction de leur forme géométrique.</w:t>
      </w:r>
    </w:p>
    <w:p w14:paraId="631F3E93" w14:textId="77777777" w:rsidR="00DB2B68" w:rsidRDefault="00000000">
      <w:r>
        <w:t>Si les maçonneries sont métrées en m², les quantités sont groupées selon leur épaisseur.</w:t>
      </w:r>
    </w:p>
    <w:p w14:paraId="40B082BE"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4E9477BB" w14:textId="77777777" w:rsidR="00DB2B68" w:rsidRDefault="00000000">
      <w:r>
        <w:t>Les ébrasements des ouvertures et des baies de fenêtres ainsi que la face inférieure des linteaux ne sont comptés (en surface nette) que lorsque leur largeur est supérieure à celle des moellons de façade.</w:t>
      </w:r>
    </w:p>
    <w:p w14:paraId="30C2306E" w14:textId="77777777" w:rsidR="00DB2B68" w:rsidRDefault="00000000">
      <w:r>
        <w:t>La coulisse n'est jamais prise en compte.</w:t>
      </w:r>
    </w:p>
    <w:p w14:paraId="24C8AA3A" w14:textId="77777777" w:rsidR="00DB2B68" w:rsidRDefault="00000000">
      <w:r>
        <w:t>Pour un mesurage en m³, la longueur des murs est mesurée dans l'axe de l'élément ; à l’intersection de deux murs, seul le mur le plus épais est considéré. Aucun volume n'est compté deux fois.</w:t>
      </w:r>
    </w:p>
    <w:p w14:paraId="41374ABD" w14:textId="77777777" w:rsidR="00DB2B68" w:rsidRDefault="00000000">
      <w:r>
        <w:t xml:space="preserve">Les ouvertures ou les éléments de construction intégrés dont l'aire est supérieure à 0,50 m² sont déduits. Sont notamment déduits les linteaux et poutres de ceinture, dont la superficie est supérieure </w:t>
      </w:r>
      <w:r>
        <w:lastRenderedPageBreak/>
        <w:t>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13AFC12" w14:textId="77777777" w:rsidR="00DB2B68" w:rsidRDefault="00000000">
      <w:r>
        <w:br/>
      </w:r>
      <w:r>
        <w:rPr>
          <w:rStyle w:val="optioncarChar"/>
        </w:rPr>
        <w:t>Surface nette  </w:t>
      </w:r>
      <w:r>
        <w:t>(par défaut)</w:t>
      </w:r>
      <w:r>
        <w:rPr>
          <w:rStyle w:val="optioncarChar"/>
        </w:rPr>
        <w:t> / Volume net</w:t>
      </w:r>
    </w:p>
    <w:p w14:paraId="4EE4F5FC" w14:textId="77777777" w:rsidR="00DB2B68" w:rsidRDefault="00000000">
      <w:r>
        <w:rPr>
          <w:b/>
        </w:rPr>
        <w:t>(soit par défaut)</w:t>
      </w:r>
    </w:p>
    <w:p w14:paraId="40BDAE46" w14:textId="77777777" w:rsidR="00DB2B68"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47D37DAF" w14:textId="77777777" w:rsidR="00DB2B68" w:rsidRDefault="00000000">
      <w:r>
        <w:rPr>
          <w:b/>
        </w:rPr>
        <w:t>(soit)</w:t>
      </w:r>
    </w:p>
    <w:p w14:paraId="17897CA4" w14:textId="77777777" w:rsidR="00DB2B68" w:rsidRDefault="00000000">
      <w:r>
        <w:rPr>
          <w:rStyle w:val="soitChar"/>
        </w:rPr>
        <w:t>2. </w:t>
      </w:r>
      <w:r>
        <w:t> </w:t>
      </w:r>
      <w:r>
        <w:rPr>
          <w:rStyle w:val="soitChar"/>
          <w:u w:val="single"/>
        </w:rPr>
        <w:t>Volume net</w:t>
      </w:r>
      <w:r>
        <w:rPr>
          <w:rStyle w:val="soitChar"/>
        </w:rPr>
        <w:t xml:space="preserve"> de maçonnerie à mettre en œuvre</w:t>
      </w:r>
      <w:r>
        <w:br/>
      </w:r>
      <w:r>
        <w:rPr>
          <w:rStyle w:val="soitChar"/>
        </w:rPr>
        <w:t>Distinction faite suivant le type, nature des moellons (neuve et/ou de réemploi) et l’épaisseur. S’il s’agit de réemploi, distinguer : avec ou sans fourniture.</w:t>
      </w:r>
    </w:p>
    <w:p w14:paraId="107F5FCB" w14:textId="77777777" w:rsidR="00DB2B68" w:rsidRDefault="00000000">
      <w:pPr>
        <w:pStyle w:val="pheading"/>
      </w:pPr>
      <w:r>
        <w:t>- nature du marché:</w:t>
      </w:r>
    </w:p>
    <w:p w14:paraId="018ABBC7" w14:textId="77777777" w:rsidR="00DB2B68" w:rsidRDefault="00000000">
      <w:r>
        <w:t>QF</w:t>
      </w:r>
    </w:p>
    <w:p w14:paraId="42526A47" w14:textId="77777777" w:rsidR="00DB2B68" w:rsidRDefault="00000000">
      <w:pPr>
        <w:pStyle w:val="Author-eSectionHeading6Numberless"/>
      </w:pPr>
      <w:bookmarkStart w:id="285" w:name="_Toc220495410"/>
      <w:r>
        <w:t>21.33.3e Maçonneries de parement en moellons de silex CCTB 01.11</w:t>
      </w:r>
      <w:bookmarkEnd w:id="285"/>
    </w:p>
    <w:p w14:paraId="6EC40D58" w14:textId="77777777" w:rsidR="00DB2B68" w:rsidRDefault="00000000">
      <w:pPr>
        <w:pStyle w:val="pheading"/>
      </w:pPr>
      <w:r>
        <w:t>MESURAGE</w:t>
      </w:r>
    </w:p>
    <w:p w14:paraId="7240CF51" w14:textId="77777777" w:rsidR="00DB2B68" w:rsidRDefault="00000000">
      <w:pPr>
        <w:pStyle w:val="pheading"/>
      </w:pPr>
      <w:r>
        <w:t>- unité de mesure:</w:t>
      </w:r>
    </w:p>
    <w:p w14:paraId="3B5E5B6D" w14:textId="77777777" w:rsidR="00DB2B68" w:rsidRDefault="00000000">
      <w:r>
        <w:rPr>
          <w:rStyle w:val="optioncarChar"/>
        </w:rPr>
        <w:t>m² </w:t>
      </w:r>
      <w:r>
        <w:t>(par défaut)</w:t>
      </w:r>
      <w:r>
        <w:rPr>
          <w:rStyle w:val="optioncarChar"/>
        </w:rPr>
        <w:t> / m³</w:t>
      </w:r>
    </w:p>
    <w:p w14:paraId="2DE627F6" w14:textId="77777777" w:rsidR="00DB2B68" w:rsidRDefault="00000000">
      <w:r>
        <w:rPr>
          <w:b/>
        </w:rPr>
        <w:t>(soit par défaut)</w:t>
      </w:r>
    </w:p>
    <w:p w14:paraId="7197C728" w14:textId="77777777" w:rsidR="00DB2B68" w:rsidRDefault="00000000">
      <w:r>
        <w:rPr>
          <w:rStyle w:val="soitChar"/>
        </w:rPr>
        <w:t>1. m²</w:t>
      </w:r>
    </w:p>
    <w:p w14:paraId="66C02B9C" w14:textId="77777777" w:rsidR="00DB2B68" w:rsidRDefault="00000000">
      <w:r>
        <w:rPr>
          <w:b/>
        </w:rPr>
        <w:t>(soit)</w:t>
      </w:r>
    </w:p>
    <w:p w14:paraId="7555F708" w14:textId="77777777" w:rsidR="00DB2B68" w:rsidRDefault="00000000">
      <w:r>
        <w:rPr>
          <w:rStyle w:val="soitChar"/>
        </w:rPr>
        <w:t>2. m³</w:t>
      </w:r>
    </w:p>
    <w:p w14:paraId="7DF2D54E" w14:textId="77777777" w:rsidR="00DB2B68" w:rsidRDefault="00000000">
      <w:pPr>
        <w:pStyle w:val="pheading"/>
      </w:pPr>
      <w:r>
        <w:t>- code de mesurage:</w:t>
      </w:r>
    </w:p>
    <w:p w14:paraId="67EE04A6" w14:textId="77777777" w:rsidR="00DB2B68" w:rsidRDefault="00000000">
      <w:r>
        <w:t>Les maçonneries sont mesurées en fonction de leur forme géométrique.</w:t>
      </w:r>
    </w:p>
    <w:p w14:paraId="31354320" w14:textId="77777777" w:rsidR="00DB2B68" w:rsidRDefault="00000000">
      <w:r>
        <w:t>Si les maçonneries sont métrées en m², les quantités sont groupées selon leur épaisseur.</w:t>
      </w:r>
    </w:p>
    <w:p w14:paraId="635CEEE6" w14:textId="77777777" w:rsidR="00DB2B68"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7F45EA4F" w14:textId="77777777" w:rsidR="00DB2B68" w:rsidRDefault="00000000">
      <w:r>
        <w:t>Les ébrasements des ouvertures et des baies de fenêtres ainsi que la face inférieure des linteaux ne sont comptés (en surface nette) que lorsque leur largeur est supérieure à celle des moellons de façade.</w:t>
      </w:r>
    </w:p>
    <w:p w14:paraId="383AC319" w14:textId="77777777" w:rsidR="00DB2B68" w:rsidRDefault="00000000">
      <w:r>
        <w:t>La coulisse n'est jamais prise en compte.</w:t>
      </w:r>
    </w:p>
    <w:p w14:paraId="415B6D39" w14:textId="77777777" w:rsidR="00DB2B68" w:rsidRDefault="00000000">
      <w:r>
        <w:t>Pour un mesurage en m³, la longueur des murs est mesurée dans l'axe de l'élément ; à l’intersection de deux murs, seul le mur le plus épais est considéré. Aucun volume n'est compté deux fois.</w:t>
      </w:r>
    </w:p>
    <w:p w14:paraId="6B7A070F" w14:textId="77777777" w:rsidR="00DB2B68"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436DC51B" w14:textId="77777777" w:rsidR="00DB2B68" w:rsidRDefault="00000000">
      <w:r>
        <w:br/>
      </w:r>
      <w:r>
        <w:rPr>
          <w:rStyle w:val="optioncarChar"/>
        </w:rPr>
        <w:t>Surface nette  </w:t>
      </w:r>
      <w:r>
        <w:t>(par défaut)</w:t>
      </w:r>
      <w:r>
        <w:rPr>
          <w:rStyle w:val="optioncarChar"/>
        </w:rPr>
        <w:t> / Volume net</w:t>
      </w:r>
    </w:p>
    <w:p w14:paraId="652F83FC" w14:textId="77777777" w:rsidR="00DB2B68" w:rsidRDefault="00000000">
      <w:r>
        <w:rPr>
          <w:b/>
        </w:rPr>
        <w:t>(soit par défaut)</w:t>
      </w:r>
    </w:p>
    <w:p w14:paraId="6AE738F4" w14:textId="77777777" w:rsidR="00DB2B68" w:rsidRDefault="00000000">
      <w:r>
        <w:rPr>
          <w:rStyle w:val="soitChar"/>
        </w:rPr>
        <w:t>1. </w:t>
      </w:r>
      <w:r>
        <w:rPr>
          <w:rStyle w:val="soitChar"/>
          <w:u w:val="single"/>
        </w:rPr>
        <w:t>Surface nette </w:t>
      </w:r>
      <w:r>
        <w:rPr>
          <w:rStyle w:val="soitChar"/>
        </w:rPr>
        <w:t>de maçonnerie à mettre en œuvre</w:t>
      </w:r>
      <w:r>
        <w:br/>
      </w:r>
      <w:r>
        <w:rPr>
          <w:rStyle w:val="soitChar"/>
        </w:rPr>
        <w:t>Distinction faite suivant le type, nature des moellons (neuve et/ou de réemploi) et l’épaisseur. S’il s’agit de réemploi, distinguer : avec ou sans fourniture.</w:t>
      </w:r>
    </w:p>
    <w:p w14:paraId="4380E3BF" w14:textId="77777777" w:rsidR="00DB2B68" w:rsidRDefault="00000000">
      <w:r>
        <w:rPr>
          <w:b/>
        </w:rPr>
        <w:lastRenderedPageBreak/>
        <w:t>(soit)</w:t>
      </w:r>
    </w:p>
    <w:p w14:paraId="42AE0103" w14:textId="77777777" w:rsidR="00DB2B68" w:rsidRDefault="00000000">
      <w:r>
        <w:rPr>
          <w:rStyle w:val="soitChar"/>
        </w:rPr>
        <w:t>2. </w:t>
      </w:r>
      <w:r>
        <w:t> </w:t>
      </w:r>
      <w:r>
        <w:rPr>
          <w:rStyle w:val="soitChar"/>
          <w:u w:val="single"/>
        </w:rPr>
        <w:t>Volume net</w:t>
      </w:r>
      <w:r>
        <w:rPr>
          <w:rStyle w:val="soitChar"/>
        </w:rPr>
        <w:t xml:space="preserve"> de maçonnerie à mettre en œuvre</w:t>
      </w:r>
      <w:r>
        <w:br/>
      </w:r>
      <w:r>
        <w:rPr>
          <w:rStyle w:val="soitChar"/>
        </w:rPr>
        <w:t>Distinction faite suivant le type, nature des moellons (neuve et/ou de réemploi) et l’épaisseur. S’il s’agit de réemploi, distinguer : avec ou sans fourniture.</w:t>
      </w:r>
    </w:p>
    <w:p w14:paraId="286995C6" w14:textId="77777777" w:rsidR="00DB2B68" w:rsidRDefault="00000000">
      <w:pPr>
        <w:pStyle w:val="pheading"/>
      </w:pPr>
      <w:r>
        <w:t>- nature du marché:</w:t>
      </w:r>
    </w:p>
    <w:p w14:paraId="75A3A3EB" w14:textId="77777777" w:rsidR="00DB2B68" w:rsidRDefault="00000000">
      <w:r>
        <w:t>QF</w:t>
      </w:r>
    </w:p>
    <w:p w14:paraId="21D46A28" w14:textId="77777777" w:rsidR="00DB2B68" w:rsidRDefault="00000000">
      <w:pPr>
        <w:pStyle w:val="Author-eSectionHeading4Numberless"/>
      </w:pPr>
      <w:bookmarkStart w:id="286" w:name="_Toc220495411"/>
      <w:r>
        <w:t>21.34 Maçonneries de parement en grands éléments CCTB 01.04</w:t>
      </w:r>
      <w:bookmarkEnd w:id="286"/>
    </w:p>
    <w:p w14:paraId="6CF936B4" w14:textId="77777777" w:rsidR="00DB2B68" w:rsidRDefault="00000000">
      <w:pPr>
        <w:pStyle w:val="Author-eSectionHeading5Numberless"/>
      </w:pPr>
      <w:bookmarkStart w:id="287" w:name="465"/>
      <w:bookmarkStart w:id="288" w:name="_Toc220495412"/>
      <w:bookmarkEnd w:id="287"/>
      <w:r>
        <w:t>21.34.1 Maçonneries de parement préfabriquées CCTB 01.04</w:t>
      </w:r>
      <w:bookmarkEnd w:id="288"/>
    </w:p>
    <w:p w14:paraId="2FB47DBE" w14:textId="77777777" w:rsidR="00DB2B68" w:rsidRDefault="00000000">
      <w:pPr>
        <w:pStyle w:val="Author-eSectionHeading6Numberless"/>
      </w:pPr>
      <w:bookmarkStart w:id="289" w:name="_Toc220495413"/>
      <w:r>
        <w:t>21.34.1a Maçonneries de parement préfabriquées en blocs de terre cuite CCTB 01.11</w:t>
      </w:r>
      <w:bookmarkEnd w:id="289"/>
    </w:p>
    <w:p w14:paraId="3A48C0A9" w14:textId="77777777" w:rsidR="00DB2B68" w:rsidRDefault="00000000">
      <w:pPr>
        <w:pStyle w:val="pheading"/>
      </w:pPr>
      <w:r>
        <w:t>DESCRIPTION</w:t>
      </w:r>
    </w:p>
    <w:p w14:paraId="1413D6AF" w14:textId="77777777" w:rsidR="00DB2B68" w:rsidRDefault="00000000">
      <w:pPr>
        <w:pStyle w:val="pheading"/>
      </w:pPr>
      <w:r>
        <w:t>- Définition / Comprend</w:t>
      </w:r>
    </w:p>
    <w:p w14:paraId="581FAF65" w14:textId="77777777" w:rsidR="00DB2B68" w:rsidRDefault="00000000">
      <w:r>
        <w:t>Il s’agit de la fourniture et la pose de maçonneries de parement préfabriquées en blocs de terre cuite.</w:t>
      </w:r>
    </w:p>
    <w:p w14:paraId="52989BE5" w14:textId="77777777" w:rsidR="00DB2B68" w:rsidRDefault="00000000">
      <w:r>
        <w:t xml:space="preserve">La portée des travaux est décrite dans l’article </w:t>
      </w:r>
      <w:hyperlink w:anchor="381" w:history="1">
        <w:r>
          <w:rPr>
            <w:color w:val="0000EE"/>
          </w:rPr>
          <w:t>21.3 Maçonneries de parement</w:t>
        </w:r>
      </w:hyperlink>
      <w:r>
        <w:rPr>
          <w:color w:val="000000"/>
        </w:rPr>
        <w:t>.</w:t>
      </w:r>
    </w:p>
    <w:p w14:paraId="43A170BD" w14:textId="77777777" w:rsidR="00DB2B68" w:rsidRDefault="00000000">
      <w:pPr>
        <w:pStyle w:val="pheading"/>
      </w:pPr>
      <w:r>
        <w:t>- Localisation</w:t>
      </w:r>
    </w:p>
    <w:p w14:paraId="236EE69E" w14:textId="77777777" w:rsidR="00DB2B68" w:rsidRDefault="00000000">
      <w:r>
        <w:t xml:space="preserve">La pose est réalisée aux endroits suivants : </w:t>
      </w:r>
      <w:r>
        <w:rPr>
          <w:rStyle w:val="optioncarChar"/>
        </w:rPr>
        <w:t>***</w:t>
      </w:r>
      <w:r>
        <w:t>.</w:t>
      </w:r>
    </w:p>
    <w:p w14:paraId="7091FAB6" w14:textId="77777777" w:rsidR="00DB2B68" w:rsidRDefault="00000000">
      <w:r>
        <w:t>Voir plans et métrés détaillés.</w:t>
      </w:r>
    </w:p>
    <w:p w14:paraId="2B4C049D" w14:textId="77777777" w:rsidR="00DB2B68" w:rsidRDefault="00000000">
      <w:pPr>
        <w:pStyle w:val="pheading"/>
      </w:pPr>
      <w:r>
        <w:t>MATÉRIAUX</w:t>
      </w:r>
    </w:p>
    <w:p w14:paraId="1E59D57A" w14:textId="77777777" w:rsidR="00DB2B68" w:rsidRDefault="00000000">
      <w:pPr>
        <w:pStyle w:val="pheading"/>
      </w:pPr>
      <w:r>
        <w:t>- Finitions</w:t>
      </w:r>
    </w:p>
    <w:p w14:paraId="775F6602" w14:textId="77777777" w:rsidR="00DB2B68" w:rsidRDefault="00000000">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346" w:history="1">
        <w:r>
          <w:rPr>
            <w:color w:val="0000EE"/>
          </w:rPr>
          <w:t>21.61.1b Joints de maçonnerie apparente</w:t>
        </w:r>
      </w:hyperlink>
      <w:r>
        <w:rPr>
          <w:color w:val="000000"/>
        </w:rPr>
        <w:t xml:space="preserve"> :</w:t>
      </w:r>
      <w:r>
        <w:rPr>
          <w:rStyle w:val="optioncarChar"/>
        </w:rPr>
        <w:t xml:space="preserve">*** </w:t>
      </w:r>
    </w:p>
    <w:p w14:paraId="21D95FE0" w14:textId="77777777" w:rsidR="00DB2B68" w:rsidRDefault="00000000">
      <w:pPr>
        <w:spacing w:before="0" w:after="0" w:line="0" w:lineRule="atLeast"/>
      </w:pPr>
      <w:r>
        <w:rPr>
          <w:color w:val="000000"/>
        </w:rPr>
        <w:t xml:space="preserve">Les murs suivants sont exécutés avec deux faces restant apparentes : </w:t>
      </w:r>
      <w:r>
        <w:rPr>
          <w:rStyle w:val="optioncarChar"/>
        </w:rPr>
        <w:t>***</w:t>
      </w:r>
    </w:p>
    <w:p w14:paraId="2B3FE5AC"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4D5AD465"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30930986"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13E12390"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3F1E0289" w14:textId="77777777" w:rsidR="00DB2B68" w:rsidRDefault="00000000">
      <w:pPr>
        <w:ind w:left="750"/>
      </w:pPr>
      <w:r>
        <w:t> </w:t>
      </w:r>
    </w:p>
    <w:p w14:paraId="7D541696" w14:textId="77777777" w:rsidR="00DB2B68" w:rsidRDefault="00000000">
      <w:pPr>
        <w:pStyle w:val="pheading"/>
      </w:pPr>
      <w:r>
        <w:t>MESURAGE</w:t>
      </w:r>
    </w:p>
    <w:p w14:paraId="1DF36A03" w14:textId="77777777" w:rsidR="00DB2B68" w:rsidRDefault="00000000">
      <w:pPr>
        <w:pStyle w:val="pheading"/>
      </w:pPr>
      <w:r>
        <w:t>- unité de mesure:</w:t>
      </w:r>
    </w:p>
    <w:p w14:paraId="1E36AFC3" w14:textId="77777777" w:rsidR="00DB2B68" w:rsidRDefault="00000000">
      <w:r>
        <w:rPr>
          <w:rStyle w:val="optioncarChar"/>
        </w:rPr>
        <w:t>m² </w:t>
      </w:r>
      <w:r>
        <w:rPr>
          <w:rStyle w:val="optioncarChar"/>
          <w:color w:val="000000"/>
        </w:rPr>
        <w:t>(par défaut)</w:t>
      </w:r>
      <w:r>
        <w:rPr>
          <w:rStyle w:val="optioncarChar"/>
        </w:rPr>
        <w:t> / m³</w:t>
      </w:r>
    </w:p>
    <w:p w14:paraId="330187EF" w14:textId="77777777" w:rsidR="00DB2B68" w:rsidRDefault="00000000">
      <w:pPr>
        <w:spacing w:after="0" w:line="0" w:lineRule="atLeast"/>
      </w:pPr>
      <w:r>
        <w:rPr>
          <w:b/>
          <w:color w:val="000000"/>
        </w:rPr>
        <w:t>(soit par défaut)</w:t>
      </w:r>
    </w:p>
    <w:p w14:paraId="5CC8A939" w14:textId="77777777" w:rsidR="00DB2B68" w:rsidRDefault="00000000">
      <w:pPr>
        <w:spacing w:after="0" w:line="0" w:lineRule="atLeast"/>
      </w:pPr>
      <w:r>
        <w:rPr>
          <w:rStyle w:val="soitChar"/>
        </w:rPr>
        <w:t>1. m²</w:t>
      </w:r>
    </w:p>
    <w:p w14:paraId="1910E1E7" w14:textId="77777777" w:rsidR="00DB2B68" w:rsidRDefault="00000000">
      <w:pPr>
        <w:spacing w:after="0" w:line="0" w:lineRule="atLeast"/>
      </w:pPr>
      <w:r>
        <w:rPr>
          <w:b/>
          <w:color w:val="000000"/>
        </w:rPr>
        <w:t>(soit)</w:t>
      </w:r>
    </w:p>
    <w:p w14:paraId="37B70780" w14:textId="77777777" w:rsidR="00DB2B68" w:rsidRDefault="00000000">
      <w:pPr>
        <w:spacing w:after="0" w:line="0" w:lineRule="atLeast"/>
      </w:pPr>
      <w:r>
        <w:rPr>
          <w:rStyle w:val="soitChar"/>
        </w:rPr>
        <w:t>2. m³</w:t>
      </w:r>
    </w:p>
    <w:p w14:paraId="03A79644" w14:textId="77777777" w:rsidR="00DB2B68" w:rsidRDefault="00000000">
      <w:pPr>
        <w:pStyle w:val="pheading"/>
      </w:pPr>
      <w:r>
        <w:t>- code de mesurage:</w:t>
      </w:r>
    </w:p>
    <w:p w14:paraId="4F3C5D3C" w14:textId="77777777" w:rsidR="00DB2B68" w:rsidRDefault="00000000">
      <w:pPr>
        <w:spacing w:before="0" w:after="0"/>
      </w:pPr>
      <w:r>
        <w:t>Les maçonneries sont mesurées en fonction de leur forme géométrique.</w:t>
      </w:r>
    </w:p>
    <w:p w14:paraId="59D198EB"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58E44C35" w14:textId="77777777" w:rsidR="00DB2B68" w:rsidRDefault="00000000">
      <w:pPr>
        <w:spacing w:before="0" w:after="0"/>
      </w:pPr>
      <w:r>
        <w:lastRenderedPageBreak/>
        <w:t>La coulisse n'est jamais prise en compte.</w:t>
      </w:r>
    </w:p>
    <w:p w14:paraId="494C691E" w14:textId="77777777" w:rsidR="00DB2B68" w:rsidRDefault="00DB2B68"/>
    <w:p w14:paraId="136971E7"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4F4361C4" w14:textId="77777777" w:rsidR="00DB2B68" w:rsidRDefault="00000000">
      <w:pPr>
        <w:spacing w:after="0" w:line="252" w:lineRule="auto"/>
      </w:pPr>
      <w:r>
        <w:rPr>
          <w:b/>
          <w:color w:val="000000"/>
        </w:rPr>
        <w:t>(soit par défaut)</w:t>
      </w:r>
    </w:p>
    <w:p w14:paraId="670A748B"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1725D842" w14:textId="77777777" w:rsidR="00DB2B68" w:rsidRDefault="00000000">
      <w:pPr>
        <w:spacing w:after="0" w:line="252" w:lineRule="auto"/>
      </w:pPr>
      <w:r>
        <w:rPr>
          <w:rStyle w:val="soitChar"/>
        </w:rPr>
        <w:t>Distinction faite suivant l'épaisseur.</w:t>
      </w:r>
    </w:p>
    <w:p w14:paraId="21E614B3" w14:textId="77777777" w:rsidR="00DB2B68" w:rsidRDefault="00000000">
      <w:pPr>
        <w:spacing w:line="252" w:lineRule="auto"/>
      </w:pPr>
      <w:r>
        <w:rPr>
          <w:b/>
          <w:color w:val="000000"/>
        </w:rPr>
        <w:t>(soit)</w:t>
      </w:r>
    </w:p>
    <w:p w14:paraId="12B4DDC3"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FAC474C"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4F38170F" w14:textId="77777777" w:rsidR="00DB2B68" w:rsidRDefault="00000000">
      <w:pPr>
        <w:ind w:left="750"/>
      </w:pPr>
      <w:r>
        <w:t> </w:t>
      </w:r>
    </w:p>
    <w:p w14:paraId="35D97C3B" w14:textId="77777777" w:rsidR="00DB2B68" w:rsidRDefault="00000000">
      <w:pPr>
        <w:pStyle w:val="pheading"/>
      </w:pPr>
      <w:r>
        <w:t>- nature du marché:</w:t>
      </w:r>
    </w:p>
    <w:p w14:paraId="737FBED8" w14:textId="77777777" w:rsidR="00DB2B68" w:rsidRDefault="00000000">
      <w:r>
        <w:t>QF</w:t>
      </w:r>
    </w:p>
    <w:p w14:paraId="06C95564" w14:textId="77777777" w:rsidR="00DB2B68" w:rsidRDefault="00000000">
      <w:pPr>
        <w:pStyle w:val="Author-eSectionHeading6Numberless"/>
      </w:pPr>
      <w:bookmarkStart w:id="290" w:name="_Toc220495414"/>
      <w:r>
        <w:t>21.34.1b Maçonneries de parement préfabriquées en blocs de béton CCTB 01.11</w:t>
      </w:r>
      <w:bookmarkEnd w:id="290"/>
    </w:p>
    <w:p w14:paraId="74DD869C" w14:textId="77777777" w:rsidR="00DB2B68" w:rsidRDefault="00000000">
      <w:pPr>
        <w:pStyle w:val="pheading"/>
      </w:pPr>
      <w:r>
        <w:t>DESCRIPTION</w:t>
      </w:r>
    </w:p>
    <w:p w14:paraId="71821218" w14:textId="77777777" w:rsidR="00DB2B68" w:rsidRDefault="00000000">
      <w:pPr>
        <w:pStyle w:val="pheading"/>
      </w:pPr>
      <w:r>
        <w:t>- Définition / Comprend</w:t>
      </w:r>
    </w:p>
    <w:p w14:paraId="25FD13A3" w14:textId="77777777" w:rsidR="00DB2B68" w:rsidRDefault="00000000">
      <w:r>
        <w:t>Il s’agit de la fourniture et la pose de maçonneries de parement préfabriquées en blocs de terre cuite.</w:t>
      </w:r>
    </w:p>
    <w:p w14:paraId="78E723DC" w14:textId="77777777" w:rsidR="00DB2B68" w:rsidRDefault="00000000">
      <w:r>
        <w:t xml:space="preserve">La portée des travaux est décrite dans l’article </w:t>
      </w:r>
      <w:hyperlink w:anchor="381" w:history="1">
        <w:r>
          <w:rPr>
            <w:color w:val="0000EE"/>
          </w:rPr>
          <w:t>21.3 Maçonneries de parement</w:t>
        </w:r>
      </w:hyperlink>
      <w:r>
        <w:rPr>
          <w:color w:val="000000"/>
        </w:rPr>
        <w:t>.</w:t>
      </w:r>
    </w:p>
    <w:p w14:paraId="5657B258" w14:textId="77777777" w:rsidR="00DB2B68" w:rsidRDefault="00000000">
      <w:pPr>
        <w:pStyle w:val="pheading"/>
      </w:pPr>
      <w:r>
        <w:t>- Localisation</w:t>
      </w:r>
    </w:p>
    <w:p w14:paraId="7D61CAE2" w14:textId="77777777" w:rsidR="00DB2B68" w:rsidRDefault="00000000">
      <w:r>
        <w:t xml:space="preserve">La pose est réalisée aux endroits suivants : </w:t>
      </w:r>
      <w:r>
        <w:rPr>
          <w:rStyle w:val="optioncarChar"/>
        </w:rPr>
        <w:t>***</w:t>
      </w:r>
      <w:r>
        <w:t>.</w:t>
      </w:r>
    </w:p>
    <w:p w14:paraId="2BB1360A" w14:textId="77777777" w:rsidR="00DB2B68" w:rsidRDefault="00000000">
      <w:r>
        <w:t>Voir plans et métrés détaillés.</w:t>
      </w:r>
    </w:p>
    <w:p w14:paraId="4872F3E0" w14:textId="77777777" w:rsidR="00DB2B68" w:rsidRDefault="00000000">
      <w:pPr>
        <w:pStyle w:val="pheading"/>
      </w:pPr>
      <w:r>
        <w:t>MATÉRIAUX</w:t>
      </w:r>
    </w:p>
    <w:p w14:paraId="7D02B4D5" w14:textId="77777777" w:rsidR="00DB2B68" w:rsidRDefault="00000000">
      <w:pPr>
        <w:pStyle w:val="pheading"/>
      </w:pPr>
      <w:r>
        <w:t>- Finitions</w:t>
      </w:r>
    </w:p>
    <w:p w14:paraId="6BE05520" w14:textId="77777777" w:rsidR="00DB2B68" w:rsidRDefault="00000000">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346" w:history="1">
        <w:r>
          <w:rPr>
            <w:color w:val="0000EE"/>
          </w:rPr>
          <w:t>21.61.1b Joints de maçonnerie apparente</w:t>
        </w:r>
      </w:hyperlink>
      <w:r>
        <w:rPr>
          <w:color w:val="000000"/>
        </w:rPr>
        <w:t xml:space="preserve"> :</w:t>
      </w:r>
      <w:r>
        <w:rPr>
          <w:rStyle w:val="optioncarChar"/>
        </w:rPr>
        <w:t xml:space="preserve">*** </w:t>
      </w:r>
    </w:p>
    <w:p w14:paraId="182E8F4F" w14:textId="77777777" w:rsidR="00DB2B68" w:rsidRDefault="00000000">
      <w:pPr>
        <w:spacing w:before="0" w:after="0" w:line="0" w:lineRule="atLeast"/>
      </w:pPr>
      <w:r>
        <w:rPr>
          <w:color w:val="000000"/>
        </w:rPr>
        <w:t xml:space="preserve">Les murs suivants sont exécutés avec deux faces restant apparentes : </w:t>
      </w:r>
      <w:r>
        <w:rPr>
          <w:rStyle w:val="optioncarChar"/>
        </w:rPr>
        <w:t>***</w:t>
      </w:r>
    </w:p>
    <w:p w14:paraId="4D3C85B7"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5E2AA47"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03AB35BF"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5A398C98" w14:textId="77777777" w:rsidR="00DB2B68"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6CD38380" w14:textId="77777777" w:rsidR="00DB2B68" w:rsidRDefault="00000000">
      <w:pPr>
        <w:pStyle w:val="pheading"/>
      </w:pPr>
      <w:r>
        <w:t>MESURAGE</w:t>
      </w:r>
    </w:p>
    <w:p w14:paraId="0968AF01" w14:textId="77777777" w:rsidR="00DB2B68" w:rsidRDefault="00000000">
      <w:pPr>
        <w:pStyle w:val="pheading"/>
      </w:pPr>
      <w:r>
        <w:t>- unité de mesure:</w:t>
      </w:r>
    </w:p>
    <w:p w14:paraId="100E6340" w14:textId="77777777" w:rsidR="00DB2B68" w:rsidRDefault="00000000">
      <w:r>
        <w:rPr>
          <w:rStyle w:val="optioncarChar"/>
        </w:rPr>
        <w:t>m² </w:t>
      </w:r>
      <w:r>
        <w:rPr>
          <w:rStyle w:val="optioncarChar"/>
          <w:color w:val="000000"/>
        </w:rPr>
        <w:t>(par défaut)</w:t>
      </w:r>
      <w:r>
        <w:rPr>
          <w:rStyle w:val="optioncarChar"/>
        </w:rPr>
        <w:t> / m³</w:t>
      </w:r>
    </w:p>
    <w:p w14:paraId="13025656" w14:textId="77777777" w:rsidR="00DB2B68" w:rsidRDefault="00000000">
      <w:pPr>
        <w:spacing w:after="0" w:line="0" w:lineRule="atLeast"/>
      </w:pPr>
      <w:r>
        <w:rPr>
          <w:b/>
          <w:color w:val="000000"/>
        </w:rPr>
        <w:t>(soit par défaut)</w:t>
      </w:r>
    </w:p>
    <w:p w14:paraId="5BB6CAAD" w14:textId="77777777" w:rsidR="00DB2B68" w:rsidRDefault="00000000">
      <w:pPr>
        <w:spacing w:after="0" w:line="0" w:lineRule="atLeast"/>
      </w:pPr>
      <w:r>
        <w:rPr>
          <w:rStyle w:val="soitChar"/>
        </w:rPr>
        <w:t>1. m²</w:t>
      </w:r>
    </w:p>
    <w:p w14:paraId="0E8A39D9" w14:textId="77777777" w:rsidR="00DB2B68" w:rsidRDefault="00000000">
      <w:pPr>
        <w:spacing w:after="0" w:line="0" w:lineRule="atLeast"/>
      </w:pPr>
      <w:r>
        <w:rPr>
          <w:b/>
          <w:color w:val="000000"/>
        </w:rPr>
        <w:lastRenderedPageBreak/>
        <w:t>(soit)</w:t>
      </w:r>
    </w:p>
    <w:p w14:paraId="67D9FBFE" w14:textId="77777777" w:rsidR="00DB2B68" w:rsidRDefault="00000000">
      <w:pPr>
        <w:spacing w:after="0" w:line="0" w:lineRule="atLeast"/>
      </w:pPr>
      <w:r>
        <w:rPr>
          <w:rStyle w:val="soitChar"/>
        </w:rPr>
        <w:t>2. m³</w:t>
      </w:r>
    </w:p>
    <w:p w14:paraId="30A52806" w14:textId="77777777" w:rsidR="00DB2B68" w:rsidRDefault="00000000">
      <w:pPr>
        <w:pStyle w:val="pheading"/>
      </w:pPr>
      <w:r>
        <w:t>- code de mesurage:</w:t>
      </w:r>
    </w:p>
    <w:p w14:paraId="4AFD4579" w14:textId="77777777" w:rsidR="00DB2B68" w:rsidRDefault="00000000">
      <w:pPr>
        <w:spacing w:before="0" w:after="0"/>
      </w:pPr>
      <w:r>
        <w:t>Les maçonneries sont mesurées en fonction de leur forme géométrique.</w:t>
      </w:r>
    </w:p>
    <w:p w14:paraId="715EFDE2"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643EB984" w14:textId="77777777" w:rsidR="00DB2B68" w:rsidRDefault="00000000">
      <w:pPr>
        <w:spacing w:before="0" w:after="0"/>
      </w:pPr>
      <w:r>
        <w:t>La coulisse n'est jamais prise en compte.</w:t>
      </w:r>
    </w:p>
    <w:p w14:paraId="555FE4E1" w14:textId="77777777" w:rsidR="00DB2B68" w:rsidRDefault="00DB2B68"/>
    <w:p w14:paraId="5ADC631A"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3D2D4B4" w14:textId="77777777" w:rsidR="00DB2B68" w:rsidRDefault="00000000">
      <w:pPr>
        <w:spacing w:after="0" w:line="252" w:lineRule="auto"/>
      </w:pPr>
      <w:r>
        <w:rPr>
          <w:b/>
          <w:color w:val="000000"/>
        </w:rPr>
        <w:t>(soit par défaut)</w:t>
      </w:r>
    </w:p>
    <w:p w14:paraId="5A36EBAF"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7FC80CE" w14:textId="77777777" w:rsidR="00DB2B68" w:rsidRDefault="00000000">
      <w:pPr>
        <w:spacing w:after="0" w:line="252" w:lineRule="auto"/>
      </w:pPr>
      <w:r>
        <w:rPr>
          <w:rStyle w:val="soitChar"/>
        </w:rPr>
        <w:t>Distinction faite suivant l'épaisseur.</w:t>
      </w:r>
    </w:p>
    <w:p w14:paraId="7CE60558" w14:textId="77777777" w:rsidR="00DB2B68" w:rsidRDefault="00000000">
      <w:pPr>
        <w:spacing w:line="252" w:lineRule="auto"/>
      </w:pPr>
      <w:r>
        <w:rPr>
          <w:b/>
          <w:color w:val="000000"/>
        </w:rPr>
        <w:t>(soit)</w:t>
      </w:r>
    </w:p>
    <w:p w14:paraId="1F680F1C"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6186EAC"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225AC3F5" w14:textId="77777777" w:rsidR="00DB2B68" w:rsidRDefault="00000000">
      <w:pPr>
        <w:ind w:left="750"/>
      </w:pPr>
      <w:r>
        <w:t> </w:t>
      </w:r>
    </w:p>
    <w:p w14:paraId="0F1C5111" w14:textId="77777777" w:rsidR="00DB2B68" w:rsidRDefault="00000000">
      <w:pPr>
        <w:pStyle w:val="pheading"/>
      </w:pPr>
      <w:r>
        <w:t>- nature du marché:</w:t>
      </w:r>
    </w:p>
    <w:p w14:paraId="4C5EC275" w14:textId="77777777" w:rsidR="00DB2B68" w:rsidRDefault="00000000">
      <w:r>
        <w:t>QF</w:t>
      </w:r>
    </w:p>
    <w:p w14:paraId="6A56CEB4" w14:textId="77777777" w:rsidR="00DB2B68" w:rsidRDefault="00000000">
      <w:pPr>
        <w:pStyle w:val="Author-eSectionHeading6Numberless"/>
      </w:pPr>
      <w:bookmarkStart w:id="291" w:name="_Toc220495415"/>
      <w:r>
        <w:t>21.34.1c Maçonneries de parement préfabriquées en blocs de béton d'argile expansée CCTB 01.11</w:t>
      </w:r>
      <w:bookmarkEnd w:id="291"/>
    </w:p>
    <w:p w14:paraId="1F44C52E" w14:textId="77777777" w:rsidR="00DB2B68" w:rsidRDefault="00000000">
      <w:pPr>
        <w:pStyle w:val="pheading"/>
      </w:pPr>
      <w:r>
        <w:t>DESCRIPTION</w:t>
      </w:r>
    </w:p>
    <w:p w14:paraId="2C4D3DDE" w14:textId="77777777" w:rsidR="00DB2B68" w:rsidRDefault="00000000">
      <w:pPr>
        <w:pStyle w:val="pheading"/>
      </w:pPr>
      <w:r>
        <w:t>- Définition / Comprend</w:t>
      </w:r>
    </w:p>
    <w:p w14:paraId="2A4B446B" w14:textId="77777777" w:rsidR="00DB2B68" w:rsidRDefault="00000000">
      <w:r>
        <w:t>Il s’agit de la fourniture et la pose de maçonneries de parement préfabriquées en blocs de terre cuite.</w:t>
      </w:r>
    </w:p>
    <w:p w14:paraId="248C7D63" w14:textId="77777777" w:rsidR="00DB2B68" w:rsidRDefault="00000000">
      <w:r>
        <w:t>La portée des travaux est décrite dans l’article </w:t>
      </w:r>
      <w:hyperlink w:anchor="381" w:history="1">
        <w:r>
          <w:rPr>
            <w:color w:val="0000EE"/>
          </w:rPr>
          <w:t>21.3 Maçonneries de parement</w:t>
        </w:r>
      </w:hyperlink>
      <w:r>
        <w:rPr>
          <w:color w:val="000000"/>
        </w:rPr>
        <w:t>.</w:t>
      </w:r>
    </w:p>
    <w:p w14:paraId="3CB30180" w14:textId="77777777" w:rsidR="00DB2B68" w:rsidRDefault="00000000">
      <w:pPr>
        <w:pStyle w:val="pheading"/>
      </w:pPr>
      <w:r>
        <w:t>- Localisation</w:t>
      </w:r>
    </w:p>
    <w:p w14:paraId="3A4D70BB" w14:textId="77777777" w:rsidR="00DB2B68" w:rsidRDefault="00000000">
      <w:r>
        <w:t xml:space="preserve">La pose est réalisée aux endroits suivants : </w:t>
      </w:r>
      <w:r>
        <w:rPr>
          <w:rStyle w:val="optioncarChar"/>
        </w:rPr>
        <w:t>***</w:t>
      </w:r>
      <w:r>
        <w:t>.</w:t>
      </w:r>
    </w:p>
    <w:p w14:paraId="47EA789F" w14:textId="77777777" w:rsidR="00DB2B68" w:rsidRDefault="00000000">
      <w:r>
        <w:t>Voir plans et métrés détaillés.</w:t>
      </w:r>
    </w:p>
    <w:p w14:paraId="09223891" w14:textId="77777777" w:rsidR="00DB2B68" w:rsidRDefault="00000000">
      <w:pPr>
        <w:pStyle w:val="pheading"/>
      </w:pPr>
      <w:r>
        <w:t>MATÉRIAUX</w:t>
      </w:r>
    </w:p>
    <w:p w14:paraId="00E0CD20" w14:textId="77777777" w:rsidR="00DB2B68" w:rsidRDefault="00000000">
      <w:pPr>
        <w:pStyle w:val="pheading"/>
      </w:pPr>
      <w:r>
        <w:t>- Finitions</w:t>
      </w:r>
    </w:p>
    <w:p w14:paraId="4B29EBD0" w14:textId="77777777" w:rsidR="00DB2B68" w:rsidRDefault="00000000">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346" w:history="1">
        <w:r>
          <w:rPr>
            <w:color w:val="0000EE"/>
          </w:rPr>
          <w:t>21.61.1b Joints de maçonnerie apparente</w:t>
        </w:r>
      </w:hyperlink>
      <w:r>
        <w:rPr>
          <w:color w:val="000000"/>
        </w:rPr>
        <w:t xml:space="preserve"> :</w:t>
      </w:r>
      <w:r>
        <w:rPr>
          <w:rStyle w:val="optioncarChar"/>
        </w:rPr>
        <w:t xml:space="preserve">*** </w:t>
      </w:r>
    </w:p>
    <w:p w14:paraId="22486454" w14:textId="77777777" w:rsidR="00DB2B68" w:rsidRDefault="00000000">
      <w:pPr>
        <w:spacing w:before="0" w:after="0" w:line="0" w:lineRule="atLeast"/>
      </w:pPr>
      <w:r>
        <w:rPr>
          <w:color w:val="000000"/>
        </w:rPr>
        <w:t xml:space="preserve">Les murs suivants sont exécutés avec deux faces restant apparentes : </w:t>
      </w:r>
      <w:r>
        <w:rPr>
          <w:rStyle w:val="optioncarChar"/>
        </w:rPr>
        <w:t>***</w:t>
      </w:r>
    </w:p>
    <w:p w14:paraId="4E3DC0AF" w14:textId="77777777" w:rsidR="00DB2B68"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3215CF12" w14:textId="77777777" w:rsidR="00DB2B68"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09B5A2AF" w14:textId="77777777" w:rsidR="00DB2B68"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182ECF72" w14:textId="77777777" w:rsidR="00DB2B68" w:rsidRDefault="00000000">
      <w:pPr>
        <w:spacing w:before="0" w:after="0"/>
      </w:pPr>
      <w:r>
        <w:rPr>
          <w:rStyle w:val="normalChar"/>
          <w:color w:val="000000"/>
        </w:rPr>
        <w:lastRenderedPageBreak/>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6D900E9" w14:textId="77777777" w:rsidR="00DB2B68" w:rsidRDefault="00000000">
      <w:pPr>
        <w:ind w:left="750"/>
      </w:pPr>
      <w:r>
        <w:t> </w:t>
      </w:r>
    </w:p>
    <w:p w14:paraId="5E04C2D5" w14:textId="77777777" w:rsidR="00DB2B68" w:rsidRDefault="00000000">
      <w:pPr>
        <w:pStyle w:val="pheading"/>
      </w:pPr>
      <w:r>
        <w:t>MESURAGE</w:t>
      </w:r>
    </w:p>
    <w:p w14:paraId="77B35D90" w14:textId="77777777" w:rsidR="00DB2B68" w:rsidRDefault="00000000">
      <w:pPr>
        <w:pStyle w:val="pheading"/>
      </w:pPr>
      <w:r>
        <w:t>- unité de mesure:</w:t>
      </w:r>
    </w:p>
    <w:p w14:paraId="371944A4" w14:textId="77777777" w:rsidR="00DB2B68" w:rsidRDefault="00000000">
      <w:r>
        <w:rPr>
          <w:rStyle w:val="optioncarChar"/>
        </w:rPr>
        <w:t>m² </w:t>
      </w:r>
      <w:r>
        <w:rPr>
          <w:rStyle w:val="optioncarChar"/>
          <w:color w:val="000000"/>
        </w:rPr>
        <w:t>(par défaut)</w:t>
      </w:r>
      <w:r>
        <w:rPr>
          <w:rStyle w:val="optioncarChar"/>
        </w:rPr>
        <w:t> / m³</w:t>
      </w:r>
    </w:p>
    <w:p w14:paraId="5F6B0DA2" w14:textId="77777777" w:rsidR="00DB2B68" w:rsidRDefault="00000000">
      <w:pPr>
        <w:spacing w:after="0" w:line="0" w:lineRule="atLeast"/>
      </w:pPr>
      <w:r>
        <w:rPr>
          <w:b/>
          <w:color w:val="000000"/>
        </w:rPr>
        <w:t>(soit par défaut)</w:t>
      </w:r>
    </w:p>
    <w:p w14:paraId="28F6F9B0" w14:textId="77777777" w:rsidR="00DB2B68" w:rsidRDefault="00000000">
      <w:pPr>
        <w:spacing w:after="0" w:line="0" w:lineRule="atLeast"/>
      </w:pPr>
      <w:r>
        <w:rPr>
          <w:rStyle w:val="soitChar"/>
        </w:rPr>
        <w:t>1. m²</w:t>
      </w:r>
    </w:p>
    <w:p w14:paraId="25D595C1" w14:textId="77777777" w:rsidR="00DB2B68" w:rsidRDefault="00000000">
      <w:pPr>
        <w:spacing w:after="0" w:line="0" w:lineRule="atLeast"/>
      </w:pPr>
      <w:r>
        <w:rPr>
          <w:b/>
          <w:color w:val="000000"/>
        </w:rPr>
        <w:t>(soit)</w:t>
      </w:r>
    </w:p>
    <w:p w14:paraId="0DDEC52A" w14:textId="77777777" w:rsidR="00DB2B68" w:rsidRDefault="00000000">
      <w:pPr>
        <w:spacing w:after="0" w:line="0" w:lineRule="atLeast"/>
      </w:pPr>
      <w:r>
        <w:rPr>
          <w:rStyle w:val="soitChar"/>
        </w:rPr>
        <w:t>2. m³</w:t>
      </w:r>
    </w:p>
    <w:p w14:paraId="363E8AA4" w14:textId="77777777" w:rsidR="00DB2B68" w:rsidRDefault="00000000">
      <w:pPr>
        <w:pStyle w:val="pheading"/>
      </w:pPr>
      <w:r>
        <w:t>- code de mesurage:</w:t>
      </w:r>
    </w:p>
    <w:p w14:paraId="185979C4" w14:textId="77777777" w:rsidR="00DB2B68" w:rsidRDefault="00000000">
      <w:pPr>
        <w:spacing w:before="0" w:after="0"/>
      </w:pPr>
      <w:r>
        <w:t>Les maçonneries sont mesurées en fonction de leur forme géométrique.</w:t>
      </w:r>
    </w:p>
    <w:p w14:paraId="3BA112EB"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2D5F9C7C" w14:textId="77777777" w:rsidR="00DB2B68" w:rsidRDefault="00000000">
      <w:pPr>
        <w:spacing w:before="0" w:after="0"/>
      </w:pPr>
      <w:r>
        <w:t>La coulisse n'est jamais prise en compte.</w:t>
      </w:r>
    </w:p>
    <w:p w14:paraId="48031617" w14:textId="77777777" w:rsidR="00DB2B68" w:rsidRDefault="00DB2B68"/>
    <w:p w14:paraId="3973506A"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17E0C71B" w14:textId="77777777" w:rsidR="00DB2B68" w:rsidRDefault="00000000">
      <w:pPr>
        <w:spacing w:after="0" w:line="252" w:lineRule="auto"/>
      </w:pPr>
      <w:r>
        <w:rPr>
          <w:b/>
          <w:color w:val="000000"/>
        </w:rPr>
        <w:t>(soit par défaut)</w:t>
      </w:r>
    </w:p>
    <w:p w14:paraId="25430D0F"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1858BF69" w14:textId="77777777" w:rsidR="00DB2B68" w:rsidRDefault="00000000">
      <w:pPr>
        <w:spacing w:after="0" w:line="252" w:lineRule="auto"/>
      </w:pPr>
      <w:r>
        <w:rPr>
          <w:rStyle w:val="soitChar"/>
        </w:rPr>
        <w:t>Distinction faite suivant l'épaisseur.</w:t>
      </w:r>
    </w:p>
    <w:p w14:paraId="1FB3D326" w14:textId="77777777" w:rsidR="00DB2B68" w:rsidRDefault="00000000">
      <w:pPr>
        <w:spacing w:line="252" w:lineRule="auto"/>
      </w:pPr>
      <w:r>
        <w:rPr>
          <w:b/>
          <w:color w:val="000000"/>
        </w:rPr>
        <w:t>(soit)</w:t>
      </w:r>
    </w:p>
    <w:p w14:paraId="50B80E87"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401233F3"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155FC221" w14:textId="77777777" w:rsidR="00DB2B68" w:rsidRDefault="00000000">
      <w:pPr>
        <w:ind w:left="750"/>
      </w:pPr>
      <w:r>
        <w:t> </w:t>
      </w:r>
    </w:p>
    <w:p w14:paraId="15A71F18" w14:textId="77777777" w:rsidR="00DB2B68" w:rsidRDefault="00000000">
      <w:pPr>
        <w:pStyle w:val="pheading"/>
      </w:pPr>
      <w:r>
        <w:t>- nature du marché:</w:t>
      </w:r>
    </w:p>
    <w:p w14:paraId="47608A8C" w14:textId="77777777" w:rsidR="00DB2B68" w:rsidRDefault="00000000">
      <w:r>
        <w:t>QF</w:t>
      </w:r>
    </w:p>
    <w:p w14:paraId="5DB00ADA" w14:textId="77777777" w:rsidR="00DB2B68" w:rsidRDefault="00000000">
      <w:pPr>
        <w:pStyle w:val="Author-eSectionHeading6Numberless"/>
      </w:pPr>
      <w:bookmarkStart w:id="292" w:name="_Toc220495416"/>
      <w:r>
        <w:t>21.34.1d Maçonneries de parement préfabriquées en blocs de silico-calcaire CCTB 01.11</w:t>
      </w:r>
      <w:bookmarkEnd w:id="292"/>
    </w:p>
    <w:p w14:paraId="459D3FE9" w14:textId="77777777" w:rsidR="00DB2B68" w:rsidRDefault="00000000">
      <w:pPr>
        <w:pStyle w:val="pheading"/>
      </w:pPr>
      <w:r>
        <w:t>DESCRIPTION</w:t>
      </w:r>
    </w:p>
    <w:p w14:paraId="3CA9AB01" w14:textId="77777777" w:rsidR="00DB2B68" w:rsidRDefault="00000000">
      <w:pPr>
        <w:pStyle w:val="pheading"/>
      </w:pPr>
      <w:r>
        <w:t>- Définition / Comprend</w:t>
      </w:r>
    </w:p>
    <w:p w14:paraId="54122BA4" w14:textId="77777777" w:rsidR="00DB2B68" w:rsidRDefault="00000000">
      <w:r>
        <w:t>Il s’agit de la fourniture et la pose de maçonneries de parement préfabriquées en blocs de terre cuite.</w:t>
      </w:r>
    </w:p>
    <w:p w14:paraId="58210A18" w14:textId="77777777" w:rsidR="00DB2B68" w:rsidRDefault="00000000">
      <w:r>
        <w:t xml:space="preserve">La portée des travaux est décrite dans l’article </w:t>
      </w:r>
      <w:hyperlink w:anchor="381" w:history="1">
        <w:r>
          <w:rPr>
            <w:color w:val="0000EE"/>
          </w:rPr>
          <w:t>21.3 Maçonneries de parement</w:t>
        </w:r>
      </w:hyperlink>
      <w:r>
        <w:rPr>
          <w:color w:val="000000"/>
        </w:rPr>
        <w:t>.</w:t>
      </w:r>
    </w:p>
    <w:p w14:paraId="068D1A8E" w14:textId="77777777" w:rsidR="00DB2B68" w:rsidRDefault="00000000">
      <w:pPr>
        <w:pStyle w:val="pheading"/>
      </w:pPr>
      <w:r>
        <w:t>- Localisation</w:t>
      </w:r>
    </w:p>
    <w:p w14:paraId="6E407946" w14:textId="77777777" w:rsidR="00DB2B68" w:rsidRDefault="00000000">
      <w:r>
        <w:t xml:space="preserve">La pose est réalisée aux endroits suivants : </w:t>
      </w:r>
      <w:r>
        <w:rPr>
          <w:rStyle w:val="optioncarChar"/>
        </w:rPr>
        <w:t>***</w:t>
      </w:r>
      <w:r>
        <w:t>.</w:t>
      </w:r>
    </w:p>
    <w:p w14:paraId="3A795B68" w14:textId="77777777" w:rsidR="00DB2B68" w:rsidRDefault="00000000">
      <w:r>
        <w:t>Voir plans et métrés détaillés.</w:t>
      </w:r>
    </w:p>
    <w:p w14:paraId="5CB46AB0" w14:textId="77777777" w:rsidR="00DB2B68" w:rsidRDefault="00000000">
      <w:pPr>
        <w:pStyle w:val="pheading"/>
      </w:pPr>
      <w:r>
        <w:t>MESURAGE</w:t>
      </w:r>
    </w:p>
    <w:p w14:paraId="106DCDD6" w14:textId="77777777" w:rsidR="00DB2B68" w:rsidRDefault="00000000">
      <w:pPr>
        <w:pStyle w:val="pheading"/>
      </w:pPr>
      <w:r>
        <w:t>- unité de mesure:</w:t>
      </w:r>
    </w:p>
    <w:p w14:paraId="5F7E53CC" w14:textId="77777777" w:rsidR="00DB2B68" w:rsidRDefault="00000000">
      <w:r>
        <w:rPr>
          <w:rStyle w:val="optioncarChar"/>
        </w:rPr>
        <w:lastRenderedPageBreak/>
        <w:t>m² </w:t>
      </w:r>
      <w:r>
        <w:rPr>
          <w:rStyle w:val="optioncarChar"/>
          <w:color w:val="000000"/>
        </w:rPr>
        <w:t>(par défaut)</w:t>
      </w:r>
      <w:r>
        <w:rPr>
          <w:rStyle w:val="optioncarChar"/>
        </w:rPr>
        <w:t> / m³</w:t>
      </w:r>
    </w:p>
    <w:p w14:paraId="0C6196C6" w14:textId="77777777" w:rsidR="00DB2B68" w:rsidRDefault="00000000">
      <w:pPr>
        <w:spacing w:after="0" w:line="0" w:lineRule="atLeast"/>
      </w:pPr>
      <w:r>
        <w:rPr>
          <w:b/>
          <w:color w:val="000000"/>
        </w:rPr>
        <w:t>(soit par défaut)</w:t>
      </w:r>
    </w:p>
    <w:p w14:paraId="16E1DF5B" w14:textId="77777777" w:rsidR="00DB2B68" w:rsidRDefault="00000000">
      <w:pPr>
        <w:spacing w:after="0" w:line="0" w:lineRule="atLeast"/>
      </w:pPr>
      <w:r>
        <w:rPr>
          <w:rStyle w:val="soitChar"/>
        </w:rPr>
        <w:t>1. m²</w:t>
      </w:r>
    </w:p>
    <w:p w14:paraId="72426D16" w14:textId="77777777" w:rsidR="00DB2B68" w:rsidRDefault="00000000">
      <w:pPr>
        <w:spacing w:after="0" w:line="0" w:lineRule="atLeast"/>
      </w:pPr>
      <w:r>
        <w:rPr>
          <w:b/>
          <w:color w:val="000000"/>
        </w:rPr>
        <w:t>(soit)</w:t>
      </w:r>
    </w:p>
    <w:p w14:paraId="795FECAF" w14:textId="77777777" w:rsidR="00DB2B68" w:rsidRDefault="00000000">
      <w:pPr>
        <w:spacing w:after="0" w:line="0" w:lineRule="atLeast"/>
      </w:pPr>
      <w:r>
        <w:rPr>
          <w:rStyle w:val="soitChar"/>
        </w:rPr>
        <w:t>2. m³</w:t>
      </w:r>
    </w:p>
    <w:p w14:paraId="7007F3FA" w14:textId="77777777" w:rsidR="00DB2B68" w:rsidRDefault="00000000">
      <w:pPr>
        <w:pStyle w:val="pheading"/>
      </w:pPr>
      <w:r>
        <w:t>- code de mesurage:</w:t>
      </w:r>
    </w:p>
    <w:p w14:paraId="7C27A824" w14:textId="77777777" w:rsidR="00DB2B68" w:rsidRDefault="00000000">
      <w:pPr>
        <w:spacing w:before="0" w:after="0"/>
      </w:pPr>
      <w:r>
        <w:t>Les maçonneries sont mesurées en fonction de leur forme géométrique.</w:t>
      </w:r>
    </w:p>
    <w:p w14:paraId="186A63B1" w14:textId="77777777" w:rsidR="00DB2B68"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447F4575" w14:textId="77777777" w:rsidR="00DB2B68" w:rsidRDefault="00000000">
      <w:pPr>
        <w:spacing w:before="0" w:after="0"/>
      </w:pPr>
      <w:r>
        <w:t>La coulisse n'est jamais prise en compte.</w:t>
      </w:r>
    </w:p>
    <w:p w14:paraId="61987045" w14:textId="77777777" w:rsidR="00DB2B68" w:rsidRDefault="00DB2B68"/>
    <w:p w14:paraId="3017EDF2"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21101F74" w14:textId="77777777" w:rsidR="00DB2B68" w:rsidRDefault="00000000">
      <w:pPr>
        <w:spacing w:after="0" w:line="252" w:lineRule="auto"/>
      </w:pPr>
      <w:r>
        <w:rPr>
          <w:b/>
          <w:color w:val="000000"/>
        </w:rPr>
        <w:t>(soit par défaut)</w:t>
      </w:r>
    </w:p>
    <w:p w14:paraId="02936402"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B706369" w14:textId="77777777" w:rsidR="00DB2B68" w:rsidRDefault="00000000">
      <w:pPr>
        <w:spacing w:after="0" w:line="252" w:lineRule="auto"/>
      </w:pPr>
      <w:r>
        <w:rPr>
          <w:rStyle w:val="soitChar"/>
        </w:rPr>
        <w:t>Distinction faite suivant l'épaisseur.</w:t>
      </w:r>
    </w:p>
    <w:p w14:paraId="51A2A650" w14:textId="77777777" w:rsidR="00DB2B68" w:rsidRDefault="00000000">
      <w:pPr>
        <w:spacing w:line="252" w:lineRule="auto"/>
      </w:pPr>
      <w:r>
        <w:rPr>
          <w:b/>
          <w:color w:val="000000"/>
        </w:rPr>
        <w:t>(soit)</w:t>
      </w:r>
    </w:p>
    <w:p w14:paraId="67D31C82"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28F99213"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0965BD7F" w14:textId="77777777" w:rsidR="00DB2B68" w:rsidRDefault="00000000">
      <w:pPr>
        <w:ind w:left="750"/>
      </w:pPr>
      <w:r>
        <w:t> </w:t>
      </w:r>
    </w:p>
    <w:p w14:paraId="1F235568" w14:textId="77777777" w:rsidR="00DB2B68" w:rsidRDefault="00000000">
      <w:pPr>
        <w:pStyle w:val="pheading"/>
      </w:pPr>
      <w:r>
        <w:t>- nature du marché:</w:t>
      </w:r>
    </w:p>
    <w:p w14:paraId="299026F6" w14:textId="77777777" w:rsidR="00DB2B68" w:rsidRDefault="00000000">
      <w:r>
        <w:t>QF</w:t>
      </w:r>
    </w:p>
    <w:p w14:paraId="1A337D57" w14:textId="77777777" w:rsidR="00DB2B68" w:rsidRDefault="00000000">
      <w:pPr>
        <w:pStyle w:val="Author-eSectionHeading4Numberless"/>
      </w:pPr>
      <w:bookmarkStart w:id="293" w:name="_Toc220495417"/>
      <w:r>
        <w:t>21.35 Maçonneries de parement en blocs de verre CCTB 01.04</w:t>
      </w:r>
      <w:bookmarkEnd w:id="293"/>
    </w:p>
    <w:p w14:paraId="445C4181" w14:textId="77777777" w:rsidR="00DB2B68" w:rsidRDefault="00000000">
      <w:pPr>
        <w:pStyle w:val="pheading"/>
      </w:pPr>
      <w:bookmarkStart w:id="294" w:name="466"/>
      <w:bookmarkEnd w:id="294"/>
      <w:r>
        <w:t>DESCRIPTION</w:t>
      </w:r>
    </w:p>
    <w:p w14:paraId="2249D5F8" w14:textId="77777777" w:rsidR="00DB2B68" w:rsidRDefault="00000000">
      <w:pPr>
        <w:pStyle w:val="pheading"/>
      </w:pPr>
      <w:r>
        <w:t>- Définition / Comprend</w:t>
      </w:r>
    </w:p>
    <w:p w14:paraId="05A25859" w14:textId="77777777" w:rsidR="00DB2B68" w:rsidRDefault="00000000">
      <w:r>
        <w:t>Renvoi au §</w:t>
      </w:r>
      <w:hyperlink w:anchor="401" w:history="1">
        <w:r>
          <w:rPr>
            <w:color w:val="0000EE"/>
          </w:rPr>
          <w:t>21.45 Blocs de verre individuels</w:t>
        </w:r>
      </w:hyperlink>
    </w:p>
    <w:p w14:paraId="40240C39" w14:textId="77777777" w:rsidR="00DB2B68" w:rsidRDefault="00000000">
      <w:pPr>
        <w:pStyle w:val="Author-eSectionHeading5Numberless"/>
      </w:pPr>
      <w:bookmarkStart w:id="295" w:name="_Toc220495418"/>
      <w:r>
        <w:t>21.35.1 Maçonneries de parement en blocs de verre CCTB 01.05</w:t>
      </w:r>
      <w:bookmarkEnd w:id="295"/>
    </w:p>
    <w:p w14:paraId="41F5C1E5" w14:textId="77777777" w:rsidR="00DB2B68" w:rsidRDefault="00000000">
      <w:pPr>
        <w:pStyle w:val="pheading"/>
      </w:pPr>
      <w:bookmarkStart w:id="296" w:name="407"/>
      <w:bookmarkEnd w:id="296"/>
      <w:r>
        <w:t>DESCRIPTION</w:t>
      </w:r>
    </w:p>
    <w:p w14:paraId="0C1C4A35" w14:textId="77777777" w:rsidR="00DB2B68" w:rsidRDefault="00000000">
      <w:pPr>
        <w:pStyle w:val="pheading"/>
      </w:pPr>
      <w:r>
        <w:t>- Définition / Comprend</w:t>
      </w:r>
    </w:p>
    <w:p w14:paraId="345788D4" w14:textId="77777777" w:rsidR="00DB2B68" w:rsidRDefault="00000000">
      <w:r>
        <w:t>Ce poste comprend toutes les fournitures et les travaux nécessaires en vue de la réalisation de murs translucides préfabriqués et/ou d'éléments de façades en blocs de verre. Conformément aux dispositions générales et/ou spécifiques du cahier spécial des charges, les prix unitaires compris dans ce poste doivent toujours comprendre, soit selon la ventilation au métré récapitulatif, soit dans leur totalité :</w:t>
      </w:r>
    </w:p>
    <w:p w14:paraId="1D2901FD" w14:textId="77777777" w:rsidR="00DB2B68" w:rsidRDefault="00000000">
      <w:pPr>
        <w:pStyle w:val="Author-eListParagraph"/>
        <w:numPr>
          <w:ilvl w:val="0"/>
          <w:numId w:val="266"/>
        </w:numPr>
      </w:pPr>
      <w:r>
        <w:t>la fourniture et la préparation de tous les matériaux c'est-à-dire des blocs ou panneaux, des mortiers, de tous les ancrages et les dispositifs de liaison nécessaires avec les murs, les raccordements aux rives de toiture (solins), l'étanchéité au droit des baies de façade et des rives de toiture, les étanchéités et les bandes d'isolation thermique dans les ébrasements des baies de façade;</w:t>
      </w:r>
    </w:p>
    <w:p w14:paraId="493DF9A3" w14:textId="77777777" w:rsidR="00DB2B68" w:rsidRDefault="00000000">
      <w:pPr>
        <w:pStyle w:val="Author-eListParagraph"/>
        <w:numPr>
          <w:ilvl w:val="0"/>
          <w:numId w:val="266"/>
        </w:numPr>
      </w:pPr>
      <w:r>
        <w:lastRenderedPageBreak/>
        <w:t>la pose proprement dite des blocs de verre ou des panneaux et les éventuelles mesures de protection,</w:t>
      </w:r>
    </w:p>
    <w:p w14:paraId="699EBAED" w14:textId="77777777" w:rsidR="00DB2B68" w:rsidRDefault="00000000">
      <w:pPr>
        <w:pStyle w:val="Author-eListParagraph"/>
        <w:numPr>
          <w:ilvl w:val="0"/>
          <w:numId w:val="266"/>
        </w:numPr>
      </w:pPr>
      <w:r>
        <w:t>l'évidement des joints ou le jointoiement et le parachèvement;</w:t>
      </w:r>
    </w:p>
    <w:p w14:paraId="097618B4" w14:textId="77777777" w:rsidR="00DB2B68" w:rsidRDefault="00000000">
      <w:pPr>
        <w:pStyle w:val="Author-eListParagraph"/>
        <w:numPr>
          <w:ilvl w:val="0"/>
          <w:numId w:val="266"/>
        </w:numPr>
      </w:pPr>
      <w:r>
        <w:t>le nettoyage des blocs de verre et/ou des parties souillées de la façade;</w:t>
      </w:r>
    </w:p>
    <w:p w14:paraId="129E5582" w14:textId="77777777" w:rsidR="00DB2B68" w:rsidRDefault="00000000">
      <w:pPr>
        <w:pStyle w:val="Author-eListParagraph"/>
        <w:numPr>
          <w:ilvl w:val="0"/>
          <w:numId w:val="266"/>
        </w:numPr>
      </w:pPr>
      <w:r>
        <w:t>l'enlèvement des protections;</w:t>
      </w:r>
    </w:p>
    <w:p w14:paraId="5F4324D5" w14:textId="77777777" w:rsidR="00DB2B68" w:rsidRDefault="00000000">
      <w:pPr>
        <w:pStyle w:val="Author-eListParagraph"/>
        <w:numPr>
          <w:ilvl w:val="0"/>
          <w:numId w:val="266"/>
        </w:numPr>
      </w:pPr>
      <w:r>
        <w:t>le déblaiement et le nettoyage du chantier.</w:t>
      </w:r>
    </w:p>
    <w:p w14:paraId="2DE8D998" w14:textId="77777777" w:rsidR="00DB2B68" w:rsidRDefault="00000000">
      <w:pPr>
        <w:pStyle w:val="pheading"/>
      </w:pPr>
      <w:r>
        <w:t>MATÉRIAUX</w:t>
      </w:r>
    </w:p>
    <w:p w14:paraId="58F06A5E" w14:textId="77777777" w:rsidR="00DB2B68" w:rsidRDefault="00000000">
      <w:r>
        <w:t>Les blocs de verre répondent à la [NBN S 23-002] et sont mises en œuvre sous la forme de panneaux préfabriqués ou en tant qu'éléments indépendants, conformément au cahier spécial des charges. Les blocs de verre à double paroi consistent en deux demi-éléments soudés l'un à l'autre, la coulisse contenant uniquement de l'air. Les bords sont revêtus d'une membrane blanche synthétique ou d'une couche de revêtement afin d'améliorer le passage de la lumière. Les blocs de verre sont insensibles aux chocs et aux influences atmosphériques. Les éléments répondent aux exigences de la paroi dans laquelle ils sont (verre A1). Les mortiers hydrofuges et/ou les mortiers de colle satisfont aux prescriptions du fabricant.</w:t>
      </w:r>
    </w:p>
    <w:p w14:paraId="1A2D834C" w14:textId="77777777" w:rsidR="00DB2B68" w:rsidRDefault="00000000">
      <w:pPr>
        <w:pStyle w:val="pheading"/>
      </w:pPr>
      <w:r>
        <w:t>EXÉCUTION / MISE EN ŒUVRE</w:t>
      </w:r>
    </w:p>
    <w:p w14:paraId="5F12CAB5" w14:textId="77777777" w:rsidR="00DB2B68" w:rsidRDefault="00000000">
      <w:r>
        <w:t>Les maçonneries en blocs de verre sont exécutées conformément à la [NBN S 23-002]. Le montage des panneaux préfabriqués se fait uniquement par des ouvriers spécialisés. Pour les panneaux en blocs de verre, l'entrepreneur soumet les notes de calcul et les dessins d'exécution à l'approbation de l'auteur de projet. Ils tiennent compte des directives de la [NBN S 23-002] et de la [NBN EN 1991-1-4] en ce qui concerne l'étanchéité au vent.</w:t>
      </w:r>
    </w:p>
    <w:p w14:paraId="6EF76242" w14:textId="77777777" w:rsidR="00DB2B68" w:rsidRDefault="00000000">
      <w:pPr>
        <w:pStyle w:val="pheading"/>
      </w:pPr>
      <w:r>
        <w:t>AIDE</w:t>
      </w:r>
    </w:p>
    <w:p w14:paraId="23817C62" w14:textId="77777777" w:rsidR="00DB2B68" w:rsidRDefault="00000000">
      <w:r>
        <w:rPr>
          <w:u w:val="single"/>
        </w:rPr>
        <w:t>À l'attention de l'auteur de projet</w:t>
      </w:r>
    </w:p>
    <w:p w14:paraId="398D7F90" w14:textId="77777777" w:rsidR="00DB2B68" w:rsidRDefault="00000000">
      <w:r>
        <w:t>Pour plus d'information, consultez aussi Parois extérieures en blocs de verre [Buildwise Article Revue (1996-04-31)]</w:t>
      </w:r>
    </w:p>
    <w:p w14:paraId="0463877D" w14:textId="77777777" w:rsidR="00DB2B68" w:rsidRDefault="00000000">
      <w:pPr>
        <w:pStyle w:val="Author-eSectionHeading6Numberless"/>
      </w:pPr>
      <w:bookmarkStart w:id="297" w:name="_Toc220495419"/>
      <w:r>
        <w:t>21.35.1a Maçonneries de parement en blocs de verre CCTB 01.11</w:t>
      </w:r>
      <w:bookmarkEnd w:id="297"/>
    </w:p>
    <w:p w14:paraId="79518785" w14:textId="77777777" w:rsidR="00DB2B68" w:rsidRDefault="00000000">
      <w:pPr>
        <w:pStyle w:val="pheading"/>
      </w:pPr>
      <w:r>
        <w:t>DESCRIPTION</w:t>
      </w:r>
    </w:p>
    <w:p w14:paraId="47C8F399" w14:textId="77777777" w:rsidR="00DB2B68" w:rsidRDefault="00000000">
      <w:pPr>
        <w:pStyle w:val="pheading"/>
      </w:pPr>
      <w:r>
        <w:t>- Définition / Comprend</w:t>
      </w:r>
    </w:p>
    <w:p w14:paraId="03361F36" w14:textId="77777777" w:rsidR="00DB2B68" w:rsidRDefault="00000000">
      <w:r>
        <w:t>Il s’agit de la fourniture et la pose de maçonneries de parement en blocs de verre.</w:t>
      </w:r>
    </w:p>
    <w:p w14:paraId="4E57F9F0" w14:textId="77777777" w:rsidR="00DB2B68" w:rsidRDefault="00000000">
      <w:r>
        <w:t xml:space="preserve">La portée des travaux est décrite dans l’article </w:t>
      </w:r>
      <w:hyperlink w:anchor="407" w:history="1">
        <w:r>
          <w:rPr>
            <w:color w:val="0000EE"/>
          </w:rPr>
          <w:t>21.35.1 Maçonneries de parement en blocs de verre</w:t>
        </w:r>
      </w:hyperlink>
      <w:r>
        <w:t>.</w:t>
      </w:r>
    </w:p>
    <w:p w14:paraId="201C432F" w14:textId="77777777" w:rsidR="00DB2B68" w:rsidRDefault="00000000">
      <w:r>
        <w:t>Les travaux comprennent également la fourniture et la pose des panneaux, des isolations périphériques, les couches d'étanchéité et les bavettes de plomb, jusqu'au rejointoiement complet et le ragréage à l'aide d'un mastic élastique, des pièces d’angle, de terminaison et de rencontre.</w:t>
      </w:r>
    </w:p>
    <w:p w14:paraId="774A2821" w14:textId="77777777" w:rsidR="00DB2B68" w:rsidRDefault="00000000">
      <w:r>
        <w:t>Les blocs de verre avec ventilation peuvent, le cas échéant, être comptés séparément comme supplément pour la surface des panneaux.</w:t>
      </w:r>
    </w:p>
    <w:p w14:paraId="72F273D2" w14:textId="77777777" w:rsidR="00DB2B68" w:rsidRDefault="00000000">
      <w:pPr>
        <w:pStyle w:val="pheading"/>
      </w:pPr>
      <w:r>
        <w:t>- Localisation</w:t>
      </w:r>
    </w:p>
    <w:p w14:paraId="5A52269D" w14:textId="77777777" w:rsidR="00DB2B68" w:rsidRDefault="00000000">
      <w:r>
        <w:t xml:space="preserve">La pose est réalisée aux endroits suivants : </w:t>
      </w:r>
      <w:r>
        <w:rPr>
          <w:rStyle w:val="optioncarChar"/>
        </w:rPr>
        <w:t>***</w:t>
      </w:r>
      <w:r>
        <w:t>.</w:t>
      </w:r>
    </w:p>
    <w:p w14:paraId="1CA04175" w14:textId="77777777" w:rsidR="00DB2B68" w:rsidRDefault="00000000">
      <w:r>
        <w:t>Voir plans et métrés détaillés.</w:t>
      </w:r>
    </w:p>
    <w:p w14:paraId="4AFBF8F9" w14:textId="77777777" w:rsidR="00DB2B68" w:rsidRDefault="00000000">
      <w:pPr>
        <w:pStyle w:val="pheading"/>
      </w:pPr>
      <w:r>
        <w:t>MATÉRIAUX</w:t>
      </w:r>
    </w:p>
    <w:p w14:paraId="3F8B4FA2" w14:textId="77777777" w:rsidR="00DB2B68" w:rsidRDefault="00000000">
      <w:pPr>
        <w:pStyle w:val="pheading"/>
      </w:pPr>
      <w:r>
        <w:t>- Caractéristiques générales</w:t>
      </w:r>
    </w:p>
    <w:p w14:paraId="5E7AD842" w14:textId="77777777" w:rsidR="00DB2B68" w:rsidRDefault="00000000">
      <w:pPr>
        <w:pStyle w:val="heading"/>
      </w:pPr>
      <w:r>
        <w:t>Spécifications</w:t>
      </w:r>
    </w:p>
    <w:p w14:paraId="29C75716" w14:textId="77777777" w:rsidR="00DB2B68" w:rsidRDefault="00000000">
      <w:r>
        <w:t xml:space="preserve">Format des blocs de verre (mm) : </w:t>
      </w:r>
      <w:r>
        <w:rPr>
          <w:rStyle w:val="optioncarChar"/>
        </w:rPr>
        <w:t>145 x 145 x 55 / 190 x 190 x 80</w:t>
      </w:r>
      <w:r>
        <w:t> (par défaut) </w:t>
      </w:r>
      <w:r>
        <w:rPr>
          <w:rStyle w:val="optioncarChar"/>
        </w:rPr>
        <w:t>/ 240 x 240 x 80 / 240 x 115 x 80 / 300 x 300 x 100 / *** x *** x ***</w:t>
      </w:r>
      <w:r>
        <w:t xml:space="preserve"> mm</w:t>
      </w:r>
    </w:p>
    <w:p w14:paraId="5F64AB2D" w14:textId="77777777" w:rsidR="00DB2B68" w:rsidRDefault="00000000">
      <w:r>
        <w:t xml:space="preserve">Aspect des blocs de verre : </w:t>
      </w:r>
      <w:r>
        <w:rPr>
          <w:rStyle w:val="optioncarChar"/>
        </w:rPr>
        <w:t xml:space="preserve">lisse uni </w:t>
      </w:r>
      <w:r>
        <w:t>(par défaut) </w:t>
      </w:r>
      <w:r>
        <w:rPr>
          <w:rStyle w:val="optioncarChar"/>
        </w:rPr>
        <w:t>/ lisse strié / lisse ondé / ***</w:t>
      </w:r>
    </w:p>
    <w:p w14:paraId="3407C26D" w14:textId="77777777" w:rsidR="00DB2B68" w:rsidRDefault="00000000">
      <w:r>
        <w:lastRenderedPageBreak/>
        <w:t>Valeur d'isolation acoustique : environ 36dB</w:t>
      </w:r>
    </w:p>
    <w:p w14:paraId="28BAAAB6" w14:textId="77777777" w:rsidR="00DB2B68" w:rsidRDefault="00000000">
      <w:r>
        <w:t xml:space="preserve">Valeur d'isolation thermique : k </w:t>
      </w:r>
      <w:r>
        <w:rPr>
          <w:u w:val="single"/>
        </w:rPr>
        <w:t>&lt;</w:t>
      </w:r>
      <w:r>
        <w:t xml:space="preserve"> 2,6 kcal/m</w:t>
      </w:r>
      <w:r>
        <w:rPr>
          <w:vertAlign w:val="superscript"/>
        </w:rPr>
        <w:t>2</w:t>
      </w:r>
      <w:r>
        <w:t xml:space="preserve"> (ne s'applique pas aux éléments de ventilation).</w:t>
      </w:r>
    </w:p>
    <w:p w14:paraId="1C33DD2A" w14:textId="77777777" w:rsidR="00DB2B68" w:rsidRDefault="00000000">
      <w:pPr>
        <w:pStyle w:val="pheading"/>
      </w:pPr>
      <w:r>
        <w:t>- Finitions</w:t>
      </w:r>
    </w:p>
    <w:p w14:paraId="0CB84DF5" w14:textId="77777777" w:rsidR="00DB2B68" w:rsidRDefault="00000000">
      <w:r>
        <w:t xml:space="preserve">Couleur des blocs de verre : </w:t>
      </w:r>
      <w:r>
        <w:rPr>
          <w:rStyle w:val="optioncarChar"/>
        </w:rPr>
        <w:t>transparentes claires / ***</w:t>
      </w:r>
    </w:p>
    <w:p w14:paraId="15935E3D" w14:textId="77777777" w:rsidR="00DB2B68" w:rsidRDefault="00000000">
      <w:pPr>
        <w:pStyle w:val="pheading"/>
      </w:pPr>
      <w:r>
        <w:t>- Prescriptions complémentaires</w:t>
      </w:r>
    </w:p>
    <w:p w14:paraId="51930068" w14:textId="77777777" w:rsidR="00DB2B68" w:rsidRDefault="00000000">
      <w:r>
        <w:t xml:space="preserve">Eléments de ventilation : les blocs de verre avec ventilation répondent à la [NBN S 23-002] et ont une </w:t>
      </w:r>
      <w:r>
        <w:rPr>
          <w:rStyle w:val="optioncarChar"/>
        </w:rPr>
        <w:t>ouverture fixe / un clapet réglable / un clapet réglable avec moustiquaire</w:t>
      </w:r>
      <w:r>
        <w:t xml:space="preserve">, passage libre de l'air de </w:t>
      </w:r>
      <w:r>
        <w:rPr>
          <w:rStyle w:val="optioncarChar"/>
        </w:rPr>
        <w:t>25 / ***</w:t>
      </w:r>
      <w:r>
        <w:t xml:space="preserve"> %. L'application est conforme aux indications sur les plans et/ou aux dessins d'exécution. Les revêtements des façades des bâtiments faisant partie du domaine d’application de l’arrêté royal normes de prévention de base [AR 1994-07-07] sont soumis à des exigences de réaction au feu : D-s3, d1 pour les bâtiments bas et B-s3, d1 pour les bâtiments moyens et élevés. Pour les bâtiments moyens (BM) et élevés (BE) soumis aux exigences de l’arrêté royal normes de prévention de base [AR 1994-07-07], si les façades vitrées du bâtiment dominent des constructions faisant ou non partie de ce bâtiment :</w:t>
      </w:r>
    </w:p>
    <w:p w14:paraId="0F83831B" w14:textId="77777777" w:rsidR="00DB2B68" w:rsidRDefault="00000000">
      <w:pPr>
        <w:pStyle w:val="Author-eListParagraph"/>
        <w:numPr>
          <w:ilvl w:val="0"/>
          <w:numId w:val="267"/>
        </w:numPr>
      </w:pPr>
      <w:r>
        <w:t>soit les toitures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DB2B68" w14:paraId="2081166D" w14:textId="77777777">
        <w:tc>
          <w:tcPr>
            <w:tcW w:w="4515" w:type="dxa"/>
            <w:noWrap/>
          </w:tcPr>
          <w:p w14:paraId="434956CF" w14:textId="77777777" w:rsidR="00DB2B68" w:rsidRDefault="00000000">
            <w:r>
              <w:t>Distance horizontale à partir des façades, a</w:t>
            </w:r>
          </w:p>
        </w:tc>
        <w:tc>
          <w:tcPr>
            <w:tcW w:w="4515" w:type="dxa"/>
            <w:noWrap/>
          </w:tcPr>
          <w:p w14:paraId="6F941F49" w14:textId="77777777" w:rsidR="00DB2B68" w:rsidRDefault="00000000">
            <w:r>
              <w:t>Exigences en matière de résistance au feu</w:t>
            </w:r>
          </w:p>
        </w:tc>
      </w:tr>
      <w:tr w:rsidR="00DB2B68" w14:paraId="2D0846EF" w14:textId="77777777">
        <w:tc>
          <w:tcPr>
            <w:tcW w:w="4515" w:type="dxa"/>
            <w:noWrap/>
          </w:tcPr>
          <w:p w14:paraId="13462473" w14:textId="77777777" w:rsidR="00DB2B68" w:rsidRDefault="00000000">
            <w:r>
              <w:t>a &lt; 1 m</w:t>
            </w:r>
          </w:p>
        </w:tc>
        <w:tc>
          <w:tcPr>
            <w:tcW w:w="4515" w:type="dxa"/>
            <w:noWrap/>
          </w:tcPr>
          <w:p w14:paraId="04F102E2" w14:textId="77777777" w:rsidR="00DB2B68" w:rsidRDefault="00000000">
            <w:r>
              <w:t>EI 60 (BM) EI 120 (BE)</w:t>
            </w:r>
          </w:p>
        </w:tc>
      </w:tr>
      <w:tr w:rsidR="00DB2B68" w14:paraId="20E2E8EC" w14:textId="77777777">
        <w:tc>
          <w:tcPr>
            <w:tcW w:w="4515" w:type="dxa"/>
            <w:noWrap/>
          </w:tcPr>
          <w:p w14:paraId="31960675" w14:textId="77777777" w:rsidR="00DB2B68" w:rsidRDefault="00000000">
            <w:r>
              <w:t>1 m &lt; a &lt; 5 m</w:t>
            </w:r>
          </w:p>
        </w:tc>
        <w:tc>
          <w:tcPr>
            <w:tcW w:w="4515" w:type="dxa"/>
            <w:noWrap/>
          </w:tcPr>
          <w:p w14:paraId="638282DB" w14:textId="77777777" w:rsidR="00DB2B68" w:rsidRDefault="00000000">
            <w:r>
              <w:t>E 60 (BM) E 120 (BE)</w:t>
            </w:r>
          </w:p>
        </w:tc>
      </w:tr>
    </w:tbl>
    <w:p w14:paraId="3C0E65A6" w14:textId="77777777" w:rsidR="00DB2B68" w:rsidRDefault="00000000">
      <w:pPr>
        <w:pStyle w:val="Author-eListParagraph"/>
        <w:numPr>
          <w:ilvl w:val="0"/>
          <w:numId w:val="268"/>
        </w:numPr>
      </w:pPr>
      <w:r>
        <w:t>soit les façades du bâtiment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DB2B68" w14:paraId="6B252B50" w14:textId="77777777">
        <w:tc>
          <w:tcPr>
            <w:tcW w:w="4515" w:type="dxa"/>
            <w:noWrap/>
          </w:tcPr>
          <w:p w14:paraId="0F5E68D3" w14:textId="77777777" w:rsidR="00DB2B68" w:rsidRDefault="00000000">
            <w:r>
              <w:t>Hauteur mesurée à partir de la toiture, b</w:t>
            </w:r>
          </w:p>
        </w:tc>
        <w:tc>
          <w:tcPr>
            <w:tcW w:w="4515" w:type="dxa"/>
            <w:noWrap/>
          </w:tcPr>
          <w:p w14:paraId="33E82020" w14:textId="77777777" w:rsidR="00DB2B68" w:rsidRDefault="00000000">
            <w:r>
              <w:t>Exigences en matière de résistance au feu</w:t>
            </w:r>
          </w:p>
        </w:tc>
      </w:tr>
      <w:tr w:rsidR="00DB2B68" w14:paraId="623B1807" w14:textId="77777777">
        <w:tc>
          <w:tcPr>
            <w:tcW w:w="4515" w:type="dxa"/>
            <w:noWrap/>
          </w:tcPr>
          <w:p w14:paraId="0BFB850A" w14:textId="77777777" w:rsidR="00DB2B68" w:rsidRDefault="00000000">
            <w:r>
              <w:t>b &lt; 3 m</w:t>
            </w:r>
          </w:p>
        </w:tc>
        <w:tc>
          <w:tcPr>
            <w:tcW w:w="4515" w:type="dxa"/>
            <w:noWrap/>
          </w:tcPr>
          <w:p w14:paraId="4B2B968A" w14:textId="77777777" w:rsidR="00DB2B68" w:rsidRDefault="00000000">
            <w:r>
              <w:t xml:space="preserve">(BM) EI 60 </w:t>
            </w:r>
            <w:r>
              <w:rPr>
                <w:vertAlign w:val="subscript"/>
              </w:rPr>
              <w:t>( i ← o )</w:t>
            </w:r>
            <w:r>
              <w:t xml:space="preserve">(BE) EI 120 </w:t>
            </w:r>
            <w:r>
              <w:rPr>
                <w:vertAlign w:val="subscript"/>
              </w:rPr>
              <w:t>( i ← o )</w:t>
            </w:r>
          </w:p>
        </w:tc>
      </w:tr>
      <w:tr w:rsidR="00DB2B68" w14:paraId="11116255" w14:textId="77777777">
        <w:tc>
          <w:tcPr>
            <w:tcW w:w="4515" w:type="dxa"/>
            <w:noWrap/>
          </w:tcPr>
          <w:p w14:paraId="1015B3F7" w14:textId="77777777" w:rsidR="00DB2B68" w:rsidRDefault="00000000">
            <w:r>
              <w:t>3 m &lt; b &lt; 8 m</w:t>
            </w:r>
          </w:p>
        </w:tc>
        <w:tc>
          <w:tcPr>
            <w:tcW w:w="4515" w:type="dxa"/>
            <w:noWrap/>
          </w:tcPr>
          <w:p w14:paraId="2BA5C207" w14:textId="77777777" w:rsidR="00DB2B68" w:rsidRDefault="00000000">
            <w:r>
              <w:t xml:space="preserve">(BM) E 60 </w:t>
            </w:r>
            <w:r>
              <w:rPr>
                <w:vertAlign w:val="subscript"/>
              </w:rPr>
              <w:t>( i ← o )</w:t>
            </w:r>
            <w:r>
              <w:t xml:space="preserve">(BE) E 120 </w:t>
            </w:r>
            <w:r>
              <w:rPr>
                <w:vertAlign w:val="subscript"/>
              </w:rPr>
              <w:t>( i ← o )</w:t>
            </w:r>
          </w:p>
        </w:tc>
      </w:tr>
    </w:tbl>
    <w:p w14:paraId="62F61DE9" w14:textId="77777777" w:rsidR="00DB2B68" w:rsidRDefault="00000000">
      <w:pPr>
        <w:pStyle w:val="pheading"/>
      </w:pPr>
      <w:r>
        <w:t>EXÉCUTION / MISE EN ŒUVRE</w:t>
      </w:r>
    </w:p>
    <w:p w14:paraId="16E654FB" w14:textId="77777777" w:rsidR="00DB2B68" w:rsidRDefault="00000000">
      <w:pPr>
        <w:pStyle w:val="pheading"/>
      </w:pPr>
      <w:r>
        <w:t>- Prescriptions générales</w:t>
      </w:r>
    </w:p>
    <w:p w14:paraId="1D56D2CA" w14:textId="77777777" w:rsidR="00DB2B68" w:rsidRDefault="00000000">
      <w:r>
        <w:t xml:space="preserve">Les blocs de verre isolés sont insérés dans la maçonnerie à l'aide de mortier de maçonnerie, les joints entre les blocs de verre présentent une épaisseur constante de </w:t>
      </w:r>
      <w:r>
        <w:rPr>
          <w:rStyle w:val="optioncarChar"/>
        </w:rPr>
        <w:t xml:space="preserve">10 </w:t>
      </w:r>
      <w:r>
        <w:t>(par défaut) </w:t>
      </w:r>
      <w:r>
        <w:rPr>
          <w:rStyle w:val="optioncarChar"/>
        </w:rPr>
        <w:t>/ ***</w:t>
      </w:r>
      <w:r>
        <w:t xml:space="preserve"> mm. Pendant la mise en œuvre, les blocs sont nettoyés et lissés, il est conseillé de les enduire préalablement d'une couche protectrice. Tous les joints sont lissés et doivent être étanches.</w:t>
      </w:r>
    </w:p>
    <w:p w14:paraId="26E14C4D" w14:textId="77777777" w:rsidR="00DB2B68" w:rsidRDefault="00000000">
      <w:r>
        <w:t>Dans tous les joints verticaux et horizontaux, on prévoit des armatures, en fonction des sollicitations dues au vent. Tous les joints, tant verticaux qu'horizontaux, sont armés d'au moins deux barres BE 500 diamètre 5 mm; ces barres se situent à au moins 20 mm des faces extérieures.</w:t>
      </w:r>
    </w:p>
    <w:p w14:paraId="2C38F34D" w14:textId="77777777" w:rsidR="00DB2B68" w:rsidRDefault="00000000">
      <w:r>
        <w:t xml:space="preserve">La face inférieure et tous les autres bords incorporés reçoivent une bande bitumineuse d’une épaisseur de 1 cm. Lorsque la base repose sur un seuil approprié (voir l'article </w:t>
      </w:r>
      <w:r>
        <w:rPr>
          <w:rStyle w:val="optioncarChar"/>
        </w:rPr>
        <w:t>***</w:t>
      </w:r>
      <w:r>
        <w:t>),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14:paraId="1FDA95D6" w14:textId="77777777" w:rsidR="00DB2B68" w:rsidRDefault="00000000">
      <w:pPr>
        <w:pStyle w:val="pheading"/>
      </w:pPr>
      <w:r>
        <w:t>- Notes d’exécution complémentaires</w:t>
      </w:r>
    </w:p>
    <w:p w14:paraId="1FB2E373" w14:textId="77777777" w:rsidR="00DB2B68" w:rsidRDefault="00000000">
      <w:r>
        <w:t>Les blocs de verre individuels ventilés sont intégrés dans la maçonnerie à l'aide de mortier de maçonnerie.</w:t>
      </w:r>
    </w:p>
    <w:p w14:paraId="2CCC68CD" w14:textId="77777777" w:rsidR="00DB2B68" w:rsidRDefault="00000000">
      <w:r>
        <w:t xml:space="preserve">A l'intérieur, les niches sont parachevées à l'aide </w:t>
      </w:r>
      <w:r>
        <w:rPr>
          <w:rStyle w:val="optioncarChar"/>
        </w:rPr>
        <w:t xml:space="preserve">d'un cimentage / d'un plafonnage </w:t>
      </w:r>
      <w:r>
        <w:rPr>
          <w:rStyle w:val="optioncarChar"/>
          <w:color w:val="000000"/>
        </w:rPr>
        <w:t>(par défaut)</w:t>
      </w:r>
      <w:r>
        <w:t>.</w:t>
      </w:r>
    </w:p>
    <w:p w14:paraId="38DD58E4" w14:textId="77777777" w:rsidR="00DB2B68" w:rsidRDefault="00000000">
      <w:pPr>
        <w:ind w:left="750"/>
      </w:pPr>
      <w:r>
        <w:t> </w:t>
      </w:r>
    </w:p>
    <w:p w14:paraId="1EA7E332" w14:textId="77777777" w:rsidR="00DB2B68" w:rsidRDefault="00000000">
      <w:pPr>
        <w:pStyle w:val="pheading"/>
      </w:pPr>
      <w:r>
        <w:t>MESURAGE</w:t>
      </w:r>
    </w:p>
    <w:p w14:paraId="29C3A9C4" w14:textId="77777777" w:rsidR="00DB2B68" w:rsidRDefault="00000000">
      <w:pPr>
        <w:pStyle w:val="pheading"/>
      </w:pPr>
      <w:r>
        <w:t>- unité de mesure:</w:t>
      </w:r>
    </w:p>
    <w:p w14:paraId="52548B4F" w14:textId="77777777" w:rsidR="00DB2B68" w:rsidRDefault="00000000">
      <w:r>
        <w:rPr>
          <w:rStyle w:val="optioncarChar"/>
        </w:rPr>
        <w:t>m² </w:t>
      </w:r>
      <w:r>
        <w:rPr>
          <w:rStyle w:val="optioncarChar"/>
          <w:color w:val="000000"/>
        </w:rPr>
        <w:t>(par défaut)</w:t>
      </w:r>
      <w:r>
        <w:rPr>
          <w:rStyle w:val="optioncarChar"/>
        </w:rPr>
        <w:t> / m³ / pc</w:t>
      </w:r>
    </w:p>
    <w:p w14:paraId="10713E01" w14:textId="77777777" w:rsidR="00DB2B68" w:rsidRDefault="00000000">
      <w:pPr>
        <w:spacing w:after="0" w:line="0" w:lineRule="atLeast"/>
      </w:pPr>
      <w:r>
        <w:rPr>
          <w:b/>
          <w:color w:val="000000"/>
        </w:rPr>
        <w:lastRenderedPageBreak/>
        <w:t>(soit par défaut)</w:t>
      </w:r>
    </w:p>
    <w:p w14:paraId="636459D8" w14:textId="77777777" w:rsidR="00DB2B68" w:rsidRDefault="00000000">
      <w:pPr>
        <w:spacing w:after="0" w:line="0" w:lineRule="atLeast"/>
      </w:pPr>
      <w:r>
        <w:rPr>
          <w:rStyle w:val="soitChar"/>
        </w:rPr>
        <w:t>1. m²</w:t>
      </w:r>
    </w:p>
    <w:p w14:paraId="1BD79720" w14:textId="77777777" w:rsidR="00DB2B68" w:rsidRDefault="00000000">
      <w:pPr>
        <w:spacing w:after="0" w:line="0" w:lineRule="atLeast"/>
      </w:pPr>
      <w:r>
        <w:rPr>
          <w:b/>
          <w:color w:val="000000"/>
        </w:rPr>
        <w:t>(soit)</w:t>
      </w:r>
    </w:p>
    <w:p w14:paraId="38CD706E" w14:textId="77777777" w:rsidR="00DB2B68" w:rsidRDefault="00000000">
      <w:pPr>
        <w:spacing w:after="0" w:line="0" w:lineRule="atLeast"/>
      </w:pPr>
      <w:r>
        <w:rPr>
          <w:rStyle w:val="soitChar"/>
        </w:rPr>
        <w:t>2. m³</w:t>
      </w:r>
    </w:p>
    <w:p w14:paraId="3C5F0294" w14:textId="77777777" w:rsidR="00DB2B68" w:rsidRDefault="00000000">
      <w:pPr>
        <w:spacing w:after="0" w:line="0" w:lineRule="atLeast"/>
      </w:pPr>
      <w:r>
        <w:rPr>
          <w:b/>
          <w:color w:val="000000"/>
        </w:rPr>
        <w:t>(soit)</w:t>
      </w:r>
    </w:p>
    <w:p w14:paraId="23F2C0B5" w14:textId="77777777" w:rsidR="00DB2B68" w:rsidRDefault="00000000">
      <w:pPr>
        <w:spacing w:after="0" w:line="0" w:lineRule="atLeast"/>
      </w:pPr>
      <w:r>
        <w:rPr>
          <w:rStyle w:val="soitChar"/>
        </w:rPr>
        <w:t>3. pc</w:t>
      </w:r>
    </w:p>
    <w:p w14:paraId="32D7AA89" w14:textId="77777777" w:rsidR="00DB2B68" w:rsidRDefault="00000000">
      <w:pPr>
        <w:pStyle w:val="pheading"/>
      </w:pPr>
      <w:r>
        <w:t>- code de mesurage:</w:t>
      </w:r>
    </w:p>
    <w:p w14:paraId="16B607E3" w14:textId="77777777" w:rsidR="00DB2B68" w:rsidRDefault="00000000">
      <w:r>
        <w:rPr>
          <w:rStyle w:val="optioncarChar"/>
        </w:rPr>
        <w:t>Surface nette </w:t>
      </w:r>
      <w:r>
        <w:rPr>
          <w:rStyle w:val="optioncarChar"/>
          <w:color w:val="000000"/>
        </w:rPr>
        <w:t>(par défaut)</w:t>
      </w:r>
      <w:r>
        <w:rPr>
          <w:rStyle w:val="optioncarChar"/>
        </w:rPr>
        <w:t> / volume net / à la pièce</w:t>
      </w:r>
    </w:p>
    <w:p w14:paraId="60595931" w14:textId="77777777" w:rsidR="00DB2B68" w:rsidRDefault="00000000">
      <w:pPr>
        <w:spacing w:after="0" w:line="252" w:lineRule="auto"/>
      </w:pPr>
      <w:r>
        <w:rPr>
          <w:b/>
          <w:color w:val="000000"/>
        </w:rPr>
        <w:t>(soit par défaut)</w:t>
      </w:r>
    </w:p>
    <w:p w14:paraId="5EBFA2D0" w14:textId="77777777" w:rsidR="00DB2B68" w:rsidRDefault="00000000">
      <w:pPr>
        <w:spacing w:after="0" w:line="252" w:lineRule="auto"/>
      </w:pPr>
      <w:r>
        <w:rPr>
          <w:rStyle w:val="soitChar"/>
          <w:u w:val="single"/>
        </w:rPr>
        <w:t>Surface nette</w:t>
      </w:r>
      <w:r>
        <w:rPr>
          <w:rStyle w:val="soitChar"/>
        </w:rPr>
        <w:t>  du parement ; la surface apparente nette visible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8D5E29F" w14:textId="77777777" w:rsidR="00DB2B68" w:rsidRDefault="00000000">
      <w:pPr>
        <w:spacing w:after="0" w:line="252" w:lineRule="auto"/>
      </w:pPr>
      <w:r>
        <w:rPr>
          <w:rStyle w:val="soitChar"/>
        </w:rPr>
        <w:t>Distinction faite suivant l'épaisseur.</w:t>
      </w:r>
    </w:p>
    <w:p w14:paraId="4063DE87" w14:textId="77777777" w:rsidR="00DB2B68" w:rsidRDefault="00000000">
      <w:pPr>
        <w:spacing w:line="252" w:lineRule="auto"/>
      </w:pPr>
      <w:r>
        <w:rPr>
          <w:b/>
          <w:color w:val="000000"/>
        </w:rPr>
        <w:t>(soit)</w:t>
      </w:r>
    </w:p>
    <w:p w14:paraId="525CC91E"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4C9C6933"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277CB98C" w14:textId="77777777" w:rsidR="00DB2B68" w:rsidRDefault="00000000">
      <w:pPr>
        <w:spacing w:line="252" w:lineRule="auto"/>
      </w:pPr>
      <w:r>
        <w:rPr>
          <w:b/>
          <w:color w:val="000000"/>
        </w:rPr>
        <w:t>(soit)</w:t>
      </w:r>
    </w:p>
    <w:p w14:paraId="76E6F889" w14:textId="77777777" w:rsidR="00DB2B68" w:rsidRDefault="00000000">
      <w:pPr>
        <w:spacing w:line="252" w:lineRule="auto"/>
      </w:pPr>
      <w:r>
        <w:rPr>
          <w:rStyle w:val="soitChar"/>
          <w:u w:val="single"/>
        </w:rPr>
        <w:t xml:space="preserve">A la pièce </w:t>
      </w:r>
      <w:r>
        <w:rPr>
          <w:rStyle w:val="soitChar"/>
        </w:rPr>
        <w:t>; quantité nette à poser. Aucun volume n'est compté deux fois.</w:t>
      </w:r>
    </w:p>
    <w:p w14:paraId="15D9A751" w14:textId="77777777" w:rsidR="00DB2B68" w:rsidRDefault="00000000">
      <w:pPr>
        <w:pStyle w:val="pheading"/>
      </w:pPr>
      <w:r>
        <w:t>- nature du marché:</w:t>
      </w:r>
    </w:p>
    <w:p w14:paraId="59F49887" w14:textId="77777777" w:rsidR="00DB2B68" w:rsidRDefault="00000000">
      <w:r>
        <w:t>QF</w:t>
      </w:r>
    </w:p>
    <w:p w14:paraId="178C6589" w14:textId="77777777" w:rsidR="00DB2B68" w:rsidRDefault="00000000">
      <w:pPr>
        <w:pStyle w:val="Author-eSectionHeading6Numberless"/>
      </w:pPr>
      <w:bookmarkStart w:id="298" w:name="_Toc220495420"/>
      <w:r>
        <w:t>21.35.1b Maçonneries de parement en panneaux préfabriqués en blocs de verre CCTB 01.11</w:t>
      </w:r>
      <w:bookmarkEnd w:id="298"/>
    </w:p>
    <w:p w14:paraId="0020013B" w14:textId="77777777" w:rsidR="00DB2B68" w:rsidRDefault="00000000">
      <w:pPr>
        <w:pStyle w:val="pheading"/>
      </w:pPr>
      <w:r>
        <w:t>DESCRIPTION</w:t>
      </w:r>
    </w:p>
    <w:p w14:paraId="66DBDA58" w14:textId="77777777" w:rsidR="00DB2B68" w:rsidRDefault="00000000">
      <w:pPr>
        <w:pStyle w:val="pheading"/>
      </w:pPr>
      <w:r>
        <w:t>- Définition / Comprend</w:t>
      </w:r>
    </w:p>
    <w:p w14:paraId="1B545EBA" w14:textId="77777777" w:rsidR="00DB2B68" w:rsidRDefault="00000000">
      <w:r>
        <w:t>Il s’agit de la fourniture et la pose de maçonneries de parement en blocs de verre.</w:t>
      </w:r>
    </w:p>
    <w:p w14:paraId="0EC2D7FF" w14:textId="77777777" w:rsidR="00DB2B68" w:rsidRDefault="00000000">
      <w:r>
        <w:t xml:space="preserve">La portée des travaux est décrite dans l’article </w:t>
      </w:r>
      <w:hyperlink w:anchor="407" w:history="1">
        <w:r>
          <w:rPr>
            <w:color w:val="0000EE"/>
          </w:rPr>
          <w:t>21.35.1 Maçonneries de parement en blocs de verre</w:t>
        </w:r>
      </w:hyperlink>
      <w:r>
        <w:t>.</w:t>
      </w:r>
    </w:p>
    <w:p w14:paraId="63E4FD9E" w14:textId="77777777" w:rsidR="00DB2B68" w:rsidRDefault="00000000">
      <w:r>
        <w:t>Les travaux comprennent également la fourniture et la pose des panneaux, des isolations périphériques, les couches d'étanchéité et les bavettes de plomb, jusqu'au rejointoiement complet et le ragréage à l'aide d'un mastic élastique, des pièces d’angle, de terminaison et de rencontre.</w:t>
      </w:r>
    </w:p>
    <w:p w14:paraId="62E28823" w14:textId="77777777" w:rsidR="00DB2B68" w:rsidRDefault="00000000">
      <w:r>
        <w:t>Les blocs de verre avec ventilation peuvent, le cas échéant, être comptés séparément comme supplément pour la surface des panneaux.</w:t>
      </w:r>
    </w:p>
    <w:p w14:paraId="278D9C94" w14:textId="77777777" w:rsidR="00DB2B68" w:rsidRDefault="00000000">
      <w:pPr>
        <w:pStyle w:val="pheading"/>
      </w:pPr>
      <w:r>
        <w:t>- Localisation</w:t>
      </w:r>
    </w:p>
    <w:p w14:paraId="7EBCA8E3" w14:textId="77777777" w:rsidR="00DB2B68" w:rsidRDefault="00000000">
      <w:r>
        <w:t xml:space="preserve">La pose est réalisée aux endroits suivants : </w:t>
      </w:r>
      <w:r>
        <w:rPr>
          <w:rStyle w:val="optioncarChar"/>
        </w:rPr>
        <w:t>***</w:t>
      </w:r>
      <w:r>
        <w:t>.</w:t>
      </w:r>
    </w:p>
    <w:p w14:paraId="26A8057A" w14:textId="77777777" w:rsidR="00DB2B68" w:rsidRDefault="00000000">
      <w:r>
        <w:t>Voir plans et métrés détaillés.</w:t>
      </w:r>
    </w:p>
    <w:p w14:paraId="16E6DA49" w14:textId="77777777" w:rsidR="00DB2B68" w:rsidRDefault="00000000">
      <w:pPr>
        <w:pStyle w:val="pheading"/>
      </w:pPr>
      <w:r>
        <w:t>MATÉRIAUX</w:t>
      </w:r>
    </w:p>
    <w:p w14:paraId="3150E881" w14:textId="77777777" w:rsidR="00DB2B68" w:rsidRDefault="00000000">
      <w:pPr>
        <w:pStyle w:val="pheading"/>
      </w:pPr>
      <w:r>
        <w:t>- Caractéristiques générales</w:t>
      </w:r>
    </w:p>
    <w:p w14:paraId="07F4695E" w14:textId="77777777" w:rsidR="00DB2B68" w:rsidRDefault="00000000">
      <w:r>
        <w:t xml:space="preserve">Il s'agit de blocs de verre préassemblés dans des cadres préfabriqués sur mesure, en vue de constituer des panneaux. Le montage est effectué par une firme spécialisée. Latéralement, les panneaux sont ancrés dans la maçonnerie à l'aide d'armatures dépassants, d'un diamètre d'environ 1 cm; ces armatures permettent la fixation des panneaux et sont maçonnées dans la maçonnerie </w:t>
      </w:r>
      <w:r>
        <w:lastRenderedPageBreak/>
        <w:t>attenante. L'entrepreneur soumet les notes de calcul et les détails d'exécution des panneaux préfabriqués en blocs de verre pour approbation à l'auteur de projet. Ils respectent la [NBN S 23-002] et la [NBN EN 1991-1-4] en ce qui concerne l'étanchéité des murs extérieurs.</w:t>
      </w:r>
    </w:p>
    <w:p w14:paraId="467B0015" w14:textId="77777777" w:rsidR="00DB2B68" w:rsidRDefault="00000000">
      <w:pPr>
        <w:pStyle w:val="heading"/>
      </w:pPr>
      <w:r>
        <w:t>Spécifications</w:t>
      </w:r>
    </w:p>
    <w:p w14:paraId="77BF03A9" w14:textId="77777777" w:rsidR="00DB2B68" w:rsidRDefault="00000000">
      <w:r>
        <w:t xml:space="preserve">Cadre: </w:t>
      </w:r>
      <w:r>
        <w:rPr>
          <w:rStyle w:val="optioncarChar"/>
        </w:rPr>
        <w:t>cadre en béton (d'au moins 5 </w:t>
      </w:r>
      <w:r>
        <w:t>(par défaut)</w:t>
      </w:r>
      <w:r>
        <w:rPr>
          <w:rStyle w:val="optioncarChar"/>
        </w:rPr>
        <w:t xml:space="preserve"> / *** ) cm de largeur / ***</w:t>
      </w:r>
    </w:p>
    <w:p w14:paraId="75FC6905" w14:textId="77777777" w:rsidR="00DB2B68" w:rsidRDefault="00000000">
      <w:r>
        <w:t xml:space="preserve">Dimensions du cadre (mm) : </w:t>
      </w:r>
      <w:r>
        <w:rPr>
          <w:rStyle w:val="optioncarChar"/>
        </w:rPr>
        <w:t xml:space="preserve">selon les indications sur les plans </w:t>
      </w:r>
      <w:r>
        <w:t>(par défaut) </w:t>
      </w:r>
      <w:r>
        <w:rPr>
          <w:rStyle w:val="optioncarChar"/>
        </w:rPr>
        <w:t>/ *** x ***</w:t>
      </w:r>
      <w:r>
        <w:t> </w:t>
      </w:r>
    </w:p>
    <w:p w14:paraId="6F55E41E" w14:textId="77777777" w:rsidR="00DB2B68" w:rsidRDefault="00000000">
      <w:r>
        <w:t xml:space="preserve">Format des blocs de verre (mm) : </w:t>
      </w:r>
      <w:r>
        <w:rPr>
          <w:rStyle w:val="optioncarChar"/>
        </w:rPr>
        <w:t>145 x 145 x 55 / 190 x 190 x 80</w:t>
      </w:r>
      <w:r>
        <w:t> (par défaut)</w:t>
      </w:r>
      <w:r>
        <w:rPr>
          <w:rStyle w:val="optioncarChar"/>
        </w:rPr>
        <w:t xml:space="preserve"> / 240 x 240 x 80 / 240 x 115 x 80 / 300 x 300 x 100 / *** x *** x ***</w:t>
      </w:r>
      <w:r>
        <w:t xml:space="preserve"> mm.</w:t>
      </w:r>
    </w:p>
    <w:p w14:paraId="4D1D441D" w14:textId="77777777" w:rsidR="00DB2B68" w:rsidRDefault="00000000">
      <w:r>
        <w:t xml:space="preserve">Aspect des blocs de verre : </w:t>
      </w:r>
      <w:r>
        <w:rPr>
          <w:rStyle w:val="optioncarChar"/>
        </w:rPr>
        <w:t>lisse uni </w:t>
      </w:r>
      <w:r>
        <w:t>(par défaut)</w:t>
      </w:r>
      <w:r>
        <w:rPr>
          <w:rStyle w:val="optioncarChar"/>
        </w:rPr>
        <w:t xml:space="preserve"> / lisse strié / lisse ondé / ***</w:t>
      </w:r>
    </w:p>
    <w:p w14:paraId="76CAF80E" w14:textId="77777777" w:rsidR="00DB2B68" w:rsidRDefault="00000000">
      <w:pPr>
        <w:pStyle w:val="pheading"/>
      </w:pPr>
      <w:r>
        <w:t>- Finitions</w:t>
      </w:r>
    </w:p>
    <w:p w14:paraId="639B2406" w14:textId="77777777" w:rsidR="00DB2B68" w:rsidRDefault="00000000">
      <w:r>
        <w:t xml:space="preserve">Couleur des blocs de verre : </w:t>
      </w:r>
      <w:r>
        <w:rPr>
          <w:rStyle w:val="optioncarChar"/>
        </w:rPr>
        <w:t>transparentes claires</w:t>
      </w:r>
      <w:r>
        <w:t> (par défaut)</w:t>
      </w:r>
      <w:r>
        <w:rPr>
          <w:rStyle w:val="optioncarChar"/>
        </w:rPr>
        <w:t xml:space="preserve"> / ***</w:t>
      </w:r>
    </w:p>
    <w:p w14:paraId="51C1EC98" w14:textId="77777777" w:rsidR="00DB2B68" w:rsidRDefault="00000000">
      <w:pPr>
        <w:pStyle w:val="pheading"/>
      </w:pPr>
      <w:r>
        <w:t>- Prescriptions complémentaires</w:t>
      </w:r>
    </w:p>
    <w:p w14:paraId="179E6B12" w14:textId="77777777" w:rsidR="00DB2B68" w:rsidRDefault="00000000">
      <w:r>
        <w:t xml:space="preserve">Eléments de ventilation : les blocs de verre ventilés répondent à la [NBN S 23-002] et présentent une </w:t>
      </w:r>
      <w:r>
        <w:rPr>
          <w:rStyle w:val="optioncarChar"/>
        </w:rPr>
        <w:t>ouverture fixe / un clapet réglable / un clapet réglable avec moustiquaire</w:t>
      </w:r>
      <w:r>
        <w:t xml:space="preserve">, passage libre de l'air de </w:t>
      </w:r>
      <w:r>
        <w:rPr>
          <w:rStyle w:val="optioncarChar"/>
        </w:rPr>
        <w:t>25 </w:t>
      </w:r>
      <w:r>
        <w:t>(par défaut)</w:t>
      </w:r>
      <w:r>
        <w:rPr>
          <w:rStyle w:val="optioncarChar"/>
        </w:rPr>
        <w:t xml:space="preserve"> / ***</w:t>
      </w:r>
      <w:r>
        <w:t xml:space="preserve"> %. L'application est conforme aux indications sur les plans et/ou aux dessins de d'exécution. On pose une bande de polystyrène extrudé d'une épaisseur de 15 mm sur les côtés et de 25 mm au-dessus des panneaux préfabriqués. Les revêtements des façades des bâtiments faisant partie du domaine d’application de l’arrêté royal normes de prévention de base [AR 1994-07-07] et ses modifications] sont soumis à des exigences de réaction au feu : D-s3, d1 pour les bâtiments bas et B-s3, d1 pour les bâtiments moyens et élevés. Pour les bâtiments moyens (BM) et élevés (BE) soumis aux exigences de l’arrêté royal normes de prévention de base [AR 1994-07-07], si les façades vitrées du bâtiment dominent des constructions faisant ou non partie de ce bâtiment :</w:t>
      </w:r>
    </w:p>
    <w:p w14:paraId="337E61F0" w14:textId="77777777" w:rsidR="00DB2B68" w:rsidRDefault="00000000">
      <w:pPr>
        <w:pStyle w:val="Author-eListParagraph"/>
        <w:numPr>
          <w:ilvl w:val="0"/>
          <w:numId w:val="269"/>
        </w:numPr>
      </w:pPr>
      <w:r>
        <w:t>soit les toitures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DB2B68" w14:paraId="08ECA2F3" w14:textId="77777777">
        <w:tc>
          <w:tcPr>
            <w:tcW w:w="4515" w:type="dxa"/>
            <w:noWrap/>
          </w:tcPr>
          <w:p w14:paraId="12800A35" w14:textId="77777777" w:rsidR="00DB2B68" w:rsidRDefault="00000000">
            <w:r>
              <w:t>Distance horizontale à partir des façades, a</w:t>
            </w:r>
          </w:p>
        </w:tc>
        <w:tc>
          <w:tcPr>
            <w:tcW w:w="4515" w:type="dxa"/>
            <w:noWrap/>
          </w:tcPr>
          <w:p w14:paraId="55145ACF" w14:textId="77777777" w:rsidR="00DB2B68" w:rsidRDefault="00000000">
            <w:r>
              <w:t>Exigences en matière de résistance au feu</w:t>
            </w:r>
          </w:p>
        </w:tc>
      </w:tr>
      <w:tr w:rsidR="00DB2B68" w14:paraId="6B98C141" w14:textId="77777777">
        <w:tc>
          <w:tcPr>
            <w:tcW w:w="4515" w:type="dxa"/>
            <w:noWrap/>
          </w:tcPr>
          <w:p w14:paraId="7933FF65" w14:textId="77777777" w:rsidR="00DB2B68" w:rsidRDefault="00000000">
            <w:r>
              <w:t>a &lt; 1 m</w:t>
            </w:r>
          </w:p>
        </w:tc>
        <w:tc>
          <w:tcPr>
            <w:tcW w:w="4515" w:type="dxa"/>
            <w:noWrap/>
          </w:tcPr>
          <w:p w14:paraId="5AD9AB98" w14:textId="77777777" w:rsidR="00DB2B68" w:rsidRDefault="00000000">
            <w:r>
              <w:t>EI 60 (BM) EI 120 (BE)</w:t>
            </w:r>
          </w:p>
        </w:tc>
      </w:tr>
      <w:tr w:rsidR="00DB2B68" w14:paraId="7B5C76E0" w14:textId="77777777">
        <w:tc>
          <w:tcPr>
            <w:tcW w:w="4515" w:type="dxa"/>
            <w:noWrap/>
          </w:tcPr>
          <w:p w14:paraId="5E3ACF0D" w14:textId="77777777" w:rsidR="00DB2B68" w:rsidRDefault="00000000">
            <w:r>
              <w:t>1 m &lt; a &lt; 5 m</w:t>
            </w:r>
          </w:p>
        </w:tc>
        <w:tc>
          <w:tcPr>
            <w:tcW w:w="4515" w:type="dxa"/>
            <w:noWrap/>
          </w:tcPr>
          <w:p w14:paraId="11260A0E" w14:textId="77777777" w:rsidR="00DB2B68" w:rsidRDefault="00000000">
            <w:r>
              <w:t>E 60 (BM) E 120 (BE)</w:t>
            </w:r>
          </w:p>
        </w:tc>
      </w:tr>
    </w:tbl>
    <w:p w14:paraId="25496DA2" w14:textId="77777777" w:rsidR="00DB2B68" w:rsidRDefault="00000000">
      <w:pPr>
        <w:pStyle w:val="Author-eListParagraph"/>
        <w:numPr>
          <w:ilvl w:val="0"/>
          <w:numId w:val="270"/>
        </w:numPr>
      </w:pPr>
      <w:r>
        <w:t>soit les façades du bâtiment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DB2B68" w14:paraId="6F4A4E1B" w14:textId="77777777">
        <w:tc>
          <w:tcPr>
            <w:tcW w:w="4515" w:type="dxa"/>
            <w:noWrap/>
          </w:tcPr>
          <w:p w14:paraId="0CFF95E1" w14:textId="77777777" w:rsidR="00DB2B68" w:rsidRDefault="00000000">
            <w:r>
              <w:t>Hauteur mesurée à partir de la toiture, b</w:t>
            </w:r>
          </w:p>
        </w:tc>
        <w:tc>
          <w:tcPr>
            <w:tcW w:w="4515" w:type="dxa"/>
            <w:noWrap/>
          </w:tcPr>
          <w:p w14:paraId="44258ACA" w14:textId="77777777" w:rsidR="00DB2B68" w:rsidRDefault="00000000">
            <w:r>
              <w:t>Exigences en matière de résistance au feu</w:t>
            </w:r>
          </w:p>
        </w:tc>
      </w:tr>
      <w:tr w:rsidR="00DB2B68" w14:paraId="2ADBAC55" w14:textId="77777777">
        <w:tc>
          <w:tcPr>
            <w:tcW w:w="4515" w:type="dxa"/>
            <w:noWrap/>
          </w:tcPr>
          <w:p w14:paraId="10A36323" w14:textId="77777777" w:rsidR="00DB2B68" w:rsidRDefault="00000000">
            <w:r>
              <w:t>b &lt; 3 m</w:t>
            </w:r>
          </w:p>
        </w:tc>
        <w:tc>
          <w:tcPr>
            <w:tcW w:w="4515" w:type="dxa"/>
            <w:noWrap/>
          </w:tcPr>
          <w:p w14:paraId="671EFCF8" w14:textId="77777777" w:rsidR="00DB2B68" w:rsidRDefault="00000000">
            <w:r>
              <w:t xml:space="preserve">(BM) EI 60 </w:t>
            </w:r>
            <w:r>
              <w:rPr>
                <w:vertAlign w:val="subscript"/>
              </w:rPr>
              <w:t>( i ← o )</w:t>
            </w:r>
            <w:r>
              <w:t xml:space="preserve">(BE) EI 120 </w:t>
            </w:r>
            <w:r>
              <w:rPr>
                <w:vertAlign w:val="subscript"/>
              </w:rPr>
              <w:t>( i ← o )</w:t>
            </w:r>
          </w:p>
        </w:tc>
      </w:tr>
      <w:tr w:rsidR="00DB2B68" w14:paraId="6CE1801D" w14:textId="77777777">
        <w:tc>
          <w:tcPr>
            <w:tcW w:w="4515" w:type="dxa"/>
            <w:noWrap/>
          </w:tcPr>
          <w:p w14:paraId="486F047B" w14:textId="77777777" w:rsidR="00DB2B68" w:rsidRDefault="00000000">
            <w:r>
              <w:t>3 m &lt; b &lt; 8 m</w:t>
            </w:r>
          </w:p>
        </w:tc>
        <w:tc>
          <w:tcPr>
            <w:tcW w:w="4515" w:type="dxa"/>
            <w:noWrap/>
          </w:tcPr>
          <w:p w14:paraId="660BC716" w14:textId="77777777" w:rsidR="00DB2B68" w:rsidRDefault="00000000">
            <w:r>
              <w:t xml:space="preserve">(BM) E 60 </w:t>
            </w:r>
            <w:r>
              <w:rPr>
                <w:vertAlign w:val="subscript"/>
              </w:rPr>
              <w:t>( i ← o )</w:t>
            </w:r>
            <w:r>
              <w:t xml:space="preserve">(BE) E 120 </w:t>
            </w:r>
            <w:r>
              <w:rPr>
                <w:vertAlign w:val="subscript"/>
              </w:rPr>
              <w:t>( i ← o )</w:t>
            </w:r>
          </w:p>
        </w:tc>
      </w:tr>
    </w:tbl>
    <w:p w14:paraId="21FCD2AC" w14:textId="77777777" w:rsidR="00DB2B68" w:rsidRDefault="00000000">
      <w:pPr>
        <w:pStyle w:val="pheading"/>
      </w:pPr>
      <w:r>
        <w:t>EXÉCUTION / MISE EN ŒUVRE</w:t>
      </w:r>
    </w:p>
    <w:p w14:paraId="7B2AC6F4" w14:textId="77777777" w:rsidR="00DB2B68" w:rsidRDefault="00000000">
      <w:pPr>
        <w:pStyle w:val="pheading"/>
      </w:pPr>
      <w:r>
        <w:t>- Prescriptions générales</w:t>
      </w:r>
    </w:p>
    <w:p w14:paraId="331F80DE" w14:textId="77777777" w:rsidR="00DB2B68" w:rsidRDefault="00000000">
      <w:r>
        <w:t>L'ancrage et la pose des panneaux en blocs de verre s'effectuent conformément aux directives du fabricant des blocs de verre et de l'entreprise spécialisée. La construction est totalement indépendante de l'ouvrage de gros-œuvre et ne peut en aucun cas subir les sollicitations et les tassements du gros-œuvre. A cet effet, on insère au-dessus et sur les côtés un joint de dilatation en matériau extrêmement compressible (par exemple, un mastic de polysulfide à deux composantes), d'une épaisseur d'environ 10 mm (au-dessus 15 mm). Les joints sont lissés et doivent à la fois rester étanches à l'eau et conserver leur élasticité. La couleur est déterminée par l'auteur de projet.</w:t>
      </w:r>
    </w:p>
    <w:p w14:paraId="5A9F92CC" w14:textId="77777777" w:rsidR="00DB2B68" w:rsidRDefault="00000000">
      <w:pPr>
        <w:pStyle w:val="pheading"/>
      </w:pPr>
      <w:r>
        <w:t>- Notes d’exécution complémentaires</w:t>
      </w:r>
    </w:p>
    <w:p w14:paraId="36CF8742" w14:textId="77777777" w:rsidR="00DB2B68" w:rsidRDefault="00000000">
      <w:r>
        <w:t>Les joints périphériques sont rembourrés à l'aide d'un matériau isolant approprié.</w:t>
      </w:r>
    </w:p>
    <w:p w14:paraId="5284BF13" w14:textId="77777777" w:rsidR="00DB2B68" w:rsidRDefault="00000000">
      <w:r>
        <w:t xml:space="preserve">Les bords inférieurs sont pourvus d'une couche hydrofuge, c'est-à-dire d’une bande de bitume et d’une bavette de plomb </w:t>
      </w:r>
      <w:r>
        <w:rPr>
          <w:color w:val="FF0000"/>
        </w:rPr>
        <w:t>.</w:t>
      </w:r>
    </w:p>
    <w:p w14:paraId="49A31C69" w14:textId="77777777" w:rsidR="00DB2B68" w:rsidRDefault="00000000">
      <w:r>
        <w:t>Les blocs de verre ventilés sont intégrés dans les panneaux préfabriqués selon les indications sur les plans et/ou les dessins de détail.</w:t>
      </w:r>
    </w:p>
    <w:p w14:paraId="1185C030" w14:textId="77777777" w:rsidR="00DB2B68" w:rsidRDefault="00000000">
      <w:pPr>
        <w:pStyle w:val="pheading"/>
      </w:pPr>
      <w:r>
        <w:lastRenderedPageBreak/>
        <w:t>MESURAGE</w:t>
      </w:r>
    </w:p>
    <w:p w14:paraId="532AB552" w14:textId="77777777" w:rsidR="00DB2B68" w:rsidRDefault="00000000">
      <w:pPr>
        <w:pStyle w:val="pheading"/>
      </w:pPr>
      <w:r>
        <w:t>- unité de mesure:</w:t>
      </w:r>
    </w:p>
    <w:p w14:paraId="287AFA5C" w14:textId="77777777" w:rsidR="00DB2B68" w:rsidRDefault="00DB2B68"/>
    <w:p w14:paraId="10E360A9" w14:textId="77777777" w:rsidR="00DB2B68" w:rsidRDefault="00000000">
      <w:r>
        <w:rPr>
          <w:rStyle w:val="optioncarChar"/>
        </w:rPr>
        <w:t>m² </w:t>
      </w:r>
      <w:r>
        <w:rPr>
          <w:rStyle w:val="optioncarChar"/>
          <w:color w:val="000000"/>
        </w:rPr>
        <w:t>(par défaut)</w:t>
      </w:r>
      <w:r>
        <w:rPr>
          <w:rStyle w:val="optioncarChar"/>
        </w:rPr>
        <w:t> / m³</w:t>
      </w:r>
    </w:p>
    <w:p w14:paraId="7DFFE093" w14:textId="77777777" w:rsidR="00DB2B68" w:rsidRDefault="00000000">
      <w:pPr>
        <w:spacing w:after="0" w:line="0" w:lineRule="atLeast"/>
      </w:pPr>
      <w:r>
        <w:rPr>
          <w:b/>
          <w:color w:val="000000"/>
        </w:rPr>
        <w:t>(soit par défaut)</w:t>
      </w:r>
    </w:p>
    <w:p w14:paraId="5C57558C" w14:textId="77777777" w:rsidR="00DB2B68" w:rsidRDefault="00000000">
      <w:pPr>
        <w:spacing w:after="0" w:line="0" w:lineRule="atLeast"/>
      </w:pPr>
      <w:r>
        <w:rPr>
          <w:rStyle w:val="soitChar"/>
        </w:rPr>
        <w:t>1. m²</w:t>
      </w:r>
    </w:p>
    <w:p w14:paraId="1D79B64D" w14:textId="77777777" w:rsidR="00DB2B68" w:rsidRDefault="00000000">
      <w:pPr>
        <w:spacing w:after="0" w:line="0" w:lineRule="atLeast"/>
      </w:pPr>
      <w:r>
        <w:rPr>
          <w:b/>
          <w:color w:val="000000"/>
        </w:rPr>
        <w:t>(soit)</w:t>
      </w:r>
    </w:p>
    <w:p w14:paraId="615364AA" w14:textId="77777777" w:rsidR="00DB2B68" w:rsidRDefault="00000000">
      <w:pPr>
        <w:spacing w:after="0" w:line="0" w:lineRule="atLeast"/>
      </w:pPr>
      <w:r>
        <w:rPr>
          <w:rStyle w:val="soitChar"/>
        </w:rPr>
        <w:t>2. m³</w:t>
      </w:r>
    </w:p>
    <w:p w14:paraId="5749AC8A" w14:textId="77777777" w:rsidR="00DB2B68" w:rsidRDefault="00000000">
      <w:pPr>
        <w:pStyle w:val="pheading"/>
      </w:pPr>
      <w:r>
        <w:t>- code de mesurage:</w:t>
      </w:r>
    </w:p>
    <w:p w14:paraId="406D21B8" w14:textId="77777777" w:rsidR="00DB2B68"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35B365CA" w14:textId="77777777" w:rsidR="00DB2B68" w:rsidRDefault="00000000">
      <w:pPr>
        <w:spacing w:after="0" w:line="252" w:lineRule="auto"/>
      </w:pPr>
      <w:r>
        <w:rPr>
          <w:b/>
          <w:color w:val="000000"/>
        </w:rPr>
        <w:t>(soit par défaut)</w:t>
      </w:r>
    </w:p>
    <w:p w14:paraId="3E54B6F9" w14:textId="77777777" w:rsidR="00DB2B68"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52FC37F6" w14:textId="77777777" w:rsidR="00DB2B68" w:rsidRDefault="00000000">
      <w:pPr>
        <w:spacing w:after="0" w:line="252" w:lineRule="auto"/>
      </w:pPr>
      <w:r>
        <w:rPr>
          <w:rStyle w:val="soitChar"/>
        </w:rPr>
        <w:t>Distinction faite suivant l'épaisseur.</w:t>
      </w:r>
    </w:p>
    <w:p w14:paraId="30FBB97A" w14:textId="77777777" w:rsidR="00DB2B68" w:rsidRDefault="00000000">
      <w:pPr>
        <w:spacing w:line="252" w:lineRule="auto"/>
      </w:pPr>
      <w:r>
        <w:rPr>
          <w:b/>
          <w:color w:val="000000"/>
        </w:rPr>
        <w:t>(soit)</w:t>
      </w:r>
    </w:p>
    <w:p w14:paraId="44074062" w14:textId="77777777" w:rsidR="00DB2B68"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53DB8E1" w14:textId="77777777" w:rsidR="00DB2B68" w:rsidRDefault="00000000">
      <w:pPr>
        <w:spacing w:line="252" w:lineRule="auto"/>
      </w:pPr>
      <w:r>
        <w:rPr>
          <w:rStyle w:val="soitChar"/>
        </w:rPr>
        <w:t>Les ouvertures ou les éléments de construction intégrés dont l'aire est supérieure à 0,5 m² multipliées par l’épaisseur à réaliser sont déduites.</w:t>
      </w:r>
    </w:p>
    <w:p w14:paraId="0BEA824F" w14:textId="77777777" w:rsidR="00DB2B68" w:rsidRDefault="00000000">
      <w:pPr>
        <w:pStyle w:val="pheading"/>
      </w:pPr>
      <w:r>
        <w:t>- nature du marché:</w:t>
      </w:r>
    </w:p>
    <w:p w14:paraId="3E95B9C3" w14:textId="77777777" w:rsidR="00DB2B68" w:rsidRDefault="00000000">
      <w:r>
        <w:t>QF</w:t>
      </w:r>
    </w:p>
    <w:p w14:paraId="11043600" w14:textId="77777777" w:rsidR="00DB2B68" w:rsidRDefault="00000000">
      <w:pPr>
        <w:pStyle w:val="Author-eSectionHeading4Numberless"/>
      </w:pPr>
      <w:bookmarkStart w:id="299" w:name="_Toc220495421"/>
      <w:r>
        <w:t>21.36 Eléments particuliers de façades CCTB 01.12</w:t>
      </w:r>
      <w:bookmarkEnd w:id="299"/>
    </w:p>
    <w:p w14:paraId="69984E67" w14:textId="77777777" w:rsidR="00DB2B68" w:rsidRDefault="00000000">
      <w:pPr>
        <w:pStyle w:val="pheading"/>
      </w:pPr>
      <w:bookmarkStart w:id="300" w:name="413"/>
      <w:bookmarkEnd w:id="300"/>
      <w:r>
        <w:t>DESCRIPTION</w:t>
      </w:r>
    </w:p>
    <w:p w14:paraId="1304AC4C" w14:textId="77777777" w:rsidR="00DB2B68" w:rsidRDefault="00000000">
      <w:pPr>
        <w:pStyle w:val="pheading"/>
      </w:pPr>
      <w:r>
        <w:t>- Définition / Comprend</w:t>
      </w:r>
    </w:p>
    <w:p w14:paraId="3552A226" w14:textId="77777777" w:rsidR="00DB2B68" w:rsidRDefault="00000000">
      <w:r>
        <w:t>Ce poste comprend toutes les fournitures et les travaux pour la pose des éléments de façade en matériaux pierreux (seuils / plinthes / pierres de couverture / encadrements / …) destinés à être intégrés dans les murs extérieurs et à constituer avec ces derniers un tout soigneusement achevé. Conformément aux dispositions générales et/ou spécifiques du cahier spécial des charges, les prix unitaires compris dans ce poste comprennent toujours, soit selon la ventilation dans le métré récapitulatif, soit dans leur totalité :</w:t>
      </w:r>
    </w:p>
    <w:p w14:paraId="3E234AAC" w14:textId="77777777" w:rsidR="00DB2B68" w:rsidRDefault="00000000">
      <w:pPr>
        <w:pStyle w:val="Author-eListParagraph"/>
        <w:numPr>
          <w:ilvl w:val="0"/>
          <w:numId w:val="271"/>
        </w:numPr>
      </w:pPr>
      <w:r>
        <w:t>la mise en place et l'enlèvement des échafaudages, des bâches et des ouvrages de protection nécessaires aux travaux ;</w:t>
      </w:r>
    </w:p>
    <w:p w14:paraId="6AF46B2B" w14:textId="77777777" w:rsidR="00DB2B68" w:rsidRDefault="00000000">
      <w:pPr>
        <w:pStyle w:val="Author-eListParagraph"/>
        <w:numPr>
          <w:ilvl w:val="0"/>
          <w:numId w:val="271"/>
        </w:numPr>
      </w:pPr>
      <w:r>
        <w:t>l'inspection et la préparation du support ou de la construction portante ;</w:t>
      </w:r>
    </w:p>
    <w:p w14:paraId="3DC043C9" w14:textId="77777777" w:rsidR="00DB2B68" w:rsidRDefault="00000000">
      <w:pPr>
        <w:pStyle w:val="Author-eListParagraph"/>
        <w:numPr>
          <w:ilvl w:val="0"/>
          <w:numId w:val="271"/>
        </w:numPr>
      </w:pPr>
      <w:r>
        <w:t>la vérification et le relevé des dimensions exactes pendant ou après l'exécution du gros-œuvre, afin de comparer les dessins de détail et/ou les coupes de profil avec les travaux déjà effectués ;</w:t>
      </w:r>
    </w:p>
    <w:p w14:paraId="13F556E8" w14:textId="77777777" w:rsidR="00DB2B68" w:rsidRDefault="00000000">
      <w:pPr>
        <w:pStyle w:val="Author-eListParagraph"/>
        <w:numPr>
          <w:ilvl w:val="0"/>
          <w:numId w:val="271"/>
        </w:numPr>
      </w:pPr>
      <w:r>
        <w:t>la préparation, les dessins d'atelier et la préfabrication de tous les éléments de façade prévus (éléments en pierre de taille selon les profils décrits : bordures, linteaux, seuils, pierres de couverture, encadrements, terminaisons et rencontres, colonnes, …</w:t>
      </w:r>
    </w:p>
    <w:p w14:paraId="4613B070" w14:textId="77777777" w:rsidR="00DB2B68" w:rsidRDefault="00000000">
      <w:pPr>
        <w:pStyle w:val="Author-eListParagraph"/>
        <w:numPr>
          <w:ilvl w:val="0"/>
          <w:numId w:val="271"/>
        </w:numPr>
      </w:pPr>
      <w:r>
        <w:t>les éléments de fixation aux autres éléments de construction (pattes et rails d'ancrage, goujons, …) ;</w:t>
      </w:r>
    </w:p>
    <w:p w14:paraId="7C648E54" w14:textId="77777777" w:rsidR="00DB2B68" w:rsidRDefault="00000000">
      <w:pPr>
        <w:pStyle w:val="Author-eListParagraph"/>
        <w:numPr>
          <w:ilvl w:val="0"/>
          <w:numId w:val="271"/>
        </w:numPr>
      </w:pPr>
      <w:r>
        <w:lastRenderedPageBreak/>
        <w:t>la fixation et le scellement des éléments de façade, y compris les mortiers de pose, les éléments d'ancrage, l'isolation contre l'humidité, les joints de dilatation, le rejointoiement, les mastics, … ;</w:t>
      </w:r>
    </w:p>
    <w:p w14:paraId="38B51DF5" w14:textId="77777777" w:rsidR="00DB2B68" w:rsidRDefault="00000000">
      <w:pPr>
        <w:pStyle w:val="Author-eListParagraph"/>
        <w:numPr>
          <w:ilvl w:val="0"/>
          <w:numId w:val="271"/>
        </w:numPr>
      </w:pPr>
      <w:r>
        <w:t>le parachèvement des pierres de taille mal finies : la finition de la taille, l'exécution des moulures, le parachèvement sur place des petites irrégularités telles que les saillies, les ébarbures, … ;</w:t>
      </w:r>
    </w:p>
    <w:p w14:paraId="174B1A25" w14:textId="77777777" w:rsidR="00DB2B68" w:rsidRDefault="00000000">
      <w:pPr>
        <w:pStyle w:val="Author-eListParagraph"/>
        <w:numPr>
          <w:ilvl w:val="0"/>
          <w:numId w:val="271"/>
        </w:numPr>
      </w:pPr>
      <w:r>
        <w:t>les mesures de protection, les traitements à posteriori ;</w:t>
      </w:r>
    </w:p>
    <w:p w14:paraId="3736C4A0" w14:textId="77777777" w:rsidR="00DB2B68" w:rsidRDefault="00000000">
      <w:pPr>
        <w:pStyle w:val="Author-eListParagraph"/>
        <w:numPr>
          <w:ilvl w:val="0"/>
          <w:numId w:val="271"/>
        </w:numPr>
      </w:pPr>
      <w:r>
        <w:t>le déblaiement et le nettoyage du chantier.</w:t>
      </w:r>
    </w:p>
    <w:p w14:paraId="4B21F708" w14:textId="77777777" w:rsidR="00DB2B68" w:rsidRDefault="00000000">
      <w:r>
        <w:t>Pour l'exécution des pierres de taille, pour la pose des revêtements extérieurs verticaux en minces plaques de pierre naturelle, pour les pièces spécifiques de section ou de forme déterminée ou de sections non prescrites telles que les seuils, des prescriptions particulières sont d'application.</w:t>
      </w:r>
    </w:p>
    <w:p w14:paraId="710EBDA1" w14:textId="77777777" w:rsidR="00DB2B68" w:rsidRDefault="00000000">
      <w:pPr>
        <w:pStyle w:val="pheading"/>
      </w:pPr>
      <w:r>
        <w:t>MATÉRIAUX</w:t>
      </w:r>
    </w:p>
    <w:p w14:paraId="5D8DAD84" w14:textId="77777777" w:rsidR="00DB2B68" w:rsidRDefault="00000000">
      <w:r>
        <w:rPr>
          <w:u w:val="single"/>
        </w:rPr>
        <w:t>GÉNÉRALITÉS - fourniture - échantillonnage</w:t>
      </w:r>
    </w:p>
    <w:p w14:paraId="1F468DAD" w14:textId="77777777" w:rsidR="00DB2B68" w:rsidRDefault="00000000">
      <w:r>
        <w:t>Dans le cas d'éléments profilés, l'entrepreneur soumet préalablement les dessins détaillés et les bordereaux des pièces des éléments de façade pour approbation à l'auteur de projet. L'échelle des dessins doit être adaptée à la nature de l'ouvrage. En ce qui concerne l'aspect, les coloris et la structure de la surface, il y a lieu de présenter trois échantillons (échantillonnage contractuel) qui doivent présenter respectivement l'aspect moyen et les deux aspects voisins de la fourniture. Ces échantillons contiennent en outre toutes les particularités (veines, trous, fils, …) qui ne sont pas considérées comme défauts mais dont la présence ne peut entraîner le rebut.</w:t>
      </w:r>
    </w:p>
    <w:p w14:paraId="70B5EED3" w14:textId="77777777" w:rsidR="00DB2B68" w:rsidRDefault="00000000">
      <w:r>
        <w:rPr>
          <w:u w:val="single"/>
        </w:rPr>
        <w:t>MORTIERS DE MAÇONNERIE</w:t>
      </w:r>
    </w:p>
    <w:p w14:paraId="0E9811B6" w14:textId="77777777" w:rsidR="00DB2B68" w:rsidRDefault="00000000">
      <w:r>
        <w:t>Le mortier de pose est adapté en fonction des éléments qu'il assemble et ne les influence pas négativement, ni sur le plan de la résistance, ni sur le plan des qualités esthétiques. Le mortier de maçonnerie pour la fixation des plinthes, seuils, encadrements, pierres de couverture, etc. , ... appartient à la catégorie 12 (f</w:t>
      </w:r>
      <w:r>
        <w:rPr>
          <w:vertAlign w:val="subscript"/>
        </w:rPr>
        <w:t>m</w:t>
      </w:r>
      <w:r>
        <w:t xml:space="preserve"> ≥ 12 N/mm²) selon la [NBN EN 998-2]</w:t>
      </w:r>
      <w:r>
        <w:rPr>
          <w:shd w:val="clear" w:color="auto" w:fill="FFFFFF"/>
        </w:rPr>
        <w:t xml:space="preserve">. </w:t>
      </w:r>
      <w:r>
        <w:t>Le mortier est fabriqué à l'aide de sable rugueux (les sables gras et argileux sont interdits). Le sable est entreposé de manière à ne pas pouvoir être pollué par des substances étrangères. Dans les mortiers de pose, les adjuvants sont seulement autorisés moyennant l'accord de l'auteur de projet; ils doivent en outre satisfaire au mode d'emploi du fournisseur et aux prescriptions des normes de la série [NBN EN 934-1]. L'utilisation de retardateurs de prise est interdite. Les mortiers peuvent être composés sur chantier et préparés mécaniquement. L'eau de gâchage ne peut pas être polluée par des matières organiques, des acides, sels, alcalis, sucres, déchets industriels ou autres matières qui risquent de nuire à la durabilité ou à la résistance du mortier. Les mortiers préparés sont mis en œuvre avant la prise; les mortiers dont la prise est déjà entamée ne peuvent pas être remélangés ou mis en œuvre. Le mortier est dans tous les cas protégé contre les influences atmosphériques. Les mortiers sont subdivisés en classes de normalisation, selon la [NBN EN 998-2] . </w:t>
      </w:r>
    </w:p>
    <w:tbl>
      <w:tblPr>
        <w:tblStyle w:val="Author-eTableGrid"/>
        <w:tblW w:w="0" w:type="auto"/>
        <w:tblBorders>
          <w:top w:val="single" w:sz="1" w:space="0" w:color="auto"/>
          <w:left w:val="single" w:sz="1" w:space="0" w:color="auto"/>
          <w:bottom w:val="single" w:sz="1" w:space="0" w:color="auto"/>
          <w:right w:val="single" w:sz="1" w:space="0" w:color="auto"/>
          <w:insideH w:val="nil"/>
          <w:insideV w:val="nil"/>
        </w:tblBorders>
        <w:tblLayout w:type="fixed"/>
        <w:tblLook w:val="04A0" w:firstRow="1" w:lastRow="0" w:firstColumn="1" w:lastColumn="0" w:noHBand="0" w:noVBand="1"/>
      </w:tblPr>
      <w:tblGrid>
        <w:gridCol w:w="4515"/>
        <w:gridCol w:w="4515"/>
      </w:tblGrid>
      <w:tr w:rsidR="00DB2B68" w14:paraId="47B2FD40" w14:textId="77777777">
        <w:tc>
          <w:tcPr>
            <w:tcW w:w="4515" w:type="dxa"/>
            <w:tcBorders>
              <w:top w:val="single" w:sz="1" w:space="0" w:color="000000"/>
              <w:left w:val="single" w:sz="1" w:space="0" w:color="000000"/>
              <w:bottom w:val="single" w:sz="1" w:space="0" w:color="000000"/>
              <w:right w:val="single" w:sz="1" w:space="0" w:color="000000"/>
            </w:tcBorders>
            <w:noWrap/>
          </w:tcPr>
          <w:p w14:paraId="7AEC2CBC" w14:textId="77777777" w:rsidR="00DB2B68" w:rsidRDefault="00000000">
            <w:pPr>
              <w:jc w:val="center"/>
            </w:pPr>
            <w:r>
              <w:rPr>
                <w:rFonts w:ascii="Courier New" w:hAnsi="Courier New" w:cs="Courier New"/>
                <w:b/>
                <w:color w:val="969696"/>
              </w:rPr>
              <w:t>CATÉGORIE</w:t>
            </w:r>
          </w:p>
        </w:tc>
        <w:tc>
          <w:tcPr>
            <w:tcW w:w="4515" w:type="dxa"/>
            <w:tcBorders>
              <w:top w:val="single" w:sz="1" w:space="0" w:color="000000"/>
              <w:left w:val="single" w:sz="1" w:space="0" w:color="000000"/>
              <w:bottom w:val="single" w:sz="1" w:space="0" w:color="000000"/>
              <w:right w:val="single" w:sz="1" w:space="0" w:color="000000"/>
            </w:tcBorders>
            <w:noWrap/>
          </w:tcPr>
          <w:p w14:paraId="517D1C49" w14:textId="77777777" w:rsidR="00DB2B68" w:rsidRDefault="00000000">
            <w:pPr>
              <w:jc w:val="center"/>
            </w:pPr>
            <w:r>
              <w:rPr>
                <w:rFonts w:ascii="Courier New" w:hAnsi="Courier New" w:cs="Courier New"/>
                <w:b/>
                <w:color w:val="969696"/>
              </w:rPr>
              <w:t xml:space="preserve">COMPOSITION </w:t>
            </w:r>
          </w:p>
        </w:tc>
      </w:tr>
      <w:tr w:rsidR="00DB2B68" w14:paraId="1A64BE0E" w14:textId="77777777">
        <w:tc>
          <w:tcPr>
            <w:tcW w:w="4515" w:type="dxa"/>
            <w:tcBorders>
              <w:top w:val="single" w:sz="1" w:space="0" w:color="000000"/>
              <w:left w:val="single" w:sz="1" w:space="0" w:color="000000"/>
              <w:bottom w:val="single" w:sz="1" w:space="0" w:color="000000"/>
              <w:right w:val="single" w:sz="1" w:space="0" w:color="000000"/>
            </w:tcBorders>
            <w:noWrap/>
          </w:tcPr>
          <w:p w14:paraId="38AA6D32" w14:textId="77777777" w:rsidR="00DB2B68" w:rsidRDefault="00000000">
            <w:r>
              <w:rPr>
                <w:rFonts w:ascii="Courier New" w:hAnsi="Courier New" w:cs="Courier New"/>
                <w:b/>
                <w:color w:val="969696"/>
              </w:rPr>
              <w:t xml:space="preserve">M20 : </w:t>
            </w:r>
            <w:r>
              <w:rPr>
                <w:rFonts w:ascii="Courier New" w:hAnsi="Courier New" w:cs="Courier New"/>
                <w:color w:val="969696"/>
              </w:rPr>
              <w:t>pour éléments de f</w:t>
            </w:r>
            <w:r>
              <w:rPr>
                <w:rFonts w:ascii="Courier New" w:hAnsi="Courier New" w:cs="Courier New"/>
                <w:color w:val="969696"/>
                <w:vertAlign w:val="subscript"/>
              </w:rPr>
              <w:t>b </w:t>
            </w:r>
            <w:r>
              <w:rPr>
                <w:rFonts w:ascii="Courier New" w:hAnsi="Courier New" w:cs="Courier New"/>
                <w:color w:val="969696"/>
              </w:rPr>
              <w:t>supérieure à 20 N/mm2.</w:t>
            </w:r>
          </w:p>
        </w:tc>
        <w:tc>
          <w:tcPr>
            <w:tcW w:w="4515" w:type="dxa"/>
            <w:tcBorders>
              <w:top w:val="single" w:sz="1" w:space="0" w:color="000000"/>
              <w:left w:val="single" w:sz="1" w:space="0" w:color="000000"/>
              <w:bottom w:val="single" w:sz="1" w:space="0" w:color="000000"/>
              <w:right w:val="single" w:sz="1" w:space="0" w:color="000000"/>
            </w:tcBorders>
            <w:noWrap/>
          </w:tcPr>
          <w:p w14:paraId="7D2BF50C" w14:textId="77777777" w:rsidR="00DB2B68" w:rsidRDefault="00000000">
            <w:r>
              <w:rPr>
                <w:rFonts w:ascii="Courier New" w:hAnsi="Courier New" w:cs="Courier New"/>
                <w:color w:val="969696"/>
              </w:rPr>
              <w:t>Minimum 400 kg de ciment (classe de résistance 32,5) au m3 de sable sec (= 1 part de ciment pour 3 parts de sable )</w:t>
            </w:r>
          </w:p>
        </w:tc>
      </w:tr>
      <w:tr w:rsidR="00DB2B68" w14:paraId="1DB8E571" w14:textId="77777777">
        <w:tc>
          <w:tcPr>
            <w:tcW w:w="4515" w:type="dxa"/>
            <w:tcBorders>
              <w:top w:val="single" w:sz="1" w:space="0" w:color="000000"/>
              <w:left w:val="single" w:sz="1" w:space="0" w:color="000000"/>
              <w:bottom w:val="single" w:sz="1" w:space="0" w:color="000000"/>
              <w:right w:val="single" w:sz="1" w:space="0" w:color="000000"/>
            </w:tcBorders>
            <w:noWrap/>
          </w:tcPr>
          <w:p w14:paraId="25DBD9C2" w14:textId="77777777" w:rsidR="00DB2B68" w:rsidRDefault="00000000">
            <w:r>
              <w:rPr>
                <w:rFonts w:ascii="Courier New" w:hAnsi="Courier New" w:cs="Courier New"/>
                <w:b/>
                <w:color w:val="969696"/>
              </w:rPr>
              <w:t xml:space="preserve">12 : </w:t>
            </w:r>
            <w:r>
              <w:rPr>
                <w:rFonts w:ascii="Courier New" w:hAnsi="Courier New" w:cs="Courier New"/>
                <w:color w:val="969696"/>
              </w:rPr>
              <w:t>pour éléments de f</w:t>
            </w:r>
            <w:r>
              <w:rPr>
                <w:rFonts w:ascii="Courier New" w:hAnsi="Courier New" w:cs="Courier New"/>
                <w:color w:val="969696"/>
                <w:vertAlign w:val="subscript"/>
              </w:rPr>
              <w:t>b </w:t>
            </w:r>
            <w:r>
              <w:rPr>
                <w:rFonts w:ascii="Courier New" w:hAnsi="Courier New" w:cs="Courier New"/>
                <w:color w:val="969696"/>
              </w:rPr>
              <w:t>entre 12 et 48 N/mm2.</w:t>
            </w:r>
          </w:p>
        </w:tc>
        <w:tc>
          <w:tcPr>
            <w:tcW w:w="4515" w:type="dxa"/>
            <w:tcBorders>
              <w:top w:val="single" w:sz="1" w:space="0" w:color="000000"/>
              <w:left w:val="single" w:sz="1" w:space="0" w:color="000000"/>
              <w:bottom w:val="single" w:sz="1" w:space="0" w:color="000000"/>
              <w:right w:val="single" w:sz="1" w:space="0" w:color="000000"/>
            </w:tcBorders>
            <w:noWrap/>
          </w:tcPr>
          <w:p w14:paraId="7E3DA391" w14:textId="77777777" w:rsidR="00DB2B68" w:rsidRDefault="00000000">
            <w:r>
              <w:rPr>
                <w:rFonts w:ascii="Courier New" w:hAnsi="Courier New" w:cs="Courier New"/>
                <w:color w:val="969696"/>
              </w:rPr>
              <w:t>Minimum 300 kg de ciment (classe de résistance 32,5) au m3 de sable sec (= 1 part de ciment pour 4 parts de sable )</w:t>
            </w:r>
          </w:p>
        </w:tc>
      </w:tr>
      <w:tr w:rsidR="00DB2B68" w14:paraId="1AFF253B" w14:textId="77777777">
        <w:tc>
          <w:tcPr>
            <w:tcW w:w="4515" w:type="dxa"/>
            <w:tcBorders>
              <w:top w:val="single" w:sz="1" w:space="0" w:color="000000"/>
              <w:left w:val="single" w:sz="1" w:space="0" w:color="000000"/>
              <w:bottom w:val="single" w:sz="1" w:space="0" w:color="000000"/>
              <w:right w:val="single" w:sz="1" w:space="0" w:color="000000"/>
            </w:tcBorders>
            <w:noWrap/>
          </w:tcPr>
          <w:p w14:paraId="5946EBF4" w14:textId="77777777" w:rsidR="00DB2B68" w:rsidRDefault="00000000">
            <w:r>
              <w:rPr>
                <w:rFonts w:ascii="Courier New" w:hAnsi="Courier New" w:cs="Courier New"/>
                <w:b/>
                <w:color w:val="969696"/>
              </w:rPr>
              <w:t xml:space="preserve">8 : </w:t>
            </w:r>
            <w:r>
              <w:rPr>
                <w:rFonts w:ascii="Courier New" w:hAnsi="Courier New" w:cs="Courier New"/>
                <w:color w:val="969696"/>
              </w:rPr>
              <w:t>pour éléments de f</w:t>
            </w:r>
            <w:r>
              <w:rPr>
                <w:rFonts w:ascii="Courier New" w:hAnsi="Courier New" w:cs="Courier New"/>
                <w:color w:val="969696"/>
                <w:vertAlign w:val="subscript"/>
              </w:rPr>
              <w:t>b </w:t>
            </w:r>
            <w:r>
              <w:rPr>
                <w:rFonts w:ascii="Courier New" w:hAnsi="Courier New" w:cs="Courier New"/>
                <w:color w:val="969696"/>
              </w:rPr>
              <w:t>entre 8 et 32 N/mm2.</w:t>
            </w:r>
          </w:p>
        </w:tc>
        <w:tc>
          <w:tcPr>
            <w:tcW w:w="4515" w:type="dxa"/>
            <w:tcBorders>
              <w:top w:val="single" w:sz="1" w:space="0" w:color="000000"/>
              <w:left w:val="single" w:sz="1" w:space="0" w:color="000000"/>
              <w:bottom w:val="single" w:sz="1" w:space="0" w:color="000000"/>
              <w:right w:val="single" w:sz="1" w:space="0" w:color="000000"/>
            </w:tcBorders>
            <w:noWrap/>
          </w:tcPr>
          <w:p w14:paraId="10D6C98F" w14:textId="77777777" w:rsidR="00DB2B68" w:rsidRDefault="00000000">
            <w:r>
              <w:rPr>
                <w:rFonts w:ascii="Courier New" w:hAnsi="Courier New" w:cs="Courier New"/>
                <w:color w:val="969696"/>
              </w:rPr>
              <w:t>250 kg de ciment (classe de résistance 32,5) et 50 kg de poudre de chaux grasse au m3 de sable sec (= 2 parts de ciment et 1 part de poudre de chaux pour 9 parts de sable ).</w:t>
            </w:r>
          </w:p>
        </w:tc>
      </w:tr>
      <w:tr w:rsidR="00DB2B68" w14:paraId="4640207C" w14:textId="77777777">
        <w:tc>
          <w:tcPr>
            <w:tcW w:w="4515" w:type="dxa"/>
            <w:tcBorders>
              <w:top w:val="single" w:sz="1" w:space="0" w:color="000000"/>
              <w:left w:val="single" w:sz="1" w:space="0" w:color="000000"/>
              <w:bottom w:val="single" w:sz="1" w:space="0" w:color="000000"/>
              <w:right w:val="single" w:sz="1" w:space="0" w:color="000000"/>
            </w:tcBorders>
            <w:noWrap/>
          </w:tcPr>
          <w:p w14:paraId="4943F757" w14:textId="77777777" w:rsidR="00DB2B68" w:rsidRDefault="00000000">
            <w:r>
              <w:rPr>
                <w:rFonts w:ascii="Courier New" w:hAnsi="Courier New" w:cs="Courier New"/>
                <w:b/>
                <w:color w:val="969696"/>
              </w:rPr>
              <w:t xml:space="preserve">M5 : </w:t>
            </w:r>
            <w:r>
              <w:rPr>
                <w:rFonts w:ascii="Courier New" w:hAnsi="Courier New" w:cs="Courier New"/>
                <w:color w:val="969696"/>
              </w:rPr>
              <w:t>pour éléments de f</w:t>
            </w:r>
            <w:r>
              <w:rPr>
                <w:rFonts w:ascii="Courier New" w:hAnsi="Courier New" w:cs="Courier New"/>
                <w:color w:val="969696"/>
                <w:vertAlign w:val="subscript"/>
              </w:rPr>
              <w:t>b </w:t>
            </w:r>
            <w:r>
              <w:rPr>
                <w:rFonts w:ascii="Courier New" w:hAnsi="Courier New" w:cs="Courier New"/>
                <w:color w:val="969696"/>
              </w:rPr>
              <w:t>entre 5 et 20 N/mm2.</w:t>
            </w:r>
          </w:p>
        </w:tc>
        <w:tc>
          <w:tcPr>
            <w:tcW w:w="4515" w:type="dxa"/>
            <w:tcBorders>
              <w:top w:val="single" w:sz="1" w:space="0" w:color="000000"/>
              <w:left w:val="single" w:sz="1" w:space="0" w:color="000000"/>
              <w:bottom w:val="single" w:sz="1" w:space="0" w:color="000000"/>
              <w:right w:val="single" w:sz="1" w:space="0" w:color="000000"/>
            </w:tcBorders>
            <w:noWrap/>
          </w:tcPr>
          <w:p w14:paraId="4F749334" w14:textId="77777777" w:rsidR="00DB2B68" w:rsidRDefault="00000000">
            <w:r>
              <w:rPr>
                <w:rFonts w:ascii="Courier New" w:hAnsi="Courier New" w:cs="Courier New"/>
                <w:color w:val="969696"/>
              </w:rPr>
              <w:t xml:space="preserve">200 kg de ciment (classe de résistance 32,5) et 100kg de poudre </w:t>
            </w:r>
            <w:r>
              <w:rPr>
                <w:rFonts w:ascii="Courier New" w:hAnsi="Courier New" w:cs="Courier New"/>
                <w:color w:val="969696"/>
              </w:rPr>
              <w:lastRenderedPageBreak/>
              <w:t>de chaux grasse au m3 de sable sec (= 1 part de ciment et 1 part de poudre de chaux pour 6 parts de sable )</w:t>
            </w:r>
          </w:p>
        </w:tc>
      </w:tr>
      <w:tr w:rsidR="00DB2B68" w14:paraId="3F4B566B" w14:textId="77777777">
        <w:tc>
          <w:tcPr>
            <w:tcW w:w="4515" w:type="dxa"/>
            <w:tcBorders>
              <w:top w:val="single" w:sz="1" w:space="0" w:color="000000"/>
              <w:left w:val="single" w:sz="1" w:space="0" w:color="000000"/>
              <w:bottom w:val="single" w:sz="1" w:space="0" w:color="000000"/>
              <w:right w:val="single" w:sz="1" w:space="0" w:color="000000"/>
            </w:tcBorders>
            <w:noWrap/>
          </w:tcPr>
          <w:p w14:paraId="252B12C9" w14:textId="77777777" w:rsidR="00DB2B68" w:rsidRDefault="00000000">
            <w:r>
              <w:rPr>
                <w:rFonts w:ascii="Courier New" w:hAnsi="Courier New" w:cs="Courier New"/>
                <w:b/>
                <w:color w:val="969696"/>
              </w:rPr>
              <w:t xml:space="preserve">M2.5 : </w:t>
            </w:r>
            <w:r>
              <w:rPr>
                <w:rFonts w:ascii="Courier New" w:hAnsi="Courier New" w:cs="Courier New"/>
                <w:color w:val="969696"/>
              </w:rPr>
              <w:t>pour éléments de f</w:t>
            </w:r>
            <w:r>
              <w:rPr>
                <w:rFonts w:ascii="Courier New" w:hAnsi="Courier New" w:cs="Courier New"/>
                <w:color w:val="969696"/>
                <w:vertAlign w:val="subscript"/>
              </w:rPr>
              <w:t>b </w:t>
            </w:r>
            <w:r>
              <w:rPr>
                <w:rFonts w:ascii="Courier New" w:hAnsi="Courier New" w:cs="Courier New"/>
                <w:color w:val="969696"/>
              </w:rPr>
              <w:t>entre 2,5 et 10 N/mm2.</w:t>
            </w:r>
          </w:p>
        </w:tc>
        <w:tc>
          <w:tcPr>
            <w:tcW w:w="4515" w:type="dxa"/>
            <w:tcBorders>
              <w:top w:val="single" w:sz="1" w:space="0" w:color="000000"/>
              <w:left w:val="single" w:sz="1" w:space="0" w:color="000000"/>
              <w:bottom w:val="single" w:sz="1" w:space="0" w:color="000000"/>
              <w:right w:val="single" w:sz="1" w:space="0" w:color="000000"/>
            </w:tcBorders>
            <w:noWrap/>
          </w:tcPr>
          <w:p w14:paraId="007C656A" w14:textId="77777777" w:rsidR="00DB2B68" w:rsidRDefault="00000000">
            <w:r>
              <w:rPr>
                <w:rFonts w:ascii="Courier New" w:hAnsi="Courier New" w:cs="Courier New"/>
                <w:color w:val="969696"/>
              </w:rPr>
              <w:t>150 kg de ciment et 150 kg de poudre de chaux grasse au m3 de sable sec (= 1 part de ciment et 2 parts de poudre de chaux pour 8 parts de sable )</w:t>
            </w:r>
          </w:p>
        </w:tc>
      </w:tr>
    </w:tbl>
    <w:p w14:paraId="483F2894" w14:textId="77777777" w:rsidR="00DB2B68" w:rsidRDefault="00000000">
      <w:r>
        <w:rPr>
          <w:u w:val="single"/>
        </w:rPr>
        <w:t>MORTIER DE JOINTOIEMENT</w:t>
      </w:r>
    </w:p>
    <w:p w14:paraId="3A0495AD" w14:textId="77777777" w:rsidR="00DB2B68" w:rsidRDefault="00000000">
      <w:r>
        <w:t>Sous sa seule responsabilité, l'entrepreneur étudie à l'avance la compatibilité des mortiers de maçonnage et de rejointoiement.</w:t>
      </w:r>
    </w:p>
    <w:p w14:paraId="5CEED481" w14:textId="77777777" w:rsidR="00DB2B68" w:rsidRDefault="00000000">
      <w:r>
        <w:t xml:space="preserve">Le mortier de pose pour les </w:t>
      </w:r>
      <w:r>
        <w:rPr>
          <w:rStyle w:val="optioncarChar"/>
        </w:rPr>
        <w:t>plinthes / seuils / encadrements / pierres de couverture / ***</w:t>
      </w:r>
      <w:r>
        <w:t xml:space="preserve"> est : </w:t>
      </w:r>
      <w:r>
        <w:rPr>
          <w:rStyle w:val="optioncarChar"/>
        </w:rPr>
        <w:t xml:space="preserve">un mortier de catégorie M5 </w:t>
      </w:r>
      <w:r>
        <w:t>(par défaut)</w:t>
      </w:r>
      <w:r>
        <w:rPr>
          <w:rStyle w:val="optioncarChar"/>
        </w:rPr>
        <w:t xml:space="preserve"> / ***</w:t>
      </w:r>
      <w:r>
        <w:t xml:space="preserve"> :</w:t>
      </w:r>
    </w:p>
    <w:p w14:paraId="515B3DB7" w14:textId="77777777" w:rsidR="00DB2B68" w:rsidRDefault="00000000">
      <w:r>
        <w:rPr>
          <w:b/>
        </w:rPr>
        <w:t>(soit par défaut)</w:t>
      </w:r>
    </w:p>
    <w:p w14:paraId="345B820D" w14:textId="77777777" w:rsidR="00DB2B68" w:rsidRDefault="00000000">
      <w:r>
        <w:rPr>
          <w:rStyle w:val="soitChar"/>
          <w:u w:val="single"/>
        </w:rPr>
        <w:t>Un mortier de la catégorie M5</w:t>
      </w:r>
      <w:r>
        <w:rPr>
          <w:rStyle w:val="soitChar"/>
        </w:rPr>
        <w:t xml:space="preserve"> selon [NBN EN 998-2] : composition 200 kg de ciment de la classe la résistance 32,5 et 100 kg chaux grasse en poudre au m³ de sable sec (soit 1 part de ciment et 1 part de chaux grasse en poudre pour 6 parts de sable.</w:t>
      </w:r>
    </w:p>
    <w:p w14:paraId="35990E21" w14:textId="77777777" w:rsidR="00DB2B68" w:rsidRDefault="00000000">
      <w:r>
        <w:rPr>
          <w:b/>
        </w:rPr>
        <w:t>(soit)</w:t>
      </w:r>
    </w:p>
    <w:p w14:paraId="4BBFE6EC" w14:textId="77777777" w:rsidR="00DB2B68" w:rsidRDefault="00000000">
      <w:r>
        <w:rPr>
          <w:rStyle w:val="optioncarChar"/>
        </w:rPr>
        <w:t>***</w:t>
      </w:r>
    </w:p>
    <w:p w14:paraId="1C0ACAE5" w14:textId="77777777" w:rsidR="00DB2B68" w:rsidRDefault="00000000">
      <w:r>
        <w:t xml:space="preserve">Pour le jointoiement des éléments en pierre bleue, on ajoute au mortier de la poudre de pierre bleue afin d'obtenir un coloris gris-bleu. Le mortier est : </w:t>
      </w:r>
      <w:r>
        <w:rPr>
          <w:rStyle w:val="optioncarChar"/>
        </w:rPr>
        <w:t xml:space="preserve">un mortier préparé en usine </w:t>
      </w:r>
      <w:r>
        <w:rPr>
          <w:rStyle w:val="optioncarChar"/>
          <w:color w:val="000000"/>
        </w:rPr>
        <w:t>(par défaut)</w:t>
      </w:r>
      <w:r>
        <w:rPr>
          <w:rStyle w:val="optioncarChar"/>
        </w:rPr>
        <w:t xml:space="preserve"> / un mastic élastique / ***</w:t>
      </w:r>
    </w:p>
    <w:p w14:paraId="651680E4" w14:textId="77777777" w:rsidR="00DB2B68" w:rsidRDefault="00000000">
      <w:r>
        <w:rPr>
          <w:b/>
        </w:rPr>
        <w:t>(soit par défaut)</w:t>
      </w:r>
    </w:p>
    <w:p w14:paraId="2B5B9288" w14:textId="77777777" w:rsidR="00DB2B68" w:rsidRDefault="00000000">
      <w:r>
        <w:rPr>
          <w:rStyle w:val="soitChar"/>
          <w:u w:val="single"/>
        </w:rPr>
        <w:t>Un mortier préparé en usine </w:t>
      </w:r>
      <w:r>
        <w:rPr>
          <w:rStyle w:val="soitChar"/>
        </w:rPr>
        <w:t>: la couleur est appropriée à la pierre, et soumis à la validation de l'auteur de projet.</w:t>
      </w:r>
    </w:p>
    <w:p w14:paraId="73112DDD" w14:textId="77777777" w:rsidR="00DB2B68" w:rsidRDefault="00000000">
      <w:r>
        <w:rPr>
          <w:b/>
        </w:rPr>
        <w:t>(soit)</w:t>
      </w:r>
    </w:p>
    <w:p w14:paraId="75197BE8" w14:textId="77777777" w:rsidR="00DB2B68" w:rsidRDefault="00000000">
      <w:r>
        <w:t>Un mastic élastique</w:t>
      </w:r>
      <w:r>
        <w:rPr>
          <w:rStyle w:val="soitChar"/>
        </w:rPr>
        <w:t xml:space="preserve"> : à base de polysulfide sur un fond de joint en mousse de polyuréthane.</w:t>
      </w:r>
    </w:p>
    <w:p w14:paraId="6DB36099" w14:textId="77777777" w:rsidR="00DB2B68" w:rsidRDefault="00000000">
      <w:r>
        <w:rPr>
          <w:b/>
        </w:rPr>
        <w:t>(soit)</w:t>
      </w:r>
    </w:p>
    <w:p w14:paraId="158DCE63" w14:textId="77777777" w:rsidR="00DB2B68" w:rsidRDefault="00000000">
      <w:r>
        <w:rPr>
          <w:rStyle w:val="optioncarChar"/>
        </w:rPr>
        <w:t>***</w:t>
      </w:r>
    </w:p>
    <w:p w14:paraId="7C3368BA" w14:textId="77777777" w:rsidR="00DB2B68" w:rsidRDefault="00000000">
      <w:r>
        <w:t>Teinte :</w:t>
      </w:r>
      <w:r>
        <w:rPr>
          <w:rStyle w:val="optioncarChar"/>
        </w:rPr>
        <w:t xml:space="preserve"> gris foncé </w:t>
      </w:r>
      <w:r>
        <w:t>(par défaut)</w:t>
      </w:r>
      <w:r>
        <w:rPr>
          <w:rStyle w:val="optioncarChar"/>
        </w:rPr>
        <w:t xml:space="preserve"> / gris-bleu / adapté à la couleur de l'élément de façade / ***</w:t>
      </w:r>
    </w:p>
    <w:p w14:paraId="5B45B3AF" w14:textId="77777777" w:rsidR="00DB2B68" w:rsidRDefault="00000000">
      <w:pPr>
        <w:ind w:left="750"/>
      </w:pPr>
      <w:r>
        <w:t> </w:t>
      </w:r>
    </w:p>
    <w:p w14:paraId="1C0B3431" w14:textId="77777777" w:rsidR="00DB2B68" w:rsidRDefault="00000000">
      <w:pPr>
        <w:pStyle w:val="pheading"/>
      </w:pPr>
      <w:r>
        <w:t>EXÉCUTION / MISE EN ŒUVRE</w:t>
      </w:r>
    </w:p>
    <w:p w14:paraId="74DDF9B0" w14:textId="77777777" w:rsidR="00DB2B68" w:rsidRDefault="00000000">
      <w:r>
        <w:rPr>
          <w:u w:val="single"/>
        </w:rPr>
        <w:t>Transport - livraison</w:t>
      </w:r>
    </w:p>
    <w:p w14:paraId="02C0D67E" w14:textId="77777777" w:rsidR="00DB2B68" w:rsidRDefault="00000000">
      <w:r>
        <w:t>Les éléments de façade sont livrés sur palettes. Pendant le transport, les éléments sont rangés horizontalement et recouverts d'une bâche. Pendant leur séjour sur chantier, ils sont entreposés à plat, à l'abri des influences atmosphériques, dans un endroit bien ventilé ou sous une bâche de protection.</w:t>
      </w:r>
    </w:p>
    <w:p w14:paraId="3AF1557F" w14:textId="77777777" w:rsidR="00DB2B68" w:rsidRDefault="00000000">
      <w:r>
        <w:rPr>
          <w:u w:val="single"/>
        </w:rPr>
        <w:t>Face de parement</w:t>
      </w:r>
    </w:p>
    <w:p w14:paraId="5769CC0B" w14:textId="77777777" w:rsidR="00DB2B68" w:rsidRDefault="00000000">
      <w:r>
        <w:t>Pour la pose des éléments de façade, il faut tenir compte de la coulisse et de la modulation selon le descriptif du titre </w:t>
      </w:r>
      <w:hyperlink w:anchor="381" w:history="1">
        <w:r>
          <w:rPr>
            <w:color w:val="0000EE"/>
          </w:rPr>
          <w:t>21.3 Maçonneries de parement</w:t>
        </w:r>
      </w:hyperlink>
      <w:r>
        <w:t>. L'entreprise veille plus particulièrement à éviter tous les ponts thermiques et d'humidité qui peuvent être créés suite à la pose des éléments de façade dans l'ouvrage en maçonnerie. Les liaisons entre les pierres de taille similaires doivent être obtenues par la continuité de l'appareillage. Tous les murs formant un ensemble sont érigés en même temps. Il est interdit de couper les pierres entières. Les morceaux de pierres ne sont pas mis en œuvre.</w:t>
      </w:r>
    </w:p>
    <w:p w14:paraId="10C5A9DA" w14:textId="77777777" w:rsidR="00DB2B68" w:rsidRDefault="00000000">
      <w:r>
        <w:rPr>
          <w:u w:val="single"/>
        </w:rPr>
        <w:t>Mise en place - appareillage</w:t>
      </w:r>
    </w:p>
    <w:p w14:paraId="0A11BA3C" w14:textId="77777777" w:rsidR="00DB2B68" w:rsidRDefault="00000000">
      <w:r>
        <w:t xml:space="preserve">Les éléments de façade sont soigneusement positionnés. A cet effet, ils sont posés et ajustés sur des cales, dont l'épaisseur est adaptée à l'épaisseur des joints, compte tenu des tolérances, de manière </w:t>
      </w:r>
      <w:r>
        <w:lastRenderedPageBreak/>
        <w:t>telle que la face supérieure de chaque assise soit bien plane et égale. Les cales sont posées dans les angles et à au moins 5 cm des bords pour éviter les épaufrures. En général, la face de pose est parallèle au lit de carrière. Lorsqu'il est impossible de respecter cette règle, la mise en œuvre s'effectue dans le sens contraire.</w:t>
      </w:r>
    </w:p>
    <w:p w14:paraId="65223F73" w14:textId="77777777" w:rsidR="00DB2B68" w:rsidRDefault="00000000">
      <w:r>
        <w:rPr>
          <w:u w:val="single"/>
        </w:rPr>
        <w:t xml:space="preserve">Mise en œuvre </w:t>
      </w:r>
    </w:p>
    <w:p w14:paraId="6DE90CB2" w14:textId="77777777" w:rsidR="00DB2B68" w:rsidRDefault="00000000">
      <w:r>
        <w:t>Les éléments de façade sont posés à bain refluant de mortier, en veillant à ce que la couche de mortier soit appliquée sur une épaisseur dépassant celle des cales. Les joints présentent partout la même épaisseur et sont rectilignes. La largeur des joints montants et d'assise concorde avec celle de la maçonnerie de parement dans laquelle les éléments en pierre naturelle sont intégrés. Par temps sec, les éléments de petites dimensions sont préalablement humidifiés. Les faces de pose et de chant des éléments de grandes dimensions sont également humidifiées avant la mise en œuvre de façon telle que, par capillarité, toute l'eau du mortier ne soit pas absorbée. Les jonctions (joints montants et d'assise) avec le mur de parement extérieur sont bien remplies de mortier. Sur la face extérieure, les joints restent évidés sur une profondeur de 2 cm, lorsque le parement est rejointoyé par après. L'entreprise prend les précautions nécessaires pour donner et conserver aux éléments de façade intégrés dans les ouvrages en maçonnerie un aspect soigné et impeccable. Après la pose, les joints montants sont remplis de mortier. Tout contact direct entre le mur intérieur et le mur extérieur du mur à coulisse doit être évité. Les matériaux mis en place doivent être compatibles avec le remplissage des joints de la menuiserie extérieure.</w:t>
      </w:r>
    </w:p>
    <w:p w14:paraId="2098F46A" w14:textId="77777777" w:rsidR="00DB2B68" w:rsidRDefault="00000000">
      <w:r>
        <w:rPr>
          <w:u w:val="single"/>
        </w:rPr>
        <w:t>Ancrages </w:t>
      </w:r>
    </w:p>
    <w:p w14:paraId="26E541C7" w14:textId="77777777" w:rsidR="00DB2B68" w:rsidRDefault="00000000">
      <w:r>
        <w:t>La construction portante est suffisamment résistante et épaisse pour pouvoir fixer les éléments d'ancrage des pierres en tenant compte des sollicitations auxquelles elles sont soumises (arrachement, fléchissement, force de cisaillement). En ce qui concerne les essais de contrôle et les caractéristiques techniques, il est fait référence aux méthodes décrites dans la [NIT 220].</w:t>
      </w:r>
    </w:p>
    <w:p w14:paraId="44193CC5" w14:textId="77777777" w:rsidR="00DB2B68" w:rsidRDefault="00000000">
      <w:r>
        <w:rPr>
          <w:u w:val="single"/>
        </w:rPr>
        <w:t>Sécurité</w:t>
      </w:r>
    </w:p>
    <w:p w14:paraId="173D245D" w14:textId="77777777" w:rsidR="00DB2B68" w:rsidRDefault="00000000">
      <w:r>
        <w:t>Conformément au titre 04.4 Mesures de protection , établie par le coordinateur-projet et annexée au cahier spécial des charges. Toutes les directives en cette matière et les indications concrètes du coordinateur-réalisation sont scrupuleusement respectées.</w:t>
      </w:r>
    </w:p>
    <w:p w14:paraId="1FA8D29D" w14:textId="77777777" w:rsidR="00DB2B68" w:rsidRDefault="00000000">
      <w:pPr>
        <w:pStyle w:val="pheading"/>
      </w:pPr>
      <w:r>
        <w:t>CONTRÔLES</w:t>
      </w:r>
    </w:p>
    <w:p w14:paraId="2AA487CF" w14:textId="77777777" w:rsidR="00DB2B68" w:rsidRDefault="00000000">
      <w:r>
        <w:t>Après la pose et jusqu'à la réception provisoire, les éléments sont protégés contre les dégradations et les souillures. A la réception provisoire, toute dégradation est refusée et l'élément endommagé doit être remplacé aux frais de l'entrepreneur.</w:t>
      </w:r>
    </w:p>
    <w:p w14:paraId="04FAE193" w14:textId="77777777" w:rsidR="00DB2B68" w:rsidRDefault="00000000">
      <w:pPr>
        <w:pStyle w:val="pheading"/>
      </w:pPr>
      <w:r>
        <w:t>DOCUMENTS DE RÉFÉRENCE</w:t>
      </w:r>
    </w:p>
    <w:p w14:paraId="27AC81EC" w14:textId="77777777" w:rsidR="00DB2B68" w:rsidRDefault="00000000">
      <w:pPr>
        <w:pStyle w:val="pheading"/>
      </w:pPr>
      <w:r>
        <w:t>- Exécution</w:t>
      </w:r>
    </w:p>
    <w:p w14:paraId="2000F315" w14:textId="77777777" w:rsidR="00DB2B68" w:rsidRDefault="00000000">
      <w:r>
        <w:t>[NIT 220, La pierre bleue de Belgique dite petit granit d'âge géologique tournaisien (remplace la NIT 156).]</w:t>
      </w:r>
    </w:p>
    <w:p w14:paraId="5F7A36E2" w14:textId="77777777" w:rsidR="00DB2B68" w:rsidRDefault="00000000">
      <w:r>
        <w:t> </w:t>
      </w:r>
    </w:p>
    <w:p w14:paraId="6E98562A" w14:textId="77777777" w:rsidR="00DB2B68" w:rsidRDefault="00000000">
      <w:pPr>
        <w:ind w:left="750"/>
      </w:pPr>
      <w:r>
        <w:t> </w:t>
      </w:r>
    </w:p>
    <w:p w14:paraId="652E6FD5" w14:textId="77777777" w:rsidR="00DB2B68" w:rsidRDefault="00000000">
      <w:pPr>
        <w:pStyle w:val="Author-eSectionHeading5Numberless"/>
      </w:pPr>
      <w:bookmarkStart w:id="301" w:name="_Toc220495422"/>
      <w:r>
        <w:t>21.36.1 Seuils CCTB 01.11</w:t>
      </w:r>
      <w:bookmarkEnd w:id="301"/>
    </w:p>
    <w:p w14:paraId="418531D8" w14:textId="77777777" w:rsidR="00DB2B68" w:rsidRDefault="00000000">
      <w:pPr>
        <w:pStyle w:val="pheading"/>
      </w:pPr>
      <w:bookmarkStart w:id="302" w:name="408"/>
      <w:bookmarkEnd w:id="302"/>
      <w:r>
        <w:t>DESCRIPTION</w:t>
      </w:r>
    </w:p>
    <w:p w14:paraId="2DD601CA" w14:textId="77777777" w:rsidR="00DB2B68" w:rsidRDefault="00000000">
      <w:pPr>
        <w:pStyle w:val="pheading"/>
      </w:pPr>
      <w:r>
        <w:t>- Définition / Comprend</w:t>
      </w:r>
    </w:p>
    <w:p w14:paraId="060F5F74" w14:textId="77777777" w:rsidR="00DB2B68" w:rsidRDefault="00000000">
      <w:pPr>
        <w:jc w:val="both"/>
      </w:pPr>
      <w:r>
        <w:t>Il s'agit de la fourniture (hors matériaux récupérés du même site)  et de la pose des seuils de portes et fenêtres complètement parachevés. Le prix unitaire comprend :</w:t>
      </w:r>
    </w:p>
    <w:p w14:paraId="16CD9A0B" w14:textId="77777777" w:rsidR="00DB2B68" w:rsidRDefault="00000000">
      <w:pPr>
        <w:pStyle w:val="Author-eListParagraph"/>
        <w:numPr>
          <w:ilvl w:val="0"/>
          <w:numId w:val="272"/>
        </w:numPr>
        <w:jc w:val="both"/>
      </w:pPr>
      <w:r>
        <w:t>la vérification par mesurage des dimensions exactes pendant ou après l'exécution des travaux de gros-œuvre afin de contrôler la concordance entre les dessins de détail ou les détails des pierres avec les travaux exécutés ;</w:t>
      </w:r>
    </w:p>
    <w:p w14:paraId="689B549C" w14:textId="77777777" w:rsidR="00DB2B68" w:rsidRDefault="00000000">
      <w:pPr>
        <w:pStyle w:val="Author-eListParagraph"/>
        <w:numPr>
          <w:ilvl w:val="0"/>
          <w:numId w:val="272"/>
        </w:numPr>
        <w:jc w:val="both"/>
      </w:pPr>
      <w:r>
        <w:t>La fourniture (hors matériaux récupérés du même site) des seuils ;</w:t>
      </w:r>
    </w:p>
    <w:p w14:paraId="2A09E2DA" w14:textId="77777777" w:rsidR="00DB2B68" w:rsidRDefault="00000000">
      <w:pPr>
        <w:pStyle w:val="Author-eListParagraph"/>
        <w:numPr>
          <w:ilvl w:val="0"/>
          <w:numId w:val="272"/>
        </w:numPr>
        <w:jc w:val="both"/>
      </w:pPr>
      <w:r>
        <w:lastRenderedPageBreak/>
        <w:t>la réalisation de tous les biseautages ;</w:t>
      </w:r>
    </w:p>
    <w:p w14:paraId="58509A8A" w14:textId="77777777" w:rsidR="00DB2B68" w:rsidRDefault="00000000">
      <w:pPr>
        <w:pStyle w:val="Author-eListParagraph"/>
        <w:numPr>
          <w:ilvl w:val="0"/>
          <w:numId w:val="272"/>
        </w:numPr>
        <w:jc w:val="both"/>
      </w:pPr>
      <w:r>
        <w:t>l'aménagement des inclinaisons et des rejets d'eau ;</w:t>
      </w:r>
    </w:p>
    <w:p w14:paraId="274575B4" w14:textId="77777777" w:rsidR="00DB2B68" w:rsidRDefault="00000000">
      <w:pPr>
        <w:pStyle w:val="Author-eListParagraph"/>
        <w:numPr>
          <w:ilvl w:val="0"/>
          <w:numId w:val="272"/>
        </w:numPr>
        <w:jc w:val="both"/>
      </w:pPr>
      <w:r>
        <w:t>le réglage et la pose des seuils ;</w:t>
      </w:r>
    </w:p>
    <w:p w14:paraId="2EC13E80" w14:textId="77777777" w:rsidR="00DB2B68" w:rsidRDefault="00000000">
      <w:pPr>
        <w:pStyle w:val="Author-eListParagraph"/>
        <w:numPr>
          <w:ilvl w:val="0"/>
          <w:numId w:val="272"/>
        </w:numPr>
        <w:jc w:val="both"/>
      </w:pPr>
      <w:r>
        <w:t>le rejointoiement et, au besoin, le masticage ;</w:t>
      </w:r>
    </w:p>
    <w:p w14:paraId="4687929C" w14:textId="77777777" w:rsidR="00DB2B68" w:rsidRDefault="00000000">
      <w:pPr>
        <w:pStyle w:val="Author-eListParagraph"/>
        <w:numPr>
          <w:ilvl w:val="0"/>
          <w:numId w:val="272"/>
        </w:numPr>
        <w:jc w:val="both"/>
      </w:pPr>
      <w:r>
        <w:t>le nettoyage en vue de la réception provisoire.</w:t>
      </w:r>
    </w:p>
    <w:p w14:paraId="5A1049E8" w14:textId="77777777" w:rsidR="00DB2B68" w:rsidRDefault="00000000">
      <w:pPr>
        <w:pStyle w:val="pheading"/>
      </w:pPr>
      <w:r>
        <w:t>- Remarques importantes</w:t>
      </w:r>
    </w:p>
    <w:p w14:paraId="3DF01DF3" w14:textId="77777777" w:rsidR="00DB2B68" w:rsidRDefault="00000000">
      <w:r>
        <w:t>Les seuils en matière synthétique ou en métal sont décrits au sous-titre 41.71 Seuils.</w:t>
      </w:r>
    </w:p>
    <w:p w14:paraId="3FB9D6DB" w14:textId="77777777" w:rsidR="00DB2B68" w:rsidRDefault="00000000">
      <w:pPr>
        <w:pStyle w:val="pheading"/>
      </w:pPr>
      <w:r>
        <w:t>MATÉRIAUX</w:t>
      </w:r>
    </w:p>
    <w:p w14:paraId="577478C2" w14:textId="77777777" w:rsidR="00DB2B68" w:rsidRDefault="00000000">
      <w:pPr>
        <w:jc w:val="both"/>
      </w:pPr>
      <w:r>
        <w:t>Les seuils neufs sont profilés conformément aux prescriptions du cahier spécial des charges et/ou des dessins de détail annexés. </w:t>
      </w:r>
    </w:p>
    <w:p w14:paraId="2A498537" w14:textId="77777777" w:rsidR="00DB2B68" w:rsidRDefault="00000000">
      <w:pPr>
        <w:jc w:val="both"/>
      </w:pPr>
      <w:r>
        <w:t>L'entrepreneur prend sur place les dimensions exactes des seuils afin de compléter les stéréotomies.</w:t>
      </w:r>
    </w:p>
    <w:p w14:paraId="6188678B" w14:textId="77777777" w:rsidR="00DB2B68" w:rsidRDefault="00000000">
      <w:pPr>
        <w:jc w:val="both"/>
      </w:pPr>
      <w:r>
        <w:t>L'entrepreneur est tenu de vérifier si les seuils peuvent être livrés dans la forme, les dimensions et le modèle prescrits dans les documents d'adjudication.</w:t>
      </w:r>
    </w:p>
    <w:p w14:paraId="48F93429" w14:textId="77777777" w:rsidR="00DB2B68" w:rsidRDefault="00000000">
      <w:pPr>
        <w:jc w:val="both"/>
      </w:pPr>
      <w:r>
        <w:t>Lorsqu'ils sont requis, l'entrepreneur soumet à l'approbation de l'auteur de projet, les éléments suivants :</w:t>
      </w:r>
    </w:p>
    <w:p w14:paraId="1B52DB9E" w14:textId="77777777" w:rsidR="00DB2B68" w:rsidRDefault="00000000">
      <w:pPr>
        <w:pStyle w:val="Author-eListParagraph"/>
        <w:numPr>
          <w:ilvl w:val="0"/>
          <w:numId w:val="273"/>
        </w:numPr>
      </w:pPr>
      <w:r>
        <w:t>une carte des couleurs et des échantillons des seuils préfabriqués ;</w:t>
      </w:r>
    </w:p>
    <w:p w14:paraId="54C00441" w14:textId="77777777" w:rsidR="00DB2B68" w:rsidRDefault="00000000">
      <w:pPr>
        <w:pStyle w:val="Author-eListParagraph"/>
        <w:numPr>
          <w:ilvl w:val="0"/>
          <w:numId w:val="273"/>
        </w:numPr>
      </w:pPr>
      <w:r>
        <w:t>le ou les échantillon(s) contractuel(s) par type de seuil utilisé, représentatif de l'aspect moyen, du coloris et de la structure de surface de la fourniture ;</w:t>
      </w:r>
    </w:p>
    <w:p w14:paraId="657012DE" w14:textId="77777777" w:rsidR="00DB2B68" w:rsidRDefault="00000000">
      <w:pPr>
        <w:pStyle w:val="Author-eListParagraph"/>
        <w:numPr>
          <w:ilvl w:val="0"/>
          <w:numId w:val="273"/>
        </w:numPr>
      </w:pPr>
      <w:r>
        <w:t>la fourniture de maquettes ou prototypes ;</w:t>
      </w:r>
    </w:p>
    <w:p w14:paraId="1790C603" w14:textId="77777777" w:rsidR="00DB2B68" w:rsidRDefault="00000000">
      <w:pPr>
        <w:pStyle w:val="Author-eListParagraph"/>
        <w:numPr>
          <w:ilvl w:val="0"/>
          <w:numId w:val="273"/>
        </w:numPr>
      </w:pPr>
      <w:r>
        <w:t>les détails de finition et les plans de pose (écartement entre les colonnes, …) ;</w:t>
      </w:r>
    </w:p>
    <w:p w14:paraId="28092221" w14:textId="77777777" w:rsidR="00DB2B68" w:rsidRDefault="00000000">
      <w:pPr>
        <w:pStyle w:val="Author-eListParagraph"/>
        <w:numPr>
          <w:ilvl w:val="0"/>
          <w:numId w:val="273"/>
        </w:numPr>
      </w:pPr>
      <w:r>
        <w:t>les certificats de garantie, attestations, …</w:t>
      </w:r>
    </w:p>
    <w:p w14:paraId="016F18F2" w14:textId="77777777" w:rsidR="00DB2B68" w:rsidRDefault="00000000">
      <w:pPr>
        <w:jc w:val="both"/>
      </w:pPr>
      <w:r>
        <w:t>Pour les seuils neufs et de réemploi, le débordement par rapport à la face du parement est d'environ 50 mm. Tous les seuils en saillie sont pourvus d'un rejet d'eau dans le bas. Les larmiers présentent une profondeur d'au moins 5 mm et se situent à environ 10 mm du bord. En façade, les larmiers sont posés à une distance d'au moins 30 mm du plan de la façade.</w:t>
      </w:r>
    </w:p>
    <w:p w14:paraId="1E1C9DEF" w14:textId="77777777" w:rsidR="00DB2B68" w:rsidRDefault="00000000">
      <w:pPr>
        <w:jc w:val="both"/>
      </w:pPr>
      <w:r>
        <w:t>Pour la face arrière du seuil, à l'intérieur, il faut tenir compte de l'épaisseur de la menuiserie et des éventuels équipements prévus pour les volets et/ou pare-soleil.</w:t>
      </w:r>
    </w:p>
    <w:p w14:paraId="4AE39F22" w14:textId="77777777" w:rsidR="00DB2B68" w:rsidRDefault="00000000">
      <w:pPr>
        <w:jc w:val="both"/>
      </w:pPr>
      <w:r>
        <w:t>Sous les portes extérieures, on prévoit toujours un relevé d'une hauteur de 10 mm et d'une largeur de 20 mm, qui doit coïncider avec le niveau du sol fini.</w:t>
      </w:r>
    </w:p>
    <w:p w14:paraId="195CC15E" w14:textId="77777777" w:rsidR="00DB2B68" w:rsidRDefault="00000000">
      <w:pPr>
        <w:jc w:val="both"/>
      </w:pPr>
      <w:r>
        <w:t>Les seuils de réemploi sont présentés à l’auteur de projet pour acceptation. Ils sont ajustés en largeur pour l’encastrement de baie et en profondeur pour présenter un débordement homogène.</w:t>
      </w:r>
    </w:p>
    <w:p w14:paraId="1673056C" w14:textId="77777777" w:rsidR="00DB2B68" w:rsidRDefault="00000000">
      <w:pPr>
        <w:pStyle w:val="pheading"/>
      </w:pPr>
      <w:r>
        <w:t>EXÉCUTION / MISE EN ŒUVRE</w:t>
      </w:r>
    </w:p>
    <w:p w14:paraId="55A3C4A5" w14:textId="77777777" w:rsidR="00DB2B68" w:rsidRDefault="00000000">
      <w:pPr>
        <w:jc w:val="both"/>
      </w:pPr>
      <w:r>
        <w:t>Les seuils sont placés avant la mise en œuvre des sols et de la menuiserie extérieure.</w:t>
      </w:r>
    </w:p>
    <w:p w14:paraId="06BBC191" w14:textId="77777777" w:rsidR="00DB2B68" w:rsidRDefault="00000000">
      <w:pPr>
        <w:jc w:val="both"/>
      </w:pPr>
      <w:r>
        <w:t>Une rupture thermique adéquate (isolation) est prévue entre les seuils extérieurs et le mur de contre-façade. Où cela s'avère nécessaire, une isolation supplémentaire est prévue dans la coulisse afin de prévenir les ponts thermiques. </w:t>
      </w:r>
    </w:p>
    <w:p w14:paraId="6BFD800F" w14:textId="77777777" w:rsidR="00DB2B68" w:rsidRDefault="00000000">
      <w:pPr>
        <w:jc w:val="both"/>
      </w:pPr>
      <w:r>
        <w:t>Sur toute leur longueur, les seuils sont posés sur une couche d'étanchéité souple, posée à l'arrière et relevée sur les côtés afin que l'eau de ruissellement puisse s'écouler vers l'extérieur.</w:t>
      </w:r>
    </w:p>
    <w:p w14:paraId="7726BBFA" w14:textId="77777777" w:rsidR="00DB2B68" w:rsidRDefault="00000000">
      <w:pPr>
        <w:jc w:val="both"/>
      </w:pPr>
      <w:r>
        <w:t>Les seuils sont placés de niveau à plein bain de mortier de la catégorie 12, selon la [NBN EN 998-2], auquel une émulsion synthétique hydrofuge est ajoutée. Les éléments de seuil plats sont posés avec une légère inclinaison d'environ 1 cm vers l'extérieur.</w:t>
      </w:r>
    </w:p>
    <w:p w14:paraId="240661D4" w14:textId="77777777" w:rsidR="00DB2B68" w:rsidRDefault="00000000">
      <w:pPr>
        <w:jc w:val="both"/>
      </w:pPr>
      <w:r>
        <w:t>Le raccord de l'étanchéité avec un seuil est réalisé tel que :</w:t>
      </w:r>
    </w:p>
    <w:p w14:paraId="23E3CD2C" w14:textId="77777777" w:rsidR="00DB2B68" w:rsidRDefault="00000000">
      <w:pPr>
        <w:pStyle w:val="Author-eListParagraph"/>
        <w:numPr>
          <w:ilvl w:val="0"/>
          <w:numId w:val="274"/>
        </w:numPr>
      </w:pPr>
      <w:r>
        <w:t>la hauteur du relevé d'un seuil est de minimum 150mm avec le niveau d’évacuation des eaux. La position du seuil pour l’accès PMR est en conformité par rapport aux « Guide d’aide à la conception bâtiment accessible ([CAWAB Guide]) ».</w:t>
      </w:r>
    </w:p>
    <w:p w14:paraId="7542CB93" w14:textId="77777777" w:rsidR="00DB2B68" w:rsidRDefault="00000000">
      <w:pPr>
        <w:pStyle w:val="Author-eListParagraph"/>
        <w:numPr>
          <w:ilvl w:val="0"/>
          <w:numId w:val="275"/>
        </w:numPr>
      </w:pPr>
      <w:r>
        <w:t xml:space="preserve">si les dalles sont posées sur plots, la hauteur du relevé (inclus l'épaisseur du seuil), mesurée cette fois à partir du niveau de l'étanchéité, est également de 150 mm au moins, à condition </w:t>
      </w:r>
      <w:r>
        <w:lastRenderedPageBreak/>
        <w:t>de laisser un joint de 20 mm minimum entre la première dalle et le relevé, et de prolonger ce dernier d'au moins 50 mm au-dessus du niveau des dalles. Sur une toiture-terrasse, étant donné que seules de faibles contraintes horizontales sont à craindre, il n'est pas obligatoire de procéder au scellement latéral des dalles.</w:t>
      </w:r>
    </w:p>
    <w:p w14:paraId="1E88C841" w14:textId="77777777" w:rsidR="00DB2B68" w:rsidRDefault="00000000">
      <w:pPr>
        <w:pStyle w:val="Author-eListParagraph"/>
        <w:numPr>
          <w:ilvl w:val="0"/>
          <w:numId w:val="276"/>
        </w:numPr>
      </w:pPr>
      <w:r>
        <w:t>l'écoulement des eaux sur l'étanchéité est étudié de façon à ce que celles-ci sont déviées du seuil.</w:t>
      </w:r>
    </w:p>
    <w:p w14:paraId="00773737" w14:textId="77777777" w:rsidR="00DB2B68" w:rsidRDefault="00000000">
      <w:pPr>
        <w:pStyle w:val="Author-eListParagraph"/>
        <w:numPr>
          <w:ilvl w:val="0"/>
          <w:numId w:val="277"/>
        </w:numPr>
      </w:pPr>
      <w:r>
        <w:t>Les seuils en matériaux pierreux sont prolongés latéralement dans la maçonnerie sur une profondeur d'au moins 50 mm. Pour garantir leur bonne intégration, ils sont pourvus de deux assises latérales (voir à ce propos la [NIT 283]).</w:t>
      </w:r>
    </w:p>
    <w:p w14:paraId="788DE509" w14:textId="77777777" w:rsidR="00DB2B68" w:rsidRDefault="00000000">
      <w:pPr>
        <w:pStyle w:val="Author-eListParagraph"/>
        <w:numPr>
          <w:ilvl w:val="0"/>
          <w:numId w:val="278"/>
        </w:numPr>
      </w:pPr>
      <w:r>
        <w:t>Les seuils pour les enduits sur isolants sont posés conformément à la [NIT 257].</w:t>
      </w:r>
    </w:p>
    <w:p w14:paraId="769882FA" w14:textId="77777777" w:rsidR="00DB2B68" w:rsidRDefault="00000000">
      <w:pPr>
        <w:ind w:left="750"/>
      </w:pPr>
      <w:r>
        <w:t> </w:t>
      </w:r>
    </w:p>
    <w:p w14:paraId="53E5AE2D" w14:textId="77777777" w:rsidR="00DB2B68" w:rsidRDefault="00000000">
      <w:pPr>
        <w:pStyle w:val="pheading"/>
      </w:pPr>
      <w:r>
        <w:t>DOCUMENTS DE RÉFÉRENCE</w:t>
      </w:r>
    </w:p>
    <w:p w14:paraId="2D57C9D8" w14:textId="77777777" w:rsidR="00DB2B68" w:rsidRDefault="00000000">
      <w:pPr>
        <w:pStyle w:val="pheading"/>
      </w:pPr>
      <w:r>
        <w:t>- Matériau</w:t>
      </w:r>
    </w:p>
    <w:p w14:paraId="1BE7209D" w14:textId="77777777" w:rsidR="00DB2B68" w:rsidRDefault="00000000">
      <w:r>
        <w:t>[NBN EN 998-2, Définitions et spécifications des mortiers pour maçonnerie - Partie 2: Mortiers de montage des éléments de maçonnerie]</w:t>
      </w:r>
    </w:p>
    <w:p w14:paraId="0CDAE2E8" w14:textId="77777777" w:rsidR="00DB2B68" w:rsidRDefault="00000000">
      <w:pPr>
        <w:pStyle w:val="pheading"/>
      </w:pPr>
      <w:r>
        <w:t>- Exécution</w:t>
      </w:r>
    </w:p>
    <w:p w14:paraId="443F96C7" w14:textId="77777777" w:rsidR="00DB2B68" w:rsidRDefault="00000000">
      <w:r>
        <w:t>[NIT 283, La pose des menuiseries extérieures. Partie 1 : aspects généraux.]</w:t>
      </w:r>
    </w:p>
    <w:p w14:paraId="5688287C" w14:textId="77777777" w:rsidR="00DB2B68" w:rsidRDefault="00000000">
      <w:r>
        <w:t>[NIT 257, Enduits sur isolation extérieure (ETICS) (remplace partiellement la NIT 209)]</w:t>
      </w:r>
    </w:p>
    <w:p w14:paraId="4085EEDE" w14:textId="77777777" w:rsidR="00DB2B68" w:rsidRDefault="00000000">
      <w:pPr>
        <w:ind w:left="750"/>
      </w:pPr>
      <w:r>
        <w:t> </w:t>
      </w:r>
    </w:p>
    <w:p w14:paraId="6D29A1F9" w14:textId="77777777" w:rsidR="00DB2B68" w:rsidRDefault="00000000">
      <w:pPr>
        <w:pStyle w:val="pheading"/>
      </w:pPr>
      <w:r>
        <w:t>AIDE</w:t>
      </w:r>
    </w:p>
    <w:p w14:paraId="7137B9CD" w14:textId="77777777" w:rsidR="00DB2B68" w:rsidRDefault="00000000">
      <w:pPr>
        <w:spacing w:before="240" w:after="240"/>
        <w:jc w:val="both"/>
      </w:pPr>
      <w:r>
        <w:rPr>
          <w:color w:val="2A233E"/>
        </w:rPr>
        <w:t>Lorsqu'il est prévu de revêtir les façades d'un crépi, il est conseillé de munir les seuils de fenêtre de relevés latéraux et arrières afin de prévenir le salissement de la façade et les risques d’infiltration.</w:t>
      </w:r>
    </w:p>
    <w:p w14:paraId="01DFE07E" w14:textId="77777777" w:rsidR="00DB2B68" w:rsidRDefault="00000000">
      <w:pPr>
        <w:pStyle w:val="Author-eSectionHeading6Numberless"/>
      </w:pPr>
      <w:bookmarkStart w:id="303" w:name="_Toc220495423"/>
      <w:r>
        <w:t>21.36.1a Seuils en pierre CCTB 01.11</w:t>
      </w:r>
      <w:bookmarkEnd w:id="303"/>
    </w:p>
    <w:p w14:paraId="04B3EE5C" w14:textId="77777777" w:rsidR="00DB2B68" w:rsidRDefault="00000000">
      <w:pPr>
        <w:pStyle w:val="pheading"/>
      </w:pPr>
      <w:r>
        <w:t>DESCRIPTION</w:t>
      </w:r>
    </w:p>
    <w:p w14:paraId="05CBF5D3" w14:textId="77777777" w:rsidR="00DB2B68" w:rsidRDefault="00000000">
      <w:pPr>
        <w:pStyle w:val="pheading"/>
      </w:pPr>
      <w:r>
        <w:t>- Définition / Comprend</w:t>
      </w:r>
    </w:p>
    <w:p w14:paraId="7CA2652C" w14:textId="77777777" w:rsidR="00DB2B68" w:rsidRDefault="00000000">
      <w:pPr>
        <w:jc w:val="both"/>
      </w:pPr>
      <w:r>
        <w:t>Il s'agit de la fourniture (hors matériaux récupérés du même site)  et de la pose des seuils en pierre de portes et fenêtres et autres baies complètement parachevés.</w:t>
      </w:r>
    </w:p>
    <w:p w14:paraId="7D104F81" w14:textId="77777777" w:rsidR="00DB2B68" w:rsidRDefault="00000000">
      <w:pPr>
        <w:pStyle w:val="pheading"/>
      </w:pPr>
      <w:r>
        <w:t>MATÉRIAUX</w:t>
      </w:r>
    </w:p>
    <w:p w14:paraId="75C71134" w14:textId="77777777" w:rsidR="00DB2B68" w:rsidRDefault="00000000">
      <w:pPr>
        <w:pStyle w:val="pheading"/>
      </w:pPr>
      <w:r>
        <w:t>- Caractéristiques générales</w:t>
      </w:r>
    </w:p>
    <w:p w14:paraId="70EBF624" w14:textId="77777777" w:rsidR="00DB2B68" w:rsidRDefault="00000000">
      <w:pPr>
        <w:jc w:val="both"/>
      </w:pPr>
      <w:r>
        <w:t>La pierre naturelle pour les seuils satisfait aux dispositions des [STS 45 série]. La pierre est exempte de toutes impuretés telles que taches (graisse, huile, rouille, etc.) et est débarrassée de toute gangue ou terre, est écorcée jusqu'au cœur et complètement nettoyée. Les pièces sont parfaitement finies.</w:t>
      </w:r>
    </w:p>
    <w:p w14:paraId="274EC5D4" w14:textId="77777777" w:rsidR="00DB2B68" w:rsidRDefault="00000000">
      <w:pPr>
        <w:jc w:val="both"/>
      </w:pPr>
      <w:r>
        <w:t>La pierre appartient à la catégorie </w:t>
      </w:r>
      <w:r>
        <w:rPr>
          <w:rStyle w:val="optioncarChar"/>
        </w:rPr>
        <w:t>'bâtiment exceptionnel' / 'bâtiment courant' </w:t>
      </w:r>
      <w:r>
        <w:t>(par défaut)</w:t>
      </w:r>
      <w:r>
        <w:rPr>
          <w:rStyle w:val="optioncarChar"/>
        </w:rPr>
        <w:t xml:space="preserve"> / 'technique' / ***</w:t>
      </w:r>
      <w:r>
        <w:t>, selon la [NIT 220].</w:t>
      </w:r>
    </w:p>
    <w:p w14:paraId="14082E82" w14:textId="77777777" w:rsidR="00DB2B68" w:rsidRDefault="00000000">
      <w:pPr>
        <w:jc w:val="both"/>
      </w:pPr>
      <w:r>
        <w:t>Profil / Sections :  épaisseur minimum </w:t>
      </w:r>
      <w:r>
        <w:rPr>
          <w:rStyle w:val="optioncarChar"/>
        </w:rPr>
        <w:t xml:space="preserve">4 cm / 5 cm </w:t>
      </w:r>
      <w:r>
        <w:t>(par défaut)</w:t>
      </w:r>
      <w:r>
        <w:rPr>
          <w:rStyle w:val="optioncarChar"/>
        </w:rPr>
        <w:t xml:space="preserve"> / selon le dessin de détail / *** cm</w:t>
      </w:r>
      <w:r>
        <w:t xml:space="preserve">  + relevé </w:t>
      </w:r>
      <w:r>
        <w:rPr>
          <w:rStyle w:val="optioncarChar"/>
        </w:rPr>
        <w:t xml:space="preserve">d'1 cm </w:t>
      </w:r>
      <w:r>
        <w:t>(par défaut)</w:t>
      </w:r>
      <w:r>
        <w:rPr>
          <w:rStyle w:val="optioncarChar"/>
        </w:rPr>
        <w:t xml:space="preserve"> / selon le dessin de détail / d' *** cm. </w:t>
      </w:r>
    </w:p>
    <w:p w14:paraId="18ECF890" w14:textId="77777777" w:rsidR="00DB2B68" w:rsidRDefault="00000000">
      <w:pPr>
        <w:jc w:val="both"/>
      </w:pPr>
      <w:r>
        <w:t>Angles : </w:t>
      </w:r>
      <w:r>
        <w:rPr>
          <w:rStyle w:val="optioncarChar"/>
        </w:rPr>
        <w:t>cassés</w:t>
      </w:r>
      <w:r>
        <w:t xml:space="preserve"> (par défaut) </w:t>
      </w:r>
      <w:r>
        <w:rPr>
          <w:rStyle w:val="optioncarChar"/>
        </w:rPr>
        <w:t>/ arrondis</w:t>
      </w:r>
    </w:p>
    <w:p w14:paraId="56085CCA" w14:textId="77777777" w:rsidR="00DB2B68" w:rsidRDefault="00000000">
      <w:pPr>
        <w:jc w:val="both"/>
      </w:pPr>
      <w:r>
        <w:t>Les seuils présentent un débordement de </w:t>
      </w:r>
      <w:r>
        <w:rPr>
          <w:rStyle w:val="optioncarChar"/>
        </w:rPr>
        <w:t xml:space="preserve">5 </w:t>
      </w:r>
      <w:r>
        <w:t xml:space="preserve">(par défaut) </w:t>
      </w:r>
      <w:r>
        <w:rPr>
          <w:rStyle w:val="optioncarChar"/>
        </w:rPr>
        <w:t>/ *** </w:t>
      </w:r>
      <w:r>
        <w:t>cm par rapport au plan de façade</w:t>
      </w:r>
    </w:p>
    <w:p w14:paraId="19DC9F3B" w14:textId="77777777" w:rsidR="00DB2B68" w:rsidRDefault="00000000">
      <w:pPr>
        <w:jc w:val="both"/>
      </w:pPr>
      <w:r>
        <w:t>Les extrémités des seuils sont intégrées dans le parement sur </w:t>
      </w:r>
      <w:r>
        <w:rPr>
          <w:rStyle w:val="optioncarChar"/>
        </w:rPr>
        <w:t>50</w:t>
      </w:r>
      <w:r>
        <w:t xml:space="preserve"> (par défaut)</w:t>
      </w:r>
      <w:r>
        <w:rPr>
          <w:rStyle w:val="optioncarChar"/>
        </w:rPr>
        <w:t xml:space="preserve"> / ***</w:t>
      </w:r>
      <w:r>
        <w:t> mm.</w:t>
      </w:r>
    </w:p>
    <w:p w14:paraId="3FD558D9" w14:textId="77777777" w:rsidR="00DB2B68" w:rsidRDefault="00000000">
      <w:pPr>
        <w:jc w:val="both"/>
      </w:pPr>
      <w:r>
        <w:t>Longueur maximale des éléments de seuil : d'un seul tenant jusqu'à </w:t>
      </w:r>
      <w:r>
        <w:rPr>
          <w:rStyle w:val="optioncarChar"/>
        </w:rPr>
        <w:t xml:space="preserve">150 </w:t>
      </w:r>
      <w:r>
        <w:t>(par défaut)</w:t>
      </w:r>
      <w:r>
        <w:rPr>
          <w:rStyle w:val="optioncarChar"/>
        </w:rPr>
        <w:t xml:space="preserve"> / ***</w:t>
      </w:r>
      <w:r>
        <w:t> cm.</w:t>
      </w:r>
    </w:p>
    <w:p w14:paraId="76BE626F" w14:textId="77777777" w:rsidR="00DB2B68" w:rsidRDefault="00000000">
      <w:pPr>
        <w:jc w:val="both"/>
      </w:pPr>
      <w:r>
        <w:t>A leurs extrémités, les seuils sont intégrés sur une largeur de </w:t>
      </w:r>
      <w:r>
        <w:rPr>
          <w:rStyle w:val="optioncarChar"/>
        </w:rPr>
        <w:t xml:space="preserve">50 </w:t>
      </w:r>
      <w:r>
        <w:t>(par défaut)</w:t>
      </w:r>
      <w:r>
        <w:rPr>
          <w:rStyle w:val="optioncarChar"/>
        </w:rPr>
        <w:t xml:space="preserve"> / ***</w:t>
      </w:r>
      <w:r>
        <w:t> mm dans le parement.</w:t>
      </w:r>
    </w:p>
    <w:p w14:paraId="00D321DB" w14:textId="77777777" w:rsidR="00DB2B68" w:rsidRDefault="00000000">
      <w:pPr>
        <w:jc w:val="both"/>
      </w:pPr>
      <w:r>
        <w:lastRenderedPageBreak/>
        <w:t>Larmier :  </w:t>
      </w:r>
      <w:r>
        <w:rPr>
          <w:rStyle w:val="optioncarChar"/>
        </w:rPr>
        <w:t xml:space="preserve">10 mm de large et environ 5 à 6 mm de profondeur </w:t>
      </w:r>
      <w:r>
        <w:t>(par défaut)</w:t>
      </w:r>
      <w:r>
        <w:rPr>
          <w:rStyle w:val="optioncarChar"/>
        </w:rPr>
        <w:t xml:space="preserve"> / ***</w:t>
      </w:r>
    </w:p>
    <w:p w14:paraId="3EC686D5" w14:textId="77777777" w:rsidR="00DB2B68" w:rsidRDefault="00000000">
      <w:pPr>
        <w:jc w:val="both"/>
      </w:pPr>
      <w:r>
        <w:t xml:space="preserve">Les seuils en pierre sont  </w:t>
      </w:r>
      <w:r>
        <w:rPr>
          <w:rStyle w:val="optioncarChar"/>
        </w:rPr>
        <w:t xml:space="preserve">neufs </w:t>
      </w:r>
      <w:r>
        <w:t>(par défaut)</w:t>
      </w:r>
      <w:r>
        <w:rPr>
          <w:rStyle w:val="optioncarChar"/>
        </w:rPr>
        <w:t xml:space="preserve"> / de réemploi.</w:t>
      </w:r>
    </w:p>
    <w:p w14:paraId="612F5CAA" w14:textId="77777777" w:rsidR="00DB2B68" w:rsidRDefault="00000000">
      <w:pPr>
        <w:jc w:val="both"/>
      </w:pPr>
      <w:r>
        <w:rPr>
          <w:b/>
        </w:rPr>
        <w:t>(soit par défaut)</w:t>
      </w:r>
    </w:p>
    <w:p w14:paraId="7102CF67" w14:textId="77777777" w:rsidR="00DB2B68" w:rsidRDefault="00000000">
      <w:pPr>
        <w:jc w:val="both"/>
      </w:pPr>
      <w:r>
        <w:rPr>
          <w:rStyle w:val="soitChar"/>
          <w:u w:val="single"/>
        </w:rPr>
        <w:t>Neufs :</w:t>
      </w:r>
    </w:p>
    <w:p w14:paraId="13DBA6F8" w14:textId="77777777" w:rsidR="00DB2B68" w:rsidRDefault="00000000">
      <w:pPr>
        <w:jc w:val="both"/>
      </w:pPr>
      <w:r>
        <w:rPr>
          <w:rStyle w:val="soitChar"/>
        </w:rPr>
        <w:t>A l'arrière, un relevé est collé de </w:t>
      </w:r>
      <w:r>
        <w:rPr>
          <w:rStyle w:val="optioncarChar"/>
        </w:rPr>
        <w:t xml:space="preserve">10 </w:t>
      </w:r>
      <w:r>
        <w:t>(par défaut)</w:t>
      </w:r>
      <w:r>
        <w:rPr>
          <w:rStyle w:val="optioncarChar"/>
        </w:rPr>
        <w:t xml:space="preserve"> / 20 / ***</w:t>
      </w:r>
      <w:r>
        <w:rPr>
          <w:rStyle w:val="soitChar"/>
        </w:rPr>
        <w:t> mm de hauteur.</w:t>
      </w:r>
    </w:p>
    <w:p w14:paraId="6CA13801" w14:textId="77777777" w:rsidR="00DB2B68" w:rsidRDefault="00000000">
      <w:pPr>
        <w:jc w:val="both"/>
      </w:pPr>
      <w:r>
        <w:rPr>
          <w:rStyle w:val="soitChar"/>
        </w:rPr>
        <w:t>Aux extrémités, des rehaussements (coussinets - oreilles) de </w:t>
      </w:r>
      <w:r>
        <w:rPr>
          <w:rStyle w:val="optioncarChar"/>
        </w:rPr>
        <w:t xml:space="preserve">20 </w:t>
      </w:r>
      <w:r>
        <w:t>(par défaut)</w:t>
      </w:r>
      <w:r>
        <w:rPr>
          <w:rStyle w:val="optioncarChar"/>
        </w:rPr>
        <w:t xml:space="preserve"> / ***</w:t>
      </w:r>
      <w:r>
        <w:rPr>
          <w:rStyle w:val="soitChar"/>
        </w:rPr>
        <w:t> mm de hauteur, selon le dessin de détail ou selon le module de la pierre sont collés.</w:t>
      </w:r>
    </w:p>
    <w:p w14:paraId="7FEE7C3D" w14:textId="77777777" w:rsidR="00DB2B68" w:rsidRDefault="00000000">
      <w:pPr>
        <w:jc w:val="both"/>
      </w:pPr>
      <w:r>
        <w:rPr>
          <w:rStyle w:val="soitChar"/>
        </w:rPr>
        <w:t xml:space="preserve">Matériau : </w:t>
      </w:r>
      <w:r>
        <w:rPr>
          <w:rStyle w:val="optioncarChar"/>
        </w:rPr>
        <w:t xml:space="preserve">pierre (sédimentaire) calcaire marbrière bleue </w:t>
      </w:r>
      <w:r>
        <w:t>(par défaut)</w:t>
      </w:r>
      <w:r>
        <w:rPr>
          <w:rStyle w:val="optioncarChar"/>
        </w:rPr>
        <w:t xml:space="preserve"> / pierre (sédimentaire) calcaire marbrière  noire / pierre (sédimentaire) calcaire non-marbrière blanche / pierre (sédimentaire) calcaire gréseux / pierre (sédimentaire) siliceuse - grès /  pierre (sédimentaire) siliceuse - schiste / pierre (magmatique) granit / pierre (métamorphique) marbre/ pierre (métamorphique) gneiss / ***</w:t>
      </w:r>
      <w:r>
        <w:rPr>
          <w:rStyle w:val="soitChar"/>
        </w:rPr>
        <w:t>.</w:t>
      </w:r>
    </w:p>
    <w:p w14:paraId="7B21365A" w14:textId="77777777" w:rsidR="00DB2B68" w:rsidRDefault="00000000">
      <w:pPr>
        <w:jc w:val="both"/>
      </w:pPr>
      <w:r>
        <w:rPr>
          <w:rStyle w:val="soitChar"/>
        </w:rPr>
        <w:t>Défauts admissibles :</w:t>
      </w:r>
      <w:r>
        <w:rPr>
          <w:rStyle w:val="optioncarChar"/>
        </w:rPr>
        <w:t xml:space="preserve">l'utilisation d'un mastic ou d'une pâte quelconque pour cacher les défauts dans les faces vues est interdite </w:t>
      </w:r>
      <w:r>
        <w:t>(par défaut) </w:t>
      </w:r>
      <w:r>
        <w:rPr>
          <w:rStyle w:val="optioncarChar"/>
        </w:rPr>
        <w:t>/ les petits défauts dans les faces vues peuvent être réparés / ***.</w:t>
      </w:r>
    </w:p>
    <w:p w14:paraId="442F2730" w14:textId="77777777" w:rsidR="00DB2B68" w:rsidRDefault="00000000">
      <w:pPr>
        <w:jc w:val="both"/>
      </w:pPr>
      <w:r>
        <w:rPr>
          <w:b/>
        </w:rPr>
        <w:t>(soit)</w:t>
      </w:r>
    </w:p>
    <w:p w14:paraId="5FFF2617" w14:textId="77777777" w:rsidR="00DB2B68" w:rsidRDefault="00000000">
      <w:pPr>
        <w:jc w:val="both"/>
      </w:pPr>
      <w:r>
        <w:rPr>
          <w:rStyle w:val="soitChar"/>
          <w:u w:val="single"/>
        </w:rPr>
        <w:t>Réemploi :</w:t>
      </w:r>
    </w:p>
    <w:p w14:paraId="5A652F66" w14:textId="77777777" w:rsidR="00DB2B68" w:rsidRDefault="00000000">
      <w:pPr>
        <w:jc w:val="both"/>
      </w:pPr>
      <w:r>
        <w:rPr>
          <w:rStyle w:val="soitChar"/>
        </w:rPr>
        <w:t>Il s’agit de seuils de réemploi comme alternative aux tablettes neuves. Modèle à proposer par l’entrepreneur et soumis à l’approbation au maître d’ouvrage. Les défauts sont décrits de manière exhaustive, et présentés pour acceptation au maître d’ouvrage.</w:t>
      </w:r>
    </w:p>
    <w:p w14:paraId="76D83D3C" w14:textId="77777777" w:rsidR="00DB2B68" w:rsidRDefault="00000000">
      <w:pPr>
        <w:jc w:val="both"/>
      </w:pPr>
      <w:r>
        <w:rPr>
          <w:rStyle w:val="soitChar"/>
        </w:rPr>
        <w:t xml:space="preserve">Les pierres de réemploi sont utilisées </w:t>
      </w:r>
      <w:r>
        <w:rPr>
          <w:rStyle w:val="optioncarChar"/>
        </w:rPr>
        <w:t xml:space="preserve">sans transformation </w:t>
      </w:r>
      <w:r>
        <w:t>(par défaut)</w:t>
      </w:r>
      <w:r>
        <w:rPr>
          <w:rStyle w:val="optioncarChar"/>
        </w:rPr>
        <w:t xml:space="preserve"> / reconditionnées</w:t>
      </w:r>
      <w:r>
        <w:rPr>
          <w:rStyle w:val="soitChar"/>
        </w:rPr>
        <w:t>.</w:t>
      </w:r>
    </w:p>
    <w:p w14:paraId="60B21730" w14:textId="77777777" w:rsidR="00DB2B68" w:rsidRDefault="00000000">
      <w:pPr>
        <w:pStyle w:val="pheading"/>
      </w:pPr>
      <w:r>
        <w:t>- Finitions</w:t>
      </w:r>
    </w:p>
    <w:p w14:paraId="2B3077F6" w14:textId="77777777" w:rsidR="00DB2B68" w:rsidRDefault="00000000">
      <w:pPr>
        <w:jc w:val="both"/>
      </w:pPr>
      <w:r>
        <w:t>Faces supérieures : </w:t>
      </w:r>
      <w:r>
        <w:rPr>
          <w:rStyle w:val="optioncarChar"/>
        </w:rPr>
        <w:t>adouci bleu</w:t>
      </w:r>
      <w:r>
        <w:t xml:space="preserve"> (par défaut) </w:t>
      </w:r>
      <w:r>
        <w:rPr>
          <w:rStyle w:val="optioncarChar"/>
        </w:rPr>
        <w:t>/ meulé gris / ***</w:t>
      </w:r>
      <w:r>
        <w:t>.</w:t>
      </w:r>
    </w:p>
    <w:p w14:paraId="7D76E4F1" w14:textId="77777777" w:rsidR="00DB2B68" w:rsidRDefault="00000000">
      <w:pPr>
        <w:jc w:val="both"/>
      </w:pPr>
      <w:r>
        <w:t xml:space="preserve">Faces vues :  </w:t>
      </w:r>
      <w:r>
        <w:rPr>
          <w:rStyle w:val="optioncarChar"/>
        </w:rPr>
        <w:t>adouci bleu</w:t>
      </w:r>
      <w:r>
        <w:t xml:space="preserve"> (par défaut)  </w:t>
      </w:r>
      <w:r>
        <w:rPr>
          <w:rStyle w:val="optioncarChar"/>
        </w:rPr>
        <w:t xml:space="preserve"> /   poncé  /  ciselé à raison de 10 / 12 / 15 / *** coups par dm.</w:t>
      </w:r>
    </w:p>
    <w:p w14:paraId="5539E3D1" w14:textId="77777777" w:rsidR="00DB2B68" w:rsidRDefault="00000000">
      <w:pPr>
        <w:pStyle w:val="pheading"/>
      </w:pPr>
      <w:r>
        <w:t>EXÉCUTION / MISE EN ŒUVRE</w:t>
      </w:r>
    </w:p>
    <w:p w14:paraId="28E5A2EB" w14:textId="77777777" w:rsidR="00DB2B68" w:rsidRDefault="00000000">
      <w:pPr>
        <w:pStyle w:val="pheading"/>
      </w:pPr>
      <w:r>
        <w:t>- Prescriptions générales</w:t>
      </w:r>
    </w:p>
    <w:p w14:paraId="0CA7CA9F" w14:textId="77777777" w:rsidR="00DB2B68" w:rsidRDefault="00000000">
      <w:pPr>
        <w:jc w:val="both"/>
      </w:pPr>
      <w:r>
        <w:t>L'entrepreneur prend les mesures exactes sur chantier, dès que le gros-œuvre est terminé. Il est tenu compte des dessins de détail établis par l'auteur de projet.</w:t>
      </w:r>
    </w:p>
    <w:p w14:paraId="1C14E08C" w14:textId="77777777" w:rsidR="00DB2B68" w:rsidRDefault="00000000">
      <w:pPr>
        <w:jc w:val="both"/>
      </w:pPr>
      <w:r>
        <w:t>Sous les seuils, l'entreprise applique d'abord une couche d'étanchéité : </w:t>
      </w:r>
      <w:r>
        <w:rPr>
          <w:rStyle w:val="optioncarChar"/>
        </w:rPr>
        <w:t xml:space="preserve">feuille de PE 0,45 mm, noire surface rainurée </w:t>
      </w:r>
      <w:r>
        <w:t>(par défaut)</w:t>
      </w:r>
      <w:r>
        <w:rPr>
          <w:rStyle w:val="optioncarChar"/>
        </w:rPr>
        <w:t xml:space="preserve"> / EPDM / ***</w:t>
      </w:r>
      <w:r>
        <w:t>.</w:t>
      </w:r>
    </w:p>
    <w:p w14:paraId="67F729D5" w14:textId="77777777" w:rsidR="00DB2B68" w:rsidRDefault="00000000">
      <w:pPr>
        <w:jc w:val="both"/>
      </w:pPr>
      <w:r>
        <w:t>Lorsque la pierre n'est pas taillée en profil, le seuil est posé avec une inclinaison de 5 % afin que l'eau s'évacue à l'extérieur de la face de parement.</w:t>
      </w:r>
    </w:p>
    <w:p w14:paraId="100CBB74" w14:textId="77777777" w:rsidR="00DB2B68" w:rsidRDefault="00000000">
      <w:pPr>
        <w:jc w:val="both"/>
      </w:pPr>
      <w:r>
        <w:t>Les seuils dont la longueur dépasse 150 cm peuvent être posés en une ou plusieurs parties, avec un joint de dilatation de </w:t>
      </w:r>
      <w:r>
        <w:rPr>
          <w:rStyle w:val="optioncarChar"/>
        </w:rPr>
        <w:t xml:space="preserve">8 </w:t>
      </w:r>
      <w:r>
        <w:t>(par défaut)</w:t>
      </w:r>
      <w:r>
        <w:rPr>
          <w:rStyle w:val="optioncarChar"/>
        </w:rPr>
        <w:t xml:space="preserve"> / ***</w:t>
      </w:r>
      <w:r>
        <w:t> mm réalisé sur toute la profondeur du seuil.</w:t>
      </w:r>
    </w:p>
    <w:p w14:paraId="53801A45" w14:textId="77777777" w:rsidR="00DB2B68" w:rsidRDefault="00000000">
      <w:pPr>
        <w:jc w:val="both"/>
      </w:pPr>
      <w:r>
        <w:t xml:space="preserve">Sous les joints verticaux, l'entreprise prévoit une bavette d’étanchéité d'au moins 10 cm de largeur, repliée aux bords parallèlement au joint et relevée à l'arrière. Dans le joint entre les éléments, on insère une bande </w:t>
      </w:r>
      <w:r>
        <w:rPr>
          <w:rStyle w:val="optioncarChar"/>
        </w:rPr>
        <w:t xml:space="preserve">de préformé de mousse comprimable </w:t>
      </w:r>
      <w:r>
        <w:t xml:space="preserve">(par défaut) </w:t>
      </w:r>
      <w:r>
        <w:rPr>
          <w:rStyle w:val="optioncarChar"/>
        </w:rPr>
        <w:t>/ ***</w:t>
      </w:r>
      <w:r>
        <w:t>. </w:t>
      </w:r>
    </w:p>
    <w:p w14:paraId="747CADB1" w14:textId="77777777" w:rsidR="00DB2B68" w:rsidRDefault="00000000">
      <w:pPr>
        <w:jc w:val="both"/>
      </w:pPr>
      <w:r>
        <w:t xml:space="preserve">Les joints sont rejointoyés à l'aide d'un produit de jointoiement : </w:t>
      </w:r>
      <w:r>
        <w:rPr>
          <w:rStyle w:val="optioncarChar"/>
        </w:rPr>
        <w:t xml:space="preserve">mortier de rejointoiement de façade </w:t>
      </w:r>
      <w:r>
        <w:t>(par défaut)</w:t>
      </w:r>
      <w:r>
        <w:rPr>
          <w:rStyle w:val="optioncarChar"/>
        </w:rPr>
        <w:t xml:space="preserve"> / poudre de métal mélangée avec un liquide spécial / *** </w:t>
      </w:r>
      <w:r>
        <w:t>:</w:t>
      </w:r>
    </w:p>
    <w:p w14:paraId="6E205D54" w14:textId="77777777" w:rsidR="00DB2B68" w:rsidRDefault="00000000">
      <w:pPr>
        <w:jc w:val="both"/>
      </w:pPr>
      <w:r>
        <w:rPr>
          <w:b/>
        </w:rPr>
        <w:t>(soit par défaut)</w:t>
      </w:r>
    </w:p>
    <w:p w14:paraId="6AA94D6F" w14:textId="77777777" w:rsidR="00DB2B68" w:rsidRDefault="00000000">
      <w:pPr>
        <w:jc w:val="both"/>
      </w:pPr>
      <w:r>
        <w:rPr>
          <w:rStyle w:val="soitChar"/>
          <w:u w:val="single"/>
        </w:rPr>
        <w:t>Mortier de rejointoiement de façade</w:t>
      </w:r>
      <w:r>
        <w:rPr>
          <w:rStyle w:val="soitChar"/>
        </w:rPr>
        <w:t> : les travaux de jointoiement a posteriori sont exécutés conformément à la [NIT 208].</w:t>
      </w:r>
    </w:p>
    <w:p w14:paraId="7C0C8725" w14:textId="77777777" w:rsidR="00DB2B68" w:rsidRDefault="00000000">
      <w:pPr>
        <w:jc w:val="both"/>
      </w:pPr>
      <w:r>
        <w:rPr>
          <w:b/>
        </w:rPr>
        <w:t>(soit)</w:t>
      </w:r>
    </w:p>
    <w:p w14:paraId="07A97EE5" w14:textId="77777777" w:rsidR="00DB2B68" w:rsidRDefault="00000000">
      <w:pPr>
        <w:jc w:val="both"/>
      </w:pPr>
      <w:r>
        <w:rPr>
          <w:rStyle w:val="soitChar"/>
          <w:u w:val="single"/>
        </w:rPr>
        <w:t>Poudre de métal mélangée avec un liquide spécial </w:t>
      </w:r>
      <w:r>
        <w:rPr>
          <w:rStyle w:val="soitChar"/>
        </w:rPr>
        <w:t xml:space="preserve">:cette poudre se compose de deux parts d'oxyde de zinc, de deux parts de pierre calcaire très dure broyée en poudre et d’une part de grès broyé en poudre (toutes les particules sont inférieures à 1,5 mm). Le liquide de gâchage se compose pour 1/3 </w:t>
      </w:r>
      <w:r>
        <w:rPr>
          <w:rStyle w:val="soitChar"/>
        </w:rPr>
        <w:lastRenderedPageBreak/>
        <w:t>d'une solution d'acide chlorhydrique et pour 2/3 d'eau claire. La proportion est de 0,3 l de liquide par kg de poudre, à mélanger intimement.</w:t>
      </w:r>
    </w:p>
    <w:p w14:paraId="0C75D2C3" w14:textId="77777777" w:rsidR="00DB2B68" w:rsidRDefault="00000000">
      <w:pPr>
        <w:jc w:val="both"/>
      </w:pPr>
      <w:r>
        <w:rPr>
          <w:b/>
        </w:rPr>
        <w:t>(soit)</w:t>
      </w:r>
    </w:p>
    <w:p w14:paraId="1F2345D4" w14:textId="77777777" w:rsidR="00DB2B68" w:rsidRDefault="00000000">
      <w:pPr>
        <w:jc w:val="both"/>
      </w:pPr>
      <w:r>
        <w:rPr>
          <w:rStyle w:val="optioncarChar"/>
        </w:rPr>
        <w:t>***</w:t>
      </w:r>
    </w:p>
    <w:p w14:paraId="273A9854" w14:textId="77777777" w:rsidR="00DB2B68" w:rsidRDefault="00000000">
      <w:pPr>
        <w:jc w:val="both"/>
      </w:pPr>
      <w:r>
        <w:t>Il est interdit d'effectuer les travaux de jointoiement par temps de pluie. Par temps sec, le jointoiement est dûment protégé contre la dessiccation précoce. Le seuil et le mur à rejointoyer est d'abord nettoyé à l'eau claire, l'humidité favorisant en outre l'adhérence du mortier de jointoiement. Les souillures de mortier sont nettoyées à l'aide d'une solution adaptée.</w:t>
      </w:r>
    </w:p>
    <w:p w14:paraId="0DF29ED8" w14:textId="77777777" w:rsidR="00DB2B68" w:rsidRDefault="00000000">
      <w:pPr>
        <w:jc w:val="both"/>
      </w:pPr>
      <w:r>
        <w:t xml:space="preserve">Pour le resserrage, les joints sont rembourrés avec un mastic durablement élastique à base de polysulfide selon la [STS 56.1], soit avec un mélange de rejointoiement recommandé dans la documentation technique accompagnant le produit. La couleur est </w:t>
      </w:r>
      <w:r>
        <w:rPr>
          <w:rStyle w:val="optioncarChar"/>
        </w:rPr>
        <w:t xml:space="preserve">transparente </w:t>
      </w:r>
      <w:r>
        <w:t>(par défaut)</w:t>
      </w:r>
      <w:r>
        <w:rPr>
          <w:rStyle w:val="optioncarChar"/>
        </w:rPr>
        <w:t xml:space="preserve"> / *** / RAL ***</w:t>
      </w:r>
      <w:r>
        <w:t xml:space="preserve"> (éviter les silicones acides en présence de calcaire).</w:t>
      </w:r>
    </w:p>
    <w:p w14:paraId="2FC46D28" w14:textId="77777777" w:rsidR="00DB2B68" w:rsidRDefault="00000000">
      <w:pPr>
        <w:pStyle w:val="pheading"/>
      </w:pPr>
      <w:r>
        <w:t>DOCUMENTS DE RÉFÉRENCE COMPLÉMENTAIRES</w:t>
      </w:r>
    </w:p>
    <w:p w14:paraId="1D9C6336" w14:textId="77777777" w:rsidR="00DB2B68" w:rsidRDefault="00000000">
      <w:pPr>
        <w:pStyle w:val="pheading"/>
      </w:pPr>
      <w:r>
        <w:t>- Exécution</w:t>
      </w:r>
    </w:p>
    <w:p w14:paraId="1396D3A1" w14:textId="77777777" w:rsidR="00DB2B68" w:rsidRDefault="00000000">
      <w:r>
        <w:t>[STS 56.1, Mastics d’étanchéité des façades]</w:t>
      </w:r>
    </w:p>
    <w:p w14:paraId="1C418621" w14:textId="77777777" w:rsidR="00DB2B68" w:rsidRDefault="00000000">
      <w:r>
        <w:t>[NBN EN 599-2, Durabilité du bois et des matériaux dérivés du bois - Efficacité des produits préventifs de préservation du bois établie par des essais biologiques - Partie 2 : Étiquetage]</w:t>
      </w:r>
    </w:p>
    <w:p w14:paraId="18C37423" w14:textId="77777777" w:rsidR="00DB2B68" w:rsidRDefault="00000000">
      <w:r>
        <w:t>[STS 04 série, Bois et panneaux à base de bois]</w:t>
      </w:r>
    </w:p>
    <w:p w14:paraId="1D4B1585" w14:textId="77777777" w:rsidR="00DB2B68" w:rsidRDefault="00000000">
      <w:r>
        <w:t>[NIT 208, Jointoiement des maçonneries.]</w:t>
      </w:r>
    </w:p>
    <w:p w14:paraId="648548A2" w14:textId="77777777" w:rsidR="00DB2B68" w:rsidRDefault="00000000">
      <w:pPr>
        <w:ind w:left="750"/>
      </w:pPr>
      <w:r>
        <w:t> </w:t>
      </w:r>
    </w:p>
    <w:p w14:paraId="68406D54" w14:textId="77777777" w:rsidR="00DB2B68" w:rsidRDefault="00000000">
      <w:pPr>
        <w:pStyle w:val="pheading"/>
      </w:pPr>
      <w:r>
        <w:t>MESURAGE</w:t>
      </w:r>
    </w:p>
    <w:p w14:paraId="0AAF20BC" w14:textId="77777777" w:rsidR="00DB2B68" w:rsidRDefault="00000000">
      <w:pPr>
        <w:pStyle w:val="pheading"/>
      </w:pPr>
      <w:r>
        <w:t>- unité de mesure:</w:t>
      </w:r>
    </w:p>
    <w:p w14:paraId="7B879161" w14:textId="77777777" w:rsidR="00DB2B68" w:rsidRDefault="00000000">
      <w:r>
        <w:rPr>
          <w:rStyle w:val="optioncarChar"/>
        </w:rPr>
        <w:t>m </w:t>
      </w:r>
      <w:r>
        <w:t>(par défaut) </w:t>
      </w:r>
      <w:r>
        <w:rPr>
          <w:rStyle w:val="optioncarChar"/>
        </w:rPr>
        <w:t>/ pc / m³ </w:t>
      </w:r>
    </w:p>
    <w:p w14:paraId="1AE12236" w14:textId="77777777" w:rsidR="00DB2B68" w:rsidRDefault="00000000">
      <w:r>
        <w:rPr>
          <w:b/>
        </w:rPr>
        <w:t>(soit par défaut)</w:t>
      </w:r>
    </w:p>
    <w:p w14:paraId="49EA41B7" w14:textId="77777777" w:rsidR="00DB2B68" w:rsidRDefault="00000000">
      <w:r>
        <w:rPr>
          <w:rStyle w:val="soitChar"/>
        </w:rPr>
        <w:t>1. m</w:t>
      </w:r>
    </w:p>
    <w:p w14:paraId="3AE7E9FD" w14:textId="77777777" w:rsidR="00DB2B68" w:rsidRDefault="00000000">
      <w:r>
        <w:rPr>
          <w:b/>
        </w:rPr>
        <w:t>(soit)</w:t>
      </w:r>
    </w:p>
    <w:p w14:paraId="6E0866F3" w14:textId="77777777" w:rsidR="00DB2B68" w:rsidRDefault="00000000">
      <w:r>
        <w:rPr>
          <w:rStyle w:val="soitChar"/>
        </w:rPr>
        <w:t>2. pc</w:t>
      </w:r>
    </w:p>
    <w:p w14:paraId="53626286" w14:textId="77777777" w:rsidR="00DB2B68" w:rsidRDefault="00000000">
      <w:r>
        <w:rPr>
          <w:b/>
        </w:rPr>
        <w:t>(soit)</w:t>
      </w:r>
    </w:p>
    <w:p w14:paraId="006A9E67" w14:textId="77777777" w:rsidR="00DB2B68" w:rsidRDefault="00000000">
      <w:r>
        <w:rPr>
          <w:rStyle w:val="soitChar"/>
        </w:rPr>
        <w:t>3. m³</w:t>
      </w:r>
    </w:p>
    <w:p w14:paraId="154B823A" w14:textId="77777777" w:rsidR="00DB2B68" w:rsidRDefault="00000000">
      <w:pPr>
        <w:pStyle w:val="pheading"/>
      </w:pPr>
      <w:r>
        <w:t>- code de mesurage:</w:t>
      </w:r>
    </w:p>
    <w:p w14:paraId="0CCFB661" w14:textId="77777777" w:rsidR="00DB2B68" w:rsidRDefault="00000000">
      <w:r>
        <w:t>Distinction faite suivant le type et nature du seuil (neuf et/ou de réemploi). S’il s’agit de réemploi, distinguer : avec ou sans fourniture.</w:t>
      </w:r>
    </w:p>
    <w:p w14:paraId="179454E9" w14:textId="77777777" w:rsidR="00DB2B68" w:rsidRDefault="00000000">
      <w:pPr>
        <w:jc w:val="both"/>
      </w:pPr>
      <w:r>
        <w:rPr>
          <w:rStyle w:val="optioncarChar"/>
        </w:rPr>
        <w:t>Longueur nette</w:t>
      </w:r>
      <w:r>
        <w:t>    (par défaut)</w:t>
      </w:r>
      <w:r>
        <w:rPr>
          <w:rStyle w:val="optioncarChar"/>
        </w:rPr>
        <w:t> /  à la pièce / au volume</w:t>
      </w:r>
    </w:p>
    <w:p w14:paraId="308A2A2D" w14:textId="77777777" w:rsidR="00DB2B68" w:rsidRDefault="00000000">
      <w:pPr>
        <w:jc w:val="both"/>
      </w:pPr>
      <w:r>
        <w:rPr>
          <w:b/>
        </w:rPr>
        <w:t>(soit par défaut)</w:t>
      </w:r>
    </w:p>
    <w:p w14:paraId="3F80D308" w14:textId="77777777" w:rsidR="00DB2B68" w:rsidRDefault="00000000">
      <w:pPr>
        <w:jc w:val="both"/>
      </w:pPr>
      <w:r>
        <w:rPr>
          <w:rStyle w:val="soitChar"/>
          <w:u w:val="single"/>
        </w:rPr>
        <w:t>1. Longueur nette</w:t>
      </w:r>
      <w:r>
        <w:rPr>
          <w:rStyle w:val="soitChar"/>
        </w:rPr>
        <w:t>  : longueur du seuil entre les jours de la baie, </w:t>
      </w:r>
      <w:r>
        <w:rPr>
          <w:rStyle w:val="soitChar"/>
          <w:shd w:val="clear" w:color="auto" w:fill="FFFFFF"/>
        </w:rPr>
        <w:t>de largeur et d'épaisseur identiques</w:t>
      </w:r>
    </w:p>
    <w:p w14:paraId="4C2CB176" w14:textId="77777777" w:rsidR="00DB2B68" w:rsidRDefault="00000000">
      <w:pPr>
        <w:jc w:val="both"/>
      </w:pPr>
      <w:r>
        <w:rPr>
          <w:b/>
        </w:rPr>
        <w:t>(soit)</w:t>
      </w:r>
    </w:p>
    <w:p w14:paraId="69A0CC0A" w14:textId="77777777" w:rsidR="00DB2B68" w:rsidRDefault="00000000">
      <w:pPr>
        <w:jc w:val="both"/>
      </w:pPr>
      <w:r>
        <w:rPr>
          <w:rStyle w:val="soitChar"/>
        </w:rPr>
        <w:t>2. </w:t>
      </w:r>
      <w:r>
        <w:rPr>
          <w:rStyle w:val="soitChar"/>
          <w:u w:val="single"/>
        </w:rPr>
        <w:t>A la pièce</w:t>
      </w:r>
      <w:r>
        <w:rPr>
          <w:rStyle w:val="soitChar"/>
        </w:rPr>
        <w:t> : de dimensions identiques</w:t>
      </w:r>
    </w:p>
    <w:p w14:paraId="58C0831C" w14:textId="77777777" w:rsidR="00DB2B68" w:rsidRDefault="00000000">
      <w:pPr>
        <w:jc w:val="both"/>
      </w:pPr>
      <w:r>
        <w:rPr>
          <w:b/>
        </w:rPr>
        <w:t>(soit)</w:t>
      </w:r>
    </w:p>
    <w:p w14:paraId="6C729D17" w14:textId="77777777" w:rsidR="00DB2B68" w:rsidRDefault="00000000">
      <w:pPr>
        <w:jc w:val="both"/>
      </w:pPr>
      <w:r>
        <w:rPr>
          <w:rStyle w:val="soitChar"/>
        </w:rPr>
        <w:t>3. </w:t>
      </w:r>
      <w:r>
        <w:rPr>
          <w:rStyle w:val="soitChar"/>
          <w:u w:val="single"/>
        </w:rPr>
        <w:t>Au volume</w:t>
      </w:r>
      <w:r>
        <w:rPr>
          <w:rStyle w:val="soitChar"/>
        </w:rPr>
        <w:t> : prendre le volume du plus petit parallélépipède rectangle qui circonscrit la pierre; le volume réel, quelle qu'en soit la dimension; les pierres de dimensions inférieures à 10 dm3 sont comptées à la pièce.</w:t>
      </w:r>
    </w:p>
    <w:p w14:paraId="040165FB" w14:textId="77777777" w:rsidR="00DB2B68" w:rsidRDefault="00000000">
      <w:pPr>
        <w:pStyle w:val="pheading"/>
      </w:pPr>
      <w:r>
        <w:t>- nature du marché:</w:t>
      </w:r>
    </w:p>
    <w:p w14:paraId="44B213F1" w14:textId="77777777" w:rsidR="00DB2B68" w:rsidRDefault="00000000">
      <w:r>
        <w:lastRenderedPageBreak/>
        <w:t>QF</w:t>
      </w:r>
    </w:p>
    <w:p w14:paraId="7EB3E282" w14:textId="77777777" w:rsidR="00DB2B68" w:rsidRDefault="00000000">
      <w:pPr>
        <w:pStyle w:val="Author-eSectionHeading6Numberless"/>
      </w:pPr>
      <w:bookmarkStart w:id="304" w:name="_Toc220495424"/>
      <w:r>
        <w:t>21.36.1b Seuils en éléments préfabriqués en béton CCTB 01.11</w:t>
      </w:r>
      <w:bookmarkEnd w:id="304"/>
    </w:p>
    <w:p w14:paraId="56058CE3" w14:textId="77777777" w:rsidR="00DB2B68" w:rsidRDefault="00000000">
      <w:pPr>
        <w:pStyle w:val="pheading"/>
      </w:pPr>
      <w:r>
        <w:t>MATÉRIAUX</w:t>
      </w:r>
    </w:p>
    <w:p w14:paraId="2DFABD74" w14:textId="77777777" w:rsidR="00DB2B68" w:rsidRDefault="00000000">
      <w:pPr>
        <w:pStyle w:val="pheading"/>
      </w:pPr>
      <w:r>
        <w:t>- Caractéristiques générales</w:t>
      </w:r>
    </w:p>
    <w:p w14:paraId="0742CE94" w14:textId="77777777" w:rsidR="00DB2B68" w:rsidRDefault="00000000">
      <w:r>
        <w:t xml:space="preserve">Il s'agit des seuils préfabriqués en béton, selon le chapitre </w:t>
      </w:r>
      <w:hyperlink w:anchor="87" w:history="1">
        <w:r>
          <w:rPr>
            <w:color w:val="0000EE"/>
          </w:rPr>
          <w:t>22 Superstructures en béton</w:t>
        </w:r>
      </w:hyperlink>
      <w:r>
        <w:t>.</w:t>
      </w:r>
    </w:p>
    <w:p w14:paraId="28FBC987" w14:textId="77777777" w:rsidR="00DB2B68" w:rsidRDefault="00000000">
      <w:r>
        <w:rPr>
          <w:u w:val="single"/>
        </w:rPr>
        <w:t>Spécifications</w:t>
      </w:r>
    </w:p>
    <w:p w14:paraId="5E6EF7A3" w14:textId="77777777" w:rsidR="00DB2B68" w:rsidRDefault="00000000">
      <w:r>
        <w:t>Qualité du béton selon la [NBN B 15-001]:</w:t>
      </w:r>
    </w:p>
    <w:p w14:paraId="621F1FE0" w14:textId="77777777" w:rsidR="00DB2B68" w:rsidRDefault="00000000">
      <w:r>
        <w:t xml:space="preserve">Classe de résistance minimale : </w:t>
      </w:r>
      <w:r>
        <w:rPr>
          <w:rStyle w:val="optioncarChar"/>
        </w:rPr>
        <w:t>C25/30 / C30/37</w:t>
      </w:r>
      <w:r>
        <w:t xml:space="preserve"> (par défaut)</w:t>
      </w:r>
    </w:p>
    <w:p w14:paraId="5F16B149" w14:textId="77777777" w:rsidR="00DB2B68" w:rsidRDefault="00000000">
      <w:r>
        <w:t xml:space="preserve">Classe d'environnement minimale : </w:t>
      </w:r>
      <w:r>
        <w:rPr>
          <w:rStyle w:val="optioncarChar"/>
        </w:rPr>
        <w:t>EE1 / EE3</w:t>
      </w:r>
      <w:r>
        <w:t xml:space="preserve"> (par défaut)</w:t>
      </w:r>
    </w:p>
    <w:p w14:paraId="049C205B" w14:textId="77777777" w:rsidR="00DB2B68" w:rsidRDefault="00000000">
      <w:r>
        <w:t xml:space="preserve">Armatures : </w:t>
      </w:r>
      <w:r>
        <w:rPr>
          <w:rStyle w:val="optioncarChar"/>
        </w:rPr>
        <w:t>***</w:t>
      </w:r>
    </w:p>
    <w:p w14:paraId="7491E692" w14:textId="77777777" w:rsidR="00DB2B68" w:rsidRDefault="00000000">
      <w:r>
        <w:t>Angles :</w:t>
      </w:r>
      <w:r>
        <w:rPr>
          <w:rStyle w:val="optioncarChar"/>
        </w:rPr>
        <w:t xml:space="preserve"> cassés </w:t>
      </w:r>
      <w:r>
        <w:t>(par défaut)</w:t>
      </w:r>
      <w:r>
        <w:rPr>
          <w:rStyle w:val="optioncarChar"/>
        </w:rPr>
        <w:t xml:space="preserve"> / arrondis</w:t>
      </w:r>
      <w:r>
        <w:t>.</w:t>
      </w:r>
    </w:p>
    <w:p w14:paraId="1C4772FE" w14:textId="77777777" w:rsidR="00DB2B68" w:rsidRDefault="00000000">
      <w:pPr>
        <w:pStyle w:val="pheading"/>
      </w:pPr>
      <w:r>
        <w:t>- Finitions</w:t>
      </w:r>
    </w:p>
    <w:p w14:paraId="7C1328CD" w14:textId="77777777" w:rsidR="00DB2B68" w:rsidRDefault="00000000">
      <w:r>
        <w:t xml:space="preserve">Surface : </w:t>
      </w:r>
      <w:r>
        <w:rPr>
          <w:rStyle w:val="optioncarChar"/>
        </w:rPr>
        <w:t xml:space="preserve">coffrage brute et lisse </w:t>
      </w:r>
      <w:r>
        <w:t>(par défaut) </w:t>
      </w:r>
      <w:r>
        <w:rPr>
          <w:rStyle w:val="optioncarChar"/>
        </w:rPr>
        <w:t>/ brute et finement texturée / brute et grossièrement texturée / brute à relief (ou structurée).</w:t>
      </w:r>
    </w:p>
    <w:p w14:paraId="061138F6" w14:textId="77777777" w:rsidR="00DB2B68" w:rsidRDefault="00000000">
      <w:pPr>
        <w:pStyle w:val="pheading"/>
      </w:pPr>
      <w:r>
        <w:t>EXÉCUTION / MISE EN ŒUVRE</w:t>
      </w:r>
    </w:p>
    <w:p w14:paraId="5DC2EBD7" w14:textId="77777777" w:rsidR="00DB2B68" w:rsidRDefault="00000000">
      <w:pPr>
        <w:pStyle w:val="pheading"/>
      </w:pPr>
      <w:r>
        <w:t>- Prescriptions générales</w:t>
      </w:r>
    </w:p>
    <w:p w14:paraId="19DE72F8" w14:textId="77777777" w:rsidR="00DB2B68" w:rsidRDefault="00000000">
      <w:r>
        <w:t xml:space="preserve">La face supérieure du seuil est en légère pente. La face avant : </w:t>
      </w:r>
      <w:r>
        <w:rPr>
          <w:rStyle w:val="optioncarChar"/>
        </w:rPr>
        <w:t>coïncide avec les briques de parement / déborde de 20 /  déborde de 30 </w:t>
      </w:r>
      <w:r>
        <w:t xml:space="preserve">(par défaut) </w:t>
      </w:r>
      <w:r>
        <w:rPr>
          <w:rStyle w:val="optioncarChar"/>
        </w:rPr>
        <w:t xml:space="preserve">/ déborde de *** </w:t>
      </w:r>
      <w:r>
        <w:t>mm. L'axe de la feuille de porte coïncide avec le joint entre le seuil et le revêtement de sol prévu.</w:t>
      </w:r>
    </w:p>
    <w:p w14:paraId="05ED6219" w14:textId="77777777" w:rsidR="00DB2B68" w:rsidRDefault="00000000">
      <w:pPr>
        <w:pStyle w:val="pheading"/>
      </w:pPr>
      <w:r>
        <w:t>- Notes d’exécution complémentaires</w:t>
      </w:r>
    </w:p>
    <w:p w14:paraId="7ED90FED" w14:textId="77777777" w:rsidR="00DB2B68" w:rsidRDefault="00000000">
      <w:r>
        <w:t>La battée métallique sous la porte est solidement scellée dans le béton.</w:t>
      </w:r>
    </w:p>
    <w:p w14:paraId="6844F5CD" w14:textId="77777777" w:rsidR="00DB2B68" w:rsidRDefault="00000000">
      <w:pPr>
        <w:pStyle w:val="pheading"/>
      </w:pPr>
      <w:r>
        <w:t>MESURAGE</w:t>
      </w:r>
    </w:p>
    <w:p w14:paraId="3896994F" w14:textId="77777777" w:rsidR="00DB2B68" w:rsidRDefault="00000000">
      <w:pPr>
        <w:pStyle w:val="pheading"/>
      </w:pPr>
      <w:r>
        <w:t>- unité de mesure:</w:t>
      </w:r>
    </w:p>
    <w:p w14:paraId="04842B64" w14:textId="77777777" w:rsidR="00DB2B68" w:rsidRDefault="00000000">
      <w:r>
        <w:rPr>
          <w:rStyle w:val="optioncarChar"/>
        </w:rPr>
        <w:t>m </w:t>
      </w:r>
      <w:r>
        <w:rPr>
          <w:rStyle w:val="optioncarChar"/>
          <w:color w:val="000000"/>
        </w:rPr>
        <w:t>(par défaut)</w:t>
      </w:r>
      <w:r>
        <w:rPr>
          <w:rStyle w:val="optioncarChar"/>
        </w:rPr>
        <w:t> / pc /m³</w:t>
      </w:r>
    </w:p>
    <w:p w14:paraId="5D815DF0" w14:textId="77777777" w:rsidR="00DB2B68" w:rsidRDefault="00000000">
      <w:pPr>
        <w:spacing w:after="0" w:line="0" w:lineRule="atLeast"/>
      </w:pPr>
      <w:r>
        <w:rPr>
          <w:b/>
          <w:color w:val="000000"/>
        </w:rPr>
        <w:t>(soit par défaut)</w:t>
      </w:r>
    </w:p>
    <w:p w14:paraId="46FDAC62" w14:textId="77777777" w:rsidR="00DB2B68" w:rsidRDefault="00000000">
      <w:pPr>
        <w:spacing w:after="0" w:line="0" w:lineRule="atLeast"/>
      </w:pPr>
      <w:r>
        <w:rPr>
          <w:rStyle w:val="soitChar"/>
        </w:rPr>
        <w:t>1. m</w:t>
      </w:r>
    </w:p>
    <w:p w14:paraId="0CCB1089" w14:textId="77777777" w:rsidR="00DB2B68" w:rsidRDefault="00000000">
      <w:pPr>
        <w:spacing w:after="0" w:line="0" w:lineRule="atLeast"/>
      </w:pPr>
      <w:r>
        <w:rPr>
          <w:b/>
          <w:color w:val="000000"/>
        </w:rPr>
        <w:t>(soit)</w:t>
      </w:r>
    </w:p>
    <w:p w14:paraId="6545FE95" w14:textId="77777777" w:rsidR="00DB2B68" w:rsidRDefault="00000000">
      <w:pPr>
        <w:spacing w:after="0" w:line="0" w:lineRule="atLeast"/>
      </w:pPr>
      <w:r>
        <w:rPr>
          <w:rStyle w:val="soitChar"/>
        </w:rPr>
        <w:t>2. pc</w:t>
      </w:r>
    </w:p>
    <w:p w14:paraId="4944776A" w14:textId="77777777" w:rsidR="00DB2B68" w:rsidRDefault="00000000">
      <w:pPr>
        <w:spacing w:after="0" w:line="0" w:lineRule="atLeast"/>
      </w:pPr>
      <w:r>
        <w:rPr>
          <w:b/>
          <w:color w:val="000000"/>
        </w:rPr>
        <w:t>(soit)</w:t>
      </w:r>
    </w:p>
    <w:p w14:paraId="62A5FCD1" w14:textId="77777777" w:rsidR="00DB2B68" w:rsidRDefault="00000000">
      <w:pPr>
        <w:spacing w:after="0" w:line="0" w:lineRule="atLeast"/>
      </w:pPr>
      <w:r>
        <w:rPr>
          <w:rStyle w:val="soitChar"/>
        </w:rPr>
        <w:t>2. m³</w:t>
      </w:r>
    </w:p>
    <w:p w14:paraId="14E0B991" w14:textId="77777777" w:rsidR="00DB2B68" w:rsidRDefault="00000000">
      <w:pPr>
        <w:pStyle w:val="pheading"/>
      </w:pPr>
      <w:r>
        <w:t>- code de mesurage:</w:t>
      </w:r>
    </w:p>
    <w:p w14:paraId="0C3BA8C6" w14:textId="77777777" w:rsidR="00DB2B68" w:rsidRDefault="00000000">
      <w:r>
        <w:t>Distinction faite suivant le type et nature du seuil (neuf et/ou de réemploi). S’il s’agit de réemploi, distinguer : avec ou sans fourniture.</w:t>
      </w:r>
    </w:p>
    <w:p w14:paraId="67C67723" w14:textId="77777777" w:rsidR="00DB2B68" w:rsidRDefault="00000000">
      <w:pPr>
        <w:jc w:val="both"/>
      </w:pPr>
      <w:r>
        <w:rPr>
          <w:rStyle w:val="optioncarChar"/>
        </w:rPr>
        <w:t>Longueur nette</w:t>
      </w:r>
      <w:r>
        <w:t> (par défaut)</w:t>
      </w:r>
      <w:r>
        <w:rPr>
          <w:rStyle w:val="optioncarChar"/>
        </w:rPr>
        <w:t> /  à la pièce / au volume</w:t>
      </w:r>
    </w:p>
    <w:p w14:paraId="43D5774B" w14:textId="77777777" w:rsidR="00DB2B68" w:rsidRDefault="00000000">
      <w:pPr>
        <w:jc w:val="both"/>
      </w:pPr>
      <w:r>
        <w:rPr>
          <w:b/>
        </w:rPr>
        <w:t>(soit par défaut)</w:t>
      </w:r>
    </w:p>
    <w:p w14:paraId="6F4E6291" w14:textId="77777777" w:rsidR="00DB2B68" w:rsidRDefault="00000000">
      <w:pPr>
        <w:jc w:val="both"/>
      </w:pPr>
      <w:r>
        <w:rPr>
          <w:rStyle w:val="soitChar"/>
          <w:u w:val="single"/>
        </w:rPr>
        <w:t>1. Longueur nette</w:t>
      </w:r>
      <w:r>
        <w:rPr>
          <w:rStyle w:val="soitChar"/>
        </w:rPr>
        <w:t xml:space="preserve"> : longueur du seuil entre les jours de la baie, </w:t>
      </w:r>
      <w:r>
        <w:rPr>
          <w:rStyle w:val="soitChar"/>
          <w:shd w:val="clear" w:color="auto" w:fill="FFFFFF"/>
        </w:rPr>
        <w:t>de dimensions et d'épaisseur identiques</w:t>
      </w:r>
    </w:p>
    <w:p w14:paraId="2D284B37" w14:textId="77777777" w:rsidR="00DB2B68" w:rsidRDefault="00000000">
      <w:pPr>
        <w:jc w:val="both"/>
      </w:pPr>
      <w:r>
        <w:rPr>
          <w:b/>
        </w:rPr>
        <w:t>(soit)</w:t>
      </w:r>
    </w:p>
    <w:p w14:paraId="7DDA3E3D" w14:textId="77777777" w:rsidR="00DB2B68" w:rsidRDefault="00000000">
      <w:pPr>
        <w:jc w:val="both"/>
      </w:pPr>
      <w:r>
        <w:rPr>
          <w:rStyle w:val="soitChar"/>
        </w:rPr>
        <w:t>2. </w:t>
      </w:r>
      <w:r>
        <w:rPr>
          <w:rStyle w:val="soitChar"/>
          <w:u w:val="single"/>
        </w:rPr>
        <w:t xml:space="preserve">A la pièce : </w:t>
      </w:r>
      <w:r>
        <w:rPr>
          <w:rStyle w:val="soitChar"/>
        </w:rPr>
        <w:t>de dimensions identiques</w:t>
      </w:r>
    </w:p>
    <w:p w14:paraId="3892B261" w14:textId="77777777" w:rsidR="00DB2B68" w:rsidRDefault="00000000">
      <w:pPr>
        <w:jc w:val="both"/>
      </w:pPr>
      <w:r>
        <w:rPr>
          <w:b/>
        </w:rPr>
        <w:t>(soit)</w:t>
      </w:r>
    </w:p>
    <w:p w14:paraId="6ED215C4" w14:textId="77777777" w:rsidR="00DB2B68" w:rsidRDefault="00000000">
      <w:pPr>
        <w:jc w:val="both"/>
      </w:pPr>
      <w:r>
        <w:rPr>
          <w:rStyle w:val="soitChar"/>
        </w:rPr>
        <w:lastRenderedPageBreak/>
        <w:t>3. </w:t>
      </w:r>
      <w:r>
        <w:rPr>
          <w:rStyle w:val="soitChar"/>
          <w:u w:val="single"/>
        </w:rPr>
        <w:t>Au volume</w:t>
      </w:r>
      <w:r>
        <w:rPr>
          <w:rStyle w:val="soitChar"/>
        </w:rPr>
        <w:t> : prendre le volume du plus petit parallélépipède rectangle qui circonscrit le seuil; le volume réel, quelle qu'en soit la dimension; les pierres de dimensions inférieures à 10 dm3 sont comptées à la pièce.</w:t>
      </w:r>
    </w:p>
    <w:p w14:paraId="0C99FAF0" w14:textId="77777777" w:rsidR="00DB2B68" w:rsidRDefault="00000000">
      <w:pPr>
        <w:pStyle w:val="pheading"/>
      </w:pPr>
      <w:r>
        <w:t>- nature du marché:</w:t>
      </w:r>
    </w:p>
    <w:p w14:paraId="0A3C910C" w14:textId="77777777" w:rsidR="00DB2B68" w:rsidRDefault="00000000">
      <w:r>
        <w:t>QF</w:t>
      </w:r>
    </w:p>
    <w:p w14:paraId="50953441" w14:textId="77777777" w:rsidR="00DB2B68" w:rsidRDefault="00000000">
      <w:pPr>
        <w:pStyle w:val="Author-eSectionHeading6Numberless"/>
      </w:pPr>
      <w:bookmarkStart w:id="305" w:name="_Toc220495425"/>
      <w:r>
        <w:t>21.36.1c Seuils en fibres-ciment CCTB 01.11</w:t>
      </w:r>
      <w:bookmarkEnd w:id="305"/>
    </w:p>
    <w:p w14:paraId="0702729D" w14:textId="77777777" w:rsidR="00DB2B68" w:rsidRDefault="00000000">
      <w:pPr>
        <w:pStyle w:val="pheading"/>
      </w:pPr>
      <w:r>
        <w:t>MATÉRIAUX</w:t>
      </w:r>
    </w:p>
    <w:p w14:paraId="03F3B214" w14:textId="77777777" w:rsidR="00DB2B68" w:rsidRDefault="00000000">
      <w:pPr>
        <w:pStyle w:val="pheading"/>
      </w:pPr>
      <w:r>
        <w:t>- Caractéristiques générales</w:t>
      </w:r>
    </w:p>
    <w:p w14:paraId="37034FDB" w14:textId="77777777" w:rsidR="00DB2B68" w:rsidRDefault="00000000">
      <w:r>
        <w:t>Les éléments préfabriqués creux sont fabriqués à l'aide d'un mélange homogène, coloré dans la masse, de fibres exemptes d'amiante, de ciment, de silicates et d'adjuvants minéraux. Ils sont extrudés sous haute pression et autoclavés. La partie inférieure des éléments est pourvue d'encoches pour améliorer l'adhérence du mortier et d'un rejet d'eau, qui se situe à au moins 30 mm de la face de parement. Du côté du châssis, le bord supérieur est terminé par un relevé adéquat qui permet le raccord soigné avec la menuiserie extérieure. Le modèle est soumis pour approbation à l'auteur de projet.</w:t>
      </w:r>
    </w:p>
    <w:p w14:paraId="151B4CF1" w14:textId="77777777" w:rsidR="00DB2B68" w:rsidRDefault="00000000">
      <w:r>
        <w:rPr>
          <w:b/>
          <w:u w:val="single"/>
        </w:rPr>
        <w:t>Spécifications</w:t>
      </w:r>
    </w:p>
    <w:p w14:paraId="53637EDC" w14:textId="77777777" w:rsidR="00DB2B68" w:rsidRDefault="00000000">
      <w:r>
        <w:t xml:space="preserve">Couleur en aspect : </w:t>
      </w:r>
      <w:r>
        <w:rPr>
          <w:rStyle w:val="optioncarChar"/>
        </w:rPr>
        <w:t xml:space="preserve">gris clair </w:t>
      </w:r>
      <w:r>
        <w:t>(par défaut) </w:t>
      </w:r>
      <w:r>
        <w:rPr>
          <w:rStyle w:val="optioncarChar"/>
        </w:rPr>
        <w:t>/ gris foncé / ***</w:t>
      </w:r>
      <w:r>
        <w:t xml:space="preserve"> (coloré dans la masse )</w:t>
      </w:r>
    </w:p>
    <w:p w14:paraId="2B069870" w14:textId="77777777" w:rsidR="00DB2B68" w:rsidRDefault="00000000">
      <w:r>
        <w:t xml:space="preserve">Propriétés physiques : voir l'article </w:t>
      </w:r>
      <w:hyperlink w:anchor="408" w:history="1">
        <w:r>
          <w:rPr>
            <w:color w:val="0000EE"/>
          </w:rPr>
          <w:t>21.36.1 Seuils</w:t>
        </w:r>
      </w:hyperlink>
    </w:p>
    <w:p w14:paraId="3712C459" w14:textId="77777777" w:rsidR="00DB2B68" w:rsidRDefault="00000000">
      <w:r>
        <w:t xml:space="preserve">Largeur : </w:t>
      </w:r>
      <w:r>
        <w:rPr>
          <w:rStyle w:val="optioncarChar"/>
        </w:rPr>
        <w:t>165</w:t>
      </w:r>
      <w:r>
        <w:t> (par défaut)</w:t>
      </w:r>
      <w:r>
        <w:rPr>
          <w:rStyle w:val="optioncarChar"/>
        </w:rPr>
        <w:t xml:space="preserve"> / 220 / 250 / 280 / ***</w:t>
      </w:r>
      <w:r>
        <w:t xml:space="preserve"> mm. Pour la détermination de la largeur, on tient compte d'un débordement de </w:t>
      </w:r>
      <w:r>
        <w:rPr>
          <w:rStyle w:val="optioncarChar"/>
        </w:rPr>
        <w:t>4 / ***</w:t>
      </w:r>
      <w:r>
        <w:t xml:space="preserve"> cm.</w:t>
      </w:r>
    </w:p>
    <w:p w14:paraId="660364FE" w14:textId="77777777" w:rsidR="00DB2B68" w:rsidRDefault="00000000">
      <w:r>
        <w:t xml:space="preserve">Longueur : d'un seul tenant jusqu'à maximum </w:t>
      </w:r>
      <w:r>
        <w:rPr>
          <w:rStyle w:val="optioncarChar"/>
        </w:rPr>
        <w:t>150 </w:t>
      </w:r>
      <w:r>
        <w:t>(par défaut)</w:t>
      </w:r>
      <w:r>
        <w:rPr>
          <w:rStyle w:val="optioncarChar"/>
        </w:rPr>
        <w:t xml:space="preserve"> / *** cm </w:t>
      </w:r>
      <w:r>
        <w:t>(lorsque les extrémités sont libres),</w:t>
      </w:r>
      <w:r>
        <w:rPr>
          <w:rStyle w:val="optioncarChar"/>
        </w:rPr>
        <w:t xml:space="preserve"> 300 </w:t>
      </w:r>
      <w:r>
        <w:t>(par défaut) </w:t>
      </w:r>
      <w:r>
        <w:rPr>
          <w:rStyle w:val="optioncarChar"/>
        </w:rPr>
        <w:t xml:space="preserve">/ *** cm </w:t>
      </w:r>
      <w:r>
        <w:t>(lorsque les extrémités sont insérées dans le parement)</w:t>
      </w:r>
      <w:r>
        <w:rPr>
          <w:rStyle w:val="optioncarChar"/>
        </w:rPr>
        <w:t>.</w:t>
      </w:r>
      <w:r>
        <w:t xml:space="preserve"> Le nombre de joints est limité, la division du seuil est soumise à l'approbation de l'auteur de projet.</w:t>
      </w:r>
    </w:p>
    <w:p w14:paraId="2B465C3C" w14:textId="77777777" w:rsidR="00DB2B68" w:rsidRDefault="00000000">
      <w:r>
        <w:t xml:space="preserve">La largeur de l'insertion de part et d'autre dans la maçonnerie est de </w:t>
      </w:r>
      <w:r>
        <w:rPr>
          <w:rStyle w:val="optioncarChar"/>
        </w:rPr>
        <w:t>une demi-brique </w:t>
      </w:r>
      <w:r>
        <w:t>(par défaut)</w:t>
      </w:r>
      <w:r>
        <w:rPr>
          <w:rStyle w:val="optioncarChar"/>
        </w:rPr>
        <w:t xml:space="preserve"> / ***</w:t>
      </w:r>
    </w:p>
    <w:p w14:paraId="454D3C38" w14:textId="77777777" w:rsidR="00DB2B68" w:rsidRDefault="00000000">
      <w:pPr>
        <w:pStyle w:val="pheading"/>
      </w:pPr>
      <w:r>
        <w:t>- Finitions</w:t>
      </w:r>
    </w:p>
    <w:p w14:paraId="3F0C02B1" w14:textId="77777777" w:rsidR="00DB2B68" w:rsidRDefault="00000000">
      <w:r>
        <w:t xml:space="preserve">Finition : face supérieure </w:t>
      </w:r>
      <w:r>
        <w:rPr>
          <w:rStyle w:val="optioncarChar"/>
        </w:rPr>
        <w:t>unie </w:t>
      </w:r>
      <w:r>
        <w:t>(par défaut)</w:t>
      </w:r>
      <w:r>
        <w:rPr>
          <w:rStyle w:val="optioncarChar"/>
        </w:rPr>
        <w:t xml:space="preserve"> / brute</w:t>
      </w:r>
    </w:p>
    <w:p w14:paraId="4AD00BAE" w14:textId="77777777" w:rsidR="00DB2B68" w:rsidRDefault="00000000">
      <w:pPr>
        <w:pStyle w:val="pheading"/>
      </w:pPr>
      <w:r>
        <w:t>- Prescriptions complémentaires</w:t>
      </w:r>
    </w:p>
    <w:p w14:paraId="2A5CE1B6" w14:textId="77777777" w:rsidR="00DB2B68" w:rsidRDefault="00000000">
      <w:r>
        <w:t>Les faces vues sont parachevées à l'aide d'un coating acrylique pigmenté.</w:t>
      </w:r>
    </w:p>
    <w:p w14:paraId="484BD23E" w14:textId="77777777" w:rsidR="00DB2B68" w:rsidRDefault="00000000">
      <w:pPr>
        <w:pStyle w:val="pheading"/>
      </w:pPr>
      <w:r>
        <w:t>EXÉCUTION / MISE EN ŒUVRE</w:t>
      </w:r>
    </w:p>
    <w:p w14:paraId="1FCD672C" w14:textId="77777777" w:rsidR="00DB2B68" w:rsidRDefault="00000000">
      <w:pPr>
        <w:pStyle w:val="pheading"/>
      </w:pPr>
      <w:r>
        <w:t>- Prescriptions générales</w:t>
      </w:r>
    </w:p>
    <w:p w14:paraId="25FBC3E0" w14:textId="77777777" w:rsidR="00DB2B68" w:rsidRDefault="00000000">
      <w:r>
        <w:t>Les éléments sont posés à bain plein de mortier, d'une épaisseur d'environ 15 mm; le mortier plastique est composé à base d'une émulsion synthétique. Les angles des éléments sont sciés en onglet ou constitués de pièces spéciales.</w:t>
      </w:r>
    </w:p>
    <w:p w14:paraId="46962764" w14:textId="77777777" w:rsidR="00DB2B68" w:rsidRDefault="00000000">
      <w:r>
        <w:t xml:space="preserve">A hauteur des joints intermédiaires, on intercale une étanchéité en </w:t>
      </w:r>
      <w:r>
        <w:rPr>
          <w:rStyle w:val="optioncarChar"/>
        </w:rPr>
        <w:t>membrane de PVC armée </w:t>
      </w:r>
      <w:r>
        <w:t>(par défaut)</w:t>
      </w:r>
      <w:r>
        <w:rPr>
          <w:rStyle w:val="optioncarChar"/>
        </w:rPr>
        <w:t xml:space="preserve"> / voile de verre bitumé / ***</w:t>
      </w:r>
      <w:r>
        <w:t> d'au moins 10 cm de largeur, qui déborde de 1 cm de part et d'autre du mur. La largeur des joints est de 5 à 10 mm.</w:t>
      </w:r>
    </w:p>
    <w:p w14:paraId="0971F7F4" w14:textId="77777777" w:rsidR="00DB2B68" w:rsidRDefault="00000000">
      <w:r>
        <w:t>Les joints sont rembourrés avec un mastic durablement élastique à base de polysulfide selon la [NBN S 23-002], soit avec un mélange de rejointoiement recommandé par le fabricant, la couleur est à déterminer par l'auteur de projet.</w:t>
      </w:r>
    </w:p>
    <w:p w14:paraId="74421032" w14:textId="77777777" w:rsidR="00DB2B68" w:rsidRDefault="00000000">
      <w:pPr>
        <w:pStyle w:val="pheading"/>
      </w:pPr>
      <w:r>
        <w:t>- Notes d’exécution complémentaires</w:t>
      </w:r>
    </w:p>
    <w:p w14:paraId="25745616" w14:textId="77777777" w:rsidR="00DB2B68" w:rsidRDefault="00000000">
      <w:r>
        <w:t>Dans les joints entre les éléments, on insère une bande de polystyrène.</w:t>
      </w:r>
    </w:p>
    <w:p w14:paraId="7B1750A5" w14:textId="77777777" w:rsidR="00DB2B68" w:rsidRDefault="00000000">
      <w:r>
        <w:t>Les extrémités creuses apparentes sont rembourrées à l'aide d'un mortier de ciment sans retrait, à adhérence améliorée et coloré à l'aide d'un coating acrylique.</w:t>
      </w:r>
    </w:p>
    <w:p w14:paraId="487DD528" w14:textId="77777777" w:rsidR="00DB2B68" w:rsidRDefault="00000000">
      <w:pPr>
        <w:pStyle w:val="pheading"/>
      </w:pPr>
      <w:r>
        <w:lastRenderedPageBreak/>
        <w:t>MESURAGE</w:t>
      </w:r>
    </w:p>
    <w:p w14:paraId="1E674C41" w14:textId="77777777" w:rsidR="00DB2B68" w:rsidRDefault="00000000">
      <w:pPr>
        <w:pStyle w:val="pheading"/>
      </w:pPr>
      <w:r>
        <w:t>- unité de mesure:</w:t>
      </w:r>
    </w:p>
    <w:p w14:paraId="7BE52297" w14:textId="77777777" w:rsidR="00DB2B68" w:rsidRDefault="00000000">
      <w:r>
        <w:rPr>
          <w:rStyle w:val="optioncarChar"/>
        </w:rPr>
        <w:t>m </w:t>
      </w:r>
      <w:r>
        <w:t>(par défaut) </w:t>
      </w:r>
      <w:r>
        <w:rPr>
          <w:rStyle w:val="optioncarChar"/>
        </w:rPr>
        <w:t>/ pc / m³ </w:t>
      </w:r>
    </w:p>
    <w:p w14:paraId="206CF7EA" w14:textId="77777777" w:rsidR="00DB2B68" w:rsidRDefault="00000000">
      <w:r>
        <w:rPr>
          <w:b/>
        </w:rPr>
        <w:t>(soit par défaut)</w:t>
      </w:r>
    </w:p>
    <w:p w14:paraId="0F6F85A2" w14:textId="77777777" w:rsidR="00DB2B68" w:rsidRDefault="00000000">
      <w:r>
        <w:rPr>
          <w:rStyle w:val="soitChar"/>
        </w:rPr>
        <w:t>1. m</w:t>
      </w:r>
    </w:p>
    <w:p w14:paraId="44663F1D" w14:textId="77777777" w:rsidR="00DB2B68" w:rsidRDefault="00000000">
      <w:r>
        <w:rPr>
          <w:b/>
        </w:rPr>
        <w:t>(soit)</w:t>
      </w:r>
    </w:p>
    <w:p w14:paraId="21901C45" w14:textId="77777777" w:rsidR="00DB2B68" w:rsidRDefault="00000000">
      <w:r>
        <w:rPr>
          <w:rStyle w:val="soitChar"/>
        </w:rPr>
        <w:t>2. pc</w:t>
      </w:r>
    </w:p>
    <w:p w14:paraId="309949A6" w14:textId="77777777" w:rsidR="00DB2B68" w:rsidRDefault="00000000">
      <w:r>
        <w:rPr>
          <w:b/>
        </w:rPr>
        <w:t>(soit)</w:t>
      </w:r>
    </w:p>
    <w:p w14:paraId="03AB4332" w14:textId="77777777" w:rsidR="00DB2B68" w:rsidRDefault="00000000">
      <w:r>
        <w:rPr>
          <w:rStyle w:val="soitChar"/>
        </w:rPr>
        <w:t>3. m³</w:t>
      </w:r>
    </w:p>
    <w:p w14:paraId="5C3D7921" w14:textId="77777777" w:rsidR="00DB2B68" w:rsidRDefault="00000000">
      <w:pPr>
        <w:pStyle w:val="pheading"/>
      </w:pPr>
      <w:r>
        <w:t>- code de mesurage:</w:t>
      </w:r>
    </w:p>
    <w:p w14:paraId="3D5CC805" w14:textId="77777777" w:rsidR="00DB2B68" w:rsidRDefault="00000000">
      <w:r>
        <w:t>Distinction faite suivant le type et nature du seuil (neuf et/ou de réemploi). S’il s’agit de réemploi, distinguer : avec ou sans fourniture.</w:t>
      </w:r>
    </w:p>
    <w:p w14:paraId="2B724A46" w14:textId="77777777" w:rsidR="00DB2B68" w:rsidRDefault="00000000">
      <w:pPr>
        <w:jc w:val="both"/>
      </w:pPr>
      <w:r>
        <w:rPr>
          <w:rStyle w:val="optioncarChar"/>
        </w:rPr>
        <w:t>Longueur nette</w:t>
      </w:r>
      <w:r>
        <w:t>    (par défaut)</w:t>
      </w:r>
      <w:r>
        <w:rPr>
          <w:rStyle w:val="optioncarChar"/>
        </w:rPr>
        <w:t> /  à la pièce / au volume</w:t>
      </w:r>
    </w:p>
    <w:p w14:paraId="5A982CD4" w14:textId="77777777" w:rsidR="00DB2B68" w:rsidRDefault="00000000">
      <w:pPr>
        <w:jc w:val="both"/>
      </w:pPr>
      <w:r>
        <w:rPr>
          <w:b/>
        </w:rPr>
        <w:t>(soit par défaut)</w:t>
      </w:r>
    </w:p>
    <w:p w14:paraId="1AFCB335" w14:textId="77777777" w:rsidR="00DB2B68" w:rsidRDefault="00000000">
      <w:pPr>
        <w:jc w:val="both"/>
      </w:pPr>
      <w:r>
        <w:rPr>
          <w:rStyle w:val="soitChar"/>
          <w:u w:val="single"/>
        </w:rPr>
        <w:t>1. Longueur nette</w:t>
      </w:r>
      <w:r>
        <w:rPr>
          <w:rStyle w:val="soitChar"/>
        </w:rPr>
        <w:t>  : longueur du seuil entre les jours de la baie, </w:t>
      </w:r>
      <w:r>
        <w:rPr>
          <w:rStyle w:val="soitChar"/>
          <w:shd w:val="clear" w:color="auto" w:fill="FFFFFF"/>
        </w:rPr>
        <w:t>de largeur et d'épaisseur identiques</w:t>
      </w:r>
    </w:p>
    <w:p w14:paraId="6B73CB32" w14:textId="77777777" w:rsidR="00DB2B68" w:rsidRDefault="00000000">
      <w:pPr>
        <w:jc w:val="both"/>
      </w:pPr>
      <w:r>
        <w:rPr>
          <w:b/>
        </w:rPr>
        <w:t>(soit)</w:t>
      </w:r>
    </w:p>
    <w:p w14:paraId="5447404A" w14:textId="77777777" w:rsidR="00DB2B68" w:rsidRDefault="00000000">
      <w:pPr>
        <w:jc w:val="both"/>
      </w:pPr>
      <w:r>
        <w:rPr>
          <w:rStyle w:val="soitChar"/>
        </w:rPr>
        <w:t>2. </w:t>
      </w:r>
      <w:r>
        <w:rPr>
          <w:rStyle w:val="soitChar"/>
          <w:u w:val="single"/>
        </w:rPr>
        <w:t>A la pièce</w:t>
      </w:r>
      <w:r>
        <w:rPr>
          <w:rStyle w:val="soitChar"/>
        </w:rPr>
        <w:t xml:space="preserve"> : de dimensions identiques</w:t>
      </w:r>
    </w:p>
    <w:p w14:paraId="4C7A2BED" w14:textId="77777777" w:rsidR="00DB2B68" w:rsidRDefault="00000000">
      <w:pPr>
        <w:jc w:val="both"/>
      </w:pPr>
      <w:r>
        <w:rPr>
          <w:b/>
        </w:rPr>
        <w:t>(soit)</w:t>
      </w:r>
    </w:p>
    <w:p w14:paraId="05F40329" w14:textId="77777777" w:rsidR="00DB2B68" w:rsidRDefault="00000000">
      <w:pPr>
        <w:jc w:val="both"/>
      </w:pPr>
      <w:r>
        <w:rPr>
          <w:rStyle w:val="soitChar"/>
        </w:rPr>
        <w:t>3. </w:t>
      </w:r>
      <w:r>
        <w:rPr>
          <w:rStyle w:val="soitChar"/>
          <w:u w:val="single"/>
        </w:rPr>
        <w:t>Au volume</w:t>
      </w:r>
      <w:r>
        <w:rPr>
          <w:rStyle w:val="soitChar"/>
        </w:rPr>
        <w:t> : prendre le volume du plus petit parallélépipède rectangle qui circonscrit la pierre; le volume réel, quelle qu'en soit la dimension; les pierres de dimensions inférieures à 10 dm3 sont comptées à la pièce.</w:t>
      </w:r>
    </w:p>
    <w:p w14:paraId="7D29EA1F" w14:textId="77777777" w:rsidR="00DB2B68" w:rsidRDefault="00000000">
      <w:pPr>
        <w:pStyle w:val="pheading"/>
      </w:pPr>
      <w:r>
        <w:t>- nature du marché:</w:t>
      </w:r>
    </w:p>
    <w:p w14:paraId="4C07AA3C" w14:textId="77777777" w:rsidR="00DB2B68" w:rsidRDefault="00000000">
      <w:r>
        <w:t>QF</w:t>
      </w:r>
    </w:p>
    <w:p w14:paraId="5D1AAD1E" w14:textId="77777777" w:rsidR="00DB2B68" w:rsidRDefault="00000000">
      <w:pPr>
        <w:pStyle w:val="Author-eSectionHeading6Numberless"/>
      </w:pPr>
      <w:bookmarkStart w:id="306" w:name="_Toc220495426"/>
      <w:r>
        <w:t>21.36.1d Seuils en briques de parement CCTB 01.11</w:t>
      </w:r>
      <w:bookmarkEnd w:id="306"/>
    </w:p>
    <w:p w14:paraId="63703243" w14:textId="77777777" w:rsidR="00DB2B68" w:rsidRDefault="00000000">
      <w:pPr>
        <w:pStyle w:val="pheading"/>
      </w:pPr>
      <w:r>
        <w:t>MATÉRIAUX</w:t>
      </w:r>
    </w:p>
    <w:p w14:paraId="6245106D" w14:textId="77777777" w:rsidR="00DB2B68" w:rsidRDefault="00000000">
      <w:pPr>
        <w:pStyle w:val="pheading"/>
      </w:pPr>
      <w:r>
        <w:t>- Caractéristiques générales</w:t>
      </w:r>
    </w:p>
    <w:p w14:paraId="0E940882" w14:textId="77777777" w:rsidR="00DB2B68" w:rsidRDefault="00000000">
      <w:r>
        <w:t>Les briques de seuils présentent les mêmes caractéristiques que celles utilisées : </w:t>
      </w:r>
      <w:r>
        <w:rPr>
          <w:rStyle w:val="optioncarChar"/>
        </w:rPr>
        <w:t>pour le parement </w:t>
      </w:r>
      <w:r>
        <w:t>(par défaut)</w:t>
      </w:r>
      <w:r>
        <w:rPr>
          <w:rStyle w:val="optioncarChar"/>
        </w:rPr>
        <w:t> </w:t>
      </w:r>
      <w:r>
        <w:t xml:space="preserve">(voir article </w:t>
      </w:r>
      <w:hyperlink w:anchor="409" w:history="1">
        <w:r>
          <w:rPr>
            <w:color w:val="0000EE"/>
          </w:rPr>
          <w:t>21.31 Maçonneries de parement en briques</w:t>
        </w:r>
      </w:hyperlink>
      <w:r>
        <w:t xml:space="preserve">) </w:t>
      </w:r>
      <w:r>
        <w:rPr>
          <w:rStyle w:val="optioncarChar"/>
        </w:rPr>
        <w:t>/ ***</w:t>
      </w:r>
    </w:p>
    <w:p w14:paraId="60170DB6" w14:textId="77777777" w:rsidR="00DB2B68" w:rsidRDefault="00000000">
      <w:r>
        <w:t>La pose est effectuée avec le même mortier de maçonnerie que celui utilisé : </w:t>
      </w:r>
      <w:r>
        <w:rPr>
          <w:rStyle w:val="optioncarChar"/>
        </w:rPr>
        <w:t>pour le parement </w:t>
      </w:r>
      <w:r>
        <w:t>(par défaut)</w:t>
      </w:r>
      <w:r>
        <w:rPr>
          <w:rStyle w:val="optioncarChar"/>
        </w:rPr>
        <w:t xml:space="preserve"> / ***</w:t>
      </w:r>
    </w:p>
    <w:p w14:paraId="6F75D894" w14:textId="77777777" w:rsidR="00DB2B68" w:rsidRDefault="00000000">
      <w:r>
        <w:t>Le mortier de jointoiement est le même que celui utilisé pour : </w:t>
      </w:r>
      <w:r>
        <w:rPr>
          <w:rStyle w:val="optioncarChar"/>
        </w:rPr>
        <w:t>le jointoiement du parement </w:t>
      </w:r>
      <w:r>
        <w:t>(par défaut)</w:t>
      </w:r>
      <w:r>
        <w:rPr>
          <w:rStyle w:val="optioncarChar"/>
        </w:rPr>
        <w:t xml:space="preserve"> / ***</w:t>
      </w:r>
    </w:p>
    <w:p w14:paraId="1702A153" w14:textId="77777777" w:rsidR="00DB2B68" w:rsidRDefault="00000000">
      <w:pPr>
        <w:pStyle w:val="pheading"/>
      </w:pPr>
      <w:r>
        <w:t>EXÉCUTION / MISE EN ŒUVRE</w:t>
      </w:r>
    </w:p>
    <w:p w14:paraId="5AF3B4DB" w14:textId="77777777" w:rsidR="00DB2B68" w:rsidRDefault="00000000">
      <w:pPr>
        <w:pStyle w:val="pheading"/>
      </w:pPr>
      <w:r>
        <w:t>- Prescriptions générales</w:t>
      </w:r>
    </w:p>
    <w:p w14:paraId="526E2F3E" w14:textId="77777777" w:rsidR="00DB2B68" w:rsidRDefault="00000000">
      <w:r>
        <w:t xml:space="preserve">Les seuils sont placés horizontalement et débordent d'au moins </w:t>
      </w:r>
      <w:r>
        <w:rPr>
          <w:rStyle w:val="optioncarChar"/>
        </w:rPr>
        <w:t>5 </w:t>
      </w:r>
      <w:r>
        <w:t>(par défaut)</w:t>
      </w:r>
      <w:r>
        <w:rPr>
          <w:rStyle w:val="optioncarChar"/>
        </w:rPr>
        <w:t xml:space="preserve"> / ***</w:t>
      </w:r>
      <w:r>
        <w:t xml:space="preserve"> cm par rapport au plan de la façade.</w:t>
      </w:r>
    </w:p>
    <w:p w14:paraId="681736C3" w14:textId="77777777" w:rsidR="00DB2B68" w:rsidRDefault="00000000">
      <w:r>
        <w:t xml:space="preserve">Ils sont posés avec une inclinaison de </w:t>
      </w:r>
      <w:r>
        <w:rPr>
          <w:rStyle w:val="optioncarChar"/>
        </w:rPr>
        <w:t>5 </w:t>
      </w:r>
      <w:r>
        <w:t>(par défaut)</w:t>
      </w:r>
      <w:r>
        <w:rPr>
          <w:rStyle w:val="optioncarChar"/>
        </w:rPr>
        <w:t xml:space="preserve"> / ***</w:t>
      </w:r>
      <w:r>
        <w:t xml:space="preserve"> % afin que l'eau de ruissellement s'éloigne de la façade. </w:t>
      </w:r>
    </w:p>
    <w:p w14:paraId="5D9CBD7D" w14:textId="77777777" w:rsidR="00DB2B68" w:rsidRDefault="00000000">
      <w:pPr>
        <w:pStyle w:val="pheading"/>
      </w:pPr>
      <w:r>
        <w:t>- Notes d’exécution complémentaires</w:t>
      </w:r>
    </w:p>
    <w:p w14:paraId="611E5EC4" w14:textId="77777777" w:rsidR="00DB2B68" w:rsidRDefault="00000000">
      <w:r>
        <w:t xml:space="preserve">Sous le seuil en briques, on prévoira sur toute la longueur un bourrelet en plomb scellé. </w:t>
      </w:r>
    </w:p>
    <w:p w14:paraId="652676CB" w14:textId="77777777" w:rsidR="00DB2B68" w:rsidRDefault="00000000">
      <w:r>
        <w:t>Les seuils en briques de parement seront ensuite traités avec un produit hydrofuge approprié.</w:t>
      </w:r>
    </w:p>
    <w:p w14:paraId="0FA831AD" w14:textId="77777777" w:rsidR="00DB2B68" w:rsidRDefault="00000000">
      <w:pPr>
        <w:pStyle w:val="pheading"/>
      </w:pPr>
      <w:r>
        <w:lastRenderedPageBreak/>
        <w:t>MESURAGE</w:t>
      </w:r>
    </w:p>
    <w:p w14:paraId="42866ADA" w14:textId="77777777" w:rsidR="00DB2B68" w:rsidRDefault="00000000">
      <w:pPr>
        <w:pStyle w:val="pheading"/>
      </w:pPr>
      <w:r>
        <w:t>- unité de mesure:</w:t>
      </w:r>
    </w:p>
    <w:p w14:paraId="39BDFF18" w14:textId="77777777" w:rsidR="00DB2B68" w:rsidRDefault="00000000">
      <w:r>
        <w:rPr>
          <w:rStyle w:val="optioncarChar"/>
        </w:rPr>
        <w:t xml:space="preserve">m </w:t>
      </w:r>
      <w:r>
        <w:t>(par défaut)</w:t>
      </w:r>
      <w:r>
        <w:rPr>
          <w:rStyle w:val="optioncarChar"/>
        </w:rPr>
        <w:t xml:space="preserve"> / Pce / m³</w:t>
      </w:r>
    </w:p>
    <w:p w14:paraId="48F003A6" w14:textId="77777777" w:rsidR="00DB2B68" w:rsidRDefault="00000000">
      <w:pPr>
        <w:pStyle w:val="pheading"/>
      </w:pPr>
      <w:r>
        <w:t>- code de mesurage:</w:t>
      </w:r>
    </w:p>
    <w:p w14:paraId="3AC8DF88" w14:textId="77777777" w:rsidR="00DB2B68" w:rsidRDefault="00000000">
      <w:r>
        <w:t>Distinction faite suivant le type et nature du seuil (neuf et/ou de réemploi). S’il s’agit de réemploi, distinguer : avec ou sans fourniture.</w:t>
      </w:r>
    </w:p>
    <w:p w14:paraId="47343148" w14:textId="77777777" w:rsidR="00DB2B68" w:rsidRDefault="00000000">
      <w:pPr>
        <w:jc w:val="both"/>
      </w:pPr>
      <w:r>
        <w:rPr>
          <w:rStyle w:val="optioncarChar"/>
        </w:rPr>
        <w:t>Longueur nette</w:t>
      </w:r>
      <w:r>
        <w:t>    (par défaut)</w:t>
      </w:r>
      <w:r>
        <w:rPr>
          <w:rStyle w:val="optioncarChar"/>
        </w:rPr>
        <w:t> /  à la pièce / au volume</w:t>
      </w:r>
    </w:p>
    <w:p w14:paraId="38537EEF" w14:textId="77777777" w:rsidR="00DB2B68" w:rsidRDefault="00000000">
      <w:pPr>
        <w:jc w:val="both"/>
      </w:pPr>
      <w:r>
        <w:rPr>
          <w:b/>
        </w:rPr>
        <w:t>(soit par défaut)</w:t>
      </w:r>
    </w:p>
    <w:p w14:paraId="76396040" w14:textId="77777777" w:rsidR="00DB2B68" w:rsidRDefault="00000000">
      <w:pPr>
        <w:jc w:val="both"/>
      </w:pPr>
      <w:r>
        <w:rPr>
          <w:rStyle w:val="soitChar"/>
          <w:u w:val="single"/>
        </w:rPr>
        <w:t>1. Longueur nette</w:t>
      </w:r>
      <w:r>
        <w:rPr>
          <w:rStyle w:val="soitChar"/>
        </w:rPr>
        <w:t>  : longueur du seuil entre les jours de la baie, </w:t>
      </w:r>
      <w:r>
        <w:rPr>
          <w:rStyle w:val="soitChar"/>
          <w:shd w:val="clear" w:color="auto" w:fill="FFFFFF"/>
        </w:rPr>
        <w:t>de largeur et d'épaisseur identiques</w:t>
      </w:r>
    </w:p>
    <w:p w14:paraId="122E77C1" w14:textId="77777777" w:rsidR="00DB2B68" w:rsidRDefault="00000000">
      <w:pPr>
        <w:jc w:val="both"/>
      </w:pPr>
      <w:r>
        <w:rPr>
          <w:b/>
        </w:rPr>
        <w:t>(soit)</w:t>
      </w:r>
    </w:p>
    <w:p w14:paraId="1BB4EE5F" w14:textId="77777777" w:rsidR="00DB2B68" w:rsidRDefault="00000000">
      <w:pPr>
        <w:jc w:val="both"/>
      </w:pPr>
      <w:r>
        <w:rPr>
          <w:rStyle w:val="soitChar"/>
        </w:rPr>
        <w:t>2. </w:t>
      </w:r>
      <w:r>
        <w:rPr>
          <w:rStyle w:val="soitChar"/>
          <w:u w:val="single"/>
        </w:rPr>
        <w:t>A la pièce</w:t>
      </w:r>
      <w:r>
        <w:rPr>
          <w:rStyle w:val="soitChar"/>
        </w:rPr>
        <w:t> : de dimensions identiques</w:t>
      </w:r>
    </w:p>
    <w:p w14:paraId="07298264" w14:textId="77777777" w:rsidR="00DB2B68" w:rsidRDefault="00000000">
      <w:pPr>
        <w:jc w:val="both"/>
      </w:pPr>
      <w:r>
        <w:rPr>
          <w:b/>
        </w:rPr>
        <w:t>(soit)</w:t>
      </w:r>
    </w:p>
    <w:p w14:paraId="5E7BDB91" w14:textId="77777777" w:rsidR="00DB2B68" w:rsidRDefault="00000000">
      <w:pPr>
        <w:jc w:val="both"/>
      </w:pPr>
      <w:r>
        <w:rPr>
          <w:rStyle w:val="soitChar"/>
        </w:rPr>
        <w:t>3. </w:t>
      </w:r>
      <w:r>
        <w:rPr>
          <w:rStyle w:val="soitChar"/>
          <w:u w:val="single"/>
        </w:rPr>
        <w:t>Au volume</w:t>
      </w:r>
      <w:r>
        <w:rPr>
          <w:rStyle w:val="soitChar"/>
        </w:rPr>
        <w:t> : prendre le volume du plus petit parallélépipède rectangle qui circonscrit le seuil; le volume réel, quelle qu'en soit la dimension</w:t>
      </w:r>
    </w:p>
    <w:p w14:paraId="50A32E14" w14:textId="77777777" w:rsidR="00DB2B68" w:rsidRDefault="00000000">
      <w:pPr>
        <w:pStyle w:val="pheading"/>
      </w:pPr>
      <w:r>
        <w:t>- nature du marché:</w:t>
      </w:r>
    </w:p>
    <w:p w14:paraId="1F2B9E64" w14:textId="77777777" w:rsidR="00DB2B68" w:rsidRDefault="00000000">
      <w:r>
        <w:t>QF</w:t>
      </w:r>
    </w:p>
    <w:p w14:paraId="67683619" w14:textId="77777777" w:rsidR="00DB2B68" w:rsidRDefault="00000000">
      <w:pPr>
        <w:pStyle w:val="Author-eSectionHeading5Numberless"/>
      </w:pPr>
      <w:bookmarkStart w:id="307" w:name="_Toc220495427"/>
      <w:r>
        <w:t>21.36.2 Plinthes CCTB 01.11</w:t>
      </w:r>
      <w:bookmarkEnd w:id="307"/>
    </w:p>
    <w:p w14:paraId="23F039C5" w14:textId="77777777" w:rsidR="00DB2B68" w:rsidRDefault="00000000">
      <w:pPr>
        <w:pStyle w:val="pheading"/>
      </w:pPr>
      <w:r>
        <w:t>DESCRIPTION</w:t>
      </w:r>
    </w:p>
    <w:p w14:paraId="51E5087E" w14:textId="77777777" w:rsidR="00DB2B68" w:rsidRDefault="00000000">
      <w:pPr>
        <w:pStyle w:val="pheading"/>
      </w:pPr>
      <w:r>
        <w:t>- Définition / Comprend</w:t>
      </w:r>
    </w:p>
    <w:p w14:paraId="5A83A004" w14:textId="77777777" w:rsidR="00DB2B68" w:rsidRDefault="00000000">
      <w:r>
        <w:t xml:space="preserve">Il s'agit de toutes les fournitures et travaux pour la réalisation des plinthes, y compris les angles, terminaisons et rencontres, les bordures intégrées, </w:t>
      </w:r>
      <w:r>
        <w:rPr>
          <w:rStyle w:val="optioncarChar"/>
        </w:rPr>
        <w:t>***</w:t>
      </w:r>
      <w:r>
        <w:t xml:space="preserve"> (en conformité avec les profils prescrits), ainsi que tous les éléments de liaison, les jonctions périphériques avec les autres éléments de construction (rails, goujons, ferrures, …).</w:t>
      </w:r>
    </w:p>
    <w:p w14:paraId="069E95EB" w14:textId="77777777" w:rsidR="00DB2B68" w:rsidRDefault="00000000">
      <w:pPr>
        <w:pStyle w:val="pheading"/>
      </w:pPr>
      <w:r>
        <w:t>MATÉRIAUX</w:t>
      </w:r>
    </w:p>
    <w:p w14:paraId="0CEA1165" w14:textId="77777777" w:rsidR="00DB2B68" w:rsidRDefault="00000000">
      <w:r>
        <w:t>Avant de passer la commande pour les plinthes et les éléments d'ancrage, l'entrepreneur est tenu de vérifier si celles-ci peuvent être livrées dans les dimensions, selon le type, la couleur et le traitement de surface tels que prescrits dans les documents d'adjudication. Ainsi, il vérifie préalablement si les dimensions correspondent à la structure portante, au choix et à l'emplacement des moyens de fixation. En ce qui concerne l'aspect, la(les) couleur(s) et la structure de surface, il est fait référence aux trois échantillons (contractuels) qui doivent représenter l'aspect moyen et les deux aspects approchants de la fourniture. Ces échantillons présentent en outre toutes les particularités (veines, trous, fils, …) qui ne sont pas considérées comme des défauts et dont la présence ne risque pas d'entraîner le rebut.</w:t>
      </w:r>
    </w:p>
    <w:p w14:paraId="0AAA0BF0" w14:textId="77777777" w:rsidR="00DB2B68" w:rsidRDefault="00000000">
      <w:pPr>
        <w:pStyle w:val="pheading"/>
      </w:pPr>
      <w:r>
        <w:t>EXÉCUTION / MISE EN ŒUVRE</w:t>
      </w:r>
    </w:p>
    <w:p w14:paraId="3898AB2A" w14:textId="77777777" w:rsidR="00DB2B68" w:rsidRDefault="00000000">
      <w:r>
        <w:t xml:space="preserve">Les plinthes sont placées à environ </w:t>
      </w:r>
      <w:r>
        <w:rPr>
          <w:rStyle w:val="optioncarChar"/>
        </w:rPr>
        <w:t>10</w:t>
      </w:r>
      <w:r>
        <w:t xml:space="preserve"> (par défaut)</w:t>
      </w:r>
      <w:r>
        <w:rPr>
          <w:rStyle w:val="optioncarChar"/>
        </w:rPr>
        <w:t xml:space="preserve"> / *** </w:t>
      </w:r>
      <w:r>
        <w:t xml:space="preserve">mm en retrait par rapport au </w:t>
      </w:r>
      <w:r>
        <w:rPr>
          <w:rStyle w:val="optioncarChar"/>
        </w:rPr>
        <w:t xml:space="preserve">parement de façade / revêtement de façade / crépi de façade </w:t>
      </w:r>
      <w:r>
        <w:t>prévus et sont posées conformément au détail de coupe.</w:t>
      </w:r>
    </w:p>
    <w:p w14:paraId="53EB2DD8" w14:textId="77777777" w:rsidR="00DB2B68" w:rsidRDefault="00000000">
      <w:r>
        <w:t xml:space="preserve">La pose est faite  </w:t>
      </w:r>
      <w:r>
        <w:rPr>
          <w:rStyle w:val="optioncarChar"/>
        </w:rPr>
        <w:t>avec coulisse / sans coulisse :</w:t>
      </w:r>
    </w:p>
    <w:p w14:paraId="004A8B2B" w14:textId="77777777" w:rsidR="00DB2B68" w:rsidRDefault="00000000">
      <w:r>
        <w:rPr>
          <w:b/>
          <w:shd w:val="clear" w:color="auto" w:fill="FFFFFF"/>
        </w:rPr>
        <w:t>(soit)</w:t>
      </w:r>
    </w:p>
    <w:p w14:paraId="46C99FFA" w14:textId="77777777" w:rsidR="00DB2B68" w:rsidRDefault="00000000">
      <w:r>
        <w:rPr>
          <w:rStyle w:val="soitChar"/>
          <w:u w:val="single"/>
        </w:rPr>
        <w:t>Avec une coulisse</w:t>
      </w:r>
      <w:r>
        <w:rPr>
          <w:rStyle w:val="soitChar"/>
        </w:rPr>
        <w:t xml:space="preserve"> ventilée d'une largeur d'au moins 3 cm.</w:t>
      </w:r>
    </w:p>
    <w:p w14:paraId="400B0BDE" w14:textId="77777777" w:rsidR="00DB2B68" w:rsidRDefault="00000000">
      <w:r>
        <w:rPr>
          <w:b/>
        </w:rPr>
        <w:t>(soit)</w:t>
      </w:r>
    </w:p>
    <w:p w14:paraId="02D327E8" w14:textId="77777777" w:rsidR="00DB2B68" w:rsidRDefault="00000000">
      <w:r>
        <w:rPr>
          <w:rStyle w:val="soitChar"/>
          <w:u w:val="single"/>
        </w:rPr>
        <w:t>Sans coulisse</w:t>
      </w:r>
      <w:r>
        <w:rPr>
          <w:rStyle w:val="soitChar"/>
        </w:rPr>
        <w:t>, appliquées directement contre l'isolation du vide</w:t>
      </w:r>
    </w:p>
    <w:p w14:paraId="79AEA41A" w14:textId="77777777" w:rsidR="00DB2B68" w:rsidRDefault="00000000">
      <w:r>
        <w:lastRenderedPageBreak/>
        <w:t>Les pierres des plinthes sont posées d'aplomb, d'équerre et bien planes selon l'appareillage dessiné sur les plans et/ou en concertation avec l'auteur de projet.</w:t>
      </w:r>
    </w:p>
    <w:p w14:paraId="3BDA7BD3" w14:textId="77777777" w:rsidR="00DB2B68" w:rsidRDefault="00000000">
      <w:pPr>
        <w:pStyle w:val="Author-eSectionHeading6Numberless"/>
      </w:pPr>
      <w:bookmarkStart w:id="308" w:name="_Toc220495428"/>
      <w:r>
        <w:t>21.36.2a Plinthes en pierre CCTB 01.11</w:t>
      </w:r>
      <w:bookmarkEnd w:id="308"/>
    </w:p>
    <w:p w14:paraId="47CD1A4E" w14:textId="77777777" w:rsidR="00DB2B68" w:rsidRDefault="00000000">
      <w:pPr>
        <w:pStyle w:val="pheading"/>
      </w:pPr>
      <w:r>
        <w:t>MATÉRIAUX</w:t>
      </w:r>
    </w:p>
    <w:p w14:paraId="2276F535" w14:textId="77777777" w:rsidR="00DB2B68" w:rsidRDefault="00000000">
      <w:pPr>
        <w:pStyle w:val="pheading"/>
      </w:pPr>
      <w:r>
        <w:t>- Caractéristiques générales</w:t>
      </w:r>
    </w:p>
    <w:p w14:paraId="48A9C80C" w14:textId="77777777" w:rsidR="00DB2B68" w:rsidRDefault="00000000">
      <w:r>
        <w:rPr>
          <w:b/>
          <w:u w:val="single"/>
        </w:rPr>
        <w:t>Spécifications</w:t>
      </w:r>
    </w:p>
    <w:p w14:paraId="346C4D60" w14:textId="77777777" w:rsidR="00DB2B68" w:rsidRDefault="00000000">
      <w:r>
        <w:t>La pierre appartient à la catégorie </w:t>
      </w:r>
      <w:r>
        <w:rPr>
          <w:rStyle w:val="optioncarChar"/>
        </w:rPr>
        <w:t>'bâtiment exceptionnel' / 'bâtiment courant'</w:t>
      </w:r>
      <w:r>
        <w:t> (par défaut)</w:t>
      </w:r>
      <w:r>
        <w:rPr>
          <w:rStyle w:val="optioncarChar"/>
        </w:rPr>
        <w:t xml:space="preserve"> / 'technique' / ***</w:t>
      </w:r>
      <w:r>
        <w:t xml:space="preserve"> (suivant le tableau [NIT 220])</w:t>
      </w:r>
    </w:p>
    <w:p w14:paraId="39E12D9F" w14:textId="77777777" w:rsidR="00DB2B68" w:rsidRDefault="00000000">
      <w:r>
        <w:t>Dimensions : bandes modulaires</w:t>
      </w:r>
    </w:p>
    <w:p w14:paraId="0EA00D1F" w14:textId="77777777" w:rsidR="00DB2B68" w:rsidRDefault="00000000">
      <w:r>
        <w:t xml:space="preserve">Epaisseur des plaques : environ </w:t>
      </w:r>
      <w:r>
        <w:rPr>
          <w:rStyle w:val="optioncarChar"/>
        </w:rPr>
        <w:t>30</w:t>
      </w:r>
      <w:r>
        <w:t> </w:t>
      </w:r>
      <w:r>
        <w:rPr>
          <w:rStyle w:val="optioncarChar"/>
        </w:rPr>
        <w:t xml:space="preserve">/ 40 / 50 </w:t>
      </w:r>
      <w:r>
        <w:t>(par défaut) </w:t>
      </w:r>
      <w:r>
        <w:rPr>
          <w:rStyle w:val="optioncarChar"/>
        </w:rPr>
        <w:t xml:space="preserve">/ 60 / 70 / 80 / *** </w:t>
      </w:r>
      <w:r>
        <w:t xml:space="preserve">mm (tolérances </w:t>
      </w:r>
      <w:r>
        <w:rPr>
          <w:u w:val="single"/>
        </w:rPr>
        <w:t>+</w:t>
      </w:r>
      <w:r>
        <w:t>2 mm)</w:t>
      </w:r>
    </w:p>
    <w:p w14:paraId="2D24285E" w14:textId="77777777" w:rsidR="00DB2B68" w:rsidRDefault="00000000">
      <w:r>
        <w:t xml:space="preserve">Longueur des plinthes : maximum </w:t>
      </w:r>
      <w:r>
        <w:rPr>
          <w:rStyle w:val="optioncarChar"/>
        </w:rPr>
        <w:t xml:space="preserve">80 </w:t>
      </w:r>
      <w:r>
        <w:t>(par défaut) </w:t>
      </w:r>
      <w:r>
        <w:rPr>
          <w:rStyle w:val="optioncarChar"/>
        </w:rPr>
        <w:t>/ 100 / ***</w:t>
      </w:r>
      <w:r>
        <w:t xml:space="preserve"> cm (en fonction de l'épaisseur)</w:t>
      </w:r>
    </w:p>
    <w:p w14:paraId="5F2D6A46" w14:textId="77777777" w:rsidR="00DB2B68" w:rsidRDefault="00000000">
      <w:r>
        <w:t xml:space="preserve">Hauteur des plinthes : </w:t>
      </w:r>
      <w:r>
        <w:rPr>
          <w:rStyle w:val="optioncarChar"/>
        </w:rPr>
        <w:t> 60 / 80</w:t>
      </w:r>
      <w:r>
        <w:t> (par défaut)</w:t>
      </w:r>
      <w:r>
        <w:rPr>
          <w:rStyle w:val="optioncarChar"/>
        </w:rPr>
        <w:t xml:space="preserve"> / 100 / *** cm / en gradins, selon le dessin de détail</w:t>
      </w:r>
    </w:p>
    <w:p w14:paraId="6C52EE3F" w14:textId="77777777" w:rsidR="00DB2B68" w:rsidRDefault="00000000">
      <w:r>
        <w:t xml:space="preserve">Profil des plinthes : </w:t>
      </w:r>
      <w:r>
        <w:rPr>
          <w:rStyle w:val="optioncarChar"/>
        </w:rPr>
        <w:t>plat </w:t>
      </w:r>
      <w:r>
        <w:t>(par défaut)</w:t>
      </w:r>
      <w:r>
        <w:rPr>
          <w:rStyle w:val="optioncarChar"/>
        </w:rPr>
        <w:t xml:space="preserve"> / selon le dessin de détail / ***</w:t>
      </w:r>
    </w:p>
    <w:p w14:paraId="448AD987" w14:textId="77777777" w:rsidR="00DB2B68" w:rsidRDefault="00000000">
      <w:r>
        <w:t xml:space="preserve">Eléments à intégrer : grilles de ventilation murales selon l'article </w:t>
      </w:r>
      <w:hyperlink w:anchor="411" w:history="1">
        <w:r>
          <w:rPr>
            <w:color w:val="0000EE"/>
          </w:rPr>
          <w:t>21.44 Eléments de ventilation</w:t>
        </w:r>
      </w:hyperlink>
      <w:r>
        <w:t>.</w:t>
      </w:r>
    </w:p>
    <w:p w14:paraId="1DC7E696" w14:textId="77777777" w:rsidR="00DB2B68" w:rsidRDefault="00000000">
      <w:pPr>
        <w:pStyle w:val="pheading"/>
      </w:pPr>
      <w:r>
        <w:t>- Finitions</w:t>
      </w:r>
    </w:p>
    <w:p w14:paraId="18E5DA77" w14:textId="77777777" w:rsidR="00DB2B68" w:rsidRDefault="00000000">
      <w:r>
        <w:t xml:space="preserve">Faces vues : </w:t>
      </w:r>
      <w:r>
        <w:rPr>
          <w:rStyle w:val="optioncarChar"/>
        </w:rPr>
        <w:t xml:space="preserve">meulé gris </w:t>
      </w:r>
      <w:r>
        <w:t>(par défaut) </w:t>
      </w:r>
      <w:r>
        <w:rPr>
          <w:rStyle w:val="optioncarChar"/>
        </w:rPr>
        <w:t>/ adouci bleu / ciselé (à raison de 10 / 12  / 15 </w:t>
      </w:r>
      <w:r>
        <w:t>(par défaut)</w:t>
      </w:r>
      <w:r>
        <w:rPr>
          <w:rStyle w:val="optioncarChar"/>
        </w:rPr>
        <w:t xml:space="preserve"> / *** coups par dm ) / ***</w:t>
      </w:r>
    </w:p>
    <w:p w14:paraId="44FAD621" w14:textId="77777777" w:rsidR="00DB2B68" w:rsidRDefault="00000000">
      <w:pPr>
        <w:pStyle w:val="pheading"/>
      </w:pPr>
      <w:r>
        <w:t>EXÉCUTION / MISE EN ŒUVRE</w:t>
      </w:r>
    </w:p>
    <w:p w14:paraId="65F59417" w14:textId="77777777" w:rsidR="00DB2B68" w:rsidRDefault="00000000">
      <w:pPr>
        <w:pStyle w:val="pheading"/>
      </w:pPr>
      <w:r>
        <w:t>- Prescriptions générales</w:t>
      </w:r>
    </w:p>
    <w:p w14:paraId="193F29F9" w14:textId="77777777" w:rsidR="00DB2B68" w:rsidRDefault="00000000">
      <w:r>
        <w:t xml:space="preserve">Les plinthes sont placées à environ </w:t>
      </w:r>
      <w:r>
        <w:rPr>
          <w:rStyle w:val="optioncarChar"/>
        </w:rPr>
        <w:t xml:space="preserve">10 </w:t>
      </w:r>
      <w:r>
        <w:t>(par défaut) </w:t>
      </w:r>
      <w:r>
        <w:rPr>
          <w:rStyle w:val="optioncarChar"/>
        </w:rPr>
        <w:t xml:space="preserve">/ *** </w:t>
      </w:r>
      <w:r>
        <w:t xml:space="preserve">mm en retrait par rapport au </w:t>
      </w:r>
      <w:r>
        <w:rPr>
          <w:rStyle w:val="optioncarChar"/>
        </w:rPr>
        <w:t xml:space="preserve">parement de façade / revêtement de façade / crépi de façade </w:t>
      </w:r>
      <w:r>
        <w:t>prévus et sont posées conformément au détail de coupe.</w:t>
      </w:r>
    </w:p>
    <w:p w14:paraId="2739F35A" w14:textId="77777777" w:rsidR="00DB2B68" w:rsidRDefault="00000000">
      <w:r>
        <w:t xml:space="preserve">La pose est faite </w:t>
      </w:r>
      <w:r>
        <w:rPr>
          <w:rStyle w:val="optioncarChar"/>
        </w:rPr>
        <w:t>avec coulisse / sans coulisse</w:t>
      </w:r>
    </w:p>
    <w:p w14:paraId="75397884" w14:textId="77777777" w:rsidR="00DB2B68" w:rsidRDefault="00000000">
      <w:r>
        <w:rPr>
          <w:b/>
        </w:rPr>
        <w:t>(soit)</w:t>
      </w:r>
    </w:p>
    <w:p w14:paraId="38D16254" w14:textId="77777777" w:rsidR="00DB2B68" w:rsidRDefault="00000000">
      <w:r>
        <w:rPr>
          <w:rStyle w:val="soitChar"/>
          <w:u w:val="single"/>
        </w:rPr>
        <w:t>Avec une coulisse</w:t>
      </w:r>
      <w:r>
        <w:rPr>
          <w:rStyle w:val="soitChar"/>
        </w:rPr>
        <w:t xml:space="preserve"> ventilée d'une largeur d'au moins 3 cm.</w:t>
      </w:r>
    </w:p>
    <w:p w14:paraId="53B60C74" w14:textId="77777777" w:rsidR="00DB2B68" w:rsidRDefault="00000000">
      <w:r>
        <w:rPr>
          <w:b/>
        </w:rPr>
        <w:t>(soit)</w:t>
      </w:r>
    </w:p>
    <w:p w14:paraId="0A08931D" w14:textId="77777777" w:rsidR="00DB2B68" w:rsidRDefault="00000000">
      <w:r>
        <w:rPr>
          <w:rStyle w:val="soitChar"/>
          <w:u w:val="single"/>
        </w:rPr>
        <w:t>Sans coulisse,</w:t>
      </w:r>
      <w:r>
        <w:rPr>
          <w:rStyle w:val="soitChar"/>
        </w:rPr>
        <w:t xml:space="preserve"> appliquées directement contre l'isolation du vide</w:t>
      </w:r>
    </w:p>
    <w:p w14:paraId="06007244" w14:textId="77777777" w:rsidR="00DB2B68" w:rsidRDefault="00000000">
      <w:r>
        <w:t>Les pierres des plinthes sont posées d'aplomb, d'équerre et bien planes selon l'appareillage dessiné sur les plans et/ou en concertation avec l'auteur de projet.</w:t>
      </w:r>
    </w:p>
    <w:p w14:paraId="5A2C4D0E" w14:textId="77777777" w:rsidR="00DB2B68" w:rsidRDefault="00000000">
      <w:r>
        <w:t xml:space="preserve">Toutes les pierres ciselées sont posées avec le ciselage dans la même direction.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 xml:space="preserve">8 </w:t>
      </w:r>
      <w:r>
        <w:t>(par défaut) </w:t>
      </w:r>
      <w:r>
        <w:rPr>
          <w:rStyle w:val="optioncarChar"/>
        </w:rPr>
        <w:t xml:space="preserve">/ 10 / *** </w:t>
      </w:r>
      <w:r>
        <w:t xml:space="preserve">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0,45 </w:t>
      </w:r>
      <w:r>
        <w:t>(par défaut)</w:t>
      </w:r>
      <w:r>
        <w:rPr>
          <w:rStyle w:val="optioncarChar"/>
        </w:rPr>
        <w:t xml:space="preserve"> / *** </w:t>
      </w:r>
      <w:r>
        <w:t xml:space="preserve">mm) sont posées. Au-dessus des plinthes, on laisse un joint montant ouvert tous les </w:t>
      </w:r>
      <w:r>
        <w:rPr>
          <w:rStyle w:val="optioncarChar"/>
        </w:rPr>
        <w:t>120 </w:t>
      </w:r>
      <w:r>
        <w:t>(par défaut)</w:t>
      </w:r>
      <w:r>
        <w:rPr>
          <w:rStyle w:val="optioncarChar"/>
        </w:rPr>
        <w:t xml:space="preserve"> / ***</w:t>
      </w:r>
      <w:r>
        <w:t xml:space="preserve"> cm. Les joints montants ouverts sont marqués jusqu'après l'exécution du rejointoiement.</w:t>
      </w:r>
    </w:p>
    <w:p w14:paraId="7094EE52" w14:textId="77777777" w:rsidR="00DB2B68" w:rsidRDefault="00000000">
      <w:pPr>
        <w:pStyle w:val="pheading"/>
      </w:pPr>
      <w:r>
        <w:t>- Notes d’exécution complémentaires</w:t>
      </w:r>
    </w:p>
    <w:p w14:paraId="1C87B0A2" w14:textId="77777777" w:rsidR="00DB2B68" w:rsidRDefault="00000000">
      <w:r>
        <w:t xml:space="preserve">Ancrage : Les plinthes sont reliées à la structure attenante au moyen d’agrafes </w:t>
      </w:r>
      <w:r>
        <w:rPr>
          <w:rStyle w:val="optioncarChar"/>
        </w:rPr>
        <w:t>en acier inoxydable </w:t>
      </w:r>
      <w:r>
        <w:t>(par défaut)</w:t>
      </w:r>
      <w:r>
        <w:rPr>
          <w:rStyle w:val="optioncarChar"/>
        </w:rPr>
        <w:t xml:space="preserve"> / ***</w:t>
      </w:r>
      <w:r>
        <w:t xml:space="preserve">, pourvues d’un ergot fixé dans une rainure qui est sciée au disque dans le chant, soit dans une ouverture forée d’un diamètre approprié et remplie d’un mortier d’adhérence. La fixation des éléments massifs se fait aux 2/3 de la hauteur de plinthe mesurée à partir du dessous. </w:t>
      </w:r>
      <w:r>
        <w:lastRenderedPageBreak/>
        <w:t>La queue d’ancrage porte jusqu’au milieu de la structure attenante. Une fixation est prévue dans le chant de chaque élément massif.</w:t>
      </w:r>
    </w:p>
    <w:p w14:paraId="1C8FFF9C" w14:textId="77777777" w:rsidR="00DB2B68" w:rsidRDefault="00000000">
      <w:r>
        <w:t>Étanchéité : </w:t>
      </w:r>
    </w:p>
    <w:p w14:paraId="5B4DC575" w14:textId="77777777" w:rsidR="00DB2B68" w:rsidRDefault="00000000">
      <w:r>
        <w:t>Isolation des murs creux :</w:t>
      </w:r>
    </w:p>
    <w:p w14:paraId="519D05C6" w14:textId="77777777" w:rsidR="00DB2B68" w:rsidRDefault="00000000">
      <w:r>
        <w:t>Joints de façade :</w:t>
      </w:r>
    </w:p>
    <w:p w14:paraId="0FF368D4" w14:textId="77777777" w:rsidR="00DB2B68" w:rsidRDefault="00000000">
      <w:r>
        <w:t xml:space="preserve">Eléments à intégrer : grilles de ventilation murales sont repris à l'article </w:t>
      </w:r>
      <w:hyperlink w:anchor="411" w:history="1">
        <w:r>
          <w:rPr>
            <w:color w:val="0000EE"/>
          </w:rPr>
          <w:t>21.44 Eléments de ventilation</w:t>
        </w:r>
      </w:hyperlink>
    </w:p>
    <w:p w14:paraId="08095613" w14:textId="77777777" w:rsidR="00DB2B68" w:rsidRDefault="00000000">
      <w:pPr>
        <w:pStyle w:val="pheading"/>
      </w:pPr>
      <w:r>
        <w:t>MESURAGE</w:t>
      </w:r>
    </w:p>
    <w:p w14:paraId="6937CE32" w14:textId="77777777" w:rsidR="00DB2B68" w:rsidRDefault="00000000">
      <w:pPr>
        <w:pStyle w:val="pheading"/>
      </w:pPr>
      <w:r>
        <w:t>- unité de mesure:</w:t>
      </w:r>
    </w:p>
    <w:p w14:paraId="1CEE5651" w14:textId="77777777" w:rsidR="00DB2B68" w:rsidRDefault="00000000">
      <w:r>
        <w:rPr>
          <w:rStyle w:val="optioncarChar"/>
        </w:rPr>
        <w:t>m³ </w:t>
      </w:r>
      <w:r>
        <w:rPr>
          <w:rStyle w:val="optioncarChar"/>
          <w:color w:val="000000"/>
        </w:rPr>
        <w:t>(par défaut)</w:t>
      </w:r>
      <w:r>
        <w:rPr>
          <w:rStyle w:val="optioncarChar"/>
        </w:rPr>
        <w:t> / pc / m²</w:t>
      </w:r>
    </w:p>
    <w:p w14:paraId="7E722874" w14:textId="77777777" w:rsidR="00DB2B68" w:rsidRDefault="00000000">
      <w:pPr>
        <w:spacing w:after="0" w:line="0" w:lineRule="atLeast"/>
      </w:pPr>
      <w:r>
        <w:rPr>
          <w:b/>
          <w:color w:val="000000"/>
        </w:rPr>
        <w:t>(soit par défaut)</w:t>
      </w:r>
    </w:p>
    <w:p w14:paraId="7C86F1D5" w14:textId="77777777" w:rsidR="00DB2B68" w:rsidRDefault="00000000">
      <w:pPr>
        <w:spacing w:after="0" w:line="0" w:lineRule="atLeast"/>
      </w:pPr>
      <w:r>
        <w:rPr>
          <w:rStyle w:val="soitChar"/>
        </w:rPr>
        <w:t>1. m³</w:t>
      </w:r>
    </w:p>
    <w:p w14:paraId="5FF876C8" w14:textId="77777777" w:rsidR="00DB2B68" w:rsidRDefault="00000000">
      <w:pPr>
        <w:spacing w:after="0" w:line="0" w:lineRule="atLeast"/>
      </w:pPr>
      <w:r>
        <w:rPr>
          <w:b/>
          <w:color w:val="000000"/>
        </w:rPr>
        <w:t>(soit)</w:t>
      </w:r>
    </w:p>
    <w:p w14:paraId="59F1C0FA" w14:textId="77777777" w:rsidR="00DB2B68" w:rsidRDefault="00000000">
      <w:pPr>
        <w:spacing w:after="0" w:line="0" w:lineRule="atLeast"/>
      </w:pPr>
      <w:r>
        <w:rPr>
          <w:rStyle w:val="soitChar"/>
        </w:rPr>
        <w:t>2. pc</w:t>
      </w:r>
    </w:p>
    <w:p w14:paraId="2A852D5C" w14:textId="77777777" w:rsidR="00DB2B68" w:rsidRDefault="00000000">
      <w:pPr>
        <w:spacing w:after="0" w:line="0" w:lineRule="atLeast"/>
      </w:pPr>
      <w:r>
        <w:rPr>
          <w:b/>
          <w:color w:val="000000"/>
        </w:rPr>
        <w:t>(soit)</w:t>
      </w:r>
    </w:p>
    <w:p w14:paraId="5229E389" w14:textId="77777777" w:rsidR="00DB2B68" w:rsidRDefault="00000000">
      <w:pPr>
        <w:spacing w:after="0" w:line="0" w:lineRule="atLeast"/>
      </w:pPr>
      <w:r>
        <w:rPr>
          <w:rStyle w:val="soitChar"/>
        </w:rPr>
        <w:t>3. m²</w:t>
      </w:r>
    </w:p>
    <w:p w14:paraId="2C0AD2B1" w14:textId="77777777" w:rsidR="00DB2B68" w:rsidRDefault="00000000">
      <w:pPr>
        <w:pStyle w:val="pheading"/>
      </w:pPr>
      <w:r>
        <w:t>- code de mesurage:</w:t>
      </w:r>
    </w:p>
    <w:p w14:paraId="36419490" w14:textId="77777777" w:rsidR="00DB2B68" w:rsidRDefault="00000000">
      <w:r>
        <w:rPr>
          <w:rStyle w:val="optioncarChar"/>
        </w:rPr>
        <w:t>Au volume net du parement / à la pièce / à la surface du parement</w:t>
      </w:r>
    </w:p>
    <w:p w14:paraId="0CED1E00" w14:textId="77777777" w:rsidR="00DB2B68" w:rsidRDefault="00000000">
      <w:pPr>
        <w:spacing w:after="0" w:line="252" w:lineRule="auto"/>
      </w:pPr>
      <w:r>
        <w:rPr>
          <w:b/>
          <w:color w:val="000000"/>
        </w:rPr>
        <w:t>(soit par défaut)</w:t>
      </w:r>
    </w:p>
    <w:p w14:paraId="7FA496A0" w14:textId="77777777" w:rsidR="00DB2B68" w:rsidRDefault="00000000">
      <w:pPr>
        <w:spacing w:after="0" w:line="252" w:lineRule="auto"/>
      </w:pPr>
      <w:r>
        <w:rPr>
          <w:rStyle w:val="soitChar"/>
          <w:u w:val="single"/>
        </w:rPr>
        <w:t>1. Volume net du parement </w:t>
      </w:r>
      <w:r>
        <w:rPr>
          <w:rStyle w:val="soitChar"/>
        </w:rPr>
        <w:t>; prendre le volume du plus petit parallélépipède rectangle qui circonscrit la pierre; le volume réel, quelle qu'en soit la dimension; les pierres de dimensions inférieures à 10 dm3 sont comptées à la pièce.</w:t>
      </w:r>
    </w:p>
    <w:p w14:paraId="683373E8" w14:textId="77777777" w:rsidR="00DB2B68" w:rsidRDefault="00000000">
      <w:pPr>
        <w:spacing w:line="252" w:lineRule="auto"/>
      </w:pPr>
      <w:r>
        <w:rPr>
          <w:b/>
        </w:rPr>
        <w:t>(soit)</w:t>
      </w:r>
    </w:p>
    <w:p w14:paraId="18F267D2" w14:textId="77777777" w:rsidR="00DB2B68" w:rsidRDefault="00000000">
      <w:pPr>
        <w:spacing w:line="252" w:lineRule="auto"/>
      </w:pPr>
      <w:r>
        <w:rPr>
          <w:rStyle w:val="soitChar"/>
        </w:rPr>
        <w:t>2. </w:t>
      </w:r>
      <w:r>
        <w:rPr>
          <w:rStyle w:val="soitChar"/>
          <w:u w:val="single"/>
        </w:rPr>
        <w:t>A la pièce</w:t>
      </w:r>
      <w:r>
        <w:rPr>
          <w:rStyle w:val="soitChar"/>
        </w:rPr>
        <w:t> : de dimensions identiques</w:t>
      </w:r>
    </w:p>
    <w:p w14:paraId="2685A348" w14:textId="77777777" w:rsidR="00DB2B68" w:rsidRDefault="00000000">
      <w:pPr>
        <w:spacing w:line="252" w:lineRule="auto"/>
      </w:pPr>
      <w:r>
        <w:rPr>
          <w:b/>
        </w:rPr>
        <w:t>(soit)</w:t>
      </w:r>
    </w:p>
    <w:p w14:paraId="6FD5B946" w14:textId="77777777" w:rsidR="00DB2B68" w:rsidRDefault="00000000">
      <w:pPr>
        <w:spacing w:line="252" w:lineRule="auto"/>
      </w:pPr>
      <w:r>
        <w:rPr>
          <w:rStyle w:val="soitChar"/>
        </w:rPr>
        <w:t xml:space="preserve">3. </w:t>
      </w:r>
      <w:r>
        <w:rPr>
          <w:rStyle w:val="soitChar"/>
          <w:u w:val="single"/>
        </w:rPr>
        <w:t>Surface nette   du parement</w:t>
      </w:r>
      <w:r>
        <w:rPr>
          <w:rStyle w:val="soitChar"/>
        </w:rPr>
        <w:t xml:space="preserve"> ; la surface apparente nette à exécuter. Distinction faite suivant l'épaisseur.</w:t>
      </w:r>
    </w:p>
    <w:p w14:paraId="7531B481" w14:textId="77777777" w:rsidR="00DB2B68" w:rsidRDefault="00000000">
      <w:pPr>
        <w:pStyle w:val="pheading"/>
      </w:pPr>
      <w:r>
        <w:t>- nature du marché:</w:t>
      </w:r>
    </w:p>
    <w:p w14:paraId="0EE69F4B" w14:textId="77777777" w:rsidR="00DB2B68" w:rsidRDefault="00000000">
      <w:r>
        <w:t>QF</w:t>
      </w:r>
    </w:p>
    <w:p w14:paraId="4079BF69" w14:textId="77777777" w:rsidR="00DB2B68" w:rsidRDefault="00000000">
      <w:pPr>
        <w:pStyle w:val="Author-eSectionHeading6Numberless"/>
      </w:pPr>
      <w:bookmarkStart w:id="309" w:name="_Toc220495429"/>
      <w:r>
        <w:t>21.36.2b Plinthes en pierre calcaire CCTB 01.11</w:t>
      </w:r>
      <w:bookmarkEnd w:id="309"/>
    </w:p>
    <w:p w14:paraId="19B0FDB5" w14:textId="77777777" w:rsidR="00DB2B68" w:rsidRDefault="00000000">
      <w:pPr>
        <w:pStyle w:val="pheading"/>
      </w:pPr>
      <w:r>
        <w:t>MESURAGE</w:t>
      </w:r>
    </w:p>
    <w:p w14:paraId="3601C512" w14:textId="77777777" w:rsidR="00DB2B68" w:rsidRDefault="00000000">
      <w:pPr>
        <w:pStyle w:val="pheading"/>
      </w:pPr>
      <w:r>
        <w:t>- unité de mesure:</w:t>
      </w:r>
    </w:p>
    <w:p w14:paraId="7CF225D7" w14:textId="77777777" w:rsidR="00DB2B68" w:rsidRDefault="00000000">
      <w:r>
        <w:rPr>
          <w:rStyle w:val="optioncarChar"/>
        </w:rPr>
        <w:t>m³ </w:t>
      </w:r>
      <w:r>
        <w:rPr>
          <w:rStyle w:val="optioncarChar"/>
          <w:color w:val="000000"/>
        </w:rPr>
        <w:t>(par défaut)</w:t>
      </w:r>
      <w:r>
        <w:rPr>
          <w:rStyle w:val="optioncarChar"/>
        </w:rPr>
        <w:t> / pc / m²</w:t>
      </w:r>
    </w:p>
    <w:p w14:paraId="70A2B54B" w14:textId="77777777" w:rsidR="00DB2B68" w:rsidRDefault="00000000">
      <w:pPr>
        <w:spacing w:after="0" w:line="0" w:lineRule="atLeast"/>
      </w:pPr>
      <w:r>
        <w:rPr>
          <w:b/>
          <w:color w:val="000000"/>
        </w:rPr>
        <w:t>(soit par défaut)</w:t>
      </w:r>
    </w:p>
    <w:p w14:paraId="2D11F8C1" w14:textId="77777777" w:rsidR="00DB2B68" w:rsidRDefault="00000000">
      <w:pPr>
        <w:spacing w:after="0" w:line="0" w:lineRule="atLeast"/>
      </w:pPr>
      <w:r>
        <w:rPr>
          <w:rStyle w:val="soitChar"/>
        </w:rPr>
        <w:t>1. m³</w:t>
      </w:r>
    </w:p>
    <w:p w14:paraId="2580DD5B" w14:textId="77777777" w:rsidR="00DB2B68" w:rsidRDefault="00000000">
      <w:pPr>
        <w:spacing w:after="0" w:line="0" w:lineRule="atLeast"/>
      </w:pPr>
      <w:r>
        <w:rPr>
          <w:b/>
          <w:color w:val="000000"/>
        </w:rPr>
        <w:t>(soit)</w:t>
      </w:r>
    </w:p>
    <w:p w14:paraId="5BB8AC59" w14:textId="77777777" w:rsidR="00DB2B68" w:rsidRDefault="00000000">
      <w:pPr>
        <w:spacing w:after="0" w:line="0" w:lineRule="atLeast"/>
      </w:pPr>
      <w:r>
        <w:rPr>
          <w:rStyle w:val="soitChar"/>
        </w:rPr>
        <w:t>2. pc</w:t>
      </w:r>
    </w:p>
    <w:p w14:paraId="56B8A653" w14:textId="77777777" w:rsidR="00DB2B68" w:rsidRDefault="00000000">
      <w:pPr>
        <w:spacing w:after="0" w:line="0" w:lineRule="atLeast"/>
      </w:pPr>
      <w:r>
        <w:rPr>
          <w:b/>
          <w:color w:val="000000"/>
        </w:rPr>
        <w:t>(soit)</w:t>
      </w:r>
    </w:p>
    <w:p w14:paraId="04D1AFBF" w14:textId="77777777" w:rsidR="00DB2B68" w:rsidRDefault="00000000">
      <w:pPr>
        <w:spacing w:after="0" w:line="0" w:lineRule="atLeast"/>
      </w:pPr>
      <w:r>
        <w:rPr>
          <w:rStyle w:val="soitChar"/>
        </w:rPr>
        <w:t>3. m²</w:t>
      </w:r>
    </w:p>
    <w:p w14:paraId="7B4FF3F2" w14:textId="77777777" w:rsidR="00DB2B68" w:rsidRDefault="00000000">
      <w:pPr>
        <w:pStyle w:val="pheading"/>
      </w:pPr>
      <w:r>
        <w:t>- code de mesurage:</w:t>
      </w:r>
    </w:p>
    <w:p w14:paraId="454E88A5" w14:textId="77777777" w:rsidR="00DB2B68" w:rsidRDefault="00000000">
      <w:r>
        <w:rPr>
          <w:rStyle w:val="optioncarChar"/>
        </w:rPr>
        <w:t>Au volume net du parement / à la pièce / à la surface du parement</w:t>
      </w:r>
    </w:p>
    <w:p w14:paraId="70DCF3FC" w14:textId="77777777" w:rsidR="00DB2B68" w:rsidRDefault="00000000">
      <w:pPr>
        <w:spacing w:after="0" w:line="252" w:lineRule="auto"/>
      </w:pPr>
      <w:r>
        <w:rPr>
          <w:b/>
          <w:color w:val="000000"/>
        </w:rPr>
        <w:t>(soit par défaut)</w:t>
      </w:r>
    </w:p>
    <w:p w14:paraId="678906C7" w14:textId="77777777" w:rsidR="00DB2B68" w:rsidRDefault="00000000">
      <w:pPr>
        <w:spacing w:after="0" w:line="252" w:lineRule="auto"/>
      </w:pPr>
      <w:r>
        <w:rPr>
          <w:rStyle w:val="soitChar"/>
          <w:u w:val="single"/>
        </w:rPr>
        <w:lastRenderedPageBreak/>
        <w:t>1. 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0ED5E06E" w14:textId="77777777" w:rsidR="00DB2B68" w:rsidRDefault="00000000">
      <w:pPr>
        <w:spacing w:line="252" w:lineRule="auto"/>
      </w:pPr>
      <w:r>
        <w:rPr>
          <w:b/>
        </w:rPr>
        <w:t>(soit)</w:t>
      </w:r>
    </w:p>
    <w:p w14:paraId="3E0F9129" w14:textId="77777777" w:rsidR="00DB2B68" w:rsidRDefault="00000000">
      <w:pPr>
        <w:spacing w:line="252" w:lineRule="auto"/>
      </w:pPr>
      <w:r>
        <w:rPr>
          <w:rStyle w:val="soitChar"/>
        </w:rPr>
        <w:t>2. </w:t>
      </w:r>
      <w:r>
        <w:rPr>
          <w:rStyle w:val="soitChar"/>
          <w:u w:val="single"/>
        </w:rPr>
        <w:t>A la pièce</w:t>
      </w:r>
      <w:r>
        <w:rPr>
          <w:rStyle w:val="soitChar"/>
        </w:rPr>
        <w:t> : de dimensions identiques</w:t>
      </w:r>
    </w:p>
    <w:p w14:paraId="7640AA62" w14:textId="77777777" w:rsidR="00DB2B68" w:rsidRDefault="00000000">
      <w:pPr>
        <w:spacing w:line="252" w:lineRule="auto"/>
      </w:pPr>
      <w:r>
        <w:rPr>
          <w:b/>
        </w:rPr>
        <w:t>(soit)</w:t>
      </w:r>
    </w:p>
    <w:p w14:paraId="29D55F4C" w14:textId="77777777" w:rsidR="00DB2B68" w:rsidRDefault="00000000">
      <w:pPr>
        <w:spacing w:line="252" w:lineRule="auto"/>
      </w:pPr>
      <w:r>
        <w:rPr>
          <w:rStyle w:val="soitChar"/>
        </w:rPr>
        <w:t>3. </w:t>
      </w:r>
      <w:r>
        <w:rPr>
          <w:rStyle w:val="soitChar"/>
          <w:u w:val="single"/>
        </w:rPr>
        <w:t>Surface nette     du parement</w:t>
      </w:r>
      <w:r>
        <w:rPr>
          <w:rStyle w:val="soitChar"/>
        </w:rPr>
        <w:t> ; la surface apparente nette à exécuter. </w:t>
      </w:r>
      <w:r>
        <w:t> </w:t>
      </w:r>
      <w:r>
        <w:rPr>
          <w:rStyle w:val="soitChar"/>
        </w:rPr>
        <w:t>Distinction faite suivant l'épaisseur.</w:t>
      </w:r>
    </w:p>
    <w:p w14:paraId="79B5BD73" w14:textId="77777777" w:rsidR="00DB2B68" w:rsidRDefault="00000000">
      <w:pPr>
        <w:pStyle w:val="pheading"/>
      </w:pPr>
      <w:r>
        <w:t>- nature du marché:</w:t>
      </w:r>
    </w:p>
    <w:p w14:paraId="4C31D29F" w14:textId="77777777" w:rsidR="00DB2B68" w:rsidRDefault="00000000">
      <w:r>
        <w:t>QF</w:t>
      </w:r>
    </w:p>
    <w:p w14:paraId="2E6A02B1" w14:textId="77777777" w:rsidR="00DB2B68" w:rsidRDefault="00000000">
      <w:pPr>
        <w:pStyle w:val="Author-eSectionHeading6Numberless"/>
      </w:pPr>
      <w:bookmarkStart w:id="310" w:name="_Toc220495430"/>
      <w:r>
        <w:t>21.36.2c Plinthes en marbre CCTB 01.11</w:t>
      </w:r>
      <w:bookmarkEnd w:id="310"/>
    </w:p>
    <w:p w14:paraId="33F60D7A" w14:textId="77777777" w:rsidR="00DB2B68" w:rsidRDefault="00000000">
      <w:pPr>
        <w:pStyle w:val="pheading"/>
      </w:pPr>
      <w:r>
        <w:t>MESURAGE</w:t>
      </w:r>
    </w:p>
    <w:p w14:paraId="016FDE9C" w14:textId="77777777" w:rsidR="00DB2B68" w:rsidRDefault="00000000">
      <w:pPr>
        <w:pStyle w:val="pheading"/>
      </w:pPr>
      <w:r>
        <w:t>- unité de mesure:</w:t>
      </w:r>
    </w:p>
    <w:p w14:paraId="3BBBBF9E" w14:textId="77777777" w:rsidR="00DB2B68" w:rsidRDefault="00000000">
      <w:r>
        <w:rPr>
          <w:rStyle w:val="optioncarChar"/>
        </w:rPr>
        <w:t>m³ </w:t>
      </w:r>
      <w:r>
        <w:rPr>
          <w:rStyle w:val="optioncarChar"/>
          <w:color w:val="000000"/>
        </w:rPr>
        <w:t>(par défaut)</w:t>
      </w:r>
      <w:r>
        <w:rPr>
          <w:rStyle w:val="optioncarChar"/>
        </w:rPr>
        <w:t> / pc / m²</w:t>
      </w:r>
    </w:p>
    <w:p w14:paraId="2CB2EC0A" w14:textId="77777777" w:rsidR="00DB2B68" w:rsidRDefault="00000000">
      <w:pPr>
        <w:spacing w:after="0" w:line="0" w:lineRule="atLeast"/>
      </w:pPr>
      <w:r>
        <w:rPr>
          <w:b/>
          <w:color w:val="000000"/>
        </w:rPr>
        <w:t>(soit par défaut)</w:t>
      </w:r>
    </w:p>
    <w:p w14:paraId="67160031" w14:textId="77777777" w:rsidR="00DB2B68" w:rsidRDefault="00000000">
      <w:pPr>
        <w:spacing w:after="0" w:line="0" w:lineRule="atLeast"/>
      </w:pPr>
      <w:r>
        <w:rPr>
          <w:rStyle w:val="soitChar"/>
        </w:rPr>
        <w:t>1. m³</w:t>
      </w:r>
    </w:p>
    <w:p w14:paraId="5212395B" w14:textId="77777777" w:rsidR="00DB2B68" w:rsidRDefault="00000000">
      <w:pPr>
        <w:spacing w:after="0" w:line="0" w:lineRule="atLeast"/>
      </w:pPr>
      <w:r>
        <w:rPr>
          <w:b/>
          <w:color w:val="000000"/>
        </w:rPr>
        <w:t>(soit)</w:t>
      </w:r>
    </w:p>
    <w:p w14:paraId="202F44EF" w14:textId="77777777" w:rsidR="00DB2B68" w:rsidRDefault="00000000">
      <w:pPr>
        <w:spacing w:after="0" w:line="0" w:lineRule="atLeast"/>
      </w:pPr>
      <w:r>
        <w:rPr>
          <w:rStyle w:val="soitChar"/>
        </w:rPr>
        <w:t>2. pc</w:t>
      </w:r>
    </w:p>
    <w:p w14:paraId="50743561" w14:textId="77777777" w:rsidR="00DB2B68" w:rsidRDefault="00000000">
      <w:pPr>
        <w:spacing w:after="0" w:line="0" w:lineRule="atLeast"/>
      </w:pPr>
      <w:r>
        <w:rPr>
          <w:b/>
          <w:color w:val="000000"/>
        </w:rPr>
        <w:t>(soit)</w:t>
      </w:r>
    </w:p>
    <w:p w14:paraId="153098B1" w14:textId="77777777" w:rsidR="00DB2B68" w:rsidRDefault="00000000">
      <w:pPr>
        <w:spacing w:after="0" w:line="0" w:lineRule="atLeast"/>
      </w:pPr>
      <w:r>
        <w:rPr>
          <w:rStyle w:val="soitChar"/>
        </w:rPr>
        <w:t>3. m²</w:t>
      </w:r>
    </w:p>
    <w:p w14:paraId="045E7899" w14:textId="77777777" w:rsidR="00DB2B68" w:rsidRDefault="00000000">
      <w:pPr>
        <w:pStyle w:val="pheading"/>
      </w:pPr>
      <w:r>
        <w:t>- code de mesurage:</w:t>
      </w:r>
    </w:p>
    <w:p w14:paraId="37454532" w14:textId="77777777" w:rsidR="00DB2B68" w:rsidRDefault="00000000">
      <w:r>
        <w:rPr>
          <w:rStyle w:val="optioncarChar"/>
        </w:rPr>
        <w:t>Au volume net du parement / à la pièce / à la surface du parement</w:t>
      </w:r>
    </w:p>
    <w:p w14:paraId="777C712B" w14:textId="77777777" w:rsidR="00DB2B68" w:rsidRDefault="00000000">
      <w:pPr>
        <w:spacing w:after="0" w:line="252" w:lineRule="auto"/>
      </w:pPr>
      <w:r>
        <w:rPr>
          <w:b/>
          <w:color w:val="000000"/>
        </w:rPr>
        <w:t>(soit par défaut)</w:t>
      </w:r>
    </w:p>
    <w:p w14:paraId="7C0E6EEF" w14:textId="77777777" w:rsidR="00DB2B68" w:rsidRDefault="00000000">
      <w:pPr>
        <w:spacing w:after="0" w:line="252" w:lineRule="auto"/>
      </w:pPr>
      <w:r>
        <w:rPr>
          <w:rStyle w:val="soitChar"/>
          <w:u w:val="single"/>
        </w:rPr>
        <w:t>1. 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50C2D1D1" w14:textId="77777777" w:rsidR="00DB2B68" w:rsidRDefault="00000000">
      <w:pPr>
        <w:spacing w:line="252" w:lineRule="auto"/>
      </w:pPr>
      <w:r>
        <w:rPr>
          <w:b/>
        </w:rPr>
        <w:t>(soit)</w:t>
      </w:r>
    </w:p>
    <w:p w14:paraId="5CF816AA" w14:textId="77777777" w:rsidR="00DB2B68" w:rsidRDefault="00000000">
      <w:pPr>
        <w:spacing w:line="252" w:lineRule="auto"/>
      </w:pPr>
      <w:r>
        <w:rPr>
          <w:rStyle w:val="soitChar"/>
        </w:rPr>
        <w:t>2. </w:t>
      </w:r>
      <w:r>
        <w:rPr>
          <w:rStyle w:val="soitChar"/>
          <w:u w:val="single"/>
        </w:rPr>
        <w:t>A la pièce</w:t>
      </w:r>
      <w:r>
        <w:rPr>
          <w:rStyle w:val="soitChar"/>
        </w:rPr>
        <w:t> : de dimensions identiques</w:t>
      </w:r>
    </w:p>
    <w:p w14:paraId="348A6C7F" w14:textId="77777777" w:rsidR="00DB2B68" w:rsidRDefault="00000000">
      <w:pPr>
        <w:spacing w:line="252" w:lineRule="auto"/>
      </w:pPr>
      <w:r>
        <w:rPr>
          <w:b/>
        </w:rPr>
        <w:t>(soit)</w:t>
      </w:r>
    </w:p>
    <w:p w14:paraId="3D711DD4" w14:textId="77777777" w:rsidR="00DB2B68" w:rsidRDefault="00000000">
      <w:pPr>
        <w:spacing w:line="252" w:lineRule="auto"/>
      </w:pPr>
      <w:r>
        <w:rPr>
          <w:rStyle w:val="soitChar"/>
        </w:rPr>
        <w:t>3. </w:t>
      </w:r>
      <w:r>
        <w:rPr>
          <w:rStyle w:val="soitChar"/>
          <w:u w:val="single"/>
        </w:rPr>
        <w:t>Surface nette</w:t>
      </w:r>
      <w:r>
        <w:rPr>
          <w:rStyle w:val="soitChar"/>
        </w:rPr>
        <w:t> </w:t>
      </w:r>
      <w:r>
        <w:rPr>
          <w:rStyle w:val="soitChar"/>
          <w:u w:val="single"/>
        </w:rPr>
        <w:t>  du parement</w:t>
      </w:r>
      <w:r>
        <w:rPr>
          <w:rStyle w:val="soitChar"/>
        </w:rPr>
        <w:t> ; la surface apparente nette à exécuter. </w:t>
      </w:r>
      <w:r>
        <w:t> </w:t>
      </w:r>
      <w:r>
        <w:rPr>
          <w:rStyle w:val="soitChar"/>
        </w:rPr>
        <w:t>Distinction faite suivant l'épaisseur.</w:t>
      </w:r>
    </w:p>
    <w:p w14:paraId="379211C0" w14:textId="77777777" w:rsidR="00DB2B68" w:rsidRDefault="00000000">
      <w:pPr>
        <w:pStyle w:val="pheading"/>
      </w:pPr>
      <w:r>
        <w:t>- nature du marché:</w:t>
      </w:r>
    </w:p>
    <w:p w14:paraId="79BFD461" w14:textId="77777777" w:rsidR="00DB2B68" w:rsidRDefault="00000000">
      <w:r>
        <w:t>QF</w:t>
      </w:r>
    </w:p>
    <w:p w14:paraId="4F438114" w14:textId="77777777" w:rsidR="00DB2B68" w:rsidRDefault="00000000">
      <w:pPr>
        <w:pStyle w:val="Author-eSectionHeading6Numberless"/>
      </w:pPr>
      <w:bookmarkStart w:id="311" w:name="_Toc220495431"/>
      <w:r>
        <w:t>21.36.2d Plinthes en granite CCTB 01.11</w:t>
      </w:r>
      <w:bookmarkEnd w:id="311"/>
    </w:p>
    <w:p w14:paraId="6BBBAF35" w14:textId="77777777" w:rsidR="00DB2B68" w:rsidRDefault="00000000">
      <w:pPr>
        <w:pStyle w:val="pheading"/>
      </w:pPr>
      <w:r>
        <w:t>MESURAGE</w:t>
      </w:r>
    </w:p>
    <w:p w14:paraId="1A3D8762" w14:textId="77777777" w:rsidR="00DB2B68" w:rsidRDefault="00000000">
      <w:pPr>
        <w:pStyle w:val="pheading"/>
      </w:pPr>
      <w:r>
        <w:t>- unité de mesure:</w:t>
      </w:r>
    </w:p>
    <w:p w14:paraId="457F6948" w14:textId="77777777" w:rsidR="00DB2B68" w:rsidRDefault="00000000">
      <w:r>
        <w:rPr>
          <w:rStyle w:val="optioncarChar"/>
        </w:rPr>
        <w:t>m³ </w:t>
      </w:r>
      <w:r>
        <w:rPr>
          <w:rStyle w:val="optioncarChar"/>
          <w:color w:val="000000"/>
        </w:rPr>
        <w:t>(par défaut)</w:t>
      </w:r>
      <w:r>
        <w:rPr>
          <w:rStyle w:val="optioncarChar"/>
        </w:rPr>
        <w:t> / pc / m²</w:t>
      </w:r>
    </w:p>
    <w:p w14:paraId="43F6CF37" w14:textId="77777777" w:rsidR="00DB2B68" w:rsidRDefault="00000000">
      <w:pPr>
        <w:spacing w:after="0" w:line="0" w:lineRule="atLeast"/>
      </w:pPr>
      <w:r>
        <w:rPr>
          <w:b/>
          <w:color w:val="000000"/>
        </w:rPr>
        <w:t>(soit par défaut)</w:t>
      </w:r>
    </w:p>
    <w:p w14:paraId="6E784592" w14:textId="77777777" w:rsidR="00DB2B68" w:rsidRDefault="00000000">
      <w:pPr>
        <w:spacing w:after="0" w:line="0" w:lineRule="atLeast"/>
      </w:pPr>
      <w:r>
        <w:rPr>
          <w:rStyle w:val="soitChar"/>
        </w:rPr>
        <w:t>1. m³</w:t>
      </w:r>
    </w:p>
    <w:p w14:paraId="1711F504" w14:textId="77777777" w:rsidR="00DB2B68" w:rsidRDefault="00000000">
      <w:pPr>
        <w:spacing w:after="0" w:line="0" w:lineRule="atLeast"/>
      </w:pPr>
      <w:r>
        <w:rPr>
          <w:b/>
          <w:color w:val="000000"/>
        </w:rPr>
        <w:t>(soit)</w:t>
      </w:r>
    </w:p>
    <w:p w14:paraId="26F16169" w14:textId="77777777" w:rsidR="00DB2B68" w:rsidRDefault="00000000">
      <w:pPr>
        <w:spacing w:after="0" w:line="0" w:lineRule="atLeast"/>
      </w:pPr>
      <w:r>
        <w:rPr>
          <w:rStyle w:val="soitChar"/>
        </w:rPr>
        <w:t>2. pc</w:t>
      </w:r>
    </w:p>
    <w:p w14:paraId="1532D383" w14:textId="77777777" w:rsidR="00DB2B68" w:rsidRDefault="00000000">
      <w:pPr>
        <w:spacing w:after="0" w:line="0" w:lineRule="atLeast"/>
      </w:pPr>
      <w:r>
        <w:rPr>
          <w:b/>
          <w:color w:val="000000"/>
        </w:rPr>
        <w:lastRenderedPageBreak/>
        <w:t>(soit)</w:t>
      </w:r>
    </w:p>
    <w:p w14:paraId="59E8FE50" w14:textId="77777777" w:rsidR="00DB2B68" w:rsidRDefault="00000000">
      <w:pPr>
        <w:spacing w:after="0" w:line="0" w:lineRule="atLeast"/>
      </w:pPr>
      <w:r>
        <w:rPr>
          <w:rStyle w:val="soitChar"/>
        </w:rPr>
        <w:t>3. m²</w:t>
      </w:r>
    </w:p>
    <w:p w14:paraId="5A7125F7" w14:textId="77777777" w:rsidR="00DB2B68" w:rsidRDefault="00000000">
      <w:pPr>
        <w:pStyle w:val="pheading"/>
      </w:pPr>
      <w:r>
        <w:t>- code de mesurage:</w:t>
      </w:r>
    </w:p>
    <w:p w14:paraId="41CA6BF1" w14:textId="77777777" w:rsidR="00DB2B68" w:rsidRDefault="00000000">
      <w:r>
        <w:rPr>
          <w:rStyle w:val="optioncarChar"/>
        </w:rPr>
        <w:t>Au volume net du parement / à la pièce / à la surface du parement</w:t>
      </w:r>
    </w:p>
    <w:p w14:paraId="0D9BD605" w14:textId="77777777" w:rsidR="00DB2B68" w:rsidRDefault="00000000">
      <w:pPr>
        <w:spacing w:after="0" w:line="252" w:lineRule="auto"/>
      </w:pPr>
      <w:r>
        <w:rPr>
          <w:b/>
          <w:color w:val="000000"/>
        </w:rPr>
        <w:t>(soit par défaut)</w:t>
      </w:r>
    </w:p>
    <w:p w14:paraId="2E6E2CA6" w14:textId="77777777" w:rsidR="00DB2B68" w:rsidRDefault="00000000">
      <w:pPr>
        <w:spacing w:after="0" w:line="252" w:lineRule="auto"/>
      </w:pPr>
      <w:r>
        <w:rPr>
          <w:rStyle w:val="soitChar"/>
          <w:u w:val="single"/>
        </w:rPr>
        <w:t>1. 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53B3A3EF" w14:textId="77777777" w:rsidR="00DB2B68" w:rsidRDefault="00000000">
      <w:pPr>
        <w:spacing w:line="252" w:lineRule="auto"/>
      </w:pPr>
      <w:r>
        <w:rPr>
          <w:b/>
        </w:rPr>
        <w:t>(soit)</w:t>
      </w:r>
    </w:p>
    <w:p w14:paraId="2DA4FA8A" w14:textId="77777777" w:rsidR="00DB2B68" w:rsidRDefault="00000000">
      <w:pPr>
        <w:spacing w:line="252" w:lineRule="auto"/>
      </w:pPr>
      <w:r>
        <w:rPr>
          <w:rStyle w:val="soitChar"/>
        </w:rPr>
        <w:t>2. </w:t>
      </w:r>
      <w:r>
        <w:rPr>
          <w:rStyle w:val="soitChar"/>
          <w:u w:val="single"/>
        </w:rPr>
        <w:t>A la pièce</w:t>
      </w:r>
      <w:r>
        <w:rPr>
          <w:rStyle w:val="soitChar"/>
        </w:rPr>
        <w:t> : de dimensions identiques</w:t>
      </w:r>
    </w:p>
    <w:p w14:paraId="2D2C5D7F" w14:textId="77777777" w:rsidR="00DB2B68" w:rsidRDefault="00000000">
      <w:pPr>
        <w:spacing w:line="252" w:lineRule="auto"/>
      </w:pPr>
      <w:r>
        <w:rPr>
          <w:b/>
        </w:rPr>
        <w:t>(soit)</w:t>
      </w:r>
    </w:p>
    <w:p w14:paraId="1A0B910E" w14:textId="77777777" w:rsidR="00DB2B68" w:rsidRDefault="00000000">
      <w:pPr>
        <w:spacing w:line="252" w:lineRule="auto"/>
      </w:pPr>
      <w:r>
        <w:rPr>
          <w:rStyle w:val="soitChar"/>
        </w:rPr>
        <w:t>3. </w:t>
      </w:r>
      <w:r>
        <w:rPr>
          <w:rStyle w:val="soitChar"/>
          <w:u w:val="single"/>
        </w:rPr>
        <w:t>Surface nette</w:t>
      </w:r>
      <w:r>
        <w:rPr>
          <w:rStyle w:val="soitChar"/>
        </w:rPr>
        <w:t> </w:t>
      </w:r>
      <w:r>
        <w:rPr>
          <w:rStyle w:val="soitChar"/>
          <w:u w:val="single"/>
        </w:rPr>
        <w:t>  du parement</w:t>
      </w:r>
      <w:r>
        <w:rPr>
          <w:rStyle w:val="soitChar"/>
        </w:rPr>
        <w:t> ; la surface apparente nette à exécuter. </w:t>
      </w:r>
      <w:r>
        <w:t> </w:t>
      </w:r>
      <w:r>
        <w:rPr>
          <w:rStyle w:val="soitChar"/>
        </w:rPr>
        <w:t>Distinction faite suivant l'épaisseur.</w:t>
      </w:r>
    </w:p>
    <w:p w14:paraId="48C8773D" w14:textId="77777777" w:rsidR="00DB2B68" w:rsidRDefault="00000000">
      <w:pPr>
        <w:pStyle w:val="pheading"/>
      </w:pPr>
      <w:r>
        <w:t>- nature du marché:</w:t>
      </w:r>
    </w:p>
    <w:p w14:paraId="4D933EFE" w14:textId="77777777" w:rsidR="00DB2B68" w:rsidRDefault="00000000">
      <w:r>
        <w:t>QF</w:t>
      </w:r>
    </w:p>
    <w:p w14:paraId="24E47C54" w14:textId="77777777" w:rsidR="00DB2B68" w:rsidRDefault="00000000">
      <w:pPr>
        <w:pStyle w:val="Author-eSectionHeading6Numberless"/>
      </w:pPr>
      <w:bookmarkStart w:id="312" w:name="_Toc220495432"/>
      <w:r>
        <w:t>21.36.2e Plinthes préfabriquées en béton CCTB 01.11</w:t>
      </w:r>
      <w:bookmarkEnd w:id="312"/>
    </w:p>
    <w:p w14:paraId="6C826520" w14:textId="77777777" w:rsidR="00DB2B68" w:rsidRDefault="00000000">
      <w:pPr>
        <w:pStyle w:val="pheading"/>
      </w:pPr>
      <w:r>
        <w:t>MATÉRIAUX</w:t>
      </w:r>
    </w:p>
    <w:p w14:paraId="616E68D2" w14:textId="77777777" w:rsidR="00DB2B68" w:rsidRDefault="00000000">
      <w:pPr>
        <w:pStyle w:val="pheading"/>
      </w:pPr>
      <w:r>
        <w:t>- Caractéristiques générales</w:t>
      </w:r>
    </w:p>
    <w:p w14:paraId="63B82537" w14:textId="77777777" w:rsidR="00DB2B68" w:rsidRDefault="00000000">
      <w:r>
        <w:t xml:space="preserve">Il s'agit des plinthes préfabriquées en béton armé étanche selon les prescriptions du chapitre </w:t>
      </w:r>
      <w:hyperlink w:anchor="87" w:history="1">
        <w:r>
          <w:rPr>
            <w:color w:val="0000EE"/>
          </w:rPr>
          <w:t>22</w:t>
        </w:r>
      </w:hyperlink>
      <w:hyperlink w:anchor="87" w:history="1">
        <w:r>
          <w:rPr>
            <w:color w:val="0000EE"/>
          </w:rPr>
          <w:t>Superstructures en béton</w:t>
        </w:r>
      </w:hyperlink>
    </w:p>
    <w:p w14:paraId="2A78A286" w14:textId="77777777" w:rsidR="00DB2B68" w:rsidRDefault="00000000">
      <w:r>
        <w:rPr>
          <w:b/>
          <w:u w:val="single"/>
        </w:rPr>
        <w:t>Spécifications</w:t>
      </w:r>
    </w:p>
    <w:p w14:paraId="70FFA599" w14:textId="77777777" w:rsidR="00DB2B68" w:rsidRDefault="00000000">
      <w:r>
        <w:t>Qualité du béton selon la [NBN B 15-001],</w:t>
      </w:r>
    </w:p>
    <w:p w14:paraId="1A80E442" w14:textId="77777777" w:rsidR="00DB2B68" w:rsidRDefault="00000000">
      <w:r>
        <w:t xml:space="preserve">Classe d'environnement </w:t>
      </w:r>
      <w:r>
        <w:rPr>
          <w:rStyle w:val="optioncarChar"/>
        </w:rPr>
        <w:t>EE2 / EE3 </w:t>
      </w:r>
      <w:r>
        <w:t>(par défaut)</w:t>
      </w:r>
      <w:r>
        <w:rPr>
          <w:rStyle w:val="optioncarChar"/>
        </w:rPr>
        <w:t xml:space="preserve"> / EE4 / ES1 / ES2 / ES3 / ES4 / EA1+*** / EA2+*** / EA3+***</w:t>
      </w:r>
    </w:p>
    <w:p w14:paraId="5DC16D40" w14:textId="77777777" w:rsidR="00DB2B68" w:rsidRDefault="00000000">
      <w:r>
        <w:t>Classe de résistance à la compression</w:t>
      </w:r>
      <w:r>
        <w:br/>
      </w:r>
      <w:r>
        <w:rPr>
          <w:rStyle w:val="optioncarChar"/>
        </w:rPr>
        <w:t xml:space="preserve">C25/30 // C30/37 </w:t>
      </w:r>
      <w:r>
        <w:t>(par défaut)</w:t>
      </w:r>
      <w:r>
        <w:rPr>
          <w:rStyle w:val="optioncarChar"/>
        </w:rPr>
        <w:t xml:space="preserve"> // C35/45 // C45/55 // C50/60 // C55/67 // C60/75 // C70/85 // C80/95 // C90/105 /// ***</w:t>
      </w:r>
    </w:p>
    <w:p w14:paraId="60890FB5" w14:textId="77777777" w:rsidR="00DB2B68" w:rsidRDefault="00000000">
      <w:r>
        <w:t xml:space="preserve">Armatures : </w:t>
      </w:r>
      <w:r>
        <w:rPr>
          <w:rStyle w:val="optioncarChar"/>
        </w:rPr>
        <w:t>***</w:t>
      </w:r>
    </w:p>
    <w:p w14:paraId="052C7C55" w14:textId="77777777" w:rsidR="00DB2B68" w:rsidRDefault="00000000">
      <w:r>
        <w:t>Dimensions : bandes modulaires</w:t>
      </w:r>
    </w:p>
    <w:p w14:paraId="16AA79BC" w14:textId="77777777" w:rsidR="00DB2B68" w:rsidRDefault="00000000">
      <w:r>
        <w:t xml:space="preserve">Epaisseur des plaques : </w:t>
      </w:r>
      <w:r>
        <w:rPr>
          <w:rStyle w:val="optioncarChar"/>
        </w:rPr>
        <w:t>80</w:t>
      </w:r>
      <w:r>
        <w:t xml:space="preserve"> (par défaut) </w:t>
      </w:r>
      <w:r>
        <w:rPr>
          <w:rStyle w:val="optioncarChar"/>
        </w:rPr>
        <w:t xml:space="preserve">/ 90 / *** </w:t>
      </w:r>
      <w:r>
        <w:t>mm</w:t>
      </w:r>
    </w:p>
    <w:p w14:paraId="250CE542" w14:textId="77777777" w:rsidR="00DB2B68" w:rsidRDefault="00000000">
      <w:r>
        <w:t xml:space="preserve">Longueur des plinthes : maximum </w:t>
      </w:r>
      <w:r>
        <w:rPr>
          <w:rStyle w:val="optioncarChar"/>
        </w:rPr>
        <w:t>80 </w:t>
      </w:r>
      <w:r>
        <w:t>(par défaut)</w:t>
      </w:r>
      <w:r>
        <w:rPr>
          <w:rStyle w:val="optioncarChar"/>
        </w:rPr>
        <w:t xml:space="preserve"> / 100 / ***</w:t>
      </w:r>
      <w:r>
        <w:t xml:space="preserve"> cm (en fonction de l'épaisseur)</w:t>
      </w:r>
    </w:p>
    <w:p w14:paraId="7AC3E526" w14:textId="77777777" w:rsidR="00DB2B68" w:rsidRDefault="00000000">
      <w:r>
        <w:t xml:space="preserve">Hauteur des plinthes : </w:t>
      </w:r>
      <w:r>
        <w:rPr>
          <w:rStyle w:val="optioncarChar"/>
        </w:rPr>
        <w:t>20 </w:t>
      </w:r>
      <w:r>
        <w:t>(par défaut)</w:t>
      </w:r>
      <w:r>
        <w:rPr>
          <w:rStyle w:val="optioncarChar"/>
        </w:rPr>
        <w:t xml:space="preserve"> / 25 / 30 / *** cm / en gradins selon le dessin de détail </w:t>
      </w:r>
    </w:p>
    <w:p w14:paraId="483ACA48" w14:textId="77777777" w:rsidR="00DB2B68" w:rsidRDefault="00000000">
      <w:r>
        <w:t xml:space="preserve">Profil des plinthes : </w:t>
      </w:r>
      <w:r>
        <w:rPr>
          <w:rStyle w:val="optioncarChar"/>
        </w:rPr>
        <w:t>plat </w:t>
      </w:r>
      <w:r>
        <w:t>(par défaut)</w:t>
      </w:r>
      <w:r>
        <w:rPr>
          <w:rStyle w:val="optioncarChar"/>
        </w:rPr>
        <w:t xml:space="preserve"> / selon le dessin de détail / ***</w:t>
      </w:r>
    </w:p>
    <w:p w14:paraId="126F0027" w14:textId="77777777" w:rsidR="00DB2B68" w:rsidRDefault="00000000">
      <w:pPr>
        <w:pStyle w:val="pheading"/>
      </w:pPr>
      <w:r>
        <w:t>- Finitions</w:t>
      </w:r>
    </w:p>
    <w:p w14:paraId="4765A365" w14:textId="77777777" w:rsidR="00DB2B68" w:rsidRDefault="00000000">
      <w:r>
        <w:t xml:space="preserve">Surface : </w:t>
      </w:r>
      <w:r>
        <w:rPr>
          <w:rStyle w:val="optioncarChar"/>
        </w:rPr>
        <w:t>brute et lisse </w:t>
      </w:r>
      <w:r>
        <w:t>(par défaut)</w:t>
      </w:r>
      <w:r>
        <w:rPr>
          <w:rStyle w:val="optioncarChar"/>
        </w:rPr>
        <w:t xml:space="preserve"> / brute et finement texturée (par défaut) / brute et grossièrement texturée / brute à relief (ou structurée)</w:t>
      </w:r>
    </w:p>
    <w:p w14:paraId="213A419F" w14:textId="77777777" w:rsidR="00DB2B68" w:rsidRDefault="00000000">
      <w:r>
        <w:t xml:space="preserve">Couleur : </w:t>
      </w:r>
      <w:r>
        <w:rPr>
          <w:rStyle w:val="optioncarChar"/>
        </w:rPr>
        <w:t>gris clair </w:t>
      </w:r>
      <w:r>
        <w:t>(par défaut)</w:t>
      </w:r>
      <w:r>
        <w:rPr>
          <w:rStyle w:val="optioncarChar"/>
        </w:rPr>
        <w:t xml:space="preserve"> / ***</w:t>
      </w:r>
    </w:p>
    <w:p w14:paraId="52F421C4" w14:textId="77777777" w:rsidR="00DB2B68" w:rsidRDefault="00000000">
      <w:pPr>
        <w:pStyle w:val="pheading"/>
      </w:pPr>
      <w:r>
        <w:t>EXÉCUTION / MISE EN ŒUVRE</w:t>
      </w:r>
    </w:p>
    <w:p w14:paraId="7AC02E19" w14:textId="77777777" w:rsidR="00DB2B68" w:rsidRDefault="00000000">
      <w:pPr>
        <w:pStyle w:val="pheading"/>
      </w:pPr>
      <w:r>
        <w:t>- Prescriptions générales</w:t>
      </w:r>
    </w:p>
    <w:p w14:paraId="39B56361" w14:textId="77777777" w:rsidR="00DB2B68" w:rsidRDefault="00000000">
      <w:r>
        <w:t xml:space="preserve">Les plinthes sont posées avec un retrait d'environ </w:t>
      </w:r>
      <w:r>
        <w:rPr>
          <w:rStyle w:val="optioncarChar"/>
        </w:rPr>
        <w:t>10 </w:t>
      </w:r>
      <w:r>
        <w:t>(par défaut)</w:t>
      </w:r>
      <w:r>
        <w:rPr>
          <w:rStyle w:val="optioncarChar"/>
        </w:rPr>
        <w:t xml:space="preserve"> / *** </w:t>
      </w:r>
      <w:r>
        <w:t xml:space="preserve">mm par rapport au </w:t>
      </w:r>
      <w:r>
        <w:rPr>
          <w:rStyle w:val="optioncarChar"/>
        </w:rPr>
        <w:t>parement de façade </w:t>
      </w:r>
      <w:r>
        <w:t>(par défaut)</w:t>
      </w:r>
      <w:r>
        <w:rPr>
          <w:rStyle w:val="optioncarChar"/>
        </w:rPr>
        <w:t xml:space="preserve"> / revêtement de façade / crépi de façade / *** </w:t>
      </w:r>
      <w:r>
        <w:t>prévu et sont placées, conformément aux indications sur les coupes détaillées :</w:t>
      </w:r>
    </w:p>
    <w:p w14:paraId="7EB24219" w14:textId="77777777" w:rsidR="00DB2B68" w:rsidRDefault="00000000">
      <w:r>
        <w:lastRenderedPageBreak/>
        <w:t>La pose est faite </w:t>
      </w:r>
      <w:r>
        <w:rPr>
          <w:rStyle w:val="optioncarChar"/>
        </w:rPr>
        <w:t>avec coulisse / sans coulisse</w:t>
      </w:r>
    </w:p>
    <w:p w14:paraId="179EAC53" w14:textId="77777777" w:rsidR="00DB2B68" w:rsidRDefault="00000000">
      <w:r>
        <w:rPr>
          <w:b/>
        </w:rPr>
        <w:t>(soit)</w:t>
      </w:r>
    </w:p>
    <w:p w14:paraId="3D45ADB7" w14:textId="77777777" w:rsidR="00DB2B68" w:rsidRDefault="00000000">
      <w:r>
        <w:rPr>
          <w:rStyle w:val="soitChar"/>
          <w:u w:val="single"/>
        </w:rPr>
        <w:t>Avec une coulisse</w:t>
      </w:r>
      <w:r>
        <w:rPr>
          <w:rStyle w:val="soitChar"/>
        </w:rPr>
        <w:t> ventilée d'une largeur d'au moins 3 cm.</w:t>
      </w:r>
    </w:p>
    <w:p w14:paraId="35261CD9" w14:textId="77777777" w:rsidR="00DB2B68" w:rsidRDefault="00000000">
      <w:r>
        <w:rPr>
          <w:b/>
        </w:rPr>
        <w:t>(soit)</w:t>
      </w:r>
    </w:p>
    <w:p w14:paraId="122D82BB" w14:textId="77777777" w:rsidR="00DB2B68" w:rsidRDefault="00000000">
      <w:r>
        <w:rPr>
          <w:rStyle w:val="soitChar"/>
          <w:u w:val="single"/>
        </w:rPr>
        <w:t>Sans coulisse,</w:t>
      </w:r>
      <w:r>
        <w:rPr>
          <w:rStyle w:val="soitChar"/>
        </w:rPr>
        <w:t> appliquées directement contre l'isolation du vide</w:t>
      </w:r>
    </w:p>
    <w:p w14:paraId="76FD07DD" w14:textId="77777777" w:rsidR="00DB2B68" w:rsidRDefault="00000000">
      <w:r>
        <w:t xml:space="preserve">Les plinthes sont posées d'aplomb, d'équerre et bien planes selon l'appareillage dessiné sur les plans et/ou en concertation avec l'auteur de projet.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 xml:space="preserve">8 </w:t>
      </w:r>
      <w:r>
        <w:t>(par défaut) </w:t>
      </w:r>
      <w:r>
        <w:rPr>
          <w:rStyle w:val="optioncarChar"/>
        </w:rPr>
        <w:t xml:space="preserve">/ 10 / *** </w:t>
      </w:r>
      <w:r>
        <w:t xml:space="preserve">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0,45 </w:t>
      </w:r>
      <w:r>
        <w:t xml:space="preserve">(par défaut) </w:t>
      </w:r>
      <w:r>
        <w:rPr>
          <w:rStyle w:val="optioncarChar"/>
        </w:rPr>
        <w:t xml:space="preserve">/ *** </w:t>
      </w:r>
      <w:r>
        <w:t xml:space="preserve">mm) sont posées. Au-dessus des plinthes, l'entreprise laisse un joint montant ouvert tous les </w:t>
      </w:r>
      <w:r>
        <w:rPr>
          <w:rStyle w:val="optioncarChar"/>
        </w:rPr>
        <w:t>120 </w:t>
      </w:r>
      <w:r>
        <w:t xml:space="preserve">(par défaut) </w:t>
      </w:r>
      <w:r>
        <w:rPr>
          <w:rStyle w:val="optioncarChar"/>
        </w:rPr>
        <w:t>/ ***</w:t>
      </w:r>
      <w:r>
        <w:t xml:space="preserve"> cm. Les joints montants ouverts sont marqués jusqu'après l'exécution du rejointoiement.</w:t>
      </w:r>
    </w:p>
    <w:p w14:paraId="64239182" w14:textId="77777777" w:rsidR="00DB2B68" w:rsidRDefault="00000000">
      <w:pPr>
        <w:pStyle w:val="pheading"/>
      </w:pPr>
      <w:r>
        <w:t>- Notes d’exécution complémentaires</w:t>
      </w:r>
    </w:p>
    <w:p w14:paraId="43921B8B" w14:textId="77777777" w:rsidR="00DB2B68" w:rsidRDefault="00000000">
      <w:r>
        <w:t>Ancrage : Les plinthes sont reliées à la structure attenante au moyen d’agrafes</w:t>
      </w:r>
      <w:r>
        <w:rPr>
          <w:rStyle w:val="optioncarChar"/>
        </w:rPr>
        <w:t xml:space="preserve"> en inoxydable </w:t>
      </w:r>
      <w:r>
        <w:t>(par défaut)</w:t>
      </w:r>
      <w:r>
        <w:rPr>
          <w:rStyle w:val="optioncarChar"/>
        </w:rPr>
        <w:t xml:space="preserve"> /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 ; le système est agréé par l’auteur de projet / le bureau de stabilité et le maître de l’ouvrage.</w:t>
      </w:r>
    </w:p>
    <w:p w14:paraId="57376BE0" w14:textId="77777777" w:rsidR="00DB2B68" w:rsidRDefault="00000000">
      <w:r>
        <w:t>Étanchéité : </w:t>
      </w:r>
    </w:p>
    <w:p w14:paraId="04325C0D" w14:textId="77777777" w:rsidR="00DB2B68" w:rsidRDefault="00000000">
      <w:r>
        <w:t>Isolation des murs creux :</w:t>
      </w:r>
    </w:p>
    <w:p w14:paraId="1B0212E0" w14:textId="77777777" w:rsidR="00DB2B68" w:rsidRDefault="00000000">
      <w:r>
        <w:t>Joints de façade :</w:t>
      </w:r>
    </w:p>
    <w:p w14:paraId="399ADF09" w14:textId="77777777" w:rsidR="00DB2B68" w:rsidRDefault="00000000">
      <w:r>
        <w:t xml:space="preserve">Eléments à intégrer : </w:t>
      </w:r>
      <w:r>
        <w:rPr>
          <w:rStyle w:val="optioncarChar"/>
        </w:rPr>
        <w:t xml:space="preserve">grilles de ventilation murales selon l'article </w:t>
      </w:r>
      <w:hyperlink w:anchor="411" w:history="1">
        <w:r>
          <w:rPr>
            <w:rStyle w:val="optioncarChar"/>
            <w:color w:val="0000EE"/>
          </w:rPr>
          <w:t>21.44 Eléments de ventilation</w:t>
        </w:r>
      </w:hyperlink>
      <w:r>
        <w:rPr>
          <w:rStyle w:val="optioncarChar"/>
        </w:rPr>
        <w:t xml:space="preserve">  </w:t>
      </w:r>
      <w:r>
        <w:t>(par défaut) </w:t>
      </w:r>
      <w:r>
        <w:rPr>
          <w:rStyle w:val="optioncarChar"/>
        </w:rPr>
        <w:t>/***</w:t>
      </w:r>
    </w:p>
    <w:p w14:paraId="056B36F0" w14:textId="77777777" w:rsidR="00DB2B68" w:rsidRDefault="00000000">
      <w:r>
        <w:rPr>
          <w:rStyle w:val="optioncarChar"/>
        </w:rPr>
        <w:t> </w:t>
      </w:r>
    </w:p>
    <w:p w14:paraId="7D27406B" w14:textId="77777777" w:rsidR="00DB2B68" w:rsidRDefault="00000000">
      <w:r>
        <w:t> </w:t>
      </w:r>
    </w:p>
    <w:p w14:paraId="65DF41A7" w14:textId="77777777" w:rsidR="00DB2B68" w:rsidRDefault="00000000">
      <w:pPr>
        <w:pStyle w:val="pheading"/>
      </w:pPr>
      <w:r>
        <w:t>MESURAGE</w:t>
      </w:r>
    </w:p>
    <w:p w14:paraId="40E69C61" w14:textId="77777777" w:rsidR="00DB2B68" w:rsidRDefault="00000000">
      <w:pPr>
        <w:pStyle w:val="pheading"/>
      </w:pPr>
      <w:r>
        <w:t>- unité de mesure:</w:t>
      </w:r>
    </w:p>
    <w:p w14:paraId="6A0A009D" w14:textId="77777777" w:rsidR="00DB2B68" w:rsidRDefault="00000000">
      <w:r>
        <w:rPr>
          <w:rStyle w:val="optioncarChar"/>
        </w:rPr>
        <w:t>m </w:t>
      </w:r>
      <w:r>
        <w:rPr>
          <w:rStyle w:val="optioncarChar"/>
          <w:color w:val="000000"/>
        </w:rPr>
        <w:t>(par défaut)</w:t>
      </w:r>
      <w:r>
        <w:rPr>
          <w:rStyle w:val="optioncarChar"/>
        </w:rPr>
        <w:t> / pc / m²</w:t>
      </w:r>
    </w:p>
    <w:p w14:paraId="1CC67CE6" w14:textId="77777777" w:rsidR="00DB2B68" w:rsidRDefault="00000000">
      <w:pPr>
        <w:spacing w:after="0" w:line="0" w:lineRule="atLeast"/>
      </w:pPr>
      <w:r>
        <w:rPr>
          <w:b/>
          <w:color w:val="000000"/>
        </w:rPr>
        <w:t>(soit par défaut)</w:t>
      </w:r>
    </w:p>
    <w:p w14:paraId="05B252AF" w14:textId="77777777" w:rsidR="00DB2B68" w:rsidRDefault="00000000">
      <w:pPr>
        <w:spacing w:after="0" w:line="0" w:lineRule="atLeast"/>
      </w:pPr>
      <w:r>
        <w:rPr>
          <w:rStyle w:val="soitChar"/>
        </w:rPr>
        <w:t>1. m</w:t>
      </w:r>
    </w:p>
    <w:p w14:paraId="251AAFDC" w14:textId="77777777" w:rsidR="00DB2B68" w:rsidRDefault="00000000">
      <w:pPr>
        <w:spacing w:after="0" w:line="0" w:lineRule="atLeast"/>
      </w:pPr>
      <w:r>
        <w:rPr>
          <w:b/>
          <w:color w:val="000000"/>
        </w:rPr>
        <w:t>(soit)</w:t>
      </w:r>
    </w:p>
    <w:p w14:paraId="0BD94BD0" w14:textId="77777777" w:rsidR="00DB2B68" w:rsidRDefault="00000000">
      <w:pPr>
        <w:spacing w:after="0" w:line="0" w:lineRule="atLeast"/>
      </w:pPr>
      <w:r>
        <w:rPr>
          <w:rStyle w:val="soitChar"/>
        </w:rPr>
        <w:t>2. pc</w:t>
      </w:r>
    </w:p>
    <w:p w14:paraId="2A3E2994" w14:textId="77777777" w:rsidR="00DB2B68" w:rsidRDefault="00000000">
      <w:pPr>
        <w:spacing w:after="0" w:line="0" w:lineRule="atLeast"/>
      </w:pPr>
      <w:r>
        <w:rPr>
          <w:b/>
          <w:color w:val="000000"/>
        </w:rPr>
        <w:t>(soit)</w:t>
      </w:r>
    </w:p>
    <w:p w14:paraId="2DCDE364" w14:textId="77777777" w:rsidR="00DB2B68" w:rsidRDefault="00000000">
      <w:pPr>
        <w:spacing w:after="0" w:line="0" w:lineRule="atLeast"/>
      </w:pPr>
      <w:r>
        <w:rPr>
          <w:rStyle w:val="soitChar"/>
        </w:rPr>
        <w:t>3. m²</w:t>
      </w:r>
    </w:p>
    <w:p w14:paraId="4E9937E3" w14:textId="77777777" w:rsidR="00DB2B68" w:rsidRDefault="00000000">
      <w:pPr>
        <w:pStyle w:val="pheading"/>
      </w:pPr>
      <w:r>
        <w:t>- code de mesurage:</w:t>
      </w:r>
    </w:p>
    <w:p w14:paraId="6701E105" w14:textId="77777777" w:rsidR="00DB2B68" w:rsidRDefault="00000000">
      <w:r>
        <w:rPr>
          <w:rStyle w:val="optioncarChar"/>
        </w:rPr>
        <w:t xml:space="preserve">Longueur nette </w:t>
      </w:r>
      <w:r>
        <w:t>(par défaut)</w:t>
      </w:r>
      <w:r>
        <w:rPr>
          <w:rStyle w:val="optioncarChar"/>
        </w:rPr>
        <w:t> / à la pièce / au volume</w:t>
      </w:r>
    </w:p>
    <w:p w14:paraId="4E2269B0" w14:textId="77777777" w:rsidR="00DB2B68" w:rsidRDefault="00000000">
      <w:pPr>
        <w:jc w:val="both"/>
      </w:pPr>
      <w:r>
        <w:rPr>
          <w:b/>
        </w:rPr>
        <w:t>(soit par défaut)</w:t>
      </w:r>
    </w:p>
    <w:p w14:paraId="193D5BDB" w14:textId="77777777" w:rsidR="00DB2B68" w:rsidRDefault="00000000">
      <w:pPr>
        <w:jc w:val="both"/>
      </w:pPr>
      <w:r>
        <w:rPr>
          <w:rStyle w:val="soitChar"/>
          <w:u w:val="single"/>
        </w:rPr>
        <w:t>1. Longueur nette</w:t>
      </w:r>
      <w:r>
        <w:rPr>
          <w:rStyle w:val="soitChar"/>
        </w:rPr>
        <w:t> : longueur du seuil entre les jours de la baie, </w:t>
      </w:r>
      <w:r>
        <w:rPr>
          <w:rStyle w:val="soitChar"/>
          <w:shd w:val="clear" w:color="auto" w:fill="FFFFFF"/>
        </w:rPr>
        <w:t>de dimensions et d'épaisseur identiques</w:t>
      </w:r>
    </w:p>
    <w:p w14:paraId="61F9AF02" w14:textId="77777777" w:rsidR="00DB2B68" w:rsidRDefault="00000000">
      <w:pPr>
        <w:jc w:val="both"/>
      </w:pPr>
      <w:r>
        <w:rPr>
          <w:b/>
        </w:rPr>
        <w:lastRenderedPageBreak/>
        <w:t>(soit)</w:t>
      </w:r>
    </w:p>
    <w:p w14:paraId="42BBC062" w14:textId="77777777" w:rsidR="00DB2B68" w:rsidRDefault="00000000">
      <w:pPr>
        <w:jc w:val="both"/>
      </w:pPr>
      <w:r>
        <w:rPr>
          <w:rStyle w:val="soitChar"/>
        </w:rPr>
        <w:t>2. </w:t>
      </w:r>
      <w:r>
        <w:rPr>
          <w:rStyle w:val="soitChar"/>
          <w:u w:val="single"/>
        </w:rPr>
        <w:t>A la pièce : </w:t>
      </w:r>
      <w:r>
        <w:rPr>
          <w:rStyle w:val="soitChar"/>
        </w:rPr>
        <w:t>de dimension et d'épaisseur identiques</w:t>
      </w:r>
    </w:p>
    <w:p w14:paraId="37D05594" w14:textId="77777777" w:rsidR="00DB2B68" w:rsidRDefault="00000000">
      <w:pPr>
        <w:jc w:val="both"/>
      </w:pPr>
      <w:r>
        <w:rPr>
          <w:b/>
        </w:rPr>
        <w:t>(soit)</w:t>
      </w:r>
    </w:p>
    <w:p w14:paraId="4E6FF0C5" w14:textId="77777777" w:rsidR="00DB2B68" w:rsidRDefault="00000000">
      <w:pPr>
        <w:jc w:val="both"/>
      </w:pPr>
      <w:r>
        <w:rPr>
          <w:rStyle w:val="soitChar"/>
        </w:rPr>
        <w:t>3. </w:t>
      </w:r>
      <w:r>
        <w:rPr>
          <w:rStyle w:val="soitChar"/>
          <w:u w:val="single"/>
        </w:rPr>
        <w:t>A la surface</w:t>
      </w:r>
      <w:r>
        <w:rPr>
          <w:rStyle w:val="soitChar"/>
        </w:rPr>
        <w:t>  : surface nette de parement.</w:t>
      </w:r>
    </w:p>
    <w:p w14:paraId="3774A5E2" w14:textId="77777777" w:rsidR="00DB2B68" w:rsidRDefault="00000000">
      <w:pPr>
        <w:pStyle w:val="pheading"/>
      </w:pPr>
      <w:r>
        <w:t>- nature du marché:</w:t>
      </w:r>
    </w:p>
    <w:p w14:paraId="110CB3A9" w14:textId="77777777" w:rsidR="00DB2B68" w:rsidRDefault="00000000">
      <w:r>
        <w:t>QF</w:t>
      </w:r>
    </w:p>
    <w:p w14:paraId="2F5504BB" w14:textId="77777777" w:rsidR="00DB2B68" w:rsidRDefault="00000000">
      <w:pPr>
        <w:pStyle w:val="Author-eSectionHeading6Numberless"/>
      </w:pPr>
      <w:bookmarkStart w:id="313" w:name="_Toc220495433"/>
      <w:r>
        <w:t>21.36.2f Plinthes préfabriquées en béton décoratif / architectonique CCTB 01.11</w:t>
      </w:r>
      <w:bookmarkEnd w:id="313"/>
    </w:p>
    <w:p w14:paraId="6BA34575" w14:textId="77777777" w:rsidR="00DB2B68" w:rsidRDefault="00000000">
      <w:pPr>
        <w:pStyle w:val="pheading"/>
      </w:pPr>
      <w:r>
        <w:t>MATÉRIAUX</w:t>
      </w:r>
    </w:p>
    <w:p w14:paraId="71AC9D4D" w14:textId="77777777" w:rsidR="00DB2B68" w:rsidRDefault="00000000">
      <w:pPr>
        <w:pStyle w:val="pheading"/>
      </w:pPr>
      <w:r>
        <w:t>- Caractéristiques générales</w:t>
      </w:r>
    </w:p>
    <w:p w14:paraId="061B804C" w14:textId="77777777" w:rsidR="00DB2B68" w:rsidRDefault="00000000">
      <w:r>
        <w:t>Il s'agit des plinthes préfabriquées en béton armé étanche selon les prescriptions du chapitre </w:t>
      </w:r>
      <w:r>
        <w:rPr>
          <w:color w:val="0000FF"/>
        </w:rPr>
        <w:t> </w:t>
      </w:r>
      <w:hyperlink w:anchor="87" w:history="1">
        <w:r>
          <w:rPr>
            <w:rStyle w:val="normalChar"/>
            <w:color w:val="0000EE"/>
          </w:rPr>
          <w:t>22 Superstructures en béton</w:t>
        </w:r>
      </w:hyperlink>
      <w:r>
        <w:t>.</w:t>
      </w:r>
    </w:p>
    <w:p w14:paraId="681597AF" w14:textId="77777777" w:rsidR="00DB2B68" w:rsidRDefault="00000000">
      <w:r>
        <w:t xml:space="preserve">Finition : </w:t>
      </w:r>
      <w:r>
        <w:rPr>
          <w:rStyle w:val="optioncarChar"/>
        </w:rPr>
        <w:t>Béton décorative / béton architectonique</w:t>
      </w:r>
    </w:p>
    <w:p w14:paraId="1F68F7A2" w14:textId="77777777" w:rsidR="00DB2B68" w:rsidRDefault="00000000">
      <w:r>
        <w:rPr>
          <w:b/>
          <w:u w:val="single"/>
        </w:rPr>
        <w:t>Spécifications</w:t>
      </w:r>
    </w:p>
    <w:p w14:paraId="18F0BA46" w14:textId="77777777" w:rsidR="00DB2B68" w:rsidRDefault="00000000">
      <w:r>
        <w:t xml:space="preserve">Qualité du béton selon la [NBN B 15-001] sera avec un classe d'environnement </w:t>
      </w:r>
      <w:r>
        <w:rPr>
          <w:rStyle w:val="optioncarChar"/>
        </w:rPr>
        <w:t>EE3</w:t>
      </w:r>
      <w:r>
        <w:t> (par défaut)</w:t>
      </w:r>
      <w:r>
        <w:rPr>
          <w:rStyle w:val="optioncarChar"/>
        </w:rPr>
        <w:t xml:space="preserve"> / EE4 / ES1 / ES2 / ES3 / ES4 / EA1+*** / EA2+*** / EA3+***</w:t>
      </w:r>
    </w:p>
    <w:p w14:paraId="6626E0A6" w14:textId="77777777" w:rsidR="00DB2B68" w:rsidRDefault="00000000">
      <w:r>
        <w:t xml:space="preserve">Armatures : </w:t>
      </w:r>
      <w:r>
        <w:rPr>
          <w:rStyle w:val="optioncarChar"/>
        </w:rPr>
        <w:t>***</w:t>
      </w:r>
    </w:p>
    <w:p w14:paraId="7C853C9B" w14:textId="77777777" w:rsidR="00DB2B68" w:rsidRDefault="00000000">
      <w:r>
        <w:t>Dimensions : bandes modulaires</w:t>
      </w:r>
    </w:p>
    <w:p w14:paraId="1E7313A0" w14:textId="77777777" w:rsidR="00DB2B68" w:rsidRDefault="00000000">
      <w:r>
        <w:t xml:space="preserve">Epaisseur des plaques : </w:t>
      </w:r>
      <w:r>
        <w:rPr>
          <w:rStyle w:val="optioncarChar"/>
        </w:rPr>
        <w:t>80 </w:t>
      </w:r>
      <w:r>
        <w:t xml:space="preserve">(par défaut) </w:t>
      </w:r>
      <w:r>
        <w:rPr>
          <w:rStyle w:val="optioncarChar"/>
        </w:rPr>
        <w:t xml:space="preserve">/ 90 / *** </w:t>
      </w:r>
      <w:r>
        <w:t>mm</w:t>
      </w:r>
    </w:p>
    <w:p w14:paraId="3FC4AAC8" w14:textId="77777777" w:rsidR="00DB2B68" w:rsidRDefault="00000000">
      <w:r>
        <w:t xml:space="preserve">Longueur des plinthes : maximum </w:t>
      </w:r>
      <w:r>
        <w:rPr>
          <w:rStyle w:val="optioncarChar"/>
        </w:rPr>
        <w:t>80 </w:t>
      </w:r>
      <w:r>
        <w:t xml:space="preserve">(par défaut) </w:t>
      </w:r>
      <w:r>
        <w:rPr>
          <w:rStyle w:val="optioncarChar"/>
        </w:rPr>
        <w:t>/ 100 / ***</w:t>
      </w:r>
      <w:r>
        <w:t xml:space="preserve"> cm (en fonction de l'épaisseur)</w:t>
      </w:r>
    </w:p>
    <w:p w14:paraId="76D88355" w14:textId="77777777" w:rsidR="00DB2B68" w:rsidRDefault="00000000">
      <w:r>
        <w:t xml:space="preserve">Hauteur des plinthes : </w:t>
      </w:r>
      <w:r>
        <w:rPr>
          <w:rStyle w:val="optioncarChar"/>
        </w:rPr>
        <w:t>20</w:t>
      </w:r>
      <w:r>
        <w:t xml:space="preserve"> (par défaut) </w:t>
      </w:r>
      <w:r>
        <w:rPr>
          <w:rStyle w:val="optioncarChar"/>
        </w:rPr>
        <w:t xml:space="preserve">/ 25 / 30 / *** cm / en gradins selon le dessin de détail </w:t>
      </w:r>
    </w:p>
    <w:p w14:paraId="6B335B6C" w14:textId="77777777" w:rsidR="00DB2B68" w:rsidRDefault="00000000">
      <w:r>
        <w:t xml:space="preserve">Profil des plinthes : </w:t>
      </w:r>
      <w:r>
        <w:rPr>
          <w:rStyle w:val="optioncarChar"/>
        </w:rPr>
        <w:t xml:space="preserve">plat </w:t>
      </w:r>
      <w:r>
        <w:t>(par défaut) </w:t>
      </w:r>
      <w:r>
        <w:rPr>
          <w:rStyle w:val="optioncarChar"/>
        </w:rPr>
        <w:t>/ selon le dessin de détail / ***</w:t>
      </w:r>
    </w:p>
    <w:p w14:paraId="2C472EB4" w14:textId="77777777" w:rsidR="00DB2B68" w:rsidRDefault="00000000">
      <w:pPr>
        <w:pStyle w:val="pheading"/>
      </w:pPr>
      <w:r>
        <w:t>- Finitions</w:t>
      </w:r>
    </w:p>
    <w:p w14:paraId="41D77B98" w14:textId="77777777" w:rsidR="00DB2B68" w:rsidRDefault="00000000">
      <w:r>
        <w:t xml:space="preserve">Surface : </w:t>
      </w:r>
      <w:r>
        <w:rPr>
          <w:rStyle w:val="optioncarChar"/>
        </w:rPr>
        <w:t xml:space="preserve">brute et lisse / brute et finement texturée </w:t>
      </w:r>
      <w:r>
        <w:t>(par défaut)</w:t>
      </w:r>
      <w:r>
        <w:rPr>
          <w:rStyle w:val="optioncarChar"/>
        </w:rPr>
        <w:t xml:space="preserve"> / brute et grossièrement texturée / brute à relief (ou structurée)</w:t>
      </w:r>
    </w:p>
    <w:p w14:paraId="02AD45A6" w14:textId="77777777" w:rsidR="00DB2B68" w:rsidRDefault="00000000">
      <w:r>
        <w:t xml:space="preserve">Couleur : </w:t>
      </w:r>
      <w:r>
        <w:rPr>
          <w:rStyle w:val="optioncarChar"/>
        </w:rPr>
        <w:t>gris clair </w:t>
      </w:r>
      <w:r>
        <w:t>(par défaut)</w:t>
      </w:r>
      <w:r>
        <w:rPr>
          <w:rStyle w:val="optioncarChar"/>
        </w:rPr>
        <w:t xml:space="preserve"> / ***</w:t>
      </w:r>
    </w:p>
    <w:p w14:paraId="4C559319" w14:textId="77777777" w:rsidR="00DB2B68" w:rsidRDefault="00000000">
      <w:pPr>
        <w:pStyle w:val="pheading"/>
      </w:pPr>
      <w:r>
        <w:t>EXÉCUTION / MISE EN ŒUVRE</w:t>
      </w:r>
    </w:p>
    <w:p w14:paraId="09F8FCDB" w14:textId="77777777" w:rsidR="00DB2B68" w:rsidRDefault="00000000">
      <w:pPr>
        <w:pStyle w:val="pheading"/>
      </w:pPr>
      <w:r>
        <w:t>- Prescriptions générales</w:t>
      </w:r>
    </w:p>
    <w:p w14:paraId="30090EB6" w14:textId="77777777" w:rsidR="00DB2B68" w:rsidRDefault="00000000">
      <w:r>
        <w:t>Les plinthes sont posées avec un retrait d'environ </w:t>
      </w:r>
      <w:r>
        <w:rPr>
          <w:rStyle w:val="optioncarChar"/>
        </w:rPr>
        <w:t>10 </w:t>
      </w:r>
      <w:r>
        <w:t>(par défaut)</w:t>
      </w:r>
      <w:r>
        <w:rPr>
          <w:rStyle w:val="optioncarChar"/>
        </w:rPr>
        <w:t> / *** </w:t>
      </w:r>
      <w:r>
        <w:t>mm par rapport au </w:t>
      </w:r>
      <w:r>
        <w:rPr>
          <w:rStyle w:val="optioncarChar"/>
        </w:rPr>
        <w:t>parement de façade </w:t>
      </w:r>
      <w:r>
        <w:t>(par défaut)</w:t>
      </w:r>
      <w:r>
        <w:rPr>
          <w:rStyle w:val="optioncarChar"/>
        </w:rPr>
        <w:t> / revêtement de façade / crépi de façade / *** </w:t>
      </w:r>
      <w:r>
        <w:t>prévu et sont placées, conformément aux indications sur les coupes détaillées :</w:t>
      </w:r>
    </w:p>
    <w:p w14:paraId="66863BF3" w14:textId="77777777" w:rsidR="00DB2B68" w:rsidRDefault="00000000">
      <w:r>
        <w:t>La pose est faite </w:t>
      </w:r>
      <w:r>
        <w:rPr>
          <w:rStyle w:val="optioncarChar"/>
        </w:rPr>
        <w:t>avec coulisse / sans coulisse</w:t>
      </w:r>
    </w:p>
    <w:p w14:paraId="46B6BF54" w14:textId="77777777" w:rsidR="00DB2B68" w:rsidRDefault="00000000">
      <w:r>
        <w:rPr>
          <w:b/>
        </w:rPr>
        <w:t>(soit)</w:t>
      </w:r>
    </w:p>
    <w:p w14:paraId="6BD6E27D" w14:textId="77777777" w:rsidR="00DB2B68" w:rsidRDefault="00000000">
      <w:r>
        <w:rPr>
          <w:rStyle w:val="soitChar"/>
          <w:u w:val="single"/>
        </w:rPr>
        <w:t>Avec une coulisse</w:t>
      </w:r>
      <w:r>
        <w:rPr>
          <w:rStyle w:val="soitChar"/>
        </w:rPr>
        <w:t>  ventilée d'une largeur d'au moins 3 cm.</w:t>
      </w:r>
    </w:p>
    <w:p w14:paraId="2DBBC19C" w14:textId="77777777" w:rsidR="00DB2B68" w:rsidRDefault="00000000">
      <w:r>
        <w:rPr>
          <w:b/>
        </w:rPr>
        <w:t>(soit)</w:t>
      </w:r>
    </w:p>
    <w:p w14:paraId="16FF3C3D" w14:textId="77777777" w:rsidR="00DB2B68" w:rsidRDefault="00000000">
      <w:r>
        <w:rPr>
          <w:rStyle w:val="soitChar"/>
          <w:u w:val="single"/>
        </w:rPr>
        <w:t>Sans coulisse,</w:t>
      </w:r>
      <w:r>
        <w:rPr>
          <w:rStyle w:val="soitChar"/>
        </w:rPr>
        <w:t>  appliquées directement contre l'isolation du vide</w:t>
      </w:r>
    </w:p>
    <w:p w14:paraId="58B6BD56" w14:textId="77777777" w:rsidR="00DB2B68" w:rsidRDefault="00000000">
      <w:r>
        <w:t>Les plinthes sont posées d'aplomb, d'équerre et bien planes selon l'appareillage dessiné sur les plans et/ou en concertation avec l'auteur de projet.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8 </w:t>
      </w:r>
      <w:r>
        <w:t>(par défaut) </w:t>
      </w:r>
      <w:r>
        <w:rPr>
          <w:rStyle w:val="optioncarChar"/>
        </w:rPr>
        <w:t>/ 10 / *** </w:t>
      </w:r>
      <w:r>
        <w:t xml:space="preserve">mm, compte tenu d'une tolérance de 2 mm sur les dimensions des éléments. Les joints d'assise et les joints debout sont bien remplis de mortier et, après la pose, les joints montants </w:t>
      </w:r>
      <w:r>
        <w:lastRenderedPageBreak/>
        <w:t>sont rejointoyés à l'aide d'un mortier approprié. Conformément aux dessins de détail, les étanchéités nécessaires (feuille de PE, épaisseur </w:t>
      </w:r>
      <w:r>
        <w:rPr>
          <w:rStyle w:val="optioncarChar"/>
        </w:rPr>
        <w:t>0,45 </w:t>
      </w:r>
      <w:r>
        <w:t>(par défaut) </w:t>
      </w:r>
      <w:r>
        <w:rPr>
          <w:rStyle w:val="optioncarChar"/>
        </w:rPr>
        <w:t>/ *** </w:t>
      </w:r>
      <w:r>
        <w:t>mm) sont posées. Au-dessus des plinthes, l'entreprise laisse un joint montant ouvert tous les </w:t>
      </w:r>
      <w:r>
        <w:rPr>
          <w:rStyle w:val="optioncarChar"/>
        </w:rPr>
        <w:t>120 </w:t>
      </w:r>
      <w:r>
        <w:t>(par défaut) </w:t>
      </w:r>
      <w:r>
        <w:rPr>
          <w:rStyle w:val="optioncarChar"/>
        </w:rPr>
        <w:t>/ ***</w:t>
      </w:r>
      <w:r>
        <w:t> cm. Les joints montants ouverts sont marqués jusqu'après l'exécution du rejointoiement.</w:t>
      </w:r>
    </w:p>
    <w:p w14:paraId="758A6986" w14:textId="77777777" w:rsidR="00DB2B68" w:rsidRDefault="00000000">
      <w:pPr>
        <w:pStyle w:val="pheading"/>
      </w:pPr>
      <w:r>
        <w:t>- Notes d’exécution complémentaires</w:t>
      </w:r>
    </w:p>
    <w:p w14:paraId="59FF3F5A" w14:textId="77777777" w:rsidR="00DB2B68" w:rsidRDefault="00000000">
      <w:r>
        <w:t>Ancrage : Les plinthes sont reliées à la structure attenante au moyen d’agrafes</w:t>
      </w:r>
      <w:r>
        <w:rPr>
          <w:rStyle w:val="optioncarChar"/>
        </w:rPr>
        <w:t xml:space="preserve"> en inoxydable </w:t>
      </w:r>
      <w:r>
        <w:t>(par défaut) </w:t>
      </w:r>
      <w:r>
        <w:rPr>
          <w:rStyle w:val="optioncarChar"/>
        </w:rPr>
        <w:t>/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 ; le système est agréé par l’auteur de projet / le bureau de stabilité et le maître de l’ouvrage.</w:t>
      </w:r>
    </w:p>
    <w:p w14:paraId="302E3B55" w14:textId="77777777" w:rsidR="00DB2B68" w:rsidRDefault="00000000">
      <w:r>
        <w:t>Étanchéité : </w:t>
      </w:r>
    </w:p>
    <w:p w14:paraId="78A70B56" w14:textId="77777777" w:rsidR="00DB2B68" w:rsidRDefault="00000000">
      <w:r>
        <w:t>Isolation des murs creux :</w:t>
      </w:r>
    </w:p>
    <w:p w14:paraId="3B6ACBD1" w14:textId="77777777" w:rsidR="00DB2B68" w:rsidRDefault="00000000">
      <w:r>
        <w:t>Joints de façade :</w:t>
      </w:r>
    </w:p>
    <w:p w14:paraId="0B19E839" w14:textId="77777777" w:rsidR="00DB2B68" w:rsidRDefault="00000000">
      <w:r>
        <w:t xml:space="preserve">Eléments à intégrer : </w:t>
      </w:r>
      <w:r>
        <w:rPr>
          <w:rStyle w:val="optioncarChar"/>
        </w:rPr>
        <w:t xml:space="preserve">grilles de ventilation murales selon l'article </w:t>
      </w:r>
      <w:hyperlink w:anchor="411" w:history="1">
        <w:r>
          <w:rPr>
            <w:rStyle w:val="optioncarChar"/>
            <w:color w:val="0000EE"/>
          </w:rPr>
          <w:t>21.44 Eléments de ventilation</w:t>
        </w:r>
      </w:hyperlink>
      <w:r>
        <w:rPr>
          <w:rStyle w:val="optioncarChar"/>
        </w:rPr>
        <w:t> </w:t>
      </w:r>
      <w:r>
        <w:t>(par défaut) </w:t>
      </w:r>
      <w:r>
        <w:rPr>
          <w:rStyle w:val="optioncarChar"/>
        </w:rPr>
        <w:t>/ ***</w:t>
      </w:r>
    </w:p>
    <w:p w14:paraId="7BEE7745" w14:textId="77777777" w:rsidR="00DB2B68" w:rsidRDefault="00000000">
      <w:pPr>
        <w:pStyle w:val="pheading"/>
      </w:pPr>
      <w:r>
        <w:t>MESURAGE</w:t>
      </w:r>
    </w:p>
    <w:p w14:paraId="0662847C" w14:textId="77777777" w:rsidR="00DB2B68" w:rsidRDefault="00000000">
      <w:pPr>
        <w:pStyle w:val="pheading"/>
      </w:pPr>
      <w:r>
        <w:t>- unité de mesure:</w:t>
      </w:r>
    </w:p>
    <w:p w14:paraId="0C814A9D" w14:textId="77777777" w:rsidR="00DB2B68" w:rsidRDefault="00000000">
      <w:r>
        <w:rPr>
          <w:rStyle w:val="optioncarChar"/>
        </w:rPr>
        <w:t>m </w:t>
      </w:r>
      <w:r>
        <w:rPr>
          <w:rStyle w:val="optioncarChar"/>
          <w:color w:val="000000"/>
        </w:rPr>
        <w:t>(par défaut)</w:t>
      </w:r>
      <w:r>
        <w:rPr>
          <w:rStyle w:val="optioncarChar"/>
        </w:rPr>
        <w:t> / pc / m²</w:t>
      </w:r>
    </w:p>
    <w:p w14:paraId="57181A0A" w14:textId="77777777" w:rsidR="00DB2B68" w:rsidRDefault="00000000">
      <w:pPr>
        <w:spacing w:after="0" w:line="0" w:lineRule="atLeast"/>
      </w:pPr>
      <w:r>
        <w:rPr>
          <w:b/>
          <w:color w:val="000000"/>
        </w:rPr>
        <w:t>(soit par défaut)</w:t>
      </w:r>
    </w:p>
    <w:p w14:paraId="52ABC387" w14:textId="77777777" w:rsidR="00DB2B68" w:rsidRDefault="00000000">
      <w:pPr>
        <w:spacing w:after="0" w:line="0" w:lineRule="atLeast"/>
      </w:pPr>
      <w:r>
        <w:rPr>
          <w:rStyle w:val="soitChar"/>
        </w:rPr>
        <w:t>1. m</w:t>
      </w:r>
    </w:p>
    <w:p w14:paraId="22790057" w14:textId="77777777" w:rsidR="00DB2B68" w:rsidRDefault="00000000">
      <w:pPr>
        <w:spacing w:after="0" w:line="0" w:lineRule="atLeast"/>
      </w:pPr>
      <w:r>
        <w:rPr>
          <w:b/>
          <w:color w:val="000000"/>
        </w:rPr>
        <w:t>(soit)</w:t>
      </w:r>
    </w:p>
    <w:p w14:paraId="170ECB78" w14:textId="77777777" w:rsidR="00DB2B68" w:rsidRDefault="00000000">
      <w:pPr>
        <w:spacing w:after="0" w:line="0" w:lineRule="atLeast"/>
      </w:pPr>
      <w:r>
        <w:rPr>
          <w:rStyle w:val="soitChar"/>
        </w:rPr>
        <w:t>2. pc</w:t>
      </w:r>
    </w:p>
    <w:p w14:paraId="2DA08779" w14:textId="77777777" w:rsidR="00DB2B68" w:rsidRDefault="00000000">
      <w:pPr>
        <w:spacing w:after="0" w:line="0" w:lineRule="atLeast"/>
      </w:pPr>
      <w:r>
        <w:rPr>
          <w:b/>
          <w:color w:val="000000"/>
        </w:rPr>
        <w:t>(soit)</w:t>
      </w:r>
    </w:p>
    <w:p w14:paraId="0279EE60" w14:textId="77777777" w:rsidR="00DB2B68" w:rsidRDefault="00000000">
      <w:pPr>
        <w:spacing w:after="0" w:line="0" w:lineRule="atLeast"/>
      </w:pPr>
      <w:r>
        <w:rPr>
          <w:rStyle w:val="soitChar"/>
        </w:rPr>
        <w:t>3. m²</w:t>
      </w:r>
    </w:p>
    <w:p w14:paraId="1ABA7BF2" w14:textId="77777777" w:rsidR="00DB2B68" w:rsidRDefault="00000000">
      <w:pPr>
        <w:pStyle w:val="pheading"/>
      </w:pPr>
      <w:r>
        <w:t>- code de mesurage:</w:t>
      </w:r>
    </w:p>
    <w:p w14:paraId="7F31A6B0" w14:textId="77777777" w:rsidR="00DB2B68" w:rsidRDefault="00000000">
      <w:pPr>
        <w:pStyle w:val="optioncar"/>
      </w:pPr>
      <w:r>
        <w:rPr>
          <w:rStyle w:val="optioncarChar"/>
        </w:rPr>
        <w:t>Longueur nette </w:t>
      </w:r>
      <w:r>
        <w:t>(par défaut) / </w:t>
      </w:r>
      <w:r>
        <w:rPr>
          <w:rStyle w:val="optioncarChar"/>
        </w:rPr>
        <w:t>à la pièce / au volume</w:t>
      </w:r>
    </w:p>
    <w:p w14:paraId="2ED4B27D" w14:textId="77777777" w:rsidR="00DB2B68" w:rsidRDefault="00000000">
      <w:pPr>
        <w:jc w:val="both"/>
      </w:pPr>
      <w:r>
        <w:rPr>
          <w:b/>
        </w:rPr>
        <w:t>(soit par défaut)</w:t>
      </w:r>
    </w:p>
    <w:p w14:paraId="30D02553" w14:textId="77777777" w:rsidR="00DB2B68" w:rsidRDefault="00000000">
      <w:pPr>
        <w:jc w:val="both"/>
      </w:pPr>
      <w:r>
        <w:rPr>
          <w:rStyle w:val="soitChar"/>
          <w:u w:val="single"/>
        </w:rPr>
        <w:t>1. Longueur nette</w:t>
      </w:r>
      <w:r>
        <w:rPr>
          <w:rStyle w:val="soitChar"/>
        </w:rPr>
        <w:t>  : longueur du seuil entre les jours de la baie, </w:t>
      </w:r>
      <w:r>
        <w:rPr>
          <w:rStyle w:val="soitChar"/>
          <w:shd w:val="clear" w:color="auto" w:fill="FFFFFF"/>
        </w:rPr>
        <w:t>de dimensions et d'épaisseur identiques</w:t>
      </w:r>
    </w:p>
    <w:p w14:paraId="3C34B8AB" w14:textId="77777777" w:rsidR="00DB2B68" w:rsidRDefault="00000000">
      <w:pPr>
        <w:jc w:val="both"/>
      </w:pPr>
      <w:r>
        <w:rPr>
          <w:b/>
        </w:rPr>
        <w:t>(soit)</w:t>
      </w:r>
    </w:p>
    <w:p w14:paraId="4D9D57F4" w14:textId="77777777" w:rsidR="00DB2B68" w:rsidRDefault="00000000">
      <w:pPr>
        <w:jc w:val="both"/>
      </w:pPr>
      <w:r>
        <w:rPr>
          <w:rStyle w:val="soitChar"/>
        </w:rPr>
        <w:t>2. </w:t>
      </w:r>
      <w:r>
        <w:rPr>
          <w:rStyle w:val="soitChar"/>
          <w:u w:val="single"/>
        </w:rPr>
        <w:t>A la pièce : </w:t>
      </w:r>
      <w:r>
        <w:rPr>
          <w:rStyle w:val="soitChar"/>
        </w:rPr>
        <w:t>de dimension identiques</w:t>
      </w:r>
    </w:p>
    <w:p w14:paraId="284411B2" w14:textId="77777777" w:rsidR="00DB2B68" w:rsidRDefault="00000000">
      <w:pPr>
        <w:jc w:val="both"/>
      </w:pPr>
      <w:r>
        <w:rPr>
          <w:b/>
        </w:rPr>
        <w:t>(soit)</w:t>
      </w:r>
    </w:p>
    <w:p w14:paraId="56679C46" w14:textId="77777777" w:rsidR="00DB2B68" w:rsidRDefault="00000000">
      <w:pPr>
        <w:jc w:val="both"/>
      </w:pPr>
      <w:r>
        <w:rPr>
          <w:rStyle w:val="soitChar"/>
        </w:rPr>
        <w:t>3. </w:t>
      </w:r>
      <w:r>
        <w:rPr>
          <w:rStyle w:val="soitChar"/>
          <w:u w:val="single"/>
        </w:rPr>
        <w:t>A la surface</w:t>
      </w:r>
      <w:r>
        <w:rPr>
          <w:rStyle w:val="soitChar"/>
        </w:rPr>
        <w:t>  : surface nette de parement.</w:t>
      </w:r>
    </w:p>
    <w:p w14:paraId="5FE315A0" w14:textId="77777777" w:rsidR="00DB2B68" w:rsidRDefault="00000000">
      <w:pPr>
        <w:pStyle w:val="pheading"/>
      </w:pPr>
      <w:r>
        <w:t>- nature du marché:</w:t>
      </w:r>
    </w:p>
    <w:p w14:paraId="25C1800E" w14:textId="77777777" w:rsidR="00DB2B68" w:rsidRDefault="00000000">
      <w:r>
        <w:t>QF</w:t>
      </w:r>
    </w:p>
    <w:p w14:paraId="0B5A6644" w14:textId="77777777" w:rsidR="00DB2B68" w:rsidRDefault="00000000">
      <w:pPr>
        <w:pStyle w:val="Author-eSectionHeading6Numberless"/>
      </w:pPr>
      <w:bookmarkStart w:id="314" w:name="_Toc220495434"/>
      <w:r>
        <w:t>21.36.2g Plinthes en fibres-ciment CCTB 01.11</w:t>
      </w:r>
      <w:bookmarkEnd w:id="314"/>
    </w:p>
    <w:p w14:paraId="2611F5A1" w14:textId="77777777" w:rsidR="00DB2B68" w:rsidRDefault="00000000">
      <w:pPr>
        <w:pStyle w:val="pheading"/>
      </w:pPr>
      <w:r>
        <w:t>MESURAGE</w:t>
      </w:r>
    </w:p>
    <w:p w14:paraId="1A08DA70" w14:textId="77777777" w:rsidR="00DB2B68" w:rsidRDefault="00000000">
      <w:pPr>
        <w:pStyle w:val="pheading"/>
      </w:pPr>
      <w:r>
        <w:t>- unité de mesure:</w:t>
      </w:r>
    </w:p>
    <w:p w14:paraId="60B0AFF6" w14:textId="77777777" w:rsidR="00DB2B68" w:rsidRDefault="00000000">
      <w:r>
        <w:rPr>
          <w:rStyle w:val="optioncarChar"/>
        </w:rPr>
        <w:t>m </w:t>
      </w:r>
      <w:r>
        <w:rPr>
          <w:rStyle w:val="optioncarChar"/>
          <w:color w:val="000000"/>
        </w:rPr>
        <w:t>(par défaut)</w:t>
      </w:r>
      <w:r>
        <w:rPr>
          <w:rStyle w:val="optioncarChar"/>
        </w:rPr>
        <w:t> / pc / m²</w:t>
      </w:r>
    </w:p>
    <w:p w14:paraId="755B4FD3" w14:textId="77777777" w:rsidR="00DB2B68" w:rsidRDefault="00000000">
      <w:pPr>
        <w:spacing w:after="0" w:line="0" w:lineRule="atLeast"/>
      </w:pPr>
      <w:r>
        <w:rPr>
          <w:b/>
          <w:color w:val="000000"/>
        </w:rPr>
        <w:t>(soit)</w:t>
      </w:r>
    </w:p>
    <w:p w14:paraId="4B123B3A" w14:textId="77777777" w:rsidR="00DB2B68" w:rsidRDefault="00000000">
      <w:pPr>
        <w:spacing w:after="0" w:line="0" w:lineRule="atLeast"/>
      </w:pPr>
      <w:r>
        <w:rPr>
          <w:rStyle w:val="soitChar"/>
        </w:rPr>
        <w:lastRenderedPageBreak/>
        <w:t>1. m</w:t>
      </w:r>
    </w:p>
    <w:p w14:paraId="1576F75D" w14:textId="77777777" w:rsidR="00DB2B68" w:rsidRDefault="00000000">
      <w:pPr>
        <w:spacing w:after="0" w:line="0" w:lineRule="atLeast"/>
      </w:pPr>
      <w:r>
        <w:rPr>
          <w:b/>
          <w:color w:val="000000"/>
        </w:rPr>
        <w:t>(soit Par défaut)</w:t>
      </w:r>
    </w:p>
    <w:p w14:paraId="0FFC75B7" w14:textId="77777777" w:rsidR="00DB2B68" w:rsidRDefault="00000000">
      <w:pPr>
        <w:spacing w:after="0" w:line="0" w:lineRule="atLeast"/>
      </w:pPr>
      <w:r>
        <w:rPr>
          <w:rStyle w:val="soitChar"/>
        </w:rPr>
        <w:t>2. pc</w:t>
      </w:r>
    </w:p>
    <w:p w14:paraId="633CB988" w14:textId="77777777" w:rsidR="00DB2B68" w:rsidRDefault="00000000">
      <w:pPr>
        <w:spacing w:after="0" w:line="0" w:lineRule="atLeast"/>
      </w:pPr>
      <w:r>
        <w:rPr>
          <w:b/>
          <w:color w:val="000000"/>
        </w:rPr>
        <w:t>(soit)</w:t>
      </w:r>
    </w:p>
    <w:p w14:paraId="2BA67E42" w14:textId="77777777" w:rsidR="00DB2B68" w:rsidRDefault="00000000">
      <w:pPr>
        <w:spacing w:after="0" w:line="0" w:lineRule="atLeast"/>
      </w:pPr>
      <w:r>
        <w:rPr>
          <w:rStyle w:val="soitChar"/>
        </w:rPr>
        <w:t>3. m²</w:t>
      </w:r>
    </w:p>
    <w:p w14:paraId="2D467A60" w14:textId="77777777" w:rsidR="00DB2B68" w:rsidRDefault="00000000">
      <w:pPr>
        <w:pStyle w:val="pheading"/>
      </w:pPr>
      <w:r>
        <w:t>- code de mesurage:</w:t>
      </w:r>
    </w:p>
    <w:p w14:paraId="03D18AE6" w14:textId="77777777" w:rsidR="00DB2B68" w:rsidRDefault="00000000">
      <w:r>
        <w:rPr>
          <w:rStyle w:val="normalChar"/>
          <w:color w:val="000000"/>
        </w:rPr>
        <w:t xml:space="preserve">(m) </w:t>
      </w:r>
      <w:r>
        <w:rPr>
          <w:rStyle w:val="optioncarChar"/>
        </w:rPr>
        <w:t>mesurage de la longueur du seuil entre les jours de la baie</w:t>
      </w:r>
      <w:r>
        <w:t xml:space="preserve"> / </w:t>
      </w:r>
      <w:r>
        <w:rPr>
          <w:rStyle w:val="normalChar"/>
          <w:color w:val="000000"/>
        </w:rPr>
        <w:t>(pce)</w:t>
      </w:r>
      <w:r>
        <w:t> </w:t>
      </w:r>
      <w:r>
        <w:rPr>
          <w:rStyle w:val="optioncarChar"/>
        </w:rPr>
        <w:t>de dimensions et d'épaisseur identiques</w:t>
      </w:r>
      <w:r>
        <w:t xml:space="preserve"> / </w:t>
      </w:r>
      <w:r>
        <w:rPr>
          <w:rStyle w:val="normalChar"/>
          <w:color w:val="000000"/>
        </w:rPr>
        <w:t>(m²)</w:t>
      </w:r>
    </w:p>
    <w:p w14:paraId="18CA3AC0" w14:textId="77777777" w:rsidR="00DB2B68" w:rsidRDefault="00000000">
      <w:r>
        <w:rPr>
          <w:rStyle w:val="optioncarChar"/>
        </w:rPr>
        <w:t>Longueur nette / à la pièce </w:t>
      </w:r>
      <w:r>
        <w:t>(par défaut)</w:t>
      </w:r>
      <w:r>
        <w:rPr>
          <w:rStyle w:val="optioncarChar"/>
        </w:rPr>
        <w:t xml:space="preserve"> / au volume</w:t>
      </w:r>
    </w:p>
    <w:p w14:paraId="213C9D23" w14:textId="77777777" w:rsidR="00DB2B68" w:rsidRDefault="00000000">
      <w:pPr>
        <w:jc w:val="both"/>
      </w:pPr>
      <w:r>
        <w:rPr>
          <w:b/>
        </w:rPr>
        <w:t>(soit)</w:t>
      </w:r>
    </w:p>
    <w:p w14:paraId="2D6502D6" w14:textId="77777777" w:rsidR="00DB2B68" w:rsidRDefault="00000000">
      <w:pPr>
        <w:jc w:val="both"/>
      </w:pPr>
      <w:r>
        <w:rPr>
          <w:rStyle w:val="soitChar"/>
          <w:u w:val="single"/>
        </w:rPr>
        <w:t>1. Longueur nette</w:t>
      </w:r>
      <w:r>
        <w:rPr>
          <w:rStyle w:val="soitChar"/>
        </w:rPr>
        <w:t>  : longueur du seuil entre les jours de la baie, </w:t>
      </w:r>
      <w:r>
        <w:rPr>
          <w:rStyle w:val="soitChar"/>
          <w:shd w:val="clear" w:color="auto" w:fill="FFFFFF"/>
        </w:rPr>
        <w:t>de dimensions et d'épaisseur identiques</w:t>
      </w:r>
    </w:p>
    <w:p w14:paraId="172A8B49" w14:textId="77777777" w:rsidR="00DB2B68" w:rsidRDefault="00000000">
      <w:pPr>
        <w:jc w:val="both"/>
      </w:pPr>
      <w:r>
        <w:rPr>
          <w:b/>
        </w:rPr>
        <w:t>(soit par défaut)</w:t>
      </w:r>
    </w:p>
    <w:p w14:paraId="562E2431" w14:textId="77777777" w:rsidR="00DB2B68" w:rsidRDefault="00000000">
      <w:pPr>
        <w:jc w:val="both"/>
      </w:pPr>
      <w:r>
        <w:rPr>
          <w:rStyle w:val="soitChar"/>
        </w:rPr>
        <w:t>2. </w:t>
      </w:r>
      <w:r>
        <w:rPr>
          <w:rStyle w:val="soitChar"/>
          <w:u w:val="single"/>
        </w:rPr>
        <w:t>A la pièce : </w:t>
      </w:r>
      <w:r>
        <w:rPr>
          <w:rStyle w:val="soitChar"/>
        </w:rPr>
        <w:t>de dimension et d'épaisseur identiques</w:t>
      </w:r>
    </w:p>
    <w:p w14:paraId="432F603D" w14:textId="77777777" w:rsidR="00DB2B68" w:rsidRDefault="00000000">
      <w:pPr>
        <w:jc w:val="both"/>
      </w:pPr>
      <w:r>
        <w:rPr>
          <w:b/>
        </w:rPr>
        <w:t>(soit)</w:t>
      </w:r>
    </w:p>
    <w:p w14:paraId="0B8BE858" w14:textId="77777777" w:rsidR="00DB2B68" w:rsidRDefault="00000000">
      <w:pPr>
        <w:jc w:val="both"/>
      </w:pPr>
      <w:r>
        <w:rPr>
          <w:rStyle w:val="soitChar"/>
        </w:rPr>
        <w:t>3. </w:t>
      </w:r>
      <w:r>
        <w:rPr>
          <w:rStyle w:val="soitChar"/>
          <w:u w:val="single"/>
        </w:rPr>
        <w:t>A la surface</w:t>
      </w:r>
      <w:r>
        <w:rPr>
          <w:rStyle w:val="soitChar"/>
        </w:rPr>
        <w:t>  : surface nette de parement.</w:t>
      </w:r>
    </w:p>
    <w:p w14:paraId="115D25D4" w14:textId="77777777" w:rsidR="00DB2B68" w:rsidRDefault="00000000">
      <w:pPr>
        <w:pStyle w:val="pheading"/>
      </w:pPr>
      <w:r>
        <w:t>- nature du marché:</w:t>
      </w:r>
    </w:p>
    <w:p w14:paraId="3D80EFC9" w14:textId="77777777" w:rsidR="00DB2B68" w:rsidRDefault="00000000">
      <w:r>
        <w:rPr>
          <w:rStyle w:val="optioncarChar"/>
        </w:rPr>
        <w:t>QF</w:t>
      </w:r>
      <w:r>
        <w:t xml:space="preserve"> (par défaut)</w:t>
      </w:r>
      <w:r>
        <w:rPr>
          <w:rStyle w:val="optioncarChar"/>
        </w:rPr>
        <w:t xml:space="preserve"> / QP</w:t>
      </w:r>
    </w:p>
    <w:p w14:paraId="167BCD96" w14:textId="77777777" w:rsidR="00DB2B68" w:rsidRDefault="00000000">
      <w:pPr>
        <w:pStyle w:val="Author-eSectionHeading5Numberless"/>
      </w:pPr>
      <w:bookmarkStart w:id="315" w:name="_Toc220495435"/>
      <w:r>
        <w:t>21.36.3 Linteaux CCTB 01.10</w:t>
      </w:r>
      <w:bookmarkEnd w:id="315"/>
    </w:p>
    <w:p w14:paraId="268AA59F" w14:textId="77777777" w:rsidR="00DB2B68" w:rsidRDefault="00000000">
      <w:pPr>
        <w:pStyle w:val="Author-eSectionHeading6Numberless"/>
      </w:pPr>
      <w:bookmarkStart w:id="316" w:name="402"/>
      <w:bookmarkStart w:id="317" w:name="_Toc220495436"/>
      <w:bookmarkEnd w:id="316"/>
      <w:r>
        <w:t>21.36.3a Linteaux en pierre CCTB 01.10</w:t>
      </w:r>
      <w:bookmarkEnd w:id="317"/>
    </w:p>
    <w:p w14:paraId="30008C18" w14:textId="77777777" w:rsidR="00DB2B68" w:rsidRDefault="00000000">
      <w:pPr>
        <w:pStyle w:val="Author-eSectionHeading6Numberless"/>
      </w:pPr>
      <w:bookmarkStart w:id="318" w:name="_Toc220495437"/>
      <w:r>
        <w:t>21.36.3b Linteaux en pierre reconstituée CCTB 01.10</w:t>
      </w:r>
      <w:bookmarkEnd w:id="318"/>
    </w:p>
    <w:p w14:paraId="200B4B90" w14:textId="77777777" w:rsidR="00DB2B68" w:rsidRDefault="00000000">
      <w:pPr>
        <w:pStyle w:val="Author-eSectionHeading6Numberless"/>
      </w:pPr>
      <w:bookmarkStart w:id="319" w:name="_Toc220495438"/>
      <w:r>
        <w:t>21.36.3c Linteaux préfabriqués en béton décoratif / architectonique CCTB 01.10</w:t>
      </w:r>
      <w:bookmarkEnd w:id="319"/>
    </w:p>
    <w:p w14:paraId="6C5E9ACB" w14:textId="77777777" w:rsidR="00DB2B68" w:rsidRDefault="00000000">
      <w:pPr>
        <w:pStyle w:val="Author-eSectionHeading5Numberless"/>
      </w:pPr>
      <w:bookmarkStart w:id="320" w:name="_Toc220495439"/>
      <w:r>
        <w:t>21.36.4 Eléments d'encadrement CCTB 01.02</w:t>
      </w:r>
      <w:bookmarkEnd w:id="320"/>
    </w:p>
    <w:p w14:paraId="04654287" w14:textId="77777777" w:rsidR="00DB2B68" w:rsidRDefault="00000000">
      <w:pPr>
        <w:pStyle w:val="Author-eSectionHeading6Numberless"/>
      </w:pPr>
      <w:bookmarkStart w:id="321" w:name="_Toc220495440"/>
      <w:r>
        <w:t>21.36.4a Eléments d'encadrement en pierre CCTB 01.11</w:t>
      </w:r>
      <w:bookmarkEnd w:id="321"/>
    </w:p>
    <w:p w14:paraId="3BB5F45C" w14:textId="77777777" w:rsidR="00DB2B68" w:rsidRDefault="00000000">
      <w:pPr>
        <w:pStyle w:val="pheading"/>
      </w:pPr>
      <w:r>
        <w:t>MATÉRIAUX</w:t>
      </w:r>
    </w:p>
    <w:p w14:paraId="4E6C338E" w14:textId="77777777" w:rsidR="00DB2B68" w:rsidRDefault="00000000">
      <w:pPr>
        <w:pStyle w:val="pheading"/>
      </w:pPr>
      <w:r>
        <w:t>- Caractéristiques générales</w:t>
      </w:r>
    </w:p>
    <w:p w14:paraId="2802A907" w14:textId="77777777" w:rsidR="00DB2B68" w:rsidRDefault="00000000">
      <w:r>
        <w:rPr>
          <w:b/>
          <w:u w:val="single"/>
        </w:rPr>
        <w:t>Spécifications</w:t>
      </w:r>
    </w:p>
    <w:p w14:paraId="091B2E3D" w14:textId="77777777" w:rsidR="00DB2B68" w:rsidRDefault="00000000">
      <w:r>
        <w:t>La pierre appartient à la catégorie </w:t>
      </w:r>
      <w:r>
        <w:rPr>
          <w:rStyle w:val="optioncarChar"/>
        </w:rPr>
        <w:t>'bâtiment exceptionnel' / 'bâtiment courant' </w:t>
      </w:r>
      <w:r>
        <w:t>(par défaut)</w:t>
      </w:r>
      <w:r>
        <w:rPr>
          <w:rStyle w:val="optioncarChar"/>
        </w:rPr>
        <w:t xml:space="preserve">  / 'technique' / ***</w:t>
      </w:r>
      <w:r>
        <w:t xml:space="preserve"> (selon le tableau [NIT 220])</w:t>
      </w:r>
    </w:p>
    <w:p w14:paraId="72C99294" w14:textId="77777777" w:rsidR="00DB2B68" w:rsidRDefault="00000000">
      <w:r>
        <w:t xml:space="preserve">Faces vues : </w:t>
      </w:r>
      <w:r>
        <w:rPr>
          <w:rStyle w:val="optioncarChar"/>
        </w:rPr>
        <w:t xml:space="preserve">meulé gris </w:t>
      </w:r>
      <w:r>
        <w:t>(par défaut) </w:t>
      </w:r>
      <w:r>
        <w:rPr>
          <w:rStyle w:val="optioncarChar"/>
        </w:rPr>
        <w:t>/ adouci bleu / ciselé (à raison de 10 / 12 / 15 </w:t>
      </w:r>
      <w:r>
        <w:t>(par défaut)</w:t>
      </w:r>
      <w:r>
        <w:rPr>
          <w:rStyle w:val="optioncarChar"/>
        </w:rPr>
        <w:t xml:space="preserve"> / *** coups par dm) / ***</w:t>
      </w:r>
    </w:p>
    <w:p w14:paraId="3A092F5A" w14:textId="77777777" w:rsidR="00DB2B68" w:rsidRDefault="00000000">
      <w:r>
        <w:t xml:space="preserve">Dimensions : les éléments </w:t>
      </w:r>
      <w:r>
        <w:rPr>
          <w:rStyle w:val="optioncarChar"/>
        </w:rPr>
        <w:t xml:space="preserve">présentent une section rectangulaire de *** </w:t>
      </w:r>
      <w:r>
        <w:t>(par défaut) </w:t>
      </w:r>
      <w:r>
        <w:rPr>
          <w:rStyle w:val="optioncarChar"/>
        </w:rPr>
        <w:t>/ sont en deux pièces de *** cm d'épaisseur placées perpendiculairement / sont profilés selon les dessins détaillés annexés / ***</w:t>
      </w:r>
    </w:p>
    <w:p w14:paraId="0D6A65A4" w14:textId="77777777" w:rsidR="00DB2B68" w:rsidRDefault="00000000">
      <w:pPr>
        <w:pStyle w:val="pheading"/>
      </w:pPr>
      <w:r>
        <w:t>EXÉCUTION / MISE EN ŒUVRE</w:t>
      </w:r>
    </w:p>
    <w:p w14:paraId="45CA052B" w14:textId="77777777" w:rsidR="00DB2B68" w:rsidRDefault="00000000">
      <w:pPr>
        <w:pStyle w:val="pheading"/>
      </w:pPr>
      <w:r>
        <w:t>- Prescriptions générales</w:t>
      </w:r>
    </w:p>
    <w:p w14:paraId="72350C1F" w14:textId="77777777" w:rsidR="00DB2B68" w:rsidRDefault="00000000">
      <w:r>
        <w:t xml:space="preserve">Les éléments d'encadrement sont posés d'aplomb, d'équerre et bien plans selon le plan d'appareillage et/ou en concertation avec l'auteur de projet. Ils sont soigneusement intégrés dans la maçonnerie de parement prévue et placés </w:t>
      </w:r>
      <w:r>
        <w:rPr>
          <w:rStyle w:val="optioncarChar"/>
        </w:rPr>
        <w:t xml:space="preserve">à plein bain de mortier </w:t>
      </w:r>
      <w:r>
        <w:t>(par défaut) </w:t>
      </w:r>
      <w:r>
        <w:rPr>
          <w:rStyle w:val="optioncarChar"/>
        </w:rPr>
        <w:t>/ ***</w:t>
      </w:r>
    </w:p>
    <w:p w14:paraId="781F08BB" w14:textId="77777777" w:rsidR="00DB2B68" w:rsidRDefault="00000000">
      <w:pPr>
        <w:pStyle w:val="pheading"/>
      </w:pPr>
      <w:r>
        <w:t>- Notes d’exécution complémentaires</w:t>
      </w:r>
    </w:p>
    <w:p w14:paraId="599ED75B" w14:textId="77777777" w:rsidR="00DB2B68" w:rsidRDefault="00000000">
      <w:r>
        <w:lastRenderedPageBreak/>
        <w:t xml:space="preserve">Les éléments d'encadrement sont reliés à la structure attenante au moyen d’agrafes </w:t>
      </w:r>
      <w:r>
        <w:rPr>
          <w:rStyle w:val="optioncarChar"/>
        </w:rPr>
        <w:t>en acier inoxydable </w:t>
      </w:r>
      <w:r>
        <w:t>(par défaut)</w:t>
      </w:r>
      <w:r>
        <w:rPr>
          <w:rStyle w:val="optioncarChar"/>
        </w:rPr>
        <w:t xml:space="preserve"> / bronze / ***</w:t>
      </w:r>
      <w:r>
        <w:t>, pourvues d’un ergot fixé dans une rainure qui est sciée au disque dans le chant. La queue d’ancrage porte jusqu’au milieu de la structure attenante. Une fixation est prévue dans le chant de chaque élément massif.</w:t>
      </w:r>
    </w:p>
    <w:p w14:paraId="3DB8ADC7" w14:textId="77777777" w:rsidR="00DB2B68" w:rsidRDefault="00000000">
      <w:pPr>
        <w:pStyle w:val="pheading"/>
      </w:pPr>
      <w:r>
        <w:t>MESURAGE</w:t>
      </w:r>
    </w:p>
    <w:p w14:paraId="70EF7E76" w14:textId="77777777" w:rsidR="00DB2B68" w:rsidRDefault="00000000">
      <w:pPr>
        <w:pStyle w:val="pheading"/>
      </w:pPr>
      <w:r>
        <w:t>- unité de mesure:</w:t>
      </w:r>
    </w:p>
    <w:p w14:paraId="2ED36689" w14:textId="77777777" w:rsidR="00DB2B68" w:rsidRDefault="00000000">
      <w:r>
        <w:rPr>
          <w:rStyle w:val="optioncarChar"/>
        </w:rPr>
        <w:t>m³</w:t>
      </w:r>
      <w:r>
        <w:t xml:space="preserve"> (par défaut) </w:t>
      </w:r>
      <w:r>
        <w:rPr>
          <w:rStyle w:val="optioncarChar"/>
        </w:rPr>
        <w:t>/ m²</w:t>
      </w:r>
    </w:p>
    <w:p w14:paraId="7F115E5F" w14:textId="77777777" w:rsidR="00DB2B68" w:rsidRDefault="00000000">
      <w:r>
        <w:rPr>
          <w:b/>
        </w:rPr>
        <w:t>(soit par défaut)</w:t>
      </w:r>
    </w:p>
    <w:p w14:paraId="585E6316" w14:textId="77777777" w:rsidR="00DB2B68" w:rsidRDefault="00000000">
      <w:pPr>
        <w:spacing w:after="0" w:line="0" w:lineRule="atLeast"/>
      </w:pPr>
      <w:r>
        <w:rPr>
          <w:rStyle w:val="soitChar"/>
        </w:rPr>
        <w:t>1. m³</w:t>
      </w:r>
    </w:p>
    <w:p w14:paraId="380C3782" w14:textId="77777777" w:rsidR="00DB2B68" w:rsidRDefault="00000000">
      <w:pPr>
        <w:spacing w:after="0" w:line="0" w:lineRule="atLeast"/>
      </w:pPr>
      <w:r>
        <w:rPr>
          <w:b/>
          <w:color w:val="000000"/>
        </w:rPr>
        <w:t>(soit)</w:t>
      </w:r>
    </w:p>
    <w:p w14:paraId="47BA3B03" w14:textId="77777777" w:rsidR="00DB2B68" w:rsidRDefault="00000000">
      <w:pPr>
        <w:spacing w:after="0" w:line="0" w:lineRule="atLeast"/>
      </w:pPr>
      <w:r>
        <w:rPr>
          <w:rStyle w:val="soitChar"/>
        </w:rPr>
        <w:t>2. m²</w:t>
      </w:r>
    </w:p>
    <w:p w14:paraId="4E76B230" w14:textId="77777777" w:rsidR="00DB2B68" w:rsidRDefault="00000000">
      <w:pPr>
        <w:pStyle w:val="pheading"/>
      </w:pPr>
      <w:r>
        <w:t>- code de mesurage:</w:t>
      </w:r>
    </w:p>
    <w:p w14:paraId="3A9EBBF2" w14:textId="77777777" w:rsidR="00DB2B68" w:rsidRDefault="00000000">
      <w:r>
        <w:rPr>
          <w:rStyle w:val="optioncarChar"/>
        </w:rPr>
        <w:t xml:space="preserve">Volume net </w:t>
      </w:r>
      <w:r>
        <w:t>(par défaut)</w:t>
      </w:r>
      <w:r>
        <w:rPr>
          <w:rStyle w:val="optioncarChar"/>
        </w:rPr>
        <w:t xml:space="preserve"> / surface nette</w:t>
      </w:r>
    </w:p>
    <w:p w14:paraId="769D0AF4" w14:textId="77777777" w:rsidR="00DB2B68" w:rsidRDefault="00000000">
      <w:pPr>
        <w:spacing w:after="0" w:line="252" w:lineRule="auto"/>
      </w:pPr>
      <w:r>
        <w:rPr>
          <w:b/>
          <w:color w:val="000000"/>
        </w:rPr>
        <w:t>(soit par défaut)</w:t>
      </w:r>
    </w:p>
    <w:p w14:paraId="01BA1CE5" w14:textId="77777777" w:rsidR="00DB2B68" w:rsidRDefault="00000000">
      <w:pPr>
        <w:spacing w:line="252" w:lineRule="auto"/>
      </w:pPr>
      <w:r>
        <w:rPr>
          <w:rStyle w:val="soitChar"/>
          <w:u w:val="single"/>
        </w:rPr>
        <w:t>Volume net </w:t>
      </w:r>
      <w:r>
        <w:rPr>
          <w:rStyle w:val="soitChar"/>
        </w:rPr>
        <w:t>de l'élément ; prendre le volume du plus petit parallélépipède rectangle qui circonscrit la pierre; le volume réel, quelle qu'en soit la dimension; les pierres de dimensions inférieures à 10 dm3 seront comptées à la pièce. Aucun volume n'est compté deux fois.</w:t>
      </w:r>
    </w:p>
    <w:p w14:paraId="5BF3202E" w14:textId="77777777" w:rsidR="00DB2B68" w:rsidRDefault="00000000">
      <w:r>
        <w:rPr>
          <w:b/>
        </w:rPr>
        <w:t>(soit)</w:t>
      </w:r>
    </w:p>
    <w:p w14:paraId="19267E40" w14:textId="77777777" w:rsidR="00DB2B68" w:rsidRDefault="00000000">
      <w:r>
        <w:rPr>
          <w:rStyle w:val="soitChar"/>
          <w:u w:val="single"/>
        </w:rPr>
        <w:t>Surface nette </w:t>
      </w:r>
      <w:r>
        <w:rPr>
          <w:rStyle w:val="soitChar"/>
        </w:rPr>
        <w:t> du parement ; la surface apparente nette à exécuter. Distinction faite suivant l'épaisseur.</w:t>
      </w:r>
    </w:p>
    <w:p w14:paraId="74C61931" w14:textId="77777777" w:rsidR="00DB2B68" w:rsidRDefault="00000000">
      <w:pPr>
        <w:pStyle w:val="pheading"/>
      </w:pPr>
      <w:r>
        <w:t>- nature du marché:</w:t>
      </w:r>
    </w:p>
    <w:p w14:paraId="6EC152A0" w14:textId="77777777" w:rsidR="00DB2B68" w:rsidRDefault="00000000">
      <w:r>
        <w:t>QF</w:t>
      </w:r>
    </w:p>
    <w:p w14:paraId="098BBEA3" w14:textId="77777777" w:rsidR="00DB2B68" w:rsidRDefault="00000000">
      <w:pPr>
        <w:pStyle w:val="Author-eSectionHeading6Numberless"/>
      </w:pPr>
      <w:bookmarkStart w:id="322" w:name="_Toc220495441"/>
      <w:r>
        <w:t>21.36.4b Eléments d'encadrement préfabriqués en béton CCTB 01.11</w:t>
      </w:r>
      <w:bookmarkEnd w:id="322"/>
    </w:p>
    <w:p w14:paraId="511D2617" w14:textId="77777777" w:rsidR="00DB2B68" w:rsidRDefault="00000000">
      <w:pPr>
        <w:pStyle w:val="pheading"/>
      </w:pPr>
      <w:r>
        <w:t>MESURAGE</w:t>
      </w:r>
    </w:p>
    <w:p w14:paraId="664B2701" w14:textId="77777777" w:rsidR="00DB2B68" w:rsidRDefault="00000000">
      <w:pPr>
        <w:pStyle w:val="pheading"/>
      </w:pPr>
      <w:r>
        <w:t>- unité de mesure:</w:t>
      </w:r>
    </w:p>
    <w:p w14:paraId="6C244BB8" w14:textId="77777777" w:rsidR="00DB2B68" w:rsidRDefault="00000000">
      <w:r>
        <w:rPr>
          <w:rStyle w:val="optioncarChar"/>
        </w:rPr>
        <w:t>m</w:t>
      </w:r>
      <w:r>
        <w:t>  (par défaut) </w:t>
      </w:r>
      <w:r>
        <w:rPr>
          <w:rStyle w:val="optioncarChar"/>
        </w:rPr>
        <w:t>/ m² / pc</w:t>
      </w:r>
    </w:p>
    <w:p w14:paraId="4779C36F" w14:textId="77777777" w:rsidR="00DB2B68" w:rsidRDefault="00000000">
      <w:r>
        <w:rPr>
          <w:b/>
        </w:rPr>
        <w:t>(soit par défaut)</w:t>
      </w:r>
    </w:p>
    <w:p w14:paraId="254B6140" w14:textId="77777777" w:rsidR="00DB2B68" w:rsidRDefault="00000000">
      <w:pPr>
        <w:spacing w:after="0" w:line="0" w:lineRule="atLeast"/>
      </w:pPr>
      <w:r>
        <w:rPr>
          <w:rStyle w:val="soitChar"/>
        </w:rPr>
        <w:t>1. m</w:t>
      </w:r>
    </w:p>
    <w:p w14:paraId="57DEAB9E" w14:textId="77777777" w:rsidR="00DB2B68" w:rsidRDefault="00000000">
      <w:pPr>
        <w:spacing w:after="0" w:line="0" w:lineRule="atLeast"/>
      </w:pPr>
      <w:r>
        <w:rPr>
          <w:b/>
          <w:color w:val="000000"/>
        </w:rPr>
        <w:t>(soit)</w:t>
      </w:r>
    </w:p>
    <w:p w14:paraId="146A9E4C" w14:textId="77777777" w:rsidR="00DB2B68" w:rsidRDefault="00000000">
      <w:pPr>
        <w:spacing w:after="0" w:line="0" w:lineRule="atLeast"/>
      </w:pPr>
      <w:r>
        <w:rPr>
          <w:rStyle w:val="soitChar"/>
        </w:rPr>
        <w:t>2. m²</w:t>
      </w:r>
    </w:p>
    <w:p w14:paraId="5947918A" w14:textId="77777777" w:rsidR="00DB2B68" w:rsidRDefault="00000000">
      <w:pPr>
        <w:spacing w:after="0" w:line="0" w:lineRule="atLeast"/>
      </w:pPr>
      <w:r>
        <w:rPr>
          <w:b/>
          <w:color w:val="000000"/>
        </w:rPr>
        <w:t>(soit)</w:t>
      </w:r>
    </w:p>
    <w:p w14:paraId="29A7435C" w14:textId="77777777" w:rsidR="00DB2B68" w:rsidRDefault="00000000">
      <w:pPr>
        <w:spacing w:after="0" w:line="0" w:lineRule="atLeast"/>
      </w:pPr>
      <w:r>
        <w:rPr>
          <w:rStyle w:val="soitChar"/>
        </w:rPr>
        <w:t>3. pc</w:t>
      </w:r>
    </w:p>
    <w:p w14:paraId="10CFED4D" w14:textId="77777777" w:rsidR="00DB2B68" w:rsidRDefault="00000000">
      <w:pPr>
        <w:pStyle w:val="pheading"/>
      </w:pPr>
      <w:r>
        <w:t>- code de mesurage:</w:t>
      </w:r>
    </w:p>
    <w:p w14:paraId="13CF6463" w14:textId="77777777" w:rsidR="00DB2B68" w:rsidRDefault="00000000">
      <w:pPr>
        <w:pStyle w:val="optioncar"/>
      </w:pPr>
      <w:r>
        <w:rPr>
          <w:rStyle w:val="optioncarChar"/>
        </w:rPr>
        <w:t>Au mètre </w:t>
      </w:r>
      <w:r>
        <w:t>(par défaut)</w:t>
      </w:r>
      <w:r>
        <w:rPr>
          <w:rStyle w:val="optioncarChar"/>
        </w:rPr>
        <w:t> / surface nette . à la pièce</w:t>
      </w:r>
    </w:p>
    <w:p w14:paraId="164AF366" w14:textId="77777777" w:rsidR="00DB2B68" w:rsidRDefault="00000000">
      <w:pPr>
        <w:spacing w:after="0" w:line="252" w:lineRule="auto"/>
      </w:pPr>
      <w:r>
        <w:rPr>
          <w:b/>
          <w:color w:val="000000"/>
        </w:rPr>
        <w:t>(soit par défaut)</w:t>
      </w:r>
    </w:p>
    <w:p w14:paraId="546843D4" w14:textId="77777777" w:rsidR="00DB2B68" w:rsidRDefault="00000000">
      <w:pPr>
        <w:spacing w:line="252" w:lineRule="auto"/>
      </w:pPr>
      <w:r>
        <w:rPr>
          <w:rStyle w:val="soitChar"/>
          <w:u w:val="single"/>
        </w:rPr>
        <w:t>Au mètre</w:t>
      </w:r>
      <w:r>
        <w:rPr>
          <w:rStyle w:val="soitChar"/>
        </w:rPr>
        <w:t xml:space="preserve"> : longueur de l'élément entre les jours de la baie, suivant dimensions et épaisseur.</w:t>
      </w:r>
    </w:p>
    <w:p w14:paraId="3EFF0990" w14:textId="77777777" w:rsidR="00DB2B68" w:rsidRDefault="00000000">
      <w:pPr>
        <w:spacing w:line="252" w:lineRule="auto"/>
      </w:pPr>
      <w:r>
        <w:rPr>
          <w:b/>
        </w:rPr>
        <w:t>(soit)</w:t>
      </w:r>
    </w:p>
    <w:p w14:paraId="591EA237" w14:textId="77777777" w:rsidR="00DB2B68" w:rsidRDefault="00000000">
      <w:r>
        <w:rPr>
          <w:rStyle w:val="soitChar"/>
          <w:u w:val="single"/>
        </w:rPr>
        <w:t>Surface nette </w:t>
      </w:r>
      <w:r>
        <w:rPr>
          <w:rStyle w:val="soitChar"/>
        </w:rPr>
        <w:t>  du parement ; la surface apparente nette à exécuter . </w:t>
      </w:r>
      <w:r>
        <w:t> </w:t>
      </w:r>
      <w:r>
        <w:rPr>
          <w:rStyle w:val="soitChar"/>
        </w:rPr>
        <w:t>Distinction faite suivant l'épaisseur.</w:t>
      </w:r>
    </w:p>
    <w:p w14:paraId="07420E12" w14:textId="77777777" w:rsidR="00DB2B68" w:rsidRDefault="00000000">
      <w:pPr>
        <w:spacing w:line="252" w:lineRule="auto"/>
      </w:pPr>
      <w:r>
        <w:rPr>
          <w:b/>
        </w:rPr>
        <w:t>(soit)</w:t>
      </w:r>
    </w:p>
    <w:p w14:paraId="0C228635" w14:textId="77777777" w:rsidR="00DB2B68" w:rsidRDefault="00000000">
      <w:r>
        <w:rPr>
          <w:rStyle w:val="soitChar"/>
          <w:u w:val="single"/>
        </w:rPr>
        <w:t>A la pièce </w:t>
      </w:r>
      <w:r>
        <w:rPr>
          <w:rStyle w:val="soitChar"/>
        </w:rPr>
        <w:t> , suivant dimensions et épaisseur identique.</w:t>
      </w:r>
    </w:p>
    <w:p w14:paraId="2383658A" w14:textId="77777777" w:rsidR="00DB2B68" w:rsidRDefault="00000000">
      <w:pPr>
        <w:pStyle w:val="pheading"/>
      </w:pPr>
      <w:r>
        <w:lastRenderedPageBreak/>
        <w:t>- nature du marché:</w:t>
      </w:r>
    </w:p>
    <w:p w14:paraId="02DB2126" w14:textId="77777777" w:rsidR="00DB2B68" w:rsidRDefault="00000000">
      <w:r>
        <w:t>QF</w:t>
      </w:r>
    </w:p>
    <w:p w14:paraId="2B936342" w14:textId="77777777" w:rsidR="00DB2B68" w:rsidRDefault="00000000">
      <w:pPr>
        <w:pStyle w:val="Author-eSectionHeading6Numberless"/>
      </w:pPr>
      <w:bookmarkStart w:id="323" w:name="_Toc220495442"/>
      <w:r>
        <w:t>21.36.4c Eléments d'encadrement préfabriqués en béton décoratif / architectonique CCTB 01.11</w:t>
      </w:r>
      <w:bookmarkEnd w:id="323"/>
    </w:p>
    <w:p w14:paraId="50539426" w14:textId="77777777" w:rsidR="00DB2B68" w:rsidRDefault="00000000">
      <w:pPr>
        <w:pStyle w:val="pheading"/>
      </w:pPr>
      <w:r>
        <w:t>MESURAGE</w:t>
      </w:r>
    </w:p>
    <w:p w14:paraId="316756FD" w14:textId="77777777" w:rsidR="00DB2B68" w:rsidRDefault="00000000">
      <w:pPr>
        <w:pStyle w:val="pheading"/>
      </w:pPr>
      <w:r>
        <w:t>- unité de mesure:</w:t>
      </w:r>
    </w:p>
    <w:p w14:paraId="6480F1F0" w14:textId="77777777" w:rsidR="00DB2B68" w:rsidRDefault="00000000">
      <w:r>
        <w:rPr>
          <w:rStyle w:val="optioncarChar"/>
        </w:rPr>
        <w:t>m</w:t>
      </w:r>
      <w:r>
        <w:t>  (par défaut) </w:t>
      </w:r>
      <w:r>
        <w:rPr>
          <w:rStyle w:val="optioncarChar"/>
        </w:rPr>
        <w:t>/ m² / pc</w:t>
      </w:r>
    </w:p>
    <w:p w14:paraId="41CE6FB6" w14:textId="77777777" w:rsidR="00DB2B68" w:rsidRDefault="00000000">
      <w:r>
        <w:rPr>
          <w:b/>
        </w:rPr>
        <w:t>(soit par défaut)</w:t>
      </w:r>
    </w:p>
    <w:p w14:paraId="27A065B2" w14:textId="77777777" w:rsidR="00DB2B68" w:rsidRDefault="00000000">
      <w:pPr>
        <w:spacing w:after="0" w:line="0" w:lineRule="atLeast"/>
      </w:pPr>
      <w:r>
        <w:rPr>
          <w:rStyle w:val="soitChar"/>
        </w:rPr>
        <w:t>1. m</w:t>
      </w:r>
    </w:p>
    <w:p w14:paraId="4F6A2991" w14:textId="77777777" w:rsidR="00DB2B68" w:rsidRDefault="00000000">
      <w:pPr>
        <w:spacing w:after="0" w:line="0" w:lineRule="atLeast"/>
      </w:pPr>
      <w:r>
        <w:rPr>
          <w:b/>
          <w:color w:val="000000"/>
        </w:rPr>
        <w:t>(soit)</w:t>
      </w:r>
    </w:p>
    <w:p w14:paraId="36C97997" w14:textId="77777777" w:rsidR="00DB2B68" w:rsidRDefault="00000000">
      <w:pPr>
        <w:spacing w:after="0" w:line="0" w:lineRule="atLeast"/>
      </w:pPr>
      <w:r>
        <w:rPr>
          <w:rStyle w:val="soitChar"/>
        </w:rPr>
        <w:t>2. m²</w:t>
      </w:r>
    </w:p>
    <w:p w14:paraId="6A4A6E7E" w14:textId="77777777" w:rsidR="00DB2B68" w:rsidRDefault="00000000">
      <w:pPr>
        <w:spacing w:after="0" w:line="0" w:lineRule="atLeast"/>
      </w:pPr>
      <w:r>
        <w:rPr>
          <w:b/>
          <w:color w:val="000000"/>
        </w:rPr>
        <w:t>(soit)</w:t>
      </w:r>
    </w:p>
    <w:p w14:paraId="447DD368" w14:textId="77777777" w:rsidR="00DB2B68" w:rsidRDefault="00000000">
      <w:pPr>
        <w:spacing w:after="0" w:line="0" w:lineRule="atLeast"/>
      </w:pPr>
      <w:r>
        <w:rPr>
          <w:rStyle w:val="soitChar"/>
        </w:rPr>
        <w:t>3. pc</w:t>
      </w:r>
    </w:p>
    <w:p w14:paraId="2A240B62" w14:textId="77777777" w:rsidR="00DB2B68" w:rsidRDefault="00000000">
      <w:pPr>
        <w:pStyle w:val="pheading"/>
      </w:pPr>
      <w:r>
        <w:t>- code de mesurage:</w:t>
      </w:r>
    </w:p>
    <w:p w14:paraId="43D576D5" w14:textId="77777777" w:rsidR="00DB2B68" w:rsidRDefault="00000000">
      <w:r>
        <w:rPr>
          <w:rStyle w:val="optioncarChar"/>
        </w:rPr>
        <w:t>Au mètre </w:t>
      </w:r>
      <w:r>
        <w:t>(par défaut)</w:t>
      </w:r>
      <w:r>
        <w:rPr>
          <w:rStyle w:val="optioncarChar"/>
        </w:rPr>
        <w:t> / surface nette . à la pièce</w:t>
      </w:r>
    </w:p>
    <w:p w14:paraId="6F3CA71D" w14:textId="77777777" w:rsidR="00DB2B68" w:rsidRDefault="00000000">
      <w:pPr>
        <w:spacing w:after="0" w:line="252" w:lineRule="auto"/>
      </w:pPr>
      <w:r>
        <w:rPr>
          <w:b/>
          <w:color w:val="000000"/>
        </w:rPr>
        <w:t>(soit par défaut)</w:t>
      </w:r>
    </w:p>
    <w:p w14:paraId="04E3E64B" w14:textId="77777777" w:rsidR="00DB2B68" w:rsidRDefault="00000000">
      <w:pPr>
        <w:spacing w:line="252" w:lineRule="auto"/>
      </w:pPr>
      <w:r>
        <w:rPr>
          <w:rStyle w:val="soitChar"/>
          <w:u w:val="single"/>
        </w:rPr>
        <w:t>Au mètre</w:t>
      </w:r>
      <w:r>
        <w:rPr>
          <w:rStyle w:val="soitChar"/>
        </w:rPr>
        <w:t> : longueur de l'élément entre les jours de la baie, suivant dimensions et épaisseur.</w:t>
      </w:r>
    </w:p>
    <w:p w14:paraId="36068E4F" w14:textId="77777777" w:rsidR="00DB2B68" w:rsidRDefault="00000000">
      <w:pPr>
        <w:spacing w:line="252" w:lineRule="auto"/>
      </w:pPr>
      <w:r>
        <w:rPr>
          <w:b/>
        </w:rPr>
        <w:t>(soit)</w:t>
      </w:r>
    </w:p>
    <w:p w14:paraId="348E35FB" w14:textId="77777777" w:rsidR="00DB2B68" w:rsidRDefault="00000000">
      <w:r>
        <w:rPr>
          <w:rStyle w:val="soitChar"/>
          <w:u w:val="single"/>
        </w:rPr>
        <w:t>Surface nette </w:t>
      </w:r>
      <w:r>
        <w:rPr>
          <w:rStyle w:val="soitChar"/>
        </w:rPr>
        <w:t>    du parement ; la surface apparente nette à exécuter . </w:t>
      </w:r>
      <w:r>
        <w:t>   </w:t>
      </w:r>
      <w:r>
        <w:rPr>
          <w:rStyle w:val="soitChar"/>
        </w:rPr>
        <w:t>Distinction faite suivant l'épaisseur.</w:t>
      </w:r>
    </w:p>
    <w:p w14:paraId="4EB9AA63" w14:textId="77777777" w:rsidR="00DB2B68" w:rsidRDefault="00000000">
      <w:pPr>
        <w:spacing w:line="252" w:lineRule="auto"/>
      </w:pPr>
      <w:r>
        <w:rPr>
          <w:b/>
        </w:rPr>
        <w:t>(soit)</w:t>
      </w:r>
    </w:p>
    <w:p w14:paraId="43CA6764" w14:textId="77777777" w:rsidR="00DB2B68" w:rsidRDefault="00000000">
      <w:r>
        <w:rPr>
          <w:rStyle w:val="soitChar"/>
          <w:u w:val="single"/>
        </w:rPr>
        <w:t>A la pièce </w:t>
      </w:r>
      <w:r>
        <w:rPr>
          <w:rStyle w:val="soitChar"/>
        </w:rPr>
        <w:t>  , suivant dimensions et épaisseur identique.</w:t>
      </w:r>
    </w:p>
    <w:p w14:paraId="46ED2F7C" w14:textId="77777777" w:rsidR="00DB2B68" w:rsidRDefault="00000000">
      <w:pPr>
        <w:pStyle w:val="pheading"/>
      </w:pPr>
      <w:r>
        <w:t>- nature du marché:</w:t>
      </w:r>
    </w:p>
    <w:p w14:paraId="14437ED1" w14:textId="77777777" w:rsidR="00DB2B68" w:rsidRDefault="00000000">
      <w:r>
        <w:t>QF</w:t>
      </w:r>
    </w:p>
    <w:p w14:paraId="7C64D870" w14:textId="77777777" w:rsidR="00DB2B68" w:rsidRDefault="00000000">
      <w:pPr>
        <w:pStyle w:val="Author-eSectionHeading6Numberless"/>
      </w:pPr>
      <w:bookmarkStart w:id="324" w:name="_Toc220495443"/>
      <w:r>
        <w:t>21.36.4d Eléments d'encadrement en fibres-ciment CCTB 01.11</w:t>
      </w:r>
      <w:bookmarkEnd w:id="324"/>
    </w:p>
    <w:p w14:paraId="43D02996" w14:textId="77777777" w:rsidR="00DB2B68" w:rsidRDefault="00000000">
      <w:pPr>
        <w:pStyle w:val="pheading"/>
      </w:pPr>
      <w:r>
        <w:t>MESURAGE</w:t>
      </w:r>
    </w:p>
    <w:p w14:paraId="23D844B9" w14:textId="77777777" w:rsidR="00DB2B68" w:rsidRDefault="00000000">
      <w:pPr>
        <w:pStyle w:val="pheading"/>
      </w:pPr>
      <w:r>
        <w:t>- unité de mesure:</w:t>
      </w:r>
    </w:p>
    <w:p w14:paraId="3AD12FE5" w14:textId="77777777" w:rsidR="00DB2B68" w:rsidRDefault="00000000">
      <w:r>
        <w:rPr>
          <w:rStyle w:val="optioncarChar"/>
        </w:rPr>
        <w:t>m</w:t>
      </w:r>
      <w:r>
        <w:t>  (par défaut) </w:t>
      </w:r>
      <w:r>
        <w:rPr>
          <w:rStyle w:val="optioncarChar"/>
        </w:rPr>
        <w:t>/ m² / pc</w:t>
      </w:r>
    </w:p>
    <w:p w14:paraId="062730FF" w14:textId="77777777" w:rsidR="00DB2B68" w:rsidRDefault="00000000">
      <w:r>
        <w:rPr>
          <w:b/>
        </w:rPr>
        <w:t>(soit par défaut)</w:t>
      </w:r>
    </w:p>
    <w:p w14:paraId="288F6115" w14:textId="77777777" w:rsidR="00DB2B68" w:rsidRDefault="00000000">
      <w:pPr>
        <w:spacing w:after="0" w:line="0" w:lineRule="atLeast"/>
      </w:pPr>
      <w:r>
        <w:rPr>
          <w:rStyle w:val="soitChar"/>
        </w:rPr>
        <w:t>1. m</w:t>
      </w:r>
    </w:p>
    <w:p w14:paraId="1F8C302F" w14:textId="77777777" w:rsidR="00DB2B68" w:rsidRDefault="00000000">
      <w:pPr>
        <w:spacing w:after="0" w:line="0" w:lineRule="atLeast"/>
      </w:pPr>
      <w:r>
        <w:rPr>
          <w:b/>
          <w:color w:val="000000"/>
        </w:rPr>
        <w:t>(soit)</w:t>
      </w:r>
    </w:p>
    <w:p w14:paraId="60212E79" w14:textId="77777777" w:rsidR="00DB2B68" w:rsidRDefault="00000000">
      <w:pPr>
        <w:spacing w:after="0" w:line="0" w:lineRule="atLeast"/>
      </w:pPr>
      <w:r>
        <w:rPr>
          <w:rStyle w:val="soitChar"/>
        </w:rPr>
        <w:t>2. m²</w:t>
      </w:r>
    </w:p>
    <w:p w14:paraId="7400C905" w14:textId="77777777" w:rsidR="00DB2B68" w:rsidRDefault="00000000">
      <w:pPr>
        <w:spacing w:after="0" w:line="0" w:lineRule="atLeast"/>
      </w:pPr>
      <w:r>
        <w:rPr>
          <w:b/>
          <w:color w:val="000000"/>
        </w:rPr>
        <w:t>(soit)</w:t>
      </w:r>
    </w:p>
    <w:p w14:paraId="5D2CC8B0" w14:textId="77777777" w:rsidR="00DB2B68" w:rsidRDefault="00000000">
      <w:pPr>
        <w:spacing w:after="0" w:line="0" w:lineRule="atLeast"/>
      </w:pPr>
      <w:r>
        <w:rPr>
          <w:rStyle w:val="soitChar"/>
        </w:rPr>
        <w:t>3. pc</w:t>
      </w:r>
    </w:p>
    <w:p w14:paraId="1A1BFC27" w14:textId="77777777" w:rsidR="00DB2B68" w:rsidRDefault="00000000">
      <w:pPr>
        <w:pStyle w:val="pheading"/>
      </w:pPr>
      <w:r>
        <w:t>- code de mesurage:</w:t>
      </w:r>
    </w:p>
    <w:p w14:paraId="3EA53371" w14:textId="77777777" w:rsidR="00DB2B68" w:rsidRDefault="00000000">
      <w:pPr>
        <w:pStyle w:val="optioncar"/>
      </w:pPr>
      <w:r>
        <w:rPr>
          <w:rStyle w:val="optioncarChar"/>
        </w:rPr>
        <w:t>Au mètre </w:t>
      </w:r>
      <w:r>
        <w:t>(par défaut)</w:t>
      </w:r>
      <w:r>
        <w:rPr>
          <w:rStyle w:val="optioncarChar"/>
        </w:rPr>
        <w:t> / surface nette . à la pièce</w:t>
      </w:r>
    </w:p>
    <w:p w14:paraId="62B356A2" w14:textId="77777777" w:rsidR="00DB2B68" w:rsidRDefault="00000000">
      <w:pPr>
        <w:spacing w:after="0" w:line="252" w:lineRule="auto"/>
      </w:pPr>
      <w:r>
        <w:rPr>
          <w:b/>
          <w:color w:val="000000"/>
        </w:rPr>
        <w:t>(soit par défaut)</w:t>
      </w:r>
    </w:p>
    <w:p w14:paraId="150F63DD" w14:textId="77777777" w:rsidR="00DB2B68" w:rsidRDefault="00000000">
      <w:pPr>
        <w:spacing w:line="252" w:lineRule="auto"/>
      </w:pPr>
      <w:r>
        <w:rPr>
          <w:rStyle w:val="soitChar"/>
          <w:u w:val="single"/>
        </w:rPr>
        <w:t>Au mètre</w:t>
      </w:r>
      <w:r>
        <w:rPr>
          <w:rStyle w:val="soitChar"/>
        </w:rPr>
        <w:t> : longueur de l'élément entre les jours de la baie, suivant dimensions et épaisseur.</w:t>
      </w:r>
    </w:p>
    <w:p w14:paraId="0A76D50D" w14:textId="77777777" w:rsidR="00DB2B68" w:rsidRDefault="00000000">
      <w:pPr>
        <w:spacing w:line="252" w:lineRule="auto"/>
      </w:pPr>
      <w:r>
        <w:rPr>
          <w:b/>
        </w:rPr>
        <w:t>(soit)</w:t>
      </w:r>
    </w:p>
    <w:p w14:paraId="0BD81D4E" w14:textId="77777777" w:rsidR="00DB2B68" w:rsidRDefault="00000000">
      <w:r>
        <w:rPr>
          <w:rStyle w:val="soitChar"/>
          <w:u w:val="single"/>
        </w:rPr>
        <w:lastRenderedPageBreak/>
        <w:t>Surface nette </w:t>
      </w:r>
      <w:r>
        <w:rPr>
          <w:rStyle w:val="soitChar"/>
        </w:rPr>
        <w:t>    du parement ; la surface apparente nette à exécuter . </w:t>
      </w:r>
      <w:r>
        <w:t>   </w:t>
      </w:r>
      <w:r>
        <w:rPr>
          <w:rStyle w:val="soitChar"/>
        </w:rPr>
        <w:t>Distinction faite suivant l'épaisseur.</w:t>
      </w:r>
    </w:p>
    <w:p w14:paraId="7CE8FB0B" w14:textId="77777777" w:rsidR="00DB2B68" w:rsidRDefault="00000000">
      <w:pPr>
        <w:spacing w:line="252" w:lineRule="auto"/>
      </w:pPr>
      <w:r>
        <w:rPr>
          <w:b/>
        </w:rPr>
        <w:t>(soit)</w:t>
      </w:r>
    </w:p>
    <w:p w14:paraId="10F3E0AA" w14:textId="77777777" w:rsidR="00DB2B68" w:rsidRDefault="00000000">
      <w:r>
        <w:rPr>
          <w:rStyle w:val="soitChar"/>
          <w:u w:val="single"/>
        </w:rPr>
        <w:t>A la pièce </w:t>
      </w:r>
      <w:r>
        <w:rPr>
          <w:rStyle w:val="soitChar"/>
        </w:rPr>
        <w:t>  , suivant dimensions et épaisseur identique.</w:t>
      </w:r>
    </w:p>
    <w:p w14:paraId="76FEA369" w14:textId="77777777" w:rsidR="00DB2B68" w:rsidRDefault="00000000">
      <w:pPr>
        <w:pStyle w:val="pheading"/>
      </w:pPr>
      <w:r>
        <w:t>- nature du marché:</w:t>
      </w:r>
    </w:p>
    <w:p w14:paraId="21CFE231" w14:textId="77777777" w:rsidR="00DB2B68" w:rsidRDefault="00000000">
      <w:r>
        <w:t>QF</w:t>
      </w:r>
    </w:p>
    <w:p w14:paraId="3F252CC5" w14:textId="77777777" w:rsidR="00DB2B68" w:rsidRDefault="00000000">
      <w:pPr>
        <w:pStyle w:val="Author-eSectionHeading5Numberless"/>
      </w:pPr>
      <w:bookmarkStart w:id="325" w:name="_Toc220495444"/>
      <w:r>
        <w:t>21.36.5 Couvre-murs CCTB 01.09</w:t>
      </w:r>
      <w:bookmarkEnd w:id="325"/>
    </w:p>
    <w:p w14:paraId="10335989" w14:textId="77777777" w:rsidR="00DB2B68" w:rsidRDefault="00000000">
      <w:pPr>
        <w:pStyle w:val="pheading"/>
      </w:pPr>
      <w:bookmarkStart w:id="326" w:name="412"/>
      <w:bookmarkEnd w:id="326"/>
      <w:r>
        <w:t>DESCRIPTION</w:t>
      </w:r>
    </w:p>
    <w:p w14:paraId="1CFE99B0" w14:textId="77777777" w:rsidR="00DB2B68" w:rsidRDefault="00000000">
      <w:pPr>
        <w:pStyle w:val="pheading"/>
      </w:pPr>
      <w:r>
        <w:t>- Définition / Comprend</w:t>
      </w:r>
    </w:p>
    <w:p w14:paraId="6E5AC243" w14:textId="77777777" w:rsidR="00DB2B68" w:rsidRDefault="00000000">
      <w:r>
        <w:t>Il s'agit de la fourniture et de la pose des pierres de couverture, destinées à recouvrir le sommet des murs isolés à l'extérieur, à hauteur des toitures plates et/ou des murs extérieurs massifs. Conformément aux dispositions du cahier spécial des charges, les prix unitaires compris dans ce poste, doivent toujours comprendre, soit selon la ventilation explicite du métré récapitulatif, soit dans leur totalité :</w:t>
      </w:r>
    </w:p>
    <w:p w14:paraId="2ADB6F90" w14:textId="77777777" w:rsidR="00DB2B68" w:rsidRDefault="00000000">
      <w:pPr>
        <w:pStyle w:val="Author-eListParagraph"/>
        <w:numPr>
          <w:ilvl w:val="0"/>
          <w:numId w:val="279"/>
        </w:numPr>
      </w:pPr>
      <w:r>
        <w:t>la préparation du support;</w:t>
      </w:r>
    </w:p>
    <w:p w14:paraId="3F53BE74" w14:textId="77777777" w:rsidR="00DB2B68" w:rsidRDefault="00000000">
      <w:pPr>
        <w:pStyle w:val="Author-eListParagraph"/>
        <w:numPr>
          <w:ilvl w:val="0"/>
          <w:numId w:val="279"/>
        </w:numPr>
      </w:pPr>
      <w:r>
        <w:t>la fourniture et la préparation des matériaux, et plus particulièrement : les éléments de couverture des murs (y compris les pièces d'angles, les terminaisons et les rencontres), éventuellement les éléments d'assemblage aux autres éléments de construction (par ex. les ancrages, les goujons, etc.), les matériaux d'étanchéité;</w:t>
      </w:r>
    </w:p>
    <w:p w14:paraId="0ABE4B80" w14:textId="77777777" w:rsidR="00DB2B68" w:rsidRDefault="00000000">
      <w:pPr>
        <w:pStyle w:val="Author-eListParagraph"/>
        <w:numPr>
          <w:ilvl w:val="0"/>
          <w:numId w:val="279"/>
        </w:numPr>
      </w:pPr>
      <w:r>
        <w:t>la pose proprement dite des éléments de couverture, y compris tous les moyens de fixation et d'ancrage;</w:t>
      </w:r>
    </w:p>
    <w:p w14:paraId="41631B6E" w14:textId="77777777" w:rsidR="00DB2B68" w:rsidRDefault="00000000">
      <w:pPr>
        <w:pStyle w:val="Author-eListParagraph"/>
        <w:numPr>
          <w:ilvl w:val="0"/>
          <w:numId w:val="279"/>
        </w:numPr>
      </w:pPr>
      <w:r>
        <w:t>le raccordement et la finition des joints au droit des murs et rives de toiture.</w:t>
      </w:r>
    </w:p>
    <w:p w14:paraId="12203211" w14:textId="77777777" w:rsidR="00DB2B68" w:rsidRDefault="00000000">
      <w:pPr>
        <w:pStyle w:val="pheading"/>
      </w:pPr>
      <w:r>
        <w:t>- Remarques importantes</w:t>
      </w:r>
    </w:p>
    <w:p w14:paraId="782D6740" w14:textId="77777777" w:rsidR="00DB2B68" w:rsidRDefault="00000000">
      <w:r>
        <w:rPr>
          <w:shd w:val="clear" w:color="auto" w:fill="FFFFFF"/>
        </w:rPr>
        <w:t xml:space="preserve">Les couvre-murs non pierreux ou les profils de rive de toiture en aluminium, acier laqué, PVC, etc. sont traités séparément au chapitre </w:t>
      </w:r>
      <w:r>
        <w:rPr>
          <w:color w:val="3333FF"/>
          <w:u w:val="single"/>
          <w:shd w:val="clear" w:color="auto" w:fill="FFFFFF"/>
        </w:rPr>
        <w:t>35.15 Solins/Bandes de raccord</w:t>
      </w:r>
      <w:r>
        <w:rPr>
          <w:color w:val="3333FF"/>
          <w:shd w:val="clear" w:color="auto" w:fill="FFFFFF"/>
        </w:rPr>
        <w:t>.</w:t>
      </w:r>
    </w:p>
    <w:p w14:paraId="00DF017C" w14:textId="77777777" w:rsidR="00DB2B68" w:rsidRDefault="00000000">
      <w:pPr>
        <w:pStyle w:val="pheading"/>
      </w:pPr>
      <w:r>
        <w:t>MATÉRIAUX</w:t>
      </w:r>
    </w:p>
    <w:p w14:paraId="06488FA6" w14:textId="77777777" w:rsidR="00DB2B68" w:rsidRDefault="00000000">
      <w:r>
        <w:t>Les pierres de couverture livrées satisfont au moins aux spécifications suivantes :</w:t>
      </w:r>
    </w:p>
    <w:p w14:paraId="28BB7D1E" w14:textId="77777777" w:rsidR="00DB2B68" w:rsidRDefault="00000000">
      <w:pPr>
        <w:pStyle w:val="Author-eListParagraph"/>
        <w:numPr>
          <w:ilvl w:val="0"/>
          <w:numId w:val="280"/>
        </w:numPr>
      </w:pPr>
      <w:r>
        <w:t>Elles sont ingélives et exemptes de défauts qui sont de nature à compromettre leur bonne tenue dans le temps.</w:t>
      </w:r>
    </w:p>
    <w:p w14:paraId="3BBBB482" w14:textId="77777777" w:rsidR="00DB2B68" w:rsidRDefault="00000000">
      <w:pPr>
        <w:pStyle w:val="Author-eListParagraph"/>
        <w:numPr>
          <w:ilvl w:val="0"/>
          <w:numId w:val="280"/>
        </w:numPr>
      </w:pPr>
      <w:r>
        <w:t>Elles sont débarrassées de toute gangue ou terre et exemptes de toutes souillures comme les taches de graisse, d'huile, de rouille, …</w:t>
      </w:r>
    </w:p>
    <w:p w14:paraId="2B08BA27" w14:textId="77777777" w:rsidR="00DB2B68" w:rsidRDefault="00000000">
      <w:pPr>
        <w:pStyle w:val="Author-eListParagraph"/>
        <w:numPr>
          <w:ilvl w:val="0"/>
          <w:numId w:val="280"/>
        </w:numPr>
      </w:pPr>
      <w:r>
        <w:t>Elles sont pourvues d'un rejet d'eau dans le sens de l'écoulement.</w:t>
      </w:r>
    </w:p>
    <w:p w14:paraId="08DA40F0" w14:textId="77777777" w:rsidR="00DB2B68" w:rsidRDefault="00000000">
      <w:pPr>
        <w:pStyle w:val="Author-eListParagraph"/>
        <w:numPr>
          <w:ilvl w:val="0"/>
          <w:numId w:val="280"/>
        </w:numPr>
      </w:pPr>
      <w:r>
        <w:t>Les faces de parement sont intactes et exemptes d'épaufrures et d'écornures.</w:t>
      </w:r>
    </w:p>
    <w:p w14:paraId="37F9F7B4" w14:textId="77777777" w:rsidR="00DB2B68" w:rsidRDefault="00000000">
      <w:pPr>
        <w:pStyle w:val="pheading"/>
      </w:pPr>
      <w:r>
        <w:t>EXÉCUTION / MISE EN ŒUVRE</w:t>
      </w:r>
    </w:p>
    <w:p w14:paraId="0BA076EE" w14:textId="77777777" w:rsidR="00DB2B68" w:rsidRDefault="00000000">
      <w:r>
        <w:rPr>
          <w:b/>
          <w:u w:val="single"/>
        </w:rPr>
        <w:t>GÉNÉRALITÉS</w:t>
      </w:r>
    </w:p>
    <w:p w14:paraId="25FF4754" w14:textId="77777777" w:rsidR="00DB2B68" w:rsidRDefault="00000000">
      <w:r>
        <w:t>Tous les éléments de couverture qui sont destinés à former un ensemble sont placés en même temps. L'entrepreneur veille à ce que la ligne visuelle des éléments, des joints et des fixations soit respectée. Les éléments de couverture doivent être posés en ligne droite (ou courbe), plans et horizontalement. Ils sont posés à plein bain de mortier. L'épaisseur des joints est partout pareille et les joints sont rectilignes.</w:t>
      </w:r>
    </w:p>
    <w:p w14:paraId="4D602434" w14:textId="77777777" w:rsidR="00DB2B68" w:rsidRDefault="00000000">
      <w:r>
        <w:t>La construction du mur est suffisamment résistante et épaisse pour pouvoir fixer les éléments d'ancrage des pierres en tenant compte des sollicitations auxquelles elles sont soumises (arrachement, fléchissement, cisaillement). En ce qui concerne les essais de contrôle et les caractéristiques techniques, il est fait référence aux méthodes décrites dans la [NIT 220].</w:t>
      </w:r>
    </w:p>
    <w:p w14:paraId="7C59ABB0" w14:textId="77777777" w:rsidR="00DB2B68" w:rsidRDefault="00000000">
      <w:pPr>
        <w:pStyle w:val="pheading"/>
      </w:pPr>
      <w:r>
        <w:t>DOCUMENTS DE RÉFÉRENCE</w:t>
      </w:r>
    </w:p>
    <w:p w14:paraId="171C861C" w14:textId="77777777" w:rsidR="00DB2B68" w:rsidRDefault="00000000">
      <w:pPr>
        <w:pStyle w:val="pheading"/>
      </w:pPr>
      <w:r>
        <w:lastRenderedPageBreak/>
        <w:t>- Exécution</w:t>
      </w:r>
    </w:p>
    <w:p w14:paraId="3C51ADB9" w14:textId="77777777" w:rsidR="00DB2B68" w:rsidRDefault="00000000">
      <w:r>
        <w:rPr>
          <w:rStyle w:val="normalChar"/>
          <w:rFonts w:ascii="Arial Unicode MS" w:hAnsi="Arial Unicode MS" w:cs="Arial Unicode MS"/>
          <w:color w:val="000000"/>
          <w:shd w:val="clear" w:color="auto" w:fill="FFFFFF"/>
        </w:rPr>
        <w:t>[NBN EN 1996 série, Eurocode 6 : Calcul des ouvrages en maçonnerie]</w:t>
      </w:r>
    </w:p>
    <w:p w14:paraId="24826BF9" w14:textId="77777777" w:rsidR="00DB2B68" w:rsidRDefault="00000000">
      <w:r>
        <w:rPr>
          <w:rStyle w:val="normalChar"/>
          <w:rFonts w:ascii="Arial Unicode MS" w:hAnsi="Arial Unicode MS" w:cs="Arial Unicode MS"/>
          <w:color w:val="000000"/>
        </w:rPr>
        <w:t>[STS 22 série, Maçonnerie pour constructions basses]</w:t>
      </w:r>
      <w:r>
        <w:br/>
      </w:r>
    </w:p>
    <w:p w14:paraId="3A74FA29" w14:textId="77777777" w:rsidR="00DB2B68" w:rsidRDefault="00000000">
      <w:r>
        <w:rPr>
          <w:rStyle w:val="normalChar"/>
          <w:rFonts w:ascii="Arial Unicode MS" w:hAnsi="Arial Unicode MS" w:cs="Arial Unicode MS"/>
          <w:color w:val="000000"/>
        </w:rPr>
        <w:t>[NIT 244, Les ouvrages de raccord des toitures plates : principes généraux (remplace la NIT 191) (+ correctifs de février 2015).]</w:t>
      </w:r>
      <w:r>
        <w:br/>
      </w:r>
    </w:p>
    <w:p w14:paraId="34ADD468" w14:textId="77777777" w:rsidR="00DB2B68" w:rsidRDefault="00000000">
      <w:pPr>
        <w:pStyle w:val="Author-eSectionHeading6Numberless"/>
      </w:pPr>
      <w:bookmarkStart w:id="327" w:name="_Toc220495445"/>
      <w:r>
        <w:t>21.36.5a Couvre-murs en pierre CCTB 01.11</w:t>
      </w:r>
      <w:bookmarkEnd w:id="327"/>
    </w:p>
    <w:p w14:paraId="0BBA67A3" w14:textId="77777777" w:rsidR="00DB2B68" w:rsidRDefault="00000000">
      <w:pPr>
        <w:pStyle w:val="pheading"/>
      </w:pPr>
      <w:r>
        <w:t>MATÉRIAUX</w:t>
      </w:r>
    </w:p>
    <w:p w14:paraId="09268121" w14:textId="77777777" w:rsidR="00DB2B68" w:rsidRDefault="00000000">
      <w:pPr>
        <w:pStyle w:val="pheading"/>
      </w:pPr>
      <w:r>
        <w:t>- Caractéristiques générales</w:t>
      </w:r>
    </w:p>
    <w:p w14:paraId="25348936" w14:textId="77777777" w:rsidR="00DB2B68" w:rsidRDefault="00000000">
      <w:r>
        <w:t xml:space="preserve">Les pierres de couverture en pierre bleue sont profilées selon </w:t>
      </w:r>
      <w:r>
        <w:rPr>
          <w:rStyle w:val="optioncarChar"/>
        </w:rPr>
        <w:t>le plan </w:t>
      </w:r>
      <w:r>
        <w:t xml:space="preserve">(par défaut) </w:t>
      </w:r>
      <w:r>
        <w:rPr>
          <w:rStyle w:val="optioncarChar"/>
        </w:rPr>
        <w:t>/ la stéréotomie détaillée / ***</w:t>
      </w:r>
      <w:r>
        <w:t xml:space="preserve"> et pourvues d'un rejet d'eau de </w:t>
      </w:r>
      <w:r>
        <w:rPr>
          <w:rStyle w:val="optioncarChar"/>
        </w:rPr>
        <w:t>10 mm de largeur et de 6 à 7 mm de profondeur</w:t>
      </w:r>
      <w:r>
        <w:t> (par défaut)</w:t>
      </w:r>
      <w:r>
        <w:rPr>
          <w:rStyle w:val="optioncarChar"/>
        </w:rPr>
        <w:t xml:space="preserve"> / *** </w:t>
      </w:r>
      <w:r>
        <w:t xml:space="preserve">(voir également l'article </w:t>
      </w:r>
      <w:hyperlink w:anchor="408" w:history="1">
        <w:r>
          <w:rPr>
            <w:color w:val="0000EE"/>
          </w:rPr>
          <w:t>21.36.1 Seuils</w:t>
        </w:r>
      </w:hyperlink>
      <w:r>
        <w:t>)</w:t>
      </w:r>
      <w:r>
        <w:rPr>
          <w:color w:val="0000FF"/>
        </w:rPr>
        <w:t>.</w:t>
      </w:r>
    </w:p>
    <w:p w14:paraId="6B809543" w14:textId="77777777" w:rsidR="00DB2B68" w:rsidRDefault="00000000">
      <w:r>
        <w:rPr>
          <w:b/>
          <w:u w:val="single"/>
        </w:rPr>
        <w:t>Spécifications</w:t>
      </w:r>
    </w:p>
    <w:p w14:paraId="3EEB1178" w14:textId="77777777" w:rsidR="00DB2B68" w:rsidRDefault="00000000">
      <w:r>
        <w:t>La pierre appartient à la catégorie</w:t>
      </w:r>
      <w:r>
        <w:rPr>
          <w:rStyle w:val="optioncarChar"/>
        </w:rPr>
        <w:t xml:space="preserve"> 'bâtiment exceptionnel' / 'bâtiment courant' </w:t>
      </w:r>
      <w:r>
        <w:t>(par défaut)</w:t>
      </w:r>
      <w:r>
        <w:rPr>
          <w:rStyle w:val="optioncarChar"/>
        </w:rPr>
        <w:t xml:space="preserve"> / 'technique' / ***</w:t>
      </w:r>
      <w:r>
        <w:t xml:space="preserve"> (selon le tableau [NIT 220])</w:t>
      </w:r>
    </w:p>
    <w:p w14:paraId="5B09F23F" w14:textId="77777777" w:rsidR="00DB2B68" w:rsidRDefault="00000000">
      <w:r>
        <w:t xml:space="preserve">Épaisseur : minimum </w:t>
      </w:r>
      <w:r>
        <w:rPr>
          <w:rStyle w:val="optioncarChar"/>
        </w:rPr>
        <w:t xml:space="preserve">4 </w:t>
      </w:r>
      <w:r>
        <w:t>(par défaut) </w:t>
      </w:r>
      <w:r>
        <w:rPr>
          <w:rStyle w:val="optioncarChar"/>
        </w:rPr>
        <w:t>/ ***</w:t>
      </w:r>
      <w:r>
        <w:t xml:space="preserve"> cm.</w:t>
      </w:r>
    </w:p>
    <w:p w14:paraId="279F49EF" w14:textId="77777777" w:rsidR="00DB2B68" w:rsidRDefault="00000000">
      <w:r>
        <w:t xml:space="preserve">Largeur : </w:t>
      </w:r>
      <w:r>
        <w:rPr>
          <w:rStyle w:val="optioncarChar"/>
        </w:rPr>
        <w:t>19 </w:t>
      </w:r>
      <w:r>
        <w:t>(par défaut)</w:t>
      </w:r>
      <w:r>
        <w:rPr>
          <w:rStyle w:val="optioncarChar"/>
        </w:rPr>
        <w:t xml:space="preserve"> / 24 / 29 / 34 / ***</w:t>
      </w:r>
      <w:r>
        <w:t xml:space="preserve"> cm. Les pierres de couverture débordent d'au moins </w:t>
      </w:r>
      <w:r>
        <w:rPr>
          <w:rStyle w:val="optioncarChar"/>
        </w:rPr>
        <w:t xml:space="preserve">4 </w:t>
      </w:r>
      <w:r>
        <w:t>(par défaut) </w:t>
      </w:r>
      <w:r>
        <w:rPr>
          <w:rStyle w:val="optioncarChar"/>
        </w:rPr>
        <w:t>/ ***</w:t>
      </w:r>
      <w:r>
        <w:t xml:space="preserve"> cm sur la maçonnerie et sont pourvues d'un rejet d'eau en dessous.</w:t>
      </w:r>
    </w:p>
    <w:p w14:paraId="24E410A5" w14:textId="77777777" w:rsidR="00DB2B68" w:rsidRDefault="00000000">
      <w:r>
        <w:t>Attention : Entre le rejet d'eau et le crépi de façade, il faut respecter une distance d'au moins 3 cm.</w:t>
      </w:r>
    </w:p>
    <w:p w14:paraId="5C5F53F8" w14:textId="77777777" w:rsidR="00DB2B68" w:rsidRDefault="00000000">
      <w:r>
        <w:t xml:space="preserve">Profil : </w:t>
      </w:r>
      <w:r>
        <w:rPr>
          <w:rStyle w:val="optioncarChar"/>
        </w:rPr>
        <w:t>oblique / droit / selon le dessin de détail</w:t>
      </w:r>
      <w:r>
        <w:t> (par défaut)</w:t>
      </w:r>
      <w:r>
        <w:rPr>
          <w:rStyle w:val="optioncarChar"/>
        </w:rPr>
        <w:t xml:space="preserve"> / ***</w:t>
      </w:r>
    </w:p>
    <w:p w14:paraId="50253C9D" w14:textId="77777777" w:rsidR="00DB2B68" w:rsidRDefault="00000000">
      <w:pPr>
        <w:pStyle w:val="pheading"/>
      </w:pPr>
      <w:r>
        <w:t>- Finitions</w:t>
      </w:r>
    </w:p>
    <w:p w14:paraId="3F9345FA" w14:textId="77777777" w:rsidR="00DB2B68" w:rsidRDefault="00000000">
      <w:r>
        <w:t xml:space="preserve">Faces supérieures : </w:t>
      </w:r>
      <w:r>
        <w:rPr>
          <w:rStyle w:val="optioncarChar"/>
        </w:rPr>
        <w:t>meulé gris </w:t>
      </w:r>
      <w:r>
        <w:t xml:space="preserve">(par défaut) </w:t>
      </w:r>
      <w:r>
        <w:rPr>
          <w:rStyle w:val="optioncarChar"/>
        </w:rPr>
        <w:t>/ adouci bleu / ***</w:t>
      </w:r>
    </w:p>
    <w:p w14:paraId="0FF053BA" w14:textId="77777777" w:rsidR="00DB2B68" w:rsidRDefault="00000000">
      <w:r>
        <w:t xml:space="preserve">Faces vues : </w:t>
      </w:r>
      <w:r>
        <w:rPr>
          <w:rStyle w:val="optioncarChar"/>
        </w:rPr>
        <w:t>meulé gris </w:t>
      </w:r>
      <w:r>
        <w:t>(par défaut)</w:t>
      </w:r>
      <w:r>
        <w:rPr>
          <w:rStyle w:val="optioncarChar"/>
        </w:rPr>
        <w:t xml:space="preserve"> / adouci bleu / ciselé à raison de 10 / 12 / 15 /*** coups par dm</w:t>
      </w:r>
    </w:p>
    <w:p w14:paraId="11C8BA20" w14:textId="77777777" w:rsidR="00DB2B68" w:rsidRDefault="00000000">
      <w:r>
        <w:t xml:space="preserve">Dimensions : </w:t>
      </w:r>
      <w:r>
        <w:rPr>
          <w:rStyle w:val="optioncarChar"/>
        </w:rPr>
        <w:t>selon le dessin de détail </w:t>
      </w:r>
      <w:r>
        <w:t>(par défaut)</w:t>
      </w:r>
      <w:r>
        <w:rPr>
          <w:rStyle w:val="optioncarChar"/>
        </w:rPr>
        <w:t xml:space="preserve"> / ***</w:t>
      </w:r>
    </w:p>
    <w:p w14:paraId="5C990FE7" w14:textId="77777777" w:rsidR="00DB2B68" w:rsidRDefault="00000000">
      <w:pPr>
        <w:pStyle w:val="pheading"/>
      </w:pPr>
      <w:r>
        <w:t>EXÉCUTION / MISE EN ŒUVRE</w:t>
      </w:r>
    </w:p>
    <w:p w14:paraId="7703E62F" w14:textId="77777777" w:rsidR="00DB2B68" w:rsidRDefault="00000000">
      <w:pPr>
        <w:pStyle w:val="pheading"/>
      </w:pPr>
      <w:r>
        <w:t>- Prescriptions générales</w:t>
      </w:r>
    </w:p>
    <w:p w14:paraId="6BA28E09" w14:textId="77777777" w:rsidR="00DB2B68" w:rsidRDefault="00000000">
      <w:r>
        <w:t>L'entrepreneur veille à ce que la fixation et l'ancrage des pierres de couverture sur la maçonnerie soient solides et durables; en particulier les couvre-murs situés dans le bas, doivent être ancrés afin de ne pas glisser (goujons, face inférieure rugueuse).</w:t>
      </w:r>
    </w:p>
    <w:p w14:paraId="562FDDF0" w14:textId="77777777" w:rsidR="00DB2B68" w:rsidRDefault="00000000">
      <w:r>
        <w:rPr>
          <w:b/>
          <w:u w:val="single"/>
        </w:rPr>
        <w:t>Notes d'exécution complémentaires</w:t>
      </w:r>
    </w:p>
    <w:p w14:paraId="056224F8" w14:textId="77777777" w:rsidR="00DB2B68" w:rsidRDefault="00000000">
      <w:r>
        <w:t xml:space="preserve">Les éléments de couverture sont placés conformément aux </w:t>
      </w:r>
      <w:r>
        <w:rPr>
          <w:rStyle w:val="optioncarChar"/>
        </w:rPr>
        <w:t>dessins de principe établis par l'auteur de projet / directives données avant l'exécution, les dessins d'atelier (détaillés) devant être préalablement soumis pour approbation à l'auteur de projet.</w:t>
      </w:r>
    </w:p>
    <w:p w14:paraId="2130FD56" w14:textId="77777777" w:rsidR="00DB2B68" w:rsidRDefault="00000000">
      <w:r>
        <w:t xml:space="preserve">Les couvre-murs sont reliés à la maçonnerie sous-jacente à l'aide de pattes d'ancrage en </w:t>
      </w:r>
      <w:r>
        <w:rPr>
          <w:rStyle w:val="optioncarChar"/>
        </w:rPr>
        <w:t>acier inoxydable </w:t>
      </w:r>
      <w:r>
        <w:t>(par défaut)</w:t>
      </w:r>
      <w:r>
        <w:rPr>
          <w:rStyle w:val="optioncarChar"/>
        </w:rPr>
        <w:t xml:space="preserve"> / bronze / ***</w:t>
      </w:r>
      <w:r>
        <w:t>, pourvues d’un ergot fixé dans une rainure qui est sciée dans le chant. La queue d’ancrage porte jusqu’au moins 10 cm dans le mur sous-jacent. Une fixation est prévue dans chaque chant.</w:t>
      </w:r>
    </w:p>
    <w:p w14:paraId="6F738B67" w14:textId="77777777" w:rsidR="00DB2B68" w:rsidRDefault="00000000">
      <w:r>
        <w:t>Lorsque les couvre-murs sont posés sur des murs à coulisse, une étanchéité à l'eau est appliquée sous les pierres de couverture.</w:t>
      </w:r>
    </w:p>
    <w:p w14:paraId="3EB7F357" w14:textId="77777777" w:rsidR="00DB2B68" w:rsidRDefault="00000000">
      <w:r>
        <w:t>Entre les pierres de couverture et le parement, l'entrepreneur insère un bourrelet en zinc prépatiné.</w:t>
      </w:r>
    </w:p>
    <w:p w14:paraId="31FF3370" w14:textId="77777777" w:rsidR="00DB2B68" w:rsidRDefault="00000000">
      <w:r>
        <w:t xml:space="preserve">Sous les joints d'assemblage, l'entrepreneur prévoit une </w:t>
      </w:r>
      <w:r>
        <w:rPr>
          <w:rStyle w:val="optioncarChar"/>
        </w:rPr>
        <w:t xml:space="preserve">bande de plomb laminé (épaisseur 1,5 mm) </w:t>
      </w:r>
      <w:r>
        <w:t>(par défaut) </w:t>
      </w:r>
      <w:r>
        <w:rPr>
          <w:rStyle w:val="optioncarChar"/>
        </w:rPr>
        <w:t xml:space="preserve">/ *** </w:t>
      </w:r>
      <w:r>
        <w:t xml:space="preserve">d'environ 10 cm de largeur, qui déborde de 1 cm de part et d'autre du mur. La largeur des joints est d'environ </w:t>
      </w:r>
      <w:r>
        <w:rPr>
          <w:rStyle w:val="optioncarChar"/>
        </w:rPr>
        <w:t xml:space="preserve">10 </w:t>
      </w:r>
      <w:r>
        <w:t>(par défaut) </w:t>
      </w:r>
      <w:r>
        <w:rPr>
          <w:rStyle w:val="optioncarChar"/>
        </w:rPr>
        <w:t xml:space="preserve">/ *** </w:t>
      </w:r>
      <w:r>
        <w:t xml:space="preserve">mm. Dans le joint, entre les éléments, on pose </w:t>
      </w:r>
      <w:r>
        <w:lastRenderedPageBreak/>
        <w:t>une bande de polystyrène. Les joints sont rembourrés à l'aide d'</w:t>
      </w:r>
      <w:r>
        <w:rPr>
          <w:rStyle w:val="optioncarChar"/>
        </w:rPr>
        <w:t>un mastic à élasticité permanente à base de polysulfide selon la [NBN S 23-002]</w:t>
      </w:r>
      <w:r>
        <w:t>(par défaut) </w:t>
      </w:r>
      <w:r>
        <w:rPr>
          <w:rStyle w:val="optioncarChar"/>
        </w:rPr>
        <w:t>/ d'un mortier spécial selon l'article</w:t>
      </w:r>
      <w:r>
        <w:rPr>
          <w:rStyle w:val="optioncarChar"/>
          <w:shd w:val="clear" w:color="auto" w:fill="FFFFFF"/>
        </w:rPr>
        <w:t xml:space="preserve"> ***</w:t>
      </w:r>
    </w:p>
    <w:p w14:paraId="26651992" w14:textId="77777777" w:rsidR="00DB2B68" w:rsidRDefault="00000000">
      <w:r>
        <w:t>Les angles des éléments sont sciés en onglet ou formés à l'aide de pièces spéciales.</w:t>
      </w:r>
    </w:p>
    <w:p w14:paraId="0F92AD44" w14:textId="77777777" w:rsidR="00DB2B68" w:rsidRDefault="00000000">
      <w:pPr>
        <w:pStyle w:val="pheading"/>
      </w:pPr>
      <w:r>
        <w:t>MESURAGE</w:t>
      </w:r>
    </w:p>
    <w:p w14:paraId="090DB82A" w14:textId="77777777" w:rsidR="00DB2B68" w:rsidRDefault="00000000">
      <w:pPr>
        <w:pStyle w:val="pheading"/>
      </w:pPr>
      <w:r>
        <w:t>- unité de mesure:</w:t>
      </w:r>
    </w:p>
    <w:p w14:paraId="6E5EC80C" w14:textId="77777777" w:rsidR="00DB2B68" w:rsidRDefault="00000000">
      <w:r>
        <w:rPr>
          <w:rStyle w:val="optioncarChar"/>
        </w:rPr>
        <w:t>m³ / m² / m</w:t>
      </w:r>
      <w:r>
        <w:t xml:space="preserve"> (par défaut)</w:t>
      </w:r>
    </w:p>
    <w:p w14:paraId="452D5551" w14:textId="77777777" w:rsidR="00DB2B68" w:rsidRDefault="00000000">
      <w:pPr>
        <w:pStyle w:val="pheading"/>
      </w:pPr>
      <w:r>
        <w:t>- code de mesurage:</w:t>
      </w:r>
    </w:p>
    <w:p w14:paraId="772EE00F" w14:textId="77777777" w:rsidR="00DB2B68" w:rsidRDefault="00000000">
      <w:r>
        <w:t>longueur nette à exécuter, y compris les pièces spéciales.</w:t>
      </w:r>
    </w:p>
    <w:p w14:paraId="5C56A545" w14:textId="77777777" w:rsidR="00DB2B68" w:rsidRDefault="00000000">
      <w:pPr>
        <w:pStyle w:val="pheading"/>
      </w:pPr>
      <w:r>
        <w:t>- nature du marché:</w:t>
      </w:r>
    </w:p>
    <w:p w14:paraId="030F31CB" w14:textId="77777777" w:rsidR="00DB2B68" w:rsidRDefault="00000000">
      <w:r>
        <w:rPr>
          <w:rStyle w:val="optioncarChar"/>
        </w:rPr>
        <w:t>QF</w:t>
      </w:r>
      <w:r>
        <w:t xml:space="preserve"> (par défaut)</w:t>
      </w:r>
      <w:r>
        <w:rPr>
          <w:rStyle w:val="optioncarChar"/>
        </w:rPr>
        <w:t xml:space="preserve"> / QP</w:t>
      </w:r>
    </w:p>
    <w:p w14:paraId="78F5F788" w14:textId="77777777" w:rsidR="00DB2B68" w:rsidRDefault="00DB2B68"/>
    <w:p w14:paraId="0F2624DB" w14:textId="77777777" w:rsidR="00DB2B68" w:rsidRDefault="00000000">
      <w:pPr>
        <w:pStyle w:val="Author-eSectionHeading6Numberless"/>
      </w:pPr>
      <w:bookmarkStart w:id="328" w:name="_Toc220495446"/>
      <w:r>
        <w:t>21.36.5b Couvre-murs en éléments préfabriqués en béton CCTB 01.13</w:t>
      </w:r>
      <w:bookmarkEnd w:id="328"/>
    </w:p>
    <w:p w14:paraId="4560A71F" w14:textId="77777777" w:rsidR="00DB2B68" w:rsidRDefault="00000000">
      <w:pPr>
        <w:pStyle w:val="pheading"/>
      </w:pPr>
      <w:r>
        <w:t>DESCRIPTION</w:t>
      </w:r>
    </w:p>
    <w:p w14:paraId="27F827A1" w14:textId="77777777" w:rsidR="00DB2B68" w:rsidRDefault="00000000">
      <w:pPr>
        <w:pStyle w:val="pheading"/>
      </w:pPr>
      <w:r>
        <w:t>- Définition / Comprend</w:t>
      </w:r>
    </w:p>
    <w:p w14:paraId="76151D62" w14:textId="77777777" w:rsidR="00DB2B68" w:rsidRDefault="00000000">
      <w:pPr>
        <w:jc w:val="both"/>
      </w:pPr>
      <w:r>
        <w:t>Cet article vise la fourniture et la pose de couvre-murs en éléments préfabriqués en béton.</w:t>
      </w:r>
    </w:p>
    <w:p w14:paraId="231526E6" w14:textId="77777777" w:rsidR="00DB2B68" w:rsidRDefault="00000000">
      <w:pPr>
        <w:jc w:val="both"/>
      </w:pPr>
      <w:r>
        <w:t>La portée des travaux est décrite dans le chapitre </w:t>
      </w:r>
      <w:hyperlink w:anchor="412" w:history="1">
        <w:r>
          <w:rPr>
            <w:color w:val="0000EE"/>
          </w:rPr>
          <w:t>21.36.5 Couvre-murs</w:t>
        </w:r>
      </w:hyperlink>
      <w:r>
        <w:t>.</w:t>
      </w:r>
    </w:p>
    <w:p w14:paraId="7D82076A" w14:textId="77777777" w:rsidR="00DB2B68" w:rsidRDefault="00000000">
      <w:pPr>
        <w:jc w:val="both"/>
      </w:pPr>
      <w:r>
        <w:t>Les travaux comprennent également la fourniture et la pose des pièces d’angle, de terminaison et de rencontre.</w:t>
      </w:r>
    </w:p>
    <w:p w14:paraId="006360C0" w14:textId="77777777" w:rsidR="00DB2B68" w:rsidRDefault="00000000">
      <w:pPr>
        <w:pStyle w:val="pheading"/>
      </w:pPr>
      <w:r>
        <w:t>- Localisation</w:t>
      </w:r>
    </w:p>
    <w:p w14:paraId="7F83674F" w14:textId="77777777" w:rsidR="00DB2B68" w:rsidRDefault="00000000">
      <w:r>
        <w:t xml:space="preserve">La pose est réalisée aux endroits suivants : </w:t>
      </w:r>
      <w:r>
        <w:rPr>
          <w:rStyle w:val="optioncarChar"/>
        </w:rPr>
        <w:t>***</w:t>
      </w:r>
      <w:r>
        <w:t>.</w:t>
      </w:r>
    </w:p>
    <w:p w14:paraId="6F1F3F6E" w14:textId="77777777" w:rsidR="00DB2B68" w:rsidRDefault="00000000">
      <w:r>
        <w:t>Voir plans et métrés détaillés.</w:t>
      </w:r>
    </w:p>
    <w:p w14:paraId="1CD13F3F" w14:textId="77777777" w:rsidR="00DB2B68" w:rsidRDefault="00000000">
      <w:pPr>
        <w:pStyle w:val="pheading"/>
      </w:pPr>
      <w:r>
        <w:t>MATÉRIAUX</w:t>
      </w:r>
    </w:p>
    <w:p w14:paraId="22741719" w14:textId="77777777" w:rsidR="00DB2B68" w:rsidRDefault="00000000">
      <w:pPr>
        <w:pStyle w:val="pheading"/>
      </w:pPr>
      <w:r>
        <w:t>- Caractéristiques générales</w:t>
      </w:r>
    </w:p>
    <w:p w14:paraId="5AA6F14C" w14:textId="77777777" w:rsidR="00DB2B68" w:rsidRDefault="00000000">
      <w:pPr>
        <w:jc w:val="both"/>
      </w:pPr>
      <w:r>
        <w:t xml:space="preserve">Il s’agit de couvre-murs préfabriqués en béton réalisé conformément aux normes [NBN EN 13369] et  [NBN B 21-600], selon la section </w:t>
      </w:r>
      <w:hyperlink w:anchor="87" w:history="1">
        <w:r>
          <w:rPr>
            <w:color w:val="0000EE"/>
          </w:rPr>
          <w:t>22 Superstructures en béton</w:t>
        </w:r>
      </w:hyperlink>
      <w:r>
        <w:t>.</w:t>
      </w:r>
    </w:p>
    <w:p w14:paraId="5183DAEF" w14:textId="77777777" w:rsidR="00DB2B68" w:rsidRDefault="00000000">
      <w:pPr>
        <w:jc w:val="both"/>
      </w:pPr>
      <w:r>
        <w:t>Classe de résistance à la compression :</w:t>
      </w:r>
      <w:r>
        <w:rPr>
          <w:rStyle w:val="optioncarChar"/>
        </w:rPr>
        <w:t> C30/37 // C35/45 // C45/55 // C50/60 // C55/67 // C60/75 // C70/85 // C80/95 // C90/105 /// ***</w:t>
      </w:r>
    </w:p>
    <w:p w14:paraId="4A72D2FF" w14:textId="77777777" w:rsidR="00DB2B68" w:rsidRDefault="00000000">
      <w:pPr>
        <w:jc w:val="both"/>
      </w:pPr>
      <w:r>
        <w:t>Classe d’environnement :</w:t>
      </w:r>
      <w:r>
        <w:rPr>
          <w:rStyle w:val="optioncarChar"/>
        </w:rPr>
        <w:t> EE3 / EE4 / ES1 / ES2 / ES3 / ES4 / EA1+*** / EA2+***/ EA3+*** / ***</w:t>
      </w:r>
    </w:p>
    <w:p w14:paraId="3215681D" w14:textId="77777777" w:rsidR="00DB2B68" w:rsidRDefault="00000000">
      <w:pPr>
        <w:jc w:val="both"/>
      </w:pPr>
      <w:r>
        <w:t xml:space="preserve">Armatures : béton </w:t>
      </w:r>
      <w:r>
        <w:rPr>
          <w:rStyle w:val="optioncarChar"/>
        </w:rPr>
        <w:t>non armé / armé</w:t>
      </w:r>
      <w:r>
        <w:t xml:space="preserve"> (par défaut) (détermination des armatures à faire par l’entrepreneur)</w:t>
      </w:r>
    </w:p>
    <w:p w14:paraId="7A47F474" w14:textId="77777777" w:rsidR="00DB2B68" w:rsidRDefault="00000000">
      <w:pPr>
        <w:jc w:val="both"/>
      </w:pPr>
      <w:r>
        <w:t xml:space="preserve">La face supérieure est </w:t>
      </w:r>
      <w:r>
        <w:rPr>
          <w:rStyle w:val="optioncarChar"/>
        </w:rPr>
        <w:t xml:space="preserve">plane / à simple inclinaison / à double inclinaison / selon le dessin de détail </w:t>
      </w:r>
      <w:r>
        <w:t>(par défaut) </w:t>
      </w:r>
      <w:r>
        <w:rPr>
          <w:rStyle w:val="optioncarChar"/>
        </w:rPr>
        <w:t>/ ***</w:t>
      </w:r>
      <w:r>
        <w:t>.</w:t>
      </w:r>
    </w:p>
    <w:p w14:paraId="3579F0C4" w14:textId="77777777" w:rsidR="00DB2B68" w:rsidRDefault="00000000">
      <w:pPr>
        <w:jc w:val="both"/>
      </w:pPr>
      <w:r>
        <w:t xml:space="preserve">La face inférieure est dotée de rejets d’eau d’environ 8 à 10 mm de large et 5 à 6 mm de profondeur situés à au moins </w:t>
      </w:r>
      <w:r>
        <w:rPr>
          <w:rStyle w:val="optioncarChar"/>
        </w:rPr>
        <w:t>2 cm </w:t>
      </w:r>
      <w:r>
        <w:t xml:space="preserve">(par défaut) </w:t>
      </w:r>
      <w:r>
        <w:rPr>
          <w:rStyle w:val="optioncarChar"/>
        </w:rPr>
        <w:t>/ ***</w:t>
      </w:r>
      <w:r>
        <w:t xml:space="preserve"> de la face de parement du mur.</w:t>
      </w:r>
    </w:p>
    <w:p w14:paraId="221654F7" w14:textId="77777777" w:rsidR="00DB2B68" w:rsidRDefault="00000000">
      <w:pPr>
        <w:jc w:val="both"/>
      </w:pPr>
      <w:r>
        <w:t xml:space="preserve">L’épaisseur est de </w:t>
      </w:r>
      <w:r>
        <w:rPr>
          <w:rStyle w:val="optioncarChar"/>
        </w:rPr>
        <w:t xml:space="preserve">50 </w:t>
      </w:r>
      <w:r>
        <w:t>(par défaut) </w:t>
      </w:r>
      <w:r>
        <w:rPr>
          <w:rStyle w:val="optioncarChar"/>
        </w:rPr>
        <w:t>/ 60 / 80 / ***</w:t>
      </w:r>
      <w:r>
        <w:t xml:space="preserve"> mm (min. 80 mm en cas de béton armé). La longueur des éléments est :</w:t>
      </w:r>
      <w:r>
        <w:rPr>
          <w:rStyle w:val="optioncarChar"/>
        </w:rPr>
        <w:t xml:space="preserve"> 80 </w:t>
      </w:r>
      <w:r>
        <w:t>(par défaut) </w:t>
      </w:r>
      <w:r>
        <w:rPr>
          <w:rStyle w:val="optioncarChar"/>
        </w:rPr>
        <w:t>/ 100 / ***</w:t>
      </w:r>
      <w:r>
        <w:t xml:space="preserve"> cm.</w:t>
      </w:r>
    </w:p>
    <w:p w14:paraId="4DC63F54" w14:textId="77777777" w:rsidR="00DB2B68" w:rsidRDefault="00000000">
      <w:pPr>
        <w:jc w:val="both"/>
      </w:pPr>
      <w:r>
        <w:t xml:space="preserve">Les boutisses des éléments sont </w:t>
      </w:r>
      <w:r>
        <w:rPr>
          <w:rStyle w:val="optioncarChar"/>
        </w:rPr>
        <w:t>planes </w:t>
      </w:r>
      <w:r>
        <w:t>(par défaut)</w:t>
      </w:r>
      <w:r>
        <w:rPr>
          <w:rStyle w:val="optioncarChar"/>
        </w:rPr>
        <w:t xml:space="preserve"> / à emboîtement (couvre-joint) / ***</w:t>
      </w:r>
      <w:r>
        <w:t>.</w:t>
      </w:r>
    </w:p>
    <w:p w14:paraId="49784AD0" w14:textId="77777777" w:rsidR="00DB2B68" w:rsidRDefault="00000000">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14:paraId="26DAEA7A" w14:textId="77777777" w:rsidR="00DB2B68" w:rsidRDefault="00000000">
      <w:pPr>
        <w:jc w:val="both"/>
      </w:pPr>
      <w:r>
        <w:t>Le modèle, y compris les pièces d’angle et de terminaison, est soumis pour approbation à l’auteur de projet.</w:t>
      </w:r>
    </w:p>
    <w:p w14:paraId="376206CA" w14:textId="77777777" w:rsidR="00DB2B68" w:rsidRDefault="00000000">
      <w:pPr>
        <w:jc w:val="both"/>
      </w:pPr>
      <w:r>
        <w:lastRenderedPageBreak/>
        <w:t>Le mortier de pose répond aux spécifications de la [NBN EN 998-2]. Il est adapté aux éléments qu’il lie et n’a pas d’influence négative ni sur la résistance ni sur les qualités esthétiques. Il est de classe M10. Pour de petites quantité, le mortier peut être dosé in situ et préparé mécaniquement.</w:t>
      </w:r>
    </w:p>
    <w:p w14:paraId="46AB3D43" w14:textId="77777777" w:rsidR="00DB2B68" w:rsidRDefault="00000000">
      <w:pPr>
        <w:jc w:val="both"/>
      </w:pPr>
      <w:r>
        <w:t xml:space="preserve">Les joints souples sont constitués de </w:t>
      </w:r>
      <w:r>
        <w:rPr>
          <w:rStyle w:val="optioncarChar"/>
        </w:rPr>
        <w:t>mastic</w:t>
      </w:r>
      <w:r>
        <w:t xml:space="preserve"> (par défaut) </w:t>
      </w:r>
      <w:r>
        <w:rPr>
          <w:rStyle w:val="optioncarChar"/>
        </w:rPr>
        <w:t>/ joint préformé</w:t>
      </w:r>
    </w:p>
    <w:p w14:paraId="325A10ED" w14:textId="77777777" w:rsidR="00DB2B68" w:rsidRDefault="00000000">
      <w:pPr>
        <w:jc w:val="both"/>
      </w:pPr>
      <w:r>
        <w:rPr>
          <w:b/>
        </w:rPr>
        <w:t>(soit par défaut)</w:t>
      </w:r>
    </w:p>
    <w:p w14:paraId="444828EB" w14:textId="77777777" w:rsidR="00DB2B68" w:rsidRDefault="00000000">
      <w:pPr>
        <w:jc w:val="both"/>
      </w:pPr>
      <w:r>
        <w:rPr>
          <w:rStyle w:val="soitChar"/>
        </w:rPr>
        <w:t>1.</w:t>
      </w:r>
      <w:r>
        <w:rPr>
          <w:rStyle w:val="soitChar"/>
          <w:u w:val="single"/>
        </w:rPr>
        <w:t> Mastic</w:t>
      </w:r>
    </w:p>
    <w:p w14:paraId="1F568A87" w14:textId="77777777" w:rsidR="00DB2B68" w:rsidRDefault="00000000">
      <w:pPr>
        <w:jc w:val="both"/>
      </w:pPr>
      <w:r>
        <w:rPr>
          <w:rStyle w:val="soitChar"/>
        </w:rPr>
        <w:t xml:space="preserve"> Les joints de mastic sont conformes aux [NBN EN 15651-4] ou [NBN EN ISO 11600].  L’épaisseur du joint est</w:t>
      </w:r>
      <w:r>
        <w:rPr>
          <w:rStyle w:val="optioncarChar"/>
        </w:rPr>
        <w:t>8 mm</w:t>
      </w:r>
      <w:r>
        <w:t xml:space="preserve"> (par défaut)</w:t>
      </w:r>
      <w:r>
        <w:rPr>
          <w:rStyle w:val="optioncarChar"/>
        </w:rPr>
        <w:t xml:space="preserve"> / *** mm</w:t>
      </w:r>
      <w:r>
        <w:t xml:space="preserve">. </w:t>
      </w:r>
      <w:r>
        <w:rPr>
          <w:rStyle w:val="soitChar"/>
        </w:rPr>
        <w:t>Les mastics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14:paraId="560D17A3" w14:textId="77777777" w:rsidR="00DB2B68" w:rsidRDefault="00000000">
      <w:pPr>
        <w:jc w:val="both"/>
      </w:pPr>
      <w:r>
        <w:rPr>
          <w:b/>
        </w:rPr>
        <w:t>(soit)</w:t>
      </w:r>
    </w:p>
    <w:p w14:paraId="4F50A3B4" w14:textId="77777777" w:rsidR="00DB2B68" w:rsidRDefault="00000000">
      <w:pPr>
        <w:jc w:val="both"/>
      </w:pPr>
      <w:r>
        <w:rPr>
          <w:rStyle w:val="soitChar"/>
        </w:rPr>
        <w:t xml:space="preserve">2. </w:t>
      </w:r>
      <w:r>
        <w:rPr>
          <w:rStyle w:val="soitChar"/>
          <w:u w:val="single"/>
        </w:rPr>
        <w:t>Préformé d’étanchéité</w:t>
      </w:r>
    </w:p>
    <w:p w14:paraId="63A501E9" w14:textId="77777777" w:rsidR="00DB2B68" w:rsidRDefault="00000000">
      <w:pPr>
        <w:jc w:val="both"/>
      </w:pPr>
      <w:r>
        <w:rPr>
          <w:rStyle w:val="soitChar"/>
        </w:rPr>
        <w:t xml:space="preserve"> Les préformés sont constitué de joint plein/creux en EPDM ou autre élastomère équivalent. Le préformé résiste aux UV et intempéries</w:t>
      </w:r>
      <w:r>
        <w:t>.</w:t>
      </w:r>
    </w:p>
    <w:p w14:paraId="4C473976" w14:textId="77777777" w:rsidR="00DB2B68" w:rsidRDefault="00000000">
      <w:pPr>
        <w:pStyle w:val="pheading"/>
      </w:pPr>
      <w:r>
        <w:t>- Finitions</w:t>
      </w:r>
    </w:p>
    <w:p w14:paraId="63743A55" w14:textId="77777777" w:rsidR="00DB2B68" w:rsidRDefault="00000000">
      <w:pPr>
        <w:jc w:val="both"/>
      </w:pPr>
      <w:r>
        <w:t xml:space="preserve">La surface du béton est </w:t>
      </w:r>
      <w:r>
        <w:rPr>
          <w:rStyle w:val="optioncarChar"/>
        </w:rPr>
        <w:t xml:space="preserve">brute et lisse / brute et finement texturée </w:t>
      </w:r>
      <w:r>
        <w:t>(par défaut)</w:t>
      </w:r>
      <w:r>
        <w:rPr>
          <w:rStyle w:val="optioncarChar"/>
        </w:rPr>
        <w:t xml:space="preserve"> / brute et grossièrement texturée / brute à relief (ou structurée)</w:t>
      </w:r>
    </w:p>
    <w:p w14:paraId="7CEEC03E" w14:textId="77777777" w:rsidR="00DB2B68" w:rsidRDefault="00000000">
      <w:pPr>
        <w:jc w:val="both"/>
      </w:pPr>
      <w:r>
        <w:t xml:space="preserve">La couleur du couvre-mur est </w:t>
      </w:r>
      <w:r>
        <w:rPr>
          <w:rStyle w:val="optioncarChar"/>
        </w:rPr>
        <w:t>blanc-gris </w:t>
      </w:r>
      <w:r>
        <w:t>(par défaut)</w:t>
      </w:r>
      <w:r>
        <w:rPr>
          <w:rStyle w:val="optioncarChar"/>
        </w:rPr>
        <w:t xml:space="preserve"> / gris / ***</w:t>
      </w:r>
      <w:r>
        <w:t>.</w:t>
      </w:r>
    </w:p>
    <w:p w14:paraId="6E5203E8" w14:textId="77777777" w:rsidR="00DB2B68" w:rsidRDefault="00000000">
      <w:pPr>
        <w:jc w:val="both"/>
      </w:pPr>
      <w:r>
        <w:rPr>
          <w:u w:val="single"/>
        </w:rPr>
        <w:t>Terminaison des arêtes</w:t>
      </w:r>
    </w:p>
    <w:p w14:paraId="5B6CBF02" w14:textId="77777777" w:rsidR="00DB2B68" w:rsidRDefault="00000000">
      <w:pPr>
        <w:jc w:val="both"/>
      </w:pPr>
      <w:r>
        <w:t xml:space="preserve"> Les arêtes des éléments sont </w:t>
      </w:r>
      <w:r>
        <w:rPr>
          <w:rStyle w:val="optioncarChar"/>
        </w:rPr>
        <w:t>chanfreinées en triangle / chanfreinées en arrondi / vives</w:t>
      </w:r>
    </w:p>
    <w:p w14:paraId="75E8A6EF" w14:textId="77777777" w:rsidR="00DB2B68" w:rsidRDefault="00DB2B68"/>
    <w:p w14:paraId="79591EA6" w14:textId="77777777" w:rsidR="00DB2B68" w:rsidRDefault="00000000">
      <w:pPr>
        <w:jc w:val="both"/>
      </w:pPr>
      <w:r>
        <w:rPr>
          <w:b/>
        </w:rPr>
        <w:t xml:space="preserve"> (soit par défaut)</w:t>
      </w:r>
    </w:p>
    <w:p w14:paraId="6AF9C202" w14:textId="77777777" w:rsidR="00DB2B68" w:rsidRDefault="00000000">
      <w:pPr>
        <w:jc w:val="both"/>
      </w:pPr>
      <w:r>
        <w:rPr>
          <w:rStyle w:val="soitChar"/>
        </w:rPr>
        <w:t>1. C</w:t>
      </w:r>
      <w:r>
        <w:rPr>
          <w:rStyle w:val="soitChar"/>
          <w:u w:val="single"/>
        </w:rPr>
        <w:t>hanfreinées en triangle</w:t>
      </w:r>
    </w:p>
    <w:p w14:paraId="0A94C2BD" w14:textId="77777777" w:rsidR="00DB2B68" w:rsidRDefault="00000000">
      <w:pPr>
        <w:jc w:val="both"/>
      </w:pPr>
      <w:r>
        <w:rPr>
          <w:rStyle w:val="soitChar"/>
        </w:rPr>
        <w:t xml:space="preserve"> Les arêtes sont cassées au moyen d'un chanfrein de</w:t>
      </w:r>
      <w:r>
        <w:rPr>
          <w:rStyle w:val="soitChar"/>
          <w:color w:val="000000"/>
        </w:rPr>
        <w:t> </w:t>
      </w:r>
      <w:r>
        <w:rPr>
          <w:rStyle w:val="optioncarChar"/>
        </w:rPr>
        <w:t>2 x 2 </w:t>
      </w:r>
      <w:r>
        <w:t>(par défaut)</w:t>
      </w:r>
      <w:r>
        <w:rPr>
          <w:rStyle w:val="optioncarChar"/>
        </w:rPr>
        <w:t xml:space="preserve"> / *** mm x *** mm.</w:t>
      </w:r>
    </w:p>
    <w:p w14:paraId="07FF7174" w14:textId="77777777" w:rsidR="00DB2B68" w:rsidRDefault="00DB2B68">
      <w:pPr>
        <w:jc w:val="both"/>
      </w:pPr>
    </w:p>
    <w:p w14:paraId="6DB029BB" w14:textId="77777777" w:rsidR="00DB2B68" w:rsidRDefault="00000000">
      <w:pPr>
        <w:jc w:val="both"/>
      </w:pPr>
      <w:r>
        <w:rPr>
          <w:b/>
        </w:rPr>
        <w:t>(soit)</w:t>
      </w:r>
    </w:p>
    <w:p w14:paraId="1A3DECC9" w14:textId="77777777" w:rsidR="00DB2B68" w:rsidRDefault="00000000">
      <w:pPr>
        <w:jc w:val="both"/>
      </w:pPr>
      <w:r>
        <w:rPr>
          <w:rStyle w:val="soitChar"/>
        </w:rPr>
        <w:t>2. C</w:t>
      </w:r>
      <w:r>
        <w:rPr>
          <w:rStyle w:val="soitChar"/>
          <w:u w:val="single"/>
        </w:rPr>
        <w:t>hanfreinées en arrondi</w:t>
      </w:r>
    </w:p>
    <w:p w14:paraId="54B1AC9E" w14:textId="77777777" w:rsidR="00DB2B68" w:rsidRDefault="00000000">
      <w:pPr>
        <w:jc w:val="both"/>
      </w:pPr>
      <w:r>
        <w:rPr>
          <w:rStyle w:val="soitChar"/>
        </w:rPr>
        <w:t xml:space="preserve"> Les arêtes sont cassées au moyen d'un chanfrein de rayon</w:t>
      </w:r>
      <w:r>
        <w:rPr>
          <w:rStyle w:val="soitChar"/>
          <w:color w:val="000000"/>
        </w:rPr>
        <w:t> </w:t>
      </w:r>
      <w:r>
        <w:rPr>
          <w:rStyle w:val="optioncarChar"/>
        </w:rPr>
        <w:t>5 </w:t>
      </w:r>
      <w:r>
        <w:t>(par défaut) </w:t>
      </w:r>
      <w:r>
        <w:rPr>
          <w:rStyle w:val="optioncarChar"/>
        </w:rPr>
        <w:t>/ ***</w:t>
      </w:r>
      <w:r>
        <w:rPr>
          <w:rStyle w:val="soitChar"/>
        </w:rPr>
        <w:t>mm .</w:t>
      </w:r>
    </w:p>
    <w:p w14:paraId="3F37FBD2" w14:textId="77777777" w:rsidR="00DB2B68" w:rsidRDefault="00DB2B68">
      <w:pPr>
        <w:jc w:val="both"/>
      </w:pPr>
    </w:p>
    <w:p w14:paraId="61C479A2" w14:textId="77777777" w:rsidR="00DB2B68" w:rsidRDefault="00000000">
      <w:pPr>
        <w:jc w:val="both"/>
      </w:pPr>
      <w:r>
        <w:rPr>
          <w:b/>
        </w:rPr>
        <w:t>(soit)</w:t>
      </w:r>
    </w:p>
    <w:p w14:paraId="497B2D98" w14:textId="77777777" w:rsidR="00DB2B68" w:rsidRDefault="00000000">
      <w:pPr>
        <w:jc w:val="both"/>
      </w:pPr>
      <w:r>
        <w:rPr>
          <w:rStyle w:val="soitChar"/>
        </w:rPr>
        <w:t>3. V</w:t>
      </w:r>
      <w:r>
        <w:rPr>
          <w:rStyle w:val="soitChar"/>
          <w:u w:val="single"/>
        </w:rPr>
        <w:t>ives</w:t>
      </w:r>
    </w:p>
    <w:p w14:paraId="1590EFB8" w14:textId="77777777" w:rsidR="00DB2B68" w:rsidRDefault="00000000">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p>
    <w:p w14:paraId="744934F7" w14:textId="77777777" w:rsidR="00DB2B68" w:rsidRDefault="00000000">
      <w:pPr>
        <w:jc w:val="both"/>
      </w:pPr>
      <w:r>
        <w:t xml:space="preserve">La teinte des joints souples est : </w:t>
      </w:r>
      <w:r>
        <w:rPr>
          <w:rStyle w:val="optioncarChar"/>
        </w:rPr>
        <w:t>au choix de l’auteur de projet</w:t>
      </w:r>
      <w:r>
        <w:t xml:space="preserve"> (par défaut) </w:t>
      </w:r>
      <w:r>
        <w:rPr>
          <w:rStyle w:val="optioncarChar"/>
        </w:rPr>
        <w:t>/ teinte proche de celle des couvre-murs / gris / gris-blanc / ***</w:t>
      </w:r>
      <w:r>
        <w:t>. Leur répartition est soumise à l’approbation de l’auteur de projet.</w:t>
      </w:r>
    </w:p>
    <w:p w14:paraId="3781E0BE" w14:textId="77777777" w:rsidR="00DB2B68" w:rsidRDefault="00000000">
      <w:pPr>
        <w:pStyle w:val="pheading"/>
      </w:pPr>
      <w:r>
        <w:t>EXÉCUTION / MISE EN ŒUVRE</w:t>
      </w:r>
    </w:p>
    <w:p w14:paraId="0C9799FD" w14:textId="77777777" w:rsidR="00DB2B68" w:rsidRDefault="00000000">
      <w:pPr>
        <w:pStyle w:val="pheading"/>
      </w:pPr>
      <w:r>
        <w:t>- Prescriptions générales</w:t>
      </w:r>
    </w:p>
    <w:p w14:paraId="2EFB44E5" w14:textId="77777777" w:rsidR="00DB2B68" w:rsidRDefault="00000000">
      <w:pPr>
        <w:jc w:val="both"/>
      </w:pPr>
      <w:r>
        <w:t xml:space="preserve">L’exécution est réalisée selon le §6.4.3 de la [NIT 244]. Les éléments sont placés </w:t>
      </w:r>
      <w:r>
        <w:rPr>
          <w:rStyle w:val="optioncarChar"/>
        </w:rPr>
        <w:t>selon les détails techniques joints / selon les indications préalablement convenues, dont les schémas sont soumis à l’approbation de l’auteur de projet</w:t>
      </w:r>
      <w:r>
        <w:t xml:space="preserve"> (par défaut). Le mur à recouvrir présente une largeur de </w:t>
      </w:r>
      <w:r>
        <w:rPr>
          <w:rStyle w:val="optioncarChar"/>
        </w:rPr>
        <w:t>voir plans</w:t>
      </w:r>
      <w:r>
        <w:t xml:space="preserve"> (par défaut)</w:t>
      </w:r>
      <w:r>
        <w:rPr>
          <w:rStyle w:val="optioncarChar"/>
        </w:rPr>
        <w:t xml:space="preserve"> / 19 / 24 / 29 / ***</w:t>
      </w:r>
      <w:r>
        <w:t xml:space="preserve"> cm. En cas de recouvrement d’une rive de toiture, la pente est dirigée vers la toiture. Les faces avant du couvre-murs débordent de</w:t>
      </w:r>
      <w:r>
        <w:rPr>
          <w:rStyle w:val="optioncarChar"/>
        </w:rPr>
        <w:t xml:space="preserve"> 50</w:t>
      </w:r>
      <w:r>
        <w:t xml:space="preserve"> (par défaut) </w:t>
      </w:r>
      <w:r>
        <w:rPr>
          <w:rStyle w:val="optioncarChar"/>
        </w:rPr>
        <w:t>/ ***</w:t>
      </w:r>
      <w:r>
        <w:t xml:space="preserve"> mm de la face de parement du mur. Les joints de dilatation de la structure doivent être répercutés.</w:t>
      </w:r>
    </w:p>
    <w:p w14:paraId="788ED1B1" w14:textId="77777777" w:rsidR="00DB2B68" w:rsidRDefault="00000000">
      <w:pPr>
        <w:jc w:val="both"/>
      </w:pPr>
      <w:r>
        <w:lastRenderedPageBreak/>
        <w:t>En cas d’éléments à boutisses planes :</w:t>
      </w:r>
    </w:p>
    <w:p w14:paraId="1A0F5E9A" w14:textId="77777777" w:rsidR="00DB2B68" w:rsidRDefault="00000000">
      <w:pPr>
        <w:pStyle w:val="Author-eListParagraph"/>
        <w:numPr>
          <w:ilvl w:val="0"/>
          <w:numId w:val="281"/>
        </w:numPr>
      </w:pPr>
      <w:r>
        <w:t>on place préalablement sous les éléments au droit de chaque joint intermédiaire une isolation à l’humidité sous la forme d’une bande de métal repliée ou un autre matériau rigide adéquat qui déborde de 10 mm du parement du mur ;</w:t>
      </w:r>
    </w:p>
    <w:p w14:paraId="5AACF19E" w14:textId="77777777" w:rsidR="00DB2B68" w:rsidRDefault="00000000">
      <w:pPr>
        <w:pStyle w:val="Author-eListParagraph"/>
        <w:numPr>
          <w:ilvl w:val="0"/>
          <w:numId w:val="281"/>
        </w:numPr>
      </w:pPr>
      <w:r>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adapté</w:t>
      </w:r>
      <w:r>
        <w:t>.</w:t>
      </w:r>
    </w:p>
    <w:p w14:paraId="37BE12AA" w14:textId="77777777" w:rsidR="00DB2B68" w:rsidRDefault="00000000">
      <w:pPr>
        <w:jc w:val="both"/>
      </w:pPr>
      <w:r>
        <w:t>En cas d’éléments avec emboîtement :</w:t>
      </w:r>
    </w:p>
    <w:p w14:paraId="11DEDC8D" w14:textId="77777777" w:rsidR="00DB2B68" w:rsidRDefault="00000000">
      <w:pPr>
        <w:pStyle w:val="Author-eListParagraph"/>
        <w:numPr>
          <w:ilvl w:val="0"/>
          <w:numId w:val="282"/>
        </w:numPr>
      </w:pPr>
      <w:r>
        <w:t>l’emboîtement est placé de telle manière que les infiltrations d’eau sont contrariées. L’emboîtement est rempli à l’aide d’un mortier étanche. L’étanchéité finale du joint est obtenue à l’aide d’un joint souple posé sur un fond de joint.</w:t>
      </w:r>
    </w:p>
    <w:p w14:paraId="2DBFCA11" w14:textId="77777777" w:rsidR="00DB2B68" w:rsidRDefault="00000000">
      <w:pPr>
        <w:pStyle w:val="pheading"/>
      </w:pPr>
      <w:r>
        <w:t>- Notes d’exécution complémentaires</w:t>
      </w:r>
    </w:p>
    <w:p w14:paraId="31B7B489" w14:textId="77777777" w:rsidR="00DB2B68" w:rsidRDefault="00000000">
      <w:r>
        <w:t xml:space="preserve">Un </w:t>
      </w:r>
      <w:r>
        <w:rPr>
          <w:u w:val="single"/>
        </w:rPr>
        <w:t>ancrage inoxydable</w:t>
      </w:r>
      <w:r>
        <w:t xml:space="preserve"> dans la maçonnerie sous-jacente est prévu.</w:t>
      </w:r>
      <w:r>
        <w:br/>
        <w:t xml:space="preserve">Le </w:t>
      </w:r>
      <w:r>
        <w:rPr>
          <w:u w:val="single"/>
        </w:rPr>
        <w:t>lit de mortier</w:t>
      </w:r>
      <w:r>
        <w:t xml:space="preserve"> est composé d’un mélange </w:t>
      </w:r>
      <w:r>
        <w:rPr>
          <w:rStyle w:val="optioncarChar"/>
        </w:rPr>
        <w:t>présentant une plasticité importante</w:t>
      </w:r>
      <w:r>
        <w:t xml:space="preserve"> (par défaut)</w:t>
      </w:r>
      <w:r>
        <w:rPr>
          <w:rStyle w:val="optioncarChar"/>
        </w:rPr>
        <w:t xml:space="preserve"> / ***</w:t>
      </w:r>
      <w:r>
        <w:t xml:space="preserve"> avec ajout d’une émulsion synthétique répulsive à l’eau.</w:t>
      </w:r>
    </w:p>
    <w:p w14:paraId="6F95B4BF" w14:textId="77777777" w:rsidR="00DB2B68" w:rsidRDefault="00000000">
      <w:pPr>
        <w:pStyle w:val="pheading"/>
      </w:pPr>
      <w:r>
        <w:t>DOCUMENTS DE RÉFÉRENCE COMPLÉMENTAIRES</w:t>
      </w:r>
    </w:p>
    <w:p w14:paraId="5D440071" w14:textId="77777777" w:rsidR="00DB2B68" w:rsidRDefault="00000000">
      <w:pPr>
        <w:pStyle w:val="pheading"/>
      </w:pPr>
      <w:r>
        <w:t>- Matériau</w:t>
      </w:r>
    </w:p>
    <w:p w14:paraId="14D1CF09" w14:textId="77777777" w:rsidR="00DB2B68" w:rsidRDefault="00000000">
      <w:r>
        <w:t>[NBN EN 206:2013+A2, Béton - Spécification, performances, production et conformité]</w:t>
      </w:r>
    </w:p>
    <w:p w14:paraId="500059E5" w14:textId="77777777" w:rsidR="00DB2B68" w:rsidRDefault="00000000">
      <w:r>
        <w:t>[NBN B 15-001, Béton - Spécification, performances, production et conformité - Complément national à la NBN EN 206:2013+A2:2021]</w:t>
      </w:r>
    </w:p>
    <w:p w14:paraId="388586ED" w14:textId="77777777" w:rsidR="00DB2B68" w:rsidRDefault="00000000">
      <w:r>
        <w:t>[NBN EN 998-2, Définitions et spécifications des mortiers pour maçonnerie - Partie 2: Mortiers de montage des éléments de maçonnerie]</w:t>
      </w:r>
    </w:p>
    <w:p w14:paraId="7595F8AD" w14:textId="77777777" w:rsidR="00DB2B68" w:rsidRDefault="00000000">
      <w:r>
        <w:t>[NBN EN 13369, Règles communes pour les produits préfabriqués en béton]</w:t>
      </w:r>
    </w:p>
    <w:p w14:paraId="15720919" w14:textId="77777777" w:rsidR="00DB2B68" w:rsidRDefault="00000000">
      <w:r>
        <w:t>[NBN B 21-600, Règles communes pour les produits préfabriqués en béton - Complément national à la NBN EN 13369:2004+A1:2006+AC:2006]</w:t>
      </w:r>
    </w:p>
    <w:p w14:paraId="52D3CE7C" w14:textId="77777777" w:rsidR="00DB2B68" w:rsidRDefault="00000000">
      <w:r>
        <w:t>[NBN EN 15651-4, Mastics pour joints pour des usages non structuraux dans les constructions immobilières et pour chemins piétonniers - Partie 4 : Mastics pour chemins piétonniers]</w:t>
      </w:r>
    </w:p>
    <w:p w14:paraId="22A5530D" w14:textId="77777777" w:rsidR="00DB2B68" w:rsidRDefault="00000000">
      <w:r>
        <w:t>[NBN EN ISO 11600, Construction immobilière - Produits pour joints - Classification et exigences pour les mastics (ISO 11600:2002)]</w:t>
      </w:r>
    </w:p>
    <w:p w14:paraId="3B6FD1B2" w14:textId="77777777" w:rsidR="00DB2B68" w:rsidRDefault="00DB2B68"/>
    <w:p w14:paraId="4BCC6770" w14:textId="77777777" w:rsidR="00DB2B68" w:rsidRDefault="00000000">
      <w:pPr>
        <w:pStyle w:val="pheading"/>
      </w:pPr>
      <w:r>
        <w:t>- Exécution</w:t>
      </w:r>
    </w:p>
    <w:p w14:paraId="7BA9225A" w14:textId="77777777" w:rsidR="00DB2B68" w:rsidRDefault="00000000">
      <w:r>
        <w:t>[NIT 244, Les ouvrages de raccord des toitures plates : principes généraux (remplace la NIT 191) (+ correctifs de février 2015).]</w:t>
      </w:r>
    </w:p>
    <w:p w14:paraId="2297E1C4" w14:textId="77777777" w:rsidR="00DB2B68" w:rsidRDefault="00000000">
      <w:pPr>
        <w:pStyle w:val="pheading"/>
      </w:pPr>
      <w:r>
        <w:t>MESURAGE</w:t>
      </w:r>
    </w:p>
    <w:p w14:paraId="37BCD47A" w14:textId="77777777" w:rsidR="00DB2B68" w:rsidRDefault="00000000">
      <w:pPr>
        <w:pStyle w:val="pheading"/>
      </w:pPr>
      <w:r>
        <w:t>- unité de mesure:</w:t>
      </w:r>
    </w:p>
    <w:p w14:paraId="62300F9B" w14:textId="77777777" w:rsidR="00DB2B68" w:rsidRDefault="00000000">
      <w:r>
        <w:rPr>
          <w:rStyle w:val="optioncarChar"/>
        </w:rPr>
        <w:t>m³ / m² / m</w:t>
      </w:r>
      <w:r>
        <w:t xml:space="preserve"> (par défaut)</w:t>
      </w:r>
      <w:r>
        <w:rPr>
          <w:rStyle w:val="optioncarChar"/>
        </w:rPr>
        <w:t xml:space="preserve"> / Pce</w:t>
      </w:r>
    </w:p>
    <w:p w14:paraId="68D38B7E" w14:textId="77777777" w:rsidR="00DB2B68" w:rsidRDefault="00000000">
      <w:pPr>
        <w:pStyle w:val="pheading"/>
      </w:pPr>
      <w:r>
        <w:t>- nature du marché:</w:t>
      </w:r>
    </w:p>
    <w:p w14:paraId="169B46FA" w14:textId="77777777" w:rsidR="00DB2B68" w:rsidRDefault="00000000">
      <w:r>
        <w:rPr>
          <w:rStyle w:val="optioncarChar"/>
        </w:rPr>
        <w:t>QF</w:t>
      </w:r>
      <w:r>
        <w:t xml:space="preserve"> (par défaut)</w:t>
      </w:r>
      <w:r>
        <w:rPr>
          <w:rStyle w:val="optioncarChar"/>
        </w:rPr>
        <w:t xml:space="preserve"> / QP</w:t>
      </w:r>
    </w:p>
    <w:p w14:paraId="5DFEB55E" w14:textId="77777777" w:rsidR="00DB2B68" w:rsidRDefault="00000000">
      <w:pPr>
        <w:pStyle w:val="Author-eSectionHeading6Numberless"/>
      </w:pPr>
      <w:bookmarkStart w:id="329" w:name="_Toc220495447"/>
      <w:r>
        <w:t>21.36.5c Couvre-murs en éléments préfabriqués en béton décoratif / architectonique CCTB 01.13</w:t>
      </w:r>
      <w:bookmarkEnd w:id="329"/>
    </w:p>
    <w:p w14:paraId="0F80BB1B" w14:textId="77777777" w:rsidR="00DB2B68" w:rsidRDefault="00000000">
      <w:pPr>
        <w:pStyle w:val="pheading"/>
      </w:pPr>
      <w:r>
        <w:t>DESCRIPTION</w:t>
      </w:r>
    </w:p>
    <w:p w14:paraId="5896BA1F" w14:textId="77777777" w:rsidR="00DB2B68" w:rsidRDefault="00000000">
      <w:pPr>
        <w:pStyle w:val="pheading"/>
      </w:pPr>
      <w:r>
        <w:t>- Définition / Comprend</w:t>
      </w:r>
    </w:p>
    <w:p w14:paraId="296F23C2" w14:textId="77777777" w:rsidR="00DB2B68" w:rsidRDefault="00000000">
      <w:pPr>
        <w:jc w:val="both"/>
      </w:pPr>
      <w:r>
        <w:lastRenderedPageBreak/>
        <w:t xml:space="preserve">Cet article vise la fourniture et la pose de couvre-murs en éléments préfabriqués en béton décoratif / architectonique. La portée des travaux est décrite dans l’article </w:t>
      </w:r>
      <w:hyperlink w:anchor="412" w:history="1">
        <w:r>
          <w:rPr>
            <w:color w:val="0000EE"/>
          </w:rPr>
          <w:t>21.36.5 Couvre-murs</w:t>
        </w:r>
      </w:hyperlink>
      <w:r>
        <w:t>.</w:t>
      </w:r>
    </w:p>
    <w:p w14:paraId="27BBA3EB" w14:textId="77777777" w:rsidR="00DB2B68" w:rsidRDefault="00000000">
      <w:pPr>
        <w:jc w:val="both"/>
      </w:pPr>
      <w:r>
        <w:t>Les travaux comprennent notamment la fourniture et la pose des pièces d’angle, de terminaison et de rencontre.</w:t>
      </w:r>
    </w:p>
    <w:p w14:paraId="648C2B10" w14:textId="77777777" w:rsidR="00DB2B68" w:rsidRDefault="00000000">
      <w:pPr>
        <w:pStyle w:val="pheading"/>
      </w:pPr>
      <w:r>
        <w:t>- Localisation</w:t>
      </w:r>
    </w:p>
    <w:p w14:paraId="705CE398" w14:textId="77777777" w:rsidR="00DB2B68" w:rsidRDefault="00000000">
      <w:pPr>
        <w:jc w:val="both"/>
      </w:pPr>
      <w:r>
        <w:t xml:space="preserve">La pose est réalisée aux endroits suivants : </w:t>
      </w:r>
      <w:r>
        <w:rPr>
          <w:rStyle w:val="optioncarChar"/>
        </w:rPr>
        <w:t>***</w:t>
      </w:r>
      <w:r>
        <w:t>.</w:t>
      </w:r>
    </w:p>
    <w:p w14:paraId="369435CE" w14:textId="77777777" w:rsidR="00DB2B68" w:rsidRDefault="00000000">
      <w:pPr>
        <w:jc w:val="both"/>
      </w:pPr>
      <w:r>
        <w:t>Voir plans et métrés détaillés.</w:t>
      </w:r>
    </w:p>
    <w:p w14:paraId="6EE0F5C7" w14:textId="77777777" w:rsidR="00DB2B68" w:rsidRDefault="00000000">
      <w:pPr>
        <w:pStyle w:val="pheading"/>
      </w:pPr>
      <w:r>
        <w:t>MATÉRIAUX</w:t>
      </w:r>
    </w:p>
    <w:p w14:paraId="4741BA3F" w14:textId="77777777" w:rsidR="00DB2B68" w:rsidRDefault="00000000">
      <w:pPr>
        <w:pStyle w:val="pheading"/>
      </w:pPr>
      <w:r>
        <w:t>- Caractéristiques générales</w:t>
      </w:r>
    </w:p>
    <w:p w14:paraId="3F92CC8B" w14:textId="77777777" w:rsidR="00DB2B68" w:rsidRDefault="00000000">
      <w:pPr>
        <w:jc w:val="both"/>
      </w:pPr>
      <w:r>
        <w:t xml:space="preserve">Il s’agit de couvre-murs en béton préfabriqué réalisé conformément aux normes [NBN EN 13369] et [NBN B 21-600] et au [PTV 21-601], selon le chapitre </w:t>
      </w:r>
      <w:hyperlink w:anchor="87" w:history="1">
        <w:r>
          <w:rPr>
            <w:color w:val="0000EE"/>
          </w:rPr>
          <w:t>22 Superstructures en béton</w:t>
        </w:r>
      </w:hyperlink>
      <w:r>
        <w:t>.</w:t>
      </w:r>
    </w:p>
    <w:p w14:paraId="7DBDB92C" w14:textId="77777777" w:rsidR="00DB2B68" w:rsidRDefault="00000000">
      <w:pPr>
        <w:jc w:val="both"/>
      </w:pPr>
      <w:r>
        <w:t>La qualité du béton selon la [NBN EN 206:2013+A2] et la [NBN B 15-001] est :</w:t>
      </w:r>
    </w:p>
    <w:p w14:paraId="7275D487" w14:textId="77777777" w:rsidR="00DB2B68" w:rsidRDefault="00000000">
      <w:pPr>
        <w:jc w:val="both"/>
      </w:pPr>
      <w:r>
        <w:t>Classe minimale de résistance : C35/45 (cf. [PTV 21-601]).</w:t>
      </w:r>
    </w:p>
    <w:p w14:paraId="2D672F83" w14:textId="77777777" w:rsidR="00DB2B68" w:rsidRDefault="00000000">
      <w:pPr>
        <w:jc w:val="both"/>
      </w:pPr>
      <w:r>
        <w:t xml:space="preserve">Classe de résistance à la compression : </w:t>
      </w:r>
      <w:r>
        <w:rPr>
          <w:rStyle w:val="optioncarChar"/>
        </w:rPr>
        <w:t>C35/45 // C45/55 // C50/60 // C55/67 // C60/75 // C70/85 // C80/95 // C90/105 /// ***</w:t>
      </w:r>
    </w:p>
    <w:p w14:paraId="6A9680CA" w14:textId="77777777" w:rsidR="00DB2B68" w:rsidRDefault="00000000">
      <w:pPr>
        <w:jc w:val="both"/>
      </w:pPr>
      <w:r>
        <w:t>Classe d’environnement : </w:t>
      </w:r>
      <w:r>
        <w:rPr>
          <w:rStyle w:val="optioncarChar"/>
        </w:rPr>
        <w:t>EE3 / EE4 / ES1 / ES2 / ES3 / ES4 / EA1+*** / EA2+***/ EA3+*** / ***</w:t>
      </w:r>
    </w:p>
    <w:p w14:paraId="2AD7BB2C" w14:textId="77777777" w:rsidR="00DB2B68" w:rsidRDefault="00000000">
      <w:pPr>
        <w:jc w:val="both"/>
      </w:pPr>
      <w:r>
        <w:t xml:space="preserve">Armatures : </w:t>
      </w:r>
      <w:r>
        <w:rPr>
          <w:rStyle w:val="optioncarChar"/>
        </w:rPr>
        <w:t>béton non armé / armé</w:t>
      </w:r>
      <w:r>
        <w:t xml:space="preserve"> (par défaut) (détermination des armatures à faire par l’entrepreneur)</w:t>
      </w:r>
    </w:p>
    <w:p w14:paraId="31344F24" w14:textId="77777777" w:rsidR="00DB2B68" w:rsidRDefault="00000000">
      <w:pPr>
        <w:jc w:val="both"/>
      </w:pPr>
      <w:r>
        <w:t xml:space="preserve">La face supérieure est </w:t>
      </w:r>
      <w:r>
        <w:rPr>
          <w:rStyle w:val="optioncarChar"/>
        </w:rPr>
        <w:t>plane / à simple inclinaison / à double inclinaison / selon le dessin de détail </w:t>
      </w:r>
      <w:r>
        <w:t>(par défaut)</w:t>
      </w:r>
      <w:r>
        <w:rPr>
          <w:rStyle w:val="optioncarChar"/>
        </w:rPr>
        <w:t xml:space="preserve"> / ***.</w:t>
      </w:r>
    </w:p>
    <w:p w14:paraId="3ECCEED8" w14:textId="77777777" w:rsidR="00DB2B68" w:rsidRDefault="00000000">
      <w:pPr>
        <w:jc w:val="both"/>
      </w:pPr>
      <w:r>
        <w:t>La face inférieure est dotée de rejets d’eau d’environ 8 à 10 mm de large et 5 à 6 mm de profondeur situés à au moins</w:t>
      </w:r>
      <w:r>
        <w:rPr>
          <w:rStyle w:val="optioncarChar"/>
        </w:rPr>
        <w:t xml:space="preserve"> 2 </w:t>
      </w:r>
      <w:r>
        <w:t>(par défaut) </w:t>
      </w:r>
      <w:r>
        <w:rPr>
          <w:rStyle w:val="optioncarChar"/>
        </w:rPr>
        <w:t xml:space="preserve">/ *** </w:t>
      </w:r>
      <w:r>
        <w:t>cm de la face de parement du mur.</w:t>
      </w:r>
    </w:p>
    <w:p w14:paraId="56F3BB58" w14:textId="77777777" w:rsidR="00DB2B68" w:rsidRDefault="00000000">
      <w:pPr>
        <w:jc w:val="both"/>
      </w:pPr>
      <w:r>
        <w:t xml:space="preserve">L’épaisseur est de </w:t>
      </w:r>
      <w:r>
        <w:rPr>
          <w:rStyle w:val="optioncarChar"/>
        </w:rPr>
        <w:t xml:space="preserve">50 </w:t>
      </w:r>
      <w:r>
        <w:t>(par défaut) </w:t>
      </w:r>
      <w:r>
        <w:rPr>
          <w:rStyle w:val="optioncarChar"/>
        </w:rPr>
        <w:t>/ 60 / 80 / ***</w:t>
      </w:r>
      <w:r>
        <w:t xml:space="preserve"> mm (min. 80 mm en cas de béton armé). La longueur des éléments est : </w:t>
      </w:r>
      <w:r>
        <w:rPr>
          <w:rStyle w:val="optioncarChar"/>
        </w:rPr>
        <w:t>80 </w:t>
      </w:r>
      <w:r>
        <w:t>(par défaut)</w:t>
      </w:r>
      <w:r>
        <w:rPr>
          <w:rStyle w:val="optioncarChar"/>
        </w:rPr>
        <w:t xml:space="preserve"> / 100 / ***</w:t>
      </w:r>
      <w:r>
        <w:t xml:space="preserve"> cm.</w:t>
      </w:r>
    </w:p>
    <w:p w14:paraId="5F6707DE" w14:textId="77777777" w:rsidR="00DB2B68" w:rsidRDefault="00000000">
      <w:pPr>
        <w:jc w:val="both"/>
      </w:pPr>
      <w:r>
        <w:t xml:space="preserve">Les boutisses des éléments sont </w:t>
      </w:r>
      <w:r>
        <w:rPr>
          <w:rStyle w:val="optioncarChar"/>
        </w:rPr>
        <w:t>planes</w:t>
      </w:r>
      <w:r>
        <w:t> (par défaut)</w:t>
      </w:r>
      <w:r>
        <w:rPr>
          <w:rStyle w:val="optioncarChar"/>
        </w:rPr>
        <w:t xml:space="preserve"> / à emboîtement (couvre-joint) / ***</w:t>
      </w:r>
      <w:r>
        <w:t>.</w:t>
      </w:r>
    </w:p>
    <w:p w14:paraId="0EA5B4E1" w14:textId="77777777" w:rsidR="00DB2B68" w:rsidRDefault="00000000">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14:paraId="0618DE6E" w14:textId="77777777" w:rsidR="00DB2B68" w:rsidRDefault="00000000">
      <w:pPr>
        <w:jc w:val="both"/>
      </w:pPr>
      <w:r>
        <w:t>Le modèle, y compris les pièces d’angle et de terminaison, est soumis pour approbation à l’auteur de projet.</w:t>
      </w:r>
    </w:p>
    <w:p w14:paraId="0319C867" w14:textId="77777777" w:rsidR="00DB2B68" w:rsidRDefault="00000000">
      <w:pPr>
        <w:jc w:val="both"/>
      </w:pPr>
      <w:r>
        <w:t>Le mortier de pose répond aux spécifications de la [NBN EN 998-2], est adapté aux éléments qu’il lie et n’a pas d’influence négative ni sur la résistance ni sur les qualités esthétiques. Il est de classe M10. Pour de petites quantité, le mortier peut être dosé in situ et préparé mécaniquement.</w:t>
      </w:r>
    </w:p>
    <w:p w14:paraId="0F29D1DE" w14:textId="77777777" w:rsidR="00DB2B68" w:rsidRDefault="00000000">
      <w:pPr>
        <w:jc w:val="both"/>
      </w:pPr>
      <w:r>
        <w:t>Les joints souples sont constitués de</w:t>
      </w:r>
      <w:r>
        <w:rPr>
          <w:rStyle w:val="optioncarChar"/>
        </w:rPr>
        <w:t xml:space="preserve"> mastic</w:t>
      </w:r>
      <w:r>
        <w:t xml:space="preserve"> (par défaut) </w:t>
      </w:r>
      <w:r>
        <w:rPr>
          <w:rStyle w:val="optioncarChar"/>
        </w:rPr>
        <w:t>/ de joint préformé</w:t>
      </w:r>
    </w:p>
    <w:p w14:paraId="5264D8D6" w14:textId="77777777" w:rsidR="00DB2B68" w:rsidRDefault="00DB2B68">
      <w:pPr>
        <w:jc w:val="both"/>
      </w:pPr>
    </w:p>
    <w:p w14:paraId="01DF7A83" w14:textId="77777777" w:rsidR="00DB2B68" w:rsidRDefault="00000000">
      <w:pPr>
        <w:jc w:val="both"/>
      </w:pPr>
      <w:r>
        <w:rPr>
          <w:b/>
        </w:rPr>
        <w:t>(soit par défaut)</w:t>
      </w:r>
    </w:p>
    <w:p w14:paraId="756BB539" w14:textId="77777777" w:rsidR="00DB2B68" w:rsidRDefault="00000000">
      <w:pPr>
        <w:jc w:val="both"/>
      </w:pPr>
      <w:r>
        <w:rPr>
          <w:rStyle w:val="soitChar"/>
        </w:rPr>
        <w:t>1.</w:t>
      </w:r>
      <w:r>
        <w:rPr>
          <w:rStyle w:val="soitChar"/>
          <w:u w:val="single"/>
        </w:rPr>
        <w:t> Mastic</w:t>
      </w:r>
    </w:p>
    <w:p w14:paraId="40145068" w14:textId="77777777" w:rsidR="00DB2B68" w:rsidRDefault="00000000">
      <w:pPr>
        <w:jc w:val="both"/>
      </w:pPr>
      <w:r>
        <w:rPr>
          <w:rStyle w:val="soitChar"/>
        </w:rPr>
        <w:t xml:space="preserve"> Les joints de mastic sont conformes aux [NBN EN 15651-4] ou [NBN EN ISO 11600].  L’épaisseur du joint est</w:t>
      </w:r>
      <w:r>
        <w:rPr>
          <w:rStyle w:val="optioncarChar"/>
        </w:rPr>
        <w:t xml:space="preserve"> 8 mm</w:t>
      </w:r>
      <w:r>
        <w:t xml:space="preserve"> (par défaut) </w:t>
      </w:r>
      <w:r>
        <w:rPr>
          <w:rStyle w:val="optioncarChar"/>
        </w:rPr>
        <w:t>/ *** mm</w:t>
      </w:r>
      <w:r>
        <w:rPr>
          <w:rStyle w:val="soitChar"/>
        </w:rPr>
        <w:t>. Les mastics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14:paraId="665D8A8F" w14:textId="77777777" w:rsidR="00DB2B68" w:rsidRDefault="00DB2B68">
      <w:pPr>
        <w:jc w:val="both"/>
      </w:pPr>
    </w:p>
    <w:p w14:paraId="2D99758E" w14:textId="77777777" w:rsidR="00DB2B68" w:rsidRDefault="00000000">
      <w:pPr>
        <w:jc w:val="both"/>
      </w:pPr>
      <w:r>
        <w:rPr>
          <w:b/>
        </w:rPr>
        <w:t>(soit)</w:t>
      </w:r>
    </w:p>
    <w:p w14:paraId="733F87BF" w14:textId="77777777" w:rsidR="00DB2B68" w:rsidRDefault="00000000">
      <w:pPr>
        <w:jc w:val="both"/>
      </w:pPr>
      <w:r>
        <w:rPr>
          <w:rStyle w:val="soitChar"/>
        </w:rPr>
        <w:t xml:space="preserve"> 2. </w:t>
      </w:r>
      <w:r>
        <w:rPr>
          <w:rStyle w:val="soitChar"/>
          <w:u w:val="single"/>
        </w:rPr>
        <w:t>Préformé d’étanchéité</w:t>
      </w:r>
    </w:p>
    <w:p w14:paraId="6747AF4F" w14:textId="77777777" w:rsidR="00DB2B68" w:rsidRDefault="00000000">
      <w:pPr>
        <w:jc w:val="both"/>
      </w:pPr>
      <w:r>
        <w:rPr>
          <w:rStyle w:val="soitChar"/>
        </w:rPr>
        <w:lastRenderedPageBreak/>
        <w:t xml:space="preserve"> Les préformés sont constitué de joint plein/creux en EPDM ou autre élastomère équivalent. Le préformé résiste aux UV et intempéries.</w:t>
      </w:r>
    </w:p>
    <w:p w14:paraId="441D4C88" w14:textId="77777777" w:rsidR="00DB2B68" w:rsidRDefault="00000000">
      <w:pPr>
        <w:pStyle w:val="pheading"/>
      </w:pPr>
      <w:r>
        <w:t>- Finitions</w:t>
      </w:r>
    </w:p>
    <w:p w14:paraId="330DC749" w14:textId="77777777" w:rsidR="00DB2B68" w:rsidRDefault="00000000">
      <w:pPr>
        <w:jc w:val="both"/>
      </w:pPr>
      <w:r>
        <w:t>Les éléments sont conformes au [PTV 21-601].</w:t>
      </w:r>
    </w:p>
    <w:p w14:paraId="32A3191B" w14:textId="77777777" w:rsidR="00DB2B68" w:rsidRDefault="00000000">
      <w:pPr>
        <w:jc w:val="both"/>
      </w:pPr>
      <w:r>
        <w:t> Description détaillée des éléments :</w:t>
      </w:r>
    </w:p>
    <w:p w14:paraId="3606F5A1" w14:textId="77777777" w:rsidR="00DB2B68" w:rsidRDefault="00000000">
      <w:pPr>
        <w:jc w:val="both"/>
      </w:pPr>
      <w:r>
        <w:t>1.     Couleur :</w:t>
      </w:r>
    </w:p>
    <w:p w14:paraId="4409ECA4" w14:textId="77777777" w:rsidR="00DB2B68" w:rsidRDefault="00000000">
      <w:pPr>
        <w:jc w:val="both"/>
      </w:pPr>
      <w:r>
        <w:t xml:space="preserve">Les éléments en béton architectonique seront de couleur </w:t>
      </w:r>
      <w:r>
        <w:rPr>
          <w:rStyle w:val="optioncarChar"/>
        </w:rPr>
        <w:t>***</w:t>
      </w:r>
      <w:r>
        <w:t xml:space="preserve">, afin d’approcher au mieux le coloris RAL </w:t>
      </w:r>
      <w:r>
        <w:rPr>
          <w:rStyle w:val="optioncarChar"/>
        </w:rPr>
        <w:t>***</w:t>
      </w:r>
      <w:r>
        <w:t>.</w:t>
      </w:r>
    </w:p>
    <w:p w14:paraId="4BC83089" w14:textId="77777777" w:rsidR="00DB2B68" w:rsidRDefault="00000000">
      <w:pPr>
        <w:jc w:val="both"/>
      </w:pPr>
      <w:r>
        <w:t>2.     Finition de la surface apparente :</w:t>
      </w:r>
    </w:p>
    <w:p w14:paraId="59FAD341" w14:textId="77777777" w:rsidR="00DB2B68" w:rsidRDefault="00000000">
      <w:pPr>
        <w:jc w:val="both"/>
      </w:pPr>
      <w:r>
        <w:rPr>
          <w:rStyle w:val="optioncarChar"/>
        </w:rPr>
        <w:t>Lisse de décoffrage / Lavée / Brossée / Lavée à l’acide / Bouchardée / Grenaillée et flammée / Grésée / Polie satinée / Polie brillante / Structurée</w:t>
      </w:r>
      <w:r>
        <w:t>.</w:t>
      </w:r>
    </w:p>
    <w:p w14:paraId="06875C81" w14:textId="77777777" w:rsidR="00DB2B68" w:rsidRDefault="00000000">
      <w:pPr>
        <w:jc w:val="both"/>
      </w:pPr>
      <w:r>
        <w:rPr>
          <w:u w:val="single"/>
        </w:rPr>
        <w:t>Terminaison des arêtes</w:t>
      </w:r>
    </w:p>
    <w:p w14:paraId="11F465F5" w14:textId="77777777" w:rsidR="00DB2B68" w:rsidRDefault="00000000">
      <w:pPr>
        <w:jc w:val="both"/>
      </w:pPr>
      <w:r>
        <w:t xml:space="preserve"> Les arêtes des éléments sont </w:t>
      </w:r>
      <w:r>
        <w:rPr>
          <w:rStyle w:val="optioncarChar"/>
        </w:rPr>
        <w:t>chanfreinées en triangle </w:t>
      </w:r>
      <w:r>
        <w:t>(par défaut)</w:t>
      </w:r>
      <w:r>
        <w:rPr>
          <w:rStyle w:val="optioncarChar"/>
        </w:rPr>
        <w:t xml:space="preserve"> / chanfreinées en arrondi / vives</w:t>
      </w:r>
    </w:p>
    <w:p w14:paraId="67F8181B" w14:textId="77777777" w:rsidR="00DB2B68" w:rsidRDefault="00DB2B68">
      <w:pPr>
        <w:jc w:val="both"/>
      </w:pPr>
    </w:p>
    <w:p w14:paraId="33C1B52D" w14:textId="77777777" w:rsidR="00DB2B68" w:rsidRDefault="00000000">
      <w:pPr>
        <w:jc w:val="both"/>
      </w:pPr>
      <w:r>
        <w:rPr>
          <w:b/>
        </w:rPr>
        <w:t xml:space="preserve"> (soit par défaut)</w:t>
      </w:r>
    </w:p>
    <w:p w14:paraId="2950525F" w14:textId="77777777" w:rsidR="00DB2B68" w:rsidRDefault="00000000">
      <w:pPr>
        <w:jc w:val="both"/>
      </w:pPr>
      <w:r>
        <w:rPr>
          <w:rStyle w:val="soitChar"/>
        </w:rPr>
        <w:t xml:space="preserve">1. </w:t>
      </w:r>
      <w:r>
        <w:rPr>
          <w:rStyle w:val="soitChar"/>
          <w:u w:val="single"/>
        </w:rPr>
        <w:t>Chanfreinées en triangle</w:t>
      </w:r>
    </w:p>
    <w:p w14:paraId="0974C3E2" w14:textId="77777777" w:rsidR="00DB2B68" w:rsidRDefault="00000000">
      <w:pPr>
        <w:jc w:val="both"/>
      </w:pPr>
      <w:r>
        <w:rPr>
          <w:rStyle w:val="soitChar"/>
        </w:rPr>
        <w:t xml:space="preserve"> Les arêtes sont cassées au moyen d'un chanfrein de </w:t>
      </w:r>
      <w:r>
        <w:rPr>
          <w:rStyle w:val="optioncarChar"/>
        </w:rPr>
        <w:t>2 x 2 </w:t>
      </w:r>
      <w:r>
        <w:t>(par défaut)</w:t>
      </w:r>
      <w:r>
        <w:rPr>
          <w:rStyle w:val="optioncarChar"/>
        </w:rPr>
        <w:t xml:space="preserve"> / *** mm x *** mm</w:t>
      </w:r>
      <w:r>
        <w:t>.</w:t>
      </w:r>
    </w:p>
    <w:p w14:paraId="5F8B5F82" w14:textId="77777777" w:rsidR="00DB2B68" w:rsidRDefault="00000000">
      <w:pPr>
        <w:jc w:val="both"/>
      </w:pPr>
      <w:r>
        <w:rPr>
          <w:b/>
        </w:rPr>
        <w:t>(soit)</w:t>
      </w:r>
    </w:p>
    <w:p w14:paraId="00DBF717" w14:textId="77777777" w:rsidR="00DB2B68" w:rsidRDefault="00000000">
      <w:pPr>
        <w:jc w:val="both"/>
      </w:pPr>
      <w:r>
        <w:rPr>
          <w:rStyle w:val="soitChar"/>
        </w:rPr>
        <w:t xml:space="preserve">2. </w:t>
      </w:r>
      <w:r>
        <w:rPr>
          <w:rStyle w:val="soitChar"/>
          <w:u w:val="single"/>
        </w:rPr>
        <w:t>Chanfreinées en arrondi</w:t>
      </w:r>
    </w:p>
    <w:p w14:paraId="11A2E04F" w14:textId="77777777" w:rsidR="00DB2B68" w:rsidRDefault="00000000">
      <w:pPr>
        <w:jc w:val="both"/>
      </w:pPr>
      <w:r>
        <w:rPr>
          <w:rStyle w:val="soitChar"/>
        </w:rPr>
        <w:t xml:space="preserve"> Les arêtes sont cassées au moyen d'un chanfrein de rayon </w:t>
      </w:r>
      <w:r>
        <w:rPr>
          <w:rStyle w:val="optioncarChar"/>
        </w:rPr>
        <w:t>5 </w:t>
      </w:r>
      <w:r>
        <w:t xml:space="preserve">(par défaut) </w:t>
      </w:r>
      <w:r>
        <w:rPr>
          <w:rStyle w:val="optioncarChar"/>
        </w:rPr>
        <w:t>/ ***</w:t>
      </w:r>
      <w:r>
        <w:rPr>
          <w:rStyle w:val="soitChar"/>
        </w:rPr>
        <w:t>mm</w:t>
      </w:r>
      <w:r>
        <w:t xml:space="preserve"> .</w:t>
      </w:r>
    </w:p>
    <w:p w14:paraId="3083FDF5" w14:textId="77777777" w:rsidR="00DB2B68" w:rsidRDefault="00000000">
      <w:pPr>
        <w:jc w:val="both"/>
      </w:pPr>
      <w:r>
        <w:rPr>
          <w:b/>
        </w:rPr>
        <w:t>(soit)</w:t>
      </w:r>
    </w:p>
    <w:p w14:paraId="52B27B61" w14:textId="77777777" w:rsidR="00DB2B68" w:rsidRDefault="00000000">
      <w:pPr>
        <w:jc w:val="both"/>
      </w:pPr>
      <w:r>
        <w:rPr>
          <w:rStyle w:val="soitChar"/>
        </w:rPr>
        <w:t xml:space="preserve">3. </w:t>
      </w:r>
      <w:r>
        <w:rPr>
          <w:rStyle w:val="soitChar"/>
          <w:u w:val="single"/>
        </w:rPr>
        <w:t>Vives</w:t>
      </w:r>
    </w:p>
    <w:p w14:paraId="2434127E" w14:textId="77777777" w:rsidR="00DB2B68" w:rsidRDefault="00000000">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r>
        <w:t>.</w:t>
      </w:r>
    </w:p>
    <w:p w14:paraId="7CB62A43" w14:textId="77777777" w:rsidR="00DB2B68" w:rsidRDefault="00000000">
      <w:pPr>
        <w:jc w:val="both"/>
      </w:pPr>
      <w:r>
        <w:t xml:space="preserve">La teinte des joints souples est : </w:t>
      </w:r>
      <w:r>
        <w:rPr>
          <w:rStyle w:val="optioncarChar"/>
        </w:rPr>
        <w:t>au choix de l’auteur de projet</w:t>
      </w:r>
      <w:r>
        <w:t xml:space="preserve"> (par défaut)</w:t>
      </w:r>
      <w:r>
        <w:rPr>
          <w:rStyle w:val="optioncarChar"/>
        </w:rPr>
        <w:t xml:space="preserve"> / teinte proche de celle des couvre-murs / gris / gris-blanc / ***</w:t>
      </w:r>
      <w:r>
        <w:t>. Leur répartition est soumise à l’approbation de l’auteur de projet.</w:t>
      </w:r>
    </w:p>
    <w:p w14:paraId="738038E8" w14:textId="77777777" w:rsidR="00DB2B68" w:rsidRDefault="00000000">
      <w:pPr>
        <w:pStyle w:val="pheading"/>
      </w:pPr>
      <w:r>
        <w:t>EXÉCUTION / MISE EN ŒUVRE</w:t>
      </w:r>
    </w:p>
    <w:p w14:paraId="19142421" w14:textId="77777777" w:rsidR="00DB2B68" w:rsidRDefault="00000000">
      <w:pPr>
        <w:pStyle w:val="pheading"/>
      </w:pPr>
      <w:r>
        <w:t>- Prescriptions générales</w:t>
      </w:r>
    </w:p>
    <w:p w14:paraId="34BAC59A" w14:textId="77777777" w:rsidR="00DB2B68" w:rsidRDefault="00000000">
      <w:pPr>
        <w:jc w:val="both"/>
      </w:pPr>
      <w:r>
        <w:t xml:space="preserve">L’exécution est réalisée selon le §6.4.3 de la [NIT 244]. Les éléments sont placés </w:t>
      </w:r>
      <w:r>
        <w:rPr>
          <w:rStyle w:val="optioncarChar"/>
        </w:rPr>
        <w:t>selon les détails techniques joints / selon les indications préalablement convenues, dont les schémas sont soumis à l’approbation de l’auteur de projet</w:t>
      </w:r>
      <w:r>
        <w:t xml:space="preserve"> (par défaut). Le mur à recouvrir présente une largeur de </w:t>
      </w:r>
      <w:r>
        <w:rPr>
          <w:rStyle w:val="optioncarChar"/>
        </w:rPr>
        <w:t>voir indications en plans</w:t>
      </w:r>
      <w:r>
        <w:t xml:space="preserve"> (par défaut)</w:t>
      </w:r>
      <w:r>
        <w:rPr>
          <w:rStyle w:val="optioncarChar"/>
        </w:rPr>
        <w:t xml:space="preserve"> / 19 / 24 / 29 / ***</w:t>
      </w:r>
      <w:r>
        <w:t xml:space="preserve"> cm. En cas de recouvrement d’une rive de toiture, la pente est dirigée vers la toiture. Les faces avant du couvre-murs débordent de</w:t>
      </w:r>
      <w:r>
        <w:rPr>
          <w:rStyle w:val="optioncarChar"/>
        </w:rPr>
        <w:t xml:space="preserve"> 50 </w:t>
      </w:r>
      <w:r>
        <w:t>(par défaut) </w:t>
      </w:r>
      <w:r>
        <w:rPr>
          <w:rStyle w:val="optioncarChar"/>
        </w:rPr>
        <w:t>/ ***</w:t>
      </w:r>
      <w:r>
        <w:t xml:space="preserve"> mm de la face de parement du mur. Les joints de dilatation de la structure doivent être répercutés.</w:t>
      </w:r>
    </w:p>
    <w:p w14:paraId="7C3B86F3" w14:textId="77777777" w:rsidR="00DB2B68" w:rsidRDefault="00000000">
      <w:pPr>
        <w:jc w:val="both"/>
      </w:pPr>
      <w:r>
        <w:t>En cas d’éléments à boutisses planes :</w:t>
      </w:r>
    </w:p>
    <w:p w14:paraId="12B50899" w14:textId="77777777" w:rsidR="00DB2B68" w:rsidRDefault="00000000">
      <w:pPr>
        <w:pStyle w:val="Author-eListParagraph"/>
        <w:numPr>
          <w:ilvl w:val="0"/>
          <w:numId w:val="283"/>
        </w:numPr>
      </w:pPr>
      <w:r>
        <w:t>on place préalablement sous les éléments au droit de chaque joint intermédiaire une isolation à l’humidité sous la forme d’une bande de métal repliée ou un autre matériau rigide adéquat qui déborde de 10 mm du parement du mur ;</w:t>
      </w:r>
    </w:p>
    <w:p w14:paraId="461793D9" w14:textId="77777777" w:rsidR="00DB2B68" w:rsidRDefault="00000000">
      <w:pPr>
        <w:pStyle w:val="Author-eListParagraph"/>
        <w:numPr>
          <w:ilvl w:val="0"/>
          <w:numId w:val="283"/>
        </w:numPr>
      </w:pPr>
      <w:r>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adapté</w:t>
      </w:r>
      <w:r>
        <w:t>.</w:t>
      </w:r>
    </w:p>
    <w:p w14:paraId="118FC380" w14:textId="77777777" w:rsidR="00DB2B68" w:rsidRDefault="00000000">
      <w:pPr>
        <w:jc w:val="both"/>
      </w:pPr>
      <w:r>
        <w:t>En cas d’éléments avec emboîtement :</w:t>
      </w:r>
    </w:p>
    <w:p w14:paraId="534BCCE8" w14:textId="77777777" w:rsidR="00DB2B68" w:rsidRDefault="00000000">
      <w:pPr>
        <w:pStyle w:val="Author-eListParagraph"/>
        <w:numPr>
          <w:ilvl w:val="0"/>
          <w:numId w:val="284"/>
        </w:numPr>
      </w:pPr>
      <w:r>
        <w:lastRenderedPageBreak/>
        <w:t>l’emboîtement est placé de telle manière que les infiltrations d’eau sont contrariées. L’emboîtement est rempli à l’aide d’un mortier étanche. L’étanchéité finale du joint est obtenue à l’aide d’un joint souple posé sur un fond de joint.</w:t>
      </w:r>
    </w:p>
    <w:p w14:paraId="1E00BE18" w14:textId="77777777" w:rsidR="00DB2B68" w:rsidRDefault="00000000">
      <w:pPr>
        <w:pStyle w:val="pheading"/>
      </w:pPr>
      <w:r>
        <w:t>- Notes d’exécution complémentaires</w:t>
      </w:r>
    </w:p>
    <w:p w14:paraId="1D896215" w14:textId="77777777" w:rsidR="00DB2B68" w:rsidRDefault="00000000">
      <w:pPr>
        <w:jc w:val="both"/>
      </w:pPr>
      <w:r>
        <w:t xml:space="preserve">Un </w:t>
      </w:r>
      <w:r>
        <w:rPr>
          <w:u w:val="single"/>
        </w:rPr>
        <w:t>ancrage inoxydable</w:t>
      </w:r>
      <w:r>
        <w:t xml:space="preserve"> dans la maçonnerie sous-jacente est prévu.</w:t>
      </w:r>
    </w:p>
    <w:p w14:paraId="3A847E6B" w14:textId="77777777" w:rsidR="00DB2B68" w:rsidRDefault="00000000">
      <w:pPr>
        <w:jc w:val="both"/>
      </w:pPr>
      <w:r>
        <w:t xml:space="preserve">Le </w:t>
      </w:r>
      <w:r>
        <w:rPr>
          <w:u w:val="single"/>
        </w:rPr>
        <w:t>lit de mortier</w:t>
      </w:r>
      <w:r>
        <w:t xml:space="preserve"> est composé d’un mélange </w:t>
      </w:r>
      <w:r>
        <w:rPr>
          <w:rStyle w:val="optioncarChar"/>
        </w:rPr>
        <w:t>présentant une plasticité importante</w:t>
      </w:r>
      <w:r>
        <w:t xml:space="preserve"> (par défaut) </w:t>
      </w:r>
      <w:r>
        <w:rPr>
          <w:rStyle w:val="optioncarChar"/>
        </w:rPr>
        <w:t>/ ***</w:t>
      </w:r>
      <w:r>
        <w:t xml:space="preserve"> avec ajout d’une émulsion synthétique répulsive à l’eau.</w:t>
      </w:r>
    </w:p>
    <w:p w14:paraId="07F2B0F5" w14:textId="77777777" w:rsidR="00DB2B68" w:rsidRDefault="00000000">
      <w:pPr>
        <w:pStyle w:val="pheading"/>
      </w:pPr>
      <w:r>
        <w:t>DOCUMENTS DE RÉFÉRENCE COMPLÉMENTAIRES</w:t>
      </w:r>
    </w:p>
    <w:p w14:paraId="047B5191" w14:textId="77777777" w:rsidR="00DB2B68" w:rsidRDefault="00000000">
      <w:pPr>
        <w:pStyle w:val="pheading"/>
      </w:pPr>
      <w:r>
        <w:t>- Matériau</w:t>
      </w:r>
    </w:p>
    <w:p w14:paraId="09F4E1C0" w14:textId="77777777" w:rsidR="00DB2B68" w:rsidRDefault="00000000">
      <w:r>
        <w:t>[NBN EN 206:2013+A2, Béton - Spécification, performances, production et conformité]</w:t>
      </w:r>
    </w:p>
    <w:p w14:paraId="12852D76" w14:textId="77777777" w:rsidR="00DB2B68" w:rsidRDefault="00000000">
      <w:r>
        <w:t>[NBN B 15-001, Béton - Spécification, performances, production et conformité - Complément national à la NBN EN 206:2013+A2:2021]</w:t>
      </w:r>
    </w:p>
    <w:p w14:paraId="1A2DCFE0" w14:textId="77777777" w:rsidR="00DB2B68" w:rsidRDefault="00000000">
      <w:r>
        <w:t>[PTV 21-601, Eléments préfabriqués en béton architectonique.]</w:t>
      </w:r>
    </w:p>
    <w:p w14:paraId="6A8C8D34" w14:textId="77777777" w:rsidR="00DB2B68" w:rsidRDefault="00000000">
      <w:r>
        <w:t>[NBN EN 998-2, Définitions et spécifications des mortiers pour maçonnerie - Partie 2: Mortiers de montage des éléments de maçonnerie]</w:t>
      </w:r>
    </w:p>
    <w:p w14:paraId="2D11F303" w14:textId="77777777" w:rsidR="00DB2B68" w:rsidRDefault="00000000">
      <w:r>
        <w:t>[NBN EN 13369, Règles communes pour les produits préfabriqués en béton]</w:t>
      </w:r>
    </w:p>
    <w:p w14:paraId="24A47BE1" w14:textId="77777777" w:rsidR="00DB2B68" w:rsidRDefault="00000000">
      <w:r>
        <w:t>[NBN B 21-600, Règles communes pour les produits préfabriqués en béton - Complément national à la NBN EN 13369:2004+A1:2006+AC:2006]</w:t>
      </w:r>
    </w:p>
    <w:p w14:paraId="55312CA5" w14:textId="77777777" w:rsidR="00DB2B68" w:rsidRDefault="00000000">
      <w:r>
        <w:t>[NBN EN 15651-4, Mastics pour joints pour des usages non structuraux dans les constructions immobilières et pour chemins piétonniers - Partie 4 : Mastics pour chemins piétonniers]</w:t>
      </w:r>
    </w:p>
    <w:p w14:paraId="5A8AA1D6" w14:textId="77777777" w:rsidR="00DB2B68" w:rsidRDefault="00000000">
      <w:r>
        <w:t>[NBN EN ISO 11600, Construction immobilière - Produits pour joints - Classification et exigences pour les mastics (ISO 11600:2002)]</w:t>
      </w:r>
    </w:p>
    <w:p w14:paraId="136F7E2A" w14:textId="77777777" w:rsidR="00DB2B68" w:rsidRDefault="00DB2B68"/>
    <w:p w14:paraId="3747C88E" w14:textId="77777777" w:rsidR="00DB2B68" w:rsidRDefault="00000000">
      <w:pPr>
        <w:pStyle w:val="pheading"/>
      </w:pPr>
      <w:r>
        <w:t>- Exécution</w:t>
      </w:r>
    </w:p>
    <w:p w14:paraId="57E5CB5F" w14:textId="77777777" w:rsidR="00DB2B68" w:rsidRDefault="00000000">
      <w:r>
        <w:t>[NIT 244, Les ouvrages de raccord des toitures plates : principes généraux (remplace la NIT 191) (+ correctifs de février 2015).]</w:t>
      </w:r>
    </w:p>
    <w:p w14:paraId="25B7E8E9" w14:textId="77777777" w:rsidR="00DB2B68" w:rsidRDefault="00000000">
      <w:pPr>
        <w:pStyle w:val="pheading"/>
      </w:pPr>
      <w:r>
        <w:t>MESURAGE</w:t>
      </w:r>
    </w:p>
    <w:p w14:paraId="1B6EED9E" w14:textId="77777777" w:rsidR="00DB2B68" w:rsidRDefault="00000000">
      <w:pPr>
        <w:pStyle w:val="pheading"/>
      </w:pPr>
      <w:r>
        <w:t>- unité de mesure:</w:t>
      </w:r>
    </w:p>
    <w:p w14:paraId="099E7801" w14:textId="77777777" w:rsidR="00DB2B68" w:rsidRDefault="00000000">
      <w:r>
        <w:rPr>
          <w:rStyle w:val="optioncarChar"/>
        </w:rPr>
        <w:t>m³ / m² / m</w:t>
      </w:r>
      <w:r>
        <w:t xml:space="preserve"> (par défaut)</w:t>
      </w:r>
      <w:r>
        <w:rPr>
          <w:rStyle w:val="optioncarChar"/>
        </w:rPr>
        <w:t xml:space="preserve"> / Pce</w:t>
      </w:r>
    </w:p>
    <w:p w14:paraId="1F6E7B48" w14:textId="77777777" w:rsidR="00DB2B68" w:rsidRDefault="00DB2B68"/>
    <w:p w14:paraId="6C7C467B" w14:textId="77777777" w:rsidR="00DB2B68" w:rsidRDefault="00000000">
      <w:pPr>
        <w:pStyle w:val="pheading"/>
      </w:pPr>
      <w:r>
        <w:t>- nature du marché:</w:t>
      </w:r>
    </w:p>
    <w:p w14:paraId="76A8C7E7" w14:textId="77777777" w:rsidR="00DB2B68" w:rsidRDefault="00000000">
      <w:r>
        <w:rPr>
          <w:rStyle w:val="optioncarChar"/>
        </w:rPr>
        <w:t>QF</w:t>
      </w:r>
      <w:r>
        <w:t xml:space="preserve"> (par défaut)</w:t>
      </w:r>
      <w:r>
        <w:rPr>
          <w:rStyle w:val="optioncarChar"/>
        </w:rPr>
        <w:t xml:space="preserve"> / QP</w:t>
      </w:r>
    </w:p>
    <w:p w14:paraId="4409E66C" w14:textId="77777777" w:rsidR="00DB2B68" w:rsidRDefault="00000000">
      <w:pPr>
        <w:pStyle w:val="Author-eSectionHeading6Numberless"/>
      </w:pPr>
      <w:bookmarkStart w:id="330" w:name="_Toc220495448"/>
      <w:r>
        <w:t>21.36.5d Couvre-murs en fibres-ciment CCTB 01.11</w:t>
      </w:r>
      <w:bookmarkEnd w:id="330"/>
    </w:p>
    <w:p w14:paraId="4AD9A0AA" w14:textId="77777777" w:rsidR="00DB2B68" w:rsidRDefault="00000000">
      <w:pPr>
        <w:pStyle w:val="pheading"/>
      </w:pPr>
      <w:r>
        <w:t>MATÉRIAUX</w:t>
      </w:r>
    </w:p>
    <w:p w14:paraId="19F57506" w14:textId="77777777" w:rsidR="00DB2B68" w:rsidRDefault="00000000">
      <w:pPr>
        <w:pStyle w:val="pheading"/>
      </w:pPr>
      <w:r>
        <w:t>- Caractéristiques générales</w:t>
      </w:r>
    </w:p>
    <w:p w14:paraId="789723CB" w14:textId="77777777" w:rsidR="00DB2B68" w:rsidRDefault="00000000">
      <w:r>
        <w:t>Les éléments creux préfabriqués sont fabriqués à l'aide d'un mélange, coloré dans la masse, de fibres exemptes d'amiante, de ciment, de silicates et d'adjuvants minéraux. Ils sont extrudés sous haute pression et autoclavés. En dessous, les pierres de couverture sont pourvues d'entailles pour une meilleure adhérence au mortier et de rejets d'eau, situés à au moins 2 cm de la face de parement du mur. Le modèle est soumis pour approbation à l'auteur de projet.</w:t>
      </w:r>
    </w:p>
    <w:p w14:paraId="594520ED" w14:textId="77777777" w:rsidR="00DB2B68" w:rsidRDefault="00000000">
      <w:r>
        <w:rPr>
          <w:b/>
          <w:u w:val="single"/>
        </w:rPr>
        <w:t>Spécifications</w:t>
      </w:r>
    </w:p>
    <w:p w14:paraId="4C0CF971" w14:textId="77777777" w:rsidR="00DB2B68" w:rsidRDefault="00000000">
      <w:r>
        <w:lastRenderedPageBreak/>
        <w:t xml:space="preserve">Ils présentent les propriétés physiques suivantes (voir également l'élément </w:t>
      </w:r>
      <w:hyperlink w:anchor="413" w:history="1">
        <w:r>
          <w:rPr>
            <w:color w:val="0000EE"/>
          </w:rPr>
          <w:t>21.36 Eléments particuliers de façades</w:t>
        </w:r>
      </w:hyperlink>
      <w:r>
        <w:t>)</w:t>
      </w:r>
    </w:p>
    <w:p w14:paraId="28CA399F" w14:textId="77777777" w:rsidR="00DB2B68" w:rsidRDefault="00000000">
      <w:r>
        <w:t xml:space="preserve">Couleur et aspect : </w:t>
      </w:r>
      <w:r>
        <w:rPr>
          <w:rStyle w:val="optioncarChar"/>
        </w:rPr>
        <w:t xml:space="preserve">gris clair </w:t>
      </w:r>
      <w:r>
        <w:t>(par défaut) </w:t>
      </w:r>
      <w:r>
        <w:rPr>
          <w:rStyle w:val="optioncarChar"/>
        </w:rPr>
        <w:t>/ gris foncé / ***</w:t>
      </w:r>
    </w:p>
    <w:p w14:paraId="71114CDE" w14:textId="77777777" w:rsidR="00DB2B68" w:rsidRDefault="00000000">
      <w:r>
        <w:t xml:space="preserve">Forme : à </w:t>
      </w:r>
      <w:r>
        <w:rPr>
          <w:rStyle w:val="optioncarChar"/>
        </w:rPr>
        <w:t xml:space="preserve">simple inclinaison / double inclinaison </w:t>
      </w:r>
    </w:p>
    <w:p w14:paraId="3FBEE51F" w14:textId="77777777" w:rsidR="00DB2B68" w:rsidRDefault="00000000">
      <w:r>
        <w:t xml:space="preserve">Dimensions : </w:t>
      </w:r>
      <w:r>
        <w:rPr>
          <w:rStyle w:val="optioncarChar"/>
        </w:rPr>
        <w:t>***</w:t>
      </w:r>
    </w:p>
    <w:p w14:paraId="1968B580" w14:textId="77777777" w:rsidR="00DB2B68" w:rsidRDefault="00000000">
      <w:r>
        <w:t xml:space="preserve">Longueur : les pierres de couverture sont mises en œuvre à l'aide d'éléments d'une longueur de </w:t>
      </w:r>
      <w:r>
        <w:rPr>
          <w:rStyle w:val="optioncarChar"/>
        </w:rPr>
        <w:t>1,50 </w:t>
      </w:r>
      <w:r>
        <w:t>(par défaut)</w:t>
      </w:r>
      <w:r>
        <w:rPr>
          <w:rStyle w:val="optioncarChar"/>
        </w:rPr>
        <w:t xml:space="preserve"> / ***</w:t>
      </w:r>
      <w:r>
        <w:t xml:space="preserve"> m. Le nombre de joints est limité, la répartition des joints est soumise à l'approbation de l'auteur de projet.</w:t>
      </w:r>
    </w:p>
    <w:p w14:paraId="61079DCE" w14:textId="77777777" w:rsidR="00DB2B68" w:rsidRDefault="00000000">
      <w:r>
        <w:t xml:space="preserve">Largeur : le débordement est d'au moins </w:t>
      </w:r>
      <w:r>
        <w:rPr>
          <w:rStyle w:val="optioncarChar"/>
        </w:rPr>
        <w:t xml:space="preserve">3 </w:t>
      </w:r>
      <w:r>
        <w:t>(par défaut) </w:t>
      </w:r>
      <w:r>
        <w:rPr>
          <w:rStyle w:val="optioncarChar"/>
        </w:rPr>
        <w:t>/ 4 / ***</w:t>
      </w:r>
      <w:r>
        <w:t xml:space="preserve"> cm, le mur à recouvrir présente une largeur de </w:t>
      </w:r>
      <w:r>
        <w:rPr>
          <w:rStyle w:val="optioncarChar"/>
        </w:rPr>
        <w:t>19</w:t>
      </w:r>
      <w:r>
        <w:t xml:space="preserve"> (par défaut)</w:t>
      </w:r>
      <w:r>
        <w:rPr>
          <w:rStyle w:val="optioncarChar"/>
        </w:rPr>
        <w:t> / 24 / 29 / ***</w:t>
      </w:r>
      <w:r>
        <w:t xml:space="preserve"> cm</w:t>
      </w:r>
    </w:p>
    <w:p w14:paraId="7C3DCB6A" w14:textId="77777777" w:rsidR="00DB2B68" w:rsidRDefault="00000000">
      <w:pPr>
        <w:pStyle w:val="pheading"/>
      </w:pPr>
      <w:r>
        <w:t>- Finitions</w:t>
      </w:r>
    </w:p>
    <w:p w14:paraId="69B18AB4" w14:textId="77777777" w:rsidR="00DB2B68" w:rsidRDefault="00000000">
      <w:r>
        <w:t xml:space="preserve">Finition de la face supérieure : </w:t>
      </w:r>
      <w:r>
        <w:rPr>
          <w:rStyle w:val="optioncarChar"/>
        </w:rPr>
        <w:t xml:space="preserve">lisse </w:t>
      </w:r>
      <w:r>
        <w:rPr>
          <w:rStyle w:val="optioncarChar"/>
          <w:color w:val="000000"/>
        </w:rPr>
        <w:t>(par défaut)</w:t>
      </w:r>
      <w:r>
        <w:rPr>
          <w:rStyle w:val="optioncarChar"/>
        </w:rPr>
        <w:t xml:space="preserve"> / rugueuse</w:t>
      </w:r>
    </w:p>
    <w:p w14:paraId="5B231C7E" w14:textId="77777777" w:rsidR="00DB2B68" w:rsidRDefault="00000000">
      <w:pPr>
        <w:pStyle w:val="pheading"/>
      </w:pPr>
      <w:r>
        <w:t>- Prescriptions complémentaires</w:t>
      </w:r>
    </w:p>
    <w:p w14:paraId="6D08E656" w14:textId="77777777" w:rsidR="00DB2B68" w:rsidRDefault="00000000">
      <w:r>
        <w:t>Les faces vues sont parachevées à l'aide d'un coating acrylique pigmenté.</w:t>
      </w:r>
    </w:p>
    <w:p w14:paraId="097965E9" w14:textId="77777777" w:rsidR="00DB2B68" w:rsidRDefault="00000000">
      <w:pPr>
        <w:pStyle w:val="pheading"/>
      </w:pPr>
      <w:r>
        <w:t>EXÉCUTION / MISE EN ŒUVRE</w:t>
      </w:r>
    </w:p>
    <w:p w14:paraId="11474815" w14:textId="77777777" w:rsidR="00DB2B68" w:rsidRDefault="00000000">
      <w:pPr>
        <w:pStyle w:val="pheading"/>
      </w:pPr>
      <w:r>
        <w:t>- Prescriptions générales</w:t>
      </w:r>
    </w:p>
    <w:p w14:paraId="76A4F616" w14:textId="77777777" w:rsidR="00DB2B68" w:rsidRDefault="00000000">
      <w:r>
        <w:t xml:space="preserve">Pour la pose des couvre-murs sur un mur à coulisse, celui-ci est d'abord recouvert d'une bande d'étanchéité. Aux endroits nécessaires, une isolation supplémentaire est disposée dans la coulisse afin d'éviter les ponts thermiques. Les éléments sont posés à plein bain de mortier d'une épaisseur d'environ 15 . Ce mortier a une consistance souple, obtenue par l'adjonction d'une émulsion synthétique hydrofuge. Les angles des éléments sont coupés en onglet ou sont réalisés à l'aide de pièces spéciales. Au droit des joints entre deux éléments, on intercale une feuille d'étanchéité </w:t>
      </w:r>
      <w:r>
        <w:rPr>
          <w:rStyle w:val="optioncarChar"/>
        </w:rPr>
        <w:t>(feuille de PE armée / voile de verre bitumé</w:t>
      </w:r>
      <w:r>
        <w:t>) d'au moins 10 cm de largeur, qui déborde d'environ 1 cm de part et d'autre. La largeur des joints est de 5 à 10 . Les joints sont colmatés avec un mastic qui conserve son élasticité, fabriqué à base de polysulfide selon la [NBN S 23-002], soit avec un produit de jointoiement recommandé par le fabricant, couleur à déterminer par l'auteur de projet.</w:t>
      </w:r>
    </w:p>
    <w:p w14:paraId="3181AD7E" w14:textId="77777777" w:rsidR="00DB2B68" w:rsidRDefault="00000000">
      <w:pPr>
        <w:pStyle w:val="pheading"/>
      </w:pPr>
      <w:r>
        <w:t>- Notes d’exécution complémentaires</w:t>
      </w:r>
    </w:p>
    <w:p w14:paraId="56E98C38" w14:textId="77777777" w:rsidR="00DB2B68" w:rsidRDefault="00000000">
      <w:r>
        <w:t>A hauteur de chaque chant, on prévoit des agrafes inoxydables scellées dans la maçonnerie.</w:t>
      </w:r>
    </w:p>
    <w:p w14:paraId="58B52B31" w14:textId="77777777" w:rsidR="00DB2B68" w:rsidRDefault="00000000">
      <w:r>
        <w:t>Dans les joints entre les éléments, l'entrepreneur pose une bande de polystyrène</w:t>
      </w:r>
    </w:p>
    <w:p w14:paraId="3946D164" w14:textId="77777777" w:rsidR="00DB2B68" w:rsidRDefault="00000000">
      <w:r>
        <w:t xml:space="preserve">Les creux des extrémités visibles sont obturés </w:t>
      </w:r>
      <w:r>
        <w:rPr>
          <w:rStyle w:val="optioncarChar"/>
        </w:rPr>
        <w:t>avec un mortier sans retrait, à adhérence améliorée et coloré avec un coating acrylique / avec des pièces d'about spéciales.</w:t>
      </w:r>
    </w:p>
    <w:p w14:paraId="6CDBB3F4" w14:textId="77777777" w:rsidR="00DB2B68" w:rsidRDefault="00000000">
      <w:pPr>
        <w:pStyle w:val="pheading"/>
      </w:pPr>
      <w:r>
        <w:t>MESURAGE</w:t>
      </w:r>
    </w:p>
    <w:p w14:paraId="4393948C" w14:textId="77777777" w:rsidR="00DB2B68" w:rsidRDefault="00000000">
      <w:pPr>
        <w:pStyle w:val="pheading"/>
      </w:pPr>
      <w:r>
        <w:t>- unité de mesure:</w:t>
      </w:r>
    </w:p>
    <w:p w14:paraId="0FB690E9" w14:textId="77777777" w:rsidR="00DB2B68" w:rsidRDefault="00000000">
      <w:r>
        <w:rPr>
          <w:rStyle w:val="optioncarChar"/>
        </w:rPr>
        <w:t>m³ / m² / m</w:t>
      </w:r>
      <w:r>
        <w:t xml:space="preserve"> (par défaut)</w:t>
      </w:r>
      <w:r>
        <w:rPr>
          <w:rStyle w:val="optioncarChar"/>
        </w:rPr>
        <w:t xml:space="preserve"> / Pce</w:t>
      </w:r>
    </w:p>
    <w:p w14:paraId="69E1EA26" w14:textId="77777777" w:rsidR="00DB2B68" w:rsidRDefault="00000000">
      <w:pPr>
        <w:pStyle w:val="pheading"/>
      </w:pPr>
      <w:r>
        <w:t>- code de mesurage:</w:t>
      </w:r>
    </w:p>
    <w:p w14:paraId="1AE093CA" w14:textId="77777777" w:rsidR="00DB2B68" w:rsidRDefault="00000000">
      <w:r>
        <w:t>longueur nette à exécuter, y compris les pièces spéciales.</w:t>
      </w:r>
    </w:p>
    <w:p w14:paraId="34927A02" w14:textId="77777777" w:rsidR="00DB2B68" w:rsidRDefault="00000000">
      <w:pPr>
        <w:pStyle w:val="pheading"/>
      </w:pPr>
      <w:r>
        <w:t>- nature du marché:</w:t>
      </w:r>
    </w:p>
    <w:p w14:paraId="725F7F75" w14:textId="77777777" w:rsidR="00DB2B68" w:rsidRDefault="00000000">
      <w:r>
        <w:rPr>
          <w:rStyle w:val="optioncarChar"/>
        </w:rPr>
        <w:t>QF</w:t>
      </w:r>
      <w:r>
        <w:t xml:space="preserve"> (par défaut)</w:t>
      </w:r>
      <w:r>
        <w:rPr>
          <w:rStyle w:val="optioncarChar"/>
        </w:rPr>
        <w:t xml:space="preserve"> / QP</w:t>
      </w:r>
    </w:p>
    <w:p w14:paraId="54A99873" w14:textId="77777777" w:rsidR="00DB2B68" w:rsidRDefault="00DB2B68"/>
    <w:p w14:paraId="094A51D1" w14:textId="77777777" w:rsidR="00DB2B68" w:rsidRDefault="00000000">
      <w:pPr>
        <w:pStyle w:val="Author-eSectionHeading6Numberless"/>
      </w:pPr>
      <w:bookmarkStart w:id="331" w:name="_Toc220495449"/>
      <w:r>
        <w:t>21.36.5e Couvre-murs en terre cuite CCTB 01.11</w:t>
      </w:r>
      <w:bookmarkEnd w:id="331"/>
    </w:p>
    <w:p w14:paraId="033170D5" w14:textId="77777777" w:rsidR="00DB2B68" w:rsidRDefault="00000000">
      <w:pPr>
        <w:pStyle w:val="Author-eSectionHeading6Numberless"/>
      </w:pPr>
      <w:bookmarkStart w:id="332" w:name="_Toc220495450"/>
      <w:r>
        <w:t>21.36.5f Couvre-murs métalliques CCTB 01.11</w:t>
      </w:r>
      <w:bookmarkEnd w:id="332"/>
    </w:p>
    <w:p w14:paraId="1AC24DCF" w14:textId="77777777" w:rsidR="00DB2B68" w:rsidRDefault="00000000">
      <w:pPr>
        <w:pStyle w:val="pheading"/>
      </w:pPr>
      <w:r>
        <w:t>DESCRIPTION</w:t>
      </w:r>
    </w:p>
    <w:p w14:paraId="2B2FBB0C" w14:textId="77777777" w:rsidR="00DB2B68" w:rsidRDefault="00000000">
      <w:pPr>
        <w:pStyle w:val="pheading"/>
      </w:pPr>
      <w:r>
        <w:lastRenderedPageBreak/>
        <w:t>- Définition / Comprend</w:t>
      </w:r>
    </w:p>
    <w:p w14:paraId="6127725B" w14:textId="77777777" w:rsidR="00DB2B68" w:rsidRDefault="00000000">
      <w:r>
        <w:t>Renvoi au § 35.21.5 Couvre-murs métalliques</w:t>
      </w:r>
    </w:p>
    <w:p w14:paraId="415AF356" w14:textId="77777777" w:rsidR="00DB2B68" w:rsidRDefault="00000000">
      <w:pPr>
        <w:pStyle w:val="Author-eSectionHeading6Numberless"/>
      </w:pPr>
      <w:bookmarkStart w:id="333" w:name="_Toc220495451"/>
      <w:r>
        <w:t>21.36.5g Couvre-murs synthétiques CCTB 01.11</w:t>
      </w:r>
      <w:bookmarkEnd w:id="333"/>
    </w:p>
    <w:p w14:paraId="593601C2" w14:textId="77777777" w:rsidR="00DB2B68" w:rsidRDefault="00000000">
      <w:pPr>
        <w:pStyle w:val="pheading"/>
      </w:pPr>
      <w:r>
        <w:t>MESURAGE</w:t>
      </w:r>
    </w:p>
    <w:p w14:paraId="07EE4F50" w14:textId="77777777" w:rsidR="00DB2B68" w:rsidRDefault="00000000">
      <w:pPr>
        <w:pStyle w:val="pheading"/>
      </w:pPr>
      <w:r>
        <w:t>- unité de mesure:</w:t>
      </w:r>
    </w:p>
    <w:p w14:paraId="5C656FC0" w14:textId="77777777" w:rsidR="00DB2B68" w:rsidRDefault="00000000">
      <w:r>
        <w:rPr>
          <w:rStyle w:val="optioncarChar"/>
        </w:rPr>
        <w:t>m³ / m² / m</w:t>
      </w:r>
      <w:r>
        <w:t xml:space="preserve"> (par défaut)</w:t>
      </w:r>
      <w:r>
        <w:rPr>
          <w:rStyle w:val="optioncarChar"/>
        </w:rPr>
        <w:t xml:space="preserve"> / Pce</w:t>
      </w:r>
    </w:p>
    <w:p w14:paraId="3A7D01BA" w14:textId="77777777" w:rsidR="00DB2B68" w:rsidRDefault="00000000">
      <w:pPr>
        <w:pStyle w:val="pheading"/>
      </w:pPr>
      <w:r>
        <w:t>- code de mesurage:</w:t>
      </w:r>
    </w:p>
    <w:p w14:paraId="68B80267" w14:textId="77777777" w:rsidR="00DB2B68" w:rsidRDefault="00000000">
      <w:r>
        <w:t>longueur nette à exécuter, y compris les pièces spéciales</w:t>
      </w:r>
    </w:p>
    <w:p w14:paraId="76410E58" w14:textId="77777777" w:rsidR="00DB2B68" w:rsidRDefault="00000000">
      <w:pPr>
        <w:pStyle w:val="pheading"/>
      </w:pPr>
      <w:r>
        <w:t>- nature du marché:</w:t>
      </w:r>
    </w:p>
    <w:p w14:paraId="38D03982" w14:textId="77777777" w:rsidR="00DB2B68" w:rsidRDefault="00000000">
      <w:r>
        <w:rPr>
          <w:rStyle w:val="optioncarChar"/>
        </w:rPr>
        <w:t>QF</w:t>
      </w:r>
      <w:r>
        <w:t xml:space="preserve"> (par défaut)</w:t>
      </w:r>
      <w:r>
        <w:rPr>
          <w:rStyle w:val="optioncarChar"/>
        </w:rPr>
        <w:t xml:space="preserve"> / QP</w:t>
      </w:r>
    </w:p>
    <w:p w14:paraId="273B0DAA" w14:textId="77777777" w:rsidR="00DB2B68" w:rsidRDefault="00000000">
      <w:pPr>
        <w:pStyle w:val="Author-eSectionHeading5Numberless"/>
      </w:pPr>
      <w:bookmarkStart w:id="334" w:name="_Toc220495452"/>
      <w:r>
        <w:t>21.36.6 Couvertures de cheminées CCTB 01.04</w:t>
      </w:r>
      <w:bookmarkEnd w:id="334"/>
    </w:p>
    <w:p w14:paraId="1F87F9A4" w14:textId="77777777" w:rsidR="00DB2B68" w:rsidRDefault="00000000">
      <w:pPr>
        <w:pStyle w:val="pheading"/>
      </w:pPr>
      <w:bookmarkStart w:id="335" w:name="690"/>
      <w:bookmarkEnd w:id="335"/>
      <w:r>
        <w:t>DESCRIPTION</w:t>
      </w:r>
    </w:p>
    <w:p w14:paraId="3E80DBF9" w14:textId="77777777" w:rsidR="00DB2B68" w:rsidRDefault="00000000">
      <w:pPr>
        <w:pStyle w:val="pheading"/>
      </w:pPr>
      <w:r>
        <w:t>- Définition / Comprend</w:t>
      </w:r>
    </w:p>
    <w:p w14:paraId="7083BFAA" w14:textId="77777777" w:rsidR="00DB2B68" w:rsidRDefault="00000000">
      <w:r>
        <w:t xml:space="preserve">Il s'agit de la fourniture et de la pose des pierres de couverture appropriées en vue d'une finition soignée et résistante aux influences atmosphériques pour les couronnements de cheminée. A défaut de dispositions spécifiques dans le métré récapitulatif, les éléments décoratifs correspondants et/ou les extracteurs, prévus sous l'article </w:t>
      </w:r>
      <w:hyperlink w:anchor="416" w:history="1">
        <w:r>
          <w:rPr>
            <w:color w:val="0000EE"/>
          </w:rPr>
          <w:t>27.32.1 Régulateurs de tirage</w:t>
        </w:r>
      </w:hyperlink>
      <w:r>
        <w:t>, sont compris dans le prix unitaire.</w:t>
      </w:r>
    </w:p>
    <w:p w14:paraId="095CBF4B" w14:textId="77777777" w:rsidR="00DB2B68" w:rsidRDefault="00000000">
      <w:pPr>
        <w:pStyle w:val="Author-eSectionHeading6Numberless"/>
      </w:pPr>
      <w:bookmarkStart w:id="336" w:name="_Toc220495453"/>
      <w:r>
        <w:t>21.36.6a Couvertures de cheminées en pierre CCTB 01.04</w:t>
      </w:r>
      <w:bookmarkEnd w:id="336"/>
    </w:p>
    <w:p w14:paraId="46234E54" w14:textId="77777777" w:rsidR="00DB2B68" w:rsidRDefault="00000000">
      <w:pPr>
        <w:pStyle w:val="Author-eSectionHeading6Numberless"/>
      </w:pPr>
      <w:bookmarkStart w:id="337" w:name="837"/>
      <w:bookmarkStart w:id="338" w:name="_Toc220495454"/>
      <w:bookmarkEnd w:id="337"/>
      <w:r>
        <w:t>21.36.6b Couvertures de cheminées en béton CCTB 01.11</w:t>
      </w:r>
      <w:bookmarkEnd w:id="338"/>
    </w:p>
    <w:p w14:paraId="5380BB31" w14:textId="77777777" w:rsidR="00DB2B68" w:rsidRDefault="00000000">
      <w:pPr>
        <w:pStyle w:val="pheading"/>
      </w:pPr>
      <w:bookmarkStart w:id="339" w:name="838"/>
      <w:bookmarkEnd w:id="339"/>
      <w:r>
        <w:t>MATÉRIAUX</w:t>
      </w:r>
    </w:p>
    <w:p w14:paraId="0C9A1601" w14:textId="77777777" w:rsidR="00DB2B68" w:rsidRDefault="00000000">
      <w:pPr>
        <w:pStyle w:val="pheading"/>
      </w:pPr>
      <w:r>
        <w:t>- Caractéristiques générales</w:t>
      </w:r>
    </w:p>
    <w:p w14:paraId="0E4AD79E" w14:textId="77777777" w:rsidR="00DB2B68" w:rsidRDefault="00000000">
      <w:r>
        <w:t xml:space="preserve">Il s'agit des couvertures de cheminée en béton armé </w:t>
      </w:r>
      <w:r>
        <w:rPr>
          <w:rStyle w:val="optioncarChar"/>
        </w:rPr>
        <w:t>coulé en place / préfabriqué</w:t>
      </w:r>
      <w:r>
        <w:t xml:space="preserve"> (par défaut) </w:t>
      </w:r>
      <w:r>
        <w:rPr>
          <w:rStyle w:val="optioncarChar"/>
        </w:rPr>
        <w:t>/ ***</w:t>
      </w:r>
      <w:r>
        <w:t xml:space="preserve"> selon les prescriptions du chapitre  </w:t>
      </w:r>
      <w:hyperlink w:anchor="87" w:history="1">
        <w:r>
          <w:rPr>
            <w:color w:val="0000EE"/>
          </w:rPr>
          <w:t>22 Superstructures en béton</w:t>
        </w:r>
      </w:hyperlink>
    </w:p>
    <w:p w14:paraId="683E852A" w14:textId="77777777" w:rsidR="00DB2B68" w:rsidRDefault="00000000">
      <w:r>
        <w:rPr>
          <w:b/>
          <w:u w:val="single"/>
        </w:rPr>
        <w:t>Spécifications</w:t>
      </w:r>
    </w:p>
    <w:p w14:paraId="41878203" w14:textId="77777777" w:rsidR="00DB2B68" w:rsidRDefault="00000000">
      <w:r>
        <w:t>Qualité du béton selon la [NBN B 15-001] :</w:t>
      </w:r>
    </w:p>
    <w:p w14:paraId="06937A32" w14:textId="77777777" w:rsidR="00DB2B68" w:rsidRDefault="00000000">
      <w:r>
        <w:t>Classe de résistance à la compression : </w:t>
      </w:r>
      <w:r>
        <w:rPr>
          <w:rStyle w:val="optioncarChar"/>
        </w:rPr>
        <w:t>C30/37 // C35/45 // C45/55 // C50/60 // C55/67 // C60/75 // C70/85 // C80/95 // C90/105 /// ***</w:t>
      </w:r>
    </w:p>
    <w:p w14:paraId="62C3801E" w14:textId="77777777" w:rsidR="00DB2B68" w:rsidRDefault="00000000">
      <w:r>
        <w:t>Classe d’environnement : </w:t>
      </w:r>
      <w:r>
        <w:rPr>
          <w:rStyle w:val="optioncarChar"/>
        </w:rPr>
        <w:t>EE3 / ES1 / ES2</w:t>
      </w:r>
    </w:p>
    <w:p w14:paraId="0116E255" w14:textId="77777777" w:rsidR="00DB2B68" w:rsidRDefault="00000000">
      <w:r>
        <w:t xml:space="preserve">Armatures : </w:t>
      </w:r>
      <w:r>
        <w:rPr>
          <w:rStyle w:val="optioncarChar"/>
        </w:rPr>
        <w:t>barres / treillis d'armatures BE 500 S ou DE 500 BS, 150 x 150 x 5 x 5 mm</w:t>
      </w:r>
    </w:p>
    <w:p w14:paraId="65F58BC7" w14:textId="77777777" w:rsidR="00DB2B68" w:rsidRDefault="00000000">
      <w:r>
        <w:t xml:space="preserve">Forme : </w:t>
      </w:r>
      <w:r>
        <w:rPr>
          <w:rStyle w:val="optioncarChar"/>
        </w:rPr>
        <w:t xml:space="preserve">profilée conformément aux dessins de détail </w:t>
      </w:r>
      <w:r>
        <w:t>(par défaut) </w:t>
      </w:r>
      <w:r>
        <w:rPr>
          <w:rStyle w:val="optioncarChar"/>
        </w:rPr>
        <w:t>/ ***</w:t>
      </w:r>
    </w:p>
    <w:p w14:paraId="18003447" w14:textId="77777777" w:rsidR="00DB2B68" w:rsidRDefault="00000000">
      <w:r>
        <w:t>Épaisseur : avec un léger ravalement en pente d'au moins 5%.</w:t>
      </w:r>
    </w:p>
    <w:p w14:paraId="5AE244B5" w14:textId="77777777" w:rsidR="00DB2B68" w:rsidRDefault="00000000">
      <w:r>
        <w:t xml:space="preserve">du côté le plus haut : minimum </w:t>
      </w:r>
      <w:r>
        <w:rPr>
          <w:rStyle w:val="optioncarChar"/>
        </w:rPr>
        <w:t>10 </w:t>
      </w:r>
      <w:r>
        <w:t>(par défaut)</w:t>
      </w:r>
      <w:r>
        <w:rPr>
          <w:rStyle w:val="optioncarChar"/>
        </w:rPr>
        <w:t xml:space="preserve"> / ***</w:t>
      </w:r>
      <w:r>
        <w:t xml:space="preserve"> cm</w:t>
      </w:r>
    </w:p>
    <w:p w14:paraId="3572C772" w14:textId="77777777" w:rsidR="00DB2B68" w:rsidRDefault="00000000">
      <w:r>
        <w:t xml:space="preserve">à l'extérieur : </w:t>
      </w:r>
      <w:r>
        <w:rPr>
          <w:rStyle w:val="optioncarChar"/>
        </w:rPr>
        <w:t xml:space="preserve">8 </w:t>
      </w:r>
      <w:r>
        <w:t>(par défaut) </w:t>
      </w:r>
      <w:r>
        <w:rPr>
          <w:rStyle w:val="optioncarChar"/>
        </w:rPr>
        <w:t>/ ***</w:t>
      </w:r>
      <w:r>
        <w:t xml:space="preserve"> cm</w:t>
      </w:r>
    </w:p>
    <w:p w14:paraId="0F5A2547" w14:textId="77777777" w:rsidR="00DB2B68" w:rsidRDefault="00000000">
      <w:r>
        <w:t xml:space="preserve">Dimensions (Lxl) : </w:t>
      </w:r>
      <w:r>
        <w:rPr>
          <w:rStyle w:val="optioncarChar"/>
        </w:rPr>
        <w:t>adaptées aux dimensions du couronnement de cheminée / conformément aux dessins détaillés</w:t>
      </w:r>
      <w:r>
        <w:t> </w:t>
      </w:r>
    </w:p>
    <w:p w14:paraId="1054C580" w14:textId="77777777" w:rsidR="00DB2B68" w:rsidRDefault="00000000">
      <w:pPr>
        <w:pStyle w:val="pheading"/>
      </w:pPr>
      <w:r>
        <w:t>- Finitions</w:t>
      </w:r>
    </w:p>
    <w:p w14:paraId="1F297587" w14:textId="77777777" w:rsidR="00DB2B68" w:rsidRDefault="00000000">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w:t>
      </w:r>
    </w:p>
    <w:p w14:paraId="148E6E19" w14:textId="77777777" w:rsidR="00DB2B68" w:rsidRDefault="00000000">
      <w:r>
        <w:t xml:space="preserve">Couleur : </w:t>
      </w:r>
      <w:r>
        <w:rPr>
          <w:rStyle w:val="optioncarChar"/>
        </w:rPr>
        <w:t>gris-blanc </w:t>
      </w:r>
      <w:r>
        <w:t>(par défaut)</w:t>
      </w:r>
      <w:r>
        <w:rPr>
          <w:rStyle w:val="optioncarChar"/>
        </w:rPr>
        <w:t xml:space="preserve"> / gris / ***</w:t>
      </w:r>
    </w:p>
    <w:p w14:paraId="37227572" w14:textId="77777777" w:rsidR="00DB2B68" w:rsidRDefault="00000000">
      <w:pPr>
        <w:pStyle w:val="pheading"/>
      </w:pPr>
      <w:r>
        <w:t>EXÉCUTION / MISE EN ŒUVRE</w:t>
      </w:r>
    </w:p>
    <w:p w14:paraId="40007161" w14:textId="77777777" w:rsidR="00DB2B68" w:rsidRDefault="00000000">
      <w:pPr>
        <w:pStyle w:val="pheading"/>
      </w:pPr>
      <w:r>
        <w:lastRenderedPageBreak/>
        <w:t>- Prescriptions générales</w:t>
      </w:r>
    </w:p>
    <w:p w14:paraId="6C0A5D58" w14:textId="77777777" w:rsidR="00DB2B68" w:rsidRDefault="00000000">
      <w:r>
        <w:t>La plaque de couverture est coulée dans un coffrage métallique ou constituée de panneaux de coffrage spéciaux en multiplex. </w:t>
      </w:r>
    </w:p>
    <w:p w14:paraId="64ABE144" w14:textId="77777777" w:rsidR="00DB2B68" w:rsidRDefault="00000000">
      <w:r>
        <w:t xml:space="preserve">Le couronnement de cheminée est conçu: </w:t>
      </w:r>
      <w:r>
        <w:rPr>
          <w:rStyle w:val="optioncarChar"/>
          <w:color w:val="auto"/>
        </w:rPr>
        <w:t>OPTION1 / OPTION 2</w:t>
      </w:r>
    </w:p>
    <w:p w14:paraId="30EDE7EA" w14:textId="77777777" w:rsidR="00DB2B68" w:rsidRDefault="00000000">
      <w:r>
        <w:rPr>
          <w:b/>
        </w:rPr>
        <w:t>*** OPTION 1 :</w:t>
      </w:r>
      <w:r>
        <w:t xml:space="preserve"> avec des ouvertures latérales dans la maçonnerie et avec une plaque de couverture complète.</w:t>
      </w:r>
    </w:p>
    <w:p w14:paraId="31E6B94D" w14:textId="77777777" w:rsidR="00DB2B68" w:rsidRDefault="00000000">
      <w:r>
        <w:rPr>
          <w:b/>
        </w:rPr>
        <w:t>*** OPTION 2:</w:t>
      </w:r>
      <w:r>
        <w:t xml:space="preserve"> avec une plaque de couverture dans laquelle des ouvertures appropriées sont ménagées, du diamètre des conduits, pour la fixation des éléments du régulateur de tirage selon le sous-titre </w:t>
      </w:r>
      <w:hyperlink w:anchor="415" w:history="1">
        <w:r>
          <w:rPr>
            <w:color w:val="0000EE"/>
          </w:rPr>
          <w:t>27.32 Régulateurs de tirage</w:t>
        </w:r>
      </w:hyperlink>
      <w:r>
        <w:t>. Autour de chaque réservation, le béton présente un léger rebord d'environ 1 cm.</w:t>
      </w:r>
    </w:p>
    <w:p w14:paraId="7B5F88C6" w14:textId="77777777" w:rsidR="00DB2B68" w:rsidRDefault="00000000">
      <w:r>
        <w:t xml:space="preserve">Le bord de la dalle de couverture: </w:t>
      </w:r>
      <w:r>
        <w:rPr>
          <w:rStyle w:val="optioncarChar"/>
        </w:rPr>
        <w:t>OPTION 1 / OPTION 2</w:t>
      </w:r>
    </w:p>
    <w:p w14:paraId="1B0F10EA" w14:textId="77777777" w:rsidR="00DB2B68" w:rsidRDefault="00000000">
      <w:r>
        <w:rPr>
          <w:b/>
        </w:rPr>
        <w:t>*** OPTION 1:</w:t>
      </w:r>
      <w:r>
        <w:t xml:space="preserve"> déborde de 5 cm par apport à la face de parement et est pourvu d'un rejet d'eau à sa partie inférieure.</w:t>
      </w:r>
    </w:p>
    <w:p w14:paraId="2C089396" w14:textId="77777777" w:rsidR="00DB2B68" w:rsidRDefault="00000000">
      <w:r>
        <w:rPr>
          <w:b/>
        </w:rPr>
        <w:t>*** OPTION 2:</w:t>
      </w:r>
      <w:r>
        <w:t xml:space="preserve"> vient au niveau de la face de parement et est pourvu </w:t>
      </w:r>
      <w:r>
        <w:rPr>
          <w:rStyle w:val="optioncarChar"/>
        </w:rPr>
        <w:t>d'un bourrelet en zinc / bourrelet en cuivre (épaisseur 0,8 mm)</w:t>
      </w:r>
      <w:r>
        <w:t xml:space="preserve"> avec un rebord qui est placé entre le parement et le béton.</w:t>
      </w:r>
    </w:p>
    <w:p w14:paraId="6012AC45" w14:textId="77777777" w:rsidR="00DB2B68" w:rsidRDefault="00000000">
      <w:r>
        <w:t>Les dalles de couverture sont posées à plein bain de mortier (épaisseur environ 15 mm) de consistance souple obtenue par adjonction d'une émulsion synthétique hydrofuge.</w:t>
      </w:r>
    </w:p>
    <w:p w14:paraId="4767B78C" w14:textId="77777777" w:rsidR="00DB2B68" w:rsidRDefault="00000000">
      <w:pPr>
        <w:pStyle w:val="pheading"/>
      </w:pPr>
      <w:r>
        <w:t>- Notes d’exécution complémentaires</w:t>
      </w:r>
    </w:p>
    <w:p w14:paraId="70F93F96" w14:textId="77777777" w:rsidR="00DB2B68" w:rsidRDefault="00000000">
      <w:r>
        <w:t xml:space="preserve">Les dalles de couverture sont traitées préalablement avec un produit non filmogène, incolore et hydrofuge, </w:t>
      </w:r>
      <w:r>
        <w:rPr>
          <w:rStyle w:val="optioncarChar"/>
        </w:rPr>
        <w:t xml:space="preserve">à base de silane ou de siloxane </w:t>
      </w:r>
      <w:r>
        <w:t>(par défaut) </w:t>
      </w:r>
      <w:r>
        <w:rPr>
          <w:rStyle w:val="optioncarChar"/>
        </w:rPr>
        <w:t xml:space="preserve">/ *** </w:t>
      </w:r>
      <w:r>
        <w:t>conformément à la [NBN B 15-219] .</w:t>
      </w:r>
    </w:p>
    <w:p w14:paraId="25095382" w14:textId="77777777" w:rsidR="00DB2B68" w:rsidRDefault="00000000">
      <w:r>
        <w:t>Il y a lieu de prévoir un joint de dilatation entre le conduit de fumée et la dalle de couverture en béton afin de prévenir les fissurations dans le conduit.</w:t>
      </w:r>
    </w:p>
    <w:p w14:paraId="71D558FF" w14:textId="77777777" w:rsidR="00DB2B68" w:rsidRDefault="00000000">
      <w:r>
        <w:t xml:space="preserve">Les dalles de couverture sont ancrées dans la maçonnerie de cheminée à l'aide de </w:t>
      </w:r>
      <w:r>
        <w:rPr>
          <w:rStyle w:val="optioncarChar"/>
        </w:rPr>
        <w:t>pattes d'ancrage inoxydables</w:t>
      </w:r>
      <w:r>
        <w:t xml:space="preserve"> (par défaut)</w:t>
      </w:r>
      <w:r>
        <w:rPr>
          <w:rStyle w:val="optioncarChar"/>
        </w:rPr>
        <w:t> / ***</w:t>
      </w:r>
    </w:p>
    <w:p w14:paraId="20C42660" w14:textId="77777777" w:rsidR="00DB2B68" w:rsidRDefault="00000000">
      <w:pPr>
        <w:pStyle w:val="pheading"/>
      </w:pPr>
      <w:r>
        <w:t>MESURAGE</w:t>
      </w:r>
    </w:p>
    <w:p w14:paraId="2000EE8B" w14:textId="77777777" w:rsidR="00DB2B68" w:rsidRDefault="00000000">
      <w:pPr>
        <w:pStyle w:val="pheading"/>
      </w:pPr>
      <w:r>
        <w:t>- unité de mesure:</w:t>
      </w:r>
    </w:p>
    <w:p w14:paraId="5ECC10C7" w14:textId="77777777" w:rsidR="00DB2B68" w:rsidRDefault="00000000">
      <w:r>
        <w:t>Pc</w:t>
      </w:r>
      <w:r>
        <w:br/>
      </w:r>
    </w:p>
    <w:p w14:paraId="55AC8AAB" w14:textId="77777777" w:rsidR="00DB2B68" w:rsidRDefault="00000000">
      <w:pPr>
        <w:pStyle w:val="pheading"/>
      </w:pPr>
      <w:r>
        <w:t>- code de mesurage:</w:t>
      </w:r>
    </w:p>
    <w:p w14:paraId="57509CEF" w14:textId="77777777" w:rsidR="00DB2B68" w:rsidRDefault="00000000">
      <w:r>
        <w:t>quantité nette à exécuter, y compris les pièces spéciales</w:t>
      </w:r>
    </w:p>
    <w:p w14:paraId="4AA15C5C" w14:textId="77777777" w:rsidR="00DB2B68" w:rsidRDefault="00000000">
      <w:pPr>
        <w:pStyle w:val="pheading"/>
      </w:pPr>
      <w:r>
        <w:t>- nature du marché:</w:t>
      </w:r>
    </w:p>
    <w:p w14:paraId="2B60FF9A" w14:textId="77777777" w:rsidR="00DB2B68" w:rsidRDefault="00000000">
      <w:r>
        <w:rPr>
          <w:rStyle w:val="optioncarChar"/>
        </w:rPr>
        <w:t>QF</w:t>
      </w:r>
      <w:r>
        <w:t xml:space="preserve"> (par défaut)</w:t>
      </w:r>
      <w:r>
        <w:rPr>
          <w:rStyle w:val="optioncarChar"/>
        </w:rPr>
        <w:t xml:space="preserve"> / QP</w:t>
      </w:r>
    </w:p>
    <w:p w14:paraId="433A8A0A" w14:textId="77777777" w:rsidR="00DB2B68" w:rsidRDefault="00000000">
      <w:pPr>
        <w:pStyle w:val="Author-eSectionHeading6Numberless"/>
      </w:pPr>
      <w:bookmarkStart w:id="340" w:name="_Toc220495455"/>
      <w:r>
        <w:t>21.36.6c Couvertures de cheminées en béton décoratif / architectonique CCTB 01.11</w:t>
      </w:r>
      <w:bookmarkEnd w:id="340"/>
    </w:p>
    <w:p w14:paraId="37CE8C55" w14:textId="77777777" w:rsidR="00DB2B68" w:rsidRDefault="00000000">
      <w:pPr>
        <w:pStyle w:val="pheading"/>
      </w:pPr>
      <w:r>
        <w:t>MATÉRIAUX</w:t>
      </w:r>
    </w:p>
    <w:p w14:paraId="09EA6589" w14:textId="77777777" w:rsidR="00DB2B68" w:rsidRDefault="00000000">
      <w:pPr>
        <w:pStyle w:val="pheading"/>
      </w:pPr>
      <w:r>
        <w:t>- Caractéristiques générales</w:t>
      </w:r>
    </w:p>
    <w:p w14:paraId="0045E548" w14:textId="77777777" w:rsidR="00DB2B68" w:rsidRDefault="00000000">
      <w:r>
        <w:t>Il s'agit des couvertures de cheminée préfabriquées en béton armé </w:t>
      </w:r>
      <w:r>
        <w:rPr>
          <w:rStyle w:val="optioncarChar"/>
        </w:rPr>
        <w:t>coulé en place / préfabriqué</w:t>
      </w:r>
      <w:r>
        <w:t xml:space="preserve"> (par défaut) </w:t>
      </w:r>
      <w:r>
        <w:rPr>
          <w:rStyle w:val="optioncarChar"/>
        </w:rPr>
        <w:t>/ ***</w:t>
      </w:r>
      <w:r>
        <w:t xml:space="preserve"> selon les prescriptions du chapitre  </w:t>
      </w:r>
      <w:hyperlink w:anchor="87" w:history="1">
        <w:r>
          <w:rPr>
            <w:color w:val="0000EE"/>
          </w:rPr>
          <w:t>22 Superstructures en béton</w:t>
        </w:r>
      </w:hyperlink>
      <w:r>
        <w:t>.</w:t>
      </w:r>
    </w:p>
    <w:p w14:paraId="1479AA97" w14:textId="77777777" w:rsidR="00DB2B68" w:rsidRDefault="00000000">
      <w:r>
        <w:rPr>
          <w:b/>
          <w:u w:val="single"/>
        </w:rPr>
        <w:t>Spécifications</w:t>
      </w:r>
    </w:p>
    <w:p w14:paraId="1A921583" w14:textId="77777777" w:rsidR="00DB2B68" w:rsidRDefault="00000000">
      <w:r>
        <w:t>Qualité du béton selon la [NBN B 15-001] :</w:t>
      </w:r>
    </w:p>
    <w:p w14:paraId="714FFC57" w14:textId="77777777" w:rsidR="00DB2B68" w:rsidRDefault="00000000">
      <w:r>
        <w:t xml:space="preserve">Classe de résistance à la compression : </w:t>
      </w:r>
      <w:r>
        <w:rPr>
          <w:rStyle w:val="optioncarChar"/>
        </w:rPr>
        <w:t>C30/37 // C35/45 // C45/55 // C50/60 // C55/67 // C60/75 // C70/85 // C80/95 // C90/105 /// ***</w:t>
      </w:r>
      <w:r>
        <w:br/>
        <w:t xml:space="preserve">Classe d’environnement : </w:t>
      </w:r>
      <w:r>
        <w:rPr>
          <w:rStyle w:val="optioncarChar"/>
        </w:rPr>
        <w:t>EE3 / ES1 / ES2</w:t>
      </w:r>
    </w:p>
    <w:p w14:paraId="24907905" w14:textId="77777777" w:rsidR="00DB2B68" w:rsidRDefault="00000000">
      <w:r>
        <w:lastRenderedPageBreak/>
        <w:t xml:space="preserve">Armatures : </w:t>
      </w:r>
      <w:r>
        <w:rPr>
          <w:rStyle w:val="optioncarChar"/>
        </w:rPr>
        <w:t>barres / treillis d'armatures BE 500 S ou DE 500 BS, 150 x 150 x 5 x 5 mm</w:t>
      </w:r>
    </w:p>
    <w:p w14:paraId="557F7195" w14:textId="77777777" w:rsidR="00DB2B68" w:rsidRDefault="00000000">
      <w:r>
        <w:t xml:space="preserve">Forme : </w:t>
      </w:r>
      <w:r>
        <w:rPr>
          <w:rStyle w:val="optioncarChar"/>
        </w:rPr>
        <w:t>profilée conformément aux dessins de détail</w:t>
      </w:r>
      <w:r>
        <w:t xml:space="preserve"> (par défaut)</w:t>
      </w:r>
      <w:r>
        <w:rPr>
          <w:rStyle w:val="optioncarChar"/>
        </w:rPr>
        <w:t> / ***</w:t>
      </w:r>
    </w:p>
    <w:p w14:paraId="153546E2" w14:textId="77777777" w:rsidR="00DB2B68" w:rsidRDefault="00000000">
      <w:r>
        <w:t>Épaisseur : avec un léger ravalement en pente d'au moins 5%.</w:t>
      </w:r>
    </w:p>
    <w:p w14:paraId="37ED1934" w14:textId="77777777" w:rsidR="00DB2B68" w:rsidRDefault="00000000">
      <w:r>
        <w:t xml:space="preserve">du côté le plus haut : minimum </w:t>
      </w:r>
      <w:r>
        <w:rPr>
          <w:rStyle w:val="optioncarChar"/>
        </w:rPr>
        <w:t xml:space="preserve">10 </w:t>
      </w:r>
      <w:r>
        <w:t>(par défaut) </w:t>
      </w:r>
      <w:r>
        <w:rPr>
          <w:rStyle w:val="optioncarChar"/>
        </w:rPr>
        <w:t>/ ***</w:t>
      </w:r>
      <w:r>
        <w:t xml:space="preserve"> cm</w:t>
      </w:r>
    </w:p>
    <w:p w14:paraId="1DECB636" w14:textId="77777777" w:rsidR="00DB2B68" w:rsidRDefault="00000000">
      <w:r>
        <w:t xml:space="preserve">à l'extérieur : </w:t>
      </w:r>
      <w:r>
        <w:rPr>
          <w:rStyle w:val="optioncarChar"/>
        </w:rPr>
        <w:t>8 </w:t>
      </w:r>
      <w:r>
        <w:t>(par défaut)</w:t>
      </w:r>
      <w:r>
        <w:rPr>
          <w:rStyle w:val="optioncarChar"/>
        </w:rPr>
        <w:t xml:space="preserve"> / ***</w:t>
      </w:r>
      <w:r>
        <w:t xml:space="preserve"> cm</w:t>
      </w:r>
    </w:p>
    <w:p w14:paraId="1D16F2B0" w14:textId="77777777" w:rsidR="00DB2B68" w:rsidRDefault="00000000">
      <w:r>
        <w:t xml:space="preserve">Dimensions (Lxl) : </w:t>
      </w:r>
      <w:r>
        <w:rPr>
          <w:rStyle w:val="optioncarChar"/>
        </w:rPr>
        <w:t>adaptées aux dimensions du couronnement de cheminée / conformément aux dessins détaillés</w:t>
      </w:r>
      <w:r>
        <w:t> </w:t>
      </w:r>
    </w:p>
    <w:p w14:paraId="1468FED7" w14:textId="77777777" w:rsidR="00DB2B68" w:rsidRDefault="00000000">
      <w:pPr>
        <w:pStyle w:val="pheading"/>
      </w:pPr>
      <w:r>
        <w:t>- Finitions</w:t>
      </w:r>
    </w:p>
    <w:p w14:paraId="1B053ABA" w14:textId="77777777" w:rsidR="00DB2B68" w:rsidRDefault="00000000">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w:t>
      </w:r>
    </w:p>
    <w:p w14:paraId="32AAA306" w14:textId="77777777" w:rsidR="00DB2B68" w:rsidRDefault="00000000">
      <w:r>
        <w:t xml:space="preserve">Couleur : </w:t>
      </w:r>
      <w:r>
        <w:rPr>
          <w:rStyle w:val="optioncarChar"/>
        </w:rPr>
        <w:t xml:space="preserve">gris-blanc </w:t>
      </w:r>
      <w:r>
        <w:t>(par défaut) </w:t>
      </w:r>
      <w:r>
        <w:rPr>
          <w:rStyle w:val="optioncarChar"/>
        </w:rPr>
        <w:t>/ gris / ***</w:t>
      </w:r>
    </w:p>
    <w:p w14:paraId="573CF286" w14:textId="77777777" w:rsidR="00DB2B68" w:rsidRDefault="00000000">
      <w:pPr>
        <w:pStyle w:val="pheading"/>
      </w:pPr>
      <w:r>
        <w:t>EXÉCUTION / MISE EN ŒUVRE</w:t>
      </w:r>
    </w:p>
    <w:p w14:paraId="5830D43F" w14:textId="77777777" w:rsidR="00DB2B68" w:rsidRDefault="00000000">
      <w:pPr>
        <w:pStyle w:val="pheading"/>
      </w:pPr>
      <w:r>
        <w:t>- Prescriptions générales</w:t>
      </w:r>
    </w:p>
    <w:p w14:paraId="644B5F5C" w14:textId="77777777" w:rsidR="00DB2B68" w:rsidRDefault="00000000">
      <w:r>
        <w:t>La plaque de couverture est coulée dans un coffrage métallique ou constituée de panneaux de coffrage spéciaux en multiplex. </w:t>
      </w:r>
    </w:p>
    <w:p w14:paraId="3A962A88" w14:textId="77777777" w:rsidR="00DB2B68" w:rsidRDefault="00000000">
      <w:r>
        <w:t xml:space="preserve">Le couronnement de cheminée est conçu: </w:t>
      </w:r>
      <w:r>
        <w:rPr>
          <w:rStyle w:val="optioncarChar"/>
          <w:color w:val="auto"/>
        </w:rPr>
        <w:t>OPTION1 / OPTION 2</w:t>
      </w:r>
    </w:p>
    <w:p w14:paraId="2DEA82A4" w14:textId="77777777" w:rsidR="00DB2B68" w:rsidRDefault="00000000">
      <w:r>
        <w:rPr>
          <w:b/>
        </w:rPr>
        <w:t>*** OPTION 1 :</w:t>
      </w:r>
      <w:r>
        <w:t xml:space="preserve"> avec des ouvertures latérales dans la maçonnerie et avec une plaque de couverture complète.</w:t>
      </w:r>
    </w:p>
    <w:p w14:paraId="18A2A240" w14:textId="77777777" w:rsidR="00DB2B68" w:rsidRDefault="00000000">
      <w:r>
        <w:rPr>
          <w:b/>
        </w:rPr>
        <w:t>*** OPTION 2:</w:t>
      </w:r>
      <w:r>
        <w:t xml:space="preserve"> avec une plaque de couverture dans laquelle des ouvertures appropriées sont ménagées, du diamètre des conduits, pour la fixation des éléments du régulateur de tirage selon le sous-titre </w:t>
      </w:r>
      <w:hyperlink w:anchor="415" w:history="1">
        <w:r>
          <w:rPr>
            <w:color w:val="0000EE"/>
          </w:rPr>
          <w:t>27.32 Régulateurs de tirage</w:t>
        </w:r>
      </w:hyperlink>
      <w:r>
        <w:t>. Autour de chaque réservation, le béton présente un léger rebord d'environ 1 cm.</w:t>
      </w:r>
    </w:p>
    <w:p w14:paraId="32372E78" w14:textId="77777777" w:rsidR="00DB2B68" w:rsidRDefault="00000000">
      <w:r>
        <w:t xml:space="preserve">Le bord de la dalle de couverture: </w:t>
      </w:r>
      <w:r>
        <w:rPr>
          <w:rStyle w:val="optioncarChar"/>
        </w:rPr>
        <w:t>OPTION 1 / OPTION 2</w:t>
      </w:r>
    </w:p>
    <w:p w14:paraId="09FE746F" w14:textId="77777777" w:rsidR="00DB2B68" w:rsidRDefault="00000000">
      <w:r>
        <w:rPr>
          <w:b/>
        </w:rPr>
        <w:t>*** OPTION 1:</w:t>
      </w:r>
      <w:r>
        <w:t xml:space="preserve"> déborde de 5 cm par apport à la face de parement et est pourvu d'un rejet d'eau à sa partie inférieure.</w:t>
      </w:r>
    </w:p>
    <w:p w14:paraId="01C57AB4" w14:textId="77777777" w:rsidR="00DB2B68" w:rsidRDefault="00000000">
      <w:r>
        <w:rPr>
          <w:b/>
        </w:rPr>
        <w:t>*** OPTION 2:</w:t>
      </w:r>
      <w:r>
        <w:t xml:space="preserve"> vient au niveau de la face de parement et est pourvu </w:t>
      </w:r>
      <w:r>
        <w:rPr>
          <w:rStyle w:val="optioncarChar"/>
        </w:rPr>
        <w:t>d'un bourrelet en zinc / bourrelet en cuivre (épaisseur 0,8 mm)</w:t>
      </w:r>
      <w:r>
        <w:t xml:space="preserve"> avec un rebord qui sera placé entre le parement et le béton.</w:t>
      </w:r>
    </w:p>
    <w:p w14:paraId="1000FD99" w14:textId="77777777" w:rsidR="00DB2B68" w:rsidRDefault="00000000">
      <w:r>
        <w:t>Les dalles de couverture sont posées à plein bain de mortier (épaisseur environ 15 mm) de consistance souple obtenue par adjonction d'une émulsion synthétique hydrofuge.</w:t>
      </w:r>
    </w:p>
    <w:p w14:paraId="110D7E86" w14:textId="77777777" w:rsidR="00DB2B68" w:rsidRDefault="00000000">
      <w:pPr>
        <w:pStyle w:val="pheading"/>
      </w:pPr>
      <w:r>
        <w:t>- Notes d’exécution complémentaires</w:t>
      </w:r>
    </w:p>
    <w:p w14:paraId="4DBB9E0A" w14:textId="77777777" w:rsidR="00DB2B68" w:rsidRDefault="00000000">
      <w:r>
        <w:t xml:space="preserve">Les dalles de couverture sont traitées préalablement avec un produit non filmogène, incolore et hydrofuge, </w:t>
      </w:r>
      <w:r>
        <w:rPr>
          <w:rStyle w:val="optioncarChar"/>
        </w:rPr>
        <w:t>à base de silane ou de siloxane </w:t>
      </w:r>
      <w:r>
        <w:t>(par défaut)</w:t>
      </w:r>
      <w:r>
        <w:rPr>
          <w:rStyle w:val="optioncarChar"/>
        </w:rPr>
        <w:t xml:space="preserve"> / *** </w:t>
      </w:r>
      <w:r>
        <w:t>conformément à la [NBN B 15-219] .</w:t>
      </w:r>
    </w:p>
    <w:p w14:paraId="31AACACA" w14:textId="77777777" w:rsidR="00DB2B68" w:rsidRDefault="00000000">
      <w:r>
        <w:t>Il y a lieu de prévoir un joint de dilatation entre le conduit de fumée et la dalle de couverture en béton afin de prévenir les fissurations dans le conduit.</w:t>
      </w:r>
    </w:p>
    <w:p w14:paraId="0032631B" w14:textId="77777777" w:rsidR="00DB2B68" w:rsidRDefault="00000000">
      <w:r>
        <w:t xml:space="preserve">Les dalles de couverture sont ancrées dans la maçonnerie de cheminée à l'aide de </w:t>
      </w:r>
      <w:r>
        <w:rPr>
          <w:rStyle w:val="optioncarChar"/>
        </w:rPr>
        <w:t>pattes d'ancrage inoxydables </w:t>
      </w:r>
      <w:r>
        <w:t xml:space="preserve">(par défaut) </w:t>
      </w:r>
      <w:r>
        <w:rPr>
          <w:rStyle w:val="optioncarChar"/>
        </w:rPr>
        <w:t>/ ***</w:t>
      </w:r>
    </w:p>
    <w:p w14:paraId="2810AD5F" w14:textId="77777777" w:rsidR="00DB2B68" w:rsidRDefault="00000000">
      <w:pPr>
        <w:pStyle w:val="pheading"/>
      </w:pPr>
      <w:r>
        <w:t>MESURAGE</w:t>
      </w:r>
    </w:p>
    <w:p w14:paraId="22D7CF96" w14:textId="77777777" w:rsidR="00DB2B68" w:rsidRDefault="00000000">
      <w:pPr>
        <w:pStyle w:val="pheading"/>
      </w:pPr>
      <w:r>
        <w:t>- unité de mesure:</w:t>
      </w:r>
    </w:p>
    <w:p w14:paraId="4C436696" w14:textId="77777777" w:rsidR="00DB2B68" w:rsidRDefault="00000000">
      <w:r>
        <w:t>Pc</w:t>
      </w:r>
      <w:r>
        <w:br/>
      </w:r>
    </w:p>
    <w:p w14:paraId="50C37211" w14:textId="77777777" w:rsidR="00DB2B68" w:rsidRDefault="00000000">
      <w:pPr>
        <w:pStyle w:val="pheading"/>
      </w:pPr>
      <w:r>
        <w:t>- code de mesurage:</w:t>
      </w:r>
    </w:p>
    <w:p w14:paraId="74FBCD64" w14:textId="77777777" w:rsidR="00DB2B68" w:rsidRDefault="00000000">
      <w:r>
        <w:t>quantité nette à exécuter, y compris les pièces spéciales</w:t>
      </w:r>
    </w:p>
    <w:p w14:paraId="7B035FA6" w14:textId="77777777" w:rsidR="00DB2B68" w:rsidRDefault="00000000">
      <w:pPr>
        <w:pStyle w:val="pheading"/>
      </w:pPr>
      <w:r>
        <w:t>- nature du marché:</w:t>
      </w:r>
    </w:p>
    <w:p w14:paraId="4B7959EA" w14:textId="77777777" w:rsidR="00DB2B68" w:rsidRDefault="00000000">
      <w:r>
        <w:rPr>
          <w:rStyle w:val="optioncarChar"/>
        </w:rPr>
        <w:lastRenderedPageBreak/>
        <w:t>QF</w:t>
      </w:r>
      <w:r>
        <w:t xml:space="preserve"> (par défaut)</w:t>
      </w:r>
      <w:r>
        <w:rPr>
          <w:rStyle w:val="optioncarChar"/>
        </w:rPr>
        <w:t xml:space="preserve"> / QP</w:t>
      </w:r>
    </w:p>
    <w:p w14:paraId="097B5488" w14:textId="77777777" w:rsidR="00DB2B68" w:rsidRDefault="00000000">
      <w:pPr>
        <w:pStyle w:val="Author-eSectionHeading6Numberless"/>
      </w:pPr>
      <w:bookmarkStart w:id="341" w:name="_Toc220495456"/>
      <w:r>
        <w:t>21.36.6d Couvertures de cheminées en fibres-ciment CCTB 01.04</w:t>
      </w:r>
      <w:bookmarkEnd w:id="341"/>
    </w:p>
    <w:p w14:paraId="5B6695CF" w14:textId="77777777" w:rsidR="00DB2B68" w:rsidRDefault="00000000">
      <w:pPr>
        <w:pStyle w:val="Author-eSectionHeading5Numberless"/>
      </w:pPr>
      <w:bookmarkStart w:id="342" w:name="839"/>
      <w:bookmarkStart w:id="343" w:name="_Toc220495457"/>
      <w:bookmarkEnd w:id="342"/>
      <w:r>
        <w:t>21.36.7 Bandeaux CCTB 01.04</w:t>
      </w:r>
      <w:bookmarkEnd w:id="343"/>
    </w:p>
    <w:p w14:paraId="098E0D14" w14:textId="77777777" w:rsidR="00DB2B68" w:rsidRDefault="00000000">
      <w:pPr>
        <w:pStyle w:val="Author-eSectionHeading6Numberless"/>
      </w:pPr>
      <w:bookmarkStart w:id="344" w:name="_Toc220495458"/>
      <w:r>
        <w:t>21.36.7a Bandeaux en pierre CCTB 01.04</w:t>
      </w:r>
      <w:bookmarkEnd w:id="344"/>
    </w:p>
    <w:p w14:paraId="29987ACE" w14:textId="77777777" w:rsidR="00DB2B68" w:rsidRDefault="00000000">
      <w:pPr>
        <w:pStyle w:val="Author-eSectionHeading6Numberless"/>
      </w:pPr>
      <w:bookmarkStart w:id="345" w:name="_Toc220495459"/>
      <w:r>
        <w:t>21.36.7b Bandeaux en éléments préfabriqués en béton décoratif / architectonique CCTB 01.04</w:t>
      </w:r>
      <w:bookmarkEnd w:id="345"/>
    </w:p>
    <w:p w14:paraId="59ABEFB3" w14:textId="77777777" w:rsidR="00DB2B68" w:rsidRDefault="00000000">
      <w:pPr>
        <w:pStyle w:val="Author-eSectionHeading3Numberless"/>
      </w:pPr>
      <w:bookmarkStart w:id="346" w:name="_Toc220495460"/>
      <w:r>
        <w:t>21.4 Eléments particuliers pour maçonneries CCTB 01.02</w:t>
      </w:r>
      <w:bookmarkEnd w:id="346"/>
    </w:p>
    <w:p w14:paraId="34178F14" w14:textId="77777777" w:rsidR="00DB2B68" w:rsidRDefault="00000000">
      <w:pPr>
        <w:pStyle w:val="Author-eSectionHeading4Numberless"/>
      </w:pPr>
      <w:bookmarkStart w:id="347" w:name="366"/>
      <w:bookmarkStart w:id="348" w:name="_Toc220495461"/>
      <w:bookmarkEnd w:id="347"/>
      <w:r>
        <w:t>21.41 Armatures pour maçonneries CCTB 01.02</w:t>
      </w:r>
      <w:bookmarkEnd w:id="348"/>
    </w:p>
    <w:p w14:paraId="06D8BF12" w14:textId="77777777" w:rsidR="00DB2B68" w:rsidRDefault="00000000">
      <w:pPr>
        <w:pStyle w:val="pheading"/>
      </w:pPr>
      <w:bookmarkStart w:id="349" w:name="419"/>
      <w:bookmarkEnd w:id="349"/>
      <w:r>
        <w:t>DESCRIPTION</w:t>
      </w:r>
    </w:p>
    <w:p w14:paraId="4426CFFC" w14:textId="77777777" w:rsidR="00DB2B68" w:rsidRDefault="00000000">
      <w:pPr>
        <w:pStyle w:val="pheading"/>
      </w:pPr>
      <w:r>
        <w:t>- Définition / Comprend</w:t>
      </w:r>
    </w:p>
    <w:p w14:paraId="2005C41A" w14:textId="77777777" w:rsidR="00DB2B68" w:rsidRDefault="00000000">
      <w:r>
        <w:t>Cet article concerne les suppléments de prix lorsqu'un degré de complexité supérieur et/ou des accessoires supplémentaires s'avèrent nécessaires pour l'exécution des ouvrages en maçonnerie d'élévation portante. Ils peuvent être comptés séparément comme suppléments lorsqu'un poste séparé est prévu à cet effet dans le métré récapitulatif.</w:t>
      </w:r>
    </w:p>
    <w:p w14:paraId="1840CCD9" w14:textId="77777777" w:rsidR="00DB2B68" w:rsidRDefault="00000000">
      <w:pPr>
        <w:pStyle w:val="Author-eSectionHeading5Numberless"/>
      </w:pPr>
      <w:bookmarkStart w:id="350" w:name="_Toc220495462"/>
      <w:r>
        <w:t>21.41.1 Armatures horizontales pour maçonneries CCTB 01.11</w:t>
      </w:r>
      <w:bookmarkEnd w:id="350"/>
    </w:p>
    <w:p w14:paraId="08FF6B8A" w14:textId="77777777" w:rsidR="00DB2B68" w:rsidRDefault="00000000">
      <w:pPr>
        <w:pStyle w:val="pheading"/>
      </w:pPr>
      <w:bookmarkStart w:id="351" w:name="357"/>
      <w:bookmarkEnd w:id="351"/>
      <w:r>
        <w:t>DESCRIPTION</w:t>
      </w:r>
    </w:p>
    <w:p w14:paraId="49CD4448" w14:textId="77777777" w:rsidR="00DB2B68" w:rsidRDefault="00000000">
      <w:pPr>
        <w:pStyle w:val="pheading"/>
      </w:pPr>
      <w:r>
        <w:t>- Définition / Comprend</w:t>
      </w:r>
    </w:p>
    <w:p w14:paraId="62C14C01" w14:textId="77777777" w:rsidR="00DB2B68" w:rsidRDefault="00000000">
      <w:r>
        <w:t xml:space="preserve">Ce poste concerne les armatures horizontales pour les maçonneries, posées dans les joints d'assise, et utilisées pour augmenter la résistance à la traction et absorber les éventuelles tensions de cisaillement. </w:t>
      </w:r>
    </w:p>
    <w:p w14:paraId="2C8DB801" w14:textId="77777777" w:rsidR="00DB2B68" w:rsidRDefault="00000000">
      <w:r>
        <w:t>À l'attention de l'auteur de projet</w:t>
      </w:r>
    </w:p>
    <w:p w14:paraId="53D8B895" w14:textId="77777777" w:rsidR="00DB2B68" w:rsidRDefault="00000000">
      <w:r>
        <w:t xml:space="preserve">- Les essais ont démontré que les armatures horizontales contribuaient à l'augmentation de la résistance à la compression et ce, jusqu'à 20%. En ce qui concerne les sollicitations latérales, la maçonnerie armée présente également un moment de rupture plus grand. A cet égard, les armatures horizontales peuvent également constituer une alternative pour les linteaux, les poutres de ceinture et les poutres de répartition pour les charges ponctuelles. Pour plus d'informations, consultez aussi : </w:t>
      </w:r>
    </w:p>
    <w:p w14:paraId="3C2E0B23" w14:textId="77777777" w:rsidR="00DB2B68" w:rsidRDefault="00000000">
      <w:r>
        <w:t>- Maçonnerie armée. 1</w:t>
      </w:r>
      <w:r>
        <w:rPr>
          <w:vertAlign w:val="superscript"/>
        </w:rPr>
        <w:t>ère</w:t>
      </w:r>
      <w:r>
        <w:t xml:space="preserve"> Partie : matériaux et exécution [Buildwise Article Revue (2001-01-21)]</w:t>
      </w:r>
    </w:p>
    <w:p w14:paraId="4D6E23D7" w14:textId="77777777" w:rsidR="00DB2B68" w:rsidRDefault="00000000">
      <w:r>
        <w:t>- Maçonnerie armée. 2</w:t>
      </w:r>
      <w:r>
        <w:rPr>
          <w:vertAlign w:val="superscript"/>
        </w:rPr>
        <w:t>ème</w:t>
      </w:r>
      <w:r>
        <w:t xml:space="preserve"> Partie : application et calculs [Buildwise Article Revue (2001-02-19)]</w:t>
      </w:r>
    </w:p>
    <w:p w14:paraId="1561DF0D" w14:textId="77777777" w:rsidR="00DB2B68" w:rsidRDefault="00000000">
      <w:pPr>
        <w:pStyle w:val="pheading"/>
      </w:pPr>
      <w:r>
        <w:t>MATÉRIAUX</w:t>
      </w:r>
    </w:p>
    <w:p w14:paraId="66B6B76F" w14:textId="77777777" w:rsidR="00DB2B68" w:rsidRDefault="00000000">
      <w:r>
        <w:t>Les armatures en acier pour joints horizontaux doivent répondre aux spécifications de la norme [NBN EN 845-3:2013+A1] . Leur usage suit les règles de conception et de mise en œuvre de l'Eurocode 6.</w:t>
      </w:r>
    </w:p>
    <w:p w14:paraId="0AA802A1" w14:textId="77777777" w:rsidR="00DB2B68" w:rsidRDefault="00000000">
      <w:r>
        <w:t>Les armatures horizontales sont constituées d'un treillis composé de 2 barres profilées longitudinales reliées entre elles à l'aide d'une barre continue transversale en forme de diagonale. La structure diagonale est soudée aux fils longitudinaux. Les soudures sont réalisées de manière telle que la barre diagonale se trouve entièrement dans le plan des barres longitudinales. Ces derniers sont crénelés de manière à augmenter l'adhérence du mortier.</w:t>
      </w:r>
    </w:p>
    <w:p w14:paraId="6A79A424" w14:textId="77777777" w:rsidR="00DB2B68" w:rsidRDefault="00000000">
      <w:r>
        <w:t xml:space="preserve">Les armatures se composent de: </w:t>
      </w:r>
      <w:r>
        <w:rPr>
          <w:rStyle w:val="optioncarChar"/>
        </w:rPr>
        <w:t>barres d'armatures / un treillis</w:t>
      </w:r>
    </w:p>
    <w:p w14:paraId="579AE81F" w14:textId="77777777" w:rsidR="00DB2B68" w:rsidRDefault="00000000">
      <w:pPr>
        <w:pStyle w:val="Author-eListParagraph"/>
        <w:numPr>
          <w:ilvl w:val="0"/>
          <w:numId w:val="285"/>
        </w:numPr>
      </w:pPr>
      <w:r>
        <w:t xml:space="preserve">2 </w:t>
      </w:r>
      <w:r>
        <w:rPr>
          <w:u w:val="single"/>
        </w:rPr>
        <w:t>barres d'armature</w:t>
      </w:r>
      <w:r>
        <w:t xml:space="preserve"> de diamètre </w:t>
      </w:r>
      <w:r>
        <w:rPr>
          <w:rStyle w:val="optioncarChar"/>
        </w:rPr>
        <w:t>6 </w:t>
      </w:r>
      <w:r>
        <w:t>(par défaut)</w:t>
      </w:r>
      <w:r>
        <w:rPr>
          <w:rStyle w:val="optioncarChar"/>
        </w:rPr>
        <w:t xml:space="preserve"> / 8 / ***</w:t>
      </w:r>
      <w:r>
        <w:t xml:space="preserve"> mm, qualité BE 500 S.</w:t>
      </w:r>
    </w:p>
    <w:p w14:paraId="6CC7CE71" w14:textId="77777777" w:rsidR="00DB2B68" w:rsidRDefault="00000000">
      <w:pPr>
        <w:pStyle w:val="Author-eListParagraph"/>
        <w:numPr>
          <w:ilvl w:val="0"/>
          <w:numId w:val="285"/>
        </w:numPr>
      </w:pPr>
      <w:r>
        <w:rPr>
          <w:u w:val="single"/>
        </w:rPr>
        <w:t>un treillis</w:t>
      </w:r>
      <w:r>
        <w:t xml:space="preserve"> composé de 2 barres profilées longitudinales reliées entre elles à l'aide d'une barre continue transversale en forme de diagonale. La structure diagonale est soudée aux fils longitudinaux. L'acier est de qualité BE 500 S selon la série [NBN A 24-3xx série] .</w:t>
      </w:r>
    </w:p>
    <w:p w14:paraId="4847B571" w14:textId="77777777" w:rsidR="00DB2B68" w:rsidRDefault="00000000">
      <w:r>
        <w:t> </w:t>
      </w:r>
    </w:p>
    <w:p w14:paraId="02089B94" w14:textId="77777777" w:rsidR="00DB2B68" w:rsidRDefault="00000000">
      <w:r>
        <w:rPr>
          <w:b/>
          <w:u w:val="single"/>
        </w:rPr>
        <w:lastRenderedPageBreak/>
        <w:t>Spécifications</w:t>
      </w:r>
    </w:p>
    <w:p w14:paraId="1F4522FB" w14:textId="77777777" w:rsidR="00DB2B68" w:rsidRDefault="00000000">
      <w:r>
        <w:t>Les armatures sont galvanisées à chaud à raison d'au moins 50 g/m</w:t>
      </w:r>
      <w:r>
        <w:rPr>
          <w:vertAlign w:val="superscript"/>
        </w:rPr>
        <w:t>2</w:t>
      </w:r>
      <w:r>
        <w:t xml:space="preserve"> ;</w:t>
      </w:r>
    </w:p>
    <w:p w14:paraId="3A5BC317" w14:textId="77777777" w:rsidR="00DB2B68" w:rsidRDefault="00000000">
      <w:r>
        <w:t xml:space="preserve">Dimensions : </w:t>
      </w:r>
      <w:r>
        <w:rPr>
          <w:rStyle w:val="optioncarChar"/>
        </w:rPr>
        <w:t>adaptées à l'épaisseur des briques et du joint (toujours plus minces que l'épaisseur du joint / une distinction doit être faite entre la maçonnerie exécutée à joints de mortier ou à joints de colle)</w:t>
      </w:r>
    </w:p>
    <w:p w14:paraId="6D5813E8" w14:textId="77777777" w:rsidR="00DB2B68" w:rsidRDefault="00000000">
      <w:r>
        <w:t xml:space="preserve">Section des barres : une distinction doit être établie entre les maçonneries réalisées au mortier et au mortier-colle: </w:t>
      </w:r>
      <w:r>
        <w:rPr>
          <w:rStyle w:val="optioncarChar"/>
        </w:rPr>
        <w:t>OPTION 1 (mortier) / OPTION 2 (mortier-colle)</w:t>
      </w:r>
    </w:p>
    <w:p w14:paraId="6700A137" w14:textId="77777777" w:rsidR="00DB2B68" w:rsidRDefault="00000000">
      <w:r>
        <w:rPr>
          <w:b/>
        </w:rPr>
        <w:t>*** OPTION 1:</w:t>
      </w:r>
      <w:r>
        <w:t xml:space="preserve"> Pour les ouvrages en maçonnerie au </w:t>
      </w:r>
      <w:r>
        <w:rPr>
          <w:u w:val="single"/>
        </w:rPr>
        <w:t>mortier</w:t>
      </w:r>
      <w:r>
        <w:t>, les diamètres suivants sont d'application pour les barres :</w:t>
      </w:r>
    </w:p>
    <w:p w14:paraId="1E35B797" w14:textId="77777777" w:rsidR="00DB2B68" w:rsidRDefault="00000000">
      <w:r>
        <w:t>- pour les épaisseurs de mur jusqu'à 24 cm, le diamètre des barres longitudinales est de 4 mm</w:t>
      </w:r>
    </w:p>
    <w:p w14:paraId="0DD0D1F5" w14:textId="77777777" w:rsidR="00DB2B68" w:rsidRDefault="00000000">
      <w:r>
        <w:t>- pour les épaisseurs de mur supérieures à 24 cm et pour les murs à coulisse, le diamètre des barres longitudinales est de 4,75 mm . Le diamètre des armatures transversales est dans les deux cas de 3 / 3,75 mm </w:t>
      </w:r>
    </w:p>
    <w:p w14:paraId="1F135D07" w14:textId="77777777" w:rsidR="00DB2B68" w:rsidRDefault="00000000">
      <w:r>
        <w:rPr>
          <w:b/>
        </w:rPr>
        <w:t>*** OPTION 2:</w:t>
      </w:r>
      <w:r>
        <w:t xml:space="preserve"> Pour les ouvrages en maçonnerie </w:t>
      </w:r>
      <w:r>
        <w:rPr>
          <w:u w:val="single"/>
        </w:rPr>
        <w:t>au mortier-colle</w:t>
      </w:r>
      <w:r>
        <w:t>, les sections suivantes sont respectées pour les barres :</w:t>
      </w:r>
    </w:p>
    <w:p w14:paraId="44E491C9" w14:textId="77777777" w:rsidR="00DB2B68" w:rsidRDefault="00000000">
      <w:pPr>
        <w:pStyle w:val="Author-eListParagraph"/>
        <w:numPr>
          <w:ilvl w:val="0"/>
          <w:numId w:val="286"/>
        </w:numPr>
      </w:pPr>
      <w:r>
        <w:t>pour les barres longitudinales 2 x 6 mm</w:t>
      </w:r>
      <w:r>
        <w:br/>
        <w:t>pour les barres transversales 2 x 5,5 mm </w:t>
      </w:r>
    </w:p>
    <w:p w14:paraId="0FB9A75C" w14:textId="77777777" w:rsidR="00DB2B68" w:rsidRDefault="00000000">
      <w:r>
        <w:t xml:space="preserve">Les armatures sont galvanisées à chaud a raison d'au moins </w:t>
      </w:r>
      <w:r>
        <w:rPr>
          <w:rStyle w:val="optioncarChar"/>
        </w:rPr>
        <w:t>60 g par m</w:t>
      </w:r>
      <w:r>
        <w:rPr>
          <w:rStyle w:val="optioncarChar"/>
          <w:vertAlign w:val="superscript"/>
        </w:rPr>
        <w:t>2 </w:t>
      </w:r>
      <w:r>
        <w:t>(par défaut) </w:t>
      </w:r>
      <w:r>
        <w:rPr>
          <w:rStyle w:val="optioncarChar"/>
        </w:rPr>
        <w:t>/ 60 g par m</w:t>
      </w:r>
      <w:r>
        <w:rPr>
          <w:rStyle w:val="optioncarChar"/>
          <w:vertAlign w:val="superscript"/>
        </w:rPr>
        <w:t>2</w:t>
      </w:r>
      <w:r>
        <w:rPr>
          <w:rStyle w:val="optioncarChar"/>
        </w:rPr>
        <w:t xml:space="preserve"> et munies d'une protection en polyester / ***</w:t>
      </w:r>
      <w:r>
        <w:rPr>
          <w:color w:val="0000FF"/>
        </w:rPr>
        <w:t>.</w:t>
      </w:r>
    </w:p>
    <w:p w14:paraId="60563801" w14:textId="77777777" w:rsidR="00DB2B68" w:rsidRDefault="00000000">
      <w:r>
        <w:t>Les diamètres suivants sont d'application pour les barres :</w:t>
      </w:r>
    </w:p>
    <w:p w14:paraId="66AF786B" w14:textId="77777777" w:rsidR="00DB2B68" w:rsidRDefault="00000000">
      <w:pPr>
        <w:pStyle w:val="Author-eListParagraph"/>
        <w:numPr>
          <w:ilvl w:val="0"/>
          <w:numId w:val="287"/>
        </w:numPr>
      </w:pPr>
      <w:r>
        <w:t>pour les murs d'une épaisseur de 9 à 24 cm, le diamètre des barres longitudinales sera de 4 mm,</w:t>
      </w:r>
    </w:p>
    <w:p w14:paraId="74AB9CF3" w14:textId="77777777" w:rsidR="00DB2B68" w:rsidRDefault="00000000">
      <w:pPr>
        <w:pStyle w:val="Author-eListParagraph"/>
        <w:numPr>
          <w:ilvl w:val="0"/>
          <w:numId w:val="287"/>
        </w:numPr>
      </w:pPr>
      <w:r>
        <w:t>pour les murs dont l'épaisseur est supérieure à 24 cm, le diamètre des barres longitudinales sera de 4,75 mm. Le diamètre des barres transversales est d'au moins 3,75 mm.</w:t>
      </w:r>
    </w:p>
    <w:p w14:paraId="76B10EAF" w14:textId="77777777" w:rsidR="00DB2B68" w:rsidRDefault="00000000">
      <w:pPr>
        <w:pStyle w:val="pheading"/>
      </w:pPr>
      <w:r>
        <w:t>EXÉCUTION / MISE EN ŒUVRE</w:t>
      </w:r>
    </w:p>
    <w:p w14:paraId="018D4BE2" w14:textId="77777777" w:rsidR="00DB2B68" w:rsidRDefault="00000000">
      <w:r>
        <w:t xml:space="preserve">La maçonnerie armée pour les murs de fondations est exécutée en appareil. Voir également l'article </w:t>
      </w:r>
      <w:hyperlink w:anchor="357" w:history="1">
        <w:r>
          <w:rPr>
            <w:color w:val="0000EE"/>
          </w:rPr>
          <w:t>21.41.1 Armatures horizontales pour maçonneries</w:t>
        </w:r>
      </w:hyperlink>
      <w:r>
        <w:t xml:space="preserve">. </w:t>
      </w:r>
      <w:r>
        <w:rPr>
          <w:rStyle w:val="optioncarChar"/>
        </w:rPr>
        <w:t>OPTION 1 (deux barres) / OPTION 2 (treillis)</w:t>
      </w:r>
    </w:p>
    <w:p w14:paraId="24A4DDC4" w14:textId="77777777" w:rsidR="00DB2B68" w:rsidRDefault="00000000">
      <w:pPr>
        <w:pStyle w:val="Author-eListParagraph"/>
        <w:numPr>
          <w:ilvl w:val="0"/>
          <w:numId w:val="288"/>
        </w:numPr>
      </w:pPr>
      <w:r>
        <w:rPr>
          <w:u w:val="single"/>
        </w:rPr>
        <w:t>Les deux barres d'armature :</w:t>
      </w:r>
      <w:r>
        <w:t> sont posées de façon telle que la distance entre la barre et le bord de la maçonnerie ne soit pas inférieure à 2 cm.</w:t>
      </w:r>
    </w:p>
    <w:p w14:paraId="63DC78AD" w14:textId="77777777" w:rsidR="00DB2B68" w:rsidRDefault="00000000">
      <w:pPr>
        <w:pStyle w:val="Author-eListParagraph"/>
        <w:numPr>
          <w:ilvl w:val="0"/>
          <w:numId w:val="288"/>
        </w:numPr>
      </w:pPr>
      <w:r>
        <w:rPr>
          <w:u w:val="single"/>
        </w:rPr>
        <w:t xml:space="preserve">Le treillis </w:t>
      </w:r>
      <w:r>
        <w:t xml:space="preserve">dont la largeur est adaptée en fonction de l'épaisseur du mur est posé au centre, les recouvrements sont de </w:t>
      </w:r>
      <w:r>
        <w:rPr>
          <w:rStyle w:val="optioncarChar"/>
        </w:rPr>
        <w:t>15 </w:t>
      </w:r>
      <w:r>
        <w:t>(par défaut)</w:t>
      </w:r>
      <w:r>
        <w:rPr>
          <w:rStyle w:val="optioncarChar"/>
        </w:rPr>
        <w:t xml:space="preserve"> / 20 / 25 / ***</w:t>
      </w:r>
      <w:r>
        <w:t>cm. Pour les recouvrements à partir de 25 cm, les barres transversales sont coupées. </w:t>
      </w:r>
    </w:p>
    <w:p w14:paraId="1C0E6D56" w14:textId="77777777" w:rsidR="00DB2B68" w:rsidRDefault="00000000">
      <w:r>
        <w:t xml:space="preserve">Les armatures sont placées </w:t>
      </w:r>
      <w:r>
        <w:rPr>
          <w:rStyle w:val="optioncarChar"/>
        </w:rPr>
        <w:t>entre chaque tas / tous les deux tas </w:t>
      </w:r>
      <w:r>
        <w:t>(par défaut)</w:t>
      </w:r>
      <w:r>
        <w:rPr>
          <w:rStyle w:val="optioncarChar"/>
        </w:rPr>
        <w:t xml:space="preserve"> / ***.</w:t>
      </w:r>
    </w:p>
    <w:p w14:paraId="70854E5C" w14:textId="77777777" w:rsidR="00DB2B68" w:rsidRDefault="00000000">
      <w:r>
        <w:t xml:space="preserve">Les armatures de joint d'assise sont appliquées aux emplacements suivants : </w:t>
      </w:r>
      <w:r>
        <w:rPr>
          <w:rStyle w:val="optioncarChar"/>
        </w:rPr>
        <w:t xml:space="preserve">selon les indications sur les plans </w:t>
      </w:r>
      <w:r>
        <w:t>(par défaut) </w:t>
      </w:r>
      <w:r>
        <w:rPr>
          <w:rStyle w:val="optioncarChar"/>
        </w:rPr>
        <w:t>/ selon l'étude du fabricant des briques.</w:t>
      </w:r>
    </w:p>
    <w:p w14:paraId="451C229F" w14:textId="77777777" w:rsidR="00DB2B68" w:rsidRDefault="00000000">
      <w:r>
        <w:t xml:space="preserve">L'étude des armatures d'assise doit répondre aux dispositions de la [STS 22 série] et est soumise à la demande de l'auteur de projet. Les armatures sont posées en appareil avec un chevauchement de </w:t>
      </w:r>
      <w:r>
        <w:rPr>
          <w:rStyle w:val="optioncarChar"/>
        </w:rPr>
        <w:t xml:space="preserve">15 </w:t>
      </w:r>
      <w:r>
        <w:t>(par défaut) </w:t>
      </w:r>
      <w:r>
        <w:rPr>
          <w:rStyle w:val="optioncarChar"/>
        </w:rPr>
        <w:t>/ 20 / 25 / ***</w:t>
      </w:r>
      <w:r>
        <w:t xml:space="preserve"> cm. Lorsque le chevauchement est de 25 cm ou plus, les armatures transversales sont coupées. Dans les angles, les armatures sont pliées de manière à former un ensemble continu, selon les indications du fabricant. Les armatures de lit d'assise sont enfoncées dans le mortier de ciment et/ou le mortier-colle.</w:t>
      </w:r>
    </w:p>
    <w:p w14:paraId="636909B2" w14:textId="77777777" w:rsidR="00DB2B68" w:rsidRDefault="00000000">
      <w:r>
        <w:t>Pour la maçonnerie armée hors béton cellulaire, on utilise exclusivement des mortiers de la catégorie M1 ou M2 (mortier de ciments) selon la [NBN EN 998-2]</w:t>
      </w:r>
    </w:p>
    <w:p w14:paraId="4FA5ECFF" w14:textId="77777777" w:rsidR="00DB2B68" w:rsidRDefault="00000000">
      <w:pPr>
        <w:pStyle w:val="Author-eSectionHeading6Numberless"/>
      </w:pPr>
      <w:bookmarkStart w:id="352" w:name="_Toc220495463"/>
      <w:r>
        <w:t>21.41.1a Armatures horizontales préfabriquées à treillis pour maçonneries (barres rondes) CCTB 01.11</w:t>
      </w:r>
      <w:bookmarkEnd w:id="352"/>
    </w:p>
    <w:p w14:paraId="2B81CBBA" w14:textId="77777777" w:rsidR="00DB2B68" w:rsidRDefault="00000000">
      <w:pPr>
        <w:pStyle w:val="pheading"/>
      </w:pPr>
      <w:r>
        <w:t>MATÉRIAUX</w:t>
      </w:r>
    </w:p>
    <w:p w14:paraId="2D717749" w14:textId="77777777" w:rsidR="00DB2B68" w:rsidRDefault="00000000">
      <w:pPr>
        <w:pStyle w:val="pheading"/>
      </w:pPr>
      <w:r>
        <w:lastRenderedPageBreak/>
        <w:t>- Prescriptions complémentaires</w:t>
      </w:r>
    </w:p>
    <w:p w14:paraId="74FA07C1" w14:textId="77777777" w:rsidR="00DB2B68" w:rsidRDefault="00000000">
      <w:r>
        <w:t>Les armatures sont revêtues d'une protection en polyester en vue de l'application dans un milieu corrosif et très agressif (Industrie - air marin).</w:t>
      </w:r>
    </w:p>
    <w:p w14:paraId="370867F5" w14:textId="77777777" w:rsidR="00DB2B68" w:rsidRDefault="00000000">
      <w:r>
        <w:t xml:space="preserve">Pour les murs à coulisse, </w:t>
      </w:r>
      <w:r>
        <w:rPr>
          <w:shd w:val="clear" w:color="auto" w:fill="FFFFFF"/>
        </w:rPr>
        <w:t>les armatures sont pourvues d'un larmier.</w:t>
      </w:r>
    </w:p>
    <w:p w14:paraId="5888EAC2" w14:textId="77777777" w:rsidR="00DB2B68" w:rsidRDefault="00000000">
      <w:pPr>
        <w:pStyle w:val="pheading"/>
      </w:pPr>
      <w:r>
        <w:t>EXÉCUTION / MISE EN ŒUVRE</w:t>
      </w:r>
    </w:p>
    <w:p w14:paraId="17A2FCA1" w14:textId="77777777" w:rsidR="00DB2B68" w:rsidRDefault="00000000">
      <w:pPr>
        <w:pStyle w:val="pheading"/>
      </w:pPr>
      <w:r>
        <w:t>- Notes d’exécution complémentaires</w:t>
      </w:r>
    </w:p>
    <w:p w14:paraId="62C27265" w14:textId="77777777" w:rsidR="00DB2B68" w:rsidRDefault="00000000">
      <w:r>
        <w:t xml:space="preserve">Les armatures de lit d'assise sont posées aux endroits qui correspondent </w:t>
      </w:r>
      <w:r>
        <w:rPr>
          <w:rStyle w:val="optioncarChar"/>
        </w:rPr>
        <w:t>aux indications sur les plans / à l'étude réalisée par le fabricant des briques.</w:t>
      </w:r>
    </w:p>
    <w:p w14:paraId="58AB7896" w14:textId="77777777" w:rsidR="00DB2B68" w:rsidRDefault="00000000">
      <w:r>
        <w:t xml:space="preserve">Les armatures sont prévues dans les assises tous les </w:t>
      </w:r>
      <w:r>
        <w:rPr>
          <w:rStyle w:val="optioncarChar"/>
        </w:rPr>
        <w:t>2 </w:t>
      </w:r>
      <w:r>
        <w:t>(par défaut)</w:t>
      </w:r>
      <w:r>
        <w:rPr>
          <w:rStyle w:val="optioncarChar"/>
        </w:rPr>
        <w:t xml:space="preserve"> / 3 / *** tas / entre chaque assise de maçonnerie.</w:t>
      </w:r>
    </w:p>
    <w:p w14:paraId="453E01E9" w14:textId="77777777" w:rsidR="00DB2B68" w:rsidRDefault="00000000">
      <w:r>
        <w:t xml:space="preserve">Les armatures sont prévues dans les assises des </w:t>
      </w:r>
      <w:r>
        <w:rPr>
          <w:rStyle w:val="optioncarChar"/>
        </w:rPr>
        <w:t xml:space="preserve">3  </w:t>
      </w:r>
      <w:r>
        <w:t>(par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 xml:space="preserve">1 </w:t>
      </w:r>
      <w:r>
        <w:t>(par défaut) </w:t>
      </w:r>
      <w:r>
        <w:rPr>
          <w:rStyle w:val="optioncarChar"/>
        </w:rPr>
        <w:t>/***</w:t>
      </w:r>
      <w:r>
        <w:t xml:space="preserve"> m de part et d'autre de la baie).</w:t>
      </w:r>
    </w:p>
    <w:p w14:paraId="76DC254D" w14:textId="77777777" w:rsidR="00DB2B68"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768FFD1F" w14:textId="77777777" w:rsidR="00DB2B68" w:rsidRDefault="00000000">
      <w:r>
        <w:t xml:space="preserve">Les armatures sont prévues tous les </w:t>
      </w:r>
      <w:r>
        <w:rPr>
          <w:rStyle w:val="optioncarChar"/>
        </w:rPr>
        <w:t>2 </w:t>
      </w:r>
      <w:r>
        <w:t>(par défaut)</w:t>
      </w:r>
      <w:r>
        <w:rPr>
          <w:rStyle w:val="optioncarChar"/>
        </w:rPr>
        <w:t xml:space="preserve"> / 3 / *** tas, pour les murs de séparation à mi-hauteur / pour les murs de forme irrégulière.</w:t>
      </w:r>
    </w:p>
    <w:p w14:paraId="0CEE7BBC" w14:textId="77777777" w:rsidR="00DB2B68" w:rsidRDefault="00000000">
      <w:pPr>
        <w:pStyle w:val="pheading"/>
      </w:pPr>
      <w:r>
        <w:t>MESURAGE</w:t>
      </w:r>
    </w:p>
    <w:p w14:paraId="340D9D4F" w14:textId="77777777" w:rsidR="00DB2B68" w:rsidRDefault="00000000">
      <w:pPr>
        <w:pStyle w:val="pheading"/>
      </w:pPr>
      <w:r>
        <w:t>- unité de mesure:</w:t>
      </w:r>
    </w:p>
    <w:p w14:paraId="0958BA84" w14:textId="77777777" w:rsidR="00DB2B68" w:rsidRDefault="00000000">
      <w:r>
        <w:rPr>
          <w:rStyle w:val="optioncarChar"/>
        </w:rPr>
        <w:t>m</w:t>
      </w:r>
      <w:r>
        <w:t xml:space="preserve"> (par défaut)</w:t>
      </w:r>
    </w:p>
    <w:p w14:paraId="2BF81320" w14:textId="77777777" w:rsidR="00DB2B68" w:rsidRDefault="00000000">
      <w:pPr>
        <w:pStyle w:val="pheading"/>
      </w:pPr>
      <w:r>
        <w:t>- code de mesurage:</w:t>
      </w:r>
    </w:p>
    <w:p w14:paraId="67027CCD" w14:textId="77777777" w:rsidR="00DB2B68" w:rsidRDefault="00000000">
      <w:r>
        <w:t>longueur nette du mur. Les chevauchements ne sont pas comptés.</w:t>
      </w:r>
    </w:p>
    <w:p w14:paraId="657ABDEE" w14:textId="77777777" w:rsidR="00DB2B68" w:rsidRDefault="00000000">
      <w:pPr>
        <w:pStyle w:val="pheading"/>
      </w:pPr>
      <w:r>
        <w:t>- nature du marché:</w:t>
      </w:r>
    </w:p>
    <w:p w14:paraId="30D53E29" w14:textId="77777777" w:rsidR="00DB2B68" w:rsidRDefault="00000000">
      <w:r>
        <w:rPr>
          <w:rStyle w:val="optioncarChar"/>
        </w:rPr>
        <w:t>QF</w:t>
      </w:r>
      <w:r>
        <w:t xml:space="preserve"> (par défaut)</w:t>
      </w:r>
      <w:r>
        <w:rPr>
          <w:rStyle w:val="optioncarChar"/>
        </w:rPr>
        <w:t xml:space="preserve"> / QP</w:t>
      </w:r>
    </w:p>
    <w:p w14:paraId="7FBE778B" w14:textId="77777777" w:rsidR="00DB2B68" w:rsidRDefault="00000000">
      <w:pPr>
        <w:pStyle w:val="Author-eSectionHeading6Numberless"/>
      </w:pPr>
      <w:bookmarkStart w:id="353" w:name="_Toc220495464"/>
      <w:r>
        <w:t>21.41.1b Armatures horizontales préfabriquées à treillis pour maçonneries (barres plates) CCTB 01.11</w:t>
      </w:r>
      <w:bookmarkEnd w:id="353"/>
    </w:p>
    <w:p w14:paraId="48FD08BB" w14:textId="77777777" w:rsidR="00DB2B68" w:rsidRDefault="00000000">
      <w:pPr>
        <w:pStyle w:val="pheading"/>
      </w:pPr>
      <w:r>
        <w:t>MATÉRIAUX</w:t>
      </w:r>
    </w:p>
    <w:p w14:paraId="2E44C3E1" w14:textId="77777777" w:rsidR="00DB2B68" w:rsidRDefault="00000000">
      <w:pPr>
        <w:pStyle w:val="pheading"/>
      </w:pPr>
      <w:r>
        <w:t>- Prescriptions complémentaires</w:t>
      </w:r>
    </w:p>
    <w:p w14:paraId="1F1B4F54" w14:textId="77777777" w:rsidR="00DB2B68" w:rsidRDefault="00000000">
      <w:r>
        <w:t>Les armatures sont revêtues d'une protection en polyester en vue de l'application dans un milieu corrosif et très agressif (Industrie - air marin).</w:t>
      </w:r>
    </w:p>
    <w:p w14:paraId="75BF1304" w14:textId="77777777" w:rsidR="00DB2B68" w:rsidRDefault="00000000">
      <w:r>
        <w:t>Pour les murs à coulisse,</w:t>
      </w:r>
      <w:r>
        <w:rPr>
          <w:shd w:val="clear" w:color="auto" w:fill="FFFFFF"/>
        </w:rPr>
        <w:t xml:space="preserve"> les armatures sont pourvues d'un larmier.</w:t>
      </w:r>
    </w:p>
    <w:p w14:paraId="3E4987ED" w14:textId="77777777" w:rsidR="00DB2B68" w:rsidRDefault="00000000">
      <w:pPr>
        <w:pStyle w:val="pheading"/>
      </w:pPr>
      <w:r>
        <w:t>EXÉCUTION / MISE EN ŒUVRE</w:t>
      </w:r>
    </w:p>
    <w:p w14:paraId="25F05229" w14:textId="77777777" w:rsidR="00DB2B68" w:rsidRDefault="00000000">
      <w:pPr>
        <w:pStyle w:val="pheading"/>
      </w:pPr>
      <w:r>
        <w:t>- Notes d’exécution complémentaires</w:t>
      </w:r>
    </w:p>
    <w:p w14:paraId="0F8CB82D" w14:textId="77777777" w:rsidR="00DB2B68" w:rsidRDefault="00000000">
      <w:r>
        <w:t xml:space="preserve">Les armatures de lit d'assise sont posées aux endroits qui correspondent </w:t>
      </w:r>
      <w:r>
        <w:rPr>
          <w:rStyle w:val="optioncarChar"/>
        </w:rPr>
        <w:t>aux indications sur les plans / à l'étude réalisée par le fabricant des briques.</w:t>
      </w:r>
    </w:p>
    <w:p w14:paraId="2482628D" w14:textId="77777777" w:rsidR="00DB2B68" w:rsidRDefault="00000000">
      <w:r>
        <w:t xml:space="preserve">Les armatures sont prévues dans les assises tous les </w:t>
      </w:r>
      <w:r>
        <w:rPr>
          <w:rStyle w:val="optioncarChar"/>
        </w:rPr>
        <w:t>2 </w:t>
      </w:r>
      <w:r>
        <w:t>(par défaut)</w:t>
      </w:r>
      <w:r>
        <w:rPr>
          <w:rStyle w:val="optioncarChar"/>
        </w:rPr>
        <w:t xml:space="preserve"> / 3 / *** tas / entre chaque assise de maçonnerie.</w:t>
      </w:r>
    </w:p>
    <w:p w14:paraId="390B8AA6" w14:textId="77777777" w:rsidR="00DB2B68" w:rsidRDefault="00000000">
      <w:r>
        <w:t xml:space="preserve">Les armatures sont prévues dans les assises des </w:t>
      </w:r>
      <w:r>
        <w:rPr>
          <w:rStyle w:val="optioncarChar"/>
        </w:rPr>
        <w:t>3 </w:t>
      </w:r>
      <w:r>
        <w:t>(par défaut)</w:t>
      </w:r>
      <w:r>
        <w:rPr>
          <w:rStyle w:val="optioncarChar"/>
        </w:rPr>
        <w:t xml:space="preserve"> / 4</w:t>
      </w:r>
      <w:r>
        <w:t xml:space="preserve"> tas au-dessus et en-dessous des baies de portes et fenêtres. Immédiatement au-dessus des linteaux et des assises les briques sur chant, on pose une armature (les armatures débordent de </w:t>
      </w:r>
      <w:r>
        <w:rPr>
          <w:rStyle w:val="optioncarChar"/>
        </w:rPr>
        <w:t>1 </w:t>
      </w:r>
      <w:r>
        <w:t>(par défaut)</w:t>
      </w:r>
      <w:r>
        <w:rPr>
          <w:rStyle w:val="optioncarChar"/>
        </w:rPr>
        <w:t> / ***</w:t>
      </w:r>
      <w:r>
        <w:t xml:space="preserve"> m de part et d'autre de la baie).</w:t>
      </w:r>
    </w:p>
    <w:p w14:paraId="0AD2CA77" w14:textId="77777777" w:rsidR="00DB2B68" w:rsidRDefault="00000000">
      <w:r>
        <w:lastRenderedPageBreak/>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53ADE7A2" w14:textId="77777777" w:rsidR="00DB2B68" w:rsidRDefault="00000000">
      <w:r>
        <w:t xml:space="preserve">Les armatures sont prévues tous les </w:t>
      </w:r>
      <w:r>
        <w:rPr>
          <w:rStyle w:val="optioncarChar"/>
        </w:rPr>
        <w:t>2 </w:t>
      </w:r>
      <w:r>
        <w:t>(par défaut)</w:t>
      </w:r>
      <w:r>
        <w:rPr>
          <w:rStyle w:val="optioncarChar"/>
        </w:rPr>
        <w:t xml:space="preserve"> / 3 / *** tas, pour les murs de séparation à mi-hauteur / pour les murs de forme irrégulière.</w:t>
      </w:r>
    </w:p>
    <w:p w14:paraId="519C18BA" w14:textId="77777777" w:rsidR="00DB2B68" w:rsidRDefault="00000000">
      <w:pPr>
        <w:pStyle w:val="pheading"/>
      </w:pPr>
      <w:r>
        <w:t>MESURAGE</w:t>
      </w:r>
    </w:p>
    <w:p w14:paraId="6C6D8078" w14:textId="77777777" w:rsidR="00DB2B68" w:rsidRDefault="00000000">
      <w:pPr>
        <w:pStyle w:val="pheading"/>
      </w:pPr>
      <w:r>
        <w:t>- unité de mesure:</w:t>
      </w:r>
    </w:p>
    <w:p w14:paraId="3FE660D2" w14:textId="77777777" w:rsidR="00DB2B68" w:rsidRDefault="00000000">
      <w:r>
        <w:rPr>
          <w:rStyle w:val="optioncarChar"/>
        </w:rPr>
        <w:t>m</w:t>
      </w:r>
      <w:r>
        <w:t xml:space="preserve"> (par défaut)</w:t>
      </w:r>
    </w:p>
    <w:p w14:paraId="041D416B" w14:textId="77777777" w:rsidR="00DB2B68" w:rsidRDefault="00000000">
      <w:pPr>
        <w:pStyle w:val="pheading"/>
      </w:pPr>
      <w:r>
        <w:t>- code de mesurage:</w:t>
      </w:r>
    </w:p>
    <w:p w14:paraId="71635346" w14:textId="77777777" w:rsidR="00DB2B68" w:rsidRDefault="00000000">
      <w:r>
        <w:t>longueur nette du mur. Les chevauchements ne sont pas comptés.</w:t>
      </w:r>
    </w:p>
    <w:p w14:paraId="0A7EA77C" w14:textId="77777777" w:rsidR="00DB2B68" w:rsidRDefault="00000000">
      <w:pPr>
        <w:pStyle w:val="pheading"/>
      </w:pPr>
      <w:r>
        <w:t>- nature du marché:</w:t>
      </w:r>
    </w:p>
    <w:p w14:paraId="37EBE7AF" w14:textId="77777777" w:rsidR="00DB2B68" w:rsidRDefault="00000000">
      <w:r>
        <w:rPr>
          <w:rStyle w:val="optioncarChar"/>
        </w:rPr>
        <w:t>QF</w:t>
      </w:r>
      <w:r>
        <w:t xml:space="preserve"> (par défaut)</w:t>
      </w:r>
      <w:r>
        <w:rPr>
          <w:rStyle w:val="optioncarChar"/>
        </w:rPr>
        <w:t xml:space="preserve"> / QP</w:t>
      </w:r>
    </w:p>
    <w:p w14:paraId="702401C8" w14:textId="77777777" w:rsidR="00DB2B68" w:rsidRDefault="00000000">
      <w:pPr>
        <w:pStyle w:val="Author-eSectionHeading6Numberless"/>
      </w:pPr>
      <w:bookmarkStart w:id="354" w:name="_Toc220495465"/>
      <w:r>
        <w:t>21.41.1c Armatures horizontales préfabriquées à échelons pour maçonneries (barres rondes) CCTB 01.11</w:t>
      </w:r>
      <w:bookmarkEnd w:id="354"/>
    </w:p>
    <w:p w14:paraId="3065545C" w14:textId="77777777" w:rsidR="00DB2B68" w:rsidRDefault="00000000">
      <w:pPr>
        <w:pStyle w:val="pheading"/>
      </w:pPr>
      <w:r>
        <w:t>MATÉRIAUX</w:t>
      </w:r>
    </w:p>
    <w:p w14:paraId="3A622D41" w14:textId="77777777" w:rsidR="00DB2B68" w:rsidRDefault="00000000">
      <w:pPr>
        <w:pStyle w:val="pheading"/>
      </w:pPr>
      <w:r>
        <w:t>- Prescriptions complémentaires</w:t>
      </w:r>
    </w:p>
    <w:p w14:paraId="636EFCAA" w14:textId="77777777" w:rsidR="00DB2B68" w:rsidRDefault="00000000">
      <w:r>
        <w:t>Les armatures sont revêtues d'une protection en polyester en vue de l'application dans un milieu corrosif et très agressif (Industrie - air marin).</w:t>
      </w:r>
    </w:p>
    <w:p w14:paraId="33DFEEBC" w14:textId="77777777" w:rsidR="00DB2B68" w:rsidRDefault="00000000">
      <w:r>
        <w:t>Pour les murs à coulisse, les armatures sont pourvues d'un larmier.</w:t>
      </w:r>
    </w:p>
    <w:p w14:paraId="30D66822" w14:textId="77777777" w:rsidR="00DB2B68" w:rsidRDefault="00000000">
      <w:pPr>
        <w:pStyle w:val="pheading"/>
      </w:pPr>
      <w:r>
        <w:t>EXÉCUTION / MISE EN ŒUVRE</w:t>
      </w:r>
    </w:p>
    <w:p w14:paraId="2C659EEB" w14:textId="77777777" w:rsidR="00DB2B68" w:rsidRDefault="00000000">
      <w:pPr>
        <w:pStyle w:val="pheading"/>
      </w:pPr>
      <w:r>
        <w:t>- Notes d’exécution complémentaires</w:t>
      </w:r>
    </w:p>
    <w:p w14:paraId="518E6A8C" w14:textId="77777777" w:rsidR="00DB2B68" w:rsidRDefault="00000000">
      <w:r>
        <w:t xml:space="preserve">Les armatures de lit d'assise sont posées aux endroits qui correspondent </w:t>
      </w:r>
      <w:r>
        <w:rPr>
          <w:rStyle w:val="optioncarChar"/>
        </w:rPr>
        <w:t>aux indications sur les plans / à l'étude réalisée par le fabricant des briques.</w:t>
      </w:r>
    </w:p>
    <w:p w14:paraId="5F9A5A25" w14:textId="77777777" w:rsidR="00DB2B68" w:rsidRDefault="00000000">
      <w:r>
        <w:t xml:space="preserve">Les armatures sont prévues dans les assises tous les </w:t>
      </w:r>
      <w:r>
        <w:rPr>
          <w:rStyle w:val="optioncarChar"/>
        </w:rPr>
        <w:t xml:space="preserve">2 </w:t>
      </w:r>
      <w:r>
        <w:t>(par défaut) </w:t>
      </w:r>
      <w:r>
        <w:rPr>
          <w:rStyle w:val="optioncarChar"/>
        </w:rPr>
        <w:t>/ 3 / *** tas / entre chaque assise de maçonnerie.</w:t>
      </w:r>
    </w:p>
    <w:p w14:paraId="3F811CC0" w14:textId="77777777" w:rsidR="00DB2B68" w:rsidRDefault="00000000">
      <w:r>
        <w:t xml:space="preserve">Les armatures sont prévues dans les assises des </w:t>
      </w:r>
      <w:r>
        <w:rPr>
          <w:rStyle w:val="optioncarChar"/>
        </w:rPr>
        <w:t xml:space="preserve">3 </w:t>
      </w:r>
      <w:r>
        <w:t>(par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1 </w:t>
      </w:r>
      <w:r>
        <w:t>(par défaut)</w:t>
      </w:r>
      <w:r>
        <w:rPr>
          <w:rStyle w:val="optioncarChar"/>
        </w:rPr>
        <w:t xml:space="preserve"> /***</w:t>
      </w:r>
      <w:r>
        <w:t xml:space="preserve"> m de part et d'autre de la baie).</w:t>
      </w:r>
    </w:p>
    <w:p w14:paraId="5738CD63" w14:textId="77777777" w:rsidR="00DB2B68"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392C2E6D" w14:textId="77777777" w:rsidR="00DB2B68" w:rsidRDefault="00000000">
      <w:r>
        <w:t xml:space="preserve">Les armatures sont prévues tous les </w:t>
      </w:r>
      <w:r>
        <w:rPr>
          <w:rStyle w:val="optioncarChar"/>
        </w:rPr>
        <w:t>2 </w:t>
      </w:r>
      <w:r>
        <w:t>(par défaut)</w:t>
      </w:r>
      <w:r>
        <w:rPr>
          <w:rStyle w:val="optioncarChar"/>
        </w:rPr>
        <w:t xml:space="preserve"> / 3 / *** tas</w:t>
      </w:r>
      <w:r>
        <w:t>,</w:t>
      </w:r>
      <w:r>
        <w:rPr>
          <w:rStyle w:val="optioncarChar"/>
        </w:rPr>
        <w:t xml:space="preserve"> pour les murs de séparation à mi-hauteur / pour les murs de forme irrégulière.</w:t>
      </w:r>
    </w:p>
    <w:p w14:paraId="6EFDCECE" w14:textId="77777777" w:rsidR="00DB2B68" w:rsidRDefault="00000000">
      <w:pPr>
        <w:pStyle w:val="pheading"/>
      </w:pPr>
      <w:r>
        <w:t>MESURAGE</w:t>
      </w:r>
    </w:p>
    <w:p w14:paraId="19F3B26B" w14:textId="77777777" w:rsidR="00DB2B68" w:rsidRDefault="00000000">
      <w:pPr>
        <w:pStyle w:val="pheading"/>
      </w:pPr>
      <w:r>
        <w:t>- unité de mesure:</w:t>
      </w:r>
    </w:p>
    <w:p w14:paraId="351076D5" w14:textId="77777777" w:rsidR="00DB2B68" w:rsidRDefault="00000000">
      <w:r>
        <w:rPr>
          <w:rStyle w:val="optioncarChar"/>
        </w:rPr>
        <w:t>m</w:t>
      </w:r>
      <w:r>
        <w:t xml:space="preserve"> (par défaut)</w:t>
      </w:r>
    </w:p>
    <w:p w14:paraId="53AB998D" w14:textId="77777777" w:rsidR="00DB2B68" w:rsidRDefault="00000000">
      <w:pPr>
        <w:pStyle w:val="pheading"/>
      </w:pPr>
      <w:r>
        <w:t>- code de mesurage:</w:t>
      </w:r>
    </w:p>
    <w:p w14:paraId="792E9DB2" w14:textId="77777777" w:rsidR="00DB2B68" w:rsidRDefault="00000000">
      <w:r>
        <w:t>longueur nette du mur. Les chevauchements ne sont pas comptés.</w:t>
      </w:r>
    </w:p>
    <w:p w14:paraId="0C64AFF3" w14:textId="77777777" w:rsidR="00DB2B68" w:rsidRDefault="00000000">
      <w:pPr>
        <w:pStyle w:val="pheading"/>
      </w:pPr>
      <w:r>
        <w:t>- nature du marché:</w:t>
      </w:r>
    </w:p>
    <w:p w14:paraId="0DBEC18A" w14:textId="77777777" w:rsidR="00DB2B68" w:rsidRDefault="00000000">
      <w:r>
        <w:rPr>
          <w:rStyle w:val="optioncarChar"/>
        </w:rPr>
        <w:t>QF</w:t>
      </w:r>
      <w:r>
        <w:t xml:space="preserve"> (par défaut)</w:t>
      </w:r>
      <w:r>
        <w:rPr>
          <w:rStyle w:val="optioncarChar"/>
        </w:rPr>
        <w:t xml:space="preserve"> / QP</w:t>
      </w:r>
    </w:p>
    <w:p w14:paraId="6A1390D0" w14:textId="77777777" w:rsidR="00DB2B68" w:rsidRDefault="00000000">
      <w:pPr>
        <w:pStyle w:val="Author-eSectionHeading6Numberless"/>
      </w:pPr>
      <w:bookmarkStart w:id="355" w:name="_Toc220495466"/>
      <w:r>
        <w:lastRenderedPageBreak/>
        <w:t>21.41.1d Armatures horizontales préfabriquées à échelons pour maçonneries (barres plates) CCTB 01.11</w:t>
      </w:r>
      <w:bookmarkEnd w:id="355"/>
    </w:p>
    <w:p w14:paraId="0BA778EC" w14:textId="77777777" w:rsidR="00DB2B68" w:rsidRDefault="00000000">
      <w:pPr>
        <w:pStyle w:val="pheading"/>
      </w:pPr>
      <w:r>
        <w:t>MATÉRIAUX</w:t>
      </w:r>
    </w:p>
    <w:p w14:paraId="32D6A4CA" w14:textId="77777777" w:rsidR="00DB2B68" w:rsidRDefault="00000000">
      <w:pPr>
        <w:pStyle w:val="pheading"/>
      </w:pPr>
      <w:r>
        <w:t>- Prescriptions complémentaires</w:t>
      </w:r>
    </w:p>
    <w:p w14:paraId="6F7CB5EB" w14:textId="77777777" w:rsidR="00DB2B68" w:rsidRDefault="00000000">
      <w:r>
        <w:t>Les armatures sont revêtues d'une protection en polyester en vue de l'application dans un milieu corrosif et très agressif (Industrie - air marin).</w:t>
      </w:r>
    </w:p>
    <w:p w14:paraId="1E5BDEBA" w14:textId="77777777" w:rsidR="00DB2B68" w:rsidRDefault="00000000">
      <w:r>
        <w:t>Pour les murs à coulisse, les armatures sont pourvues d'un larmier.</w:t>
      </w:r>
    </w:p>
    <w:p w14:paraId="457C3DD7" w14:textId="77777777" w:rsidR="00DB2B68" w:rsidRDefault="00000000">
      <w:pPr>
        <w:pStyle w:val="pheading"/>
      </w:pPr>
      <w:r>
        <w:t>EXÉCUTION / MISE EN ŒUVRE</w:t>
      </w:r>
    </w:p>
    <w:p w14:paraId="4A5D4AC1" w14:textId="77777777" w:rsidR="00DB2B68" w:rsidRDefault="00000000">
      <w:pPr>
        <w:pStyle w:val="pheading"/>
      </w:pPr>
      <w:r>
        <w:t>- Notes d’exécution complémentaires</w:t>
      </w:r>
    </w:p>
    <w:p w14:paraId="7809AC4C" w14:textId="77777777" w:rsidR="00DB2B68" w:rsidRDefault="00000000">
      <w:r>
        <w:t xml:space="preserve">Les armatures de lit d'assise sont posées aux endroits qui correspondent </w:t>
      </w:r>
      <w:r>
        <w:rPr>
          <w:rStyle w:val="optioncarChar"/>
        </w:rPr>
        <w:t>aux indications sur les plans / à l'étude réalisée par le fabricant des briques.</w:t>
      </w:r>
    </w:p>
    <w:p w14:paraId="2623C5D0" w14:textId="77777777" w:rsidR="00DB2B68" w:rsidRDefault="00000000">
      <w:r>
        <w:t xml:space="preserve">Les armatures sont prévues dans les assises tous les </w:t>
      </w:r>
      <w:r>
        <w:rPr>
          <w:rStyle w:val="optioncarChar"/>
        </w:rPr>
        <w:t>2 tas </w:t>
      </w:r>
      <w:r>
        <w:t>(par défaut) </w:t>
      </w:r>
      <w:r>
        <w:rPr>
          <w:rStyle w:val="optioncarChar"/>
        </w:rPr>
        <w:t>/ 3 tas / *** tas / entre chaque assise de maçonnerie.</w:t>
      </w:r>
    </w:p>
    <w:p w14:paraId="45688D1C" w14:textId="77777777" w:rsidR="00DB2B68" w:rsidRDefault="00000000">
      <w:r>
        <w:t xml:space="preserve">Les armatures sont prévues dans les assises des </w:t>
      </w:r>
      <w:r>
        <w:rPr>
          <w:rStyle w:val="optioncarChar"/>
        </w:rPr>
        <w:t>3 </w:t>
      </w:r>
      <w:r>
        <w:t xml:space="preserve">(par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 xml:space="preserve">1 </w:t>
      </w:r>
      <w:r>
        <w:t>(par défaut) </w:t>
      </w:r>
      <w:r>
        <w:rPr>
          <w:rStyle w:val="optioncarChar"/>
        </w:rPr>
        <w:t>/ ***</w:t>
      </w:r>
      <w:r>
        <w:t xml:space="preserve"> m de part et d'autre de la baie).</w:t>
      </w:r>
    </w:p>
    <w:p w14:paraId="56FA4F20" w14:textId="77777777" w:rsidR="00DB2B68"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5BBA644D" w14:textId="77777777" w:rsidR="00DB2B68" w:rsidRDefault="00000000">
      <w:r>
        <w:t xml:space="preserve">Les armatures sont prévues tous les </w:t>
      </w:r>
      <w:r>
        <w:rPr>
          <w:rStyle w:val="optioncarChar"/>
        </w:rPr>
        <w:t>2 tas </w:t>
      </w:r>
      <w:r>
        <w:t>(par défaut)</w:t>
      </w:r>
      <w:r>
        <w:rPr>
          <w:rStyle w:val="optioncarChar"/>
        </w:rPr>
        <w:t xml:space="preserve"> / 3 tas / *** tas</w:t>
      </w:r>
      <w:r>
        <w:t xml:space="preserve">, </w:t>
      </w:r>
      <w:r>
        <w:rPr>
          <w:rStyle w:val="optioncarChar"/>
        </w:rPr>
        <w:t>pour les murs de séparation à mi-hauteur / pour les murs de forme irrégulière.</w:t>
      </w:r>
    </w:p>
    <w:p w14:paraId="18A6CA79" w14:textId="77777777" w:rsidR="00DB2B68" w:rsidRDefault="00000000">
      <w:pPr>
        <w:pStyle w:val="pheading"/>
      </w:pPr>
      <w:r>
        <w:t>MESURAGE</w:t>
      </w:r>
    </w:p>
    <w:p w14:paraId="51B23808" w14:textId="77777777" w:rsidR="00DB2B68" w:rsidRDefault="00000000">
      <w:pPr>
        <w:pStyle w:val="pheading"/>
      </w:pPr>
      <w:r>
        <w:t>- unité de mesure:</w:t>
      </w:r>
    </w:p>
    <w:p w14:paraId="3D1C6DF6" w14:textId="77777777" w:rsidR="00DB2B68" w:rsidRDefault="00000000">
      <w:r>
        <w:rPr>
          <w:rStyle w:val="optioncarChar"/>
        </w:rPr>
        <w:t>m</w:t>
      </w:r>
      <w:r>
        <w:t xml:space="preserve"> (par défaut)</w:t>
      </w:r>
    </w:p>
    <w:p w14:paraId="06B35528" w14:textId="77777777" w:rsidR="00DB2B68" w:rsidRDefault="00000000">
      <w:pPr>
        <w:pStyle w:val="pheading"/>
      </w:pPr>
      <w:r>
        <w:t>- code de mesurage:</w:t>
      </w:r>
    </w:p>
    <w:p w14:paraId="28D68A64" w14:textId="77777777" w:rsidR="00DB2B68" w:rsidRDefault="00000000">
      <w:r>
        <w:t>longueur nette du mur. Les chevauchements ne sont pas comptés.</w:t>
      </w:r>
    </w:p>
    <w:p w14:paraId="4987F445" w14:textId="77777777" w:rsidR="00DB2B68" w:rsidRDefault="00000000">
      <w:pPr>
        <w:pStyle w:val="pheading"/>
      </w:pPr>
      <w:r>
        <w:t>- nature du marché:</w:t>
      </w:r>
    </w:p>
    <w:p w14:paraId="7FB2E204" w14:textId="77777777" w:rsidR="00DB2B68" w:rsidRDefault="00000000">
      <w:r>
        <w:rPr>
          <w:rStyle w:val="optioncarChar"/>
        </w:rPr>
        <w:t>QF</w:t>
      </w:r>
      <w:r>
        <w:t xml:space="preserve"> (par défaut)</w:t>
      </w:r>
      <w:r>
        <w:rPr>
          <w:rStyle w:val="optioncarChar"/>
        </w:rPr>
        <w:t xml:space="preserve"> / QP</w:t>
      </w:r>
    </w:p>
    <w:p w14:paraId="0C95A353" w14:textId="77777777" w:rsidR="00DB2B68" w:rsidRDefault="00000000">
      <w:pPr>
        <w:pStyle w:val="Author-eSectionHeading6Numberless"/>
      </w:pPr>
      <w:bookmarkStart w:id="356" w:name="_Toc220495467"/>
      <w:r>
        <w:t>21.41.1e Armatures horizontales pour maçonneries en blocs de coffrage CCTB 01.11</w:t>
      </w:r>
      <w:bookmarkEnd w:id="356"/>
    </w:p>
    <w:p w14:paraId="63A761F8" w14:textId="77777777" w:rsidR="00DB2B68" w:rsidRDefault="00000000">
      <w:pPr>
        <w:pStyle w:val="pheading"/>
      </w:pPr>
      <w:r>
        <w:t>MATÉRIAUX</w:t>
      </w:r>
    </w:p>
    <w:p w14:paraId="2766577D" w14:textId="77777777" w:rsidR="00DB2B68" w:rsidRDefault="00000000">
      <w:pPr>
        <w:pStyle w:val="pheading"/>
      </w:pPr>
      <w:r>
        <w:t>- Prescriptions complémentaires</w:t>
      </w:r>
    </w:p>
    <w:p w14:paraId="1C371B92" w14:textId="77777777" w:rsidR="00DB2B68" w:rsidRDefault="00000000">
      <w:r>
        <w:t>Les armatures sont revêtues d'une protection en polyester en vue de l'application dans un milieu corrosif et très agressif (Industrie - air marin).</w:t>
      </w:r>
    </w:p>
    <w:p w14:paraId="09297C9F" w14:textId="77777777" w:rsidR="00DB2B68" w:rsidRDefault="00000000">
      <w:r>
        <w:t>Pour les murs à coulisse, les armatures sont pourvues d'un larmier.</w:t>
      </w:r>
    </w:p>
    <w:p w14:paraId="179E854E" w14:textId="77777777" w:rsidR="00DB2B68" w:rsidRDefault="00000000">
      <w:pPr>
        <w:pStyle w:val="pheading"/>
      </w:pPr>
      <w:r>
        <w:t>EXÉCUTION / MISE EN ŒUVRE</w:t>
      </w:r>
    </w:p>
    <w:p w14:paraId="376CB4E3" w14:textId="77777777" w:rsidR="00DB2B68" w:rsidRDefault="00000000">
      <w:pPr>
        <w:pStyle w:val="pheading"/>
      </w:pPr>
      <w:r>
        <w:t>- Notes d’exécution complémentaires</w:t>
      </w:r>
    </w:p>
    <w:p w14:paraId="6064411A" w14:textId="77777777" w:rsidR="00DB2B68" w:rsidRDefault="00000000">
      <w:r>
        <w:t xml:space="preserve">Les armatures de lit d'assise sont posées aux endroits qui correspondent </w:t>
      </w:r>
      <w:r>
        <w:rPr>
          <w:rStyle w:val="optioncarChar"/>
        </w:rPr>
        <w:t>aux indications sur les plans / à l'étude réalisée par le fabricant des briques.</w:t>
      </w:r>
    </w:p>
    <w:p w14:paraId="01227E15" w14:textId="77777777" w:rsidR="00DB2B68" w:rsidRDefault="00000000">
      <w:r>
        <w:t xml:space="preserve">Les armatures sont prévues dans les assises tous les </w:t>
      </w:r>
      <w:r>
        <w:rPr>
          <w:rStyle w:val="optioncarChar"/>
        </w:rPr>
        <w:t>2 tas </w:t>
      </w:r>
      <w:r>
        <w:t>(par défaut) </w:t>
      </w:r>
      <w:r>
        <w:rPr>
          <w:rStyle w:val="optioncarChar"/>
        </w:rPr>
        <w:t>/ 3 tas / *** tas / entre chaque assise de maçonnerie.</w:t>
      </w:r>
    </w:p>
    <w:p w14:paraId="234B93DE" w14:textId="77777777" w:rsidR="00DB2B68" w:rsidRDefault="00000000">
      <w:r>
        <w:lastRenderedPageBreak/>
        <w:t xml:space="preserve">Les armatures sont prévues dans les assises des </w:t>
      </w:r>
      <w:r>
        <w:rPr>
          <w:rStyle w:val="optioncarChar"/>
        </w:rPr>
        <w:t>3</w:t>
      </w:r>
      <w:r>
        <w:t xml:space="preserve"> (par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1 </w:t>
      </w:r>
      <w:r>
        <w:t>(par défaut)</w:t>
      </w:r>
      <w:r>
        <w:rPr>
          <w:rStyle w:val="optioncarChar"/>
        </w:rPr>
        <w:t xml:space="preserve"> /***</w:t>
      </w:r>
      <w:r>
        <w:t xml:space="preserve"> m de part et d'autre de la baie).</w:t>
      </w:r>
    </w:p>
    <w:p w14:paraId="257473E2" w14:textId="77777777" w:rsidR="00DB2B68"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 xml:space="preserve">(par défaut) </w:t>
      </w:r>
      <w:r>
        <w:rPr>
          <w:rStyle w:val="optioncarChar"/>
        </w:rPr>
        <w:t>/ ***</w:t>
      </w:r>
      <w:r>
        <w:t xml:space="preserve"> m dans chaque mur).</w:t>
      </w:r>
    </w:p>
    <w:p w14:paraId="7F8E67F9" w14:textId="77777777" w:rsidR="00DB2B68" w:rsidRDefault="00000000">
      <w:r>
        <w:t xml:space="preserve">Les armatures sont prévues tous les </w:t>
      </w:r>
      <w:r>
        <w:rPr>
          <w:rStyle w:val="optioncarChar"/>
        </w:rPr>
        <w:t>2 tas </w:t>
      </w:r>
      <w:r>
        <w:t xml:space="preserve">(par défaut) </w:t>
      </w:r>
      <w:r>
        <w:rPr>
          <w:rStyle w:val="optioncarChar"/>
        </w:rPr>
        <w:t>/ 3 tas / *** tas</w:t>
      </w:r>
      <w:r>
        <w:t xml:space="preserve">, </w:t>
      </w:r>
      <w:r>
        <w:rPr>
          <w:rStyle w:val="optioncarChar"/>
        </w:rPr>
        <w:t>pour les murs de séparation à mi-hauteur / pour les murs de forme irrégulière.</w:t>
      </w:r>
    </w:p>
    <w:p w14:paraId="1537ACDD" w14:textId="77777777" w:rsidR="00DB2B68" w:rsidRDefault="00000000">
      <w:pPr>
        <w:pStyle w:val="pheading"/>
      </w:pPr>
      <w:r>
        <w:t>MESURAGE</w:t>
      </w:r>
    </w:p>
    <w:p w14:paraId="13EF5DA6" w14:textId="77777777" w:rsidR="00DB2B68" w:rsidRDefault="00000000">
      <w:pPr>
        <w:pStyle w:val="pheading"/>
      </w:pPr>
      <w:r>
        <w:t>- unité de mesure:</w:t>
      </w:r>
    </w:p>
    <w:p w14:paraId="60E86818" w14:textId="77777777" w:rsidR="00DB2B68" w:rsidRDefault="00000000">
      <w:r>
        <w:rPr>
          <w:rStyle w:val="optioncarChar"/>
        </w:rPr>
        <w:t>m</w:t>
      </w:r>
      <w:r>
        <w:t xml:space="preserve"> (par défaut)</w:t>
      </w:r>
    </w:p>
    <w:p w14:paraId="4EEE42CD" w14:textId="77777777" w:rsidR="00DB2B68" w:rsidRDefault="00000000">
      <w:pPr>
        <w:pStyle w:val="pheading"/>
      </w:pPr>
      <w:r>
        <w:t>- code de mesurage:</w:t>
      </w:r>
    </w:p>
    <w:p w14:paraId="25858366" w14:textId="77777777" w:rsidR="00DB2B68" w:rsidRDefault="00000000">
      <w:r>
        <w:t>longueur nette du mur. Les chevauchements ne sont pas comptés.</w:t>
      </w:r>
    </w:p>
    <w:p w14:paraId="0E0E9A21" w14:textId="77777777" w:rsidR="00DB2B68" w:rsidRDefault="00000000">
      <w:pPr>
        <w:pStyle w:val="pheading"/>
      </w:pPr>
      <w:r>
        <w:t>- nature du marché:</w:t>
      </w:r>
    </w:p>
    <w:p w14:paraId="613B8EB2" w14:textId="77777777" w:rsidR="00DB2B68" w:rsidRDefault="00000000">
      <w:r>
        <w:rPr>
          <w:rStyle w:val="optioncarChar"/>
        </w:rPr>
        <w:t>QF</w:t>
      </w:r>
      <w:r>
        <w:t xml:space="preserve"> (par défaut)</w:t>
      </w:r>
      <w:r>
        <w:rPr>
          <w:rStyle w:val="optioncarChar"/>
        </w:rPr>
        <w:t xml:space="preserve"> / QP</w:t>
      </w:r>
    </w:p>
    <w:p w14:paraId="44DE3109" w14:textId="77777777" w:rsidR="00DB2B68" w:rsidRDefault="00000000">
      <w:pPr>
        <w:pStyle w:val="Author-eSectionHeading6Numberless"/>
      </w:pPr>
      <w:bookmarkStart w:id="357" w:name="_Toc220495468"/>
      <w:r>
        <w:t>21.41.1f Armatures horizontales pour maçonneries CCTB 01.11</w:t>
      </w:r>
      <w:bookmarkEnd w:id="357"/>
    </w:p>
    <w:p w14:paraId="1B0BEF1A" w14:textId="77777777" w:rsidR="00DB2B68" w:rsidRDefault="00000000">
      <w:pPr>
        <w:pStyle w:val="pheading"/>
      </w:pPr>
      <w:r>
        <w:t>MATÉRIAUX</w:t>
      </w:r>
    </w:p>
    <w:p w14:paraId="33E08134" w14:textId="77777777" w:rsidR="00DB2B68" w:rsidRDefault="00000000">
      <w:pPr>
        <w:pStyle w:val="pheading"/>
      </w:pPr>
      <w:r>
        <w:t>- Prescriptions complémentaires</w:t>
      </w:r>
    </w:p>
    <w:p w14:paraId="46C969AD" w14:textId="77777777" w:rsidR="00DB2B68" w:rsidRDefault="00000000">
      <w:r>
        <w:t>Les armatures sont revêtues d'une protection en polyester en vue de l'application dans un milieu corrosif et très agressif (Industrie - air marin).</w:t>
      </w:r>
    </w:p>
    <w:p w14:paraId="37E7FE1F" w14:textId="77777777" w:rsidR="00DB2B68" w:rsidRDefault="00000000">
      <w:r>
        <w:t>Pour les murs à coulisse, les armatures sont pourvues d'un larmier.</w:t>
      </w:r>
    </w:p>
    <w:p w14:paraId="5A0CB0CB" w14:textId="77777777" w:rsidR="00DB2B68" w:rsidRDefault="00000000">
      <w:pPr>
        <w:pStyle w:val="pheading"/>
      </w:pPr>
      <w:r>
        <w:t>EXÉCUTION / MISE EN ŒUVRE</w:t>
      </w:r>
    </w:p>
    <w:p w14:paraId="33E74B2A" w14:textId="77777777" w:rsidR="00DB2B68" w:rsidRDefault="00000000">
      <w:pPr>
        <w:pStyle w:val="pheading"/>
      </w:pPr>
      <w:r>
        <w:t>- Notes d’exécution complémentaires</w:t>
      </w:r>
    </w:p>
    <w:p w14:paraId="4B3B67EB" w14:textId="77777777" w:rsidR="00DB2B68" w:rsidRDefault="00000000">
      <w:r>
        <w:t xml:space="preserve">Les armatures de lit d'assise sont posées aux endroits qui correspondent </w:t>
      </w:r>
      <w:r>
        <w:rPr>
          <w:rStyle w:val="optioncarChar"/>
        </w:rPr>
        <w:t>aux indications sur les plans / à l'étude réalisée par le fabricant des briques.</w:t>
      </w:r>
    </w:p>
    <w:p w14:paraId="410E7E29" w14:textId="77777777" w:rsidR="00DB2B68" w:rsidRDefault="00000000">
      <w:r>
        <w:t xml:space="preserve">Les armatures sont prévues dans les assises tous les </w:t>
      </w:r>
      <w:r>
        <w:rPr>
          <w:rStyle w:val="optioncarChar"/>
        </w:rPr>
        <w:t>2 tas </w:t>
      </w:r>
      <w:r>
        <w:t>(par défaut)</w:t>
      </w:r>
      <w:r>
        <w:rPr>
          <w:rStyle w:val="optioncarChar"/>
        </w:rPr>
        <w:t xml:space="preserve"> / 3 tas / *** tas / entre chaque assise de maçonnerie.</w:t>
      </w:r>
    </w:p>
    <w:p w14:paraId="640AB1ED" w14:textId="77777777" w:rsidR="00DB2B68" w:rsidRDefault="00000000">
      <w:r>
        <w:t xml:space="preserve">Les armatures sont prévues dans les assises des </w:t>
      </w:r>
      <w:r>
        <w:rPr>
          <w:rStyle w:val="optioncarChar"/>
        </w:rPr>
        <w:t>3 / 4</w:t>
      </w:r>
      <w:r>
        <w:t xml:space="preserve"> tas au-dessus et en-dessous des baies de portes et fenêtres. Immédiatement au-dessus des linteaux et des assises les briques sur chant, on posera une armature (les armatures débordent de </w:t>
      </w:r>
      <w:r>
        <w:rPr>
          <w:rStyle w:val="optioncarChar"/>
        </w:rPr>
        <w:t>1 </w:t>
      </w:r>
      <w:r>
        <w:t>(par défaut) </w:t>
      </w:r>
      <w:r>
        <w:rPr>
          <w:rStyle w:val="optioncarChar"/>
        </w:rPr>
        <w:t xml:space="preserve"> /***</w:t>
      </w:r>
      <w:r>
        <w:t xml:space="preserve"> m de part et d'autre de la baie).</w:t>
      </w:r>
    </w:p>
    <w:p w14:paraId="0958B26F" w14:textId="77777777" w:rsidR="00DB2B68"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2AC1FDEE" w14:textId="77777777" w:rsidR="00DB2B68" w:rsidRDefault="00000000">
      <w:r>
        <w:t xml:space="preserve">Les armatures sont prévues tous les </w:t>
      </w:r>
      <w:r>
        <w:rPr>
          <w:rStyle w:val="optioncarChar"/>
        </w:rPr>
        <w:t>2 tas</w:t>
      </w:r>
      <w:r>
        <w:t xml:space="preserve"> (par défaut) </w:t>
      </w:r>
      <w:r>
        <w:rPr>
          <w:rStyle w:val="optioncarChar"/>
        </w:rPr>
        <w:t>/ 3 tas / *** tas</w:t>
      </w:r>
      <w:r>
        <w:t xml:space="preserve">, </w:t>
      </w:r>
      <w:r>
        <w:rPr>
          <w:rStyle w:val="optioncarChar"/>
        </w:rPr>
        <w:t>pour les murs de séparation à mi-hauteur / pour les murs de forme irrégulière.</w:t>
      </w:r>
    </w:p>
    <w:p w14:paraId="6F375060" w14:textId="77777777" w:rsidR="00DB2B68" w:rsidRDefault="00000000">
      <w:pPr>
        <w:pStyle w:val="pheading"/>
      </w:pPr>
      <w:r>
        <w:t>MESURAGE</w:t>
      </w:r>
    </w:p>
    <w:p w14:paraId="38136691" w14:textId="77777777" w:rsidR="00DB2B68" w:rsidRDefault="00000000">
      <w:pPr>
        <w:pStyle w:val="pheading"/>
      </w:pPr>
      <w:r>
        <w:t>- unité de mesure:</w:t>
      </w:r>
    </w:p>
    <w:p w14:paraId="5B528D89" w14:textId="77777777" w:rsidR="00DB2B68" w:rsidRDefault="00000000">
      <w:r>
        <w:rPr>
          <w:rStyle w:val="optioncarChar"/>
        </w:rPr>
        <w:t>m</w:t>
      </w:r>
      <w:r>
        <w:t xml:space="preserve"> (par défaut)</w:t>
      </w:r>
    </w:p>
    <w:p w14:paraId="090C97D7" w14:textId="77777777" w:rsidR="00DB2B68" w:rsidRDefault="00000000">
      <w:pPr>
        <w:pStyle w:val="pheading"/>
      </w:pPr>
      <w:r>
        <w:t>- code de mesurage:</w:t>
      </w:r>
    </w:p>
    <w:p w14:paraId="4329C921" w14:textId="77777777" w:rsidR="00DB2B68" w:rsidRDefault="00000000">
      <w:r>
        <w:t>longueur nette du mur. Les chevauchements ne sont pas comptés.</w:t>
      </w:r>
    </w:p>
    <w:p w14:paraId="3515CF68" w14:textId="77777777" w:rsidR="00DB2B68" w:rsidRDefault="00000000">
      <w:pPr>
        <w:pStyle w:val="pheading"/>
      </w:pPr>
      <w:r>
        <w:t>- nature du marché:</w:t>
      </w:r>
    </w:p>
    <w:p w14:paraId="20C28926" w14:textId="77777777" w:rsidR="00DB2B68" w:rsidRDefault="00000000">
      <w:r>
        <w:rPr>
          <w:rStyle w:val="optioncarChar"/>
        </w:rPr>
        <w:lastRenderedPageBreak/>
        <w:t>QF</w:t>
      </w:r>
      <w:r>
        <w:t xml:space="preserve"> (par défaut)</w:t>
      </w:r>
      <w:r>
        <w:rPr>
          <w:rStyle w:val="optioncarChar"/>
        </w:rPr>
        <w:t xml:space="preserve"> / QP</w:t>
      </w:r>
    </w:p>
    <w:p w14:paraId="62142B67" w14:textId="77777777" w:rsidR="00DB2B68" w:rsidRDefault="00000000">
      <w:pPr>
        <w:pStyle w:val="Author-eSectionHeading5Numberless"/>
      </w:pPr>
      <w:bookmarkStart w:id="358" w:name="_Toc220495469"/>
      <w:r>
        <w:t>21.41.2 Armatures verticales pour maçonneries CCTB 01.13</w:t>
      </w:r>
      <w:bookmarkEnd w:id="358"/>
    </w:p>
    <w:p w14:paraId="3AD1FBE4" w14:textId="77777777" w:rsidR="00DB2B68" w:rsidRDefault="00000000">
      <w:pPr>
        <w:pStyle w:val="pheading"/>
      </w:pPr>
      <w:bookmarkStart w:id="359" w:name="358"/>
      <w:bookmarkEnd w:id="359"/>
      <w:r>
        <w:t>DESCRIPTION</w:t>
      </w:r>
    </w:p>
    <w:p w14:paraId="24B91BC4" w14:textId="77777777" w:rsidR="00DB2B68" w:rsidRDefault="00000000">
      <w:pPr>
        <w:pStyle w:val="pheading"/>
      </w:pPr>
      <w:r>
        <w:t>- Définition / Comprend</w:t>
      </w:r>
    </w:p>
    <w:p w14:paraId="6C6B020C" w14:textId="77777777" w:rsidR="00DB2B68" w:rsidRDefault="00000000">
      <w:pPr>
        <w:jc w:val="both"/>
      </w:pPr>
      <w:r>
        <w:t>Ce poste concerne la fourniture et la mise en œuvre des armatures verticales (barres, profils, treillis, …) des murs posées dans les perforations, dans des gaines spécialement maçonnées à cet effet ou entre deux murs, y compris les écarteurs et les accessoires nécessaires pour fixer les armatures et les tenir en place, en vue d'augmenter la force portante et la résistance à la flexion des ouvrages en maçonnerie.</w:t>
      </w:r>
    </w:p>
    <w:p w14:paraId="603A6A03" w14:textId="77777777" w:rsidR="00DB2B68" w:rsidRDefault="00000000">
      <w:pPr>
        <w:pStyle w:val="pheading"/>
      </w:pPr>
      <w:r>
        <w:t>- Remarques importantes</w:t>
      </w:r>
    </w:p>
    <w:p w14:paraId="3C01E568" w14:textId="77777777" w:rsidR="00DB2B68" w:rsidRDefault="00000000">
      <w:r>
        <w:t>Conformément aux plans de ferraillage approuvés.</w:t>
      </w:r>
    </w:p>
    <w:p w14:paraId="2FCAAB56" w14:textId="77777777" w:rsidR="00DB2B68" w:rsidRDefault="00000000">
      <w:pPr>
        <w:pStyle w:val="pheading"/>
      </w:pPr>
      <w:r>
        <w:t>MATÉRIAUX</w:t>
      </w:r>
    </w:p>
    <w:p w14:paraId="0D1BD2F2" w14:textId="77777777" w:rsidR="00DB2B68" w:rsidRDefault="00000000">
      <w:pPr>
        <w:jc w:val="both"/>
      </w:pPr>
      <w:r>
        <w:t>Les barres d'armature doivent respectivement satisfaire aux prescriptions de la [NBN EN 10080, Aciers pour l'armature du béton - Aciers soudables pour béton armé - Généralités], [NBN A 24-301], [NBN A 24-302], [NBN A 24-303], [PTV 302] et [PTV 303] ainsi que du §3.4 de la [NBN EN 1996-1-1+A1].</w:t>
      </w:r>
    </w:p>
    <w:p w14:paraId="7F783313" w14:textId="77777777" w:rsidR="00DB2B68" w:rsidRDefault="00000000">
      <w:pPr>
        <w:jc w:val="both"/>
      </w:pPr>
      <w:r>
        <w:t>A l’instar des aciers pour béton armé :</w:t>
      </w:r>
    </w:p>
    <w:p w14:paraId="414C63B4" w14:textId="77777777" w:rsidR="00DB2B68" w:rsidRDefault="00000000">
      <w:pPr>
        <w:pStyle w:val="Author-eListParagraph"/>
        <w:numPr>
          <w:ilvl w:val="0"/>
          <w:numId w:val="289"/>
        </w:numPr>
      </w:pPr>
      <w:r>
        <w:t>Les aciers de la nuance BE 500 S, BE 500 TS, BE 500 ES et BE 500 RS ont les mêmes propriétés spécifiées et correspondent à la qualité B 500 B selon l'annexe C de l'Eurocode [NBN EN 1992-1-1]. Ils peuvent donc être utilisés indifféremment.</w:t>
      </w:r>
    </w:p>
    <w:p w14:paraId="2A99B759" w14:textId="77777777" w:rsidR="00DB2B68" w:rsidRDefault="00000000">
      <w:pPr>
        <w:pStyle w:val="Author-eListParagraph"/>
        <w:numPr>
          <w:ilvl w:val="0"/>
          <w:numId w:val="289"/>
        </w:numPr>
      </w:pPr>
      <w:r>
        <w:t>Les aciers de la nuance DE 500 BS ont des propriétés de ductilité inférieures aux nuances décrites ci-avant (rapport Rm/Re et Agt) et correspondent à la qualité B 500 A selon l'annexe C de la [NBN EN 1992-1-1]. Ils ne peuvent donc être employés en lieu et place de la qualité B 500 B.</w:t>
      </w:r>
    </w:p>
    <w:p w14:paraId="661BABB2" w14:textId="77777777" w:rsidR="00DB2B68" w:rsidRDefault="00000000">
      <w:pPr>
        <w:pStyle w:val="Author-eListParagraph"/>
        <w:numPr>
          <w:ilvl w:val="0"/>
          <w:numId w:val="289"/>
        </w:numPr>
      </w:pPr>
      <w:r>
        <w:t>Les aciers de la nuance DE 500 AS ne peuvent être mis en œuvre dans les ouvrages en béton armé vu l'absence de spécification des propriétés de ductilité (rapport Rm/Re et Agt non précisées et donc non conformes aux prescriptions de l’annexe C de la [NBN EN 1992-1-1]).</w:t>
      </w:r>
    </w:p>
    <w:p w14:paraId="4E96A7C0" w14:textId="77777777" w:rsidR="00DB2B68" w:rsidRDefault="00000000">
      <w:pPr>
        <w:pStyle w:val="Author-eListParagraph"/>
        <w:numPr>
          <w:ilvl w:val="0"/>
          <w:numId w:val="289"/>
        </w:numPr>
      </w:pPr>
      <w:r>
        <w:t>La qualité de l'acier porte un certificat de conformité</w:t>
      </w:r>
    </w:p>
    <w:p w14:paraId="04AE53A9" w14:textId="77777777" w:rsidR="00DB2B68" w:rsidRDefault="00000000">
      <w:pPr>
        <w:pStyle w:val="Author-eListParagraph"/>
        <w:numPr>
          <w:ilvl w:val="0"/>
          <w:numId w:val="289"/>
        </w:numPr>
      </w:pPr>
      <w:r>
        <w:t>Les treillis soudés doivent satisfaire aux prescriptions de [NBN A 24-304], [PTV 304] et [PTV 307].</w:t>
      </w:r>
    </w:p>
    <w:p w14:paraId="2ECC24E1" w14:textId="77777777" w:rsidR="00DB2B68" w:rsidRDefault="00000000">
      <w:pPr>
        <w:pStyle w:val="Author-eListParagraph"/>
        <w:numPr>
          <w:ilvl w:val="0"/>
          <w:numId w:val="289"/>
        </w:numPr>
      </w:pPr>
      <w:r>
        <w:t>Les profils d'acier noyés dans le béton satisfont aux Eurocodes [NBN EN 1993 série]</w:t>
      </w:r>
    </w:p>
    <w:p w14:paraId="68AFA533" w14:textId="77777777" w:rsidR="00DB2B68" w:rsidRDefault="00000000">
      <w:pPr>
        <w:pStyle w:val="Author-eListParagraph"/>
        <w:numPr>
          <w:ilvl w:val="0"/>
          <w:numId w:val="289"/>
        </w:numPr>
      </w:pPr>
      <w:r>
        <w:t>Les profils sont pourvus des réservations nécessaires selon les indications sur les plans.</w:t>
      </w:r>
    </w:p>
    <w:p w14:paraId="35619116" w14:textId="77777777" w:rsidR="00DB2B68" w:rsidRDefault="00000000">
      <w:pPr>
        <w:pStyle w:val="Author-eListParagraph"/>
        <w:numPr>
          <w:ilvl w:val="0"/>
          <w:numId w:val="289"/>
        </w:numPr>
      </w:pPr>
      <w:r>
        <w:t xml:space="preserve">Les caractéristiques des profils utilisés sont décrites dans l’élément </w:t>
      </w:r>
      <w:hyperlink w:anchor="422" w:history="1">
        <w:r>
          <w:rPr>
            <w:color w:val="0000EE"/>
          </w:rPr>
          <w:t>23.1 Eléments de structures métalliques</w:t>
        </w:r>
      </w:hyperlink>
    </w:p>
    <w:p w14:paraId="7B07C09F" w14:textId="77777777" w:rsidR="00DB2B68" w:rsidRDefault="00000000">
      <w:pPr>
        <w:pStyle w:val="pheading"/>
      </w:pPr>
      <w:r>
        <w:t>EXÉCUTION / MISE EN ŒUVRE</w:t>
      </w:r>
    </w:p>
    <w:p w14:paraId="73758679" w14:textId="77777777" w:rsidR="00DB2B68" w:rsidRDefault="00000000">
      <w:pPr>
        <w:jc w:val="both"/>
      </w:pPr>
      <w:r>
        <w:rPr>
          <w:b/>
          <w:u w:val="single"/>
        </w:rPr>
        <w:t>Entreposage - Protection</w:t>
      </w:r>
    </w:p>
    <w:p w14:paraId="7EB4D3C1" w14:textId="77777777" w:rsidR="00DB2B68" w:rsidRDefault="00000000">
      <w:pPr>
        <w:pStyle w:val="Author-eListParagraph"/>
        <w:numPr>
          <w:ilvl w:val="0"/>
          <w:numId w:val="290"/>
        </w:numPr>
      </w:pPr>
      <w:r>
        <w:t>A leur arrivée sur chantier, les armatures sont exemptes de salissures, d'huile, de peinture, de terre, etc.; elles sont entreposées à un endroit couvert et protégées contre la pluie et toute autre souillure.</w:t>
      </w:r>
    </w:p>
    <w:p w14:paraId="7A2C806E" w14:textId="77777777" w:rsidR="00DB2B68" w:rsidRDefault="00000000">
      <w:pPr>
        <w:pStyle w:val="Author-eListParagraph"/>
        <w:numPr>
          <w:ilvl w:val="0"/>
          <w:numId w:val="290"/>
        </w:numPr>
      </w:pPr>
      <w:r>
        <w:t>Au moment de leur mise en œuvre, les armatures sont complètement débarrassées de toutes souillures et de la rouille non adhérente qui peuvent nuire à la bonne adhérence des barres au béton.</w:t>
      </w:r>
    </w:p>
    <w:p w14:paraId="1847FCC4" w14:textId="77777777" w:rsidR="00DB2B68" w:rsidRDefault="00000000">
      <w:pPr>
        <w:pStyle w:val="Author-eListParagraph"/>
        <w:numPr>
          <w:ilvl w:val="0"/>
          <w:numId w:val="290"/>
        </w:numPr>
      </w:pPr>
      <w:r>
        <w:t>Les barres d'attente sont protégées contre les intempéries. Toutes les armatures qui sont exposées pendant un certain temps aux influences atmosphériques et pourraient, de ce fait, occasionner des taches de rouille sur le béton, sont enduites de lait de ciment.</w:t>
      </w:r>
    </w:p>
    <w:p w14:paraId="1CB8A7F9" w14:textId="77777777" w:rsidR="00DB2B68" w:rsidRDefault="00000000">
      <w:pPr>
        <w:jc w:val="both"/>
      </w:pPr>
      <w:r>
        <w:t> </w:t>
      </w:r>
    </w:p>
    <w:p w14:paraId="7310BAD8" w14:textId="77777777" w:rsidR="00DB2B68" w:rsidRDefault="00000000">
      <w:pPr>
        <w:jc w:val="both"/>
      </w:pPr>
      <w:r>
        <w:rPr>
          <w:b/>
          <w:u w:val="single"/>
        </w:rPr>
        <w:t>Pliage des Armatures - Ferraillage</w:t>
      </w:r>
    </w:p>
    <w:p w14:paraId="63DCE3EE" w14:textId="77777777" w:rsidR="00DB2B68" w:rsidRDefault="00000000">
      <w:pPr>
        <w:jc w:val="both"/>
      </w:pPr>
      <w:r>
        <w:lastRenderedPageBreak/>
        <w:t>Avant leur mise en œuvre, les armatures doivent être pliées dans les formes et aux dimensions indiquées sur les plans et dans les bordereaux. Elles sont pliées conformément aux indications des normes [NBN EN 1992-1-1], [NBN EN 13670] et [NBN B 15-400]. Pendant le pliage, on prend les précautions nécessaires pour éviter les ruptures fragiles ou autres détériorations. Leur disposition suit les prescriptions du §8.2 de la [NBN EN 1996-1-1+A1].</w:t>
      </w:r>
    </w:p>
    <w:p w14:paraId="2C211E38" w14:textId="77777777" w:rsidR="00DB2B68" w:rsidRDefault="00000000">
      <w:pPr>
        <w:pStyle w:val="Author-eListParagraph"/>
        <w:numPr>
          <w:ilvl w:val="0"/>
          <w:numId w:val="291"/>
        </w:numPr>
      </w:pPr>
      <w:r>
        <w:t>Le pliage des barres s'effectue, en principe, par une température ambiante d'au moins 5°C. Dès que la température baisse sous 5°C, il est toutefois conseillé de prendre les mesures qui s'imposent afin de prévenir la rupture fragile des barres (par ex. en utilisant une plieuse mécanique à vitesse modérée et/ou en choisissant une nuance d'acier moins sensible aux variations de température).</w:t>
      </w:r>
    </w:p>
    <w:p w14:paraId="0D910E62" w14:textId="77777777" w:rsidR="00DB2B68" w:rsidRDefault="00000000">
      <w:pPr>
        <w:pStyle w:val="Author-eListParagraph"/>
        <w:numPr>
          <w:ilvl w:val="0"/>
          <w:numId w:val="291"/>
        </w:numPr>
      </w:pPr>
      <w:r>
        <w:t>Le pliage à froid ou le dressage sur gabarit se fait progressivement et lentement, à l'aide d'une machine capable d'effectuer ces pliages, sans endommager le métal dans les angles.</w:t>
      </w:r>
    </w:p>
    <w:p w14:paraId="10E17662" w14:textId="77777777" w:rsidR="00DB2B68" w:rsidRDefault="00000000">
      <w:pPr>
        <w:pStyle w:val="Author-eListParagraph"/>
        <w:numPr>
          <w:ilvl w:val="0"/>
          <w:numId w:val="291"/>
        </w:numPr>
      </w:pPr>
      <w:r>
        <w:t>Tout pliage provisoire suivi d'un pliage à contresens est évité autant que possible. Lorsque cette opération est nécessaire, elle se fait sans à-coups. Le rayon de courbure de la courbe est alors le double de celui prescrit dans la [NBN EN 1992-1-1].</w:t>
      </w:r>
    </w:p>
    <w:p w14:paraId="34874A98" w14:textId="77777777" w:rsidR="00DB2B68" w:rsidRDefault="00000000">
      <w:pPr>
        <w:pStyle w:val="Author-eListParagraph"/>
        <w:numPr>
          <w:ilvl w:val="0"/>
          <w:numId w:val="291"/>
        </w:numPr>
      </w:pPr>
      <w:r>
        <w:t>Le rayon de courbure de la courbe, mesuré sur la fibre médiane de la barre courbée, ne peut être inférieur aux valeurs mentionnées dans la [NBN EN 1992-1-1], qui indique également le diamètre du noyau de courbure qui correspond à cette valeur.</w:t>
      </w:r>
    </w:p>
    <w:p w14:paraId="45457D83" w14:textId="77777777" w:rsidR="00DB2B68" w:rsidRDefault="00000000">
      <w:pPr>
        <w:pStyle w:val="Author-eListParagraph"/>
        <w:numPr>
          <w:ilvl w:val="0"/>
          <w:numId w:val="291"/>
        </w:numPr>
      </w:pPr>
      <w:r>
        <w:t>Dans la mesure du possible, on réserve, entre le début d'une courbure et un nœud soudé, une distance d'au moins 4 fois le diamètre des armatures courbées</w:t>
      </w:r>
    </w:p>
    <w:p w14:paraId="15ECF1B2" w14:textId="77777777" w:rsidR="00DB2B68" w:rsidRDefault="00000000">
      <w:pPr>
        <w:jc w:val="both"/>
      </w:pPr>
      <w:r>
        <w:t> </w:t>
      </w:r>
    </w:p>
    <w:p w14:paraId="3E00EABE" w14:textId="77777777" w:rsidR="00DB2B68" w:rsidRDefault="00000000">
      <w:pPr>
        <w:jc w:val="both"/>
      </w:pPr>
      <w:r>
        <w:rPr>
          <w:b/>
          <w:u w:val="single"/>
        </w:rPr>
        <w:t>Croisements - Chevauchements - Assemblages par soudure</w:t>
      </w:r>
    </w:p>
    <w:p w14:paraId="443A53E3" w14:textId="77777777" w:rsidR="00DB2B68" w:rsidRDefault="00000000">
      <w:pPr>
        <w:jc w:val="both"/>
      </w:pPr>
      <w:r>
        <w:t>La longueur de chevauchement des armatures principales et des treillis préfabriqués est déterminée selon les indications sur les plans basées notamment sur le §8.2 de la [NBN EN 1996-1-1+A1].</w:t>
      </w:r>
    </w:p>
    <w:p w14:paraId="0CB115A4" w14:textId="77777777" w:rsidR="00DB2B68" w:rsidRDefault="00000000">
      <w:pPr>
        <w:pStyle w:val="Author-eListParagraph"/>
        <w:numPr>
          <w:ilvl w:val="0"/>
          <w:numId w:val="292"/>
        </w:numPr>
      </w:pPr>
      <w:r>
        <w:t>Les treillis d’armatures préfabriqués sont posés avec un chevauchement conforme au plan et à la [NBN EN 1992-1-1] et ils sont reliés aux angles des mailles superposées. Les assemblages peuvent être réalisés, soit par soudure, soit à l’aide de ligatures chauffées à blanc. Les écarteurs nécessaires sont prévus pour réaliser l’enrobage de béton exigé. Des écarteurs en acier sont utilisés pour les doubles treillis.</w:t>
      </w:r>
    </w:p>
    <w:p w14:paraId="0097F6D2" w14:textId="77777777" w:rsidR="00DB2B68" w:rsidRDefault="00000000">
      <w:pPr>
        <w:pStyle w:val="Author-eListParagraph"/>
        <w:numPr>
          <w:ilvl w:val="0"/>
          <w:numId w:val="292"/>
        </w:numPr>
      </w:pPr>
      <w:r>
        <w:t>Les barres qui se croisent doivent être solidement attachées afin qu’elles ne se déplacent pas pendant le coulage du béton. A cet effet, les assemblages peuvent être réalisés, soit par soudure, soit à l’aide de ligatures chauffées à blanc et/ou les barres peuvent être supportées par des écarteurs appropriés.</w:t>
      </w:r>
    </w:p>
    <w:p w14:paraId="60E47947" w14:textId="77777777" w:rsidR="00DB2B68" w:rsidRDefault="00000000">
      <w:pPr>
        <w:pStyle w:val="Author-eListParagraph"/>
        <w:numPr>
          <w:ilvl w:val="0"/>
          <w:numId w:val="292"/>
        </w:numPr>
      </w:pPr>
      <w:r>
        <w:t>Les profils noyés sont liaisonnés entre eux et/ou aux barres d’armature ou aux treillis d’armature par soudure. Lorsque les armatures doivent être soudées, l’entrepreneur vérifie d’abord si cela peut se faire selon le procédé qu’il souhaitait appliquer. La méthode à appliquer est déterminée par l’ingénieur qui réalise l’étude du béton.</w:t>
      </w:r>
    </w:p>
    <w:p w14:paraId="380D9254" w14:textId="77777777" w:rsidR="00DB2B68" w:rsidRDefault="00000000">
      <w:pPr>
        <w:pStyle w:val="Author-eListParagraph"/>
        <w:numPr>
          <w:ilvl w:val="0"/>
          <w:numId w:val="292"/>
        </w:numPr>
      </w:pPr>
      <w:r>
        <w:t>Les procédés de soudure suivants sont autorisés :</w:t>
      </w:r>
    </w:p>
    <w:p w14:paraId="7BB37747" w14:textId="77777777" w:rsidR="00DB2B68" w:rsidRDefault="00000000">
      <w:pPr>
        <w:pStyle w:val="Author-eListParagraph"/>
        <w:numPr>
          <w:ilvl w:val="1"/>
          <w:numId w:val="293"/>
        </w:numPr>
      </w:pPr>
      <w:r>
        <w:t>soudage par résistance; (soudure électrique par résistance)</w:t>
      </w:r>
    </w:p>
    <w:p w14:paraId="2EF3EC09" w14:textId="77777777" w:rsidR="00DB2B68" w:rsidRDefault="00000000">
      <w:pPr>
        <w:pStyle w:val="Author-eListParagraph"/>
        <w:numPr>
          <w:ilvl w:val="1"/>
          <w:numId w:val="293"/>
        </w:numPr>
      </w:pPr>
      <w:r>
        <w:t>soudage à l’arc manuel; (soudage électrique à l’arc)</w:t>
      </w:r>
    </w:p>
    <w:p w14:paraId="5EB2D7E1" w14:textId="77777777" w:rsidR="00DB2B68" w:rsidRDefault="00000000">
      <w:pPr>
        <w:pStyle w:val="Author-eListParagraph"/>
        <w:numPr>
          <w:ilvl w:val="1"/>
          <w:numId w:val="293"/>
        </w:numPr>
      </w:pPr>
      <w:r>
        <w:t>soudage semi-automatique en atmosphère gazeuse; (soudure par fusion)</w:t>
      </w:r>
    </w:p>
    <w:p w14:paraId="0E10BEF0" w14:textId="77777777" w:rsidR="00DB2B68" w:rsidRDefault="00000000">
      <w:pPr>
        <w:pStyle w:val="Author-eListParagraph"/>
        <w:numPr>
          <w:ilvl w:val="1"/>
          <w:numId w:val="293"/>
        </w:numPr>
      </w:pPr>
      <w:r>
        <w:t>soudage par étincelage.</w:t>
      </w:r>
    </w:p>
    <w:p w14:paraId="3379BBC1" w14:textId="77777777" w:rsidR="00DB2B68" w:rsidRDefault="00000000">
      <w:pPr>
        <w:pStyle w:val="Author-eListParagraph"/>
        <w:numPr>
          <w:ilvl w:val="0"/>
          <w:numId w:val="292"/>
        </w:numPr>
      </w:pPr>
      <w:r>
        <w:t>Il est interdit d’effectuer des soudures au chalumeau ou à la forge.</w:t>
      </w:r>
    </w:p>
    <w:p w14:paraId="6024A84A" w14:textId="77777777" w:rsidR="00DB2B68" w:rsidRDefault="00000000">
      <w:pPr>
        <w:pStyle w:val="Author-eListParagraph"/>
        <w:numPr>
          <w:ilvl w:val="0"/>
          <w:numId w:val="292"/>
        </w:numPr>
      </w:pPr>
      <w:r>
        <w:t>Les soudures sont effectuées conformément aux normes [NBN A 24-301] et [NBN A 24-302]</w:t>
      </w:r>
    </w:p>
    <w:p w14:paraId="7958FC2A" w14:textId="77777777" w:rsidR="00DB2B68" w:rsidRDefault="00000000">
      <w:pPr>
        <w:pStyle w:val="Author-eListParagraph"/>
        <w:numPr>
          <w:ilvl w:val="0"/>
          <w:numId w:val="292"/>
        </w:numPr>
      </w:pPr>
      <w:r>
        <w:t>Les soudures dans les barres sont évitées à moins de disposer de l’accord de l’ingénieur en stabilité. Il est interdit de souder bout-à-bout les barres d’un diamètre inférieur à 18 mm. Les soudures sont toujours réalisées aux endroits où les barres sont les moins sollicitées. Il s'agit de soudures structurales. On évite de réaliser plusieurs soudures dans un même plan. Lorsque les armatures sont composées de plusieurs barres parallèles qui présentent des soudures, celles-ci sont écartées d’au moins 50 cm. Lorsque la soudure se situe à proximité d’un coffrage, la barre la plus proche du coffrage est déplacée à une distance supérieure ou égale au diamètre de la barre la plus grosse.</w:t>
      </w:r>
    </w:p>
    <w:p w14:paraId="65CEDCEE" w14:textId="77777777" w:rsidR="00DB2B68" w:rsidRDefault="00000000">
      <w:pPr>
        <w:jc w:val="both"/>
      </w:pPr>
      <w:r>
        <w:lastRenderedPageBreak/>
        <w:t> </w:t>
      </w:r>
    </w:p>
    <w:p w14:paraId="4BFE7219" w14:textId="77777777" w:rsidR="00DB2B68" w:rsidRDefault="00000000">
      <w:pPr>
        <w:jc w:val="both"/>
      </w:pPr>
      <w:r>
        <w:rPr>
          <w:b/>
          <w:u w:val="single"/>
        </w:rPr>
        <w:t>Ecartements - Enrobage - Ecarteurs</w:t>
      </w:r>
    </w:p>
    <w:p w14:paraId="7B6C088A" w14:textId="77777777" w:rsidR="00DB2B68" w:rsidRDefault="00000000">
      <w:pPr>
        <w:jc w:val="both"/>
      </w:pPr>
      <w:r>
        <w:t>Les enrobages sont conformes aux règles éditées dans la [NBN EN 1996-1-1+A1]. Des exigences plus sévères peuvent être requises pour la résistance au feu des structures (voir par exemple la [NBN EN 1992-1-2]).</w:t>
      </w:r>
    </w:p>
    <w:p w14:paraId="7A907FB4" w14:textId="77777777" w:rsidR="00DB2B68" w:rsidRDefault="00DB2B68">
      <w:pPr>
        <w:jc w:val="both"/>
      </w:pPr>
    </w:p>
    <w:p w14:paraId="14801A0C" w14:textId="77777777" w:rsidR="00DB2B68" w:rsidRDefault="00000000">
      <w:pPr>
        <w:jc w:val="both"/>
      </w:pPr>
      <w:r>
        <w:t>Les cales et écarteurs sont conformes aux normes [NBN EN 13670] et [NBN B 15-400].</w:t>
      </w:r>
    </w:p>
    <w:p w14:paraId="1174095E" w14:textId="77777777" w:rsidR="00DB2B68" w:rsidRDefault="00DB2B68"/>
    <w:p w14:paraId="2B9807CF" w14:textId="77777777" w:rsidR="00DB2B68" w:rsidRDefault="00000000">
      <w:pPr>
        <w:jc w:val="both"/>
      </w:pPr>
      <w:r>
        <w:rPr>
          <w:b/>
          <w:u w:val="single"/>
        </w:rPr>
        <w:t>Choix de l’acier d’armature vis-à-vis de la durabilité</w:t>
      </w:r>
    </w:p>
    <w:p w14:paraId="02704D92" w14:textId="77777777" w:rsidR="00DB2B68" w:rsidRDefault="00000000">
      <w:pPr>
        <w:jc w:val="both"/>
      </w:pPr>
      <w:r>
        <w:t>Il convient de choisir le type d’acier d’armature et le niveau de protection associé eu égard à la classe d’exposition appropriée au lieu d’utilisation. On se réfère aux tableaux ci-dessous (voir aussi le §4.3.3 de la [NBN EN 1996-1-1+A1]).</w:t>
      </w:r>
    </w:p>
    <w:tbl>
      <w:tblPr>
        <w:tblStyle w:val="Author-eTableGrid"/>
        <w:tblW w:w="9030" w:type="dxa"/>
        <w:tblLayout w:type="fixed"/>
        <w:tblLook w:val="04A0" w:firstRow="1" w:lastRow="0" w:firstColumn="1" w:lastColumn="0" w:noHBand="0" w:noVBand="1"/>
      </w:tblPr>
      <w:tblGrid>
        <w:gridCol w:w="4515"/>
        <w:gridCol w:w="4515"/>
      </w:tblGrid>
      <w:tr w:rsidR="00DB2B68" w14:paraId="2E2E27C0" w14:textId="77777777">
        <w:tc>
          <w:tcPr>
            <w:tcW w:w="4515" w:type="dxa"/>
            <w:noWrap/>
          </w:tcPr>
          <w:p w14:paraId="295C8473" w14:textId="77777777" w:rsidR="00DB2B68" w:rsidRDefault="00000000">
            <w:r>
              <w:rPr>
                <w:b/>
              </w:rPr>
              <w:t>Classe d’exposition</w:t>
            </w:r>
          </w:p>
        </w:tc>
        <w:tc>
          <w:tcPr>
            <w:tcW w:w="4515" w:type="dxa"/>
            <w:noWrap/>
          </w:tcPr>
          <w:p w14:paraId="5D520246" w14:textId="77777777" w:rsidR="00DB2B68" w:rsidRDefault="00000000">
            <w:r>
              <w:rPr>
                <w:b/>
              </w:rPr>
              <w:t>Niveau minimum de protection de l’acier d’armature</w:t>
            </w:r>
          </w:p>
        </w:tc>
      </w:tr>
      <w:tr w:rsidR="00DB2B68" w14:paraId="0FDE76C8" w14:textId="77777777">
        <w:tc>
          <w:tcPr>
            <w:tcW w:w="4515" w:type="dxa"/>
            <w:noWrap/>
          </w:tcPr>
          <w:p w14:paraId="3BB7AEF1" w14:textId="77777777" w:rsidR="00DB2B68" w:rsidRDefault="00000000">
            <w:r>
              <w:rPr>
                <w:b/>
              </w:rPr>
              <w:t>(voir [NBN EN 1996-2])</w:t>
            </w:r>
          </w:p>
        </w:tc>
        <w:tc>
          <w:tcPr>
            <w:tcW w:w="4515" w:type="dxa"/>
            <w:noWrap/>
          </w:tcPr>
          <w:p w14:paraId="10BF2440" w14:textId="77777777" w:rsidR="00DB2B68" w:rsidRDefault="00000000">
            <w:r>
              <w:rPr>
                <w:b/>
              </w:rPr>
              <w:t>Située dans du béton avec un enrobage inférieur à c</w:t>
            </w:r>
            <w:r>
              <w:rPr>
                <w:b/>
                <w:vertAlign w:val="subscript"/>
              </w:rPr>
              <w:t>nom</w:t>
            </w:r>
            <w:r>
              <w:rPr>
                <w:b/>
              </w:rPr>
              <w:t xml:space="preserve"> (voir ci-après)</w:t>
            </w:r>
          </w:p>
        </w:tc>
      </w:tr>
      <w:tr w:rsidR="00DB2B68" w14:paraId="4D84F652" w14:textId="77777777">
        <w:tc>
          <w:tcPr>
            <w:tcW w:w="4515" w:type="dxa"/>
            <w:noWrap/>
          </w:tcPr>
          <w:p w14:paraId="647F8DBA" w14:textId="77777777" w:rsidR="00DB2B68" w:rsidRDefault="00000000">
            <w:r>
              <w:t>MX1 – milieu sec</w:t>
            </w:r>
          </w:p>
        </w:tc>
        <w:tc>
          <w:tcPr>
            <w:tcW w:w="4515" w:type="dxa"/>
            <w:noWrap/>
          </w:tcPr>
          <w:p w14:paraId="0C6D05D2" w14:textId="77777777" w:rsidR="00DB2B68" w:rsidRDefault="00000000">
            <w:r>
              <w:t>Acier au carbone non protégé</w:t>
            </w:r>
          </w:p>
        </w:tc>
      </w:tr>
      <w:tr w:rsidR="00DB2B68" w14:paraId="292859FE" w14:textId="77777777">
        <w:tc>
          <w:tcPr>
            <w:tcW w:w="4515" w:type="dxa"/>
            <w:noWrap/>
          </w:tcPr>
          <w:p w14:paraId="00EA8800" w14:textId="77777777" w:rsidR="00DB2B68" w:rsidRDefault="00000000">
            <w:r>
              <w:t>MX2 – milieu humide</w:t>
            </w:r>
          </w:p>
        </w:tc>
        <w:tc>
          <w:tcPr>
            <w:tcW w:w="4515" w:type="dxa"/>
            <w:noWrap/>
          </w:tcPr>
          <w:p w14:paraId="4070242B" w14:textId="77777777" w:rsidR="00DB2B68" w:rsidRDefault="00000000">
            <w:r>
              <w:t>Acier au carbone non protégé, ou si du mortier est utilisé pour remplir les évidements, acier au carbone à galvanisation forte ou avec protection équivalente</w:t>
            </w:r>
          </w:p>
        </w:tc>
      </w:tr>
      <w:tr w:rsidR="00DB2B68" w14:paraId="5C1FB35F" w14:textId="77777777">
        <w:tc>
          <w:tcPr>
            <w:tcW w:w="4515" w:type="dxa"/>
            <w:noWrap/>
          </w:tcPr>
          <w:p w14:paraId="0C113873" w14:textId="77777777" w:rsidR="00DB2B68" w:rsidRDefault="00000000">
            <w:r>
              <w:t>MX3 – Milieu humide et gel</w:t>
            </w:r>
          </w:p>
        </w:tc>
        <w:tc>
          <w:tcPr>
            <w:tcW w:w="4515" w:type="dxa"/>
            <w:noWrap/>
          </w:tcPr>
          <w:p w14:paraId="0BAF38B8" w14:textId="77777777" w:rsidR="00DB2B68" w:rsidRDefault="00000000">
            <w:r>
              <w:t>Acier au carbone, à galvanisation forte ou avec protection équivalente</w:t>
            </w:r>
          </w:p>
        </w:tc>
      </w:tr>
      <w:tr w:rsidR="00DB2B68" w14:paraId="4AD56C2E" w14:textId="77777777">
        <w:tc>
          <w:tcPr>
            <w:tcW w:w="4515" w:type="dxa"/>
            <w:noWrap/>
          </w:tcPr>
          <w:p w14:paraId="47313D1F" w14:textId="77777777" w:rsidR="00DB2B68" w:rsidRDefault="00000000">
            <w:r>
              <w:t>MX4 – milieu salin</w:t>
            </w:r>
          </w:p>
        </w:tc>
        <w:tc>
          <w:tcPr>
            <w:tcW w:w="4515" w:type="dxa"/>
            <w:noWrap/>
          </w:tcPr>
          <w:p w14:paraId="4702A088" w14:textId="77777777" w:rsidR="00DB2B68" w:rsidRDefault="00000000">
            <w:r>
              <w:t>Acier inoxydable austénitique AISI 316</w:t>
            </w:r>
          </w:p>
        </w:tc>
      </w:tr>
      <w:tr w:rsidR="00DB2B68" w14:paraId="0DED09BC" w14:textId="77777777">
        <w:tc>
          <w:tcPr>
            <w:tcW w:w="4515" w:type="dxa"/>
            <w:noWrap/>
          </w:tcPr>
          <w:p w14:paraId="78A3F454" w14:textId="77777777" w:rsidR="00DB2B68" w:rsidRDefault="00000000">
            <w:r>
              <w:t>MX5 – milieu chimique agressif</w:t>
            </w:r>
          </w:p>
        </w:tc>
        <w:tc>
          <w:tcPr>
            <w:tcW w:w="4515" w:type="dxa"/>
            <w:noWrap/>
          </w:tcPr>
          <w:p w14:paraId="44E12FA1" w14:textId="77777777" w:rsidR="00DB2B68" w:rsidRDefault="00000000">
            <w:r>
              <w:t>Acier inoxydable austénitique AISI 316 ou 304</w:t>
            </w:r>
          </w:p>
        </w:tc>
      </w:tr>
    </w:tbl>
    <w:p w14:paraId="599B2765" w14:textId="77777777" w:rsidR="00DB2B68" w:rsidRDefault="00DB2B68"/>
    <w:p w14:paraId="30432D14" w14:textId="77777777" w:rsidR="00DB2B68" w:rsidRDefault="00000000">
      <w:pPr>
        <w:jc w:val="both"/>
      </w:pPr>
      <w:r>
        <w:t> </w:t>
      </w:r>
    </w:p>
    <w:p w14:paraId="1C251483" w14:textId="77777777" w:rsidR="00DB2B68" w:rsidRDefault="00000000">
      <w:pPr>
        <w:jc w:val="both"/>
      </w:pPr>
      <w:r>
        <w:t>Lorsque de l’acier au carbone non protégé est utilisé, il convient de le protéger par un enrobage de béton d’épaisseur c</w:t>
      </w:r>
      <w:r>
        <w:rPr>
          <w:vertAlign w:val="subscript"/>
        </w:rPr>
        <w:t>nom</w:t>
      </w:r>
      <w:r>
        <w:t xml:space="preserve"> tel que spécifié dans le tableau suivant.</w:t>
      </w:r>
    </w:p>
    <w:tbl>
      <w:tblPr>
        <w:tblStyle w:val="Author-eTableGrid"/>
        <w:tblW w:w="9030" w:type="dxa"/>
        <w:tblLayout w:type="fixed"/>
        <w:tblLook w:val="04A0" w:firstRow="1" w:lastRow="0" w:firstColumn="1" w:lastColumn="0" w:noHBand="0" w:noVBand="1"/>
      </w:tblPr>
      <w:tblGrid>
        <w:gridCol w:w="2840"/>
        <w:gridCol w:w="1238"/>
        <w:gridCol w:w="1238"/>
        <w:gridCol w:w="1238"/>
        <w:gridCol w:w="1238"/>
        <w:gridCol w:w="1238"/>
      </w:tblGrid>
      <w:tr w:rsidR="00DB2B68" w14:paraId="7027EFF4" w14:textId="77777777">
        <w:tc>
          <w:tcPr>
            <w:tcW w:w="2820" w:type="dxa"/>
            <w:vMerge w:val="restart"/>
            <w:noWrap/>
          </w:tcPr>
          <w:p w14:paraId="55909A90" w14:textId="77777777" w:rsidR="00DB2B68" w:rsidRDefault="00DB2B68"/>
          <w:p w14:paraId="27867043" w14:textId="77777777" w:rsidR="00DB2B68" w:rsidRDefault="00000000">
            <w:pPr>
              <w:jc w:val="both"/>
            </w:pPr>
            <w:r>
              <w:rPr>
                <w:b/>
              </w:rPr>
              <w:t>Classe</w:t>
            </w:r>
          </w:p>
          <w:p w14:paraId="6B8D8E08" w14:textId="77777777" w:rsidR="00DB2B68" w:rsidRDefault="00000000">
            <w:pPr>
              <w:jc w:val="both"/>
            </w:pPr>
            <w:r>
              <w:rPr>
                <w:b/>
              </w:rPr>
              <w:t>D’exposition</w:t>
            </w:r>
          </w:p>
        </w:tc>
        <w:tc>
          <w:tcPr>
            <w:tcW w:w="6150" w:type="dxa"/>
            <w:gridSpan w:val="5"/>
            <w:noWrap/>
          </w:tcPr>
          <w:p w14:paraId="308EC4FD" w14:textId="77777777" w:rsidR="00DB2B68" w:rsidRDefault="00000000">
            <w:pPr>
              <w:jc w:val="center"/>
            </w:pPr>
            <w:r>
              <w:rPr>
                <w:b/>
              </w:rPr>
              <w:t>Teneur minimale en ciment kg/m³</w:t>
            </w:r>
          </w:p>
        </w:tc>
      </w:tr>
      <w:tr w:rsidR="00DB2B68" w14:paraId="151A05F8" w14:textId="77777777">
        <w:tc>
          <w:tcPr>
            <w:tcW w:w="2820" w:type="dxa"/>
            <w:vMerge/>
            <w:noWrap/>
          </w:tcPr>
          <w:p w14:paraId="472D5FDF" w14:textId="77777777" w:rsidR="00DB2B68" w:rsidRDefault="00DB2B68"/>
        </w:tc>
        <w:tc>
          <w:tcPr>
            <w:tcW w:w="1230" w:type="dxa"/>
            <w:noWrap/>
          </w:tcPr>
          <w:p w14:paraId="32C3CE25" w14:textId="77777777" w:rsidR="00DB2B68" w:rsidRDefault="00000000">
            <w:pPr>
              <w:jc w:val="center"/>
            </w:pPr>
            <w:r>
              <w:rPr>
                <w:b/>
              </w:rPr>
              <w:t>275</w:t>
            </w:r>
          </w:p>
        </w:tc>
        <w:tc>
          <w:tcPr>
            <w:tcW w:w="1230" w:type="dxa"/>
            <w:noWrap/>
          </w:tcPr>
          <w:p w14:paraId="1CC83D02" w14:textId="77777777" w:rsidR="00DB2B68" w:rsidRDefault="00000000">
            <w:pPr>
              <w:jc w:val="center"/>
            </w:pPr>
            <w:r>
              <w:rPr>
                <w:b/>
              </w:rPr>
              <w:t>300</w:t>
            </w:r>
          </w:p>
        </w:tc>
        <w:tc>
          <w:tcPr>
            <w:tcW w:w="1230" w:type="dxa"/>
            <w:noWrap/>
          </w:tcPr>
          <w:p w14:paraId="48D927DA" w14:textId="77777777" w:rsidR="00DB2B68" w:rsidRDefault="00000000">
            <w:pPr>
              <w:jc w:val="center"/>
            </w:pPr>
            <w:r>
              <w:rPr>
                <w:b/>
              </w:rPr>
              <w:t>325</w:t>
            </w:r>
          </w:p>
        </w:tc>
        <w:tc>
          <w:tcPr>
            <w:tcW w:w="1230" w:type="dxa"/>
            <w:noWrap/>
          </w:tcPr>
          <w:p w14:paraId="4DDAC3E4" w14:textId="77777777" w:rsidR="00DB2B68" w:rsidRDefault="00000000">
            <w:pPr>
              <w:jc w:val="center"/>
            </w:pPr>
            <w:r>
              <w:rPr>
                <w:b/>
              </w:rPr>
              <w:t>350</w:t>
            </w:r>
          </w:p>
        </w:tc>
        <w:tc>
          <w:tcPr>
            <w:tcW w:w="1230" w:type="dxa"/>
            <w:noWrap/>
          </w:tcPr>
          <w:p w14:paraId="5C99D8AB" w14:textId="77777777" w:rsidR="00DB2B68" w:rsidRDefault="00000000">
            <w:pPr>
              <w:jc w:val="center"/>
            </w:pPr>
            <w:r>
              <w:rPr>
                <w:b/>
              </w:rPr>
              <w:t>400</w:t>
            </w:r>
          </w:p>
        </w:tc>
      </w:tr>
      <w:tr w:rsidR="00DB2B68" w14:paraId="6B10CB8B" w14:textId="77777777">
        <w:tc>
          <w:tcPr>
            <w:tcW w:w="2820" w:type="dxa"/>
            <w:vMerge/>
            <w:noWrap/>
          </w:tcPr>
          <w:p w14:paraId="2263B983" w14:textId="77777777" w:rsidR="00DB2B68" w:rsidRDefault="00DB2B68"/>
        </w:tc>
        <w:tc>
          <w:tcPr>
            <w:tcW w:w="6150" w:type="dxa"/>
            <w:gridSpan w:val="5"/>
            <w:noWrap/>
          </w:tcPr>
          <w:p w14:paraId="66D095D4" w14:textId="77777777" w:rsidR="00DB2B68" w:rsidRDefault="00000000">
            <w:pPr>
              <w:jc w:val="center"/>
            </w:pPr>
            <w:r>
              <w:rPr>
                <w:b/>
              </w:rPr>
              <w:t>Rapport maximal eau/ciment</w:t>
            </w:r>
          </w:p>
        </w:tc>
      </w:tr>
      <w:tr w:rsidR="00DB2B68" w14:paraId="7F8C1056" w14:textId="77777777">
        <w:tc>
          <w:tcPr>
            <w:tcW w:w="2820" w:type="dxa"/>
            <w:vMerge/>
            <w:noWrap/>
          </w:tcPr>
          <w:p w14:paraId="7E5D720D" w14:textId="77777777" w:rsidR="00DB2B68" w:rsidRDefault="00DB2B68"/>
        </w:tc>
        <w:tc>
          <w:tcPr>
            <w:tcW w:w="1230" w:type="dxa"/>
            <w:noWrap/>
          </w:tcPr>
          <w:p w14:paraId="61ED65EA" w14:textId="77777777" w:rsidR="00DB2B68" w:rsidRDefault="00000000">
            <w:pPr>
              <w:jc w:val="center"/>
            </w:pPr>
            <w:r>
              <w:rPr>
                <w:b/>
              </w:rPr>
              <w:t>0,65</w:t>
            </w:r>
          </w:p>
        </w:tc>
        <w:tc>
          <w:tcPr>
            <w:tcW w:w="1230" w:type="dxa"/>
            <w:noWrap/>
          </w:tcPr>
          <w:p w14:paraId="6B6BB253" w14:textId="77777777" w:rsidR="00DB2B68" w:rsidRDefault="00000000">
            <w:pPr>
              <w:jc w:val="center"/>
            </w:pPr>
            <w:r>
              <w:rPr>
                <w:b/>
              </w:rPr>
              <w:t>0,60</w:t>
            </w:r>
          </w:p>
        </w:tc>
        <w:tc>
          <w:tcPr>
            <w:tcW w:w="1230" w:type="dxa"/>
            <w:noWrap/>
          </w:tcPr>
          <w:p w14:paraId="1DA4FEB5" w14:textId="77777777" w:rsidR="00DB2B68" w:rsidRDefault="00000000">
            <w:pPr>
              <w:jc w:val="center"/>
            </w:pPr>
            <w:r>
              <w:rPr>
                <w:b/>
              </w:rPr>
              <w:t>0,55</w:t>
            </w:r>
          </w:p>
        </w:tc>
        <w:tc>
          <w:tcPr>
            <w:tcW w:w="1230" w:type="dxa"/>
            <w:noWrap/>
          </w:tcPr>
          <w:p w14:paraId="5DCC369A" w14:textId="77777777" w:rsidR="00DB2B68" w:rsidRDefault="00000000">
            <w:pPr>
              <w:jc w:val="center"/>
            </w:pPr>
            <w:r>
              <w:rPr>
                <w:b/>
              </w:rPr>
              <w:t>0,50</w:t>
            </w:r>
          </w:p>
        </w:tc>
        <w:tc>
          <w:tcPr>
            <w:tcW w:w="1230" w:type="dxa"/>
            <w:noWrap/>
          </w:tcPr>
          <w:p w14:paraId="7E578B68" w14:textId="77777777" w:rsidR="00DB2B68" w:rsidRDefault="00000000">
            <w:pPr>
              <w:jc w:val="center"/>
            </w:pPr>
            <w:r>
              <w:rPr>
                <w:b/>
              </w:rPr>
              <w:t>0,45</w:t>
            </w:r>
          </w:p>
        </w:tc>
      </w:tr>
      <w:tr w:rsidR="00DB2B68" w14:paraId="01D061B7" w14:textId="77777777">
        <w:tc>
          <w:tcPr>
            <w:tcW w:w="2820" w:type="dxa"/>
            <w:vMerge/>
            <w:noWrap/>
          </w:tcPr>
          <w:p w14:paraId="3B5BA150" w14:textId="77777777" w:rsidR="00DB2B68" w:rsidRDefault="00DB2B68"/>
        </w:tc>
        <w:tc>
          <w:tcPr>
            <w:tcW w:w="6150" w:type="dxa"/>
            <w:gridSpan w:val="5"/>
            <w:noWrap/>
          </w:tcPr>
          <w:p w14:paraId="45484D75" w14:textId="77777777" w:rsidR="00DB2B68" w:rsidRDefault="00000000">
            <w:pPr>
              <w:jc w:val="center"/>
            </w:pPr>
            <w:r>
              <w:rPr>
                <w:b/>
              </w:rPr>
              <w:t>Epaisseur de l’enrobage de béton minimal c</w:t>
            </w:r>
            <w:r>
              <w:rPr>
                <w:b/>
                <w:vertAlign w:val="subscript"/>
              </w:rPr>
              <w:t>nom</w:t>
            </w:r>
            <w:r>
              <w:rPr>
                <w:b/>
              </w:rPr>
              <w:t xml:space="preserve"> mm</w:t>
            </w:r>
          </w:p>
        </w:tc>
      </w:tr>
      <w:tr w:rsidR="00DB2B68" w14:paraId="6F54441C" w14:textId="77777777">
        <w:tc>
          <w:tcPr>
            <w:tcW w:w="2820" w:type="dxa"/>
            <w:noWrap/>
          </w:tcPr>
          <w:p w14:paraId="324165A6" w14:textId="77777777" w:rsidR="00DB2B68" w:rsidRDefault="00000000">
            <w:r>
              <w:t>MX1 – milieu sec</w:t>
            </w:r>
          </w:p>
        </w:tc>
        <w:tc>
          <w:tcPr>
            <w:tcW w:w="1230" w:type="dxa"/>
            <w:noWrap/>
          </w:tcPr>
          <w:p w14:paraId="11E565AE" w14:textId="77777777" w:rsidR="00DB2B68" w:rsidRDefault="00000000">
            <w:pPr>
              <w:jc w:val="center"/>
            </w:pPr>
            <w:r>
              <w:t>20</w:t>
            </w:r>
          </w:p>
        </w:tc>
        <w:tc>
          <w:tcPr>
            <w:tcW w:w="1230" w:type="dxa"/>
            <w:noWrap/>
          </w:tcPr>
          <w:p w14:paraId="287A7C8F" w14:textId="77777777" w:rsidR="00DB2B68" w:rsidRDefault="00000000">
            <w:pPr>
              <w:jc w:val="center"/>
            </w:pPr>
            <w:r>
              <w:t>20</w:t>
            </w:r>
          </w:p>
        </w:tc>
        <w:tc>
          <w:tcPr>
            <w:tcW w:w="1230" w:type="dxa"/>
            <w:noWrap/>
          </w:tcPr>
          <w:p w14:paraId="7E094433" w14:textId="77777777" w:rsidR="00DB2B68" w:rsidRDefault="00000000">
            <w:pPr>
              <w:jc w:val="center"/>
            </w:pPr>
            <w:r>
              <w:t>20</w:t>
            </w:r>
          </w:p>
        </w:tc>
        <w:tc>
          <w:tcPr>
            <w:tcW w:w="1230" w:type="dxa"/>
            <w:noWrap/>
          </w:tcPr>
          <w:p w14:paraId="448A58F4" w14:textId="77777777" w:rsidR="00DB2B68" w:rsidRDefault="00000000">
            <w:pPr>
              <w:jc w:val="center"/>
            </w:pPr>
            <w:r>
              <w:t>20</w:t>
            </w:r>
          </w:p>
        </w:tc>
        <w:tc>
          <w:tcPr>
            <w:tcW w:w="1230" w:type="dxa"/>
            <w:noWrap/>
          </w:tcPr>
          <w:p w14:paraId="0A836F5F" w14:textId="77777777" w:rsidR="00DB2B68" w:rsidRDefault="00000000">
            <w:pPr>
              <w:jc w:val="center"/>
            </w:pPr>
            <w:r>
              <w:t>20</w:t>
            </w:r>
          </w:p>
        </w:tc>
      </w:tr>
      <w:tr w:rsidR="00DB2B68" w14:paraId="2E5723EA" w14:textId="77777777">
        <w:tc>
          <w:tcPr>
            <w:tcW w:w="2820" w:type="dxa"/>
            <w:noWrap/>
          </w:tcPr>
          <w:p w14:paraId="0EC5D3A5" w14:textId="77777777" w:rsidR="00DB2B68" w:rsidRDefault="00000000">
            <w:r>
              <w:t>MX2 – milieu humide</w:t>
            </w:r>
          </w:p>
        </w:tc>
        <w:tc>
          <w:tcPr>
            <w:tcW w:w="1230" w:type="dxa"/>
            <w:noWrap/>
          </w:tcPr>
          <w:p w14:paraId="565522F4" w14:textId="77777777" w:rsidR="00DB2B68" w:rsidRDefault="00000000">
            <w:pPr>
              <w:jc w:val="center"/>
            </w:pPr>
            <w:r>
              <w:t>-</w:t>
            </w:r>
          </w:p>
        </w:tc>
        <w:tc>
          <w:tcPr>
            <w:tcW w:w="1230" w:type="dxa"/>
            <w:noWrap/>
          </w:tcPr>
          <w:p w14:paraId="1B2AC575" w14:textId="77777777" w:rsidR="00DB2B68" w:rsidRDefault="00000000">
            <w:pPr>
              <w:jc w:val="center"/>
            </w:pPr>
            <w:r>
              <w:t>35</w:t>
            </w:r>
          </w:p>
        </w:tc>
        <w:tc>
          <w:tcPr>
            <w:tcW w:w="1230" w:type="dxa"/>
            <w:noWrap/>
          </w:tcPr>
          <w:p w14:paraId="52E5D2AC" w14:textId="77777777" w:rsidR="00DB2B68" w:rsidRDefault="00000000">
            <w:pPr>
              <w:jc w:val="center"/>
            </w:pPr>
            <w:r>
              <w:t>30</w:t>
            </w:r>
          </w:p>
        </w:tc>
        <w:tc>
          <w:tcPr>
            <w:tcW w:w="1230" w:type="dxa"/>
            <w:noWrap/>
          </w:tcPr>
          <w:p w14:paraId="55D00107" w14:textId="77777777" w:rsidR="00DB2B68" w:rsidRDefault="00000000">
            <w:pPr>
              <w:jc w:val="center"/>
            </w:pPr>
            <w:r>
              <w:t>25</w:t>
            </w:r>
          </w:p>
        </w:tc>
        <w:tc>
          <w:tcPr>
            <w:tcW w:w="1230" w:type="dxa"/>
            <w:noWrap/>
          </w:tcPr>
          <w:p w14:paraId="27C43CA4" w14:textId="77777777" w:rsidR="00DB2B68" w:rsidRDefault="00000000">
            <w:pPr>
              <w:jc w:val="center"/>
            </w:pPr>
            <w:r>
              <w:t>20</w:t>
            </w:r>
          </w:p>
        </w:tc>
      </w:tr>
      <w:tr w:rsidR="00DB2B68" w14:paraId="43BD0B41" w14:textId="77777777">
        <w:tc>
          <w:tcPr>
            <w:tcW w:w="2820" w:type="dxa"/>
            <w:noWrap/>
          </w:tcPr>
          <w:p w14:paraId="600994A8" w14:textId="77777777" w:rsidR="00DB2B68" w:rsidRDefault="00000000">
            <w:r>
              <w:t>MX3 – milieu humide et gel</w:t>
            </w:r>
          </w:p>
        </w:tc>
        <w:tc>
          <w:tcPr>
            <w:tcW w:w="1230" w:type="dxa"/>
            <w:noWrap/>
          </w:tcPr>
          <w:p w14:paraId="6A98EA43" w14:textId="77777777" w:rsidR="00DB2B68" w:rsidRDefault="00000000">
            <w:pPr>
              <w:jc w:val="center"/>
            </w:pPr>
            <w:r>
              <w:t>-</w:t>
            </w:r>
          </w:p>
        </w:tc>
        <w:tc>
          <w:tcPr>
            <w:tcW w:w="1230" w:type="dxa"/>
            <w:noWrap/>
          </w:tcPr>
          <w:p w14:paraId="07600880" w14:textId="77777777" w:rsidR="00DB2B68" w:rsidRDefault="00000000">
            <w:pPr>
              <w:jc w:val="center"/>
            </w:pPr>
            <w:r>
              <w:t>-</w:t>
            </w:r>
          </w:p>
        </w:tc>
        <w:tc>
          <w:tcPr>
            <w:tcW w:w="1230" w:type="dxa"/>
            <w:noWrap/>
          </w:tcPr>
          <w:p w14:paraId="0A32C928" w14:textId="77777777" w:rsidR="00DB2B68" w:rsidRDefault="00000000">
            <w:pPr>
              <w:jc w:val="center"/>
            </w:pPr>
            <w:r>
              <w:t>40</w:t>
            </w:r>
          </w:p>
        </w:tc>
        <w:tc>
          <w:tcPr>
            <w:tcW w:w="1230" w:type="dxa"/>
            <w:noWrap/>
          </w:tcPr>
          <w:p w14:paraId="595BAEEA" w14:textId="77777777" w:rsidR="00DB2B68" w:rsidRDefault="00000000">
            <w:pPr>
              <w:jc w:val="center"/>
            </w:pPr>
            <w:r>
              <w:t>30</w:t>
            </w:r>
          </w:p>
        </w:tc>
        <w:tc>
          <w:tcPr>
            <w:tcW w:w="1230" w:type="dxa"/>
            <w:noWrap/>
          </w:tcPr>
          <w:p w14:paraId="2D52275E" w14:textId="77777777" w:rsidR="00DB2B68" w:rsidRDefault="00000000">
            <w:pPr>
              <w:jc w:val="center"/>
            </w:pPr>
            <w:r>
              <w:t>25</w:t>
            </w:r>
          </w:p>
        </w:tc>
      </w:tr>
      <w:tr w:rsidR="00DB2B68" w14:paraId="346B9D4F" w14:textId="77777777">
        <w:tc>
          <w:tcPr>
            <w:tcW w:w="2820" w:type="dxa"/>
            <w:noWrap/>
          </w:tcPr>
          <w:p w14:paraId="466588BE" w14:textId="77777777" w:rsidR="00DB2B68" w:rsidRDefault="00000000">
            <w:r>
              <w:t>MX4 – milieu salin et MX5 – milieu chimique agressif</w:t>
            </w:r>
          </w:p>
        </w:tc>
        <w:tc>
          <w:tcPr>
            <w:tcW w:w="1230" w:type="dxa"/>
            <w:noWrap/>
          </w:tcPr>
          <w:p w14:paraId="403BA97B" w14:textId="77777777" w:rsidR="00DB2B68" w:rsidRDefault="00000000">
            <w:pPr>
              <w:jc w:val="center"/>
            </w:pPr>
            <w:r>
              <w:t>-</w:t>
            </w:r>
          </w:p>
        </w:tc>
        <w:tc>
          <w:tcPr>
            <w:tcW w:w="1230" w:type="dxa"/>
            <w:noWrap/>
          </w:tcPr>
          <w:p w14:paraId="4BE19FF6" w14:textId="77777777" w:rsidR="00DB2B68" w:rsidRDefault="00000000">
            <w:pPr>
              <w:jc w:val="center"/>
            </w:pPr>
            <w:r>
              <w:t>-</w:t>
            </w:r>
          </w:p>
        </w:tc>
        <w:tc>
          <w:tcPr>
            <w:tcW w:w="1230" w:type="dxa"/>
            <w:noWrap/>
          </w:tcPr>
          <w:p w14:paraId="29C276C3" w14:textId="77777777" w:rsidR="00DB2B68" w:rsidRDefault="00000000">
            <w:pPr>
              <w:jc w:val="center"/>
            </w:pPr>
            <w:r>
              <w:t>-</w:t>
            </w:r>
          </w:p>
        </w:tc>
        <w:tc>
          <w:tcPr>
            <w:tcW w:w="1230" w:type="dxa"/>
            <w:noWrap/>
          </w:tcPr>
          <w:p w14:paraId="2452DAE0" w14:textId="77777777" w:rsidR="00DB2B68" w:rsidRDefault="00000000">
            <w:pPr>
              <w:jc w:val="center"/>
            </w:pPr>
            <w:r>
              <w:t>60</w:t>
            </w:r>
          </w:p>
        </w:tc>
        <w:tc>
          <w:tcPr>
            <w:tcW w:w="1230" w:type="dxa"/>
            <w:noWrap/>
          </w:tcPr>
          <w:p w14:paraId="19A39A85" w14:textId="77777777" w:rsidR="00DB2B68" w:rsidRDefault="00000000">
            <w:pPr>
              <w:jc w:val="center"/>
            </w:pPr>
            <w:r>
              <w:t>50</w:t>
            </w:r>
          </w:p>
        </w:tc>
      </w:tr>
    </w:tbl>
    <w:p w14:paraId="1F7EB3FF" w14:textId="77777777" w:rsidR="00DB2B68" w:rsidRDefault="00DB2B68"/>
    <w:p w14:paraId="5ACBFE60" w14:textId="77777777" w:rsidR="00DB2B68" w:rsidRDefault="00000000">
      <w:pPr>
        <w:jc w:val="both"/>
      </w:pPr>
      <w:r>
        <w:t> </w:t>
      </w:r>
    </w:p>
    <w:p w14:paraId="5EEA8051" w14:textId="77777777" w:rsidR="00DB2B68" w:rsidRDefault="00000000">
      <w:pPr>
        <w:pStyle w:val="pheading"/>
      </w:pPr>
      <w:r>
        <w:t>DOCUMENTS DE RÉFÉRENCE</w:t>
      </w:r>
    </w:p>
    <w:p w14:paraId="65497C4A" w14:textId="77777777" w:rsidR="00DB2B68" w:rsidRDefault="00000000">
      <w:pPr>
        <w:pStyle w:val="pheading"/>
      </w:pPr>
      <w:r>
        <w:t>- Matériau</w:t>
      </w:r>
    </w:p>
    <w:p w14:paraId="4F320D0E" w14:textId="77777777" w:rsidR="00DB2B68" w:rsidRDefault="00000000">
      <w:r>
        <w:t>[NBN A 24-301, Produits sidérurgiques - Aciers pour béton armé - Barres, fils et treillis soudés - Généralités et prescriptions communes]</w:t>
      </w:r>
    </w:p>
    <w:p w14:paraId="4E2BBAAF" w14:textId="77777777" w:rsidR="00DB2B68" w:rsidRDefault="00000000">
      <w:r>
        <w:lastRenderedPageBreak/>
        <w:t>[NBN A 24-302, Produits sidérurgiques - Aciers pour béton armé - Barres lisses et barres à nervures - Fils machine lisses et fils machine à nervures]</w:t>
      </w:r>
    </w:p>
    <w:p w14:paraId="7EA5BB4A" w14:textId="77777777" w:rsidR="00DB2B68" w:rsidRDefault="00000000">
      <w:r>
        <w:t>[NBN A 24-303, Produits sidérurgiques - Aciers pour béton armé - Fils écrouis à froid lisses et fils écrouis à froid à nervures]</w:t>
      </w:r>
    </w:p>
    <w:p w14:paraId="370EFF6B" w14:textId="77777777" w:rsidR="00DB2B68" w:rsidRDefault="00000000">
      <w:r>
        <w:t>[NBN A 24-304, Produits sidérurgiques - Aciers pour béton armé - Treillis soudés]</w:t>
      </w:r>
    </w:p>
    <w:p w14:paraId="55697753" w14:textId="77777777" w:rsidR="00DB2B68" w:rsidRDefault="00000000">
      <w:r>
        <w:t>[NBN EN 10080, Aciers pour l'armature du béton - Aciers soudables pour béton armé - Généralités]</w:t>
      </w:r>
    </w:p>
    <w:p w14:paraId="4A13819F" w14:textId="77777777" w:rsidR="00DB2B68" w:rsidRDefault="00000000">
      <w:r>
        <w:t>[PTV 302, Aciers pour béton armé - barres à nervures ou à empreintes et fils à nervures ou à empreintes à haute ductilité]</w:t>
      </w:r>
    </w:p>
    <w:p w14:paraId="69607BC3" w14:textId="77777777" w:rsidR="00DB2B68" w:rsidRDefault="00000000">
      <w:r>
        <w:t>[PTV 303, Aciers pour béton armé - Fils écrouis à froid à nervures à basse ductilité]</w:t>
      </w:r>
    </w:p>
    <w:p w14:paraId="3578E13A" w14:textId="77777777" w:rsidR="00DB2B68" w:rsidRDefault="00000000">
      <w:r>
        <w:t>[PTV 304, Aciers pour béton armé - Treillis soudés]</w:t>
      </w:r>
    </w:p>
    <w:p w14:paraId="79652B6F" w14:textId="77777777" w:rsidR="00DB2B68" w:rsidRDefault="00000000">
      <w:r>
        <w:t>[PTV 307, Aciers pour béton armé - Barres à nervures - Profil alternatif (Révision 2).]</w:t>
      </w:r>
    </w:p>
    <w:p w14:paraId="39403876" w14:textId="77777777" w:rsidR="00DB2B68" w:rsidRDefault="00000000">
      <w:r>
        <w:t>[PTV 308, Aciers pour béton armé - Armatures assemblées sous forme de panneaux plans]</w:t>
      </w:r>
    </w:p>
    <w:p w14:paraId="6FC2D983" w14:textId="77777777" w:rsidR="00DB2B68" w:rsidRDefault="00000000">
      <w:r>
        <w:t>[NBN EN 1993 série, Eurocode 3 – Calcul des structures en acier]</w:t>
      </w:r>
    </w:p>
    <w:p w14:paraId="211F5DD8" w14:textId="77777777" w:rsidR="00DB2B68" w:rsidRDefault="00000000">
      <w:r>
        <w:t>[NBN EN 1996-1-1+A1, Eurocode 6 : Calcul des ouvrages en maçonnerie - Partie 1-1: Règles générales pour ouvrages en maçonnerie armée et non armée]</w:t>
      </w:r>
    </w:p>
    <w:p w14:paraId="4B5FE6A2" w14:textId="77777777" w:rsidR="00DB2B68" w:rsidRDefault="00000000">
      <w:pPr>
        <w:pStyle w:val="pheading"/>
      </w:pPr>
      <w:r>
        <w:t>- Exécution</w:t>
      </w:r>
    </w:p>
    <w:p w14:paraId="391FB369" w14:textId="77777777" w:rsidR="00DB2B68" w:rsidRDefault="00000000">
      <w:r>
        <w:t>[NBN EN 1992 série, Eurocode 2 : Calcul des structures en béton]</w:t>
      </w:r>
    </w:p>
    <w:p w14:paraId="1032A5D4" w14:textId="77777777" w:rsidR="00DB2B68" w:rsidRDefault="00000000">
      <w:r>
        <w:t>[NBN EN ISO 3766, Dessins de construction - Représentation simplifiée des armatures de béton (ISO 3766:2003) (+AC:2004)]</w:t>
      </w:r>
    </w:p>
    <w:p w14:paraId="021071F6" w14:textId="77777777" w:rsidR="00DB2B68" w:rsidRDefault="00000000">
      <w:r>
        <w:t>[NBN EN 13670, Exécution des structures en béton]</w:t>
      </w:r>
    </w:p>
    <w:p w14:paraId="4BF0A9D5" w14:textId="77777777" w:rsidR="00DB2B68" w:rsidRDefault="00000000">
      <w:r>
        <w:t>[NBN B 15-400, Exécution des structures en béton - Supplément national à la NBN EN 13670:2010]</w:t>
      </w:r>
    </w:p>
    <w:p w14:paraId="6AB02473" w14:textId="77777777" w:rsidR="00DB2B68" w:rsidRDefault="00000000">
      <w:r>
        <w:t>[NBN EN 1996-1-1+A1, Eurocode 6 : Calcul des ouvrages en maçonnerie - Partie 1-1: Règles générales pour ouvrages en maçonnerie armée et non armée]</w:t>
      </w:r>
    </w:p>
    <w:p w14:paraId="027338FB" w14:textId="77777777" w:rsidR="00DB2B68" w:rsidRDefault="00000000">
      <w:pPr>
        <w:pStyle w:val="pheading"/>
      </w:pPr>
      <w:r>
        <w:t>AIDE</w:t>
      </w:r>
    </w:p>
    <w:p w14:paraId="195DA990" w14:textId="77777777" w:rsidR="00DB2B68" w:rsidRDefault="00000000">
      <w:pPr>
        <w:jc w:val="both"/>
      </w:pPr>
      <w:r>
        <w:rPr>
          <w:u w:val="single"/>
        </w:rPr>
        <w:t>À l'attention de l'auteur de projet</w:t>
      </w:r>
    </w:p>
    <w:p w14:paraId="393EAB84" w14:textId="77777777" w:rsidR="00DB2B68" w:rsidRDefault="00000000">
      <w:pPr>
        <w:jc w:val="both"/>
      </w:pPr>
      <w:r>
        <w:t>Les essais ont démontré que la surcharge verticale admissible pour la maçonnerie armée est égale à la somme de la surcharge maximale admissible de la maçonnerie non armée et de celle de l'acier. Toutefois, il y a lieu de tenir compte des conditions suivantes :</w:t>
      </w:r>
    </w:p>
    <w:p w14:paraId="3446CC42" w14:textId="77777777" w:rsidR="00DB2B68" w:rsidRDefault="00000000">
      <w:pPr>
        <w:pStyle w:val="Author-eListParagraph"/>
        <w:numPr>
          <w:ilvl w:val="0"/>
          <w:numId w:val="294"/>
        </w:numPr>
      </w:pPr>
      <w:r>
        <w:t>le mortier de maçonnerie présente une résistance moyenne à la compression d'au moins 8 N/mm</w:t>
      </w:r>
      <w:r>
        <w:rPr>
          <w:vertAlign w:val="superscript"/>
        </w:rPr>
        <w:t>2</w:t>
      </w:r>
      <w:r>
        <w:t>.</w:t>
      </w:r>
    </w:p>
    <w:p w14:paraId="1B16C9A2" w14:textId="77777777" w:rsidR="00DB2B68" w:rsidRDefault="00000000">
      <w:pPr>
        <w:pStyle w:val="Author-eListParagraph"/>
        <w:numPr>
          <w:ilvl w:val="0"/>
          <w:numId w:val="294"/>
        </w:numPr>
      </w:pPr>
      <w:r>
        <w:t>la section du béton de remplissage est inférieure à 60 % de la section de la maçonnerie.</w:t>
      </w:r>
    </w:p>
    <w:p w14:paraId="54421488" w14:textId="77777777" w:rsidR="00DB2B68" w:rsidRDefault="00000000">
      <w:pPr>
        <w:jc w:val="both"/>
      </w:pPr>
      <w:r>
        <w:t>Pour plus d 'informations, consultez aussi :</w:t>
      </w:r>
    </w:p>
    <w:p w14:paraId="061A8698" w14:textId="77777777" w:rsidR="00DB2B68" w:rsidRDefault="00000000">
      <w:pPr>
        <w:jc w:val="both"/>
      </w:pPr>
      <w:r>
        <w:t>[Buildwise Article Revue (2001-01-21), Maçonnerie armée.1ère partie : matériaux et mise en œuvre. (Pratique).]</w:t>
      </w:r>
    </w:p>
    <w:p w14:paraId="42AA18E3" w14:textId="77777777" w:rsidR="00DB2B68" w:rsidRDefault="00000000">
      <w:pPr>
        <w:jc w:val="both"/>
      </w:pPr>
      <w:r>
        <w:t>[Buildwise Article Revue (2001-02-19), La maçonnerie armée. 2ème partie : applications et calcul. (Pratique).]</w:t>
      </w:r>
    </w:p>
    <w:p w14:paraId="128981A0" w14:textId="77777777" w:rsidR="00DB2B68" w:rsidRDefault="00000000">
      <w:pPr>
        <w:pStyle w:val="Author-eSectionHeading6Numberless"/>
      </w:pPr>
      <w:bookmarkStart w:id="360" w:name="_Toc220495470"/>
      <w:r>
        <w:t>21.41.2a Armatures verticales pour maçonneries en blocs de coffrage CCTB 01.07</w:t>
      </w:r>
      <w:bookmarkEnd w:id="360"/>
    </w:p>
    <w:p w14:paraId="403EA3B4" w14:textId="77777777" w:rsidR="00DB2B68" w:rsidRDefault="00000000">
      <w:pPr>
        <w:pStyle w:val="pheading"/>
      </w:pPr>
      <w:r>
        <w:t>DESCRIPTION</w:t>
      </w:r>
    </w:p>
    <w:p w14:paraId="3E1AFC4B" w14:textId="77777777" w:rsidR="00DB2B68" w:rsidRDefault="00000000">
      <w:pPr>
        <w:pStyle w:val="pheading"/>
      </w:pPr>
      <w:r>
        <w:t>- Définition / Comprend</w:t>
      </w:r>
    </w:p>
    <w:p w14:paraId="2C4DA329" w14:textId="77777777" w:rsidR="00DB2B68" w:rsidRDefault="00000000">
      <w:pPr>
        <w:jc w:val="both"/>
      </w:pPr>
      <w:r>
        <w:t xml:space="preserve">La portée des travaux est décrite dans l’élément </w:t>
      </w:r>
      <w:hyperlink w:anchor="358" w:history="1">
        <w:r>
          <w:rPr>
            <w:color w:val="0000EE"/>
          </w:rPr>
          <w:t>21.41.2 Armatures verticales pour maçonneries</w:t>
        </w:r>
      </w:hyperlink>
      <w:r>
        <w:t>.</w:t>
      </w:r>
    </w:p>
    <w:p w14:paraId="39793489" w14:textId="77777777" w:rsidR="00DB2B68" w:rsidRDefault="00000000">
      <w:pPr>
        <w:jc w:val="both"/>
      </w:pPr>
      <w:r>
        <w:t xml:space="preserve">Elle comprend notamment toutes les fournitures et prestations nécessaires à l'exécution des ferraillages, y compris le dressage, pliage, découpage, mise en place, calage, les crochets et les </w:t>
      </w:r>
      <w:r>
        <w:lastRenderedPageBreak/>
        <w:t>joints avec recouvrement et les ligatures en fil de fer recuit. Les chutes d'armatures, les ligatures, chaises et écarteurs ne sont pas portés en compte.</w:t>
      </w:r>
    </w:p>
    <w:p w14:paraId="79E14109" w14:textId="77777777" w:rsidR="00DB2B68" w:rsidRDefault="00000000">
      <w:pPr>
        <w:pStyle w:val="pheading"/>
      </w:pPr>
      <w:r>
        <w:t>- Localisation</w:t>
      </w:r>
    </w:p>
    <w:p w14:paraId="5188EB3B" w14:textId="77777777" w:rsidR="00DB2B68" w:rsidRDefault="00000000">
      <w:r>
        <w:t xml:space="preserve">Localisation des travaux : </w:t>
      </w:r>
      <w:r>
        <w:rPr>
          <w:rStyle w:val="optioncarChar"/>
        </w:rPr>
        <w:t>***</w:t>
      </w:r>
      <w:r>
        <w:t>.</w:t>
      </w:r>
    </w:p>
    <w:p w14:paraId="0CB5251B" w14:textId="77777777" w:rsidR="00DB2B68" w:rsidRDefault="00000000">
      <w:r>
        <w:t>Voir plans et métrés détaillés.</w:t>
      </w:r>
    </w:p>
    <w:p w14:paraId="1C5D3B27" w14:textId="77777777" w:rsidR="00DB2B68" w:rsidRDefault="00000000">
      <w:pPr>
        <w:pStyle w:val="pheading"/>
      </w:pPr>
      <w:r>
        <w:t>MATÉRIAUX</w:t>
      </w:r>
    </w:p>
    <w:p w14:paraId="3FB2FF71" w14:textId="77777777" w:rsidR="00DB2B68" w:rsidRDefault="00000000">
      <w:pPr>
        <w:pStyle w:val="pheading"/>
      </w:pPr>
      <w:r>
        <w:t>- Caractéristiques générales</w:t>
      </w:r>
    </w:p>
    <w:p w14:paraId="50FE5556" w14:textId="77777777" w:rsidR="00DB2B68" w:rsidRDefault="00000000">
      <w:pPr>
        <w:jc w:val="both"/>
      </w:pPr>
      <w:r>
        <w:t>Les armatures sont dimensionnées suivant l’application, la hauteur du mur, le type de charges en jeu et les autres contraintes éventuelles.</w:t>
      </w:r>
    </w:p>
    <w:p w14:paraId="481CA26D" w14:textId="77777777" w:rsidR="00DB2B68" w:rsidRDefault="00000000">
      <w:pPr>
        <w:jc w:val="both"/>
      </w:pPr>
      <w:r>
        <w:t xml:space="preserve">Le béton est décrit et comptabilisé séparément dans l’élément </w:t>
      </w:r>
      <w:hyperlink w:anchor="420" w:history="1">
        <w:r>
          <w:rPr>
            <w:color w:val="0000EE"/>
          </w:rPr>
          <w:t>22.16.1a Parois en béton armé coulé en place</w:t>
        </w:r>
      </w:hyperlink>
      <w:r>
        <w:t>. </w:t>
      </w:r>
    </w:p>
    <w:p w14:paraId="0D9015CE" w14:textId="77777777" w:rsidR="00DB2B68" w:rsidRDefault="00000000">
      <w:pPr>
        <w:pStyle w:val="pheading"/>
      </w:pPr>
      <w:r>
        <w:t>EXÉCUTION / MISE EN ŒUVRE</w:t>
      </w:r>
    </w:p>
    <w:p w14:paraId="6BA12A05" w14:textId="77777777" w:rsidR="00DB2B68" w:rsidRDefault="00000000">
      <w:pPr>
        <w:pStyle w:val="pheading"/>
      </w:pPr>
      <w:r>
        <w:t>- Prescriptions générales</w:t>
      </w:r>
    </w:p>
    <w:p w14:paraId="20D5E5C6" w14:textId="77777777" w:rsidR="00DB2B68" w:rsidRDefault="00000000">
      <w:pPr>
        <w:jc w:val="both"/>
      </w:pPr>
      <w:r>
        <w:t xml:space="preserve">L’étude et les plans d’exécution </w:t>
      </w:r>
      <w:r>
        <w:rPr>
          <w:rStyle w:val="optioncarChar"/>
        </w:rPr>
        <w:t>sont / ne sont pas</w:t>
      </w:r>
      <w:r>
        <w:t xml:space="preserve"> à charge de l’entreprise.</w:t>
      </w:r>
    </w:p>
    <w:p w14:paraId="48DC9C65" w14:textId="77777777" w:rsidR="00DB2B68" w:rsidRDefault="00000000">
      <w:pPr>
        <w:jc w:val="both"/>
      </w:pPr>
      <w:r>
        <w:t xml:space="preserve">La mise en œuvre des armatures suit les règles de la [NBN EN 1996-1-1+A1] et [NBN EN 1996-2] (Eurocode 6). La pose est réalisée conformément </w:t>
      </w:r>
      <w:r>
        <w:rPr>
          <w:rStyle w:val="optioncarChar"/>
        </w:rPr>
        <w:t>au plan de pose / aux instructions du fabricant de blocs</w:t>
      </w:r>
      <w:r>
        <w:t>.</w:t>
      </w:r>
    </w:p>
    <w:p w14:paraId="5268A2C3" w14:textId="77777777" w:rsidR="00DB2B68" w:rsidRDefault="00000000">
      <w:pPr>
        <w:jc w:val="both"/>
      </w:pPr>
      <w:r>
        <w:t xml:space="preserve">La hauteur de remplissage est limitée à </w:t>
      </w:r>
      <w:r>
        <w:rPr>
          <w:rStyle w:val="optioncarChar"/>
        </w:rPr>
        <w:t xml:space="preserve">1,6 m </w:t>
      </w:r>
      <w:r>
        <w:t>(par défaut)</w:t>
      </w:r>
      <w:r>
        <w:rPr>
          <w:rStyle w:val="optioncarChar"/>
        </w:rPr>
        <w:t xml:space="preserve"> / 2,4 m / ***</w:t>
      </w:r>
      <w:r>
        <w:t>.</w:t>
      </w:r>
    </w:p>
    <w:p w14:paraId="1338E50A" w14:textId="77777777" w:rsidR="00DB2B68" w:rsidRDefault="00000000">
      <w:pPr>
        <w:jc w:val="both"/>
      </w:pPr>
      <w:r>
        <w:t xml:space="preserve"> Une fois la hauteur de bétonnage voulue atteinte, les barres verticales sont glissées jusqu’au pied du mur, entre les barres horizontales en quinconce.</w:t>
      </w:r>
    </w:p>
    <w:p w14:paraId="08B76E14" w14:textId="77777777" w:rsidR="00DB2B68" w:rsidRDefault="00000000">
      <w:pPr>
        <w:jc w:val="both"/>
      </w:pPr>
      <w:r>
        <w:t>Le béton est ensuite pompé via une réduction flexible (80 mm par exemple) en préservant les assises inférieures et en évitant les éclaboussures : il est préférable de viser les parois transversales de l’avant-dernier lit.</w:t>
      </w:r>
    </w:p>
    <w:p w14:paraId="0006A6A6" w14:textId="77777777" w:rsidR="00DB2B68" w:rsidRDefault="00000000">
      <w:pPr>
        <w:jc w:val="both"/>
      </w:pPr>
      <w:r>
        <w:t xml:space="preserve"> S’agissant d’un mur armé, la vibration du béton (au moyen d’une aiguille de 40 mm) est absolument nécessaire, en descendant bien jusqu’à la base du mur, en temporisant 1 ou 2 secondes en bas du mur sans trop insister (perte d’homogénéité du béton) avant de remonter l’aiguille à son aise.</w:t>
      </w:r>
    </w:p>
    <w:p w14:paraId="1A33D652" w14:textId="77777777" w:rsidR="00DB2B68" w:rsidRDefault="00000000">
      <w:pPr>
        <w:jc w:val="both"/>
      </w:pPr>
      <w:r>
        <w:t xml:space="preserve">La mise en œuvre du béton est décrite et comptabilisée séparément dans l’élément </w:t>
      </w:r>
      <w:hyperlink w:anchor="420" w:history="1">
        <w:r>
          <w:rPr>
            <w:color w:val="0000EE"/>
          </w:rPr>
          <w:t>22.16.1a Parois en béton armé coulé en place</w:t>
        </w:r>
      </w:hyperlink>
      <w:r>
        <w:t>.</w:t>
      </w:r>
    </w:p>
    <w:p w14:paraId="51B1BB1E" w14:textId="77777777" w:rsidR="00DB2B68" w:rsidRDefault="00000000">
      <w:pPr>
        <w:pStyle w:val="pheading"/>
      </w:pPr>
      <w:r>
        <w:t>DOCUMENTS DE RÉFÉRENCE COMPLÉMENTAIRES</w:t>
      </w:r>
    </w:p>
    <w:p w14:paraId="2A643F4A" w14:textId="77777777" w:rsidR="00DB2B68" w:rsidRDefault="00000000">
      <w:pPr>
        <w:pStyle w:val="pheading"/>
      </w:pPr>
      <w:r>
        <w:t>- Exécution</w:t>
      </w:r>
    </w:p>
    <w:p w14:paraId="62DCD5E5" w14:textId="77777777" w:rsidR="00DB2B68" w:rsidRDefault="00000000">
      <w:r>
        <w:t>[NBN EN 1996-1-1+A1, Eurocode 6 : Calcul des ouvrages en maçonnerie - Partie 1-1: Règles générales pour ouvrages en maçonnerie armée et non armée]</w:t>
      </w:r>
    </w:p>
    <w:p w14:paraId="4D068E21" w14:textId="77777777" w:rsidR="00DB2B68" w:rsidRDefault="00000000">
      <w:r>
        <w:t>[NBN EN 1996-2, Eurocode 6 - Calcul des ouvrages en maçonnerie - Partie 2: Conception, choix des matériaux et mise en oeuvre des maçonneries (+ AC:2009)]</w:t>
      </w:r>
    </w:p>
    <w:p w14:paraId="0F875CF6" w14:textId="77777777" w:rsidR="00DB2B68" w:rsidRDefault="00000000">
      <w:pPr>
        <w:pStyle w:val="pheading"/>
      </w:pPr>
      <w:r>
        <w:t>MESURAGE</w:t>
      </w:r>
    </w:p>
    <w:p w14:paraId="5705FC18" w14:textId="77777777" w:rsidR="00DB2B68" w:rsidRDefault="00000000">
      <w:pPr>
        <w:pStyle w:val="pheading"/>
      </w:pPr>
      <w:r>
        <w:t>- unité de mesure:</w:t>
      </w:r>
    </w:p>
    <w:p w14:paraId="1BA4FD70" w14:textId="77777777" w:rsidR="00DB2B68" w:rsidRDefault="00000000">
      <w:r>
        <w:rPr>
          <w:rStyle w:val="optioncarChar"/>
        </w:rPr>
        <w:t>kg</w:t>
      </w:r>
      <w:r>
        <w:t xml:space="preserve"> (par défaut)</w:t>
      </w:r>
    </w:p>
    <w:p w14:paraId="239B6790" w14:textId="77777777" w:rsidR="00DB2B68" w:rsidRDefault="00000000">
      <w:pPr>
        <w:pStyle w:val="pheading"/>
      </w:pPr>
      <w:r>
        <w:t>- code de mesurage:</w:t>
      </w:r>
    </w:p>
    <w:p w14:paraId="1BE0C9CB" w14:textId="77777777" w:rsidR="00DB2B68" w:rsidRDefault="00000000">
      <w:pPr>
        <w:jc w:val="both"/>
      </w:pPr>
      <w:r>
        <w:rPr>
          <w:u w:val="single"/>
        </w:rPr>
        <w:t>Masse:</w:t>
      </w:r>
      <w:r>
        <w:t xml:space="preserve"> Les aciers sont mesurés et payés au kg en fonction de la nuance d'acier. La masse volumique est fixée à 7 850 kg/m³.</w:t>
      </w:r>
    </w:p>
    <w:p w14:paraId="19AA395B" w14:textId="77777777" w:rsidR="00DB2B68" w:rsidRDefault="00000000">
      <w:pPr>
        <w:jc w:val="both"/>
      </w:pPr>
      <w:r>
        <w:t xml:space="preserve"> 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w:t>
      </w:r>
      <w:r>
        <w:lastRenderedPageBreak/>
        <w:t>treillis de surface inférieure à 5 x 2 m² ne sont pris en compte si le fait de recourir à des barres ou treillis plus petits résulte du choix de l'entrepreneur.</w:t>
      </w:r>
    </w:p>
    <w:p w14:paraId="32670BE9" w14:textId="77777777" w:rsidR="00DB2B68" w:rsidRDefault="00000000">
      <w:pPr>
        <w:pStyle w:val="pheading"/>
      </w:pPr>
      <w:r>
        <w:t>- nature du marché:</w:t>
      </w:r>
    </w:p>
    <w:p w14:paraId="3640B7CC" w14:textId="77777777" w:rsidR="00DB2B68" w:rsidRDefault="00000000">
      <w:r>
        <w:rPr>
          <w:rStyle w:val="optioncarChar"/>
        </w:rPr>
        <w:t>QF</w:t>
      </w:r>
      <w:r>
        <w:t xml:space="preserve"> (par défaut)</w:t>
      </w:r>
      <w:r>
        <w:rPr>
          <w:rStyle w:val="optioncarChar"/>
        </w:rPr>
        <w:t xml:space="preserve"> / QP</w:t>
      </w:r>
    </w:p>
    <w:p w14:paraId="6BD7D1E4" w14:textId="77777777" w:rsidR="00DB2B68" w:rsidRDefault="00000000">
      <w:pPr>
        <w:pStyle w:val="Author-eSectionHeading6Numberless"/>
      </w:pPr>
      <w:bookmarkStart w:id="361" w:name="_Toc220495471"/>
      <w:r>
        <w:t>21.41.2b Armatures verticales pour maçonneries en blocs creux CCTB 01.07</w:t>
      </w:r>
      <w:bookmarkEnd w:id="361"/>
    </w:p>
    <w:p w14:paraId="519C0E4A" w14:textId="77777777" w:rsidR="00DB2B68" w:rsidRDefault="00000000">
      <w:pPr>
        <w:pStyle w:val="pheading"/>
      </w:pPr>
      <w:r>
        <w:t>DESCRIPTION</w:t>
      </w:r>
    </w:p>
    <w:p w14:paraId="6ADD0D77" w14:textId="77777777" w:rsidR="00DB2B68" w:rsidRDefault="00000000">
      <w:pPr>
        <w:pStyle w:val="pheading"/>
      </w:pPr>
      <w:r>
        <w:t>- Définition / Comprend</w:t>
      </w:r>
    </w:p>
    <w:p w14:paraId="3D5A6D3D" w14:textId="77777777" w:rsidR="00DB2B68" w:rsidRDefault="00000000">
      <w:pPr>
        <w:jc w:val="both"/>
      </w:pPr>
      <w:r>
        <w:t xml:space="preserve">Il s’agit de la fourniture et la pose d’armatures verticales pour maçonneries en blocs creux. La portée des travaux est décrite dans l’élément </w:t>
      </w:r>
      <w:hyperlink w:anchor="358" w:history="1">
        <w:r>
          <w:rPr>
            <w:color w:val="0000EE"/>
          </w:rPr>
          <w:t>21.41.2 Armatures verticales pour maçonneries</w:t>
        </w:r>
      </w:hyperlink>
      <w:r>
        <w:t>.</w:t>
      </w:r>
    </w:p>
    <w:p w14:paraId="511DA349" w14:textId="77777777" w:rsidR="00DB2B68" w:rsidRDefault="00000000">
      <w:pPr>
        <w:jc w:val="both"/>
      </w:pPr>
      <w:r>
        <w:t>Elle comprend notamment toutes les fournitures et prestations nécessaires à l'exécution des ferraillages, y compris le dressage, pliage, découpage, mise en place, calage, les crochets et les joints avec recouvrement et les ligatures en fil de fer recuit.</w:t>
      </w:r>
    </w:p>
    <w:p w14:paraId="790E1776" w14:textId="77777777" w:rsidR="00DB2B68" w:rsidRDefault="00000000">
      <w:pPr>
        <w:pStyle w:val="pheading"/>
      </w:pPr>
      <w:r>
        <w:t>- Localisation</w:t>
      </w:r>
    </w:p>
    <w:p w14:paraId="2CA6F1F2" w14:textId="77777777" w:rsidR="00DB2B68" w:rsidRDefault="00000000">
      <w:r>
        <w:t xml:space="preserve">Localisation des travaux : </w:t>
      </w:r>
      <w:r>
        <w:rPr>
          <w:rStyle w:val="optioncarChar"/>
        </w:rPr>
        <w:t>***</w:t>
      </w:r>
      <w:r>
        <w:t>.</w:t>
      </w:r>
    </w:p>
    <w:p w14:paraId="1B9C8FEE" w14:textId="77777777" w:rsidR="00DB2B68" w:rsidRDefault="00000000">
      <w:r>
        <w:t>Voir plans et métrés détaillés.</w:t>
      </w:r>
    </w:p>
    <w:p w14:paraId="604A6E15" w14:textId="77777777" w:rsidR="00DB2B68" w:rsidRDefault="00000000">
      <w:pPr>
        <w:pStyle w:val="pheading"/>
      </w:pPr>
      <w:r>
        <w:t>MATÉRIAUX</w:t>
      </w:r>
    </w:p>
    <w:p w14:paraId="226E068E" w14:textId="77777777" w:rsidR="00DB2B68" w:rsidRDefault="00000000">
      <w:pPr>
        <w:pStyle w:val="pheading"/>
      </w:pPr>
      <w:r>
        <w:t>- Caractéristiques générales</w:t>
      </w:r>
    </w:p>
    <w:p w14:paraId="71FE30C7" w14:textId="77777777" w:rsidR="00DB2B68" w:rsidRDefault="00000000">
      <w:r>
        <w:t xml:space="preserve">Le béton est décrit et comptabilisé séparément dans l’élément </w:t>
      </w:r>
      <w:hyperlink w:anchor="179" w:history="1">
        <w:r>
          <w:rPr>
            <w:color w:val="0000EE"/>
          </w:rPr>
          <w:t>22.14.1a Colonnes en béton armé coulé en place</w:t>
        </w:r>
      </w:hyperlink>
      <w:r>
        <w:t>.</w:t>
      </w:r>
    </w:p>
    <w:p w14:paraId="3FA22F2A" w14:textId="77777777" w:rsidR="00DB2B68" w:rsidRDefault="00000000">
      <w:pPr>
        <w:pStyle w:val="pheading"/>
      </w:pPr>
      <w:r>
        <w:t>EXÉCUTION / MISE EN ŒUVRE</w:t>
      </w:r>
    </w:p>
    <w:p w14:paraId="4BF83540" w14:textId="77777777" w:rsidR="00DB2B68" w:rsidRDefault="00000000">
      <w:pPr>
        <w:pStyle w:val="pheading"/>
      </w:pPr>
      <w:r>
        <w:t>- Prescriptions générales</w:t>
      </w:r>
    </w:p>
    <w:p w14:paraId="0C1FADAC" w14:textId="77777777" w:rsidR="00DB2B68" w:rsidRDefault="00000000">
      <w:pPr>
        <w:jc w:val="both"/>
      </w:pPr>
      <w:r>
        <w:t>L’étude et les plans d’exécution</w:t>
      </w:r>
      <w:r>
        <w:rPr>
          <w:rStyle w:val="optioncarChar"/>
        </w:rPr>
        <w:t xml:space="preserve"> sont / ne sont pas</w:t>
      </w:r>
      <w:r>
        <w:t xml:space="preserve"> à charge de l’entreprise.</w:t>
      </w:r>
    </w:p>
    <w:p w14:paraId="365655A9" w14:textId="77777777" w:rsidR="00DB2B68" w:rsidRDefault="00000000">
      <w:pPr>
        <w:jc w:val="both"/>
      </w:pPr>
      <w:r>
        <w:t xml:space="preserve">La mise en œuvre des armatures suit les règles des [NBN EN 1996-1-1+A1] et [NBN EN 1996-2] (Eurocode 6). La pose est réalisée </w:t>
      </w:r>
      <w:r>
        <w:rPr>
          <w:rStyle w:val="optioncarChar"/>
        </w:rPr>
        <w:t xml:space="preserve">de manière à respecter l'alignement des alvéoles à armer entre les lignes de blocs </w:t>
      </w:r>
      <w:r>
        <w:t xml:space="preserve">(par défaut) </w:t>
      </w:r>
      <w:r>
        <w:rPr>
          <w:rStyle w:val="optioncarChar"/>
        </w:rPr>
        <w:t>/ conformément au plan de pose,</w:t>
      </w:r>
      <w:r>
        <w:t xml:space="preserve"> en outre les instructions du fabricant de blocs sont à respecter. Les armatures des chainages verticaux sont mises en place en suivant la progression des travaux de maçonnerie.</w:t>
      </w:r>
    </w:p>
    <w:p w14:paraId="2920F463" w14:textId="77777777" w:rsidR="00DB2B68" w:rsidRDefault="00000000">
      <w:pPr>
        <w:jc w:val="both"/>
      </w:pPr>
      <w:r>
        <w:t xml:space="preserve">La maçonnerie est réalisée d’une manière générale conformément à l’élément </w:t>
      </w:r>
      <w:hyperlink w:anchor="294" w:history="1">
        <w:r>
          <w:rPr>
            <w:color w:val="0000EE"/>
          </w:rPr>
          <w:t>21.1 Maçonneries portantes</w:t>
        </w:r>
      </w:hyperlink>
      <w:r>
        <w:t xml:space="preserve"> et sa mise en œuvre est décrite et comptabilisée dans les éléments parents correspondant.</w:t>
      </w:r>
    </w:p>
    <w:p w14:paraId="704C3215" w14:textId="77777777" w:rsidR="00DB2B68" w:rsidRDefault="00000000">
      <w:pPr>
        <w:jc w:val="both"/>
      </w:pPr>
      <w:r>
        <w:t>Les blocs disposent ou ne disposent pas d’alvéoles traversantes destinés à créer le coffrage perdu.</w:t>
      </w:r>
    </w:p>
    <w:p w14:paraId="362A51B5" w14:textId="77777777" w:rsidR="00DB2B68" w:rsidRDefault="00000000">
      <w:pPr>
        <w:jc w:val="both"/>
      </w:pPr>
      <w:r>
        <w:t>Lorsque les alvéoles ne sont pas traversantes, elles sont rendues traversantes en perçant la tête du bloc sur une surface minimale déterminée. Surface minimale de la percée afin d’assurer l’écartement des armatures :</w:t>
      </w:r>
      <w:r>
        <w:rPr>
          <w:rStyle w:val="optioncarChar"/>
        </w:rPr>
        <w:t xml:space="preserve"> 5 cm </w:t>
      </w:r>
      <w:r>
        <w:t xml:space="preserve">(par défaut) </w:t>
      </w:r>
      <w:r>
        <w:rPr>
          <w:rStyle w:val="optioncarChar"/>
        </w:rPr>
        <w:t>/ ***</w:t>
      </w:r>
      <w:r>
        <w:t xml:space="preserve"> de diamètre.</w:t>
      </w:r>
    </w:p>
    <w:p w14:paraId="108D4CD2" w14:textId="77777777" w:rsidR="00DB2B68" w:rsidRDefault="00000000">
      <w:pPr>
        <w:jc w:val="both"/>
      </w:pPr>
      <w:r>
        <w:t>Les blocs sont enfilés, à l’envers dans le cas de blocs percés décrits ci-avant, le long des armatures en attente afin de permettre un remplissage optimal par le béton.</w:t>
      </w:r>
    </w:p>
    <w:p w14:paraId="17C8D362" w14:textId="77777777" w:rsidR="00DB2B68" w:rsidRDefault="00000000">
      <w:pPr>
        <w:jc w:val="both"/>
      </w:pPr>
      <w:r>
        <w:t xml:space="preserve">L’entrepreneur assure la continuité de la réservation (alignement des alvéoles entre elles). Le plan d’appareillage est </w:t>
      </w:r>
      <w:r>
        <w:rPr>
          <w:rStyle w:val="optioncarChar"/>
        </w:rPr>
        <w:t>à soumettre par l’entrepreneur à l’approbation de la direction de chantier</w:t>
      </w:r>
      <w:r>
        <w:t xml:space="preserve"> (par défaut)</w:t>
      </w:r>
      <w:r>
        <w:rPr>
          <w:rStyle w:val="optioncarChar"/>
        </w:rPr>
        <w:t xml:space="preserve"> / à fournir par la direction de chantier</w:t>
      </w:r>
      <w:r>
        <w:t>.</w:t>
      </w:r>
    </w:p>
    <w:p w14:paraId="0E6207D5" w14:textId="77777777" w:rsidR="00DB2B68" w:rsidRDefault="00000000">
      <w:pPr>
        <w:jc w:val="both"/>
      </w:pPr>
      <w:r>
        <w:t>Le bétonnage est réalisé par lit de pose. S’agissant d’un mur armé, la vibration du béton est absolument nécessaire, lit de pose par lit de pose.</w:t>
      </w:r>
    </w:p>
    <w:p w14:paraId="61D336D1" w14:textId="77777777" w:rsidR="00DB2B68" w:rsidRDefault="00000000">
      <w:pPr>
        <w:jc w:val="both"/>
      </w:pPr>
      <w:r>
        <w:t xml:space="preserve">La mise en œuvre du béton est décrite et comptabilisée séparément dans l’élément </w:t>
      </w:r>
      <w:hyperlink w:anchor="179" w:history="1">
        <w:r>
          <w:rPr>
            <w:color w:val="0000EE"/>
          </w:rPr>
          <w:t>22.14.1a Colonnes en béton armé coulé en place</w:t>
        </w:r>
      </w:hyperlink>
      <w:r>
        <w:t>.</w:t>
      </w:r>
    </w:p>
    <w:p w14:paraId="7EEAD1DB" w14:textId="77777777" w:rsidR="00DB2B68" w:rsidRDefault="00000000">
      <w:pPr>
        <w:pStyle w:val="pheading"/>
      </w:pPr>
      <w:r>
        <w:t>DOCUMENTS DE RÉFÉRENCE COMPLÉMENTAIRES</w:t>
      </w:r>
    </w:p>
    <w:p w14:paraId="1181A7E9" w14:textId="77777777" w:rsidR="00DB2B68" w:rsidRDefault="00000000">
      <w:pPr>
        <w:pStyle w:val="pheading"/>
      </w:pPr>
      <w:r>
        <w:lastRenderedPageBreak/>
        <w:t>- Exécution</w:t>
      </w:r>
    </w:p>
    <w:p w14:paraId="3613581B" w14:textId="77777777" w:rsidR="00DB2B68" w:rsidRDefault="00000000">
      <w:r>
        <w:t>[NBN EN 1996-1-1+A1, Eurocode 6 : Calcul des ouvrages en maçonnerie - Partie 1-1: Règles générales pour ouvrages en maçonnerie armée et non armée]</w:t>
      </w:r>
    </w:p>
    <w:p w14:paraId="1F27E212" w14:textId="77777777" w:rsidR="00DB2B68" w:rsidRDefault="00000000">
      <w:r>
        <w:t>[NBN EN 1996-2, Eurocode 6 - Calcul des ouvrages en maçonnerie - Partie 2: Conception, choix des matériaux et mise en oeuvre des maçonneries (+ AC:2009)]</w:t>
      </w:r>
    </w:p>
    <w:p w14:paraId="58189358" w14:textId="77777777" w:rsidR="00DB2B68" w:rsidRDefault="00000000">
      <w:pPr>
        <w:pStyle w:val="pheading"/>
      </w:pPr>
      <w:r>
        <w:t>MESURAGE</w:t>
      </w:r>
    </w:p>
    <w:p w14:paraId="41D989C2" w14:textId="77777777" w:rsidR="00DB2B68" w:rsidRDefault="00000000">
      <w:pPr>
        <w:pStyle w:val="pheading"/>
      </w:pPr>
      <w:r>
        <w:t>- unité de mesure:</w:t>
      </w:r>
    </w:p>
    <w:p w14:paraId="5186BBCE" w14:textId="77777777" w:rsidR="00DB2B68" w:rsidRDefault="00000000">
      <w:r>
        <w:t>kg</w:t>
      </w:r>
    </w:p>
    <w:p w14:paraId="38DFAFFE" w14:textId="77777777" w:rsidR="00DB2B68" w:rsidRDefault="00000000">
      <w:pPr>
        <w:pStyle w:val="pheading"/>
      </w:pPr>
      <w:r>
        <w:t>- code de mesurage:</w:t>
      </w:r>
    </w:p>
    <w:p w14:paraId="786F7B29" w14:textId="77777777" w:rsidR="00DB2B68" w:rsidRDefault="00000000">
      <w:pPr>
        <w:jc w:val="both"/>
      </w:pPr>
      <w:r>
        <w:t>Masse nette de l’acier ; les aciers sont mesurés et payés au kg en fonction de la nuance d'acier. La masse volumique est fixée à 7 850 kg/m³.</w:t>
      </w:r>
    </w:p>
    <w:p w14:paraId="67D4D691" w14:textId="77777777" w:rsidR="00DB2B68" w:rsidRDefault="00000000">
      <w:pPr>
        <w:jc w:val="both"/>
      </w:pPr>
      <w:r>
        <w:t xml:space="preserve"> 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p>
    <w:p w14:paraId="6B38707C" w14:textId="77777777" w:rsidR="00DB2B68" w:rsidRDefault="00000000">
      <w:pPr>
        <w:pStyle w:val="pheading"/>
      </w:pPr>
      <w:r>
        <w:t>- nature du marché:</w:t>
      </w:r>
    </w:p>
    <w:p w14:paraId="6F402FE4" w14:textId="77777777" w:rsidR="00DB2B68" w:rsidRDefault="00000000">
      <w:r>
        <w:rPr>
          <w:rStyle w:val="optioncarChar"/>
        </w:rPr>
        <w:t>QF</w:t>
      </w:r>
      <w:r>
        <w:t xml:space="preserve"> (par défaut) </w:t>
      </w:r>
      <w:r>
        <w:rPr>
          <w:rStyle w:val="optioncarChar"/>
        </w:rPr>
        <w:t>/ QP</w:t>
      </w:r>
    </w:p>
    <w:p w14:paraId="0C7A3EEF" w14:textId="77777777" w:rsidR="00DB2B68" w:rsidRDefault="00000000">
      <w:r>
        <w:rPr>
          <w:b/>
          <w:i/>
        </w:rPr>
        <w:t>(Soit par défaut)</w:t>
      </w:r>
    </w:p>
    <w:p w14:paraId="48CD091A" w14:textId="77777777" w:rsidR="00DB2B68" w:rsidRDefault="00000000">
      <w:r>
        <w:rPr>
          <w:rStyle w:val="soitChar"/>
        </w:rPr>
        <w:t>1. QF</w:t>
      </w:r>
    </w:p>
    <w:p w14:paraId="7CE2FFB6" w14:textId="77777777" w:rsidR="00DB2B68" w:rsidRDefault="00000000">
      <w:r>
        <w:rPr>
          <w:b/>
          <w:i/>
        </w:rPr>
        <w:t>(Soit)</w:t>
      </w:r>
    </w:p>
    <w:p w14:paraId="2B78DE15" w14:textId="77777777" w:rsidR="00DB2B68" w:rsidRDefault="00000000">
      <w:r>
        <w:rPr>
          <w:rStyle w:val="soitChar"/>
        </w:rPr>
        <w:t>2. QP</w:t>
      </w:r>
    </w:p>
    <w:p w14:paraId="56EC93EF" w14:textId="77777777" w:rsidR="00DB2B68" w:rsidRDefault="00000000">
      <w:pPr>
        <w:pStyle w:val="Author-eSectionHeading6Numberless"/>
      </w:pPr>
      <w:bookmarkStart w:id="362" w:name="_Toc220495472"/>
      <w:r>
        <w:t>21.41.2c Armatures verticales pour maçonneries en briques creuses CCTB 01.02</w:t>
      </w:r>
      <w:bookmarkEnd w:id="362"/>
    </w:p>
    <w:p w14:paraId="4CF41C87" w14:textId="77777777" w:rsidR="00DB2B68" w:rsidRDefault="00000000">
      <w:pPr>
        <w:pStyle w:val="Author-eSectionHeading5Numberless"/>
      </w:pPr>
      <w:bookmarkStart w:id="363" w:name="_Toc220495473"/>
      <w:r>
        <w:t>21.41.3 Etriers supports de poutres et poutrelles CCTB 01.02</w:t>
      </w:r>
      <w:bookmarkEnd w:id="363"/>
    </w:p>
    <w:p w14:paraId="4BF745AD" w14:textId="77777777" w:rsidR="00DB2B68" w:rsidRDefault="00000000">
      <w:pPr>
        <w:pStyle w:val="Author-eSectionHeading6Numberless"/>
      </w:pPr>
      <w:bookmarkStart w:id="364" w:name="_Toc220495474"/>
      <w:r>
        <w:t>21.41.3a Etriers supports de poutres et poutrelles CCTB 01.02</w:t>
      </w:r>
      <w:bookmarkEnd w:id="364"/>
    </w:p>
    <w:p w14:paraId="6838E77F" w14:textId="77777777" w:rsidR="00DB2B68" w:rsidRDefault="00000000">
      <w:pPr>
        <w:pStyle w:val="Author-eSectionHeading4Numberless"/>
      </w:pPr>
      <w:bookmarkStart w:id="365" w:name="_Toc220495475"/>
      <w:r>
        <w:t>21.42 Ancrages et fixations de maçonneries CCTB 01.02</w:t>
      </w:r>
      <w:bookmarkEnd w:id="365"/>
    </w:p>
    <w:p w14:paraId="6A15D152" w14:textId="77777777" w:rsidR="00DB2B68" w:rsidRDefault="00000000">
      <w:pPr>
        <w:pStyle w:val="Author-eSectionHeading5Numberless"/>
      </w:pPr>
      <w:bookmarkStart w:id="366" w:name="364"/>
      <w:bookmarkStart w:id="367" w:name="_Toc220495476"/>
      <w:bookmarkEnd w:id="366"/>
      <w:r>
        <w:t>21.42.1 Crochets, tirants et pattes d'ancrages de maçonneries CCTB 01.12</w:t>
      </w:r>
      <w:bookmarkEnd w:id="367"/>
    </w:p>
    <w:p w14:paraId="620C1CFD" w14:textId="77777777" w:rsidR="00DB2B68" w:rsidRDefault="00000000">
      <w:pPr>
        <w:pStyle w:val="pheading"/>
      </w:pPr>
      <w:bookmarkStart w:id="368" w:name="365"/>
      <w:bookmarkEnd w:id="368"/>
      <w:r>
        <w:t>DESCRIPTION</w:t>
      </w:r>
    </w:p>
    <w:p w14:paraId="05C10CD3" w14:textId="77777777" w:rsidR="00DB2B68" w:rsidRDefault="00000000">
      <w:pPr>
        <w:pStyle w:val="pheading"/>
      </w:pPr>
      <w:r>
        <w:t>- Définition / Comprend</w:t>
      </w:r>
    </w:p>
    <w:p w14:paraId="5A15B83E" w14:textId="77777777" w:rsidR="00DB2B68" w:rsidRDefault="00000000">
      <w:pPr>
        <w:jc w:val="both"/>
      </w:pPr>
      <w:r>
        <w:t>Il s’agit de la fourniture et la pose des crochets, tirants et pattes d’ancrage de maçonnerie, aussi appelés attaches murales. Une attache murale est un dispositif capable de transférer des charges entre des parois en maçonnerie ou entre la maçonnerie et d’autres structures, pour limiter leur mouvement relatif dans un seul plan ou dans plusieurs plans, selon le cas. Les attaches murales doivent être désignées comme étant symétriques ou asymétriques, et horizontales, inclinables ou mobiles.</w:t>
      </w:r>
    </w:p>
    <w:p w14:paraId="0E4A0834" w14:textId="77777777" w:rsidR="00DB2B68" w:rsidRDefault="00000000">
      <w:pPr>
        <w:pStyle w:val="pheading"/>
      </w:pPr>
      <w:r>
        <w:t>MATÉRIAUX</w:t>
      </w:r>
    </w:p>
    <w:p w14:paraId="49297906" w14:textId="77777777" w:rsidR="00DB2B68" w:rsidRDefault="00000000">
      <w:pPr>
        <w:jc w:val="both"/>
      </w:pPr>
      <w:r>
        <w:t>Les crochets, tirants et pattes d’ancrage de maçonnerie – aussi appelés attaches murales - répondent aux spécifications de la norme [NBN EN 845-1:2013+A1]. Le matériau constitutif (système de protection anticorrosion) est référencé normativement (voir tableau ci-dessous). En fonction de la référence normative du matériau, les attaches peuvent être couvertes d’une couche de galvanisation (différentes épaisseurs) et/ou d’un revêtement organique pour offrir une résistance à la corrosion.</w:t>
      </w:r>
    </w:p>
    <w:p w14:paraId="5714B59E" w14:textId="77777777" w:rsidR="00DB2B68" w:rsidRDefault="00000000">
      <w:pPr>
        <w:jc w:val="both"/>
      </w:pPr>
      <w:r>
        <w:lastRenderedPageBreak/>
        <w:t>Le choix de la référence normative du matériau doit être réalisé conformément à la [NBN EN 1996-2] en fonction de la classe d’exposition de la maçonnerie.</w:t>
      </w:r>
    </w:p>
    <w:p w14:paraId="50885174" w14:textId="77777777" w:rsidR="00DB2B68" w:rsidRDefault="00000000">
      <w:pPr>
        <w:jc w:val="both"/>
      </w:pPr>
      <w:r>
        <w:t>Tableau : Recommandation (1) quant au système de protection anticorrosion pour les attaches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DB2B68" w14:paraId="5D37D5BB" w14:textId="77777777">
        <w:tc>
          <w:tcPr>
            <w:tcW w:w="6720" w:type="dxa"/>
            <w:gridSpan w:val="2"/>
            <w:noWrap/>
          </w:tcPr>
          <w:p w14:paraId="18A9ADED" w14:textId="77777777" w:rsidR="00DB2B68" w:rsidRDefault="00000000">
            <w:pPr>
              <w:jc w:val="center"/>
            </w:pPr>
            <w:r>
              <w:rPr>
                <w:b/>
              </w:rPr>
              <w:t>Matériau</w:t>
            </w:r>
          </w:p>
        </w:tc>
        <w:tc>
          <w:tcPr>
            <w:tcW w:w="2280" w:type="dxa"/>
            <w:gridSpan w:val="4"/>
            <w:noWrap/>
          </w:tcPr>
          <w:p w14:paraId="40822E52" w14:textId="77777777" w:rsidR="00DB2B68" w:rsidRDefault="00000000">
            <w:pPr>
              <w:jc w:val="center"/>
            </w:pPr>
            <w:r>
              <w:rPr>
                <w:b/>
              </w:rPr>
              <w:t>Classe d’exposition (</w:t>
            </w:r>
            <w:r>
              <w:rPr>
                <w:b/>
                <w:vertAlign w:val="superscript"/>
              </w:rPr>
              <w:t>3</w:t>
            </w:r>
            <w:r>
              <w:rPr>
                <w:b/>
              </w:rPr>
              <w:t>)</w:t>
            </w:r>
          </w:p>
        </w:tc>
      </w:tr>
      <w:tr w:rsidR="00DB2B68" w14:paraId="3F71A0F9" w14:textId="77777777">
        <w:tc>
          <w:tcPr>
            <w:tcW w:w="5655" w:type="dxa"/>
            <w:noWrap/>
          </w:tcPr>
          <w:p w14:paraId="420F4DE3" w14:textId="77777777" w:rsidR="00DB2B68" w:rsidRDefault="00000000">
            <w:pPr>
              <w:jc w:val="center"/>
            </w:pPr>
            <w:r>
              <w:t>Spécification (</w:t>
            </w:r>
            <w:r>
              <w:rPr>
                <w:vertAlign w:val="superscript"/>
              </w:rPr>
              <w:t>2</w:t>
            </w:r>
            <w:r>
              <w:t>) du matériau et du revêtement correspondant au numéro de référence</w:t>
            </w:r>
          </w:p>
        </w:tc>
        <w:tc>
          <w:tcPr>
            <w:tcW w:w="1065" w:type="dxa"/>
            <w:noWrap/>
          </w:tcPr>
          <w:p w14:paraId="602BC6F8" w14:textId="77777777" w:rsidR="00DB2B68" w:rsidRDefault="00000000">
            <w:pPr>
              <w:jc w:val="center"/>
            </w:pPr>
            <w:r>
              <w:rPr>
                <w:b/>
              </w:rPr>
              <w:t>N° de référence</w:t>
            </w:r>
          </w:p>
        </w:tc>
        <w:tc>
          <w:tcPr>
            <w:tcW w:w="570" w:type="dxa"/>
            <w:noWrap/>
          </w:tcPr>
          <w:p w14:paraId="0A7CF934" w14:textId="77777777" w:rsidR="00DB2B68" w:rsidRDefault="00000000">
            <w:pPr>
              <w:jc w:val="center"/>
            </w:pPr>
            <w:r>
              <w:t>MX1</w:t>
            </w:r>
          </w:p>
        </w:tc>
        <w:tc>
          <w:tcPr>
            <w:tcW w:w="570" w:type="dxa"/>
            <w:noWrap/>
          </w:tcPr>
          <w:p w14:paraId="777102F3" w14:textId="77777777" w:rsidR="00DB2B68" w:rsidRDefault="00000000">
            <w:pPr>
              <w:jc w:val="center"/>
            </w:pPr>
            <w:r>
              <w:t>MX2</w:t>
            </w:r>
          </w:p>
          <w:p w14:paraId="458B13EC" w14:textId="77777777" w:rsidR="00DB2B68" w:rsidRDefault="00000000">
            <w:pPr>
              <w:jc w:val="center"/>
            </w:pPr>
            <w:r>
              <w:t>MX3</w:t>
            </w:r>
          </w:p>
        </w:tc>
        <w:tc>
          <w:tcPr>
            <w:tcW w:w="570" w:type="dxa"/>
            <w:noWrap/>
          </w:tcPr>
          <w:p w14:paraId="03881117" w14:textId="77777777" w:rsidR="00DB2B68" w:rsidRDefault="00000000">
            <w:pPr>
              <w:jc w:val="center"/>
            </w:pPr>
            <w:r>
              <w:t>MX4</w:t>
            </w:r>
          </w:p>
        </w:tc>
        <w:tc>
          <w:tcPr>
            <w:tcW w:w="570" w:type="dxa"/>
            <w:noWrap/>
          </w:tcPr>
          <w:p w14:paraId="1604565B" w14:textId="77777777" w:rsidR="00DB2B68" w:rsidRDefault="00000000">
            <w:pPr>
              <w:jc w:val="center"/>
            </w:pPr>
            <w:r>
              <w:t>MX5</w:t>
            </w:r>
          </w:p>
        </w:tc>
      </w:tr>
      <w:tr w:rsidR="00DB2B68" w14:paraId="64D70E26" w14:textId="77777777">
        <w:tc>
          <w:tcPr>
            <w:tcW w:w="5655" w:type="dxa"/>
            <w:noWrap/>
          </w:tcPr>
          <w:p w14:paraId="053947FA" w14:textId="77777777" w:rsidR="00DB2B68" w:rsidRDefault="00000000">
            <w:r>
              <w:t>Acier inoxydable austénitique  (alliages molybdène chrome nickel – ‘inox 316’)</w:t>
            </w:r>
          </w:p>
        </w:tc>
        <w:tc>
          <w:tcPr>
            <w:tcW w:w="1065" w:type="dxa"/>
            <w:noWrap/>
          </w:tcPr>
          <w:p w14:paraId="018AFB4B" w14:textId="77777777" w:rsidR="00DB2B68" w:rsidRDefault="00000000">
            <w:pPr>
              <w:jc w:val="center"/>
            </w:pPr>
            <w:r>
              <w:rPr>
                <w:b/>
              </w:rPr>
              <w:t>1</w:t>
            </w:r>
          </w:p>
        </w:tc>
        <w:tc>
          <w:tcPr>
            <w:tcW w:w="570" w:type="dxa"/>
            <w:noWrap/>
          </w:tcPr>
          <w:p w14:paraId="4BD72BEF" w14:textId="77777777" w:rsidR="00DB2B68" w:rsidRDefault="00000000">
            <w:pPr>
              <w:jc w:val="center"/>
            </w:pPr>
            <w:r>
              <w:t>U</w:t>
            </w:r>
          </w:p>
        </w:tc>
        <w:tc>
          <w:tcPr>
            <w:tcW w:w="570" w:type="dxa"/>
            <w:noWrap/>
          </w:tcPr>
          <w:p w14:paraId="18BD58CD" w14:textId="77777777" w:rsidR="00DB2B68" w:rsidRDefault="00000000">
            <w:pPr>
              <w:jc w:val="center"/>
            </w:pPr>
            <w:r>
              <w:t>U</w:t>
            </w:r>
          </w:p>
        </w:tc>
        <w:tc>
          <w:tcPr>
            <w:tcW w:w="570" w:type="dxa"/>
            <w:noWrap/>
          </w:tcPr>
          <w:p w14:paraId="330481C5" w14:textId="77777777" w:rsidR="00DB2B68" w:rsidRDefault="00000000">
            <w:pPr>
              <w:jc w:val="center"/>
            </w:pPr>
            <w:r>
              <w:t>U</w:t>
            </w:r>
          </w:p>
        </w:tc>
        <w:tc>
          <w:tcPr>
            <w:tcW w:w="570" w:type="dxa"/>
            <w:noWrap/>
          </w:tcPr>
          <w:p w14:paraId="4EF33F7A" w14:textId="77777777" w:rsidR="00DB2B68" w:rsidRDefault="00000000">
            <w:pPr>
              <w:jc w:val="center"/>
            </w:pPr>
            <w:r>
              <w:t>R</w:t>
            </w:r>
          </w:p>
        </w:tc>
      </w:tr>
      <w:tr w:rsidR="00DB2B68" w14:paraId="5276C7D6" w14:textId="77777777">
        <w:tc>
          <w:tcPr>
            <w:tcW w:w="5655" w:type="dxa"/>
            <w:noWrap/>
          </w:tcPr>
          <w:p w14:paraId="2946B80D" w14:textId="77777777" w:rsidR="00DB2B68" w:rsidRDefault="00000000">
            <w:r>
              <w:t>Plastique utilisé pour le corps des attaches murales</w:t>
            </w:r>
          </w:p>
        </w:tc>
        <w:tc>
          <w:tcPr>
            <w:tcW w:w="1065" w:type="dxa"/>
            <w:noWrap/>
          </w:tcPr>
          <w:p w14:paraId="190F81F3" w14:textId="77777777" w:rsidR="00DB2B68" w:rsidRDefault="00000000">
            <w:pPr>
              <w:jc w:val="center"/>
            </w:pPr>
            <w:r>
              <w:rPr>
                <w:b/>
              </w:rPr>
              <w:t>2</w:t>
            </w:r>
          </w:p>
        </w:tc>
        <w:tc>
          <w:tcPr>
            <w:tcW w:w="570" w:type="dxa"/>
            <w:noWrap/>
          </w:tcPr>
          <w:p w14:paraId="02F8F5BD" w14:textId="77777777" w:rsidR="00DB2B68" w:rsidRDefault="00000000">
            <w:pPr>
              <w:jc w:val="center"/>
            </w:pPr>
            <w:r>
              <w:t>U</w:t>
            </w:r>
          </w:p>
        </w:tc>
        <w:tc>
          <w:tcPr>
            <w:tcW w:w="570" w:type="dxa"/>
            <w:noWrap/>
          </w:tcPr>
          <w:p w14:paraId="23F7F874" w14:textId="77777777" w:rsidR="00DB2B68" w:rsidRDefault="00000000">
            <w:pPr>
              <w:jc w:val="center"/>
            </w:pPr>
            <w:r>
              <w:t>U</w:t>
            </w:r>
          </w:p>
        </w:tc>
        <w:tc>
          <w:tcPr>
            <w:tcW w:w="570" w:type="dxa"/>
            <w:noWrap/>
          </w:tcPr>
          <w:p w14:paraId="7B0334BC" w14:textId="77777777" w:rsidR="00DB2B68" w:rsidRDefault="00000000">
            <w:pPr>
              <w:jc w:val="center"/>
            </w:pPr>
            <w:r>
              <w:t>U</w:t>
            </w:r>
          </w:p>
        </w:tc>
        <w:tc>
          <w:tcPr>
            <w:tcW w:w="570" w:type="dxa"/>
            <w:noWrap/>
          </w:tcPr>
          <w:p w14:paraId="450B02CA" w14:textId="77777777" w:rsidR="00DB2B68" w:rsidRDefault="00000000">
            <w:pPr>
              <w:jc w:val="center"/>
            </w:pPr>
            <w:r>
              <w:t>R</w:t>
            </w:r>
          </w:p>
        </w:tc>
      </w:tr>
      <w:tr w:rsidR="00DB2B68" w14:paraId="0203E000" w14:textId="77777777">
        <w:tc>
          <w:tcPr>
            <w:tcW w:w="5655" w:type="dxa"/>
            <w:noWrap/>
          </w:tcPr>
          <w:p w14:paraId="31DD4F62" w14:textId="77777777" w:rsidR="00DB2B68" w:rsidRDefault="00000000">
            <w:r>
              <w:t>Acier inoxydable austénitique (alliages chrome nickel – ‘inox 304’)</w:t>
            </w:r>
          </w:p>
        </w:tc>
        <w:tc>
          <w:tcPr>
            <w:tcW w:w="1065" w:type="dxa"/>
            <w:noWrap/>
          </w:tcPr>
          <w:p w14:paraId="123B38FF" w14:textId="77777777" w:rsidR="00DB2B68" w:rsidRDefault="00000000">
            <w:pPr>
              <w:jc w:val="center"/>
            </w:pPr>
            <w:r>
              <w:rPr>
                <w:b/>
              </w:rPr>
              <w:t>3</w:t>
            </w:r>
          </w:p>
        </w:tc>
        <w:tc>
          <w:tcPr>
            <w:tcW w:w="570" w:type="dxa"/>
            <w:noWrap/>
          </w:tcPr>
          <w:p w14:paraId="050652AD" w14:textId="77777777" w:rsidR="00DB2B68" w:rsidRDefault="00000000">
            <w:pPr>
              <w:jc w:val="center"/>
            </w:pPr>
            <w:r>
              <w:t>U</w:t>
            </w:r>
          </w:p>
        </w:tc>
        <w:tc>
          <w:tcPr>
            <w:tcW w:w="570" w:type="dxa"/>
            <w:noWrap/>
          </w:tcPr>
          <w:p w14:paraId="5E9E67A0" w14:textId="77777777" w:rsidR="00DB2B68" w:rsidRDefault="00000000">
            <w:pPr>
              <w:jc w:val="center"/>
            </w:pPr>
            <w:r>
              <w:t>U</w:t>
            </w:r>
          </w:p>
        </w:tc>
        <w:tc>
          <w:tcPr>
            <w:tcW w:w="570" w:type="dxa"/>
            <w:noWrap/>
          </w:tcPr>
          <w:p w14:paraId="7DFA487A" w14:textId="77777777" w:rsidR="00DB2B68" w:rsidRDefault="00000000">
            <w:pPr>
              <w:jc w:val="center"/>
            </w:pPr>
            <w:r>
              <w:t>R</w:t>
            </w:r>
          </w:p>
        </w:tc>
        <w:tc>
          <w:tcPr>
            <w:tcW w:w="570" w:type="dxa"/>
            <w:noWrap/>
          </w:tcPr>
          <w:p w14:paraId="05BB6AFB" w14:textId="77777777" w:rsidR="00DB2B68" w:rsidRDefault="00000000">
            <w:pPr>
              <w:jc w:val="center"/>
            </w:pPr>
            <w:r>
              <w:t>R</w:t>
            </w:r>
          </w:p>
        </w:tc>
      </w:tr>
      <w:tr w:rsidR="00DB2B68" w14:paraId="3B8DFEBC" w14:textId="77777777">
        <w:tc>
          <w:tcPr>
            <w:tcW w:w="5655" w:type="dxa"/>
            <w:noWrap/>
          </w:tcPr>
          <w:p w14:paraId="69B5180B" w14:textId="77777777" w:rsidR="00DB2B68" w:rsidRDefault="00000000">
            <w:r>
              <w:t>Acier inoxydable ferritique</w:t>
            </w:r>
          </w:p>
        </w:tc>
        <w:tc>
          <w:tcPr>
            <w:tcW w:w="1065" w:type="dxa"/>
            <w:noWrap/>
          </w:tcPr>
          <w:p w14:paraId="6368591B" w14:textId="77777777" w:rsidR="00DB2B68" w:rsidRDefault="00000000">
            <w:pPr>
              <w:jc w:val="center"/>
            </w:pPr>
            <w:r>
              <w:rPr>
                <w:b/>
              </w:rPr>
              <w:t>4</w:t>
            </w:r>
          </w:p>
        </w:tc>
        <w:tc>
          <w:tcPr>
            <w:tcW w:w="570" w:type="dxa"/>
            <w:noWrap/>
          </w:tcPr>
          <w:p w14:paraId="352F3BFF" w14:textId="77777777" w:rsidR="00DB2B68" w:rsidRDefault="00000000">
            <w:pPr>
              <w:jc w:val="center"/>
            </w:pPr>
            <w:r>
              <w:t>U</w:t>
            </w:r>
          </w:p>
        </w:tc>
        <w:tc>
          <w:tcPr>
            <w:tcW w:w="570" w:type="dxa"/>
            <w:noWrap/>
          </w:tcPr>
          <w:p w14:paraId="701D81A5" w14:textId="77777777" w:rsidR="00DB2B68" w:rsidRDefault="00000000">
            <w:pPr>
              <w:jc w:val="center"/>
            </w:pPr>
            <w:r>
              <w:t>X</w:t>
            </w:r>
          </w:p>
        </w:tc>
        <w:tc>
          <w:tcPr>
            <w:tcW w:w="570" w:type="dxa"/>
            <w:noWrap/>
          </w:tcPr>
          <w:p w14:paraId="3703993E" w14:textId="77777777" w:rsidR="00DB2B68" w:rsidRDefault="00000000">
            <w:pPr>
              <w:jc w:val="center"/>
            </w:pPr>
            <w:r>
              <w:t>X</w:t>
            </w:r>
          </w:p>
        </w:tc>
        <w:tc>
          <w:tcPr>
            <w:tcW w:w="570" w:type="dxa"/>
            <w:noWrap/>
          </w:tcPr>
          <w:p w14:paraId="201AB492" w14:textId="77777777" w:rsidR="00DB2B68" w:rsidRDefault="00000000">
            <w:pPr>
              <w:jc w:val="center"/>
            </w:pPr>
            <w:r>
              <w:t>X</w:t>
            </w:r>
          </w:p>
        </w:tc>
      </w:tr>
      <w:tr w:rsidR="00DB2B68" w14:paraId="4A132910" w14:textId="77777777">
        <w:tc>
          <w:tcPr>
            <w:tcW w:w="5655" w:type="dxa"/>
            <w:noWrap/>
          </w:tcPr>
          <w:p w14:paraId="517246E4" w14:textId="77777777" w:rsidR="00DB2B68" w:rsidRDefault="00000000">
            <w:r>
              <w:t>Bronze phosphorique</w:t>
            </w:r>
          </w:p>
        </w:tc>
        <w:tc>
          <w:tcPr>
            <w:tcW w:w="1065" w:type="dxa"/>
            <w:noWrap/>
          </w:tcPr>
          <w:p w14:paraId="28167571" w14:textId="77777777" w:rsidR="00DB2B68" w:rsidRDefault="00000000">
            <w:pPr>
              <w:jc w:val="center"/>
            </w:pPr>
            <w:r>
              <w:rPr>
                <w:b/>
              </w:rPr>
              <w:t>5</w:t>
            </w:r>
          </w:p>
        </w:tc>
        <w:tc>
          <w:tcPr>
            <w:tcW w:w="570" w:type="dxa"/>
            <w:noWrap/>
          </w:tcPr>
          <w:p w14:paraId="00A43703" w14:textId="77777777" w:rsidR="00DB2B68" w:rsidRDefault="00000000">
            <w:pPr>
              <w:jc w:val="center"/>
            </w:pPr>
            <w:r>
              <w:t>U</w:t>
            </w:r>
          </w:p>
        </w:tc>
        <w:tc>
          <w:tcPr>
            <w:tcW w:w="570" w:type="dxa"/>
            <w:noWrap/>
          </w:tcPr>
          <w:p w14:paraId="36DF2217" w14:textId="77777777" w:rsidR="00DB2B68" w:rsidRDefault="00000000">
            <w:pPr>
              <w:jc w:val="center"/>
            </w:pPr>
            <w:r>
              <w:t>U</w:t>
            </w:r>
          </w:p>
        </w:tc>
        <w:tc>
          <w:tcPr>
            <w:tcW w:w="570" w:type="dxa"/>
            <w:noWrap/>
          </w:tcPr>
          <w:p w14:paraId="292BA872" w14:textId="77777777" w:rsidR="00DB2B68" w:rsidRDefault="00000000">
            <w:pPr>
              <w:jc w:val="center"/>
            </w:pPr>
            <w:r>
              <w:t>X</w:t>
            </w:r>
          </w:p>
        </w:tc>
        <w:tc>
          <w:tcPr>
            <w:tcW w:w="570" w:type="dxa"/>
            <w:noWrap/>
          </w:tcPr>
          <w:p w14:paraId="0AE9E56C" w14:textId="77777777" w:rsidR="00DB2B68" w:rsidRDefault="00000000">
            <w:pPr>
              <w:jc w:val="center"/>
            </w:pPr>
            <w:r>
              <w:t>X</w:t>
            </w:r>
          </w:p>
        </w:tc>
      </w:tr>
      <w:tr w:rsidR="00DB2B68" w14:paraId="6209786B" w14:textId="77777777">
        <w:tc>
          <w:tcPr>
            <w:tcW w:w="5655" w:type="dxa"/>
            <w:noWrap/>
          </w:tcPr>
          <w:p w14:paraId="5C1B39EE" w14:textId="77777777" w:rsidR="00DB2B68" w:rsidRDefault="00000000">
            <w:r>
              <w:t>Bronze d‘aluminium</w:t>
            </w:r>
          </w:p>
        </w:tc>
        <w:tc>
          <w:tcPr>
            <w:tcW w:w="1065" w:type="dxa"/>
            <w:noWrap/>
          </w:tcPr>
          <w:p w14:paraId="1B8A479D" w14:textId="77777777" w:rsidR="00DB2B68" w:rsidRDefault="00000000">
            <w:pPr>
              <w:jc w:val="center"/>
            </w:pPr>
            <w:r>
              <w:rPr>
                <w:b/>
              </w:rPr>
              <w:t>6</w:t>
            </w:r>
          </w:p>
        </w:tc>
        <w:tc>
          <w:tcPr>
            <w:tcW w:w="570" w:type="dxa"/>
            <w:noWrap/>
          </w:tcPr>
          <w:p w14:paraId="22EA17F2" w14:textId="77777777" w:rsidR="00DB2B68" w:rsidRDefault="00000000">
            <w:pPr>
              <w:jc w:val="center"/>
            </w:pPr>
            <w:r>
              <w:t>U</w:t>
            </w:r>
          </w:p>
        </w:tc>
        <w:tc>
          <w:tcPr>
            <w:tcW w:w="570" w:type="dxa"/>
            <w:noWrap/>
          </w:tcPr>
          <w:p w14:paraId="09A56473" w14:textId="77777777" w:rsidR="00DB2B68" w:rsidRDefault="00000000">
            <w:pPr>
              <w:jc w:val="center"/>
            </w:pPr>
            <w:r>
              <w:t>U</w:t>
            </w:r>
          </w:p>
        </w:tc>
        <w:tc>
          <w:tcPr>
            <w:tcW w:w="570" w:type="dxa"/>
            <w:noWrap/>
          </w:tcPr>
          <w:p w14:paraId="290B58D6" w14:textId="77777777" w:rsidR="00DB2B68" w:rsidRDefault="00000000">
            <w:pPr>
              <w:jc w:val="center"/>
            </w:pPr>
            <w:r>
              <w:t>X</w:t>
            </w:r>
          </w:p>
        </w:tc>
        <w:tc>
          <w:tcPr>
            <w:tcW w:w="570" w:type="dxa"/>
            <w:noWrap/>
          </w:tcPr>
          <w:p w14:paraId="335BC10A" w14:textId="77777777" w:rsidR="00DB2B68" w:rsidRDefault="00000000">
            <w:pPr>
              <w:jc w:val="center"/>
            </w:pPr>
            <w:r>
              <w:t>X</w:t>
            </w:r>
          </w:p>
        </w:tc>
      </w:tr>
      <w:tr w:rsidR="00DB2B68" w14:paraId="0D5DCC56" w14:textId="77777777">
        <w:tc>
          <w:tcPr>
            <w:tcW w:w="5655" w:type="dxa"/>
            <w:noWrap/>
          </w:tcPr>
          <w:p w14:paraId="205D8E45" w14:textId="77777777" w:rsidR="00DB2B68" w:rsidRDefault="00000000">
            <w:r>
              <w:t>Cuivre</w:t>
            </w:r>
          </w:p>
        </w:tc>
        <w:tc>
          <w:tcPr>
            <w:tcW w:w="1065" w:type="dxa"/>
            <w:noWrap/>
          </w:tcPr>
          <w:p w14:paraId="4027A809" w14:textId="77777777" w:rsidR="00DB2B68" w:rsidRDefault="00000000">
            <w:pPr>
              <w:jc w:val="center"/>
            </w:pPr>
            <w:r>
              <w:rPr>
                <w:b/>
              </w:rPr>
              <w:t>7</w:t>
            </w:r>
          </w:p>
        </w:tc>
        <w:tc>
          <w:tcPr>
            <w:tcW w:w="570" w:type="dxa"/>
            <w:noWrap/>
          </w:tcPr>
          <w:p w14:paraId="4C66393C" w14:textId="77777777" w:rsidR="00DB2B68" w:rsidRDefault="00000000">
            <w:pPr>
              <w:jc w:val="center"/>
            </w:pPr>
            <w:r>
              <w:t>U</w:t>
            </w:r>
          </w:p>
        </w:tc>
        <w:tc>
          <w:tcPr>
            <w:tcW w:w="570" w:type="dxa"/>
            <w:noWrap/>
          </w:tcPr>
          <w:p w14:paraId="08AE9615" w14:textId="77777777" w:rsidR="00DB2B68" w:rsidRDefault="00000000">
            <w:pPr>
              <w:jc w:val="center"/>
            </w:pPr>
            <w:r>
              <w:t>U</w:t>
            </w:r>
          </w:p>
        </w:tc>
        <w:tc>
          <w:tcPr>
            <w:tcW w:w="570" w:type="dxa"/>
            <w:noWrap/>
          </w:tcPr>
          <w:p w14:paraId="2CC04A98" w14:textId="77777777" w:rsidR="00DB2B68" w:rsidRDefault="00000000">
            <w:pPr>
              <w:jc w:val="center"/>
            </w:pPr>
            <w:r>
              <w:t>X</w:t>
            </w:r>
          </w:p>
        </w:tc>
        <w:tc>
          <w:tcPr>
            <w:tcW w:w="570" w:type="dxa"/>
            <w:noWrap/>
          </w:tcPr>
          <w:p w14:paraId="67FA6E13" w14:textId="77777777" w:rsidR="00DB2B68" w:rsidRDefault="00000000">
            <w:pPr>
              <w:jc w:val="center"/>
            </w:pPr>
            <w:r>
              <w:t>X</w:t>
            </w:r>
          </w:p>
        </w:tc>
      </w:tr>
      <w:tr w:rsidR="00DB2B68" w14:paraId="6CC78177" w14:textId="77777777">
        <w:tc>
          <w:tcPr>
            <w:tcW w:w="5655" w:type="dxa"/>
            <w:noWrap/>
          </w:tcPr>
          <w:p w14:paraId="6274B544" w14:textId="77777777" w:rsidR="00DB2B68" w:rsidRDefault="00000000">
            <w:r>
              <w:t>Fil en acier galvanisé (940 g/m² - galvanisation de 132 µm d’épaisseur)</w:t>
            </w:r>
          </w:p>
        </w:tc>
        <w:tc>
          <w:tcPr>
            <w:tcW w:w="1065" w:type="dxa"/>
            <w:noWrap/>
          </w:tcPr>
          <w:p w14:paraId="325ACA1F" w14:textId="77777777" w:rsidR="00DB2B68" w:rsidRDefault="00000000">
            <w:pPr>
              <w:jc w:val="center"/>
            </w:pPr>
            <w:r>
              <w:rPr>
                <w:b/>
              </w:rPr>
              <w:t>8</w:t>
            </w:r>
          </w:p>
        </w:tc>
        <w:tc>
          <w:tcPr>
            <w:tcW w:w="570" w:type="dxa"/>
            <w:noWrap/>
          </w:tcPr>
          <w:p w14:paraId="6008C7A0" w14:textId="77777777" w:rsidR="00DB2B68" w:rsidRDefault="00000000">
            <w:pPr>
              <w:jc w:val="center"/>
            </w:pPr>
            <w:r>
              <w:t>U</w:t>
            </w:r>
          </w:p>
        </w:tc>
        <w:tc>
          <w:tcPr>
            <w:tcW w:w="570" w:type="dxa"/>
            <w:noWrap/>
          </w:tcPr>
          <w:p w14:paraId="4BDF2016" w14:textId="77777777" w:rsidR="00DB2B68" w:rsidRDefault="00000000">
            <w:pPr>
              <w:jc w:val="center"/>
            </w:pPr>
            <w:r>
              <w:t>U</w:t>
            </w:r>
          </w:p>
        </w:tc>
        <w:tc>
          <w:tcPr>
            <w:tcW w:w="570" w:type="dxa"/>
            <w:noWrap/>
          </w:tcPr>
          <w:p w14:paraId="49DED976" w14:textId="77777777" w:rsidR="00DB2B68" w:rsidRDefault="00000000">
            <w:pPr>
              <w:jc w:val="center"/>
            </w:pPr>
            <w:r>
              <w:t>R</w:t>
            </w:r>
          </w:p>
        </w:tc>
        <w:tc>
          <w:tcPr>
            <w:tcW w:w="570" w:type="dxa"/>
            <w:noWrap/>
          </w:tcPr>
          <w:p w14:paraId="05496C2C" w14:textId="77777777" w:rsidR="00DB2B68" w:rsidRDefault="00000000">
            <w:pPr>
              <w:jc w:val="center"/>
            </w:pPr>
            <w:r>
              <w:t>X</w:t>
            </w:r>
          </w:p>
        </w:tc>
      </w:tr>
      <w:tr w:rsidR="00DB2B68" w14:paraId="0AE13A5A" w14:textId="77777777">
        <w:tc>
          <w:tcPr>
            <w:tcW w:w="5655" w:type="dxa"/>
            <w:noWrap/>
          </w:tcPr>
          <w:p w14:paraId="3CBE95E3" w14:textId="77777777" w:rsidR="00DB2B68" w:rsidRDefault="00000000">
            <w:r>
              <w:t>Composant en acier galvanisé (940 g/m² - galvanisation de 132 µm d’épaisseur)</w:t>
            </w:r>
          </w:p>
        </w:tc>
        <w:tc>
          <w:tcPr>
            <w:tcW w:w="1065" w:type="dxa"/>
            <w:noWrap/>
          </w:tcPr>
          <w:p w14:paraId="7688EF6B" w14:textId="77777777" w:rsidR="00DB2B68" w:rsidRDefault="00000000">
            <w:pPr>
              <w:jc w:val="center"/>
            </w:pPr>
            <w:r>
              <w:rPr>
                <w:b/>
              </w:rPr>
              <w:t>9</w:t>
            </w:r>
          </w:p>
        </w:tc>
        <w:tc>
          <w:tcPr>
            <w:tcW w:w="570" w:type="dxa"/>
            <w:noWrap/>
          </w:tcPr>
          <w:p w14:paraId="7E55C06C" w14:textId="77777777" w:rsidR="00DB2B68" w:rsidRDefault="00000000">
            <w:pPr>
              <w:jc w:val="center"/>
            </w:pPr>
            <w:r>
              <w:t>U</w:t>
            </w:r>
          </w:p>
        </w:tc>
        <w:tc>
          <w:tcPr>
            <w:tcW w:w="570" w:type="dxa"/>
            <w:noWrap/>
          </w:tcPr>
          <w:p w14:paraId="3AC3E672" w14:textId="77777777" w:rsidR="00DB2B68" w:rsidRDefault="00000000">
            <w:pPr>
              <w:jc w:val="center"/>
            </w:pPr>
            <w:r>
              <w:t>U</w:t>
            </w:r>
          </w:p>
        </w:tc>
        <w:tc>
          <w:tcPr>
            <w:tcW w:w="570" w:type="dxa"/>
            <w:noWrap/>
          </w:tcPr>
          <w:p w14:paraId="086C7CF5" w14:textId="77777777" w:rsidR="00DB2B68" w:rsidRDefault="00000000">
            <w:pPr>
              <w:jc w:val="center"/>
            </w:pPr>
            <w:r>
              <w:t>R</w:t>
            </w:r>
          </w:p>
        </w:tc>
        <w:tc>
          <w:tcPr>
            <w:tcW w:w="570" w:type="dxa"/>
            <w:noWrap/>
          </w:tcPr>
          <w:p w14:paraId="450278CD" w14:textId="77777777" w:rsidR="00DB2B68" w:rsidRDefault="00000000">
            <w:pPr>
              <w:jc w:val="center"/>
            </w:pPr>
            <w:r>
              <w:t>X</w:t>
            </w:r>
          </w:p>
        </w:tc>
      </w:tr>
      <w:tr w:rsidR="00DB2B68" w14:paraId="7B7F0B15" w14:textId="77777777">
        <w:tc>
          <w:tcPr>
            <w:tcW w:w="5655" w:type="dxa"/>
            <w:noWrap/>
          </w:tcPr>
          <w:p w14:paraId="7D88350E" w14:textId="77777777" w:rsidR="00DB2B68" w:rsidRDefault="00000000">
            <w:r>
              <w:t>Composant en acier galvanisé (710 g/m² - galvanisation de 100 µm d’épaisseur)</w:t>
            </w:r>
          </w:p>
        </w:tc>
        <w:tc>
          <w:tcPr>
            <w:tcW w:w="1065" w:type="dxa"/>
            <w:noWrap/>
          </w:tcPr>
          <w:p w14:paraId="6D685A49" w14:textId="77777777" w:rsidR="00DB2B68" w:rsidRDefault="00000000">
            <w:pPr>
              <w:jc w:val="center"/>
            </w:pPr>
            <w:r>
              <w:rPr>
                <w:b/>
              </w:rPr>
              <w:t>10</w:t>
            </w:r>
          </w:p>
        </w:tc>
        <w:tc>
          <w:tcPr>
            <w:tcW w:w="570" w:type="dxa"/>
            <w:noWrap/>
          </w:tcPr>
          <w:p w14:paraId="575C9AA1" w14:textId="77777777" w:rsidR="00DB2B68" w:rsidRDefault="00000000">
            <w:pPr>
              <w:jc w:val="center"/>
            </w:pPr>
            <w:r>
              <w:t>U</w:t>
            </w:r>
          </w:p>
        </w:tc>
        <w:tc>
          <w:tcPr>
            <w:tcW w:w="570" w:type="dxa"/>
            <w:noWrap/>
          </w:tcPr>
          <w:p w14:paraId="16A4F2ED" w14:textId="77777777" w:rsidR="00DB2B68" w:rsidRDefault="00000000">
            <w:pPr>
              <w:jc w:val="center"/>
            </w:pPr>
            <w:r>
              <w:t>U</w:t>
            </w:r>
          </w:p>
        </w:tc>
        <w:tc>
          <w:tcPr>
            <w:tcW w:w="570" w:type="dxa"/>
            <w:noWrap/>
          </w:tcPr>
          <w:p w14:paraId="510818CE" w14:textId="77777777" w:rsidR="00DB2B68" w:rsidRDefault="00000000">
            <w:pPr>
              <w:jc w:val="center"/>
            </w:pPr>
            <w:r>
              <w:t>R</w:t>
            </w:r>
          </w:p>
        </w:tc>
        <w:tc>
          <w:tcPr>
            <w:tcW w:w="570" w:type="dxa"/>
            <w:noWrap/>
          </w:tcPr>
          <w:p w14:paraId="3EAC8535" w14:textId="77777777" w:rsidR="00DB2B68" w:rsidRDefault="00000000">
            <w:pPr>
              <w:jc w:val="center"/>
            </w:pPr>
            <w:r>
              <w:t>X</w:t>
            </w:r>
          </w:p>
        </w:tc>
      </w:tr>
      <w:tr w:rsidR="00DB2B68" w14:paraId="5288D0BC" w14:textId="77777777">
        <w:tc>
          <w:tcPr>
            <w:tcW w:w="5655" w:type="dxa"/>
            <w:noWrap/>
          </w:tcPr>
          <w:p w14:paraId="53D913BF" w14:textId="77777777" w:rsidR="00DB2B68" w:rsidRDefault="00000000">
            <w:r>
              <w:t>Composant en acier galvanisé (460 g/m² - galvanisation de 65 µm d’épaisseur)     </w:t>
            </w:r>
          </w:p>
        </w:tc>
        <w:tc>
          <w:tcPr>
            <w:tcW w:w="1065" w:type="dxa"/>
            <w:noWrap/>
          </w:tcPr>
          <w:p w14:paraId="49D76E9D" w14:textId="77777777" w:rsidR="00DB2B68" w:rsidRDefault="00000000">
            <w:pPr>
              <w:jc w:val="center"/>
            </w:pPr>
            <w:r>
              <w:rPr>
                <w:b/>
              </w:rPr>
              <w:t>11</w:t>
            </w:r>
          </w:p>
        </w:tc>
        <w:tc>
          <w:tcPr>
            <w:tcW w:w="570" w:type="dxa"/>
            <w:noWrap/>
          </w:tcPr>
          <w:p w14:paraId="68BB49E9" w14:textId="77777777" w:rsidR="00DB2B68" w:rsidRDefault="00000000">
            <w:pPr>
              <w:jc w:val="center"/>
            </w:pPr>
            <w:r>
              <w:t>U</w:t>
            </w:r>
          </w:p>
        </w:tc>
        <w:tc>
          <w:tcPr>
            <w:tcW w:w="570" w:type="dxa"/>
            <w:noWrap/>
          </w:tcPr>
          <w:p w14:paraId="740F576B" w14:textId="77777777" w:rsidR="00DB2B68" w:rsidRDefault="00000000">
            <w:pPr>
              <w:jc w:val="center"/>
            </w:pPr>
            <w:r>
              <w:t>R</w:t>
            </w:r>
          </w:p>
        </w:tc>
        <w:tc>
          <w:tcPr>
            <w:tcW w:w="570" w:type="dxa"/>
            <w:noWrap/>
          </w:tcPr>
          <w:p w14:paraId="0B9993AB" w14:textId="77777777" w:rsidR="00DB2B68" w:rsidRDefault="00000000">
            <w:pPr>
              <w:jc w:val="center"/>
            </w:pPr>
            <w:r>
              <w:t>R</w:t>
            </w:r>
          </w:p>
        </w:tc>
        <w:tc>
          <w:tcPr>
            <w:tcW w:w="570" w:type="dxa"/>
            <w:noWrap/>
          </w:tcPr>
          <w:p w14:paraId="1DC2BAE6" w14:textId="77777777" w:rsidR="00DB2B68" w:rsidRDefault="00000000">
            <w:pPr>
              <w:jc w:val="center"/>
            </w:pPr>
            <w:r>
              <w:t>X</w:t>
            </w:r>
          </w:p>
        </w:tc>
      </w:tr>
      <w:tr w:rsidR="00DB2B68" w14:paraId="3A97CDD7" w14:textId="77777777">
        <w:tc>
          <w:tcPr>
            <w:tcW w:w="5655" w:type="dxa"/>
            <w:noWrap/>
          </w:tcPr>
          <w:p w14:paraId="65BCAB90" w14:textId="77777777" w:rsidR="00DB2B68" w:rsidRDefault="00000000">
            <w:r>
              <w:t>Composant en acier galvanisé (395 g/m² - galvanisation de 55 µm d’épaisseur)</w:t>
            </w:r>
          </w:p>
        </w:tc>
        <w:tc>
          <w:tcPr>
            <w:tcW w:w="1065" w:type="dxa"/>
            <w:noWrap/>
          </w:tcPr>
          <w:p w14:paraId="120EA967" w14:textId="77777777" w:rsidR="00DB2B68" w:rsidRDefault="00000000">
            <w:pPr>
              <w:jc w:val="center"/>
            </w:pPr>
            <w:r>
              <w:rPr>
                <w:b/>
              </w:rPr>
              <w:t>11A</w:t>
            </w:r>
          </w:p>
        </w:tc>
        <w:tc>
          <w:tcPr>
            <w:tcW w:w="570" w:type="dxa"/>
            <w:noWrap/>
          </w:tcPr>
          <w:p w14:paraId="57859215" w14:textId="77777777" w:rsidR="00DB2B68" w:rsidRDefault="00000000">
            <w:pPr>
              <w:jc w:val="center"/>
            </w:pPr>
            <w:r>
              <w:t>U</w:t>
            </w:r>
          </w:p>
        </w:tc>
        <w:tc>
          <w:tcPr>
            <w:tcW w:w="570" w:type="dxa"/>
            <w:noWrap/>
          </w:tcPr>
          <w:p w14:paraId="3A421C47" w14:textId="77777777" w:rsidR="00DB2B68" w:rsidRDefault="00000000">
            <w:pPr>
              <w:jc w:val="center"/>
            </w:pPr>
            <w:r>
              <w:t>R</w:t>
            </w:r>
          </w:p>
        </w:tc>
        <w:tc>
          <w:tcPr>
            <w:tcW w:w="570" w:type="dxa"/>
            <w:noWrap/>
          </w:tcPr>
          <w:p w14:paraId="154391CF" w14:textId="77777777" w:rsidR="00DB2B68" w:rsidRDefault="00000000">
            <w:pPr>
              <w:jc w:val="center"/>
            </w:pPr>
            <w:r>
              <w:t>R</w:t>
            </w:r>
          </w:p>
        </w:tc>
        <w:tc>
          <w:tcPr>
            <w:tcW w:w="570" w:type="dxa"/>
            <w:noWrap/>
          </w:tcPr>
          <w:p w14:paraId="5C3D66A6" w14:textId="77777777" w:rsidR="00DB2B68" w:rsidRDefault="00000000">
            <w:pPr>
              <w:jc w:val="center"/>
            </w:pPr>
            <w:r>
              <w:t>X</w:t>
            </w:r>
          </w:p>
        </w:tc>
      </w:tr>
      <w:tr w:rsidR="00DB2B68" w14:paraId="6C3C16F9" w14:textId="77777777">
        <w:tc>
          <w:tcPr>
            <w:tcW w:w="5655" w:type="dxa"/>
            <w:noWrap/>
          </w:tcPr>
          <w:p w14:paraId="6CC07B48" w14:textId="77777777" w:rsidR="00DB2B68" w:rsidRDefault="00000000">
            <w:r>
              <w:t>Tôle ou feuillard en acier galvanisé (300 g/m² - galvanisation de 42 µm d’épaisseur) avec un revêtement organique (2 types) sur toutes les surfaces extérieures du composant fini</w:t>
            </w:r>
          </w:p>
        </w:tc>
        <w:tc>
          <w:tcPr>
            <w:tcW w:w="1065" w:type="dxa"/>
            <w:noWrap/>
          </w:tcPr>
          <w:p w14:paraId="2F46729E" w14:textId="77777777" w:rsidR="00DB2B68" w:rsidRDefault="00000000">
            <w:pPr>
              <w:jc w:val="center"/>
            </w:pPr>
            <w:r>
              <w:rPr>
                <w:b/>
              </w:rPr>
              <w:t>12.1</w:t>
            </w:r>
          </w:p>
          <w:p w14:paraId="3CA7DBCF" w14:textId="77777777" w:rsidR="00DB2B68" w:rsidRDefault="00000000">
            <w:pPr>
              <w:jc w:val="center"/>
            </w:pPr>
            <w:r>
              <w:rPr>
                <w:b/>
              </w:rPr>
              <w:t>12.2</w:t>
            </w:r>
          </w:p>
        </w:tc>
        <w:tc>
          <w:tcPr>
            <w:tcW w:w="570" w:type="dxa"/>
            <w:noWrap/>
          </w:tcPr>
          <w:p w14:paraId="0EA867D3" w14:textId="77777777" w:rsidR="00DB2B68" w:rsidRDefault="00000000">
            <w:pPr>
              <w:jc w:val="center"/>
            </w:pPr>
            <w:r>
              <w:t>U</w:t>
            </w:r>
          </w:p>
        </w:tc>
        <w:tc>
          <w:tcPr>
            <w:tcW w:w="570" w:type="dxa"/>
            <w:noWrap/>
          </w:tcPr>
          <w:p w14:paraId="6DA3B209" w14:textId="77777777" w:rsidR="00DB2B68" w:rsidRDefault="00000000">
            <w:pPr>
              <w:jc w:val="center"/>
            </w:pPr>
            <w:r>
              <w:t>U</w:t>
            </w:r>
          </w:p>
        </w:tc>
        <w:tc>
          <w:tcPr>
            <w:tcW w:w="570" w:type="dxa"/>
            <w:noWrap/>
          </w:tcPr>
          <w:p w14:paraId="3BF1FFCD" w14:textId="77777777" w:rsidR="00DB2B68" w:rsidRDefault="00000000">
            <w:pPr>
              <w:jc w:val="center"/>
            </w:pPr>
            <w:r>
              <w:t>R</w:t>
            </w:r>
          </w:p>
        </w:tc>
        <w:tc>
          <w:tcPr>
            <w:tcW w:w="570" w:type="dxa"/>
            <w:noWrap/>
          </w:tcPr>
          <w:p w14:paraId="4DEF311D" w14:textId="77777777" w:rsidR="00DB2B68" w:rsidRDefault="00000000">
            <w:pPr>
              <w:jc w:val="center"/>
            </w:pPr>
            <w:r>
              <w:t>X</w:t>
            </w:r>
          </w:p>
        </w:tc>
      </w:tr>
      <w:tr w:rsidR="00DB2B68" w14:paraId="735AC9F6" w14:textId="77777777">
        <w:tc>
          <w:tcPr>
            <w:tcW w:w="5655" w:type="dxa"/>
            <w:noWrap/>
          </w:tcPr>
          <w:p w14:paraId="584A4ECF" w14:textId="77777777" w:rsidR="00DB2B68" w:rsidRDefault="00000000">
            <w:r>
              <w:t>Fil d’acier galvanisé (265 g/m² - galvanisation de 37 µm d’épaisseur)</w:t>
            </w:r>
          </w:p>
        </w:tc>
        <w:tc>
          <w:tcPr>
            <w:tcW w:w="1065" w:type="dxa"/>
            <w:noWrap/>
          </w:tcPr>
          <w:p w14:paraId="35BE3AE2" w14:textId="77777777" w:rsidR="00DB2B68" w:rsidRDefault="00000000">
            <w:pPr>
              <w:jc w:val="center"/>
            </w:pPr>
            <w:r>
              <w:rPr>
                <w:b/>
              </w:rPr>
              <w:t>13</w:t>
            </w:r>
          </w:p>
        </w:tc>
        <w:tc>
          <w:tcPr>
            <w:tcW w:w="570" w:type="dxa"/>
            <w:noWrap/>
          </w:tcPr>
          <w:p w14:paraId="5DE5C837" w14:textId="77777777" w:rsidR="00DB2B68" w:rsidRDefault="00000000">
            <w:pPr>
              <w:jc w:val="center"/>
            </w:pPr>
            <w:r>
              <w:t>U</w:t>
            </w:r>
          </w:p>
        </w:tc>
        <w:tc>
          <w:tcPr>
            <w:tcW w:w="570" w:type="dxa"/>
            <w:noWrap/>
          </w:tcPr>
          <w:p w14:paraId="533ED732" w14:textId="77777777" w:rsidR="00DB2B68" w:rsidRDefault="00000000">
            <w:pPr>
              <w:jc w:val="center"/>
            </w:pPr>
            <w:r>
              <w:t>R</w:t>
            </w:r>
          </w:p>
        </w:tc>
        <w:tc>
          <w:tcPr>
            <w:tcW w:w="570" w:type="dxa"/>
            <w:noWrap/>
          </w:tcPr>
          <w:p w14:paraId="2CD2849D" w14:textId="77777777" w:rsidR="00DB2B68" w:rsidRDefault="00000000">
            <w:pPr>
              <w:jc w:val="center"/>
            </w:pPr>
            <w:r>
              <w:t>X</w:t>
            </w:r>
          </w:p>
        </w:tc>
        <w:tc>
          <w:tcPr>
            <w:tcW w:w="570" w:type="dxa"/>
            <w:noWrap/>
          </w:tcPr>
          <w:p w14:paraId="233640A5" w14:textId="77777777" w:rsidR="00DB2B68" w:rsidRDefault="00000000">
            <w:pPr>
              <w:jc w:val="center"/>
            </w:pPr>
            <w:r>
              <w:t>X</w:t>
            </w:r>
          </w:p>
        </w:tc>
      </w:tr>
      <w:tr w:rsidR="00DB2B68" w14:paraId="2D11F22E" w14:textId="77777777">
        <w:tc>
          <w:tcPr>
            <w:tcW w:w="5655" w:type="dxa"/>
            <w:noWrap/>
          </w:tcPr>
          <w:p w14:paraId="7D02E244" w14:textId="77777777" w:rsidR="00DB2B68" w:rsidRDefault="00000000">
            <w:r>
              <w:t>Tôle ou feuillard d’acier galvanisé (300 g/m² - galvanisation de 42 µm d’épaisseur) avec un revêtement organique sur tous les bords de coupe</w:t>
            </w:r>
          </w:p>
        </w:tc>
        <w:tc>
          <w:tcPr>
            <w:tcW w:w="1065" w:type="dxa"/>
            <w:noWrap/>
          </w:tcPr>
          <w:p w14:paraId="72AF4D4D" w14:textId="77777777" w:rsidR="00DB2B68" w:rsidRDefault="00000000">
            <w:pPr>
              <w:jc w:val="center"/>
            </w:pPr>
            <w:r>
              <w:rPr>
                <w:b/>
              </w:rPr>
              <w:t>14</w:t>
            </w:r>
          </w:p>
        </w:tc>
        <w:tc>
          <w:tcPr>
            <w:tcW w:w="570" w:type="dxa"/>
            <w:noWrap/>
          </w:tcPr>
          <w:p w14:paraId="4A3573E4" w14:textId="77777777" w:rsidR="00DB2B68" w:rsidRDefault="00000000">
            <w:pPr>
              <w:jc w:val="center"/>
            </w:pPr>
            <w:r>
              <w:t>U</w:t>
            </w:r>
          </w:p>
        </w:tc>
        <w:tc>
          <w:tcPr>
            <w:tcW w:w="570" w:type="dxa"/>
            <w:noWrap/>
          </w:tcPr>
          <w:p w14:paraId="7FABC179" w14:textId="77777777" w:rsidR="00DB2B68" w:rsidRDefault="00000000">
            <w:pPr>
              <w:jc w:val="center"/>
            </w:pPr>
            <w:r>
              <w:t>R</w:t>
            </w:r>
          </w:p>
        </w:tc>
        <w:tc>
          <w:tcPr>
            <w:tcW w:w="570" w:type="dxa"/>
            <w:noWrap/>
          </w:tcPr>
          <w:p w14:paraId="7B2A4261" w14:textId="77777777" w:rsidR="00DB2B68" w:rsidRDefault="00000000">
            <w:pPr>
              <w:jc w:val="center"/>
            </w:pPr>
            <w:r>
              <w:t>X</w:t>
            </w:r>
          </w:p>
        </w:tc>
        <w:tc>
          <w:tcPr>
            <w:tcW w:w="570" w:type="dxa"/>
            <w:noWrap/>
          </w:tcPr>
          <w:p w14:paraId="1F417428" w14:textId="77777777" w:rsidR="00DB2B68" w:rsidRDefault="00000000">
            <w:pPr>
              <w:jc w:val="center"/>
            </w:pPr>
            <w:r>
              <w:t>X</w:t>
            </w:r>
          </w:p>
        </w:tc>
      </w:tr>
      <w:tr w:rsidR="00DB2B68" w14:paraId="0DBDBEB3" w14:textId="77777777">
        <w:tc>
          <w:tcPr>
            <w:tcW w:w="5655" w:type="dxa"/>
            <w:noWrap/>
          </w:tcPr>
          <w:p w14:paraId="2484ABC6" w14:textId="77777777" w:rsidR="00DB2B68" w:rsidRDefault="00000000">
            <w:r>
              <w:t>Tôle ou feuillard d’acier galvanisé  (300 g/m² - galvanisation de 42 µm d’épaisseur)</w:t>
            </w:r>
          </w:p>
        </w:tc>
        <w:tc>
          <w:tcPr>
            <w:tcW w:w="1065" w:type="dxa"/>
            <w:noWrap/>
          </w:tcPr>
          <w:p w14:paraId="10BE9556" w14:textId="77777777" w:rsidR="00DB2B68" w:rsidRDefault="00000000">
            <w:pPr>
              <w:jc w:val="center"/>
            </w:pPr>
            <w:r>
              <w:rPr>
                <w:b/>
              </w:rPr>
              <w:t>15</w:t>
            </w:r>
          </w:p>
        </w:tc>
        <w:tc>
          <w:tcPr>
            <w:tcW w:w="570" w:type="dxa"/>
            <w:noWrap/>
          </w:tcPr>
          <w:p w14:paraId="7A73C5E0" w14:textId="77777777" w:rsidR="00DB2B68" w:rsidRDefault="00000000">
            <w:pPr>
              <w:jc w:val="center"/>
            </w:pPr>
            <w:r>
              <w:t>U</w:t>
            </w:r>
          </w:p>
        </w:tc>
        <w:tc>
          <w:tcPr>
            <w:tcW w:w="570" w:type="dxa"/>
            <w:noWrap/>
          </w:tcPr>
          <w:p w14:paraId="467B2713" w14:textId="77777777" w:rsidR="00DB2B68" w:rsidRDefault="00000000">
            <w:pPr>
              <w:jc w:val="center"/>
            </w:pPr>
            <w:r>
              <w:t>R</w:t>
            </w:r>
          </w:p>
        </w:tc>
        <w:tc>
          <w:tcPr>
            <w:tcW w:w="570" w:type="dxa"/>
            <w:noWrap/>
          </w:tcPr>
          <w:p w14:paraId="7D96D1C0" w14:textId="77777777" w:rsidR="00DB2B68" w:rsidRDefault="00000000">
            <w:pPr>
              <w:jc w:val="center"/>
            </w:pPr>
            <w:r>
              <w:t>X</w:t>
            </w:r>
          </w:p>
        </w:tc>
        <w:tc>
          <w:tcPr>
            <w:tcW w:w="570" w:type="dxa"/>
            <w:noWrap/>
          </w:tcPr>
          <w:p w14:paraId="1DF9A864" w14:textId="77777777" w:rsidR="00DB2B68" w:rsidRDefault="00000000">
            <w:pPr>
              <w:jc w:val="center"/>
            </w:pPr>
            <w:r>
              <w:t>X</w:t>
            </w:r>
          </w:p>
        </w:tc>
      </w:tr>
      <w:tr w:rsidR="00DB2B68" w14:paraId="3F71C261" w14:textId="77777777">
        <w:tc>
          <w:tcPr>
            <w:tcW w:w="5655" w:type="dxa"/>
            <w:noWrap/>
          </w:tcPr>
          <w:p w14:paraId="43499F9C" w14:textId="77777777" w:rsidR="00DB2B68" w:rsidRDefault="00000000">
            <w:r>
              <w:t>Tôle ou feuillard d’acier galvanisé (137 g/m² - galvanisation de 19 µm d’épaisseur) avec un revêtement organique (2 types) sur toutes les surfaces extérieures du composant fini</w:t>
            </w:r>
          </w:p>
        </w:tc>
        <w:tc>
          <w:tcPr>
            <w:tcW w:w="1065" w:type="dxa"/>
            <w:noWrap/>
          </w:tcPr>
          <w:p w14:paraId="7A7D018E" w14:textId="77777777" w:rsidR="00DB2B68" w:rsidRDefault="00000000">
            <w:pPr>
              <w:jc w:val="center"/>
            </w:pPr>
            <w:r>
              <w:rPr>
                <w:b/>
              </w:rPr>
              <w:t>16.1</w:t>
            </w:r>
          </w:p>
          <w:p w14:paraId="28B19548" w14:textId="77777777" w:rsidR="00DB2B68" w:rsidRDefault="00000000">
            <w:pPr>
              <w:jc w:val="center"/>
            </w:pPr>
            <w:r>
              <w:rPr>
                <w:b/>
              </w:rPr>
              <w:t>16.2</w:t>
            </w:r>
          </w:p>
        </w:tc>
        <w:tc>
          <w:tcPr>
            <w:tcW w:w="570" w:type="dxa"/>
            <w:noWrap/>
          </w:tcPr>
          <w:p w14:paraId="3FB8A5D3" w14:textId="77777777" w:rsidR="00DB2B68" w:rsidRDefault="00000000">
            <w:pPr>
              <w:jc w:val="center"/>
            </w:pPr>
            <w:r>
              <w:t>U</w:t>
            </w:r>
          </w:p>
        </w:tc>
        <w:tc>
          <w:tcPr>
            <w:tcW w:w="570" w:type="dxa"/>
            <w:noWrap/>
          </w:tcPr>
          <w:p w14:paraId="29BE721C" w14:textId="77777777" w:rsidR="00DB2B68" w:rsidRDefault="00000000">
            <w:pPr>
              <w:jc w:val="center"/>
            </w:pPr>
            <w:r>
              <w:t>U</w:t>
            </w:r>
          </w:p>
        </w:tc>
        <w:tc>
          <w:tcPr>
            <w:tcW w:w="570" w:type="dxa"/>
            <w:noWrap/>
          </w:tcPr>
          <w:p w14:paraId="0A2C6994" w14:textId="77777777" w:rsidR="00DB2B68" w:rsidRDefault="00000000">
            <w:pPr>
              <w:jc w:val="center"/>
            </w:pPr>
            <w:r>
              <w:t>R</w:t>
            </w:r>
          </w:p>
        </w:tc>
        <w:tc>
          <w:tcPr>
            <w:tcW w:w="570" w:type="dxa"/>
            <w:noWrap/>
          </w:tcPr>
          <w:p w14:paraId="64DAF83A" w14:textId="77777777" w:rsidR="00DB2B68" w:rsidRDefault="00000000">
            <w:pPr>
              <w:jc w:val="center"/>
            </w:pPr>
            <w:r>
              <w:t>X</w:t>
            </w:r>
          </w:p>
        </w:tc>
      </w:tr>
      <w:tr w:rsidR="00DB2B68" w14:paraId="79068F1C" w14:textId="77777777">
        <w:tc>
          <w:tcPr>
            <w:tcW w:w="5655" w:type="dxa"/>
            <w:noWrap/>
          </w:tcPr>
          <w:p w14:paraId="0A3AE001" w14:textId="77777777" w:rsidR="00DB2B68" w:rsidRDefault="00000000">
            <w:r>
              <w:t>Feuillard d’acier prégalvanisé (137 g/m² - galvanisation de 19 µm d’épaisseur) avec des bords galvanisés</w:t>
            </w:r>
          </w:p>
        </w:tc>
        <w:tc>
          <w:tcPr>
            <w:tcW w:w="1065" w:type="dxa"/>
            <w:noWrap/>
          </w:tcPr>
          <w:p w14:paraId="0FB034E6" w14:textId="77777777" w:rsidR="00DB2B68" w:rsidRDefault="00000000">
            <w:pPr>
              <w:jc w:val="center"/>
            </w:pPr>
            <w:r>
              <w:rPr>
                <w:b/>
              </w:rPr>
              <w:t>17</w:t>
            </w:r>
          </w:p>
        </w:tc>
        <w:tc>
          <w:tcPr>
            <w:tcW w:w="570" w:type="dxa"/>
            <w:noWrap/>
          </w:tcPr>
          <w:p w14:paraId="75EA074F" w14:textId="77777777" w:rsidR="00DB2B68" w:rsidRDefault="00000000">
            <w:pPr>
              <w:jc w:val="center"/>
            </w:pPr>
            <w:r>
              <w:t>U</w:t>
            </w:r>
          </w:p>
        </w:tc>
        <w:tc>
          <w:tcPr>
            <w:tcW w:w="570" w:type="dxa"/>
            <w:noWrap/>
          </w:tcPr>
          <w:p w14:paraId="2E2764E6" w14:textId="77777777" w:rsidR="00DB2B68" w:rsidRDefault="00000000">
            <w:pPr>
              <w:jc w:val="center"/>
            </w:pPr>
            <w:r>
              <w:t>R</w:t>
            </w:r>
          </w:p>
        </w:tc>
        <w:tc>
          <w:tcPr>
            <w:tcW w:w="570" w:type="dxa"/>
            <w:noWrap/>
          </w:tcPr>
          <w:p w14:paraId="3856A77E" w14:textId="77777777" w:rsidR="00DB2B68" w:rsidRDefault="00000000">
            <w:pPr>
              <w:jc w:val="center"/>
            </w:pPr>
            <w:r>
              <w:t>X</w:t>
            </w:r>
          </w:p>
        </w:tc>
        <w:tc>
          <w:tcPr>
            <w:tcW w:w="570" w:type="dxa"/>
            <w:noWrap/>
          </w:tcPr>
          <w:p w14:paraId="6F6461BD" w14:textId="77777777" w:rsidR="00DB2B68" w:rsidRDefault="00000000">
            <w:pPr>
              <w:jc w:val="center"/>
            </w:pPr>
            <w:r>
              <w:t>X</w:t>
            </w:r>
          </w:p>
        </w:tc>
      </w:tr>
      <w:tr w:rsidR="00DB2B68" w14:paraId="763D6F5D" w14:textId="77777777">
        <w:tc>
          <w:tcPr>
            <w:tcW w:w="5655" w:type="dxa"/>
            <w:noWrap/>
          </w:tcPr>
          <w:p w14:paraId="0BAD2454" w14:textId="77777777" w:rsidR="00DB2B68" w:rsidRDefault="00000000">
            <w:r>
              <w:t>Fil d’acier galvanisé (60 g/m² - galvanisation de 8,5 µm d’épaisseur) avec un revêtement organique sur toutes les surfaces extérieures du composant fini</w:t>
            </w:r>
          </w:p>
        </w:tc>
        <w:tc>
          <w:tcPr>
            <w:tcW w:w="1065" w:type="dxa"/>
            <w:noWrap/>
          </w:tcPr>
          <w:p w14:paraId="0C576770" w14:textId="77777777" w:rsidR="00DB2B68" w:rsidRDefault="00000000">
            <w:pPr>
              <w:jc w:val="center"/>
            </w:pPr>
            <w:r>
              <w:rPr>
                <w:b/>
              </w:rPr>
              <w:t>18</w:t>
            </w:r>
          </w:p>
        </w:tc>
        <w:tc>
          <w:tcPr>
            <w:tcW w:w="570" w:type="dxa"/>
            <w:noWrap/>
          </w:tcPr>
          <w:p w14:paraId="1027DAA7" w14:textId="77777777" w:rsidR="00DB2B68" w:rsidRDefault="00000000">
            <w:pPr>
              <w:jc w:val="center"/>
            </w:pPr>
            <w:r>
              <w:t>U</w:t>
            </w:r>
          </w:p>
        </w:tc>
        <w:tc>
          <w:tcPr>
            <w:tcW w:w="570" w:type="dxa"/>
            <w:noWrap/>
          </w:tcPr>
          <w:p w14:paraId="63FBFD86" w14:textId="77777777" w:rsidR="00DB2B68" w:rsidRDefault="00000000">
            <w:pPr>
              <w:jc w:val="center"/>
            </w:pPr>
            <w:r>
              <w:t>R</w:t>
            </w:r>
          </w:p>
        </w:tc>
        <w:tc>
          <w:tcPr>
            <w:tcW w:w="570" w:type="dxa"/>
            <w:noWrap/>
          </w:tcPr>
          <w:p w14:paraId="5539FB1C" w14:textId="77777777" w:rsidR="00DB2B68" w:rsidRDefault="00000000">
            <w:pPr>
              <w:jc w:val="center"/>
            </w:pPr>
            <w:r>
              <w:t>R</w:t>
            </w:r>
          </w:p>
        </w:tc>
        <w:tc>
          <w:tcPr>
            <w:tcW w:w="570" w:type="dxa"/>
            <w:noWrap/>
          </w:tcPr>
          <w:p w14:paraId="2C633D8F" w14:textId="77777777" w:rsidR="00DB2B68" w:rsidRDefault="00000000">
            <w:pPr>
              <w:jc w:val="center"/>
            </w:pPr>
            <w:r>
              <w:t>X</w:t>
            </w:r>
          </w:p>
        </w:tc>
      </w:tr>
      <w:tr w:rsidR="00DB2B68" w14:paraId="7E9DD1BF" w14:textId="77777777">
        <w:tc>
          <w:tcPr>
            <w:tcW w:w="5655" w:type="dxa"/>
            <w:noWrap/>
          </w:tcPr>
          <w:p w14:paraId="2DE62983" w14:textId="77777777" w:rsidR="00DB2B68" w:rsidRDefault="00000000">
            <w:r>
              <w:t>Fil d’acier galvanisé (105 g/m² - galvanisation de 15 µm d’épaisseur)</w:t>
            </w:r>
          </w:p>
        </w:tc>
        <w:tc>
          <w:tcPr>
            <w:tcW w:w="1065" w:type="dxa"/>
            <w:noWrap/>
          </w:tcPr>
          <w:p w14:paraId="71D361A0" w14:textId="77777777" w:rsidR="00DB2B68" w:rsidRDefault="00000000">
            <w:pPr>
              <w:jc w:val="center"/>
            </w:pPr>
            <w:r>
              <w:rPr>
                <w:b/>
              </w:rPr>
              <w:t>19</w:t>
            </w:r>
          </w:p>
        </w:tc>
        <w:tc>
          <w:tcPr>
            <w:tcW w:w="570" w:type="dxa"/>
            <w:noWrap/>
          </w:tcPr>
          <w:p w14:paraId="55552B90" w14:textId="77777777" w:rsidR="00DB2B68" w:rsidRDefault="00000000">
            <w:pPr>
              <w:jc w:val="center"/>
            </w:pPr>
            <w:r>
              <w:t>U</w:t>
            </w:r>
          </w:p>
        </w:tc>
        <w:tc>
          <w:tcPr>
            <w:tcW w:w="570" w:type="dxa"/>
            <w:noWrap/>
          </w:tcPr>
          <w:p w14:paraId="3F7517A4" w14:textId="77777777" w:rsidR="00DB2B68" w:rsidRDefault="00000000">
            <w:pPr>
              <w:jc w:val="center"/>
            </w:pPr>
            <w:r>
              <w:t>R</w:t>
            </w:r>
          </w:p>
        </w:tc>
        <w:tc>
          <w:tcPr>
            <w:tcW w:w="570" w:type="dxa"/>
            <w:noWrap/>
          </w:tcPr>
          <w:p w14:paraId="0A18D0BD" w14:textId="77777777" w:rsidR="00DB2B68" w:rsidRDefault="00000000">
            <w:pPr>
              <w:jc w:val="center"/>
            </w:pPr>
            <w:r>
              <w:t>X</w:t>
            </w:r>
          </w:p>
        </w:tc>
        <w:tc>
          <w:tcPr>
            <w:tcW w:w="570" w:type="dxa"/>
            <w:noWrap/>
          </w:tcPr>
          <w:p w14:paraId="750C942F" w14:textId="77777777" w:rsidR="00DB2B68" w:rsidRDefault="00000000">
            <w:pPr>
              <w:jc w:val="center"/>
            </w:pPr>
            <w:r>
              <w:t>X</w:t>
            </w:r>
          </w:p>
        </w:tc>
      </w:tr>
      <w:tr w:rsidR="00DB2B68" w14:paraId="263880E8" w14:textId="77777777">
        <w:tc>
          <w:tcPr>
            <w:tcW w:w="5655" w:type="dxa"/>
            <w:noWrap/>
          </w:tcPr>
          <w:p w14:paraId="07848433" w14:textId="77777777" w:rsidR="00DB2B68" w:rsidRDefault="00000000">
            <w:r>
              <w:t>Fil d’acier galvanisé (60 g/m² - galvanisation de 8,5 µm d’épaisseur)</w:t>
            </w:r>
          </w:p>
        </w:tc>
        <w:tc>
          <w:tcPr>
            <w:tcW w:w="1065" w:type="dxa"/>
            <w:noWrap/>
          </w:tcPr>
          <w:p w14:paraId="01D05D17" w14:textId="77777777" w:rsidR="00DB2B68" w:rsidRDefault="00000000">
            <w:pPr>
              <w:jc w:val="center"/>
            </w:pPr>
            <w:r>
              <w:rPr>
                <w:b/>
              </w:rPr>
              <w:t>20</w:t>
            </w:r>
          </w:p>
        </w:tc>
        <w:tc>
          <w:tcPr>
            <w:tcW w:w="570" w:type="dxa"/>
            <w:noWrap/>
          </w:tcPr>
          <w:p w14:paraId="318FF68D" w14:textId="77777777" w:rsidR="00DB2B68" w:rsidRDefault="00000000">
            <w:pPr>
              <w:jc w:val="center"/>
            </w:pPr>
            <w:r>
              <w:t>U</w:t>
            </w:r>
          </w:p>
        </w:tc>
        <w:tc>
          <w:tcPr>
            <w:tcW w:w="570" w:type="dxa"/>
            <w:noWrap/>
          </w:tcPr>
          <w:p w14:paraId="7AF245BB" w14:textId="77777777" w:rsidR="00DB2B68" w:rsidRDefault="00000000">
            <w:pPr>
              <w:jc w:val="center"/>
            </w:pPr>
            <w:r>
              <w:t>X</w:t>
            </w:r>
          </w:p>
        </w:tc>
        <w:tc>
          <w:tcPr>
            <w:tcW w:w="570" w:type="dxa"/>
            <w:noWrap/>
          </w:tcPr>
          <w:p w14:paraId="3B6A04DB" w14:textId="77777777" w:rsidR="00DB2B68" w:rsidRDefault="00000000">
            <w:pPr>
              <w:jc w:val="center"/>
            </w:pPr>
            <w:r>
              <w:t>X</w:t>
            </w:r>
          </w:p>
        </w:tc>
        <w:tc>
          <w:tcPr>
            <w:tcW w:w="570" w:type="dxa"/>
            <w:noWrap/>
          </w:tcPr>
          <w:p w14:paraId="6D490B04" w14:textId="77777777" w:rsidR="00DB2B68" w:rsidRDefault="00000000">
            <w:pPr>
              <w:jc w:val="center"/>
            </w:pPr>
            <w:r>
              <w:t>X</w:t>
            </w:r>
          </w:p>
        </w:tc>
      </w:tr>
      <w:tr w:rsidR="00DB2B68" w14:paraId="3370EAE0" w14:textId="77777777">
        <w:tc>
          <w:tcPr>
            <w:tcW w:w="5655" w:type="dxa"/>
            <w:noWrap/>
          </w:tcPr>
          <w:p w14:paraId="60B5FFD9" w14:textId="77777777" w:rsidR="00DB2B68" w:rsidRDefault="00000000">
            <w:r>
              <w:t>Tôle d’acier pré-galvanisé (137 g/m² - galvanisation de 19 µm d’épaisseur)</w:t>
            </w:r>
          </w:p>
        </w:tc>
        <w:tc>
          <w:tcPr>
            <w:tcW w:w="1065" w:type="dxa"/>
            <w:noWrap/>
          </w:tcPr>
          <w:p w14:paraId="4125112E" w14:textId="77777777" w:rsidR="00DB2B68" w:rsidRDefault="00000000">
            <w:pPr>
              <w:jc w:val="center"/>
            </w:pPr>
            <w:r>
              <w:rPr>
                <w:b/>
              </w:rPr>
              <w:t>21</w:t>
            </w:r>
          </w:p>
        </w:tc>
        <w:tc>
          <w:tcPr>
            <w:tcW w:w="570" w:type="dxa"/>
            <w:noWrap/>
          </w:tcPr>
          <w:p w14:paraId="4610FA63" w14:textId="77777777" w:rsidR="00DB2B68" w:rsidRDefault="00000000">
            <w:pPr>
              <w:jc w:val="center"/>
            </w:pPr>
            <w:r>
              <w:t>U</w:t>
            </w:r>
          </w:p>
        </w:tc>
        <w:tc>
          <w:tcPr>
            <w:tcW w:w="570" w:type="dxa"/>
            <w:noWrap/>
          </w:tcPr>
          <w:p w14:paraId="1462784A" w14:textId="77777777" w:rsidR="00DB2B68" w:rsidRDefault="00000000">
            <w:pPr>
              <w:jc w:val="center"/>
            </w:pPr>
            <w:r>
              <w:t>X</w:t>
            </w:r>
          </w:p>
        </w:tc>
        <w:tc>
          <w:tcPr>
            <w:tcW w:w="570" w:type="dxa"/>
            <w:noWrap/>
          </w:tcPr>
          <w:p w14:paraId="20AD7DEF" w14:textId="77777777" w:rsidR="00DB2B68" w:rsidRDefault="00000000">
            <w:pPr>
              <w:jc w:val="center"/>
            </w:pPr>
            <w:r>
              <w:t>X</w:t>
            </w:r>
          </w:p>
        </w:tc>
        <w:tc>
          <w:tcPr>
            <w:tcW w:w="570" w:type="dxa"/>
            <w:noWrap/>
          </w:tcPr>
          <w:p w14:paraId="3AC50581" w14:textId="77777777" w:rsidR="00DB2B68" w:rsidRDefault="00000000">
            <w:pPr>
              <w:jc w:val="center"/>
            </w:pPr>
            <w:r>
              <w:t>X</w:t>
            </w:r>
          </w:p>
        </w:tc>
      </w:tr>
      <w:tr w:rsidR="00DB2B68" w14:paraId="1C17EA8D" w14:textId="77777777">
        <w:tc>
          <w:tcPr>
            <w:tcW w:w="5655" w:type="dxa"/>
            <w:noWrap/>
          </w:tcPr>
          <w:p w14:paraId="0DEF5205" w14:textId="77777777" w:rsidR="00DB2B68" w:rsidRDefault="00000000">
            <w:r>
              <w:lastRenderedPageBreak/>
              <w:t>Fil d’acier galvanisé (60 g/m² - galvanisation de 8,5 µm d’épaisseur) avec un revêtement époxy sur toutes les surfaces du composant fini</w:t>
            </w:r>
          </w:p>
        </w:tc>
        <w:tc>
          <w:tcPr>
            <w:tcW w:w="1065" w:type="dxa"/>
            <w:noWrap/>
          </w:tcPr>
          <w:p w14:paraId="312A3799" w14:textId="77777777" w:rsidR="00DB2B68" w:rsidRDefault="00000000">
            <w:pPr>
              <w:jc w:val="center"/>
            </w:pPr>
            <w:r>
              <w:rPr>
                <w:b/>
              </w:rPr>
              <w:t>22</w:t>
            </w:r>
          </w:p>
        </w:tc>
        <w:tc>
          <w:tcPr>
            <w:tcW w:w="570" w:type="dxa"/>
            <w:noWrap/>
          </w:tcPr>
          <w:p w14:paraId="3BA3C1BF" w14:textId="77777777" w:rsidR="00DB2B68" w:rsidRDefault="00000000">
            <w:pPr>
              <w:jc w:val="center"/>
            </w:pPr>
            <w:r>
              <w:t>U</w:t>
            </w:r>
          </w:p>
        </w:tc>
        <w:tc>
          <w:tcPr>
            <w:tcW w:w="570" w:type="dxa"/>
            <w:noWrap/>
          </w:tcPr>
          <w:p w14:paraId="144C9C13" w14:textId="77777777" w:rsidR="00DB2B68" w:rsidRDefault="00000000">
            <w:pPr>
              <w:jc w:val="center"/>
            </w:pPr>
            <w:r>
              <w:t>U</w:t>
            </w:r>
          </w:p>
        </w:tc>
        <w:tc>
          <w:tcPr>
            <w:tcW w:w="570" w:type="dxa"/>
            <w:noWrap/>
          </w:tcPr>
          <w:p w14:paraId="5A0C36A7" w14:textId="77777777" w:rsidR="00DB2B68" w:rsidRDefault="00000000">
            <w:pPr>
              <w:jc w:val="center"/>
            </w:pPr>
            <w:r>
              <w:t>R</w:t>
            </w:r>
          </w:p>
        </w:tc>
        <w:tc>
          <w:tcPr>
            <w:tcW w:w="570" w:type="dxa"/>
            <w:noWrap/>
          </w:tcPr>
          <w:p w14:paraId="219995E3" w14:textId="77777777" w:rsidR="00DB2B68" w:rsidRDefault="00000000">
            <w:pPr>
              <w:jc w:val="center"/>
            </w:pPr>
            <w:r>
              <w:t>X</w:t>
            </w:r>
          </w:p>
        </w:tc>
      </w:tr>
      <w:tr w:rsidR="00DB2B68" w14:paraId="7CBDF50C" w14:textId="77777777">
        <w:tc>
          <w:tcPr>
            <w:tcW w:w="5655" w:type="dxa"/>
            <w:noWrap/>
          </w:tcPr>
          <w:p w14:paraId="5C8DE8D4" w14:textId="77777777" w:rsidR="00DB2B68" w:rsidRDefault="00000000">
            <w:r>
              <w:t>Acier inoxydable austéno-ferritique</w:t>
            </w:r>
          </w:p>
        </w:tc>
        <w:tc>
          <w:tcPr>
            <w:tcW w:w="1065" w:type="dxa"/>
            <w:noWrap/>
          </w:tcPr>
          <w:p w14:paraId="4B2A0367" w14:textId="77777777" w:rsidR="00DB2B68" w:rsidRDefault="00000000">
            <w:pPr>
              <w:jc w:val="center"/>
            </w:pPr>
            <w:r>
              <w:rPr>
                <w:b/>
              </w:rPr>
              <w:t>23</w:t>
            </w:r>
          </w:p>
        </w:tc>
        <w:tc>
          <w:tcPr>
            <w:tcW w:w="570" w:type="dxa"/>
            <w:noWrap/>
          </w:tcPr>
          <w:p w14:paraId="25D15FF6" w14:textId="77777777" w:rsidR="00DB2B68" w:rsidRDefault="00000000">
            <w:pPr>
              <w:jc w:val="center"/>
            </w:pPr>
            <w:r>
              <w:t>U</w:t>
            </w:r>
          </w:p>
        </w:tc>
        <w:tc>
          <w:tcPr>
            <w:tcW w:w="570" w:type="dxa"/>
            <w:noWrap/>
          </w:tcPr>
          <w:p w14:paraId="6C5B162A" w14:textId="77777777" w:rsidR="00DB2B68" w:rsidRDefault="00000000">
            <w:pPr>
              <w:jc w:val="center"/>
            </w:pPr>
            <w:r>
              <w:t>X</w:t>
            </w:r>
          </w:p>
        </w:tc>
        <w:tc>
          <w:tcPr>
            <w:tcW w:w="570" w:type="dxa"/>
            <w:noWrap/>
          </w:tcPr>
          <w:p w14:paraId="7D6E3321" w14:textId="77777777" w:rsidR="00DB2B68" w:rsidRDefault="00000000">
            <w:pPr>
              <w:jc w:val="center"/>
            </w:pPr>
            <w:r>
              <w:t>X</w:t>
            </w:r>
          </w:p>
        </w:tc>
        <w:tc>
          <w:tcPr>
            <w:tcW w:w="570" w:type="dxa"/>
            <w:noWrap/>
          </w:tcPr>
          <w:p w14:paraId="07AC6C28" w14:textId="77777777" w:rsidR="00DB2B68" w:rsidRDefault="00000000">
            <w:pPr>
              <w:jc w:val="center"/>
            </w:pPr>
            <w:r>
              <w:t>X</w:t>
            </w:r>
          </w:p>
        </w:tc>
      </w:tr>
      <w:tr w:rsidR="00DB2B68" w14:paraId="42758104" w14:textId="77777777">
        <w:tc>
          <w:tcPr>
            <w:tcW w:w="9000" w:type="dxa"/>
            <w:gridSpan w:val="6"/>
            <w:noWrap/>
          </w:tcPr>
          <w:p w14:paraId="1E6EC83F" w14:textId="77777777" w:rsidR="00DB2B68" w:rsidRDefault="00000000">
            <w:r>
              <w:t>(</w:t>
            </w:r>
            <w:r>
              <w:rPr>
                <w:vertAlign w:val="superscript"/>
              </w:rPr>
              <w:t>1</w:t>
            </w:r>
            <w:r>
              <w:t>)              U - utilisation sans limite du matériau dans la classe d’exposition indiquée.</w:t>
            </w:r>
          </w:p>
          <w:p w14:paraId="1B04C82B" w14:textId="77777777" w:rsidR="00DB2B68" w:rsidRDefault="00000000">
            <w:r>
              <w:t>      R - utilisation limitée; consulter le fabricant ou un spécialiste pour des conseils sur les conditions de calcul spécifiques.</w:t>
            </w:r>
          </w:p>
          <w:p w14:paraId="217FE4B4" w14:textId="77777777" w:rsidR="00DB2B68" w:rsidRDefault="00000000">
            <w:r>
              <w:t>                      X - matériau non recommandé pour une utilisation dans cette classe d’exposition.</w:t>
            </w:r>
          </w:p>
        </w:tc>
      </w:tr>
      <w:tr w:rsidR="00DB2B68" w14:paraId="1C6974F6" w14:textId="77777777">
        <w:tc>
          <w:tcPr>
            <w:tcW w:w="9000" w:type="dxa"/>
            <w:gridSpan w:val="6"/>
            <w:noWrap/>
          </w:tcPr>
          <w:p w14:paraId="30E35610" w14:textId="77777777" w:rsidR="00DB2B68" w:rsidRDefault="00000000">
            <w:r>
              <w:t>(</w:t>
            </w:r>
            <w:r>
              <w:rPr>
                <w:vertAlign w:val="superscript"/>
              </w:rPr>
              <w:t>2</w:t>
            </w:r>
            <w:r>
              <w:t>) Les masses de revêtement appliqué indiquées sont des valeurs approchées pour une face.</w:t>
            </w:r>
          </w:p>
        </w:tc>
      </w:tr>
      <w:tr w:rsidR="00DB2B68" w14:paraId="111D84AE" w14:textId="77777777">
        <w:tc>
          <w:tcPr>
            <w:tcW w:w="9000" w:type="dxa"/>
            <w:gridSpan w:val="6"/>
            <w:noWrap/>
          </w:tcPr>
          <w:p w14:paraId="14B8D058" w14:textId="77777777" w:rsidR="00DB2B68" w:rsidRDefault="00000000">
            <w:r>
              <w:t>(</w:t>
            </w:r>
            <w:r>
              <w:rPr>
                <w:vertAlign w:val="superscript"/>
              </w:rPr>
              <w:t>3</w:t>
            </w:r>
            <w:r>
              <w:t>) MX1 : environnement sec. MX2 : environnement humide. MX3 : environnement humide et cycles de gel-dégel. MX4 : environnement salin. MX5 : environnement chimique agressif.</w:t>
            </w:r>
          </w:p>
        </w:tc>
      </w:tr>
    </w:tbl>
    <w:p w14:paraId="3477D058" w14:textId="77777777" w:rsidR="00DB2B68" w:rsidRDefault="00DB2B68"/>
    <w:p w14:paraId="73807E3B" w14:textId="77777777" w:rsidR="00DB2B68" w:rsidRDefault="00000000">
      <w:pPr>
        <w:jc w:val="both"/>
      </w:pPr>
      <w:r>
        <w:t> </w:t>
      </w:r>
    </w:p>
    <w:p w14:paraId="23779B77" w14:textId="77777777" w:rsidR="00DB2B68" w:rsidRDefault="00000000">
      <w:pPr>
        <w:jc w:val="both"/>
      </w:pPr>
      <w:r>
        <w:t>Conformément à la norme et en fonction des performances attendues, la fiche technique du produit émise par le fabricant mentionne les informations suivantes : la longueur totale des attaches murales ainsi que l’épaisseur minimale du joint de mortier pour laquelle le composant est approprié (lorsque l’attache est destinée à être incorporée dans le mortier). La longueur d’ancrage minimale de chaque extrémité des attaches murales (au moins 30 mm) doit également être communiquée (cf. charge admissible). Elle doit tenir compte des tolérances de positionnement sur chantier. En outre, il convient que les attaches soient conçues de façon à ce qu’il y ait au moins 20 mm de mortier au-delà de l’attache dans son plan, lorsque l’attache est destinée à être incorporée dans le mortier, pour empêcher les efforts de compression de pousser l’attache à travers le mur.</w:t>
      </w:r>
    </w:p>
    <w:p w14:paraId="3E93EBCA" w14:textId="77777777" w:rsidR="00DB2B68" w:rsidRDefault="00000000">
      <w:pPr>
        <w:jc w:val="both"/>
      </w:pPr>
      <w:r>
        <w:t>Les informations techniques doivent également mentionner si les attaches assurent le rejet d’eau au moyen d’une section centrale profilée (avec larmier) de l’attache, d’un collier d’étanchéité, de l’inclinaison descendante de l’attache de la paroi intérieure vers la paroi extérieure.</w:t>
      </w:r>
    </w:p>
    <w:p w14:paraId="4BC969C4" w14:textId="77777777" w:rsidR="00DB2B68" w:rsidRDefault="00000000">
      <w:pPr>
        <w:jc w:val="both"/>
      </w:pPr>
      <w:r>
        <w:t> </w:t>
      </w:r>
    </w:p>
    <w:p w14:paraId="08EB65B0" w14:textId="77777777" w:rsidR="00DB2B68" w:rsidRDefault="00000000">
      <w:pPr>
        <w:jc w:val="both"/>
      </w:pPr>
      <w:r>
        <w:t>- Attaches pour mur double</w:t>
      </w:r>
    </w:p>
    <w:p w14:paraId="49A8D07A" w14:textId="77777777" w:rsidR="00DB2B68" w:rsidRDefault="00000000">
      <w:pPr>
        <w:jc w:val="both"/>
      </w:pPr>
      <w:r>
        <w:t>La fiche technique du produit émise par le fabricant mentionne également les informations suivantes : dimensions et performances mécaniques (c.-à-d. la charge admissible en traction et en compression et le déplacement sous charge), les largeurs du creux (cavité, soit la distance entre les deux parois) pour lesquelles les valeurs des performances communiquées sont valables, la plage de mouvement maximale admissible et les inclinaisons maximale et minimale admissibles (dans le cas des attaches mobiles et des attaches inclinables pour mur double).</w:t>
      </w:r>
    </w:p>
    <w:p w14:paraId="6C52B35B" w14:textId="77777777" w:rsidR="00DB2B68" w:rsidRDefault="00000000">
      <w:pPr>
        <w:jc w:val="both"/>
      </w:pPr>
      <w:r>
        <w:t> </w:t>
      </w:r>
    </w:p>
    <w:p w14:paraId="3BB79E7F" w14:textId="77777777" w:rsidR="00DB2B68" w:rsidRDefault="00000000">
      <w:pPr>
        <w:jc w:val="both"/>
      </w:pPr>
      <w:r>
        <w:t>- Attaches de cisaillement et attaches de maintien</w:t>
      </w:r>
    </w:p>
    <w:p w14:paraId="0E485278" w14:textId="77777777" w:rsidR="00DB2B68" w:rsidRDefault="00000000">
      <w:pPr>
        <w:jc w:val="both"/>
      </w:pPr>
      <w:r>
        <w:t>Dans le cas des attaches de cisaillement et des attaches de maintien, outre les exigences précitées sur les dimensions, la fiche technique émise par le fabricant mentionne les performances mécaniques (c.-à-d. pour les attaches de cisaillement, la charge admissible en traction, en compression et en cisaillement et uniquement cette dernière pour les attaches de maintien, ainsi que le déplacement sous charge d’essai).</w:t>
      </w:r>
    </w:p>
    <w:p w14:paraId="07908164" w14:textId="77777777" w:rsidR="00DB2B68" w:rsidRDefault="00000000">
      <w:pPr>
        <w:pStyle w:val="pheading"/>
      </w:pPr>
      <w:r>
        <w:t>DOCUMENTS DE RÉFÉRENCE</w:t>
      </w:r>
    </w:p>
    <w:p w14:paraId="4DC08ADB" w14:textId="77777777" w:rsidR="00DB2B68" w:rsidRDefault="00000000">
      <w:pPr>
        <w:pStyle w:val="pheading"/>
      </w:pPr>
      <w:r>
        <w:t>- Matériau</w:t>
      </w:r>
    </w:p>
    <w:p w14:paraId="6E9BCFDE" w14:textId="77777777" w:rsidR="00DB2B68" w:rsidRDefault="00000000">
      <w:r>
        <w:t>[NBN EN 845-1:2013+A1, Spécification pour composants accessoires de maçonnerie - Partie 1: Attaches, brides de fixation, étriers de support et consoles]</w:t>
      </w:r>
    </w:p>
    <w:p w14:paraId="6A826F75" w14:textId="77777777" w:rsidR="00DB2B68" w:rsidRDefault="00000000">
      <w:pPr>
        <w:pStyle w:val="pheading"/>
      </w:pPr>
      <w:r>
        <w:t>- Exécution</w:t>
      </w:r>
    </w:p>
    <w:p w14:paraId="28FAC66E" w14:textId="77777777" w:rsidR="00DB2B68" w:rsidRDefault="00000000">
      <w:r>
        <w:t>[NBN EN 1996-2, Eurocode 6 - Calcul des ouvrages en maçonnerie - Partie 2: Conception, choix des matériaux et mise en oeuvre des maçonneries (+ AC:2009)]</w:t>
      </w:r>
    </w:p>
    <w:p w14:paraId="379B2528" w14:textId="77777777" w:rsidR="00DB2B68" w:rsidRDefault="00000000">
      <w:pPr>
        <w:pStyle w:val="pheading"/>
      </w:pPr>
      <w:r>
        <w:t>AIDE</w:t>
      </w:r>
    </w:p>
    <w:p w14:paraId="55ED360A" w14:textId="77777777" w:rsidR="00DB2B68" w:rsidRDefault="00000000">
      <w:r>
        <w:lastRenderedPageBreak/>
        <w:t>Les crochets, tirants et pattes d’ancrage de maçonnerie sont dénommés ‘attaches murales’ dans la [NBN EN 845-1:2013+A1]  et se répartissent conformément au tableau ci-dessous.</w:t>
      </w:r>
    </w:p>
    <w:p w14:paraId="083EF48E" w14:textId="77777777" w:rsidR="00DB2B68" w:rsidRDefault="00000000">
      <w:r>
        <w:t>Tableau. Types d’attaches murales [1] (cf. [NBN EN 845-1:2013+A1])</w:t>
      </w:r>
    </w:p>
    <w:tbl>
      <w:tblPr>
        <w:tblStyle w:val="Author-eTableGrid"/>
        <w:tblW w:w="9030" w:type="dxa"/>
        <w:tblLayout w:type="fixed"/>
        <w:tblLook w:val="04A0" w:firstRow="1" w:lastRow="0" w:firstColumn="1" w:lastColumn="0" w:noHBand="0" w:noVBand="1"/>
      </w:tblPr>
      <w:tblGrid>
        <w:gridCol w:w="961"/>
        <w:gridCol w:w="1592"/>
        <w:gridCol w:w="1593"/>
        <w:gridCol w:w="1698"/>
        <w:gridCol w:w="1593"/>
        <w:gridCol w:w="1593"/>
      </w:tblGrid>
      <w:tr w:rsidR="00DB2B68" w14:paraId="4FCCBA75" w14:textId="77777777">
        <w:tc>
          <w:tcPr>
            <w:tcW w:w="960" w:type="dxa"/>
            <w:vMerge w:val="restart"/>
            <w:noWrap/>
          </w:tcPr>
          <w:p w14:paraId="723893AB" w14:textId="77777777" w:rsidR="00DB2B68" w:rsidRDefault="00DB2B68"/>
          <w:p w14:paraId="7F860E23" w14:textId="77777777" w:rsidR="00DB2B68" w:rsidRDefault="00000000">
            <w:pPr>
              <w:jc w:val="center"/>
            </w:pPr>
            <w:r>
              <w:rPr>
                <w:b/>
              </w:rPr>
              <w:t>Types </w:t>
            </w:r>
          </w:p>
        </w:tc>
        <w:tc>
          <w:tcPr>
            <w:tcW w:w="4875" w:type="dxa"/>
            <w:gridSpan w:val="3"/>
            <w:noWrap/>
          </w:tcPr>
          <w:p w14:paraId="54D96134" w14:textId="77777777" w:rsidR="00DB2B68" w:rsidRDefault="00000000">
            <w:pPr>
              <w:jc w:val="center"/>
            </w:pPr>
            <w:r>
              <w:rPr>
                <w:b/>
              </w:rPr>
              <w:t>Attaches pour mur double [2] [3]</w:t>
            </w:r>
          </w:p>
        </w:tc>
        <w:tc>
          <w:tcPr>
            <w:tcW w:w="1590" w:type="dxa"/>
            <w:vMerge w:val="restart"/>
            <w:noWrap/>
          </w:tcPr>
          <w:p w14:paraId="3272F7E9" w14:textId="77777777" w:rsidR="00DB2B68" w:rsidRDefault="00000000">
            <w:pPr>
              <w:jc w:val="center"/>
            </w:pPr>
            <w:r>
              <w:rPr>
                <w:b/>
              </w:rPr>
              <w:t>Attaches</w:t>
            </w:r>
          </w:p>
          <w:p w14:paraId="7F9D6E52" w14:textId="77777777" w:rsidR="00DB2B68" w:rsidRDefault="00000000">
            <w:pPr>
              <w:jc w:val="center"/>
            </w:pPr>
            <w:r>
              <w:rPr>
                <w:b/>
              </w:rPr>
              <w:t>de cisaillement</w:t>
            </w:r>
          </w:p>
        </w:tc>
        <w:tc>
          <w:tcPr>
            <w:tcW w:w="1590" w:type="dxa"/>
            <w:vMerge w:val="restart"/>
            <w:noWrap/>
          </w:tcPr>
          <w:p w14:paraId="559E4755" w14:textId="77777777" w:rsidR="00DB2B68" w:rsidRDefault="00000000">
            <w:pPr>
              <w:jc w:val="center"/>
            </w:pPr>
            <w:r>
              <w:rPr>
                <w:b/>
              </w:rPr>
              <w:t>Attaches</w:t>
            </w:r>
          </w:p>
          <w:p w14:paraId="34237859" w14:textId="77777777" w:rsidR="00DB2B68" w:rsidRDefault="00000000">
            <w:pPr>
              <w:jc w:val="center"/>
            </w:pPr>
            <w:r>
              <w:rPr>
                <w:b/>
              </w:rPr>
              <w:t>de maintien</w:t>
            </w:r>
          </w:p>
        </w:tc>
      </w:tr>
      <w:tr w:rsidR="00DB2B68" w14:paraId="1E8F3ED4" w14:textId="77777777">
        <w:tc>
          <w:tcPr>
            <w:tcW w:w="960" w:type="dxa"/>
            <w:vMerge/>
            <w:noWrap/>
          </w:tcPr>
          <w:p w14:paraId="7C1A0952" w14:textId="77777777" w:rsidR="00DB2B68" w:rsidRDefault="00DB2B68"/>
        </w:tc>
        <w:tc>
          <w:tcPr>
            <w:tcW w:w="1590" w:type="dxa"/>
            <w:noWrap/>
          </w:tcPr>
          <w:p w14:paraId="0DE4816F" w14:textId="77777777" w:rsidR="00DB2B68" w:rsidRDefault="00000000">
            <w:pPr>
              <w:jc w:val="center"/>
            </w:pPr>
            <w:r>
              <w:rPr>
                <w:b/>
              </w:rPr>
              <w:t>D’usage courant</w:t>
            </w:r>
          </w:p>
        </w:tc>
        <w:tc>
          <w:tcPr>
            <w:tcW w:w="1590" w:type="dxa"/>
            <w:noWrap/>
          </w:tcPr>
          <w:p w14:paraId="12462F82" w14:textId="77777777" w:rsidR="00DB2B68" w:rsidRDefault="00000000">
            <w:pPr>
              <w:jc w:val="center"/>
            </w:pPr>
            <w:r>
              <w:rPr>
                <w:b/>
              </w:rPr>
              <w:t>‘Mobiles’ [4]</w:t>
            </w:r>
          </w:p>
        </w:tc>
        <w:tc>
          <w:tcPr>
            <w:tcW w:w="1695" w:type="dxa"/>
            <w:noWrap/>
          </w:tcPr>
          <w:p w14:paraId="299939D6" w14:textId="77777777" w:rsidR="00DB2B68" w:rsidRDefault="00000000">
            <w:pPr>
              <w:jc w:val="center"/>
            </w:pPr>
            <w:r>
              <w:rPr>
                <w:b/>
              </w:rPr>
              <w:t>‘A clavette/rainure’ [5]</w:t>
            </w:r>
          </w:p>
        </w:tc>
        <w:tc>
          <w:tcPr>
            <w:tcW w:w="1590" w:type="dxa"/>
            <w:vMerge/>
            <w:noWrap/>
          </w:tcPr>
          <w:p w14:paraId="764C95A4" w14:textId="77777777" w:rsidR="00DB2B68" w:rsidRDefault="00DB2B68"/>
        </w:tc>
        <w:tc>
          <w:tcPr>
            <w:tcW w:w="1590" w:type="dxa"/>
            <w:vMerge/>
            <w:noWrap/>
          </w:tcPr>
          <w:p w14:paraId="731598AE" w14:textId="77777777" w:rsidR="00DB2B68" w:rsidRDefault="00DB2B68"/>
        </w:tc>
      </w:tr>
      <w:tr w:rsidR="00DB2B68" w14:paraId="448A4F09" w14:textId="77777777">
        <w:tc>
          <w:tcPr>
            <w:tcW w:w="960" w:type="dxa"/>
            <w:vMerge w:val="restart"/>
            <w:noWrap/>
          </w:tcPr>
          <w:p w14:paraId="786A08FA" w14:textId="77777777" w:rsidR="00DB2B68" w:rsidRDefault="00000000">
            <w:pPr>
              <w:jc w:val="center"/>
            </w:pPr>
            <w:r>
              <w:rPr>
                <w:b/>
              </w:rPr>
              <w:t>Efforts transmis</w:t>
            </w:r>
          </w:p>
        </w:tc>
        <w:tc>
          <w:tcPr>
            <w:tcW w:w="4875" w:type="dxa"/>
            <w:gridSpan w:val="3"/>
            <w:noWrap/>
          </w:tcPr>
          <w:p w14:paraId="16E76758" w14:textId="77777777" w:rsidR="00DB2B68" w:rsidRDefault="00000000">
            <w:pPr>
              <w:jc w:val="center"/>
            </w:pPr>
            <w:r>
              <w:t>Principalement transmission des efforts axiaux (tension/compression)</w:t>
            </w:r>
          </w:p>
        </w:tc>
        <w:tc>
          <w:tcPr>
            <w:tcW w:w="1590" w:type="dxa"/>
            <w:vMerge w:val="restart"/>
            <w:noWrap/>
          </w:tcPr>
          <w:p w14:paraId="46744CA5" w14:textId="77777777" w:rsidR="00DB2B68" w:rsidRDefault="00000000">
            <w:r>
              <w:t>Transmission des efforts axiaux (tension/</w:t>
            </w:r>
          </w:p>
          <w:p w14:paraId="76AD4030" w14:textId="77777777" w:rsidR="00DB2B68" w:rsidRDefault="00000000">
            <w:r>
              <w:t>compression) et de cisaillement</w:t>
            </w:r>
          </w:p>
        </w:tc>
        <w:tc>
          <w:tcPr>
            <w:tcW w:w="1590" w:type="dxa"/>
            <w:vMerge w:val="restart"/>
            <w:noWrap/>
          </w:tcPr>
          <w:p w14:paraId="6F846101" w14:textId="77777777" w:rsidR="00DB2B68" w:rsidRDefault="00000000">
            <w:r>
              <w:t>Transmission des efforts de cisaillement</w:t>
            </w:r>
          </w:p>
        </w:tc>
      </w:tr>
      <w:tr w:rsidR="00DB2B68" w14:paraId="53D1CE10" w14:textId="77777777">
        <w:tc>
          <w:tcPr>
            <w:tcW w:w="960" w:type="dxa"/>
            <w:vMerge/>
            <w:noWrap/>
          </w:tcPr>
          <w:p w14:paraId="0906E6DD" w14:textId="77777777" w:rsidR="00DB2B68" w:rsidRDefault="00DB2B68"/>
        </w:tc>
        <w:tc>
          <w:tcPr>
            <w:tcW w:w="1590" w:type="dxa"/>
            <w:noWrap/>
          </w:tcPr>
          <w:p w14:paraId="68D3508C" w14:textId="77777777" w:rsidR="00DB2B68" w:rsidRDefault="00000000">
            <w:r>
              <w:t>Permettent un mouvement différentiel limité dans le plan du mur</w:t>
            </w:r>
          </w:p>
        </w:tc>
        <w:tc>
          <w:tcPr>
            <w:tcW w:w="1590" w:type="dxa"/>
            <w:noWrap/>
          </w:tcPr>
          <w:p w14:paraId="0DC607C5" w14:textId="77777777" w:rsidR="00DB2B68" w:rsidRDefault="00000000">
            <w:r>
              <w:t>Permettent de grands mouvements différentiels des murs dans leur plan sans créer de fortes contraintes de cisaillement</w:t>
            </w:r>
          </w:p>
        </w:tc>
        <w:tc>
          <w:tcPr>
            <w:tcW w:w="1695" w:type="dxa"/>
            <w:noWrap/>
          </w:tcPr>
          <w:p w14:paraId="0124BC2E" w14:textId="77777777" w:rsidR="00DB2B68" w:rsidRDefault="00000000">
            <w:r>
              <w:t>Permettent à la clavette de coulisser librement dans la rainure (ajustement lors de l’installation et/ou mouvement différentiel en service)</w:t>
            </w:r>
          </w:p>
        </w:tc>
        <w:tc>
          <w:tcPr>
            <w:tcW w:w="1590" w:type="dxa"/>
            <w:vMerge/>
            <w:noWrap/>
          </w:tcPr>
          <w:p w14:paraId="7953D93E" w14:textId="77777777" w:rsidR="00DB2B68" w:rsidRDefault="00DB2B68"/>
        </w:tc>
        <w:tc>
          <w:tcPr>
            <w:tcW w:w="1590" w:type="dxa"/>
            <w:vMerge/>
            <w:noWrap/>
          </w:tcPr>
          <w:p w14:paraId="20C229FF" w14:textId="77777777" w:rsidR="00DB2B68" w:rsidRDefault="00DB2B68"/>
        </w:tc>
      </w:tr>
      <w:tr w:rsidR="00DB2B68" w14:paraId="5ABEEC7E" w14:textId="77777777">
        <w:tc>
          <w:tcPr>
            <w:tcW w:w="960" w:type="dxa"/>
            <w:noWrap/>
          </w:tcPr>
          <w:p w14:paraId="32DB1F05" w14:textId="77777777" w:rsidR="00DB2B68" w:rsidRDefault="00DB2B68"/>
          <w:p w14:paraId="1B41C92D" w14:textId="77777777" w:rsidR="00DB2B68" w:rsidRDefault="00000000">
            <w:pPr>
              <w:jc w:val="center"/>
            </w:pPr>
            <w:r>
              <w:rPr>
                <w:b/>
              </w:rPr>
              <w:t>Exemple</w:t>
            </w:r>
          </w:p>
          <w:p w14:paraId="45CF8C54" w14:textId="77777777" w:rsidR="00DB2B68" w:rsidRDefault="00000000">
            <w:pPr>
              <w:jc w:val="center"/>
            </w:pPr>
            <w:r>
              <w:rPr>
                <w:b/>
              </w:rPr>
              <w:t>d’usage</w:t>
            </w:r>
          </w:p>
        </w:tc>
        <w:tc>
          <w:tcPr>
            <w:tcW w:w="4875" w:type="dxa"/>
            <w:gridSpan w:val="3"/>
            <w:noWrap/>
          </w:tcPr>
          <w:p w14:paraId="46474935" w14:textId="77777777" w:rsidR="00DB2B68" w:rsidRDefault="00DB2B68"/>
          <w:p w14:paraId="37D0562A" w14:textId="77777777" w:rsidR="00DB2B68" w:rsidRDefault="00000000">
            <w:pPr>
              <w:jc w:val="center"/>
            </w:pPr>
            <w:r>
              <w:t>Liaison d’un mur de parement extérieur à une paroi portante</w:t>
            </w:r>
          </w:p>
        </w:tc>
        <w:tc>
          <w:tcPr>
            <w:tcW w:w="1590" w:type="dxa"/>
            <w:noWrap/>
          </w:tcPr>
          <w:p w14:paraId="4E864FEA" w14:textId="77777777" w:rsidR="00DB2B68" w:rsidRDefault="00000000">
            <w:r>
              <w:t>Liaison de deux murs porteurs non harpés</w:t>
            </w:r>
          </w:p>
        </w:tc>
        <w:tc>
          <w:tcPr>
            <w:tcW w:w="1590" w:type="dxa"/>
            <w:noWrap/>
          </w:tcPr>
          <w:p w14:paraId="11B4A8DD" w14:textId="77777777" w:rsidR="00DB2B68" w:rsidRDefault="00000000">
            <w:r>
              <w:t>Liaison d’un mur de cloison à un mur porteur</w:t>
            </w:r>
          </w:p>
        </w:tc>
      </w:tr>
      <w:tr w:rsidR="00DB2B68" w14:paraId="2E8436AF" w14:textId="77777777">
        <w:tc>
          <w:tcPr>
            <w:tcW w:w="9015" w:type="dxa"/>
            <w:gridSpan w:val="6"/>
            <w:noWrap/>
          </w:tcPr>
          <w:p w14:paraId="69837F2E" w14:textId="77777777" w:rsidR="00DB2B68" w:rsidRDefault="00000000">
            <w:r>
              <w:t>[1] Asymétrique ou symétrique (conception physique et fixation identiques à chaque extrémité).</w:t>
            </w:r>
          </w:p>
          <w:p w14:paraId="74B2E6A4" w14:textId="77777777" w:rsidR="00DB2B68" w:rsidRDefault="00000000">
            <w:r>
              <w:t>[2] horizontale : conçue pour être installée approximativement à l’horizontale et dans le plan du joint de mortier.</w:t>
            </w:r>
          </w:p>
          <w:p w14:paraId="0E47271B" w14:textId="77777777" w:rsidR="00DB2B68" w:rsidRDefault="00000000">
            <w:r>
              <w:t>[3] inclinable ; conçue pour pouvoir fonctionner de manière satisfaisante avec une inclinaison importante par rapport à l’horizontale.</w:t>
            </w:r>
          </w:p>
          <w:p w14:paraId="5AB3DE4B" w14:textId="77777777" w:rsidR="00DB2B68" w:rsidRDefault="00000000">
            <w:r>
              <w:t>[4] grâce à l’utilisation de matériaux flexibles, de systèmes à rainure libre, de joints articulés ou d’autres moyens</w:t>
            </w:r>
          </w:p>
          <w:p w14:paraId="4163D8E2" w14:textId="77777777" w:rsidR="00DB2B68" w:rsidRDefault="00000000">
            <w:r>
              <w:t>[5] La fixation à une extrémité est réalisée en engageant une clavette dans la rainure d’un élément.</w:t>
            </w:r>
          </w:p>
        </w:tc>
      </w:tr>
    </w:tbl>
    <w:p w14:paraId="2132B696" w14:textId="77777777" w:rsidR="00DB2B68" w:rsidRDefault="00000000">
      <w:pPr>
        <w:pStyle w:val="Author-eSectionHeading6Numberless"/>
      </w:pPr>
      <w:bookmarkStart w:id="369" w:name="_Toc220495477"/>
      <w:r>
        <w:t>21.42.1a Crochets, tirants et pattes d'ancrages de maçonneries fixés mécaniquement CCTB 01.11</w:t>
      </w:r>
      <w:bookmarkEnd w:id="369"/>
    </w:p>
    <w:p w14:paraId="31935842" w14:textId="77777777" w:rsidR="00DB2B68" w:rsidRDefault="00000000">
      <w:pPr>
        <w:pStyle w:val="pheading"/>
      </w:pPr>
      <w:r>
        <w:t>DESCRIPTION</w:t>
      </w:r>
    </w:p>
    <w:p w14:paraId="7CADA58E" w14:textId="77777777" w:rsidR="00DB2B68" w:rsidRDefault="00000000">
      <w:pPr>
        <w:pStyle w:val="pheading"/>
      </w:pPr>
      <w:r>
        <w:t>- Définition / Comprend</w:t>
      </w:r>
    </w:p>
    <w:p w14:paraId="2CB520AA" w14:textId="77777777" w:rsidR="00DB2B68" w:rsidRDefault="00000000">
      <w:pPr>
        <w:jc w:val="both"/>
      </w:pPr>
      <w:r>
        <w:t xml:space="preserve">Il s’agit des travaux (fourniture et pose) de crochets, tirants et pattes d’ancrage de maçonneries fixés mécaniquement. La portée des travaux est décrite dans les éléments </w:t>
      </w:r>
      <w:hyperlink w:anchor="365" w:history="1">
        <w:r>
          <w:rPr>
            <w:color w:val="0000EE"/>
          </w:rPr>
          <w:t>21.42.1 Crochets, tirants et pattes d'ancrages de maçonneries</w:t>
        </w:r>
      </w:hyperlink>
      <w:r>
        <w:t xml:space="preserve">, </w:t>
      </w:r>
      <w:hyperlink w:anchor="295" w:history="1">
        <w:r>
          <w:rPr>
            <w:color w:val="0000EE"/>
          </w:rPr>
          <w:t>21 Superstructures en maçonnerie</w:t>
        </w:r>
      </w:hyperlink>
      <w:r>
        <w:t xml:space="preserve">, </w:t>
      </w:r>
      <w:hyperlink w:anchor="381" w:history="1">
        <w:r>
          <w:rPr>
            <w:color w:val="0000EE"/>
          </w:rPr>
          <w:t>21.3 Maçonneries de parement</w:t>
        </w:r>
      </w:hyperlink>
      <w:r>
        <w:t>, …</w:t>
      </w:r>
    </w:p>
    <w:p w14:paraId="3BB2D8C6" w14:textId="77777777" w:rsidR="00DB2B68" w:rsidRDefault="00000000">
      <w:pPr>
        <w:jc w:val="both"/>
      </w:pPr>
      <w:r>
        <w:t>Sont décrites dans cet élément les attaches fixées mécaniquement à une extrémité, l’autre extrémité étant fixée par scellement dans le mortier de maçonnerie.</w:t>
      </w:r>
    </w:p>
    <w:p w14:paraId="5732F48D" w14:textId="77777777" w:rsidR="00DB2B68" w:rsidRDefault="00000000">
      <w:pPr>
        <w:pStyle w:val="pheading"/>
      </w:pPr>
      <w:r>
        <w:t>- Localisation</w:t>
      </w:r>
    </w:p>
    <w:p w14:paraId="58DCB025" w14:textId="77777777" w:rsidR="00DB2B68" w:rsidRDefault="00000000">
      <w:r>
        <w:t xml:space="preserve">Localisation des travaux : </w:t>
      </w:r>
      <w:r>
        <w:rPr>
          <w:rStyle w:val="optioncarChar"/>
        </w:rPr>
        <w:t>***</w:t>
      </w:r>
      <w:r>
        <w:t>.</w:t>
      </w:r>
    </w:p>
    <w:p w14:paraId="255E5D00" w14:textId="77777777" w:rsidR="00DB2B68" w:rsidRDefault="00000000">
      <w:r>
        <w:t>Voir plans et métrés détaillés.</w:t>
      </w:r>
    </w:p>
    <w:p w14:paraId="30228F82" w14:textId="77777777" w:rsidR="00DB2B68" w:rsidRDefault="00000000">
      <w:pPr>
        <w:pStyle w:val="pheading"/>
      </w:pPr>
      <w:r>
        <w:t>MATÉRIAUX</w:t>
      </w:r>
    </w:p>
    <w:p w14:paraId="38E84525" w14:textId="77777777" w:rsidR="00DB2B68" w:rsidRDefault="00000000">
      <w:pPr>
        <w:pStyle w:val="pheading"/>
      </w:pPr>
      <w:r>
        <w:t>- Caractéristiques générales</w:t>
      </w:r>
    </w:p>
    <w:p w14:paraId="41B16AE4" w14:textId="77777777" w:rsidR="00DB2B68" w:rsidRDefault="00000000">
      <w:pPr>
        <w:jc w:val="both"/>
      </w:pPr>
      <w:r>
        <w:rPr>
          <w:b/>
        </w:rPr>
        <w:t>1. Maçonneries à liaisonner</w:t>
      </w:r>
    </w:p>
    <w:p w14:paraId="4E5E8D7C" w14:textId="77777777" w:rsidR="00DB2B68" w:rsidRDefault="00000000">
      <w:pPr>
        <w:jc w:val="both"/>
      </w:pPr>
      <w:r>
        <w:t xml:space="preserve">La maçonnerie dans laquelle l’attache est fixée mécaniquement est constituée de : </w:t>
      </w:r>
    </w:p>
    <w:p w14:paraId="1C66B407" w14:textId="77777777" w:rsidR="00DB2B68" w:rsidRDefault="00000000">
      <w:pPr>
        <w:jc w:val="both"/>
      </w:pPr>
      <w:r>
        <w:lastRenderedPageBreak/>
        <w:t xml:space="preserve"> éléments de maçonnerie :</w:t>
      </w:r>
      <w:r>
        <w:rPr>
          <w:rStyle w:val="optioncarChar"/>
        </w:rPr>
        <w:t xml:space="preserve"> terre cuite / silico-calcaire / béton de granulat / béton cellulaire / pierre naturelle</w:t>
      </w:r>
      <w:r>
        <w:t xml:space="preserve"> appartenant au groupe </w:t>
      </w:r>
      <w:r>
        <w:rPr>
          <w:rStyle w:val="optioncarChar"/>
        </w:rPr>
        <w:t>1 / 2 / 3 / 4</w:t>
      </w:r>
      <w:r>
        <w:t>.</w:t>
      </w:r>
    </w:p>
    <w:p w14:paraId="2B152C30" w14:textId="77777777" w:rsidR="00DB2B68" w:rsidRDefault="00000000">
      <w:pPr>
        <w:jc w:val="both"/>
      </w:pPr>
      <w:r>
        <w:t xml:space="preserve"> Mortier : classe </w:t>
      </w:r>
      <w:r>
        <w:rPr>
          <w:rStyle w:val="optioncarChar"/>
        </w:rPr>
        <w:t>M5 / M10 / M15 / M20 / ***</w:t>
      </w:r>
      <w:r>
        <w:t>.</w:t>
      </w:r>
    </w:p>
    <w:p w14:paraId="664CF764" w14:textId="77777777" w:rsidR="00DB2B68" w:rsidRDefault="00000000">
      <w:pPr>
        <w:jc w:val="both"/>
      </w:pPr>
      <w:r>
        <w:t xml:space="preserve">La maçonnerie à liaisonner </w:t>
      </w:r>
      <w:r>
        <w:rPr>
          <w:rStyle w:val="optioncarChar"/>
        </w:rPr>
        <w:t>est / n’est pas</w:t>
      </w:r>
      <w:r>
        <w:t xml:space="preserve"> de même constitution.</w:t>
      </w:r>
    </w:p>
    <w:p w14:paraId="31BB9BE2" w14:textId="77777777" w:rsidR="00DB2B68" w:rsidRDefault="00000000">
      <w:pPr>
        <w:jc w:val="both"/>
      </w:pPr>
      <w:r>
        <w:t>En cas de constitution différente, le mur est constitué de :</w:t>
      </w:r>
    </w:p>
    <w:p w14:paraId="0557FDCE" w14:textId="77777777" w:rsidR="00DB2B68" w:rsidRDefault="00000000">
      <w:pPr>
        <w:jc w:val="both"/>
      </w:pPr>
      <w:r>
        <w:t xml:space="preserve"> Eléments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p>
    <w:p w14:paraId="1BB06D01" w14:textId="77777777" w:rsidR="00DB2B68" w:rsidRDefault="00000000">
      <w:pPr>
        <w:jc w:val="both"/>
      </w:pPr>
      <w:r>
        <w:t xml:space="preserve"> Mortier : </w:t>
      </w:r>
      <w:r>
        <w:rPr>
          <w:rStyle w:val="optioncarChar"/>
        </w:rPr>
        <w:t>classe M5 / M10 / M15 / M20 / ***</w:t>
      </w:r>
      <w:r>
        <w:t>.</w:t>
      </w:r>
    </w:p>
    <w:p w14:paraId="5A52766F" w14:textId="77777777" w:rsidR="00DB2B68" w:rsidRDefault="00000000">
      <w:pPr>
        <w:jc w:val="both"/>
      </w:pPr>
      <w:r>
        <w:t> </w:t>
      </w:r>
    </w:p>
    <w:p w14:paraId="28966D92" w14:textId="77777777" w:rsidR="00DB2B68" w:rsidRDefault="00000000">
      <w:pPr>
        <w:jc w:val="both"/>
      </w:pPr>
      <w:r>
        <w:rPr>
          <w:b/>
        </w:rPr>
        <w:t>2. Attaches murales</w:t>
      </w:r>
    </w:p>
    <w:p w14:paraId="2DF64D70" w14:textId="77777777" w:rsidR="00DB2B68" w:rsidRDefault="00000000">
      <w:pPr>
        <w:jc w:val="both"/>
      </w:pPr>
      <w:r>
        <w:t xml:space="preserve">La classe d’exposition est : </w:t>
      </w:r>
      <w:r>
        <w:rPr>
          <w:rStyle w:val="optioncarChar"/>
        </w:rPr>
        <w:t xml:space="preserve">MX1 (environnement sec) / MX2 (environnement humide) ou MX3 (environnement humide et cycles de gel </w:t>
      </w:r>
      <w:r>
        <w:t>(par défaut)</w:t>
      </w:r>
      <w:r>
        <w:rPr>
          <w:rStyle w:val="optioncarChar"/>
        </w:rPr>
        <w:t xml:space="preserve"> / MX4 (environnement salin) / MX5 (environnement chimique agressif)</w:t>
      </w:r>
      <w:r>
        <w:t>.</w:t>
      </w:r>
    </w:p>
    <w:p w14:paraId="5D057B88" w14:textId="77777777" w:rsidR="00DB2B68" w:rsidRDefault="00000000">
      <w:pPr>
        <w:jc w:val="both"/>
      </w:pPr>
      <w:r>
        <w:t xml:space="preserve">Le n° de référence du matériau est (voir chapitre </w:t>
      </w:r>
      <w:hyperlink w:anchor="365" w:history="1">
        <w:r>
          <w:rPr>
            <w:color w:val="0000EE"/>
          </w:rPr>
          <w:t>21.42.1 Crochets, tirants et pattes d'ancrages de maçonneries</w:t>
        </w:r>
      </w:hyperlink>
      <w:r>
        <w:t xml:space="preserve">) :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3660F2F0" w14:textId="77777777" w:rsidR="00DB2B68" w:rsidRDefault="00000000">
      <w:pPr>
        <w:jc w:val="both"/>
      </w:pPr>
      <w:r>
        <w:t xml:space="preserve">Les attaches murales sont : </w:t>
      </w:r>
      <w:r>
        <w:rPr>
          <w:rStyle w:val="optioncarChar"/>
        </w:rPr>
        <w:t xml:space="preserve">asymétriques </w:t>
      </w:r>
      <w:r>
        <w:t>(par défaut)</w:t>
      </w:r>
      <w:r>
        <w:rPr>
          <w:rStyle w:val="optioncarChar"/>
        </w:rPr>
        <w:t xml:space="preserve"> / symétriques</w:t>
      </w:r>
      <w:r>
        <w:t xml:space="preserve">, et </w:t>
      </w:r>
      <w:r>
        <w:rPr>
          <w:rStyle w:val="optioncarChar"/>
        </w:rPr>
        <w:t xml:space="preserve">horizontales </w:t>
      </w:r>
      <w:r>
        <w:t>(par défaut)</w:t>
      </w:r>
      <w:r>
        <w:rPr>
          <w:rStyle w:val="optioncarChar"/>
        </w:rPr>
        <w:t xml:space="preserve"> / inclinables / mobiles</w:t>
      </w:r>
      <w:r>
        <w:t>.</w:t>
      </w:r>
    </w:p>
    <w:p w14:paraId="4054B58F" w14:textId="77777777" w:rsidR="00DB2B68" w:rsidRDefault="00DB2B68"/>
    <w:p w14:paraId="0CC5F6A9" w14:textId="77777777" w:rsidR="00DB2B68" w:rsidRDefault="00000000">
      <w:pPr>
        <w:jc w:val="both"/>
      </w:pPr>
      <w:r>
        <w:rPr>
          <w:b/>
        </w:rPr>
        <w:t>2.1. Attaches pour murs doubles (aussi appelées crochets ou tirants)</w:t>
      </w:r>
    </w:p>
    <w:p w14:paraId="21945E5B" w14:textId="77777777" w:rsidR="00DB2B68" w:rsidRDefault="00000000">
      <w:pPr>
        <w:jc w:val="both"/>
      </w:pPr>
      <w:r>
        <w:t xml:space="preserve">Largeur du creux (cavité = distance entre les deux maçonneries) : </w:t>
      </w:r>
      <w:r>
        <w:rPr>
          <w:rStyle w:val="optioncarChar"/>
        </w:rPr>
        <w:t>***</w:t>
      </w:r>
      <w:r>
        <w:t>.</w:t>
      </w:r>
    </w:p>
    <w:p w14:paraId="53F47BEF" w14:textId="77777777" w:rsidR="00DB2B68" w:rsidRDefault="00000000">
      <w:pPr>
        <w:jc w:val="both"/>
      </w:pPr>
      <w:r>
        <w:t>Epaisseur des deux parois ; paroi 1 :</w:t>
      </w:r>
      <w:r>
        <w:rPr>
          <w:rStyle w:val="optioncarChar"/>
        </w:rPr>
        <w:t xml:space="preserve"> ***</w:t>
      </w:r>
      <w:r>
        <w:t>, paroi 2 :</w:t>
      </w:r>
      <w:r>
        <w:rPr>
          <w:rStyle w:val="optioncarChar"/>
        </w:rPr>
        <w:t xml:space="preserve"> ***</w:t>
      </w:r>
      <w:r>
        <w:t>.</w:t>
      </w:r>
    </w:p>
    <w:p w14:paraId="65436679" w14:textId="77777777" w:rsidR="00DB2B68" w:rsidRDefault="00000000">
      <w:pPr>
        <w:jc w:val="both"/>
      </w:pPr>
      <w:r>
        <w:t xml:space="preserve">Longueur totale de l’attache : </w:t>
      </w:r>
      <w:r>
        <w:rPr>
          <w:rStyle w:val="optioncarChar"/>
        </w:rPr>
        <w:t>***</w:t>
      </w:r>
      <w:r>
        <w:t>.</w:t>
      </w:r>
    </w:p>
    <w:p w14:paraId="65BF2A50" w14:textId="77777777" w:rsidR="00DB2B68" w:rsidRDefault="00000000">
      <w:pPr>
        <w:jc w:val="both"/>
      </w:pPr>
      <w:r>
        <w:t xml:space="preserve">L’attache est pourvue d’un rejet d’eau sous la forme : </w:t>
      </w:r>
      <w:r>
        <w:rPr>
          <w:rStyle w:val="optioncarChar"/>
        </w:rPr>
        <w:t xml:space="preserve">d’une section centrale profilée (avec larmier) de l’attache / d’un collier d’étanchéité </w:t>
      </w:r>
      <w:r>
        <w:t>(par défaut)</w:t>
      </w:r>
      <w:r>
        <w:rPr>
          <w:rStyle w:val="optioncarChar"/>
        </w:rPr>
        <w:t xml:space="preserve"> / de l’inclinaison descendante de l’attache de la paroi intérieure vers la paroi extérieure</w:t>
      </w:r>
      <w:r>
        <w:t>.</w:t>
      </w:r>
    </w:p>
    <w:p w14:paraId="71C730A7" w14:textId="77777777" w:rsidR="00DB2B68" w:rsidRDefault="00000000">
      <w:pPr>
        <w:jc w:val="both"/>
      </w:pPr>
      <w:r>
        <w:t xml:space="preserve">Modèle d’attache </w:t>
      </w:r>
      <w:r>
        <w:rPr>
          <w:rStyle w:val="optioncarChar"/>
        </w:rPr>
        <w:t>avec / sans</w:t>
      </w:r>
      <w:r>
        <w:t xml:space="preserve"> coupure acoustique.</w:t>
      </w:r>
    </w:p>
    <w:p w14:paraId="01A25E99" w14:textId="77777777" w:rsidR="00DB2B68" w:rsidRDefault="00000000">
      <w:pPr>
        <w:jc w:val="both"/>
      </w:pPr>
      <w:r>
        <w:t>Modèle d’attache</w:t>
      </w:r>
      <w:r>
        <w:rPr>
          <w:rStyle w:val="optioncarChar"/>
        </w:rPr>
        <w:t xml:space="preserve"> avec / sans</w:t>
      </w:r>
      <w:r>
        <w:t xml:space="preserve"> coupure thermique.</w:t>
      </w:r>
    </w:p>
    <w:p w14:paraId="4D13C4A9" w14:textId="77777777" w:rsidR="00DB2B68" w:rsidRDefault="00000000">
      <w:pPr>
        <w:jc w:val="both"/>
      </w:pPr>
      <w:r>
        <w:t>Plage de mouvement maximale admissible des attaches mobiles :</w:t>
      </w:r>
      <w:r>
        <w:rPr>
          <w:rStyle w:val="optioncarChar"/>
        </w:rPr>
        <w:t xml:space="preserve"> ***</w:t>
      </w:r>
      <w:r>
        <w:t>.</w:t>
      </w:r>
    </w:p>
    <w:p w14:paraId="0A6C6044" w14:textId="77777777" w:rsidR="00DB2B68" w:rsidRDefault="00000000">
      <w:pPr>
        <w:jc w:val="both"/>
      </w:pPr>
      <w:r>
        <w:t>Inclinaisons maximale et minimale admissibles des attaches inclinables :</w:t>
      </w:r>
      <w:r>
        <w:rPr>
          <w:rStyle w:val="optioncarChar"/>
        </w:rPr>
        <w:t xml:space="preserve"> ***</w:t>
      </w:r>
      <w:r>
        <w:t>.</w:t>
      </w:r>
    </w:p>
    <w:p w14:paraId="7AB5B99C" w14:textId="77777777" w:rsidR="00DB2B68" w:rsidRDefault="00000000">
      <w:pPr>
        <w:jc w:val="both"/>
      </w:pPr>
      <w:r>
        <w:t xml:space="preserve">Côté paroi intérieure (mur porteur) ; fixation mécanique adaptée à la maçonnerie : </w:t>
      </w:r>
      <w:r>
        <w:rPr>
          <w:rStyle w:val="optioncarChar"/>
        </w:rPr>
        <w:t xml:space="preserve">cheville à expansion munie d’une rosace </w:t>
      </w:r>
      <w:r>
        <w:t xml:space="preserve">(par défaut) </w:t>
      </w:r>
      <w:r>
        <w:rPr>
          <w:rStyle w:val="optioncarChar"/>
        </w:rPr>
        <w:t>/ système rainure et clavette / ***</w:t>
      </w:r>
      <w:r>
        <w:t>.</w:t>
      </w:r>
    </w:p>
    <w:p w14:paraId="289E9C9F" w14:textId="77777777" w:rsidR="00DB2B68" w:rsidRDefault="00000000">
      <w:pPr>
        <w:jc w:val="both"/>
      </w:pPr>
      <w:r>
        <w:t xml:space="preserve">Côté paroi extérieure ; l’attache est scellée dans le mortier sur une longueur d’ancrage minimale de </w:t>
      </w:r>
      <w:r>
        <w:rPr>
          <w:rStyle w:val="optioncarChar"/>
        </w:rPr>
        <w:t xml:space="preserve">30 / 40 </w:t>
      </w:r>
      <w:r>
        <w:t>(par défaut)</w:t>
      </w:r>
      <w:r>
        <w:rPr>
          <w:rStyle w:val="optioncarChar"/>
        </w:rPr>
        <w:t xml:space="preserve"> / 50 / ***</w:t>
      </w:r>
      <w:r>
        <w:t xml:space="preserve"> mm. En cas de maçonnerie à joints minces (épaisseur de 3 à 6 mm), l’extrémité est aplatie.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p>
    <w:p w14:paraId="67EB387B" w14:textId="77777777" w:rsidR="00DB2B68" w:rsidRDefault="00000000">
      <w:pPr>
        <w:jc w:val="both"/>
      </w:pPr>
      <w:r>
        <w:t xml:space="preserve">Charge admissible en traction et déplacement sous charge ([NBN EN 846-5] ou [NBN EN 846-6]) : </w:t>
      </w:r>
      <w:r>
        <w:rPr>
          <w:rStyle w:val="optioncarChar"/>
        </w:rPr>
        <w:t>***</w:t>
      </w:r>
      <w:r>
        <w:t>.</w:t>
      </w:r>
    </w:p>
    <w:p w14:paraId="45E2B3C7" w14:textId="77777777" w:rsidR="00DB2B68" w:rsidRDefault="00000000">
      <w:pPr>
        <w:jc w:val="both"/>
      </w:pPr>
      <w:r>
        <w:t xml:space="preserve">Charge admissible en compression et déplacement sous charge ([NBN EN 846-5] ou [NBN EN 846-6]): </w:t>
      </w:r>
      <w:r>
        <w:rPr>
          <w:rStyle w:val="optioncarChar"/>
        </w:rPr>
        <w:t>***</w:t>
      </w:r>
      <w:r>
        <w:t>.</w:t>
      </w:r>
    </w:p>
    <w:p w14:paraId="2517C51E" w14:textId="77777777" w:rsidR="00DB2B68" w:rsidRDefault="00000000">
      <w:pPr>
        <w:jc w:val="both"/>
      </w:pPr>
      <w:r>
        <w:t>Le nombre de fixation est minimum :</w:t>
      </w:r>
      <w:r>
        <w:rPr>
          <w:rStyle w:val="optioncarChar"/>
        </w:rPr>
        <w:t xml:space="preserve"> 5 </w:t>
      </w:r>
      <w:r>
        <w:t>(par défaut)</w:t>
      </w:r>
      <w:r>
        <w:rPr>
          <w:rStyle w:val="optioncarChar"/>
        </w:rPr>
        <w:t xml:space="preserve"> / 6 / 7 / ***</w:t>
      </w:r>
      <w:r>
        <w:t xml:space="preserve"> par m².</w:t>
      </w:r>
    </w:p>
    <w:p w14:paraId="1BF1D1FD" w14:textId="77777777" w:rsidR="00DB2B68" w:rsidRDefault="00000000">
      <w:pPr>
        <w:jc w:val="both"/>
      </w:pPr>
      <w:r>
        <w:t> </w:t>
      </w:r>
    </w:p>
    <w:p w14:paraId="27119255" w14:textId="77777777" w:rsidR="00DB2B68" w:rsidRDefault="00000000">
      <w:pPr>
        <w:jc w:val="both"/>
      </w:pPr>
      <w:r>
        <w:rPr>
          <w:b/>
        </w:rPr>
        <w:t>2.2. Attaches de cisaillement (aussi appelées pattes de fixation)</w:t>
      </w:r>
    </w:p>
    <w:p w14:paraId="68277BED" w14:textId="77777777" w:rsidR="00DB2B68" w:rsidRDefault="00000000">
      <w:pPr>
        <w:jc w:val="both"/>
      </w:pPr>
      <w:r>
        <w:t xml:space="preserve">Longueur totale de l’attache : </w:t>
      </w:r>
      <w:r>
        <w:rPr>
          <w:rStyle w:val="optioncarChar"/>
        </w:rPr>
        <w:t>***</w:t>
      </w:r>
      <w:r>
        <w:t>.</w:t>
      </w:r>
    </w:p>
    <w:p w14:paraId="4DCA2404" w14:textId="77777777" w:rsidR="00DB2B68" w:rsidRDefault="00000000">
      <w:pPr>
        <w:jc w:val="both"/>
      </w:pPr>
      <w:r>
        <w:lastRenderedPageBreak/>
        <w:t>Extrémité côté paroi 1 : fixation mécanique au moyen d’une cheville à expansion adaptée.</w:t>
      </w:r>
    </w:p>
    <w:p w14:paraId="5ED47D07" w14:textId="77777777" w:rsidR="00DB2B68" w:rsidRDefault="00000000">
      <w:pPr>
        <w:jc w:val="both"/>
      </w:pPr>
      <w:r>
        <w:t xml:space="preserve">Extrémité côté paroi 2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18CD4BA3" w14:textId="77777777" w:rsidR="00DB2B68" w:rsidRDefault="00000000">
      <w:pPr>
        <w:jc w:val="both"/>
      </w:pPr>
      <w:r>
        <w:t xml:space="preserve">Charge admissible en traction et déplacement sous charge ([NBN EN 846-5]) : </w:t>
      </w:r>
      <w:r>
        <w:rPr>
          <w:rStyle w:val="optioncarChar"/>
        </w:rPr>
        <w:t>***</w:t>
      </w:r>
      <w:r>
        <w:t>.</w:t>
      </w:r>
    </w:p>
    <w:p w14:paraId="16DB7ABE" w14:textId="77777777" w:rsidR="00DB2B68" w:rsidRDefault="00000000">
      <w:pPr>
        <w:jc w:val="both"/>
      </w:pPr>
      <w:r>
        <w:t xml:space="preserve">Charge admissible en compression et déplacement sous charge ([NBN EN 846-5]): </w:t>
      </w:r>
      <w:r>
        <w:rPr>
          <w:rStyle w:val="optioncarChar"/>
        </w:rPr>
        <w:t>***</w:t>
      </w:r>
      <w:r>
        <w:t>.</w:t>
      </w:r>
    </w:p>
    <w:p w14:paraId="7D008C48" w14:textId="77777777" w:rsidR="00DB2B68" w:rsidRDefault="00000000">
      <w:pPr>
        <w:jc w:val="both"/>
      </w:pPr>
      <w:r>
        <w:t>Charge admissible en cisaillement et déplacement sous charge ([NBN EN 846-7]) :</w:t>
      </w:r>
      <w:r>
        <w:rPr>
          <w:rStyle w:val="optioncarChar"/>
        </w:rPr>
        <w:t xml:space="preserve"> ***</w:t>
      </w:r>
      <w:r>
        <w:t>.</w:t>
      </w:r>
    </w:p>
    <w:p w14:paraId="1912AE61" w14:textId="77777777" w:rsidR="00DB2B68" w:rsidRDefault="00000000">
      <w:pPr>
        <w:jc w:val="both"/>
      </w:pPr>
      <w:r>
        <w:t xml:space="preserve">Nombre d’attaches : une toutes les </w:t>
      </w:r>
      <w:r>
        <w:rPr>
          <w:rStyle w:val="optioncarChar"/>
        </w:rPr>
        <w:t>1 / 2 </w:t>
      </w:r>
      <w:r>
        <w:t>(par défaut)</w:t>
      </w:r>
      <w:r>
        <w:rPr>
          <w:rStyle w:val="optioncarChar"/>
        </w:rPr>
        <w:t xml:space="preserve"> / 3 / ***</w:t>
      </w:r>
      <w:r>
        <w:t xml:space="preserve"> assises.</w:t>
      </w:r>
    </w:p>
    <w:p w14:paraId="7CB87B67" w14:textId="77777777" w:rsidR="00DB2B68" w:rsidRDefault="00000000">
      <w:pPr>
        <w:jc w:val="both"/>
      </w:pPr>
      <w:r>
        <w:t> </w:t>
      </w:r>
    </w:p>
    <w:p w14:paraId="4C631926" w14:textId="77777777" w:rsidR="00DB2B68" w:rsidRDefault="00000000">
      <w:pPr>
        <w:jc w:val="both"/>
      </w:pPr>
      <w:r>
        <w:rPr>
          <w:b/>
        </w:rPr>
        <w:t>2.3. Attaches de maintien (aussi appelées pattes de fixation)</w:t>
      </w:r>
    </w:p>
    <w:p w14:paraId="10C8B507" w14:textId="77777777" w:rsidR="00DB2B68" w:rsidRDefault="00000000">
      <w:pPr>
        <w:jc w:val="both"/>
      </w:pPr>
      <w:r>
        <w:t>Longueur totale de l’attache :</w:t>
      </w:r>
      <w:r>
        <w:rPr>
          <w:rStyle w:val="optioncarChar"/>
        </w:rPr>
        <w:t xml:space="preserve"> ***</w:t>
      </w:r>
      <w:r>
        <w:t>.</w:t>
      </w:r>
    </w:p>
    <w:p w14:paraId="7ED5886F" w14:textId="77777777" w:rsidR="00DB2B68" w:rsidRDefault="00000000">
      <w:pPr>
        <w:jc w:val="both"/>
      </w:pPr>
      <w:r>
        <w:t>Extrémité côté paroi 1 : fixation mécanique au moyen d’une cheville à expansion adaptée.</w:t>
      </w:r>
    </w:p>
    <w:p w14:paraId="60E001AF" w14:textId="77777777" w:rsidR="00DB2B68" w:rsidRDefault="00000000">
      <w:pPr>
        <w:jc w:val="both"/>
      </w:pPr>
      <w:r>
        <w:t xml:space="preserve">Extrémité côté paroi 2 : 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0CAD7E0E" w14:textId="77777777" w:rsidR="00DB2B68" w:rsidRDefault="00000000">
      <w:pPr>
        <w:jc w:val="both"/>
      </w:pPr>
      <w:r>
        <w:t xml:space="preserve">Charge admissible en cisaillement et déplacement sous charge ([NBN EN 846-7]) : </w:t>
      </w:r>
      <w:r>
        <w:rPr>
          <w:rStyle w:val="optioncarChar"/>
        </w:rPr>
        <w:t>***</w:t>
      </w:r>
      <w:r>
        <w:t>.</w:t>
      </w:r>
    </w:p>
    <w:p w14:paraId="76C98CA4" w14:textId="77777777" w:rsidR="00DB2B68" w:rsidRDefault="00000000">
      <w:pPr>
        <w:jc w:val="both"/>
      </w:pPr>
      <w:r>
        <w:t>Nombre d’attaches : une toutes les</w:t>
      </w:r>
      <w:r>
        <w:rPr>
          <w:rStyle w:val="optioncarChar"/>
        </w:rPr>
        <w:t xml:space="preserve"> 1 / 2 </w:t>
      </w:r>
      <w:r>
        <w:t>(par défaut)</w:t>
      </w:r>
      <w:r>
        <w:rPr>
          <w:rStyle w:val="optioncarChar"/>
        </w:rPr>
        <w:t> / 3 / ***</w:t>
      </w:r>
      <w:r>
        <w:t xml:space="preserve"> assises.</w:t>
      </w:r>
    </w:p>
    <w:p w14:paraId="2D255A34" w14:textId="77777777" w:rsidR="00DB2B68" w:rsidRDefault="00000000">
      <w:pPr>
        <w:pStyle w:val="pheading"/>
      </w:pPr>
      <w:r>
        <w:t>EXÉCUTION / MISE EN ŒUVRE</w:t>
      </w:r>
    </w:p>
    <w:p w14:paraId="0D0242A7" w14:textId="77777777" w:rsidR="00DB2B68" w:rsidRDefault="00000000">
      <w:pPr>
        <w:pStyle w:val="pheading"/>
      </w:pPr>
      <w:r>
        <w:t>- Prescriptions générales</w:t>
      </w:r>
    </w:p>
    <w:p w14:paraId="2AC3B844" w14:textId="77777777" w:rsidR="00DB2B68" w:rsidRDefault="00000000">
      <w:pPr>
        <w:jc w:val="both"/>
      </w:pPr>
      <w:r>
        <w:t xml:space="preserve">Le dimensionnement </w:t>
      </w:r>
      <w:r>
        <w:rPr>
          <w:rStyle w:val="optioncarChar"/>
        </w:rPr>
        <w:t>est / n’est pas</w:t>
      </w:r>
      <w:r>
        <w:t xml:space="preserve"> à charge de l’entrepreneur.</w:t>
      </w:r>
    </w:p>
    <w:p w14:paraId="3180DA00" w14:textId="77777777" w:rsidR="00DB2B68" w:rsidRDefault="00000000">
      <w:pPr>
        <w:jc w:val="both"/>
      </w:pPr>
      <w:r>
        <w:t>L’entrepreneur soumet le modèle d’attache à la direction de chantier pour approbation. La pose doit respecter les instructions du fabricant.</w:t>
      </w:r>
    </w:p>
    <w:p w14:paraId="37380EE9" w14:textId="77777777" w:rsidR="00DB2B68" w:rsidRDefault="00000000">
      <w:pPr>
        <w:pStyle w:val="pheading"/>
      </w:pPr>
      <w:r>
        <w:t>DOCUMENTS DE RÉFÉRENCE COMPLÉMENTAIRES</w:t>
      </w:r>
    </w:p>
    <w:p w14:paraId="7CA0E379" w14:textId="77777777" w:rsidR="00DB2B68" w:rsidRDefault="00000000">
      <w:pPr>
        <w:pStyle w:val="pheading"/>
      </w:pPr>
      <w:r>
        <w:t>- Matériau</w:t>
      </w:r>
    </w:p>
    <w:p w14:paraId="43438933" w14:textId="77777777" w:rsidR="00DB2B68" w:rsidRDefault="00000000">
      <w:r>
        <w:t>[NBN EN 846-5, Méthodes d'essai des composants accessoires de maçonnerie - Partie 5: Détermination de la charge admissible à la traction et à la compression, et des caractéristiques effort-déformation des attaches murales]</w:t>
      </w:r>
    </w:p>
    <w:p w14:paraId="10F34744" w14:textId="77777777" w:rsidR="00DB2B68" w:rsidRDefault="00000000">
      <w:r>
        <w:t>[NBN EN 846-6, Méthodes d'essai pour composants accessoires de maçonnerie - Partie 6: Détermination de la résistance de traction et en compression et de la rigidité d'attaches murales (essai d'extrémité simple)]</w:t>
      </w:r>
    </w:p>
    <w:p w14:paraId="6001B818" w14:textId="77777777" w:rsidR="00DB2B68" w:rsidRDefault="00000000">
      <w:pPr>
        <w:pStyle w:val="pheading"/>
      </w:pPr>
      <w:r>
        <w:t>- Exécution</w:t>
      </w:r>
    </w:p>
    <w:p w14:paraId="3D0059FE" w14:textId="77777777" w:rsidR="00DB2B68" w:rsidRDefault="00000000">
      <w:r>
        <w:t>[NBN EN 1996-2, Eurocode 6 - Calcul des ouvrages en maçonnerie - Partie 2: Conception, choix des matériaux et mise en oeuvre des maçonneries (+ AC:2009)]</w:t>
      </w:r>
    </w:p>
    <w:p w14:paraId="518946FB" w14:textId="77777777" w:rsidR="00DB2B68" w:rsidRDefault="00000000">
      <w:pPr>
        <w:pStyle w:val="pheading"/>
      </w:pPr>
      <w:r>
        <w:t>MESURAGE</w:t>
      </w:r>
    </w:p>
    <w:p w14:paraId="1A74DFA1" w14:textId="77777777" w:rsidR="00DB2B68" w:rsidRDefault="00000000">
      <w:pPr>
        <w:pStyle w:val="pheading"/>
      </w:pPr>
      <w:r>
        <w:t>- unité de mesure:</w:t>
      </w:r>
    </w:p>
    <w:p w14:paraId="10B3F22B" w14:textId="77777777" w:rsidR="00DB2B68" w:rsidRDefault="00000000">
      <w:r>
        <w:t>-</w:t>
      </w:r>
    </w:p>
    <w:p w14:paraId="625E0475" w14:textId="77777777" w:rsidR="00DB2B68" w:rsidRDefault="00000000">
      <w:pPr>
        <w:pStyle w:val="pheading"/>
      </w:pPr>
      <w:r>
        <w:t>- code de mesurage:</w:t>
      </w:r>
    </w:p>
    <w:p w14:paraId="4BDDD61E" w14:textId="77777777" w:rsidR="00DB2B68" w:rsidRDefault="00000000">
      <w:r>
        <w:t xml:space="preserve">Compris dans le prix de la maçonnerie correspondante dans l’élément </w:t>
      </w:r>
      <w:r>
        <w:rPr>
          <w:rStyle w:val="optioncarChar"/>
        </w:rPr>
        <w:t>***</w:t>
      </w:r>
      <w:r>
        <w:t>.</w:t>
      </w:r>
    </w:p>
    <w:p w14:paraId="186C2008" w14:textId="77777777" w:rsidR="00DB2B68" w:rsidRDefault="00000000">
      <w:pPr>
        <w:pStyle w:val="pheading"/>
      </w:pPr>
      <w:r>
        <w:t>- nature du marché:</w:t>
      </w:r>
    </w:p>
    <w:p w14:paraId="0715924D" w14:textId="77777777" w:rsidR="00DB2B68" w:rsidRDefault="00000000">
      <w:r>
        <w:t>PM</w:t>
      </w:r>
    </w:p>
    <w:p w14:paraId="619A3AB5" w14:textId="77777777" w:rsidR="00DB2B68" w:rsidRDefault="00000000">
      <w:pPr>
        <w:pStyle w:val="Author-eSectionHeading6Numberless"/>
      </w:pPr>
      <w:bookmarkStart w:id="370" w:name="_Toc220495478"/>
      <w:r>
        <w:lastRenderedPageBreak/>
        <w:t>21.42.1b Crochets, tirants et pattes d'ancrages de maçonneries scellés dans la masse CCTB 01.11</w:t>
      </w:r>
      <w:bookmarkEnd w:id="370"/>
    </w:p>
    <w:p w14:paraId="74CB2E6F" w14:textId="77777777" w:rsidR="00DB2B68" w:rsidRDefault="00000000">
      <w:pPr>
        <w:pStyle w:val="pheading"/>
      </w:pPr>
      <w:bookmarkStart w:id="371" w:name="451"/>
      <w:bookmarkEnd w:id="371"/>
      <w:r>
        <w:t>DESCRIPTION</w:t>
      </w:r>
    </w:p>
    <w:p w14:paraId="31C13BC1" w14:textId="77777777" w:rsidR="00DB2B68" w:rsidRDefault="00000000">
      <w:pPr>
        <w:pStyle w:val="pheading"/>
      </w:pPr>
      <w:r>
        <w:t>- Définition / Comprend</w:t>
      </w:r>
    </w:p>
    <w:p w14:paraId="5D1E3673" w14:textId="77777777" w:rsidR="00DB2B68" w:rsidRDefault="00000000">
      <w:pPr>
        <w:jc w:val="both"/>
      </w:pPr>
      <w:r>
        <w:t xml:space="preserve">Il s’agit des travaux (fourniture et pose) de crochets, tirants et pattes d’ancrage de maçonneries scellés dans la masse. La portée des travaux est décrite dans les éléments </w:t>
      </w:r>
      <w:hyperlink w:anchor="365" w:history="1">
        <w:r>
          <w:rPr>
            <w:color w:val="0000EE"/>
          </w:rPr>
          <w:t>21.42.1 Crochets, tirants et pattes d'ancrages de maçonneries</w:t>
        </w:r>
      </w:hyperlink>
      <w:r>
        <w:t xml:space="preserve">, </w:t>
      </w:r>
      <w:hyperlink w:anchor="295" w:history="1">
        <w:r>
          <w:rPr>
            <w:color w:val="0000EE"/>
          </w:rPr>
          <w:t>21 Superstructures en maçonnerie</w:t>
        </w:r>
      </w:hyperlink>
      <w:r>
        <w:t xml:space="preserve">, </w:t>
      </w:r>
      <w:hyperlink w:anchor="381" w:history="1">
        <w:r>
          <w:rPr>
            <w:color w:val="0000EE"/>
          </w:rPr>
          <w:t>21.3 Maçonneries de parement</w:t>
        </w:r>
      </w:hyperlink>
      <w:r>
        <w:t>, …</w:t>
      </w:r>
    </w:p>
    <w:p w14:paraId="6B1BC3B9" w14:textId="77777777" w:rsidR="00DB2B68" w:rsidRDefault="00000000">
      <w:pPr>
        <w:jc w:val="both"/>
      </w:pPr>
      <w:r>
        <w:t>Sont décrites dans cet élément les attaches scellées dans le mortier de maçonnerie à leurs deux extrémités.</w:t>
      </w:r>
    </w:p>
    <w:p w14:paraId="23308A44" w14:textId="77777777" w:rsidR="00DB2B68" w:rsidRDefault="00000000">
      <w:pPr>
        <w:pStyle w:val="pheading"/>
      </w:pPr>
      <w:r>
        <w:t>- Localisation</w:t>
      </w:r>
    </w:p>
    <w:p w14:paraId="18352880" w14:textId="77777777" w:rsidR="00DB2B68" w:rsidRDefault="00000000">
      <w:r>
        <w:t xml:space="preserve">Localisation des travaux : </w:t>
      </w:r>
      <w:r>
        <w:rPr>
          <w:rStyle w:val="optioncarChar"/>
        </w:rPr>
        <w:t>***</w:t>
      </w:r>
      <w:r>
        <w:t>.</w:t>
      </w:r>
    </w:p>
    <w:p w14:paraId="4A5F6927" w14:textId="77777777" w:rsidR="00DB2B68" w:rsidRDefault="00000000">
      <w:r>
        <w:t>Voir plans et métrés détaillés.</w:t>
      </w:r>
    </w:p>
    <w:p w14:paraId="4951CEEA" w14:textId="77777777" w:rsidR="00DB2B68" w:rsidRDefault="00000000">
      <w:pPr>
        <w:pStyle w:val="pheading"/>
      </w:pPr>
      <w:r>
        <w:t>MATÉRIAUX</w:t>
      </w:r>
    </w:p>
    <w:p w14:paraId="627BC75D" w14:textId="77777777" w:rsidR="00DB2B68" w:rsidRDefault="00000000">
      <w:pPr>
        <w:pStyle w:val="pheading"/>
      </w:pPr>
      <w:r>
        <w:t>- Caractéristiques générales</w:t>
      </w:r>
    </w:p>
    <w:p w14:paraId="419C2B41" w14:textId="77777777" w:rsidR="00DB2B68" w:rsidRDefault="00000000">
      <w:r>
        <w:rPr>
          <w:b/>
        </w:rPr>
        <w:t>1. Maçonneries à liaisonner</w:t>
      </w:r>
    </w:p>
    <w:p w14:paraId="1F3428BE" w14:textId="77777777" w:rsidR="00DB2B68" w:rsidRDefault="00000000">
      <w:r>
        <w:t xml:space="preserve">La maçonnerie dans laquelle l’attache est scellée est constituée de : </w:t>
      </w:r>
      <w:r>
        <w:br/>
        <w:t xml:space="preserve"> éléments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r>
        <w:br/>
        <w:t xml:space="preserve"> Mortier : classe</w:t>
      </w:r>
      <w:r>
        <w:rPr>
          <w:rStyle w:val="optioncarChar"/>
        </w:rPr>
        <w:t xml:space="preserve"> M5 / M10 / M15 / M20 / ***</w:t>
      </w:r>
      <w:r>
        <w:t>.</w:t>
      </w:r>
    </w:p>
    <w:p w14:paraId="2F0BC97B" w14:textId="77777777" w:rsidR="00DB2B68" w:rsidRDefault="00000000">
      <w:r>
        <w:t>La maçonnerie à liaisonner est / n’est pas de même constitution.</w:t>
      </w:r>
    </w:p>
    <w:p w14:paraId="723D3FF5" w14:textId="77777777" w:rsidR="00DB2B68" w:rsidRDefault="00000000">
      <w:r>
        <w:t>En cas de constitution différente, le mur est constitué de :</w:t>
      </w:r>
      <w:r>
        <w:br/>
        <w:t xml:space="preserve"> Eléments de maçonnerie : </w:t>
      </w:r>
      <w:r>
        <w:rPr>
          <w:rStyle w:val="optioncarChar"/>
        </w:rPr>
        <w:t>terre cuite / silico-calcaire / béton de granulat / béton cellulaire / pierre naturelle</w:t>
      </w:r>
      <w:r>
        <w:t xml:space="preserve"> appartenant au groupe </w:t>
      </w:r>
      <w:r>
        <w:rPr>
          <w:rStyle w:val="optioncarChar"/>
        </w:rPr>
        <w:t>1 / 2 / 3 / 4</w:t>
      </w:r>
      <w:r>
        <w:t>.</w:t>
      </w:r>
      <w:r>
        <w:br/>
        <w:t xml:space="preserve"> Mortier : classe</w:t>
      </w:r>
      <w:r>
        <w:rPr>
          <w:rStyle w:val="optioncarChar"/>
        </w:rPr>
        <w:t xml:space="preserve"> M5 / M10 / M15 / M20 / ***</w:t>
      </w:r>
      <w:r>
        <w:t>.</w:t>
      </w:r>
    </w:p>
    <w:p w14:paraId="32CB96C3" w14:textId="77777777" w:rsidR="00DB2B68" w:rsidRDefault="00000000">
      <w:r>
        <w:t> </w:t>
      </w:r>
    </w:p>
    <w:p w14:paraId="47637AF3" w14:textId="77777777" w:rsidR="00DB2B68" w:rsidRDefault="00000000">
      <w:r>
        <w:rPr>
          <w:b/>
        </w:rPr>
        <w:t>2. Attaches murales</w:t>
      </w:r>
    </w:p>
    <w:p w14:paraId="4E709A63" w14:textId="77777777" w:rsidR="00DB2B68" w:rsidRDefault="00000000">
      <w:r>
        <w:t xml:space="preserve">La classe d’exposition est : </w:t>
      </w:r>
      <w:r>
        <w:rPr>
          <w:rStyle w:val="optioncarChar"/>
        </w:rPr>
        <w:t xml:space="preserve">MX1 (environnement sec) / MX2 (environnement humide) ou MX3 (environnement humide et cycles de gel </w:t>
      </w:r>
      <w:r>
        <w:t>(par défaut)</w:t>
      </w:r>
      <w:r>
        <w:rPr>
          <w:rStyle w:val="optioncarChar"/>
        </w:rPr>
        <w:t xml:space="preserve"> / MX4 (environnement salin) / MX5 (environnement chimique agressif)</w:t>
      </w:r>
      <w:r>
        <w:t>.</w:t>
      </w:r>
    </w:p>
    <w:p w14:paraId="50DFA733" w14:textId="77777777" w:rsidR="00DB2B68" w:rsidRDefault="00000000">
      <w:r>
        <w:t xml:space="preserve">Le n° de référence du matériau est (voir chapitre </w:t>
      </w:r>
      <w:hyperlink w:anchor="365" w:history="1">
        <w:r>
          <w:rPr>
            <w:color w:val="0000EE"/>
          </w:rPr>
          <w:t>21.42.1 Crochets, tirants et pattes d'ancrages de maçonneries</w:t>
        </w:r>
      </w:hyperlink>
      <w:r>
        <w:t xml:space="preserve">):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2F1E2433" w14:textId="77777777" w:rsidR="00DB2B68" w:rsidRDefault="00000000">
      <w:r>
        <w:t xml:space="preserve">Les attaches murales sont : </w:t>
      </w:r>
      <w:r>
        <w:rPr>
          <w:rStyle w:val="optioncarChar"/>
        </w:rPr>
        <w:t xml:space="preserve">asymétriques </w:t>
      </w:r>
      <w:r>
        <w:t xml:space="preserve">(par défaut) </w:t>
      </w:r>
      <w:r>
        <w:rPr>
          <w:rStyle w:val="optioncarChar"/>
        </w:rPr>
        <w:t>/ symétriques</w:t>
      </w:r>
      <w:r>
        <w:t xml:space="preserve">, et </w:t>
      </w:r>
      <w:r>
        <w:rPr>
          <w:rStyle w:val="optioncarChar"/>
        </w:rPr>
        <w:t xml:space="preserve">horizontales </w:t>
      </w:r>
      <w:r>
        <w:t>(par défaut)</w:t>
      </w:r>
      <w:r>
        <w:rPr>
          <w:rStyle w:val="optioncarChar"/>
        </w:rPr>
        <w:t xml:space="preserve"> / inclinables / mobiles</w:t>
      </w:r>
      <w:r>
        <w:t>.</w:t>
      </w:r>
    </w:p>
    <w:p w14:paraId="325F75BF" w14:textId="77777777" w:rsidR="00DB2B68" w:rsidRDefault="00000000">
      <w:r>
        <w:t>En cas de maçonnerie à joints minces, les extrémités ancrées sont aplaties.</w:t>
      </w:r>
    </w:p>
    <w:p w14:paraId="1334E33A" w14:textId="77777777" w:rsidR="00DB2B68" w:rsidRDefault="00DB2B68"/>
    <w:p w14:paraId="6EFDDC71" w14:textId="77777777" w:rsidR="00DB2B68" w:rsidRDefault="00000000">
      <w:r>
        <w:rPr>
          <w:b/>
        </w:rPr>
        <w:t>2.1. Attaches pour murs doubles (aussi appelées crochets ou tirants)</w:t>
      </w:r>
    </w:p>
    <w:p w14:paraId="1BFED9FB" w14:textId="77777777" w:rsidR="00DB2B68" w:rsidRDefault="00000000">
      <w:r>
        <w:t xml:space="preserve">Largeur du creux (cavité = distance entre les deux maçonneries) : </w:t>
      </w:r>
      <w:r>
        <w:rPr>
          <w:rStyle w:val="optioncarChar"/>
        </w:rPr>
        <w:t>***</w:t>
      </w:r>
      <w:r>
        <w:t>.</w:t>
      </w:r>
      <w:r>
        <w:br/>
        <w:t>Epaisseur des deux parois ; paroi 1 :</w:t>
      </w:r>
      <w:r>
        <w:rPr>
          <w:rStyle w:val="optioncarChar"/>
        </w:rPr>
        <w:t xml:space="preserve"> ***</w:t>
      </w:r>
      <w:r>
        <w:t xml:space="preserve">, paroi 2 : </w:t>
      </w:r>
      <w:r>
        <w:rPr>
          <w:rStyle w:val="optioncarChar"/>
        </w:rPr>
        <w:t>***.</w:t>
      </w:r>
      <w:r>
        <w:br/>
        <w:t xml:space="preserve">Longueur totale de l’attache : </w:t>
      </w:r>
      <w:r>
        <w:rPr>
          <w:rStyle w:val="optioncarChar"/>
        </w:rPr>
        <w:t>***</w:t>
      </w:r>
      <w:r>
        <w:t>.</w:t>
      </w:r>
      <w:r>
        <w:br/>
        <w:t xml:space="preserve">L’attache est pourvue d’un rejet d’eau sous la forme : </w:t>
      </w:r>
      <w:r>
        <w:rPr>
          <w:rStyle w:val="optioncarChar"/>
        </w:rPr>
        <w:t xml:space="preserve">d’une section centrale profilée (avec larmier) de l’attache / d’un collier d’étanchéité </w:t>
      </w:r>
      <w:r>
        <w:t xml:space="preserve">(par défaut) </w:t>
      </w:r>
      <w:r>
        <w:rPr>
          <w:rStyle w:val="optioncarChar"/>
        </w:rPr>
        <w:t>/ de l’inclinaison descendante de l’attache de la paroi intérieure vers la paroi extérieure</w:t>
      </w:r>
      <w:r>
        <w:t>.</w:t>
      </w:r>
      <w:r>
        <w:br/>
        <w:t xml:space="preserve">Modèle d’attache </w:t>
      </w:r>
      <w:r>
        <w:rPr>
          <w:rStyle w:val="optioncarChar"/>
        </w:rPr>
        <w:t>avec / sans</w:t>
      </w:r>
      <w:r>
        <w:t xml:space="preserve"> coupure acoustique.</w:t>
      </w:r>
      <w:r>
        <w:br/>
      </w:r>
      <w:r>
        <w:lastRenderedPageBreak/>
        <w:t xml:space="preserve">Modèle d’attache </w:t>
      </w:r>
      <w:r>
        <w:rPr>
          <w:rStyle w:val="optioncarChar"/>
        </w:rPr>
        <w:t>avec / sans</w:t>
      </w:r>
      <w:r>
        <w:t xml:space="preserve"> coupure thermique.</w:t>
      </w:r>
      <w:r>
        <w:br/>
        <w:t xml:space="preserve">Plage de mouvement maximale admissible des attaches mobiles : </w:t>
      </w:r>
      <w:r>
        <w:rPr>
          <w:rStyle w:val="optioncarChar"/>
        </w:rPr>
        <w:t>***</w:t>
      </w:r>
      <w:r>
        <w:t>.</w:t>
      </w:r>
      <w:r>
        <w:br/>
        <w:t xml:space="preserve">Inclinaisons maximale et minimale admissibles des attaches inclinables : </w:t>
      </w:r>
      <w:r>
        <w:rPr>
          <w:rStyle w:val="optioncarChar"/>
        </w:rPr>
        <w:t>***</w:t>
      </w:r>
      <w:r>
        <w:t>.</w:t>
      </w:r>
      <w:r>
        <w:br/>
        <w:t xml:space="preserve">Côté paroi intérieure (mur porteur)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Côté paroi extérieure ; 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r>
        <w:br/>
        <w:t xml:space="preserve">Charge admissible en traction et déplacement sous charge ([NBN EN 846-5]) : </w:t>
      </w:r>
      <w:r>
        <w:rPr>
          <w:rStyle w:val="optioncarChar"/>
        </w:rPr>
        <w:t>***</w:t>
      </w:r>
      <w:r>
        <w:t>.</w:t>
      </w:r>
      <w:r>
        <w:br/>
        <w:t xml:space="preserve">Charge admissible en compression et déplacement sous charge ([NBN EN 846-5]): </w:t>
      </w:r>
      <w:r>
        <w:rPr>
          <w:rStyle w:val="optioncarChar"/>
        </w:rPr>
        <w:t>***</w:t>
      </w:r>
      <w:r>
        <w:t>.</w:t>
      </w:r>
      <w:r>
        <w:br/>
        <w:t>Le nombre de fixation est minimum :</w:t>
      </w:r>
      <w:r>
        <w:rPr>
          <w:rStyle w:val="optioncarChar"/>
        </w:rPr>
        <w:t xml:space="preserve"> 5 </w:t>
      </w:r>
      <w:r>
        <w:t xml:space="preserve">(par défaut) </w:t>
      </w:r>
      <w:r>
        <w:rPr>
          <w:rStyle w:val="optioncarChar"/>
        </w:rPr>
        <w:t>/ 6 / 7 / ***</w:t>
      </w:r>
      <w:r>
        <w:t xml:space="preserve"> par m².</w:t>
      </w:r>
    </w:p>
    <w:p w14:paraId="1AFD40A3" w14:textId="77777777" w:rsidR="00DB2B68" w:rsidRDefault="00000000">
      <w:r>
        <w:t> </w:t>
      </w:r>
    </w:p>
    <w:p w14:paraId="00A56783" w14:textId="77777777" w:rsidR="00DB2B68" w:rsidRDefault="00000000">
      <w:r>
        <w:rPr>
          <w:b/>
        </w:rPr>
        <w:t>2.2. Attaches de cisaillement (aussi appelées pattes de fixation)</w:t>
      </w:r>
    </w:p>
    <w:p w14:paraId="6480CC34" w14:textId="77777777" w:rsidR="00DB2B68" w:rsidRDefault="00000000">
      <w:r>
        <w:t xml:space="preserve">Longueur totale de l’attache : </w:t>
      </w:r>
      <w:r>
        <w:rPr>
          <w:rStyle w:val="optioncarChar"/>
        </w:rPr>
        <w:t>***</w:t>
      </w:r>
      <w:r>
        <w:t>.</w:t>
      </w:r>
      <w:r>
        <w:br/>
        <w:t xml:space="preserve">L’attache est scellée dans le mortier sur une longueur d’ancrage minimale de </w:t>
      </w:r>
      <w:r>
        <w:rPr>
          <w:rStyle w:val="optioncarChar"/>
        </w:rPr>
        <w:t xml:space="preserve">30 / 40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r>
        <w:br/>
        <w:t xml:space="preserve">Charge admissible en traction et déplacement sous charge ([NBN EN 846-5]) : </w:t>
      </w:r>
      <w:r>
        <w:rPr>
          <w:rStyle w:val="optioncarChar"/>
        </w:rPr>
        <w:t>***</w:t>
      </w:r>
      <w:r>
        <w:t>.</w:t>
      </w:r>
      <w:r>
        <w:br/>
        <w:t>Charge admissible en compression et déplacement sous charge ([NBN EN 846-5]):</w:t>
      </w:r>
      <w:r>
        <w:rPr>
          <w:rStyle w:val="optioncarChar"/>
        </w:rPr>
        <w:t xml:space="preserve"> ***</w:t>
      </w:r>
      <w:r>
        <w:t>.</w:t>
      </w:r>
      <w:r>
        <w:br/>
        <w:t xml:space="preserve">Charge admissible en cisaillement et déplacement sous charge ([NBN EN 846-7]) : </w:t>
      </w:r>
      <w:r>
        <w:rPr>
          <w:rStyle w:val="optioncarChar"/>
        </w:rPr>
        <w:t>***</w:t>
      </w:r>
      <w:r>
        <w:t>.</w:t>
      </w:r>
      <w:r>
        <w:br/>
        <w:t xml:space="preserve">Nombre d’attaches : une toutes les </w:t>
      </w:r>
      <w:r>
        <w:rPr>
          <w:rStyle w:val="optioncarChar"/>
        </w:rPr>
        <w:t>1 / 2 </w:t>
      </w:r>
      <w:r>
        <w:t>(par défaut)</w:t>
      </w:r>
      <w:r>
        <w:rPr>
          <w:rStyle w:val="optioncarChar"/>
        </w:rPr>
        <w:t xml:space="preserve"> / 3 / ***</w:t>
      </w:r>
      <w:r>
        <w:t xml:space="preserve"> assises.</w:t>
      </w:r>
    </w:p>
    <w:p w14:paraId="3C26C8E6" w14:textId="77777777" w:rsidR="00DB2B68" w:rsidRDefault="00000000">
      <w:r>
        <w:t> </w:t>
      </w:r>
    </w:p>
    <w:p w14:paraId="36F5F4F9" w14:textId="77777777" w:rsidR="00DB2B68" w:rsidRDefault="00000000">
      <w:r>
        <w:rPr>
          <w:b/>
        </w:rPr>
        <w:t>2.3. Attaches de maintien (aussi appelées pattes de fixation)</w:t>
      </w:r>
    </w:p>
    <w:p w14:paraId="14C3D0FF" w14:textId="77777777" w:rsidR="00DB2B68" w:rsidRDefault="00000000">
      <w:r>
        <w:t xml:space="preserve">Longueur totale de l’attache : </w:t>
      </w:r>
      <w:r>
        <w:rPr>
          <w:rStyle w:val="optioncarChar"/>
        </w:rPr>
        <w:t>***</w:t>
      </w:r>
      <w:r>
        <w:t>.</w:t>
      </w:r>
      <w:r>
        <w:br/>
        <w:t xml:space="preserve">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Charge admissible en cisaillement et déplacement sous charge ([NBN EN 846-7]) : </w:t>
      </w:r>
      <w:r>
        <w:rPr>
          <w:rStyle w:val="optioncarChar"/>
        </w:rPr>
        <w:t>***</w:t>
      </w:r>
      <w:r>
        <w:t>.</w:t>
      </w:r>
      <w:r>
        <w:br/>
        <w:t>Nombre d’attaches : une toutes les</w:t>
      </w:r>
      <w:r>
        <w:rPr>
          <w:rStyle w:val="optioncarChar"/>
        </w:rPr>
        <w:t xml:space="preserve"> 1 / 2</w:t>
      </w:r>
      <w:r>
        <w:t xml:space="preserve"> (par défaut)</w:t>
      </w:r>
      <w:r>
        <w:rPr>
          <w:rStyle w:val="optioncarChar"/>
        </w:rPr>
        <w:t> / 3 / ***</w:t>
      </w:r>
      <w:r>
        <w:t xml:space="preserve"> assises.</w:t>
      </w:r>
    </w:p>
    <w:p w14:paraId="373586A0" w14:textId="77777777" w:rsidR="00DB2B68" w:rsidRDefault="00000000">
      <w:pPr>
        <w:pStyle w:val="pheading"/>
      </w:pPr>
      <w:r>
        <w:t>EXÉCUTION / MISE EN ŒUVRE</w:t>
      </w:r>
    </w:p>
    <w:p w14:paraId="1B7A869D" w14:textId="77777777" w:rsidR="00DB2B68" w:rsidRDefault="00000000">
      <w:pPr>
        <w:pStyle w:val="pheading"/>
      </w:pPr>
      <w:r>
        <w:t>- Prescriptions générales</w:t>
      </w:r>
    </w:p>
    <w:p w14:paraId="468AEA62" w14:textId="77777777" w:rsidR="00DB2B68" w:rsidRDefault="00000000">
      <w:pPr>
        <w:jc w:val="both"/>
      </w:pPr>
      <w:r>
        <w:t>Le dimensionnement</w:t>
      </w:r>
      <w:r>
        <w:rPr>
          <w:rStyle w:val="optioncarChar"/>
        </w:rPr>
        <w:t xml:space="preserve"> est / n’est</w:t>
      </w:r>
      <w:r>
        <w:t xml:space="preserve"> pas à charge de l’entrepreneur.</w:t>
      </w:r>
    </w:p>
    <w:p w14:paraId="5A4E9807" w14:textId="77777777" w:rsidR="00DB2B68" w:rsidRDefault="00000000">
      <w:pPr>
        <w:jc w:val="both"/>
      </w:pPr>
      <w:r>
        <w:t>L’entrepreneur soumet le modèle d’attache à la direction de chantier pour approbation. La pose doit respecter les instructions du fabricant.</w:t>
      </w:r>
    </w:p>
    <w:p w14:paraId="142B2A00" w14:textId="77777777" w:rsidR="00DB2B68" w:rsidRDefault="00000000">
      <w:r>
        <w:t> </w:t>
      </w:r>
    </w:p>
    <w:p w14:paraId="56F6F33A" w14:textId="77777777" w:rsidR="00DB2B68" w:rsidRDefault="00000000">
      <w:pPr>
        <w:pStyle w:val="pheading"/>
      </w:pPr>
      <w:r>
        <w:t>DOCUMENTS DE RÉFÉRENCE COMPLÉMENTAIRES</w:t>
      </w:r>
    </w:p>
    <w:p w14:paraId="5ADDDEDF" w14:textId="77777777" w:rsidR="00DB2B68" w:rsidRDefault="00000000">
      <w:pPr>
        <w:pStyle w:val="pheading"/>
      </w:pPr>
      <w:r>
        <w:t>- Matériau</w:t>
      </w:r>
    </w:p>
    <w:p w14:paraId="0CBBF2F2" w14:textId="77777777" w:rsidR="00DB2B68" w:rsidRDefault="00000000">
      <w:r>
        <w:t>[NBN EN 846-5, Méthodes d'essai des composants accessoires de maçonnerie - Partie 5: Détermination de la charge admissible à la traction et à la compression, et des caractéristiques effort-déformation des attaches murales]</w:t>
      </w:r>
    </w:p>
    <w:p w14:paraId="2163F0E7" w14:textId="77777777" w:rsidR="00DB2B68" w:rsidRDefault="00000000">
      <w:r>
        <w:t>[NBN EN 846-7, Méthodes d'essai des composants accessoires de maçonnerie - Partie 7: Détermination de la charge admissible au cisaillement et des caractéristiques effort-déformation des attaches résistant au cisaillement et des attaches de glissement (essai dans un joint de mortier entre deux éléments)]</w:t>
      </w:r>
    </w:p>
    <w:p w14:paraId="121D903C" w14:textId="77777777" w:rsidR="00DB2B68" w:rsidRDefault="00000000">
      <w:pPr>
        <w:pStyle w:val="pheading"/>
      </w:pPr>
      <w:r>
        <w:t>- Exécution</w:t>
      </w:r>
    </w:p>
    <w:p w14:paraId="1332F7C3" w14:textId="77777777" w:rsidR="00DB2B68" w:rsidRDefault="00000000">
      <w:r>
        <w:t>[NBN EN 1996-2, Eurocode 6 - Calcul des ouvrages en maçonnerie - Partie 2: Conception, choix des matériaux et mise en oeuvre des maçonneries (+ AC:2009)]</w:t>
      </w:r>
    </w:p>
    <w:p w14:paraId="25579C87" w14:textId="77777777" w:rsidR="00DB2B68" w:rsidRDefault="00000000">
      <w:pPr>
        <w:pStyle w:val="pheading"/>
      </w:pPr>
      <w:r>
        <w:lastRenderedPageBreak/>
        <w:t>MESURAGE</w:t>
      </w:r>
    </w:p>
    <w:p w14:paraId="2D1CB2B9" w14:textId="77777777" w:rsidR="00DB2B68" w:rsidRDefault="00000000">
      <w:pPr>
        <w:pStyle w:val="pheading"/>
      </w:pPr>
      <w:r>
        <w:t>- unité de mesure:</w:t>
      </w:r>
    </w:p>
    <w:p w14:paraId="41012837" w14:textId="77777777" w:rsidR="00DB2B68" w:rsidRDefault="00000000">
      <w:r>
        <w:t>-</w:t>
      </w:r>
    </w:p>
    <w:p w14:paraId="6470AAFB" w14:textId="77777777" w:rsidR="00DB2B68" w:rsidRDefault="00000000">
      <w:pPr>
        <w:pStyle w:val="pheading"/>
      </w:pPr>
      <w:r>
        <w:t>- code de mesurage:</w:t>
      </w:r>
    </w:p>
    <w:p w14:paraId="515C59B1" w14:textId="77777777" w:rsidR="00DB2B68" w:rsidRDefault="00000000">
      <w:r>
        <w:t xml:space="preserve">Compris dans le prix de la maçonnerie correspondante dans l’élément </w:t>
      </w:r>
      <w:r>
        <w:rPr>
          <w:rStyle w:val="optioncarChar"/>
        </w:rPr>
        <w:t>***</w:t>
      </w:r>
      <w:r>
        <w:t>.</w:t>
      </w:r>
    </w:p>
    <w:p w14:paraId="5EE9B477" w14:textId="77777777" w:rsidR="00DB2B68" w:rsidRDefault="00000000">
      <w:pPr>
        <w:pStyle w:val="pheading"/>
      </w:pPr>
      <w:r>
        <w:t>- nature du marché:</w:t>
      </w:r>
    </w:p>
    <w:p w14:paraId="46BD18EA" w14:textId="77777777" w:rsidR="00DB2B68" w:rsidRDefault="00000000">
      <w:r>
        <w:t>PM</w:t>
      </w:r>
    </w:p>
    <w:p w14:paraId="5F71A11F" w14:textId="77777777" w:rsidR="00DB2B68" w:rsidRDefault="00000000">
      <w:pPr>
        <w:pStyle w:val="Author-eSectionHeading6Numberless"/>
      </w:pPr>
      <w:bookmarkStart w:id="372" w:name="_Toc220495479"/>
      <w:r>
        <w:t>21.42.1c Crochets, tirants et pattes d'ancrages de maçonneries scellés chimiquement CCTB 01.11</w:t>
      </w:r>
      <w:bookmarkEnd w:id="372"/>
    </w:p>
    <w:p w14:paraId="253F137B" w14:textId="77777777" w:rsidR="00DB2B68" w:rsidRDefault="00000000">
      <w:pPr>
        <w:pStyle w:val="pheading"/>
      </w:pPr>
      <w:bookmarkStart w:id="373" w:name="452"/>
      <w:bookmarkEnd w:id="373"/>
      <w:r>
        <w:t>DESCRIPTION</w:t>
      </w:r>
    </w:p>
    <w:p w14:paraId="7FDB1AC4" w14:textId="77777777" w:rsidR="00DB2B68" w:rsidRDefault="00000000">
      <w:pPr>
        <w:pStyle w:val="pheading"/>
      </w:pPr>
      <w:r>
        <w:t>- Définition / Comprend</w:t>
      </w:r>
    </w:p>
    <w:p w14:paraId="139EBD2E" w14:textId="77777777" w:rsidR="00DB2B68" w:rsidRDefault="00000000">
      <w:pPr>
        <w:jc w:val="both"/>
      </w:pPr>
      <w:r>
        <w:t xml:space="preserve">Il s’agit des travaux (fourniture et pose) de crochets, tirants et pattes d’ancrage de maçonneries scellés chimiquement. La portée des travaux est décrite dans les éléments </w:t>
      </w:r>
      <w:hyperlink w:anchor="365" w:history="1">
        <w:r>
          <w:rPr>
            <w:color w:val="0000EE"/>
          </w:rPr>
          <w:t>21.42.1 Crochets, tirants et pattes d'ancrages de maçonneries</w:t>
        </w:r>
      </w:hyperlink>
      <w:r>
        <w:t xml:space="preserve">, </w:t>
      </w:r>
      <w:hyperlink w:anchor="295" w:history="1">
        <w:r>
          <w:rPr>
            <w:color w:val="0000EE"/>
          </w:rPr>
          <w:t>21 Superstructures en maçonnerie</w:t>
        </w:r>
      </w:hyperlink>
      <w:r>
        <w:t xml:space="preserve">, </w:t>
      </w:r>
      <w:hyperlink w:anchor="381" w:history="1">
        <w:r>
          <w:rPr>
            <w:color w:val="0000EE"/>
          </w:rPr>
          <w:t>21.3 Maçonneries de parement</w:t>
        </w:r>
      </w:hyperlink>
      <w:r>
        <w:t>, …</w:t>
      </w:r>
    </w:p>
    <w:p w14:paraId="4BCC3772" w14:textId="77777777" w:rsidR="00DB2B68" w:rsidRDefault="00000000">
      <w:pPr>
        <w:jc w:val="both"/>
      </w:pPr>
      <w:r>
        <w:t>Sont décrites dans cet élément les attaches fixées à une extrémité par scellement chimique, l’autre extrémité étant fixée soit par scellement dans le mortier de maçonnerie soit mécaniquement.</w:t>
      </w:r>
    </w:p>
    <w:p w14:paraId="7477F0EB" w14:textId="77777777" w:rsidR="00DB2B68" w:rsidRDefault="00000000">
      <w:pPr>
        <w:pStyle w:val="pheading"/>
      </w:pPr>
      <w:r>
        <w:t>- Localisation</w:t>
      </w:r>
    </w:p>
    <w:p w14:paraId="386265C7" w14:textId="77777777" w:rsidR="00DB2B68" w:rsidRDefault="00000000">
      <w:r>
        <w:t xml:space="preserve">Localisation des travaux : </w:t>
      </w:r>
      <w:r>
        <w:rPr>
          <w:rStyle w:val="optioncarChar"/>
        </w:rPr>
        <w:t>***</w:t>
      </w:r>
      <w:r>
        <w:t>.</w:t>
      </w:r>
    </w:p>
    <w:p w14:paraId="31E74741" w14:textId="77777777" w:rsidR="00DB2B68" w:rsidRDefault="00000000">
      <w:r>
        <w:t>Voir plans et métrés détaillés.</w:t>
      </w:r>
    </w:p>
    <w:p w14:paraId="10A558CA" w14:textId="77777777" w:rsidR="00DB2B68" w:rsidRDefault="00000000">
      <w:pPr>
        <w:pStyle w:val="pheading"/>
      </w:pPr>
      <w:r>
        <w:t>MATÉRIAUX</w:t>
      </w:r>
    </w:p>
    <w:p w14:paraId="324BFE7F" w14:textId="77777777" w:rsidR="00DB2B68" w:rsidRDefault="00000000">
      <w:pPr>
        <w:pStyle w:val="pheading"/>
      </w:pPr>
      <w:r>
        <w:t>- Caractéristiques générales</w:t>
      </w:r>
    </w:p>
    <w:p w14:paraId="286F220F" w14:textId="77777777" w:rsidR="00DB2B68" w:rsidRDefault="00000000">
      <w:pPr>
        <w:jc w:val="both"/>
      </w:pPr>
      <w:r>
        <w:rPr>
          <w:b/>
        </w:rPr>
        <w:t>1. Maçonneries existantes et/ou projetées – à liaisonner.</w:t>
      </w:r>
    </w:p>
    <w:p w14:paraId="4A7A5DB5" w14:textId="77777777" w:rsidR="00DB2B68" w:rsidRDefault="00000000">
      <w:pPr>
        <w:jc w:val="both"/>
      </w:pPr>
      <w:r>
        <w:t xml:space="preserve">La maçonnerie dans laquelle l’injection doit être réalisée est constituée de : </w:t>
      </w:r>
    </w:p>
    <w:p w14:paraId="5369D4CD" w14:textId="77777777" w:rsidR="00DB2B68" w:rsidRDefault="00000000">
      <w:pPr>
        <w:jc w:val="both"/>
      </w:pPr>
      <w:r>
        <w:t xml:space="preserve"> Eléments de maçonnerie : </w:t>
      </w:r>
      <w:r>
        <w:rPr>
          <w:rStyle w:val="optioncarChar"/>
        </w:rPr>
        <w:t>terre cuite / silico-calcaire / béton de granulat / béton cellulaire / pierre naturelle</w:t>
      </w:r>
      <w:r>
        <w:t xml:space="preserve"> appartenant au groupe</w:t>
      </w:r>
      <w:r>
        <w:rPr>
          <w:rStyle w:val="optioncarChar"/>
        </w:rPr>
        <w:t xml:space="preserve"> 1 / 2 / 3 / 4</w:t>
      </w:r>
      <w:r>
        <w:t>.</w:t>
      </w:r>
    </w:p>
    <w:p w14:paraId="1E159378" w14:textId="77777777" w:rsidR="00DB2B68" w:rsidRDefault="00000000">
      <w:pPr>
        <w:jc w:val="both"/>
      </w:pPr>
      <w:r>
        <w:t xml:space="preserve"> Mortier : classe </w:t>
      </w:r>
      <w:r>
        <w:rPr>
          <w:rStyle w:val="optioncarChar"/>
        </w:rPr>
        <w:t>M5 / M10 / M15 / M20 / ***</w:t>
      </w:r>
      <w:r>
        <w:t>.</w:t>
      </w:r>
    </w:p>
    <w:p w14:paraId="3CC711A6" w14:textId="77777777" w:rsidR="00DB2B68" w:rsidRDefault="00000000">
      <w:pPr>
        <w:jc w:val="both"/>
      </w:pPr>
      <w:r>
        <w:t xml:space="preserve">La maçonnerie à liaisonner </w:t>
      </w:r>
      <w:r>
        <w:rPr>
          <w:rStyle w:val="optioncarChar"/>
        </w:rPr>
        <w:t>est / n’est pas</w:t>
      </w:r>
      <w:r>
        <w:t xml:space="preserve"> de même constitution.</w:t>
      </w:r>
    </w:p>
    <w:p w14:paraId="3BFCE9D7" w14:textId="77777777" w:rsidR="00DB2B68" w:rsidRDefault="00000000">
      <w:pPr>
        <w:jc w:val="both"/>
      </w:pPr>
      <w:r>
        <w:t>En cas de constitution différente, le mur est constitué de :</w:t>
      </w:r>
    </w:p>
    <w:p w14:paraId="70A3C374" w14:textId="77777777" w:rsidR="00DB2B68" w:rsidRDefault="00000000">
      <w:pPr>
        <w:jc w:val="both"/>
      </w:pPr>
      <w:r>
        <w:t xml:space="preserve"> Eléments de maçonnerie : </w:t>
      </w:r>
      <w:r>
        <w:rPr>
          <w:rStyle w:val="optioncarChar"/>
        </w:rPr>
        <w:t>terre cuite / silico-calcaire / béton de granulat / béton cellulaire / pierre naturelle</w:t>
      </w:r>
      <w:r>
        <w:t xml:space="preserve"> appartenant au groupe </w:t>
      </w:r>
      <w:r>
        <w:rPr>
          <w:rStyle w:val="optioncarChar"/>
        </w:rPr>
        <w:t>1 / 2 / 3 / 4</w:t>
      </w:r>
      <w:r>
        <w:t>.</w:t>
      </w:r>
    </w:p>
    <w:p w14:paraId="558E3DFD" w14:textId="77777777" w:rsidR="00DB2B68" w:rsidRDefault="00000000">
      <w:pPr>
        <w:jc w:val="both"/>
      </w:pPr>
      <w:r>
        <w:t xml:space="preserve"> Mortier : classe </w:t>
      </w:r>
      <w:r>
        <w:rPr>
          <w:rStyle w:val="optioncarChar"/>
        </w:rPr>
        <w:t>M5 / M10 / M15 / M20 / ***</w:t>
      </w:r>
      <w:r>
        <w:t>.</w:t>
      </w:r>
    </w:p>
    <w:p w14:paraId="4CECEEB2" w14:textId="77777777" w:rsidR="00DB2B68" w:rsidRDefault="00000000">
      <w:pPr>
        <w:jc w:val="both"/>
      </w:pPr>
      <w:r>
        <w:t> </w:t>
      </w:r>
    </w:p>
    <w:p w14:paraId="388E100F" w14:textId="77777777" w:rsidR="00DB2B68" w:rsidRDefault="00000000">
      <w:pPr>
        <w:jc w:val="both"/>
      </w:pPr>
      <w:r>
        <w:rPr>
          <w:b/>
        </w:rPr>
        <w:t>2. Ancrage et scellement chimique</w:t>
      </w:r>
    </w:p>
    <w:p w14:paraId="3D0AF0C8" w14:textId="77777777" w:rsidR="00DB2B68" w:rsidRDefault="00000000">
      <w:pPr>
        <w:jc w:val="both"/>
      </w:pPr>
      <w:r>
        <w:t>L’ancrage et le scellement chimique répondent aux spécifications de l’[ETAG 029] ou de l’[EAD 330076-00-0604]. L’ancrage métallique est constitué de :</w:t>
      </w:r>
      <w:r>
        <w:rPr>
          <w:rStyle w:val="optioncarChar"/>
        </w:rPr>
        <w:t xml:space="preserve"> acier au carbone / acier inoxydable / fonte malléable.</w:t>
      </w:r>
      <w:r>
        <w:t xml:space="preserve"> Le scellement chimique est un mortier à base de : </w:t>
      </w:r>
      <w:r>
        <w:rPr>
          <w:rStyle w:val="optioncarChar"/>
        </w:rPr>
        <w:t>ciment </w:t>
      </w:r>
      <w:r>
        <w:t>(par défaut)</w:t>
      </w:r>
      <w:r>
        <w:rPr>
          <w:rStyle w:val="optioncarChar"/>
        </w:rPr>
        <w:t xml:space="preserve"> / époxy pur / époxy-acrylate / polyester / uréthane méthacrylate / ***</w:t>
      </w:r>
      <w:r>
        <w:t>. Le kit est complété d’une cheville tamis en métal ou en plastique en cas de maçonnerie creuse (avec trous ou vides).</w:t>
      </w:r>
    </w:p>
    <w:p w14:paraId="67C4009F" w14:textId="77777777" w:rsidR="00DB2B68" w:rsidRDefault="00000000">
      <w:pPr>
        <w:jc w:val="both"/>
      </w:pPr>
      <w:r>
        <w:t xml:space="preserve"> La catégorie d’usage du kit relative au substrat est : </w:t>
      </w:r>
      <w:r>
        <w:rPr>
          <w:rStyle w:val="optioncarChar"/>
        </w:rPr>
        <w:t>b (maçonnerie pleine) / c (maçonnerie creuse) / d (maçonnerie en béton cellulaire autoclavé)</w:t>
      </w:r>
      <w:r>
        <w:t>.</w:t>
      </w:r>
    </w:p>
    <w:p w14:paraId="6558B70A" w14:textId="77777777" w:rsidR="00DB2B68" w:rsidRDefault="00000000">
      <w:pPr>
        <w:jc w:val="both"/>
      </w:pPr>
      <w:r>
        <w:lastRenderedPageBreak/>
        <w:t xml:space="preserve"> La catégorie d’usage du kit relative à l’installation et à l’usage est : </w:t>
      </w:r>
      <w:r>
        <w:rPr>
          <w:rStyle w:val="optioncarChar"/>
        </w:rPr>
        <w:t>d/d (installation et usage dans des structures soumises à des conditions intérieures sèches) / w/d (installation dans des substrats secs ou humides et usage dans des structures soumises à des conditions intérieures sèches) / w/w (installation et usage dans des structures soumises à des conditions sèches ou humides)</w:t>
      </w:r>
      <w:r>
        <w:t>.</w:t>
      </w:r>
    </w:p>
    <w:p w14:paraId="1772EE53" w14:textId="77777777" w:rsidR="00DB2B68" w:rsidRDefault="00000000">
      <w:pPr>
        <w:jc w:val="both"/>
      </w:pPr>
      <w:r>
        <w:t xml:space="preserve"> La catégorie d’usage du kit relative à la plage de température de service est :</w:t>
      </w:r>
      <w:r>
        <w:rPr>
          <w:rStyle w:val="optioncarChar"/>
        </w:rPr>
        <w:t xml:space="preserve"> (Ta) (de -40°C à 40°C) / (Tb) (de -40°C à +80°C) / (Tc) (de -40°C à T1 &gt; 40°C)</w:t>
      </w:r>
      <w:r>
        <w:t>.</w:t>
      </w:r>
    </w:p>
    <w:p w14:paraId="2F2DAB03" w14:textId="77777777" w:rsidR="00DB2B68" w:rsidRDefault="00000000">
      <w:pPr>
        <w:jc w:val="both"/>
      </w:pPr>
      <w:r>
        <w:t xml:space="preserve"> Performances selon l’[ETAG 029] ou l’[EAD 330076-00-0604] : </w:t>
      </w:r>
      <w:r>
        <w:rPr>
          <w:rStyle w:val="optioncarChar"/>
        </w:rPr>
        <w:t>***</w:t>
      </w:r>
      <w:r>
        <w:t>.</w:t>
      </w:r>
    </w:p>
    <w:p w14:paraId="06066929" w14:textId="77777777" w:rsidR="00DB2B68" w:rsidRDefault="00000000">
      <w:pPr>
        <w:jc w:val="both"/>
      </w:pPr>
      <w:r>
        <w:t> </w:t>
      </w:r>
    </w:p>
    <w:p w14:paraId="3EFCFFEB" w14:textId="77777777" w:rsidR="00DB2B68" w:rsidRDefault="00000000">
      <w:pPr>
        <w:jc w:val="both"/>
      </w:pPr>
      <w:r>
        <w:rPr>
          <w:b/>
        </w:rPr>
        <w:t>3. Attaches de maçonnerie</w:t>
      </w:r>
    </w:p>
    <w:p w14:paraId="0AF2B2CA" w14:textId="77777777" w:rsidR="00DB2B68" w:rsidRDefault="00000000">
      <w:pPr>
        <w:jc w:val="both"/>
      </w:pPr>
      <w:r>
        <w:t xml:space="preserve">La classe d’exposition selon la [NBN EN 1996-2] est : </w:t>
      </w:r>
      <w:r>
        <w:rPr>
          <w:rStyle w:val="optioncarChar"/>
        </w:rPr>
        <w:t>MX1 (environnement sec) / MX2 (environnement humide) ou MX3 (environnement humide et cycles de gel</w:t>
      </w:r>
      <w:r>
        <w:t xml:space="preserve"> (par défaut) </w:t>
      </w:r>
      <w:r>
        <w:rPr>
          <w:rStyle w:val="optioncarChar"/>
        </w:rPr>
        <w:t>/ MX4 (environnement salin) / MX5 (environnement chimique agressif)</w:t>
      </w:r>
      <w:r>
        <w:t>.</w:t>
      </w:r>
    </w:p>
    <w:p w14:paraId="1BC1AFC0" w14:textId="77777777" w:rsidR="00DB2B68" w:rsidRDefault="00000000">
      <w:pPr>
        <w:jc w:val="both"/>
      </w:pPr>
      <w:r>
        <w:t xml:space="preserve">Le n° de référence du matériau selon la [NBN EN 845-1:2013+A1] est (voir chapitre </w:t>
      </w:r>
      <w:hyperlink w:anchor="365" w:history="1">
        <w:r>
          <w:rPr>
            <w:color w:val="0000EE"/>
          </w:rPr>
          <w:t>21.42.1 Crochets, tirants et pattes d'ancrages de maçonneries</w:t>
        </w:r>
      </w:hyperlink>
      <w:r>
        <w:t xml:space="preserve">) : </w:t>
      </w:r>
      <w:r>
        <w:rPr>
          <w:rStyle w:val="optioncarChar"/>
        </w:rPr>
        <w:t>1 / 2 / 3</w:t>
      </w:r>
      <w:r>
        <w:t xml:space="preserve"> (par défaut) </w:t>
      </w:r>
      <w:r>
        <w:rPr>
          <w:rStyle w:val="optioncarChar"/>
        </w:rPr>
        <w:t>/ 4 / 5 / 6 / 7 / 8 / 9 / 10 / 11 / 11A / 12.1 / 12.2 / 13 / 14 / 15 / 16.1 / 16.2 / 17 / 18 / 19 / 20 / 21 / 22 / 23</w:t>
      </w:r>
      <w:r>
        <w:t>.</w:t>
      </w:r>
    </w:p>
    <w:p w14:paraId="70800D59" w14:textId="77777777" w:rsidR="00DB2B68" w:rsidRDefault="00000000">
      <w:pPr>
        <w:jc w:val="both"/>
      </w:pPr>
      <w:r>
        <w:t xml:space="preserve">Les attaches murales sont : </w:t>
      </w:r>
      <w:r>
        <w:rPr>
          <w:rStyle w:val="optioncarChar"/>
        </w:rPr>
        <w:t xml:space="preserve">asymétriques </w:t>
      </w:r>
      <w:r>
        <w:t xml:space="preserve">(par défaut) </w:t>
      </w:r>
      <w:r>
        <w:rPr>
          <w:rStyle w:val="optioncarChar"/>
        </w:rPr>
        <w:t>/ symétriques</w:t>
      </w:r>
      <w:r>
        <w:t xml:space="preserve">, et </w:t>
      </w:r>
      <w:r>
        <w:rPr>
          <w:rStyle w:val="optioncarChar"/>
        </w:rPr>
        <w:t xml:space="preserve">horizontales </w:t>
      </w:r>
      <w:r>
        <w:t>(par défaut)</w:t>
      </w:r>
      <w:r>
        <w:rPr>
          <w:rStyle w:val="optioncarChar"/>
        </w:rPr>
        <w:t xml:space="preserve"> / inclinables / mobiles</w:t>
      </w:r>
      <w:r>
        <w:t>.</w:t>
      </w:r>
    </w:p>
    <w:p w14:paraId="7B8CFCCD" w14:textId="77777777" w:rsidR="00DB2B68" w:rsidRDefault="00DB2B68"/>
    <w:p w14:paraId="6ACB2CD8" w14:textId="77777777" w:rsidR="00DB2B68" w:rsidRDefault="00000000">
      <w:pPr>
        <w:jc w:val="both"/>
      </w:pPr>
      <w:r>
        <w:rPr>
          <w:b/>
        </w:rPr>
        <w:t>3.1. Attaches pour murs doubles (aussi appelées crochets ou tirants)</w:t>
      </w:r>
    </w:p>
    <w:p w14:paraId="0F845BB9" w14:textId="77777777" w:rsidR="00DB2B68" w:rsidRDefault="00000000">
      <w:pPr>
        <w:jc w:val="both"/>
      </w:pPr>
      <w:r>
        <w:t xml:space="preserve">Largeur du creux (cavité = distance entre les deux maçonneries) : </w:t>
      </w:r>
      <w:r>
        <w:rPr>
          <w:rStyle w:val="optioncarChar"/>
        </w:rPr>
        <w:t>***</w:t>
      </w:r>
      <w:r>
        <w:t>.</w:t>
      </w:r>
    </w:p>
    <w:p w14:paraId="63BF886B" w14:textId="77777777" w:rsidR="00DB2B68" w:rsidRDefault="00000000">
      <w:pPr>
        <w:jc w:val="both"/>
      </w:pPr>
      <w:r>
        <w:t>Epaisseur des deux parois ; paroi 1 :</w:t>
      </w:r>
      <w:r>
        <w:rPr>
          <w:rStyle w:val="optioncarChar"/>
        </w:rPr>
        <w:t xml:space="preserve"> ***</w:t>
      </w:r>
      <w:r>
        <w:t xml:space="preserve">, paroi 2 : </w:t>
      </w:r>
      <w:r>
        <w:rPr>
          <w:rStyle w:val="optioncarChar"/>
        </w:rPr>
        <w:t>***</w:t>
      </w:r>
      <w:r>
        <w:t>.</w:t>
      </w:r>
    </w:p>
    <w:p w14:paraId="45E16443" w14:textId="77777777" w:rsidR="00DB2B68" w:rsidRDefault="00000000">
      <w:pPr>
        <w:jc w:val="both"/>
      </w:pPr>
      <w:r>
        <w:t xml:space="preserve">Longueur totale de l’attache : </w:t>
      </w:r>
      <w:r>
        <w:rPr>
          <w:rStyle w:val="optioncarChar"/>
        </w:rPr>
        <w:t>***</w:t>
      </w:r>
      <w:r>
        <w:t>.</w:t>
      </w:r>
    </w:p>
    <w:p w14:paraId="72D02DB0" w14:textId="77777777" w:rsidR="00DB2B68" w:rsidRDefault="00000000">
      <w:pPr>
        <w:jc w:val="both"/>
      </w:pPr>
      <w:r>
        <w:t>L’attache est pourvue d’un rejet d’eau sous la forme :</w:t>
      </w:r>
      <w:r>
        <w:rPr>
          <w:rStyle w:val="optioncarChar"/>
        </w:rPr>
        <w:t xml:space="preserve"> d’une section centrale profilée (avec larmier) de l’attache / d’un collier d’étanchéité </w:t>
      </w:r>
      <w:r>
        <w:t>(par défaut)</w:t>
      </w:r>
      <w:r>
        <w:rPr>
          <w:rStyle w:val="optioncarChar"/>
        </w:rPr>
        <w:t xml:space="preserve"> / de l’inclinaison descendante de l’attache de la paroi intérieure vers la paroi extérieure</w:t>
      </w:r>
      <w:r>
        <w:t>.</w:t>
      </w:r>
    </w:p>
    <w:p w14:paraId="3775A07D" w14:textId="77777777" w:rsidR="00DB2B68" w:rsidRDefault="00000000">
      <w:pPr>
        <w:jc w:val="both"/>
      </w:pPr>
      <w:r>
        <w:t>Modèle d’attache</w:t>
      </w:r>
      <w:r>
        <w:rPr>
          <w:rStyle w:val="optioncarChar"/>
        </w:rPr>
        <w:t xml:space="preserve"> avec / sans</w:t>
      </w:r>
      <w:r>
        <w:t xml:space="preserve"> coupure acoustique.</w:t>
      </w:r>
    </w:p>
    <w:p w14:paraId="369AB673" w14:textId="77777777" w:rsidR="00DB2B68" w:rsidRDefault="00000000">
      <w:pPr>
        <w:jc w:val="both"/>
      </w:pPr>
      <w:r>
        <w:t xml:space="preserve">Modèle d’attache </w:t>
      </w:r>
      <w:r>
        <w:rPr>
          <w:rStyle w:val="optioncarChar"/>
        </w:rPr>
        <w:t>avec / sans</w:t>
      </w:r>
      <w:r>
        <w:t xml:space="preserve"> coupure thermique.</w:t>
      </w:r>
    </w:p>
    <w:p w14:paraId="685627DA" w14:textId="77777777" w:rsidR="00DB2B68" w:rsidRDefault="00000000">
      <w:pPr>
        <w:jc w:val="both"/>
      </w:pPr>
      <w:r>
        <w:t xml:space="preserve">Plage de mouvement maximale admissible des attaches mobiles : </w:t>
      </w:r>
      <w:r>
        <w:rPr>
          <w:rStyle w:val="optioncarChar"/>
        </w:rPr>
        <w:t>***</w:t>
      </w:r>
      <w:r>
        <w:t>.</w:t>
      </w:r>
    </w:p>
    <w:p w14:paraId="4C43BA60" w14:textId="77777777" w:rsidR="00DB2B68" w:rsidRDefault="00000000">
      <w:pPr>
        <w:jc w:val="both"/>
      </w:pPr>
      <w:r>
        <w:t xml:space="preserve">Inclinaisons maximale et minimale admissibles des attaches inclinables : </w:t>
      </w:r>
      <w:r>
        <w:rPr>
          <w:rStyle w:val="optioncarChar"/>
        </w:rPr>
        <w:t>***</w:t>
      </w:r>
      <w:r>
        <w:t>.</w:t>
      </w:r>
    </w:p>
    <w:p w14:paraId="5D51C918" w14:textId="77777777" w:rsidR="00DB2B68" w:rsidRDefault="00000000">
      <w:pPr>
        <w:jc w:val="both"/>
      </w:pPr>
      <w:r>
        <w:t>Extrémité côté paroi 1 : scellement chimique (voir ci-dessus).</w:t>
      </w:r>
    </w:p>
    <w:p w14:paraId="259C7DDB" w14:textId="77777777" w:rsidR="00DB2B68" w:rsidRDefault="00000000">
      <w:pPr>
        <w:jc w:val="both"/>
      </w:pPr>
      <w:r>
        <w:t xml:space="preserve">Extrémité côté paroi 2 : l’attache est </w:t>
      </w:r>
      <w:r>
        <w:rPr>
          <w:rStyle w:val="optioncarChar"/>
        </w:rPr>
        <w:t>scellée dans le mortier de maçonnerie / fixée mécaniquement.</w:t>
      </w:r>
    </w:p>
    <w:p w14:paraId="7F94EFC1" w14:textId="77777777" w:rsidR="00DB2B68" w:rsidRDefault="00000000">
      <w:pPr>
        <w:jc w:val="both"/>
      </w:pPr>
      <w:r>
        <w:rPr>
          <w:b/>
        </w:rPr>
        <w:t>(soit)</w:t>
      </w:r>
    </w:p>
    <w:p w14:paraId="0FBEBDF8" w14:textId="77777777" w:rsidR="00DB2B68" w:rsidRDefault="00000000">
      <w:pPr>
        <w:jc w:val="both"/>
      </w:pPr>
      <w:r>
        <w:rPr>
          <w:rStyle w:val="soitChar"/>
        </w:rPr>
        <w:t xml:space="preserve">L’attache est </w:t>
      </w:r>
      <w:r>
        <w:rPr>
          <w:rStyle w:val="soitChar"/>
          <w:u w:val="single"/>
        </w:rPr>
        <w:t>scellée dans le mortier de maçonnerie</w:t>
      </w:r>
      <w:r>
        <w:rPr>
          <w:rStyle w:val="soitChar"/>
        </w:rPr>
        <w:t xml:space="preserve"> sur une longueur d’ancrage minimale de </w:t>
      </w:r>
      <w:r>
        <w:rPr>
          <w:rStyle w:val="optioncarChar"/>
        </w:rPr>
        <w:t xml:space="preserve">30 / 40 </w:t>
      </w:r>
      <w:r>
        <w:t>(par défaut)</w:t>
      </w:r>
      <w:r>
        <w:rPr>
          <w:rStyle w:val="optioncarChar"/>
        </w:rPr>
        <w:t xml:space="preserve"> / 50 / ***</w:t>
      </w:r>
      <w:r>
        <w:rPr>
          <w:rStyle w:val="soitChar"/>
        </w:rPr>
        <w:t xml:space="preserve"> mm. En cas de maçonnerie à joints minces, l’extrémité est aplatie. Epaisseur minimale du joint de mortier pour laquelle l’attache est appropriée : </w:t>
      </w:r>
      <w:r>
        <w:rPr>
          <w:rStyle w:val="optioncarChar"/>
        </w:rPr>
        <w:t>3 / 6 / 10</w:t>
      </w:r>
      <w:r>
        <w:t xml:space="preserve"> (par défaut)</w:t>
      </w:r>
      <w:r>
        <w:rPr>
          <w:rStyle w:val="optioncarChar"/>
        </w:rPr>
        <w:t xml:space="preserve"> / 15</w:t>
      </w:r>
      <w:r>
        <w:rPr>
          <w:rStyle w:val="soitChar"/>
        </w:rPr>
        <w:t xml:space="preserve"> mm.</w:t>
      </w:r>
    </w:p>
    <w:p w14:paraId="238A9A81" w14:textId="77777777" w:rsidR="00DB2B68" w:rsidRDefault="00000000">
      <w:pPr>
        <w:jc w:val="both"/>
      </w:pPr>
      <w:r>
        <w:rPr>
          <w:rStyle w:val="soitChar"/>
        </w:rPr>
        <w:t xml:space="preserve">Charge admissible en traction et déplacement sous charge ([NBN EN 846-5]) : </w:t>
      </w:r>
      <w:r>
        <w:rPr>
          <w:rStyle w:val="optioncarChar"/>
        </w:rPr>
        <w:t>***</w:t>
      </w:r>
      <w:r>
        <w:rPr>
          <w:rStyle w:val="soitChar"/>
        </w:rPr>
        <w:t>.</w:t>
      </w:r>
    </w:p>
    <w:p w14:paraId="1755FE50" w14:textId="77777777" w:rsidR="00DB2B68" w:rsidRDefault="00000000">
      <w:pPr>
        <w:jc w:val="both"/>
      </w:pPr>
      <w:r>
        <w:rPr>
          <w:rStyle w:val="soitChar"/>
        </w:rPr>
        <w:t xml:space="preserve">Charge admissible en compression et déplacement sous charge ([NBN EN 846-5]): </w:t>
      </w:r>
      <w:r>
        <w:rPr>
          <w:rStyle w:val="optioncarChar"/>
        </w:rPr>
        <w:t>***</w:t>
      </w:r>
      <w:r>
        <w:rPr>
          <w:rStyle w:val="soitChar"/>
        </w:rPr>
        <w:t>.</w:t>
      </w:r>
    </w:p>
    <w:p w14:paraId="590A066C" w14:textId="77777777" w:rsidR="00DB2B68" w:rsidRDefault="00000000">
      <w:pPr>
        <w:jc w:val="both"/>
      </w:pPr>
      <w:r>
        <w:rPr>
          <w:rStyle w:val="soitChar"/>
        </w:rPr>
        <w:t xml:space="preserve">Le nombre de fixation est minimum : </w:t>
      </w:r>
      <w:r>
        <w:rPr>
          <w:rStyle w:val="optioncarChar"/>
        </w:rPr>
        <w:t xml:space="preserve">5 </w:t>
      </w:r>
      <w:r>
        <w:t xml:space="preserve">(par défaut) </w:t>
      </w:r>
      <w:r>
        <w:rPr>
          <w:rStyle w:val="optioncarChar"/>
        </w:rPr>
        <w:t>/ 6 / 7 / ***</w:t>
      </w:r>
      <w:r>
        <w:rPr>
          <w:rStyle w:val="soitChar"/>
        </w:rPr>
        <w:t xml:space="preserve"> par m².</w:t>
      </w:r>
    </w:p>
    <w:p w14:paraId="70A54263" w14:textId="77777777" w:rsidR="00DB2B68" w:rsidRDefault="00000000">
      <w:pPr>
        <w:jc w:val="both"/>
      </w:pPr>
      <w:r>
        <w:rPr>
          <w:b/>
        </w:rPr>
        <w:t>(soit)</w:t>
      </w:r>
    </w:p>
    <w:p w14:paraId="0EF0B20D" w14:textId="77777777" w:rsidR="00DB2B68" w:rsidRDefault="00000000">
      <w:pPr>
        <w:jc w:val="both"/>
      </w:pPr>
      <w:r>
        <w:rPr>
          <w:rStyle w:val="soitChar"/>
        </w:rPr>
        <w:t xml:space="preserve">L’attache est </w:t>
      </w:r>
      <w:r>
        <w:rPr>
          <w:rStyle w:val="soitChar"/>
          <w:u w:val="single"/>
        </w:rPr>
        <w:t>fixée mécaniquement</w:t>
      </w:r>
      <w:r>
        <w:rPr>
          <w:rStyle w:val="soitChar"/>
        </w:rPr>
        <w:t xml:space="preserve"> dans la maçonnerie au moyen d’une cheville à expansion adaptée.</w:t>
      </w:r>
    </w:p>
    <w:p w14:paraId="42EB475B" w14:textId="77777777" w:rsidR="00DB2B68" w:rsidRDefault="00000000">
      <w:pPr>
        <w:jc w:val="both"/>
      </w:pPr>
      <w:r>
        <w:rPr>
          <w:rStyle w:val="soitChar"/>
        </w:rPr>
        <w:t>Charge admissible en traction et déplacement sous charge ([NBN EN 846-6]) :</w:t>
      </w:r>
      <w:r>
        <w:rPr>
          <w:rStyle w:val="optioncarChar"/>
        </w:rPr>
        <w:t xml:space="preserve"> ***</w:t>
      </w:r>
      <w:r>
        <w:rPr>
          <w:rStyle w:val="soitChar"/>
        </w:rPr>
        <w:t>.</w:t>
      </w:r>
    </w:p>
    <w:p w14:paraId="571D5575" w14:textId="77777777" w:rsidR="00DB2B68" w:rsidRDefault="00000000">
      <w:pPr>
        <w:jc w:val="both"/>
      </w:pPr>
      <w:r>
        <w:rPr>
          <w:rStyle w:val="soitChar"/>
        </w:rPr>
        <w:t xml:space="preserve">Charge admissible en compression et déplacement sous charge ([NBN EN 846-6]): </w:t>
      </w:r>
      <w:r>
        <w:rPr>
          <w:rStyle w:val="optioncarChar"/>
        </w:rPr>
        <w:t>***</w:t>
      </w:r>
      <w:r>
        <w:rPr>
          <w:rStyle w:val="soitChar"/>
        </w:rPr>
        <w:t>.</w:t>
      </w:r>
    </w:p>
    <w:p w14:paraId="1B645CD2" w14:textId="77777777" w:rsidR="00DB2B68" w:rsidRDefault="00000000">
      <w:pPr>
        <w:jc w:val="both"/>
      </w:pPr>
      <w:r>
        <w:t> </w:t>
      </w:r>
    </w:p>
    <w:p w14:paraId="7449ACAB" w14:textId="77777777" w:rsidR="00DB2B68" w:rsidRDefault="00000000">
      <w:pPr>
        <w:jc w:val="both"/>
      </w:pPr>
      <w:r>
        <w:rPr>
          <w:b/>
        </w:rPr>
        <w:lastRenderedPageBreak/>
        <w:t>3.2. Attaches de cisaillement (aussi appelées pattes de fixation)</w:t>
      </w:r>
    </w:p>
    <w:p w14:paraId="497207CB" w14:textId="77777777" w:rsidR="00DB2B68" w:rsidRDefault="00000000">
      <w:pPr>
        <w:jc w:val="both"/>
      </w:pPr>
      <w:r>
        <w:t xml:space="preserve">Longueur totale de l’attache : </w:t>
      </w:r>
      <w:r>
        <w:rPr>
          <w:rStyle w:val="optioncarChar"/>
        </w:rPr>
        <w:t>***</w:t>
      </w:r>
      <w:r>
        <w:t>.</w:t>
      </w:r>
    </w:p>
    <w:p w14:paraId="36A1D156" w14:textId="77777777" w:rsidR="00DB2B68" w:rsidRDefault="00000000">
      <w:pPr>
        <w:jc w:val="both"/>
      </w:pPr>
      <w:r>
        <w:t>Extrémité côté paroi 1 : scellement chimique (voir ci-dessus).</w:t>
      </w:r>
    </w:p>
    <w:p w14:paraId="78E89ADE" w14:textId="77777777" w:rsidR="00DB2B68" w:rsidRDefault="00000000">
      <w:pPr>
        <w:jc w:val="both"/>
      </w:pPr>
      <w:r>
        <w:t xml:space="preserve">Extrémité côté paroi 2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0E8A338F" w14:textId="77777777" w:rsidR="00DB2B68" w:rsidRDefault="00000000">
      <w:pPr>
        <w:jc w:val="both"/>
      </w:pPr>
      <w:r>
        <w:t xml:space="preserve">Charge admissible en traction et déplacement sous charge ([NBN EN 846-5]) : </w:t>
      </w:r>
      <w:r>
        <w:rPr>
          <w:rStyle w:val="optioncarChar"/>
        </w:rPr>
        <w:t>***</w:t>
      </w:r>
      <w:r>
        <w:t>.</w:t>
      </w:r>
    </w:p>
    <w:p w14:paraId="66E8A0A1" w14:textId="77777777" w:rsidR="00DB2B68" w:rsidRDefault="00000000">
      <w:pPr>
        <w:jc w:val="both"/>
      </w:pPr>
      <w:r>
        <w:t xml:space="preserve">Charge admissible en compression et déplacement sous charge ([NBN EN 846-5]): </w:t>
      </w:r>
      <w:r>
        <w:rPr>
          <w:rStyle w:val="optioncarChar"/>
        </w:rPr>
        <w:t>***</w:t>
      </w:r>
      <w:r>
        <w:t>.</w:t>
      </w:r>
    </w:p>
    <w:p w14:paraId="05673CB9" w14:textId="77777777" w:rsidR="00DB2B68" w:rsidRDefault="00000000">
      <w:pPr>
        <w:jc w:val="both"/>
      </w:pPr>
      <w:r>
        <w:t>Charge admissible en cisaillement et déplacement sous charge ([NBN EN 846-7]) :</w:t>
      </w:r>
      <w:r>
        <w:rPr>
          <w:rStyle w:val="optioncarChar"/>
        </w:rPr>
        <w:t xml:space="preserve"> ***</w:t>
      </w:r>
      <w:r>
        <w:t>.</w:t>
      </w:r>
    </w:p>
    <w:p w14:paraId="64913ED3" w14:textId="77777777" w:rsidR="00DB2B68" w:rsidRDefault="00000000">
      <w:pPr>
        <w:jc w:val="both"/>
      </w:pPr>
      <w:r>
        <w:t xml:space="preserve">Nombre d’attaches : une toutes les </w:t>
      </w:r>
      <w:r>
        <w:rPr>
          <w:rStyle w:val="optioncarChar"/>
        </w:rPr>
        <w:t>1 / 2 </w:t>
      </w:r>
      <w:r>
        <w:t xml:space="preserve">(par défaut) </w:t>
      </w:r>
      <w:r>
        <w:rPr>
          <w:rStyle w:val="optioncarChar"/>
        </w:rPr>
        <w:t>/ 3 / ***</w:t>
      </w:r>
      <w:r>
        <w:t xml:space="preserve"> assises.</w:t>
      </w:r>
    </w:p>
    <w:p w14:paraId="332418A4" w14:textId="77777777" w:rsidR="00DB2B68" w:rsidRDefault="00000000">
      <w:pPr>
        <w:jc w:val="both"/>
      </w:pPr>
      <w:r>
        <w:t> </w:t>
      </w:r>
    </w:p>
    <w:p w14:paraId="0AD22C50" w14:textId="77777777" w:rsidR="00DB2B68" w:rsidRDefault="00000000">
      <w:pPr>
        <w:jc w:val="both"/>
      </w:pPr>
      <w:r>
        <w:rPr>
          <w:b/>
        </w:rPr>
        <w:t>3.3. Attaches de maintien (aussi appelées pattes de fixation)</w:t>
      </w:r>
    </w:p>
    <w:p w14:paraId="3BFABFA5" w14:textId="77777777" w:rsidR="00DB2B68" w:rsidRDefault="00000000">
      <w:pPr>
        <w:jc w:val="both"/>
      </w:pPr>
      <w:r>
        <w:t xml:space="preserve">Longueur totale de l’attache : </w:t>
      </w:r>
      <w:r>
        <w:rPr>
          <w:rStyle w:val="optioncarChar"/>
        </w:rPr>
        <w:t>***</w:t>
      </w:r>
      <w:r>
        <w:t>.</w:t>
      </w:r>
    </w:p>
    <w:p w14:paraId="1D96FAD4" w14:textId="77777777" w:rsidR="00DB2B68" w:rsidRDefault="00000000">
      <w:pPr>
        <w:jc w:val="both"/>
      </w:pPr>
      <w:r>
        <w:t>Extrémité côté paroi 1 : scellement chimique (voir ci-dessus).</w:t>
      </w:r>
    </w:p>
    <w:p w14:paraId="44216158" w14:textId="77777777" w:rsidR="00DB2B68" w:rsidRDefault="00000000">
      <w:pPr>
        <w:jc w:val="both"/>
      </w:pPr>
      <w:r>
        <w:t xml:space="preserve">Extrémité côté paroi 2 : l’attache est scellée dans le mortier sur une longueur d’ancrage minimale de </w:t>
      </w:r>
      <w:r>
        <w:rPr>
          <w:rStyle w:val="optioncarChar"/>
        </w:rPr>
        <w:t xml:space="preserve">30 / 40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(par défaut)</w:t>
      </w:r>
      <w:r>
        <w:rPr>
          <w:rStyle w:val="optioncarChar"/>
        </w:rPr>
        <w:t xml:space="preserve"> / 15</w:t>
      </w:r>
      <w:r>
        <w:t xml:space="preserve"> mm.</w:t>
      </w:r>
    </w:p>
    <w:p w14:paraId="4FA04E00" w14:textId="77777777" w:rsidR="00DB2B68" w:rsidRDefault="00000000">
      <w:pPr>
        <w:jc w:val="both"/>
      </w:pPr>
      <w:r>
        <w:t xml:space="preserve">Charge admissible en cisaillement et déplacement sous charge ([NBN EN 846-7]) : </w:t>
      </w:r>
      <w:r>
        <w:rPr>
          <w:rStyle w:val="optioncarChar"/>
        </w:rPr>
        <w:t>***</w:t>
      </w:r>
      <w:r>
        <w:t>.</w:t>
      </w:r>
    </w:p>
    <w:p w14:paraId="53DD3874" w14:textId="77777777" w:rsidR="00DB2B68" w:rsidRDefault="00000000">
      <w:pPr>
        <w:jc w:val="both"/>
      </w:pPr>
      <w:r>
        <w:t xml:space="preserve">Nombre d’attaches : une toutes les </w:t>
      </w:r>
      <w:r>
        <w:rPr>
          <w:rStyle w:val="optioncarChar"/>
        </w:rPr>
        <w:t>1 / 2 </w:t>
      </w:r>
      <w:r>
        <w:t>(par défaut)</w:t>
      </w:r>
      <w:r>
        <w:rPr>
          <w:rStyle w:val="optioncarChar"/>
        </w:rPr>
        <w:t xml:space="preserve"> / 3 / ***</w:t>
      </w:r>
      <w:r>
        <w:t xml:space="preserve"> assises.</w:t>
      </w:r>
    </w:p>
    <w:p w14:paraId="68CBADE7" w14:textId="77777777" w:rsidR="00DB2B68" w:rsidRDefault="00000000">
      <w:pPr>
        <w:pStyle w:val="pheading"/>
      </w:pPr>
      <w:r>
        <w:t>EXÉCUTION / MISE EN ŒUVRE</w:t>
      </w:r>
    </w:p>
    <w:p w14:paraId="68DB691B" w14:textId="77777777" w:rsidR="00DB2B68" w:rsidRDefault="00000000">
      <w:pPr>
        <w:pStyle w:val="pheading"/>
      </w:pPr>
      <w:r>
        <w:t>- Prescriptions générales</w:t>
      </w:r>
    </w:p>
    <w:p w14:paraId="445C2A1E" w14:textId="77777777" w:rsidR="00DB2B68" w:rsidRDefault="00000000">
      <w:pPr>
        <w:jc w:val="both"/>
      </w:pPr>
      <w:r>
        <w:t xml:space="preserve">Le dimensionnement </w:t>
      </w:r>
      <w:r>
        <w:rPr>
          <w:rStyle w:val="optioncarChar"/>
        </w:rPr>
        <w:t>est / n’est pas</w:t>
      </w:r>
      <w:r>
        <w:t xml:space="preserve"> à charge de l’entrepreneur.</w:t>
      </w:r>
    </w:p>
    <w:p w14:paraId="1EC89DA9" w14:textId="77777777" w:rsidR="00DB2B68" w:rsidRDefault="00000000">
      <w:pPr>
        <w:jc w:val="both"/>
      </w:pPr>
      <w:r>
        <w:t>L’entrepreneur soumet le modèle d’attache et le produit de scellement chimique à la direction de chantier pour approbation. La pose doit respecter les instructions du fabricant.</w:t>
      </w:r>
    </w:p>
    <w:p w14:paraId="1155314B" w14:textId="77777777" w:rsidR="00DB2B68" w:rsidRDefault="00000000">
      <w:pPr>
        <w:jc w:val="both"/>
      </w:pPr>
      <w:r>
        <w:t>La maçonnerie dans laquelle l’injection est réalisée a une épaisseur minimale de 80 mm. La profondeur minimale d’injection est 50 mm. La profondeur maximale d’injection est 30 mm de moins que l’épaisseur du mur. Le perçage par percussion n’est pas autorisé dans les maçonneries creuses. Une attention particulière est portée au nettoyage du trou manuellement et par jet d’air comprimé avant l’injection.</w:t>
      </w:r>
    </w:p>
    <w:p w14:paraId="0C50B602" w14:textId="77777777" w:rsidR="00DB2B68" w:rsidRDefault="00000000">
      <w:pPr>
        <w:pStyle w:val="pheading"/>
      </w:pPr>
      <w:r>
        <w:t>DOCUMENTS DE RÉFÉRENCE COMPLÉMENTAIRES</w:t>
      </w:r>
    </w:p>
    <w:p w14:paraId="0F632134" w14:textId="77777777" w:rsidR="00DB2B68" w:rsidRDefault="00000000">
      <w:pPr>
        <w:pStyle w:val="pheading"/>
      </w:pPr>
      <w:r>
        <w:t>- Matériau</w:t>
      </w:r>
    </w:p>
    <w:p w14:paraId="68FD7D63" w14:textId="77777777" w:rsidR="00DB2B68" w:rsidRDefault="00000000">
      <w:r>
        <w:t>[NBN EN 845-1:2013+A1, Spécification pour composants accessoires de maçonnerie - Partie 1: Attaches, brides de fixation, étriers de support et consoles]</w:t>
      </w:r>
    </w:p>
    <w:p w14:paraId="5FC03354" w14:textId="77777777" w:rsidR="00DB2B68" w:rsidRDefault="00000000">
      <w:r>
        <w:t>[NBN EN 846-5, Méthodes d'essai des composants accessoires de maçonnerie - Partie 5: Détermination de la charge admissible à la traction et à la compression, et des caractéristiques effort-déformation des attaches murales]</w:t>
      </w:r>
    </w:p>
    <w:p w14:paraId="6B7DFAB9" w14:textId="77777777" w:rsidR="00DB2B68" w:rsidRDefault="00000000">
      <w:r>
        <w:t>[NBN EN 846-6, Méthodes d'essai pour composants accessoires de maçonnerie - Partie 6: Détermination de la résistance de traction et en compression et de la rigidité d'attaches murales (essai d'extrémité simple)]</w:t>
      </w:r>
    </w:p>
    <w:p w14:paraId="5B0889E9" w14:textId="77777777" w:rsidR="00DB2B68" w:rsidRDefault="00000000">
      <w:r>
        <w:t>[NBN EN 846-7, Méthodes d'essai des composants accessoires de maçonnerie - Partie 7: Détermination de la charge admissible au cisaillement et des caractéristiques effort-déformation des attaches résistant au cisaillement et des attaches de glissement (essai dans un joint de mortier entre deux éléments)]</w:t>
      </w:r>
    </w:p>
    <w:p w14:paraId="719F8F7A" w14:textId="77777777" w:rsidR="00DB2B68" w:rsidRDefault="00000000">
      <w:r>
        <w:t>[ETAG 029, Metal Injection Anchors for use in Masonry]</w:t>
      </w:r>
    </w:p>
    <w:p w14:paraId="11502160" w14:textId="77777777" w:rsidR="00DB2B68" w:rsidRDefault="00000000">
      <w:r>
        <w:lastRenderedPageBreak/>
        <w:t>[EAD 330076-00-0604, Metal injection anchors for use in masonry]</w:t>
      </w:r>
    </w:p>
    <w:p w14:paraId="4A1D22A3" w14:textId="77777777" w:rsidR="00DB2B68" w:rsidRDefault="00000000">
      <w:pPr>
        <w:pStyle w:val="pheading"/>
      </w:pPr>
      <w:r>
        <w:t>- Exécution</w:t>
      </w:r>
    </w:p>
    <w:p w14:paraId="5AC69AFC" w14:textId="77777777" w:rsidR="00DB2B68" w:rsidRDefault="00000000">
      <w:r>
        <w:t>[NBN EN 1996-2, Eurocode 6 - Calcul des ouvrages en maçonnerie - Partie 2: Conception, choix des matériaux et mise en oeuvre des maçonneries (+ AC:2009)]</w:t>
      </w:r>
    </w:p>
    <w:p w14:paraId="1034923D" w14:textId="77777777" w:rsidR="00DB2B68" w:rsidRDefault="00000000">
      <w:pPr>
        <w:pStyle w:val="pheading"/>
      </w:pPr>
      <w:r>
        <w:t>MESURAGE</w:t>
      </w:r>
    </w:p>
    <w:p w14:paraId="4BDAD5B9" w14:textId="77777777" w:rsidR="00DB2B68" w:rsidRDefault="00000000">
      <w:pPr>
        <w:pStyle w:val="pheading"/>
      </w:pPr>
      <w:r>
        <w:t>- unité de mesure:</w:t>
      </w:r>
    </w:p>
    <w:p w14:paraId="2545F074" w14:textId="77777777" w:rsidR="00DB2B68" w:rsidRDefault="00000000">
      <w:r>
        <w:t>-</w:t>
      </w:r>
    </w:p>
    <w:p w14:paraId="0726483E" w14:textId="77777777" w:rsidR="00DB2B68" w:rsidRDefault="00000000">
      <w:pPr>
        <w:pStyle w:val="pheading"/>
      </w:pPr>
      <w:r>
        <w:t>- code de mesurage:</w:t>
      </w:r>
    </w:p>
    <w:p w14:paraId="62AE2B8B" w14:textId="77777777" w:rsidR="00DB2B68" w:rsidRDefault="00000000">
      <w:r>
        <w:t xml:space="preserve">Compris dans le prix de la maçonnerie correspondante dans l’élément </w:t>
      </w:r>
      <w:r>
        <w:rPr>
          <w:rStyle w:val="optioncarChar"/>
        </w:rPr>
        <w:t>***</w:t>
      </w:r>
      <w:r>
        <w:t>.</w:t>
      </w:r>
    </w:p>
    <w:p w14:paraId="4EC9561A" w14:textId="77777777" w:rsidR="00DB2B68" w:rsidRDefault="00000000">
      <w:pPr>
        <w:pStyle w:val="pheading"/>
      </w:pPr>
      <w:r>
        <w:t>- nature du marché:</w:t>
      </w:r>
    </w:p>
    <w:p w14:paraId="1CF8FEC9" w14:textId="77777777" w:rsidR="00DB2B68" w:rsidRDefault="00000000">
      <w:r>
        <w:t>PM</w:t>
      </w:r>
    </w:p>
    <w:p w14:paraId="1753289C" w14:textId="77777777" w:rsidR="00DB2B68" w:rsidRDefault="00000000">
      <w:pPr>
        <w:pStyle w:val="Author-eSectionHeading5Numberless"/>
      </w:pPr>
      <w:bookmarkStart w:id="374" w:name="_Toc220495480"/>
      <w:r>
        <w:t>21.42.2 Profils à crochets d'ancrages de maçonneries CCTB 01.02</w:t>
      </w:r>
      <w:bookmarkEnd w:id="374"/>
    </w:p>
    <w:p w14:paraId="6C499600" w14:textId="77777777" w:rsidR="00DB2B68" w:rsidRDefault="00000000">
      <w:pPr>
        <w:pStyle w:val="Author-eSectionHeading6Numberless"/>
      </w:pPr>
      <w:bookmarkStart w:id="375" w:name="_Toc220495481"/>
      <w:r>
        <w:t>21.42.2a Profils à crochets d'ancrages de maçonneries fixés mécaniquement CCTB 01.11</w:t>
      </w:r>
      <w:bookmarkEnd w:id="375"/>
    </w:p>
    <w:p w14:paraId="5E0C7A14" w14:textId="77777777" w:rsidR="00DB2B68" w:rsidRDefault="00000000">
      <w:pPr>
        <w:pStyle w:val="pheading"/>
      </w:pPr>
      <w:r>
        <w:t>MESURAGE</w:t>
      </w:r>
    </w:p>
    <w:p w14:paraId="1FB449AD" w14:textId="77777777" w:rsidR="00DB2B68" w:rsidRDefault="00000000">
      <w:pPr>
        <w:pStyle w:val="pheading"/>
      </w:pPr>
      <w:r>
        <w:t>- unité de mesure:</w:t>
      </w:r>
    </w:p>
    <w:p w14:paraId="627B47B7" w14:textId="77777777" w:rsidR="00DB2B68" w:rsidRDefault="00000000">
      <w:r>
        <w:t>-</w:t>
      </w:r>
    </w:p>
    <w:p w14:paraId="2E7B1777" w14:textId="77777777" w:rsidR="00DB2B68" w:rsidRDefault="00000000">
      <w:pPr>
        <w:pStyle w:val="Author-eSectionHeading6Numberless"/>
      </w:pPr>
      <w:bookmarkStart w:id="376" w:name="_Toc220495482"/>
      <w:r>
        <w:t>21.42.2b Profils à crochets d'ancrages de maçonneries scellés dans la masse CCTB 01.11</w:t>
      </w:r>
      <w:bookmarkEnd w:id="376"/>
    </w:p>
    <w:p w14:paraId="433FFDDB" w14:textId="77777777" w:rsidR="00DB2B68" w:rsidRDefault="00000000">
      <w:pPr>
        <w:pStyle w:val="pheading"/>
      </w:pPr>
      <w:r>
        <w:t>MESURAGE</w:t>
      </w:r>
    </w:p>
    <w:p w14:paraId="08FA9B4B" w14:textId="77777777" w:rsidR="00DB2B68" w:rsidRDefault="00000000">
      <w:pPr>
        <w:pStyle w:val="pheading"/>
      </w:pPr>
      <w:r>
        <w:t>- unité de mesure:</w:t>
      </w:r>
    </w:p>
    <w:p w14:paraId="112452D5" w14:textId="77777777" w:rsidR="00DB2B68" w:rsidRDefault="00000000">
      <w:r>
        <w:t>-</w:t>
      </w:r>
    </w:p>
    <w:p w14:paraId="398A6CE7" w14:textId="77777777" w:rsidR="00DB2B68" w:rsidRDefault="00000000">
      <w:pPr>
        <w:pStyle w:val="Author-eSectionHeading5Numberless"/>
      </w:pPr>
      <w:bookmarkStart w:id="377" w:name="_Toc220495483"/>
      <w:r>
        <w:t>21.42.3 Feuillards métalliques de fixation de maçonneries CCTB 01.02</w:t>
      </w:r>
      <w:bookmarkEnd w:id="377"/>
    </w:p>
    <w:p w14:paraId="0E80A440" w14:textId="77777777" w:rsidR="00DB2B68" w:rsidRDefault="00000000">
      <w:pPr>
        <w:pStyle w:val="Author-eSectionHeading6Numberless"/>
      </w:pPr>
      <w:bookmarkStart w:id="378" w:name="_Toc220495484"/>
      <w:r>
        <w:t>21.42.3a Feuillards métalliques de fixation de maçonneries CCTB 01.12</w:t>
      </w:r>
      <w:bookmarkEnd w:id="378"/>
    </w:p>
    <w:p w14:paraId="7829E5EA" w14:textId="77777777" w:rsidR="00DB2B68" w:rsidRDefault="00000000">
      <w:pPr>
        <w:pStyle w:val="pheading"/>
      </w:pPr>
      <w:r>
        <w:t>DESCRIPTION</w:t>
      </w:r>
    </w:p>
    <w:p w14:paraId="7A664AD3" w14:textId="77777777" w:rsidR="00DB2B68" w:rsidRDefault="00000000">
      <w:pPr>
        <w:pStyle w:val="pheading"/>
      </w:pPr>
      <w:r>
        <w:t>- Définition / Comprend</w:t>
      </w:r>
    </w:p>
    <w:p w14:paraId="41517491" w14:textId="77777777" w:rsidR="00DB2B68" w:rsidRDefault="00000000">
      <w:pPr>
        <w:jc w:val="both"/>
      </w:pPr>
      <w:r>
        <w:t>Un feuillard, aussi appelé bride de fixation, est un dispositif utilisé pour relier des murs en maçonnerie à d’autres composants adjacents (planchers et toitures, par ex.) et qui est prévu pour résister aux efforts de traction.</w:t>
      </w:r>
    </w:p>
    <w:p w14:paraId="6CF1B883" w14:textId="77777777" w:rsidR="00DB2B68" w:rsidRDefault="00000000">
      <w:pPr>
        <w:jc w:val="both"/>
      </w:pPr>
      <w:r>
        <w:t>Cet élément décrit la fourniture et la pose de ces feuillards métalliques de fixation de maçonneries.</w:t>
      </w:r>
    </w:p>
    <w:p w14:paraId="104071A1" w14:textId="77777777" w:rsidR="00DB2B68" w:rsidRDefault="00000000">
      <w:pPr>
        <w:pStyle w:val="pheading"/>
      </w:pPr>
      <w:r>
        <w:t>- Localisation</w:t>
      </w:r>
    </w:p>
    <w:p w14:paraId="1353E0AB" w14:textId="77777777" w:rsidR="00DB2B68" w:rsidRDefault="00000000">
      <w:r>
        <w:t>Localisation des travaux :</w:t>
      </w:r>
      <w:r>
        <w:rPr>
          <w:rStyle w:val="optioncarChar"/>
        </w:rPr>
        <w:t xml:space="preserve"> ***</w:t>
      </w:r>
      <w:r>
        <w:t>.</w:t>
      </w:r>
    </w:p>
    <w:p w14:paraId="13DEB5EC" w14:textId="77777777" w:rsidR="00DB2B68" w:rsidRDefault="00000000">
      <w:r>
        <w:t>Voir plans et métrés détaillés.</w:t>
      </w:r>
    </w:p>
    <w:p w14:paraId="61F5E23E" w14:textId="77777777" w:rsidR="00DB2B68" w:rsidRDefault="00000000">
      <w:pPr>
        <w:pStyle w:val="pheading"/>
      </w:pPr>
      <w:r>
        <w:t>MATÉRIAUX</w:t>
      </w:r>
    </w:p>
    <w:p w14:paraId="30F5579D" w14:textId="77777777" w:rsidR="00DB2B68" w:rsidRDefault="00000000">
      <w:pPr>
        <w:pStyle w:val="pheading"/>
      </w:pPr>
      <w:r>
        <w:t>- Caractéristiques générales</w:t>
      </w:r>
    </w:p>
    <w:p w14:paraId="4F2EFBE0" w14:textId="77777777" w:rsidR="00DB2B68" w:rsidRDefault="00000000">
      <w:pPr>
        <w:jc w:val="both"/>
      </w:pPr>
      <w:r>
        <w:t xml:space="preserve">Les feuillards métalliques répondent aux spécifications de la [NBN EN 845-1:2013+A1]. Le matériau constitutif (système de protection anticorrosion) est référencé normativement (voir tableau) . En fonction de la référence normative du matériau, les feuillards peuvent être couverts d’une couche de </w:t>
      </w:r>
      <w:r>
        <w:lastRenderedPageBreak/>
        <w:t>galvanisation (différentes épaisseurs) et/ou d’un revêtement organique pour offrir une résistance à la corrosion.</w:t>
      </w:r>
    </w:p>
    <w:p w14:paraId="5881920C" w14:textId="77777777" w:rsidR="00DB2B68" w:rsidRDefault="00000000">
      <w:pPr>
        <w:jc w:val="both"/>
      </w:pPr>
      <w:r>
        <w:t xml:space="preserve">Le choix de la référence normative du matériau doit être réalisé conformément à la [NBN EN 1996-2] en fonction de la classe d’exposition de la maçonnerie. La classe d’exposition est : </w:t>
      </w:r>
      <w:r>
        <w:rPr>
          <w:rStyle w:val="optioncarChar"/>
        </w:rPr>
        <w:t>MX1 (environnement sec) / MX2 (environnement humide) ou MX3 (environnement humide et cycles de gel (par défaut) / MX4 (environnement salin) / MX5 (environnement chimique agressif)</w:t>
      </w:r>
      <w:r>
        <w:t>.</w:t>
      </w:r>
    </w:p>
    <w:p w14:paraId="7DCCAFBF" w14:textId="77777777" w:rsidR="00DB2B68" w:rsidRDefault="00000000">
      <w:pPr>
        <w:jc w:val="both"/>
      </w:pPr>
      <w:r>
        <w:t xml:space="preserve">Le n° de référence du matériau est :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307F26FA" w14:textId="77777777" w:rsidR="00DB2B68" w:rsidRDefault="00000000">
      <w:pPr>
        <w:jc w:val="both"/>
      </w:pPr>
      <w:r>
        <w:t>Tableau : Recommandation (1) quant au système de protection anticorrosion pour les brides de fixation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DB2B68" w14:paraId="6F6FA11E" w14:textId="77777777">
        <w:tc>
          <w:tcPr>
            <w:tcW w:w="6720" w:type="dxa"/>
            <w:gridSpan w:val="2"/>
            <w:shd w:val="clear" w:color="auto" w:fill="FFFFFF"/>
            <w:noWrap/>
          </w:tcPr>
          <w:p w14:paraId="19071093" w14:textId="77777777" w:rsidR="00DB2B68" w:rsidRDefault="00000000">
            <w:pPr>
              <w:jc w:val="center"/>
            </w:pPr>
            <w:r>
              <w:rPr>
                <w:b/>
                <w:shd w:val="clear" w:color="auto" w:fill="FFFFFF"/>
              </w:rPr>
              <w:t>Matériau</w:t>
            </w:r>
          </w:p>
        </w:tc>
        <w:tc>
          <w:tcPr>
            <w:tcW w:w="2280" w:type="dxa"/>
            <w:gridSpan w:val="4"/>
            <w:shd w:val="clear" w:color="auto" w:fill="FFFFFF"/>
            <w:noWrap/>
          </w:tcPr>
          <w:p w14:paraId="3F13A361" w14:textId="77777777" w:rsidR="00DB2B68" w:rsidRDefault="00000000">
            <w:pPr>
              <w:jc w:val="center"/>
            </w:pPr>
            <w:r>
              <w:rPr>
                <w:b/>
                <w:shd w:val="clear" w:color="auto" w:fill="FFFFFF"/>
              </w:rPr>
              <w:t>Classe d'exposition (</w:t>
            </w:r>
            <w:r>
              <w:rPr>
                <w:b/>
                <w:shd w:val="clear" w:color="auto" w:fill="FFFFFF"/>
                <w:vertAlign w:val="superscript"/>
              </w:rPr>
              <w:t>3</w:t>
            </w:r>
            <w:r>
              <w:rPr>
                <w:b/>
                <w:shd w:val="clear" w:color="auto" w:fill="FFFFFF"/>
              </w:rPr>
              <w:t>)</w:t>
            </w:r>
          </w:p>
        </w:tc>
      </w:tr>
      <w:tr w:rsidR="00DB2B68" w14:paraId="1C4BEC00" w14:textId="77777777">
        <w:tc>
          <w:tcPr>
            <w:tcW w:w="5655" w:type="dxa"/>
            <w:shd w:val="clear" w:color="auto" w:fill="FFFFFF"/>
            <w:noWrap/>
          </w:tcPr>
          <w:p w14:paraId="2884F6C8" w14:textId="77777777" w:rsidR="00DB2B68" w:rsidRDefault="00000000">
            <w:pPr>
              <w:jc w:val="center"/>
            </w:pPr>
            <w:r>
              <w:rPr>
                <w:shd w:val="clear" w:color="auto" w:fill="FFFFFF"/>
              </w:rPr>
              <w:t>Spécification (</w:t>
            </w:r>
            <w:r>
              <w:rPr>
                <w:shd w:val="clear" w:color="auto" w:fill="FFFFFF"/>
                <w:vertAlign w:val="superscript"/>
              </w:rPr>
              <w:t>2</w:t>
            </w:r>
            <w:r>
              <w:rPr>
                <w:shd w:val="clear" w:color="auto" w:fill="FFFFFF"/>
              </w:rPr>
              <w:t>) du matériau et du revêtement correspondant au numéro de référence</w:t>
            </w:r>
          </w:p>
        </w:tc>
        <w:tc>
          <w:tcPr>
            <w:tcW w:w="1065" w:type="dxa"/>
            <w:shd w:val="clear" w:color="auto" w:fill="FFFFFF"/>
            <w:noWrap/>
          </w:tcPr>
          <w:p w14:paraId="0FFC2C4D" w14:textId="77777777" w:rsidR="00DB2B68" w:rsidRDefault="00000000">
            <w:pPr>
              <w:jc w:val="center"/>
            </w:pPr>
            <w:r>
              <w:rPr>
                <w:b/>
                <w:shd w:val="clear" w:color="auto" w:fill="FFFFFF"/>
              </w:rPr>
              <w:t>N° de référence</w:t>
            </w:r>
          </w:p>
        </w:tc>
        <w:tc>
          <w:tcPr>
            <w:tcW w:w="570" w:type="dxa"/>
            <w:shd w:val="clear" w:color="auto" w:fill="FFFFFF"/>
            <w:noWrap/>
          </w:tcPr>
          <w:p w14:paraId="583C510D" w14:textId="77777777" w:rsidR="00DB2B68" w:rsidRDefault="00000000">
            <w:r>
              <w:rPr>
                <w:shd w:val="clear" w:color="auto" w:fill="FFFFFF"/>
              </w:rPr>
              <w:t>MX1</w:t>
            </w:r>
          </w:p>
        </w:tc>
        <w:tc>
          <w:tcPr>
            <w:tcW w:w="570" w:type="dxa"/>
            <w:shd w:val="clear" w:color="auto" w:fill="FFFFFF"/>
            <w:noWrap/>
          </w:tcPr>
          <w:p w14:paraId="1CFE39B7" w14:textId="77777777" w:rsidR="00DB2B68" w:rsidRDefault="00000000">
            <w:r>
              <w:rPr>
                <w:shd w:val="clear" w:color="auto" w:fill="FFFFFF"/>
              </w:rPr>
              <w:t>MX2</w:t>
            </w:r>
          </w:p>
          <w:p w14:paraId="5FF8DAB9" w14:textId="77777777" w:rsidR="00DB2B68" w:rsidRDefault="00000000">
            <w:r>
              <w:rPr>
                <w:shd w:val="clear" w:color="auto" w:fill="FFFFFF"/>
              </w:rPr>
              <w:t>MX3</w:t>
            </w:r>
          </w:p>
        </w:tc>
        <w:tc>
          <w:tcPr>
            <w:tcW w:w="570" w:type="dxa"/>
            <w:shd w:val="clear" w:color="auto" w:fill="FFFFFF"/>
            <w:noWrap/>
          </w:tcPr>
          <w:p w14:paraId="68EBE2B7" w14:textId="77777777" w:rsidR="00DB2B68" w:rsidRDefault="00000000">
            <w:r>
              <w:rPr>
                <w:shd w:val="clear" w:color="auto" w:fill="FFFFFF"/>
              </w:rPr>
              <w:t>MX4</w:t>
            </w:r>
          </w:p>
        </w:tc>
        <w:tc>
          <w:tcPr>
            <w:tcW w:w="570" w:type="dxa"/>
            <w:shd w:val="clear" w:color="auto" w:fill="FFFFFF"/>
            <w:noWrap/>
          </w:tcPr>
          <w:p w14:paraId="3C657BD2" w14:textId="77777777" w:rsidR="00DB2B68" w:rsidRDefault="00000000">
            <w:r>
              <w:rPr>
                <w:shd w:val="clear" w:color="auto" w:fill="FFFFFF"/>
              </w:rPr>
              <w:t>MX5</w:t>
            </w:r>
          </w:p>
        </w:tc>
      </w:tr>
      <w:tr w:rsidR="00DB2B68" w14:paraId="4AC0F7CC" w14:textId="77777777">
        <w:tc>
          <w:tcPr>
            <w:tcW w:w="5655" w:type="dxa"/>
            <w:shd w:val="clear" w:color="auto" w:fill="FFFFFF"/>
            <w:noWrap/>
          </w:tcPr>
          <w:p w14:paraId="27A98522" w14:textId="77777777" w:rsidR="00DB2B68" w:rsidRDefault="00000000">
            <w:r>
              <w:rPr>
                <w:shd w:val="clear" w:color="auto" w:fill="FFFFFF"/>
              </w:rPr>
              <w:t>Acier inoxydable austénitique  (alliages molybdène chrome nickel – ‘inox 316’)</w:t>
            </w:r>
          </w:p>
        </w:tc>
        <w:tc>
          <w:tcPr>
            <w:tcW w:w="1065" w:type="dxa"/>
            <w:shd w:val="clear" w:color="auto" w:fill="FFFFFF"/>
            <w:noWrap/>
          </w:tcPr>
          <w:p w14:paraId="2D65279E" w14:textId="77777777" w:rsidR="00DB2B68" w:rsidRDefault="00000000">
            <w:pPr>
              <w:jc w:val="center"/>
            </w:pPr>
            <w:r>
              <w:rPr>
                <w:b/>
                <w:shd w:val="clear" w:color="auto" w:fill="FFFFFF"/>
              </w:rPr>
              <w:t>1</w:t>
            </w:r>
          </w:p>
        </w:tc>
        <w:tc>
          <w:tcPr>
            <w:tcW w:w="570" w:type="dxa"/>
            <w:shd w:val="clear" w:color="auto" w:fill="FFFFFF"/>
            <w:noWrap/>
          </w:tcPr>
          <w:p w14:paraId="1CADB011" w14:textId="77777777" w:rsidR="00DB2B68" w:rsidRDefault="00000000">
            <w:pPr>
              <w:jc w:val="center"/>
            </w:pPr>
            <w:r>
              <w:rPr>
                <w:shd w:val="clear" w:color="auto" w:fill="FFFFFF"/>
              </w:rPr>
              <w:t>U</w:t>
            </w:r>
          </w:p>
        </w:tc>
        <w:tc>
          <w:tcPr>
            <w:tcW w:w="570" w:type="dxa"/>
            <w:shd w:val="clear" w:color="auto" w:fill="FFFFFF"/>
            <w:noWrap/>
          </w:tcPr>
          <w:p w14:paraId="4E484395" w14:textId="77777777" w:rsidR="00DB2B68" w:rsidRDefault="00000000">
            <w:pPr>
              <w:jc w:val="center"/>
            </w:pPr>
            <w:r>
              <w:rPr>
                <w:shd w:val="clear" w:color="auto" w:fill="FFFFFF"/>
              </w:rPr>
              <w:t>U</w:t>
            </w:r>
          </w:p>
        </w:tc>
        <w:tc>
          <w:tcPr>
            <w:tcW w:w="570" w:type="dxa"/>
            <w:shd w:val="clear" w:color="auto" w:fill="FFFFFF"/>
            <w:noWrap/>
          </w:tcPr>
          <w:p w14:paraId="455588F0" w14:textId="77777777" w:rsidR="00DB2B68" w:rsidRDefault="00000000">
            <w:pPr>
              <w:jc w:val="center"/>
            </w:pPr>
            <w:r>
              <w:rPr>
                <w:shd w:val="clear" w:color="auto" w:fill="FFFFFF"/>
              </w:rPr>
              <w:t>U</w:t>
            </w:r>
          </w:p>
        </w:tc>
        <w:tc>
          <w:tcPr>
            <w:tcW w:w="570" w:type="dxa"/>
            <w:shd w:val="clear" w:color="auto" w:fill="FFFFFF"/>
            <w:noWrap/>
          </w:tcPr>
          <w:p w14:paraId="7D7348E8" w14:textId="77777777" w:rsidR="00DB2B68" w:rsidRDefault="00000000">
            <w:pPr>
              <w:jc w:val="center"/>
            </w:pPr>
            <w:r>
              <w:rPr>
                <w:shd w:val="clear" w:color="auto" w:fill="FFFFFF"/>
              </w:rPr>
              <w:t>R</w:t>
            </w:r>
          </w:p>
        </w:tc>
      </w:tr>
      <w:tr w:rsidR="00DB2B68" w14:paraId="5B265746" w14:textId="77777777">
        <w:tc>
          <w:tcPr>
            <w:tcW w:w="5655" w:type="dxa"/>
            <w:shd w:val="clear" w:color="auto" w:fill="FFFFFF"/>
            <w:noWrap/>
          </w:tcPr>
          <w:p w14:paraId="67EF2F57" w14:textId="77777777" w:rsidR="00DB2B68" w:rsidRDefault="00000000">
            <w:r>
              <w:rPr>
                <w:shd w:val="clear" w:color="auto" w:fill="FFFFFF"/>
              </w:rPr>
              <w:t>Plastique utilisé pour le corps des attaches murales</w:t>
            </w:r>
          </w:p>
        </w:tc>
        <w:tc>
          <w:tcPr>
            <w:tcW w:w="1065" w:type="dxa"/>
            <w:shd w:val="clear" w:color="auto" w:fill="FFFFFF"/>
            <w:noWrap/>
          </w:tcPr>
          <w:p w14:paraId="5DF7FB77" w14:textId="77777777" w:rsidR="00DB2B68" w:rsidRDefault="00000000">
            <w:pPr>
              <w:jc w:val="center"/>
            </w:pPr>
            <w:r>
              <w:rPr>
                <w:b/>
                <w:shd w:val="clear" w:color="auto" w:fill="FFFFFF"/>
              </w:rPr>
              <w:t>2</w:t>
            </w:r>
          </w:p>
        </w:tc>
        <w:tc>
          <w:tcPr>
            <w:tcW w:w="570" w:type="dxa"/>
            <w:shd w:val="clear" w:color="auto" w:fill="FFFFFF"/>
            <w:noWrap/>
          </w:tcPr>
          <w:p w14:paraId="0D76DC6D" w14:textId="77777777" w:rsidR="00DB2B68" w:rsidRDefault="00000000">
            <w:pPr>
              <w:jc w:val="center"/>
            </w:pPr>
            <w:r>
              <w:rPr>
                <w:shd w:val="clear" w:color="auto" w:fill="FFFFFF"/>
              </w:rPr>
              <w:t>U</w:t>
            </w:r>
          </w:p>
        </w:tc>
        <w:tc>
          <w:tcPr>
            <w:tcW w:w="570" w:type="dxa"/>
            <w:shd w:val="clear" w:color="auto" w:fill="FFFFFF"/>
            <w:noWrap/>
          </w:tcPr>
          <w:p w14:paraId="23F2ED0F" w14:textId="77777777" w:rsidR="00DB2B68" w:rsidRDefault="00000000">
            <w:pPr>
              <w:jc w:val="center"/>
            </w:pPr>
            <w:r>
              <w:rPr>
                <w:shd w:val="clear" w:color="auto" w:fill="FFFFFF"/>
              </w:rPr>
              <w:t>U</w:t>
            </w:r>
          </w:p>
        </w:tc>
        <w:tc>
          <w:tcPr>
            <w:tcW w:w="570" w:type="dxa"/>
            <w:shd w:val="clear" w:color="auto" w:fill="FFFFFF"/>
            <w:noWrap/>
          </w:tcPr>
          <w:p w14:paraId="397D196A" w14:textId="77777777" w:rsidR="00DB2B68" w:rsidRDefault="00000000">
            <w:pPr>
              <w:jc w:val="center"/>
            </w:pPr>
            <w:r>
              <w:rPr>
                <w:shd w:val="clear" w:color="auto" w:fill="FFFFFF"/>
              </w:rPr>
              <w:t>U</w:t>
            </w:r>
          </w:p>
        </w:tc>
        <w:tc>
          <w:tcPr>
            <w:tcW w:w="570" w:type="dxa"/>
            <w:shd w:val="clear" w:color="auto" w:fill="FFFFFF"/>
            <w:noWrap/>
          </w:tcPr>
          <w:p w14:paraId="0F44BD7E" w14:textId="77777777" w:rsidR="00DB2B68" w:rsidRDefault="00000000">
            <w:pPr>
              <w:jc w:val="center"/>
            </w:pPr>
            <w:r>
              <w:rPr>
                <w:shd w:val="clear" w:color="auto" w:fill="FFFFFF"/>
              </w:rPr>
              <w:t>R</w:t>
            </w:r>
          </w:p>
        </w:tc>
      </w:tr>
      <w:tr w:rsidR="00DB2B68" w14:paraId="6FBCA4F8" w14:textId="77777777">
        <w:tc>
          <w:tcPr>
            <w:tcW w:w="5655" w:type="dxa"/>
            <w:shd w:val="clear" w:color="auto" w:fill="FFFFFF"/>
            <w:noWrap/>
          </w:tcPr>
          <w:p w14:paraId="68EF03BA" w14:textId="77777777" w:rsidR="00DB2B68" w:rsidRDefault="00000000">
            <w:r>
              <w:rPr>
                <w:shd w:val="clear" w:color="auto" w:fill="FFFFFF"/>
              </w:rPr>
              <w:t>Acier inoxydable austénitique (alliages chrome nickel – ‘inox 304’)</w:t>
            </w:r>
          </w:p>
        </w:tc>
        <w:tc>
          <w:tcPr>
            <w:tcW w:w="1065" w:type="dxa"/>
            <w:shd w:val="clear" w:color="auto" w:fill="FFFFFF"/>
            <w:noWrap/>
          </w:tcPr>
          <w:p w14:paraId="346ED49B" w14:textId="77777777" w:rsidR="00DB2B68" w:rsidRDefault="00000000">
            <w:pPr>
              <w:jc w:val="center"/>
            </w:pPr>
            <w:r>
              <w:rPr>
                <w:b/>
                <w:shd w:val="clear" w:color="auto" w:fill="FFFFFF"/>
              </w:rPr>
              <w:t>3</w:t>
            </w:r>
          </w:p>
        </w:tc>
        <w:tc>
          <w:tcPr>
            <w:tcW w:w="570" w:type="dxa"/>
            <w:shd w:val="clear" w:color="auto" w:fill="FFFFFF"/>
            <w:noWrap/>
          </w:tcPr>
          <w:p w14:paraId="1ADF1694" w14:textId="77777777" w:rsidR="00DB2B68" w:rsidRDefault="00000000">
            <w:pPr>
              <w:jc w:val="center"/>
            </w:pPr>
            <w:r>
              <w:rPr>
                <w:shd w:val="clear" w:color="auto" w:fill="FFFFFF"/>
              </w:rPr>
              <w:t>U</w:t>
            </w:r>
          </w:p>
        </w:tc>
        <w:tc>
          <w:tcPr>
            <w:tcW w:w="570" w:type="dxa"/>
            <w:shd w:val="clear" w:color="auto" w:fill="FFFFFF"/>
            <w:noWrap/>
          </w:tcPr>
          <w:p w14:paraId="7B71DE30" w14:textId="77777777" w:rsidR="00DB2B68" w:rsidRDefault="00000000">
            <w:pPr>
              <w:jc w:val="center"/>
            </w:pPr>
            <w:r>
              <w:rPr>
                <w:shd w:val="clear" w:color="auto" w:fill="FFFFFF"/>
              </w:rPr>
              <w:t>U</w:t>
            </w:r>
          </w:p>
        </w:tc>
        <w:tc>
          <w:tcPr>
            <w:tcW w:w="570" w:type="dxa"/>
            <w:shd w:val="clear" w:color="auto" w:fill="FFFFFF"/>
            <w:noWrap/>
          </w:tcPr>
          <w:p w14:paraId="5A65E101" w14:textId="77777777" w:rsidR="00DB2B68" w:rsidRDefault="00000000">
            <w:pPr>
              <w:jc w:val="center"/>
            </w:pPr>
            <w:r>
              <w:rPr>
                <w:shd w:val="clear" w:color="auto" w:fill="FFFFFF"/>
              </w:rPr>
              <w:t>R</w:t>
            </w:r>
          </w:p>
        </w:tc>
        <w:tc>
          <w:tcPr>
            <w:tcW w:w="570" w:type="dxa"/>
            <w:shd w:val="clear" w:color="auto" w:fill="FFFFFF"/>
            <w:noWrap/>
          </w:tcPr>
          <w:p w14:paraId="1175D016" w14:textId="77777777" w:rsidR="00DB2B68" w:rsidRDefault="00000000">
            <w:pPr>
              <w:jc w:val="center"/>
            </w:pPr>
            <w:r>
              <w:rPr>
                <w:shd w:val="clear" w:color="auto" w:fill="FFFFFF"/>
              </w:rPr>
              <w:t>R</w:t>
            </w:r>
          </w:p>
        </w:tc>
      </w:tr>
      <w:tr w:rsidR="00DB2B68" w14:paraId="17ACD9E8" w14:textId="77777777">
        <w:tc>
          <w:tcPr>
            <w:tcW w:w="5655" w:type="dxa"/>
            <w:shd w:val="clear" w:color="auto" w:fill="FFFFFF"/>
            <w:noWrap/>
          </w:tcPr>
          <w:p w14:paraId="3311BB26" w14:textId="77777777" w:rsidR="00DB2B68" w:rsidRDefault="00000000">
            <w:r>
              <w:rPr>
                <w:shd w:val="clear" w:color="auto" w:fill="FFFFFF"/>
              </w:rPr>
              <w:t>Acier inoxydable ferritique</w:t>
            </w:r>
          </w:p>
        </w:tc>
        <w:tc>
          <w:tcPr>
            <w:tcW w:w="1065" w:type="dxa"/>
            <w:shd w:val="clear" w:color="auto" w:fill="FFFFFF"/>
            <w:noWrap/>
          </w:tcPr>
          <w:p w14:paraId="4A4580CA" w14:textId="77777777" w:rsidR="00DB2B68" w:rsidRDefault="00000000">
            <w:pPr>
              <w:jc w:val="center"/>
            </w:pPr>
            <w:r>
              <w:rPr>
                <w:b/>
                <w:shd w:val="clear" w:color="auto" w:fill="FFFFFF"/>
              </w:rPr>
              <w:t>4</w:t>
            </w:r>
          </w:p>
        </w:tc>
        <w:tc>
          <w:tcPr>
            <w:tcW w:w="570" w:type="dxa"/>
            <w:shd w:val="clear" w:color="auto" w:fill="FFFFFF"/>
            <w:noWrap/>
          </w:tcPr>
          <w:p w14:paraId="676A9302" w14:textId="77777777" w:rsidR="00DB2B68" w:rsidRDefault="00000000">
            <w:pPr>
              <w:jc w:val="center"/>
            </w:pPr>
            <w:r>
              <w:rPr>
                <w:shd w:val="clear" w:color="auto" w:fill="FFFFFF"/>
              </w:rPr>
              <w:t>U</w:t>
            </w:r>
          </w:p>
        </w:tc>
        <w:tc>
          <w:tcPr>
            <w:tcW w:w="570" w:type="dxa"/>
            <w:shd w:val="clear" w:color="auto" w:fill="FFFFFF"/>
            <w:noWrap/>
          </w:tcPr>
          <w:p w14:paraId="7E969475" w14:textId="77777777" w:rsidR="00DB2B68" w:rsidRDefault="00000000">
            <w:pPr>
              <w:jc w:val="center"/>
            </w:pPr>
            <w:r>
              <w:rPr>
                <w:shd w:val="clear" w:color="auto" w:fill="FFFFFF"/>
              </w:rPr>
              <w:t>X</w:t>
            </w:r>
          </w:p>
        </w:tc>
        <w:tc>
          <w:tcPr>
            <w:tcW w:w="570" w:type="dxa"/>
            <w:shd w:val="clear" w:color="auto" w:fill="FFFFFF"/>
            <w:noWrap/>
          </w:tcPr>
          <w:p w14:paraId="71CA3972" w14:textId="77777777" w:rsidR="00DB2B68" w:rsidRDefault="00000000">
            <w:pPr>
              <w:jc w:val="center"/>
            </w:pPr>
            <w:r>
              <w:rPr>
                <w:shd w:val="clear" w:color="auto" w:fill="FFFFFF"/>
              </w:rPr>
              <w:t>X</w:t>
            </w:r>
          </w:p>
        </w:tc>
        <w:tc>
          <w:tcPr>
            <w:tcW w:w="570" w:type="dxa"/>
            <w:shd w:val="clear" w:color="auto" w:fill="FFFFFF"/>
            <w:noWrap/>
          </w:tcPr>
          <w:p w14:paraId="760ACECF" w14:textId="77777777" w:rsidR="00DB2B68" w:rsidRDefault="00000000">
            <w:pPr>
              <w:jc w:val="center"/>
            </w:pPr>
            <w:r>
              <w:rPr>
                <w:shd w:val="clear" w:color="auto" w:fill="FFFFFF"/>
              </w:rPr>
              <w:t>X</w:t>
            </w:r>
          </w:p>
        </w:tc>
      </w:tr>
      <w:tr w:rsidR="00DB2B68" w14:paraId="732E338B" w14:textId="77777777">
        <w:tc>
          <w:tcPr>
            <w:tcW w:w="5655" w:type="dxa"/>
            <w:shd w:val="clear" w:color="auto" w:fill="FFFFFF"/>
            <w:noWrap/>
          </w:tcPr>
          <w:p w14:paraId="5D3052C0" w14:textId="77777777" w:rsidR="00DB2B68" w:rsidRDefault="00000000">
            <w:r>
              <w:rPr>
                <w:shd w:val="clear" w:color="auto" w:fill="FFFFFF"/>
              </w:rPr>
              <w:t>Bronze phosphorique</w:t>
            </w:r>
          </w:p>
        </w:tc>
        <w:tc>
          <w:tcPr>
            <w:tcW w:w="1065" w:type="dxa"/>
            <w:shd w:val="clear" w:color="auto" w:fill="FFFFFF"/>
            <w:noWrap/>
          </w:tcPr>
          <w:p w14:paraId="21E375CE" w14:textId="77777777" w:rsidR="00DB2B68" w:rsidRDefault="00000000">
            <w:pPr>
              <w:jc w:val="center"/>
            </w:pPr>
            <w:r>
              <w:rPr>
                <w:b/>
                <w:shd w:val="clear" w:color="auto" w:fill="FFFFFF"/>
              </w:rPr>
              <w:t>5</w:t>
            </w:r>
          </w:p>
        </w:tc>
        <w:tc>
          <w:tcPr>
            <w:tcW w:w="570" w:type="dxa"/>
            <w:shd w:val="clear" w:color="auto" w:fill="FFFFFF"/>
            <w:noWrap/>
          </w:tcPr>
          <w:p w14:paraId="2E2B2273" w14:textId="77777777" w:rsidR="00DB2B68" w:rsidRDefault="00000000">
            <w:pPr>
              <w:jc w:val="center"/>
            </w:pPr>
            <w:r>
              <w:rPr>
                <w:shd w:val="clear" w:color="auto" w:fill="FFFFFF"/>
              </w:rPr>
              <w:t>U</w:t>
            </w:r>
          </w:p>
        </w:tc>
        <w:tc>
          <w:tcPr>
            <w:tcW w:w="570" w:type="dxa"/>
            <w:shd w:val="clear" w:color="auto" w:fill="FFFFFF"/>
            <w:noWrap/>
          </w:tcPr>
          <w:p w14:paraId="47D55B9C" w14:textId="77777777" w:rsidR="00DB2B68" w:rsidRDefault="00000000">
            <w:pPr>
              <w:jc w:val="center"/>
            </w:pPr>
            <w:r>
              <w:rPr>
                <w:shd w:val="clear" w:color="auto" w:fill="FFFFFF"/>
              </w:rPr>
              <w:t>U</w:t>
            </w:r>
          </w:p>
        </w:tc>
        <w:tc>
          <w:tcPr>
            <w:tcW w:w="570" w:type="dxa"/>
            <w:shd w:val="clear" w:color="auto" w:fill="FFFFFF"/>
            <w:noWrap/>
          </w:tcPr>
          <w:p w14:paraId="5F285499" w14:textId="77777777" w:rsidR="00DB2B68" w:rsidRDefault="00000000">
            <w:pPr>
              <w:jc w:val="center"/>
            </w:pPr>
            <w:r>
              <w:rPr>
                <w:shd w:val="clear" w:color="auto" w:fill="FFFFFF"/>
              </w:rPr>
              <w:t>X</w:t>
            </w:r>
          </w:p>
        </w:tc>
        <w:tc>
          <w:tcPr>
            <w:tcW w:w="570" w:type="dxa"/>
            <w:shd w:val="clear" w:color="auto" w:fill="FFFFFF"/>
            <w:noWrap/>
          </w:tcPr>
          <w:p w14:paraId="29426520" w14:textId="77777777" w:rsidR="00DB2B68" w:rsidRDefault="00000000">
            <w:pPr>
              <w:jc w:val="center"/>
            </w:pPr>
            <w:r>
              <w:rPr>
                <w:shd w:val="clear" w:color="auto" w:fill="FFFFFF"/>
              </w:rPr>
              <w:t>X</w:t>
            </w:r>
          </w:p>
        </w:tc>
      </w:tr>
      <w:tr w:rsidR="00DB2B68" w14:paraId="41633800" w14:textId="77777777">
        <w:tc>
          <w:tcPr>
            <w:tcW w:w="5655" w:type="dxa"/>
            <w:shd w:val="clear" w:color="auto" w:fill="FFFFFF"/>
            <w:noWrap/>
          </w:tcPr>
          <w:p w14:paraId="4E7C612B" w14:textId="77777777" w:rsidR="00DB2B68" w:rsidRDefault="00000000">
            <w:r>
              <w:rPr>
                <w:shd w:val="clear" w:color="auto" w:fill="FFFFFF"/>
              </w:rPr>
              <w:t>Bronze d‘aluminium</w:t>
            </w:r>
          </w:p>
        </w:tc>
        <w:tc>
          <w:tcPr>
            <w:tcW w:w="1065" w:type="dxa"/>
            <w:shd w:val="clear" w:color="auto" w:fill="FFFFFF"/>
            <w:noWrap/>
          </w:tcPr>
          <w:p w14:paraId="14A88A43" w14:textId="77777777" w:rsidR="00DB2B68" w:rsidRDefault="00000000">
            <w:pPr>
              <w:jc w:val="center"/>
            </w:pPr>
            <w:r>
              <w:rPr>
                <w:b/>
                <w:shd w:val="clear" w:color="auto" w:fill="FFFFFF"/>
              </w:rPr>
              <w:t>6</w:t>
            </w:r>
          </w:p>
        </w:tc>
        <w:tc>
          <w:tcPr>
            <w:tcW w:w="570" w:type="dxa"/>
            <w:shd w:val="clear" w:color="auto" w:fill="FFFFFF"/>
            <w:noWrap/>
          </w:tcPr>
          <w:p w14:paraId="20CCE570" w14:textId="77777777" w:rsidR="00DB2B68" w:rsidRDefault="00000000">
            <w:pPr>
              <w:jc w:val="center"/>
            </w:pPr>
            <w:r>
              <w:rPr>
                <w:shd w:val="clear" w:color="auto" w:fill="FFFFFF"/>
              </w:rPr>
              <w:t>U</w:t>
            </w:r>
          </w:p>
        </w:tc>
        <w:tc>
          <w:tcPr>
            <w:tcW w:w="570" w:type="dxa"/>
            <w:shd w:val="clear" w:color="auto" w:fill="FFFFFF"/>
            <w:noWrap/>
          </w:tcPr>
          <w:p w14:paraId="6F8ABCE5" w14:textId="77777777" w:rsidR="00DB2B68" w:rsidRDefault="00000000">
            <w:pPr>
              <w:jc w:val="center"/>
            </w:pPr>
            <w:r>
              <w:rPr>
                <w:shd w:val="clear" w:color="auto" w:fill="FFFFFF"/>
              </w:rPr>
              <w:t>U</w:t>
            </w:r>
          </w:p>
        </w:tc>
        <w:tc>
          <w:tcPr>
            <w:tcW w:w="570" w:type="dxa"/>
            <w:shd w:val="clear" w:color="auto" w:fill="FFFFFF"/>
            <w:noWrap/>
          </w:tcPr>
          <w:p w14:paraId="387D9AC6" w14:textId="77777777" w:rsidR="00DB2B68" w:rsidRDefault="00000000">
            <w:pPr>
              <w:jc w:val="center"/>
            </w:pPr>
            <w:r>
              <w:rPr>
                <w:shd w:val="clear" w:color="auto" w:fill="FFFFFF"/>
              </w:rPr>
              <w:t>X</w:t>
            </w:r>
          </w:p>
        </w:tc>
        <w:tc>
          <w:tcPr>
            <w:tcW w:w="570" w:type="dxa"/>
            <w:shd w:val="clear" w:color="auto" w:fill="FFFFFF"/>
            <w:noWrap/>
          </w:tcPr>
          <w:p w14:paraId="45A761E4" w14:textId="77777777" w:rsidR="00DB2B68" w:rsidRDefault="00000000">
            <w:pPr>
              <w:jc w:val="center"/>
            </w:pPr>
            <w:r>
              <w:rPr>
                <w:shd w:val="clear" w:color="auto" w:fill="FFFFFF"/>
              </w:rPr>
              <w:t>X</w:t>
            </w:r>
          </w:p>
        </w:tc>
      </w:tr>
      <w:tr w:rsidR="00DB2B68" w14:paraId="3DF2325A" w14:textId="77777777">
        <w:tc>
          <w:tcPr>
            <w:tcW w:w="5655" w:type="dxa"/>
            <w:shd w:val="clear" w:color="auto" w:fill="FFFFFF"/>
            <w:noWrap/>
          </w:tcPr>
          <w:p w14:paraId="16683F7B" w14:textId="77777777" w:rsidR="00DB2B68" w:rsidRDefault="00000000">
            <w:r>
              <w:rPr>
                <w:shd w:val="clear" w:color="auto" w:fill="FFFFFF"/>
              </w:rPr>
              <w:t>Cuivre</w:t>
            </w:r>
          </w:p>
        </w:tc>
        <w:tc>
          <w:tcPr>
            <w:tcW w:w="1065" w:type="dxa"/>
            <w:shd w:val="clear" w:color="auto" w:fill="FFFFFF"/>
            <w:noWrap/>
          </w:tcPr>
          <w:p w14:paraId="3857FF3E" w14:textId="77777777" w:rsidR="00DB2B68" w:rsidRDefault="00000000">
            <w:pPr>
              <w:jc w:val="center"/>
            </w:pPr>
            <w:r>
              <w:rPr>
                <w:b/>
                <w:shd w:val="clear" w:color="auto" w:fill="FFFFFF"/>
              </w:rPr>
              <w:t>7</w:t>
            </w:r>
          </w:p>
        </w:tc>
        <w:tc>
          <w:tcPr>
            <w:tcW w:w="570" w:type="dxa"/>
            <w:shd w:val="clear" w:color="auto" w:fill="FFFFFF"/>
            <w:noWrap/>
          </w:tcPr>
          <w:p w14:paraId="22E7B1C9" w14:textId="77777777" w:rsidR="00DB2B68" w:rsidRDefault="00000000">
            <w:pPr>
              <w:jc w:val="center"/>
            </w:pPr>
            <w:r>
              <w:rPr>
                <w:shd w:val="clear" w:color="auto" w:fill="FFFFFF"/>
              </w:rPr>
              <w:t>U</w:t>
            </w:r>
          </w:p>
        </w:tc>
        <w:tc>
          <w:tcPr>
            <w:tcW w:w="570" w:type="dxa"/>
            <w:shd w:val="clear" w:color="auto" w:fill="FFFFFF"/>
            <w:noWrap/>
          </w:tcPr>
          <w:p w14:paraId="2D9C31B4" w14:textId="77777777" w:rsidR="00DB2B68" w:rsidRDefault="00000000">
            <w:pPr>
              <w:jc w:val="center"/>
            </w:pPr>
            <w:r>
              <w:rPr>
                <w:shd w:val="clear" w:color="auto" w:fill="FFFFFF"/>
              </w:rPr>
              <w:t>U</w:t>
            </w:r>
          </w:p>
        </w:tc>
        <w:tc>
          <w:tcPr>
            <w:tcW w:w="570" w:type="dxa"/>
            <w:shd w:val="clear" w:color="auto" w:fill="FFFFFF"/>
            <w:noWrap/>
          </w:tcPr>
          <w:p w14:paraId="5C2B9D62" w14:textId="77777777" w:rsidR="00DB2B68" w:rsidRDefault="00000000">
            <w:pPr>
              <w:jc w:val="center"/>
            </w:pPr>
            <w:r>
              <w:rPr>
                <w:shd w:val="clear" w:color="auto" w:fill="FFFFFF"/>
              </w:rPr>
              <w:t>X</w:t>
            </w:r>
          </w:p>
        </w:tc>
        <w:tc>
          <w:tcPr>
            <w:tcW w:w="570" w:type="dxa"/>
            <w:shd w:val="clear" w:color="auto" w:fill="FFFFFF"/>
            <w:noWrap/>
          </w:tcPr>
          <w:p w14:paraId="10418E06" w14:textId="77777777" w:rsidR="00DB2B68" w:rsidRDefault="00000000">
            <w:pPr>
              <w:jc w:val="center"/>
            </w:pPr>
            <w:r>
              <w:rPr>
                <w:shd w:val="clear" w:color="auto" w:fill="FFFFFF"/>
              </w:rPr>
              <w:t>X</w:t>
            </w:r>
          </w:p>
        </w:tc>
      </w:tr>
      <w:tr w:rsidR="00DB2B68" w14:paraId="75B73F6A" w14:textId="77777777">
        <w:tc>
          <w:tcPr>
            <w:tcW w:w="5655" w:type="dxa"/>
            <w:shd w:val="clear" w:color="auto" w:fill="FFFFFF"/>
            <w:noWrap/>
          </w:tcPr>
          <w:p w14:paraId="0F828D0D" w14:textId="77777777" w:rsidR="00DB2B68" w:rsidRDefault="00000000">
            <w:r>
              <w:rPr>
                <w:shd w:val="clear" w:color="auto" w:fill="FFFFFF"/>
              </w:rPr>
              <w:t>Fil en acier galvanisé (940 g/m² - galvanisation de 132 µm d’épaisseur)</w:t>
            </w:r>
          </w:p>
        </w:tc>
        <w:tc>
          <w:tcPr>
            <w:tcW w:w="1065" w:type="dxa"/>
            <w:shd w:val="clear" w:color="auto" w:fill="FFFFFF"/>
            <w:noWrap/>
          </w:tcPr>
          <w:p w14:paraId="1E69E3D9" w14:textId="77777777" w:rsidR="00DB2B68" w:rsidRDefault="00000000">
            <w:pPr>
              <w:jc w:val="center"/>
            </w:pPr>
            <w:r>
              <w:rPr>
                <w:b/>
                <w:shd w:val="clear" w:color="auto" w:fill="FFFFFF"/>
              </w:rPr>
              <w:t>8</w:t>
            </w:r>
          </w:p>
        </w:tc>
        <w:tc>
          <w:tcPr>
            <w:tcW w:w="570" w:type="dxa"/>
            <w:shd w:val="clear" w:color="auto" w:fill="FFFFFF"/>
            <w:noWrap/>
          </w:tcPr>
          <w:p w14:paraId="5F56B12E" w14:textId="77777777" w:rsidR="00DB2B68" w:rsidRDefault="00000000">
            <w:pPr>
              <w:jc w:val="center"/>
            </w:pPr>
            <w:r>
              <w:rPr>
                <w:shd w:val="clear" w:color="auto" w:fill="FFFFFF"/>
              </w:rPr>
              <w:t>U</w:t>
            </w:r>
          </w:p>
        </w:tc>
        <w:tc>
          <w:tcPr>
            <w:tcW w:w="570" w:type="dxa"/>
            <w:shd w:val="clear" w:color="auto" w:fill="FFFFFF"/>
            <w:noWrap/>
          </w:tcPr>
          <w:p w14:paraId="1BD81824" w14:textId="77777777" w:rsidR="00DB2B68" w:rsidRDefault="00000000">
            <w:pPr>
              <w:jc w:val="center"/>
            </w:pPr>
            <w:r>
              <w:rPr>
                <w:shd w:val="clear" w:color="auto" w:fill="FFFFFF"/>
              </w:rPr>
              <w:t>U</w:t>
            </w:r>
          </w:p>
        </w:tc>
        <w:tc>
          <w:tcPr>
            <w:tcW w:w="570" w:type="dxa"/>
            <w:shd w:val="clear" w:color="auto" w:fill="FFFFFF"/>
            <w:noWrap/>
          </w:tcPr>
          <w:p w14:paraId="4C22DC2B" w14:textId="77777777" w:rsidR="00DB2B68" w:rsidRDefault="00000000">
            <w:pPr>
              <w:jc w:val="center"/>
            </w:pPr>
            <w:r>
              <w:rPr>
                <w:shd w:val="clear" w:color="auto" w:fill="FFFFFF"/>
              </w:rPr>
              <w:t>R</w:t>
            </w:r>
          </w:p>
        </w:tc>
        <w:tc>
          <w:tcPr>
            <w:tcW w:w="570" w:type="dxa"/>
            <w:shd w:val="clear" w:color="auto" w:fill="FFFFFF"/>
            <w:noWrap/>
          </w:tcPr>
          <w:p w14:paraId="70653536" w14:textId="77777777" w:rsidR="00DB2B68" w:rsidRDefault="00000000">
            <w:pPr>
              <w:jc w:val="center"/>
            </w:pPr>
            <w:r>
              <w:rPr>
                <w:shd w:val="clear" w:color="auto" w:fill="FFFFFF"/>
              </w:rPr>
              <w:t>X</w:t>
            </w:r>
          </w:p>
        </w:tc>
      </w:tr>
      <w:tr w:rsidR="00DB2B68" w14:paraId="0AA02B04" w14:textId="77777777">
        <w:tc>
          <w:tcPr>
            <w:tcW w:w="5655" w:type="dxa"/>
            <w:shd w:val="clear" w:color="auto" w:fill="FFFFFF"/>
            <w:noWrap/>
          </w:tcPr>
          <w:p w14:paraId="1208CDCE" w14:textId="77777777" w:rsidR="00DB2B68" w:rsidRDefault="00000000">
            <w:r>
              <w:rPr>
                <w:shd w:val="clear" w:color="auto" w:fill="FFFFFF"/>
              </w:rPr>
              <w:t>Composant en acier galvanisé (940 g/m² - galvanisation de 132 µm d’épaisseur)</w:t>
            </w:r>
          </w:p>
        </w:tc>
        <w:tc>
          <w:tcPr>
            <w:tcW w:w="1065" w:type="dxa"/>
            <w:shd w:val="clear" w:color="auto" w:fill="FFFFFF"/>
            <w:noWrap/>
          </w:tcPr>
          <w:p w14:paraId="76CC1AE5" w14:textId="77777777" w:rsidR="00DB2B68" w:rsidRDefault="00000000">
            <w:pPr>
              <w:jc w:val="center"/>
            </w:pPr>
            <w:r>
              <w:rPr>
                <w:b/>
                <w:shd w:val="clear" w:color="auto" w:fill="FFFFFF"/>
              </w:rPr>
              <w:t>9</w:t>
            </w:r>
          </w:p>
        </w:tc>
        <w:tc>
          <w:tcPr>
            <w:tcW w:w="570" w:type="dxa"/>
            <w:shd w:val="clear" w:color="auto" w:fill="FFFFFF"/>
            <w:noWrap/>
          </w:tcPr>
          <w:p w14:paraId="0F30B2D6" w14:textId="77777777" w:rsidR="00DB2B68" w:rsidRDefault="00000000">
            <w:pPr>
              <w:jc w:val="center"/>
            </w:pPr>
            <w:r>
              <w:rPr>
                <w:shd w:val="clear" w:color="auto" w:fill="FFFFFF"/>
              </w:rPr>
              <w:t>U</w:t>
            </w:r>
          </w:p>
        </w:tc>
        <w:tc>
          <w:tcPr>
            <w:tcW w:w="570" w:type="dxa"/>
            <w:shd w:val="clear" w:color="auto" w:fill="FFFFFF"/>
            <w:noWrap/>
          </w:tcPr>
          <w:p w14:paraId="5A498818" w14:textId="77777777" w:rsidR="00DB2B68" w:rsidRDefault="00000000">
            <w:pPr>
              <w:jc w:val="center"/>
            </w:pPr>
            <w:r>
              <w:rPr>
                <w:shd w:val="clear" w:color="auto" w:fill="FFFFFF"/>
              </w:rPr>
              <w:t>U</w:t>
            </w:r>
          </w:p>
        </w:tc>
        <w:tc>
          <w:tcPr>
            <w:tcW w:w="570" w:type="dxa"/>
            <w:shd w:val="clear" w:color="auto" w:fill="FFFFFF"/>
            <w:noWrap/>
          </w:tcPr>
          <w:p w14:paraId="51F6DE14" w14:textId="77777777" w:rsidR="00DB2B68" w:rsidRDefault="00000000">
            <w:pPr>
              <w:jc w:val="center"/>
            </w:pPr>
            <w:r>
              <w:rPr>
                <w:shd w:val="clear" w:color="auto" w:fill="FFFFFF"/>
              </w:rPr>
              <w:t>R</w:t>
            </w:r>
          </w:p>
        </w:tc>
        <w:tc>
          <w:tcPr>
            <w:tcW w:w="570" w:type="dxa"/>
            <w:shd w:val="clear" w:color="auto" w:fill="FFFFFF"/>
            <w:noWrap/>
          </w:tcPr>
          <w:p w14:paraId="06B28B8C" w14:textId="77777777" w:rsidR="00DB2B68" w:rsidRDefault="00000000">
            <w:pPr>
              <w:jc w:val="center"/>
            </w:pPr>
            <w:r>
              <w:rPr>
                <w:shd w:val="clear" w:color="auto" w:fill="FFFFFF"/>
              </w:rPr>
              <w:t>X</w:t>
            </w:r>
          </w:p>
        </w:tc>
      </w:tr>
      <w:tr w:rsidR="00DB2B68" w14:paraId="012B7ED9" w14:textId="77777777">
        <w:tc>
          <w:tcPr>
            <w:tcW w:w="5655" w:type="dxa"/>
            <w:shd w:val="clear" w:color="auto" w:fill="FFFFFF"/>
            <w:noWrap/>
          </w:tcPr>
          <w:p w14:paraId="3D9EF1EC" w14:textId="77777777" w:rsidR="00DB2B68" w:rsidRDefault="00000000">
            <w:r>
              <w:rPr>
                <w:shd w:val="clear" w:color="auto" w:fill="FFFFFF"/>
              </w:rPr>
              <w:t>Composant en acier galvanisé (710 g/m² - galvanisation de 100 µm d’épaisseur)</w:t>
            </w:r>
          </w:p>
        </w:tc>
        <w:tc>
          <w:tcPr>
            <w:tcW w:w="1065" w:type="dxa"/>
            <w:shd w:val="clear" w:color="auto" w:fill="FFFFFF"/>
            <w:noWrap/>
          </w:tcPr>
          <w:p w14:paraId="15B3D0CA" w14:textId="77777777" w:rsidR="00DB2B68" w:rsidRDefault="00000000">
            <w:pPr>
              <w:jc w:val="center"/>
            </w:pPr>
            <w:r>
              <w:rPr>
                <w:b/>
                <w:shd w:val="clear" w:color="auto" w:fill="FFFFFF"/>
              </w:rPr>
              <w:t>10</w:t>
            </w:r>
          </w:p>
        </w:tc>
        <w:tc>
          <w:tcPr>
            <w:tcW w:w="570" w:type="dxa"/>
            <w:shd w:val="clear" w:color="auto" w:fill="FFFFFF"/>
            <w:noWrap/>
          </w:tcPr>
          <w:p w14:paraId="2E5D97FF" w14:textId="77777777" w:rsidR="00DB2B68" w:rsidRDefault="00000000">
            <w:pPr>
              <w:jc w:val="center"/>
            </w:pPr>
            <w:r>
              <w:rPr>
                <w:shd w:val="clear" w:color="auto" w:fill="FFFFFF"/>
              </w:rPr>
              <w:t>U</w:t>
            </w:r>
          </w:p>
        </w:tc>
        <w:tc>
          <w:tcPr>
            <w:tcW w:w="570" w:type="dxa"/>
            <w:shd w:val="clear" w:color="auto" w:fill="FFFFFF"/>
            <w:noWrap/>
          </w:tcPr>
          <w:p w14:paraId="579CD778" w14:textId="77777777" w:rsidR="00DB2B68" w:rsidRDefault="00000000">
            <w:pPr>
              <w:jc w:val="center"/>
            </w:pPr>
            <w:r>
              <w:rPr>
                <w:shd w:val="clear" w:color="auto" w:fill="FFFFFF"/>
              </w:rPr>
              <w:t>U</w:t>
            </w:r>
          </w:p>
        </w:tc>
        <w:tc>
          <w:tcPr>
            <w:tcW w:w="570" w:type="dxa"/>
            <w:shd w:val="clear" w:color="auto" w:fill="FFFFFF"/>
            <w:noWrap/>
          </w:tcPr>
          <w:p w14:paraId="3702FB86" w14:textId="77777777" w:rsidR="00DB2B68" w:rsidRDefault="00000000">
            <w:pPr>
              <w:jc w:val="center"/>
            </w:pPr>
            <w:r>
              <w:rPr>
                <w:shd w:val="clear" w:color="auto" w:fill="FFFFFF"/>
              </w:rPr>
              <w:t>R</w:t>
            </w:r>
          </w:p>
        </w:tc>
        <w:tc>
          <w:tcPr>
            <w:tcW w:w="570" w:type="dxa"/>
            <w:shd w:val="clear" w:color="auto" w:fill="FFFFFF"/>
            <w:noWrap/>
          </w:tcPr>
          <w:p w14:paraId="087810DC" w14:textId="77777777" w:rsidR="00DB2B68" w:rsidRDefault="00000000">
            <w:pPr>
              <w:jc w:val="center"/>
            </w:pPr>
            <w:r>
              <w:rPr>
                <w:shd w:val="clear" w:color="auto" w:fill="FFFFFF"/>
              </w:rPr>
              <w:t>X</w:t>
            </w:r>
          </w:p>
        </w:tc>
      </w:tr>
      <w:tr w:rsidR="00DB2B68" w14:paraId="66CC1F60" w14:textId="77777777">
        <w:tc>
          <w:tcPr>
            <w:tcW w:w="5655" w:type="dxa"/>
            <w:shd w:val="clear" w:color="auto" w:fill="FFFFFF"/>
            <w:noWrap/>
          </w:tcPr>
          <w:p w14:paraId="7CAE03C6" w14:textId="77777777" w:rsidR="00DB2B68" w:rsidRDefault="00000000">
            <w:r>
              <w:rPr>
                <w:shd w:val="clear" w:color="auto" w:fill="FFFFFF"/>
              </w:rPr>
              <w:t>Composant en acier galvanisé (460 g/m² - galvanisation de 65 µm d’épaisseur)   </w:t>
            </w:r>
          </w:p>
        </w:tc>
        <w:tc>
          <w:tcPr>
            <w:tcW w:w="1065" w:type="dxa"/>
            <w:shd w:val="clear" w:color="auto" w:fill="FFFFFF"/>
            <w:noWrap/>
          </w:tcPr>
          <w:p w14:paraId="3AD3C4EF" w14:textId="77777777" w:rsidR="00DB2B68" w:rsidRDefault="00000000">
            <w:pPr>
              <w:jc w:val="center"/>
            </w:pPr>
            <w:r>
              <w:rPr>
                <w:b/>
                <w:shd w:val="clear" w:color="auto" w:fill="FFFFFF"/>
              </w:rPr>
              <w:t>11</w:t>
            </w:r>
          </w:p>
        </w:tc>
        <w:tc>
          <w:tcPr>
            <w:tcW w:w="570" w:type="dxa"/>
            <w:shd w:val="clear" w:color="auto" w:fill="FFFFFF"/>
            <w:noWrap/>
          </w:tcPr>
          <w:p w14:paraId="6936C988" w14:textId="77777777" w:rsidR="00DB2B68" w:rsidRDefault="00000000">
            <w:pPr>
              <w:jc w:val="center"/>
            </w:pPr>
            <w:r>
              <w:rPr>
                <w:shd w:val="clear" w:color="auto" w:fill="FFFFFF"/>
              </w:rPr>
              <w:t>U</w:t>
            </w:r>
          </w:p>
        </w:tc>
        <w:tc>
          <w:tcPr>
            <w:tcW w:w="570" w:type="dxa"/>
            <w:shd w:val="clear" w:color="auto" w:fill="FFFFFF"/>
            <w:noWrap/>
          </w:tcPr>
          <w:p w14:paraId="75DE55E6" w14:textId="77777777" w:rsidR="00DB2B68" w:rsidRDefault="00000000">
            <w:pPr>
              <w:jc w:val="center"/>
            </w:pPr>
            <w:r>
              <w:rPr>
                <w:shd w:val="clear" w:color="auto" w:fill="FFFFFF"/>
              </w:rPr>
              <w:t>R</w:t>
            </w:r>
          </w:p>
        </w:tc>
        <w:tc>
          <w:tcPr>
            <w:tcW w:w="570" w:type="dxa"/>
            <w:shd w:val="clear" w:color="auto" w:fill="FFFFFF"/>
            <w:noWrap/>
          </w:tcPr>
          <w:p w14:paraId="6D923D2E" w14:textId="77777777" w:rsidR="00DB2B68" w:rsidRDefault="00000000">
            <w:pPr>
              <w:jc w:val="center"/>
            </w:pPr>
            <w:r>
              <w:rPr>
                <w:shd w:val="clear" w:color="auto" w:fill="FFFFFF"/>
              </w:rPr>
              <w:t>R</w:t>
            </w:r>
          </w:p>
        </w:tc>
        <w:tc>
          <w:tcPr>
            <w:tcW w:w="570" w:type="dxa"/>
            <w:shd w:val="clear" w:color="auto" w:fill="FFFFFF"/>
            <w:noWrap/>
          </w:tcPr>
          <w:p w14:paraId="1E420BD1" w14:textId="77777777" w:rsidR="00DB2B68" w:rsidRDefault="00000000">
            <w:pPr>
              <w:jc w:val="center"/>
            </w:pPr>
            <w:r>
              <w:rPr>
                <w:shd w:val="clear" w:color="auto" w:fill="FFFFFF"/>
              </w:rPr>
              <w:t>X</w:t>
            </w:r>
          </w:p>
        </w:tc>
      </w:tr>
      <w:tr w:rsidR="00DB2B68" w14:paraId="7E937F2B" w14:textId="77777777">
        <w:tc>
          <w:tcPr>
            <w:tcW w:w="5655" w:type="dxa"/>
            <w:shd w:val="clear" w:color="auto" w:fill="FFFFFF"/>
            <w:noWrap/>
          </w:tcPr>
          <w:p w14:paraId="3FDC8688" w14:textId="77777777" w:rsidR="00DB2B68" w:rsidRDefault="00000000">
            <w:r>
              <w:rPr>
                <w:shd w:val="clear" w:color="auto" w:fill="FFFFFF"/>
              </w:rPr>
              <w:t>Composant en acier galvanisé (395 g/m² - galvanisation de 55 µm d’épaisseur)</w:t>
            </w:r>
          </w:p>
        </w:tc>
        <w:tc>
          <w:tcPr>
            <w:tcW w:w="1065" w:type="dxa"/>
            <w:shd w:val="clear" w:color="auto" w:fill="FFFFFF"/>
            <w:noWrap/>
          </w:tcPr>
          <w:p w14:paraId="0A21F563" w14:textId="77777777" w:rsidR="00DB2B68" w:rsidRDefault="00000000">
            <w:pPr>
              <w:jc w:val="center"/>
            </w:pPr>
            <w:r>
              <w:rPr>
                <w:b/>
                <w:shd w:val="clear" w:color="auto" w:fill="FFFFFF"/>
              </w:rPr>
              <w:t>11A</w:t>
            </w:r>
          </w:p>
        </w:tc>
        <w:tc>
          <w:tcPr>
            <w:tcW w:w="570" w:type="dxa"/>
            <w:shd w:val="clear" w:color="auto" w:fill="FFFFFF"/>
            <w:noWrap/>
          </w:tcPr>
          <w:p w14:paraId="53CF929B" w14:textId="77777777" w:rsidR="00DB2B68" w:rsidRDefault="00000000">
            <w:pPr>
              <w:jc w:val="center"/>
            </w:pPr>
            <w:r>
              <w:rPr>
                <w:shd w:val="clear" w:color="auto" w:fill="FFFFFF"/>
              </w:rPr>
              <w:t>U</w:t>
            </w:r>
          </w:p>
        </w:tc>
        <w:tc>
          <w:tcPr>
            <w:tcW w:w="570" w:type="dxa"/>
            <w:shd w:val="clear" w:color="auto" w:fill="FFFFFF"/>
            <w:noWrap/>
          </w:tcPr>
          <w:p w14:paraId="5D3834A0" w14:textId="77777777" w:rsidR="00DB2B68" w:rsidRDefault="00000000">
            <w:pPr>
              <w:jc w:val="center"/>
            </w:pPr>
            <w:r>
              <w:rPr>
                <w:shd w:val="clear" w:color="auto" w:fill="FFFFFF"/>
              </w:rPr>
              <w:t>R</w:t>
            </w:r>
          </w:p>
        </w:tc>
        <w:tc>
          <w:tcPr>
            <w:tcW w:w="570" w:type="dxa"/>
            <w:shd w:val="clear" w:color="auto" w:fill="FFFFFF"/>
            <w:noWrap/>
          </w:tcPr>
          <w:p w14:paraId="5047C2AE" w14:textId="77777777" w:rsidR="00DB2B68" w:rsidRDefault="00000000">
            <w:pPr>
              <w:jc w:val="center"/>
            </w:pPr>
            <w:r>
              <w:rPr>
                <w:shd w:val="clear" w:color="auto" w:fill="FFFFFF"/>
              </w:rPr>
              <w:t>R</w:t>
            </w:r>
          </w:p>
        </w:tc>
        <w:tc>
          <w:tcPr>
            <w:tcW w:w="570" w:type="dxa"/>
            <w:shd w:val="clear" w:color="auto" w:fill="FFFFFF"/>
            <w:noWrap/>
          </w:tcPr>
          <w:p w14:paraId="6C045DE8" w14:textId="77777777" w:rsidR="00DB2B68" w:rsidRDefault="00000000">
            <w:pPr>
              <w:jc w:val="center"/>
            </w:pPr>
            <w:r>
              <w:rPr>
                <w:shd w:val="clear" w:color="auto" w:fill="FFFFFF"/>
              </w:rPr>
              <w:t>X</w:t>
            </w:r>
          </w:p>
        </w:tc>
      </w:tr>
      <w:tr w:rsidR="00DB2B68" w14:paraId="527EEF29" w14:textId="77777777">
        <w:tc>
          <w:tcPr>
            <w:tcW w:w="5655" w:type="dxa"/>
            <w:shd w:val="clear" w:color="auto" w:fill="FFFFFF"/>
            <w:noWrap/>
          </w:tcPr>
          <w:p w14:paraId="7B82986B" w14:textId="77777777" w:rsidR="00DB2B68" w:rsidRDefault="00000000">
            <w:r>
              <w:rPr>
                <w:shd w:val="clear" w:color="auto" w:fill="FFFFFF"/>
              </w:rPr>
              <w:t>Tôle ou feuillard en acier galvanisé (300 g/m² - galvanisation de 42 µm d’épaisseur) avec un revêtement organique (2 types) sur toutes les surfaces extérieures du composant fini</w:t>
            </w:r>
          </w:p>
        </w:tc>
        <w:tc>
          <w:tcPr>
            <w:tcW w:w="1065" w:type="dxa"/>
            <w:shd w:val="clear" w:color="auto" w:fill="FFFFFF"/>
            <w:noWrap/>
          </w:tcPr>
          <w:p w14:paraId="5C1E2E31" w14:textId="77777777" w:rsidR="00DB2B68" w:rsidRDefault="00000000">
            <w:pPr>
              <w:jc w:val="center"/>
            </w:pPr>
            <w:r>
              <w:rPr>
                <w:b/>
                <w:shd w:val="clear" w:color="auto" w:fill="FFFFFF"/>
              </w:rPr>
              <w:t>12.1</w:t>
            </w:r>
          </w:p>
          <w:p w14:paraId="0CDEE83E" w14:textId="77777777" w:rsidR="00DB2B68" w:rsidRDefault="00000000">
            <w:pPr>
              <w:jc w:val="center"/>
            </w:pPr>
            <w:r>
              <w:rPr>
                <w:b/>
                <w:shd w:val="clear" w:color="auto" w:fill="FFFFFF"/>
              </w:rPr>
              <w:t>12.2</w:t>
            </w:r>
          </w:p>
        </w:tc>
        <w:tc>
          <w:tcPr>
            <w:tcW w:w="570" w:type="dxa"/>
            <w:shd w:val="clear" w:color="auto" w:fill="FFFFFF"/>
            <w:noWrap/>
          </w:tcPr>
          <w:p w14:paraId="5E804F37" w14:textId="77777777" w:rsidR="00DB2B68" w:rsidRDefault="00000000">
            <w:pPr>
              <w:jc w:val="center"/>
            </w:pPr>
            <w:r>
              <w:rPr>
                <w:shd w:val="clear" w:color="auto" w:fill="FFFFFF"/>
              </w:rPr>
              <w:t>U</w:t>
            </w:r>
          </w:p>
        </w:tc>
        <w:tc>
          <w:tcPr>
            <w:tcW w:w="570" w:type="dxa"/>
            <w:shd w:val="clear" w:color="auto" w:fill="FFFFFF"/>
            <w:noWrap/>
          </w:tcPr>
          <w:p w14:paraId="7B6BCFC3" w14:textId="77777777" w:rsidR="00DB2B68" w:rsidRDefault="00000000">
            <w:pPr>
              <w:jc w:val="center"/>
            </w:pPr>
            <w:r>
              <w:rPr>
                <w:shd w:val="clear" w:color="auto" w:fill="FFFFFF"/>
              </w:rPr>
              <w:t>U</w:t>
            </w:r>
          </w:p>
        </w:tc>
        <w:tc>
          <w:tcPr>
            <w:tcW w:w="570" w:type="dxa"/>
            <w:shd w:val="clear" w:color="auto" w:fill="FFFFFF"/>
            <w:noWrap/>
          </w:tcPr>
          <w:p w14:paraId="720E636C" w14:textId="77777777" w:rsidR="00DB2B68" w:rsidRDefault="00000000">
            <w:pPr>
              <w:jc w:val="center"/>
            </w:pPr>
            <w:r>
              <w:rPr>
                <w:shd w:val="clear" w:color="auto" w:fill="FFFFFF"/>
              </w:rPr>
              <w:t>R</w:t>
            </w:r>
          </w:p>
        </w:tc>
        <w:tc>
          <w:tcPr>
            <w:tcW w:w="570" w:type="dxa"/>
            <w:shd w:val="clear" w:color="auto" w:fill="FFFFFF"/>
            <w:noWrap/>
          </w:tcPr>
          <w:p w14:paraId="2D09228B" w14:textId="77777777" w:rsidR="00DB2B68" w:rsidRDefault="00000000">
            <w:pPr>
              <w:jc w:val="center"/>
            </w:pPr>
            <w:r>
              <w:rPr>
                <w:shd w:val="clear" w:color="auto" w:fill="FFFFFF"/>
              </w:rPr>
              <w:t>X</w:t>
            </w:r>
          </w:p>
        </w:tc>
      </w:tr>
      <w:tr w:rsidR="00DB2B68" w14:paraId="3E5B704D" w14:textId="77777777">
        <w:tc>
          <w:tcPr>
            <w:tcW w:w="5655" w:type="dxa"/>
            <w:shd w:val="clear" w:color="auto" w:fill="FFFFFF"/>
            <w:noWrap/>
          </w:tcPr>
          <w:p w14:paraId="6AA9C85E" w14:textId="77777777" w:rsidR="00DB2B68" w:rsidRDefault="00000000">
            <w:r>
              <w:rPr>
                <w:shd w:val="clear" w:color="auto" w:fill="FFFFFF"/>
              </w:rPr>
              <w:t>Fil d’acier galvanisé (265 g/m² - galvanisation de 37 µm d’épaisseur)</w:t>
            </w:r>
          </w:p>
        </w:tc>
        <w:tc>
          <w:tcPr>
            <w:tcW w:w="1065" w:type="dxa"/>
            <w:shd w:val="clear" w:color="auto" w:fill="FFFFFF"/>
            <w:noWrap/>
          </w:tcPr>
          <w:p w14:paraId="0E789B23" w14:textId="77777777" w:rsidR="00DB2B68" w:rsidRDefault="00000000">
            <w:pPr>
              <w:jc w:val="center"/>
            </w:pPr>
            <w:r>
              <w:rPr>
                <w:b/>
                <w:shd w:val="clear" w:color="auto" w:fill="FFFFFF"/>
              </w:rPr>
              <w:t>13</w:t>
            </w:r>
          </w:p>
        </w:tc>
        <w:tc>
          <w:tcPr>
            <w:tcW w:w="570" w:type="dxa"/>
            <w:shd w:val="clear" w:color="auto" w:fill="FFFFFF"/>
            <w:noWrap/>
          </w:tcPr>
          <w:p w14:paraId="43E45127" w14:textId="77777777" w:rsidR="00DB2B68" w:rsidRDefault="00000000">
            <w:pPr>
              <w:jc w:val="center"/>
            </w:pPr>
            <w:r>
              <w:rPr>
                <w:shd w:val="clear" w:color="auto" w:fill="FFFFFF"/>
              </w:rPr>
              <w:t>U</w:t>
            </w:r>
          </w:p>
        </w:tc>
        <w:tc>
          <w:tcPr>
            <w:tcW w:w="570" w:type="dxa"/>
            <w:shd w:val="clear" w:color="auto" w:fill="FFFFFF"/>
            <w:noWrap/>
          </w:tcPr>
          <w:p w14:paraId="290A0AEE" w14:textId="77777777" w:rsidR="00DB2B68" w:rsidRDefault="00000000">
            <w:pPr>
              <w:jc w:val="center"/>
            </w:pPr>
            <w:r>
              <w:rPr>
                <w:shd w:val="clear" w:color="auto" w:fill="FFFFFF"/>
              </w:rPr>
              <w:t>R</w:t>
            </w:r>
          </w:p>
        </w:tc>
        <w:tc>
          <w:tcPr>
            <w:tcW w:w="570" w:type="dxa"/>
            <w:shd w:val="clear" w:color="auto" w:fill="FFFFFF"/>
            <w:noWrap/>
          </w:tcPr>
          <w:p w14:paraId="01520410" w14:textId="77777777" w:rsidR="00DB2B68" w:rsidRDefault="00000000">
            <w:pPr>
              <w:jc w:val="center"/>
            </w:pPr>
            <w:r>
              <w:rPr>
                <w:shd w:val="clear" w:color="auto" w:fill="FFFFFF"/>
              </w:rPr>
              <w:t>X</w:t>
            </w:r>
          </w:p>
        </w:tc>
        <w:tc>
          <w:tcPr>
            <w:tcW w:w="570" w:type="dxa"/>
            <w:shd w:val="clear" w:color="auto" w:fill="FFFFFF"/>
            <w:noWrap/>
          </w:tcPr>
          <w:p w14:paraId="427284BF" w14:textId="77777777" w:rsidR="00DB2B68" w:rsidRDefault="00000000">
            <w:pPr>
              <w:jc w:val="center"/>
            </w:pPr>
            <w:r>
              <w:rPr>
                <w:shd w:val="clear" w:color="auto" w:fill="FFFFFF"/>
              </w:rPr>
              <w:t>X</w:t>
            </w:r>
          </w:p>
        </w:tc>
      </w:tr>
      <w:tr w:rsidR="00DB2B68" w14:paraId="2A0E92A5" w14:textId="77777777">
        <w:tc>
          <w:tcPr>
            <w:tcW w:w="5655" w:type="dxa"/>
            <w:shd w:val="clear" w:color="auto" w:fill="FFFFFF"/>
            <w:noWrap/>
          </w:tcPr>
          <w:p w14:paraId="54F001E7" w14:textId="77777777" w:rsidR="00DB2B68" w:rsidRDefault="00000000">
            <w:r>
              <w:rPr>
                <w:shd w:val="clear" w:color="auto" w:fill="FFFFFF"/>
              </w:rPr>
              <w:t>Tôle ou feuillard d’acier galvanisé (300 g/m² - galvanisation de 42 µm d’épaisseur) avec un revêtement organique sur tous les bords de coupe</w:t>
            </w:r>
          </w:p>
        </w:tc>
        <w:tc>
          <w:tcPr>
            <w:tcW w:w="1065" w:type="dxa"/>
            <w:shd w:val="clear" w:color="auto" w:fill="FFFFFF"/>
            <w:noWrap/>
          </w:tcPr>
          <w:p w14:paraId="1685E325" w14:textId="77777777" w:rsidR="00DB2B68" w:rsidRDefault="00000000">
            <w:pPr>
              <w:jc w:val="center"/>
            </w:pPr>
            <w:r>
              <w:rPr>
                <w:b/>
                <w:shd w:val="clear" w:color="auto" w:fill="FFFFFF"/>
              </w:rPr>
              <w:t>14</w:t>
            </w:r>
          </w:p>
        </w:tc>
        <w:tc>
          <w:tcPr>
            <w:tcW w:w="570" w:type="dxa"/>
            <w:shd w:val="clear" w:color="auto" w:fill="FFFFFF"/>
            <w:noWrap/>
          </w:tcPr>
          <w:p w14:paraId="2967CF52" w14:textId="77777777" w:rsidR="00DB2B68" w:rsidRDefault="00000000">
            <w:pPr>
              <w:jc w:val="center"/>
            </w:pPr>
            <w:r>
              <w:rPr>
                <w:shd w:val="clear" w:color="auto" w:fill="FFFFFF"/>
              </w:rPr>
              <w:t>U</w:t>
            </w:r>
          </w:p>
        </w:tc>
        <w:tc>
          <w:tcPr>
            <w:tcW w:w="570" w:type="dxa"/>
            <w:shd w:val="clear" w:color="auto" w:fill="FFFFFF"/>
            <w:noWrap/>
          </w:tcPr>
          <w:p w14:paraId="0E893E34" w14:textId="77777777" w:rsidR="00DB2B68" w:rsidRDefault="00000000">
            <w:pPr>
              <w:jc w:val="center"/>
            </w:pPr>
            <w:r>
              <w:rPr>
                <w:shd w:val="clear" w:color="auto" w:fill="FFFFFF"/>
              </w:rPr>
              <w:t>R</w:t>
            </w:r>
          </w:p>
        </w:tc>
        <w:tc>
          <w:tcPr>
            <w:tcW w:w="570" w:type="dxa"/>
            <w:shd w:val="clear" w:color="auto" w:fill="FFFFFF"/>
            <w:noWrap/>
          </w:tcPr>
          <w:p w14:paraId="42241A52" w14:textId="77777777" w:rsidR="00DB2B68" w:rsidRDefault="00000000">
            <w:pPr>
              <w:jc w:val="center"/>
            </w:pPr>
            <w:r>
              <w:rPr>
                <w:shd w:val="clear" w:color="auto" w:fill="FFFFFF"/>
              </w:rPr>
              <w:t>X</w:t>
            </w:r>
          </w:p>
        </w:tc>
        <w:tc>
          <w:tcPr>
            <w:tcW w:w="570" w:type="dxa"/>
            <w:shd w:val="clear" w:color="auto" w:fill="FFFFFF"/>
            <w:noWrap/>
          </w:tcPr>
          <w:p w14:paraId="7E1295ED" w14:textId="77777777" w:rsidR="00DB2B68" w:rsidRDefault="00000000">
            <w:pPr>
              <w:jc w:val="center"/>
            </w:pPr>
            <w:r>
              <w:rPr>
                <w:shd w:val="clear" w:color="auto" w:fill="FFFFFF"/>
              </w:rPr>
              <w:t>X</w:t>
            </w:r>
          </w:p>
        </w:tc>
      </w:tr>
      <w:tr w:rsidR="00DB2B68" w14:paraId="4193AE0D" w14:textId="77777777">
        <w:tc>
          <w:tcPr>
            <w:tcW w:w="5655" w:type="dxa"/>
            <w:shd w:val="clear" w:color="auto" w:fill="FFFFFF"/>
            <w:noWrap/>
          </w:tcPr>
          <w:p w14:paraId="0C1C8D00" w14:textId="77777777" w:rsidR="00DB2B68" w:rsidRDefault="00000000">
            <w:r>
              <w:rPr>
                <w:shd w:val="clear" w:color="auto" w:fill="FFFFFF"/>
              </w:rPr>
              <w:t>Tôle ou feuillard d’acier galvanisé  (300 g/m² - galvanisation de 42 µm d’épaisseur)</w:t>
            </w:r>
          </w:p>
        </w:tc>
        <w:tc>
          <w:tcPr>
            <w:tcW w:w="1065" w:type="dxa"/>
            <w:shd w:val="clear" w:color="auto" w:fill="FFFFFF"/>
            <w:noWrap/>
          </w:tcPr>
          <w:p w14:paraId="3E59F04C" w14:textId="77777777" w:rsidR="00DB2B68" w:rsidRDefault="00000000">
            <w:pPr>
              <w:jc w:val="center"/>
            </w:pPr>
            <w:r>
              <w:rPr>
                <w:b/>
                <w:shd w:val="clear" w:color="auto" w:fill="FFFFFF"/>
              </w:rPr>
              <w:t>15</w:t>
            </w:r>
          </w:p>
        </w:tc>
        <w:tc>
          <w:tcPr>
            <w:tcW w:w="570" w:type="dxa"/>
            <w:shd w:val="clear" w:color="auto" w:fill="FFFFFF"/>
            <w:noWrap/>
          </w:tcPr>
          <w:p w14:paraId="1B646F66" w14:textId="77777777" w:rsidR="00DB2B68" w:rsidRDefault="00000000">
            <w:pPr>
              <w:jc w:val="center"/>
            </w:pPr>
            <w:r>
              <w:rPr>
                <w:shd w:val="clear" w:color="auto" w:fill="FFFFFF"/>
              </w:rPr>
              <w:t>U</w:t>
            </w:r>
          </w:p>
        </w:tc>
        <w:tc>
          <w:tcPr>
            <w:tcW w:w="570" w:type="dxa"/>
            <w:shd w:val="clear" w:color="auto" w:fill="FFFFFF"/>
            <w:noWrap/>
          </w:tcPr>
          <w:p w14:paraId="77126315" w14:textId="77777777" w:rsidR="00DB2B68" w:rsidRDefault="00000000">
            <w:pPr>
              <w:jc w:val="center"/>
            </w:pPr>
            <w:r>
              <w:rPr>
                <w:shd w:val="clear" w:color="auto" w:fill="FFFFFF"/>
              </w:rPr>
              <w:t>R</w:t>
            </w:r>
          </w:p>
        </w:tc>
        <w:tc>
          <w:tcPr>
            <w:tcW w:w="570" w:type="dxa"/>
            <w:shd w:val="clear" w:color="auto" w:fill="FFFFFF"/>
            <w:noWrap/>
          </w:tcPr>
          <w:p w14:paraId="17702454" w14:textId="77777777" w:rsidR="00DB2B68" w:rsidRDefault="00000000">
            <w:pPr>
              <w:jc w:val="center"/>
            </w:pPr>
            <w:r>
              <w:rPr>
                <w:shd w:val="clear" w:color="auto" w:fill="FFFFFF"/>
              </w:rPr>
              <w:t>X</w:t>
            </w:r>
          </w:p>
        </w:tc>
        <w:tc>
          <w:tcPr>
            <w:tcW w:w="570" w:type="dxa"/>
            <w:shd w:val="clear" w:color="auto" w:fill="FFFFFF"/>
            <w:noWrap/>
          </w:tcPr>
          <w:p w14:paraId="442E5C31" w14:textId="77777777" w:rsidR="00DB2B68" w:rsidRDefault="00000000">
            <w:pPr>
              <w:jc w:val="center"/>
            </w:pPr>
            <w:r>
              <w:rPr>
                <w:shd w:val="clear" w:color="auto" w:fill="FFFFFF"/>
              </w:rPr>
              <w:t>X</w:t>
            </w:r>
          </w:p>
        </w:tc>
      </w:tr>
      <w:tr w:rsidR="00DB2B68" w14:paraId="4100B5A9" w14:textId="77777777">
        <w:tc>
          <w:tcPr>
            <w:tcW w:w="5655" w:type="dxa"/>
            <w:shd w:val="clear" w:color="auto" w:fill="FFFFFF"/>
            <w:noWrap/>
          </w:tcPr>
          <w:p w14:paraId="5988F1ED" w14:textId="77777777" w:rsidR="00DB2B68" w:rsidRDefault="00000000">
            <w:r>
              <w:rPr>
                <w:shd w:val="clear" w:color="auto" w:fill="FFFFFF"/>
              </w:rPr>
              <w:t>Tôle ou feuillard d’acier galvanisé (137 g/m² - galvanisation de 19 µm d’épaisseur) avec un revêtement organique (2 types) sur toutes les surfaces extérieures du composant fini</w:t>
            </w:r>
          </w:p>
        </w:tc>
        <w:tc>
          <w:tcPr>
            <w:tcW w:w="1065" w:type="dxa"/>
            <w:shd w:val="clear" w:color="auto" w:fill="FFFFFF"/>
            <w:noWrap/>
          </w:tcPr>
          <w:p w14:paraId="75B5FCB1" w14:textId="77777777" w:rsidR="00DB2B68" w:rsidRDefault="00000000">
            <w:pPr>
              <w:jc w:val="center"/>
            </w:pPr>
            <w:r>
              <w:rPr>
                <w:b/>
                <w:shd w:val="clear" w:color="auto" w:fill="FFFFFF"/>
              </w:rPr>
              <w:t>16.1</w:t>
            </w:r>
          </w:p>
          <w:p w14:paraId="61AC0C35" w14:textId="77777777" w:rsidR="00DB2B68" w:rsidRDefault="00000000">
            <w:pPr>
              <w:jc w:val="center"/>
            </w:pPr>
            <w:r>
              <w:rPr>
                <w:b/>
                <w:shd w:val="clear" w:color="auto" w:fill="FFFFFF"/>
              </w:rPr>
              <w:t>16.2</w:t>
            </w:r>
          </w:p>
        </w:tc>
        <w:tc>
          <w:tcPr>
            <w:tcW w:w="570" w:type="dxa"/>
            <w:shd w:val="clear" w:color="auto" w:fill="FFFFFF"/>
            <w:noWrap/>
          </w:tcPr>
          <w:p w14:paraId="205D3B7A" w14:textId="77777777" w:rsidR="00DB2B68" w:rsidRDefault="00000000">
            <w:pPr>
              <w:jc w:val="center"/>
            </w:pPr>
            <w:r>
              <w:rPr>
                <w:shd w:val="clear" w:color="auto" w:fill="FFFFFF"/>
              </w:rPr>
              <w:t>U</w:t>
            </w:r>
          </w:p>
        </w:tc>
        <w:tc>
          <w:tcPr>
            <w:tcW w:w="570" w:type="dxa"/>
            <w:shd w:val="clear" w:color="auto" w:fill="FFFFFF"/>
            <w:noWrap/>
          </w:tcPr>
          <w:p w14:paraId="33BF7237" w14:textId="77777777" w:rsidR="00DB2B68" w:rsidRDefault="00000000">
            <w:pPr>
              <w:jc w:val="center"/>
            </w:pPr>
            <w:r>
              <w:rPr>
                <w:shd w:val="clear" w:color="auto" w:fill="FFFFFF"/>
              </w:rPr>
              <w:t>U</w:t>
            </w:r>
          </w:p>
        </w:tc>
        <w:tc>
          <w:tcPr>
            <w:tcW w:w="570" w:type="dxa"/>
            <w:shd w:val="clear" w:color="auto" w:fill="FFFFFF"/>
            <w:noWrap/>
          </w:tcPr>
          <w:p w14:paraId="528D78FA" w14:textId="77777777" w:rsidR="00DB2B68" w:rsidRDefault="00000000">
            <w:pPr>
              <w:jc w:val="center"/>
            </w:pPr>
            <w:r>
              <w:rPr>
                <w:shd w:val="clear" w:color="auto" w:fill="FFFFFF"/>
              </w:rPr>
              <w:t>R</w:t>
            </w:r>
          </w:p>
        </w:tc>
        <w:tc>
          <w:tcPr>
            <w:tcW w:w="570" w:type="dxa"/>
            <w:shd w:val="clear" w:color="auto" w:fill="FFFFFF"/>
            <w:noWrap/>
          </w:tcPr>
          <w:p w14:paraId="1866F639" w14:textId="77777777" w:rsidR="00DB2B68" w:rsidRDefault="00000000">
            <w:pPr>
              <w:jc w:val="center"/>
            </w:pPr>
            <w:r>
              <w:rPr>
                <w:shd w:val="clear" w:color="auto" w:fill="FFFFFF"/>
              </w:rPr>
              <w:t>X</w:t>
            </w:r>
          </w:p>
        </w:tc>
      </w:tr>
      <w:tr w:rsidR="00DB2B68" w14:paraId="2E81281E" w14:textId="77777777">
        <w:tc>
          <w:tcPr>
            <w:tcW w:w="5655" w:type="dxa"/>
            <w:shd w:val="clear" w:color="auto" w:fill="FFFFFF"/>
            <w:noWrap/>
          </w:tcPr>
          <w:p w14:paraId="5345DCC6" w14:textId="77777777" w:rsidR="00DB2B68" w:rsidRDefault="00000000">
            <w:r>
              <w:rPr>
                <w:shd w:val="clear" w:color="auto" w:fill="FFFFFF"/>
              </w:rPr>
              <w:t>Feuillard d’acier prégalvanisé (137 g/m² - galvanisation de 19 µm d’épaisseur) avec des bords galvanisés</w:t>
            </w:r>
          </w:p>
        </w:tc>
        <w:tc>
          <w:tcPr>
            <w:tcW w:w="1065" w:type="dxa"/>
            <w:shd w:val="clear" w:color="auto" w:fill="FFFFFF"/>
            <w:noWrap/>
          </w:tcPr>
          <w:p w14:paraId="3A33839A" w14:textId="77777777" w:rsidR="00DB2B68" w:rsidRDefault="00000000">
            <w:pPr>
              <w:jc w:val="center"/>
            </w:pPr>
            <w:r>
              <w:rPr>
                <w:b/>
                <w:shd w:val="clear" w:color="auto" w:fill="FFFFFF"/>
              </w:rPr>
              <w:t>17</w:t>
            </w:r>
          </w:p>
        </w:tc>
        <w:tc>
          <w:tcPr>
            <w:tcW w:w="570" w:type="dxa"/>
            <w:shd w:val="clear" w:color="auto" w:fill="FFFFFF"/>
            <w:noWrap/>
          </w:tcPr>
          <w:p w14:paraId="654C8575" w14:textId="77777777" w:rsidR="00DB2B68" w:rsidRDefault="00000000">
            <w:pPr>
              <w:jc w:val="center"/>
            </w:pPr>
            <w:r>
              <w:rPr>
                <w:shd w:val="clear" w:color="auto" w:fill="FFFFFF"/>
              </w:rPr>
              <w:t>U</w:t>
            </w:r>
          </w:p>
        </w:tc>
        <w:tc>
          <w:tcPr>
            <w:tcW w:w="570" w:type="dxa"/>
            <w:shd w:val="clear" w:color="auto" w:fill="FFFFFF"/>
            <w:noWrap/>
          </w:tcPr>
          <w:p w14:paraId="43A8C387" w14:textId="77777777" w:rsidR="00DB2B68" w:rsidRDefault="00000000">
            <w:pPr>
              <w:jc w:val="center"/>
            </w:pPr>
            <w:r>
              <w:rPr>
                <w:shd w:val="clear" w:color="auto" w:fill="FFFFFF"/>
              </w:rPr>
              <w:t>R</w:t>
            </w:r>
          </w:p>
        </w:tc>
        <w:tc>
          <w:tcPr>
            <w:tcW w:w="570" w:type="dxa"/>
            <w:shd w:val="clear" w:color="auto" w:fill="FFFFFF"/>
            <w:noWrap/>
          </w:tcPr>
          <w:p w14:paraId="3C61ECB5" w14:textId="77777777" w:rsidR="00DB2B68" w:rsidRDefault="00000000">
            <w:pPr>
              <w:jc w:val="center"/>
            </w:pPr>
            <w:r>
              <w:rPr>
                <w:shd w:val="clear" w:color="auto" w:fill="FFFFFF"/>
              </w:rPr>
              <w:t>X</w:t>
            </w:r>
          </w:p>
        </w:tc>
        <w:tc>
          <w:tcPr>
            <w:tcW w:w="570" w:type="dxa"/>
            <w:shd w:val="clear" w:color="auto" w:fill="FFFFFF"/>
            <w:noWrap/>
          </w:tcPr>
          <w:p w14:paraId="13C2AD5B" w14:textId="77777777" w:rsidR="00DB2B68" w:rsidRDefault="00000000">
            <w:pPr>
              <w:jc w:val="center"/>
            </w:pPr>
            <w:r>
              <w:rPr>
                <w:shd w:val="clear" w:color="auto" w:fill="FFFFFF"/>
              </w:rPr>
              <w:t>X</w:t>
            </w:r>
          </w:p>
        </w:tc>
      </w:tr>
      <w:tr w:rsidR="00DB2B68" w14:paraId="36A47B42" w14:textId="77777777">
        <w:tc>
          <w:tcPr>
            <w:tcW w:w="5655" w:type="dxa"/>
            <w:shd w:val="clear" w:color="auto" w:fill="FFFFFF"/>
            <w:noWrap/>
          </w:tcPr>
          <w:p w14:paraId="2BECD93F" w14:textId="77777777" w:rsidR="00DB2B68" w:rsidRDefault="00000000">
            <w:r>
              <w:rPr>
                <w:shd w:val="clear" w:color="auto" w:fill="FFFFFF"/>
              </w:rPr>
              <w:t xml:space="preserve">Fil d’acier galvanisé (60 g/m² - galvanisation de 8,5 µm d’épaisseur) avec un revêtement organique sur toutes les </w:t>
            </w:r>
            <w:r>
              <w:rPr>
                <w:shd w:val="clear" w:color="auto" w:fill="FFFFFF"/>
              </w:rPr>
              <w:lastRenderedPageBreak/>
              <w:t>surfaces extérieures du composant fini</w:t>
            </w:r>
          </w:p>
        </w:tc>
        <w:tc>
          <w:tcPr>
            <w:tcW w:w="1065" w:type="dxa"/>
            <w:shd w:val="clear" w:color="auto" w:fill="FFFFFF"/>
            <w:noWrap/>
          </w:tcPr>
          <w:p w14:paraId="38571144" w14:textId="77777777" w:rsidR="00DB2B68" w:rsidRDefault="00000000">
            <w:pPr>
              <w:jc w:val="center"/>
            </w:pPr>
            <w:r>
              <w:rPr>
                <w:b/>
                <w:shd w:val="clear" w:color="auto" w:fill="FFFFFF"/>
              </w:rPr>
              <w:lastRenderedPageBreak/>
              <w:t>18</w:t>
            </w:r>
          </w:p>
        </w:tc>
        <w:tc>
          <w:tcPr>
            <w:tcW w:w="570" w:type="dxa"/>
            <w:shd w:val="clear" w:color="auto" w:fill="FFFFFF"/>
            <w:noWrap/>
          </w:tcPr>
          <w:p w14:paraId="7F3E2D33" w14:textId="77777777" w:rsidR="00DB2B68" w:rsidRDefault="00000000">
            <w:pPr>
              <w:jc w:val="center"/>
            </w:pPr>
            <w:r>
              <w:rPr>
                <w:shd w:val="clear" w:color="auto" w:fill="FFFFFF"/>
              </w:rPr>
              <w:t>U</w:t>
            </w:r>
          </w:p>
        </w:tc>
        <w:tc>
          <w:tcPr>
            <w:tcW w:w="570" w:type="dxa"/>
            <w:shd w:val="clear" w:color="auto" w:fill="FFFFFF"/>
            <w:noWrap/>
          </w:tcPr>
          <w:p w14:paraId="0F58F305" w14:textId="77777777" w:rsidR="00DB2B68" w:rsidRDefault="00000000">
            <w:pPr>
              <w:jc w:val="center"/>
            </w:pPr>
            <w:r>
              <w:rPr>
                <w:shd w:val="clear" w:color="auto" w:fill="FFFFFF"/>
              </w:rPr>
              <w:t>R</w:t>
            </w:r>
          </w:p>
        </w:tc>
        <w:tc>
          <w:tcPr>
            <w:tcW w:w="570" w:type="dxa"/>
            <w:shd w:val="clear" w:color="auto" w:fill="FFFFFF"/>
            <w:noWrap/>
          </w:tcPr>
          <w:p w14:paraId="626FB319" w14:textId="77777777" w:rsidR="00DB2B68" w:rsidRDefault="00000000">
            <w:pPr>
              <w:jc w:val="center"/>
            </w:pPr>
            <w:r>
              <w:rPr>
                <w:shd w:val="clear" w:color="auto" w:fill="FFFFFF"/>
              </w:rPr>
              <w:t>R</w:t>
            </w:r>
          </w:p>
        </w:tc>
        <w:tc>
          <w:tcPr>
            <w:tcW w:w="570" w:type="dxa"/>
            <w:shd w:val="clear" w:color="auto" w:fill="FFFFFF"/>
            <w:noWrap/>
          </w:tcPr>
          <w:p w14:paraId="7236AD55" w14:textId="77777777" w:rsidR="00DB2B68" w:rsidRDefault="00000000">
            <w:pPr>
              <w:jc w:val="center"/>
            </w:pPr>
            <w:r>
              <w:rPr>
                <w:shd w:val="clear" w:color="auto" w:fill="FFFFFF"/>
              </w:rPr>
              <w:t>X</w:t>
            </w:r>
          </w:p>
        </w:tc>
      </w:tr>
      <w:tr w:rsidR="00DB2B68" w14:paraId="7BFF7FD9" w14:textId="77777777">
        <w:tc>
          <w:tcPr>
            <w:tcW w:w="5655" w:type="dxa"/>
            <w:shd w:val="clear" w:color="auto" w:fill="FFFFFF"/>
            <w:noWrap/>
          </w:tcPr>
          <w:p w14:paraId="5F1963AC" w14:textId="77777777" w:rsidR="00DB2B68" w:rsidRDefault="00000000">
            <w:r>
              <w:rPr>
                <w:shd w:val="clear" w:color="auto" w:fill="FFFFFF"/>
              </w:rPr>
              <w:t>Fil d’acier galvanisé (105 g/m² - galvanisation de 15 µm d’épaisseur)</w:t>
            </w:r>
          </w:p>
        </w:tc>
        <w:tc>
          <w:tcPr>
            <w:tcW w:w="1065" w:type="dxa"/>
            <w:shd w:val="clear" w:color="auto" w:fill="FFFFFF"/>
            <w:noWrap/>
          </w:tcPr>
          <w:p w14:paraId="6C11AF5F" w14:textId="77777777" w:rsidR="00DB2B68" w:rsidRDefault="00000000">
            <w:pPr>
              <w:jc w:val="center"/>
            </w:pPr>
            <w:r>
              <w:rPr>
                <w:b/>
                <w:shd w:val="clear" w:color="auto" w:fill="FFFFFF"/>
              </w:rPr>
              <w:t>19</w:t>
            </w:r>
          </w:p>
        </w:tc>
        <w:tc>
          <w:tcPr>
            <w:tcW w:w="570" w:type="dxa"/>
            <w:shd w:val="clear" w:color="auto" w:fill="FFFFFF"/>
            <w:noWrap/>
          </w:tcPr>
          <w:p w14:paraId="7D81D34F" w14:textId="77777777" w:rsidR="00DB2B68" w:rsidRDefault="00000000">
            <w:pPr>
              <w:jc w:val="center"/>
            </w:pPr>
            <w:r>
              <w:rPr>
                <w:shd w:val="clear" w:color="auto" w:fill="FFFFFF"/>
              </w:rPr>
              <w:t>U</w:t>
            </w:r>
          </w:p>
        </w:tc>
        <w:tc>
          <w:tcPr>
            <w:tcW w:w="570" w:type="dxa"/>
            <w:shd w:val="clear" w:color="auto" w:fill="FFFFFF"/>
            <w:noWrap/>
          </w:tcPr>
          <w:p w14:paraId="78946B04" w14:textId="77777777" w:rsidR="00DB2B68" w:rsidRDefault="00000000">
            <w:pPr>
              <w:jc w:val="center"/>
            </w:pPr>
            <w:r>
              <w:rPr>
                <w:shd w:val="clear" w:color="auto" w:fill="FFFFFF"/>
              </w:rPr>
              <w:t>R</w:t>
            </w:r>
          </w:p>
        </w:tc>
        <w:tc>
          <w:tcPr>
            <w:tcW w:w="570" w:type="dxa"/>
            <w:shd w:val="clear" w:color="auto" w:fill="FFFFFF"/>
            <w:noWrap/>
          </w:tcPr>
          <w:p w14:paraId="70DA7941" w14:textId="77777777" w:rsidR="00DB2B68" w:rsidRDefault="00000000">
            <w:pPr>
              <w:jc w:val="center"/>
            </w:pPr>
            <w:r>
              <w:rPr>
                <w:shd w:val="clear" w:color="auto" w:fill="FFFFFF"/>
              </w:rPr>
              <w:t>X</w:t>
            </w:r>
          </w:p>
        </w:tc>
        <w:tc>
          <w:tcPr>
            <w:tcW w:w="570" w:type="dxa"/>
            <w:shd w:val="clear" w:color="auto" w:fill="FFFFFF"/>
            <w:noWrap/>
          </w:tcPr>
          <w:p w14:paraId="086A95BF" w14:textId="77777777" w:rsidR="00DB2B68" w:rsidRDefault="00000000">
            <w:pPr>
              <w:jc w:val="center"/>
            </w:pPr>
            <w:r>
              <w:rPr>
                <w:shd w:val="clear" w:color="auto" w:fill="FFFFFF"/>
              </w:rPr>
              <w:t>X</w:t>
            </w:r>
          </w:p>
        </w:tc>
      </w:tr>
      <w:tr w:rsidR="00DB2B68" w14:paraId="2F571B73" w14:textId="77777777">
        <w:tc>
          <w:tcPr>
            <w:tcW w:w="5655" w:type="dxa"/>
            <w:shd w:val="clear" w:color="auto" w:fill="FFFFFF"/>
            <w:noWrap/>
          </w:tcPr>
          <w:p w14:paraId="13D8A245" w14:textId="77777777" w:rsidR="00DB2B68" w:rsidRDefault="00000000">
            <w:r>
              <w:rPr>
                <w:shd w:val="clear" w:color="auto" w:fill="FFFFFF"/>
              </w:rPr>
              <w:t>Fil d’acier galvanisé (60 g/m² - galvanisation de 8,5 µm d’épaisseur)</w:t>
            </w:r>
          </w:p>
        </w:tc>
        <w:tc>
          <w:tcPr>
            <w:tcW w:w="1065" w:type="dxa"/>
            <w:shd w:val="clear" w:color="auto" w:fill="FFFFFF"/>
            <w:noWrap/>
          </w:tcPr>
          <w:p w14:paraId="78D5DD0C" w14:textId="77777777" w:rsidR="00DB2B68" w:rsidRDefault="00000000">
            <w:pPr>
              <w:jc w:val="center"/>
            </w:pPr>
            <w:r>
              <w:rPr>
                <w:b/>
                <w:shd w:val="clear" w:color="auto" w:fill="FFFFFF"/>
              </w:rPr>
              <w:t>20</w:t>
            </w:r>
          </w:p>
        </w:tc>
        <w:tc>
          <w:tcPr>
            <w:tcW w:w="570" w:type="dxa"/>
            <w:shd w:val="clear" w:color="auto" w:fill="FFFFFF"/>
            <w:noWrap/>
          </w:tcPr>
          <w:p w14:paraId="3F8E071A" w14:textId="77777777" w:rsidR="00DB2B68" w:rsidRDefault="00000000">
            <w:pPr>
              <w:jc w:val="center"/>
            </w:pPr>
            <w:r>
              <w:rPr>
                <w:shd w:val="clear" w:color="auto" w:fill="FFFFFF"/>
              </w:rPr>
              <w:t>U</w:t>
            </w:r>
          </w:p>
        </w:tc>
        <w:tc>
          <w:tcPr>
            <w:tcW w:w="570" w:type="dxa"/>
            <w:shd w:val="clear" w:color="auto" w:fill="FFFFFF"/>
            <w:noWrap/>
          </w:tcPr>
          <w:p w14:paraId="46B34018" w14:textId="77777777" w:rsidR="00DB2B68" w:rsidRDefault="00000000">
            <w:pPr>
              <w:jc w:val="center"/>
            </w:pPr>
            <w:r>
              <w:rPr>
                <w:shd w:val="clear" w:color="auto" w:fill="FFFFFF"/>
              </w:rPr>
              <w:t>X</w:t>
            </w:r>
          </w:p>
        </w:tc>
        <w:tc>
          <w:tcPr>
            <w:tcW w:w="570" w:type="dxa"/>
            <w:shd w:val="clear" w:color="auto" w:fill="FFFFFF"/>
            <w:noWrap/>
          </w:tcPr>
          <w:p w14:paraId="65AEB5C7" w14:textId="77777777" w:rsidR="00DB2B68" w:rsidRDefault="00000000">
            <w:pPr>
              <w:jc w:val="center"/>
            </w:pPr>
            <w:r>
              <w:rPr>
                <w:shd w:val="clear" w:color="auto" w:fill="FFFFFF"/>
              </w:rPr>
              <w:t>X</w:t>
            </w:r>
          </w:p>
        </w:tc>
        <w:tc>
          <w:tcPr>
            <w:tcW w:w="570" w:type="dxa"/>
            <w:shd w:val="clear" w:color="auto" w:fill="FFFFFF"/>
            <w:noWrap/>
          </w:tcPr>
          <w:p w14:paraId="7A80840F" w14:textId="77777777" w:rsidR="00DB2B68" w:rsidRDefault="00000000">
            <w:pPr>
              <w:jc w:val="center"/>
            </w:pPr>
            <w:r>
              <w:rPr>
                <w:shd w:val="clear" w:color="auto" w:fill="FFFFFF"/>
              </w:rPr>
              <w:t>X</w:t>
            </w:r>
          </w:p>
        </w:tc>
      </w:tr>
      <w:tr w:rsidR="00DB2B68" w14:paraId="02C3A4D1" w14:textId="77777777">
        <w:tc>
          <w:tcPr>
            <w:tcW w:w="5655" w:type="dxa"/>
            <w:shd w:val="clear" w:color="auto" w:fill="FFFFFF"/>
            <w:noWrap/>
          </w:tcPr>
          <w:p w14:paraId="3BC4E91D" w14:textId="77777777" w:rsidR="00DB2B68" w:rsidRDefault="00000000">
            <w:r>
              <w:rPr>
                <w:shd w:val="clear" w:color="auto" w:fill="FFFFFF"/>
              </w:rPr>
              <w:t>Tôle d’acier pré-galvanisé (137 g/m² - galvanisation de 19 µm d’épaisseur)</w:t>
            </w:r>
          </w:p>
        </w:tc>
        <w:tc>
          <w:tcPr>
            <w:tcW w:w="1065" w:type="dxa"/>
            <w:shd w:val="clear" w:color="auto" w:fill="FFFFFF"/>
            <w:noWrap/>
          </w:tcPr>
          <w:p w14:paraId="0C2FCB50" w14:textId="77777777" w:rsidR="00DB2B68" w:rsidRDefault="00000000">
            <w:pPr>
              <w:jc w:val="center"/>
            </w:pPr>
            <w:r>
              <w:rPr>
                <w:b/>
                <w:shd w:val="clear" w:color="auto" w:fill="FFFFFF"/>
              </w:rPr>
              <w:t>21</w:t>
            </w:r>
          </w:p>
        </w:tc>
        <w:tc>
          <w:tcPr>
            <w:tcW w:w="570" w:type="dxa"/>
            <w:shd w:val="clear" w:color="auto" w:fill="FFFFFF"/>
            <w:noWrap/>
          </w:tcPr>
          <w:p w14:paraId="2097845F" w14:textId="77777777" w:rsidR="00DB2B68" w:rsidRDefault="00000000">
            <w:pPr>
              <w:jc w:val="center"/>
            </w:pPr>
            <w:r>
              <w:rPr>
                <w:shd w:val="clear" w:color="auto" w:fill="FFFFFF"/>
              </w:rPr>
              <w:t>U</w:t>
            </w:r>
          </w:p>
        </w:tc>
        <w:tc>
          <w:tcPr>
            <w:tcW w:w="570" w:type="dxa"/>
            <w:shd w:val="clear" w:color="auto" w:fill="FFFFFF"/>
            <w:noWrap/>
          </w:tcPr>
          <w:p w14:paraId="6FBDEED9" w14:textId="77777777" w:rsidR="00DB2B68" w:rsidRDefault="00000000">
            <w:pPr>
              <w:jc w:val="center"/>
            </w:pPr>
            <w:r>
              <w:rPr>
                <w:shd w:val="clear" w:color="auto" w:fill="FFFFFF"/>
              </w:rPr>
              <w:t>X</w:t>
            </w:r>
          </w:p>
        </w:tc>
        <w:tc>
          <w:tcPr>
            <w:tcW w:w="570" w:type="dxa"/>
            <w:shd w:val="clear" w:color="auto" w:fill="FFFFFF"/>
            <w:noWrap/>
          </w:tcPr>
          <w:p w14:paraId="6480FFD4" w14:textId="77777777" w:rsidR="00DB2B68" w:rsidRDefault="00000000">
            <w:pPr>
              <w:jc w:val="center"/>
            </w:pPr>
            <w:r>
              <w:rPr>
                <w:shd w:val="clear" w:color="auto" w:fill="FFFFFF"/>
              </w:rPr>
              <w:t>X</w:t>
            </w:r>
          </w:p>
        </w:tc>
        <w:tc>
          <w:tcPr>
            <w:tcW w:w="570" w:type="dxa"/>
            <w:shd w:val="clear" w:color="auto" w:fill="FFFFFF"/>
            <w:noWrap/>
          </w:tcPr>
          <w:p w14:paraId="43E351BD" w14:textId="77777777" w:rsidR="00DB2B68" w:rsidRDefault="00000000">
            <w:pPr>
              <w:jc w:val="center"/>
            </w:pPr>
            <w:r>
              <w:rPr>
                <w:shd w:val="clear" w:color="auto" w:fill="FFFFFF"/>
              </w:rPr>
              <w:t>X</w:t>
            </w:r>
          </w:p>
        </w:tc>
      </w:tr>
      <w:tr w:rsidR="00DB2B68" w14:paraId="7019EAB8" w14:textId="77777777">
        <w:tc>
          <w:tcPr>
            <w:tcW w:w="5655" w:type="dxa"/>
            <w:shd w:val="clear" w:color="auto" w:fill="FFFFFF"/>
            <w:noWrap/>
          </w:tcPr>
          <w:p w14:paraId="2696A1A5" w14:textId="77777777" w:rsidR="00DB2B68" w:rsidRDefault="00000000">
            <w:r>
              <w:rPr>
                <w:shd w:val="clear" w:color="auto" w:fill="FFFFFF"/>
              </w:rPr>
              <w:t>Fil d’acier galvanisé (60 g/m² - galvanisation de 8,5 µm d’épaisseur) avec un revêtement époxy sur toutes les surfaces du composant fini</w:t>
            </w:r>
          </w:p>
        </w:tc>
        <w:tc>
          <w:tcPr>
            <w:tcW w:w="1065" w:type="dxa"/>
            <w:shd w:val="clear" w:color="auto" w:fill="FFFFFF"/>
            <w:noWrap/>
          </w:tcPr>
          <w:p w14:paraId="7BC407DD" w14:textId="77777777" w:rsidR="00DB2B68" w:rsidRDefault="00000000">
            <w:pPr>
              <w:jc w:val="center"/>
            </w:pPr>
            <w:r>
              <w:rPr>
                <w:b/>
                <w:shd w:val="clear" w:color="auto" w:fill="FFFFFF"/>
              </w:rPr>
              <w:t>22</w:t>
            </w:r>
          </w:p>
        </w:tc>
        <w:tc>
          <w:tcPr>
            <w:tcW w:w="570" w:type="dxa"/>
            <w:shd w:val="clear" w:color="auto" w:fill="FFFFFF"/>
            <w:noWrap/>
          </w:tcPr>
          <w:p w14:paraId="2A6EA0B9" w14:textId="77777777" w:rsidR="00DB2B68" w:rsidRDefault="00000000">
            <w:pPr>
              <w:jc w:val="center"/>
            </w:pPr>
            <w:r>
              <w:rPr>
                <w:shd w:val="clear" w:color="auto" w:fill="FFFFFF"/>
              </w:rPr>
              <w:t>U</w:t>
            </w:r>
          </w:p>
        </w:tc>
        <w:tc>
          <w:tcPr>
            <w:tcW w:w="570" w:type="dxa"/>
            <w:shd w:val="clear" w:color="auto" w:fill="FFFFFF"/>
            <w:noWrap/>
          </w:tcPr>
          <w:p w14:paraId="7118A15C" w14:textId="77777777" w:rsidR="00DB2B68" w:rsidRDefault="00000000">
            <w:pPr>
              <w:jc w:val="center"/>
            </w:pPr>
            <w:r>
              <w:rPr>
                <w:shd w:val="clear" w:color="auto" w:fill="FFFFFF"/>
              </w:rPr>
              <w:t>U</w:t>
            </w:r>
          </w:p>
        </w:tc>
        <w:tc>
          <w:tcPr>
            <w:tcW w:w="570" w:type="dxa"/>
            <w:shd w:val="clear" w:color="auto" w:fill="FFFFFF"/>
            <w:noWrap/>
          </w:tcPr>
          <w:p w14:paraId="58F3438D" w14:textId="77777777" w:rsidR="00DB2B68" w:rsidRDefault="00000000">
            <w:pPr>
              <w:jc w:val="center"/>
            </w:pPr>
            <w:r>
              <w:rPr>
                <w:shd w:val="clear" w:color="auto" w:fill="FFFFFF"/>
              </w:rPr>
              <w:t>R</w:t>
            </w:r>
          </w:p>
        </w:tc>
        <w:tc>
          <w:tcPr>
            <w:tcW w:w="570" w:type="dxa"/>
            <w:shd w:val="clear" w:color="auto" w:fill="FFFFFF"/>
            <w:noWrap/>
          </w:tcPr>
          <w:p w14:paraId="07735F41" w14:textId="77777777" w:rsidR="00DB2B68" w:rsidRDefault="00000000">
            <w:pPr>
              <w:jc w:val="center"/>
            </w:pPr>
            <w:r>
              <w:rPr>
                <w:shd w:val="clear" w:color="auto" w:fill="FFFFFF"/>
              </w:rPr>
              <w:t>X</w:t>
            </w:r>
          </w:p>
        </w:tc>
      </w:tr>
      <w:tr w:rsidR="00DB2B68" w14:paraId="58EC6992" w14:textId="77777777">
        <w:tc>
          <w:tcPr>
            <w:tcW w:w="5655" w:type="dxa"/>
            <w:shd w:val="clear" w:color="auto" w:fill="FFFFFF"/>
            <w:noWrap/>
          </w:tcPr>
          <w:p w14:paraId="2D4E9832" w14:textId="77777777" w:rsidR="00DB2B68" w:rsidRDefault="00000000">
            <w:r>
              <w:rPr>
                <w:shd w:val="clear" w:color="auto" w:fill="FFFFFF"/>
              </w:rPr>
              <w:t>Acier inoxydable austéno-ferritique</w:t>
            </w:r>
          </w:p>
        </w:tc>
        <w:tc>
          <w:tcPr>
            <w:tcW w:w="1065" w:type="dxa"/>
            <w:shd w:val="clear" w:color="auto" w:fill="FFFFFF"/>
            <w:noWrap/>
          </w:tcPr>
          <w:p w14:paraId="3B3179AD" w14:textId="77777777" w:rsidR="00DB2B68" w:rsidRDefault="00000000">
            <w:pPr>
              <w:jc w:val="center"/>
            </w:pPr>
            <w:r>
              <w:rPr>
                <w:b/>
                <w:shd w:val="clear" w:color="auto" w:fill="FFFFFF"/>
              </w:rPr>
              <w:t>23</w:t>
            </w:r>
          </w:p>
        </w:tc>
        <w:tc>
          <w:tcPr>
            <w:tcW w:w="570" w:type="dxa"/>
            <w:shd w:val="clear" w:color="auto" w:fill="FFFFFF"/>
            <w:noWrap/>
          </w:tcPr>
          <w:p w14:paraId="7415AE92" w14:textId="77777777" w:rsidR="00DB2B68" w:rsidRDefault="00000000">
            <w:pPr>
              <w:jc w:val="center"/>
            </w:pPr>
            <w:r>
              <w:rPr>
                <w:shd w:val="clear" w:color="auto" w:fill="FFFFFF"/>
              </w:rPr>
              <w:t>U</w:t>
            </w:r>
          </w:p>
        </w:tc>
        <w:tc>
          <w:tcPr>
            <w:tcW w:w="570" w:type="dxa"/>
            <w:shd w:val="clear" w:color="auto" w:fill="FFFFFF"/>
            <w:noWrap/>
          </w:tcPr>
          <w:p w14:paraId="7ED7173D" w14:textId="77777777" w:rsidR="00DB2B68" w:rsidRDefault="00000000">
            <w:pPr>
              <w:jc w:val="center"/>
            </w:pPr>
            <w:r>
              <w:rPr>
                <w:shd w:val="clear" w:color="auto" w:fill="FFFFFF"/>
              </w:rPr>
              <w:t>X</w:t>
            </w:r>
          </w:p>
        </w:tc>
        <w:tc>
          <w:tcPr>
            <w:tcW w:w="570" w:type="dxa"/>
            <w:shd w:val="clear" w:color="auto" w:fill="FFFFFF"/>
            <w:noWrap/>
          </w:tcPr>
          <w:p w14:paraId="1CA37746" w14:textId="77777777" w:rsidR="00DB2B68" w:rsidRDefault="00000000">
            <w:pPr>
              <w:jc w:val="center"/>
            </w:pPr>
            <w:r>
              <w:rPr>
                <w:shd w:val="clear" w:color="auto" w:fill="FFFFFF"/>
              </w:rPr>
              <w:t>X</w:t>
            </w:r>
          </w:p>
        </w:tc>
        <w:tc>
          <w:tcPr>
            <w:tcW w:w="570" w:type="dxa"/>
            <w:shd w:val="clear" w:color="auto" w:fill="FFFFFF"/>
            <w:noWrap/>
          </w:tcPr>
          <w:p w14:paraId="46237280" w14:textId="77777777" w:rsidR="00DB2B68" w:rsidRDefault="00000000">
            <w:pPr>
              <w:jc w:val="center"/>
            </w:pPr>
            <w:r>
              <w:rPr>
                <w:shd w:val="clear" w:color="auto" w:fill="FFFFFF"/>
              </w:rPr>
              <w:t>X</w:t>
            </w:r>
          </w:p>
        </w:tc>
      </w:tr>
      <w:tr w:rsidR="00DB2B68" w14:paraId="1BF3C794" w14:textId="77777777">
        <w:tc>
          <w:tcPr>
            <w:tcW w:w="9000" w:type="dxa"/>
            <w:gridSpan w:val="6"/>
            <w:noWrap/>
          </w:tcPr>
          <w:p w14:paraId="009AF46A" w14:textId="77777777" w:rsidR="00DB2B68" w:rsidRDefault="00000000">
            <w:r>
              <w:t>(</w:t>
            </w:r>
            <w:r>
              <w:rPr>
                <w:vertAlign w:val="superscript"/>
              </w:rPr>
              <w:t>1</w:t>
            </w:r>
            <w:r>
              <w:t>)       U - utilisation sans limite du matériau dans la classe d’exposition indiquée                                               R - utilisation limitée; consulter le fabricant ou un spécialiste pour des conseils sur les                      conditions de calcul spécifiques.</w:t>
            </w:r>
          </w:p>
          <w:p w14:paraId="539F28F9" w14:textId="77777777" w:rsidR="00DB2B68" w:rsidRDefault="00000000">
            <w:r>
              <w:t>                      X - matériau non recommandé pour une utilisation dans cette classe d’exposition.</w:t>
            </w:r>
          </w:p>
        </w:tc>
      </w:tr>
      <w:tr w:rsidR="00DB2B68" w14:paraId="0D56EBB6" w14:textId="77777777">
        <w:tc>
          <w:tcPr>
            <w:tcW w:w="9000" w:type="dxa"/>
            <w:gridSpan w:val="6"/>
            <w:noWrap/>
          </w:tcPr>
          <w:p w14:paraId="723C4604" w14:textId="77777777" w:rsidR="00DB2B68" w:rsidRDefault="00000000">
            <w:r>
              <w:t>(</w:t>
            </w:r>
            <w:r>
              <w:rPr>
                <w:vertAlign w:val="superscript"/>
              </w:rPr>
              <w:t>2</w:t>
            </w:r>
            <w:r>
              <w:t>) Les masses de revêtement appliqué indiquées sont des valeurs approchées pour une face.</w:t>
            </w:r>
          </w:p>
        </w:tc>
      </w:tr>
      <w:tr w:rsidR="00DB2B68" w14:paraId="61960E4D" w14:textId="77777777">
        <w:tc>
          <w:tcPr>
            <w:tcW w:w="9000" w:type="dxa"/>
            <w:gridSpan w:val="6"/>
            <w:noWrap/>
          </w:tcPr>
          <w:p w14:paraId="5A9D5A17" w14:textId="77777777" w:rsidR="00DB2B68" w:rsidRDefault="00000000">
            <w:r>
              <w:t>(</w:t>
            </w:r>
            <w:r>
              <w:rPr>
                <w:vertAlign w:val="superscript"/>
              </w:rPr>
              <w:t>3</w:t>
            </w:r>
            <w:r>
              <w:t>) MX1 : environnement sec. MX2 : environnement humide. MX3 : environnement humide et cycles de gel-dégel. MX4 : environnement salin. MX5 : environnement chimique agressif.</w:t>
            </w:r>
          </w:p>
        </w:tc>
      </w:tr>
    </w:tbl>
    <w:p w14:paraId="54AF9A08" w14:textId="77777777" w:rsidR="00DB2B68" w:rsidRDefault="00DB2B68"/>
    <w:p w14:paraId="6FB4FA9F" w14:textId="77777777" w:rsidR="00DB2B68" w:rsidRDefault="00000000">
      <w:pPr>
        <w:jc w:val="both"/>
      </w:pPr>
      <w:r>
        <w:t>La fiche technique du produit émise par le fabricant mentionne les informations suivantes : dimensions et performances mécaniques (c.-à-d. la charge admissible en traction et le déplacement sous charge).</w:t>
      </w:r>
    </w:p>
    <w:p w14:paraId="0CFF9E2D" w14:textId="77777777" w:rsidR="00DB2B68" w:rsidRDefault="00000000">
      <w:pPr>
        <w:pStyle w:val="pheading"/>
      </w:pPr>
      <w:r>
        <w:t>EXÉCUTION / MISE EN ŒUVRE</w:t>
      </w:r>
    </w:p>
    <w:p w14:paraId="4563D3ED" w14:textId="77777777" w:rsidR="00DB2B68" w:rsidRDefault="00000000">
      <w:pPr>
        <w:pStyle w:val="pheading"/>
      </w:pPr>
      <w:r>
        <w:t>- Prescriptions générales</w:t>
      </w:r>
    </w:p>
    <w:p w14:paraId="21C6120D" w14:textId="77777777" w:rsidR="00DB2B68" w:rsidRDefault="00000000">
      <w:pPr>
        <w:jc w:val="both"/>
      </w:pPr>
      <w:r>
        <w:t>La pose doit respecter les instructions du fabricant notamment en ce qui concerne le nombre, la taille et l’emplacement des fixations. A défaut, l’entrepreneur fait une proposition à la direction du chantier qui approuve le choix.</w:t>
      </w:r>
    </w:p>
    <w:p w14:paraId="46AF463A" w14:textId="77777777" w:rsidR="00DB2B68" w:rsidRDefault="00000000">
      <w:pPr>
        <w:jc w:val="both"/>
      </w:pPr>
      <w:r>
        <w:t>Charge admissible en traction et déplacement sous charge (cf. charge à reprendre) :</w:t>
      </w:r>
      <w:r>
        <w:rPr>
          <w:rStyle w:val="optioncarChar"/>
        </w:rPr>
        <w:t xml:space="preserve"> ***</w:t>
      </w:r>
      <w:r>
        <w:t>.</w:t>
      </w:r>
    </w:p>
    <w:p w14:paraId="4D26002D" w14:textId="77777777" w:rsidR="00DB2B68" w:rsidRDefault="00000000">
      <w:pPr>
        <w:jc w:val="both"/>
      </w:pPr>
      <w:r>
        <w:t>Nombre de fixation :</w:t>
      </w:r>
      <w:r>
        <w:rPr>
          <w:rStyle w:val="optioncarChar"/>
        </w:rPr>
        <w:t xml:space="preserve"> ***</w:t>
      </w:r>
      <w:r>
        <w:t>.</w:t>
      </w:r>
    </w:p>
    <w:p w14:paraId="45E1A7C6" w14:textId="77777777" w:rsidR="00DB2B68" w:rsidRDefault="00000000">
      <w:pPr>
        <w:jc w:val="both"/>
      </w:pPr>
      <w:r>
        <w:t xml:space="preserve">Taille des fixations : </w:t>
      </w:r>
      <w:r>
        <w:rPr>
          <w:rStyle w:val="optioncarChar"/>
        </w:rPr>
        <w:t>***</w:t>
      </w:r>
      <w:r>
        <w:t>.</w:t>
      </w:r>
    </w:p>
    <w:p w14:paraId="7CEE2035" w14:textId="77777777" w:rsidR="00DB2B68" w:rsidRDefault="00000000">
      <w:pPr>
        <w:jc w:val="both"/>
      </w:pPr>
      <w:r>
        <w:t xml:space="preserve">Emplacement des fixations : </w:t>
      </w:r>
      <w:r>
        <w:rPr>
          <w:rStyle w:val="optioncarChar"/>
        </w:rPr>
        <w:t>***</w:t>
      </w:r>
      <w:r>
        <w:t>.</w:t>
      </w:r>
    </w:p>
    <w:p w14:paraId="565683D1" w14:textId="77777777" w:rsidR="00DB2B68" w:rsidRDefault="00000000">
      <w:pPr>
        <w:pStyle w:val="pheading"/>
      </w:pPr>
      <w:r>
        <w:t>DOCUMENTS DE RÉFÉRENCE COMPLÉMENTAIRES</w:t>
      </w:r>
    </w:p>
    <w:p w14:paraId="500BDECA" w14:textId="77777777" w:rsidR="00DB2B68" w:rsidRDefault="00000000">
      <w:pPr>
        <w:pStyle w:val="pheading"/>
      </w:pPr>
      <w:r>
        <w:t>- Matériau</w:t>
      </w:r>
    </w:p>
    <w:p w14:paraId="726EBA81" w14:textId="77777777" w:rsidR="00DB2B68" w:rsidRDefault="00000000">
      <w:r>
        <w:t>[NBN EN 845-1:2013+A1, Spécification pour composants accessoires de maçonnerie - Partie 1: Attaches, brides de fixation, étriers de support et consoles]</w:t>
      </w:r>
    </w:p>
    <w:p w14:paraId="1CF5DFE0" w14:textId="77777777" w:rsidR="00DB2B68" w:rsidRDefault="00000000">
      <w:pPr>
        <w:pStyle w:val="pheading"/>
      </w:pPr>
      <w:r>
        <w:t>- Exécution</w:t>
      </w:r>
    </w:p>
    <w:p w14:paraId="1F9A5557" w14:textId="77777777" w:rsidR="00DB2B68" w:rsidRDefault="00000000">
      <w:r>
        <w:t>[NBN EN 1996-2, Eurocode 6 - Calcul des ouvrages en maçonnerie - Partie 2: Conception, choix des matériaux et mise en oeuvre des maçonneries (+ AC:2009)]</w:t>
      </w:r>
    </w:p>
    <w:p w14:paraId="7EC8B096" w14:textId="77777777" w:rsidR="00DB2B68" w:rsidRDefault="00000000">
      <w:pPr>
        <w:pStyle w:val="pheading"/>
      </w:pPr>
      <w:r>
        <w:t>MESURAGE</w:t>
      </w:r>
    </w:p>
    <w:p w14:paraId="742B5D5B" w14:textId="77777777" w:rsidR="00DB2B68" w:rsidRDefault="00000000">
      <w:pPr>
        <w:pStyle w:val="pheading"/>
      </w:pPr>
      <w:r>
        <w:t>- unité de mesure:</w:t>
      </w:r>
    </w:p>
    <w:p w14:paraId="3EA9576E" w14:textId="77777777" w:rsidR="00DB2B68" w:rsidRDefault="00000000">
      <w:r>
        <w:t>- </w:t>
      </w:r>
    </w:p>
    <w:p w14:paraId="018BFC0B" w14:textId="77777777" w:rsidR="00DB2B68" w:rsidRDefault="00000000">
      <w:pPr>
        <w:pStyle w:val="pheading"/>
      </w:pPr>
      <w:r>
        <w:t>- code de mesurage:</w:t>
      </w:r>
    </w:p>
    <w:p w14:paraId="7250E6BE" w14:textId="77777777" w:rsidR="00DB2B68" w:rsidRDefault="00000000">
      <w:r>
        <w:t>Compris dans le prix de la maçonnerie correspondante.</w:t>
      </w:r>
    </w:p>
    <w:p w14:paraId="24B1026F" w14:textId="77777777" w:rsidR="00DB2B68" w:rsidRDefault="00000000">
      <w:pPr>
        <w:pStyle w:val="pheading"/>
      </w:pPr>
      <w:r>
        <w:t>- nature du marché:</w:t>
      </w:r>
    </w:p>
    <w:p w14:paraId="35B721A2" w14:textId="77777777" w:rsidR="00DB2B68" w:rsidRDefault="00000000">
      <w:r>
        <w:lastRenderedPageBreak/>
        <w:t>PM</w:t>
      </w:r>
    </w:p>
    <w:p w14:paraId="4D921E5D" w14:textId="77777777" w:rsidR="00DB2B68" w:rsidRDefault="00000000">
      <w:pPr>
        <w:pStyle w:val="Author-eSectionHeading5Numberless"/>
      </w:pPr>
      <w:bookmarkStart w:id="379" w:name="_Toc220495485"/>
      <w:r>
        <w:t>21.42.4 Consoles de support pour maçonneries CCTB 01.04</w:t>
      </w:r>
      <w:bookmarkEnd w:id="379"/>
    </w:p>
    <w:p w14:paraId="79A3BFCE" w14:textId="77777777" w:rsidR="00DB2B68" w:rsidRDefault="00000000">
      <w:pPr>
        <w:pStyle w:val="pheading"/>
      </w:pPr>
      <w:r>
        <w:t>DESCRIPTION</w:t>
      </w:r>
    </w:p>
    <w:p w14:paraId="1A0242DD" w14:textId="77777777" w:rsidR="00DB2B68" w:rsidRDefault="00000000">
      <w:pPr>
        <w:pStyle w:val="pheading"/>
      </w:pPr>
      <w:r>
        <w:t>- Définition / Comprend</w:t>
      </w:r>
    </w:p>
    <w:p w14:paraId="63CBEA08" w14:textId="77777777" w:rsidR="00DB2B68" w:rsidRDefault="00000000">
      <w:r>
        <w:t xml:space="preserve">voir aussi </w:t>
      </w:r>
      <w:hyperlink w:anchor="425" w:history="1">
        <w:r>
          <w:rPr>
            <w:color w:val="0000EE"/>
          </w:rPr>
          <w:t>21.43.4 Cornières et consoles de support de maçonneries</w:t>
        </w:r>
      </w:hyperlink>
      <w:r>
        <w:t xml:space="preserve"> et </w:t>
      </w:r>
      <w:hyperlink w:anchor="426" w:history="1">
        <w:r>
          <w:rPr>
            <w:color w:val="0000EE"/>
          </w:rPr>
          <w:t>21.43.5 Cornières et consoles de support de maçonneries avec suspensions de briques</w:t>
        </w:r>
      </w:hyperlink>
    </w:p>
    <w:p w14:paraId="20DE1544" w14:textId="77777777" w:rsidR="00DB2B68" w:rsidRDefault="00000000">
      <w:pPr>
        <w:pStyle w:val="Author-eSectionHeading6Numberless"/>
      </w:pPr>
      <w:bookmarkStart w:id="380" w:name="_Toc220495486"/>
      <w:r>
        <w:t>21.42.4a Consoles de support simples pour maçonneries CCTB 01.04</w:t>
      </w:r>
      <w:bookmarkEnd w:id="380"/>
    </w:p>
    <w:p w14:paraId="02E29BD0" w14:textId="77777777" w:rsidR="00DB2B68" w:rsidRDefault="00000000">
      <w:pPr>
        <w:pStyle w:val="pheading"/>
      </w:pPr>
      <w:r>
        <w:t>DESCRIPTION</w:t>
      </w:r>
    </w:p>
    <w:p w14:paraId="4A802053" w14:textId="77777777" w:rsidR="00DB2B68" w:rsidRDefault="00000000">
      <w:pPr>
        <w:pStyle w:val="pheading"/>
      </w:pPr>
      <w:r>
        <w:t>- Définition / Comprend</w:t>
      </w:r>
    </w:p>
    <w:p w14:paraId="3064FEFA" w14:textId="77777777" w:rsidR="00DB2B68" w:rsidRDefault="00000000">
      <w:r>
        <w:t xml:space="preserve">voir aussi </w:t>
      </w:r>
      <w:hyperlink w:anchor="423" w:history="1">
        <w:r>
          <w:rPr>
            <w:color w:val="0000EE"/>
          </w:rPr>
          <w:t>21.43.4b Consoles</w:t>
        </w:r>
      </w:hyperlink>
      <w:r>
        <w:t xml:space="preserve"> et </w:t>
      </w:r>
      <w:hyperlink w:anchor="424" w:history="1">
        <w:r>
          <w:rPr>
            <w:color w:val="0000EE"/>
          </w:rPr>
          <w:t>21.43.5b Consoles avec suspensions de briques</w:t>
        </w:r>
      </w:hyperlink>
    </w:p>
    <w:p w14:paraId="2D9679BD" w14:textId="77777777" w:rsidR="00DB2B68" w:rsidRDefault="00000000">
      <w:pPr>
        <w:pStyle w:val="Author-eSectionHeading6Numberless"/>
      </w:pPr>
      <w:bookmarkStart w:id="381" w:name="_Toc220495487"/>
      <w:r>
        <w:t>21.42.4b Consoles de support doubles pour maçonneries CCTB 01.02</w:t>
      </w:r>
      <w:bookmarkEnd w:id="381"/>
    </w:p>
    <w:p w14:paraId="00C914FE" w14:textId="77777777" w:rsidR="00DB2B68" w:rsidRDefault="00000000">
      <w:pPr>
        <w:pStyle w:val="Author-eSectionHeading4Numberless"/>
      </w:pPr>
      <w:bookmarkStart w:id="382" w:name="_Toc220495488"/>
      <w:r>
        <w:t>21.43 Assises de maçonneries (linteaux, cornières, consoles et autres) CCTB 01.07</w:t>
      </w:r>
      <w:bookmarkEnd w:id="382"/>
    </w:p>
    <w:p w14:paraId="3D36F2C5" w14:textId="77777777" w:rsidR="00DB2B68" w:rsidRDefault="00000000">
      <w:pPr>
        <w:pStyle w:val="pheading"/>
      </w:pPr>
      <w:r>
        <w:t>DESCRIPTION</w:t>
      </w:r>
    </w:p>
    <w:p w14:paraId="000C46A3" w14:textId="77777777" w:rsidR="00DB2B68" w:rsidRDefault="00000000">
      <w:pPr>
        <w:pStyle w:val="pheading"/>
      </w:pPr>
      <w:r>
        <w:t>- Définition / Comprend</w:t>
      </w:r>
    </w:p>
    <w:p w14:paraId="71FE9CB3" w14:textId="77777777" w:rsidR="00DB2B68" w:rsidRDefault="00000000">
      <w:r>
        <w:rPr>
          <w:b/>
        </w:rPr>
        <w:t>LINTEAUX</w:t>
      </w:r>
    </w:p>
    <w:p w14:paraId="4FCE75CA" w14:textId="77777777" w:rsidR="00DB2B68" w:rsidRDefault="00000000">
      <w:r>
        <w:t>Il s'agit des linteaux, qui répondent à la norme [NBN EN 845-2:2013+A1]. L'entrepreneur soumet un échantillon, la fiche technique et la déclaration des performances (DoP) du produit pour approbation à l'auteur de projet et au maître de l’ouvrage.</w:t>
      </w:r>
    </w:p>
    <w:p w14:paraId="3E89AA1D" w14:textId="77777777" w:rsidR="00DB2B68" w:rsidRDefault="00000000">
      <w:r>
        <w:t>Un linteau, élément structural, est défini comme un support horizontal fermant la partie supérieure d'une baie et soutenant la superstructure.</w:t>
      </w:r>
    </w:p>
    <w:p w14:paraId="424FEB4F" w14:textId="77777777" w:rsidR="00DB2B68" w:rsidRDefault="00000000">
      <w:r>
        <w:t>Les linteaux préfabriqués d’une portée maximale de 4,5 m sont réalisés dans les matériaux suivants: acier, béton cellulaire autoclavé, pierre artificielle, béton (à l’exclusion des linteaux entièrement réalisés sur le chantier ou dont les parties tendues sont réalisées sur le chantier), éléments en terre cuite, éléments en silico-calcaire, éléments en pierre naturelle, ou en combinant ces matériaux.</w:t>
      </w:r>
    </w:p>
    <w:p w14:paraId="0F030833" w14:textId="77777777" w:rsidR="00DB2B68" w:rsidRDefault="00000000">
      <w:r>
        <w:t>Ces linteaux peuvent être complets (linteau simple (c.-à-d. agissant seul) et linteau combiné (c.-à-d. constitué de deux éléments de construction ou plus ; chaque élément agissant avec des zones de tension et de compression) ou constituer la partie préfabriquée d’un linteau composite (linteau comprenant une partie préfabriquée (prélinteau) et un élément complémentaire réalisé en maçonnerie ou en béton sur le chantier, les deux agissant ensemble).</w:t>
      </w:r>
    </w:p>
    <w:p w14:paraId="025E3F7C" w14:textId="77777777" w:rsidR="00DB2B68" w:rsidRDefault="00000000">
      <w:r>
        <w:t>Le tableau ci-dessous dresse la liste des matériaux et de leur référence normalisée ainsi que les recommandations d’usage selon la [NBN EN 1996-2 ANB], en fonction de la classe d’exposition.</w:t>
      </w:r>
    </w:p>
    <w:tbl>
      <w:tblPr>
        <w:tblStyle w:val="Author-eTableGrid"/>
        <w:tblW w:w="9045" w:type="dxa"/>
        <w:tblBorders>
          <w:top w:val="nil"/>
          <w:left w:val="nil"/>
          <w:bottom w:val="nil"/>
          <w:right w:val="nil"/>
          <w:insideH w:val="nil"/>
          <w:insideV w:val="nil"/>
        </w:tblBorders>
        <w:tblLayout w:type="fixed"/>
        <w:tblLook w:val="04A0" w:firstRow="1" w:lastRow="0" w:firstColumn="1" w:lastColumn="0" w:noHBand="0" w:noVBand="1"/>
      </w:tblPr>
      <w:tblGrid>
        <w:gridCol w:w="5006"/>
        <w:gridCol w:w="1089"/>
        <w:gridCol w:w="590"/>
        <w:gridCol w:w="590"/>
        <w:gridCol w:w="590"/>
        <w:gridCol w:w="590"/>
        <w:gridCol w:w="590"/>
      </w:tblGrid>
      <w:tr w:rsidR="00DB2B68" w14:paraId="39C22947" w14:textId="77777777">
        <w:trPr>
          <w:trHeight w:val="30"/>
        </w:trPr>
        <w:tc>
          <w:tcPr>
            <w:tcW w:w="6045" w:type="dxa"/>
            <w:gridSpan w:val="2"/>
            <w:noWrap/>
          </w:tcPr>
          <w:p w14:paraId="74B618F0" w14:textId="77777777" w:rsidR="00DB2B68" w:rsidRDefault="00000000">
            <w:pPr>
              <w:jc w:val="center"/>
            </w:pPr>
            <w:r>
              <w:rPr>
                <w:b/>
              </w:rPr>
              <w:t>Matériau</w:t>
            </w:r>
          </w:p>
        </w:tc>
        <w:tc>
          <w:tcPr>
            <w:tcW w:w="2925" w:type="dxa"/>
            <w:gridSpan w:val="5"/>
            <w:noWrap/>
          </w:tcPr>
          <w:p w14:paraId="08E7A56E" w14:textId="77777777" w:rsidR="00DB2B68" w:rsidRDefault="00000000">
            <w:pPr>
              <w:jc w:val="center"/>
            </w:pPr>
            <w:r>
              <w:rPr>
                <w:b/>
              </w:rPr>
              <w:t>Classe d’exposition</w:t>
            </w:r>
          </w:p>
        </w:tc>
      </w:tr>
      <w:tr w:rsidR="00DB2B68" w14:paraId="1E419702" w14:textId="77777777">
        <w:trPr>
          <w:trHeight w:val="30"/>
        </w:trPr>
        <w:tc>
          <w:tcPr>
            <w:tcW w:w="4965" w:type="dxa"/>
            <w:noWrap/>
          </w:tcPr>
          <w:p w14:paraId="68B66B19" w14:textId="77777777" w:rsidR="00DB2B68" w:rsidRDefault="00000000">
            <w:pPr>
              <w:jc w:val="center"/>
            </w:pPr>
            <w:r>
              <w:rPr>
                <w:b/>
              </w:rPr>
              <w:t>Spécification (</w:t>
            </w:r>
            <w:r>
              <w:rPr>
                <w:b/>
                <w:vertAlign w:val="superscript"/>
              </w:rPr>
              <w:t>2</w:t>
            </w:r>
            <w:r>
              <w:rPr>
                <w:b/>
              </w:rPr>
              <w:t>) du matériau et du revêtement ou de l’enrobage par le béton correspondant au numéro ou à la lettre de référence</w:t>
            </w:r>
          </w:p>
        </w:tc>
        <w:tc>
          <w:tcPr>
            <w:tcW w:w="1080" w:type="dxa"/>
            <w:noWrap/>
          </w:tcPr>
          <w:p w14:paraId="393783E9" w14:textId="77777777" w:rsidR="00DB2B68" w:rsidRDefault="00000000">
            <w:pPr>
              <w:jc w:val="center"/>
            </w:pPr>
            <w:r>
              <w:rPr>
                <w:b/>
              </w:rPr>
              <w:t>N° de référence</w:t>
            </w:r>
          </w:p>
        </w:tc>
        <w:tc>
          <w:tcPr>
            <w:tcW w:w="585" w:type="dxa"/>
            <w:noWrap/>
          </w:tcPr>
          <w:p w14:paraId="21CC55B7" w14:textId="77777777" w:rsidR="00DB2B68" w:rsidRDefault="00000000">
            <w:pPr>
              <w:jc w:val="center"/>
            </w:pPr>
            <w:r>
              <w:rPr>
                <w:b/>
              </w:rPr>
              <w:t>MX1</w:t>
            </w:r>
          </w:p>
        </w:tc>
        <w:tc>
          <w:tcPr>
            <w:tcW w:w="585" w:type="dxa"/>
            <w:noWrap/>
          </w:tcPr>
          <w:p w14:paraId="37011FAD" w14:textId="77777777" w:rsidR="00DB2B68" w:rsidRDefault="00000000">
            <w:pPr>
              <w:jc w:val="center"/>
            </w:pPr>
            <w:r>
              <w:rPr>
                <w:b/>
              </w:rPr>
              <w:t>MX2</w:t>
            </w:r>
          </w:p>
        </w:tc>
        <w:tc>
          <w:tcPr>
            <w:tcW w:w="585" w:type="dxa"/>
            <w:noWrap/>
          </w:tcPr>
          <w:p w14:paraId="412913A7" w14:textId="77777777" w:rsidR="00DB2B68" w:rsidRDefault="00000000">
            <w:pPr>
              <w:jc w:val="center"/>
            </w:pPr>
            <w:r>
              <w:rPr>
                <w:b/>
              </w:rPr>
              <w:t>MX3</w:t>
            </w:r>
          </w:p>
        </w:tc>
        <w:tc>
          <w:tcPr>
            <w:tcW w:w="585" w:type="dxa"/>
            <w:noWrap/>
          </w:tcPr>
          <w:p w14:paraId="5FE3C568" w14:textId="77777777" w:rsidR="00DB2B68" w:rsidRDefault="00000000">
            <w:pPr>
              <w:jc w:val="center"/>
            </w:pPr>
            <w:r>
              <w:rPr>
                <w:b/>
              </w:rPr>
              <w:t>MX4</w:t>
            </w:r>
          </w:p>
        </w:tc>
        <w:tc>
          <w:tcPr>
            <w:tcW w:w="585" w:type="dxa"/>
            <w:noWrap/>
          </w:tcPr>
          <w:p w14:paraId="40191B85" w14:textId="77777777" w:rsidR="00DB2B68" w:rsidRDefault="00000000">
            <w:pPr>
              <w:jc w:val="center"/>
            </w:pPr>
            <w:r>
              <w:rPr>
                <w:b/>
              </w:rPr>
              <w:t>MX5</w:t>
            </w:r>
          </w:p>
        </w:tc>
      </w:tr>
      <w:tr w:rsidR="00DB2B68" w14:paraId="0102C8FD" w14:textId="77777777">
        <w:trPr>
          <w:trHeight w:val="30"/>
        </w:trPr>
        <w:tc>
          <w:tcPr>
            <w:tcW w:w="4965" w:type="dxa"/>
            <w:noWrap/>
          </w:tcPr>
          <w:p w14:paraId="554AEB76" w14:textId="77777777" w:rsidR="00DB2B68" w:rsidRDefault="00000000">
            <w:r>
              <w:t>Acier inoxydable austénitique (alliages molybdène chrome nickel – ‘inox 316’</w:t>
            </w:r>
          </w:p>
        </w:tc>
        <w:tc>
          <w:tcPr>
            <w:tcW w:w="1080" w:type="dxa"/>
            <w:noWrap/>
          </w:tcPr>
          <w:p w14:paraId="3637EF80" w14:textId="77777777" w:rsidR="00DB2B68" w:rsidRDefault="00000000">
            <w:pPr>
              <w:jc w:val="center"/>
            </w:pPr>
            <w:r>
              <w:t>L1</w:t>
            </w:r>
          </w:p>
        </w:tc>
        <w:tc>
          <w:tcPr>
            <w:tcW w:w="585" w:type="dxa"/>
            <w:noWrap/>
          </w:tcPr>
          <w:p w14:paraId="1AEBCEFA" w14:textId="77777777" w:rsidR="00DB2B68" w:rsidRDefault="00000000">
            <w:pPr>
              <w:jc w:val="center"/>
            </w:pPr>
            <w:r>
              <w:t>U</w:t>
            </w:r>
          </w:p>
        </w:tc>
        <w:tc>
          <w:tcPr>
            <w:tcW w:w="585" w:type="dxa"/>
            <w:noWrap/>
          </w:tcPr>
          <w:p w14:paraId="63701F9D" w14:textId="77777777" w:rsidR="00DB2B68" w:rsidRDefault="00000000">
            <w:pPr>
              <w:jc w:val="center"/>
            </w:pPr>
            <w:r>
              <w:t>U</w:t>
            </w:r>
          </w:p>
        </w:tc>
        <w:tc>
          <w:tcPr>
            <w:tcW w:w="585" w:type="dxa"/>
            <w:noWrap/>
          </w:tcPr>
          <w:p w14:paraId="5F79BF39" w14:textId="77777777" w:rsidR="00DB2B68" w:rsidRDefault="00000000">
            <w:pPr>
              <w:jc w:val="center"/>
            </w:pPr>
            <w:r>
              <w:t>U</w:t>
            </w:r>
          </w:p>
        </w:tc>
        <w:tc>
          <w:tcPr>
            <w:tcW w:w="585" w:type="dxa"/>
            <w:noWrap/>
          </w:tcPr>
          <w:p w14:paraId="5CA9CAD7" w14:textId="77777777" w:rsidR="00DB2B68" w:rsidRDefault="00000000">
            <w:pPr>
              <w:jc w:val="center"/>
            </w:pPr>
            <w:r>
              <w:t>U</w:t>
            </w:r>
          </w:p>
        </w:tc>
        <w:tc>
          <w:tcPr>
            <w:tcW w:w="585" w:type="dxa"/>
            <w:noWrap/>
          </w:tcPr>
          <w:p w14:paraId="78D791D6" w14:textId="77777777" w:rsidR="00DB2B68" w:rsidRDefault="00000000">
            <w:pPr>
              <w:jc w:val="center"/>
            </w:pPr>
            <w:r>
              <w:t>R</w:t>
            </w:r>
          </w:p>
        </w:tc>
      </w:tr>
      <w:tr w:rsidR="00DB2B68" w14:paraId="62D0FD23" w14:textId="77777777">
        <w:trPr>
          <w:trHeight w:val="30"/>
        </w:trPr>
        <w:tc>
          <w:tcPr>
            <w:tcW w:w="4965" w:type="dxa"/>
            <w:noWrap/>
          </w:tcPr>
          <w:p w14:paraId="62E54A54" w14:textId="77777777" w:rsidR="00DB2B68" w:rsidRDefault="00000000">
            <w:r>
              <w:t>Acier inoxydable austénitique (alliages chrome nickel – ‘inox 304’)</w:t>
            </w:r>
          </w:p>
        </w:tc>
        <w:tc>
          <w:tcPr>
            <w:tcW w:w="1080" w:type="dxa"/>
            <w:noWrap/>
          </w:tcPr>
          <w:p w14:paraId="1161701B" w14:textId="77777777" w:rsidR="00DB2B68" w:rsidRDefault="00000000">
            <w:pPr>
              <w:jc w:val="center"/>
            </w:pPr>
            <w:r>
              <w:t>L3</w:t>
            </w:r>
          </w:p>
        </w:tc>
        <w:tc>
          <w:tcPr>
            <w:tcW w:w="585" w:type="dxa"/>
            <w:noWrap/>
          </w:tcPr>
          <w:p w14:paraId="621676DA" w14:textId="77777777" w:rsidR="00DB2B68" w:rsidRDefault="00000000">
            <w:pPr>
              <w:jc w:val="center"/>
            </w:pPr>
            <w:r>
              <w:t>U</w:t>
            </w:r>
          </w:p>
        </w:tc>
        <w:tc>
          <w:tcPr>
            <w:tcW w:w="585" w:type="dxa"/>
            <w:noWrap/>
          </w:tcPr>
          <w:p w14:paraId="12DA6822" w14:textId="77777777" w:rsidR="00DB2B68" w:rsidRDefault="00000000">
            <w:pPr>
              <w:jc w:val="center"/>
            </w:pPr>
            <w:r>
              <w:t>U</w:t>
            </w:r>
          </w:p>
        </w:tc>
        <w:tc>
          <w:tcPr>
            <w:tcW w:w="585" w:type="dxa"/>
            <w:noWrap/>
          </w:tcPr>
          <w:p w14:paraId="5FD99925" w14:textId="77777777" w:rsidR="00DB2B68" w:rsidRDefault="00000000">
            <w:pPr>
              <w:jc w:val="center"/>
            </w:pPr>
            <w:r>
              <w:t>U</w:t>
            </w:r>
          </w:p>
        </w:tc>
        <w:tc>
          <w:tcPr>
            <w:tcW w:w="585" w:type="dxa"/>
            <w:noWrap/>
          </w:tcPr>
          <w:p w14:paraId="39D51482" w14:textId="77777777" w:rsidR="00DB2B68" w:rsidRDefault="00000000">
            <w:pPr>
              <w:jc w:val="center"/>
            </w:pPr>
            <w:r>
              <w:t>R</w:t>
            </w:r>
          </w:p>
        </w:tc>
        <w:tc>
          <w:tcPr>
            <w:tcW w:w="585" w:type="dxa"/>
            <w:noWrap/>
          </w:tcPr>
          <w:p w14:paraId="3E808090" w14:textId="77777777" w:rsidR="00DB2B68" w:rsidRDefault="00000000">
            <w:pPr>
              <w:jc w:val="center"/>
            </w:pPr>
            <w:r>
              <w:t>R</w:t>
            </w:r>
          </w:p>
        </w:tc>
      </w:tr>
      <w:tr w:rsidR="00DB2B68" w14:paraId="6983FA84" w14:textId="77777777">
        <w:trPr>
          <w:trHeight w:val="30"/>
        </w:trPr>
        <w:tc>
          <w:tcPr>
            <w:tcW w:w="4965" w:type="dxa"/>
            <w:noWrap/>
          </w:tcPr>
          <w:p w14:paraId="068C05FA" w14:textId="77777777" w:rsidR="00DB2B68" w:rsidRDefault="00000000">
            <w:r>
              <w:t>Acier inoxydable austéno-ferritique</w:t>
            </w:r>
          </w:p>
        </w:tc>
        <w:tc>
          <w:tcPr>
            <w:tcW w:w="1080" w:type="dxa"/>
            <w:noWrap/>
          </w:tcPr>
          <w:p w14:paraId="44CE0EA1" w14:textId="77777777" w:rsidR="00DB2B68" w:rsidRDefault="00000000">
            <w:pPr>
              <w:jc w:val="center"/>
            </w:pPr>
            <w:r>
              <w:t>L4</w:t>
            </w:r>
          </w:p>
        </w:tc>
        <w:tc>
          <w:tcPr>
            <w:tcW w:w="585" w:type="dxa"/>
            <w:noWrap/>
          </w:tcPr>
          <w:p w14:paraId="301402EB" w14:textId="77777777" w:rsidR="00DB2B68" w:rsidRDefault="00000000">
            <w:pPr>
              <w:jc w:val="center"/>
            </w:pPr>
            <w:r>
              <w:t>U</w:t>
            </w:r>
          </w:p>
        </w:tc>
        <w:tc>
          <w:tcPr>
            <w:tcW w:w="585" w:type="dxa"/>
            <w:noWrap/>
          </w:tcPr>
          <w:p w14:paraId="0AC0AF57" w14:textId="77777777" w:rsidR="00DB2B68" w:rsidRDefault="00000000">
            <w:pPr>
              <w:jc w:val="center"/>
            </w:pPr>
            <w:r>
              <w:t>X</w:t>
            </w:r>
          </w:p>
        </w:tc>
        <w:tc>
          <w:tcPr>
            <w:tcW w:w="585" w:type="dxa"/>
            <w:noWrap/>
          </w:tcPr>
          <w:p w14:paraId="1D135867" w14:textId="77777777" w:rsidR="00DB2B68" w:rsidRDefault="00000000">
            <w:pPr>
              <w:jc w:val="center"/>
            </w:pPr>
            <w:r>
              <w:t>X</w:t>
            </w:r>
          </w:p>
        </w:tc>
        <w:tc>
          <w:tcPr>
            <w:tcW w:w="585" w:type="dxa"/>
            <w:noWrap/>
          </w:tcPr>
          <w:p w14:paraId="0A3318F3" w14:textId="77777777" w:rsidR="00DB2B68" w:rsidRDefault="00000000">
            <w:pPr>
              <w:jc w:val="center"/>
            </w:pPr>
            <w:r>
              <w:t>X</w:t>
            </w:r>
          </w:p>
        </w:tc>
        <w:tc>
          <w:tcPr>
            <w:tcW w:w="585" w:type="dxa"/>
            <w:noWrap/>
          </w:tcPr>
          <w:p w14:paraId="6550D839" w14:textId="77777777" w:rsidR="00DB2B68" w:rsidRDefault="00000000">
            <w:pPr>
              <w:jc w:val="center"/>
            </w:pPr>
            <w:r>
              <w:t>X</w:t>
            </w:r>
          </w:p>
        </w:tc>
      </w:tr>
      <w:tr w:rsidR="00DB2B68" w14:paraId="3DE48779" w14:textId="77777777">
        <w:trPr>
          <w:trHeight w:val="30"/>
        </w:trPr>
        <w:tc>
          <w:tcPr>
            <w:tcW w:w="4965" w:type="dxa"/>
            <w:noWrap/>
          </w:tcPr>
          <w:p w14:paraId="072E84CE" w14:textId="77777777" w:rsidR="00DB2B68" w:rsidRDefault="00000000">
            <w:r>
              <w:t>Composant en acier galvanisé (710 g/m² - galvanisation de 100 µm d’épaisseur)</w:t>
            </w:r>
          </w:p>
        </w:tc>
        <w:tc>
          <w:tcPr>
            <w:tcW w:w="1080" w:type="dxa"/>
            <w:noWrap/>
          </w:tcPr>
          <w:p w14:paraId="1EA98710" w14:textId="77777777" w:rsidR="00DB2B68" w:rsidRDefault="00000000">
            <w:pPr>
              <w:jc w:val="center"/>
            </w:pPr>
            <w:r>
              <w:t>L10</w:t>
            </w:r>
          </w:p>
        </w:tc>
        <w:tc>
          <w:tcPr>
            <w:tcW w:w="585" w:type="dxa"/>
            <w:noWrap/>
          </w:tcPr>
          <w:p w14:paraId="68AF3B70" w14:textId="77777777" w:rsidR="00DB2B68" w:rsidRDefault="00000000">
            <w:pPr>
              <w:jc w:val="center"/>
            </w:pPr>
            <w:r>
              <w:t>U</w:t>
            </w:r>
          </w:p>
        </w:tc>
        <w:tc>
          <w:tcPr>
            <w:tcW w:w="585" w:type="dxa"/>
            <w:noWrap/>
          </w:tcPr>
          <w:p w14:paraId="25883498" w14:textId="77777777" w:rsidR="00DB2B68" w:rsidRDefault="00000000">
            <w:pPr>
              <w:jc w:val="center"/>
            </w:pPr>
            <w:r>
              <w:t>U</w:t>
            </w:r>
          </w:p>
        </w:tc>
        <w:tc>
          <w:tcPr>
            <w:tcW w:w="585" w:type="dxa"/>
            <w:noWrap/>
          </w:tcPr>
          <w:p w14:paraId="75567D30" w14:textId="77777777" w:rsidR="00DB2B68" w:rsidRDefault="00000000">
            <w:pPr>
              <w:jc w:val="center"/>
            </w:pPr>
            <w:r>
              <w:t>U</w:t>
            </w:r>
          </w:p>
        </w:tc>
        <w:tc>
          <w:tcPr>
            <w:tcW w:w="585" w:type="dxa"/>
            <w:noWrap/>
          </w:tcPr>
          <w:p w14:paraId="120D8FB4" w14:textId="77777777" w:rsidR="00DB2B68" w:rsidRDefault="00000000">
            <w:pPr>
              <w:jc w:val="center"/>
            </w:pPr>
            <w:r>
              <w:t>R</w:t>
            </w:r>
          </w:p>
        </w:tc>
        <w:tc>
          <w:tcPr>
            <w:tcW w:w="585" w:type="dxa"/>
            <w:noWrap/>
          </w:tcPr>
          <w:p w14:paraId="2D4EAA35" w14:textId="77777777" w:rsidR="00DB2B68" w:rsidRDefault="00000000">
            <w:pPr>
              <w:jc w:val="center"/>
            </w:pPr>
            <w:r>
              <w:t>X</w:t>
            </w:r>
          </w:p>
        </w:tc>
      </w:tr>
      <w:tr w:rsidR="00DB2B68" w14:paraId="76D6B3F6" w14:textId="77777777">
        <w:trPr>
          <w:trHeight w:val="30"/>
        </w:trPr>
        <w:tc>
          <w:tcPr>
            <w:tcW w:w="4965" w:type="dxa"/>
            <w:noWrap/>
          </w:tcPr>
          <w:p w14:paraId="032E0D18" w14:textId="77777777" w:rsidR="00DB2B68" w:rsidRDefault="00000000">
            <w:r>
              <w:t xml:space="preserve">Composant en acier galvanisé (460 g/m² - </w:t>
            </w:r>
            <w:r>
              <w:lastRenderedPageBreak/>
              <w:t>galvanisation de 65 µm d’épaisseur)</w:t>
            </w:r>
          </w:p>
        </w:tc>
        <w:tc>
          <w:tcPr>
            <w:tcW w:w="1080" w:type="dxa"/>
            <w:noWrap/>
          </w:tcPr>
          <w:p w14:paraId="18B906EC" w14:textId="77777777" w:rsidR="00DB2B68" w:rsidRDefault="00000000">
            <w:pPr>
              <w:jc w:val="center"/>
            </w:pPr>
            <w:r>
              <w:lastRenderedPageBreak/>
              <w:t>L11</w:t>
            </w:r>
          </w:p>
        </w:tc>
        <w:tc>
          <w:tcPr>
            <w:tcW w:w="585" w:type="dxa"/>
            <w:noWrap/>
          </w:tcPr>
          <w:p w14:paraId="0D4B3DDE" w14:textId="77777777" w:rsidR="00DB2B68" w:rsidRDefault="00000000">
            <w:pPr>
              <w:jc w:val="center"/>
            </w:pPr>
            <w:r>
              <w:t>U</w:t>
            </w:r>
          </w:p>
        </w:tc>
        <w:tc>
          <w:tcPr>
            <w:tcW w:w="585" w:type="dxa"/>
            <w:noWrap/>
          </w:tcPr>
          <w:p w14:paraId="1A91259F" w14:textId="77777777" w:rsidR="00DB2B68" w:rsidRDefault="00000000">
            <w:pPr>
              <w:jc w:val="center"/>
            </w:pPr>
            <w:r>
              <w:t>D</w:t>
            </w:r>
          </w:p>
        </w:tc>
        <w:tc>
          <w:tcPr>
            <w:tcW w:w="585" w:type="dxa"/>
            <w:noWrap/>
          </w:tcPr>
          <w:p w14:paraId="4D5D1289" w14:textId="77777777" w:rsidR="00DB2B68" w:rsidRDefault="00000000">
            <w:pPr>
              <w:jc w:val="center"/>
            </w:pPr>
            <w:r>
              <w:t>D</w:t>
            </w:r>
          </w:p>
        </w:tc>
        <w:tc>
          <w:tcPr>
            <w:tcW w:w="585" w:type="dxa"/>
            <w:noWrap/>
          </w:tcPr>
          <w:p w14:paraId="069D0071" w14:textId="77777777" w:rsidR="00DB2B68" w:rsidRDefault="00000000">
            <w:pPr>
              <w:jc w:val="center"/>
            </w:pPr>
            <w:r>
              <w:t>R</w:t>
            </w:r>
          </w:p>
        </w:tc>
        <w:tc>
          <w:tcPr>
            <w:tcW w:w="585" w:type="dxa"/>
            <w:noWrap/>
          </w:tcPr>
          <w:p w14:paraId="5026AD64" w14:textId="77777777" w:rsidR="00DB2B68" w:rsidRDefault="00000000">
            <w:pPr>
              <w:jc w:val="center"/>
            </w:pPr>
            <w:r>
              <w:t>X</w:t>
            </w:r>
          </w:p>
        </w:tc>
      </w:tr>
      <w:tr w:rsidR="00DB2B68" w14:paraId="773129D6" w14:textId="77777777">
        <w:trPr>
          <w:trHeight w:val="30"/>
        </w:trPr>
        <w:tc>
          <w:tcPr>
            <w:tcW w:w="4965" w:type="dxa"/>
            <w:noWrap/>
          </w:tcPr>
          <w:p w14:paraId="25C2CE05" w14:textId="77777777" w:rsidR="00DB2B68" w:rsidRDefault="00000000">
            <w:r>
              <w:t>Composant en acier galvanisé (460 g/m² - galvanisation de 65 µm d’épaisseur) avec un revêtement organique (2 types) sur certaines surfaces</w:t>
            </w:r>
          </w:p>
        </w:tc>
        <w:tc>
          <w:tcPr>
            <w:tcW w:w="1080" w:type="dxa"/>
            <w:noWrap/>
          </w:tcPr>
          <w:p w14:paraId="3D664DCA" w14:textId="77777777" w:rsidR="00DB2B68" w:rsidRDefault="00000000">
            <w:pPr>
              <w:jc w:val="center"/>
            </w:pPr>
            <w:r>
              <w:t>L11.1 L11.2</w:t>
            </w:r>
          </w:p>
        </w:tc>
        <w:tc>
          <w:tcPr>
            <w:tcW w:w="585" w:type="dxa"/>
            <w:noWrap/>
          </w:tcPr>
          <w:p w14:paraId="18C30C29" w14:textId="77777777" w:rsidR="00DB2B68" w:rsidRDefault="00000000">
            <w:pPr>
              <w:jc w:val="center"/>
            </w:pPr>
            <w:r>
              <w:t>U</w:t>
            </w:r>
          </w:p>
        </w:tc>
        <w:tc>
          <w:tcPr>
            <w:tcW w:w="585" w:type="dxa"/>
            <w:noWrap/>
          </w:tcPr>
          <w:p w14:paraId="0DB64934" w14:textId="77777777" w:rsidR="00DB2B68" w:rsidRDefault="00000000">
            <w:pPr>
              <w:jc w:val="center"/>
            </w:pPr>
            <w:r>
              <w:t>U</w:t>
            </w:r>
          </w:p>
        </w:tc>
        <w:tc>
          <w:tcPr>
            <w:tcW w:w="585" w:type="dxa"/>
            <w:noWrap/>
          </w:tcPr>
          <w:p w14:paraId="25230E3C" w14:textId="77777777" w:rsidR="00DB2B68" w:rsidRDefault="00000000">
            <w:pPr>
              <w:jc w:val="center"/>
            </w:pPr>
            <w:r>
              <w:t>U</w:t>
            </w:r>
          </w:p>
        </w:tc>
        <w:tc>
          <w:tcPr>
            <w:tcW w:w="585" w:type="dxa"/>
            <w:noWrap/>
          </w:tcPr>
          <w:p w14:paraId="4CE5CC11" w14:textId="77777777" w:rsidR="00DB2B68" w:rsidRDefault="00000000">
            <w:pPr>
              <w:jc w:val="center"/>
            </w:pPr>
            <w:r>
              <w:t>R</w:t>
            </w:r>
          </w:p>
        </w:tc>
        <w:tc>
          <w:tcPr>
            <w:tcW w:w="585" w:type="dxa"/>
            <w:noWrap/>
          </w:tcPr>
          <w:p w14:paraId="26D291D4" w14:textId="77777777" w:rsidR="00DB2B68" w:rsidRDefault="00000000">
            <w:pPr>
              <w:jc w:val="center"/>
            </w:pPr>
            <w:r>
              <w:t>X</w:t>
            </w:r>
          </w:p>
        </w:tc>
      </w:tr>
      <w:tr w:rsidR="00DB2B68" w14:paraId="2B6FB8F2" w14:textId="77777777">
        <w:trPr>
          <w:trHeight w:val="30"/>
        </w:trPr>
        <w:tc>
          <w:tcPr>
            <w:tcW w:w="4965" w:type="dxa"/>
            <w:noWrap/>
          </w:tcPr>
          <w:p w14:paraId="341EDCF2" w14:textId="77777777" w:rsidR="00DB2B68" w:rsidRDefault="00000000">
            <w:r>
              <w:t>Composant en acier galvanisé (395 g/m² - galvanisation de 55 µm d’épaisseur)</w:t>
            </w:r>
          </w:p>
        </w:tc>
        <w:tc>
          <w:tcPr>
            <w:tcW w:w="1080" w:type="dxa"/>
            <w:noWrap/>
          </w:tcPr>
          <w:p w14:paraId="1F0F0077" w14:textId="77777777" w:rsidR="00DB2B68" w:rsidRDefault="00000000">
            <w:pPr>
              <w:jc w:val="center"/>
            </w:pPr>
            <w:r>
              <w:t>L11A</w:t>
            </w:r>
          </w:p>
        </w:tc>
        <w:tc>
          <w:tcPr>
            <w:tcW w:w="585" w:type="dxa"/>
            <w:noWrap/>
          </w:tcPr>
          <w:p w14:paraId="1D9192D3" w14:textId="77777777" w:rsidR="00DB2B68" w:rsidRDefault="00000000">
            <w:pPr>
              <w:jc w:val="center"/>
            </w:pPr>
            <w:r>
              <w:t>U</w:t>
            </w:r>
          </w:p>
        </w:tc>
        <w:tc>
          <w:tcPr>
            <w:tcW w:w="585" w:type="dxa"/>
            <w:noWrap/>
          </w:tcPr>
          <w:p w14:paraId="74BA67F7" w14:textId="77777777" w:rsidR="00DB2B68" w:rsidRDefault="00000000">
            <w:pPr>
              <w:jc w:val="center"/>
            </w:pPr>
            <w:r>
              <w:t>R</w:t>
            </w:r>
          </w:p>
        </w:tc>
        <w:tc>
          <w:tcPr>
            <w:tcW w:w="585" w:type="dxa"/>
            <w:noWrap/>
          </w:tcPr>
          <w:p w14:paraId="2E335B3A" w14:textId="77777777" w:rsidR="00DB2B68" w:rsidRDefault="00000000">
            <w:pPr>
              <w:jc w:val="center"/>
            </w:pPr>
            <w:r>
              <w:t>R</w:t>
            </w:r>
          </w:p>
        </w:tc>
        <w:tc>
          <w:tcPr>
            <w:tcW w:w="585" w:type="dxa"/>
            <w:noWrap/>
          </w:tcPr>
          <w:p w14:paraId="033F9A83" w14:textId="77777777" w:rsidR="00DB2B68" w:rsidRDefault="00000000">
            <w:pPr>
              <w:jc w:val="center"/>
            </w:pPr>
            <w:r>
              <w:t>R</w:t>
            </w:r>
          </w:p>
        </w:tc>
        <w:tc>
          <w:tcPr>
            <w:tcW w:w="585" w:type="dxa"/>
            <w:noWrap/>
          </w:tcPr>
          <w:p w14:paraId="3A175048" w14:textId="77777777" w:rsidR="00DB2B68" w:rsidRDefault="00000000">
            <w:pPr>
              <w:jc w:val="center"/>
            </w:pPr>
            <w:r>
              <w:t>X</w:t>
            </w:r>
          </w:p>
        </w:tc>
      </w:tr>
      <w:tr w:rsidR="00DB2B68" w14:paraId="505D43BB" w14:textId="77777777">
        <w:trPr>
          <w:trHeight w:val="30"/>
        </w:trPr>
        <w:tc>
          <w:tcPr>
            <w:tcW w:w="4965" w:type="dxa"/>
            <w:noWrap/>
          </w:tcPr>
          <w:p w14:paraId="7816DDC6" w14:textId="77777777" w:rsidR="00DB2B68" w:rsidRDefault="00000000">
            <w:r>
              <w:t>Composant en acier galvanisé (395 g/m² - galvanisation de 55 µm) avec un revêtement organique (2 types) sur toutes les surfaces extérieures du composant fini</w:t>
            </w:r>
          </w:p>
        </w:tc>
        <w:tc>
          <w:tcPr>
            <w:tcW w:w="1080" w:type="dxa"/>
            <w:noWrap/>
          </w:tcPr>
          <w:p w14:paraId="2046E82C" w14:textId="77777777" w:rsidR="00DB2B68" w:rsidRDefault="00000000">
            <w:pPr>
              <w:jc w:val="center"/>
            </w:pPr>
            <w:r>
              <w:t>L11.1A L11.2A</w:t>
            </w:r>
          </w:p>
        </w:tc>
        <w:tc>
          <w:tcPr>
            <w:tcW w:w="585" w:type="dxa"/>
            <w:noWrap/>
          </w:tcPr>
          <w:p w14:paraId="5B45A18C" w14:textId="77777777" w:rsidR="00DB2B68" w:rsidRDefault="00000000">
            <w:pPr>
              <w:jc w:val="center"/>
            </w:pPr>
            <w:r>
              <w:t>U</w:t>
            </w:r>
          </w:p>
        </w:tc>
        <w:tc>
          <w:tcPr>
            <w:tcW w:w="585" w:type="dxa"/>
            <w:noWrap/>
          </w:tcPr>
          <w:p w14:paraId="19534F3A" w14:textId="77777777" w:rsidR="00DB2B68" w:rsidRDefault="00000000">
            <w:pPr>
              <w:jc w:val="center"/>
            </w:pPr>
            <w:r>
              <w:t>U</w:t>
            </w:r>
          </w:p>
        </w:tc>
        <w:tc>
          <w:tcPr>
            <w:tcW w:w="585" w:type="dxa"/>
            <w:noWrap/>
          </w:tcPr>
          <w:p w14:paraId="2C1335F8" w14:textId="77777777" w:rsidR="00DB2B68" w:rsidRDefault="00000000">
            <w:pPr>
              <w:jc w:val="center"/>
            </w:pPr>
            <w:r>
              <w:t>U</w:t>
            </w:r>
          </w:p>
        </w:tc>
        <w:tc>
          <w:tcPr>
            <w:tcW w:w="585" w:type="dxa"/>
            <w:noWrap/>
          </w:tcPr>
          <w:p w14:paraId="780A3306" w14:textId="77777777" w:rsidR="00DB2B68" w:rsidRDefault="00000000">
            <w:pPr>
              <w:jc w:val="center"/>
            </w:pPr>
            <w:r>
              <w:t>R</w:t>
            </w:r>
          </w:p>
        </w:tc>
        <w:tc>
          <w:tcPr>
            <w:tcW w:w="585" w:type="dxa"/>
            <w:noWrap/>
          </w:tcPr>
          <w:p w14:paraId="3A545568" w14:textId="77777777" w:rsidR="00DB2B68" w:rsidRDefault="00000000">
            <w:pPr>
              <w:jc w:val="center"/>
            </w:pPr>
            <w:r>
              <w:t>X</w:t>
            </w:r>
          </w:p>
        </w:tc>
      </w:tr>
      <w:tr w:rsidR="00DB2B68" w14:paraId="21E98B66" w14:textId="77777777">
        <w:trPr>
          <w:trHeight w:val="30"/>
        </w:trPr>
        <w:tc>
          <w:tcPr>
            <w:tcW w:w="4965" w:type="dxa"/>
            <w:noWrap/>
          </w:tcPr>
          <w:p w14:paraId="24FC4BAE" w14:textId="77777777" w:rsidR="00DB2B68" w:rsidRDefault="00000000">
            <w:r>
              <w:t>Tôle ou feuillard d’acier galvanisé (300 g/m² - galvanisation de 42 µm d’épaisseur) avec un revêtement organique (2 types) sur toutes les surfaces extérieures du composant fini</w:t>
            </w:r>
          </w:p>
        </w:tc>
        <w:tc>
          <w:tcPr>
            <w:tcW w:w="1080" w:type="dxa"/>
            <w:noWrap/>
          </w:tcPr>
          <w:p w14:paraId="7DF01784" w14:textId="77777777" w:rsidR="00DB2B68" w:rsidRDefault="00000000">
            <w:pPr>
              <w:jc w:val="center"/>
            </w:pPr>
            <w:r>
              <w:t>L12.1 L12.2</w:t>
            </w:r>
          </w:p>
        </w:tc>
        <w:tc>
          <w:tcPr>
            <w:tcW w:w="585" w:type="dxa"/>
            <w:noWrap/>
          </w:tcPr>
          <w:p w14:paraId="7EC323D4" w14:textId="77777777" w:rsidR="00DB2B68" w:rsidRDefault="00000000">
            <w:pPr>
              <w:jc w:val="center"/>
            </w:pPr>
            <w:r>
              <w:t>U</w:t>
            </w:r>
          </w:p>
        </w:tc>
        <w:tc>
          <w:tcPr>
            <w:tcW w:w="585" w:type="dxa"/>
            <w:noWrap/>
          </w:tcPr>
          <w:p w14:paraId="1F42660B" w14:textId="77777777" w:rsidR="00DB2B68" w:rsidRDefault="00000000">
            <w:pPr>
              <w:jc w:val="center"/>
            </w:pPr>
            <w:r>
              <w:t>U</w:t>
            </w:r>
          </w:p>
        </w:tc>
        <w:tc>
          <w:tcPr>
            <w:tcW w:w="585" w:type="dxa"/>
            <w:noWrap/>
          </w:tcPr>
          <w:p w14:paraId="5151685F" w14:textId="77777777" w:rsidR="00DB2B68" w:rsidRDefault="00000000">
            <w:pPr>
              <w:jc w:val="center"/>
            </w:pPr>
            <w:r>
              <w:t>U</w:t>
            </w:r>
          </w:p>
        </w:tc>
        <w:tc>
          <w:tcPr>
            <w:tcW w:w="585" w:type="dxa"/>
            <w:noWrap/>
          </w:tcPr>
          <w:p w14:paraId="3B1DDD14" w14:textId="77777777" w:rsidR="00DB2B68" w:rsidRDefault="00000000">
            <w:pPr>
              <w:jc w:val="center"/>
            </w:pPr>
            <w:r>
              <w:t>R</w:t>
            </w:r>
          </w:p>
        </w:tc>
        <w:tc>
          <w:tcPr>
            <w:tcW w:w="585" w:type="dxa"/>
            <w:noWrap/>
          </w:tcPr>
          <w:p w14:paraId="03B71692" w14:textId="77777777" w:rsidR="00DB2B68" w:rsidRDefault="00000000">
            <w:pPr>
              <w:jc w:val="center"/>
            </w:pPr>
            <w:r>
              <w:t>X</w:t>
            </w:r>
          </w:p>
        </w:tc>
      </w:tr>
      <w:tr w:rsidR="00DB2B68" w14:paraId="36FA02A6" w14:textId="77777777">
        <w:trPr>
          <w:trHeight w:val="30"/>
        </w:trPr>
        <w:tc>
          <w:tcPr>
            <w:tcW w:w="4965" w:type="dxa"/>
            <w:noWrap/>
          </w:tcPr>
          <w:p w14:paraId="17958FEA" w14:textId="77777777" w:rsidR="00DB2B68" w:rsidRDefault="00000000">
            <w:r>
              <w:t>Tôle ou feuillard d’acier galvanisé (300 g/m² - galvanisation de 42 µm d’épaisseur) avec un revêtement organique sur tous les bords de coupe</w:t>
            </w:r>
          </w:p>
        </w:tc>
        <w:tc>
          <w:tcPr>
            <w:tcW w:w="1080" w:type="dxa"/>
            <w:noWrap/>
          </w:tcPr>
          <w:p w14:paraId="5FBEBEE6" w14:textId="77777777" w:rsidR="00DB2B68" w:rsidRDefault="00000000">
            <w:pPr>
              <w:jc w:val="center"/>
            </w:pPr>
            <w:r>
              <w:t>L14</w:t>
            </w:r>
          </w:p>
        </w:tc>
        <w:tc>
          <w:tcPr>
            <w:tcW w:w="585" w:type="dxa"/>
            <w:noWrap/>
          </w:tcPr>
          <w:p w14:paraId="33AE74EB" w14:textId="77777777" w:rsidR="00DB2B68" w:rsidRDefault="00000000">
            <w:pPr>
              <w:jc w:val="center"/>
            </w:pPr>
            <w:r>
              <w:t>U</w:t>
            </w:r>
          </w:p>
        </w:tc>
        <w:tc>
          <w:tcPr>
            <w:tcW w:w="585" w:type="dxa"/>
            <w:noWrap/>
          </w:tcPr>
          <w:p w14:paraId="46C81C69" w14:textId="77777777" w:rsidR="00DB2B68" w:rsidRDefault="00000000">
            <w:pPr>
              <w:jc w:val="center"/>
            </w:pPr>
            <w:r>
              <w:t>D</w:t>
            </w:r>
          </w:p>
        </w:tc>
        <w:tc>
          <w:tcPr>
            <w:tcW w:w="585" w:type="dxa"/>
            <w:noWrap/>
          </w:tcPr>
          <w:p w14:paraId="05F6B51A" w14:textId="77777777" w:rsidR="00DB2B68" w:rsidRDefault="00000000">
            <w:pPr>
              <w:jc w:val="center"/>
            </w:pPr>
            <w:r>
              <w:t>D</w:t>
            </w:r>
          </w:p>
        </w:tc>
        <w:tc>
          <w:tcPr>
            <w:tcW w:w="585" w:type="dxa"/>
            <w:noWrap/>
          </w:tcPr>
          <w:p w14:paraId="648E4876" w14:textId="77777777" w:rsidR="00DB2B68" w:rsidRDefault="00000000">
            <w:pPr>
              <w:jc w:val="center"/>
            </w:pPr>
            <w:r>
              <w:t>R</w:t>
            </w:r>
          </w:p>
        </w:tc>
        <w:tc>
          <w:tcPr>
            <w:tcW w:w="585" w:type="dxa"/>
            <w:noWrap/>
          </w:tcPr>
          <w:p w14:paraId="417EC28A" w14:textId="77777777" w:rsidR="00DB2B68" w:rsidRDefault="00000000">
            <w:pPr>
              <w:jc w:val="center"/>
            </w:pPr>
            <w:r>
              <w:t>X</w:t>
            </w:r>
          </w:p>
        </w:tc>
      </w:tr>
      <w:tr w:rsidR="00DB2B68" w14:paraId="24CAEE05" w14:textId="77777777">
        <w:trPr>
          <w:trHeight w:val="30"/>
        </w:trPr>
        <w:tc>
          <w:tcPr>
            <w:tcW w:w="4965" w:type="dxa"/>
            <w:noWrap/>
          </w:tcPr>
          <w:p w14:paraId="30445DF7" w14:textId="77777777" w:rsidR="00DB2B68" w:rsidRDefault="00000000">
            <w:r>
              <w:t>Tôle ou feuillard d’acier galvanisé (137 g/m² - galvanisation de 19 µm d’épaisseur) avec un revêtement organique (type 1) sur toutes les surfaces extérieures du composant fini</w:t>
            </w:r>
          </w:p>
        </w:tc>
        <w:tc>
          <w:tcPr>
            <w:tcW w:w="1080" w:type="dxa"/>
            <w:noWrap/>
          </w:tcPr>
          <w:p w14:paraId="49D5A765" w14:textId="77777777" w:rsidR="00DB2B68" w:rsidRDefault="00000000">
            <w:pPr>
              <w:jc w:val="center"/>
            </w:pPr>
            <w:r>
              <w:t>L16.1</w:t>
            </w:r>
          </w:p>
        </w:tc>
        <w:tc>
          <w:tcPr>
            <w:tcW w:w="585" w:type="dxa"/>
            <w:noWrap/>
          </w:tcPr>
          <w:p w14:paraId="24839F4A" w14:textId="77777777" w:rsidR="00DB2B68" w:rsidRDefault="00000000">
            <w:pPr>
              <w:jc w:val="center"/>
            </w:pPr>
            <w:r>
              <w:t>U</w:t>
            </w:r>
          </w:p>
        </w:tc>
        <w:tc>
          <w:tcPr>
            <w:tcW w:w="585" w:type="dxa"/>
            <w:noWrap/>
          </w:tcPr>
          <w:p w14:paraId="6882AC4D" w14:textId="77777777" w:rsidR="00DB2B68" w:rsidRDefault="00000000">
            <w:pPr>
              <w:jc w:val="center"/>
            </w:pPr>
            <w:r>
              <w:t>D</w:t>
            </w:r>
          </w:p>
        </w:tc>
        <w:tc>
          <w:tcPr>
            <w:tcW w:w="585" w:type="dxa"/>
            <w:noWrap/>
          </w:tcPr>
          <w:p w14:paraId="7818FEAE" w14:textId="77777777" w:rsidR="00DB2B68" w:rsidRDefault="00000000">
            <w:pPr>
              <w:jc w:val="center"/>
            </w:pPr>
            <w:r>
              <w:t>D</w:t>
            </w:r>
          </w:p>
        </w:tc>
        <w:tc>
          <w:tcPr>
            <w:tcW w:w="585" w:type="dxa"/>
            <w:noWrap/>
          </w:tcPr>
          <w:p w14:paraId="71EF4AF3" w14:textId="77777777" w:rsidR="00DB2B68" w:rsidRDefault="00000000">
            <w:pPr>
              <w:jc w:val="center"/>
            </w:pPr>
            <w:r>
              <w:t>R</w:t>
            </w:r>
          </w:p>
        </w:tc>
        <w:tc>
          <w:tcPr>
            <w:tcW w:w="585" w:type="dxa"/>
            <w:noWrap/>
          </w:tcPr>
          <w:p w14:paraId="041B424B" w14:textId="77777777" w:rsidR="00DB2B68" w:rsidRDefault="00000000">
            <w:pPr>
              <w:jc w:val="center"/>
            </w:pPr>
            <w:r>
              <w:t>X</w:t>
            </w:r>
          </w:p>
        </w:tc>
      </w:tr>
      <w:tr w:rsidR="00DB2B68" w14:paraId="5589CDA8" w14:textId="77777777">
        <w:trPr>
          <w:trHeight w:val="30"/>
        </w:trPr>
        <w:tc>
          <w:tcPr>
            <w:tcW w:w="4965" w:type="dxa"/>
            <w:noWrap/>
          </w:tcPr>
          <w:p w14:paraId="181A0731" w14:textId="77777777" w:rsidR="00DB2B68" w:rsidRDefault="00000000">
            <w:r>
              <w:t>Tôle ou feuillard d’acier galvanisé (137 g/m² - galvanisation de 19 µm d’épaisseur) avec un revêtement organique (type 2) sur toutes les surfaces extérieures du composant fini</w:t>
            </w:r>
          </w:p>
        </w:tc>
        <w:tc>
          <w:tcPr>
            <w:tcW w:w="1080" w:type="dxa"/>
            <w:noWrap/>
          </w:tcPr>
          <w:p w14:paraId="3992A051" w14:textId="77777777" w:rsidR="00DB2B68" w:rsidRDefault="00000000">
            <w:pPr>
              <w:jc w:val="center"/>
            </w:pPr>
            <w:r>
              <w:t>L16.2</w:t>
            </w:r>
          </w:p>
        </w:tc>
        <w:tc>
          <w:tcPr>
            <w:tcW w:w="585" w:type="dxa"/>
            <w:noWrap/>
          </w:tcPr>
          <w:p w14:paraId="491D2223" w14:textId="77777777" w:rsidR="00DB2B68" w:rsidRDefault="00000000">
            <w:pPr>
              <w:jc w:val="center"/>
            </w:pPr>
            <w:r>
              <w:t>U</w:t>
            </w:r>
          </w:p>
        </w:tc>
        <w:tc>
          <w:tcPr>
            <w:tcW w:w="585" w:type="dxa"/>
            <w:noWrap/>
          </w:tcPr>
          <w:p w14:paraId="7DB362F7" w14:textId="77777777" w:rsidR="00DB2B68" w:rsidRDefault="00000000">
            <w:pPr>
              <w:jc w:val="center"/>
            </w:pPr>
            <w:r>
              <w:t>U</w:t>
            </w:r>
          </w:p>
        </w:tc>
        <w:tc>
          <w:tcPr>
            <w:tcW w:w="585" w:type="dxa"/>
            <w:noWrap/>
          </w:tcPr>
          <w:p w14:paraId="65E89E28" w14:textId="77777777" w:rsidR="00DB2B68" w:rsidRDefault="00000000">
            <w:pPr>
              <w:jc w:val="center"/>
            </w:pPr>
            <w:r>
              <w:t>U</w:t>
            </w:r>
          </w:p>
        </w:tc>
        <w:tc>
          <w:tcPr>
            <w:tcW w:w="585" w:type="dxa"/>
            <w:noWrap/>
          </w:tcPr>
          <w:p w14:paraId="28084B42" w14:textId="77777777" w:rsidR="00DB2B68" w:rsidRDefault="00000000">
            <w:pPr>
              <w:jc w:val="center"/>
            </w:pPr>
            <w:r>
              <w:t>R</w:t>
            </w:r>
          </w:p>
        </w:tc>
        <w:tc>
          <w:tcPr>
            <w:tcW w:w="585" w:type="dxa"/>
            <w:noWrap/>
          </w:tcPr>
          <w:p w14:paraId="613BFDF0" w14:textId="77777777" w:rsidR="00DB2B68" w:rsidRDefault="00000000">
            <w:pPr>
              <w:jc w:val="center"/>
            </w:pPr>
            <w:r>
              <w:t>X</w:t>
            </w:r>
          </w:p>
        </w:tc>
      </w:tr>
      <w:tr w:rsidR="00DB2B68" w14:paraId="70629FAC" w14:textId="77777777">
        <w:trPr>
          <w:trHeight w:val="30"/>
        </w:trPr>
        <w:tc>
          <w:tcPr>
            <w:tcW w:w="4965" w:type="dxa"/>
            <w:noWrap/>
          </w:tcPr>
          <w:p w14:paraId="22A38E55" w14:textId="77777777" w:rsidR="00DB2B68" w:rsidRDefault="00000000">
            <w:r>
              <w:t>Acier inoxydable austéno-ferritique</w:t>
            </w:r>
          </w:p>
        </w:tc>
        <w:tc>
          <w:tcPr>
            <w:tcW w:w="1080" w:type="dxa"/>
            <w:noWrap/>
          </w:tcPr>
          <w:p w14:paraId="779826B8" w14:textId="77777777" w:rsidR="00DB2B68" w:rsidRDefault="00000000">
            <w:pPr>
              <w:jc w:val="center"/>
            </w:pPr>
            <w:r>
              <w:t>L23</w:t>
            </w:r>
          </w:p>
        </w:tc>
        <w:tc>
          <w:tcPr>
            <w:tcW w:w="585" w:type="dxa"/>
            <w:noWrap/>
          </w:tcPr>
          <w:p w14:paraId="23126ADD" w14:textId="77777777" w:rsidR="00DB2B68" w:rsidRDefault="00000000">
            <w:pPr>
              <w:jc w:val="center"/>
            </w:pPr>
            <w:r>
              <w:t>U</w:t>
            </w:r>
          </w:p>
        </w:tc>
        <w:tc>
          <w:tcPr>
            <w:tcW w:w="585" w:type="dxa"/>
            <w:noWrap/>
          </w:tcPr>
          <w:p w14:paraId="149A6A3E" w14:textId="77777777" w:rsidR="00DB2B68" w:rsidRDefault="00000000">
            <w:pPr>
              <w:jc w:val="center"/>
            </w:pPr>
            <w:r>
              <w:t>X</w:t>
            </w:r>
          </w:p>
        </w:tc>
        <w:tc>
          <w:tcPr>
            <w:tcW w:w="585" w:type="dxa"/>
            <w:noWrap/>
          </w:tcPr>
          <w:p w14:paraId="02EA8AB8" w14:textId="77777777" w:rsidR="00DB2B68" w:rsidRDefault="00000000">
            <w:pPr>
              <w:jc w:val="center"/>
            </w:pPr>
            <w:r>
              <w:t>X</w:t>
            </w:r>
          </w:p>
        </w:tc>
        <w:tc>
          <w:tcPr>
            <w:tcW w:w="585" w:type="dxa"/>
            <w:noWrap/>
          </w:tcPr>
          <w:p w14:paraId="7AD85F2D" w14:textId="77777777" w:rsidR="00DB2B68" w:rsidRDefault="00000000">
            <w:pPr>
              <w:jc w:val="center"/>
            </w:pPr>
            <w:r>
              <w:t>X</w:t>
            </w:r>
          </w:p>
        </w:tc>
        <w:tc>
          <w:tcPr>
            <w:tcW w:w="585" w:type="dxa"/>
            <w:noWrap/>
          </w:tcPr>
          <w:p w14:paraId="59C8333D" w14:textId="77777777" w:rsidR="00DB2B68" w:rsidRDefault="00000000">
            <w:pPr>
              <w:jc w:val="center"/>
            </w:pPr>
            <w:r>
              <w:t>X</w:t>
            </w:r>
          </w:p>
        </w:tc>
      </w:tr>
      <w:tr w:rsidR="00DB2B68" w14:paraId="509179C3" w14:textId="77777777">
        <w:trPr>
          <w:trHeight w:val="30"/>
        </w:trPr>
        <w:tc>
          <w:tcPr>
            <w:tcW w:w="4965" w:type="dxa"/>
            <w:noWrap/>
          </w:tcPr>
          <w:p w14:paraId="129474A3" w14:textId="77777777" w:rsidR="00DB2B68" w:rsidRDefault="00000000">
            <w:r>
              <w:t>Béton (</w:t>
            </w:r>
            <w:r>
              <w:rPr>
                <w:vertAlign w:val="superscript"/>
              </w:rPr>
              <w:t>3</w:t>
            </w:r>
            <w:r>
              <w:t>) ou béton et maçonnerie</w:t>
            </w:r>
          </w:p>
        </w:tc>
        <w:tc>
          <w:tcPr>
            <w:tcW w:w="1080" w:type="dxa"/>
            <w:noWrap/>
          </w:tcPr>
          <w:p w14:paraId="644B3B19" w14:textId="77777777" w:rsidR="00DB2B68" w:rsidRDefault="00000000">
            <w:pPr>
              <w:jc w:val="center"/>
            </w:pPr>
            <w:r>
              <w:t>A</w:t>
            </w:r>
          </w:p>
        </w:tc>
        <w:tc>
          <w:tcPr>
            <w:tcW w:w="585" w:type="dxa"/>
            <w:noWrap/>
          </w:tcPr>
          <w:p w14:paraId="35271C87" w14:textId="77777777" w:rsidR="00DB2B68" w:rsidRDefault="00000000">
            <w:pPr>
              <w:jc w:val="center"/>
            </w:pPr>
            <w:r>
              <w:t>U</w:t>
            </w:r>
          </w:p>
        </w:tc>
        <w:tc>
          <w:tcPr>
            <w:tcW w:w="585" w:type="dxa"/>
            <w:noWrap/>
          </w:tcPr>
          <w:p w14:paraId="387E36D8" w14:textId="77777777" w:rsidR="00DB2B68" w:rsidRDefault="00000000">
            <w:pPr>
              <w:jc w:val="center"/>
            </w:pPr>
            <w:r>
              <w:t>U</w:t>
            </w:r>
          </w:p>
        </w:tc>
        <w:tc>
          <w:tcPr>
            <w:tcW w:w="585" w:type="dxa"/>
            <w:noWrap/>
          </w:tcPr>
          <w:p w14:paraId="5D0AC11A" w14:textId="77777777" w:rsidR="00DB2B68" w:rsidRDefault="00000000">
            <w:pPr>
              <w:jc w:val="center"/>
            </w:pPr>
            <w:r>
              <w:t>R</w:t>
            </w:r>
          </w:p>
        </w:tc>
        <w:tc>
          <w:tcPr>
            <w:tcW w:w="585" w:type="dxa"/>
            <w:noWrap/>
          </w:tcPr>
          <w:p w14:paraId="009EEAF9" w14:textId="77777777" w:rsidR="00DB2B68" w:rsidRDefault="00000000">
            <w:pPr>
              <w:jc w:val="center"/>
            </w:pPr>
            <w:r>
              <w:t>R</w:t>
            </w:r>
          </w:p>
        </w:tc>
        <w:tc>
          <w:tcPr>
            <w:tcW w:w="585" w:type="dxa"/>
            <w:noWrap/>
          </w:tcPr>
          <w:p w14:paraId="6BA914D7" w14:textId="77777777" w:rsidR="00DB2B68" w:rsidRDefault="00000000">
            <w:pPr>
              <w:jc w:val="center"/>
            </w:pPr>
            <w:r>
              <w:t>R</w:t>
            </w:r>
          </w:p>
        </w:tc>
      </w:tr>
      <w:tr w:rsidR="00DB2B68" w14:paraId="69D74DE0" w14:textId="77777777">
        <w:trPr>
          <w:trHeight w:val="30"/>
        </w:trPr>
        <w:tc>
          <w:tcPr>
            <w:tcW w:w="4965" w:type="dxa"/>
            <w:noWrap/>
          </w:tcPr>
          <w:p w14:paraId="77F90461" w14:textId="77777777" w:rsidR="00DB2B68" w:rsidRDefault="00000000">
            <w:r>
              <w:t>Béton (</w:t>
            </w:r>
            <w:r>
              <w:rPr>
                <w:vertAlign w:val="superscript"/>
              </w:rPr>
              <w:t>3</w:t>
            </w:r>
            <w:r>
              <w:t>) ou béton et maçonnerie</w:t>
            </w:r>
          </w:p>
        </w:tc>
        <w:tc>
          <w:tcPr>
            <w:tcW w:w="1080" w:type="dxa"/>
            <w:noWrap/>
          </w:tcPr>
          <w:p w14:paraId="2729F593" w14:textId="77777777" w:rsidR="00DB2B68" w:rsidRDefault="00000000">
            <w:pPr>
              <w:jc w:val="center"/>
            </w:pPr>
            <w:r>
              <w:t>B</w:t>
            </w:r>
          </w:p>
        </w:tc>
        <w:tc>
          <w:tcPr>
            <w:tcW w:w="585" w:type="dxa"/>
            <w:noWrap/>
          </w:tcPr>
          <w:p w14:paraId="0FBED774" w14:textId="77777777" w:rsidR="00DB2B68" w:rsidRDefault="00000000">
            <w:pPr>
              <w:jc w:val="center"/>
            </w:pPr>
            <w:r>
              <w:t>U</w:t>
            </w:r>
          </w:p>
        </w:tc>
        <w:tc>
          <w:tcPr>
            <w:tcW w:w="585" w:type="dxa"/>
            <w:noWrap/>
          </w:tcPr>
          <w:p w14:paraId="275C48D2" w14:textId="77777777" w:rsidR="00DB2B68" w:rsidRDefault="00000000">
            <w:pPr>
              <w:jc w:val="center"/>
            </w:pPr>
            <w:r>
              <w:t>U</w:t>
            </w:r>
          </w:p>
        </w:tc>
        <w:tc>
          <w:tcPr>
            <w:tcW w:w="585" w:type="dxa"/>
            <w:noWrap/>
          </w:tcPr>
          <w:p w14:paraId="1A62654D" w14:textId="77777777" w:rsidR="00DB2B68" w:rsidRDefault="00000000">
            <w:pPr>
              <w:jc w:val="center"/>
            </w:pPr>
            <w:r>
              <w:t>R</w:t>
            </w:r>
          </w:p>
        </w:tc>
        <w:tc>
          <w:tcPr>
            <w:tcW w:w="585" w:type="dxa"/>
            <w:noWrap/>
          </w:tcPr>
          <w:p w14:paraId="4BD4F99D" w14:textId="77777777" w:rsidR="00DB2B68" w:rsidRDefault="00000000">
            <w:pPr>
              <w:jc w:val="center"/>
            </w:pPr>
            <w:r>
              <w:t>R</w:t>
            </w:r>
          </w:p>
        </w:tc>
        <w:tc>
          <w:tcPr>
            <w:tcW w:w="585" w:type="dxa"/>
            <w:noWrap/>
          </w:tcPr>
          <w:p w14:paraId="4478D02E" w14:textId="77777777" w:rsidR="00DB2B68" w:rsidRDefault="00000000">
            <w:pPr>
              <w:jc w:val="center"/>
            </w:pPr>
            <w:r>
              <w:t>X</w:t>
            </w:r>
          </w:p>
        </w:tc>
      </w:tr>
      <w:tr w:rsidR="00DB2B68" w14:paraId="2F7B0EEC" w14:textId="77777777">
        <w:trPr>
          <w:trHeight w:val="30"/>
        </w:trPr>
        <w:tc>
          <w:tcPr>
            <w:tcW w:w="4965" w:type="dxa"/>
            <w:noWrap/>
          </w:tcPr>
          <w:p w14:paraId="03D36A10" w14:textId="77777777" w:rsidR="00DB2B68" w:rsidRDefault="00000000">
            <w:r>
              <w:t>Béton (</w:t>
            </w:r>
            <w:r>
              <w:rPr>
                <w:vertAlign w:val="superscript"/>
              </w:rPr>
              <w:t>3</w:t>
            </w:r>
            <w:r>
              <w:t>) ou béton et maçonnerie</w:t>
            </w:r>
          </w:p>
        </w:tc>
        <w:tc>
          <w:tcPr>
            <w:tcW w:w="1080" w:type="dxa"/>
            <w:noWrap/>
          </w:tcPr>
          <w:p w14:paraId="60989990" w14:textId="77777777" w:rsidR="00DB2B68" w:rsidRDefault="00000000">
            <w:pPr>
              <w:jc w:val="center"/>
            </w:pPr>
            <w:r>
              <w:t>C</w:t>
            </w:r>
          </w:p>
        </w:tc>
        <w:tc>
          <w:tcPr>
            <w:tcW w:w="585" w:type="dxa"/>
            <w:noWrap/>
          </w:tcPr>
          <w:p w14:paraId="59481A87" w14:textId="77777777" w:rsidR="00DB2B68" w:rsidRDefault="00000000">
            <w:pPr>
              <w:jc w:val="center"/>
            </w:pPr>
            <w:r>
              <w:t>U</w:t>
            </w:r>
          </w:p>
        </w:tc>
        <w:tc>
          <w:tcPr>
            <w:tcW w:w="585" w:type="dxa"/>
            <w:noWrap/>
          </w:tcPr>
          <w:p w14:paraId="3E2E987E" w14:textId="77777777" w:rsidR="00DB2B68" w:rsidRDefault="00000000">
            <w:pPr>
              <w:jc w:val="center"/>
            </w:pPr>
            <w:r>
              <w:t>U</w:t>
            </w:r>
          </w:p>
        </w:tc>
        <w:tc>
          <w:tcPr>
            <w:tcW w:w="585" w:type="dxa"/>
            <w:noWrap/>
          </w:tcPr>
          <w:p w14:paraId="1C9CDF62" w14:textId="77777777" w:rsidR="00DB2B68" w:rsidRDefault="00000000">
            <w:pPr>
              <w:jc w:val="center"/>
            </w:pPr>
            <w:r>
              <w:t>R</w:t>
            </w:r>
          </w:p>
        </w:tc>
        <w:tc>
          <w:tcPr>
            <w:tcW w:w="585" w:type="dxa"/>
            <w:noWrap/>
          </w:tcPr>
          <w:p w14:paraId="493282A0" w14:textId="77777777" w:rsidR="00DB2B68" w:rsidRDefault="00000000">
            <w:pPr>
              <w:jc w:val="center"/>
            </w:pPr>
            <w:r>
              <w:t>X</w:t>
            </w:r>
          </w:p>
        </w:tc>
        <w:tc>
          <w:tcPr>
            <w:tcW w:w="585" w:type="dxa"/>
            <w:noWrap/>
          </w:tcPr>
          <w:p w14:paraId="31CA0DAA" w14:textId="77777777" w:rsidR="00DB2B68" w:rsidRDefault="00000000">
            <w:pPr>
              <w:jc w:val="center"/>
            </w:pPr>
            <w:r>
              <w:t>X</w:t>
            </w:r>
          </w:p>
        </w:tc>
      </w:tr>
      <w:tr w:rsidR="00DB2B68" w14:paraId="66C60645" w14:textId="77777777">
        <w:trPr>
          <w:trHeight w:val="30"/>
        </w:trPr>
        <w:tc>
          <w:tcPr>
            <w:tcW w:w="4965" w:type="dxa"/>
            <w:noWrap/>
          </w:tcPr>
          <w:p w14:paraId="1EF8373F" w14:textId="77777777" w:rsidR="00DB2B68" w:rsidRDefault="00000000">
            <w:r>
              <w:t>Béton (</w:t>
            </w:r>
            <w:r>
              <w:rPr>
                <w:vertAlign w:val="superscript"/>
              </w:rPr>
              <w:t>3</w:t>
            </w:r>
            <w:r>
              <w:t>) ou béton et maçonnerie</w:t>
            </w:r>
          </w:p>
        </w:tc>
        <w:tc>
          <w:tcPr>
            <w:tcW w:w="1080" w:type="dxa"/>
            <w:noWrap/>
          </w:tcPr>
          <w:p w14:paraId="336C389D" w14:textId="77777777" w:rsidR="00DB2B68" w:rsidRDefault="00000000">
            <w:pPr>
              <w:jc w:val="center"/>
            </w:pPr>
            <w:r>
              <w:t>D</w:t>
            </w:r>
          </w:p>
        </w:tc>
        <w:tc>
          <w:tcPr>
            <w:tcW w:w="585" w:type="dxa"/>
            <w:noWrap/>
          </w:tcPr>
          <w:p w14:paraId="59C4B8DF" w14:textId="77777777" w:rsidR="00DB2B68" w:rsidRDefault="00000000">
            <w:pPr>
              <w:jc w:val="center"/>
            </w:pPr>
            <w:r>
              <w:t>U</w:t>
            </w:r>
          </w:p>
        </w:tc>
        <w:tc>
          <w:tcPr>
            <w:tcW w:w="585" w:type="dxa"/>
            <w:noWrap/>
          </w:tcPr>
          <w:p w14:paraId="6AF53B0B" w14:textId="77777777" w:rsidR="00DB2B68" w:rsidRDefault="00000000">
            <w:pPr>
              <w:jc w:val="center"/>
            </w:pPr>
            <w:r>
              <w:t>U</w:t>
            </w:r>
          </w:p>
        </w:tc>
        <w:tc>
          <w:tcPr>
            <w:tcW w:w="585" w:type="dxa"/>
            <w:noWrap/>
          </w:tcPr>
          <w:p w14:paraId="5CE714BF" w14:textId="77777777" w:rsidR="00DB2B68" w:rsidRDefault="00000000">
            <w:pPr>
              <w:jc w:val="center"/>
            </w:pPr>
            <w:r>
              <w:t>X</w:t>
            </w:r>
          </w:p>
        </w:tc>
        <w:tc>
          <w:tcPr>
            <w:tcW w:w="585" w:type="dxa"/>
            <w:noWrap/>
          </w:tcPr>
          <w:p w14:paraId="2813D80D" w14:textId="77777777" w:rsidR="00DB2B68" w:rsidRDefault="00000000">
            <w:pPr>
              <w:jc w:val="center"/>
            </w:pPr>
            <w:r>
              <w:t>X</w:t>
            </w:r>
          </w:p>
        </w:tc>
        <w:tc>
          <w:tcPr>
            <w:tcW w:w="585" w:type="dxa"/>
            <w:noWrap/>
          </w:tcPr>
          <w:p w14:paraId="1C543D72" w14:textId="77777777" w:rsidR="00DB2B68" w:rsidRDefault="00000000">
            <w:pPr>
              <w:jc w:val="center"/>
            </w:pPr>
            <w:r>
              <w:t>X</w:t>
            </w:r>
          </w:p>
        </w:tc>
      </w:tr>
      <w:tr w:rsidR="00DB2B68" w14:paraId="2B986DD3" w14:textId="77777777">
        <w:trPr>
          <w:trHeight w:val="30"/>
        </w:trPr>
        <w:tc>
          <w:tcPr>
            <w:tcW w:w="4965" w:type="dxa"/>
            <w:noWrap/>
          </w:tcPr>
          <w:p w14:paraId="55EB6653" w14:textId="77777777" w:rsidR="00DB2B68" w:rsidRDefault="00000000">
            <w:r>
              <w:t>Béton (</w:t>
            </w:r>
            <w:r>
              <w:rPr>
                <w:vertAlign w:val="superscript"/>
              </w:rPr>
              <w:t>3</w:t>
            </w:r>
            <w:r>
              <w:t>) ou béton et maçonnerie</w:t>
            </w:r>
          </w:p>
        </w:tc>
        <w:tc>
          <w:tcPr>
            <w:tcW w:w="1080" w:type="dxa"/>
            <w:noWrap/>
          </w:tcPr>
          <w:p w14:paraId="42C14F26" w14:textId="77777777" w:rsidR="00DB2B68" w:rsidRDefault="00000000">
            <w:pPr>
              <w:jc w:val="center"/>
            </w:pPr>
            <w:r>
              <w:t>E</w:t>
            </w:r>
          </w:p>
        </w:tc>
        <w:tc>
          <w:tcPr>
            <w:tcW w:w="585" w:type="dxa"/>
            <w:noWrap/>
          </w:tcPr>
          <w:p w14:paraId="0D064C36" w14:textId="77777777" w:rsidR="00DB2B68" w:rsidRDefault="00000000">
            <w:pPr>
              <w:jc w:val="center"/>
            </w:pPr>
            <w:r>
              <w:t>U</w:t>
            </w:r>
          </w:p>
        </w:tc>
        <w:tc>
          <w:tcPr>
            <w:tcW w:w="585" w:type="dxa"/>
            <w:noWrap/>
          </w:tcPr>
          <w:p w14:paraId="45A65A35" w14:textId="77777777" w:rsidR="00DB2B68" w:rsidRDefault="00000000">
            <w:pPr>
              <w:jc w:val="center"/>
            </w:pPr>
            <w:r>
              <w:t>X</w:t>
            </w:r>
          </w:p>
        </w:tc>
        <w:tc>
          <w:tcPr>
            <w:tcW w:w="585" w:type="dxa"/>
            <w:noWrap/>
          </w:tcPr>
          <w:p w14:paraId="19DF6BA3" w14:textId="77777777" w:rsidR="00DB2B68" w:rsidRDefault="00000000">
            <w:pPr>
              <w:jc w:val="center"/>
            </w:pPr>
            <w:r>
              <w:t>X</w:t>
            </w:r>
          </w:p>
        </w:tc>
        <w:tc>
          <w:tcPr>
            <w:tcW w:w="585" w:type="dxa"/>
            <w:noWrap/>
          </w:tcPr>
          <w:p w14:paraId="2B311186" w14:textId="77777777" w:rsidR="00DB2B68" w:rsidRDefault="00000000">
            <w:pPr>
              <w:jc w:val="center"/>
            </w:pPr>
            <w:r>
              <w:t>X</w:t>
            </w:r>
          </w:p>
        </w:tc>
        <w:tc>
          <w:tcPr>
            <w:tcW w:w="585" w:type="dxa"/>
            <w:noWrap/>
          </w:tcPr>
          <w:p w14:paraId="147A1C32" w14:textId="77777777" w:rsidR="00DB2B68" w:rsidRDefault="00000000">
            <w:pPr>
              <w:jc w:val="center"/>
            </w:pPr>
            <w:r>
              <w:t>X</w:t>
            </w:r>
          </w:p>
        </w:tc>
      </w:tr>
      <w:tr w:rsidR="00DB2B68" w14:paraId="6048CCC4" w14:textId="77777777">
        <w:trPr>
          <w:trHeight w:val="30"/>
        </w:trPr>
        <w:tc>
          <w:tcPr>
            <w:tcW w:w="4965" w:type="dxa"/>
            <w:noWrap/>
          </w:tcPr>
          <w:p w14:paraId="11BA1252" w14:textId="77777777" w:rsidR="00DB2B68" w:rsidRDefault="00000000">
            <w:r>
              <w:t>Béton (</w:t>
            </w:r>
            <w:r>
              <w:rPr>
                <w:vertAlign w:val="superscript"/>
              </w:rPr>
              <w:t>3</w:t>
            </w:r>
            <w:r>
              <w:t>) ou maçonnerie avec armature en acier inoxydable</w:t>
            </w:r>
          </w:p>
        </w:tc>
        <w:tc>
          <w:tcPr>
            <w:tcW w:w="1080" w:type="dxa"/>
            <w:noWrap/>
          </w:tcPr>
          <w:p w14:paraId="2A5D7F06" w14:textId="77777777" w:rsidR="00DB2B68" w:rsidRDefault="00000000">
            <w:pPr>
              <w:jc w:val="center"/>
            </w:pPr>
            <w:r>
              <w:t>F</w:t>
            </w:r>
          </w:p>
        </w:tc>
        <w:tc>
          <w:tcPr>
            <w:tcW w:w="585" w:type="dxa"/>
            <w:noWrap/>
          </w:tcPr>
          <w:p w14:paraId="5FDEDB99" w14:textId="77777777" w:rsidR="00DB2B68" w:rsidRDefault="00000000">
            <w:pPr>
              <w:jc w:val="center"/>
            </w:pPr>
            <w:r>
              <w:t>U</w:t>
            </w:r>
          </w:p>
        </w:tc>
        <w:tc>
          <w:tcPr>
            <w:tcW w:w="585" w:type="dxa"/>
            <w:noWrap/>
          </w:tcPr>
          <w:p w14:paraId="039B754C" w14:textId="77777777" w:rsidR="00DB2B68" w:rsidRDefault="00000000">
            <w:pPr>
              <w:jc w:val="center"/>
            </w:pPr>
            <w:r>
              <w:t>U</w:t>
            </w:r>
          </w:p>
        </w:tc>
        <w:tc>
          <w:tcPr>
            <w:tcW w:w="585" w:type="dxa"/>
            <w:noWrap/>
          </w:tcPr>
          <w:p w14:paraId="7DEF899F" w14:textId="77777777" w:rsidR="00DB2B68" w:rsidRDefault="00000000">
            <w:pPr>
              <w:jc w:val="center"/>
            </w:pPr>
            <w:r>
              <w:t>R</w:t>
            </w:r>
          </w:p>
        </w:tc>
        <w:tc>
          <w:tcPr>
            <w:tcW w:w="585" w:type="dxa"/>
            <w:noWrap/>
          </w:tcPr>
          <w:p w14:paraId="697F8E9F" w14:textId="77777777" w:rsidR="00DB2B68" w:rsidRDefault="00000000">
            <w:pPr>
              <w:jc w:val="center"/>
            </w:pPr>
            <w:r>
              <w:t>R</w:t>
            </w:r>
          </w:p>
        </w:tc>
        <w:tc>
          <w:tcPr>
            <w:tcW w:w="585" w:type="dxa"/>
            <w:noWrap/>
          </w:tcPr>
          <w:p w14:paraId="5D8F5F53" w14:textId="77777777" w:rsidR="00DB2B68" w:rsidRDefault="00000000">
            <w:pPr>
              <w:jc w:val="center"/>
            </w:pPr>
            <w:r>
              <w:t>R</w:t>
            </w:r>
          </w:p>
        </w:tc>
      </w:tr>
      <w:tr w:rsidR="00DB2B68" w14:paraId="26070E84" w14:textId="77777777">
        <w:trPr>
          <w:trHeight w:val="30"/>
        </w:trPr>
        <w:tc>
          <w:tcPr>
            <w:tcW w:w="4965" w:type="dxa"/>
            <w:noWrap/>
          </w:tcPr>
          <w:p w14:paraId="63E45E55" w14:textId="77777777" w:rsidR="00DB2B68" w:rsidRDefault="00000000">
            <w:r>
              <w:t>Béton cellulaire autoclavé avec armature protégée par un système d’enrobage</w:t>
            </w:r>
          </w:p>
        </w:tc>
        <w:tc>
          <w:tcPr>
            <w:tcW w:w="1080" w:type="dxa"/>
            <w:noWrap/>
          </w:tcPr>
          <w:p w14:paraId="4B03C8A2" w14:textId="77777777" w:rsidR="00DB2B68" w:rsidRDefault="00000000">
            <w:pPr>
              <w:jc w:val="center"/>
            </w:pPr>
            <w:r>
              <w:t>G</w:t>
            </w:r>
          </w:p>
        </w:tc>
        <w:tc>
          <w:tcPr>
            <w:tcW w:w="585" w:type="dxa"/>
            <w:noWrap/>
          </w:tcPr>
          <w:p w14:paraId="6B34BBF3" w14:textId="77777777" w:rsidR="00DB2B68" w:rsidRDefault="00000000">
            <w:pPr>
              <w:jc w:val="center"/>
            </w:pPr>
            <w:r>
              <w:t>U</w:t>
            </w:r>
          </w:p>
        </w:tc>
        <w:tc>
          <w:tcPr>
            <w:tcW w:w="585" w:type="dxa"/>
            <w:noWrap/>
          </w:tcPr>
          <w:p w14:paraId="611B55F5" w14:textId="77777777" w:rsidR="00DB2B68" w:rsidRDefault="00000000">
            <w:pPr>
              <w:jc w:val="center"/>
            </w:pPr>
            <w:r>
              <w:t>R</w:t>
            </w:r>
          </w:p>
        </w:tc>
        <w:tc>
          <w:tcPr>
            <w:tcW w:w="585" w:type="dxa"/>
            <w:noWrap/>
          </w:tcPr>
          <w:p w14:paraId="70BD7B6E" w14:textId="77777777" w:rsidR="00DB2B68" w:rsidRDefault="00000000">
            <w:pPr>
              <w:jc w:val="center"/>
            </w:pPr>
            <w:r>
              <w:t>R</w:t>
            </w:r>
          </w:p>
        </w:tc>
        <w:tc>
          <w:tcPr>
            <w:tcW w:w="585" w:type="dxa"/>
            <w:noWrap/>
          </w:tcPr>
          <w:p w14:paraId="30352C97" w14:textId="77777777" w:rsidR="00DB2B68" w:rsidRDefault="00000000">
            <w:pPr>
              <w:jc w:val="center"/>
            </w:pPr>
            <w:r>
              <w:t>R</w:t>
            </w:r>
          </w:p>
        </w:tc>
        <w:tc>
          <w:tcPr>
            <w:tcW w:w="585" w:type="dxa"/>
            <w:noWrap/>
          </w:tcPr>
          <w:p w14:paraId="02FC59A0" w14:textId="77777777" w:rsidR="00DB2B68" w:rsidRDefault="00000000">
            <w:pPr>
              <w:jc w:val="center"/>
            </w:pPr>
            <w:r>
              <w:t>R</w:t>
            </w:r>
          </w:p>
        </w:tc>
      </w:tr>
      <w:tr w:rsidR="00DB2B68" w14:paraId="3131F8CB" w14:textId="77777777">
        <w:trPr>
          <w:trHeight w:val="30"/>
        </w:trPr>
        <w:tc>
          <w:tcPr>
            <w:tcW w:w="8970" w:type="dxa"/>
            <w:gridSpan w:val="7"/>
            <w:noWrap/>
          </w:tcPr>
          <w:p w14:paraId="77C4AB0E" w14:textId="77777777" w:rsidR="00DB2B68" w:rsidRDefault="00000000">
            <w:r>
              <w:t>(</w:t>
            </w:r>
            <w:r>
              <w:rPr>
                <w:vertAlign w:val="superscript"/>
              </w:rPr>
              <w:t>1</w:t>
            </w:r>
            <w:r>
              <w:t>)  U - utilisation sans limite du matériau dans la classe d’exposition indiquée.  </w:t>
            </w:r>
          </w:p>
          <w:p w14:paraId="4EE32568" w14:textId="77777777" w:rsidR="00DB2B68" w:rsidRDefault="00000000">
            <w:r>
              <w:t>     R - utilisation limitée; consulter le fabricant ou un spécialiste pour des conseils sur les</w:t>
            </w:r>
          </w:p>
          <w:p w14:paraId="7B1EE137" w14:textId="77777777" w:rsidR="00DB2B68" w:rsidRDefault="00000000">
            <w:r>
              <w:t>          conditions de calcul spécifiques.</w:t>
            </w:r>
          </w:p>
          <w:p w14:paraId="6AB30466" w14:textId="77777777" w:rsidR="00DB2B68" w:rsidRDefault="00000000">
            <w:r>
              <w:t>     D - avec une barrière d’étanchéité au-dessus du linteau, l’utilisation n’est pas limitée (U). Sans</w:t>
            </w:r>
          </w:p>
          <w:p w14:paraId="70BC9BFC" w14:textId="77777777" w:rsidR="00DB2B68" w:rsidRDefault="00000000">
            <w:r>
              <w:t>          barrière d’étanchéité au- dessus du linteau, l’utilisation est limitée (R)    </w:t>
            </w:r>
          </w:p>
          <w:p w14:paraId="0EB91813" w14:textId="77777777" w:rsidR="00DB2B68" w:rsidRDefault="00000000">
            <w:r>
              <w:t>     X - matériau non recommandé pour une utilisation dans cette classe d’exposition.</w:t>
            </w:r>
          </w:p>
          <w:p w14:paraId="6DDD3863" w14:textId="77777777" w:rsidR="00DB2B68" w:rsidRDefault="00000000">
            <w:r>
              <w:t>(</w:t>
            </w:r>
            <w:r>
              <w:rPr>
                <w:vertAlign w:val="superscript"/>
              </w:rPr>
              <w:t>2</w:t>
            </w:r>
            <w:r>
              <w:t>) Les masses de revêtement appliqué indiquées sont des valeurs approchées pour une face.</w:t>
            </w:r>
          </w:p>
          <w:p w14:paraId="5AC9239A" w14:textId="77777777" w:rsidR="00DB2B68" w:rsidRDefault="00000000">
            <w:r>
              <w:t>(</w:t>
            </w:r>
            <w:r>
              <w:rPr>
                <w:vertAlign w:val="superscript"/>
              </w:rPr>
              <w:t>3)</w:t>
            </w:r>
            <w:r>
              <w:t xml:space="preserve"> Eventuellement, un fabricant ou un spécialiste peut autoriser un usage moins restrictif compte</w:t>
            </w:r>
          </w:p>
          <w:p w14:paraId="7167ABAD" w14:textId="77777777" w:rsidR="00DB2B68" w:rsidRDefault="00000000">
            <w:r>
              <w:t>     tenu de l’expérience locale.</w:t>
            </w:r>
          </w:p>
        </w:tc>
      </w:tr>
    </w:tbl>
    <w:p w14:paraId="652261C7" w14:textId="77777777" w:rsidR="00DB2B68" w:rsidRDefault="00DB2B68"/>
    <w:p w14:paraId="730E0DEB" w14:textId="77777777" w:rsidR="00DB2B68" w:rsidRDefault="00000000">
      <w:r>
        <w:t>En fonction des performances attendues, la fiche technique émise par le fabricant décrit les dimensions (longueur, largeur, hauteur et dans le cas de sections non rectangulaires, schéma de la configuration avec les dimensions), la masse et la masse par unité de surface ainsi que la longueur d’encastrement (ne pouvant être inférieure à 100 mm), les performances mécaniques (la charge admissible, la résistance à la flexion et la flèche à court terme), les propriétés thermiques et la résistance au feu. Lorsque ces propriétés sont pertinentes, la fiche technique fait état de la résistance au gel, de l’absorption d’eau et de la perméabilité à la vapeur d’eau (pas pour les linteaux en acier).</w:t>
      </w:r>
    </w:p>
    <w:p w14:paraId="7D38EF85" w14:textId="77777777" w:rsidR="00DB2B68" w:rsidRDefault="00000000">
      <w:pPr>
        <w:pStyle w:val="Author-eSectionHeading5Numberless"/>
      </w:pPr>
      <w:bookmarkStart w:id="383" w:name="_Toc220495489"/>
      <w:r>
        <w:lastRenderedPageBreak/>
        <w:t>21.43.1 Linteaux CCTB 01.04</w:t>
      </w:r>
      <w:bookmarkEnd w:id="383"/>
    </w:p>
    <w:p w14:paraId="0C49CAF7" w14:textId="77777777" w:rsidR="00DB2B68" w:rsidRDefault="00000000">
      <w:pPr>
        <w:pStyle w:val="pheading"/>
      </w:pPr>
      <w:bookmarkStart w:id="384" w:name="370"/>
      <w:bookmarkEnd w:id="384"/>
      <w:r>
        <w:t>DESCRIPTION</w:t>
      </w:r>
    </w:p>
    <w:p w14:paraId="05FC0CC6" w14:textId="77777777" w:rsidR="00DB2B68" w:rsidRDefault="00000000">
      <w:pPr>
        <w:pStyle w:val="pheading"/>
      </w:pPr>
      <w:r>
        <w:t>- Définition / Comprend</w:t>
      </w:r>
    </w:p>
    <w:p w14:paraId="3182AD65" w14:textId="77777777" w:rsidR="00DB2B68" w:rsidRDefault="00000000">
      <w:r>
        <w:t xml:space="preserve">Voir </w:t>
      </w:r>
      <w:hyperlink w:anchor="402" w:history="1">
        <w:r>
          <w:rPr>
            <w:color w:val="0000EE"/>
          </w:rPr>
          <w:t>21.36.3 Linteaux</w:t>
        </w:r>
      </w:hyperlink>
      <w:r>
        <w:t xml:space="preserve">, </w:t>
      </w:r>
      <w:hyperlink w:anchor="427" w:history="1">
        <w:r>
          <w:rPr>
            <w:color w:val="0000EE"/>
          </w:rPr>
          <w:t>22.13.1 Linteaux en béton</w:t>
        </w:r>
      </w:hyperlink>
      <w:r>
        <w:t xml:space="preserve">, </w:t>
      </w:r>
      <w:hyperlink w:anchor="403" w:history="1">
        <w:r>
          <w:rPr>
            <w:color w:val="0000EE"/>
          </w:rPr>
          <w:t>23.13 Linteaux métalliques</w:t>
        </w:r>
      </w:hyperlink>
      <w:r>
        <w:t xml:space="preserve"> et 24.11 24.13 Linteaux en bois.</w:t>
      </w:r>
    </w:p>
    <w:p w14:paraId="7D42CEA2" w14:textId="77777777" w:rsidR="00DB2B68" w:rsidRDefault="00000000">
      <w:pPr>
        <w:pStyle w:val="Author-eSectionHeading5Numberless"/>
      </w:pPr>
      <w:bookmarkStart w:id="385" w:name="_Toc220495490"/>
      <w:r>
        <w:t>21.43.2 Linteaux composites (prélinteaux plats + rehausses collaborantes) CCTB 01.04</w:t>
      </w:r>
      <w:bookmarkEnd w:id="385"/>
    </w:p>
    <w:p w14:paraId="06FE1FFB" w14:textId="77777777" w:rsidR="00DB2B68" w:rsidRDefault="00000000">
      <w:pPr>
        <w:pStyle w:val="pheading"/>
      </w:pPr>
      <w:r>
        <w:t>DESCRIPTION</w:t>
      </w:r>
    </w:p>
    <w:p w14:paraId="5E1D8EDD" w14:textId="77777777" w:rsidR="00DB2B68" w:rsidRDefault="00000000">
      <w:pPr>
        <w:pStyle w:val="pheading"/>
      </w:pPr>
      <w:r>
        <w:t>- Définition / Comprend</w:t>
      </w:r>
    </w:p>
    <w:p w14:paraId="2EFE9458" w14:textId="77777777" w:rsidR="00DB2B68" w:rsidRDefault="00000000">
      <w:r>
        <w:t xml:space="preserve">voir </w:t>
      </w:r>
      <w:hyperlink w:anchor="429" w:history="1">
        <w:r>
          <w:rPr>
            <w:color w:val="0000EE"/>
          </w:rPr>
          <w:t>22.13.2 Linteaux composites (prélinteaux plats + rehausses collaborantes)</w:t>
        </w:r>
      </w:hyperlink>
    </w:p>
    <w:p w14:paraId="778DC88F" w14:textId="77777777" w:rsidR="00DB2B68" w:rsidRDefault="00000000">
      <w:pPr>
        <w:pStyle w:val="Author-eSectionHeading5Numberless"/>
      </w:pPr>
      <w:bookmarkStart w:id="386" w:name="_Toc220495491"/>
      <w:r>
        <w:t>21.43.3 Linteaux composites (prélinteaux en U + âmes en béton) CCTB 01.04</w:t>
      </w:r>
      <w:bookmarkEnd w:id="386"/>
    </w:p>
    <w:p w14:paraId="155418ED" w14:textId="77777777" w:rsidR="00DB2B68" w:rsidRDefault="00000000">
      <w:pPr>
        <w:pStyle w:val="pheading"/>
      </w:pPr>
      <w:r>
        <w:t>DESCRIPTION</w:t>
      </w:r>
    </w:p>
    <w:p w14:paraId="564D030E" w14:textId="77777777" w:rsidR="00DB2B68" w:rsidRDefault="00000000">
      <w:pPr>
        <w:pStyle w:val="pheading"/>
      </w:pPr>
      <w:r>
        <w:t>- Définition / Comprend</w:t>
      </w:r>
    </w:p>
    <w:p w14:paraId="637B0A73" w14:textId="77777777" w:rsidR="00DB2B68" w:rsidRDefault="00000000">
      <w:r>
        <w:t xml:space="preserve">voir </w:t>
      </w:r>
      <w:hyperlink w:anchor="430" w:history="1">
        <w:r>
          <w:rPr>
            <w:color w:val="0000EE"/>
          </w:rPr>
          <w:t>22.13.3 Linteaux composites (prélinteaux en U + âmes en béton)</w:t>
        </w:r>
      </w:hyperlink>
    </w:p>
    <w:p w14:paraId="024CB9DE" w14:textId="77777777" w:rsidR="00DB2B68" w:rsidRDefault="00000000">
      <w:pPr>
        <w:pStyle w:val="Author-eSectionHeading5Numberless"/>
      </w:pPr>
      <w:bookmarkStart w:id="387" w:name="_Toc220495492"/>
      <w:r>
        <w:t>21.43.4 Cornières et consoles de support de maçonneries CCTB 01.10</w:t>
      </w:r>
      <w:bookmarkEnd w:id="387"/>
    </w:p>
    <w:p w14:paraId="54833631" w14:textId="77777777" w:rsidR="00DB2B68" w:rsidRDefault="00000000">
      <w:pPr>
        <w:pStyle w:val="Author-eSectionHeading6Numberless"/>
      </w:pPr>
      <w:bookmarkStart w:id="388" w:name="425"/>
      <w:bookmarkStart w:id="389" w:name="_Toc220495493"/>
      <w:bookmarkEnd w:id="388"/>
      <w:r>
        <w:t>21.43.4a Cornières sans consoles (posées sur appuis latéraux) CCTB 01.04</w:t>
      </w:r>
      <w:bookmarkEnd w:id="389"/>
    </w:p>
    <w:p w14:paraId="48C2C6A7" w14:textId="77777777" w:rsidR="00DB2B68" w:rsidRDefault="00000000">
      <w:pPr>
        <w:pStyle w:val="pheading"/>
      </w:pPr>
      <w:r>
        <w:t>DESCRIPTION</w:t>
      </w:r>
    </w:p>
    <w:p w14:paraId="734BBEC5" w14:textId="77777777" w:rsidR="00DB2B68" w:rsidRDefault="00000000">
      <w:pPr>
        <w:pStyle w:val="pheading"/>
      </w:pPr>
      <w:r>
        <w:t>- Définition / Comprend</w:t>
      </w:r>
    </w:p>
    <w:p w14:paraId="3BE27E0F" w14:textId="77777777" w:rsidR="00DB2B68" w:rsidRDefault="00000000">
      <w:r>
        <w:t xml:space="preserve">voir aussi </w:t>
      </w:r>
      <w:hyperlink w:anchor="403" w:history="1">
        <w:r>
          <w:rPr>
            <w:color w:val="0000EE"/>
          </w:rPr>
          <w:t>23.13 Linteaux métalliques</w:t>
        </w:r>
      </w:hyperlink>
    </w:p>
    <w:p w14:paraId="7B0ACDE7" w14:textId="77777777" w:rsidR="00DB2B68" w:rsidRDefault="00000000">
      <w:pPr>
        <w:pStyle w:val="Author-eSectionHeading6Numberless"/>
      </w:pPr>
      <w:bookmarkStart w:id="390" w:name="_Toc220495494"/>
      <w:r>
        <w:t>21.43.4b Consoles CCTB 01.10</w:t>
      </w:r>
      <w:bookmarkEnd w:id="390"/>
    </w:p>
    <w:p w14:paraId="688A098E" w14:textId="77777777" w:rsidR="00DB2B68" w:rsidRDefault="00000000">
      <w:pPr>
        <w:pStyle w:val="Author-eSectionHeading6Numberless"/>
      </w:pPr>
      <w:bookmarkStart w:id="391" w:name="423"/>
      <w:bookmarkStart w:id="392" w:name="_Toc220495495"/>
      <w:bookmarkEnd w:id="391"/>
      <w:r>
        <w:t>21.43.4c Consoles doubles (avec cornière) CCTB 01.10</w:t>
      </w:r>
      <w:bookmarkEnd w:id="392"/>
    </w:p>
    <w:p w14:paraId="129D897F" w14:textId="77777777" w:rsidR="00DB2B68" w:rsidRDefault="00000000">
      <w:pPr>
        <w:pStyle w:val="Author-eSectionHeading5Numberless"/>
      </w:pPr>
      <w:bookmarkStart w:id="393" w:name="_Toc220495496"/>
      <w:r>
        <w:t>21.43.5 Cornières et consoles de support de maçonneries avec suspensions de briques CCTB 01.10</w:t>
      </w:r>
      <w:bookmarkEnd w:id="393"/>
    </w:p>
    <w:p w14:paraId="40B078BF" w14:textId="77777777" w:rsidR="00DB2B68" w:rsidRDefault="00000000">
      <w:pPr>
        <w:pStyle w:val="Author-eSectionHeading6Numberless"/>
      </w:pPr>
      <w:bookmarkStart w:id="394" w:name="426"/>
      <w:bookmarkStart w:id="395" w:name="_Toc220495497"/>
      <w:bookmarkEnd w:id="394"/>
      <w:r>
        <w:t>21.43.5a Cornières sans consoles (posées sur appuis latéraux) avec suspensions de briques CCTB 01.10</w:t>
      </w:r>
      <w:bookmarkEnd w:id="395"/>
    </w:p>
    <w:p w14:paraId="4D150649" w14:textId="77777777" w:rsidR="00DB2B68" w:rsidRDefault="00000000">
      <w:pPr>
        <w:pStyle w:val="Author-eSectionHeading6Numberless"/>
      </w:pPr>
      <w:bookmarkStart w:id="396" w:name="_Toc220495498"/>
      <w:r>
        <w:t>21.43.5b Consoles avec suspensions de briques CCTB 01.10</w:t>
      </w:r>
      <w:bookmarkEnd w:id="396"/>
    </w:p>
    <w:p w14:paraId="3A9F02A0" w14:textId="77777777" w:rsidR="00DB2B68" w:rsidRDefault="00000000">
      <w:pPr>
        <w:pStyle w:val="Author-eSectionHeading6Numberless"/>
      </w:pPr>
      <w:bookmarkStart w:id="397" w:name="424"/>
      <w:bookmarkStart w:id="398" w:name="_Toc220495499"/>
      <w:bookmarkEnd w:id="397"/>
      <w:r>
        <w:t>21.43.5c Consoles doubles (avec cornière) avec suspensions de briques CCTB 01.10</w:t>
      </w:r>
      <w:bookmarkEnd w:id="398"/>
    </w:p>
    <w:p w14:paraId="01348161" w14:textId="77777777" w:rsidR="00DB2B68" w:rsidRDefault="00000000">
      <w:pPr>
        <w:pStyle w:val="Author-eSectionHeading5Numberless"/>
      </w:pPr>
      <w:bookmarkStart w:id="399" w:name="_Toc220495500"/>
      <w:r>
        <w:t>21.43.6 Assises d’éléments de maçonnerie de parement CCTB 01.10</w:t>
      </w:r>
      <w:bookmarkEnd w:id="399"/>
    </w:p>
    <w:p w14:paraId="56542421" w14:textId="77777777" w:rsidR="00DB2B68" w:rsidRDefault="00000000">
      <w:pPr>
        <w:pStyle w:val="Author-eSectionHeading6Numberless"/>
      </w:pPr>
      <w:bookmarkStart w:id="400" w:name="_Toc220495501"/>
      <w:r>
        <w:t>21.43.6a Assises d’éléments de maçonnerie sur chant CCTB 01.10</w:t>
      </w:r>
      <w:bookmarkEnd w:id="400"/>
    </w:p>
    <w:p w14:paraId="74FAE12D" w14:textId="77777777" w:rsidR="00DB2B68" w:rsidRDefault="00000000">
      <w:pPr>
        <w:pStyle w:val="Author-eSectionHeading6Numberless"/>
      </w:pPr>
      <w:bookmarkStart w:id="401" w:name="_Toc220495502"/>
      <w:r>
        <w:t>21.43.6b Assises d’éléments de maçonnerie en panneresses CCTB 01.10</w:t>
      </w:r>
      <w:bookmarkEnd w:id="401"/>
    </w:p>
    <w:p w14:paraId="579D62D3" w14:textId="77777777" w:rsidR="00DB2B68" w:rsidRDefault="00000000">
      <w:pPr>
        <w:pStyle w:val="Author-eSectionHeading6Numberless"/>
      </w:pPr>
      <w:bookmarkStart w:id="402" w:name="_Toc220495503"/>
      <w:r>
        <w:t>21.43.6c Assises d'éléments de maçonnerie en arcs CCTB 01.10</w:t>
      </w:r>
      <w:bookmarkEnd w:id="402"/>
    </w:p>
    <w:p w14:paraId="4BE50CA6" w14:textId="77777777" w:rsidR="00DB2B68" w:rsidRDefault="00000000">
      <w:pPr>
        <w:pStyle w:val="Author-eSectionHeading4Numberless"/>
      </w:pPr>
      <w:bookmarkStart w:id="403" w:name="_Toc220495504"/>
      <w:r>
        <w:t>21.44 Eléments de ventilation CCTB 01.02</w:t>
      </w:r>
      <w:bookmarkEnd w:id="403"/>
    </w:p>
    <w:p w14:paraId="2D230789" w14:textId="77777777" w:rsidR="00DB2B68" w:rsidRDefault="00000000">
      <w:pPr>
        <w:pStyle w:val="Author-eSectionHeading5Numberless"/>
      </w:pPr>
      <w:bookmarkStart w:id="404" w:name="411"/>
      <w:bookmarkStart w:id="405" w:name="_Toc220495505"/>
      <w:bookmarkEnd w:id="404"/>
      <w:r>
        <w:t>21.44.1 Eléments de ventilation CCTB 01.02</w:t>
      </w:r>
      <w:bookmarkEnd w:id="405"/>
    </w:p>
    <w:p w14:paraId="33E4D455" w14:textId="77777777" w:rsidR="00DB2B68" w:rsidRDefault="00000000">
      <w:pPr>
        <w:pStyle w:val="Author-eSectionHeading6Numberless"/>
      </w:pPr>
      <w:bookmarkStart w:id="406" w:name="240"/>
      <w:bookmarkStart w:id="407" w:name="_Toc220495506"/>
      <w:bookmarkEnd w:id="406"/>
      <w:r>
        <w:lastRenderedPageBreak/>
        <w:t>21.44.1a Gaines télescopiques de ventilation CCTB 01.11</w:t>
      </w:r>
      <w:bookmarkEnd w:id="407"/>
    </w:p>
    <w:p w14:paraId="6CB2983E" w14:textId="77777777" w:rsidR="00DB2B68" w:rsidRDefault="00000000">
      <w:pPr>
        <w:pStyle w:val="pheading"/>
      </w:pPr>
      <w:r>
        <w:t>DESCRIPTION</w:t>
      </w:r>
    </w:p>
    <w:p w14:paraId="1A877AC9" w14:textId="77777777" w:rsidR="00DB2B68" w:rsidRDefault="00000000">
      <w:pPr>
        <w:pStyle w:val="pheading"/>
      </w:pPr>
      <w:r>
        <w:t>- Localisation</w:t>
      </w:r>
    </w:p>
    <w:p w14:paraId="5A7E3906" w14:textId="77777777" w:rsidR="00DB2B68" w:rsidRDefault="00000000">
      <w:r>
        <w:t>Pour la ventilation des vides sanitaires / ...</w:t>
      </w:r>
    </w:p>
    <w:p w14:paraId="375E8A60" w14:textId="77777777" w:rsidR="00DB2B68" w:rsidRDefault="00000000">
      <w:pPr>
        <w:pStyle w:val="pheading"/>
      </w:pPr>
      <w:r>
        <w:t>MATÉRIAUX</w:t>
      </w:r>
    </w:p>
    <w:p w14:paraId="40EF4DA1" w14:textId="77777777" w:rsidR="00DB2B68" w:rsidRDefault="00000000">
      <w:pPr>
        <w:pStyle w:val="pheading"/>
      </w:pPr>
      <w:r>
        <w:t>- Caractéristiques générales</w:t>
      </w:r>
    </w:p>
    <w:p w14:paraId="378201A4" w14:textId="77777777" w:rsidR="00DB2B68" w:rsidRDefault="00000000">
      <w:r>
        <w:t>Ce poste concerne la fourniture et la pose de gaines de ventilation télescopiques synthétiques en forme de T, convenant spécialement pour les murs creux. Elles sont livrées avec une grille encastrable munie d'une moustiquaire du côté de la cave.</w:t>
      </w:r>
    </w:p>
    <w:p w14:paraId="1185B67D" w14:textId="77777777" w:rsidR="00DB2B68" w:rsidRDefault="00000000">
      <w:pPr>
        <w:pStyle w:val="heading"/>
      </w:pPr>
      <w:r>
        <w:t>Spécifications</w:t>
      </w:r>
    </w:p>
    <w:p w14:paraId="51B69EF1" w14:textId="77777777" w:rsidR="00DB2B68" w:rsidRDefault="00000000">
      <w:r>
        <w:t xml:space="preserve">Gaine : </w:t>
      </w:r>
      <w:r>
        <w:rPr>
          <w:rStyle w:val="optioncarChar"/>
        </w:rPr>
        <w:t>PE </w:t>
      </w:r>
      <w:r>
        <w:t>(par défaut)</w:t>
      </w:r>
      <w:r>
        <w:rPr>
          <w:rStyle w:val="optioncarChar"/>
        </w:rPr>
        <w:t xml:space="preserve"> / PVC</w:t>
      </w:r>
    </w:p>
    <w:p w14:paraId="65FC72F8" w14:textId="77777777" w:rsidR="00DB2B68" w:rsidRDefault="00000000">
      <w:r>
        <w:t xml:space="preserve">Diamètre : </w:t>
      </w:r>
      <w:r>
        <w:rPr>
          <w:rStyle w:val="optioncarChar"/>
        </w:rPr>
        <w:t>90 </w:t>
      </w:r>
      <w:r>
        <w:t>(par défaut)</w:t>
      </w:r>
      <w:r>
        <w:rPr>
          <w:rStyle w:val="optioncarChar"/>
        </w:rPr>
        <w:t xml:space="preserve"> / ***</w:t>
      </w:r>
      <w:r>
        <w:t xml:space="preserve"> mm</w:t>
      </w:r>
    </w:p>
    <w:p w14:paraId="20D371C2" w14:textId="77777777" w:rsidR="00DB2B68" w:rsidRDefault="00000000">
      <w:r>
        <w:t xml:space="preserve">Grille : aluminium / acier inoxydable (environ </w:t>
      </w:r>
      <w:r>
        <w:rPr>
          <w:rStyle w:val="optioncarChar"/>
        </w:rPr>
        <w:t>100 x 50 </w:t>
      </w:r>
      <w:r>
        <w:t xml:space="preserve">(par défaut) </w:t>
      </w:r>
      <w:r>
        <w:rPr>
          <w:rStyle w:val="optioncarChar"/>
        </w:rPr>
        <w:t>/ 200 x 200 / 300 x 300 / *** x ***</w:t>
      </w:r>
      <w:r>
        <w:t xml:space="preserve"> mm)</w:t>
      </w:r>
    </w:p>
    <w:p w14:paraId="6ABFD4E6" w14:textId="77777777" w:rsidR="00DB2B68" w:rsidRDefault="00000000">
      <w:r>
        <w:t xml:space="preserve">Passage libre de l’air : minimum </w:t>
      </w:r>
      <w:r>
        <w:rPr>
          <w:rStyle w:val="optioncarChar"/>
        </w:rPr>
        <w:t xml:space="preserve">140 </w:t>
      </w:r>
      <w:r>
        <w:t>(par défaut) </w:t>
      </w:r>
      <w:r>
        <w:rPr>
          <w:rStyle w:val="optioncarChar"/>
        </w:rPr>
        <w:t>/ ***</w:t>
      </w:r>
      <w:r>
        <w:t>cm2, conformément à [NBN D 50-001].</w:t>
      </w:r>
    </w:p>
    <w:p w14:paraId="5C5768F3" w14:textId="77777777" w:rsidR="00DB2B68" w:rsidRDefault="00000000">
      <w:pPr>
        <w:pStyle w:val="pheading"/>
      </w:pPr>
      <w:r>
        <w:t>EXÉCUTION / MISE EN ŒUVRE</w:t>
      </w:r>
    </w:p>
    <w:p w14:paraId="2062139D" w14:textId="77777777" w:rsidR="00DB2B68" w:rsidRDefault="00000000">
      <w:pPr>
        <w:pStyle w:val="pheading"/>
      </w:pPr>
      <w:r>
        <w:t>- Prescriptions générales</w:t>
      </w:r>
    </w:p>
    <w:p w14:paraId="6D971FA3" w14:textId="77777777" w:rsidR="00DB2B68" w:rsidRDefault="00000000">
      <w:r>
        <w:t>Les gaines de ventilation sont encastrées de manière étanche et hermétique dans les maçonneries de fondation.</w:t>
      </w:r>
    </w:p>
    <w:p w14:paraId="59A5937E" w14:textId="77777777" w:rsidR="00DB2B68" w:rsidRDefault="00000000">
      <w:r>
        <w:t xml:space="preserve">Les pièces d'ajustage nécessaires sont prévues afin que le niveau de la grille se situe à </w:t>
      </w:r>
      <w:r>
        <w:rPr>
          <w:rStyle w:val="optioncarChar"/>
        </w:rPr>
        <w:t>+10 </w:t>
      </w:r>
      <w:r>
        <w:t>(par défaut)</w:t>
      </w:r>
      <w:r>
        <w:rPr>
          <w:rStyle w:val="optioncarChar"/>
        </w:rPr>
        <w:t xml:space="preserve"> / ***</w:t>
      </w:r>
      <w:r>
        <w:t xml:space="preserve"> cm au-dessus du niveau du terrain.</w:t>
      </w:r>
    </w:p>
    <w:p w14:paraId="40183C8A" w14:textId="77777777" w:rsidR="00DB2B68" w:rsidRDefault="00000000">
      <w:pPr>
        <w:pStyle w:val="Author-eSectionHeading6Numberless"/>
      </w:pPr>
      <w:bookmarkStart w:id="408" w:name="_Toc220495507"/>
      <w:r>
        <w:t>21.44.1b Soupiraux préfabriqués CCTB 01.11</w:t>
      </w:r>
      <w:bookmarkEnd w:id="408"/>
    </w:p>
    <w:p w14:paraId="7CD745F5" w14:textId="77777777" w:rsidR="00DB2B68" w:rsidRDefault="00000000">
      <w:pPr>
        <w:pStyle w:val="pheading"/>
      </w:pPr>
      <w:r>
        <w:t>DESCRIPTION</w:t>
      </w:r>
    </w:p>
    <w:p w14:paraId="69A3C150" w14:textId="77777777" w:rsidR="00DB2B68" w:rsidRDefault="00000000">
      <w:pPr>
        <w:pStyle w:val="pheading"/>
      </w:pPr>
      <w:r>
        <w:t>- Définition / Comprend</w:t>
      </w:r>
    </w:p>
    <w:p w14:paraId="4A3BF6E6" w14:textId="77777777" w:rsidR="00DB2B68" w:rsidRDefault="00000000">
      <w:pPr>
        <w:jc w:val="both"/>
      </w:pPr>
      <w:r>
        <w:t>Cet article prescrit la fourniture et la pose de soupiraux préfabriqués appelés également cours anglaises.</w:t>
      </w:r>
    </w:p>
    <w:p w14:paraId="797BB16A" w14:textId="77777777" w:rsidR="00DB2B68" w:rsidRDefault="00000000">
      <w:pPr>
        <w:jc w:val="both"/>
      </w:pPr>
      <w:r>
        <w:t>Les travaux comprennent :</w:t>
      </w:r>
    </w:p>
    <w:p w14:paraId="195223E0" w14:textId="77777777" w:rsidR="00DB2B68" w:rsidRDefault="00000000">
      <w:pPr>
        <w:pStyle w:val="Author-eListParagraph"/>
        <w:numPr>
          <w:ilvl w:val="0"/>
          <w:numId w:val="295"/>
        </w:numPr>
        <w:jc w:val="both"/>
      </w:pPr>
      <w:r>
        <w:t>La fourniture du soupirail et de ses accessoires (siphon, crépine, tuyau d’évacuation, grille, chaîne antieffraction)</w:t>
      </w:r>
    </w:p>
    <w:p w14:paraId="7F36FF4B" w14:textId="77777777" w:rsidR="00DB2B68" w:rsidRDefault="00000000">
      <w:pPr>
        <w:pStyle w:val="Author-eListParagraph"/>
        <w:numPr>
          <w:ilvl w:val="0"/>
          <w:numId w:val="295"/>
        </w:numPr>
        <w:jc w:val="both"/>
      </w:pPr>
      <w:r>
        <w:t>Le raccordement aux égouts d’eaux pluviales le cas échéant</w:t>
      </w:r>
    </w:p>
    <w:p w14:paraId="7BECE5EA" w14:textId="77777777" w:rsidR="00DB2B68" w:rsidRDefault="00000000">
      <w:pPr>
        <w:pStyle w:val="Author-eListParagraph"/>
        <w:numPr>
          <w:ilvl w:val="0"/>
          <w:numId w:val="295"/>
        </w:numPr>
        <w:jc w:val="both"/>
      </w:pPr>
      <w:r>
        <w:t>La fixation mécanique du soupirail au mur</w:t>
      </w:r>
    </w:p>
    <w:p w14:paraId="4A3D4402" w14:textId="77777777" w:rsidR="00DB2B68" w:rsidRDefault="00000000">
      <w:pPr>
        <w:pStyle w:val="Author-eListParagraph"/>
        <w:numPr>
          <w:ilvl w:val="0"/>
          <w:numId w:val="295"/>
        </w:numPr>
        <w:jc w:val="both"/>
      </w:pPr>
      <w:r>
        <w:t>Le scellement étanche à la jonction avec le mur.</w:t>
      </w:r>
    </w:p>
    <w:p w14:paraId="2B66E043" w14:textId="77777777" w:rsidR="00DB2B68" w:rsidRDefault="00000000">
      <w:pPr>
        <w:pStyle w:val="pheading"/>
      </w:pPr>
      <w:r>
        <w:t>- Localisation</w:t>
      </w:r>
    </w:p>
    <w:p w14:paraId="24B63485" w14:textId="77777777" w:rsidR="00DB2B68" w:rsidRDefault="00000000">
      <w:r>
        <w:t xml:space="preserve">La pose est réalisée aux endroits suivants : </w:t>
      </w:r>
      <w:r>
        <w:rPr>
          <w:rStyle w:val="optioncarChar"/>
        </w:rPr>
        <w:t>***</w:t>
      </w:r>
      <w:r>
        <w:t>.</w:t>
      </w:r>
    </w:p>
    <w:p w14:paraId="7D09A569" w14:textId="77777777" w:rsidR="00DB2B68" w:rsidRDefault="00000000">
      <w:r>
        <w:t>Voir plans et métrés détaillés.</w:t>
      </w:r>
    </w:p>
    <w:p w14:paraId="761B97D7" w14:textId="77777777" w:rsidR="00DB2B68" w:rsidRDefault="00000000">
      <w:pPr>
        <w:pStyle w:val="pheading"/>
      </w:pPr>
      <w:r>
        <w:t>MATÉRIAUX</w:t>
      </w:r>
    </w:p>
    <w:p w14:paraId="1B9D061F" w14:textId="77777777" w:rsidR="00DB2B68" w:rsidRDefault="00000000">
      <w:pPr>
        <w:pStyle w:val="pheading"/>
      </w:pPr>
      <w:r>
        <w:t>- Caractéristiques générales</w:t>
      </w:r>
    </w:p>
    <w:p w14:paraId="7200A634" w14:textId="77777777" w:rsidR="00DB2B68" w:rsidRDefault="00000000">
      <w:pPr>
        <w:jc w:val="both"/>
      </w:pPr>
      <w:r>
        <w:t xml:space="preserve"> Le soupirail est préfabriqué </w:t>
      </w:r>
      <w:r>
        <w:rPr>
          <w:rStyle w:val="optioncarChar"/>
        </w:rPr>
        <w:t>en matière plastique / en béton.</w:t>
      </w:r>
    </w:p>
    <w:p w14:paraId="1DF51C04" w14:textId="77777777" w:rsidR="00DB2B68" w:rsidRDefault="00000000">
      <w:pPr>
        <w:jc w:val="both"/>
      </w:pPr>
      <w:r>
        <w:t xml:space="preserve">Les dimensions profondeur x hauteur x largeur (jour) sont : </w:t>
      </w:r>
      <w:r>
        <w:rPr>
          <w:rStyle w:val="optioncarChar"/>
        </w:rPr>
        <w:t>***</w:t>
      </w:r>
      <w:r>
        <w:t xml:space="preserve"> x</w:t>
      </w:r>
      <w:r>
        <w:rPr>
          <w:rStyle w:val="optioncarChar"/>
        </w:rPr>
        <w:t xml:space="preserve"> ***</w:t>
      </w:r>
      <w:r>
        <w:t xml:space="preserve"> x </w:t>
      </w:r>
      <w:r>
        <w:rPr>
          <w:rStyle w:val="optioncarChar"/>
        </w:rPr>
        <w:t>***</w:t>
      </w:r>
      <w:r>
        <w:t>.</w:t>
      </w:r>
    </w:p>
    <w:p w14:paraId="5F409A7F" w14:textId="77777777" w:rsidR="00DB2B68" w:rsidRDefault="00000000">
      <w:pPr>
        <w:jc w:val="both"/>
      </w:pPr>
      <w:r>
        <w:t>Lorsqu’il est en matière plastique (par ex. polypropylène, polyester), cette dernière est renforcée de fibres de verre et résiste aux UV.</w:t>
      </w:r>
    </w:p>
    <w:p w14:paraId="4C73DA32" w14:textId="77777777" w:rsidR="00DB2B68" w:rsidRDefault="00000000">
      <w:pPr>
        <w:jc w:val="both"/>
      </w:pPr>
      <w:r>
        <w:lastRenderedPageBreak/>
        <w:t xml:space="preserve">Lorsqu’il est en béton (voir la section </w:t>
      </w:r>
      <w:hyperlink w:anchor="87" w:history="1">
        <w:r>
          <w:rPr>
            <w:color w:val="0000EE"/>
          </w:rPr>
          <w:t>22 Superstructures en béton</w:t>
        </w:r>
      </w:hyperlink>
      <w:r>
        <w:t>), la qualité de ce dernier selon la [NBN EN 206:2013+A2] et la [NBN B 15-001] sera : classe minimale de résistance : C30/37 et classe minimale d’environnement : EE3 (EE4 en cas d’exposition aux sels de déverglaçage).</w:t>
      </w:r>
    </w:p>
    <w:p w14:paraId="138684C3" w14:textId="77777777" w:rsidR="00DB2B68" w:rsidRDefault="00000000">
      <w:pPr>
        <w:jc w:val="both"/>
      </w:pPr>
      <w:r>
        <w:t xml:space="preserve"> Armatures : détermination des armatures à faire par l’entrepreneur.</w:t>
      </w:r>
    </w:p>
    <w:p w14:paraId="2A9FE317" w14:textId="77777777" w:rsidR="00DB2B68" w:rsidRDefault="00000000">
      <w:pPr>
        <w:jc w:val="both"/>
      </w:pPr>
      <w:r>
        <w:t xml:space="preserve">Le soupirail en béton est pourvu d’une semelle filante : </w:t>
      </w:r>
      <w:r>
        <w:rPr>
          <w:rStyle w:val="optioncarChar"/>
        </w:rPr>
        <w:t>oui / non</w:t>
      </w:r>
      <w:r>
        <w:t>.</w:t>
      </w:r>
    </w:p>
    <w:p w14:paraId="52D7B050" w14:textId="77777777" w:rsidR="00DB2B68" w:rsidRDefault="00000000">
      <w:pPr>
        <w:jc w:val="both"/>
      </w:pPr>
      <w:r>
        <w:t xml:space="preserve">Le soupirail est muni d’un fond : </w:t>
      </w:r>
      <w:r>
        <w:rPr>
          <w:rStyle w:val="optioncarChar"/>
        </w:rPr>
        <w:t>oui</w:t>
      </w:r>
      <w:r>
        <w:t xml:space="preserve"> (par défaut) </w:t>
      </w:r>
      <w:r>
        <w:rPr>
          <w:rStyle w:val="optioncarChar"/>
        </w:rPr>
        <w:t>/ non</w:t>
      </w:r>
      <w:r>
        <w:t>.</w:t>
      </w:r>
    </w:p>
    <w:p w14:paraId="3793C76D" w14:textId="77777777" w:rsidR="00DB2B68" w:rsidRDefault="00000000">
      <w:pPr>
        <w:jc w:val="both"/>
      </w:pPr>
      <w:r>
        <w:t>Le fond est muni d’une ouverture pour le raccordement d’un siphon/crépine et d’un tuyau d’évacuation qui se raccorde à l’égouttage des eaux pluviales.</w:t>
      </w:r>
    </w:p>
    <w:p w14:paraId="3B567CAF" w14:textId="77777777" w:rsidR="00DB2B68" w:rsidRDefault="00000000">
      <w:pPr>
        <w:jc w:val="both"/>
      </w:pPr>
      <w:r>
        <w:t>Le soupirail est muni d’ouvertures pour la pose contre le mur ainsi qu’un évidement pour appliquer une masse de jointoyage étanche. Un élément prémoulé est prévu pour l’ancrage de la grille (antieffraction).</w:t>
      </w:r>
    </w:p>
    <w:p w14:paraId="7FFA287A" w14:textId="77777777" w:rsidR="00DB2B68" w:rsidRDefault="00000000">
      <w:pPr>
        <w:jc w:val="both"/>
      </w:pPr>
      <w:r>
        <w:t xml:space="preserve">La grille consiste en </w:t>
      </w:r>
      <w:r>
        <w:rPr>
          <w:rStyle w:val="optioncarChar"/>
        </w:rPr>
        <w:t>un caillebotis galvanisé à chaud</w:t>
      </w:r>
      <w:r>
        <w:t xml:space="preserve"> (par défaut)</w:t>
      </w:r>
      <w:r>
        <w:rPr>
          <w:rStyle w:val="optioncarChar"/>
        </w:rPr>
        <w:t xml:space="preserve"> / ***</w:t>
      </w:r>
      <w:r>
        <w:t xml:space="preserve"> dont les mailles ont les dimensions suivantes : </w:t>
      </w:r>
      <w:r>
        <w:rPr>
          <w:rStyle w:val="optioncarChar"/>
        </w:rPr>
        <w:t>30 mm x 30 mm</w:t>
      </w:r>
      <w:r>
        <w:t xml:space="preserve"> (par défaut)</w:t>
      </w:r>
      <w:r>
        <w:rPr>
          <w:rStyle w:val="optioncarChar"/>
        </w:rPr>
        <w:t xml:space="preserve"> / 30 mm x 10 mm / **</w:t>
      </w:r>
      <w:r>
        <w:t xml:space="preserve">*. La grille est munie d’ergots de positionnement et d’une chaîne qui est attachée au soupirail (antieffraction, métallique anticorrosion). La grille convient pour : </w:t>
      </w:r>
      <w:r>
        <w:rPr>
          <w:rStyle w:val="optioncarChar"/>
        </w:rPr>
        <w:t>surcharge piétonne (1,5 kN)</w:t>
      </w:r>
      <w:r>
        <w:t xml:space="preserve"> (par défaut) </w:t>
      </w:r>
      <w:r>
        <w:rPr>
          <w:rStyle w:val="optioncarChar"/>
        </w:rPr>
        <w:t>/ surface carrossable (6,0 kN) / ***</w:t>
      </w:r>
      <w:r>
        <w:t>.</w:t>
      </w:r>
    </w:p>
    <w:p w14:paraId="3AEFC788" w14:textId="77777777" w:rsidR="00DB2B68" w:rsidRDefault="00000000">
      <w:pPr>
        <w:pStyle w:val="pheading"/>
      </w:pPr>
      <w:r>
        <w:t>EXÉCUTION / MISE EN ŒUVRE</w:t>
      </w:r>
    </w:p>
    <w:p w14:paraId="1BC685F3" w14:textId="77777777" w:rsidR="00DB2B68" w:rsidRDefault="00000000">
      <w:pPr>
        <w:pStyle w:val="pheading"/>
      </w:pPr>
      <w:r>
        <w:t>- Prescriptions générales</w:t>
      </w:r>
    </w:p>
    <w:p w14:paraId="2A0D7114" w14:textId="77777777" w:rsidR="00DB2B68" w:rsidRDefault="00000000">
      <w:pPr>
        <w:jc w:val="both"/>
      </w:pPr>
      <w:r>
        <w:t xml:space="preserve">Le niveau supérieur du soupirail correspond au niveau </w:t>
      </w:r>
      <w:r>
        <w:rPr>
          <w:rStyle w:val="optioncarChar"/>
        </w:rPr>
        <w:t>du sol fini extérieur</w:t>
      </w:r>
      <w:r>
        <w:t xml:space="preserve"> (par défaut) </w:t>
      </w:r>
      <w:r>
        <w:rPr>
          <w:rStyle w:val="optioncarChar"/>
        </w:rPr>
        <w:t>/ soit à la cote  ***</w:t>
      </w:r>
      <w:r>
        <w:t xml:space="preserve"> .</w:t>
      </w:r>
    </w:p>
    <w:p w14:paraId="60B7CFC6" w14:textId="77777777" w:rsidR="00DB2B68" w:rsidRDefault="00000000">
      <w:pPr>
        <w:jc w:val="both"/>
      </w:pPr>
      <w:r>
        <w:t xml:space="preserve"> Le soupirail est posé sur un mur imperméabilisé. La technique de pose assure l’intégrité technique du mur et de son étanchéité notamment en tenant compte de la compatibilité entre les matériaux.</w:t>
      </w:r>
    </w:p>
    <w:p w14:paraId="06AAD206" w14:textId="77777777" w:rsidR="00DB2B68" w:rsidRDefault="00000000">
      <w:pPr>
        <w:pStyle w:val="pheading"/>
      </w:pPr>
      <w:r>
        <w:t>- Notes d’exécution complémentaires</w:t>
      </w:r>
    </w:p>
    <w:p w14:paraId="6247E3A7" w14:textId="77777777" w:rsidR="00DB2B68" w:rsidRDefault="00000000">
      <w:r>
        <w:rPr>
          <w:rStyle w:val="facultChar"/>
        </w:rPr>
        <w:t>En cas de très faible sollicitation aux pluies et d’un sol de nature drainante, la pose sous-jacente d’un lit de granulat drainant peut se substituer au raccordement vers le réseau d’égouttage.</w:t>
      </w:r>
    </w:p>
    <w:p w14:paraId="7AF575B3" w14:textId="77777777" w:rsidR="00DB2B68" w:rsidRDefault="00000000">
      <w:r>
        <w:rPr>
          <w:rStyle w:val="facultChar"/>
        </w:rPr>
        <w:t>L’usage de machines de terrassement à proximité immédiate du soupirail est proscrit et on procède à l’enfouissement manuellement.</w:t>
      </w:r>
    </w:p>
    <w:p w14:paraId="35B153C8" w14:textId="77777777" w:rsidR="00DB2B68" w:rsidRDefault="00000000">
      <w:pPr>
        <w:pStyle w:val="pheading"/>
      </w:pPr>
      <w:r>
        <w:t>DOCUMENTS DE RÉFÉRENCE COMPLÉMENTAIRES</w:t>
      </w:r>
    </w:p>
    <w:p w14:paraId="6EE7EDF4" w14:textId="77777777" w:rsidR="00DB2B68" w:rsidRDefault="00000000">
      <w:pPr>
        <w:pStyle w:val="pheading"/>
      </w:pPr>
      <w:r>
        <w:t>- Matériau</w:t>
      </w:r>
    </w:p>
    <w:p w14:paraId="52A0A2B9" w14:textId="77777777" w:rsidR="00DB2B68" w:rsidRDefault="00000000">
      <w:r>
        <w:t>[NBN EN 206:2013+A2, Béton - Spécification, performances, production et conformité]</w:t>
      </w:r>
    </w:p>
    <w:p w14:paraId="778F816C" w14:textId="77777777" w:rsidR="00DB2B68" w:rsidRDefault="00000000">
      <w:r>
        <w:t>[NBN B 15-001, Béton - Spécification, performances, production et conformité - Complément national à la NBN EN 206:2013+A2:2021]</w:t>
      </w:r>
    </w:p>
    <w:p w14:paraId="576513DA" w14:textId="77777777" w:rsidR="00DB2B68" w:rsidRDefault="00000000">
      <w:pPr>
        <w:pStyle w:val="pheading"/>
      </w:pPr>
      <w:r>
        <w:t>MESURAGE</w:t>
      </w:r>
    </w:p>
    <w:p w14:paraId="5BB789B4" w14:textId="77777777" w:rsidR="00DB2B68" w:rsidRDefault="00000000">
      <w:pPr>
        <w:pStyle w:val="pheading"/>
      </w:pPr>
      <w:r>
        <w:t>- unité de mesure:</w:t>
      </w:r>
    </w:p>
    <w:p w14:paraId="2B2AB3BB" w14:textId="77777777" w:rsidR="00DB2B68" w:rsidRDefault="00000000">
      <w:r>
        <w:rPr>
          <w:rStyle w:val="optioncarChar"/>
        </w:rPr>
        <w:t>Pce</w:t>
      </w:r>
      <w:r>
        <w:t xml:space="preserve"> (par défaut)</w:t>
      </w:r>
    </w:p>
    <w:p w14:paraId="203DD1A5" w14:textId="77777777" w:rsidR="00DB2B68" w:rsidRDefault="00000000">
      <w:pPr>
        <w:pStyle w:val="pheading"/>
      </w:pPr>
      <w:r>
        <w:t>- code de mesurage:</w:t>
      </w:r>
    </w:p>
    <w:p w14:paraId="7EA07011" w14:textId="77777777" w:rsidR="00DB2B68" w:rsidRDefault="00000000">
      <w:r>
        <w:t>Quantité nette mise en œuvre, distinction faite suivant le type.</w:t>
      </w:r>
    </w:p>
    <w:p w14:paraId="6BF8472A" w14:textId="77777777" w:rsidR="00DB2B68" w:rsidRDefault="00000000">
      <w:pPr>
        <w:pStyle w:val="pheading"/>
      </w:pPr>
      <w:r>
        <w:t>- nature du marché:</w:t>
      </w:r>
    </w:p>
    <w:p w14:paraId="2ECF145D" w14:textId="77777777" w:rsidR="00DB2B68" w:rsidRDefault="00000000">
      <w:r>
        <w:rPr>
          <w:rStyle w:val="optioncarChar"/>
        </w:rPr>
        <w:t>QF</w:t>
      </w:r>
      <w:r>
        <w:t xml:space="preserve"> (par défaut)</w:t>
      </w:r>
      <w:r>
        <w:rPr>
          <w:rStyle w:val="optioncarChar"/>
        </w:rPr>
        <w:t xml:space="preserve"> / QP</w:t>
      </w:r>
    </w:p>
    <w:p w14:paraId="594D023C" w14:textId="77777777" w:rsidR="00DB2B68" w:rsidRDefault="00000000">
      <w:pPr>
        <w:pStyle w:val="pheading"/>
      </w:pPr>
      <w:r>
        <w:t>AIDE</w:t>
      </w:r>
    </w:p>
    <w:p w14:paraId="7A5B9873" w14:textId="77777777" w:rsidR="00DB2B68" w:rsidRDefault="00000000">
      <w:r>
        <w:t xml:space="preserve">La grille peut être couverte par l’article </w:t>
      </w:r>
      <w:hyperlink w:anchor="431" w:history="1">
        <w:r>
          <w:rPr>
            <w:color w:val="0000EE"/>
          </w:rPr>
          <w:t>21.44.1c Grilles de soupiraux</w:t>
        </w:r>
      </w:hyperlink>
      <w:r>
        <w:t>.</w:t>
      </w:r>
    </w:p>
    <w:p w14:paraId="26F4801F" w14:textId="77777777" w:rsidR="00DB2B68" w:rsidRDefault="00000000">
      <w:pPr>
        <w:pStyle w:val="Author-eSectionHeading6Numberless"/>
      </w:pPr>
      <w:bookmarkStart w:id="409" w:name="_Toc220495508"/>
      <w:r>
        <w:t>21.44.1c Grilles de soupiraux CCTB 01.02</w:t>
      </w:r>
      <w:bookmarkEnd w:id="409"/>
    </w:p>
    <w:p w14:paraId="0CE3E0FC" w14:textId="77777777" w:rsidR="00DB2B68" w:rsidRDefault="00000000">
      <w:pPr>
        <w:pStyle w:val="Author-eSectionHeading6Numberless"/>
      </w:pPr>
      <w:bookmarkStart w:id="410" w:name="431"/>
      <w:bookmarkStart w:id="411" w:name="_Toc220495509"/>
      <w:bookmarkEnd w:id="410"/>
      <w:r>
        <w:lastRenderedPageBreak/>
        <w:t>21.44.1d Tuyaux droits de ventilation CCTB 01.04</w:t>
      </w:r>
      <w:bookmarkEnd w:id="411"/>
    </w:p>
    <w:p w14:paraId="1D3ACE1C" w14:textId="77777777" w:rsidR="00DB2B68" w:rsidRDefault="00000000">
      <w:pPr>
        <w:pStyle w:val="Author-eSectionHeading4Numberless"/>
      </w:pPr>
      <w:bookmarkStart w:id="412" w:name="_Toc220495510"/>
      <w:r>
        <w:t>21.45 Blocs de verre individuels CCTB 01.02</w:t>
      </w:r>
      <w:bookmarkEnd w:id="412"/>
    </w:p>
    <w:p w14:paraId="7401C23D" w14:textId="77777777" w:rsidR="00DB2B68" w:rsidRDefault="00000000">
      <w:pPr>
        <w:pStyle w:val="Author-eSectionHeading5Numberless"/>
      </w:pPr>
      <w:bookmarkStart w:id="413" w:name="401"/>
      <w:bookmarkStart w:id="414" w:name="_Toc220495511"/>
      <w:bookmarkEnd w:id="413"/>
      <w:r>
        <w:t>21.45.1 Blocs de verre individuels CCTB 01.02</w:t>
      </w:r>
      <w:bookmarkEnd w:id="414"/>
    </w:p>
    <w:p w14:paraId="0285959A" w14:textId="77777777" w:rsidR="00DB2B68" w:rsidRDefault="00000000">
      <w:pPr>
        <w:pStyle w:val="Author-eSectionHeading6Numberless"/>
      </w:pPr>
      <w:bookmarkStart w:id="415" w:name="_Toc220495512"/>
      <w:r>
        <w:t>21.45.1a Blocs de verre individuels CCTB 01.11</w:t>
      </w:r>
      <w:bookmarkEnd w:id="415"/>
    </w:p>
    <w:p w14:paraId="59C8D6BD" w14:textId="77777777" w:rsidR="00DB2B68" w:rsidRDefault="00000000">
      <w:pPr>
        <w:pStyle w:val="pheading"/>
      </w:pPr>
      <w:r>
        <w:t>MATÉRIAUX</w:t>
      </w:r>
    </w:p>
    <w:p w14:paraId="08E2E76F" w14:textId="77777777" w:rsidR="00DB2B68" w:rsidRDefault="00000000">
      <w:pPr>
        <w:pStyle w:val="pheading"/>
      </w:pPr>
      <w:r>
        <w:t>- Caractéristiques générales</w:t>
      </w:r>
    </w:p>
    <w:p w14:paraId="03D53E7B" w14:textId="77777777" w:rsidR="00DB2B68" w:rsidRDefault="00000000">
      <w:pPr>
        <w:pStyle w:val="heading"/>
      </w:pPr>
      <w:r>
        <w:t>Spécifications</w:t>
      </w:r>
    </w:p>
    <w:p w14:paraId="26CAAE28" w14:textId="77777777" w:rsidR="00DB2B68" w:rsidRDefault="00000000">
      <w:r>
        <w:t xml:space="preserve">Format des blocs de verre : </w:t>
      </w:r>
      <w:r>
        <w:rPr>
          <w:rStyle w:val="optioncarChar"/>
        </w:rPr>
        <w:t>145 x 145 x 55 / 190 x 190 x 80 </w:t>
      </w:r>
      <w:r>
        <w:t>(par défaut)</w:t>
      </w:r>
      <w:r>
        <w:rPr>
          <w:rStyle w:val="optioncarChar"/>
        </w:rPr>
        <w:t> / 240 x 240 x 80 / 240 x 115 x 80 / 300 x 300 x 100 / *** x *** x ***</w:t>
      </w:r>
      <w:r>
        <w:t xml:space="preserve"> mm</w:t>
      </w:r>
    </w:p>
    <w:p w14:paraId="4887F438" w14:textId="77777777" w:rsidR="00DB2B68" w:rsidRDefault="00000000">
      <w:r>
        <w:t>Valeur d'isolation acoustique : environ 36dB</w:t>
      </w:r>
    </w:p>
    <w:p w14:paraId="22B0F152" w14:textId="77777777" w:rsidR="00DB2B68" w:rsidRDefault="00000000">
      <w:r>
        <w:t xml:space="preserve">Valeur d'isolation thermique : k </w:t>
      </w:r>
      <w:r>
        <w:rPr>
          <w:u w:val="single"/>
        </w:rPr>
        <w:t>&lt;</w:t>
      </w:r>
      <w:r>
        <w:t xml:space="preserve"> 2.6 kcal/m2 (ne s'applique pas aux éléments de ventilation).</w:t>
      </w:r>
    </w:p>
    <w:p w14:paraId="79269C9E" w14:textId="77777777" w:rsidR="00DB2B68" w:rsidRDefault="00000000">
      <w:pPr>
        <w:pStyle w:val="pheading"/>
      </w:pPr>
      <w:r>
        <w:t>- Finitions</w:t>
      </w:r>
    </w:p>
    <w:p w14:paraId="595364B0" w14:textId="77777777" w:rsidR="00DB2B68" w:rsidRDefault="00000000">
      <w:r>
        <w:t xml:space="preserve">Aspect des blocs de verre : </w:t>
      </w:r>
      <w:r>
        <w:rPr>
          <w:rStyle w:val="optioncarChar"/>
        </w:rPr>
        <w:t>lisse uni </w:t>
      </w:r>
      <w:r>
        <w:t xml:space="preserve">(par défaut) </w:t>
      </w:r>
      <w:r>
        <w:rPr>
          <w:rStyle w:val="optioncarChar"/>
        </w:rPr>
        <w:t>/ lisse strié / lisse ondé / ***</w:t>
      </w:r>
    </w:p>
    <w:p w14:paraId="6F4AA78D" w14:textId="77777777" w:rsidR="00DB2B68" w:rsidRDefault="00000000">
      <w:r>
        <w:t xml:space="preserve">Couleur des blocs de verre : </w:t>
      </w:r>
      <w:r>
        <w:rPr>
          <w:rStyle w:val="optioncarChar"/>
        </w:rPr>
        <w:t xml:space="preserve">transparentes claires </w:t>
      </w:r>
      <w:r>
        <w:t>(par défaut) </w:t>
      </w:r>
      <w:r>
        <w:rPr>
          <w:rStyle w:val="optioncarChar"/>
        </w:rPr>
        <w:t>/ ***</w:t>
      </w:r>
    </w:p>
    <w:p w14:paraId="1E0AB07B" w14:textId="77777777" w:rsidR="00DB2B68" w:rsidRDefault="00000000">
      <w:pPr>
        <w:pStyle w:val="pheading"/>
      </w:pPr>
      <w:r>
        <w:t>- Prescriptions complémentaires</w:t>
      </w:r>
    </w:p>
    <w:p w14:paraId="1B2113A9" w14:textId="77777777" w:rsidR="00DB2B68" w:rsidRDefault="00000000">
      <w:r>
        <w:t xml:space="preserve">Eléments de ventilation : les blocs de verre avec ventilation répondent à la [NBN S 23-002] et ont une </w:t>
      </w:r>
      <w:r>
        <w:rPr>
          <w:rStyle w:val="optioncarChar"/>
        </w:rPr>
        <w:t>ouverture fixe / un clapet réglable / un clapet réglable avec moustiquaire</w:t>
      </w:r>
      <w:r>
        <w:t xml:space="preserve">, passage libre de l'air de </w:t>
      </w:r>
      <w:r>
        <w:rPr>
          <w:rStyle w:val="optioncarChar"/>
        </w:rPr>
        <w:t>25 </w:t>
      </w:r>
      <w:r>
        <w:t>(par défaut)</w:t>
      </w:r>
      <w:r>
        <w:rPr>
          <w:rStyle w:val="optioncarChar"/>
        </w:rPr>
        <w:t xml:space="preserve"> / ***</w:t>
      </w:r>
      <w:r>
        <w:t xml:space="preserve"> %. L'application est conforme aux indications sur les plans et/ou aux dessins de d'exécution.</w:t>
      </w:r>
    </w:p>
    <w:p w14:paraId="5EFBFDFA" w14:textId="77777777" w:rsidR="00DB2B68" w:rsidRDefault="00000000">
      <w:r>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ne peut pas être vitrée.</w:t>
      </w:r>
    </w:p>
    <w:p w14:paraId="044B59E2" w14:textId="77777777" w:rsidR="00DB2B68" w:rsidRDefault="00000000">
      <w:r>
        <w:t>Support aux prescripteurs : [AR 1994-07-07] et [SWL GSI/T1/C] de la prévention passive.</w:t>
      </w:r>
    </w:p>
    <w:p w14:paraId="59C3E274" w14:textId="77777777" w:rsidR="00DB2B68" w:rsidRDefault="00000000">
      <w:pPr>
        <w:pStyle w:val="pheading"/>
      </w:pPr>
      <w:r>
        <w:t>EXÉCUTION / MISE EN ŒUVRE</w:t>
      </w:r>
    </w:p>
    <w:p w14:paraId="4AD3748D" w14:textId="77777777" w:rsidR="00DB2B68" w:rsidRDefault="00000000">
      <w:pPr>
        <w:pStyle w:val="pheading"/>
      </w:pPr>
      <w:r>
        <w:t>- Prescriptions générales</w:t>
      </w:r>
    </w:p>
    <w:p w14:paraId="2D2B1B18" w14:textId="77777777" w:rsidR="00DB2B68" w:rsidRDefault="00000000">
      <w:r>
        <w:t xml:space="preserve">Les blocs de verre isolés sont insérées dans la maçonnerie à l'aide de mortier de maçonnerie, les joints entre les blocs de verre présentent une épaisseur constante de </w:t>
      </w:r>
      <w:r>
        <w:rPr>
          <w:rStyle w:val="optioncarChar"/>
        </w:rPr>
        <w:t>10 </w:t>
      </w:r>
      <w:r>
        <w:t>(par défaut)</w:t>
      </w:r>
      <w:r>
        <w:rPr>
          <w:rStyle w:val="optioncarChar"/>
        </w:rPr>
        <w:t xml:space="preserve"> / ***</w:t>
      </w:r>
      <w:r>
        <w:t xml:space="preserve"> mm. Pendant la mise en œuvre, les blocs sont nettoyés et lissés, il est conseillé de les enduire préalablement d'une couche protectrice. Tous les joints sont lissés et doivent être étanches.</w:t>
      </w:r>
    </w:p>
    <w:p w14:paraId="69BB2156" w14:textId="77777777" w:rsidR="00DB2B68" w:rsidRDefault="00000000">
      <w:r>
        <w:t>Dans tous les joints verticaux et horizontaux, on prévoit des armatures, en fonction des sollicitations dues au vent. Tous les joints, tant verticaux qu'horizontaux, sont armés d'au moins deux barres BE 400 diamètre 5 mm; ces barres se situent à au moins 20 mm des faces extérieures.</w:t>
      </w:r>
    </w:p>
    <w:p w14:paraId="4AFAD43B" w14:textId="77777777" w:rsidR="00DB2B68" w:rsidRDefault="00000000">
      <w:r>
        <w:t xml:space="preserve">La face inférieure et tous les autres bords incorporés reçoivent une bande bitumineuse d’une épaisseur de 1 cm. Lorsque la base repose sur un seuil approprié (voir l'article </w:t>
      </w:r>
      <w:r>
        <w:rPr>
          <w:rStyle w:val="optioncarChar"/>
        </w:rPr>
        <w:t>***</w:t>
      </w:r>
      <w:r>
        <w:t>),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14:paraId="13ACBC2B" w14:textId="77777777" w:rsidR="00DB2B68" w:rsidRDefault="00000000">
      <w:pPr>
        <w:pStyle w:val="pheading"/>
      </w:pPr>
      <w:r>
        <w:t>- Notes d’exécution complémentaires</w:t>
      </w:r>
    </w:p>
    <w:p w14:paraId="64BB8434" w14:textId="77777777" w:rsidR="00DB2B68" w:rsidRDefault="00000000">
      <w:r>
        <w:t>Les blocs de verre individuels ventilés sont intégrés dans la maçonnerie à l'aide de mortier de maçonnerie.</w:t>
      </w:r>
    </w:p>
    <w:p w14:paraId="08CB9CC8" w14:textId="77777777" w:rsidR="00DB2B68" w:rsidRDefault="00000000">
      <w:r>
        <w:t xml:space="preserve">A l'intérieur, les niches sont parachevées à l'aide </w:t>
      </w:r>
      <w:r>
        <w:rPr>
          <w:rStyle w:val="optioncarChar"/>
        </w:rPr>
        <w:t>d'un cimentage / d'un plafonnage</w:t>
      </w:r>
      <w:r>
        <w:t>.</w:t>
      </w:r>
    </w:p>
    <w:p w14:paraId="064A48A0" w14:textId="77777777" w:rsidR="00DB2B68" w:rsidRDefault="00000000">
      <w:pPr>
        <w:pStyle w:val="Author-eSectionHeading6Numberless"/>
      </w:pPr>
      <w:bookmarkStart w:id="416" w:name="_Toc220495513"/>
      <w:r>
        <w:t>21.45.1b Blocs de verre individuels de ventilation CCTB 01.11</w:t>
      </w:r>
      <w:bookmarkEnd w:id="416"/>
    </w:p>
    <w:p w14:paraId="6AD0DCCB" w14:textId="77777777" w:rsidR="00DB2B68" w:rsidRDefault="00000000">
      <w:pPr>
        <w:pStyle w:val="pheading"/>
      </w:pPr>
      <w:r>
        <w:lastRenderedPageBreak/>
        <w:t>MATÉRIAUX</w:t>
      </w:r>
    </w:p>
    <w:p w14:paraId="69B33A33" w14:textId="77777777" w:rsidR="00DB2B68" w:rsidRDefault="00000000">
      <w:pPr>
        <w:pStyle w:val="pheading"/>
      </w:pPr>
      <w:r>
        <w:t>- Caractéristiques générales</w:t>
      </w:r>
    </w:p>
    <w:p w14:paraId="1BCCAA72" w14:textId="77777777" w:rsidR="00DB2B68" w:rsidRDefault="00000000">
      <w:pPr>
        <w:pStyle w:val="heading"/>
      </w:pPr>
      <w:r>
        <w:t>Spécifications</w:t>
      </w:r>
    </w:p>
    <w:p w14:paraId="15B38AD1" w14:textId="77777777" w:rsidR="00DB2B68" w:rsidRDefault="00000000">
      <w:r>
        <w:t xml:space="preserve">Format des blocs de verre : </w:t>
      </w:r>
      <w:r>
        <w:rPr>
          <w:rStyle w:val="optioncarChar"/>
        </w:rPr>
        <w:t>145 x 145 x 55 / 190 x 190 x 80 </w:t>
      </w:r>
      <w:r>
        <w:t>(par défaut)</w:t>
      </w:r>
      <w:r>
        <w:rPr>
          <w:rStyle w:val="optioncarChar"/>
        </w:rPr>
        <w:t xml:space="preserve"> / 240 x 240 x 80 / 240 x 115 x 80 / 300 x 300 x 100 / *** x *** x ***</w:t>
      </w:r>
      <w:r>
        <w:t xml:space="preserve"> mm.</w:t>
      </w:r>
    </w:p>
    <w:p w14:paraId="23E13EA2" w14:textId="77777777" w:rsidR="00DB2B68" w:rsidRDefault="00000000">
      <w:pPr>
        <w:ind w:left="750"/>
      </w:pPr>
      <w:r>
        <w:t> </w:t>
      </w:r>
    </w:p>
    <w:p w14:paraId="132C8400" w14:textId="77777777" w:rsidR="00DB2B68" w:rsidRDefault="00000000">
      <w:pPr>
        <w:pStyle w:val="pheading"/>
      </w:pPr>
      <w:r>
        <w:t>- Finitions</w:t>
      </w:r>
    </w:p>
    <w:p w14:paraId="2DD0C1DA" w14:textId="77777777" w:rsidR="00DB2B68" w:rsidRDefault="00000000">
      <w:r>
        <w:t xml:space="preserve">Aspect des blocs de verre : </w:t>
      </w:r>
      <w:r>
        <w:rPr>
          <w:rStyle w:val="optioncarChar"/>
        </w:rPr>
        <w:t xml:space="preserve">lisse uni </w:t>
      </w:r>
      <w:r>
        <w:t>(par défaut) </w:t>
      </w:r>
      <w:r>
        <w:rPr>
          <w:rStyle w:val="optioncarChar"/>
        </w:rPr>
        <w:t>/ lisse strié / lisse ondé / ***</w:t>
      </w:r>
    </w:p>
    <w:p w14:paraId="3CA99778" w14:textId="77777777" w:rsidR="00DB2B68" w:rsidRDefault="00000000">
      <w:r>
        <w:t xml:space="preserve">Couleur des blocs de verre : </w:t>
      </w:r>
      <w:r>
        <w:rPr>
          <w:rStyle w:val="optioncarChar"/>
        </w:rPr>
        <w:t>transparentes claires </w:t>
      </w:r>
      <w:r>
        <w:t>(par défaut)</w:t>
      </w:r>
      <w:r>
        <w:rPr>
          <w:rStyle w:val="optioncarChar"/>
        </w:rPr>
        <w:t xml:space="preserve"> / ***</w:t>
      </w:r>
    </w:p>
    <w:p w14:paraId="5124B72D" w14:textId="77777777" w:rsidR="00DB2B68" w:rsidRDefault="00000000">
      <w:pPr>
        <w:ind w:left="750"/>
      </w:pPr>
      <w:r>
        <w:t> </w:t>
      </w:r>
    </w:p>
    <w:p w14:paraId="0894185C" w14:textId="77777777" w:rsidR="00DB2B68" w:rsidRDefault="00000000">
      <w:pPr>
        <w:pStyle w:val="pheading"/>
      </w:pPr>
      <w:r>
        <w:t>- Prescriptions complémentaires</w:t>
      </w:r>
    </w:p>
    <w:p w14:paraId="34774130" w14:textId="77777777" w:rsidR="00DB2B68" w:rsidRDefault="00000000">
      <w:r>
        <w:t xml:space="preserve">Eléments de ventilation : les blocs de verre ventilés répondent à la [NBN S 23-002] et présentent une </w:t>
      </w:r>
      <w:r>
        <w:rPr>
          <w:rStyle w:val="optioncarChar"/>
        </w:rPr>
        <w:t>ouverture fixe / un clapet réglable / un clapet réglable avec moustiquaire</w:t>
      </w:r>
      <w:r>
        <w:t xml:space="preserve">, passage libre de l'air de </w:t>
      </w:r>
      <w:r>
        <w:rPr>
          <w:rStyle w:val="optioncarChar"/>
        </w:rPr>
        <w:t xml:space="preserve">25 </w:t>
      </w:r>
      <w:r>
        <w:t>(par défaut) </w:t>
      </w:r>
      <w:r>
        <w:rPr>
          <w:rStyle w:val="optioncarChar"/>
        </w:rPr>
        <w:t>/ ***</w:t>
      </w:r>
      <w:r>
        <w:t xml:space="preserve"> %. L'application est conforme aux indications sur les plans et/ou aux dessins de d'exécution.</w:t>
      </w:r>
    </w:p>
    <w:p w14:paraId="5E0C9804" w14:textId="77777777" w:rsidR="00DB2B68" w:rsidRDefault="00000000">
      <w:r>
        <w:t>On pose une bande de polystyrène extrudé d'une épaisseur de 15 mm sur les côtés et de 25 mm au-dessus des panneaux préfabriqués</w:t>
      </w:r>
    </w:p>
    <w:p w14:paraId="2430B988" w14:textId="77777777" w:rsidR="00DB2B68" w:rsidRDefault="00000000">
      <w:r>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ne peut pas être vitrée.</w:t>
      </w:r>
    </w:p>
    <w:p w14:paraId="7C4A5558" w14:textId="77777777" w:rsidR="00DB2B68" w:rsidRDefault="00000000">
      <w:r>
        <w:t>Support aux prescripteurs : [AR 1994-07-07] et [SWL GSI/T1/C] de la prévention passive.</w:t>
      </w:r>
    </w:p>
    <w:p w14:paraId="4AB900FC" w14:textId="77777777" w:rsidR="00DB2B68" w:rsidRDefault="00000000">
      <w:pPr>
        <w:ind w:left="750"/>
      </w:pPr>
      <w:r>
        <w:t> </w:t>
      </w:r>
    </w:p>
    <w:p w14:paraId="3667B2AB" w14:textId="77777777" w:rsidR="00DB2B68" w:rsidRDefault="00000000">
      <w:pPr>
        <w:pStyle w:val="pheading"/>
      </w:pPr>
      <w:r>
        <w:t>EXÉCUTION / MISE EN ŒUVRE</w:t>
      </w:r>
    </w:p>
    <w:p w14:paraId="433E0BE9" w14:textId="77777777" w:rsidR="00DB2B68" w:rsidRDefault="00000000">
      <w:pPr>
        <w:pStyle w:val="pheading"/>
      </w:pPr>
      <w:r>
        <w:t>- Notes d’exécution complémentaires</w:t>
      </w:r>
    </w:p>
    <w:p w14:paraId="3E5BAF8E" w14:textId="77777777" w:rsidR="00DB2B68" w:rsidRDefault="00000000">
      <w:r>
        <w:t>Les joints périphériques sont rembourrés à l'aide d'un matériau isolant approprié.</w:t>
      </w:r>
    </w:p>
    <w:p w14:paraId="5E6AA01E" w14:textId="77777777" w:rsidR="00DB2B68" w:rsidRDefault="00000000">
      <w:r>
        <w:t xml:space="preserve">Les bords inférieurs sont pourvus d'une couche hydrofuge, c'est-à-dire d’une bande de bitume et d’une bavette de plomb continue, selon l'article </w:t>
      </w:r>
      <w:r>
        <w:rPr>
          <w:rStyle w:val="optioncarChar"/>
          <w:shd w:val="clear" w:color="auto" w:fill="FFFFFF"/>
        </w:rPr>
        <w:t>***</w:t>
      </w:r>
    </w:p>
    <w:p w14:paraId="3B8D8E51" w14:textId="77777777" w:rsidR="00DB2B68" w:rsidRDefault="00000000">
      <w:pPr>
        <w:pStyle w:val="Author-eSectionHeading6Numberless"/>
      </w:pPr>
      <w:bookmarkStart w:id="417" w:name="_Toc220495514"/>
      <w:r>
        <w:t>21.45.1c Blocs de verre individuels sur châssis CCTB 01.02</w:t>
      </w:r>
      <w:bookmarkEnd w:id="417"/>
    </w:p>
    <w:p w14:paraId="40999716" w14:textId="77777777" w:rsidR="00DB2B68" w:rsidRDefault="00000000">
      <w:pPr>
        <w:pStyle w:val="Author-eSectionHeading4Numberless"/>
      </w:pPr>
      <w:bookmarkStart w:id="418" w:name="_Toc220495515"/>
      <w:r>
        <w:t>21.46 Eléments d'assise pour nœuds constructifs CCTB 01.04</w:t>
      </w:r>
      <w:bookmarkEnd w:id="418"/>
    </w:p>
    <w:p w14:paraId="5F4602C7" w14:textId="77777777" w:rsidR="00DB2B68" w:rsidRDefault="00000000">
      <w:pPr>
        <w:pStyle w:val="Author-eSectionHeading5Numberless"/>
      </w:pPr>
      <w:bookmarkStart w:id="419" w:name="_Toc220495516"/>
      <w:r>
        <w:t>21.46.1 Blocs d'assise pour nœuds constructifs CCTB 01.04</w:t>
      </w:r>
      <w:bookmarkEnd w:id="419"/>
    </w:p>
    <w:p w14:paraId="1BE579B1" w14:textId="77777777" w:rsidR="00DB2B68" w:rsidRDefault="00000000">
      <w:pPr>
        <w:pStyle w:val="Author-eSectionHeading6Numberless"/>
      </w:pPr>
      <w:bookmarkStart w:id="420" w:name="_Toc220495517"/>
      <w:r>
        <w:t>21.46.1a Blocs d'assise en blocs de béton cellulaire pour nœuds constructifs CCTB 01.11</w:t>
      </w:r>
      <w:bookmarkEnd w:id="420"/>
    </w:p>
    <w:p w14:paraId="4D7A3645" w14:textId="77777777" w:rsidR="00DB2B68" w:rsidRDefault="00000000">
      <w:pPr>
        <w:pStyle w:val="pheading"/>
      </w:pPr>
      <w:r>
        <w:t>DESCRIPTION</w:t>
      </w:r>
    </w:p>
    <w:p w14:paraId="6480CD08" w14:textId="77777777" w:rsidR="00DB2B68" w:rsidRDefault="00000000">
      <w:pPr>
        <w:pStyle w:val="pheading"/>
      </w:pPr>
      <w:r>
        <w:t>- Définition / Comprend</w:t>
      </w:r>
    </w:p>
    <w:p w14:paraId="3C468F30" w14:textId="77777777" w:rsidR="00DB2B68" w:rsidRDefault="00000000">
      <w:pPr>
        <w:jc w:val="both"/>
      </w:pPr>
      <w:r>
        <w:t>Il s’agit de la fourniture et de la pose de blocs d’assise en béton cellulaire à placer au bas de certains murs et ce, conformément aux directives de l’auteur de projet, de manière à mettre en œuvre les éléments nécessaires au respect de la règle de base n°2 de la PEB relative aux nœuds constructifs.</w:t>
      </w:r>
    </w:p>
    <w:p w14:paraId="79EFF1C3" w14:textId="77777777" w:rsidR="00DB2B68" w:rsidRDefault="00000000">
      <w:pPr>
        <w:pStyle w:val="pheading"/>
      </w:pPr>
      <w:r>
        <w:t>MATÉRIAUX</w:t>
      </w:r>
    </w:p>
    <w:p w14:paraId="051AB111" w14:textId="77777777" w:rsidR="00DB2B68" w:rsidRDefault="00000000">
      <w:pPr>
        <w:pStyle w:val="pheading"/>
      </w:pPr>
      <w:r>
        <w:t>- Caractéristiques générales</w:t>
      </w:r>
    </w:p>
    <w:p w14:paraId="6C0789F4" w14:textId="77777777" w:rsidR="00DB2B68" w:rsidRDefault="00000000">
      <w:pPr>
        <w:jc w:val="both"/>
      </w:pPr>
      <w:r>
        <w:t>Blocs en béton cellulaire répondant à la norme [NBN EN 771-4+A1] et au [PTV 21-002].</w:t>
      </w:r>
    </w:p>
    <w:p w14:paraId="784438FE" w14:textId="77777777" w:rsidR="00DB2B68" w:rsidRDefault="00000000">
      <w:pPr>
        <w:jc w:val="both"/>
      </w:pPr>
      <w:r>
        <w:lastRenderedPageBreak/>
        <w:t>Résistance à la compression : catégorie I (la résistance à la compression est déclarée avec une fiabilité de 95%).</w:t>
      </w:r>
    </w:p>
    <w:p w14:paraId="6C4B6314" w14:textId="77777777" w:rsidR="00DB2B68" w:rsidRDefault="00000000">
      <w:pPr>
        <w:jc w:val="both"/>
      </w:pPr>
      <w:r>
        <w:t xml:space="preserve">Classe de qualité suivant [PTV 21-002] : </w:t>
      </w:r>
      <w:r>
        <w:rPr>
          <w:rStyle w:val="optioncarChar"/>
        </w:rPr>
        <w:t>C4/500</w:t>
      </w:r>
      <w:r>
        <w:t xml:space="preserve"> (par défaut) </w:t>
      </w:r>
      <w:r>
        <w:rPr>
          <w:rStyle w:val="optioncarChar"/>
        </w:rPr>
        <w:t>/ ***</w:t>
      </w:r>
    </w:p>
    <w:p w14:paraId="2324EB61" w14:textId="77777777" w:rsidR="00DB2B68" w:rsidRDefault="00000000">
      <w:pPr>
        <w:jc w:val="both"/>
      </w:pPr>
      <w:r>
        <w:t>Résistance en compression normalisée (f</w:t>
      </w:r>
      <w:r>
        <w:rPr>
          <w:vertAlign w:val="subscript"/>
        </w:rPr>
        <w:t>b</w:t>
      </w:r>
      <w:r>
        <w:t>) / moyenne (f</w:t>
      </w:r>
      <w:r>
        <w:rPr>
          <w:vertAlign w:val="subscript"/>
        </w:rPr>
        <w:t>mean</w:t>
      </w:r>
      <w:r>
        <w:t>) suivant [NBN EN 1996 série] : ≥ à</w:t>
      </w:r>
      <w:r>
        <w:rPr>
          <w:rStyle w:val="optioncarChar"/>
        </w:rPr>
        <w:t xml:space="preserve"> 4,5 </w:t>
      </w:r>
      <w:r>
        <w:t>(par défaut)</w:t>
      </w:r>
      <w:r>
        <w:rPr>
          <w:rStyle w:val="optioncarChar"/>
        </w:rPr>
        <w:t xml:space="preserve"> / ***</w:t>
      </w:r>
      <w:r>
        <w:t xml:space="preserve"> N/mm² (MPa) (classe f </w:t>
      </w:r>
      <w:r>
        <w:rPr>
          <w:rStyle w:val="optioncarChar"/>
        </w:rPr>
        <w:t>***</w:t>
      </w:r>
      <w:r>
        <w:t>) (selon [NBN EN 771-4+A1]).</w:t>
      </w:r>
    </w:p>
    <w:p w14:paraId="5A66BE7B" w14:textId="77777777" w:rsidR="00DB2B68" w:rsidRDefault="00000000">
      <w:pPr>
        <w:jc w:val="both"/>
      </w:pPr>
      <w:r>
        <w:t xml:space="preserve">La masse volumique sèche apparente des blocs ρ (rho) : </w:t>
      </w:r>
      <w:r>
        <w:rPr>
          <w:rStyle w:val="optioncarChar"/>
        </w:rPr>
        <w:t xml:space="preserve">≥ 450 </w:t>
      </w:r>
      <w:r>
        <w:t>(par défaut)</w:t>
      </w:r>
      <w:r>
        <w:rPr>
          <w:rStyle w:val="optioncarChar"/>
        </w:rPr>
        <w:t xml:space="preserve"> / ***</w:t>
      </w:r>
      <w:r>
        <w:t xml:space="preserve"> kg/m³ (blocs pleins), selon la [NBN EN 771-4+A1].</w:t>
      </w:r>
    </w:p>
    <w:p w14:paraId="32A65125" w14:textId="77777777" w:rsidR="00DB2B68" w:rsidRDefault="00000000">
      <w:pPr>
        <w:jc w:val="both"/>
      </w:pPr>
      <w:r>
        <w:t>La conductibilité thermique λ</w:t>
      </w:r>
      <w:r>
        <w:rPr>
          <w:vertAlign w:val="subscript"/>
        </w:rPr>
        <w:t>D</w:t>
      </w:r>
      <w:r>
        <w:t xml:space="preserve"> est soumise à l’approbation du responsable PEB ou de l’auteur de projet pour s’assurer de la conformité PEB du nœud constructif.</w:t>
      </w:r>
    </w:p>
    <w:p w14:paraId="3183D7D4" w14:textId="77777777" w:rsidR="00DB2B68" w:rsidRDefault="00000000">
      <w:pPr>
        <w:jc w:val="both"/>
      </w:pPr>
      <w:r>
        <w:t>Les blocs sont hydrophobes dans la masse.</w:t>
      </w:r>
    </w:p>
    <w:p w14:paraId="29FB9C42" w14:textId="77777777" w:rsidR="00DB2B68" w:rsidRDefault="00000000">
      <w:pPr>
        <w:jc w:val="both"/>
      </w:pPr>
      <w:r>
        <w:t>Format :</w:t>
      </w:r>
    </w:p>
    <w:p w14:paraId="34A66B51" w14:textId="77777777" w:rsidR="00DB2B68" w:rsidRDefault="00000000">
      <w:pPr>
        <w:pStyle w:val="Author-eListParagraph"/>
        <w:numPr>
          <w:ilvl w:val="0"/>
          <w:numId w:val="296"/>
        </w:numPr>
        <w:jc w:val="both"/>
      </w:pPr>
      <w:r>
        <w:t xml:space="preserve">longueur : </w:t>
      </w:r>
      <w:r>
        <w:rPr>
          <w:rStyle w:val="optioncarChar"/>
        </w:rPr>
        <w:t xml:space="preserve">au choix de l'entrepreneur </w:t>
      </w:r>
      <w:r>
        <w:t>(par défaut)</w:t>
      </w:r>
      <w:r>
        <w:rPr>
          <w:rStyle w:val="optioncarChar"/>
        </w:rPr>
        <w:t xml:space="preserve"> / 600 / *** </w:t>
      </w:r>
      <w:r>
        <w:t>mm</w:t>
      </w:r>
    </w:p>
    <w:p w14:paraId="6F6FC602" w14:textId="77777777" w:rsidR="00DB2B68" w:rsidRDefault="00000000">
      <w:pPr>
        <w:pStyle w:val="Author-eListParagraph"/>
        <w:numPr>
          <w:ilvl w:val="0"/>
          <w:numId w:val="296"/>
        </w:numPr>
        <w:jc w:val="both"/>
      </w:pPr>
      <w:r>
        <w:t xml:space="preserve">hauteur : </w:t>
      </w:r>
      <w:r>
        <w:rPr>
          <w:rStyle w:val="optioncarChar"/>
        </w:rPr>
        <w:t xml:space="preserve">150 / 200 </w:t>
      </w:r>
      <w:r>
        <w:t>(par défaut)</w:t>
      </w:r>
      <w:r>
        <w:rPr>
          <w:rStyle w:val="optioncarChar"/>
        </w:rPr>
        <w:t xml:space="preserve"> / 250 / 300 / ***</w:t>
      </w:r>
      <w:r>
        <w:t xml:space="preserve"> mm</w:t>
      </w:r>
    </w:p>
    <w:p w14:paraId="2E0C34C9" w14:textId="77777777" w:rsidR="00DB2B68" w:rsidRDefault="00000000">
      <w:pPr>
        <w:pStyle w:val="Author-eListParagraph"/>
        <w:numPr>
          <w:ilvl w:val="0"/>
          <w:numId w:val="296"/>
        </w:numPr>
        <w:jc w:val="both"/>
      </w:pPr>
      <w:r>
        <w:t xml:space="preserve">largeur : </w:t>
      </w:r>
      <w:r>
        <w:rPr>
          <w:rStyle w:val="optioncarChar"/>
        </w:rPr>
        <w:t xml:space="preserve">voir métré et plan </w:t>
      </w:r>
      <w:r>
        <w:t>(par défaut)</w:t>
      </w:r>
      <w:r>
        <w:rPr>
          <w:rStyle w:val="optioncarChar"/>
        </w:rPr>
        <w:t xml:space="preserve"> / 90 / 100 / 140 / 150 / 190 / 200 / *** </w:t>
      </w:r>
      <w:r>
        <w:t>mm</w:t>
      </w:r>
    </w:p>
    <w:p w14:paraId="2551D8D0" w14:textId="77777777" w:rsidR="00DB2B68" w:rsidRDefault="00000000">
      <w:r>
        <w:t>Résistance au feu démontrée par test au feu selon les tableaux dans la [NBN EN 1996-1-2 ANB] :</w:t>
      </w:r>
    </w:p>
    <w:p w14:paraId="4FF77C94" w14:textId="77777777" w:rsidR="00DB2B68" w:rsidRDefault="00000000">
      <w:pPr>
        <w:pStyle w:val="Author-eListParagraph"/>
        <w:numPr>
          <w:ilvl w:val="0"/>
          <w:numId w:val="297"/>
        </w:numPr>
        <w:jc w:val="both"/>
      </w:pPr>
      <w:r>
        <w:t xml:space="preserve">pour les éléments porteurs structuraux sans fonction séparante : </w:t>
      </w:r>
      <w:r>
        <w:rPr>
          <w:rStyle w:val="optioncarChar"/>
        </w:rPr>
        <w:t>R15 / R30 </w:t>
      </w:r>
      <w:r>
        <w:t>(par défaut)</w:t>
      </w:r>
      <w:r>
        <w:rPr>
          <w:rStyle w:val="optioncarChar"/>
        </w:rPr>
        <w:t xml:space="preserve"> / R60 / R120 / R240</w:t>
      </w:r>
    </w:p>
    <w:p w14:paraId="64730B83" w14:textId="77777777" w:rsidR="00DB2B68" w:rsidRDefault="00000000">
      <w:pPr>
        <w:pStyle w:val="Author-eListParagraph"/>
        <w:numPr>
          <w:ilvl w:val="0"/>
          <w:numId w:val="297"/>
        </w:numPr>
        <w:jc w:val="both"/>
      </w:pPr>
      <w:r>
        <w:t xml:space="preserve">pour les éléments porteurs structuraux avec fonction séparante : </w:t>
      </w:r>
      <w:r>
        <w:rPr>
          <w:rStyle w:val="optioncarChar"/>
        </w:rPr>
        <w:t>REI 30 </w:t>
      </w:r>
      <w:r>
        <w:t>(par défaut)</w:t>
      </w:r>
      <w:r>
        <w:rPr>
          <w:rStyle w:val="optioncarChar"/>
        </w:rPr>
        <w:t xml:space="preserve"> / REI 60 / REI 120 / REI 240</w:t>
      </w:r>
    </w:p>
    <w:p w14:paraId="2C8D80F3" w14:textId="77777777" w:rsidR="00DB2B68" w:rsidRDefault="00000000">
      <w:pPr>
        <w:pStyle w:val="Author-eListParagraph"/>
        <w:numPr>
          <w:ilvl w:val="0"/>
          <w:numId w:val="297"/>
        </w:numPr>
        <w:jc w:val="both"/>
      </w:pPr>
      <w:r>
        <w:t xml:space="preserve">pour les éléments non porteurs avec fonction séparante : </w:t>
      </w:r>
      <w:r>
        <w:rPr>
          <w:rStyle w:val="optioncarChar"/>
        </w:rPr>
        <w:t>EI 30</w:t>
      </w:r>
      <w:r>
        <w:t> (par défaut)</w:t>
      </w:r>
      <w:r>
        <w:rPr>
          <w:rStyle w:val="optioncarChar"/>
        </w:rPr>
        <w:t xml:space="preserve"> / EI 60 / EI 120</w:t>
      </w:r>
    </w:p>
    <w:p w14:paraId="4B98B462" w14:textId="77777777" w:rsidR="00DB2B68" w:rsidRDefault="00000000">
      <w:pPr>
        <w:pStyle w:val="pheading"/>
      </w:pPr>
      <w:r>
        <w:t>- Finitions</w:t>
      </w:r>
    </w:p>
    <w:p w14:paraId="3C4CDFBB" w14:textId="77777777" w:rsidR="00DB2B68" w:rsidRDefault="00000000">
      <w:r>
        <w:t xml:space="preserve">Surface : </w:t>
      </w:r>
      <w:r>
        <w:rPr>
          <w:rStyle w:val="optioncarChar"/>
        </w:rPr>
        <w:t xml:space="preserve">légèrement striée </w:t>
      </w:r>
      <w:r>
        <w:t>(par défaut)</w:t>
      </w:r>
      <w:r>
        <w:rPr>
          <w:rStyle w:val="optioncarChar"/>
        </w:rPr>
        <w:t xml:space="preserve"> / ***</w:t>
      </w:r>
      <w:r>
        <w:br/>
        <w:t xml:space="preserve">Boutisse : </w:t>
      </w:r>
      <w:r>
        <w:rPr>
          <w:rStyle w:val="optioncarChar"/>
        </w:rPr>
        <w:t xml:space="preserve">lisse (sans tenon et mortaise) </w:t>
      </w:r>
      <w:r>
        <w:t>(par défaut)</w:t>
      </w:r>
      <w:r>
        <w:rPr>
          <w:rStyle w:val="optioncarChar"/>
        </w:rPr>
        <w:t xml:space="preserve"> / ***</w:t>
      </w:r>
    </w:p>
    <w:p w14:paraId="6C2FD163" w14:textId="77777777" w:rsidR="00DB2B68" w:rsidRDefault="00000000">
      <w:pPr>
        <w:pStyle w:val="pheading"/>
      </w:pPr>
      <w:r>
        <w:t>EXÉCUTION / MISE EN ŒUVRE</w:t>
      </w:r>
    </w:p>
    <w:p w14:paraId="0180B59C" w14:textId="77777777" w:rsidR="00DB2B68" w:rsidRDefault="00000000">
      <w:pPr>
        <w:pStyle w:val="pheading"/>
      </w:pPr>
      <w:r>
        <w:t>- Prescriptions générales</w:t>
      </w:r>
    </w:p>
    <w:p w14:paraId="41C3D1DA" w14:textId="77777777" w:rsidR="00DB2B68" w:rsidRDefault="00000000">
      <w:pPr>
        <w:jc w:val="both"/>
      </w:pPr>
      <w:r>
        <w:t>Pour la mise en œuvre des blocs, l’entreprise suit strictement les prescriptions de la documentation technique accompagnant le produit.</w:t>
      </w:r>
    </w:p>
    <w:p w14:paraId="10566A2C" w14:textId="77777777" w:rsidR="00DB2B68" w:rsidRDefault="00000000">
      <w:pPr>
        <w:pStyle w:val="pheading"/>
      </w:pPr>
      <w:r>
        <w:t>DOCUMENTS DE RÉFÉRENCE COMPLÉMENTAIRES</w:t>
      </w:r>
    </w:p>
    <w:p w14:paraId="5E33CDFC" w14:textId="77777777" w:rsidR="00DB2B68" w:rsidRDefault="00000000">
      <w:pPr>
        <w:pStyle w:val="pheading"/>
      </w:pPr>
      <w:r>
        <w:t>- Matériau</w:t>
      </w:r>
    </w:p>
    <w:p w14:paraId="047218A3" w14:textId="77777777" w:rsidR="00DB2B68" w:rsidRDefault="00000000">
      <w:r>
        <w:t>[NBN EN 771-4+A1, Spécifications pour éléments de maçonnerie - Partie 4: Éléments de maçonnerie en béton cellulaire autoclavé]</w:t>
      </w:r>
    </w:p>
    <w:p w14:paraId="2827E1C2" w14:textId="77777777" w:rsidR="00DB2B68" w:rsidRDefault="00000000">
      <w:r>
        <w:t>[PTV 21-002, Eléments de maçonnerie en béton cellulaire autoclavé - Classification et spécifications d'application.]</w:t>
      </w:r>
    </w:p>
    <w:p w14:paraId="1D0CA054" w14:textId="77777777" w:rsidR="00DB2B68" w:rsidRDefault="00000000">
      <w:pPr>
        <w:pStyle w:val="pheading"/>
      </w:pPr>
      <w:r>
        <w:t>MESURAGE</w:t>
      </w:r>
    </w:p>
    <w:p w14:paraId="086F699F" w14:textId="77777777" w:rsidR="00DB2B68" w:rsidRDefault="00000000">
      <w:pPr>
        <w:pStyle w:val="pheading"/>
      </w:pPr>
      <w:r>
        <w:t>- unité de mesure:</w:t>
      </w:r>
    </w:p>
    <w:p w14:paraId="3533A798" w14:textId="77777777" w:rsidR="00DB2B68" w:rsidRDefault="00000000">
      <w:r>
        <w:rPr>
          <w:rStyle w:val="optioncarChar"/>
        </w:rPr>
        <w:t>m³</w:t>
      </w:r>
      <w:r>
        <w:t> (par défaut)</w:t>
      </w:r>
      <w:r>
        <w:rPr>
          <w:rStyle w:val="optioncarChar"/>
        </w:rPr>
        <w:t> / m² </w:t>
      </w:r>
    </w:p>
    <w:p w14:paraId="19B139DA" w14:textId="77777777" w:rsidR="00DB2B68" w:rsidRDefault="00000000">
      <w:r>
        <w:rPr>
          <w:b/>
        </w:rPr>
        <w:t>(soit par défaut)  </w:t>
      </w:r>
      <w:r>
        <w:br/>
      </w:r>
      <w:r>
        <w:rPr>
          <w:rStyle w:val="soitChar"/>
        </w:rPr>
        <w:t>1. m³</w:t>
      </w:r>
      <w:r>
        <w:br/>
      </w:r>
      <w:r>
        <w:rPr>
          <w:b/>
        </w:rPr>
        <w:t xml:space="preserve">(soit) </w:t>
      </w:r>
      <w:r>
        <w:br/>
      </w:r>
      <w:r>
        <w:rPr>
          <w:rStyle w:val="soitChar"/>
        </w:rPr>
        <w:t>2. m² (pour cloison en 9 cm d’épaisseur)   </w:t>
      </w:r>
    </w:p>
    <w:p w14:paraId="3F052C8C" w14:textId="77777777" w:rsidR="00DB2B68" w:rsidRDefault="00000000">
      <w:pPr>
        <w:pStyle w:val="pheading"/>
      </w:pPr>
      <w:r>
        <w:t>- code de mesurage:</w:t>
      </w:r>
    </w:p>
    <w:p w14:paraId="448AD438" w14:textId="77777777" w:rsidR="00DB2B68" w:rsidRDefault="00000000">
      <w:r>
        <w:rPr>
          <w:rStyle w:val="optioncarChar"/>
        </w:rPr>
        <w:t>Volume net</w:t>
      </w:r>
      <w:r>
        <w:t> (par défaut)</w:t>
      </w:r>
      <w:r>
        <w:rPr>
          <w:rStyle w:val="optioncarChar"/>
        </w:rPr>
        <w:t> / Surface nette </w:t>
      </w:r>
    </w:p>
    <w:p w14:paraId="1CFC4EA0" w14:textId="77777777" w:rsidR="00DB2B68" w:rsidRDefault="00000000">
      <w:r>
        <w:rPr>
          <w:b/>
        </w:rPr>
        <w:t>(soit par défaut)  </w:t>
      </w:r>
      <w:r>
        <w:br/>
      </w:r>
      <w:r>
        <w:rPr>
          <w:rStyle w:val="soitChar"/>
        </w:rPr>
        <w:t xml:space="preserve">1. </w:t>
      </w:r>
      <w:r>
        <w:rPr>
          <w:rStyle w:val="soitChar"/>
          <w:u w:val="single"/>
        </w:rPr>
        <w:t>Volume net</w:t>
      </w:r>
      <w:r>
        <w:br/>
      </w:r>
      <w:r>
        <w:rPr>
          <w:b/>
        </w:rPr>
        <w:lastRenderedPageBreak/>
        <w:t xml:space="preserve">(soit) </w:t>
      </w:r>
      <w:r>
        <w:br/>
      </w:r>
      <w:r>
        <w:rPr>
          <w:rStyle w:val="soitChar"/>
        </w:rPr>
        <w:t xml:space="preserve">2. </w:t>
      </w:r>
      <w:r>
        <w:rPr>
          <w:rStyle w:val="soitChar"/>
          <w:u w:val="single"/>
        </w:rPr>
        <w:t>Surface nette</w:t>
      </w:r>
      <w:r>
        <w:rPr>
          <w:rStyle w:val="soitChar"/>
        </w:rPr>
        <w:t xml:space="preserve"> (pour cloison en 9 cm d’épaisseur)   </w:t>
      </w:r>
    </w:p>
    <w:p w14:paraId="16610148" w14:textId="77777777" w:rsidR="00DB2B68" w:rsidRDefault="00000000">
      <w:pPr>
        <w:pStyle w:val="pheading"/>
      </w:pPr>
      <w:r>
        <w:t>- nature du marché:</w:t>
      </w:r>
    </w:p>
    <w:p w14:paraId="227AE0A1" w14:textId="77777777" w:rsidR="00DB2B68" w:rsidRDefault="00000000">
      <w:r>
        <w:t>1.2. QF </w:t>
      </w:r>
    </w:p>
    <w:p w14:paraId="5F08402D" w14:textId="77777777" w:rsidR="00DB2B68" w:rsidRDefault="00000000">
      <w:pPr>
        <w:pStyle w:val="pheading"/>
      </w:pPr>
      <w:r>
        <w:t>AIDE</w:t>
      </w:r>
    </w:p>
    <w:p w14:paraId="5A92E752" w14:textId="77777777" w:rsidR="00DB2B68" w:rsidRDefault="00000000">
      <w:pPr>
        <w:jc w:val="both"/>
      </w:pPr>
      <w:r>
        <w:t xml:space="preserve">Bien que les blocs soient hydrophobes, l’application d’une couche étanche à l’humidité ascensionnelle est nécessaire conformément au chapitre </w:t>
      </w:r>
      <w:hyperlink w:anchor="356" w:history="1">
        <w:r>
          <w:rPr>
            <w:color w:val="0000EE"/>
          </w:rPr>
          <w:t>26.11 Feuilles et membranes d'étanchéité à l'eau</w:t>
        </w:r>
      </w:hyperlink>
      <w:r>
        <w:t>.</w:t>
      </w:r>
    </w:p>
    <w:p w14:paraId="50C120FC" w14:textId="77777777" w:rsidR="00DB2B68" w:rsidRDefault="00000000">
      <w:pPr>
        <w:pStyle w:val="Author-eSectionHeading6Numberless"/>
      </w:pPr>
      <w:bookmarkStart w:id="421" w:name="_Toc220495518"/>
      <w:r>
        <w:t>21.46.1b Blocs d'assise en blocs de béton pour nœuds constructifs CCTB 01.04</w:t>
      </w:r>
      <w:bookmarkEnd w:id="421"/>
    </w:p>
    <w:p w14:paraId="1C1B487A" w14:textId="77777777" w:rsidR="00DB2B68" w:rsidRDefault="00000000">
      <w:pPr>
        <w:pStyle w:val="Author-eSectionHeading6Numberless"/>
      </w:pPr>
      <w:bookmarkStart w:id="422" w:name="_Toc220495519"/>
      <w:r>
        <w:t>21.46.1c Blocs d'assise en blocs de terre cuite pour nœuds constructifs CCTB 01.04</w:t>
      </w:r>
      <w:bookmarkEnd w:id="422"/>
    </w:p>
    <w:p w14:paraId="5DB83D7F" w14:textId="77777777" w:rsidR="00DB2B68" w:rsidRDefault="00000000">
      <w:pPr>
        <w:pStyle w:val="Author-eSectionHeading6Numberless"/>
      </w:pPr>
      <w:bookmarkStart w:id="423" w:name="_Toc220495520"/>
      <w:r>
        <w:t>21.46.1d Blocs d'assise en blocs de silico-calcaire pour nœuds constructifs CCTB 01.12</w:t>
      </w:r>
      <w:bookmarkEnd w:id="423"/>
    </w:p>
    <w:p w14:paraId="001C0E6D" w14:textId="77777777" w:rsidR="00DB2B68" w:rsidRDefault="00000000">
      <w:pPr>
        <w:pStyle w:val="pheading"/>
      </w:pPr>
      <w:r>
        <w:t>MATÉRIAUX</w:t>
      </w:r>
    </w:p>
    <w:p w14:paraId="4F62248B" w14:textId="77777777" w:rsidR="00DB2B68" w:rsidRDefault="00000000">
      <w:pPr>
        <w:pStyle w:val="pheading"/>
      </w:pPr>
      <w:r>
        <w:t>- Caractéristiques générales</w:t>
      </w:r>
    </w:p>
    <w:p w14:paraId="0320C424" w14:textId="77777777" w:rsidR="00DB2B68" w:rsidRDefault="00000000">
      <w:r>
        <w:rPr>
          <w:b/>
        </w:rPr>
        <w:t>Spécifications</w:t>
      </w:r>
    </w:p>
    <w:p w14:paraId="1B113A33" w14:textId="77777777" w:rsidR="00DB2B68" w:rsidRDefault="00000000">
      <w:r>
        <w:t>En ce qui concerne la déclaration de la résistance à la compression, les blocs sont de catégorie I (la résistance à la compression est déclarée avec une fiabilité de 95%).</w:t>
      </w:r>
    </w:p>
    <w:p w14:paraId="7EF274F1" w14:textId="77777777" w:rsidR="00DB2B68" w:rsidRDefault="00000000">
      <w:r>
        <w:t xml:space="preserve">Les blocs en silico-calcaire sont de classe d’usage :  </w:t>
      </w:r>
      <w:r>
        <w:rPr>
          <w:rStyle w:val="optioncarChar"/>
        </w:rPr>
        <w:t>D</w:t>
      </w:r>
    </w:p>
    <w:p w14:paraId="367D3E28" w14:textId="77777777" w:rsidR="00DB2B68" w:rsidRDefault="00000000">
      <w:r>
        <w:t xml:space="preserve">La classe de qualité suivant [PTV 21-003] est :  </w:t>
      </w:r>
      <w:r>
        <w:rPr>
          <w:rStyle w:val="optioncarChar"/>
        </w:rPr>
        <w:t xml:space="preserve">20/1,2 </w:t>
      </w:r>
      <w:r>
        <w:t>(par défaut) </w:t>
      </w:r>
      <w:r>
        <w:rPr>
          <w:rStyle w:val="optioncarChar"/>
        </w:rPr>
        <w:t xml:space="preserve">/ *** </w:t>
      </w:r>
    </w:p>
    <w:p w14:paraId="7DC66110" w14:textId="77777777" w:rsidR="00DB2B68" w:rsidRDefault="00000000">
      <w:r>
        <w:t xml:space="preserve">La résistance en compression normalisée (fb) suivant [NBN EN 1996 série] . ANB est au minimum: </w:t>
      </w:r>
      <w:r>
        <w:rPr>
          <w:rStyle w:val="optioncarChar"/>
        </w:rPr>
        <w:t xml:space="preserve">10 </w:t>
      </w:r>
      <w:r>
        <w:t>(par défaut) </w:t>
      </w:r>
      <w:r>
        <w:rPr>
          <w:rStyle w:val="optioncarChar"/>
        </w:rPr>
        <w:t>/ 15 / 20 / ***</w:t>
      </w:r>
      <w:r>
        <w:t xml:space="preserve"> N/mm² (MPa) (classe f </w:t>
      </w:r>
      <w:r>
        <w:rPr>
          <w:rStyle w:val="optioncarChar"/>
        </w:rPr>
        <w:t>***</w:t>
      </w:r>
      <w:r>
        <w:t>) (selon [NBN EN 771-2+A1]).</w:t>
      </w:r>
    </w:p>
    <w:p w14:paraId="3E86AF87" w14:textId="77777777" w:rsidR="00DB2B68" w:rsidRDefault="00000000">
      <w:r>
        <w:t>Le groupe de configuration suivant [NBN EN 1996-1-1+A1 ANB] est:  </w:t>
      </w:r>
      <w:r>
        <w:rPr>
          <w:rStyle w:val="optioncarChar"/>
        </w:rPr>
        <w:t xml:space="preserve">1 </w:t>
      </w:r>
      <w:r>
        <w:t>(par défaut) </w:t>
      </w:r>
      <w:r>
        <w:rPr>
          <w:rStyle w:val="optioncarChar"/>
        </w:rPr>
        <w:t xml:space="preserve">/ *** </w:t>
      </w:r>
    </w:p>
    <w:p w14:paraId="5008ACAD" w14:textId="77777777" w:rsidR="00DB2B68" w:rsidRDefault="00000000">
      <w:r>
        <w:t xml:space="preserve">La masse volumique sèche apparente des blocs ρ (rho) est :   </w:t>
      </w:r>
      <w:r>
        <w:rPr>
          <w:rStyle w:val="optioncarChar"/>
        </w:rPr>
        <w:t>***</w:t>
      </w:r>
      <w:r>
        <w:t xml:space="preserve"> kg/m³ (blocs pleins), selon la [NBN EN 771-2+A1].</w:t>
      </w:r>
    </w:p>
    <w:p w14:paraId="77D5527E" w14:textId="77777777" w:rsidR="00DB2B68" w:rsidRDefault="00000000">
      <w:r>
        <w:t>La conductibilité thermique λD  est compatible avec la valeur U prescrite pour la paroi.</w:t>
      </w:r>
    </w:p>
    <w:p w14:paraId="4DCAB052" w14:textId="77777777" w:rsidR="00DB2B68" w:rsidRDefault="00000000">
      <w:r>
        <w:t>Boutisse : plate</w:t>
      </w:r>
    </w:p>
    <w:p w14:paraId="73DB2010" w14:textId="77777777" w:rsidR="00DB2B68" w:rsidRDefault="00000000">
      <w:r>
        <w:t>Face qui reste visible : lisse</w:t>
      </w:r>
    </w:p>
    <w:p w14:paraId="386A03B1" w14:textId="77777777" w:rsidR="00DB2B68" w:rsidRDefault="00000000">
      <w:r>
        <w:t>Face à cimenter ou plafonner : lisse</w:t>
      </w:r>
    </w:p>
    <w:p w14:paraId="561C7D22" w14:textId="77777777" w:rsidR="00DB2B68" w:rsidRDefault="00000000">
      <w:r>
        <w:t>Teinte : blanc</w:t>
      </w:r>
    </w:p>
    <w:p w14:paraId="1DF96768" w14:textId="77777777" w:rsidR="00DB2B68" w:rsidRDefault="00000000">
      <w:r>
        <w:t>Format :          </w:t>
      </w:r>
    </w:p>
    <w:p w14:paraId="0400C366" w14:textId="77777777" w:rsidR="00DB2B68" w:rsidRDefault="00000000">
      <w:r>
        <w:t xml:space="preserve">longueur : </w:t>
      </w:r>
      <w:r>
        <w:rPr>
          <w:rStyle w:val="optioncarChar"/>
        </w:rPr>
        <w:t>500 </w:t>
      </w:r>
      <w:r>
        <w:t>(par défaut)</w:t>
      </w:r>
      <w:r>
        <w:rPr>
          <w:rStyle w:val="optioncarChar"/>
        </w:rPr>
        <w:t xml:space="preserve"> / 300 / ***  mm / au choix de l'entrepreneur</w:t>
      </w:r>
    </w:p>
    <w:p w14:paraId="2C54BF87" w14:textId="77777777" w:rsidR="00DB2B68" w:rsidRDefault="00000000">
      <w:r>
        <w:t xml:space="preserve">hauteur : </w:t>
      </w:r>
      <w:r>
        <w:rPr>
          <w:rStyle w:val="optioncarChar"/>
        </w:rPr>
        <w:t>113 / 150 </w:t>
      </w:r>
      <w:r>
        <w:t xml:space="preserve">(par défaut) </w:t>
      </w:r>
      <w:r>
        <w:rPr>
          <w:rStyle w:val="optioncarChar"/>
        </w:rPr>
        <w:t>/ *** mm / au choix de l'entrepreneur</w:t>
      </w:r>
    </w:p>
    <w:p w14:paraId="4A445C9C" w14:textId="77777777" w:rsidR="00DB2B68" w:rsidRDefault="00000000">
      <w:r>
        <w:t xml:space="preserve">largeur : </w:t>
      </w:r>
      <w:r>
        <w:rPr>
          <w:rStyle w:val="optioncarChar"/>
        </w:rPr>
        <w:t>100 </w:t>
      </w:r>
      <w:r>
        <w:t>(par défaut)</w:t>
      </w:r>
      <w:r>
        <w:rPr>
          <w:rStyle w:val="optioncarChar"/>
        </w:rPr>
        <w:t xml:space="preserve"> / 150 / 175 / 214 / ***</w:t>
      </w:r>
      <w:r>
        <w:t xml:space="preserve"> mm</w:t>
      </w:r>
    </w:p>
    <w:p w14:paraId="3BA199D9" w14:textId="77777777" w:rsidR="00DB2B68" w:rsidRDefault="00000000">
      <w:r>
        <w:t>Stabilité de forme : les éléments en silico-calcaire destinés à un usage extérieur ou en maçonnerie souterraine  respectent le critère suivant en matière de comportement à l'humidité : retrait et gonflement hygrométriques ≤ 0.45 mm / m  (cf. [PTV 21-003] annexe E).</w:t>
      </w:r>
    </w:p>
    <w:p w14:paraId="4197F71E" w14:textId="77777777" w:rsidR="00DB2B68" w:rsidRDefault="00000000">
      <w:r>
        <w:t xml:space="preserve">Réaction au feu : </w:t>
      </w:r>
      <w:r>
        <w:rPr>
          <w:rStyle w:val="optioncarChar"/>
        </w:rPr>
        <w:t>A1 </w:t>
      </w:r>
      <w:r>
        <w:t>(par défaut)</w:t>
      </w:r>
      <w:r>
        <w:rPr>
          <w:rStyle w:val="optioncarChar"/>
        </w:rPr>
        <w:t xml:space="preserve">  / ***</w:t>
      </w:r>
    </w:p>
    <w:p w14:paraId="7DF01934" w14:textId="77777777" w:rsidR="00DB2B68" w:rsidRDefault="00000000">
      <w:r>
        <w:rPr>
          <w:b/>
        </w:rPr>
        <w:t>Critères de performances de la paroi</w:t>
      </w:r>
    </w:p>
    <w:p w14:paraId="7F03E1E3" w14:textId="77777777" w:rsidR="00DB2B68" w:rsidRDefault="00000000">
      <w:r>
        <w:t>Coefficient de transmission :</w:t>
      </w:r>
    </w:p>
    <w:p w14:paraId="52FDC75C" w14:textId="77777777" w:rsidR="00DB2B68" w:rsidRDefault="00000000">
      <w:pPr>
        <w:pStyle w:val="Author-eListParagraph"/>
        <w:numPr>
          <w:ilvl w:val="0"/>
          <w:numId w:val="298"/>
        </w:numPr>
      </w:pPr>
      <w:r>
        <w:t xml:space="preserve">valeur U minimale de  </w:t>
      </w:r>
      <w:r>
        <w:rPr>
          <w:rStyle w:val="optioncarChar"/>
        </w:rPr>
        <w:t>***</w:t>
      </w:r>
      <w:r>
        <w:t xml:space="preserve"> W/m²K </w:t>
      </w:r>
    </w:p>
    <w:p w14:paraId="6CD60509" w14:textId="77777777" w:rsidR="00DB2B68" w:rsidRDefault="00000000">
      <w:pPr>
        <w:pStyle w:val="Author-eListParagraph"/>
        <w:numPr>
          <w:ilvl w:val="0"/>
          <w:numId w:val="298"/>
        </w:numPr>
      </w:pPr>
      <w:r>
        <w:t xml:space="preserve">valeur λUi maximum </w:t>
      </w:r>
      <w:r>
        <w:rPr>
          <w:rStyle w:val="optioncarChar"/>
        </w:rPr>
        <w:t>0,33 </w:t>
      </w:r>
      <w:r>
        <w:t xml:space="preserve">(par défaut) </w:t>
      </w:r>
      <w:r>
        <w:rPr>
          <w:rStyle w:val="optioncarChar"/>
        </w:rPr>
        <w:t>/ 0,20 / ***</w:t>
      </w:r>
      <w:r>
        <w:t xml:space="preserve"> W/mK</w:t>
      </w:r>
    </w:p>
    <w:p w14:paraId="698C2AB2" w14:textId="77777777" w:rsidR="00DB2B68" w:rsidRDefault="00000000">
      <w:r>
        <w:lastRenderedPageBreak/>
        <w:t>Résistance au feu :</w:t>
      </w:r>
    </w:p>
    <w:p w14:paraId="414ED564" w14:textId="77777777" w:rsidR="00DB2B68" w:rsidRDefault="00000000">
      <w:pPr>
        <w:pStyle w:val="Author-eListParagraph"/>
        <w:numPr>
          <w:ilvl w:val="0"/>
          <w:numId w:val="299"/>
        </w:numPr>
      </w:pPr>
      <w:r>
        <w:t xml:space="preserve">pour les éléments porteurs structuraux sans fonction séparante : </w:t>
      </w:r>
      <w:r>
        <w:rPr>
          <w:rStyle w:val="optioncarChar"/>
        </w:rPr>
        <w:t>R 15 / R 30 </w:t>
      </w:r>
      <w:r>
        <w:t>(par défaut)</w:t>
      </w:r>
      <w:r>
        <w:rPr>
          <w:rStyle w:val="optioncarChar"/>
        </w:rPr>
        <w:t xml:space="preserve"> / R 60/ R 120 / R ***</w:t>
      </w:r>
    </w:p>
    <w:p w14:paraId="085D384B" w14:textId="77777777" w:rsidR="00DB2B68" w:rsidRDefault="00000000">
      <w:pPr>
        <w:pStyle w:val="Author-eListParagraph"/>
        <w:numPr>
          <w:ilvl w:val="0"/>
          <w:numId w:val="299"/>
        </w:numPr>
      </w:pPr>
      <w:r>
        <w:t xml:space="preserve">pour les éléments porteurs structuraux avec fonction séparante : </w:t>
      </w:r>
      <w:r>
        <w:rPr>
          <w:rStyle w:val="optioncarChar"/>
        </w:rPr>
        <w:t>REI 30 </w:t>
      </w:r>
      <w:r>
        <w:t xml:space="preserve">(par défaut) </w:t>
      </w:r>
      <w:r>
        <w:rPr>
          <w:rStyle w:val="optioncarChar"/>
        </w:rPr>
        <w:t xml:space="preserve">/ REI 60/ REI 120 / REI *** </w:t>
      </w:r>
    </w:p>
    <w:p w14:paraId="7B455C5A" w14:textId="77777777" w:rsidR="00DB2B68" w:rsidRDefault="00000000">
      <w:pPr>
        <w:pStyle w:val="Author-eListParagraph"/>
        <w:numPr>
          <w:ilvl w:val="0"/>
          <w:numId w:val="299"/>
        </w:numPr>
      </w:pPr>
      <w:r>
        <w:t xml:space="preserve">pour les éléments non porteurs avec fonction séparante : </w:t>
      </w:r>
      <w:r>
        <w:rPr>
          <w:rStyle w:val="optioncarChar"/>
        </w:rPr>
        <w:t>EI 30 </w:t>
      </w:r>
      <w:r>
        <w:t>(par défaut)</w:t>
      </w:r>
      <w:r>
        <w:rPr>
          <w:rStyle w:val="optioncarChar"/>
        </w:rPr>
        <w:t xml:space="preserve"> / EI 60/ EI 120 / EI *** </w:t>
      </w:r>
    </w:p>
    <w:p w14:paraId="2EF4D0FF" w14:textId="77777777" w:rsidR="00DB2B68" w:rsidRDefault="00000000">
      <w:r>
        <w:t>selon les tableaux dans [NBN EN 1996-1-2 ANB].</w:t>
      </w:r>
    </w:p>
    <w:p w14:paraId="01029A7C" w14:textId="77777777" w:rsidR="00DB2B68" w:rsidRDefault="00000000">
      <w:pPr>
        <w:pStyle w:val="pheading"/>
      </w:pPr>
      <w:r>
        <w:t>- Prescriptions complémentaires</w:t>
      </w:r>
    </w:p>
    <w:p w14:paraId="5BED4456" w14:textId="77777777" w:rsidR="00DB2B68" w:rsidRDefault="00000000">
      <w:r>
        <w:t>La mise en œuvre s'effectue selon les prescriptions du fabricant. Les murs qui se recoupent ne doivent pas être maçonnés en appareil, on peut faire usage de bandes de liaisons encollées qui donnent un résultat identique.</w:t>
      </w:r>
    </w:p>
    <w:p w14:paraId="38638769" w14:textId="77777777" w:rsidR="00DB2B68" w:rsidRDefault="00000000">
      <w:pPr>
        <w:pStyle w:val="pheading"/>
      </w:pPr>
      <w:r>
        <w:t>MESURAGE</w:t>
      </w:r>
    </w:p>
    <w:p w14:paraId="5D4EA939" w14:textId="77777777" w:rsidR="00DB2B68" w:rsidRDefault="00000000">
      <w:pPr>
        <w:pStyle w:val="pheading"/>
      </w:pPr>
      <w:r>
        <w:t>- unité de mesure:</w:t>
      </w:r>
    </w:p>
    <w:p w14:paraId="2DBEE6FF" w14:textId="77777777" w:rsidR="00DB2B68" w:rsidRDefault="00000000">
      <w:r>
        <w:rPr>
          <w:rStyle w:val="optioncarChar"/>
        </w:rPr>
        <w:t>m³ </w:t>
      </w:r>
      <w:r>
        <w:t>(par défaut)</w:t>
      </w:r>
      <w:r>
        <w:rPr>
          <w:rStyle w:val="optioncarChar"/>
        </w:rPr>
        <w:t> / m</w:t>
      </w:r>
    </w:p>
    <w:p w14:paraId="0FB07EB6" w14:textId="77777777" w:rsidR="00DB2B68" w:rsidRDefault="00000000">
      <w:r>
        <w:rPr>
          <w:b/>
        </w:rPr>
        <w:t>(soit par défaut)</w:t>
      </w:r>
    </w:p>
    <w:p w14:paraId="00F9B6D5" w14:textId="77777777" w:rsidR="00DB2B68" w:rsidRDefault="00000000">
      <w:r>
        <w:rPr>
          <w:rStyle w:val="soitChar"/>
        </w:rPr>
        <w:t>1. m³</w:t>
      </w:r>
    </w:p>
    <w:p w14:paraId="06E7AB07" w14:textId="77777777" w:rsidR="00DB2B68" w:rsidRDefault="00000000">
      <w:r>
        <w:rPr>
          <w:b/>
        </w:rPr>
        <w:t>(soit)</w:t>
      </w:r>
    </w:p>
    <w:p w14:paraId="0098CE04" w14:textId="77777777" w:rsidR="00DB2B68" w:rsidRDefault="00000000">
      <w:r>
        <w:rPr>
          <w:rStyle w:val="soitChar"/>
        </w:rPr>
        <w:t>2. m</w:t>
      </w:r>
    </w:p>
    <w:p w14:paraId="01241D5A" w14:textId="77777777" w:rsidR="00DB2B68" w:rsidRDefault="00000000">
      <w:pPr>
        <w:pStyle w:val="pheading"/>
      </w:pPr>
      <w:r>
        <w:t>- code de mesurage:</w:t>
      </w:r>
    </w:p>
    <w:p w14:paraId="6186AFC4" w14:textId="77777777" w:rsidR="00DB2B68" w:rsidRDefault="00000000">
      <w:r>
        <w:t>Les maçonneries sont mesurées en fonction de leur forme géométrique.</w:t>
      </w:r>
    </w:p>
    <w:p w14:paraId="0711EA64" w14:textId="77777777" w:rsidR="00DB2B68" w:rsidRDefault="00000000">
      <w:r>
        <w:t>La longueur des murs est mesurée dans l'axe de l'élément; lorsque deux murs se croisent ou se rencontrent, le mur le plus épais est compté. Aucun volume n'est porté deux fois en compte.</w:t>
      </w:r>
    </w:p>
    <w:p w14:paraId="5559A849" w14:textId="77777777" w:rsidR="00DB2B68" w:rsidRDefault="00000000">
      <w:r>
        <w:t>Le creux du mur n'est jamais compté.</w:t>
      </w:r>
    </w:p>
    <w:p w14:paraId="6B99EDEE" w14:textId="77777777" w:rsidR="00DB2B68"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rPr>
            <w:color w:val="0000EE"/>
          </w:rPr>
          <w:t>22 Superstructures en béton</w:t>
        </w:r>
      </w:hyperlink>
      <w:r>
        <w:t> ou le </w:t>
      </w:r>
      <w:hyperlink w:anchor="349" w:history="1">
        <w:r>
          <w:rPr>
            <w:color w:val="0000EE"/>
          </w:rPr>
          <w:t>23 Superstructures métalliques</w:t>
        </w:r>
      </w:hyperlink>
      <w:r>
        <w:t>).</w:t>
      </w:r>
    </w:p>
    <w:p w14:paraId="0B49B581" w14:textId="77777777" w:rsidR="00DB2B68" w:rsidRDefault="00000000">
      <w:r>
        <w:t xml:space="preserve">L'appui des dalles de sol sur le mur porteur de contre-façade n'est pas déduit mais est compté comme ouvrage de maçonnerie; par contre, les murs intérieurs porteurs sont mesurés entre les planchers (voir chapitre </w:t>
      </w:r>
      <w:hyperlink w:anchor="88" w:history="1">
        <w:r>
          <w:rPr>
            <w:color w:val="0000EE"/>
          </w:rPr>
          <w:t>22.15 Planchers en béton</w:t>
        </w:r>
      </w:hyperlink>
      <w:r>
        <w:t>)</w:t>
      </w:r>
    </w:p>
    <w:p w14:paraId="25C4DB06" w14:textId="77777777" w:rsidR="00DB2B68" w:rsidRDefault="00000000">
      <w:r>
        <w:t>La maçonnerie autour des conduits de fumée et de ventilation est mesurée comme un mur plein pour les fourreaux jusqu'à une section de 0,12 m2 .</w:t>
      </w:r>
    </w:p>
    <w:p w14:paraId="0C1341C3" w14:textId="77777777" w:rsidR="00DB2B68" w:rsidRDefault="00000000">
      <w:pPr>
        <w:pStyle w:val="pheading"/>
      </w:pPr>
      <w:r>
        <w:t>- nature du marché:</w:t>
      </w:r>
    </w:p>
    <w:p w14:paraId="59CE7B61" w14:textId="77777777" w:rsidR="00DB2B68" w:rsidRDefault="00000000">
      <w:r>
        <w:rPr>
          <w:rStyle w:val="optioncarChar"/>
        </w:rPr>
        <w:t>QF</w:t>
      </w:r>
      <w:r>
        <w:t xml:space="preserve"> (par défaut)</w:t>
      </w:r>
      <w:r>
        <w:rPr>
          <w:rStyle w:val="optioncarChar"/>
        </w:rPr>
        <w:t xml:space="preserve"> / QP</w:t>
      </w:r>
    </w:p>
    <w:p w14:paraId="61601227" w14:textId="77777777" w:rsidR="00DB2B68" w:rsidRDefault="00000000">
      <w:pPr>
        <w:pStyle w:val="Author-eSectionHeading5Numberless"/>
      </w:pPr>
      <w:bookmarkStart w:id="424" w:name="_Toc220495521"/>
      <w:r>
        <w:t>21.46.2 Eléments d'assise particuliers pour nœuds constructifs CCTB 01.10</w:t>
      </w:r>
      <w:bookmarkEnd w:id="424"/>
    </w:p>
    <w:p w14:paraId="3DA53ACF" w14:textId="77777777" w:rsidR="00DB2B68" w:rsidRDefault="00000000">
      <w:pPr>
        <w:pStyle w:val="Author-eSectionHeading6Numberless"/>
      </w:pPr>
      <w:bookmarkStart w:id="425" w:name="_Toc220495522"/>
      <w:r>
        <w:t>21.46.2a Eléments d'assise en verre cellulaire pour nœuds constructifs CCTB 01.04</w:t>
      </w:r>
      <w:bookmarkEnd w:id="425"/>
    </w:p>
    <w:p w14:paraId="06CDEC79" w14:textId="77777777" w:rsidR="00DB2B68" w:rsidRDefault="00000000">
      <w:pPr>
        <w:pStyle w:val="Author-eSectionHeading6Numberless"/>
      </w:pPr>
      <w:bookmarkStart w:id="426" w:name="_Toc220495523"/>
      <w:r>
        <w:t>21.46.2b Eléments d'assise composés pour nœuds constructifs CCTB 01.04</w:t>
      </w:r>
      <w:bookmarkEnd w:id="426"/>
    </w:p>
    <w:p w14:paraId="24F58632" w14:textId="77777777" w:rsidR="00DB2B68" w:rsidRDefault="00000000">
      <w:pPr>
        <w:pStyle w:val="Author-eSectionHeading3Numberless"/>
      </w:pPr>
      <w:bookmarkStart w:id="427" w:name="_Toc220495524"/>
      <w:r>
        <w:t>21.5 Murs poids CCTB 01.02</w:t>
      </w:r>
      <w:bookmarkEnd w:id="427"/>
    </w:p>
    <w:p w14:paraId="7A29F464" w14:textId="77777777" w:rsidR="00DB2B68" w:rsidRDefault="00000000">
      <w:pPr>
        <w:pStyle w:val="Author-eSectionHeading4Numberless"/>
      </w:pPr>
      <w:bookmarkStart w:id="428" w:name="473"/>
      <w:bookmarkStart w:id="429" w:name="_Toc220495525"/>
      <w:bookmarkEnd w:id="428"/>
      <w:r>
        <w:t>21.51 Murs poids en maçonneries portantes en blocs CCTB 01.02</w:t>
      </w:r>
      <w:bookmarkEnd w:id="429"/>
    </w:p>
    <w:p w14:paraId="3691A46D" w14:textId="77777777" w:rsidR="00DB2B68" w:rsidRDefault="00000000">
      <w:pPr>
        <w:pStyle w:val="Author-eSectionHeading5Numberless"/>
      </w:pPr>
      <w:bookmarkStart w:id="430" w:name="1377"/>
      <w:bookmarkStart w:id="431" w:name="_Toc220495526"/>
      <w:bookmarkEnd w:id="430"/>
      <w:r>
        <w:lastRenderedPageBreak/>
        <w:t>21.51.1 Murs poids en maçonneries portantes en blocs de béton CCTB 01.04</w:t>
      </w:r>
      <w:bookmarkEnd w:id="431"/>
    </w:p>
    <w:p w14:paraId="0C5DCC6E" w14:textId="77777777" w:rsidR="00DB2B68" w:rsidRDefault="00000000">
      <w:pPr>
        <w:pStyle w:val="Author-eSectionHeading6Numberless"/>
      </w:pPr>
      <w:bookmarkStart w:id="432" w:name="_Toc220495527"/>
      <w:r>
        <w:t>21.51.1a Murs poids en maçonneries portantes en blocs de béton pleins CCTB 01.04</w:t>
      </w:r>
      <w:bookmarkEnd w:id="432"/>
    </w:p>
    <w:p w14:paraId="057861D8" w14:textId="77777777" w:rsidR="00DB2B68" w:rsidRDefault="00000000">
      <w:pPr>
        <w:pStyle w:val="Author-eSectionHeading5Numberless"/>
      </w:pPr>
      <w:bookmarkStart w:id="433" w:name="_Toc220495528"/>
      <w:r>
        <w:t>21.51.2 Murs poids en maçonneries portantes en blocs de coffrage CCTB 01.04</w:t>
      </w:r>
      <w:bookmarkEnd w:id="433"/>
    </w:p>
    <w:p w14:paraId="764E52B0" w14:textId="77777777" w:rsidR="00DB2B68" w:rsidRDefault="00000000">
      <w:pPr>
        <w:pStyle w:val="Author-eSectionHeading6Numberless"/>
      </w:pPr>
      <w:bookmarkStart w:id="434" w:name="_Toc220495529"/>
      <w:r>
        <w:t>21.51.2a Murs poids en maçonneries portantes en blocs de coffrage CCTB 01.04</w:t>
      </w:r>
      <w:bookmarkEnd w:id="434"/>
    </w:p>
    <w:p w14:paraId="35C7251F" w14:textId="77777777" w:rsidR="00DB2B68" w:rsidRDefault="00000000">
      <w:pPr>
        <w:pStyle w:val="Author-eSectionHeading4Numberless"/>
      </w:pPr>
      <w:bookmarkStart w:id="435" w:name="_Toc220495530"/>
      <w:r>
        <w:t>21.52 Murs poids en maçonneries portantes en enrochement CCTB 01.02</w:t>
      </w:r>
      <w:bookmarkEnd w:id="435"/>
    </w:p>
    <w:p w14:paraId="33E7E16A" w14:textId="77777777" w:rsidR="00DB2B68" w:rsidRDefault="00000000">
      <w:pPr>
        <w:pStyle w:val="Author-eSectionHeading5Numberless"/>
      </w:pPr>
      <w:bookmarkStart w:id="436" w:name="1389"/>
      <w:bookmarkStart w:id="437" w:name="_Toc220495531"/>
      <w:bookmarkEnd w:id="436"/>
      <w:r>
        <w:t>21.52.1 Murs poids en maçonneries portantes en gabions CCTB 01.04</w:t>
      </w:r>
      <w:bookmarkEnd w:id="437"/>
    </w:p>
    <w:p w14:paraId="61BF8077" w14:textId="77777777" w:rsidR="00DB2B68" w:rsidRDefault="00000000">
      <w:pPr>
        <w:pStyle w:val="Author-eSectionHeading6Numberless"/>
      </w:pPr>
      <w:bookmarkStart w:id="438" w:name="_Toc220495532"/>
      <w:r>
        <w:t>21.52.1a Murs poids en maçonneries portantes en gabions CCTB 01.04</w:t>
      </w:r>
      <w:bookmarkEnd w:id="438"/>
    </w:p>
    <w:p w14:paraId="0AB030B9" w14:textId="77777777" w:rsidR="00DB2B68" w:rsidRDefault="00000000">
      <w:pPr>
        <w:pStyle w:val="Author-eSectionHeading5Numberless"/>
      </w:pPr>
      <w:bookmarkStart w:id="439" w:name="_Toc220495533"/>
      <w:r>
        <w:t>21.52.2 Murs poids en maçonneries portantes en moellons de pierre bleue CCTB 01.04</w:t>
      </w:r>
      <w:bookmarkEnd w:id="439"/>
    </w:p>
    <w:p w14:paraId="2449D45E" w14:textId="77777777" w:rsidR="00DB2B68" w:rsidRDefault="00000000">
      <w:pPr>
        <w:pStyle w:val="Author-eSectionHeading6Numberless"/>
      </w:pPr>
      <w:bookmarkStart w:id="440" w:name="_Toc220495534"/>
      <w:r>
        <w:t>21.52.2a Murs poids en maçonneries portantes en petit granit - pierre bleue CCTB 01.04</w:t>
      </w:r>
      <w:bookmarkEnd w:id="440"/>
    </w:p>
    <w:p w14:paraId="3F64E59A" w14:textId="77777777" w:rsidR="00DB2B68" w:rsidRDefault="00000000">
      <w:pPr>
        <w:pStyle w:val="Author-eSectionHeading6Numberless"/>
      </w:pPr>
      <w:bookmarkStart w:id="441" w:name="_Toc220495535"/>
      <w:r>
        <w:t>21.52.2b Murs poids en maçonneries portantes en pierre calcaire CCTB 01.04</w:t>
      </w:r>
      <w:bookmarkEnd w:id="441"/>
    </w:p>
    <w:p w14:paraId="1CC91B6A" w14:textId="77777777" w:rsidR="00DB2B68" w:rsidRDefault="00000000">
      <w:pPr>
        <w:pStyle w:val="Author-eSectionHeading5Numberless"/>
      </w:pPr>
      <w:bookmarkStart w:id="442" w:name="_Toc220495536"/>
      <w:r>
        <w:t>21.52.3 Murs poids en maçonneries portantes en moellons de pierre calcaire CCTB 01.04</w:t>
      </w:r>
      <w:bookmarkEnd w:id="442"/>
    </w:p>
    <w:p w14:paraId="6A2D7C82" w14:textId="77777777" w:rsidR="00DB2B68" w:rsidRDefault="00000000">
      <w:pPr>
        <w:pStyle w:val="Author-eSectionHeading6Numberless"/>
      </w:pPr>
      <w:bookmarkStart w:id="443" w:name="_Toc220495537"/>
      <w:r>
        <w:t>21.52.3a Murs poids en maçonneries portantes en moellons de pierre bleue CCTB 01.04</w:t>
      </w:r>
      <w:bookmarkEnd w:id="443"/>
    </w:p>
    <w:p w14:paraId="6E0E809C" w14:textId="77777777" w:rsidR="00DB2B68" w:rsidRDefault="00000000">
      <w:pPr>
        <w:pStyle w:val="Author-eSectionHeading6Numberless"/>
      </w:pPr>
      <w:bookmarkStart w:id="444" w:name="_Toc220495538"/>
      <w:r>
        <w:t>21.52.3b Murs poids en maçonneries portantes en moellons de pierre blanche CCTB 01.04</w:t>
      </w:r>
      <w:bookmarkEnd w:id="444"/>
    </w:p>
    <w:p w14:paraId="3D68C467" w14:textId="77777777" w:rsidR="00DB2B68" w:rsidRDefault="00000000">
      <w:pPr>
        <w:pStyle w:val="Author-eSectionHeading6Numberless"/>
      </w:pPr>
      <w:bookmarkStart w:id="445" w:name="_Toc220495539"/>
      <w:r>
        <w:t>21.52.3c Murs poids en maçonneries portantes en moellons de marbre CCTB 01.04</w:t>
      </w:r>
      <w:bookmarkEnd w:id="445"/>
    </w:p>
    <w:p w14:paraId="77437443" w14:textId="77777777" w:rsidR="00DB2B68" w:rsidRDefault="00000000">
      <w:pPr>
        <w:pStyle w:val="Author-eSectionHeading5Numberless"/>
      </w:pPr>
      <w:bookmarkStart w:id="446" w:name="_Toc220495540"/>
      <w:r>
        <w:t>21.52.4 Murs poids en maçonneries portantes en moellons de pierres siliceuses CCTB 01.04</w:t>
      </w:r>
      <w:bookmarkEnd w:id="446"/>
    </w:p>
    <w:p w14:paraId="71D02E2A" w14:textId="77777777" w:rsidR="00DB2B68" w:rsidRDefault="00000000">
      <w:pPr>
        <w:pStyle w:val="Author-eSectionHeading6Numberless"/>
      </w:pPr>
      <w:bookmarkStart w:id="447" w:name="_Toc220495541"/>
      <w:r>
        <w:t>21.52.4a Murs poids en maçonneries portantes en moellons d'arkose CCTB 01.04</w:t>
      </w:r>
      <w:bookmarkEnd w:id="447"/>
    </w:p>
    <w:p w14:paraId="5A87FCF7" w14:textId="77777777" w:rsidR="00DB2B68" w:rsidRDefault="00000000">
      <w:pPr>
        <w:pStyle w:val="Author-eSectionHeading6Numberless"/>
      </w:pPr>
      <w:bookmarkStart w:id="448" w:name="_Toc220495542"/>
      <w:r>
        <w:t>21.52.4b Murs poids en maçonneries portantes en moellons de schiste CCTB 01.04</w:t>
      </w:r>
      <w:bookmarkEnd w:id="448"/>
    </w:p>
    <w:p w14:paraId="2E006560" w14:textId="77777777" w:rsidR="00DB2B68" w:rsidRDefault="00000000">
      <w:pPr>
        <w:pStyle w:val="Author-eSectionHeading6Numberless"/>
      </w:pPr>
      <w:bookmarkStart w:id="449" w:name="_Toc220495543"/>
      <w:r>
        <w:t>21.52.4c Murs poids en maçonneries portantes en moellons de grès CCTB 01.04</w:t>
      </w:r>
      <w:bookmarkEnd w:id="449"/>
    </w:p>
    <w:p w14:paraId="603DDEF4" w14:textId="77777777" w:rsidR="00DB2B68" w:rsidRDefault="00000000">
      <w:pPr>
        <w:pStyle w:val="Author-eSectionHeading6Numberless"/>
      </w:pPr>
      <w:bookmarkStart w:id="450" w:name="_Toc220495544"/>
      <w:r>
        <w:t>21.52.4d Murs poids en maçonneries portantes en moellons de quartzite CCTB 01.04</w:t>
      </w:r>
      <w:bookmarkEnd w:id="450"/>
    </w:p>
    <w:p w14:paraId="409F10A1" w14:textId="77777777" w:rsidR="00DB2B68" w:rsidRDefault="00000000">
      <w:pPr>
        <w:pStyle w:val="Author-eSectionHeading6Numberless"/>
      </w:pPr>
      <w:bookmarkStart w:id="451" w:name="_Toc220495545"/>
      <w:r>
        <w:t>21.52.4e Murs poids en maçonneries portantes en moellons de silex CCTB 01.04</w:t>
      </w:r>
      <w:bookmarkEnd w:id="451"/>
    </w:p>
    <w:p w14:paraId="314DD019" w14:textId="77777777" w:rsidR="00DB2B68" w:rsidRDefault="00000000">
      <w:pPr>
        <w:pStyle w:val="Author-eSectionHeading5Numberless"/>
      </w:pPr>
      <w:bookmarkStart w:id="452" w:name="_Toc220495546"/>
      <w:r>
        <w:t>21.52.5 Murs poids en maçonneries portantes en pierres de grandes dimensions CCTB 01.04</w:t>
      </w:r>
      <w:bookmarkEnd w:id="452"/>
    </w:p>
    <w:p w14:paraId="1135203C" w14:textId="77777777" w:rsidR="00DB2B68" w:rsidRDefault="00000000">
      <w:pPr>
        <w:pStyle w:val="Author-eSectionHeading6Numberless"/>
      </w:pPr>
      <w:bookmarkStart w:id="453" w:name="_Toc220495547"/>
      <w:r>
        <w:t>21.52.5a Murs poids en maçonneries portantes en pierres de grandes dimensions CCTB 01.04</w:t>
      </w:r>
      <w:bookmarkEnd w:id="453"/>
    </w:p>
    <w:p w14:paraId="3E224669" w14:textId="77777777" w:rsidR="00DB2B68" w:rsidRDefault="00000000">
      <w:pPr>
        <w:pStyle w:val="Author-eSectionHeading3Numberless"/>
      </w:pPr>
      <w:bookmarkStart w:id="454" w:name="_Toc220495548"/>
      <w:r>
        <w:t>21.6 Réalisation de joints CCTB 01.04</w:t>
      </w:r>
      <w:bookmarkEnd w:id="454"/>
    </w:p>
    <w:p w14:paraId="43F3EEDB" w14:textId="77777777" w:rsidR="00DB2B68" w:rsidRDefault="00000000">
      <w:pPr>
        <w:pStyle w:val="Author-eSectionHeading4Numberless"/>
      </w:pPr>
      <w:bookmarkStart w:id="455" w:name="395"/>
      <w:bookmarkStart w:id="456" w:name="_Toc220495549"/>
      <w:bookmarkEnd w:id="455"/>
      <w:r>
        <w:lastRenderedPageBreak/>
        <w:t>21.61 Rejointoyage CCTB 01.02</w:t>
      </w:r>
      <w:bookmarkEnd w:id="456"/>
    </w:p>
    <w:p w14:paraId="001F10B1" w14:textId="77777777" w:rsidR="00DB2B68" w:rsidRDefault="00000000">
      <w:pPr>
        <w:pStyle w:val="Author-eSectionHeading5Numberless"/>
      </w:pPr>
      <w:bookmarkStart w:id="457" w:name="347"/>
      <w:bookmarkStart w:id="458" w:name="_Toc220495550"/>
      <w:bookmarkEnd w:id="457"/>
      <w:r>
        <w:t>21.61.1 Rejointoyage CCTB 01.02</w:t>
      </w:r>
      <w:bookmarkEnd w:id="458"/>
    </w:p>
    <w:p w14:paraId="42D01491" w14:textId="77777777" w:rsidR="00DB2B68" w:rsidRDefault="00000000">
      <w:pPr>
        <w:pStyle w:val="Author-eSectionHeading6Numberless"/>
      </w:pPr>
      <w:bookmarkStart w:id="459" w:name="380"/>
      <w:bookmarkStart w:id="460" w:name="_Toc220495551"/>
      <w:bookmarkEnd w:id="459"/>
      <w:r>
        <w:t>21.61.1a Rejointoyage CCTB 01.02</w:t>
      </w:r>
      <w:bookmarkEnd w:id="460"/>
    </w:p>
    <w:p w14:paraId="43B1D658" w14:textId="77777777" w:rsidR="00DB2B68" w:rsidRDefault="00000000">
      <w:pPr>
        <w:pStyle w:val="Author-eSectionHeading6Numberless"/>
      </w:pPr>
      <w:bookmarkStart w:id="461" w:name="706"/>
      <w:bookmarkStart w:id="462" w:name="_Toc220495552"/>
      <w:bookmarkEnd w:id="461"/>
      <w:r>
        <w:t>21.61.1b Joints de maçonnerie apparente CCTB 01.11</w:t>
      </w:r>
      <w:bookmarkEnd w:id="462"/>
    </w:p>
    <w:p w14:paraId="1878C3C4" w14:textId="77777777" w:rsidR="00DB2B68" w:rsidRDefault="00000000">
      <w:pPr>
        <w:pStyle w:val="pheading"/>
      </w:pPr>
      <w:bookmarkStart w:id="463" w:name="346"/>
      <w:bookmarkEnd w:id="463"/>
      <w:r>
        <w:t>EXÉCUTION / MISE EN ŒUVRE</w:t>
      </w:r>
    </w:p>
    <w:p w14:paraId="6BFAE8DA" w14:textId="77777777" w:rsidR="00DB2B68" w:rsidRDefault="00000000">
      <w:pPr>
        <w:pStyle w:val="pheading"/>
      </w:pPr>
      <w:r>
        <w:t>- Prescriptions générales</w:t>
      </w:r>
    </w:p>
    <w:p w14:paraId="13C3EB4F" w14:textId="77777777" w:rsidR="00DB2B68" w:rsidRDefault="00000000">
      <w:pPr>
        <w:spacing w:line="259" w:lineRule="auto"/>
      </w:pPr>
      <w:r>
        <w:rPr>
          <w:rStyle w:val="normalChar"/>
        </w:rPr>
        <w:t>Les travaux de jointoiement a posteriori sont exécutés conformément à la [NIT 208].</w:t>
      </w:r>
    </w:p>
    <w:p w14:paraId="5E26EFC4" w14:textId="77777777" w:rsidR="00DB2B68" w:rsidRDefault="00000000">
      <w:pPr>
        <w:spacing w:line="259" w:lineRule="auto"/>
      </w:pPr>
      <w:r>
        <w:rPr>
          <w:rStyle w:val="normalChar"/>
        </w:rPr>
        <w:t>Il est interdit d'effectuer les travaux de jointoiement par temps de pluie. Par temps sec, le jointoiement doit être dûment protégé contre la dessiccation précoce.</w:t>
      </w:r>
    </w:p>
    <w:p w14:paraId="16C929A4" w14:textId="77777777" w:rsidR="00DB2B68" w:rsidRDefault="00000000">
      <w:pPr>
        <w:spacing w:line="259" w:lineRule="auto"/>
      </w:pPr>
      <w:r>
        <w:rPr>
          <w:rStyle w:val="normalChar"/>
        </w:rPr>
        <w:t xml:space="preserve">L'entrepreneur soumet à l’approbation du maître de l’ouvrage 3 à 5 échantillons de 0,25 m². </w:t>
      </w:r>
    </w:p>
    <w:p w14:paraId="3E4F4096" w14:textId="77777777" w:rsidR="00DB2B68" w:rsidRDefault="00000000">
      <w:pPr>
        <w:spacing w:line="259" w:lineRule="auto"/>
      </w:pPr>
      <w:r>
        <w:rPr>
          <w:rStyle w:val="normalChar"/>
        </w:rPr>
        <w:t>Les joints sont d'abord évidés sur une profondeur d'environ 10 à 15 mm en fonction de la largeur du joint et de l’épaisseur de l’élément de maçonnerie. La maçonnerie est brossée afin d'enlever tous les restes de mortier non adhérents.</w:t>
      </w:r>
    </w:p>
    <w:p w14:paraId="016D8354" w14:textId="77777777" w:rsidR="00DB2B68" w:rsidRDefault="00000000">
      <w:pPr>
        <w:spacing w:line="259" w:lineRule="auto"/>
      </w:pPr>
      <w:r>
        <w:rPr>
          <w:rStyle w:val="normalChar"/>
        </w:rPr>
        <w:t>Le mur à rejointoyer est d'abord nettoyé à l'eau claire, l'humidité favorisant en outre l'adhérence du mortier de jointoiement. Les souillures de mortier sont nettoyées à l'aide d'une solution adaptée.</w:t>
      </w:r>
    </w:p>
    <w:p w14:paraId="6153CFE8" w14:textId="77777777" w:rsidR="00DB2B68" w:rsidRDefault="00000000">
      <w:pPr>
        <w:pStyle w:val="pheading"/>
      </w:pPr>
      <w:r>
        <w:t>MESURAGE</w:t>
      </w:r>
    </w:p>
    <w:p w14:paraId="675BDF6E" w14:textId="77777777" w:rsidR="00DB2B68" w:rsidRDefault="00000000">
      <w:pPr>
        <w:pStyle w:val="pheading"/>
      </w:pPr>
      <w:r>
        <w:t>- unité de mesure:</w:t>
      </w:r>
    </w:p>
    <w:p w14:paraId="4A9776B2" w14:textId="77777777" w:rsidR="00DB2B68" w:rsidRDefault="00000000">
      <w:r>
        <w:t>m²</w:t>
      </w:r>
    </w:p>
    <w:p w14:paraId="2FB16E8B" w14:textId="77777777" w:rsidR="00DB2B68" w:rsidRDefault="00000000">
      <w:pPr>
        <w:pStyle w:val="pheading"/>
      </w:pPr>
      <w:r>
        <w:t>- code de mesurage:</w:t>
      </w:r>
    </w:p>
    <w:p w14:paraId="44EAA935" w14:textId="77777777" w:rsidR="00DB2B68" w:rsidRDefault="00000000">
      <w:pPr>
        <w:spacing w:before="0" w:after="0"/>
        <w:ind w:left="454"/>
      </w:pPr>
      <w:r>
        <w:rPr>
          <w:rStyle w:val="normalChar"/>
        </w:rPr>
        <w:t>Les travaux de jointoiement sont mesurés en</w:t>
      </w:r>
      <w:r>
        <w:rPr>
          <w:rStyle w:val="optioncarChar"/>
          <w:color w:val="000000"/>
        </w:rPr>
        <w:t> surface nette</w:t>
      </w:r>
      <w:r>
        <w:rPr>
          <w:rStyle w:val="normalChar"/>
        </w:rPr>
        <w:t>.</w:t>
      </w:r>
    </w:p>
    <w:p w14:paraId="796A2081" w14:textId="77777777" w:rsidR="00DB2B68" w:rsidRDefault="00000000">
      <w:pPr>
        <w:spacing w:before="0" w:after="0"/>
        <w:ind w:left="454"/>
      </w:pPr>
      <w:r>
        <w:t>Les ébrasements des ouvertures et des baies de fenêtres ainsi que la face inférieure des linteaux ne sont comptés (en surface nette) que lorsque leur largeur est supérieure à celle des briques de façade.</w:t>
      </w:r>
    </w:p>
    <w:p w14:paraId="776DF54A" w14:textId="77777777" w:rsidR="00DB2B68" w:rsidRDefault="00000000">
      <w:pPr>
        <w:pStyle w:val="pheading"/>
      </w:pPr>
      <w:r>
        <w:t>- nature du marché:</w:t>
      </w:r>
    </w:p>
    <w:p w14:paraId="5067FE9C" w14:textId="77777777" w:rsidR="00DB2B68" w:rsidRDefault="00000000">
      <w:r>
        <w:rPr>
          <w:rStyle w:val="optioncarChar"/>
        </w:rPr>
        <w:t>QF</w:t>
      </w:r>
      <w:r>
        <w:t xml:space="preserve"> (par défaut)</w:t>
      </w:r>
      <w:r>
        <w:rPr>
          <w:rStyle w:val="optioncarChar"/>
        </w:rPr>
        <w:t xml:space="preserve"> / QP</w:t>
      </w:r>
    </w:p>
    <w:p w14:paraId="409F81B6" w14:textId="77777777" w:rsidR="00DB2B68" w:rsidRDefault="00000000">
      <w:pPr>
        <w:pStyle w:val="Author-eSectionHeading4Numberless"/>
      </w:pPr>
      <w:bookmarkStart w:id="464" w:name="_Toc220495553"/>
      <w:r>
        <w:t>21.62 Joints structuraux CCTB 01.04</w:t>
      </w:r>
      <w:bookmarkEnd w:id="464"/>
    </w:p>
    <w:p w14:paraId="423FF131" w14:textId="77777777" w:rsidR="00DB2B68" w:rsidRDefault="00000000">
      <w:pPr>
        <w:pStyle w:val="Author-eSectionHeading5Numberless"/>
      </w:pPr>
      <w:bookmarkStart w:id="465" w:name="_Toc220495554"/>
      <w:r>
        <w:t>21.62.1 Joints de dilatation CCTB 01.04</w:t>
      </w:r>
      <w:bookmarkEnd w:id="465"/>
    </w:p>
    <w:p w14:paraId="2A14C8FB" w14:textId="77777777" w:rsidR="00DB2B68" w:rsidRDefault="00000000">
      <w:pPr>
        <w:pStyle w:val="Author-eSectionHeading6Numberless"/>
      </w:pPr>
      <w:bookmarkStart w:id="466" w:name="_Toc220495555"/>
      <w:r>
        <w:t>21.62.1a Joints de dilatation CCTB 01.02</w:t>
      </w:r>
      <w:bookmarkEnd w:id="466"/>
    </w:p>
    <w:p w14:paraId="7A6F1966" w14:textId="77777777" w:rsidR="00DB2B68" w:rsidRDefault="00000000">
      <w:pPr>
        <w:pStyle w:val="Author-eSectionHeading4Numberless"/>
      </w:pPr>
      <w:bookmarkStart w:id="467" w:name="_Toc220495556"/>
      <w:r>
        <w:t>21.63 Joints de retrait CCTB 01.04</w:t>
      </w:r>
      <w:bookmarkEnd w:id="467"/>
    </w:p>
    <w:p w14:paraId="132E648E" w14:textId="77777777" w:rsidR="00DB2B68" w:rsidRDefault="00000000">
      <w:pPr>
        <w:pStyle w:val="Author-eSectionHeading5Numberless"/>
      </w:pPr>
      <w:bookmarkStart w:id="468" w:name="_Toc220495557"/>
      <w:r>
        <w:t>21.63.1 Joints de retrait CCTB 01.04</w:t>
      </w:r>
      <w:bookmarkEnd w:id="468"/>
    </w:p>
    <w:p w14:paraId="75D450DB" w14:textId="77777777" w:rsidR="00DB2B68" w:rsidRDefault="00000000">
      <w:pPr>
        <w:pStyle w:val="Author-eSectionHeading6Numberless"/>
      </w:pPr>
      <w:bookmarkStart w:id="469" w:name="_Toc220495558"/>
      <w:r>
        <w:t>21.63.1a Joints de retrait CCTB 01.04</w:t>
      </w:r>
      <w:bookmarkEnd w:id="469"/>
    </w:p>
    <w:p w14:paraId="6D2EE761" w14:textId="77777777" w:rsidR="00DB2B68" w:rsidRDefault="00000000">
      <w:pPr>
        <w:pStyle w:val="Author-eSectionHeading4Numberless"/>
      </w:pPr>
      <w:bookmarkStart w:id="470" w:name="_Toc220495559"/>
      <w:r>
        <w:t>21.64 Joints de remplissage CCTB 01.04</w:t>
      </w:r>
      <w:bookmarkEnd w:id="470"/>
    </w:p>
    <w:p w14:paraId="3B6F5DF6" w14:textId="77777777" w:rsidR="00DB2B68" w:rsidRDefault="00000000">
      <w:pPr>
        <w:pStyle w:val="Author-eSectionHeading5Numberless"/>
      </w:pPr>
      <w:bookmarkStart w:id="471" w:name="_Toc220495560"/>
      <w:r>
        <w:t>21.64.1 Joints de remplissage CCTB 01.04</w:t>
      </w:r>
      <w:bookmarkEnd w:id="471"/>
    </w:p>
    <w:p w14:paraId="3A748B99" w14:textId="77777777" w:rsidR="00DB2B68" w:rsidRDefault="00000000">
      <w:pPr>
        <w:pStyle w:val="Author-eSectionHeading6Numberless"/>
      </w:pPr>
      <w:bookmarkStart w:id="472" w:name="_Toc220495561"/>
      <w:r>
        <w:t>21.64.1a Joints de resserrage en mortier CCTB 01.04</w:t>
      </w:r>
      <w:bookmarkEnd w:id="472"/>
    </w:p>
    <w:p w14:paraId="241C2F45" w14:textId="77777777" w:rsidR="00DB2B68" w:rsidRDefault="00000000">
      <w:pPr>
        <w:pStyle w:val="Author-eSectionHeading6Numberless"/>
      </w:pPr>
      <w:bookmarkStart w:id="473" w:name="_Toc220495562"/>
      <w:r>
        <w:t>21.64.1b Joints de resserrage autres qu'en mortier CCTB 01.04</w:t>
      </w:r>
      <w:bookmarkEnd w:id="473"/>
    </w:p>
    <w:p w14:paraId="684E36DE" w14:textId="77777777" w:rsidR="00DB2B68" w:rsidRDefault="00000000">
      <w:pPr>
        <w:pStyle w:val="pheading"/>
      </w:pPr>
      <w:r>
        <w:t>DESCRIPTION</w:t>
      </w:r>
    </w:p>
    <w:p w14:paraId="1B9BC375" w14:textId="77777777" w:rsidR="00DB2B68" w:rsidRDefault="00000000">
      <w:pPr>
        <w:pStyle w:val="pheading"/>
      </w:pPr>
      <w:r>
        <w:t>- Définition / Comprend</w:t>
      </w:r>
    </w:p>
    <w:p w14:paraId="41A62D0E" w14:textId="77777777" w:rsidR="00DB2B68" w:rsidRDefault="00000000">
      <w:r>
        <w:lastRenderedPageBreak/>
        <w:t>Renvoi vers </w:t>
      </w:r>
      <w:hyperlink w:anchor="432" w:history="1">
        <w:r>
          <w:rPr>
            <w:color w:val="0000EE"/>
          </w:rPr>
          <w:t>26.17.1 Joints de resserrage</w:t>
        </w:r>
      </w:hyperlink>
    </w:p>
    <w:p w14:paraId="1F1B4BDA" w14:textId="77777777" w:rsidR="00DB2B68" w:rsidRDefault="00000000">
      <w:pPr>
        <w:pStyle w:val="Author-eSectionHeading4Numberless"/>
      </w:pPr>
      <w:bookmarkStart w:id="474" w:name="_Toc220495563"/>
      <w:r>
        <w:t>21.65 Etanchéisation de joints CCTB 01.04</w:t>
      </w:r>
      <w:bookmarkEnd w:id="474"/>
    </w:p>
    <w:p w14:paraId="7539B4E5" w14:textId="77777777" w:rsidR="00DB2B68" w:rsidRDefault="00000000">
      <w:pPr>
        <w:pStyle w:val="pheading"/>
      </w:pPr>
      <w:r>
        <w:t>DESCRIPTION</w:t>
      </w:r>
    </w:p>
    <w:p w14:paraId="41DDB911" w14:textId="77777777" w:rsidR="00DB2B68" w:rsidRDefault="00000000">
      <w:pPr>
        <w:pStyle w:val="pheading"/>
      </w:pPr>
      <w:r>
        <w:t>- Définition / Comprend</w:t>
      </w:r>
    </w:p>
    <w:p w14:paraId="72118F06" w14:textId="77777777" w:rsidR="00DB2B68" w:rsidRDefault="00000000">
      <w:r>
        <w:t xml:space="preserve">Renvoi au § </w:t>
      </w:r>
      <w:hyperlink w:anchor="432" w:history="1">
        <w:r>
          <w:rPr>
            <w:color w:val="0000EE"/>
          </w:rPr>
          <w:t>26.17.1 Joints de resserrage</w:t>
        </w:r>
      </w:hyperlink>
    </w:p>
    <w:p w14:paraId="26A8CED2" w14:textId="77777777" w:rsidR="00DB2B68" w:rsidRDefault="00000000">
      <w:pPr>
        <w:pStyle w:val="Author-eSectionHeading5Numberless"/>
      </w:pPr>
      <w:bookmarkStart w:id="475" w:name="_Toc220495564"/>
      <w:r>
        <w:t>21.65.1 Etanchéisation de joints CCTB 01.10</w:t>
      </w:r>
      <w:bookmarkEnd w:id="475"/>
    </w:p>
    <w:p w14:paraId="351308A9" w14:textId="77777777" w:rsidR="00DB2B68" w:rsidRDefault="00000000">
      <w:pPr>
        <w:pStyle w:val="Author-eSectionHeading6Numberless"/>
      </w:pPr>
      <w:bookmarkStart w:id="476" w:name="_Toc220495565"/>
      <w:r>
        <w:t>21.65.1a Joints de calfeutrement CCTB 01.04</w:t>
      </w:r>
      <w:bookmarkEnd w:id="476"/>
    </w:p>
    <w:p w14:paraId="364001FA" w14:textId="77777777" w:rsidR="00DB2B68" w:rsidRDefault="00000000">
      <w:pPr>
        <w:pStyle w:val="pheading"/>
      </w:pPr>
      <w:r>
        <w:t>DESCRIPTION</w:t>
      </w:r>
    </w:p>
    <w:p w14:paraId="5098B1B4" w14:textId="77777777" w:rsidR="00DB2B68" w:rsidRDefault="00000000">
      <w:pPr>
        <w:pStyle w:val="pheading"/>
      </w:pPr>
      <w:r>
        <w:t>- Définition / Comprend</w:t>
      </w:r>
    </w:p>
    <w:p w14:paraId="0CE63716" w14:textId="77777777" w:rsidR="00DB2B68" w:rsidRDefault="00000000">
      <w:r>
        <w:t xml:space="preserve">Renvoi vers </w:t>
      </w:r>
      <w:hyperlink w:anchor="432" w:history="1">
        <w:r>
          <w:rPr>
            <w:color w:val="0000EE"/>
          </w:rPr>
          <w:t>26.17.1 Joints de resserrage</w:t>
        </w:r>
      </w:hyperlink>
    </w:p>
    <w:p w14:paraId="76DC01A8" w14:textId="77777777" w:rsidR="00DB2B68" w:rsidRDefault="00000000">
      <w:pPr>
        <w:pStyle w:val="Author-eSectionHeading3Numberless"/>
      </w:pPr>
      <w:bookmarkStart w:id="477" w:name="_Toc220495566"/>
      <w:r>
        <w:t>21.7 Traitements, protection et finition des maçonneries CCTB 01.04</w:t>
      </w:r>
      <w:bookmarkEnd w:id="477"/>
    </w:p>
    <w:p w14:paraId="713892D9" w14:textId="77777777" w:rsidR="00DB2B68" w:rsidRDefault="00000000">
      <w:pPr>
        <w:pStyle w:val="Author-eSectionHeading4Numberless"/>
      </w:pPr>
      <w:bookmarkStart w:id="478" w:name="474"/>
      <w:bookmarkStart w:id="479" w:name="_Toc220495567"/>
      <w:bookmarkEnd w:id="478"/>
      <w:r>
        <w:t>21.71 Traitements esthétiques ou de surface CCTB 01.07</w:t>
      </w:r>
      <w:bookmarkEnd w:id="479"/>
    </w:p>
    <w:p w14:paraId="226682C0" w14:textId="77777777" w:rsidR="00DB2B68" w:rsidRDefault="00000000">
      <w:pPr>
        <w:pStyle w:val="pheading"/>
      </w:pPr>
      <w:r>
        <w:t>DESCRIPTION</w:t>
      </w:r>
    </w:p>
    <w:p w14:paraId="51B2B33A" w14:textId="77777777" w:rsidR="00DB2B68" w:rsidRDefault="00000000">
      <w:pPr>
        <w:pStyle w:val="pheading"/>
      </w:pPr>
      <w:r>
        <w:t>- Définition / Comprend</w:t>
      </w:r>
    </w:p>
    <w:p w14:paraId="4F9289BE" w14:textId="77777777" w:rsidR="00DB2B68" w:rsidRDefault="00000000">
      <w:r>
        <w:t>Pour l'hydrofugation de la maçonnerie, renvoi vers § 83.14.2a Hydrofugations de surface</w:t>
      </w:r>
    </w:p>
    <w:p w14:paraId="43BB176A" w14:textId="77777777" w:rsidR="00DB2B68" w:rsidRDefault="00000000">
      <w:pPr>
        <w:pStyle w:val="Author-eSectionHeading4Numberless"/>
      </w:pPr>
      <w:bookmarkStart w:id="480" w:name="_Toc220495568"/>
      <w:r>
        <w:t>21.72 Revêtements de finition CCTB 01.10</w:t>
      </w:r>
      <w:bookmarkEnd w:id="480"/>
    </w:p>
    <w:p w14:paraId="7B7E0BBB" w14:textId="77777777" w:rsidR="00DB2B68" w:rsidRDefault="00000000">
      <w:pPr>
        <w:pStyle w:val="Author-eSectionHeading4Numberless"/>
      </w:pPr>
      <w:bookmarkStart w:id="481" w:name="_Toc220495569"/>
      <w:r>
        <w:t>21.73 Revêtements de protection CCTB 01.10</w:t>
      </w:r>
      <w:bookmarkEnd w:id="481"/>
    </w:p>
    <w:p w14:paraId="2D94F70D" w14:textId="77777777" w:rsidR="00DB2B68" w:rsidRDefault="00000000">
      <w:pPr>
        <w:pStyle w:val="Author-eSectionHeading3Numberless"/>
      </w:pPr>
      <w:bookmarkStart w:id="482" w:name="_Toc220495570"/>
      <w:r>
        <w:t>21.8 Superstructures en maçonnerie - Rénovation CCTB 01.11</w:t>
      </w:r>
      <w:bookmarkEnd w:id="482"/>
    </w:p>
    <w:p w14:paraId="46D679C6" w14:textId="77777777" w:rsidR="00DB2B68" w:rsidRDefault="00000000">
      <w:pPr>
        <w:pStyle w:val="pheading"/>
      </w:pPr>
      <w:bookmarkStart w:id="483" w:name="224"/>
      <w:bookmarkEnd w:id="483"/>
      <w:r>
        <w:t>DESCRIPTION</w:t>
      </w:r>
    </w:p>
    <w:p w14:paraId="2D0A88C8" w14:textId="77777777" w:rsidR="00DB2B68" w:rsidRDefault="00000000">
      <w:pPr>
        <w:pStyle w:val="pheading"/>
      </w:pPr>
      <w:r>
        <w:t>- Remarques importantes</w:t>
      </w:r>
    </w:p>
    <w:p w14:paraId="082E310F" w14:textId="77777777" w:rsidR="00DB2B68" w:rsidRDefault="00000000">
      <w:pPr>
        <w:jc w:val="both"/>
      </w:pPr>
      <w:r>
        <w:rPr>
          <w:b/>
        </w:rPr>
        <w:t>Prescriptions en matière de précautions et de sécurité</w:t>
      </w:r>
    </w:p>
    <w:p w14:paraId="6F1CBC1A" w14:textId="77777777" w:rsidR="00DB2B68" w:rsidRDefault="00000000">
      <w:pPr>
        <w:pStyle w:val="Author-eListParagraph"/>
        <w:numPr>
          <w:ilvl w:val="0"/>
          <w:numId w:val="300"/>
        </w:numPr>
        <w:jc w:val="both"/>
      </w:pPr>
      <w:r>
        <w:t>Conformément à l'élément 04.4 Mesures de protection, établi par le coordinateur-projet et annexée au cahier spécial des charges, toutes les directives en la matière et les indications concrètes données par le coordinateur-réalisation sont scrupuleusement respectées.</w:t>
      </w:r>
    </w:p>
    <w:p w14:paraId="3C691F5E" w14:textId="77777777" w:rsidR="00DB2B68" w:rsidRDefault="00000000">
      <w:pPr>
        <w:pStyle w:val="Author-eListParagraph"/>
        <w:numPr>
          <w:ilvl w:val="0"/>
          <w:numId w:val="300"/>
        </w:numPr>
        <w:jc w:val="both"/>
      </w:pPr>
      <w:r>
        <w:t>À défaut d'un plan de sécurité et de santé joint au dossier d'adjudication, l'entrepreneur suit les instructions qui lui sont données par le maître de l’ouvrage et/ou le coordinateur-réalisation.</w:t>
      </w:r>
    </w:p>
    <w:p w14:paraId="27E51E9C" w14:textId="77777777" w:rsidR="00DB2B68" w:rsidRDefault="00000000">
      <w:pPr>
        <w:pStyle w:val="Author-eListParagraph"/>
        <w:numPr>
          <w:ilvl w:val="0"/>
          <w:numId w:val="300"/>
        </w:numPr>
        <w:jc w:val="both"/>
      </w:pPr>
      <w:r>
        <w:t>L'exécution de tous les travaux d’adaptation et de soutènement  des maçonneries existantes se fait sous l'entière responsabilité de l'entrepreneur. L'entrepreneur exécute les travaux avec toutes les précautions qui s'imposent, à ses frais, risques et périls. Tous les dégâts occasionnés aux constructions ou aux voiries attenantes ou voisines suite à l'exécution des travaux d’adaptation, sont réparés par lui-même et à ses frais ou dédommagés avant de procéder à la réception provisoire.</w:t>
      </w:r>
    </w:p>
    <w:p w14:paraId="1BD408C3" w14:textId="77777777" w:rsidR="00DB2B68" w:rsidRDefault="00000000">
      <w:pPr>
        <w:pStyle w:val="Author-eListParagraph"/>
        <w:numPr>
          <w:ilvl w:val="0"/>
          <w:numId w:val="300"/>
        </w:numPr>
        <w:jc w:val="both"/>
      </w:pPr>
      <w:r>
        <w:t>Au cours des travaux d’adaptations de maçonneries, l'entrepreneur effectue tous les travaux d'étançonnement et de soutènement nécessaires afin de garantir l'intégrité des constructions attenantes et d'assurer ses propres travaux. L'entrepreneur est tenu d'apporter, sans frais supplémentaires, tous les renforcements et/ou améliorations qui lui sont imposés par la direction de chantier ou les organismes de contrôle. Les moyens d'étançonnement et de soutènement sont conçus de manière réfléchie et soumis pour approbation à la direction de chantier, avant de commencer les travaux d’adaptations de maçonneries.</w:t>
      </w:r>
    </w:p>
    <w:p w14:paraId="3060DC42" w14:textId="77777777" w:rsidR="00DB2B68" w:rsidRDefault="00000000">
      <w:pPr>
        <w:pStyle w:val="Author-eSectionHeading4Numberless"/>
      </w:pPr>
      <w:bookmarkStart w:id="484" w:name="_Toc220495571"/>
      <w:r>
        <w:lastRenderedPageBreak/>
        <w:t>21.81 Etudes et essais préliminaires CCTB 01.04</w:t>
      </w:r>
      <w:bookmarkEnd w:id="484"/>
    </w:p>
    <w:p w14:paraId="0EEEAB64" w14:textId="77777777" w:rsidR="00DB2B68" w:rsidRDefault="00000000">
      <w:pPr>
        <w:pStyle w:val="pheading"/>
      </w:pPr>
      <w:r>
        <w:t>DESCRIPTION</w:t>
      </w:r>
    </w:p>
    <w:p w14:paraId="7531E5E1" w14:textId="77777777" w:rsidR="00DB2B68" w:rsidRDefault="00000000">
      <w:pPr>
        <w:pStyle w:val="pheading"/>
      </w:pPr>
      <w:r>
        <w:t>- Définition / Comprend</w:t>
      </w:r>
    </w:p>
    <w:p w14:paraId="164CDEAE" w14:textId="77777777" w:rsidR="00DB2B68" w:rsidRDefault="00000000">
      <w:r>
        <w:t>Renvoi au § 03 Études, essais et contrôles en cours de chantier</w:t>
      </w:r>
    </w:p>
    <w:p w14:paraId="1E076918" w14:textId="77777777" w:rsidR="00DB2B68" w:rsidRDefault="00000000">
      <w:pPr>
        <w:pStyle w:val="Author-eSectionHeading4Numberless"/>
      </w:pPr>
      <w:bookmarkStart w:id="485" w:name="_Toc220495572"/>
      <w:r>
        <w:t>21.82 Déposes / démontages / percements / déconstructions-démolitions CCTB 01.04</w:t>
      </w:r>
      <w:bookmarkEnd w:id="485"/>
    </w:p>
    <w:p w14:paraId="1D5773D2" w14:textId="77777777" w:rsidR="00DB2B68" w:rsidRDefault="00000000">
      <w:pPr>
        <w:pStyle w:val="Author-eSectionHeading5Numberless"/>
      </w:pPr>
      <w:bookmarkStart w:id="486" w:name="_Toc220495573"/>
      <w:r>
        <w:t>21.82.1 Travaux de stabilisation CCTB 01.04</w:t>
      </w:r>
      <w:bookmarkEnd w:id="486"/>
    </w:p>
    <w:p w14:paraId="3F02F84F" w14:textId="77777777" w:rsidR="00DB2B68" w:rsidRDefault="00000000">
      <w:pPr>
        <w:pStyle w:val="pheading"/>
      </w:pPr>
      <w:r>
        <w:t>DESCRIPTION</w:t>
      </w:r>
    </w:p>
    <w:p w14:paraId="6FFCD14D" w14:textId="77777777" w:rsidR="00DB2B68" w:rsidRDefault="00000000">
      <w:pPr>
        <w:pStyle w:val="pheading"/>
      </w:pPr>
      <w:r>
        <w:t>- Définition / Comprend</w:t>
      </w:r>
    </w:p>
    <w:p w14:paraId="50F678AC" w14:textId="77777777" w:rsidR="00DB2B68" w:rsidRDefault="00000000">
      <w:r>
        <w:t>Renvoi à l'élément 06.11 Stabilisations de la structure</w:t>
      </w:r>
    </w:p>
    <w:p w14:paraId="1A804883" w14:textId="77777777" w:rsidR="00DB2B68" w:rsidRDefault="00000000">
      <w:pPr>
        <w:pStyle w:val="Author-eSectionHeading5Numberless"/>
      </w:pPr>
      <w:bookmarkStart w:id="487" w:name="_Toc220495574"/>
      <w:r>
        <w:t>21.82.2 Déposes d'éléments (pour repose ultérieure) CCTB 01.04</w:t>
      </w:r>
      <w:bookmarkEnd w:id="487"/>
    </w:p>
    <w:p w14:paraId="466A7DE4" w14:textId="77777777" w:rsidR="00DB2B68" w:rsidRDefault="00000000">
      <w:pPr>
        <w:pStyle w:val="pheading"/>
      </w:pPr>
      <w:r>
        <w:t>DESCRIPTION</w:t>
      </w:r>
    </w:p>
    <w:p w14:paraId="7E6C656C" w14:textId="77777777" w:rsidR="00DB2B68" w:rsidRDefault="00000000">
      <w:pPr>
        <w:pStyle w:val="pheading"/>
      </w:pPr>
      <w:r>
        <w:t>- Définition / Comprend</w:t>
      </w:r>
    </w:p>
    <w:p w14:paraId="1F7BD905" w14:textId="77777777" w:rsidR="00DB2B68" w:rsidRDefault="00000000">
      <w:r>
        <w:t>Renvoi au § 06.55 Démontages d'éléments de fermeture et de finitions extérieures</w:t>
      </w:r>
    </w:p>
    <w:p w14:paraId="6D416729" w14:textId="77777777" w:rsidR="00DB2B68" w:rsidRDefault="00000000">
      <w:pPr>
        <w:pStyle w:val="Author-eSectionHeading5Numberless"/>
      </w:pPr>
      <w:bookmarkStart w:id="488" w:name="_Toc220495575"/>
      <w:r>
        <w:t>21.82.3 Démontages d'éléments (pour récupération) CCTB 01.04</w:t>
      </w:r>
      <w:bookmarkEnd w:id="488"/>
    </w:p>
    <w:p w14:paraId="011F81A4" w14:textId="77777777" w:rsidR="00DB2B68" w:rsidRDefault="00000000">
      <w:pPr>
        <w:pStyle w:val="pheading"/>
      </w:pPr>
      <w:r>
        <w:t>DESCRIPTION</w:t>
      </w:r>
    </w:p>
    <w:p w14:paraId="30BD19DD" w14:textId="77777777" w:rsidR="00DB2B68" w:rsidRDefault="00000000">
      <w:pPr>
        <w:pStyle w:val="pheading"/>
      </w:pPr>
      <w:r>
        <w:t>- Définition / Comprend</w:t>
      </w:r>
    </w:p>
    <w:p w14:paraId="61961058" w14:textId="77777777" w:rsidR="00DB2B68" w:rsidRDefault="00000000">
      <w:r>
        <w:t>Renvoi au § 06.45 Démontages d'éléments de fermeture et de finitions extérieures</w:t>
      </w:r>
    </w:p>
    <w:p w14:paraId="54FDFC3D" w14:textId="77777777" w:rsidR="00DB2B68" w:rsidRDefault="00000000">
      <w:pPr>
        <w:pStyle w:val="Author-eSectionHeading5Numberless"/>
      </w:pPr>
      <w:bookmarkStart w:id="489" w:name="_Toc220495576"/>
      <w:r>
        <w:t>21.82.4 Décapages / déjointoiements / enlèvements (pour évacuation) CCTB 01.04</w:t>
      </w:r>
      <w:bookmarkEnd w:id="489"/>
    </w:p>
    <w:p w14:paraId="2EC2807C" w14:textId="77777777" w:rsidR="00DB2B68" w:rsidRDefault="00000000">
      <w:pPr>
        <w:pStyle w:val="pheading"/>
      </w:pPr>
      <w:r>
        <w:t>DESCRIPTION</w:t>
      </w:r>
    </w:p>
    <w:p w14:paraId="76C7E418" w14:textId="77777777" w:rsidR="00DB2B68" w:rsidRDefault="00000000">
      <w:pPr>
        <w:pStyle w:val="pheading"/>
      </w:pPr>
      <w:r>
        <w:t>- Définition / Comprend</w:t>
      </w:r>
    </w:p>
    <w:p w14:paraId="6D865EC2" w14:textId="77777777" w:rsidR="00DB2B68" w:rsidRDefault="00000000">
      <w:r>
        <w:t>Renvoi à l'élément 06.71 Déjointoiement</w:t>
      </w:r>
    </w:p>
    <w:p w14:paraId="56EE23FF" w14:textId="77777777" w:rsidR="00DB2B68" w:rsidRDefault="00000000">
      <w:r>
        <w:t>L’évacuation et la gestion des déchets issus de travaux de démolition, de rénovation ou de construction font l’objet d’un ou plusieurs postes spécifiques, détaillés dans le Tome 0 en section 07 Déchets, matériaux et éléments réemployables.</w:t>
      </w:r>
    </w:p>
    <w:p w14:paraId="08E7E0A8" w14:textId="77777777" w:rsidR="00DB2B68" w:rsidRDefault="00000000">
      <w:pPr>
        <w:pStyle w:val="Author-eSectionHeading5Numberless"/>
      </w:pPr>
      <w:bookmarkStart w:id="490" w:name="_Toc220495577"/>
      <w:r>
        <w:t>21.82.5 Percements / carottages CCTB 01.04</w:t>
      </w:r>
      <w:bookmarkEnd w:id="490"/>
    </w:p>
    <w:p w14:paraId="42A2398A" w14:textId="77777777" w:rsidR="00DB2B68" w:rsidRDefault="00000000">
      <w:pPr>
        <w:pStyle w:val="pheading"/>
      </w:pPr>
      <w:r>
        <w:t>DESCRIPTION</w:t>
      </w:r>
    </w:p>
    <w:p w14:paraId="648638EC" w14:textId="77777777" w:rsidR="00DB2B68" w:rsidRDefault="00000000">
      <w:pPr>
        <w:pStyle w:val="pheading"/>
      </w:pPr>
      <w:r>
        <w:t>- Définition / Comprend</w:t>
      </w:r>
    </w:p>
    <w:p w14:paraId="0C42B51E" w14:textId="77777777" w:rsidR="00DB2B68" w:rsidRDefault="00000000">
      <w:r>
        <w:t>Renvoi à l'élément 06.8 Percements / carottages</w:t>
      </w:r>
    </w:p>
    <w:p w14:paraId="762AEB47" w14:textId="77777777" w:rsidR="00DB2B68" w:rsidRDefault="00000000">
      <w:pPr>
        <w:pStyle w:val="Author-eSectionHeading5Numberless"/>
      </w:pPr>
      <w:bookmarkStart w:id="491" w:name="_Toc220495578"/>
      <w:r>
        <w:t>21.82.6 Déconstructions / démolitions (pour évacuation) CCTB 01.04</w:t>
      </w:r>
      <w:bookmarkEnd w:id="491"/>
    </w:p>
    <w:p w14:paraId="67910983" w14:textId="77777777" w:rsidR="00DB2B68" w:rsidRDefault="00000000">
      <w:pPr>
        <w:pStyle w:val="pheading"/>
      </w:pPr>
      <w:r>
        <w:t>DESCRIPTION</w:t>
      </w:r>
    </w:p>
    <w:p w14:paraId="4226D735" w14:textId="77777777" w:rsidR="00DB2B68" w:rsidRDefault="00000000">
      <w:pPr>
        <w:pStyle w:val="pheading"/>
      </w:pPr>
      <w:r>
        <w:t>- Définition / Comprend</w:t>
      </w:r>
    </w:p>
    <w:p w14:paraId="671AE651" w14:textId="77777777" w:rsidR="00DB2B68" w:rsidRDefault="00000000">
      <w:r>
        <w:t>Renvoi au § 06.27.1 Démolitions d'éléments de structures de maçonnerie</w:t>
      </w:r>
    </w:p>
    <w:p w14:paraId="0E029802" w14:textId="77777777" w:rsidR="00DB2B68" w:rsidRDefault="00000000">
      <w:r>
        <w:lastRenderedPageBreak/>
        <w:t>L’évacuation et la gestion des déchets issus de travaux de démolition, de rénovation ou de construction font l’objet d’un ou plusieurs postes spécifiques, détaillés dans le Tome 0 en section 07 Déchets, matériaux et éléments réemployables.</w:t>
      </w:r>
    </w:p>
    <w:p w14:paraId="148E2B64" w14:textId="77777777" w:rsidR="00DB2B68" w:rsidRDefault="00000000">
      <w:pPr>
        <w:pStyle w:val="Author-eSectionHeading5Numberless"/>
      </w:pPr>
      <w:bookmarkStart w:id="492" w:name="_Toc220495579"/>
      <w:r>
        <w:t>21.82.7 Peignages préliminaires des parements CCTB 01.04</w:t>
      </w:r>
      <w:bookmarkEnd w:id="492"/>
    </w:p>
    <w:p w14:paraId="2D236AAE" w14:textId="77777777" w:rsidR="00DB2B68" w:rsidRDefault="00000000">
      <w:pPr>
        <w:pStyle w:val="Author-eSectionHeading6Numberless"/>
      </w:pPr>
      <w:bookmarkStart w:id="493" w:name="_Toc220495580"/>
      <w:r>
        <w:t>21.82.7a Peignages préliminaires des parements CCTB 01.04</w:t>
      </w:r>
      <w:bookmarkEnd w:id="493"/>
    </w:p>
    <w:p w14:paraId="42C05666" w14:textId="77777777" w:rsidR="00DB2B68" w:rsidRDefault="00000000">
      <w:pPr>
        <w:pStyle w:val="Author-eSectionHeading5Numberless"/>
      </w:pPr>
      <w:bookmarkStart w:id="494" w:name="_Toc220495581"/>
      <w:r>
        <w:t>21.82.8 Entailles, tranchées, trous, calfeutrements et raccords CCTB 01.04</w:t>
      </w:r>
      <w:bookmarkEnd w:id="494"/>
    </w:p>
    <w:p w14:paraId="67BF61F1" w14:textId="77777777" w:rsidR="00DB2B68" w:rsidRDefault="00000000">
      <w:pPr>
        <w:pStyle w:val="Author-eSectionHeading6Numberless"/>
      </w:pPr>
      <w:bookmarkStart w:id="495" w:name="_Toc220495582"/>
      <w:r>
        <w:t>21.82.8a Travaux préparatoires pour éléments structuraux CCTB 01.04</w:t>
      </w:r>
      <w:bookmarkEnd w:id="495"/>
    </w:p>
    <w:p w14:paraId="341D410E" w14:textId="77777777" w:rsidR="00DB2B68" w:rsidRDefault="00000000">
      <w:pPr>
        <w:pStyle w:val="Author-eSectionHeading6Numberless"/>
      </w:pPr>
      <w:bookmarkStart w:id="496" w:name="_Toc220495583"/>
      <w:r>
        <w:t>21.82.8b Travaux préparatoires pour menuiseries extérieures CCTB 01.04</w:t>
      </w:r>
      <w:bookmarkEnd w:id="496"/>
    </w:p>
    <w:p w14:paraId="61557C24" w14:textId="77777777" w:rsidR="00DB2B68" w:rsidRDefault="00000000">
      <w:pPr>
        <w:pStyle w:val="Author-eSectionHeading6Numberless"/>
      </w:pPr>
      <w:bookmarkStart w:id="497" w:name="_Toc220495584"/>
      <w:r>
        <w:t>21.82.8c Travaux préparatoires pour électricité / fluides CCTB 01.04</w:t>
      </w:r>
      <w:bookmarkEnd w:id="497"/>
    </w:p>
    <w:p w14:paraId="27886AEA" w14:textId="77777777" w:rsidR="00DB2B68" w:rsidRDefault="00000000">
      <w:pPr>
        <w:pStyle w:val="Author-eSectionHeading4Numberless"/>
      </w:pPr>
      <w:bookmarkStart w:id="498" w:name="_Toc220495585"/>
      <w:r>
        <w:t>21.83 Réparations / ragréages / rénovations CCTB 01.12</w:t>
      </w:r>
      <w:bookmarkEnd w:id="498"/>
    </w:p>
    <w:p w14:paraId="377A53D2" w14:textId="77777777" w:rsidR="00DB2B68" w:rsidRDefault="00000000">
      <w:pPr>
        <w:pStyle w:val="pheading"/>
      </w:pPr>
      <w:bookmarkStart w:id="499" w:name="694"/>
      <w:bookmarkEnd w:id="499"/>
      <w:r>
        <w:t>DESCRIPTION</w:t>
      </w:r>
    </w:p>
    <w:p w14:paraId="6AEE7DB2" w14:textId="77777777" w:rsidR="00DB2B68" w:rsidRDefault="00000000">
      <w:pPr>
        <w:pStyle w:val="pheading"/>
      </w:pPr>
      <w:r>
        <w:t>- Définition / Comprend</w:t>
      </w:r>
    </w:p>
    <w:p w14:paraId="5A5910C5" w14:textId="77777777" w:rsidR="00DB2B68" w:rsidRDefault="00000000">
      <w:r>
        <w:rPr>
          <w:b/>
          <w:sz w:val="24"/>
        </w:rPr>
        <w:t>Sécurité</w:t>
      </w:r>
    </w:p>
    <w:p w14:paraId="25E54031" w14:textId="77777777" w:rsidR="00DB2B68" w:rsidRDefault="00000000">
      <w:r>
        <w:t>Conformément à la rubrique 04.4 Mesures de protection "Mesures de protection", établie par le coordinateur-projet et annexée au cahier spécial des charges. Toutes les directives en la matière et les indications concrètes données par le coordinateur-réalisation sont scrupuleusement respectées.</w:t>
      </w:r>
    </w:p>
    <w:p w14:paraId="66DC5D7B" w14:textId="77777777" w:rsidR="00DB2B68" w:rsidRDefault="00000000">
      <w:pPr>
        <w:pStyle w:val="Author-eSectionHeading5Numberless"/>
      </w:pPr>
      <w:bookmarkStart w:id="500" w:name="_Toc220495586"/>
      <w:r>
        <w:t>21.83.1 Ragréages de zones de maçonneries délabrées sans remplacement de matériaux (démontage + remontage) CCTB 01.04</w:t>
      </w:r>
      <w:bookmarkEnd w:id="500"/>
    </w:p>
    <w:p w14:paraId="2EFB350A" w14:textId="77777777" w:rsidR="00DB2B68" w:rsidRDefault="00000000">
      <w:pPr>
        <w:pStyle w:val="Author-eSectionHeading6Numberless"/>
      </w:pPr>
      <w:bookmarkStart w:id="501" w:name="_Toc220495587"/>
      <w:r>
        <w:t>21.83.1a Ragréages de zones de maçonneries en briques de terre cuite délabrées sans remplacement de matériaux CCTB 01.04</w:t>
      </w:r>
      <w:bookmarkEnd w:id="501"/>
    </w:p>
    <w:p w14:paraId="762E960C" w14:textId="77777777" w:rsidR="00DB2B68" w:rsidRDefault="00000000">
      <w:pPr>
        <w:pStyle w:val="Author-eSectionHeading6Numberless"/>
      </w:pPr>
      <w:bookmarkStart w:id="502" w:name="_Toc220495588"/>
      <w:r>
        <w:t>21.83.1b Ragréages de zones de maçonneries en blocs / briques de béton délabrées sans remplacement de matériaux CCTB 01.04</w:t>
      </w:r>
      <w:bookmarkEnd w:id="502"/>
    </w:p>
    <w:p w14:paraId="743F4D42" w14:textId="77777777" w:rsidR="00DB2B68" w:rsidRDefault="00000000">
      <w:pPr>
        <w:pStyle w:val="Author-eSectionHeading6Numberless"/>
      </w:pPr>
      <w:bookmarkStart w:id="503" w:name="_Toc220495589"/>
      <w:r>
        <w:t>21.83.1c Ragréages de zones de maçonneries en pierres naturelles délabrées sans remplacement de matériaux CCTB 01.04</w:t>
      </w:r>
      <w:bookmarkEnd w:id="503"/>
    </w:p>
    <w:p w14:paraId="3B83C367" w14:textId="77777777" w:rsidR="00DB2B68" w:rsidRDefault="00000000">
      <w:pPr>
        <w:pStyle w:val="Author-eSectionHeading5Numberless"/>
      </w:pPr>
      <w:bookmarkStart w:id="504" w:name="_Toc220495590"/>
      <w:r>
        <w:t>21.83.2 Ragréages de zones de maçonneries délabrées avec remplacement partiel de matériaux (démontage + remontage + remplacement partiel) CCTB 01.04</w:t>
      </w:r>
      <w:bookmarkEnd w:id="504"/>
    </w:p>
    <w:p w14:paraId="48EC2BF2" w14:textId="77777777" w:rsidR="00DB2B68" w:rsidRDefault="00000000">
      <w:pPr>
        <w:pStyle w:val="Author-eSectionHeading6Numberless"/>
      </w:pPr>
      <w:bookmarkStart w:id="505" w:name="_Toc220495591"/>
      <w:r>
        <w:t>21.83.2a Ragréages de zones de maçonneries en briques de terre cuite délabrées avec remplacement de matériaux CCTB 01.04</w:t>
      </w:r>
      <w:bookmarkEnd w:id="505"/>
    </w:p>
    <w:p w14:paraId="275EC17A" w14:textId="77777777" w:rsidR="00DB2B68" w:rsidRDefault="00000000">
      <w:pPr>
        <w:pStyle w:val="Author-eSectionHeading6Numberless"/>
      </w:pPr>
      <w:bookmarkStart w:id="506" w:name="_Toc220495592"/>
      <w:r>
        <w:t>21.83.2b Ragréages de zones de maçonneries en blocs / briques de béton délabrées avec remplacement de matériaux CCTB 01.04</w:t>
      </w:r>
      <w:bookmarkEnd w:id="506"/>
    </w:p>
    <w:p w14:paraId="793121A2" w14:textId="77777777" w:rsidR="00DB2B68" w:rsidRDefault="00000000">
      <w:pPr>
        <w:pStyle w:val="Author-eSectionHeading6Numberless"/>
      </w:pPr>
      <w:bookmarkStart w:id="507" w:name="_Toc220495593"/>
      <w:r>
        <w:t>21.83.2c Ragréages de zones de maçonneries en pierres naturelles délabrées avec remplacement de matériaux CCTB 01.04</w:t>
      </w:r>
      <w:bookmarkEnd w:id="507"/>
    </w:p>
    <w:p w14:paraId="6CE44C85" w14:textId="77777777" w:rsidR="00DB2B68" w:rsidRDefault="00000000">
      <w:pPr>
        <w:pStyle w:val="Author-eSectionHeading5Numberless"/>
      </w:pPr>
      <w:bookmarkStart w:id="508" w:name="_Toc220495594"/>
      <w:r>
        <w:t>21.83.3 Ragréages locaux d'éléments par mortier de réparation minéral CCTB 01.04</w:t>
      </w:r>
      <w:bookmarkEnd w:id="508"/>
    </w:p>
    <w:p w14:paraId="0D587026" w14:textId="77777777" w:rsidR="00DB2B68" w:rsidRDefault="00000000">
      <w:pPr>
        <w:pStyle w:val="Author-eSectionHeading6Numberless"/>
      </w:pPr>
      <w:bookmarkStart w:id="509" w:name="_Toc220495595"/>
      <w:r>
        <w:t>21.83.3a Ragréages locaux d'éléments en briques de terre cuite par mortier de réparation minéral CCTB 01.04</w:t>
      </w:r>
      <w:bookmarkEnd w:id="509"/>
    </w:p>
    <w:p w14:paraId="14D30F97" w14:textId="77777777" w:rsidR="00DB2B68" w:rsidRDefault="00000000">
      <w:pPr>
        <w:pStyle w:val="Author-eSectionHeading6Numberless"/>
      </w:pPr>
      <w:bookmarkStart w:id="510" w:name="_Toc220495596"/>
      <w:r>
        <w:lastRenderedPageBreak/>
        <w:t>21.83.3b Ragréages locaux d'éléments en blocs / briques de béton par mortier de réparation minéral CCTB 01.04</w:t>
      </w:r>
      <w:bookmarkEnd w:id="510"/>
    </w:p>
    <w:p w14:paraId="0009C6A9" w14:textId="77777777" w:rsidR="00DB2B68" w:rsidRDefault="00000000">
      <w:pPr>
        <w:pStyle w:val="Author-eSectionHeading6Numberless"/>
      </w:pPr>
      <w:bookmarkStart w:id="511" w:name="_Toc220495597"/>
      <w:r>
        <w:t>21.83.3c Ragréages locaux d'éléments en pierres naturelles par mortier de réparation minéral CCTB 01.04</w:t>
      </w:r>
      <w:bookmarkEnd w:id="511"/>
    </w:p>
    <w:p w14:paraId="1216FAB8" w14:textId="77777777" w:rsidR="00DB2B68" w:rsidRDefault="00000000">
      <w:pPr>
        <w:pStyle w:val="Author-eSectionHeading5Numberless"/>
      </w:pPr>
      <w:bookmarkStart w:id="512" w:name="_Toc220495598"/>
      <w:r>
        <w:t>21.83.4 Ragréages locaux d'éléments par mortier de réparation à base de résines CCTB 01.04</w:t>
      </w:r>
      <w:bookmarkEnd w:id="512"/>
    </w:p>
    <w:p w14:paraId="169D169A" w14:textId="77777777" w:rsidR="00DB2B68" w:rsidRDefault="00000000">
      <w:pPr>
        <w:pStyle w:val="Author-eSectionHeading6Numberless"/>
      </w:pPr>
      <w:bookmarkStart w:id="513" w:name="_Toc220495599"/>
      <w:r>
        <w:t>21.83.4a Ragréages locaux d'éléments en briques de terre cuite par mortier de réparation à base de résines CCTB 01.04</w:t>
      </w:r>
      <w:bookmarkEnd w:id="513"/>
    </w:p>
    <w:p w14:paraId="2378C418" w14:textId="77777777" w:rsidR="00DB2B68" w:rsidRDefault="00000000">
      <w:pPr>
        <w:pStyle w:val="Author-eSectionHeading6Numberless"/>
      </w:pPr>
      <w:bookmarkStart w:id="514" w:name="_Toc220495600"/>
      <w:r>
        <w:t>21.83.4b Ragréages locaux d'éléments en blocs / briques de béton par mortier de réparation à base de résines CCTB 01.04</w:t>
      </w:r>
      <w:bookmarkEnd w:id="514"/>
    </w:p>
    <w:p w14:paraId="6B078C33" w14:textId="77777777" w:rsidR="00DB2B68" w:rsidRDefault="00000000">
      <w:pPr>
        <w:pStyle w:val="Author-eSectionHeading6Numberless"/>
      </w:pPr>
      <w:bookmarkStart w:id="515" w:name="_Toc220495601"/>
      <w:r>
        <w:t>21.83.4c Ragréages locaux d'éléments en pierres naturelles par mortier de réparation à base de résines CCTB 01.04</w:t>
      </w:r>
      <w:bookmarkEnd w:id="515"/>
    </w:p>
    <w:p w14:paraId="1B9A7318" w14:textId="77777777" w:rsidR="00DB2B68" w:rsidRDefault="00000000">
      <w:pPr>
        <w:pStyle w:val="Author-eSectionHeading5Numberless"/>
      </w:pPr>
      <w:bookmarkStart w:id="516" w:name="_Toc220495602"/>
      <w:r>
        <w:t>21.83.5 Réparations locales d'éléments par remplacement partiel de matière (bouchons / greffons / inclusions) CCTB 01.04</w:t>
      </w:r>
      <w:bookmarkEnd w:id="516"/>
    </w:p>
    <w:p w14:paraId="0F3E2F39" w14:textId="77777777" w:rsidR="00DB2B68" w:rsidRDefault="00000000">
      <w:pPr>
        <w:pStyle w:val="Author-eSectionHeading6Numberless"/>
      </w:pPr>
      <w:bookmarkStart w:id="517" w:name="_Toc220495603"/>
      <w:r>
        <w:t>21.83.5a Réparations locales d'éléments en briques par remplacement partiel de matière CCTB 01.04</w:t>
      </w:r>
      <w:bookmarkEnd w:id="517"/>
    </w:p>
    <w:p w14:paraId="5FA64677" w14:textId="77777777" w:rsidR="00DB2B68" w:rsidRDefault="00000000">
      <w:pPr>
        <w:pStyle w:val="Author-eSectionHeading6Numberless"/>
      </w:pPr>
      <w:bookmarkStart w:id="518" w:name="_Toc220495604"/>
      <w:r>
        <w:t>21.83.5b Réparations locales d'éléments en blocs / briques de béton par remplacement partiel de matière CCTB 01.04</w:t>
      </w:r>
      <w:bookmarkEnd w:id="518"/>
    </w:p>
    <w:p w14:paraId="08EA3C3E" w14:textId="77777777" w:rsidR="00DB2B68" w:rsidRDefault="00000000">
      <w:pPr>
        <w:pStyle w:val="Author-eSectionHeading6Numberless"/>
      </w:pPr>
      <w:bookmarkStart w:id="519" w:name="_Toc220495605"/>
      <w:r>
        <w:t>21.83.5c Réparations locales d'éléments en pierres naturelles par remplacement partiel de matière CCTB 01.04</w:t>
      </w:r>
      <w:bookmarkEnd w:id="519"/>
    </w:p>
    <w:p w14:paraId="1D15D76A" w14:textId="77777777" w:rsidR="00DB2B68" w:rsidRDefault="00000000">
      <w:pPr>
        <w:pStyle w:val="Author-eSectionHeading5Numberless"/>
      </w:pPr>
      <w:bookmarkStart w:id="520" w:name="_Toc220495606"/>
      <w:r>
        <w:t>21.83.6 Réparations / ragréages / rénovations d'éléments particuliers CCTB 01.04</w:t>
      </w:r>
      <w:bookmarkEnd w:id="520"/>
    </w:p>
    <w:p w14:paraId="69F5BC85" w14:textId="77777777" w:rsidR="00DB2B68" w:rsidRDefault="00000000">
      <w:pPr>
        <w:pStyle w:val="Author-eSectionHeading6Numberless"/>
      </w:pPr>
      <w:bookmarkStart w:id="521" w:name="_Toc220495607"/>
      <w:r>
        <w:t>21.83.6a Réparations / ragréages / rénovations d'anglées CCTB 01.04</w:t>
      </w:r>
      <w:bookmarkEnd w:id="521"/>
    </w:p>
    <w:p w14:paraId="134E314E" w14:textId="77777777" w:rsidR="00DB2B68" w:rsidRDefault="00000000">
      <w:pPr>
        <w:pStyle w:val="Author-eSectionHeading6Numberless"/>
      </w:pPr>
      <w:bookmarkStart w:id="522" w:name="_Toc220495608"/>
      <w:r>
        <w:t>21.83.6b Réparations / ragréages / rénovations de contreforts CCTB 01.04</w:t>
      </w:r>
      <w:bookmarkEnd w:id="522"/>
    </w:p>
    <w:p w14:paraId="39C641E5" w14:textId="77777777" w:rsidR="00DB2B68" w:rsidRDefault="00000000">
      <w:pPr>
        <w:pStyle w:val="Author-eSectionHeading6Numberless"/>
      </w:pPr>
      <w:bookmarkStart w:id="523" w:name="_Toc220495609"/>
      <w:r>
        <w:t>21.83.6c Réparations / ragréages / rénovations de cordons CCTB 01.04</w:t>
      </w:r>
      <w:bookmarkEnd w:id="523"/>
    </w:p>
    <w:p w14:paraId="05DACFC0" w14:textId="77777777" w:rsidR="00DB2B68" w:rsidRDefault="00000000">
      <w:pPr>
        <w:pStyle w:val="Author-eSectionHeading6Numberless"/>
      </w:pPr>
      <w:bookmarkStart w:id="524" w:name="_Toc220495610"/>
      <w:r>
        <w:t>21.83.6d Réparations / ragréages / rénovations de jambages CCTB 01.04</w:t>
      </w:r>
      <w:bookmarkEnd w:id="524"/>
    </w:p>
    <w:p w14:paraId="3660BF42" w14:textId="77777777" w:rsidR="00DB2B68" w:rsidRDefault="00000000">
      <w:pPr>
        <w:pStyle w:val="Author-eSectionHeading6Numberless"/>
      </w:pPr>
      <w:bookmarkStart w:id="525" w:name="_Toc220495611"/>
      <w:r>
        <w:t>21.83.6e Réparations / ragréages / rénovations d'arcades de baies CCTB 01.04</w:t>
      </w:r>
      <w:bookmarkEnd w:id="525"/>
    </w:p>
    <w:p w14:paraId="38961DE5" w14:textId="77777777" w:rsidR="00DB2B68" w:rsidRDefault="00000000">
      <w:pPr>
        <w:pStyle w:val="Author-eSectionHeading6Numberless"/>
      </w:pPr>
      <w:bookmarkStart w:id="526" w:name="_Toc220495612"/>
      <w:r>
        <w:t>21.83.6f Soubassements - repiquages CCTB 01.04</w:t>
      </w:r>
      <w:bookmarkEnd w:id="526"/>
    </w:p>
    <w:p w14:paraId="7205A8A3" w14:textId="77777777" w:rsidR="00DB2B68" w:rsidRDefault="00000000">
      <w:pPr>
        <w:pStyle w:val="Author-eSectionHeading6Numberless"/>
      </w:pPr>
      <w:bookmarkStart w:id="527" w:name="_Toc220495613"/>
      <w:r>
        <w:t>21.83.6g Soubassements - compléments en sous-œuvre CCTB 01.04</w:t>
      </w:r>
      <w:bookmarkEnd w:id="527"/>
    </w:p>
    <w:p w14:paraId="5E237C3C" w14:textId="77777777" w:rsidR="00DB2B68" w:rsidRDefault="00000000">
      <w:pPr>
        <w:pStyle w:val="Author-eSectionHeading5Numberless"/>
      </w:pPr>
      <w:bookmarkStart w:id="528" w:name="_Toc220495614"/>
      <w:r>
        <w:t>21.83.7 Traitements des fissures et disjonctions CCTB 01.04</w:t>
      </w:r>
      <w:bookmarkEnd w:id="528"/>
    </w:p>
    <w:p w14:paraId="1261EFED" w14:textId="77777777" w:rsidR="00DB2B68" w:rsidRDefault="00000000">
      <w:pPr>
        <w:pStyle w:val="Author-eSectionHeading6Numberless"/>
      </w:pPr>
      <w:bookmarkStart w:id="529" w:name="_Toc220495615"/>
      <w:r>
        <w:t>21.83.7a Traitements des fissures de 1 à 3 mm CCTB 01.04</w:t>
      </w:r>
      <w:bookmarkEnd w:id="529"/>
    </w:p>
    <w:p w14:paraId="523E20AD" w14:textId="77777777" w:rsidR="00DB2B68" w:rsidRDefault="00000000">
      <w:pPr>
        <w:pStyle w:val="Author-eSectionHeading6Numberless"/>
      </w:pPr>
      <w:bookmarkStart w:id="530" w:name="_Toc220495616"/>
      <w:r>
        <w:t>21.83.7b Traitements des fissures de 4 à 8 mm CCTB 01.04</w:t>
      </w:r>
      <w:bookmarkEnd w:id="530"/>
    </w:p>
    <w:p w14:paraId="347874ED" w14:textId="77777777" w:rsidR="00DB2B68" w:rsidRDefault="00000000">
      <w:pPr>
        <w:pStyle w:val="Author-eSectionHeading6Numberless"/>
      </w:pPr>
      <w:bookmarkStart w:id="531" w:name="_Toc220495617"/>
      <w:r>
        <w:t>21.83.7c Traitements des ouvertures supérieures à 8 mm CCTB 01.04</w:t>
      </w:r>
      <w:bookmarkEnd w:id="531"/>
    </w:p>
    <w:p w14:paraId="0C2A670A" w14:textId="77777777" w:rsidR="00DB2B68" w:rsidRDefault="00000000">
      <w:pPr>
        <w:pStyle w:val="Author-eSectionHeading6Numberless"/>
      </w:pPr>
      <w:bookmarkStart w:id="532" w:name="_Toc220495618"/>
      <w:r>
        <w:t>21.83.7d Traitements des disjonctions (réparations par épingles en inox crantées) CCTB 01.04</w:t>
      </w:r>
      <w:bookmarkEnd w:id="532"/>
    </w:p>
    <w:p w14:paraId="51BFB449" w14:textId="77777777" w:rsidR="00DB2B68" w:rsidRDefault="00000000">
      <w:pPr>
        <w:pStyle w:val="Author-eSectionHeading5Numberless"/>
      </w:pPr>
      <w:bookmarkStart w:id="533" w:name="_Toc220495619"/>
      <w:r>
        <w:t>21.83.8 Rejointoyages CCTB 01.04</w:t>
      </w:r>
      <w:bookmarkEnd w:id="533"/>
    </w:p>
    <w:p w14:paraId="42744390" w14:textId="77777777" w:rsidR="00DB2B68" w:rsidRDefault="00000000">
      <w:pPr>
        <w:pStyle w:val="pheading"/>
      </w:pPr>
      <w:r>
        <w:t>DESCRIPTION</w:t>
      </w:r>
    </w:p>
    <w:p w14:paraId="0150CC80" w14:textId="77777777" w:rsidR="00DB2B68" w:rsidRDefault="00000000">
      <w:pPr>
        <w:pStyle w:val="pheading"/>
      </w:pPr>
      <w:r>
        <w:lastRenderedPageBreak/>
        <w:t>- Définition / Comprend</w:t>
      </w:r>
    </w:p>
    <w:p w14:paraId="13C1EE2B" w14:textId="77777777" w:rsidR="00DB2B68" w:rsidRDefault="00000000">
      <w:r>
        <w:t>Renvoi au §</w:t>
      </w:r>
      <w:hyperlink w:anchor="442" w:history="1">
        <w:r>
          <w:rPr>
            <w:color w:val="0000EE"/>
          </w:rPr>
          <w:t>21.86.4 Rejointoyages</w:t>
        </w:r>
      </w:hyperlink>
    </w:p>
    <w:p w14:paraId="11DAACC9" w14:textId="77777777" w:rsidR="00DB2B68" w:rsidRDefault="00000000">
      <w:pPr>
        <w:pStyle w:val="Author-eSectionHeading4Numberless"/>
      </w:pPr>
      <w:bookmarkStart w:id="534" w:name="_Toc220495620"/>
      <w:r>
        <w:t>21.84 Renforcements CCTB 01.04</w:t>
      </w:r>
      <w:bookmarkEnd w:id="534"/>
    </w:p>
    <w:p w14:paraId="0D234CBD" w14:textId="77777777" w:rsidR="00DB2B68" w:rsidRDefault="00000000">
      <w:pPr>
        <w:pStyle w:val="Author-eSectionHeading5Numberless"/>
      </w:pPr>
      <w:bookmarkStart w:id="535" w:name="705"/>
      <w:bookmarkStart w:id="536" w:name="_Toc220495621"/>
      <w:bookmarkEnd w:id="535"/>
      <w:r>
        <w:t>21.84.1 Renforcements par injections de coulis CCTB 01.04</w:t>
      </w:r>
      <w:bookmarkEnd w:id="536"/>
    </w:p>
    <w:p w14:paraId="1E43A2DA" w14:textId="77777777" w:rsidR="00DB2B68" w:rsidRDefault="00000000">
      <w:pPr>
        <w:pStyle w:val="Author-eSectionHeading6Numberless"/>
      </w:pPr>
      <w:bookmarkStart w:id="537" w:name="_Toc220495622"/>
      <w:r>
        <w:t>21.84.1a Injections de fissures par mortier minéral à retrait compensé CCTB 01.04</w:t>
      </w:r>
      <w:bookmarkEnd w:id="537"/>
    </w:p>
    <w:p w14:paraId="23CB3929" w14:textId="77777777" w:rsidR="00DB2B68" w:rsidRDefault="00000000">
      <w:pPr>
        <w:pStyle w:val="Author-eSectionHeading6Numberless"/>
      </w:pPr>
      <w:bookmarkStart w:id="538" w:name="_Toc220495623"/>
      <w:r>
        <w:t>21.84.1b Injections de fissures à base de résines à 2 composants CCTB 01.04</w:t>
      </w:r>
      <w:bookmarkEnd w:id="538"/>
    </w:p>
    <w:p w14:paraId="465C9F51" w14:textId="77777777" w:rsidR="00DB2B68" w:rsidRDefault="00000000">
      <w:pPr>
        <w:pStyle w:val="Author-eSectionHeading6Numberless"/>
      </w:pPr>
      <w:bookmarkStart w:id="539" w:name="_Toc220495624"/>
      <w:r>
        <w:t>21.84.1c Injections de masse par coulis minéral CCTB 01.04</w:t>
      </w:r>
      <w:bookmarkEnd w:id="539"/>
    </w:p>
    <w:p w14:paraId="6A58B835" w14:textId="77777777" w:rsidR="00DB2B68" w:rsidRDefault="00000000">
      <w:pPr>
        <w:pStyle w:val="Author-eSectionHeading6Numberless"/>
      </w:pPr>
      <w:bookmarkStart w:id="540" w:name="_Toc220495625"/>
      <w:r>
        <w:t>21.84.1d Injections de masse par coulis organique CCTB 01.04</w:t>
      </w:r>
      <w:bookmarkEnd w:id="540"/>
    </w:p>
    <w:p w14:paraId="689FC03D" w14:textId="77777777" w:rsidR="00DB2B68" w:rsidRDefault="00000000">
      <w:pPr>
        <w:pStyle w:val="Author-eSectionHeading5Numberless"/>
      </w:pPr>
      <w:bookmarkStart w:id="541" w:name="_Toc220495626"/>
      <w:r>
        <w:t>21.84.2 Renforcements par insertions et scellements de barres (ancrages / brochages / agrafages / épinglages) CCTB 01.04</w:t>
      </w:r>
      <w:bookmarkEnd w:id="541"/>
    </w:p>
    <w:p w14:paraId="539ECF15" w14:textId="77777777" w:rsidR="00DB2B68" w:rsidRDefault="00000000">
      <w:pPr>
        <w:pStyle w:val="Author-eSectionHeading6Numberless"/>
      </w:pPr>
      <w:bookmarkStart w:id="542" w:name="_Toc220495627"/>
      <w:r>
        <w:t>21.84.2a Scellements de barres dans une maçonnerie CCTB 01.04</w:t>
      </w:r>
      <w:bookmarkEnd w:id="542"/>
    </w:p>
    <w:p w14:paraId="0E7B3A30" w14:textId="77777777" w:rsidR="00DB2B68" w:rsidRDefault="00000000">
      <w:pPr>
        <w:pStyle w:val="Author-eSectionHeading6Numberless"/>
      </w:pPr>
      <w:bookmarkStart w:id="543" w:name="_Toc220495628"/>
      <w:r>
        <w:t>21.84.2b Ancrages d'éléments ponctuels CCTB 01.04</w:t>
      </w:r>
      <w:bookmarkEnd w:id="543"/>
    </w:p>
    <w:p w14:paraId="287409F2" w14:textId="77777777" w:rsidR="00DB2B68" w:rsidRDefault="00000000">
      <w:pPr>
        <w:pStyle w:val="Author-eSectionHeading6Numberless"/>
      </w:pPr>
      <w:bookmarkStart w:id="544" w:name="_Toc220495629"/>
      <w:r>
        <w:t>21.84.2c Solidarisation du parement avec la structure CCTB 01.02</w:t>
      </w:r>
      <w:bookmarkEnd w:id="544"/>
    </w:p>
    <w:p w14:paraId="06AE5FD6" w14:textId="77777777" w:rsidR="00DB2B68" w:rsidRDefault="00000000">
      <w:pPr>
        <w:pStyle w:val="Author-eSectionHeading6Numberless"/>
      </w:pPr>
      <w:bookmarkStart w:id="545" w:name="_Toc220495630"/>
      <w:r>
        <w:t>21.84.2d Coutures de fissures CCTB 01.04</w:t>
      </w:r>
      <w:bookmarkEnd w:id="545"/>
    </w:p>
    <w:p w14:paraId="6A9F3CD4" w14:textId="77777777" w:rsidR="00DB2B68" w:rsidRDefault="00000000">
      <w:pPr>
        <w:pStyle w:val="Author-eSectionHeading5Numberless"/>
      </w:pPr>
      <w:bookmarkStart w:id="546" w:name="_Toc220495631"/>
      <w:r>
        <w:t>21.84.3 Renforcements par collages d'armatures CCTB 01.04</w:t>
      </w:r>
      <w:bookmarkEnd w:id="546"/>
    </w:p>
    <w:p w14:paraId="79ED71AB" w14:textId="77777777" w:rsidR="00DB2B68" w:rsidRDefault="00000000">
      <w:pPr>
        <w:pStyle w:val="Author-eSectionHeading6Numberless"/>
      </w:pPr>
      <w:bookmarkStart w:id="547" w:name="_Toc220495632"/>
      <w:r>
        <w:t>21.84.3a Ajouts d'armatures collées en acier CCTB 01.04</w:t>
      </w:r>
      <w:bookmarkEnd w:id="547"/>
    </w:p>
    <w:p w14:paraId="252EB977" w14:textId="77777777" w:rsidR="00DB2B68" w:rsidRDefault="00000000">
      <w:pPr>
        <w:pStyle w:val="Author-eSectionHeading6Numberless"/>
      </w:pPr>
      <w:bookmarkStart w:id="548" w:name="_Toc220495633"/>
      <w:r>
        <w:t>21.84.3b Ajouts d'armatures collées en fibres de carbone CCTB 01.04</w:t>
      </w:r>
      <w:bookmarkEnd w:id="548"/>
    </w:p>
    <w:p w14:paraId="0C8DC5F4" w14:textId="77777777" w:rsidR="00DB2B68" w:rsidRDefault="00000000">
      <w:pPr>
        <w:pStyle w:val="Author-eSectionHeading5Numberless"/>
      </w:pPr>
      <w:bookmarkStart w:id="549" w:name="_Toc220495634"/>
      <w:r>
        <w:t>21.84.4 Renforcements par projections de béton CCTB 01.04</w:t>
      </w:r>
      <w:bookmarkEnd w:id="549"/>
    </w:p>
    <w:p w14:paraId="35EFCC33" w14:textId="77777777" w:rsidR="00DB2B68" w:rsidRDefault="00000000">
      <w:pPr>
        <w:pStyle w:val="Author-eSectionHeading6Numberless"/>
      </w:pPr>
      <w:bookmarkStart w:id="550" w:name="_Toc220495635"/>
      <w:r>
        <w:t>21.84.4a Renforcements par projections de béton CCTB 01.04</w:t>
      </w:r>
      <w:bookmarkEnd w:id="550"/>
    </w:p>
    <w:p w14:paraId="4B79A0F6" w14:textId="77777777" w:rsidR="00DB2B68" w:rsidRDefault="00000000">
      <w:pPr>
        <w:pStyle w:val="Author-eSectionHeading5Numberless"/>
      </w:pPr>
      <w:bookmarkStart w:id="551" w:name="_Toc220495636"/>
      <w:r>
        <w:t>21.84.5 Renforcements par ajout de structures internes CCTB 01.04</w:t>
      </w:r>
      <w:bookmarkEnd w:id="551"/>
    </w:p>
    <w:p w14:paraId="1420CE71" w14:textId="77777777" w:rsidR="00DB2B68" w:rsidRDefault="00000000">
      <w:pPr>
        <w:pStyle w:val="Author-eSectionHeading6Numberless"/>
      </w:pPr>
      <w:bookmarkStart w:id="552" w:name="_Toc220495637"/>
      <w:r>
        <w:t>21.84.5a Renforcements localisés par poutre en béton armé dans une maçonnerie (angles, etc.) CCTB 01.04</w:t>
      </w:r>
      <w:bookmarkEnd w:id="552"/>
    </w:p>
    <w:p w14:paraId="499C8D0E" w14:textId="77777777" w:rsidR="00DB2B68" w:rsidRDefault="00000000">
      <w:pPr>
        <w:pStyle w:val="Author-eSectionHeading6Numberless"/>
      </w:pPr>
      <w:bookmarkStart w:id="553" w:name="_Toc220495638"/>
      <w:r>
        <w:t>21.84.5b Ajouts de barres métalliques internes (démontage + pose + remontage) CCTB 01.04</w:t>
      </w:r>
      <w:bookmarkEnd w:id="553"/>
    </w:p>
    <w:p w14:paraId="15DC4148" w14:textId="77777777" w:rsidR="00DB2B68" w:rsidRDefault="00000000">
      <w:pPr>
        <w:pStyle w:val="Author-eSectionHeading5Numberless"/>
      </w:pPr>
      <w:bookmarkStart w:id="554" w:name="_Toc220495639"/>
      <w:r>
        <w:t>21.84.6 Renforcements par ajout de structures externes CCTB 01.04</w:t>
      </w:r>
      <w:bookmarkEnd w:id="554"/>
    </w:p>
    <w:p w14:paraId="3DC12FE9" w14:textId="77777777" w:rsidR="00DB2B68" w:rsidRDefault="00000000">
      <w:pPr>
        <w:pStyle w:val="Author-eSectionHeading6Numberless"/>
      </w:pPr>
      <w:bookmarkStart w:id="555" w:name="_Toc220495640"/>
      <w:r>
        <w:t>21.84.6a Ajouts de tirants métalliques externes CCTB 01.04</w:t>
      </w:r>
      <w:bookmarkEnd w:id="555"/>
    </w:p>
    <w:p w14:paraId="3757E5CC" w14:textId="77777777" w:rsidR="00DB2B68" w:rsidRDefault="00000000">
      <w:pPr>
        <w:pStyle w:val="Author-eSectionHeading6Numberless"/>
      </w:pPr>
      <w:bookmarkStart w:id="556" w:name="_Toc220495641"/>
      <w:r>
        <w:t>21.84.6b Renforcements par ajout de poutres de ceinture en béton armé CCTB 01.04</w:t>
      </w:r>
      <w:bookmarkEnd w:id="556"/>
    </w:p>
    <w:p w14:paraId="42178905" w14:textId="77777777" w:rsidR="00DB2B68" w:rsidRDefault="00000000">
      <w:pPr>
        <w:pStyle w:val="Author-eSectionHeading6Numberless"/>
      </w:pPr>
      <w:bookmarkStart w:id="557" w:name="_Toc220495642"/>
      <w:r>
        <w:t>21.84.6c Couches de compression sur voûtes CCTB 01.02</w:t>
      </w:r>
      <w:bookmarkEnd w:id="557"/>
    </w:p>
    <w:p w14:paraId="1BF04A5A" w14:textId="77777777" w:rsidR="00DB2B68" w:rsidRDefault="00000000">
      <w:pPr>
        <w:pStyle w:val="Author-eSectionHeading6Numberless"/>
      </w:pPr>
      <w:bookmarkStart w:id="558" w:name="_Toc220495643"/>
      <w:r>
        <w:t>21.84.6d Structures de délestage autour d'une structure existante CCTB 01.04</w:t>
      </w:r>
      <w:bookmarkEnd w:id="558"/>
    </w:p>
    <w:p w14:paraId="6C6127BF" w14:textId="77777777" w:rsidR="00DB2B68" w:rsidRDefault="00000000">
      <w:pPr>
        <w:pStyle w:val="Author-eSectionHeading6Numberless"/>
      </w:pPr>
      <w:bookmarkStart w:id="559" w:name="_Toc220495644"/>
      <w:r>
        <w:t>21.84.6e Carcanages en tête de construction CCTB 01.04</w:t>
      </w:r>
      <w:bookmarkEnd w:id="559"/>
    </w:p>
    <w:p w14:paraId="663ECE69" w14:textId="77777777" w:rsidR="00DB2B68" w:rsidRDefault="00000000">
      <w:pPr>
        <w:pStyle w:val="Author-eSectionHeading4Numberless"/>
      </w:pPr>
      <w:bookmarkStart w:id="560" w:name="_Toc220495645"/>
      <w:r>
        <w:t>21.85 Adaptations CCTB 01.07</w:t>
      </w:r>
      <w:bookmarkEnd w:id="560"/>
    </w:p>
    <w:p w14:paraId="12816E16" w14:textId="77777777" w:rsidR="00DB2B68" w:rsidRDefault="00000000">
      <w:pPr>
        <w:pStyle w:val="pheading"/>
      </w:pPr>
      <w:r>
        <w:t>DESCRIPTION</w:t>
      </w:r>
    </w:p>
    <w:p w14:paraId="0A68F09A" w14:textId="77777777" w:rsidR="00DB2B68" w:rsidRDefault="00000000">
      <w:pPr>
        <w:pStyle w:val="pheading"/>
      </w:pPr>
      <w:r>
        <w:t>- Définition / Comprend</w:t>
      </w:r>
    </w:p>
    <w:p w14:paraId="76E2F6AB" w14:textId="77777777" w:rsidR="00DB2B68" w:rsidRDefault="00000000">
      <w:pPr>
        <w:jc w:val="both"/>
      </w:pPr>
      <w:r>
        <w:t>Ce poste comprend :</w:t>
      </w:r>
    </w:p>
    <w:p w14:paraId="7C1DFD32" w14:textId="77777777" w:rsidR="00DB2B68" w:rsidRDefault="00000000">
      <w:pPr>
        <w:pStyle w:val="Author-eListParagraph"/>
        <w:numPr>
          <w:ilvl w:val="0"/>
          <w:numId w:val="301"/>
        </w:numPr>
      </w:pPr>
      <w:r>
        <w:lastRenderedPageBreak/>
        <w:t>la préparation des travaux, l'installation des échafaudages, des protections, des bâches ;</w:t>
      </w:r>
    </w:p>
    <w:p w14:paraId="258769C4" w14:textId="77777777" w:rsidR="00DB2B68" w:rsidRDefault="00000000">
      <w:pPr>
        <w:pStyle w:val="Author-eListParagraph"/>
        <w:numPr>
          <w:ilvl w:val="0"/>
          <w:numId w:val="301"/>
        </w:numPr>
      </w:pPr>
      <w:r>
        <w:t>le cas échéant, le nettoyage et/ou le grattage des finitions de maçonnerie ;</w:t>
      </w:r>
    </w:p>
    <w:p w14:paraId="56F14EC1" w14:textId="77777777" w:rsidR="00DB2B68" w:rsidRDefault="00000000">
      <w:pPr>
        <w:pStyle w:val="Author-eListParagraph"/>
        <w:numPr>
          <w:ilvl w:val="0"/>
          <w:numId w:val="301"/>
        </w:numPr>
      </w:pPr>
      <w:r>
        <w:t>les travaux d’étançonnement, de soutènement et de protection des ouvrages attenants ;</w:t>
      </w:r>
    </w:p>
    <w:p w14:paraId="0267380E" w14:textId="77777777" w:rsidR="00DB2B68" w:rsidRDefault="00000000">
      <w:pPr>
        <w:pStyle w:val="Author-eListParagraph"/>
        <w:numPr>
          <w:ilvl w:val="0"/>
          <w:numId w:val="301"/>
        </w:numPr>
      </w:pPr>
      <w:r>
        <w:t>les démolitions ciblées de maçonneries ;</w:t>
      </w:r>
    </w:p>
    <w:p w14:paraId="4CDE20D1" w14:textId="77777777" w:rsidR="00DB2B68" w:rsidRDefault="00000000">
      <w:pPr>
        <w:pStyle w:val="Author-eListParagraph"/>
        <w:numPr>
          <w:ilvl w:val="0"/>
          <w:numId w:val="301"/>
        </w:numPr>
      </w:pPr>
      <w:r>
        <w:t>la fourniture et la préparation de tous les matériaux nécessaires à l’adaptation des maçonneries ;</w:t>
      </w:r>
    </w:p>
    <w:p w14:paraId="009DC075" w14:textId="77777777" w:rsidR="00DB2B68" w:rsidRDefault="00000000">
      <w:pPr>
        <w:pStyle w:val="Author-eListParagraph"/>
        <w:numPr>
          <w:ilvl w:val="0"/>
          <w:numId w:val="301"/>
        </w:numPr>
      </w:pPr>
      <w:r>
        <w:t>l’exécution proprement dite des adaptations des maçonneries et les éventuelles mesures de protection ;</w:t>
      </w:r>
    </w:p>
    <w:p w14:paraId="3EECFA68" w14:textId="77777777" w:rsidR="00DB2B68" w:rsidRDefault="00000000">
      <w:pPr>
        <w:pStyle w:val="Author-eListParagraph"/>
        <w:numPr>
          <w:ilvl w:val="0"/>
          <w:numId w:val="301"/>
        </w:numPr>
      </w:pPr>
      <w:r>
        <w:t>l’enlèvement des protections et des échafaudages ;</w:t>
      </w:r>
    </w:p>
    <w:p w14:paraId="244F4093" w14:textId="77777777" w:rsidR="00DB2B68" w:rsidRDefault="00000000">
      <w:pPr>
        <w:pStyle w:val="Author-eListParagraph"/>
        <w:numPr>
          <w:ilvl w:val="0"/>
          <w:numId w:val="301"/>
        </w:numPr>
      </w:pPr>
      <w:r>
        <w:t>les réparations et ragréages des maçonneries attenantes ;</w:t>
      </w:r>
    </w:p>
    <w:p w14:paraId="0F6D0FB6" w14:textId="77777777" w:rsidR="00DB2B68" w:rsidRDefault="00000000">
      <w:pPr>
        <w:pStyle w:val="Author-eListParagraph"/>
        <w:numPr>
          <w:ilvl w:val="0"/>
          <w:numId w:val="301"/>
        </w:numPr>
      </w:pPr>
      <w:r>
        <w:t>l’évacuation des déchets et le nettoyage du chantier.</w:t>
      </w:r>
    </w:p>
    <w:p w14:paraId="66007775" w14:textId="77777777" w:rsidR="00DB2B68" w:rsidRDefault="00000000">
      <w:pPr>
        <w:jc w:val="both"/>
      </w:pPr>
      <w:r>
        <w:t>L’évacuation et la gestion des déchets issus de travaux de démolition, d’adaptations ou de construction font l’objet d’un ou plusieurs postes spécifiques, détaillés dans le Tome 0, section 07 Déchets, matériaux et éléments réemployables.</w:t>
      </w:r>
    </w:p>
    <w:p w14:paraId="3AF3A224" w14:textId="77777777" w:rsidR="00DB2B68" w:rsidRDefault="00000000">
      <w:pPr>
        <w:pStyle w:val="pheading"/>
      </w:pPr>
      <w:r>
        <w:t>DOCUMENTS DE RÉFÉRENCE</w:t>
      </w:r>
    </w:p>
    <w:p w14:paraId="2FA0025D" w14:textId="77777777" w:rsidR="00DB2B68" w:rsidRDefault="00000000">
      <w:pPr>
        <w:pStyle w:val="pheading"/>
      </w:pPr>
      <w:r>
        <w:t>- Matériau</w:t>
      </w:r>
    </w:p>
    <w:p w14:paraId="288787F9" w14:textId="77777777" w:rsidR="00DB2B68" w:rsidRDefault="00000000">
      <w:r>
        <w:t xml:space="preserve">Renvoi à la section </w:t>
      </w:r>
      <w:hyperlink w:anchor="295" w:history="1">
        <w:r>
          <w:rPr>
            <w:color w:val="0000EE"/>
          </w:rPr>
          <w:t>21 Superstructures en maçonnerie</w:t>
        </w:r>
      </w:hyperlink>
      <w:r>
        <w:t>.</w:t>
      </w:r>
    </w:p>
    <w:p w14:paraId="72781B4B" w14:textId="77777777" w:rsidR="00DB2B68" w:rsidRDefault="00000000">
      <w:pPr>
        <w:pStyle w:val="pheading"/>
      </w:pPr>
      <w:r>
        <w:t>- Exécution</w:t>
      </w:r>
    </w:p>
    <w:p w14:paraId="04BC0329" w14:textId="77777777" w:rsidR="00DB2B68" w:rsidRDefault="00000000">
      <w:r>
        <w:t xml:space="preserve">Renvoi à la section </w:t>
      </w:r>
      <w:hyperlink w:anchor="295" w:history="1">
        <w:r>
          <w:rPr>
            <w:color w:val="0000EE"/>
          </w:rPr>
          <w:t>21 Superstructures en maçonnerie</w:t>
        </w:r>
      </w:hyperlink>
      <w:r>
        <w:br/>
        <w:t>Renvoi également au tome 0, section 03 Études, essais et contrôles en cours de chantier. </w:t>
      </w:r>
    </w:p>
    <w:p w14:paraId="3BD1F990" w14:textId="77777777" w:rsidR="00DB2B68" w:rsidRDefault="00000000">
      <w:pPr>
        <w:pStyle w:val="Author-eSectionHeading5Numberless"/>
      </w:pPr>
      <w:bookmarkStart w:id="561" w:name="_Toc220495646"/>
      <w:r>
        <w:t>21.85.1 Réalisations de liaisonnement entre maçonneries existante et nouvelle (construction en arrachement) CCTB 01.02</w:t>
      </w:r>
      <w:bookmarkEnd w:id="561"/>
    </w:p>
    <w:p w14:paraId="015FCF99" w14:textId="77777777" w:rsidR="00DB2B68" w:rsidRDefault="00000000">
      <w:pPr>
        <w:pStyle w:val="Author-eSectionHeading6Numberless"/>
      </w:pPr>
      <w:bookmarkStart w:id="562" w:name="_Toc220495647"/>
      <w:r>
        <w:t>21.85.1a Réalisations de liaisonnement entre maçonneries existante et nouvelle CCTB 01.02</w:t>
      </w:r>
      <w:bookmarkEnd w:id="562"/>
    </w:p>
    <w:p w14:paraId="53ABE298" w14:textId="77777777" w:rsidR="00DB2B68" w:rsidRDefault="00000000">
      <w:pPr>
        <w:pStyle w:val="Author-eSectionHeading5Numberless"/>
      </w:pPr>
      <w:bookmarkStart w:id="563" w:name="_Toc220495648"/>
      <w:r>
        <w:t>21.85.2 Adaptations de maçonneries pour baies / passages CCTB 01.11</w:t>
      </w:r>
      <w:bookmarkEnd w:id="563"/>
    </w:p>
    <w:p w14:paraId="0420BC09" w14:textId="77777777" w:rsidR="00DB2B68" w:rsidRDefault="00000000">
      <w:pPr>
        <w:pStyle w:val="pheading"/>
      </w:pPr>
      <w:r>
        <w:t>EXÉCUTION / MISE EN ŒUVRE</w:t>
      </w:r>
    </w:p>
    <w:p w14:paraId="76DA69E7" w14:textId="77777777" w:rsidR="00DB2B68" w:rsidRDefault="00000000">
      <w:r>
        <w:t xml:space="preserve">Etude et plans d'exécution à charge </w:t>
      </w:r>
      <w:r>
        <w:rPr>
          <w:rStyle w:val="optioncarChar"/>
        </w:rPr>
        <w:t>de l'entrepreneur</w:t>
      </w:r>
      <w:r>
        <w:t xml:space="preserve"> (par défaut) </w:t>
      </w:r>
      <w:r>
        <w:rPr>
          <w:rStyle w:val="optioncarChar"/>
        </w:rPr>
        <w:t>/ du maître de l'ouvrage</w:t>
      </w:r>
      <w:r>
        <w:t>.</w:t>
      </w:r>
    </w:p>
    <w:p w14:paraId="341DAB72" w14:textId="77777777" w:rsidR="00DB2B68" w:rsidRDefault="00000000">
      <w:r>
        <w:rPr>
          <w:b/>
        </w:rPr>
        <w:t>(soit par défaut)</w:t>
      </w:r>
      <w:r>
        <w:br/>
      </w:r>
      <w:r>
        <w:rPr>
          <w:rStyle w:val="soitChar"/>
          <w:u w:val="single"/>
        </w:rPr>
        <w:t>De l'entrepreneur</w:t>
      </w:r>
      <w:r>
        <w:rPr>
          <w:rStyle w:val="soitChar"/>
        </w:rPr>
        <w:t xml:space="preserve"> : </w:t>
      </w:r>
      <w:r>
        <w:br/>
      </w:r>
      <w:r>
        <w:rPr>
          <w:rStyle w:val="soitChar"/>
        </w:rPr>
        <w:t xml:space="preserve"> Les frais pour la réalisation des études et des plans d’exécution sont compris dans le prix de l'entreprise. Les dessins d'exécution établis par l'ingénieur, que l'entrepreneur a chargé de l'étude de stabilité, sont soumis à l'approbation de la direction des travaux avant le début des travaux. Ils sont établis conformément aux indications données dans les documents d'adjudication (plans, cahiers des charges, bordereaux).</w:t>
      </w:r>
    </w:p>
    <w:p w14:paraId="7146F6DF" w14:textId="77777777" w:rsidR="00DB2B68" w:rsidRDefault="00000000">
      <w:r>
        <w:rPr>
          <w:b/>
        </w:rPr>
        <w:t>(soit)</w:t>
      </w:r>
      <w:r>
        <w:br/>
      </w:r>
      <w:r>
        <w:rPr>
          <w:rStyle w:val="soitChar"/>
          <w:u w:val="single"/>
        </w:rPr>
        <w:t>Du maître de l'ouvrage</w:t>
      </w:r>
      <w:r>
        <w:rPr>
          <w:rStyle w:val="soitChar"/>
        </w:rPr>
        <w:t xml:space="preserve"> : </w:t>
      </w:r>
      <w:r>
        <w:br/>
      </w:r>
      <w:r>
        <w:rPr>
          <w:rStyle w:val="soitChar"/>
        </w:rPr>
        <w:t xml:space="preserve"> Les travaux sont exécutés conformément aux documents de travail annexés au dossier d'adjudication (plans, cahiers des charges, bordereaux, dessins de détail). L'entrepreneur est toutefois tenu de vérifier s'il est possible d'exécuter les ouvrages conformément aux documents d'exécution et/ou s'il n'y a pas d'incompatibilités entre les différents documents. Avant de commencer les travaux, il met l'auteur de projet au courant de ses éventuelles remarques à ce sujet.</w:t>
      </w:r>
    </w:p>
    <w:p w14:paraId="4A79CDA2" w14:textId="77777777" w:rsidR="00DB2B68" w:rsidRDefault="00000000">
      <w:pPr>
        <w:pStyle w:val="pheading"/>
      </w:pPr>
      <w:r>
        <w:t>DOCUMENTS DE RÉFÉRENCE</w:t>
      </w:r>
    </w:p>
    <w:p w14:paraId="3DD2AD2C" w14:textId="77777777" w:rsidR="00DB2B68" w:rsidRDefault="00000000">
      <w:pPr>
        <w:pStyle w:val="pheading"/>
      </w:pPr>
      <w:r>
        <w:t>- Matériau</w:t>
      </w:r>
    </w:p>
    <w:p w14:paraId="564A4B59" w14:textId="77777777" w:rsidR="00DB2B68" w:rsidRDefault="00000000">
      <w:r>
        <w:rPr>
          <w:b/>
        </w:rPr>
        <w:t>Maçonneries</w:t>
      </w:r>
      <w:r>
        <w:br/>
        <w:t>Renvoi aux éléments suivants, et à l'ensemble des éléments qui en découlent :</w:t>
      </w:r>
    </w:p>
    <w:p w14:paraId="7B39716A" w14:textId="77777777" w:rsidR="00DB2B68" w:rsidRDefault="00000000">
      <w:pPr>
        <w:pStyle w:val="Author-eListParagraph"/>
        <w:numPr>
          <w:ilvl w:val="0"/>
          <w:numId w:val="302"/>
        </w:numPr>
      </w:pPr>
      <w:hyperlink w:anchor="453" w:history="1">
        <w:r>
          <w:rPr>
            <w:color w:val="0000EE"/>
          </w:rPr>
          <w:t>21.11 Maçonneries portantes en briques</w:t>
        </w:r>
      </w:hyperlink>
      <w:r>
        <w:t xml:space="preserve">, </w:t>
      </w:r>
      <w:hyperlink w:anchor="454" w:history="1">
        <w:r>
          <w:rPr>
            <w:color w:val="0000EE"/>
          </w:rPr>
          <w:t>21.12 Maçonneries portantes en blocs</w:t>
        </w:r>
      </w:hyperlink>
      <w:r>
        <w:t xml:space="preserve">, </w:t>
      </w:r>
      <w:hyperlink w:anchor="455" w:history="1">
        <w:r>
          <w:rPr>
            <w:color w:val="0000EE"/>
          </w:rPr>
          <w:t>21.13 Maçonneries portantes en pierre</w:t>
        </w:r>
      </w:hyperlink>
      <w:r>
        <w:t xml:space="preserve">, </w:t>
      </w:r>
      <w:hyperlink w:anchor="456" w:history="1">
        <w:r>
          <w:rPr>
            <w:color w:val="0000EE"/>
          </w:rPr>
          <w:t>21.14 Maçonneries portantes en grands éléments</w:t>
        </w:r>
      </w:hyperlink>
      <w:r>
        <w:t xml:space="preserve"> et </w:t>
      </w:r>
      <w:hyperlink w:anchor="457" w:history="1">
        <w:r>
          <w:rPr>
            <w:color w:val="0000EE"/>
          </w:rPr>
          <w:t>21.15 Maçonneries portantes particulières</w:t>
        </w:r>
      </w:hyperlink>
    </w:p>
    <w:p w14:paraId="65C0F8C6" w14:textId="77777777" w:rsidR="00DB2B68" w:rsidRDefault="00000000">
      <w:pPr>
        <w:pStyle w:val="Author-eListParagraph"/>
        <w:numPr>
          <w:ilvl w:val="0"/>
          <w:numId w:val="303"/>
        </w:numPr>
      </w:pPr>
      <w:hyperlink w:anchor="458" w:history="1">
        <w:r>
          <w:rPr>
            <w:color w:val="0000EE"/>
          </w:rPr>
          <w:t>21.21 Maçonneries non portantes en briques</w:t>
        </w:r>
      </w:hyperlink>
      <w:r>
        <w:t xml:space="preserve">, </w:t>
      </w:r>
      <w:hyperlink w:anchor="459" w:history="1">
        <w:r>
          <w:rPr>
            <w:color w:val="0000EE"/>
          </w:rPr>
          <w:t>21.22 Maçonneries non portantes en blocs</w:t>
        </w:r>
      </w:hyperlink>
      <w:r>
        <w:t xml:space="preserve">, </w:t>
      </w:r>
      <w:hyperlink w:anchor="460" w:history="1">
        <w:r>
          <w:rPr>
            <w:color w:val="0000EE"/>
          </w:rPr>
          <w:t>21.23 Maçonneries non portantes en pierre</w:t>
        </w:r>
      </w:hyperlink>
      <w:r>
        <w:t xml:space="preserve">, </w:t>
      </w:r>
      <w:hyperlink w:anchor="461" w:history="1">
        <w:r>
          <w:rPr>
            <w:color w:val="0000EE"/>
          </w:rPr>
          <w:t>21.24 Maçonneries non portantes en grands éléments</w:t>
        </w:r>
      </w:hyperlink>
      <w:r>
        <w:t xml:space="preserve"> et </w:t>
      </w:r>
      <w:hyperlink w:anchor="462" w:history="1">
        <w:r>
          <w:rPr>
            <w:color w:val="0000EE"/>
          </w:rPr>
          <w:t>21.25 Maçonneries non portantes en ensembles de blocs de verre</w:t>
        </w:r>
      </w:hyperlink>
    </w:p>
    <w:p w14:paraId="3714BB24" w14:textId="77777777" w:rsidR="00DB2B68" w:rsidRDefault="00000000">
      <w:pPr>
        <w:pStyle w:val="Author-eListParagraph"/>
        <w:numPr>
          <w:ilvl w:val="0"/>
          <w:numId w:val="304"/>
        </w:numPr>
      </w:pPr>
      <w:hyperlink w:anchor="409" w:history="1">
        <w:r>
          <w:rPr>
            <w:color w:val="0000EE"/>
          </w:rPr>
          <w:t>21.31 Maçonneries de parement en briques</w:t>
        </w:r>
      </w:hyperlink>
      <w:r>
        <w:t xml:space="preserve">, </w:t>
      </w:r>
      <w:hyperlink w:anchor="463" w:history="1">
        <w:r>
          <w:rPr>
            <w:color w:val="0000EE"/>
          </w:rPr>
          <w:t>21.32 Maçonneries de parement en blocs</w:t>
        </w:r>
      </w:hyperlink>
      <w:r>
        <w:t xml:space="preserve">, </w:t>
      </w:r>
      <w:hyperlink w:anchor="464" w:history="1">
        <w:r>
          <w:rPr>
            <w:color w:val="0000EE"/>
          </w:rPr>
          <w:t>21.33 Maçonneries de parement en pierre</w:t>
        </w:r>
      </w:hyperlink>
      <w:r>
        <w:t xml:space="preserve">, </w:t>
      </w:r>
      <w:hyperlink w:anchor="465" w:history="1">
        <w:r>
          <w:rPr>
            <w:color w:val="0000EE"/>
          </w:rPr>
          <w:t>21.34 Maçonneries de parement en grands éléments</w:t>
        </w:r>
      </w:hyperlink>
      <w:r>
        <w:t xml:space="preserve">, </w:t>
      </w:r>
      <w:hyperlink w:anchor="466" w:history="1">
        <w:r>
          <w:rPr>
            <w:color w:val="0000EE"/>
          </w:rPr>
          <w:t>21.35 Maçonneries de parement en blocs de verre</w:t>
        </w:r>
      </w:hyperlink>
      <w:r>
        <w:t xml:space="preserve"> et </w:t>
      </w:r>
      <w:hyperlink w:anchor="413" w:history="1">
        <w:r>
          <w:rPr>
            <w:color w:val="0000EE"/>
          </w:rPr>
          <w:t>21.36 Eléments particuliers de façades</w:t>
        </w:r>
      </w:hyperlink>
    </w:p>
    <w:p w14:paraId="315C2D8B" w14:textId="77777777" w:rsidR="00DB2B68" w:rsidRDefault="00000000">
      <w:r>
        <w:rPr>
          <w:b/>
        </w:rPr>
        <w:t>Linteaux</w:t>
      </w:r>
      <w:r>
        <w:br/>
        <w:t>Renvoi aux éléments suivants, et à l'ensemble des éléments qui en découlent :</w:t>
      </w:r>
    </w:p>
    <w:p w14:paraId="384C02B1" w14:textId="77777777" w:rsidR="00DB2B68" w:rsidRDefault="00000000">
      <w:pPr>
        <w:pStyle w:val="Author-eListParagraph"/>
        <w:numPr>
          <w:ilvl w:val="0"/>
          <w:numId w:val="305"/>
        </w:numPr>
      </w:pPr>
      <w:hyperlink w:anchor="402" w:history="1">
        <w:r>
          <w:rPr>
            <w:color w:val="0000EE"/>
          </w:rPr>
          <w:t>21.36.3 Linteaux</w:t>
        </w:r>
      </w:hyperlink>
      <w:r>
        <w:t>,</w:t>
      </w:r>
    </w:p>
    <w:p w14:paraId="571007EE" w14:textId="77777777" w:rsidR="00DB2B68" w:rsidRDefault="00000000">
      <w:pPr>
        <w:pStyle w:val="Author-eListParagraph"/>
        <w:numPr>
          <w:ilvl w:val="0"/>
          <w:numId w:val="305"/>
        </w:numPr>
      </w:pPr>
      <w:hyperlink w:anchor="360" w:history="1">
        <w:r>
          <w:rPr>
            <w:color w:val="0000EE"/>
          </w:rPr>
          <w:t>22.13 Linteaux en béton</w:t>
        </w:r>
      </w:hyperlink>
      <w:r>
        <w:t>,</w:t>
      </w:r>
    </w:p>
    <w:p w14:paraId="1D0D282E" w14:textId="77777777" w:rsidR="00DB2B68" w:rsidRDefault="00000000">
      <w:pPr>
        <w:pStyle w:val="Author-eListParagraph"/>
        <w:numPr>
          <w:ilvl w:val="0"/>
          <w:numId w:val="305"/>
        </w:numPr>
      </w:pPr>
      <w:hyperlink w:anchor="403" w:history="1">
        <w:r>
          <w:rPr>
            <w:color w:val="0000EE"/>
          </w:rPr>
          <w:t>23.13 Linteaux métalliques</w:t>
        </w:r>
      </w:hyperlink>
    </w:p>
    <w:p w14:paraId="1CCB23B6" w14:textId="77777777" w:rsidR="00DB2B68" w:rsidRDefault="00000000">
      <w:pPr>
        <w:pStyle w:val="Author-eListParagraph"/>
        <w:numPr>
          <w:ilvl w:val="0"/>
          <w:numId w:val="305"/>
        </w:numPr>
      </w:pPr>
      <w:r>
        <w:t>24.11 24.13 Linteaux en bois</w:t>
      </w:r>
    </w:p>
    <w:p w14:paraId="3825BD08" w14:textId="77777777" w:rsidR="00DB2B68" w:rsidRDefault="00000000">
      <w:pPr>
        <w:pStyle w:val="pheading"/>
      </w:pPr>
      <w:r>
        <w:t>- Exécution</w:t>
      </w:r>
    </w:p>
    <w:p w14:paraId="1AD1B36D" w14:textId="77777777" w:rsidR="00DB2B68" w:rsidRDefault="00000000">
      <w:r>
        <w:t xml:space="preserve">Renvoi à la section </w:t>
      </w:r>
      <w:hyperlink w:anchor="295" w:history="1">
        <w:r>
          <w:rPr>
            <w:color w:val="0000EE"/>
          </w:rPr>
          <w:t>21 Superstructures en maçonnerie</w:t>
        </w:r>
      </w:hyperlink>
      <w:r>
        <w:t xml:space="preserve"> et aux articles qui en découlent.</w:t>
      </w:r>
    </w:p>
    <w:p w14:paraId="79DD1611" w14:textId="77777777" w:rsidR="00DB2B68" w:rsidRDefault="00000000">
      <w:pPr>
        <w:pStyle w:val="Author-eSectionHeading6Numberless"/>
      </w:pPr>
      <w:bookmarkStart w:id="564" w:name="_Toc220495649"/>
      <w:r>
        <w:t>21.85.2a Créations de baies dans maçonneries CCTB 01.04</w:t>
      </w:r>
      <w:bookmarkEnd w:id="564"/>
    </w:p>
    <w:p w14:paraId="31A4703B" w14:textId="77777777" w:rsidR="00DB2B68" w:rsidRDefault="00000000">
      <w:pPr>
        <w:pStyle w:val="pheading"/>
      </w:pPr>
      <w:r>
        <w:t>DESCRIPTION</w:t>
      </w:r>
    </w:p>
    <w:p w14:paraId="0C724A33" w14:textId="77777777" w:rsidR="00DB2B68" w:rsidRDefault="00000000">
      <w:pPr>
        <w:pStyle w:val="pheading"/>
      </w:pPr>
      <w:r>
        <w:t>- Définition / Comprend</w:t>
      </w:r>
    </w:p>
    <w:p w14:paraId="179533F0" w14:textId="77777777" w:rsidR="00DB2B68" w:rsidRDefault="00000000">
      <w:r>
        <w:t>Renvoi aux éléments 06.82.2a Créations de baies dans maçonneries portantes et 06.82.2b Créations de baies dans maçonneries non portantes et de parement</w:t>
      </w:r>
    </w:p>
    <w:p w14:paraId="51F63482" w14:textId="77777777" w:rsidR="00DB2B68" w:rsidRDefault="00000000">
      <w:pPr>
        <w:pStyle w:val="Author-eSectionHeading6Numberless"/>
      </w:pPr>
      <w:bookmarkStart w:id="565" w:name="_Toc220495650"/>
      <w:r>
        <w:t>21.85.2b Adaptations dimensionnelles de baies existantes dans maçonneries CCTB 01.04</w:t>
      </w:r>
      <w:bookmarkEnd w:id="565"/>
    </w:p>
    <w:p w14:paraId="6D495383" w14:textId="77777777" w:rsidR="00DB2B68" w:rsidRDefault="00000000">
      <w:pPr>
        <w:pStyle w:val="pheading"/>
      </w:pPr>
      <w:r>
        <w:t>DESCRIPTION</w:t>
      </w:r>
    </w:p>
    <w:p w14:paraId="3115C532" w14:textId="77777777" w:rsidR="00DB2B68" w:rsidRDefault="00000000">
      <w:pPr>
        <w:pStyle w:val="pheading"/>
      </w:pPr>
      <w:r>
        <w:t>- Définition / Comprend</w:t>
      </w:r>
    </w:p>
    <w:p w14:paraId="2B3AEBB4" w14:textId="77777777" w:rsidR="00DB2B68" w:rsidRDefault="00000000">
      <w:r>
        <w:t>Renvoi aux éléments 06.82.3a Adaptations dimensionnelles de baies, avec reprise de charges, dans maçonneries portantes, 06.82.3b Adaptations dimensionnelles de baies, avec reprise de charges, dans maçonneries non portantes et de parement, 06.82.4a Adaptations dimensionnelles de baies, sans reprise de charges, dans maçonneries portantes et 06.82.4b Adaptations dimensionnelles de baies, sans reprise de charges, dans maçonneries non portantes et de parement</w:t>
      </w:r>
    </w:p>
    <w:p w14:paraId="0E711862" w14:textId="77777777" w:rsidR="00DB2B68" w:rsidRDefault="00000000">
      <w:pPr>
        <w:pStyle w:val="Author-eSectionHeading6Numberless"/>
      </w:pPr>
      <w:bookmarkStart w:id="566" w:name="_Toc220495651"/>
      <w:r>
        <w:t>21.85.2c Obturations de baies existantes dans maçonneries CCTB 01.11</w:t>
      </w:r>
      <w:bookmarkEnd w:id="566"/>
    </w:p>
    <w:p w14:paraId="23C11FBA" w14:textId="77777777" w:rsidR="00DB2B68" w:rsidRDefault="00000000">
      <w:pPr>
        <w:pStyle w:val="pheading"/>
      </w:pPr>
      <w:r>
        <w:t>DESCRIPTION</w:t>
      </w:r>
    </w:p>
    <w:p w14:paraId="42EAD7EB" w14:textId="77777777" w:rsidR="00DB2B68" w:rsidRDefault="00000000">
      <w:pPr>
        <w:pStyle w:val="pheading"/>
      </w:pPr>
      <w:r>
        <w:t>- Localisation</w:t>
      </w:r>
    </w:p>
    <w:p w14:paraId="466A38CC" w14:textId="77777777" w:rsidR="00DB2B68" w:rsidRDefault="00000000">
      <w:r>
        <w:t xml:space="preserve">Les baies sont localisées aux endroits suivants:  </w:t>
      </w:r>
      <w:r>
        <w:rPr>
          <w:rStyle w:val="optioncarChar"/>
        </w:rPr>
        <w:t>***</w:t>
      </w:r>
      <w:r>
        <w:t xml:space="preserve"> .</w:t>
      </w:r>
    </w:p>
    <w:p w14:paraId="7411CF8F" w14:textId="77777777" w:rsidR="00DB2B68" w:rsidRDefault="00000000">
      <w:r>
        <w:t>Voir plans et métrés détaillés.</w:t>
      </w:r>
    </w:p>
    <w:p w14:paraId="6A549EE7" w14:textId="77777777" w:rsidR="00DB2B68" w:rsidRDefault="00000000">
      <w:pPr>
        <w:pStyle w:val="pheading"/>
      </w:pPr>
      <w:r>
        <w:t>MATÉRIAUX</w:t>
      </w:r>
    </w:p>
    <w:p w14:paraId="4B60EACB" w14:textId="77777777" w:rsidR="00DB2B68" w:rsidRDefault="00000000">
      <w:pPr>
        <w:pStyle w:val="pheading"/>
      </w:pPr>
      <w:r>
        <w:t>- Caractéristiques générales</w:t>
      </w:r>
    </w:p>
    <w:p w14:paraId="601C56A5" w14:textId="77777777" w:rsidR="00DB2B68" w:rsidRDefault="00000000">
      <w:pPr>
        <w:jc w:val="both"/>
      </w:pPr>
      <w:r>
        <w:t>L’obturation de baies existantes est réalisée avec des matériaux similaires à la maçonnerie existante attenante (blocs/briques et joints).</w:t>
      </w:r>
    </w:p>
    <w:p w14:paraId="3A34DD2C" w14:textId="77777777" w:rsidR="00DB2B68" w:rsidRDefault="00000000">
      <w:pPr>
        <w:jc w:val="both"/>
      </w:pPr>
      <w:r>
        <w:t xml:space="preserve">Similitude de matériau : </w:t>
      </w:r>
      <w:r>
        <w:rPr>
          <w:rStyle w:val="optioncarChar"/>
        </w:rPr>
        <w:t>plafonné</w:t>
      </w:r>
      <w:r>
        <w:t xml:space="preserve"> (par défaut) </w:t>
      </w:r>
      <w:r>
        <w:rPr>
          <w:rStyle w:val="optioncarChar"/>
        </w:rPr>
        <w:t xml:space="preserve"> / apparent</w:t>
      </w:r>
      <w:r>
        <w:t>.</w:t>
      </w:r>
    </w:p>
    <w:p w14:paraId="1915A3AC" w14:textId="77777777" w:rsidR="00DB2B68" w:rsidRDefault="00000000">
      <w:pPr>
        <w:jc w:val="both"/>
      </w:pPr>
      <w:r>
        <w:rPr>
          <w:b/>
        </w:rPr>
        <w:t>(soit par défaut)</w:t>
      </w:r>
    </w:p>
    <w:p w14:paraId="6E34CA49" w14:textId="77777777" w:rsidR="00DB2B68" w:rsidRDefault="00000000">
      <w:pPr>
        <w:jc w:val="both"/>
      </w:pPr>
      <w:r>
        <w:rPr>
          <w:rStyle w:val="soitChar"/>
          <w:u w:val="single"/>
        </w:rPr>
        <w:t>Plafonné</w:t>
      </w:r>
    </w:p>
    <w:p w14:paraId="7A413353" w14:textId="77777777" w:rsidR="00DB2B68" w:rsidRDefault="00000000">
      <w:pPr>
        <w:jc w:val="both"/>
      </w:pPr>
      <w:r>
        <w:rPr>
          <w:rStyle w:val="soitChar"/>
        </w:rPr>
        <w:lastRenderedPageBreak/>
        <w:t>Les matériaux destinés à être plafonnés sont de même nature que la maçonnerie existante. (exemple: terre cuite pour un mur en terre cuite)</w:t>
      </w:r>
    </w:p>
    <w:p w14:paraId="325AEB11" w14:textId="77777777" w:rsidR="00DB2B68" w:rsidRDefault="00000000">
      <w:pPr>
        <w:jc w:val="both"/>
      </w:pPr>
      <w:r>
        <w:rPr>
          <w:b/>
        </w:rPr>
        <w:t>(soit)</w:t>
      </w:r>
    </w:p>
    <w:p w14:paraId="64F8C503" w14:textId="77777777" w:rsidR="00DB2B68" w:rsidRDefault="00000000">
      <w:pPr>
        <w:jc w:val="both"/>
      </w:pPr>
      <w:r>
        <w:rPr>
          <w:rStyle w:val="soitChar"/>
          <w:u w:val="single"/>
        </w:rPr>
        <w:t>Apparent</w:t>
      </w:r>
    </w:p>
    <w:p w14:paraId="36AAFC20" w14:textId="77777777" w:rsidR="00DB2B68" w:rsidRDefault="00000000">
      <w:pPr>
        <w:jc w:val="both"/>
      </w:pPr>
      <w:r>
        <w:rPr>
          <w:rStyle w:val="soitChar"/>
        </w:rPr>
        <w:t>Les matériaux destinés à rester apparents sont de même nature, teinte, forme et texture que la maçonnerie existante.</w:t>
      </w:r>
    </w:p>
    <w:p w14:paraId="58973103" w14:textId="77777777" w:rsidR="00DB2B68" w:rsidRDefault="00000000">
      <w:pPr>
        <w:pStyle w:val="pheading"/>
      </w:pPr>
      <w:r>
        <w:t>EXÉCUTION / MISE EN ŒUVRE</w:t>
      </w:r>
    </w:p>
    <w:p w14:paraId="3B4034AE" w14:textId="77777777" w:rsidR="00DB2B68" w:rsidRDefault="00000000">
      <w:pPr>
        <w:pStyle w:val="pheading"/>
      </w:pPr>
      <w:r>
        <w:t>- Prescriptions générales</w:t>
      </w:r>
    </w:p>
    <w:p w14:paraId="2931C2F7" w14:textId="77777777" w:rsidR="00DB2B68" w:rsidRDefault="00000000">
      <w:r>
        <w:t xml:space="preserve">Les baies sont obturées : </w:t>
      </w:r>
      <w:r>
        <w:rPr>
          <w:rStyle w:val="optioncarChar"/>
        </w:rPr>
        <w:t>dans toute l'épaisseur du mur existant</w:t>
      </w:r>
      <w:r>
        <w:t xml:space="preserve"> (par défaut) </w:t>
      </w:r>
      <w:r>
        <w:rPr>
          <w:rStyle w:val="optioncarChar"/>
        </w:rPr>
        <w:t>/ dans une partie de la profondeur du mur existant</w:t>
      </w:r>
      <w:r>
        <w:t>. </w:t>
      </w:r>
    </w:p>
    <w:p w14:paraId="751149B4" w14:textId="77777777" w:rsidR="00DB2B68" w:rsidRDefault="00000000">
      <w:r>
        <w:rPr>
          <w:b/>
        </w:rPr>
        <w:t>(Soit par défaut)</w:t>
      </w:r>
      <w:r>
        <w:br/>
      </w:r>
      <w:r>
        <w:rPr>
          <w:rStyle w:val="soitChar"/>
          <w:u w:val="single"/>
        </w:rPr>
        <w:t>Dans toute l'épaisseur du mur existant</w:t>
      </w:r>
      <w:r>
        <w:br/>
      </w:r>
      <w:r>
        <w:rPr>
          <w:rStyle w:val="soitChar"/>
        </w:rPr>
        <w:t>Les maçonneries réalisées dans toute l’épaisseur de la baie sont appareillées.</w:t>
      </w:r>
      <w:r>
        <w:br/>
      </w:r>
      <w:r>
        <w:rPr>
          <w:b/>
        </w:rPr>
        <w:t>(Soit)</w:t>
      </w:r>
      <w:r>
        <w:br/>
      </w:r>
      <w:r>
        <w:rPr>
          <w:color w:val="33CCCC"/>
        </w:rPr>
        <w:t>Dans une partie de la profondeur du mur existant :</w:t>
      </w:r>
    </w:p>
    <w:p w14:paraId="334585A3" w14:textId="77777777" w:rsidR="00DB2B68" w:rsidRDefault="00DB2B68"/>
    <w:p w14:paraId="0D2492D0" w14:textId="77777777" w:rsidR="00DB2B68" w:rsidRDefault="00000000">
      <w:pPr>
        <w:pStyle w:val="Author-eListParagraph"/>
        <w:numPr>
          <w:ilvl w:val="0"/>
          <w:numId w:val="306"/>
        </w:numPr>
      </w:pPr>
      <w:r>
        <w:rPr>
          <w:rStyle w:val="soitChar"/>
        </w:rPr>
        <w:t>Sur une profondeur d’un module de blocs/briques de</w:t>
      </w:r>
      <w:r>
        <w:rPr>
          <w:rStyle w:val="optioncarChar"/>
        </w:rPr>
        <w:t xml:space="preserve"> 9 </w:t>
      </w:r>
      <w:r>
        <w:t>(par défaut)</w:t>
      </w:r>
      <w:r>
        <w:rPr>
          <w:rStyle w:val="optioncarChar"/>
        </w:rPr>
        <w:t xml:space="preserve"> / 10 / 14 / 15 /19 / 20 / 21/***</w:t>
      </w:r>
      <w:r>
        <w:rPr>
          <w:rStyle w:val="soitChar"/>
        </w:rPr>
        <w:t xml:space="preserve"> cm d’épaisseur,</w:t>
      </w:r>
    </w:p>
    <w:p w14:paraId="4F20EBCF" w14:textId="77777777" w:rsidR="00DB2B68" w:rsidRDefault="00000000">
      <w:pPr>
        <w:pStyle w:val="Author-eListParagraph"/>
        <w:numPr>
          <w:ilvl w:val="0"/>
          <w:numId w:val="306"/>
        </w:numPr>
      </w:pPr>
      <w:r>
        <w:rPr>
          <w:rStyle w:val="soitChar"/>
        </w:rPr>
        <w:t>et maçonné :</w:t>
      </w:r>
      <w:r>
        <w:rPr>
          <w:rStyle w:val="optioncarChar"/>
        </w:rPr>
        <w:t xml:space="preserve"> d’un côté de la baie, dans l’alignement de la face du mur existant  / à l’axe du mur / de chaque côté de la baie et dans l’alignement des faces du mur existant, l’espace résiduel intérieur étant laissé vide</w:t>
      </w:r>
      <w:r>
        <w:t xml:space="preserve"> (par défaut) </w:t>
      </w:r>
      <w:r>
        <w:rPr>
          <w:rStyle w:val="optioncarChar"/>
        </w:rPr>
        <w:t>/ ***</w:t>
      </w:r>
      <w:r>
        <w:t xml:space="preserve"> .</w:t>
      </w:r>
    </w:p>
    <w:p w14:paraId="3D035185" w14:textId="77777777" w:rsidR="00DB2B68" w:rsidRDefault="00000000">
      <w:r>
        <w:t>Dans le cas où les murs périphériques des baies sont encore plafonnés et que les maçonneries d’obturation sont également destinées à être plafonnées, ces dernières sont positionnées en retrait de l’alignement en fonction de l’épaisseur de la couche de finition à y appliquer.</w:t>
      </w:r>
    </w:p>
    <w:p w14:paraId="435B35AE" w14:textId="77777777" w:rsidR="00DB2B68" w:rsidRDefault="00000000">
      <w:r>
        <w:t>Pour les maçonneries destinées à rester apparentes, seuls des modules non endommagés sont utilisés.</w:t>
      </w:r>
    </w:p>
    <w:p w14:paraId="1D27304D" w14:textId="77777777" w:rsidR="00DB2B68" w:rsidRDefault="00000000">
      <w:pPr>
        <w:pStyle w:val="pheading"/>
      </w:pPr>
      <w:r>
        <w:t>- Notes d’exécution complémentaires</w:t>
      </w:r>
    </w:p>
    <w:p w14:paraId="0374B685" w14:textId="77777777" w:rsidR="00DB2B68" w:rsidRDefault="00000000">
      <w:pPr>
        <w:jc w:val="both"/>
      </w:pPr>
      <w:r>
        <w:rPr>
          <w:rStyle w:val="facultChar"/>
        </w:rPr>
        <w:t>Le présent article comprend le démontage des linteaux existants des baies à obturer.</w:t>
      </w:r>
    </w:p>
    <w:p w14:paraId="2F8AB6CD" w14:textId="77777777" w:rsidR="00DB2B68" w:rsidRDefault="00000000">
      <w:pPr>
        <w:jc w:val="both"/>
      </w:pPr>
      <w:r>
        <w:rPr>
          <w:rStyle w:val="facultChar"/>
        </w:rPr>
        <w:t>Ce travail est exécuté conformément aux chapitres "06.82.3 Adaptations dimensionnelles de baies avec reprise de charges" et "06.82.4 Adaptations dimensionnelles de baies sans reprise de charges et articles qui en découlent.</w:t>
      </w:r>
    </w:p>
    <w:p w14:paraId="7793AFEF" w14:textId="77777777" w:rsidR="00DB2B68" w:rsidRDefault="00000000">
      <w:pPr>
        <w:jc w:val="both"/>
      </w:pPr>
      <w:r>
        <w:rPr>
          <w:rStyle w:val="facultChar"/>
        </w:rPr>
        <w:t>Le présent article comprend également :</w:t>
      </w:r>
      <w:r>
        <w:rPr>
          <w:rStyle w:val="optioncarChar"/>
        </w:rPr>
        <w:t xml:space="preserve"> le rejointoiement mur apparent / le liaisonnement des maçonneries / des ancrages latéraux / des armatures horizontales.</w:t>
      </w:r>
    </w:p>
    <w:p w14:paraId="77D15F61" w14:textId="77777777" w:rsidR="00DB2B68" w:rsidRDefault="00000000">
      <w:pPr>
        <w:pStyle w:val="Author-eListParagraph"/>
        <w:numPr>
          <w:ilvl w:val="0"/>
          <w:numId w:val="307"/>
        </w:numPr>
        <w:jc w:val="both"/>
      </w:pPr>
      <w:r>
        <w:rPr>
          <w:rStyle w:val="facultChar"/>
          <w:u w:val="single"/>
        </w:rPr>
        <w:t>Rejointoiement mur apparent</w:t>
      </w:r>
    </w:p>
    <w:p w14:paraId="3644FA4F" w14:textId="77777777" w:rsidR="00DB2B68" w:rsidRDefault="00000000">
      <w:pPr>
        <w:pStyle w:val="Author-eListParagraph"/>
        <w:numPr>
          <w:ilvl w:val="0"/>
          <w:numId w:val="307"/>
        </w:numPr>
        <w:jc w:val="both"/>
      </w:pPr>
      <w:r>
        <w:rPr>
          <w:rStyle w:val="facultChar"/>
        </w:rPr>
        <w:t>Les faces de murs sont exécutées comme maçonneries apparentes et sont rejointoyées selon l'article "</w:t>
      </w:r>
      <w:hyperlink w:anchor="346" w:history="1">
        <w:r>
          <w:rPr>
            <w:rStyle w:val="facultChar"/>
            <w:color w:val="0000EE"/>
          </w:rPr>
          <w:t>21.61.1b Joints de maçonnerie apparente</w:t>
        </w:r>
      </w:hyperlink>
      <w:r>
        <w:rPr>
          <w:rStyle w:val="facultChar"/>
        </w:rPr>
        <w:t xml:space="preserve"> : </w:t>
      </w:r>
      <w:r>
        <w:rPr>
          <w:rStyle w:val="optioncarChar"/>
        </w:rPr>
        <w:t>en cours d'élévation</w:t>
      </w:r>
      <w:r>
        <w:t xml:space="preserve"> (par défaut)</w:t>
      </w:r>
      <w:r>
        <w:rPr>
          <w:rStyle w:val="optioncarChar"/>
        </w:rPr>
        <w:t xml:space="preserve"> / rejointoyées a posteriori.</w:t>
      </w:r>
    </w:p>
    <w:p w14:paraId="0F437C19" w14:textId="77777777" w:rsidR="00DB2B68" w:rsidRDefault="00DB2B68">
      <w:pPr>
        <w:pStyle w:val="Author-eListParagraph"/>
        <w:numPr>
          <w:ilvl w:val="0"/>
          <w:numId w:val="307"/>
        </w:numPr>
        <w:jc w:val="both"/>
      </w:pPr>
    </w:p>
    <w:p w14:paraId="2AFC84EE" w14:textId="77777777" w:rsidR="00DB2B68" w:rsidRDefault="00000000">
      <w:pPr>
        <w:pStyle w:val="Author-eListParagraph"/>
        <w:numPr>
          <w:ilvl w:val="0"/>
          <w:numId w:val="307"/>
        </w:numPr>
        <w:jc w:val="both"/>
      </w:pPr>
      <w:r>
        <w:rPr>
          <w:rStyle w:val="facultChar"/>
          <w:u w:val="single"/>
        </w:rPr>
        <w:t>Liaisonnement des maçonneries</w:t>
      </w:r>
    </w:p>
    <w:p w14:paraId="34845AA1" w14:textId="77777777" w:rsidR="00DB2B68" w:rsidRDefault="00000000">
      <w:pPr>
        <w:pStyle w:val="Author-eListParagraph"/>
        <w:numPr>
          <w:ilvl w:val="0"/>
          <w:numId w:val="307"/>
        </w:numPr>
        <w:jc w:val="both"/>
      </w:pPr>
      <w:r>
        <w:rPr>
          <w:rStyle w:val="facultChar"/>
        </w:rPr>
        <w:t>Les maçonneries à profondeur partielles réalisées de chaque côté des baies sont liaisonnées entre elles à l’aide de crochets d’ancrages selon l'article "</w:t>
      </w:r>
      <w:hyperlink w:anchor="451" w:history="1">
        <w:r>
          <w:rPr>
            <w:rStyle w:val="facultChar"/>
            <w:color w:val="0000EE"/>
          </w:rPr>
          <w:t>21.42.1b Crochets, tirants et pattes d'ancrages de maçonneries scellés dans la masse</w:t>
        </w:r>
      </w:hyperlink>
      <w:r>
        <w:rPr>
          <w:rStyle w:val="facultChar"/>
        </w:rPr>
        <w:t xml:space="preserve"> :</w:t>
      </w:r>
    </w:p>
    <w:p w14:paraId="5495A6DB" w14:textId="77777777" w:rsidR="00DB2B68" w:rsidRDefault="00000000">
      <w:pPr>
        <w:pStyle w:val="Author-eListParagraph"/>
        <w:numPr>
          <w:ilvl w:val="1"/>
          <w:numId w:val="308"/>
        </w:numPr>
      </w:pPr>
      <w:r>
        <w:rPr>
          <w:rStyle w:val="facultChar"/>
        </w:rPr>
        <w:t xml:space="preserve">Acier : </w:t>
      </w:r>
      <w:r>
        <w:rPr>
          <w:rStyle w:val="optioncarChar"/>
        </w:rPr>
        <w:t>galvanisé</w:t>
      </w:r>
      <w:r>
        <w:t xml:space="preserve"> (par défaut) </w:t>
      </w:r>
      <w:r>
        <w:rPr>
          <w:rStyle w:val="optioncarChar"/>
        </w:rPr>
        <w:t>/ inoxydable</w:t>
      </w:r>
      <w:r>
        <w:rPr>
          <w:rStyle w:val="facultChar"/>
        </w:rPr>
        <w:t> ;</w:t>
      </w:r>
    </w:p>
    <w:p w14:paraId="0C2F0DA2" w14:textId="77777777" w:rsidR="00DB2B68" w:rsidRDefault="00000000">
      <w:pPr>
        <w:pStyle w:val="Author-eListParagraph"/>
        <w:numPr>
          <w:ilvl w:val="1"/>
          <w:numId w:val="308"/>
        </w:numPr>
      </w:pPr>
      <w:r>
        <w:rPr>
          <w:rStyle w:val="facultChar"/>
        </w:rPr>
        <w:t xml:space="preserve">Diamètre minimum : </w:t>
      </w:r>
      <w:r>
        <w:rPr>
          <w:rStyle w:val="optioncarChar"/>
        </w:rPr>
        <w:t>4</w:t>
      </w:r>
      <w:r>
        <w:t xml:space="preserve"> (par défaut)</w:t>
      </w:r>
      <w:r>
        <w:rPr>
          <w:rStyle w:val="optioncarChar"/>
        </w:rPr>
        <w:t xml:space="preserve"> / *** </w:t>
      </w:r>
      <w:r>
        <w:t>mm ;</w:t>
      </w:r>
    </w:p>
    <w:p w14:paraId="042AACD0" w14:textId="77777777" w:rsidR="00DB2B68" w:rsidRDefault="00000000">
      <w:pPr>
        <w:pStyle w:val="Author-eListParagraph"/>
        <w:numPr>
          <w:ilvl w:val="1"/>
          <w:numId w:val="308"/>
        </w:numPr>
      </w:pPr>
      <w:r>
        <w:rPr>
          <w:rStyle w:val="facultChar"/>
        </w:rPr>
        <w:t xml:space="preserve">Dispositions : minimum </w:t>
      </w:r>
      <w:r>
        <w:rPr>
          <w:rStyle w:val="optioncarChar"/>
        </w:rPr>
        <w:t>5</w:t>
      </w:r>
      <w:r>
        <w:t xml:space="preserve"> (par défaut) </w:t>
      </w:r>
      <w:r>
        <w:rPr>
          <w:rStyle w:val="optioncarChar"/>
        </w:rPr>
        <w:t xml:space="preserve">/*** </w:t>
      </w:r>
      <w:r>
        <w:t>crochets par mètre carré.</w:t>
      </w:r>
      <w:r>
        <w:br/>
      </w:r>
    </w:p>
    <w:p w14:paraId="74345A70" w14:textId="77777777" w:rsidR="00DB2B68" w:rsidRDefault="00000000">
      <w:pPr>
        <w:pStyle w:val="Author-eListParagraph"/>
        <w:numPr>
          <w:ilvl w:val="0"/>
          <w:numId w:val="307"/>
        </w:numPr>
        <w:jc w:val="both"/>
      </w:pPr>
      <w:r>
        <w:rPr>
          <w:rStyle w:val="facultChar"/>
          <w:u w:val="single"/>
        </w:rPr>
        <w:t>Ancrages latéraux</w:t>
      </w:r>
    </w:p>
    <w:p w14:paraId="177E6158" w14:textId="77777777" w:rsidR="00DB2B68" w:rsidRDefault="00000000">
      <w:pPr>
        <w:pStyle w:val="Author-eListParagraph"/>
        <w:numPr>
          <w:ilvl w:val="0"/>
          <w:numId w:val="307"/>
        </w:numPr>
        <w:jc w:val="both"/>
      </w:pPr>
      <w:r>
        <w:rPr>
          <w:rStyle w:val="facultChar"/>
        </w:rPr>
        <w:t>Ancrages : selon le sous-titre "</w:t>
      </w:r>
      <w:hyperlink w:anchor="364" w:history="1">
        <w:r>
          <w:rPr>
            <w:rStyle w:val="facultChar"/>
            <w:color w:val="0000EE"/>
          </w:rPr>
          <w:t>21.42 Ancrages et fixations de maçonneries</w:t>
        </w:r>
      </w:hyperlink>
      <w:r>
        <w:rPr>
          <w:rStyle w:val="facultChar"/>
        </w:rPr>
        <w:t> :</w:t>
      </w:r>
    </w:p>
    <w:p w14:paraId="66691ABF" w14:textId="77777777" w:rsidR="00DB2B68" w:rsidRDefault="00000000">
      <w:pPr>
        <w:pStyle w:val="Author-eListParagraph"/>
        <w:numPr>
          <w:ilvl w:val="1"/>
          <w:numId w:val="309"/>
        </w:numPr>
      </w:pPr>
      <w:r>
        <w:rPr>
          <w:rStyle w:val="facultChar"/>
        </w:rPr>
        <w:lastRenderedPageBreak/>
        <w:t xml:space="preserve">tous les </w:t>
      </w:r>
      <w:r>
        <w:rPr>
          <w:rStyle w:val="optioncarChar"/>
        </w:rPr>
        <w:t>3</w:t>
      </w:r>
      <w:r>
        <w:t xml:space="preserve"> (par défaut) </w:t>
      </w:r>
      <w:r>
        <w:rPr>
          <w:rStyle w:val="optioncarChar"/>
        </w:rPr>
        <w:t xml:space="preserve">/*** </w:t>
      </w:r>
      <w:r>
        <w:t>tas </w:t>
      </w:r>
      <w:r>
        <w:rPr>
          <w:rStyle w:val="facultChar"/>
        </w:rPr>
        <w:t>;</w:t>
      </w:r>
    </w:p>
    <w:p w14:paraId="693410EA" w14:textId="77777777" w:rsidR="00DB2B68" w:rsidRDefault="00000000">
      <w:pPr>
        <w:pStyle w:val="Author-eListParagraph"/>
        <w:numPr>
          <w:ilvl w:val="1"/>
          <w:numId w:val="309"/>
        </w:numPr>
      </w:pPr>
      <w:r>
        <w:rPr>
          <w:rStyle w:val="facultChar"/>
        </w:rPr>
        <w:t xml:space="preserve">à l’aide de barres d’armatures en acier BE500 de diamètre </w:t>
      </w:r>
      <w:r>
        <w:rPr>
          <w:rStyle w:val="optioncarChar"/>
        </w:rPr>
        <w:t>6</w:t>
      </w:r>
      <w:r>
        <w:t xml:space="preserve"> (par défaut)</w:t>
      </w:r>
      <w:r>
        <w:rPr>
          <w:rStyle w:val="optioncarChar"/>
        </w:rPr>
        <w:t xml:space="preserve"> / 8 / ***</w:t>
      </w:r>
      <w:r>
        <w:t xml:space="preserve"> mm</w:t>
      </w:r>
      <w:r>
        <w:rPr>
          <w:rStyle w:val="facultChar"/>
        </w:rPr>
        <w:t> ;</w:t>
      </w:r>
    </w:p>
    <w:p w14:paraId="0D79C0B2" w14:textId="77777777" w:rsidR="00DB2B68" w:rsidRDefault="00000000">
      <w:pPr>
        <w:pStyle w:val="Author-eListParagraph"/>
        <w:numPr>
          <w:ilvl w:val="1"/>
          <w:numId w:val="309"/>
        </w:numPr>
      </w:pPr>
      <w:r>
        <w:rPr>
          <w:rStyle w:val="facultChar"/>
        </w:rPr>
        <w:t>ancrées chimiquement dans les maçonneries existantes (selon l’article "</w:t>
      </w:r>
      <w:hyperlink w:anchor="452" w:history="1">
        <w:r>
          <w:rPr>
            <w:rStyle w:val="facultChar"/>
            <w:color w:val="0000EE"/>
          </w:rPr>
          <w:t>21.42.1c Crochets, tirants et pattes d'ancrages de maçonneries scellés chimiquement</w:t>
        </w:r>
      </w:hyperlink>
      <w:r>
        <w:rPr>
          <w:rStyle w:val="facultChar"/>
        </w:rPr>
        <w:t>)</w:t>
      </w:r>
      <w:r>
        <w:br/>
      </w:r>
    </w:p>
    <w:p w14:paraId="12E21E6B" w14:textId="77777777" w:rsidR="00DB2B68" w:rsidRDefault="00000000">
      <w:pPr>
        <w:pStyle w:val="Author-eListParagraph"/>
        <w:numPr>
          <w:ilvl w:val="0"/>
          <w:numId w:val="307"/>
        </w:numPr>
        <w:jc w:val="both"/>
      </w:pPr>
      <w:r>
        <w:rPr>
          <w:rStyle w:val="facultChar"/>
          <w:u w:val="single"/>
        </w:rPr>
        <w:t>Armatures horizontales</w:t>
      </w:r>
    </w:p>
    <w:p w14:paraId="07B5B9BA" w14:textId="77777777" w:rsidR="00DB2B68" w:rsidRDefault="00000000">
      <w:pPr>
        <w:pStyle w:val="Author-eListParagraph"/>
        <w:numPr>
          <w:ilvl w:val="0"/>
          <w:numId w:val="307"/>
        </w:numPr>
        <w:jc w:val="both"/>
      </w:pPr>
      <w:r>
        <w:rPr>
          <w:rStyle w:val="facultChar"/>
        </w:rPr>
        <w:t>Les maçonneries d’obturation sont pourvues d'armatures horizontales selon le chapitre "</w:t>
      </w:r>
      <w:hyperlink w:anchor="357" w:history="1">
        <w:r>
          <w:rPr>
            <w:rStyle w:val="facultChar"/>
            <w:color w:val="0000EE"/>
          </w:rPr>
          <w:t>21.41.1 Armatures horizontales pour maçonneries</w:t>
        </w:r>
      </w:hyperlink>
    </w:p>
    <w:p w14:paraId="61A2D9A7" w14:textId="77777777" w:rsidR="00DB2B68" w:rsidRDefault="00000000">
      <w:pPr>
        <w:pStyle w:val="pheading"/>
      </w:pPr>
      <w:r>
        <w:t>MESURAGE</w:t>
      </w:r>
    </w:p>
    <w:p w14:paraId="3F84C7A4" w14:textId="77777777" w:rsidR="00DB2B68" w:rsidRDefault="00000000">
      <w:pPr>
        <w:pStyle w:val="pheading"/>
      </w:pPr>
      <w:r>
        <w:t>- unité de mesure:</w:t>
      </w:r>
    </w:p>
    <w:p w14:paraId="63EBAE9A" w14:textId="77777777" w:rsidR="00DB2B68" w:rsidRDefault="00000000">
      <w:r>
        <w:rPr>
          <w:rStyle w:val="optioncarChar"/>
        </w:rPr>
        <w:t>m³</w:t>
      </w:r>
      <w:r>
        <w:t xml:space="preserve"> (par défaut) </w:t>
      </w:r>
      <w:r>
        <w:rPr>
          <w:rStyle w:val="optioncarChar"/>
        </w:rPr>
        <w:t>/ m²</w:t>
      </w:r>
    </w:p>
    <w:p w14:paraId="6396237C" w14:textId="77777777" w:rsidR="00DB2B68" w:rsidRDefault="00000000">
      <w:pPr>
        <w:pStyle w:val="pheading"/>
      </w:pPr>
      <w:r>
        <w:t>- code de mesurage:</w:t>
      </w:r>
    </w:p>
    <w:p w14:paraId="11DC2836" w14:textId="77777777" w:rsidR="00DB2B68" w:rsidRDefault="00000000">
      <w:r>
        <w:t>Les obturations sont ventilées en fonction de la nature des matériaux, de l’épaisseur de l’obturation et de leur forme géométrique.</w:t>
      </w:r>
      <w:r>
        <w:br/>
        <w:t>Le creux du mur n'est jamais compté.</w:t>
      </w:r>
    </w:p>
    <w:p w14:paraId="45FF6321" w14:textId="77777777" w:rsidR="00DB2B68" w:rsidRDefault="00000000">
      <w:r>
        <w:t>Le volume net à reboucher équivalent au volume des linteaux démontés est également comptabilisé dans le poste. Les ouvertures supérieures à 0,5m² multipliées par l’épaisseur sont déduites.</w:t>
      </w:r>
    </w:p>
    <w:p w14:paraId="718AB5B6" w14:textId="77777777" w:rsidR="00DB2B68" w:rsidRDefault="00000000">
      <w:r>
        <w:t>Les surfaces nettes à reboucher sont mesurées dans l'axe de l'élément. Les surfaces nettes à reboucher équivalentes aux surfaces des linteaux démontés sont également comptabilisées dans le poste. Les ouvertures supérieures à 0,5 m² sont déduites.  L’épaisseur est mesurée à mi-hauteur de la baie.</w:t>
      </w:r>
    </w:p>
    <w:p w14:paraId="716A0751" w14:textId="77777777" w:rsidR="00DB2B68" w:rsidRDefault="00000000">
      <w:pPr>
        <w:pStyle w:val="pheading"/>
      </w:pPr>
      <w:r>
        <w:t>- nature du marché:</w:t>
      </w:r>
    </w:p>
    <w:p w14:paraId="0BA7A68A" w14:textId="77777777" w:rsidR="00DB2B68" w:rsidRDefault="00000000">
      <w:r>
        <w:rPr>
          <w:rStyle w:val="optioncarChar"/>
        </w:rPr>
        <w:t>QF</w:t>
      </w:r>
      <w:r>
        <w:t xml:space="preserve"> (par défaut)</w:t>
      </w:r>
      <w:r>
        <w:rPr>
          <w:rStyle w:val="optioncarChar"/>
        </w:rPr>
        <w:t xml:space="preserve"> / QP</w:t>
      </w:r>
    </w:p>
    <w:p w14:paraId="39ACB634" w14:textId="77777777" w:rsidR="00DB2B68" w:rsidRDefault="00000000">
      <w:pPr>
        <w:pStyle w:val="Author-eSectionHeading5Numberless"/>
      </w:pPr>
      <w:bookmarkStart w:id="567" w:name="_Toc220495652"/>
      <w:r>
        <w:t>21.85.3 Réalisations d'asselets en béton armé dans une maçonnerie existante CCTB 01.02</w:t>
      </w:r>
      <w:bookmarkEnd w:id="567"/>
    </w:p>
    <w:p w14:paraId="31D6B9F7" w14:textId="77777777" w:rsidR="00DB2B68" w:rsidRDefault="00000000">
      <w:pPr>
        <w:pStyle w:val="Author-eSectionHeading6Numberless"/>
      </w:pPr>
      <w:bookmarkStart w:id="568" w:name="_Toc220495653"/>
      <w:r>
        <w:t>21.85.3a Réalisations d'asselets en béton armé dans une maçonnerie existante CCTB 01.11</w:t>
      </w:r>
      <w:bookmarkEnd w:id="568"/>
    </w:p>
    <w:p w14:paraId="15A900BD" w14:textId="77777777" w:rsidR="00DB2B68" w:rsidRDefault="00000000">
      <w:pPr>
        <w:pStyle w:val="pheading"/>
      </w:pPr>
      <w:bookmarkStart w:id="569" w:name="168"/>
      <w:bookmarkEnd w:id="569"/>
      <w:r>
        <w:t>DESCRIPTION</w:t>
      </w:r>
    </w:p>
    <w:p w14:paraId="0F8E1B7E" w14:textId="77777777" w:rsidR="00DB2B68" w:rsidRDefault="00000000">
      <w:pPr>
        <w:pStyle w:val="pheading"/>
      </w:pPr>
      <w:r>
        <w:t>- Définition / Comprend</w:t>
      </w:r>
    </w:p>
    <w:p w14:paraId="59C17987" w14:textId="77777777" w:rsidR="00DB2B68" w:rsidRDefault="00000000">
      <w:pPr>
        <w:jc w:val="both"/>
      </w:pPr>
      <w:r>
        <w:t>Ce poste comprend notamment, en complément aux articles parents :</w:t>
      </w:r>
    </w:p>
    <w:p w14:paraId="6E601831" w14:textId="77777777" w:rsidR="00DB2B68" w:rsidRDefault="00000000">
      <w:pPr>
        <w:pStyle w:val="Author-eListParagraph"/>
        <w:numPr>
          <w:ilvl w:val="0"/>
          <w:numId w:val="310"/>
        </w:numPr>
      </w:pPr>
      <w:r>
        <w:t>les démolitions ciblées de maçonneries ;</w:t>
      </w:r>
    </w:p>
    <w:p w14:paraId="778CFC12" w14:textId="77777777" w:rsidR="00DB2B68" w:rsidRDefault="00000000">
      <w:pPr>
        <w:pStyle w:val="Author-eListParagraph"/>
        <w:numPr>
          <w:ilvl w:val="0"/>
          <w:numId w:val="310"/>
        </w:numPr>
      </w:pPr>
      <w:r>
        <w:t>la fourniture et la préparation de tous les matériaux nécessaires à la réalisation des asselets ;</w:t>
      </w:r>
    </w:p>
    <w:p w14:paraId="76AF2A82" w14:textId="77777777" w:rsidR="00DB2B68" w:rsidRDefault="00000000">
      <w:pPr>
        <w:pStyle w:val="Author-eListParagraph"/>
        <w:numPr>
          <w:ilvl w:val="0"/>
          <w:numId w:val="310"/>
        </w:numPr>
      </w:pPr>
      <w:r>
        <w:t>l’exécution proprement dite des asselets et les éventuelles mesures de protection ;</w:t>
      </w:r>
    </w:p>
    <w:p w14:paraId="38FEB3B0" w14:textId="77777777" w:rsidR="00DB2B68" w:rsidRDefault="00000000">
      <w:pPr>
        <w:pStyle w:val="Author-eListParagraph"/>
        <w:numPr>
          <w:ilvl w:val="0"/>
          <w:numId w:val="310"/>
        </w:numPr>
      </w:pPr>
      <w:r>
        <w:t>les réparations et ragréages des maçonneries attenantes ;</w:t>
      </w:r>
    </w:p>
    <w:p w14:paraId="1E404786" w14:textId="77777777" w:rsidR="00DB2B68" w:rsidRDefault="00000000">
      <w:r>
        <w:t xml:space="preserve">L’entrepreneur inclut dans les prix unitaires des bétons, outre le béton, le coût des éléments décrits en section </w:t>
      </w:r>
      <w:hyperlink w:anchor="87" w:history="1">
        <w:r>
          <w:rPr>
            <w:color w:val="0000EE"/>
          </w:rPr>
          <w:t>22 Superstructures en béton</w:t>
        </w:r>
      </w:hyperlink>
      <w:r>
        <w:t>, dont notamment :</w:t>
      </w:r>
    </w:p>
    <w:p w14:paraId="23049854" w14:textId="77777777" w:rsidR="00DB2B68" w:rsidRDefault="00000000">
      <w:pPr>
        <w:pStyle w:val="Author-eListParagraph"/>
        <w:numPr>
          <w:ilvl w:val="0"/>
          <w:numId w:val="311"/>
        </w:numPr>
      </w:pPr>
      <w:r>
        <w:t>les coffrages,</w:t>
      </w:r>
    </w:p>
    <w:p w14:paraId="02548E49" w14:textId="77777777" w:rsidR="00DB2B68" w:rsidRDefault="00000000">
      <w:pPr>
        <w:pStyle w:val="Author-eListParagraph"/>
        <w:numPr>
          <w:ilvl w:val="0"/>
          <w:numId w:val="311"/>
        </w:numPr>
      </w:pPr>
      <w:r>
        <w:t>la cure,</w:t>
      </w:r>
    </w:p>
    <w:p w14:paraId="00E329BD" w14:textId="77777777" w:rsidR="00DB2B68" w:rsidRDefault="00000000">
      <w:pPr>
        <w:pStyle w:val="Author-eListParagraph"/>
        <w:numPr>
          <w:ilvl w:val="0"/>
          <w:numId w:val="311"/>
        </w:numPr>
      </w:pPr>
      <w:r>
        <w:t>si spécifiés, les études et les plans d’exécution.</w:t>
      </w:r>
    </w:p>
    <w:p w14:paraId="25C4F960" w14:textId="77777777" w:rsidR="00DB2B68" w:rsidRDefault="00000000">
      <w:pPr>
        <w:jc w:val="both"/>
      </w:pPr>
      <w:r>
        <w:t>Les armatures sont également incluses dans le prix unitaire du béton.</w:t>
      </w:r>
    </w:p>
    <w:p w14:paraId="109FADD1" w14:textId="77777777" w:rsidR="00DB2B68" w:rsidRDefault="00000000">
      <w:pPr>
        <w:jc w:val="both"/>
      </w:pPr>
      <w:r>
        <w:t>Un supplément peut être accordé pour les coffrages de conception architecturale particulière, uniquement s’ils sont mentionnés explicitement dans le cahier spécial des charges et/ou le métré récapitulatif.</w:t>
      </w:r>
    </w:p>
    <w:p w14:paraId="58DBD85E" w14:textId="77777777" w:rsidR="00DB2B68" w:rsidRDefault="00000000">
      <w:pPr>
        <w:pStyle w:val="pheading"/>
      </w:pPr>
      <w:r>
        <w:lastRenderedPageBreak/>
        <w:t>- Localisation</w:t>
      </w:r>
    </w:p>
    <w:p w14:paraId="05088181" w14:textId="77777777" w:rsidR="00DB2B68" w:rsidRDefault="00000000">
      <w:r>
        <w:t xml:space="preserve">Les travaux sont localisés : </w:t>
      </w:r>
      <w:r>
        <w:rPr>
          <w:rStyle w:val="optioncarChar"/>
        </w:rPr>
        <w:t>***</w:t>
      </w:r>
      <w:r>
        <w:t>.</w:t>
      </w:r>
    </w:p>
    <w:p w14:paraId="325CEA83" w14:textId="77777777" w:rsidR="00DB2B68" w:rsidRDefault="00000000">
      <w:r>
        <w:t>Voir plans et métrés détaillés.</w:t>
      </w:r>
    </w:p>
    <w:p w14:paraId="319D635B" w14:textId="77777777" w:rsidR="00DB2B68" w:rsidRDefault="00000000">
      <w:pPr>
        <w:pStyle w:val="pheading"/>
      </w:pPr>
      <w:r>
        <w:t>MATÉRIAUX</w:t>
      </w:r>
    </w:p>
    <w:p w14:paraId="7DF963A2" w14:textId="77777777" w:rsidR="00DB2B68" w:rsidRDefault="00000000">
      <w:pPr>
        <w:pStyle w:val="pheading"/>
      </w:pPr>
      <w:r>
        <w:t>- Caractéristiques générales</w:t>
      </w:r>
    </w:p>
    <w:p w14:paraId="63704C4A" w14:textId="77777777" w:rsidR="00DB2B68" w:rsidRDefault="00000000">
      <w:pPr>
        <w:jc w:val="both"/>
      </w:pPr>
      <w:r>
        <w:t xml:space="preserve">Renvoi au tome 2, section </w:t>
      </w:r>
      <w:hyperlink w:anchor="87" w:history="1">
        <w:r>
          <w:rPr>
            <w:color w:val="0000EE"/>
          </w:rPr>
          <w:t>22 Superstructures en béton</w:t>
        </w:r>
      </w:hyperlink>
      <w:r>
        <w:t xml:space="preserve"> pour les descriptions des matériaux.</w:t>
      </w:r>
    </w:p>
    <w:p w14:paraId="662B9842" w14:textId="77777777" w:rsidR="00DB2B68" w:rsidRDefault="00000000">
      <w:pPr>
        <w:jc w:val="both"/>
      </w:pPr>
      <w:r>
        <w:t>Pour des éléments de petit volume uniquement (&lt;0,25 m³),  l’entrepreneur peut ponctuellement utiliser du béton fabriqué sur place, moyennant l’approbation explicite de l'auteur de projet ou de l’ingénieur en indiquant la composition exacte du béton.</w:t>
      </w:r>
    </w:p>
    <w:p w14:paraId="317D12F7" w14:textId="77777777" w:rsidR="00DB2B68" w:rsidRDefault="00000000">
      <w:pPr>
        <w:jc w:val="both"/>
      </w:pPr>
      <w:r>
        <w:t>Le béton est défini par une composition à performances spécifiées conformément aux normes [NBN EN 206:2013+A2] et [NBN B 15-001].</w:t>
      </w:r>
    </w:p>
    <w:p w14:paraId="264D524B" w14:textId="77777777" w:rsidR="00DB2B68" w:rsidRDefault="00000000">
      <w:pPr>
        <w:pStyle w:val="pheading"/>
      </w:pPr>
      <w:r>
        <w:t>- Finitions</w:t>
      </w:r>
    </w:p>
    <w:p w14:paraId="7F5AC270" w14:textId="77777777" w:rsidR="00DB2B68" w:rsidRDefault="00000000">
      <w:pPr>
        <w:jc w:val="both"/>
      </w:pPr>
      <w:r>
        <w:t xml:space="preserve">Asselets non apparents : Renvoi à l’article </w:t>
      </w:r>
      <w:hyperlink w:anchor="467" w:history="1">
        <w:r>
          <w:rPr>
            <w:color w:val="0000EE"/>
          </w:rPr>
          <w:t>22.11.1a Poutres en béton armé coulé en place</w:t>
        </w:r>
      </w:hyperlink>
      <w:r>
        <w:t>.</w:t>
      </w:r>
    </w:p>
    <w:p w14:paraId="57E22F8F" w14:textId="77777777" w:rsidR="00DB2B68" w:rsidRDefault="00000000">
      <w:pPr>
        <w:jc w:val="both"/>
      </w:pPr>
      <w:r>
        <w:t xml:space="preserve">Asselets apparents (esthétiques) :  Renvoi à l’article </w:t>
      </w:r>
      <w:hyperlink w:anchor="468" w:history="1">
        <w:r>
          <w:rPr>
            <w:color w:val="0000EE"/>
          </w:rPr>
          <w:t>22.11.2a Poutres en béton apparent (esthétique) coulé en place</w:t>
        </w:r>
      </w:hyperlink>
      <w:r>
        <w:t>.</w:t>
      </w:r>
    </w:p>
    <w:p w14:paraId="1B4757F2" w14:textId="77777777" w:rsidR="00DB2B68" w:rsidRDefault="00000000">
      <w:pPr>
        <w:pStyle w:val="pheading"/>
      </w:pPr>
      <w:r>
        <w:t>EXÉCUTION / MISE EN ŒUVRE</w:t>
      </w:r>
    </w:p>
    <w:p w14:paraId="1B058DF9" w14:textId="77777777" w:rsidR="00DB2B68" w:rsidRDefault="00000000">
      <w:pPr>
        <w:pStyle w:val="pheading"/>
      </w:pPr>
      <w:r>
        <w:t>- Prescriptions générales</w:t>
      </w:r>
    </w:p>
    <w:p w14:paraId="3F243FA1" w14:textId="77777777" w:rsidR="00DB2B68" w:rsidRDefault="00000000">
      <w:pPr>
        <w:jc w:val="both"/>
      </w:pPr>
      <w:r>
        <w:t>Les asselets sont exécutés dans les dimensions indiquées sur les plans et/ou  directives du bureau d’études.</w:t>
      </w:r>
    </w:p>
    <w:p w14:paraId="6CA9E9D7" w14:textId="77777777" w:rsidR="00DB2B68" w:rsidRDefault="00000000">
      <w:pPr>
        <w:jc w:val="both"/>
      </w:pPr>
      <w:r>
        <w:t>L’entrepreneur est tenu de vérifier si les asselets peuvent effectivement être réalisés conformément aux plans soumis. Il y a lieu de tenir compte de la hauteur libre requise pour couler le béton.</w:t>
      </w:r>
    </w:p>
    <w:p w14:paraId="4D7CBB97" w14:textId="77777777" w:rsidR="00DB2B68" w:rsidRDefault="00000000">
      <w:pPr>
        <w:jc w:val="both"/>
      </w:pPr>
      <w:r>
        <w:rPr>
          <w:b/>
        </w:rPr>
        <w:t>Démolitions ponctuelles des maçonneries :</w:t>
      </w:r>
    </w:p>
    <w:p w14:paraId="45356BA5" w14:textId="77777777" w:rsidR="00DB2B68" w:rsidRDefault="00000000">
      <w:pPr>
        <w:jc w:val="both"/>
      </w:pPr>
      <w:r>
        <w:t>L’entrepreneur veille à démolir ponctuellement, dans les limites strictement nécessaires, les maçonneries à l’aide de tout matériel adapté qu’il juge nécessaire pour réaliser un travail précautionneux afin de ne pas endommager les éventuels câbles électriques, tuyaux de chauffage, tirants, etc. , qu’il peut rencontrer lors de l’exécution de ce travail. Dans ce cas, il prévient l'auteur de projet et/ou le bureau d'études de la présence de ces éléments, qui avise(nt) de ce qu'il y a lieu de faire.</w:t>
      </w:r>
    </w:p>
    <w:p w14:paraId="2D6F5FFA" w14:textId="77777777" w:rsidR="00DB2B68" w:rsidRDefault="00000000">
      <w:pPr>
        <w:jc w:val="both"/>
      </w:pPr>
      <w:r>
        <w:rPr>
          <w:b/>
        </w:rPr>
        <w:t>Exécution de l’asselet en béton coulé en place:</w:t>
      </w:r>
    </w:p>
    <w:p w14:paraId="24C1B4CA" w14:textId="77777777" w:rsidR="00DB2B68" w:rsidRDefault="00000000">
      <w:pPr>
        <w:jc w:val="both"/>
      </w:pPr>
      <w:r>
        <w:t xml:space="preserve">Renvoi à l’élément  </w:t>
      </w:r>
      <w:hyperlink w:anchor="467" w:history="1">
        <w:r>
          <w:rPr>
            <w:color w:val="0000EE"/>
          </w:rPr>
          <w:t>22.11.1a Poutres en béton armé coulé en place</w:t>
        </w:r>
      </w:hyperlink>
      <w:r>
        <w:t>.</w:t>
      </w:r>
    </w:p>
    <w:p w14:paraId="36418159" w14:textId="77777777" w:rsidR="00DB2B68" w:rsidRDefault="00000000">
      <w:pPr>
        <w:jc w:val="both"/>
      </w:pPr>
      <w:r>
        <w:t>Les ragréages de maçonneries nécessaires suite la réalisation d’éventuelles « cheminées » pour couler le béton sont compris dans le poste.</w:t>
      </w:r>
    </w:p>
    <w:p w14:paraId="0A0C169E" w14:textId="77777777" w:rsidR="00DB2B68" w:rsidRDefault="00000000">
      <w:pPr>
        <w:pStyle w:val="pheading"/>
      </w:pPr>
      <w:r>
        <w:t>- Notes d’exécution complémentaires</w:t>
      </w:r>
    </w:p>
    <w:p w14:paraId="0CCC525D" w14:textId="77777777" w:rsidR="00DB2B68" w:rsidRDefault="00000000">
      <w:r>
        <w:rPr>
          <w:rStyle w:val="facultChar"/>
        </w:rPr>
        <w:t>Des armatures sont prévues conformément aux plans et directives du bureau d’études.</w:t>
      </w:r>
    </w:p>
    <w:p w14:paraId="15807EA6" w14:textId="77777777" w:rsidR="00DB2B68" w:rsidRDefault="00000000">
      <w:pPr>
        <w:pStyle w:val="pheading"/>
      </w:pPr>
      <w:r>
        <w:t>DOCUMENTS DE RÉFÉRENCE COMPLÉMENTAIRES</w:t>
      </w:r>
    </w:p>
    <w:p w14:paraId="7D875701" w14:textId="77777777" w:rsidR="00DB2B68" w:rsidRDefault="00000000">
      <w:pPr>
        <w:pStyle w:val="pheading"/>
      </w:pPr>
      <w:r>
        <w:t>- Matériau</w:t>
      </w:r>
    </w:p>
    <w:p w14:paraId="4C21C41D" w14:textId="77777777" w:rsidR="00DB2B68" w:rsidRDefault="00000000">
      <w:r>
        <w:t>[NBN EN 206:2013+A2, Béton - Spécification, performances, production et conformité]</w:t>
      </w:r>
    </w:p>
    <w:p w14:paraId="466D6507" w14:textId="77777777" w:rsidR="00DB2B68" w:rsidRDefault="00000000">
      <w:r>
        <w:t>[NBN B 15-001, Béton - Spécification, performances, production et conformité - Complément national à la NBN EN 206:2013+A2:2021]</w:t>
      </w:r>
    </w:p>
    <w:p w14:paraId="6DC984DF" w14:textId="77777777" w:rsidR="00DB2B68" w:rsidRDefault="00000000">
      <w:r>
        <w:t>[NBN B 06-001, Mesurage dans le bâtiment - Méthodes de mesurage de quantités]</w:t>
      </w:r>
    </w:p>
    <w:p w14:paraId="66FB5C37" w14:textId="77777777" w:rsidR="00DB2B68" w:rsidRDefault="00000000">
      <w:pPr>
        <w:pStyle w:val="pheading"/>
      </w:pPr>
      <w:r>
        <w:t>MESURAGE</w:t>
      </w:r>
    </w:p>
    <w:p w14:paraId="540D97E6" w14:textId="77777777" w:rsidR="00DB2B68" w:rsidRDefault="00000000">
      <w:pPr>
        <w:pStyle w:val="pheading"/>
      </w:pPr>
      <w:r>
        <w:t>- unité de mesure:</w:t>
      </w:r>
    </w:p>
    <w:p w14:paraId="28893E4E" w14:textId="77777777" w:rsidR="00DB2B68" w:rsidRDefault="00000000">
      <w:r>
        <w:rPr>
          <w:rStyle w:val="optioncarChar"/>
        </w:rPr>
        <w:lastRenderedPageBreak/>
        <w:t>-</w:t>
      </w:r>
      <w:r>
        <w:t xml:space="preserve"> (par défaut)</w:t>
      </w:r>
      <w:r>
        <w:rPr>
          <w:rStyle w:val="optioncarChar"/>
        </w:rPr>
        <w:t xml:space="preserve"> / pc / m³</w:t>
      </w:r>
    </w:p>
    <w:p w14:paraId="3427F175" w14:textId="77777777" w:rsidR="00DB2B68" w:rsidRDefault="00000000">
      <w:pPr>
        <w:pStyle w:val="pheading"/>
      </w:pPr>
      <w:r>
        <w:t>- nature du marché:</w:t>
      </w:r>
    </w:p>
    <w:p w14:paraId="7B66D50A" w14:textId="77777777" w:rsidR="00DB2B68" w:rsidRDefault="00000000">
      <w:r>
        <w:rPr>
          <w:rStyle w:val="optioncarChar"/>
        </w:rPr>
        <w:t>QF / QP / PM</w:t>
      </w:r>
      <w:r>
        <w:t xml:space="preserve"> (par défaut) </w:t>
      </w:r>
    </w:p>
    <w:p w14:paraId="3307E209" w14:textId="77777777" w:rsidR="00DB2B68" w:rsidRDefault="00000000">
      <w:pPr>
        <w:pStyle w:val="pheading"/>
      </w:pPr>
      <w:r>
        <w:t>AIDE</w:t>
      </w:r>
    </w:p>
    <w:p w14:paraId="5077416B" w14:textId="77777777" w:rsidR="00DB2B68" w:rsidRDefault="00000000">
      <w:pPr>
        <w:jc w:val="both"/>
      </w:pPr>
      <w:r>
        <w:t>Le dimensionnement d’un asselet dépend de la charge ponctuelle qui s’y applique.</w:t>
      </w:r>
    </w:p>
    <w:p w14:paraId="0A159106" w14:textId="77777777" w:rsidR="00DB2B68" w:rsidRDefault="00000000">
      <w:pPr>
        <w:jc w:val="both"/>
      </w:pPr>
      <w:r>
        <w:t>Pour les cas courants, il est conseillé de réaliser un asselet d’une longueur minimale de 60 cm, afin de répartir les charges sur au moins 2 blocs ou 3 briques, d’une hauteur de 20 cm (pour qu’il soit rigide) et d’une profondeur de 20 cm.</w:t>
      </w:r>
    </w:p>
    <w:p w14:paraId="78693CE9" w14:textId="77777777" w:rsidR="00DB2B68" w:rsidRDefault="00000000">
      <w:pPr>
        <w:jc w:val="both"/>
      </w:pPr>
      <w:r>
        <w:t>Tenant compte du fait que la charge ponctuelle se répartit dans l’asselet suivant un angle de 45° à partir des bords verticaux de la poutre, les empattements de l’asselet doivent être égaux à la hauteur de l’asselet.</w:t>
      </w:r>
    </w:p>
    <w:p w14:paraId="7852BD83" w14:textId="77777777" w:rsidR="00DB2B68" w:rsidRDefault="00000000">
      <w:pPr>
        <w:jc w:val="both"/>
      </w:pPr>
      <w:r>
        <w:t>Si les empattements dépassent la hauteur de l’asselet, il est nécessaire de prévoir des armatures longitudinales.</w:t>
      </w:r>
    </w:p>
    <w:p w14:paraId="193D48FF" w14:textId="77777777" w:rsidR="00DB2B68" w:rsidRDefault="00000000">
      <w:pPr>
        <w:pStyle w:val="Author-eSectionHeading5Numberless"/>
      </w:pPr>
      <w:bookmarkStart w:id="570" w:name="_Toc220495654"/>
      <w:r>
        <w:t>21.85.4 Créations d'assise CCTB 01.04</w:t>
      </w:r>
      <w:bookmarkEnd w:id="570"/>
    </w:p>
    <w:p w14:paraId="5F262298" w14:textId="77777777" w:rsidR="00DB2B68" w:rsidRDefault="00000000">
      <w:pPr>
        <w:pStyle w:val="Author-eSectionHeading6Numberless"/>
      </w:pPr>
      <w:bookmarkStart w:id="571" w:name="_Toc220495655"/>
      <w:r>
        <w:t>21.85.4a Créations d'assise par évidement de maçonnerie existante CCTB 01.02</w:t>
      </w:r>
      <w:bookmarkEnd w:id="571"/>
    </w:p>
    <w:p w14:paraId="550A17C1" w14:textId="77777777" w:rsidR="00DB2B68" w:rsidRDefault="00000000">
      <w:pPr>
        <w:pStyle w:val="Author-eSectionHeading6Numberless"/>
      </w:pPr>
      <w:bookmarkStart w:id="572" w:name="_Toc220495656"/>
      <w:r>
        <w:t>21.85.4b Reprises d'arase des maçonneries CCTB 01.04</w:t>
      </w:r>
      <w:bookmarkEnd w:id="572"/>
    </w:p>
    <w:p w14:paraId="7F3E2E96" w14:textId="77777777" w:rsidR="00DB2B68" w:rsidRDefault="00000000">
      <w:pPr>
        <w:pStyle w:val="Author-eSectionHeading6Numberless"/>
      </w:pPr>
      <w:bookmarkStart w:id="573" w:name="_Toc220495657"/>
      <w:r>
        <w:t>21.85.4c Chapes sous-sablière CCTB 01.04</w:t>
      </w:r>
      <w:bookmarkEnd w:id="573"/>
    </w:p>
    <w:p w14:paraId="0F8E2AC7" w14:textId="77777777" w:rsidR="00DB2B68" w:rsidRDefault="00000000">
      <w:pPr>
        <w:pStyle w:val="Author-eSectionHeading5Numberless"/>
      </w:pPr>
      <w:bookmarkStart w:id="574" w:name="_Toc220495658"/>
      <w:r>
        <w:t>21.85.5 Petits ouvrages dans les maçonneries CCTB 01.04</w:t>
      </w:r>
      <w:bookmarkEnd w:id="574"/>
    </w:p>
    <w:p w14:paraId="5C0BD88D" w14:textId="77777777" w:rsidR="00DB2B68" w:rsidRDefault="00000000">
      <w:pPr>
        <w:pStyle w:val="Author-eSectionHeading6Numberless"/>
      </w:pPr>
      <w:bookmarkStart w:id="575" w:name="_Toc220495659"/>
      <w:r>
        <w:t>21.85.5a Petits ouvrages dans les maçonneries CCTB 01.04</w:t>
      </w:r>
      <w:bookmarkEnd w:id="575"/>
    </w:p>
    <w:p w14:paraId="4D7F8545" w14:textId="77777777" w:rsidR="00DB2B68" w:rsidRDefault="00000000">
      <w:pPr>
        <w:pStyle w:val="Author-eSectionHeading6Numberless"/>
      </w:pPr>
      <w:bookmarkStart w:id="576" w:name="_Toc220495660"/>
      <w:r>
        <w:t>21.85.5b Réparation des maçonneries de parement en briques de terre cuite de réemploi CCTB 01.11</w:t>
      </w:r>
      <w:bookmarkEnd w:id="576"/>
    </w:p>
    <w:p w14:paraId="30287F0F" w14:textId="77777777" w:rsidR="00DB2B68" w:rsidRDefault="00000000">
      <w:pPr>
        <w:pStyle w:val="pheading"/>
      </w:pPr>
      <w:r>
        <w:t>MATÉRIAUX</w:t>
      </w:r>
    </w:p>
    <w:p w14:paraId="1C9F37DF" w14:textId="77777777" w:rsidR="00DB2B68" w:rsidRDefault="00000000">
      <w:pPr>
        <w:pStyle w:val="pheading"/>
      </w:pPr>
      <w:r>
        <w:t>- Caractéristiques générales</w:t>
      </w:r>
    </w:p>
    <w:p w14:paraId="232F1C30" w14:textId="77777777" w:rsidR="00DB2B68" w:rsidRDefault="00000000">
      <w:r>
        <w:t>Les travaux de réparation et/ou d'adaptation au parement existant sont exécutés en briques de récupération: </w:t>
      </w:r>
      <w:r>
        <w:rPr>
          <w:rStyle w:val="optioncarChar"/>
        </w:rPr>
        <w:t>provenant de la démolition / livrées par l'entrepreneur</w:t>
      </w:r>
      <w:r>
        <w:br/>
      </w:r>
      <w:r>
        <w:rPr>
          <w:b/>
        </w:rPr>
        <w:t>(soit)</w:t>
      </w:r>
      <w:r>
        <w:br/>
      </w:r>
      <w:r>
        <w:rPr>
          <w:rStyle w:val="soitChar"/>
          <w:u w:val="single"/>
        </w:rPr>
        <w:t>Provenant de la démolition</w:t>
      </w:r>
      <w:r>
        <w:rPr>
          <w:rStyle w:val="soitChar"/>
        </w:rPr>
        <w:t xml:space="preserve"> :  en briques de récupération provenant de la démolition de </w:t>
      </w:r>
      <w:r>
        <w:rPr>
          <w:rStyle w:val="optioncarChar"/>
        </w:rPr>
        <w:t>***</w:t>
      </w:r>
      <w:r>
        <w:rPr>
          <w:rStyle w:val="soitChar"/>
        </w:rPr>
        <w:t>, telle que prévue dans le Tome 1 à l'article</w:t>
      </w:r>
      <w:r>
        <w:rPr>
          <w:rStyle w:val="optioncarChar"/>
        </w:rPr>
        <w:t xml:space="preserve"> ***</w:t>
      </w:r>
    </w:p>
    <w:p w14:paraId="61591D6D" w14:textId="77777777" w:rsidR="00DB2B68" w:rsidRDefault="00000000">
      <w:r>
        <w:rPr>
          <w:b/>
        </w:rPr>
        <w:t>(soit)</w:t>
      </w:r>
      <w:r>
        <w:br/>
      </w:r>
      <w:r>
        <w:rPr>
          <w:rStyle w:val="soitChar"/>
          <w:u w:val="single"/>
        </w:rPr>
        <w:t>Livrées par l'entrepreneur</w:t>
      </w:r>
      <w:r>
        <w:rPr>
          <w:rStyle w:val="soitChar"/>
        </w:rPr>
        <w:t xml:space="preserve"> : en briques de récupération </w:t>
      </w:r>
      <w:r>
        <w:rPr>
          <w:rStyle w:val="optioncarChar"/>
        </w:rPr>
        <w:t>***</w:t>
      </w:r>
      <w:r>
        <w:rPr>
          <w:rStyle w:val="soitChar"/>
        </w:rPr>
        <w:t xml:space="preserve"> à livrer par l'entrepreneur et à soumettre préalablement pour approbation. Les briques sont bien cuites et résistantes au gel.</w:t>
      </w:r>
    </w:p>
    <w:p w14:paraId="32CABD15" w14:textId="77777777" w:rsidR="00DB2B68" w:rsidRDefault="00000000">
      <w:r>
        <w:t>Le format, la texture et la couleur se rapprochent autant que possible des briques du parement existant. Les briques de récupération sont des mêmes espèces et origine et sont triées selon les mêmes dimensions. Toutes les faces de parement sont préalablement nettoyées. Les briques sont débarrassées de toutes bavures de mortier et de particules de chaux, les bords sont libérés. Aucune trace de mortier, de salissures ou de rouille ne peut subsister.</w:t>
      </w:r>
    </w:p>
    <w:p w14:paraId="26C4AA58" w14:textId="77777777" w:rsidR="00DB2B68" w:rsidRDefault="00000000">
      <w:pPr>
        <w:pStyle w:val="pheading"/>
      </w:pPr>
      <w:r>
        <w:t>EXÉCUTION / MISE EN ŒUVRE</w:t>
      </w:r>
    </w:p>
    <w:p w14:paraId="61C7B208" w14:textId="77777777" w:rsidR="00DB2B68" w:rsidRDefault="00000000">
      <w:pPr>
        <w:pStyle w:val="pheading"/>
      </w:pPr>
      <w:r>
        <w:t>- Prescriptions générales</w:t>
      </w:r>
    </w:p>
    <w:p w14:paraId="4505C25C" w14:textId="77777777" w:rsidR="00DB2B68" w:rsidRDefault="00000000">
      <w:r>
        <w:t xml:space="preserve">Le mortier de maçonnerie est de la catégorie </w:t>
      </w:r>
      <w:r>
        <w:rPr>
          <w:rStyle w:val="optioncarChar"/>
        </w:rPr>
        <w:t>12 / 8</w:t>
      </w:r>
      <w:r>
        <w:t xml:space="preserve"> selon la [NBN EN 998-2]</w:t>
      </w:r>
      <w:r>
        <w:br/>
      </w:r>
      <w:r>
        <w:br/>
        <w:t xml:space="preserve">La maçonnerie est exécutée </w:t>
      </w:r>
      <w:r>
        <w:rPr>
          <w:rStyle w:val="optioncarChar"/>
        </w:rPr>
        <w:t>conformément au parement existant </w:t>
      </w:r>
      <w:r>
        <w:t>(par défaut)</w:t>
      </w:r>
      <w:r>
        <w:rPr>
          <w:rStyle w:val="optioncarChar"/>
        </w:rPr>
        <w:t xml:space="preserve"> / ***</w:t>
      </w:r>
      <w:r>
        <w:br/>
      </w:r>
      <w:r>
        <w:br/>
        <w:t xml:space="preserve">Coulisse : </w:t>
      </w:r>
      <w:r>
        <w:rPr>
          <w:rStyle w:val="optioncarChar"/>
        </w:rPr>
        <w:t>non ventilée / moyennement ventilée </w:t>
      </w:r>
      <w:r>
        <w:t>(par défaut)</w:t>
      </w:r>
      <w:r>
        <w:rPr>
          <w:rStyle w:val="optioncarChar"/>
        </w:rPr>
        <w:t xml:space="preserve"> / ***</w:t>
      </w:r>
      <w:r>
        <w:t>, largeur du vide</w:t>
      </w:r>
      <w:r>
        <w:rPr>
          <w:rStyle w:val="optioncarChar"/>
        </w:rPr>
        <w:t xml:space="preserve"> ***</w:t>
      </w:r>
      <w:r>
        <w:t xml:space="preserve"> cm</w:t>
      </w:r>
      <w:r>
        <w:br/>
      </w:r>
      <w:r>
        <w:br/>
      </w:r>
      <w:r>
        <w:lastRenderedPageBreak/>
        <w:t xml:space="preserve">Joints montants ouverts : voir conception de la coulisse dans la section </w:t>
      </w:r>
      <w:hyperlink w:anchor="381" w:history="1">
        <w:r>
          <w:rPr>
            <w:color w:val="0000EE"/>
          </w:rPr>
          <w:t>21.3 Maçonneries de parement</w:t>
        </w:r>
      </w:hyperlink>
      <w:r>
        <w:br/>
      </w:r>
      <w:r>
        <w:br/>
        <w:t xml:space="preserve">Crochets de mur : </w:t>
      </w:r>
      <w:r>
        <w:rPr>
          <w:rStyle w:val="optioncarChar"/>
        </w:rPr>
        <w:t xml:space="preserve">acier galvanisé </w:t>
      </w:r>
      <w:r>
        <w:t>(par défaut) </w:t>
      </w:r>
      <w:r>
        <w:rPr>
          <w:rStyle w:val="optioncarChar"/>
        </w:rPr>
        <w:t>/ *** , diam. min. 3,5 </w:t>
      </w:r>
      <w:r>
        <w:t>(par défaut)</w:t>
      </w:r>
      <w:r>
        <w:rPr>
          <w:rStyle w:val="optioncarChar"/>
        </w:rPr>
        <w:t xml:space="preserve"> / 4 / ***</w:t>
      </w:r>
      <w:r>
        <w:t xml:space="preserve"> mm</w:t>
      </w:r>
      <w:r>
        <w:br/>
      </w:r>
      <w:r>
        <w:br/>
        <w:t>Linteaux : assise de chant avec</w:t>
      </w:r>
      <w:r>
        <w:rPr>
          <w:rStyle w:val="optioncarChar"/>
        </w:rPr>
        <w:t xml:space="preserve"> crochets / cornière continue en acier galvanisé</w:t>
      </w:r>
      <w:r>
        <w:t xml:space="preserve"> (par défaut)</w:t>
      </w:r>
      <w:r>
        <w:rPr>
          <w:rStyle w:val="optioncarChar"/>
        </w:rPr>
        <w:t> / consoles trapézoïdales réglables / ***</w:t>
      </w:r>
      <w:r>
        <w:br/>
      </w:r>
      <w:r>
        <w:br/>
        <w:t xml:space="preserve">Largeur des joints : </w:t>
      </w:r>
      <w:r>
        <w:rPr>
          <w:rStyle w:val="optioncarChar"/>
        </w:rPr>
        <w:t>conformément au parement existant </w:t>
      </w:r>
      <w:r>
        <w:t xml:space="preserve">(par défaut) </w:t>
      </w:r>
      <w:r>
        <w:rPr>
          <w:rStyle w:val="optioncarChar"/>
        </w:rPr>
        <w:t>/ nominale 10 / 12 / ***</w:t>
      </w:r>
      <w:r>
        <w:t xml:space="preserve"> mm.</w:t>
      </w:r>
      <w:r>
        <w:br/>
      </w:r>
      <w:r>
        <w:br/>
        <w:t xml:space="preserve">Type de joints : </w:t>
      </w:r>
      <w:r>
        <w:rPr>
          <w:rStyle w:val="optioncarChar"/>
        </w:rPr>
        <w:t>conformément au parement existant </w:t>
      </w:r>
      <w:r>
        <w:t>(par défaut)</w:t>
      </w:r>
      <w:r>
        <w:rPr>
          <w:rStyle w:val="optioncarChar"/>
        </w:rPr>
        <w:t xml:space="preserve"> / joint creux / joint creux en retrait / joint plat / joint plat en retrait / joint biais en retrait / ***</w:t>
      </w:r>
      <w:r>
        <w:br/>
      </w:r>
      <w:r>
        <w:br/>
        <w:t>Finition des joints :</w:t>
      </w:r>
      <w:r>
        <w:rPr>
          <w:rStyle w:val="optioncarChar"/>
        </w:rPr>
        <w:t xml:space="preserve"> joint brossé </w:t>
      </w:r>
      <w:r>
        <w:t>( par défaut)</w:t>
      </w:r>
      <w:r>
        <w:rPr>
          <w:rStyle w:val="optioncarChar"/>
        </w:rPr>
        <w:t xml:space="preserve"> / finition lisse / joint frappé à la brosse dure / ***</w:t>
      </w:r>
    </w:p>
    <w:p w14:paraId="08FE1B04" w14:textId="77777777" w:rsidR="00DB2B68" w:rsidRDefault="00000000">
      <w:pPr>
        <w:pStyle w:val="pheading"/>
      </w:pPr>
      <w:r>
        <w:t>- Notes d’exécution complémentaires</w:t>
      </w:r>
    </w:p>
    <w:p w14:paraId="175F28E5" w14:textId="77777777" w:rsidR="00DB2B68" w:rsidRDefault="00000000">
      <w:r>
        <w:t xml:space="preserve">• Armatures horizontales : selon l'article </w:t>
      </w:r>
      <w:hyperlink w:anchor="357" w:history="1">
        <w:r>
          <w:rPr>
            <w:color w:val="0000EE"/>
          </w:rPr>
          <w:t>21.41.1 Armatures horizontales pour maçonneries</w:t>
        </w:r>
      </w:hyperlink>
      <w:r>
        <w:t>. Le cas échéant, seul le mortier de la catégorie 12 est autorisé.</w:t>
      </w:r>
      <w:r>
        <w:br/>
      </w:r>
      <w:r>
        <w:br/>
        <w:t xml:space="preserve">• Ancrages : selon l'article </w:t>
      </w:r>
      <w:hyperlink w:anchor="364" w:history="1">
        <w:r>
          <w:rPr>
            <w:color w:val="0000EE"/>
          </w:rPr>
          <w:t>21.42 Ancrages et fixations de maçonneries</w:t>
        </w:r>
      </w:hyperlink>
      <w:r>
        <w:br/>
      </w:r>
      <w:r>
        <w:br/>
        <w:t xml:space="preserve">Briques spéciales : </w:t>
      </w:r>
      <w:r>
        <w:rPr>
          <w:rStyle w:val="optioncarChar"/>
        </w:rPr>
        <w:t>***</w:t>
      </w:r>
      <w:r>
        <w:br/>
      </w:r>
      <w:r>
        <w:br/>
        <w:t xml:space="preserve">Joints de dilatation : </w:t>
      </w:r>
      <w:r>
        <w:rPr>
          <w:rStyle w:val="optioncarChar"/>
        </w:rPr>
        <w:t>***</w:t>
      </w:r>
      <w:r>
        <w:br/>
      </w:r>
      <w:r>
        <w:br/>
        <w:t xml:space="preserve">Les faces de murs exposées aux influences atmosphériques sont ensuite traitées à l'aide d'un produit d'imprégnation </w:t>
      </w:r>
      <w:r>
        <w:rPr>
          <w:rStyle w:val="optioncarChar"/>
        </w:rPr>
        <w:t>préconisé par le fabricant / à base de siloxane</w:t>
      </w:r>
      <w:r>
        <w:t>, selon l'article 83.14 Traitements et protections préventifs / curatifs contre l'eau liquide et l'humidité capillaire (humidité ascensionnelle) et les sels</w:t>
      </w:r>
      <w:r>
        <w:br/>
      </w:r>
      <w:r>
        <w:br/>
        <w:t>Après les réparations, les faces de murs suivantes</w:t>
      </w:r>
      <w:r>
        <w:rPr>
          <w:rStyle w:val="optioncarChar"/>
        </w:rPr>
        <w:t xml:space="preserve"> ***</w:t>
      </w:r>
      <w:r>
        <w:t xml:space="preserve"> reçoivent un enduit extérieur, décrit dans 43 Revêtements de façade</w:t>
      </w:r>
      <w:r>
        <w:br/>
      </w:r>
      <w:r>
        <w:br/>
      </w:r>
    </w:p>
    <w:p w14:paraId="38B094C3" w14:textId="77777777" w:rsidR="00DB2B68" w:rsidRDefault="00000000">
      <w:pPr>
        <w:pStyle w:val="Author-eSectionHeading4Numberless"/>
      </w:pPr>
      <w:bookmarkStart w:id="577" w:name="_Toc220495661"/>
      <w:r>
        <w:t>21.86 Reposes / remplacements CCTB 01.02</w:t>
      </w:r>
      <w:bookmarkEnd w:id="577"/>
    </w:p>
    <w:p w14:paraId="6947BFD3" w14:textId="77777777" w:rsidR="00DB2B68" w:rsidRDefault="00000000">
      <w:pPr>
        <w:pStyle w:val="Author-eSectionHeading5Numberless"/>
      </w:pPr>
      <w:bookmarkStart w:id="578" w:name="_Toc220495662"/>
      <w:r>
        <w:t>21.86.1 Reposes d'éléments récupérés CCTB 01.02</w:t>
      </w:r>
      <w:bookmarkEnd w:id="578"/>
    </w:p>
    <w:p w14:paraId="0096EA55" w14:textId="77777777" w:rsidR="00DB2B68" w:rsidRDefault="00000000">
      <w:pPr>
        <w:pStyle w:val="Author-eSectionHeading6Numberless"/>
      </w:pPr>
      <w:bookmarkStart w:id="579" w:name="160"/>
      <w:bookmarkStart w:id="580" w:name="_Toc220495663"/>
      <w:bookmarkEnd w:id="579"/>
      <w:r>
        <w:t>21.86.1a Reposes d'éléments de structures en maçonnerie récupérés CCTB 01.02</w:t>
      </w:r>
      <w:bookmarkEnd w:id="580"/>
    </w:p>
    <w:p w14:paraId="38A868D7" w14:textId="77777777" w:rsidR="00DB2B68" w:rsidRDefault="00000000">
      <w:pPr>
        <w:pStyle w:val="Author-eSectionHeading5Numberless"/>
      </w:pPr>
      <w:bookmarkStart w:id="581" w:name="_Toc220495664"/>
      <w:r>
        <w:t>21.86.2 Remplacements à l'identique de maçonneries CCTB 01.04</w:t>
      </w:r>
      <w:bookmarkEnd w:id="581"/>
    </w:p>
    <w:p w14:paraId="2FCACF28" w14:textId="77777777" w:rsidR="00DB2B68" w:rsidRDefault="00000000">
      <w:pPr>
        <w:pStyle w:val="Author-eSectionHeading6Numberless"/>
      </w:pPr>
      <w:bookmarkStart w:id="582" w:name="_Toc220495665"/>
      <w:r>
        <w:t>21.86.2a Remplacements complets à l'identique de maçonneries CCTB 01.04</w:t>
      </w:r>
      <w:bookmarkEnd w:id="582"/>
    </w:p>
    <w:p w14:paraId="127A08AD" w14:textId="77777777" w:rsidR="00DB2B68" w:rsidRDefault="00000000">
      <w:pPr>
        <w:pStyle w:val="pheading"/>
      </w:pPr>
      <w:r>
        <w:t>DESCRIPTION</w:t>
      </w:r>
    </w:p>
    <w:p w14:paraId="6EAB91D6" w14:textId="77777777" w:rsidR="00DB2B68" w:rsidRDefault="00000000">
      <w:pPr>
        <w:pStyle w:val="pheading"/>
      </w:pPr>
      <w:r>
        <w:t>- Définition / Comprend</w:t>
      </w:r>
    </w:p>
    <w:p w14:paraId="4706B966" w14:textId="77777777" w:rsidR="00DB2B68" w:rsidRDefault="00000000">
      <w:r>
        <w:t xml:space="preserve">Renvoi au </w:t>
      </w:r>
      <w:hyperlink w:anchor="295" w:history="1">
        <w:r>
          <w:rPr>
            <w:color w:val="0000EE"/>
          </w:rPr>
          <w:t>21 Superstructures en maçonnerie</w:t>
        </w:r>
      </w:hyperlink>
    </w:p>
    <w:p w14:paraId="6803653B" w14:textId="77777777" w:rsidR="00DB2B68" w:rsidRDefault="00000000">
      <w:pPr>
        <w:pStyle w:val="Author-eSectionHeading6Numberless"/>
      </w:pPr>
      <w:bookmarkStart w:id="583" w:name="_Toc220495666"/>
      <w:r>
        <w:t>21.86.2b Remplacements de tranches à l'identique de maçonneries CCTB 01.04</w:t>
      </w:r>
      <w:bookmarkEnd w:id="583"/>
    </w:p>
    <w:p w14:paraId="654F66D7" w14:textId="77777777" w:rsidR="00DB2B68" w:rsidRDefault="00000000">
      <w:pPr>
        <w:pStyle w:val="Author-eSectionHeading5Numberless"/>
      </w:pPr>
      <w:bookmarkStart w:id="584" w:name="_Toc220495667"/>
      <w:r>
        <w:t>21.86.3 Remplacements d'éléments entiers à l'identique CCTB 01.02</w:t>
      </w:r>
      <w:bookmarkEnd w:id="584"/>
    </w:p>
    <w:p w14:paraId="32294137" w14:textId="77777777" w:rsidR="00DB2B68" w:rsidRDefault="00000000">
      <w:pPr>
        <w:pStyle w:val="Author-eSectionHeading6Numberless"/>
      </w:pPr>
      <w:bookmarkStart w:id="585" w:name="_Toc220495668"/>
      <w:r>
        <w:t>21.86.3a Remplacements de briques CCTB 01.02</w:t>
      </w:r>
      <w:bookmarkEnd w:id="585"/>
    </w:p>
    <w:p w14:paraId="73B79F2A" w14:textId="77777777" w:rsidR="00DB2B68" w:rsidRDefault="00000000">
      <w:pPr>
        <w:pStyle w:val="Author-eSectionHeading6Numberless"/>
      </w:pPr>
      <w:bookmarkStart w:id="586" w:name="_Toc220495669"/>
      <w:r>
        <w:t>21.86.3b Remplacements de blocs / briques de béton CCTB 01.02</w:t>
      </w:r>
      <w:bookmarkEnd w:id="586"/>
    </w:p>
    <w:p w14:paraId="6661F356" w14:textId="77777777" w:rsidR="00DB2B68" w:rsidRDefault="00000000">
      <w:pPr>
        <w:pStyle w:val="Author-eSectionHeading6Numberless"/>
      </w:pPr>
      <w:bookmarkStart w:id="587" w:name="_Toc220495670"/>
      <w:r>
        <w:t>21.86.3c Remplacements d'éléments en pierre naturelle CCTB 01.02</w:t>
      </w:r>
      <w:bookmarkEnd w:id="587"/>
    </w:p>
    <w:p w14:paraId="56C1056E" w14:textId="77777777" w:rsidR="00DB2B68" w:rsidRDefault="00000000">
      <w:pPr>
        <w:pStyle w:val="Author-eSectionHeading5Numberless"/>
      </w:pPr>
      <w:bookmarkStart w:id="588" w:name="_Toc220495671"/>
      <w:r>
        <w:lastRenderedPageBreak/>
        <w:t>21.86.4 Rejointoyages CCTB 01.11</w:t>
      </w:r>
      <w:bookmarkEnd w:id="588"/>
    </w:p>
    <w:p w14:paraId="45FA28F9" w14:textId="77777777" w:rsidR="00DB2B68" w:rsidRDefault="00000000">
      <w:pPr>
        <w:pStyle w:val="pheading"/>
      </w:pPr>
      <w:bookmarkStart w:id="589" w:name="442"/>
      <w:bookmarkEnd w:id="589"/>
      <w:r>
        <w:t>DESCRIPTION</w:t>
      </w:r>
    </w:p>
    <w:p w14:paraId="2902B465" w14:textId="77777777" w:rsidR="00DB2B68" w:rsidRDefault="00000000">
      <w:pPr>
        <w:pStyle w:val="pheading"/>
      </w:pPr>
      <w:r>
        <w:t>- Définition / Comprend</w:t>
      </w:r>
    </w:p>
    <w:p w14:paraId="67CF5BA8" w14:textId="77777777" w:rsidR="00DB2B68" w:rsidRDefault="00000000">
      <w:r>
        <w:t>Les travaux comprennent :</w:t>
      </w:r>
    </w:p>
    <w:p w14:paraId="18FC3B7D" w14:textId="77777777" w:rsidR="00DB2B68" w:rsidRDefault="00000000">
      <w:pPr>
        <w:pStyle w:val="Author-eListParagraph"/>
        <w:numPr>
          <w:ilvl w:val="0"/>
          <w:numId w:val="312"/>
        </w:numPr>
      </w:pPr>
      <w:r>
        <w:t>le contrôle minutieux de tous les joints de la façade;</w:t>
      </w:r>
    </w:p>
    <w:p w14:paraId="1F82DCC4" w14:textId="77777777" w:rsidR="00DB2B68" w:rsidRDefault="00000000">
      <w:pPr>
        <w:pStyle w:val="Author-eListParagraph"/>
        <w:numPr>
          <w:ilvl w:val="0"/>
          <w:numId w:val="312"/>
        </w:numPr>
      </w:pPr>
      <w:r>
        <w:t>le décapage des joints non adhérents et/ou érodés;</w:t>
      </w:r>
    </w:p>
    <w:p w14:paraId="7A5C0113" w14:textId="77777777" w:rsidR="00DB2B68" w:rsidRDefault="00000000">
      <w:pPr>
        <w:pStyle w:val="Author-eListParagraph"/>
        <w:numPr>
          <w:ilvl w:val="0"/>
          <w:numId w:val="312"/>
        </w:numPr>
      </w:pPr>
      <w:r>
        <w:t>le rejointoiement comme prévu ci-dessous.</w:t>
      </w:r>
    </w:p>
    <w:p w14:paraId="36A226BF" w14:textId="77777777" w:rsidR="00DB2B68" w:rsidRDefault="00000000">
      <w:pPr>
        <w:pStyle w:val="pheading"/>
      </w:pPr>
      <w:r>
        <w:t>- Remarques importantes</w:t>
      </w:r>
    </w:p>
    <w:p w14:paraId="05B53625" w14:textId="77777777" w:rsidR="00DB2B68" w:rsidRDefault="00000000">
      <w:r>
        <w:rPr>
          <w:b/>
          <w:u w:val="single"/>
        </w:rPr>
        <w:t>Attention</w:t>
      </w:r>
    </w:p>
    <w:p w14:paraId="13EAEB3B" w14:textId="77777777" w:rsidR="00DB2B68" w:rsidRDefault="00000000">
      <w:r>
        <w:t>Il importe de bien coordonner et de minuter les travaux avec l'éventuel ravalement de façade.</w:t>
      </w:r>
    </w:p>
    <w:p w14:paraId="364EFC58" w14:textId="77777777" w:rsidR="00DB2B68" w:rsidRDefault="00000000">
      <w:pPr>
        <w:pStyle w:val="pheading"/>
      </w:pPr>
      <w:r>
        <w:t>MATÉRIAUX</w:t>
      </w:r>
    </w:p>
    <w:p w14:paraId="0F338181" w14:textId="77777777" w:rsidR="00DB2B68" w:rsidRDefault="00000000">
      <w:r>
        <w:t>Sous son entière responsabilité, l'entrepreneur vérifie à l'avance la compatibilité du mortier de jointoiement avec les pierres, afin d'éviter les efflorescences. La résistance à la compression du mortier est inférieure ou égale à celle du mortier de pose. Le coloris est adapté à celui du jointoiement existant.</w:t>
      </w:r>
    </w:p>
    <w:p w14:paraId="45FBFAEB" w14:textId="77777777" w:rsidR="00DB2B68" w:rsidRDefault="00000000">
      <w:pPr>
        <w:pStyle w:val="pheading"/>
      </w:pPr>
      <w:r>
        <w:t>EXÉCUTION / MISE EN ŒUVRE</w:t>
      </w:r>
    </w:p>
    <w:p w14:paraId="6ED5E707" w14:textId="77777777" w:rsidR="00DB2B68" w:rsidRDefault="00000000">
      <w:r>
        <w:t xml:space="preserve">Contrôle du jointoiement au mortier de ciment : tous les joints non adhérents ou érodés sont décapés jusqu'à une profondeur d'environ </w:t>
      </w:r>
      <w:r>
        <w:rPr>
          <w:rStyle w:val="optioncarChar"/>
        </w:rPr>
        <w:t>2 </w:t>
      </w:r>
      <w:r>
        <w:t>(par défaut)</w:t>
      </w:r>
      <w:r>
        <w:rPr>
          <w:rStyle w:val="optioncarChar"/>
        </w:rPr>
        <w:t xml:space="preserve"> / *** </w:t>
      </w:r>
      <w:r>
        <w:t>cm et rejointoyés à l'aide d'un mortier amélioré.</w:t>
      </w:r>
    </w:p>
    <w:p w14:paraId="1F0CF9B2" w14:textId="77777777" w:rsidR="00DB2B68" w:rsidRDefault="00000000">
      <w:r>
        <w:t xml:space="preserve">Les joints de dilatations ne sont pas remplis mais colmatés par la suite avec un mastic élastique, selon l'article </w:t>
      </w:r>
      <w:r>
        <w:rPr>
          <w:rStyle w:val="optioncarChar"/>
        </w:rPr>
        <w:t>***</w:t>
      </w:r>
      <w:r>
        <w:t xml:space="preserve"> .</w:t>
      </w:r>
    </w:p>
    <w:p w14:paraId="4FD3E8C5" w14:textId="77777777" w:rsidR="00DB2B68" w:rsidRDefault="00000000">
      <w:pPr>
        <w:pStyle w:val="pheading"/>
      </w:pPr>
      <w:r>
        <w:t>CONTRÔLES</w:t>
      </w:r>
    </w:p>
    <w:p w14:paraId="0F95B5DF" w14:textId="77777777" w:rsidR="00DB2B68" w:rsidRDefault="00000000">
      <w:r>
        <w:t>On ne peut remarquer de différence de couleur dans le jointoiement. L'aspect, la forme et la couleur des joints sont identiques au jointoiement existant.</w:t>
      </w:r>
    </w:p>
    <w:p w14:paraId="7D6ED97D" w14:textId="77777777" w:rsidR="00DB2B68" w:rsidRDefault="00000000">
      <w:pPr>
        <w:pStyle w:val="Author-eSectionHeading6Numberless"/>
      </w:pPr>
      <w:bookmarkStart w:id="590" w:name="_Toc220495672"/>
      <w:r>
        <w:t>21.86.4a Rejointoyages ordinaires au mortier CCTB 01.11</w:t>
      </w:r>
      <w:bookmarkEnd w:id="590"/>
    </w:p>
    <w:p w14:paraId="209A9A6E" w14:textId="77777777" w:rsidR="00DB2B68" w:rsidRDefault="00000000">
      <w:pPr>
        <w:pStyle w:val="pheading"/>
      </w:pPr>
      <w:r>
        <w:t>DESCRIPTION</w:t>
      </w:r>
    </w:p>
    <w:p w14:paraId="662337EA" w14:textId="77777777" w:rsidR="00DB2B68" w:rsidRDefault="00000000">
      <w:pPr>
        <w:pStyle w:val="pheading"/>
      </w:pPr>
      <w:r>
        <w:t>- Définition / Comprend</w:t>
      </w:r>
    </w:p>
    <w:p w14:paraId="7024F08F" w14:textId="77777777" w:rsidR="00DB2B68" w:rsidRDefault="00000000">
      <w:r>
        <w:t xml:space="preserve">Renvoi au § </w:t>
      </w:r>
      <w:hyperlink w:anchor="395" w:history="1">
        <w:r>
          <w:rPr>
            <w:color w:val="0000EE"/>
          </w:rPr>
          <w:t>21.6 Réalisation de joints</w:t>
        </w:r>
      </w:hyperlink>
    </w:p>
    <w:p w14:paraId="542D9502" w14:textId="77777777" w:rsidR="00DB2B68" w:rsidRDefault="00000000">
      <w:pPr>
        <w:pStyle w:val="pheading"/>
      </w:pPr>
      <w:r>
        <w:t>EXÉCUTION / MISE EN ŒUVRE</w:t>
      </w:r>
    </w:p>
    <w:p w14:paraId="73BA5FB1" w14:textId="77777777" w:rsidR="00DB2B68" w:rsidRDefault="00000000">
      <w:pPr>
        <w:pStyle w:val="pheading"/>
      </w:pPr>
      <w:r>
        <w:t>- Notes d’exécution complémentaires</w:t>
      </w:r>
    </w:p>
    <w:p w14:paraId="4FF5EDB4" w14:textId="77777777" w:rsidR="00DB2B68" w:rsidRDefault="00000000">
      <w:r>
        <w:t xml:space="preserve">Les joints de dilatations ne sont pas remplis mais colmatés par la suite avec un mastic élastique, selon l'article </w:t>
      </w:r>
      <w:r>
        <w:rPr>
          <w:rStyle w:val="optioncarChar"/>
        </w:rPr>
        <w:t>***</w:t>
      </w:r>
      <w:r>
        <w:t xml:space="preserve"> .</w:t>
      </w:r>
    </w:p>
    <w:p w14:paraId="28ACFB84" w14:textId="77777777" w:rsidR="00DB2B68" w:rsidRDefault="00000000">
      <w:pPr>
        <w:pStyle w:val="Author-eSectionHeading6Numberless"/>
      </w:pPr>
      <w:bookmarkStart w:id="591" w:name="_Toc220495673"/>
      <w:r>
        <w:t>21.86.4b Rejointoyages au mortier de chaux CCTB 01.04</w:t>
      </w:r>
      <w:bookmarkEnd w:id="591"/>
    </w:p>
    <w:p w14:paraId="0F39CABA" w14:textId="77777777" w:rsidR="00DB2B68" w:rsidRDefault="00000000">
      <w:pPr>
        <w:pStyle w:val="pheading"/>
      </w:pPr>
      <w:r>
        <w:t>EXÉCUTION / MISE EN ŒUVRE</w:t>
      </w:r>
    </w:p>
    <w:p w14:paraId="3722F7E5" w14:textId="77777777" w:rsidR="00DB2B68" w:rsidRDefault="00000000">
      <w:pPr>
        <w:pStyle w:val="pheading"/>
      </w:pPr>
      <w:r>
        <w:t>- Notes d’exécution complémentaires</w:t>
      </w:r>
    </w:p>
    <w:p w14:paraId="538CDA1E" w14:textId="77777777" w:rsidR="00DB2B68" w:rsidRDefault="00000000">
      <w:r>
        <w:t xml:space="preserve">Les joints de dilatations ne sont pas remplis mais colmatés par la suite avec un mastic élastique, selon </w:t>
      </w:r>
      <w:r>
        <w:rPr>
          <w:shd w:val="clear" w:color="auto" w:fill="FFFF99"/>
        </w:rPr>
        <w:t xml:space="preserve">l'article </w:t>
      </w:r>
      <w:r>
        <w:rPr>
          <w:rStyle w:val="optioncarChar"/>
          <w:shd w:val="clear" w:color="auto" w:fill="FFFF99"/>
        </w:rPr>
        <w:t>***</w:t>
      </w:r>
    </w:p>
    <w:p w14:paraId="5D988724" w14:textId="77777777" w:rsidR="00DB2B68" w:rsidRDefault="00000000">
      <w:pPr>
        <w:pStyle w:val="Author-eSectionHeading6Numberless"/>
      </w:pPr>
      <w:bookmarkStart w:id="592" w:name="_Toc220495674"/>
      <w:r>
        <w:t>21.86.4c Rejointoyages au mortier bâtard CCTB 01.04</w:t>
      </w:r>
      <w:bookmarkEnd w:id="592"/>
    </w:p>
    <w:p w14:paraId="3F854C8A" w14:textId="77777777" w:rsidR="00DB2B68" w:rsidRDefault="00000000">
      <w:pPr>
        <w:pStyle w:val="pheading"/>
      </w:pPr>
      <w:r>
        <w:t>EXÉCUTION / MISE EN ŒUVRE</w:t>
      </w:r>
    </w:p>
    <w:p w14:paraId="77D62983" w14:textId="77777777" w:rsidR="00DB2B68" w:rsidRDefault="00000000">
      <w:pPr>
        <w:pStyle w:val="pheading"/>
      </w:pPr>
      <w:r>
        <w:t>- Notes d’exécution complémentaires</w:t>
      </w:r>
    </w:p>
    <w:p w14:paraId="6E038F8E" w14:textId="77777777" w:rsidR="00DB2B68" w:rsidRDefault="00000000">
      <w:r>
        <w:lastRenderedPageBreak/>
        <w:t xml:space="preserve">Les joints de dilatations ne sont pas remplis mais colmatés par la suite avec un mastic élastique, selon </w:t>
      </w:r>
      <w:r>
        <w:rPr>
          <w:shd w:val="clear" w:color="auto" w:fill="FFFF99"/>
        </w:rPr>
        <w:t xml:space="preserve">l'article </w:t>
      </w:r>
      <w:r>
        <w:rPr>
          <w:rStyle w:val="optioncarChar"/>
          <w:shd w:val="clear" w:color="auto" w:fill="FFFF99"/>
        </w:rPr>
        <w:t>***</w:t>
      </w:r>
    </w:p>
    <w:p w14:paraId="19A73C4A" w14:textId="77777777" w:rsidR="00DB2B68" w:rsidRDefault="00000000">
      <w:pPr>
        <w:pStyle w:val="Author-eSectionHeading6Numberless"/>
      </w:pPr>
      <w:bookmarkStart w:id="593" w:name="_Toc220495675"/>
      <w:r>
        <w:t>21.86.4d Rejointoyages - Joints souples CCTB 01.04</w:t>
      </w:r>
      <w:bookmarkEnd w:id="593"/>
    </w:p>
    <w:p w14:paraId="3FC0A68B" w14:textId="77777777" w:rsidR="00DB2B68" w:rsidRDefault="00000000">
      <w:pPr>
        <w:pStyle w:val="pheading"/>
      </w:pPr>
      <w:r>
        <w:t>DESCRIPTION</w:t>
      </w:r>
    </w:p>
    <w:p w14:paraId="5CC1FD28" w14:textId="77777777" w:rsidR="00DB2B68" w:rsidRDefault="00000000">
      <w:pPr>
        <w:pStyle w:val="pheading"/>
      </w:pPr>
      <w:r>
        <w:t>- Définition / Comprend</w:t>
      </w:r>
    </w:p>
    <w:p w14:paraId="1919DF7F" w14:textId="77777777" w:rsidR="00DB2B68" w:rsidRDefault="00000000">
      <w:r>
        <w:t>Renvoi à l'élément 43.65 Etanchéisation de joints</w:t>
      </w:r>
    </w:p>
    <w:p w14:paraId="109FB733" w14:textId="77777777" w:rsidR="00DB2B68" w:rsidRDefault="00000000">
      <w:pPr>
        <w:pStyle w:val="Author-eSectionHeading6Numberless"/>
      </w:pPr>
      <w:bookmarkStart w:id="594" w:name="_Toc220495676"/>
      <w:r>
        <w:t>21.86.4e Rejointoyages - Joints au plomb CCTB 01.02</w:t>
      </w:r>
      <w:bookmarkEnd w:id="594"/>
    </w:p>
    <w:p w14:paraId="5A43CB82" w14:textId="77777777" w:rsidR="00DB2B68" w:rsidRDefault="00000000">
      <w:pPr>
        <w:pStyle w:val="Author-eSectionHeading4Numberless"/>
      </w:pPr>
      <w:bookmarkStart w:id="595" w:name="_Toc220495677"/>
      <w:r>
        <w:t>21.87 Nettoyages / préparations de surface CCTB 01.04</w:t>
      </w:r>
      <w:bookmarkEnd w:id="595"/>
    </w:p>
    <w:p w14:paraId="75E32BF7" w14:textId="77777777" w:rsidR="00DB2B68" w:rsidRDefault="00000000">
      <w:pPr>
        <w:pStyle w:val="pheading"/>
      </w:pPr>
      <w:r>
        <w:t>DESCRIPTION</w:t>
      </w:r>
    </w:p>
    <w:p w14:paraId="271A9898" w14:textId="77777777" w:rsidR="00DB2B68" w:rsidRDefault="00000000">
      <w:pPr>
        <w:pStyle w:val="pheading"/>
      </w:pPr>
      <w:r>
        <w:t>- Définition / Comprend</w:t>
      </w:r>
    </w:p>
    <w:p w14:paraId="425CCE6B" w14:textId="77777777" w:rsidR="00DB2B68" w:rsidRDefault="00000000">
      <w:r>
        <w:t>Renvoi au § 83.11 Nettoyage / préparation de surface</w:t>
      </w:r>
    </w:p>
    <w:p w14:paraId="7D67B87B" w14:textId="77777777" w:rsidR="00DB2B68" w:rsidRDefault="00000000">
      <w:pPr>
        <w:pStyle w:val="Author-eSectionHeading4Numberless"/>
      </w:pPr>
      <w:bookmarkStart w:id="596" w:name="_Toc220495678"/>
      <w:r>
        <w:t>21.88 Traitements et protections CCTB 01.04</w:t>
      </w:r>
      <w:bookmarkEnd w:id="596"/>
    </w:p>
    <w:p w14:paraId="0F1D502E" w14:textId="77777777" w:rsidR="00DB2B68" w:rsidRDefault="00000000">
      <w:pPr>
        <w:pStyle w:val="pheading"/>
      </w:pPr>
      <w:r>
        <w:t>DESCRIPTION</w:t>
      </w:r>
    </w:p>
    <w:p w14:paraId="7299B42C" w14:textId="77777777" w:rsidR="00DB2B68" w:rsidRDefault="00000000">
      <w:pPr>
        <w:pStyle w:val="pheading"/>
      </w:pPr>
      <w:r>
        <w:t>- Définition / Comprend</w:t>
      </w:r>
    </w:p>
    <w:p w14:paraId="0DA1F66C" w14:textId="77777777" w:rsidR="00DB2B68" w:rsidRDefault="00000000">
      <w:r>
        <w:t>Renvoi au § 83 Traitements / protections</w:t>
      </w:r>
    </w:p>
    <w:p w14:paraId="19773938" w14:textId="77777777" w:rsidR="00DB2B68" w:rsidRDefault="00000000">
      <w:pPr>
        <w:pStyle w:val="Author-eSectionHeading2Numberless"/>
      </w:pPr>
      <w:bookmarkStart w:id="597" w:name="_Toc220495679"/>
      <w:r>
        <w:t>22 Superstructures en béton CCTB 01.13</w:t>
      </w:r>
      <w:bookmarkEnd w:id="597"/>
    </w:p>
    <w:p w14:paraId="0DDAE4BA" w14:textId="77777777" w:rsidR="00DB2B68" w:rsidRDefault="00000000">
      <w:pPr>
        <w:pStyle w:val="pheading"/>
      </w:pPr>
      <w:bookmarkStart w:id="598" w:name="87"/>
      <w:bookmarkEnd w:id="598"/>
      <w:r>
        <w:t>DESCRIPTION</w:t>
      </w:r>
    </w:p>
    <w:p w14:paraId="21855CB5" w14:textId="77777777" w:rsidR="00DB2B68" w:rsidRDefault="00000000">
      <w:pPr>
        <w:pStyle w:val="pheading"/>
      </w:pPr>
      <w:r>
        <w:t>- Définition / Comprend</w:t>
      </w:r>
    </w:p>
    <w:p w14:paraId="14425AE2" w14:textId="77777777" w:rsidR="00DB2B68" w:rsidRDefault="00000000">
      <w:r>
        <w:t>Le présent chapitre comprend tous les éléments de gros-œuvre autres que les éléments de fondation ou de sol, exécutés en béton coulé en place ou préfabriqués en béton.</w:t>
      </w:r>
    </w:p>
    <w:p w14:paraId="50A53C62" w14:textId="77777777" w:rsidR="00DB2B68" w:rsidRDefault="00000000">
      <w:r>
        <w:rPr>
          <w:rStyle w:val="headingChar"/>
        </w:rPr>
        <w:t>Béton Prêt À L'emploi</w:t>
      </w:r>
    </w:p>
    <w:p w14:paraId="6E0A62DA" w14:textId="77777777" w:rsidR="00DB2B68" w:rsidRDefault="00000000">
      <w:r>
        <w:t>Le poste ‘béton prêt à l'emploi’ comprend la réalisation de tous les éléments de gros-œuvre, exécutés en béton coulé en place, c’est-à-dire y compris tous les coffrages, les armatures, les éléments technologiques et la fourniture du béton. Les armatures sont soit métrées séparément, soit incluses dans le prix unitaire du béton. Un supplément peut être accordé pour les coffrages particuliers et complexes, uniquement s’ils sont mentionnés explicitement dans le cahier spécial des charges et/ou le métré récapitulatif. Le mesurage s’effectue selon la [NBN B 06-001]. Toutes les prescriptions en ce qui concerne le mesurage sont d’application autant pour les quantités forfaitaires que présumées.</w:t>
      </w:r>
    </w:p>
    <w:p w14:paraId="1F7F2A93" w14:textId="77777777" w:rsidR="00DB2B68" w:rsidRDefault="00000000">
      <w:r>
        <w:t>Conformément aux dispositions du cahier spécial des charges, les prix unitaires doivent toujours comprendre, soit selon la ventilation explicite du métré récapitulatif, soit dans leur totalité :</w:t>
      </w:r>
    </w:p>
    <w:p w14:paraId="6C911A19" w14:textId="77777777" w:rsidR="00DB2B68" w:rsidRDefault="00000000">
      <w:pPr>
        <w:pStyle w:val="Author-eListParagraph"/>
        <w:numPr>
          <w:ilvl w:val="0"/>
          <w:numId w:val="313"/>
        </w:numPr>
      </w:pPr>
      <w:r>
        <w:t>les éventuels notes de calcul et études et plans d’exécution des éléments structuraux en bétons qui sont à charge de l'entrepreneur;</w:t>
      </w:r>
    </w:p>
    <w:p w14:paraId="15A322FA" w14:textId="77777777" w:rsidR="00DB2B68" w:rsidRDefault="00000000">
      <w:pPr>
        <w:pStyle w:val="Author-eListParagraph"/>
        <w:numPr>
          <w:ilvl w:val="0"/>
          <w:numId w:val="313"/>
        </w:numPr>
      </w:pPr>
      <w:r>
        <w:t>la préparation du support et/ou des éléments d'appui;</w:t>
      </w:r>
    </w:p>
    <w:p w14:paraId="2E8187E5" w14:textId="77777777" w:rsidR="00DB2B68" w:rsidRDefault="00000000">
      <w:pPr>
        <w:pStyle w:val="Author-eListParagraph"/>
        <w:numPr>
          <w:ilvl w:val="0"/>
          <w:numId w:val="313"/>
        </w:numPr>
      </w:pPr>
      <w:r>
        <w:t>l'étude, la construction et le support du coffrage;</w:t>
      </w:r>
    </w:p>
    <w:p w14:paraId="3A472313" w14:textId="77777777" w:rsidR="00DB2B68" w:rsidRDefault="00000000">
      <w:pPr>
        <w:pStyle w:val="Author-eListParagraph"/>
        <w:numPr>
          <w:ilvl w:val="0"/>
          <w:numId w:val="313"/>
        </w:numPr>
      </w:pPr>
      <w:r>
        <w:t>la fourniture et la pose des éventuels éléments de coffrage perdus, selon le descriptif ;</w:t>
      </w:r>
    </w:p>
    <w:p w14:paraId="5619634C" w14:textId="77777777" w:rsidR="00DB2B68" w:rsidRDefault="00000000">
      <w:pPr>
        <w:pStyle w:val="Author-eListParagraph"/>
        <w:numPr>
          <w:ilvl w:val="0"/>
          <w:numId w:val="313"/>
        </w:numPr>
      </w:pPr>
      <w:r>
        <w:t>la fourniture et la mise en œuvre d’un pare-vapeur en dessous de la dalle et barrières prévues pour éviter les ponts thermiques;</w:t>
      </w:r>
    </w:p>
    <w:p w14:paraId="27033AD2" w14:textId="77777777" w:rsidR="00DB2B68" w:rsidRDefault="00000000">
      <w:pPr>
        <w:pStyle w:val="Author-eListParagraph"/>
        <w:numPr>
          <w:ilvl w:val="0"/>
          <w:numId w:val="313"/>
        </w:numPr>
      </w:pPr>
      <w:r>
        <w:t>la fourniture et la mise en œuvre des armatures et de tout accessoire nécessaire (maintien en place, éléments de fixation de la précontrainte,…);</w:t>
      </w:r>
    </w:p>
    <w:p w14:paraId="41F44675" w14:textId="77777777" w:rsidR="00DB2B68" w:rsidRDefault="00000000">
      <w:pPr>
        <w:pStyle w:val="Author-eListParagraph"/>
        <w:numPr>
          <w:ilvl w:val="0"/>
          <w:numId w:val="313"/>
        </w:numPr>
      </w:pPr>
      <w:r>
        <w:t>le cas échéant, la fourniture et la pose des éléments à noyer dans le béton, tels que profilés, boîtes d’attente avec armature, systèmes d’accouplement, pièces détachées, les éventuelles plaques d’acier pour les joints de reprises, bandeaux et autres éléments linéaires prévus;</w:t>
      </w:r>
    </w:p>
    <w:p w14:paraId="533FCADF" w14:textId="77777777" w:rsidR="00DB2B68" w:rsidRDefault="00000000">
      <w:pPr>
        <w:pStyle w:val="Author-eListParagraph"/>
        <w:numPr>
          <w:ilvl w:val="0"/>
          <w:numId w:val="313"/>
        </w:numPr>
      </w:pPr>
      <w:r>
        <w:lastRenderedPageBreak/>
        <w:t>les dispositifs nécessaires aux réservations et aux évasements ; l’insertion de gaines pour l’électricité, les conduits d’évacuation des eaux sanitaires, …</w:t>
      </w:r>
    </w:p>
    <w:p w14:paraId="5156BB15" w14:textId="77777777" w:rsidR="00DB2B68" w:rsidRDefault="00000000">
      <w:pPr>
        <w:pStyle w:val="Author-eListParagraph"/>
        <w:numPr>
          <w:ilvl w:val="0"/>
          <w:numId w:val="313"/>
        </w:numPr>
      </w:pPr>
      <w:r>
        <w:t>les percements pour techniques (gaines, tuyauteries, etc…) figurant sur les plans d’adjudication</w:t>
      </w:r>
    </w:p>
    <w:p w14:paraId="0753E7F4" w14:textId="77777777" w:rsidR="00DB2B68" w:rsidRDefault="00000000">
      <w:pPr>
        <w:pStyle w:val="Author-eListParagraph"/>
        <w:numPr>
          <w:ilvl w:val="0"/>
          <w:numId w:val="313"/>
        </w:numPr>
      </w:pPr>
      <w:r>
        <w:t>le nettoyage des coffrages avant mise en œuvre du béton;</w:t>
      </w:r>
    </w:p>
    <w:p w14:paraId="38F62E85" w14:textId="77777777" w:rsidR="00DB2B68" w:rsidRDefault="00000000">
      <w:pPr>
        <w:pStyle w:val="Author-eListParagraph"/>
        <w:numPr>
          <w:ilvl w:val="0"/>
          <w:numId w:val="313"/>
        </w:numPr>
      </w:pPr>
      <w:r>
        <w:t>l’application des produits de décoffrage;</w:t>
      </w:r>
    </w:p>
    <w:p w14:paraId="5763649B" w14:textId="77777777" w:rsidR="00DB2B68" w:rsidRDefault="00000000">
      <w:pPr>
        <w:pStyle w:val="Author-eListParagraph"/>
        <w:numPr>
          <w:ilvl w:val="0"/>
          <w:numId w:val="313"/>
        </w:numPr>
      </w:pPr>
      <w:r>
        <w:t>la fourniture, le coulage et la vibration (serrage) du béton;</w:t>
      </w:r>
    </w:p>
    <w:p w14:paraId="1B17624E" w14:textId="77777777" w:rsidR="00DB2B68" w:rsidRDefault="00000000">
      <w:pPr>
        <w:pStyle w:val="Author-eListParagraph"/>
        <w:numPr>
          <w:ilvl w:val="0"/>
          <w:numId w:val="313"/>
        </w:numPr>
      </w:pPr>
      <w:r>
        <w:t>la fourniture et mise en œuvre des moyens de protection du béton (cure et si nécessaire protection contre la pluie et isolation thermique,..);</w:t>
      </w:r>
    </w:p>
    <w:p w14:paraId="6B231590" w14:textId="77777777" w:rsidR="00DB2B68" w:rsidRDefault="00000000">
      <w:pPr>
        <w:pStyle w:val="Author-eListParagraph"/>
        <w:numPr>
          <w:ilvl w:val="0"/>
          <w:numId w:val="313"/>
        </w:numPr>
      </w:pPr>
      <w:r>
        <w:t>le nettoyage éventuel des faces vues et le parachèvement des bords;</w:t>
      </w:r>
    </w:p>
    <w:p w14:paraId="3BFF1D3D" w14:textId="77777777" w:rsidR="00DB2B68" w:rsidRDefault="00000000">
      <w:pPr>
        <w:pStyle w:val="Author-eListParagraph"/>
        <w:numPr>
          <w:ilvl w:val="0"/>
          <w:numId w:val="313"/>
        </w:numPr>
      </w:pPr>
      <w:r>
        <w:t>l’enlèvement des accessoires et des éléments de coffrage;</w:t>
      </w:r>
    </w:p>
    <w:p w14:paraId="4511849A" w14:textId="77777777" w:rsidR="00DB2B68" w:rsidRDefault="00000000">
      <w:pPr>
        <w:pStyle w:val="Author-eListParagraph"/>
        <w:numPr>
          <w:ilvl w:val="0"/>
          <w:numId w:val="313"/>
        </w:numPr>
      </w:pPr>
      <w:r>
        <w:t>les éventuels traitements ultérieurs et/ou la finition de la surface en béton;</w:t>
      </w:r>
    </w:p>
    <w:p w14:paraId="4C18E0CF" w14:textId="77777777" w:rsidR="00DB2B68" w:rsidRDefault="00000000">
      <w:pPr>
        <w:pStyle w:val="Author-eListParagraph"/>
        <w:numPr>
          <w:ilvl w:val="0"/>
          <w:numId w:val="313"/>
        </w:numPr>
      </w:pPr>
      <w:r>
        <w:t>l’enduit des bétons en contact avec les terres,</w:t>
      </w:r>
    </w:p>
    <w:p w14:paraId="71754F5F" w14:textId="77777777" w:rsidR="00DB2B68" w:rsidRDefault="00000000">
      <w:r>
        <w:rPr>
          <w:rStyle w:val="headingChar"/>
        </w:rPr>
        <w:t>Prescriptions Complémentaires Pour Le Béton Apparent Coulé En Place Avec Des Exigences Esthétiques</w:t>
      </w:r>
    </w:p>
    <w:p w14:paraId="3C72D81D" w14:textId="77777777" w:rsidR="00DB2B68" w:rsidRDefault="00000000">
      <w:r>
        <w:t>Il s'agit des éléments à prendre en compte en raison du degré de complexité accru pour l’exécution de béton apparent, en fonction de la qualité d’aspect exigée. Pour ces éléments en béton apparent avec exigences esthétiques, sont au moins détaillés les postes suivants:</w:t>
      </w:r>
    </w:p>
    <w:p w14:paraId="1CD999E4" w14:textId="77777777" w:rsidR="00DB2B68" w:rsidRDefault="00000000">
      <w:pPr>
        <w:pStyle w:val="Author-eListParagraph"/>
        <w:numPr>
          <w:ilvl w:val="0"/>
          <w:numId w:val="314"/>
        </w:numPr>
      </w:pPr>
      <w:r>
        <w:t>Etudes préalables</w:t>
      </w:r>
    </w:p>
    <w:p w14:paraId="62F192FF" w14:textId="77777777" w:rsidR="00DB2B68" w:rsidRDefault="00000000">
      <w:pPr>
        <w:pStyle w:val="Author-eListParagraph"/>
        <w:numPr>
          <w:ilvl w:val="0"/>
          <w:numId w:val="314"/>
        </w:numPr>
      </w:pPr>
      <w:r>
        <w:t>Un béton adapté</w:t>
      </w:r>
    </w:p>
    <w:p w14:paraId="68A1324D" w14:textId="77777777" w:rsidR="00DB2B68" w:rsidRDefault="00000000">
      <w:pPr>
        <w:pStyle w:val="Author-eListParagraph"/>
        <w:numPr>
          <w:ilvl w:val="0"/>
          <w:numId w:val="314"/>
        </w:numPr>
      </w:pPr>
      <w:r>
        <w:t>Adaptations pour les coffrages (type de panneaux...)</w:t>
      </w:r>
    </w:p>
    <w:p w14:paraId="0B13A2DF" w14:textId="77777777" w:rsidR="00DB2B68" w:rsidRDefault="00000000">
      <w:pPr>
        <w:pStyle w:val="Author-eListParagraph"/>
        <w:numPr>
          <w:ilvl w:val="0"/>
          <w:numId w:val="314"/>
        </w:numPr>
      </w:pPr>
      <w:r>
        <w:t>Exigences spécifiques</w:t>
      </w:r>
    </w:p>
    <w:p w14:paraId="0B5BF1E6" w14:textId="77777777" w:rsidR="00DB2B68" w:rsidRDefault="00000000">
      <w:r>
        <w:t>Les particularités liées au béton apparent avec des exigences esthétiques sont décrites dans la [NBN B 15-007].</w:t>
      </w:r>
    </w:p>
    <w:p w14:paraId="615BB076" w14:textId="77777777" w:rsidR="00DB2B68" w:rsidRDefault="00000000">
      <w:r>
        <w:t>Le béton apparent avec des exigences esthétiques satisfait à la classe de tolérance 2 des normes [NBN EN 13670] et [NBN B 15-400].</w:t>
      </w:r>
    </w:p>
    <w:p w14:paraId="158D89A5" w14:textId="77777777" w:rsidR="00DB2B68" w:rsidRDefault="00000000">
      <w:r>
        <w:t>L’aspect, la teinte et la texture du béton sont le résultat des choix faits en matière de constituants du béton, de leurs dosages respectifs, de la nature du coffrage (lisse ou revêtu d’une garniture qui crée un relief en surface) et de l’éventuel traitement (lavage, bouchardage…) après le décoffrage.</w:t>
      </w:r>
    </w:p>
    <w:p w14:paraId="71E62C32" w14:textId="77777777" w:rsidR="00DB2B68" w:rsidRDefault="00000000">
      <w:r>
        <w:t>Les choix faits par l’auteur de projet sont importants à la fois pour le producteur du béton à couler et pour l’entrepreneur qui prépare le coffrage, se charge de le mettre en place et de l’enlever, ainsi que de l’éventuel post-traitement.</w:t>
      </w:r>
    </w:p>
    <w:p w14:paraId="263A6F47" w14:textId="77777777" w:rsidR="00DB2B68" w:rsidRDefault="00000000">
      <w:r>
        <w:rPr>
          <w:rStyle w:val="headingChar"/>
        </w:rPr>
        <w:t>Eléments Préfabriqués En Béton</w:t>
      </w:r>
    </w:p>
    <w:p w14:paraId="2ACBCD09" w14:textId="77777777" w:rsidR="00DB2B68" w:rsidRDefault="00000000">
      <w:r>
        <w:t>Il s’agit des éléments en béton armé ou en béton précontraint (éléments linéaires (colonnes, poutres, portiques) / éléments de murs / linteaux / dalles nervurés / dalles alvéolés / prédalles / poutrelles et entrevous pour planchers combinés / escaliers / corniches / balcons / éléments spéciaux /...), dont la préfabrication en usine est obligatoire et qui sont ensuite assemblés à d’autres éléments de construction sur chantier.</w:t>
      </w:r>
    </w:p>
    <w:p w14:paraId="6785AEBB" w14:textId="77777777" w:rsidR="00DB2B68" w:rsidRDefault="00000000">
      <w:r>
        <w:t>Par usine de préfabrication, il faut entendre une unité technique permanente, protégée de la pluie, du soleil et du vent, dans laquelle le béton mis en œuvre, ainsi que le coffrage utilisé, ont une température d’au moins 5°C et où les éléments bétonnées sont protégés du gel.</w:t>
      </w:r>
    </w:p>
    <w:p w14:paraId="0E8D1B52" w14:textId="77777777" w:rsidR="00DB2B68" w:rsidRDefault="00000000">
      <w:r>
        <w:t>Pareille unité technique dispose des éléments suivants:</w:t>
      </w:r>
    </w:p>
    <w:p w14:paraId="565DD508" w14:textId="77777777" w:rsidR="00DB2B68" w:rsidRDefault="00000000">
      <w:pPr>
        <w:pStyle w:val="Author-eListParagraph"/>
        <w:numPr>
          <w:ilvl w:val="0"/>
          <w:numId w:val="315"/>
        </w:numPr>
      </w:pPr>
      <w:r>
        <w:t>une zone de stockage à sec des armatures passives et des armatures de précontrainte ;</w:t>
      </w:r>
    </w:p>
    <w:p w14:paraId="68C26F3E" w14:textId="77777777" w:rsidR="00DB2B68" w:rsidRDefault="00000000">
      <w:pPr>
        <w:pStyle w:val="Author-eListParagraph"/>
        <w:numPr>
          <w:ilvl w:val="0"/>
          <w:numId w:val="315"/>
        </w:numPr>
      </w:pPr>
      <w:r>
        <w:t>un équipement de laboratoire convenant au contrôle de la consistance et de la qualité du béton.</w:t>
      </w:r>
    </w:p>
    <w:p w14:paraId="0632877A" w14:textId="77777777" w:rsidR="00DB2B68" w:rsidRDefault="00000000">
      <w:r>
        <w:t>En ce qui concerne le béton utilisé par l’usine de préfabrication :</w:t>
      </w:r>
    </w:p>
    <w:p w14:paraId="5B8400A7" w14:textId="77777777" w:rsidR="00DB2B68" w:rsidRDefault="00000000">
      <w:pPr>
        <w:pStyle w:val="Author-eListParagraph"/>
        <w:numPr>
          <w:ilvl w:val="0"/>
          <w:numId w:val="316"/>
        </w:numPr>
      </w:pPr>
      <w:r>
        <w:lastRenderedPageBreak/>
        <w:t>soit celle-ci dispose d’une centrale à béton pourvue de dispositifs de dosage étalonnés et de l’équipement nécessaire à la vérification des matières premières. Elle s’assure de la caractéristique des produits finis et de la bonne confection des cubes ;</w:t>
      </w:r>
    </w:p>
    <w:p w14:paraId="7219DC62" w14:textId="77777777" w:rsidR="00DB2B68" w:rsidRDefault="00000000">
      <w:pPr>
        <w:pStyle w:val="Author-eListParagraph"/>
        <w:numPr>
          <w:ilvl w:val="0"/>
          <w:numId w:val="317"/>
        </w:numPr>
      </w:pPr>
      <w:r>
        <w:t>soit elle se fait livrer du béton prêt à l’emploi permettant de répondre sous sa responsabilité aux spécifications prescrites pour le béton.</w:t>
      </w:r>
    </w:p>
    <w:p w14:paraId="65289402" w14:textId="77777777" w:rsidR="00DB2B68" w:rsidRDefault="00000000">
      <w:r>
        <w:t>En ce qui concerne les cages d’armatures :</w:t>
      </w:r>
    </w:p>
    <w:p w14:paraId="60C30D08" w14:textId="77777777" w:rsidR="00DB2B68" w:rsidRDefault="00000000">
      <w:pPr>
        <w:pStyle w:val="Author-eListParagraph"/>
        <w:numPr>
          <w:ilvl w:val="0"/>
          <w:numId w:val="318"/>
        </w:numPr>
      </w:pPr>
      <w:r>
        <w:t>soit il existe une zone de préparation</w:t>
      </w:r>
    </w:p>
    <w:p w14:paraId="35D7D2DC" w14:textId="77777777" w:rsidR="00DB2B68" w:rsidRDefault="00000000">
      <w:pPr>
        <w:pStyle w:val="Author-eListParagraph"/>
        <w:numPr>
          <w:ilvl w:val="0"/>
          <w:numId w:val="318"/>
        </w:numPr>
      </w:pPr>
      <w:r>
        <w:t>soit il existe une zone de réception et de contrôle de fournitures extérieures</w:t>
      </w:r>
    </w:p>
    <w:p w14:paraId="33C10B6D" w14:textId="77777777" w:rsidR="00DB2B68" w:rsidRDefault="00000000">
      <w:r>
        <w:t>Conformément aux dispositions du cahier spécial des charges, les prix unitaires compris dans ce poste doivent toujours comprendre, soit selon la ventilation explicite du métré récapitulatif, soit dans leur totalité :</w:t>
      </w:r>
    </w:p>
    <w:p w14:paraId="0FE035B5" w14:textId="77777777" w:rsidR="00DB2B68" w:rsidRDefault="00000000">
      <w:pPr>
        <w:pStyle w:val="Author-eListParagraph"/>
        <w:numPr>
          <w:ilvl w:val="0"/>
          <w:numId w:val="319"/>
        </w:numPr>
      </w:pPr>
      <w:r>
        <w:t>la préfabrication des éléments conformément aux spécifications prescrites (propriétés, forme, dimensions, finition, …);</w:t>
      </w:r>
    </w:p>
    <w:p w14:paraId="277923D1" w14:textId="77777777" w:rsidR="00DB2B68" w:rsidRDefault="00000000">
      <w:pPr>
        <w:pStyle w:val="Author-eListParagraph"/>
        <w:numPr>
          <w:ilvl w:val="0"/>
          <w:numId w:val="319"/>
        </w:numPr>
      </w:pPr>
      <w:r>
        <w:t>l’insertion éventuelle dans le béton d'accessoires;</w:t>
      </w:r>
    </w:p>
    <w:p w14:paraId="6D5FD234" w14:textId="77777777" w:rsidR="00DB2B68" w:rsidRDefault="00000000">
      <w:pPr>
        <w:pStyle w:val="Author-eListParagraph"/>
        <w:numPr>
          <w:ilvl w:val="0"/>
          <w:numId w:val="319"/>
        </w:numPr>
      </w:pPr>
      <w:r>
        <w:t>la préparation du support et/ou des appuis ;</w:t>
      </w:r>
    </w:p>
    <w:p w14:paraId="10100776" w14:textId="77777777" w:rsidR="00DB2B68" w:rsidRDefault="00000000">
      <w:pPr>
        <w:pStyle w:val="Author-eListParagraph"/>
        <w:numPr>
          <w:ilvl w:val="0"/>
          <w:numId w:val="319"/>
        </w:numPr>
      </w:pPr>
      <w:r>
        <w:t>les éventuelles mesures de protection du parement pendant l’exécution des travaux ;</w:t>
      </w:r>
    </w:p>
    <w:p w14:paraId="51FAE301" w14:textId="77777777" w:rsidR="00DB2B68" w:rsidRDefault="00000000">
      <w:pPr>
        <w:pStyle w:val="Author-eListParagraph"/>
        <w:numPr>
          <w:ilvl w:val="0"/>
          <w:numId w:val="319"/>
        </w:numPr>
      </w:pPr>
      <w:r>
        <w:t>le transport, et la mise à niveau des éléments préfabriqués avec les constructions attenantes ;</w:t>
      </w:r>
    </w:p>
    <w:p w14:paraId="20E36C7D" w14:textId="77777777" w:rsidR="00DB2B68" w:rsidRDefault="00000000">
      <w:pPr>
        <w:pStyle w:val="Author-eListParagraph"/>
        <w:numPr>
          <w:ilvl w:val="0"/>
          <w:numId w:val="319"/>
        </w:numPr>
      </w:pPr>
      <w:r>
        <w:t>la disposition, le réglage et l’ancrage des différents éléments à la construction de base ; y compris tous les moyens de fixation et d’appui, tous les dispositifs de rupture thermique et les joints de dilatation;</w:t>
      </w:r>
    </w:p>
    <w:p w14:paraId="4FC5CA0E" w14:textId="77777777" w:rsidR="00DB2B68" w:rsidRDefault="00000000">
      <w:pPr>
        <w:pStyle w:val="Author-eListParagraph"/>
        <w:numPr>
          <w:ilvl w:val="0"/>
          <w:numId w:val="319"/>
        </w:numPr>
      </w:pPr>
      <w:r>
        <w:t>le remplissage au béton, le rejointoiement et/ou le colmatage des joints avec tous les moyens appropriés.</w:t>
      </w:r>
    </w:p>
    <w:p w14:paraId="71E56256" w14:textId="77777777" w:rsidR="00DB2B68" w:rsidRDefault="00000000">
      <w:r>
        <w:t>La ventilation de ces tâches entre l’entrepreneur général et le fabricant des éléments préfabriqués fait l’objet d’une convention claire entre ces deux intervenants.</w:t>
      </w:r>
    </w:p>
    <w:p w14:paraId="07FA62A0" w14:textId="77777777" w:rsidR="00DB2B68" w:rsidRDefault="00000000">
      <w:r>
        <w:rPr>
          <w:rStyle w:val="headingChar"/>
        </w:rPr>
        <w:t>Prescriptions Complémentaires Pour Les Éléments En Béton Architectonique / Industriel Décoratif Préfabriqués</w:t>
      </w:r>
    </w:p>
    <w:p w14:paraId="2BA63E76" w14:textId="77777777" w:rsidR="00DB2B68" w:rsidRDefault="00000000">
      <w:r>
        <w:t>Les éléments préfabriqués en béton architectonique répondent aux exigences élevées de qualité pour les éléments architectoniques préfabriqués telles que spécifiées dans le document normatif [PTV 21-601].</w:t>
      </w:r>
    </w:p>
    <w:p w14:paraId="23B70066" w14:textId="77777777" w:rsidR="00DB2B68" w:rsidRDefault="00000000">
      <w:r>
        <w:t>Les éléments en béton industriel décoratif doivent répondre aux exigences de qualité suivantes:</w:t>
      </w:r>
    </w:p>
    <w:p w14:paraId="3E970021" w14:textId="77777777" w:rsidR="00DB2B68" w:rsidRDefault="00000000">
      <w:pPr>
        <w:pStyle w:val="Author-eListParagraph"/>
        <w:numPr>
          <w:ilvl w:val="0"/>
          <w:numId w:val="320"/>
        </w:numPr>
      </w:pPr>
      <w:r>
        <w:t>Résistance à la compression : La classe de résistance minimale du béton à la compression est C30/37.</w:t>
      </w:r>
    </w:p>
    <w:p w14:paraId="41ECB8DF" w14:textId="77777777" w:rsidR="00DB2B68" w:rsidRDefault="00000000">
      <w:pPr>
        <w:pStyle w:val="Author-eListParagraph"/>
        <w:numPr>
          <w:ilvl w:val="0"/>
          <w:numId w:val="320"/>
        </w:numPr>
      </w:pPr>
      <w:r>
        <w:t>Caractéristiques géométriques : Les tolérances sur les caractéristiques géométriques sont déterminées suivant la [NBN EN 14992+A1] et la [NBN B 21-612].</w:t>
      </w:r>
    </w:p>
    <w:p w14:paraId="317D1668" w14:textId="77777777" w:rsidR="00DB2B68" w:rsidRDefault="00000000">
      <w:pPr>
        <w:pStyle w:val="Author-eListParagraph"/>
        <w:numPr>
          <w:ilvl w:val="0"/>
          <w:numId w:val="320"/>
        </w:numPr>
      </w:pPr>
      <w:r>
        <w:t xml:space="preserve">Caractéristiques d’aspect </w:t>
      </w:r>
    </w:p>
    <w:p w14:paraId="26D173FE" w14:textId="77777777" w:rsidR="00DB2B68" w:rsidRDefault="00000000">
      <w:pPr>
        <w:pStyle w:val="Author-eListParagraph"/>
        <w:numPr>
          <w:ilvl w:val="1"/>
          <w:numId w:val="321"/>
        </w:numPr>
      </w:pPr>
      <w:r>
        <w:t>Bulles d’air : les bulles d’air admises sont vérifiées à l’aide de l’échelle des bulles CIB (voir [CIB Report n° 24, Tolerances on blemishes of concrete]. L’échelle 2 s’applique aux surfaces non traitées des éléments industriels en béton décoratif et l’échelle 3 s’applique aux surfaces traitées des éléments industriels en béton décoratif.</w:t>
      </w:r>
    </w:p>
    <w:p w14:paraId="4C5B9371" w14:textId="77777777" w:rsidR="00DB2B68" w:rsidRDefault="00000000">
      <w:pPr>
        <w:pStyle w:val="Author-eListParagraph"/>
        <w:numPr>
          <w:ilvl w:val="1"/>
          <w:numId w:val="321"/>
        </w:numPr>
      </w:pPr>
      <w:r>
        <w:t>Variations de teintes : Les variations de teintes sont évaluées à l’aide de l’échelle des gris BE. Un écart de 6 échelles (= ΔE 15) est autorisé.</w:t>
      </w:r>
    </w:p>
    <w:p w14:paraId="70342A6B" w14:textId="77777777" w:rsidR="00DB2B68" w:rsidRDefault="00000000">
      <w:r>
        <w:t>Pour les autres exigences, il y a lieu de se référer aux exigences du béton architectonique du [PTV 21-601].</w:t>
      </w:r>
    </w:p>
    <w:p w14:paraId="1C4C38F1" w14:textId="77777777" w:rsidR="00DB2B68" w:rsidRDefault="00000000">
      <w:r>
        <w:t>Les éléments sont réalisés sur mesure, sont conçus pour exercer une fonction esthétique et sont fabriqués et finis en usine pour ensuite être livrés et/ou montés sur chantier, éventuellement pourvus des accessoires de manutention et de fixation requis.</w:t>
      </w:r>
    </w:p>
    <w:p w14:paraId="333148F2" w14:textId="77777777" w:rsidR="00DB2B68" w:rsidRDefault="00000000">
      <w:r>
        <w:t>L’élément en béton architectonique / industriel décoratif peut aussi exercer une fonction portante. Dans ce cas, il doit en outre être conforme aux normes concernées.</w:t>
      </w:r>
    </w:p>
    <w:p w14:paraId="04C84C20" w14:textId="77777777" w:rsidR="00DB2B68" w:rsidRDefault="00000000">
      <w:r>
        <w:lastRenderedPageBreak/>
        <w:t>Les éléments en béton architectoniques/industriels décoratifs sont fabriqués suivant les prescriptions techniques [PTV 21-601] et en tenant compte des dispositions ci-dessus pour le béton industriel décoratif. Si l’élément tombe dans le domaine d’application d’une norme produit, celle-ci est également d’application. Et en cas de prescriptions contradictoires entre le [PTV 21-601] et la norme produit individuelle, les prescriptions les plus sévères s’appliquent.</w:t>
      </w:r>
    </w:p>
    <w:p w14:paraId="131D23CC" w14:textId="77777777" w:rsidR="00DB2B68" w:rsidRDefault="00000000">
      <w:r>
        <w:rPr>
          <w:u w:val="single"/>
        </w:rPr>
        <w:t>Documents préparatoires</w:t>
      </w:r>
    </w:p>
    <w:p w14:paraId="5FF2F71D" w14:textId="77777777" w:rsidR="00DB2B68" w:rsidRDefault="00000000">
      <w:r>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w:t>
      </w:r>
    </w:p>
    <w:p w14:paraId="06FF019C" w14:textId="77777777" w:rsidR="00DB2B68" w:rsidRDefault="00000000">
      <w:pPr>
        <w:ind w:left="750"/>
      </w:pPr>
      <w:r>
        <w:t> </w:t>
      </w:r>
    </w:p>
    <w:p w14:paraId="7FED6AA0" w14:textId="77777777" w:rsidR="00DB2B68" w:rsidRDefault="00000000">
      <w:pPr>
        <w:pStyle w:val="pheading"/>
      </w:pPr>
      <w:r>
        <w:t>MATÉRIAUX</w:t>
      </w:r>
    </w:p>
    <w:p w14:paraId="52207BBA" w14:textId="77777777" w:rsidR="00DB2B68" w:rsidRDefault="00000000">
      <w:r>
        <w:rPr>
          <w:rStyle w:val="headingChar"/>
        </w:rPr>
        <w:t>Qualité Du Béton Prêt À L’Emploi Coulé En Place</w:t>
      </w:r>
    </w:p>
    <w:p w14:paraId="4337754C" w14:textId="77777777" w:rsidR="00DB2B68" w:rsidRDefault="00000000">
      <w:r>
        <w:t>L’entrepreneur est tenu de livrer un mélange qui satisfait aux exigences imposées.</w:t>
      </w:r>
    </w:p>
    <w:p w14:paraId="419BBF93" w14:textId="77777777" w:rsidR="00DB2B68" w:rsidRDefault="00000000">
      <w:r>
        <w:t>Le béton prêt à l'emploi est livré par une centrale à béton et dispose d'une déclaration d'aptitude à l'utilisation suivant les prescriptions de l'élément 02.42.1 Critères d'acceptabilité.</w:t>
      </w:r>
    </w:p>
    <w:p w14:paraId="0F113183" w14:textId="77777777" w:rsidR="00DB2B68" w:rsidRDefault="00000000">
      <w:r>
        <w:t>Dans le cas contraire, le maître de l’ouvrage se réserve le droit de faire procéder aux frais de l’entrepreneur à tous les contrôles nécessaires dans le cadre de la réception technique préalable suivant l’article A4.62.1 Réception technique préalable.</w:t>
      </w:r>
    </w:p>
    <w:p w14:paraId="21A53087" w14:textId="77777777" w:rsidR="00DB2B68" w:rsidRDefault="00000000">
      <w:r>
        <w:t>Uniquement pour des éléments de petit volume (&lt; 0,25 m³) et moyennant l’approbation explicite de l'auteur de projet ou de l’ingénieur et en indiquant la composition exacte du béton, l’entrepreneur peut ponctuellement utiliser du béton fabriqué sur place.</w:t>
      </w:r>
    </w:p>
    <w:p w14:paraId="59437EE3" w14:textId="77777777" w:rsidR="00DB2B68" w:rsidRDefault="00000000">
      <w:r>
        <w:t>Le béton est défini par une composition à performances spécifiées conformément aux normes [NBN EN 206:2013+A2] et [NBN B 15-001].</w:t>
      </w:r>
    </w:p>
    <w:p w14:paraId="0D67AE1F" w14:textId="77777777" w:rsidR="00DB2B68" w:rsidRDefault="00000000">
      <w:r>
        <w:t>Cinq critères de base (A, B1, B2, C et D) sont précisés dans cette spécification des bétons en plus d’exigences complémentaires éventuelles (E1, E2) :</w:t>
      </w:r>
    </w:p>
    <w:p w14:paraId="5D8FA511" w14:textId="77777777" w:rsidR="00DB2B68" w:rsidRDefault="00000000">
      <w:pPr>
        <w:pStyle w:val="Author-eListParagraph"/>
        <w:numPr>
          <w:ilvl w:val="0"/>
          <w:numId w:val="322"/>
        </w:numPr>
      </w:pPr>
      <w:r>
        <w:t>A La classe de résistance à la compression</w:t>
      </w:r>
    </w:p>
    <w:p w14:paraId="6ABC53CA" w14:textId="77777777" w:rsidR="00DB2B68" w:rsidRDefault="00000000">
      <w:pPr>
        <w:pStyle w:val="Author-eListParagraph"/>
        <w:numPr>
          <w:ilvl w:val="0"/>
          <w:numId w:val="322"/>
        </w:numPr>
      </w:pPr>
      <w:r>
        <w:t>B1 Le domaine d’application</w:t>
      </w:r>
    </w:p>
    <w:p w14:paraId="55E76BAF" w14:textId="77777777" w:rsidR="00DB2B68" w:rsidRDefault="00000000">
      <w:pPr>
        <w:pStyle w:val="Author-eListParagraph"/>
        <w:numPr>
          <w:ilvl w:val="0"/>
          <w:numId w:val="322"/>
        </w:numPr>
      </w:pPr>
      <w:r>
        <w:t>B2 La ou les classes d'environnement</w:t>
      </w:r>
    </w:p>
    <w:p w14:paraId="2A1B09B8" w14:textId="77777777" w:rsidR="00DB2B68" w:rsidRDefault="00000000">
      <w:pPr>
        <w:pStyle w:val="Author-eListParagraph"/>
        <w:numPr>
          <w:ilvl w:val="0"/>
          <w:numId w:val="322"/>
        </w:numPr>
      </w:pPr>
      <w:r>
        <w:t>C La classe de consistance ou d’étalement</w:t>
      </w:r>
    </w:p>
    <w:p w14:paraId="6A5095F5" w14:textId="77777777" w:rsidR="00DB2B68" w:rsidRDefault="00000000">
      <w:pPr>
        <w:pStyle w:val="Author-eListParagraph"/>
        <w:numPr>
          <w:ilvl w:val="0"/>
          <w:numId w:val="322"/>
        </w:numPr>
      </w:pPr>
      <w:r>
        <w:t>D Le Dmax</w:t>
      </w:r>
    </w:p>
    <w:p w14:paraId="3095C819" w14:textId="77777777" w:rsidR="00DB2B68" w:rsidRDefault="00000000">
      <w:pPr>
        <w:pStyle w:val="Author-eListParagraph"/>
        <w:numPr>
          <w:ilvl w:val="0"/>
          <w:numId w:val="322"/>
        </w:numPr>
      </w:pPr>
      <w:r>
        <w:t>E1 Des exigences complémentaires propres au béton autoplaçant (classe d’écoulement, classe de résistance à la ségrégation, ...)</w:t>
      </w:r>
    </w:p>
    <w:p w14:paraId="7D2A36BA" w14:textId="77777777" w:rsidR="00DB2B68" w:rsidRDefault="00000000">
      <w:pPr>
        <w:pStyle w:val="Author-eListParagraph"/>
        <w:numPr>
          <w:ilvl w:val="0"/>
          <w:numId w:val="322"/>
        </w:numPr>
      </w:pPr>
      <w:r>
        <w:t>E2 Des exigences complémentaires relatives à la composition, au béton frais, à la mise en œuvre, au béton durci : type de ciment, classe d’absorption d’eau par immersion (WAI), pompabilité, teneur en chlorure, masse volumique…</w:t>
      </w:r>
    </w:p>
    <w:p w14:paraId="578280FE" w14:textId="77777777" w:rsidR="00DB2B68" w:rsidRDefault="00000000">
      <w:r>
        <w:rPr>
          <w:b/>
        </w:rPr>
        <w:t xml:space="preserve"> A. CLASSE DE RÉSISTANCE A LA COMPRESSION</w:t>
      </w:r>
    </w:p>
    <w:p w14:paraId="449B8131" w14:textId="77777777" w:rsidR="00DB2B68" w:rsidRDefault="00000000">
      <w:r>
        <w:t>Le choix de la classe de résistance dépend de la stabilité mais également du choix de la classe d’environnement. Une classe de résistance plus élevée que celle nécessaire à la stabilité peut être requise pour satisfaire les exigences liées à la classe d’environnement (voir tableaux F.1-ANB et F.3-ANB de la [NBN B 15-001] ou à la classe d’absorption d’eau par immersion.</w:t>
      </w:r>
    </w:p>
    <w:p w14:paraId="1CB80461" w14:textId="77777777" w:rsidR="00DB2B68" w:rsidRDefault="00000000">
      <w:r>
        <w:rPr>
          <w:b/>
        </w:rPr>
        <w:t>B1. DOMAINE D’APPLICATION.</w:t>
      </w:r>
    </w:p>
    <w:p w14:paraId="5A8CACF7" w14:textId="77777777" w:rsidR="00DB2B68" w:rsidRDefault="00000000">
      <w:r>
        <w:t>Béton non armé, béton armé, béton fibré ou béton précontraint.</w:t>
      </w:r>
    </w:p>
    <w:p w14:paraId="61D4749E" w14:textId="77777777" w:rsidR="00DB2B68" w:rsidRDefault="00000000">
      <w:r>
        <w:rPr>
          <w:b/>
        </w:rPr>
        <w:t>B2. CLASSE D'ENVIRONNEMENT.</w:t>
      </w:r>
    </w:p>
    <w:p w14:paraId="2E8AB907" w14:textId="77777777" w:rsidR="00DB2B68" w:rsidRDefault="00000000">
      <w:r>
        <w:t>La ou les classes d’environnement sont à sélectionner parmi celles reprises dans le tableau 1-ANB de la [NBN B 15-001].</w:t>
      </w:r>
    </w:p>
    <w:p w14:paraId="1AE8FD0A" w14:textId="77777777" w:rsidR="00DB2B68" w:rsidRDefault="00000000">
      <w:r>
        <w:rPr>
          <w:b/>
        </w:rPr>
        <w:lastRenderedPageBreak/>
        <w:t>C. CLASSE DE CONSISTANCE.</w:t>
      </w:r>
    </w:p>
    <w:p w14:paraId="774024A6" w14:textId="77777777" w:rsidR="00DB2B68" w:rsidRDefault="00000000">
      <w:r>
        <w:t>Sauf indications contraires dans les documents du marché, l'entrepreneur choisit une classe de consistance en fonction du type d’élément réalisé, d'une mise en œuvre idéale et d'un bon compactage du béton. Toutes les dispositions sont prises pour empêcher la ségrégation du béton. La consistance est déterminée en mesurant l'affaissement (S) ou l'étalement (F).</w:t>
      </w:r>
    </w:p>
    <w:tbl>
      <w:tblPr>
        <w:tblStyle w:val="Author-eTableGrid"/>
        <w:tblW w:w="0" w:type="auto"/>
        <w:tblLayout w:type="fixed"/>
        <w:tblLook w:val="04A0" w:firstRow="1" w:lastRow="0" w:firstColumn="1" w:lastColumn="0" w:noHBand="0" w:noVBand="1"/>
      </w:tblPr>
      <w:tblGrid>
        <w:gridCol w:w="3000"/>
        <w:gridCol w:w="3000"/>
        <w:gridCol w:w="3000"/>
      </w:tblGrid>
      <w:tr w:rsidR="00DB2B68" w14:paraId="6C1D4D91" w14:textId="77777777">
        <w:tc>
          <w:tcPr>
            <w:tcW w:w="3000" w:type="dxa"/>
            <w:noWrap/>
          </w:tcPr>
          <w:p w14:paraId="72CAE119" w14:textId="77777777" w:rsidR="00DB2B68" w:rsidRDefault="00000000">
            <w:r>
              <w:rPr>
                <w:b/>
              </w:rPr>
              <w:t>Béton</w:t>
            </w:r>
          </w:p>
        </w:tc>
        <w:tc>
          <w:tcPr>
            <w:tcW w:w="3000" w:type="dxa"/>
            <w:noWrap/>
          </w:tcPr>
          <w:p w14:paraId="6C2A7264" w14:textId="77777777" w:rsidR="00DB2B68" w:rsidRDefault="00000000">
            <w:r>
              <w:rPr>
                <w:b/>
              </w:rPr>
              <w:t>Mesure d'affaissement en mm</w:t>
            </w:r>
          </w:p>
        </w:tc>
        <w:tc>
          <w:tcPr>
            <w:tcW w:w="3000" w:type="dxa"/>
            <w:noWrap/>
          </w:tcPr>
          <w:p w14:paraId="33735F57" w14:textId="77777777" w:rsidR="00DB2B68" w:rsidRDefault="00000000">
            <w:r>
              <w:rPr>
                <w:b/>
              </w:rPr>
              <w:t>Etalement</w:t>
            </w:r>
          </w:p>
        </w:tc>
      </w:tr>
      <w:tr w:rsidR="00DB2B68" w14:paraId="33C2550B" w14:textId="77777777">
        <w:tc>
          <w:tcPr>
            <w:tcW w:w="3000" w:type="dxa"/>
            <w:noWrap/>
          </w:tcPr>
          <w:p w14:paraId="3B35A006" w14:textId="77777777" w:rsidR="00DB2B68" w:rsidRDefault="00DB2B68"/>
        </w:tc>
        <w:tc>
          <w:tcPr>
            <w:tcW w:w="3000" w:type="dxa"/>
            <w:noWrap/>
          </w:tcPr>
          <w:p w14:paraId="1348D2D6" w14:textId="77777777" w:rsidR="00DB2B68" w:rsidRDefault="00000000">
            <w:r>
              <w:rPr>
                <w:b/>
              </w:rPr>
              <w:t>cône d'Abrams</w:t>
            </w:r>
          </w:p>
        </w:tc>
        <w:tc>
          <w:tcPr>
            <w:tcW w:w="3000" w:type="dxa"/>
            <w:noWrap/>
          </w:tcPr>
          <w:p w14:paraId="6BCD083F" w14:textId="77777777" w:rsidR="00DB2B68" w:rsidRDefault="00000000">
            <w:r>
              <w:rPr>
                <w:b/>
              </w:rPr>
              <w:t>table à secousses (Flow)</w:t>
            </w:r>
          </w:p>
        </w:tc>
      </w:tr>
      <w:tr w:rsidR="00DB2B68" w14:paraId="07962DC2" w14:textId="77777777">
        <w:tc>
          <w:tcPr>
            <w:tcW w:w="3000" w:type="dxa"/>
            <w:noWrap/>
          </w:tcPr>
          <w:p w14:paraId="41456016" w14:textId="77777777" w:rsidR="00DB2B68" w:rsidRDefault="00000000">
            <w:r>
              <w:t>Naturellement humide</w:t>
            </w:r>
          </w:p>
        </w:tc>
        <w:tc>
          <w:tcPr>
            <w:tcW w:w="3000" w:type="dxa"/>
            <w:noWrap/>
          </w:tcPr>
          <w:p w14:paraId="1D8404B6" w14:textId="77777777" w:rsidR="00DB2B68" w:rsidRDefault="00000000">
            <w:r>
              <w:t>S1 (10 à 40 mm)</w:t>
            </w:r>
          </w:p>
        </w:tc>
        <w:tc>
          <w:tcPr>
            <w:tcW w:w="3000" w:type="dxa"/>
            <w:noWrap/>
          </w:tcPr>
          <w:p w14:paraId="6CB56FFD" w14:textId="77777777" w:rsidR="00DB2B68" w:rsidRDefault="00000000">
            <w:r>
              <w:t>F1 (&lt; 340 mm)</w:t>
            </w:r>
          </w:p>
        </w:tc>
      </w:tr>
      <w:tr w:rsidR="00DB2B68" w14:paraId="667F0822" w14:textId="77777777">
        <w:tc>
          <w:tcPr>
            <w:tcW w:w="3000" w:type="dxa"/>
            <w:noWrap/>
          </w:tcPr>
          <w:p w14:paraId="27660DDF" w14:textId="77777777" w:rsidR="00DB2B68" w:rsidRDefault="00000000">
            <w:r>
              <w:t>Semi-plastique</w:t>
            </w:r>
          </w:p>
        </w:tc>
        <w:tc>
          <w:tcPr>
            <w:tcW w:w="3000" w:type="dxa"/>
            <w:noWrap/>
          </w:tcPr>
          <w:p w14:paraId="112EE5CD" w14:textId="77777777" w:rsidR="00DB2B68" w:rsidRDefault="00000000">
            <w:r>
              <w:t>S2 (50 à 90 mm)</w:t>
            </w:r>
          </w:p>
        </w:tc>
        <w:tc>
          <w:tcPr>
            <w:tcW w:w="3000" w:type="dxa"/>
            <w:noWrap/>
          </w:tcPr>
          <w:p w14:paraId="4F32AF61" w14:textId="77777777" w:rsidR="00DB2B68" w:rsidRDefault="00000000">
            <w:r>
              <w:t>F2 (350 à 410 mm)</w:t>
            </w:r>
          </w:p>
        </w:tc>
      </w:tr>
      <w:tr w:rsidR="00DB2B68" w14:paraId="4CE800F4" w14:textId="77777777">
        <w:tc>
          <w:tcPr>
            <w:tcW w:w="3000" w:type="dxa"/>
            <w:noWrap/>
          </w:tcPr>
          <w:p w14:paraId="3267EFC5" w14:textId="77777777" w:rsidR="00DB2B68" w:rsidRDefault="00000000">
            <w:r>
              <w:t>Plastique</w:t>
            </w:r>
          </w:p>
        </w:tc>
        <w:tc>
          <w:tcPr>
            <w:tcW w:w="3000" w:type="dxa"/>
            <w:noWrap/>
          </w:tcPr>
          <w:p w14:paraId="5866363A" w14:textId="77777777" w:rsidR="00DB2B68" w:rsidRDefault="00000000">
            <w:r>
              <w:t>S3 (100 à 150 mm)</w:t>
            </w:r>
          </w:p>
        </w:tc>
        <w:tc>
          <w:tcPr>
            <w:tcW w:w="3000" w:type="dxa"/>
            <w:noWrap/>
          </w:tcPr>
          <w:p w14:paraId="643B2ADB" w14:textId="77777777" w:rsidR="00DB2B68" w:rsidRDefault="00000000">
            <w:r>
              <w:t>F3 (420 à 480 mm)</w:t>
            </w:r>
          </w:p>
        </w:tc>
      </w:tr>
      <w:tr w:rsidR="00DB2B68" w14:paraId="6BF27C18" w14:textId="77777777">
        <w:tc>
          <w:tcPr>
            <w:tcW w:w="3000" w:type="dxa"/>
            <w:noWrap/>
          </w:tcPr>
          <w:p w14:paraId="7B7971F8" w14:textId="77777777" w:rsidR="00DB2B68" w:rsidRDefault="00000000">
            <w:r>
              <w:t>Liquide</w:t>
            </w:r>
          </w:p>
        </w:tc>
        <w:tc>
          <w:tcPr>
            <w:tcW w:w="3000" w:type="dxa"/>
            <w:noWrap/>
          </w:tcPr>
          <w:p w14:paraId="7D16356B" w14:textId="77777777" w:rsidR="00DB2B68" w:rsidRDefault="00000000">
            <w:r>
              <w:t>S4 (160 à 210 mm)</w:t>
            </w:r>
          </w:p>
        </w:tc>
        <w:tc>
          <w:tcPr>
            <w:tcW w:w="3000" w:type="dxa"/>
            <w:noWrap/>
          </w:tcPr>
          <w:p w14:paraId="580C53AA" w14:textId="77777777" w:rsidR="00DB2B68" w:rsidRDefault="00000000">
            <w:r>
              <w:t>F4 (490 à 550 mm)</w:t>
            </w:r>
          </w:p>
        </w:tc>
      </w:tr>
      <w:tr w:rsidR="00DB2B68" w14:paraId="295B9BC5" w14:textId="77777777">
        <w:tc>
          <w:tcPr>
            <w:tcW w:w="3000" w:type="dxa"/>
            <w:noWrap/>
          </w:tcPr>
          <w:p w14:paraId="508F8EAB" w14:textId="77777777" w:rsidR="00DB2B68" w:rsidRDefault="00000000">
            <w:r>
              <w:t>Très liquide</w:t>
            </w:r>
          </w:p>
        </w:tc>
        <w:tc>
          <w:tcPr>
            <w:tcW w:w="3000" w:type="dxa"/>
            <w:noWrap/>
          </w:tcPr>
          <w:p w14:paraId="2E6109F8" w14:textId="77777777" w:rsidR="00DB2B68" w:rsidRDefault="00000000">
            <w:r>
              <w:t>S5 (≥ 220 mm)</w:t>
            </w:r>
          </w:p>
        </w:tc>
        <w:tc>
          <w:tcPr>
            <w:tcW w:w="3000" w:type="dxa"/>
            <w:noWrap/>
          </w:tcPr>
          <w:p w14:paraId="5BC82C62" w14:textId="77777777" w:rsidR="00DB2B68" w:rsidRDefault="00000000">
            <w:r>
              <w:t>F5 (560 à 620 mm)</w:t>
            </w:r>
          </w:p>
        </w:tc>
      </w:tr>
      <w:tr w:rsidR="00DB2B68" w14:paraId="6C976AEA" w14:textId="77777777">
        <w:tc>
          <w:tcPr>
            <w:tcW w:w="3000" w:type="dxa"/>
            <w:noWrap/>
          </w:tcPr>
          <w:p w14:paraId="3A73AB2F" w14:textId="77777777" w:rsidR="00DB2B68" w:rsidRDefault="00DB2B68"/>
        </w:tc>
        <w:tc>
          <w:tcPr>
            <w:tcW w:w="3000" w:type="dxa"/>
            <w:noWrap/>
          </w:tcPr>
          <w:p w14:paraId="027B0305" w14:textId="77777777" w:rsidR="00DB2B68" w:rsidRDefault="00DB2B68"/>
        </w:tc>
        <w:tc>
          <w:tcPr>
            <w:tcW w:w="3000" w:type="dxa"/>
            <w:noWrap/>
          </w:tcPr>
          <w:p w14:paraId="442F7B3B" w14:textId="77777777" w:rsidR="00DB2B68" w:rsidRDefault="00000000">
            <w:r>
              <w:t>F6 (≥ 630 mm)</w:t>
            </w:r>
          </w:p>
        </w:tc>
      </w:tr>
    </w:tbl>
    <w:p w14:paraId="07ED73BE" w14:textId="77777777" w:rsidR="00DB2B68" w:rsidRDefault="00DB2B68"/>
    <w:p w14:paraId="3B7E06AE" w14:textId="77777777" w:rsidR="00DB2B68" w:rsidRDefault="00000000">
      <w:r>
        <w:rPr>
          <w:b/>
        </w:rPr>
        <w:t>D. GRANULOMETRIE MAXIMALE</w:t>
      </w:r>
    </w:p>
    <w:p w14:paraId="6CD32610" w14:textId="77777777" w:rsidR="00DB2B68" w:rsidRDefault="00000000">
      <w:r>
        <w:t>Les gravillons (gros granulats) ont une granulométrie de 4 à 32 mm ; le sable contient un pourcentage suffisant de petites particules et donne une courbe granulométrique continue avec les gros granulats. Les courbes granulométriques sont transmises au maître de l’ouvrage à la demande de celui-ci.</w:t>
      </w:r>
    </w:p>
    <w:p w14:paraId="7B682061" w14:textId="77777777" w:rsidR="00DB2B68" w:rsidRDefault="00000000">
      <w:r>
        <w:t>La granulométrie maximale, "D</w:t>
      </w:r>
      <w:r>
        <w:rPr>
          <w:vertAlign w:val="subscript"/>
        </w:rPr>
        <w:t>max</w:t>
      </w:r>
      <w:r>
        <w:t>" (mm), est choisie conformément à l’annexe P de la [NBN B 15-001] pour permettre une mise en place et un compactage corrects, et dans la série ci-dessous :</w:t>
      </w:r>
    </w:p>
    <w:tbl>
      <w:tblPr>
        <w:tblStyle w:val="Author-eTableGrid"/>
        <w:tblW w:w="0" w:type="auto"/>
        <w:tblLayout w:type="fixed"/>
        <w:tblLook w:val="04A0" w:firstRow="1" w:lastRow="0" w:firstColumn="1" w:lastColumn="0" w:noHBand="0" w:noVBand="1"/>
      </w:tblPr>
      <w:tblGrid>
        <w:gridCol w:w="900"/>
        <w:gridCol w:w="900"/>
        <w:gridCol w:w="900"/>
        <w:gridCol w:w="900"/>
        <w:gridCol w:w="900"/>
        <w:gridCol w:w="900"/>
        <w:gridCol w:w="900"/>
        <w:gridCol w:w="900"/>
        <w:gridCol w:w="900"/>
        <w:gridCol w:w="900"/>
      </w:tblGrid>
      <w:tr w:rsidR="00DB2B68" w14:paraId="1B27F7DC" w14:textId="77777777">
        <w:tc>
          <w:tcPr>
            <w:tcW w:w="900" w:type="dxa"/>
            <w:noWrap/>
          </w:tcPr>
          <w:p w14:paraId="64AF3115" w14:textId="77777777" w:rsidR="00DB2B68" w:rsidRDefault="00000000">
            <w:r>
              <w:t>6 mm</w:t>
            </w:r>
          </w:p>
        </w:tc>
        <w:tc>
          <w:tcPr>
            <w:tcW w:w="900" w:type="dxa"/>
            <w:noWrap/>
          </w:tcPr>
          <w:p w14:paraId="2FFAD89C" w14:textId="77777777" w:rsidR="00DB2B68" w:rsidRDefault="00000000">
            <w:r>
              <w:t>8 mm</w:t>
            </w:r>
          </w:p>
        </w:tc>
        <w:tc>
          <w:tcPr>
            <w:tcW w:w="900" w:type="dxa"/>
            <w:noWrap/>
          </w:tcPr>
          <w:p w14:paraId="45549451" w14:textId="77777777" w:rsidR="00DB2B68" w:rsidRDefault="00000000">
            <w:r>
              <w:t>10 mm</w:t>
            </w:r>
          </w:p>
        </w:tc>
        <w:tc>
          <w:tcPr>
            <w:tcW w:w="900" w:type="dxa"/>
            <w:noWrap/>
          </w:tcPr>
          <w:p w14:paraId="58CAB161" w14:textId="77777777" w:rsidR="00DB2B68" w:rsidRDefault="00000000">
            <w:r>
              <w:t>11 mm</w:t>
            </w:r>
          </w:p>
        </w:tc>
        <w:tc>
          <w:tcPr>
            <w:tcW w:w="900" w:type="dxa"/>
            <w:noWrap/>
          </w:tcPr>
          <w:p w14:paraId="7303BACA" w14:textId="77777777" w:rsidR="00DB2B68" w:rsidRDefault="00000000">
            <w:r>
              <w:t>12 mm</w:t>
            </w:r>
          </w:p>
        </w:tc>
        <w:tc>
          <w:tcPr>
            <w:tcW w:w="900" w:type="dxa"/>
            <w:noWrap/>
          </w:tcPr>
          <w:p w14:paraId="7121CE71" w14:textId="77777777" w:rsidR="00DB2B68" w:rsidRDefault="00000000">
            <w:r>
              <w:t>14 mm</w:t>
            </w:r>
          </w:p>
        </w:tc>
        <w:tc>
          <w:tcPr>
            <w:tcW w:w="900" w:type="dxa"/>
            <w:noWrap/>
          </w:tcPr>
          <w:p w14:paraId="38F9B704" w14:textId="77777777" w:rsidR="00DB2B68" w:rsidRDefault="00000000">
            <w:r>
              <w:t>16 mm</w:t>
            </w:r>
          </w:p>
        </w:tc>
        <w:tc>
          <w:tcPr>
            <w:tcW w:w="900" w:type="dxa"/>
            <w:noWrap/>
          </w:tcPr>
          <w:p w14:paraId="5EEEF8EE" w14:textId="77777777" w:rsidR="00DB2B68" w:rsidRDefault="00000000">
            <w:r>
              <w:t>20 mm</w:t>
            </w:r>
          </w:p>
        </w:tc>
        <w:tc>
          <w:tcPr>
            <w:tcW w:w="900" w:type="dxa"/>
            <w:noWrap/>
          </w:tcPr>
          <w:p w14:paraId="10D0B28F" w14:textId="77777777" w:rsidR="00DB2B68" w:rsidRDefault="00000000">
            <w:r>
              <w:t>22 mm</w:t>
            </w:r>
          </w:p>
        </w:tc>
        <w:tc>
          <w:tcPr>
            <w:tcW w:w="900" w:type="dxa"/>
            <w:noWrap/>
          </w:tcPr>
          <w:p w14:paraId="315EC13C" w14:textId="77777777" w:rsidR="00DB2B68" w:rsidRDefault="00000000">
            <w:r>
              <w:t>32 mm</w:t>
            </w:r>
          </w:p>
        </w:tc>
      </w:tr>
    </w:tbl>
    <w:p w14:paraId="675C7D53" w14:textId="77777777" w:rsidR="00DB2B68" w:rsidRDefault="00000000">
      <w:r>
        <w:t>Attention</w:t>
      </w:r>
      <w:r>
        <w:br/>
        <w:t>• La norme [NBN EN 12620+A1] autorise un excès jusqu'à 15 % de pierres supérieures à "D" nominal.</w:t>
      </w:r>
    </w:p>
    <w:p w14:paraId="6240C127" w14:textId="77777777" w:rsidR="00DB2B68" w:rsidRDefault="00000000">
      <w:r>
        <w:rPr>
          <w:b/>
        </w:rPr>
        <w:t>E1. EXIGENCES PROPRES AU BETON AUTO-PLACANT</w:t>
      </w:r>
    </w:p>
    <w:p w14:paraId="693ED380" w14:textId="77777777" w:rsidR="00DB2B68" w:rsidRDefault="00000000">
      <w:r>
        <w:t>Le béton autoplaçant est classé en fonction de son aptitude à l’étalement au cône d’Abrams, de sa viscosité apparente, et de sa résistance à la ségrégation (essai de stabilité au tamis).</w:t>
      </w:r>
    </w:p>
    <w:tbl>
      <w:tblPr>
        <w:tblStyle w:val="Author-eTableGrid"/>
        <w:tblW w:w="0" w:type="auto"/>
        <w:tblLayout w:type="fixed"/>
        <w:tblLook w:val="04A0" w:firstRow="1" w:lastRow="0" w:firstColumn="1" w:lastColumn="0" w:noHBand="0" w:noVBand="1"/>
      </w:tblPr>
      <w:tblGrid>
        <w:gridCol w:w="4515"/>
        <w:gridCol w:w="4515"/>
      </w:tblGrid>
      <w:tr w:rsidR="00DB2B68" w14:paraId="72A9A2CD" w14:textId="77777777">
        <w:tc>
          <w:tcPr>
            <w:tcW w:w="4515" w:type="dxa"/>
            <w:noWrap/>
          </w:tcPr>
          <w:p w14:paraId="2A44C9A4" w14:textId="77777777" w:rsidR="00DB2B68" w:rsidRDefault="00000000">
            <w:pPr>
              <w:jc w:val="center"/>
            </w:pPr>
            <w:r>
              <w:rPr>
                <w:b/>
              </w:rPr>
              <w:t xml:space="preserve">Classe </w:t>
            </w:r>
          </w:p>
        </w:tc>
        <w:tc>
          <w:tcPr>
            <w:tcW w:w="4515" w:type="dxa"/>
            <w:noWrap/>
          </w:tcPr>
          <w:p w14:paraId="2BF860E3" w14:textId="77777777" w:rsidR="00DB2B68" w:rsidRDefault="00000000">
            <w:pPr>
              <w:jc w:val="center"/>
            </w:pPr>
            <w:r>
              <w:rPr>
                <w:b/>
              </w:rPr>
              <w:t>Etalement au cône d’Abrams</w:t>
            </w:r>
          </w:p>
        </w:tc>
      </w:tr>
      <w:tr w:rsidR="00DB2B68" w14:paraId="7810C8A7" w14:textId="77777777">
        <w:tc>
          <w:tcPr>
            <w:tcW w:w="4515" w:type="dxa"/>
            <w:noWrap/>
          </w:tcPr>
          <w:p w14:paraId="70D79778" w14:textId="77777777" w:rsidR="00DB2B68" w:rsidRDefault="00000000">
            <w:pPr>
              <w:jc w:val="center"/>
            </w:pPr>
            <w:r>
              <w:t>SF1</w:t>
            </w:r>
          </w:p>
        </w:tc>
        <w:tc>
          <w:tcPr>
            <w:tcW w:w="4515" w:type="dxa"/>
            <w:noWrap/>
          </w:tcPr>
          <w:p w14:paraId="19DAC052" w14:textId="77777777" w:rsidR="00DB2B68" w:rsidRDefault="00000000">
            <w:pPr>
              <w:jc w:val="center"/>
            </w:pPr>
            <w:r>
              <w:t>550 à 650 mm</w:t>
            </w:r>
          </w:p>
        </w:tc>
      </w:tr>
      <w:tr w:rsidR="00DB2B68" w14:paraId="66BF6C7D" w14:textId="77777777">
        <w:tc>
          <w:tcPr>
            <w:tcW w:w="4515" w:type="dxa"/>
            <w:noWrap/>
          </w:tcPr>
          <w:p w14:paraId="36EE97B8" w14:textId="77777777" w:rsidR="00DB2B68" w:rsidRDefault="00000000">
            <w:pPr>
              <w:jc w:val="center"/>
            </w:pPr>
            <w:r>
              <w:t>SF2</w:t>
            </w:r>
          </w:p>
        </w:tc>
        <w:tc>
          <w:tcPr>
            <w:tcW w:w="4515" w:type="dxa"/>
            <w:noWrap/>
          </w:tcPr>
          <w:p w14:paraId="7A3F3ACB" w14:textId="77777777" w:rsidR="00DB2B68" w:rsidRDefault="00000000">
            <w:pPr>
              <w:jc w:val="center"/>
            </w:pPr>
            <w:r>
              <w:t>660 à 770 mm</w:t>
            </w:r>
          </w:p>
        </w:tc>
      </w:tr>
      <w:tr w:rsidR="00DB2B68" w14:paraId="01B15DE3" w14:textId="77777777">
        <w:tc>
          <w:tcPr>
            <w:tcW w:w="4515" w:type="dxa"/>
            <w:noWrap/>
          </w:tcPr>
          <w:p w14:paraId="58B1E33B" w14:textId="77777777" w:rsidR="00DB2B68" w:rsidRDefault="00000000">
            <w:pPr>
              <w:jc w:val="center"/>
            </w:pPr>
            <w:r>
              <w:t>SF3</w:t>
            </w:r>
          </w:p>
        </w:tc>
        <w:tc>
          <w:tcPr>
            <w:tcW w:w="4515" w:type="dxa"/>
            <w:noWrap/>
          </w:tcPr>
          <w:p w14:paraId="3B6736E2" w14:textId="77777777" w:rsidR="00DB2B68" w:rsidRDefault="00000000">
            <w:pPr>
              <w:jc w:val="center"/>
            </w:pPr>
            <w:r>
              <w:t>760 à 850 mm</w:t>
            </w:r>
          </w:p>
        </w:tc>
      </w:tr>
      <w:tr w:rsidR="00DB2B68" w14:paraId="137ACC83" w14:textId="77777777">
        <w:tc>
          <w:tcPr>
            <w:tcW w:w="9030" w:type="dxa"/>
            <w:gridSpan w:val="2"/>
            <w:noWrap/>
          </w:tcPr>
          <w:p w14:paraId="0C6B8284" w14:textId="77777777" w:rsidR="00DB2B68" w:rsidRDefault="00000000">
            <w:pPr>
              <w:jc w:val="center"/>
            </w:pPr>
            <w:r>
              <w:t>NB : La classification n’est pas applicable aux bétons dont D</w:t>
            </w:r>
            <w:r>
              <w:rPr>
                <w:vertAlign w:val="subscript"/>
              </w:rPr>
              <w:t>max</w:t>
            </w:r>
            <w:r>
              <w:t xml:space="preserve"> excède 40 mm.</w:t>
            </w:r>
          </w:p>
        </w:tc>
      </w:tr>
      <w:tr w:rsidR="00DB2B68" w14:paraId="6F73C06B" w14:textId="77777777">
        <w:tc>
          <w:tcPr>
            <w:tcW w:w="4515" w:type="dxa"/>
            <w:noWrap/>
          </w:tcPr>
          <w:p w14:paraId="69047DCB" w14:textId="77777777" w:rsidR="00DB2B68" w:rsidRDefault="00000000">
            <w:pPr>
              <w:jc w:val="center"/>
            </w:pPr>
            <w:r>
              <w:rPr>
                <w:b/>
              </w:rPr>
              <w:t xml:space="preserve">Classe </w:t>
            </w:r>
          </w:p>
        </w:tc>
        <w:tc>
          <w:tcPr>
            <w:tcW w:w="4515" w:type="dxa"/>
            <w:noWrap/>
          </w:tcPr>
          <w:p w14:paraId="6C5AB8E3" w14:textId="77777777" w:rsidR="00DB2B68" w:rsidRDefault="00000000">
            <w:pPr>
              <w:jc w:val="center"/>
            </w:pPr>
            <w:r>
              <w:rPr>
                <w:b/>
              </w:rPr>
              <w:t>Classes de viscosité apparente</w:t>
            </w:r>
          </w:p>
        </w:tc>
      </w:tr>
      <w:tr w:rsidR="00DB2B68" w14:paraId="6DF4BA26" w14:textId="77777777">
        <w:tc>
          <w:tcPr>
            <w:tcW w:w="4515" w:type="dxa"/>
            <w:noWrap/>
          </w:tcPr>
          <w:p w14:paraId="46A9AEB3" w14:textId="77777777" w:rsidR="00DB2B68" w:rsidRDefault="00000000">
            <w:pPr>
              <w:jc w:val="center"/>
            </w:pPr>
            <w:r>
              <w:t>VF1</w:t>
            </w:r>
          </w:p>
        </w:tc>
        <w:tc>
          <w:tcPr>
            <w:tcW w:w="4515" w:type="dxa"/>
            <w:noWrap/>
          </w:tcPr>
          <w:p w14:paraId="769FDD2B" w14:textId="77777777" w:rsidR="00DB2B68" w:rsidRDefault="00000000">
            <w:pPr>
              <w:jc w:val="center"/>
            </w:pPr>
            <w:r>
              <w:t>t</w:t>
            </w:r>
            <w:r>
              <w:rPr>
                <w:vertAlign w:val="subscript"/>
              </w:rPr>
              <w:t>v</w:t>
            </w:r>
            <w:r>
              <w:t xml:space="preserve"> &lt; 9 s</w:t>
            </w:r>
          </w:p>
        </w:tc>
      </w:tr>
      <w:tr w:rsidR="00DB2B68" w14:paraId="4CB39B8C" w14:textId="77777777">
        <w:tc>
          <w:tcPr>
            <w:tcW w:w="4515" w:type="dxa"/>
            <w:noWrap/>
          </w:tcPr>
          <w:p w14:paraId="609623A3" w14:textId="77777777" w:rsidR="00DB2B68" w:rsidRDefault="00000000">
            <w:pPr>
              <w:jc w:val="center"/>
            </w:pPr>
            <w:r>
              <w:t>VF2</w:t>
            </w:r>
          </w:p>
        </w:tc>
        <w:tc>
          <w:tcPr>
            <w:tcW w:w="4515" w:type="dxa"/>
            <w:noWrap/>
          </w:tcPr>
          <w:p w14:paraId="7AE20A57" w14:textId="77777777" w:rsidR="00DB2B68" w:rsidRDefault="00000000">
            <w:pPr>
              <w:jc w:val="center"/>
            </w:pPr>
            <w:r>
              <w:t>9 &lt; t</w:t>
            </w:r>
            <w:r>
              <w:rPr>
                <w:vertAlign w:val="subscript"/>
              </w:rPr>
              <w:t>v</w:t>
            </w:r>
            <w:r>
              <w:t xml:space="preserve"> &lt; 25 s</w:t>
            </w:r>
          </w:p>
        </w:tc>
      </w:tr>
      <w:tr w:rsidR="00DB2B68" w14:paraId="758542DE" w14:textId="77777777">
        <w:tc>
          <w:tcPr>
            <w:tcW w:w="9030" w:type="dxa"/>
            <w:gridSpan w:val="2"/>
            <w:noWrap/>
          </w:tcPr>
          <w:p w14:paraId="21633216" w14:textId="77777777" w:rsidR="00DB2B68" w:rsidRDefault="00000000">
            <w:pPr>
              <w:jc w:val="center"/>
            </w:pPr>
            <w:r>
              <w:t>NB : La classification n’est pas applicable aux bétons dont D</w:t>
            </w:r>
            <w:r>
              <w:rPr>
                <w:vertAlign w:val="subscript"/>
              </w:rPr>
              <w:t>max</w:t>
            </w:r>
            <w:r>
              <w:t xml:space="preserve"> excède 22,4 mm.</w:t>
            </w:r>
          </w:p>
        </w:tc>
      </w:tr>
      <w:tr w:rsidR="00DB2B68" w14:paraId="5625DF8D" w14:textId="77777777">
        <w:tc>
          <w:tcPr>
            <w:tcW w:w="4515" w:type="dxa"/>
            <w:noWrap/>
          </w:tcPr>
          <w:p w14:paraId="1463266D" w14:textId="77777777" w:rsidR="00DB2B68" w:rsidRDefault="00000000">
            <w:pPr>
              <w:jc w:val="center"/>
            </w:pPr>
            <w:r>
              <w:rPr>
                <w:b/>
              </w:rPr>
              <w:t xml:space="preserve">Classe </w:t>
            </w:r>
          </w:p>
        </w:tc>
        <w:tc>
          <w:tcPr>
            <w:tcW w:w="4515" w:type="dxa"/>
            <w:noWrap/>
          </w:tcPr>
          <w:p w14:paraId="3AC5ED1A" w14:textId="77777777" w:rsidR="00DB2B68" w:rsidRDefault="00000000">
            <w:pPr>
              <w:jc w:val="center"/>
            </w:pPr>
            <w:r>
              <w:rPr>
                <w:b/>
              </w:rPr>
              <w:t>Classes de résistance à la ségrégation</w:t>
            </w:r>
          </w:p>
        </w:tc>
      </w:tr>
      <w:tr w:rsidR="00DB2B68" w14:paraId="05F8E0B3" w14:textId="77777777">
        <w:tc>
          <w:tcPr>
            <w:tcW w:w="4515" w:type="dxa"/>
            <w:noWrap/>
          </w:tcPr>
          <w:p w14:paraId="05FE0DA7" w14:textId="77777777" w:rsidR="00DB2B68" w:rsidRDefault="00000000">
            <w:pPr>
              <w:jc w:val="center"/>
            </w:pPr>
            <w:r>
              <w:t>SR1</w:t>
            </w:r>
          </w:p>
        </w:tc>
        <w:tc>
          <w:tcPr>
            <w:tcW w:w="4515" w:type="dxa"/>
            <w:noWrap/>
          </w:tcPr>
          <w:p w14:paraId="7E5E6295" w14:textId="77777777" w:rsidR="00DB2B68" w:rsidRDefault="00000000">
            <w:pPr>
              <w:jc w:val="center"/>
            </w:pPr>
            <w:r>
              <w:t>≤ 20 %</w:t>
            </w:r>
          </w:p>
        </w:tc>
      </w:tr>
      <w:tr w:rsidR="00DB2B68" w14:paraId="7050B03F" w14:textId="77777777">
        <w:tc>
          <w:tcPr>
            <w:tcW w:w="4515" w:type="dxa"/>
            <w:noWrap/>
          </w:tcPr>
          <w:p w14:paraId="37D0DC2A" w14:textId="77777777" w:rsidR="00DB2B68" w:rsidRDefault="00000000">
            <w:pPr>
              <w:jc w:val="center"/>
            </w:pPr>
            <w:r>
              <w:t>SR2</w:t>
            </w:r>
          </w:p>
        </w:tc>
        <w:tc>
          <w:tcPr>
            <w:tcW w:w="4515" w:type="dxa"/>
            <w:noWrap/>
          </w:tcPr>
          <w:p w14:paraId="629B0661" w14:textId="77777777" w:rsidR="00DB2B68" w:rsidRDefault="00000000">
            <w:pPr>
              <w:jc w:val="center"/>
            </w:pPr>
            <w:r>
              <w:t>≤ 15 %</w:t>
            </w:r>
          </w:p>
        </w:tc>
      </w:tr>
      <w:tr w:rsidR="00DB2B68" w14:paraId="548A4C3E" w14:textId="77777777">
        <w:tc>
          <w:tcPr>
            <w:tcW w:w="9030" w:type="dxa"/>
            <w:gridSpan w:val="2"/>
            <w:noWrap/>
          </w:tcPr>
          <w:p w14:paraId="62864823" w14:textId="77777777" w:rsidR="00DB2B68" w:rsidRDefault="00000000">
            <w:pPr>
              <w:jc w:val="center"/>
            </w:pPr>
            <w:r>
              <w:t>NB : La classification n’est pas applicable aux bétons dont D</w:t>
            </w:r>
            <w:r>
              <w:rPr>
                <w:vertAlign w:val="subscript"/>
              </w:rPr>
              <w:t>max</w:t>
            </w:r>
            <w:r>
              <w:t xml:space="preserve"> excède 40 mm.</w:t>
            </w:r>
          </w:p>
        </w:tc>
      </w:tr>
    </w:tbl>
    <w:p w14:paraId="589BC515" w14:textId="77777777" w:rsidR="00DB2B68" w:rsidRDefault="00DB2B68"/>
    <w:p w14:paraId="6AE4994F" w14:textId="77777777" w:rsidR="00DB2B68" w:rsidRDefault="00000000">
      <w:r>
        <w:rPr>
          <w:b/>
        </w:rPr>
        <w:t>E2. EXIGENCES COMPLEMENTAIRES.</w:t>
      </w:r>
    </w:p>
    <w:p w14:paraId="5EDA4E01" w14:textId="77777777" w:rsidR="00DB2B68" w:rsidRDefault="00000000">
      <w:pPr>
        <w:pStyle w:val="Author-eListParagraph"/>
        <w:numPr>
          <w:ilvl w:val="0"/>
          <w:numId w:val="323"/>
        </w:numPr>
      </w:pPr>
      <w:r>
        <w:t>le type de ciment SR, HSR, Low Heat et/ou LA,</w:t>
      </w:r>
    </w:p>
    <w:p w14:paraId="77EF6230" w14:textId="77777777" w:rsidR="00DB2B68" w:rsidRDefault="00000000">
      <w:pPr>
        <w:pStyle w:val="Author-eListParagraph"/>
        <w:numPr>
          <w:ilvl w:val="0"/>
          <w:numId w:val="323"/>
        </w:numPr>
      </w:pPr>
      <w:r>
        <w:lastRenderedPageBreak/>
        <w:t>des exigences pour la granulométrie (entre autres conseillée pour les sols industriels, voir [NIT 267]),</w:t>
      </w:r>
    </w:p>
    <w:p w14:paraId="3596C5DF" w14:textId="77777777" w:rsidR="00DB2B68" w:rsidRDefault="00000000">
      <w:pPr>
        <w:pStyle w:val="Author-eListParagraph"/>
        <w:numPr>
          <w:ilvl w:val="0"/>
          <w:numId w:val="323"/>
        </w:numPr>
      </w:pPr>
      <w:r>
        <w:t>la classe d’absorption d’eau par immersion WAI,</w:t>
      </w:r>
    </w:p>
    <w:p w14:paraId="7431CE5B" w14:textId="77777777" w:rsidR="00DB2B68" w:rsidRDefault="00000000">
      <w:pPr>
        <w:pStyle w:val="Author-eListParagraph"/>
        <w:numPr>
          <w:ilvl w:val="0"/>
          <w:numId w:val="323"/>
        </w:numPr>
      </w:pPr>
      <w:r>
        <w:t>la teneur en chlorure</w:t>
      </w:r>
    </w:p>
    <w:p w14:paraId="35C66ACD" w14:textId="77777777" w:rsidR="00DB2B68" w:rsidRDefault="00000000">
      <w:pPr>
        <w:pStyle w:val="Author-eListParagraph"/>
        <w:numPr>
          <w:ilvl w:val="0"/>
          <w:numId w:val="323"/>
        </w:numPr>
      </w:pPr>
      <w:r>
        <w:t>la masse volumique</w:t>
      </w:r>
    </w:p>
    <w:p w14:paraId="17FC0A20" w14:textId="77777777" w:rsidR="00DB2B68" w:rsidRDefault="00000000">
      <w:pPr>
        <w:pStyle w:val="Author-eListParagraph"/>
        <w:numPr>
          <w:ilvl w:val="0"/>
          <w:numId w:val="323"/>
        </w:numPr>
      </w:pPr>
      <w:r>
        <w:t>la teinte</w:t>
      </w:r>
    </w:p>
    <w:p w14:paraId="3B1D2453" w14:textId="77777777" w:rsidR="00DB2B68" w:rsidRDefault="00000000">
      <w:pPr>
        <w:pStyle w:val="Author-eListParagraph"/>
        <w:numPr>
          <w:ilvl w:val="0"/>
          <w:numId w:val="323"/>
        </w:numPr>
      </w:pPr>
      <w:r>
        <w:t>...</w:t>
      </w:r>
    </w:p>
    <w:p w14:paraId="68074E8E" w14:textId="77777777" w:rsidR="00DB2B68" w:rsidRDefault="00000000">
      <w:r>
        <w:t>Parmi les exigences complémentaires à spécifier lors de la commande, si un ouvrage étanche est prescrit, il y a lieu de spécifier un béton T(0.50) ou T(0.45) et éventuellement une classe d’absorption d’eau limitée respectivement WAI (0,50) ou WAI (0,45). Voir [NIT 247].</w:t>
      </w:r>
    </w:p>
    <w:p w14:paraId="7B5D8595" w14:textId="77777777" w:rsidR="00DB2B68" w:rsidRDefault="00000000">
      <w:r>
        <w:rPr>
          <w:rStyle w:val="headingChar"/>
        </w:rPr>
        <w:t>Prescriptions Complémentaires Pour La Qualité Du Béton Apparent Avec Des Exigences Esthétiques Coulé En Place</w:t>
      </w:r>
    </w:p>
    <w:p w14:paraId="4DDAA9D4" w14:textId="77777777" w:rsidR="00DB2B68" w:rsidRDefault="00000000">
      <w:r>
        <w:t>En plus des critères et exigences propres au béton coulé en place, les éléments suivants sont d’application pour le béton apparent avec des exigences esthétiques :</w:t>
      </w:r>
    </w:p>
    <w:p w14:paraId="58B1F7DD" w14:textId="77777777" w:rsidR="00DB2B68" w:rsidRDefault="00000000">
      <w:pPr>
        <w:pStyle w:val="Author-eListParagraph"/>
        <w:numPr>
          <w:ilvl w:val="0"/>
          <w:numId w:val="324"/>
        </w:numPr>
      </w:pPr>
      <w:r>
        <w:t>le facteur eau-ciment est le plus bas possible;</w:t>
      </w:r>
    </w:p>
    <w:p w14:paraId="3E7ECEEC" w14:textId="77777777" w:rsidR="00DB2B68" w:rsidRDefault="00000000">
      <w:pPr>
        <w:pStyle w:val="Author-eListParagraph"/>
        <w:numPr>
          <w:ilvl w:val="0"/>
          <w:numId w:val="324"/>
        </w:numPr>
      </w:pPr>
      <w:r>
        <w:t>le type de ciment à utiliser est compatible avec l’aspect esthétique recherché ;</w:t>
      </w:r>
    </w:p>
    <w:p w14:paraId="21D51452" w14:textId="77777777" w:rsidR="00DB2B68" w:rsidRDefault="00000000">
      <w:pPr>
        <w:pStyle w:val="Author-eListParagraph"/>
        <w:numPr>
          <w:ilvl w:val="0"/>
          <w:numId w:val="324"/>
        </w:numPr>
      </w:pPr>
      <w:r>
        <w:t>le choix des granulats est adapté à l’aspect esthétique recherché.</w:t>
      </w:r>
    </w:p>
    <w:p w14:paraId="06794670" w14:textId="77777777" w:rsidR="00DB2B68" w:rsidRDefault="00000000">
      <w:r>
        <w:rPr>
          <w:rStyle w:val="headingChar"/>
        </w:rPr>
        <w:t>Qualité Du Béton Pour Éléments Préfabriqués</w:t>
      </w:r>
    </w:p>
    <w:p w14:paraId="758FF673" w14:textId="77777777" w:rsidR="00DB2B68" w:rsidRDefault="00000000">
      <w:r>
        <w:t>Le mélange utilisé pour la fabrication des éléments préfabriqués satisfait aux exigences des normes produits, éventuellement complétées par des prescriptions particulières.</w:t>
      </w:r>
    </w:p>
    <w:p w14:paraId="2EEE89B9" w14:textId="77777777" w:rsidR="00DB2B68" w:rsidRDefault="00000000">
      <w:r>
        <w:t>Le béton est défini par une composition à performances spécifiées conformément aux normes produits ou aux normes [NBN EN 13369] et [NBN B 21-600].</w:t>
      </w:r>
    </w:p>
    <w:p w14:paraId="10264012" w14:textId="77777777" w:rsidR="00DB2B68" w:rsidRDefault="00000000">
      <w:r>
        <w:t>Trois critères de base (A, B1, B2) sont à spécifier pour ce type d’ouvrage en plus d’exigences complémentaires éventuelles (C, D, E1 et E2):</w:t>
      </w:r>
    </w:p>
    <w:p w14:paraId="2674BF6B" w14:textId="77777777" w:rsidR="00DB2B68" w:rsidRDefault="00000000">
      <w:pPr>
        <w:pStyle w:val="Author-eListParagraph"/>
        <w:numPr>
          <w:ilvl w:val="0"/>
          <w:numId w:val="325"/>
        </w:numPr>
      </w:pPr>
      <w:r>
        <w:t>A La classe de résistance à la compression</w:t>
      </w:r>
    </w:p>
    <w:p w14:paraId="67E02D48" w14:textId="77777777" w:rsidR="00DB2B68" w:rsidRDefault="00000000">
      <w:pPr>
        <w:pStyle w:val="Author-eListParagraph"/>
        <w:numPr>
          <w:ilvl w:val="0"/>
          <w:numId w:val="325"/>
        </w:numPr>
      </w:pPr>
      <w:r>
        <w:t>B1 Le domaine d’application</w:t>
      </w:r>
    </w:p>
    <w:p w14:paraId="1E3612F4" w14:textId="77777777" w:rsidR="00DB2B68" w:rsidRDefault="00000000">
      <w:pPr>
        <w:pStyle w:val="Author-eListParagraph"/>
        <w:numPr>
          <w:ilvl w:val="0"/>
          <w:numId w:val="325"/>
        </w:numPr>
      </w:pPr>
      <w:r>
        <w:t>B2 La ou les classes d'environnement</w:t>
      </w:r>
    </w:p>
    <w:p w14:paraId="1B81CE6B" w14:textId="77777777" w:rsidR="00DB2B68" w:rsidRDefault="00000000">
      <w:r>
        <w:t>Exigences complémentaires :</w:t>
      </w:r>
    </w:p>
    <w:p w14:paraId="5DD8A60D" w14:textId="77777777" w:rsidR="00DB2B68" w:rsidRDefault="00000000">
      <w:r>
        <w:t>D Le Dmax</w:t>
      </w:r>
    </w:p>
    <w:p w14:paraId="5B672FFD" w14:textId="77777777" w:rsidR="00DB2B68" w:rsidRDefault="00000000">
      <w:r>
        <w:t>E1 Des exigences complémentaires propres au béton autoplaçant (classe d’écoulement, classe de résistance à la ségrégation, ..)</w:t>
      </w:r>
    </w:p>
    <w:p w14:paraId="20A8F300" w14:textId="77777777" w:rsidR="00DB2B68" w:rsidRDefault="00000000">
      <w:r>
        <w:t>E2 Des exigences complémentaires relatives à la composition, au béton frais, à la mise en œuvre, au béton durci : type de ciment, classe d’absorption d’eau par immersion (WAI), masse volumique, teinte, finition de surface, granulométrie, …</w:t>
      </w:r>
    </w:p>
    <w:p w14:paraId="0C7F04AB" w14:textId="77777777" w:rsidR="00DB2B68" w:rsidRDefault="00000000">
      <w:r>
        <w:rPr>
          <w:b/>
        </w:rPr>
        <w:t>A. CLASSE DE RÉSISTANCE</w:t>
      </w:r>
    </w:p>
    <w:p w14:paraId="7FE2DA66" w14:textId="77777777" w:rsidR="00DB2B68" w:rsidRDefault="00000000">
      <w:r>
        <w:t>Le choix de la classe de résistance dépend de la stabilité mais également du choix de la classe d’environnement. Une classe de résistance plus élevée que celle nécessaire à la stabilité peut être requise pour satisfaire les exigences liées à la classe d’environnement (voir tableaux P2 et P3 de la [NBN B 21-600]) ou à la classe d’absorption d’eau par immersion (WAI).</w:t>
      </w:r>
    </w:p>
    <w:p w14:paraId="3CE189CB" w14:textId="77777777" w:rsidR="00DB2B68" w:rsidRDefault="00000000">
      <w:r>
        <w:rPr>
          <w:b/>
        </w:rPr>
        <w:t>B1. DOMAINE D’APPLICATION.</w:t>
      </w:r>
    </w:p>
    <w:p w14:paraId="33700BA3" w14:textId="77777777" w:rsidR="00DB2B68" w:rsidRDefault="00000000">
      <w:r>
        <w:t>Béton non armé, béton armé, béton fibré ou béton précontraint.</w:t>
      </w:r>
    </w:p>
    <w:p w14:paraId="6C7B2C5A" w14:textId="77777777" w:rsidR="00DB2B68" w:rsidRDefault="00000000">
      <w:r>
        <w:rPr>
          <w:b/>
        </w:rPr>
        <w:t>B2. CLASSE D'ENVIRONNEMENT.</w:t>
      </w:r>
    </w:p>
    <w:p w14:paraId="4C61651E" w14:textId="77777777" w:rsidR="00DB2B68" w:rsidRDefault="00000000">
      <w:r>
        <w:t>La ou les classes d’environnement sont à sélectionner parmi celles reprises dans le tableau 1-ANB de la [NBN B 15-001].</w:t>
      </w:r>
    </w:p>
    <w:p w14:paraId="4F710371" w14:textId="77777777" w:rsidR="00DB2B68" w:rsidRDefault="00000000">
      <w:r>
        <w:rPr>
          <w:b/>
        </w:rPr>
        <w:t>C. CLASSE DE CONSISTANCE.</w:t>
      </w:r>
    </w:p>
    <w:p w14:paraId="3D9DF432" w14:textId="77777777" w:rsidR="00DB2B68" w:rsidRDefault="00000000">
      <w:r>
        <w:lastRenderedPageBreak/>
        <w:t>Sauf indications contraires dans les documents du marché, le fabricant choisit une classe de consistance en fonction du type d’élément réalisé.</w:t>
      </w:r>
    </w:p>
    <w:p w14:paraId="6FADFC73" w14:textId="77777777" w:rsidR="00DB2B68" w:rsidRDefault="00000000">
      <w:r>
        <w:rPr>
          <w:b/>
        </w:rPr>
        <w:t>D. GRANULOMETRIE MAXIMALE</w:t>
      </w:r>
    </w:p>
    <w:p w14:paraId="00BAC343" w14:textId="77777777" w:rsidR="00DB2B68" w:rsidRDefault="00000000">
      <w:r>
        <w:t>La granulométrie maximale, "D" maximum (mm), est choisie conformément aux normes produits ou à la norme [NBN EN 13369] et [NBN B 21-600] ou à l’annexe P de la [NBN B 15-001].</w:t>
      </w:r>
    </w:p>
    <w:p w14:paraId="17E1A201" w14:textId="77777777" w:rsidR="00DB2B68" w:rsidRDefault="00000000">
      <w:r>
        <w:rPr>
          <w:b/>
        </w:rPr>
        <w:t>E1. BETON AUTO-PLACANT</w:t>
      </w:r>
    </w:p>
    <w:p w14:paraId="4610D0D6" w14:textId="77777777" w:rsidR="00DB2B68" w:rsidRDefault="00000000">
      <w:r>
        <w:t>Le béton auto-plaçant est classé en fonction de sa viscosité apparente, de son aptitude à l’écoulement et de sa résistance à la ségrégation (essai de stabilité au tamis).</w:t>
      </w:r>
    </w:p>
    <w:p w14:paraId="0E288A3C" w14:textId="77777777" w:rsidR="00DB2B68" w:rsidRDefault="00000000">
      <w:r>
        <w:rPr>
          <w:b/>
        </w:rPr>
        <w:t>E2. EXIGENCES COMPLEMENTAIRES.</w:t>
      </w:r>
    </w:p>
    <w:p w14:paraId="444BCB8E" w14:textId="77777777" w:rsidR="00DB2B68" w:rsidRDefault="00000000">
      <w:pPr>
        <w:pStyle w:val="Author-eListParagraph"/>
        <w:numPr>
          <w:ilvl w:val="0"/>
          <w:numId w:val="326"/>
        </w:numPr>
      </w:pPr>
      <w:r>
        <w:t>le type de ciment SR, Low Heat et/ou LA,</w:t>
      </w:r>
    </w:p>
    <w:p w14:paraId="2ACCE36C" w14:textId="77777777" w:rsidR="00DB2B68" w:rsidRDefault="00000000">
      <w:pPr>
        <w:pStyle w:val="Author-eListParagraph"/>
        <w:numPr>
          <w:ilvl w:val="0"/>
          <w:numId w:val="326"/>
        </w:numPr>
      </w:pPr>
      <w:r>
        <w:t>des exigences pour la granulométrie</w:t>
      </w:r>
    </w:p>
    <w:p w14:paraId="113D821A" w14:textId="77777777" w:rsidR="00DB2B68" w:rsidRDefault="00000000">
      <w:pPr>
        <w:pStyle w:val="Author-eListParagraph"/>
        <w:numPr>
          <w:ilvl w:val="0"/>
          <w:numId w:val="326"/>
        </w:numPr>
      </w:pPr>
      <w:r>
        <w:t>la classe d’absorption d’eau par immersion WAI,</w:t>
      </w:r>
    </w:p>
    <w:p w14:paraId="7FB4C714" w14:textId="77777777" w:rsidR="00DB2B68" w:rsidRDefault="00000000">
      <w:pPr>
        <w:pStyle w:val="Author-eListParagraph"/>
        <w:numPr>
          <w:ilvl w:val="0"/>
          <w:numId w:val="326"/>
        </w:numPr>
      </w:pPr>
      <w:r>
        <w:t>la masse volumique</w:t>
      </w:r>
    </w:p>
    <w:p w14:paraId="55464DD7" w14:textId="77777777" w:rsidR="00DB2B68" w:rsidRDefault="00000000">
      <w:pPr>
        <w:pStyle w:val="Author-eListParagraph"/>
        <w:numPr>
          <w:ilvl w:val="0"/>
          <w:numId w:val="326"/>
        </w:numPr>
      </w:pPr>
      <w:r>
        <w:t>la teinte</w:t>
      </w:r>
    </w:p>
    <w:p w14:paraId="05250973" w14:textId="77777777" w:rsidR="00DB2B68" w:rsidRDefault="00000000">
      <w:pPr>
        <w:pStyle w:val="Author-eListParagraph"/>
        <w:numPr>
          <w:ilvl w:val="0"/>
          <w:numId w:val="326"/>
        </w:numPr>
      </w:pPr>
      <w:r>
        <w:t>l’aspect de surface</w:t>
      </w:r>
    </w:p>
    <w:p w14:paraId="78E83A2B" w14:textId="77777777" w:rsidR="00DB2B68" w:rsidRDefault="00000000">
      <w:pPr>
        <w:pStyle w:val="Author-eListParagraph"/>
        <w:numPr>
          <w:ilvl w:val="0"/>
          <w:numId w:val="326"/>
        </w:numPr>
      </w:pPr>
      <w:r>
        <w:t>...</w:t>
      </w:r>
    </w:p>
    <w:p w14:paraId="000C8913" w14:textId="77777777" w:rsidR="00DB2B68" w:rsidRDefault="00000000">
      <w:r>
        <w:t>Parmi les exigences complémentaires à spécifier lors de la commande, si un ouvrage étanche est prescrit, il y a lieu de spécifier un béton T(0.50) ou T(0.45) et éventuellement une classe d’absorption d’eau limitée respectivement WAI (0,50) ou WAI (0,45). Voir [NIT 247].</w:t>
      </w:r>
    </w:p>
    <w:p w14:paraId="7BF33E58" w14:textId="77777777" w:rsidR="00DB2B68" w:rsidRDefault="00000000">
      <w:r>
        <w:rPr>
          <w:rStyle w:val="headingChar"/>
        </w:rPr>
        <w:t>Qualité De L'acier</w:t>
      </w:r>
    </w:p>
    <w:p w14:paraId="3DABA8C3" w14:textId="77777777" w:rsidR="00DB2B68" w:rsidRDefault="00000000">
      <w:r>
        <w:t xml:space="preserve">Voir article </w:t>
      </w:r>
      <w:hyperlink w:anchor="232" w:history="1">
        <w:r>
          <w:rPr>
            <w:color w:val="0000EE"/>
          </w:rPr>
          <w:t>22.51 Armatures pour béton</w:t>
        </w:r>
      </w:hyperlink>
      <w:r>
        <w:t>.</w:t>
      </w:r>
    </w:p>
    <w:p w14:paraId="7D760C97" w14:textId="77777777" w:rsidR="00DB2B68" w:rsidRDefault="00000000">
      <w:r>
        <w:rPr>
          <w:rStyle w:val="headingChar"/>
        </w:rPr>
        <w:t>Eléments Préfabriqués En Béton</w:t>
      </w:r>
    </w:p>
    <w:p w14:paraId="34CDEF32" w14:textId="77777777" w:rsidR="00DB2B68" w:rsidRDefault="00000000">
      <w:r>
        <w:rPr>
          <w:b/>
        </w:rPr>
        <w:t>GÉNÉRALITÉS</w:t>
      </w:r>
    </w:p>
    <w:p w14:paraId="5B5E3232" w14:textId="77777777" w:rsidR="00DB2B68" w:rsidRDefault="00000000">
      <w:r>
        <w:t>• Les éléments préfabriqués en béton sont conformes aux normes de produit si pertinent (dalles alvéolées, poutres, ...), et à leur complément national s’il existe; sinon, il est fait référence aux normes [NBN EN 13369] et [NBN B 21-600]. Pour des applications particulières, les documents du marché peuvent prescrire des spécifications complémentaires.</w:t>
      </w:r>
    </w:p>
    <w:p w14:paraId="47B88A9F" w14:textId="77777777" w:rsidR="00DB2B68" w:rsidRDefault="00000000">
      <w:r>
        <w:t>• Les éléments sont fabriqués en usine ou dans une installation provisoire sur chantier, à l'abri des intempéries et des conditions environnementales néfastes, par des ouvriers qualifiés, avec des équipements adaptés, dans des circonstances appropriées et sous contrôle permanent. L’usine ou l’installation dispose d’un système de gestion de la qualité y compris les moyens nécessaires pour contrôler les spécifications minimales imposées.</w:t>
      </w:r>
    </w:p>
    <w:p w14:paraId="0DAAC32B" w14:textId="77777777" w:rsidR="00DB2B68" w:rsidRDefault="00000000">
      <w:r>
        <w:t>• L’entrepreneur veille à ce que les éléments soient parfaitement compatibles et ajustables aux autres éléments constitutifs, structuraux, techniques et de finition de l’ouvrage de construction.</w:t>
      </w:r>
    </w:p>
    <w:p w14:paraId="6B0DEE15" w14:textId="77777777" w:rsidR="00DB2B68" w:rsidRDefault="00000000">
      <w:r>
        <w:t>• L’entrepreneur coordonne l’ensemble de l’ouvrage de construction de manière que, de tout temps, et pendant toute la durée des manipulations nécessaires et possibles des divers éléments, la stabilité de l’ensemble et de chaque élément en particulier soit garantie en permanence.</w:t>
      </w:r>
    </w:p>
    <w:p w14:paraId="107394F1" w14:textId="77777777" w:rsidR="00DB2B68" w:rsidRDefault="00000000">
      <w:r>
        <w:t>• Selon les dispositions du cahier spécial des charges, l’entrepreneur fait réaliser et éventuellement livrer par le fabricant les éléments de construction conformément aux documents d’exécution. Il remet au fabricant les documents et informations suivants :</w:t>
      </w:r>
    </w:p>
    <w:p w14:paraId="3D259806" w14:textId="77777777" w:rsidR="00DB2B68" w:rsidRDefault="00000000">
      <w:pPr>
        <w:pStyle w:val="Author-eListParagraph"/>
        <w:numPr>
          <w:ilvl w:val="0"/>
          <w:numId w:val="327"/>
        </w:numPr>
      </w:pPr>
      <w:r>
        <w:t>Plans,</w:t>
      </w:r>
    </w:p>
    <w:p w14:paraId="6645FA0A" w14:textId="77777777" w:rsidR="00DB2B68" w:rsidRDefault="00000000">
      <w:pPr>
        <w:pStyle w:val="Author-eListParagraph"/>
        <w:numPr>
          <w:ilvl w:val="0"/>
          <w:numId w:val="327"/>
        </w:numPr>
      </w:pPr>
      <w:r>
        <w:t>Cahier des charges et métré,</w:t>
      </w:r>
    </w:p>
    <w:p w14:paraId="25964600" w14:textId="77777777" w:rsidR="00DB2B68" w:rsidRDefault="00000000">
      <w:pPr>
        <w:pStyle w:val="Author-eListParagraph"/>
        <w:numPr>
          <w:ilvl w:val="0"/>
          <w:numId w:val="327"/>
        </w:numPr>
      </w:pPr>
      <w:r>
        <w:t>les principes généraux de la stabilité du bâtiment,</w:t>
      </w:r>
    </w:p>
    <w:p w14:paraId="110824DA" w14:textId="77777777" w:rsidR="00DB2B68" w:rsidRDefault="00000000">
      <w:pPr>
        <w:pStyle w:val="Author-eListParagraph"/>
        <w:numPr>
          <w:ilvl w:val="0"/>
          <w:numId w:val="327"/>
        </w:numPr>
      </w:pPr>
      <w:r>
        <w:t>la classe structurale,</w:t>
      </w:r>
    </w:p>
    <w:p w14:paraId="007A712D" w14:textId="77777777" w:rsidR="00DB2B68" w:rsidRDefault="00000000">
      <w:pPr>
        <w:pStyle w:val="Author-eListParagraph"/>
        <w:numPr>
          <w:ilvl w:val="0"/>
          <w:numId w:val="327"/>
        </w:numPr>
      </w:pPr>
      <w:r>
        <w:t>un cahier synthétisant toutes les surcharges,</w:t>
      </w:r>
    </w:p>
    <w:p w14:paraId="745484BD" w14:textId="77777777" w:rsidR="00DB2B68" w:rsidRDefault="00000000">
      <w:pPr>
        <w:pStyle w:val="Author-eListParagraph"/>
        <w:numPr>
          <w:ilvl w:val="0"/>
          <w:numId w:val="327"/>
        </w:numPr>
      </w:pPr>
      <w:r>
        <w:t>les classes d’environnement,</w:t>
      </w:r>
    </w:p>
    <w:p w14:paraId="69754C1B" w14:textId="77777777" w:rsidR="00DB2B68" w:rsidRDefault="00000000">
      <w:pPr>
        <w:pStyle w:val="Author-eListParagraph"/>
        <w:numPr>
          <w:ilvl w:val="0"/>
          <w:numId w:val="327"/>
        </w:numPr>
      </w:pPr>
      <w:r>
        <w:t>les exigences de résistance au feu,</w:t>
      </w:r>
    </w:p>
    <w:p w14:paraId="53F5A084" w14:textId="77777777" w:rsidR="00DB2B68" w:rsidRDefault="00000000">
      <w:pPr>
        <w:pStyle w:val="Author-eListParagraph"/>
        <w:numPr>
          <w:ilvl w:val="0"/>
          <w:numId w:val="327"/>
        </w:numPr>
      </w:pPr>
      <w:r>
        <w:t>les joints de dilatation, contreventements,…</w:t>
      </w:r>
    </w:p>
    <w:p w14:paraId="111BD9B3" w14:textId="77777777" w:rsidR="00DB2B68" w:rsidRDefault="00000000">
      <w:pPr>
        <w:pStyle w:val="Author-eListParagraph"/>
        <w:numPr>
          <w:ilvl w:val="0"/>
          <w:numId w:val="327"/>
        </w:numPr>
      </w:pPr>
      <w:r>
        <w:lastRenderedPageBreak/>
        <w:t>les exigences sismiques.</w:t>
      </w:r>
    </w:p>
    <w:p w14:paraId="747B5129" w14:textId="77777777" w:rsidR="00DB2B68" w:rsidRDefault="00000000">
      <w:r>
        <w:rPr>
          <w:b/>
        </w:rPr>
        <w:t>CALCULS</w:t>
      </w:r>
    </w:p>
    <w:p w14:paraId="39E58762" w14:textId="77777777" w:rsidR="00DB2B68" w:rsidRDefault="00000000">
      <w:r>
        <w:t>Les calculs sont effectués selon les directives des Eurocodes (essentiellement [NBN EN 1990], [NBN EN 1992-1-1], [NBN EN 1992-1-2] et ANB, le cas échéant complétées par les impositions des normes produits applicables</w:t>
      </w:r>
    </w:p>
    <w:p w14:paraId="35878D40" w14:textId="77777777" w:rsidR="00DB2B68" w:rsidRDefault="00000000">
      <w:r>
        <w:t>Les flèches des éléments en béton sous l'action des charges sont limitées conformément à la [NBN B 03-003].</w:t>
      </w:r>
    </w:p>
    <w:p w14:paraId="2C429124" w14:textId="77777777" w:rsidR="00DB2B68" w:rsidRDefault="00000000">
      <w:r>
        <w:t>Les dispositions en vigueur sur le lieu d’utilisation du béton doivent inclure des exigences</w:t>
      </w:r>
      <w:r>
        <w:br/>
        <w:t>sur la base d’une durée d’utilisation prévue au projet présumée d’au moins 50 ans.</w:t>
      </w:r>
    </w:p>
    <w:p w14:paraId="10C6D119" w14:textId="77777777" w:rsidR="00DB2B68" w:rsidRDefault="00000000">
      <w:r>
        <w:t>Pour des durées d’utilisation prévues au projet inférieures (par exemple 20 ans) ou supérieures (par exemple 100 ans), des exigences moins strictes ou plus strictes peuvent être nécessaires.</w:t>
      </w:r>
    </w:p>
    <w:p w14:paraId="36505658" w14:textId="77777777" w:rsidR="00DB2B68" w:rsidRDefault="00000000">
      <w:r>
        <w:t xml:space="preserve">Durée d’utilisation prévue au projet : </w:t>
      </w:r>
      <w:r>
        <w:rPr>
          <w:rStyle w:val="optioncarChar"/>
        </w:rPr>
        <w:t>20 / 50</w:t>
      </w:r>
      <w:r>
        <w:t xml:space="preserve"> (par défaut) </w:t>
      </w:r>
      <w:r>
        <w:rPr>
          <w:rStyle w:val="optioncarChar"/>
        </w:rPr>
        <w:t>/ 100 / ***</w:t>
      </w:r>
      <w:r>
        <w:t xml:space="preserve"> ans</w:t>
      </w:r>
    </w:p>
    <w:p w14:paraId="430D3287" w14:textId="77777777" w:rsidR="00DB2B68" w:rsidRDefault="00000000">
      <w:r>
        <w:rPr>
          <w:b/>
        </w:rPr>
        <w:t>TOLÉRANCES DIMENSIONNELLES</w:t>
      </w:r>
    </w:p>
    <w:p w14:paraId="6C584699" w14:textId="77777777" w:rsidR="00DB2B68" w:rsidRDefault="00000000">
      <w:r>
        <w:t>Les dimensions standardisées et les tolérances pour les éléments préfabriqués sont établies dans les normes produits spécifiques si pertinent, ou dans la [NBN EN 13369] et la [NBN B 21-600] le cas échéant.</w:t>
      </w:r>
    </w:p>
    <w:p w14:paraId="11994875" w14:textId="77777777" w:rsidR="00DB2B68" w:rsidRDefault="00000000">
      <w:r>
        <w:t>L'enrobage des armatures est détaillé par le bureau d’étude, mais n'est jamais inférieur aux valeurs imposées par [NBN EN 13369] et la [NBN B 21-600]. </w:t>
      </w:r>
    </w:p>
    <w:p w14:paraId="407D6122" w14:textId="77777777" w:rsidR="00DB2B68" w:rsidRDefault="00000000">
      <w:r>
        <w:rPr>
          <w:rStyle w:val="headingChar"/>
        </w:rPr>
        <w:t>Prescriptions Complémentaires Des Éléments En Béton Architectonique Préfabriqués</w:t>
      </w:r>
    </w:p>
    <w:p w14:paraId="25042AC6" w14:textId="77777777" w:rsidR="00DB2B68" w:rsidRDefault="00000000">
      <w:r>
        <w:t>Les éléments sont fabriqués suivant les prescriptions techniques [PTV 21-601]. Si l’élément est aussi un élément de structure, il doit, pour l’aspect « élément de structure », également être conforme aux normes correspondantes.</w:t>
      </w:r>
    </w:p>
    <w:p w14:paraId="2BE9A41B" w14:textId="77777777" w:rsidR="00DB2B68" w:rsidRDefault="00000000">
      <w:r>
        <w:rPr>
          <w:b/>
        </w:rPr>
        <w:t>DOCUMENTS PRÉPARATOIRES</w:t>
      </w:r>
    </w:p>
    <w:p w14:paraId="3D495FCC" w14:textId="77777777" w:rsidR="00DB2B68" w:rsidRDefault="00000000">
      <w:r>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w:t>
      </w:r>
    </w:p>
    <w:p w14:paraId="42ECF398" w14:textId="77777777" w:rsidR="00DB2B68" w:rsidRDefault="00000000">
      <w:r>
        <w:rPr>
          <w:b/>
        </w:rPr>
        <w:t>FINITION DE SURFACE</w:t>
      </w:r>
    </w:p>
    <w:p w14:paraId="1749E9EF" w14:textId="77777777" w:rsidR="00DB2B68" w:rsidRDefault="00000000">
      <w:r>
        <w:t xml:space="preserve">La surface des éléments en béton est </w:t>
      </w:r>
      <w:r>
        <w:rPr>
          <w:rStyle w:val="optioncarChar"/>
        </w:rPr>
        <w:t>brute et lisse </w:t>
      </w:r>
      <w:r>
        <w:t>(par défaut)</w:t>
      </w:r>
      <w:r>
        <w:rPr>
          <w:rStyle w:val="optioncarChar"/>
        </w:rPr>
        <w:t> / brute et finement texturée / brute et grossièrement texturée / brute à relief (ou structurée) / lavée à l’eau / brossée / lavée à l’acide / bouchardée / grenaillée / grésée / polie mat / polie brillant / structurée / incrustée d’autres matériaux / ***</w:t>
      </w:r>
    </w:p>
    <w:p w14:paraId="09A035E4" w14:textId="77777777" w:rsidR="00DB2B68" w:rsidRDefault="00000000">
      <w:r>
        <w:t>Brute de décoffrage : La surface coffrée n’est pas traitée, ce qui fait apparaître uniquement la peau de ciment et pas les granulats indépendamment de la texture produite par le coffrage. Elle peut être lisse ou structurée dans le cas où le béton est coulé dans un coffrage présentant un relief.</w:t>
      </w:r>
    </w:p>
    <w:p w14:paraId="62402AEA" w14:textId="77777777" w:rsidR="00DB2B68" w:rsidRDefault="00000000">
      <w:r>
        <w:t>Incrustation d’autres matériaux : Incrustation de céramique, de brique, de pierre naturelle, etc.</w:t>
      </w:r>
    </w:p>
    <w:p w14:paraId="52BB50F6" w14:textId="77777777" w:rsidR="00DB2B68" w:rsidRDefault="00000000">
      <w:r>
        <w:rPr>
          <w:b/>
        </w:rPr>
        <w:t>FINITION DE SURFACE POUR LE BÉTON INDUSTRIEL DÉCORATIF</w:t>
      </w:r>
    </w:p>
    <w:p w14:paraId="771DD42A" w14:textId="77777777" w:rsidR="00DB2B68" w:rsidRDefault="00000000">
      <w:r>
        <w:t>Le type de finition de surface est brut de décoffrage / lavée à l’eau</w:t>
      </w:r>
    </w:p>
    <w:p w14:paraId="4E61578D" w14:textId="77777777" w:rsidR="00DB2B68" w:rsidRDefault="00000000">
      <w:r>
        <w:t xml:space="preserve">Lavage à l’eau : voir </w:t>
      </w:r>
      <w:hyperlink w:anchor="486" w:history="1">
        <w:r>
          <w:rPr>
            <w:color w:val="0000EE"/>
          </w:rPr>
          <w:t>22.71 Traitements esthétiques ou de surface</w:t>
        </w:r>
      </w:hyperlink>
    </w:p>
    <w:p w14:paraId="0768A5A7" w14:textId="77777777" w:rsidR="00DB2B68" w:rsidRDefault="00000000">
      <w:r>
        <w:t> </w:t>
      </w:r>
    </w:p>
    <w:p w14:paraId="54A79A95" w14:textId="77777777" w:rsidR="00DB2B68" w:rsidRDefault="00000000">
      <w:pPr>
        <w:ind w:left="750"/>
      </w:pPr>
      <w:r>
        <w:t> </w:t>
      </w:r>
    </w:p>
    <w:p w14:paraId="3CE238B2" w14:textId="77777777" w:rsidR="00DB2B68" w:rsidRDefault="00000000">
      <w:pPr>
        <w:pStyle w:val="pheading"/>
      </w:pPr>
      <w:r>
        <w:t>EXÉCUTION / MISE EN ŒUVRE</w:t>
      </w:r>
    </w:p>
    <w:p w14:paraId="4DA5D416" w14:textId="77777777" w:rsidR="00DB2B68" w:rsidRDefault="00000000">
      <w:r>
        <w:lastRenderedPageBreak/>
        <w:t>L’entrepreneur est responsable de l’ensemble de la coordination en vue de réaliser une exécution parfaite. L’exécution des structures en béton est conforme à la norme [NBN EN 13670] et à son supplément national [NBN B 15-400].</w:t>
      </w:r>
    </w:p>
    <w:p w14:paraId="6DC63E82" w14:textId="77777777" w:rsidR="00DB2B68" w:rsidRDefault="00000000">
      <w:r>
        <w:rPr>
          <w:rStyle w:val="headingChar"/>
        </w:rPr>
        <w:t>Classes D'exécution</w:t>
      </w:r>
    </w:p>
    <w:p w14:paraId="6958FE5B" w14:textId="77777777" w:rsidR="00DB2B68" w:rsidRDefault="00000000">
      <w:r>
        <w:t>La classe d'exécution est un ensemble d'exigences spécifiant les niveaux de qualité relatifs à l'exécution de l'ouvrage dans son ensemble ou à un élément individuel ou à certains matériaux ou technologies mis en œuvre pour l'exécution. Le choix de la classe d’exécution se base sur la capacité portante, sur la durabilité et/ou le niveau d’exigences esthétiques de la structure.</w:t>
      </w:r>
    </w:p>
    <w:p w14:paraId="1622D016" w14:textId="77777777" w:rsidR="00DB2B68" w:rsidRDefault="00000000">
      <w:r>
        <w:t>Conformément à la [NBN EN 13670] et la [NBN B 15-400], la classe d'exécution détermine :</w:t>
      </w:r>
    </w:p>
    <w:p w14:paraId="5095AC77" w14:textId="77777777" w:rsidR="00DB2B68" w:rsidRDefault="00000000">
      <w:pPr>
        <w:pStyle w:val="Author-eListParagraph"/>
        <w:numPr>
          <w:ilvl w:val="0"/>
          <w:numId w:val="328"/>
        </w:numPr>
      </w:pPr>
      <w:r>
        <w:t>les contrôles des matériaux et des produits,</w:t>
      </w:r>
    </w:p>
    <w:p w14:paraId="19062E38" w14:textId="77777777" w:rsidR="00DB2B68" w:rsidRDefault="00000000">
      <w:pPr>
        <w:pStyle w:val="Author-eListParagraph"/>
        <w:numPr>
          <w:ilvl w:val="0"/>
          <w:numId w:val="328"/>
        </w:numPr>
      </w:pPr>
      <w:r>
        <w:t>les objets de l’inspection de l'exécution et,</w:t>
      </w:r>
    </w:p>
    <w:p w14:paraId="1D27DDC8" w14:textId="77777777" w:rsidR="00DB2B68" w:rsidRDefault="00000000">
      <w:pPr>
        <w:pStyle w:val="Author-eListParagraph"/>
        <w:numPr>
          <w:ilvl w:val="0"/>
          <w:numId w:val="328"/>
        </w:numPr>
      </w:pPr>
      <w:r>
        <w:t>le type et documentation du contrôle</w:t>
      </w:r>
    </w:p>
    <w:p w14:paraId="1D74076B" w14:textId="77777777" w:rsidR="00DB2B68" w:rsidRDefault="00000000">
      <w:r>
        <w:t xml:space="preserve">La </w:t>
      </w:r>
      <w:r>
        <w:rPr>
          <w:rStyle w:val="optioncarChar"/>
        </w:rPr>
        <w:t>classe d'exécution 1</w:t>
      </w:r>
      <w:r>
        <w:t xml:space="preserve"> (par défaut)</w:t>
      </w:r>
      <w:r>
        <w:rPr>
          <w:rStyle w:val="optioncarChar"/>
        </w:rPr>
        <w:t xml:space="preserve"> / classe d'exécution 2 / classe d'exécution 3</w:t>
      </w:r>
      <w:r>
        <w:t xml:space="preserve"> est d'application.</w:t>
      </w:r>
      <w:r>
        <w:br/>
      </w:r>
      <w:r>
        <w:rPr>
          <w:b/>
        </w:rPr>
        <w:t>(soit par défaut)</w:t>
      </w:r>
      <w:r>
        <w:br/>
      </w:r>
      <w:r>
        <w:rPr>
          <w:rStyle w:val="soitChar"/>
          <w:u w:val="single"/>
        </w:rPr>
        <w:t>Classe d'exécution 1</w:t>
      </w:r>
      <w:r>
        <w:rPr>
          <w:rStyle w:val="soitChar"/>
        </w:rPr>
        <w:t xml:space="preserve"> : par défaut pour les maisons unifamiliales et petits bâtiments</w:t>
      </w:r>
      <w:r>
        <w:br/>
      </w:r>
      <w:r>
        <w:rPr>
          <w:b/>
        </w:rPr>
        <w:t>(soit)</w:t>
      </w:r>
      <w:r>
        <w:br/>
      </w:r>
      <w:r>
        <w:rPr>
          <w:rStyle w:val="soitChar"/>
          <w:u w:val="single"/>
        </w:rPr>
        <w:t>Classe d'exécution 2</w:t>
      </w:r>
      <w:r>
        <w:br/>
      </w:r>
      <w:r>
        <w:rPr>
          <w:b/>
        </w:rPr>
        <w:t>(soit)</w:t>
      </w:r>
      <w:r>
        <w:br/>
      </w:r>
      <w:r>
        <w:rPr>
          <w:rStyle w:val="soitChar"/>
          <w:u w:val="single"/>
        </w:rPr>
        <w:t>Classe d'exécution 3</w:t>
      </w:r>
      <w:r>
        <w:br/>
      </w:r>
      <w:r>
        <w:br/>
        <w:t xml:space="preserve"> Pour les éléments en béton précontraint par post-contrainte, la classe d’exécution 2 est d'application conformément à la [NBN B 15-400].</w:t>
      </w:r>
    </w:p>
    <w:p w14:paraId="074D4B79" w14:textId="77777777" w:rsidR="00DB2B68" w:rsidRDefault="00000000">
      <w:r>
        <w:rPr>
          <w:rStyle w:val="headingChar"/>
        </w:rPr>
        <w:t>Tolérances Dimensionnelles</w:t>
      </w:r>
    </w:p>
    <w:p w14:paraId="3B550BE4" w14:textId="77777777" w:rsidR="00DB2B68" w:rsidRDefault="00000000">
      <w:r>
        <w:t xml:space="preserve">Les tolérances dimensionnelles après exécution sont conformes aux normes [NBN EN 13670] et [NBN B 15-400]. Elles correspondent par défaut à la </w:t>
      </w:r>
      <w:r>
        <w:rPr>
          <w:color w:val="FF0000"/>
        </w:rPr>
        <w:t>classe de tolérance 1</w:t>
      </w:r>
      <w:r>
        <w:t xml:space="preserve">. Toute autre classe exigée est spécifiée dans les documents d’adjudication. La </w:t>
      </w:r>
      <w:r>
        <w:rPr>
          <w:color w:val="FF0000"/>
        </w:rPr>
        <w:t>classe de tolérance 2</w:t>
      </w:r>
      <w:r>
        <w:t xml:space="preserve"> peut être requise pour certaines applications (par exemple, béton apparent avec des exigences esthétiques, sol industriel) ou pour permettre la mise en œuvre de certains éléments du parachèvement (mise en œuvre d'enduits, menuiserie).</w:t>
      </w:r>
    </w:p>
    <w:p w14:paraId="48B606BD" w14:textId="77777777" w:rsidR="00DB2B68" w:rsidRDefault="00000000">
      <w:r>
        <w:rPr>
          <w:rStyle w:val="headingChar"/>
        </w:rPr>
        <w:t>Béton Prêt À L'emploi Coulé En Place</w:t>
      </w:r>
    </w:p>
    <w:p w14:paraId="0A2D637F" w14:textId="77777777" w:rsidR="00DB2B68" w:rsidRDefault="00000000">
      <w:r>
        <w:rPr>
          <w:b/>
        </w:rPr>
        <w:t>COFFRAGES</w:t>
      </w:r>
    </w:p>
    <w:p w14:paraId="0A4EA2A8" w14:textId="77777777" w:rsidR="00DB2B68" w:rsidRDefault="00000000">
      <w:r>
        <w:t xml:space="preserve">Les coffrages nécessaires sont exécutés conformément aux notes de calcul et aux plans d’exécution, conformément aux prescriptions générales sous l'article </w:t>
      </w:r>
      <w:hyperlink w:anchor="235" w:history="1">
        <w:r>
          <w:rPr>
            <w:color w:val="0000EE"/>
          </w:rPr>
          <w:t>22.53 Coffrages</w:t>
        </w:r>
      </w:hyperlink>
      <w:r>
        <w:t>, du présent cahier des charges technique et des éventuelles notes d'exécution complémentaires qui figurent dans le cahier spécial des charges.</w:t>
      </w:r>
    </w:p>
    <w:p w14:paraId="05C2BE42" w14:textId="77777777" w:rsidR="00DB2B68" w:rsidRDefault="00000000">
      <w:r>
        <w:t>• L’entrepreneur respecte strictement les recommandations du cahier des charges en ce qui concerne la pose des membranes d’étanchéité et/ou de l’isolation destinées à prévenir les ponts d’humidité ou thermiques. Lorsque ces recommandations ne sont pas explicitement indiquées dans les documents d’adjudication (voir également notes d'exécution complémentaires), il incombe à l’entrepreneur de s’informer à ce sujet. Avant de commencer les travaux, il informe l’auteur de projet de toutes ses remarques et réflexions.</w:t>
      </w:r>
    </w:p>
    <w:p w14:paraId="1B09986F" w14:textId="77777777" w:rsidR="00DB2B68" w:rsidRDefault="00000000">
      <w:r>
        <w:t>• Une attention particulière est accordée aux dimensions des éléments, à leurs niveaux et à la flèche, ainsi qu’aux pénétrations pour les conduites, fourreaux, … Avant de couler le béton, tous les dispositifs pour ces réservations ou pénétrations sont mis en place conformément aux indications sur les plans. En aucun cas, on ne peut décaper ou forer des passages dans le béton sans l’approbation préalable de l’auteur de projet ou de l’ingénieur.</w:t>
      </w:r>
    </w:p>
    <w:p w14:paraId="5A29A57A" w14:textId="77777777" w:rsidR="00DB2B68" w:rsidRDefault="00000000">
      <w:r>
        <w:t>Le dispositif de support auquel la peau de coffrage est fixée, est suffisamment résistant, rigide et stable pour éviter tout mouvement pendant le coulage et le compactage du béton.</w:t>
      </w:r>
    </w:p>
    <w:p w14:paraId="0ABE1A48" w14:textId="77777777" w:rsidR="00DB2B68" w:rsidRDefault="00000000">
      <w:r>
        <w:t>L’entrepreneur réalise ses coffrages en fonction des joints de reprise définis par l’auteur de projet.</w:t>
      </w:r>
    </w:p>
    <w:p w14:paraId="3A02F148" w14:textId="77777777" w:rsidR="00DB2B68" w:rsidRDefault="00000000">
      <w:r>
        <w:lastRenderedPageBreak/>
        <w:t>Toutefois, il peut demander une dérogation en proposant un plan sur lequel les joints de reprise concordent avec les changements de direction ou de ligne dans l'architecture ou en accentuant de faux joints. Au droit de ces joints de reprise, il faut prendre toutes les précautions nécessaires pour que la laitance de béton ne s'écoule pas entre la peau de coffrage et le béton déjà durci.</w:t>
      </w:r>
    </w:p>
    <w:p w14:paraId="1DEF28AE" w14:textId="77777777" w:rsidR="00DB2B68" w:rsidRDefault="00000000">
      <w:r>
        <w:t>L'enrobage des armatures n'est jamais inférieur aux valeurs imposées par [NBN EN 1992-1-1] et [NBN EN 1992-1-1 ANB]. Par conséquent, la hauteur nominale des écarteurs des armatures correspond à l’enrobage nominal indiqué sur les plans d’armature. Si la réglementation incendie l’impose, les distances à l’axe selon la [NBN EN 1992-1-2] et [NBN EN 1992-1-2 ANB] peuvent conduire à des enrobages supérieurs, .</w:t>
      </w:r>
    </w:p>
    <w:p w14:paraId="7AF866A9" w14:textId="77777777" w:rsidR="00DB2B68" w:rsidRDefault="00000000">
      <w:r>
        <w:t>La hauteur nominale des écarteurs des armatures correspond à l’enrobage nominal indiqué sur les plans d’armature. L’enrobage nominal est l’enrobage minimal majoré d’une tolérance de 10 mm.</w:t>
      </w:r>
    </w:p>
    <w:p w14:paraId="26875E3A" w14:textId="77777777" w:rsidR="00DB2B68" w:rsidRDefault="00000000">
      <w:r>
        <w:t>Les dispositions en vigueur sur le lieu d’utilisation du béton doivent inclure des exigences sur la base d’une durée d’utilisation prévue au projet présumée d’au moins 50 ans.</w:t>
      </w:r>
    </w:p>
    <w:p w14:paraId="3236A239" w14:textId="77777777" w:rsidR="00DB2B68" w:rsidRDefault="00000000">
      <w:r>
        <w:t>Pour des durées d’utilisation prévues au projet inférieures (par exemple 20 ans) ou supérieures (par exemple 100 ans), des exigences moins strictes ou plus strictes peuvent être nécessaires.</w:t>
      </w:r>
    </w:p>
    <w:p w14:paraId="74FA45A9" w14:textId="77777777" w:rsidR="00DB2B68" w:rsidRDefault="00000000">
      <w:r>
        <w:t xml:space="preserve">Durée d’utilisation prévue au projet : </w:t>
      </w:r>
      <w:r>
        <w:rPr>
          <w:rStyle w:val="optioncarChar"/>
        </w:rPr>
        <w:t>20 / 50</w:t>
      </w:r>
      <w:r>
        <w:t xml:space="preserve"> (par défaut) </w:t>
      </w:r>
      <w:r>
        <w:rPr>
          <w:rStyle w:val="optioncarChar"/>
        </w:rPr>
        <w:t>/ 100 / ***</w:t>
      </w:r>
      <w:r>
        <w:t xml:space="preserve"> ans</w:t>
      </w:r>
    </w:p>
    <w:p w14:paraId="404F663F" w14:textId="77777777" w:rsidR="00DB2B68" w:rsidRDefault="00000000">
      <w:r>
        <w:rPr>
          <w:b/>
        </w:rPr>
        <w:t>COULAGE ET HOMOGÉNÉITÉ DU BÉTON</w:t>
      </w:r>
    </w:p>
    <w:p w14:paraId="4112507C" w14:textId="77777777" w:rsidR="00DB2B68" w:rsidRDefault="00000000">
      <w:r>
        <w:t>• L’ingénieur et l’auteur de projet sont préalablement avertis du coulage du béton avec un préavis suffisant afin de pouvoir contrôler le coffrage, les armatures, l’isolation thermique, l’étanchéité.</w:t>
      </w:r>
    </w:p>
    <w:p w14:paraId="76A67777" w14:textId="77777777" w:rsidR="00DB2B68" w:rsidRDefault="00000000">
      <w:r>
        <w:t>• Un bordereau de livraison est remis au contrôleur de chantier à chaque fourniture de béton sur chantier. Il s'agit d'un document unique qui a suivi le béton depuis le dosage de ses composants jusqu'à et y compris les ajouts et le pompage éventuel sur le chantier.</w:t>
      </w:r>
    </w:p>
    <w:p w14:paraId="6B4208F0" w14:textId="77777777" w:rsidR="00DB2B68" w:rsidRDefault="00000000">
      <w:r>
        <w:t>Sont toujours mentionnés sur le bordereau :</w:t>
      </w:r>
    </w:p>
    <w:p w14:paraId="5F5DD101" w14:textId="77777777" w:rsidR="00DB2B68" w:rsidRDefault="00000000">
      <w:pPr>
        <w:pStyle w:val="Author-eListParagraph"/>
        <w:numPr>
          <w:ilvl w:val="0"/>
          <w:numId w:val="329"/>
        </w:numPr>
      </w:pPr>
      <w:r>
        <w:t>le nom de l’unité de fabrication ;</w:t>
      </w:r>
    </w:p>
    <w:p w14:paraId="2D27E9E8" w14:textId="77777777" w:rsidR="00DB2B68" w:rsidRDefault="00000000">
      <w:pPr>
        <w:pStyle w:val="Author-eListParagraph"/>
        <w:numPr>
          <w:ilvl w:val="0"/>
          <w:numId w:val="329"/>
        </w:numPr>
      </w:pPr>
      <w:r>
        <w:t>le numéro de série du bon ;</w:t>
      </w:r>
    </w:p>
    <w:p w14:paraId="6F453B40" w14:textId="77777777" w:rsidR="00DB2B68" w:rsidRDefault="00000000">
      <w:pPr>
        <w:pStyle w:val="Author-eListParagraph"/>
        <w:numPr>
          <w:ilvl w:val="0"/>
          <w:numId w:val="329"/>
        </w:numPr>
      </w:pPr>
      <w:r>
        <w:t>la date et l’heure de chargement, c’est-à-dire le moment où a eu lieu le premier contact entre le ciment et l’eau (pas écrit à la main) ;</w:t>
      </w:r>
    </w:p>
    <w:p w14:paraId="4DFEFB83" w14:textId="77777777" w:rsidR="00DB2B68" w:rsidRDefault="00000000">
      <w:pPr>
        <w:pStyle w:val="Author-eListParagraph"/>
        <w:numPr>
          <w:ilvl w:val="0"/>
          <w:numId w:val="329"/>
        </w:numPr>
      </w:pPr>
      <w:r>
        <w:t>le numéro du camion ;</w:t>
      </w:r>
    </w:p>
    <w:p w14:paraId="4A03B4C5" w14:textId="77777777" w:rsidR="00DB2B68" w:rsidRDefault="00000000">
      <w:pPr>
        <w:pStyle w:val="Author-eListParagraph"/>
        <w:numPr>
          <w:ilvl w:val="0"/>
          <w:numId w:val="329"/>
        </w:numPr>
      </w:pPr>
      <w:r>
        <w:t>le nom de l’acheteur, le nom et la localisation du chantier ;</w:t>
      </w:r>
    </w:p>
    <w:p w14:paraId="0B3ABDCA" w14:textId="77777777" w:rsidR="00DB2B68" w:rsidRDefault="00000000">
      <w:pPr>
        <w:pStyle w:val="Author-eListParagraph"/>
        <w:numPr>
          <w:ilvl w:val="0"/>
          <w:numId w:val="329"/>
        </w:numPr>
      </w:pPr>
      <w:r>
        <w:t>les références ou les détails relatifs aux spécifications, par exemple numéro de code, numéro de commande ;</w:t>
      </w:r>
    </w:p>
    <w:p w14:paraId="678FA827" w14:textId="77777777" w:rsidR="00DB2B68" w:rsidRDefault="00000000">
      <w:pPr>
        <w:pStyle w:val="Author-eListParagraph"/>
        <w:numPr>
          <w:ilvl w:val="0"/>
          <w:numId w:val="329"/>
        </w:numPr>
      </w:pPr>
      <w:r>
        <w:t>la quantité de béton, en m³ ;</w:t>
      </w:r>
    </w:p>
    <w:p w14:paraId="0D32BBBC" w14:textId="77777777" w:rsidR="00DB2B68" w:rsidRDefault="00000000">
      <w:pPr>
        <w:pStyle w:val="Author-eListParagraph"/>
        <w:numPr>
          <w:ilvl w:val="0"/>
          <w:numId w:val="329"/>
        </w:numPr>
      </w:pPr>
      <w:r>
        <w:t>la déclaration de conformité avec référence aux spécifications de la Norme [NBN EN 206:2013+A2] et [NBN B 15-001];</w:t>
      </w:r>
    </w:p>
    <w:p w14:paraId="6E58CD6C" w14:textId="77777777" w:rsidR="00DB2B68" w:rsidRDefault="00000000">
      <w:pPr>
        <w:pStyle w:val="Author-eListParagraph"/>
        <w:numPr>
          <w:ilvl w:val="0"/>
          <w:numId w:val="329"/>
        </w:numPr>
      </w:pPr>
      <w:r>
        <w:t>le nom ou logo de l’organisme de certification, le cas échéant ;</w:t>
      </w:r>
    </w:p>
    <w:p w14:paraId="5FCD95EE" w14:textId="77777777" w:rsidR="00DB2B68" w:rsidRDefault="00000000">
      <w:pPr>
        <w:pStyle w:val="Author-eListParagraph"/>
        <w:numPr>
          <w:ilvl w:val="0"/>
          <w:numId w:val="329"/>
        </w:numPr>
      </w:pPr>
      <w:r>
        <w:t>l’heure d’arrivée du béton sur le chantier ;</w:t>
      </w:r>
    </w:p>
    <w:p w14:paraId="6CFDA24D" w14:textId="77777777" w:rsidR="00DB2B68" w:rsidRDefault="00000000">
      <w:pPr>
        <w:pStyle w:val="Author-eListParagraph"/>
        <w:numPr>
          <w:ilvl w:val="0"/>
          <w:numId w:val="329"/>
        </w:numPr>
      </w:pPr>
      <w:r>
        <w:t>l’heure de début et de fin du déchargement ;</w:t>
      </w:r>
    </w:p>
    <w:p w14:paraId="594851D1" w14:textId="77777777" w:rsidR="00DB2B68" w:rsidRDefault="00000000">
      <w:r>
        <w:br/>
        <w:t>Sont mentionnés dans le cas d’un béton à performances spécifiées :</w:t>
      </w:r>
    </w:p>
    <w:p w14:paraId="4677A3DB" w14:textId="77777777" w:rsidR="00DB2B68" w:rsidRDefault="00000000">
      <w:pPr>
        <w:pStyle w:val="Author-eListParagraph"/>
        <w:numPr>
          <w:ilvl w:val="0"/>
          <w:numId w:val="330"/>
        </w:numPr>
      </w:pPr>
      <w:r>
        <w:t>la classe de résistance ;</w:t>
      </w:r>
    </w:p>
    <w:p w14:paraId="76D5D5BB" w14:textId="77777777" w:rsidR="00DB2B68" w:rsidRDefault="00000000">
      <w:pPr>
        <w:pStyle w:val="Author-eListParagraph"/>
        <w:numPr>
          <w:ilvl w:val="0"/>
          <w:numId w:val="330"/>
        </w:numPr>
      </w:pPr>
      <w:r>
        <w:t>la classe d’environnement;</w:t>
      </w:r>
    </w:p>
    <w:p w14:paraId="04756A96" w14:textId="77777777" w:rsidR="00DB2B68" w:rsidRDefault="00000000">
      <w:pPr>
        <w:pStyle w:val="Author-eListParagraph"/>
        <w:numPr>
          <w:ilvl w:val="0"/>
          <w:numId w:val="330"/>
        </w:numPr>
      </w:pPr>
      <w:r>
        <w:t>la classe de teneur en chlorures ;</w:t>
      </w:r>
    </w:p>
    <w:p w14:paraId="2786B584" w14:textId="77777777" w:rsidR="00DB2B68" w:rsidRDefault="00000000">
      <w:pPr>
        <w:pStyle w:val="Author-eListParagraph"/>
        <w:numPr>
          <w:ilvl w:val="0"/>
          <w:numId w:val="330"/>
        </w:numPr>
      </w:pPr>
      <w:r>
        <w:t>la classe de consistance ou d’étalement;</w:t>
      </w:r>
    </w:p>
    <w:p w14:paraId="75EE4531" w14:textId="77777777" w:rsidR="00DB2B68" w:rsidRDefault="00000000">
      <w:pPr>
        <w:pStyle w:val="Author-eListParagraph"/>
        <w:numPr>
          <w:ilvl w:val="0"/>
          <w:numId w:val="330"/>
        </w:numPr>
      </w:pPr>
      <w:r>
        <w:t>Dmax ;</w:t>
      </w:r>
    </w:p>
    <w:p w14:paraId="50E16A80" w14:textId="77777777" w:rsidR="00DB2B68" w:rsidRDefault="00000000">
      <w:pPr>
        <w:pStyle w:val="Author-eListParagraph"/>
        <w:numPr>
          <w:ilvl w:val="0"/>
          <w:numId w:val="330"/>
        </w:numPr>
      </w:pPr>
      <w:r>
        <w:t>le type, la classe et les propriétés particulières (LA, HSR,…) du ciment utilisé;</w:t>
      </w:r>
    </w:p>
    <w:p w14:paraId="72BF9A85" w14:textId="77777777" w:rsidR="00DB2B68" w:rsidRDefault="00000000">
      <w:pPr>
        <w:pStyle w:val="Author-eListParagraph"/>
        <w:numPr>
          <w:ilvl w:val="0"/>
          <w:numId w:val="330"/>
        </w:numPr>
      </w:pPr>
      <w:r>
        <w:t>le type d'adjuvants et d'additions utilisés;</w:t>
      </w:r>
    </w:p>
    <w:p w14:paraId="3B97E158" w14:textId="77777777" w:rsidR="00DB2B68" w:rsidRDefault="00000000">
      <w:pPr>
        <w:pStyle w:val="Author-eListParagraph"/>
        <w:numPr>
          <w:ilvl w:val="0"/>
          <w:numId w:val="330"/>
        </w:numPr>
      </w:pPr>
      <w:r>
        <w:t>la classe d’absorption d’eau lorsque celle-ci est exigée ;</w:t>
      </w:r>
    </w:p>
    <w:p w14:paraId="4CACBEB7" w14:textId="77777777" w:rsidR="00DB2B68" w:rsidRDefault="00000000">
      <w:pPr>
        <w:pStyle w:val="Author-eListParagraph"/>
        <w:numPr>
          <w:ilvl w:val="0"/>
          <w:numId w:val="330"/>
        </w:numPr>
      </w:pPr>
      <w:r>
        <w:t>le délai d'ouvrabilité garanti (délai de mise en œuvre).</w:t>
      </w:r>
    </w:p>
    <w:p w14:paraId="1A1D52D7" w14:textId="77777777" w:rsidR="00DB2B68" w:rsidRDefault="00000000">
      <w:r>
        <w:lastRenderedPageBreak/>
        <w:br/>
        <w:t>Autres mentions le cas échéant :</w:t>
      </w:r>
    </w:p>
    <w:p w14:paraId="71FFCC35" w14:textId="77777777" w:rsidR="00DB2B68" w:rsidRDefault="00000000">
      <w:pPr>
        <w:pStyle w:val="Author-eListParagraph"/>
        <w:numPr>
          <w:ilvl w:val="0"/>
          <w:numId w:val="331"/>
        </w:numPr>
      </w:pPr>
      <w:r>
        <w:t>le rapport E/C si celui-ci est imposé inférieur à la valeur prescrite par la classe d'environnement ;</w:t>
      </w:r>
    </w:p>
    <w:p w14:paraId="7D49FFBE" w14:textId="77777777" w:rsidR="00DB2B68" w:rsidRDefault="00000000">
      <w:pPr>
        <w:pStyle w:val="Author-eListParagraph"/>
        <w:numPr>
          <w:ilvl w:val="0"/>
          <w:numId w:val="331"/>
        </w:numPr>
      </w:pPr>
      <w:r>
        <w:t>la viscosité apparente et la résistance à la ségrégation en cas de béton autoplaçant ;</w:t>
      </w:r>
    </w:p>
    <w:p w14:paraId="1AE50AD8" w14:textId="77777777" w:rsidR="00DB2B68" w:rsidRDefault="00000000">
      <w:pPr>
        <w:pStyle w:val="Author-eListParagraph"/>
        <w:numPr>
          <w:ilvl w:val="0"/>
          <w:numId w:val="331"/>
        </w:numPr>
      </w:pPr>
      <w:r>
        <w:t>le type et la teneur en fibres ou la classe de performance du béton renforcé par des fibres en cas de béton fibré ;</w:t>
      </w:r>
    </w:p>
    <w:p w14:paraId="5FDDCCD2" w14:textId="77777777" w:rsidR="00DB2B68" w:rsidRDefault="00000000">
      <w:pPr>
        <w:pStyle w:val="Author-eListParagraph"/>
        <w:numPr>
          <w:ilvl w:val="0"/>
          <w:numId w:val="331"/>
        </w:numPr>
      </w:pPr>
      <w:r>
        <w:t>la classe de masse volumique dans le cas de bétons légers ou lourds ;</w:t>
      </w:r>
    </w:p>
    <w:p w14:paraId="5B0771A6" w14:textId="77777777" w:rsidR="00DB2B68" w:rsidRDefault="00000000">
      <w:pPr>
        <w:pStyle w:val="Author-eListParagraph"/>
        <w:numPr>
          <w:ilvl w:val="0"/>
          <w:numId w:val="331"/>
        </w:numPr>
      </w:pPr>
      <w:r>
        <w:t>d’autres propriétés particulières, si elles sont prescrites ;</w:t>
      </w:r>
    </w:p>
    <w:p w14:paraId="479FD395" w14:textId="77777777" w:rsidR="00DB2B68" w:rsidRDefault="00000000">
      <w:r>
        <w:br/>
        <w:t>• Dans le cas où la livraison de béton est couverte par une certification volontaire, le bordereau de livraison est barré dans les cas suivants :</w:t>
      </w:r>
    </w:p>
    <w:p w14:paraId="5984D2A5" w14:textId="77777777" w:rsidR="00DB2B68" w:rsidRDefault="00000000">
      <w:pPr>
        <w:pStyle w:val="Author-eListParagraph"/>
        <w:numPr>
          <w:ilvl w:val="0"/>
          <w:numId w:val="332"/>
        </w:numPr>
      </w:pPr>
      <w:r>
        <w:t>Délai de mise en œuvre dépassé</w:t>
      </w:r>
    </w:p>
    <w:p w14:paraId="5791E3C6" w14:textId="77777777" w:rsidR="00DB2B68" w:rsidRDefault="00000000">
      <w:pPr>
        <w:pStyle w:val="Author-eListParagraph"/>
        <w:numPr>
          <w:ilvl w:val="0"/>
          <w:numId w:val="332"/>
        </w:numPr>
      </w:pPr>
      <w:r>
        <w:t>Ajout d’eau ou d’adjuvants dans le mixer non prévu</w:t>
      </w:r>
    </w:p>
    <w:p w14:paraId="12DC08FC" w14:textId="77777777" w:rsidR="00DB2B68" w:rsidRDefault="00000000">
      <w:r>
        <w:t>• Le béton est déversé endéans le délai garanti mentionné sur les bordereaux de livraison ; le délai court à partir du premier contact entre l’eau et le ciment. Le béton qui n’est pas déversé endéans le délai garanti ne peut plus être utilisé.</w:t>
      </w:r>
    </w:p>
    <w:p w14:paraId="1E516E29" w14:textId="77777777" w:rsidR="00DB2B68" w:rsidRDefault="00000000">
      <w:r>
        <w:t>• Lorsque la hauteur de chute est supérieure à 1 mètre, l’entrepreneur utilise des accessoires tels que goulottes, manchon en caoutchouc (cufas, pompes à béton, …)</w:t>
      </w:r>
    </w:p>
    <w:p w14:paraId="34FBE0BB" w14:textId="77777777" w:rsidR="00DB2B68" w:rsidRDefault="00000000">
      <w:r>
        <w:t>• Le coulage du béton à l’aide d’une pompe à béton pneumatique fait l’objet d’une autorisation préalable. Si, du fait de l’utilisation d’une pompe, l’entrepreneur adapte la composition de béton, il le fait dans le respect du Cahier des Charges et sans frais supplémentaire.</w:t>
      </w:r>
    </w:p>
    <w:p w14:paraId="3DE92480" w14:textId="77777777" w:rsidR="00DB2B68" w:rsidRDefault="00000000">
      <w:r>
        <w:rPr>
          <w:b/>
        </w:rPr>
        <w:t>COMPACTAGE - SERRAGE</w:t>
      </w:r>
    </w:p>
    <w:p w14:paraId="342A0FAD" w14:textId="77777777" w:rsidR="00DB2B68" w:rsidRDefault="00000000">
      <w:r>
        <w:t>• Les mesures nécessaires doivent être prises pour que le béton reste homogène pendant le compactage et que l'air occlus en soit évacué.</w:t>
      </w:r>
    </w:p>
    <w:p w14:paraId="4CA83D22" w14:textId="77777777" w:rsidR="00DB2B68" w:rsidRDefault="00000000">
      <w:r>
        <w:t>• Lorsqu’il n’est pas utilisé de béton autoplaçant, le compactage est effectué par vibration à l’aide d’aiguilles vibrantes, de vibrateur de coffrage, (tables à secousses) ou de vibrateurs de surface. L’attention de l’entrepreneur est attirée sur le fait qu’un temps de vibration trop long risque de provoquer la ségrégation du béton, qui se manifeste par une remontée exagérée de lait de ciment et d’eau à la surface. L’aiguille vibrante peut être introduite rapidement dans le béton mais doit en être retirée progressivement. Les vibrations ne peuvent pas s’effectuer contre le coffrage ou les armatures et d’autant moins contre les pièces longues où les vibrations risquent d’être transmises au béton dont la phase de prise est déjà commencée.</w:t>
      </w:r>
    </w:p>
    <w:p w14:paraId="6D3E20A8" w14:textId="77777777" w:rsidR="00DB2B68" w:rsidRDefault="00000000">
      <w:r>
        <w:t>• L’entrepreneur veille à toujours avoir une aiguille vibrante en réserve sur chantier. En effet, car une panne ne peut en aucun cas être invoquée pour ne pas compacter le béton.</w:t>
      </w:r>
    </w:p>
    <w:p w14:paraId="0377CF09" w14:textId="77777777" w:rsidR="00DB2B68" w:rsidRDefault="00000000">
      <w:r>
        <w:t>• Le coulage du béton est interdit par temps de pluie, de neige abondante ou de gel.</w:t>
      </w:r>
    </w:p>
    <w:p w14:paraId="264E4571" w14:textId="77777777" w:rsidR="00DB2B68" w:rsidRDefault="00000000">
      <w:r>
        <w:rPr>
          <w:b/>
        </w:rPr>
        <w:t>JOINTS DE REPRISE</w:t>
      </w:r>
    </w:p>
    <w:p w14:paraId="23CACA3B" w14:textId="77777777" w:rsidR="00DB2B68" w:rsidRDefault="00000000">
      <w:r>
        <w:t>Pour les coulages consécutifs d’éléments en béton, il y a lieu de prendre les précautions suivantes :</w:t>
      </w:r>
    </w:p>
    <w:p w14:paraId="35BD0C88" w14:textId="77777777" w:rsidR="00DB2B68" w:rsidRDefault="00000000">
      <w:r>
        <w:t>• Les joints de reprise sont limités au minimum et doivent être prévus aux endroits les moins nuisibles au niveau de la résistance et de l’aspect final de l’ouvrage de construction ; dans la mesure du possible, ils sont prévus dans les zones comprimées.</w:t>
      </w:r>
    </w:p>
    <w:p w14:paraId="309681BE" w14:textId="77777777" w:rsidR="00DB2B68" w:rsidRDefault="00000000">
      <w:r>
        <w:t>• Les règles de la [NBN EN 13670] et la [NBN B 15-400] sont respectées.</w:t>
      </w:r>
    </w:p>
    <w:p w14:paraId="18FC22AE" w14:textId="77777777" w:rsidR="00DB2B68" w:rsidRDefault="00000000">
      <w:r>
        <w:rPr>
          <w:b/>
        </w:rPr>
        <w:t>PROTECTION – HUMIDIFICATION</w:t>
      </w:r>
    </w:p>
    <w:p w14:paraId="1BCB19B9" w14:textId="77777777" w:rsidR="00DB2B68" w:rsidRDefault="00000000">
      <w:r>
        <w:t xml:space="preserve">• L’entrepreneur prend toutes les précautions nécessaires pour que le béton fraîchement coulé puisse durcir dans les meilleures conditions. Le béton fraîchement coulé est protégé contre la dessiccation par un moyen de cure (maintien du coffrage, pulvérisation d’eau, film plastique, produit de cure, ..) afin de prévenir la formation de fissures de retrait. Les produits de cure correspondent aux </w:t>
      </w:r>
      <w:r>
        <w:lastRenderedPageBreak/>
        <w:t xml:space="preserve">prescriptions de l’article </w:t>
      </w:r>
      <w:hyperlink w:anchor="546" w:history="1">
        <w:r>
          <w:rPr>
            <w:color w:val="0000EE"/>
          </w:rPr>
          <w:t>22.72 Produits de cure et adjuvants</w:t>
        </w:r>
      </w:hyperlink>
      <w:r>
        <w:t>. La norme [NBN B 15-400] précise entre autres les délais de cure du béton.</w:t>
      </w:r>
    </w:p>
    <w:p w14:paraId="59A67DA3" w14:textId="77777777" w:rsidR="00DB2B68" w:rsidRDefault="00000000">
      <w:r>
        <w:t>• Le béton fraîchement mis en œuvre est dûment protégé contre l’affouillement suite à de grosses averses, contre les dégâts que peut provoquer la grêle et, s’il y a lieu, contre la poussière nuisible provenant des usines. Les ouvrages fraîchement bétonnés, et surtout les éléments de faible épaisseur, doivent être protégés (froid, vent, pluie, …) à l’aide de moyens appropriés.</w:t>
      </w:r>
    </w:p>
    <w:p w14:paraId="632EAF3A" w14:textId="77777777" w:rsidR="00DB2B68" w:rsidRDefault="00000000">
      <w:r>
        <w:t>• Les normes [NBN EN 13670] et [NBN B 15-400] donnent les précautions minimales à prendre en cas de gel ou temps froid. La protection contre le gel peut être prise en compte au moyen des critères de maturité du béton. La température à la surface du béton ne peut descendre au-dessous de 0 °C tant que le béton superficiel n'a pas atteint une résistance lui permettant de résister au gel (on considère pour cela que la résistance à la compression est supérieure à 5 N/mm²). En pratique, la température de la surface la plus exposée du béton est d'au moins + 5 °C pendant les 72 heures qui suivent la mise en place. On peut déroger à ce principe et adopter des délais plus courts mais seulement après des essais préalables. Voir norme [NBN B 15-400].</w:t>
      </w:r>
    </w:p>
    <w:p w14:paraId="11053C2F" w14:textId="77777777" w:rsidR="00DB2B68" w:rsidRDefault="00000000">
      <w:r>
        <w:t>• L’entrepreneur empêche que le béton fraîchement mis en œuvre soit foulé et/ou que des matériaux y soient entreposés.</w:t>
      </w:r>
    </w:p>
    <w:p w14:paraId="10E29112" w14:textId="77777777" w:rsidR="00DB2B68" w:rsidRDefault="00000000">
      <w:r>
        <w:rPr>
          <w:b/>
        </w:rPr>
        <w:t>DÉCOFFRAGE</w:t>
      </w:r>
    </w:p>
    <w:p w14:paraId="5EE429A4" w14:textId="77777777" w:rsidR="00DB2B68" w:rsidRDefault="00000000">
      <w:r>
        <w:t>• Le décoffrage s’effectue sans à-coups et uniquement sous l’effet des forces statiques exercées lentement et progressivement. Il ne peut provoquer de tensions défavorables ou nuisibles dans les ouvrages déjà effectués.</w:t>
      </w:r>
    </w:p>
    <w:p w14:paraId="721E6B11" w14:textId="77777777" w:rsidR="00DB2B68" w:rsidRDefault="00000000">
      <w:r>
        <w:t>• Le décoffrage ne s’effectue pas avant que le béton n’ait atteint une résistance suffisante et ne soit suffisamment durci. Les délais de décoffrage doivent être calculés en fonction du niveau de charge appliqué au cours des travaux, des déformations induites et de la résistance effective du béton (estimée notamment par des essais sur cubes). En l’absence de données détaillées, les valeurs minimales de délais de décoffrage sont reprises dans la [NBN B 15-400], tenant compte de l’évolution de la résistance du béton.</w:t>
      </w:r>
    </w:p>
    <w:p w14:paraId="13FE59FF" w14:textId="77777777" w:rsidR="00DB2B68" w:rsidRDefault="00000000">
      <w:r>
        <w:t>• Pour effectuer un décoffrage précoce, l’entrepreneur peut, à ses frais, risques et périls, utiliser une composition de béton adaptée (ciment à durcissement rapide, accélérateur de prise non chloré, …). Cette modification est préalablement soumise à l’approbation de la Direction de Chantier.</w:t>
      </w:r>
    </w:p>
    <w:p w14:paraId="1FCF57FE" w14:textId="77777777" w:rsidR="00DB2B68" w:rsidRDefault="00000000">
      <w:r>
        <w:t>• Toutes les bavures et les restes de béton sont enlevés et les bords sont libérés. Plus aucune trace de lait de ciment, de restes ou de salissures ne peut être visible.</w:t>
      </w:r>
    </w:p>
    <w:p w14:paraId="706F6245" w14:textId="77777777" w:rsidR="00DB2B68" w:rsidRDefault="00000000">
      <w:r>
        <w:t>Remarque :</w:t>
      </w:r>
      <w:r>
        <w:br/>
        <w:t>Lorsqu’un programme de décoffrage particulier est imposé, l’auteur de projet en avertit l’entrepreneur en temps utile.</w:t>
      </w:r>
    </w:p>
    <w:p w14:paraId="7C19D757" w14:textId="77777777" w:rsidR="00DB2B68" w:rsidRDefault="00000000">
      <w:r>
        <w:t>Interventions ultérieures</w:t>
      </w:r>
      <w:r>
        <w:br/>
        <w:t>Aucun percement ne peut être réalisé dans les éléments en béton, ni par forage ni par décapage, sans l’approbation préalable de l’auteur de projet ou de l’ingénieur.</w:t>
      </w:r>
    </w:p>
    <w:p w14:paraId="06672290" w14:textId="77777777" w:rsidR="00DB2B68" w:rsidRDefault="00000000">
      <w:r>
        <w:rPr>
          <w:rStyle w:val="headingChar"/>
        </w:rPr>
        <w:t>Prescriptions Complémentaires Pour L’Exécution Et La Mise En Œuvre Du Béton Apparent Avec Des Exigences Esthétiques Coulé En Place</w:t>
      </w:r>
    </w:p>
    <w:p w14:paraId="3DA5AED4" w14:textId="77777777" w:rsidR="00DB2B68" w:rsidRDefault="00000000">
      <w:r>
        <w:t>• L’entrepreneur respecte les choix de l’auteur de projet en ce qui concerne les coffrages, entre autres pour les matériaux, la texture, la disposition des plaques, le dimensionnement des lattes périphériques, les joints de reprise, les écarteurs, les produits autorisés, …</w:t>
      </w:r>
    </w:p>
    <w:p w14:paraId="1830BD8E" w14:textId="77777777" w:rsidR="00DB2B68" w:rsidRDefault="00000000">
      <w:r>
        <w:t>• Au début du projet de construction, après concertation approfondie sur les objectifs esthétiques recherchés, un maximum de 5 échantillons d’une surface représentative supérieure à 1 m² sont réalisés successivement sans frais supplémentaires et sont soumis pour approbation. L’échantillon approuvé est protégé et sert de référence pendant toute la durée de la construction.</w:t>
      </w:r>
    </w:p>
    <w:p w14:paraId="20E4AF74" w14:textId="77777777" w:rsidR="00DB2B68" w:rsidRDefault="00000000">
      <w:r>
        <w:t>• Pour que l’entrepreneur puisse tester sa méthode d’exécution, une coulée d’essai est exécutée en vraie grandeur selon les spécifications prescrites et les points d’attention convenus ; un protocole est rédigé à l’issue de celle-ci.</w:t>
      </w:r>
    </w:p>
    <w:p w14:paraId="002BB7D5" w14:textId="77777777" w:rsidR="00DB2B68" w:rsidRDefault="00000000">
      <w:r>
        <w:lastRenderedPageBreak/>
        <w:t>• Pour les bétons apparents avec des exigences esthétiques, les écarteurs des armatures contre le coffrage sont du type quasi invisible à la surface du béton. L'entrepreneur apporte un soin particulier au nettoyage de la peau de coffrage et du fond de coffrage; avant le coulage du béton, les restes de ligatures, clous et autres impuretés sont soigneusement éliminés par rinçage, aspirateur et/ou au compresseur à air. Les produits de décoffrage ne doivent pas compromettre l’aspect esthétique du béton.</w:t>
      </w:r>
    </w:p>
    <w:p w14:paraId="28380CD2" w14:textId="77777777" w:rsidR="00DB2B68" w:rsidRDefault="00000000">
      <w:r>
        <w:t>• Dans le cas où les façades subissent une protection de surface à long terme, les produits de protection ne nuisent pas à l’aspect esthétique des éléments. Ils sont résistants aux UV et adaptés à la composition et à la finition du béton. Leurs instructions d’utilisation et d’entretien doivent être remises au maître d’ouvrage. Les produits de protection de surface sont appliqués systématiquement sur toutes les surfaces apparentes avec des exigences esthétiques qui doivent être nettoyées au préalable. L’application se fait conformément à la fiche technique du produit.</w:t>
      </w:r>
    </w:p>
    <w:p w14:paraId="09508EBD" w14:textId="77777777" w:rsidR="00DB2B68" w:rsidRDefault="00000000">
      <w:r>
        <w:rPr>
          <w:b/>
        </w:rPr>
        <w:t>FINITION DE SURFACE</w:t>
      </w:r>
    </w:p>
    <w:p w14:paraId="72809E3B" w14:textId="77777777" w:rsidR="00DB2B68" w:rsidRDefault="00000000">
      <w:r>
        <w:t>Le béton apparent est de type ZBA/1 // ZBA/2 // ZBA/3 // ZBA/4 // ZBA/5 // ZBA/6</w:t>
      </w:r>
    </w:p>
    <w:p w14:paraId="4B4338C4" w14:textId="77777777" w:rsidR="00DB2B68" w:rsidRDefault="00000000">
      <w:pPr>
        <w:pStyle w:val="Author-eListParagraph"/>
        <w:numPr>
          <w:ilvl w:val="0"/>
          <w:numId w:val="333"/>
        </w:numPr>
      </w:pPr>
      <w:r>
        <w:t>Le béton apparent de type ZBA/1 a une surface coffrée, brute et lisse. La texture se limite à la variation géométrique causée par les joints, l'empreinte du cadre, etc. ;</w:t>
      </w:r>
    </w:p>
    <w:p w14:paraId="6CE59071" w14:textId="77777777" w:rsidR="00DB2B68" w:rsidRDefault="00000000">
      <w:pPr>
        <w:pStyle w:val="Author-eListParagraph"/>
        <w:numPr>
          <w:ilvl w:val="0"/>
          <w:numId w:val="333"/>
        </w:numPr>
      </w:pPr>
      <w:r>
        <w:t>Le béton apparent de type ZBA/2 a une surface coffrée, brute et finement texturée, générée par exemple par l'empreinte du grain fin de la peau de coffrage ou l’empreinte d’une nappe de coffrage à perméabilité contrôlée (CPF-liner) ;</w:t>
      </w:r>
    </w:p>
    <w:p w14:paraId="3DE325B4" w14:textId="77777777" w:rsidR="00DB2B68" w:rsidRDefault="00000000">
      <w:pPr>
        <w:pStyle w:val="Author-eListParagraph"/>
        <w:numPr>
          <w:ilvl w:val="0"/>
          <w:numId w:val="333"/>
        </w:numPr>
      </w:pPr>
      <w:r>
        <w:t>Le béton apparent de type ZBA/3 a une surface coffrée, brute et grossièrement texturée (générée par exemple par l'empreinte du grain grossier de la peau de coffrage) ou à relief (générée par exemple par une matrice structurée ou les nervures des planches de coffrage) ;</w:t>
      </w:r>
    </w:p>
    <w:p w14:paraId="4E2A3E89" w14:textId="77777777" w:rsidR="00DB2B68" w:rsidRDefault="00000000">
      <w:pPr>
        <w:pStyle w:val="Author-eListParagraph"/>
        <w:numPr>
          <w:ilvl w:val="0"/>
          <w:numId w:val="333"/>
        </w:numPr>
      </w:pPr>
      <w:r>
        <w:t>Le béton apparent de type ZBA/4 a une surface coffrée, traitée et lisse ou finement structurée ;</w:t>
      </w:r>
    </w:p>
    <w:p w14:paraId="45ADE6EF" w14:textId="77777777" w:rsidR="00DB2B68" w:rsidRDefault="00000000">
      <w:pPr>
        <w:pStyle w:val="Author-eListParagraph"/>
        <w:numPr>
          <w:ilvl w:val="0"/>
          <w:numId w:val="333"/>
        </w:numPr>
      </w:pPr>
      <w:r>
        <w:t>Le béton apparent de type ZBA/5 a une surface coffrée, traitée et grossièrement texturée ou à relief ;</w:t>
      </w:r>
    </w:p>
    <w:p w14:paraId="3B813E82" w14:textId="77777777" w:rsidR="00DB2B68" w:rsidRDefault="00000000">
      <w:pPr>
        <w:pStyle w:val="Author-eListParagraph"/>
        <w:numPr>
          <w:ilvl w:val="0"/>
          <w:numId w:val="333"/>
        </w:numPr>
      </w:pPr>
      <w:r>
        <w:t>Le béton apparent de type ZBA/6 a une surface non coffrée et traitée.</w:t>
      </w:r>
    </w:p>
    <w:p w14:paraId="6847D957" w14:textId="77777777" w:rsidR="00DB2B68" w:rsidRDefault="00000000">
      <w:r>
        <w:t xml:space="preserve">Les bétons apparents des trois derniers types reçoivent un des traitements suivants : lavage à l’eau, brossage, bouchardage, grenaillage, grésage, polissage mat ou polissage brillant, comme décrit en </w:t>
      </w:r>
      <w:hyperlink w:anchor="486" w:history="1">
        <w:r>
          <w:rPr>
            <w:color w:val="0000EE"/>
          </w:rPr>
          <w:t>22.71 Traitements esthétiques ou de surface</w:t>
        </w:r>
      </w:hyperlink>
      <w:r>
        <w:t>.</w:t>
      </w:r>
    </w:p>
    <w:p w14:paraId="2769CFD3" w14:textId="77777777" w:rsidR="00DB2B68" w:rsidRDefault="00000000">
      <w:r>
        <w:t>La classe de finition définie suivant la [NBN B 15-007] est la combinaison des caractéristiques suivantes :</w:t>
      </w:r>
    </w:p>
    <w:p w14:paraId="215696BD" w14:textId="77777777" w:rsidR="00DB2B68" w:rsidRDefault="00000000">
      <w:pPr>
        <w:pStyle w:val="Author-eListParagraph"/>
        <w:numPr>
          <w:ilvl w:val="0"/>
          <w:numId w:val="334"/>
        </w:numPr>
      </w:pPr>
      <w:r>
        <w:t>La texture : T1 / T2 / T3</w:t>
      </w:r>
    </w:p>
    <w:p w14:paraId="11E19646" w14:textId="77777777" w:rsidR="00DB2B68" w:rsidRDefault="00000000">
      <w:pPr>
        <w:pStyle w:val="Author-eListParagraph"/>
        <w:numPr>
          <w:ilvl w:val="0"/>
          <w:numId w:val="334"/>
        </w:numPr>
      </w:pPr>
      <w:r>
        <w:t>Le bullage : LBA1 / LBA2 / LBA3</w:t>
      </w:r>
    </w:p>
    <w:p w14:paraId="164EA518" w14:textId="77777777" w:rsidR="00DB2B68" w:rsidRDefault="00000000">
      <w:pPr>
        <w:pStyle w:val="Author-eListParagraph"/>
        <w:numPr>
          <w:ilvl w:val="0"/>
          <w:numId w:val="334"/>
        </w:numPr>
      </w:pPr>
      <w:r>
        <w:t>L’homogénéité de teinte : HT1 / HT2 / HT3</w:t>
      </w:r>
    </w:p>
    <w:p w14:paraId="62203CE5" w14:textId="77777777" w:rsidR="00DB2B68" w:rsidRDefault="00000000">
      <w:pPr>
        <w:pStyle w:val="Author-eListParagraph"/>
        <w:numPr>
          <w:ilvl w:val="0"/>
          <w:numId w:val="334"/>
        </w:numPr>
      </w:pPr>
      <w:r>
        <w:t>La tolérance de forme : VF1 / VF2 / VF3</w:t>
      </w:r>
    </w:p>
    <w:p w14:paraId="09CCF95B" w14:textId="77777777" w:rsidR="00DB2B68" w:rsidRDefault="00000000">
      <w:r>
        <w:t>Plus le numéro de la classe pour une caractéristique est élevé, plus les exigences sont sévères pour cette classe.</w:t>
      </w:r>
    </w:p>
    <w:p w14:paraId="1786DB92" w14:textId="77777777" w:rsidR="00DB2B68" w:rsidRDefault="00000000">
      <w:r>
        <w:t>Lorsque le numéro de la classe est le même pour chaque caractéristique, une distinction est faite entre les classes de béton apparent C, B et A.</w:t>
      </w:r>
    </w:p>
    <w:p w14:paraId="2BA23CC4" w14:textId="77777777" w:rsidR="00DB2B68" w:rsidRDefault="00000000">
      <w:pPr>
        <w:pStyle w:val="Author-eListParagraph"/>
        <w:numPr>
          <w:ilvl w:val="0"/>
          <w:numId w:val="335"/>
        </w:numPr>
      </w:pPr>
      <w:r>
        <w:t>La combinaison de classes T1, LBA1, HT1, VTF1 correspond à la classe de béton apparent C</w:t>
      </w:r>
    </w:p>
    <w:p w14:paraId="0A02050C" w14:textId="77777777" w:rsidR="00DB2B68" w:rsidRDefault="00000000">
      <w:pPr>
        <w:pStyle w:val="Author-eListParagraph"/>
        <w:numPr>
          <w:ilvl w:val="0"/>
          <w:numId w:val="335"/>
        </w:numPr>
      </w:pPr>
      <w:r>
        <w:t>La combinaison de classes T2, LBA2, HT2, VTF2 correspond à la classe de béton apparent B</w:t>
      </w:r>
    </w:p>
    <w:p w14:paraId="0A8848AC" w14:textId="77777777" w:rsidR="00DB2B68" w:rsidRDefault="00000000">
      <w:pPr>
        <w:pStyle w:val="Author-eListParagraph"/>
        <w:numPr>
          <w:ilvl w:val="0"/>
          <w:numId w:val="335"/>
        </w:numPr>
      </w:pPr>
      <w:r>
        <w:t>La combinaison de classes T3, LBA3, HT3, VTF3 correspond à la classe de béton apparent A</w:t>
      </w:r>
    </w:p>
    <w:p w14:paraId="2958A183" w14:textId="77777777" w:rsidR="00DB2B68" w:rsidRDefault="00000000">
      <w:r>
        <w:t>La classe de béton apparent A correspond aux exigences les plus élevées.</w:t>
      </w:r>
    </w:p>
    <w:p w14:paraId="4838ECD1" w14:textId="77777777" w:rsidR="00DB2B68" w:rsidRDefault="00000000">
      <w:r>
        <w:rPr>
          <w:rStyle w:val="headingChar"/>
        </w:rPr>
        <w:t>Eléments Préfabriqués En Béton</w:t>
      </w:r>
    </w:p>
    <w:p w14:paraId="4AE1D9AE" w14:textId="77777777" w:rsidR="00DB2B68" w:rsidRDefault="00000000">
      <w:r>
        <w:rPr>
          <w:b/>
        </w:rPr>
        <w:t>MONTAGE</w:t>
      </w:r>
    </w:p>
    <w:p w14:paraId="5568B430" w14:textId="77777777" w:rsidR="00DB2B68" w:rsidRDefault="00000000">
      <w:r>
        <w:t xml:space="preserve">Tous les éléments sont montés dans le respect des tolérances imposées par les normes [NBN EN 13670] et [NBN B 15-400]. La face supérieure des éléments préfabriqués correspond au niveau et à </w:t>
      </w:r>
      <w:r>
        <w:lastRenderedPageBreak/>
        <w:t>l’épaisseur des planchers, conformément aux indications sur les plans d’architecture. Tant verticalement qu’horizontalement, ils sont fixés de manière à pouvoir résister aux mouvements sous l’influence des changements de température et ce, sans que ne se produisent des tensions parasitaires dans la structure qui n’est pas soumise à ces variations de température. Les recommandations données en la matière par l’ingénieur conseil sont scrupuleusement suivies.</w:t>
      </w:r>
    </w:p>
    <w:p w14:paraId="2CD57652" w14:textId="77777777" w:rsidR="00DB2B68" w:rsidRDefault="00000000">
      <w:r>
        <w:t>Les opérations de montage, et en particulier le désélingage, doivent s’effectuer suivant les règles de l’art décrites dans les NIT.</w:t>
      </w:r>
    </w:p>
    <w:p w14:paraId="1428FC50" w14:textId="77777777" w:rsidR="00DB2B68" w:rsidRDefault="00000000">
      <w:pPr>
        <w:pStyle w:val="pheading"/>
      </w:pPr>
      <w:r>
        <w:t>CONTRÔLES</w:t>
      </w:r>
    </w:p>
    <w:p w14:paraId="03643859" w14:textId="77777777" w:rsidR="00DB2B68" w:rsidRDefault="00000000">
      <w:r>
        <w:rPr>
          <w:rStyle w:val="headingChar"/>
        </w:rPr>
        <w:t>Béton Prêt À L'emploi</w:t>
      </w:r>
    </w:p>
    <w:p w14:paraId="36D2530C" w14:textId="77777777" w:rsidR="00DB2B68" w:rsidRDefault="00000000">
      <w:r>
        <w:t>Le matériau et/ou sa mise en œuvre disposent d'une déclaration d'aptiture à l'utilisation suivant les prescriptions de l'élément 02.42.1 Critères d'acceptabilité. En cas d’usage de béton ne disposant pas d’une telle déclaration, un contrôle du béton prêt à l'emploi est effectué à l'aide d'un nombre limité d'échantillons (cubes d'essai) aux frais de l'entrepreneur, selon les normes :</w:t>
      </w:r>
    </w:p>
    <w:p w14:paraId="3DC8CD59" w14:textId="77777777" w:rsidR="00DB2B68" w:rsidRDefault="00000000">
      <w:r>
        <w:t>[NBN EN 12350 série]</w:t>
      </w:r>
    </w:p>
    <w:p w14:paraId="5B7AAEF0" w14:textId="77777777" w:rsidR="00DB2B68" w:rsidRDefault="00000000">
      <w:r>
        <w:t>[NBN EN 12390 série]</w:t>
      </w:r>
    </w:p>
    <w:p w14:paraId="0C9624B4" w14:textId="77777777" w:rsidR="00DB2B68" w:rsidRDefault="00000000">
      <w:r>
        <w:t>[NBN EN 12504-1]</w:t>
      </w:r>
    </w:p>
    <w:p w14:paraId="770AB600" w14:textId="77777777" w:rsidR="00DB2B68" w:rsidRDefault="00000000">
      <w:r>
        <w:rPr>
          <w:b/>
        </w:rPr>
        <w:t>EXIGENCES POUR LA DURABILITÉ</w:t>
      </w:r>
    </w:p>
    <w:p w14:paraId="70F50912" w14:textId="77777777" w:rsidR="00DB2B68" w:rsidRDefault="00000000">
      <w:r>
        <w:t>• Après le décoffrage, les surfaces du béton ne présentent pas de défauts qui risquent de nuire à la résistance et/ou à la durabilité de l’ouvrage de construction.</w:t>
      </w:r>
    </w:p>
    <w:p w14:paraId="0369E71C" w14:textId="77777777" w:rsidR="00DB2B68" w:rsidRDefault="00000000">
      <w:r>
        <w:t>• Si l’enrobage mesuré n’est pas conforme aux plans ou aux spécifications, l’ouvrage ou partie d’ouvrage est démolie et reconstruite aux frais de l’adjudicataire. Sur base d’un dossier technique spécifique remis par l’adjudicataire, lorsqu’une réparation est possible et mène à un résultat conforme au point de vue de la stabilité de l’ouvrage, de son aspect et de sa durabilité, celle-ci peut être autorisée par le maître de l’ouvrage.</w:t>
      </w:r>
    </w:p>
    <w:p w14:paraId="10D3E27C" w14:textId="77777777" w:rsidR="00DB2B68" w:rsidRDefault="00000000">
      <w:r>
        <w:t>• Sont réparés par l’entrepreneur : les nids de gravier, les bulles d’air de grandes dimensions ou en grand nombre, les épaufrures des bords ou les écornures des angles, les fissures avec une ouverture supérieure à celles admissibles selon la norme [NBN EN 1992-1-1 ANB] (pour des raisons de durabilité) ou supérieures à celles admises par la [NBN B 15-007] (pour des raisons esthétiques).</w:t>
      </w:r>
    </w:p>
    <w:p w14:paraId="2BA46333" w14:textId="77777777" w:rsidR="00DB2B68" w:rsidRDefault="00000000">
      <w:r>
        <w:t>• Seules sont admises les réparations qui mènent à un résultat conforme à toutes les prescriptions (cahier des charges, normes, exigences esthétiques éventuelles…). Dans le cas contraire, l’ouvrage ou la partie d’ouvrage est démolie et reconstruite aux frais de l’adjudicataire.</w:t>
      </w:r>
    </w:p>
    <w:p w14:paraId="5C7E5F30" w14:textId="77777777" w:rsidR="00DB2B68" w:rsidRDefault="00000000">
      <w:r>
        <w:rPr>
          <w:b/>
        </w:rPr>
        <w:t>EXIGENCES D’ASPECT</w:t>
      </w:r>
    </w:p>
    <w:p w14:paraId="77168F19" w14:textId="77777777" w:rsidR="00DB2B68" w:rsidRDefault="00000000">
      <w:r>
        <w:t>S’il n’y a pas d’exigence esthétique et pour autant que les tolérances soient respectées, les défauts suivants sont acceptables :</w:t>
      </w:r>
    </w:p>
    <w:p w14:paraId="377CAA0B" w14:textId="77777777" w:rsidR="00DB2B68" w:rsidRDefault="00000000">
      <w:pPr>
        <w:pStyle w:val="Author-eListParagraph"/>
        <w:numPr>
          <w:ilvl w:val="0"/>
          <w:numId w:val="336"/>
        </w:numPr>
      </w:pPr>
      <w:r>
        <w:t>des joints de reprise visibles et non désirés ou une délimitation entre les phases du bétonnage,</w:t>
      </w:r>
    </w:p>
    <w:p w14:paraId="44943A7E" w14:textId="77777777" w:rsidR="00DB2B68" w:rsidRDefault="00000000">
      <w:pPr>
        <w:pStyle w:val="Author-eListParagraph"/>
        <w:numPr>
          <w:ilvl w:val="0"/>
          <w:numId w:val="336"/>
        </w:numPr>
      </w:pPr>
      <w:r>
        <w:t>une courbure visible par rapport à la verticale ou à l’horizontale,</w:t>
      </w:r>
    </w:p>
    <w:p w14:paraId="0594CD18" w14:textId="77777777" w:rsidR="00DB2B68" w:rsidRDefault="00000000">
      <w:pPr>
        <w:pStyle w:val="Author-eListParagraph"/>
        <w:numPr>
          <w:ilvl w:val="0"/>
          <w:numId w:val="336"/>
        </w:numPr>
      </w:pPr>
      <w:r>
        <w:t>des bords saillants en raison de la déviation d’un ou de plusieurs panneaux de coffrage,</w:t>
      </w:r>
    </w:p>
    <w:p w14:paraId="388CB29D" w14:textId="77777777" w:rsidR="00DB2B68" w:rsidRDefault="00000000">
      <w:pPr>
        <w:pStyle w:val="Author-eListParagraph"/>
        <w:numPr>
          <w:ilvl w:val="0"/>
          <w:numId w:val="336"/>
        </w:numPr>
      </w:pPr>
      <w:r>
        <w:t>les bavures de lait de ciment.</w:t>
      </w:r>
    </w:p>
    <w:p w14:paraId="08AD00EA" w14:textId="77777777" w:rsidR="00DB2B68" w:rsidRDefault="00000000">
      <w:r>
        <w:rPr>
          <w:rStyle w:val="headingChar"/>
        </w:rPr>
        <w:t>Prescriptions Complémentaires Pour Le Contrôle Du Béton Apparent Coulé En Place Avec Des Exigences Esthétiques</w:t>
      </w:r>
    </w:p>
    <w:p w14:paraId="7008B63F" w14:textId="77777777" w:rsidR="00DB2B68" w:rsidRDefault="00000000">
      <w:r>
        <w:rPr>
          <w:b/>
        </w:rPr>
        <w:t>CONTRÔLE DES TOLÉRANCES DE FORME</w:t>
      </w:r>
    </w:p>
    <w:p w14:paraId="1944734B" w14:textId="77777777" w:rsidR="00DB2B68" w:rsidRDefault="00000000">
      <w:r>
        <w:t>L’évaluation du caractère acceptable ou non se fait sur base de la norme [NBN B 15-007].</w:t>
      </w:r>
    </w:p>
    <w:p w14:paraId="7207C701" w14:textId="77777777" w:rsidR="00DB2B68" w:rsidRDefault="00000000">
      <w:r>
        <w:rPr>
          <w:b/>
        </w:rPr>
        <w:t>CONTRÔLE DE LA TEXTURE</w:t>
      </w:r>
    </w:p>
    <w:p w14:paraId="2F6A6B7F" w14:textId="77777777" w:rsidR="00DB2B68" w:rsidRDefault="00000000">
      <w:r>
        <w:t>Les valeurs limites sont vérifiées au niveau</w:t>
      </w:r>
    </w:p>
    <w:p w14:paraId="20AAC3FA" w14:textId="77777777" w:rsidR="00DB2B68" w:rsidRDefault="00000000">
      <w:pPr>
        <w:pStyle w:val="Author-eListParagraph"/>
        <w:numPr>
          <w:ilvl w:val="0"/>
          <w:numId w:val="337"/>
        </w:numPr>
      </w:pPr>
      <w:r>
        <w:t>des traînées de sable</w:t>
      </w:r>
    </w:p>
    <w:p w14:paraId="522D0351" w14:textId="77777777" w:rsidR="00DB2B68" w:rsidRDefault="00000000">
      <w:pPr>
        <w:pStyle w:val="Author-eListParagraph"/>
        <w:numPr>
          <w:ilvl w:val="0"/>
          <w:numId w:val="337"/>
        </w:numPr>
      </w:pPr>
      <w:r>
        <w:lastRenderedPageBreak/>
        <w:t>de la perte de laitance ou de mortier fin le long d'un joint</w:t>
      </w:r>
    </w:p>
    <w:p w14:paraId="23E52ECB" w14:textId="77777777" w:rsidR="00DB2B68" w:rsidRDefault="00000000">
      <w:pPr>
        <w:pStyle w:val="Author-eListParagraph"/>
        <w:numPr>
          <w:ilvl w:val="0"/>
          <w:numId w:val="337"/>
        </w:numPr>
      </w:pPr>
      <w:r>
        <w:t>de la perte de laitance ou de mortier fin le long des arêtes</w:t>
      </w:r>
    </w:p>
    <w:p w14:paraId="2A40D898" w14:textId="77777777" w:rsidR="00DB2B68" w:rsidRDefault="00000000">
      <w:r>
        <w:t>L’évaluation du caractère acceptable ou non se fait sur base de la norme [NBN B 15-007].</w:t>
      </w:r>
    </w:p>
    <w:p w14:paraId="14C21790" w14:textId="77777777" w:rsidR="00DB2B68" w:rsidRDefault="00000000">
      <w:r>
        <w:rPr>
          <w:b/>
        </w:rPr>
        <w:t>CONTRÔLE DU BULLAGE</w:t>
      </w:r>
    </w:p>
    <w:p w14:paraId="750EA8B4" w14:textId="77777777" w:rsidR="00DB2B68" w:rsidRDefault="00000000">
      <w:r>
        <w:t>Lors du décoffrage, des bulles d’air (gênantes ou non) peuvent être constatées à la surface. L’évaluation du caractère acceptable ou non se fait sur base de la norme [NBN B 15-007].</w:t>
      </w:r>
    </w:p>
    <w:p w14:paraId="4E6B06D6" w14:textId="77777777" w:rsidR="00DB2B68" w:rsidRDefault="00000000">
      <w:r>
        <w:rPr>
          <w:b/>
        </w:rPr>
        <w:t>CONTRÔLE DE LA TEINTE</w:t>
      </w:r>
    </w:p>
    <w:p w14:paraId="7AF22CE9" w14:textId="77777777" w:rsidR="00DB2B68" w:rsidRDefault="00000000">
      <w:r>
        <w:t>Les variations de teinte dans un même élément, entre les éléments d’un même champ d’observation et, le cas échéant, entre les éléments et l’échantillon, l’échantillon-témoin ou l’élément de référence sur lesquels se base l’accord entre les contractants, sont évaluées suivant la norme [NBN B 15-007].</w:t>
      </w:r>
    </w:p>
    <w:p w14:paraId="37B1D96F" w14:textId="77777777" w:rsidR="00DB2B68" w:rsidRDefault="00000000">
      <w:r>
        <w:rPr>
          <w:rStyle w:val="headingChar"/>
        </w:rPr>
        <w:t>Eléments Préfabriqués En Béton</w:t>
      </w:r>
    </w:p>
    <w:p w14:paraId="3CEF5BA7" w14:textId="77777777" w:rsidR="00DB2B68" w:rsidRDefault="00000000">
      <w:r>
        <w:rPr>
          <w:b/>
        </w:rPr>
        <w:t>RÉCEPTION TECHNIQUE PRÉALABLE</w:t>
      </w:r>
    </w:p>
    <w:p w14:paraId="459BF7D3" w14:textId="77777777" w:rsidR="00DB2B68" w:rsidRDefault="00000000">
      <w:r>
        <w:t>Les éléments préfabriqués font l’objet d’une réception préalable suivant l’article A4.62.1 Réception technique préalable. Les produits disposent d'une déclaration d’aptitude à l'utilisation suivant les prescriptions de l'élément 02.42.1 Critères d'acceptabilité.</w:t>
      </w:r>
    </w:p>
    <w:p w14:paraId="0B7F318C" w14:textId="77777777" w:rsidR="00DB2B68" w:rsidRDefault="00000000">
      <w:r>
        <w:t>En ce qui concerne le contrôle à la production, le planning de la production est communiqué au maître de l’ouvrage s’il en fait la demande avec un préavis suffisant en vue d’un contrôle en usine. L’entrepreneur prend les dispositions nécessaires pour que ces contrôles soient organisés dans le respect du planning de la production.</w:t>
      </w:r>
    </w:p>
    <w:p w14:paraId="299C7DCF" w14:textId="77777777" w:rsidR="00DB2B68" w:rsidRDefault="00000000">
      <w:r>
        <w:rPr>
          <w:b/>
        </w:rPr>
        <w:t>CONTRÔLE SUR CHANTIER</w:t>
      </w:r>
    </w:p>
    <w:p w14:paraId="73933FA5" w14:textId="77777777" w:rsidR="00DB2B68" w:rsidRDefault="00000000">
      <w:r>
        <w:t>Les éléments préfabriqués sont réceptionnés à leur livraison sur chantier et inspectés après la pose. Les dégâts éventuels sont signalés à chaque étape à la direction de chantier.</w:t>
      </w:r>
    </w:p>
    <w:p w14:paraId="72FD87C9" w14:textId="77777777" w:rsidR="00DB2B68" w:rsidRDefault="00000000">
      <w:r>
        <w:t>Les pièces qui ont subi des dégradations pendant leur manutention, leur transport ou leur mise en œuvre sont réparées ou remplacées si la réparation ne remet pas le produit au niveau exigé par les prescriptions du cahier des charges.</w:t>
      </w:r>
    </w:p>
    <w:p w14:paraId="034F2B20" w14:textId="77777777" w:rsidR="00DB2B68" w:rsidRDefault="00000000">
      <w:r>
        <w:t>Le maître de l'ouvrage se réserve le droit de refuser des éléments préfabriqués pour tout défaut de qualité du béton risquant de nuire à la résistance et ou à la durabilité de l’élément.</w:t>
      </w:r>
    </w:p>
    <w:p w14:paraId="0F361CE8" w14:textId="77777777" w:rsidR="00DB2B68" w:rsidRDefault="00000000">
      <w:r>
        <w:t>Moyennant justification à charge de l’entrepreneur, le maître de l’ouvrage peut décider de réceptionner des éléments déclassés pour raison de résistance à la compression et/ou durabilité insuffisante à destination d’autres parties de l’ouvrage où les exigences en termes de résistance et/ou durabilité sont quand même satisfaits.</w:t>
      </w:r>
    </w:p>
    <w:p w14:paraId="29FF9F31" w14:textId="77777777" w:rsidR="00DB2B68" w:rsidRDefault="00000000">
      <w:r>
        <w:rPr>
          <w:b/>
        </w:rPr>
        <w:t>EXIGENCES D’ASPECT</w:t>
      </w:r>
    </w:p>
    <w:p w14:paraId="4E8ADA0A" w14:textId="77777777" w:rsidR="00DB2B68" w:rsidRDefault="00000000">
      <w:r>
        <w:t>Les défauts en dehors des règles de tolérance reprises dans la [NBN EN 13369] et la [NBN B 21-600] et les normes produits, et les fissures en dehors des limites de la [NBN EN 1992-1-1 ANB] en fonction de la classe d'environnement exigée doivent faire l’objet d’une réparation par l’entrepreneur.</w:t>
      </w:r>
    </w:p>
    <w:p w14:paraId="3FDB9729" w14:textId="77777777" w:rsidR="00DB2B68" w:rsidRDefault="00000000">
      <w:pPr>
        <w:ind w:left="750"/>
      </w:pPr>
      <w:r>
        <w:t> </w:t>
      </w:r>
    </w:p>
    <w:p w14:paraId="6642DE74" w14:textId="77777777" w:rsidR="00DB2B68" w:rsidRDefault="00000000">
      <w:pPr>
        <w:pStyle w:val="pheading"/>
      </w:pPr>
      <w:r>
        <w:t>DOCUMENTS DE RÉFÉRENCE</w:t>
      </w:r>
    </w:p>
    <w:p w14:paraId="2E5CEAD3" w14:textId="77777777" w:rsidR="00DB2B68" w:rsidRDefault="00000000">
      <w:pPr>
        <w:pStyle w:val="pheading"/>
      </w:pPr>
      <w:r>
        <w:t>- Matériau</w:t>
      </w:r>
    </w:p>
    <w:p w14:paraId="3DA95C98" w14:textId="77777777" w:rsidR="00DB2B68" w:rsidRDefault="00000000">
      <w:r>
        <w:rPr>
          <w:rStyle w:val="headingChar"/>
        </w:rPr>
        <w:t>Domaine D'application : Mesurage</w:t>
      </w:r>
    </w:p>
    <w:p w14:paraId="2552190C" w14:textId="77777777" w:rsidR="00DB2B68" w:rsidRDefault="00000000">
      <w:r>
        <w:t>[NBN B 06-001, Mesurage dans le bâtiment - Méthodes de mesurage de quantités]</w:t>
      </w:r>
    </w:p>
    <w:p w14:paraId="5997B56D" w14:textId="77777777" w:rsidR="00DB2B68" w:rsidRDefault="00000000">
      <w:r>
        <w:rPr>
          <w:rStyle w:val="headingChar"/>
        </w:rPr>
        <w:t>Domaine D'application : Granulats</w:t>
      </w:r>
    </w:p>
    <w:p w14:paraId="2C180F29" w14:textId="77777777" w:rsidR="00DB2B68" w:rsidRDefault="00000000">
      <w:r>
        <w:t>[NBN EN 12620+A1, Granulats pour béton]</w:t>
      </w:r>
    </w:p>
    <w:p w14:paraId="320A5556" w14:textId="77777777" w:rsidR="00DB2B68" w:rsidRDefault="00000000">
      <w:r>
        <w:rPr>
          <w:rStyle w:val="headingChar"/>
        </w:rPr>
        <w:t>Domaine D'application : Ciment</w:t>
      </w:r>
    </w:p>
    <w:p w14:paraId="51789BFC" w14:textId="77777777" w:rsidR="00DB2B68" w:rsidRDefault="00000000">
      <w:r>
        <w:lastRenderedPageBreak/>
        <w:t>[NBN EN 197-1, Ciment - Partie 1 : Composition, spécifications et critères de conformité des ciments courants]</w:t>
      </w:r>
    </w:p>
    <w:p w14:paraId="1B04E0ED" w14:textId="77777777" w:rsidR="00DB2B68" w:rsidRDefault="00000000">
      <w:r>
        <w:t>[NBN EN 197-2, Ciment - Partie 2: Evaluation et vérification de la constance de la performance]</w:t>
      </w:r>
    </w:p>
    <w:p w14:paraId="2535976D" w14:textId="77777777" w:rsidR="00DB2B68" w:rsidRDefault="00000000">
      <w:r>
        <w:rPr>
          <w:rStyle w:val="headingChar"/>
        </w:rPr>
        <w:t>Domaine D'application : Adjuvants</w:t>
      </w:r>
    </w:p>
    <w:p w14:paraId="13FEF456" w14:textId="77777777" w:rsidR="00DB2B68" w:rsidRDefault="00000000">
      <w:r>
        <w:t>[NBN T 61 série, Adjuvants pour mortiers, bétons et coulis]</w:t>
      </w:r>
    </w:p>
    <w:p w14:paraId="36F04283" w14:textId="77777777" w:rsidR="00DB2B68" w:rsidRDefault="00000000">
      <w:r>
        <w:rPr>
          <w:shd w:val="clear" w:color="auto" w:fill="FFFFFF"/>
        </w:rPr>
        <w:t>[NBN EN 934 série, Adjuvants pour béton, mortier et coulis]</w:t>
      </w:r>
    </w:p>
    <w:p w14:paraId="3A346911" w14:textId="77777777" w:rsidR="00DB2B68" w:rsidRDefault="00000000">
      <w:r>
        <w:rPr>
          <w:rStyle w:val="headingChar"/>
        </w:rPr>
        <w:t>Domaine D'application : Béton</w:t>
      </w:r>
    </w:p>
    <w:p w14:paraId="07AF83FA" w14:textId="77777777" w:rsidR="00DB2B68" w:rsidRDefault="00000000">
      <w:r>
        <w:t>[NBN B 15-2xx série, Essais des bétons]</w:t>
      </w:r>
    </w:p>
    <w:p w14:paraId="7366B647" w14:textId="77777777" w:rsidR="00DB2B68" w:rsidRDefault="00000000">
      <w:r>
        <w:rPr>
          <w:shd w:val="clear" w:color="auto" w:fill="FFFFFF"/>
        </w:rPr>
        <w:t>[NBN EN 12390 série, Essai pour béton durci]</w:t>
      </w:r>
    </w:p>
    <w:p w14:paraId="466BC54B" w14:textId="77777777" w:rsidR="00DB2B68" w:rsidRDefault="00000000">
      <w:r>
        <w:rPr>
          <w:shd w:val="clear" w:color="auto" w:fill="FFFFFF"/>
        </w:rPr>
        <w:t>[NBN EN 12350 série, Essais pour béton frais]</w:t>
      </w:r>
    </w:p>
    <w:p w14:paraId="2F7C9FB2" w14:textId="77777777" w:rsidR="00DB2B68" w:rsidRDefault="00000000">
      <w:r>
        <w:t>[NBN EN 206:2013+A2, Béton - Spécification, performances, production et conformité]</w:t>
      </w:r>
    </w:p>
    <w:p w14:paraId="5B073426" w14:textId="77777777" w:rsidR="00DB2B68" w:rsidRDefault="00000000">
      <w:r>
        <w:t>[NBN B 15-001, Béton - Spécification, performances, production et conformité - Complément national à la NBN EN 206:2013+A2:2021]</w:t>
      </w:r>
    </w:p>
    <w:p w14:paraId="3E687065" w14:textId="77777777" w:rsidR="00DB2B68" w:rsidRDefault="00000000">
      <w:r>
        <w:rPr>
          <w:rStyle w:val="headingChar"/>
        </w:rPr>
        <w:t>Domaine D'application : Armatures - Aciers Pour Béton Armé</w:t>
      </w:r>
      <w:r>
        <w:t>﻿</w:t>
      </w:r>
    </w:p>
    <w:p w14:paraId="47AC9D52" w14:textId="77777777" w:rsidR="00DB2B68" w:rsidRDefault="00000000">
      <w:r>
        <w:t>[NBN A 24-3xx série, Produits sidérurgiques - Aciers pour béton armé]</w:t>
      </w:r>
    </w:p>
    <w:p w14:paraId="441C2955" w14:textId="77777777" w:rsidR="00DB2B68" w:rsidRDefault="00000000">
      <w:r>
        <w:t>[NBN EN 10080, Aciers pour l'armature du béton - Aciers soudables pour béton armé - Généralités]</w:t>
      </w:r>
    </w:p>
    <w:p w14:paraId="076A73DB" w14:textId="77777777" w:rsidR="00DB2B68" w:rsidRDefault="00000000">
      <w:r>
        <w:t>[NBN EN 14889-1, Fibres pour béton - Partie 1 : Fibres d'acier - Définitions, spécifications et conformité]</w:t>
      </w:r>
    </w:p>
    <w:p w14:paraId="19EB4119" w14:textId="77777777" w:rsidR="00DB2B68" w:rsidRDefault="00000000">
      <w:r>
        <w:t>[PTV 302, Aciers pour béton armé - barres à nervures ou à empreintes et fils à nervures ou à empreintes à haute ductilité]</w:t>
      </w:r>
    </w:p>
    <w:p w14:paraId="712D19D2" w14:textId="77777777" w:rsidR="00DB2B68" w:rsidRDefault="00000000">
      <w:r>
        <w:t>[PTV 303, Aciers pour béton armé - Fils écrouis à froid à nervures à basse ductilité]</w:t>
      </w:r>
    </w:p>
    <w:p w14:paraId="6A4480E7" w14:textId="77777777" w:rsidR="00DB2B68" w:rsidRDefault="00000000">
      <w:r>
        <w:t>[PTV 304, Aciers pour béton armé - Treillis soudés]</w:t>
      </w:r>
    </w:p>
    <w:p w14:paraId="6112023F" w14:textId="77777777" w:rsidR="00DB2B68" w:rsidRDefault="00000000">
      <w:r>
        <w:t>[PTV 305, Aciers pour béton armé - Poutres treillis]</w:t>
      </w:r>
    </w:p>
    <w:p w14:paraId="0AED0D0C" w14:textId="77777777" w:rsidR="00DB2B68" w:rsidRDefault="00000000">
      <w:r>
        <w:t>[PTV 306, Aciers pour béton - Façonnage (dresser, couper, plier, positionner et souder)]</w:t>
      </w:r>
    </w:p>
    <w:p w14:paraId="431A36E3" w14:textId="77777777" w:rsidR="00DB2B68" w:rsidRDefault="00000000">
      <w:r>
        <w:t>[PTV 307, Aciers pour béton armé - Barres à nervures - Profil alternatif (Révision 2).]</w:t>
      </w:r>
    </w:p>
    <w:p w14:paraId="5FB87EC6" w14:textId="77777777" w:rsidR="00DB2B68" w:rsidRDefault="00000000">
      <w:r>
        <w:t>[PTV 308, Aciers pour béton armé - Armatures assemblées sous forme de panneaux plans]</w:t>
      </w:r>
    </w:p>
    <w:p w14:paraId="43E469BD" w14:textId="77777777" w:rsidR="00DB2B68" w:rsidRDefault="00000000">
      <w:r>
        <w:rPr>
          <w:rStyle w:val="headingChar"/>
        </w:rPr>
        <w:t>Domaine D'application : Dimensionnement</w:t>
      </w:r>
    </w:p>
    <w:p w14:paraId="2CB96282" w14:textId="77777777" w:rsidR="00DB2B68" w:rsidRDefault="00000000">
      <w:r>
        <w:t>[NBN EN 1990, Eurocodes structuraux - Eurocodes: Bases de calcul des structures]</w:t>
      </w:r>
    </w:p>
    <w:p w14:paraId="5F04EFD0" w14:textId="77777777" w:rsidR="00DB2B68" w:rsidRDefault="00000000">
      <w:r>
        <w:t>[NBN EN 1990 ANB, Eurocode 0 - Bases de calcul des structures - Annexe nationale]</w:t>
      </w:r>
    </w:p>
    <w:p w14:paraId="5B70EF8E" w14:textId="77777777" w:rsidR="00DB2B68" w:rsidRDefault="00000000">
      <w:r>
        <w:t>[NBN EN 1991 série, Eurocode 1 : Actions sur les structures]</w:t>
      </w:r>
    </w:p>
    <w:p w14:paraId="16A2F122" w14:textId="77777777" w:rsidR="00DB2B68" w:rsidRDefault="00000000">
      <w:r>
        <w:t>[NBN EN 1994 série, Eurocode 4 - Conception et dimensionnement des structures mixtes acier-béton]</w:t>
      </w:r>
    </w:p>
    <w:p w14:paraId="040950F7" w14:textId="77777777" w:rsidR="00DB2B68" w:rsidRDefault="00000000">
      <w:r>
        <w:t>[NBN EN 1992-1-1, Eurocode 2: Calcul des structures en béton - Partie 1-1: Règles générales et règles pour les bâtiments (+AC:2010)]</w:t>
      </w:r>
    </w:p>
    <w:p w14:paraId="7473BC44" w14:textId="77777777" w:rsidR="00DB2B68" w:rsidRDefault="00000000">
      <w:r>
        <w:t>[NBN EN 1992-1-1 ANB, Eurocode 2 : Calcul des structures en béton - Partie 1-1 : Règles générales et règles pour les bâtiments]</w:t>
      </w:r>
    </w:p>
    <w:p w14:paraId="170A60CF" w14:textId="77777777" w:rsidR="00DB2B68" w:rsidRDefault="00000000">
      <w:r>
        <w:t>[NBN B 03-003, Déformation des structures - Valeurs limites de déformation - Bâtiments]</w:t>
      </w:r>
    </w:p>
    <w:p w14:paraId="0430B274" w14:textId="77777777" w:rsidR="00DB2B68" w:rsidRDefault="00000000">
      <w:r>
        <w:rPr>
          <w:rStyle w:val="headingChar"/>
        </w:rPr>
        <w:t>Domaine D'application : Comportement Au Feu</w:t>
      </w:r>
    </w:p>
    <w:p w14:paraId="5B3ACA08" w14:textId="77777777" w:rsidR="00DB2B68" w:rsidRDefault="00000000">
      <w:r>
        <w:t>[NBN EN 1992-1-2, Eurocode 2: Calcul des structures en béton - Partie 1-2: Règles générales - Calcul du comportement au feu (+AC:2008) ]</w:t>
      </w:r>
    </w:p>
    <w:p w14:paraId="79657017" w14:textId="77777777" w:rsidR="00DB2B68" w:rsidRDefault="00000000">
      <w:r>
        <w:t>[NBN EN 1992-1-2 ANB, Eurocode 2 : Calcul des structures en béton - Partie 1-2 : Règles générales - Calcul du comportement au feu - Annexe nationale]</w:t>
      </w:r>
    </w:p>
    <w:p w14:paraId="438A24BB" w14:textId="77777777" w:rsidR="00DB2B68" w:rsidRDefault="00000000">
      <w:r>
        <w:lastRenderedPageBreak/>
        <w:t>[NBN EN 1994-1-2, Eurocode 4 - Calcul des structures mixtes acier-béton - Partie 1-2: Règles générales - Calcul du comportement au feu (+ AC:2008)]</w:t>
      </w:r>
    </w:p>
    <w:p w14:paraId="25AFF5DF" w14:textId="77777777" w:rsidR="00DB2B68" w:rsidRDefault="00000000">
      <w:r>
        <w:t>[NBN EN 1994-1-2 ANB, Eurocode 4 - Calcul des structures mixtes acier-béton - Partie 1-2 : Règles générales - Calcul du comportement au feu - Annexe nationale]</w:t>
      </w:r>
    </w:p>
    <w:p w14:paraId="6A7840FA"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2261B647" w14:textId="77777777" w:rsidR="00DB2B68" w:rsidRDefault="00000000">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14:paraId="199A7426" w14:textId="77777777" w:rsidR="00DB2B68" w:rsidRDefault="00000000">
      <w:r>
        <w:rPr>
          <w:rStyle w:val="headingChar"/>
        </w:rPr>
        <w:t>Domaine D'application : Béton Apparent</w:t>
      </w:r>
    </w:p>
    <w:p w14:paraId="55668BAD" w14:textId="77777777" w:rsidR="00DB2B68" w:rsidRDefault="00000000">
      <w:r>
        <w:t>[NBN B 15-007, Béton apparent - Classifications et spécifications]</w:t>
      </w:r>
    </w:p>
    <w:p w14:paraId="5A095CB0" w14:textId="77777777" w:rsidR="00DB2B68" w:rsidRDefault="00000000">
      <w:r>
        <w:rPr>
          <w:rStyle w:val="headingChar"/>
        </w:rPr>
        <w:t>Domaine D'application : Eléments Préfabriqués En Béton</w:t>
      </w:r>
    </w:p>
    <w:p w14:paraId="3435BAE8" w14:textId="77777777" w:rsidR="00DB2B68" w:rsidRDefault="00000000">
      <w:r>
        <w:t>[NBN EN 13369, Règles communes pour les produits préfabriqués en béton]</w:t>
      </w:r>
    </w:p>
    <w:p w14:paraId="0C503080" w14:textId="77777777" w:rsidR="00DB2B68" w:rsidRDefault="00000000">
      <w:r>
        <w:t>[NBN B 21-600, Règles communes pour les produits préfabriqués en béton - Complément national à la NBN EN 13369:2004+A1:2006+AC:2006]</w:t>
      </w:r>
    </w:p>
    <w:p w14:paraId="7B614649" w14:textId="77777777" w:rsidR="00DB2B68" w:rsidRDefault="00000000">
      <w:r>
        <w:t>[NBN EN 845-2:2013+A1, Spécifications pour composants accessoires de maçonnerie - Partie 2: Linteaux]</w:t>
      </w:r>
    </w:p>
    <w:p w14:paraId="5DD249AA" w14:textId="77777777" w:rsidR="00DB2B68" w:rsidRDefault="00000000">
      <w:r>
        <w:t>[NBN EN 1168+A3, Produits préfabriqués en béton - Dalles alvéolées]</w:t>
      </w:r>
    </w:p>
    <w:p w14:paraId="6760F55E" w14:textId="77777777" w:rsidR="00DB2B68" w:rsidRDefault="00000000">
      <w:r>
        <w:t>[NBN B 21-605:2021+A2, Produits préfabriqués en béton - Dalles alvéolées - Norme d'application nationale à la NBN EN 1168+A3:2011]</w:t>
      </w:r>
    </w:p>
    <w:p w14:paraId="0DB20599" w14:textId="77777777" w:rsidR="00DB2B68" w:rsidRDefault="00000000">
      <w:r>
        <w:t>[NBN EN 12794+A1, Produits préfabriqués en béton - Pieux de fondation (+ AC:2008)]</w:t>
      </w:r>
    </w:p>
    <w:p w14:paraId="018D6806" w14:textId="77777777" w:rsidR="00DB2B68" w:rsidRDefault="00000000">
      <w:r>
        <w:t>[NBN B 21-613, Produits préfabriqués en béton - Pieux de fondation - Complément national à la NBN EN 12794+A1:2007]</w:t>
      </w:r>
    </w:p>
    <w:p w14:paraId="28DC4C74" w14:textId="77777777" w:rsidR="00DB2B68" w:rsidRDefault="00000000">
      <w:r>
        <w:t>[NBN EN 13224, Produits préfabriqués en béton - Eléments de plancher nervurés]</w:t>
      </w:r>
    </w:p>
    <w:p w14:paraId="266DC04E" w14:textId="77777777" w:rsidR="00DB2B68" w:rsidRDefault="00000000">
      <w:r>
        <w:t>[NBN B 21-603, Produits préfabriqués en béton - Eléments de plancher nervurés - Complément national à la NBN EN 13224:2011]</w:t>
      </w:r>
    </w:p>
    <w:p w14:paraId="5B773E39" w14:textId="77777777" w:rsidR="00DB2B68" w:rsidRDefault="00000000">
      <w:r>
        <w:t>[NBN EN 13225, Produits préfabriqués en béton - Éléments de structure linéaires]</w:t>
      </w:r>
    </w:p>
    <w:p w14:paraId="089AF6A7" w14:textId="77777777" w:rsidR="00DB2B68" w:rsidRDefault="00000000">
      <w:r>
        <w:t>[NBN B 21-604, Produits préfabriqués en béton - Eléments de structure linéaires - Complément national à la NBN EN 13225:2004]</w:t>
      </w:r>
    </w:p>
    <w:p w14:paraId="3BF509AF" w14:textId="77777777" w:rsidR="00DB2B68" w:rsidRDefault="00000000">
      <w:r>
        <w:t>[NBN EN 14843, Produits préfabriqués en béton - Escaliers]</w:t>
      </w:r>
    </w:p>
    <w:p w14:paraId="42814E13" w14:textId="77777777" w:rsidR="00DB2B68" w:rsidRDefault="00000000">
      <w:r>
        <w:t>[NBN B 21-611, Produits préfabriqués en béton - Escaliers - Complément national à la NBN EN 14843:2007]</w:t>
      </w:r>
    </w:p>
    <w:p w14:paraId="759CFE06" w14:textId="77777777" w:rsidR="00DB2B68" w:rsidRDefault="00000000">
      <w:r>
        <w:t>[NBN EN 14991, Produits préfabriqués en béton - Éléments de fondation]</w:t>
      </w:r>
    </w:p>
    <w:p w14:paraId="22CA2531" w14:textId="77777777" w:rsidR="00DB2B68" w:rsidRDefault="00000000">
      <w:r>
        <w:t>[NBN B 21-609, Produits préfabriqués en béton - Eléments de fondation - Complément national à la NBN EN 14991:2007]</w:t>
      </w:r>
    </w:p>
    <w:p w14:paraId="400189C4" w14:textId="77777777" w:rsidR="00DB2B68" w:rsidRDefault="00000000">
      <w:r>
        <w:t>[NBN EN 14992+A1, Produits préfabriqués en béton - Eléments de mur]</w:t>
      </w:r>
    </w:p>
    <w:p w14:paraId="160EEA30" w14:textId="77777777" w:rsidR="00DB2B68" w:rsidRDefault="00000000">
      <w:r>
        <w:t>[NBN B 21-612, Produits préfabriqués en béton - Eléments de mur - Norme d'application nationale à la NBN EN 14992+A1:2012]</w:t>
      </w:r>
    </w:p>
    <w:p w14:paraId="553AFFF0" w14:textId="77777777" w:rsidR="00DB2B68" w:rsidRDefault="00000000">
      <w:r>
        <w:t>[NBN EN 13747+A2, Produits préfabriqués en béton - Prédalles pour systèmes de planchers]</w:t>
      </w:r>
    </w:p>
    <w:p w14:paraId="5379857C" w14:textId="77777777" w:rsidR="00DB2B68" w:rsidRDefault="00000000">
      <w:r>
        <w:t>[NBN B 21-606:2019+A1, Produits préfabriqués en béton - Prédalles - Norme d'application nationale à la NBN EN 13747+A2:2010 et à la NBN EN 15050+A1:2012]</w:t>
      </w:r>
    </w:p>
    <w:p w14:paraId="7802C414" w14:textId="77777777" w:rsidR="00DB2B68" w:rsidRDefault="00000000">
      <w:r>
        <w:t>[NBN EN 15037-1, Produits préfabriqués en béton - Systèmes de planchers à poutrelles et entrevous - Partie 1: Poutrelles]</w:t>
      </w:r>
    </w:p>
    <w:p w14:paraId="1D2931E6" w14:textId="77777777" w:rsidR="00DB2B68" w:rsidRDefault="00000000">
      <w:r>
        <w:lastRenderedPageBreak/>
        <w:t>[NBN B 21-616, Produits préfabriqués en béton - Systèmes de planchers à poutrelles et entrevous - Partie 1 : Poutrelles - Complément national à la NBN EN 15037-1:2008]</w:t>
      </w:r>
    </w:p>
    <w:p w14:paraId="506BF721" w14:textId="77777777" w:rsidR="00DB2B68" w:rsidRDefault="00000000">
      <w:r>
        <w:t>[NBN EN 15037-2+A1, Produits préfabriqués en béton - Systèmes de planchers à poutrelles et entrevous - Partie 2: Entrevous en béton]</w:t>
      </w:r>
    </w:p>
    <w:p w14:paraId="58F49E21" w14:textId="77777777" w:rsidR="00DB2B68" w:rsidRDefault="00000000">
      <w:r>
        <w:t>[NBN B 21-006, Produits préfabriqués en béton - Systèmes de planchers à poutrelles et entrevous - Partie 2: Entrevous en béton - Complément national à la NBN EN 15037-2+A1:2011]</w:t>
      </w:r>
    </w:p>
    <w:p w14:paraId="3B633C78" w14:textId="77777777" w:rsidR="00DB2B68" w:rsidRDefault="00000000">
      <w:r>
        <w:t>[NBN EN 15037-3+A1, Produits préfabriqués en béton - Systèmes de planchers à poutrelles et entrevous - Partie 3: Entrevous en terre cuite]</w:t>
      </w:r>
    </w:p>
    <w:p w14:paraId="69139152" w14:textId="77777777" w:rsidR="00DB2B68" w:rsidRDefault="00000000">
      <w:r>
        <w:t>[NBN EN 15037-4+A1, Produits préfabriqués en béton - Systèmes de planchers à poutrelles et entrevous - Partie 4: Entrevous en polystyrène expansé]</w:t>
      </w:r>
    </w:p>
    <w:p w14:paraId="2EBAECCD" w14:textId="77777777" w:rsidR="00DB2B68" w:rsidRDefault="00000000">
      <w:r>
        <w:t>[NBN EN 15037-5, Produits préfabriqués en béton - Systèmes de planchers à poutrelles et entrevous - Partie 5: Entrevous légers de coffrage simple]</w:t>
      </w:r>
    </w:p>
    <w:p w14:paraId="541B5188" w14:textId="77777777" w:rsidR="00DB2B68" w:rsidRDefault="00000000">
      <w:r>
        <w:t>[NBN EN 15258, Produits préfabriqués en béton - Éléments de murs de soutènement]</w:t>
      </w:r>
    </w:p>
    <w:p w14:paraId="3713BF2D" w14:textId="77777777" w:rsidR="00DB2B68" w:rsidRDefault="00000000">
      <w:r>
        <w:t>[NBN B 21-132, Produits préfabriqués en béton - Eléments de murs de soutènement - Complément national à la NBN EN 15258:2009]</w:t>
      </w:r>
    </w:p>
    <w:p w14:paraId="0B99E2FD" w14:textId="77777777" w:rsidR="00DB2B68" w:rsidRDefault="00000000">
      <w:r>
        <w:t>[NBN EN 12602, Eléments préfabriqués armés en béton cellulaire autoclavé]</w:t>
      </w:r>
    </w:p>
    <w:p w14:paraId="29A5BBE2" w14:textId="77777777" w:rsidR="00DB2B68" w:rsidRDefault="00000000">
      <w:r>
        <w:t>[NBN B 21-004, Eléments préfabriqués armés en béton cellulaire autoclavé - Norme d’application nationale à la NBN EN 12602:2016]</w:t>
      </w:r>
    </w:p>
    <w:p w14:paraId="56259AE0" w14:textId="77777777" w:rsidR="00DB2B68" w:rsidRDefault="00000000">
      <w:r>
        <w:t>[PTV 21-601, Eléments préfabriqués en béton architectonique.]</w:t>
      </w:r>
    </w:p>
    <w:p w14:paraId="7BB3720A" w14:textId="77777777" w:rsidR="00DB2B68" w:rsidRDefault="00000000">
      <w:r>
        <w:t>[NBN EN 13216-1, Conduits de fumée - Méthodes d'essai pour les systèmes de conduits de fumée - Partie 1 : Méthodes d'essai générales]</w:t>
      </w:r>
    </w:p>
    <w:p w14:paraId="2E2AF4B3" w14:textId="77777777" w:rsidR="00DB2B68" w:rsidRDefault="00000000">
      <w:r>
        <w:rPr>
          <w:rStyle w:val="headingChar"/>
        </w:rPr>
        <w:t>Domaine D'application : Eléments Préfabriqués En Béton Architectonique</w:t>
      </w:r>
    </w:p>
    <w:p w14:paraId="40FA55A9" w14:textId="77777777" w:rsidR="00DB2B68" w:rsidRDefault="00000000">
      <w:r>
        <w:t>[PTV 21-601, Eléments préfabriqués en béton architectonique.]</w:t>
      </w:r>
    </w:p>
    <w:p w14:paraId="5EB51E0B" w14:textId="77777777" w:rsidR="00DB2B68" w:rsidRDefault="00000000">
      <w:r>
        <w:rPr>
          <w:rStyle w:val="headingChar"/>
        </w:rPr>
        <w:t>Domaine D'application : Béton Précontraint</w:t>
      </w:r>
    </w:p>
    <w:p w14:paraId="654E6A2E" w14:textId="77777777" w:rsidR="00DB2B68" w:rsidRDefault="00000000">
      <w:r>
        <w:t>[NBN I 10 série, Aciers de précontrainte]</w:t>
      </w:r>
    </w:p>
    <w:p w14:paraId="0C4C4CEB" w14:textId="77777777" w:rsidR="00DB2B68" w:rsidRDefault="00000000">
      <w:r>
        <w:t>[PTV 311, Aciers de précontrainte - Torons]</w:t>
      </w:r>
    </w:p>
    <w:p w14:paraId="662F7D8E" w14:textId="77777777" w:rsidR="00DB2B68" w:rsidRDefault="00000000">
      <w:r>
        <w:t>[PTV 312, Aciers de précontrainte - Aciers galvanisés]</w:t>
      </w:r>
    </w:p>
    <w:p w14:paraId="46F0948A" w14:textId="77777777" w:rsidR="00DB2B68" w:rsidRDefault="00000000">
      <w:r>
        <w:t>[PTV 314, Aciers de précontrainte - Fils tréfilés]</w:t>
      </w:r>
    </w:p>
    <w:p w14:paraId="167F57D0" w14:textId="77777777" w:rsidR="00DB2B68" w:rsidRDefault="00000000">
      <w:pPr>
        <w:pStyle w:val="pheading"/>
      </w:pPr>
      <w:r>
        <w:t>- Exécution</w:t>
      </w:r>
    </w:p>
    <w:p w14:paraId="2E588CB2" w14:textId="77777777" w:rsidR="00DB2B68" w:rsidRDefault="00000000">
      <w:r>
        <w:t>[NIT 285, Exécution des structures en béton]</w:t>
      </w:r>
    </w:p>
    <w:p w14:paraId="161A631B" w14:textId="77777777" w:rsidR="00DB2B68" w:rsidRDefault="00000000">
      <w:r>
        <w:t>[NBN EN 13670, Exécution des structures en béton]</w:t>
      </w:r>
    </w:p>
    <w:p w14:paraId="0D58BF81" w14:textId="77777777" w:rsidR="00DB2B68" w:rsidRDefault="00000000">
      <w:r>
        <w:t>[NBN B 15-400, Exécution des structures en béton - Supplément national à la NBN EN 13670:2010]</w:t>
      </w:r>
    </w:p>
    <w:p w14:paraId="20B77049" w14:textId="77777777" w:rsidR="00DB2B68" w:rsidRDefault="00000000">
      <w:pPr>
        <w:pStyle w:val="pheading"/>
      </w:pPr>
      <w:r>
        <w:t>AIDE</w:t>
      </w:r>
    </w:p>
    <w:p w14:paraId="385B71BE" w14:textId="77777777" w:rsidR="00DB2B68" w:rsidRDefault="00000000">
      <w:r>
        <w:rPr>
          <w:i/>
          <w:u w:val="single"/>
        </w:rPr>
        <w:t>À l'attention de l'auteur de projet</w:t>
      </w:r>
    </w:p>
    <w:p w14:paraId="27275BF8" w14:textId="77777777" w:rsidR="00DB2B68" w:rsidRDefault="00000000">
      <w:r>
        <w:t>Prescriptions des bétons : consulter [Buildwise Innovation paper 42].</w:t>
      </w:r>
      <w:r>
        <w:br/>
        <w:t>Exceptionnellement, le cahier spécial des charges peut prescrire une composition de béton particulière pour le béton prêt à l'emploi. Dans ce cas, l’auteur de projet effectue cette prescription de sa propre initiative et sous son entière responsabilité.</w:t>
      </w:r>
    </w:p>
    <w:p w14:paraId="2BFFF9AF" w14:textId="77777777" w:rsidR="00DB2B68" w:rsidRDefault="00000000">
      <w:r>
        <w:t>La classe de consistance et la granulométrie maximale sont en principe déterminées par l’entrepreneur en fonction des éléments à réaliser et sur la base de la facilité de mise en œuvre qu’il souhaite. Voir [Buildwise Innovation paper 42].</w:t>
      </w:r>
    </w:p>
    <w:p w14:paraId="161A7815" w14:textId="77777777" w:rsidR="00DB2B68" w:rsidRDefault="00000000">
      <w:r>
        <w:t xml:space="preserve">Le sablage n’est plus autorisé, conformément à l’[AR 2002-03-11]. Voir </w:t>
      </w:r>
      <w:hyperlink w:anchor="547" w:history="1">
        <w:r>
          <w:rPr>
            <w:color w:val="0000EE"/>
          </w:rPr>
          <w:t>22.71.2b Grenaillages de structures en béton</w:t>
        </w:r>
      </w:hyperlink>
      <w:r>
        <w:t>.</w:t>
      </w:r>
    </w:p>
    <w:p w14:paraId="107D7860" w14:textId="77777777" w:rsidR="00DB2B68" w:rsidRDefault="00000000">
      <w:r>
        <w:rPr>
          <w:b/>
          <w:color w:val="FF0000"/>
        </w:rPr>
        <w:lastRenderedPageBreak/>
        <w:t>CLASSES DE TOLÉRANCES (DIMENSIONNELLES) et CLASSES D'EXECUTION</w:t>
      </w:r>
      <w:r>
        <w:rPr>
          <w:color w:val="FF0000"/>
        </w:rPr>
        <w:t xml:space="preserve"> pour l'ensemble ou pour certaines de parties de l'ouvrage sont à fixer par l'Auteur de projet.</w:t>
      </w:r>
      <w:r>
        <w:br/>
        <w:t>Ces éléments sont détaillés en tête de la rubrique "EXECUTION / MISE EN OEUVRE" de la section 22.</w:t>
      </w:r>
      <w:r>
        <w:br/>
        <w:t>Guide : il convient d'utiliser la classe d'exécution 1 uniquement pour les éléments structuraux pour lesquels les conséquences en cas de rupture sont faibles ou négligeables. Voir [Buildwise Innovation paper 42].</w:t>
      </w:r>
    </w:p>
    <w:p w14:paraId="387FBDF0" w14:textId="77777777" w:rsidR="00DB2B68" w:rsidRDefault="00000000">
      <w:pPr>
        <w:ind w:left="750"/>
      </w:pPr>
      <w:r>
        <w:t> </w:t>
      </w:r>
    </w:p>
    <w:p w14:paraId="17A66978" w14:textId="77777777" w:rsidR="00DB2B68" w:rsidRDefault="00000000">
      <w:pPr>
        <w:pStyle w:val="Author-eSectionHeading3Numberless"/>
      </w:pPr>
      <w:bookmarkStart w:id="599" w:name="_Toc220495680"/>
      <w:r>
        <w:t>22.1 Eléments de structures en béton CCTB 01.04</w:t>
      </w:r>
      <w:bookmarkEnd w:id="599"/>
    </w:p>
    <w:p w14:paraId="6628ECCB" w14:textId="77777777" w:rsidR="00DB2B68" w:rsidRDefault="00000000">
      <w:pPr>
        <w:pStyle w:val="Author-eSectionHeading4Numberless"/>
      </w:pPr>
      <w:bookmarkStart w:id="600" w:name="532"/>
      <w:bookmarkStart w:id="601" w:name="_Toc220495681"/>
      <w:bookmarkEnd w:id="600"/>
      <w:r>
        <w:t>22.11 Poutres en béton CCTB 01.02</w:t>
      </w:r>
      <w:bookmarkEnd w:id="601"/>
    </w:p>
    <w:p w14:paraId="4B111D88" w14:textId="77777777" w:rsidR="00DB2B68" w:rsidRDefault="00000000">
      <w:pPr>
        <w:pStyle w:val="Author-eSectionHeading5Numberless"/>
      </w:pPr>
      <w:bookmarkStart w:id="602" w:name="_Toc220495682"/>
      <w:r>
        <w:t>22.11.1 Poutres en béton coulé en place CCTB 01.04</w:t>
      </w:r>
      <w:bookmarkEnd w:id="602"/>
    </w:p>
    <w:p w14:paraId="6AA6D8EC" w14:textId="77777777" w:rsidR="00DB2B68" w:rsidRDefault="00000000">
      <w:pPr>
        <w:pStyle w:val="Author-eSectionHeading6Numberless"/>
      </w:pPr>
      <w:bookmarkStart w:id="603" w:name="_Toc220495683"/>
      <w:r>
        <w:t>22.11.1a Poutres en béton armé coulé en place CCTB 01.13</w:t>
      </w:r>
      <w:bookmarkEnd w:id="603"/>
    </w:p>
    <w:p w14:paraId="1DDCD2DE" w14:textId="77777777" w:rsidR="00DB2B68" w:rsidRDefault="00000000">
      <w:pPr>
        <w:pStyle w:val="pheading"/>
      </w:pPr>
      <w:bookmarkStart w:id="604" w:name="467"/>
      <w:bookmarkEnd w:id="604"/>
      <w:r>
        <w:t>DESCRIPTION</w:t>
      </w:r>
    </w:p>
    <w:p w14:paraId="3B924F2A" w14:textId="77777777" w:rsidR="00DB2B68" w:rsidRDefault="00000000">
      <w:pPr>
        <w:pStyle w:val="pheading"/>
      </w:pPr>
      <w:r>
        <w:t>- Définition / Comprend</w:t>
      </w:r>
    </w:p>
    <w:p w14:paraId="76F3C0CB" w14:textId="77777777" w:rsidR="00DB2B68" w:rsidRDefault="00000000">
      <w:r>
        <w:t xml:space="preserve">Il s'agit de l’ensemble des poutres, poutres en L, poutres en T exécutées en béton armé coulé en place. Les travaux comprennent les éléments décrits en </w:t>
      </w:r>
      <w:hyperlink w:anchor="87" w:history="1">
        <w:r>
          <w:rPr>
            <w:color w:val="0000EE"/>
          </w:rPr>
          <w:t>22 Superstructures en béton</w:t>
        </w:r>
      </w:hyperlink>
      <w:r>
        <w:t xml:space="preserve"> § </w:t>
      </w:r>
      <w:r>
        <w:rPr>
          <w:u w:val="single"/>
        </w:rPr>
        <w:t>Béton prêt à l'emploi</w:t>
      </w:r>
      <w:r>
        <w:t xml:space="preserve"> et notamment les coffrages,</w:t>
      </w:r>
      <w:r>
        <w:rPr>
          <w:shd w:val="clear" w:color="auto" w:fill="FFFFFF"/>
        </w:rPr>
        <w:t xml:space="preserve"> les armatures (suivant le code de mesurage),</w:t>
      </w:r>
      <w:r>
        <w:t xml:space="preserve"> le béton et la cure.</w:t>
      </w:r>
    </w:p>
    <w:p w14:paraId="003810FA" w14:textId="77777777" w:rsidR="00DB2B68" w:rsidRDefault="00000000">
      <w:r>
        <w:t xml:space="preserve">L'étude et les plans d'exécution </w:t>
      </w:r>
      <w:r>
        <w:rPr>
          <w:rStyle w:val="optioncarChar"/>
        </w:rPr>
        <w:t>sont / ne sont pas</w:t>
      </w:r>
      <w:r>
        <w:t xml:space="preserve"> à charge de l'entreprise.</w:t>
      </w:r>
    </w:p>
    <w:p w14:paraId="01F00996" w14:textId="77777777" w:rsidR="00DB2B68" w:rsidRDefault="00000000">
      <w:pPr>
        <w:pStyle w:val="pheading"/>
      </w:pPr>
      <w:r>
        <w:t>MATÉRIAUX</w:t>
      </w:r>
    </w:p>
    <w:p w14:paraId="70AC6CE6" w14:textId="77777777" w:rsidR="00DB2B68" w:rsidRDefault="00000000">
      <w:pPr>
        <w:pStyle w:val="pheading"/>
      </w:pPr>
      <w:r>
        <w:t>- Caractéristiques générales</w:t>
      </w:r>
    </w:p>
    <w:p w14:paraId="21DA9E9E" w14:textId="77777777" w:rsidR="00DB2B68" w:rsidRDefault="00000000">
      <w:r>
        <w:rPr>
          <w:u w:val="single"/>
        </w:rPr>
        <w:t>Béton</w:t>
      </w:r>
    </w:p>
    <w:p w14:paraId="5B03DCC0" w14:textId="77777777" w:rsidR="00DB2B68" w:rsidRDefault="00000000">
      <w:pPr>
        <w:pStyle w:val="Author-eListParagraph"/>
        <w:numPr>
          <w:ilvl w:val="0"/>
          <w:numId w:val="338"/>
        </w:numPr>
      </w:pPr>
      <w:r>
        <w:t xml:space="preserve">Qualité du béton selon la [NBN EN 206:2013+A2] et la [NBN B 15-001] : (voir également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697FDB53" w14:textId="77777777">
        <w:tc>
          <w:tcPr>
            <w:tcW w:w="1500" w:type="dxa"/>
            <w:noWrap/>
          </w:tcPr>
          <w:p w14:paraId="3E38AB49" w14:textId="77777777" w:rsidR="00DB2B68" w:rsidRDefault="00000000">
            <w:pPr>
              <w:jc w:val="center"/>
            </w:pPr>
            <w:r>
              <w:rPr>
                <w:b/>
              </w:rPr>
              <w:t>A</w:t>
            </w:r>
          </w:p>
        </w:tc>
        <w:tc>
          <w:tcPr>
            <w:tcW w:w="1500" w:type="dxa"/>
            <w:noWrap/>
          </w:tcPr>
          <w:p w14:paraId="1F0FDAD3" w14:textId="77777777" w:rsidR="00DB2B68" w:rsidRDefault="00000000">
            <w:pPr>
              <w:jc w:val="center"/>
            </w:pPr>
            <w:r>
              <w:rPr>
                <w:b/>
              </w:rPr>
              <w:t>B1</w:t>
            </w:r>
          </w:p>
        </w:tc>
        <w:tc>
          <w:tcPr>
            <w:tcW w:w="1500" w:type="dxa"/>
            <w:noWrap/>
          </w:tcPr>
          <w:p w14:paraId="3E4A992F" w14:textId="77777777" w:rsidR="00DB2B68" w:rsidRDefault="00000000">
            <w:pPr>
              <w:jc w:val="center"/>
            </w:pPr>
            <w:r>
              <w:rPr>
                <w:b/>
              </w:rPr>
              <w:t>B2</w:t>
            </w:r>
          </w:p>
        </w:tc>
        <w:tc>
          <w:tcPr>
            <w:tcW w:w="1500" w:type="dxa"/>
            <w:noWrap/>
          </w:tcPr>
          <w:p w14:paraId="4EE37352" w14:textId="77777777" w:rsidR="00DB2B68" w:rsidRDefault="00000000">
            <w:pPr>
              <w:jc w:val="center"/>
            </w:pPr>
            <w:r>
              <w:rPr>
                <w:b/>
              </w:rPr>
              <w:t>C</w:t>
            </w:r>
          </w:p>
        </w:tc>
        <w:tc>
          <w:tcPr>
            <w:tcW w:w="1500" w:type="dxa"/>
            <w:noWrap/>
          </w:tcPr>
          <w:p w14:paraId="06CBE310" w14:textId="77777777" w:rsidR="00DB2B68" w:rsidRDefault="00000000">
            <w:pPr>
              <w:jc w:val="center"/>
            </w:pPr>
            <w:r>
              <w:rPr>
                <w:b/>
              </w:rPr>
              <w:t>D</w:t>
            </w:r>
          </w:p>
        </w:tc>
        <w:tc>
          <w:tcPr>
            <w:tcW w:w="1500" w:type="dxa"/>
            <w:noWrap/>
          </w:tcPr>
          <w:p w14:paraId="56D2A139" w14:textId="77777777" w:rsidR="00DB2B68" w:rsidRDefault="00000000">
            <w:pPr>
              <w:jc w:val="center"/>
            </w:pPr>
            <w:r>
              <w:rPr>
                <w:b/>
              </w:rPr>
              <w:t>E</w:t>
            </w:r>
          </w:p>
        </w:tc>
      </w:tr>
      <w:tr w:rsidR="00DB2B68" w14:paraId="53F2D146" w14:textId="77777777">
        <w:tc>
          <w:tcPr>
            <w:tcW w:w="1500" w:type="dxa"/>
            <w:noWrap/>
          </w:tcPr>
          <w:p w14:paraId="690DF443" w14:textId="77777777" w:rsidR="00DB2B68" w:rsidRDefault="00000000">
            <w:pPr>
              <w:jc w:val="center"/>
            </w:pPr>
            <w:r>
              <w:rPr>
                <w:b/>
              </w:rPr>
              <w:t>Classe de résistance</w:t>
            </w:r>
          </w:p>
        </w:tc>
        <w:tc>
          <w:tcPr>
            <w:tcW w:w="1500" w:type="dxa"/>
            <w:noWrap/>
          </w:tcPr>
          <w:p w14:paraId="5760AADF" w14:textId="77777777" w:rsidR="00DB2B68" w:rsidRDefault="00000000">
            <w:pPr>
              <w:jc w:val="center"/>
            </w:pPr>
            <w:r>
              <w:rPr>
                <w:b/>
              </w:rPr>
              <w:t>Domaine d’application</w:t>
            </w:r>
          </w:p>
        </w:tc>
        <w:tc>
          <w:tcPr>
            <w:tcW w:w="1500" w:type="dxa"/>
            <w:noWrap/>
          </w:tcPr>
          <w:p w14:paraId="32880282" w14:textId="77777777" w:rsidR="00DB2B68" w:rsidRDefault="00000000">
            <w:pPr>
              <w:jc w:val="center"/>
            </w:pPr>
            <w:r>
              <w:rPr>
                <w:b/>
              </w:rPr>
              <w:t>Classe d'environnement</w:t>
            </w:r>
          </w:p>
        </w:tc>
        <w:tc>
          <w:tcPr>
            <w:tcW w:w="1500" w:type="dxa"/>
            <w:noWrap/>
          </w:tcPr>
          <w:p w14:paraId="26D4F25F" w14:textId="77777777" w:rsidR="00DB2B68" w:rsidRDefault="00000000">
            <w:pPr>
              <w:jc w:val="center"/>
            </w:pPr>
            <w:r>
              <w:rPr>
                <w:b/>
              </w:rPr>
              <w:t>Classe de consistance</w:t>
            </w:r>
          </w:p>
        </w:tc>
        <w:tc>
          <w:tcPr>
            <w:tcW w:w="1500" w:type="dxa"/>
            <w:noWrap/>
          </w:tcPr>
          <w:p w14:paraId="5262E261" w14:textId="77777777" w:rsidR="00DB2B68" w:rsidRDefault="00000000">
            <w:pPr>
              <w:jc w:val="center"/>
            </w:pPr>
            <w:r>
              <w:rPr>
                <w:b/>
              </w:rPr>
              <w:t>Granulométrie maximale</w:t>
            </w:r>
          </w:p>
        </w:tc>
        <w:tc>
          <w:tcPr>
            <w:tcW w:w="1500" w:type="dxa"/>
            <w:noWrap/>
          </w:tcPr>
          <w:p w14:paraId="36938219" w14:textId="77777777" w:rsidR="00DB2B68" w:rsidRDefault="00000000">
            <w:r>
              <w:rPr>
                <w:b/>
              </w:rPr>
              <w:t>Données complémentaires</w:t>
            </w:r>
          </w:p>
        </w:tc>
      </w:tr>
      <w:tr w:rsidR="00DB2B68" w14:paraId="124A2194" w14:textId="77777777">
        <w:tc>
          <w:tcPr>
            <w:tcW w:w="1500" w:type="dxa"/>
            <w:noWrap/>
          </w:tcPr>
          <w:p w14:paraId="25533C41" w14:textId="77777777" w:rsidR="00DB2B68" w:rsidRDefault="00000000">
            <w:pPr>
              <w:jc w:val="center"/>
            </w:pPr>
            <w:r>
              <w:rPr>
                <w:rStyle w:val="optioncarChar"/>
              </w:rPr>
              <w:t>C25/30 / C30/37 / C35/45 / C45/55 / C50/60 / C55/67 / C60/75 / C70/85 / C80/95 / C90/105</w:t>
            </w:r>
          </w:p>
        </w:tc>
        <w:tc>
          <w:tcPr>
            <w:tcW w:w="1500" w:type="dxa"/>
            <w:noWrap/>
          </w:tcPr>
          <w:p w14:paraId="053B4A94" w14:textId="77777777" w:rsidR="00DB2B68" w:rsidRDefault="00000000">
            <w:pPr>
              <w:jc w:val="center"/>
            </w:pPr>
            <w:r>
              <w:t>Béton armé</w:t>
            </w:r>
          </w:p>
          <w:p w14:paraId="4EA8D5C0" w14:textId="77777777" w:rsidR="00DB2B68" w:rsidRDefault="00000000">
            <w:pPr>
              <w:jc w:val="center"/>
            </w:pPr>
            <w:r>
              <w:t> </w:t>
            </w:r>
          </w:p>
        </w:tc>
        <w:tc>
          <w:tcPr>
            <w:tcW w:w="1500" w:type="dxa"/>
            <w:noWrap/>
          </w:tcPr>
          <w:p w14:paraId="3E1CF341" w14:textId="77777777" w:rsidR="00DB2B68" w:rsidRDefault="00000000">
            <w:pPr>
              <w:jc w:val="center"/>
            </w:pPr>
            <w:r>
              <w:rPr>
                <w:rStyle w:val="optioncarChar"/>
              </w:rPr>
              <w:t>E0 / EI / EE1 / EE2 / EE3 / EE4 / ES1 / ES2 / ES3 / ES4 / EA1+*** / EA2+*** / EA3+***</w:t>
            </w:r>
          </w:p>
        </w:tc>
        <w:tc>
          <w:tcPr>
            <w:tcW w:w="1500" w:type="dxa"/>
            <w:noWrap/>
          </w:tcPr>
          <w:p w14:paraId="77ACC98B" w14:textId="77777777" w:rsidR="00DB2B68" w:rsidRDefault="00000000">
            <w:pPr>
              <w:jc w:val="center"/>
            </w:pPr>
            <w:r>
              <w:t>au choix de l'entrepreneur :</w:t>
            </w:r>
          </w:p>
          <w:p w14:paraId="3ABCDDE5" w14:textId="77777777" w:rsidR="00DB2B68" w:rsidRDefault="00000000">
            <w:pPr>
              <w:jc w:val="center"/>
            </w:pPr>
            <w:r>
              <w:rPr>
                <w:rStyle w:val="optioncarChar"/>
              </w:rPr>
              <w:t>S3 / S4 / S5 /</w:t>
            </w:r>
            <w:r>
              <w:br/>
            </w:r>
          </w:p>
          <w:p w14:paraId="7A997287" w14:textId="77777777" w:rsidR="00DB2B68" w:rsidRDefault="00000000">
            <w:pPr>
              <w:jc w:val="center"/>
            </w:pPr>
            <w:r>
              <w:rPr>
                <w:rStyle w:val="optioncarChar"/>
              </w:rPr>
              <w:t>F3 / F4 / F5 / F6</w:t>
            </w:r>
            <w:r>
              <w:br/>
            </w:r>
          </w:p>
        </w:tc>
        <w:tc>
          <w:tcPr>
            <w:tcW w:w="1500" w:type="dxa"/>
            <w:noWrap/>
          </w:tcPr>
          <w:p w14:paraId="6BCBAB2A" w14:textId="77777777" w:rsidR="00DB2B68" w:rsidRDefault="00000000">
            <w:pPr>
              <w:jc w:val="center"/>
            </w:pPr>
            <w:r>
              <w:t>au choix de l'entrepreneur :</w:t>
            </w:r>
          </w:p>
          <w:p w14:paraId="7F72497D" w14:textId="77777777" w:rsidR="00DB2B68" w:rsidRDefault="00000000">
            <w:pPr>
              <w:jc w:val="center"/>
            </w:pPr>
            <w:r>
              <w:rPr>
                <w:rStyle w:val="optioncarChar"/>
              </w:rPr>
              <w:t>6 / 8 / 10 / 11 / 12 / 14 / 16 / 20 / 22 / 32 </w:t>
            </w:r>
            <w:r>
              <w:t>mm</w:t>
            </w:r>
          </w:p>
        </w:tc>
        <w:tc>
          <w:tcPr>
            <w:tcW w:w="1500" w:type="dxa"/>
            <w:noWrap/>
          </w:tcPr>
          <w:p w14:paraId="5E7A3B84" w14:textId="77777777" w:rsidR="00DB2B68" w:rsidRDefault="00000000">
            <w:pPr>
              <w:jc w:val="center"/>
            </w:pPr>
            <w:r>
              <w:rPr>
                <w:rStyle w:val="optioncarChar"/>
              </w:rPr>
              <w:t>***</w:t>
            </w:r>
          </w:p>
        </w:tc>
      </w:tr>
    </w:tbl>
    <w:p w14:paraId="40F6F073" w14:textId="77777777" w:rsidR="00DB2B68" w:rsidRDefault="00000000">
      <w:r>
        <w:t> </w:t>
      </w:r>
    </w:p>
    <w:p w14:paraId="5C7342C5"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4CD554FC" w14:textId="77777777" w:rsidR="00DB2B68" w:rsidRDefault="00000000">
      <w:pPr>
        <w:pStyle w:val="Author-eListParagraph"/>
        <w:numPr>
          <w:ilvl w:val="0"/>
          <w:numId w:val="339"/>
        </w:numPr>
      </w:pPr>
      <w:r>
        <w:t xml:space="preserve">Classe de viscosité apparente : </w:t>
      </w:r>
      <w:r>
        <w:rPr>
          <w:rStyle w:val="optioncarChar"/>
        </w:rPr>
        <w:t>VS1 / VS2</w:t>
      </w:r>
      <w:r>
        <w:t xml:space="preserve"> (selon la [NBN EN 12350-8])</w:t>
      </w:r>
    </w:p>
    <w:p w14:paraId="2F2A2416" w14:textId="77777777" w:rsidR="00DB2B68" w:rsidRDefault="00000000">
      <w:pPr>
        <w:pStyle w:val="Author-eListParagraph"/>
        <w:numPr>
          <w:ilvl w:val="0"/>
          <w:numId w:val="33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EB71FFA" w14:textId="77777777" w:rsidR="00DB2B68" w:rsidRDefault="00000000">
      <w:pPr>
        <w:pStyle w:val="Author-eListParagraph"/>
        <w:numPr>
          <w:ilvl w:val="0"/>
          <w:numId w:val="339"/>
        </w:numPr>
      </w:pPr>
      <w:r>
        <w:lastRenderedPageBreak/>
        <w:t xml:space="preserve">Classe de résistance à la ségrégation : </w:t>
      </w:r>
      <w:r>
        <w:rPr>
          <w:rStyle w:val="optioncarChar"/>
        </w:rPr>
        <w:t>SR1 / SR2</w:t>
      </w:r>
      <w:r>
        <w:t xml:space="preserve"> (selon la [NBN EN 12350-11, Essai pour béton frais - Partie 11: Béton autoplaçant - Essai de stabilité au tamis])</w:t>
      </w:r>
    </w:p>
    <w:p w14:paraId="5252BEAB" w14:textId="77777777" w:rsidR="00DB2B68" w:rsidRDefault="00000000">
      <w:r>
        <w:rPr>
          <w:u w:val="single"/>
        </w:rPr>
        <w:t>Armatures</w:t>
      </w:r>
    </w:p>
    <w:p w14:paraId="4B6981E8" w14:textId="77777777" w:rsidR="00DB2B68" w:rsidRDefault="00000000">
      <w:pPr>
        <w:pStyle w:val="Author-eListParagraph"/>
        <w:numPr>
          <w:ilvl w:val="0"/>
          <w:numId w:val="340"/>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 .</w:t>
      </w:r>
    </w:p>
    <w:p w14:paraId="29A98EAE" w14:textId="77777777" w:rsidR="00DB2B68" w:rsidRDefault="00000000">
      <w:pPr>
        <w:pStyle w:val="Author-eListParagraph"/>
        <w:numPr>
          <w:ilvl w:val="0"/>
          <w:numId w:val="340"/>
        </w:numPr>
      </w:pPr>
      <w:r>
        <w:t xml:space="preserve">Acier pour les étriers : acier </w:t>
      </w:r>
      <w:r>
        <w:rPr>
          <w:rStyle w:val="optioncarChar"/>
        </w:rPr>
        <w:t xml:space="preserve">DE 500 BS </w:t>
      </w:r>
      <w:r>
        <w:t xml:space="preserve">(par défaut) </w:t>
      </w:r>
      <w:r>
        <w:rPr>
          <w:rStyle w:val="optioncarChar"/>
        </w:rPr>
        <w:t>/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8D3642D" w14:textId="77777777" w:rsidR="00DB2B68" w:rsidRDefault="00000000">
      <w:pPr>
        <w:pStyle w:val="pheading"/>
      </w:pPr>
      <w:r>
        <w:t>- Finitions</w:t>
      </w:r>
    </w:p>
    <w:p w14:paraId="10B710AE" w14:textId="77777777" w:rsidR="00DB2B68" w:rsidRDefault="00000000">
      <w:r>
        <w:t xml:space="preserve">Les surfaces de béton </w:t>
      </w:r>
      <w:r>
        <w:rPr>
          <w:rStyle w:val="optioncarChar"/>
        </w:rPr>
        <w:t xml:space="preserve">sont destinées à rester visibles </w:t>
      </w:r>
      <w:r>
        <w:t>(par défaut)</w:t>
      </w:r>
      <w:r>
        <w:rPr>
          <w:rStyle w:val="optioncarChar"/>
        </w:rPr>
        <w:t xml:space="preserve"> / sont rugueuses / comportent un coffrage perdu</w:t>
      </w:r>
      <w:r>
        <w:br/>
      </w:r>
      <w:r>
        <w:rPr>
          <w:b/>
        </w:rPr>
        <w:t>(soit par défaut)</w:t>
      </w:r>
      <w:r>
        <w:br/>
      </w:r>
      <w:r>
        <w:rPr>
          <w:rStyle w:val="soitChar"/>
          <w:u w:val="single"/>
        </w:rPr>
        <w:t>Sont destinées à rester visibles</w:t>
      </w:r>
      <w:r>
        <w:rPr>
          <w:rStyle w:val="soitChar"/>
        </w:rPr>
        <w:t xml:space="preserve"> : La surface du béton brute de décoffrage est </w:t>
      </w:r>
      <w:r>
        <w:rPr>
          <w:rStyle w:val="optioncarChar"/>
        </w:rPr>
        <w:t xml:space="preserve">lisse </w:t>
      </w:r>
      <w:r>
        <w:t>(par défaut)</w:t>
      </w:r>
      <w:r>
        <w:rPr>
          <w:rStyle w:val="optioncarChar"/>
        </w:rPr>
        <w:t xml:space="preserve"> / texturée / à relief (ou structurée) / ***</w:t>
      </w:r>
      <w:r>
        <w:br/>
      </w:r>
      <w:r>
        <w:rPr>
          <w:b/>
        </w:rPr>
        <w:t>(soit)</w:t>
      </w:r>
      <w:r>
        <w:br/>
      </w:r>
      <w:r>
        <w:rPr>
          <w:rStyle w:val="soitChar"/>
          <w:u w:val="single"/>
        </w:rPr>
        <w:t>Sont rugueuses</w:t>
      </w:r>
      <w:r>
        <w:rPr>
          <w:rStyle w:val="soitChar"/>
        </w:rPr>
        <w:t xml:space="preserve"> : (p.ex. pour recevoir un plafonnage,…)</w:t>
      </w:r>
      <w:r>
        <w:br/>
      </w:r>
      <w:r>
        <w:rPr>
          <w:b/>
        </w:rPr>
        <w:t>(soit)</w:t>
      </w:r>
      <w:r>
        <w:br/>
      </w:r>
      <w:r>
        <w:rPr>
          <w:rStyle w:val="soitChar"/>
          <w:u w:val="single"/>
        </w:rPr>
        <w:t>Comportent un coffrage perdu</w:t>
      </w:r>
      <w:r>
        <w:rPr>
          <w:rStyle w:val="soitChar"/>
        </w:rPr>
        <w:t xml:space="preserve"> : (p.ex. un isolant pour éviter de la condensation,…)</w:t>
      </w:r>
      <w:r>
        <w:br/>
      </w:r>
    </w:p>
    <w:p w14:paraId="5A07A020" w14:textId="77777777" w:rsidR="00DB2B68" w:rsidRDefault="00000000">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u w:val="single"/>
        </w:rPr>
        <w:t>Vives</w:t>
      </w:r>
      <w:r>
        <w:br/>
      </w:r>
      <w:r>
        <w:rPr>
          <w:rStyle w:val="optioncarChar"/>
          <w:b/>
          <w:color w:val="000000"/>
          <w:shd w:val="clear" w:color="auto" w:fill="FFFFFF"/>
        </w:rPr>
        <w:t>(soit)</w:t>
      </w:r>
      <w:r>
        <w:br/>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p>
    <w:p w14:paraId="7196DF50" w14:textId="77777777" w:rsidR="00DB2B68" w:rsidRDefault="00000000">
      <w:pPr>
        <w:pStyle w:val="pheading"/>
      </w:pPr>
      <w:r>
        <w:t>- Prescriptions complémentaires</w:t>
      </w:r>
    </w:p>
    <w:p w14:paraId="4401EB49" w14:textId="77777777" w:rsidR="00DB2B68" w:rsidRDefault="00000000">
      <w:r>
        <w:t>Résistance au feu :</w:t>
      </w:r>
      <w:r>
        <w:rPr>
          <w:rStyle w:val="optioncarChar"/>
        </w:rPr>
        <w:t> R30 </w:t>
      </w:r>
      <w:r>
        <w:t>(par défaut)</w:t>
      </w:r>
      <w:r>
        <w:rPr>
          <w:rStyle w:val="optioncarChar"/>
        </w:rPr>
        <w:t xml:space="preserve"> / R60 / R120 / R240 /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18AC26AA" w14:textId="77777777" w:rsidR="00DB2B68" w:rsidRDefault="00000000">
      <w:pPr>
        <w:pStyle w:val="pheading"/>
      </w:pPr>
      <w:r>
        <w:t>EXÉCUTION / MISE EN ŒUVRE</w:t>
      </w:r>
    </w:p>
    <w:p w14:paraId="1F5404C0" w14:textId="77777777" w:rsidR="00DB2B68" w:rsidRDefault="00000000">
      <w:pPr>
        <w:pStyle w:val="pheading"/>
      </w:pPr>
      <w:r>
        <w:t>- Prescriptions générales</w:t>
      </w:r>
    </w:p>
    <w:p w14:paraId="75470E0B" w14:textId="77777777" w:rsidR="00DB2B68" w:rsidRDefault="00000000">
      <w:r>
        <w:t xml:space="preserve">Les </w:t>
      </w:r>
      <w:r>
        <w:rPr>
          <w:rStyle w:val="optioncarChar"/>
          <w:color w:val="000000"/>
        </w:rPr>
        <w:t xml:space="preserve">poutres </w:t>
      </w:r>
      <w:r>
        <w:t>sont exécutées dans les dimensions indiquées sur les plans.</w:t>
      </w:r>
    </w:p>
    <w:p w14:paraId="41F2A319" w14:textId="77777777" w:rsidR="00DB2B68" w:rsidRDefault="00000000">
      <w:r>
        <w:t>L’entrepreneur est tenu de vérifier si elles peuvent effectivement être réalisées conformément aux plans soumis. Il y a lieu de tenir compte de la hauteur libre requise par rapport au niveau du sol. .</w:t>
      </w:r>
    </w:p>
    <w:p w14:paraId="1467CD87" w14:textId="77777777" w:rsidR="00DB2B68" w:rsidRDefault="00000000">
      <w:r>
        <w:t xml:space="preserve">La longueur d’appui est d’au moins </w:t>
      </w:r>
      <w:r>
        <w:rPr>
          <w:rStyle w:val="optioncarChar"/>
        </w:rPr>
        <w:t>*** cm suivant calcul </w:t>
      </w:r>
      <w:r>
        <w:t>(par défaut)</w:t>
      </w:r>
      <w:r>
        <w:rPr>
          <w:rStyle w:val="optioncarChar"/>
        </w:rPr>
        <w:t xml:space="preserve"> / 20 / 30</w:t>
      </w:r>
      <w:r>
        <w:t xml:space="preserve"> cm à chaque extrémité des </w:t>
      </w:r>
      <w:r>
        <w:rPr>
          <w:rStyle w:val="optioncarChar"/>
          <w:color w:val="000000"/>
        </w:rPr>
        <w:t>poutres.</w:t>
      </w:r>
    </w:p>
    <w:p w14:paraId="6D44668B" w14:textId="77777777" w:rsidR="00DB2B68" w:rsidRDefault="00000000">
      <w:r>
        <w:t xml:space="preserve">Le décoffrage ne peut avoir lieu </w:t>
      </w:r>
      <w:r>
        <w:rPr>
          <w:rStyle w:val="optioncarChar"/>
        </w:rPr>
        <w:t>avant *** jours après le coulage du béton / avant le nombre de jours fixé par les directives du bureau d’étude </w:t>
      </w:r>
      <w:r>
        <w:t xml:space="preserve">(par défaut) (voir également en </w:t>
      </w:r>
      <w:hyperlink w:anchor="87" w:history="1">
        <w:r>
          <w:rPr>
            <w:color w:val="0000EE"/>
          </w:rPr>
          <w:t>22 Superstructures en béton</w:t>
        </w:r>
      </w:hyperlink>
      <w:r>
        <w:t xml:space="preserve"> sous-titre </w:t>
      </w:r>
      <w:r>
        <w:rPr>
          <w:u w:val="single"/>
        </w:rPr>
        <w:t>Décoffrage</w:t>
      </w:r>
      <w:r>
        <w:t xml:space="preserve"> et [NBN B 15-400])</w:t>
      </w:r>
    </w:p>
    <w:p w14:paraId="741ECCAB" w14:textId="77777777" w:rsidR="00DB2B68"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5C9EA4CB" w14:textId="77777777" w:rsidR="00DB2B68" w:rsidRDefault="00000000">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lastRenderedPageBreak/>
        <w:t>M</w:t>
      </w:r>
      <w:r>
        <w:rPr>
          <w:rStyle w:val="soitChar"/>
          <w:u w:val="single"/>
        </w:rPr>
        <w:t>ortier</w:t>
      </w:r>
      <w:r>
        <w:br/>
      </w:r>
      <w:r>
        <w:rPr>
          <w:rStyle w:val="soitChar"/>
        </w:rPr>
        <w:t>remplis de mortier de la même couleur que le béton immédiatement après le décoffrage</w:t>
      </w:r>
      <w:r>
        <w:br/>
      </w:r>
      <w:r>
        <w:rPr>
          <w:b/>
        </w:rPr>
        <w:t>(soit)</w:t>
      </w:r>
      <w:r>
        <w:br/>
      </w:r>
      <w:r>
        <w:rPr>
          <w:rStyle w:val="soitChar"/>
        </w:rPr>
        <w:t>B</w:t>
      </w:r>
      <w:r>
        <w:rPr>
          <w:rStyle w:val="soitChar"/>
          <w:u w:val="single"/>
        </w:rPr>
        <w:t>ouchon synthétique</w:t>
      </w:r>
      <w:r>
        <w:br/>
      </w:r>
      <w:r>
        <w:rPr>
          <w:rStyle w:val="soitChar"/>
        </w:rPr>
        <w:t>bouchés à l'aide d'un bouchon en matière synthétique</w:t>
      </w:r>
      <w:r>
        <w:br/>
      </w:r>
      <w:r>
        <w:rPr>
          <w:b/>
        </w:rPr>
        <w:t>(soit)</w:t>
      </w:r>
      <w:r>
        <w:br/>
      </w:r>
      <w:r>
        <w:rPr>
          <w:rStyle w:val="soitChar"/>
        </w:rPr>
        <w:t>T</w:t>
      </w:r>
      <w:r>
        <w:rPr>
          <w:rStyle w:val="soitChar"/>
          <w:u w:val="single"/>
        </w:rPr>
        <w:t>ampon synthétique</w:t>
      </w:r>
      <w:r>
        <w:br/>
      </w:r>
      <w:r>
        <w:rPr>
          <w:rStyle w:val="soitChar"/>
        </w:rPr>
        <w:t>bouchés à l'aide d'un tampon en matière synthétique collé dans le trou</w:t>
      </w:r>
      <w:r>
        <w:br/>
        <w:t>(</w:t>
      </w:r>
      <w:r>
        <w:rPr>
          <w:b/>
        </w:rPr>
        <w:t>soit)</w:t>
      </w:r>
      <w:r>
        <w:br/>
      </w:r>
      <w:r>
        <w:rPr>
          <w:rStyle w:val="soitChar"/>
        </w:rPr>
        <w:t>F</w:t>
      </w:r>
      <w:r>
        <w:rPr>
          <w:rStyle w:val="soitChar"/>
          <w:u w:val="single"/>
        </w:rPr>
        <w:t>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 xml:space="preserve">traités avec du bitume </w:t>
      </w:r>
      <w:r>
        <w:t>(par défaut) </w:t>
      </w:r>
      <w:r>
        <w:rPr>
          <w:rStyle w:val="optioncarChar"/>
        </w:rPr>
        <w:t>/ réalisés en béton étanche / ***</w:t>
      </w:r>
      <w:r>
        <w:br/>
      </w:r>
      <w:r>
        <w:rPr>
          <w:b/>
        </w:rPr>
        <w:t>(soit par défaut)</w:t>
      </w:r>
      <w:r>
        <w:br/>
      </w:r>
      <w:r>
        <w:rPr>
          <w:rStyle w:val="soitChar"/>
        </w:rPr>
        <w:t>T</w:t>
      </w:r>
      <w:r>
        <w:rPr>
          <w:rStyle w:val="soitChar"/>
          <w:u w:val="single"/>
        </w:rPr>
        <w: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R</w:t>
      </w:r>
      <w:r>
        <w:rPr>
          <w:rStyle w:val="soitChar"/>
          <w:u w:val="single"/>
        </w:rPr>
        <w:t>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4D24F682" w14:textId="77777777" w:rsidR="00DB2B68" w:rsidRDefault="00000000">
      <w:pPr>
        <w:pStyle w:val="pheading"/>
      </w:pPr>
      <w:r>
        <w:t>- Notes d’exécution complémentaires</w:t>
      </w:r>
    </w:p>
    <w:p w14:paraId="1E11AF3F" w14:textId="77777777" w:rsidR="00DB2B68" w:rsidRDefault="00000000">
      <w:r>
        <w:t xml:space="preserve">Raccords visibles entre éléments de coffrage : </w:t>
      </w:r>
      <w:r>
        <w:rPr>
          <w:rStyle w:val="optioncarChar"/>
        </w:rPr>
        <w:t>joint en forme de V </w:t>
      </w:r>
      <w:r>
        <w:t>(par défaut) </w:t>
      </w:r>
      <w:r>
        <w:rPr>
          <w:rStyle w:val="optioncarChar"/>
        </w:rPr>
        <w:t>/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277CCB72" w14:textId="77777777" w:rsidR="00DB2B68" w:rsidRDefault="00000000">
      <w:pPr>
        <w:pStyle w:val="pheading"/>
      </w:pPr>
      <w:r>
        <w:t>MESURAGE</w:t>
      </w:r>
    </w:p>
    <w:p w14:paraId="799599CB" w14:textId="77777777" w:rsidR="00DB2B68" w:rsidRDefault="0000000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7B3A0896" w14:textId="77777777" w:rsidR="00DB2B68"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2" w:history="1">
        <w:r>
          <w:rPr>
            <w:rStyle w:val="soitChar"/>
            <w:color w:val="0000EE"/>
          </w:rPr>
          <w:t>22.51 Armatures pour béton</w:t>
        </w:r>
      </w:hyperlink>
    </w:p>
    <w:p w14:paraId="7C686ED4" w14:textId="77777777" w:rsidR="00DB2B68" w:rsidRDefault="00000000">
      <w:pPr>
        <w:pStyle w:val="pheading"/>
      </w:pPr>
      <w:r>
        <w:t>- unité de mesure:</w:t>
      </w:r>
    </w:p>
    <w:p w14:paraId="4D70C376" w14:textId="77777777" w:rsidR="00DB2B68" w:rsidRDefault="00000000">
      <w:r>
        <w:rPr>
          <w:rStyle w:val="headingChar"/>
        </w:rPr>
        <w:t>EN BASE</w:t>
      </w:r>
      <w:r>
        <w:br/>
        <w:t>m³</w:t>
      </w:r>
    </w:p>
    <w:p w14:paraId="7A0756DD" w14:textId="77777777" w:rsidR="00DB2B68" w:rsidRDefault="00000000">
      <w:r>
        <w:rPr>
          <w:rStyle w:val="headingChar"/>
        </w:rPr>
        <w:t>EN SUPPLEMENT POUR COFFRAGE PARTICULIER ET COMPLEXE</w:t>
      </w:r>
      <w:r>
        <w:br/>
      </w:r>
      <w:r>
        <w:rPr>
          <w:rStyle w:val="optioncarChar"/>
        </w:rPr>
        <w:t xml:space="preserve">m² </w:t>
      </w:r>
      <w:r>
        <w:t>(par défaut)</w:t>
      </w:r>
      <w:r>
        <w:rPr>
          <w:rStyle w:val="optioncarChar"/>
        </w:rPr>
        <w:t xml:space="preserve"> / m³</w:t>
      </w:r>
    </w:p>
    <w:p w14:paraId="069C43B1" w14:textId="77777777" w:rsidR="00DB2B68" w:rsidRDefault="00000000">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 .</w:t>
      </w:r>
    </w:p>
    <w:p w14:paraId="33DD83E4" w14:textId="77777777" w:rsidR="00DB2B68" w:rsidRDefault="00000000">
      <w:pPr>
        <w:pStyle w:val="pheading"/>
      </w:pPr>
      <w:r>
        <w:t>- code de mesurage:</w:t>
      </w:r>
    </w:p>
    <w:p w14:paraId="54198A35" w14:textId="77777777" w:rsidR="00DB2B68" w:rsidRDefault="00000000">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14:paraId="72D7FEEC" w14:textId="77777777" w:rsidR="00DB2B68" w:rsidRDefault="00000000">
      <w:r>
        <w:rPr>
          <w:i/>
          <w:u w:val="single"/>
        </w:rPr>
        <w:lastRenderedPageBreak/>
        <w:t>&gt; Remarque </w:t>
      </w:r>
    </w:p>
    <w:p w14:paraId="635BA49C" w14:textId="77777777" w:rsidR="00DB2B68" w:rsidRDefault="00000000">
      <w:pPr>
        <w:pStyle w:val="Author-eListParagraph"/>
        <w:numPr>
          <w:ilvl w:val="0"/>
          <w:numId w:val="341"/>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4DC6DEB2" w14:textId="77777777" w:rsidR="00DB2B68" w:rsidRDefault="00000000">
      <w:pPr>
        <w:pStyle w:val="Author-eListParagraph"/>
        <w:numPr>
          <w:ilvl w:val="0"/>
          <w:numId w:val="341"/>
        </w:numPr>
      </w:pPr>
      <w:r>
        <w:rPr>
          <w:i/>
        </w:rPr>
        <w:t xml:space="preserve">Les quantités de béton ne sont jamais mesurées sur la base des bons de livraison soumis par l’entrepreneur. </w:t>
      </w:r>
    </w:p>
    <w:p w14:paraId="615A2D53" w14:textId="77777777" w:rsidR="00DB2B68" w:rsidRDefault="00000000">
      <w:r>
        <w:rPr>
          <w:rStyle w:val="headingChar"/>
        </w:rPr>
        <w:t>EN BASE</w:t>
      </w:r>
      <w:r>
        <w:br/>
        <w:t>Volume net, mesuré selon les dimensions nominales indiquées sur les plans.</w:t>
      </w:r>
    </w:p>
    <w:p w14:paraId="5B89C11C" w14:textId="77777777" w:rsidR="00DB2B68" w:rsidRDefault="00000000">
      <w:pPr>
        <w:pStyle w:val="Author-eListParagraph"/>
        <w:numPr>
          <w:ilvl w:val="0"/>
          <w:numId w:val="342"/>
        </w:numPr>
      </w:pPr>
      <w:r>
        <w:t>Les éléments en béton non rectangulaires sont calculés en multipliant la longueur par la surface de la section.</w:t>
      </w:r>
    </w:p>
    <w:p w14:paraId="4EC247F5" w14:textId="77777777" w:rsidR="00DB2B68" w:rsidRDefault="00000000">
      <w:pPr>
        <w:pStyle w:val="Author-eListParagraph"/>
        <w:numPr>
          <w:ilvl w:val="0"/>
          <w:numId w:val="342"/>
        </w:numPr>
      </w:pPr>
      <w:r>
        <w:t>Le contenu des volumes résiduels au droit des angles, rencontres et terminaisons est négligé.</w:t>
      </w:r>
    </w:p>
    <w:p w14:paraId="0E4F545A" w14:textId="77777777" w:rsidR="00DB2B68" w:rsidRDefault="00000000">
      <w:pPr>
        <w:pStyle w:val="Author-eListParagraph"/>
        <w:numPr>
          <w:ilvl w:val="0"/>
          <w:numId w:val="342"/>
        </w:numPr>
      </w:pPr>
      <w:r>
        <w:t xml:space="preserve">Aucune déduction n'est faite pour: </w:t>
      </w:r>
    </w:p>
    <w:p w14:paraId="1463CC13" w14:textId="77777777" w:rsidR="00DB2B68" w:rsidRDefault="00000000">
      <w:pPr>
        <w:pStyle w:val="Author-eListParagraph"/>
        <w:numPr>
          <w:ilvl w:val="1"/>
          <w:numId w:val="343"/>
        </w:numPr>
      </w:pPr>
      <w:r>
        <w:t>le volume des armatures;</w:t>
      </w:r>
    </w:p>
    <w:p w14:paraId="5398C467" w14:textId="77777777" w:rsidR="00DB2B68" w:rsidRDefault="00000000">
      <w:pPr>
        <w:pStyle w:val="Author-eListParagraph"/>
        <w:numPr>
          <w:ilvl w:val="1"/>
          <w:numId w:val="343"/>
        </w:numPr>
      </w:pPr>
      <w:r>
        <w:t>les blocs et écarteurs, les fourreaux pour les armatures de précontrainte;</w:t>
      </w:r>
    </w:p>
    <w:p w14:paraId="26B3728B" w14:textId="77777777" w:rsidR="00DB2B68" w:rsidRDefault="00000000">
      <w:pPr>
        <w:pStyle w:val="Author-eListParagraph"/>
        <w:numPr>
          <w:ilvl w:val="1"/>
          <w:numId w:val="343"/>
        </w:numPr>
      </w:pPr>
      <w:r>
        <w:t>les pénétrations pour les pattes d’ancrage, les creux, les conduites noyées et les réservations dont le volume est inférieur à 0,05 m</w:t>
      </w:r>
      <w:r>
        <w:rPr>
          <w:vertAlign w:val="superscript"/>
        </w:rPr>
        <w:t>3</w:t>
      </w:r>
      <w:r>
        <w:t>;</w:t>
      </w:r>
    </w:p>
    <w:p w14:paraId="4D3E1124" w14:textId="77777777" w:rsidR="00DB2B68" w:rsidRDefault="00000000">
      <w:pPr>
        <w:pStyle w:val="Author-eListParagraph"/>
        <w:numPr>
          <w:ilvl w:val="1"/>
          <w:numId w:val="343"/>
        </w:numPr>
      </w:pPr>
      <w:r>
        <w:t>les chanfreins et tous les profils dont la section a une superficie inférieure à 20 cm</w:t>
      </w:r>
      <w:r>
        <w:rPr>
          <w:vertAlign w:val="superscript"/>
        </w:rPr>
        <w:t>2</w:t>
      </w:r>
      <w:r>
        <w:t>;</w:t>
      </w:r>
    </w:p>
    <w:p w14:paraId="61247954" w14:textId="77777777" w:rsidR="00DB2B68" w:rsidRDefault="00000000">
      <w:pPr>
        <w:pStyle w:val="Author-eListParagraph"/>
        <w:numPr>
          <w:ilvl w:val="1"/>
          <w:numId w:val="343"/>
        </w:numPr>
      </w:pPr>
      <w:r>
        <w:t>les rainures, encoches et languettes.</w:t>
      </w:r>
    </w:p>
    <w:p w14:paraId="4F4F70E5" w14:textId="77777777" w:rsidR="00DB2B68" w:rsidRDefault="00000000">
      <w:r>
        <w:rPr>
          <w:rStyle w:val="headingChar"/>
        </w:rPr>
        <w:t>EN SUPPLEMENT POUR COFFRAGE PARTICULIER ET COMPLEXE</w:t>
      </w:r>
      <w:r>
        <w:br/>
      </w:r>
      <w:r>
        <w:rPr>
          <w:rStyle w:val="optioncarChar"/>
        </w:rPr>
        <w:t xml:space="preserve">Surface </w:t>
      </w:r>
      <w:r>
        <w:t>(par défaut)</w:t>
      </w:r>
      <w:r>
        <w:rPr>
          <w:rStyle w:val="optioncarChar"/>
        </w:rPr>
        <w:t xml:space="preserve"> / Volume net </w:t>
      </w:r>
      <w:r>
        <w:t>mesurés selon les dimensions nominales indiquées sur les plans.</w:t>
      </w:r>
    </w:p>
    <w:p w14:paraId="35AAD1D1" w14:textId="77777777" w:rsidR="00DB2B68" w:rsidRDefault="00000000">
      <w:r>
        <w:rPr>
          <w:b/>
        </w:rPr>
        <w:t>(Soit par défaut)</w:t>
      </w:r>
      <w:r>
        <w:br/>
      </w:r>
      <w:r>
        <w:rPr>
          <w:rStyle w:val="soitChar"/>
        </w:rPr>
        <w:t xml:space="preserve">1. </w:t>
      </w:r>
      <w:r>
        <w:rPr>
          <w:rStyle w:val="soitChar"/>
          <w:u w:val="single"/>
        </w:rPr>
        <w:t>Surface :</w:t>
      </w:r>
    </w:p>
    <w:p w14:paraId="7540037B" w14:textId="77777777" w:rsidR="00DB2B68" w:rsidRDefault="00000000">
      <w:pPr>
        <w:pStyle w:val="Author-eListParagraph"/>
        <w:numPr>
          <w:ilvl w:val="0"/>
          <w:numId w:val="344"/>
        </w:numPr>
      </w:pPr>
      <w:r>
        <w:t>Les surfaces supérieures qui ont une inclinaison plus forte que 6/4 sont considérées comme surfaces à coffrer.</w:t>
      </w:r>
    </w:p>
    <w:p w14:paraId="33D28D9B" w14:textId="77777777" w:rsidR="00DB2B68" w:rsidRDefault="00000000">
      <w:pPr>
        <w:pStyle w:val="Author-eListParagraph"/>
        <w:numPr>
          <w:ilvl w:val="0"/>
          <w:numId w:val="344"/>
        </w:numPr>
      </w:pPr>
      <w:r>
        <w:t xml:space="preserve">On ne déduit pas les surfaces </w:t>
      </w:r>
    </w:p>
    <w:p w14:paraId="2F8F39F8" w14:textId="77777777" w:rsidR="00DB2B68" w:rsidRDefault="00000000">
      <w:pPr>
        <w:pStyle w:val="Author-eListParagraph"/>
        <w:numPr>
          <w:ilvl w:val="1"/>
          <w:numId w:val="345"/>
        </w:numPr>
      </w:pPr>
      <w:r>
        <w:t>des évidements égaux ou inférieurs à 1 m</w:t>
      </w:r>
      <w:r>
        <w:rPr>
          <w:vertAlign w:val="superscript"/>
        </w:rPr>
        <w:t>2</w:t>
      </w:r>
    </w:p>
    <w:p w14:paraId="24AF9D96" w14:textId="77777777" w:rsidR="00DB2B68" w:rsidRDefault="00000000">
      <w:pPr>
        <w:pStyle w:val="Author-eListParagraph"/>
        <w:numPr>
          <w:ilvl w:val="1"/>
          <w:numId w:val="345"/>
        </w:numPr>
      </w:pPr>
      <w:r>
        <w:t>des raccordements de poutres entre elles ou avec les parois ou les colonnes.</w:t>
      </w:r>
    </w:p>
    <w:p w14:paraId="003D49B4" w14:textId="77777777" w:rsidR="00DB2B68" w:rsidRDefault="00000000">
      <w:pPr>
        <w:pStyle w:val="Author-eListParagraph"/>
        <w:numPr>
          <w:ilvl w:val="0"/>
          <w:numId w:val="344"/>
        </w:numPr>
      </w:pPr>
      <w:r>
        <w:t>Le coffrage des évidements, des gaines, etc. égaux ou inférieurs à 1 m</w:t>
      </w:r>
      <w:r>
        <w:rPr>
          <w:vertAlign w:val="superscript"/>
        </w:rPr>
        <w:t>2</w:t>
      </w:r>
      <w:r>
        <w:t xml:space="preserve"> est mesuré à la pièce.</w:t>
      </w:r>
    </w:p>
    <w:p w14:paraId="4A41396F" w14:textId="77777777" w:rsidR="00DB2B68" w:rsidRDefault="00000000">
      <w:pPr>
        <w:pStyle w:val="Author-eListParagraph"/>
        <w:numPr>
          <w:ilvl w:val="0"/>
          <w:numId w:val="344"/>
        </w:numPr>
      </w:pPr>
      <w:r>
        <w:t>Le coffrage des évidements supérieurs à 1 m</w:t>
      </w:r>
      <w:r>
        <w:rPr>
          <w:vertAlign w:val="superscript"/>
        </w:rPr>
        <w:t>2</w:t>
      </w:r>
      <w:r>
        <w:t xml:space="preserve"> est compté avec l'élément correspondant.</w:t>
      </w:r>
    </w:p>
    <w:p w14:paraId="43453643" w14:textId="77777777" w:rsidR="00DB2B68" w:rsidRDefault="00000000">
      <w:pPr>
        <w:pStyle w:val="Author-eListParagraph"/>
        <w:numPr>
          <w:ilvl w:val="0"/>
          <w:numId w:val="344"/>
        </w:numPr>
      </w:pPr>
      <w:r>
        <w:t>Pour la mesure de la surface des coffrages, il n'est pas tenu compte des lattes de coin et des autres lattes incorporées en vue de donner les profilés voulus et qui sont fixées dans le coffrage.</w:t>
      </w:r>
    </w:p>
    <w:p w14:paraId="513F6F85" w14:textId="77777777" w:rsidR="00DB2B68" w:rsidRDefault="00000000">
      <w:pPr>
        <w:pStyle w:val="Author-eListParagraph"/>
        <w:numPr>
          <w:ilvl w:val="0"/>
          <w:numId w:val="344"/>
        </w:numPr>
      </w:pPr>
      <w:r>
        <w:t>Les coffrages latéraux et les coffrages des têtes sont comptés avec l'élément correspondant.</w:t>
      </w:r>
    </w:p>
    <w:p w14:paraId="09A63097" w14:textId="77777777" w:rsidR="00DB2B68" w:rsidRDefault="00000000">
      <w:pPr>
        <w:pStyle w:val="Author-eListParagraph"/>
        <w:numPr>
          <w:ilvl w:val="0"/>
          <w:numId w:val="344"/>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14:paraId="47A2BA37" w14:textId="77777777" w:rsidR="00DB2B68" w:rsidRDefault="00000000">
      <w:pPr>
        <w:pStyle w:val="Author-eListParagraph"/>
        <w:numPr>
          <w:ilvl w:val="0"/>
          <w:numId w:val="344"/>
        </w:numPr>
      </w:pPr>
      <w:r>
        <w:t>A l'intersection de poutres, le coffrage de la plus épaisse est mesuré en continu. Le coffrage des autres est mesuré entre celui des plus épaisses.</w:t>
      </w:r>
    </w:p>
    <w:p w14:paraId="48CEB402" w14:textId="77777777" w:rsidR="00DB2B68" w:rsidRDefault="00000000">
      <w:pPr>
        <w:pStyle w:val="Author-eListParagraph"/>
        <w:numPr>
          <w:ilvl w:val="0"/>
          <w:numId w:val="344"/>
        </w:numPr>
      </w:pPr>
      <w:r>
        <w:t>Le coffrage des poutres est mesuré sans tenir compte d'interruptions telles que des colonnes, même si les poutres sont plus étroites que les colonnes.</w:t>
      </w:r>
    </w:p>
    <w:p w14:paraId="3CDC9D60" w14:textId="77777777" w:rsidR="00DB2B68" w:rsidRDefault="00000000">
      <w:r>
        <w:rPr>
          <w:b/>
        </w:rPr>
        <w:t>(soit)</w:t>
      </w:r>
      <w:r>
        <w:br/>
      </w:r>
      <w:r>
        <w:rPr>
          <w:rStyle w:val="soitChar"/>
        </w:rPr>
        <w:t xml:space="preserve">2. </w:t>
      </w:r>
      <w:r>
        <w:rPr>
          <w:rStyle w:val="soitChar"/>
          <w:u w:val="single"/>
        </w:rPr>
        <w:t>Volume net:</w:t>
      </w:r>
      <w:r>
        <w:rPr>
          <w:rStyle w:val="soitChar"/>
        </w:rPr>
        <w:t xml:space="preserve"> voir description en base ci-dessus</w:t>
      </w:r>
    </w:p>
    <w:p w14:paraId="768E2DE2" w14:textId="77777777" w:rsidR="00DB2B68" w:rsidRDefault="00000000">
      <w:pPr>
        <w:pStyle w:val="pheading"/>
      </w:pPr>
      <w:r>
        <w:t>- nature du marché:</w:t>
      </w:r>
    </w:p>
    <w:p w14:paraId="47833847" w14:textId="77777777" w:rsidR="00DB2B68" w:rsidRDefault="00000000">
      <w:r>
        <w:rPr>
          <w:rStyle w:val="headingChar"/>
        </w:rPr>
        <w:t>EN BASE</w:t>
      </w:r>
    </w:p>
    <w:p w14:paraId="1012DB54" w14:textId="77777777" w:rsidR="00DB2B68" w:rsidRDefault="00000000">
      <w:r>
        <w:rPr>
          <w:rStyle w:val="optioncarChar"/>
        </w:rPr>
        <w:t xml:space="preserve">QF </w:t>
      </w:r>
      <w:r>
        <w:t>(par défaut)</w:t>
      </w:r>
      <w:r>
        <w:rPr>
          <w:rStyle w:val="optioncarChar"/>
        </w:rPr>
        <w:t xml:space="preserve"> / QP / PM</w:t>
      </w:r>
    </w:p>
    <w:p w14:paraId="3E74EFB2" w14:textId="77777777" w:rsidR="00DB2B68" w:rsidRDefault="00000000">
      <w:r>
        <w:rPr>
          <w:rStyle w:val="headingChar"/>
        </w:rPr>
        <w:t>SUPPLEMENT POUR COFFRAGE PARTICULIER ET COMPLEXE</w:t>
      </w:r>
      <w:r>
        <w:br/>
      </w:r>
    </w:p>
    <w:p w14:paraId="271C52C3" w14:textId="77777777" w:rsidR="00DB2B68" w:rsidRDefault="00000000">
      <w:r>
        <w:rPr>
          <w:rStyle w:val="optioncarChar"/>
        </w:rPr>
        <w:lastRenderedPageBreak/>
        <w:t xml:space="preserve">QF </w:t>
      </w:r>
      <w:r>
        <w:t xml:space="preserve">(par défaut) </w:t>
      </w:r>
      <w:r>
        <w:rPr>
          <w:rStyle w:val="optioncarChar"/>
        </w:rPr>
        <w:t>/ QP</w:t>
      </w:r>
    </w:p>
    <w:p w14:paraId="049FC72E" w14:textId="77777777" w:rsidR="00DB2B68" w:rsidRDefault="00000000">
      <w:r>
        <w:rPr>
          <w:u w:val="single"/>
        </w:rPr>
        <w:t>Attention</w:t>
      </w:r>
      <w:r>
        <w:t xml:space="preserve"> : dans le cas où les armatures ne sont pas comprises dans le prix unitaire du béton, se référer aux § </w:t>
      </w:r>
      <w:hyperlink w:anchor="233" w:history="1">
        <w:r>
          <w:rPr>
            <w:color w:val="0000EE"/>
          </w:rPr>
          <w:t>22.51.1 Barres d'armatures pour béton</w:t>
        </w:r>
      </w:hyperlink>
      <w:r>
        <w:t xml:space="preserve"> et § </w:t>
      </w:r>
      <w:hyperlink w:anchor="234" w:history="1">
        <w:r>
          <w:rPr>
            <w:color w:val="0000EE"/>
          </w:rPr>
          <w:t>22.51.2 Treillis et panneaux d'armatures préfabriqués</w:t>
        </w:r>
      </w:hyperlink>
      <w:r>
        <w:t xml:space="preserve">. Pour les armatures de précontrainte, se référer au § </w:t>
      </w:r>
      <w:hyperlink w:anchor="483" w:history="1">
        <w:r>
          <w:rPr>
            <w:color w:val="0000EE"/>
          </w:rPr>
          <w:t>22.52.1 Armatures de précontrainte par post-tension</w:t>
        </w:r>
      </w:hyperlink>
      <w:r>
        <w:t>.</w:t>
      </w:r>
      <w:r>
        <w:br/>
        <w:t> </w:t>
      </w:r>
    </w:p>
    <w:p w14:paraId="00A8D601" w14:textId="77777777" w:rsidR="00DB2B68" w:rsidRDefault="00000000">
      <w:pPr>
        <w:pStyle w:val="pheading"/>
      </w:pPr>
      <w:r>
        <w:t>AIDE</w:t>
      </w:r>
    </w:p>
    <w:p w14:paraId="682690DE" w14:textId="77777777" w:rsidR="00DB2B68" w:rsidRDefault="00000000">
      <w:r>
        <w:rPr>
          <w:u w:val="single"/>
        </w:rPr>
        <w:t>A l'attention de l'auteur de projet</w:t>
      </w:r>
    </w:p>
    <w:p w14:paraId="2A9090CF" w14:textId="77777777" w:rsidR="00DB2B68" w:rsidRDefault="00000000">
      <w:pPr>
        <w:pStyle w:val="Author-eListParagraph"/>
        <w:numPr>
          <w:ilvl w:val="0"/>
          <w:numId w:val="346"/>
        </w:numPr>
      </w:pPr>
      <w:r>
        <w:t xml:space="preserve">Pour les linteaux des portes et fenêtres de portée limitée, les linteaux préfabriqués sont en principe prévus à l'article </w:t>
      </w:r>
      <w:hyperlink w:anchor="173" w:history="1">
        <w:r>
          <w:rPr>
            <w:color w:val="0000EE"/>
          </w:rPr>
          <w:t>22.13.1d Linteaux préfabriqués en béton précontraint</w:t>
        </w:r>
      </w:hyperlink>
      <w:r>
        <w:t xml:space="preserve"> (compris dans le prix des ouvrages en maçonnerie).</w:t>
      </w:r>
    </w:p>
    <w:p w14:paraId="07101352" w14:textId="77777777" w:rsidR="00DB2B68" w:rsidRDefault="00000000">
      <w:pPr>
        <w:pStyle w:val="Author-eListParagraph"/>
        <w:numPr>
          <w:ilvl w:val="0"/>
          <w:numId w:val="346"/>
        </w:numPr>
      </w:pPr>
      <w:r>
        <w:t>Les poutres non autoportantes et les poutres de répartition sont prévues séparément à l'article </w:t>
      </w:r>
      <w:hyperlink w:anchor="485" w:history="1">
        <w:r>
          <w:rPr>
            <w:color w:val="0000EE"/>
          </w:rPr>
          <w:t>22.11.1b Poutres de ceinture en béton armé coulé en place</w:t>
        </w:r>
      </w:hyperlink>
    </w:p>
    <w:p w14:paraId="0EC1D429" w14:textId="77777777" w:rsidR="00DB2B68" w:rsidRDefault="00000000">
      <w:pPr>
        <w:pStyle w:val="Author-eSectionHeading6Numberless"/>
      </w:pPr>
      <w:bookmarkStart w:id="605" w:name="_Toc220495684"/>
      <w:r>
        <w:t>22.11.1b Poutres de ceinture en béton armé coulé en place CCTB 01.13</w:t>
      </w:r>
      <w:bookmarkEnd w:id="605"/>
    </w:p>
    <w:p w14:paraId="3CF4D22E" w14:textId="77777777" w:rsidR="00DB2B68" w:rsidRDefault="00000000">
      <w:pPr>
        <w:pStyle w:val="pheading"/>
      </w:pPr>
      <w:bookmarkStart w:id="606" w:name="485"/>
      <w:bookmarkEnd w:id="606"/>
      <w:r>
        <w:t>DESCRIPTION</w:t>
      </w:r>
    </w:p>
    <w:p w14:paraId="17300BC6" w14:textId="77777777" w:rsidR="00DB2B68" w:rsidRDefault="00000000">
      <w:pPr>
        <w:pStyle w:val="pheading"/>
      </w:pPr>
      <w:r>
        <w:t>- Définition / Comprend</w:t>
      </w:r>
    </w:p>
    <w:p w14:paraId="29407556" w14:textId="77777777" w:rsidR="00DB2B68" w:rsidRDefault="00000000">
      <w:r>
        <w:t xml:space="preserve">Il s'agit de toutes les poutres de chaînage périphérique non autoportantes exécutées en béton coulé en place. Les travaux comprennent les éléments décrits en </w:t>
      </w:r>
      <w:hyperlink w:anchor="87" w:history="1">
        <w:r>
          <w:rPr>
            <w:color w:val="0000EE"/>
          </w:rPr>
          <w:t>22 Superstructures en béton</w:t>
        </w:r>
      </w:hyperlink>
      <w:r>
        <w:t xml:space="preserve"> § </w:t>
      </w:r>
      <w:r>
        <w:rPr>
          <w:u w:val="single"/>
        </w:rPr>
        <w:t>Béton prêt à l'emploi</w:t>
      </w:r>
      <w:r>
        <w:t xml:space="preserve"> et notamment les coffrages,</w:t>
      </w:r>
      <w:r>
        <w:rPr>
          <w:shd w:val="clear" w:color="auto" w:fill="FFFFFF"/>
        </w:rPr>
        <w:t xml:space="preserve"> les armatures (suivant le code de mesurage),</w:t>
      </w:r>
      <w:r>
        <w:t xml:space="preserve"> le béton et la cure.</w:t>
      </w:r>
    </w:p>
    <w:p w14:paraId="28E225E2" w14:textId="77777777" w:rsidR="00DB2B68" w:rsidRDefault="00000000">
      <w:r>
        <w:t xml:space="preserve">L'étude et les plans d'exécution </w:t>
      </w:r>
      <w:r>
        <w:rPr>
          <w:rStyle w:val="optioncarChar"/>
        </w:rPr>
        <w:t>sont / ne sont pas</w:t>
      </w:r>
      <w:r>
        <w:t xml:space="preserve"> à charge de l'entreprise.</w:t>
      </w:r>
    </w:p>
    <w:p w14:paraId="06D40714" w14:textId="77777777" w:rsidR="00DB2B68" w:rsidRDefault="00000000">
      <w:pPr>
        <w:pStyle w:val="pheading"/>
      </w:pPr>
      <w:r>
        <w:t>MATÉRIAUX</w:t>
      </w:r>
    </w:p>
    <w:p w14:paraId="0F2031AE" w14:textId="77777777" w:rsidR="00DB2B68" w:rsidRDefault="00000000">
      <w:pPr>
        <w:pStyle w:val="pheading"/>
      </w:pPr>
      <w:r>
        <w:t>- Caractéristiques générales</w:t>
      </w:r>
    </w:p>
    <w:p w14:paraId="611EA884" w14:textId="77777777" w:rsidR="00DB2B68" w:rsidRDefault="00000000">
      <w:r>
        <w:rPr>
          <w:u w:val="single"/>
        </w:rPr>
        <w:t>Béton</w:t>
      </w:r>
    </w:p>
    <w:p w14:paraId="7033B4A7" w14:textId="77777777" w:rsidR="00DB2B68" w:rsidRDefault="00000000">
      <w:pPr>
        <w:pStyle w:val="Author-eListParagraph"/>
        <w:numPr>
          <w:ilvl w:val="0"/>
          <w:numId w:val="347"/>
        </w:numPr>
      </w:pPr>
      <w:r>
        <w:t xml:space="preserve">Qualité du béton selon la [NBN EN 206:2013+A2] et la [NBN B 15-001]: (voir également </w:t>
      </w:r>
      <w:hyperlink w:anchor="87" w:history="1">
        <w:r>
          <w:rPr>
            <w:color w:val="0000EE"/>
          </w:rP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B2B68" w14:paraId="3459F4D1" w14:textId="77777777">
        <w:tc>
          <w:tcPr>
            <w:tcW w:w="1500" w:type="dxa"/>
            <w:noWrap/>
          </w:tcPr>
          <w:p w14:paraId="0AA66FAB" w14:textId="77777777" w:rsidR="00DB2B68" w:rsidRDefault="00000000">
            <w:pPr>
              <w:jc w:val="center"/>
            </w:pPr>
            <w:r>
              <w:rPr>
                <w:b/>
              </w:rPr>
              <w:t>A</w:t>
            </w:r>
          </w:p>
        </w:tc>
        <w:tc>
          <w:tcPr>
            <w:tcW w:w="1500" w:type="dxa"/>
            <w:noWrap/>
          </w:tcPr>
          <w:p w14:paraId="2E16B67C" w14:textId="77777777" w:rsidR="00DB2B68" w:rsidRDefault="00000000">
            <w:pPr>
              <w:jc w:val="center"/>
            </w:pPr>
            <w:r>
              <w:rPr>
                <w:b/>
              </w:rPr>
              <w:t>B1</w:t>
            </w:r>
          </w:p>
        </w:tc>
        <w:tc>
          <w:tcPr>
            <w:tcW w:w="1500" w:type="dxa"/>
            <w:noWrap/>
          </w:tcPr>
          <w:p w14:paraId="386371D6" w14:textId="77777777" w:rsidR="00DB2B68" w:rsidRDefault="00000000">
            <w:pPr>
              <w:jc w:val="center"/>
            </w:pPr>
            <w:r>
              <w:rPr>
                <w:b/>
              </w:rPr>
              <w:t>B2</w:t>
            </w:r>
          </w:p>
        </w:tc>
        <w:tc>
          <w:tcPr>
            <w:tcW w:w="1500" w:type="dxa"/>
            <w:noWrap/>
          </w:tcPr>
          <w:p w14:paraId="5A1300D2" w14:textId="77777777" w:rsidR="00DB2B68" w:rsidRDefault="00000000">
            <w:pPr>
              <w:jc w:val="center"/>
            </w:pPr>
            <w:r>
              <w:rPr>
                <w:b/>
              </w:rPr>
              <w:t>C</w:t>
            </w:r>
          </w:p>
        </w:tc>
        <w:tc>
          <w:tcPr>
            <w:tcW w:w="1500" w:type="dxa"/>
            <w:noWrap/>
          </w:tcPr>
          <w:p w14:paraId="26136F94" w14:textId="77777777" w:rsidR="00DB2B68" w:rsidRDefault="00000000">
            <w:pPr>
              <w:jc w:val="center"/>
            </w:pPr>
            <w:r>
              <w:rPr>
                <w:b/>
              </w:rPr>
              <w:t>D</w:t>
            </w:r>
          </w:p>
        </w:tc>
        <w:tc>
          <w:tcPr>
            <w:tcW w:w="1500" w:type="dxa"/>
            <w:noWrap/>
          </w:tcPr>
          <w:p w14:paraId="52AC3AD6" w14:textId="77777777" w:rsidR="00DB2B68" w:rsidRDefault="00000000">
            <w:pPr>
              <w:jc w:val="center"/>
            </w:pPr>
            <w:r>
              <w:rPr>
                <w:b/>
              </w:rPr>
              <w:t>E</w:t>
            </w:r>
          </w:p>
        </w:tc>
      </w:tr>
      <w:tr w:rsidR="00DB2B68" w14:paraId="43E8F91F" w14:textId="77777777">
        <w:tc>
          <w:tcPr>
            <w:tcW w:w="1500" w:type="dxa"/>
            <w:noWrap/>
          </w:tcPr>
          <w:p w14:paraId="7A11BDEE" w14:textId="77777777" w:rsidR="00DB2B68" w:rsidRDefault="00000000">
            <w:pPr>
              <w:jc w:val="center"/>
            </w:pPr>
            <w:r>
              <w:rPr>
                <w:b/>
              </w:rPr>
              <w:t>Classe de résistance</w:t>
            </w:r>
          </w:p>
        </w:tc>
        <w:tc>
          <w:tcPr>
            <w:tcW w:w="1500" w:type="dxa"/>
            <w:noWrap/>
          </w:tcPr>
          <w:p w14:paraId="15B042A8" w14:textId="77777777" w:rsidR="00DB2B68" w:rsidRDefault="00000000">
            <w:pPr>
              <w:jc w:val="center"/>
            </w:pPr>
            <w:r>
              <w:rPr>
                <w:b/>
              </w:rPr>
              <w:t>Domaine d’application</w:t>
            </w:r>
          </w:p>
        </w:tc>
        <w:tc>
          <w:tcPr>
            <w:tcW w:w="1500" w:type="dxa"/>
            <w:noWrap/>
          </w:tcPr>
          <w:p w14:paraId="25F9EFCA" w14:textId="77777777" w:rsidR="00DB2B68" w:rsidRDefault="00000000">
            <w:pPr>
              <w:jc w:val="center"/>
            </w:pPr>
            <w:r>
              <w:rPr>
                <w:b/>
              </w:rPr>
              <w:t>Classe d'environnement</w:t>
            </w:r>
          </w:p>
        </w:tc>
        <w:tc>
          <w:tcPr>
            <w:tcW w:w="1500" w:type="dxa"/>
            <w:noWrap/>
          </w:tcPr>
          <w:p w14:paraId="0070DA2D" w14:textId="77777777" w:rsidR="00DB2B68" w:rsidRDefault="00000000">
            <w:pPr>
              <w:jc w:val="center"/>
            </w:pPr>
            <w:r>
              <w:rPr>
                <w:b/>
              </w:rPr>
              <w:t>Classe de consistance</w:t>
            </w:r>
          </w:p>
        </w:tc>
        <w:tc>
          <w:tcPr>
            <w:tcW w:w="1500" w:type="dxa"/>
            <w:noWrap/>
          </w:tcPr>
          <w:p w14:paraId="046E8FE5" w14:textId="77777777" w:rsidR="00DB2B68" w:rsidRDefault="00000000">
            <w:pPr>
              <w:jc w:val="center"/>
            </w:pPr>
            <w:r>
              <w:rPr>
                <w:b/>
              </w:rPr>
              <w:t>Granulométrie maximale</w:t>
            </w:r>
          </w:p>
        </w:tc>
        <w:tc>
          <w:tcPr>
            <w:tcW w:w="1500" w:type="dxa"/>
            <w:noWrap/>
          </w:tcPr>
          <w:p w14:paraId="209309BA" w14:textId="77777777" w:rsidR="00DB2B68" w:rsidRDefault="00000000">
            <w:r>
              <w:rPr>
                <w:b/>
              </w:rPr>
              <w:t>Données complémentaires</w:t>
            </w:r>
          </w:p>
        </w:tc>
      </w:tr>
      <w:tr w:rsidR="00DB2B68" w14:paraId="144653A7" w14:textId="77777777">
        <w:tc>
          <w:tcPr>
            <w:tcW w:w="1500" w:type="dxa"/>
            <w:noWrap/>
          </w:tcPr>
          <w:p w14:paraId="5BA9FEED" w14:textId="77777777" w:rsidR="00DB2B68" w:rsidRDefault="00000000">
            <w:pPr>
              <w:jc w:val="center"/>
            </w:pPr>
            <w:r>
              <w:rPr>
                <w:rStyle w:val="optioncarChar"/>
              </w:rPr>
              <w:t>C25/30 / C30/37 / C35/45 / C45/55 / C50/60 / C55/67 / C60/75 / C70/85 / C80/95 / C90/105</w:t>
            </w:r>
          </w:p>
        </w:tc>
        <w:tc>
          <w:tcPr>
            <w:tcW w:w="1500" w:type="dxa"/>
            <w:noWrap/>
          </w:tcPr>
          <w:p w14:paraId="23A5B865" w14:textId="77777777" w:rsidR="00DB2B68" w:rsidRDefault="00000000">
            <w:pPr>
              <w:jc w:val="center"/>
            </w:pPr>
            <w:r>
              <w:t>Béton armé</w:t>
            </w:r>
            <w:r>
              <w:br/>
            </w:r>
            <w:r>
              <w:br/>
            </w:r>
          </w:p>
        </w:tc>
        <w:tc>
          <w:tcPr>
            <w:tcW w:w="1500" w:type="dxa"/>
            <w:noWrap/>
          </w:tcPr>
          <w:p w14:paraId="279FBC8E" w14:textId="77777777" w:rsidR="00DB2B68" w:rsidRDefault="00000000">
            <w:pPr>
              <w:jc w:val="center"/>
            </w:pPr>
            <w:r>
              <w:rPr>
                <w:rStyle w:val="optioncarChar"/>
              </w:rPr>
              <w:t>E0 / EI / EE1 / EE2 / EE3 / EE4 / ES1 / ES2 / ES3 / ES4 / EA1+*** / EA2+***/ EA3+***</w:t>
            </w:r>
          </w:p>
        </w:tc>
        <w:tc>
          <w:tcPr>
            <w:tcW w:w="1500" w:type="dxa"/>
            <w:noWrap/>
          </w:tcPr>
          <w:p w14:paraId="36116077" w14:textId="77777777" w:rsidR="00DB2B68" w:rsidRDefault="00000000">
            <w:pPr>
              <w:jc w:val="center"/>
            </w:pPr>
            <w:r>
              <w:t>au choix de l'entrepreneur :</w:t>
            </w:r>
            <w:r>
              <w:br/>
            </w:r>
            <w:r>
              <w:rPr>
                <w:rStyle w:val="optioncarChar"/>
              </w:rPr>
              <w:t>S3 / S4 / S5</w:t>
            </w:r>
            <w:r>
              <w:br/>
            </w:r>
            <w:r>
              <w:br/>
            </w:r>
            <w:r>
              <w:rPr>
                <w:rStyle w:val="optioncarChar"/>
              </w:rPr>
              <w:t>F3 / F4 / F5 / F6</w:t>
            </w:r>
            <w:r>
              <w:br/>
            </w:r>
          </w:p>
        </w:tc>
        <w:tc>
          <w:tcPr>
            <w:tcW w:w="1500" w:type="dxa"/>
            <w:noWrap/>
          </w:tcPr>
          <w:p w14:paraId="53AE76A4" w14:textId="77777777" w:rsidR="00DB2B68" w:rsidRDefault="00000000">
            <w:pPr>
              <w:jc w:val="center"/>
            </w:pPr>
            <w:r>
              <w:t>au choix de l'entrepreneur :</w:t>
            </w:r>
            <w:r>
              <w:br/>
            </w:r>
            <w:r>
              <w:rPr>
                <w:rStyle w:val="optioncarChar"/>
              </w:rPr>
              <w:t>6 / 8 / 10 / 11 / 12 / 14 / 16 / 20 / 22 / 32</w:t>
            </w:r>
            <w:r>
              <w:t xml:space="preserve"> mm</w:t>
            </w:r>
          </w:p>
        </w:tc>
        <w:tc>
          <w:tcPr>
            <w:tcW w:w="1500" w:type="dxa"/>
            <w:noWrap/>
          </w:tcPr>
          <w:p w14:paraId="670A615E" w14:textId="77777777" w:rsidR="00DB2B68" w:rsidRDefault="00000000">
            <w:pPr>
              <w:jc w:val="center"/>
            </w:pPr>
            <w:r>
              <w:rPr>
                <w:rStyle w:val="optioncarChar"/>
              </w:rPr>
              <w:t>***</w:t>
            </w:r>
          </w:p>
        </w:tc>
      </w:tr>
    </w:tbl>
    <w:p w14:paraId="6903F4D9" w14:textId="77777777" w:rsidR="00DB2B68" w:rsidRDefault="00000000">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57D51819" w14:textId="77777777" w:rsidR="00DB2B68" w:rsidRDefault="00000000">
      <w:r>
        <w:t> </w:t>
      </w:r>
    </w:p>
    <w:p w14:paraId="250A6D2C" w14:textId="77777777" w:rsidR="00DB2B68" w:rsidRDefault="00000000">
      <w:pPr>
        <w:ind w:left="567"/>
      </w:pPr>
      <w:r>
        <w:t>Données complémentaires propres au béton autoplaçant (E) :</w:t>
      </w:r>
    </w:p>
    <w:p w14:paraId="1C0AEEA7" w14:textId="77777777" w:rsidR="00DB2B68" w:rsidRDefault="00000000">
      <w:pPr>
        <w:pStyle w:val="Author-eListParagraph"/>
        <w:numPr>
          <w:ilvl w:val="0"/>
          <w:numId w:val="348"/>
        </w:numPr>
      </w:pPr>
      <w:r>
        <w:t xml:space="preserve">Classe de viscosité apparente : </w:t>
      </w:r>
      <w:r>
        <w:rPr>
          <w:rStyle w:val="optioncarChar"/>
        </w:rPr>
        <w:t>VS1 / VS2</w:t>
      </w:r>
      <w:r>
        <w:t xml:space="preserve"> (selon la [NBN EN 12350-8] )</w:t>
      </w:r>
    </w:p>
    <w:p w14:paraId="6A7242F3" w14:textId="77777777" w:rsidR="00DB2B68" w:rsidRDefault="00000000">
      <w:pPr>
        <w:pStyle w:val="Author-eListParagraph"/>
        <w:numPr>
          <w:ilvl w:val="0"/>
          <w:numId w:val="348"/>
        </w:numPr>
      </w:pPr>
      <w:r>
        <w:lastRenderedPageBreak/>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3C7F4CA7" w14:textId="77777777" w:rsidR="00DB2B68" w:rsidRDefault="00000000">
      <w:pPr>
        <w:pStyle w:val="Author-eListParagraph"/>
        <w:numPr>
          <w:ilvl w:val="0"/>
          <w:numId w:val="34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AAC7D7A" w14:textId="77777777" w:rsidR="00DB2B68" w:rsidRDefault="00000000">
      <w:r>
        <w:rPr>
          <w:u w:val="single"/>
        </w:rPr>
        <w:t>Armatures</w:t>
      </w:r>
    </w:p>
    <w:p w14:paraId="4656B738" w14:textId="77777777" w:rsidR="00DB2B68" w:rsidRDefault="00000000">
      <w:pPr>
        <w:pStyle w:val="Author-eListParagraph"/>
        <w:numPr>
          <w:ilvl w:val="0"/>
          <w:numId w:val="349"/>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07BFA99A" w14:textId="77777777" w:rsidR="00DB2B68" w:rsidRDefault="00000000">
      <w:pPr>
        <w:pStyle w:val="Author-eListParagraph"/>
        <w:numPr>
          <w:ilvl w:val="0"/>
          <w:numId w:val="349"/>
        </w:numPr>
      </w:pPr>
      <w:r>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u w:val="single"/>
        </w:rPr>
        <w:t>DE 500 BS</w:t>
      </w:r>
      <w:r>
        <w:rPr>
          <w:rStyle w:val="soitChar"/>
        </w:rPr>
        <w:t xml:space="preserve"> selon [NBN A 24-303] + [PTV 303]</w:t>
      </w:r>
      <w:r>
        <w:br/>
      </w:r>
      <w:r>
        <w:rPr>
          <w:b/>
        </w:rPr>
        <w:t>(soit)</w:t>
      </w:r>
      <w:r>
        <w:br/>
      </w:r>
      <w:r>
        <w:rPr>
          <w:rStyle w:val="soitChar"/>
          <w:u w:val="single"/>
        </w:rPr>
        <w:t>BE 500 S</w:t>
      </w:r>
      <w:r>
        <w:rPr>
          <w:rStyle w:val="soitChar"/>
        </w:rPr>
        <w:t xml:space="preserve"> selon [NBN A 24-302] + [PTV 302] .</w:t>
      </w:r>
    </w:p>
    <w:p w14:paraId="5EDA2CA5" w14:textId="77777777" w:rsidR="00DB2B68" w:rsidRDefault="00000000">
      <w:pPr>
        <w:pStyle w:val="pheading"/>
      </w:pPr>
      <w:r>
        <w:t>- Finitions</w:t>
      </w:r>
    </w:p>
    <w:p w14:paraId="72EF9C84" w14:textId="77777777" w:rsidR="00DB2B68" w:rsidRDefault="00000000">
      <w:r>
        <w:t>La surface du béton brute de décoffrage est</w:t>
      </w:r>
      <w:r>
        <w:rPr>
          <w:rStyle w:val="optioncarChar"/>
        </w:rPr>
        <w:t xml:space="preserve"> lisse </w:t>
      </w:r>
      <w:r>
        <w:t xml:space="preserve">(par défaut) </w:t>
      </w:r>
      <w:r>
        <w:rPr>
          <w:rStyle w:val="optioncarChar"/>
        </w:rPr>
        <w:t>/ texturée</w:t>
      </w:r>
      <w:r>
        <w:t> </w:t>
      </w:r>
      <w:r>
        <w:rPr>
          <w:rStyle w:val="optioncarChar"/>
        </w:rPr>
        <w:t>/ à relief (ou structurée) / équipée d'un coffrage perdu / ***</w:t>
      </w:r>
    </w:p>
    <w:p w14:paraId="6D546757" w14:textId="77777777" w:rsidR="00DB2B68" w:rsidRDefault="00000000">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V</w:t>
      </w:r>
      <w:r>
        <w:rPr>
          <w:rStyle w:val="soitChar"/>
          <w:u w:val="single"/>
        </w:rPr>
        <w:t>ives</w:t>
      </w:r>
      <w:r>
        <w:br/>
      </w:r>
      <w:r>
        <w:rPr>
          <w:rStyle w:val="optioncarChar"/>
          <w:b/>
          <w:color w:val="000000"/>
          <w:shd w:val="clear" w:color="auto" w:fill="FFFFFF"/>
        </w:rPr>
        <w:t>(soit)</w:t>
      </w:r>
      <w:r>
        <w:br/>
      </w:r>
      <w:r>
        <w:rPr>
          <w:rStyle w:val="soitChar"/>
        </w:rPr>
        <w:t>C</w:t>
      </w:r>
      <w:r>
        <w:rPr>
          <w:rStyle w:val="soitChar"/>
          <w:u w:val="single"/>
        </w:rPr>
        <w:t>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5A0D6A51" w14:textId="77777777" w:rsidR="00DB2B68" w:rsidRDefault="00000000">
      <w:r>
        <w:rPr>
          <w:rStyle w:val="optioncarChar"/>
        </w:rPr>
        <w:t> </w:t>
      </w:r>
    </w:p>
    <w:p w14:paraId="4FB48D0D" w14:textId="77777777" w:rsidR="00DB2B68" w:rsidRDefault="00000000">
      <w:pPr>
        <w:pStyle w:val="pheading"/>
      </w:pPr>
      <w:r>
        <w:t>- Prescriptions complémentaires</w:t>
      </w:r>
    </w:p>
    <w:p w14:paraId="5C940D94" w14:textId="77777777" w:rsidR="00DB2B68" w:rsidRDefault="00000000">
      <w:r>
        <w:t>Résistance au feu :</w:t>
      </w:r>
      <w:r>
        <w:rPr>
          <w:rStyle w:val="optioncarChar"/>
        </w:rPr>
        <w:t> R30 </w:t>
      </w:r>
      <w:r>
        <w:t>(par défaut)</w:t>
      </w:r>
      <w:r>
        <w:rPr>
          <w:rStyle w:val="optioncarChar"/>
        </w:rPr>
        <w:t xml:space="preserve"> / R60 / R120 / R240 / *** </w:t>
      </w:r>
      <w:r>
        <w:t>selon la [NBN EN 13501-2] ou par calcul selon les Eurocodes conformément à l’[AM 2013-05-17, Arrêté ministériel relatif à l’utilisation des Eurocodes comme méthodes de calcul pour l’évaluation de la résistance au feu d’éléments de construction].</w:t>
      </w:r>
    </w:p>
    <w:p w14:paraId="36D9C926" w14:textId="77777777" w:rsidR="00DB2B68" w:rsidRDefault="00000000">
      <w:pPr>
        <w:pStyle w:val="pheading"/>
      </w:pPr>
      <w:r>
        <w:t>EXÉCUTION / MISE EN ŒUVRE</w:t>
      </w:r>
    </w:p>
    <w:p w14:paraId="5C067D3C" w14:textId="77777777" w:rsidR="00DB2B68" w:rsidRDefault="00000000">
      <w:pPr>
        <w:pStyle w:val="pheading"/>
      </w:pPr>
      <w:r>
        <w:t>- Prescriptions générales</w:t>
      </w:r>
    </w:p>
    <w:p w14:paraId="7FFF5D1B" w14:textId="77777777" w:rsidR="00DB2B68" w:rsidRDefault="00000000">
      <w:r>
        <w:t>Les poutres de ceinture sont coulées sur place en</w:t>
      </w:r>
      <w:r>
        <w:rPr>
          <w:rStyle w:val="optioncarChar"/>
        </w:rPr>
        <w:t> une seule</w:t>
      </w:r>
      <w:r>
        <w:t xml:space="preserve"> (par défaut)</w:t>
      </w:r>
      <w:r>
        <w:rPr>
          <w:rStyle w:val="optioncarChar"/>
        </w:rPr>
        <w:t xml:space="preserve"> / *** </w:t>
      </w:r>
      <w:r>
        <w:t>fois.</w:t>
      </w:r>
    </w:p>
    <w:p w14:paraId="02A3CDBF" w14:textId="77777777" w:rsidR="00DB2B68"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rPr>
            <w:color w:val="0000EE"/>
          </w:rPr>
          <w:t>22 Superstructures en béton</w:t>
        </w:r>
      </w:hyperlink>
      <w:r>
        <w:t xml:space="preserve"> sous-titre </w:t>
      </w:r>
      <w:r>
        <w:rPr>
          <w:u w:val="single"/>
        </w:rPr>
        <w:t>Décoffrage</w:t>
      </w:r>
      <w:r>
        <w:t xml:space="preserve"> et [NBN B 15-400] )</w:t>
      </w:r>
    </w:p>
    <w:p w14:paraId="6118D274" w14:textId="77777777" w:rsidR="00DB2B68"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104EA395" w14:textId="77777777" w:rsidR="00DB2B68" w:rsidRDefault="00000000">
      <w:r>
        <w:t xml:space="preserve">• Les trous laissés par les entretoises reliant les parois des coffrages sont bouchés à l’aide de </w:t>
      </w:r>
      <w:r>
        <w:rPr>
          <w:rStyle w:val="optioncarChar"/>
        </w:rPr>
        <w:t>mortier</w:t>
      </w:r>
      <w:r>
        <w:t xml:space="preserve"> (par défaut) </w:t>
      </w:r>
      <w:r>
        <w:rPr>
          <w:rStyle w:val="optioncarChar"/>
        </w:rPr>
        <w:t>/ bouchon synthétique / tampon synthétique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r>
      <w:r>
        <w:lastRenderedPageBreak/>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33E643C7" w14:textId="77777777" w:rsidR="00DB2B68" w:rsidRDefault="00000000">
      <w:pPr>
        <w:pStyle w:val="pheading"/>
      </w:pPr>
      <w:r>
        <w:t>- Notes d’exécution complémentaires</w:t>
      </w:r>
    </w:p>
    <w:p w14:paraId="23C2E90F" w14:textId="77777777" w:rsidR="00DB2B68" w:rsidRDefault="00000000">
      <w:r>
        <w:t xml:space="preserve">Raccords visibles entre éléments de coffrage : </w:t>
      </w:r>
      <w:r>
        <w:rPr>
          <w:rStyle w:val="optioncarChar"/>
        </w:rPr>
        <w:t xml:space="preserve">joint en forme de V  </w:t>
      </w:r>
      <w:r>
        <w:t>(par défaut) </w:t>
      </w:r>
      <w:r>
        <w:rPr>
          <w:rStyle w:val="optioncarChar"/>
        </w:rPr>
        <w:t>/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0773AE08" w14:textId="77777777" w:rsidR="00DB2B68" w:rsidRDefault="00000000">
      <w:pPr>
        <w:pStyle w:val="pheading"/>
      </w:pPr>
      <w:r>
        <w:t>MESURAGE</w:t>
      </w:r>
    </w:p>
    <w:p w14:paraId="7BE82A9D" w14:textId="77777777" w:rsidR="00DB2B68" w:rsidRDefault="00000000">
      <w:r>
        <w:t>Le coffrage n'est jamais mesuré séparément et doit toujours être compris dans le prix unitaire du béton de centrale.</w:t>
      </w:r>
    </w:p>
    <w:p w14:paraId="14B7D4B4" w14:textId="77777777" w:rsidR="00DB2B68" w:rsidRDefault="00000000">
      <w:r>
        <w:t xml:space="preserve">Quantités d'armatures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2" w:history="1">
        <w:r>
          <w:rPr>
            <w:rStyle w:val="soitChar"/>
            <w:color w:val="0000EE"/>
          </w:rPr>
          <w:t>22.51 Armatures pour béton</w:t>
        </w:r>
      </w:hyperlink>
    </w:p>
    <w:p w14:paraId="6B67C70B" w14:textId="77777777" w:rsidR="00DB2B68" w:rsidRDefault="00000000">
      <w:pPr>
        <w:pStyle w:val="pheading"/>
      </w:pPr>
      <w:r>
        <w:t>- unité de mesure:</w:t>
      </w:r>
    </w:p>
    <w:p w14:paraId="074BE00B" w14:textId="77777777" w:rsidR="00DB2B68" w:rsidRDefault="00000000">
      <w:pPr>
        <w:ind w:left="435"/>
      </w:pPr>
      <w:r>
        <w:t>m³</w:t>
      </w:r>
    </w:p>
    <w:p w14:paraId="04DEC0F8" w14:textId="77777777" w:rsidR="00DB2B68" w:rsidRDefault="00000000">
      <w:pPr>
        <w:pStyle w:val="pheading"/>
      </w:pPr>
      <w:r>
        <w:t>- code de mesurage:</w:t>
      </w:r>
    </w:p>
    <w:p w14:paraId="709D9BB2" w14:textId="77777777" w:rsidR="00DB2B68" w:rsidRDefault="00000000">
      <w:r>
        <w:t>volume net, mesuré selon les dimensions nominales indiquées sur les plans, exprimées en </w:t>
      </w:r>
      <w:r>
        <w:rPr>
          <w:rStyle w:val="optioncarChar"/>
        </w:rPr>
        <w:t>cm </w:t>
      </w:r>
      <w:r>
        <w:t>(par défaut)</w:t>
      </w:r>
      <w:r>
        <w:rPr>
          <w:rStyle w:val="optioncarChar"/>
        </w:rPr>
        <w:t xml:space="preserve"> / dm / ***.</w:t>
      </w:r>
    </w:p>
    <w:p w14:paraId="696ADEF1" w14:textId="77777777" w:rsidR="00DB2B68"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43F7B751" w14:textId="77777777" w:rsidR="00DB2B68" w:rsidRDefault="00000000">
      <w:pPr>
        <w:pStyle w:val="Author-eListParagraph"/>
        <w:numPr>
          <w:ilvl w:val="0"/>
          <w:numId w:val="350"/>
        </w:numPr>
      </w:pPr>
      <w:r>
        <w:t>le volume des armatures,</w:t>
      </w:r>
    </w:p>
    <w:p w14:paraId="11406A42" w14:textId="77777777" w:rsidR="00DB2B68" w:rsidRDefault="00000000">
      <w:pPr>
        <w:pStyle w:val="Author-eListParagraph"/>
        <w:numPr>
          <w:ilvl w:val="0"/>
          <w:numId w:val="350"/>
        </w:numPr>
      </w:pPr>
      <w:r>
        <w:t>les blocs et écarteurs, les fourreaux pour les armatures de précontrainte ;</w:t>
      </w:r>
    </w:p>
    <w:p w14:paraId="6F39128E" w14:textId="77777777" w:rsidR="00DB2B68" w:rsidRDefault="00000000">
      <w:pPr>
        <w:pStyle w:val="Author-eListParagraph"/>
        <w:numPr>
          <w:ilvl w:val="0"/>
          <w:numId w:val="350"/>
        </w:numPr>
      </w:pPr>
      <w:r>
        <w:t>les pénétrations pour les pattes d’ancrage, les creux, les conduites noyées et les réservations dont le volume est inférieur à 0,05 m3.</w:t>
      </w:r>
    </w:p>
    <w:p w14:paraId="7B89D4B5" w14:textId="77777777" w:rsidR="00DB2B68" w:rsidRDefault="00000000">
      <w:pPr>
        <w:pStyle w:val="Author-eListParagraph"/>
        <w:numPr>
          <w:ilvl w:val="0"/>
          <w:numId w:val="350"/>
        </w:numPr>
      </w:pPr>
      <w:r>
        <w:t>les chanfreins et tous les profils dont la section a une superficie inférieure à 0,002 m2.</w:t>
      </w:r>
    </w:p>
    <w:p w14:paraId="71B21F28" w14:textId="77777777" w:rsidR="00DB2B68" w:rsidRDefault="00000000">
      <w:pPr>
        <w:pStyle w:val="Author-eListParagraph"/>
        <w:numPr>
          <w:ilvl w:val="0"/>
          <w:numId w:val="350"/>
        </w:numPr>
      </w:pPr>
      <w:r>
        <w:t>les rainures, encoches et languettes.</w:t>
      </w:r>
    </w:p>
    <w:p w14:paraId="59624807" w14:textId="77777777" w:rsidR="00DB2B68" w:rsidRDefault="00000000">
      <w:pPr>
        <w:pStyle w:val="pheading"/>
      </w:pPr>
      <w:r>
        <w:t>- nature du marché:</w:t>
      </w:r>
    </w:p>
    <w:p w14:paraId="2A72102F" w14:textId="77777777" w:rsidR="00DB2B68" w:rsidRDefault="00000000">
      <w:r>
        <w:rPr>
          <w:rStyle w:val="optioncarChar"/>
        </w:rPr>
        <w:t xml:space="preserve">QF </w:t>
      </w:r>
      <w:r>
        <w:t>(par défaut)</w:t>
      </w:r>
      <w:r>
        <w:rPr>
          <w:rStyle w:val="optioncarChar"/>
        </w:rPr>
        <w:t xml:space="preserve"> / QP / PM</w:t>
      </w:r>
    </w:p>
    <w:p w14:paraId="74E3942B" w14:textId="77777777" w:rsidR="00DB2B68" w:rsidRDefault="00000000">
      <w:r>
        <w:rPr>
          <w:i/>
          <w:u w:val="single"/>
        </w:rPr>
        <w:t>&gt;Remarque </w:t>
      </w:r>
    </w:p>
    <w:p w14:paraId="59B81F32" w14:textId="77777777" w:rsidR="00DB2B68" w:rsidRDefault="00000000">
      <w:pPr>
        <w:pStyle w:val="Author-eListParagraph"/>
        <w:numPr>
          <w:ilvl w:val="0"/>
          <w:numId w:val="351"/>
        </w:numPr>
      </w:pPr>
      <w:r>
        <w:rPr>
          <w:i/>
        </w:rPr>
        <w:lastRenderedPageBreak/>
        <w:t xml:space="preserve">Les soumissionnaires indiquent toujours, pour les quantités forfaitaires, un prix unitaire, afin de permettre le décompte des modifications imposées par le maître de l’ouvrage, ainsi que pour le calcul du montant des états d’avancement. </w:t>
      </w:r>
    </w:p>
    <w:p w14:paraId="07919876" w14:textId="77777777" w:rsidR="00DB2B68" w:rsidRDefault="00000000">
      <w:pPr>
        <w:pStyle w:val="Author-eListParagraph"/>
        <w:numPr>
          <w:ilvl w:val="0"/>
          <w:numId w:val="351"/>
        </w:numPr>
      </w:pPr>
      <w:r>
        <w:rPr>
          <w:i/>
        </w:rPr>
        <w:t xml:space="preserve">Les quantités de béton ne sont jamais mesurées sur la base des bons de livraison soumis par l’entrepreneur. </w:t>
      </w:r>
    </w:p>
    <w:p w14:paraId="77928B6E" w14:textId="77777777" w:rsidR="00DB2B68" w:rsidRDefault="00000000">
      <w:r>
        <w:rPr>
          <w:u w:val="single"/>
        </w:rPr>
        <w:t xml:space="preserve">Attention </w:t>
      </w:r>
      <w:r>
        <w:t xml:space="preserve">: dans le cas où les armatures ne sont pas comprises dans le prix unitaire du béton, se référer aux § </w:t>
      </w:r>
      <w:hyperlink w:anchor="233" w:history="1">
        <w:r>
          <w:rPr>
            <w:color w:val="0000EE"/>
          </w:rPr>
          <w:t>22.51.1 Barres d'armatures pour béton</w:t>
        </w:r>
      </w:hyperlink>
      <w:r>
        <w:t xml:space="preserve"> et § </w:t>
      </w:r>
      <w:hyperlink w:anchor="234" w:history="1">
        <w:r>
          <w:rPr>
            <w:color w:val="0000EE"/>
          </w:rPr>
          <w:t>22.51.2 Treillis et panneaux d'armatures préfabriqués</w:t>
        </w:r>
      </w:hyperlink>
      <w:r>
        <w:t>.</w:t>
      </w:r>
    </w:p>
    <w:p w14:paraId="4BFBED60" w14:textId="77777777" w:rsidR="00DB2B68" w:rsidRDefault="00000000">
      <w:pPr>
        <w:pStyle w:val="Author-eSectionHeading6Numberless"/>
      </w:pPr>
      <w:bookmarkStart w:id="607" w:name="_Toc220495685"/>
      <w:r>
        <w:t>22.11.1c Poutres de répartition en béton armé coulé en place CCTB 01.13</w:t>
      </w:r>
      <w:bookmarkEnd w:id="607"/>
    </w:p>
    <w:p w14:paraId="1ACE63CE" w14:textId="77777777" w:rsidR="00DB2B68" w:rsidRDefault="00000000">
      <w:pPr>
        <w:pStyle w:val="pheading"/>
      </w:pPr>
      <w:r>
        <w:t>DESCRIPTION</w:t>
      </w:r>
    </w:p>
    <w:p w14:paraId="7AD786D6" w14:textId="77777777" w:rsidR="00DB2B68" w:rsidRDefault="00000000">
      <w:pPr>
        <w:pStyle w:val="pheading"/>
      </w:pPr>
      <w:r>
        <w:t>- Définition / Comprend</w:t>
      </w:r>
    </w:p>
    <w:p w14:paraId="395CB801" w14:textId="77777777" w:rsidR="00DB2B68" w:rsidRDefault="00000000">
      <w:r>
        <w:t xml:space="preserve">Il s'agit de toutes les poutres de répartition non-autoportantes exécutées en béton armé coulé en place. Les travaux comprennent les éléments décrits en </w:t>
      </w:r>
      <w:hyperlink w:anchor="87" w:history="1">
        <w:r>
          <w:rPr>
            <w:color w:val="0000EE"/>
          </w:rPr>
          <w:t>22 Superstructures en béton</w:t>
        </w:r>
      </w:hyperlink>
      <w:r>
        <w:t xml:space="preserve"> § </w:t>
      </w:r>
      <w:r>
        <w:rPr>
          <w:u w:val="single"/>
        </w:rPr>
        <w:t>Béton prêt à l'emploi</w:t>
      </w:r>
      <w:r>
        <w:t xml:space="preserve"> et notamment les coffrages,</w:t>
      </w:r>
      <w:r>
        <w:rPr>
          <w:shd w:val="clear" w:color="auto" w:fill="FFFFFF"/>
        </w:rPr>
        <w:t xml:space="preserve"> les armatures (suivant le code de mesurage),</w:t>
      </w:r>
      <w:r>
        <w:t xml:space="preserve"> le béton et la cure.</w:t>
      </w:r>
    </w:p>
    <w:p w14:paraId="350BC65F" w14:textId="77777777" w:rsidR="00DB2B68" w:rsidRDefault="00000000">
      <w:r>
        <w:t xml:space="preserve">L'étude et les plans d'exécution </w:t>
      </w:r>
      <w:r>
        <w:rPr>
          <w:rStyle w:val="optioncarChar"/>
        </w:rPr>
        <w:t>sont / ne sont pas</w:t>
      </w:r>
      <w:r>
        <w:t xml:space="preserve"> à charge de l'entreprise.</w:t>
      </w:r>
    </w:p>
    <w:p w14:paraId="1FC5F358" w14:textId="77777777" w:rsidR="00DB2B68" w:rsidRDefault="00000000">
      <w:pPr>
        <w:pStyle w:val="pheading"/>
      </w:pPr>
      <w:r>
        <w:t>MATÉRIAUX</w:t>
      </w:r>
    </w:p>
    <w:p w14:paraId="08153FBA" w14:textId="77777777" w:rsidR="00DB2B68" w:rsidRDefault="00000000">
      <w:pPr>
        <w:pStyle w:val="pheading"/>
      </w:pPr>
      <w:r>
        <w:t>- Caractéristiques générales</w:t>
      </w:r>
    </w:p>
    <w:p w14:paraId="323A845C" w14:textId="77777777" w:rsidR="00DB2B68" w:rsidRDefault="00000000">
      <w:r>
        <w:rPr>
          <w:u w:val="single"/>
        </w:rPr>
        <w:t>Béton</w:t>
      </w:r>
    </w:p>
    <w:p w14:paraId="09F48355" w14:textId="77777777" w:rsidR="00DB2B68" w:rsidRDefault="00000000">
      <w:pPr>
        <w:pStyle w:val="Author-eListParagraph"/>
        <w:numPr>
          <w:ilvl w:val="0"/>
          <w:numId w:val="352"/>
        </w:numPr>
      </w:pPr>
      <w:r>
        <w:t xml:space="preserve">Qualité du béton selon la [NBN EN 206:2013+A2] et la [NBN B 15-001] : (voir également </w:t>
      </w:r>
      <w:hyperlink w:anchor="87" w:history="1">
        <w:r>
          <w:rPr>
            <w:color w:val="0000EE"/>
          </w:rP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059DD18C" w14:textId="77777777">
        <w:tc>
          <w:tcPr>
            <w:tcW w:w="1500" w:type="dxa"/>
            <w:noWrap/>
          </w:tcPr>
          <w:p w14:paraId="045F196B" w14:textId="77777777" w:rsidR="00DB2B68" w:rsidRDefault="00000000">
            <w:pPr>
              <w:jc w:val="center"/>
            </w:pPr>
            <w:r>
              <w:rPr>
                <w:b/>
              </w:rPr>
              <w:t>A</w:t>
            </w:r>
          </w:p>
        </w:tc>
        <w:tc>
          <w:tcPr>
            <w:tcW w:w="1500" w:type="dxa"/>
            <w:noWrap/>
          </w:tcPr>
          <w:p w14:paraId="4F5EC090" w14:textId="77777777" w:rsidR="00DB2B68" w:rsidRDefault="00000000">
            <w:pPr>
              <w:jc w:val="center"/>
            </w:pPr>
            <w:r>
              <w:rPr>
                <w:b/>
              </w:rPr>
              <w:t>B1</w:t>
            </w:r>
          </w:p>
        </w:tc>
        <w:tc>
          <w:tcPr>
            <w:tcW w:w="1500" w:type="dxa"/>
            <w:noWrap/>
          </w:tcPr>
          <w:p w14:paraId="010E31FA" w14:textId="77777777" w:rsidR="00DB2B68" w:rsidRDefault="00000000">
            <w:pPr>
              <w:jc w:val="center"/>
            </w:pPr>
            <w:r>
              <w:rPr>
                <w:b/>
              </w:rPr>
              <w:t>B2</w:t>
            </w:r>
          </w:p>
        </w:tc>
        <w:tc>
          <w:tcPr>
            <w:tcW w:w="1500" w:type="dxa"/>
            <w:noWrap/>
          </w:tcPr>
          <w:p w14:paraId="189FF93F" w14:textId="77777777" w:rsidR="00DB2B68" w:rsidRDefault="00000000">
            <w:pPr>
              <w:jc w:val="center"/>
            </w:pPr>
            <w:r>
              <w:rPr>
                <w:b/>
              </w:rPr>
              <w:t>C</w:t>
            </w:r>
          </w:p>
        </w:tc>
        <w:tc>
          <w:tcPr>
            <w:tcW w:w="1500" w:type="dxa"/>
            <w:noWrap/>
          </w:tcPr>
          <w:p w14:paraId="4C29ACEB" w14:textId="77777777" w:rsidR="00DB2B68" w:rsidRDefault="00000000">
            <w:pPr>
              <w:jc w:val="center"/>
            </w:pPr>
            <w:r>
              <w:rPr>
                <w:b/>
              </w:rPr>
              <w:t>D</w:t>
            </w:r>
          </w:p>
        </w:tc>
        <w:tc>
          <w:tcPr>
            <w:tcW w:w="1500" w:type="dxa"/>
            <w:noWrap/>
          </w:tcPr>
          <w:p w14:paraId="75DBA034" w14:textId="77777777" w:rsidR="00DB2B68" w:rsidRDefault="00000000">
            <w:pPr>
              <w:jc w:val="center"/>
            </w:pPr>
            <w:r>
              <w:rPr>
                <w:b/>
              </w:rPr>
              <w:t>E</w:t>
            </w:r>
          </w:p>
        </w:tc>
      </w:tr>
      <w:tr w:rsidR="00DB2B68" w14:paraId="69B907E7" w14:textId="77777777">
        <w:tc>
          <w:tcPr>
            <w:tcW w:w="1500" w:type="dxa"/>
            <w:noWrap/>
          </w:tcPr>
          <w:p w14:paraId="127C95A5" w14:textId="77777777" w:rsidR="00DB2B68" w:rsidRDefault="00000000">
            <w:pPr>
              <w:jc w:val="center"/>
            </w:pPr>
            <w:r>
              <w:rPr>
                <w:b/>
              </w:rPr>
              <w:t>Classe de résistance</w:t>
            </w:r>
          </w:p>
        </w:tc>
        <w:tc>
          <w:tcPr>
            <w:tcW w:w="1500" w:type="dxa"/>
            <w:noWrap/>
          </w:tcPr>
          <w:p w14:paraId="50858DBE" w14:textId="77777777" w:rsidR="00DB2B68" w:rsidRDefault="00000000">
            <w:pPr>
              <w:jc w:val="center"/>
            </w:pPr>
            <w:r>
              <w:rPr>
                <w:b/>
              </w:rPr>
              <w:t>Domaine d’application</w:t>
            </w:r>
          </w:p>
        </w:tc>
        <w:tc>
          <w:tcPr>
            <w:tcW w:w="1500" w:type="dxa"/>
            <w:noWrap/>
          </w:tcPr>
          <w:p w14:paraId="2E9B91B5" w14:textId="77777777" w:rsidR="00DB2B68" w:rsidRDefault="00000000">
            <w:pPr>
              <w:jc w:val="center"/>
            </w:pPr>
            <w:r>
              <w:rPr>
                <w:b/>
              </w:rPr>
              <w:t>Classe d'environnement</w:t>
            </w:r>
          </w:p>
        </w:tc>
        <w:tc>
          <w:tcPr>
            <w:tcW w:w="1500" w:type="dxa"/>
            <w:noWrap/>
          </w:tcPr>
          <w:p w14:paraId="2131A4DF" w14:textId="77777777" w:rsidR="00DB2B68" w:rsidRDefault="00000000">
            <w:pPr>
              <w:jc w:val="center"/>
            </w:pPr>
            <w:r>
              <w:rPr>
                <w:b/>
              </w:rPr>
              <w:t>Classe de consistance</w:t>
            </w:r>
          </w:p>
        </w:tc>
        <w:tc>
          <w:tcPr>
            <w:tcW w:w="1500" w:type="dxa"/>
            <w:noWrap/>
          </w:tcPr>
          <w:p w14:paraId="088EC9DE" w14:textId="77777777" w:rsidR="00DB2B68" w:rsidRDefault="00000000">
            <w:pPr>
              <w:jc w:val="center"/>
            </w:pPr>
            <w:r>
              <w:rPr>
                <w:b/>
              </w:rPr>
              <w:t>Granulométrie maximale</w:t>
            </w:r>
          </w:p>
        </w:tc>
        <w:tc>
          <w:tcPr>
            <w:tcW w:w="1500" w:type="dxa"/>
            <w:noWrap/>
          </w:tcPr>
          <w:p w14:paraId="68E30EBB" w14:textId="77777777" w:rsidR="00DB2B68" w:rsidRDefault="00000000">
            <w:r>
              <w:rPr>
                <w:b/>
              </w:rPr>
              <w:t>Données complémentaires</w:t>
            </w:r>
          </w:p>
        </w:tc>
      </w:tr>
      <w:tr w:rsidR="00DB2B68" w14:paraId="1B93EF8C" w14:textId="77777777">
        <w:tc>
          <w:tcPr>
            <w:tcW w:w="1500" w:type="dxa"/>
            <w:noWrap/>
          </w:tcPr>
          <w:p w14:paraId="7A711F4D" w14:textId="77777777" w:rsidR="00DB2B68" w:rsidRDefault="00000000">
            <w:pPr>
              <w:jc w:val="center"/>
            </w:pPr>
            <w:r>
              <w:rPr>
                <w:rStyle w:val="optioncarChar"/>
              </w:rPr>
              <w:t>C25/30 / C30/37 / C35/45 / C45/55 / C50/60 / C55/67 / C60/75 / C70/85 / C80/95 / C90/105</w:t>
            </w:r>
          </w:p>
        </w:tc>
        <w:tc>
          <w:tcPr>
            <w:tcW w:w="1500" w:type="dxa"/>
            <w:noWrap/>
          </w:tcPr>
          <w:p w14:paraId="60CACCE0" w14:textId="77777777" w:rsidR="00DB2B68" w:rsidRDefault="00000000">
            <w:pPr>
              <w:jc w:val="center"/>
            </w:pPr>
            <w:r>
              <w:t>Béton armé</w:t>
            </w:r>
          </w:p>
          <w:p w14:paraId="5F22899C" w14:textId="77777777" w:rsidR="00DB2B68" w:rsidRDefault="00000000">
            <w:pPr>
              <w:jc w:val="center"/>
            </w:pPr>
            <w:r>
              <w:t> </w:t>
            </w:r>
          </w:p>
        </w:tc>
        <w:tc>
          <w:tcPr>
            <w:tcW w:w="1500" w:type="dxa"/>
            <w:noWrap/>
          </w:tcPr>
          <w:p w14:paraId="4B061683" w14:textId="77777777" w:rsidR="00DB2B68" w:rsidRDefault="00000000">
            <w:pPr>
              <w:jc w:val="center"/>
            </w:pPr>
            <w:r>
              <w:rPr>
                <w:rStyle w:val="optioncarChar"/>
              </w:rPr>
              <w:t>E0 / EI / EE1 / EE2 / EE3 / EE4 / ES1 / ES2 / ES3 / ES4 / EA1+*** / EA2+***/ EA3+***</w:t>
            </w:r>
          </w:p>
        </w:tc>
        <w:tc>
          <w:tcPr>
            <w:tcW w:w="1500" w:type="dxa"/>
            <w:noWrap/>
          </w:tcPr>
          <w:p w14:paraId="439A8E8F" w14:textId="77777777" w:rsidR="00DB2B68" w:rsidRDefault="00000000">
            <w:pPr>
              <w:jc w:val="center"/>
            </w:pPr>
            <w:r>
              <w:t>au choix de l'entrepreneur :</w:t>
            </w:r>
          </w:p>
          <w:p w14:paraId="1B5BDE2A" w14:textId="77777777" w:rsidR="00DB2B68" w:rsidRDefault="00000000">
            <w:pPr>
              <w:jc w:val="center"/>
            </w:pPr>
            <w:r>
              <w:rPr>
                <w:rStyle w:val="optioncarChar"/>
              </w:rPr>
              <w:t xml:space="preserve">S3 / S4 / S5 </w:t>
            </w:r>
          </w:p>
          <w:p w14:paraId="2E66BF69" w14:textId="77777777" w:rsidR="00DB2B68" w:rsidRDefault="00000000">
            <w:pPr>
              <w:jc w:val="center"/>
            </w:pPr>
            <w:r>
              <w:rPr>
                <w:rStyle w:val="optioncarChar"/>
              </w:rPr>
              <w:t>F3 / F4 / F5 / F6</w:t>
            </w:r>
            <w:r>
              <w:br/>
            </w:r>
          </w:p>
        </w:tc>
        <w:tc>
          <w:tcPr>
            <w:tcW w:w="1500" w:type="dxa"/>
            <w:noWrap/>
          </w:tcPr>
          <w:p w14:paraId="36C9E3EE" w14:textId="77777777" w:rsidR="00DB2B68" w:rsidRDefault="00000000">
            <w:pPr>
              <w:jc w:val="center"/>
            </w:pPr>
            <w:r>
              <w:t>au choix de l'entrepreneur :</w:t>
            </w:r>
          </w:p>
          <w:p w14:paraId="7A39F18E" w14:textId="77777777" w:rsidR="00DB2B68" w:rsidRDefault="00000000">
            <w:pPr>
              <w:jc w:val="center"/>
            </w:pPr>
            <w:r>
              <w:rPr>
                <w:rStyle w:val="optioncarChar"/>
              </w:rPr>
              <w:t>6 / 8 / 10 / 11 / 12 / 14 / 16 / 20 / 22 / 32 </w:t>
            </w:r>
            <w:r>
              <w:t>mm</w:t>
            </w:r>
          </w:p>
        </w:tc>
        <w:tc>
          <w:tcPr>
            <w:tcW w:w="1500" w:type="dxa"/>
            <w:noWrap/>
          </w:tcPr>
          <w:p w14:paraId="1BF4DB76" w14:textId="77777777" w:rsidR="00DB2B68" w:rsidRDefault="00000000">
            <w:pPr>
              <w:jc w:val="center"/>
            </w:pPr>
            <w:r>
              <w:rPr>
                <w:rStyle w:val="optioncarChar"/>
              </w:rPr>
              <w:t>***</w:t>
            </w:r>
          </w:p>
        </w:tc>
      </w:tr>
    </w:tbl>
    <w:p w14:paraId="155991BF" w14:textId="77777777" w:rsidR="00DB2B68" w:rsidRDefault="00000000">
      <w:r>
        <w:t> </w:t>
      </w:r>
    </w:p>
    <w:p w14:paraId="28391598"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30FE2D74" w14:textId="77777777" w:rsidR="00DB2B68" w:rsidRDefault="00000000">
      <w:pPr>
        <w:pStyle w:val="Author-eListParagraph"/>
        <w:numPr>
          <w:ilvl w:val="0"/>
          <w:numId w:val="353"/>
        </w:numPr>
      </w:pPr>
      <w:r>
        <w:t xml:space="preserve">Classe de viscosité apparente : </w:t>
      </w:r>
      <w:r>
        <w:rPr>
          <w:rStyle w:val="optioncarChar"/>
        </w:rPr>
        <w:t>VS1 / VS2</w:t>
      </w:r>
      <w:r>
        <w:t xml:space="preserve"> (selon la [NBN EN 12350-8] )</w:t>
      </w:r>
    </w:p>
    <w:p w14:paraId="22228EB0" w14:textId="77777777" w:rsidR="00DB2B68" w:rsidRDefault="00000000">
      <w:pPr>
        <w:pStyle w:val="Author-eListParagraph"/>
        <w:numPr>
          <w:ilvl w:val="0"/>
          <w:numId w:val="353"/>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22C8BDB9" w14:textId="77777777" w:rsidR="00DB2B68" w:rsidRDefault="00000000">
      <w:pPr>
        <w:pStyle w:val="Author-eListParagraph"/>
        <w:numPr>
          <w:ilvl w:val="0"/>
          <w:numId w:val="35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A231623" w14:textId="77777777" w:rsidR="00DB2B68" w:rsidRDefault="00000000">
      <w:r>
        <w:rPr>
          <w:u w:val="single"/>
        </w:rPr>
        <w:t>Armatures</w:t>
      </w:r>
    </w:p>
    <w:p w14:paraId="7F14EB77" w14:textId="77777777" w:rsidR="00DB2B68" w:rsidRDefault="00000000">
      <w:pPr>
        <w:pStyle w:val="Author-eListParagraph"/>
        <w:numPr>
          <w:ilvl w:val="0"/>
          <w:numId w:val="35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609A419E" w14:textId="77777777" w:rsidR="00DB2B68" w:rsidRDefault="00000000">
      <w:pPr>
        <w:pStyle w:val="Author-eListParagraph"/>
        <w:numPr>
          <w:ilvl w:val="0"/>
          <w:numId w:val="354"/>
        </w:numPr>
      </w:pPr>
      <w:r>
        <w:lastRenderedPageBreak/>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w:t>
      </w:r>
      <w:r>
        <w:t>] + [PTV 302].</w:t>
      </w:r>
    </w:p>
    <w:p w14:paraId="18D44150" w14:textId="77777777" w:rsidR="00DB2B68" w:rsidRDefault="00000000">
      <w:pPr>
        <w:pStyle w:val="pheading"/>
      </w:pPr>
      <w:r>
        <w:t>- Finitions</w:t>
      </w:r>
    </w:p>
    <w:p w14:paraId="21DA57A8" w14:textId="77777777" w:rsidR="00DB2B68" w:rsidRDefault="00000000">
      <w:r>
        <w:t>La surface du béton est</w:t>
      </w:r>
      <w:r>
        <w:rPr>
          <w:rStyle w:val="optioncarChar"/>
        </w:rPr>
        <w:t xml:space="preserve"> brute et lisse </w:t>
      </w:r>
      <w:r>
        <w:t xml:space="preserve">(par défaut) </w:t>
      </w:r>
      <w:r>
        <w:rPr>
          <w:rStyle w:val="optioncarChar"/>
        </w:rPr>
        <w:t>/ structurée / ***</w:t>
      </w:r>
    </w:p>
    <w:p w14:paraId="50618758" w14:textId="77777777" w:rsidR="00DB2B68" w:rsidRDefault="00000000">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shd w:val="clear" w:color="auto" w:fill="FFFFFF"/>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48922777" w14:textId="77777777" w:rsidR="00DB2B68" w:rsidRDefault="00000000">
      <w:pPr>
        <w:pStyle w:val="pheading"/>
      </w:pPr>
      <w:r>
        <w:t>- Prescriptions complémentaires</w:t>
      </w:r>
    </w:p>
    <w:p w14:paraId="2A00DAAC" w14:textId="77777777" w:rsidR="00DB2B68" w:rsidRDefault="00000000">
      <w:r>
        <w:t>Résistance au feu :</w:t>
      </w:r>
      <w:r>
        <w:rPr>
          <w:rStyle w:val="optioncarChar"/>
        </w:rPr>
        <w:t> R30 </w:t>
      </w:r>
      <w:r>
        <w:t xml:space="preserve">(par défaut) </w:t>
      </w:r>
      <w:r>
        <w:rPr>
          <w:rStyle w:val="optioncarChar"/>
        </w:rPr>
        <w:t>/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7DD1B52C" w14:textId="77777777" w:rsidR="00DB2B68" w:rsidRDefault="00000000">
      <w:pPr>
        <w:pStyle w:val="pheading"/>
      </w:pPr>
      <w:r>
        <w:t>EXÉCUTION / MISE EN ŒUVRE</w:t>
      </w:r>
    </w:p>
    <w:p w14:paraId="71205E21" w14:textId="77777777" w:rsidR="00DB2B68" w:rsidRDefault="00000000">
      <w:pPr>
        <w:pStyle w:val="pheading"/>
      </w:pPr>
      <w:r>
        <w:t>- Prescriptions générales</w:t>
      </w:r>
    </w:p>
    <w:p w14:paraId="01C80FA7" w14:textId="77777777" w:rsidR="00DB2B68"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rPr>
            <w:color w:val="0000EE"/>
          </w:rPr>
          <w:t>22 Superstructures en béton</w:t>
        </w:r>
      </w:hyperlink>
      <w:r>
        <w:t xml:space="preserve"> sous-titre </w:t>
      </w:r>
      <w:r>
        <w:rPr>
          <w:u w:val="single"/>
        </w:rPr>
        <w:t>Décoffrage</w:t>
      </w:r>
      <w:r>
        <w:t xml:space="preserve"> et [NBN B 15-400] )</w:t>
      </w:r>
    </w:p>
    <w:p w14:paraId="730D304A" w14:textId="77777777" w:rsidR="00DB2B68"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5C0270AF" w14:textId="77777777" w:rsidR="00DB2B68" w:rsidRDefault="00000000">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 xml:space="preserve">traités avec du bitume </w:t>
      </w:r>
      <w:r>
        <w:t>(par défaut) </w:t>
      </w:r>
      <w:r>
        <w:rPr>
          <w:rStyle w:val="optioncarChar"/>
        </w:rPr>
        <w:t>/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lastRenderedPageBreak/>
        <w:t xml:space="preserve">Réalisés en béton étanche conforme à la [NBN EN 1992-3] et [NBN EN 1992-3 ANB] avec une classe d’étanchéité </w:t>
      </w:r>
      <w:r>
        <w:rPr>
          <w:rStyle w:val="optioncarChar"/>
        </w:rPr>
        <w:t>0</w:t>
      </w:r>
      <w:r>
        <w:t xml:space="preserve"> (par défaut)</w:t>
      </w:r>
      <w:r>
        <w:rPr>
          <w:rStyle w:val="optioncarChar"/>
        </w:rPr>
        <w:t xml:space="preserve"> /1/2/3</w:t>
      </w:r>
    </w:p>
    <w:p w14:paraId="64A9C669" w14:textId="77777777" w:rsidR="00DB2B68" w:rsidRDefault="00000000">
      <w:pPr>
        <w:pStyle w:val="pheading"/>
      </w:pPr>
      <w:r>
        <w:t>- Notes d’exécution complémentaires</w:t>
      </w:r>
    </w:p>
    <w:p w14:paraId="602D8601" w14:textId="77777777" w:rsidR="00DB2B68" w:rsidRDefault="00000000">
      <w:r>
        <w:t xml:space="preserve">Raccords visibles entre éléments de coffrage : </w:t>
      </w:r>
      <w:r>
        <w:rPr>
          <w:rStyle w:val="optioncarChar"/>
        </w:rPr>
        <w:t>joint en forme de V</w:t>
      </w:r>
      <w:r>
        <w:t> (par défaut)</w:t>
      </w:r>
      <w:r>
        <w:rPr>
          <w:rStyle w:val="optioncarChar"/>
        </w:rPr>
        <w:t xml:space="preserve"> / ***</w:t>
      </w:r>
      <w:r>
        <w:br/>
        <w:t xml:space="preserve">Raccords visibles entre différents éléments dans le même plan : </w:t>
      </w:r>
      <w:r>
        <w:rPr>
          <w:rStyle w:val="optioncarChar"/>
        </w:rPr>
        <w:t>joint en forme de V </w:t>
      </w:r>
      <w:r>
        <w:t xml:space="preserve">(par défaut) </w:t>
      </w:r>
      <w:r>
        <w:rPr>
          <w:rStyle w:val="optioncarChar"/>
        </w:rPr>
        <w:t>/ ***</w:t>
      </w:r>
      <w:r>
        <w:br/>
        <w:t>Ponts thermiques / isolation thermique : des dispositifs adéquats sont utilisés pour éviter tout pont thermique.</w:t>
      </w:r>
    </w:p>
    <w:p w14:paraId="4D7AC8BA" w14:textId="77777777" w:rsidR="00DB2B68" w:rsidRDefault="00000000">
      <w:pPr>
        <w:pStyle w:val="pheading"/>
      </w:pPr>
      <w:r>
        <w:t>MESURAGE</w:t>
      </w:r>
    </w:p>
    <w:p w14:paraId="7A7364C7" w14:textId="77777777" w:rsidR="00DB2B68" w:rsidRDefault="00000000">
      <w:r>
        <w:t xml:space="preserve">Les armatures sont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2" w:history="1">
        <w:r>
          <w:rPr>
            <w:rStyle w:val="soitChar"/>
            <w:color w:val="0000EE"/>
          </w:rPr>
          <w:t>22.51 Armatures pour béton</w:t>
        </w:r>
      </w:hyperlink>
    </w:p>
    <w:p w14:paraId="37EE24FF" w14:textId="77777777" w:rsidR="00DB2B68" w:rsidRDefault="00000000">
      <w:pPr>
        <w:pStyle w:val="pheading"/>
      </w:pPr>
      <w:r>
        <w:t>- unité de mesure:</w:t>
      </w:r>
    </w:p>
    <w:p w14:paraId="460E2A78" w14:textId="77777777" w:rsidR="00DB2B68" w:rsidRDefault="00000000">
      <w:r>
        <w:t>m</w:t>
      </w:r>
      <w:r>
        <w:rPr>
          <w:vertAlign w:val="superscript"/>
        </w:rPr>
        <w:t>3</w:t>
      </w:r>
    </w:p>
    <w:p w14:paraId="288023A6" w14:textId="77777777" w:rsidR="00DB2B68" w:rsidRDefault="00DB2B68"/>
    <w:p w14:paraId="56E459EA" w14:textId="77777777" w:rsidR="00DB2B68" w:rsidRDefault="00000000">
      <w:pPr>
        <w:pStyle w:val="pheading"/>
      </w:pPr>
      <w:r>
        <w:t>- code de mesurage:</w:t>
      </w:r>
    </w:p>
    <w:p w14:paraId="115A5235" w14:textId="77777777" w:rsidR="00DB2B68" w:rsidRDefault="00000000">
      <w:r>
        <w:t>Le coffrage n'est jamais mesuré séparément et doit toujours être compris dans le prix unitaire du béton de centrale.</w:t>
      </w:r>
      <w:r>
        <w:br/>
      </w:r>
    </w:p>
    <w:p w14:paraId="511079D1" w14:textId="77777777" w:rsidR="00DB2B68" w:rsidRDefault="00000000">
      <w:r>
        <w:rPr>
          <w:i/>
          <w:u w:val="single"/>
        </w:rPr>
        <w:t>&gt; Remarque </w:t>
      </w:r>
    </w:p>
    <w:p w14:paraId="001E3A78" w14:textId="77777777" w:rsidR="00DB2B68" w:rsidRDefault="00000000">
      <w:pPr>
        <w:pStyle w:val="Author-eListParagraph"/>
        <w:numPr>
          <w:ilvl w:val="0"/>
          <w:numId w:val="355"/>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22B5C485" w14:textId="77777777" w:rsidR="00DB2B68" w:rsidRDefault="00000000">
      <w:pPr>
        <w:pStyle w:val="Author-eListParagraph"/>
        <w:numPr>
          <w:ilvl w:val="0"/>
          <w:numId w:val="355"/>
        </w:numPr>
      </w:pPr>
      <w:r>
        <w:rPr>
          <w:i/>
        </w:rPr>
        <w:t xml:space="preserve">Les quantités de béton ne sont jamais mesurées sur la base des bons de livraison soumis par l’entrepreneur. </w:t>
      </w:r>
    </w:p>
    <w:p w14:paraId="3240DB44" w14:textId="77777777" w:rsidR="00DB2B68" w:rsidRDefault="00000000">
      <w:r>
        <w:t xml:space="preserve">Volume net, mesuré selon les dimensions nominales indiquées sur les plans, exprimées en </w:t>
      </w:r>
      <w:r>
        <w:rPr>
          <w:rStyle w:val="optioncarChar"/>
        </w:rPr>
        <w:t xml:space="preserve">cm </w:t>
      </w:r>
      <w:r>
        <w:t xml:space="preserve">(par défaut) </w:t>
      </w:r>
      <w:r>
        <w:rPr>
          <w:rStyle w:val="optioncarChar"/>
        </w:rPr>
        <w:t>/ dm</w:t>
      </w:r>
      <w:r>
        <w:t> </w:t>
      </w:r>
      <w:r>
        <w:rPr>
          <w:rStyle w:val="optioncarChar"/>
        </w:rPr>
        <w:t>/ ***</w:t>
      </w:r>
      <w:r>
        <w:t>.</w:t>
      </w:r>
    </w:p>
    <w:p w14:paraId="7D28835C" w14:textId="77777777" w:rsidR="00DB2B68" w:rsidRDefault="00000000">
      <w:pPr>
        <w:pStyle w:val="Author-eListParagraph"/>
        <w:numPr>
          <w:ilvl w:val="0"/>
          <w:numId w:val="356"/>
        </w:numPr>
      </w:pPr>
      <w:r>
        <w:t>Les éléments en béton non rectangulaires sont calculés en multipliant la longueur par la surface de la section.</w:t>
      </w:r>
    </w:p>
    <w:p w14:paraId="16446174" w14:textId="77777777" w:rsidR="00DB2B68" w:rsidRDefault="00000000">
      <w:pPr>
        <w:pStyle w:val="Author-eListParagraph"/>
        <w:numPr>
          <w:ilvl w:val="0"/>
          <w:numId w:val="356"/>
        </w:numPr>
      </w:pPr>
      <w:r>
        <w:t>Le contenu des volumes résiduels au droit des angles, rencontres et terminaisons est négligé.</w:t>
      </w:r>
    </w:p>
    <w:p w14:paraId="585B4A86" w14:textId="77777777" w:rsidR="00DB2B68" w:rsidRDefault="00000000">
      <w:pPr>
        <w:pStyle w:val="Author-eListParagraph"/>
        <w:numPr>
          <w:ilvl w:val="0"/>
          <w:numId w:val="356"/>
        </w:numPr>
      </w:pPr>
      <w:r>
        <w:t xml:space="preserve">Aucune déduction n'est faite pour: </w:t>
      </w:r>
    </w:p>
    <w:p w14:paraId="4146D70A" w14:textId="77777777" w:rsidR="00DB2B68" w:rsidRDefault="00000000">
      <w:pPr>
        <w:pStyle w:val="Author-eListParagraph"/>
        <w:numPr>
          <w:ilvl w:val="1"/>
          <w:numId w:val="357"/>
        </w:numPr>
      </w:pPr>
      <w:r>
        <w:t>le volume des armatures,</w:t>
      </w:r>
    </w:p>
    <w:p w14:paraId="55B464BC" w14:textId="77777777" w:rsidR="00DB2B68" w:rsidRDefault="00000000">
      <w:pPr>
        <w:pStyle w:val="Author-eListParagraph"/>
        <w:numPr>
          <w:ilvl w:val="1"/>
          <w:numId w:val="357"/>
        </w:numPr>
      </w:pPr>
      <w:r>
        <w:t>les blocs et écarteurs, les fourreaux pour les armatures de précontrainte ;</w:t>
      </w:r>
    </w:p>
    <w:p w14:paraId="048972CB" w14:textId="77777777" w:rsidR="00DB2B68" w:rsidRDefault="00000000">
      <w:pPr>
        <w:pStyle w:val="Author-eListParagraph"/>
        <w:numPr>
          <w:ilvl w:val="1"/>
          <w:numId w:val="357"/>
        </w:numPr>
      </w:pPr>
      <w:r>
        <w:t>les pénétrations pour les pattes d’ancrage, les creux, les conduites noyées et les réservations dont le volume est inférieur à 0,05 m3.</w:t>
      </w:r>
    </w:p>
    <w:p w14:paraId="280577D7" w14:textId="77777777" w:rsidR="00DB2B68" w:rsidRDefault="00000000">
      <w:pPr>
        <w:pStyle w:val="Author-eListParagraph"/>
        <w:numPr>
          <w:ilvl w:val="1"/>
          <w:numId w:val="357"/>
        </w:numPr>
      </w:pPr>
      <w:r>
        <w:t>les chanfreins et tous les profils dont la section a une superficie inférieure à 0,002 m2.</w:t>
      </w:r>
    </w:p>
    <w:p w14:paraId="74D33F61" w14:textId="77777777" w:rsidR="00DB2B68" w:rsidRDefault="00000000">
      <w:pPr>
        <w:pStyle w:val="Author-eListParagraph"/>
        <w:numPr>
          <w:ilvl w:val="1"/>
          <w:numId w:val="357"/>
        </w:numPr>
      </w:pPr>
      <w:r>
        <w:t>les rainures, encoches et languettes.</w:t>
      </w:r>
    </w:p>
    <w:p w14:paraId="673368FE" w14:textId="77777777" w:rsidR="00DB2B68" w:rsidRDefault="00000000">
      <w:pPr>
        <w:pStyle w:val="pheading"/>
      </w:pPr>
      <w:r>
        <w:t>- nature du marché:</w:t>
      </w:r>
    </w:p>
    <w:p w14:paraId="3A4FC2BF" w14:textId="77777777" w:rsidR="00DB2B68" w:rsidRDefault="00000000">
      <w:r>
        <w:rPr>
          <w:rStyle w:val="optioncarChar"/>
        </w:rPr>
        <w:t xml:space="preserve">QF </w:t>
      </w:r>
      <w:r>
        <w:t>(par défaut)</w:t>
      </w:r>
      <w:r>
        <w:rPr>
          <w:rStyle w:val="optioncarChar"/>
        </w:rPr>
        <w:t xml:space="preserve"> / QP / PM</w:t>
      </w:r>
      <w:r>
        <w:br/>
      </w:r>
    </w:p>
    <w:p w14:paraId="20EEF780" w14:textId="77777777" w:rsidR="00DB2B68" w:rsidRDefault="00000000">
      <w:r>
        <w:rPr>
          <w:u w:val="single"/>
        </w:rPr>
        <w:t xml:space="preserve">Attention </w:t>
      </w:r>
      <w:r>
        <w:t xml:space="preserve">: dans le cas où les armatures ne sont pas comprises dans le prix unitaire du béton), se référer aux § </w:t>
      </w:r>
      <w:hyperlink w:anchor="233" w:history="1">
        <w:r>
          <w:rPr>
            <w:color w:val="0000EE"/>
          </w:rPr>
          <w:t>22.51.1 Barres d'armatures pour béton</w:t>
        </w:r>
      </w:hyperlink>
      <w:r>
        <w:t xml:space="preserve"> et </w:t>
      </w:r>
      <w:hyperlink w:anchor="234" w:history="1">
        <w:r>
          <w:rPr>
            <w:color w:val="0000EE"/>
          </w:rPr>
          <w:t>22.51.2 Treillis et panneaux d'armatures préfabriqués</w:t>
        </w:r>
      </w:hyperlink>
      <w:r>
        <w:t>.</w:t>
      </w:r>
    </w:p>
    <w:p w14:paraId="0A99A260" w14:textId="77777777" w:rsidR="00DB2B68" w:rsidRDefault="00000000">
      <w:pPr>
        <w:pStyle w:val="Author-eSectionHeading5Numberless"/>
      </w:pPr>
      <w:bookmarkStart w:id="608" w:name="_Toc220495686"/>
      <w:r>
        <w:lastRenderedPageBreak/>
        <w:t>22.11.2 Poutres en béton apparent (esthétique) coulé en place CCTB 01.04</w:t>
      </w:r>
      <w:bookmarkEnd w:id="608"/>
    </w:p>
    <w:p w14:paraId="42F6EB2E" w14:textId="77777777" w:rsidR="00DB2B68" w:rsidRDefault="00000000">
      <w:pPr>
        <w:pStyle w:val="Author-eSectionHeading6Numberless"/>
      </w:pPr>
      <w:bookmarkStart w:id="609" w:name="_Toc220495687"/>
      <w:r>
        <w:t>22.11.2a Poutres en béton apparent (esthétique) coulé en place CCTB 01.13</w:t>
      </w:r>
      <w:bookmarkEnd w:id="609"/>
    </w:p>
    <w:p w14:paraId="15A9274B" w14:textId="77777777" w:rsidR="00DB2B68" w:rsidRDefault="00000000">
      <w:pPr>
        <w:pStyle w:val="pheading"/>
      </w:pPr>
      <w:bookmarkStart w:id="610" w:name="468"/>
      <w:bookmarkEnd w:id="610"/>
      <w:r>
        <w:t>DESCRIPTION</w:t>
      </w:r>
    </w:p>
    <w:p w14:paraId="15552B16" w14:textId="77777777" w:rsidR="00DB2B68" w:rsidRDefault="00000000">
      <w:pPr>
        <w:pStyle w:val="pheading"/>
      </w:pPr>
      <w:r>
        <w:t>- Définition / Comprend</w:t>
      </w:r>
    </w:p>
    <w:p w14:paraId="7F629F5D" w14:textId="77777777" w:rsidR="00DB2B68" w:rsidRDefault="00000000">
      <w:r>
        <w:t xml:space="preserve">Il s'agit de l’ensemble des poutres, poutres en L, poutres en T exécutées en béton apparent. Les travaux comprennent les éléments décrits en </w:t>
      </w:r>
      <w:hyperlink w:anchor="87" w:history="1">
        <w:r>
          <w:rPr>
            <w:color w:val="0000EE"/>
          </w:rPr>
          <w:t>22 Superstructures en béton</w:t>
        </w:r>
      </w:hyperlink>
      <w:r>
        <w:t xml:space="preserve"> § </w:t>
      </w:r>
      <w:r>
        <w:rPr>
          <w:u w:val="single"/>
        </w:rPr>
        <w:t>Béton prêt à l'emploi</w:t>
      </w:r>
      <w:r>
        <w:t xml:space="preserve"> et notamment les coffrages,</w:t>
      </w:r>
      <w:r>
        <w:rPr>
          <w:shd w:val="clear" w:color="auto" w:fill="FFFFFF"/>
        </w:rPr>
        <w:t xml:space="preserve"> les armatures (suivant le code de mesurage),</w:t>
      </w:r>
      <w:r>
        <w:t xml:space="preserve"> le béton et la cure.</w:t>
      </w:r>
    </w:p>
    <w:p w14:paraId="0588B1B8" w14:textId="77777777" w:rsidR="00DB2B68" w:rsidRDefault="00000000">
      <w:r>
        <w:t xml:space="preserve">L'étude et les plans d'exécution </w:t>
      </w:r>
      <w:r>
        <w:rPr>
          <w:rStyle w:val="optioncarChar"/>
        </w:rPr>
        <w:t>sont / ne sont pas</w:t>
      </w:r>
      <w:r>
        <w:t xml:space="preserve"> à charge de l'entreprise.</w:t>
      </w:r>
    </w:p>
    <w:p w14:paraId="681687EE" w14:textId="77777777" w:rsidR="00DB2B68" w:rsidRDefault="00000000">
      <w:pPr>
        <w:pStyle w:val="pheading"/>
      </w:pPr>
      <w:r>
        <w:t>MATÉRIAUX</w:t>
      </w:r>
    </w:p>
    <w:p w14:paraId="4369961E" w14:textId="77777777" w:rsidR="00DB2B68" w:rsidRDefault="00000000">
      <w:pPr>
        <w:pStyle w:val="pheading"/>
      </w:pPr>
      <w:r>
        <w:t>- Caractéristiques générales</w:t>
      </w:r>
    </w:p>
    <w:p w14:paraId="44B0E2E0" w14:textId="77777777" w:rsidR="00DB2B68" w:rsidRDefault="00000000">
      <w:r>
        <w:rPr>
          <w:u w:val="single"/>
        </w:rPr>
        <w:t>Béton</w:t>
      </w:r>
    </w:p>
    <w:p w14:paraId="50FC8D61" w14:textId="77777777" w:rsidR="00DB2B68" w:rsidRDefault="00000000">
      <w:pPr>
        <w:pStyle w:val="Author-eListParagraph"/>
        <w:numPr>
          <w:ilvl w:val="0"/>
          <w:numId w:val="358"/>
        </w:numPr>
      </w:pPr>
      <w:r>
        <w:t xml:space="preserve">Qualité du béton selon la [NBN EN 206:2013+A2] et la [NBN B 15-001] : (voir également </w:t>
      </w:r>
      <w:hyperlink w:anchor="87" w:history="1">
        <w:r>
          <w:rPr>
            <w:color w:val="0000EE"/>
          </w:rP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B2B68" w14:paraId="4BEFB489" w14:textId="77777777">
        <w:tc>
          <w:tcPr>
            <w:tcW w:w="1500" w:type="dxa"/>
            <w:noWrap/>
          </w:tcPr>
          <w:p w14:paraId="03C8B28F" w14:textId="77777777" w:rsidR="00DB2B68" w:rsidRDefault="00000000">
            <w:pPr>
              <w:jc w:val="center"/>
            </w:pPr>
            <w:r>
              <w:rPr>
                <w:b/>
              </w:rPr>
              <w:t>A</w:t>
            </w:r>
          </w:p>
        </w:tc>
        <w:tc>
          <w:tcPr>
            <w:tcW w:w="1500" w:type="dxa"/>
            <w:noWrap/>
          </w:tcPr>
          <w:p w14:paraId="4576D624" w14:textId="77777777" w:rsidR="00DB2B68" w:rsidRDefault="00000000">
            <w:pPr>
              <w:jc w:val="center"/>
            </w:pPr>
            <w:r>
              <w:rPr>
                <w:b/>
              </w:rPr>
              <w:t>B1</w:t>
            </w:r>
          </w:p>
        </w:tc>
        <w:tc>
          <w:tcPr>
            <w:tcW w:w="1500" w:type="dxa"/>
            <w:noWrap/>
          </w:tcPr>
          <w:p w14:paraId="7B01F3C6" w14:textId="77777777" w:rsidR="00DB2B68" w:rsidRDefault="00000000">
            <w:pPr>
              <w:jc w:val="center"/>
            </w:pPr>
            <w:r>
              <w:rPr>
                <w:b/>
              </w:rPr>
              <w:t>B2</w:t>
            </w:r>
          </w:p>
        </w:tc>
        <w:tc>
          <w:tcPr>
            <w:tcW w:w="1500" w:type="dxa"/>
            <w:noWrap/>
          </w:tcPr>
          <w:p w14:paraId="14F1E4D3" w14:textId="77777777" w:rsidR="00DB2B68" w:rsidRDefault="00000000">
            <w:pPr>
              <w:jc w:val="center"/>
            </w:pPr>
            <w:r>
              <w:rPr>
                <w:b/>
              </w:rPr>
              <w:t>C</w:t>
            </w:r>
          </w:p>
        </w:tc>
        <w:tc>
          <w:tcPr>
            <w:tcW w:w="1500" w:type="dxa"/>
            <w:noWrap/>
          </w:tcPr>
          <w:p w14:paraId="1EE429BA" w14:textId="77777777" w:rsidR="00DB2B68" w:rsidRDefault="00000000">
            <w:pPr>
              <w:jc w:val="center"/>
            </w:pPr>
            <w:r>
              <w:rPr>
                <w:b/>
              </w:rPr>
              <w:t>D</w:t>
            </w:r>
          </w:p>
        </w:tc>
        <w:tc>
          <w:tcPr>
            <w:tcW w:w="1500" w:type="dxa"/>
            <w:noWrap/>
          </w:tcPr>
          <w:p w14:paraId="32218B74" w14:textId="77777777" w:rsidR="00DB2B68" w:rsidRDefault="00000000">
            <w:pPr>
              <w:jc w:val="center"/>
            </w:pPr>
            <w:r>
              <w:rPr>
                <w:b/>
              </w:rPr>
              <w:t>E</w:t>
            </w:r>
          </w:p>
        </w:tc>
      </w:tr>
      <w:tr w:rsidR="00DB2B68" w14:paraId="0889E19D" w14:textId="77777777">
        <w:tc>
          <w:tcPr>
            <w:tcW w:w="1500" w:type="dxa"/>
            <w:noWrap/>
          </w:tcPr>
          <w:p w14:paraId="45EDCBFA" w14:textId="77777777" w:rsidR="00DB2B68" w:rsidRDefault="00000000">
            <w:pPr>
              <w:jc w:val="center"/>
            </w:pPr>
            <w:r>
              <w:rPr>
                <w:b/>
              </w:rPr>
              <w:t>Classe de résistance</w:t>
            </w:r>
          </w:p>
        </w:tc>
        <w:tc>
          <w:tcPr>
            <w:tcW w:w="1500" w:type="dxa"/>
            <w:noWrap/>
          </w:tcPr>
          <w:p w14:paraId="4EB7185A" w14:textId="77777777" w:rsidR="00DB2B68" w:rsidRDefault="00000000">
            <w:pPr>
              <w:jc w:val="center"/>
            </w:pPr>
            <w:r>
              <w:rPr>
                <w:b/>
              </w:rPr>
              <w:t>Domaine d’application</w:t>
            </w:r>
          </w:p>
        </w:tc>
        <w:tc>
          <w:tcPr>
            <w:tcW w:w="1500" w:type="dxa"/>
            <w:noWrap/>
          </w:tcPr>
          <w:p w14:paraId="612E0910" w14:textId="77777777" w:rsidR="00DB2B68" w:rsidRDefault="00000000">
            <w:pPr>
              <w:jc w:val="center"/>
            </w:pPr>
            <w:r>
              <w:rPr>
                <w:b/>
              </w:rPr>
              <w:t>Classe d'environnement</w:t>
            </w:r>
          </w:p>
        </w:tc>
        <w:tc>
          <w:tcPr>
            <w:tcW w:w="1500" w:type="dxa"/>
            <w:noWrap/>
          </w:tcPr>
          <w:p w14:paraId="3E1E98E2" w14:textId="77777777" w:rsidR="00DB2B68" w:rsidRDefault="00000000">
            <w:pPr>
              <w:jc w:val="center"/>
            </w:pPr>
            <w:r>
              <w:rPr>
                <w:b/>
              </w:rPr>
              <w:t>Classe de consistance</w:t>
            </w:r>
          </w:p>
        </w:tc>
        <w:tc>
          <w:tcPr>
            <w:tcW w:w="1500" w:type="dxa"/>
            <w:noWrap/>
          </w:tcPr>
          <w:p w14:paraId="36DBE96C" w14:textId="77777777" w:rsidR="00DB2B68" w:rsidRDefault="00000000">
            <w:pPr>
              <w:jc w:val="center"/>
            </w:pPr>
            <w:r>
              <w:rPr>
                <w:b/>
              </w:rPr>
              <w:t>Granulométrie maximale</w:t>
            </w:r>
          </w:p>
        </w:tc>
        <w:tc>
          <w:tcPr>
            <w:tcW w:w="1500" w:type="dxa"/>
            <w:noWrap/>
          </w:tcPr>
          <w:p w14:paraId="2D96AD7A" w14:textId="77777777" w:rsidR="00DB2B68" w:rsidRDefault="00000000">
            <w:r>
              <w:rPr>
                <w:b/>
              </w:rPr>
              <w:t>Données complémentaires</w:t>
            </w:r>
          </w:p>
        </w:tc>
      </w:tr>
      <w:tr w:rsidR="00DB2B68" w14:paraId="1EBD0A17" w14:textId="77777777">
        <w:tc>
          <w:tcPr>
            <w:tcW w:w="1500" w:type="dxa"/>
            <w:noWrap/>
          </w:tcPr>
          <w:p w14:paraId="2CA0F1AB" w14:textId="77777777" w:rsidR="00DB2B68" w:rsidRDefault="00000000">
            <w:pPr>
              <w:jc w:val="center"/>
            </w:pPr>
            <w:r>
              <w:rPr>
                <w:rStyle w:val="optioncarChar"/>
              </w:rPr>
              <w:t>C25/30 / C30/37 / C35/45 / C45/55 / C50/60 / C55/67 / C60/75 / C70/85 / C80/95 / C90/105</w:t>
            </w:r>
          </w:p>
        </w:tc>
        <w:tc>
          <w:tcPr>
            <w:tcW w:w="1500" w:type="dxa"/>
            <w:noWrap/>
          </w:tcPr>
          <w:p w14:paraId="3563F85A" w14:textId="77777777" w:rsidR="00DB2B68" w:rsidRDefault="00000000">
            <w:pPr>
              <w:jc w:val="center"/>
            </w:pPr>
            <w:r>
              <w:t>Béton armé</w:t>
            </w:r>
          </w:p>
          <w:p w14:paraId="573B5642" w14:textId="77777777" w:rsidR="00DB2B68" w:rsidRDefault="00000000">
            <w:pPr>
              <w:jc w:val="center"/>
            </w:pPr>
            <w:r>
              <w:t> </w:t>
            </w:r>
          </w:p>
        </w:tc>
        <w:tc>
          <w:tcPr>
            <w:tcW w:w="1500" w:type="dxa"/>
            <w:noWrap/>
          </w:tcPr>
          <w:p w14:paraId="1A68F958" w14:textId="77777777" w:rsidR="00DB2B68" w:rsidRDefault="00000000">
            <w:pPr>
              <w:jc w:val="center"/>
            </w:pPr>
            <w:r>
              <w:rPr>
                <w:rStyle w:val="optioncarChar"/>
              </w:rPr>
              <w:t>E0 / EI / EE1 / EE2 / EE3 / EE4 / ES1 / ES2 / ES3 / ES4 / EA1+*** / EA2+***/ EA3+***</w:t>
            </w:r>
          </w:p>
        </w:tc>
        <w:tc>
          <w:tcPr>
            <w:tcW w:w="1500" w:type="dxa"/>
            <w:noWrap/>
          </w:tcPr>
          <w:p w14:paraId="483276DD" w14:textId="77777777" w:rsidR="00DB2B68" w:rsidRDefault="00000000">
            <w:pPr>
              <w:jc w:val="center"/>
            </w:pPr>
            <w:r>
              <w:t>au choix de l'entrepreneur :</w:t>
            </w:r>
          </w:p>
          <w:p w14:paraId="5306EA94" w14:textId="77777777" w:rsidR="00DB2B68" w:rsidRDefault="00000000">
            <w:pPr>
              <w:jc w:val="center"/>
            </w:pPr>
            <w:r>
              <w:rPr>
                <w:rStyle w:val="optioncarChar"/>
              </w:rPr>
              <w:t xml:space="preserve">S3 / S4 / S5 </w:t>
            </w:r>
          </w:p>
          <w:p w14:paraId="4B6217FE" w14:textId="77777777" w:rsidR="00DB2B68" w:rsidRDefault="00000000">
            <w:pPr>
              <w:jc w:val="center"/>
            </w:pPr>
            <w:r>
              <w:rPr>
                <w:rStyle w:val="optioncarChar"/>
              </w:rPr>
              <w:t>F3 / F4 / F5 / F6</w:t>
            </w:r>
            <w:r>
              <w:br/>
            </w:r>
          </w:p>
        </w:tc>
        <w:tc>
          <w:tcPr>
            <w:tcW w:w="1500" w:type="dxa"/>
            <w:noWrap/>
          </w:tcPr>
          <w:p w14:paraId="0D3F3827" w14:textId="77777777" w:rsidR="00DB2B68" w:rsidRDefault="00000000">
            <w:pPr>
              <w:jc w:val="center"/>
            </w:pPr>
            <w:r>
              <w:t>au choix de l'entrepreneur :</w:t>
            </w:r>
          </w:p>
          <w:p w14:paraId="4D59F194" w14:textId="77777777" w:rsidR="00DB2B68" w:rsidRDefault="00000000">
            <w:pPr>
              <w:jc w:val="center"/>
            </w:pPr>
            <w:r>
              <w:rPr>
                <w:rStyle w:val="optioncarChar"/>
              </w:rPr>
              <w:t>6 / 8 / 10 / 11 / 12 / 14 / 16 / 20 / 22 / 32 </w:t>
            </w:r>
            <w:r>
              <w:t>mm</w:t>
            </w:r>
          </w:p>
        </w:tc>
        <w:tc>
          <w:tcPr>
            <w:tcW w:w="1500" w:type="dxa"/>
            <w:noWrap/>
          </w:tcPr>
          <w:p w14:paraId="0E95AA90" w14:textId="77777777" w:rsidR="00DB2B68" w:rsidRDefault="00000000">
            <w:pPr>
              <w:jc w:val="center"/>
            </w:pPr>
            <w:r>
              <w:rPr>
                <w:rStyle w:val="optioncarChar"/>
              </w:rPr>
              <w:t>***</w:t>
            </w:r>
          </w:p>
        </w:tc>
      </w:tr>
    </w:tbl>
    <w:p w14:paraId="5538DB89" w14:textId="77777777" w:rsidR="00DB2B68" w:rsidRDefault="00000000">
      <w:r>
        <w:t> </w:t>
      </w:r>
    </w:p>
    <w:p w14:paraId="014B060B"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36337D5C" w14:textId="77777777" w:rsidR="00DB2B68" w:rsidRDefault="00000000">
      <w:pPr>
        <w:pStyle w:val="Author-eListParagraph"/>
        <w:numPr>
          <w:ilvl w:val="0"/>
          <w:numId w:val="359"/>
        </w:numPr>
      </w:pPr>
      <w:r>
        <w:t xml:space="preserve">Classe de viscosité apparente : </w:t>
      </w:r>
      <w:r>
        <w:rPr>
          <w:rStyle w:val="optioncarChar"/>
        </w:rPr>
        <w:t>VS1 / VS2</w:t>
      </w:r>
      <w:r>
        <w:t xml:space="preserve"> (selon la [NBN EN 12350-8] )</w:t>
      </w:r>
    </w:p>
    <w:p w14:paraId="705CF016" w14:textId="77777777" w:rsidR="00DB2B68" w:rsidRDefault="00000000">
      <w:pPr>
        <w:pStyle w:val="Author-eListParagraph"/>
        <w:numPr>
          <w:ilvl w:val="0"/>
          <w:numId w:val="359"/>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3873741A" w14:textId="77777777" w:rsidR="00DB2B68" w:rsidRDefault="00000000">
      <w:pPr>
        <w:pStyle w:val="Author-eListParagraph"/>
        <w:numPr>
          <w:ilvl w:val="0"/>
          <w:numId w:val="35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039E9E1" w14:textId="77777777" w:rsidR="00DB2B68" w:rsidRDefault="00000000">
      <w:r>
        <w:rPr>
          <w:u w:val="single"/>
        </w:rPr>
        <w:t>Armatures</w:t>
      </w:r>
    </w:p>
    <w:p w14:paraId="08CE2DD0" w14:textId="77777777" w:rsidR="00DB2B68" w:rsidRDefault="00000000">
      <w:pPr>
        <w:pStyle w:val="Author-eListParagraph"/>
        <w:numPr>
          <w:ilvl w:val="0"/>
          <w:numId w:val="360"/>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68C04C91" w14:textId="77777777" w:rsidR="00DB2B68" w:rsidRDefault="00000000">
      <w:pPr>
        <w:pStyle w:val="Author-eListParagraph"/>
        <w:numPr>
          <w:ilvl w:val="0"/>
          <w:numId w:val="360"/>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44645DF" w14:textId="77777777" w:rsidR="00DB2B68" w:rsidRDefault="00000000">
      <w:pPr>
        <w:pStyle w:val="pheading"/>
      </w:pPr>
      <w:r>
        <w:lastRenderedPageBreak/>
        <w:t>- Finitions</w:t>
      </w:r>
    </w:p>
    <w:p w14:paraId="06F344C5"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3DA1FB5B" w14:textId="77777777" w:rsidR="00DB2B68"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486" w:history="1">
        <w:r>
          <w:rPr>
            <w:color w:val="0000EE"/>
          </w:rPr>
          <w:t>22.71 Traitements esthétiques ou de surface</w:t>
        </w:r>
      </w:hyperlink>
      <w:r>
        <w:t>.</w:t>
      </w:r>
    </w:p>
    <w:p w14:paraId="0A3497F8" w14:textId="77777777" w:rsidR="00DB2B68"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1EB6CAA1"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 ZBA/4 // ZBA/5 // ZBA/6 seules les caractéristiques pertinentes sont retenues)</w:t>
      </w:r>
      <w:r>
        <w:br/>
      </w:r>
    </w:p>
    <w:p w14:paraId="65884B8B" w14:textId="77777777" w:rsidR="00DB2B68" w:rsidRDefault="00000000">
      <w:pPr>
        <w:pStyle w:val="Author-eListParagraph"/>
        <w:numPr>
          <w:ilvl w:val="0"/>
          <w:numId w:val="361"/>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8C6F128" w14:textId="77777777" w:rsidR="00DB2B68" w:rsidRDefault="00000000">
      <w:pPr>
        <w:pStyle w:val="Author-eListParagraph"/>
        <w:numPr>
          <w:ilvl w:val="0"/>
          <w:numId w:val="361"/>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431E6752" w14:textId="77777777" w:rsidR="00DB2B68" w:rsidRDefault="00000000">
      <w:pPr>
        <w:pStyle w:val="Author-eListParagraph"/>
        <w:numPr>
          <w:ilvl w:val="0"/>
          <w:numId w:val="361"/>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006E7BD3" w14:textId="77777777" w:rsidR="00DB2B68" w:rsidRDefault="00000000">
      <w:pPr>
        <w:pStyle w:val="Author-eListParagraph"/>
        <w:numPr>
          <w:ilvl w:val="0"/>
          <w:numId w:val="361"/>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2991089F" w14:textId="77777777" w:rsidR="00DB2B68" w:rsidRDefault="00000000">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1,5x1,5</w:t>
      </w:r>
      <w:r>
        <w:t xml:space="preserve"> (par défaut) </w:t>
      </w:r>
      <w:r>
        <w:rPr>
          <w:rStyle w:val="optioncarChar"/>
        </w:rPr>
        <w:t xml:space="preserve">/ 2,5x2,5 / ***x*** </w:t>
      </w:r>
      <w:r>
        <w:rPr>
          <w:rStyle w:val="soitChar"/>
        </w:rPr>
        <w:t>cm²</w:t>
      </w:r>
      <w:r>
        <w:rPr>
          <w:rStyle w:val="optioncarChar"/>
        </w:rPr>
        <w:t>.</w:t>
      </w:r>
    </w:p>
    <w:p w14:paraId="3C0493BB" w14:textId="77777777" w:rsidR="00DB2B68" w:rsidRDefault="00000000">
      <w:pPr>
        <w:pStyle w:val="pheading"/>
      </w:pPr>
      <w:r>
        <w:t>EXÉCUTION / MISE EN ŒUVRE</w:t>
      </w:r>
    </w:p>
    <w:p w14:paraId="16A4355B" w14:textId="77777777" w:rsidR="00DB2B68" w:rsidRDefault="00000000">
      <w:pPr>
        <w:pStyle w:val="pheading"/>
      </w:pPr>
      <w:r>
        <w:t>- Prescriptions générales</w:t>
      </w:r>
    </w:p>
    <w:p w14:paraId="349F99B5" w14:textId="77777777" w:rsidR="00DB2B68" w:rsidRDefault="00000000">
      <w:r>
        <w:t xml:space="preserve">Les </w:t>
      </w:r>
      <w:r>
        <w:rPr>
          <w:rStyle w:val="optioncarChar"/>
          <w:color w:val="000000"/>
        </w:rPr>
        <w:t xml:space="preserve">poutres </w:t>
      </w:r>
      <w:r>
        <w:t>sont exécutées dans les dimensions indiquées sur les plans.</w:t>
      </w:r>
    </w:p>
    <w:p w14:paraId="69D890B0" w14:textId="77777777" w:rsidR="00DB2B68" w:rsidRDefault="00000000">
      <w:r>
        <w:t>L’entrepreneur est tenu de vérifier si elles peuvent effectivement être réalisées conformément aux plans soumis. Il y a lieu de tenir compte de la hauteur libre requise par rapport au niveau du sol. .</w:t>
      </w:r>
    </w:p>
    <w:p w14:paraId="3433AB45" w14:textId="77777777" w:rsidR="00DB2B68" w:rsidRDefault="00000000">
      <w:r>
        <w:t xml:space="preserve">La longueur d’appui est au moins </w:t>
      </w:r>
      <w:r>
        <w:rPr>
          <w:rStyle w:val="optioncarChar"/>
        </w:rPr>
        <w:t>celle obtenue par calcul </w:t>
      </w:r>
      <w:r>
        <w:t>(par défaut)</w:t>
      </w:r>
      <w:r>
        <w:rPr>
          <w:rStyle w:val="optioncarChar"/>
        </w:rPr>
        <w:t xml:space="preserve"> / 20 / 30 / ***</w:t>
      </w:r>
      <w:r>
        <w:t xml:space="preserve"> cm à chaque extrémité des </w:t>
      </w:r>
      <w:r>
        <w:rPr>
          <w:rStyle w:val="optioncarChar"/>
          <w:color w:val="000000"/>
        </w:rPr>
        <w:t>poutres</w:t>
      </w:r>
    </w:p>
    <w:p w14:paraId="3D3E4F28" w14:textId="77777777" w:rsidR="00DB2B68"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rPr>
            <w:color w:val="0000EE"/>
          </w:rPr>
          <w:t>22 Superstructures en béton</w:t>
        </w:r>
      </w:hyperlink>
      <w:r>
        <w:t xml:space="preserve"> sous-titre </w:t>
      </w:r>
      <w:r>
        <w:rPr>
          <w:u w:val="single"/>
        </w:rPr>
        <w:t>Décoffrage</w:t>
      </w:r>
      <w:r>
        <w:t xml:space="preserve"> et [NBN B 15-400] )</w:t>
      </w:r>
    </w:p>
    <w:p w14:paraId="1A6F8A40" w14:textId="77777777" w:rsidR="00DB2B68"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44176F20" w14:textId="77777777" w:rsidR="00DB2B68" w:rsidRDefault="00000000">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lastRenderedPageBreak/>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p>
    <w:p w14:paraId="520EE91A" w14:textId="77777777" w:rsidR="00DB2B68" w:rsidRDefault="00000000">
      <w:pPr>
        <w:pStyle w:val="pheading"/>
      </w:pPr>
      <w:r>
        <w:t>- Notes d’exécution complémentaires</w:t>
      </w:r>
    </w:p>
    <w:p w14:paraId="2111796B" w14:textId="77777777" w:rsidR="00DB2B68" w:rsidRDefault="00000000">
      <w:r>
        <w:t xml:space="preserve">Raccords visibles entre éléments de coffrage : </w:t>
      </w:r>
      <w:r>
        <w:rPr>
          <w:rStyle w:val="optioncarChar"/>
        </w:rPr>
        <w:t xml:space="preserve">joint en forme de V </w:t>
      </w:r>
      <w:r>
        <w:t>(par défaut) </w:t>
      </w:r>
      <w:r>
        <w:rPr>
          <w:rStyle w:val="optioncarChar"/>
        </w:rPr>
        <w:t>/ ***</w:t>
      </w:r>
      <w:r>
        <w:br/>
        <w:t xml:space="preserve">Raccords visibles entre différents éléments dans le même plan : </w:t>
      </w:r>
      <w:r>
        <w:rPr>
          <w:rStyle w:val="optioncarChar"/>
        </w:rPr>
        <w:t xml:space="preserve">joint en forme de V </w:t>
      </w:r>
      <w:r>
        <w:t>(par défaut) </w:t>
      </w:r>
      <w:r>
        <w:rPr>
          <w:rStyle w:val="optioncarChar"/>
        </w:rPr>
        <w:t>/ ***</w:t>
      </w:r>
      <w:r>
        <w:br/>
        <w:t>Ponts thermiques / isolation thermique : des dispositifs adéquats sont utilisés pour éviter tout pont thermique.</w:t>
      </w:r>
    </w:p>
    <w:p w14:paraId="366BB1B9" w14:textId="77777777" w:rsidR="00DB2B68" w:rsidRDefault="00000000">
      <w:pPr>
        <w:pStyle w:val="pheading"/>
      </w:pPr>
      <w:r>
        <w:t>MESURAGE</w:t>
      </w:r>
    </w:p>
    <w:p w14:paraId="5C8DD45B" w14:textId="77777777" w:rsidR="00DB2B68" w:rsidRDefault="0000000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48189235" w14:textId="77777777" w:rsidR="00DB2B68"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2" w:history="1">
        <w:r>
          <w:rPr>
            <w:rStyle w:val="soitChar"/>
            <w:color w:val="0000EE"/>
          </w:rPr>
          <w:t>22.51 Armatures pour béton</w:t>
        </w:r>
      </w:hyperlink>
    </w:p>
    <w:p w14:paraId="71ADCB59" w14:textId="77777777" w:rsidR="00DB2B68" w:rsidRDefault="00000000">
      <w:pPr>
        <w:pStyle w:val="pheading"/>
      </w:pPr>
      <w:r>
        <w:t>- unité de mesure:</w:t>
      </w:r>
    </w:p>
    <w:p w14:paraId="335F1C34" w14:textId="77777777" w:rsidR="00DB2B68" w:rsidRDefault="00000000">
      <w:r>
        <w:t>m</w:t>
      </w:r>
      <w:r>
        <w:rPr>
          <w:vertAlign w:val="superscript"/>
        </w:rPr>
        <w:t>3</w:t>
      </w:r>
    </w:p>
    <w:p w14:paraId="62C9CEEE" w14:textId="77777777" w:rsidR="00DB2B68" w:rsidRDefault="00000000">
      <w:pPr>
        <w:pStyle w:val="pheading"/>
      </w:pPr>
      <w:r>
        <w:t>- code de mesurage:</w:t>
      </w:r>
    </w:p>
    <w:p w14:paraId="73146AB5" w14:textId="77777777" w:rsidR="00DB2B68" w:rsidRDefault="00000000">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14:paraId="714E9152" w14:textId="77777777" w:rsidR="00DB2B68" w:rsidRDefault="00000000">
      <w:r>
        <w:rPr>
          <w:i/>
          <w:u w:val="single"/>
        </w:rPr>
        <w:t>&gt; Remarque </w:t>
      </w:r>
    </w:p>
    <w:p w14:paraId="6E29E275" w14:textId="77777777" w:rsidR="00DB2B68" w:rsidRDefault="00000000">
      <w:pPr>
        <w:pStyle w:val="Author-eListParagraph"/>
        <w:numPr>
          <w:ilvl w:val="0"/>
          <w:numId w:val="362"/>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57E1A374" w14:textId="77777777" w:rsidR="00DB2B68" w:rsidRDefault="00000000">
      <w:pPr>
        <w:pStyle w:val="Author-eListParagraph"/>
        <w:numPr>
          <w:ilvl w:val="0"/>
          <w:numId w:val="362"/>
        </w:numPr>
      </w:pPr>
      <w:r>
        <w:rPr>
          <w:i/>
        </w:rPr>
        <w:t xml:space="preserve">Les quantités de béton ne sont jamais mesurées sur la base des bons de livraison soumis par l’entrepreneur. </w:t>
      </w:r>
    </w:p>
    <w:p w14:paraId="06488A36" w14:textId="77777777" w:rsidR="00DB2B68" w:rsidRDefault="00000000">
      <w:r>
        <w:rPr>
          <w:rStyle w:val="headingChar"/>
        </w:rPr>
        <w:t>EN BASE</w:t>
      </w:r>
    </w:p>
    <w:p w14:paraId="27EAF0C4" w14:textId="77777777" w:rsidR="00DB2B68" w:rsidRDefault="00000000">
      <w:r>
        <w:t xml:space="preserve">Volume net, mesuré selon les dimensions nominales indiquées sur les plans, exprimées en </w:t>
      </w:r>
      <w:r>
        <w:rPr>
          <w:rStyle w:val="optioncarChar"/>
        </w:rPr>
        <w:t>cm </w:t>
      </w:r>
      <w:r>
        <w:t>(par défaut)</w:t>
      </w:r>
      <w:r>
        <w:rPr>
          <w:rStyle w:val="optioncarChar"/>
        </w:rPr>
        <w:t xml:space="preserve"> / dm / ***</w:t>
      </w:r>
      <w:r>
        <w:t>.</w:t>
      </w:r>
    </w:p>
    <w:p w14:paraId="7B235D0D" w14:textId="77777777" w:rsidR="00DB2B68" w:rsidRDefault="00000000">
      <w:pPr>
        <w:pStyle w:val="Author-eListParagraph"/>
        <w:numPr>
          <w:ilvl w:val="0"/>
          <w:numId w:val="363"/>
        </w:numPr>
      </w:pPr>
      <w:r>
        <w:t>Les éléments en béton non rectangulaires sont calculés en multipliant la longueur par la surface de la section.</w:t>
      </w:r>
    </w:p>
    <w:p w14:paraId="16B5B15D" w14:textId="77777777" w:rsidR="00DB2B68" w:rsidRDefault="00000000">
      <w:pPr>
        <w:pStyle w:val="Author-eListParagraph"/>
        <w:numPr>
          <w:ilvl w:val="0"/>
          <w:numId w:val="363"/>
        </w:numPr>
      </w:pPr>
      <w:r>
        <w:t>Le contenu des volumes résiduels au droit des angles, rencontres et terminaisons est négligé.</w:t>
      </w:r>
    </w:p>
    <w:p w14:paraId="5361F727" w14:textId="77777777" w:rsidR="00DB2B68" w:rsidRDefault="00000000">
      <w:pPr>
        <w:pStyle w:val="Author-eListParagraph"/>
        <w:numPr>
          <w:ilvl w:val="0"/>
          <w:numId w:val="363"/>
        </w:numPr>
      </w:pPr>
      <w:r>
        <w:t xml:space="preserve">Aucune déduction n'est faite pour: </w:t>
      </w:r>
    </w:p>
    <w:p w14:paraId="7053801C" w14:textId="77777777" w:rsidR="00DB2B68" w:rsidRDefault="00000000">
      <w:pPr>
        <w:pStyle w:val="Author-eListParagraph"/>
        <w:numPr>
          <w:ilvl w:val="1"/>
          <w:numId w:val="364"/>
        </w:numPr>
      </w:pPr>
      <w:r>
        <w:t>le volume des armatures,</w:t>
      </w:r>
    </w:p>
    <w:p w14:paraId="4E66B66B" w14:textId="77777777" w:rsidR="00DB2B68" w:rsidRDefault="00000000">
      <w:pPr>
        <w:pStyle w:val="Author-eListParagraph"/>
        <w:numPr>
          <w:ilvl w:val="1"/>
          <w:numId w:val="364"/>
        </w:numPr>
      </w:pPr>
      <w:r>
        <w:t>les blocs et écarteurs, les fourreaux pour les armatures de précontrainte ;</w:t>
      </w:r>
    </w:p>
    <w:p w14:paraId="557117A3" w14:textId="77777777" w:rsidR="00DB2B68" w:rsidRDefault="00000000">
      <w:pPr>
        <w:pStyle w:val="Author-eListParagraph"/>
        <w:numPr>
          <w:ilvl w:val="1"/>
          <w:numId w:val="364"/>
        </w:numPr>
      </w:pPr>
      <w:r>
        <w:t>les pénétrations pour les pattes d’ancrage, les creux, les conduites noyées et les réservations dont le volume est inférieur à 0,05 m</w:t>
      </w:r>
      <w:r>
        <w:rPr>
          <w:vertAlign w:val="superscript"/>
        </w:rPr>
        <w:t>3</w:t>
      </w:r>
      <w:r>
        <w:t>.</w:t>
      </w:r>
    </w:p>
    <w:p w14:paraId="6EA4B036" w14:textId="77777777" w:rsidR="00DB2B68" w:rsidRDefault="00000000">
      <w:pPr>
        <w:pStyle w:val="Author-eListParagraph"/>
        <w:numPr>
          <w:ilvl w:val="1"/>
          <w:numId w:val="364"/>
        </w:numPr>
      </w:pPr>
      <w:r>
        <w:t>les chanfreins et tous les profils dont la section a une superficie inférieure à 0,002 m</w:t>
      </w:r>
      <w:r>
        <w:rPr>
          <w:vertAlign w:val="superscript"/>
        </w:rPr>
        <w:t>2</w:t>
      </w:r>
      <w:r>
        <w:t>.</w:t>
      </w:r>
    </w:p>
    <w:p w14:paraId="3F090C51" w14:textId="77777777" w:rsidR="00DB2B68" w:rsidRDefault="00000000">
      <w:pPr>
        <w:pStyle w:val="Author-eListParagraph"/>
        <w:numPr>
          <w:ilvl w:val="1"/>
          <w:numId w:val="364"/>
        </w:numPr>
      </w:pPr>
      <w:r>
        <w:t>les rainures, encoches et languettes.</w:t>
      </w:r>
    </w:p>
    <w:p w14:paraId="592A4D46" w14:textId="77777777" w:rsidR="00DB2B68" w:rsidRDefault="00000000">
      <w:r>
        <w:rPr>
          <w:rStyle w:val="headingChar"/>
        </w:rPr>
        <w:t>EN SUPPLEMENT POUR COFFRAGE PARTICULIER ET COMPLEXE</w:t>
      </w:r>
      <w:r>
        <w:br/>
      </w:r>
    </w:p>
    <w:p w14:paraId="46E36C11" w14:textId="77777777" w:rsidR="00DB2B68" w:rsidRDefault="00000000">
      <w:r>
        <w:rPr>
          <w:rStyle w:val="optioncarChar"/>
        </w:rPr>
        <w:lastRenderedPageBreak/>
        <w:t xml:space="preserve">Surface </w:t>
      </w:r>
      <w:r>
        <w:t>(par défaut)</w:t>
      </w:r>
      <w:r>
        <w:rPr>
          <w:rStyle w:val="optioncarChar"/>
        </w:rPr>
        <w:t xml:space="preserve"> / Volume net </w:t>
      </w:r>
      <w:r>
        <w:t>mesurés selon les dimensions nominales indiquées sur les plans.</w:t>
      </w:r>
    </w:p>
    <w:p w14:paraId="1DB5A8C3" w14:textId="77777777" w:rsidR="00DB2B68" w:rsidRDefault="00000000">
      <w:r>
        <w:rPr>
          <w:b/>
        </w:rPr>
        <w:t>(Soit par défaut)</w:t>
      </w:r>
      <w:r>
        <w:br/>
      </w:r>
      <w:r>
        <w:rPr>
          <w:rStyle w:val="soitChar"/>
        </w:rPr>
        <w:t xml:space="preserve">1. </w:t>
      </w:r>
      <w:r>
        <w:rPr>
          <w:rStyle w:val="soitChar"/>
          <w:u w:val="single"/>
        </w:rPr>
        <w:t>Surface :</w:t>
      </w:r>
    </w:p>
    <w:p w14:paraId="5D17F97C" w14:textId="77777777" w:rsidR="00DB2B68" w:rsidRDefault="00000000">
      <w:r>
        <w:rPr>
          <w:color w:val="33CCCC"/>
        </w:rPr>
        <w:t>Les surfaces supérieures qui ont une inclinaison plus forte que 6/4 sont considérées comme surfaces à coffrer.</w:t>
      </w:r>
      <w:r>
        <w:br/>
      </w:r>
      <w:r>
        <w:rPr>
          <w:rStyle w:val="soitChar"/>
        </w:rPr>
        <w:t>On ne déduit pas les surfaces</w:t>
      </w:r>
      <w:r>
        <w:rPr>
          <w:rStyle w:val="soitChar"/>
          <w:color w:val="000000"/>
        </w:rPr>
        <w:t> </w:t>
      </w:r>
      <w:r>
        <w:rPr>
          <w:color w:val="33CCCC"/>
        </w:rPr>
        <w:t>des évidements égaux ou inférieurs à 1</w:t>
      </w:r>
      <w:r>
        <w:rPr>
          <w:rStyle w:val="soitChar"/>
        </w:rPr>
        <w:t xml:space="preserve"> m</w:t>
      </w:r>
      <w:r>
        <w:rPr>
          <w:rStyle w:val="soitChar"/>
          <w:vertAlign w:val="superscript"/>
        </w:rPr>
        <w:t>2</w:t>
      </w:r>
      <w:r>
        <w:br/>
      </w:r>
      <w:r>
        <w:rPr>
          <w:color w:val="33CCCC"/>
        </w:rPr>
        <w:t>des raccordements de poutres entre elles ou avec les parois ou les colonnes.</w:t>
      </w:r>
      <w:r>
        <w:br/>
      </w:r>
      <w:r>
        <w:rPr>
          <w:color w:val="33CCCC"/>
        </w:rPr>
        <w:t>Le coffrage des évidements, des gaines, etc. égaux ou inférieurs à 1 m</w:t>
      </w:r>
      <w:r>
        <w:rPr>
          <w:color w:val="33CCCC"/>
          <w:vertAlign w:val="superscript"/>
        </w:rPr>
        <w:t>2</w:t>
      </w:r>
      <w:r>
        <w:rPr>
          <w:color w:val="33CCCC"/>
        </w:rPr>
        <w:t xml:space="preserve"> est mesuré à la pièce.</w:t>
      </w:r>
      <w:r>
        <w:br/>
      </w:r>
      <w:r>
        <w:rPr>
          <w:color w:val="33CCCC"/>
        </w:rPr>
        <w:t>Le coffrage des évidements supérieurs à</w:t>
      </w:r>
      <w:r>
        <w:rPr>
          <w:rStyle w:val="soitChar"/>
        </w:rPr>
        <w:t xml:space="preserve"> 1 m</w:t>
      </w:r>
      <w:r>
        <w:rPr>
          <w:rStyle w:val="soitChar"/>
          <w:vertAlign w:val="superscript"/>
        </w:rPr>
        <w:t>2</w:t>
      </w:r>
      <w:r>
        <w:rPr>
          <w:color w:val="33CCCC"/>
        </w:rPr>
        <w:t xml:space="preserve"> est compté avec l'élément correspondant.</w:t>
      </w:r>
      <w:r>
        <w:br/>
      </w:r>
      <w:r>
        <w:rPr>
          <w:color w:val="33CCCC"/>
        </w:rPr>
        <w:t>Pour la mesure de la surface des coffrages, il n'est pas tenu compte des lattes de coin et des autres lattes incorporées en vue de donner les profilés voulus et qui sont fixées dans le coffrage.</w:t>
      </w:r>
      <w:r>
        <w:br/>
      </w:r>
      <w:r>
        <w:rPr>
          <w:color w:val="33CCCC"/>
        </w:rPr>
        <w:t>Les coffrages latéraux et les coffrages des têtes sont comptés avec l'élément correspondant.</w:t>
      </w:r>
      <w:r>
        <w:br/>
      </w:r>
      <w:r>
        <w:rPr>
          <w:color w:val="33CCCC"/>
        </w:rPr>
        <w:t>Le coffrage des poutres est mesuré jusqu'à la face inférieure du plancher, sauf lorsqu’il s'agit de la face extérieure des poutres de bordure qui est mesurée jusqu'à la face supérieure du plancher ou du béton de remplissage des planchers à système.</w:t>
      </w:r>
      <w:r>
        <w:br/>
      </w:r>
      <w:r>
        <w:rPr>
          <w:color w:val="33CCCC"/>
        </w:rPr>
        <w:t>A l'intersection de poutres, le coffrage de la plus épaisse est mesuré en continu. Le coffrage des autres est mesuré entre celui des plus épaisses.</w:t>
      </w:r>
      <w:r>
        <w:br/>
      </w:r>
      <w:r>
        <w:rPr>
          <w:color w:val="33CCCC"/>
        </w:rPr>
        <w:t>Le coffrage des poutres est mesuré sans tenir compte d'interruptions telles que des colonnes, même si les poutres sont plus étroites que les colonnes.</w:t>
      </w:r>
    </w:p>
    <w:p w14:paraId="7BCAF02C" w14:textId="77777777" w:rsidR="00DB2B68" w:rsidRDefault="00000000">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336CB7EE" w14:textId="77777777" w:rsidR="00DB2B68" w:rsidRDefault="00000000">
      <w:pPr>
        <w:pStyle w:val="pheading"/>
      </w:pPr>
      <w:r>
        <w:t>- nature du marché:</w:t>
      </w:r>
    </w:p>
    <w:p w14:paraId="6CD8E752" w14:textId="77777777" w:rsidR="00DB2B68" w:rsidRDefault="00000000">
      <w:r>
        <w:rPr>
          <w:rStyle w:val="headingChar"/>
        </w:rPr>
        <w:t>EN BASE</w:t>
      </w:r>
    </w:p>
    <w:p w14:paraId="582F2807" w14:textId="77777777" w:rsidR="00DB2B68" w:rsidRDefault="00000000">
      <w:r>
        <w:rPr>
          <w:rStyle w:val="optioncarChar"/>
        </w:rPr>
        <w:t xml:space="preserve">QF </w:t>
      </w:r>
      <w:r>
        <w:t>(par défaut)</w:t>
      </w:r>
      <w:r>
        <w:rPr>
          <w:rStyle w:val="optioncarChar"/>
        </w:rPr>
        <w:t xml:space="preserve"> / QP / PM</w:t>
      </w:r>
    </w:p>
    <w:p w14:paraId="241F7C78" w14:textId="77777777" w:rsidR="00DB2B68" w:rsidRDefault="00000000">
      <w:r>
        <w:rPr>
          <w:rStyle w:val="headingChar"/>
        </w:rPr>
        <w:t>SUPPLEMENT POUR COFFRAGE PARTICULIER ET COMPLEXE</w:t>
      </w:r>
    </w:p>
    <w:p w14:paraId="66F6DEF5" w14:textId="77777777" w:rsidR="00DB2B68" w:rsidRDefault="00000000">
      <w:r>
        <w:rPr>
          <w:rStyle w:val="optioncarChar"/>
        </w:rPr>
        <w:t xml:space="preserve">QF </w:t>
      </w:r>
      <w:r>
        <w:t xml:space="preserve">(par défaut) </w:t>
      </w:r>
      <w:r>
        <w:rPr>
          <w:rStyle w:val="optioncarChar"/>
        </w:rPr>
        <w:t>/ QP</w:t>
      </w:r>
    </w:p>
    <w:p w14:paraId="27D45544" w14:textId="77777777" w:rsidR="00DB2B68" w:rsidRDefault="00000000">
      <w:r>
        <w:rPr>
          <w:u w:val="single"/>
        </w:rPr>
        <w:t>Attention</w:t>
      </w:r>
      <w:r>
        <w:t xml:space="preserve"> : dans le cas où les armatures ne sont pas comprises dans le prix unitaire du béton, se référer aux § </w:t>
      </w:r>
      <w:hyperlink w:anchor="233" w:history="1">
        <w:r>
          <w:rPr>
            <w:color w:val="0000EE"/>
          </w:rPr>
          <w:t>22.51.1 Barres d'armatures pour béton</w:t>
        </w:r>
      </w:hyperlink>
      <w:r>
        <w:t xml:space="preserve"> et § </w:t>
      </w:r>
      <w:hyperlink w:anchor="234" w:history="1">
        <w:r>
          <w:rPr>
            <w:color w:val="0000EE"/>
          </w:rPr>
          <w:t>22.51.2 Treillis et panneaux d'armatures préfabriqués</w:t>
        </w:r>
      </w:hyperlink>
      <w:r>
        <w:t xml:space="preserve">. Pour les armatures de précontrainte, se référer au § </w:t>
      </w:r>
      <w:hyperlink w:anchor="483" w:history="1">
        <w:r>
          <w:rPr>
            <w:color w:val="0000EE"/>
          </w:rPr>
          <w:t>22.52.1 Armatures de précontrainte par post-tension</w:t>
        </w:r>
      </w:hyperlink>
      <w:r>
        <w:t>.</w:t>
      </w:r>
    </w:p>
    <w:p w14:paraId="17D7D9A3" w14:textId="77777777" w:rsidR="00DB2B68" w:rsidRDefault="00000000">
      <w:pPr>
        <w:pStyle w:val="Author-eSectionHeading5Numberless"/>
      </w:pPr>
      <w:bookmarkStart w:id="611" w:name="_Toc220495688"/>
      <w:r>
        <w:t>22.11.3 Poutres préfabriquées en béton CCTB 01.04</w:t>
      </w:r>
      <w:bookmarkEnd w:id="611"/>
    </w:p>
    <w:p w14:paraId="4EC50414" w14:textId="77777777" w:rsidR="00DB2B68" w:rsidRDefault="00000000">
      <w:pPr>
        <w:pStyle w:val="Author-eSectionHeading6Numberless"/>
      </w:pPr>
      <w:bookmarkStart w:id="612" w:name="_Toc220495689"/>
      <w:r>
        <w:t>22.11.3a Poutres préfabriquées en béton armé CCTB 01.13</w:t>
      </w:r>
      <w:bookmarkEnd w:id="612"/>
    </w:p>
    <w:p w14:paraId="773A4024" w14:textId="77777777" w:rsidR="00DB2B68" w:rsidRDefault="00000000">
      <w:pPr>
        <w:pStyle w:val="pheading"/>
      </w:pPr>
      <w:r>
        <w:t>DESCRIPTION</w:t>
      </w:r>
    </w:p>
    <w:p w14:paraId="10BB8CDB" w14:textId="77777777" w:rsidR="00DB2B68" w:rsidRDefault="00000000">
      <w:pPr>
        <w:pStyle w:val="pheading"/>
      </w:pPr>
      <w:r>
        <w:t>- Définition / Comprend</w:t>
      </w:r>
    </w:p>
    <w:p w14:paraId="06177711" w14:textId="77777777" w:rsidR="00DB2B68" w:rsidRDefault="00000000">
      <w:r>
        <w:t xml:space="preserve">Il s'agit de toutes les poutres en béton armé qui sont obligatoirement préfabriquées dans une usine suivant la définition reprise dans les généralités, et sont assemblées sur chantier aux ouvrages de construction déjà exécutés ( voir également </w:t>
      </w:r>
      <w:hyperlink w:anchor="87" w:history="1">
        <w:r>
          <w:rPr>
            <w:color w:val="0000EE"/>
          </w:rPr>
          <w:t>22 Superstructures en béton</w:t>
        </w:r>
      </w:hyperlink>
      <w:r>
        <w:t xml:space="preserve"> ).</w:t>
      </w:r>
    </w:p>
    <w:p w14:paraId="4D3F81EB" w14:textId="77777777" w:rsidR="00DB2B68" w:rsidRDefault="00000000">
      <w:r>
        <w:t>Les éléments sont fabriqués suivant les spécifications de la norme [NBN EN 13225] et la [NBN B 21-604].</w:t>
      </w:r>
    </w:p>
    <w:p w14:paraId="1867FDCC" w14:textId="77777777" w:rsidR="00DB2B68" w:rsidRDefault="00000000">
      <w:pPr>
        <w:ind w:left="750"/>
      </w:pPr>
      <w:r>
        <w:t> </w:t>
      </w:r>
    </w:p>
    <w:p w14:paraId="68804463" w14:textId="77777777" w:rsidR="00DB2B68" w:rsidRDefault="00000000">
      <w:pPr>
        <w:pStyle w:val="pheading"/>
      </w:pPr>
      <w:r>
        <w:t>MATÉRIAUX</w:t>
      </w:r>
    </w:p>
    <w:p w14:paraId="1BCC7C88" w14:textId="77777777" w:rsidR="00DB2B68" w:rsidRDefault="00000000">
      <w:pPr>
        <w:pStyle w:val="pheading"/>
      </w:pPr>
      <w:r>
        <w:t>- Caractéristiques générales</w:t>
      </w:r>
    </w:p>
    <w:p w14:paraId="0ED23CD5" w14:textId="77777777" w:rsidR="00DB2B68" w:rsidRDefault="00000000">
      <w:r>
        <w:t>Classe de résistance à la compression</w:t>
      </w:r>
      <w:r>
        <w:br/>
      </w:r>
      <w:r>
        <w:rPr>
          <w:color w:val="FF0000"/>
        </w:rPr>
        <w:t>C25/30 </w:t>
      </w:r>
      <w:r>
        <w:t>(par défaut)</w:t>
      </w:r>
      <w:r>
        <w:rPr>
          <w:color w:val="FF0000"/>
        </w:rPr>
        <w:t xml:space="preserve"> // C30/37 // C35/45 // C45/55 // C50/60 // C55/67 // C60/75 // C70/85 // C80/95 // C90/105 /// ***</w:t>
      </w:r>
      <w:r>
        <w:br/>
      </w:r>
      <w:r>
        <w:lastRenderedPageBreak/>
        <w:t>Classe d’environnement</w:t>
      </w:r>
      <w:r>
        <w:br/>
      </w:r>
      <w:r>
        <w:rPr>
          <w:color w:val="FF0000"/>
        </w:rPr>
        <w:t>E0 </w:t>
      </w:r>
      <w:r>
        <w:t>(par défaut)</w:t>
      </w:r>
      <w:r>
        <w:rPr>
          <w:color w:val="FF0000"/>
        </w:rPr>
        <w:t xml:space="preserve"> / EI / EE1 / EE2 / EE3 / EE4 / ES1 / ES2 / ES3 / ES4 / EA1+*** / EA2+***/ EA3+*** / ***</w:t>
      </w:r>
    </w:p>
    <w:p w14:paraId="32747F89" w14:textId="77777777" w:rsidR="00DB2B68" w:rsidRDefault="00000000">
      <w:pPr>
        <w:pStyle w:val="pheading"/>
      </w:pPr>
      <w:r>
        <w:t>- Finitions</w:t>
      </w:r>
    </w:p>
    <w:p w14:paraId="3A4D818A" w14:textId="77777777" w:rsidR="00DB2B68" w:rsidRDefault="00000000">
      <w:r>
        <w:t>La surface du béton est</w:t>
      </w:r>
      <w:r>
        <w:rPr>
          <w:rStyle w:val="optioncarChar"/>
        </w:rPr>
        <w:t xml:space="preserve"> brute et lisse / brute et finement texturée / brute et grossièrement texturée / brute à relief (ou structurée)</w:t>
      </w:r>
      <w:r>
        <w:br/>
      </w:r>
      <w:r>
        <w:br/>
      </w:r>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vives/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r>
        <w:br/>
      </w:r>
      <w:r>
        <w:rPr>
          <w:b/>
        </w:rPr>
        <w:t>(soit)</w:t>
      </w:r>
      <w:r>
        <w:br/>
      </w:r>
      <w:r>
        <w:rPr>
          <w:rStyle w:val="soitChar"/>
        </w:rPr>
        <w:t xml:space="preserve">3. </w:t>
      </w:r>
      <w:r>
        <w:rPr>
          <w:rStyle w:val="soitChar"/>
          <w:u w:val="single"/>
        </w:rPr>
        <w:t>vives</w:t>
      </w:r>
    </w:p>
    <w:p w14:paraId="4A6F4BA5" w14:textId="77777777" w:rsidR="00DB2B68" w:rsidRDefault="00000000">
      <w:r>
        <w:t xml:space="preserve">Les arêtes 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w:t>
      </w:r>
    </w:p>
    <w:p w14:paraId="2AB5E1D8" w14:textId="77777777" w:rsidR="00DB2B68" w:rsidRDefault="00000000">
      <w:r>
        <w:br/>
      </w:r>
      <w:r>
        <w:rPr>
          <w:u w:val="single"/>
        </w:rPr>
        <w:t>Etanchéité</w:t>
      </w:r>
      <w:r>
        <w:br/>
        <w:t>Tous les éléments en béton en contact avec les terres sont</w:t>
      </w:r>
      <w:r>
        <w:rPr>
          <w:rStyle w:val="optioncarChar"/>
        </w:rPr>
        <w:t xml:space="preserve"> traités avec du bitume</w:t>
      </w:r>
      <w:r>
        <w:t xml:space="preserve"> (par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t>une (par défaut)</w:t>
      </w:r>
      <w:r>
        <w:rPr>
          <w:rStyle w:val="optioncarChar"/>
        </w:rPr>
        <w:t> / deux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0</w:t>
      </w:r>
      <w:r>
        <w:t xml:space="preserve"> (par défaut)</w:t>
      </w:r>
      <w:r>
        <w:rPr>
          <w:rStyle w:val="optioncarChar"/>
        </w:rPr>
        <w:t xml:space="preserve"> / 1 / 2 / 3</w:t>
      </w:r>
    </w:p>
    <w:p w14:paraId="1EA5DA56" w14:textId="77777777" w:rsidR="00DB2B68" w:rsidRDefault="00000000">
      <w:pPr>
        <w:pStyle w:val="pheading"/>
      </w:pPr>
      <w:r>
        <w:t>- Prescriptions complémentaires</w:t>
      </w:r>
    </w:p>
    <w:p w14:paraId="5BB5D7ED" w14:textId="77777777" w:rsidR="00DB2B68" w:rsidRDefault="00000000">
      <w:r>
        <w:t xml:space="preserve">Résistance au feu : </w:t>
      </w:r>
      <w:r>
        <w:rPr>
          <w:rStyle w:val="optioncarChar"/>
        </w:rPr>
        <w:t>R30 </w:t>
      </w:r>
      <w:r>
        <w:t>(par défaut)</w:t>
      </w:r>
      <w:r>
        <w:rPr>
          <w:rStyle w:val="optioncarChar"/>
        </w:rPr>
        <w:t xml:space="preserve"> / R60 / R120 / R240 / ***</w:t>
      </w:r>
      <w:r>
        <w:t xml:space="preserve"> suivant la déclaration de performance (DoP) selon la norme produit [NBN EN 13225] et [NBN B 21-604].</w:t>
      </w:r>
    </w:p>
    <w:p w14:paraId="6A299243" w14:textId="77777777" w:rsidR="00DB2B68" w:rsidRDefault="00000000">
      <w:r>
        <w:t>Si la résistance au feu n’est pas déclarée sous marquage CE, elle est démontrée par test au feu selon la [NBN EN 13501-2] ou par calcul selon les Eurocodes conformément à l’[AM 2013-05-17]</w:t>
      </w:r>
    </w:p>
    <w:p w14:paraId="57DCF525" w14:textId="77777777" w:rsidR="00DB2B68" w:rsidRDefault="00000000">
      <w:pPr>
        <w:pStyle w:val="pheading"/>
      </w:pPr>
      <w:r>
        <w:t>EXÉCUTION / MISE EN ŒUVRE</w:t>
      </w:r>
    </w:p>
    <w:p w14:paraId="52B5805B" w14:textId="77777777" w:rsidR="00DB2B68" w:rsidRDefault="00000000">
      <w:pPr>
        <w:pStyle w:val="pheading"/>
      </w:pPr>
      <w:r>
        <w:t>- Prescriptions générales</w:t>
      </w:r>
    </w:p>
    <w:p w14:paraId="1809FCD3" w14:textId="77777777" w:rsidR="00DB2B68" w:rsidRDefault="00000000">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 xml:space="preserve">L’entrepreneur veille à ce que la répartition des charges à l’appui de la poutre soit uniforme et </w:t>
      </w:r>
      <w:r>
        <w:lastRenderedPageBreak/>
        <w:t>compatible avec le support. Les longueurs d’appui sont proportionnées à la portée, aux charges et au type de support suivant le calcul du bureau d’études.</w:t>
      </w:r>
    </w:p>
    <w:p w14:paraId="5234F55B" w14:textId="77777777" w:rsidR="00DB2B68" w:rsidRDefault="00000000">
      <w:pPr>
        <w:pStyle w:val="pheading"/>
      </w:pPr>
      <w:r>
        <w:t>- Notes d’exécution complémentaires</w:t>
      </w:r>
    </w:p>
    <w:p w14:paraId="54B58191" w14:textId="77777777" w:rsidR="00DB2B68" w:rsidRDefault="00000000">
      <w:r>
        <w:t xml:space="preserve">Ponts thermiques / isolation thermique : des dispositifs adéquats sont utilisés pour éviter tout pont thermique. </w:t>
      </w:r>
    </w:p>
    <w:p w14:paraId="52388BE4" w14:textId="77777777" w:rsidR="00DB2B68" w:rsidRDefault="00000000">
      <w:pPr>
        <w:pStyle w:val="pheading"/>
      </w:pPr>
      <w:r>
        <w:t>MESURAGE</w:t>
      </w:r>
    </w:p>
    <w:p w14:paraId="5E5B791A" w14:textId="77777777" w:rsidR="00DB2B68" w:rsidRDefault="00000000">
      <w:r>
        <w:t>Conformément aux indications spécifiques dans le cahier spécial des charges et/ou le métré récapitulatif, le mesurage est conçu comme suit :</w:t>
      </w:r>
    </w:p>
    <w:p w14:paraId="7641BB06" w14:textId="77777777" w:rsidR="00DB2B68" w:rsidRDefault="00000000">
      <w:pPr>
        <w:pStyle w:val="pheading"/>
      </w:pPr>
      <w:r>
        <w:t>- unité de mesure:</w:t>
      </w:r>
    </w:p>
    <w:p w14:paraId="52B0DA8D" w14:textId="77777777" w:rsidR="00DB2B68" w:rsidRDefault="00000000">
      <w:r>
        <w:rPr>
          <w:rStyle w:val="optioncarChar"/>
        </w:rPr>
        <w:t xml:space="preserve">m³ </w:t>
      </w:r>
      <w:r>
        <w:t>(par défaut)</w:t>
      </w:r>
      <w:r>
        <w:rPr>
          <w:rStyle w:val="optioncarChar"/>
        </w:rPr>
        <w:t xml:space="preserve"> / pce / m / -</w:t>
      </w:r>
      <w:r>
        <w:br/>
      </w:r>
    </w:p>
    <w:p w14:paraId="65BD3959" w14:textId="77777777" w:rsidR="00DB2B68" w:rsidRDefault="00000000">
      <w:pPr>
        <w:pStyle w:val="pheading"/>
      </w:pPr>
      <w:r>
        <w:t>- code de mesurage:</w:t>
      </w:r>
    </w:p>
    <w:p w14:paraId="274DFB47" w14:textId="77777777" w:rsidR="00DB2B68" w:rsidRDefault="00000000">
      <w:r>
        <w:t>volume net, mesuré selon les dimensions nominales indiquées sur les plans.</w:t>
      </w:r>
    </w:p>
    <w:p w14:paraId="75AD9481" w14:textId="77777777" w:rsidR="00DB2B68"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1F26FE2B" w14:textId="77777777" w:rsidR="00DB2B68" w:rsidRDefault="00000000">
      <w:pPr>
        <w:pStyle w:val="Author-eListParagraph"/>
        <w:numPr>
          <w:ilvl w:val="0"/>
          <w:numId w:val="365"/>
        </w:numPr>
      </w:pPr>
      <w:r>
        <w:t>le volume des armatures,</w:t>
      </w:r>
    </w:p>
    <w:p w14:paraId="35F18147" w14:textId="77777777" w:rsidR="00DB2B68" w:rsidRDefault="00000000">
      <w:pPr>
        <w:pStyle w:val="Author-eListParagraph"/>
        <w:numPr>
          <w:ilvl w:val="0"/>
          <w:numId w:val="365"/>
        </w:numPr>
      </w:pPr>
      <w:r>
        <w:t>les blocs et écarteurs, les fourreaux pour les armatures de précontrainte ;</w:t>
      </w:r>
    </w:p>
    <w:p w14:paraId="0CF9497A" w14:textId="77777777" w:rsidR="00DB2B68" w:rsidRDefault="00000000">
      <w:pPr>
        <w:pStyle w:val="Author-eListParagraph"/>
        <w:numPr>
          <w:ilvl w:val="0"/>
          <w:numId w:val="365"/>
        </w:numPr>
      </w:pPr>
      <w:r>
        <w:t>les pénétrations pour les pattes d’ancrage, les creux, les conduites noyées et les réservations dont le volume est inférieur à 0,05 m</w:t>
      </w:r>
      <w:r>
        <w:rPr>
          <w:vertAlign w:val="superscript"/>
        </w:rPr>
        <w:t>3</w:t>
      </w:r>
      <w:r>
        <w:t>.</w:t>
      </w:r>
    </w:p>
    <w:p w14:paraId="52848823" w14:textId="77777777" w:rsidR="00DB2B68" w:rsidRDefault="00000000">
      <w:pPr>
        <w:pStyle w:val="Author-eListParagraph"/>
        <w:numPr>
          <w:ilvl w:val="0"/>
          <w:numId w:val="365"/>
        </w:numPr>
      </w:pPr>
      <w:r>
        <w:t>les chanfreins et tous les profils dont la section a une superficie inférieure à 20 cm</w:t>
      </w:r>
      <w:r>
        <w:rPr>
          <w:vertAlign w:val="superscript"/>
        </w:rPr>
        <w:t>2</w:t>
      </w:r>
      <w:r>
        <w:t>.</w:t>
      </w:r>
    </w:p>
    <w:p w14:paraId="4167971C" w14:textId="77777777" w:rsidR="00DB2B68" w:rsidRDefault="00000000">
      <w:pPr>
        <w:pStyle w:val="Author-eListParagraph"/>
        <w:numPr>
          <w:ilvl w:val="0"/>
          <w:numId w:val="365"/>
        </w:numPr>
      </w:pPr>
      <w:r>
        <w:t>les rainures, encoches et languettes.</w:t>
      </w:r>
    </w:p>
    <w:p w14:paraId="3E1CD255" w14:textId="77777777" w:rsidR="00DB2B68" w:rsidRDefault="00000000">
      <w:r>
        <w:t>Sont toujours compris dans le prix unitaire outre les éléments préfabriqués, les armatures qui y sont incorporées, les moyens de support, de fixation et d’appui, le béton, ainsi que les armatures posées sur place pour des raisons de stabilité</w:t>
      </w:r>
    </w:p>
    <w:p w14:paraId="72BDD374" w14:textId="77777777" w:rsidR="00DB2B68" w:rsidRDefault="00000000">
      <w:pPr>
        <w:pStyle w:val="pheading"/>
      </w:pPr>
      <w:r>
        <w:t>- nature du marché:</w:t>
      </w:r>
    </w:p>
    <w:p w14:paraId="7765FB67" w14:textId="77777777" w:rsidR="00DB2B68" w:rsidRDefault="00000000">
      <w:r>
        <w:rPr>
          <w:rStyle w:val="optioncarChar"/>
        </w:rPr>
        <w:t xml:space="preserve">QF </w:t>
      </w:r>
      <w:r>
        <w:t xml:space="preserve">(par défaut) </w:t>
      </w:r>
      <w:r>
        <w:rPr>
          <w:rStyle w:val="optioncarChar"/>
        </w:rPr>
        <w:t>/ QP / PM</w:t>
      </w:r>
    </w:p>
    <w:p w14:paraId="1E6A9EC6" w14:textId="77777777" w:rsidR="00DB2B68" w:rsidRDefault="00000000">
      <w:pPr>
        <w:pStyle w:val="Author-eSectionHeading6Numberless"/>
      </w:pPr>
      <w:bookmarkStart w:id="613" w:name="_Toc220495690"/>
      <w:r>
        <w:t>22.11.3b Poutres préfabriquées en treillis en béton armé CCTB 01.02</w:t>
      </w:r>
      <w:bookmarkEnd w:id="613"/>
    </w:p>
    <w:p w14:paraId="7B59CB3F" w14:textId="77777777" w:rsidR="00DB2B68" w:rsidRDefault="00000000">
      <w:pPr>
        <w:pStyle w:val="Author-eSectionHeading6Numberless"/>
      </w:pPr>
      <w:bookmarkStart w:id="614" w:name="_Toc220495691"/>
      <w:r>
        <w:t>22.11.3c Poutres préfabriquées en béton précontraint CCTB 01.13</w:t>
      </w:r>
      <w:bookmarkEnd w:id="614"/>
    </w:p>
    <w:p w14:paraId="3ED72E5E" w14:textId="77777777" w:rsidR="00DB2B68" w:rsidRDefault="00000000">
      <w:pPr>
        <w:pStyle w:val="pheading"/>
      </w:pPr>
      <w:r>
        <w:t>DESCRIPTION</w:t>
      </w:r>
    </w:p>
    <w:p w14:paraId="601A9700" w14:textId="77777777" w:rsidR="00DB2B68" w:rsidRDefault="00000000">
      <w:pPr>
        <w:pStyle w:val="pheading"/>
      </w:pPr>
      <w:r>
        <w:t>- Définition / Comprend</w:t>
      </w:r>
    </w:p>
    <w:p w14:paraId="771FC672" w14:textId="77777777" w:rsidR="00DB2B68" w:rsidRDefault="00000000">
      <w:r>
        <w:t xml:space="preserve">Il s'agit de toutes les poutres en béton précontraint qui sont obligatoirement préfabriquées dans une usine suivant la définition reprise dans les généralités, et sont assemblées sur chantier aux ouvrages de construction déjà exécutés ( voir également </w:t>
      </w:r>
      <w:hyperlink w:anchor="87" w:history="1">
        <w:r>
          <w:rPr>
            <w:color w:val="0000EE"/>
          </w:rPr>
          <w:t>22 Superstructures en béton</w:t>
        </w:r>
      </w:hyperlink>
      <w:r>
        <w:t>).</w:t>
      </w:r>
    </w:p>
    <w:p w14:paraId="190CEF63" w14:textId="77777777" w:rsidR="00DB2B68" w:rsidRDefault="00000000">
      <w:r>
        <w:t>Les éléments sont fabriqués suivant les spécifications de la norme [NBN EN 13225] et la [NBN B 21-604].</w:t>
      </w:r>
    </w:p>
    <w:p w14:paraId="20487911" w14:textId="77777777" w:rsidR="00DB2B68" w:rsidRDefault="00000000">
      <w:pPr>
        <w:ind w:left="750"/>
      </w:pPr>
      <w:r>
        <w:t> </w:t>
      </w:r>
    </w:p>
    <w:p w14:paraId="17593B53" w14:textId="77777777" w:rsidR="00DB2B68" w:rsidRDefault="00000000">
      <w:pPr>
        <w:pStyle w:val="pheading"/>
      </w:pPr>
      <w:r>
        <w:t>MATÉRIAUX</w:t>
      </w:r>
    </w:p>
    <w:p w14:paraId="554590D4" w14:textId="77777777" w:rsidR="00DB2B68" w:rsidRDefault="00000000">
      <w:pPr>
        <w:pStyle w:val="pheading"/>
      </w:pPr>
      <w:r>
        <w:t>- Caractéristiques générales</w:t>
      </w:r>
    </w:p>
    <w:p w14:paraId="68D1FF43" w14:textId="77777777" w:rsidR="00DB2B68" w:rsidRDefault="00000000">
      <w:r>
        <w:t>Classe de résistance à la compression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lastRenderedPageBreak/>
        <w:t>E0 </w:t>
      </w:r>
      <w:r>
        <w:t>(par défaut)</w:t>
      </w:r>
      <w:r>
        <w:rPr>
          <w:color w:val="FF0000"/>
        </w:rPr>
        <w:t xml:space="preserve"> / EI / EE1 / EE2 / EE3 / EE4 / ES1 / ES2 / ES3 / ES4 / EA1+*** / EA2+***/ EA3+*** / ***</w:t>
      </w:r>
    </w:p>
    <w:p w14:paraId="5B3A9CE8" w14:textId="77777777" w:rsidR="00DB2B68" w:rsidRDefault="00DB2B68"/>
    <w:p w14:paraId="72A25BE0" w14:textId="77777777" w:rsidR="00DB2B68" w:rsidRDefault="00000000">
      <w:pPr>
        <w:pStyle w:val="pheading"/>
      </w:pPr>
      <w:r>
        <w:t>- Finitions</w:t>
      </w:r>
    </w:p>
    <w:p w14:paraId="59AB9A48" w14:textId="77777777" w:rsidR="00DB2B68" w:rsidRDefault="00000000">
      <w:r>
        <w:t xml:space="preserve">La surface de béton est </w:t>
      </w:r>
      <w:r>
        <w:rPr>
          <w:rStyle w:val="optioncarChar"/>
        </w:rPr>
        <w:t>brute et lisse </w:t>
      </w:r>
      <w:r>
        <w:t>(par défaut)</w:t>
      </w:r>
      <w:r>
        <w:rPr>
          <w:rStyle w:val="optioncarChar"/>
        </w:rPr>
        <w:t xml:space="preserve"> / structurée / ***</w:t>
      </w:r>
      <w:r>
        <w:br/>
      </w:r>
      <w:r>
        <w:br/>
      </w:r>
      <w:r>
        <w:rPr>
          <w:u w:val="single"/>
        </w:rPr>
        <w:t>Terminaison des arêtes</w:t>
      </w:r>
      <w:r>
        <w:br/>
        <w:t xml:space="preserve">Les arêtes saillantes des poutres sont </w:t>
      </w:r>
      <w:r>
        <w:rPr>
          <w:rStyle w:val="optioncarChar"/>
        </w:rPr>
        <w:t>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274AAA61" w14:textId="77777777" w:rsidR="00DB2B68" w:rsidRDefault="00000000">
      <w:r>
        <w:t xml:space="preserve">Les arêtes rentrantes des poutres sont </w:t>
      </w:r>
      <w:r>
        <w:rPr>
          <w:rStyle w:val="optioncarChar"/>
        </w:rPr>
        <w:t>vives </w:t>
      </w:r>
      <w:r>
        <w:t>(par défaut)</w:t>
      </w:r>
      <w:r>
        <w:rPr>
          <w:rStyle w:val="optioncarChar"/>
        </w:rPr>
        <w:t xml:space="preserve"> /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 xml:space="preserve">(par défaut) </w:t>
      </w:r>
      <w:r>
        <w:rPr>
          <w:rStyle w:val="optioncarChar"/>
        </w:rPr>
        <w:t>/ 1 / 2 / 3</w:t>
      </w:r>
    </w:p>
    <w:p w14:paraId="76770621" w14:textId="77777777" w:rsidR="00DB2B68" w:rsidRDefault="00000000">
      <w:pPr>
        <w:ind w:left="435"/>
      </w:pPr>
      <w:r>
        <w:t> </w:t>
      </w:r>
    </w:p>
    <w:p w14:paraId="4F331759" w14:textId="77777777" w:rsidR="00DB2B68" w:rsidRDefault="00000000">
      <w:pPr>
        <w:pStyle w:val="pheading"/>
      </w:pPr>
      <w:r>
        <w:t>- Prescriptions complémentaires</w:t>
      </w:r>
    </w:p>
    <w:p w14:paraId="761398CE" w14:textId="77777777" w:rsidR="00DB2B68" w:rsidRDefault="00000000">
      <w:r>
        <w:t xml:space="preserve">Résistance au feu : </w:t>
      </w:r>
      <w:r>
        <w:rPr>
          <w:rStyle w:val="optioncarChar"/>
        </w:rPr>
        <w:t>R30 </w:t>
      </w:r>
      <w:r>
        <w:t>(par défaut)</w:t>
      </w:r>
      <w:r>
        <w:rPr>
          <w:rStyle w:val="optioncarChar"/>
        </w:rPr>
        <w:t xml:space="preserve"> / R60 / R120 / R240 / ***</w:t>
      </w:r>
      <w:r>
        <w:t> suivant la déclaration de performance (DoP) selon la norme produit [NBN EN 13225] et [NBN B 21-604].</w:t>
      </w:r>
    </w:p>
    <w:p w14:paraId="68DA111E" w14:textId="77777777" w:rsidR="00DB2B68" w:rsidRDefault="00000000">
      <w:r>
        <w:t>Si la résistance au feu n’est pas déclarée sous marquage CE, elle est démontrée par test au feu selon la [NBN EN 13501-2] ou par calcul selon les Eurocodes conformément à l’[AM 2013-05-17]</w:t>
      </w:r>
    </w:p>
    <w:p w14:paraId="10CF9686" w14:textId="77777777" w:rsidR="00DB2B68" w:rsidRDefault="00000000">
      <w:pPr>
        <w:pStyle w:val="pheading"/>
      </w:pPr>
      <w:r>
        <w:t>EXÉCUTION / MISE EN ŒUVRE</w:t>
      </w:r>
    </w:p>
    <w:p w14:paraId="06CE585E" w14:textId="77777777" w:rsidR="00DB2B68" w:rsidRDefault="00000000">
      <w:pPr>
        <w:pStyle w:val="pheading"/>
      </w:pPr>
      <w:r>
        <w:t>- Prescriptions générales</w:t>
      </w:r>
    </w:p>
    <w:p w14:paraId="3520BEC7" w14:textId="77777777" w:rsidR="00DB2B68" w:rsidRDefault="00000000">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r>
      <w:r>
        <w:lastRenderedPageBreak/>
        <w:t>L’entrepreneur veille à ce que la répartition des charges à l’appui de la poutre soit uniforme et compatible avec le support. Les longueurs d’appui sont proportionnées à la portée, aux charges et au type de support suivant le calcul du bureau d’études.</w:t>
      </w:r>
    </w:p>
    <w:p w14:paraId="4443ADB6" w14:textId="77777777" w:rsidR="00DB2B68" w:rsidRDefault="00000000">
      <w:pPr>
        <w:pStyle w:val="pheading"/>
      </w:pPr>
      <w:r>
        <w:t>- Notes d’exécution complémentaires</w:t>
      </w:r>
    </w:p>
    <w:p w14:paraId="736BFBA7" w14:textId="77777777" w:rsidR="00DB2B68" w:rsidRDefault="00000000">
      <w:r>
        <w:t>Ponts thermiques / isolation thermique : des dispositifs adéquats sont utilisés pour éviter tout pont thermique.</w:t>
      </w:r>
    </w:p>
    <w:p w14:paraId="10A21C06" w14:textId="77777777" w:rsidR="00DB2B68" w:rsidRDefault="00000000">
      <w:pPr>
        <w:pStyle w:val="pheading"/>
      </w:pPr>
      <w:r>
        <w:t>MESURAGE</w:t>
      </w:r>
    </w:p>
    <w:p w14:paraId="3619CA74" w14:textId="77777777" w:rsidR="00DB2B68" w:rsidRDefault="00000000">
      <w:r>
        <w:t>Conformément aux indications spécifiques dans le cahier spécial des charges et/ou le métré récapitulatif, le mesurage est conçu comme suit :</w:t>
      </w:r>
    </w:p>
    <w:p w14:paraId="1678876E" w14:textId="77777777" w:rsidR="00DB2B68" w:rsidRDefault="00000000">
      <w:pPr>
        <w:pStyle w:val="pheading"/>
      </w:pPr>
      <w:r>
        <w:t>- unité de mesure:</w:t>
      </w:r>
    </w:p>
    <w:p w14:paraId="28F03EC9" w14:textId="77777777" w:rsidR="00DB2B68" w:rsidRDefault="00000000">
      <w:r>
        <w:t> </w:t>
      </w:r>
      <w:r>
        <w:rPr>
          <w:rStyle w:val="optioncarChar"/>
        </w:rPr>
        <w:t xml:space="preserve">m³ </w:t>
      </w:r>
      <w:r>
        <w:t>(par défaut)</w:t>
      </w:r>
      <w:r>
        <w:rPr>
          <w:rStyle w:val="optioncarChar"/>
        </w:rPr>
        <w:t xml:space="preserve"> / pce / m / -</w:t>
      </w:r>
    </w:p>
    <w:p w14:paraId="23A564DC" w14:textId="77777777" w:rsidR="00DB2B68" w:rsidRDefault="00000000">
      <w:pPr>
        <w:pStyle w:val="pheading"/>
      </w:pPr>
      <w:r>
        <w:t>- code de mesurage:</w:t>
      </w:r>
    </w:p>
    <w:p w14:paraId="1B1B1C79" w14:textId="77777777" w:rsidR="00DB2B68" w:rsidRDefault="00000000">
      <w:r>
        <w:t>volume net, mesuré selon les dimensions nominales indiquées sur les plans.</w:t>
      </w:r>
    </w:p>
    <w:p w14:paraId="7A200B8B" w14:textId="77777777" w:rsidR="00DB2B68"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3A67DF8A" w14:textId="77777777" w:rsidR="00DB2B68" w:rsidRDefault="00000000">
      <w:pPr>
        <w:pStyle w:val="Author-eListParagraph"/>
        <w:numPr>
          <w:ilvl w:val="0"/>
          <w:numId w:val="366"/>
        </w:numPr>
      </w:pPr>
      <w:r>
        <w:t>le volume des armatures,</w:t>
      </w:r>
    </w:p>
    <w:p w14:paraId="3DF77757" w14:textId="77777777" w:rsidR="00DB2B68" w:rsidRDefault="00000000">
      <w:pPr>
        <w:pStyle w:val="Author-eListParagraph"/>
        <w:numPr>
          <w:ilvl w:val="0"/>
          <w:numId w:val="366"/>
        </w:numPr>
      </w:pPr>
      <w:r>
        <w:t>les blocs et écarteurs, les fourreaux pour les armatures de précontrainte ;</w:t>
      </w:r>
    </w:p>
    <w:p w14:paraId="59AA2603" w14:textId="77777777" w:rsidR="00DB2B68" w:rsidRDefault="00000000">
      <w:pPr>
        <w:pStyle w:val="Author-eListParagraph"/>
        <w:numPr>
          <w:ilvl w:val="0"/>
          <w:numId w:val="366"/>
        </w:numPr>
      </w:pPr>
      <w:r>
        <w:t>les pénétrations pour les pattes d’ancrage, les creux, les conduites noyées et les réservations dont le volume est inférieur à 0,05 m</w:t>
      </w:r>
      <w:r>
        <w:rPr>
          <w:vertAlign w:val="superscript"/>
        </w:rPr>
        <w:t>3</w:t>
      </w:r>
      <w:r>
        <w:t>.</w:t>
      </w:r>
    </w:p>
    <w:p w14:paraId="6F812005" w14:textId="77777777" w:rsidR="00DB2B68" w:rsidRDefault="00000000">
      <w:pPr>
        <w:pStyle w:val="Author-eListParagraph"/>
        <w:numPr>
          <w:ilvl w:val="0"/>
          <w:numId w:val="366"/>
        </w:numPr>
      </w:pPr>
      <w:r>
        <w:t>les chanfreins et tous les profils dont la section a une superficie inférieure à 20 cm</w:t>
      </w:r>
      <w:r>
        <w:rPr>
          <w:vertAlign w:val="superscript"/>
        </w:rPr>
        <w:t>2</w:t>
      </w:r>
      <w:r>
        <w:t>.</w:t>
      </w:r>
    </w:p>
    <w:p w14:paraId="47B66557" w14:textId="77777777" w:rsidR="00DB2B68" w:rsidRDefault="00000000">
      <w:pPr>
        <w:pStyle w:val="Author-eListParagraph"/>
        <w:numPr>
          <w:ilvl w:val="0"/>
          <w:numId w:val="366"/>
        </w:numPr>
      </w:pPr>
      <w:r>
        <w:t>les rainures, encoches et languettes.</w:t>
      </w:r>
    </w:p>
    <w:p w14:paraId="3B5A8875" w14:textId="77777777" w:rsidR="00DB2B68" w:rsidRDefault="00000000">
      <w:r>
        <w:t>Sont toujours compris dans le prix unitaire outre les éléments préfabriqués, les armatures qui y sont incorporées, les moyens de support, de fixation et d’appui, le béton, ainsi que les armatures posées sur place pour des raisons de stabilité</w:t>
      </w:r>
    </w:p>
    <w:p w14:paraId="1B31BFC8" w14:textId="77777777" w:rsidR="00DB2B68" w:rsidRDefault="00000000">
      <w:pPr>
        <w:pStyle w:val="pheading"/>
      </w:pPr>
      <w:r>
        <w:t>- nature du marché:</w:t>
      </w:r>
    </w:p>
    <w:p w14:paraId="5E9715E0" w14:textId="77777777" w:rsidR="00DB2B68" w:rsidRDefault="00000000">
      <w:r>
        <w:rPr>
          <w:rStyle w:val="optioncarChar"/>
        </w:rPr>
        <w:t xml:space="preserve">QF </w:t>
      </w:r>
      <w:r>
        <w:t xml:space="preserve">(par défaut) </w:t>
      </w:r>
      <w:r>
        <w:rPr>
          <w:rStyle w:val="optioncarChar"/>
        </w:rPr>
        <w:t>/ QP/ PM</w:t>
      </w:r>
    </w:p>
    <w:p w14:paraId="652F1162" w14:textId="77777777" w:rsidR="00DB2B68" w:rsidRDefault="00000000">
      <w:pPr>
        <w:pStyle w:val="Author-eSectionHeading6Numberless"/>
      </w:pPr>
      <w:bookmarkStart w:id="615" w:name="_Toc220495692"/>
      <w:r>
        <w:t>22.11.3d Poutres préfabriquées en béton cellulaire CCTB 01.13</w:t>
      </w:r>
      <w:bookmarkEnd w:id="615"/>
    </w:p>
    <w:p w14:paraId="59BAC2BA" w14:textId="77777777" w:rsidR="00DB2B68" w:rsidRDefault="00000000">
      <w:pPr>
        <w:pStyle w:val="pheading"/>
      </w:pPr>
      <w:r>
        <w:t>DESCRIPTION</w:t>
      </w:r>
    </w:p>
    <w:p w14:paraId="6CCD4983" w14:textId="77777777" w:rsidR="00DB2B68" w:rsidRDefault="00000000">
      <w:pPr>
        <w:pStyle w:val="pheading"/>
      </w:pPr>
      <w:r>
        <w:t>- Définition / Comprend</w:t>
      </w:r>
    </w:p>
    <w:p w14:paraId="1A8A0EAB" w14:textId="77777777" w:rsidR="00DB2B68" w:rsidRDefault="00000000">
      <w:r>
        <w:t xml:space="preserve">Il s'agit de toutes les poutres en béton cellulaire qui sont obligatoirement préfabriquées dans une usine suivant la définition reprise dans les généralités, et sont assemblées sur chantier aux ouvrages de construction déjà exécutés ( voir également </w:t>
      </w:r>
      <w:hyperlink w:anchor="87" w:history="1">
        <w:r>
          <w:rPr>
            <w:color w:val="0000EE"/>
          </w:rPr>
          <w:t>22 Superstructures en béton</w:t>
        </w:r>
      </w:hyperlink>
      <w:r>
        <w:t>).</w:t>
      </w:r>
    </w:p>
    <w:p w14:paraId="3D617523" w14:textId="77777777" w:rsidR="00DB2B68" w:rsidRDefault="00000000">
      <w:r>
        <w:t>Les éléments sont fabriqués suivant les spécifications de la norme [NBN EN 13225] et la [NBN B 21-604] et suivant les spécifications de la norme [NBN EN 12602] et son complément national [NBN B 21-004].</w:t>
      </w:r>
    </w:p>
    <w:p w14:paraId="5ED79056" w14:textId="77777777" w:rsidR="00DB2B68" w:rsidRDefault="00000000">
      <w:pPr>
        <w:ind w:left="750"/>
      </w:pPr>
      <w:r>
        <w:t> </w:t>
      </w:r>
    </w:p>
    <w:p w14:paraId="0EC91E2B" w14:textId="77777777" w:rsidR="00DB2B68" w:rsidRDefault="00000000">
      <w:pPr>
        <w:pStyle w:val="pheading"/>
      </w:pPr>
      <w:r>
        <w:t>MATÉRIAUX</w:t>
      </w:r>
    </w:p>
    <w:p w14:paraId="549712D0" w14:textId="77777777" w:rsidR="00DB2B68" w:rsidRDefault="00000000">
      <w:pPr>
        <w:pStyle w:val="pheading"/>
      </w:pPr>
      <w:r>
        <w:t>- Finitions</w:t>
      </w:r>
    </w:p>
    <w:p w14:paraId="42B9A26F" w14:textId="77777777" w:rsidR="00DB2B68" w:rsidRDefault="00000000">
      <w:r>
        <w:t>Le type de finition de surface est lisse</w:t>
      </w:r>
    </w:p>
    <w:p w14:paraId="6699533D" w14:textId="77777777" w:rsidR="00DB2B68" w:rsidRDefault="00000000">
      <w:pPr>
        <w:pStyle w:val="pheading"/>
      </w:pPr>
      <w:r>
        <w:t>- Prescriptions complémentaires</w:t>
      </w:r>
    </w:p>
    <w:p w14:paraId="231B3FFA" w14:textId="77777777" w:rsidR="00DB2B68" w:rsidRDefault="00000000">
      <w:r>
        <w:lastRenderedPageBreak/>
        <w:t xml:space="preserve">Résistance au feu : </w:t>
      </w:r>
      <w:r>
        <w:rPr>
          <w:rStyle w:val="optioncarChar"/>
        </w:rPr>
        <w:t>R30 </w:t>
      </w:r>
      <w:r>
        <w:t xml:space="preserve">(par défaut) </w:t>
      </w:r>
      <w:r>
        <w:rPr>
          <w:rStyle w:val="optioncarChar"/>
        </w:rPr>
        <w:t>/ R60 / R120 / R240 / ***</w:t>
      </w:r>
      <w:r>
        <w:t xml:space="preserve"> suivant la déclaration de performance (DoP) selon la norme produit [NBN EN 12602] et [NBN B 21-004]</w:t>
      </w:r>
    </w:p>
    <w:p w14:paraId="6772141D" w14:textId="77777777" w:rsidR="00DB2B68" w:rsidRDefault="00000000">
      <w:r>
        <w:t xml:space="preserve">Conductibilité thermique : maximum </w:t>
      </w:r>
      <w:r>
        <w:rPr>
          <w:rStyle w:val="optioncarChar"/>
        </w:rPr>
        <w:t>***</w:t>
      </w:r>
      <w:r>
        <w:t xml:space="preserve"> W/mK</w:t>
      </w:r>
    </w:p>
    <w:p w14:paraId="1E7A8284" w14:textId="77777777" w:rsidR="00DB2B68" w:rsidRDefault="00000000">
      <w:pPr>
        <w:pStyle w:val="pheading"/>
      </w:pPr>
      <w:r>
        <w:t>EXÉCUTION / MISE EN ŒUVRE</w:t>
      </w:r>
    </w:p>
    <w:p w14:paraId="5CEDBD98" w14:textId="77777777" w:rsidR="00DB2B68" w:rsidRDefault="00000000">
      <w:pPr>
        <w:pStyle w:val="pheading"/>
      </w:pPr>
      <w:r>
        <w:t>- Prescriptions générales</w:t>
      </w:r>
    </w:p>
    <w:p w14:paraId="278F608A" w14:textId="77777777" w:rsidR="00DB2B68" w:rsidRDefault="00000000">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42774C53" w14:textId="77777777" w:rsidR="00DB2B68" w:rsidRDefault="00000000">
      <w:pPr>
        <w:pStyle w:val="pheading"/>
      </w:pPr>
      <w:r>
        <w:t>- Notes d’exécution complémentaires</w:t>
      </w:r>
    </w:p>
    <w:p w14:paraId="75B7DCD9" w14:textId="77777777" w:rsidR="00DB2B68" w:rsidRDefault="00000000">
      <w:r>
        <w:t>Ponts thermiques / isolation thermique : des dispositifs adéquats sont utilisés pour éviter tout pont thermique.</w:t>
      </w:r>
    </w:p>
    <w:p w14:paraId="29A062BA" w14:textId="77777777" w:rsidR="00DB2B68" w:rsidRDefault="00000000">
      <w:pPr>
        <w:pStyle w:val="pheading"/>
      </w:pPr>
      <w:r>
        <w:t>MESURAGE</w:t>
      </w:r>
    </w:p>
    <w:p w14:paraId="08F830A5" w14:textId="77777777" w:rsidR="00DB2B68" w:rsidRDefault="00000000">
      <w:r>
        <w:t>Conformément aux indications spécifiques dans le cahier spécial des charges et/ou le métré récapitulatif, le mesurage est conçu comme suit :</w:t>
      </w:r>
    </w:p>
    <w:p w14:paraId="346EF0D3" w14:textId="77777777" w:rsidR="00DB2B68" w:rsidRDefault="00000000">
      <w:pPr>
        <w:pStyle w:val="pheading"/>
      </w:pPr>
      <w:r>
        <w:t>- unité de mesure:</w:t>
      </w:r>
    </w:p>
    <w:p w14:paraId="1F19A20D" w14:textId="77777777" w:rsidR="00DB2B68" w:rsidRDefault="00000000">
      <w:r>
        <w:rPr>
          <w:rStyle w:val="optioncarChar"/>
        </w:rPr>
        <w:t>m³ (par défaut) / pce / m / -</w:t>
      </w:r>
    </w:p>
    <w:p w14:paraId="356A8691" w14:textId="77777777" w:rsidR="00DB2B68" w:rsidRDefault="00000000">
      <w:pPr>
        <w:pStyle w:val="pheading"/>
      </w:pPr>
      <w:r>
        <w:t>- code de mesurage:</w:t>
      </w:r>
    </w:p>
    <w:p w14:paraId="52B94B35" w14:textId="77777777" w:rsidR="00DB2B68" w:rsidRDefault="00000000">
      <w:r>
        <w:t>volume net, mesuré selon les dimensions nominales indiquées sur les plans.</w:t>
      </w:r>
    </w:p>
    <w:p w14:paraId="298704A0" w14:textId="77777777" w:rsidR="00DB2B68" w:rsidRDefault="00000000">
      <w:pPr>
        <w:pStyle w:val="pheading"/>
      </w:pPr>
      <w:r>
        <w:t>- nature du marché:</w:t>
      </w:r>
    </w:p>
    <w:p w14:paraId="3BC935D5" w14:textId="77777777" w:rsidR="00DB2B68" w:rsidRDefault="00000000">
      <w:r>
        <w:rPr>
          <w:rStyle w:val="optioncarChar"/>
        </w:rPr>
        <w:t>QF</w:t>
      </w:r>
      <w:r>
        <w:t xml:space="preserve"> (par défaut) </w:t>
      </w:r>
      <w:r>
        <w:rPr>
          <w:rStyle w:val="optioncarChar"/>
        </w:rPr>
        <w:t>/ QP / PM</w:t>
      </w:r>
      <w:r>
        <w:br/>
      </w:r>
    </w:p>
    <w:p w14:paraId="3122FFB3" w14:textId="77777777" w:rsidR="00DB2B68" w:rsidRDefault="00000000">
      <w:pPr>
        <w:pStyle w:val="Author-eSectionHeading5Numberless"/>
      </w:pPr>
      <w:bookmarkStart w:id="616" w:name="_Toc220495693"/>
      <w:r>
        <w:t>22.11.4 Poutres préfabriquées en béton décoratif / architectonique CCTB 01.04</w:t>
      </w:r>
      <w:bookmarkEnd w:id="616"/>
    </w:p>
    <w:p w14:paraId="26B84F45" w14:textId="77777777" w:rsidR="00DB2B68" w:rsidRDefault="00000000">
      <w:pPr>
        <w:pStyle w:val="Author-eSectionHeading6Numberless"/>
      </w:pPr>
      <w:bookmarkStart w:id="617" w:name="_Toc220495694"/>
      <w:r>
        <w:t>22.11.4a Poutres préfabriquées en béton décoratif / architectonique CCTB 01.13</w:t>
      </w:r>
      <w:bookmarkEnd w:id="617"/>
    </w:p>
    <w:p w14:paraId="07C5CA5C" w14:textId="77777777" w:rsidR="00DB2B68" w:rsidRDefault="00000000">
      <w:pPr>
        <w:pStyle w:val="pheading"/>
      </w:pPr>
      <w:r>
        <w:t>DESCRIPTION</w:t>
      </w:r>
    </w:p>
    <w:p w14:paraId="49F0D90E" w14:textId="77777777" w:rsidR="00DB2B68" w:rsidRDefault="00000000">
      <w:pPr>
        <w:pStyle w:val="pheading"/>
      </w:pPr>
      <w:r>
        <w:t>- Définition / Comprend</w:t>
      </w:r>
    </w:p>
    <w:p w14:paraId="37C3B951" w14:textId="77777777" w:rsidR="00DB2B68" w:rsidRDefault="00000000">
      <w:r>
        <w:t xml:space="preserve">Il s'agit de toutes les poutres en béton armé qui sont obligatoirement préfabriquées dans une usine suivant la définition reprise dans les généralités, et sont assemblées sur chantier aux ouvrages de construction déjà exécutés ( voir également </w:t>
      </w:r>
      <w:hyperlink w:anchor="87" w:history="1">
        <w:r>
          <w:rPr>
            <w:color w:val="0000EE"/>
          </w:rPr>
          <w:t>22 Superstructures en béton</w:t>
        </w:r>
      </w:hyperlink>
      <w:r>
        <w:t xml:space="preserve"> ).</w:t>
      </w:r>
    </w:p>
    <w:p w14:paraId="6AA919FC" w14:textId="77777777" w:rsidR="00DB2B68" w:rsidRDefault="00000000">
      <w:r>
        <w:t>Les éléments sont fabriqués suivant les spécifications de la norme [NBN EN 13225] et la [NBN B 21-604].</w:t>
      </w:r>
    </w:p>
    <w:p w14:paraId="7456D646" w14:textId="77777777" w:rsidR="00DB2B68" w:rsidRDefault="00000000">
      <w:pPr>
        <w:ind w:left="750"/>
      </w:pPr>
      <w:r>
        <w:t> </w:t>
      </w:r>
    </w:p>
    <w:p w14:paraId="426733B1" w14:textId="77777777" w:rsidR="00DB2B68" w:rsidRDefault="00000000">
      <w:pPr>
        <w:pStyle w:val="pheading"/>
      </w:pPr>
      <w:r>
        <w:t>MATÉRIAUX</w:t>
      </w:r>
    </w:p>
    <w:p w14:paraId="0C36D54F" w14:textId="77777777" w:rsidR="00DB2B68" w:rsidRDefault="00000000">
      <w:pPr>
        <w:pStyle w:val="pheading"/>
      </w:pPr>
      <w:r>
        <w:t>- Caractéristiques générales</w:t>
      </w:r>
    </w:p>
    <w:p w14:paraId="2EA20088" w14:textId="77777777" w:rsidR="00DB2B68" w:rsidRDefault="00000000">
      <w:r>
        <w:t>Classe de résistance à la compression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t>E0 </w:t>
      </w:r>
      <w:r>
        <w:t>(par défaut)</w:t>
      </w:r>
      <w:r>
        <w:rPr>
          <w:color w:val="FF0000"/>
        </w:rPr>
        <w:t xml:space="preserve"> / EI / EE1 / EE2 / EE3 / EE4 / ES1 / ES2 / ES3 / ES4 / EA1+*** / EA2+***/ EA3+*** / ***</w:t>
      </w:r>
    </w:p>
    <w:p w14:paraId="17FB2A2A" w14:textId="77777777" w:rsidR="00DB2B68" w:rsidRDefault="00000000">
      <w:pPr>
        <w:pStyle w:val="pheading"/>
      </w:pPr>
      <w:r>
        <w:lastRenderedPageBreak/>
        <w:t>- Finitions</w:t>
      </w:r>
    </w:p>
    <w:p w14:paraId="198D4F0C" w14:textId="77777777" w:rsidR="00DB2B68"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5D1E4544" w14:textId="77777777" w:rsidR="00DB2B68" w:rsidRDefault="00000000">
      <w:r>
        <w:t>Les éléments en béton architectoniques doivent répondre au [PTV 21-601].</w:t>
      </w:r>
    </w:p>
    <w:p w14:paraId="6D542D99" w14:textId="77777777" w:rsidR="00DB2B68" w:rsidRDefault="00000000">
      <w:r>
        <w:t xml:space="preserve">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51663600" w14:textId="77777777" w:rsidR="00DB2B68" w:rsidRDefault="00000000">
      <w:r>
        <w:t>Description détaillée des éléments :</w:t>
      </w:r>
    </w:p>
    <w:p w14:paraId="59327BBC" w14:textId="77777777" w:rsidR="00DB2B68"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00C1BE0E" w14:textId="77777777" w:rsidR="00DB2B68" w:rsidRDefault="00000000">
      <w:r>
        <w:rPr>
          <w:b/>
          <w:i/>
        </w:rPr>
        <w:t> (soit par défaut)</w:t>
      </w:r>
    </w:p>
    <w:p w14:paraId="23A4E200" w14:textId="77777777" w:rsidR="00DB2B68" w:rsidRDefault="00000000">
      <w:r>
        <w:rPr>
          <w:rStyle w:val="soitChar"/>
          <w:u w:val="single"/>
        </w:rPr>
        <w:t>Suivant échantillon disponible</w:t>
      </w:r>
      <w:r>
        <w:rPr>
          <w:rStyle w:val="soitChar"/>
          <w:color w:val="000000"/>
        </w:rPr>
        <w:t> </w:t>
      </w:r>
      <w:r>
        <w:rPr>
          <w:rStyle w:val="optioncarChar"/>
        </w:rPr>
        <w:t>auprès du bureau d’architecte / sur chantier / auprès du fabricant</w:t>
      </w:r>
    </w:p>
    <w:p w14:paraId="077ED559" w14:textId="77777777" w:rsidR="00DB2B68" w:rsidRDefault="00000000">
      <w:r>
        <w:rPr>
          <w:b/>
          <w:i/>
        </w:rPr>
        <w:t> (soit)</w:t>
      </w:r>
    </w:p>
    <w:p w14:paraId="27CB70EB" w14:textId="77777777" w:rsidR="00DB2B68" w:rsidRDefault="00000000">
      <w:r>
        <w:rPr>
          <w:rStyle w:val="soitChar"/>
          <w:u w:val="single"/>
        </w:rPr>
        <w:t>Suivant échantillons à remettre pour approbation par l’architecte: </w:t>
      </w:r>
      <w:r>
        <w:rPr>
          <w:rStyle w:val="optioncarChar"/>
        </w:rPr>
        <w:t xml:space="preserve">gris </w:t>
      </w:r>
      <w:r>
        <w:t>(par défaut) </w:t>
      </w:r>
      <w:r>
        <w:rPr>
          <w:rStyle w:val="optioncarChar"/>
        </w:rPr>
        <w:t>/ blanc / vert / anthracite / rouge / ***</w:t>
      </w:r>
    </w:p>
    <w:p w14:paraId="42B79E55" w14:textId="77777777" w:rsidR="00DB2B68" w:rsidRDefault="00000000">
      <w:r>
        <w:rPr>
          <w:b/>
          <w:i/>
        </w:rPr>
        <w:t>(soit)</w:t>
      </w:r>
    </w:p>
    <w:p w14:paraId="1941F27E" w14:textId="77777777" w:rsidR="00DB2B68" w:rsidRDefault="00000000">
      <w:r>
        <w:rPr>
          <w:rStyle w:val="soitChar"/>
          <w:u w:val="single"/>
        </w:rPr>
        <w:t>Suivant la couleur RAL</w:t>
      </w:r>
      <w:r>
        <w:rPr>
          <w:rStyle w:val="soitChar"/>
        </w:rPr>
        <w:t xml:space="preserve"> se rapprochant le mieux que possible du RAL </w:t>
      </w:r>
      <w:r>
        <w:rPr>
          <w:rStyle w:val="optioncarChar"/>
        </w:rPr>
        <w:t>***</w:t>
      </w:r>
    </w:p>
    <w:p w14:paraId="12009236" w14:textId="77777777" w:rsidR="00DB2B68" w:rsidRDefault="00000000">
      <w:r>
        <w:t> 2.     Texture : </w:t>
      </w:r>
      <w:r>
        <w:rPr>
          <w:rStyle w:val="optioncarChar"/>
        </w:rPr>
        <w:t>suivant échantillon disponible</w:t>
      </w:r>
      <w:r>
        <w:t> (par défaut)</w:t>
      </w:r>
      <w:r>
        <w:rPr>
          <w:rStyle w:val="optioncarChar"/>
        </w:rPr>
        <w:t> / suivant échantillons à remettre pour approbation par l'architecte</w:t>
      </w:r>
    </w:p>
    <w:p w14:paraId="3AF5CB34" w14:textId="77777777" w:rsidR="00DB2B68" w:rsidRDefault="00000000">
      <w:r>
        <w:rPr>
          <w:b/>
          <w:i/>
        </w:rPr>
        <w:t>(soit par défaut)</w:t>
      </w:r>
    </w:p>
    <w:p w14:paraId="02815C77" w14:textId="77777777" w:rsidR="00DB2B68" w:rsidRDefault="00000000">
      <w:r>
        <w:rPr>
          <w:rStyle w:val="soitChar"/>
          <w:u w:val="single"/>
        </w:rPr>
        <w:t>Suivant échantillon disponible</w:t>
      </w:r>
      <w:r>
        <w:rPr>
          <w:color w:val="000000"/>
        </w:rPr>
        <w:t> </w:t>
      </w:r>
      <w:r>
        <w:rPr>
          <w:rStyle w:val="optioncarChar"/>
        </w:rPr>
        <w:t xml:space="preserve">auprès du bureau d’architecte </w:t>
      </w:r>
      <w:r>
        <w:t>(par défaut) </w:t>
      </w:r>
      <w:r>
        <w:rPr>
          <w:rStyle w:val="optioncarChar"/>
        </w:rPr>
        <w:t>/ sur chantier / auprès du fabricant</w:t>
      </w:r>
    </w:p>
    <w:p w14:paraId="37C4FB27" w14:textId="77777777" w:rsidR="00DB2B68" w:rsidRDefault="00000000">
      <w:r>
        <w:rPr>
          <w:b/>
          <w:i/>
        </w:rPr>
        <w:t>(soit)</w:t>
      </w:r>
    </w:p>
    <w:p w14:paraId="1AE3CA4F" w14:textId="77777777" w:rsidR="00DB2B68" w:rsidRDefault="00000000">
      <w:r>
        <w:rPr>
          <w:rStyle w:val="soitChar"/>
          <w:u w:val="single"/>
        </w:rPr>
        <w:t>Echantillons à remettre pour approbation par l’architecte: </w:t>
      </w:r>
    </w:p>
    <w:p w14:paraId="2FD4F997" w14:textId="77777777" w:rsidR="00DB2B68" w:rsidRDefault="00000000">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1877D4DF" w14:textId="77777777" w:rsidR="00DB2B68" w:rsidRDefault="00000000">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482E3FA2" w14:textId="77777777" w:rsidR="00DB2B68" w:rsidRDefault="00000000">
      <w:r>
        <w:t xml:space="preserve">Les arêtes 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lastRenderedPageBreak/>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r>
        <w:br/>
      </w:r>
      <w:r>
        <w:br/>
      </w:r>
      <w:r>
        <w:rPr>
          <w:u w:val="single"/>
        </w:rPr>
        <w:t>Etanchéité</w:t>
      </w:r>
      <w:r>
        <w:br/>
        <w:t>Tous les éléments en béton en contact avec les terres sont</w:t>
      </w:r>
      <w:r>
        <w:rPr>
          <w:rStyle w:val="optioncarChar"/>
        </w:rPr>
        <w:t xml:space="preserve"> traités avec du bitume </w:t>
      </w:r>
      <w:r>
        <w:t>(par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314C14C7" w14:textId="77777777" w:rsidR="00DB2B68" w:rsidRDefault="00000000">
      <w:pPr>
        <w:pStyle w:val="pheading"/>
      </w:pPr>
      <w:r>
        <w:t>- Prescriptions complémentaires</w:t>
      </w:r>
    </w:p>
    <w:p w14:paraId="4EC5D17C" w14:textId="77777777" w:rsidR="00DB2B68" w:rsidRDefault="00000000">
      <w:r>
        <w:t xml:space="preserve">Résistance au feu : </w:t>
      </w:r>
      <w:r>
        <w:rPr>
          <w:rStyle w:val="optioncarChar"/>
        </w:rPr>
        <w:t xml:space="preserve">R30 </w:t>
      </w:r>
      <w:r>
        <w:t>(par défaut) </w:t>
      </w:r>
      <w:r>
        <w:rPr>
          <w:rStyle w:val="optioncarChar"/>
        </w:rPr>
        <w:t>/ R60 / R120 / R240 / ***</w:t>
      </w:r>
      <w:r>
        <w:t xml:space="preserve"> suivant la déclaration de performance (DoP) selon la norme produit [NBN EN 13225] et [NBN B 21-604].</w:t>
      </w:r>
    </w:p>
    <w:p w14:paraId="16026EEC" w14:textId="77777777" w:rsidR="00DB2B68" w:rsidRDefault="00000000">
      <w:r>
        <w:t>Si la résistance au feu n’est pas déclarée sous marquage CE, elle est démontrée par test au feu selon la [NBN EN 13501-2] ou par calcul selon les Eurocodes conformément à l’[AM 2013-05-17]</w:t>
      </w:r>
    </w:p>
    <w:p w14:paraId="76660449" w14:textId="77777777" w:rsidR="00DB2B68" w:rsidRDefault="00000000">
      <w:pPr>
        <w:pStyle w:val="pheading"/>
      </w:pPr>
      <w:r>
        <w:t>EXÉCUTION / MISE EN ŒUVRE</w:t>
      </w:r>
    </w:p>
    <w:p w14:paraId="42BF5955" w14:textId="77777777" w:rsidR="00DB2B68" w:rsidRDefault="00000000">
      <w:pPr>
        <w:pStyle w:val="pheading"/>
      </w:pPr>
      <w:r>
        <w:t>- Prescriptions générales</w:t>
      </w:r>
    </w:p>
    <w:p w14:paraId="41D2F29D" w14:textId="77777777" w:rsidR="00DB2B68" w:rsidRDefault="00000000">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54B2379E" w14:textId="77777777" w:rsidR="00DB2B68" w:rsidRDefault="00DB2B68"/>
    <w:p w14:paraId="540C8648" w14:textId="77777777" w:rsidR="00DB2B68" w:rsidRDefault="00000000">
      <w:pPr>
        <w:pStyle w:val="pheading"/>
      </w:pPr>
      <w:r>
        <w:t>- Notes d’exécution complémentaires</w:t>
      </w:r>
    </w:p>
    <w:p w14:paraId="7F8868D8" w14:textId="77777777" w:rsidR="00DB2B68" w:rsidRDefault="00000000">
      <w:r>
        <w:t>Ponts thermiques / isolation thermique : des dispositifs adéquats sont utilisés pour éviter tout pont thermique.</w:t>
      </w:r>
    </w:p>
    <w:p w14:paraId="2F2B2DDE" w14:textId="77777777" w:rsidR="00DB2B68" w:rsidRDefault="00000000">
      <w:pPr>
        <w:pStyle w:val="pheading"/>
      </w:pPr>
      <w:r>
        <w:t>MESURAGE</w:t>
      </w:r>
    </w:p>
    <w:p w14:paraId="268B59D1" w14:textId="77777777" w:rsidR="00DB2B68" w:rsidRDefault="00000000">
      <w:r>
        <w:t>Conformément aux indications spécifiques dans le cahier spécial des charges et/ou le métré récapitulatif, le mesurage est conçu comme suit :</w:t>
      </w:r>
    </w:p>
    <w:p w14:paraId="4B017B4B" w14:textId="77777777" w:rsidR="00DB2B68" w:rsidRDefault="00000000">
      <w:pPr>
        <w:pStyle w:val="pheading"/>
      </w:pPr>
      <w:r>
        <w:t>- unité de mesure:</w:t>
      </w:r>
    </w:p>
    <w:p w14:paraId="12E3DA52" w14:textId="77777777" w:rsidR="00DB2B68" w:rsidRDefault="00000000">
      <w:r>
        <w:t> </w:t>
      </w:r>
      <w:r>
        <w:rPr>
          <w:rStyle w:val="optioncarChar"/>
        </w:rPr>
        <w:t>m³ (par défaut) / pce / m / -</w:t>
      </w:r>
    </w:p>
    <w:p w14:paraId="4A3B28BF" w14:textId="77777777" w:rsidR="00DB2B68" w:rsidRDefault="00000000">
      <w:pPr>
        <w:pStyle w:val="pheading"/>
      </w:pPr>
      <w:r>
        <w:t>- code de mesurage:</w:t>
      </w:r>
    </w:p>
    <w:p w14:paraId="5A9700A0" w14:textId="77777777" w:rsidR="00DB2B68" w:rsidRDefault="00000000">
      <w:r>
        <w:t>volume net, mesuré selon les dimensions nominales indiquées sur les plans.</w:t>
      </w:r>
    </w:p>
    <w:p w14:paraId="6DFFE0C6" w14:textId="77777777" w:rsidR="00DB2B68"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0C5F064B" w14:textId="77777777" w:rsidR="00DB2B68" w:rsidRDefault="00000000">
      <w:pPr>
        <w:pStyle w:val="Author-eListParagraph"/>
        <w:numPr>
          <w:ilvl w:val="0"/>
          <w:numId w:val="367"/>
        </w:numPr>
      </w:pPr>
      <w:r>
        <w:t>le volume des armatures,</w:t>
      </w:r>
    </w:p>
    <w:p w14:paraId="34811030" w14:textId="77777777" w:rsidR="00DB2B68" w:rsidRDefault="00000000">
      <w:pPr>
        <w:pStyle w:val="Author-eListParagraph"/>
        <w:numPr>
          <w:ilvl w:val="0"/>
          <w:numId w:val="367"/>
        </w:numPr>
      </w:pPr>
      <w:r>
        <w:t>les blocs et écarteurs, les fourreaux pour les armatures de précontrainte ;</w:t>
      </w:r>
    </w:p>
    <w:p w14:paraId="5656C9F8" w14:textId="77777777" w:rsidR="00DB2B68" w:rsidRDefault="00000000">
      <w:pPr>
        <w:pStyle w:val="Author-eListParagraph"/>
        <w:numPr>
          <w:ilvl w:val="0"/>
          <w:numId w:val="367"/>
        </w:numPr>
      </w:pPr>
      <w:r>
        <w:t>les pénétrations pour les pattes d’ancrage, les creux, les conduites noyées et les réservations dont le volume est inférieur à 0,05 m</w:t>
      </w:r>
      <w:r>
        <w:rPr>
          <w:vertAlign w:val="superscript"/>
        </w:rPr>
        <w:t>3</w:t>
      </w:r>
      <w:r>
        <w:t>.</w:t>
      </w:r>
    </w:p>
    <w:p w14:paraId="5A8F0256" w14:textId="77777777" w:rsidR="00DB2B68" w:rsidRDefault="00000000">
      <w:pPr>
        <w:pStyle w:val="Author-eListParagraph"/>
        <w:numPr>
          <w:ilvl w:val="0"/>
          <w:numId w:val="367"/>
        </w:numPr>
      </w:pPr>
      <w:r>
        <w:t>les chanfreins et tous les profils dont la section a une superficie inférieure à 20 cm</w:t>
      </w:r>
      <w:r>
        <w:rPr>
          <w:vertAlign w:val="superscript"/>
        </w:rPr>
        <w:t>2</w:t>
      </w:r>
      <w:r>
        <w:t>.</w:t>
      </w:r>
    </w:p>
    <w:p w14:paraId="3B5995E1" w14:textId="77777777" w:rsidR="00DB2B68" w:rsidRDefault="00000000">
      <w:pPr>
        <w:pStyle w:val="Author-eListParagraph"/>
        <w:numPr>
          <w:ilvl w:val="0"/>
          <w:numId w:val="367"/>
        </w:numPr>
      </w:pPr>
      <w:r>
        <w:t>les rainures, encoches et languettes.</w:t>
      </w:r>
    </w:p>
    <w:p w14:paraId="76D79D25" w14:textId="77777777" w:rsidR="00DB2B68" w:rsidRDefault="00000000">
      <w:r>
        <w:lastRenderedPageBreak/>
        <w:t>Sont toujours compris dans le prix unitaire outre les éléments préfabriqués, les armatures qui y sont incorporées, les moyens de support, de fixation et d’appui, le béton, ainsi que les armatures posées sur place pour des raisons de stabilité.</w:t>
      </w:r>
    </w:p>
    <w:p w14:paraId="48B48E6D" w14:textId="77777777" w:rsidR="00DB2B68" w:rsidRDefault="00000000">
      <w:pPr>
        <w:pStyle w:val="pheading"/>
      </w:pPr>
      <w:r>
        <w:t>- nature du marché:</w:t>
      </w:r>
    </w:p>
    <w:p w14:paraId="51C8BA59" w14:textId="77777777" w:rsidR="00DB2B68" w:rsidRDefault="00000000">
      <w:r>
        <w:rPr>
          <w:rStyle w:val="optioncarChar"/>
        </w:rPr>
        <w:t xml:space="preserve">QF </w:t>
      </w:r>
      <w:r>
        <w:t>(par défaut)</w:t>
      </w:r>
      <w:r>
        <w:rPr>
          <w:rStyle w:val="optioncarChar"/>
        </w:rPr>
        <w:t>  / QP / PM</w:t>
      </w:r>
    </w:p>
    <w:p w14:paraId="1CA1BE81" w14:textId="77777777" w:rsidR="00DB2B68" w:rsidRDefault="00000000">
      <w:pPr>
        <w:pStyle w:val="Author-eSectionHeading5Numberless"/>
      </w:pPr>
      <w:bookmarkStart w:id="618" w:name="_Toc220495695"/>
      <w:r>
        <w:t>22.11.5 Poutres mixtes acier-béton CCTB 01.12</w:t>
      </w:r>
      <w:bookmarkEnd w:id="618"/>
    </w:p>
    <w:p w14:paraId="041609FF" w14:textId="77777777" w:rsidR="00DB2B68" w:rsidRDefault="00000000">
      <w:pPr>
        <w:pStyle w:val="pheading"/>
      </w:pPr>
      <w:bookmarkStart w:id="619" w:name="487"/>
      <w:bookmarkEnd w:id="619"/>
      <w:r>
        <w:t>DESCRIPTION</w:t>
      </w:r>
    </w:p>
    <w:p w14:paraId="5C8A38C7" w14:textId="77777777" w:rsidR="00DB2B68" w:rsidRDefault="00000000">
      <w:pPr>
        <w:pStyle w:val="pheading"/>
      </w:pPr>
      <w:r>
        <w:t>- Définition / Comprend</w:t>
      </w:r>
    </w:p>
    <w:p w14:paraId="3DB10C86" w14:textId="77777777" w:rsidR="00DB2B68" w:rsidRDefault="00000000">
      <w:pPr>
        <w:jc w:val="both"/>
      </w:pPr>
      <w:r>
        <w:t>Les poutres mixtes partiellement ou totalement enrobées sont celles où l'âme de la section en acier au moins est enrobée de béton armé et possédant une connexion entre le béton et les éléments en acier.</w:t>
      </w:r>
    </w:p>
    <w:p w14:paraId="4C3A4F8A" w14:textId="77777777" w:rsidR="00DB2B68" w:rsidRDefault="00DB2B68"/>
    <w:p w14:paraId="740A3952" w14:textId="77777777" w:rsidR="00DB2B68" w:rsidRDefault="00000000">
      <w:pPr>
        <w:pStyle w:val="pheading"/>
      </w:pPr>
      <w:r>
        <w:t>MATÉRIAUX</w:t>
      </w:r>
    </w:p>
    <w:p w14:paraId="4745F6F9" w14:textId="77777777" w:rsidR="00DB2B68" w:rsidRDefault="00000000">
      <w:pPr>
        <w:jc w:val="both"/>
      </w:pPr>
      <w:r>
        <w:rPr>
          <w:b/>
        </w:rPr>
        <w:t>Profilé en acier</w:t>
      </w:r>
    </w:p>
    <w:p w14:paraId="622095C8" w14:textId="77777777" w:rsidR="00DB2B68" w:rsidRDefault="00000000">
      <w:pPr>
        <w:jc w:val="both"/>
      </w:pPr>
      <w:r>
        <w:t>Le profilé en acier peut être :</w:t>
      </w:r>
    </w:p>
    <w:p w14:paraId="171F0601" w14:textId="77777777" w:rsidR="00DB2B68" w:rsidRDefault="00000000">
      <w:pPr>
        <w:pStyle w:val="Author-eListParagraph"/>
        <w:numPr>
          <w:ilvl w:val="0"/>
          <w:numId w:val="368"/>
        </w:numPr>
      </w:pPr>
      <w:r>
        <w:t>une section en I ou H laminée à chaud conforme aux prescriptions  </w:t>
      </w:r>
      <w:hyperlink w:anchor="176" w:history="1">
        <w:r>
          <w:rPr>
            <w:color w:val="0000EE"/>
          </w:rPr>
          <w:t>23.11.1a Poutres en profilés en acier laminés à chaud</w:t>
        </w:r>
      </w:hyperlink>
    </w:p>
    <w:p w14:paraId="1C3620DE" w14:textId="77777777" w:rsidR="00DB2B68" w:rsidRDefault="00000000">
      <w:pPr>
        <w:pStyle w:val="Author-eListParagraph"/>
        <w:numPr>
          <w:ilvl w:val="0"/>
          <w:numId w:val="368"/>
        </w:numPr>
      </w:pPr>
      <w:r>
        <w:t xml:space="preserve">une section en I reconstitué par soudage conforme aux prescriptions </w:t>
      </w:r>
      <w:hyperlink w:anchor="490" w:history="1">
        <w:r>
          <w:rPr>
            <w:color w:val="0000EE"/>
          </w:rPr>
          <w:t>23.11.1b Poutres reconstituées soudées en acier</w:t>
        </w:r>
      </w:hyperlink>
    </w:p>
    <w:p w14:paraId="6397A995" w14:textId="77777777" w:rsidR="00DB2B68" w:rsidRDefault="00000000">
      <w:pPr>
        <w:jc w:val="both"/>
      </w:pPr>
      <w:r>
        <w:t>Les profilés laminés sont conformes à la norme [NBN EN 10365], [NBN EN 10025 série] et [NBN EN 1090-1+A1].</w:t>
      </w:r>
    </w:p>
    <w:p w14:paraId="4C51972A" w14:textId="77777777" w:rsidR="00DB2B68" w:rsidRDefault="00000000">
      <w:pPr>
        <w:jc w:val="both"/>
      </w:pPr>
      <w:r>
        <w:rPr>
          <w:b/>
        </w:rPr>
        <w:t>Béton armé de remplissage</w:t>
      </w:r>
    </w:p>
    <w:p w14:paraId="7120FE85" w14:textId="77777777" w:rsidR="00DB2B68" w:rsidRDefault="00000000">
      <w:pPr>
        <w:jc w:val="both"/>
      </w:pPr>
      <w:r>
        <w:t xml:space="preserve">Le béton armé coulé en place doit être conforme aux prescriptions </w:t>
      </w:r>
      <w:hyperlink w:anchor="87" w:history="1">
        <w:r>
          <w:rPr>
            <w:color w:val="0000EE"/>
          </w:rPr>
          <w:t>22 Superstructures en béton</w:t>
        </w:r>
      </w:hyperlink>
      <w:r>
        <w:t xml:space="preserve"> et </w:t>
      </w:r>
      <w:hyperlink w:anchor="467" w:history="1">
        <w:r>
          <w:rPr>
            <w:color w:val="0000EE"/>
          </w:rPr>
          <w:t>22.11.1a Poutres en béton armé coulé en place</w:t>
        </w:r>
      </w:hyperlink>
    </w:p>
    <w:p w14:paraId="19D13379" w14:textId="77777777" w:rsidR="00DB2B68" w:rsidRDefault="00000000">
      <w:pPr>
        <w:jc w:val="both"/>
      </w:pPr>
      <w:r>
        <w:t xml:space="preserve">Dans le cas d’un béton autoplaçant, il convient de se reporter à </w:t>
      </w:r>
      <w:hyperlink w:anchor="491" w:history="1">
        <w:r>
          <w:rPr>
            <w:color w:val="0000EE"/>
          </w:rPr>
          <w:t>22.15.1a Planchers en dalles pleines de béton armé coulé en place</w:t>
        </w:r>
      </w:hyperlink>
      <w:r>
        <w:t>.</w:t>
      </w:r>
    </w:p>
    <w:p w14:paraId="09B065E1" w14:textId="77777777" w:rsidR="00DB2B68" w:rsidRDefault="00000000">
      <w:pPr>
        <w:jc w:val="both"/>
      </w:pPr>
      <w:r>
        <w:t xml:space="preserve">Les treillis et barres d’armatures en acier doivent être prescrits conformément aux prescriptions données en </w:t>
      </w:r>
      <w:hyperlink w:anchor="232" w:history="1">
        <w:r>
          <w:rPr>
            <w:color w:val="0000EE"/>
          </w:rPr>
          <w:t>22.51 Armatures pour béton</w:t>
        </w:r>
      </w:hyperlink>
      <w:r>
        <w:t>. Il convient d’en déterminer les propriétés par référence à la norme [NBN EN 1992-1-1].</w:t>
      </w:r>
    </w:p>
    <w:p w14:paraId="4F410FB3" w14:textId="77777777" w:rsidR="00DB2B68" w:rsidRDefault="00000000">
      <w:pPr>
        <w:jc w:val="both"/>
      </w:pPr>
      <w:r>
        <w:rPr>
          <w:b/>
        </w:rPr>
        <w:t>Connexion</w:t>
      </w:r>
    </w:p>
    <w:p w14:paraId="0E043141" w14:textId="77777777" w:rsidR="00DB2B68" w:rsidRDefault="00000000">
      <w:pPr>
        <w:jc w:val="both"/>
      </w:pPr>
      <w:r>
        <w:t>Les goujons soudés sont conformes à la norme [NBN EN ISO 13918].</w:t>
      </w:r>
    </w:p>
    <w:p w14:paraId="51E23B51" w14:textId="77777777" w:rsidR="00DB2B68" w:rsidRDefault="00000000">
      <w:pPr>
        <w:jc w:val="both"/>
      </w:pPr>
      <w:r>
        <w:t>Le plan de pose des connecteurs (nombre, dimensions, entre-distance,…) est à définir lors de l’étude de stabilité.</w:t>
      </w:r>
    </w:p>
    <w:p w14:paraId="6F0A6ECF" w14:textId="77777777" w:rsidR="00DB2B68" w:rsidRDefault="00DB2B68"/>
    <w:p w14:paraId="7E49F9F9" w14:textId="77777777" w:rsidR="00DB2B68" w:rsidRDefault="00000000">
      <w:pPr>
        <w:pStyle w:val="pheading"/>
      </w:pPr>
      <w:r>
        <w:t>EXÉCUTION / MISE EN ŒUVRE</w:t>
      </w:r>
    </w:p>
    <w:p w14:paraId="7707D28B" w14:textId="77777777" w:rsidR="00DB2B68" w:rsidRDefault="00000000">
      <w:r>
        <w:t xml:space="preserve">La pose des profilés en acier est conforme aux prescriptions données en </w:t>
      </w:r>
      <w:hyperlink w:anchor="492" w:history="1">
        <w:r>
          <w:rPr>
            <w:color w:val="0000EE"/>
          </w:rPr>
          <w:t>23.11.1 Poutres en acier laminées à chaud</w:t>
        </w:r>
      </w:hyperlink>
      <w:r>
        <w:t>.</w:t>
      </w:r>
      <w:r>
        <w:br/>
        <w:t xml:space="preserve">En ce qui concerne la pose des armatures, le coulage du béton, et le béton de remplissage doivent satisfaire aux prescriptions générales données en </w:t>
      </w:r>
      <w:hyperlink w:anchor="87" w:history="1">
        <w:r>
          <w:rPr>
            <w:color w:val="0000EE"/>
          </w:rPr>
          <w:t>22 Superstructures en béton</w:t>
        </w:r>
      </w:hyperlink>
      <w:r>
        <w:t>.</w:t>
      </w:r>
      <w:r>
        <w:br/>
        <w:t>Le dimensionnement d’une poutre mixte doit être conforme à la [NBN EN 1994-1-1].</w:t>
      </w:r>
    </w:p>
    <w:p w14:paraId="02251FE7" w14:textId="77777777" w:rsidR="00DB2B68" w:rsidRDefault="00DB2B68"/>
    <w:p w14:paraId="654588B4" w14:textId="77777777" w:rsidR="00DB2B68" w:rsidRDefault="00000000">
      <w:pPr>
        <w:pStyle w:val="pheading"/>
      </w:pPr>
      <w:r>
        <w:t>DOCUMENTS DE RÉFÉRENCE</w:t>
      </w:r>
    </w:p>
    <w:p w14:paraId="379A4C8B" w14:textId="77777777" w:rsidR="00DB2B68" w:rsidRDefault="00000000">
      <w:pPr>
        <w:pStyle w:val="pheading"/>
      </w:pPr>
      <w:r>
        <w:t>- Matériau</w:t>
      </w:r>
    </w:p>
    <w:p w14:paraId="3577313C" w14:textId="77777777" w:rsidR="00DB2B68" w:rsidRDefault="00000000">
      <w:r>
        <w:lastRenderedPageBreak/>
        <w:t>[NBN EN 10365, Profilés en U en aciers laminés à chaud, poutrelles I et H - Dimensions et masses]</w:t>
      </w:r>
    </w:p>
    <w:p w14:paraId="38A8A23D" w14:textId="77777777" w:rsidR="00DB2B68" w:rsidRDefault="00000000">
      <w:r>
        <w:t>[NBN EN 10025-2, Produits laminés à chaud en aciers de construction - Partie 2 : Conditions techniques de livraison pour les aciers de construction non alliés]</w:t>
      </w:r>
    </w:p>
    <w:p w14:paraId="3864D707" w14:textId="77777777" w:rsidR="00DB2B68" w:rsidRDefault="00000000">
      <w:r>
        <w:t>[NBN EN 1090-1+A1, Exécution des structures en acier et des structures en aluminium - Partie 1: Exigences pour l'évaluation de la conformité des éléments structuraux]</w:t>
      </w:r>
    </w:p>
    <w:p w14:paraId="0F99EB5B" w14:textId="77777777" w:rsidR="00DB2B68" w:rsidRDefault="00000000">
      <w:r>
        <w:t>[NBN EN ISO 13918, Soudage - Goujons et bagues céramiques pour le soudage à l'arc des goujons (ISO 13918:2017, Version corrigée 2018-05)]</w:t>
      </w:r>
    </w:p>
    <w:p w14:paraId="1EE6C44C" w14:textId="77777777" w:rsidR="00DB2B68" w:rsidRDefault="00000000">
      <w:r>
        <w:t>[NBN EN 1992-1-1, Eurocode 2: Calcul des structures en béton - Partie 1-1: Règles générales et règles pour les bâtiments (+AC:2010)]</w:t>
      </w:r>
    </w:p>
    <w:p w14:paraId="160560F8" w14:textId="77777777" w:rsidR="00DB2B68" w:rsidRDefault="00000000">
      <w:pPr>
        <w:pStyle w:val="pheading"/>
      </w:pPr>
      <w:r>
        <w:t>- Exécution</w:t>
      </w:r>
    </w:p>
    <w:p w14:paraId="6765B6E6" w14:textId="77777777" w:rsidR="00DB2B68" w:rsidRDefault="00000000">
      <w:r>
        <w:t>[NBN EN 1994-1-1, Eurocode 4: Calcul des structures mixtes acier-béton - Partie 1-1: Règles générales et règles pour les bâtiments (+ AC:2009)] </w:t>
      </w:r>
    </w:p>
    <w:p w14:paraId="44268739" w14:textId="77777777" w:rsidR="00DB2B68" w:rsidRDefault="00000000">
      <w:pPr>
        <w:pStyle w:val="Author-eSectionHeading6Numberless"/>
      </w:pPr>
      <w:bookmarkStart w:id="620" w:name="_Toc220495696"/>
      <w:r>
        <w:t>22.11.5a Poutres mixtes acier-béton coulées en place CCTB 01.13</w:t>
      </w:r>
      <w:bookmarkEnd w:id="620"/>
    </w:p>
    <w:p w14:paraId="151E5E3E" w14:textId="77777777" w:rsidR="00DB2B68" w:rsidRDefault="00000000">
      <w:pPr>
        <w:pStyle w:val="pheading"/>
      </w:pPr>
      <w:r>
        <w:t>DESCRIPTION</w:t>
      </w:r>
    </w:p>
    <w:p w14:paraId="49121D68" w14:textId="77777777" w:rsidR="00DB2B68" w:rsidRDefault="00000000">
      <w:pPr>
        <w:pStyle w:val="pheading"/>
      </w:pPr>
      <w:r>
        <w:t>- Définition / Comprend</w:t>
      </w:r>
    </w:p>
    <w:p w14:paraId="56FEF10D" w14:textId="77777777" w:rsidR="00DB2B68" w:rsidRDefault="00000000">
      <w:pPr>
        <w:jc w:val="both"/>
      </w:pPr>
      <w:r>
        <w:t>Il s'agit de toutes les poutres mixtes dont les phases de ferraillage et de bétonnage sont obligatoirement réalisées sur chantier suivant les exigences reprises dans les généralités (voir également </w:t>
      </w:r>
      <w:hyperlink w:anchor="87" w:history="1">
        <w:r>
          <w:rPr>
            <w:color w:val="0000EE"/>
          </w:rPr>
          <w:t>22 Superstructures en béton</w:t>
        </w:r>
      </w:hyperlink>
      <w:r>
        <w:t>).</w:t>
      </w:r>
    </w:p>
    <w:p w14:paraId="0D726A80" w14:textId="77777777" w:rsidR="00DB2B68" w:rsidRDefault="00000000">
      <w:pPr>
        <w:jc w:val="both"/>
      </w:pPr>
      <w:r>
        <w:t>Les travaux concernent :</w:t>
      </w:r>
    </w:p>
    <w:p w14:paraId="796C5DC1" w14:textId="77777777" w:rsidR="00DB2B68" w:rsidRDefault="00000000">
      <w:pPr>
        <w:pStyle w:val="Author-eListParagraph"/>
        <w:numPr>
          <w:ilvl w:val="0"/>
          <w:numId w:val="369"/>
        </w:numPr>
        <w:jc w:val="both"/>
      </w:pPr>
      <w:r>
        <w:t>l'étude de stabilité (lorsqu'elle est à la charge de l'entrepreneur), y compris les notes de calcul, l'établissement des plans de ferraillage, des plans de pose, …;</w:t>
      </w:r>
    </w:p>
    <w:p w14:paraId="4D55AA3A" w14:textId="77777777" w:rsidR="00DB2B68" w:rsidRDefault="00000000">
      <w:pPr>
        <w:pStyle w:val="Author-eListParagraph"/>
        <w:numPr>
          <w:ilvl w:val="0"/>
          <w:numId w:val="369"/>
        </w:numPr>
        <w:jc w:val="both"/>
      </w:pPr>
      <w:r>
        <w:t>la commande des profilés métalliques selon les normes prescrites, les dimensions et les finitions stipulées ;</w:t>
      </w:r>
    </w:p>
    <w:p w14:paraId="6A70494F" w14:textId="77777777" w:rsidR="00DB2B68" w:rsidRDefault="00000000">
      <w:pPr>
        <w:pStyle w:val="Author-eListParagraph"/>
        <w:numPr>
          <w:ilvl w:val="0"/>
          <w:numId w:val="369"/>
        </w:numPr>
        <w:jc w:val="both"/>
      </w:pPr>
      <w:r>
        <w:t>la pose des coffrages, des cages d’armatures et des goujons connecteurs (par soudure) ainsi que le bétonnage des profilés métalliques ;</w:t>
      </w:r>
    </w:p>
    <w:p w14:paraId="70B95E85" w14:textId="77777777" w:rsidR="00DB2B68" w:rsidRDefault="00000000">
      <w:pPr>
        <w:pStyle w:val="Author-eListParagraph"/>
        <w:numPr>
          <w:ilvl w:val="0"/>
          <w:numId w:val="369"/>
        </w:numPr>
        <w:jc w:val="both"/>
      </w:pPr>
      <w:r>
        <w:t>la livraison des poutres mixtes sur le chantier.</w:t>
      </w:r>
    </w:p>
    <w:p w14:paraId="126C1A11" w14:textId="77777777" w:rsidR="00DB2B68" w:rsidRDefault="00000000">
      <w:pPr>
        <w:pStyle w:val="pheading"/>
      </w:pPr>
      <w:r>
        <w:t>- Localisation</w:t>
      </w:r>
    </w:p>
    <w:p w14:paraId="5830BA7E" w14:textId="77777777" w:rsidR="00DB2B68" w:rsidRDefault="00000000">
      <w:r>
        <w:t xml:space="preserve">Les travaux sont localisés : </w:t>
      </w:r>
      <w:r>
        <w:rPr>
          <w:rStyle w:val="optioncarChar"/>
        </w:rPr>
        <w:t>***</w:t>
      </w:r>
      <w:r>
        <w:t>.</w:t>
      </w:r>
    </w:p>
    <w:p w14:paraId="606F5614" w14:textId="77777777" w:rsidR="00DB2B68" w:rsidRDefault="00000000">
      <w:r>
        <w:t>Voir plans et métrés détaillés</w:t>
      </w:r>
    </w:p>
    <w:p w14:paraId="2A462318" w14:textId="77777777" w:rsidR="00DB2B68" w:rsidRDefault="00000000">
      <w:pPr>
        <w:pStyle w:val="pheading"/>
      </w:pPr>
      <w:r>
        <w:t>MATÉRIAUX</w:t>
      </w:r>
    </w:p>
    <w:p w14:paraId="5FBD23C9" w14:textId="77777777" w:rsidR="00DB2B68" w:rsidRDefault="00000000">
      <w:pPr>
        <w:pStyle w:val="pheading"/>
      </w:pPr>
      <w:r>
        <w:t>- Caractéristiques générales</w:t>
      </w:r>
    </w:p>
    <w:p w14:paraId="7612CE94" w14:textId="77777777" w:rsidR="00DB2B68" w:rsidRDefault="00000000">
      <w:r>
        <w:t xml:space="preserve">Les prescriptions mentionnées en </w:t>
      </w:r>
      <w:hyperlink w:anchor="487" w:history="1">
        <w:r>
          <w:rPr>
            <w:color w:val="0000EE"/>
          </w:rPr>
          <w:t>22.11.5 Poutres mixtes acier-béton</w:t>
        </w:r>
      </w:hyperlink>
      <w:r>
        <w:t> sont d'application.</w:t>
      </w:r>
    </w:p>
    <w:p w14:paraId="4A8BE792" w14:textId="77777777" w:rsidR="00DB2B68" w:rsidRDefault="00000000">
      <w:r>
        <w:t xml:space="preserve">Dans le cas de poutres totalement enrobées, les éléments du coffrage sont composés de panneaux de coffrage (selon les dimensions et le type indiqués sur le plan). Il convient de se reporter aux prescriptions données en </w:t>
      </w:r>
      <w:hyperlink w:anchor="235" w:history="1">
        <w:r>
          <w:rPr>
            <w:color w:val="0000EE"/>
          </w:rPr>
          <w:t>22.53 Coffrages</w:t>
        </w:r>
      </w:hyperlink>
      <w:r>
        <w:t>.</w:t>
      </w:r>
    </w:p>
    <w:p w14:paraId="743FA3C7" w14:textId="77777777" w:rsidR="00DB2B68" w:rsidRDefault="00000000">
      <w:r>
        <w:t>La qualité du béton coulé en place selon la norme [NBN EN 206:2013+A2] et la norme [NBN B 15-001] est :</w:t>
      </w:r>
    </w:p>
    <w:p w14:paraId="487AFE08" w14:textId="77777777" w:rsidR="00DB2B68" w:rsidRDefault="00000000">
      <w:pPr>
        <w:pStyle w:val="Author-eListParagraph"/>
        <w:numPr>
          <w:ilvl w:val="0"/>
          <w:numId w:val="370"/>
        </w:numPr>
      </w:pPr>
      <w:r>
        <w:t xml:space="preserve">Classe de résistance minimale du béton normal : </w:t>
      </w:r>
      <w:r>
        <w:rPr>
          <w:rStyle w:val="optioncarChar"/>
        </w:rPr>
        <w:t xml:space="preserve">C20/25 </w:t>
      </w:r>
      <w:r>
        <w:t xml:space="preserve">(par défaut) </w:t>
      </w:r>
      <w:r>
        <w:rPr>
          <w:rStyle w:val="optioncarChar"/>
        </w:rPr>
        <w:t>/ *** / C60/75</w:t>
      </w:r>
    </w:p>
    <w:p w14:paraId="317052BF" w14:textId="77777777" w:rsidR="00DB2B68" w:rsidRDefault="00000000">
      <w:pPr>
        <w:pStyle w:val="Author-eListParagraph"/>
        <w:numPr>
          <w:ilvl w:val="0"/>
          <w:numId w:val="370"/>
        </w:numPr>
      </w:pPr>
      <w:r>
        <w:t xml:space="preserve">Classe minimale d’environnement : </w:t>
      </w:r>
      <w:r>
        <w:rPr>
          <w:rStyle w:val="optioncarChar"/>
        </w:rPr>
        <w:t xml:space="preserve">EE1 </w:t>
      </w:r>
      <w:r>
        <w:t>(par défaut)</w:t>
      </w:r>
      <w:r>
        <w:rPr>
          <w:rStyle w:val="optioncarChar"/>
        </w:rPr>
        <w:t xml:space="preserve"> / EE2 / EE3</w:t>
      </w:r>
    </w:p>
    <w:p w14:paraId="3D233B0F" w14:textId="77777777" w:rsidR="00DB2B68" w:rsidRDefault="00000000">
      <w:r>
        <w:t xml:space="preserve">Pourcentage d'armatures : </w:t>
      </w:r>
      <w:r>
        <w:rPr>
          <w:rStyle w:val="optioncarChar"/>
        </w:rPr>
        <w:t>***</w:t>
      </w:r>
      <w:r>
        <w:t xml:space="preserve"> kg d'acier par m3 de béton (voir </w:t>
      </w:r>
      <w:hyperlink w:anchor="232" w:history="1">
        <w:r>
          <w:rPr>
            <w:color w:val="0000EE"/>
          </w:rPr>
          <w:t>22.51 Armatures pour béton</w:t>
        </w:r>
      </w:hyperlink>
      <w:r>
        <w:t>).</w:t>
      </w:r>
    </w:p>
    <w:p w14:paraId="0B9D87D8" w14:textId="77777777" w:rsidR="00DB2B68" w:rsidRDefault="00000000">
      <w:pPr>
        <w:pStyle w:val="Author-eListParagraph"/>
        <w:numPr>
          <w:ilvl w:val="0"/>
          <w:numId w:val="371"/>
        </w:numPr>
      </w:pPr>
      <w:r>
        <w:t xml:space="preserve">Barres d’acier pour les armatures principales : </w:t>
      </w:r>
      <w:r>
        <w:rPr>
          <w:rStyle w:val="optioncarChar"/>
        </w:rPr>
        <w:t xml:space="preserve">acier BE 500 S </w:t>
      </w:r>
      <w:r>
        <w:t>(par défaut)</w:t>
      </w:r>
      <w:r>
        <w:rPr>
          <w:rStyle w:val="optioncarChar"/>
        </w:rPr>
        <w:t xml:space="preserve"> / *** selon [NBN A 24-302] et [PTV 302] .</w:t>
      </w:r>
    </w:p>
    <w:p w14:paraId="35711155" w14:textId="77777777" w:rsidR="00DB2B68" w:rsidRDefault="00000000">
      <w:pPr>
        <w:pStyle w:val="Author-eListParagraph"/>
        <w:numPr>
          <w:ilvl w:val="0"/>
          <w:numId w:val="371"/>
        </w:numPr>
      </w:pPr>
      <w:r>
        <w:t xml:space="preserve">Acier pour les étriers : acier </w:t>
      </w:r>
      <w:r>
        <w:rPr>
          <w:rStyle w:val="optioncarChar"/>
        </w:rPr>
        <w:t>DE 500 BS / BE 500 S</w:t>
      </w:r>
    </w:p>
    <w:p w14:paraId="4DB2B5A2" w14:textId="77777777" w:rsidR="00DB2B68" w:rsidRDefault="00000000">
      <w:pPr>
        <w:ind w:left="567"/>
      </w:pPr>
      <w:r>
        <w:rPr>
          <w:b/>
          <w:i/>
        </w:rPr>
        <w:lastRenderedPageBreak/>
        <w:t>(Soit par défaut)</w:t>
      </w:r>
      <w:r>
        <w:br/>
      </w:r>
      <w:r>
        <w:rPr>
          <w:rStyle w:val="soitChar"/>
          <w:u w:val="single"/>
        </w:rPr>
        <w:t>1. DE 500 BS</w:t>
      </w:r>
      <w:r>
        <w:rPr>
          <w:rStyle w:val="soitChar"/>
        </w:rPr>
        <w:t xml:space="preserve"> selon [NBN A 24-303] + [PTV 303]</w:t>
      </w:r>
      <w:r>
        <w:br/>
      </w:r>
      <w:r>
        <w:br/>
      </w:r>
      <w:r>
        <w:rPr>
          <w:b/>
          <w:i/>
        </w:rPr>
        <w:t>(Soit)</w:t>
      </w:r>
      <w:r>
        <w:br/>
      </w:r>
      <w:r>
        <w:rPr>
          <w:rStyle w:val="soitChar"/>
          <w:u w:val="single"/>
        </w:rPr>
        <w:t>2. BE 500 S</w:t>
      </w:r>
      <w:r>
        <w:rPr>
          <w:rStyle w:val="soitChar"/>
        </w:rPr>
        <w:t xml:space="preserve"> selon [NBN A 24-302] + [PTV 302] .</w:t>
      </w:r>
    </w:p>
    <w:p w14:paraId="5BEED3D4" w14:textId="77777777" w:rsidR="00DB2B68" w:rsidRDefault="00000000">
      <w:r>
        <w:br/>
      </w:r>
      <w:r>
        <w:rPr>
          <w:b/>
        </w:rPr>
        <w:t>Connexion</w:t>
      </w:r>
    </w:p>
    <w:p w14:paraId="74414CE5" w14:textId="77777777" w:rsidR="00DB2B68" w:rsidRDefault="00000000">
      <w:r>
        <w:t>La connexion entre le profilé et le béton est assurée par des</w:t>
      </w:r>
      <w:r>
        <w:rPr>
          <w:rStyle w:val="optioncarChar"/>
        </w:rPr>
        <w:t xml:space="preserve"> goujons à tête </w:t>
      </w:r>
      <w:r>
        <w:t>(par défaut)</w:t>
      </w:r>
      <w:r>
        <w:rPr>
          <w:rStyle w:val="optioncarChar"/>
        </w:rPr>
        <w:t>  / étriers soudés sur l’âme / cornières / ***.</w:t>
      </w:r>
    </w:p>
    <w:p w14:paraId="082FE814" w14:textId="77777777" w:rsidR="00DB2B68" w:rsidRDefault="00000000">
      <w:pPr>
        <w:pStyle w:val="pheading"/>
      </w:pPr>
      <w:r>
        <w:t>- Finitions</w:t>
      </w:r>
    </w:p>
    <w:p w14:paraId="30E6F68C" w14:textId="77777777" w:rsidR="00DB2B68" w:rsidRDefault="00000000">
      <w:r>
        <w:t>La surface de béton est</w:t>
      </w:r>
      <w:r>
        <w:rPr>
          <w:rStyle w:val="optioncarChar"/>
        </w:rPr>
        <w:t xml:space="preserve"> brute et lisse </w:t>
      </w:r>
      <w:r>
        <w:t>(par défaut)</w:t>
      </w:r>
      <w:r>
        <w:rPr>
          <w:rStyle w:val="optioncarChar"/>
        </w:rPr>
        <w:t xml:space="preserve"> / structurée / ***</w:t>
      </w:r>
    </w:p>
    <w:p w14:paraId="278D23F0" w14:textId="77777777" w:rsidR="00DB2B68" w:rsidRDefault="00000000">
      <w:pPr>
        <w:pStyle w:val="pheading"/>
      </w:pPr>
      <w:r>
        <w:t>- Prescriptions complémentaires</w:t>
      </w:r>
    </w:p>
    <w:p w14:paraId="6CA8882D" w14:textId="77777777" w:rsidR="00DB2B68" w:rsidRDefault="00000000">
      <w:pPr>
        <w:jc w:val="both"/>
      </w:pPr>
      <w:r>
        <w:rPr>
          <w:rStyle w:val="facultChar"/>
        </w:rPr>
        <w:t xml:space="preserve">Résistance au feu : </w:t>
      </w:r>
      <w:r>
        <w:rPr>
          <w:rStyle w:val="optioncarChar"/>
        </w:rPr>
        <w:t>R30 </w:t>
      </w:r>
      <w:r>
        <w:t>(par défaut)</w:t>
      </w:r>
      <w:r>
        <w:rPr>
          <w:rStyle w:val="optioncarChar"/>
        </w:rPr>
        <w:t xml:space="preserve"> / R60 / R120 / R240 / ***</w:t>
      </w:r>
      <w:r>
        <w:t> </w:t>
      </w:r>
      <w:r>
        <w:rPr>
          <w:rStyle w:val="facultChar"/>
        </w:rPr>
        <w:t>démontrée par test au feu selon la [NBN EN 13501-2] ou par calcul selon les Eurocodes conformément à l’ [AM 2013-05-17], Arrêté ministériel du 17 mai 2013 relatif à l’utilisation des Eurocodes comme méthodes de calcul pour l’évaluation de la résistance au feu d’éléments de construction.</w:t>
      </w:r>
    </w:p>
    <w:p w14:paraId="187D05F5" w14:textId="77777777" w:rsidR="00DB2B68" w:rsidRDefault="00000000">
      <w:pPr>
        <w:pStyle w:val="pheading"/>
      </w:pPr>
      <w:r>
        <w:t>EXÉCUTION / MISE EN ŒUVRE</w:t>
      </w:r>
    </w:p>
    <w:p w14:paraId="0F5A5928" w14:textId="77777777" w:rsidR="00DB2B68" w:rsidRDefault="00000000">
      <w:pPr>
        <w:pStyle w:val="pheading"/>
      </w:pPr>
      <w:r>
        <w:t>- Prescriptions générales</w:t>
      </w:r>
    </w:p>
    <w:p w14:paraId="181AFC25" w14:textId="77777777" w:rsidR="00DB2B68" w:rsidRDefault="00000000">
      <w:r>
        <w:t xml:space="preserve">Les prescriptions mentionnées en </w:t>
      </w:r>
      <w:hyperlink w:anchor="487" w:history="1">
        <w:r>
          <w:rPr>
            <w:color w:val="0000EE"/>
          </w:rPr>
          <w:t>22.11.5 Poutres mixtes acier-béton</w:t>
        </w:r>
      </w:hyperlink>
      <w:r>
        <w:t xml:space="preserve"> sont d’application.</w:t>
      </w:r>
      <w:r>
        <w:br/>
        <w:t>L’étude et les plans d’exécution </w:t>
      </w:r>
      <w:r>
        <w:rPr>
          <w:rStyle w:val="optioncarChar"/>
        </w:rPr>
        <w:t xml:space="preserve">sont </w:t>
      </w:r>
      <w:r>
        <w:t xml:space="preserve">(par défaut) </w:t>
      </w:r>
      <w:r>
        <w:rPr>
          <w:rStyle w:val="optioncarChar"/>
        </w:rPr>
        <w:t>/ ne sont pas</w:t>
      </w:r>
      <w:r>
        <w:t> à charge de l’entreprise.</w:t>
      </w:r>
      <w:r>
        <w:br/>
        <w:t>Les poutres sont fabriquées dans les dimensions indiquées sur les plans d’exécution approuvés.</w:t>
      </w:r>
      <w:r>
        <w:br/>
        <w:t>L’entrepreneur veille à ce que la répartition des charges à l’appui de la poutre soit uniforme et compatible avec le support. </w:t>
      </w:r>
      <w:r>
        <w:br/>
        <w:t xml:space="preserve">La longueur d’appui des poutres en acier est au moins </w:t>
      </w:r>
      <w:r>
        <w:rPr>
          <w:rStyle w:val="optioncarChar"/>
        </w:rPr>
        <w:t>celle obtenue par calcul</w:t>
      </w:r>
      <w:r>
        <w:t xml:space="preserve"> (par défaut) /</w:t>
      </w:r>
      <w:r>
        <w:rPr>
          <w:rStyle w:val="optioncarChar"/>
        </w:rPr>
        <w:t> 20 cm / 30 cm / *** cm</w:t>
      </w:r>
      <w:r>
        <w:t xml:space="preserve"> à chaque extrémité des poutres.</w:t>
      </w:r>
    </w:p>
    <w:p w14:paraId="5E47DC26" w14:textId="77777777" w:rsidR="00DB2B68" w:rsidRDefault="00000000">
      <w:pPr>
        <w:pStyle w:val="pheading"/>
      </w:pPr>
      <w:r>
        <w:t>DOCUMENTS DE RÉFÉRENCE COMPLÉMENTAIRES</w:t>
      </w:r>
    </w:p>
    <w:p w14:paraId="05D58D4D" w14:textId="77777777" w:rsidR="00DB2B68" w:rsidRDefault="00000000">
      <w:pPr>
        <w:pStyle w:val="pheading"/>
      </w:pPr>
      <w:r>
        <w:t>- Matériau</w:t>
      </w:r>
    </w:p>
    <w:p w14:paraId="6C9A813C" w14:textId="77777777" w:rsidR="00DB2B68" w:rsidRDefault="00000000">
      <w:r>
        <w:t>[NBN EN 206:2013+A2, Béton - Spécification, performances, production et conformité]</w:t>
      </w:r>
    </w:p>
    <w:p w14:paraId="7E5CD8D3" w14:textId="77777777" w:rsidR="00DB2B68" w:rsidRDefault="00000000">
      <w:r>
        <w:t>[NBN B 15-001, Béton - Spécification, performances, production et conformité - Complément national à la NBN EN 206:2013+A2:2021]</w:t>
      </w:r>
    </w:p>
    <w:p w14:paraId="4AF70492" w14:textId="77777777" w:rsidR="00DB2B68" w:rsidRDefault="00000000">
      <w:r>
        <w:t>[NBN A 24-302, Produits sidérurgiques - Aciers pour béton armé - Barres lisses et barres à nervures - Fils machine lisses et fils machine à nervures]</w:t>
      </w:r>
    </w:p>
    <w:p w14:paraId="017740DD" w14:textId="77777777" w:rsidR="00DB2B68" w:rsidRDefault="00000000">
      <w:r>
        <w:t>[NBN A 24-303, Produits sidérurgiques - Aciers pour béton armé - Fils écrouis à froid lisses et fils écrouis à froid à nervures]</w:t>
      </w:r>
    </w:p>
    <w:p w14:paraId="5700205F" w14:textId="77777777" w:rsidR="00DB2B68" w:rsidRDefault="00000000">
      <w:r>
        <w:t>[PTV 302, Aciers pour béton armé - barres à nervures ou à empreintes et fils à nervures ou à empreintes à haute ductilité]</w:t>
      </w:r>
    </w:p>
    <w:p w14:paraId="3AE6BE4C" w14:textId="77777777" w:rsidR="00DB2B68" w:rsidRDefault="00000000">
      <w:r>
        <w:t>[PTV 303, Aciers pour béton armé - Fils écrouis à froid à nervures à basse ductilité]</w:t>
      </w:r>
    </w:p>
    <w:p w14:paraId="411F2A1F"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639FD029" w14:textId="77777777" w:rsidR="00DB2B68" w:rsidRDefault="00000000">
      <w:pPr>
        <w:pStyle w:val="pheading"/>
      </w:pPr>
      <w:r>
        <w:t>MESURAGE</w:t>
      </w:r>
    </w:p>
    <w:p w14:paraId="05019A20" w14:textId="77777777" w:rsidR="00DB2B68" w:rsidRDefault="00000000">
      <w:pPr>
        <w:pStyle w:val="pheading"/>
      </w:pPr>
      <w:r>
        <w:t>- unité de mesure:</w:t>
      </w:r>
    </w:p>
    <w:p w14:paraId="29828050" w14:textId="77777777" w:rsidR="00DB2B68" w:rsidRDefault="00000000">
      <w:r>
        <w:t>m³ ; kg ; m² :</w:t>
      </w:r>
    </w:p>
    <w:p w14:paraId="0E8149DE" w14:textId="77777777" w:rsidR="00DB2B68" w:rsidRDefault="00000000">
      <w:r>
        <w:lastRenderedPageBreak/>
        <w:t>m³ pour le béton</w:t>
      </w:r>
      <w:r>
        <w:br/>
        <w:t>kg pour les armatures et les profilés métalliques</w:t>
      </w:r>
      <w:r>
        <w:br/>
        <w:t>m² pour le coffrage</w:t>
      </w:r>
    </w:p>
    <w:p w14:paraId="10FB8419" w14:textId="77777777" w:rsidR="00DB2B68" w:rsidRDefault="00000000">
      <w:pPr>
        <w:pStyle w:val="pheading"/>
      </w:pPr>
      <w:r>
        <w:t>- code de mesurage:</w:t>
      </w:r>
    </w:p>
    <w:p w14:paraId="1C075A46" w14:textId="77777777" w:rsidR="00DB2B68" w:rsidRDefault="00000000">
      <w:pPr>
        <w:jc w:val="both"/>
      </w:pPr>
      <w:r>
        <w:rPr>
          <w:u w:val="single"/>
        </w:rPr>
        <w:t>Quantités nettes</w:t>
      </w:r>
      <w:r>
        <w:t>, mesurées selon les dimensions nominales indiquées sur les plans.</w:t>
      </w:r>
    </w:p>
    <w:p w14:paraId="611EE2D4" w14:textId="77777777" w:rsidR="00DB2B68" w:rsidRDefault="00000000">
      <w:pPr>
        <w:jc w:val="both"/>
      </w:pPr>
      <w:r>
        <w:t>Tous les autres éléments, travaux et fournitures doivent être compris dans les prix unitaires respectifs pour les mesurages précités.</w:t>
      </w:r>
    </w:p>
    <w:p w14:paraId="78F0D014" w14:textId="77777777" w:rsidR="00DB2B68" w:rsidRDefault="00000000">
      <w:pPr>
        <w:pStyle w:val="pheading"/>
      </w:pPr>
      <w:r>
        <w:t>- nature du marché:</w:t>
      </w:r>
    </w:p>
    <w:p w14:paraId="496B9324" w14:textId="77777777" w:rsidR="00DB2B68" w:rsidRDefault="00000000">
      <w:r>
        <w:t>QF</w:t>
      </w:r>
    </w:p>
    <w:p w14:paraId="3EF899EE" w14:textId="77777777" w:rsidR="00DB2B68" w:rsidRDefault="00000000">
      <w:pPr>
        <w:pStyle w:val="Author-eSectionHeading6Numberless"/>
      </w:pPr>
      <w:bookmarkStart w:id="621" w:name="_Toc220495697"/>
      <w:r>
        <w:t>22.11.5b Poutres mixtes acier-béton apparent (esthétique) coulées en place CCTB 01.13</w:t>
      </w:r>
      <w:bookmarkEnd w:id="621"/>
    </w:p>
    <w:p w14:paraId="62360EBC" w14:textId="77777777" w:rsidR="00DB2B68" w:rsidRDefault="00000000">
      <w:pPr>
        <w:pStyle w:val="Author-eSectionHeading6Numberless"/>
      </w:pPr>
      <w:bookmarkStart w:id="622" w:name="_Toc220495698"/>
      <w:r>
        <w:t>22.11.5c Poutres préfabriquées mixtes acier-béton armé CCTB 01.13</w:t>
      </w:r>
      <w:bookmarkEnd w:id="622"/>
    </w:p>
    <w:p w14:paraId="4EE022E1" w14:textId="77777777" w:rsidR="00DB2B68" w:rsidRDefault="00000000">
      <w:pPr>
        <w:pStyle w:val="pheading"/>
      </w:pPr>
      <w:r>
        <w:t>DESCRIPTION</w:t>
      </w:r>
    </w:p>
    <w:p w14:paraId="07A6F0C0" w14:textId="77777777" w:rsidR="00DB2B68" w:rsidRDefault="00000000">
      <w:pPr>
        <w:pStyle w:val="pheading"/>
      </w:pPr>
      <w:r>
        <w:t>- Définition / Comprend</w:t>
      </w:r>
    </w:p>
    <w:p w14:paraId="2A6EB584" w14:textId="77777777" w:rsidR="00DB2B68" w:rsidRDefault="00000000">
      <w:pPr>
        <w:jc w:val="both"/>
      </w:pPr>
      <w:r>
        <w:t>Il s'agit de toutes les poutres mixtes qui sont obligatoirement préfabriquées dans une usine suivant la définition reprise dans les généralités, et sont assemblées sur chantier aux ouvrages de construction déjà exécutés (voir également </w:t>
      </w:r>
      <w:hyperlink w:anchor="87" w:history="1">
        <w:r>
          <w:rPr>
            <w:color w:val="0000EE"/>
          </w:rPr>
          <w:t>22 Superstructures en béton</w:t>
        </w:r>
      </w:hyperlink>
      <w:r>
        <w:t>).</w:t>
      </w:r>
    </w:p>
    <w:p w14:paraId="74365288" w14:textId="77777777" w:rsidR="00DB2B68" w:rsidRDefault="00000000">
      <w:pPr>
        <w:jc w:val="both"/>
      </w:pPr>
      <w:r>
        <w:t>Les travaux concernent :</w:t>
      </w:r>
    </w:p>
    <w:p w14:paraId="6309137B" w14:textId="77777777" w:rsidR="00DB2B68" w:rsidRDefault="00000000">
      <w:pPr>
        <w:pStyle w:val="Author-eListParagraph"/>
        <w:numPr>
          <w:ilvl w:val="0"/>
          <w:numId w:val="372"/>
        </w:numPr>
        <w:jc w:val="both"/>
      </w:pPr>
      <w:r>
        <w:t>l'étude de stabilité (lorsqu'elle est à la charge de l'entrepreneur), y compris les notes de calcul, l'établissement des plans de ferraillage, des plans de pose, …;</w:t>
      </w:r>
    </w:p>
    <w:p w14:paraId="6E3D3B0F" w14:textId="77777777" w:rsidR="00DB2B68" w:rsidRDefault="00000000">
      <w:pPr>
        <w:pStyle w:val="Author-eListParagraph"/>
        <w:numPr>
          <w:ilvl w:val="0"/>
          <w:numId w:val="372"/>
        </w:numPr>
        <w:jc w:val="both"/>
      </w:pPr>
      <w:r>
        <w:t>la commande des poutres préfabriquées selon les normes prescrites, les dimensions et les finitions stipulées ;</w:t>
      </w:r>
    </w:p>
    <w:p w14:paraId="3E0FA570" w14:textId="77777777" w:rsidR="00DB2B68" w:rsidRDefault="00000000">
      <w:pPr>
        <w:pStyle w:val="Author-eListParagraph"/>
        <w:numPr>
          <w:ilvl w:val="0"/>
          <w:numId w:val="372"/>
        </w:numPr>
        <w:jc w:val="both"/>
      </w:pPr>
      <w:r>
        <w:t>la livraison des poutres mixtes sur le chantier.</w:t>
      </w:r>
    </w:p>
    <w:p w14:paraId="794A7E3E" w14:textId="77777777" w:rsidR="00DB2B68" w:rsidRDefault="00000000">
      <w:pPr>
        <w:pStyle w:val="pheading"/>
      </w:pPr>
      <w:r>
        <w:t>- Localisation</w:t>
      </w:r>
    </w:p>
    <w:p w14:paraId="39DA1872" w14:textId="77777777" w:rsidR="00DB2B68" w:rsidRDefault="00000000">
      <w:r>
        <w:t xml:space="preserve">Les travaux sont localisés : </w:t>
      </w:r>
      <w:r>
        <w:rPr>
          <w:rStyle w:val="optioncarChar"/>
        </w:rPr>
        <w:t>***</w:t>
      </w:r>
      <w:r>
        <w:t>.</w:t>
      </w:r>
    </w:p>
    <w:p w14:paraId="7EE89411" w14:textId="77777777" w:rsidR="00DB2B68" w:rsidRDefault="00000000">
      <w:r>
        <w:t>Voir plans et métrés détaillés</w:t>
      </w:r>
    </w:p>
    <w:p w14:paraId="3B855B65" w14:textId="77777777" w:rsidR="00DB2B68" w:rsidRDefault="00000000">
      <w:pPr>
        <w:pStyle w:val="pheading"/>
      </w:pPr>
      <w:r>
        <w:t>MATÉRIAUX</w:t>
      </w:r>
    </w:p>
    <w:p w14:paraId="060FF80E" w14:textId="77777777" w:rsidR="00DB2B68" w:rsidRDefault="00000000">
      <w:pPr>
        <w:pStyle w:val="pheading"/>
      </w:pPr>
      <w:r>
        <w:t>- Caractéristiques générales</w:t>
      </w:r>
    </w:p>
    <w:p w14:paraId="2DABD3B4" w14:textId="77777777" w:rsidR="00DB2B68" w:rsidRDefault="00000000">
      <w:r>
        <w:t>Les prescriptions mentionnées en </w:t>
      </w:r>
      <w:hyperlink w:anchor="487" w:history="1">
        <w:r>
          <w:rPr>
            <w:color w:val="0000EE"/>
          </w:rPr>
          <w:t>22.11.5 Poutres mixtes acier-béton</w:t>
        </w:r>
      </w:hyperlink>
      <w:r>
        <w:t> sont d'application.</w:t>
      </w:r>
    </w:p>
    <w:p w14:paraId="33E57715" w14:textId="77777777" w:rsidR="00DB2B68" w:rsidRDefault="00000000">
      <w:r>
        <w:t>La qualité du béton coulé en place selon la norme [NBN EN 206:2013+A2] et la norme [NBN B 15-001] est :</w:t>
      </w:r>
    </w:p>
    <w:p w14:paraId="0516408B" w14:textId="77777777" w:rsidR="00DB2B68" w:rsidRDefault="00000000">
      <w:pPr>
        <w:pStyle w:val="Author-eListParagraph"/>
        <w:numPr>
          <w:ilvl w:val="0"/>
          <w:numId w:val="373"/>
        </w:numPr>
      </w:pPr>
      <w:r>
        <w:t>Classe de résistance minimale du béton normal : </w:t>
      </w:r>
      <w:r>
        <w:rPr>
          <w:rStyle w:val="optioncarChar"/>
        </w:rPr>
        <w:t>C30/37 </w:t>
      </w:r>
      <w:r>
        <w:t>(par défaut)</w:t>
      </w:r>
      <w:r>
        <w:rPr>
          <w:rStyle w:val="optioncarChar"/>
        </w:rPr>
        <w:t> / C60/75 / ***</w:t>
      </w:r>
    </w:p>
    <w:p w14:paraId="41B6B4CA" w14:textId="77777777" w:rsidR="00DB2B68" w:rsidRDefault="00000000">
      <w:pPr>
        <w:pStyle w:val="Author-eListParagraph"/>
        <w:numPr>
          <w:ilvl w:val="0"/>
          <w:numId w:val="373"/>
        </w:numPr>
      </w:pPr>
      <w:r>
        <w:t>Classe minimale d’environnement : </w:t>
      </w:r>
      <w:r>
        <w:rPr>
          <w:rStyle w:val="optioncarChar"/>
        </w:rPr>
        <w:t>EE1 </w:t>
      </w:r>
      <w:r>
        <w:t>(par défaut)</w:t>
      </w:r>
      <w:r>
        <w:rPr>
          <w:rStyle w:val="optioncarChar"/>
        </w:rPr>
        <w:t> / EE2 / EE3</w:t>
      </w:r>
    </w:p>
    <w:p w14:paraId="19428E3D" w14:textId="77777777" w:rsidR="00DB2B68" w:rsidRDefault="00000000">
      <w:r>
        <w:t>Pourcentage d'armatures : </w:t>
      </w:r>
      <w:r>
        <w:rPr>
          <w:rStyle w:val="optioncarChar"/>
        </w:rPr>
        <w:t>***</w:t>
      </w:r>
      <w:r>
        <w:t> kg d'acier par m3 de béton (voir </w:t>
      </w:r>
      <w:hyperlink w:anchor="232" w:history="1">
        <w:r>
          <w:rPr>
            <w:color w:val="0000EE"/>
          </w:rPr>
          <w:t>22.51 Armatures pour béton</w:t>
        </w:r>
      </w:hyperlink>
      <w:r>
        <w:t>).</w:t>
      </w:r>
    </w:p>
    <w:p w14:paraId="2957805F" w14:textId="77777777" w:rsidR="00DB2B68" w:rsidRDefault="00000000">
      <w:pPr>
        <w:pStyle w:val="Author-eListParagraph"/>
        <w:numPr>
          <w:ilvl w:val="0"/>
          <w:numId w:val="374"/>
        </w:numPr>
      </w:pPr>
      <w:r>
        <w:t>Barres d’acier pour les armatures principales : </w:t>
      </w:r>
      <w:r>
        <w:rPr>
          <w:rStyle w:val="optioncarChar"/>
        </w:rPr>
        <w:t>acier BE 500 S </w:t>
      </w:r>
      <w:r>
        <w:t>(par défaut)</w:t>
      </w:r>
      <w:r>
        <w:rPr>
          <w:rStyle w:val="optioncarChar"/>
        </w:rPr>
        <w:t xml:space="preserve"> / *** </w:t>
      </w:r>
      <w:r>
        <w:t>selon</w:t>
      </w:r>
      <w:r>
        <w:rPr>
          <w:rStyle w:val="optioncarChar"/>
        </w:rPr>
        <w:t> [NBN A 24-302]</w:t>
      </w:r>
      <w:r>
        <w:t> et</w:t>
      </w:r>
      <w:r>
        <w:rPr>
          <w:rStyle w:val="optioncarChar"/>
        </w:rPr>
        <w:t> [PTV 302] .</w:t>
      </w:r>
    </w:p>
    <w:p w14:paraId="1CE4778F" w14:textId="77777777" w:rsidR="00DB2B68" w:rsidRDefault="00000000">
      <w:pPr>
        <w:pStyle w:val="Author-eListParagraph"/>
        <w:numPr>
          <w:ilvl w:val="0"/>
          <w:numId w:val="374"/>
        </w:numPr>
      </w:pPr>
      <w:r>
        <w:t>Acier pour les étriers : acier </w:t>
      </w:r>
      <w:r>
        <w:rPr>
          <w:rStyle w:val="optioncarChar"/>
        </w:rPr>
        <w:t>DE 500 BS / BE 500 S</w:t>
      </w:r>
    </w:p>
    <w:p w14:paraId="03CB6186" w14:textId="77777777" w:rsidR="00DB2B68" w:rsidRDefault="00000000">
      <w:pPr>
        <w:ind w:left="567"/>
      </w:pPr>
      <w:r>
        <w:rPr>
          <w:b/>
          <w:i/>
        </w:rPr>
        <w:t>(Soit par défaut)</w:t>
      </w:r>
      <w:r>
        <w:rPr>
          <w:i/>
        </w:rPr>
        <w:t> </w:t>
      </w:r>
      <w:r>
        <w:br/>
      </w:r>
      <w:r>
        <w:rPr>
          <w:rStyle w:val="soitChar"/>
          <w:u w:val="single"/>
        </w:rPr>
        <w:t>1. DE 500 BS</w:t>
      </w:r>
      <w:r>
        <w:rPr>
          <w:rStyle w:val="soitChar"/>
        </w:rPr>
        <w:t> selon [NBN A 24-303] + [PTV 303]</w:t>
      </w:r>
      <w:r>
        <w:br/>
      </w:r>
      <w:r>
        <w:br/>
      </w:r>
      <w:r>
        <w:rPr>
          <w:b/>
          <w:i/>
        </w:rPr>
        <w:t>(Soit)</w:t>
      </w:r>
      <w:r>
        <w:rPr>
          <w:i/>
        </w:rPr>
        <w:t> </w:t>
      </w:r>
      <w:r>
        <w:br/>
      </w:r>
      <w:r>
        <w:rPr>
          <w:rStyle w:val="soitChar"/>
          <w:u w:val="single"/>
        </w:rPr>
        <w:t>2. BE 500 S</w:t>
      </w:r>
      <w:r>
        <w:rPr>
          <w:rStyle w:val="soitChar"/>
        </w:rPr>
        <w:t> selon [NBN A 24-302] + [PTV 302] .</w:t>
      </w:r>
    </w:p>
    <w:p w14:paraId="2C690A7A" w14:textId="77777777" w:rsidR="00DB2B68" w:rsidRDefault="00000000">
      <w:r>
        <w:br/>
      </w:r>
      <w:r>
        <w:rPr>
          <w:b/>
        </w:rPr>
        <w:t>Connexion</w:t>
      </w:r>
    </w:p>
    <w:p w14:paraId="54C3B805" w14:textId="77777777" w:rsidR="00DB2B68" w:rsidRDefault="00000000">
      <w:r>
        <w:lastRenderedPageBreak/>
        <w:t>La connexion entre le profilé et le béton est assurée par des</w:t>
      </w:r>
      <w:r>
        <w:rPr>
          <w:rStyle w:val="optioncarChar"/>
        </w:rPr>
        <w:t> goujons à tête </w:t>
      </w:r>
      <w:r>
        <w:t>(par défaut)</w:t>
      </w:r>
      <w:r>
        <w:rPr>
          <w:rStyle w:val="optioncarChar"/>
        </w:rPr>
        <w:t>  / étriers soudés sur l’âme / cornières / ***.</w:t>
      </w:r>
    </w:p>
    <w:p w14:paraId="73777F84" w14:textId="77777777" w:rsidR="00DB2B68" w:rsidRDefault="00000000">
      <w:pPr>
        <w:pStyle w:val="pheading"/>
      </w:pPr>
      <w:r>
        <w:t>- Finitions</w:t>
      </w:r>
    </w:p>
    <w:p w14:paraId="4A63D3C7" w14:textId="77777777" w:rsidR="00DB2B68" w:rsidRDefault="00000000">
      <w:r>
        <w:t>La surface de béton est </w:t>
      </w:r>
      <w:r>
        <w:rPr>
          <w:rStyle w:val="optioncarChar"/>
        </w:rPr>
        <w:t>﻿brute et lisse</w:t>
      </w:r>
      <w:r>
        <w:t xml:space="preserve"> (par défaut)</w:t>
      </w:r>
      <w:r>
        <w:rPr>
          <w:rStyle w:val="optioncarChar"/>
        </w:rPr>
        <w:t xml:space="preserve"> / structurée / ***</w:t>
      </w:r>
    </w:p>
    <w:p w14:paraId="72C057A0" w14:textId="77777777" w:rsidR="00DB2B68" w:rsidRDefault="00000000">
      <w:pPr>
        <w:pStyle w:val="pheading"/>
      </w:pPr>
      <w:r>
        <w:t>- Prescriptions complémentaires</w:t>
      </w:r>
    </w:p>
    <w:p w14:paraId="57EE8943" w14:textId="77777777" w:rsidR="00DB2B68" w:rsidRDefault="00000000">
      <w:pPr>
        <w:jc w:val="both"/>
      </w:pPr>
      <w:r>
        <w:rPr>
          <w:rStyle w:val="facultChar"/>
        </w:rPr>
        <w:t>Résistance au feu :</w:t>
      </w:r>
      <w:r>
        <w:rPr>
          <w:rStyle w:val="optioncarChar"/>
        </w:rPr>
        <w:t>R30 </w:t>
      </w:r>
      <w:r>
        <w:t xml:space="preserve">(par défaut) </w:t>
      </w:r>
      <w:r>
        <w:rPr>
          <w:rStyle w:val="optioncarChar"/>
        </w:rPr>
        <w:t>/ R60 / R120 / R240 / ***</w:t>
      </w:r>
      <w:r>
        <w:rPr>
          <w:rStyle w:val="facultChar"/>
        </w:rPr>
        <w:t>démontrée par test au feu selon la [NBN EN 13501-2] ou par calcul selon les Eurocodes conformément à l’ [AM 2013-05-17], Arrêté ministériel du 17 mai 2013 relatif à l’utilisation des Eurocodes comme méthodes de calcul pour l’évaluation de la résistance au feu d’éléments de construction.</w:t>
      </w:r>
    </w:p>
    <w:p w14:paraId="7514BE28" w14:textId="77777777" w:rsidR="00DB2B68" w:rsidRDefault="00000000">
      <w:pPr>
        <w:pStyle w:val="pheading"/>
      </w:pPr>
      <w:r>
        <w:t>EXÉCUTION / MISE EN ŒUVRE</w:t>
      </w:r>
    </w:p>
    <w:p w14:paraId="37CFF72C" w14:textId="77777777" w:rsidR="00DB2B68" w:rsidRDefault="00000000">
      <w:pPr>
        <w:pStyle w:val="pheading"/>
      </w:pPr>
      <w:r>
        <w:t>- Prescriptions générales</w:t>
      </w:r>
    </w:p>
    <w:p w14:paraId="404A2987" w14:textId="77777777" w:rsidR="00DB2B68" w:rsidRDefault="00000000">
      <w:pPr>
        <w:pStyle w:val="Author-eListParagraph"/>
        <w:numPr>
          <w:ilvl w:val="0"/>
          <w:numId w:val="375"/>
        </w:numPr>
      </w:pPr>
      <w:r>
        <w:t xml:space="preserve">Les prescriptions mentionnées en </w:t>
      </w:r>
      <w:hyperlink w:anchor="487" w:history="1">
        <w:r>
          <w:rPr>
            <w:color w:val="0000EE"/>
          </w:rPr>
          <w:t>22.11.5 Poutres mixtes acier-béton</w:t>
        </w:r>
      </w:hyperlink>
      <w:r>
        <w:t> sont d’application.</w:t>
      </w:r>
    </w:p>
    <w:p w14:paraId="7827F203" w14:textId="77777777" w:rsidR="00DB2B68" w:rsidRDefault="00000000">
      <w:pPr>
        <w:pStyle w:val="Author-eListParagraph"/>
        <w:numPr>
          <w:ilvl w:val="0"/>
          <w:numId w:val="375"/>
        </w:numPr>
      </w:pPr>
      <w:r>
        <w:t>L’étude et les plans d’exécution </w:t>
      </w:r>
      <w:r>
        <w:rPr>
          <w:rStyle w:val="optioncarChar"/>
        </w:rPr>
        <w:t>sont</w:t>
      </w:r>
      <w:r>
        <w:t xml:space="preserve"> (par défaut)</w:t>
      </w:r>
      <w:r>
        <w:rPr>
          <w:rStyle w:val="optioncarChar"/>
        </w:rPr>
        <w:t xml:space="preserve"> / ne sont pas</w:t>
      </w:r>
      <w:r>
        <w:t> à charge de l’entreprise.</w:t>
      </w:r>
    </w:p>
    <w:p w14:paraId="2F7C525B" w14:textId="77777777" w:rsidR="00DB2B68" w:rsidRDefault="00000000">
      <w:pPr>
        <w:pStyle w:val="Author-eListParagraph"/>
        <w:numPr>
          <w:ilvl w:val="0"/>
          <w:numId w:val="375"/>
        </w:numPr>
      </w:pPr>
      <w:r>
        <w:t>Les poutres sont fabriquées dans les dimensions indiquées sur les plans d’exécution approuvés.</w:t>
      </w:r>
    </w:p>
    <w:p w14:paraId="4F702AE0" w14:textId="77777777" w:rsidR="00DB2B68" w:rsidRDefault="00000000">
      <w:pPr>
        <w:pStyle w:val="Author-eListParagraph"/>
        <w:numPr>
          <w:ilvl w:val="0"/>
          <w:numId w:val="375"/>
        </w:numPr>
      </w:pPr>
      <w:r>
        <w:t>L’entrepreneur veille à ce que la répartition des charges à l’appui de la poutre soit uniforme et compatible avec le support. </w:t>
      </w:r>
    </w:p>
    <w:p w14:paraId="1D29A799" w14:textId="77777777" w:rsidR="00DB2B68" w:rsidRDefault="00000000">
      <w:pPr>
        <w:pStyle w:val="Author-eListParagraph"/>
        <w:numPr>
          <w:ilvl w:val="0"/>
          <w:numId w:val="375"/>
        </w:numPr>
      </w:pPr>
      <w:r>
        <w:t xml:space="preserve">La longueur d’appui des poutres en acier est au moins </w:t>
      </w:r>
      <w:r>
        <w:rPr>
          <w:rStyle w:val="optioncarChar"/>
        </w:rPr>
        <w:t>celle obtenue par calcul</w:t>
      </w:r>
      <w:r>
        <w:t xml:space="preserve"> (par défaut) </w:t>
      </w:r>
      <w:r>
        <w:rPr>
          <w:rStyle w:val="optioncarChar"/>
        </w:rPr>
        <w:t>/ 20 cm / 30 cm / *** cm</w:t>
      </w:r>
      <w:r>
        <w:t xml:space="preserve"> à chaque extrémité des poutres.</w:t>
      </w:r>
    </w:p>
    <w:p w14:paraId="620F525A" w14:textId="77777777" w:rsidR="00DB2B68" w:rsidRDefault="00000000">
      <w:pPr>
        <w:pStyle w:val="pheading"/>
      </w:pPr>
      <w:r>
        <w:t>DOCUMENTS DE RÉFÉRENCE COMPLÉMENTAIRES</w:t>
      </w:r>
    </w:p>
    <w:p w14:paraId="00D72243" w14:textId="77777777" w:rsidR="00DB2B68" w:rsidRDefault="00000000">
      <w:pPr>
        <w:pStyle w:val="pheading"/>
      </w:pPr>
      <w:r>
        <w:t>- Matériau</w:t>
      </w:r>
    </w:p>
    <w:p w14:paraId="584A1677" w14:textId="77777777" w:rsidR="00DB2B68" w:rsidRDefault="00000000">
      <w:r>
        <w:t>[NBN EN 206:2013+A2, Béton - Spécification, performances, production et conformité]</w:t>
      </w:r>
    </w:p>
    <w:p w14:paraId="2D4CC0EE" w14:textId="77777777" w:rsidR="00DB2B68" w:rsidRDefault="00000000">
      <w:r>
        <w:t>[NBN B 15-001, Béton - Spécification, performances, production et conformité - Complément national à la NBN EN 206:2013+A2:2021]</w:t>
      </w:r>
    </w:p>
    <w:p w14:paraId="74922667" w14:textId="77777777" w:rsidR="00DB2B68" w:rsidRDefault="00000000">
      <w:r>
        <w:t>[NBN A 24-302, Produits sidérurgiques - Aciers pour béton armé - Barres lisses et barres à nervures - Fils machine lisses et fils machine à nervures]</w:t>
      </w:r>
    </w:p>
    <w:p w14:paraId="25D8233F" w14:textId="77777777" w:rsidR="00DB2B68" w:rsidRDefault="00000000">
      <w:r>
        <w:t>[NBN A 24-303, Produits sidérurgiques - Aciers pour béton armé - Fils écrouis à froid lisses et fils écrouis à froid à nervures]</w:t>
      </w:r>
    </w:p>
    <w:p w14:paraId="6FCCFC07" w14:textId="77777777" w:rsidR="00DB2B68" w:rsidRDefault="00000000">
      <w:r>
        <w:t>[PTV 302]</w:t>
      </w:r>
    </w:p>
    <w:p w14:paraId="25ED9813" w14:textId="77777777" w:rsidR="00DB2B68" w:rsidRDefault="00000000">
      <w:r>
        <w:t>[PTV 303, Aciers pour béton armé - Fils écrouis à froid à nervures à basse ductilité]</w:t>
      </w:r>
    </w:p>
    <w:p w14:paraId="26EFCA60"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58338490" w14:textId="77777777" w:rsidR="00DB2B68" w:rsidRDefault="00000000">
      <w:pPr>
        <w:pStyle w:val="pheading"/>
      </w:pPr>
      <w:r>
        <w:t>MESURAGE</w:t>
      </w:r>
    </w:p>
    <w:p w14:paraId="4B717149" w14:textId="77777777" w:rsidR="00DB2B68" w:rsidRDefault="00000000">
      <w:pPr>
        <w:pStyle w:val="pheading"/>
      </w:pPr>
      <w:r>
        <w:t>- unité de mesure:</w:t>
      </w:r>
    </w:p>
    <w:p w14:paraId="5A13E9B7" w14:textId="77777777" w:rsidR="00DB2B68" w:rsidRDefault="00000000">
      <w:r>
        <w:rPr>
          <w:rStyle w:val="optioncarChar"/>
        </w:rPr>
        <w:t xml:space="preserve">m³ </w:t>
      </w:r>
      <w:r>
        <w:t>(par défaut)</w:t>
      </w:r>
      <w:r>
        <w:rPr>
          <w:rStyle w:val="optioncarChar"/>
        </w:rPr>
        <w:t xml:space="preserve"> / pc / m</w:t>
      </w:r>
    </w:p>
    <w:p w14:paraId="48F9F669" w14:textId="77777777" w:rsidR="00DB2B68" w:rsidRDefault="00000000">
      <w:r>
        <w:rPr>
          <w:b/>
          <w:i/>
        </w:rPr>
        <w:t>(Soit par défaut)</w:t>
      </w:r>
    </w:p>
    <w:p w14:paraId="386EE752" w14:textId="77777777" w:rsidR="00DB2B68" w:rsidRDefault="00000000">
      <w:r>
        <w:rPr>
          <w:rStyle w:val="soitChar"/>
        </w:rPr>
        <w:t>1. m³</w:t>
      </w:r>
    </w:p>
    <w:p w14:paraId="11AD1214" w14:textId="77777777" w:rsidR="00DB2B68" w:rsidRDefault="00000000">
      <w:r>
        <w:rPr>
          <w:b/>
          <w:i/>
        </w:rPr>
        <w:t>(Soit)</w:t>
      </w:r>
    </w:p>
    <w:p w14:paraId="379B4236" w14:textId="77777777" w:rsidR="00DB2B68" w:rsidRDefault="00000000">
      <w:r>
        <w:rPr>
          <w:rStyle w:val="soitChar"/>
        </w:rPr>
        <w:t>2. pc</w:t>
      </w:r>
    </w:p>
    <w:p w14:paraId="5A47ED41" w14:textId="77777777" w:rsidR="00DB2B68" w:rsidRDefault="00000000">
      <w:r>
        <w:rPr>
          <w:b/>
          <w:i/>
        </w:rPr>
        <w:t>(Soit)</w:t>
      </w:r>
    </w:p>
    <w:p w14:paraId="1465B613" w14:textId="77777777" w:rsidR="00DB2B68" w:rsidRDefault="00000000">
      <w:r>
        <w:rPr>
          <w:rStyle w:val="soitChar"/>
        </w:rPr>
        <w:t>3. m</w:t>
      </w:r>
    </w:p>
    <w:p w14:paraId="1D06BA1E" w14:textId="77777777" w:rsidR="00DB2B68" w:rsidRDefault="00000000">
      <w:pPr>
        <w:pStyle w:val="pheading"/>
      </w:pPr>
      <w:r>
        <w:t>- code de mesurage:</w:t>
      </w:r>
    </w:p>
    <w:p w14:paraId="261EC1C1" w14:textId="77777777" w:rsidR="00DB2B68" w:rsidRDefault="00000000">
      <w:pPr>
        <w:jc w:val="both"/>
      </w:pPr>
      <w:r>
        <w:lastRenderedPageBreak/>
        <w:t>Sont toujours compris dans le prix unitaire outre les éléments préfabriqués, les profilés et armatures qui y sont incorporées, les moyens de support, de fixation et d’appui, le béton, ainsi que les armatures posées sur place pour des raisons de stabilité.</w:t>
      </w:r>
    </w:p>
    <w:p w14:paraId="04FBCD14" w14:textId="77777777" w:rsidR="00DB2B68" w:rsidRDefault="00000000">
      <w:pPr>
        <w:jc w:val="both"/>
      </w:pPr>
      <w:r>
        <w:rPr>
          <w:rStyle w:val="optioncarChar"/>
        </w:rPr>
        <w:t xml:space="preserve">Volume net </w:t>
      </w:r>
      <w:r>
        <w:t xml:space="preserve">(par défaut) </w:t>
      </w:r>
      <w:r>
        <w:rPr>
          <w:rStyle w:val="optioncarChar"/>
        </w:rPr>
        <w:t>/ quantité nette / longueur nette</w:t>
      </w:r>
    </w:p>
    <w:p w14:paraId="4AF72213" w14:textId="77777777" w:rsidR="00DB2B68" w:rsidRDefault="00000000">
      <w:pPr>
        <w:jc w:val="both"/>
      </w:pPr>
      <w:r>
        <w:rPr>
          <w:b/>
          <w:i/>
        </w:rPr>
        <w:t>(Soit par défaut)</w:t>
      </w:r>
    </w:p>
    <w:p w14:paraId="05E31A62" w14:textId="77777777" w:rsidR="00DB2B68" w:rsidRDefault="00000000">
      <w:pPr>
        <w:jc w:val="both"/>
      </w:pPr>
      <w:r>
        <w:rPr>
          <w:rStyle w:val="soitChar"/>
          <w:u w:val="single"/>
        </w:rPr>
        <w:t>1. Volume net</w:t>
      </w:r>
      <w:r>
        <w:rPr>
          <w:rStyle w:val="soitChar"/>
        </w:rPr>
        <w:t>, mesuré selon les dimensions nominales indiquées sur les plans.</w:t>
      </w:r>
    </w:p>
    <w:p w14:paraId="7477CF28" w14:textId="77777777" w:rsidR="00DB2B68" w:rsidRDefault="00000000">
      <w:pPr>
        <w:jc w:val="both"/>
      </w:pPr>
      <w:r>
        <w:rPr>
          <w:b/>
          <w:i/>
        </w:rPr>
        <w:t>(Soit)</w:t>
      </w:r>
    </w:p>
    <w:p w14:paraId="33531C28" w14:textId="77777777" w:rsidR="00DB2B68" w:rsidRDefault="00000000">
      <w:pPr>
        <w:jc w:val="both"/>
      </w:pPr>
      <w:r>
        <w:rPr>
          <w:rStyle w:val="soitChar"/>
          <w:u w:val="single"/>
        </w:rPr>
        <w:t>2. Quantité nette</w:t>
      </w:r>
    </w:p>
    <w:p w14:paraId="166BF04B" w14:textId="77777777" w:rsidR="00DB2B68" w:rsidRDefault="00000000">
      <w:pPr>
        <w:jc w:val="both"/>
      </w:pPr>
      <w:r>
        <w:rPr>
          <w:b/>
          <w:i/>
        </w:rPr>
        <w:t>(Soit)</w:t>
      </w:r>
    </w:p>
    <w:p w14:paraId="45EE24D8" w14:textId="77777777" w:rsidR="00DB2B68" w:rsidRDefault="00000000">
      <w:pPr>
        <w:jc w:val="both"/>
      </w:pPr>
      <w:r>
        <w:rPr>
          <w:rStyle w:val="soitChar"/>
          <w:u w:val="single"/>
        </w:rPr>
        <w:t>3. Longueur nette</w:t>
      </w:r>
    </w:p>
    <w:p w14:paraId="5C0843C4" w14:textId="77777777" w:rsidR="00DB2B68" w:rsidRDefault="00000000">
      <w:pPr>
        <w:pStyle w:val="pheading"/>
      </w:pPr>
      <w:r>
        <w:t>- nature du marché:</w:t>
      </w:r>
    </w:p>
    <w:p w14:paraId="441C931D" w14:textId="77777777" w:rsidR="00DB2B68" w:rsidRDefault="00000000">
      <w:r>
        <w:t> QF</w:t>
      </w:r>
    </w:p>
    <w:p w14:paraId="1744A25E" w14:textId="77777777" w:rsidR="00DB2B68" w:rsidRDefault="00000000">
      <w:pPr>
        <w:pStyle w:val="Author-eSectionHeading6Numberless"/>
      </w:pPr>
      <w:bookmarkStart w:id="623" w:name="_Toc220495699"/>
      <w:r>
        <w:t>22.11.5d Poutres préfabriquées mixtes acier-béton armé décoratif / architectonique CCTB 01.10</w:t>
      </w:r>
      <w:bookmarkEnd w:id="623"/>
    </w:p>
    <w:p w14:paraId="3F15BA07" w14:textId="77777777" w:rsidR="00DB2B68" w:rsidRDefault="00000000">
      <w:pPr>
        <w:pStyle w:val="Author-eSectionHeading6Numberless"/>
      </w:pPr>
      <w:bookmarkStart w:id="624" w:name="_Toc220495700"/>
      <w:r>
        <w:t>22.11.5e Poutres préfabriquées mixtes acier-béton précontraint CCTB 01.04</w:t>
      </w:r>
      <w:bookmarkEnd w:id="624"/>
    </w:p>
    <w:p w14:paraId="3F8E7C21" w14:textId="77777777" w:rsidR="00DB2B68" w:rsidRDefault="00000000">
      <w:pPr>
        <w:pStyle w:val="Author-eSectionHeading4Numberless"/>
      </w:pPr>
      <w:bookmarkStart w:id="625" w:name="_Toc220495701"/>
      <w:r>
        <w:t>22.12 Eléments de charpente de toiture en béton CCTB 01.02</w:t>
      </w:r>
      <w:bookmarkEnd w:id="625"/>
    </w:p>
    <w:p w14:paraId="583CD2CE" w14:textId="77777777" w:rsidR="00DB2B68" w:rsidRDefault="00000000">
      <w:pPr>
        <w:pStyle w:val="Author-eSectionHeading5Numberless"/>
      </w:pPr>
      <w:bookmarkStart w:id="626" w:name="_Toc220495702"/>
      <w:r>
        <w:t>22.12.1 Eléments de charpente de toiture en béton coulé en place CCTB 01.04</w:t>
      </w:r>
      <w:bookmarkEnd w:id="626"/>
    </w:p>
    <w:p w14:paraId="30701A5B" w14:textId="77777777" w:rsidR="00DB2B68" w:rsidRDefault="00000000">
      <w:pPr>
        <w:pStyle w:val="Author-eSectionHeading6Numberless"/>
      </w:pPr>
      <w:bookmarkStart w:id="627" w:name="_Toc220495703"/>
      <w:r>
        <w:t>22.12.1a Pannes en béton coulé en place CCTB 01.13</w:t>
      </w:r>
      <w:bookmarkEnd w:id="627"/>
    </w:p>
    <w:p w14:paraId="57AFCFA7" w14:textId="77777777" w:rsidR="00DB2B68" w:rsidRDefault="00000000">
      <w:pPr>
        <w:pStyle w:val="pheading"/>
      </w:pPr>
      <w:r>
        <w:t>MATÉRIAUX</w:t>
      </w:r>
    </w:p>
    <w:p w14:paraId="0EBE1529" w14:textId="77777777" w:rsidR="00DB2B68" w:rsidRDefault="00000000">
      <w:pPr>
        <w:pStyle w:val="pheading"/>
      </w:pPr>
      <w:r>
        <w:t>- Caractéristiques générales</w:t>
      </w:r>
    </w:p>
    <w:p w14:paraId="2D3E710E"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 (voir </w:t>
      </w:r>
      <w:hyperlink w:anchor="232" w:history="1">
        <w:r>
          <w:rPr>
            <w:color w:val="0000EE"/>
          </w:rPr>
          <w:t>22.51 Armatures pour béton</w:t>
        </w:r>
      </w:hyperlink>
      <w:r>
        <w:t>)</w:t>
      </w:r>
    </w:p>
    <w:p w14:paraId="4F83F18A" w14:textId="77777777" w:rsidR="00DB2B68" w:rsidRDefault="00000000">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r>
        <w:br/>
        <w:t xml:space="preserve">Acier pour les étriers : acier </w:t>
      </w:r>
      <w:r>
        <w:rPr>
          <w:rStyle w:val="optioncarChar"/>
        </w:rPr>
        <w:t>DE 500 BS / BE 500 S</w:t>
      </w:r>
      <w:r>
        <w:br/>
      </w:r>
      <w:r>
        <w:rPr>
          <w:b/>
        </w:rPr>
        <w:t>(soit par défaut)</w:t>
      </w:r>
      <w:r>
        <w:br/>
      </w:r>
      <w:r>
        <w:rPr>
          <w:color w:val="33CCCC"/>
        </w:rPr>
        <w:t xml:space="preserve">1. </w:t>
      </w:r>
      <w:r>
        <w:rPr>
          <w:u w:val="single"/>
        </w:rPr>
        <w:t>DE 500 BS</w:t>
      </w:r>
      <w:r>
        <w:rPr>
          <w:color w:val="33CCCC"/>
        </w:rPr>
        <w:t xml:space="preserve"> selon [NBN A 24-303] + [PTV 303].</w:t>
      </w:r>
      <w:r>
        <w:br/>
      </w:r>
      <w:r>
        <w:rPr>
          <w:b/>
        </w:rPr>
        <w:t>(soit)</w:t>
      </w:r>
      <w:r>
        <w:br/>
      </w:r>
      <w:r>
        <w:rPr>
          <w:color w:val="33CCCC"/>
        </w:rPr>
        <w:t xml:space="preserve">2. </w:t>
      </w:r>
      <w:r>
        <w:rPr>
          <w:u w:val="single"/>
        </w:rPr>
        <w:t>BE 500 S</w:t>
      </w:r>
      <w:r>
        <w:rPr>
          <w:color w:val="33CCCC"/>
        </w:rPr>
        <w:t xml:space="preserve"> selon [NBN A 24-302] + [PTV 302].</w:t>
      </w:r>
    </w:p>
    <w:p w14:paraId="13D6119A" w14:textId="77777777" w:rsidR="00DB2B68" w:rsidRDefault="00000000">
      <w:pPr>
        <w:pStyle w:val="Author-eSectionHeading6Numberless"/>
      </w:pPr>
      <w:bookmarkStart w:id="628" w:name="_Toc220495704"/>
      <w:r>
        <w:t>22.12.1b Chevrons autoporteurs en béton coulé en place CCTB 01.04</w:t>
      </w:r>
      <w:bookmarkEnd w:id="628"/>
    </w:p>
    <w:p w14:paraId="166E0BF4" w14:textId="77777777" w:rsidR="00DB2B68" w:rsidRDefault="00000000">
      <w:pPr>
        <w:pStyle w:val="Author-eSectionHeading6Numberless"/>
      </w:pPr>
      <w:bookmarkStart w:id="629" w:name="_Toc220495705"/>
      <w:r>
        <w:t>22.12.1c Faîtières en béton coulé en place CCTB 01.04</w:t>
      </w:r>
      <w:bookmarkEnd w:id="629"/>
    </w:p>
    <w:p w14:paraId="16CD3C4D" w14:textId="77777777" w:rsidR="00DB2B68" w:rsidRDefault="00000000">
      <w:pPr>
        <w:pStyle w:val="Author-eSectionHeading6Numberless"/>
      </w:pPr>
      <w:bookmarkStart w:id="630" w:name="_Toc220495706"/>
      <w:r>
        <w:t>22.12.1d Sablières en béton coulé en place CCTB 01.04</w:t>
      </w:r>
      <w:bookmarkEnd w:id="630"/>
    </w:p>
    <w:p w14:paraId="5A8F1356" w14:textId="77777777" w:rsidR="00DB2B68" w:rsidRDefault="00000000">
      <w:pPr>
        <w:pStyle w:val="Author-eSectionHeading5Numberless"/>
      </w:pPr>
      <w:bookmarkStart w:id="631" w:name="_Toc220495707"/>
      <w:r>
        <w:t>22.12.2 Eléments de charpente de toiture en béton apparent (esthétique) coulé en place CCTB 01.04</w:t>
      </w:r>
      <w:bookmarkEnd w:id="631"/>
    </w:p>
    <w:p w14:paraId="3DE5C161" w14:textId="77777777" w:rsidR="00DB2B68" w:rsidRDefault="00000000">
      <w:pPr>
        <w:pStyle w:val="Author-eSectionHeading6Numberless"/>
      </w:pPr>
      <w:bookmarkStart w:id="632" w:name="_Toc220495708"/>
      <w:r>
        <w:t>22.12.2a Pannes en béton apparent (esthétique) coulé en place CCTB 01.04</w:t>
      </w:r>
      <w:bookmarkEnd w:id="632"/>
    </w:p>
    <w:p w14:paraId="323878BC" w14:textId="77777777" w:rsidR="00DB2B68" w:rsidRDefault="00000000">
      <w:pPr>
        <w:pStyle w:val="Author-eSectionHeading6Numberless"/>
      </w:pPr>
      <w:bookmarkStart w:id="633" w:name="_Toc220495709"/>
      <w:r>
        <w:t>22.12.2b Chevrons autoporteurs en béton apparent (esthétique) coulé en place CCTB 01.04</w:t>
      </w:r>
      <w:bookmarkEnd w:id="633"/>
    </w:p>
    <w:p w14:paraId="3B7C9D9D" w14:textId="77777777" w:rsidR="00DB2B68" w:rsidRDefault="00000000">
      <w:pPr>
        <w:pStyle w:val="Author-eSectionHeading6Numberless"/>
      </w:pPr>
      <w:bookmarkStart w:id="634" w:name="_Toc220495710"/>
      <w:r>
        <w:t>22.12.2c Faîtières en béton apparent (esthétique) coulé en place CCTB 01.04</w:t>
      </w:r>
      <w:bookmarkEnd w:id="634"/>
    </w:p>
    <w:p w14:paraId="36B7574B" w14:textId="77777777" w:rsidR="00DB2B68" w:rsidRDefault="00000000">
      <w:pPr>
        <w:pStyle w:val="Author-eSectionHeading6Numberless"/>
      </w:pPr>
      <w:bookmarkStart w:id="635" w:name="_Toc220495711"/>
      <w:r>
        <w:t>22.12.2d Sablières en béton apparent (esthétique) coulé en place CCTB 01.04</w:t>
      </w:r>
      <w:bookmarkEnd w:id="635"/>
    </w:p>
    <w:p w14:paraId="329CA81F" w14:textId="77777777" w:rsidR="00DB2B68" w:rsidRDefault="00000000">
      <w:pPr>
        <w:pStyle w:val="Author-eSectionHeading5Numberless"/>
      </w:pPr>
      <w:bookmarkStart w:id="636" w:name="_Toc220495712"/>
      <w:r>
        <w:lastRenderedPageBreak/>
        <w:t>22.12.3 Eléments de charpente de toiture préfabriqués en béton CCTB 01.04</w:t>
      </w:r>
      <w:bookmarkEnd w:id="636"/>
    </w:p>
    <w:p w14:paraId="3EEA78DD" w14:textId="77777777" w:rsidR="00DB2B68" w:rsidRDefault="00000000">
      <w:pPr>
        <w:pStyle w:val="Author-eSectionHeading6Numberless"/>
      </w:pPr>
      <w:bookmarkStart w:id="637" w:name="_Toc220495713"/>
      <w:r>
        <w:t>22.12.3a Pannes préfabriquées en béton armé CCTB 01.04</w:t>
      </w:r>
      <w:bookmarkEnd w:id="637"/>
    </w:p>
    <w:p w14:paraId="442B9AB0" w14:textId="77777777" w:rsidR="00DB2B68" w:rsidRDefault="00000000">
      <w:pPr>
        <w:pStyle w:val="Author-eSectionHeading6Numberless"/>
      </w:pPr>
      <w:bookmarkStart w:id="638" w:name="_Toc220495714"/>
      <w:r>
        <w:t>22.12.3b Pannes préfabriquées en béton précontraint CCTB 01.04</w:t>
      </w:r>
      <w:bookmarkEnd w:id="638"/>
    </w:p>
    <w:p w14:paraId="57DA3B10" w14:textId="77777777" w:rsidR="00DB2B68" w:rsidRDefault="00000000">
      <w:pPr>
        <w:pStyle w:val="Author-eSectionHeading6Numberless"/>
      </w:pPr>
      <w:bookmarkStart w:id="639" w:name="_Toc220495715"/>
      <w:r>
        <w:t>22.12.3c Pannes préfabriquées en béton cellulaire CCTB 01.04</w:t>
      </w:r>
      <w:bookmarkEnd w:id="639"/>
    </w:p>
    <w:p w14:paraId="6A18A895" w14:textId="77777777" w:rsidR="00DB2B68" w:rsidRDefault="00000000">
      <w:pPr>
        <w:pStyle w:val="Author-eSectionHeading6Numberless"/>
      </w:pPr>
      <w:bookmarkStart w:id="640" w:name="_Toc220495716"/>
      <w:r>
        <w:t>22.12.3d Chevrons autoporteurs préfabriqués en béton armé CCTB 01.04</w:t>
      </w:r>
      <w:bookmarkEnd w:id="640"/>
    </w:p>
    <w:p w14:paraId="4F0838D1" w14:textId="77777777" w:rsidR="00DB2B68" w:rsidRDefault="00000000">
      <w:pPr>
        <w:pStyle w:val="Author-eSectionHeading6Numberless"/>
      </w:pPr>
      <w:bookmarkStart w:id="641" w:name="_Toc220495717"/>
      <w:r>
        <w:t>22.12.3e Chevrons autoporteurs préfabriqués en béton précontraint CCTB 01.04</w:t>
      </w:r>
      <w:bookmarkEnd w:id="641"/>
    </w:p>
    <w:p w14:paraId="097877DB" w14:textId="77777777" w:rsidR="00DB2B68" w:rsidRDefault="00000000">
      <w:pPr>
        <w:pStyle w:val="Author-eSectionHeading6Numberless"/>
      </w:pPr>
      <w:bookmarkStart w:id="642" w:name="_Toc220495718"/>
      <w:r>
        <w:t>22.12.3f Chevrons autoporteurs préfabriqués en béton cellulaire CCTB 01.04</w:t>
      </w:r>
      <w:bookmarkEnd w:id="642"/>
    </w:p>
    <w:p w14:paraId="6D9ABC6F" w14:textId="77777777" w:rsidR="00DB2B68" w:rsidRDefault="00000000">
      <w:pPr>
        <w:pStyle w:val="Author-eSectionHeading6Numberless"/>
      </w:pPr>
      <w:bookmarkStart w:id="643" w:name="_Toc220495719"/>
      <w:r>
        <w:t>22.12.3g Faîtières préfabriquées en béton armé CCTB 01.04</w:t>
      </w:r>
      <w:bookmarkEnd w:id="643"/>
    </w:p>
    <w:p w14:paraId="643BF126" w14:textId="77777777" w:rsidR="00DB2B68" w:rsidRDefault="00000000">
      <w:pPr>
        <w:pStyle w:val="Author-eSectionHeading6Numberless"/>
      </w:pPr>
      <w:bookmarkStart w:id="644" w:name="_Toc220495720"/>
      <w:r>
        <w:t>22.12.3h Faîtières préfabriquées en béton précontraint CCTB 01.04</w:t>
      </w:r>
      <w:bookmarkEnd w:id="644"/>
    </w:p>
    <w:p w14:paraId="6A9F1E56" w14:textId="77777777" w:rsidR="00DB2B68" w:rsidRDefault="00000000">
      <w:pPr>
        <w:pStyle w:val="Author-eSectionHeading6Numberless"/>
      </w:pPr>
      <w:bookmarkStart w:id="645" w:name="_Toc220495721"/>
      <w:r>
        <w:t>22.12.3i Faîtières préfabriquées en béton cellulaire CCTB 01.04</w:t>
      </w:r>
      <w:bookmarkEnd w:id="645"/>
    </w:p>
    <w:p w14:paraId="755BB9C8" w14:textId="77777777" w:rsidR="00DB2B68" w:rsidRDefault="00000000">
      <w:pPr>
        <w:pStyle w:val="Author-eSectionHeading6Numberless"/>
      </w:pPr>
      <w:bookmarkStart w:id="646" w:name="_Toc220495722"/>
      <w:r>
        <w:t>22.12.3j Sablières préfabriquées en béton armé CCTB 01.04</w:t>
      </w:r>
      <w:bookmarkEnd w:id="646"/>
    </w:p>
    <w:p w14:paraId="5AF3271D" w14:textId="77777777" w:rsidR="00DB2B68" w:rsidRDefault="00000000">
      <w:pPr>
        <w:pStyle w:val="Author-eSectionHeading6Numberless"/>
      </w:pPr>
      <w:bookmarkStart w:id="647" w:name="_Toc220495723"/>
      <w:r>
        <w:t>22.12.3k Sablières préfabriquées en béton précontraint CCTB 01.04</w:t>
      </w:r>
      <w:bookmarkEnd w:id="647"/>
    </w:p>
    <w:p w14:paraId="3D306E4F" w14:textId="77777777" w:rsidR="00DB2B68" w:rsidRDefault="00000000">
      <w:pPr>
        <w:pStyle w:val="Author-eSectionHeading6Numberless"/>
      </w:pPr>
      <w:bookmarkStart w:id="648" w:name="_Toc220495724"/>
      <w:r>
        <w:t>22.12.3l Sablières préfabriquées en béton cellulaire CCTB 01.04</w:t>
      </w:r>
      <w:bookmarkEnd w:id="648"/>
    </w:p>
    <w:p w14:paraId="0604A053" w14:textId="77777777" w:rsidR="00DB2B68" w:rsidRDefault="00000000">
      <w:pPr>
        <w:pStyle w:val="Author-eSectionHeading5Numberless"/>
      </w:pPr>
      <w:bookmarkStart w:id="649" w:name="_Toc220495725"/>
      <w:r>
        <w:t>22.12.4 Eléments de charpente de toiture préfabriqués en béton architectonique CCTB 01.04</w:t>
      </w:r>
      <w:bookmarkEnd w:id="649"/>
    </w:p>
    <w:p w14:paraId="7A873889" w14:textId="77777777" w:rsidR="00DB2B68" w:rsidRDefault="00000000">
      <w:pPr>
        <w:pStyle w:val="Author-eSectionHeading6Numberless"/>
      </w:pPr>
      <w:bookmarkStart w:id="650" w:name="_Toc220495726"/>
      <w:r>
        <w:t>22.12.4a Pannes préfabriquées en béton décoratif / architectonique CCTB 01.11</w:t>
      </w:r>
      <w:bookmarkEnd w:id="650"/>
    </w:p>
    <w:p w14:paraId="3090DC4D" w14:textId="77777777" w:rsidR="00DB2B68" w:rsidRDefault="00000000">
      <w:pPr>
        <w:pStyle w:val="pheading"/>
      </w:pPr>
      <w:r>
        <w:t>MATÉRIAUX</w:t>
      </w:r>
    </w:p>
    <w:p w14:paraId="40604B9E" w14:textId="77777777" w:rsidR="00DB2B68" w:rsidRDefault="00000000">
      <w:pPr>
        <w:pStyle w:val="pheading"/>
      </w:pPr>
      <w:r>
        <w:t>- Finitions</w:t>
      </w:r>
    </w:p>
    <w:p w14:paraId="4941B77A" w14:textId="77777777" w:rsidR="00DB2B68"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79289D4E" w14:textId="77777777" w:rsidR="00DB2B68" w:rsidRDefault="00000000">
      <w:r>
        <w:t>Les éléments en béton architectoniques doivent répondre au [PTV 21-601].</w:t>
      </w:r>
    </w:p>
    <w:p w14:paraId="2627BF4F" w14:textId="77777777" w:rsidR="00DB2B68" w:rsidRDefault="00000000">
      <w:r>
        <w:t xml:space="preserve">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5DE30AD8" w14:textId="77777777" w:rsidR="00DB2B68" w:rsidRDefault="00000000">
      <w:r>
        <w:t>Description détaillée des éléments :</w:t>
      </w:r>
    </w:p>
    <w:p w14:paraId="6A23F5CE" w14:textId="77777777" w:rsidR="00DB2B68"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0099CAEA" w14:textId="77777777" w:rsidR="00DB2B68" w:rsidRDefault="00000000">
      <w:r>
        <w:rPr>
          <w:b/>
          <w:i/>
        </w:rPr>
        <w:t> (soit par défaut)</w:t>
      </w:r>
    </w:p>
    <w:p w14:paraId="270A15C7"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48F2318F" w14:textId="77777777" w:rsidR="00DB2B68" w:rsidRDefault="00000000">
      <w:r>
        <w:rPr>
          <w:b/>
          <w:i/>
        </w:rPr>
        <w:t> (soit)</w:t>
      </w:r>
    </w:p>
    <w:p w14:paraId="0E641E1F" w14:textId="77777777" w:rsidR="00DB2B68" w:rsidRDefault="00000000">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31E43AEB" w14:textId="77777777" w:rsidR="00DB2B68" w:rsidRDefault="00000000">
      <w:r>
        <w:rPr>
          <w:b/>
          <w:i/>
        </w:rPr>
        <w:t>(soit)</w:t>
      </w:r>
    </w:p>
    <w:p w14:paraId="1BB510EE" w14:textId="77777777" w:rsidR="00DB2B68" w:rsidRDefault="00000000">
      <w:r>
        <w:rPr>
          <w:rStyle w:val="soitChar"/>
          <w:u w:val="single"/>
        </w:rPr>
        <w:t>Suivant la couleur RAL</w:t>
      </w:r>
      <w:r>
        <w:rPr>
          <w:rStyle w:val="soitChar"/>
        </w:rPr>
        <w:t xml:space="preserve"> se rapprochant le mieux possible du RAL </w:t>
      </w:r>
      <w:r>
        <w:rPr>
          <w:rStyle w:val="optioncarChar"/>
        </w:rPr>
        <w:t>***</w:t>
      </w:r>
    </w:p>
    <w:p w14:paraId="0C573FD9" w14:textId="77777777" w:rsidR="00DB2B68" w:rsidRDefault="00000000">
      <w:r>
        <w:t> </w:t>
      </w:r>
    </w:p>
    <w:p w14:paraId="0A3922F4" w14:textId="77777777" w:rsidR="00DB2B68" w:rsidRDefault="00000000">
      <w:r>
        <w:t>2.     Texture : </w:t>
      </w:r>
      <w:r>
        <w:rPr>
          <w:rStyle w:val="optioncarChar"/>
        </w:rPr>
        <w:t>suivant échantillon disponible</w:t>
      </w:r>
      <w:r>
        <w:t> (par défaut)</w:t>
      </w:r>
      <w:r>
        <w:rPr>
          <w:rStyle w:val="optioncarChar"/>
        </w:rPr>
        <w:t> / suivant échantillons à remettre pour approbation par l'architecte</w:t>
      </w:r>
    </w:p>
    <w:p w14:paraId="4CFEAA2E" w14:textId="77777777" w:rsidR="00DB2B68" w:rsidRDefault="00000000">
      <w:r>
        <w:rPr>
          <w:b/>
          <w:i/>
        </w:rPr>
        <w:t>(soit par défaut)</w:t>
      </w:r>
    </w:p>
    <w:p w14:paraId="60D381BF"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2D2570D4" w14:textId="77777777" w:rsidR="00DB2B68" w:rsidRDefault="00000000">
      <w:r>
        <w:rPr>
          <w:b/>
          <w:i/>
        </w:rPr>
        <w:lastRenderedPageBreak/>
        <w:t>(soit)</w:t>
      </w:r>
    </w:p>
    <w:p w14:paraId="106632D6" w14:textId="77777777" w:rsidR="00DB2B68" w:rsidRDefault="00000000">
      <w:r>
        <w:rPr>
          <w:rStyle w:val="soitChar"/>
          <w:u w:val="single"/>
        </w:rPr>
        <w:t>Echantillons à remettre pour approbation par l’architecte: </w:t>
      </w:r>
    </w:p>
    <w:p w14:paraId="3BB8E999" w14:textId="77777777" w:rsidR="00DB2B68" w:rsidRDefault="00000000">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3FE672B7" w14:textId="77777777" w:rsidR="00DB2B68"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w:t>
      </w:r>
      <w:r>
        <w:t> (par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rPr>
          <w:b/>
        </w:rPr>
        <w:t>(soit)</w:t>
      </w:r>
      <w:r>
        <w:br/>
      </w:r>
      <w:r>
        <w:rPr>
          <w:rStyle w:val="soitChar"/>
        </w:rPr>
        <w:t xml:space="preserve">3. </w:t>
      </w:r>
      <w:r>
        <w:rPr>
          <w:rStyle w:val="soitChar"/>
          <w:u w:val="single"/>
        </w:rPr>
        <w:t>vives</w:t>
      </w:r>
    </w:p>
    <w:p w14:paraId="06CBB20C" w14:textId="77777777" w:rsidR="00DB2B68"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4F7A287C" w14:textId="77777777" w:rsidR="00DB2B68" w:rsidRDefault="00000000">
      <w:pPr>
        <w:pStyle w:val="Author-eSectionHeading6Numberless"/>
      </w:pPr>
      <w:bookmarkStart w:id="651" w:name="_Toc220495727"/>
      <w:r>
        <w:t>22.12.4b Chevrons autoporteurs préfabriqués en béton décoratif / architectonique CCTB 01.11</w:t>
      </w:r>
      <w:bookmarkEnd w:id="651"/>
    </w:p>
    <w:p w14:paraId="1C700ABF" w14:textId="77777777" w:rsidR="00DB2B68" w:rsidRDefault="00000000">
      <w:pPr>
        <w:pStyle w:val="pheading"/>
      </w:pPr>
      <w:r>
        <w:t>MATÉRIAUX</w:t>
      </w:r>
    </w:p>
    <w:p w14:paraId="1158F1DE" w14:textId="77777777" w:rsidR="00DB2B68" w:rsidRDefault="00000000">
      <w:pPr>
        <w:pStyle w:val="pheading"/>
      </w:pPr>
      <w:r>
        <w:t>- Finitions</w:t>
      </w:r>
    </w:p>
    <w:p w14:paraId="1C439922" w14:textId="77777777" w:rsidR="00DB2B68"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68566BC4" w14:textId="77777777" w:rsidR="00DB2B68" w:rsidRDefault="00000000">
      <w:r>
        <w:t>Les éléments en béton architectoniques doivent répondre au [PTV 21-601].</w:t>
      </w:r>
    </w:p>
    <w:p w14:paraId="567123CE" w14:textId="77777777" w:rsidR="00DB2B68" w:rsidRDefault="00000000">
      <w:r>
        <w:t xml:space="preserve">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4D777B5D" w14:textId="77777777" w:rsidR="00DB2B68" w:rsidRDefault="00000000">
      <w:r>
        <w:t>Description détaillée des éléments :</w:t>
      </w:r>
    </w:p>
    <w:p w14:paraId="7BC47D57" w14:textId="77777777" w:rsidR="00DB2B68"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3C097BA6" w14:textId="77777777" w:rsidR="00DB2B68" w:rsidRDefault="00000000">
      <w:r>
        <w:rPr>
          <w:b/>
          <w:i/>
        </w:rPr>
        <w:t> (soit par défaut)</w:t>
      </w:r>
    </w:p>
    <w:p w14:paraId="52D971AF"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7AEB335E" w14:textId="77777777" w:rsidR="00DB2B68" w:rsidRDefault="00000000">
      <w:r>
        <w:rPr>
          <w:b/>
          <w:i/>
        </w:rPr>
        <w:t> (soit)</w:t>
      </w:r>
    </w:p>
    <w:p w14:paraId="2C1E9376" w14:textId="77777777" w:rsidR="00DB2B68" w:rsidRDefault="00000000">
      <w:r>
        <w:rPr>
          <w:rStyle w:val="soitChar"/>
          <w:u w:val="single"/>
        </w:rPr>
        <w:t>Suivant échantillons à remettre pour approbation par l’architecte: </w:t>
      </w:r>
      <w:r>
        <w:rPr>
          <w:rStyle w:val="optioncarChar"/>
        </w:rPr>
        <w:t xml:space="preserve">gris </w:t>
      </w:r>
      <w:r>
        <w:t>(par défaut) </w:t>
      </w:r>
      <w:r>
        <w:rPr>
          <w:rStyle w:val="optioncarChar"/>
        </w:rPr>
        <w:t>/ blanc / vert / anthracite / rouge / ***</w:t>
      </w:r>
    </w:p>
    <w:p w14:paraId="2C0BE884" w14:textId="77777777" w:rsidR="00DB2B68" w:rsidRDefault="00000000">
      <w:r>
        <w:rPr>
          <w:b/>
          <w:i/>
        </w:rPr>
        <w:t>(soit)</w:t>
      </w:r>
    </w:p>
    <w:p w14:paraId="5FE3D0D7" w14:textId="77777777" w:rsidR="00DB2B68" w:rsidRDefault="00000000">
      <w:r>
        <w:rPr>
          <w:rStyle w:val="soitChar"/>
          <w:u w:val="single"/>
        </w:rPr>
        <w:t>Suivant la couleur RAL</w:t>
      </w:r>
      <w:r>
        <w:rPr>
          <w:rStyle w:val="soitChar"/>
        </w:rPr>
        <w:t xml:space="preserve"> se rapprochant le mieux que possible du RAL </w:t>
      </w:r>
      <w:r>
        <w:rPr>
          <w:rStyle w:val="optioncarChar"/>
        </w:rPr>
        <w:t>***</w:t>
      </w:r>
    </w:p>
    <w:p w14:paraId="41CFAD7C" w14:textId="77777777" w:rsidR="00DB2B68" w:rsidRDefault="00000000">
      <w:r>
        <w:lastRenderedPageBreak/>
        <w:t> </w:t>
      </w:r>
    </w:p>
    <w:p w14:paraId="573F3EAB" w14:textId="77777777" w:rsidR="00DB2B68" w:rsidRDefault="00000000">
      <w:r>
        <w:t>2.     Texture : </w:t>
      </w:r>
      <w:r>
        <w:rPr>
          <w:rStyle w:val="optioncarChar"/>
        </w:rPr>
        <w:t>suivant échantillon disponible</w:t>
      </w:r>
      <w:r>
        <w:t> (par défaut)</w:t>
      </w:r>
      <w:r>
        <w:rPr>
          <w:rStyle w:val="optioncarChar"/>
        </w:rPr>
        <w:t> / suivant échantillons à remettre pour approbation par l'architecte</w:t>
      </w:r>
    </w:p>
    <w:p w14:paraId="3054110C" w14:textId="77777777" w:rsidR="00DB2B68" w:rsidRDefault="00000000">
      <w:r>
        <w:rPr>
          <w:b/>
          <w:i/>
        </w:rPr>
        <w:t>(soit par défaut)</w:t>
      </w:r>
    </w:p>
    <w:p w14:paraId="241EB48E"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49017218" w14:textId="77777777" w:rsidR="00DB2B68" w:rsidRDefault="00000000">
      <w:r>
        <w:rPr>
          <w:b/>
          <w:i/>
        </w:rPr>
        <w:t>(soit)</w:t>
      </w:r>
    </w:p>
    <w:p w14:paraId="5782D9A2" w14:textId="77777777" w:rsidR="00DB2B68" w:rsidRDefault="00000000">
      <w:r>
        <w:rPr>
          <w:rStyle w:val="soitChar"/>
          <w:u w:val="single"/>
        </w:rPr>
        <w:t>Echantillons à remettre pour approbation par l’architecte: </w:t>
      </w:r>
    </w:p>
    <w:p w14:paraId="51E410AA" w14:textId="77777777" w:rsidR="00DB2B68" w:rsidRDefault="00000000">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35602A6B" w14:textId="77777777" w:rsidR="00DB2B68"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w:t>
      </w:r>
      <w:r>
        <w:t xml:space="preserve"> (par défaut)</w:t>
      </w:r>
      <w:r>
        <w:rPr>
          <w:rStyle w:val="optioncarChar"/>
        </w:rPr>
        <w:t> / 2,5 / ***</w:t>
      </w:r>
      <w:r>
        <w:rPr>
          <w:rStyle w:val="soitChar"/>
        </w:rPr>
        <w:t xml:space="preserve"> cm .</w:t>
      </w:r>
      <w:r>
        <w:br/>
      </w:r>
      <w:r>
        <w:rPr>
          <w:b/>
        </w:rPr>
        <w:t>(soit)</w:t>
      </w:r>
      <w:r>
        <w:br/>
      </w:r>
      <w:r>
        <w:rPr>
          <w:rStyle w:val="soitChar"/>
        </w:rPr>
        <w:t xml:space="preserve">3. </w:t>
      </w:r>
      <w:r>
        <w:rPr>
          <w:rStyle w:val="soitChar"/>
          <w:u w:val="single"/>
        </w:rPr>
        <w:t>vives</w:t>
      </w:r>
    </w:p>
    <w:p w14:paraId="45480A7C" w14:textId="77777777" w:rsidR="00DB2B68"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77C7190D" w14:textId="77777777" w:rsidR="00DB2B68" w:rsidRDefault="00000000">
      <w:pPr>
        <w:pStyle w:val="Author-eSectionHeading6Numberless"/>
      </w:pPr>
      <w:bookmarkStart w:id="652" w:name="_Toc220495728"/>
      <w:r>
        <w:t>22.12.4c Faîtières préfabriquées en béton décoratif / architectonique CCTB 01.11</w:t>
      </w:r>
      <w:bookmarkEnd w:id="652"/>
    </w:p>
    <w:p w14:paraId="2C18F80B" w14:textId="77777777" w:rsidR="00DB2B68" w:rsidRDefault="00000000">
      <w:pPr>
        <w:pStyle w:val="pheading"/>
      </w:pPr>
      <w:r>
        <w:t>MATÉRIAUX</w:t>
      </w:r>
    </w:p>
    <w:p w14:paraId="54F07C43" w14:textId="77777777" w:rsidR="00DB2B68" w:rsidRDefault="00000000">
      <w:pPr>
        <w:pStyle w:val="pheading"/>
      </w:pPr>
      <w:r>
        <w:t>- Finitions</w:t>
      </w:r>
    </w:p>
    <w:p w14:paraId="28DBEE02" w14:textId="77777777" w:rsidR="00DB2B68"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18468A23" w14:textId="77777777" w:rsidR="00DB2B68" w:rsidRDefault="00000000">
      <w:r>
        <w:t>Les éléments en béton architectoniques doivent répondre au [PTV 21-601].</w:t>
      </w:r>
    </w:p>
    <w:p w14:paraId="652E1829" w14:textId="77777777" w:rsidR="00DB2B68" w:rsidRDefault="00000000">
      <w:r>
        <w:t xml:space="preserve">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3461C69F" w14:textId="77777777" w:rsidR="00DB2B68" w:rsidRDefault="00000000">
      <w:r>
        <w:t>Description détaillée des éléments :</w:t>
      </w:r>
    </w:p>
    <w:p w14:paraId="260D808E" w14:textId="77777777" w:rsidR="00DB2B68"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6F09834D" w14:textId="77777777" w:rsidR="00DB2B68" w:rsidRDefault="00000000">
      <w:r>
        <w:rPr>
          <w:b/>
          <w:i/>
        </w:rPr>
        <w:t> (soit par défaut)</w:t>
      </w:r>
    </w:p>
    <w:p w14:paraId="5AFF1842"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07527C6A" w14:textId="77777777" w:rsidR="00DB2B68" w:rsidRDefault="00000000">
      <w:r>
        <w:rPr>
          <w:b/>
          <w:i/>
        </w:rPr>
        <w:t> (soit)</w:t>
      </w:r>
    </w:p>
    <w:p w14:paraId="027B9939" w14:textId="77777777" w:rsidR="00DB2B68" w:rsidRDefault="00000000">
      <w:r>
        <w:rPr>
          <w:rStyle w:val="soitChar"/>
          <w:u w:val="single"/>
        </w:rPr>
        <w:lastRenderedPageBreak/>
        <w:t>Suivant échantillons à remettre pour approbation par l’architecte: </w:t>
      </w:r>
      <w:r>
        <w:rPr>
          <w:rStyle w:val="optioncarChar"/>
        </w:rPr>
        <w:t>gris </w:t>
      </w:r>
      <w:r>
        <w:t>(par défaut)</w:t>
      </w:r>
      <w:r>
        <w:rPr>
          <w:rStyle w:val="optioncarChar"/>
        </w:rPr>
        <w:t xml:space="preserve"> / blanc / vert / anthracite / rouge / ***</w:t>
      </w:r>
    </w:p>
    <w:p w14:paraId="5AB1C159" w14:textId="77777777" w:rsidR="00DB2B68" w:rsidRDefault="00000000">
      <w:r>
        <w:rPr>
          <w:b/>
          <w:i/>
        </w:rPr>
        <w:t>(soit) </w:t>
      </w:r>
    </w:p>
    <w:p w14:paraId="70536286" w14:textId="77777777" w:rsidR="00DB2B68" w:rsidRDefault="00000000">
      <w:r>
        <w:rPr>
          <w:rStyle w:val="soitChar"/>
          <w:u w:val="single"/>
        </w:rPr>
        <w:t>Suivant la couleur RAL</w:t>
      </w:r>
      <w:r>
        <w:rPr>
          <w:rStyle w:val="soitChar"/>
        </w:rPr>
        <w:t xml:space="preserve"> se rapprochant le mieux que possible du RAL </w:t>
      </w:r>
      <w:r>
        <w:rPr>
          <w:rStyle w:val="optioncarChar"/>
        </w:rPr>
        <w:t>***</w:t>
      </w:r>
    </w:p>
    <w:p w14:paraId="49F7B4CD" w14:textId="77777777" w:rsidR="00DB2B68" w:rsidRDefault="00000000">
      <w:r>
        <w:t> </w:t>
      </w:r>
    </w:p>
    <w:p w14:paraId="3EDFFBB5" w14:textId="77777777" w:rsidR="00DB2B68" w:rsidRDefault="00000000">
      <w:r>
        <w:t>2.     Texture : </w:t>
      </w:r>
      <w:r>
        <w:rPr>
          <w:rStyle w:val="optioncarChar"/>
        </w:rPr>
        <w:t>suivant échantillon disponible</w:t>
      </w:r>
      <w:r>
        <w:t> (par défaut)</w:t>
      </w:r>
      <w:r>
        <w:rPr>
          <w:rStyle w:val="optioncarChar"/>
        </w:rPr>
        <w:t> / suivant échantillons à remettre pour approbation par l'architecte</w:t>
      </w:r>
    </w:p>
    <w:p w14:paraId="31C8236D" w14:textId="77777777" w:rsidR="00DB2B68" w:rsidRDefault="00000000">
      <w:r>
        <w:rPr>
          <w:b/>
          <w:i/>
        </w:rPr>
        <w:t>(soit par défaut)</w:t>
      </w:r>
    </w:p>
    <w:p w14:paraId="6603C9D0"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3A6219C3" w14:textId="77777777" w:rsidR="00DB2B68" w:rsidRDefault="00000000">
      <w:r>
        <w:rPr>
          <w:b/>
          <w:i/>
        </w:rPr>
        <w:t>(soit)</w:t>
      </w:r>
    </w:p>
    <w:p w14:paraId="60832894" w14:textId="77777777" w:rsidR="00DB2B68" w:rsidRDefault="00000000">
      <w:r>
        <w:rPr>
          <w:rStyle w:val="soitChar"/>
          <w:u w:val="single"/>
        </w:rPr>
        <w:t>Echantillons à remettre pour approbation par l’architecte: </w:t>
      </w:r>
    </w:p>
    <w:p w14:paraId="22B88E55" w14:textId="77777777" w:rsidR="00DB2B68" w:rsidRDefault="00000000">
      <w:r>
        <w:t xml:space="preserve">La surface des éléments en béton est </w:t>
      </w:r>
      <w:r>
        <w:rPr>
          <w:rStyle w:val="optioncarChar"/>
        </w:rPr>
        <w:t>brute et lisse</w:t>
      </w:r>
      <w:r>
        <w:t> (par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1D39212E" w14:textId="77777777" w:rsidR="00DB2B68"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rPr>
          <w:b/>
        </w:rPr>
        <w:t>(soit)</w:t>
      </w:r>
      <w:r>
        <w:br/>
      </w:r>
      <w:r>
        <w:rPr>
          <w:rStyle w:val="soitChar"/>
        </w:rPr>
        <w:t xml:space="preserve">3. </w:t>
      </w:r>
      <w:r>
        <w:rPr>
          <w:rStyle w:val="soitChar"/>
          <w:u w:val="single"/>
        </w:rPr>
        <w:t>vives</w:t>
      </w:r>
    </w:p>
    <w:p w14:paraId="33BAB46F" w14:textId="77777777" w:rsidR="00DB2B68"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1CA8CE2F" w14:textId="77777777" w:rsidR="00DB2B68" w:rsidRDefault="00000000">
      <w:pPr>
        <w:pStyle w:val="Author-eSectionHeading6Numberless"/>
      </w:pPr>
      <w:bookmarkStart w:id="653" w:name="_Toc220495729"/>
      <w:r>
        <w:t>22.12.4d Sablières préfabriquées en béton décoratif / architectonique CCTB 01.11</w:t>
      </w:r>
      <w:bookmarkEnd w:id="653"/>
    </w:p>
    <w:p w14:paraId="12FA9BF9" w14:textId="77777777" w:rsidR="00DB2B68" w:rsidRDefault="00000000">
      <w:pPr>
        <w:pStyle w:val="pheading"/>
      </w:pPr>
      <w:r>
        <w:t>MATÉRIAUX</w:t>
      </w:r>
    </w:p>
    <w:p w14:paraId="333E4A18" w14:textId="77777777" w:rsidR="00DB2B68" w:rsidRDefault="00000000">
      <w:pPr>
        <w:pStyle w:val="pheading"/>
      </w:pPr>
      <w:r>
        <w:t>- Finitions</w:t>
      </w:r>
    </w:p>
    <w:p w14:paraId="77AD3BC1" w14:textId="77777777" w:rsidR="00DB2B68"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4BDA4E6D" w14:textId="77777777" w:rsidR="00DB2B68" w:rsidRDefault="00000000">
      <w:r>
        <w:t>Les éléments en béton architectoniques doivent répondre au [PTV 21-601].</w:t>
      </w:r>
    </w:p>
    <w:p w14:paraId="10FF9A6B" w14:textId="77777777" w:rsidR="00DB2B68" w:rsidRDefault="00000000">
      <w:r>
        <w:t xml:space="preserve">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38D3C726" w14:textId="77777777" w:rsidR="00DB2B68" w:rsidRDefault="00000000">
      <w:r>
        <w:t>Description détaillée des éléments :</w:t>
      </w:r>
    </w:p>
    <w:p w14:paraId="2F8BD333" w14:textId="77777777" w:rsidR="00DB2B68" w:rsidRDefault="00000000">
      <w:r>
        <w:lastRenderedPageBreak/>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22320F90" w14:textId="77777777" w:rsidR="00DB2B68" w:rsidRDefault="00000000">
      <w:r>
        <w:rPr>
          <w:b/>
          <w:i/>
        </w:rPr>
        <w:t> (soit par défaut)</w:t>
      </w:r>
    </w:p>
    <w:p w14:paraId="758BDE73"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11E1EB80" w14:textId="77777777" w:rsidR="00DB2B68" w:rsidRDefault="00000000">
      <w:r>
        <w:rPr>
          <w:b/>
          <w:i/>
        </w:rPr>
        <w:t> (soit)</w:t>
      </w:r>
    </w:p>
    <w:p w14:paraId="23143B95" w14:textId="77777777" w:rsidR="00DB2B68" w:rsidRDefault="00000000">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5A3E91CD" w14:textId="77777777" w:rsidR="00DB2B68" w:rsidRDefault="00000000">
      <w:r>
        <w:rPr>
          <w:b/>
          <w:i/>
        </w:rPr>
        <w:t>(soit)</w:t>
      </w:r>
    </w:p>
    <w:p w14:paraId="2D6C5B09" w14:textId="77777777" w:rsidR="00DB2B68" w:rsidRDefault="00000000">
      <w:r>
        <w:rPr>
          <w:rStyle w:val="soitChar"/>
          <w:u w:val="single"/>
        </w:rPr>
        <w:t>Suivant la couleur RAL</w:t>
      </w:r>
      <w:r>
        <w:rPr>
          <w:rStyle w:val="soitChar"/>
        </w:rPr>
        <w:t xml:space="preserve"> se rapprochant le mieux que possible du RAL </w:t>
      </w:r>
      <w:r>
        <w:rPr>
          <w:rStyle w:val="optioncarChar"/>
        </w:rPr>
        <w:t>***</w:t>
      </w:r>
    </w:p>
    <w:p w14:paraId="30ED41E3" w14:textId="77777777" w:rsidR="00DB2B68" w:rsidRDefault="00000000">
      <w:r>
        <w:t> </w:t>
      </w:r>
    </w:p>
    <w:p w14:paraId="19055E3C" w14:textId="77777777" w:rsidR="00DB2B68" w:rsidRDefault="00000000">
      <w:r>
        <w:t>2.     Texture : </w:t>
      </w:r>
      <w:r>
        <w:rPr>
          <w:rStyle w:val="optioncarChar"/>
        </w:rPr>
        <w:t>suivant échantillon disponible</w:t>
      </w:r>
      <w:r>
        <w:t> (par défaut)</w:t>
      </w:r>
      <w:r>
        <w:rPr>
          <w:rStyle w:val="optioncarChar"/>
        </w:rPr>
        <w:t> / suivant échantillons à remettre pour approbation par l'architecte</w:t>
      </w:r>
    </w:p>
    <w:p w14:paraId="7DFCE32F" w14:textId="77777777" w:rsidR="00DB2B68" w:rsidRDefault="00000000">
      <w:r>
        <w:rPr>
          <w:b/>
          <w:i/>
        </w:rPr>
        <w:t>(soit par défaut)</w:t>
      </w:r>
    </w:p>
    <w:p w14:paraId="69A47589"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653E0586" w14:textId="77777777" w:rsidR="00DB2B68" w:rsidRDefault="00000000">
      <w:r>
        <w:rPr>
          <w:b/>
          <w:i/>
        </w:rPr>
        <w:t>(soit)</w:t>
      </w:r>
    </w:p>
    <w:p w14:paraId="1766D015" w14:textId="77777777" w:rsidR="00DB2B68" w:rsidRDefault="00000000">
      <w:r>
        <w:rPr>
          <w:rStyle w:val="soitChar"/>
          <w:u w:val="single"/>
        </w:rPr>
        <w:t>Echantillons à remettre pour approbation par l’architecte: </w:t>
      </w:r>
    </w:p>
    <w:p w14:paraId="5E496668" w14:textId="77777777" w:rsidR="00DB2B68" w:rsidRDefault="00000000">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40EA8723" w14:textId="77777777" w:rsidR="00DB2B68"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004F1E03" w14:textId="77777777" w:rsidR="00DB2B68"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w:t>
      </w:r>
    </w:p>
    <w:p w14:paraId="763F19D3" w14:textId="77777777" w:rsidR="00DB2B68" w:rsidRDefault="00000000">
      <w:pPr>
        <w:pStyle w:val="Author-eSectionHeading5Numberless"/>
      </w:pPr>
      <w:bookmarkStart w:id="654" w:name="_Toc220495730"/>
      <w:r>
        <w:t>22.12.5 Eléments de charpente de toiture mixtes acier-béton CCTB 01.04</w:t>
      </w:r>
      <w:bookmarkEnd w:id="654"/>
    </w:p>
    <w:p w14:paraId="6DCEB175" w14:textId="77777777" w:rsidR="00DB2B68" w:rsidRDefault="00000000">
      <w:pPr>
        <w:pStyle w:val="Author-eSectionHeading6Numberless"/>
      </w:pPr>
      <w:bookmarkStart w:id="655" w:name="_Toc220495731"/>
      <w:r>
        <w:t>22.12.5a Pannes mixtes acier-béton CCTB 01.04</w:t>
      </w:r>
      <w:bookmarkEnd w:id="655"/>
    </w:p>
    <w:p w14:paraId="2D7ABCD5" w14:textId="77777777" w:rsidR="00DB2B68" w:rsidRDefault="00000000">
      <w:pPr>
        <w:pStyle w:val="Author-eSectionHeading6Numberless"/>
      </w:pPr>
      <w:bookmarkStart w:id="656" w:name="_Toc220495732"/>
      <w:r>
        <w:t>22.12.5b Chevrons autoporteurs mixtes acier-béton CCTB 01.04</w:t>
      </w:r>
      <w:bookmarkEnd w:id="656"/>
    </w:p>
    <w:p w14:paraId="58AAFD70" w14:textId="77777777" w:rsidR="00DB2B68" w:rsidRDefault="00000000">
      <w:pPr>
        <w:pStyle w:val="Author-eSectionHeading6Numberless"/>
      </w:pPr>
      <w:bookmarkStart w:id="657" w:name="_Toc220495733"/>
      <w:r>
        <w:t>22.12.5c Faîtières mixtes acier-béton CCTB 01.04</w:t>
      </w:r>
      <w:bookmarkEnd w:id="657"/>
    </w:p>
    <w:p w14:paraId="32C98529" w14:textId="77777777" w:rsidR="00DB2B68" w:rsidRDefault="00000000">
      <w:pPr>
        <w:pStyle w:val="Author-eSectionHeading6Numberless"/>
      </w:pPr>
      <w:bookmarkStart w:id="658" w:name="_Toc220495734"/>
      <w:r>
        <w:lastRenderedPageBreak/>
        <w:t>22.12.5d Sablières mixtes acier-béton CCTB 01.04</w:t>
      </w:r>
      <w:bookmarkEnd w:id="658"/>
    </w:p>
    <w:p w14:paraId="780636B4" w14:textId="77777777" w:rsidR="00DB2B68" w:rsidRDefault="00000000">
      <w:pPr>
        <w:pStyle w:val="Author-eSectionHeading4Numberless"/>
      </w:pPr>
      <w:bookmarkStart w:id="659" w:name="_Toc220495735"/>
      <w:r>
        <w:t>22.13 Linteaux en béton CCTB 01.11</w:t>
      </w:r>
      <w:bookmarkEnd w:id="659"/>
    </w:p>
    <w:p w14:paraId="216D9C2A" w14:textId="77777777" w:rsidR="00DB2B68" w:rsidRDefault="00000000">
      <w:pPr>
        <w:pStyle w:val="pheading"/>
      </w:pPr>
      <w:bookmarkStart w:id="660" w:name="360"/>
      <w:bookmarkEnd w:id="660"/>
      <w:r>
        <w:t>DESCRIPTION</w:t>
      </w:r>
    </w:p>
    <w:p w14:paraId="050CCC01" w14:textId="77777777" w:rsidR="00DB2B68" w:rsidRDefault="00000000">
      <w:pPr>
        <w:pStyle w:val="pheading"/>
      </w:pPr>
      <w:r>
        <w:t>- Remarques importantes</w:t>
      </w:r>
    </w:p>
    <w:p w14:paraId="56FB068C" w14:textId="77777777" w:rsidR="00DB2B68" w:rsidRDefault="00000000">
      <w:pPr>
        <w:jc w:val="both"/>
      </w:pPr>
      <w:r>
        <w:t>Dans les linteaux des portes et fenêtres dont la portée est supérieure à 110 cm, on prévoit aux endroits nécessaires des blochets en queue d’aronde afin de pouvoir ancrer solidement la menuiserie extérieure. Une concertation préalable avec le fabricant des châssis est nécessaire.</w:t>
      </w:r>
    </w:p>
    <w:p w14:paraId="77370DEF" w14:textId="77777777" w:rsidR="00DB2B68" w:rsidRDefault="00000000">
      <w:pPr>
        <w:pStyle w:val="pheading"/>
      </w:pPr>
      <w:r>
        <w:t>EXÉCUTION / MISE EN ŒUVRE</w:t>
      </w:r>
    </w:p>
    <w:p w14:paraId="161E8B4E" w14:textId="77777777" w:rsidR="00DB2B68" w:rsidRDefault="00000000">
      <w:pPr>
        <w:jc w:val="both"/>
      </w:pPr>
      <w:r>
        <w:t>Les linteaux sont exécutés d’aplomb, alignés et de niveau.</w:t>
      </w:r>
    </w:p>
    <w:p w14:paraId="2CD2DE05" w14:textId="77777777" w:rsidR="00DB2B68" w:rsidRDefault="00000000">
      <w:pPr>
        <w:jc w:val="both"/>
      </w:pPr>
      <w:r>
        <w:t>Avant leur mise en œuvre, les éléments sont complètement nettoyés et humidifiés. Les extrémités de l’élément reposent sur un lit en mortier de ciment.</w:t>
      </w:r>
    </w:p>
    <w:p w14:paraId="309C1F83" w14:textId="77777777" w:rsidR="00DB2B68" w:rsidRDefault="00000000">
      <w:pPr>
        <w:jc w:val="both"/>
      </w:pPr>
      <w:r>
        <w:t>Dans les maçonneries portantes, les linteaux ne peuvent pas reposer sur des blocs creux en béton léger ou en terre cuite, sauf si les creux de ces blocs ont d’abord été remplis de béton ou qu’un élément de répartition est prévu par ailleurs.</w:t>
      </w:r>
    </w:p>
    <w:p w14:paraId="7071B92E" w14:textId="77777777" w:rsidR="00DB2B68" w:rsidRDefault="00000000">
      <w:pPr>
        <w:jc w:val="both"/>
      </w:pPr>
      <w:r>
        <w:t>Pour les portées supérieures à 1,20 m, un support est placé au centre pendant l’exécution.</w:t>
      </w:r>
    </w:p>
    <w:p w14:paraId="55DA1CAF" w14:textId="77777777" w:rsidR="00DB2B68" w:rsidRDefault="00000000">
      <w:pPr>
        <w:jc w:val="both"/>
      </w:pPr>
      <w:r>
        <w:t>La longueur d’appui est ≥ à 15 cm pour une portée maximale de 150 cm. Pour les portées supérieures, l’appui est ≥ à 20 cm.</w:t>
      </w:r>
    </w:p>
    <w:p w14:paraId="2B8B52E5" w14:textId="77777777" w:rsidR="00DB2B68" w:rsidRDefault="00000000">
      <w:pPr>
        <w:jc w:val="both"/>
      </w:pPr>
      <w:r>
        <w:t>Lorsque les linteaux sont intégrés dans des maçonneries mixtes, les prescriptions de l’auteur de projet en ce qui concerne la pose des membranes d’étanchéité et/ou de l’isolation afin de prévenir les ponts thermiques sont scrupuleusement respectées par l’entrepreneur. Lorsque ces recommandations ne figurent pas explicitement sur les plans, l’entrepreneur s’informe avant de commencer ses travaux.</w:t>
      </w:r>
    </w:p>
    <w:p w14:paraId="1AF7F58F" w14:textId="77777777" w:rsidR="00DB2B68" w:rsidRDefault="00000000">
      <w:pPr>
        <w:pStyle w:val="Author-eSectionHeading5Numberless"/>
      </w:pPr>
      <w:bookmarkStart w:id="661" w:name="_Toc220495736"/>
      <w:r>
        <w:t>22.13.1 Linteaux en béton CCTB 01.04</w:t>
      </w:r>
      <w:bookmarkEnd w:id="661"/>
    </w:p>
    <w:p w14:paraId="359424AC" w14:textId="77777777" w:rsidR="00DB2B68" w:rsidRDefault="00000000">
      <w:pPr>
        <w:pStyle w:val="Author-eSectionHeading6Numberless"/>
      </w:pPr>
      <w:bookmarkStart w:id="662" w:name="427"/>
      <w:bookmarkStart w:id="663" w:name="_Toc220495737"/>
      <w:bookmarkEnd w:id="662"/>
      <w:r>
        <w:t>22.13.1a Linteaux en béton coulé en place CCTB 01.13</w:t>
      </w:r>
      <w:bookmarkEnd w:id="663"/>
    </w:p>
    <w:p w14:paraId="0F4FBD65" w14:textId="77777777" w:rsidR="00DB2B68" w:rsidRDefault="00000000">
      <w:pPr>
        <w:pStyle w:val="pheading"/>
      </w:pPr>
      <w:bookmarkStart w:id="664" w:name="174"/>
      <w:bookmarkEnd w:id="664"/>
      <w:r>
        <w:t>MATÉRIAUX</w:t>
      </w:r>
    </w:p>
    <w:p w14:paraId="0121762E" w14:textId="77777777" w:rsidR="00DB2B68" w:rsidRDefault="00000000">
      <w:pPr>
        <w:pStyle w:val="pheading"/>
      </w:pPr>
      <w:r>
        <w:t>- Caractéristiques générales</w:t>
      </w:r>
    </w:p>
    <w:p w14:paraId="7BBF75CF"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 (voir </w:t>
      </w:r>
      <w:hyperlink w:anchor="232" w:history="1">
        <w:r>
          <w:rPr>
            <w:color w:val="0000EE"/>
          </w:rPr>
          <w:t>22.51 Armatures pour béton</w:t>
        </w:r>
      </w:hyperlink>
      <w:r>
        <w:t>)</w:t>
      </w:r>
    </w:p>
    <w:p w14:paraId="7B1781C1" w14:textId="77777777" w:rsidR="00DB2B68" w:rsidRDefault="00000000">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 .</w:t>
      </w:r>
      <w:r>
        <w:br/>
        <w:t xml:space="preserve">Acier pour les étriers : acier </w:t>
      </w:r>
      <w:r>
        <w:rPr>
          <w:rStyle w:val="optioncarChar"/>
        </w:rPr>
        <w:t>DE 500 BS / BE 500 S</w:t>
      </w:r>
      <w:r>
        <w:br/>
      </w:r>
      <w:r>
        <w:rPr>
          <w:b/>
        </w:rPr>
        <w:t>(Soit par défaut)</w:t>
      </w:r>
      <w:r>
        <w:br/>
      </w:r>
      <w:r>
        <w:rPr>
          <w:color w:val="33CCCC"/>
        </w:rPr>
        <w:t xml:space="preserve">1. </w:t>
      </w:r>
      <w:r>
        <w:rPr>
          <w:u w:val="single"/>
        </w:rPr>
        <w:t>DE 500 BS</w:t>
      </w:r>
      <w:r>
        <w:rPr>
          <w:color w:val="33CCCC"/>
        </w:rPr>
        <w:t xml:space="preserve"> selon [NBN A 24-303] + [PTV 303].</w:t>
      </w:r>
      <w:r>
        <w:br/>
      </w:r>
      <w:r>
        <w:rPr>
          <w:b/>
        </w:rPr>
        <w:t>(Soit)</w:t>
      </w:r>
      <w:r>
        <w:br/>
      </w:r>
      <w:r>
        <w:rPr>
          <w:color w:val="33CCCC"/>
        </w:rPr>
        <w:t xml:space="preserve">2. </w:t>
      </w:r>
      <w:r>
        <w:rPr>
          <w:u w:val="single"/>
        </w:rPr>
        <w:t>BE 500 S</w:t>
      </w:r>
      <w:r>
        <w:rPr>
          <w:color w:val="33CCCC"/>
        </w:rPr>
        <w:t xml:space="preserve"> selon [NBN A 24-302] + [PTV 302].</w:t>
      </w:r>
    </w:p>
    <w:p w14:paraId="4FD9C2B9" w14:textId="77777777" w:rsidR="00DB2B68" w:rsidRDefault="00000000">
      <w:pPr>
        <w:pStyle w:val="Author-eSectionHeading6Numberless"/>
      </w:pPr>
      <w:bookmarkStart w:id="665" w:name="_Toc220495738"/>
      <w:r>
        <w:t>22.13.1b Linteaux en béton apparent (esthétique) coulé en place CCTB 01.11</w:t>
      </w:r>
      <w:bookmarkEnd w:id="665"/>
    </w:p>
    <w:p w14:paraId="7010058D" w14:textId="77777777" w:rsidR="00DB2B68" w:rsidRDefault="00000000">
      <w:pPr>
        <w:pStyle w:val="pheading"/>
      </w:pPr>
      <w:bookmarkStart w:id="666" w:name="175"/>
      <w:bookmarkEnd w:id="666"/>
      <w:r>
        <w:t>MATÉRIAUX</w:t>
      </w:r>
    </w:p>
    <w:p w14:paraId="31B1E3F7" w14:textId="77777777" w:rsidR="00DB2B68" w:rsidRDefault="00000000">
      <w:pPr>
        <w:pStyle w:val="pheading"/>
      </w:pPr>
      <w:r>
        <w:t>- Finitions</w:t>
      </w:r>
    </w:p>
    <w:p w14:paraId="10834A62"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17C9484D" w14:textId="77777777" w:rsidR="00DB2B68"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486" w:history="1">
        <w:r>
          <w:rPr>
            <w:color w:val="0000EE"/>
          </w:rPr>
          <w:t>22.71 Traitements esthétiques ou de surface</w:t>
        </w:r>
      </w:hyperlink>
      <w:r>
        <w:t>.</w:t>
      </w:r>
    </w:p>
    <w:p w14:paraId="1FE77C61"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lastRenderedPageBreak/>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ZBA/4, ZBA/5 seules les caractéristiques pertinentes sont retenues)</w:t>
      </w:r>
      <w:r>
        <w:br/>
      </w:r>
    </w:p>
    <w:p w14:paraId="0E9B56E1" w14:textId="77777777" w:rsidR="00DB2B68" w:rsidRDefault="00000000">
      <w:pPr>
        <w:pStyle w:val="Author-eListParagraph"/>
        <w:numPr>
          <w:ilvl w:val="0"/>
          <w:numId w:val="376"/>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7860ADB5" w14:textId="77777777" w:rsidR="00DB2B68" w:rsidRDefault="00000000">
      <w:pPr>
        <w:pStyle w:val="Author-eListParagraph"/>
        <w:numPr>
          <w:ilvl w:val="0"/>
          <w:numId w:val="376"/>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2FF4ECE5" w14:textId="77777777" w:rsidR="00DB2B68" w:rsidRDefault="00000000">
      <w:pPr>
        <w:pStyle w:val="Author-eListParagraph"/>
        <w:numPr>
          <w:ilvl w:val="0"/>
          <w:numId w:val="376"/>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230D5A5" w14:textId="77777777" w:rsidR="00DB2B68" w:rsidRDefault="00000000">
      <w:pPr>
        <w:pStyle w:val="Author-eListParagraph"/>
        <w:numPr>
          <w:ilvl w:val="0"/>
          <w:numId w:val="376"/>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06810D96" w14:textId="77777777" w:rsidR="00DB2B68" w:rsidRDefault="00000000">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w:t>
      </w:r>
      <w:r>
        <w:t xml:space="preserve"> (par défaut) </w:t>
      </w:r>
      <w:r>
        <w:rPr>
          <w:rStyle w:val="optioncarChar"/>
        </w:rPr>
        <w:t xml:space="preserve">/ 2,5 x 2,5 / *** x *** </w:t>
      </w:r>
      <w:r>
        <w:rPr>
          <w:rStyle w:val="soitChar"/>
        </w:rPr>
        <w:t>cm²</w:t>
      </w:r>
      <w:r>
        <w:rPr>
          <w:rStyle w:val="optioncarChar"/>
        </w:rPr>
        <w:t>.</w:t>
      </w:r>
    </w:p>
    <w:p w14:paraId="1FF2E386" w14:textId="77777777" w:rsidR="00DB2B68" w:rsidRDefault="00000000">
      <w:pPr>
        <w:pStyle w:val="Author-eSectionHeading6Numberless"/>
      </w:pPr>
      <w:bookmarkStart w:id="667" w:name="_Toc220495739"/>
      <w:r>
        <w:t>22.13.1c Linteaux préfabriqués en béton armé CCTB 01.11</w:t>
      </w:r>
      <w:bookmarkEnd w:id="667"/>
    </w:p>
    <w:p w14:paraId="440F4FB7" w14:textId="77777777" w:rsidR="00DB2B68" w:rsidRDefault="00000000">
      <w:pPr>
        <w:pStyle w:val="pheading"/>
      </w:pPr>
      <w:bookmarkStart w:id="668" w:name="171"/>
      <w:bookmarkEnd w:id="668"/>
      <w:r>
        <w:t>DESCRIPTION</w:t>
      </w:r>
    </w:p>
    <w:p w14:paraId="1A71F6A0" w14:textId="77777777" w:rsidR="00DB2B68" w:rsidRDefault="00000000">
      <w:pPr>
        <w:pStyle w:val="pheading"/>
      </w:pPr>
      <w:r>
        <w:t>- Définition / Comprend</w:t>
      </w:r>
    </w:p>
    <w:p w14:paraId="210F151E" w14:textId="77777777" w:rsidR="00DB2B68" w:rsidRDefault="00000000">
      <w:pPr>
        <w:jc w:val="both"/>
      </w:pPr>
      <w:r>
        <w:t>Il s'agit de linteaux préfabriqués en béton de portée réduite à placer au-dessus des baies de portes et de fenêtres.</w:t>
      </w:r>
    </w:p>
    <w:p w14:paraId="5AA9F431" w14:textId="77777777" w:rsidR="00DB2B68" w:rsidRDefault="00000000">
      <w:pPr>
        <w:pStyle w:val="pheading"/>
      </w:pPr>
      <w:r>
        <w:t>MATÉRIAUX</w:t>
      </w:r>
    </w:p>
    <w:p w14:paraId="4509E2E7" w14:textId="77777777" w:rsidR="00DB2B68" w:rsidRDefault="00000000">
      <w:pPr>
        <w:pStyle w:val="pheading"/>
      </w:pPr>
      <w:r>
        <w:t>- Caractéristiques générales</w:t>
      </w:r>
    </w:p>
    <w:p w14:paraId="27528F5C" w14:textId="77777777" w:rsidR="00DB2B68" w:rsidRDefault="00000000">
      <w:pPr>
        <w:jc w:val="both"/>
      </w:pPr>
      <w:r>
        <w:t>Les linteaux sont constitués d’éléments préfabriqués en béton armé.</w:t>
      </w:r>
    </w:p>
    <w:p w14:paraId="2552954A" w14:textId="77777777" w:rsidR="00DB2B68" w:rsidRDefault="00000000">
      <w:pPr>
        <w:jc w:val="both"/>
      </w:pPr>
      <w:r>
        <w:t xml:space="preserve">Dimensions : </w:t>
      </w:r>
      <w:r>
        <w:rPr>
          <w:rStyle w:val="optioncarChar"/>
        </w:rPr>
        <w:t xml:space="preserve">voir métré et plan </w:t>
      </w:r>
      <w:r>
        <w:t>(par défaut)</w:t>
      </w:r>
      <w:r>
        <w:rPr>
          <w:rStyle w:val="optioncarChar"/>
        </w:rPr>
        <w:t xml:space="preserve"> / 9 x 19 / 14 x 19 / 19 x 19 / 14 x 29 / 19 x 29 / *** </w:t>
      </w:r>
      <w:r>
        <w:t>cm</w:t>
      </w:r>
    </w:p>
    <w:p w14:paraId="6C35FBB1" w14:textId="77777777" w:rsidR="00DB2B68" w:rsidRDefault="00000000">
      <w:pPr>
        <w:jc w:val="both"/>
      </w:pPr>
      <w:r>
        <w:t>La capacité portante est spécifiée par le fabricant et la fiche technique du produit est soumise à l’approbation de la direction du chantier.</w:t>
      </w:r>
    </w:p>
    <w:p w14:paraId="6E059DE6" w14:textId="77777777" w:rsidR="00DB2B68" w:rsidRDefault="00000000">
      <w:pPr>
        <w:jc w:val="both"/>
      </w:pPr>
      <w:r>
        <w:t xml:space="preserve">Résistance au feu : </w:t>
      </w:r>
      <w:r>
        <w:rPr>
          <w:rStyle w:val="optioncarChar"/>
        </w:rPr>
        <w:t>R15 / R30 / R60 / R120</w:t>
      </w:r>
      <w:r>
        <w:t xml:space="preserve"> démontrée par test au feu selon la [NBN EN 13501-2] ou par calcul selon les Eurocodes conformément à l’[AM 2013-05-17].</w:t>
      </w:r>
    </w:p>
    <w:p w14:paraId="68877045" w14:textId="77777777" w:rsidR="00DB2B68" w:rsidRDefault="00000000">
      <w:pPr>
        <w:pStyle w:val="pheading"/>
      </w:pPr>
      <w:r>
        <w:t>- Finitions</w:t>
      </w:r>
    </w:p>
    <w:p w14:paraId="2EEB00AD" w14:textId="77777777" w:rsidR="00DB2B68" w:rsidRDefault="00000000">
      <w:r>
        <w:t xml:space="preserve">Aspect de surface : </w:t>
      </w:r>
      <w:r>
        <w:rPr>
          <w:rStyle w:val="optioncarChar"/>
        </w:rPr>
        <w:t>légèrement rugueux (destinée à être plafonnée)</w:t>
      </w:r>
      <w:r>
        <w:t xml:space="preserve"> (par défaut)</w:t>
      </w:r>
      <w:r>
        <w:rPr>
          <w:rStyle w:val="optioncarChar"/>
        </w:rPr>
        <w:t xml:space="preserve"> / lisse / ***</w:t>
      </w:r>
    </w:p>
    <w:p w14:paraId="0885BF1F" w14:textId="77777777" w:rsidR="00DB2B68" w:rsidRDefault="00000000">
      <w:pPr>
        <w:pStyle w:val="pheading"/>
      </w:pPr>
      <w:r>
        <w:t>EXÉCUTION / MISE EN ŒUVRE</w:t>
      </w:r>
    </w:p>
    <w:p w14:paraId="0E01CCAD" w14:textId="77777777" w:rsidR="00DB2B68" w:rsidRDefault="00000000">
      <w:pPr>
        <w:pStyle w:val="pheading"/>
      </w:pPr>
      <w:r>
        <w:t>- Prescriptions générales</w:t>
      </w:r>
    </w:p>
    <w:p w14:paraId="7615B61A" w14:textId="77777777" w:rsidR="00DB2B68" w:rsidRDefault="00000000">
      <w:pPr>
        <w:jc w:val="both"/>
      </w:pPr>
      <w:r>
        <w:t>L’utilisation des linteaux préfabriqués s’effectue sous l’entière responsabilité de l’entrepreneur. Le dimensionnement des éléments est déterminé d’après</w:t>
      </w:r>
      <w:r>
        <w:rPr>
          <w:rStyle w:val="optioncarChar"/>
        </w:rPr>
        <w:t xml:space="preserve"> l’étude de stabilité / la note de calcul à soumettre</w:t>
      </w:r>
      <w:r>
        <w:t>.</w:t>
      </w:r>
    </w:p>
    <w:p w14:paraId="39F7F88F" w14:textId="77777777" w:rsidR="00DB2B68" w:rsidRDefault="00000000">
      <w:pPr>
        <w:jc w:val="both"/>
      </w:pPr>
      <w:r>
        <w:rPr>
          <w:b/>
        </w:rPr>
        <w:t>(soit)</w:t>
      </w:r>
    </w:p>
    <w:p w14:paraId="79075C30" w14:textId="77777777" w:rsidR="00DB2B68" w:rsidRDefault="00000000">
      <w:pPr>
        <w:jc w:val="both"/>
      </w:pPr>
      <w:r>
        <w:rPr>
          <w:rStyle w:val="soitChar"/>
          <w:u w:val="single"/>
        </w:rPr>
        <w:t>Etude de stabilité :</w:t>
      </w:r>
    </w:p>
    <w:p w14:paraId="2A68A044" w14:textId="77777777" w:rsidR="00DB2B68" w:rsidRDefault="00000000">
      <w:pPr>
        <w:jc w:val="both"/>
      </w:pPr>
      <w:r>
        <w:rPr>
          <w:rStyle w:val="soitChar"/>
        </w:rPr>
        <w:t xml:space="preserve">Le type de linteau est déterminé d’après l’étude de stabilité </w:t>
      </w:r>
      <w:r>
        <w:rPr>
          <w:rStyle w:val="optioncarChar"/>
        </w:rPr>
        <w:t>annexée aux documents du marché / à charge de l’entrepreneur</w:t>
      </w:r>
      <w:r>
        <w:rPr>
          <w:rStyle w:val="soitChar"/>
        </w:rPr>
        <w:t>.</w:t>
      </w:r>
    </w:p>
    <w:p w14:paraId="0AD909E1" w14:textId="77777777" w:rsidR="00DB2B68" w:rsidRDefault="00000000">
      <w:pPr>
        <w:jc w:val="both"/>
      </w:pPr>
      <w:r>
        <w:rPr>
          <w:b/>
        </w:rPr>
        <w:t>(soit)</w:t>
      </w:r>
    </w:p>
    <w:p w14:paraId="435CA08E" w14:textId="77777777" w:rsidR="00DB2B68" w:rsidRDefault="00000000">
      <w:pPr>
        <w:jc w:val="both"/>
      </w:pPr>
      <w:r>
        <w:rPr>
          <w:rStyle w:val="soitChar"/>
          <w:u w:val="single"/>
        </w:rPr>
        <w:t>Note de calcul à soumettre :</w:t>
      </w:r>
    </w:p>
    <w:p w14:paraId="53883AAE" w14:textId="77777777" w:rsidR="00DB2B68" w:rsidRDefault="00000000">
      <w:pPr>
        <w:jc w:val="both"/>
      </w:pPr>
      <w:r>
        <w:rPr>
          <w:rStyle w:val="soitChar"/>
        </w:rPr>
        <w:t>Une note de calcul établie par le bureau d’études désigné par l’entrepreneur est soumise pour approbation à l’auteur de projet, Les charges et combinaisons de charge à prendre en compte sont régies par les Eurocodes essentiellement la [NBN EN 1990] et la [NBN EN 1991 série].</w:t>
      </w:r>
    </w:p>
    <w:p w14:paraId="2C400FE9" w14:textId="77777777" w:rsidR="00DB2B68" w:rsidRDefault="00000000">
      <w:pPr>
        <w:pStyle w:val="pheading"/>
      </w:pPr>
      <w:r>
        <w:lastRenderedPageBreak/>
        <w:t>DOCUMENTS DE RÉFÉRENCE COMPLÉMENTAIRES</w:t>
      </w:r>
    </w:p>
    <w:p w14:paraId="30AF2A4C" w14:textId="77777777" w:rsidR="00DB2B68" w:rsidRDefault="00000000">
      <w:pPr>
        <w:pStyle w:val="pheading"/>
      </w:pPr>
      <w:r>
        <w:t>- Matériau</w:t>
      </w:r>
    </w:p>
    <w:p w14:paraId="4AF6787B" w14:textId="77777777" w:rsidR="00DB2B68" w:rsidRDefault="00000000">
      <w:r>
        <w:t>[NBN EN 845-2:2013+A1, Spécifications pour composants accessoires de maçonnerie - Partie 2: Linteaux]</w:t>
      </w:r>
    </w:p>
    <w:p w14:paraId="6C78DC79" w14:textId="77777777" w:rsidR="00DB2B68" w:rsidRDefault="00000000">
      <w:pPr>
        <w:pStyle w:val="pheading"/>
      </w:pPr>
      <w:r>
        <w:t>- Exécution</w:t>
      </w:r>
    </w:p>
    <w:p w14:paraId="73AF0D55" w14:textId="77777777" w:rsidR="00DB2B68" w:rsidRDefault="00000000">
      <w:r>
        <w:t>Appuis [STS 22 série, Maçonnerie pour constructions basses]</w:t>
      </w:r>
    </w:p>
    <w:p w14:paraId="1D9F6DFE" w14:textId="77777777" w:rsidR="00DB2B68" w:rsidRDefault="00000000">
      <w:pPr>
        <w:pStyle w:val="pheading"/>
      </w:pPr>
      <w:r>
        <w:t>MESURAGE</w:t>
      </w:r>
    </w:p>
    <w:p w14:paraId="084B6359" w14:textId="77777777" w:rsidR="00DB2B68" w:rsidRDefault="00000000">
      <w:pPr>
        <w:pStyle w:val="pheading"/>
      </w:pPr>
      <w:r>
        <w:t>- unité de mesure:</w:t>
      </w:r>
    </w:p>
    <w:p w14:paraId="4F2EF80A" w14:textId="77777777" w:rsidR="00DB2B68" w:rsidRDefault="00000000">
      <w:r>
        <w:rPr>
          <w:rStyle w:val="optioncarChar"/>
        </w:rPr>
        <w:t>m³ </w:t>
      </w:r>
      <w:r>
        <w:t>(par défaut) </w:t>
      </w:r>
      <w:r>
        <w:rPr>
          <w:rStyle w:val="optioncarChar"/>
        </w:rPr>
        <w:t>/ m / pc / - </w:t>
      </w:r>
    </w:p>
    <w:p w14:paraId="57EE8600" w14:textId="77777777" w:rsidR="00DB2B68" w:rsidRDefault="00000000">
      <w:r>
        <w:rPr>
          <w:b/>
        </w:rPr>
        <w:t>(soit par défaut)  </w:t>
      </w:r>
      <w:r>
        <w:br/>
      </w:r>
      <w:r>
        <w:rPr>
          <w:rStyle w:val="soitChar"/>
        </w:rPr>
        <w:t>1. m³</w:t>
      </w:r>
      <w:r>
        <w:br/>
      </w:r>
      <w:r>
        <w:rPr>
          <w:b/>
        </w:rPr>
        <w:t xml:space="preserve">(soit) </w:t>
      </w:r>
      <w:r>
        <w:br/>
      </w:r>
      <w:r>
        <w:rPr>
          <w:rStyle w:val="soitChar"/>
        </w:rPr>
        <w:t>2. m    </w:t>
      </w:r>
      <w:r>
        <w:br/>
      </w:r>
      <w:r>
        <w:rPr>
          <w:b/>
        </w:rPr>
        <w:t xml:space="preserve">(soit) </w:t>
      </w:r>
      <w:r>
        <w:br/>
      </w:r>
      <w:r>
        <w:rPr>
          <w:rStyle w:val="soitChar"/>
        </w:rPr>
        <w:t>3. pc </w:t>
      </w:r>
      <w:r>
        <w:t xml:space="preserve">    </w:t>
      </w:r>
      <w:r>
        <w:br/>
      </w:r>
      <w:r>
        <w:rPr>
          <w:b/>
        </w:rPr>
        <w:t xml:space="preserve">(soit) </w:t>
      </w:r>
      <w:r>
        <w:br/>
      </w:r>
      <w:r>
        <w:rPr>
          <w:rStyle w:val="soitChar"/>
        </w:rPr>
        <w:t>4. -     </w:t>
      </w:r>
    </w:p>
    <w:p w14:paraId="74979D31" w14:textId="77777777" w:rsidR="00DB2B68" w:rsidRDefault="00000000">
      <w:pPr>
        <w:pStyle w:val="pheading"/>
      </w:pPr>
      <w:r>
        <w:t>- code de mesurage:</w:t>
      </w:r>
    </w:p>
    <w:p w14:paraId="77764FEB" w14:textId="77777777" w:rsidR="00DB2B68" w:rsidRDefault="00000000">
      <w:pPr>
        <w:jc w:val="both"/>
      </w:pPr>
      <w:r>
        <w:rPr>
          <w:rStyle w:val="optioncarChar"/>
        </w:rPr>
        <w:t>Volume net</w:t>
      </w:r>
      <w:r>
        <w:t> (par défaut) </w:t>
      </w:r>
      <w:r>
        <w:rPr>
          <w:rStyle w:val="optioncarChar"/>
        </w:rPr>
        <w:t>/ Longueur nette / A la pièce / Compris </w:t>
      </w:r>
    </w:p>
    <w:p w14:paraId="10E4D299" w14:textId="77777777" w:rsidR="00DB2B68" w:rsidRDefault="00000000">
      <w:pPr>
        <w:jc w:val="both"/>
      </w:pPr>
      <w:r>
        <w:rPr>
          <w:b/>
        </w:rPr>
        <w:t>(soit par défaut)  </w:t>
      </w:r>
    </w:p>
    <w:p w14:paraId="35700489" w14:textId="77777777" w:rsidR="00DB2B68" w:rsidRDefault="00000000">
      <w:pPr>
        <w:jc w:val="both"/>
      </w:pPr>
      <w:r>
        <w:rPr>
          <w:rStyle w:val="soitChar"/>
        </w:rPr>
        <w:t xml:space="preserve">1. </w:t>
      </w:r>
      <w:r>
        <w:rPr>
          <w:rStyle w:val="soitChar"/>
          <w:u w:val="single"/>
        </w:rPr>
        <w:t>Volume net</w:t>
      </w:r>
      <w:r>
        <w:rPr>
          <w:rStyle w:val="soitChar"/>
        </w:rPr>
        <w:t xml:space="preserve"> des éléments mis en œuvre</w:t>
      </w:r>
    </w:p>
    <w:p w14:paraId="256AC427" w14:textId="77777777" w:rsidR="00DB2B68" w:rsidRDefault="00000000">
      <w:pPr>
        <w:jc w:val="both"/>
      </w:pPr>
      <w:r>
        <w:rPr>
          <w:b/>
        </w:rPr>
        <w:t>(soit)</w:t>
      </w:r>
    </w:p>
    <w:p w14:paraId="0BF3D17B" w14:textId="77777777" w:rsidR="00DB2B68" w:rsidRDefault="00000000">
      <w:pPr>
        <w:jc w:val="both"/>
      </w:pPr>
      <w:r>
        <w:rPr>
          <w:rStyle w:val="soitChar"/>
        </w:rPr>
        <w:t xml:space="preserve">2. </w:t>
      </w:r>
      <w:r>
        <w:rPr>
          <w:rStyle w:val="soitChar"/>
          <w:u w:val="single"/>
        </w:rPr>
        <w:t>Longueur nette</w:t>
      </w:r>
      <w:r>
        <w:rPr>
          <w:rStyle w:val="soitChar"/>
        </w:rPr>
        <w:t>, appui non compté et ventilé par section.  </w:t>
      </w:r>
    </w:p>
    <w:p w14:paraId="23B80FD6" w14:textId="77777777" w:rsidR="00DB2B68" w:rsidRDefault="00000000">
      <w:pPr>
        <w:jc w:val="both"/>
      </w:pPr>
      <w:r>
        <w:rPr>
          <w:b/>
        </w:rPr>
        <w:t>(soit)</w:t>
      </w:r>
    </w:p>
    <w:p w14:paraId="67444866" w14:textId="77777777" w:rsidR="00DB2B68" w:rsidRDefault="00000000">
      <w:pPr>
        <w:jc w:val="both"/>
      </w:pPr>
      <w:r>
        <w:rPr>
          <w:rStyle w:val="soitChar"/>
        </w:rPr>
        <w:t xml:space="preserve">3. </w:t>
      </w:r>
      <w:r>
        <w:rPr>
          <w:rStyle w:val="soitChar"/>
          <w:u w:val="single"/>
        </w:rPr>
        <w:t>A la pièce</w:t>
      </w:r>
      <w:r>
        <w:rPr>
          <w:rStyle w:val="soitChar"/>
        </w:rPr>
        <w:t>, ventilé par élément de mêmes dimensions appui non compté.</w:t>
      </w:r>
    </w:p>
    <w:p w14:paraId="419A7215" w14:textId="77777777" w:rsidR="00DB2B68" w:rsidRDefault="00000000">
      <w:pPr>
        <w:jc w:val="both"/>
      </w:pPr>
      <w:r>
        <w:rPr>
          <w:b/>
        </w:rPr>
        <w:t>(soit)</w:t>
      </w:r>
    </w:p>
    <w:p w14:paraId="5D176139" w14:textId="77777777" w:rsidR="00DB2B68" w:rsidRDefault="00000000">
      <w:pPr>
        <w:jc w:val="both"/>
      </w:pPr>
      <w:r>
        <w:rPr>
          <w:rStyle w:val="soitChar"/>
        </w:rPr>
        <w:t xml:space="preserve">4. </w:t>
      </w:r>
      <w:r>
        <w:rPr>
          <w:rStyle w:val="soitChar"/>
          <w:u w:val="single"/>
        </w:rPr>
        <w:t>Compris</w:t>
      </w:r>
      <w:r>
        <w:rPr>
          <w:rStyle w:val="soitChar"/>
        </w:rPr>
        <w:t xml:space="preserve"> dans le prix de la maçonnerie.     </w:t>
      </w:r>
    </w:p>
    <w:p w14:paraId="64F9C07D" w14:textId="77777777" w:rsidR="00DB2B68" w:rsidRDefault="00000000">
      <w:pPr>
        <w:pStyle w:val="pheading"/>
      </w:pPr>
      <w:r>
        <w:t>- nature du marché:</w:t>
      </w:r>
    </w:p>
    <w:p w14:paraId="5C5A741E" w14:textId="77777777" w:rsidR="00DB2B68" w:rsidRDefault="00000000">
      <w:r>
        <w:rPr>
          <w:rStyle w:val="optioncarChar"/>
        </w:rPr>
        <w:t>QF</w:t>
      </w:r>
      <w:r>
        <w:t xml:space="preserve"> (par défaut) </w:t>
      </w:r>
      <w:r>
        <w:rPr>
          <w:rStyle w:val="optioncarChar"/>
        </w:rPr>
        <w:t>/ QP / PM</w:t>
      </w:r>
    </w:p>
    <w:p w14:paraId="152594A4" w14:textId="77777777" w:rsidR="00DB2B68" w:rsidRDefault="00000000">
      <w:r>
        <w:rPr>
          <w:b/>
        </w:rPr>
        <w:t>(soit par défaut)  </w:t>
      </w:r>
      <w:r>
        <w:br/>
      </w:r>
      <w:r>
        <w:rPr>
          <w:rStyle w:val="soitChar"/>
        </w:rPr>
        <w:t>1.2.3. QF</w:t>
      </w:r>
      <w:r>
        <w:br/>
      </w:r>
      <w:r>
        <w:rPr>
          <w:b/>
        </w:rPr>
        <w:t xml:space="preserve">(soit) </w:t>
      </w:r>
      <w:r>
        <w:br/>
      </w:r>
      <w:r>
        <w:rPr>
          <w:rStyle w:val="soitChar"/>
        </w:rPr>
        <w:t>1.2.3. QP</w:t>
      </w:r>
      <w:r>
        <w:br/>
      </w:r>
      <w:r>
        <w:rPr>
          <w:b/>
        </w:rPr>
        <w:t xml:space="preserve">(soit) </w:t>
      </w:r>
      <w:r>
        <w:br/>
      </w:r>
      <w:r>
        <w:rPr>
          <w:rStyle w:val="soitChar"/>
        </w:rPr>
        <w:t>4. PM</w:t>
      </w:r>
    </w:p>
    <w:p w14:paraId="5DC42713" w14:textId="77777777" w:rsidR="00DB2B68" w:rsidRDefault="00000000">
      <w:pPr>
        <w:pStyle w:val="Author-eSectionHeading6Numberless"/>
      </w:pPr>
      <w:bookmarkStart w:id="669" w:name="_Toc220495740"/>
      <w:r>
        <w:t>22.13.1d Linteaux préfabriqués en béton précontraint CCTB 01.11</w:t>
      </w:r>
      <w:bookmarkEnd w:id="669"/>
    </w:p>
    <w:p w14:paraId="491BF964" w14:textId="77777777" w:rsidR="00DB2B68" w:rsidRDefault="00000000">
      <w:pPr>
        <w:pStyle w:val="pheading"/>
      </w:pPr>
      <w:bookmarkStart w:id="670" w:name="173"/>
      <w:bookmarkEnd w:id="670"/>
      <w:r>
        <w:t>DESCRIPTION</w:t>
      </w:r>
    </w:p>
    <w:p w14:paraId="513B43F9" w14:textId="77777777" w:rsidR="00DB2B68" w:rsidRDefault="00000000">
      <w:pPr>
        <w:pStyle w:val="pheading"/>
      </w:pPr>
      <w:r>
        <w:t>- Définition / Comprend</w:t>
      </w:r>
    </w:p>
    <w:p w14:paraId="69AB8EB5" w14:textId="77777777" w:rsidR="00DB2B68" w:rsidRDefault="00000000">
      <w:r>
        <w:t>Il s'agit de tous les linteaux au-dessus des baies de portes et fenêtres réalisés en béton précontraint. Ces linteaux, de portée réduite, servent à supporter localement le mur de contre-façade ou la maçonnerie portante.</w:t>
      </w:r>
    </w:p>
    <w:p w14:paraId="758E9B21" w14:textId="77777777" w:rsidR="00DB2B68" w:rsidRDefault="00000000">
      <w:pPr>
        <w:pStyle w:val="pheading"/>
      </w:pPr>
      <w:r>
        <w:t>MATÉRIAUX</w:t>
      </w:r>
    </w:p>
    <w:p w14:paraId="7AE237F9" w14:textId="77777777" w:rsidR="00DB2B68" w:rsidRDefault="00000000">
      <w:pPr>
        <w:pStyle w:val="pheading"/>
      </w:pPr>
      <w:r>
        <w:lastRenderedPageBreak/>
        <w:t>- Caractéristiques générales</w:t>
      </w:r>
    </w:p>
    <w:p w14:paraId="538A3661" w14:textId="77777777" w:rsidR="00DB2B68" w:rsidRDefault="00000000">
      <w:r>
        <w:t>Sauf dispositions spécifiques dans l’avis de l’ingénieur conseil, l’entrepreneur peut prévoir tous les linteaux de portée réduite et qui ne sont pas destinés à rester apparents en éléments préfabriqués. En fonction des matériaux de maçonnerie mis en œuvre, les linteaux sont constitués de :</w:t>
      </w:r>
    </w:p>
    <w:p w14:paraId="785508DE" w14:textId="77777777" w:rsidR="00DB2B68" w:rsidRDefault="00000000">
      <w:r>
        <w:br/>
      </w:r>
      <w:r>
        <w:rPr>
          <w:b/>
        </w:rPr>
        <w:t xml:space="preserve">Choix opéré : </w:t>
      </w:r>
      <w:r>
        <w:rPr>
          <w:rStyle w:val="optioncarChar"/>
          <w:b/>
        </w:rPr>
        <w:t>*** / OPTION 1 / OPTION 2 / OPTION 3</w:t>
      </w:r>
    </w:p>
    <w:p w14:paraId="7142207C" w14:textId="77777777" w:rsidR="00DB2B68" w:rsidRDefault="00000000">
      <w:r>
        <w:rPr>
          <w:b/>
        </w:rPr>
        <w:t>***OPTION 1</w:t>
      </w:r>
      <w:r>
        <w:t xml:space="preserve"> linteaux préfabriqués en béton armé précontraint</w:t>
      </w:r>
      <w:r>
        <w:br/>
      </w:r>
      <w:r>
        <w:rPr>
          <w:b/>
        </w:rPr>
        <w:t>***OPTION 2</w:t>
      </w:r>
      <w:r>
        <w:t xml:space="preserve"> linteaux préfabriqués à l’aide d’éléments en terre cuite, en forme de U. Des barres d’acier précontraintes sont posées dans ces éléments et sont ensuite enrobées de micro-béton vibré </w:t>
      </w:r>
      <w:r>
        <w:br/>
      </w:r>
      <w:r>
        <w:rPr>
          <w:b/>
        </w:rPr>
        <w:t>***OPTION 3</w:t>
      </w:r>
      <w:r>
        <w:rPr>
          <w:rStyle w:val="optioncarChar"/>
        </w:rPr>
        <w:t>***</w:t>
      </w:r>
    </w:p>
    <w:p w14:paraId="10E52E5C" w14:textId="77777777" w:rsidR="00DB2B68" w:rsidRDefault="00000000">
      <w:pPr>
        <w:pStyle w:val="heading"/>
      </w:pPr>
      <w:r>
        <w:t>Spécifications</w:t>
      </w:r>
    </w:p>
    <w:p w14:paraId="433035E5" w14:textId="77777777" w:rsidR="00DB2B68" w:rsidRDefault="00000000">
      <w:pPr>
        <w:pStyle w:val="Author-eListParagraph"/>
        <w:numPr>
          <w:ilvl w:val="0"/>
          <w:numId w:val="377"/>
        </w:numPr>
      </w:pPr>
      <w:r>
        <w:t>Les linteaux sont conformes à la norme [NBN EN 845-2:2013+A1]</w:t>
      </w:r>
    </w:p>
    <w:p w14:paraId="2B906E0E" w14:textId="77777777" w:rsidR="00DB2B68" w:rsidRDefault="00000000">
      <w:pPr>
        <w:pStyle w:val="Author-eListParagraph"/>
        <w:numPr>
          <w:ilvl w:val="0"/>
          <w:numId w:val="377"/>
        </w:numPr>
      </w:pPr>
      <w:r>
        <w:t>Au moins la capacité portante doit être spécifiée</w:t>
      </w:r>
    </w:p>
    <w:p w14:paraId="5EDADD16" w14:textId="77777777" w:rsidR="00DB2B68" w:rsidRDefault="00000000">
      <w:pPr>
        <w:pStyle w:val="Author-eListParagraph"/>
        <w:numPr>
          <w:ilvl w:val="0"/>
          <w:numId w:val="378"/>
        </w:numPr>
      </w:pPr>
      <w:r>
        <w:t>Dimensions : en fonction de la portée, la largeur du mur, du format des briques de terre cuite et de l’épaisseur des assises (h x l) :  </w:t>
      </w:r>
      <w:r>
        <w:rPr>
          <w:rStyle w:val="optioncarChar"/>
        </w:rPr>
        <w:t>6 x 9 </w:t>
      </w:r>
      <w:r>
        <w:t>(par défaut)</w:t>
      </w:r>
      <w:r>
        <w:rPr>
          <w:rStyle w:val="optioncarChar"/>
        </w:rPr>
        <w:t xml:space="preserve"> / 6 x 14 / 6 x 19 / *** </w:t>
      </w:r>
      <w:r>
        <w:t>cm.</w:t>
      </w:r>
    </w:p>
    <w:p w14:paraId="0D607235" w14:textId="77777777" w:rsidR="00DB2B68" w:rsidRDefault="00000000">
      <w:pPr>
        <w:pStyle w:val="Author-eListParagraph"/>
        <w:numPr>
          <w:ilvl w:val="0"/>
          <w:numId w:val="378"/>
        </w:numPr>
      </w:pPr>
      <w:r>
        <w:t>Résistance au feu:</w:t>
      </w:r>
      <w:r>
        <w:rPr>
          <w:rStyle w:val="optioncarChar"/>
        </w:rPr>
        <w:t> R15 / R30 </w:t>
      </w:r>
      <w:r>
        <w:t>(par défaut)</w:t>
      </w:r>
      <w:r>
        <w:rPr>
          <w:rStyle w:val="optioncarChar"/>
        </w:rPr>
        <w:t xml:space="preserve"> / R60 / R120 / R ***</w:t>
      </w:r>
    </w:p>
    <w:p w14:paraId="480A0D3B" w14:textId="77777777" w:rsidR="00DB2B68" w:rsidRDefault="00000000">
      <w:pPr>
        <w:pStyle w:val="pheading"/>
      </w:pPr>
      <w:r>
        <w:t>EXÉCUTION / MISE EN ŒUVRE</w:t>
      </w:r>
    </w:p>
    <w:p w14:paraId="44AA7031" w14:textId="77777777" w:rsidR="00DB2B68" w:rsidRDefault="00000000">
      <w:pPr>
        <w:pStyle w:val="pheading"/>
      </w:pPr>
      <w:r>
        <w:t>- Prescriptions générales</w:t>
      </w:r>
    </w:p>
    <w:p w14:paraId="599EE6E2" w14:textId="77777777" w:rsidR="00DB2B68" w:rsidRDefault="00000000">
      <w:pPr>
        <w:pStyle w:val="Author-eListParagraph"/>
        <w:numPr>
          <w:ilvl w:val="0"/>
          <w:numId w:val="379"/>
        </w:numPr>
      </w:pPr>
      <w:r>
        <w:t>L’utilisation des linteaux préfabriqués s’effectue sous l’entière responsabilité de l’entrepreneur.</w:t>
      </w:r>
    </w:p>
    <w:p w14:paraId="400C5933" w14:textId="77777777" w:rsidR="00DB2B68" w:rsidRDefault="00000000">
      <w:r>
        <w:rPr>
          <w:b/>
        </w:rPr>
        <w:t>Choix opéré</w:t>
      </w:r>
      <w:r>
        <w:t xml:space="preserve"> : </w:t>
      </w:r>
      <w:r>
        <w:rPr>
          <w:rStyle w:val="optioncarChar"/>
        </w:rPr>
        <w:t>OPTION 1 / OPTION 2</w:t>
      </w:r>
    </w:p>
    <w:p w14:paraId="34C6BEFD" w14:textId="77777777" w:rsidR="00DB2B68" w:rsidRDefault="00000000">
      <w:r>
        <w:br/>
      </w:r>
      <w:r>
        <w:rPr>
          <w:b/>
        </w:rPr>
        <w:t>***OPTION 1</w:t>
      </w:r>
      <w:r>
        <w:t xml:space="preserve"> Le type de linteau et les armatures sont déterminées d’après l’étude des bétons, ainsi que la hauteur de la zone de compression au-dessus du linteau, qu’elle soit en maçonnerie ou en béton. Cette maçonnerie présente une résistance à la compression élevée. Les joints montants de cette zone de compression sont remplis de mortier de ciment d’excellente qualité. </w:t>
      </w:r>
      <w:r>
        <w:br/>
      </w:r>
      <w:r>
        <w:rPr>
          <w:b/>
        </w:rPr>
        <w:t>***OPTION 2</w:t>
      </w:r>
      <w:r>
        <w:t xml:space="preserve"> Une note de calcul des armatures et de la hauteur totale effective est soumise pour approbation par l’entrepreneur, en n’oubliant pas que cette hauteur effective est constituée de l’élément précontraint et de la maçonnerie supérieure (zone de compression). Les sollicitations à prendre en compte sont régies par les Eurocodes essentiellement [NBN EN 1990] et [NBN EN 1996 série].</w:t>
      </w:r>
    </w:p>
    <w:p w14:paraId="4799B1FF" w14:textId="77777777" w:rsidR="00DB2B68" w:rsidRDefault="00000000">
      <w:r>
        <w:t> </w:t>
      </w:r>
    </w:p>
    <w:p w14:paraId="6E4E656A" w14:textId="77777777" w:rsidR="00DB2B68" w:rsidRDefault="00000000">
      <w:pPr>
        <w:pStyle w:val="Author-eListParagraph"/>
        <w:numPr>
          <w:ilvl w:val="0"/>
          <w:numId w:val="380"/>
        </w:numPr>
      </w:pPr>
      <w:r>
        <w:t>L’entrepreneur veille à ce que les linteaux soient exécutés d’aplomb, alignés et de niveau. Pour les portées supérieures à 1,20 m , un support est placé au centre pendant l’exécution.</w:t>
      </w:r>
    </w:p>
    <w:p w14:paraId="50959548" w14:textId="77777777" w:rsidR="00DB2B68" w:rsidRDefault="00000000">
      <w:pPr>
        <w:pStyle w:val="Author-eListParagraph"/>
        <w:numPr>
          <w:ilvl w:val="0"/>
          <w:numId w:val="380"/>
        </w:numPr>
      </w:pPr>
      <w:r>
        <w:t xml:space="preserve">La surface d’appui des linteaux est régie par les dispositions des </w:t>
      </w:r>
      <w:r>
        <w:rPr>
          <w:shd w:val="clear" w:color="auto" w:fill="FFFFFF"/>
        </w:rPr>
        <w:t xml:space="preserve">[STS 22 série]. </w:t>
      </w:r>
    </w:p>
    <w:p w14:paraId="158CDC13" w14:textId="77777777" w:rsidR="00DB2B68" w:rsidRDefault="00000000">
      <w:pPr>
        <w:pStyle w:val="Author-eListParagraph"/>
        <w:numPr>
          <w:ilvl w:val="0"/>
          <w:numId w:val="380"/>
        </w:numPr>
      </w:pPr>
      <w:r>
        <w:t>Avant leur mise en œuvre, les éléments sont complètement nettoyés et humidifiés. Les extrémités de l’élément précontraint reposent sur un lit en mortier de ciment. Les linteaux ne peuvent pas reposer sur des blocs creux en béton léger ou en terre cuite, sauf si les creux de ces blocs ont d’abord été remplis de béton.</w:t>
      </w:r>
    </w:p>
    <w:p w14:paraId="57E3947A" w14:textId="77777777" w:rsidR="00DB2B68" w:rsidRDefault="00000000">
      <w:pPr>
        <w:pStyle w:val="Author-eListParagraph"/>
        <w:numPr>
          <w:ilvl w:val="0"/>
          <w:numId w:val="380"/>
        </w:numPr>
      </w:pPr>
      <w:r>
        <w:t>L’appui présente au moins une largeur de 14 cm pour une portée maximale de 150 cm . Pour les portées supérieures, l’appui est d’au moins 19 cm . Le bord de l’appui reste au moins 40 mm en retrait par rapport à la battée de la baie et est toujours exécuté indépendamment du parement, sauf lorsque cela s’avère impossible selon l’étude de stabilité. Le cas échéant, lorsque les linteaux sont en contact avec le mur de parement du mur à coulisse, on prévoit un coffrage perdu isolant en plaques de polystyrène rigides et rugueuses ou en blocs d’isolation en verre cellulaire bitumé afin de prévenir les ponts thermiques.</w:t>
      </w:r>
    </w:p>
    <w:p w14:paraId="50C3E26A" w14:textId="77777777" w:rsidR="00DB2B68" w:rsidRDefault="00000000">
      <w:pPr>
        <w:pStyle w:val="Author-eListParagraph"/>
        <w:numPr>
          <w:ilvl w:val="0"/>
          <w:numId w:val="380"/>
        </w:numPr>
      </w:pPr>
      <w:r>
        <w:t xml:space="preserve">Les recommandations de l’auteur de projet en ce qui concerne la pose des membranes d’étanchéité et/ou de l’isolation afin de prévenir les ponts thermiques sont scrupuleusement </w:t>
      </w:r>
      <w:r>
        <w:lastRenderedPageBreak/>
        <w:t>respectées par l’entrepreneur. Lorsque ces recommandations ne figurent pas explicitement sur les plans, l’entrepreneur s’informe avant de commencer ses travaux.</w:t>
      </w:r>
    </w:p>
    <w:p w14:paraId="05D1CB09" w14:textId="77777777" w:rsidR="00DB2B68" w:rsidRDefault="00000000">
      <w:pPr>
        <w:pStyle w:val="Author-eListParagraph"/>
        <w:numPr>
          <w:ilvl w:val="0"/>
          <w:numId w:val="380"/>
        </w:numPr>
      </w:pPr>
      <w:r>
        <w:t>Les linteaux de portes et fenêtres dans le mur de contre-façade sont réalisés de façon telle que l’eau de condensation ou l’eau de ruissellement qui se trouve dans la coulisse du mur puisse s’écouler vers le point le plus bas d’où elle doit être évacuée vers l’extérieur (voir chap. 20). Une étanchéité sera placée au-dessus des linteaux afin que l’eau d’infiltration qui se trouve dans la coulisse puisse s’écouler vers l’extérieur.</w:t>
      </w:r>
    </w:p>
    <w:p w14:paraId="5C66D988" w14:textId="77777777" w:rsidR="00DB2B68" w:rsidRDefault="00000000">
      <w:pPr>
        <w:pStyle w:val="pheading"/>
      </w:pPr>
      <w:r>
        <w:t>MESURAGE</w:t>
      </w:r>
    </w:p>
    <w:p w14:paraId="70B41843" w14:textId="77777777" w:rsidR="00DB2B68" w:rsidRDefault="00000000">
      <w:r>
        <w:t>Les linteaux de portes et fenêtres de portée réduite ne sont, en principe, pas mesurés séparément, mais sont compris dans les quantités de la maçonnerie d'élévation portante et/ou des cloisons légères.</w:t>
      </w:r>
    </w:p>
    <w:p w14:paraId="4813A4B8" w14:textId="77777777" w:rsidR="00DB2B68" w:rsidRDefault="00000000">
      <w:pPr>
        <w:pStyle w:val="pheading"/>
      </w:pPr>
      <w:r>
        <w:t>- unité de mesure:</w:t>
      </w:r>
    </w:p>
    <w:p w14:paraId="34A313B7" w14:textId="77777777" w:rsidR="00DB2B68" w:rsidRDefault="00000000">
      <w:r>
        <w:rPr>
          <w:b/>
        </w:rPr>
        <w:t xml:space="preserve">Choix opéré : </w:t>
      </w:r>
      <w:r>
        <w:rPr>
          <w:rStyle w:val="optioncarChar"/>
        </w:rPr>
        <w:t>OPTION 1 (m) / OPTION 2 (m³) / OPTION 3 (pce)</w:t>
      </w:r>
    </w:p>
    <w:p w14:paraId="6F382A65" w14:textId="77777777" w:rsidR="00DB2B68" w:rsidRDefault="00000000">
      <w:r>
        <w:rPr>
          <w:b/>
        </w:rPr>
        <w:t xml:space="preserve">***OPTION 1: </w:t>
      </w:r>
      <w:r>
        <w:t>m</w:t>
      </w:r>
      <w:r>
        <w:br/>
      </w:r>
      <w:r>
        <w:rPr>
          <w:b/>
        </w:rPr>
        <w:t xml:space="preserve">***OPTION 2: </w:t>
      </w:r>
      <w:r>
        <w:t xml:space="preserve">m³, (y compris le béton, les armatures et le coffrage) </w:t>
      </w:r>
      <w:r>
        <w:br/>
      </w:r>
      <w:r>
        <w:rPr>
          <w:b/>
        </w:rPr>
        <w:t xml:space="preserve">***OPTION 3: </w:t>
      </w:r>
      <w:r>
        <w:t>pce, selon le type et/ ou la largeur</w:t>
      </w:r>
    </w:p>
    <w:p w14:paraId="58BF5981" w14:textId="77777777" w:rsidR="00DB2B68" w:rsidRDefault="00000000">
      <w:pPr>
        <w:pStyle w:val="pheading"/>
      </w:pPr>
      <w:r>
        <w:t>- code de mesurage:</w:t>
      </w:r>
    </w:p>
    <w:p w14:paraId="3FD98A99" w14:textId="77777777" w:rsidR="00DB2B68" w:rsidRDefault="00000000">
      <w:r>
        <w:rPr>
          <w:b/>
        </w:rPr>
        <w:t xml:space="preserve">Choix opéré : </w:t>
      </w:r>
      <w:r>
        <w:rPr>
          <w:rStyle w:val="optioncarChar"/>
        </w:rPr>
        <w:t>OPTION 1 / OPTION 2 / OPTION 3</w:t>
      </w:r>
    </w:p>
    <w:p w14:paraId="17A6D62B" w14:textId="77777777" w:rsidR="00DB2B68" w:rsidRDefault="00000000">
      <w:r>
        <w:rPr>
          <w:b/>
        </w:rPr>
        <w:t>***OPTION 1:</w:t>
      </w:r>
      <w:r>
        <w:t xml:space="preserve"> Longueur nette des baies, appui non compté. La maçonnerie du linteau sera comptée dans la maçonnerie des murs.</w:t>
      </w:r>
      <w:r>
        <w:br/>
      </w:r>
      <w:r>
        <w:rPr>
          <w:b/>
        </w:rPr>
        <w:t>***OPTION 2:</w:t>
      </w:r>
      <w:r>
        <w:t> Les poutres dont la portée est inférieure à 150 cm ne seront pas comptées. Hauteur = la hauteur effective de la poutre sous la dalle en béton armé</w:t>
      </w:r>
      <w:r>
        <w:br/>
      </w:r>
      <w:r>
        <w:rPr>
          <w:b/>
        </w:rPr>
        <w:t>***OPTION 3:</w:t>
      </w:r>
      <w:r>
        <w:t xml:space="preserve"> Les poutres dont la portée est inférieure à 150 cm ne seront pas comptées. Largeur 14 cm dans les murs porteurs, 9 cm dans les cloisons</w:t>
      </w:r>
    </w:p>
    <w:p w14:paraId="7672E724" w14:textId="77777777" w:rsidR="00DB2B68" w:rsidRDefault="00000000">
      <w:pPr>
        <w:pStyle w:val="pheading"/>
      </w:pPr>
      <w:r>
        <w:t>- nature du marché:</w:t>
      </w:r>
    </w:p>
    <w:p w14:paraId="311A40C6" w14:textId="77777777" w:rsidR="00DB2B68" w:rsidRDefault="00000000">
      <w:r>
        <w:rPr>
          <w:b/>
        </w:rPr>
        <w:t>Choix opéré :</w:t>
      </w:r>
      <w:r>
        <w:rPr>
          <w:rStyle w:val="optioncarChar"/>
        </w:rPr>
        <w:t> OPTION 1 (PM) / OPTION 2 (QF)</w:t>
      </w:r>
    </w:p>
    <w:p w14:paraId="5733A699" w14:textId="77777777" w:rsidR="00DB2B68" w:rsidRDefault="00000000">
      <w:r>
        <w:rPr>
          <w:b/>
        </w:rPr>
        <w:t>***OPTION 1:</w:t>
      </w:r>
      <w:r>
        <w:t xml:space="preserve"> PM, compris dans le prix de la maçonnerie portante et/ou non portante.</w:t>
      </w:r>
      <w:r>
        <w:br/>
      </w:r>
      <w:r>
        <w:rPr>
          <w:b/>
        </w:rPr>
        <w:t>***OPTION 2 : </w:t>
      </w:r>
      <w:r>
        <w:t>QF</w:t>
      </w:r>
    </w:p>
    <w:p w14:paraId="738B1E09" w14:textId="77777777" w:rsidR="00DB2B68" w:rsidRDefault="00000000">
      <w:r>
        <w:t xml:space="preserve">Dans les autres cas, le mesurage s’effectuera conformément aux indications données dans le métré et le métré récapitulatif. Il est compté de la manière suivante : </w:t>
      </w:r>
      <w:r>
        <w:rPr>
          <w:rStyle w:val="optioncarChar"/>
        </w:rPr>
        <w:t>***</w:t>
      </w:r>
    </w:p>
    <w:p w14:paraId="3B0C3309" w14:textId="77777777" w:rsidR="00DB2B68" w:rsidRDefault="00000000">
      <w:pPr>
        <w:pStyle w:val="pheading"/>
      </w:pPr>
      <w:r>
        <w:t>AIDE</w:t>
      </w:r>
    </w:p>
    <w:p w14:paraId="5E0EAC2C" w14:textId="77777777" w:rsidR="00DB2B68" w:rsidRDefault="00000000">
      <w:r>
        <w:rPr>
          <w:i/>
          <w:u w:val="single"/>
        </w:rPr>
        <w:t>A l'attention de l'auteur de projet</w:t>
      </w:r>
    </w:p>
    <w:p w14:paraId="73EFEDE5" w14:textId="77777777" w:rsidR="00DB2B68" w:rsidRDefault="00000000">
      <w:r>
        <w:t>Le linteau proprement dit est constitué d’un élément préfabriqué en béton précontraint d’une hauteur d’environ 6 cm et de la maçonnerie supérieure (zone de compression) qui en fait partie intégrante. Pour les ouvrages de maçonnerie en briques de terre cuite, il est préférable d’utiliser des linteaux en terre cuite précontrainte au lieu de linteaux en béton afin de limiter au minimum les tensions dans les plans tangents.</w:t>
      </w:r>
    </w:p>
    <w:p w14:paraId="56866932" w14:textId="77777777" w:rsidR="00DB2B68" w:rsidRDefault="00000000">
      <w:pPr>
        <w:pStyle w:val="Author-eSectionHeading6Numberless"/>
      </w:pPr>
      <w:bookmarkStart w:id="671" w:name="_Toc220495741"/>
      <w:r>
        <w:t>22.13.1e Linteaux préfabriqués en béton décoratif / architectonique CCTB 01.11</w:t>
      </w:r>
      <w:bookmarkEnd w:id="671"/>
    </w:p>
    <w:p w14:paraId="7D7E7881" w14:textId="77777777" w:rsidR="00DB2B68" w:rsidRDefault="00000000">
      <w:pPr>
        <w:pStyle w:val="pheading"/>
      </w:pPr>
      <w:bookmarkStart w:id="672" w:name="172"/>
      <w:bookmarkEnd w:id="672"/>
      <w:r>
        <w:t>MATÉRIAUX</w:t>
      </w:r>
    </w:p>
    <w:p w14:paraId="77E1E8CB" w14:textId="77777777" w:rsidR="00DB2B68" w:rsidRDefault="00000000">
      <w:pPr>
        <w:pStyle w:val="pheading"/>
      </w:pPr>
      <w:r>
        <w:t>- Finitions</w:t>
      </w:r>
    </w:p>
    <w:p w14:paraId="30AC9E5F" w14:textId="77777777" w:rsidR="00DB2B68"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69446845" w14:textId="77777777" w:rsidR="00DB2B68" w:rsidRDefault="00000000">
      <w:r>
        <w:t>Les éléments en béton architectoniques doivent répondre au [PTV 21-601].</w:t>
      </w:r>
    </w:p>
    <w:p w14:paraId="0060FD08" w14:textId="77777777" w:rsidR="00DB2B68" w:rsidRDefault="00000000">
      <w:r>
        <w:t xml:space="preserve">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23D7C6D8" w14:textId="77777777" w:rsidR="00DB2B68" w:rsidRDefault="00000000">
      <w:r>
        <w:lastRenderedPageBreak/>
        <w:t>Description détaillée des éléments :</w:t>
      </w:r>
    </w:p>
    <w:p w14:paraId="27F40305" w14:textId="77777777" w:rsidR="00DB2B68"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5724A1AB" w14:textId="77777777" w:rsidR="00DB2B68" w:rsidRDefault="00000000">
      <w:r>
        <w:rPr>
          <w:b/>
          <w:i/>
        </w:rPr>
        <w:t> (soit par défaut)</w:t>
      </w:r>
    </w:p>
    <w:p w14:paraId="335B0892" w14:textId="77777777" w:rsidR="00DB2B68" w:rsidRDefault="00000000">
      <w:r>
        <w:rPr>
          <w:rStyle w:val="soitChar"/>
          <w:u w:val="single"/>
        </w:rPr>
        <w:t>Suivant échantillon disponible</w:t>
      </w:r>
      <w:r>
        <w:t> </w:t>
      </w:r>
      <w:r>
        <w:rPr>
          <w:rStyle w:val="optioncarChar"/>
        </w:rPr>
        <w:t>auprès du bureau d’architecte / sur chantier / auprès du fabricant</w:t>
      </w:r>
    </w:p>
    <w:p w14:paraId="46648EA6" w14:textId="77777777" w:rsidR="00DB2B68" w:rsidRDefault="00000000">
      <w:r>
        <w:rPr>
          <w:b/>
          <w:i/>
        </w:rPr>
        <w:t> (soit)</w:t>
      </w:r>
    </w:p>
    <w:p w14:paraId="1AC14655" w14:textId="77777777" w:rsidR="00DB2B68" w:rsidRDefault="00000000">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03B3DE0F" w14:textId="77777777" w:rsidR="00DB2B68" w:rsidRDefault="00000000">
      <w:r>
        <w:rPr>
          <w:b/>
          <w:i/>
        </w:rPr>
        <w:t>(soit)</w:t>
      </w:r>
    </w:p>
    <w:p w14:paraId="265A9B40" w14:textId="77777777" w:rsidR="00DB2B68" w:rsidRDefault="00000000">
      <w:r>
        <w:rPr>
          <w:rStyle w:val="soitChar"/>
          <w:u w:val="single"/>
        </w:rPr>
        <w:t>Suivant la couleur RAL</w:t>
      </w:r>
      <w:r>
        <w:rPr>
          <w:rStyle w:val="soitChar"/>
        </w:rPr>
        <w:t xml:space="preserve"> se rapprochant le mieux que possible du RAL </w:t>
      </w:r>
      <w:r>
        <w:rPr>
          <w:rStyle w:val="optioncarChar"/>
        </w:rPr>
        <w:t>***</w:t>
      </w:r>
    </w:p>
    <w:p w14:paraId="7D02A9C2" w14:textId="77777777" w:rsidR="00DB2B68" w:rsidRDefault="00000000">
      <w:r>
        <w:t> </w:t>
      </w:r>
    </w:p>
    <w:p w14:paraId="6A376A90" w14:textId="77777777" w:rsidR="00DB2B68" w:rsidRDefault="00000000">
      <w:r>
        <w:t>2.     Texture : </w:t>
      </w:r>
      <w:r>
        <w:rPr>
          <w:rStyle w:val="optioncarChar"/>
        </w:rPr>
        <w:t>suivant échantillon disponible</w:t>
      </w:r>
      <w:r>
        <w:t> (par défaut)</w:t>
      </w:r>
      <w:r>
        <w:rPr>
          <w:rStyle w:val="optioncarChar"/>
        </w:rPr>
        <w:t> / suivant échantillons à remettre pour approbation par l'architecte</w:t>
      </w:r>
    </w:p>
    <w:p w14:paraId="6B001683" w14:textId="77777777" w:rsidR="00DB2B68" w:rsidRDefault="00000000">
      <w:r>
        <w:rPr>
          <w:b/>
          <w:i/>
        </w:rPr>
        <w:t>(soit par défaut)</w:t>
      </w:r>
    </w:p>
    <w:p w14:paraId="7D6C979F" w14:textId="77777777" w:rsidR="00DB2B68" w:rsidRDefault="00000000">
      <w:r>
        <w:rPr>
          <w:rStyle w:val="soitChar"/>
          <w:u w:val="single"/>
        </w:rPr>
        <w:t>Suivant échantillon disponible</w:t>
      </w:r>
      <w:r>
        <w:t> </w:t>
      </w:r>
      <w:r>
        <w:rPr>
          <w:rStyle w:val="optioncarChar"/>
        </w:rPr>
        <w:t>auprès du bureau d’architecte / sur chantier / auprès du fabricant</w:t>
      </w:r>
    </w:p>
    <w:p w14:paraId="4A01AEAA" w14:textId="77777777" w:rsidR="00DB2B68" w:rsidRDefault="00000000">
      <w:r>
        <w:rPr>
          <w:b/>
          <w:i/>
        </w:rPr>
        <w:t>(soit)</w:t>
      </w:r>
    </w:p>
    <w:p w14:paraId="3D968BFF" w14:textId="77777777" w:rsidR="00DB2B68" w:rsidRDefault="00000000">
      <w:r>
        <w:rPr>
          <w:rStyle w:val="soitChar"/>
          <w:u w:val="single"/>
        </w:rPr>
        <w:t>Echantillons à remettre pour approbation par l’architecte: </w:t>
      </w:r>
    </w:p>
    <w:p w14:paraId="5385801D" w14:textId="77777777" w:rsidR="00DB2B68" w:rsidRDefault="00000000">
      <w:r>
        <w:t xml:space="preserve">La surface des éléments en béton est </w:t>
      </w:r>
      <w:r>
        <w:rPr>
          <w:rStyle w:val="optioncarChar"/>
        </w:rPr>
        <w:t>brute et lisse </w:t>
      </w:r>
      <w:r>
        <w:t xml:space="preserve">(par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4390C781" w14:textId="77777777" w:rsidR="00DB2B68"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14:paraId="24427A14" w14:textId="77777777" w:rsidR="00DB2B68"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w:t>
      </w:r>
      <w:r>
        <w:t> (par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25521F6B" w14:textId="77777777" w:rsidR="00DB2B68" w:rsidRDefault="00000000">
      <w:pPr>
        <w:pStyle w:val="Author-eSectionHeading6Numberless"/>
      </w:pPr>
      <w:bookmarkStart w:id="673" w:name="_Toc220495742"/>
      <w:r>
        <w:t>22.13.1f Linteaux préfabriqués en béton cellulaire armé CCTB 01.02</w:t>
      </w:r>
      <w:bookmarkEnd w:id="673"/>
    </w:p>
    <w:p w14:paraId="5A8C10A7" w14:textId="77777777" w:rsidR="00DB2B68" w:rsidRDefault="00000000">
      <w:pPr>
        <w:pStyle w:val="Author-eSectionHeading5Numberless"/>
      </w:pPr>
      <w:bookmarkStart w:id="674" w:name="_Toc220495743"/>
      <w:r>
        <w:t>22.13.2 Linteaux composites (prélinteaux plats + rehausses collaborantes) CCTB 01.13</w:t>
      </w:r>
      <w:bookmarkEnd w:id="674"/>
    </w:p>
    <w:p w14:paraId="4A67CD21" w14:textId="77777777" w:rsidR="00DB2B68" w:rsidRDefault="00000000">
      <w:pPr>
        <w:pStyle w:val="pheading"/>
      </w:pPr>
      <w:bookmarkStart w:id="675" w:name="429"/>
      <w:bookmarkEnd w:id="675"/>
      <w:r>
        <w:t>DESCRIPTION</w:t>
      </w:r>
    </w:p>
    <w:p w14:paraId="0B354B80" w14:textId="77777777" w:rsidR="00DB2B68" w:rsidRDefault="00000000">
      <w:pPr>
        <w:pStyle w:val="pheading"/>
      </w:pPr>
      <w:r>
        <w:lastRenderedPageBreak/>
        <w:t>- Définition / Comprend</w:t>
      </w:r>
    </w:p>
    <w:p w14:paraId="169E1F2E" w14:textId="77777777" w:rsidR="00DB2B68" w:rsidRDefault="00000000">
      <w:pPr>
        <w:jc w:val="both"/>
      </w:pPr>
      <w:r>
        <w:t>Il s’agit de la fourniture et la pose de linteaux composites comprenant une partie préfabriquée (prélinteau) et un élément complémentaire réalisé en maçonnerie ou en béton (réhausse collaborante exécutée sur chantier).</w:t>
      </w:r>
    </w:p>
    <w:p w14:paraId="4B1EEB98" w14:textId="77777777" w:rsidR="00DB2B68" w:rsidRDefault="00000000">
      <w:pPr>
        <w:pStyle w:val="pheading"/>
      </w:pPr>
      <w:r>
        <w:t>EXÉCUTION / MISE EN ŒUVRE</w:t>
      </w:r>
    </w:p>
    <w:p w14:paraId="7C4115C9" w14:textId="77777777" w:rsidR="00DB2B68" w:rsidRDefault="00000000">
      <w:pPr>
        <w:jc w:val="both"/>
      </w:pPr>
      <w:r>
        <w:t xml:space="preserve">La mise en œuvre débute par la pose d’un prélinteau plat précontraint. Elle se poursuit par la réalisation de la partie collaborante qui est constituée d’une maçonnerie décrite et comptabilisée au </w:t>
      </w:r>
      <w:hyperlink w:anchor="295" w:history="1">
        <w:r>
          <w:rPr>
            <w:color w:val="0000EE"/>
          </w:rPr>
          <w:t>21 Superstructures en maçonnerie</w:t>
        </w:r>
      </w:hyperlink>
      <w:r>
        <w:t xml:space="preserve"> ou d’une poutre en béton armé décrite et comptée dans ce chapitre.</w:t>
      </w:r>
    </w:p>
    <w:p w14:paraId="67EDAB9D" w14:textId="77777777" w:rsidR="00DB2B68" w:rsidRDefault="00000000">
      <w:pPr>
        <w:jc w:val="both"/>
      </w:pPr>
      <w:r>
        <w:t>Lorsque les linteaux reposent sur des blocs creux en béton léger ou en terre cuite, l’entrepreneur remplit les creux de ces blocs de béton ou insère un élément de répartition.</w:t>
      </w:r>
    </w:p>
    <w:p w14:paraId="23DD9FF2" w14:textId="77777777" w:rsidR="00DB2B68" w:rsidRDefault="00000000">
      <w:pPr>
        <w:jc w:val="both"/>
      </w:pPr>
      <w:r>
        <w:t>Lorsque les linteaux sont intégrés dans des maçonneries mixtes, les prescriptions de l’auteur de projet en ce qui concerne la pose des membranes d’étanchéité et/ou de l’isolation afin de prévenir les ponts thermiques sont scrupuleusement respectées par l’entrepreneur. Lorsque ces recommandations ne figurent pas explicitement sur les plans, l’entrepreneur s’informe avant de commencer ses travaux.</w:t>
      </w:r>
    </w:p>
    <w:p w14:paraId="084DCEB3" w14:textId="77777777" w:rsidR="00DB2B68" w:rsidRDefault="00000000">
      <w:pPr>
        <w:pStyle w:val="pheading"/>
      </w:pPr>
      <w:r>
        <w:t>DOCUMENTS DE RÉFÉRENCE</w:t>
      </w:r>
    </w:p>
    <w:p w14:paraId="2BFF5CF4" w14:textId="77777777" w:rsidR="00DB2B68" w:rsidRDefault="00000000">
      <w:pPr>
        <w:pStyle w:val="pheading"/>
      </w:pPr>
      <w:r>
        <w:t>- Matériau</w:t>
      </w:r>
    </w:p>
    <w:p w14:paraId="7E9DD1C1" w14:textId="77777777" w:rsidR="00DB2B68" w:rsidRDefault="00000000">
      <w:r>
        <w:t>[NBN EN 845-2:2013+A1, Spécifications pour composants accessoires de maçonnerie - Partie 2: Linteaux]</w:t>
      </w:r>
    </w:p>
    <w:p w14:paraId="0784E682" w14:textId="77777777" w:rsidR="00DB2B68" w:rsidRDefault="00000000">
      <w:r>
        <w:t>Aciers précontraints :</w:t>
      </w:r>
    </w:p>
    <w:p w14:paraId="108BB36A" w14:textId="77777777" w:rsidR="00DB2B68" w:rsidRDefault="00000000">
      <w:r>
        <w:t>[NBN I 10-001, Aciers de précontrainte - Fils, torons et barres - Généralités et prescriptions communes]</w:t>
      </w:r>
    </w:p>
    <w:p w14:paraId="5A6EA719" w14:textId="77777777" w:rsidR="00DB2B68" w:rsidRDefault="00000000">
      <w:r>
        <w:t>[NBN I 10-002, Aciers de précontrainte - Fils tréfilés]</w:t>
      </w:r>
    </w:p>
    <w:p w14:paraId="620D4FC2" w14:textId="77777777" w:rsidR="00DB2B68" w:rsidRDefault="00000000">
      <w:r>
        <w:t>[NBN I 10-003, Aciers de précontrainte - Torons (avec erratum)]</w:t>
      </w:r>
    </w:p>
    <w:p w14:paraId="33B9B1F9" w14:textId="77777777" w:rsidR="00DB2B68" w:rsidRDefault="00000000">
      <w:r>
        <w:t>[PTV 311, Aciers de précontrainte - Torons]</w:t>
      </w:r>
    </w:p>
    <w:p w14:paraId="75ED77E4" w14:textId="77777777" w:rsidR="00DB2B68" w:rsidRDefault="00000000">
      <w:r>
        <w:t>[PTV 314, Aciers de précontrainte - Fils tréfilés]</w:t>
      </w:r>
    </w:p>
    <w:p w14:paraId="321D6F3F" w14:textId="77777777" w:rsidR="00DB2B68" w:rsidRDefault="00000000">
      <w:pPr>
        <w:pStyle w:val="pheading"/>
      </w:pPr>
      <w:r>
        <w:t>- Exécution</w:t>
      </w:r>
    </w:p>
    <w:p w14:paraId="2E41A2D3" w14:textId="77777777" w:rsidR="00DB2B68" w:rsidRDefault="00000000">
      <w:r>
        <w:t>[NIT 271, Exécution des maçonneries]</w:t>
      </w:r>
    </w:p>
    <w:p w14:paraId="27103173" w14:textId="77777777" w:rsidR="00DB2B68" w:rsidRDefault="00000000">
      <w:pPr>
        <w:pStyle w:val="Author-eSectionHeading6Numberless"/>
      </w:pPr>
      <w:bookmarkStart w:id="676" w:name="_Toc220495744"/>
      <w:r>
        <w:t>22.13.2a Prélinteaux plats préfabriqués en béton + rehausses collaborantes en maçonnerie CCTB 01.11</w:t>
      </w:r>
      <w:bookmarkEnd w:id="676"/>
    </w:p>
    <w:p w14:paraId="3345D67B" w14:textId="77777777" w:rsidR="00DB2B68" w:rsidRDefault="00000000">
      <w:pPr>
        <w:pStyle w:val="pheading"/>
      </w:pPr>
      <w:r>
        <w:t>DESCRIPTION</w:t>
      </w:r>
    </w:p>
    <w:p w14:paraId="1941EE06" w14:textId="77777777" w:rsidR="00DB2B68" w:rsidRDefault="00000000">
      <w:pPr>
        <w:pStyle w:val="pheading"/>
      </w:pPr>
      <w:r>
        <w:t>- Définition / Comprend</w:t>
      </w:r>
    </w:p>
    <w:p w14:paraId="11551EA5" w14:textId="77777777" w:rsidR="00DB2B68" w:rsidRDefault="00000000">
      <w:r>
        <w:t>Cet élément comprend la fourniture et la pose de linteaux composites comprenant une partie préfabriquée (prélinteau) et un élément complémentaire réalisé en maçonnerie ou en béton (réhausse collaborante exécutée sur chantier).</w:t>
      </w:r>
    </w:p>
    <w:p w14:paraId="098557D7" w14:textId="77777777" w:rsidR="00DB2B68" w:rsidRDefault="00000000">
      <w:pPr>
        <w:pStyle w:val="pheading"/>
      </w:pPr>
      <w:r>
        <w:t>- Localisation</w:t>
      </w:r>
    </w:p>
    <w:p w14:paraId="5B8799E9" w14:textId="77777777" w:rsidR="00DB2B68" w:rsidRDefault="00000000">
      <w:r>
        <w:t xml:space="preserve">Localisation des travaux : </w:t>
      </w:r>
      <w:r>
        <w:rPr>
          <w:rStyle w:val="optioncarChar"/>
        </w:rPr>
        <w:t>***</w:t>
      </w:r>
      <w:r>
        <w:t>.</w:t>
      </w:r>
    </w:p>
    <w:p w14:paraId="7C28726E" w14:textId="77777777" w:rsidR="00DB2B68" w:rsidRDefault="00000000">
      <w:r>
        <w:t>Voir plans et métrés détaillés.</w:t>
      </w:r>
    </w:p>
    <w:p w14:paraId="36BAF0A7" w14:textId="77777777" w:rsidR="00DB2B68" w:rsidRDefault="00000000">
      <w:pPr>
        <w:pStyle w:val="pheading"/>
      </w:pPr>
      <w:r>
        <w:t>MATÉRIAUX</w:t>
      </w:r>
    </w:p>
    <w:p w14:paraId="3CAF18E6" w14:textId="77777777" w:rsidR="00DB2B68" w:rsidRDefault="00000000">
      <w:pPr>
        <w:pStyle w:val="pheading"/>
      </w:pPr>
      <w:r>
        <w:t>- Caractéristiques générales</w:t>
      </w:r>
    </w:p>
    <w:p w14:paraId="245B0E6A" w14:textId="77777777" w:rsidR="00DB2B68" w:rsidRDefault="00000000">
      <w:r>
        <w:rPr>
          <w:b/>
        </w:rPr>
        <w:t>Spécifications du prélinteau</w:t>
      </w:r>
    </w:p>
    <w:p w14:paraId="5444D0B3" w14:textId="77777777" w:rsidR="00DB2B68" w:rsidRDefault="00000000">
      <w:r>
        <w:lastRenderedPageBreak/>
        <w:t>Dimensions du prélinteau : hauteur, largeur, longueur :  </w:t>
      </w:r>
      <w:r>
        <w:rPr>
          <w:rStyle w:val="optioncarChar"/>
        </w:rPr>
        <w:t>*** x *** x ***</w:t>
      </w:r>
      <w:r>
        <w:t xml:space="preserve"> mm.</w:t>
      </w:r>
    </w:p>
    <w:p w14:paraId="6F0734D9" w14:textId="77777777" w:rsidR="00DB2B68" w:rsidRDefault="00000000">
      <w:r>
        <w:t xml:space="preserve">Prélinteau : </w:t>
      </w:r>
      <w:r>
        <w:rPr>
          <w:rStyle w:val="optioncarChar"/>
        </w:rPr>
        <w:t>U rempli de béton </w:t>
      </w:r>
      <w:r>
        <w:t>(par défaut)</w:t>
      </w:r>
      <w:r>
        <w:rPr>
          <w:rStyle w:val="optioncarChar"/>
        </w:rPr>
        <w:t xml:space="preserve"> / ***</w:t>
      </w:r>
    </w:p>
    <w:p w14:paraId="0283502A" w14:textId="77777777" w:rsidR="00DB2B68" w:rsidRDefault="00000000">
      <w:r>
        <w:t xml:space="preserve">Type de béton : </w:t>
      </w:r>
      <w:r>
        <w:rPr>
          <w:rStyle w:val="optioncarChar"/>
        </w:rPr>
        <w:t>armé</w:t>
      </w:r>
      <w:r>
        <w:t> (par défaut)</w:t>
      </w:r>
      <w:r>
        <w:rPr>
          <w:rStyle w:val="optioncarChar"/>
        </w:rPr>
        <w:t xml:space="preserve"> / précontraint</w:t>
      </w:r>
    </w:p>
    <w:p w14:paraId="02A6FAF5" w14:textId="77777777" w:rsidR="00DB2B68" w:rsidRDefault="00000000">
      <w:r>
        <w:t xml:space="preserve">Nature du U : </w:t>
      </w:r>
      <w:r>
        <w:rPr>
          <w:rStyle w:val="optioncarChar"/>
        </w:rPr>
        <w:t>béton cellulaire autoclavé / béton</w:t>
      </w:r>
      <w:r>
        <w:t> (par défaut)</w:t>
      </w:r>
      <w:r>
        <w:rPr>
          <w:rStyle w:val="optioncarChar"/>
        </w:rPr>
        <w:t xml:space="preserve"> / terre cuite / silico-calcaire / ***</w:t>
      </w:r>
    </w:p>
    <w:p w14:paraId="5AF6361D" w14:textId="77777777" w:rsidR="00DB2B68" w:rsidRDefault="00000000">
      <w:r>
        <w:t xml:space="preserve">Masse : </w:t>
      </w:r>
      <w:r>
        <w:rPr>
          <w:rStyle w:val="optioncarChar"/>
        </w:rPr>
        <w:t>***</w:t>
      </w:r>
    </w:p>
    <w:p w14:paraId="3286CE59" w14:textId="77777777" w:rsidR="00DB2B68" w:rsidRDefault="00000000">
      <w:r>
        <w:t>Masse par unité de surface :</w:t>
      </w:r>
      <w:r>
        <w:rPr>
          <w:rStyle w:val="optioncarChar"/>
        </w:rPr>
        <w:t xml:space="preserve"> ***</w:t>
      </w:r>
    </w:p>
    <w:p w14:paraId="78A6FA08" w14:textId="77777777" w:rsidR="00DB2B68" w:rsidRDefault="00000000">
      <w:r>
        <w:t xml:space="preserve">Longueur d’encastrement minimale : </w:t>
      </w:r>
      <w:r>
        <w:rPr>
          <w:rStyle w:val="optioncarChar"/>
        </w:rPr>
        <w:t xml:space="preserve">100 </w:t>
      </w:r>
      <w:r>
        <w:t>(par défaut)</w:t>
      </w:r>
      <w:r>
        <w:rPr>
          <w:rStyle w:val="optioncarChar"/>
        </w:rPr>
        <w:t xml:space="preserve"> / 150 / 200 / ***</w:t>
      </w:r>
      <w:r>
        <w:t xml:space="preserve"> mm</w:t>
      </w:r>
    </w:p>
    <w:p w14:paraId="38D2EC9C" w14:textId="77777777" w:rsidR="00DB2B68" w:rsidRDefault="00000000">
      <w:r>
        <w:t xml:space="preserve">Propriétés thermiques : </w:t>
      </w:r>
      <w:r>
        <w:rPr>
          <w:rStyle w:val="optioncarChar"/>
        </w:rPr>
        <w:t>***</w:t>
      </w:r>
    </w:p>
    <w:p w14:paraId="0ECBDF23" w14:textId="77777777" w:rsidR="00DB2B68" w:rsidRDefault="00000000">
      <w:r>
        <w:t xml:space="preserve">Résistance au feu : </w:t>
      </w:r>
      <w:r>
        <w:rPr>
          <w:rStyle w:val="optioncarChar"/>
        </w:rPr>
        <w:t>***</w:t>
      </w:r>
    </w:p>
    <w:p w14:paraId="3E3BF99D" w14:textId="77777777" w:rsidR="00DB2B68" w:rsidRDefault="00000000">
      <w:r>
        <w:t xml:space="preserve">Résistance au gel : </w:t>
      </w:r>
      <w:r>
        <w:rPr>
          <w:rStyle w:val="optioncarChar"/>
        </w:rPr>
        <w:t>***</w:t>
      </w:r>
    </w:p>
    <w:p w14:paraId="1DE3C2D8" w14:textId="77777777" w:rsidR="00DB2B68" w:rsidRDefault="00000000">
      <w:r>
        <w:t xml:space="preserve">Absorption d’eau : </w:t>
      </w:r>
      <w:r>
        <w:rPr>
          <w:rStyle w:val="optioncarChar"/>
        </w:rPr>
        <w:t>***</w:t>
      </w:r>
    </w:p>
    <w:p w14:paraId="45B6A4E5" w14:textId="77777777" w:rsidR="00DB2B68" w:rsidRDefault="00000000">
      <w:r>
        <w:t xml:space="preserve">Perméabilité à la vapeur d’eau : </w:t>
      </w:r>
      <w:r>
        <w:rPr>
          <w:rStyle w:val="optioncarChar"/>
        </w:rPr>
        <w:t xml:space="preserve">*** </w:t>
      </w:r>
    </w:p>
    <w:p w14:paraId="0AE0C986" w14:textId="77777777" w:rsidR="00DB2B68" w:rsidRDefault="00000000">
      <w:r>
        <w:t>Les performances  mécaniques (charge admissible, résistance à la flexion, flèche à court terme) requises sont décrites dans le cahier spécial des charges.</w:t>
      </w:r>
    </w:p>
    <w:p w14:paraId="6C9FD578" w14:textId="77777777" w:rsidR="00DB2B68" w:rsidRDefault="00DB2B68"/>
    <w:p w14:paraId="4ACD5AD9" w14:textId="77777777" w:rsidR="00DB2B68" w:rsidRDefault="00000000">
      <w:r>
        <w:rPr>
          <w:b/>
        </w:rPr>
        <w:t>Spécification de la réhausse collaborante</w:t>
      </w:r>
    </w:p>
    <w:p w14:paraId="43231338" w14:textId="77777777" w:rsidR="00DB2B68" w:rsidRDefault="00000000">
      <w:r>
        <w:t xml:space="preserve">La réhausse collaborante est réalisée en </w:t>
      </w:r>
      <w:r>
        <w:rPr>
          <w:rStyle w:val="optioncarChar"/>
        </w:rPr>
        <w:t>maçonnerie </w:t>
      </w:r>
      <w:r>
        <w:t>(par défaut)</w:t>
      </w:r>
      <w:r>
        <w:rPr>
          <w:rStyle w:val="optioncarChar"/>
        </w:rPr>
        <w:t xml:space="preserve"> / béton</w:t>
      </w:r>
      <w:r>
        <w:t>.</w:t>
      </w:r>
    </w:p>
    <w:p w14:paraId="33A523C3" w14:textId="77777777" w:rsidR="00DB2B68" w:rsidRDefault="00000000">
      <w:r>
        <w:t>La maçonnerie collaborante est décrite et comptabilisée dans les éléments 21.1, 21.2 et 21.3.</w:t>
      </w:r>
    </w:p>
    <w:p w14:paraId="6159B034" w14:textId="77777777" w:rsidR="00DB2B68" w:rsidRDefault="00000000">
      <w:r>
        <w:t xml:space="preserve">Le béton collaborant est décrit en </w:t>
      </w:r>
      <w:hyperlink w:anchor="420" w:history="1">
        <w:r>
          <w:rPr>
            <w:color w:val="0000EE"/>
          </w:rPr>
          <w:t>22.16.1a Parois en béton armé coulé en place</w:t>
        </w:r>
      </w:hyperlink>
    </w:p>
    <w:p w14:paraId="48C995DA" w14:textId="77777777" w:rsidR="00DB2B68" w:rsidRDefault="00000000">
      <w:pPr>
        <w:pStyle w:val="pheading"/>
      </w:pPr>
      <w:r>
        <w:t>EXÉCUTION / MISE EN ŒUVRE</w:t>
      </w:r>
    </w:p>
    <w:p w14:paraId="7886B9AA" w14:textId="77777777" w:rsidR="00DB2B68" w:rsidRDefault="00000000">
      <w:pPr>
        <w:pStyle w:val="pheading"/>
      </w:pPr>
      <w:r>
        <w:t>- Prescriptions générales</w:t>
      </w:r>
    </w:p>
    <w:p w14:paraId="638D970E" w14:textId="77777777" w:rsidR="00DB2B68" w:rsidRDefault="00000000">
      <w:r>
        <w:t xml:space="preserve">L’étude de stabilité </w:t>
      </w:r>
      <w:r>
        <w:rPr>
          <w:rStyle w:val="optioncarChar"/>
        </w:rPr>
        <w:t>est / n’est pas</w:t>
      </w:r>
      <w:r>
        <w:t xml:space="preserve"> à charge de l’entrepreneur.</w:t>
      </w:r>
    </w:p>
    <w:p w14:paraId="49E8EE4B" w14:textId="77777777" w:rsidR="00DB2B68" w:rsidRDefault="00000000">
      <w:r>
        <w:t xml:space="preserve">Le linteau est posé à niveau sur un lit de mortier </w:t>
      </w:r>
      <w:r>
        <w:rPr>
          <w:rStyle w:val="optioncarChar"/>
        </w:rPr>
        <w:t>M10 / M15 / M20</w:t>
      </w:r>
      <w:r>
        <w:t>.</w:t>
      </w:r>
    </w:p>
    <w:p w14:paraId="080A96E8" w14:textId="77777777" w:rsidR="00DB2B68" w:rsidRDefault="00000000">
      <w:r>
        <w:t>La hauteur de la réhausse est fonction de la charge utile.</w:t>
      </w:r>
    </w:p>
    <w:p w14:paraId="194BE5BA" w14:textId="77777777" w:rsidR="00DB2B68" w:rsidRDefault="00000000">
      <w:pPr>
        <w:pStyle w:val="pheading"/>
      </w:pPr>
      <w:r>
        <w:t>MESURAGE</w:t>
      </w:r>
    </w:p>
    <w:p w14:paraId="0FB8C0D4" w14:textId="77777777" w:rsidR="00DB2B68" w:rsidRDefault="00000000">
      <w:pPr>
        <w:pStyle w:val="pheading"/>
      </w:pPr>
      <w:r>
        <w:t>- unité de mesure:</w:t>
      </w:r>
    </w:p>
    <w:p w14:paraId="3DCA3798" w14:textId="77777777" w:rsidR="00DB2B68" w:rsidRDefault="00000000">
      <w:r>
        <w:rPr>
          <w:rStyle w:val="optioncarChar"/>
        </w:rPr>
        <w:t xml:space="preserve">- </w:t>
      </w:r>
      <w:r>
        <w:t xml:space="preserve">(par défaut) </w:t>
      </w:r>
      <w:r>
        <w:rPr>
          <w:rStyle w:val="optioncarChar"/>
        </w:rPr>
        <w:t>/ m</w:t>
      </w:r>
    </w:p>
    <w:p w14:paraId="11C38D00" w14:textId="77777777" w:rsidR="00DB2B68" w:rsidRDefault="00000000">
      <w:pPr>
        <w:pStyle w:val="pheading"/>
      </w:pPr>
      <w:r>
        <w:t>- code de mesurage:</w:t>
      </w:r>
    </w:p>
    <w:p w14:paraId="1604F71E" w14:textId="77777777" w:rsidR="00DB2B68" w:rsidRDefault="00000000">
      <w:r>
        <w:rPr>
          <w:rStyle w:val="optioncarChar"/>
        </w:rPr>
        <w:t>Comptabilisé dans la maçonnerie / calculé par m de linteau selon la largeur du mur</w:t>
      </w:r>
    </w:p>
    <w:p w14:paraId="578903A0" w14:textId="77777777" w:rsidR="00DB2B68" w:rsidRDefault="00000000">
      <w:pPr>
        <w:pStyle w:val="pheading"/>
      </w:pPr>
      <w:r>
        <w:t>- nature du marché:</w:t>
      </w:r>
    </w:p>
    <w:p w14:paraId="3E5D0723" w14:textId="77777777" w:rsidR="00DB2B68" w:rsidRDefault="00000000">
      <w:r>
        <w:rPr>
          <w:rStyle w:val="optioncarChar"/>
        </w:rPr>
        <w:t>QF / QP / PM</w:t>
      </w:r>
      <w:r>
        <w:t xml:space="preserve"> (par défaut)</w:t>
      </w:r>
    </w:p>
    <w:p w14:paraId="11E7A6C7" w14:textId="77777777" w:rsidR="00DB2B68" w:rsidRDefault="00000000">
      <w:pPr>
        <w:pStyle w:val="Author-eSectionHeading6Numberless"/>
      </w:pPr>
      <w:bookmarkStart w:id="677" w:name="_Toc220495745"/>
      <w:r>
        <w:t>22.13.2b Prélinteaux plats préfabriqués en béton + rehausses collaborantes en béton coulé en place CCTB 01.10</w:t>
      </w:r>
      <w:bookmarkEnd w:id="677"/>
    </w:p>
    <w:p w14:paraId="7EF5EAB1" w14:textId="77777777" w:rsidR="00DB2B68" w:rsidRDefault="00000000">
      <w:pPr>
        <w:pStyle w:val="Author-eSectionHeading6Numberless"/>
      </w:pPr>
      <w:bookmarkStart w:id="678" w:name="_Toc220495746"/>
      <w:r>
        <w:t>22.13.2c Prélinteaux plats en béton précontraint + rehausses collaborantes en maçonnerie CCTB 01.10</w:t>
      </w:r>
      <w:bookmarkEnd w:id="678"/>
    </w:p>
    <w:p w14:paraId="3B3996AA" w14:textId="77777777" w:rsidR="00DB2B68" w:rsidRDefault="00000000">
      <w:pPr>
        <w:pStyle w:val="Author-eSectionHeading6Numberless"/>
      </w:pPr>
      <w:bookmarkStart w:id="679" w:name="_Toc220495747"/>
      <w:r>
        <w:t>22.13.2d Prélinteaux plats en béton précontraint enrobé de terre cuite + rehausses collaborantes en maçonnerie CCTB 01.10</w:t>
      </w:r>
      <w:bookmarkEnd w:id="679"/>
    </w:p>
    <w:p w14:paraId="2B55D618" w14:textId="77777777" w:rsidR="00DB2B68" w:rsidRDefault="00000000">
      <w:pPr>
        <w:pStyle w:val="Author-eSectionHeading6Numberless"/>
      </w:pPr>
      <w:bookmarkStart w:id="680" w:name="_Toc220495748"/>
      <w:r>
        <w:t>22.13.2e Prélinteaux plats en béton précontraint enrobé de terre cuite + rehausses collaborantes en béton coulé en place CCTB 01.13</w:t>
      </w:r>
      <w:bookmarkEnd w:id="680"/>
    </w:p>
    <w:p w14:paraId="1703247F" w14:textId="77777777" w:rsidR="00DB2B68" w:rsidRDefault="00000000">
      <w:pPr>
        <w:pStyle w:val="Author-eSectionHeading6Numberless"/>
      </w:pPr>
      <w:bookmarkStart w:id="681" w:name="_Toc220495749"/>
      <w:r>
        <w:lastRenderedPageBreak/>
        <w:t>22.13.2f Prélinteaux plats en silico-calcaire et béton + rehausses collaborantes en maçonnerie CCTB 01.13</w:t>
      </w:r>
      <w:bookmarkEnd w:id="681"/>
    </w:p>
    <w:p w14:paraId="6E9BE471" w14:textId="77777777" w:rsidR="00DB2B68" w:rsidRDefault="00000000">
      <w:pPr>
        <w:pStyle w:val="pheading"/>
      </w:pPr>
      <w:r>
        <w:t>DESCRIPTION</w:t>
      </w:r>
    </w:p>
    <w:p w14:paraId="6D97A7C0" w14:textId="77777777" w:rsidR="00DB2B68" w:rsidRDefault="00000000">
      <w:pPr>
        <w:pStyle w:val="pheading"/>
      </w:pPr>
      <w:r>
        <w:t>- Définition / Comprend</w:t>
      </w:r>
    </w:p>
    <w:p w14:paraId="6E0B75BF" w14:textId="77777777" w:rsidR="00DB2B68" w:rsidRDefault="00000000">
      <w:pPr>
        <w:jc w:val="both"/>
      </w:pPr>
      <w:r>
        <w:t>Il s’agit de la fourniture et la pose de linteaux composites comprenant une partie préfabriquée enrobée de terre cuite (prélinteau) et un élément complémentaire réalisé en béton armé (réhausse collaborante exécutée sur chantier).</w:t>
      </w:r>
    </w:p>
    <w:p w14:paraId="48B10A1C" w14:textId="77777777" w:rsidR="00DB2B68" w:rsidRDefault="00000000">
      <w:pPr>
        <w:pStyle w:val="pheading"/>
      </w:pPr>
      <w:r>
        <w:t>MATÉRIAUX</w:t>
      </w:r>
    </w:p>
    <w:p w14:paraId="4ADDB966" w14:textId="77777777" w:rsidR="00DB2B68" w:rsidRDefault="00000000">
      <w:pPr>
        <w:pStyle w:val="pheading"/>
      </w:pPr>
      <w:r>
        <w:t>- Caractéristiques générales</w:t>
      </w:r>
    </w:p>
    <w:p w14:paraId="371E671B" w14:textId="77777777" w:rsidR="00DB2B68" w:rsidRDefault="00000000">
      <w:pPr>
        <w:jc w:val="both"/>
      </w:pPr>
      <w:r>
        <w:rPr>
          <w:b/>
        </w:rPr>
        <w:t xml:space="preserve">Linteau préfabriqué </w:t>
      </w:r>
    </w:p>
    <w:p w14:paraId="2466439D" w14:textId="77777777" w:rsidR="00DB2B68" w:rsidRDefault="00000000">
      <w:pPr>
        <w:jc w:val="both"/>
      </w:pPr>
      <w:r>
        <w:t>La partie préfabriquée est constituée d’un linteau en béton précontraint enrobé de terre cuite.</w:t>
      </w:r>
    </w:p>
    <w:p w14:paraId="023C987C" w14:textId="77777777" w:rsidR="00DB2B68" w:rsidRDefault="00000000">
      <w:pPr>
        <w:pStyle w:val="Author-eListParagraph"/>
        <w:numPr>
          <w:ilvl w:val="0"/>
          <w:numId w:val="381"/>
        </w:numPr>
      </w:pPr>
      <w:r>
        <w:t xml:space="preserve">Dimensions : </w:t>
      </w:r>
      <w:r>
        <w:rPr>
          <w:rStyle w:val="optioncarChar"/>
        </w:rPr>
        <w:t>voir métré et plan</w:t>
      </w:r>
      <w:r>
        <w:t xml:space="preserve"> (par défaut)</w:t>
      </w:r>
      <w:r>
        <w:rPr>
          <w:rStyle w:val="optioncarChar"/>
        </w:rPr>
        <w:t xml:space="preserve"> / 9 x 6 / 12 x 6 / 14 x 6 / 19 x 6 / ***</w:t>
      </w:r>
      <w:r>
        <w:t xml:space="preserve"> cm</w:t>
      </w:r>
    </w:p>
    <w:p w14:paraId="69B2743B" w14:textId="77777777" w:rsidR="00DB2B68" w:rsidRDefault="00000000">
      <w:pPr>
        <w:pStyle w:val="Author-eListParagraph"/>
        <w:numPr>
          <w:ilvl w:val="0"/>
          <w:numId w:val="381"/>
        </w:numPr>
      </w:pPr>
      <w:r>
        <w:t>La capacité portante est spécifiée par le fabricant et la fiche technique du produit est soumise à l’approbation de la direction du chantier.</w:t>
      </w:r>
    </w:p>
    <w:p w14:paraId="7E21FB8F" w14:textId="77777777" w:rsidR="00DB2B68" w:rsidRDefault="00000000">
      <w:pPr>
        <w:jc w:val="both"/>
      </w:pPr>
      <w:r>
        <w:rPr>
          <w:b/>
        </w:rPr>
        <w:t xml:space="preserve">Réhausse collaborante </w:t>
      </w:r>
    </w:p>
    <w:p w14:paraId="78BCA504" w14:textId="77777777" w:rsidR="00DB2B68" w:rsidRDefault="00000000">
      <w:pPr>
        <w:jc w:val="both"/>
      </w:pPr>
      <w:r>
        <w:t>La partie collaborante est constituée d’une poutre en béton armé coulée en place.</w:t>
      </w:r>
    </w:p>
    <w:p w14:paraId="78138542" w14:textId="77777777" w:rsidR="00DB2B68" w:rsidRDefault="00000000">
      <w:pPr>
        <w:jc w:val="both"/>
      </w:pPr>
      <w:r>
        <w:rPr>
          <w:u w:val="single"/>
        </w:rPr>
        <w:t>Béton :</w:t>
      </w:r>
    </w:p>
    <w:p w14:paraId="1FEC2A17" w14:textId="77777777" w:rsidR="00DB2B68" w:rsidRDefault="00000000">
      <w:pPr>
        <w:pStyle w:val="Author-eListParagraph"/>
        <w:numPr>
          <w:ilvl w:val="0"/>
          <w:numId w:val="382"/>
        </w:numPr>
      </w:pPr>
      <w:r>
        <w:t xml:space="preserve">Qualité du béton selon la [NBN EN 206:2013+A2] et la [NBN B 15-001] : (voir également </w:t>
      </w:r>
      <w:hyperlink w:anchor="87" w:history="1">
        <w:r>
          <w:rPr>
            <w:color w:val="0000EE"/>
          </w:rPr>
          <w:t>22 Superstructures en béton</w:t>
        </w:r>
      </w:hyperlink>
      <w:r>
        <w:t>).</w:t>
      </w:r>
    </w:p>
    <w:p w14:paraId="42178A99" w14:textId="77777777" w:rsidR="00DB2B68" w:rsidRDefault="00000000">
      <w:pPr>
        <w:pStyle w:val="Author-eListParagraph"/>
        <w:numPr>
          <w:ilvl w:val="0"/>
          <w:numId w:val="382"/>
        </w:numPr>
      </w:pPr>
      <w:r>
        <w:t xml:space="preserve">Classe de résistance : </w:t>
      </w:r>
      <w:r>
        <w:rPr>
          <w:rStyle w:val="optioncarChar"/>
        </w:rPr>
        <w:t xml:space="preserve">suivant les prescriptions de l’étude de béton </w:t>
      </w:r>
      <w:r>
        <w:t>(par défaut)</w:t>
      </w:r>
      <w:r>
        <w:rPr>
          <w:rStyle w:val="optioncarChar"/>
        </w:rPr>
        <w:t xml:space="preserve"> / C25/30 / C30/37 / C35/45 / C45/55 / C50/60 / C55/67 / C60/75 / C70/85 / C80/95 / C90/105 / ***</w:t>
      </w:r>
    </w:p>
    <w:p w14:paraId="1C2CEC0C" w14:textId="77777777" w:rsidR="00DB2B68" w:rsidRDefault="00000000">
      <w:pPr>
        <w:pStyle w:val="Author-eListParagraph"/>
        <w:numPr>
          <w:ilvl w:val="0"/>
          <w:numId w:val="382"/>
        </w:numPr>
      </w:pPr>
      <w:r>
        <w:t xml:space="preserve">Classe d’environnement : </w:t>
      </w:r>
      <w:r>
        <w:rPr>
          <w:rStyle w:val="optioncarChar"/>
        </w:rPr>
        <w:t xml:space="preserve">suivant les prescriptions de l’étude de béton </w:t>
      </w:r>
      <w:r>
        <w:t xml:space="preserve">(par défaut) </w:t>
      </w:r>
      <w:r>
        <w:rPr>
          <w:rStyle w:val="optioncarChar"/>
        </w:rPr>
        <w:t>/ E0 / EI / EE1 / EE2 / EE3 / EE4 / ES1 / ES2 / ES3 / ES4 / EA1+*** / EA2+***/ EA3+*** / ***</w:t>
      </w:r>
    </w:p>
    <w:p w14:paraId="02684162" w14:textId="77777777" w:rsidR="00DB2B68" w:rsidRDefault="00000000">
      <w:pPr>
        <w:pStyle w:val="Author-eListParagraph"/>
        <w:numPr>
          <w:ilvl w:val="0"/>
          <w:numId w:val="382"/>
        </w:numPr>
      </w:pPr>
      <w:r>
        <w:t xml:space="preserve">Classe de consistance : </w:t>
      </w:r>
      <w:r>
        <w:rPr>
          <w:rStyle w:val="optioncarChar"/>
        </w:rPr>
        <w:t xml:space="preserve">suivant les prescriptions de l’étude de béton </w:t>
      </w:r>
      <w:r>
        <w:t>(par défaut)</w:t>
      </w:r>
      <w:r>
        <w:rPr>
          <w:rStyle w:val="optioncarChar"/>
        </w:rPr>
        <w:t xml:space="preserve"> / S3 / S4 / S5 / F3 / F4 / F5 / F6 / ***</w:t>
      </w:r>
    </w:p>
    <w:p w14:paraId="74A108D7" w14:textId="77777777" w:rsidR="00DB2B68" w:rsidRDefault="00000000">
      <w:pPr>
        <w:pStyle w:val="Author-eListParagraph"/>
        <w:numPr>
          <w:ilvl w:val="0"/>
          <w:numId w:val="382"/>
        </w:numPr>
      </w:pPr>
      <w:r>
        <w:t xml:space="preserve">Granulométrie maximale : </w:t>
      </w:r>
      <w:r>
        <w:rPr>
          <w:rStyle w:val="optioncarChar"/>
        </w:rPr>
        <w:t xml:space="preserve">suivant les prescriptions de l’étude de béton </w:t>
      </w:r>
      <w:r>
        <w:t xml:space="preserve">(par défaut) </w:t>
      </w:r>
      <w:r>
        <w:rPr>
          <w:rStyle w:val="optioncarChar"/>
        </w:rPr>
        <w:t>/ 6 / 8 / 10 / 11 / 12 / 14 / 16 / 20 / 22 / 32 / ***</w:t>
      </w:r>
      <w:r>
        <w:t xml:space="preserve"> mm</w:t>
      </w:r>
    </w:p>
    <w:p w14:paraId="60DD21CF" w14:textId="77777777" w:rsidR="00DB2B68" w:rsidRDefault="00000000">
      <w:pPr>
        <w:jc w:val="both"/>
      </w:pPr>
      <w:r>
        <w:rPr>
          <w:u w:val="single"/>
        </w:rPr>
        <w:t>Armature :</w:t>
      </w:r>
    </w:p>
    <w:p w14:paraId="1E66DCCA" w14:textId="77777777" w:rsidR="00DB2B68" w:rsidRDefault="00000000">
      <w:pPr>
        <w:pStyle w:val="Author-eListParagraph"/>
        <w:numPr>
          <w:ilvl w:val="0"/>
          <w:numId w:val="383"/>
        </w:numPr>
      </w:pPr>
      <w:r>
        <w:t xml:space="preserve">Barres d’acier pour les armatures principales : </w:t>
      </w:r>
      <w:r>
        <w:rPr>
          <w:rStyle w:val="optioncarChar"/>
        </w:rPr>
        <w:t xml:space="preserve">acier BE 500 S </w:t>
      </w:r>
      <w:r>
        <w:t>(par défaut)</w:t>
      </w:r>
      <w:r>
        <w:rPr>
          <w:rStyle w:val="optioncarChar"/>
        </w:rPr>
        <w:t xml:space="preserve"> / ***</w:t>
      </w:r>
      <w:r>
        <w:t xml:space="preserve"> selon [NBN A 24-302] et [PTV 302].</w:t>
      </w:r>
    </w:p>
    <w:p w14:paraId="6B30FC02" w14:textId="77777777" w:rsidR="00DB2B68" w:rsidRDefault="00000000">
      <w:pPr>
        <w:pStyle w:val="Author-eListParagraph"/>
        <w:numPr>
          <w:ilvl w:val="0"/>
          <w:numId w:val="383"/>
        </w:numPr>
      </w:pPr>
      <w:r>
        <w:t xml:space="preserve">Acier pour les étriers : </w:t>
      </w:r>
      <w:r>
        <w:rPr>
          <w:rStyle w:val="optioncarChar"/>
        </w:rPr>
        <w:t xml:space="preserve">DE 500 BS </w:t>
      </w:r>
      <w:r>
        <w:t>(par défaut)</w:t>
      </w:r>
      <w:r>
        <w:rPr>
          <w:rStyle w:val="optioncarChar"/>
        </w:rPr>
        <w:t xml:space="preserve"> / BE 500 S</w:t>
      </w:r>
    </w:p>
    <w:p w14:paraId="5140D5A2" w14:textId="77777777" w:rsidR="00DB2B68" w:rsidRDefault="00000000">
      <w:pPr>
        <w:jc w:val="both"/>
      </w:pPr>
      <w:r>
        <w:t>L’ensemble (linteau préfabriqué et rehausse collaborante) présente une résistance au feu </w:t>
      </w:r>
      <w:r>
        <w:rPr>
          <w:rStyle w:val="optioncarChar"/>
        </w:rPr>
        <w:t>R15 / R30 / R60 / R120 / R240</w:t>
      </w:r>
      <w:r>
        <w:t xml:space="preserve"> démontrée par test au feu selon la [NBN EN 13501-2] ou par calcul selon les Eurocodes conformément à l’[AM 2013-05-17].</w:t>
      </w:r>
    </w:p>
    <w:p w14:paraId="3F5079E6" w14:textId="77777777" w:rsidR="00DB2B68" w:rsidRDefault="00000000">
      <w:pPr>
        <w:pStyle w:val="pheading"/>
      </w:pPr>
      <w:r>
        <w:t>- Finitions</w:t>
      </w:r>
    </w:p>
    <w:p w14:paraId="0D61426D" w14:textId="77777777" w:rsidR="00DB2B68" w:rsidRDefault="00000000">
      <w:r>
        <w:t xml:space="preserve">Surface du béton : </w:t>
      </w:r>
      <w:r>
        <w:rPr>
          <w:rStyle w:val="optioncarChar"/>
        </w:rPr>
        <w:t xml:space="preserve">rugueuse (destinée à être plafonnée) </w:t>
      </w:r>
      <w:r>
        <w:t>(par défaut)</w:t>
      </w:r>
      <w:r>
        <w:rPr>
          <w:rStyle w:val="optioncarChar"/>
        </w:rPr>
        <w:t xml:space="preserve"> / lisse / ***</w:t>
      </w:r>
    </w:p>
    <w:p w14:paraId="673E0937" w14:textId="77777777" w:rsidR="00DB2B68" w:rsidRDefault="00000000">
      <w:pPr>
        <w:pStyle w:val="pheading"/>
      </w:pPr>
      <w:r>
        <w:t>EXÉCUTION / MISE EN ŒUVRE</w:t>
      </w:r>
    </w:p>
    <w:p w14:paraId="51F476F8" w14:textId="77777777" w:rsidR="00DB2B68" w:rsidRDefault="00000000">
      <w:pPr>
        <w:pStyle w:val="pheading"/>
      </w:pPr>
      <w:r>
        <w:t>- Prescriptions générales</w:t>
      </w:r>
    </w:p>
    <w:p w14:paraId="2A84E8D4" w14:textId="77777777" w:rsidR="00DB2B68" w:rsidRDefault="00000000">
      <w:pPr>
        <w:jc w:val="both"/>
      </w:pPr>
      <w:r>
        <w:t xml:space="preserve">Le dimensionnement des éléments est déterminé d’après l’étude de stabilité </w:t>
      </w:r>
      <w:r>
        <w:rPr>
          <w:rStyle w:val="optioncarChar"/>
        </w:rPr>
        <w:t>annexée aux documents du marché / à charge de l’entrepreneur.</w:t>
      </w:r>
    </w:p>
    <w:p w14:paraId="47E4D399" w14:textId="77777777" w:rsidR="00DB2B68" w:rsidRDefault="00000000">
      <w:pPr>
        <w:jc w:val="both"/>
      </w:pPr>
      <w:r>
        <w:t>Les poutres sont exécutées dans les dimensions indiquées sur les plans du bureau chargé de l’étude des bétons. Avant la mise en œuvre, l’entrepreneur vérifie si elles peuvent effectivement être réalisées conformément aux plans.</w:t>
      </w:r>
    </w:p>
    <w:p w14:paraId="30967278" w14:textId="77777777" w:rsidR="00DB2B68" w:rsidRDefault="00000000">
      <w:pPr>
        <w:jc w:val="both"/>
      </w:pPr>
      <w:r>
        <w:t>Les linteaux sont exécutés d’aplomb, alignés et de niveau.</w:t>
      </w:r>
    </w:p>
    <w:p w14:paraId="16B22FED" w14:textId="77777777" w:rsidR="00DB2B68" w:rsidRDefault="00000000">
      <w:pPr>
        <w:jc w:val="both"/>
      </w:pPr>
      <w:r>
        <w:lastRenderedPageBreak/>
        <w:t>Pour les portées supérieures à 1,20 m, un ou plusieurs supports sont placés pendant l’exécution.</w:t>
      </w:r>
    </w:p>
    <w:p w14:paraId="4CE551C4" w14:textId="77777777" w:rsidR="00DB2B68" w:rsidRDefault="00000000">
      <w:pPr>
        <w:jc w:val="both"/>
      </w:pPr>
      <w:r>
        <w:t xml:space="preserve">La longueur d’appui est </w:t>
      </w:r>
      <w:r>
        <w:rPr>
          <w:rStyle w:val="optioncarChar"/>
        </w:rPr>
        <w:t xml:space="preserve">conforme aux prescriptions du bureau d’études </w:t>
      </w:r>
      <w:r>
        <w:t>(par défaut)</w:t>
      </w:r>
      <w:r>
        <w:rPr>
          <w:rStyle w:val="optioncarChar"/>
        </w:rPr>
        <w:t xml:space="preserve"> / 20 cm / 30 cm / *** cm</w:t>
      </w:r>
      <w:r>
        <w:t xml:space="preserve"> à chaque extrémité des poutres.</w:t>
      </w:r>
    </w:p>
    <w:p w14:paraId="147EAEA9" w14:textId="77777777" w:rsidR="00DB2B68" w:rsidRDefault="00000000">
      <w:pPr>
        <w:jc w:val="both"/>
      </w:pPr>
      <w:r>
        <w:rPr>
          <w:b/>
        </w:rPr>
        <w:t>Linteau préfabriqué</w:t>
      </w:r>
    </w:p>
    <w:p w14:paraId="5AFF56CB" w14:textId="77777777" w:rsidR="00DB2B68" w:rsidRDefault="00000000">
      <w:pPr>
        <w:jc w:val="both"/>
      </w:pPr>
      <w:r>
        <w:t>Avant leur mise en œuvre, les éléments sont complètement nettoyés et humidifiés. Les extrémités de l’élément reposent sur un lit en mortier de ciment.</w:t>
      </w:r>
    </w:p>
    <w:p w14:paraId="10B19BF1" w14:textId="77777777" w:rsidR="00DB2B68" w:rsidRDefault="00000000">
      <w:pPr>
        <w:jc w:val="both"/>
      </w:pPr>
      <w:r>
        <w:rPr>
          <w:b/>
        </w:rPr>
        <w:t>Réhausse collaborante</w:t>
      </w:r>
    </w:p>
    <w:p w14:paraId="08B81923" w14:textId="77777777" w:rsidR="00DB2B68" w:rsidRDefault="00000000">
      <w:pPr>
        <w:jc w:val="both"/>
      </w:pPr>
      <w:r>
        <w:t xml:space="preserve">Coulage du béton : suivant prescriptions du </w:t>
      </w:r>
      <w:hyperlink w:anchor="87" w:history="1">
        <w:r>
          <w:rPr>
            <w:color w:val="0000EE"/>
          </w:rPr>
          <w:t>22 Superstructures en béton</w:t>
        </w:r>
      </w:hyperlink>
    </w:p>
    <w:p w14:paraId="19A90A1E" w14:textId="77777777" w:rsidR="00DB2B68" w:rsidRDefault="00000000">
      <w:pPr>
        <w:jc w:val="both"/>
      </w:pPr>
      <w:r>
        <w:t xml:space="preserve">Le décoffrage ne peut avoir lieu avant </w:t>
      </w:r>
      <w:r>
        <w:rPr>
          <w:rStyle w:val="optioncarChar"/>
        </w:rPr>
        <w:t xml:space="preserve">le nombre de jours fixé dans les directives du bureau d’études </w:t>
      </w:r>
      <w:r>
        <w:t>(par défaut)</w:t>
      </w:r>
      <w:r>
        <w:rPr>
          <w:rStyle w:val="optioncarChar"/>
        </w:rPr>
        <w:t xml:space="preserve"> / ***</w:t>
      </w:r>
      <w:r>
        <w:t xml:space="preserve">  </w:t>
      </w:r>
      <w:r>
        <w:rPr>
          <w:rStyle w:val="optioncarChar"/>
        </w:rPr>
        <w:t>jours</w:t>
      </w:r>
      <w:r>
        <w:t xml:space="preserve"> après le coulage du béton.</w:t>
      </w:r>
    </w:p>
    <w:p w14:paraId="04F5CF6F" w14:textId="77777777" w:rsidR="00DB2B68" w:rsidRDefault="00000000">
      <w:pPr>
        <w:jc w:val="both"/>
      </w:pPr>
      <w:r>
        <w:t xml:space="preserve">Tous les moyens nécessaires pour éviter la déformation hors tolérance des coffrages est obligatoire. L’utilisation d’entretoises est autorisée pour autant qu’un schéma de positionnement de celles-ci soit au préalable soumis pour approbation. Les trous laissés par les entretoises reliant les parois des coffrages sont bouchés </w:t>
      </w:r>
      <w:r>
        <w:rPr>
          <w:rStyle w:val="optioncarChar"/>
        </w:rPr>
        <w:t>à l’aide de mortier de la même couleur que le béton immédiatement après le décoffrage</w:t>
      </w:r>
      <w:r>
        <w:t xml:space="preserve"> (par défaut)</w:t>
      </w:r>
      <w:r>
        <w:rPr>
          <w:rStyle w:val="optioncarChar"/>
        </w:rPr>
        <w:t xml:space="preserve"> / ***</w:t>
      </w:r>
      <w:r>
        <w:t>.</w:t>
      </w:r>
    </w:p>
    <w:p w14:paraId="65238115" w14:textId="77777777" w:rsidR="00DB2B68" w:rsidRDefault="00000000">
      <w:pPr>
        <w:pStyle w:val="pheading"/>
      </w:pPr>
      <w:r>
        <w:t>MESURAGE</w:t>
      </w:r>
    </w:p>
    <w:p w14:paraId="1E1BDF78" w14:textId="77777777" w:rsidR="00DB2B68" w:rsidRDefault="00000000">
      <w:pPr>
        <w:pStyle w:val="pheading"/>
      </w:pPr>
      <w:r>
        <w:t>- unité de mesure:</w:t>
      </w:r>
    </w:p>
    <w:p w14:paraId="2E58B418" w14:textId="77777777" w:rsidR="00DB2B68" w:rsidRDefault="00000000">
      <w:r>
        <w:t>m³</w:t>
      </w:r>
    </w:p>
    <w:p w14:paraId="1C01CAB9" w14:textId="77777777" w:rsidR="00DB2B68" w:rsidRDefault="00000000">
      <w:pPr>
        <w:pStyle w:val="pheading"/>
      </w:pPr>
      <w:r>
        <w:t>- code de mesurage:</w:t>
      </w:r>
    </w:p>
    <w:p w14:paraId="0BCAD20F" w14:textId="77777777" w:rsidR="00DB2B68" w:rsidRDefault="00000000">
      <w:r>
        <w:t>Volume net de l’ensemble du linteau composite (prélinteau et rehausse en béton), y compris le coffrage.</w:t>
      </w:r>
    </w:p>
    <w:p w14:paraId="7EE93B6C" w14:textId="77777777" w:rsidR="00DB2B68" w:rsidRDefault="00000000">
      <w:r>
        <w:t>Armatures</w:t>
      </w:r>
      <w:r>
        <w:rPr>
          <w:rStyle w:val="optioncarChar"/>
        </w:rPr>
        <w:t xml:space="preserve"> comprises</w:t>
      </w:r>
      <w:r>
        <w:t xml:space="preserve"> (par défaut) </w:t>
      </w:r>
      <w:r>
        <w:rPr>
          <w:rStyle w:val="optioncarChar"/>
        </w:rPr>
        <w:t>/ métrées séparément.</w:t>
      </w:r>
    </w:p>
    <w:p w14:paraId="5499A45B" w14:textId="77777777" w:rsidR="00DB2B68" w:rsidRDefault="00000000">
      <w:r>
        <w:rPr>
          <w:b/>
        </w:rPr>
        <w:t>(soit par défaut)</w:t>
      </w:r>
      <w:r>
        <w:br/>
      </w:r>
      <w:r>
        <w:rPr>
          <w:rStyle w:val="soitChar"/>
        </w:rPr>
        <w:t>1. </w:t>
      </w:r>
      <w:r>
        <w:rPr>
          <w:rStyle w:val="soitChar"/>
          <w:u w:val="single"/>
        </w:rPr>
        <w:t>Comprises</w:t>
      </w:r>
      <w:r>
        <w:rPr>
          <w:rStyle w:val="soitChar"/>
        </w:rPr>
        <w:t xml:space="preserve"> dans le prix unitaire.</w:t>
      </w:r>
      <w:r>
        <w:br/>
      </w:r>
      <w:r>
        <w:rPr>
          <w:b/>
        </w:rPr>
        <w:t>(soit)</w:t>
      </w:r>
      <w:r>
        <w:br/>
      </w:r>
      <w:r>
        <w:rPr>
          <w:rStyle w:val="soitChar"/>
        </w:rPr>
        <w:t xml:space="preserve">2. </w:t>
      </w:r>
      <w:r>
        <w:rPr>
          <w:rStyle w:val="soitChar"/>
          <w:u w:val="single"/>
        </w:rPr>
        <w:t>Métrées séparément</w:t>
      </w:r>
      <w:r>
        <w:rPr>
          <w:rStyle w:val="soitChar"/>
        </w:rPr>
        <w:t xml:space="preserve"> dans l’article </w:t>
      </w:r>
      <w:hyperlink w:anchor="493" w:history="1">
        <w:r>
          <w:rPr>
            <w:rStyle w:val="soitChar"/>
            <w:color w:val="0000EE"/>
          </w:rPr>
          <w:t>22.51.1a Barres d'armatures pour béton</w:t>
        </w:r>
      </w:hyperlink>
    </w:p>
    <w:p w14:paraId="2543164B" w14:textId="77777777" w:rsidR="00DB2B68" w:rsidRDefault="00000000">
      <w:pPr>
        <w:pStyle w:val="pheading"/>
      </w:pPr>
      <w:r>
        <w:t>- nature du marché:</w:t>
      </w:r>
    </w:p>
    <w:p w14:paraId="19BB0FEB" w14:textId="77777777" w:rsidR="00DB2B68" w:rsidRDefault="00000000">
      <w:r>
        <w:rPr>
          <w:rStyle w:val="optioncarChar"/>
        </w:rPr>
        <w:t xml:space="preserve">QF </w:t>
      </w:r>
      <w:r>
        <w:t>(par défaut)</w:t>
      </w:r>
      <w:r>
        <w:rPr>
          <w:rStyle w:val="optioncarChar"/>
        </w:rPr>
        <w:t xml:space="preserve"> / QP</w:t>
      </w:r>
    </w:p>
    <w:p w14:paraId="385E6797" w14:textId="77777777" w:rsidR="00DB2B68" w:rsidRDefault="00000000">
      <w:r>
        <w:rPr>
          <w:b/>
        </w:rPr>
        <w:t>(soit par défaut)</w:t>
      </w:r>
      <w:r>
        <w:br/>
      </w:r>
      <w:r>
        <w:rPr>
          <w:rStyle w:val="soitChar"/>
        </w:rPr>
        <w:t>1. QF</w:t>
      </w:r>
      <w:r>
        <w:br/>
      </w:r>
      <w:r>
        <w:rPr>
          <w:b/>
        </w:rPr>
        <w:t>(soit)</w:t>
      </w:r>
      <w:r>
        <w:br/>
      </w:r>
      <w:r>
        <w:rPr>
          <w:rStyle w:val="soitChar"/>
        </w:rPr>
        <w:t>2. QP</w:t>
      </w:r>
    </w:p>
    <w:p w14:paraId="18B8CEB2" w14:textId="77777777" w:rsidR="00DB2B68" w:rsidRDefault="00000000">
      <w:pPr>
        <w:pStyle w:val="Author-eSectionHeading5Numberless"/>
      </w:pPr>
      <w:bookmarkStart w:id="682" w:name="_Toc220495750"/>
      <w:r>
        <w:t>22.13.3 Linteaux composites (prélinteaux en U + âmes en béton) CCTB 01.10</w:t>
      </w:r>
      <w:bookmarkEnd w:id="682"/>
    </w:p>
    <w:p w14:paraId="04DE370B" w14:textId="77777777" w:rsidR="00DB2B68" w:rsidRDefault="00000000">
      <w:pPr>
        <w:pStyle w:val="Author-eSectionHeading6Numberless"/>
      </w:pPr>
      <w:bookmarkStart w:id="683" w:name="430"/>
      <w:bookmarkStart w:id="684" w:name="_Toc220495751"/>
      <w:bookmarkEnd w:id="683"/>
      <w:r>
        <w:t>22.13.3a Prélinteaux en U en éléments en béton + âmes en béton coulé en place CCTB 01.10</w:t>
      </w:r>
      <w:bookmarkEnd w:id="684"/>
    </w:p>
    <w:p w14:paraId="5BF25332" w14:textId="77777777" w:rsidR="00DB2B68" w:rsidRDefault="00000000">
      <w:pPr>
        <w:pStyle w:val="Author-eSectionHeading6Numberless"/>
      </w:pPr>
      <w:bookmarkStart w:id="685" w:name="_Toc220495752"/>
      <w:r>
        <w:t>22.13.3b Prélinteaux en U en éléments en terre cuite alvéolaires + âmes en béton coulé en place CCTB 01.10</w:t>
      </w:r>
      <w:bookmarkEnd w:id="685"/>
    </w:p>
    <w:p w14:paraId="7A6E99D3" w14:textId="77777777" w:rsidR="00DB2B68" w:rsidRDefault="00000000">
      <w:pPr>
        <w:pStyle w:val="Author-eSectionHeading6Numberless"/>
      </w:pPr>
      <w:bookmarkStart w:id="686" w:name="_Toc220495753"/>
      <w:r>
        <w:t>22.13.3c Prélinteaux en U en éléments en silico-calcaire + âmes en béton coulé en place CCTB 01.10</w:t>
      </w:r>
      <w:bookmarkEnd w:id="686"/>
    </w:p>
    <w:p w14:paraId="00102CBE" w14:textId="77777777" w:rsidR="00DB2B68" w:rsidRDefault="00000000">
      <w:pPr>
        <w:pStyle w:val="Author-eSectionHeading6Numberless"/>
      </w:pPr>
      <w:bookmarkStart w:id="687" w:name="_Toc220495754"/>
      <w:r>
        <w:t>22.13.3d Prélinteaux en U en éléments en béton cellulaire + âmes en béton coulé en place CCTB 01.10</w:t>
      </w:r>
      <w:bookmarkEnd w:id="687"/>
    </w:p>
    <w:p w14:paraId="07911685" w14:textId="77777777" w:rsidR="00DB2B68" w:rsidRDefault="00000000">
      <w:pPr>
        <w:pStyle w:val="Author-eSectionHeading6Numberless"/>
      </w:pPr>
      <w:bookmarkStart w:id="688" w:name="_Toc220495755"/>
      <w:r>
        <w:lastRenderedPageBreak/>
        <w:t>22.13.3e Prélinteaux en U en éléments en béton cellulaire + profilé métallique + âmes en béton coulé en place CCTB 01.10</w:t>
      </w:r>
      <w:bookmarkEnd w:id="688"/>
    </w:p>
    <w:p w14:paraId="6419A736" w14:textId="77777777" w:rsidR="00DB2B68" w:rsidRDefault="00000000">
      <w:pPr>
        <w:pStyle w:val="Author-eSectionHeading6Numberless"/>
      </w:pPr>
      <w:bookmarkStart w:id="689" w:name="_Toc220495756"/>
      <w:r>
        <w:t>22.13.3f Prélinteaux en U en éléments en matière synthétique + âmes en béton coulé en place CCTB 01.10</w:t>
      </w:r>
      <w:bookmarkEnd w:id="689"/>
    </w:p>
    <w:p w14:paraId="4730A145" w14:textId="77777777" w:rsidR="00DB2B68" w:rsidRDefault="00000000">
      <w:pPr>
        <w:pStyle w:val="Author-eSectionHeading6Numberless"/>
      </w:pPr>
      <w:bookmarkStart w:id="690" w:name="_Toc220495757"/>
      <w:r>
        <w:t>22.13.3g Prélinteaux en U en éléments en fibres de bois minéralisées + âmes en béton coulé en place CCTB 01.10</w:t>
      </w:r>
      <w:bookmarkEnd w:id="690"/>
    </w:p>
    <w:p w14:paraId="2FA7B5D9" w14:textId="77777777" w:rsidR="00DB2B68" w:rsidRDefault="00000000">
      <w:pPr>
        <w:pStyle w:val="Author-eSectionHeading6Numberless"/>
      </w:pPr>
      <w:bookmarkStart w:id="691" w:name="_Toc220495758"/>
      <w:r>
        <w:t>22.13.3h Prélinteaux en U en éléments en pierre ponce + âmes en béton coulé en place CCTB 01.10</w:t>
      </w:r>
      <w:bookmarkEnd w:id="691"/>
    </w:p>
    <w:p w14:paraId="4FF8213E" w14:textId="77777777" w:rsidR="00DB2B68" w:rsidRDefault="00000000">
      <w:pPr>
        <w:pStyle w:val="Author-eSectionHeading4Numberless"/>
      </w:pPr>
      <w:bookmarkStart w:id="692" w:name="_Toc220495759"/>
      <w:r>
        <w:t>22.14 Colonnes en béton CCTB 01.04</w:t>
      </w:r>
      <w:bookmarkEnd w:id="692"/>
    </w:p>
    <w:p w14:paraId="7D203870" w14:textId="77777777" w:rsidR="00DB2B68" w:rsidRDefault="00000000">
      <w:pPr>
        <w:pStyle w:val="Author-eSectionHeading5Numberless"/>
      </w:pPr>
      <w:bookmarkStart w:id="693" w:name="497"/>
      <w:bookmarkStart w:id="694" w:name="_Toc220495760"/>
      <w:bookmarkEnd w:id="693"/>
      <w:r>
        <w:t>22.14.1 Colonnes en béton coulé en place CCTB 01.04</w:t>
      </w:r>
      <w:bookmarkEnd w:id="694"/>
    </w:p>
    <w:p w14:paraId="582216A0" w14:textId="77777777" w:rsidR="00DB2B68" w:rsidRDefault="00000000">
      <w:pPr>
        <w:pStyle w:val="Author-eSectionHeading6Numberless"/>
      </w:pPr>
      <w:bookmarkStart w:id="695" w:name="_Toc220495761"/>
      <w:r>
        <w:t>22.14.1a Colonnes en béton armé coulé en place CCTB 01.13</w:t>
      </w:r>
      <w:bookmarkEnd w:id="695"/>
    </w:p>
    <w:p w14:paraId="2ECACE5E" w14:textId="77777777" w:rsidR="00DB2B68" w:rsidRDefault="00000000">
      <w:pPr>
        <w:pStyle w:val="pheading"/>
      </w:pPr>
      <w:bookmarkStart w:id="696" w:name="179"/>
      <w:bookmarkEnd w:id="696"/>
      <w:r>
        <w:t>DESCRIPTION</w:t>
      </w:r>
    </w:p>
    <w:p w14:paraId="355BC89C" w14:textId="77777777" w:rsidR="00DB2B68" w:rsidRDefault="00000000">
      <w:pPr>
        <w:pStyle w:val="pheading"/>
      </w:pPr>
      <w:r>
        <w:t>- Définition / Comprend</w:t>
      </w:r>
    </w:p>
    <w:p w14:paraId="1D2BE80F" w14:textId="77777777" w:rsidR="00DB2B68" w:rsidRDefault="00000000">
      <w:r>
        <w:t xml:space="preserve">Il s'agit de l’ensemble des colonnes (éléments verticaux ou obliques) exécutées en béton armé coulé en place. Les travaux comprennent les éléments décrits dans </w:t>
      </w:r>
      <w:hyperlink w:anchor="87" w:history="1">
        <w:r>
          <w:rPr>
            <w:color w:val="0000EE"/>
          </w:rPr>
          <w:t>22 Superstructures en béton</w:t>
        </w:r>
      </w:hyperlink>
      <w:r>
        <w:t xml:space="preserve"> § Béton prêt à l’emploi, et notamment les coffrages, les armatures (suivant le code de mesurage), le béton et la cure.</w:t>
      </w:r>
    </w:p>
    <w:p w14:paraId="387243B1" w14:textId="77777777" w:rsidR="00DB2B68" w:rsidRDefault="00000000">
      <w:r>
        <w:t xml:space="preserve">L’étude et les plans d’exécution </w:t>
      </w:r>
      <w:r>
        <w:rPr>
          <w:rStyle w:val="optioncarChar"/>
        </w:rPr>
        <w:t>sont / ne sont</w:t>
      </w:r>
      <w:r>
        <w:t xml:space="preserve"> pas à charge de l’entreprise.</w:t>
      </w:r>
    </w:p>
    <w:p w14:paraId="129BB8A4" w14:textId="77777777" w:rsidR="00DB2B68" w:rsidRDefault="00000000">
      <w:pPr>
        <w:pStyle w:val="pheading"/>
      </w:pPr>
      <w:r>
        <w:t>MATÉRIAUX</w:t>
      </w:r>
    </w:p>
    <w:p w14:paraId="7B072F29" w14:textId="77777777" w:rsidR="00DB2B68" w:rsidRDefault="00000000">
      <w:pPr>
        <w:pStyle w:val="pheading"/>
      </w:pPr>
      <w:r>
        <w:t>- Caractéristiques générales</w:t>
      </w:r>
    </w:p>
    <w:p w14:paraId="5DA931F4" w14:textId="77777777" w:rsidR="00DB2B68" w:rsidRDefault="00000000">
      <w:pPr>
        <w:pStyle w:val="heading"/>
      </w:pPr>
      <w:r>
        <w:rPr>
          <w:u w:val="single"/>
        </w:rPr>
        <w:t>Béton</w:t>
      </w:r>
    </w:p>
    <w:p w14:paraId="3EEE336F" w14:textId="77777777" w:rsidR="00DB2B68" w:rsidRDefault="00000000">
      <w:pPr>
        <w:pStyle w:val="Author-eListParagraph"/>
        <w:numPr>
          <w:ilvl w:val="0"/>
          <w:numId w:val="384"/>
        </w:numPr>
      </w:pPr>
      <w:r>
        <w:t xml:space="preserve">Qualité du béton selon la [NBN EN 206:2013+A2] et la [NBN B 15-001] : (voir également </w:t>
      </w:r>
      <w:hyperlink w:anchor="87" w:history="1">
        <w:r>
          <w:rPr>
            <w:color w:val="0000EE"/>
          </w:rP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B2B68" w14:paraId="10119F8B" w14:textId="77777777">
        <w:tc>
          <w:tcPr>
            <w:tcW w:w="1500" w:type="dxa"/>
            <w:noWrap/>
          </w:tcPr>
          <w:p w14:paraId="53380257" w14:textId="77777777" w:rsidR="00DB2B68" w:rsidRDefault="00000000">
            <w:pPr>
              <w:jc w:val="center"/>
            </w:pPr>
            <w:r>
              <w:rPr>
                <w:b/>
              </w:rPr>
              <w:t>A</w:t>
            </w:r>
          </w:p>
        </w:tc>
        <w:tc>
          <w:tcPr>
            <w:tcW w:w="1500" w:type="dxa"/>
            <w:noWrap/>
          </w:tcPr>
          <w:p w14:paraId="26BE955B" w14:textId="77777777" w:rsidR="00DB2B68" w:rsidRDefault="00000000">
            <w:pPr>
              <w:jc w:val="center"/>
            </w:pPr>
            <w:r>
              <w:rPr>
                <w:b/>
              </w:rPr>
              <w:t>B1</w:t>
            </w:r>
          </w:p>
        </w:tc>
        <w:tc>
          <w:tcPr>
            <w:tcW w:w="1500" w:type="dxa"/>
            <w:noWrap/>
          </w:tcPr>
          <w:p w14:paraId="78747E0D" w14:textId="77777777" w:rsidR="00DB2B68" w:rsidRDefault="00000000">
            <w:pPr>
              <w:jc w:val="center"/>
            </w:pPr>
            <w:r>
              <w:rPr>
                <w:b/>
              </w:rPr>
              <w:t>B2</w:t>
            </w:r>
          </w:p>
        </w:tc>
        <w:tc>
          <w:tcPr>
            <w:tcW w:w="1500" w:type="dxa"/>
            <w:noWrap/>
          </w:tcPr>
          <w:p w14:paraId="2814A931" w14:textId="77777777" w:rsidR="00DB2B68" w:rsidRDefault="00000000">
            <w:pPr>
              <w:jc w:val="center"/>
            </w:pPr>
            <w:r>
              <w:rPr>
                <w:b/>
              </w:rPr>
              <w:t>C</w:t>
            </w:r>
          </w:p>
        </w:tc>
        <w:tc>
          <w:tcPr>
            <w:tcW w:w="1500" w:type="dxa"/>
            <w:noWrap/>
          </w:tcPr>
          <w:p w14:paraId="3BAB8901" w14:textId="77777777" w:rsidR="00DB2B68" w:rsidRDefault="00000000">
            <w:pPr>
              <w:jc w:val="center"/>
            </w:pPr>
            <w:r>
              <w:rPr>
                <w:b/>
              </w:rPr>
              <w:t>D</w:t>
            </w:r>
          </w:p>
        </w:tc>
        <w:tc>
          <w:tcPr>
            <w:tcW w:w="1500" w:type="dxa"/>
            <w:noWrap/>
          </w:tcPr>
          <w:p w14:paraId="3EB3BACA" w14:textId="77777777" w:rsidR="00DB2B68" w:rsidRDefault="00000000">
            <w:pPr>
              <w:jc w:val="center"/>
            </w:pPr>
            <w:r>
              <w:rPr>
                <w:b/>
              </w:rPr>
              <w:t>E</w:t>
            </w:r>
          </w:p>
        </w:tc>
      </w:tr>
      <w:tr w:rsidR="00DB2B68" w14:paraId="2C20E44E" w14:textId="77777777">
        <w:tc>
          <w:tcPr>
            <w:tcW w:w="1500" w:type="dxa"/>
            <w:noWrap/>
          </w:tcPr>
          <w:p w14:paraId="0F2247E7" w14:textId="77777777" w:rsidR="00DB2B68" w:rsidRDefault="00000000">
            <w:pPr>
              <w:jc w:val="center"/>
            </w:pPr>
            <w:r>
              <w:rPr>
                <w:b/>
              </w:rPr>
              <w:t>Classe de résistance</w:t>
            </w:r>
          </w:p>
        </w:tc>
        <w:tc>
          <w:tcPr>
            <w:tcW w:w="1500" w:type="dxa"/>
            <w:noWrap/>
          </w:tcPr>
          <w:p w14:paraId="312D296F" w14:textId="77777777" w:rsidR="00DB2B68" w:rsidRDefault="00000000">
            <w:pPr>
              <w:jc w:val="center"/>
            </w:pPr>
            <w:r>
              <w:rPr>
                <w:b/>
              </w:rPr>
              <w:t>Domaine d’application</w:t>
            </w:r>
          </w:p>
        </w:tc>
        <w:tc>
          <w:tcPr>
            <w:tcW w:w="1500" w:type="dxa"/>
            <w:noWrap/>
          </w:tcPr>
          <w:p w14:paraId="2C9B49DD" w14:textId="77777777" w:rsidR="00DB2B68" w:rsidRDefault="00000000">
            <w:pPr>
              <w:jc w:val="center"/>
            </w:pPr>
            <w:r>
              <w:rPr>
                <w:b/>
              </w:rPr>
              <w:t>Classe d'environnement</w:t>
            </w:r>
          </w:p>
        </w:tc>
        <w:tc>
          <w:tcPr>
            <w:tcW w:w="1500" w:type="dxa"/>
            <w:noWrap/>
          </w:tcPr>
          <w:p w14:paraId="5C6D6226" w14:textId="77777777" w:rsidR="00DB2B68" w:rsidRDefault="00000000">
            <w:pPr>
              <w:jc w:val="center"/>
            </w:pPr>
            <w:r>
              <w:rPr>
                <w:b/>
              </w:rPr>
              <w:t>Classe de consistance</w:t>
            </w:r>
          </w:p>
        </w:tc>
        <w:tc>
          <w:tcPr>
            <w:tcW w:w="1500" w:type="dxa"/>
            <w:noWrap/>
          </w:tcPr>
          <w:p w14:paraId="6B5B34DA" w14:textId="77777777" w:rsidR="00DB2B68" w:rsidRDefault="00000000">
            <w:pPr>
              <w:jc w:val="center"/>
            </w:pPr>
            <w:r>
              <w:rPr>
                <w:b/>
              </w:rPr>
              <w:t>Granulométrie maximale</w:t>
            </w:r>
          </w:p>
        </w:tc>
        <w:tc>
          <w:tcPr>
            <w:tcW w:w="1500" w:type="dxa"/>
            <w:noWrap/>
          </w:tcPr>
          <w:p w14:paraId="2507825D" w14:textId="77777777" w:rsidR="00DB2B68" w:rsidRDefault="00000000">
            <w:r>
              <w:rPr>
                <w:b/>
              </w:rPr>
              <w:t>Données complémentaires</w:t>
            </w:r>
          </w:p>
        </w:tc>
      </w:tr>
      <w:tr w:rsidR="00DB2B68" w14:paraId="66C3F2DB" w14:textId="77777777">
        <w:tc>
          <w:tcPr>
            <w:tcW w:w="1500" w:type="dxa"/>
            <w:noWrap/>
          </w:tcPr>
          <w:p w14:paraId="04E358DC" w14:textId="77777777" w:rsidR="00DB2B68" w:rsidRDefault="00000000">
            <w:pPr>
              <w:jc w:val="center"/>
            </w:pPr>
            <w:r>
              <w:rPr>
                <w:rStyle w:val="optioncarChar"/>
              </w:rPr>
              <w:t>C25/30 / C30/37 / C35/45 / C45/55 / C50/60 / C55/67 / C60/75 / C70/85 / C80/95 / C90/105</w:t>
            </w:r>
          </w:p>
        </w:tc>
        <w:tc>
          <w:tcPr>
            <w:tcW w:w="1500" w:type="dxa"/>
            <w:noWrap/>
          </w:tcPr>
          <w:p w14:paraId="20D49F34" w14:textId="77777777" w:rsidR="00DB2B68" w:rsidRDefault="00000000">
            <w:pPr>
              <w:jc w:val="center"/>
            </w:pPr>
            <w:r>
              <w:t>Béton armé</w:t>
            </w:r>
          </w:p>
          <w:p w14:paraId="17EC58F9" w14:textId="77777777" w:rsidR="00DB2B68" w:rsidRDefault="00000000">
            <w:pPr>
              <w:jc w:val="center"/>
            </w:pPr>
            <w:r>
              <w:t> </w:t>
            </w:r>
          </w:p>
        </w:tc>
        <w:tc>
          <w:tcPr>
            <w:tcW w:w="1500" w:type="dxa"/>
            <w:noWrap/>
          </w:tcPr>
          <w:p w14:paraId="611DFC15" w14:textId="77777777" w:rsidR="00DB2B68" w:rsidRDefault="00000000">
            <w:pPr>
              <w:jc w:val="center"/>
            </w:pPr>
            <w:r>
              <w:rPr>
                <w:rStyle w:val="optioncarChar"/>
              </w:rPr>
              <w:t>*** / E0 / EI / EE1 / EE2 / EE3 / EE4 / ES1 / ES2 / ES3 / ES4 / EA1+*** / EA2+***/ EA3+***</w:t>
            </w:r>
          </w:p>
        </w:tc>
        <w:tc>
          <w:tcPr>
            <w:tcW w:w="1500" w:type="dxa"/>
            <w:noWrap/>
          </w:tcPr>
          <w:p w14:paraId="565C913D" w14:textId="77777777" w:rsidR="00DB2B68" w:rsidRDefault="00000000">
            <w:pPr>
              <w:jc w:val="center"/>
            </w:pPr>
            <w:r>
              <w:t>au choix de l'entrepreneur :</w:t>
            </w:r>
          </w:p>
          <w:p w14:paraId="383CA24F" w14:textId="77777777" w:rsidR="00DB2B68" w:rsidRDefault="00000000">
            <w:pPr>
              <w:jc w:val="center"/>
            </w:pPr>
            <w:r>
              <w:rPr>
                <w:rStyle w:val="optioncarChar"/>
              </w:rPr>
              <w:t xml:space="preserve">S3 / S4 / S5 </w:t>
            </w:r>
          </w:p>
          <w:p w14:paraId="092B7FAD" w14:textId="77777777" w:rsidR="00DB2B68" w:rsidRDefault="00000000">
            <w:pPr>
              <w:jc w:val="center"/>
            </w:pPr>
            <w:r>
              <w:rPr>
                <w:rStyle w:val="optioncarChar"/>
              </w:rPr>
              <w:t>F3 / F4 / F5 / F6</w:t>
            </w:r>
            <w:r>
              <w:br/>
            </w:r>
          </w:p>
        </w:tc>
        <w:tc>
          <w:tcPr>
            <w:tcW w:w="1500" w:type="dxa"/>
            <w:noWrap/>
          </w:tcPr>
          <w:p w14:paraId="64CDD48E" w14:textId="77777777" w:rsidR="00DB2B68" w:rsidRDefault="00000000">
            <w:pPr>
              <w:jc w:val="center"/>
            </w:pPr>
            <w:r>
              <w:t>au choix de l'entrepreneur :</w:t>
            </w:r>
          </w:p>
          <w:p w14:paraId="47603B14" w14:textId="77777777" w:rsidR="00DB2B68" w:rsidRDefault="00000000">
            <w:pPr>
              <w:jc w:val="center"/>
            </w:pPr>
            <w:r>
              <w:rPr>
                <w:rStyle w:val="optioncarChar"/>
              </w:rPr>
              <w:t>6 / 8 / 10 / 11 / 12 / 14 / 16 / 20 / 22 / 32 </w:t>
            </w:r>
            <w:r>
              <w:t>mm</w:t>
            </w:r>
          </w:p>
        </w:tc>
        <w:tc>
          <w:tcPr>
            <w:tcW w:w="1500" w:type="dxa"/>
            <w:noWrap/>
          </w:tcPr>
          <w:p w14:paraId="51C752E5" w14:textId="77777777" w:rsidR="00DB2B68" w:rsidRDefault="00000000">
            <w:pPr>
              <w:jc w:val="center"/>
            </w:pPr>
            <w:r>
              <w:rPr>
                <w:rStyle w:val="optioncarChar"/>
              </w:rPr>
              <w:t>***</w:t>
            </w:r>
          </w:p>
        </w:tc>
      </w:tr>
    </w:tbl>
    <w:p w14:paraId="0648A955" w14:textId="77777777" w:rsidR="00DB2B68" w:rsidRDefault="00000000">
      <w:r>
        <w:t> </w:t>
      </w:r>
    </w:p>
    <w:p w14:paraId="2C94D954"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65622EE0" w14:textId="77777777" w:rsidR="00DB2B68" w:rsidRDefault="00000000">
      <w:pPr>
        <w:pStyle w:val="Author-eListParagraph"/>
        <w:numPr>
          <w:ilvl w:val="0"/>
          <w:numId w:val="385"/>
        </w:numPr>
      </w:pPr>
      <w:r>
        <w:t xml:space="preserve">Classe de viscosité apparente : </w:t>
      </w:r>
      <w:r>
        <w:rPr>
          <w:rStyle w:val="optioncarChar"/>
        </w:rPr>
        <w:t>VS1 / VS2</w:t>
      </w:r>
      <w:r>
        <w:t xml:space="preserve"> (selon la [NBN EN 12350-8] )</w:t>
      </w:r>
    </w:p>
    <w:p w14:paraId="02AD2C88" w14:textId="77777777" w:rsidR="00DB2B68" w:rsidRDefault="00000000">
      <w:pPr>
        <w:pStyle w:val="Author-eListParagraph"/>
        <w:numPr>
          <w:ilvl w:val="0"/>
          <w:numId w:val="385"/>
        </w:numPr>
      </w:pPr>
      <w:r>
        <w:lastRenderedPageBreak/>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8921920" w14:textId="77777777" w:rsidR="00DB2B68" w:rsidRDefault="00000000">
      <w:pPr>
        <w:pStyle w:val="Author-eListParagraph"/>
        <w:numPr>
          <w:ilvl w:val="0"/>
          <w:numId w:val="38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7DAB18D" w14:textId="77777777" w:rsidR="00DB2B68" w:rsidRDefault="00000000">
      <w:r>
        <w:rPr>
          <w:u w:val="single"/>
        </w:rPr>
        <w:t>Armatures</w:t>
      </w:r>
    </w:p>
    <w:p w14:paraId="0BDA3F4C" w14:textId="77777777" w:rsidR="00DB2B68" w:rsidRDefault="00000000">
      <w:pPr>
        <w:pStyle w:val="Author-eListParagraph"/>
        <w:numPr>
          <w:ilvl w:val="0"/>
          <w:numId w:val="386"/>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[PTV 302] .</w:t>
      </w:r>
    </w:p>
    <w:p w14:paraId="4EBB0E9D" w14:textId="77777777" w:rsidR="00DB2B68" w:rsidRDefault="00000000">
      <w:pPr>
        <w:pStyle w:val="Author-eListParagraph"/>
        <w:numPr>
          <w:ilvl w:val="0"/>
          <w:numId w:val="386"/>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 1. </w:t>
      </w:r>
      <w:r>
        <w:rPr>
          <w:rStyle w:val="soitChar"/>
          <w:u w:val="single"/>
        </w:rPr>
        <w:t>DE 500 BS</w:t>
      </w:r>
      <w:r>
        <w:rPr>
          <w:rStyle w:val="soitChar"/>
        </w:rPr>
        <w:t xml:space="preserve"> selon [NBN A 24-303] + [PTV 303]</w:t>
      </w:r>
      <w:r>
        <w:br/>
      </w:r>
      <w:r>
        <w:rPr>
          <w:b/>
        </w:rPr>
        <w:t>(Soit)</w:t>
      </w:r>
      <w:r>
        <w:br/>
      </w:r>
      <w:r>
        <w:rPr>
          <w:rStyle w:val="soitChar"/>
        </w:rPr>
        <w:t xml:space="preserve"> 2. </w:t>
      </w:r>
      <w:r>
        <w:rPr>
          <w:rStyle w:val="soitChar"/>
          <w:u w:val="single"/>
        </w:rPr>
        <w:t>BE 500 S</w:t>
      </w:r>
      <w:r>
        <w:rPr>
          <w:rStyle w:val="soitChar"/>
        </w:rPr>
        <w:t xml:space="preserve"> selon [NBN A 24-302] + [PTV 302] .</w:t>
      </w:r>
    </w:p>
    <w:p w14:paraId="792C8C3A" w14:textId="77777777" w:rsidR="00DB2B68" w:rsidRDefault="00000000">
      <w:pPr>
        <w:pStyle w:val="pheading"/>
      </w:pPr>
      <w:r>
        <w:t>- Finitions</w:t>
      </w:r>
    </w:p>
    <w:p w14:paraId="3D0C7C31" w14:textId="77777777" w:rsidR="00DB2B68" w:rsidRDefault="00000000">
      <w:r>
        <w:t>La surface du béton brute de décoffrage est</w:t>
      </w:r>
      <w:r>
        <w:rPr>
          <w:rStyle w:val="optioncarChar"/>
        </w:rPr>
        <w:t xml:space="preserve"> lisse </w:t>
      </w:r>
      <w:r>
        <w:t>(par défaut) </w:t>
      </w:r>
      <w:r>
        <w:rPr>
          <w:rStyle w:val="optioncarChar"/>
        </w:rPr>
        <w:t>/ texturée / à relief (ou structurée) / ***</w:t>
      </w:r>
    </w:p>
    <w:p w14:paraId="230525AA" w14:textId="77777777" w:rsidR="00DB2B68" w:rsidRDefault="00000000">
      <w:r>
        <w:rPr>
          <w:rStyle w:val="optioncarChar"/>
          <w:color w:val="000000"/>
        </w:rPr>
        <w:t>Les arêtes saillantes des colonnes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1782B7A3" w14:textId="77777777" w:rsidR="00DB2B68" w:rsidRDefault="00000000">
      <w:pPr>
        <w:pStyle w:val="pheading"/>
      </w:pPr>
      <w:r>
        <w:t>- Prescriptions complémentaires</w:t>
      </w:r>
    </w:p>
    <w:p w14:paraId="0CCBA9A1" w14:textId="77777777" w:rsidR="00DB2B68" w:rsidRDefault="00000000">
      <w:r>
        <w:t>Résistance au feu :</w:t>
      </w:r>
      <w:r>
        <w:rPr>
          <w:rStyle w:val="optioncarChar"/>
        </w:rPr>
        <w:t> R30 </w:t>
      </w:r>
      <w:r>
        <w:t>(par défaut)</w:t>
      </w:r>
      <w:r>
        <w:rPr>
          <w:rStyle w:val="optioncarChar"/>
        </w:rPr>
        <w:t xml:space="preserve"> / R60 / R120 / R240 /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7C374EEA" w14:textId="77777777" w:rsidR="00DB2B68" w:rsidRDefault="00000000">
      <w:pPr>
        <w:pStyle w:val="pheading"/>
      </w:pPr>
      <w:r>
        <w:t>EXÉCUTION / MISE EN ŒUVRE</w:t>
      </w:r>
    </w:p>
    <w:p w14:paraId="70DB6782" w14:textId="77777777" w:rsidR="00DB2B68" w:rsidRDefault="00000000">
      <w:pPr>
        <w:pStyle w:val="pheading"/>
      </w:pPr>
      <w:r>
        <w:t>- Prescriptions générales</w:t>
      </w:r>
    </w:p>
    <w:p w14:paraId="2C1ED3D9" w14:textId="77777777" w:rsidR="00DB2B68" w:rsidRDefault="00000000">
      <w:r>
        <w:t xml:space="preserve">Les </w:t>
      </w:r>
      <w:r>
        <w:rPr>
          <w:rStyle w:val="optioncarChar"/>
          <w:color w:val="000000"/>
        </w:rPr>
        <w:t xml:space="preserve">colonnes </w:t>
      </w:r>
      <w:r>
        <w:t>sont exécutées dans les dimensions indiquées sur les plans.</w:t>
      </w:r>
    </w:p>
    <w:p w14:paraId="35B1FBC8" w14:textId="77777777" w:rsidR="00DB2B68" w:rsidRDefault="00000000">
      <w:r>
        <w:t>L’entrepreneur est tenu de vérifier si elles peuvent effectivement être réalisées conformément aux plans soumis. Il y a lieu de tenir compte de la hauteur libre requise par rapport au niveau du sol. .</w:t>
      </w:r>
    </w:p>
    <w:p w14:paraId="0814FA3B" w14:textId="77777777" w:rsidR="00DB2B68"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rPr>
            <w:color w:val="0000EE"/>
          </w:rPr>
          <w:t>22 Superstructures en béton</w:t>
        </w:r>
      </w:hyperlink>
      <w:r>
        <w:t xml:space="preserve"> sous-titre </w:t>
      </w:r>
      <w:r>
        <w:rPr>
          <w:u w:val="single"/>
        </w:rPr>
        <w:t>Décoffrage</w:t>
      </w:r>
      <w:r>
        <w:t xml:space="preserve"> et [NBN B 15-400] )</w:t>
      </w:r>
    </w:p>
    <w:p w14:paraId="27D0635B" w14:textId="77777777" w:rsidR="00DB2B68"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00805D33" w14:textId="77777777" w:rsidR="00DB2B68" w:rsidRDefault="00000000">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r>
      <w:r>
        <w:lastRenderedPageBreak/>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w:t>
      </w:r>
      <w:r>
        <w:t>(par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57841769" w14:textId="77777777" w:rsidR="00DB2B68" w:rsidRDefault="00000000">
      <w:r>
        <w:rPr>
          <w:u w:val="single"/>
        </w:rPr>
        <w:t>Technique de cure</w:t>
      </w:r>
    </w:p>
    <w:p w14:paraId="01830598" w14:textId="77777777" w:rsidR="00DB2B68" w:rsidRDefault="00000000">
      <w:r>
        <w:rPr>
          <w:rStyle w:val="optioncarChar"/>
        </w:rPr>
        <w:t xml:space="preserve">Au choix de l’entrepreneur </w:t>
      </w:r>
      <w:r>
        <w:t>(par défaut)</w:t>
      </w:r>
      <w:r>
        <w:rPr>
          <w:rStyle w:val="optioncarChar"/>
        </w:rPr>
        <w:t xml:space="preserve"> / maintien de coffrage / pulvérisation d’eau / film plastique / produit de cure/ ***</w:t>
      </w:r>
    </w:p>
    <w:p w14:paraId="1A7A4D1F" w14:textId="77777777" w:rsidR="00DB2B68" w:rsidRDefault="00000000">
      <w:pPr>
        <w:pStyle w:val="pheading"/>
      </w:pPr>
      <w:r>
        <w:t>- Notes d’exécution complémentaires</w:t>
      </w:r>
    </w:p>
    <w:p w14:paraId="60ED5AE1" w14:textId="77777777" w:rsidR="00DB2B68" w:rsidRDefault="00000000">
      <w:r>
        <w:t xml:space="preserve">Raccords visibles entre éléments de coffrage : </w:t>
      </w:r>
      <w:r>
        <w:rPr>
          <w:rStyle w:val="optioncarChar"/>
        </w:rPr>
        <w:t>joint en forme de V </w:t>
      </w:r>
      <w:r>
        <w:t>(par défaut)</w:t>
      </w:r>
      <w:r>
        <w:rPr>
          <w:rStyle w:val="optioncarChar"/>
        </w:rPr>
        <w:t xml:space="preserve">  /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0CC44D0F" w14:textId="77777777" w:rsidR="00DB2B68" w:rsidRDefault="00000000">
      <w:pPr>
        <w:pStyle w:val="pheading"/>
      </w:pPr>
      <w:r>
        <w:t>MESURAGE</w:t>
      </w:r>
    </w:p>
    <w:p w14:paraId="61CCF60A" w14:textId="77777777" w:rsidR="00DB2B68" w:rsidRDefault="00000000">
      <w:r>
        <w:rPr>
          <w:rStyle w:val="headingChar"/>
        </w:rPr>
        <w:t>Armatures</w:t>
      </w:r>
    </w:p>
    <w:p w14:paraId="0F07C350" w14:textId="77777777" w:rsidR="00DB2B68" w:rsidRDefault="00000000">
      <w:r>
        <w:t xml:space="preserve">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37DC9A32" w14:textId="77777777" w:rsidR="00DB2B68"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2" w:history="1">
        <w:r>
          <w:rPr>
            <w:rStyle w:val="soitChar"/>
            <w:color w:val="0000EE"/>
          </w:rPr>
          <w:t>22.51 Armatures pour béton</w:t>
        </w:r>
      </w:hyperlink>
    </w:p>
    <w:p w14:paraId="25144A9B" w14:textId="77777777" w:rsidR="00DB2B68" w:rsidRDefault="00000000">
      <w:pPr>
        <w:pStyle w:val="pheading"/>
      </w:pPr>
      <w:r>
        <w:t>- unité de mesure:</w:t>
      </w:r>
    </w:p>
    <w:p w14:paraId="167ED901" w14:textId="77777777" w:rsidR="00DB2B68" w:rsidRDefault="00000000">
      <w:r>
        <w:rPr>
          <w:rStyle w:val="headingChar"/>
        </w:rPr>
        <w:t>EN BASE</w:t>
      </w:r>
    </w:p>
    <w:p w14:paraId="1B57B3C9" w14:textId="77777777" w:rsidR="00DB2B68" w:rsidRDefault="00000000">
      <w:r>
        <w:t>m³</w:t>
      </w:r>
    </w:p>
    <w:p w14:paraId="0E98F73F" w14:textId="77777777" w:rsidR="00DB2B68" w:rsidRDefault="00000000">
      <w:r>
        <w:rPr>
          <w:rStyle w:val="headingChar"/>
        </w:rPr>
        <w:t>EN SUPPLEMENT POUR COFFRAGE PARTICULIER ET COMPLEXE</w:t>
      </w:r>
      <w:r>
        <w:br/>
      </w:r>
    </w:p>
    <w:p w14:paraId="1D51DB78" w14:textId="77777777" w:rsidR="00DB2B68" w:rsidRDefault="00000000">
      <w:r>
        <w:rPr>
          <w:rStyle w:val="optioncarChar"/>
        </w:rPr>
        <w:t xml:space="preserve">m² </w:t>
      </w:r>
      <w:r>
        <w:t>(par défaut)</w:t>
      </w:r>
      <w:r>
        <w:rPr>
          <w:rStyle w:val="optioncarChar"/>
        </w:rPr>
        <w:t xml:space="preserve"> / m³</w:t>
      </w:r>
    </w:p>
    <w:p w14:paraId="685D4B2E" w14:textId="77777777" w:rsidR="00DB2B68" w:rsidRDefault="00000000">
      <w:r>
        <w:rPr>
          <w:b/>
        </w:rPr>
        <w:t>(Soit par défaut)</w:t>
      </w:r>
      <w:r>
        <w:br/>
      </w:r>
      <w:r>
        <w:rPr>
          <w:rStyle w:val="soitChar"/>
        </w:rPr>
        <w:t>1. m</w:t>
      </w:r>
      <w:r>
        <w:rPr>
          <w:rStyle w:val="soitChar"/>
          <w:vertAlign w:val="superscript"/>
        </w:rPr>
        <w:t>2</w:t>
      </w:r>
      <w:r>
        <w:br/>
      </w:r>
      <w:r>
        <w:rPr>
          <w:b/>
        </w:rPr>
        <w:t>(soit)</w:t>
      </w:r>
      <w:r>
        <w:br/>
      </w:r>
      <w:r>
        <w:rPr>
          <w:rStyle w:val="soitChar"/>
        </w:rPr>
        <w:t>2. m</w:t>
      </w:r>
      <w:r>
        <w:rPr>
          <w:rStyle w:val="soitChar"/>
          <w:vertAlign w:val="superscript"/>
        </w:rPr>
        <w:t>3</w:t>
      </w:r>
    </w:p>
    <w:p w14:paraId="5E1A1394" w14:textId="77777777" w:rsidR="00DB2B68" w:rsidRDefault="00000000">
      <w:pPr>
        <w:pStyle w:val="pheading"/>
      </w:pPr>
      <w:r>
        <w:t>- code de mesurage:</w:t>
      </w:r>
    </w:p>
    <w:p w14:paraId="296DF5E0" w14:textId="77777777" w:rsidR="00DB2B68" w:rsidRDefault="00000000">
      <w:r>
        <w:t xml:space="preserve">Le coffrage n'est jamais mesuré séparément et doit toujours être compris dans le prix unitaire du béton de centrale, sauf pour les coffrages de conception architecturale particulière pour lesquels, uniquement s’ils sont mentionnés explicitement dans le cahier spécial des charges et/ou le métré récapitulatif, un supplément peut être accordé. </w:t>
      </w:r>
      <w:r>
        <w:br/>
      </w:r>
    </w:p>
    <w:p w14:paraId="7A7E556F" w14:textId="77777777" w:rsidR="00DB2B68" w:rsidRDefault="00000000">
      <w:r>
        <w:rPr>
          <w:rStyle w:val="headingChar"/>
        </w:rPr>
        <w:lastRenderedPageBreak/>
        <w:t>EN BASE</w:t>
      </w:r>
    </w:p>
    <w:p w14:paraId="5BA072F7" w14:textId="77777777" w:rsidR="00DB2B68" w:rsidRDefault="00000000">
      <w:r>
        <w:t>volume net (selon la [NBN B 06-001]) mesuré entre la dalle de sol et les poutres.</w:t>
      </w:r>
    </w:p>
    <w:p w14:paraId="35676072" w14:textId="77777777" w:rsidR="00DB2B68" w:rsidRDefault="00000000">
      <w:r>
        <w:t>volume net, mesuré selon les dimensions nominales indiquées sur les plans.</w:t>
      </w:r>
    </w:p>
    <w:p w14:paraId="59EBD2C6" w14:textId="77777777" w:rsidR="00DB2B68" w:rsidRDefault="00000000">
      <w:pPr>
        <w:pStyle w:val="Author-eListParagraph"/>
        <w:numPr>
          <w:ilvl w:val="0"/>
          <w:numId w:val="387"/>
        </w:numPr>
      </w:pPr>
      <w:r>
        <w:t>Les éléments en béton non rectangulaires sont calculés en multipliant la longueur par la surface de la section.</w:t>
      </w:r>
    </w:p>
    <w:p w14:paraId="4701DC35" w14:textId="77777777" w:rsidR="00DB2B68" w:rsidRDefault="00000000">
      <w:pPr>
        <w:pStyle w:val="Author-eListParagraph"/>
        <w:numPr>
          <w:ilvl w:val="0"/>
          <w:numId w:val="387"/>
        </w:numPr>
      </w:pPr>
      <w:r>
        <w:t>Le contenu des volumes résiduels au droit des angles, rencontres et terminaisons est négligé.</w:t>
      </w:r>
    </w:p>
    <w:p w14:paraId="2D69B4C6" w14:textId="77777777" w:rsidR="00DB2B68" w:rsidRDefault="00000000">
      <w:pPr>
        <w:pStyle w:val="Author-eListParagraph"/>
        <w:numPr>
          <w:ilvl w:val="0"/>
          <w:numId w:val="387"/>
        </w:numPr>
      </w:pPr>
      <w:r>
        <w:t xml:space="preserve">Aucune déduction n'est faite pour: </w:t>
      </w:r>
    </w:p>
    <w:p w14:paraId="4B48C966" w14:textId="77777777" w:rsidR="00DB2B68" w:rsidRDefault="00000000">
      <w:pPr>
        <w:pStyle w:val="Author-eListParagraph"/>
        <w:numPr>
          <w:ilvl w:val="1"/>
          <w:numId w:val="388"/>
        </w:numPr>
      </w:pPr>
      <w:r>
        <w:t>le volume des armatures,</w:t>
      </w:r>
    </w:p>
    <w:p w14:paraId="4263341B" w14:textId="77777777" w:rsidR="00DB2B68" w:rsidRDefault="00000000">
      <w:pPr>
        <w:pStyle w:val="Author-eListParagraph"/>
        <w:numPr>
          <w:ilvl w:val="1"/>
          <w:numId w:val="388"/>
        </w:numPr>
      </w:pPr>
      <w:r>
        <w:t>les blocs et écarteurs, les fourreaux pour les armatures de précontrainte ;</w:t>
      </w:r>
    </w:p>
    <w:p w14:paraId="72D2D8C8" w14:textId="77777777" w:rsidR="00DB2B68" w:rsidRDefault="00000000">
      <w:pPr>
        <w:pStyle w:val="Author-eListParagraph"/>
        <w:numPr>
          <w:ilvl w:val="1"/>
          <w:numId w:val="388"/>
        </w:numPr>
      </w:pPr>
      <w:r>
        <w:t>les pénétrations pour les pattes d’ancrage, les creux, les conduites noyées et les réservations dont le volume est inférieur à 0,05 m</w:t>
      </w:r>
      <w:r>
        <w:rPr>
          <w:vertAlign w:val="superscript"/>
        </w:rPr>
        <w:t>3</w:t>
      </w:r>
      <w:r>
        <w:t>.</w:t>
      </w:r>
    </w:p>
    <w:p w14:paraId="1DD35CDB" w14:textId="77777777" w:rsidR="00DB2B68" w:rsidRDefault="00000000">
      <w:pPr>
        <w:pStyle w:val="Author-eListParagraph"/>
        <w:numPr>
          <w:ilvl w:val="1"/>
          <w:numId w:val="388"/>
        </w:numPr>
      </w:pPr>
      <w:r>
        <w:t>les chanfreins et tous les profils dont la section a une superficie inférieure à 20 cm</w:t>
      </w:r>
      <w:r>
        <w:rPr>
          <w:vertAlign w:val="superscript"/>
        </w:rPr>
        <w:t>2</w:t>
      </w:r>
      <w:r>
        <w:t>.</w:t>
      </w:r>
    </w:p>
    <w:p w14:paraId="509DFC1F" w14:textId="77777777" w:rsidR="00DB2B68" w:rsidRDefault="00000000">
      <w:pPr>
        <w:pStyle w:val="Author-eListParagraph"/>
        <w:numPr>
          <w:ilvl w:val="1"/>
          <w:numId w:val="388"/>
        </w:numPr>
      </w:pPr>
      <w:r>
        <w:t>les rainures, encoches et languettes.</w:t>
      </w:r>
    </w:p>
    <w:p w14:paraId="57DE24CD" w14:textId="77777777" w:rsidR="00DB2B68" w:rsidRDefault="00000000">
      <w:r>
        <w:rPr>
          <w:rStyle w:val="headingChar"/>
        </w:rPr>
        <w:t>EN SUPPLEMENT POUR COFFRAGE PARTICULIER ET COMPLEXE</w:t>
      </w:r>
      <w:r>
        <w:br/>
      </w:r>
    </w:p>
    <w:p w14:paraId="0036A9C3" w14:textId="77777777" w:rsidR="00DB2B68" w:rsidRDefault="00000000">
      <w:r>
        <w:rPr>
          <w:rStyle w:val="optioncarChar"/>
        </w:rPr>
        <w:t xml:space="preserve">Surface </w:t>
      </w:r>
      <w:r>
        <w:t>(par défaut)</w:t>
      </w:r>
      <w:r>
        <w:rPr>
          <w:rStyle w:val="optioncarChar"/>
        </w:rPr>
        <w:t xml:space="preserve"> / Volume net </w:t>
      </w:r>
      <w:r>
        <w:t>mesurés selon les dimensions nominales indiquées sur les plans.</w:t>
      </w:r>
    </w:p>
    <w:p w14:paraId="4C1B56C9" w14:textId="77777777" w:rsidR="00DB2B68" w:rsidRDefault="00000000">
      <w:r>
        <w:rPr>
          <w:b/>
        </w:rPr>
        <w:t>(Soit par défaut)</w:t>
      </w:r>
      <w:r>
        <w:br/>
      </w:r>
      <w:r>
        <w:rPr>
          <w:rStyle w:val="soitChar"/>
        </w:rPr>
        <w:t xml:space="preserve">1. </w:t>
      </w:r>
      <w:r>
        <w:rPr>
          <w:rStyle w:val="soitChar"/>
          <w:u w:val="single"/>
        </w:rPr>
        <w:t>Surface :</w:t>
      </w:r>
    </w:p>
    <w:p w14:paraId="4FDD38A8" w14:textId="77777777" w:rsidR="00DB2B68" w:rsidRDefault="00000000">
      <w:pPr>
        <w:pStyle w:val="Author-eListParagraph"/>
        <w:numPr>
          <w:ilvl w:val="0"/>
          <w:numId w:val="389"/>
        </w:numPr>
      </w:pPr>
      <w:r>
        <w:t>Les surfaces supérieures qui ont une inclinaison plus forte que 6/4 sont considérées comme surfaces à coffrer.</w:t>
      </w:r>
    </w:p>
    <w:p w14:paraId="74D372E0" w14:textId="77777777" w:rsidR="00DB2B68" w:rsidRDefault="00000000">
      <w:pPr>
        <w:pStyle w:val="Author-eListParagraph"/>
        <w:numPr>
          <w:ilvl w:val="0"/>
          <w:numId w:val="389"/>
        </w:numPr>
      </w:pPr>
      <w:r>
        <w:t xml:space="preserve">On ne déduit pas les surfaces </w:t>
      </w:r>
    </w:p>
    <w:p w14:paraId="6EEAE027" w14:textId="77777777" w:rsidR="00DB2B68" w:rsidRDefault="00000000">
      <w:pPr>
        <w:pStyle w:val="Author-eListParagraph"/>
        <w:numPr>
          <w:ilvl w:val="1"/>
          <w:numId w:val="390"/>
        </w:numPr>
      </w:pPr>
      <w:r>
        <w:t>des évidements égaux ou inférieurs à 1 m</w:t>
      </w:r>
      <w:r>
        <w:rPr>
          <w:vertAlign w:val="superscript"/>
        </w:rPr>
        <w:t>2</w:t>
      </w:r>
    </w:p>
    <w:p w14:paraId="43A61DD9" w14:textId="77777777" w:rsidR="00DB2B68" w:rsidRDefault="00000000">
      <w:pPr>
        <w:pStyle w:val="Author-eListParagraph"/>
        <w:numPr>
          <w:ilvl w:val="1"/>
          <w:numId w:val="390"/>
        </w:numPr>
      </w:pPr>
      <w:r>
        <w:t>des raccordements de poutres entre elles ou avec les parois ou les colonnes.</w:t>
      </w:r>
    </w:p>
    <w:p w14:paraId="56D3D40A" w14:textId="77777777" w:rsidR="00DB2B68" w:rsidRDefault="00000000">
      <w:pPr>
        <w:pStyle w:val="Author-eListParagraph"/>
        <w:numPr>
          <w:ilvl w:val="0"/>
          <w:numId w:val="389"/>
        </w:numPr>
      </w:pPr>
      <w:r>
        <w:t>Le coffrage des évidements, des gaines, etc. égaux ou inférieurs à 1 m</w:t>
      </w:r>
      <w:r>
        <w:rPr>
          <w:vertAlign w:val="superscript"/>
        </w:rPr>
        <w:t>2</w:t>
      </w:r>
      <w:r>
        <w:t xml:space="preserve"> est mesuré à la pièce.</w:t>
      </w:r>
    </w:p>
    <w:p w14:paraId="177A650B" w14:textId="77777777" w:rsidR="00DB2B68" w:rsidRDefault="00000000">
      <w:pPr>
        <w:pStyle w:val="Author-eListParagraph"/>
        <w:numPr>
          <w:ilvl w:val="0"/>
          <w:numId w:val="389"/>
        </w:numPr>
      </w:pPr>
      <w:r>
        <w:t>Le coffrage des évidements supérieurs à 1 m</w:t>
      </w:r>
      <w:r>
        <w:rPr>
          <w:vertAlign w:val="superscript"/>
        </w:rPr>
        <w:t>2</w:t>
      </w:r>
      <w:r>
        <w:t xml:space="preserve"> est compté avec l'élément correspondant.</w:t>
      </w:r>
    </w:p>
    <w:p w14:paraId="4D830F91" w14:textId="77777777" w:rsidR="00DB2B68" w:rsidRDefault="00000000">
      <w:pPr>
        <w:pStyle w:val="Author-eListParagraph"/>
        <w:numPr>
          <w:ilvl w:val="0"/>
          <w:numId w:val="389"/>
        </w:numPr>
      </w:pPr>
      <w:r>
        <w:t>Pour la mesure de la surface des coffrages, il n'est pas tenu compte des lattes de coin et des autres lattes incorporées en vue de donner les profilés voulus et qui sont fixées dans le coffrage.</w:t>
      </w:r>
    </w:p>
    <w:p w14:paraId="37F90CD6" w14:textId="77777777" w:rsidR="00DB2B68" w:rsidRDefault="00000000">
      <w:pPr>
        <w:pStyle w:val="Author-eListParagraph"/>
        <w:numPr>
          <w:ilvl w:val="0"/>
          <w:numId w:val="389"/>
        </w:numPr>
      </w:pPr>
      <w:r>
        <w:t>Les coffrages latéraux et les coffrages des têtes sont comptés avec l'élément correspondant.</w:t>
      </w:r>
    </w:p>
    <w:p w14:paraId="686E3B71" w14:textId="77777777" w:rsidR="00DB2B68" w:rsidRDefault="00000000">
      <w:pPr>
        <w:pStyle w:val="Author-eListParagraph"/>
        <w:numPr>
          <w:ilvl w:val="0"/>
          <w:numId w:val="389"/>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14:paraId="67EB45C0" w14:textId="77777777" w:rsidR="00DB2B68" w:rsidRDefault="00000000">
      <w:pPr>
        <w:pStyle w:val="Author-eListParagraph"/>
        <w:numPr>
          <w:ilvl w:val="0"/>
          <w:numId w:val="389"/>
        </w:numPr>
      </w:pPr>
      <w:r>
        <w:t>A l'intersection de poutres, le coffrage de la plus épaisse est mesuré en continu. Le coffrage des autres est mesuré entre celui des plus épaisses.</w:t>
      </w:r>
    </w:p>
    <w:p w14:paraId="47DFBF93" w14:textId="77777777" w:rsidR="00DB2B68" w:rsidRDefault="00000000">
      <w:pPr>
        <w:pStyle w:val="Author-eListParagraph"/>
        <w:numPr>
          <w:ilvl w:val="0"/>
          <w:numId w:val="389"/>
        </w:numPr>
      </w:pPr>
      <w:r>
        <w:t>Le coffrage des poutres est mesuré sans tenir compte d'interruptions telles que des colonnes, même si les poutres sont plus étroites que les colonnes.</w:t>
      </w:r>
    </w:p>
    <w:p w14:paraId="6DC548A9" w14:textId="77777777" w:rsidR="00DB2B68" w:rsidRDefault="00000000">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44816891" w14:textId="77777777" w:rsidR="00DB2B68" w:rsidRDefault="00000000">
      <w:pPr>
        <w:pStyle w:val="pheading"/>
      </w:pPr>
      <w:r>
        <w:t>- nature du marché:</w:t>
      </w:r>
    </w:p>
    <w:p w14:paraId="33954F2E" w14:textId="77777777" w:rsidR="00DB2B68" w:rsidRDefault="00000000">
      <w:r>
        <w:rPr>
          <w:i/>
          <w:u w:val="single"/>
        </w:rPr>
        <w:t xml:space="preserve">&gt; Remarque </w:t>
      </w:r>
    </w:p>
    <w:p w14:paraId="020B5CA6" w14:textId="77777777" w:rsidR="00DB2B68" w:rsidRDefault="00000000">
      <w:pPr>
        <w:pStyle w:val="Author-eListParagraph"/>
        <w:numPr>
          <w:ilvl w:val="0"/>
          <w:numId w:val="391"/>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08EE03FB" w14:textId="77777777" w:rsidR="00DB2B68" w:rsidRDefault="00000000">
      <w:pPr>
        <w:pStyle w:val="Author-eListParagraph"/>
        <w:numPr>
          <w:ilvl w:val="0"/>
          <w:numId w:val="391"/>
        </w:numPr>
      </w:pPr>
      <w:r>
        <w:rPr>
          <w:i/>
        </w:rPr>
        <w:t xml:space="preserve">Les quantités de béton ne sont jamais mesurées sur la base des bons de livraison soumis par l’entrepreneur. </w:t>
      </w:r>
    </w:p>
    <w:p w14:paraId="2E1B6617" w14:textId="77777777" w:rsidR="00DB2B68" w:rsidRDefault="00000000">
      <w:r>
        <w:rPr>
          <w:rStyle w:val="headingChar"/>
        </w:rPr>
        <w:t>EN BASE</w:t>
      </w:r>
    </w:p>
    <w:p w14:paraId="6C2849C6" w14:textId="77777777" w:rsidR="00DB2B68" w:rsidRDefault="00000000">
      <w:r>
        <w:rPr>
          <w:rStyle w:val="optioncarChar"/>
        </w:rPr>
        <w:lastRenderedPageBreak/>
        <w:t xml:space="preserve">QF </w:t>
      </w:r>
      <w:r>
        <w:t>(par défaut)</w:t>
      </w:r>
      <w:r>
        <w:rPr>
          <w:rStyle w:val="optioncarChar"/>
        </w:rPr>
        <w:t xml:space="preserve"> / QP / PM</w:t>
      </w:r>
    </w:p>
    <w:p w14:paraId="60A3222F" w14:textId="77777777" w:rsidR="00DB2B68" w:rsidRDefault="00000000">
      <w:r>
        <w:rPr>
          <w:rStyle w:val="headingChar"/>
        </w:rPr>
        <w:t>SUPPLEMENT POUR COFFRAGE PARTICULIER ET COMPLEXE</w:t>
      </w:r>
      <w:r>
        <w:br/>
      </w:r>
    </w:p>
    <w:p w14:paraId="6D6340DC" w14:textId="77777777" w:rsidR="00DB2B68" w:rsidRDefault="00000000">
      <w:r>
        <w:rPr>
          <w:rStyle w:val="optioncarChar"/>
        </w:rPr>
        <w:t xml:space="preserve">QF </w:t>
      </w:r>
      <w:r>
        <w:t xml:space="preserve">(par défaut) </w:t>
      </w:r>
      <w:r>
        <w:rPr>
          <w:rStyle w:val="optioncarChar"/>
        </w:rPr>
        <w:t>/ QP</w:t>
      </w:r>
    </w:p>
    <w:p w14:paraId="13BC2552" w14:textId="77777777" w:rsidR="00DB2B68" w:rsidRDefault="00000000">
      <w:r>
        <w:rPr>
          <w:u w:val="single"/>
        </w:rPr>
        <w:t>Attention</w:t>
      </w:r>
      <w:r>
        <w:t xml:space="preserve"> : dans le cas où les armatures ne sont pas comprises dans le prix unitaire du béton, se référer aux § </w:t>
      </w:r>
      <w:hyperlink w:anchor="233" w:history="1">
        <w:r>
          <w:rPr>
            <w:color w:val="0000EE"/>
          </w:rPr>
          <w:t>22.51.1 Barres d'armatures pour béton</w:t>
        </w:r>
      </w:hyperlink>
      <w:r>
        <w:t xml:space="preserve"> et § </w:t>
      </w:r>
      <w:hyperlink w:anchor="234" w:history="1">
        <w:r>
          <w:rPr>
            <w:color w:val="0000EE"/>
          </w:rPr>
          <w:t>22.51.2 Treillis et panneaux d'armatures préfabriqués</w:t>
        </w:r>
      </w:hyperlink>
      <w:r>
        <w:t xml:space="preserve">. Pour les armatures de précontrainte, se référer au § </w:t>
      </w:r>
      <w:hyperlink w:anchor="483" w:history="1">
        <w:r>
          <w:rPr>
            <w:color w:val="0000EE"/>
          </w:rPr>
          <w:t>22.52.1 Armatures de précontrainte par post-tension</w:t>
        </w:r>
      </w:hyperlink>
      <w:r>
        <w:t>.</w:t>
      </w:r>
    </w:p>
    <w:p w14:paraId="33F075C2" w14:textId="77777777" w:rsidR="00DB2B68" w:rsidRDefault="00000000">
      <w:pPr>
        <w:pStyle w:val="Author-eSectionHeading5Numberless"/>
      </w:pPr>
      <w:bookmarkStart w:id="697" w:name="_Toc220495762"/>
      <w:r>
        <w:t>22.14.2 Colonnes en béton apparent (esthétique) coulé en place CCTB 01.04</w:t>
      </w:r>
      <w:bookmarkEnd w:id="697"/>
    </w:p>
    <w:p w14:paraId="2AE26B72" w14:textId="77777777" w:rsidR="00DB2B68" w:rsidRDefault="00000000">
      <w:pPr>
        <w:pStyle w:val="Author-eSectionHeading6Numberless"/>
      </w:pPr>
      <w:bookmarkStart w:id="698" w:name="_Toc220495763"/>
      <w:r>
        <w:t>22.14.2a Colonnes en béton apparent (esthétique) armé coulé en place CCTB 01.13</w:t>
      </w:r>
      <w:bookmarkEnd w:id="698"/>
    </w:p>
    <w:p w14:paraId="4B40B155" w14:textId="77777777" w:rsidR="00DB2B68" w:rsidRDefault="00000000">
      <w:pPr>
        <w:pStyle w:val="pheading"/>
      </w:pPr>
      <w:bookmarkStart w:id="699" w:name="180"/>
      <w:bookmarkEnd w:id="699"/>
      <w:r>
        <w:t>DESCRIPTION</w:t>
      </w:r>
    </w:p>
    <w:p w14:paraId="0BDFD735" w14:textId="77777777" w:rsidR="00DB2B68" w:rsidRDefault="00000000">
      <w:pPr>
        <w:pStyle w:val="pheading"/>
      </w:pPr>
      <w:r>
        <w:t>- Définition / Comprend</w:t>
      </w:r>
    </w:p>
    <w:p w14:paraId="254FD11D" w14:textId="77777777" w:rsidR="00DB2B68" w:rsidRDefault="00000000">
      <w:r>
        <w:t xml:space="preserve">Il s'agit de l’ensemble des colonnes (éléments verticaux ou obliques) exécutés en béton apparent. Les travaux comprennent les éléments décrits en </w:t>
      </w:r>
      <w:hyperlink w:anchor="87" w:history="1">
        <w:r>
          <w:rPr>
            <w:color w:val="0000EE"/>
          </w:rPr>
          <w:t>22 Superstructures en béton</w:t>
        </w:r>
      </w:hyperlink>
      <w:r>
        <w:t xml:space="preserve"> § </w:t>
      </w:r>
      <w:r>
        <w:rPr>
          <w:u w:val="single"/>
        </w:rPr>
        <w:t>Béton prêt à l'emploi</w:t>
      </w:r>
      <w:r>
        <w:t xml:space="preserve"> et notamment les coffrages,</w:t>
      </w:r>
      <w:r>
        <w:rPr>
          <w:shd w:val="clear" w:color="auto" w:fill="FFFFFF"/>
        </w:rPr>
        <w:t xml:space="preserve"> les armatures (suivant le code de mesurage),</w:t>
      </w:r>
      <w:r>
        <w:t xml:space="preserve"> le béton et la cure.</w:t>
      </w:r>
    </w:p>
    <w:p w14:paraId="02161C9B" w14:textId="77777777" w:rsidR="00DB2B68" w:rsidRDefault="00000000">
      <w:r>
        <w:t xml:space="preserve">L'étude et les plans d'exécution </w:t>
      </w:r>
      <w:r>
        <w:rPr>
          <w:rStyle w:val="optioncarChar"/>
        </w:rPr>
        <w:t>sont / ne sont pas</w:t>
      </w:r>
      <w:r>
        <w:t xml:space="preserve"> à charge de l'entreprise.</w:t>
      </w:r>
    </w:p>
    <w:p w14:paraId="25541C55" w14:textId="77777777" w:rsidR="00DB2B68" w:rsidRDefault="00000000">
      <w:pPr>
        <w:pStyle w:val="pheading"/>
      </w:pPr>
      <w:r>
        <w:t>MATÉRIAUX</w:t>
      </w:r>
    </w:p>
    <w:p w14:paraId="26CFC14C" w14:textId="77777777" w:rsidR="00DB2B68" w:rsidRDefault="00000000">
      <w:pPr>
        <w:pStyle w:val="pheading"/>
      </w:pPr>
      <w:r>
        <w:t>- Caractéristiques générales</w:t>
      </w:r>
    </w:p>
    <w:p w14:paraId="0B3757FB" w14:textId="77777777" w:rsidR="00DB2B68" w:rsidRDefault="00000000">
      <w:pPr>
        <w:pStyle w:val="Author-eListParagraph"/>
        <w:numPr>
          <w:ilvl w:val="0"/>
          <w:numId w:val="392"/>
        </w:numPr>
      </w:pPr>
      <w:r>
        <w:t xml:space="preserve">Qualité du béton selon la [NBN EN 206:2013+A2] et la [NBN B 15-001] : (voir également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51DEE261" w14:textId="77777777">
        <w:tc>
          <w:tcPr>
            <w:tcW w:w="1500" w:type="dxa"/>
            <w:noWrap/>
          </w:tcPr>
          <w:p w14:paraId="6536E3B7" w14:textId="77777777" w:rsidR="00DB2B68" w:rsidRDefault="00000000">
            <w:pPr>
              <w:jc w:val="center"/>
            </w:pPr>
            <w:r>
              <w:rPr>
                <w:b/>
              </w:rPr>
              <w:t>A</w:t>
            </w:r>
          </w:p>
        </w:tc>
        <w:tc>
          <w:tcPr>
            <w:tcW w:w="1500" w:type="dxa"/>
            <w:noWrap/>
          </w:tcPr>
          <w:p w14:paraId="05CAD1C7" w14:textId="77777777" w:rsidR="00DB2B68" w:rsidRDefault="00000000">
            <w:pPr>
              <w:jc w:val="center"/>
            </w:pPr>
            <w:r>
              <w:rPr>
                <w:b/>
              </w:rPr>
              <w:t>B1</w:t>
            </w:r>
          </w:p>
        </w:tc>
        <w:tc>
          <w:tcPr>
            <w:tcW w:w="1500" w:type="dxa"/>
            <w:noWrap/>
          </w:tcPr>
          <w:p w14:paraId="50DE8127" w14:textId="77777777" w:rsidR="00DB2B68" w:rsidRDefault="00000000">
            <w:pPr>
              <w:jc w:val="center"/>
            </w:pPr>
            <w:r>
              <w:rPr>
                <w:b/>
              </w:rPr>
              <w:t>B2</w:t>
            </w:r>
          </w:p>
        </w:tc>
        <w:tc>
          <w:tcPr>
            <w:tcW w:w="1500" w:type="dxa"/>
            <w:noWrap/>
          </w:tcPr>
          <w:p w14:paraId="030DA869" w14:textId="77777777" w:rsidR="00DB2B68" w:rsidRDefault="00000000">
            <w:pPr>
              <w:jc w:val="center"/>
            </w:pPr>
            <w:r>
              <w:rPr>
                <w:b/>
              </w:rPr>
              <w:t>C</w:t>
            </w:r>
          </w:p>
        </w:tc>
        <w:tc>
          <w:tcPr>
            <w:tcW w:w="1500" w:type="dxa"/>
            <w:noWrap/>
          </w:tcPr>
          <w:p w14:paraId="3E02858F" w14:textId="77777777" w:rsidR="00DB2B68" w:rsidRDefault="00000000">
            <w:pPr>
              <w:jc w:val="center"/>
            </w:pPr>
            <w:r>
              <w:rPr>
                <w:b/>
              </w:rPr>
              <w:t>D</w:t>
            </w:r>
          </w:p>
        </w:tc>
        <w:tc>
          <w:tcPr>
            <w:tcW w:w="1500" w:type="dxa"/>
            <w:noWrap/>
          </w:tcPr>
          <w:p w14:paraId="01CA8863" w14:textId="77777777" w:rsidR="00DB2B68" w:rsidRDefault="00000000">
            <w:pPr>
              <w:jc w:val="center"/>
            </w:pPr>
            <w:r>
              <w:rPr>
                <w:b/>
              </w:rPr>
              <w:t>E</w:t>
            </w:r>
          </w:p>
        </w:tc>
      </w:tr>
      <w:tr w:rsidR="00DB2B68" w14:paraId="1C7C78FC" w14:textId="77777777">
        <w:tc>
          <w:tcPr>
            <w:tcW w:w="1500" w:type="dxa"/>
            <w:noWrap/>
          </w:tcPr>
          <w:p w14:paraId="6E9F87B8" w14:textId="77777777" w:rsidR="00DB2B68" w:rsidRDefault="00000000">
            <w:pPr>
              <w:jc w:val="center"/>
            </w:pPr>
            <w:r>
              <w:rPr>
                <w:b/>
              </w:rPr>
              <w:t>Classe de résistance</w:t>
            </w:r>
          </w:p>
        </w:tc>
        <w:tc>
          <w:tcPr>
            <w:tcW w:w="1500" w:type="dxa"/>
            <w:noWrap/>
          </w:tcPr>
          <w:p w14:paraId="79267E93" w14:textId="77777777" w:rsidR="00DB2B68" w:rsidRDefault="00000000">
            <w:pPr>
              <w:jc w:val="center"/>
            </w:pPr>
            <w:r>
              <w:rPr>
                <w:b/>
              </w:rPr>
              <w:t>Domaine d’application</w:t>
            </w:r>
          </w:p>
        </w:tc>
        <w:tc>
          <w:tcPr>
            <w:tcW w:w="1500" w:type="dxa"/>
            <w:noWrap/>
          </w:tcPr>
          <w:p w14:paraId="54D2BA6C" w14:textId="77777777" w:rsidR="00DB2B68" w:rsidRDefault="00000000">
            <w:pPr>
              <w:jc w:val="center"/>
            </w:pPr>
            <w:r>
              <w:rPr>
                <w:b/>
              </w:rPr>
              <w:t>Classe d'environnement</w:t>
            </w:r>
          </w:p>
        </w:tc>
        <w:tc>
          <w:tcPr>
            <w:tcW w:w="1500" w:type="dxa"/>
            <w:noWrap/>
          </w:tcPr>
          <w:p w14:paraId="3346A62A" w14:textId="77777777" w:rsidR="00DB2B68" w:rsidRDefault="00000000">
            <w:pPr>
              <w:jc w:val="center"/>
            </w:pPr>
            <w:r>
              <w:rPr>
                <w:b/>
              </w:rPr>
              <w:t>Classe de consistance</w:t>
            </w:r>
          </w:p>
        </w:tc>
        <w:tc>
          <w:tcPr>
            <w:tcW w:w="1500" w:type="dxa"/>
            <w:noWrap/>
          </w:tcPr>
          <w:p w14:paraId="3861666F" w14:textId="77777777" w:rsidR="00DB2B68" w:rsidRDefault="00000000">
            <w:pPr>
              <w:jc w:val="center"/>
            </w:pPr>
            <w:r>
              <w:rPr>
                <w:b/>
              </w:rPr>
              <w:t>Granulométrie maximale</w:t>
            </w:r>
          </w:p>
        </w:tc>
        <w:tc>
          <w:tcPr>
            <w:tcW w:w="1500" w:type="dxa"/>
            <w:noWrap/>
          </w:tcPr>
          <w:p w14:paraId="0BA38D9D" w14:textId="77777777" w:rsidR="00DB2B68" w:rsidRDefault="00000000">
            <w:r>
              <w:rPr>
                <w:b/>
              </w:rPr>
              <w:t>Données complémentaires</w:t>
            </w:r>
          </w:p>
        </w:tc>
      </w:tr>
      <w:tr w:rsidR="00DB2B68" w14:paraId="41D04A0A" w14:textId="77777777">
        <w:tc>
          <w:tcPr>
            <w:tcW w:w="1500" w:type="dxa"/>
            <w:noWrap/>
          </w:tcPr>
          <w:p w14:paraId="6E3A10D2" w14:textId="77777777" w:rsidR="00DB2B68" w:rsidRDefault="00000000">
            <w:pPr>
              <w:jc w:val="center"/>
            </w:pPr>
            <w:r>
              <w:rPr>
                <w:rStyle w:val="optioncarChar"/>
              </w:rPr>
              <w:t>C25/30 / C30/37 / C35/45 / C45/55 / C50/60 / C55/67 / C60/75 / C70/85 / C80/95 / C90/105</w:t>
            </w:r>
          </w:p>
        </w:tc>
        <w:tc>
          <w:tcPr>
            <w:tcW w:w="1500" w:type="dxa"/>
            <w:noWrap/>
          </w:tcPr>
          <w:p w14:paraId="44A427BF" w14:textId="77777777" w:rsidR="00DB2B68" w:rsidRDefault="00000000">
            <w:pPr>
              <w:jc w:val="center"/>
            </w:pPr>
            <w:r>
              <w:t>Béton armé</w:t>
            </w:r>
          </w:p>
          <w:p w14:paraId="6895B41C" w14:textId="77777777" w:rsidR="00DB2B68" w:rsidRDefault="00000000">
            <w:pPr>
              <w:jc w:val="center"/>
            </w:pPr>
            <w:r>
              <w:t> </w:t>
            </w:r>
          </w:p>
        </w:tc>
        <w:tc>
          <w:tcPr>
            <w:tcW w:w="1500" w:type="dxa"/>
            <w:noWrap/>
          </w:tcPr>
          <w:p w14:paraId="522B7B53" w14:textId="77777777" w:rsidR="00DB2B68" w:rsidRDefault="00000000">
            <w:pPr>
              <w:jc w:val="center"/>
            </w:pPr>
            <w:r>
              <w:rPr>
                <w:rStyle w:val="optioncarChar"/>
              </w:rPr>
              <w:t>E0 / EI / EE1 / EE2 / EE3 / EE4 / ES1 / ES2 / ES3 / ES4 / EA1+*** / EA2+***/ EA3+***</w:t>
            </w:r>
          </w:p>
        </w:tc>
        <w:tc>
          <w:tcPr>
            <w:tcW w:w="1500" w:type="dxa"/>
            <w:noWrap/>
          </w:tcPr>
          <w:p w14:paraId="6927013B" w14:textId="77777777" w:rsidR="00DB2B68" w:rsidRDefault="00000000">
            <w:pPr>
              <w:jc w:val="center"/>
            </w:pPr>
            <w:r>
              <w:t>au choix de l'entrepreneur :</w:t>
            </w:r>
          </w:p>
          <w:p w14:paraId="18672BB9" w14:textId="77777777" w:rsidR="00DB2B68" w:rsidRDefault="00000000">
            <w:pPr>
              <w:jc w:val="center"/>
            </w:pPr>
            <w:r>
              <w:rPr>
                <w:rStyle w:val="optioncarChar"/>
              </w:rPr>
              <w:t xml:space="preserve">S3 / S4 / S5 </w:t>
            </w:r>
          </w:p>
          <w:p w14:paraId="49051247" w14:textId="77777777" w:rsidR="00DB2B68" w:rsidRDefault="00000000">
            <w:pPr>
              <w:jc w:val="center"/>
            </w:pPr>
            <w:r>
              <w:rPr>
                <w:rStyle w:val="optioncarChar"/>
              </w:rPr>
              <w:t>F3 / F4 / F5 / F6</w:t>
            </w:r>
            <w:r>
              <w:br/>
            </w:r>
          </w:p>
        </w:tc>
        <w:tc>
          <w:tcPr>
            <w:tcW w:w="1500" w:type="dxa"/>
            <w:noWrap/>
          </w:tcPr>
          <w:p w14:paraId="629AFEDD" w14:textId="77777777" w:rsidR="00DB2B68" w:rsidRDefault="00000000">
            <w:pPr>
              <w:jc w:val="center"/>
            </w:pPr>
            <w:r>
              <w:t>au choix de l'entrepreneur :</w:t>
            </w:r>
          </w:p>
          <w:p w14:paraId="6F3052A7" w14:textId="77777777" w:rsidR="00DB2B68" w:rsidRDefault="00000000">
            <w:pPr>
              <w:jc w:val="center"/>
            </w:pPr>
            <w:r>
              <w:rPr>
                <w:rStyle w:val="optioncarChar"/>
              </w:rPr>
              <w:t>6 / 8 / 10 / 11 / 12 / 14 / 16 / 20 / 22 / 32 </w:t>
            </w:r>
            <w:r>
              <w:t>mm</w:t>
            </w:r>
          </w:p>
        </w:tc>
        <w:tc>
          <w:tcPr>
            <w:tcW w:w="1500" w:type="dxa"/>
            <w:noWrap/>
          </w:tcPr>
          <w:p w14:paraId="2BDFBFDD" w14:textId="77777777" w:rsidR="00DB2B68" w:rsidRDefault="00000000">
            <w:pPr>
              <w:jc w:val="center"/>
            </w:pPr>
            <w:r>
              <w:rPr>
                <w:rStyle w:val="optioncarChar"/>
              </w:rPr>
              <w:t>***</w:t>
            </w:r>
          </w:p>
        </w:tc>
      </w:tr>
    </w:tbl>
    <w:p w14:paraId="6EB549C8" w14:textId="77777777" w:rsidR="00DB2B68" w:rsidRDefault="00000000">
      <w:r>
        <w:t> </w:t>
      </w:r>
    </w:p>
    <w:p w14:paraId="3BDC69EE"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11D89513" w14:textId="77777777" w:rsidR="00DB2B68" w:rsidRDefault="00000000">
      <w:pPr>
        <w:pStyle w:val="Author-eListParagraph"/>
        <w:numPr>
          <w:ilvl w:val="0"/>
          <w:numId w:val="393"/>
        </w:numPr>
      </w:pPr>
      <w:r>
        <w:t xml:space="preserve">Classe de viscosité apparente : </w:t>
      </w:r>
      <w:r>
        <w:rPr>
          <w:rStyle w:val="optioncarChar"/>
        </w:rPr>
        <w:t>VS1 / VS2</w:t>
      </w:r>
      <w:r>
        <w:t xml:space="preserve"> (selon la [NBN EN 12350-8] )</w:t>
      </w:r>
    </w:p>
    <w:p w14:paraId="3CDBA390" w14:textId="77777777" w:rsidR="00DB2B68" w:rsidRDefault="00000000">
      <w:pPr>
        <w:pStyle w:val="Author-eListParagraph"/>
        <w:numPr>
          <w:ilvl w:val="0"/>
          <w:numId w:val="39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11EA4DA" w14:textId="77777777" w:rsidR="00DB2B68" w:rsidRDefault="00000000">
      <w:pPr>
        <w:pStyle w:val="Author-eListParagraph"/>
        <w:numPr>
          <w:ilvl w:val="0"/>
          <w:numId w:val="39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FA71B5C"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68D15BEE" w14:textId="77777777" w:rsidR="00DB2B68" w:rsidRDefault="00000000">
      <w:pPr>
        <w:pStyle w:val="Author-eListParagraph"/>
        <w:numPr>
          <w:ilvl w:val="0"/>
          <w:numId w:val="394"/>
        </w:numPr>
      </w:pPr>
      <w:r>
        <w:lastRenderedPageBreak/>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2C0AC8D" w14:textId="77777777" w:rsidR="00DB2B68" w:rsidRDefault="00000000">
      <w:pPr>
        <w:pStyle w:val="Author-eListParagraph"/>
        <w:numPr>
          <w:ilvl w:val="0"/>
          <w:numId w:val="39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302] </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74A8770F" w14:textId="77777777" w:rsidR="00DB2B68" w:rsidRDefault="00000000">
      <w:pPr>
        <w:pStyle w:val="pheading"/>
      </w:pPr>
      <w:r>
        <w:t>- Finitions</w:t>
      </w:r>
    </w:p>
    <w:p w14:paraId="7DEC727B"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72F0D895" w14:textId="77777777" w:rsidR="00DB2B68"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486" w:history="1">
        <w:r>
          <w:rPr>
            <w:color w:val="0000EE"/>
          </w:rPr>
          <w:t>22.71 Traitements esthétiques ou de surface</w:t>
        </w:r>
      </w:hyperlink>
      <w:r>
        <w:t>.</w:t>
      </w:r>
    </w:p>
    <w:p w14:paraId="1CB1CEBB"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 ZBA/4 // ZBA/5 seules les caractéristiques pertinentes sont retenues) :</w:t>
      </w:r>
      <w:r>
        <w:br/>
      </w:r>
    </w:p>
    <w:p w14:paraId="6C54A67C" w14:textId="77777777" w:rsidR="00DB2B68" w:rsidRDefault="00000000">
      <w:pPr>
        <w:pStyle w:val="Author-eListParagraph"/>
        <w:numPr>
          <w:ilvl w:val="0"/>
          <w:numId w:val="395"/>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0683D8FD" w14:textId="77777777" w:rsidR="00DB2B68" w:rsidRDefault="00000000">
      <w:pPr>
        <w:pStyle w:val="Author-eListParagraph"/>
        <w:numPr>
          <w:ilvl w:val="0"/>
          <w:numId w:val="395"/>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0B2811CB" w14:textId="77777777" w:rsidR="00DB2B68" w:rsidRDefault="00000000">
      <w:pPr>
        <w:pStyle w:val="Author-eListParagraph"/>
        <w:numPr>
          <w:ilvl w:val="0"/>
          <w:numId w:val="395"/>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B3F4ED9" w14:textId="77777777" w:rsidR="00DB2B68" w:rsidRDefault="00000000">
      <w:pPr>
        <w:pStyle w:val="Author-eListParagraph"/>
        <w:numPr>
          <w:ilvl w:val="0"/>
          <w:numId w:val="395"/>
        </w:numPr>
      </w:pPr>
      <w:r>
        <w:rPr>
          <w:rStyle w:val="soitChar"/>
        </w:rPr>
        <w:t>La tolérance de forme :</w:t>
      </w:r>
      <w:r>
        <w:t xml:space="preserve">  </w:t>
      </w:r>
      <w:r>
        <w:rPr>
          <w:rStyle w:val="optioncarChar"/>
        </w:rPr>
        <w:t>VF1</w:t>
      </w:r>
      <w:r>
        <w:t xml:space="preserve"> (par défaut) </w:t>
      </w:r>
      <w:r>
        <w:rPr>
          <w:rStyle w:val="optioncarChar"/>
        </w:rPr>
        <w:t>/ VF2 / VF3 / suivant description spécifique</w:t>
      </w:r>
    </w:p>
    <w:p w14:paraId="66C093DA" w14:textId="77777777" w:rsidR="00DB2B68" w:rsidRDefault="00000000">
      <w:r>
        <w:rPr>
          <w:rStyle w:val="optioncarChar"/>
          <w:color w:val="000000"/>
        </w:rPr>
        <w:t>Les arêtes saillantes des éléments en béton sont</w:t>
      </w:r>
      <w:r>
        <w:rPr>
          <w:rStyle w:val="optioncarChar"/>
        </w:rPr>
        <w:t xml:space="preserve"> vives / chanfreinées </w:t>
      </w:r>
      <w:r>
        <w:t xml:space="preserve">(par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04F4F4CE" w14:textId="77777777" w:rsidR="00DB2B68" w:rsidRDefault="00000000">
      <w:pPr>
        <w:pStyle w:val="pheading"/>
      </w:pPr>
      <w:r>
        <w:t>- Prescriptions complémentaires</w:t>
      </w:r>
    </w:p>
    <w:p w14:paraId="446037CF" w14:textId="77777777" w:rsidR="00DB2B68" w:rsidRDefault="00000000">
      <w:r>
        <w:t>Résistance au feu :</w:t>
      </w:r>
      <w:r>
        <w:rPr>
          <w:rStyle w:val="optioncarChar"/>
        </w:rPr>
        <w:t xml:space="preserve"> R30 </w:t>
      </w:r>
      <w:r>
        <w:t>(par défaut) </w:t>
      </w:r>
      <w:r>
        <w:rPr>
          <w:rStyle w:val="optioncarChar"/>
        </w:rPr>
        <w:t>/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3A49EA26" w14:textId="77777777" w:rsidR="00DB2B68" w:rsidRDefault="00000000">
      <w:pPr>
        <w:pStyle w:val="pheading"/>
      </w:pPr>
      <w:r>
        <w:t>EXÉCUTION / MISE EN ŒUVRE</w:t>
      </w:r>
    </w:p>
    <w:p w14:paraId="40A88780" w14:textId="77777777" w:rsidR="00DB2B68" w:rsidRDefault="00000000">
      <w:pPr>
        <w:pStyle w:val="pheading"/>
      </w:pPr>
      <w:r>
        <w:t>- Prescriptions générales</w:t>
      </w:r>
    </w:p>
    <w:p w14:paraId="1C630F38" w14:textId="77777777" w:rsidR="00DB2B68" w:rsidRDefault="00000000">
      <w:r>
        <w:t xml:space="preserve">Les </w:t>
      </w:r>
      <w:r>
        <w:rPr>
          <w:rStyle w:val="optioncarChar"/>
          <w:color w:val="000000"/>
        </w:rPr>
        <w:t xml:space="preserve">colonnes </w:t>
      </w:r>
      <w:r>
        <w:t>sont exécutées dans les dimensions indiquées sur les plans.</w:t>
      </w:r>
    </w:p>
    <w:p w14:paraId="1F4BA964" w14:textId="77777777" w:rsidR="00DB2B68" w:rsidRDefault="00000000">
      <w:r>
        <w:t>L’entrepreneur est tenu de vérifier si elles peuvent effectivement être réalisées conformément aux plans soumis. Il y a lieu de tenir compte de la hauteur libre requise par rapport au niveau du sol. .</w:t>
      </w:r>
    </w:p>
    <w:p w14:paraId="34AE3732" w14:textId="77777777" w:rsidR="00DB2B68"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rPr>
            <w:color w:val="0000EE"/>
          </w:rPr>
          <w:t>22 Superstructures en béton</w:t>
        </w:r>
      </w:hyperlink>
      <w:r>
        <w:t xml:space="preserve"> sous-titre </w:t>
      </w:r>
      <w:r>
        <w:rPr>
          <w:u w:val="single"/>
        </w:rPr>
        <w:t>Décoffrage</w:t>
      </w:r>
      <w:r>
        <w:t xml:space="preserve"> et [NBN B 15-400] )</w:t>
      </w:r>
    </w:p>
    <w:p w14:paraId="1A885926" w14:textId="77777777" w:rsidR="00DB2B68" w:rsidRDefault="00000000">
      <w:r>
        <w:rPr>
          <w:u w:val="single"/>
        </w:rPr>
        <w:t>Rigidification des parois de coffrage</w:t>
      </w:r>
      <w:r>
        <w:br/>
        <w:t xml:space="preserve">• Tout moyen nécessaire pour éviter la déformation hors tolérance des coffrages est obligatoire. </w:t>
      </w:r>
    </w:p>
    <w:p w14:paraId="7BD0D46D" w14:textId="77777777" w:rsidR="00DB2B68" w:rsidRDefault="00000000">
      <w:pPr>
        <w:pStyle w:val="pheading"/>
      </w:pPr>
      <w:r>
        <w:t>- Notes d’exécution complémentaires</w:t>
      </w:r>
    </w:p>
    <w:p w14:paraId="157260B2" w14:textId="77777777" w:rsidR="00DB2B68" w:rsidRDefault="00000000">
      <w:r>
        <w:t xml:space="preserve">Raccords visibles entre éléments de coffrage : </w:t>
      </w:r>
      <w:r>
        <w:rPr>
          <w:rStyle w:val="optioncarChar"/>
        </w:rPr>
        <w:t>joint en forme de V </w:t>
      </w:r>
      <w:r>
        <w:t>(par défaut)</w:t>
      </w:r>
      <w:r>
        <w:rPr>
          <w:rStyle w:val="optioncarChar"/>
        </w:rPr>
        <w:t xml:space="preserve"> / ***</w:t>
      </w:r>
      <w:r>
        <w:br/>
        <w:t xml:space="preserve">Raccords visibles entre différents éléments dans le même plan : </w:t>
      </w:r>
      <w:r>
        <w:rPr>
          <w:rStyle w:val="optioncarChar"/>
        </w:rPr>
        <w:t>joint en forme de V </w:t>
      </w:r>
      <w:r>
        <w:t>(par défaut)</w:t>
      </w:r>
      <w:r>
        <w:rPr>
          <w:rStyle w:val="optioncarChar"/>
        </w:rPr>
        <w:t xml:space="preserve"> / ***</w:t>
      </w:r>
      <w:r>
        <w:br/>
      </w:r>
      <w:r>
        <w:lastRenderedPageBreak/>
        <w:t>Ponts thermiques / isolation thermique : des dispositifs adéquats sont utilisés pour éviter tout pont thermique.</w:t>
      </w:r>
    </w:p>
    <w:p w14:paraId="5FF45352" w14:textId="77777777" w:rsidR="00DB2B68" w:rsidRDefault="00000000">
      <w:pPr>
        <w:pStyle w:val="pheading"/>
      </w:pPr>
      <w:r>
        <w:t>MESURAGE</w:t>
      </w:r>
    </w:p>
    <w:p w14:paraId="3B2D55A5" w14:textId="77777777" w:rsidR="00DB2B68" w:rsidRDefault="0000000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553B6126" w14:textId="77777777" w:rsidR="00DB2B68"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2" w:history="1">
        <w:r>
          <w:rPr>
            <w:rStyle w:val="soitChar"/>
            <w:color w:val="0000EE"/>
          </w:rPr>
          <w:t>22.51 Armatures pour béton</w:t>
        </w:r>
      </w:hyperlink>
    </w:p>
    <w:p w14:paraId="620AD036" w14:textId="77777777" w:rsidR="00DB2B68" w:rsidRDefault="00000000">
      <w:pPr>
        <w:pStyle w:val="pheading"/>
      </w:pPr>
      <w:r>
        <w:t>- unité de mesure:</w:t>
      </w:r>
    </w:p>
    <w:p w14:paraId="53E2868D" w14:textId="77777777" w:rsidR="00DB2B68" w:rsidRDefault="00000000">
      <w:r>
        <w:rPr>
          <w:rStyle w:val="headingChar"/>
        </w:rPr>
        <w:t>EN BASE</w:t>
      </w:r>
    </w:p>
    <w:p w14:paraId="3450AE62" w14:textId="77777777" w:rsidR="00DB2B68" w:rsidRDefault="00000000">
      <w:r>
        <w:t>m³</w:t>
      </w:r>
    </w:p>
    <w:p w14:paraId="163EB34E" w14:textId="77777777" w:rsidR="00DB2B68" w:rsidRDefault="00000000">
      <w:r>
        <w:rPr>
          <w:rStyle w:val="headingChar"/>
        </w:rPr>
        <w:t>EN SUPPLEMENT POUR COFFRAGE PARTICULIER ET COMPLEXE</w:t>
      </w:r>
    </w:p>
    <w:p w14:paraId="7E7178AC" w14:textId="77777777" w:rsidR="00DB2B68" w:rsidRDefault="00000000">
      <w:r>
        <w:rPr>
          <w:rStyle w:val="optioncarChar"/>
        </w:rPr>
        <w:t xml:space="preserve">m² </w:t>
      </w:r>
      <w:r>
        <w:t>(par défaut)</w:t>
      </w:r>
      <w:r>
        <w:rPr>
          <w:rStyle w:val="optioncarChar"/>
        </w:rPr>
        <w:t xml:space="preserve"> / m³</w:t>
      </w:r>
    </w:p>
    <w:p w14:paraId="622F474F" w14:textId="77777777" w:rsidR="00DB2B68" w:rsidRDefault="00000000">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w:t>
      </w:r>
    </w:p>
    <w:p w14:paraId="4ACF8009" w14:textId="77777777" w:rsidR="00DB2B68" w:rsidRDefault="00000000">
      <w:pPr>
        <w:pStyle w:val="pheading"/>
      </w:pPr>
      <w:r>
        <w:t>- code de mesurage:</w:t>
      </w:r>
    </w:p>
    <w:p w14:paraId="156FA70C" w14:textId="77777777" w:rsidR="00DB2B68" w:rsidRDefault="00000000">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14:paraId="77683FAA" w14:textId="77777777" w:rsidR="00DB2B68" w:rsidRDefault="00000000">
      <w:r>
        <w:rPr>
          <w:i/>
          <w:u w:val="single"/>
        </w:rPr>
        <w:t>&gt; Remarque </w:t>
      </w:r>
    </w:p>
    <w:p w14:paraId="755F4175" w14:textId="77777777" w:rsidR="00DB2B68" w:rsidRDefault="00000000">
      <w:pPr>
        <w:pStyle w:val="Author-eListParagraph"/>
        <w:numPr>
          <w:ilvl w:val="0"/>
          <w:numId w:val="396"/>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625F2A80" w14:textId="77777777" w:rsidR="00DB2B68" w:rsidRDefault="00000000">
      <w:pPr>
        <w:pStyle w:val="Author-eListParagraph"/>
        <w:numPr>
          <w:ilvl w:val="0"/>
          <w:numId w:val="396"/>
        </w:numPr>
      </w:pPr>
      <w:r>
        <w:rPr>
          <w:i/>
        </w:rPr>
        <w:t xml:space="preserve">Les quantités de béton ne sont jamais mesurées sur la base des bons de livraison soumis par l’entrepreneur. </w:t>
      </w:r>
    </w:p>
    <w:p w14:paraId="77EE5A39" w14:textId="77777777" w:rsidR="00DB2B68" w:rsidRDefault="00000000">
      <w:r>
        <w:rPr>
          <w:rStyle w:val="headingChar"/>
        </w:rPr>
        <w:t>EN BASE</w:t>
      </w:r>
      <w:r>
        <w:br/>
        <w:t>Volume net (selon la [NBN B 06-001]) mesuré entre la dalle de sol et les poutres.</w:t>
      </w:r>
    </w:p>
    <w:p w14:paraId="0E0821DD" w14:textId="77777777" w:rsidR="00DB2B68" w:rsidRDefault="00000000">
      <w:r>
        <w:t>Volume net, mesuré selon les dimensions nominales indiquées sur les plans.</w:t>
      </w:r>
    </w:p>
    <w:p w14:paraId="6907D727" w14:textId="77777777" w:rsidR="00DB2B68" w:rsidRDefault="00000000">
      <w:pPr>
        <w:pStyle w:val="Author-eListParagraph"/>
        <w:numPr>
          <w:ilvl w:val="0"/>
          <w:numId w:val="397"/>
        </w:numPr>
      </w:pPr>
      <w:r>
        <w:t>Les éléments en béton non rectangulaires sont calculés en multipliant la longueur par la surface de la section.</w:t>
      </w:r>
    </w:p>
    <w:p w14:paraId="6CD5D206" w14:textId="77777777" w:rsidR="00DB2B68" w:rsidRDefault="00000000">
      <w:pPr>
        <w:pStyle w:val="Author-eListParagraph"/>
        <w:numPr>
          <w:ilvl w:val="0"/>
          <w:numId w:val="397"/>
        </w:numPr>
      </w:pPr>
      <w:r>
        <w:t>Le contenu des volumes résiduels au droit des angles, rencontres et terminaisons est négligé.</w:t>
      </w:r>
    </w:p>
    <w:p w14:paraId="61E72EBB" w14:textId="77777777" w:rsidR="00DB2B68" w:rsidRDefault="00000000">
      <w:pPr>
        <w:pStyle w:val="Author-eListParagraph"/>
        <w:numPr>
          <w:ilvl w:val="0"/>
          <w:numId w:val="397"/>
        </w:numPr>
      </w:pPr>
      <w:r>
        <w:t xml:space="preserve">Aucune déduction n'est faite pour: </w:t>
      </w:r>
    </w:p>
    <w:p w14:paraId="7CF8B431" w14:textId="77777777" w:rsidR="00DB2B68" w:rsidRDefault="00000000">
      <w:pPr>
        <w:pStyle w:val="Author-eListParagraph"/>
        <w:numPr>
          <w:ilvl w:val="1"/>
          <w:numId w:val="398"/>
        </w:numPr>
      </w:pPr>
      <w:r>
        <w:t>le volume des armatures,</w:t>
      </w:r>
    </w:p>
    <w:p w14:paraId="6C25AA18" w14:textId="77777777" w:rsidR="00DB2B68" w:rsidRDefault="00000000">
      <w:pPr>
        <w:pStyle w:val="Author-eListParagraph"/>
        <w:numPr>
          <w:ilvl w:val="1"/>
          <w:numId w:val="398"/>
        </w:numPr>
      </w:pPr>
      <w:r>
        <w:t>les blocs et écarteurs, les fourreaux pour les armatures de précontrainte ;</w:t>
      </w:r>
    </w:p>
    <w:p w14:paraId="7BFB42F1" w14:textId="77777777" w:rsidR="00DB2B68" w:rsidRDefault="00000000">
      <w:pPr>
        <w:pStyle w:val="Author-eListParagraph"/>
        <w:numPr>
          <w:ilvl w:val="1"/>
          <w:numId w:val="398"/>
        </w:numPr>
      </w:pPr>
      <w:r>
        <w:t>les pénétrations pour les pattes d’ancrage, les creux, les conduites noyées et les réservations dont le volume est inférieur à 0,05 m</w:t>
      </w:r>
      <w:r>
        <w:rPr>
          <w:vertAlign w:val="superscript"/>
        </w:rPr>
        <w:t>3</w:t>
      </w:r>
      <w:r>
        <w:t>.</w:t>
      </w:r>
    </w:p>
    <w:p w14:paraId="71440ADD" w14:textId="77777777" w:rsidR="00DB2B68" w:rsidRDefault="00000000">
      <w:pPr>
        <w:pStyle w:val="Author-eListParagraph"/>
        <w:numPr>
          <w:ilvl w:val="1"/>
          <w:numId w:val="398"/>
        </w:numPr>
      </w:pPr>
      <w:r>
        <w:t>les chanfreins et tous les profils dont la section a une superficie inférieure à 20 cm</w:t>
      </w:r>
      <w:r>
        <w:rPr>
          <w:vertAlign w:val="superscript"/>
        </w:rPr>
        <w:t>2</w:t>
      </w:r>
      <w:r>
        <w:t>.</w:t>
      </w:r>
    </w:p>
    <w:p w14:paraId="5A61AF1A" w14:textId="77777777" w:rsidR="00DB2B68" w:rsidRDefault="00000000">
      <w:pPr>
        <w:pStyle w:val="Author-eListParagraph"/>
        <w:numPr>
          <w:ilvl w:val="1"/>
          <w:numId w:val="398"/>
        </w:numPr>
      </w:pPr>
      <w:r>
        <w:t>les rainures, encoches et languettes.</w:t>
      </w:r>
    </w:p>
    <w:p w14:paraId="70876B28" w14:textId="77777777" w:rsidR="00DB2B68" w:rsidRDefault="00000000">
      <w:r>
        <w:rPr>
          <w:rStyle w:val="headingChar"/>
        </w:rPr>
        <w:t>EN SUPPLEMENT POUR COFFRAGE PARTICULIER ET COMPLEXE</w:t>
      </w:r>
      <w:r>
        <w:br/>
      </w:r>
      <w:r>
        <w:rPr>
          <w:rStyle w:val="optioncarChar"/>
        </w:rPr>
        <w:t xml:space="preserve">Surface </w:t>
      </w:r>
      <w:r>
        <w:t>(par défaut)</w:t>
      </w:r>
      <w:r>
        <w:rPr>
          <w:rStyle w:val="optioncarChar"/>
        </w:rPr>
        <w:t xml:space="preserve"> / Volume net </w:t>
      </w:r>
      <w:r>
        <w:t>mesurés selon les dimensions nominales indiquées sur les plans.</w:t>
      </w:r>
    </w:p>
    <w:p w14:paraId="1626E142" w14:textId="77777777" w:rsidR="00DB2B68" w:rsidRDefault="00000000">
      <w:r>
        <w:rPr>
          <w:b/>
        </w:rPr>
        <w:lastRenderedPageBreak/>
        <w:t>(Soit par défaut)</w:t>
      </w:r>
      <w:r>
        <w:br/>
      </w:r>
      <w:r>
        <w:rPr>
          <w:rStyle w:val="soitChar"/>
        </w:rPr>
        <w:t xml:space="preserve">1. </w:t>
      </w:r>
      <w:r>
        <w:rPr>
          <w:rStyle w:val="soitChar"/>
          <w:u w:val="single"/>
        </w:rPr>
        <w:t>Surface :</w:t>
      </w:r>
    </w:p>
    <w:p w14:paraId="6C9C610A" w14:textId="77777777" w:rsidR="00DB2B68" w:rsidRDefault="00000000">
      <w:pPr>
        <w:pStyle w:val="Author-eListParagraph"/>
        <w:numPr>
          <w:ilvl w:val="0"/>
          <w:numId w:val="399"/>
        </w:numPr>
      </w:pPr>
      <w:r>
        <w:t>Les surfaces supérieures qui ont une inclinaison plus forte que 6/4 sont considérées comme surfaces à coffrer.</w:t>
      </w:r>
    </w:p>
    <w:p w14:paraId="4643A216" w14:textId="77777777" w:rsidR="00DB2B68" w:rsidRDefault="00000000">
      <w:pPr>
        <w:pStyle w:val="Author-eListParagraph"/>
        <w:numPr>
          <w:ilvl w:val="0"/>
          <w:numId w:val="399"/>
        </w:numPr>
      </w:pPr>
      <w:r>
        <w:t xml:space="preserve">On ne déduit pas les surfaces </w:t>
      </w:r>
    </w:p>
    <w:p w14:paraId="2BADFDBC" w14:textId="77777777" w:rsidR="00DB2B68" w:rsidRDefault="00000000">
      <w:pPr>
        <w:pStyle w:val="Author-eListParagraph"/>
        <w:numPr>
          <w:ilvl w:val="1"/>
          <w:numId w:val="400"/>
        </w:numPr>
      </w:pPr>
      <w:r>
        <w:t>des évidements égaux ou inférieurs à 1 m</w:t>
      </w:r>
      <w:r>
        <w:rPr>
          <w:vertAlign w:val="superscript"/>
        </w:rPr>
        <w:t>2</w:t>
      </w:r>
    </w:p>
    <w:p w14:paraId="4CEBE3AC" w14:textId="77777777" w:rsidR="00DB2B68" w:rsidRDefault="00000000">
      <w:pPr>
        <w:pStyle w:val="Author-eListParagraph"/>
        <w:numPr>
          <w:ilvl w:val="1"/>
          <w:numId w:val="400"/>
        </w:numPr>
      </w:pPr>
      <w:r>
        <w:t>des raccordements de poutres entre elles ou avec les parois ou les colonnes.</w:t>
      </w:r>
    </w:p>
    <w:p w14:paraId="108A172D" w14:textId="77777777" w:rsidR="00DB2B68" w:rsidRDefault="00000000">
      <w:pPr>
        <w:pStyle w:val="Author-eListParagraph"/>
        <w:numPr>
          <w:ilvl w:val="0"/>
          <w:numId w:val="399"/>
        </w:numPr>
      </w:pPr>
      <w:r>
        <w:t>Le coffrage des évidements, des gaines, etc. égaux ou inférieurs à 1 m</w:t>
      </w:r>
      <w:r>
        <w:rPr>
          <w:vertAlign w:val="superscript"/>
        </w:rPr>
        <w:t>2</w:t>
      </w:r>
      <w:r>
        <w:t xml:space="preserve"> est mesuré à la pièce.</w:t>
      </w:r>
    </w:p>
    <w:p w14:paraId="1CA7DD16" w14:textId="77777777" w:rsidR="00DB2B68" w:rsidRDefault="00000000">
      <w:pPr>
        <w:pStyle w:val="Author-eListParagraph"/>
        <w:numPr>
          <w:ilvl w:val="0"/>
          <w:numId w:val="399"/>
        </w:numPr>
      </w:pPr>
      <w:r>
        <w:t>Le coffrage des évidements supérieurs à 1 m</w:t>
      </w:r>
      <w:r>
        <w:rPr>
          <w:vertAlign w:val="superscript"/>
        </w:rPr>
        <w:t>2</w:t>
      </w:r>
      <w:r>
        <w:t xml:space="preserve"> est compté avec l'élément correspondant.</w:t>
      </w:r>
    </w:p>
    <w:p w14:paraId="6ED95042" w14:textId="77777777" w:rsidR="00DB2B68" w:rsidRDefault="00000000">
      <w:pPr>
        <w:pStyle w:val="Author-eListParagraph"/>
        <w:numPr>
          <w:ilvl w:val="0"/>
          <w:numId w:val="399"/>
        </w:numPr>
      </w:pPr>
      <w:r>
        <w:t>Pour la mesure de la surface des coffrages, il n'est pas tenu compte des lattes de coin et des autres lattes incorporées en vue de donner les profilés voulus et qui sont fixées dans le coffrage.</w:t>
      </w:r>
    </w:p>
    <w:p w14:paraId="21E8E7D1" w14:textId="77777777" w:rsidR="00DB2B68" w:rsidRDefault="00000000">
      <w:pPr>
        <w:pStyle w:val="Author-eListParagraph"/>
        <w:numPr>
          <w:ilvl w:val="0"/>
          <w:numId w:val="399"/>
        </w:numPr>
      </w:pPr>
      <w:r>
        <w:t>Les coffrages latéraux et les coffrages des têtes sont comptés avec l'élément correspondant.</w:t>
      </w:r>
    </w:p>
    <w:p w14:paraId="7F120FDE" w14:textId="77777777" w:rsidR="00DB2B68" w:rsidRDefault="00000000">
      <w:pPr>
        <w:pStyle w:val="Author-eListParagraph"/>
        <w:numPr>
          <w:ilvl w:val="0"/>
          <w:numId w:val="399"/>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14:paraId="72F7BAC5" w14:textId="77777777" w:rsidR="00DB2B68" w:rsidRDefault="00000000">
      <w:pPr>
        <w:pStyle w:val="Author-eListParagraph"/>
        <w:numPr>
          <w:ilvl w:val="0"/>
          <w:numId w:val="399"/>
        </w:numPr>
      </w:pPr>
      <w:r>
        <w:t>A l'intersection de poutres, le coffrage de la plus épaisse est mesuré en continu. Le coffrage des autres est mesuré entre celui des plus épaisses.</w:t>
      </w:r>
    </w:p>
    <w:p w14:paraId="24C512FA" w14:textId="77777777" w:rsidR="00DB2B68" w:rsidRDefault="00000000">
      <w:pPr>
        <w:pStyle w:val="Author-eListParagraph"/>
        <w:numPr>
          <w:ilvl w:val="0"/>
          <w:numId w:val="399"/>
        </w:numPr>
      </w:pPr>
      <w:r>
        <w:t>Le coffrage des poutres est mesuré sans tenir compte d'interruptions telles que des colonnes, même si les poutres sont plus étroites que les colonnes.</w:t>
      </w:r>
    </w:p>
    <w:p w14:paraId="3775BA97" w14:textId="77777777" w:rsidR="00DB2B68" w:rsidRDefault="00000000">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3A840E6B" w14:textId="77777777" w:rsidR="00DB2B68" w:rsidRDefault="00000000">
      <w:pPr>
        <w:pStyle w:val="pheading"/>
      </w:pPr>
      <w:r>
        <w:t>- nature du marché:</w:t>
      </w:r>
    </w:p>
    <w:p w14:paraId="7729F75C" w14:textId="77777777" w:rsidR="00DB2B68" w:rsidRDefault="00000000">
      <w:r>
        <w:rPr>
          <w:rStyle w:val="headingChar"/>
        </w:rPr>
        <w:t>EN BASE</w:t>
      </w:r>
    </w:p>
    <w:p w14:paraId="2003721F" w14:textId="77777777" w:rsidR="00DB2B68" w:rsidRDefault="00000000">
      <w:r>
        <w:rPr>
          <w:rStyle w:val="optioncarChar"/>
        </w:rPr>
        <w:t xml:space="preserve">QF </w:t>
      </w:r>
      <w:r>
        <w:t>(par défaut)</w:t>
      </w:r>
      <w:r>
        <w:rPr>
          <w:rStyle w:val="optioncarChar"/>
        </w:rPr>
        <w:t xml:space="preserve"> / QP / PM</w:t>
      </w:r>
    </w:p>
    <w:p w14:paraId="3F3DBFBE" w14:textId="77777777" w:rsidR="00DB2B68" w:rsidRDefault="00000000">
      <w:r>
        <w:rPr>
          <w:rStyle w:val="headingChar"/>
        </w:rPr>
        <w:t>SUPPLEMENT POUR COFFRAGE PARTICULIER ET COMPLEXE</w:t>
      </w:r>
    </w:p>
    <w:p w14:paraId="3EF1A381" w14:textId="77777777" w:rsidR="00DB2B68" w:rsidRDefault="00000000">
      <w:r>
        <w:rPr>
          <w:rStyle w:val="optioncarChar"/>
        </w:rPr>
        <w:t xml:space="preserve">QF </w:t>
      </w:r>
      <w:r>
        <w:t xml:space="preserve">(par défaut) </w:t>
      </w:r>
      <w:r>
        <w:rPr>
          <w:rStyle w:val="optioncarChar"/>
        </w:rPr>
        <w:t>/ QP</w:t>
      </w:r>
    </w:p>
    <w:p w14:paraId="571A70A4" w14:textId="77777777" w:rsidR="00DB2B68" w:rsidRDefault="00000000">
      <w:r>
        <w:rPr>
          <w:u w:val="single"/>
        </w:rPr>
        <w:t>Attention</w:t>
      </w:r>
      <w:r>
        <w:t xml:space="preserve"> : dans le cas où les armatures ne sont pas comprises dans le prix unitaire du béton, se référer aux § </w:t>
      </w:r>
      <w:hyperlink w:anchor="233" w:history="1">
        <w:r>
          <w:rPr>
            <w:color w:val="0000EE"/>
          </w:rPr>
          <w:t>22.51.1 Barres d'armatures pour béton</w:t>
        </w:r>
      </w:hyperlink>
      <w:r>
        <w:t xml:space="preserve"> et § </w:t>
      </w:r>
      <w:hyperlink w:anchor="234" w:history="1">
        <w:r>
          <w:rPr>
            <w:color w:val="0000EE"/>
          </w:rPr>
          <w:t>22.51.2 Treillis et panneaux d'armatures préfabriqués</w:t>
        </w:r>
      </w:hyperlink>
      <w:r>
        <w:t xml:space="preserve">. Pour les armatures de précontrainte, se référer au § </w:t>
      </w:r>
      <w:hyperlink w:anchor="483" w:history="1">
        <w:r>
          <w:rPr>
            <w:color w:val="0000EE"/>
          </w:rPr>
          <w:t>22.52.1 Armatures de précontrainte par post-tension</w:t>
        </w:r>
      </w:hyperlink>
      <w:r>
        <w:t>.</w:t>
      </w:r>
    </w:p>
    <w:p w14:paraId="2C60292F" w14:textId="77777777" w:rsidR="00DB2B68" w:rsidRDefault="00000000">
      <w:pPr>
        <w:pStyle w:val="Author-eSectionHeading5Numberless"/>
      </w:pPr>
      <w:bookmarkStart w:id="700" w:name="_Toc220495764"/>
      <w:r>
        <w:t>22.14.3 Colonnes préfabriquées en béton CCTB 01.13</w:t>
      </w:r>
      <w:bookmarkEnd w:id="700"/>
    </w:p>
    <w:p w14:paraId="0018AF3E" w14:textId="77777777" w:rsidR="00DB2B68" w:rsidRDefault="00000000">
      <w:pPr>
        <w:pStyle w:val="pheading"/>
      </w:pPr>
      <w:r>
        <w:t>DESCRIPTION</w:t>
      </w:r>
    </w:p>
    <w:p w14:paraId="4E0795B8" w14:textId="77777777" w:rsidR="00DB2B68" w:rsidRDefault="00000000">
      <w:pPr>
        <w:pStyle w:val="pheading"/>
      </w:pPr>
      <w:r>
        <w:t>- Définition / Comprend</w:t>
      </w:r>
    </w:p>
    <w:p w14:paraId="14079687" w14:textId="77777777" w:rsidR="00DB2B68" w:rsidRDefault="00000000">
      <w:r>
        <w:t>Il s'agit de toutes les colonnes en béton préfabriquées en usine et assemblées sur chantier aux ouvrages de construction déjà exécutés.</w:t>
      </w:r>
    </w:p>
    <w:p w14:paraId="022682A0" w14:textId="77777777" w:rsidR="00DB2B68" w:rsidRDefault="00000000">
      <w:pPr>
        <w:pStyle w:val="pheading"/>
      </w:pPr>
      <w:r>
        <w:t>MATÉRIAUX</w:t>
      </w:r>
    </w:p>
    <w:p w14:paraId="1A6DF5D7" w14:textId="77777777" w:rsidR="00DB2B68" w:rsidRDefault="00000000">
      <w:pPr>
        <w:pStyle w:val="heading"/>
      </w:pPr>
      <w:r>
        <w:t>Spécifications</w:t>
      </w:r>
    </w:p>
    <w:p w14:paraId="077CF80D" w14:textId="77777777" w:rsidR="00DB2B68" w:rsidRDefault="00000000">
      <w:pPr>
        <w:pStyle w:val="Author-eListParagraph"/>
        <w:numPr>
          <w:ilvl w:val="0"/>
          <w:numId w:val="401"/>
        </w:numPr>
      </w:pPr>
      <w:r>
        <w:t xml:space="preserve">Eléments conformes aux normes [NBN EN 13225] et </w:t>
      </w:r>
      <w:r>
        <w:rPr>
          <w:shd w:val="clear" w:color="auto" w:fill="FFFFFF"/>
        </w:rPr>
        <w:t>[NBN B 21-604] .</w:t>
      </w:r>
    </w:p>
    <w:p w14:paraId="6044C504" w14:textId="77777777" w:rsidR="00DB2B68" w:rsidRDefault="00000000">
      <w:pPr>
        <w:pStyle w:val="Author-eListParagraph"/>
        <w:numPr>
          <w:ilvl w:val="0"/>
          <w:numId w:val="401"/>
        </w:numPr>
      </w:pPr>
      <w:r>
        <w:t>La classe de résistance et la classe d’environnement sont au moins à spécifier.</w:t>
      </w:r>
    </w:p>
    <w:p w14:paraId="4947106E" w14:textId="77777777" w:rsidR="00DB2B68" w:rsidRDefault="00000000">
      <w:pPr>
        <w:pStyle w:val="Author-eListParagraph"/>
        <w:numPr>
          <w:ilvl w:val="0"/>
          <w:numId w:val="402"/>
        </w:numPr>
      </w:pPr>
      <w:r>
        <w:t>Pourcentage d'armatures minimum est déterminé suivant l'Eurocode 2.</w:t>
      </w:r>
    </w:p>
    <w:p w14:paraId="464E2DF8" w14:textId="77777777" w:rsidR="00DB2B68" w:rsidRDefault="00000000">
      <w:pPr>
        <w:pStyle w:val="Author-eListParagraph"/>
        <w:numPr>
          <w:ilvl w:val="0"/>
          <w:numId w:val="403"/>
        </w:numPr>
      </w:pPr>
      <w:r>
        <w:t>Barres à adhérence améliorée [NBN EN 10080], [NBN A 24-302], [PTV 302], [PTV 303] et [PTV 307].</w:t>
      </w:r>
    </w:p>
    <w:p w14:paraId="40464D0C" w14:textId="77777777" w:rsidR="00DB2B68" w:rsidRDefault="00000000">
      <w:pPr>
        <w:pStyle w:val="Author-eListParagraph"/>
        <w:numPr>
          <w:ilvl w:val="0"/>
          <w:numId w:val="404"/>
        </w:numPr>
      </w:pPr>
      <w:r>
        <w:t>Treillis soudés standards ( [NBN A 24-303] , [PTV 304] et [PTV 308] ).</w:t>
      </w:r>
    </w:p>
    <w:p w14:paraId="6406A9E9" w14:textId="77777777" w:rsidR="00DB2B68" w:rsidRDefault="00000000">
      <w:pPr>
        <w:pStyle w:val="Author-eListParagraph"/>
        <w:numPr>
          <w:ilvl w:val="0"/>
          <w:numId w:val="405"/>
        </w:numPr>
      </w:pPr>
      <w:r>
        <w:lastRenderedPageBreak/>
        <w:t>Dans le cas du béton précontraint : le béton est précontraint selon la technique</w:t>
      </w:r>
      <w:r>
        <w:br/>
      </w:r>
      <w:r>
        <w:rPr>
          <w:rStyle w:val="optioncarChar"/>
        </w:rPr>
        <w:t>de l’acier de précontrainte par prétension </w:t>
      </w:r>
      <w:r>
        <w:t>(par défaut) </w:t>
      </w:r>
      <w:r>
        <w:rPr>
          <w:rStyle w:val="optioncarChar"/>
        </w:rPr>
        <w:t>/ de l’acier à précontrainte par post-tension posé dans des fourreaux injectés après la précontrainte / de l’acier à précontrainte par post-tension dans un tuyau rempli de graisse</w:t>
      </w:r>
    </w:p>
    <w:p w14:paraId="6EB146B4" w14:textId="77777777" w:rsidR="00DB2B68" w:rsidRDefault="00000000">
      <w:r>
        <w:t>Le béton est précontraint au moyen des techniques à vérin et de serrage.</w:t>
      </w:r>
      <w:r>
        <w:br/>
        <w:t>Les blocs d’extrémité des éléments à acier de précontrainte postérieure sont calculés comme des éléments « courts » en béton armé. La prétension est transmise aux blocs d'extrémité avec les moyens d’ancrage appropriés en acier de haute qualité. </w:t>
      </w:r>
    </w:p>
    <w:p w14:paraId="21F25949" w14:textId="77777777" w:rsidR="00DB2B68" w:rsidRDefault="00000000">
      <w:pPr>
        <w:pStyle w:val="pheading"/>
      </w:pPr>
      <w:r>
        <w:t>EXÉCUTION / MISE EN ŒUVRE</w:t>
      </w:r>
    </w:p>
    <w:p w14:paraId="6957FC97" w14:textId="77777777" w:rsidR="00DB2B68" w:rsidRDefault="00000000">
      <w:r>
        <w:t xml:space="preserve">L'étude est à charge </w:t>
      </w:r>
      <w:r>
        <w:rPr>
          <w:rStyle w:val="optioncarChar"/>
        </w:rPr>
        <w:t>de l'entrepreneur </w:t>
      </w:r>
      <w:r>
        <w:t>(par défaut)</w:t>
      </w:r>
      <w:r>
        <w:rPr>
          <w:rStyle w:val="optioncarChar"/>
        </w:rPr>
        <w:t xml:space="preserve"> / du maître de l'ouvrage / ***</w:t>
      </w:r>
      <w:r>
        <w:t xml:space="preserve"> .</w:t>
      </w:r>
      <w:r>
        <w:br/>
        <w:t>La liaison avec d’autres éléments se fait en bétonnant sur place les différentes extrémités des éléments qui se joignent. Les extrémités sont pourvues d’armatures d’attente.</w:t>
      </w:r>
    </w:p>
    <w:p w14:paraId="6F821A19" w14:textId="77777777" w:rsidR="00DB2B68" w:rsidRDefault="00000000">
      <w:pPr>
        <w:pStyle w:val="Author-eSectionHeading6Numberless"/>
      </w:pPr>
      <w:bookmarkStart w:id="701" w:name="_Toc220495765"/>
      <w:r>
        <w:t>22.14.3a Colonnes préfabriquées en béton armé CCTB 01.13</w:t>
      </w:r>
      <w:bookmarkEnd w:id="701"/>
    </w:p>
    <w:p w14:paraId="6D302AD7" w14:textId="77777777" w:rsidR="00DB2B68" w:rsidRDefault="00000000">
      <w:pPr>
        <w:pStyle w:val="pheading"/>
      </w:pPr>
      <w:r>
        <w:t>DESCRIPTION</w:t>
      </w:r>
    </w:p>
    <w:p w14:paraId="6BE85A63" w14:textId="77777777" w:rsidR="00DB2B68" w:rsidRDefault="00000000">
      <w:pPr>
        <w:pStyle w:val="pheading"/>
      </w:pPr>
      <w:r>
        <w:t>- Définition / Comprend</w:t>
      </w:r>
    </w:p>
    <w:p w14:paraId="4BE0718A" w14:textId="77777777" w:rsidR="00DB2B68" w:rsidRDefault="00000000">
      <w:r>
        <w:t xml:space="preserve">Il s'agit de toutes les colonnes (éléments verticaux ou obliques) en béton armé qui sont obligatoirement préfabriquées dans une usine suivant la définition reprise dans les généralités, et sont assemblées sur chantier aux ouvrages de construction déjà exécutés ( voir également </w:t>
      </w:r>
      <w:hyperlink w:anchor="87" w:history="1">
        <w:r>
          <w:rPr>
            <w:color w:val="0000EE"/>
          </w:rPr>
          <w:t>22 Superstructures en béton</w:t>
        </w:r>
      </w:hyperlink>
      <w:r>
        <w:t xml:space="preserve"> ).</w:t>
      </w:r>
    </w:p>
    <w:p w14:paraId="7C70926C" w14:textId="77777777" w:rsidR="00DB2B68" w:rsidRDefault="00000000">
      <w:r>
        <w:t>Les éléments sont fabriqués suivant les spécifications de la norme [NBN EN 13225] et la [NBN B 21-604].</w:t>
      </w:r>
    </w:p>
    <w:p w14:paraId="05AE2A88" w14:textId="77777777" w:rsidR="00DB2B68" w:rsidRDefault="00000000">
      <w:pPr>
        <w:ind w:left="750"/>
      </w:pPr>
      <w:r>
        <w:t> </w:t>
      </w:r>
    </w:p>
    <w:p w14:paraId="05A24919" w14:textId="77777777" w:rsidR="00DB2B68" w:rsidRDefault="00000000">
      <w:pPr>
        <w:pStyle w:val="pheading"/>
      </w:pPr>
      <w:r>
        <w:t>MATÉRIAUX</w:t>
      </w:r>
    </w:p>
    <w:p w14:paraId="3DDB0592" w14:textId="77777777" w:rsidR="00DB2B68" w:rsidRDefault="00000000">
      <w:pPr>
        <w:pStyle w:val="pheading"/>
      </w:pPr>
      <w:r>
        <w:t>- Caractéristiques générales</w:t>
      </w:r>
    </w:p>
    <w:p w14:paraId="16718271" w14:textId="77777777" w:rsidR="00DB2B68" w:rsidRDefault="00000000">
      <w:r>
        <w:t>Classe de résistance à la compression :</w:t>
      </w:r>
      <w:r>
        <w:br/>
      </w:r>
      <w:r>
        <w:rPr>
          <w:color w:val="FF0000"/>
        </w:rPr>
        <w:t>C25/30 </w:t>
      </w:r>
      <w:r>
        <w:t>(par défaut)</w:t>
      </w:r>
      <w:r>
        <w:rPr>
          <w:color w:val="FF0000"/>
        </w:rPr>
        <w:t xml:space="preserve"> // C30/37 // C35/45 // C45/55 // C50/60 // C55/67 // C60/75 // C70/85 // C80/95 // C90/105 /// ***</w:t>
      </w:r>
      <w:r>
        <w:br/>
        <w:t>Classe d’environnement :</w:t>
      </w:r>
      <w:r>
        <w:br/>
      </w:r>
      <w:r>
        <w:rPr>
          <w:color w:val="FF0000"/>
        </w:rPr>
        <w:t>E0 </w:t>
      </w:r>
      <w:r>
        <w:t>(par défaut)</w:t>
      </w:r>
      <w:r>
        <w:rPr>
          <w:color w:val="FF0000"/>
        </w:rPr>
        <w:t xml:space="preserve"> / EI / EE1 / EE2 / EE3 / EE4 / ES1 / ES2 / ES3 / ES4 / EA1+*** / EA2+***/ EA3+*** / ***</w:t>
      </w:r>
    </w:p>
    <w:p w14:paraId="1BA5D8B5" w14:textId="77777777" w:rsidR="00DB2B68" w:rsidRDefault="00DB2B68"/>
    <w:p w14:paraId="44775F4F" w14:textId="77777777" w:rsidR="00DB2B68" w:rsidRDefault="00000000">
      <w:pPr>
        <w:pStyle w:val="pheading"/>
      </w:pPr>
      <w:r>
        <w:t>- Finitions</w:t>
      </w:r>
    </w:p>
    <w:p w14:paraId="32904572" w14:textId="77777777" w:rsidR="00DB2B68" w:rsidRDefault="00000000">
      <w:r>
        <w:t>La surface de béton est</w:t>
      </w:r>
      <w:r>
        <w:rPr>
          <w:rStyle w:val="optioncarChar"/>
        </w:rPr>
        <w:t xml:space="preserve"> brute et lisse </w:t>
      </w:r>
      <w:r>
        <w:t>(par défaut)</w:t>
      </w:r>
      <w:r>
        <w:rPr>
          <w:rStyle w:val="optioncarChar"/>
        </w:rPr>
        <w:t xml:space="preserve"> / structurée / ***</w:t>
      </w:r>
      <w:r>
        <w:br/>
      </w:r>
      <w:r>
        <w:br/>
      </w:r>
      <w:r>
        <w:rPr>
          <w:u w:val="single"/>
        </w:rPr>
        <w:t>Terminaison des arêtes</w:t>
      </w:r>
      <w:r>
        <w:br/>
        <w:t xml:space="preserve">Les arêtes saillantes des colonnes sont </w:t>
      </w:r>
      <w:r>
        <w:rPr>
          <w:rStyle w:val="optioncarChar"/>
        </w:rPr>
        <w:t xml:space="preserve">chanfreinées en triangle </w:t>
      </w:r>
      <w:r>
        <w:t>(par défaut) </w:t>
      </w:r>
      <w:r>
        <w:rPr>
          <w:rStyle w:val="optioncarChar"/>
        </w:rPr>
        <w:t>/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1,5 </w:t>
      </w:r>
      <w:r>
        <w:t>(par défaut)</w:t>
      </w:r>
      <w:r>
        <w:rPr>
          <w:rStyle w:val="optioncarChar"/>
        </w:rPr>
        <w:t xml:space="preserve"> / 2,5 / ***</w:t>
      </w:r>
      <w:r>
        <w:rPr>
          <w:rStyle w:val="soitChar"/>
        </w:rPr>
        <w:t>cm .</w:t>
      </w:r>
      <w:r>
        <w:br/>
      </w:r>
      <w:r>
        <w:rPr>
          <w:b/>
        </w:rPr>
        <w:t>(soit)</w:t>
      </w:r>
      <w:r>
        <w:br/>
      </w:r>
      <w:r>
        <w:rPr>
          <w:rStyle w:val="soitChar"/>
        </w:rPr>
        <w:t xml:space="preserve">3. </w:t>
      </w:r>
      <w:r>
        <w:rPr>
          <w:rStyle w:val="soitChar"/>
          <w:u w:val="single"/>
        </w:rPr>
        <w:t>vives</w:t>
      </w:r>
      <w:r>
        <w:br/>
      </w:r>
      <w:r>
        <w:br/>
        <w:t xml:space="preserve">Les arêtes rentrantes des colonnes sont </w:t>
      </w:r>
      <w:r>
        <w:rPr>
          <w:rStyle w:val="optioncarChar"/>
        </w:rPr>
        <w:t xml:space="preserve">vives </w:t>
      </w:r>
      <w:r>
        <w:t>(par défaut) </w:t>
      </w:r>
      <w:r>
        <w:rPr>
          <w:rStyle w:val="optioncarChar"/>
        </w:rPr>
        <w:t xml:space="preserve">/ chanfreinées en triangle / chanfreinées </w:t>
      </w:r>
      <w:r>
        <w:rPr>
          <w:rStyle w:val="optioncarChar"/>
        </w:rPr>
        <w:lastRenderedPageBreak/>
        <w:t>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t xml:space="preserve">2. </w:t>
      </w:r>
      <w:r>
        <w:rPr>
          <w:rStyle w:val="soitChar"/>
          <w:u w:val="single"/>
        </w:rPr>
        <w:t>chanfreinées</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 xml:space="preserve">une </w:t>
      </w:r>
      <w:r>
        <w:t>(par défaut)</w:t>
      </w:r>
      <w:r>
        <w:rPr>
          <w:rStyle w:val="optioncarChar"/>
        </w:rPr>
        <w:t xml:space="preserve"> / deux</w:t>
      </w:r>
      <w:r>
        <w:t> </w:t>
      </w:r>
      <w:r>
        <w:rPr>
          <w:rStyle w:val="optioncarChar"/>
        </w:rPr>
        <w:t>/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63C507E5" w14:textId="77777777" w:rsidR="00DB2B68" w:rsidRDefault="00000000">
      <w:pPr>
        <w:pStyle w:val="pheading"/>
      </w:pPr>
      <w:r>
        <w:t>- Prescriptions complémentaires</w:t>
      </w:r>
    </w:p>
    <w:p w14:paraId="18CCC219" w14:textId="77777777" w:rsidR="00DB2B68" w:rsidRDefault="00000000">
      <w:r>
        <w:t xml:space="preserve">Résistance au feu : </w:t>
      </w:r>
      <w:r>
        <w:rPr>
          <w:rStyle w:val="optioncarChar"/>
        </w:rPr>
        <w:t xml:space="preserve">R30 </w:t>
      </w:r>
      <w:r>
        <w:t>(par défaut) </w:t>
      </w:r>
      <w:r>
        <w:rPr>
          <w:rStyle w:val="optioncarChar"/>
        </w:rPr>
        <w:t>/ R60 / R120 / R240 / ***</w:t>
      </w:r>
      <w:r>
        <w:t xml:space="preserve"> suivant la déclaration de performance (DoP) selon la norme produit [NBN EN 13225] et [NBN B 21-604].</w:t>
      </w:r>
    </w:p>
    <w:p w14:paraId="023EEDC3" w14:textId="77777777" w:rsidR="00DB2B68" w:rsidRDefault="00000000">
      <w:r>
        <w:t>Si la résistance au feu n’est pas déclarée sous marquage CE, elle est démontrée par test au feu selon la [NBN EN 13501-2] ou par calcul selon les Eurocodes conformément à l’[AM 2013-05-17] .</w:t>
      </w:r>
      <w:r>
        <w:br/>
      </w:r>
      <w:r>
        <w:br/>
      </w:r>
    </w:p>
    <w:p w14:paraId="4333F98D" w14:textId="77777777" w:rsidR="00DB2B68" w:rsidRDefault="00000000">
      <w:pPr>
        <w:pStyle w:val="pheading"/>
      </w:pPr>
      <w:r>
        <w:t>EXÉCUTION / MISE EN ŒUVRE</w:t>
      </w:r>
    </w:p>
    <w:p w14:paraId="3BF97A68" w14:textId="77777777" w:rsidR="00DB2B68" w:rsidRDefault="00000000">
      <w:pPr>
        <w:pStyle w:val="pheading"/>
      </w:pPr>
      <w:r>
        <w:t>- Prescriptions générales</w:t>
      </w:r>
    </w:p>
    <w:p w14:paraId="6CD9ACA3" w14:textId="77777777" w:rsidR="00DB2B68" w:rsidRDefault="00000000">
      <w:r>
        <w:t xml:space="preserve">L’étude et les plans d’exécution </w:t>
      </w:r>
      <w:r>
        <w:rPr>
          <w:rStyle w:val="optioncarChar"/>
        </w:rPr>
        <w:t>sont / ne sont pas</w:t>
      </w:r>
      <w:r>
        <w:t xml:space="preserve">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75C0E6A4" w14:textId="77777777" w:rsidR="00DB2B68" w:rsidRDefault="00000000">
      <w:pPr>
        <w:pStyle w:val="pheading"/>
      </w:pPr>
      <w:r>
        <w:t>- Notes d’exécution complémentaires</w:t>
      </w:r>
    </w:p>
    <w:p w14:paraId="045D247B" w14:textId="77777777" w:rsidR="00DB2B68" w:rsidRDefault="00000000">
      <w:r>
        <w:t>Ponts thermiques / isolation thermique : des dispositifs adéquats sont utilisés pour éviter tout pont thermique.</w:t>
      </w:r>
    </w:p>
    <w:p w14:paraId="044D42C0" w14:textId="77777777" w:rsidR="00DB2B68" w:rsidRDefault="00000000">
      <w:pPr>
        <w:pStyle w:val="pheading"/>
      </w:pPr>
      <w:r>
        <w:t>MESURAGE</w:t>
      </w:r>
    </w:p>
    <w:p w14:paraId="23067ED7" w14:textId="77777777" w:rsidR="00DB2B68" w:rsidRDefault="00000000">
      <w:r>
        <w:t>Conformément aux indications spécifiques dans le cahier spécial des charges et/ou le métré récapitulatif, le mesurage est conçu comme suit :</w:t>
      </w:r>
    </w:p>
    <w:p w14:paraId="4B3CD5B2" w14:textId="77777777" w:rsidR="00DB2B68" w:rsidRDefault="00000000">
      <w:pPr>
        <w:pStyle w:val="pheading"/>
      </w:pPr>
      <w:r>
        <w:t>- unité de mesure:</w:t>
      </w:r>
    </w:p>
    <w:p w14:paraId="77DEF476" w14:textId="77777777" w:rsidR="00DB2B68" w:rsidRDefault="00000000">
      <w:r>
        <w:rPr>
          <w:rStyle w:val="optioncarChar"/>
        </w:rPr>
        <w:t>m³ par défaut / pce / m / -</w:t>
      </w:r>
    </w:p>
    <w:p w14:paraId="3F555B2A" w14:textId="77777777" w:rsidR="00DB2B68" w:rsidRDefault="00000000">
      <w:pPr>
        <w:pStyle w:val="pheading"/>
      </w:pPr>
      <w:r>
        <w:t>- code de mesurage:</w:t>
      </w:r>
    </w:p>
    <w:p w14:paraId="48971D52" w14:textId="77777777" w:rsidR="00DB2B68" w:rsidRDefault="00000000">
      <w:r>
        <w:t>volume net (selon la [NBN B 06-001]) mesuré entre la dalle de sol et les poutres.</w:t>
      </w:r>
    </w:p>
    <w:p w14:paraId="684C9C11" w14:textId="77777777" w:rsidR="00DB2B68" w:rsidRDefault="00000000">
      <w:r>
        <w:t>volume net, mesuré selon les dimensions nominales indiquées sur les plans.</w:t>
      </w:r>
    </w:p>
    <w:p w14:paraId="5E0C2ABD" w14:textId="77777777" w:rsidR="00DB2B68" w:rsidRDefault="00000000">
      <w:r>
        <w:t>Les éléments en béton non rectangulaires sont calculés en multipliant la longueur par la surface de la section.</w:t>
      </w:r>
      <w:r>
        <w:br/>
      </w:r>
      <w:r>
        <w:lastRenderedPageBreak/>
        <w:t>Le contenu des volumes résiduels au droit des angles, rencontres et terminaisons est négligé.</w:t>
      </w:r>
      <w:r>
        <w:br/>
        <w:t>Aucune déduction n'est faite pour:</w:t>
      </w:r>
    </w:p>
    <w:p w14:paraId="13D08A73" w14:textId="77777777" w:rsidR="00DB2B68" w:rsidRDefault="00000000">
      <w:pPr>
        <w:pStyle w:val="Author-eListParagraph"/>
        <w:numPr>
          <w:ilvl w:val="0"/>
          <w:numId w:val="406"/>
        </w:numPr>
      </w:pPr>
      <w:r>
        <w:t>le volume des armatures,</w:t>
      </w:r>
    </w:p>
    <w:p w14:paraId="425C25EF" w14:textId="77777777" w:rsidR="00DB2B68" w:rsidRDefault="00000000">
      <w:pPr>
        <w:pStyle w:val="Author-eListParagraph"/>
        <w:numPr>
          <w:ilvl w:val="0"/>
          <w:numId w:val="406"/>
        </w:numPr>
      </w:pPr>
      <w:r>
        <w:t>les blocs et écarteurs, les fourreaux pour les armatures de précontrainte ;</w:t>
      </w:r>
    </w:p>
    <w:p w14:paraId="64281897" w14:textId="77777777" w:rsidR="00DB2B68" w:rsidRDefault="00000000">
      <w:pPr>
        <w:pStyle w:val="Author-eListParagraph"/>
        <w:numPr>
          <w:ilvl w:val="0"/>
          <w:numId w:val="406"/>
        </w:numPr>
      </w:pPr>
      <w:r>
        <w:t>les pénétrations pour les pattes d’ancrage, les creux, les conduites noyées et les réservations dont le volume est inférieur à 0,05 m</w:t>
      </w:r>
      <w:r>
        <w:rPr>
          <w:vertAlign w:val="superscript"/>
        </w:rPr>
        <w:t>3</w:t>
      </w:r>
      <w:r>
        <w:t>.</w:t>
      </w:r>
    </w:p>
    <w:p w14:paraId="71443FBB" w14:textId="77777777" w:rsidR="00DB2B68" w:rsidRDefault="00000000">
      <w:pPr>
        <w:pStyle w:val="Author-eListParagraph"/>
        <w:numPr>
          <w:ilvl w:val="0"/>
          <w:numId w:val="406"/>
        </w:numPr>
      </w:pPr>
      <w:r>
        <w:t>les chanfreins et tous les profils dont la section a une superficie inférieure à 20 cm</w:t>
      </w:r>
      <w:r>
        <w:rPr>
          <w:vertAlign w:val="superscript"/>
        </w:rPr>
        <w:t>2</w:t>
      </w:r>
      <w:r>
        <w:t>.</w:t>
      </w:r>
    </w:p>
    <w:p w14:paraId="624DD1D5" w14:textId="77777777" w:rsidR="00DB2B68" w:rsidRDefault="00000000">
      <w:pPr>
        <w:pStyle w:val="Author-eListParagraph"/>
        <w:numPr>
          <w:ilvl w:val="0"/>
          <w:numId w:val="406"/>
        </w:numPr>
      </w:pPr>
      <w:r>
        <w:t>les rainures, encoches et languettes.</w:t>
      </w:r>
    </w:p>
    <w:p w14:paraId="5E77BD9B" w14:textId="77777777" w:rsidR="00DB2B68" w:rsidRDefault="00000000">
      <w:pPr>
        <w:pStyle w:val="pheading"/>
      </w:pPr>
      <w:r>
        <w:t>- nature du marché:</w:t>
      </w:r>
    </w:p>
    <w:p w14:paraId="32B1CC5C" w14:textId="77777777" w:rsidR="00DB2B68" w:rsidRDefault="00000000">
      <w:r>
        <w:rPr>
          <w:rStyle w:val="optioncarChar"/>
        </w:rPr>
        <w:t xml:space="preserve">QF </w:t>
      </w:r>
      <w:r>
        <w:t>(par défaut)</w:t>
      </w:r>
      <w:r>
        <w:rPr>
          <w:rStyle w:val="optioncarChar"/>
        </w:rPr>
        <w:t xml:space="preserve"> / QP / PM</w:t>
      </w:r>
    </w:p>
    <w:p w14:paraId="69F9B239" w14:textId="77777777" w:rsidR="00DB2B68" w:rsidRDefault="00000000">
      <w:pPr>
        <w:pStyle w:val="Author-eSectionHeading6Numberless"/>
      </w:pPr>
      <w:bookmarkStart w:id="702" w:name="_Toc220495766"/>
      <w:r>
        <w:t>22.14.3b Colonnes préfabriquées en béton précontraint CCTB 01.13</w:t>
      </w:r>
      <w:bookmarkEnd w:id="702"/>
    </w:p>
    <w:p w14:paraId="2B371584" w14:textId="77777777" w:rsidR="00DB2B68" w:rsidRDefault="00000000">
      <w:pPr>
        <w:pStyle w:val="pheading"/>
      </w:pPr>
      <w:r>
        <w:t>DESCRIPTION</w:t>
      </w:r>
    </w:p>
    <w:p w14:paraId="7B413680" w14:textId="77777777" w:rsidR="00DB2B68" w:rsidRDefault="00000000">
      <w:pPr>
        <w:pStyle w:val="pheading"/>
      </w:pPr>
      <w:r>
        <w:t>- Définition / Comprend</w:t>
      </w:r>
    </w:p>
    <w:p w14:paraId="0FD4CCA1" w14:textId="77777777" w:rsidR="00DB2B68" w:rsidRDefault="00000000">
      <w:r>
        <w:t xml:space="preserve">Il s'agit de toutes les colonnes (éléments verticaux ou obliques) en béton précontraint qui sont obligatoirement préfabriquées dans une usine suivant la définition reprise dans les généralités, et sont assemblées sur chantier aux ouvrages de construction déjà exécutés ( voir également </w:t>
      </w:r>
      <w:hyperlink w:anchor="87" w:history="1">
        <w:r>
          <w:rPr>
            <w:color w:val="0000EE"/>
          </w:rPr>
          <w:t>22 Superstructures en béton</w:t>
        </w:r>
      </w:hyperlink>
      <w:r>
        <w:t xml:space="preserve"> ).</w:t>
      </w:r>
    </w:p>
    <w:p w14:paraId="71BB0757" w14:textId="77777777" w:rsidR="00DB2B68" w:rsidRDefault="00000000">
      <w:r>
        <w:t>Les éléments sont fabriqués suivant les spécifications de la norme [NBN EN 13225] et la [NBN B 21-604].</w:t>
      </w:r>
    </w:p>
    <w:p w14:paraId="2F15800E" w14:textId="77777777" w:rsidR="00DB2B68" w:rsidRDefault="00000000">
      <w:pPr>
        <w:ind w:left="750"/>
      </w:pPr>
      <w:r>
        <w:t> </w:t>
      </w:r>
    </w:p>
    <w:p w14:paraId="66DE5ED8" w14:textId="77777777" w:rsidR="00DB2B68" w:rsidRDefault="00000000">
      <w:pPr>
        <w:pStyle w:val="pheading"/>
      </w:pPr>
      <w:r>
        <w:t>MATÉRIAUX</w:t>
      </w:r>
    </w:p>
    <w:p w14:paraId="7BE9626D" w14:textId="77777777" w:rsidR="00DB2B68" w:rsidRDefault="00000000">
      <w:pPr>
        <w:pStyle w:val="pheading"/>
      </w:pPr>
      <w:r>
        <w:t>- Caractéristiques générales</w:t>
      </w:r>
    </w:p>
    <w:p w14:paraId="4371E742" w14:textId="77777777" w:rsidR="00DB2B68" w:rsidRDefault="00000000">
      <w:r>
        <w:t>Classe de résistance à la compression :</w:t>
      </w:r>
      <w:r>
        <w:br/>
      </w:r>
      <w:r>
        <w:rPr>
          <w:color w:val="FF0000"/>
        </w:rPr>
        <w:t>C25/30 </w:t>
      </w:r>
      <w:r>
        <w:t>(par défaut)</w:t>
      </w:r>
      <w:r>
        <w:rPr>
          <w:color w:val="FF0000"/>
        </w:rPr>
        <w:t xml:space="preserve"> // C30/37 // C35/45 // C45/55 // C50/60 // C55/67 // C60/75 // C70/85 // C80/95 // C90/105 /// ***</w:t>
      </w:r>
      <w:r>
        <w:br/>
        <w:t>Classe d’environnement :</w:t>
      </w:r>
      <w:r>
        <w:br/>
      </w:r>
      <w:r>
        <w:rPr>
          <w:color w:val="FF0000"/>
        </w:rPr>
        <w:t>E0 </w:t>
      </w:r>
      <w:r>
        <w:t>(par défaut)</w:t>
      </w:r>
      <w:r>
        <w:rPr>
          <w:color w:val="FF0000"/>
        </w:rPr>
        <w:t xml:space="preserve"> / EI / EE1 / EE2 / EE3 / EE4 / ES1 / ES2 / ES3 / ES4 / EA1+*** / EA2+***/ EA3+***</w:t>
      </w:r>
    </w:p>
    <w:p w14:paraId="03C1ABF7" w14:textId="77777777" w:rsidR="00DB2B68" w:rsidRDefault="00000000">
      <w:pPr>
        <w:pStyle w:val="pheading"/>
      </w:pPr>
      <w:r>
        <w:t>- Finitions</w:t>
      </w:r>
    </w:p>
    <w:p w14:paraId="37EEE62B" w14:textId="77777777" w:rsidR="00DB2B68" w:rsidRDefault="00000000">
      <w:r>
        <w:t>La surface de béton est</w:t>
      </w:r>
      <w:r>
        <w:rPr>
          <w:rStyle w:val="optioncarChar"/>
        </w:rPr>
        <w:t xml:space="preserve"> brute et lisse </w:t>
      </w:r>
      <w:r>
        <w:t>(par défaut)</w:t>
      </w:r>
      <w:r>
        <w:rPr>
          <w:rStyle w:val="optioncarChar"/>
        </w:rPr>
        <w:t> / structurée / ***</w:t>
      </w:r>
      <w:r>
        <w:br/>
      </w:r>
      <w:r>
        <w:br/>
      </w:r>
      <w:r>
        <w:rPr>
          <w:u w:val="single"/>
        </w:rPr>
        <w:t>Terminaison des arêtes</w:t>
      </w:r>
      <w:r>
        <w:br/>
        <w:t xml:space="preserve">Les arêtes saillantes des colonnes sont </w:t>
      </w:r>
      <w:r>
        <w:rPr>
          <w:rStyle w:val="optioncarChar"/>
        </w:rPr>
        <w:t>chanfreinées en triangle </w:t>
      </w:r>
      <w:r>
        <w:t>(par défaut)</w:t>
      </w:r>
      <w:r>
        <w:rPr>
          <w:rStyle w:val="optioncarChar"/>
        </w:rPr>
        <w:t xml:space="preserve"> /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r>
        <w:br/>
      </w:r>
      <w:r>
        <w:br/>
        <w:t xml:space="preserve">Les arêtes rentrantes des colonnes sont </w:t>
      </w:r>
      <w:r>
        <w:rPr>
          <w:rStyle w:val="optioncarChar"/>
        </w:rPr>
        <w:t>vives </w:t>
      </w:r>
      <w:r>
        <w:t>(par défaut)</w:t>
      </w:r>
      <w:r>
        <w:rPr>
          <w:rStyle w:val="optioncarChar"/>
        </w:rPr>
        <w:t xml:space="preserve"> / chanfreinées en triangle /chanfreinées 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lastRenderedPageBreak/>
        <w:t xml:space="preserve">2. </w:t>
      </w:r>
      <w:r>
        <w:rPr>
          <w:rStyle w:val="soitChar"/>
          <w:u w:val="single"/>
        </w:rPr>
        <w:t>chanfreinées</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w:t>
      </w:r>
      <w:r>
        <w:t>(par défaut)</w:t>
      </w:r>
      <w:r>
        <w:rPr>
          <w:rStyle w:val="optioncarChar"/>
        </w:rPr>
        <w:t xml:space="preserve">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6300C561" w14:textId="77777777" w:rsidR="00DB2B68" w:rsidRDefault="00000000">
      <w:pPr>
        <w:pStyle w:val="pheading"/>
      </w:pPr>
      <w:r>
        <w:t>- Prescriptions complémentaires</w:t>
      </w:r>
    </w:p>
    <w:p w14:paraId="2FA0F833" w14:textId="77777777" w:rsidR="00DB2B68" w:rsidRDefault="00000000">
      <w:r>
        <w:t xml:space="preserve">Résistance au feu : </w:t>
      </w:r>
      <w:r>
        <w:rPr>
          <w:rStyle w:val="optioncarChar"/>
        </w:rPr>
        <w:t xml:space="preserve">R30 </w:t>
      </w:r>
      <w:r>
        <w:t>(par défaut) </w:t>
      </w:r>
      <w:r>
        <w:rPr>
          <w:rStyle w:val="optioncarChar"/>
        </w:rPr>
        <w:t>/ R60 / R120 / R240 / ***</w:t>
      </w:r>
      <w:r>
        <w:t xml:space="preserve"> suivant la déclaration de performance (DoP) selon la norme produit [NBN EN 13225] et [NBN B 21-604].</w:t>
      </w:r>
    </w:p>
    <w:p w14:paraId="4D5E8DD3" w14:textId="77777777" w:rsidR="00DB2B68" w:rsidRDefault="00000000">
      <w:r>
        <w:t>Si la résistance au feu n’est pas déclarée sous marquage CE, elle est démontrée par test au feu selon la [NBN EN 13501-2] ou par calcul selon les Eurocodes conformément à l’[AM 2013-05-17].</w:t>
      </w:r>
    </w:p>
    <w:p w14:paraId="3F73B490" w14:textId="77777777" w:rsidR="00DB2B68" w:rsidRDefault="00000000">
      <w:pPr>
        <w:pStyle w:val="pheading"/>
      </w:pPr>
      <w:r>
        <w:t>EXÉCUTION / MISE EN ŒUVRE</w:t>
      </w:r>
    </w:p>
    <w:p w14:paraId="54E2DB24" w14:textId="77777777" w:rsidR="00DB2B68" w:rsidRDefault="00000000">
      <w:pPr>
        <w:pStyle w:val="pheading"/>
      </w:pPr>
      <w:r>
        <w:t>- Prescriptions générales</w:t>
      </w:r>
    </w:p>
    <w:p w14:paraId="1DFDE453" w14:textId="77777777" w:rsidR="00DB2B68" w:rsidRDefault="00000000">
      <w:r>
        <w:t xml:space="preserve">L’étude et les plans d’exécution </w:t>
      </w:r>
      <w:r>
        <w:rPr>
          <w:rStyle w:val="optioncarChar"/>
        </w:rPr>
        <w:t>sont / ne sont pas</w:t>
      </w:r>
      <w:r>
        <w:t xml:space="preserve">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302CFB60" w14:textId="77777777" w:rsidR="00DB2B68" w:rsidRDefault="00000000">
      <w:pPr>
        <w:pStyle w:val="pheading"/>
      </w:pPr>
      <w:r>
        <w:t>- Notes d’exécution complémentaires</w:t>
      </w:r>
    </w:p>
    <w:p w14:paraId="48B466B2" w14:textId="77777777" w:rsidR="00DB2B68" w:rsidRDefault="00000000">
      <w:r>
        <w:t>Ponts thermiques / isolation thermique : des dispositifs adéquats sont utilisés pour éviter tout pont thermique.</w:t>
      </w:r>
    </w:p>
    <w:p w14:paraId="4BD485D1" w14:textId="77777777" w:rsidR="00DB2B68" w:rsidRDefault="00000000">
      <w:pPr>
        <w:pStyle w:val="pheading"/>
      </w:pPr>
      <w:r>
        <w:t>MESURAGE</w:t>
      </w:r>
    </w:p>
    <w:p w14:paraId="331E83E2" w14:textId="77777777" w:rsidR="00DB2B68" w:rsidRDefault="00000000">
      <w:r>
        <w:t>Conformément aux indications spécifiques dans le cahier spécial des charges et/ou le métré récapitulatif, le mesurage est conçu comme suit :</w:t>
      </w:r>
    </w:p>
    <w:p w14:paraId="34B65097" w14:textId="77777777" w:rsidR="00DB2B68" w:rsidRDefault="00000000">
      <w:pPr>
        <w:pStyle w:val="pheading"/>
      </w:pPr>
      <w:r>
        <w:t>- unité de mesure:</w:t>
      </w:r>
    </w:p>
    <w:p w14:paraId="513E8260" w14:textId="77777777" w:rsidR="00DB2B68" w:rsidRDefault="00000000">
      <w:r>
        <w:rPr>
          <w:rStyle w:val="optioncarChar"/>
        </w:rPr>
        <w:t>m³ (par défaut) / pce / m / -</w:t>
      </w:r>
    </w:p>
    <w:p w14:paraId="661C8EB0" w14:textId="77777777" w:rsidR="00DB2B68" w:rsidRDefault="00000000">
      <w:pPr>
        <w:pStyle w:val="pheading"/>
      </w:pPr>
      <w:r>
        <w:t>- code de mesurage:</w:t>
      </w:r>
    </w:p>
    <w:p w14:paraId="709AF2C4" w14:textId="77777777" w:rsidR="00DB2B68" w:rsidRDefault="00000000">
      <w:r>
        <w:t>volume net (selon la [NBN B 06-001]) mesuré entre la dalle de sol et les poutres.</w:t>
      </w:r>
    </w:p>
    <w:p w14:paraId="03603A93" w14:textId="77777777" w:rsidR="00DB2B68" w:rsidRDefault="00000000">
      <w:r>
        <w:t>volume net, mesuré selon les dimensions nominales indiquées sur les plans.</w:t>
      </w:r>
    </w:p>
    <w:p w14:paraId="1DB3C623" w14:textId="77777777" w:rsidR="00DB2B68"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14C4F10D" w14:textId="77777777" w:rsidR="00DB2B68" w:rsidRDefault="00000000">
      <w:pPr>
        <w:pStyle w:val="Author-eListParagraph"/>
        <w:numPr>
          <w:ilvl w:val="0"/>
          <w:numId w:val="407"/>
        </w:numPr>
      </w:pPr>
      <w:r>
        <w:t>le volume des armatures,</w:t>
      </w:r>
    </w:p>
    <w:p w14:paraId="62604C5F" w14:textId="77777777" w:rsidR="00DB2B68" w:rsidRDefault="00000000">
      <w:pPr>
        <w:pStyle w:val="Author-eListParagraph"/>
        <w:numPr>
          <w:ilvl w:val="0"/>
          <w:numId w:val="407"/>
        </w:numPr>
      </w:pPr>
      <w:r>
        <w:t>les blocs et écarteurs, les fourreaux pour les armatures de précontrainte ;</w:t>
      </w:r>
    </w:p>
    <w:p w14:paraId="235ED1BF" w14:textId="77777777" w:rsidR="00DB2B68" w:rsidRDefault="00000000">
      <w:pPr>
        <w:pStyle w:val="Author-eListParagraph"/>
        <w:numPr>
          <w:ilvl w:val="0"/>
          <w:numId w:val="407"/>
        </w:numPr>
      </w:pPr>
      <w:r>
        <w:t>les pénétrations pour les pattes d’ancrage, les creux, les conduites noyées et les réservations dont le volume est inférieur à 0,05 m</w:t>
      </w:r>
      <w:r>
        <w:rPr>
          <w:vertAlign w:val="superscript"/>
        </w:rPr>
        <w:t>3</w:t>
      </w:r>
      <w:r>
        <w:t>.</w:t>
      </w:r>
    </w:p>
    <w:p w14:paraId="07A1622F" w14:textId="77777777" w:rsidR="00DB2B68" w:rsidRDefault="00000000">
      <w:pPr>
        <w:pStyle w:val="Author-eListParagraph"/>
        <w:numPr>
          <w:ilvl w:val="0"/>
          <w:numId w:val="407"/>
        </w:numPr>
      </w:pPr>
      <w:r>
        <w:lastRenderedPageBreak/>
        <w:t>les chanfreins et tous les profils dont la section a une superficie inférieure à 20 cm</w:t>
      </w:r>
      <w:r>
        <w:rPr>
          <w:vertAlign w:val="superscript"/>
        </w:rPr>
        <w:t>2</w:t>
      </w:r>
      <w:r>
        <w:t>.</w:t>
      </w:r>
    </w:p>
    <w:p w14:paraId="554057BA" w14:textId="77777777" w:rsidR="00DB2B68" w:rsidRDefault="00000000">
      <w:pPr>
        <w:pStyle w:val="Author-eListParagraph"/>
        <w:numPr>
          <w:ilvl w:val="0"/>
          <w:numId w:val="407"/>
        </w:numPr>
      </w:pPr>
      <w:r>
        <w:t>les rainures, encoches et languettes.</w:t>
      </w:r>
    </w:p>
    <w:p w14:paraId="20724C52" w14:textId="77777777" w:rsidR="00DB2B68" w:rsidRDefault="00000000">
      <w:pPr>
        <w:pStyle w:val="pheading"/>
      </w:pPr>
      <w:r>
        <w:t>- nature du marché:</w:t>
      </w:r>
    </w:p>
    <w:p w14:paraId="5BE69FC8" w14:textId="77777777" w:rsidR="00DB2B68" w:rsidRDefault="00000000">
      <w:r>
        <w:rPr>
          <w:rStyle w:val="optioncarChar"/>
        </w:rPr>
        <w:t xml:space="preserve">QF </w:t>
      </w:r>
      <w:r>
        <w:t>(par défaut)</w:t>
      </w:r>
      <w:r>
        <w:rPr>
          <w:rStyle w:val="optioncarChar"/>
        </w:rPr>
        <w:t xml:space="preserve"> / QP / PM</w:t>
      </w:r>
      <w:r>
        <w:br/>
      </w:r>
    </w:p>
    <w:p w14:paraId="398CAC20" w14:textId="77777777" w:rsidR="00DB2B68" w:rsidRDefault="00000000">
      <w:pPr>
        <w:pStyle w:val="Author-eSectionHeading5Numberless"/>
      </w:pPr>
      <w:bookmarkStart w:id="703" w:name="_Toc220495767"/>
      <w:r>
        <w:t>22.14.4 Colonnes préfabriquées en béton architectonique CCTB 01.04</w:t>
      </w:r>
      <w:bookmarkEnd w:id="703"/>
    </w:p>
    <w:p w14:paraId="64B413C0" w14:textId="77777777" w:rsidR="00DB2B68" w:rsidRDefault="00000000">
      <w:pPr>
        <w:pStyle w:val="Author-eSectionHeading6Numberless"/>
      </w:pPr>
      <w:bookmarkStart w:id="704" w:name="_Toc220495768"/>
      <w:r>
        <w:t>22.14.4a Colonnes préfabriquées en béton décoratif / architectonique CCTB 01.13</w:t>
      </w:r>
      <w:bookmarkEnd w:id="704"/>
    </w:p>
    <w:p w14:paraId="6B669B91" w14:textId="77777777" w:rsidR="00DB2B68" w:rsidRDefault="00000000">
      <w:pPr>
        <w:pStyle w:val="pheading"/>
      </w:pPr>
      <w:r>
        <w:t>DESCRIPTION</w:t>
      </w:r>
    </w:p>
    <w:p w14:paraId="5A6AFC51" w14:textId="77777777" w:rsidR="00DB2B68" w:rsidRDefault="00000000">
      <w:pPr>
        <w:pStyle w:val="pheading"/>
      </w:pPr>
      <w:r>
        <w:t>- Définition / Comprend</w:t>
      </w:r>
    </w:p>
    <w:p w14:paraId="555E85F8" w14:textId="77777777" w:rsidR="00DB2B68" w:rsidRDefault="00000000">
      <w:pPr>
        <w:jc w:val="both"/>
      </w:pPr>
      <w:r>
        <w:t xml:space="preserve">Il s'agit de la fourniture et de la pose de toutes les colonnes (éléments verticaux ou obliques) en béton armé qui sont obligatoirement préfabriquées dans une usine suivant la définition reprise dans les généralités, et sont assemblées sur chantier aux ouvrages de construction déjà exécutés (voir également </w:t>
      </w:r>
      <w:hyperlink w:anchor="87" w:history="1">
        <w:r>
          <w:rPr>
            <w:color w:val="0000EE"/>
          </w:rPr>
          <w:t>22 Superstructures en béton</w:t>
        </w:r>
      </w:hyperlink>
      <w:r>
        <w:t>).</w:t>
      </w:r>
    </w:p>
    <w:p w14:paraId="26464D11" w14:textId="77777777" w:rsidR="00DB2B68" w:rsidRDefault="00000000">
      <w:pPr>
        <w:jc w:val="both"/>
      </w:pPr>
      <w:r>
        <w:t>Les travaux comprennent :</w:t>
      </w:r>
    </w:p>
    <w:p w14:paraId="72075413" w14:textId="77777777" w:rsidR="00DB2B68" w:rsidRDefault="00000000">
      <w:pPr>
        <w:pStyle w:val="Author-eListParagraph"/>
        <w:numPr>
          <w:ilvl w:val="0"/>
          <w:numId w:val="408"/>
        </w:numPr>
        <w:jc w:val="both"/>
      </w:pPr>
      <w:r>
        <w:t>La fourniture des colonnes préfabriquées</w:t>
      </w:r>
    </w:p>
    <w:p w14:paraId="1E314102" w14:textId="77777777" w:rsidR="00DB2B68" w:rsidRDefault="00000000">
      <w:pPr>
        <w:pStyle w:val="Author-eListParagraph"/>
        <w:numPr>
          <w:ilvl w:val="0"/>
          <w:numId w:val="408"/>
        </w:numPr>
        <w:jc w:val="both"/>
      </w:pPr>
      <w:r>
        <w:t>La pose des colonnes</w:t>
      </w:r>
    </w:p>
    <w:p w14:paraId="6297B6FA" w14:textId="77777777" w:rsidR="00DB2B68" w:rsidRDefault="00000000">
      <w:pPr>
        <w:pStyle w:val="pheading"/>
      </w:pPr>
      <w:r>
        <w:t>- Localisation</w:t>
      </w:r>
    </w:p>
    <w:p w14:paraId="71537912" w14:textId="77777777" w:rsidR="00DB2B68" w:rsidRDefault="00000000">
      <w:r>
        <w:t>Localisation des travaux :</w:t>
      </w:r>
      <w:r>
        <w:rPr>
          <w:rStyle w:val="optioncarChar"/>
        </w:rPr>
        <w:t xml:space="preserve"> ***</w:t>
      </w:r>
      <w:r>
        <w:t>.</w:t>
      </w:r>
    </w:p>
    <w:p w14:paraId="2A58A917" w14:textId="77777777" w:rsidR="00DB2B68" w:rsidRDefault="00000000">
      <w:r>
        <w:t>Voir plans et métrés détaillés.</w:t>
      </w:r>
    </w:p>
    <w:p w14:paraId="265BB372" w14:textId="77777777" w:rsidR="00DB2B68" w:rsidRDefault="00000000">
      <w:pPr>
        <w:pStyle w:val="pheading"/>
      </w:pPr>
      <w:r>
        <w:t>MATÉRIAUX</w:t>
      </w:r>
    </w:p>
    <w:p w14:paraId="26FFD8F5" w14:textId="77777777" w:rsidR="00DB2B68" w:rsidRDefault="00000000">
      <w:pPr>
        <w:pStyle w:val="pheading"/>
      </w:pPr>
      <w:r>
        <w:t>- Caractéristiques générales</w:t>
      </w:r>
    </w:p>
    <w:p w14:paraId="4032FFDA" w14:textId="77777777" w:rsidR="00DB2B68" w:rsidRDefault="00000000">
      <w:pPr>
        <w:jc w:val="both"/>
      </w:pPr>
      <w:r>
        <w:t>Les éléments sont fabriqués suivant les spécifications de la [NBN EN 13225] et la [NBN B 21-604].</w:t>
      </w:r>
    </w:p>
    <w:p w14:paraId="7F8E27A8" w14:textId="77777777" w:rsidR="00DB2B68" w:rsidRDefault="00DB2B68">
      <w:pPr>
        <w:jc w:val="both"/>
      </w:pPr>
    </w:p>
    <w:p w14:paraId="0B945397" w14:textId="77777777" w:rsidR="00DB2B68" w:rsidRDefault="00000000">
      <w:pPr>
        <w:jc w:val="both"/>
      </w:pPr>
      <w:r>
        <w:t>Les colonnes en béton architectonique répondent aux exigences élevées de qualité pour les éléments architectoniques préfabriqués en béton décoratif telles que spécifiées dans le [PTV 21-601].</w:t>
      </w:r>
    </w:p>
    <w:p w14:paraId="54578F90" w14:textId="77777777" w:rsidR="00DB2B68" w:rsidRDefault="00000000">
      <w:r>
        <w:t>Classe de résistance à la compression :</w:t>
      </w:r>
      <w:r>
        <w:br/>
      </w:r>
      <w:r>
        <w:rPr>
          <w:color w:val="FF0000"/>
        </w:rPr>
        <w:t>C30/37 </w:t>
      </w:r>
      <w:r>
        <w:t xml:space="preserve">(par défaut) </w:t>
      </w:r>
      <w:r>
        <w:rPr>
          <w:color w:val="FF0000"/>
        </w:rPr>
        <w:t>/ C35/45 / C45/55 / C50/60 / C55/67 / C60/75 / C70/85 / C80/95 / C90/105 / ***</w:t>
      </w:r>
      <w:r>
        <w:br/>
        <w:t>Classe d’environnement :</w:t>
      </w:r>
      <w:r>
        <w:br/>
      </w:r>
      <w:r>
        <w:rPr>
          <w:color w:val="FF0000"/>
        </w:rPr>
        <w:t>EI </w:t>
      </w:r>
      <w:r>
        <w:t>(par défaut)</w:t>
      </w:r>
      <w:r>
        <w:rPr>
          <w:color w:val="FF0000"/>
        </w:rPr>
        <w:t xml:space="preserve"> / EE1 / EE2 / EE3 / EE4 / ES1 / ES2 / ES3 / ES4 / EA1+*** / EA2+***/ EA3+***</w:t>
      </w:r>
    </w:p>
    <w:p w14:paraId="3E2B5AA2" w14:textId="77777777" w:rsidR="00DB2B68" w:rsidRDefault="00000000">
      <w:pPr>
        <w:ind w:left="750"/>
      </w:pPr>
      <w:r>
        <w:t> </w:t>
      </w:r>
    </w:p>
    <w:p w14:paraId="2040D218" w14:textId="77777777" w:rsidR="00DB2B68" w:rsidRDefault="00000000">
      <w:pPr>
        <w:pStyle w:val="pheading"/>
      </w:pPr>
      <w:r>
        <w:t>- Finitions</w:t>
      </w:r>
    </w:p>
    <w:p w14:paraId="71C8A301" w14:textId="77777777" w:rsidR="00DB2B68"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392257B9" w14:textId="77777777" w:rsidR="00DB2B68" w:rsidRDefault="00000000">
      <w:r>
        <w:rPr>
          <w:b/>
          <w:i/>
        </w:rPr>
        <w:t>(soit par défaut)</w:t>
      </w:r>
    </w:p>
    <w:p w14:paraId="758C1F82" w14:textId="77777777" w:rsidR="00DB2B68" w:rsidRDefault="00000000">
      <w:r>
        <w:rPr>
          <w:rStyle w:val="soitChar"/>
        </w:rPr>
        <w:t>Béton architectonique</w:t>
      </w:r>
    </w:p>
    <w:p w14:paraId="1BA1AD1F" w14:textId="77777777" w:rsidR="00DB2B68" w:rsidRDefault="00000000">
      <w:r>
        <w:rPr>
          <w:b/>
          <w:i/>
        </w:rPr>
        <w:t>(soit)</w:t>
      </w:r>
    </w:p>
    <w:p w14:paraId="247B5182" w14:textId="77777777" w:rsidR="00DB2B68" w:rsidRDefault="00000000">
      <w:r>
        <w:rPr>
          <w:rStyle w:val="soitChar"/>
        </w:rPr>
        <w:t>Béton décoratif industriel</w:t>
      </w:r>
    </w:p>
    <w:p w14:paraId="29F2BA80" w14:textId="77777777" w:rsidR="00DB2B68" w:rsidRDefault="00000000">
      <w:r>
        <w:t>Les éléments en béton architectoniques doivent répondre au [PTV 21-601].</w:t>
      </w:r>
    </w:p>
    <w:p w14:paraId="5FE984E8" w14:textId="77777777" w:rsidR="00DB2B68" w:rsidRDefault="00000000">
      <w:r>
        <w:t xml:space="preserve">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1C9CB244" w14:textId="77777777" w:rsidR="00DB2B68" w:rsidRDefault="00000000">
      <w:r>
        <w:t>Description détaillée des éléments :</w:t>
      </w:r>
    </w:p>
    <w:p w14:paraId="426FA974" w14:textId="77777777" w:rsidR="00DB2B68" w:rsidRDefault="00000000">
      <w:r>
        <w:lastRenderedPageBreak/>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50C49D4F" w14:textId="77777777" w:rsidR="00DB2B68" w:rsidRDefault="00000000">
      <w:r>
        <w:rPr>
          <w:b/>
          <w:i/>
        </w:rPr>
        <w:t> (soit par défaut)</w:t>
      </w:r>
    </w:p>
    <w:p w14:paraId="21D3B532"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51DAFC4E" w14:textId="77777777" w:rsidR="00DB2B68" w:rsidRDefault="00000000">
      <w:r>
        <w:rPr>
          <w:b/>
          <w:i/>
        </w:rPr>
        <w:t> (soit)</w:t>
      </w:r>
    </w:p>
    <w:p w14:paraId="590E1E91" w14:textId="77777777" w:rsidR="00DB2B68" w:rsidRDefault="00000000">
      <w:r>
        <w:rPr>
          <w:rStyle w:val="soitChar"/>
          <w:u w:val="single"/>
        </w:rPr>
        <w:t>Suivant échantillons à remettre pour approbation par l’architecte:</w:t>
      </w:r>
      <w:r>
        <w:rPr>
          <w:rStyle w:val="soitChar"/>
        </w:rPr>
        <w:t> </w:t>
      </w:r>
      <w:r>
        <w:rPr>
          <w:rStyle w:val="optioncarChar"/>
        </w:rPr>
        <w:t>gris </w:t>
      </w:r>
      <w:r>
        <w:t>(par défaut)</w:t>
      </w:r>
      <w:r>
        <w:rPr>
          <w:rStyle w:val="optioncarChar"/>
        </w:rPr>
        <w:t xml:space="preserve"> / blanc / vert / anthracite / rouge / ***</w:t>
      </w:r>
    </w:p>
    <w:p w14:paraId="0DB77F8A" w14:textId="77777777" w:rsidR="00DB2B68" w:rsidRDefault="00000000">
      <w:r>
        <w:rPr>
          <w:b/>
          <w:i/>
        </w:rPr>
        <w:t>(soit)</w:t>
      </w:r>
    </w:p>
    <w:p w14:paraId="53A482F6" w14:textId="77777777" w:rsidR="00DB2B68" w:rsidRDefault="00000000">
      <w:r>
        <w:rPr>
          <w:rStyle w:val="soitChar"/>
          <w:u w:val="single"/>
        </w:rPr>
        <w:t>Suivant la couleur RAL</w:t>
      </w:r>
      <w:r>
        <w:rPr>
          <w:rStyle w:val="soitChar"/>
        </w:rPr>
        <w:t xml:space="preserve"> se rapprochant le mieux que possible du RAL </w:t>
      </w:r>
      <w:r>
        <w:rPr>
          <w:rStyle w:val="optioncarChar"/>
        </w:rPr>
        <w:t>***</w:t>
      </w:r>
    </w:p>
    <w:p w14:paraId="6940E930" w14:textId="77777777" w:rsidR="00DB2B68" w:rsidRDefault="00000000">
      <w:r>
        <w:t> </w:t>
      </w:r>
    </w:p>
    <w:p w14:paraId="7A3EBDC3" w14:textId="77777777" w:rsidR="00DB2B68" w:rsidRDefault="00000000">
      <w:r>
        <w:t>2.     Texture : </w:t>
      </w:r>
      <w:r>
        <w:rPr>
          <w:rStyle w:val="optioncarChar"/>
        </w:rPr>
        <w:t>suivant échantillon disponible</w:t>
      </w:r>
      <w:r>
        <w:t> (par défaut)</w:t>
      </w:r>
      <w:r>
        <w:rPr>
          <w:rStyle w:val="optioncarChar"/>
        </w:rPr>
        <w:t> / suivant échantillons à remettre pour approbation par l'architecte</w:t>
      </w:r>
    </w:p>
    <w:p w14:paraId="5402CE2F" w14:textId="77777777" w:rsidR="00DB2B68" w:rsidRDefault="00000000">
      <w:r>
        <w:rPr>
          <w:b/>
          <w:i/>
        </w:rPr>
        <w:t>(soit par défaut)</w:t>
      </w:r>
    </w:p>
    <w:p w14:paraId="0AACD418" w14:textId="77777777" w:rsidR="00DB2B68" w:rsidRDefault="00000000">
      <w:r>
        <w:rPr>
          <w:rStyle w:val="soitChar"/>
          <w:u w:val="single"/>
        </w:rPr>
        <w:t>Suivant échantillon disponible</w:t>
      </w:r>
      <w:r>
        <w:t xml:space="preserve">  </w:t>
      </w:r>
      <w:r>
        <w:rPr>
          <w:rStyle w:val="optioncarChar"/>
        </w:rPr>
        <w:t>auprès du bureau d’architecte / sur chantier / auprès du fabricant</w:t>
      </w:r>
    </w:p>
    <w:p w14:paraId="2351493A" w14:textId="77777777" w:rsidR="00DB2B68" w:rsidRDefault="00000000">
      <w:r>
        <w:rPr>
          <w:b/>
          <w:i/>
        </w:rPr>
        <w:t>(soit)</w:t>
      </w:r>
    </w:p>
    <w:p w14:paraId="00730BDE" w14:textId="77777777" w:rsidR="00DB2B68" w:rsidRDefault="00000000">
      <w:r>
        <w:rPr>
          <w:rStyle w:val="soitChar"/>
          <w:u w:val="single"/>
        </w:rPr>
        <w:t>Echantillons à remettre pour approbation par l’architecte</w:t>
      </w:r>
      <w:r>
        <w:br/>
      </w:r>
      <w:r>
        <w:b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589AF64C" w14:textId="77777777" w:rsidR="00DB2B68" w:rsidRDefault="00000000">
      <w:r>
        <w:t>3.    Terminaison des arêtes: </w:t>
      </w:r>
    </w:p>
    <w:p w14:paraId="4BE7B9B8" w14:textId="77777777" w:rsidR="00DB2B68" w:rsidRDefault="00000000">
      <w:r>
        <w:t xml:space="preserve">Les arêtes saillantes des colonnes sont </w:t>
      </w:r>
      <w:r>
        <w:rPr>
          <w:rStyle w:val="optioncarChar"/>
        </w:rPr>
        <w:t xml:space="preserve">chanfreinées en triangle </w:t>
      </w:r>
      <w:r>
        <w:t>(par défaut)</w:t>
      </w:r>
      <w:r>
        <w:rPr>
          <w:rStyle w:val="optioncarChar"/>
        </w:rPr>
        <w:t xml:space="preserve"> / chanfreinées en arrondi / vives</w:t>
      </w:r>
      <w:r>
        <w:br/>
      </w:r>
      <w:r>
        <w:br/>
      </w:r>
      <w:r>
        <w:rPr>
          <w:b/>
          <w:i/>
        </w:rPr>
        <w:t xml:space="preserve"> (soit par défaut)</w:t>
      </w:r>
      <w:r>
        <w:br/>
      </w:r>
      <w:r>
        <w:br/>
      </w:r>
      <w:r>
        <w:rPr>
          <w:rStyle w:val="soitChar"/>
          <w:u w:val="single"/>
        </w:rPr>
        <w:t>Chanfreinées en triangle</w:t>
      </w:r>
      <w:r>
        <w:br/>
      </w:r>
      <w:r>
        <w:rPr>
          <w:rStyle w:val="soitChar"/>
        </w:rPr>
        <w:t xml:space="preserve"> Les arêtes sont cassées au moyen d'un chanfrein de </w:t>
      </w:r>
      <w:r>
        <w:rPr>
          <w:rStyle w:val="optioncarChar"/>
        </w:rPr>
        <w:t>1,5 x 1,5 </w:t>
      </w:r>
      <w:r>
        <w:t>(par défaut)</w:t>
      </w:r>
      <w:r>
        <w:rPr>
          <w:rStyle w:val="optioncarChar"/>
        </w:rPr>
        <w:t xml:space="preserve"> / 2,5 x 2,5 / *** cm x *** cm.</w:t>
      </w:r>
      <w:r>
        <w:br/>
      </w:r>
      <w:r>
        <w:br/>
      </w:r>
      <w:r>
        <w:rPr>
          <w:b/>
          <w:i/>
        </w:rPr>
        <w:t>(soit)</w:t>
      </w:r>
      <w:r>
        <w:br/>
      </w:r>
      <w:r>
        <w:br/>
      </w:r>
      <w:r>
        <w:rPr>
          <w:rStyle w:val="soitChar"/>
          <w:u w:val="single"/>
        </w:rPr>
        <w:t>Chanfreinée en arrondi</w:t>
      </w:r>
      <w:r>
        <w:br/>
      </w:r>
      <w:r>
        <w:rPr>
          <w:rStyle w:val="soitChar"/>
        </w:rPr>
        <w:t xml:space="preserve"> Les arêtes sont cassées au moyen d'un chanfrein de rayon</w:t>
      </w:r>
      <w:r>
        <w:rPr>
          <w:rStyle w:val="optioncarChar"/>
        </w:rPr>
        <w:t xml:space="preserve"> 1,5  </w:t>
      </w:r>
      <w:r>
        <w:t>(par défaut) </w:t>
      </w:r>
      <w:r>
        <w:rPr>
          <w:rStyle w:val="optioncarChar"/>
        </w:rPr>
        <w:t>/ 2,5 / ***cm</w:t>
      </w:r>
      <w:r>
        <w:t xml:space="preserve"> .</w:t>
      </w:r>
      <w:r>
        <w:br/>
      </w:r>
      <w:r>
        <w:br/>
      </w:r>
      <w:r>
        <w:rPr>
          <w:b/>
          <w:i/>
        </w:rPr>
        <w:t xml:space="preserve"> (soit)</w:t>
      </w:r>
      <w:r>
        <w:br/>
      </w:r>
      <w:r>
        <w:br/>
      </w:r>
      <w:r>
        <w:rPr>
          <w:rStyle w:val="soitChar"/>
          <w:u w:val="single"/>
        </w:rPr>
        <w:t>Vives</w:t>
      </w:r>
      <w:r>
        <w:br/>
      </w:r>
      <w:r>
        <w:br/>
      </w:r>
      <w:r>
        <w:br/>
        <w:t xml:space="preserve">Les arêtes rentrantes des colonnes sont </w:t>
      </w:r>
      <w:r>
        <w:rPr>
          <w:rStyle w:val="optioncarChar"/>
        </w:rPr>
        <w:t xml:space="preserve">vives </w:t>
      </w:r>
      <w:r>
        <w:t>(par défaut)</w:t>
      </w:r>
      <w:r>
        <w:rPr>
          <w:rStyle w:val="optioncarChar"/>
        </w:rPr>
        <w:t xml:space="preserve"> / chanfreinées en triangle / chanfreinées en arrondi </w:t>
      </w:r>
      <w:r>
        <w:br/>
      </w:r>
      <w:r>
        <w:br/>
      </w:r>
      <w:r>
        <w:rPr>
          <w:b/>
          <w:i/>
        </w:rPr>
        <w:t xml:space="preserve"> (soit par défaut)</w:t>
      </w:r>
      <w:r>
        <w:br/>
      </w:r>
      <w:r>
        <w:br/>
      </w:r>
      <w:r>
        <w:rPr>
          <w:rStyle w:val="soitChar"/>
          <w:u w:val="single"/>
        </w:rPr>
        <w:t>Vives</w:t>
      </w:r>
      <w:r>
        <w:br/>
      </w:r>
      <w:r>
        <w:br/>
      </w:r>
      <w:r>
        <w:rPr>
          <w:b/>
          <w:i/>
        </w:rPr>
        <w:t>(soit)</w:t>
      </w:r>
      <w:r>
        <w:br/>
      </w:r>
      <w:r>
        <w:br/>
      </w:r>
      <w:r>
        <w:rPr>
          <w:rStyle w:val="soitChar"/>
          <w:u w:val="single"/>
        </w:rPr>
        <w:t>Chanfreinées</w:t>
      </w:r>
      <w:r>
        <w:br/>
      </w:r>
      <w:r>
        <w:rPr>
          <w:rStyle w:val="soitChar"/>
        </w:rPr>
        <w:lastRenderedPageBreak/>
        <w:t xml:space="preserve"> Les arêtes sont cassées au moyen d'un chanfrein de </w:t>
      </w:r>
      <w:r>
        <w:rPr>
          <w:rStyle w:val="optioncarChar"/>
        </w:rPr>
        <w:t xml:space="preserve">1,5 x 1,5 </w:t>
      </w:r>
      <w:r>
        <w:t>(par défaut) </w:t>
      </w:r>
      <w:r>
        <w:rPr>
          <w:rStyle w:val="optioncarChar"/>
        </w:rPr>
        <w:t>/ 2,5 x 2,5 / *** cm x *** cm.</w:t>
      </w:r>
      <w:r>
        <w:br/>
      </w:r>
      <w:r>
        <w:br/>
      </w:r>
      <w:r>
        <w:rPr>
          <w:b/>
          <w:i/>
        </w:rPr>
        <w:t>(soit)</w:t>
      </w:r>
      <w:r>
        <w:br/>
      </w:r>
      <w:r>
        <w:br/>
      </w:r>
      <w:r>
        <w:rPr>
          <w:rStyle w:val="soitChar"/>
          <w:u w:val="single"/>
        </w:rPr>
        <w:t>Chanfreinée en arrondi</w:t>
      </w:r>
      <w:r>
        <w:br/>
      </w:r>
      <w:r>
        <w:rPr>
          <w:rStyle w:val="soitChar"/>
        </w:rPr>
        <w:t xml:space="preserve"> Les arêtes sont cassées au moyen d'un chanfrein de rayon </w:t>
      </w:r>
      <w:r>
        <w:rPr>
          <w:rStyle w:val="optioncarChar"/>
        </w:rPr>
        <w:t>1,5 </w:t>
      </w:r>
      <w:r>
        <w:t>(par défaut)</w:t>
      </w:r>
      <w:r>
        <w:rPr>
          <w:rStyle w:val="optioncarChar"/>
        </w:rPr>
        <w:t xml:space="preserve"> / 2,5 / *** cm .</w:t>
      </w:r>
    </w:p>
    <w:p w14:paraId="13CCB3AB" w14:textId="77777777" w:rsidR="00DB2B68" w:rsidRDefault="00000000">
      <w:pPr>
        <w:pStyle w:val="pheading"/>
      </w:pPr>
      <w:r>
        <w:t>- Prescriptions complémentaires</w:t>
      </w:r>
    </w:p>
    <w:p w14:paraId="2F156936" w14:textId="77777777" w:rsidR="00DB2B68" w:rsidRDefault="00000000">
      <w:pPr>
        <w:jc w:val="both"/>
      </w:pPr>
      <w:r>
        <w:rPr>
          <w:rStyle w:val="facultChar"/>
        </w:rPr>
        <w:t>Résistance au feu :</w:t>
      </w:r>
      <w:r>
        <w:rPr>
          <w:rStyle w:val="optioncarChar"/>
        </w:rPr>
        <w:t>R30 / R60 / R120 / R240 / ***</w:t>
      </w:r>
      <w:r>
        <w:rPr>
          <w:rStyle w:val="facultChar"/>
        </w:rPr>
        <w:t xml:space="preserve"> suivant la déclaration de performance (DoP) selon la norme produit [NBN EN 13225] et [NBN B 21-604].</w:t>
      </w:r>
    </w:p>
    <w:p w14:paraId="6371F809" w14:textId="77777777" w:rsidR="00DB2B68" w:rsidRDefault="00000000">
      <w:pPr>
        <w:jc w:val="both"/>
      </w:pPr>
      <w:r>
        <w:rPr>
          <w:rStyle w:val="facultChar"/>
        </w:rPr>
        <w:t>Si la résistance au feu n’est pas déclarée sous marquage CE, elle est démontrée par test au feu selon la [NBN EN 13501-2]  ou par calcul selon les Eurocodes conformément à l’[AM 2013-05-17].</w:t>
      </w:r>
    </w:p>
    <w:p w14:paraId="26454CAF" w14:textId="77777777" w:rsidR="00DB2B68" w:rsidRDefault="00000000">
      <w:pPr>
        <w:pStyle w:val="pheading"/>
      </w:pPr>
      <w:r>
        <w:t>EXÉCUTION / MISE EN ŒUVRE</w:t>
      </w:r>
    </w:p>
    <w:p w14:paraId="4B9BA021" w14:textId="77777777" w:rsidR="00DB2B68" w:rsidRDefault="00000000">
      <w:pPr>
        <w:pStyle w:val="pheading"/>
      </w:pPr>
      <w:r>
        <w:t>- Prescriptions générales</w:t>
      </w:r>
    </w:p>
    <w:p w14:paraId="2C5AE190" w14:textId="77777777" w:rsidR="00DB2B68" w:rsidRDefault="00000000">
      <w:r>
        <w:t>L’étude et les plans d’exécution</w:t>
      </w:r>
      <w:r>
        <w:rPr>
          <w:rStyle w:val="optioncarChar"/>
        </w:rPr>
        <w:t xml:space="preserve"> sont / ne sont</w:t>
      </w:r>
      <w:r>
        <w:t xml:space="preserve"> pas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358C2768" w14:textId="77777777" w:rsidR="00DB2B68" w:rsidRDefault="00000000">
      <w:pPr>
        <w:pStyle w:val="pheading"/>
      </w:pPr>
      <w:r>
        <w:t>- Notes d’exécution complémentaires</w:t>
      </w:r>
    </w:p>
    <w:p w14:paraId="5CD08F4E" w14:textId="77777777" w:rsidR="00DB2B68" w:rsidRDefault="00000000">
      <w:pPr>
        <w:jc w:val="both"/>
      </w:pPr>
      <w:r>
        <w:rPr>
          <w:rStyle w:val="facultChar"/>
        </w:rPr>
        <w:t>Ponts thermiques et isolation thermique : des dispositifs adéquats sont utilisés pour éviter tout pont thermique.</w:t>
      </w:r>
    </w:p>
    <w:p w14:paraId="48168AF6" w14:textId="77777777" w:rsidR="00DB2B68" w:rsidRDefault="00000000">
      <w:pPr>
        <w:pStyle w:val="pheading"/>
      </w:pPr>
      <w:r>
        <w:t>DOCUMENTS DE RÉFÉRENCE COMPLÉMENTAIRES</w:t>
      </w:r>
    </w:p>
    <w:p w14:paraId="23DDE13A" w14:textId="77777777" w:rsidR="00DB2B68" w:rsidRDefault="00000000">
      <w:pPr>
        <w:pStyle w:val="pheading"/>
      </w:pPr>
      <w:r>
        <w:t>- Matériau</w:t>
      </w:r>
    </w:p>
    <w:p w14:paraId="12162A17" w14:textId="77777777" w:rsidR="00DB2B68" w:rsidRDefault="00000000">
      <w:r>
        <w:t>[NBN EN 13225, Produits préfabriqués en béton - Éléments de structure linéaires]</w:t>
      </w:r>
    </w:p>
    <w:p w14:paraId="77597AC9" w14:textId="77777777" w:rsidR="00DB2B68" w:rsidRDefault="00000000">
      <w:r>
        <w:t>[NBN B 21-604, Produits préfabriqués en béton - Eléments de structure linéaires - Complément national à la NBN EN 13225:2004]</w:t>
      </w:r>
    </w:p>
    <w:p w14:paraId="3EC86755" w14:textId="77777777" w:rsidR="00DB2B68" w:rsidRDefault="00000000">
      <w:r>
        <w:t>[PTV 21-601, Eléments préfabriqués en béton architectonique.]</w:t>
      </w:r>
    </w:p>
    <w:p w14:paraId="2930FA87"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5707CDEE" w14:textId="77777777" w:rsidR="00DB2B68" w:rsidRDefault="00000000">
      <w:pPr>
        <w:pStyle w:val="pheading"/>
      </w:pPr>
      <w:r>
        <w:t>MESURAGE</w:t>
      </w:r>
    </w:p>
    <w:p w14:paraId="617408D6" w14:textId="77777777" w:rsidR="00DB2B68" w:rsidRDefault="00000000">
      <w:pPr>
        <w:pStyle w:val="pheading"/>
      </w:pPr>
      <w:r>
        <w:t>- unité de mesure:</w:t>
      </w:r>
    </w:p>
    <w:p w14:paraId="3B83F0BB" w14:textId="77777777" w:rsidR="00DB2B68" w:rsidRDefault="00000000">
      <w:r>
        <w:rPr>
          <w:rStyle w:val="optioncarChar"/>
        </w:rPr>
        <w:t>m³</w:t>
      </w:r>
      <w:r>
        <w:t xml:space="preserve"> (par défaut)</w:t>
      </w:r>
      <w:r>
        <w:rPr>
          <w:rStyle w:val="optioncarChar"/>
        </w:rPr>
        <w:t xml:space="preserve"> / pc / m </w:t>
      </w:r>
    </w:p>
    <w:p w14:paraId="4FB6FA7E" w14:textId="77777777" w:rsidR="00DB2B68" w:rsidRDefault="00000000">
      <w:r>
        <w:rPr>
          <w:b/>
          <w:i/>
        </w:rPr>
        <w:t>(Soit par défaut)</w:t>
      </w:r>
    </w:p>
    <w:p w14:paraId="39B49555" w14:textId="77777777" w:rsidR="00DB2B68" w:rsidRDefault="00000000">
      <w:r>
        <w:rPr>
          <w:rStyle w:val="soitChar"/>
        </w:rPr>
        <w:t>1. m³</w:t>
      </w:r>
    </w:p>
    <w:p w14:paraId="5FD1A463" w14:textId="77777777" w:rsidR="00DB2B68" w:rsidRDefault="00000000">
      <w:r>
        <w:rPr>
          <w:b/>
          <w:i/>
        </w:rPr>
        <w:t>(Soit)</w:t>
      </w:r>
    </w:p>
    <w:p w14:paraId="089C40E3" w14:textId="77777777" w:rsidR="00DB2B68" w:rsidRDefault="00000000">
      <w:r>
        <w:rPr>
          <w:rStyle w:val="soitChar"/>
        </w:rPr>
        <w:t>2. pc</w:t>
      </w:r>
    </w:p>
    <w:p w14:paraId="6D71EC8D" w14:textId="77777777" w:rsidR="00DB2B68" w:rsidRDefault="00000000">
      <w:r>
        <w:rPr>
          <w:b/>
          <w:i/>
        </w:rPr>
        <w:t>(Soit)</w:t>
      </w:r>
    </w:p>
    <w:p w14:paraId="468CBDE1" w14:textId="77777777" w:rsidR="00DB2B68" w:rsidRDefault="00000000">
      <w:r>
        <w:rPr>
          <w:rStyle w:val="soitChar"/>
        </w:rPr>
        <w:t>3. m</w:t>
      </w:r>
    </w:p>
    <w:p w14:paraId="205D46DE" w14:textId="77777777" w:rsidR="00DB2B68" w:rsidRDefault="00000000">
      <w:pPr>
        <w:pStyle w:val="pheading"/>
      </w:pPr>
      <w:r>
        <w:t>- code de mesurage:</w:t>
      </w:r>
    </w:p>
    <w:p w14:paraId="35747C3B" w14:textId="77777777" w:rsidR="00DB2B68" w:rsidRDefault="00000000">
      <w:pPr>
        <w:jc w:val="both"/>
      </w:pPr>
      <w:r>
        <w:rPr>
          <w:rStyle w:val="optioncarChar"/>
        </w:rPr>
        <w:t>volume net</w:t>
      </w:r>
      <w:r>
        <w:t xml:space="preserve"> (par défaut)</w:t>
      </w:r>
      <w:r>
        <w:rPr>
          <w:rStyle w:val="optioncarChar"/>
        </w:rPr>
        <w:t xml:space="preserve"> / quantité nette / longueur nette </w:t>
      </w:r>
    </w:p>
    <w:p w14:paraId="50CEA525" w14:textId="77777777" w:rsidR="00DB2B68" w:rsidRDefault="00000000">
      <w:pPr>
        <w:jc w:val="both"/>
      </w:pPr>
      <w:r>
        <w:rPr>
          <w:b/>
          <w:i/>
        </w:rPr>
        <w:t>(Soit par défaut)</w:t>
      </w:r>
    </w:p>
    <w:p w14:paraId="22A261BF" w14:textId="77777777" w:rsidR="00DB2B68" w:rsidRDefault="00000000">
      <w:pPr>
        <w:jc w:val="both"/>
      </w:pPr>
      <w:r>
        <w:rPr>
          <w:rStyle w:val="soitChar"/>
        </w:rPr>
        <w:lastRenderedPageBreak/>
        <w:t>1. V</w:t>
      </w:r>
      <w:r>
        <w:rPr>
          <w:rStyle w:val="soitChar"/>
          <w:u w:val="single"/>
        </w:rPr>
        <w:t>olume net</w:t>
      </w:r>
      <w:r>
        <w:rPr>
          <w:rStyle w:val="soitChar"/>
        </w:rPr>
        <w:t xml:space="preserve"> (selon la [NBN B 06-001]) mesuré entre la dalle de sol et les poutres (selon les dimensions nominales indiquées sur les plans).</w:t>
      </w:r>
    </w:p>
    <w:p w14:paraId="4A8CA60A" w14:textId="77777777" w:rsidR="00DB2B68" w:rsidRDefault="00000000">
      <w:r>
        <w:rPr>
          <w:color w:val="33CCCC"/>
        </w:rPr>
        <w:t>Les éléments en béton non rectangulaires sont calculés en multipliant la longueur par la surface de la section.</w:t>
      </w:r>
      <w:r>
        <w:br/>
      </w:r>
      <w:r>
        <w:rPr>
          <w:color w:val="33CCCC"/>
        </w:rPr>
        <w:t>Le contenu des volumes résiduels au droit des angles, rencontres et terminaisons est négligé.</w:t>
      </w:r>
      <w:r>
        <w:br/>
      </w:r>
      <w:r>
        <w:rPr>
          <w:rStyle w:val="soitChar"/>
        </w:rPr>
        <w:t>Aucune déduction n'est faite pour:</w:t>
      </w:r>
    </w:p>
    <w:p w14:paraId="10CABCAE" w14:textId="77777777" w:rsidR="00DB2B68" w:rsidRDefault="00000000">
      <w:pPr>
        <w:pStyle w:val="Author-eListParagraph"/>
        <w:numPr>
          <w:ilvl w:val="0"/>
          <w:numId w:val="409"/>
        </w:numPr>
      </w:pPr>
      <w:r>
        <w:rPr>
          <w:rStyle w:val="soitChar"/>
        </w:rPr>
        <w:t xml:space="preserve">le volume des armatures, </w:t>
      </w:r>
    </w:p>
    <w:p w14:paraId="4CB51A07" w14:textId="77777777" w:rsidR="00DB2B68" w:rsidRDefault="00000000">
      <w:pPr>
        <w:pStyle w:val="Author-eListParagraph"/>
        <w:numPr>
          <w:ilvl w:val="0"/>
          <w:numId w:val="409"/>
        </w:numPr>
      </w:pPr>
      <w:r>
        <w:rPr>
          <w:rStyle w:val="soitChar"/>
        </w:rPr>
        <w:t>les blocs et écarteurs, les fourreaux pour les armatures de précontrainte ;</w:t>
      </w:r>
    </w:p>
    <w:p w14:paraId="5AB46EEF" w14:textId="77777777" w:rsidR="00DB2B68" w:rsidRDefault="00000000">
      <w:pPr>
        <w:pStyle w:val="Author-eListParagraph"/>
        <w:numPr>
          <w:ilvl w:val="0"/>
          <w:numId w:val="409"/>
        </w:numPr>
      </w:pPr>
      <w:r>
        <w:rPr>
          <w:rStyle w:val="soitChar"/>
        </w:rPr>
        <w:t>les pénétrations pour les pattes d’ancrage, les creux, les conduites noyées et les réservations dont le volume est inférieur à 0,05 m3.</w:t>
      </w:r>
    </w:p>
    <w:p w14:paraId="5710B258" w14:textId="77777777" w:rsidR="00DB2B68" w:rsidRDefault="00000000">
      <w:pPr>
        <w:pStyle w:val="Author-eListParagraph"/>
        <w:numPr>
          <w:ilvl w:val="0"/>
          <w:numId w:val="409"/>
        </w:numPr>
      </w:pPr>
      <w:r>
        <w:rPr>
          <w:rStyle w:val="soitChar"/>
        </w:rPr>
        <w:t>les chanfreins et tous les profils dont la section a une superficie inférieure à 20 cm2.</w:t>
      </w:r>
    </w:p>
    <w:p w14:paraId="3696CCE9" w14:textId="77777777" w:rsidR="00DB2B68" w:rsidRDefault="00000000">
      <w:pPr>
        <w:pStyle w:val="Author-eListParagraph"/>
        <w:numPr>
          <w:ilvl w:val="0"/>
          <w:numId w:val="409"/>
        </w:numPr>
      </w:pPr>
      <w:r>
        <w:rPr>
          <w:rStyle w:val="soitChar"/>
        </w:rPr>
        <w:t>les rainures, encoches et languettes. </w:t>
      </w:r>
    </w:p>
    <w:p w14:paraId="523FD28C" w14:textId="77777777" w:rsidR="00DB2B68" w:rsidRDefault="00000000">
      <w:pPr>
        <w:jc w:val="both"/>
      </w:pPr>
      <w:r>
        <w:rPr>
          <w:b/>
          <w:i/>
        </w:rPr>
        <w:t>(Soit)</w:t>
      </w:r>
    </w:p>
    <w:p w14:paraId="757D1EC5" w14:textId="77777777" w:rsidR="00DB2B68" w:rsidRDefault="00000000">
      <w:pPr>
        <w:jc w:val="both"/>
      </w:pPr>
      <w:r>
        <w:rPr>
          <w:rStyle w:val="soitChar"/>
        </w:rPr>
        <w:t>2. </w:t>
      </w:r>
      <w:r>
        <w:rPr>
          <w:rStyle w:val="soitChar"/>
          <w:u w:val="single"/>
        </w:rPr>
        <w:t>Quantité nette</w:t>
      </w:r>
      <w:r>
        <w:rPr>
          <w:rStyle w:val="soitChar"/>
        </w:rPr>
        <w:t>: mesurage à la pièce</w:t>
      </w:r>
    </w:p>
    <w:p w14:paraId="5C126A92" w14:textId="77777777" w:rsidR="00DB2B68" w:rsidRDefault="00000000">
      <w:pPr>
        <w:jc w:val="both"/>
      </w:pPr>
      <w:r>
        <w:rPr>
          <w:b/>
          <w:i/>
        </w:rPr>
        <w:t>(Soit)</w:t>
      </w:r>
    </w:p>
    <w:p w14:paraId="498F3862" w14:textId="77777777" w:rsidR="00DB2B68" w:rsidRDefault="00000000">
      <w:pPr>
        <w:jc w:val="both"/>
      </w:pPr>
      <w:r>
        <w:rPr>
          <w:rStyle w:val="soitChar"/>
        </w:rPr>
        <w:t>3. </w:t>
      </w:r>
      <w:r>
        <w:rPr>
          <w:rStyle w:val="soitChar"/>
          <w:u w:val="single"/>
        </w:rPr>
        <w:t xml:space="preserve"> Longueur nette</w:t>
      </w:r>
      <w:r>
        <w:rPr>
          <w:rStyle w:val="soitChar"/>
        </w:rPr>
        <w:t xml:space="preserve"> mesurée entre la dalle de sol et les poutres (selon les dimensions nominales indiquées sur les plans)</w:t>
      </w:r>
    </w:p>
    <w:p w14:paraId="1672DD2C" w14:textId="77777777" w:rsidR="00DB2B68" w:rsidRDefault="00000000">
      <w:pPr>
        <w:pStyle w:val="pheading"/>
      </w:pPr>
      <w:r>
        <w:t>- nature du marché:</w:t>
      </w:r>
    </w:p>
    <w:p w14:paraId="4F9BA518" w14:textId="77777777" w:rsidR="00DB2B68" w:rsidRDefault="00000000">
      <w:r>
        <w:rPr>
          <w:rStyle w:val="optioncarChar"/>
        </w:rPr>
        <w:t>QF</w:t>
      </w:r>
      <w:r>
        <w:t xml:space="preserve"> (par défaut) </w:t>
      </w:r>
      <w:r>
        <w:rPr>
          <w:rStyle w:val="optioncarChar"/>
        </w:rPr>
        <w:t>/ QP</w:t>
      </w:r>
    </w:p>
    <w:p w14:paraId="211967D5" w14:textId="77777777" w:rsidR="00DB2B68" w:rsidRDefault="00000000">
      <w:r>
        <w:rPr>
          <w:b/>
          <w:i/>
        </w:rPr>
        <w:t>(Soit par défaut)</w:t>
      </w:r>
    </w:p>
    <w:p w14:paraId="66B10F3F" w14:textId="77777777" w:rsidR="00DB2B68" w:rsidRDefault="00000000">
      <w:r>
        <w:rPr>
          <w:rStyle w:val="soitChar"/>
        </w:rPr>
        <w:t>1. 2. 3. QF</w:t>
      </w:r>
    </w:p>
    <w:p w14:paraId="31A2DEEC" w14:textId="77777777" w:rsidR="00DB2B68" w:rsidRDefault="00000000">
      <w:r>
        <w:rPr>
          <w:b/>
          <w:i/>
        </w:rPr>
        <w:t>(Soit)</w:t>
      </w:r>
    </w:p>
    <w:p w14:paraId="504EC0F3" w14:textId="77777777" w:rsidR="00DB2B68" w:rsidRDefault="00000000">
      <w:r>
        <w:rPr>
          <w:rStyle w:val="soitChar"/>
        </w:rPr>
        <w:t>1. 2. 3.  QP</w:t>
      </w:r>
    </w:p>
    <w:p w14:paraId="784D1379" w14:textId="77777777" w:rsidR="00DB2B68" w:rsidRDefault="00000000">
      <w:pPr>
        <w:pStyle w:val="Author-eSectionHeading5Numberless"/>
      </w:pPr>
      <w:bookmarkStart w:id="705" w:name="_Toc220495769"/>
      <w:r>
        <w:t>22.14.5 Colonnes mixtes acier-béton CCTB 01.11</w:t>
      </w:r>
      <w:bookmarkEnd w:id="705"/>
    </w:p>
    <w:p w14:paraId="3FF10A0F" w14:textId="77777777" w:rsidR="00DB2B68" w:rsidRDefault="00000000">
      <w:pPr>
        <w:pStyle w:val="pheading"/>
      </w:pPr>
      <w:r>
        <w:t>DESCRIPTION</w:t>
      </w:r>
    </w:p>
    <w:p w14:paraId="1D1BBA18" w14:textId="77777777" w:rsidR="00DB2B68" w:rsidRDefault="00000000">
      <w:pPr>
        <w:pStyle w:val="pheading"/>
      </w:pPr>
      <w:r>
        <w:t>- Définition / Comprend</w:t>
      </w:r>
    </w:p>
    <w:p w14:paraId="4BBED9A0" w14:textId="77777777" w:rsidR="00DB2B68" w:rsidRDefault="00000000">
      <w:pPr>
        <w:jc w:val="both"/>
      </w:pPr>
      <w:r>
        <w:t>Il s’agit de la fourniture et de la pose de colonnes mixtes où  la section en acier est enrobée de béton et présente une connexion entre le béton et les éléments en acier.</w:t>
      </w:r>
    </w:p>
    <w:p w14:paraId="73AF9DB9" w14:textId="77777777" w:rsidR="00DB2B68" w:rsidRDefault="00000000">
      <w:pPr>
        <w:pStyle w:val="pheading"/>
      </w:pPr>
      <w:r>
        <w:t>MATÉRIAUX</w:t>
      </w:r>
    </w:p>
    <w:p w14:paraId="3342B0CD" w14:textId="77777777" w:rsidR="00DB2B68" w:rsidRDefault="00000000">
      <w:pPr>
        <w:jc w:val="both"/>
      </w:pPr>
      <w:r>
        <w:rPr>
          <w:u w:val="single"/>
        </w:rPr>
        <w:t>Profilés en acier</w:t>
      </w:r>
    </w:p>
    <w:p w14:paraId="20858636" w14:textId="77777777" w:rsidR="00DB2B68" w:rsidRDefault="00000000">
      <w:pPr>
        <w:jc w:val="both"/>
      </w:pPr>
      <w:r>
        <w:t>Les profilés en acier sont constitués de :</w:t>
      </w:r>
    </w:p>
    <w:p w14:paraId="3D7A8203" w14:textId="77777777" w:rsidR="00DB2B68" w:rsidRDefault="00000000">
      <w:pPr>
        <w:pStyle w:val="Author-eListParagraph"/>
        <w:numPr>
          <w:ilvl w:val="0"/>
          <w:numId w:val="410"/>
        </w:numPr>
      </w:pPr>
      <w:r>
        <w:t xml:space="preserve">section en I ou H laminée à chaud conforme aux prescriptions du </w:t>
      </w:r>
      <w:hyperlink w:anchor="495" w:history="1">
        <w:r>
          <w:rPr>
            <w:color w:val="0000EE"/>
          </w:rPr>
          <w:t>23.14.1a Colonnes en profilés en acier laminés à chaud</w:t>
        </w:r>
      </w:hyperlink>
      <w:r>
        <w:t> ;</w:t>
      </w:r>
    </w:p>
    <w:p w14:paraId="1FDA7001" w14:textId="77777777" w:rsidR="00DB2B68" w:rsidRDefault="00000000">
      <w:pPr>
        <w:pStyle w:val="Author-eListParagraph"/>
        <w:numPr>
          <w:ilvl w:val="0"/>
          <w:numId w:val="410"/>
        </w:numPr>
      </w:pPr>
      <w:r>
        <w:t xml:space="preserve">section en I reconstitué par soudage conforme aux prescriptions du </w:t>
      </w:r>
      <w:hyperlink w:anchor="496" w:history="1">
        <w:r>
          <w:rPr>
            <w:color w:val="0000EE"/>
          </w:rPr>
          <w:t>23.14.1b Colonnes reconstituées en profilés d'acier</w:t>
        </w:r>
      </w:hyperlink>
      <w:r>
        <w:t>.</w:t>
      </w:r>
    </w:p>
    <w:p w14:paraId="1A0791B6" w14:textId="77777777" w:rsidR="00DB2B68" w:rsidRDefault="00000000">
      <w:pPr>
        <w:jc w:val="both"/>
      </w:pPr>
      <w:r>
        <w:rPr>
          <w:u w:val="single"/>
        </w:rPr>
        <w:t>Béton de remplissage et armatures</w:t>
      </w:r>
    </w:p>
    <w:p w14:paraId="2F6DA133" w14:textId="77777777" w:rsidR="00DB2B68" w:rsidRDefault="00000000">
      <w:pPr>
        <w:pStyle w:val="Author-eListParagraph"/>
        <w:numPr>
          <w:ilvl w:val="0"/>
          <w:numId w:val="411"/>
        </w:numPr>
        <w:jc w:val="both"/>
      </w:pPr>
      <w:r>
        <w:t xml:space="preserve">Le béton est conforme aux prescriptions du </w:t>
      </w:r>
      <w:hyperlink w:anchor="87" w:history="1">
        <w:r>
          <w:rPr>
            <w:color w:val="0000EE"/>
          </w:rPr>
          <w:t>22 Superstructures en béton</w:t>
        </w:r>
      </w:hyperlink>
      <w:r>
        <w:t xml:space="preserve"> et du </w:t>
      </w:r>
      <w:hyperlink w:anchor="497" w:history="1">
        <w:r>
          <w:rPr>
            <w:color w:val="0000EE"/>
          </w:rPr>
          <w:t>22.14 Colonnes en béton</w:t>
        </w:r>
      </w:hyperlink>
      <w:r>
        <w:t>.</w:t>
      </w:r>
    </w:p>
    <w:p w14:paraId="1BCDF034" w14:textId="77777777" w:rsidR="00DB2B68" w:rsidRDefault="00000000">
      <w:pPr>
        <w:pStyle w:val="Author-eListParagraph"/>
        <w:numPr>
          <w:ilvl w:val="0"/>
          <w:numId w:val="411"/>
        </w:numPr>
        <w:jc w:val="both"/>
      </w:pPr>
      <w:r>
        <w:t xml:space="preserve">Les treillis et barres d’armatures en acier sont conformes aux prescriptions du </w:t>
      </w:r>
      <w:hyperlink w:anchor="232" w:history="1">
        <w:r>
          <w:rPr>
            <w:color w:val="0000EE"/>
          </w:rPr>
          <w:t>22.51 Armatures pour béton</w:t>
        </w:r>
      </w:hyperlink>
      <w:r>
        <w:t>.</w:t>
      </w:r>
    </w:p>
    <w:p w14:paraId="4684CA17" w14:textId="77777777" w:rsidR="00DB2B68" w:rsidRDefault="00000000">
      <w:pPr>
        <w:pStyle w:val="pheading"/>
      </w:pPr>
      <w:r>
        <w:t>EXÉCUTION / MISE EN ŒUVRE</w:t>
      </w:r>
    </w:p>
    <w:p w14:paraId="6F49ADF8" w14:textId="77777777" w:rsidR="00DB2B68" w:rsidRDefault="00000000">
      <w:pPr>
        <w:jc w:val="both"/>
      </w:pPr>
      <w:r>
        <w:t>Le dimensionnement et la mise en œuvre des éléments sont conformes à la [NBN EN 1994-1-1] et déterminés d’après l’étude de stabilité.</w:t>
      </w:r>
    </w:p>
    <w:p w14:paraId="78A3E639" w14:textId="77777777" w:rsidR="00DB2B68" w:rsidRDefault="00000000">
      <w:pPr>
        <w:pStyle w:val="pheading"/>
      </w:pPr>
      <w:r>
        <w:lastRenderedPageBreak/>
        <w:t>DOCUMENTS DE RÉFÉRENCE</w:t>
      </w:r>
    </w:p>
    <w:p w14:paraId="42C3FE89" w14:textId="77777777" w:rsidR="00DB2B68" w:rsidRDefault="00000000">
      <w:pPr>
        <w:pStyle w:val="pheading"/>
      </w:pPr>
      <w:r>
        <w:t>- Matériau</w:t>
      </w:r>
    </w:p>
    <w:p w14:paraId="7408A1E9" w14:textId="77777777" w:rsidR="00DB2B68" w:rsidRDefault="00000000">
      <w:r>
        <w:rPr>
          <w:u w:val="single"/>
        </w:rPr>
        <w:t>Profilés en acier</w:t>
      </w:r>
    </w:p>
    <w:p w14:paraId="0A38672D" w14:textId="77777777" w:rsidR="00DB2B68" w:rsidRDefault="00000000">
      <w:pPr>
        <w:jc w:val="both"/>
      </w:pPr>
      <w:r>
        <w:t>[NBN EN 10365, Profilés en U en aciers laminés à chaud, poutrelles I et H - Dimensions et masses]</w:t>
      </w:r>
    </w:p>
    <w:p w14:paraId="30DAE2D2" w14:textId="77777777" w:rsidR="00DB2B68" w:rsidRDefault="00000000">
      <w:pPr>
        <w:jc w:val="both"/>
      </w:pPr>
      <w:r>
        <w:t>[NBN EN 10025 série, Produits laminés à chaud en aciers de construction]</w:t>
      </w:r>
    </w:p>
    <w:p w14:paraId="583C51FA" w14:textId="77777777" w:rsidR="00DB2B68" w:rsidRDefault="00000000">
      <w:pPr>
        <w:jc w:val="both"/>
      </w:pPr>
      <w:r>
        <w:t>[NBN EN 1090-1+A1, Exécution des structures en acier et des structures en aluminium - Partie 1: Exigences pour l'évaluation de la conformité des éléments structuraux]</w:t>
      </w:r>
    </w:p>
    <w:p w14:paraId="1D21CCCC" w14:textId="77777777" w:rsidR="00DB2B68" w:rsidRDefault="00000000">
      <w:r>
        <w:rPr>
          <w:u w:val="single"/>
        </w:rPr>
        <w:t>Béton de remplissage et armatures</w:t>
      </w:r>
    </w:p>
    <w:p w14:paraId="34BA73F2" w14:textId="77777777" w:rsidR="00DB2B68" w:rsidRDefault="00000000">
      <w:r>
        <w:t>[NBN EN 1992-1-1, Eurocode 2: Calcul des structures en béton - Partie 1-1: Règles générales et règles pour les bâtiments (+AC:2010)]</w:t>
      </w:r>
    </w:p>
    <w:p w14:paraId="6FFEC97A" w14:textId="77777777" w:rsidR="00DB2B68" w:rsidRDefault="00000000">
      <w:pPr>
        <w:pStyle w:val="pheading"/>
      </w:pPr>
      <w:r>
        <w:t>- Exécution</w:t>
      </w:r>
    </w:p>
    <w:p w14:paraId="1C8440DD" w14:textId="77777777" w:rsidR="00DB2B68" w:rsidRDefault="00000000">
      <w:r>
        <w:t>[NBN EN 1994-1-1, Eurocode 4: Calcul des structures mixtes acier-béton - Partie 1-1: Règles générales et règles pour les bâtiments (+ AC:2009)] </w:t>
      </w:r>
    </w:p>
    <w:p w14:paraId="18B9155C" w14:textId="77777777" w:rsidR="00DB2B68" w:rsidRDefault="00000000">
      <w:pPr>
        <w:pStyle w:val="Author-eSectionHeading6Numberless"/>
      </w:pPr>
      <w:bookmarkStart w:id="706" w:name="_Toc220495770"/>
      <w:r>
        <w:t>22.14.5a Colonnes mixtes acier-béton coulées en place CCTB 01.13</w:t>
      </w:r>
      <w:bookmarkEnd w:id="706"/>
    </w:p>
    <w:p w14:paraId="0F75314F" w14:textId="77777777" w:rsidR="00DB2B68" w:rsidRDefault="00000000">
      <w:pPr>
        <w:pStyle w:val="pheading"/>
      </w:pPr>
      <w:r>
        <w:t>DESCRIPTION</w:t>
      </w:r>
    </w:p>
    <w:p w14:paraId="1DF150BC" w14:textId="77777777" w:rsidR="00DB2B68" w:rsidRDefault="00000000">
      <w:pPr>
        <w:pStyle w:val="pheading"/>
      </w:pPr>
      <w:r>
        <w:t>- Définition / Comprend</w:t>
      </w:r>
    </w:p>
    <w:p w14:paraId="4DB2F624" w14:textId="77777777" w:rsidR="00DB2B68" w:rsidRDefault="00000000">
      <w:pPr>
        <w:jc w:val="both"/>
      </w:pPr>
      <w:r>
        <w:t>Il s'agit de colonnes composites comprenant un profilé d’acier et un enrobage en béton dont les phases de ferraillage et de bétonnage sont réalisées sur chantier.</w:t>
      </w:r>
    </w:p>
    <w:p w14:paraId="6599A59B" w14:textId="77777777" w:rsidR="00DB2B68" w:rsidRDefault="00000000">
      <w:pPr>
        <w:pStyle w:val="pheading"/>
      </w:pPr>
      <w:r>
        <w:t>MATÉRIAUX</w:t>
      </w:r>
    </w:p>
    <w:p w14:paraId="5273260A" w14:textId="77777777" w:rsidR="00DB2B68" w:rsidRDefault="00000000">
      <w:pPr>
        <w:pStyle w:val="pheading"/>
      </w:pPr>
      <w:r>
        <w:t>- Caractéristiques générales</w:t>
      </w:r>
    </w:p>
    <w:p w14:paraId="26873BB4" w14:textId="77777777" w:rsidR="00DB2B68" w:rsidRDefault="00000000">
      <w:pPr>
        <w:jc w:val="both"/>
      </w:pPr>
      <w:r>
        <w:rPr>
          <w:b/>
        </w:rPr>
        <w:t>Profilés en acier</w:t>
      </w:r>
    </w:p>
    <w:p w14:paraId="2D0A3BB6" w14:textId="77777777" w:rsidR="00DB2B68" w:rsidRDefault="00000000">
      <w:pPr>
        <w:pStyle w:val="Author-eListParagraph"/>
        <w:numPr>
          <w:ilvl w:val="0"/>
          <w:numId w:val="412"/>
        </w:numPr>
      </w:pPr>
      <w:r>
        <w:t xml:space="preserve">Types de profilés : </w:t>
      </w:r>
      <w:r>
        <w:rPr>
          <w:rStyle w:val="optioncarChar"/>
        </w:rPr>
        <w:t xml:space="preserve">suivant les prescriptions de l’étude de stabilité </w:t>
      </w:r>
      <w:r>
        <w:t xml:space="preserve">(par défaut) </w:t>
      </w:r>
      <w:r>
        <w:rPr>
          <w:rStyle w:val="optioncarChar"/>
        </w:rPr>
        <w:t>/ ***</w:t>
      </w:r>
    </w:p>
    <w:p w14:paraId="7CA18E5A" w14:textId="77777777" w:rsidR="00DB2B68" w:rsidRDefault="00000000">
      <w:pPr>
        <w:pStyle w:val="Author-eListParagraph"/>
        <w:numPr>
          <w:ilvl w:val="0"/>
          <w:numId w:val="412"/>
        </w:numPr>
      </w:pPr>
      <w:r>
        <w:t xml:space="preserve">Nuance d'acier : </w:t>
      </w:r>
      <w:r>
        <w:rPr>
          <w:rStyle w:val="optioncarChar"/>
        </w:rPr>
        <w:t>suivant les prescriptions de l’étude de stabilité</w:t>
      </w:r>
      <w:r>
        <w:t xml:space="preserve"> (par défaut)</w:t>
      </w:r>
      <w:r>
        <w:rPr>
          <w:rStyle w:val="optioncarChar"/>
        </w:rPr>
        <w:t xml:space="preserve"> / S235 / S275 / S355 / S420 / S460 / ***</w:t>
      </w:r>
      <w:r>
        <w:t>.</w:t>
      </w:r>
    </w:p>
    <w:p w14:paraId="5CDF1FB5" w14:textId="77777777" w:rsidR="00DB2B68" w:rsidRDefault="00000000">
      <w:pPr>
        <w:pStyle w:val="Author-eListParagraph"/>
        <w:numPr>
          <w:ilvl w:val="0"/>
          <w:numId w:val="412"/>
        </w:numPr>
      </w:pPr>
      <w:r>
        <w:t xml:space="preserve">Qualité d’acier [NBN EN 10025 série] : </w:t>
      </w:r>
      <w:r>
        <w:rPr>
          <w:rStyle w:val="optioncarChar"/>
        </w:rPr>
        <w:t xml:space="preserve">suivant les prescriptions de l’étude de stabilité </w:t>
      </w:r>
      <w:r>
        <w:t>(par défaut)</w:t>
      </w:r>
      <w:r>
        <w:rPr>
          <w:rStyle w:val="optioncarChar"/>
        </w:rPr>
        <w:t xml:space="preserve"> / JR / J0 / J2 / K2 / N / NL / M / ML / W / P / Q / QL / QL1 / ***</w:t>
      </w:r>
      <w:r>
        <w:t>.</w:t>
      </w:r>
    </w:p>
    <w:p w14:paraId="76D05D42" w14:textId="77777777" w:rsidR="00DB2B68" w:rsidRDefault="00000000">
      <w:pPr>
        <w:jc w:val="both"/>
      </w:pPr>
      <w:r>
        <w:rPr>
          <w:b/>
        </w:rPr>
        <w:t>Béton de remplissage et armatures</w:t>
      </w:r>
    </w:p>
    <w:p w14:paraId="3296AC81" w14:textId="77777777" w:rsidR="00DB2B68" w:rsidRDefault="00000000">
      <w:pPr>
        <w:jc w:val="both"/>
      </w:pPr>
      <w:r>
        <w:rPr>
          <w:u w:val="single"/>
        </w:rPr>
        <w:t>Béton :</w:t>
      </w:r>
    </w:p>
    <w:p w14:paraId="5964B0B2" w14:textId="77777777" w:rsidR="00DB2B68" w:rsidRDefault="00000000">
      <w:pPr>
        <w:pStyle w:val="Author-eListParagraph"/>
        <w:numPr>
          <w:ilvl w:val="0"/>
          <w:numId w:val="413"/>
        </w:numPr>
      </w:pPr>
      <w:r>
        <w:t xml:space="preserve">Qualité du béton selon la [NBN EN 206:2013+A2] et la [NBN B 15-001] : (voir également </w:t>
      </w:r>
      <w:hyperlink w:anchor="87" w:history="1">
        <w:r>
          <w:rPr>
            <w:color w:val="0000EE"/>
          </w:rPr>
          <w:t>22 Superstructures en béton</w:t>
        </w:r>
      </w:hyperlink>
      <w:r>
        <w:t>).</w:t>
      </w:r>
    </w:p>
    <w:p w14:paraId="06DB82B8" w14:textId="77777777" w:rsidR="00DB2B68" w:rsidRDefault="00000000">
      <w:pPr>
        <w:pStyle w:val="Author-eListParagraph"/>
        <w:numPr>
          <w:ilvl w:val="0"/>
          <w:numId w:val="413"/>
        </w:numPr>
      </w:pPr>
      <w:r>
        <w:t xml:space="preserve">Classe de résistance : </w:t>
      </w:r>
      <w:r>
        <w:rPr>
          <w:rStyle w:val="optioncarChar"/>
        </w:rPr>
        <w:t xml:space="preserve">suivant les prescriptions de l’étude de stabilité </w:t>
      </w:r>
      <w:r>
        <w:t xml:space="preserve">(par défaut) </w:t>
      </w:r>
      <w:r>
        <w:rPr>
          <w:rStyle w:val="optioncarChar"/>
        </w:rPr>
        <w:t>/ C25/30 / C30/37 / C35/45 / C45/55 / C50/60 / C55/67 / C60/75 / C70/85 / C80/95 / C90/105 / ***</w:t>
      </w:r>
    </w:p>
    <w:p w14:paraId="2E328F75" w14:textId="77777777" w:rsidR="00DB2B68" w:rsidRDefault="00000000">
      <w:pPr>
        <w:pStyle w:val="Author-eListParagraph"/>
        <w:numPr>
          <w:ilvl w:val="0"/>
          <w:numId w:val="413"/>
        </w:numPr>
      </w:pPr>
      <w:r>
        <w:t xml:space="preserve">Classe d’environnement : </w:t>
      </w:r>
      <w:r>
        <w:rPr>
          <w:rStyle w:val="optioncarChar"/>
        </w:rPr>
        <w:t xml:space="preserve">suivant les prescriptions de l’étude de stabilité </w:t>
      </w:r>
      <w:r>
        <w:t xml:space="preserve">(par défaut) </w:t>
      </w:r>
      <w:r>
        <w:rPr>
          <w:rStyle w:val="optioncarChar"/>
        </w:rPr>
        <w:t>/ E0 / EI / EE1 / EE2 / EE3 / EE4 / ES1 / ES2 / ES3 / ES4 / EA1+*** / EA2+***/ EA3+*** / ***</w:t>
      </w:r>
    </w:p>
    <w:p w14:paraId="64B64156" w14:textId="77777777" w:rsidR="00DB2B68" w:rsidRDefault="00000000">
      <w:pPr>
        <w:pStyle w:val="Author-eListParagraph"/>
        <w:numPr>
          <w:ilvl w:val="0"/>
          <w:numId w:val="413"/>
        </w:numPr>
      </w:pPr>
      <w:r>
        <w:t xml:space="preserve">Classe de consistance : </w:t>
      </w:r>
      <w:r>
        <w:rPr>
          <w:rStyle w:val="optioncarChar"/>
        </w:rPr>
        <w:t xml:space="preserve">suivant les prescriptions de l’étude de stabilité </w:t>
      </w:r>
      <w:r>
        <w:t>(par défaut)</w:t>
      </w:r>
      <w:r>
        <w:rPr>
          <w:rStyle w:val="optioncarChar"/>
        </w:rPr>
        <w:t xml:space="preserve"> / S3 / S4 / S5 / F3 / F4 / F5 / F6 / ***</w:t>
      </w:r>
    </w:p>
    <w:p w14:paraId="3EF5652C" w14:textId="77777777" w:rsidR="00DB2B68" w:rsidRDefault="00000000">
      <w:pPr>
        <w:pStyle w:val="Author-eListParagraph"/>
        <w:numPr>
          <w:ilvl w:val="0"/>
          <w:numId w:val="413"/>
        </w:numPr>
      </w:pPr>
      <w:r>
        <w:t xml:space="preserve">Granulométrie maximale : </w:t>
      </w:r>
      <w:r>
        <w:rPr>
          <w:rStyle w:val="optioncarChar"/>
        </w:rPr>
        <w:t>suivant les prescriptions de l’étude de stabilité</w:t>
      </w:r>
      <w:r>
        <w:t xml:space="preserve"> (par défaut) </w:t>
      </w:r>
      <w:r>
        <w:rPr>
          <w:rStyle w:val="optioncarChar"/>
        </w:rPr>
        <w:t>/ 6 / 8 / 10 / 11 / 12 / 14 / 16 / 20 / 22 / 32 / ***</w:t>
      </w:r>
      <w:r>
        <w:t xml:space="preserve"> mm</w:t>
      </w:r>
    </w:p>
    <w:p w14:paraId="67371629" w14:textId="77777777" w:rsidR="00DB2B68" w:rsidRDefault="00000000">
      <w:pPr>
        <w:jc w:val="both"/>
      </w:pPr>
      <w:r>
        <w:rPr>
          <w:u w:val="single"/>
        </w:rPr>
        <w:t>Armature :</w:t>
      </w:r>
    </w:p>
    <w:p w14:paraId="475A002E" w14:textId="77777777" w:rsidR="00DB2B68" w:rsidRDefault="00000000">
      <w:pPr>
        <w:pStyle w:val="Author-eListParagraph"/>
        <w:numPr>
          <w:ilvl w:val="0"/>
          <w:numId w:val="414"/>
        </w:numPr>
      </w:pPr>
      <w:r>
        <w:t xml:space="preserve">Barres d’acier pour les armatures principales : </w:t>
      </w:r>
      <w:r>
        <w:rPr>
          <w:rStyle w:val="optioncarChar"/>
        </w:rPr>
        <w:t xml:space="preserve">acier BE 500 S </w:t>
      </w:r>
      <w:r>
        <w:t>(par défaut)</w:t>
      </w:r>
      <w:r>
        <w:rPr>
          <w:rStyle w:val="optioncarChar"/>
        </w:rPr>
        <w:t xml:space="preserve"> / ***</w:t>
      </w:r>
      <w:r>
        <w:t xml:space="preserve"> selon [NBN A 24-302] + [PTV 302] .</w:t>
      </w:r>
    </w:p>
    <w:p w14:paraId="62C5C405" w14:textId="77777777" w:rsidR="00DB2B68" w:rsidRDefault="00000000">
      <w:pPr>
        <w:pStyle w:val="Author-eListParagraph"/>
        <w:numPr>
          <w:ilvl w:val="0"/>
          <w:numId w:val="414"/>
        </w:numPr>
      </w:pPr>
      <w:r>
        <w:t xml:space="preserve">Acier pour les étriers : </w:t>
      </w:r>
      <w:r>
        <w:rPr>
          <w:rStyle w:val="optioncarChar"/>
        </w:rPr>
        <w:t>DE 500 BS</w:t>
      </w:r>
      <w:r>
        <w:t xml:space="preserve"> (par défaut) </w:t>
      </w:r>
      <w:r>
        <w:rPr>
          <w:rStyle w:val="optioncarChar"/>
        </w:rPr>
        <w:t>/ BE 500 S</w:t>
      </w:r>
    </w:p>
    <w:p w14:paraId="57FDCF74" w14:textId="77777777" w:rsidR="00DB2B68" w:rsidRDefault="00000000">
      <w:pPr>
        <w:jc w:val="both"/>
      </w:pPr>
      <w:r>
        <w:rPr>
          <w:u w:val="single"/>
        </w:rPr>
        <w:t>Connexion :</w:t>
      </w:r>
    </w:p>
    <w:p w14:paraId="3F0C749A" w14:textId="77777777" w:rsidR="00DB2B68" w:rsidRDefault="00DB2B68">
      <w:pPr>
        <w:jc w:val="both"/>
      </w:pPr>
    </w:p>
    <w:p w14:paraId="5BE1FB28" w14:textId="77777777" w:rsidR="00DB2B68" w:rsidRDefault="00000000">
      <w:pPr>
        <w:pStyle w:val="Author-eListParagraph"/>
        <w:numPr>
          <w:ilvl w:val="0"/>
          <w:numId w:val="415"/>
        </w:numPr>
        <w:jc w:val="both"/>
      </w:pPr>
      <w:r>
        <w:lastRenderedPageBreak/>
        <w:t xml:space="preserve">La connexion entre le profilé et le béton est </w:t>
      </w:r>
      <w:r>
        <w:rPr>
          <w:rStyle w:val="optioncarChar"/>
        </w:rPr>
        <w:t>définie par l’étude de stabilité</w:t>
      </w:r>
      <w:r>
        <w:t xml:space="preserve"> (par défaut)</w:t>
      </w:r>
      <w:r>
        <w:rPr>
          <w:rStyle w:val="optioncarChar"/>
        </w:rPr>
        <w:t xml:space="preserve"> / assurée par des goujons à tête / étriers soudés sur l’âme / cornières.</w:t>
      </w:r>
    </w:p>
    <w:p w14:paraId="076D04C0" w14:textId="77777777" w:rsidR="00DB2B68" w:rsidRDefault="00000000">
      <w:pPr>
        <w:pStyle w:val="Author-eListParagraph"/>
        <w:numPr>
          <w:ilvl w:val="0"/>
          <w:numId w:val="415"/>
        </w:numPr>
        <w:jc w:val="both"/>
      </w:pPr>
      <w:r>
        <w:t>Les colonnes mixtes présentent une résistance au feu </w:t>
      </w:r>
      <w:r>
        <w:rPr>
          <w:rStyle w:val="optioncarChar"/>
        </w:rPr>
        <w:t>R15 / R30 / R60 / R120 / R240</w:t>
      </w:r>
      <w:r>
        <w:t xml:space="preserve"> démontrée par test au feu selon la [NBN EN 13501-2] ou par calcul selon les Eurocodes conformément à l’[AM 2013-05-17].</w:t>
      </w:r>
    </w:p>
    <w:p w14:paraId="7C5BFDB5" w14:textId="77777777" w:rsidR="00DB2B68" w:rsidRDefault="00000000">
      <w:pPr>
        <w:pStyle w:val="pheading"/>
      </w:pPr>
      <w:r>
        <w:t>- Finitions</w:t>
      </w:r>
    </w:p>
    <w:p w14:paraId="7020FF4A" w14:textId="77777777" w:rsidR="00DB2B68" w:rsidRDefault="00000000">
      <w:pPr>
        <w:jc w:val="both"/>
      </w:pPr>
      <w:r>
        <w:t xml:space="preserve">Surface du béton : </w:t>
      </w:r>
      <w:r>
        <w:rPr>
          <w:rStyle w:val="optioncarChar"/>
        </w:rPr>
        <w:t>rugueuse si enduisage / lisse si coffrage préfabriqué / rugueux d’aspect décoratif pour surface apparente</w:t>
      </w:r>
    </w:p>
    <w:p w14:paraId="3CEEA182" w14:textId="77777777" w:rsidR="00DB2B68" w:rsidRDefault="00000000">
      <w:pPr>
        <w:jc w:val="both"/>
      </w:pPr>
      <w:r>
        <w:t xml:space="preserve">Les arêtes saillantes des éléments en béton sont </w:t>
      </w:r>
      <w:r>
        <w:rPr>
          <w:rStyle w:val="optioncarChar"/>
        </w:rPr>
        <w:t>vives</w:t>
      </w:r>
      <w:r>
        <w:t xml:space="preserve"> (par défaut) </w:t>
      </w:r>
      <w:r>
        <w:rPr>
          <w:rStyle w:val="optioncarChar"/>
        </w:rPr>
        <w:t>/ chanfreinées / ***</w:t>
      </w:r>
    </w:p>
    <w:p w14:paraId="29B6DA29" w14:textId="77777777" w:rsidR="00DB2B68" w:rsidRDefault="00000000">
      <w:pPr>
        <w:pStyle w:val="pheading"/>
      </w:pPr>
      <w:r>
        <w:t>EXÉCUTION / MISE EN ŒUVRE</w:t>
      </w:r>
    </w:p>
    <w:p w14:paraId="66DC19E1" w14:textId="77777777" w:rsidR="00DB2B68" w:rsidRDefault="00000000">
      <w:pPr>
        <w:pStyle w:val="pheading"/>
      </w:pPr>
      <w:r>
        <w:t>- Prescriptions générales</w:t>
      </w:r>
    </w:p>
    <w:p w14:paraId="24D9B56A" w14:textId="77777777" w:rsidR="00DB2B68" w:rsidRDefault="00000000">
      <w:pPr>
        <w:jc w:val="both"/>
      </w:pPr>
      <w:r>
        <w:t xml:space="preserve">Le dimensionnement des colonnes est déterminé d’après l’étude de stabilité </w:t>
      </w:r>
      <w:r>
        <w:rPr>
          <w:rStyle w:val="optioncarChar"/>
        </w:rPr>
        <w:t>annexée aux documents du marché / à charge de l’entrepreneur</w:t>
      </w:r>
      <w:r>
        <w:t>.</w:t>
      </w:r>
    </w:p>
    <w:p w14:paraId="4F1173D5" w14:textId="77777777" w:rsidR="00DB2B68" w:rsidRDefault="00000000">
      <w:pPr>
        <w:jc w:val="both"/>
      </w:pPr>
      <w:r>
        <w:t>Les colonnes sont exécutées d’aplomb, alignées et de niveau dans les dimensions indiquées sur les plans du bureau chargé de l’étude de stabilité.</w:t>
      </w:r>
    </w:p>
    <w:p w14:paraId="6B95816D" w14:textId="77777777" w:rsidR="00DB2B68" w:rsidRDefault="00000000">
      <w:pPr>
        <w:jc w:val="both"/>
      </w:pPr>
      <w:r>
        <w:t xml:space="preserve">La technique d’ancrage et les appuis sont conformes </w:t>
      </w:r>
      <w:r>
        <w:rPr>
          <w:rStyle w:val="optioncarChar"/>
        </w:rPr>
        <w:t xml:space="preserve">aux prescriptions de l’étude de stabilité </w:t>
      </w:r>
      <w:r>
        <w:t>(par défaut)</w:t>
      </w:r>
      <w:r>
        <w:rPr>
          <w:rStyle w:val="optioncarChar"/>
        </w:rPr>
        <w:t xml:space="preserve"> / ***.</w:t>
      </w:r>
    </w:p>
    <w:p w14:paraId="619324A3" w14:textId="77777777" w:rsidR="00DB2B68" w:rsidRDefault="00000000">
      <w:pPr>
        <w:jc w:val="both"/>
      </w:pPr>
      <w:r>
        <w:rPr>
          <w:u w:val="single"/>
        </w:rPr>
        <w:t>Béton</w:t>
      </w:r>
    </w:p>
    <w:p w14:paraId="64F16CBC" w14:textId="77777777" w:rsidR="00DB2B68" w:rsidRDefault="00000000">
      <w:pPr>
        <w:jc w:val="both"/>
      </w:pPr>
      <w:r>
        <w:t xml:space="preserve">Coulage du béton : suivant prescriptions du </w:t>
      </w:r>
      <w:hyperlink w:anchor="87" w:history="1">
        <w:r>
          <w:rPr>
            <w:color w:val="0000EE"/>
          </w:rPr>
          <w:t>22 Superstructures en béton</w:t>
        </w:r>
      </w:hyperlink>
    </w:p>
    <w:p w14:paraId="1CE55B3D" w14:textId="77777777" w:rsidR="00DB2B68" w:rsidRDefault="00000000">
      <w:pPr>
        <w:jc w:val="both"/>
      </w:pPr>
      <w:r>
        <w:t xml:space="preserve">Le décoffrage ne peut avoir lieu avant </w:t>
      </w:r>
      <w:r>
        <w:rPr>
          <w:rStyle w:val="optioncarChar"/>
        </w:rPr>
        <w:t xml:space="preserve">le nombre de jours fixé dans les directives du bureau d’études </w:t>
      </w:r>
      <w:r>
        <w:t xml:space="preserve">(par défaut) </w:t>
      </w:r>
      <w:r>
        <w:rPr>
          <w:rStyle w:val="optioncarChar"/>
        </w:rPr>
        <w:t>/ ***</w:t>
      </w:r>
      <w:r>
        <w:t xml:space="preserve"> jours après le coulage du béton.</w:t>
      </w:r>
    </w:p>
    <w:p w14:paraId="25E9FF10" w14:textId="77777777" w:rsidR="00DB2B68" w:rsidRDefault="00000000">
      <w:pPr>
        <w:jc w:val="both"/>
      </w:pPr>
      <w:r>
        <w:t xml:space="preserve">Tous les moyens nécessaires pour éviter la déformation hors tolérance des coffrages sont obligatoires. L’utilisation d’entretoises est autorisée pour autant qu’un schéma de positionnement de celles-ci soit au préalable soumis pour approbation au bureau d’études en stabilité. Les trous laissés par les entretoises reliant les parois des coffrages sont bouchés </w:t>
      </w:r>
      <w:r>
        <w:rPr>
          <w:rStyle w:val="optioncarChar"/>
        </w:rPr>
        <w:t>à l’aide de mortier de la même couleur que le béton immédiatement après le décoffrage</w:t>
      </w:r>
      <w:r>
        <w:t xml:space="preserve"> (par défaut)</w:t>
      </w:r>
      <w:r>
        <w:rPr>
          <w:rStyle w:val="optioncarChar"/>
        </w:rPr>
        <w:t xml:space="preserve"> / ***</w:t>
      </w:r>
      <w:r>
        <w:t>.</w:t>
      </w:r>
    </w:p>
    <w:p w14:paraId="1CEAE2BB" w14:textId="77777777" w:rsidR="00DB2B68" w:rsidRDefault="00000000">
      <w:pPr>
        <w:pStyle w:val="pheading"/>
      </w:pPr>
      <w:r>
        <w:t>MESURAGE</w:t>
      </w:r>
    </w:p>
    <w:p w14:paraId="7A08D235" w14:textId="77777777" w:rsidR="00DB2B68" w:rsidRDefault="00000000">
      <w:pPr>
        <w:pStyle w:val="pheading"/>
      </w:pPr>
      <w:r>
        <w:t>- unité de mesure:</w:t>
      </w:r>
    </w:p>
    <w:p w14:paraId="3F7536E3" w14:textId="77777777" w:rsidR="00DB2B68" w:rsidRDefault="00000000">
      <w:r>
        <w:t>m³</w:t>
      </w:r>
    </w:p>
    <w:p w14:paraId="0EC77138" w14:textId="77777777" w:rsidR="00DB2B68" w:rsidRDefault="00000000">
      <w:pPr>
        <w:pStyle w:val="pheading"/>
      </w:pPr>
      <w:r>
        <w:t>- code de mesurage:</w:t>
      </w:r>
    </w:p>
    <w:p w14:paraId="144F2127" w14:textId="77777777" w:rsidR="00DB2B68" w:rsidRDefault="00000000">
      <w:pPr>
        <w:jc w:val="both"/>
      </w:pPr>
      <w:r>
        <w:rPr>
          <w:rStyle w:val="optioncarChar"/>
        </w:rPr>
        <w:t>Volume net, tout compris</w:t>
      </w:r>
      <w:r>
        <w:t xml:space="preserve"> (par défaut)</w:t>
      </w:r>
      <w:r>
        <w:rPr>
          <w:rStyle w:val="optioncarChar"/>
        </w:rPr>
        <w:t xml:space="preserve"> / Volume net, aciers métrés séparément / Volume net, aciers et coffrages métrés séparément</w:t>
      </w:r>
    </w:p>
    <w:p w14:paraId="3AB7844C" w14:textId="77777777" w:rsidR="00DB2B68" w:rsidRDefault="00000000">
      <w:pPr>
        <w:jc w:val="both"/>
      </w:pPr>
      <w:r>
        <w:rPr>
          <w:b/>
        </w:rPr>
        <w:t>(soit par défaut)</w:t>
      </w:r>
    </w:p>
    <w:p w14:paraId="2D5B3B1E" w14:textId="77777777" w:rsidR="00DB2B68" w:rsidRDefault="00000000">
      <w:pPr>
        <w:jc w:val="both"/>
      </w:pPr>
      <w:r>
        <w:rPr>
          <w:rStyle w:val="soitChar"/>
        </w:rPr>
        <w:t xml:space="preserve">1. </w:t>
      </w:r>
      <w:r>
        <w:rPr>
          <w:rStyle w:val="soitChar"/>
          <w:u w:val="single"/>
        </w:rPr>
        <w:t>Volume net, tout compris</w:t>
      </w:r>
      <w:r>
        <w:rPr>
          <w:rStyle w:val="soitChar"/>
        </w:rPr>
        <w:t> : volume net de la colonne mixte, y compris le coffrage, les armatures et les profilés.</w:t>
      </w:r>
    </w:p>
    <w:p w14:paraId="1FF7A9C5" w14:textId="77777777" w:rsidR="00DB2B68" w:rsidRDefault="00000000">
      <w:pPr>
        <w:jc w:val="both"/>
      </w:pPr>
      <w:r>
        <w:rPr>
          <w:b/>
        </w:rPr>
        <w:t>(soit)</w:t>
      </w:r>
    </w:p>
    <w:p w14:paraId="7B38A30F" w14:textId="77777777" w:rsidR="00DB2B68" w:rsidRDefault="00000000">
      <w:pPr>
        <w:jc w:val="both"/>
      </w:pPr>
      <w:r>
        <w:rPr>
          <w:rStyle w:val="soitChar"/>
        </w:rPr>
        <w:t xml:space="preserve">2. </w:t>
      </w:r>
      <w:r>
        <w:rPr>
          <w:rStyle w:val="soitChar"/>
          <w:u w:val="single"/>
        </w:rPr>
        <w:t>Volume net, aciers métrés séparément</w:t>
      </w:r>
      <w:r>
        <w:rPr>
          <w:rStyle w:val="soitChar"/>
        </w:rPr>
        <w:t xml:space="preserve"> : volume net de la colonne mixte, y compris le coffrage, Les aciers sont compris et métrés séparément respectivement dans le </w:t>
      </w:r>
      <w:hyperlink w:anchor="493" w:history="1">
        <w:r>
          <w:rPr>
            <w:rStyle w:val="soitChar"/>
            <w:color w:val="0000EE"/>
          </w:rPr>
          <w:t>22.51.1a Barres d'armatures pour béton</w:t>
        </w:r>
      </w:hyperlink>
      <w:r>
        <w:rPr>
          <w:rStyle w:val="soitChar"/>
        </w:rPr>
        <w:t xml:space="preserve"> et le </w:t>
      </w:r>
      <w:hyperlink w:anchor="494" w:history="1">
        <w:r>
          <w:rPr>
            <w:rStyle w:val="soitChar"/>
            <w:color w:val="0000EE"/>
          </w:rPr>
          <w:t>23.14.1 Colonnes en acier laminées à chaud</w:t>
        </w:r>
      </w:hyperlink>
      <w:r>
        <w:rPr>
          <w:rStyle w:val="soitChar"/>
        </w:rPr>
        <w:t>.</w:t>
      </w:r>
    </w:p>
    <w:p w14:paraId="46D47501" w14:textId="77777777" w:rsidR="00DB2B68" w:rsidRDefault="00000000">
      <w:pPr>
        <w:jc w:val="both"/>
      </w:pPr>
      <w:r>
        <w:rPr>
          <w:b/>
        </w:rPr>
        <w:t>(soit)</w:t>
      </w:r>
    </w:p>
    <w:p w14:paraId="5F997942" w14:textId="77777777" w:rsidR="00DB2B68" w:rsidRDefault="00000000">
      <w:pPr>
        <w:jc w:val="both"/>
      </w:pPr>
      <w:r>
        <w:rPr>
          <w:rStyle w:val="soitChar"/>
        </w:rPr>
        <w:t xml:space="preserve">3. </w:t>
      </w:r>
      <w:r>
        <w:rPr>
          <w:rStyle w:val="soitChar"/>
          <w:u w:val="single"/>
        </w:rPr>
        <w:t>Volume net, aciers et coffrages métrés séparément</w:t>
      </w:r>
      <w:r>
        <w:rPr>
          <w:rStyle w:val="soitChar"/>
        </w:rPr>
        <w:t xml:space="preserve"> : volume net de la colonne mixte, Les aciers sont compris et métrés séparément respectivement dans le </w:t>
      </w:r>
      <w:hyperlink w:anchor="493" w:history="1">
        <w:r>
          <w:rPr>
            <w:rStyle w:val="soitChar"/>
            <w:color w:val="0000EE"/>
          </w:rPr>
          <w:t>22.51.1a Barres d'armatures pour béton</w:t>
        </w:r>
      </w:hyperlink>
      <w:r>
        <w:rPr>
          <w:rStyle w:val="soitChar"/>
        </w:rPr>
        <w:t xml:space="preserve"> et le </w:t>
      </w:r>
      <w:hyperlink w:anchor="494" w:history="1">
        <w:r>
          <w:rPr>
            <w:rStyle w:val="soitChar"/>
            <w:color w:val="0000EE"/>
          </w:rPr>
          <w:t>23.14.1 Colonnes en acier laminées à chaud</w:t>
        </w:r>
      </w:hyperlink>
      <w:r>
        <w:rPr>
          <w:rStyle w:val="soitChar"/>
        </w:rPr>
        <w:t xml:space="preserve">. Les coffrages sont compris et métrés séparément au </w:t>
      </w:r>
      <w:hyperlink w:anchor="235" w:history="1">
        <w:r>
          <w:rPr>
            <w:rStyle w:val="soitChar"/>
            <w:color w:val="0000EE"/>
          </w:rPr>
          <w:t>22.53 Coffrages</w:t>
        </w:r>
      </w:hyperlink>
    </w:p>
    <w:p w14:paraId="1DCDC746" w14:textId="77777777" w:rsidR="00DB2B68" w:rsidRDefault="00000000">
      <w:pPr>
        <w:pStyle w:val="pheading"/>
      </w:pPr>
      <w:r>
        <w:lastRenderedPageBreak/>
        <w:t>- nature du marché:</w:t>
      </w:r>
    </w:p>
    <w:p w14:paraId="7A628A4A" w14:textId="77777777" w:rsidR="00DB2B68" w:rsidRDefault="00000000">
      <w:r>
        <w:rPr>
          <w:rStyle w:val="optioncarChar"/>
        </w:rPr>
        <w:t>QF</w:t>
      </w:r>
      <w:r>
        <w:t xml:space="preserve"> (par défaut) </w:t>
      </w:r>
      <w:r>
        <w:rPr>
          <w:rStyle w:val="optioncarChar"/>
        </w:rPr>
        <w:t>/ QP</w:t>
      </w:r>
    </w:p>
    <w:p w14:paraId="31602C20" w14:textId="77777777" w:rsidR="00DB2B68" w:rsidRDefault="00000000">
      <w:r>
        <w:rPr>
          <w:b/>
        </w:rPr>
        <w:t>(soit par défaut)</w:t>
      </w:r>
      <w:r>
        <w:br/>
      </w:r>
      <w:r>
        <w:rPr>
          <w:rStyle w:val="soitChar"/>
        </w:rPr>
        <w:t>1. QF</w:t>
      </w:r>
      <w:r>
        <w:br/>
      </w:r>
      <w:r>
        <w:rPr>
          <w:b/>
        </w:rPr>
        <w:t>(soit)</w:t>
      </w:r>
      <w:r>
        <w:br/>
      </w:r>
      <w:r>
        <w:rPr>
          <w:rStyle w:val="soitChar"/>
        </w:rPr>
        <w:t>2. QP ; lorsque l'étude est à charge de l'entrepreneur</w:t>
      </w:r>
    </w:p>
    <w:p w14:paraId="51898930" w14:textId="77777777" w:rsidR="00DB2B68" w:rsidRDefault="00000000">
      <w:pPr>
        <w:pStyle w:val="Author-eSectionHeading6Numberless"/>
      </w:pPr>
      <w:bookmarkStart w:id="707" w:name="_Toc220495771"/>
      <w:r>
        <w:t>22.14.5b Colonnes mixtes acier-béton apparent (esthétique) coulé en place CCTB 01.04</w:t>
      </w:r>
      <w:bookmarkEnd w:id="707"/>
    </w:p>
    <w:p w14:paraId="2460CDCE" w14:textId="77777777" w:rsidR="00DB2B68" w:rsidRDefault="00000000">
      <w:pPr>
        <w:pStyle w:val="Author-eSectionHeading6Numberless"/>
      </w:pPr>
      <w:bookmarkStart w:id="708" w:name="_Toc220495772"/>
      <w:r>
        <w:t>22.14.5c Colonnes préfabriquées mixtes acier-béton CCTB 01.04</w:t>
      </w:r>
      <w:bookmarkEnd w:id="708"/>
    </w:p>
    <w:p w14:paraId="30C429BC" w14:textId="77777777" w:rsidR="00DB2B68" w:rsidRDefault="00000000">
      <w:pPr>
        <w:pStyle w:val="Author-eSectionHeading6Numberless"/>
      </w:pPr>
      <w:bookmarkStart w:id="709" w:name="_Toc220495773"/>
      <w:r>
        <w:t>22.14.5d Colonnes préfabriquées mixtes acier-béton précontraint CCTB 01.04</w:t>
      </w:r>
      <w:bookmarkEnd w:id="709"/>
    </w:p>
    <w:p w14:paraId="7081D93A" w14:textId="77777777" w:rsidR="00DB2B68" w:rsidRDefault="00000000">
      <w:pPr>
        <w:pStyle w:val="Author-eSectionHeading6Numberless"/>
      </w:pPr>
      <w:bookmarkStart w:id="710" w:name="_Toc220495774"/>
      <w:r>
        <w:t>22.14.5e Colonnes préfabriquées mixtes acier-béton décoratif / architectonique CCTB 01.04</w:t>
      </w:r>
      <w:bookmarkEnd w:id="710"/>
    </w:p>
    <w:p w14:paraId="40776E4C" w14:textId="77777777" w:rsidR="00DB2B68" w:rsidRDefault="00000000">
      <w:pPr>
        <w:pStyle w:val="Author-eSectionHeading4Numberless"/>
      </w:pPr>
      <w:bookmarkStart w:id="711" w:name="_Toc220495775"/>
      <w:r>
        <w:t>22.15 Planchers en béton CCTB 01.13</w:t>
      </w:r>
      <w:bookmarkEnd w:id="711"/>
    </w:p>
    <w:p w14:paraId="40CF2690" w14:textId="77777777" w:rsidR="00DB2B68" w:rsidRDefault="00000000">
      <w:pPr>
        <w:pStyle w:val="pheading"/>
      </w:pPr>
      <w:bookmarkStart w:id="712" w:name="88"/>
      <w:bookmarkEnd w:id="712"/>
      <w:r>
        <w:t>DESCRIPTION</w:t>
      </w:r>
    </w:p>
    <w:p w14:paraId="66072AB1" w14:textId="77777777" w:rsidR="00DB2B68" w:rsidRDefault="00000000">
      <w:pPr>
        <w:pStyle w:val="pheading"/>
      </w:pPr>
      <w:r>
        <w:t>- Définition / Comprend</w:t>
      </w:r>
    </w:p>
    <w:p w14:paraId="3BFDB3F9" w14:textId="77777777" w:rsidR="00DB2B68" w:rsidRDefault="00000000">
      <w:r>
        <w:t>Ce poste comprend tous les éléments, travaux et fournitures, en vue de la réalisation des planchers décrites dans le cahier spécial des charges, selon le type, la nature et /ou la composition. Conformément aux dispositions du cahier spécial des charges, les prix unitaires compris dans ce poste, doivent toujours comprendre, soit selon la ventilation explicite du métré récapitulatif, soit dans leur totalité:</w:t>
      </w:r>
    </w:p>
    <w:p w14:paraId="0EEE31F9" w14:textId="77777777" w:rsidR="00DB2B68" w:rsidRDefault="00000000">
      <w:pPr>
        <w:pStyle w:val="Author-eListParagraph"/>
        <w:numPr>
          <w:ilvl w:val="0"/>
          <w:numId w:val="416"/>
        </w:numPr>
      </w:pPr>
      <w:r>
        <w:t>l'étude de stabilité (lorsqu'elle est à la charge de l'entrepreneur), y compris les notes de calcul, l'établissement des plans de pose, …;</w:t>
      </w:r>
    </w:p>
    <w:p w14:paraId="62FFE11E" w14:textId="77777777" w:rsidR="00DB2B68" w:rsidRDefault="00000000">
      <w:pPr>
        <w:pStyle w:val="Author-eListParagraph"/>
        <w:numPr>
          <w:ilvl w:val="0"/>
          <w:numId w:val="416"/>
        </w:numPr>
      </w:pPr>
      <w:r>
        <w:t>la vérification de toutes les dimensions et l'adaptation des éléments à préfabriquer aux dimensions réelles;</w:t>
      </w:r>
    </w:p>
    <w:p w14:paraId="0D6C1691" w14:textId="77777777" w:rsidR="00DB2B68" w:rsidRDefault="00000000">
      <w:pPr>
        <w:pStyle w:val="Author-eListParagraph"/>
        <w:numPr>
          <w:ilvl w:val="0"/>
          <w:numId w:val="416"/>
        </w:numPr>
      </w:pPr>
      <w:r>
        <w:t>la préparation et le nettoyage des surfaces d'appui, des joints et des bords éventuels, …;</w:t>
      </w:r>
    </w:p>
    <w:p w14:paraId="06AA63EA" w14:textId="77777777" w:rsidR="00DB2B68" w:rsidRDefault="00000000">
      <w:pPr>
        <w:pStyle w:val="Author-eListParagraph"/>
        <w:numPr>
          <w:ilvl w:val="0"/>
          <w:numId w:val="416"/>
        </w:numPr>
      </w:pPr>
      <w:r>
        <w:t>tous les travaux provisoires de support et d'étançonnement, …;</w:t>
      </w:r>
    </w:p>
    <w:p w14:paraId="51C7B411" w14:textId="77777777" w:rsidR="00DB2B68" w:rsidRDefault="00000000">
      <w:pPr>
        <w:pStyle w:val="Author-eListParagraph"/>
        <w:numPr>
          <w:ilvl w:val="0"/>
          <w:numId w:val="416"/>
        </w:numPr>
      </w:pPr>
      <w:r>
        <w:t>tous les coffrages, produits de décoffrage, les éventuels coffrages perdus s'ils sont prescrits et/ou les éléments à noyer dans le béton,…;</w:t>
      </w:r>
    </w:p>
    <w:p w14:paraId="7553C285" w14:textId="77777777" w:rsidR="00DB2B68" w:rsidRDefault="00000000">
      <w:pPr>
        <w:pStyle w:val="Author-eListParagraph"/>
        <w:numPr>
          <w:ilvl w:val="0"/>
          <w:numId w:val="416"/>
        </w:numPr>
      </w:pPr>
      <w:r>
        <w:t>toutes les armatures noyées dans le béton et les armatures en attente, tous les accessoires (écarteurs,... ) pour leur mise en place et leur fixation, …;</w:t>
      </w:r>
    </w:p>
    <w:p w14:paraId="295A5A0F" w14:textId="77777777" w:rsidR="00DB2B68" w:rsidRDefault="00000000">
      <w:pPr>
        <w:pStyle w:val="Author-eListParagraph"/>
        <w:numPr>
          <w:ilvl w:val="0"/>
          <w:numId w:val="416"/>
        </w:numPr>
      </w:pPr>
      <w:r>
        <w:t>la fourniture du béton pour la réalisation du plancher coulé en place et/ou la fourniture et la pose des éléments préfabriqués, tels que les dalles alvéolées, prédalles, poutrelles et entrevous, conformément aux descriptifs du cahier spécial des charges et aux indications sur les plans de pose;</w:t>
      </w:r>
    </w:p>
    <w:p w14:paraId="0A3DC11A" w14:textId="77777777" w:rsidR="00DB2B68" w:rsidRDefault="00000000">
      <w:pPr>
        <w:pStyle w:val="Author-eListParagraph"/>
        <w:numPr>
          <w:ilvl w:val="0"/>
          <w:numId w:val="416"/>
        </w:numPr>
      </w:pPr>
      <w:r>
        <w:t>les dispositifs nécessaires pour les réservations, pénétrations, évasements, les renforcements éventuels de certaines zones (sous les cloisons, à hauteur des trémies d'escalier, balcons,…), les moyens d'appui, etc.;</w:t>
      </w:r>
    </w:p>
    <w:p w14:paraId="7E25B924" w14:textId="77777777" w:rsidR="00DB2B68" w:rsidRDefault="00000000">
      <w:pPr>
        <w:pStyle w:val="Author-eListParagraph"/>
        <w:numPr>
          <w:ilvl w:val="0"/>
          <w:numId w:val="416"/>
        </w:numPr>
      </w:pPr>
      <w:r>
        <w:t>les armatures supérieures et transversales supplémentaires conformément aux indications sur le plan de pose et/ou dans l'étude des bétons;</w:t>
      </w:r>
    </w:p>
    <w:p w14:paraId="083C8AD9" w14:textId="77777777" w:rsidR="00DB2B68" w:rsidRDefault="00000000">
      <w:pPr>
        <w:pStyle w:val="Author-eListParagraph"/>
        <w:numPr>
          <w:ilvl w:val="0"/>
          <w:numId w:val="416"/>
        </w:numPr>
      </w:pPr>
      <w:r>
        <w:t>tous les moyens d'assemblages aussi bien entre éléments préfabriqués qu'entre les éléments préfabriqués et les ouvrages périphériques, les éventuels écarteurs entre entrevous, etc.;</w:t>
      </w:r>
    </w:p>
    <w:p w14:paraId="15A7688C" w14:textId="77777777" w:rsidR="00DB2B68" w:rsidRDefault="00000000">
      <w:pPr>
        <w:pStyle w:val="Author-eListParagraph"/>
        <w:numPr>
          <w:ilvl w:val="0"/>
          <w:numId w:val="416"/>
        </w:numPr>
      </w:pPr>
      <w:r>
        <w:t>le nettoyage et le cas échéant, l'humidification des voûtes avant l'application du béton de remplissage / de la couche de compression;</w:t>
      </w:r>
    </w:p>
    <w:p w14:paraId="526281CC" w14:textId="77777777" w:rsidR="00DB2B68" w:rsidRDefault="00000000">
      <w:pPr>
        <w:pStyle w:val="Author-eListParagraph"/>
        <w:numPr>
          <w:ilvl w:val="0"/>
          <w:numId w:val="416"/>
        </w:numPr>
      </w:pPr>
      <w:r>
        <w:t>le béton de remplissage et la couche de compression prescrite;</w:t>
      </w:r>
    </w:p>
    <w:p w14:paraId="281A5F21" w14:textId="77777777" w:rsidR="00DB2B68" w:rsidRDefault="00000000">
      <w:pPr>
        <w:pStyle w:val="Author-eListParagraph"/>
        <w:numPr>
          <w:ilvl w:val="0"/>
          <w:numId w:val="416"/>
        </w:numPr>
      </w:pPr>
      <w:r>
        <w:t>les treillis d'armatures, les armatures complémentaires et les coffrages, s'il y a lieu le remplissage des joints et/ou des creux entre les murs et les éléments du coffrage perdu supérieur;</w:t>
      </w:r>
    </w:p>
    <w:p w14:paraId="16C03DAC" w14:textId="77777777" w:rsidR="00DB2B68" w:rsidRDefault="00000000">
      <w:pPr>
        <w:pStyle w:val="Author-eListParagraph"/>
        <w:numPr>
          <w:ilvl w:val="0"/>
          <w:numId w:val="416"/>
        </w:numPr>
      </w:pPr>
      <w:r>
        <w:t>l'enlèvement de tous les accessoires, éléments de coffrage, support et étaiements, …;</w:t>
      </w:r>
    </w:p>
    <w:p w14:paraId="680AAA4D" w14:textId="77777777" w:rsidR="00DB2B68" w:rsidRDefault="00000000">
      <w:pPr>
        <w:pStyle w:val="Author-eListParagraph"/>
        <w:numPr>
          <w:ilvl w:val="0"/>
          <w:numId w:val="416"/>
        </w:numPr>
      </w:pPr>
      <w:r>
        <w:lastRenderedPageBreak/>
        <w:t>la finition des bords, les réparations aux dégradations éventuelles et/ou des nids de graviers acceptables, le remplissage des joints (de dilatation), selon les directives du fournisseur, le nettoyage des faces vues, .…</w:t>
      </w:r>
    </w:p>
    <w:p w14:paraId="7C343C5D" w14:textId="77777777" w:rsidR="00DB2B68" w:rsidRDefault="00000000">
      <w:r>
        <w:t>Les plans de pose et les calculs sont toujours établis et signés par un ingénieur en stabilité diplômé, attaché au fournisseur et ce, aux frais de l'entrepreneur. Les notes de calcul sont établies en conformité avec les modalités de la section </w:t>
      </w:r>
      <w:hyperlink w:anchor="87" w:history="1">
        <w:r>
          <w:rPr>
            <w:color w:val="0000EE"/>
          </w:rPr>
          <w:t>22 Superstructures en béton</w:t>
        </w:r>
      </w:hyperlink>
      <w:r>
        <w:t>.</w:t>
      </w:r>
    </w:p>
    <w:p w14:paraId="7AFCA74E" w14:textId="77777777" w:rsidR="00DB2B68" w:rsidRDefault="00000000">
      <w:r>
        <w:rPr>
          <w:u w:val="single"/>
        </w:rPr>
        <w:t>Sécurité</w:t>
      </w:r>
    </w:p>
    <w:p w14:paraId="49AB4E5A" w14:textId="77777777" w:rsidR="00DB2B68" w:rsidRDefault="00000000">
      <w:r>
        <w:t>Conformément au titre 04.4 Mesures de protection, établie par le coordinateur-projet et annexée au cahier spécial des charges. Toutes les directives en la matière ainsi que les indications concrètes du coordinateur-réalisation sont scrupuleusement suivies.</w:t>
      </w:r>
    </w:p>
    <w:p w14:paraId="4BE9A5A4" w14:textId="77777777" w:rsidR="00DB2B68" w:rsidRDefault="00000000">
      <w:pPr>
        <w:pStyle w:val="pheading"/>
      </w:pPr>
      <w:r>
        <w:t>MATÉRIAUX</w:t>
      </w:r>
    </w:p>
    <w:p w14:paraId="5D846156" w14:textId="77777777" w:rsidR="00DB2B68" w:rsidRDefault="00000000">
      <w:r>
        <w:rPr>
          <w:b/>
        </w:rPr>
        <w:t>Spécifications</w:t>
      </w:r>
    </w:p>
    <w:p w14:paraId="3A971B80" w14:textId="77777777" w:rsidR="00DB2B68" w:rsidRDefault="00000000">
      <w:r>
        <w:t xml:space="preserve">La hauteur de construction du plancher composé est de maximum </w:t>
      </w:r>
      <w:r>
        <w:rPr>
          <w:rStyle w:val="optioncarChar"/>
        </w:rPr>
        <w:t xml:space="preserve">*** </w:t>
      </w:r>
      <w:r>
        <w:t>cm </w:t>
      </w:r>
      <w:r>
        <w:rPr>
          <w:rStyle w:val="optioncarChar"/>
        </w:rPr>
        <w:t>/ la valeur indiquée sur les plans </w:t>
      </w:r>
      <w:r>
        <w:t>(par défaut).</w:t>
      </w:r>
      <w:r>
        <w:br/>
      </w:r>
      <w:r>
        <w:br/>
      </w:r>
    </w:p>
    <w:p w14:paraId="5206CF9F" w14:textId="77777777" w:rsidR="00DB2B68" w:rsidRDefault="00000000">
      <w:r>
        <w:rPr>
          <w:b/>
        </w:rPr>
        <w:t>Critères de performance </w:t>
      </w:r>
    </w:p>
    <w:p w14:paraId="6A57E398" w14:textId="77777777" w:rsidR="00DB2B68" w:rsidRDefault="00000000">
      <w:r>
        <w:t>La flèche des planchers est conforme à la [NBN B 03-003].</w:t>
      </w:r>
    </w:p>
    <w:p w14:paraId="48C34072" w14:textId="77777777" w:rsidR="00DB2B68" w:rsidRDefault="00000000">
      <w:r>
        <w:t xml:space="preserve">Résistance au feu : pour les éléments porteurs structurels sans fonction séparant </w:t>
      </w:r>
      <w:r>
        <w:rPr>
          <w:rStyle w:val="optioncarChar"/>
        </w:rPr>
        <w:t>R 15 / R 30</w:t>
      </w:r>
      <w:r>
        <w:t> (par défaut)</w:t>
      </w:r>
      <w:r>
        <w:rPr>
          <w:rStyle w:val="optioncarChar"/>
        </w:rPr>
        <w:t xml:space="preserve"> / R 60 / R 120 / R *** / *** </w:t>
      </w:r>
      <w:r>
        <w:t xml:space="preserve">et pour les éléments porteurs structurels avec fonction séparant </w:t>
      </w:r>
      <w:r>
        <w:rPr>
          <w:rStyle w:val="optioncarChar"/>
        </w:rPr>
        <w:t>REI 30 </w:t>
      </w:r>
      <w:r>
        <w:t>(par défaut)</w:t>
      </w:r>
      <w:r>
        <w:rPr>
          <w:rStyle w:val="optioncarChar"/>
        </w:rPr>
        <w:t xml:space="preserve"> / REI 60/ REI 120 / REI *** / ***</w:t>
      </w:r>
      <w:r>
        <w:t xml:space="preserve"> selon la [NBN EN 13501-2] (et les normes d’essais qui y sont référencées) ou par calcul selon les Eurocodes conformément à l’[AM 2013-05-17, Arrêté ministériel relatif à l’utilisation des Eurocodes comme méthodes de calcul pour l’évaluation de la résistance au feu d’éléments de construction].</w:t>
      </w:r>
    </w:p>
    <w:p w14:paraId="058C236B" w14:textId="77777777" w:rsidR="00DB2B68" w:rsidRDefault="00000000">
      <w:r>
        <w:t>Face inférieure lisse - rugueuse</w:t>
      </w:r>
    </w:p>
    <w:p w14:paraId="6C3776B7" w14:textId="77777777" w:rsidR="00DB2B68" w:rsidRDefault="00000000">
      <w:r>
        <w:t>Une distinction est faite entre :</w:t>
      </w:r>
      <w:r>
        <w:br/>
      </w:r>
      <w:r>
        <w:rPr>
          <w:b/>
        </w:rPr>
        <w:t xml:space="preserve">Choix opéré : </w:t>
      </w:r>
      <w:r>
        <w:rPr>
          <w:rStyle w:val="optioncarChar"/>
          <w:b/>
        </w:rPr>
        <w:t xml:space="preserve">OPTION 1 / OPTION 2, </w:t>
      </w:r>
      <w:r>
        <w:t>sauf indications contraires, soit sur les plans soit dans l'étude des bétons et/ou le cahier spécial des charges</w:t>
      </w:r>
    </w:p>
    <w:p w14:paraId="26D24930" w14:textId="77777777" w:rsidR="00DB2B68" w:rsidRDefault="00000000">
      <w:r>
        <w:rPr>
          <w:b/>
        </w:rPr>
        <w:t>***OPTION 1:</w:t>
      </w:r>
      <w:r>
        <w:t xml:space="preserve"> les planchers à face inférieure lisse </w:t>
      </w:r>
      <w:r>
        <w:br/>
      </w:r>
      <w:r>
        <w:rPr>
          <w:b/>
        </w:rPr>
        <w:t xml:space="preserve">***OPTION 2: </w:t>
      </w:r>
      <w:r>
        <w:t>les planchers à face inférieure rugueuse</w:t>
      </w:r>
    </w:p>
    <w:p w14:paraId="6C4E6FE8" w14:textId="77777777" w:rsidR="00DB2B68" w:rsidRDefault="00000000">
      <w:pPr>
        <w:pStyle w:val="Author-eListParagraph"/>
        <w:numPr>
          <w:ilvl w:val="0"/>
          <w:numId w:val="417"/>
        </w:numPr>
      </w:pPr>
      <w:r>
        <w:t>au-dessus des locaux destinés à recevoir un plafonnage, l'entrepreneur prévoit de préférence des planchers à face inférieure rugueuse; la face inférieure des planchers coulées sur place, des dalles alvéolées ou des entrevous est très rugueuse et/ou présente des rainures et nervures destinées à augmenter l'adhérence du plafonnage à la surface en béton. Les dalles alvéolées utilisées sont exemptes d'huile de coffrage. Attention : dans le cas des prédalles, le plafonnage du plafond peut également être exécuté comme enduit pelliculaire, conformément au sous-titre 54.15 Enduits au ciment et/ou à la chaux</w:t>
      </w:r>
      <w:hyperlink r:id="rId9" w:anchor="dv_0_596_74138_64011_0" w:history="1">
        <w:r>
          <w:rPr>
            <w:color w:val="0000EE"/>
          </w:rPr>
          <w:t>.</w:t>
        </w:r>
      </w:hyperlink>
    </w:p>
    <w:p w14:paraId="1827FD56" w14:textId="77777777" w:rsidR="00DB2B68" w:rsidRDefault="00000000">
      <w:pPr>
        <w:pStyle w:val="Author-eListParagraph"/>
        <w:numPr>
          <w:ilvl w:val="0"/>
          <w:numId w:val="418"/>
        </w:numPr>
      </w:pPr>
      <w:r>
        <w:t>au-dessus des locaux sans plafonnage au plafond (garage, …) l'entrepreneur prévoit toujours des planchers à face inférieure lisse. La face visible du plancher est de finition lisse et nettoyée.</w:t>
      </w:r>
    </w:p>
    <w:p w14:paraId="512E8F01" w14:textId="77777777" w:rsidR="00DB2B68" w:rsidRDefault="00000000">
      <w:pPr>
        <w:pStyle w:val="Author-eListParagraph"/>
        <w:numPr>
          <w:ilvl w:val="0"/>
          <w:numId w:val="418"/>
        </w:numPr>
      </w:pPr>
      <w:r>
        <w:t>au-dessus des fausses caves (ou faux plafonds), la face inférieure est suffisamment lisse afin de pouvoir fixer par collage et/ou mécaniquement une isolation du sol sous les locaux d'habitation.</w:t>
      </w:r>
    </w:p>
    <w:p w14:paraId="0230ED23" w14:textId="77777777" w:rsidR="00DB2B68" w:rsidRDefault="00000000">
      <w:pPr>
        <w:pStyle w:val="pheading"/>
      </w:pPr>
      <w:r>
        <w:t>EXÉCUTION / MISE EN ŒUVRE</w:t>
      </w:r>
    </w:p>
    <w:p w14:paraId="2A060E0A" w14:textId="77777777" w:rsidR="00DB2B68" w:rsidRDefault="00000000">
      <w:pPr>
        <w:pStyle w:val="heading"/>
      </w:pPr>
      <w:r>
        <w:t>Généralités</w:t>
      </w:r>
    </w:p>
    <w:p w14:paraId="45556390" w14:textId="77777777" w:rsidR="00DB2B68" w:rsidRDefault="00000000">
      <w:pPr>
        <w:pStyle w:val="Author-eListParagraph"/>
        <w:numPr>
          <w:ilvl w:val="0"/>
          <w:numId w:val="419"/>
        </w:numPr>
      </w:pPr>
      <w:r>
        <w:t xml:space="preserve">L'entrepreneur principal est responsable de la bonne coordination de l'exécution des travaux. L'entrepreneur est tenu de vérifier préalablement si les éléments préfabriqués peuvent être fabriqués selon les indications sur les plans et les documents d'exécution établis par le </w:t>
      </w:r>
      <w:r>
        <w:lastRenderedPageBreak/>
        <w:t>bureau d'étude et/ou s'il n'y a pas de contradictions. S'il constate des anomalies, l'entrepreneur consulte l'auteur de projet avant de commencer ses travaux.</w:t>
      </w:r>
    </w:p>
    <w:p w14:paraId="77D95231" w14:textId="77777777" w:rsidR="00DB2B68" w:rsidRDefault="00000000">
      <w:pPr>
        <w:pStyle w:val="Author-eListParagraph"/>
        <w:numPr>
          <w:ilvl w:val="0"/>
          <w:numId w:val="419"/>
        </w:numPr>
      </w:pPr>
      <w:r>
        <w:t>Les plans de pose des éléments préfabriqués doivent être soumis en temps utile à l'approbation de l'auteur de projet ou de l'ingénieur. Une attention particulière est accordée aux dimensions des éléments, à leur niveau et fléchissement.</w:t>
      </w:r>
    </w:p>
    <w:p w14:paraId="67331B8F" w14:textId="77777777" w:rsidR="00DB2B68" w:rsidRDefault="00000000">
      <w:pPr>
        <w:pStyle w:val="Author-eListParagraph"/>
        <w:numPr>
          <w:ilvl w:val="0"/>
          <w:numId w:val="419"/>
        </w:numPr>
      </w:pPr>
      <w:r>
        <w:t>Aucun percement pour les conduites et/ou fourreaux ne peut être réalisé a posteriori par forage ou décapage dans le béton coulé en place sans l'approbation préalable du responsable du bureau d'étude. A cet effet, avant la mise en fabrication et/ou le coulage du béton, les réservations nécessaires sont prévues dans tous les éléments de plancher, conformément aux indications sur les plans ou aux indications données au préalable par l'auteur de projet.</w:t>
      </w:r>
    </w:p>
    <w:p w14:paraId="2EB51D3C" w14:textId="77777777" w:rsidR="00DB2B68" w:rsidRDefault="00000000">
      <w:pPr>
        <w:pStyle w:val="pheading"/>
      </w:pPr>
      <w:r>
        <w:t>CONTRÔLES</w:t>
      </w:r>
    </w:p>
    <w:p w14:paraId="752F49EE" w14:textId="77777777" w:rsidR="00DB2B68" w:rsidRDefault="00000000">
      <w:pPr>
        <w:pStyle w:val="heading"/>
      </w:pPr>
      <w:r>
        <w:t>Contrôle et essais de la qualité des bétons</w:t>
      </w:r>
    </w:p>
    <w:p w14:paraId="32342613" w14:textId="77777777" w:rsidR="00DB2B68" w:rsidRDefault="00000000">
      <w:pPr>
        <w:pStyle w:val="Author-eListParagraph"/>
        <w:numPr>
          <w:ilvl w:val="0"/>
          <w:numId w:val="420"/>
        </w:numPr>
      </w:pPr>
      <w:r>
        <w:t>Le contrôle de la qualité du béton se fait selon le Fascicule 4.1 Ouvrages en béton - Partie 1 - Qualité du béton. Ce contrôle est, en principe, effectué sur un nombre limité d'échantillons. Avant de commencer les ouvrages en béton, l'auteur de projet ou l'ingénieur déterminent, en concertation avec l'entrepreneur, la répartition en lots en vue de la détermination de la qualité du béton.</w:t>
      </w:r>
    </w:p>
    <w:p w14:paraId="15A56F10" w14:textId="77777777" w:rsidR="00DB2B68" w:rsidRDefault="00000000">
      <w:pPr>
        <w:pStyle w:val="Author-eListParagraph"/>
        <w:numPr>
          <w:ilvl w:val="0"/>
          <w:numId w:val="420"/>
        </w:numPr>
      </w:pPr>
      <w:r>
        <w:t>En même temps, les armatures et le coffrage sont contrôlés avant de couler le béton. Pour le contrôle des parties exécutées en béton précontraint, l'entrepreneur a le choix entre le contrôle statique permanent ou le contrôle sur un échantillonnage limité.</w:t>
      </w:r>
    </w:p>
    <w:p w14:paraId="06A26938" w14:textId="77777777" w:rsidR="00DB2B68" w:rsidRDefault="00000000">
      <w:pPr>
        <w:pStyle w:val="Author-eListParagraph"/>
        <w:numPr>
          <w:ilvl w:val="0"/>
          <w:numId w:val="420"/>
        </w:numPr>
      </w:pPr>
      <w:r>
        <w:t>Le contrôle de la production des éléments préfabriqués en béton armé est effectué conformément à la norme produit. En son absence, le contrôle est effectué suivant la [NBN EN 13369] et la [NBN B 21-600].</w:t>
      </w:r>
    </w:p>
    <w:p w14:paraId="1FAB49DC" w14:textId="77777777" w:rsidR="00DB2B68" w:rsidRDefault="00000000">
      <w:pPr>
        <w:pStyle w:val="pheading"/>
      </w:pPr>
      <w:r>
        <w:t>DOCUMENTS DE RÉFÉRENCE</w:t>
      </w:r>
    </w:p>
    <w:p w14:paraId="093D3F76" w14:textId="77777777" w:rsidR="00DB2B68" w:rsidRDefault="00000000">
      <w:pPr>
        <w:pStyle w:val="pheading"/>
      </w:pPr>
      <w:r>
        <w:t>- Matériau</w:t>
      </w:r>
    </w:p>
    <w:p w14:paraId="0DB850BC" w14:textId="77777777" w:rsidR="00DB2B68" w:rsidRDefault="00000000">
      <w:r>
        <w:t xml:space="preserve">Conformément au titre </w:t>
      </w:r>
      <w:hyperlink w:anchor="87" w:history="1">
        <w:r>
          <w:rPr>
            <w:color w:val="0000EE"/>
          </w:rPr>
          <w:t>22 Superstructures en béton</w:t>
        </w:r>
      </w:hyperlink>
      <w:r>
        <w:t>, complété par les normes de référence suivantes :</w:t>
      </w:r>
    </w:p>
    <w:p w14:paraId="72FDFEFB" w14:textId="77777777" w:rsidR="00DB2B68" w:rsidRDefault="00000000">
      <w:r>
        <w:t>[NBN B 03-003, Déformation des structures - Valeurs limites de déformation - Bâtiments]</w:t>
      </w:r>
    </w:p>
    <w:p w14:paraId="152BD65A" w14:textId="77777777" w:rsidR="00DB2B68" w:rsidRDefault="00000000">
      <w:r>
        <w:t>[NBN ISO 7844, Assemblages verticaux crantés à armatures de liaison et béton coulé en place entre grands panneaux en béton armé - Méthode d'essai mécanique en laboratoire - Sollicitations résultant de l'application d'efforts tangentiels]</w:t>
      </w:r>
    </w:p>
    <w:p w14:paraId="4DCAF537" w14:textId="77777777" w:rsidR="00DB2B68" w:rsidRDefault="00000000">
      <w:r>
        <w:t>[NBN ISO 7845, Assemblages horizontaux entre murs porteurs et planchers en béton - Méthodes d'essai mécanique en laboratoire - Sollicitations résultant de l'application de charges verticales et de moments transmis par les planchers]</w:t>
      </w:r>
    </w:p>
    <w:p w14:paraId="7E2E137F" w14:textId="77777777" w:rsidR="00DB2B68" w:rsidRDefault="00000000">
      <w:r>
        <w:t>[NBN EN 13213, Planchers creux]</w:t>
      </w:r>
    </w:p>
    <w:p w14:paraId="48AEEB25" w14:textId="77777777" w:rsidR="00DB2B68" w:rsidRDefault="00000000">
      <w:pPr>
        <w:pStyle w:val="Author-eSectionHeading5Numberless"/>
      </w:pPr>
      <w:bookmarkStart w:id="713" w:name="_Toc220495776"/>
      <w:r>
        <w:t>22.15.1 Planchers en béton coulé en place CCTB 01.11</w:t>
      </w:r>
      <w:bookmarkEnd w:id="713"/>
    </w:p>
    <w:p w14:paraId="797FB597" w14:textId="77777777" w:rsidR="00DB2B68" w:rsidRDefault="00000000">
      <w:pPr>
        <w:pStyle w:val="pheading"/>
      </w:pPr>
      <w:bookmarkStart w:id="714" w:name="239"/>
      <w:bookmarkEnd w:id="714"/>
      <w:r>
        <w:t>MATÉRIAUX</w:t>
      </w:r>
    </w:p>
    <w:p w14:paraId="3366692D" w14:textId="77777777" w:rsidR="00DB2B68" w:rsidRDefault="00000000">
      <w:r>
        <w:t xml:space="preserve">Les planchers coulés sur place doivent satisfaire aux conditions générales en ce qui concerne la qualité et la mise en œuvre du béton armé, conformément à la description au </w:t>
      </w:r>
      <w:hyperlink w:anchor="239" w:history="1">
        <w:r>
          <w:rPr>
            <w:color w:val="0000EE"/>
          </w:rPr>
          <w:t>22.15.1 Planchers en béton coulé en place</w:t>
        </w:r>
      </w:hyperlink>
      <w:r>
        <w:t xml:space="preserve"> du présent cahier des charges.</w:t>
      </w:r>
    </w:p>
    <w:p w14:paraId="7ADDBEFB" w14:textId="77777777" w:rsidR="00DB2B68" w:rsidRDefault="00000000">
      <w:r>
        <w:t>Qualité du béton selon la [NBN EN 206:2013+A2] et la [NBN B 15-001] .</w:t>
      </w:r>
      <w:r>
        <w:br/>
        <w:t>Les armatures sont conformes à la série [NBN A 24-3xx série, Produits sidérurgiques - Aciers pour béton armé]</w:t>
      </w:r>
    </w:p>
    <w:p w14:paraId="27F4A902" w14:textId="77777777" w:rsidR="00DB2B68" w:rsidRDefault="00000000">
      <w:pPr>
        <w:pStyle w:val="pheading"/>
      </w:pPr>
      <w:r>
        <w:t>EXÉCUTION / MISE EN ŒUVRE</w:t>
      </w:r>
    </w:p>
    <w:p w14:paraId="70047516" w14:textId="77777777" w:rsidR="00DB2B68" w:rsidRDefault="00000000">
      <w:r>
        <w:t>Sauf indications contraires sur les plans, dans l'étude des bétons et/ou dans le cahier spécial des charges, l'exécution des planchers en béton armé coulé en place sera effectuée :</w:t>
      </w:r>
    </w:p>
    <w:p w14:paraId="760CB224" w14:textId="77777777" w:rsidR="00DB2B68" w:rsidRDefault="00000000">
      <w:pPr>
        <w:pStyle w:val="Author-eListParagraph"/>
        <w:numPr>
          <w:ilvl w:val="0"/>
          <w:numId w:val="421"/>
        </w:numPr>
      </w:pPr>
      <w:r>
        <w:lastRenderedPageBreak/>
        <w:t>Épaisseur et contre-flèche : selon les indications sur les plans, avec une contre-flèche de 1/500 de la portée.</w:t>
      </w:r>
    </w:p>
    <w:p w14:paraId="601B17AC" w14:textId="77777777" w:rsidR="00DB2B68" w:rsidRDefault="00000000">
      <w:pPr>
        <w:pStyle w:val="Author-eListParagraph"/>
        <w:numPr>
          <w:ilvl w:val="0"/>
          <w:numId w:val="421"/>
        </w:numPr>
      </w:pPr>
      <w:r>
        <w:t>Armatures selon les Eurocodes (essentiellement [NBN EN 1990], [NBN EN 1991 série], [NBN EN 1992-1-1] et [NBN EN 1992-1-2])</w:t>
      </w:r>
    </w:p>
    <w:p w14:paraId="0A68006C" w14:textId="77777777" w:rsidR="00DB2B68" w:rsidRDefault="00000000">
      <w:pPr>
        <w:pStyle w:val="Author-eListParagraph"/>
        <w:numPr>
          <w:ilvl w:val="0"/>
          <w:numId w:val="421"/>
        </w:numPr>
      </w:pPr>
      <w:r>
        <w:t xml:space="preserve">En ce qui concerne le coffrage, la pose des armatures, les appuis, les ancrages, les joints de tassement, le coulage du béton, le décoffrage, .. le béton de remplissage et/ou les couches de compression doivent satisfaire aux prescriptions générales données dans le </w:t>
      </w:r>
      <w:hyperlink w:anchor="87" w:history="1">
        <w:r>
          <w:rPr>
            <w:color w:val="0000EE"/>
          </w:rPr>
          <w:t>22 Superstructures en béton</w:t>
        </w:r>
      </w:hyperlink>
      <w:r>
        <w:t>. </w:t>
      </w:r>
    </w:p>
    <w:p w14:paraId="52E4E807" w14:textId="77777777" w:rsidR="00DB2B68" w:rsidRDefault="00000000">
      <w:pPr>
        <w:pStyle w:val="Author-eListParagraph"/>
        <w:numPr>
          <w:ilvl w:val="0"/>
          <w:numId w:val="421"/>
        </w:numPr>
      </w:pPr>
      <w:r>
        <w:t>En principe, le béton est coulé en une seule fois. Lorsque cela s'avère impossible, l'entrepreneur en discute à l'avance avec l'auteur de projet ou le bureau d'étude, afin de convenir de la succession des coulages, des joints de reprise, etc.</w:t>
      </w:r>
    </w:p>
    <w:p w14:paraId="32A6489C" w14:textId="77777777" w:rsidR="00DB2B68" w:rsidRDefault="00000000">
      <w:pPr>
        <w:pStyle w:val="Author-eListParagraph"/>
        <w:numPr>
          <w:ilvl w:val="0"/>
          <w:numId w:val="421"/>
        </w:numPr>
      </w:pPr>
      <w:r>
        <w:t>Le béton est suffisamment compacté à l'aide du matériel nécessaire.</w:t>
      </w:r>
    </w:p>
    <w:p w14:paraId="303C4A03" w14:textId="77777777" w:rsidR="00DB2B68" w:rsidRDefault="00000000">
      <w:pPr>
        <w:pStyle w:val="Author-eListParagraph"/>
        <w:numPr>
          <w:ilvl w:val="0"/>
          <w:numId w:val="421"/>
        </w:numPr>
      </w:pPr>
      <w:r>
        <w:t>L'entrepreneur prend toutes les précautions afin que le béton fraîchement coulé puisse durcir dans des conditions optimales. En particulier par temps chaud et sec, le béton fraîchement coulé doit être régulièrement aspergé afin de prévenir le fendillement.</w:t>
      </w:r>
    </w:p>
    <w:p w14:paraId="13F0178E" w14:textId="77777777" w:rsidR="00DB2B68" w:rsidRDefault="00000000">
      <w:pPr>
        <w:pStyle w:val="Author-eSectionHeading6Numberless"/>
      </w:pPr>
      <w:bookmarkStart w:id="715" w:name="_Toc220495777"/>
      <w:r>
        <w:t>22.15.1a Planchers en dalles pleines de béton armé coulé en place CCTB 01.13</w:t>
      </w:r>
      <w:bookmarkEnd w:id="715"/>
    </w:p>
    <w:p w14:paraId="7CC45A7B" w14:textId="77777777" w:rsidR="00DB2B68" w:rsidRDefault="00000000">
      <w:pPr>
        <w:pStyle w:val="pheading"/>
      </w:pPr>
      <w:bookmarkStart w:id="716" w:name="491"/>
      <w:bookmarkEnd w:id="716"/>
      <w:r>
        <w:t>MATÉRIAUX</w:t>
      </w:r>
    </w:p>
    <w:p w14:paraId="13D00DDB" w14:textId="77777777" w:rsidR="00DB2B68" w:rsidRDefault="00000000">
      <w:pPr>
        <w:pStyle w:val="pheading"/>
      </w:pPr>
      <w:r>
        <w:t>- Caractéristiques générales</w:t>
      </w:r>
    </w:p>
    <w:p w14:paraId="2FB05710" w14:textId="77777777" w:rsidR="00DB2B68" w:rsidRDefault="00000000">
      <w:r>
        <w:rPr>
          <w:u w:val="single"/>
        </w:rPr>
        <w:t>Béton</w:t>
      </w:r>
    </w:p>
    <w:p w14:paraId="1B08C5C0" w14:textId="77777777" w:rsidR="00DB2B68" w:rsidRDefault="00000000">
      <w:pPr>
        <w:pStyle w:val="Author-eListParagraph"/>
        <w:numPr>
          <w:ilvl w:val="0"/>
          <w:numId w:val="422"/>
        </w:numPr>
      </w:pPr>
      <w:r>
        <w:t xml:space="preserve">Qualité du béton selon la [NBN EN 206:2013+A2] et la [NBN B 15-001] : (voir également </w:t>
      </w:r>
      <w:hyperlink w:anchor="87" w:history="1">
        <w:r>
          <w:rPr>
            <w:color w:val="0000EE"/>
          </w:rP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B2B68" w14:paraId="118E3091" w14:textId="77777777">
        <w:tc>
          <w:tcPr>
            <w:tcW w:w="1500" w:type="dxa"/>
            <w:noWrap/>
          </w:tcPr>
          <w:p w14:paraId="3A970E6C" w14:textId="77777777" w:rsidR="00DB2B68" w:rsidRDefault="00000000">
            <w:pPr>
              <w:jc w:val="center"/>
            </w:pPr>
            <w:r>
              <w:rPr>
                <w:b/>
              </w:rPr>
              <w:t>A</w:t>
            </w:r>
          </w:p>
        </w:tc>
        <w:tc>
          <w:tcPr>
            <w:tcW w:w="1500" w:type="dxa"/>
            <w:noWrap/>
          </w:tcPr>
          <w:p w14:paraId="50111D80" w14:textId="77777777" w:rsidR="00DB2B68" w:rsidRDefault="00000000">
            <w:pPr>
              <w:jc w:val="center"/>
            </w:pPr>
            <w:r>
              <w:rPr>
                <w:b/>
              </w:rPr>
              <w:t>B1</w:t>
            </w:r>
          </w:p>
        </w:tc>
        <w:tc>
          <w:tcPr>
            <w:tcW w:w="1500" w:type="dxa"/>
            <w:noWrap/>
          </w:tcPr>
          <w:p w14:paraId="3BA5904A" w14:textId="77777777" w:rsidR="00DB2B68" w:rsidRDefault="00000000">
            <w:pPr>
              <w:jc w:val="center"/>
            </w:pPr>
            <w:r>
              <w:rPr>
                <w:b/>
              </w:rPr>
              <w:t>B2</w:t>
            </w:r>
          </w:p>
        </w:tc>
        <w:tc>
          <w:tcPr>
            <w:tcW w:w="1500" w:type="dxa"/>
            <w:noWrap/>
          </w:tcPr>
          <w:p w14:paraId="599D4A16" w14:textId="77777777" w:rsidR="00DB2B68" w:rsidRDefault="00000000">
            <w:pPr>
              <w:jc w:val="center"/>
            </w:pPr>
            <w:r>
              <w:rPr>
                <w:b/>
              </w:rPr>
              <w:t>C</w:t>
            </w:r>
          </w:p>
        </w:tc>
        <w:tc>
          <w:tcPr>
            <w:tcW w:w="1500" w:type="dxa"/>
            <w:noWrap/>
          </w:tcPr>
          <w:p w14:paraId="02301AB8" w14:textId="77777777" w:rsidR="00DB2B68" w:rsidRDefault="00000000">
            <w:pPr>
              <w:jc w:val="center"/>
            </w:pPr>
            <w:r>
              <w:rPr>
                <w:b/>
              </w:rPr>
              <w:t>D</w:t>
            </w:r>
          </w:p>
        </w:tc>
        <w:tc>
          <w:tcPr>
            <w:tcW w:w="1500" w:type="dxa"/>
            <w:noWrap/>
          </w:tcPr>
          <w:p w14:paraId="0A7DA777" w14:textId="77777777" w:rsidR="00DB2B68" w:rsidRDefault="00000000">
            <w:pPr>
              <w:jc w:val="center"/>
            </w:pPr>
            <w:r>
              <w:rPr>
                <w:b/>
              </w:rPr>
              <w:t>E</w:t>
            </w:r>
          </w:p>
        </w:tc>
      </w:tr>
      <w:tr w:rsidR="00DB2B68" w14:paraId="2709873F" w14:textId="77777777">
        <w:tc>
          <w:tcPr>
            <w:tcW w:w="1500" w:type="dxa"/>
            <w:noWrap/>
          </w:tcPr>
          <w:p w14:paraId="16E9D4DB" w14:textId="77777777" w:rsidR="00DB2B68" w:rsidRDefault="00000000">
            <w:pPr>
              <w:jc w:val="center"/>
            </w:pPr>
            <w:r>
              <w:rPr>
                <w:b/>
              </w:rPr>
              <w:t>Classe de résistance</w:t>
            </w:r>
          </w:p>
        </w:tc>
        <w:tc>
          <w:tcPr>
            <w:tcW w:w="1500" w:type="dxa"/>
            <w:noWrap/>
          </w:tcPr>
          <w:p w14:paraId="239783E7" w14:textId="77777777" w:rsidR="00DB2B68" w:rsidRDefault="00000000">
            <w:pPr>
              <w:jc w:val="center"/>
            </w:pPr>
            <w:r>
              <w:rPr>
                <w:b/>
              </w:rPr>
              <w:t>Domaine d’application</w:t>
            </w:r>
          </w:p>
        </w:tc>
        <w:tc>
          <w:tcPr>
            <w:tcW w:w="1500" w:type="dxa"/>
            <w:noWrap/>
          </w:tcPr>
          <w:p w14:paraId="06AC08CE" w14:textId="77777777" w:rsidR="00DB2B68" w:rsidRDefault="00000000">
            <w:pPr>
              <w:jc w:val="center"/>
            </w:pPr>
            <w:r>
              <w:rPr>
                <w:b/>
              </w:rPr>
              <w:t>Classe d'environnement</w:t>
            </w:r>
          </w:p>
        </w:tc>
        <w:tc>
          <w:tcPr>
            <w:tcW w:w="1500" w:type="dxa"/>
            <w:noWrap/>
          </w:tcPr>
          <w:p w14:paraId="10DA746F" w14:textId="77777777" w:rsidR="00DB2B68" w:rsidRDefault="00000000">
            <w:pPr>
              <w:jc w:val="center"/>
            </w:pPr>
            <w:r>
              <w:rPr>
                <w:b/>
              </w:rPr>
              <w:t>Classe de consistance</w:t>
            </w:r>
          </w:p>
        </w:tc>
        <w:tc>
          <w:tcPr>
            <w:tcW w:w="1500" w:type="dxa"/>
            <w:noWrap/>
          </w:tcPr>
          <w:p w14:paraId="27B17AE3" w14:textId="77777777" w:rsidR="00DB2B68" w:rsidRDefault="00000000">
            <w:pPr>
              <w:jc w:val="center"/>
            </w:pPr>
            <w:r>
              <w:rPr>
                <w:b/>
              </w:rPr>
              <w:t>Granulométrie maximale</w:t>
            </w:r>
          </w:p>
        </w:tc>
        <w:tc>
          <w:tcPr>
            <w:tcW w:w="1500" w:type="dxa"/>
            <w:noWrap/>
          </w:tcPr>
          <w:p w14:paraId="5EC42D45" w14:textId="77777777" w:rsidR="00DB2B68" w:rsidRDefault="00000000">
            <w:r>
              <w:rPr>
                <w:b/>
              </w:rPr>
              <w:t>Données complémentaires</w:t>
            </w:r>
          </w:p>
        </w:tc>
      </w:tr>
      <w:tr w:rsidR="00DB2B68" w14:paraId="5F76269D" w14:textId="77777777">
        <w:tc>
          <w:tcPr>
            <w:tcW w:w="1500" w:type="dxa"/>
            <w:noWrap/>
          </w:tcPr>
          <w:p w14:paraId="33964F82" w14:textId="77777777" w:rsidR="00DB2B68" w:rsidRDefault="00000000">
            <w:pPr>
              <w:jc w:val="center"/>
            </w:pPr>
            <w:r>
              <w:rPr>
                <w:rStyle w:val="optioncarChar"/>
              </w:rPr>
              <w:t>C25/30 / C30/37 / C35/45 / C45/55 / C50/60 / C55/67 / C60/75 / C70/85 / C80/95 / C90/105</w:t>
            </w:r>
          </w:p>
        </w:tc>
        <w:tc>
          <w:tcPr>
            <w:tcW w:w="1500" w:type="dxa"/>
            <w:noWrap/>
          </w:tcPr>
          <w:p w14:paraId="2874FCFA" w14:textId="77777777" w:rsidR="00DB2B68" w:rsidRDefault="00000000">
            <w:pPr>
              <w:jc w:val="center"/>
            </w:pPr>
            <w:r>
              <w:t>Béton armé</w:t>
            </w:r>
          </w:p>
          <w:p w14:paraId="2B19D8FD" w14:textId="77777777" w:rsidR="00DB2B68" w:rsidRDefault="00000000">
            <w:pPr>
              <w:jc w:val="center"/>
            </w:pPr>
            <w:r>
              <w:t> </w:t>
            </w:r>
          </w:p>
        </w:tc>
        <w:tc>
          <w:tcPr>
            <w:tcW w:w="1500" w:type="dxa"/>
            <w:noWrap/>
          </w:tcPr>
          <w:p w14:paraId="19A63768" w14:textId="77777777" w:rsidR="00DB2B68" w:rsidRDefault="00000000">
            <w:pPr>
              <w:jc w:val="center"/>
            </w:pPr>
            <w:r>
              <w:rPr>
                <w:rStyle w:val="optioncarChar"/>
              </w:rPr>
              <w:t>E0 / EI / EE1 / EE2 / EE3 / EE4 / ES1 / ES2 / ES3 / ES4 / EA1+*** / EA2+***/ EA3+***</w:t>
            </w:r>
          </w:p>
        </w:tc>
        <w:tc>
          <w:tcPr>
            <w:tcW w:w="1500" w:type="dxa"/>
            <w:noWrap/>
          </w:tcPr>
          <w:p w14:paraId="18A84DED" w14:textId="77777777" w:rsidR="00DB2B68" w:rsidRDefault="00000000">
            <w:pPr>
              <w:jc w:val="center"/>
            </w:pPr>
            <w:r>
              <w:t>au choix de l'entrepreneur :</w:t>
            </w:r>
          </w:p>
          <w:p w14:paraId="0BC238F8" w14:textId="77777777" w:rsidR="00DB2B68" w:rsidRDefault="00000000">
            <w:pPr>
              <w:jc w:val="center"/>
            </w:pPr>
            <w:r>
              <w:rPr>
                <w:rStyle w:val="optioncarChar"/>
              </w:rPr>
              <w:t>S3 / S4 / S5</w:t>
            </w:r>
          </w:p>
          <w:p w14:paraId="35103A97" w14:textId="77777777" w:rsidR="00DB2B68" w:rsidRDefault="00000000">
            <w:pPr>
              <w:jc w:val="center"/>
            </w:pPr>
            <w:r>
              <w:rPr>
                <w:rStyle w:val="optioncarChar"/>
              </w:rPr>
              <w:t> F3 / F4 / F5 / F6</w:t>
            </w:r>
            <w:r>
              <w:br/>
            </w:r>
          </w:p>
        </w:tc>
        <w:tc>
          <w:tcPr>
            <w:tcW w:w="1500" w:type="dxa"/>
            <w:noWrap/>
          </w:tcPr>
          <w:p w14:paraId="4AA48B0C" w14:textId="77777777" w:rsidR="00DB2B68" w:rsidRDefault="00000000">
            <w:pPr>
              <w:jc w:val="center"/>
            </w:pPr>
            <w:r>
              <w:t>au choix de l'entrepreneur :</w:t>
            </w:r>
          </w:p>
          <w:p w14:paraId="25771D2F" w14:textId="77777777" w:rsidR="00DB2B68" w:rsidRDefault="00000000">
            <w:pPr>
              <w:jc w:val="center"/>
            </w:pPr>
            <w:r>
              <w:rPr>
                <w:rStyle w:val="optioncarChar"/>
              </w:rPr>
              <w:t>6 / 8 / 10 / 11 / 12 / 14 / 16 / 20 / 22 / 32 </w:t>
            </w:r>
            <w:r>
              <w:t>mm</w:t>
            </w:r>
          </w:p>
        </w:tc>
        <w:tc>
          <w:tcPr>
            <w:tcW w:w="1500" w:type="dxa"/>
            <w:noWrap/>
          </w:tcPr>
          <w:p w14:paraId="65A75509" w14:textId="77777777" w:rsidR="00DB2B68" w:rsidRDefault="00000000">
            <w:pPr>
              <w:jc w:val="center"/>
            </w:pPr>
            <w:r>
              <w:rPr>
                <w:rStyle w:val="optioncarChar"/>
              </w:rPr>
              <w:t>***</w:t>
            </w:r>
          </w:p>
        </w:tc>
      </w:tr>
    </w:tbl>
    <w:p w14:paraId="52B447E6" w14:textId="77777777" w:rsidR="00DB2B68" w:rsidRDefault="00000000">
      <w:r>
        <w:t> </w:t>
      </w:r>
    </w:p>
    <w:p w14:paraId="69372DDA"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4E6E23C" w14:textId="77777777" w:rsidR="00DB2B68" w:rsidRDefault="00000000">
      <w:pPr>
        <w:pStyle w:val="Author-eListParagraph"/>
        <w:numPr>
          <w:ilvl w:val="0"/>
          <w:numId w:val="423"/>
        </w:numPr>
      </w:pPr>
      <w:r>
        <w:t xml:space="preserve">Classe de viscosité apparente : </w:t>
      </w:r>
      <w:r>
        <w:rPr>
          <w:rStyle w:val="optioncarChar"/>
        </w:rPr>
        <w:t>VS1 / VS2</w:t>
      </w:r>
      <w:r>
        <w:t xml:space="preserve"> (selon la [NBN EN 12350-8] )</w:t>
      </w:r>
    </w:p>
    <w:p w14:paraId="2881C9B3" w14:textId="77777777" w:rsidR="00DB2B68" w:rsidRDefault="00000000">
      <w:pPr>
        <w:pStyle w:val="Author-eListParagraph"/>
        <w:numPr>
          <w:ilvl w:val="0"/>
          <w:numId w:val="42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623B0D2" w14:textId="77777777" w:rsidR="00DB2B68" w:rsidRDefault="00000000">
      <w:pPr>
        <w:pStyle w:val="Author-eListParagraph"/>
        <w:numPr>
          <w:ilvl w:val="0"/>
          <w:numId w:val="42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2432521" w14:textId="77777777" w:rsidR="00DB2B68" w:rsidRDefault="00000000">
      <w:r>
        <w:rPr>
          <w:u w:val="single"/>
        </w:rPr>
        <w:t>Armatures</w:t>
      </w:r>
    </w:p>
    <w:p w14:paraId="14F44FB6"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 (voir </w:t>
      </w:r>
      <w:hyperlink w:anchor="232" w:history="1">
        <w:r>
          <w:rPr>
            <w:color w:val="0000EE"/>
          </w:rPr>
          <w:t>22.51 Armatures pour béton</w:t>
        </w:r>
      </w:hyperlink>
      <w:r>
        <w:t>)</w:t>
      </w:r>
    </w:p>
    <w:p w14:paraId="7BA2C22B" w14:textId="77777777" w:rsidR="00DB2B68" w:rsidRDefault="00000000">
      <w:pPr>
        <w:pStyle w:val="Author-eListParagraph"/>
        <w:numPr>
          <w:ilvl w:val="0"/>
          <w:numId w:val="42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 .</w:t>
      </w:r>
    </w:p>
    <w:p w14:paraId="2DFFEFA5" w14:textId="77777777" w:rsidR="00DB2B68" w:rsidRDefault="00000000">
      <w:pPr>
        <w:pStyle w:val="Author-eListParagraph"/>
        <w:numPr>
          <w:ilvl w:val="0"/>
          <w:numId w:val="424"/>
        </w:numPr>
      </w:pPr>
      <w:r>
        <w:lastRenderedPageBreak/>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 .</w:t>
      </w:r>
    </w:p>
    <w:p w14:paraId="4E9968E1" w14:textId="77777777" w:rsidR="00DB2B68" w:rsidRDefault="00000000">
      <w:pPr>
        <w:pStyle w:val="Author-eListParagraph"/>
        <w:numPr>
          <w:ilvl w:val="0"/>
          <w:numId w:val="424"/>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6 x 6 </w:t>
      </w:r>
      <w:r>
        <w:t>(par défaut) mm.</w:t>
      </w:r>
    </w:p>
    <w:p w14:paraId="6E5954B4" w14:textId="77777777" w:rsidR="00DB2B68" w:rsidRDefault="00000000">
      <w:pPr>
        <w:pStyle w:val="Author-eListParagraph"/>
        <w:numPr>
          <w:ilvl w:val="0"/>
          <w:numId w:val="425"/>
        </w:numPr>
      </w:pPr>
      <w:r>
        <w:t xml:space="preserve">Les éléments du coffrage perdus sont composées de : </w:t>
      </w:r>
      <w:r>
        <w:rPr>
          <w:rStyle w:val="optioncarChar"/>
        </w:rPr>
        <w:t>***</w:t>
      </w:r>
      <w:r>
        <w:t xml:space="preserve"> (selon les dimensions et le type indiqués sur le plan):</w:t>
      </w:r>
    </w:p>
    <w:p w14:paraId="74137CD7" w14:textId="77777777" w:rsidR="00DB2B68" w:rsidRDefault="00000000">
      <w:pPr>
        <w:ind w:left="567"/>
      </w:pPr>
      <w:r>
        <w:rPr>
          <w:b/>
        </w:rPr>
        <w:t>Choix opéré :</w:t>
      </w:r>
      <w:r>
        <w:rPr>
          <w:rStyle w:val="optioncarChar"/>
        </w:rPr>
        <w:t xml:space="preserve"> tôle d'acier profilé </w:t>
      </w:r>
      <w:r>
        <w:t>(par défaut)</w:t>
      </w:r>
      <w:r>
        <w:rPr>
          <w:rStyle w:val="optioncarChar"/>
        </w:rPr>
        <w:t xml:space="preserve"> / plaques profilées en aluminium laqué / plaques profilées en matière synthétique / ***</w:t>
      </w:r>
      <w:r>
        <w:br/>
      </w:r>
      <w:r>
        <w:rPr>
          <w:b/>
        </w:rPr>
        <w:t>soit (par défaut)</w:t>
      </w:r>
      <w:r>
        <w:br/>
      </w:r>
      <w:r>
        <w:rPr>
          <w:rStyle w:val="soitChar"/>
        </w:rPr>
        <w:t xml:space="preserve">1. </w:t>
      </w:r>
      <w:r>
        <w:rPr>
          <w:rStyle w:val="soitChar"/>
          <w:u w:val="single"/>
        </w:rPr>
        <w:t>tôle d'acier profilé</w:t>
      </w:r>
      <w:r>
        <w:rPr>
          <w:rStyle w:val="soitChar"/>
        </w:rPr>
        <w:t>, avec traitement de surface </w:t>
      </w:r>
      <w:r>
        <w:rPr>
          <w:rStyle w:val="optioncarChar"/>
        </w:rPr>
        <w:t>galvanisé min. 275 g/m</w:t>
      </w:r>
      <w:r>
        <w:rPr>
          <w:rStyle w:val="optioncarChar"/>
          <w:vertAlign w:val="superscript"/>
        </w:rPr>
        <w:t>2</w:t>
      </w:r>
      <w:r>
        <w:rPr>
          <w:rStyle w:val="optioncarChar"/>
        </w:rPr>
        <w:t xml:space="preserve">  </w:t>
      </w:r>
      <w:r>
        <w:t>(par défaut) </w:t>
      </w:r>
      <w:r>
        <w:rPr>
          <w:rStyle w:val="optioncarChar"/>
        </w:rPr>
        <w:t>/ laqué en couleur RAL / avec revêtement en polyester, min. 15 microns / ***, </w:t>
      </w:r>
      <w:r>
        <w:rPr>
          <w:rStyle w:val="soitChar"/>
        </w:rPr>
        <w:t>couleur </w:t>
      </w:r>
      <w:r>
        <w:rPr>
          <w:rStyle w:val="optioncarChar"/>
        </w:rPr>
        <w:t xml:space="preserve">*** </w:t>
      </w:r>
      <w:r>
        <w:t>.</w:t>
      </w:r>
      <w:r>
        <w:br/>
      </w:r>
      <w:r>
        <w:rPr>
          <w:b/>
        </w:rPr>
        <w:t>soit</w:t>
      </w:r>
      <w:r>
        <w:br/>
      </w:r>
      <w:r>
        <w:rPr>
          <w:rStyle w:val="normalChar"/>
          <w:b/>
        </w:rPr>
        <w:t xml:space="preserve">2. </w:t>
      </w:r>
      <w:r>
        <w:rPr>
          <w:rStyle w:val="normalChar"/>
          <w:u w:val="single"/>
        </w:rPr>
        <w:t>plaques profilées en aluminium laqué</w:t>
      </w:r>
      <w:r>
        <w:rPr>
          <w:rStyle w:val="normalChar"/>
        </w:rPr>
        <w:t>, couleur RAL</w:t>
      </w:r>
      <w:r>
        <w:t> </w:t>
      </w:r>
      <w:r>
        <w:rPr>
          <w:rStyle w:val="optioncarChar"/>
        </w:rPr>
        <w:t>***</w:t>
      </w:r>
      <w:r>
        <w:t xml:space="preserve"> .</w:t>
      </w:r>
      <w:r>
        <w:br/>
      </w:r>
      <w:r>
        <w:rPr>
          <w:b/>
        </w:rPr>
        <w:t>soit</w:t>
      </w:r>
      <w:r>
        <w:br/>
      </w:r>
      <w:r>
        <w:rPr>
          <w:rStyle w:val="soitChar"/>
          <w:b/>
        </w:rPr>
        <w:t xml:space="preserve">3. </w:t>
      </w:r>
      <w:r>
        <w:rPr>
          <w:rStyle w:val="soitChar"/>
          <w:u w:val="single"/>
        </w:rPr>
        <w:t>plaques profilées en matière synthétique</w:t>
      </w:r>
      <w:r>
        <w:rPr>
          <w:rStyle w:val="soitChar"/>
        </w:rPr>
        <w:t>.</w:t>
      </w:r>
    </w:p>
    <w:p w14:paraId="2AA94343" w14:textId="77777777" w:rsidR="00DB2B68" w:rsidRDefault="00000000">
      <w:pPr>
        <w:pStyle w:val="pheading"/>
      </w:pPr>
      <w:r>
        <w:t>- Finitions</w:t>
      </w:r>
    </w:p>
    <w:p w14:paraId="3A861E42" w14:textId="77777777" w:rsidR="00DB2B68" w:rsidRDefault="00000000">
      <w:r>
        <w:t>Face inférieure du plancher : </w:t>
      </w:r>
      <w:r>
        <w:rPr>
          <w:rStyle w:val="optioncarChar"/>
        </w:rPr>
        <w:t>rugueuse </w:t>
      </w:r>
      <w:r>
        <w:t>(par défaut) </w:t>
      </w:r>
      <w:r>
        <w:rPr>
          <w:rStyle w:val="optioncarChar"/>
        </w:rPr>
        <w:t>/ lisse / ***</w:t>
      </w:r>
      <w:r>
        <w:br/>
      </w:r>
    </w:p>
    <w:p w14:paraId="4643974D" w14:textId="77777777" w:rsidR="00DB2B68" w:rsidRDefault="00000000">
      <w:pPr>
        <w:pStyle w:val="pheading"/>
      </w:pPr>
      <w:r>
        <w:t>- Prescriptions complémentaires</w:t>
      </w:r>
    </w:p>
    <w:p w14:paraId="2A105032" w14:textId="77777777" w:rsidR="00DB2B68" w:rsidRDefault="00000000">
      <w:r>
        <w:t xml:space="preserve">Résistance au feu: pour les éléments porteurs et structuraux sans fonction séparant </w:t>
      </w:r>
      <w:r>
        <w:rPr>
          <w:rStyle w:val="optioncarChar"/>
        </w:rPr>
        <w:t>R15 / R30</w:t>
      </w:r>
      <w:r>
        <w:t> (par défaut) </w:t>
      </w:r>
      <w:r>
        <w:rPr>
          <w:rStyle w:val="optioncarChar"/>
        </w:rPr>
        <w:t>/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4EE1653B" w14:textId="77777777" w:rsidR="00DB2B68" w:rsidRDefault="00000000">
      <w:pPr>
        <w:pStyle w:val="pheading"/>
      </w:pPr>
      <w:r>
        <w:t>EXÉCUTION / MISE EN ŒUVRE</w:t>
      </w:r>
    </w:p>
    <w:p w14:paraId="37F564D2" w14:textId="77777777" w:rsidR="00DB2B68" w:rsidRDefault="00000000">
      <w:pPr>
        <w:pStyle w:val="pheading"/>
      </w:pPr>
      <w:r>
        <w:t>- Prescriptions générales</w:t>
      </w:r>
    </w:p>
    <w:p w14:paraId="5C29A4B4" w14:textId="77777777" w:rsidR="00DB2B68" w:rsidRDefault="00000000">
      <w:r>
        <w:t xml:space="preserve">L'étude est réalisée conformément à l'article </w:t>
      </w:r>
      <w:hyperlink w:anchor="87" w:history="1">
        <w:r>
          <w:rPr>
            <w:color w:val="0000EE"/>
          </w:rPr>
          <w:t>22 Superstructures en béton</w:t>
        </w:r>
      </w:hyperlink>
      <w:r>
        <w:t xml:space="preserve"> à charge de </w:t>
      </w:r>
      <w:r>
        <w:rPr>
          <w:rStyle w:val="optioncarChar"/>
        </w:rPr>
        <w:t>l'entrepreneur</w:t>
      </w:r>
      <w:r>
        <w:t> </w:t>
      </w:r>
      <w:r>
        <w:rPr>
          <w:rStyle w:val="optioncarChar"/>
        </w:rPr>
        <w:t>/ le maître de l'ouvrage / le bureau d'étude </w:t>
      </w:r>
      <w:r>
        <w:t>(par défaut)</w:t>
      </w:r>
      <w:r>
        <w:rPr>
          <w:rStyle w:val="optioncarChar"/>
        </w:rPr>
        <w:t xml:space="preserve"> / ***</w:t>
      </w:r>
      <w:r>
        <w:br/>
        <w:t>Les planchers sont coulés sur place en </w:t>
      </w:r>
      <w:r>
        <w:rPr>
          <w:rStyle w:val="optioncarChar"/>
        </w:rPr>
        <w:t>une seule </w:t>
      </w:r>
      <w:r>
        <w:t>(par défaut)</w:t>
      </w:r>
      <w:r>
        <w:rPr>
          <w:rStyle w:val="optioncarChar"/>
        </w:rPr>
        <w:t xml:space="preserve"> / *** </w:t>
      </w:r>
      <w:r>
        <w:t>fois.</w:t>
      </w:r>
      <w:r>
        <w:br/>
        <w:t>Le comportement du coffrage perdu lors du coulage du béton doit être minutieusement suivi.</w:t>
      </w:r>
    </w:p>
    <w:p w14:paraId="44A0741E" w14:textId="77777777" w:rsidR="00DB2B68" w:rsidRDefault="00000000">
      <w:pPr>
        <w:pStyle w:val="pheading"/>
      </w:pPr>
      <w:r>
        <w:t>- Notes d’exécution complémentaires</w:t>
      </w:r>
    </w:p>
    <w:p w14:paraId="5A937DDC" w14:textId="77777777" w:rsidR="00DB2B68" w:rsidRDefault="00000000">
      <w:r>
        <w:t>Les vides entre les murs et les éléments de coffrage perdus supérieurs sont remplis de béton, cependant, dans le cas de maçonnerie apparente, cela se fait en maçonnerie du même type que les murs.</w:t>
      </w:r>
      <w:r>
        <w:br/>
        <w:t>Ponts d'humidité / étanchéité à l'eau :</w:t>
      </w:r>
      <w:r>
        <w:br/>
        <w:t>Ponts thermiques / isolation thermique :</w:t>
      </w:r>
      <w:r>
        <w:br/>
        <w:t>Réservations / pénétrations :</w:t>
      </w:r>
    </w:p>
    <w:p w14:paraId="67504E64" w14:textId="77777777" w:rsidR="00DB2B68" w:rsidRDefault="00000000">
      <w:pPr>
        <w:pStyle w:val="pheading"/>
      </w:pPr>
      <w:r>
        <w:t>MESURAGE</w:t>
      </w:r>
    </w:p>
    <w:p w14:paraId="0EDC3AA2" w14:textId="77777777" w:rsidR="00DB2B68" w:rsidRDefault="00000000">
      <w:r>
        <w:t>Conformément à la nature du plancher, aux indications spécifiques dans le cahier spécial des charges et/ou le métré récapitulatif, le mesurage doit être conçu comme suit :</w:t>
      </w:r>
    </w:p>
    <w:p w14:paraId="31C20656" w14:textId="77777777" w:rsidR="00DB2B68" w:rsidRDefault="00000000">
      <w:pPr>
        <w:pStyle w:val="pheading"/>
      </w:pPr>
      <w:r>
        <w:t>- unité de mesure:</w:t>
      </w:r>
    </w:p>
    <w:p w14:paraId="7B79CE88" w14:textId="77777777" w:rsidR="00DB2B68" w:rsidRDefault="00000000">
      <w:r>
        <w:rPr>
          <w:b/>
        </w:rPr>
        <w:t>Choix opéré :</w:t>
      </w:r>
      <w:r>
        <w:rPr>
          <w:rStyle w:val="optioncarChar"/>
        </w:rPr>
        <w:t xml:space="preserve">OPTION 1 </w:t>
      </w:r>
      <w:r>
        <w:t>(par défaut)</w:t>
      </w:r>
      <w:r>
        <w:rPr>
          <w:rStyle w:val="optioncarChar"/>
        </w:rPr>
        <w:t xml:space="preserve"> / OPTION 1bis / OPTION 2 / OPTION 3</w:t>
      </w:r>
    </w:p>
    <w:p w14:paraId="0AF52794" w14:textId="77777777" w:rsidR="00DB2B68" w:rsidRDefault="00000000">
      <w:r>
        <w:rPr>
          <w:b/>
        </w:rPr>
        <w:lastRenderedPageBreak/>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14:paraId="79FC0917" w14:textId="77777777" w:rsidR="00DB2B68" w:rsidRDefault="00000000">
      <w:r>
        <w:t>***</w:t>
      </w:r>
      <w:r>
        <w:rPr>
          <w:b/>
        </w:rPr>
        <w:t>OPTION 1bis: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54F5BDA0" w14:textId="77777777" w:rsidR="00DB2B68" w:rsidRDefault="00000000">
      <w:r>
        <w:t>***</w:t>
      </w:r>
      <w:r>
        <w:rPr>
          <w:b/>
        </w:rPr>
        <w:t>OPTION 2:</w:t>
      </w:r>
    </w:p>
    <w:p w14:paraId="72789025" w14:textId="77777777" w:rsidR="00DB2B68" w:rsidRDefault="00000000">
      <w:pPr>
        <w:pStyle w:val="Author-eListParagraph"/>
        <w:numPr>
          <w:ilvl w:val="0"/>
          <w:numId w:val="426"/>
        </w:numPr>
      </w:pPr>
      <w:r>
        <w:t>m³ pour le béton</w:t>
      </w:r>
    </w:p>
    <w:p w14:paraId="163EC04C" w14:textId="77777777" w:rsidR="00DB2B68" w:rsidRDefault="00000000">
      <w:pPr>
        <w:pStyle w:val="Author-eListParagraph"/>
        <w:numPr>
          <w:ilvl w:val="0"/>
          <w:numId w:val="426"/>
        </w:numPr>
      </w:pPr>
      <w:r>
        <w:t>kg pour les armatures</w:t>
      </w:r>
    </w:p>
    <w:p w14:paraId="0063E9F9" w14:textId="77777777" w:rsidR="00DB2B68" w:rsidRDefault="00000000">
      <w:pPr>
        <w:pStyle w:val="Author-eListParagraph"/>
        <w:numPr>
          <w:ilvl w:val="0"/>
          <w:numId w:val="426"/>
        </w:numPr>
      </w:pPr>
      <w:r>
        <w:t>Tous les autres éléments, travaux et fournitures doivent être compris dans les prix unitaires respectifs pour les mesurages précités.</w:t>
      </w:r>
    </w:p>
    <w:p w14:paraId="14139814" w14:textId="77777777" w:rsidR="00DB2B68" w:rsidRDefault="00000000">
      <w:r>
        <w:t> ***</w:t>
      </w:r>
      <w:r>
        <w:rPr>
          <w:b/>
        </w:rPr>
        <w:t xml:space="preserve">OPTION 3: </w:t>
      </w:r>
    </w:p>
    <w:p w14:paraId="4EBDE798" w14:textId="77777777" w:rsidR="00DB2B68" w:rsidRDefault="00000000">
      <w:pPr>
        <w:pStyle w:val="Author-eListParagraph"/>
        <w:numPr>
          <w:ilvl w:val="0"/>
          <w:numId w:val="427"/>
        </w:numPr>
      </w:pPr>
      <w:r>
        <w:t>m³ pour le béton de remplissage</w:t>
      </w:r>
    </w:p>
    <w:p w14:paraId="666AA07E" w14:textId="77777777" w:rsidR="00DB2B68" w:rsidRDefault="00000000">
      <w:pPr>
        <w:pStyle w:val="Author-eListParagraph"/>
        <w:numPr>
          <w:ilvl w:val="0"/>
          <w:numId w:val="427"/>
        </w:numPr>
      </w:pPr>
      <w:r>
        <w:t>m³ pour la couche de compression béton (en mentionnant l'épaisseur...)</w:t>
      </w:r>
    </w:p>
    <w:p w14:paraId="239BF1DE" w14:textId="77777777" w:rsidR="00DB2B68" w:rsidRDefault="00000000">
      <w:pPr>
        <w:pStyle w:val="Author-eListParagraph"/>
        <w:numPr>
          <w:ilvl w:val="0"/>
          <w:numId w:val="427"/>
        </w:numPr>
      </w:pPr>
      <w:r>
        <w:t>kg pour les armatures supplémentaires</w:t>
      </w:r>
    </w:p>
    <w:p w14:paraId="309AA14C" w14:textId="77777777" w:rsidR="00DB2B68" w:rsidRDefault="00000000">
      <w:pPr>
        <w:pStyle w:val="Author-eListParagraph"/>
        <w:numPr>
          <w:ilvl w:val="0"/>
          <w:numId w:val="427"/>
        </w:numPr>
      </w:pPr>
      <w:r>
        <w:t>Pièces divergentes et pièces spéciales : à la pièce (selon les dimensions identiques ou indications standards).</w:t>
      </w:r>
    </w:p>
    <w:p w14:paraId="372ABDAC"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7DBB39E2" w14:textId="77777777" w:rsidR="00DB2B68" w:rsidRDefault="00000000">
      <w:pPr>
        <w:pStyle w:val="pheading"/>
      </w:pPr>
      <w:r>
        <w:t>- code de mesurage:</w:t>
      </w:r>
    </w:p>
    <w:p w14:paraId="12A8A178" w14:textId="77777777" w:rsidR="00DB2B68"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6A473090" w14:textId="77777777" w:rsidR="00DB2B68" w:rsidRDefault="00000000">
      <w:pPr>
        <w:pStyle w:val="pheading"/>
      </w:pPr>
      <w:r>
        <w:t>- nature du marché:</w:t>
      </w:r>
    </w:p>
    <w:p w14:paraId="481EF874" w14:textId="77777777" w:rsidR="00DB2B68" w:rsidRDefault="00000000">
      <w:r>
        <w:rPr>
          <w:rStyle w:val="optioncarChar"/>
        </w:rPr>
        <w:t xml:space="preserve">QF </w:t>
      </w:r>
      <w:r>
        <w:t>(par défaut)</w:t>
      </w:r>
      <w:r>
        <w:rPr>
          <w:rStyle w:val="optioncarChar"/>
        </w:rPr>
        <w:t xml:space="preserve"> / QP / PM</w:t>
      </w:r>
    </w:p>
    <w:p w14:paraId="672E4272" w14:textId="77777777" w:rsidR="00DB2B68" w:rsidRDefault="00000000">
      <w:pPr>
        <w:pStyle w:val="pheading"/>
      </w:pPr>
      <w:r>
        <w:t>AIDE</w:t>
      </w:r>
    </w:p>
    <w:p w14:paraId="74B7F41D" w14:textId="77777777" w:rsidR="00DB2B68" w:rsidRDefault="00000000">
      <w:r>
        <w:t>Support aux prescripteurs : [SWL GSI/T1/C] de la prévention passive référencé.</w:t>
      </w:r>
    </w:p>
    <w:p w14:paraId="501D0188" w14:textId="77777777" w:rsidR="00DB2B68" w:rsidRDefault="00000000">
      <w:pPr>
        <w:pStyle w:val="Author-eSectionHeading6Numberless"/>
      </w:pPr>
      <w:bookmarkStart w:id="717" w:name="_Toc220495778"/>
      <w:r>
        <w:t>22.15.1b Planchers en dalles pleines nervurées de béton armé coulé en place CCTB 01.13</w:t>
      </w:r>
      <w:bookmarkEnd w:id="717"/>
    </w:p>
    <w:p w14:paraId="03D0A822" w14:textId="77777777" w:rsidR="00DB2B68" w:rsidRDefault="00000000">
      <w:pPr>
        <w:pStyle w:val="pheading"/>
      </w:pPr>
      <w:r>
        <w:t>MATÉRIAUX</w:t>
      </w:r>
    </w:p>
    <w:p w14:paraId="76CEDF23" w14:textId="77777777" w:rsidR="00DB2B68" w:rsidRDefault="00000000">
      <w:pPr>
        <w:pStyle w:val="pheading"/>
      </w:pPr>
      <w:r>
        <w:t>- Caractéristiques générales</w:t>
      </w:r>
    </w:p>
    <w:p w14:paraId="79534A28" w14:textId="77777777" w:rsidR="00DB2B68" w:rsidRDefault="00000000">
      <w:pPr>
        <w:pStyle w:val="Author-eListParagraph"/>
        <w:numPr>
          <w:ilvl w:val="0"/>
          <w:numId w:val="428"/>
        </w:numPr>
      </w:pPr>
      <w:r>
        <w:t xml:space="preserve">Qualité du béton selon la [NBN EN 206:2013+A2] et la [NBN B 15-001] : (voir également </w:t>
      </w:r>
      <w:hyperlink w:anchor="87" w:history="1">
        <w:r>
          <w:rPr>
            <w:color w:val="0000EE"/>
          </w:rPr>
          <w:t>22 Superstructures en béton</w:t>
        </w:r>
      </w:hyperlink>
      <w:r>
        <w:t>).</w:t>
      </w:r>
    </w:p>
    <w:tbl>
      <w:tblPr>
        <w:tblStyle w:val="Author-eTableGrid"/>
        <w:tblW w:w="5000" w:type="pct"/>
        <w:tblLayout w:type="fixed"/>
        <w:tblLook w:val="04A0" w:firstRow="1" w:lastRow="0" w:firstColumn="1" w:lastColumn="0" w:noHBand="0" w:noVBand="1"/>
      </w:tblPr>
      <w:tblGrid>
        <w:gridCol w:w="1517"/>
        <w:gridCol w:w="1517"/>
        <w:gridCol w:w="1516"/>
        <w:gridCol w:w="1516"/>
        <w:gridCol w:w="1516"/>
        <w:gridCol w:w="1516"/>
      </w:tblGrid>
      <w:tr w:rsidR="00DB2B68" w14:paraId="0A19D554" w14:textId="77777777">
        <w:tc>
          <w:tcPr>
            <w:tcW w:w="1500" w:type="dxa"/>
            <w:noWrap/>
          </w:tcPr>
          <w:p w14:paraId="0B50D7E5" w14:textId="77777777" w:rsidR="00DB2B68" w:rsidRDefault="00000000">
            <w:pPr>
              <w:jc w:val="center"/>
            </w:pPr>
            <w:r>
              <w:rPr>
                <w:b/>
              </w:rPr>
              <w:t>A</w:t>
            </w:r>
          </w:p>
        </w:tc>
        <w:tc>
          <w:tcPr>
            <w:tcW w:w="1500" w:type="dxa"/>
            <w:noWrap/>
          </w:tcPr>
          <w:p w14:paraId="37772D4E" w14:textId="77777777" w:rsidR="00DB2B68" w:rsidRDefault="00000000">
            <w:pPr>
              <w:jc w:val="center"/>
            </w:pPr>
            <w:r>
              <w:rPr>
                <w:b/>
              </w:rPr>
              <w:t>B1</w:t>
            </w:r>
          </w:p>
        </w:tc>
        <w:tc>
          <w:tcPr>
            <w:tcW w:w="1500" w:type="dxa"/>
            <w:noWrap/>
          </w:tcPr>
          <w:p w14:paraId="7211DD41" w14:textId="77777777" w:rsidR="00DB2B68" w:rsidRDefault="00000000">
            <w:pPr>
              <w:jc w:val="center"/>
            </w:pPr>
            <w:r>
              <w:rPr>
                <w:b/>
              </w:rPr>
              <w:t>B2</w:t>
            </w:r>
          </w:p>
        </w:tc>
        <w:tc>
          <w:tcPr>
            <w:tcW w:w="1500" w:type="dxa"/>
            <w:noWrap/>
          </w:tcPr>
          <w:p w14:paraId="3261F13D" w14:textId="77777777" w:rsidR="00DB2B68" w:rsidRDefault="00000000">
            <w:pPr>
              <w:jc w:val="center"/>
            </w:pPr>
            <w:r>
              <w:rPr>
                <w:b/>
              </w:rPr>
              <w:t>C</w:t>
            </w:r>
          </w:p>
        </w:tc>
        <w:tc>
          <w:tcPr>
            <w:tcW w:w="1500" w:type="dxa"/>
            <w:noWrap/>
          </w:tcPr>
          <w:p w14:paraId="727076EA" w14:textId="77777777" w:rsidR="00DB2B68" w:rsidRDefault="00000000">
            <w:pPr>
              <w:jc w:val="center"/>
            </w:pPr>
            <w:r>
              <w:rPr>
                <w:b/>
              </w:rPr>
              <w:t>D</w:t>
            </w:r>
          </w:p>
        </w:tc>
        <w:tc>
          <w:tcPr>
            <w:tcW w:w="1500" w:type="dxa"/>
            <w:noWrap/>
          </w:tcPr>
          <w:p w14:paraId="5F8EF354" w14:textId="77777777" w:rsidR="00DB2B68" w:rsidRDefault="00000000">
            <w:pPr>
              <w:jc w:val="center"/>
            </w:pPr>
            <w:r>
              <w:rPr>
                <w:b/>
              </w:rPr>
              <w:t>E</w:t>
            </w:r>
          </w:p>
        </w:tc>
      </w:tr>
      <w:tr w:rsidR="00DB2B68" w14:paraId="269F7E30" w14:textId="77777777">
        <w:tc>
          <w:tcPr>
            <w:tcW w:w="1500" w:type="dxa"/>
            <w:noWrap/>
          </w:tcPr>
          <w:p w14:paraId="1C19BC01" w14:textId="77777777" w:rsidR="00DB2B68" w:rsidRDefault="00000000">
            <w:pPr>
              <w:jc w:val="center"/>
            </w:pPr>
            <w:r>
              <w:rPr>
                <w:b/>
              </w:rPr>
              <w:t>Classe de résistance</w:t>
            </w:r>
          </w:p>
        </w:tc>
        <w:tc>
          <w:tcPr>
            <w:tcW w:w="1500" w:type="dxa"/>
            <w:noWrap/>
          </w:tcPr>
          <w:p w14:paraId="224E2697" w14:textId="77777777" w:rsidR="00DB2B68" w:rsidRDefault="00000000">
            <w:pPr>
              <w:jc w:val="center"/>
            </w:pPr>
            <w:r>
              <w:rPr>
                <w:b/>
              </w:rPr>
              <w:t>Domaine d’application</w:t>
            </w:r>
          </w:p>
        </w:tc>
        <w:tc>
          <w:tcPr>
            <w:tcW w:w="1500" w:type="dxa"/>
            <w:noWrap/>
          </w:tcPr>
          <w:p w14:paraId="2B2B397C" w14:textId="77777777" w:rsidR="00DB2B68" w:rsidRDefault="00000000">
            <w:pPr>
              <w:jc w:val="center"/>
            </w:pPr>
            <w:r>
              <w:rPr>
                <w:b/>
              </w:rPr>
              <w:t>Classe d'environnement</w:t>
            </w:r>
          </w:p>
        </w:tc>
        <w:tc>
          <w:tcPr>
            <w:tcW w:w="1500" w:type="dxa"/>
            <w:noWrap/>
          </w:tcPr>
          <w:p w14:paraId="34492097" w14:textId="77777777" w:rsidR="00DB2B68" w:rsidRDefault="00000000">
            <w:pPr>
              <w:jc w:val="center"/>
            </w:pPr>
            <w:r>
              <w:rPr>
                <w:b/>
              </w:rPr>
              <w:t>Classe de consistance</w:t>
            </w:r>
          </w:p>
        </w:tc>
        <w:tc>
          <w:tcPr>
            <w:tcW w:w="1500" w:type="dxa"/>
            <w:noWrap/>
          </w:tcPr>
          <w:p w14:paraId="747412D3" w14:textId="77777777" w:rsidR="00DB2B68" w:rsidRDefault="00000000">
            <w:pPr>
              <w:jc w:val="center"/>
            </w:pPr>
            <w:r>
              <w:rPr>
                <w:b/>
              </w:rPr>
              <w:t>Granulométrie maximale</w:t>
            </w:r>
          </w:p>
        </w:tc>
        <w:tc>
          <w:tcPr>
            <w:tcW w:w="1500" w:type="dxa"/>
            <w:noWrap/>
          </w:tcPr>
          <w:p w14:paraId="24031DEB" w14:textId="77777777" w:rsidR="00DB2B68" w:rsidRDefault="00000000">
            <w:r>
              <w:rPr>
                <w:b/>
              </w:rPr>
              <w:t>Données complémentaires</w:t>
            </w:r>
          </w:p>
        </w:tc>
      </w:tr>
      <w:tr w:rsidR="00DB2B68" w14:paraId="1B598C16" w14:textId="77777777">
        <w:tc>
          <w:tcPr>
            <w:tcW w:w="1500" w:type="dxa"/>
            <w:noWrap/>
          </w:tcPr>
          <w:p w14:paraId="4FB8CBA8" w14:textId="77777777" w:rsidR="00DB2B68" w:rsidRDefault="00000000">
            <w:pPr>
              <w:jc w:val="center"/>
            </w:pPr>
            <w:r>
              <w:rPr>
                <w:rStyle w:val="optioncarChar"/>
              </w:rPr>
              <w:t xml:space="preserve">C25/30 / C30/37 / C35/45 / </w:t>
            </w:r>
            <w:r>
              <w:rPr>
                <w:rStyle w:val="optioncarChar"/>
              </w:rPr>
              <w:lastRenderedPageBreak/>
              <w:t>C45/55 / C50/60 / C55/67 / C60/75 / C70/85 / C80/95 / C90/105</w:t>
            </w:r>
          </w:p>
        </w:tc>
        <w:tc>
          <w:tcPr>
            <w:tcW w:w="1500" w:type="dxa"/>
            <w:noWrap/>
          </w:tcPr>
          <w:p w14:paraId="7F69CC29" w14:textId="77777777" w:rsidR="00DB2B68" w:rsidRDefault="00000000">
            <w:pPr>
              <w:jc w:val="center"/>
            </w:pPr>
            <w:r>
              <w:lastRenderedPageBreak/>
              <w:t>Béton armé</w:t>
            </w:r>
          </w:p>
          <w:p w14:paraId="18CA42D3" w14:textId="77777777" w:rsidR="00DB2B68" w:rsidRDefault="00000000">
            <w:pPr>
              <w:jc w:val="center"/>
            </w:pPr>
            <w:r>
              <w:t> </w:t>
            </w:r>
          </w:p>
        </w:tc>
        <w:tc>
          <w:tcPr>
            <w:tcW w:w="1500" w:type="dxa"/>
            <w:noWrap/>
          </w:tcPr>
          <w:p w14:paraId="22724AEE" w14:textId="77777777" w:rsidR="00DB2B68" w:rsidRDefault="00000000">
            <w:pPr>
              <w:jc w:val="center"/>
            </w:pPr>
            <w:r>
              <w:rPr>
                <w:rStyle w:val="optioncarChar"/>
              </w:rPr>
              <w:t xml:space="preserve">E0 / EI / EE1 / EE2 / EE3 / EE4 / ES1 / </w:t>
            </w:r>
            <w:r>
              <w:rPr>
                <w:rStyle w:val="optioncarChar"/>
              </w:rPr>
              <w:lastRenderedPageBreak/>
              <w:t>ES2 / ES3 / ES4 / EA1+*** / EA2+***/ EA3+***</w:t>
            </w:r>
          </w:p>
        </w:tc>
        <w:tc>
          <w:tcPr>
            <w:tcW w:w="1500" w:type="dxa"/>
            <w:noWrap/>
          </w:tcPr>
          <w:p w14:paraId="15B161BB" w14:textId="77777777" w:rsidR="00DB2B68" w:rsidRDefault="00000000">
            <w:pPr>
              <w:jc w:val="center"/>
            </w:pPr>
            <w:r>
              <w:lastRenderedPageBreak/>
              <w:t>au choix de l'entrepreneur :</w:t>
            </w:r>
          </w:p>
          <w:p w14:paraId="50FF1188" w14:textId="77777777" w:rsidR="00DB2B68" w:rsidRDefault="00000000">
            <w:pPr>
              <w:jc w:val="center"/>
            </w:pPr>
            <w:r>
              <w:rPr>
                <w:rStyle w:val="optioncarChar"/>
              </w:rPr>
              <w:t xml:space="preserve">S3 / S4 / S5 </w:t>
            </w:r>
          </w:p>
          <w:p w14:paraId="64507D00" w14:textId="77777777" w:rsidR="00DB2B68" w:rsidRDefault="00000000">
            <w:pPr>
              <w:jc w:val="center"/>
            </w:pPr>
            <w:r>
              <w:rPr>
                <w:rStyle w:val="optioncarChar"/>
              </w:rPr>
              <w:lastRenderedPageBreak/>
              <w:t>F3 / F4 / F5 / F6</w:t>
            </w:r>
            <w:r>
              <w:br/>
            </w:r>
          </w:p>
        </w:tc>
        <w:tc>
          <w:tcPr>
            <w:tcW w:w="1500" w:type="dxa"/>
            <w:noWrap/>
          </w:tcPr>
          <w:p w14:paraId="7ED846BB" w14:textId="77777777" w:rsidR="00DB2B68" w:rsidRDefault="00000000">
            <w:pPr>
              <w:jc w:val="center"/>
            </w:pPr>
            <w:r>
              <w:lastRenderedPageBreak/>
              <w:t>au choix de l'entrepreneur :</w:t>
            </w:r>
          </w:p>
          <w:p w14:paraId="4A1E7D0D" w14:textId="77777777" w:rsidR="00DB2B68" w:rsidRDefault="00000000">
            <w:pPr>
              <w:jc w:val="center"/>
            </w:pPr>
            <w:r>
              <w:rPr>
                <w:rStyle w:val="optioncarChar"/>
              </w:rPr>
              <w:t xml:space="preserve">6 / 8 / 10 / 11 / </w:t>
            </w:r>
            <w:r>
              <w:rPr>
                <w:rStyle w:val="optioncarChar"/>
              </w:rPr>
              <w:lastRenderedPageBreak/>
              <w:t>12 / 14 / 16 / 20 / 22 / 32 </w:t>
            </w:r>
            <w:r>
              <w:t>mm</w:t>
            </w:r>
          </w:p>
        </w:tc>
        <w:tc>
          <w:tcPr>
            <w:tcW w:w="1500" w:type="dxa"/>
            <w:noWrap/>
          </w:tcPr>
          <w:p w14:paraId="0EB04526" w14:textId="77777777" w:rsidR="00DB2B68" w:rsidRDefault="00000000">
            <w:pPr>
              <w:jc w:val="center"/>
            </w:pPr>
            <w:r>
              <w:rPr>
                <w:rStyle w:val="optioncarChar"/>
              </w:rPr>
              <w:lastRenderedPageBreak/>
              <w:t>***</w:t>
            </w:r>
          </w:p>
        </w:tc>
      </w:tr>
    </w:tbl>
    <w:p w14:paraId="555FF431" w14:textId="77777777" w:rsidR="00DB2B68" w:rsidRDefault="00000000">
      <w:r>
        <w:t> </w:t>
      </w:r>
    </w:p>
    <w:p w14:paraId="5D27F196"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606BF602" w14:textId="77777777" w:rsidR="00DB2B68" w:rsidRDefault="00000000">
      <w:pPr>
        <w:pStyle w:val="Author-eListParagraph"/>
        <w:numPr>
          <w:ilvl w:val="0"/>
          <w:numId w:val="429"/>
        </w:numPr>
      </w:pPr>
      <w:r>
        <w:t xml:space="preserve">Classe de viscosité apparente : </w:t>
      </w:r>
      <w:r>
        <w:rPr>
          <w:rStyle w:val="optioncarChar"/>
        </w:rPr>
        <w:t>VS1 / VS2</w:t>
      </w:r>
      <w:r>
        <w:t xml:space="preserve"> (selon la [NBN EN 12350-8] )</w:t>
      </w:r>
    </w:p>
    <w:p w14:paraId="28C9A7DC" w14:textId="77777777" w:rsidR="00DB2B68" w:rsidRDefault="00000000">
      <w:pPr>
        <w:pStyle w:val="Author-eListParagraph"/>
        <w:numPr>
          <w:ilvl w:val="0"/>
          <w:numId w:val="42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B39636F" w14:textId="77777777" w:rsidR="00DB2B68" w:rsidRDefault="00000000">
      <w:pPr>
        <w:pStyle w:val="Author-eListParagraph"/>
        <w:numPr>
          <w:ilvl w:val="0"/>
          <w:numId w:val="42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3A88239"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3298A9F0" w14:textId="77777777" w:rsidR="00DB2B68" w:rsidRDefault="00000000">
      <w:pPr>
        <w:pStyle w:val="Author-eListParagraph"/>
        <w:numPr>
          <w:ilvl w:val="0"/>
          <w:numId w:val="430"/>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 .</w:t>
      </w:r>
    </w:p>
    <w:p w14:paraId="25BC1EE0" w14:textId="77777777" w:rsidR="00DB2B68" w:rsidRDefault="00000000">
      <w:pPr>
        <w:pStyle w:val="Author-eListParagraph"/>
        <w:numPr>
          <w:ilvl w:val="0"/>
          <w:numId w:val="430"/>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CF9442D" w14:textId="77777777" w:rsidR="00DB2B68" w:rsidRDefault="00000000">
      <w:pPr>
        <w:pStyle w:val="Author-eListParagraph"/>
        <w:numPr>
          <w:ilvl w:val="0"/>
          <w:numId w:val="430"/>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w:t>
      </w:r>
      <w:r>
        <w:rPr>
          <w:rStyle w:val="optioncarChar"/>
        </w:rPr>
        <w:t>(par défaut)</w:t>
      </w:r>
      <w:r>
        <w:t xml:space="preserve"> mm.</w:t>
      </w:r>
    </w:p>
    <w:p w14:paraId="41B95328" w14:textId="77777777" w:rsidR="00DB2B68" w:rsidRDefault="00000000">
      <w:pPr>
        <w:pStyle w:val="pheading"/>
      </w:pPr>
      <w:r>
        <w:t>- Prescriptions complémentaires</w:t>
      </w:r>
    </w:p>
    <w:p w14:paraId="7DB7F314" w14:textId="77777777" w:rsidR="00DB2B68" w:rsidRDefault="00000000">
      <w:r>
        <w:t xml:space="preserve">Résistance au feu: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 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rPr>
          <w:rStyle w:val="optioncarChar"/>
        </w:rPr>
        <w:t>.</w:t>
      </w:r>
    </w:p>
    <w:p w14:paraId="14F54665" w14:textId="77777777" w:rsidR="00DB2B68" w:rsidRDefault="00000000">
      <w:pPr>
        <w:pStyle w:val="pheading"/>
      </w:pPr>
      <w:r>
        <w:t>MESURAGE</w:t>
      </w:r>
    </w:p>
    <w:p w14:paraId="209A5B8C" w14:textId="77777777" w:rsidR="00DB2B68" w:rsidRDefault="00000000">
      <w:r>
        <w:t>Conformément à la nature du plancher, aux indications spécifiques dans le cahier spécial des charges et/ou le métré récapitulatif, le mesurage doit être conçu comme suit :</w:t>
      </w:r>
    </w:p>
    <w:p w14:paraId="5CB6CEF1" w14:textId="77777777" w:rsidR="00DB2B68" w:rsidRDefault="00000000">
      <w:pPr>
        <w:pStyle w:val="pheading"/>
      </w:pPr>
      <w:r>
        <w:t>- unité de mesure:</w:t>
      </w:r>
    </w:p>
    <w:p w14:paraId="6C2DDF85" w14:textId="77777777" w:rsidR="00DB2B68" w:rsidRDefault="00000000">
      <w:r>
        <w:rPr>
          <w:b/>
        </w:rPr>
        <w:t>Choix opéré</w:t>
      </w:r>
      <w:r>
        <w:t xml:space="preserve"> : </w:t>
      </w:r>
      <w:r>
        <w:rPr>
          <w:rStyle w:val="optioncarChar"/>
        </w:rPr>
        <w:t>OPTION 1 (par défaut) / OPTION 1bis / OPTION 2 / OPTION 3</w:t>
      </w:r>
    </w:p>
    <w:p w14:paraId="36E4E7B4" w14:textId="77777777" w:rsidR="00DB2B68" w:rsidRDefault="00000000">
      <w:r>
        <w:rPr>
          <w:b/>
        </w:rPr>
        <w:t>***OPTION 1:(par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0699BDEF" w14:textId="77777777" w:rsidR="00DB2B68" w:rsidRDefault="00000000">
      <w:r>
        <w:t>***</w:t>
      </w:r>
      <w:r>
        <w:rPr>
          <w:b/>
        </w:rPr>
        <w:t>OPTION bis :</w:t>
      </w:r>
      <w:r>
        <w:t>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53182F9F" w14:textId="77777777" w:rsidR="00DB2B68" w:rsidRDefault="00000000">
      <w:r>
        <w:t>***</w:t>
      </w:r>
      <w:r>
        <w:rPr>
          <w:b/>
        </w:rPr>
        <w:t>OPTION 2:</w:t>
      </w:r>
    </w:p>
    <w:p w14:paraId="61E7D0A2" w14:textId="77777777" w:rsidR="00DB2B68" w:rsidRDefault="00000000">
      <w:pPr>
        <w:pStyle w:val="Author-eListParagraph"/>
        <w:numPr>
          <w:ilvl w:val="0"/>
          <w:numId w:val="431"/>
        </w:numPr>
      </w:pPr>
      <w:r>
        <w:t>m³ pour le béton</w:t>
      </w:r>
    </w:p>
    <w:p w14:paraId="153BC9F2" w14:textId="77777777" w:rsidR="00DB2B68" w:rsidRDefault="00000000">
      <w:pPr>
        <w:pStyle w:val="Author-eListParagraph"/>
        <w:numPr>
          <w:ilvl w:val="0"/>
          <w:numId w:val="431"/>
        </w:numPr>
      </w:pPr>
      <w:r>
        <w:t>kg pour les armatures</w:t>
      </w:r>
    </w:p>
    <w:p w14:paraId="31BEFC64" w14:textId="77777777" w:rsidR="00DB2B68" w:rsidRDefault="00000000">
      <w:pPr>
        <w:pStyle w:val="Author-eListParagraph"/>
        <w:numPr>
          <w:ilvl w:val="0"/>
          <w:numId w:val="431"/>
        </w:numPr>
      </w:pPr>
      <w:r>
        <w:lastRenderedPageBreak/>
        <w:t>Tous les autres éléments, travaux et fournitures doivent être compris dans les prix unitaires respectifs pour les mesurages précités.</w:t>
      </w:r>
    </w:p>
    <w:p w14:paraId="06E55A01" w14:textId="77777777" w:rsidR="00DB2B68" w:rsidRDefault="00000000">
      <w:r>
        <w:t>***</w:t>
      </w:r>
      <w:r>
        <w:rPr>
          <w:b/>
        </w:rPr>
        <w:t>OPTION 3:</w:t>
      </w:r>
    </w:p>
    <w:p w14:paraId="27BA8B64" w14:textId="77777777" w:rsidR="00DB2B68" w:rsidRDefault="00000000">
      <w:pPr>
        <w:pStyle w:val="Author-eListParagraph"/>
        <w:numPr>
          <w:ilvl w:val="0"/>
          <w:numId w:val="432"/>
        </w:numPr>
      </w:pPr>
      <w:r>
        <w:t>m³ pour le béton de remplissage</w:t>
      </w:r>
    </w:p>
    <w:p w14:paraId="3A82498E" w14:textId="77777777" w:rsidR="00DB2B68" w:rsidRDefault="00000000">
      <w:pPr>
        <w:pStyle w:val="Author-eListParagraph"/>
        <w:numPr>
          <w:ilvl w:val="0"/>
          <w:numId w:val="432"/>
        </w:numPr>
      </w:pPr>
      <w:r>
        <w:t>m³ pour la couche de compression béton (en mentionnant l'épaisseur...)</w:t>
      </w:r>
    </w:p>
    <w:p w14:paraId="334C9857" w14:textId="77777777" w:rsidR="00DB2B68" w:rsidRDefault="00000000">
      <w:pPr>
        <w:pStyle w:val="Author-eListParagraph"/>
        <w:numPr>
          <w:ilvl w:val="0"/>
          <w:numId w:val="432"/>
        </w:numPr>
      </w:pPr>
      <w:r>
        <w:t>kg pour les armatures supplémentaires</w:t>
      </w:r>
    </w:p>
    <w:p w14:paraId="1C7D0D96" w14:textId="77777777" w:rsidR="00DB2B68" w:rsidRDefault="00000000">
      <w:pPr>
        <w:pStyle w:val="Author-eListParagraph"/>
        <w:numPr>
          <w:ilvl w:val="0"/>
          <w:numId w:val="432"/>
        </w:numPr>
      </w:pPr>
      <w:r>
        <w:t>Pièces divergentes et pièces spéciales : à la pièce (selon les dimensions identiques ou indications standards).</w:t>
      </w:r>
    </w:p>
    <w:p w14:paraId="047EEE04"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147DBD9D" w14:textId="77777777" w:rsidR="00DB2B68" w:rsidRDefault="00000000">
      <w:pPr>
        <w:pStyle w:val="pheading"/>
      </w:pPr>
      <w:r>
        <w:t>- code de mesurage:</w:t>
      </w:r>
    </w:p>
    <w:p w14:paraId="36DFDF51" w14:textId="77777777" w:rsidR="00DB2B68"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4586F181" w14:textId="77777777" w:rsidR="00DB2B68" w:rsidRDefault="00000000">
      <w:pPr>
        <w:pStyle w:val="pheading"/>
      </w:pPr>
      <w:r>
        <w:t>- nature du marché:</w:t>
      </w:r>
    </w:p>
    <w:p w14:paraId="64EBBBDA" w14:textId="77777777" w:rsidR="00DB2B68" w:rsidRDefault="00000000">
      <w:r>
        <w:rPr>
          <w:rStyle w:val="optioncarChar"/>
        </w:rPr>
        <w:t xml:space="preserve">QF </w:t>
      </w:r>
      <w:r>
        <w:t>(par défaut)</w:t>
      </w:r>
      <w:r>
        <w:rPr>
          <w:rStyle w:val="optioncarChar"/>
        </w:rPr>
        <w:t xml:space="preserve"> / QP / PM</w:t>
      </w:r>
    </w:p>
    <w:p w14:paraId="429279CE" w14:textId="77777777" w:rsidR="00DB2B68" w:rsidRDefault="00000000">
      <w:pPr>
        <w:pStyle w:val="Author-eSectionHeading6Numberless"/>
      </w:pPr>
      <w:bookmarkStart w:id="718" w:name="_Toc220495779"/>
      <w:r>
        <w:t>22.15.1c Planchers-champignons en béton armé coulé en place CCTB 01.13</w:t>
      </w:r>
      <w:bookmarkEnd w:id="718"/>
    </w:p>
    <w:p w14:paraId="0857A4FD" w14:textId="77777777" w:rsidR="00DB2B68" w:rsidRDefault="00000000">
      <w:pPr>
        <w:pStyle w:val="pheading"/>
      </w:pPr>
      <w:r>
        <w:t>MATÉRIAUX</w:t>
      </w:r>
    </w:p>
    <w:p w14:paraId="25612686" w14:textId="77777777" w:rsidR="00DB2B68" w:rsidRDefault="00000000">
      <w:pPr>
        <w:pStyle w:val="pheading"/>
      </w:pPr>
      <w:r>
        <w:t>- Caractéristiques générales</w:t>
      </w:r>
    </w:p>
    <w:p w14:paraId="1B0FA764" w14:textId="77777777" w:rsidR="00DB2B68" w:rsidRDefault="00000000">
      <w:pPr>
        <w:pStyle w:val="Author-eListParagraph"/>
        <w:numPr>
          <w:ilvl w:val="0"/>
          <w:numId w:val="433"/>
        </w:numPr>
      </w:pPr>
      <w:r>
        <w:t xml:space="preserve">Qualité du béton selon la [NBN EN 206:2013+A2] et la [NBN B 15-001] : (voir également </w:t>
      </w:r>
      <w:hyperlink w:anchor="87" w:history="1">
        <w:r>
          <w:rPr>
            <w:color w:val="0000EE"/>
          </w:rPr>
          <w:t>22 Superstructures en béton</w:t>
        </w:r>
      </w:hyperlink>
      <w:r>
        <w:t>).</w:t>
      </w:r>
    </w:p>
    <w:tbl>
      <w:tblPr>
        <w:tblStyle w:val="Author-eTableGrid"/>
        <w:tblW w:w="5000" w:type="pct"/>
        <w:tblLayout w:type="fixed"/>
        <w:tblLook w:val="04A0" w:firstRow="1" w:lastRow="0" w:firstColumn="1" w:lastColumn="0" w:noHBand="0" w:noVBand="1"/>
      </w:tblPr>
      <w:tblGrid>
        <w:gridCol w:w="1517"/>
        <w:gridCol w:w="1517"/>
        <w:gridCol w:w="1516"/>
        <w:gridCol w:w="1516"/>
        <w:gridCol w:w="1516"/>
        <w:gridCol w:w="1516"/>
      </w:tblGrid>
      <w:tr w:rsidR="00DB2B68" w14:paraId="543BD368" w14:textId="77777777">
        <w:tc>
          <w:tcPr>
            <w:tcW w:w="1500" w:type="dxa"/>
            <w:noWrap/>
          </w:tcPr>
          <w:p w14:paraId="42957075" w14:textId="77777777" w:rsidR="00DB2B68" w:rsidRDefault="00000000">
            <w:pPr>
              <w:jc w:val="center"/>
            </w:pPr>
            <w:r>
              <w:rPr>
                <w:b/>
              </w:rPr>
              <w:t>A</w:t>
            </w:r>
          </w:p>
        </w:tc>
        <w:tc>
          <w:tcPr>
            <w:tcW w:w="1500" w:type="dxa"/>
            <w:noWrap/>
          </w:tcPr>
          <w:p w14:paraId="7A081D21" w14:textId="77777777" w:rsidR="00DB2B68" w:rsidRDefault="00000000">
            <w:pPr>
              <w:jc w:val="center"/>
            </w:pPr>
            <w:r>
              <w:rPr>
                <w:b/>
              </w:rPr>
              <w:t>B1</w:t>
            </w:r>
          </w:p>
        </w:tc>
        <w:tc>
          <w:tcPr>
            <w:tcW w:w="1500" w:type="dxa"/>
            <w:noWrap/>
          </w:tcPr>
          <w:p w14:paraId="24527905" w14:textId="77777777" w:rsidR="00DB2B68" w:rsidRDefault="00000000">
            <w:pPr>
              <w:jc w:val="center"/>
            </w:pPr>
            <w:r>
              <w:rPr>
                <w:b/>
              </w:rPr>
              <w:t>B2</w:t>
            </w:r>
          </w:p>
        </w:tc>
        <w:tc>
          <w:tcPr>
            <w:tcW w:w="1500" w:type="dxa"/>
            <w:noWrap/>
          </w:tcPr>
          <w:p w14:paraId="0AF97C60" w14:textId="77777777" w:rsidR="00DB2B68" w:rsidRDefault="00000000">
            <w:pPr>
              <w:jc w:val="center"/>
            </w:pPr>
            <w:r>
              <w:rPr>
                <w:b/>
              </w:rPr>
              <w:t>C</w:t>
            </w:r>
          </w:p>
        </w:tc>
        <w:tc>
          <w:tcPr>
            <w:tcW w:w="1500" w:type="dxa"/>
            <w:noWrap/>
          </w:tcPr>
          <w:p w14:paraId="20253443" w14:textId="77777777" w:rsidR="00DB2B68" w:rsidRDefault="00000000">
            <w:pPr>
              <w:jc w:val="center"/>
            </w:pPr>
            <w:r>
              <w:rPr>
                <w:b/>
              </w:rPr>
              <w:t>D</w:t>
            </w:r>
          </w:p>
        </w:tc>
        <w:tc>
          <w:tcPr>
            <w:tcW w:w="1500" w:type="dxa"/>
            <w:noWrap/>
          </w:tcPr>
          <w:p w14:paraId="4E52A975" w14:textId="77777777" w:rsidR="00DB2B68" w:rsidRDefault="00000000">
            <w:pPr>
              <w:jc w:val="center"/>
            </w:pPr>
            <w:r>
              <w:rPr>
                <w:b/>
              </w:rPr>
              <w:t>E</w:t>
            </w:r>
          </w:p>
        </w:tc>
      </w:tr>
      <w:tr w:rsidR="00DB2B68" w14:paraId="2E3A501E" w14:textId="77777777">
        <w:tc>
          <w:tcPr>
            <w:tcW w:w="1500" w:type="dxa"/>
            <w:noWrap/>
          </w:tcPr>
          <w:p w14:paraId="162A17D2" w14:textId="77777777" w:rsidR="00DB2B68" w:rsidRDefault="00000000">
            <w:pPr>
              <w:jc w:val="center"/>
            </w:pPr>
            <w:r>
              <w:rPr>
                <w:b/>
              </w:rPr>
              <w:t>Classe de résistance</w:t>
            </w:r>
          </w:p>
        </w:tc>
        <w:tc>
          <w:tcPr>
            <w:tcW w:w="1500" w:type="dxa"/>
            <w:noWrap/>
          </w:tcPr>
          <w:p w14:paraId="67E0A15D" w14:textId="77777777" w:rsidR="00DB2B68" w:rsidRDefault="00000000">
            <w:pPr>
              <w:jc w:val="center"/>
            </w:pPr>
            <w:r>
              <w:rPr>
                <w:b/>
              </w:rPr>
              <w:t>Domaine d’application</w:t>
            </w:r>
          </w:p>
        </w:tc>
        <w:tc>
          <w:tcPr>
            <w:tcW w:w="1500" w:type="dxa"/>
            <w:noWrap/>
          </w:tcPr>
          <w:p w14:paraId="2F9B50F7" w14:textId="77777777" w:rsidR="00DB2B68" w:rsidRDefault="00000000">
            <w:pPr>
              <w:jc w:val="center"/>
            </w:pPr>
            <w:r>
              <w:rPr>
                <w:b/>
              </w:rPr>
              <w:t>Classe d'environnement</w:t>
            </w:r>
          </w:p>
        </w:tc>
        <w:tc>
          <w:tcPr>
            <w:tcW w:w="1500" w:type="dxa"/>
            <w:noWrap/>
          </w:tcPr>
          <w:p w14:paraId="747DE7F2" w14:textId="77777777" w:rsidR="00DB2B68" w:rsidRDefault="00000000">
            <w:pPr>
              <w:jc w:val="center"/>
            </w:pPr>
            <w:r>
              <w:rPr>
                <w:b/>
              </w:rPr>
              <w:t>Classe de consistance</w:t>
            </w:r>
          </w:p>
        </w:tc>
        <w:tc>
          <w:tcPr>
            <w:tcW w:w="1500" w:type="dxa"/>
            <w:noWrap/>
          </w:tcPr>
          <w:p w14:paraId="1D38356A" w14:textId="77777777" w:rsidR="00DB2B68" w:rsidRDefault="00000000">
            <w:pPr>
              <w:jc w:val="center"/>
            </w:pPr>
            <w:r>
              <w:rPr>
                <w:b/>
              </w:rPr>
              <w:t>Granulométrie maximale</w:t>
            </w:r>
          </w:p>
        </w:tc>
        <w:tc>
          <w:tcPr>
            <w:tcW w:w="1500" w:type="dxa"/>
            <w:noWrap/>
          </w:tcPr>
          <w:p w14:paraId="1065D8C9" w14:textId="77777777" w:rsidR="00DB2B68" w:rsidRDefault="00000000">
            <w:r>
              <w:rPr>
                <w:b/>
              </w:rPr>
              <w:t>Données complémentaires</w:t>
            </w:r>
          </w:p>
        </w:tc>
      </w:tr>
      <w:tr w:rsidR="00DB2B68" w14:paraId="366FA3F0" w14:textId="77777777">
        <w:tc>
          <w:tcPr>
            <w:tcW w:w="1500" w:type="dxa"/>
            <w:noWrap/>
          </w:tcPr>
          <w:p w14:paraId="0E20521D" w14:textId="77777777" w:rsidR="00DB2B68" w:rsidRDefault="00000000">
            <w:pPr>
              <w:jc w:val="center"/>
            </w:pPr>
            <w:r>
              <w:rPr>
                <w:rStyle w:val="optioncarChar"/>
              </w:rPr>
              <w:t>C25/30 / C30/37 / C35/45 / C45/55 / C50/60 / C55/67 / C60/75 / C70/85 / C80/95 / C90/105</w:t>
            </w:r>
          </w:p>
        </w:tc>
        <w:tc>
          <w:tcPr>
            <w:tcW w:w="1500" w:type="dxa"/>
            <w:noWrap/>
          </w:tcPr>
          <w:p w14:paraId="08FAD364" w14:textId="77777777" w:rsidR="00DB2B68" w:rsidRDefault="00000000">
            <w:pPr>
              <w:jc w:val="center"/>
            </w:pPr>
            <w:r>
              <w:t>Béton armé</w:t>
            </w:r>
          </w:p>
          <w:p w14:paraId="198C674A" w14:textId="77777777" w:rsidR="00DB2B68" w:rsidRDefault="00000000">
            <w:pPr>
              <w:jc w:val="center"/>
            </w:pPr>
            <w:r>
              <w:t> </w:t>
            </w:r>
          </w:p>
        </w:tc>
        <w:tc>
          <w:tcPr>
            <w:tcW w:w="1500" w:type="dxa"/>
            <w:noWrap/>
          </w:tcPr>
          <w:p w14:paraId="3A63520F" w14:textId="77777777" w:rsidR="00DB2B68" w:rsidRDefault="00000000">
            <w:pPr>
              <w:jc w:val="center"/>
            </w:pPr>
            <w:r>
              <w:rPr>
                <w:rStyle w:val="optioncarChar"/>
              </w:rPr>
              <w:t>E0 / EI / EE1 / EE2 / EE3 / EE4 / ES1 / ES2 / ES3 / ES4 / EA1+*** / EA2+***/ EA3+***</w:t>
            </w:r>
          </w:p>
        </w:tc>
        <w:tc>
          <w:tcPr>
            <w:tcW w:w="1500" w:type="dxa"/>
            <w:noWrap/>
          </w:tcPr>
          <w:p w14:paraId="0F4FCA91" w14:textId="77777777" w:rsidR="00DB2B68" w:rsidRDefault="00000000">
            <w:pPr>
              <w:jc w:val="center"/>
            </w:pPr>
            <w:r>
              <w:t>au choix de l'entrepreneur :</w:t>
            </w:r>
          </w:p>
          <w:p w14:paraId="031ACA3C" w14:textId="77777777" w:rsidR="00DB2B68" w:rsidRDefault="00000000">
            <w:pPr>
              <w:jc w:val="center"/>
            </w:pPr>
            <w:r>
              <w:rPr>
                <w:rStyle w:val="optioncarChar"/>
              </w:rPr>
              <w:t>S3 / S4 / S5</w:t>
            </w:r>
          </w:p>
          <w:p w14:paraId="35CD240F" w14:textId="77777777" w:rsidR="00DB2B68" w:rsidRDefault="00000000">
            <w:pPr>
              <w:jc w:val="center"/>
            </w:pPr>
            <w:r>
              <w:rPr>
                <w:rStyle w:val="optioncarChar"/>
              </w:rPr>
              <w:t>F31 / F4 / F5 / F6</w:t>
            </w:r>
            <w:r>
              <w:br/>
            </w:r>
          </w:p>
        </w:tc>
        <w:tc>
          <w:tcPr>
            <w:tcW w:w="1500" w:type="dxa"/>
            <w:noWrap/>
          </w:tcPr>
          <w:p w14:paraId="19ED1923" w14:textId="77777777" w:rsidR="00DB2B68" w:rsidRDefault="00000000">
            <w:pPr>
              <w:jc w:val="center"/>
            </w:pPr>
            <w:r>
              <w:t>au choix de l'entrepreneur :</w:t>
            </w:r>
          </w:p>
          <w:p w14:paraId="37EA1B59" w14:textId="77777777" w:rsidR="00DB2B68" w:rsidRDefault="00000000">
            <w:pPr>
              <w:jc w:val="center"/>
            </w:pPr>
            <w:r>
              <w:rPr>
                <w:rStyle w:val="optioncarChar"/>
              </w:rPr>
              <w:t>6 / 8 / 10 / 11 / 12 / 14 / 16 / 20 / 22 / 32 </w:t>
            </w:r>
            <w:r>
              <w:t>mm</w:t>
            </w:r>
          </w:p>
        </w:tc>
        <w:tc>
          <w:tcPr>
            <w:tcW w:w="1500" w:type="dxa"/>
            <w:noWrap/>
          </w:tcPr>
          <w:p w14:paraId="2B27F1B0" w14:textId="77777777" w:rsidR="00DB2B68" w:rsidRDefault="00000000">
            <w:pPr>
              <w:jc w:val="center"/>
            </w:pPr>
            <w:r>
              <w:rPr>
                <w:rStyle w:val="optioncarChar"/>
              </w:rPr>
              <w:t>***</w:t>
            </w:r>
          </w:p>
        </w:tc>
      </w:tr>
    </w:tbl>
    <w:p w14:paraId="73F0EE19" w14:textId="77777777" w:rsidR="00DB2B68" w:rsidRDefault="00000000">
      <w:r>
        <w:t> </w:t>
      </w:r>
    </w:p>
    <w:p w14:paraId="7CEB32F5"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660EE733" w14:textId="77777777" w:rsidR="00DB2B68" w:rsidRDefault="00000000">
      <w:pPr>
        <w:pStyle w:val="Author-eListParagraph"/>
        <w:numPr>
          <w:ilvl w:val="0"/>
          <w:numId w:val="434"/>
        </w:numPr>
      </w:pPr>
      <w:r>
        <w:t xml:space="preserve">Classe de viscosité apparente : </w:t>
      </w:r>
      <w:r>
        <w:rPr>
          <w:rStyle w:val="optioncarChar"/>
        </w:rPr>
        <w:t>VS1 / VS2</w:t>
      </w:r>
      <w:r>
        <w:t xml:space="preserve"> (selon la [NBN EN 12350-8] )</w:t>
      </w:r>
    </w:p>
    <w:p w14:paraId="64C875A7" w14:textId="77777777" w:rsidR="00DB2B68" w:rsidRDefault="00000000">
      <w:pPr>
        <w:pStyle w:val="Author-eListParagraph"/>
        <w:numPr>
          <w:ilvl w:val="0"/>
          <w:numId w:val="434"/>
        </w:numPr>
      </w:pPr>
      <w:r>
        <w:lastRenderedPageBreak/>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956779C" w14:textId="77777777" w:rsidR="00DB2B68" w:rsidRDefault="00000000">
      <w:pPr>
        <w:pStyle w:val="Author-eListParagraph"/>
        <w:numPr>
          <w:ilvl w:val="0"/>
          <w:numId w:val="43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53783C0"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3DC61BC4" w14:textId="77777777" w:rsidR="00DB2B68" w:rsidRDefault="00000000">
      <w:pPr>
        <w:pStyle w:val="Author-eListParagraph"/>
        <w:numPr>
          <w:ilvl w:val="0"/>
          <w:numId w:val="435"/>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302][PTV 302].</w:t>
      </w:r>
    </w:p>
    <w:p w14:paraId="7423FED3" w14:textId="77777777" w:rsidR="00DB2B68" w:rsidRDefault="00000000">
      <w:pPr>
        <w:pStyle w:val="Author-eListParagraph"/>
        <w:numPr>
          <w:ilvl w:val="0"/>
          <w:numId w:val="435"/>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 .</w:t>
      </w:r>
    </w:p>
    <w:p w14:paraId="23F3CF94" w14:textId="77777777" w:rsidR="00DB2B68" w:rsidRDefault="00000000">
      <w:pPr>
        <w:pStyle w:val="Author-eListParagraph"/>
        <w:numPr>
          <w:ilvl w:val="0"/>
          <w:numId w:val="435"/>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 150 x 150 x 6 x 6 </w:t>
      </w:r>
      <w:r>
        <w:t>(par défaut) mm.</w:t>
      </w:r>
    </w:p>
    <w:p w14:paraId="5B6F1C08" w14:textId="77777777" w:rsidR="00DB2B68" w:rsidRDefault="00000000">
      <w:pPr>
        <w:pStyle w:val="pheading"/>
      </w:pPr>
      <w:r>
        <w:t>- Prescriptions complémentaires</w:t>
      </w:r>
    </w:p>
    <w:p w14:paraId="509352BF" w14:textId="77777777" w:rsidR="00DB2B68" w:rsidRDefault="00000000">
      <w:r>
        <w:t xml:space="preserve">Résistance au feu: pour les éléments porteurs et structuraux sans fonction séparant </w:t>
      </w:r>
      <w:r>
        <w:rPr>
          <w:rStyle w:val="optioncarChar"/>
        </w:rPr>
        <w:t>R15 / R30</w:t>
      </w:r>
      <w:r>
        <w:t> (par défaut)</w:t>
      </w:r>
      <w:r>
        <w:rPr>
          <w:rStyle w:val="optioncarChar"/>
        </w:rPr>
        <w:t xml:space="preserve"> / R60 / R120 / R *** / ***</w:t>
      </w:r>
      <w:r>
        <w:t xml:space="preserve"> et pour les éléments porteurs et structuraux avec fonction séparant </w:t>
      </w:r>
      <w:r>
        <w:rPr>
          <w:rStyle w:val="optioncarChar"/>
        </w:rPr>
        <w:t>REI 30</w:t>
      </w:r>
      <w:r>
        <w:t xml:space="preserve"> (par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3EDA3C2F" w14:textId="77777777" w:rsidR="00DB2B68" w:rsidRDefault="00000000">
      <w:pPr>
        <w:pStyle w:val="pheading"/>
      </w:pPr>
      <w:r>
        <w:t>MESURAGE</w:t>
      </w:r>
    </w:p>
    <w:p w14:paraId="5543A5E6" w14:textId="77777777" w:rsidR="00DB2B68" w:rsidRDefault="00000000">
      <w:pPr>
        <w:pStyle w:val="pheading"/>
      </w:pPr>
      <w:r>
        <w:t>- unité de mesure:</w:t>
      </w:r>
    </w:p>
    <w:p w14:paraId="1F4045B1" w14:textId="77777777" w:rsidR="00DB2B68" w:rsidRDefault="00000000">
      <w:r>
        <w:rPr>
          <w:b/>
        </w:rPr>
        <w:t>Choix opéré</w:t>
      </w:r>
      <w:r>
        <w:t xml:space="preserve"> : </w:t>
      </w:r>
      <w:r>
        <w:rPr>
          <w:rStyle w:val="optioncarChar"/>
        </w:rPr>
        <w:t xml:space="preserve">OPTION 1 </w:t>
      </w:r>
      <w:r>
        <w:t>(par défaut)</w:t>
      </w:r>
      <w:r>
        <w:rPr>
          <w:rStyle w:val="optioncarChar"/>
        </w:rPr>
        <w:t xml:space="preserve"> / OPTION 1bis / OPTION 2 / OPTION 3</w:t>
      </w:r>
    </w:p>
    <w:p w14:paraId="7FBE68AB" w14:textId="77777777" w:rsidR="00DB2B68" w:rsidRDefault="00000000">
      <w:r>
        <w:rPr>
          <w:b/>
        </w:rPr>
        <w:t xml:space="preserve">OPTION 1: (par défaut) m² </w:t>
      </w:r>
      <w:r>
        <w:t>(pour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46C2725D" w14:textId="77777777" w:rsidR="00DB2B68"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2CAA3892" w14:textId="77777777" w:rsidR="00DB2B68" w:rsidRDefault="00000000">
      <w:r>
        <w:rPr>
          <w:b/>
        </w:rPr>
        <w:t>OPTION 2:</w:t>
      </w:r>
    </w:p>
    <w:p w14:paraId="19490A44" w14:textId="77777777" w:rsidR="00DB2B68" w:rsidRDefault="00000000">
      <w:pPr>
        <w:pStyle w:val="Author-eListParagraph"/>
        <w:numPr>
          <w:ilvl w:val="0"/>
          <w:numId w:val="436"/>
        </w:numPr>
      </w:pPr>
      <w:r>
        <w:t>m³ pour le béton</w:t>
      </w:r>
    </w:p>
    <w:p w14:paraId="221B8249" w14:textId="77777777" w:rsidR="00DB2B68" w:rsidRDefault="00000000">
      <w:pPr>
        <w:pStyle w:val="Author-eListParagraph"/>
        <w:numPr>
          <w:ilvl w:val="0"/>
          <w:numId w:val="436"/>
        </w:numPr>
      </w:pPr>
      <w:r>
        <w:t>kg pour les armatures</w:t>
      </w:r>
    </w:p>
    <w:p w14:paraId="1461EB1C" w14:textId="77777777" w:rsidR="00DB2B68" w:rsidRDefault="00000000">
      <w:pPr>
        <w:pStyle w:val="Author-eListParagraph"/>
        <w:numPr>
          <w:ilvl w:val="0"/>
          <w:numId w:val="436"/>
        </w:numPr>
      </w:pPr>
      <w:r>
        <w:t>Tous les autres éléments, travaux et fournitures doivent être compris dans les prix unitaires respectifs pour les mesurages précités.</w:t>
      </w:r>
    </w:p>
    <w:p w14:paraId="0B855AAE" w14:textId="77777777" w:rsidR="00DB2B68" w:rsidRDefault="00000000">
      <w:r>
        <w:rPr>
          <w:b/>
        </w:rPr>
        <w:t xml:space="preserve">OPTION 3: </w:t>
      </w:r>
    </w:p>
    <w:p w14:paraId="15F47FF5" w14:textId="77777777" w:rsidR="00DB2B68" w:rsidRDefault="00000000">
      <w:pPr>
        <w:pStyle w:val="Author-eListParagraph"/>
        <w:numPr>
          <w:ilvl w:val="0"/>
          <w:numId w:val="437"/>
        </w:numPr>
      </w:pPr>
      <w:r>
        <w:t>m³ pour le béton de remplissage</w:t>
      </w:r>
    </w:p>
    <w:p w14:paraId="5FDD9D10" w14:textId="77777777" w:rsidR="00DB2B68" w:rsidRDefault="00000000">
      <w:pPr>
        <w:pStyle w:val="Author-eListParagraph"/>
        <w:numPr>
          <w:ilvl w:val="0"/>
          <w:numId w:val="437"/>
        </w:numPr>
      </w:pPr>
      <w:r>
        <w:t>m³ pour la couche de compression béton (en mentionnant l'épaisseur...)</w:t>
      </w:r>
    </w:p>
    <w:p w14:paraId="53DF5E74" w14:textId="77777777" w:rsidR="00DB2B68" w:rsidRDefault="00000000">
      <w:pPr>
        <w:pStyle w:val="Author-eListParagraph"/>
        <w:numPr>
          <w:ilvl w:val="0"/>
          <w:numId w:val="437"/>
        </w:numPr>
      </w:pPr>
      <w:r>
        <w:t>kg pour les armatures supplémentaires</w:t>
      </w:r>
    </w:p>
    <w:p w14:paraId="3B377AB5" w14:textId="77777777" w:rsidR="00DB2B68" w:rsidRDefault="00000000">
      <w:pPr>
        <w:pStyle w:val="Author-eListParagraph"/>
        <w:numPr>
          <w:ilvl w:val="0"/>
          <w:numId w:val="437"/>
        </w:numPr>
      </w:pPr>
      <w:r>
        <w:t>Pièces divergentes et pièces spéciales : à la pièce (selon les dimensions identiques ou indications standards).</w:t>
      </w:r>
    </w:p>
    <w:p w14:paraId="5A6B412D"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5FB049DE" w14:textId="77777777" w:rsidR="00DB2B68" w:rsidRDefault="00000000">
      <w:pPr>
        <w:pStyle w:val="Author-eSectionHeading6Numberless"/>
      </w:pPr>
      <w:bookmarkStart w:id="719" w:name="_Toc220495780"/>
      <w:r>
        <w:t>22.15.1d Planchers en béton précontraint par post-tension CCTB 01.04</w:t>
      </w:r>
      <w:bookmarkEnd w:id="719"/>
    </w:p>
    <w:p w14:paraId="090EA06B" w14:textId="77777777" w:rsidR="00DB2B68" w:rsidRDefault="00000000">
      <w:pPr>
        <w:pStyle w:val="Author-eSectionHeading5Numberless"/>
      </w:pPr>
      <w:bookmarkStart w:id="720" w:name="_Toc220495781"/>
      <w:r>
        <w:lastRenderedPageBreak/>
        <w:t>22.15.2 Planchers en béton apparent (esthétique) coulé en place CCTB 01.11</w:t>
      </w:r>
      <w:bookmarkEnd w:id="720"/>
    </w:p>
    <w:p w14:paraId="112CE963" w14:textId="77777777" w:rsidR="00DB2B68" w:rsidRDefault="00000000">
      <w:pPr>
        <w:pStyle w:val="pheading"/>
      </w:pPr>
      <w:r>
        <w:t>DESCRIPTION</w:t>
      </w:r>
    </w:p>
    <w:p w14:paraId="03023D81" w14:textId="77777777" w:rsidR="00DB2B68" w:rsidRDefault="00000000">
      <w:pPr>
        <w:pStyle w:val="pheading"/>
      </w:pPr>
      <w:r>
        <w:t>- Définition / Comprend</w:t>
      </w:r>
    </w:p>
    <w:p w14:paraId="07FE3CBB" w14:textId="77777777" w:rsidR="00DB2B68" w:rsidRDefault="00000000">
      <w:pPr>
        <w:jc w:val="both"/>
      </w:pPr>
      <w:r>
        <w:t>Les planchers en béton en béton coulé en place sont réalisés en béton armé ou précontraint après la réalisation d’un coffrage conforme au § 5.2.1. de la [NIT 223] suivie par la mise en œuvre du béton et son décoffrage de celui-ci.</w:t>
      </w:r>
    </w:p>
    <w:p w14:paraId="3F6C949F" w14:textId="77777777" w:rsidR="00DB2B68" w:rsidRDefault="00000000">
      <w:pPr>
        <w:pStyle w:val="pheading"/>
      </w:pPr>
      <w:r>
        <w:t>MATÉRIAUX</w:t>
      </w:r>
    </w:p>
    <w:p w14:paraId="438E7B8F" w14:textId="77777777" w:rsidR="00DB2B68" w:rsidRDefault="00000000">
      <w:pPr>
        <w:jc w:val="both"/>
      </w:pPr>
      <w:r>
        <w:t>Les planchers coulés sur place doivent satisfaire aux conditions générales en ce qui concerne la qualité et la mise en œuvre du béton armé, conformément à la description au </w:t>
      </w:r>
      <w:hyperlink w:anchor="88" w:history="1">
        <w:r>
          <w:rPr>
            <w:color w:val="0000EE"/>
          </w:rPr>
          <w:t>22.15 Planchers en béton</w:t>
        </w:r>
      </w:hyperlink>
      <w:r>
        <w:t> du présent cahier des charges.</w:t>
      </w:r>
    </w:p>
    <w:p w14:paraId="4C26E568" w14:textId="77777777" w:rsidR="00DB2B68" w:rsidRDefault="00000000">
      <w:pPr>
        <w:pStyle w:val="Author-eListParagraph"/>
        <w:numPr>
          <w:ilvl w:val="0"/>
          <w:numId w:val="438"/>
        </w:numPr>
      </w:pPr>
      <w:r>
        <w:t>Qualité du béton selon la [NBN EN 206:2013+A2] et la [NBN B 15-001].</w:t>
      </w:r>
    </w:p>
    <w:p w14:paraId="0B3B9310" w14:textId="77777777" w:rsidR="00DB2B68" w:rsidRDefault="00000000">
      <w:pPr>
        <w:pStyle w:val="Author-eListParagraph"/>
        <w:numPr>
          <w:ilvl w:val="1"/>
          <w:numId w:val="439"/>
        </w:numPr>
      </w:pPr>
      <w:r>
        <w:t>avec comme exigences complémentaires en cas de talochage et de polissage des dalles d’avoir une teneur minimale de 180 l/m</w:t>
      </w:r>
      <w:r>
        <w:rPr>
          <w:vertAlign w:val="superscript"/>
        </w:rPr>
        <w:t>3</w:t>
      </w:r>
      <w:r>
        <w:t xml:space="preserve"> d’eau et teneur maximale en air sur béton frais de 3,0 % conformément à la [NIT 267].</w:t>
      </w:r>
    </w:p>
    <w:p w14:paraId="07857CD8" w14:textId="77777777" w:rsidR="00DB2B68" w:rsidRDefault="00000000">
      <w:pPr>
        <w:pStyle w:val="Author-eListParagraph"/>
        <w:numPr>
          <w:ilvl w:val="0"/>
          <w:numId w:val="438"/>
        </w:numPr>
      </w:pPr>
      <w:r>
        <w:t>Les armatures sont conformes aux séries [NBN A 24-3xx série] dans le cas du béton armé.</w:t>
      </w:r>
    </w:p>
    <w:p w14:paraId="27132E81" w14:textId="77777777" w:rsidR="00DB2B68" w:rsidRDefault="00000000">
      <w:pPr>
        <w:pStyle w:val="Author-eListParagraph"/>
        <w:numPr>
          <w:ilvl w:val="0"/>
          <w:numId w:val="438"/>
        </w:numPr>
      </w:pPr>
      <w:r>
        <w:t>Les armatures sont conformes aux [NBN I 10-001], [NBN I 10-002], [NBN I 10-003]  dans le cas du béton précontraint.</w:t>
      </w:r>
    </w:p>
    <w:p w14:paraId="25EBE202" w14:textId="77777777" w:rsidR="00DB2B68" w:rsidRDefault="00000000">
      <w:pPr>
        <w:pStyle w:val="Author-eListParagraph"/>
        <w:numPr>
          <w:ilvl w:val="0"/>
          <w:numId w:val="438"/>
        </w:numPr>
      </w:pPr>
      <w:r>
        <w:t>Coffrage conforme à la [NIT 223]</w:t>
      </w:r>
    </w:p>
    <w:p w14:paraId="654A23B7" w14:textId="77777777" w:rsidR="00DB2B68" w:rsidRDefault="00000000">
      <w:pPr>
        <w:jc w:val="both"/>
      </w:pPr>
      <w:r>
        <w:t>Les finitions supérieures sont décrites dans la [NIT 267]. La face supérieure est talochée, polie avec incorporation ou non d’une couche d’usure ou brossée.</w:t>
      </w:r>
    </w:p>
    <w:p w14:paraId="68491E23" w14:textId="77777777" w:rsidR="00DB2B68" w:rsidRDefault="00000000">
      <w:pPr>
        <w:jc w:val="both"/>
      </w:pPr>
      <w:r>
        <w:t>La face inférieure est ou non soumise aux exigences de la [NBN B 15-007].</w:t>
      </w:r>
    </w:p>
    <w:p w14:paraId="58160BD1" w14:textId="77777777" w:rsidR="00DB2B68" w:rsidRDefault="00000000">
      <w:pPr>
        <w:pStyle w:val="pheading"/>
      </w:pPr>
      <w:r>
        <w:t>EXÉCUTION / MISE EN ŒUVRE</w:t>
      </w:r>
    </w:p>
    <w:p w14:paraId="60D0285E" w14:textId="77777777" w:rsidR="00DB2B68" w:rsidRDefault="00000000">
      <w:pPr>
        <w:jc w:val="both"/>
      </w:pPr>
      <w:r>
        <w:t>Sauf indications contraires sur les plans, dans l'étude des bétons et/ou dans le cahier spécial des charges, l'exécution des planchers en béton armé coulé en place est effectuée :</w:t>
      </w:r>
    </w:p>
    <w:p w14:paraId="2CA97704" w14:textId="77777777" w:rsidR="00DB2B68" w:rsidRDefault="00000000">
      <w:pPr>
        <w:pStyle w:val="Author-eListParagraph"/>
        <w:numPr>
          <w:ilvl w:val="0"/>
          <w:numId w:val="440"/>
        </w:numPr>
      </w:pPr>
      <w:r>
        <w:t>Épaisseur et contre-flèche : selon les indications sur les plans, avec une contre-flèche de 1/500 de la portée. Voir observations</w:t>
      </w:r>
    </w:p>
    <w:p w14:paraId="7C479843" w14:textId="77777777" w:rsidR="00DB2B68" w:rsidRDefault="00000000">
      <w:pPr>
        <w:pStyle w:val="Author-eListParagraph"/>
        <w:numPr>
          <w:ilvl w:val="0"/>
          <w:numId w:val="440"/>
        </w:numPr>
      </w:pPr>
      <w:r>
        <w:t>Armatures selon Les Eurocodes (essentiellement [NBN EN 1990], [NBN EN 1991 série], [NBN EN 1992-1-1] et [NBN EN 1992-1-2])</w:t>
      </w:r>
    </w:p>
    <w:p w14:paraId="61A92AF0" w14:textId="77777777" w:rsidR="00DB2B68" w:rsidRDefault="00000000">
      <w:pPr>
        <w:pStyle w:val="Author-eListParagraph"/>
        <w:numPr>
          <w:ilvl w:val="0"/>
          <w:numId w:val="440"/>
        </w:numPr>
      </w:pPr>
      <w:r>
        <w:t>En ce qui concerne le coffrage, la pose des armatures, les appuis, les ancrages, les joints de tassement, le coulage du béton, le décoffrage, .. le béton de remplissage et/ou les couches de compression doivent satisfaire aux prescriptions générales données dans le </w:t>
      </w:r>
      <w:hyperlink w:anchor="87" w:history="1">
        <w:r>
          <w:rPr>
            <w:color w:val="0000EE"/>
          </w:rPr>
          <w:t>22 Superstructures en béton</w:t>
        </w:r>
      </w:hyperlink>
      <w:r>
        <w:t>. </w:t>
      </w:r>
    </w:p>
    <w:p w14:paraId="31E128E8" w14:textId="77777777" w:rsidR="00DB2B68" w:rsidRDefault="00000000">
      <w:pPr>
        <w:pStyle w:val="Author-eListParagraph"/>
        <w:numPr>
          <w:ilvl w:val="0"/>
          <w:numId w:val="440"/>
        </w:numPr>
      </w:pPr>
      <w:r>
        <w:t>Le coffrage est conforme au § 5.2.1. de la [NIT 223]</w:t>
      </w:r>
    </w:p>
    <w:p w14:paraId="25EB1F74" w14:textId="77777777" w:rsidR="00DB2B68" w:rsidRDefault="00000000">
      <w:pPr>
        <w:pStyle w:val="Author-eListParagraph"/>
        <w:numPr>
          <w:ilvl w:val="0"/>
          <w:numId w:val="440"/>
        </w:numPr>
      </w:pPr>
      <w:r>
        <w:t>Le béton est coulé en une seule fois. Lorsque cela s'avère impossible, l'entrepreneur en discute à l'avance avec l'auteur de projet ou le bureau d'étude, afin de convenir de la succession des coulages, des joints de reprise, etc.</w:t>
      </w:r>
    </w:p>
    <w:p w14:paraId="48227072" w14:textId="77777777" w:rsidR="00DB2B68" w:rsidRDefault="00000000">
      <w:pPr>
        <w:pStyle w:val="Author-eListParagraph"/>
        <w:numPr>
          <w:ilvl w:val="0"/>
          <w:numId w:val="440"/>
        </w:numPr>
      </w:pPr>
      <w:r>
        <w:t>Le béton est suffisamment compacté à l'aide du matériel nécessaire.</w:t>
      </w:r>
    </w:p>
    <w:p w14:paraId="6C408DF1" w14:textId="77777777" w:rsidR="00DB2B68" w:rsidRDefault="00000000">
      <w:pPr>
        <w:pStyle w:val="Author-eListParagraph"/>
        <w:numPr>
          <w:ilvl w:val="0"/>
          <w:numId w:val="440"/>
        </w:numPr>
      </w:pPr>
      <w:r>
        <w:t>L'entrepreneur prend toutes les précautions afin que le béton fraîchement coulé puisse durcir dans des conditions optimales. La durée de la cure est conforme aux exigences des normes [NBN EN 13670] et [NBN B 15-400].</w:t>
      </w:r>
    </w:p>
    <w:p w14:paraId="0392502A" w14:textId="77777777" w:rsidR="00DB2B68" w:rsidRDefault="00000000">
      <w:pPr>
        <w:pStyle w:val="Author-eListParagraph"/>
        <w:numPr>
          <w:ilvl w:val="0"/>
          <w:numId w:val="440"/>
        </w:numPr>
      </w:pPr>
      <w:r>
        <w:t>La mise en œuvre est conforme aux exigences de la [NIT 267]. En outre, les joints sont réalisés conformément à cette NIT.</w:t>
      </w:r>
    </w:p>
    <w:p w14:paraId="1F1A073E" w14:textId="77777777" w:rsidR="00DB2B68" w:rsidRDefault="00000000">
      <w:pPr>
        <w:pStyle w:val="pheading"/>
      </w:pPr>
      <w:r>
        <w:t>DOCUMENTS DE RÉFÉRENCE</w:t>
      </w:r>
    </w:p>
    <w:p w14:paraId="4494A0E7" w14:textId="77777777" w:rsidR="00DB2B68" w:rsidRDefault="00000000">
      <w:pPr>
        <w:pStyle w:val="pheading"/>
      </w:pPr>
      <w:r>
        <w:t>- Matériau</w:t>
      </w:r>
    </w:p>
    <w:p w14:paraId="14ED8D6B" w14:textId="77777777" w:rsidR="00DB2B68" w:rsidRDefault="00000000">
      <w:r>
        <w:t>[NBN B 15-007, Béton apparent - Classifications et spécifications]</w:t>
      </w:r>
    </w:p>
    <w:p w14:paraId="785710FE" w14:textId="77777777" w:rsidR="00DB2B68" w:rsidRDefault="00000000">
      <w:r>
        <w:t>[NBN EN 206:2013+A2, Béton - Spécification, performances, production et conformité]</w:t>
      </w:r>
    </w:p>
    <w:p w14:paraId="3F33D948" w14:textId="77777777" w:rsidR="00DB2B68" w:rsidRDefault="00000000">
      <w:r>
        <w:lastRenderedPageBreak/>
        <w:t>[NBN B 15-001, Béton - Spécification, performances, production et conformité - Complément national à la NBN EN 206:2013+A2:2021]</w:t>
      </w:r>
    </w:p>
    <w:p w14:paraId="4323867C" w14:textId="77777777" w:rsidR="00DB2B68" w:rsidRDefault="00000000">
      <w:r>
        <w:t>[NBN A 24-3xx série, Produits sidérurgiques - Aciers pour béton armé]</w:t>
      </w:r>
    </w:p>
    <w:p w14:paraId="44EB0908" w14:textId="77777777" w:rsidR="00DB2B68" w:rsidRDefault="00000000">
      <w:r>
        <w:t>[NBN I 10-001, Aciers de précontrainte - Fils, torons et barres - Généralités et prescriptions communes]</w:t>
      </w:r>
    </w:p>
    <w:p w14:paraId="07C64469" w14:textId="77777777" w:rsidR="00DB2B68" w:rsidRDefault="00000000">
      <w:r>
        <w:t>[NBN I 10-002, Aciers de précontrainte - Fils tréfilés]</w:t>
      </w:r>
    </w:p>
    <w:p w14:paraId="5C3B3514" w14:textId="77777777" w:rsidR="00DB2B68" w:rsidRDefault="00000000">
      <w:r>
        <w:t>[NBN I 10-003, Aciers de précontrainte - Torons (avec erratum)]</w:t>
      </w:r>
    </w:p>
    <w:p w14:paraId="66701E4C" w14:textId="77777777" w:rsidR="00DB2B68" w:rsidRDefault="00000000">
      <w:pPr>
        <w:pStyle w:val="pheading"/>
      </w:pPr>
      <w:r>
        <w:t>- Exécution</w:t>
      </w:r>
    </w:p>
    <w:p w14:paraId="7647483C" w14:textId="77777777" w:rsidR="00DB2B68" w:rsidRDefault="00000000">
      <w:r>
        <w:t>[NIT 223, Les planchers portants des bâtiments résidentiels et tertiaires.]</w:t>
      </w:r>
    </w:p>
    <w:p w14:paraId="27AB24F4" w14:textId="77777777" w:rsidR="00DB2B68" w:rsidRDefault="00000000">
      <w:r>
        <w:t>[NBN EN 13670, Exécution des structures en béton]</w:t>
      </w:r>
    </w:p>
    <w:p w14:paraId="6BB5618E" w14:textId="77777777" w:rsidR="00DB2B68" w:rsidRDefault="00000000">
      <w:r>
        <w:t>[NBN B 15-400, Exécution des structures en béton - Supplément national à la NBN EN 13670:2010]</w:t>
      </w:r>
    </w:p>
    <w:p w14:paraId="286C7847" w14:textId="77777777" w:rsidR="00DB2B68" w:rsidRDefault="00000000">
      <w:pPr>
        <w:pStyle w:val="pheading"/>
      </w:pPr>
      <w:r>
        <w:t>AIDE</w:t>
      </w:r>
    </w:p>
    <w:p w14:paraId="644F00A6" w14:textId="77777777" w:rsidR="00DB2B68" w:rsidRDefault="00000000">
      <w:pPr>
        <w:jc w:val="both"/>
      </w:pPr>
      <w:r>
        <w:t>L’épaisseur de la dalle, le renforcement de la dalle et la cure ont une incidence sur la fissuration de la dalle. Des recommandations figurent la [NIT 267].</w:t>
      </w:r>
    </w:p>
    <w:p w14:paraId="45D8DDBC" w14:textId="77777777" w:rsidR="00DB2B68" w:rsidRDefault="00000000">
      <w:pPr>
        <w:pStyle w:val="Author-eSectionHeading6Numberless"/>
      </w:pPr>
      <w:bookmarkStart w:id="721" w:name="_Toc220495782"/>
      <w:r>
        <w:t>22.15.2a Planchers en dalles pleines de béton apparent (esthétique) armé coulé en place CCTB 01.13</w:t>
      </w:r>
      <w:bookmarkEnd w:id="721"/>
    </w:p>
    <w:p w14:paraId="2BBF51AF" w14:textId="77777777" w:rsidR="00DB2B68" w:rsidRDefault="00000000">
      <w:pPr>
        <w:pStyle w:val="pheading"/>
      </w:pPr>
      <w:r>
        <w:t>DESCRIPTION</w:t>
      </w:r>
    </w:p>
    <w:p w14:paraId="65AD7EFD" w14:textId="77777777" w:rsidR="00DB2B68" w:rsidRDefault="00000000">
      <w:pPr>
        <w:pStyle w:val="pheading"/>
      </w:pPr>
      <w:r>
        <w:t>- Définition / Comprend</w:t>
      </w:r>
    </w:p>
    <w:p w14:paraId="4BED96A3" w14:textId="77777777" w:rsidR="00DB2B68" w:rsidRDefault="00000000">
      <w:r>
        <w:t>L’article vise la fourniture et la mise en œuvre de planchers en dalles pleines de béton apparent (esthétique) armé coulé en place.</w:t>
      </w:r>
    </w:p>
    <w:p w14:paraId="74B8C62D" w14:textId="77777777" w:rsidR="00DB2B68" w:rsidRDefault="00000000">
      <w:r>
        <w:t xml:space="preserve">Les travaux comprennent les éléments repris dans la description de </w:t>
      </w:r>
      <w:hyperlink w:anchor="88" w:history="1">
        <w:r>
          <w:rPr>
            <w:color w:val="0000EE"/>
          </w:rPr>
          <w:t>22.15 Planchers en béton</w:t>
        </w:r>
      </w:hyperlink>
      <w:r>
        <w:t>.</w:t>
      </w:r>
    </w:p>
    <w:p w14:paraId="6F9799D1" w14:textId="77777777" w:rsidR="00DB2B68" w:rsidRDefault="00000000">
      <w:pPr>
        <w:pStyle w:val="pheading"/>
      </w:pPr>
      <w:r>
        <w:t>- Localisation</w:t>
      </w:r>
    </w:p>
    <w:p w14:paraId="25F4CF4E" w14:textId="77777777" w:rsidR="00DB2B68" w:rsidRDefault="00000000">
      <w:r>
        <w:t xml:space="preserve">Localisation des travaux : </w:t>
      </w:r>
      <w:r>
        <w:rPr>
          <w:rStyle w:val="optioncarChar"/>
        </w:rPr>
        <w:t>***</w:t>
      </w:r>
      <w:r>
        <w:t>.</w:t>
      </w:r>
    </w:p>
    <w:p w14:paraId="3BC197DC" w14:textId="77777777" w:rsidR="00DB2B68" w:rsidRDefault="00000000">
      <w:r>
        <w:t>Voir plans et métrés détaillés.</w:t>
      </w:r>
    </w:p>
    <w:p w14:paraId="0CEBB96D" w14:textId="77777777" w:rsidR="00DB2B68" w:rsidRDefault="00000000">
      <w:pPr>
        <w:pStyle w:val="pheading"/>
      </w:pPr>
      <w:r>
        <w:t>MATÉRIAUX</w:t>
      </w:r>
    </w:p>
    <w:p w14:paraId="4A3550A8" w14:textId="77777777" w:rsidR="00DB2B68" w:rsidRDefault="00000000">
      <w:pPr>
        <w:pStyle w:val="pheading"/>
      </w:pPr>
      <w:r>
        <w:t>- Caractéristiques générales</w:t>
      </w:r>
    </w:p>
    <w:p w14:paraId="7A641080" w14:textId="77777777" w:rsidR="00DB2B68" w:rsidRDefault="00000000">
      <w:pPr>
        <w:pStyle w:val="Author-eListParagraph"/>
        <w:numPr>
          <w:ilvl w:val="0"/>
          <w:numId w:val="441"/>
        </w:numPr>
      </w:pPr>
      <w:r>
        <w:t xml:space="preserve">Qualité du béton selon la [NBN EN 206:2013+A2] et la [NBN B 15-001] : (voir également </w:t>
      </w:r>
      <w:hyperlink w:anchor="87" w:history="1">
        <w:r>
          <w:rPr>
            <w:color w:val="0000EE"/>
          </w:rPr>
          <w:t>22 Superstructures en béton</w:t>
        </w:r>
      </w:hyperlink>
      <w:r>
        <w:t>).</w:t>
      </w:r>
    </w:p>
    <w:tbl>
      <w:tblPr>
        <w:tblStyle w:val="Author-eTableGrid"/>
        <w:tblW w:w="9060" w:type="dxa"/>
        <w:tblLayout w:type="fixed"/>
        <w:tblLook w:val="04A0" w:firstRow="1" w:lastRow="0" w:firstColumn="1" w:lastColumn="0" w:noHBand="0" w:noVBand="1"/>
      </w:tblPr>
      <w:tblGrid>
        <w:gridCol w:w="1117"/>
        <w:gridCol w:w="1404"/>
        <w:gridCol w:w="1752"/>
        <w:gridCol w:w="1465"/>
        <w:gridCol w:w="1525"/>
        <w:gridCol w:w="1797"/>
      </w:tblGrid>
      <w:tr w:rsidR="00DB2B68" w14:paraId="50878E83" w14:textId="77777777">
        <w:tc>
          <w:tcPr>
            <w:tcW w:w="1110" w:type="dxa"/>
            <w:noWrap/>
          </w:tcPr>
          <w:p w14:paraId="6BD9E5AD" w14:textId="77777777" w:rsidR="00DB2B68" w:rsidRDefault="00000000">
            <w:pPr>
              <w:jc w:val="center"/>
            </w:pPr>
            <w:r>
              <w:rPr>
                <w:b/>
              </w:rPr>
              <w:t>A</w:t>
            </w:r>
          </w:p>
        </w:tc>
        <w:tc>
          <w:tcPr>
            <w:tcW w:w="1395" w:type="dxa"/>
            <w:noWrap/>
          </w:tcPr>
          <w:p w14:paraId="214CFC56" w14:textId="77777777" w:rsidR="00DB2B68" w:rsidRDefault="00000000">
            <w:pPr>
              <w:jc w:val="center"/>
            </w:pPr>
            <w:r>
              <w:rPr>
                <w:b/>
              </w:rPr>
              <w:t>B1</w:t>
            </w:r>
          </w:p>
        </w:tc>
        <w:tc>
          <w:tcPr>
            <w:tcW w:w="1740" w:type="dxa"/>
            <w:noWrap/>
          </w:tcPr>
          <w:p w14:paraId="217924AB" w14:textId="77777777" w:rsidR="00DB2B68" w:rsidRDefault="00000000">
            <w:pPr>
              <w:jc w:val="center"/>
            </w:pPr>
            <w:r>
              <w:rPr>
                <w:b/>
              </w:rPr>
              <w:t>B2</w:t>
            </w:r>
          </w:p>
        </w:tc>
        <w:tc>
          <w:tcPr>
            <w:tcW w:w="1455" w:type="dxa"/>
            <w:noWrap/>
          </w:tcPr>
          <w:p w14:paraId="3F807B27" w14:textId="77777777" w:rsidR="00DB2B68" w:rsidRDefault="00000000">
            <w:pPr>
              <w:jc w:val="center"/>
            </w:pPr>
            <w:r>
              <w:rPr>
                <w:b/>
              </w:rPr>
              <w:t>C</w:t>
            </w:r>
          </w:p>
        </w:tc>
        <w:tc>
          <w:tcPr>
            <w:tcW w:w="1515" w:type="dxa"/>
            <w:noWrap/>
          </w:tcPr>
          <w:p w14:paraId="3F016880" w14:textId="77777777" w:rsidR="00DB2B68" w:rsidRDefault="00000000">
            <w:pPr>
              <w:jc w:val="center"/>
            </w:pPr>
            <w:r>
              <w:rPr>
                <w:b/>
              </w:rPr>
              <w:t>D</w:t>
            </w:r>
          </w:p>
        </w:tc>
        <w:tc>
          <w:tcPr>
            <w:tcW w:w="1785" w:type="dxa"/>
            <w:noWrap/>
          </w:tcPr>
          <w:p w14:paraId="3412CE78" w14:textId="77777777" w:rsidR="00DB2B68" w:rsidRDefault="00000000">
            <w:pPr>
              <w:jc w:val="center"/>
            </w:pPr>
            <w:r>
              <w:rPr>
                <w:b/>
              </w:rPr>
              <w:t>E</w:t>
            </w:r>
          </w:p>
        </w:tc>
      </w:tr>
      <w:tr w:rsidR="00DB2B68" w14:paraId="07036D59" w14:textId="77777777">
        <w:tc>
          <w:tcPr>
            <w:tcW w:w="1110" w:type="dxa"/>
            <w:noWrap/>
          </w:tcPr>
          <w:p w14:paraId="7B7304EA" w14:textId="77777777" w:rsidR="00DB2B68" w:rsidRDefault="00000000">
            <w:r>
              <w:br/>
            </w:r>
            <w:r>
              <w:rPr>
                <w:b/>
              </w:rPr>
              <w:t>Classe de résistance</w:t>
            </w:r>
            <w:r>
              <w:br/>
            </w:r>
            <w:r>
              <w:br/>
            </w:r>
          </w:p>
        </w:tc>
        <w:tc>
          <w:tcPr>
            <w:tcW w:w="1395" w:type="dxa"/>
            <w:noWrap/>
          </w:tcPr>
          <w:p w14:paraId="0690703C" w14:textId="77777777" w:rsidR="00DB2B68" w:rsidRDefault="00000000">
            <w:r>
              <w:br/>
            </w:r>
            <w:r>
              <w:rPr>
                <w:b/>
              </w:rPr>
              <w:t>Domaine d’application</w:t>
            </w:r>
          </w:p>
        </w:tc>
        <w:tc>
          <w:tcPr>
            <w:tcW w:w="1740" w:type="dxa"/>
            <w:noWrap/>
          </w:tcPr>
          <w:p w14:paraId="6E2E5E93" w14:textId="77777777" w:rsidR="00DB2B68" w:rsidRDefault="00000000">
            <w:r>
              <w:br/>
            </w:r>
            <w:r>
              <w:rPr>
                <w:b/>
              </w:rPr>
              <w:t>Classe d'environnement</w:t>
            </w:r>
          </w:p>
        </w:tc>
        <w:tc>
          <w:tcPr>
            <w:tcW w:w="1455" w:type="dxa"/>
            <w:noWrap/>
          </w:tcPr>
          <w:p w14:paraId="03EF10C3" w14:textId="77777777" w:rsidR="00DB2B68" w:rsidRDefault="00000000">
            <w:r>
              <w:br/>
            </w:r>
            <w:r>
              <w:rPr>
                <w:b/>
              </w:rPr>
              <w:t>Classe de consistance</w:t>
            </w:r>
          </w:p>
        </w:tc>
        <w:tc>
          <w:tcPr>
            <w:tcW w:w="1515" w:type="dxa"/>
            <w:noWrap/>
          </w:tcPr>
          <w:p w14:paraId="0562B6ED" w14:textId="77777777" w:rsidR="00DB2B68" w:rsidRDefault="00000000">
            <w:r>
              <w:br/>
            </w:r>
            <w:r>
              <w:rPr>
                <w:b/>
              </w:rPr>
              <w:t>Granulométrie maximale</w:t>
            </w:r>
          </w:p>
        </w:tc>
        <w:tc>
          <w:tcPr>
            <w:tcW w:w="1785" w:type="dxa"/>
            <w:noWrap/>
          </w:tcPr>
          <w:p w14:paraId="37104A69" w14:textId="77777777" w:rsidR="00DB2B68" w:rsidRDefault="00000000">
            <w:r>
              <w:br/>
            </w:r>
            <w:r>
              <w:rPr>
                <w:b/>
              </w:rPr>
              <w:t>Données complémentaires</w:t>
            </w:r>
          </w:p>
        </w:tc>
      </w:tr>
      <w:tr w:rsidR="00DB2B68" w14:paraId="014E7802" w14:textId="77777777">
        <w:tc>
          <w:tcPr>
            <w:tcW w:w="1110" w:type="dxa"/>
            <w:noWrap/>
          </w:tcPr>
          <w:p w14:paraId="2986A296" w14:textId="77777777" w:rsidR="00DB2B68" w:rsidRDefault="00000000">
            <w:pPr>
              <w:jc w:val="center"/>
            </w:pPr>
            <w:r>
              <w:br/>
            </w:r>
            <w:r>
              <w:rPr>
                <w:rStyle w:val="optioncarChar"/>
              </w:rPr>
              <w:t>C25/30 / C30/37 / C35/45 / C45/55 / C50/60 /C55/67 /C60/75 / C70/85 / C80/95 / C90/105</w:t>
            </w:r>
            <w:r>
              <w:br/>
            </w:r>
            <w:r>
              <w:lastRenderedPageBreak/>
              <w:br/>
            </w:r>
          </w:p>
        </w:tc>
        <w:tc>
          <w:tcPr>
            <w:tcW w:w="1395" w:type="dxa"/>
            <w:noWrap/>
          </w:tcPr>
          <w:p w14:paraId="2D181143" w14:textId="77777777" w:rsidR="00DB2B68" w:rsidRDefault="00000000">
            <w:pPr>
              <w:jc w:val="center"/>
            </w:pPr>
            <w:r>
              <w:lastRenderedPageBreak/>
              <w:br/>
              <w:t>Béton armé</w:t>
            </w:r>
          </w:p>
        </w:tc>
        <w:tc>
          <w:tcPr>
            <w:tcW w:w="1740" w:type="dxa"/>
            <w:noWrap/>
          </w:tcPr>
          <w:p w14:paraId="0F5AF6BC" w14:textId="77777777" w:rsidR="00DB2B68" w:rsidRDefault="00000000">
            <w:pPr>
              <w:jc w:val="center"/>
            </w:pPr>
            <w:r>
              <w:br/>
            </w:r>
            <w:r>
              <w:rPr>
                <w:rStyle w:val="optioncarChar"/>
              </w:rPr>
              <w:t>EI / EE1 / EE2 / EE3 / EE4/ES1 / ES2 / ES3 / ES4 / EA1+*** / EA2+***/ EA3+***</w:t>
            </w:r>
          </w:p>
        </w:tc>
        <w:tc>
          <w:tcPr>
            <w:tcW w:w="1455" w:type="dxa"/>
            <w:noWrap/>
          </w:tcPr>
          <w:p w14:paraId="2FB83109" w14:textId="77777777" w:rsidR="00DB2B68" w:rsidRDefault="00000000">
            <w:pPr>
              <w:jc w:val="center"/>
            </w:pPr>
            <w:r>
              <w:br/>
              <w:t>au choix de l'entrepreneur :</w:t>
            </w:r>
            <w:r>
              <w:br/>
            </w:r>
            <w:r>
              <w:br/>
            </w:r>
          </w:p>
          <w:p w14:paraId="483DFC96" w14:textId="77777777" w:rsidR="00DB2B68" w:rsidRDefault="00000000">
            <w:pPr>
              <w:jc w:val="center"/>
            </w:pPr>
            <w:r>
              <w:rPr>
                <w:rStyle w:val="optioncarChar"/>
              </w:rPr>
              <w:t>S4 / S5</w:t>
            </w:r>
            <w:r>
              <w:br/>
            </w:r>
            <w:r>
              <w:br/>
            </w:r>
          </w:p>
          <w:p w14:paraId="0D0FE9ED" w14:textId="77777777" w:rsidR="00DB2B68" w:rsidRDefault="00000000">
            <w:pPr>
              <w:jc w:val="center"/>
            </w:pPr>
            <w:r>
              <w:rPr>
                <w:rStyle w:val="optioncarChar"/>
              </w:rPr>
              <w:t>F4 / F5</w:t>
            </w:r>
          </w:p>
        </w:tc>
        <w:tc>
          <w:tcPr>
            <w:tcW w:w="1515" w:type="dxa"/>
            <w:noWrap/>
          </w:tcPr>
          <w:p w14:paraId="368DDDFF" w14:textId="77777777" w:rsidR="00DB2B68" w:rsidRDefault="00000000">
            <w:pPr>
              <w:jc w:val="center"/>
            </w:pPr>
            <w:r>
              <w:br/>
            </w:r>
            <w:r>
              <w:rPr>
                <w:b/>
              </w:rPr>
              <w:t>﻿</w:t>
            </w:r>
            <w:r>
              <w:t>au choix de l'entrepreneur :</w:t>
            </w:r>
            <w:r>
              <w:br/>
            </w:r>
            <w:r>
              <w:br/>
            </w:r>
          </w:p>
          <w:p w14:paraId="7B8A629D" w14:textId="77777777" w:rsidR="00DB2B68" w:rsidRDefault="00000000">
            <w:pPr>
              <w:jc w:val="center"/>
            </w:pPr>
            <w:r>
              <w:rPr>
                <w:rStyle w:val="optioncarChar"/>
              </w:rPr>
              <w:t>14 / 16 / 20 / 22 / 32</w:t>
            </w:r>
            <w:r>
              <w:t xml:space="preserve"> mm</w:t>
            </w:r>
          </w:p>
          <w:p w14:paraId="06F61F38" w14:textId="77777777" w:rsidR="00DB2B68" w:rsidRDefault="00000000">
            <w:pPr>
              <w:jc w:val="center"/>
            </w:pPr>
            <w:r>
              <w:t> </w:t>
            </w:r>
          </w:p>
        </w:tc>
        <w:tc>
          <w:tcPr>
            <w:tcW w:w="1785" w:type="dxa"/>
            <w:noWrap/>
          </w:tcPr>
          <w:p w14:paraId="2B185653" w14:textId="77777777" w:rsidR="00DB2B68" w:rsidRDefault="00000000">
            <w:pPr>
              <w:jc w:val="center"/>
            </w:pPr>
            <w:r>
              <w:br/>
              <w:t>Si talochage ou polissage</w:t>
            </w:r>
          </w:p>
          <w:p w14:paraId="5FB483B8" w14:textId="77777777" w:rsidR="00DB2B68" w:rsidRDefault="00000000">
            <w:pPr>
              <w:jc w:val="center"/>
            </w:pPr>
            <w:r>
              <w:t>Teneur en eau minimale = 180 l/m³</w:t>
            </w:r>
          </w:p>
          <w:p w14:paraId="2B2E1452" w14:textId="77777777" w:rsidR="00DB2B68" w:rsidRDefault="00000000">
            <w:pPr>
              <w:jc w:val="center"/>
            </w:pPr>
            <w:r>
              <w:t> </w:t>
            </w:r>
          </w:p>
          <w:p w14:paraId="21CE458A" w14:textId="77777777" w:rsidR="00DB2B68" w:rsidRDefault="00000000">
            <w:pPr>
              <w:jc w:val="center"/>
            </w:pPr>
            <w:r>
              <w:t>Teneur maximale en air = 3.0 %</w:t>
            </w:r>
          </w:p>
        </w:tc>
      </w:tr>
    </w:tbl>
    <w:p w14:paraId="3A5E9308" w14:textId="77777777" w:rsidR="00DB2B68" w:rsidRDefault="00000000">
      <w:r>
        <w:br/>
      </w:r>
      <w:r>
        <w:br/>
        <w:t xml:space="preserve">Pourcentage d'armatures : </w:t>
      </w:r>
      <w:r>
        <w:rPr>
          <w:rStyle w:val="optioncarChar"/>
        </w:rPr>
        <w:t>***</w:t>
      </w:r>
      <w:r>
        <w:t xml:space="preserve"> kg d'acier par m3 de béton. (voir </w:t>
      </w:r>
      <w:hyperlink w:anchor="232" w:history="1">
        <w:r>
          <w:rPr>
            <w:color w:val="0000EE"/>
          </w:rPr>
          <w:t>22.51 Armatures pour béton</w:t>
        </w:r>
      </w:hyperlink>
      <w:r>
        <w:t xml:space="preserve"> et [NIT 267] -  chapitre 7: maitrise de la fissuration)</w:t>
      </w:r>
    </w:p>
    <w:p w14:paraId="593B7D7C" w14:textId="77777777" w:rsidR="00DB2B68" w:rsidRDefault="00000000">
      <w:pPr>
        <w:pStyle w:val="Author-eListParagraph"/>
        <w:numPr>
          <w:ilvl w:val="0"/>
          <w:numId w:val="442"/>
        </w:numPr>
      </w:pPr>
      <w:r>
        <w:t xml:space="preserve">Barres d’acier pour les armatures principales : acier </w:t>
      </w:r>
      <w:r>
        <w:rPr>
          <w:rStyle w:val="optioncarChar"/>
        </w:rPr>
        <w:t>BE 500 S</w:t>
      </w:r>
      <w:r>
        <w:t xml:space="preserve"> (par défaut) </w:t>
      </w:r>
      <w:r>
        <w:rPr>
          <w:rStyle w:val="optioncarChar"/>
        </w:rPr>
        <w:t>/ ***</w:t>
      </w:r>
      <w:r>
        <w:t xml:space="preserve"> selon [NBN A 24-302] + [PTV 302].</w:t>
      </w:r>
    </w:p>
    <w:p w14:paraId="5A49F2B5" w14:textId="77777777" w:rsidR="00DB2B68" w:rsidRDefault="00000000">
      <w:pPr>
        <w:pStyle w:val="Author-eListParagraph"/>
        <w:numPr>
          <w:ilvl w:val="0"/>
          <w:numId w:val="442"/>
        </w:numPr>
      </w:pPr>
      <w:r>
        <w:t xml:space="preserve">Acier pour les étriers : acier </w:t>
      </w:r>
      <w:r>
        <w:rPr>
          <w:rStyle w:val="optioncarChar"/>
        </w:rPr>
        <w:t>DE 500 BS / BE 500 S</w:t>
      </w:r>
    </w:p>
    <w:p w14:paraId="61F102D6" w14:textId="77777777" w:rsidR="00DB2B68" w:rsidRDefault="00000000">
      <w:pPr>
        <w:ind w:left="567"/>
      </w:pPr>
      <w:r>
        <w:rPr>
          <w:b/>
          <w:i/>
        </w:rPr>
        <w:t>(Soit par défaut)</w:t>
      </w:r>
    </w:p>
    <w:p w14:paraId="7606B9F5" w14:textId="77777777" w:rsidR="00DB2B68" w:rsidRDefault="00000000">
      <w:pPr>
        <w:ind w:left="567"/>
      </w:pPr>
      <w:r>
        <w:rPr>
          <w:rStyle w:val="soitChar"/>
          <w:u w:val="single"/>
        </w:rPr>
        <w:t>DE 500 BS</w:t>
      </w:r>
      <w:r>
        <w:rPr>
          <w:rStyle w:val="soitChar"/>
        </w:rPr>
        <w:t xml:space="preserve"> selon</w:t>
      </w:r>
      <w:r>
        <w:t>[NBN A 24-303] + [PTV 303]</w:t>
      </w:r>
    </w:p>
    <w:p w14:paraId="7B18F39F" w14:textId="77777777" w:rsidR="00DB2B68" w:rsidRDefault="00000000">
      <w:pPr>
        <w:ind w:left="567"/>
      </w:pPr>
      <w:r>
        <w:rPr>
          <w:b/>
          <w:i/>
        </w:rPr>
        <w:t>(Soit)</w:t>
      </w:r>
    </w:p>
    <w:p w14:paraId="07471247" w14:textId="77777777" w:rsidR="00DB2B68" w:rsidRDefault="00000000">
      <w:pPr>
        <w:ind w:left="567"/>
      </w:pPr>
      <w:r>
        <w:rPr>
          <w:rStyle w:val="soitChar"/>
          <w:u w:val="single"/>
        </w:rPr>
        <w:t>BE 500 S</w:t>
      </w:r>
      <w:r>
        <w:rPr>
          <w:rStyle w:val="soitChar"/>
        </w:rPr>
        <w:t xml:space="preserve"> selon</w:t>
      </w:r>
      <w:r>
        <w:t>[NBN A 24-302] + [PTV 302] .</w:t>
      </w:r>
    </w:p>
    <w:p w14:paraId="4C94D67B" w14:textId="77777777" w:rsidR="00DB2B68" w:rsidRDefault="00000000">
      <w:pPr>
        <w:pStyle w:val="Author-eListParagraph"/>
        <w:numPr>
          <w:ilvl w:val="0"/>
          <w:numId w:val="443"/>
        </w:numPr>
      </w:pPr>
      <w:r>
        <w:t>Treillis soudés selon [NBN A 24-304] + [PTV 304] :</w:t>
      </w:r>
      <w:r>
        <w:rPr>
          <w:rStyle w:val="optioncarChar"/>
        </w:rPr>
        <w:t xml:space="preserve"> 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8 x 8</w:t>
      </w:r>
      <w:r>
        <w:t> (par défaut) mm.</w:t>
      </w:r>
    </w:p>
    <w:p w14:paraId="04F4F85D" w14:textId="77777777" w:rsidR="00DB2B68" w:rsidRDefault="00000000">
      <w:r>
        <w:t>Coffrage : </w:t>
      </w:r>
      <w:r>
        <w:rPr>
          <w:rStyle w:val="optioncarChar"/>
        </w:rPr>
        <w:t>bois </w:t>
      </w:r>
      <w:r>
        <w:t>(par défaut)</w:t>
      </w:r>
      <w:r>
        <w:rPr>
          <w:rStyle w:val="optioncarChar"/>
        </w:rPr>
        <w:t> / métal / synthétique / ***</w:t>
      </w:r>
    </w:p>
    <w:p w14:paraId="44E8CCCB" w14:textId="77777777" w:rsidR="00DB2B68" w:rsidRDefault="00000000">
      <w:pPr>
        <w:pStyle w:val="pheading"/>
      </w:pPr>
      <w:r>
        <w:t>- Finitions</w:t>
      </w:r>
    </w:p>
    <w:p w14:paraId="32056CC0" w14:textId="77777777" w:rsidR="00DB2B68" w:rsidRDefault="00000000">
      <w:pPr>
        <w:jc w:val="both"/>
      </w:pPr>
      <w:r>
        <w:t>Finition supérieure :</w:t>
      </w:r>
      <w:r>
        <w:rPr>
          <w:rStyle w:val="optioncarChar"/>
        </w:rPr>
        <w:t> talochée </w:t>
      </w:r>
      <w:r>
        <w:t>(par défaut)</w:t>
      </w:r>
      <w:r>
        <w:rPr>
          <w:rStyle w:val="optioncarChar"/>
        </w:rPr>
        <w:t> / polie / ***</w:t>
      </w:r>
      <w:r>
        <w:t>.</w:t>
      </w:r>
    </w:p>
    <w:p w14:paraId="1529D5E6" w14:textId="77777777" w:rsidR="00DB2B68" w:rsidRDefault="00000000">
      <w:pPr>
        <w:jc w:val="both"/>
      </w:pPr>
      <w:r>
        <w:t xml:space="preserve">Couche d’usure incorporée : </w:t>
      </w:r>
      <w:r>
        <w:rPr>
          <w:rStyle w:val="optioncarChar"/>
        </w:rPr>
        <w:t>oui / non</w:t>
      </w:r>
    </w:p>
    <w:p w14:paraId="00FF8B5C" w14:textId="77777777" w:rsidR="00DB2B68" w:rsidRDefault="00000000">
      <w:pPr>
        <w:jc w:val="both"/>
      </w:pPr>
      <w:r>
        <w:t xml:space="preserve">Finition inférieure : le type de béton apparent défini suivant la [NBN B 15-007] est </w:t>
      </w:r>
      <w:r>
        <w:rPr>
          <w:rStyle w:val="optioncarChar"/>
        </w:rPr>
        <w:t>ZBA/1 // ZBA/2 // ZBA/3 // ZBA/4 // ZBA/5</w:t>
      </w:r>
    </w:p>
    <w:p w14:paraId="669201BD" w14:textId="77777777" w:rsidR="00DB2B68" w:rsidRDefault="00000000">
      <w:pPr>
        <w:jc w:val="both"/>
      </w:pPr>
      <w:r>
        <w:t xml:space="preserve">La surface des bétons de type ZBA/4 et ZBA/5 est </w:t>
      </w:r>
      <w:r>
        <w:rPr>
          <w:rStyle w:val="optioncarChar"/>
        </w:rPr>
        <w:t>lavée à l’eau / brossée / bouchardée / grenaillée / grésée / polie mat</w:t>
      </w:r>
      <w:r>
        <w:t> (par défaut)</w:t>
      </w:r>
      <w:r>
        <w:rPr>
          <w:rStyle w:val="optioncarChar"/>
        </w:rPr>
        <w:t xml:space="preserve"> / polie brillant</w:t>
      </w:r>
      <w:r>
        <w:t xml:space="preserve">, comme décrit en </w:t>
      </w:r>
      <w:hyperlink w:anchor="486" w:history="1">
        <w:r>
          <w:rPr>
            <w:color w:val="0000EE"/>
          </w:rPr>
          <w:t>22.71 Traitements esthétiques ou de surface</w:t>
        </w:r>
      </w:hyperlink>
      <w:r>
        <w:t>.</w:t>
      </w:r>
    </w:p>
    <w:p w14:paraId="0A59AE25"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2D7A7166" w14:textId="77777777" w:rsidR="00DB2B68" w:rsidRDefault="00000000">
      <w:pPr>
        <w:pStyle w:val="Author-eListParagraph"/>
        <w:numPr>
          <w:ilvl w:val="0"/>
          <w:numId w:val="444"/>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4D5D131F" w14:textId="77777777" w:rsidR="00DB2B68" w:rsidRDefault="00000000">
      <w:pPr>
        <w:pStyle w:val="Author-eListParagraph"/>
        <w:numPr>
          <w:ilvl w:val="0"/>
          <w:numId w:val="444"/>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06B36787" w14:textId="77777777" w:rsidR="00DB2B68" w:rsidRDefault="00000000">
      <w:pPr>
        <w:pStyle w:val="Author-eListParagraph"/>
        <w:numPr>
          <w:ilvl w:val="0"/>
          <w:numId w:val="444"/>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2B9762A9" w14:textId="77777777" w:rsidR="00DB2B68" w:rsidRDefault="00000000">
      <w:pPr>
        <w:pStyle w:val="Author-eListParagraph"/>
        <w:numPr>
          <w:ilvl w:val="0"/>
          <w:numId w:val="444"/>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69B0C535" w14:textId="77777777" w:rsidR="00DB2B68" w:rsidRDefault="00000000">
      <w:pPr>
        <w:pStyle w:val="pheading"/>
      </w:pPr>
      <w:r>
        <w:t>- Prescriptions complémentaires</w:t>
      </w:r>
    </w:p>
    <w:p w14:paraId="3D8A7DF6" w14:textId="77777777" w:rsidR="00DB2B68" w:rsidRDefault="00000000">
      <w:r>
        <w:rPr>
          <w:color w:val="3366FF"/>
        </w:rPr>
        <w:t xml:space="preserve">Résistance au feu: pour les éléments porteurs et structuraux sans fonction séparant </w:t>
      </w:r>
      <w:r>
        <w:rPr>
          <w:rStyle w:val="optioncarChar"/>
        </w:rPr>
        <w:t>R15 / R30 </w:t>
      </w:r>
      <w:r>
        <w:t xml:space="preserve">(par défaut) </w:t>
      </w:r>
      <w:r>
        <w:rPr>
          <w:rStyle w:val="optioncarChar"/>
        </w:rPr>
        <w:t xml:space="preserve">/ R60 / R120 / R *** </w:t>
      </w:r>
      <w:r>
        <w:rPr>
          <w:color w:val="3366FF"/>
        </w:rPr>
        <w:t>et pour les éléments porteurs et structuraux avec fonction séparant</w:t>
      </w:r>
      <w:r>
        <w:rPr>
          <w:rStyle w:val="optioncarChar"/>
        </w:rPr>
        <w:t> REI 30 </w:t>
      </w:r>
      <w:r>
        <w:t>(par défaut)</w:t>
      </w:r>
      <w:r>
        <w:rPr>
          <w:rStyle w:val="optioncarChar"/>
        </w:rPr>
        <w:t xml:space="preserve"> / REI 60 / REI 120 / REI *** </w:t>
      </w:r>
      <w:r>
        <w:rPr>
          <w:color w:val="3366FF"/>
        </w:rPr>
        <w:t>démontrée par test au feu selon la [NBN EN 13501-2] ou par calcul selon les Eurocodes conformément à l' [AM 2013-05-17].</w:t>
      </w:r>
    </w:p>
    <w:p w14:paraId="050F1BF0" w14:textId="77777777" w:rsidR="00DB2B68" w:rsidRDefault="00000000">
      <w:pPr>
        <w:pStyle w:val="pheading"/>
      </w:pPr>
      <w:r>
        <w:t>EXÉCUTION / MISE EN ŒUVRE</w:t>
      </w:r>
    </w:p>
    <w:p w14:paraId="2FAF8A4C" w14:textId="77777777" w:rsidR="00DB2B68" w:rsidRDefault="00000000">
      <w:pPr>
        <w:pStyle w:val="pheading"/>
      </w:pPr>
      <w:r>
        <w:t>- Prescriptions générales</w:t>
      </w:r>
    </w:p>
    <w:p w14:paraId="7C5963B7" w14:textId="77777777" w:rsidR="00DB2B68" w:rsidRDefault="00000000">
      <w:pPr>
        <w:pStyle w:val="Author-eListParagraph"/>
        <w:numPr>
          <w:ilvl w:val="0"/>
          <w:numId w:val="445"/>
        </w:numPr>
      </w:pPr>
      <w:r>
        <w:t>Les planchers sont coulés sur place en </w:t>
      </w:r>
      <w:r>
        <w:rPr>
          <w:rStyle w:val="optioncarChar"/>
        </w:rPr>
        <w:t>une seule </w:t>
      </w:r>
      <w:r>
        <w:t>(par défaut)</w:t>
      </w:r>
      <w:r>
        <w:rPr>
          <w:rStyle w:val="optioncarChar"/>
        </w:rPr>
        <w:t xml:space="preserve"> / *** </w:t>
      </w:r>
      <w:r>
        <w:t>fois.</w:t>
      </w:r>
    </w:p>
    <w:p w14:paraId="0C536915" w14:textId="77777777" w:rsidR="00DB2B68" w:rsidRDefault="00000000">
      <w:pPr>
        <w:pStyle w:val="Author-eListParagraph"/>
        <w:numPr>
          <w:ilvl w:val="0"/>
          <w:numId w:val="445"/>
        </w:numPr>
      </w:pPr>
      <w:r>
        <w:t>Le comportement du coffrage perdu lors du coulage du béton doit être minutieusement suivi.</w:t>
      </w:r>
    </w:p>
    <w:p w14:paraId="76F2F902" w14:textId="77777777" w:rsidR="00DB2B68" w:rsidRDefault="00000000">
      <w:pPr>
        <w:pStyle w:val="Author-eListParagraph"/>
        <w:numPr>
          <w:ilvl w:val="0"/>
          <w:numId w:val="445"/>
        </w:numPr>
      </w:pPr>
      <w:r>
        <w:lastRenderedPageBreak/>
        <w:t>Le décoffrage du plancher ne peut se faire avant</w:t>
      </w:r>
      <w:r>
        <w:rPr>
          <w:rStyle w:val="optioncarChar"/>
        </w:rPr>
        <w:t> 21 </w:t>
      </w:r>
      <w:r>
        <w:t>(par défaut)</w:t>
      </w:r>
      <w:r>
        <w:rPr>
          <w:rStyle w:val="optioncarChar"/>
        </w:rPr>
        <w:t xml:space="preserve"> / ***</w:t>
      </w:r>
      <w:r>
        <w:t xml:space="preserve"> jours suivant le coulage du béton.</w:t>
      </w:r>
    </w:p>
    <w:p w14:paraId="6247AC46" w14:textId="77777777" w:rsidR="00DB2B68" w:rsidRDefault="00000000">
      <w:pPr>
        <w:pStyle w:val="pheading"/>
      </w:pPr>
      <w:r>
        <w:t>- Notes d’exécution complémentaires</w:t>
      </w:r>
    </w:p>
    <w:p w14:paraId="72A8DEA8" w14:textId="77777777" w:rsidR="00DB2B68" w:rsidRDefault="00000000">
      <w:r>
        <w:rPr>
          <w:rStyle w:val="facultChar"/>
        </w:rPr>
        <w:t xml:space="preserve">Ponts d'humidité / étanchéité à l'eau : </w:t>
      </w:r>
      <w:r>
        <w:rPr>
          <w:rStyle w:val="optioncarChar"/>
        </w:rPr>
        <w:t>***</w:t>
      </w:r>
      <w:r>
        <w:rPr>
          <w:rStyle w:val="facultChar"/>
        </w:rPr>
        <w:t>.</w:t>
      </w:r>
      <w:r>
        <w:br/>
      </w:r>
      <w:r>
        <w:rPr>
          <w:rStyle w:val="facultChar"/>
        </w:rPr>
        <w:t xml:space="preserve">Ponts thermiques / isolation thermique : </w:t>
      </w:r>
      <w:r>
        <w:rPr>
          <w:rStyle w:val="optioncarChar"/>
        </w:rPr>
        <w:t>***</w:t>
      </w:r>
      <w:r>
        <w:rPr>
          <w:rStyle w:val="facultChar"/>
        </w:rPr>
        <w:t>.</w:t>
      </w:r>
      <w:r>
        <w:br/>
      </w:r>
      <w:r>
        <w:rPr>
          <w:rStyle w:val="facultChar"/>
        </w:rPr>
        <w:t>Réservations / pénétrations :</w:t>
      </w:r>
      <w:r>
        <w:rPr>
          <w:rStyle w:val="optioncarChar"/>
        </w:rPr>
        <w:t>***</w:t>
      </w:r>
      <w:r>
        <w:rPr>
          <w:rStyle w:val="facultChar"/>
        </w:rPr>
        <w:t>.</w:t>
      </w:r>
    </w:p>
    <w:p w14:paraId="5372BC14" w14:textId="77777777" w:rsidR="00DB2B68" w:rsidRDefault="00000000">
      <w:pPr>
        <w:pStyle w:val="pheading"/>
      </w:pPr>
      <w:r>
        <w:t>DOCUMENTS DE RÉFÉRENCE COMPLÉMENTAIRES</w:t>
      </w:r>
    </w:p>
    <w:p w14:paraId="73A63E94" w14:textId="77777777" w:rsidR="00DB2B68" w:rsidRDefault="00000000">
      <w:pPr>
        <w:pStyle w:val="pheading"/>
      </w:pPr>
      <w:r>
        <w:t>- Matériau</w:t>
      </w:r>
    </w:p>
    <w:p w14:paraId="4BBBA282" w14:textId="77777777" w:rsidR="00DB2B68" w:rsidRDefault="00000000">
      <w:r>
        <w:t>[NIT 267, Sols intérieurs en béton (révision de la NIT 204)]</w:t>
      </w:r>
    </w:p>
    <w:p w14:paraId="7856410C" w14:textId="77777777" w:rsidR="00DB2B68" w:rsidRDefault="00000000">
      <w:r>
        <w:t>[NBN EN 206:2013+A2, Béton - Spécification, performances, production et conformité]</w:t>
      </w:r>
    </w:p>
    <w:p w14:paraId="200A51D0" w14:textId="77777777" w:rsidR="00DB2B68" w:rsidRDefault="00000000">
      <w:r>
        <w:t>[NBN B 15-001, Béton - Spécification, performances, production et conformité - Complément national à la NBN EN 206:2013+A2:2021]</w:t>
      </w:r>
    </w:p>
    <w:p w14:paraId="46F15421" w14:textId="77777777" w:rsidR="00DB2B68" w:rsidRDefault="00000000">
      <w:r>
        <w:t>[NBN B 15-007, Béton apparent - Classifications et spécifications]</w:t>
      </w:r>
    </w:p>
    <w:p w14:paraId="33355F57" w14:textId="77777777" w:rsidR="00DB2B68" w:rsidRDefault="00000000">
      <w:r>
        <w:t>[NBN A 24-302, Produits sidérurgiques - Aciers pour béton armé - Barres lisses et barres à nervures - Fils machine lisses et fils machine à nervures]</w:t>
      </w:r>
    </w:p>
    <w:p w14:paraId="21974EEB" w14:textId="77777777" w:rsidR="00DB2B68" w:rsidRDefault="00000000">
      <w:r>
        <w:t>[NBN A 24-303, Produits sidérurgiques - Aciers pour béton armé - Fils écrouis à froid lisses et fils écrouis à froid à nervures]</w:t>
      </w:r>
    </w:p>
    <w:p w14:paraId="44BB5DB2" w14:textId="77777777" w:rsidR="00DB2B68" w:rsidRDefault="00000000">
      <w:r>
        <w:t>[PTV 302, Aciers pour béton armé - barres à nervures ou à empreintes et fils à nervures ou à empreintes à haute ductilité]</w:t>
      </w:r>
    </w:p>
    <w:p w14:paraId="630644B6" w14:textId="77777777" w:rsidR="00DB2B68" w:rsidRDefault="00000000">
      <w:r>
        <w:t>[PTV 303, Aciers pour béton armé - Fils écrouis à froid à nervures à basse ductilité]</w:t>
      </w:r>
    </w:p>
    <w:p w14:paraId="0286EC2A" w14:textId="77777777" w:rsidR="00DB2B68" w:rsidRDefault="00000000">
      <w:r>
        <w:t>[PTV 304, Aciers pour béton armé - Treillis soudés]</w:t>
      </w:r>
    </w:p>
    <w:p w14:paraId="0D1EA5E8" w14:textId="77777777" w:rsidR="00DB2B68" w:rsidRDefault="00000000">
      <w:r>
        <w:t>[NBN A 24-304, Produits sidérurgiques - Aciers pour béton armé - Treillis soudés]</w:t>
      </w:r>
    </w:p>
    <w:p w14:paraId="6BCF73EC"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109F0FE0" w14:textId="77777777" w:rsidR="00DB2B68" w:rsidRDefault="00000000">
      <w:pPr>
        <w:pStyle w:val="pheading"/>
      </w:pPr>
      <w:r>
        <w:t>MESURAGE</w:t>
      </w:r>
    </w:p>
    <w:p w14:paraId="4130C557" w14:textId="77777777" w:rsidR="00DB2B68" w:rsidRDefault="00000000">
      <w:pPr>
        <w:pStyle w:val="pheading"/>
      </w:pPr>
      <w:r>
        <w:t>- unité de mesure:</w:t>
      </w:r>
    </w:p>
    <w:p w14:paraId="070F6098" w14:textId="77777777" w:rsidR="00DB2B68" w:rsidRDefault="00000000">
      <w:r>
        <w:rPr>
          <w:rStyle w:val="optioncarChar"/>
        </w:rPr>
        <w:t>m²</w:t>
      </w:r>
      <w:r>
        <w:t xml:space="preserve"> (par défaut) </w:t>
      </w:r>
      <w:r>
        <w:rPr>
          <w:rStyle w:val="optioncarChar"/>
        </w:rPr>
        <w:t>/  m³ ; kg /  m³ ; m³ ; kg</w:t>
      </w:r>
    </w:p>
    <w:p w14:paraId="73F94D5B" w14:textId="77777777" w:rsidR="00DB2B68" w:rsidRDefault="00000000">
      <w:r>
        <w:rPr>
          <w:b/>
          <w:i/>
        </w:rPr>
        <w:t> (Soit par défaut)</w:t>
      </w:r>
    </w:p>
    <w:p w14:paraId="3E19875B" w14:textId="77777777" w:rsidR="00DB2B68" w:rsidRDefault="00000000">
      <w:r>
        <w:rPr>
          <w:rStyle w:val="soitChar"/>
          <w:u w:val="single"/>
        </w:rPr>
        <w:t>1. m²</w:t>
      </w:r>
      <w:r>
        <w:rPr>
          <w:rStyle w:val="soitChar"/>
        </w:rP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746A8C17" w14:textId="77777777" w:rsidR="00DB2B68" w:rsidRDefault="00000000">
      <w:r>
        <w:rPr>
          <w:b/>
          <w:i/>
        </w:rPr>
        <w:t>(Soit)</w:t>
      </w:r>
    </w:p>
    <w:p w14:paraId="368D4CFC" w14:textId="77777777" w:rsidR="00DB2B68" w:rsidRDefault="00000000">
      <w:r>
        <w:rPr>
          <w:rStyle w:val="soitChar"/>
          <w:u w:val="single"/>
        </w:rPr>
        <w:t>2. m³ ; kg</w:t>
      </w:r>
    </w:p>
    <w:p w14:paraId="65CF387C" w14:textId="77777777" w:rsidR="00DB2B68" w:rsidRDefault="00000000">
      <w:pPr>
        <w:pStyle w:val="Author-eListParagraph"/>
        <w:numPr>
          <w:ilvl w:val="0"/>
          <w:numId w:val="446"/>
        </w:numPr>
      </w:pPr>
      <w:r>
        <w:rPr>
          <w:rStyle w:val="soitChar"/>
        </w:rPr>
        <w:t>m³ pour le béton, kg pour les armatures</w:t>
      </w:r>
    </w:p>
    <w:p w14:paraId="59B6DE30" w14:textId="77777777" w:rsidR="00DB2B68" w:rsidRDefault="00000000">
      <w:pPr>
        <w:pStyle w:val="Author-eListParagraph"/>
        <w:numPr>
          <w:ilvl w:val="0"/>
          <w:numId w:val="446"/>
        </w:numPr>
      </w:pPr>
      <w:r>
        <w:rPr>
          <w:rStyle w:val="soitChar"/>
        </w:rPr>
        <w:t>Tous les autres éléments, travaux et fournitures doivent être compris dans les prix unitaires respectifs pour les mesurages précités.</w:t>
      </w:r>
    </w:p>
    <w:p w14:paraId="5776BBEA" w14:textId="77777777" w:rsidR="00DB2B68" w:rsidRDefault="00000000">
      <w:r>
        <w:rPr>
          <w:b/>
          <w:i/>
        </w:rPr>
        <w:t> (Soit)</w:t>
      </w:r>
    </w:p>
    <w:p w14:paraId="0113F01B" w14:textId="77777777" w:rsidR="00DB2B68" w:rsidRDefault="00000000">
      <w:r>
        <w:rPr>
          <w:rStyle w:val="soitChar"/>
          <w:u w:val="single"/>
        </w:rPr>
        <w:t>3. m³ ; m² ; kg</w:t>
      </w:r>
    </w:p>
    <w:p w14:paraId="74EEE517" w14:textId="77777777" w:rsidR="00DB2B68" w:rsidRDefault="00000000">
      <w:pPr>
        <w:pStyle w:val="Author-eListParagraph"/>
        <w:numPr>
          <w:ilvl w:val="0"/>
          <w:numId w:val="447"/>
        </w:numPr>
      </w:pPr>
      <w:r>
        <w:rPr>
          <w:rStyle w:val="soitChar"/>
        </w:rPr>
        <w:t>m³ pour le béton  </w:t>
      </w:r>
    </w:p>
    <w:p w14:paraId="0BD7A6C9" w14:textId="77777777" w:rsidR="00DB2B68" w:rsidRDefault="00000000">
      <w:pPr>
        <w:pStyle w:val="Author-eListParagraph"/>
        <w:numPr>
          <w:ilvl w:val="0"/>
          <w:numId w:val="447"/>
        </w:numPr>
      </w:pPr>
      <w:r>
        <w:rPr>
          <w:rStyle w:val="soitChar"/>
        </w:rPr>
        <w:t>m² pour le coffrage</w:t>
      </w:r>
    </w:p>
    <w:p w14:paraId="6B261C99" w14:textId="77777777" w:rsidR="00DB2B68" w:rsidRDefault="00000000">
      <w:pPr>
        <w:pStyle w:val="Author-eListParagraph"/>
        <w:numPr>
          <w:ilvl w:val="0"/>
          <w:numId w:val="447"/>
        </w:numPr>
      </w:pPr>
      <w:r>
        <w:rPr>
          <w:rStyle w:val="soitChar"/>
        </w:rPr>
        <w:t>kg pour les armatures</w:t>
      </w:r>
    </w:p>
    <w:p w14:paraId="30240089" w14:textId="77777777" w:rsidR="00DB2B68" w:rsidRDefault="00000000">
      <w:pPr>
        <w:pStyle w:val="Author-eListParagraph"/>
        <w:numPr>
          <w:ilvl w:val="0"/>
          <w:numId w:val="447"/>
        </w:numPr>
      </w:pPr>
      <w:r>
        <w:rPr>
          <w:rStyle w:val="soitChar"/>
        </w:rPr>
        <w:t>Tous les autres éléments, travaux et fournitures doivent être compris dans les prix unitaires respectifs pour les mesurages précités.</w:t>
      </w:r>
    </w:p>
    <w:p w14:paraId="7035516C" w14:textId="77777777" w:rsidR="00DB2B68" w:rsidRDefault="00000000">
      <w:pPr>
        <w:pStyle w:val="pheading"/>
      </w:pPr>
      <w:r>
        <w:lastRenderedPageBreak/>
        <w:t>- code de mesurage:</w:t>
      </w:r>
    </w:p>
    <w:p w14:paraId="48818B47" w14:textId="77777777" w:rsidR="00DB2B68" w:rsidRDefault="00000000">
      <w:pPr>
        <w:jc w:val="both"/>
      </w:pPr>
      <w:r>
        <w:t>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2CC90420" w14:textId="77777777" w:rsidR="00DB2B68" w:rsidRDefault="00000000">
      <w:pPr>
        <w:jc w:val="both"/>
      </w:pPr>
      <w: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36B01797" w14:textId="77777777" w:rsidR="00DB2B68" w:rsidRDefault="00000000">
      <w:r>
        <w:rPr>
          <w:rStyle w:val="optioncarChar"/>
        </w:rPr>
        <w:t xml:space="preserve">Surface utile </w:t>
      </w:r>
      <w:r>
        <w:t>(par défaut)</w:t>
      </w:r>
      <w:r>
        <w:rPr>
          <w:rStyle w:val="optioncarChar"/>
        </w:rPr>
        <w:t xml:space="preserve"> / quantités détaillées</w:t>
      </w:r>
    </w:p>
    <w:p w14:paraId="1C85DF23" w14:textId="77777777" w:rsidR="00DB2B68" w:rsidRDefault="00000000">
      <w:pPr>
        <w:jc w:val="both"/>
      </w:pPr>
      <w:r>
        <w:rPr>
          <w:b/>
          <w:i/>
        </w:rPr>
        <w:t>(Soit par défaut)</w:t>
      </w:r>
    </w:p>
    <w:p w14:paraId="56CE0F0A" w14:textId="77777777" w:rsidR="00DB2B68" w:rsidRDefault="00000000">
      <w:pPr>
        <w:jc w:val="both"/>
      </w:pPr>
      <w:r>
        <w:rPr>
          <w:rStyle w:val="soitChar"/>
          <w:u w:val="single"/>
        </w:rPr>
        <w:t>1. Surface utile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3A23DDDB" w14:textId="77777777" w:rsidR="00DB2B68" w:rsidRDefault="00000000">
      <w:pPr>
        <w:jc w:val="both"/>
      </w:pPr>
      <w:r>
        <w:rPr>
          <w:b/>
          <w:i/>
        </w:rPr>
        <w:t>(Soit)</w:t>
      </w:r>
    </w:p>
    <w:p w14:paraId="0D02F1A1" w14:textId="77777777" w:rsidR="00DB2B68" w:rsidRDefault="00000000">
      <w:pPr>
        <w:jc w:val="both"/>
      </w:pPr>
      <w:r>
        <w:rPr>
          <w:rStyle w:val="soitChar"/>
          <w:u w:val="single"/>
        </w:rPr>
        <w:t>2. 3. Quantités détaillées selon le bordereau</w:t>
      </w:r>
    </w:p>
    <w:p w14:paraId="44FC6383" w14:textId="77777777" w:rsidR="00DB2B68" w:rsidRDefault="00000000">
      <w:pPr>
        <w:pStyle w:val="pheading"/>
      </w:pPr>
      <w:r>
        <w:t>- nature du marché:</w:t>
      </w:r>
    </w:p>
    <w:p w14:paraId="21827102" w14:textId="77777777" w:rsidR="00DB2B68" w:rsidRDefault="00000000">
      <w:r>
        <w:t>QF</w:t>
      </w:r>
    </w:p>
    <w:p w14:paraId="24361A18" w14:textId="77777777" w:rsidR="00DB2B68" w:rsidRDefault="00000000">
      <w:pPr>
        <w:pStyle w:val="Author-eSectionHeading6Numberless"/>
      </w:pPr>
      <w:bookmarkStart w:id="722" w:name="_Toc220495783"/>
      <w:r>
        <w:t>22.15.2b Planchers en dalles pleines nervurées de béton apparent (esthétique) armé coulé en place CCTB 01.11</w:t>
      </w:r>
      <w:bookmarkEnd w:id="722"/>
    </w:p>
    <w:p w14:paraId="4A93BF51" w14:textId="77777777" w:rsidR="00DB2B68" w:rsidRDefault="00000000">
      <w:pPr>
        <w:pStyle w:val="pheading"/>
      </w:pPr>
      <w:r>
        <w:t>MATÉRIAUX</w:t>
      </w:r>
    </w:p>
    <w:p w14:paraId="211F73E6" w14:textId="77777777" w:rsidR="00DB2B68" w:rsidRDefault="00000000">
      <w:pPr>
        <w:pStyle w:val="pheading"/>
      </w:pPr>
      <w:r>
        <w:t>- Finitions</w:t>
      </w:r>
    </w:p>
    <w:p w14:paraId="4EAE007E" w14:textId="77777777" w:rsidR="00DB2B68" w:rsidRDefault="00000000">
      <w:pPr>
        <w:jc w:val="both"/>
      </w:pPr>
      <w:r>
        <w:t>Finition supérieure :</w:t>
      </w:r>
      <w:r>
        <w:rPr>
          <w:rStyle w:val="optioncarChar"/>
        </w:rPr>
        <w:t xml:space="preserve"> talochée </w:t>
      </w:r>
      <w:r>
        <w:t>(par défaut) </w:t>
      </w:r>
      <w:r>
        <w:rPr>
          <w:rStyle w:val="optioncarChar"/>
        </w:rPr>
        <w:t>/ polie</w:t>
      </w:r>
      <w:r>
        <w:t>.</w:t>
      </w:r>
    </w:p>
    <w:p w14:paraId="0455B59F" w14:textId="77777777" w:rsidR="00DB2B68" w:rsidRDefault="00000000">
      <w:pPr>
        <w:jc w:val="both"/>
      </w:pPr>
      <w:r>
        <w:t xml:space="preserve">Couche d’usure incorporée : </w:t>
      </w:r>
      <w:r>
        <w:rPr>
          <w:rStyle w:val="optioncarChar"/>
        </w:rPr>
        <w:t>oui / non</w:t>
      </w:r>
    </w:p>
    <w:p w14:paraId="6725520D" w14:textId="77777777" w:rsidR="00DB2B68" w:rsidRDefault="00000000">
      <w:pPr>
        <w:jc w:val="both"/>
      </w:pPr>
      <w:r>
        <w:t xml:space="preserve">Finition inférieure : le type de béton apparent défini suivant la [NBN B 15-007] est </w:t>
      </w:r>
      <w:r>
        <w:rPr>
          <w:rStyle w:val="optioncarChar"/>
        </w:rPr>
        <w:t>ZBA/1 // ZBA/2 // ZBA/3 // ZBA/4 // ZBA/5</w:t>
      </w:r>
    </w:p>
    <w:p w14:paraId="1DC9ACE5" w14:textId="77777777" w:rsidR="00DB2B68" w:rsidRDefault="00000000">
      <w:pPr>
        <w:jc w:val="both"/>
      </w:pPr>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6" w:history="1">
        <w:r>
          <w:rPr>
            <w:color w:val="0000EE"/>
          </w:rPr>
          <w:t>22.71 Traitements esthétiques ou de surface</w:t>
        </w:r>
      </w:hyperlink>
      <w:r>
        <w:t>.</w:t>
      </w:r>
    </w:p>
    <w:p w14:paraId="5CFA7D72"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10AB575B" w14:textId="77777777" w:rsidR="00DB2B68" w:rsidRDefault="00000000">
      <w:pPr>
        <w:pStyle w:val="Author-eListParagraph"/>
        <w:numPr>
          <w:ilvl w:val="0"/>
          <w:numId w:val="448"/>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184308D7" w14:textId="77777777" w:rsidR="00DB2B68" w:rsidRDefault="00000000">
      <w:pPr>
        <w:pStyle w:val="Author-eListParagraph"/>
        <w:numPr>
          <w:ilvl w:val="0"/>
          <w:numId w:val="448"/>
        </w:numPr>
      </w:pPr>
      <w:r>
        <w:rPr>
          <w:rStyle w:val="soitChar"/>
        </w:rPr>
        <w:t>Le bullage :</w:t>
      </w:r>
      <w:r>
        <w:t xml:space="preserve">  </w:t>
      </w:r>
      <w:r>
        <w:rPr>
          <w:rStyle w:val="optioncarChar"/>
        </w:rPr>
        <w:t xml:space="preserve">LBA1 </w:t>
      </w:r>
      <w:r>
        <w:t>(par défaut</w:t>
      </w:r>
      <w:r>
        <w:rPr>
          <w:rStyle w:val="soitChar"/>
        </w:rPr>
        <w:t>)</w:t>
      </w:r>
      <w:r>
        <w:rPr>
          <w:rStyle w:val="optioncarChar"/>
        </w:rPr>
        <w:t xml:space="preserve"> / LBA2 / LBA3 / suivant description spécifique</w:t>
      </w:r>
    </w:p>
    <w:p w14:paraId="5EB6DE38" w14:textId="77777777" w:rsidR="00DB2B68" w:rsidRDefault="00000000">
      <w:pPr>
        <w:pStyle w:val="Author-eListParagraph"/>
        <w:numPr>
          <w:ilvl w:val="0"/>
          <w:numId w:val="448"/>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2877FA70" w14:textId="77777777" w:rsidR="00DB2B68" w:rsidRDefault="00000000">
      <w:pPr>
        <w:pStyle w:val="Author-eListParagraph"/>
        <w:numPr>
          <w:ilvl w:val="0"/>
          <w:numId w:val="448"/>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1DCF6A57" w14:textId="77777777" w:rsidR="00DB2B68" w:rsidRDefault="00000000">
      <w:r>
        <w:rPr>
          <w:rStyle w:val="optioncarChar"/>
          <w:color w:val="000000"/>
        </w:rPr>
        <w:t>Les arêtes saillantes des planchers sont</w:t>
      </w:r>
      <w:r>
        <w:rPr>
          <w:rStyle w:val="optioncarChar"/>
        </w:rPr>
        <w:t xml:space="preserve"> vives / chanfreinées </w:t>
      </w:r>
      <w:r>
        <w:t>(par défaut)</w:t>
      </w:r>
      <w:r>
        <w:rPr>
          <w:rStyle w:val="optioncarChar"/>
        </w:rPr>
        <w:t xml:space="preserve">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shd w:val="clear" w:color="auto" w:fill="FFFFFF"/>
        </w:rPr>
        <w:t>(soit)</w:t>
      </w:r>
      <w:r>
        <w:br/>
      </w:r>
      <w:r>
        <w:rPr>
          <w:rStyle w:val="soitChar"/>
        </w:rPr>
        <w:lastRenderedPageBreak/>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392F424E" w14:textId="77777777" w:rsidR="00DB2B68" w:rsidRDefault="00000000">
      <w:pPr>
        <w:pStyle w:val="Author-eSectionHeading6Numberless"/>
      </w:pPr>
      <w:bookmarkStart w:id="723" w:name="_Toc220495784"/>
      <w:r>
        <w:t>22.15.2c Planchers-champignons en béton apparent (esthétique) armé coulé en place CCTB 01.11</w:t>
      </w:r>
      <w:bookmarkEnd w:id="723"/>
    </w:p>
    <w:p w14:paraId="650F74BD" w14:textId="77777777" w:rsidR="00DB2B68" w:rsidRDefault="00000000">
      <w:pPr>
        <w:pStyle w:val="pheading"/>
      </w:pPr>
      <w:r>
        <w:t>MATÉRIAUX</w:t>
      </w:r>
    </w:p>
    <w:p w14:paraId="1CFE5EAA" w14:textId="77777777" w:rsidR="00DB2B68" w:rsidRDefault="00000000">
      <w:pPr>
        <w:pStyle w:val="pheading"/>
      </w:pPr>
      <w:r>
        <w:t>- Finitions</w:t>
      </w:r>
    </w:p>
    <w:p w14:paraId="658257BA"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546C6EB5" w14:textId="77777777" w:rsidR="00DB2B68" w:rsidRDefault="00000000">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6" w:history="1">
        <w:r>
          <w:rPr>
            <w:color w:val="0000EE"/>
          </w:rPr>
          <w:t>22.71 Traitements esthétiques ou de surface</w:t>
        </w:r>
      </w:hyperlink>
      <w:r>
        <w:t>.</w:t>
      </w:r>
    </w:p>
    <w:p w14:paraId="5EE0046C" w14:textId="77777777" w:rsidR="00DB2B68" w:rsidRDefault="00000000">
      <w:r>
        <w:t xml:space="preserve">La face supérieure non coffrée des éléments est </w:t>
      </w:r>
      <w:r>
        <w:rPr>
          <w:rStyle w:val="optioncarChar"/>
        </w:rPr>
        <w:t>laissée rugueuse / lissée à la taloche </w:t>
      </w:r>
      <w:r>
        <w:t>(par défaut)</w:t>
      </w:r>
      <w:r>
        <w:rPr>
          <w:rStyle w:val="optioncarChar"/>
        </w:rPr>
        <w:t xml:space="preserve"> / lavée à l’eau / brossée / bouchardée / grenaillée / grésée / polie mat / polie brillant.</w:t>
      </w:r>
    </w:p>
    <w:p w14:paraId="531687F0"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2269E0D3" w14:textId="77777777" w:rsidR="00DB2B68" w:rsidRDefault="00000000">
      <w:pPr>
        <w:pStyle w:val="Author-eListParagraph"/>
        <w:numPr>
          <w:ilvl w:val="0"/>
          <w:numId w:val="449"/>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52E2C1F0" w14:textId="77777777" w:rsidR="00DB2B68" w:rsidRDefault="00000000">
      <w:pPr>
        <w:pStyle w:val="Author-eListParagraph"/>
        <w:numPr>
          <w:ilvl w:val="0"/>
          <w:numId w:val="449"/>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6036F25F" w14:textId="77777777" w:rsidR="00DB2B68" w:rsidRDefault="00000000">
      <w:pPr>
        <w:pStyle w:val="Author-eListParagraph"/>
        <w:numPr>
          <w:ilvl w:val="0"/>
          <w:numId w:val="449"/>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36FD0CB7" w14:textId="77777777" w:rsidR="00DB2B68" w:rsidRDefault="00000000">
      <w:pPr>
        <w:pStyle w:val="Author-eListParagraph"/>
        <w:numPr>
          <w:ilvl w:val="0"/>
          <w:numId w:val="449"/>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24DD9908" w14:textId="77777777" w:rsidR="00DB2B68" w:rsidRDefault="0000000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shd w:val="clear" w:color="auto" w:fill="FFFFFF"/>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6444857F" w14:textId="77777777" w:rsidR="00DB2B68" w:rsidRDefault="00000000">
      <w:pPr>
        <w:pStyle w:val="Author-eSectionHeading6Numberless"/>
      </w:pPr>
      <w:bookmarkStart w:id="724" w:name="_Toc220495785"/>
      <w:r>
        <w:t>22.15.2d Planchers en béton apparent (esthétique) coulé en place précontraint par post-tension CCTB 01.11</w:t>
      </w:r>
      <w:bookmarkEnd w:id="724"/>
    </w:p>
    <w:p w14:paraId="33C23ED1" w14:textId="77777777" w:rsidR="00DB2B68" w:rsidRDefault="00000000">
      <w:pPr>
        <w:pStyle w:val="pheading"/>
      </w:pPr>
      <w:r>
        <w:t>MATÉRIAUX</w:t>
      </w:r>
    </w:p>
    <w:p w14:paraId="3DF09E0F" w14:textId="77777777" w:rsidR="00DB2B68" w:rsidRDefault="00000000">
      <w:pPr>
        <w:pStyle w:val="pheading"/>
      </w:pPr>
      <w:r>
        <w:t>- Finitions</w:t>
      </w:r>
    </w:p>
    <w:p w14:paraId="52EC7FE3"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55F30A85" w14:textId="77777777" w:rsidR="00DB2B68" w:rsidRDefault="00000000">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6" w:history="1">
        <w:r>
          <w:rPr>
            <w:color w:val="0000EE"/>
          </w:rPr>
          <w:t>22.71 Traitements esthétiques ou de surface</w:t>
        </w:r>
      </w:hyperlink>
      <w:r>
        <w:t>.</w:t>
      </w:r>
    </w:p>
    <w:p w14:paraId="67E76F19" w14:textId="77777777" w:rsidR="00DB2B68" w:rsidRDefault="00000000">
      <w:r>
        <w:t xml:space="preserve">La face supérieure non coffrée des éléments est </w:t>
      </w:r>
      <w:r>
        <w:rPr>
          <w:rStyle w:val="optioncarChar"/>
        </w:rPr>
        <w:t xml:space="preserve">laissée rugueuse / lissée à la taloche </w:t>
      </w:r>
      <w:r>
        <w:t>(par défaut) </w:t>
      </w:r>
      <w:r>
        <w:rPr>
          <w:rStyle w:val="optioncarChar"/>
        </w:rPr>
        <w:t>/ lavée à l’eau / brossée / bouchardée / grenaillée / grésée / polie mat / polie brillant.</w:t>
      </w:r>
    </w:p>
    <w:p w14:paraId="349E09AB"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lastRenderedPageBreak/>
        <w:t xml:space="preserve">2. </w:t>
      </w:r>
      <w:r>
        <w:rPr>
          <w:rStyle w:val="soitChar"/>
          <w:u w:val="single"/>
        </w:rPr>
        <w:t>le détail des classes des caractéristiques</w:t>
      </w:r>
      <w:r>
        <w:rPr>
          <w:rStyle w:val="soitChar"/>
        </w:rPr>
        <w:t xml:space="preserve"> :</w:t>
      </w:r>
      <w:r>
        <w:br/>
      </w:r>
    </w:p>
    <w:p w14:paraId="2DE5BB11" w14:textId="77777777" w:rsidR="00DB2B68" w:rsidRDefault="00000000">
      <w:pPr>
        <w:pStyle w:val="Author-eListParagraph"/>
        <w:numPr>
          <w:ilvl w:val="0"/>
          <w:numId w:val="450"/>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61463BC3" w14:textId="77777777" w:rsidR="00DB2B68" w:rsidRDefault="00000000">
      <w:pPr>
        <w:pStyle w:val="Author-eListParagraph"/>
        <w:numPr>
          <w:ilvl w:val="0"/>
          <w:numId w:val="450"/>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5E6F97B5" w14:textId="77777777" w:rsidR="00DB2B68" w:rsidRDefault="00000000">
      <w:pPr>
        <w:pStyle w:val="Author-eListParagraph"/>
        <w:numPr>
          <w:ilvl w:val="0"/>
          <w:numId w:val="450"/>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7A1BDBDC" w14:textId="77777777" w:rsidR="00DB2B68" w:rsidRDefault="00000000">
      <w:pPr>
        <w:pStyle w:val="Author-eListParagraph"/>
        <w:numPr>
          <w:ilvl w:val="0"/>
          <w:numId w:val="450"/>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19CE7059" w14:textId="77777777" w:rsidR="00DB2B68" w:rsidRDefault="0000000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shd w:val="clear" w:color="auto" w:fill="FFFFFF"/>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1FB8CFB0" w14:textId="77777777" w:rsidR="00DB2B68" w:rsidRDefault="00000000">
      <w:pPr>
        <w:pStyle w:val="Author-eSectionHeading5Numberless"/>
      </w:pPr>
      <w:bookmarkStart w:id="725" w:name="_Toc220495786"/>
      <w:r>
        <w:t>22.15.3 Planchers à éléments préfabriqués en béton CCTB 01.11</w:t>
      </w:r>
      <w:bookmarkEnd w:id="725"/>
    </w:p>
    <w:p w14:paraId="1004661C" w14:textId="77777777" w:rsidR="00DB2B68" w:rsidRDefault="00000000">
      <w:pPr>
        <w:pStyle w:val="pheading"/>
      </w:pPr>
      <w:r>
        <w:t>MATÉRIAUX</w:t>
      </w:r>
    </w:p>
    <w:p w14:paraId="13CE0B7A" w14:textId="77777777" w:rsidR="00DB2B68" w:rsidRDefault="00000000">
      <w:pPr>
        <w:jc w:val="both"/>
      </w:pPr>
      <w:r>
        <w:t>Les éléments de plancher en béton armé satisfont à la [NBN EN 1168+A3], la [NBN B 21-605:2021+A2], la [NBN EN 13224] et la [NBN B 21-603]. Ils bénéficient d’un certificat de conformité. Le certificat est soumis à l’approbation de l'auteur de projet et du bureau d’études en stabilité.</w:t>
      </w:r>
    </w:p>
    <w:p w14:paraId="629B0FD9" w14:textId="77777777" w:rsidR="00DB2B68" w:rsidRDefault="00000000">
      <w:pPr>
        <w:pStyle w:val="pheading"/>
      </w:pPr>
      <w:r>
        <w:t>EXÉCUTION / MISE EN ŒUVRE</w:t>
      </w:r>
    </w:p>
    <w:p w14:paraId="71BBF170" w14:textId="77777777" w:rsidR="00DB2B68" w:rsidRDefault="00000000">
      <w:pPr>
        <w:jc w:val="both"/>
      </w:pPr>
      <w:r>
        <w:rPr>
          <w:b/>
        </w:rPr>
        <w:t>Transport et entreposage</w:t>
      </w:r>
    </w:p>
    <w:p w14:paraId="522A4E52" w14:textId="77777777" w:rsidR="00DB2B68" w:rsidRDefault="00000000">
      <w:pPr>
        <w:jc w:val="both"/>
      </w:pPr>
      <w:r>
        <w:t>Pendant le transport et l'entreposage sur chantier, l'entrepreneur veille à ce qu'il ne se produise pas de tensions inadmissibles dans les éléments de plancher. A cet effet, ils sont entreposés en respectant les prescriptions de la documentation technique accompagnant le produit et sont posés sur des chevrons superposés et placés avec un écartement qui n'excède pas 1/5 de la portée.</w:t>
      </w:r>
    </w:p>
    <w:p w14:paraId="3C0B8AB6" w14:textId="77777777" w:rsidR="00DB2B68" w:rsidRDefault="00000000">
      <w:pPr>
        <w:pStyle w:val="Author-eSectionHeading6Numberless"/>
      </w:pPr>
      <w:bookmarkStart w:id="726" w:name="_Toc220495787"/>
      <w:r>
        <w:t>22.15.3a Planchers à prédalles en béton armé CCTB 01.13</w:t>
      </w:r>
      <w:bookmarkEnd w:id="726"/>
    </w:p>
    <w:p w14:paraId="21D549AD" w14:textId="77777777" w:rsidR="00DB2B68" w:rsidRDefault="00000000">
      <w:pPr>
        <w:pStyle w:val="pheading"/>
      </w:pPr>
      <w:r>
        <w:t>MATÉRIAUX</w:t>
      </w:r>
    </w:p>
    <w:p w14:paraId="0E78385C" w14:textId="77777777" w:rsidR="00DB2B68" w:rsidRDefault="00000000">
      <w:pPr>
        <w:pStyle w:val="pheading"/>
      </w:pPr>
      <w:r>
        <w:t>- Caractéristiques générales</w:t>
      </w:r>
    </w:p>
    <w:p w14:paraId="3516D1FA" w14:textId="77777777" w:rsidR="00DB2B68" w:rsidRDefault="00000000">
      <w:r>
        <w:t>Les prédalles sont conformes aux normes [NBN EN 13747+A2] et [NBN B 21-606:2019+A1]. Les prédalles sont toujours livrées accompagnées de leur certificat d'origine. Elles disposent d'un certificat de conformité.</w:t>
      </w:r>
    </w:p>
    <w:p w14:paraId="47823245" w14:textId="77777777" w:rsidR="00DB2B68" w:rsidRDefault="00000000">
      <w:pPr>
        <w:pStyle w:val="heading"/>
      </w:pPr>
      <w:r>
        <w:t>Spécifications - prédalles</w:t>
      </w:r>
    </w:p>
    <w:p w14:paraId="68CF61B9" w14:textId="77777777" w:rsidR="00DB2B68" w:rsidRDefault="00000000">
      <w:pPr>
        <w:pStyle w:val="Author-eListParagraph"/>
        <w:numPr>
          <w:ilvl w:val="0"/>
          <w:numId w:val="451"/>
        </w:numPr>
      </w:pPr>
      <w:r>
        <w:t>Épaisseur des prédalles: conformément aux indications sur les plans</w:t>
      </w:r>
    </w:p>
    <w:p w14:paraId="76E4DC2E" w14:textId="77777777" w:rsidR="00DB2B68" w:rsidRDefault="00000000">
      <w:pPr>
        <w:pStyle w:val="Author-eListParagraph"/>
        <w:numPr>
          <w:ilvl w:val="0"/>
          <w:numId w:val="451"/>
        </w:numPr>
      </w:pPr>
      <w:r>
        <w:t>Épaisseur des éléments de plancher: conformément aux indications sur les plans</w:t>
      </w:r>
    </w:p>
    <w:p w14:paraId="44DFD915" w14:textId="77777777" w:rsidR="00DB2B68" w:rsidRDefault="00000000">
      <w:pPr>
        <w:pStyle w:val="Author-eListParagraph"/>
        <w:numPr>
          <w:ilvl w:val="0"/>
          <w:numId w:val="451"/>
        </w:numPr>
      </w:pPr>
      <w:r>
        <w:t xml:space="preserve">Contre-flèche : </w:t>
      </w:r>
      <w:r>
        <w:rPr>
          <w:rStyle w:val="optioncarChar"/>
        </w:rPr>
        <w:t xml:space="preserve">*** </w:t>
      </w:r>
      <w:r>
        <w:t>de la portée</w:t>
      </w:r>
    </w:p>
    <w:p w14:paraId="5A97C495" w14:textId="77777777" w:rsidR="00DB2B68" w:rsidRDefault="00000000">
      <w:pPr>
        <w:pStyle w:val="Author-eListParagraph"/>
        <w:numPr>
          <w:ilvl w:val="0"/>
          <w:numId w:val="451"/>
        </w:numPr>
      </w:pPr>
      <w:r>
        <w:t>Épaisseur de la couche de compression</w:t>
      </w:r>
    </w:p>
    <w:p w14:paraId="0B5D6CB0" w14:textId="77777777" w:rsidR="00DB2B68" w:rsidRDefault="00000000">
      <w:pPr>
        <w:pStyle w:val="Author-eListParagraph"/>
        <w:numPr>
          <w:ilvl w:val="0"/>
          <w:numId w:val="451"/>
        </w:numPr>
      </w:pPr>
      <w:r>
        <w:t>La qualité du béton selon la [NBN EN 206:2013+A2] et [NBN B 15-001] est fonction de l'épaisseur de la couche de compression</w:t>
      </w:r>
    </w:p>
    <w:p w14:paraId="1A1F4646" w14:textId="77777777" w:rsidR="00DB2B68" w:rsidRDefault="00000000">
      <w:pPr>
        <w:pStyle w:val="Author-eListParagraph"/>
        <w:numPr>
          <w:ilvl w:val="0"/>
          <w:numId w:val="451"/>
        </w:numPr>
      </w:pPr>
      <w:r>
        <w:rPr>
          <w:rStyle w:val="normalChar"/>
        </w:rPr>
        <w:t>Classe de résistance à la compression</w:t>
      </w:r>
      <w:r>
        <w:br/>
      </w:r>
      <w:r>
        <w:rPr>
          <w:rStyle w:val="optioncarChar"/>
        </w:rPr>
        <w:t>C25/30 </w:t>
      </w:r>
      <w:r>
        <w:t>(par défaut)</w:t>
      </w:r>
      <w:r>
        <w:rPr>
          <w:rStyle w:val="optioncarChar"/>
        </w:rPr>
        <w:t xml:space="preserve"> // C30/37 // C35/45 // C45/55 // C50/60 // C55/67 // C60/75 // C70/85 // C80/95 // C90/105 /// ***</w:t>
      </w:r>
    </w:p>
    <w:p w14:paraId="3CD7B6F5" w14:textId="77777777" w:rsidR="00DB2B68" w:rsidRDefault="00000000">
      <w:pPr>
        <w:pStyle w:val="Author-eListParagraph"/>
        <w:numPr>
          <w:ilvl w:val="0"/>
          <w:numId w:val="451"/>
        </w:numPr>
      </w:pPr>
      <w:r>
        <w:rPr>
          <w:rStyle w:val="normalChar"/>
        </w:rPr>
        <w:t>Classe d’environnement</w:t>
      </w:r>
      <w:r>
        <w:br/>
      </w:r>
      <w:r>
        <w:rPr>
          <w:rStyle w:val="optioncarChar"/>
        </w:rPr>
        <w:t>E0 </w:t>
      </w:r>
      <w:r>
        <w:t>(par défaut)</w:t>
      </w:r>
      <w:r>
        <w:rPr>
          <w:rStyle w:val="optioncarChar"/>
        </w:rPr>
        <w:t xml:space="preserve"> / EI / EE1 / EE2 / EE3 / EE4 / ES1 / ES2 / ES3 / ES4 / EA1+*** / EA2+***/ EA3+*** / ***</w:t>
      </w:r>
    </w:p>
    <w:p w14:paraId="3A92B271" w14:textId="77777777" w:rsidR="00DB2B68" w:rsidRDefault="00000000">
      <w:r>
        <w:rPr>
          <w:rStyle w:val="headingChar"/>
        </w:rPr>
        <w:t>Spécifications - Couche De Compression</w:t>
      </w:r>
    </w:p>
    <w:p w14:paraId="28D45FEF" w14:textId="77777777" w:rsidR="00DB2B68" w:rsidRDefault="00000000">
      <w:pPr>
        <w:pStyle w:val="Author-eListParagraph"/>
        <w:numPr>
          <w:ilvl w:val="0"/>
          <w:numId w:val="452"/>
        </w:numPr>
      </w:pPr>
      <w:r>
        <w:t xml:space="preserve">Qualité du béton selon la [NBN EN 206:2013+A2] et la [NBN B 15-001] : (voir également l'article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0DA060C5" w14:textId="77777777">
        <w:tc>
          <w:tcPr>
            <w:tcW w:w="1500" w:type="dxa"/>
            <w:noWrap/>
          </w:tcPr>
          <w:p w14:paraId="76712737" w14:textId="77777777" w:rsidR="00DB2B68" w:rsidRDefault="00000000">
            <w:pPr>
              <w:jc w:val="center"/>
            </w:pPr>
            <w:r>
              <w:rPr>
                <w:b/>
              </w:rPr>
              <w:t>A</w:t>
            </w:r>
          </w:p>
        </w:tc>
        <w:tc>
          <w:tcPr>
            <w:tcW w:w="1500" w:type="dxa"/>
            <w:noWrap/>
          </w:tcPr>
          <w:p w14:paraId="6DFA6F8D" w14:textId="77777777" w:rsidR="00DB2B68" w:rsidRDefault="00000000">
            <w:pPr>
              <w:jc w:val="center"/>
            </w:pPr>
            <w:r>
              <w:rPr>
                <w:b/>
              </w:rPr>
              <w:t>B1</w:t>
            </w:r>
          </w:p>
        </w:tc>
        <w:tc>
          <w:tcPr>
            <w:tcW w:w="1500" w:type="dxa"/>
            <w:noWrap/>
          </w:tcPr>
          <w:p w14:paraId="3B9656C1" w14:textId="77777777" w:rsidR="00DB2B68" w:rsidRDefault="00000000">
            <w:pPr>
              <w:jc w:val="center"/>
            </w:pPr>
            <w:r>
              <w:rPr>
                <w:b/>
              </w:rPr>
              <w:t>B2</w:t>
            </w:r>
          </w:p>
        </w:tc>
        <w:tc>
          <w:tcPr>
            <w:tcW w:w="1500" w:type="dxa"/>
            <w:noWrap/>
          </w:tcPr>
          <w:p w14:paraId="118AFE90" w14:textId="77777777" w:rsidR="00DB2B68" w:rsidRDefault="00000000">
            <w:pPr>
              <w:jc w:val="center"/>
            </w:pPr>
            <w:r>
              <w:rPr>
                <w:b/>
              </w:rPr>
              <w:t>C</w:t>
            </w:r>
          </w:p>
        </w:tc>
        <w:tc>
          <w:tcPr>
            <w:tcW w:w="1500" w:type="dxa"/>
            <w:noWrap/>
          </w:tcPr>
          <w:p w14:paraId="1C5482A0" w14:textId="77777777" w:rsidR="00DB2B68" w:rsidRDefault="00000000">
            <w:pPr>
              <w:jc w:val="center"/>
            </w:pPr>
            <w:r>
              <w:rPr>
                <w:b/>
              </w:rPr>
              <w:t>D</w:t>
            </w:r>
          </w:p>
        </w:tc>
        <w:tc>
          <w:tcPr>
            <w:tcW w:w="1500" w:type="dxa"/>
            <w:noWrap/>
          </w:tcPr>
          <w:p w14:paraId="71240352" w14:textId="77777777" w:rsidR="00DB2B68" w:rsidRDefault="00000000">
            <w:pPr>
              <w:jc w:val="center"/>
            </w:pPr>
            <w:r>
              <w:rPr>
                <w:b/>
              </w:rPr>
              <w:t>E</w:t>
            </w:r>
          </w:p>
        </w:tc>
      </w:tr>
      <w:tr w:rsidR="00DB2B68" w14:paraId="4523CDAD" w14:textId="77777777">
        <w:tc>
          <w:tcPr>
            <w:tcW w:w="1500" w:type="dxa"/>
            <w:noWrap/>
          </w:tcPr>
          <w:p w14:paraId="5CAD2255" w14:textId="77777777" w:rsidR="00DB2B68" w:rsidRDefault="00000000">
            <w:pPr>
              <w:jc w:val="center"/>
            </w:pPr>
            <w:r>
              <w:rPr>
                <w:b/>
              </w:rPr>
              <w:lastRenderedPageBreak/>
              <w:t>Classe de résistance</w:t>
            </w:r>
          </w:p>
        </w:tc>
        <w:tc>
          <w:tcPr>
            <w:tcW w:w="1500" w:type="dxa"/>
            <w:noWrap/>
          </w:tcPr>
          <w:p w14:paraId="790AFCA1" w14:textId="77777777" w:rsidR="00DB2B68" w:rsidRDefault="00000000">
            <w:pPr>
              <w:jc w:val="center"/>
            </w:pPr>
            <w:r>
              <w:rPr>
                <w:b/>
              </w:rPr>
              <w:t>Domaine d’application</w:t>
            </w:r>
          </w:p>
        </w:tc>
        <w:tc>
          <w:tcPr>
            <w:tcW w:w="1500" w:type="dxa"/>
            <w:noWrap/>
          </w:tcPr>
          <w:p w14:paraId="358A9FF4" w14:textId="77777777" w:rsidR="00DB2B68" w:rsidRDefault="00000000">
            <w:pPr>
              <w:jc w:val="center"/>
            </w:pPr>
            <w:r>
              <w:rPr>
                <w:b/>
              </w:rPr>
              <w:t>Classe d'environnement</w:t>
            </w:r>
          </w:p>
        </w:tc>
        <w:tc>
          <w:tcPr>
            <w:tcW w:w="1500" w:type="dxa"/>
            <w:noWrap/>
          </w:tcPr>
          <w:p w14:paraId="22272A09" w14:textId="77777777" w:rsidR="00DB2B68" w:rsidRDefault="00000000">
            <w:pPr>
              <w:jc w:val="center"/>
            </w:pPr>
            <w:r>
              <w:rPr>
                <w:b/>
              </w:rPr>
              <w:t>Classe de consistance</w:t>
            </w:r>
          </w:p>
        </w:tc>
        <w:tc>
          <w:tcPr>
            <w:tcW w:w="1500" w:type="dxa"/>
            <w:noWrap/>
          </w:tcPr>
          <w:p w14:paraId="53845F4E" w14:textId="77777777" w:rsidR="00DB2B68" w:rsidRDefault="00000000">
            <w:pPr>
              <w:jc w:val="center"/>
            </w:pPr>
            <w:r>
              <w:rPr>
                <w:b/>
              </w:rPr>
              <w:t>Granulométrie maximale</w:t>
            </w:r>
          </w:p>
        </w:tc>
        <w:tc>
          <w:tcPr>
            <w:tcW w:w="1500" w:type="dxa"/>
            <w:noWrap/>
          </w:tcPr>
          <w:p w14:paraId="18490A7B" w14:textId="77777777" w:rsidR="00DB2B68" w:rsidRDefault="00000000">
            <w:r>
              <w:rPr>
                <w:b/>
              </w:rPr>
              <w:t>Données complémentaires</w:t>
            </w:r>
          </w:p>
        </w:tc>
      </w:tr>
      <w:tr w:rsidR="00DB2B68" w14:paraId="11EC935B" w14:textId="77777777">
        <w:tc>
          <w:tcPr>
            <w:tcW w:w="1500" w:type="dxa"/>
            <w:noWrap/>
          </w:tcPr>
          <w:p w14:paraId="09963A25" w14:textId="77777777" w:rsidR="00DB2B68" w:rsidRDefault="00000000">
            <w:pPr>
              <w:jc w:val="center"/>
            </w:pPr>
            <w:r>
              <w:rPr>
                <w:rStyle w:val="optioncarChar"/>
              </w:rPr>
              <w:t>C25/30 / C30/37 / C35/45 / C45/55 / C50/60 / C55/67 / C60/75 / C70/85 / C80/95 / C90/105</w:t>
            </w:r>
          </w:p>
        </w:tc>
        <w:tc>
          <w:tcPr>
            <w:tcW w:w="1500" w:type="dxa"/>
            <w:noWrap/>
          </w:tcPr>
          <w:p w14:paraId="63415E2D" w14:textId="77777777" w:rsidR="00DB2B68" w:rsidRDefault="00000000">
            <w:pPr>
              <w:jc w:val="center"/>
            </w:pPr>
            <w:r>
              <w:t>Béton armé</w:t>
            </w:r>
          </w:p>
          <w:p w14:paraId="5DC6E227" w14:textId="77777777" w:rsidR="00DB2B68" w:rsidRDefault="00000000">
            <w:pPr>
              <w:jc w:val="center"/>
            </w:pPr>
            <w:r>
              <w:t> </w:t>
            </w:r>
          </w:p>
        </w:tc>
        <w:tc>
          <w:tcPr>
            <w:tcW w:w="1500" w:type="dxa"/>
            <w:noWrap/>
          </w:tcPr>
          <w:p w14:paraId="31DECB09" w14:textId="77777777" w:rsidR="00DB2B68" w:rsidRDefault="00000000">
            <w:pPr>
              <w:jc w:val="center"/>
            </w:pPr>
            <w:r>
              <w:rPr>
                <w:rStyle w:val="optioncarChar"/>
              </w:rPr>
              <w:t>E0 / EI / EE1 / EE2 / EE3 / EE4 / ES1 / ES2 / ES3 / ES4 / EA1+*** / EA2+***/ EA3+***</w:t>
            </w:r>
          </w:p>
        </w:tc>
        <w:tc>
          <w:tcPr>
            <w:tcW w:w="1500" w:type="dxa"/>
            <w:noWrap/>
          </w:tcPr>
          <w:p w14:paraId="4B1FDC14" w14:textId="77777777" w:rsidR="00DB2B68" w:rsidRDefault="00000000">
            <w:pPr>
              <w:jc w:val="center"/>
            </w:pPr>
            <w:r>
              <w:t>au choix de l'entrepreneur :</w:t>
            </w:r>
          </w:p>
          <w:p w14:paraId="204AD3DE" w14:textId="77777777" w:rsidR="00DB2B68" w:rsidRDefault="00000000">
            <w:pPr>
              <w:jc w:val="center"/>
            </w:pPr>
            <w:r>
              <w:rPr>
                <w:rStyle w:val="optioncarChar"/>
              </w:rPr>
              <w:t xml:space="preserve">S3 / S4 / S5 </w:t>
            </w:r>
          </w:p>
          <w:p w14:paraId="71AEB500" w14:textId="77777777" w:rsidR="00DB2B68" w:rsidRDefault="00000000">
            <w:pPr>
              <w:jc w:val="center"/>
            </w:pPr>
            <w:r>
              <w:rPr>
                <w:rStyle w:val="optioncarChar"/>
              </w:rPr>
              <w:t>F3 / F4 / F5 / F6</w:t>
            </w:r>
            <w:r>
              <w:br/>
            </w:r>
          </w:p>
        </w:tc>
        <w:tc>
          <w:tcPr>
            <w:tcW w:w="1500" w:type="dxa"/>
            <w:noWrap/>
          </w:tcPr>
          <w:p w14:paraId="5662BA88" w14:textId="77777777" w:rsidR="00DB2B68" w:rsidRDefault="00000000">
            <w:pPr>
              <w:jc w:val="center"/>
            </w:pPr>
            <w:r>
              <w:t>au choix de l'entrepreneur :</w:t>
            </w:r>
          </w:p>
          <w:p w14:paraId="249AE539" w14:textId="77777777" w:rsidR="00DB2B68" w:rsidRDefault="00000000">
            <w:pPr>
              <w:jc w:val="center"/>
            </w:pPr>
            <w:r>
              <w:rPr>
                <w:rStyle w:val="optioncarChar"/>
              </w:rPr>
              <w:t>6 / 8 / 10 / 11 / 12 / 14 / 16 / 20 / 22 / 32 </w:t>
            </w:r>
            <w:r>
              <w:t>mm</w:t>
            </w:r>
          </w:p>
        </w:tc>
        <w:tc>
          <w:tcPr>
            <w:tcW w:w="1500" w:type="dxa"/>
            <w:noWrap/>
          </w:tcPr>
          <w:p w14:paraId="6558922C" w14:textId="77777777" w:rsidR="00DB2B68" w:rsidRDefault="00000000">
            <w:pPr>
              <w:jc w:val="center"/>
            </w:pPr>
            <w:r>
              <w:rPr>
                <w:rStyle w:val="optioncarChar"/>
              </w:rPr>
              <w:t>***</w:t>
            </w:r>
          </w:p>
        </w:tc>
      </w:tr>
    </w:tbl>
    <w:p w14:paraId="3BDDB6B7" w14:textId="77777777" w:rsidR="00DB2B68" w:rsidRDefault="00000000">
      <w:r>
        <w:t> </w:t>
      </w:r>
    </w:p>
    <w:p w14:paraId="43B76E36"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aut-plaçant (E) :</w:t>
      </w:r>
    </w:p>
    <w:p w14:paraId="6F0BDE63" w14:textId="77777777" w:rsidR="00DB2B68" w:rsidRDefault="00000000">
      <w:pPr>
        <w:pStyle w:val="Author-eListParagraph"/>
        <w:numPr>
          <w:ilvl w:val="0"/>
          <w:numId w:val="453"/>
        </w:numPr>
      </w:pPr>
      <w:r>
        <w:t xml:space="preserve">Classe de viscosité apparente : </w:t>
      </w:r>
      <w:r>
        <w:rPr>
          <w:rStyle w:val="optioncarChar"/>
        </w:rPr>
        <w:t>VS1 / VS2</w:t>
      </w:r>
      <w:r>
        <w:t xml:space="preserve"> (selon la [NBN EN 12350-8] )</w:t>
      </w:r>
    </w:p>
    <w:p w14:paraId="355F74D3" w14:textId="77777777" w:rsidR="00DB2B68" w:rsidRDefault="00000000">
      <w:pPr>
        <w:pStyle w:val="Author-eListParagraph"/>
        <w:numPr>
          <w:ilvl w:val="0"/>
          <w:numId w:val="45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2A119C0B" w14:textId="77777777" w:rsidR="00DB2B68" w:rsidRDefault="00000000">
      <w:pPr>
        <w:pStyle w:val="Author-eListParagraph"/>
        <w:numPr>
          <w:ilvl w:val="0"/>
          <w:numId w:val="45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09C203A"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008CF677" w14:textId="77777777" w:rsidR="00DB2B68" w:rsidRDefault="00000000">
      <w:pPr>
        <w:pStyle w:val="Author-eListParagraph"/>
        <w:numPr>
          <w:ilvl w:val="0"/>
          <w:numId w:val="454"/>
        </w:numPr>
      </w:pPr>
      <w:r>
        <w:t xml:space="preserve">Les armatures de la couche de compression se composent au moins d'un treillis soudé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 150 x 150 x 6 x 6 </w:t>
      </w:r>
      <w:r>
        <w:t>(par défaut) mm.</w:t>
      </w:r>
    </w:p>
    <w:p w14:paraId="3AD7D8D9" w14:textId="77777777" w:rsidR="00DB2B68" w:rsidRDefault="00000000">
      <w:pPr>
        <w:pStyle w:val="Author-eListParagraph"/>
        <w:numPr>
          <w:ilvl w:val="0"/>
          <w:numId w:val="454"/>
        </w:numPr>
      </w:pPr>
      <w:r>
        <w:t xml:space="preserve">Barres d’acier complémentaires : acier </w:t>
      </w:r>
      <w:r>
        <w:rPr>
          <w:rStyle w:val="optioncarChar"/>
        </w:rPr>
        <w:t xml:space="preserve">BE 500 S </w:t>
      </w:r>
      <w:r>
        <w:t>(par défaut)</w:t>
      </w:r>
      <w:r>
        <w:rPr>
          <w:rStyle w:val="optioncarChar"/>
        </w:rPr>
        <w:t xml:space="preserve"> / ***</w:t>
      </w:r>
      <w:r>
        <w:t xml:space="preserve"> selon [NBN A 24-302] + [PTV 302] .</w:t>
      </w:r>
    </w:p>
    <w:p w14:paraId="05A6C2DB" w14:textId="77777777" w:rsidR="00DB2B68" w:rsidRDefault="00000000">
      <w:pPr>
        <w:pStyle w:val="pheading"/>
      </w:pPr>
      <w:r>
        <w:t>- Prescriptions complémentaires</w:t>
      </w:r>
    </w:p>
    <w:p w14:paraId="698DF165" w14:textId="77777777" w:rsidR="00DB2B68" w:rsidRDefault="00000000">
      <w:r>
        <w:t>Les éléments de plancher ont obtenu un certificat d'aptitude à l'emploi.</w:t>
      </w:r>
      <w:r>
        <w:br/>
        <w:t xml:space="preserve">Résistance au feu: pour les éléments porteurs et structuraux sans fonction séparant </w:t>
      </w:r>
      <w:r>
        <w:rPr>
          <w:rStyle w:val="optioncarChar"/>
        </w:rPr>
        <w:t>R15 / R30 </w:t>
      </w:r>
      <w:r>
        <w:t xml:space="preserve">(par défaut) </w:t>
      </w:r>
      <w:r>
        <w:rPr>
          <w:rStyle w:val="optioncarChar"/>
        </w:rPr>
        <w:t>/ R60 / R120 / ***</w:t>
      </w:r>
      <w:r>
        <w:t xml:space="preserve">et pour les éléments porteurs et structuraux avec fonction séparant </w:t>
      </w:r>
      <w:r>
        <w:rPr>
          <w:rStyle w:val="optioncarChar"/>
        </w:rPr>
        <w:t>REI 30 </w:t>
      </w:r>
      <w:r>
        <w:t>(par défaut)</w:t>
      </w:r>
      <w:r>
        <w:rPr>
          <w:rStyle w:val="optioncarChar"/>
        </w:rPr>
        <w:t xml:space="preserve"> / REI 60 / REI 120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0572A57C" w14:textId="77777777" w:rsidR="00DB2B68" w:rsidRDefault="00000000">
      <w:pPr>
        <w:pStyle w:val="pheading"/>
      </w:pPr>
      <w:r>
        <w:t>EXÉCUTION / MISE EN ŒUVRE</w:t>
      </w:r>
    </w:p>
    <w:p w14:paraId="1A4327D8" w14:textId="77777777" w:rsidR="00DB2B68" w:rsidRDefault="00000000">
      <w:pPr>
        <w:pStyle w:val="pheading"/>
      </w:pPr>
      <w:r>
        <w:t>- Prescriptions générales</w:t>
      </w:r>
    </w:p>
    <w:p w14:paraId="1D5C39E0" w14:textId="77777777" w:rsidR="00DB2B68" w:rsidRDefault="00000000">
      <w:pPr>
        <w:pStyle w:val="Author-eListParagraph"/>
        <w:numPr>
          <w:ilvl w:val="0"/>
          <w:numId w:val="455"/>
        </w:numPr>
      </w:pPr>
      <w:r>
        <w:t>La face supérieure de la prédalle doit correspondre aux cotes de niveau et à l'épaisseur de plancher indiquées sur les plans d'architecture.</w:t>
      </w:r>
    </w:p>
    <w:p w14:paraId="762506E3" w14:textId="77777777" w:rsidR="00DB2B68" w:rsidRDefault="00000000">
      <w:pPr>
        <w:pStyle w:val="Author-eListParagraph"/>
        <w:numPr>
          <w:ilvl w:val="0"/>
          <w:numId w:val="455"/>
        </w:numPr>
      </w:pPr>
      <w:r>
        <w:t>Pendant le transport et l'entreposage provisoires sur chantier, l'entrepreneur veille à ce qu'il ne se produise pas de tensions inadmissibles dans le béton et l'acier. A cet effet, pendant le stockage, les appuis entre les prédalles sont suffisamment rapprochés.</w:t>
      </w:r>
    </w:p>
    <w:p w14:paraId="05861B5E" w14:textId="77777777" w:rsidR="00DB2B68" w:rsidRDefault="00000000">
      <w:pPr>
        <w:pStyle w:val="Author-eListParagraph"/>
        <w:numPr>
          <w:ilvl w:val="0"/>
          <w:numId w:val="455"/>
        </w:numPr>
      </w:pPr>
      <w:r>
        <w:t xml:space="preserve">La profondeur des appuis aux extrémités est conforme au </w:t>
      </w:r>
      <w:r>
        <w:rPr>
          <w:shd w:val="clear" w:color="auto" w:fill="FFFFFF"/>
        </w:rPr>
        <w:t>[NIT 223]</w:t>
      </w:r>
    </w:p>
    <w:p w14:paraId="04D4A404" w14:textId="77777777" w:rsidR="00DB2B68" w:rsidRDefault="00000000">
      <w:pPr>
        <w:pStyle w:val="Author-eListParagraph"/>
        <w:numPr>
          <w:ilvl w:val="0"/>
          <w:numId w:val="455"/>
        </w:numPr>
      </w:pPr>
      <w:r>
        <w:t>Lorsque la profondeur d'appui est inférieure, des armatures doivent dépasser des éléments de plancher. Les éléments sont pourvus d'armatures dépassantes sur tous les appuis où les plaques ne sont pas continues.</w:t>
      </w:r>
    </w:p>
    <w:p w14:paraId="6CA4F023" w14:textId="77777777" w:rsidR="00DB2B68" w:rsidRDefault="00000000">
      <w:pPr>
        <w:pStyle w:val="Author-eListParagraph"/>
        <w:numPr>
          <w:ilvl w:val="0"/>
          <w:numId w:val="455"/>
        </w:numPr>
      </w:pPr>
      <w:r>
        <w:t>La conception des joints et des assemblages externes est déterminée par l'étude de stabilité .</w:t>
      </w:r>
    </w:p>
    <w:p w14:paraId="0E9D61E2" w14:textId="77777777" w:rsidR="00DB2B68" w:rsidRDefault="00000000">
      <w:pPr>
        <w:pStyle w:val="Author-eListParagraph"/>
        <w:numPr>
          <w:ilvl w:val="0"/>
          <w:numId w:val="455"/>
        </w:numPr>
      </w:pPr>
      <w:r>
        <w:lastRenderedPageBreak/>
        <w:t>Lorsque l'ouvrage de construction reste apparent après la pose, les joints sont débarrassés de toutes impuretés.</w:t>
      </w:r>
    </w:p>
    <w:p w14:paraId="46C0D59F" w14:textId="77777777" w:rsidR="00DB2B68" w:rsidRDefault="00000000">
      <w:pPr>
        <w:pStyle w:val="Author-eListParagraph"/>
        <w:numPr>
          <w:ilvl w:val="0"/>
          <w:numId w:val="455"/>
        </w:numPr>
      </w:pPr>
      <w:r>
        <w:t xml:space="preserve">La couche de compression et ses armatures (treillis d'armature et armatures complémentaires) sont exécutées et posées </w:t>
      </w:r>
      <w:r>
        <w:rPr>
          <w:rStyle w:val="optioncarChar"/>
        </w:rPr>
        <w:t>selon les indications dans l'étude des bétons </w:t>
      </w:r>
      <w:r>
        <w:t>(par défaut)</w:t>
      </w:r>
      <w:r>
        <w:rPr>
          <w:rStyle w:val="optioncarChar"/>
        </w:rPr>
        <w:t xml:space="preserve"> / selon essentiellement [NBN EN 1990], [NBN EN 1991 série] , [NBN EN 1992-1-1] et [NBN EN 1992-1-2].</w:t>
      </w:r>
    </w:p>
    <w:p w14:paraId="6ED00947" w14:textId="77777777" w:rsidR="00DB2B68" w:rsidRDefault="00000000">
      <w:pPr>
        <w:pStyle w:val="pheading"/>
      </w:pPr>
      <w:r>
        <w:t>- Notes d’exécution complémentaires</w:t>
      </w:r>
    </w:p>
    <w:p w14:paraId="3E00E4CD" w14:textId="77777777" w:rsidR="00DB2B68" w:rsidRDefault="00000000">
      <w:r>
        <w:t>Les surfaces d'appui en béton cellulaire autoclavé, en briques silico-calcaires ou en bois doivent préalablement être recouvertes d'une feuille d'étanchéité.</w:t>
      </w:r>
    </w:p>
    <w:p w14:paraId="435657A0" w14:textId="77777777" w:rsidR="00DB2B68" w:rsidRDefault="00000000">
      <w:pPr>
        <w:pStyle w:val="pheading"/>
      </w:pPr>
      <w:r>
        <w:t>DOCUMENTS DE RÉFÉRENCE COMPLÉMENTAIRES</w:t>
      </w:r>
    </w:p>
    <w:p w14:paraId="626C7615" w14:textId="77777777" w:rsidR="00DB2B68" w:rsidRDefault="00000000">
      <w:pPr>
        <w:pStyle w:val="pheading"/>
      </w:pPr>
      <w:r>
        <w:t>- Matériau</w:t>
      </w:r>
    </w:p>
    <w:p w14:paraId="75FADF1D" w14:textId="77777777" w:rsidR="00DB2B68" w:rsidRDefault="00000000">
      <w:r>
        <w:t>[NBN EN 13747+A2, Produits préfabriqués en béton - Prédalles pour systèmes de planchers]</w:t>
      </w:r>
    </w:p>
    <w:p w14:paraId="344E536C" w14:textId="77777777" w:rsidR="00DB2B68" w:rsidRDefault="00000000">
      <w:r>
        <w:t>[NBN B 21-606:2019+A1, Produits préfabriqués en béton - Prédalles - Norme d'application nationale à la NBN EN 13747+A2:2010 et à la NBN EN 15050+A1:2012]</w:t>
      </w:r>
    </w:p>
    <w:p w14:paraId="3BE321B0" w14:textId="77777777" w:rsidR="00DB2B68" w:rsidRDefault="00000000">
      <w:pPr>
        <w:pStyle w:val="pheading"/>
      </w:pPr>
      <w:r>
        <w:t>MESURAGE</w:t>
      </w:r>
    </w:p>
    <w:p w14:paraId="13903368" w14:textId="77777777" w:rsidR="00DB2B68" w:rsidRDefault="00000000">
      <w:r>
        <w:t>Conformément à la nature du plancher, aux indications spécifiques dans le cahier spécial des charges et/ou le métré récapitulatif, le mesurage doit être conçu comme suit :</w:t>
      </w:r>
    </w:p>
    <w:p w14:paraId="1E10E7C9" w14:textId="77777777" w:rsidR="00DB2B68" w:rsidRDefault="00000000">
      <w:pPr>
        <w:pStyle w:val="pheading"/>
      </w:pPr>
      <w:r>
        <w:t>- unité de mesure:</w:t>
      </w:r>
    </w:p>
    <w:p w14:paraId="0998DD0B" w14:textId="77777777" w:rsidR="00DB2B68" w:rsidRDefault="00000000">
      <w:r>
        <w:rPr>
          <w:b/>
        </w:rPr>
        <w:t xml:space="preserve">Choix opéré : </w:t>
      </w:r>
      <w:r>
        <w:rPr>
          <w:rStyle w:val="optioncarChar"/>
          <w:b/>
        </w:rPr>
        <w:t xml:space="preserve">OPTION 1 </w:t>
      </w:r>
      <w:r>
        <w:t>(par défaut)</w:t>
      </w:r>
      <w:r>
        <w:rPr>
          <w:rStyle w:val="optioncarChar"/>
          <w:b/>
        </w:rPr>
        <w:t xml:space="preserve"> / OPTION 1bis / OPTION 2 / OPTION 3</w:t>
      </w:r>
    </w:p>
    <w:p w14:paraId="4864AC5D" w14:textId="77777777" w:rsidR="00DB2B68" w:rsidRDefault="00000000">
      <w:r>
        <w:rPr>
          <w:b/>
        </w:rPr>
        <w:t>(soit par défaut)</w:t>
      </w:r>
      <w:r>
        <w:br/>
      </w:r>
      <w:r>
        <w:rPr>
          <w:rStyle w:val="soitChar"/>
        </w:rPr>
        <w:t xml:space="preserve">1. </w:t>
      </w:r>
      <w:r>
        <w:rPr>
          <w:rStyle w:val="soitChar"/>
          <w:u w:val="single"/>
        </w:rPr>
        <w:t>OPTION 1</w:t>
      </w:r>
      <w:r>
        <w:rPr>
          <w:rStyle w:val="soitChar"/>
        </w:rPr>
        <w:t>: m² (pour l'ensemble ou, le cas échéant, ventilé en fonction de la nature, de l'épaisseur et/ou de la charge d’exploitation). Tous les éléments nécessaires, travaux et fournitures (coffrages, armatures et couches de compression prescrites) sont compris dans le prix unitaire.</w:t>
      </w:r>
    </w:p>
    <w:p w14:paraId="59353C8F" w14:textId="77777777" w:rsidR="00DB2B68" w:rsidRDefault="00000000">
      <w:r>
        <w:rPr>
          <w:b/>
        </w:rPr>
        <w:t>(soit)</w:t>
      </w:r>
      <w:r>
        <w:br/>
      </w:r>
      <w:r>
        <w:rPr>
          <w:rStyle w:val="soitChar"/>
        </w:rPr>
        <w:t xml:space="preserve">1bis. </w:t>
      </w:r>
      <w:r>
        <w:rPr>
          <w:rStyle w:val="soitChar"/>
          <w:u w:val="single"/>
        </w:rPr>
        <w:t>OPTION 1bis</w:t>
      </w:r>
      <w:r>
        <w:rPr>
          <w:rStyle w:val="soitChar"/>
        </w:rPr>
        <w:t>: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6A610C71" w14:textId="77777777" w:rsidR="00DB2B68" w:rsidRDefault="00000000">
      <w:r>
        <w:rPr>
          <w:b/>
        </w:rPr>
        <w:t>(soit)</w:t>
      </w:r>
      <w:r>
        <w:br/>
      </w:r>
      <w:r>
        <w:rPr>
          <w:rStyle w:val="soitChar"/>
        </w:rPr>
        <w:t xml:space="preserve">2. </w:t>
      </w:r>
      <w:r>
        <w:rPr>
          <w:rStyle w:val="soitChar"/>
          <w:u w:val="single"/>
        </w:rPr>
        <w:t>OPTION 2</w:t>
      </w:r>
      <w:r>
        <w:rPr>
          <w:rStyle w:val="soitChar"/>
        </w:rPr>
        <w:t>:</w:t>
      </w:r>
    </w:p>
    <w:p w14:paraId="28274ABB" w14:textId="77777777" w:rsidR="00DB2B68" w:rsidRDefault="00000000">
      <w:pPr>
        <w:pStyle w:val="Author-eListParagraph"/>
        <w:numPr>
          <w:ilvl w:val="0"/>
          <w:numId w:val="456"/>
        </w:numPr>
      </w:pPr>
      <w:r>
        <w:rPr>
          <w:rStyle w:val="soitChar"/>
        </w:rPr>
        <w:t>m³ pour le béton</w:t>
      </w:r>
    </w:p>
    <w:p w14:paraId="066AAF32" w14:textId="77777777" w:rsidR="00DB2B68" w:rsidRDefault="00000000">
      <w:pPr>
        <w:pStyle w:val="Author-eListParagraph"/>
        <w:numPr>
          <w:ilvl w:val="0"/>
          <w:numId w:val="456"/>
        </w:numPr>
      </w:pPr>
      <w:r>
        <w:rPr>
          <w:rStyle w:val="soitChar"/>
        </w:rPr>
        <w:t>kg pour les armatures</w:t>
      </w:r>
    </w:p>
    <w:p w14:paraId="45CFBAAD" w14:textId="77777777" w:rsidR="00DB2B68" w:rsidRDefault="00000000">
      <w:pPr>
        <w:pStyle w:val="Author-eListParagraph"/>
        <w:numPr>
          <w:ilvl w:val="0"/>
          <w:numId w:val="456"/>
        </w:numPr>
      </w:pPr>
      <w:r>
        <w:rPr>
          <w:rStyle w:val="soitChar"/>
        </w:rPr>
        <w:t>Tous les autres éléments, travaux et fournitures doivent être compris dans les prix unitaires respectifs pour les mesurages précités.</w:t>
      </w:r>
    </w:p>
    <w:p w14:paraId="4D394A73" w14:textId="77777777" w:rsidR="00DB2B68" w:rsidRDefault="00000000">
      <w:r>
        <w:rPr>
          <w:b/>
        </w:rPr>
        <w:t>(soit)</w:t>
      </w:r>
      <w:r>
        <w:br/>
      </w:r>
      <w:r>
        <w:rPr>
          <w:rStyle w:val="soitChar"/>
        </w:rPr>
        <w:t xml:space="preserve">3. </w:t>
      </w:r>
      <w:r>
        <w:rPr>
          <w:rStyle w:val="soitChar"/>
          <w:u w:val="single"/>
        </w:rPr>
        <w:t>OPTION 3</w:t>
      </w:r>
      <w:r>
        <w:rPr>
          <w:rStyle w:val="soitChar"/>
        </w:rPr>
        <w:t xml:space="preserve">: </w:t>
      </w:r>
    </w:p>
    <w:p w14:paraId="29EA022F" w14:textId="77777777" w:rsidR="00DB2B68" w:rsidRDefault="00000000">
      <w:pPr>
        <w:pStyle w:val="Author-eListParagraph"/>
        <w:numPr>
          <w:ilvl w:val="0"/>
          <w:numId w:val="457"/>
        </w:numPr>
      </w:pPr>
      <w:r>
        <w:rPr>
          <w:rStyle w:val="soitChar"/>
        </w:rPr>
        <w:t>m³ pour le béton de remplissage</w:t>
      </w:r>
    </w:p>
    <w:p w14:paraId="116287D7" w14:textId="77777777" w:rsidR="00DB2B68" w:rsidRDefault="00000000">
      <w:pPr>
        <w:pStyle w:val="Author-eListParagraph"/>
        <w:numPr>
          <w:ilvl w:val="0"/>
          <w:numId w:val="457"/>
        </w:numPr>
      </w:pPr>
      <w:r>
        <w:rPr>
          <w:rStyle w:val="soitChar"/>
        </w:rPr>
        <w:t>m³ pour la couche de compression béton (en mentionnant l'épaisseur...)</w:t>
      </w:r>
    </w:p>
    <w:p w14:paraId="0C01F084" w14:textId="77777777" w:rsidR="00DB2B68" w:rsidRDefault="00000000">
      <w:pPr>
        <w:pStyle w:val="Author-eListParagraph"/>
        <w:numPr>
          <w:ilvl w:val="0"/>
          <w:numId w:val="457"/>
        </w:numPr>
      </w:pPr>
      <w:r>
        <w:rPr>
          <w:rStyle w:val="soitChar"/>
        </w:rPr>
        <w:t>kg pour les armatures supplémentaires</w:t>
      </w:r>
    </w:p>
    <w:p w14:paraId="4174AE47" w14:textId="77777777" w:rsidR="00DB2B68" w:rsidRDefault="00000000">
      <w:pPr>
        <w:pStyle w:val="Author-eListParagraph"/>
        <w:numPr>
          <w:ilvl w:val="0"/>
          <w:numId w:val="457"/>
        </w:numPr>
      </w:pPr>
      <w:r>
        <w:rPr>
          <w:rStyle w:val="soitChar"/>
        </w:rPr>
        <w:t>Pièces divergentes et pièces spéciales : à la pièce (selon les dimensions identiques ou indications standards).</w:t>
      </w:r>
    </w:p>
    <w:p w14:paraId="344EA7B8"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48851416" w14:textId="77777777" w:rsidR="00DB2B68" w:rsidRDefault="00000000">
      <w:pPr>
        <w:pStyle w:val="pheading"/>
      </w:pPr>
      <w:r>
        <w:t>- code de mesurage:</w:t>
      </w:r>
    </w:p>
    <w:p w14:paraId="34606C74" w14:textId="77777777" w:rsidR="00DB2B68" w:rsidRDefault="00000000">
      <w:r>
        <w:lastRenderedPageBreak/>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m2 sont déduits.</w:t>
      </w:r>
    </w:p>
    <w:p w14:paraId="722D7D86" w14:textId="77777777" w:rsidR="00DB2B68" w:rsidRDefault="00000000">
      <w:pPr>
        <w:pStyle w:val="pheading"/>
      </w:pPr>
      <w:r>
        <w:t>- nature du marché:</w:t>
      </w:r>
    </w:p>
    <w:p w14:paraId="56356049" w14:textId="77777777" w:rsidR="00DB2B68" w:rsidRDefault="00000000">
      <w:r>
        <w:rPr>
          <w:rStyle w:val="optioncarChar"/>
        </w:rPr>
        <w:t>QF</w:t>
      </w:r>
      <w:r>
        <w:t xml:space="preserve"> (par défaut)</w:t>
      </w:r>
      <w:r>
        <w:rPr>
          <w:rStyle w:val="optioncarChar"/>
        </w:rPr>
        <w:t xml:space="preserve"> / QP / PM</w:t>
      </w:r>
    </w:p>
    <w:p w14:paraId="58BBABDB" w14:textId="77777777" w:rsidR="00DB2B68" w:rsidRDefault="00000000">
      <w:pPr>
        <w:pStyle w:val="pheading"/>
      </w:pPr>
      <w:r>
        <w:t>AIDE</w:t>
      </w:r>
    </w:p>
    <w:p w14:paraId="32BCDA82" w14:textId="77777777" w:rsidR="00DB2B68" w:rsidRDefault="00000000">
      <w:r>
        <w:t xml:space="preserve">Support aux prescripteurs : [SWL GSI/T1/C] de la prévention passive. </w:t>
      </w:r>
    </w:p>
    <w:p w14:paraId="121780ED" w14:textId="77777777" w:rsidR="00DB2B68" w:rsidRDefault="00000000">
      <w:pPr>
        <w:pStyle w:val="Author-eSectionHeading6Numberless"/>
      </w:pPr>
      <w:bookmarkStart w:id="727" w:name="_Toc220495788"/>
      <w:r>
        <w:t>22.15.3b Planchers à prédalles en béton précontraint CCTB 01.13</w:t>
      </w:r>
      <w:bookmarkEnd w:id="727"/>
    </w:p>
    <w:p w14:paraId="2AB9B374" w14:textId="77777777" w:rsidR="00DB2B68" w:rsidRDefault="00000000">
      <w:pPr>
        <w:pStyle w:val="pheading"/>
      </w:pPr>
      <w:r>
        <w:t>DESCRIPTION</w:t>
      </w:r>
    </w:p>
    <w:p w14:paraId="31263B30" w14:textId="77777777" w:rsidR="00DB2B68" w:rsidRDefault="00000000">
      <w:pPr>
        <w:pStyle w:val="pheading"/>
      </w:pPr>
      <w:r>
        <w:t>- Définition / Comprend</w:t>
      </w:r>
    </w:p>
    <w:p w14:paraId="22B9764F" w14:textId="77777777" w:rsidR="00DB2B68" w:rsidRDefault="00000000">
      <w:r>
        <w:t>L’article vise la fourniture et la mise en œuvre de planchers en prédalles en béton précontraint.</w:t>
      </w:r>
    </w:p>
    <w:p w14:paraId="3FFC6E52" w14:textId="77777777" w:rsidR="00DB2B68" w:rsidRDefault="00000000">
      <w:pPr>
        <w:pStyle w:val="pheading"/>
      </w:pPr>
      <w:r>
        <w:t>- Localisation</w:t>
      </w:r>
    </w:p>
    <w:p w14:paraId="52210D6A" w14:textId="77777777" w:rsidR="00DB2B68" w:rsidRDefault="00000000">
      <w:r>
        <w:t xml:space="preserve">Localisation des travaux : </w:t>
      </w:r>
      <w:r>
        <w:rPr>
          <w:rStyle w:val="optioncarChar"/>
        </w:rPr>
        <w:t>***</w:t>
      </w:r>
      <w:r>
        <w:t>.</w:t>
      </w:r>
    </w:p>
    <w:p w14:paraId="590C7C3D" w14:textId="77777777" w:rsidR="00DB2B68" w:rsidRDefault="00000000">
      <w:r>
        <w:t>Voir plans et métrés détaillés.</w:t>
      </w:r>
    </w:p>
    <w:p w14:paraId="4F071D1B" w14:textId="77777777" w:rsidR="00DB2B68" w:rsidRDefault="00000000">
      <w:pPr>
        <w:pStyle w:val="pheading"/>
      </w:pPr>
      <w:r>
        <w:t>MATÉRIAUX</w:t>
      </w:r>
    </w:p>
    <w:p w14:paraId="5EF472B1" w14:textId="77777777" w:rsidR="00DB2B68" w:rsidRDefault="00000000">
      <w:pPr>
        <w:pStyle w:val="pheading"/>
      </w:pPr>
      <w:r>
        <w:t>- Caractéristiques générales</w:t>
      </w:r>
    </w:p>
    <w:p w14:paraId="62E0E0FE" w14:textId="77777777" w:rsidR="00DB2B68" w:rsidRDefault="00000000">
      <w:pPr>
        <w:jc w:val="both"/>
      </w:pPr>
      <w:r>
        <w:t>Les prédalles en béton précontraint sont conformes aux normes [NBN EN 13747+A2] et [NBN B 21-606:2019+A1]. Les prédalles sont toujours livrées accompagnées de leur certificat d'origine. Elles disposent d'un certificat de conformité.</w:t>
      </w:r>
    </w:p>
    <w:p w14:paraId="6824514E" w14:textId="77777777" w:rsidR="00DB2B68" w:rsidRDefault="00000000">
      <w:pPr>
        <w:jc w:val="both"/>
      </w:pPr>
      <w:r>
        <w:rPr>
          <w:b/>
        </w:rPr>
        <w:t>Spécifications - prédalles</w:t>
      </w:r>
    </w:p>
    <w:p w14:paraId="544FFFCA" w14:textId="77777777" w:rsidR="00DB2B68" w:rsidRDefault="00000000">
      <w:pPr>
        <w:pStyle w:val="Author-eListParagraph"/>
        <w:numPr>
          <w:ilvl w:val="0"/>
          <w:numId w:val="458"/>
        </w:numPr>
      </w:pPr>
      <w:r>
        <w:t>Épaisseur des prédalles: conformément aux indications sur les plans</w:t>
      </w:r>
    </w:p>
    <w:p w14:paraId="1C14DC26" w14:textId="77777777" w:rsidR="00DB2B68" w:rsidRDefault="00000000">
      <w:pPr>
        <w:pStyle w:val="Author-eListParagraph"/>
        <w:numPr>
          <w:ilvl w:val="0"/>
          <w:numId w:val="458"/>
        </w:numPr>
      </w:pPr>
      <w:r>
        <w:t>Épaisseur des éléments de plancher: conformément aux indications sur les plans</w:t>
      </w:r>
    </w:p>
    <w:p w14:paraId="674E69A1" w14:textId="77777777" w:rsidR="00DB2B68" w:rsidRDefault="00000000">
      <w:pPr>
        <w:pStyle w:val="Author-eListParagraph"/>
        <w:numPr>
          <w:ilvl w:val="0"/>
          <w:numId w:val="458"/>
        </w:numPr>
      </w:pPr>
      <w:r>
        <w:t xml:space="preserve">Contre-flèche : </w:t>
      </w:r>
      <w:r>
        <w:rPr>
          <w:rStyle w:val="optioncarChar"/>
        </w:rPr>
        <w:t>***</w:t>
      </w:r>
      <w:r>
        <w:t xml:space="preserve"> de la portée</w:t>
      </w:r>
    </w:p>
    <w:p w14:paraId="46373ECC" w14:textId="77777777" w:rsidR="00DB2B68" w:rsidRDefault="00000000">
      <w:pPr>
        <w:pStyle w:val="Author-eListParagraph"/>
        <w:numPr>
          <w:ilvl w:val="0"/>
          <w:numId w:val="458"/>
        </w:numPr>
      </w:pPr>
      <w:r>
        <w:t>Épaisseur de la couche de compression</w:t>
      </w:r>
    </w:p>
    <w:p w14:paraId="5070F4DF" w14:textId="77777777" w:rsidR="00DB2B68" w:rsidRDefault="00000000">
      <w:pPr>
        <w:pStyle w:val="Author-eListParagraph"/>
        <w:numPr>
          <w:ilvl w:val="0"/>
          <w:numId w:val="458"/>
        </w:numPr>
      </w:pPr>
      <w:r>
        <w:t>La qualité du béton selon la [NBN EN 206:2013+A2] et [NBN B 15-001] est fonction de l'épaisseur de la couche de compression</w:t>
      </w:r>
    </w:p>
    <w:p w14:paraId="186EE3E9" w14:textId="77777777" w:rsidR="00DB2B68" w:rsidRDefault="00000000">
      <w:pPr>
        <w:pStyle w:val="Author-eListParagraph"/>
        <w:numPr>
          <w:ilvl w:val="0"/>
          <w:numId w:val="458"/>
        </w:numPr>
      </w:pPr>
      <w:r>
        <w:t>Classe de résistance à la compression</w:t>
      </w:r>
    </w:p>
    <w:p w14:paraId="712A0D66" w14:textId="77777777" w:rsidR="00DB2B68" w:rsidRDefault="00000000">
      <w:pPr>
        <w:pStyle w:val="Author-eListParagraph"/>
        <w:numPr>
          <w:ilvl w:val="0"/>
          <w:numId w:val="458"/>
        </w:numPr>
      </w:pPr>
      <w:r>
        <w:rPr>
          <w:rStyle w:val="optioncarChar"/>
        </w:rPr>
        <w:t>C30/37 </w:t>
      </w:r>
      <w:r>
        <w:t>(par défaut)</w:t>
      </w:r>
      <w:r>
        <w:rPr>
          <w:rStyle w:val="optioncarChar"/>
        </w:rPr>
        <w:t xml:space="preserve"> / C35/45 / C45/55 / C50/60 / C55/67 / C60/75 / C70/85 / C80/95 / C90/105 / ***</w:t>
      </w:r>
    </w:p>
    <w:p w14:paraId="75510540" w14:textId="77777777" w:rsidR="00DB2B68" w:rsidRDefault="00000000">
      <w:pPr>
        <w:pStyle w:val="Author-eListParagraph"/>
        <w:numPr>
          <w:ilvl w:val="0"/>
          <w:numId w:val="458"/>
        </w:numPr>
      </w:pPr>
      <w:r>
        <w:t>Classe d’environnement</w:t>
      </w:r>
    </w:p>
    <w:p w14:paraId="40436A8D" w14:textId="77777777" w:rsidR="00DB2B68" w:rsidRDefault="00000000">
      <w:pPr>
        <w:pStyle w:val="Author-eListParagraph"/>
        <w:numPr>
          <w:ilvl w:val="0"/>
          <w:numId w:val="458"/>
        </w:numPr>
      </w:pPr>
      <w:r>
        <w:rPr>
          <w:rStyle w:val="optioncarChar"/>
        </w:rPr>
        <w:t>EI </w:t>
      </w:r>
      <w:r>
        <w:t>(par défaut)</w:t>
      </w:r>
      <w:r>
        <w:rPr>
          <w:rStyle w:val="optioncarChar"/>
        </w:rPr>
        <w:t xml:space="preserve"> / EE1 / EE2 / EE3 / EE4 / ES1 / ES2 / ES3 / ES4 / EA1+*** / EA2+***/ EA3+***</w:t>
      </w:r>
    </w:p>
    <w:p w14:paraId="755B7843" w14:textId="77777777" w:rsidR="00DB2B68" w:rsidRDefault="00000000">
      <w:r>
        <w:rPr>
          <w:b/>
        </w:rPr>
        <w:t>Spécifications - couche de compression</w:t>
      </w:r>
    </w:p>
    <w:p w14:paraId="5121A8C3" w14:textId="77777777" w:rsidR="00DB2B68" w:rsidRDefault="00000000">
      <w:pPr>
        <w:pStyle w:val="Author-eListParagraph"/>
        <w:numPr>
          <w:ilvl w:val="0"/>
          <w:numId w:val="459"/>
        </w:numPr>
      </w:pPr>
      <w:r>
        <w:t xml:space="preserve">Qualité du béton selon la [NBN EN 206:2013+A2] et la [NBN B 15-001] : (voir également la section </w:t>
      </w:r>
      <w:hyperlink w:anchor="87" w:history="1">
        <w:r>
          <w:rPr>
            <w:color w:val="0000EE"/>
          </w:rPr>
          <w:t>22 Superstructures en béton</w:t>
        </w:r>
      </w:hyperlink>
      <w:r>
        <w:t>).</w:t>
      </w:r>
    </w:p>
    <w:tbl>
      <w:tblPr>
        <w:tblStyle w:val="Author-eTableGrid"/>
        <w:tblW w:w="9060" w:type="dxa"/>
        <w:tblLayout w:type="fixed"/>
        <w:tblLook w:val="04A0" w:firstRow="1" w:lastRow="0" w:firstColumn="1" w:lastColumn="0" w:noHBand="0" w:noVBand="1"/>
      </w:tblPr>
      <w:tblGrid>
        <w:gridCol w:w="995"/>
        <w:gridCol w:w="1387"/>
        <w:gridCol w:w="1779"/>
        <w:gridCol w:w="1387"/>
        <w:gridCol w:w="1673"/>
        <w:gridCol w:w="1839"/>
      </w:tblGrid>
      <w:tr w:rsidR="00DB2B68" w14:paraId="3799F8E3" w14:textId="77777777">
        <w:tc>
          <w:tcPr>
            <w:tcW w:w="990" w:type="dxa"/>
            <w:noWrap/>
          </w:tcPr>
          <w:p w14:paraId="13541596" w14:textId="77777777" w:rsidR="00DB2B68" w:rsidRDefault="00000000">
            <w:pPr>
              <w:jc w:val="center"/>
            </w:pPr>
            <w:r>
              <w:rPr>
                <w:b/>
              </w:rPr>
              <w:t>A</w:t>
            </w:r>
          </w:p>
        </w:tc>
        <w:tc>
          <w:tcPr>
            <w:tcW w:w="1380" w:type="dxa"/>
            <w:noWrap/>
          </w:tcPr>
          <w:p w14:paraId="1BCCDFAE" w14:textId="77777777" w:rsidR="00DB2B68" w:rsidRDefault="00000000">
            <w:pPr>
              <w:jc w:val="center"/>
            </w:pPr>
            <w:r>
              <w:rPr>
                <w:b/>
              </w:rPr>
              <w:t>B1</w:t>
            </w:r>
          </w:p>
        </w:tc>
        <w:tc>
          <w:tcPr>
            <w:tcW w:w="1770" w:type="dxa"/>
            <w:noWrap/>
          </w:tcPr>
          <w:p w14:paraId="1DADD4EE" w14:textId="77777777" w:rsidR="00DB2B68" w:rsidRDefault="00000000">
            <w:pPr>
              <w:jc w:val="center"/>
            </w:pPr>
            <w:r>
              <w:rPr>
                <w:b/>
              </w:rPr>
              <w:t>B2</w:t>
            </w:r>
          </w:p>
        </w:tc>
        <w:tc>
          <w:tcPr>
            <w:tcW w:w="1380" w:type="dxa"/>
            <w:noWrap/>
          </w:tcPr>
          <w:p w14:paraId="30CE6336" w14:textId="77777777" w:rsidR="00DB2B68" w:rsidRDefault="00000000">
            <w:pPr>
              <w:jc w:val="center"/>
            </w:pPr>
            <w:r>
              <w:rPr>
                <w:b/>
              </w:rPr>
              <w:t>C</w:t>
            </w:r>
          </w:p>
        </w:tc>
        <w:tc>
          <w:tcPr>
            <w:tcW w:w="1665" w:type="dxa"/>
            <w:noWrap/>
          </w:tcPr>
          <w:p w14:paraId="78C0E3A8" w14:textId="77777777" w:rsidR="00DB2B68" w:rsidRDefault="00000000">
            <w:pPr>
              <w:jc w:val="center"/>
            </w:pPr>
            <w:r>
              <w:rPr>
                <w:b/>
              </w:rPr>
              <w:t>D</w:t>
            </w:r>
          </w:p>
        </w:tc>
        <w:tc>
          <w:tcPr>
            <w:tcW w:w="1830" w:type="dxa"/>
            <w:noWrap/>
          </w:tcPr>
          <w:p w14:paraId="1AEAAA75" w14:textId="77777777" w:rsidR="00DB2B68" w:rsidRDefault="00000000">
            <w:pPr>
              <w:jc w:val="center"/>
            </w:pPr>
            <w:r>
              <w:rPr>
                <w:b/>
              </w:rPr>
              <w:t>E</w:t>
            </w:r>
          </w:p>
        </w:tc>
      </w:tr>
      <w:tr w:rsidR="00DB2B68" w14:paraId="1DD56F0A" w14:textId="77777777">
        <w:tc>
          <w:tcPr>
            <w:tcW w:w="990" w:type="dxa"/>
            <w:noWrap/>
          </w:tcPr>
          <w:p w14:paraId="28EDE0A7" w14:textId="77777777" w:rsidR="00DB2B68" w:rsidRDefault="00000000">
            <w:r>
              <w:t> </w:t>
            </w:r>
          </w:p>
          <w:p w14:paraId="48D02562" w14:textId="77777777" w:rsidR="00DB2B68" w:rsidRDefault="00000000">
            <w:r>
              <w:rPr>
                <w:b/>
              </w:rPr>
              <w:t xml:space="preserve">Classe de </w:t>
            </w:r>
          </w:p>
          <w:p w14:paraId="7436FBB6" w14:textId="77777777" w:rsidR="00DB2B68" w:rsidRDefault="00000000">
            <w:r>
              <w:rPr>
                <w:b/>
              </w:rPr>
              <w:t>résistance</w:t>
            </w:r>
          </w:p>
          <w:p w14:paraId="7C637085" w14:textId="77777777" w:rsidR="00DB2B68" w:rsidRDefault="00000000">
            <w:r>
              <w:t> </w:t>
            </w:r>
          </w:p>
        </w:tc>
        <w:tc>
          <w:tcPr>
            <w:tcW w:w="1380" w:type="dxa"/>
            <w:noWrap/>
          </w:tcPr>
          <w:p w14:paraId="0DE0A4D1" w14:textId="77777777" w:rsidR="00DB2B68" w:rsidRDefault="00000000">
            <w:r>
              <w:t> </w:t>
            </w:r>
          </w:p>
          <w:p w14:paraId="7E1F9B32" w14:textId="77777777" w:rsidR="00DB2B68" w:rsidRDefault="00000000">
            <w:r>
              <w:rPr>
                <w:b/>
              </w:rPr>
              <w:t>Domaine d’application</w:t>
            </w:r>
          </w:p>
        </w:tc>
        <w:tc>
          <w:tcPr>
            <w:tcW w:w="1770" w:type="dxa"/>
            <w:noWrap/>
          </w:tcPr>
          <w:p w14:paraId="1D91D2FD" w14:textId="77777777" w:rsidR="00DB2B68" w:rsidRDefault="00000000">
            <w:r>
              <w:t> </w:t>
            </w:r>
          </w:p>
          <w:p w14:paraId="7E57F744" w14:textId="77777777" w:rsidR="00DB2B68" w:rsidRDefault="00000000">
            <w:r>
              <w:rPr>
                <w:b/>
              </w:rPr>
              <w:t>Classe d'environnement</w:t>
            </w:r>
          </w:p>
        </w:tc>
        <w:tc>
          <w:tcPr>
            <w:tcW w:w="1380" w:type="dxa"/>
            <w:noWrap/>
          </w:tcPr>
          <w:p w14:paraId="0FB5F739" w14:textId="77777777" w:rsidR="00DB2B68" w:rsidRDefault="00000000">
            <w:r>
              <w:t> </w:t>
            </w:r>
          </w:p>
          <w:p w14:paraId="52DA0193" w14:textId="77777777" w:rsidR="00DB2B68" w:rsidRDefault="00000000">
            <w:r>
              <w:rPr>
                <w:b/>
              </w:rPr>
              <w:t>Classe de consistance</w:t>
            </w:r>
          </w:p>
        </w:tc>
        <w:tc>
          <w:tcPr>
            <w:tcW w:w="1665" w:type="dxa"/>
            <w:noWrap/>
          </w:tcPr>
          <w:p w14:paraId="107B4344" w14:textId="77777777" w:rsidR="00DB2B68" w:rsidRDefault="00000000">
            <w:r>
              <w:t> </w:t>
            </w:r>
          </w:p>
          <w:p w14:paraId="63D03987" w14:textId="77777777" w:rsidR="00DB2B68" w:rsidRDefault="00000000">
            <w:r>
              <w:rPr>
                <w:b/>
              </w:rPr>
              <w:t>Granulométrie maximale</w:t>
            </w:r>
          </w:p>
        </w:tc>
        <w:tc>
          <w:tcPr>
            <w:tcW w:w="1830" w:type="dxa"/>
            <w:noWrap/>
          </w:tcPr>
          <w:p w14:paraId="463BE83A" w14:textId="77777777" w:rsidR="00DB2B68" w:rsidRDefault="00000000">
            <w:r>
              <w:t> </w:t>
            </w:r>
          </w:p>
          <w:p w14:paraId="0348E067" w14:textId="77777777" w:rsidR="00DB2B68" w:rsidRDefault="00000000">
            <w:r>
              <w:rPr>
                <w:b/>
              </w:rPr>
              <w:t>Données complémentaires</w:t>
            </w:r>
          </w:p>
        </w:tc>
      </w:tr>
      <w:tr w:rsidR="00DB2B68" w14:paraId="4B5746F0" w14:textId="77777777">
        <w:tc>
          <w:tcPr>
            <w:tcW w:w="990" w:type="dxa"/>
            <w:noWrap/>
          </w:tcPr>
          <w:p w14:paraId="20119F24" w14:textId="77777777" w:rsidR="00DB2B68" w:rsidRDefault="00000000">
            <w:pPr>
              <w:jc w:val="center"/>
            </w:pPr>
            <w:r>
              <w:t> </w:t>
            </w:r>
          </w:p>
          <w:p w14:paraId="5F12DDA6" w14:textId="77777777" w:rsidR="00DB2B68" w:rsidRDefault="00000000">
            <w:pPr>
              <w:jc w:val="center"/>
            </w:pPr>
            <w:r>
              <w:rPr>
                <w:rStyle w:val="optioncarChar"/>
              </w:rPr>
              <w:lastRenderedPageBreak/>
              <w:t>C25/30 / C30/37 / C35/45 / C45/55 / C50/60 / C55/67 / C60/75 / C70/85 / C80/95 / C90/105</w:t>
            </w:r>
          </w:p>
          <w:p w14:paraId="71CE24A2" w14:textId="77777777" w:rsidR="00DB2B68" w:rsidRDefault="00000000">
            <w:pPr>
              <w:jc w:val="center"/>
            </w:pPr>
            <w:r>
              <w:t> </w:t>
            </w:r>
          </w:p>
        </w:tc>
        <w:tc>
          <w:tcPr>
            <w:tcW w:w="1380" w:type="dxa"/>
            <w:noWrap/>
          </w:tcPr>
          <w:p w14:paraId="0C605A4F" w14:textId="77777777" w:rsidR="00DB2B68" w:rsidRDefault="00000000">
            <w:pPr>
              <w:jc w:val="center"/>
            </w:pPr>
            <w:r>
              <w:lastRenderedPageBreak/>
              <w:t> </w:t>
            </w:r>
          </w:p>
          <w:p w14:paraId="67753B20" w14:textId="77777777" w:rsidR="00DB2B68" w:rsidRDefault="00000000">
            <w:pPr>
              <w:jc w:val="center"/>
            </w:pPr>
            <w:r>
              <w:lastRenderedPageBreak/>
              <w:t>Béton armé</w:t>
            </w:r>
          </w:p>
        </w:tc>
        <w:tc>
          <w:tcPr>
            <w:tcW w:w="1770" w:type="dxa"/>
            <w:noWrap/>
          </w:tcPr>
          <w:p w14:paraId="176A1DD5" w14:textId="77777777" w:rsidR="00DB2B68" w:rsidRDefault="00000000">
            <w:pPr>
              <w:jc w:val="center"/>
            </w:pPr>
            <w:r>
              <w:lastRenderedPageBreak/>
              <w:t> </w:t>
            </w:r>
          </w:p>
          <w:p w14:paraId="5D073ABC" w14:textId="77777777" w:rsidR="00DB2B68" w:rsidRDefault="00000000">
            <w:pPr>
              <w:jc w:val="center"/>
            </w:pPr>
            <w:r>
              <w:rPr>
                <w:rStyle w:val="optioncarChar"/>
              </w:rPr>
              <w:lastRenderedPageBreak/>
              <w:t>EI / EE1 / EE2 / EE3 / EE4 / ES1 / ES2 / ES3 / ES4 / EA1+*** / EA2+*** / EA3+***</w:t>
            </w:r>
          </w:p>
        </w:tc>
        <w:tc>
          <w:tcPr>
            <w:tcW w:w="1380" w:type="dxa"/>
            <w:noWrap/>
          </w:tcPr>
          <w:p w14:paraId="79652DA3" w14:textId="77777777" w:rsidR="00DB2B68" w:rsidRDefault="00000000">
            <w:pPr>
              <w:jc w:val="center"/>
            </w:pPr>
            <w:r>
              <w:lastRenderedPageBreak/>
              <w:t> </w:t>
            </w:r>
          </w:p>
          <w:p w14:paraId="3994C345" w14:textId="77777777" w:rsidR="00DB2B68" w:rsidRDefault="00000000">
            <w:pPr>
              <w:jc w:val="both"/>
            </w:pPr>
            <w:r>
              <w:lastRenderedPageBreak/>
              <w:t>au choix de l'entrepreneur :</w:t>
            </w:r>
          </w:p>
          <w:p w14:paraId="1B140E0D" w14:textId="77777777" w:rsidR="00DB2B68" w:rsidRDefault="00DB2B68">
            <w:pPr>
              <w:jc w:val="both"/>
            </w:pPr>
          </w:p>
          <w:p w14:paraId="6B6BD659" w14:textId="77777777" w:rsidR="00DB2B68" w:rsidRDefault="00DB2B68">
            <w:pPr>
              <w:jc w:val="both"/>
            </w:pPr>
          </w:p>
          <w:p w14:paraId="230AF511" w14:textId="77777777" w:rsidR="00DB2B68" w:rsidRDefault="00000000">
            <w:pPr>
              <w:jc w:val="both"/>
            </w:pPr>
            <w:r>
              <w:rPr>
                <w:rStyle w:val="optioncarChar"/>
              </w:rPr>
              <w:t>S3 / S4 / S5</w:t>
            </w:r>
          </w:p>
          <w:p w14:paraId="766853D5" w14:textId="77777777" w:rsidR="00DB2B68" w:rsidRDefault="00000000">
            <w:pPr>
              <w:jc w:val="both"/>
            </w:pPr>
            <w:r>
              <w:rPr>
                <w:rStyle w:val="optioncarChar"/>
              </w:rPr>
              <w:t>F3 / F4 / F5 / F6</w:t>
            </w:r>
          </w:p>
        </w:tc>
        <w:tc>
          <w:tcPr>
            <w:tcW w:w="1665" w:type="dxa"/>
            <w:noWrap/>
          </w:tcPr>
          <w:p w14:paraId="1B64F73C" w14:textId="77777777" w:rsidR="00DB2B68" w:rsidRDefault="00000000">
            <w:pPr>
              <w:jc w:val="center"/>
            </w:pPr>
            <w:r>
              <w:lastRenderedPageBreak/>
              <w:t> </w:t>
            </w:r>
          </w:p>
          <w:p w14:paraId="0B6D7F28" w14:textId="77777777" w:rsidR="00DB2B68" w:rsidRDefault="00000000">
            <w:pPr>
              <w:jc w:val="both"/>
            </w:pPr>
            <w:r>
              <w:lastRenderedPageBreak/>
              <w:t>au choix de l'entrepreneur :</w:t>
            </w:r>
          </w:p>
          <w:p w14:paraId="02B3EA84" w14:textId="77777777" w:rsidR="00DB2B68" w:rsidRDefault="00DB2B68">
            <w:pPr>
              <w:jc w:val="both"/>
            </w:pPr>
          </w:p>
          <w:p w14:paraId="4B387A48" w14:textId="77777777" w:rsidR="00DB2B68" w:rsidRDefault="00DB2B68">
            <w:pPr>
              <w:jc w:val="both"/>
            </w:pPr>
          </w:p>
          <w:p w14:paraId="50B7FC11" w14:textId="77777777" w:rsidR="00DB2B68" w:rsidRDefault="00000000">
            <w:pPr>
              <w:jc w:val="both"/>
            </w:pPr>
            <w:r>
              <w:t> </w:t>
            </w:r>
          </w:p>
          <w:p w14:paraId="3D4DF5D6" w14:textId="77777777" w:rsidR="00DB2B68" w:rsidRDefault="00000000">
            <w:pPr>
              <w:jc w:val="both"/>
            </w:pPr>
            <w:r>
              <w:rPr>
                <w:rStyle w:val="optioncarChar"/>
              </w:rPr>
              <w:t>6 / 8 / 10 / 11 / 12 / 14 / 16 / 20 / 22 / 32 </w:t>
            </w:r>
            <w:r>
              <w:t>mm</w:t>
            </w:r>
          </w:p>
          <w:p w14:paraId="72DCEE87" w14:textId="77777777" w:rsidR="00DB2B68" w:rsidRDefault="00DB2B68">
            <w:pPr>
              <w:jc w:val="both"/>
            </w:pPr>
          </w:p>
          <w:p w14:paraId="20B79E71" w14:textId="77777777" w:rsidR="00DB2B68" w:rsidRDefault="00DB2B68">
            <w:pPr>
              <w:jc w:val="both"/>
            </w:pPr>
          </w:p>
        </w:tc>
        <w:tc>
          <w:tcPr>
            <w:tcW w:w="1830" w:type="dxa"/>
            <w:noWrap/>
          </w:tcPr>
          <w:p w14:paraId="3F461005" w14:textId="77777777" w:rsidR="00DB2B68" w:rsidRDefault="00000000">
            <w:pPr>
              <w:jc w:val="center"/>
            </w:pPr>
            <w:r>
              <w:lastRenderedPageBreak/>
              <w:t> </w:t>
            </w:r>
          </w:p>
          <w:p w14:paraId="7DE167C7" w14:textId="77777777" w:rsidR="00DB2B68" w:rsidRDefault="00000000">
            <w:pPr>
              <w:jc w:val="center"/>
            </w:pPr>
            <w:r>
              <w:rPr>
                <w:rStyle w:val="optioncarChar"/>
              </w:rPr>
              <w:lastRenderedPageBreak/>
              <w:t>***</w:t>
            </w:r>
          </w:p>
        </w:tc>
      </w:tr>
    </w:tbl>
    <w:p w14:paraId="6E493296" w14:textId="77777777" w:rsidR="00DB2B68" w:rsidRDefault="00DB2B68"/>
    <w:p w14:paraId="092696B0" w14:textId="77777777" w:rsidR="00DB2B68" w:rsidRDefault="0000000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286F8A86" w14:textId="77777777" w:rsidR="00DB2B68" w:rsidRDefault="00000000">
      <w:pPr>
        <w:jc w:val="both"/>
      </w:pPr>
      <w:r>
        <w:t xml:space="preserve"> Données complémentaires propres au béton autoplaçant (E) :</w:t>
      </w:r>
    </w:p>
    <w:p w14:paraId="5A21ED14" w14:textId="77777777" w:rsidR="00DB2B68" w:rsidRDefault="00000000">
      <w:pPr>
        <w:pStyle w:val="Author-eListParagraph"/>
        <w:numPr>
          <w:ilvl w:val="0"/>
          <w:numId w:val="460"/>
        </w:numPr>
      </w:pPr>
      <w:r>
        <w:t>Classe de viscosité apparente :</w:t>
      </w:r>
      <w:r>
        <w:rPr>
          <w:rStyle w:val="optioncarChar"/>
        </w:rPr>
        <w:t xml:space="preserve"> VS1 / VS2</w:t>
      </w:r>
      <w:r>
        <w:t xml:space="preserve"> (selon la [NBN EN 12350-8])</w:t>
      </w:r>
    </w:p>
    <w:p w14:paraId="6290ED28" w14:textId="77777777" w:rsidR="00DB2B68" w:rsidRDefault="00000000">
      <w:pPr>
        <w:pStyle w:val="Author-eListParagraph"/>
        <w:numPr>
          <w:ilvl w:val="0"/>
          <w:numId w:val="460"/>
        </w:numPr>
      </w:pPr>
      <w:r>
        <w:t xml:space="preserve">Aptitude à l’écoulement : </w:t>
      </w:r>
      <w:r>
        <w:rPr>
          <w:rStyle w:val="optioncarChar"/>
        </w:rPr>
        <w:t>PL1 / PL2</w:t>
      </w:r>
      <w:r>
        <w:t xml:space="preserve"> (selon la [NBN EN 12350-10]) ou</w:t>
      </w:r>
      <w:r>
        <w:rPr>
          <w:rStyle w:val="optioncarChar"/>
        </w:rPr>
        <w:t xml:space="preserve"> PJ1 / PJ2</w:t>
      </w:r>
      <w:r>
        <w:t xml:space="preserve"> (selon la [NBN EN 12350-12])</w:t>
      </w:r>
    </w:p>
    <w:p w14:paraId="6CE71003" w14:textId="77777777" w:rsidR="00DB2B68" w:rsidRDefault="00000000">
      <w:pPr>
        <w:pStyle w:val="Author-eListParagraph"/>
        <w:numPr>
          <w:ilvl w:val="0"/>
          <w:numId w:val="460"/>
        </w:numPr>
      </w:pPr>
      <w:r>
        <w:t xml:space="preserve">Classe de résistance à la ségrégation : </w:t>
      </w:r>
      <w:r>
        <w:rPr>
          <w:rStyle w:val="optioncarChar"/>
        </w:rPr>
        <w:t>SR1 / SR2</w:t>
      </w:r>
      <w:r>
        <w:t xml:space="preserve"> (selon la [NBN EN 12350-11])</w:t>
      </w:r>
    </w:p>
    <w:p w14:paraId="775E4649" w14:textId="77777777" w:rsidR="00DB2B68" w:rsidRDefault="00000000">
      <w:pPr>
        <w:pStyle w:val="Author-eListParagraph"/>
        <w:numPr>
          <w:ilvl w:val="0"/>
          <w:numId w:val="460"/>
        </w:numPr>
      </w:pPr>
      <w:r>
        <w:t xml:space="preserve">Pourcentage d'armatures : </w:t>
      </w:r>
      <w:r>
        <w:rPr>
          <w:rStyle w:val="optioncarChar"/>
        </w:rPr>
        <w:t>***</w:t>
      </w:r>
      <w:r>
        <w:t xml:space="preserve"> kg d'acier par m3 de béton.</w:t>
      </w:r>
    </w:p>
    <w:p w14:paraId="76BB60D1" w14:textId="77777777" w:rsidR="00DB2B68" w:rsidRDefault="00000000">
      <w:pPr>
        <w:pStyle w:val="Author-eListParagraph"/>
        <w:numPr>
          <w:ilvl w:val="0"/>
          <w:numId w:val="460"/>
        </w:numPr>
      </w:pPr>
      <w:r>
        <w:t xml:space="preserve">Les armatures de la couche de compression se composent au moins d'un treillis soudé selon [NBN A 24-304] + [PTV 304] : </w:t>
      </w:r>
      <w:r>
        <w:rPr>
          <w:rStyle w:val="optioncarChar"/>
        </w:rPr>
        <w:t>treillis à peigne / non à peigne</w:t>
      </w:r>
      <w:r>
        <w:t xml:space="preserve"> : acier </w:t>
      </w:r>
      <w:r>
        <w:rPr>
          <w:rStyle w:val="optioncarChar"/>
        </w:rPr>
        <w:t>DE 500 BS / BE 500 S</w:t>
      </w:r>
      <w:r>
        <w:t xml:space="preserve">, dimensions </w:t>
      </w:r>
      <w:r>
        <w:rPr>
          <w:rStyle w:val="optioncarChar"/>
        </w:rPr>
        <w:t>*** / 150 x 150 x 6 x 6 </w:t>
      </w:r>
      <w:r>
        <w:t>(par défaut) mm.</w:t>
      </w:r>
    </w:p>
    <w:p w14:paraId="0D7E2D56" w14:textId="77777777" w:rsidR="00DB2B68" w:rsidRDefault="00000000">
      <w:pPr>
        <w:pStyle w:val="Author-eListParagraph"/>
        <w:numPr>
          <w:ilvl w:val="0"/>
          <w:numId w:val="460"/>
        </w:numPr>
      </w:pPr>
      <w:r>
        <w:t xml:space="preserve">Barres d’acier complémentaires : acier </w:t>
      </w:r>
      <w:r>
        <w:rPr>
          <w:rStyle w:val="optioncarChar"/>
        </w:rPr>
        <w:t>BE 500 S</w:t>
      </w:r>
      <w:r>
        <w:t xml:space="preserve"> (par défaut) </w:t>
      </w:r>
      <w:r>
        <w:rPr>
          <w:rStyle w:val="optioncarChar"/>
        </w:rPr>
        <w:t>/ ***</w:t>
      </w:r>
      <w:r>
        <w:t xml:space="preserve"> selon [NBN A 24-302]  + [PTV 302].</w:t>
      </w:r>
    </w:p>
    <w:p w14:paraId="3C9DF603" w14:textId="77777777" w:rsidR="00DB2B68" w:rsidRDefault="00000000">
      <w:pPr>
        <w:pStyle w:val="pheading"/>
      </w:pPr>
      <w:r>
        <w:t>- Prescriptions complémentaires</w:t>
      </w:r>
    </w:p>
    <w:p w14:paraId="12F3ACA8" w14:textId="77777777" w:rsidR="00DB2B68" w:rsidRDefault="00000000">
      <w:pPr>
        <w:jc w:val="both"/>
      </w:pPr>
      <w:r>
        <w:rPr>
          <w:rStyle w:val="facultChar"/>
        </w:rPr>
        <w:t xml:space="preserve">Résistance au feu : </w:t>
      </w:r>
      <w:r>
        <w:rPr>
          <w:rStyle w:val="optioncarChar"/>
        </w:rPr>
        <w:t>REI30 </w:t>
      </w:r>
      <w:r>
        <w:t>(par défaut)</w:t>
      </w:r>
      <w:r>
        <w:rPr>
          <w:rStyle w:val="optioncarChar"/>
        </w:rPr>
        <w:t xml:space="preserve"> / REI60 / REI120 / REI240 / ***</w:t>
      </w:r>
      <w:r>
        <w:rPr>
          <w:rStyle w:val="facultChar"/>
        </w:rPr>
        <w:t xml:space="preserve"> suivant la déclaration de performance (DoP) selon la norme produit [NBN EN 13225] et [NBN B 21-604].</w:t>
      </w:r>
    </w:p>
    <w:p w14:paraId="29335B29" w14:textId="77777777" w:rsidR="00DB2B68" w:rsidRDefault="00000000">
      <w:pPr>
        <w:jc w:val="both"/>
      </w:pPr>
      <w:r>
        <w:rPr>
          <w:rStyle w:val="facultChar"/>
        </w:rPr>
        <w:t>Si la résistance au feu n’est pas déclarée sous marquage CE, elle est démontrée par test au feu selon la [NBN EN 13501-2] ou par calcul selon les Eurocodes conformément à l’[AM 2013-05-17].</w:t>
      </w:r>
    </w:p>
    <w:p w14:paraId="323CFB3A" w14:textId="77777777" w:rsidR="00DB2B68" w:rsidRDefault="00000000">
      <w:pPr>
        <w:pStyle w:val="pheading"/>
      </w:pPr>
      <w:r>
        <w:t>EXÉCUTION / MISE EN ŒUVRE</w:t>
      </w:r>
    </w:p>
    <w:p w14:paraId="687EB6E9" w14:textId="77777777" w:rsidR="00DB2B68" w:rsidRDefault="00000000">
      <w:pPr>
        <w:pStyle w:val="pheading"/>
      </w:pPr>
      <w:r>
        <w:t>- Prescriptions générales</w:t>
      </w:r>
    </w:p>
    <w:p w14:paraId="603BF67D" w14:textId="77777777" w:rsidR="00DB2B68" w:rsidRDefault="00000000">
      <w:r>
        <w:t>La face supérieure de la prédalle doit correspondre aux cotes de niveau et à l'épaisseur de plancher indiquées sur les plans d'architecture.</w:t>
      </w:r>
      <w:r>
        <w:br/>
        <w:t>Pendant le transport et l'entreposage provisoires sur chantier, l'entrepreneur veille à ce qu'il ne se produise pas de tensions inadmissibles dans le béton et l'acier. A cet effet, pendant le stockage, les appuis entre les prédalles sont suffisamment rapprochés.</w:t>
      </w:r>
      <w:r>
        <w:br/>
        <w:t>La profondeur des appuis aux extrémités est conforme au [NIT 223].</w:t>
      </w:r>
      <w:r>
        <w:br/>
        <w:t>Lorsque la profondeur d'appui est inférieure, des armatures doivent dépasser des éléments de plancher. Les éléments sont pourvus d'armatures dépassantes sur tous les appuis où les plaques ne sont pas continues.</w:t>
      </w:r>
      <w:r>
        <w:br/>
        <w:t>La conception des joints et des assemblages externes est déterminée par l'étude de stabilité .</w:t>
      </w:r>
      <w:r>
        <w:br/>
        <w:t>Lorsque l'ouvrage de construction reste apparent après la pose, les joints sont débarrassés de toutes impuretés.</w:t>
      </w:r>
      <w:r>
        <w:br/>
        <w:t>La couche de compression et ses armatures (treillis d'armature et armatures complémentaires) sont exécutées et posées </w:t>
      </w:r>
      <w:r>
        <w:rPr>
          <w:rStyle w:val="optioncarChar"/>
        </w:rPr>
        <w:t>selon les indications dans l'étude des bétons </w:t>
      </w:r>
      <w:r>
        <w:t>(par défaut)</w:t>
      </w:r>
      <w:r>
        <w:rPr>
          <w:rStyle w:val="optioncarChar"/>
        </w:rPr>
        <w:t xml:space="preserve"> / selon essentiellement [NBN EN 1990], [NBN EN 1991 série], [NBN EN 1992-1-1] et [NBN EN 1992-1-2]</w:t>
      </w:r>
      <w:r>
        <w:t>.</w:t>
      </w:r>
    </w:p>
    <w:p w14:paraId="776BFE30" w14:textId="77777777" w:rsidR="00DB2B68" w:rsidRDefault="00000000">
      <w:pPr>
        <w:pStyle w:val="pheading"/>
      </w:pPr>
      <w:r>
        <w:t>DOCUMENTS DE RÉFÉRENCE COMPLÉMENTAIRES</w:t>
      </w:r>
    </w:p>
    <w:p w14:paraId="05035D0B" w14:textId="77777777" w:rsidR="00DB2B68" w:rsidRDefault="00000000">
      <w:pPr>
        <w:pStyle w:val="pheading"/>
      </w:pPr>
      <w:r>
        <w:t>- Matériau</w:t>
      </w:r>
    </w:p>
    <w:p w14:paraId="6D152E29" w14:textId="77777777" w:rsidR="00DB2B68" w:rsidRDefault="00000000">
      <w:r>
        <w:t>[NBN EN 13747+A2, Produits préfabriqués en béton - Prédalles pour systèmes de planchers]</w:t>
      </w:r>
    </w:p>
    <w:p w14:paraId="6098B974" w14:textId="77777777" w:rsidR="00DB2B68" w:rsidRDefault="00000000">
      <w:r>
        <w:lastRenderedPageBreak/>
        <w:t>[NBN B 21-606:2019+A1, Produits préfabriqués en béton - Prédalles - Norme d'application nationale à la NBN EN 13747+A2:2010 et à la NBN EN 15050+A1:2012]</w:t>
      </w:r>
    </w:p>
    <w:p w14:paraId="5E0F79F8" w14:textId="77777777" w:rsidR="00DB2B68" w:rsidRDefault="00000000">
      <w:r>
        <w:t>[NBN EN 206:2013+A2, Béton - Spécification, performances, production et conformité]</w:t>
      </w:r>
    </w:p>
    <w:p w14:paraId="12C70F57" w14:textId="77777777" w:rsidR="00DB2B68" w:rsidRDefault="00000000">
      <w:r>
        <w:t>[NBN B 15-001, Béton - Spécification, performances, production et conformité - Complément national à la NBN EN 206:2013+A2:2021]</w:t>
      </w:r>
    </w:p>
    <w:p w14:paraId="79A433D3" w14:textId="77777777" w:rsidR="00DB2B68" w:rsidRDefault="00000000">
      <w:r>
        <w:t>[NBN A 24-302, Produits sidérurgiques - Aciers pour béton armé - Barres lisses et barres à nervures - Fils machine lisses et fils machine à nervures]</w:t>
      </w:r>
    </w:p>
    <w:p w14:paraId="2B6520D6" w14:textId="77777777" w:rsidR="00DB2B68" w:rsidRDefault="00000000">
      <w:r>
        <w:t>[NBN A 24-303, Produits sidérurgiques - Aciers pour béton armé - Fils écrouis à froid lisses et fils écrouis à froid à nervures]</w:t>
      </w:r>
    </w:p>
    <w:p w14:paraId="61A97CE5" w14:textId="77777777" w:rsidR="00DB2B68" w:rsidRDefault="00000000">
      <w:r>
        <w:t>[PTV 302, Aciers pour béton armé - barres à nervures ou à empreintes et fils à nervures ou à empreintes à haute ductilité]</w:t>
      </w:r>
    </w:p>
    <w:p w14:paraId="3E293E26" w14:textId="77777777" w:rsidR="00DB2B68" w:rsidRDefault="00000000">
      <w:r>
        <w:t>[PTV 303, Aciers pour béton armé - Fils écrouis à froid à nervures à basse ductilité]</w:t>
      </w:r>
    </w:p>
    <w:p w14:paraId="4F42134B" w14:textId="77777777" w:rsidR="00DB2B68" w:rsidRDefault="00000000">
      <w:r>
        <w:t>[PTV 304, Aciers pour béton armé - Treillis soudés]</w:t>
      </w:r>
    </w:p>
    <w:p w14:paraId="34EAF5C5" w14:textId="77777777" w:rsidR="00DB2B68" w:rsidRDefault="00000000">
      <w:r>
        <w:t>[NBN A 24-304, Produits sidérurgiques - Aciers pour béton armé - Treillis soudés]</w:t>
      </w:r>
    </w:p>
    <w:p w14:paraId="34E35205"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0FCE6049" w14:textId="77777777" w:rsidR="00DB2B68" w:rsidRDefault="00000000">
      <w:r>
        <w:t>[NBN EN 12350-8, Essai pour béton frais - Partie 8: Béton auto-plaçant - Essai d'étalement au cône d'Abrams]</w:t>
      </w:r>
    </w:p>
    <w:p w14:paraId="7B509B85" w14:textId="77777777" w:rsidR="00DB2B68" w:rsidRDefault="00000000">
      <w:r>
        <w:t>[NBN EN 12350-10, Essai pour béton frais - Partie 10: Béton autoplaçant - Essai à la boîte en L]</w:t>
      </w:r>
    </w:p>
    <w:p w14:paraId="5E6B36B3" w14:textId="77777777" w:rsidR="00DB2B68" w:rsidRDefault="00000000">
      <w:r>
        <w:t>[NBN EN 12350-12, Essai pour béton frais - Partie 12 : Béton autoplaçant - Essai d'écoulement à l'anneau]</w:t>
      </w:r>
    </w:p>
    <w:p w14:paraId="521E54C2" w14:textId="77777777" w:rsidR="00DB2B68" w:rsidRDefault="00000000">
      <w:r>
        <w:t>[NBN EN 12350-11, Essai pour béton frais - Partie 11: Béton autoplaçant - Essai de stabilité au tamis]</w:t>
      </w:r>
      <w:r>
        <w:br/>
      </w:r>
      <w:r>
        <w:br/>
        <w:t>[NIT 223, Les planchers portants des bâtiments résidentiels et tertiaires.]</w:t>
      </w:r>
    </w:p>
    <w:p w14:paraId="70A6673F" w14:textId="77777777" w:rsidR="00DB2B68" w:rsidRDefault="00000000">
      <w:r>
        <w:t>[AM 2013-05-17, Arrêté ministériel relatif à l’utilisation des Eurocodes comme méthodes de calcul pour l’évaluation de la résistance au feu d’éléments de construction]</w:t>
      </w:r>
    </w:p>
    <w:p w14:paraId="3AD3D4BF" w14:textId="77777777" w:rsidR="00DB2B68" w:rsidRDefault="00000000">
      <w:pPr>
        <w:pStyle w:val="pheading"/>
      </w:pPr>
      <w:r>
        <w:t>MESURAGE</w:t>
      </w:r>
    </w:p>
    <w:p w14:paraId="6B957CC6" w14:textId="77777777" w:rsidR="00DB2B68" w:rsidRDefault="00000000">
      <w:pPr>
        <w:pStyle w:val="pheading"/>
      </w:pPr>
      <w:r>
        <w:t>- unité de mesure:</w:t>
      </w:r>
    </w:p>
    <w:p w14:paraId="60E0AC84" w14:textId="77777777" w:rsidR="00DB2B68" w:rsidRDefault="00000000">
      <w:pPr>
        <w:jc w:val="both"/>
      </w:pPr>
      <w:r>
        <w:rPr>
          <w:rStyle w:val="optioncarChar"/>
        </w:rPr>
        <w:t>m²</w:t>
      </w:r>
      <w:r>
        <w:t xml:space="preserve"> (soit par défaut) </w:t>
      </w:r>
      <w:r>
        <w:rPr>
          <w:rStyle w:val="optioncarChar"/>
        </w:rPr>
        <w:t>/  m³ ; kg / m³ ; m³ ; kg </w:t>
      </w:r>
    </w:p>
    <w:p w14:paraId="26473612" w14:textId="77777777" w:rsidR="00DB2B68" w:rsidRDefault="00000000">
      <w:pPr>
        <w:jc w:val="both"/>
      </w:pPr>
      <w:r>
        <w:rPr>
          <w:b/>
          <w:i/>
        </w:rPr>
        <w:t> (Soit par défaut)</w:t>
      </w:r>
    </w:p>
    <w:p w14:paraId="14F21C85" w14:textId="77777777" w:rsidR="00DB2B68" w:rsidRDefault="00000000">
      <w:pPr>
        <w:jc w:val="both"/>
      </w:pPr>
      <w:r>
        <w:rPr>
          <w:rStyle w:val="soitChar"/>
          <w:u w:val="single"/>
        </w:rPr>
        <w:t>1. m²</w:t>
      </w:r>
      <w:r>
        <w:rPr>
          <w:rStyle w:val="soitChar"/>
        </w:rPr>
        <w:t>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273CD4D6" w14:textId="77777777" w:rsidR="00DB2B68" w:rsidRDefault="00000000">
      <w:pPr>
        <w:jc w:val="both"/>
      </w:pPr>
      <w:r>
        <w:rPr>
          <w:b/>
          <w:i/>
        </w:rPr>
        <w:t>(Soit)</w:t>
      </w:r>
    </w:p>
    <w:p w14:paraId="63BDEA42" w14:textId="77777777" w:rsidR="00DB2B68" w:rsidRDefault="00000000">
      <w:pPr>
        <w:jc w:val="both"/>
      </w:pPr>
      <w:r>
        <w:rPr>
          <w:rStyle w:val="soitChar"/>
          <w:u w:val="single"/>
        </w:rPr>
        <w:t>2. m³ ; kg</w:t>
      </w:r>
    </w:p>
    <w:p w14:paraId="07D0E1FD" w14:textId="77777777" w:rsidR="00DB2B68" w:rsidRDefault="00000000">
      <w:pPr>
        <w:pStyle w:val="Author-eListParagraph"/>
        <w:numPr>
          <w:ilvl w:val="0"/>
          <w:numId w:val="461"/>
        </w:numPr>
      </w:pPr>
      <w:r>
        <w:rPr>
          <w:rStyle w:val="soitChar"/>
        </w:rPr>
        <w:t>m³ pour le béton</w:t>
      </w:r>
    </w:p>
    <w:p w14:paraId="737A4B9F" w14:textId="77777777" w:rsidR="00DB2B68" w:rsidRDefault="00000000">
      <w:pPr>
        <w:pStyle w:val="Author-eListParagraph"/>
        <w:numPr>
          <w:ilvl w:val="0"/>
          <w:numId w:val="461"/>
        </w:numPr>
      </w:pPr>
      <w:r>
        <w:rPr>
          <w:rStyle w:val="soitChar"/>
        </w:rPr>
        <w:t>kg pour les armatures</w:t>
      </w:r>
    </w:p>
    <w:p w14:paraId="35B4131D" w14:textId="77777777" w:rsidR="00DB2B68" w:rsidRDefault="00000000">
      <w:pPr>
        <w:pStyle w:val="Author-eListParagraph"/>
        <w:numPr>
          <w:ilvl w:val="0"/>
          <w:numId w:val="461"/>
        </w:numPr>
      </w:pPr>
      <w:r>
        <w:rPr>
          <w:rStyle w:val="soitChar"/>
        </w:rPr>
        <w:t>Tous les autres éléments, travaux et fournitures doivent être compris dans les prix unitaires respectifs pour les mesurages précités.</w:t>
      </w:r>
    </w:p>
    <w:p w14:paraId="584E1F38" w14:textId="77777777" w:rsidR="00DB2B68" w:rsidRDefault="00000000">
      <w:pPr>
        <w:jc w:val="both"/>
      </w:pPr>
      <w:r>
        <w:rPr>
          <w:b/>
          <w:i/>
        </w:rPr>
        <w:t>(Soit)</w:t>
      </w:r>
    </w:p>
    <w:p w14:paraId="48107F76" w14:textId="77777777" w:rsidR="00DB2B68" w:rsidRDefault="00000000">
      <w:pPr>
        <w:jc w:val="both"/>
      </w:pPr>
      <w:r>
        <w:rPr>
          <w:rStyle w:val="soitChar"/>
          <w:u w:val="single"/>
        </w:rPr>
        <w:t>3. m³ ; m³ ; kg</w:t>
      </w:r>
    </w:p>
    <w:p w14:paraId="3BF69CB9" w14:textId="77777777" w:rsidR="00DB2B68" w:rsidRDefault="00000000">
      <w:pPr>
        <w:pStyle w:val="Author-eListParagraph"/>
        <w:numPr>
          <w:ilvl w:val="0"/>
          <w:numId w:val="462"/>
        </w:numPr>
      </w:pPr>
      <w:r>
        <w:rPr>
          <w:rStyle w:val="soitChar"/>
        </w:rPr>
        <w:t>m³ pour le béton de remplissage</w:t>
      </w:r>
    </w:p>
    <w:p w14:paraId="7EE72A4A" w14:textId="77777777" w:rsidR="00DB2B68" w:rsidRDefault="00000000">
      <w:pPr>
        <w:pStyle w:val="Author-eListParagraph"/>
        <w:numPr>
          <w:ilvl w:val="0"/>
          <w:numId w:val="462"/>
        </w:numPr>
      </w:pPr>
      <w:r>
        <w:rPr>
          <w:rStyle w:val="soitChar"/>
        </w:rPr>
        <w:t>m³ pour la couche de compression béton (en mentionnant l'épaisseur...)</w:t>
      </w:r>
    </w:p>
    <w:p w14:paraId="054E44DC" w14:textId="77777777" w:rsidR="00DB2B68" w:rsidRDefault="00000000">
      <w:pPr>
        <w:pStyle w:val="Author-eListParagraph"/>
        <w:numPr>
          <w:ilvl w:val="0"/>
          <w:numId w:val="462"/>
        </w:numPr>
      </w:pPr>
      <w:r>
        <w:rPr>
          <w:rStyle w:val="soitChar"/>
        </w:rPr>
        <w:t>kg pour les armatures supplémentaires</w:t>
      </w:r>
    </w:p>
    <w:p w14:paraId="26B455A9" w14:textId="77777777" w:rsidR="00DB2B68" w:rsidRDefault="00000000">
      <w:pPr>
        <w:pStyle w:val="Author-eListParagraph"/>
        <w:numPr>
          <w:ilvl w:val="0"/>
          <w:numId w:val="462"/>
        </w:numPr>
      </w:pPr>
      <w:r>
        <w:rPr>
          <w:rStyle w:val="soitChar"/>
        </w:rPr>
        <w:lastRenderedPageBreak/>
        <w:t>Pièces divergentes et pièces spéciales : à la pièce (selon les dimensions identiques ou indications standards).</w:t>
      </w:r>
    </w:p>
    <w:p w14:paraId="6F46EE89" w14:textId="77777777" w:rsidR="00DB2B68" w:rsidRDefault="00000000">
      <w:pPr>
        <w:pStyle w:val="pheading"/>
      </w:pPr>
      <w:r>
        <w:t>- code de mesurage:</w:t>
      </w:r>
    </w:p>
    <w:p w14:paraId="0F39FC2D" w14:textId="77777777" w:rsidR="00DB2B68" w:rsidRDefault="00000000">
      <w:r>
        <w:t>Selon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3E8C0E4F" w14:textId="77777777" w:rsidR="00DB2B68" w:rsidRDefault="00000000">
      <w: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1E0DBCE0" w14:textId="77777777" w:rsidR="00DB2B68" w:rsidRDefault="00000000">
      <w:r>
        <w:rPr>
          <w:rStyle w:val="optioncarChar"/>
        </w:rPr>
        <w:t>Surface utile</w:t>
      </w:r>
      <w:r>
        <w:t> (par défaut) </w:t>
      </w:r>
      <w:r>
        <w:rPr>
          <w:rStyle w:val="optioncarChar"/>
        </w:rPr>
        <w:t>/ Quantités détaillées selon bordereau </w:t>
      </w:r>
    </w:p>
    <w:p w14:paraId="10139E7E" w14:textId="77777777" w:rsidR="00DB2B68" w:rsidRDefault="00000000">
      <w:r>
        <w:rPr>
          <w:b/>
          <w:i/>
        </w:rPr>
        <w:t>(Soit par défaut)</w:t>
      </w:r>
    </w:p>
    <w:p w14:paraId="5BB3F554" w14:textId="77777777" w:rsidR="00DB2B68" w:rsidRDefault="00000000">
      <w:pPr>
        <w:jc w:val="both"/>
      </w:pPr>
      <w:r>
        <w:rPr>
          <w:rStyle w:val="soitChar"/>
          <w:u w:val="single"/>
        </w:rPr>
        <w:t>1. Surface utile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21D78224" w14:textId="77777777" w:rsidR="00DB2B68" w:rsidRDefault="00000000">
      <w:r>
        <w:rPr>
          <w:b/>
          <w:i/>
        </w:rPr>
        <w:t>(Soit)</w:t>
      </w:r>
    </w:p>
    <w:p w14:paraId="63A864C2" w14:textId="77777777" w:rsidR="00DB2B68" w:rsidRDefault="00000000">
      <w:pPr>
        <w:jc w:val="both"/>
      </w:pPr>
      <w:r>
        <w:rPr>
          <w:rStyle w:val="soitChar"/>
          <w:u w:val="single"/>
        </w:rPr>
        <w:t>2. 3 Quantités détaillées selon bordereau </w:t>
      </w:r>
    </w:p>
    <w:p w14:paraId="4E2E63D5" w14:textId="77777777" w:rsidR="00DB2B68" w:rsidRDefault="00000000">
      <w:pPr>
        <w:pStyle w:val="pheading"/>
      </w:pPr>
      <w:r>
        <w:t>- nature du marché:</w:t>
      </w:r>
    </w:p>
    <w:p w14:paraId="64B8B7CC" w14:textId="77777777" w:rsidR="00DB2B68" w:rsidRDefault="00000000">
      <w:r>
        <w:t>QF</w:t>
      </w:r>
    </w:p>
    <w:p w14:paraId="1D6FE9A6" w14:textId="77777777" w:rsidR="00DB2B68" w:rsidRDefault="00000000">
      <w:pPr>
        <w:pStyle w:val="Author-eSectionHeading6Numberless"/>
      </w:pPr>
      <w:bookmarkStart w:id="728" w:name="_Toc220495789"/>
      <w:r>
        <w:t>22.15.3c Planchers à dalles alvéolées en béton armé CCTB 01.12</w:t>
      </w:r>
      <w:bookmarkEnd w:id="728"/>
    </w:p>
    <w:p w14:paraId="6963454B" w14:textId="77777777" w:rsidR="00DB2B68" w:rsidRDefault="00000000">
      <w:pPr>
        <w:pStyle w:val="pheading"/>
      </w:pPr>
      <w:r>
        <w:t>DESCRIPTION</w:t>
      </w:r>
    </w:p>
    <w:p w14:paraId="20662CBC" w14:textId="77777777" w:rsidR="00DB2B68" w:rsidRDefault="00000000">
      <w:pPr>
        <w:pStyle w:val="pheading"/>
      </w:pPr>
      <w:r>
        <w:t>- Définition / Comprend</w:t>
      </w:r>
    </w:p>
    <w:p w14:paraId="0ACEDDA6" w14:textId="77777777" w:rsidR="00DB2B68" w:rsidRDefault="00000000">
      <w:r>
        <w:t>Il s'agit de planchers composés d’éléments jointifs préfabriqués en béton armé, à poser directement, dont les joints sont remplis au mortier ou béton de remplissage et qui sont, en principe, destinés à recevoir une couche de compression.</w:t>
      </w:r>
    </w:p>
    <w:p w14:paraId="3D19E95E" w14:textId="77777777" w:rsidR="00DB2B68" w:rsidRDefault="00000000">
      <w:pPr>
        <w:pStyle w:val="pheading"/>
      </w:pPr>
      <w:r>
        <w:t>MATÉRIAUX</w:t>
      </w:r>
    </w:p>
    <w:p w14:paraId="261AA09A" w14:textId="77777777" w:rsidR="00DB2B68" w:rsidRDefault="00000000">
      <w:pPr>
        <w:pStyle w:val="pheading"/>
      </w:pPr>
      <w:r>
        <w:t>- Caractéristiques générales</w:t>
      </w:r>
    </w:p>
    <w:p w14:paraId="66900B89" w14:textId="77777777" w:rsidR="00DB2B68" w:rsidRDefault="00000000">
      <w:r>
        <w:t>Les planchers en béton armé, selon la [NBN EN 1168+A3] + [NBN B 21-605:2021+A2]. Les éléments portent un certificat de conformité et le certificat doit être soumis à l'auteur de projet.  Les produits disposent d'une déclaration d'aptitude à l'utilisation suivant les prescriptions de l'élément 02.42.1 Critères d'acceptabilité. Des trous pour l'évacuation d'eau sont réalisés dans leur partie inférieure, afin que l'eau ne puisse stagner dans les vides.</w:t>
      </w:r>
    </w:p>
    <w:p w14:paraId="3F176D92" w14:textId="77777777" w:rsidR="00DB2B68" w:rsidRDefault="00000000">
      <w:r>
        <w:rPr>
          <w:b/>
        </w:rPr>
        <w:t xml:space="preserve">Béton de remplissage </w:t>
      </w:r>
    </w:p>
    <w:p w14:paraId="00D35BF9" w14:textId="77777777" w:rsidR="00DB2B68" w:rsidRDefault="00000000">
      <w:pPr>
        <w:pStyle w:val="Author-eListParagraph"/>
        <w:numPr>
          <w:ilvl w:val="0"/>
          <w:numId w:val="463"/>
        </w:numPr>
      </w:pPr>
      <w:r>
        <w:t xml:space="preserve">Le béton de remplissage est de composition </w:t>
      </w:r>
      <w:r>
        <w:rPr>
          <w:rStyle w:val="optioncarChar"/>
        </w:rPr>
        <w:t>C25/30 // C30/37 // ***</w:t>
      </w:r>
    </w:p>
    <w:p w14:paraId="477C2271" w14:textId="77777777" w:rsidR="00DB2B68" w:rsidRDefault="00000000">
      <w:r>
        <w:rPr>
          <w:b/>
        </w:rPr>
        <w:t>Couche de compression</w:t>
      </w:r>
    </w:p>
    <w:p w14:paraId="004231BB" w14:textId="77777777" w:rsidR="00DB2B68" w:rsidRDefault="00000000">
      <w:r>
        <w:t xml:space="preserve">La qualité du béton selon la [NBN EN 206:2013+A2] et [NBN B 15-001] est adaptée en fonction de l’épaisseur de la couche de compression (voir également l'article </w:t>
      </w:r>
      <w:hyperlink w:anchor="87" w:history="1">
        <w:r>
          <w:rPr>
            <w:color w:val="0000EE"/>
          </w:rP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B2B68" w14:paraId="11F9CAEB" w14:textId="77777777">
        <w:tc>
          <w:tcPr>
            <w:tcW w:w="1500" w:type="dxa"/>
            <w:noWrap/>
          </w:tcPr>
          <w:p w14:paraId="067A885C" w14:textId="77777777" w:rsidR="00DB2B68" w:rsidRDefault="00000000">
            <w:pPr>
              <w:jc w:val="center"/>
            </w:pPr>
            <w:r>
              <w:rPr>
                <w:b/>
              </w:rPr>
              <w:t>A</w:t>
            </w:r>
          </w:p>
        </w:tc>
        <w:tc>
          <w:tcPr>
            <w:tcW w:w="1500" w:type="dxa"/>
            <w:noWrap/>
          </w:tcPr>
          <w:p w14:paraId="25CDF875" w14:textId="77777777" w:rsidR="00DB2B68" w:rsidRDefault="00000000">
            <w:pPr>
              <w:jc w:val="center"/>
            </w:pPr>
            <w:r>
              <w:rPr>
                <w:b/>
              </w:rPr>
              <w:t>B1</w:t>
            </w:r>
          </w:p>
        </w:tc>
        <w:tc>
          <w:tcPr>
            <w:tcW w:w="1500" w:type="dxa"/>
            <w:noWrap/>
          </w:tcPr>
          <w:p w14:paraId="69C169D8" w14:textId="77777777" w:rsidR="00DB2B68" w:rsidRDefault="00000000">
            <w:pPr>
              <w:jc w:val="center"/>
            </w:pPr>
            <w:r>
              <w:rPr>
                <w:b/>
              </w:rPr>
              <w:t>B2</w:t>
            </w:r>
          </w:p>
        </w:tc>
        <w:tc>
          <w:tcPr>
            <w:tcW w:w="1500" w:type="dxa"/>
            <w:noWrap/>
          </w:tcPr>
          <w:p w14:paraId="3C06661D" w14:textId="77777777" w:rsidR="00DB2B68" w:rsidRDefault="00000000">
            <w:pPr>
              <w:jc w:val="center"/>
            </w:pPr>
            <w:r>
              <w:rPr>
                <w:b/>
              </w:rPr>
              <w:t>C</w:t>
            </w:r>
          </w:p>
        </w:tc>
        <w:tc>
          <w:tcPr>
            <w:tcW w:w="1500" w:type="dxa"/>
            <w:noWrap/>
          </w:tcPr>
          <w:p w14:paraId="5C883236" w14:textId="77777777" w:rsidR="00DB2B68" w:rsidRDefault="00000000">
            <w:pPr>
              <w:jc w:val="center"/>
            </w:pPr>
            <w:r>
              <w:rPr>
                <w:b/>
              </w:rPr>
              <w:t>D</w:t>
            </w:r>
          </w:p>
        </w:tc>
        <w:tc>
          <w:tcPr>
            <w:tcW w:w="1500" w:type="dxa"/>
            <w:noWrap/>
          </w:tcPr>
          <w:p w14:paraId="6FFB2CFD" w14:textId="77777777" w:rsidR="00DB2B68" w:rsidRDefault="00000000">
            <w:pPr>
              <w:jc w:val="center"/>
            </w:pPr>
            <w:r>
              <w:rPr>
                <w:b/>
              </w:rPr>
              <w:t>E</w:t>
            </w:r>
          </w:p>
        </w:tc>
      </w:tr>
      <w:tr w:rsidR="00DB2B68" w14:paraId="35BBAD92" w14:textId="77777777">
        <w:tc>
          <w:tcPr>
            <w:tcW w:w="1500" w:type="dxa"/>
            <w:noWrap/>
          </w:tcPr>
          <w:p w14:paraId="36EA4727" w14:textId="77777777" w:rsidR="00DB2B68" w:rsidRDefault="00000000">
            <w:pPr>
              <w:jc w:val="center"/>
            </w:pPr>
            <w:r>
              <w:rPr>
                <w:b/>
              </w:rPr>
              <w:t>Classe de résistance</w:t>
            </w:r>
          </w:p>
        </w:tc>
        <w:tc>
          <w:tcPr>
            <w:tcW w:w="1500" w:type="dxa"/>
            <w:noWrap/>
          </w:tcPr>
          <w:p w14:paraId="54B87C55" w14:textId="77777777" w:rsidR="00DB2B68" w:rsidRDefault="00000000">
            <w:pPr>
              <w:jc w:val="center"/>
            </w:pPr>
            <w:r>
              <w:rPr>
                <w:b/>
              </w:rPr>
              <w:t>Domaine d’application</w:t>
            </w:r>
          </w:p>
        </w:tc>
        <w:tc>
          <w:tcPr>
            <w:tcW w:w="1500" w:type="dxa"/>
            <w:noWrap/>
          </w:tcPr>
          <w:p w14:paraId="4486A890" w14:textId="77777777" w:rsidR="00DB2B68" w:rsidRDefault="00000000">
            <w:pPr>
              <w:jc w:val="center"/>
            </w:pPr>
            <w:r>
              <w:rPr>
                <w:b/>
              </w:rPr>
              <w:t>Classe d'environnement</w:t>
            </w:r>
          </w:p>
        </w:tc>
        <w:tc>
          <w:tcPr>
            <w:tcW w:w="1500" w:type="dxa"/>
            <w:noWrap/>
          </w:tcPr>
          <w:p w14:paraId="7CFD746D" w14:textId="77777777" w:rsidR="00DB2B68" w:rsidRDefault="00000000">
            <w:pPr>
              <w:jc w:val="center"/>
            </w:pPr>
            <w:r>
              <w:rPr>
                <w:b/>
              </w:rPr>
              <w:t>Classe de consistance</w:t>
            </w:r>
          </w:p>
        </w:tc>
        <w:tc>
          <w:tcPr>
            <w:tcW w:w="1500" w:type="dxa"/>
            <w:noWrap/>
          </w:tcPr>
          <w:p w14:paraId="22686AD1" w14:textId="77777777" w:rsidR="00DB2B68" w:rsidRDefault="00000000">
            <w:pPr>
              <w:jc w:val="center"/>
            </w:pPr>
            <w:r>
              <w:rPr>
                <w:b/>
              </w:rPr>
              <w:t>Granulométrie maximale</w:t>
            </w:r>
          </w:p>
        </w:tc>
        <w:tc>
          <w:tcPr>
            <w:tcW w:w="1500" w:type="dxa"/>
            <w:noWrap/>
          </w:tcPr>
          <w:p w14:paraId="1AD69916" w14:textId="77777777" w:rsidR="00DB2B68" w:rsidRDefault="00000000">
            <w:r>
              <w:rPr>
                <w:b/>
              </w:rPr>
              <w:t>Données complémentaires</w:t>
            </w:r>
          </w:p>
        </w:tc>
      </w:tr>
      <w:tr w:rsidR="00DB2B68" w14:paraId="59665E45" w14:textId="77777777">
        <w:tc>
          <w:tcPr>
            <w:tcW w:w="1500" w:type="dxa"/>
            <w:noWrap/>
          </w:tcPr>
          <w:p w14:paraId="7BFE85F0" w14:textId="77777777" w:rsidR="00DB2B68" w:rsidRDefault="00000000">
            <w:pPr>
              <w:jc w:val="center"/>
            </w:pPr>
            <w:r>
              <w:rPr>
                <w:rStyle w:val="optioncarChar"/>
              </w:rPr>
              <w:t xml:space="preserve">C25/30 // </w:t>
            </w:r>
            <w:r>
              <w:rPr>
                <w:rStyle w:val="optioncarChar"/>
              </w:rPr>
              <w:lastRenderedPageBreak/>
              <w:t>C30/37 // C35/45 // C45/55 // C50/60 // C55/67 // C60/75 // C70/85 // C80/95 // C90/105</w:t>
            </w:r>
          </w:p>
        </w:tc>
        <w:tc>
          <w:tcPr>
            <w:tcW w:w="1500" w:type="dxa"/>
            <w:noWrap/>
          </w:tcPr>
          <w:p w14:paraId="6E654876" w14:textId="77777777" w:rsidR="00DB2B68" w:rsidRDefault="00000000">
            <w:pPr>
              <w:jc w:val="center"/>
            </w:pPr>
            <w:r>
              <w:lastRenderedPageBreak/>
              <w:t>Béton armé</w:t>
            </w:r>
          </w:p>
          <w:p w14:paraId="3E99D5DF" w14:textId="77777777" w:rsidR="00DB2B68" w:rsidRDefault="00000000">
            <w:pPr>
              <w:jc w:val="center"/>
            </w:pPr>
            <w:r>
              <w:lastRenderedPageBreak/>
              <w:t> </w:t>
            </w:r>
          </w:p>
        </w:tc>
        <w:tc>
          <w:tcPr>
            <w:tcW w:w="1500" w:type="dxa"/>
            <w:noWrap/>
          </w:tcPr>
          <w:p w14:paraId="2EAEA15B" w14:textId="77777777" w:rsidR="00DB2B68" w:rsidRDefault="00000000">
            <w:pPr>
              <w:jc w:val="center"/>
            </w:pPr>
            <w:r>
              <w:rPr>
                <w:rStyle w:val="optioncarChar"/>
              </w:rPr>
              <w:lastRenderedPageBreak/>
              <w:t xml:space="preserve">E0 / EI / EE1 / </w:t>
            </w:r>
            <w:r>
              <w:rPr>
                <w:rStyle w:val="optioncarChar"/>
              </w:rPr>
              <w:lastRenderedPageBreak/>
              <w:t>EE2 / EE3 / EE4 / ES1 / ES2 / ES3 / ES4 / EA1+*** / EA2+***/ EA3+***</w:t>
            </w:r>
          </w:p>
        </w:tc>
        <w:tc>
          <w:tcPr>
            <w:tcW w:w="1500" w:type="dxa"/>
            <w:noWrap/>
          </w:tcPr>
          <w:p w14:paraId="7C70F5A0" w14:textId="77777777" w:rsidR="00DB2B68" w:rsidRDefault="00000000">
            <w:pPr>
              <w:jc w:val="center"/>
            </w:pPr>
            <w:r>
              <w:lastRenderedPageBreak/>
              <w:t xml:space="preserve">au choix de </w:t>
            </w:r>
            <w:r>
              <w:lastRenderedPageBreak/>
              <w:t>l'entrepreneur :</w:t>
            </w:r>
          </w:p>
          <w:p w14:paraId="148BE59A" w14:textId="77777777" w:rsidR="00DB2B68" w:rsidRDefault="00000000">
            <w:pPr>
              <w:jc w:val="center"/>
            </w:pPr>
            <w:r>
              <w:rPr>
                <w:rStyle w:val="optioncarChar"/>
              </w:rPr>
              <w:t xml:space="preserve">S3 / S4 / S5 </w:t>
            </w:r>
          </w:p>
          <w:p w14:paraId="55F3FCC4" w14:textId="77777777" w:rsidR="00DB2B68" w:rsidRDefault="00000000">
            <w:pPr>
              <w:jc w:val="center"/>
            </w:pPr>
            <w:r>
              <w:rPr>
                <w:rStyle w:val="optioncarChar"/>
              </w:rPr>
              <w:t>F3 / F4 / F5 / F6</w:t>
            </w:r>
            <w:r>
              <w:br/>
            </w:r>
          </w:p>
        </w:tc>
        <w:tc>
          <w:tcPr>
            <w:tcW w:w="1500" w:type="dxa"/>
            <w:noWrap/>
          </w:tcPr>
          <w:p w14:paraId="0C34D169" w14:textId="77777777" w:rsidR="00DB2B68" w:rsidRDefault="00000000">
            <w:pPr>
              <w:jc w:val="center"/>
            </w:pPr>
            <w:r>
              <w:lastRenderedPageBreak/>
              <w:t xml:space="preserve">au choix de </w:t>
            </w:r>
            <w:r>
              <w:lastRenderedPageBreak/>
              <w:t>l'entrepreneur :</w:t>
            </w:r>
          </w:p>
          <w:p w14:paraId="61525354" w14:textId="77777777" w:rsidR="00DB2B68" w:rsidRDefault="00000000">
            <w:pPr>
              <w:jc w:val="center"/>
            </w:pPr>
            <w:r>
              <w:rPr>
                <w:rStyle w:val="optioncarChar"/>
              </w:rPr>
              <w:t>6 / 8 / 10 / 11 / 12 / 14 / 16 / 20 / 22 / 32 </w:t>
            </w:r>
            <w:r>
              <w:t>mm</w:t>
            </w:r>
          </w:p>
        </w:tc>
        <w:tc>
          <w:tcPr>
            <w:tcW w:w="1500" w:type="dxa"/>
            <w:noWrap/>
          </w:tcPr>
          <w:p w14:paraId="2E53A179" w14:textId="77777777" w:rsidR="00DB2B68" w:rsidRDefault="00000000">
            <w:pPr>
              <w:jc w:val="center"/>
            </w:pPr>
            <w:r>
              <w:rPr>
                <w:rStyle w:val="optioncarChar"/>
              </w:rPr>
              <w:lastRenderedPageBreak/>
              <w:t>***</w:t>
            </w:r>
          </w:p>
        </w:tc>
      </w:tr>
    </w:tbl>
    <w:p w14:paraId="473B6990" w14:textId="77777777" w:rsidR="00DB2B68" w:rsidRDefault="00000000">
      <w:r>
        <w:t> </w:t>
      </w:r>
    </w:p>
    <w:p w14:paraId="4D4D93C0" w14:textId="77777777" w:rsidR="00DB2B68" w:rsidRDefault="00000000">
      <w:pPr>
        <w:pStyle w:val="Author-eListParagraph"/>
        <w:numPr>
          <w:ilvl w:val="0"/>
          <w:numId w:val="464"/>
        </w:numPr>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 xml:space="preserve">Données complémentaires propres au béton autoplaçant (E) : </w:t>
      </w:r>
    </w:p>
    <w:p w14:paraId="342A0FCE" w14:textId="77777777" w:rsidR="00DB2B68" w:rsidRDefault="00000000">
      <w:pPr>
        <w:pStyle w:val="Author-eListParagraph"/>
        <w:numPr>
          <w:ilvl w:val="1"/>
          <w:numId w:val="465"/>
        </w:numPr>
      </w:pPr>
      <w:r>
        <w:t xml:space="preserve">Classe de viscosité apparente : </w:t>
      </w:r>
      <w:r>
        <w:rPr>
          <w:rStyle w:val="optioncarChar"/>
        </w:rPr>
        <w:t>VS1 / VS2</w:t>
      </w:r>
      <w:r>
        <w:t xml:space="preserve"> (selon la [NBN EN 12350-8] )</w:t>
      </w:r>
    </w:p>
    <w:p w14:paraId="4CAD309F" w14:textId="77777777" w:rsidR="00DB2B68" w:rsidRDefault="00000000">
      <w:pPr>
        <w:pStyle w:val="Author-eListParagraph"/>
        <w:numPr>
          <w:ilvl w:val="1"/>
          <w:numId w:val="465"/>
        </w:numPr>
      </w:pPr>
      <w:r>
        <w:t xml:space="preserve">Aptitude à l’écoulement : </w:t>
      </w:r>
      <w:r>
        <w:rPr>
          <w:rStyle w:val="optioncarChar"/>
        </w:rPr>
        <w:t>PL1 / PL2 (</w:t>
      </w:r>
      <w:r>
        <w:t xml:space="preserve">selon la [NBN EN 12350-10, Essai pour béton frais - Partie 10: Béton autoplaçant - Essai à la boîte en L]) ou </w:t>
      </w:r>
      <w:r>
        <w:rPr>
          <w:rStyle w:val="optioncarChar"/>
        </w:rPr>
        <w:t>PJ1 / PJ2</w:t>
      </w:r>
      <w:r>
        <w:t xml:space="preserve"> (selon la [NBN EN 12350-12, Essai pour béton frais - Partie 12 : Béton autoplaçant - Essai d'écoulement à l'anneau])</w:t>
      </w:r>
    </w:p>
    <w:p w14:paraId="2B2F14FC" w14:textId="77777777" w:rsidR="00DB2B68" w:rsidRDefault="00000000">
      <w:pPr>
        <w:pStyle w:val="Author-eListParagraph"/>
        <w:numPr>
          <w:ilvl w:val="1"/>
          <w:numId w:val="46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844DD7D" w14:textId="77777777" w:rsidR="00DB2B68" w:rsidRDefault="00000000">
      <w:pPr>
        <w:pStyle w:val="Author-eListParagraph"/>
        <w:numPr>
          <w:ilvl w:val="0"/>
          <w:numId w:val="464"/>
        </w:numPr>
      </w:pPr>
      <w:r>
        <w:t xml:space="preserve">Épaisseur de la couche de compression : ≥ </w:t>
      </w:r>
      <w:r>
        <w:rPr>
          <w:rStyle w:val="optioncarChar"/>
        </w:rPr>
        <w:t>4 / 5 </w:t>
      </w:r>
      <w:r>
        <w:t xml:space="preserve">(par défaut) </w:t>
      </w:r>
      <w:r>
        <w:rPr>
          <w:rStyle w:val="optioncarChar"/>
        </w:rPr>
        <w:t xml:space="preserve">/ 6 / *** </w:t>
      </w:r>
      <w:r>
        <w:t>cm</w:t>
      </w:r>
    </w:p>
    <w:p w14:paraId="14F1EB5D" w14:textId="77777777" w:rsidR="00DB2B68" w:rsidRDefault="00000000">
      <w:r>
        <w:rPr>
          <w:u w:val="single"/>
        </w:rPr>
        <w:t>Armatures</w:t>
      </w:r>
    </w:p>
    <w:p w14:paraId="1FDF184B" w14:textId="77777777" w:rsidR="00DB2B68" w:rsidRDefault="00000000">
      <w:pPr>
        <w:pStyle w:val="Author-eListParagraph"/>
        <w:numPr>
          <w:ilvl w:val="0"/>
          <w:numId w:val="466"/>
        </w:numPr>
      </w:pPr>
      <w:r>
        <w:t>les armatures de la couche de compression sont prévues selon les indications dans l'étude des bétons:</w:t>
      </w:r>
    </w:p>
    <w:p w14:paraId="4CB3AFFD" w14:textId="77777777" w:rsidR="00DB2B68" w:rsidRDefault="00000000">
      <w:r>
        <w:t> OPTION :</w:t>
      </w:r>
      <w:r>
        <w:rPr>
          <w:rStyle w:val="optioncarChar"/>
        </w:rPr>
        <w:t xml:space="preserve"> 1 /  2 /  3</w:t>
      </w:r>
      <w:r>
        <w:rPr>
          <w:b/>
        </w:rPr>
        <w:t> </w:t>
      </w:r>
    </w:p>
    <w:p w14:paraId="24736656" w14:textId="77777777" w:rsidR="00DB2B68" w:rsidRDefault="00000000">
      <w:r>
        <w:rPr>
          <w:b/>
        </w:rPr>
        <w:t>(Soit):</w:t>
      </w:r>
      <w:r>
        <w:t xml:space="preserve"> selon la quantité et le diamètre à déterminer par le fabricant des dalles alvéolées.</w:t>
      </w:r>
    </w:p>
    <w:p w14:paraId="7A29BA85" w14:textId="77777777" w:rsidR="00DB2B68" w:rsidRDefault="00000000">
      <w:r>
        <w:rPr>
          <w:b/>
        </w:rPr>
        <w:t>(Soit) :</w:t>
      </w:r>
      <w:r>
        <w:t xml:space="preserve"> selon la quantité et le diamètre à déterminer par l'entrepreneur selon les Eurocodes (essentiellement [NBN EN 1990], [NBN EN 1991 série], [NBN EN 1992-1-1] et [NBN EN 1992-1-2]).</w:t>
      </w:r>
    </w:p>
    <w:p w14:paraId="2DE572E2" w14:textId="77777777" w:rsidR="00DB2B68" w:rsidRDefault="00000000">
      <w:r>
        <w:rPr>
          <w:b/>
        </w:rPr>
        <w:t>(Soit) :</w:t>
      </w:r>
      <w:r>
        <w:t xml:space="preserve"> avec au moins un treillis soudé, nuance d'acier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 </w:t>
      </w:r>
      <w:r>
        <w:t>(par défaut)</w:t>
      </w:r>
      <w:r>
        <w:rPr>
          <w:rStyle w:val="optioncarChar"/>
        </w:rPr>
        <w:t xml:space="preserve"> / 200 x 200 x 6 x 6 / 250 x 250 x 6 x 6 / *** </w:t>
      </w:r>
      <w:r>
        <w:t>mm.</w:t>
      </w:r>
    </w:p>
    <w:p w14:paraId="56751799" w14:textId="77777777" w:rsidR="00DB2B68" w:rsidRDefault="00000000">
      <w:pPr>
        <w:pStyle w:val="Author-eListParagraph"/>
        <w:numPr>
          <w:ilvl w:val="0"/>
          <w:numId w:val="467"/>
        </w:numPr>
      </w:pPr>
      <w:r>
        <w:t>Les armatures complémentaires se composeront de barres supplémentaires de qualité BE 500 S et seront exécutées et posées</w:t>
      </w:r>
      <w:r>
        <w:rPr>
          <w:rStyle w:val="optioncarChar"/>
        </w:rPr>
        <w:t> selon les indications données dans l'étude des bétons.</w:t>
      </w:r>
      <w:r>
        <w:t>(par défaut) </w:t>
      </w:r>
      <w:r>
        <w:rPr>
          <w:rStyle w:val="optioncarChar"/>
        </w:rPr>
        <w:t>/ selon la quantité et le diamètre à déterminer par le fabricant des dalles alvéolées / ***</w:t>
      </w:r>
    </w:p>
    <w:p w14:paraId="65173E11" w14:textId="77777777" w:rsidR="00DB2B68" w:rsidRDefault="00000000">
      <w:r>
        <w:rPr>
          <w:u w:val="single"/>
        </w:rPr>
        <w:t>Spécifications</w:t>
      </w:r>
    </w:p>
    <w:p w14:paraId="47B50B2F" w14:textId="77777777" w:rsidR="00DB2B68" w:rsidRDefault="00000000">
      <w:pPr>
        <w:pStyle w:val="Author-eListParagraph"/>
        <w:numPr>
          <w:ilvl w:val="0"/>
          <w:numId w:val="468"/>
        </w:numPr>
      </w:pPr>
      <w:r>
        <w:t xml:space="preserve">Hauteur : </w:t>
      </w:r>
      <w:r>
        <w:rPr>
          <w:rStyle w:val="optioncarChar"/>
        </w:rPr>
        <w:t>12 / 12,5 / 15 / 16 / 20 / 25 / 30 / 32 cm / selon les indications sur les plans</w:t>
      </w:r>
      <w:r>
        <w:t xml:space="preserve"> (par défaut) </w:t>
      </w:r>
      <w:r>
        <w:rPr>
          <w:rStyle w:val="optioncarChar"/>
        </w:rPr>
        <w:t>/ ***</w:t>
      </w:r>
    </w:p>
    <w:p w14:paraId="077AF154" w14:textId="77777777" w:rsidR="00DB2B68" w:rsidRDefault="00000000">
      <w:pPr>
        <w:pStyle w:val="Author-eListParagraph"/>
        <w:numPr>
          <w:ilvl w:val="0"/>
          <w:numId w:val="468"/>
        </w:numPr>
      </w:pPr>
      <w:r>
        <w:t xml:space="preserve">Largeur : </w:t>
      </w:r>
      <w:r>
        <w:rPr>
          <w:rStyle w:val="optioncarChar"/>
        </w:rPr>
        <w:t>*** / 25 / 30 / 60 / 120 / 240</w:t>
      </w:r>
      <w:r>
        <w:t xml:space="preserve"> cm (ou un multiple) </w:t>
      </w:r>
      <w:r>
        <w:rPr>
          <w:rStyle w:val="optioncarChar"/>
        </w:rPr>
        <w:t>/ selon les indications sur les plans</w:t>
      </w:r>
      <w:r>
        <w:t> (par défaut) </w:t>
      </w:r>
      <w:r>
        <w:rPr>
          <w:rStyle w:val="optioncarChar"/>
        </w:rPr>
        <w:t>/ ***</w:t>
      </w:r>
    </w:p>
    <w:p w14:paraId="1288E289" w14:textId="77777777" w:rsidR="00DB2B68" w:rsidRDefault="00000000">
      <w:pPr>
        <w:pStyle w:val="Author-eListParagraph"/>
        <w:numPr>
          <w:ilvl w:val="0"/>
          <w:numId w:val="468"/>
        </w:numPr>
      </w:pPr>
      <w:r>
        <w:t xml:space="preserve">Longueur : </w:t>
      </w:r>
      <w:r>
        <w:rPr>
          <w:rStyle w:val="optioncarChar"/>
        </w:rPr>
        <w:t>*** cm  / soit conformément aux longueurs indiquées sur les plans</w:t>
      </w:r>
      <w:r>
        <w:t> (par défaut) </w:t>
      </w:r>
    </w:p>
    <w:p w14:paraId="28674C08" w14:textId="77777777" w:rsidR="00DB2B68" w:rsidRDefault="00000000">
      <w:pPr>
        <w:pStyle w:val="pheading"/>
      </w:pPr>
      <w:r>
        <w:t>- Finitions</w:t>
      </w:r>
    </w:p>
    <w:p w14:paraId="1DDC9378" w14:textId="77777777" w:rsidR="00DB2B68" w:rsidRDefault="00000000">
      <w:r>
        <w:t xml:space="preserve">Finition : face inférieure </w:t>
      </w:r>
      <w:r>
        <w:rPr>
          <w:rStyle w:val="optioncarChar"/>
        </w:rPr>
        <w:t>rugueuse / lisse </w:t>
      </w:r>
      <w:r>
        <w:t xml:space="preserve">(par défaut) </w:t>
      </w:r>
      <w:r>
        <w:rPr>
          <w:rStyle w:val="optioncarChar"/>
        </w:rPr>
        <w:t>/ ***</w:t>
      </w:r>
    </w:p>
    <w:p w14:paraId="32121DCA" w14:textId="77777777" w:rsidR="00DB2B68" w:rsidRDefault="00000000">
      <w:pPr>
        <w:pStyle w:val="pheading"/>
      </w:pPr>
      <w:r>
        <w:t>- Prescriptions complémentaires</w:t>
      </w:r>
    </w:p>
    <w:p w14:paraId="7C0D94E3" w14:textId="77777777" w:rsidR="00DB2B68" w:rsidRDefault="00000000">
      <w:pPr>
        <w:pStyle w:val="Author-eListParagraph"/>
        <w:numPr>
          <w:ilvl w:val="0"/>
          <w:numId w:val="469"/>
        </w:numPr>
      </w:pPr>
      <w:r>
        <w:t xml:space="preserve">Résistance au feu : pour les éléments porteurs et structurels sans fonction séparant </w:t>
      </w:r>
      <w:r>
        <w:rPr>
          <w:rStyle w:val="optioncarChar"/>
        </w:rPr>
        <w:t>R15 / R30</w:t>
      </w:r>
      <w:r>
        <w:t> (par défaut)</w:t>
      </w:r>
      <w:r>
        <w:rPr>
          <w:rStyle w:val="optioncarChar"/>
        </w:rPr>
        <w:t xml:space="preserve"> / R60 / R120 / R *** / *** </w:t>
      </w:r>
      <w:r>
        <w:t xml:space="preserve">et pour les éléments porteurs et structurels avec fonction séparant </w:t>
      </w:r>
      <w:r>
        <w:rPr>
          <w:rStyle w:val="optioncarChar"/>
        </w:rPr>
        <w:t>REI 30 </w:t>
      </w:r>
      <w:r>
        <w:t>(par défaut)</w:t>
      </w:r>
      <w:r>
        <w:rPr>
          <w:rStyle w:val="optioncarChar"/>
        </w:rPr>
        <w:t xml:space="preserve"> / REI 60 / REI 120 / REI *** / ***</w:t>
      </w:r>
    </w:p>
    <w:p w14:paraId="3015C5BF" w14:textId="77777777" w:rsidR="00DB2B68" w:rsidRDefault="00000000">
      <w:pPr>
        <w:pStyle w:val="Author-eListParagraph"/>
        <w:numPr>
          <w:ilvl w:val="0"/>
          <w:numId w:val="469"/>
        </w:numPr>
      </w:pPr>
      <w:r>
        <w:t>Support aux prescripteurs : [SWL GSI/T1/C] de la prévention passive.</w:t>
      </w:r>
    </w:p>
    <w:p w14:paraId="4E4FFED6" w14:textId="77777777" w:rsidR="00DB2B68" w:rsidRDefault="00000000">
      <w:pPr>
        <w:pStyle w:val="Author-eListParagraph"/>
        <w:numPr>
          <w:ilvl w:val="0"/>
          <w:numId w:val="469"/>
        </w:numPr>
      </w:pPr>
      <w:r>
        <w:lastRenderedPageBreak/>
        <w:t xml:space="preserve">La résistance thermique des dalles alvéolées est d'au moins </w:t>
      </w:r>
      <w:r>
        <w:rPr>
          <w:rStyle w:val="optioncarChar"/>
        </w:rPr>
        <w:t>***</w:t>
      </w:r>
      <w:r>
        <w:t xml:space="preserve"> m²K/W, qui est obtenue à l'aide d'une isolation intégrée.</w:t>
      </w:r>
    </w:p>
    <w:p w14:paraId="6DF03866" w14:textId="77777777" w:rsidR="00DB2B68" w:rsidRDefault="00000000">
      <w:pPr>
        <w:ind w:left="750"/>
      </w:pPr>
      <w:r>
        <w:t> </w:t>
      </w:r>
    </w:p>
    <w:p w14:paraId="33B08708" w14:textId="77777777" w:rsidR="00DB2B68" w:rsidRDefault="00000000">
      <w:pPr>
        <w:pStyle w:val="pheading"/>
      </w:pPr>
      <w:r>
        <w:t>EXÉCUTION / MISE EN ŒUVRE</w:t>
      </w:r>
    </w:p>
    <w:p w14:paraId="16391FFE" w14:textId="77777777" w:rsidR="00DB2B68" w:rsidRDefault="00000000">
      <w:pPr>
        <w:pStyle w:val="pheading"/>
      </w:pPr>
      <w:r>
        <w:t>- Prescriptions générales</w:t>
      </w:r>
    </w:p>
    <w:p w14:paraId="288CFDD6" w14:textId="77777777" w:rsidR="00DB2B68" w:rsidRDefault="00000000">
      <w:pPr>
        <w:spacing w:before="0" w:after="0"/>
      </w:pPr>
      <w:r>
        <w:rPr>
          <w:b/>
        </w:rPr>
        <w:t>Préfabrication - Transport</w:t>
      </w:r>
    </w:p>
    <w:p w14:paraId="43F2B4D0" w14:textId="77777777" w:rsidR="00DB2B68" w:rsidRDefault="00000000">
      <w:r>
        <w:t>Pendant le transport et l'entreposage sur chantier, l'entrepreneur veille à ce qu'il ne se produise pas de tensions inadmissibles dans le béton et l'acier. A cet effet, les dalles alvéolées sont entreposées de manière suffisamment rapprochée. Ils sont posés sur des chevrons placés à une distance qui n'excède pas 1/5 de la portée, à calculer à partir des extrémités. Les chevrons sont superposés.</w:t>
      </w:r>
    </w:p>
    <w:p w14:paraId="510F60A2" w14:textId="77777777" w:rsidR="00DB2B68" w:rsidRDefault="00000000">
      <w:pPr>
        <w:pStyle w:val="heading"/>
      </w:pPr>
      <w:r>
        <w:t>Mise en œuvre - Appuis</w:t>
      </w:r>
    </w:p>
    <w:p w14:paraId="55FB1538" w14:textId="77777777" w:rsidR="00DB2B68" w:rsidRDefault="00000000">
      <w:pPr>
        <w:pStyle w:val="Author-eListParagraph"/>
        <w:numPr>
          <w:ilvl w:val="0"/>
          <w:numId w:val="470"/>
        </w:numPr>
      </w:pPr>
      <w:r>
        <w:t>Les dalles alvéolées sont posées parfaitement jointivement sur des surfaces d'appui bien préparées, conformément au plan de pose établi par le fabricant et approuvé par l'auteur de projet. L'entrepreneur est autorisé à exécuter certaines parties (pièces d'ajustage, …) de la voussure en béton armé, toutefois après avoir obtenu l'approbation de la direction du chantier et avoir soumis le plan de ferraillage.</w:t>
      </w:r>
    </w:p>
    <w:p w14:paraId="1C69F48A" w14:textId="77777777" w:rsidR="00DB2B68" w:rsidRDefault="00000000">
      <w:pPr>
        <w:pStyle w:val="Author-eListParagraph"/>
        <w:numPr>
          <w:ilvl w:val="0"/>
          <w:numId w:val="470"/>
        </w:numPr>
      </w:pPr>
      <w:r>
        <w:t xml:space="preserve">Conformément aux prescriptions du fabricant, il faut poser, aux endroits nécessaires, des étais de montage pendant l'exécution de la dalle portante. </w:t>
      </w:r>
    </w:p>
    <w:p w14:paraId="27D71AE4" w14:textId="77777777" w:rsidR="00DB2B68" w:rsidRDefault="00000000">
      <w:pPr>
        <w:pStyle w:val="Author-eListParagraph"/>
        <w:numPr>
          <w:ilvl w:val="1"/>
          <w:numId w:val="471"/>
        </w:numPr>
      </w:pPr>
      <w:r>
        <w:t>en-dessous des dalles alvéolaires :</w:t>
      </w:r>
      <w:r>
        <w:br/>
        <w:t>• largeur d’appui inférieur au minimum (torons dépassants) : toujours à étançonner</w:t>
      </w:r>
      <w:r>
        <w:br/>
        <w:t>• éléments avec une découpe &gt; 1/3 de la largeur : toujours à étançonner</w:t>
      </w:r>
      <w:r>
        <w:br/>
        <w:t>• autres : à spécifier par le fabricant</w:t>
      </w:r>
    </w:p>
    <w:p w14:paraId="022F5E9F" w14:textId="77777777" w:rsidR="00DB2B68" w:rsidRDefault="00000000">
      <w:pPr>
        <w:pStyle w:val="Author-eListParagraph"/>
        <w:numPr>
          <w:ilvl w:val="0"/>
          <w:numId w:val="472"/>
        </w:numPr>
      </w:pPr>
      <w:r>
        <w:t>En principe, les éléments de plancher sont posés dans un lit de mortier. Lorsque la surface d'appui n'est pas suffisamment plane, comme pour la maçonnerie ou le béton coulé en place, une couche d'égalisation en mortier de ciment est préalablement appliquée. Les surfaces d'appui en béton cellulaire autoclavé, en briques silico-calcaires ou en bois doivent préalablement être recouvertes d'une feuille d'étanchéité.</w:t>
      </w:r>
    </w:p>
    <w:p w14:paraId="6E4D994E" w14:textId="77777777" w:rsidR="00DB2B68" w:rsidRDefault="00000000">
      <w:pPr>
        <w:pStyle w:val="Author-eListParagraph"/>
        <w:numPr>
          <w:ilvl w:val="0"/>
          <w:numId w:val="472"/>
        </w:numPr>
      </w:pPr>
      <w:r>
        <w:t>Après la pose, les bords nus des dalles alvéolées en béton: la finition est à spécifier ^par l'entrepreneur.</w:t>
      </w:r>
    </w:p>
    <w:p w14:paraId="31FF313C" w14:textId="77777777" w:rsidR="00DB2B68" w:rsidRDefault="00000000">
      <w:pPr>
        <w:pStyle w:val="Author-eListParagraph"/>
        <w:numPr>
          <w:ilvl w:val="0"/>
          <w:numId w:val="472"/>
        </w:numPr>
      </w:pPr>
      <w:r>
        <w:t>Les joints entre les dalles alvéolées doivent être débarrassés de toutes impuretés lorsque la construction reste apparente après la réalisation. Avant de couler le béton, les dalles alvéolées sont abondamment arrosées d'eau.</w:t>
      </w:r>
    </w:p>
    <w:p w14:paraId="2610AAEF" w14:textId="77777777" w:rsidR="00DB2B68" w:rsidRDefault="00000000">
      <w:pPr>
        <w:pStyle w:val="Author-eListParagraph"/>
        <w:numPr>
          <w:ilvl w:val="0"/>
          <w:numId w:val="472"/>
        </w:numPr>
      </w:pPr>
      <w:r>
        <w:t>Le plancher ne peut être mis en charge avant que le béton de remplissage des joints ou de la couche de compression ne soit complètement durci.</w:t>
      </w:r>
    </w:p>
    <w:p w14:paraId="687A4805" w14:textId="77777777" w:rsidR="00DB2B68" w:rsidRDefault="00000000">
      <w:pPr>
        <w:pStyle w:val="Author-eListParagraph"/>
        <w:numPr>
          <w:ilvl w:val="0"/>
          <w:numId w:val="472"/>
        </w:numPr>
      </w:pPr>
      <w:r>
        <w:t>La longueur d'appui des dalles alvéolées est conforme aux prescriptions de la [NBN B 21-605:2021+A2].</w:t>
      </w:r>
      <w:r>
        <w:rPr>
          <w:shd w:val="clear" w:color="auto" w:fill="FFFFFF"/>
        </w:rPr>
        <w:t>.</w:t>
      </w:r>
    </w:p>
    <w:p w14:paraId="3629E6AC" w14:textId="77777777" w:rsidR="00DB2B68" w:rsidRDefault="00000000">
      <w:pPr>
        <w:pStyle w:val="Author-eListParagraph"/>
        <w:numPr>
          <w:ilvl w:val="0"/>
          <w:numId w:val="472"/>
        </w:numPr>
      </w:pPr>
      <w:r>
        <w:t>La conception des joints et des assemblages externes est déterminée par l'étude de stabilité.</w:t>
      </w:r>
    </w:p>
    <w:p w14:paraId="00831BD2" w14:textId="77777777" w:rsidR="00DB2B68" w:rsidRDefault="00000000">
      <w:r>
        <w:rPr>
          <w:b/>
        </w:rPr>
        <w:t>Choix opéré</w:t>
      </w:r>
      <w:r>
        <w:t xml:space="preserve">: </w:t>
      </w:r>
      <w:r>
        <w:rPr>
          <w:rStyle w:val="optioncarChar"/>
        </w:rPr>
        <w:t>OPTION 1</w:t>
      </w:r>
      <w:r>
        <w:t xml:space="preserve"> (par défaut) </w:t>
      </w:r>
      <w:r>
        <w:rPr>
          <w:rStyle w:val="optioncarChar"/>
        </w:rPr>
        <w:t>/ OPTION 2 / ***</w:t>
      </w:r>
      <w:r>
        <w:br/>
      </w:r>
      <w:r>
        <w:rPr>
          <w:b/>
        </w:rPr>
        <w:t>OPTION 1:</w:t>
      </w:r>
      <w:r>
        <w:t xml:space="preserve"> Les joints sont remplis de mortier.</w:t>
      </w:r>
      <w:r>
        <w:br/>
      </w:r>
      <w:r>
        <w:rPr>
          <w:b/>
        </w:rPr>
        <w:t>OPTION 2:</w:t>
      </w:r>
      <w:r>
        <w:t xml:space="preserve"> Les éléments de plancher sont reliés mécaniquement.</w:t>
      </w:r>
    </w:p>
    <w:p w14:paraId="40CEF7C5" w14:textId="77777777" w:rsidR="00DB2B68" w:rsidRDefault="00000000">
      <w:pPr>
        <w:pStyle w:val="Author-eListParagraph"/>
        <w:numPr>
          <w:ilvl w:val="0"/>
          <w:numId w:val="473"/>
        </w:numPr>
      </w:pPr>
      <w:r>
        <w:t>La face supérieure des dalles alvéolées doit correspondre aux cotes de niveau et à l'épaisseur des planchers indiqués sur les plans d'architecture.</w:t>
      </w:r>
    </w:p>
    <w:p w14:paraId="5F04080C" w14:textId="77777777" w:rsidR="00DB2B68" w:rsidRDefault="00000000">
      <w:pPr>
        <w:pStyle w:val="Author-eListParagraph"/>
        <w:numPr>
          <w:ilvl w:val="0"/>
          <w:numId w:val="473"/>
        </w:numPr>
      </w:pPr>
      <w:r>
        <w:t xml:space="preserve">Une couche de compression en béton est appliquée afin de renforcer l'ensemble et de former un seul tout avec les éléments de plancher sous-jacents. A cet effet, on replie au moins 4 barres d'armature par mètre, diamètre 6 mm, des joints entre les dalles alvéolées dans la couche de compression. La couche de compression doit être armée en continu jusque sur les appuis. Les armatures sont posées dans les </w:t>
      </w:r>
      <w:r>
        <w:rPr>
          <w:rStyle w:val="optioncarChar"/>
        </w:rPr>
        <w:t>saignées longitudinales / jointures longitudinales </w:t>
      </w:r>
      <w:r>
        <w:t>(par défaut)</w:t>
      </w:r>
      <w:r>
        <w:rPr>
          <w:rStyle w:val="optioncarChar"/>
        </w:rPr>
        <w:t xml:space="preserve"> / ***</w:t>
      </w:r>
      <w:r>
        <w:t>.</w:t>
      </w:r>
    </w:p>
    <w:p w14:paraId="38B5A49A" w14:textId="77777777" w:rsidR="00DB2B68" w:rsidRDefault="00000000">
      <w:pPr>
        <w:pStyle w:val="Author-eListParagraph"/>
        <w:numPr>
          <w:ilvl w:val="0"/>
          <w:numId w:val="473"/>
        </w:numPr>
      </w:pPr>
      <w:r>
        <w:t>La couche de compression et ses armatures sont exécutées et posées:</w:t>
      </w:r>
    </w:p>
    <w:p w14:paraId="2B788588" w14:textId="77777777" w:rsidR="00DB2B68" w:rsidRDefault="00000000">
      <w:r>
        <w:rPr>
          <w:b/>
        </w:rPr>
        <w:lastRenderedPageBreak/>
        <w:t>Choix opéré: </w:t>
      </w:r>
      <w:r>
        <w:rPr>
          <w:rStyle w:val="optioncarChar"/>
        </w:rPr>
        <w:t>OPTION 1 </w:t>
      </w:r>
      <w:r>
        <w:t>(par défaut)</w:t>
      </w:r>
      <w:r>
        <w:rPr>
          <w:rStyle w:val="optioncarChar"/>
        </w:rPr>
        <w:t> / OPTION 2 / ***</w:t>
      </w:r>
      <w:r>
        <w:br/>
      </w:r>
      <w:r>
        <w:rPr>
          <w:b/>
        </w:rPr>
        <w:t>OPTION 1</w:t>
      </w:r>
      <w:r>
        <w:t xml:space="preserve"> selon les indications dans l'étude des bétons.</w:t>
      </w:r>
      <w:r>
        <w:br/>
      </w:r>
      <w:r>
        <w:rPr>
          <w:b/>
        </w:rPr>
        <w:t>OPTION 2</w:t>
      </w:r>
      <w:r>
        <w:t xml:space="preserve"> selon les Eurocodes (essentiellement [NBN EN 1990], [NBN EN 1991 série], [NBN EN 1992-1-1] et [NBN EN 1992-1-2] et la norme [NBN EN 13670] et [NBN B 15-400].</w:t>
      </w:r>
    </w:p>
    <w:p w14:paraId="49A7873A" w14:textId="77777777" w:rsidR="00DB2B68" w:rsidRDefault="00000000">
      <w:pPr>
        <w:pStyle w:val="pheading"/>
      </w:pPr>
      <w:r>
        <w:t>- Notes d’exécution complémentaires</w:t>
      </w:r>
    </w:p>
    <w:p w14:paraId="3AFB8739" w14:textId="77777777" w:rsidR="00DB2B68" w:rsidRDefault="00000000">
      <w:r>
        <w:t>Les surfaces d'appui en béton cellulaire autoclavé, en briques silico-calcaires ou en bois doivent préalablement être recouvertes d'une feuille d'étanchéité.</w:t>
      </w:r>
      <w:r>
        <w:br/>
        <w:t>Dans les locaux non destinés à recevoir un revêtement de sol particulier (greniers), la couche de compression est parfaitement lissée.</w:t>
      </w:r>
    </w:p>
    <w:p w14:paraId="5E7F76AA" w14:textId="77777777" w:rsidR="00DB2B68" w:rsidRDefault="00000000">
      <w:pPr>
        <w:pStyle w:val="pheading"/>
      </w:pPr>
      <w:r>
        <w:t>DOCUMENTS DE RÉFÉRENCE COMPLÉMENTAIRES</w:t>
      </w:r>
    </w:p>
    <w:p w14:paraId="5AF8333E" w14:textId="77777777" w:rsidR="00DB2B68" w:rsidRDefault="00000000">
      <w:pPr>
        <w:pStyle w:val="pheading"/>
      </w:pPr>
      <w:r>
        <w:t>- Exécution</w:t>
      </w:r>
    </w:p>
    <w:p w14:paraId="7ED2C968" w14:textId="77777777" w:rsidR="00DB2B68" w:rsidRDefault="00000000">
      <w:r>
        <w:t>[NBN EN 13213, Planchers creux]</w:t>
      </w:r>
    </w:p>
    <w:p w14:paraId="77858C98" w14:textId="77777777" w:rsidR="00DB2B68" w:rsidRDefault="00000000">
      <w:pPr>
        <w:pStyle w:val="pheading"/>
      </w:pPr>
      <w:r>
        <w:t>MESURAGE</w:t>
      </w:r>
    </w:p>
    <w:p w14:paraId="596FA01F" w14:textId="77777777" w:rsidR="00DB2B68" w:rsidRDefault="00000000">
      <w:r>
        <w:t>Conformément à la nature du plancher, aux indications spécifiques dans le cahier spécial des charges et/ou le métré récapitulatif, le mesurage doit être conçu comme suit :</w:t>
      </w:r>
    </w:p>
    <w:p w14:paraId="2A5EBDAC" w14:textId="77777777" w:rsidR="00DB2B68" w:rsidRDefault="00000000">
      <w:pPr>
        <w:pStyle w:val="pheading"/>
      </w:pPr>
      <w:r>
        <w:t>- unité de mesure:</w:t>
      </w:r>
    </w:p>
    <w:p w14:paraId="0F9F455B" w14:textId="77777777" w:rsidR="00DB2B68" w:rsidRDefault="00000000">
      <w:r>
        <w:rPr>
          <w:b/>
        </w:rPr>
        <w:t>Choix opéré</w:t>
      </w:r>
      <w:r>
        <w:t xml:space="preserve"> : </w:t>
      </w:r>
      <w:r>
        <w:rPr>
          <w:rStyle w:val="optioncarChar"/>
        </w:rPr>
        <w:t xml:space="preserve">OPTION 1 </w:t>
      </w:r>
      <w:r>
        <w:t>(par défaut)</w:t>
      </w:r>
      <w:r>
        <w:rPr>
          <w:rStyle w:val="optioncarChar"/>
        </w:rPr>
        <w:t xml:space="preserve"> / OPTION 1bis / OPTION 2 / OPTION 3</w:t>
      </w:r>
    </w:p>
    <w:p w14:paraId="6C346DAD" w14:textId="77777777" w:rsidR="00DB2B68" w:rsidRDefault="00000000">
      <w:r>
        <w:rPr>
          <w:b/>
        </w:rPr>
        <w:t xml:space="preserve">OPTION 1 (par défaut): </w:t>
      </w:r>
      <w:r>
        <w:t xml:space="preserve">(méthode de mesurage standard) </w:t>
      </w:r>
      <w:r>
        <w:rPr>
          <w:b/>
        </w:rPr>
        <w:t>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326079D6" w14:textId="77777777" w:rsidR="00DB2B68"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3A2EE77A" w14:textId="77777777" w:rsidR="00DB2B68" w:rsidRDefault="00000000">
      <w:r>
        <w:rPr>
          <w:b/>
        </w:rPr>
        <w:t>OPTION 2:</w:t>
      </w:r>
    </w:p>
    <w:p w14:paraId="3472F9E7" w14:textId="77777777" w:rsidR="00DB2B68" w:rsidRDefault="00000000">
      <w:pPr>
        <w:pStyle w:val="Author-eListParagraph"/>
        <w:numPr>
          <w:ilvl w:val="0"/>
          <w:numId w:val="474"/>
        </w:numPr>
      </w:pPr>
      <w:r>
        <w:t>m³ pour le béton</w:t>
      </w:r>
    </w:p>
    <w:p w14:paraId="39E9F0CE" w14:textId="77777777" w:rsidR="00DB2B68" w:rsidRDefault="00000000">
      <w:pPr>
        <w:pStyle w:val="Author-eListParagraph"/>
        <w:numPr>
          <w:ilvl w:val="0"/>
          <w:numId w:val="474"/>
        </w:numPr>
      </w:pPr>
      <w:r>
        <w:t>kg pour les armatures</w:t>
      </w:r>
    </w:p>
    <w:p w14:paraId="5EC7D92A" w14:textId="77777777" w:rsidR="00DB2B68" w:rsidRDefault="00000000">
      <w:pPr>
        <w:pStyle w:val="Author-eListParagraph"/>
        <w:numPr>
          <w:ilvl w:val="0"/>
          <w:numId w:val="474"/>
        </w:numPr>
      </w:pPr>
      <w:r>
        <w:t>Tous les autres éléments, travaux et fournitures doivent être compris dans les prix unitaires respectifs pour les mesurages précités.</w:t>
      </w:r>
    </w:p>
    <w:p w14:paraId="33E3014A" w14:textId="77777777" w:rsidR="00DB2B68" w:rsidRDefault="00000000">
      <w:r>
        <w:rPr>
          <w:b/>
        </w:rPr>
        <w:t>OPTION 3:</w:t>
      </w:r>
    </w:p>
    <w:p w14:paraId="26B55657" w14:textId="77777777" w:rsidR="00DB2B68" w:rsidRDefault="00000000">
      <w:pPr>
        <w:pStyle w:val="Author-eListParagraph"/>
        <w:numPr>
          <w:ilvl w:val="0"/>
          <w:numId w:val="475"/>
        </w:numPr>
      </w:pPr>
      <w:r>
        <w:t>m³ pour le béton de remplissage</w:t>
      </w:r>
    </w:p>
    <w:p w14:paraId="15BE1502" w14:textId="77777777" w:rsidR="00DB2B68" w:rsidRDefault="00000000">
      <w:pPr>
        <w:pStyle w:val="Author-eListParagraph"/>
        <w:numPr>
          <w:ilvl w:val="0"/>
          <w:numId w:val="475"/>
        </w:numPr>
      </w:pPr>
      <w:r>
        <w:t>m³ pour la couche de compression béton (en mentionnant l'épaisseur...)</w:t>
      </w:r>
    </w:p>
    <w:p w14:paraId="3838B98E" w14:textId="77777777" w:rsidR="00DB2B68" w:rsidRDefault="00000000">
      <w:pPr>
        <w:pStyle w:val="Author-eListParagraph"/>
        <w:numPr>
          <w:ilvl w:val="0"/>
          <w:numId w:val="475"/>
        </w:numPr>
      </w:pPr>
      <w:r>
        <w:t>kg pour les armatures supplémentaires</w:t>
      </w:r>
    </w:p>
    <w:p w14:paraId="73334F87" w14:textId="77777777" w:rsidR="00DB2B68" w:rsidRDefault="00000000">
      <w:pPr>
        <w:pStyle w:val="Author-eListParagraph"/>
        <w:numPr>
          <w:ilvl w:val="0"/>
          <w:numId w:val="475"/>
        </w:numPr>
      </w:pPr>
      <w:r>
        <w:t>Pièces divergentes et pièces spéciales : à la pièce (selon les dimensions identiques ou indications standards).</w:t>
      </w:r>
    </w:p>
    <w:p w14:paraId="127EF12C"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2AF6D3AB" w14:textId="77777777" w:rsidR="00DB2B68" w:rsidRDefault="00000000">
      <w:pPr>
        <w:pStyle w:val="pheading"/>
      </w:pPr>
      <w:r>
        <w:t>- code de mesurage:</w:t>
      </w:r>
    </w:p>
    <w:p w14:paraId="5A2300D1" w14:textId="77777777" w:rsidR="00DB2B68"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0BE32686" w14:textId="77777777" w:rsidR="00DB2B68" w:rsidRDefault="00000000">
      <w:pPr>
        <w:pStyle w:val="pheading"/>
      </w:pPr>
      <w:r>
        <w:lastRenderedPageBreak/>
        <w:t>- nature du marché:</w:t>
      </w:r>
    </w:p>
    <w:p w14:paraId="244998EE" w14:textId="77777777" w:rsidR="00DB2B68" w:rsidRDefault="00000000">
      <w:r>
        <w:rPr>
          <w:rStyle w:val="optioncarChar"/>
        </w:rPr>
        <w:t xml:space="preserve">QF </w:t>
      </w:r>
      <w:r>
        <w:t>(par défaut)</w:t>
      </w:r>
      <w:r>
        <w:rPr>
          <w:rStyle w:val="optioncarChar"/>
        </w:rPr>
        <w:t xml:space="preserve"> / QP / PM</w:t>
      </w:r>
    </w:p>
    <w:p w14:paraId="367CA96B" w14:textId="77777777" w:rsidR="00DB2B68" w:rsidRDefault="00000000">
      <w:pPr>
        <w:pStyle w:val="Author-eSectionHeading6Numberless"/>
      </w:pPr>
      <w:bookmarkStart w:id="729" w:name="_Toc220495790"/>
      <w:r>
        <w:t>22.15.3d Planchers à dalles alvéolées en béton précontraint CCTB 01.12</w:t>
      </w:r>
      <w:bookmarkEnd w:id="729"/>
    </w:p>
    <w:p w14:paraId="677C483C" w14:textId="77777777" w:rsidR="00DB2B68" w:rsidRDefault="00000000">
      <w:pPr>
        <w:pStyle w:val="pheading"/>
      </w:pPr>
      <w:r>
        <w:t>DESCRIPTION</w:t>
      </w:r>
    </w:p>
    <w:p w14:paraId="25EC01E3" w14:textId="77777777" w:rsidR="00DB2B68" w:rsidRDefault="00000000">
      <w:pPr>
        <w:pStyle w:val="pheading"/>
      </w:pPr>
      <w:r>
        <w:t>- Définition / Comprend</w:t>
      </w:r>
    </w:p>
    <w:p w14:paraId="6A111E01" w14:textId="77777777" w:rsidR="00DB2B68" w:rsidRDefault="00000000">
      <w:r>
        <w:t>Il s'agit des éléments en béton précontraint dont la préfabrication est obligatoire.</w:t>
      </w:r>
    </w:p>
    <w:p w14:paraId="2DB90393" w14:textId="77777777" w:rsidR="00DB2B68" w:rsidRDefault="00000000">
      <w:pPr>
        <w:pStyle w:val="pheading"/>
      </w:pPr>
      <w:r>
        <w:t>MATÉRIAUX</w:t>
      </w:r>
    </w:p>
    <w:p w14:paraId="2DCAF7DE" w14:textId="77777777" w:rsidR="00DB2B68" w:rsidRDefault="00000000">
      <w:pPr>
        <w:pStyle w:val="pheading"/>
      </w:pPr>
      <w:r>
        <w:t>- Caractéristiques générales</w:t>
      </w:r>
    </w:p>
    <w:p w14:paraId="5E93D4D7" w14:textId="77777777" w:rsidR="00DB2B68" w:rsidRDefault="00000000">
      <w:r>
        <w:t>Les éléments de plancher en béton armé précontraint doivent satisfaire à la [NBN EN 1168+A3] + [NBN B 21-605:2021+A2] . Ils bénéficient d'un certificat de conformité. Le certificat doit être soumis à l'auteur de projet. Des trous pour l'évacuation e l'eau sont réalisés dans leur partie inférieure, afin que l'eau ne puisse stagner dans les vides.</w:t>
      </w:r>
    </w:p>
    <w:p w14:paraId="68592A19" w14:textId="77777777" w:rsidR="00DB2B68" w:rsidRDefault="00000000">
      <w:r>
        <w:rPr>
          <w:u w:val="single"/>
        </w:rPr>
        <w:t>Spécifications - dalles alvéolées</w:t>
      </w:r>
    </w:p>
    <w:p w14:paraId="3FB0F3CC" w14:textId="77777777" w:rsidR="00DB2B68" w:rsidRDefault="00000000">
      <w:pPr>
        <w:pStyle w:val="Author-eListParagraph"/>
        <w:numPr>
          <w:ilvl w:val="0"/>
          <w:numId w:val="476"/>
        </w:numPr>
      </w:pPr>
      <w:r>
        <w:t>Hauteur : </w:t>
      </w:r>
      <w:r>
        <w:rPr>
          <w:rStyle w:val="optioncarChar"/>
        </w:rPr>
        <w:t>12 / 15 / 15 / 16 / 20 / 25 / *** cm / selon les indications sur les plans</w:t>
      </w:r>
      <w:r>
        <w:t> (par défaut) </w:t>
      </w:r>
      <w:r>
        <w:rPr>
          <w:rStyle w:val="optioncarChar"/>
        </w:rPr>
        <w:t>/ ***</w:t>
      </w:r>
    </w:p>
    <w:p w14:paraId="0285B679" w14:textId="77777777" w:rsidR="00DB2B68" w:rsidRDefault="00000000">
      <w:pPr>
        <w:pStyle w:val="Author-eListParagraph"/>
        <w:numPr>
          <w:ilvl w:val="0"/>
          <w:numId w:val="476"/>
        </w:numPr>
      </w:pPr>
      <w:r>
        <w:t>Largeur : </w:t>
      </w:r>
      <w:r>
        <w:rPr>
          <w:rStyle w:val="optioncarChar"/>
        </w:rPr>
        <w:t>30 / 60 / 120 / 240</w:t>
      </w:r>
      <w:r>
        <w:t> cm (ou un multiple) </w:t>
      </w:r>
      <w:r>
        <w:rPr>
          <w:rStyle w:val="optioncarChar"/>
        </w:rPr>
        <w:t>/ selon les indications sur les plans</w:t>
      </w:r>
      <w:r>
        <w:t> (par défaut) </w:t>
      </w:r>
      <w:r>
        <w:rPr>
          <w:rStyle w:val="optioncarChar"/>
        </w:rPr>
        <w:t>/ ***</w:t>
      </w:r>
    </w:p>
    <w:p w14:paraId="5EB5FFDF" w14:textId="77777777" w:rsidR="00DB2B68" w:rsidRDefault="00000000">
      <w:pPr>
        <w:pStyle w:val="Author-eListParagraph"/>
        <w:numPr>
          <w:ilvl w:val="0"/>
          <w:numId w:val="476"/>
        </w:numPr>
      </w:pPr>
      <w:r>
        <w:t>Longueur : </w:t>
      </w:r>
      <w:r>
        <w:rPr>
          <w:rStyle w:val="optioncarChar"/>
        </w:rPr>
        <w:t>*** cm  / soit conformément aux longueurs indiquées sur les plans</w:t>
      </w:r>
      <w:r>
        <w:t> (par défaut)</w:t>
      </w:r>
    </w:p>
    <w:p w14:paraId="0725E589" w14:textId="77777777" w:rsidR="00DB2B68" w:rsidRDefault="00000000">
      <w:r>
        <w:rPr>
          <w:u w:val="single"/>
        </w:rPr>
        <w:t>Spécifications – couche de compression</w:t>
      </w:r>
    </w:p>
    <w:p w14:paraId="53E362E1" w14:textId="77777777" w:rsidR="00DB2B68" w:rsidRDefault="00000000">
      <w:pPr>
        <w:pStyle w:val="Author-eListParagraph"/>
        <w:numPr>
          <w:ilvl w:val="0"/>
          <w:numId w:val="477"/>
        </w:numPr>
      </w:pPr>
      <w:r>
        <w:t xml:space="preserve">Épaisseur de la couche de compression : au moins </w:t>
      </w:r>
      <w:r>
        <w:rPr>
          <w:rStyle w:val="optioncarChar"/>
        </w:rPr>
        <w:t>4 </w:t>
      </w:r>
      <w:r>
        <w:t>(par défaut)</w:t>
      </w:r>
      <w:r>
        <w:rPr>
          <w:rStyle w:val="optioncarChar"/>
        </w:rPr>
        <w:t xml:space="preserve"> / 5 / 6 / ***</w:t>
      </w:r>
      <w:r>
        <w:t xml:space="preserve"> cm.</w:t>
      </w:r>
    </w:p>
    <w:p w14:paraId="55552EB9" w14:textId="77777777" w:rsidR="00DB2B68" w:rsidRDefault="00000000">
      <w:pPr>
        <w:pStyle w:val="Author-eListParagraph"/>
        <w:numPr>
          <w:ilvl w:val="0"/>
          <w:numId w:val="477"/>
        </w:numPr>
      </w:pPr>
      <w:r>
        <w:t xml:space="preserve">La qualité du béton selon la [NBN EN 206:2013+A2] et [NBN B 15-001] est adaptée à l'épaisseur de la couche de compression (voir également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5F383535" w14:textId="77777777">
        <w:tc>
          <w:tcPr>
            <w:tcW w:w="1500" w:type="dxa"/>
            <w:noWrap/>
          </w:tcPr>
          <w:p w14:paraId="3FEE5902" w14:textId="77777777" w:rsidR="00DB2B68" w:rsidRDefault="00000000">
            <w:pPr>
              <w:jc w:val="center"/>
            </w:pPr>
            <w:r>
              <w:rPr>
                <w:b/>
              </w:rPr>
              <w:t>A</w:t>
            </w:r>
          </w:p>
        </w:tc>
        <w:tc>
          <w:tcPr>
            <w:tcW w:w="1500" w:type="dxa"/>
            <w:noWrap/>
          </w:tcPr>
          <w:p w14:paraId="35D9677C" w14:textId="77777777" w:rsidR="00DB2B68" w:rsidRDefault="00000000">
            <w:pPr>
              <w:jc w:val="center"/>
            </w:pPr>
            <w:r>
              <w:rPr>
                <w:b/>
              </w:rPr>
              <w:t>B1</w:t>
            </w:r>
          </w:p>
        </w:tc>
        <w:tc>
          <w:tcPr>
            <w:tcW w:w="1500" w:type="dxa"/>
            <w:noWrap/>
          </w:tcPr>
          <w:p w14:paraId="7063DE01" w14:textId="77777777" w:rsidR="00DB2B68" w:rsidRDefault="00000000">
            <w:pPr>
              <w:jc w:val="center"/>
            </w:pPr>
            <w:r>
              <w:rPr>
                <w:b/>
              </w:rPr>
              <w:t>B2</w:t>
            </w:r>
          </w:p>
        </w:tc>
        <w:tc>
          <w:tcPr>
            <w:tcW w:w="1500" w:type="dxa"/>
            <w:noWrap/>
          </w:tcPr>
          <w:p w14:paraId="4248C406" w14:textId="77777777" w:rsidR="00DB2B68" w:rsidRDefault="00000000">
            <w:pPr>
              <w:jc w:val="center"/>
            </w:pPr>
            <w:r>
              <w:rPr>
                <w:b/>
              </w:rPr>
              <w:t>C</w:t>
            </w:r>
          </w:p>
        </w:tc>
        <w:tc>
          <w:tcPr>
            <w:tcW w:w="1500" w:type="dxa"/>
            <w:noWrap/>
          </w:tcPr>
          <w:p w14:paraId="7C94F72A" w14:textId="77777777" w:rsidR="00DB2B68" w:rsidRDefault="00000000">
            <w:pPr>
              <w:jc w:val="center"/>
            </w:pPr>
            <w:r>
              <w:rPr>
                <w:b/>
              </w:rPr>
              <w:t>D</w:t>
            </w:r>
          </w:p>
        </w:tc>
        <w:tc>
          <w:tcPr>
            <w:tcW w:w="1500" w:type="dxa"/>
            <w:noWrap/>
          </w:tcPr>
          <w:p w14:paraId="79DAF00E" w14:textId="77777777" w:rsidR="00DB2B68" w:rsidRDefault="00000000">
            <w:pPr>
              <w:jc w:val="center"/>
            </w:pPr>
            <w:r>
              <w:rPr>
                <w:b/>
              </w:rPr>
              <w:t>E</w:t>
            </w:r>
          </w:p>
        </w:tc>
      </w:tr>
      <w:tr w:rsidR="00DB2B68" w14:paraId="6DD7BF3D" w14:textId="77777777">
        <w:tc>
          <w:tcPr>
            <w:tcW w:w="1500" w:type="dxa"/>
            <w:noWrap/>
          </w:tcPr>
          <w:p w14:paraId="0A5E104B" w14:textId="77777777" w:rsidR="00DB2B68" w:rsidRDefault="00000000">
            <w:pPr>
              <w:jc w:val="center"/>
            </w:pPr>
            <w:r>
              <w:rPr>
                <w:b/>
              </w:rPr>
              <w:t>Classe de résistance</w:t>
            </w:r>
          </w:p>
        </w:tc>
        <w:tc>
          <w:tcPr>
            <w:tcW w:w="1500" w:type="dxa"/>
            <w:noWrap/>
          </w:tcPr>
          <w:p w14:paraId="55A3BF26" w14:textId="77777777" w:rsidR="00DB2B68" w:rsidRDefault="00000000">
            <w:pPr>
              <w:jc w:val="center"/>
            </w:pPr>
            <w:r>
              <w:rPr>
                <w:b/>
              </w:rPr>
              <w:t>Domaine d’application</w:t>
            </w:r>
          </w:p>
        </w:tc>
        <w:tc>
          <w:tcPr>
            <w:tcW w:w="1500" w:type="dxa"/>
            <w:noWrap/>
          </w:tcPr>
          <w:p w14:paraId="05E8ED99" w14:textId="77777777" w:rsidR="00DB2B68" w:rsidRDefault="00000000">
            <w:pPr>
              <w:jc w:val="center"/>
            </w:pPr>
            <w:r>
              <w:rPr>
                <w:b/>
              </w:rPr>
              <w:t>Classe d'environnement</w:t>
            </w:r>
          </w:p>
        </w:tc>
        <w:tc>
          <w:tcPr>
            <w:tcW w:w="1500" w:type="dxa"/>
            <w:noWrap/>
          </w:tcPr>
          <w:p w14:paraId="53EFC36C" w14:textId="77777777" w:rsidR="00DB2B68" w:rsidRDefault="00000000">
            <w:pPr>
              <w:jc w:val="center"/>
            </w:pPr>
            <w:r>
              <w:rPr>
                <w:b/>
              </w:rPr>
              <w:t>Classe de consistance</w:t>
            </w:r>
          </w:p>
        </w:tc>
        <w:tc>
          <w:tcPr>
            <w:tcW w:w="1500" w:type="dxa"/>
            <w:noWrap/>
          </w:tcPr>
          <w:p w14:paraId="3028F2F5" w14:textId="77777777" w:rsidR="00DB2B68" w:rsidRDefault="00000000">
            <w:pPr>
              <w:jc w:val="center"/>
            </w:pPr>
            <w:r>
              <w:rPr>
                <w:b/>
              </w:rPr>
              <w:t>Granulométrie maximale</w:t>
            </w:r>
          </w:p>
        </w:tc>
        <w:tc>
          <w:tcPr>
            <w:tcW w:w="1500" w:type="dxa"/>
            <w:noWrap/>
          </w:tcPr>
          <w:p w14:paraId="2DFD69FC" w14:textId="77777777" w:rsidR="00DB2B68" w:rsidRDefault="00000000">
            <w:r>
              <w:rPr>
                <w:b/>
              </w:rPr>
              <w:t>Données complémentaires</w:t>
            </w:r>
          </w:p>
        </w:tc>
      </w:tr>
      <w:tr w:rsidR="00DB2B68" w14:paraId="456D3D56" w14:textId="77777777">
        <w:tc>
          <w:tcPr>
            <w:tcW w:w="1500" w:type="dxa"/>
            <w:noWrap/>
          </w:tcPr>
          <w:p w14:paraId="08D06712" w14:textId="77777777" w:rsidR="00DB2B68" w:rsidRDefault="00000000">
            <w:pPr>
              <w:jc w:val="center"/>
            </w:pPr>
            <w:r>
              <w:rPr>
                <w:rStyle w:val="optioncarChar"/>
              </w:rPr>
              <w:t>C25/30 / C30/37 / C35/45 / C45/55 / C50/60 / C55/67 / C60/75 / C70/85 / C80/95 / C90/105</w:t>
            </w:r>
          </w:p>
        </w:tc>
        <w:tc>
          <w:tcPr>
            <w:tcW w:w="1500" w:type="dxa"/>
            <w:noWrap/>
          </w:tcPr>
          <w:p w14:paraId="3E0EE432" w14:textId="77777777" w:rsidR="00DB2B68" w:rsidRDefault="00000000">
            <w:pPr>
              <w:jc w:val="center"/>
            </w:pPr>
            <w:r>
              <w:t>Béton armé</w:t>
            </w:r>
          </w:p>
          <w:p w14:paraId="5C553704" w14:textId="77777777" w:rsidR="00DB2B68" w:rsidRDefault="00DB2B68"/>
        </w:tc>
        <w:tc>
          <w:tcPr>
            <w:tcW w:w="1500" w:type="dxa"/>
            <w:noWrap/>
          </w:tcPr>
          <w:p w14:paraId="4C2C8106" w14:textId="77777777" w:rsidR="00DB2B68" w:rsidRDefault="00000000">
            <w:pPr>
              <w:jc w:val="center"/>
            </w:pPr>
            <w:r>
              <w:rPr>
                <w:rStyle w:val="optioncarChar"/>
              </w:rPr>
              <w:t>E0 / EI / EE1 / EE2 / EE3 / EE4 / ES1 / ES2 / ES3 / ES4 / EA1+*** / EA2+***/ EA3+***</w:t>
            </w:r>
          </w:p>
        </w:tc>
        <w:tc>
          <w:tcPr>
            <w:tcW w:w="1500" w:type="dxa"/>
            <w:noWrap/>
          </w:tcPr>
          <w:p w14:paraId="625EA496" w14:textId="77777777" w:rsidR="00DB2B68" w:rsidRDefault="00000000">
            <w:pPr>
              <w:jc w:val="center"/>
            </w:pPr>
            <w:r>
              <w:t>au choix de l'entrepreneur :</w:t>
            </w:r>
          </w:p>
          <w:p w14:paraId="63DCED6D" w14:textId="77777777" w:rsidR="00DB2B68" w:rsidRDefault="00000000">
            <w:pPr>
              <w:jc w:val="center"/>
            </w:pPr>
            <w:r>
              <w:rPr>
                <w:rStyle w:val="optioncarChar"/>
              </w:rPr>
              <w:t xml:space="preserve">S3 / S4 / S5 </w:t>
            </w:r>
          </w:p>
          <w:p w14:paraId="2D8D4DC2" w14:textId="77777777" w:rsidR="00DB2B68" w:rsidRDefault="00000000">
            <w:pPr>
              <w:jc w:val="center"/>
            </w:pPr>
            <w:r>
              <w:rPr>
                <w:rStyle w:val="optioncarChar"/>
              </w:rPr>
              <w:t>F3 / F4 / F5 / F6</w:t>
            </w:r>
            <w:r>
              <w:br/>
            </w:r>
          </w:p>
        </w:tc>
        <w:tc>
          <w:tcPr>
            <w:tcW w:w="1500" w:type="dxa"/>
            <w:noWrap/>
          </w:tcPr>
          <w:p w14:paraId="20ECD92E" w14:textId="77777777" w:rsidR="00DB2B68" w:rsidRDefault="00000000">
            <w:pPr>
              <w:jc w:val="center"/>
            </w:pPr>
            <w:r>
              <w:t>au choix de l'entrepreneur :</w:t>
            </w:r>
          </w:p>
          <w:p w14:paraId="39547B0D" w14:textId="77777777" w:rsidR="00DB2B68" w:rsidRDefault="00000000">
            <w:pPr>
              <w:jc w:val="center"/>
            </w:pPr>
            <w:r>
              <w:rPr>
                <w:rStyle w:val="optioncarChar"/>
              </w:rPr>
              <w:t>8 / 10 / 11 / 12 / 14 / 16 / 20 / 22 / 32 </w:t>
            </w:r>
            <w:r>
              <w:t>mm</w:t>
            </w:r>
          </w:p>
        </w:tc>
        <w:tc>
          <w:tcPr>
            <w:tcW w:w="1500" w:type="dxa"/>
            <w:noWrap/>
          </w:tcPr>
          <w:p w14:paraId="7901642E" w14:textId="77777777" w:rsidR="00DB2B68" w:rsidRDefault="00000000">
            <w:pPr>
              <w:jc w:val="center"/>
            </w:pPr>
            <w:r>
              <w:rPr>
                <w:rStyle w:val="optioncarChar"/>
              </w:rPr>
              <w:t>***</w:t>
            </w:r>
          </w:p>
        </w:tc>
      </w:tr>
    </w:tbl>
    <w:p w14:paraId="0AD6D334"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6E7125E3" w14:textId="77777777" w:rsidR="00DB2B68" w:rsidRDefault="00000000">
      <w:pPr>
        <w:ind w:left="567"/>
      </w:pPr>
      <w:r>
        <w:t>Données complémentaires propres au béton autoplaçant (E) :</w:t>
      </w:r>
    </w:p>
    <w:p w14:paraId="05C777EB" w14:textId="77777777" w:rsidR="00DB2B68" w:rsidRDefault="00000000">
      <w:pPr>
        <w:pStyle w:val="Author-eListParagraph"/>
        <w:numPr>
          <w:ilvl w:val="0"/>
          <w:numId w:val="478"/>
        </w:numPr>
      </w:pPr>
      <w:r>
        <w:t xml:space="preserve">Classe de viscosité apparente : </w:t>
      </w:r>
      <w:r>
        <w:rPr>
          <w:rStyle w:val="optioncarChar"/>
        </w:rPr>
        <w:t>VS1 / VS2</w:t>
      </w:r>
      <w:r>
        <w:t xml:space="preserve"> (selon la [NBN EN 12350-8] )</w:t>
      </w:r>
    </w:p>
    <w:p w14:paraId="50502EFD" w14:textId="77777777" w:rsidR="00DB2B68" w:rsidRDefault="00000000">
      <w:pPr>
        <w:pStyle w:val="Author-eListParagraph"/>
        <w:numPr>
          <w:ilvl w:val="0"/>
          <w:numId w:val="47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2F2777BA" w14:textId="77777777" w:rsidR="00DB2B68" w:rsidRDefault="00000000">
      <w:pPr>
        <w:pStyle w:val="Author-eListParagraph"/>
        <w:numPr>
          <w:ilvl w:val="0"/>
          <w:numId w:val="47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828EFEB" w14:textId="77777777" w:rsidR="00DB2B68" w:rsidRDefault="00000000">
      <w:pPr>
        <w:pStyle w:val="Author-eListParagraph"/>
        <w:numPr>
          <w:ilvl w:val="0"/>
          <w:numId w:val="479"/>
        </w:numPr>
      </w:pPr>
      <w:r>
        <w:t xml:space="preserve">La résistance caractéristique de la couche de compression est d'au moins </w:t>
      </w:r>
      <w:r>
        <w:rPr>
          <w:rStyle w:val="optioncarChar"/>
        </w:rPr>
        <w:t xml:space="preserve">*** </w:t>
      </w:r>
      <w:r>
        <w:t>N/mm² après 28 jours.</w:t>
      </w:r>
    </w:p>
    <w:p w14:paraId="7588B993" w14:textId="77777777" w:rsidR="00DB2B68" w:rsidRDefault="00000000">
      <w:pPr>
        <w:pStyle w:val="Author-eListParagraph"/>
        <w:numPr>
          <w:ilvl w:val="0"/>
          <w:numId w:val="479"/>
        </w:numPr>
      </w:pPr>
      <w:r>
        <w:lastRenderedPageBreak/>
        <w:t xml:space="preserve">Les armatures de la couche de compression sont au moins constituées d'un treillis soudé, nuance d'acier </w:t>
      </w:r>
      <w:r>
        <w:rPr>
          <w:rStyle w:val="optioncarChar"/>
        </w:rPr>
        <w:t xml:space="preserve">DE 500 BS </w:t>
      </w:r>
      <w:r>
        <w:t>(par défaut)</w:t>
      </w:r>
      <w:r>
        <w:rPr>
          <w:rStyle w:val="optioncarChar"/>
        </w:rPr>
        <w:t xml:space="preserve"> / BE 500 S</w:t>
      </w:r>
      <w:r>
        <w:t xml:space="preserve">, </w:t>
      </w:r>
      <w:r>
        <w:rPr>
          <w:rStyle w:val="optioncarChar"/>
        </w:rPr>
        <w:t xml:space="preserve">150x150x6x6 </w:t>
      </w:r>
      <w:r>
        <w:t>(par défaut) </w:t>
      </w:r>
      <w:r>
        <w:rPr>
          <w:rStyle w:val="optioncarChar"/>
        </w:rPr>
        <w:t xml:space="preserve">/ ***x***x***x*** </w:t>
      </w:r>
      <w:r>
        <w:t>mm</w:t>
      </w:r>
      <w:r>
        <w:rPr>
          <w:rStyle w:val="optioncarChar"/>
        </w:rPr>
        <w:t xml:space="preserve">. </w:t>
      </w:r>
      <w:r>
        <w:t>Les armatures complémentaires sont de qualité BE 500S.</w:t>
      </w:r>
    </w:p>
    <w:p w14:paraId="194426E1" w14:textId="77777777" w:rsidR="00DB2B68" w:rsidRDefault="00000000">
      <w:pPr>
        <w:pStyle w:val="pheading"/>
      </w:pPr>
      <w:r>
        <w:t>- Finitions</w:t>
      </w:r>
    </w:p>
    <w:p w14:paraId="66943D8F" w14:textId="77777777" w:rsidR="00DB2B68" w:rsidRDefault="00000000">
      <w:r>
        <w:t xml:space="preserve">Finition : face inférieure </w:t>
      </w:r>
      <w:r>
        <w:rPr>
          <w:rStyle w:val="optioncarChar"/>
        </w:rPr>
        <w:t>rugueuse / lisse </w:t>
      </w:r>
      <w:r>
        <w:t>(par défaut)</w:t>
      </w:r>
      <w:r>
        <w:rPr>
          <w:rStyle w:val="optioncarChar"/>
        </w:rPr>
        <w:t xml:space="preserve"> / ***</w:t>
      </w:r>
    </w:p>
    <w:p w14:paraId="600A7D26" w14:textId="77777777" w:rsidR="00DB2B68" w:rsidRDefault="00000000">
      <w:pPr>
        <w:pStyle w:val="pheading"/>
      </w:pPr>
      <w:r>
        <w:t>- Prescriptions complémentaires</w:t>
      </w:r>
    </w:p>
    <w:p w14:paraId="0D7011B8" w14:textId="77777777" w:rsidR="00DB2B68" w:rsidRDefault="00000000">
      <w:r>
        <w:t>Les éléments de plancher portent un certificat de conformité.</w:t>
      </w:r>
      <w:r>
        <w:br/>
        <w:t xml:space="preserve">Résistance au feu : pour les éléments porteurs et structuraux sans fonction séparant </w:t>
      </w:r>
      <w:r>
        <w:rPr>
          <w:rStyle w:val="optioncarChar"/>
        </w:rPr>
        <w:t>R15 / R30</w:t>
      </w:r>
      <w:r>
        <w:t> (par défaut)</w:t>
      </w:r>
      <w:r>
        <w:rPr>
          <w:rStyle w:val="optioncarChar"/>
        </w:rPr>
        <w:t xml:space="preserve"> /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t>Support aux prescripteurs : [SWL GSI/T1/C] de la prévention passive</w:t>
      </w:r>
      <w:r>
        <w:br/>
        <w:t xml:space="preserve">La résistance thermique des planchers à dalles alvéolées est d'au moins </w:t>
      </w:r>
      <w:r>
        <w:rPr>
          <w:rStyle w:val="optioncarChar"/>
        </w:rPr>
        <w:t>***</w:t>
      </w:r>
      <w:r>
        <w:t xml:space="preserve"> m²K/W, obtenue à l'aide d'une isolation thermique intégrée.</w:t>
      </w:r>
    </w:p>
    <w:p w14:paraId="1F647D70" w14:textId="77777777" w:rsidR="00DB2B68" w:rsidRDefault="00000000">
      <w:pPr>
        <w:pStyle w:val="pheading"/>
      </w:pPr>
      <w:r>
        <w:t>EXÉCUTION / MISE EN ŒUVRE</w:t>
      </w:r>
    </w:p>
    <w:p w14:paraId="6D2CF100" w14:textId="77777777" w:rsidR="00DB2B68" w:rsidRDefault="00000000">
      <w:pPr>
        <w:pStyle w:val="pheading"/>
      </w:pPr>
      <w:r>
        <w:t>- Prescriptions générales</w:t>
      </w:r>
    </w:p>
    <w:p w14:paraId="7026797E" w14:textId="77777777" w:rsidR="00DB2B68" w:rsidRDefault="00000000">
      <w:r>
        <w:t>La face supérieure de la dalle alvéolée doit correspondre aux cotes de niveau et à l'épaisseur des planchers indiqués sur les plans d'architecture.</w:t>
      </w:r>
      <w:r>
        <w:br/>
        <w:t>Conformément aux prescriptions du fabricant, il faut poser, aux endroits nécessaires, des étais de montage pendant l'exécution de la dalle portante en-dessous des dalles alvéolaires :</w:t>
      </w:r>
    </w:p>
    <w:p w14:paraId="0F0FD794" w14:textId="77777777" w:rsidR="00DB2B68" w:rsidRDefault="00000000">
      <w:pPr>
        <w:pStyle w:val="Author-eListParagraph"/>
        <w:numPr>
          <w:ilvl w:val="0"/>
          <w:numId w:val="480"/>
        </w:numPr>
      </w:pPr>
      <w:r>
        <w:t>largeur d’appui inférieur au minimum (torons dépassants) : toujours à étançonner</w:t>
      </w:r>
    </w:p>
    <w:p w14:paraId="6DCE0588" w14:textId="77777777" w:rsidR="00DB2B68" w:rsidRDefault="00000000">
      <w:pPr>
        <w:pStyle w:val="Author-eListParagraph"/>
        <w:numPr>
          <w:ilvl w:val="0"/>
          <w:numId w:val="480"/>
        </w:numPr>
      </w:pPr>
      <w:r>
        <w:t>éléments avec une découpe &gt; 1/3 de la largeur : toujours à étançonner</w:t>
      </w:r>
    </w:p>
    <w:p w14:paraId="13B71829" w14:textId="77777777" w:rsidR="00DB2B68" w:rsidRDefault="00000000">
      <w:pPr>
        <w:pStyle w:val="Author-eListParagraph"/>
        <w:numPr>
          <w:ilvl w:val="0"/>
          <w:numId w:val="480"/>
        </w:numPr>
      </w:pPr>
      <w:r>
        <w:t>autres : à spécifier par le fabricant</w:t>
      </w:r>
    </w:p>
    <w:p w14:paraId="7226AA25" w14:textId="77777777" w:rsidR="00DB2B68" w:rsidRDefault="00000000">
      <w:r>
        <w:t>En principe, les éléments de plancher sont posés dans un lit de mortier. Lorsque la surface d'appui n'est pas suffisamment plane, comme pour la maçonnerie ou le béton coulé en place, une couche d'égalisation en mortier de ciment est préalablement appliquée. Les surfaces d'appui en béton cellulaire autoclavé, en briques silico-calcaires ou en bois doivent préalablement être recouvertes d'une feuille d'étanchéité.</w:t>
      </w:r>
      <w:r>
        <w:br/>
        <w:t>Après la pose, les bords nus des dalles alvéolées en béton: la finition est à spécifier ^par l'entrepreneur.</w:t>
      </w:r>
      <w:r>
        <w:br/>
        <w:t>Les joints entre les dalles alvéolées doivent être débarrassés de toutes impuretés lorsque la construction reste apparente après la réalisation. Avant de couler le béton, les dalles alvéolées sont abondamment arrosées d'eau.</w:t>
      </w:r>
      <w:r>
        <w:br/>
        <w:t>Le plancher ne peut être mis en charge avant que le béton de remplissage des joints ou de la couche de compression ne soit complètement durci.</w:t>
      </w:r>
      <w:r>
        <w:br/>
        <w:t>La longueur d'appui des dalles alvéolées est conforme aux prescriptions de la [NBN B 21-605:2021+A2]..</w:t>
      </w:r>
      <w:r>
        <w:br/>
        <w:t>La conception des joints et des assemblages externes est déterminée par l'étude de stabilité:</w:t>
      </w:r>
    </w:p>
    <w:p w14:paraId="505A31B2" w14:textId="77777777" w:rsidR="00DB2B68" w:rsidRDefault="00000000">
      <w:r>
        <w:rPr>
          <w:b/>
        </w:rPr>
        <w:t>Choix opéré: </w:t>
      </w:r>
      <w:r>
        <w:rPr>
          <w:rStyle w:val="optioncarChar"/>
        </w:rPr>
        <w:t xml:space="preserve">OPTION 1 </w:t>
      </w:r>
      <w:r>
        <w:t xml:space="preserve">(par défaut) </w:t>
      </w:r>
      <w:r>
        <w:rPr>
          <w:rStyle w:val="optioncarChar"/>
        </w:rPr>
        <w:t>/ OPTION 2 / ***</w:t>
      </w:r>
      <w:r>
        <w:br/>
      </w:r>
      <w:r>
        <w:rPr>
          <w:b/>
        </w:rPr>
        <w:t>OPTION 1:</w:t>
      </w:r>
      <w:r>
        <w:t xml:space="preserve"> Les joints entre les éléments de plancher sont remplis de mortier.</w:t>
      </w:r>
      <w:r>
        <w:br/>
      </w:r>
      <w:r>
        <w:rPr>
          <w:b/>
        </w:rPr>
        <w:t>OPTION 2:</w:t>
      </w:r>
      <w:r>
        <w:t xml:space="preserve"> Les éléments de plancher sont reliés mécaniquement.</w:t>
      </w:r>
    </w:p>
    <w:p w14:paraId="2F315501" w14:textId="77777777" w:rsidR="00DB2B68" w:rsidRDefault="00000000">
      <w:r>
        <w:t>Une couche de compression en béton est appliquée afin de renforcer l'ensemble et de former un seul tout avec les éléments de plancher sous-jacents. A cet effet, on replie au moins 4 barres d'armature par mètre, diamètre 6 mm, des joints entre les dalles alvéolées dans la couche de compression. La couche de compression doit être armée en continu jusque sur les appuis. Les armatures sont posées dans les</w:t>
      </w:r>
      <w:r>
        <w:rPr>
          <w:rStyle w:val="optioncarChar"/>
        </w:rPr>
        <w:t xml:space="preserve"> *** / jointures longitudinales</w:t>
      </w:r>
      <w:r>
        <w:t xml:space="preserve"> (par défaut) </w:t>
      </w:r>
      <w:r>
        <w:rPr>
          <w:rStyle w:val="optioncarChar"/>
        </w:rPr>
        <w:t>/ saignées longitudinales</w:t>
      </w:r>
      <w:r>
        <w:t>.</w:t>
      </w:r>
      <w:r>
        <w:br/>
        <w:t>La couche de compression et ses armatures (treillis d'armature et armatures complémentaires) sont exécutées et posées</w:t>
      </w:r>
    </w:p>
    <w:p w14:paraId="1296CAF4" w14:textId="77777777" w:rsidR="00DB2B68" w:rsidRDefault="00000000">
      <w:r>
        <w:rPr>
          <w:b/>
        </w:rPr>
        <w:lastRenderedPageBreak/>
        <w:t>Choix opéré: </w:t>
      </w:r>
      <w:r>
        <w:rPr>
          <w:rStyle w:val="optioncarChar"/>
        </w:rPr>
        <w:t xml:space="preserve">OPTION 1 </w:t>
      </w:r>
      <w:r>
        <w:t>(par défaut)</w:t>
      </w:r>
      <w:r>
        <w:rPr>
          <w:rStyle w:val="optioncarChar"/>
        </w:rPr>
        <w:t xml:space="preserve"> / OPTION 2 / ***</w:t>
      </w:r>
      <w:r>
        <w:br/>
      </w:r>
      <w:r>
        <w:rPr>
          <w:b/>
        </w:rPr>
        <w:t>OPTION 1</w:t>
      </w:r>
      <w:r>
        <w:t xml:space="preserve"> selon les indications dans l'étude des bétons.</w:t>
      </w:r>
      <w:r>
        <w:br/>
      </w:r>
      <w:r>
        <w:rPr>
          <w:b/>
        </w:rPr>
        <w:t>OPTION 2</w:t>
      </w:r>
      <w:r>
        <w:t xml:space="preserve"> selon les Eurocodes (essentiellement [NBN EN 1990], [NBN EN 1991 série], [NBN EN 1992-1-1] et [NBN EN 1992-1-2]).</w:t>
      </w:r>
    </w:p>
    <w:p w14:paraId="3DF49FF9" w14:textId="77777777" w:rsidR="00DB2B68" w:rsidRDefault="00000000">
      <w:pPr>
        <w:pStyle w:val="pheading"/>
      </w:pPr>
      <w:r>
        <w:t>- Notes d’exécution complémentaires</w:t>
      </w:r>
    </w:p>
    <w:p w14:paraId="6CA9E92C" w14:textId="77777777" w:rsidR="00DB2B68" w:rsidRDefault="00000000">
      <w:r>
        <w:t>Les surfaces d'appui en béton cellulaire autoclavé, en briques silico-calcaires ou en bois doivent préalablement être recouvertes d'une feuille d'étanchéité.</w:t>
      </w:r>
      <w:r>
        <w:br/>
        <w:t>Dans les locaux non destinés à recevoir un revêtement de sol particulier (greniers), la couche de compression est parfaitement lissée.</w:t>
      </w:r>
    </w:p>
    <w:p w14:paraId="4D633565" w14:textId="77777777" w:rsidR="00DB2B68" w:rsidRDefault="00000000">
      <w:pPr>
        <w:pStyle w:val="pheading"/>
      </w:pPr>
      <w:r>
        <w:t>MESURAGE</w:t>
      </w:r>
    </w:p>
    <w:p w14:paraId="720439A2" w14:textId="77777777" w:rsidR="00DB2B68" w:rsidRDefault="00000000">
      <w:r>
        <w:t>Conformément à la nature du plancher, aux indications spécifiques dans le cahier spécial des charges et/ou le métré récapitulatif, le mesurage doit être conçu comme suit :</w:t>
      </w:r>
    </w:p>
    <w:p w14:paraId="2723E2CE" w14:textId="77777777" w:rsidR="00DB2B68" w:rsidRDefault="00000000">
      <w:pPr>
        <w:pStyle w:val="pheading"/>
      </w:pPr>
      <w:r>
        <w:t>- unité de mesure:</w:t>
      </w:r>
    </w:p>
    <w:p w14:paraId="26C0C27E" w14:textId="77777777" w:rsidR="00DB2B68" w:rsidRDefault="00000000">
      <w:r>
        <w:rPr>
          <w:b/>
        </w:rPr>
        <w:t xml:space="preserve">Choix opéré : </w:t>
      </w:r>
      <w:r>
        <w:rPr>
          <w:rStyle w:val="optioncarChar"/>
          <w:b/>
        </w:rPr>
        <w:t>OPTION 1 (par défaut) / OPTION 1bis / OPTION 2 / OPTION 3</w:t>
      </w:r>
    </w:p>
    <w:p w14:paraId="4BF22474" w14:textId="77777777" w:rsidR="00DB2B68" w:rsidRDefault="00000000">
      <w:r>
        <w:rPr>
          <w:b/>
        </w:rPr>
        <w:t xml:space="preserve">OPTION 1 (par défaut): m² </w:t>
      </w:r>
      <w:r>
        <w:t>(pour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236D5753" w14:textId="77777777" w:rsidR="00DB2B68"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34BBD52F" w14:textId="77777777" w:rsidR="00DB2B68" w:rsidRDefault="00000000">
      <w:r>
        <w:rPr>
          <w:b/>
        </w:rPr>
        <w:t>OPTION 2:</w:t>
      </w:r>
    </w:p>
    <w:p w14:paraId="24EE313C" w14:textId="77777777" w:rsidR="00DB2B68" w:rsidRDefault="00000000">
      <w:pPr>
        <w:pStyle w:val="Author-eListParagraph"/>
        <w:numPr>
          <w:ilvl w:val="0"/>
          <w:numId w:val="481"/>
        </w:numPr>
      </w:pPr>
      <w:r>
        <w:t>m³ pour le béton</w:t>
      </w:r>
    </w:p>
    <w:p w14:paraId="60E3975F" w14:textId="77777777" w:rsidR="00DB2B68" w:rsidRDefault="00000000">
      <w:pPr>
        <w:pStyle w:val="Author-eListParagraph"/>
        <w:numPr>
          <w:ilvl w:val="0"/>
          <w:numId w:val="481"/>
        </w:numPr>
      </w:pPr>
      <w:r>
        <w:t>kg pour les armatures</w:t>
      </w:r>
    </w:p>
    <w:p w14:paraId="163309C8" w14:textId="77777777" w:rsidR="00DB2B68" w:rsidRDefault="00000000">
      <w:pPr>
        <w:pStyle w:val="Author-eListParagraph"/>
        <w:numPr>
          <w:ilvl w:val="0"/>
          <w:numId w:val="481"/>
        </w:numPr>
      </w:pPr>
      <w:r>
        <w:t>Tous les autres éléments, travaux et fournitures doivent être compris dans les prix unitaires respectifs pour les mesurages précités.</w:t>
      </w:r>
    </w:p>
    <w:p w14:paraId="3F0AF135" w14:textId="77777777" w:rsidR="00DB2B68" w:rsidRDefault="00000000">
      <w:r>
        <w:rPr>
          <w:b/>
        </w:rPr>
        <w:t xml:space="preserve">OPTION 3: </w:t>
      </w:r>
    </w:p>
    <w:p w14:paraId="21D456E5" w14:textId="77777777" w:rsidR="00DB2B68" w:rsidRDefault="00000000">
      <w:pPr>
        <w:pStyle w:val="Author-eListParagraph"/>
        <w:numPr>
          <w:ilvl w:val="0"/>
          <w:numId w:val="482"/>
        </w:numPr>
      </w:pPr>
      <w:r>
        <w:t>m³ pour le béton de remplissage</w:t>
      </w:r>
    </w:p>
    <w:p w14:paraId="6A166475" w14:textId="77777777" w:rsidR="00DB2B68" w:rsidRDefault="00000000">
      <w:pPr>
        <w:pStyle w:val="Author-eListParagraph"/>
        <w:numPr>
          <w:ilvl w:val="0"/>
          <w:numId w:val="482"/>
        </w:numPr>
      </w:pPr>
      <w:r>
        <w:t>m³ pour la couche de compression béton (en mentionnant l'épaisseur...)</w:t>
      </w:r>
    </w:p>
    <w:p w14:paraId="7818D177" w14:textId="77777777" w:rsidR="00DB2B68" w:rsidRDefault="00000000">
      <w:pPr>
        <w:pStyle w:val="Author-eListParagraph"/>
        <w:numPr>
          <w:ilvl w:val="0"/>
          <w:numId w:val="482"/>
        </w:numPr>
      </w:pPr>
      <w:r>
        <w:t>kg pour les armatures supplémentaires</w:t>
      </w:r>
    </w:p>
    <w:p w14:paraId="6B28B0D3" w14:textId="77777777" w:rsidR="00DB2B68" w:rsidRDefault="00000000">
      <w:pPr>
        <w:pStyle w:val="Author-eListParagraph"/>
        <w:numPr>
          <w:ilvl w:val="0"/>
          <w:numId w:val="482"/>
        </w:numPr>
      </w:pPr>
      <w:r>
        <w:t>Pièces divergentes et pièces spéciales : à la pièce (selon les dimensions identiques ou indications standards).</w:t>
      </w:r>
    </w:p>
    <w:p w14:paraId="13146C64"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118EF4CC" w14:textId="77777777" w:rsidR="00DB2B68" w:rsidRDefault="00000000">
      <w:pPr>
        <w:pStyle w:val="pheading"/>
      </w:pPr>
      <w:r>
        <w:t>- code de mesurage:</w:t>
      </w:r>
    </w:p>
    <w:p w14:paraId="3451FFFD" w14:textId="77777777" w:rsidR="00DB2B68"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48D66A7F" w14:textId="77777777" w:rsidR="00DB2B68" w:rsidRDefault="00000000">
      <w:pPr>
        <w:pStyle w:val="pheading"/>
      </w:pPr>
      <w:r>
        <w:t>- nature du marché:</w:t>
      </w:r>
    </w:p>
    <w:p w14:paraId="64C05EF4" w14:textId="77777777" w:rsidR="00DB2B68" w:rsidRDefault="00000000">
      <w:r>
        <w:rPr>
          <w:rStyle w:val="optioncarChar"/>
        </w:rPr>
        <w:t xml:space="preserve">QF </w:t>
      </w:r>
      <w:r>
        <w:t>(par défaut)</w:t>
      </w:r>
      <w:r>
        <w:rPr>
          <w:rStyle w:val="optioncarChar"/>
        </w:rPr>
        <w:t xml:space="preserve"> / QP / PM</w:t>
      </w:r>
    </w:p>
    <w:p w14:paraId="4307A828" w14:textId="77777777" w:rsidR="00DB2B68" w:rsidRDefault="00000000">
      <w:pPr>
        <w:pStyle w:val="Author-eSectionHeading6Numberless"/>
      </w:pPr>
      <w:bookmarkStart w:id="730" w:name="_Toc220495791"/>
      <w:r>
        <w:t>22.15.3e Planchers en éléments de béton cellulaire CCTB 01.11</w:t>
      </w:r>
      <w:bookmarkEnd w:id="730"/>
    </w:p>
    <w:p w14:paraId="17CAE77E" w14:textId="77777777" w:rsidR="00DB2B68" w:rsidRDefault="00000000">
      <w:pPr>
        <w:pStyle w:val="pheading"/>
      </w:pPr>
      <w:r>
        <w:lastRenderedPageBreak/>
        <w:t>MATÉRIAUX</w:t>
      </w:r>
    </w:p>
    <w:p w14:paraId="5E1F81E5" w14:textId="77777777" w:rsidR="00DB2B68" w:rsidRDefault="00000000">
      <w:pPr>
        <w:pStyle w:val="pheading"/>
      </w:pPr>
      <w:r>
        <w:t>- Caractéristiques générales</w:t>
      </w:r>
    </w:p>
    <w:p w14:paraId="79C72613" w14:textId="77777777" w:rsidR="00DB2B68" w:rsidRDefault="00000000">
      <w:r>
        <w:t>Les éléments de plancher pleins préfabriqués en béton cellulaire autoclavé sont fabriqués à base de sable siliceux, ciment, chaux de bonne qualité et de poudre d'aluminium. Le mélange est coulé dans un moule et durci en autoclave. Les éléments sont armés à l'aide des treillis soudé posés en partie supérieure et inférieure, qualité de l'acier BE 500, préalablement traité avec un produit antirouille. Les éléments de plancher portent un certificat de conformité pour l'application concernée. Les éléments de plancher répondent aux prescriptions de la [NBN EN 12602] + [NBN B 21-004] - complétées par :</w:t>
      </w:r>
    </w:p>
    <w:p w14:paraId="680C98B7" w14:textId="77777777" w:rsidR="00DB2B68" w:rsidRDefault="00000000">
      <w:pPr>
        <w:pStyle w:val="heading"/>
      </w:pPr>
      <w:r>
        <w:t>Spécifications</w:t>
      </w:r>
    </w:p>
    <w:p w14:paraId="464BA163" w14:textId="77777777" w:rsidR="00DB2B68" w:rsidRDefault="00000000">
      <w:pPr>
        <w:pStyle w:val="Author-eListParagraph"/>
        <w:numPr>
          <w:ilvl w:val="0"/>
          <w:numId w:val="483"/>
        </w:numPr>
      </w:pPr>
      <w:r>
        <w:t xml:space="preserve">Qualité classe : </w:t>
      </w:r>
      <w:r>
        <w:rPr>
          <w:rStyle w:val="optioncarChar"/>
        </w:rPr>
        <w:t>C3-500 / CC4-600 / ***</w:t>
      </w:r>
    </w:p>
    <w:p w14:paraId="5E7B24EF" w14:textId="77777777" w:rsidR="00DB2B68" w:rsidRDefault="00000000">
      <w:pPr>
        <w:pStyle w:val="Author-eListParagraph"/>
        <w:numPr>
          <w:ilvl w:val="0"/>
          <w:numId w:val="483"/>
        </w:numPr>
      </w:pPr>
      <w:r>
        <w:t>Masse volumique :</w:t>
      </w:r>
      <w:r>
        <w:rPr>
          <w:rStyle w:val="optioncarChar"/>
        </w:rPr>
        <w:t> 550 </w:t>
      </w:r>
      <w:r>
        <w:t>(par défaut)</w:t>
      </w:r>
      <w:r>
        <w:rPr>
          <w:rStyle w:val="optioncarChar"/>
        </w:rPr>
        <w:t xml:space="preserve"> / 750 / ***</w:t>
      </w:r>
      <w:r>
        <w:t xml:space="preserve"> kg/m³.</w:t>
      </w:r>
    </w:p>
    <w:p w14:paraId="3544DA17" w14:textId="77777777" w:rsidR="00DB2B68" w:rsidRDefault="00000000">
      <w:pPr>
        <w:pStyle w:val="Author-eListParagraph"/>
        <w:numPr>
          <w:ilvl w:val="0"/>
          <w:numId w:val="483"/>
        </w:numPr>
      </w:pPr>
      <w:r>
        <w:t>Hauteur : </w:t>
      </w:r>
      <w:r>
        <w:rPr>
          <w:rStyle w:val="optioncarChar"/>
        </w:rPr>
        <w:t>10 </w:t>
      </w:r>
      <w:r>
        <w:t>(par défaut)</w:t>
      </w:r>
      <w:r>
        <w:rPr>
          <w:rStyle w:val="optioncarChar"/>
        </w:rPr>
        <w:t xml:space="preserve"> / 12 / 15 / 20 / 25 / 30 / *** </w:t>
      </w:r>
      <w:r>
        <w:t>cm.</w:t>
      </w:r>
    </w:p>
    <w:p w14:paraId="2D6F6219" w14:textId="77777777" w:rsidR="00DB2B68" w:rsidRDefault="00000000">
      <w:pPr>
        <w:pStyle w:val="Author-eListParagraph"/>
        <w:numPr>
          <w:ilvl w:val="0"/>
          <w:numId w:val="483"/>
        </w:numPr>
      </w:pPr>
      <w:r>
        <w:t xml:space="preserve">Largeur : </w:t>
      </w:r>
      <w:r>
        <w:rPr>
          <w:rStyle w:val="optioncarChar"/>
        </w:rPr>
        <w:t>60 </w:t>
      </w:r>
      <w:r>
        <w:t xml:space="preserve">(par défaut) </w:t>
      </w:r>
      <w:r>
        <w:rPr>
          <w:rStyle w:val="optioncarChar"/>
        </w:rPr>
        <w:t>/ 75 / *** </w:t>
      </w:r>
      <w:r>
        <w:t>cm.</w:t>
      </w:r>
    </w:p>
    <w:p w14:paraId="25132656" w14:textId="77777777" w:rsidR="00DB2B68" w:rsidRDefault="00000000">
      <w:pPr>
        <w:pStyle w:val="Author-eListParagraph"/>
        <w:numPr>
          <w:ilvl w:val="0"/>
          <w:numId w:val="483"/>
        </w:numPr>
      </w:pPr>
      <w:r>
        <w:t xml:space="preserve">Longueur : </w:t>
      </w:r>
      <w:r>
        <w:rPr>
          <w:rStyle w:val="optioncarChar"/>
        </w:rPr>
        <w:t>***</w:t>
      </w:r>
      <w:r>
        <w:t xml:space="preserve"> cm (soit en fonction des longueurs des portées et des appuis selon les indications sur le plan)</w:t>
      </w:r>
    </w:p>
    <w:p w14:paraId="6AB26F21" w14:textId="77777777" w:rsidR="00DB2B68" w:rsidRDefault="00000000">
      <w:pPr>
        <w:pStyle w:val="pheading"/>
      </w:pPr>
      <w:r>
        <w:t>- Prescriptions complémentaires</w:t>
      </w:r>
    </w:p>
    <w:p w14:paraId="5A5E468A" w14:textId="77777777" w:rsidR="00DB2B68" w:rsidRDefault="00000000">
      <w:r>
        <w:t>Les côtés longitudinaux des éléments sont pourvus d'une rainure en vue de l'assemblage à l'aide de joints coulés.</w:t>
      </w:r>
      <w:r>
        <w:br/>
        <w:t xml:space="preserve">Résistance au feu : pour les éléments porteurs et structurels sans fonction séparant </w:t>
      </w:r>
      <w:r>
        <w:rPr>
          <w:rStyle w:val="optioncarChar"/>
        </w:rPr>
        <w:t>R15 / R30 </w:t>
      </w:r>
      <w:r>
        <w:t>(par défaut)</w:t>
      </w:r>
      <w:r>
        <w:rPr>
          <w:rStyle w:val="optioncarChar"/>
        </w:rPr>
        <w:t xml:space="preserve"> / R60 / R120 / R *** / ***</w:t>
      </w:r>
      <w:r>
        <w:t xml:space="preserve"> et pour les éléments porteurs et structurels avec fonction séparant </w:t>
      </w:r>
      <w:r>
        <w:rPr>
          <w:rStyle w:val="optioncarChar"/>
        </w:rPr>
        <w:t>REI 30</w:t>
      </w:r>
      <w:r>
        <w:t xml:space="preserve"> (par défaut) </w:t>
      </w:r>
      <w:r>
        <w:rPr>
          <w:rStyle w:val="optioncarChar"/>
        </w:rPr>
        <w:t>/ REI 60 / REI 120 / REI *** / ***</w:t>
      </w:r>
      <w:r>
        <w:br/>
        <w:t>Support aux prescripteurs : [SWL GSI/T1/C] de la prévention passive</w:t>
      </w:r>
    </w:p>
    <w:p w14:paraId="6DC4F824" w14:textId="77777777" w:rsidR="00DB2B68" w:rsidRDefault="00000000">
      <w:pPr>
        <w:pStyle w:val="pheading"/>
      </w:pPr>
      <w:r>
        <w:t>EXÉCUTION / MISE EN ŒUVRE</w:t>
      </w:r>
    </w:p>
    <w:p w14:paraId="38707F61" w14:textId="77777777" w:rsidR="00DB2B68" w:rsidRDefault="00000000">
      <w:pPr>
        <w:pStyle w:val="pheading"/>
      </w:pPr>
      <w:r>
        <w:t>- Prescriptions générales</w:t>
      </w:r>
    </w:p>
    <w:p w14:paraId="4ED38148" w14:textId="77777777" w:rsidR="00DB2B68" w:rsidRDefault="00000000">
      <w:r>
        <w:t>L'entrepreneur soumet le calcul des éléments et des armatures pour approbation.</w:t>
      </w:r>
      <w:r>
        <w:br/>
        <w:t>En ce qui concerne le traitement, la pose, les appuis et l'ancrage des éléments, l'entrepreneur respecte les prescriptions du producteur des éléments.</w:t>
      </w:r>
      <w:r>
        <w:br/>
        <w:t>Une attention particulière est accordée à la protection contre les salissures et les influences atmosphériques aussi bien pendant le transport et l'entreposage qu'au moment de la mise en œuvre des plaques.</w:t>
      </w:r>
      <w:r>
        <w:br/>
        <w:t>Pour la mise en œuvre des éléments préfabriqués, il y a lieu de tenir compte des prescriptions de :</w:t>
      </w:r>
    </w:p>
    <w:p w14:paraId="23138737" w14:textId="77777777" w:rsidR="00DB2B68" w:rsidRDefault="00000000">
      <w:pPr>
        <w:pStyle w:val="Author-eListParagraph"/>
        <w:numPr>
          <w:ilvl w:val="0"/>
          <w:numId w:val="484"/>
        </w:numPr>
      </w:pPr>
      <w:r>
        <w:t>la [NBN EN 1739, Détermination de la résistance au cisaillement des jonctions entre des éléments préfabriqués réalisés en béton cellulaire autoclavé ou en béton de granulats légers à structure ouverte, sous l'effet de forces agissant dans le plan des éléments]</w:t>
      </w:r>
    </w:p>
    <w:p w14:paraId="3F371D93" w14:textId="77777777" w:rsidR="00DB2B68" w:rsidRDefault="00000000">
      <w:pPr>
        <w:pStyle w:val="Author-eListParagraph"/>
        <w:numPr>
          <w:ilvl w:val="0"/>
          <w:numId w:val="484"/>
        </w:numPr>
      </w:pPr>
      <w:r>
        <w:t>la [NBN EN 1741, Détermination de la résistance au cisaillement des jonctions entre les éléments préfabriqués réalisés en béton cellulaire autoclavé ou en béton de granulats légers à structure ouverte, sous l'effet de forces agissant en dehors du plan des éléments]</w:t>
      </w:r>
    </w:p>
    <w:p w14:paraId="40766D04" w14:textId="77777777" w:rsidR="00DB2B68" w:rsidRDefault="00000000">
      <w:pPr>
        <w:pStyle w:val="Author-eListParagraph"/>
        <w:numPr>
          <w:ilvl w:val="0"/>
          <w:numId w:val="484"/>
        </w:numPr>
      </w:pPr>
      <w:r>
        <w:t>la [NBN EN 1742, Détermination de la résistance au cisaillement entre les différentes couches d'éléments multicouches réalisés en béton cellulaire autoclavé ou en béton de granulats légers à structure ouverte]</w:t>
      </w:r>
    </w:p>
    <w:p w14:paraId="1A40F96A" w14:textId="77777777" w:rsidR="00DB2B68" w:rsidRDefault="00000000">
      <w:pPr>
        <w:pStyle w:val="pheading"/>
      </w:pPr>
      <w:r>
        <w:t>- Notes d’exécution complémentaires</w:t>
      </w:r>
    </w:p>
    <w:p w14:paraId="49AD0B82" w14:textId="77777777" w:rsidR="00DB2B68" w:rsidRDefault="00000000">
      <w:pPr>
        <w:pStyle w:val="Author-eListParagraph"/>
        <w:numPr>
          <w:ilvl w:val="0"/>
          <w:numId w:val="485"/>
        </w:numPr>
      </w:pPr>
      <w:r>
        <w:t xml:space="preserve">Les éléments particuliers suivants doivent être prévus : </w:t>
      </w:r>
    </w:p>
    <w:p w14:paraId="0E9F5651" w14:textId="77777777" w:rsidR="00DB2B68" w:rsidRDefault="00000000">
      <w:pPr>
        <w:pStyle w:val="Author-eListParagraph"/>
        <w:numPr>
          <w:ilvl w:val="1"/>
          <w:numId w:val="486"/>
        </w:numPr>
      </w:pPr>
      <w:r>
        <w:t>plaques de longueur non standard</w:t>
      </w:r>
    </w:p>
    <w:p w14:paraId="11BF1DF9" w14:textId="77777777" w:rsidR="00DB2B68" w:rsidRDefault="00000000">
      <w:pPr>
        <w:pStyle w:val="Author-eListParagraph"/>
        <w:numPr>
          <w:ilvl w:val="1"/>
          <w:numId w:val="486"/>
        </w:numPr>
      </w:pPr>
      <w:r>
        <w:t>plaques à section oblique</w:t>
      </w:r>
    </w:p>
    <w:p w14:paraId="6BED83F0" w14:textId="77777777" w:rsidR="00DB2B68" w:rsidRDefault="00000000">
      <w:pPr>
        <w:pStyle w:val="Author-eListParagraph"/>
        <w:numPr>
          <w:ilvl w:val="1"/>
          <w:numId w:val="486"/>
        </w:numPr>
      </w:pPr>
      <w:r>
        <w:t>plaques avec vides et réservations. Ces réservations ne peuvent pas excéder 1/3 de la largeur des plaques.</w:t>
      </w:r>
    </w:p>
    <w:p w14:paraId="11EB8E05" w14:textId="77777777" w:rsidR="00DB2B68" w:rsidRDefault="00000000">
      <w:pPr>
        <w:pStyle w:val="Author-eListParagraph"/>
        <w:numPr>
          <w:ilvl w:val="1"/>
          <w:numId w:val="486"/>
        </w:numPr>
      </w:pPr>
      <w:r>
        <w:t>plaques renforcées pour la reprise des charges concentrées.</w:t>
      </w:r>
    </w:p>
    <w:p w14:paraId="14B404CD" w14:textId="77777777" w:rsidR="00DB2B68" w:rsidRDefault="00000000">
      <w:pPr>
        <w:pStyle w:val="Author-eListParagraph"/>
        <w:numPr>
          <w:ilvl w:val="1"/>
          <w:numId w:val="486"/>
        </w:numPr>
      </w:pPr>
      <w:r>
        <w:t>plaques à encorbellement</w:t>
      </w:r>
    </w:p>
    <w:p w14:paraId="5928DBAD" w14:textId="77777777" w:rsidR="00DB2B68" w:rsidRDefault="00000000">
      <w:pPr>
        <w:pStyle w:val="pheading"/>
      </w:pPr>
      <w:r>
        <w:lastRenderedPageBreak/>
        <w:t>DOCUMENTS DE RÉFÉRENCE COMPLÉMENTAIRES</w:t>
      </w:r>
    </w:p>
    <w:p w14:paraId="0F806653" w14:textId="77777777" w:rsidR="00DB2B68" w:rsidRDefault="00000000">
      <w:pPr>
        <w:pStyle w:val="pheading"/>
      </w:pPr>
      <w:r>
        <w:t>- Matériau</w:t>
      </w:r>
    </w:p>
    <w:p w14:paraId="4BE235E6" w14:textId="77777777" w:rsidR="00DB2B68" w:rsidRDefault="00000000">
      <w:r>
        <w:t>[NBN EN 989, Détermination par un essai d'adhérence par poussée du comportement d'adhérence entre les armatures et le béton cellulaire autoclavé]</w:t>
      </w:r>
    </w:p>
    <w:p w14:paraId="403A97CA" w14:textId="77777777" w:rsidR="00DB2B68" w:rsidRDefault="00000000">
      <w:r>
        <w:t>[NBN EN 990, Méthodes d'essai pour la vérification de la protection contre la corrosion des armatures dans le béton cellulaire autoclavé et le béton de granulats légers à structure ouverte]</w:t>
      </w:r>
    </w:p>
    <w:p w14:paraId="22DDF50E" w14:textId="77777777" w:rsidR="00DB2B68" w:rsidRDefault="00000000">
      <w:r>
        <w:rPr>
          <w:shd w:val="clear" w:color="auto" w:fill="FFFFFF"/>
        </w:rPr>
        <w:t>[NBN EN 991, Détermination des dimensions de composants préfabriqués armés en béton cellulaire autoclavé ou en béton de granulats légers à structure ouverte]</w:t>
      </w:r>
    </w:p>
    <w:p w14:paraId="380ED74E" w14:textId="77777777" w:rsidR="00DB2B68" w:rsidRDefault="00000000">
      <w:pPr>
        <w:pStyle w:val="pheading"/>
      </w:pPr>
      <w:r>
        <w:t>MESURAGE</w:t>
      </w:r>
    </w:p>
    <w:p w14:paraId="2C668E2C" w14:textId="77777777" w:rsidR="00DB2B68" w:rsidRDefault="00000000">
      <w:r>
        <w:t>Conformément à la nature du plancher, aux indications spécifiques dans le cahier spécial des charges et/ou le métré récapitulatif, le mesurage doit être conçu comme suit :</w:t>
      </w:r>
    </w:p>
    <w:p w14:paraId="756908B8" w14:textId="77777777" w:rsidR="00DB2B68" w:rsidRDefault="00000000">
      <w:pPr>
        <w:pStyle w:val="pheading"/>
      </w:pPr>
      <w:r>
        <w:t>- unité de mesure:</w:t>
      </w:r>
    </w:p>
    <w:p w14:paraId="598079C5" w14:textId="77777777" w:rsidR="00DB2B68" w:rsidRDefault="00000000">
      <w:r>
        <w:rPr>
          <w:b/>
        </w:rPr>
        <w:t>Choix opéré</w:t>
      </w:r>
      <w:r>
        <w:t xml:space="preserve"> : </w:t>
      </w:r>
      <w:r>
        <w:rPr>
          <w:rStyle w:val="optioncarChar"/>
        </w:rPr>
        <w:t xml:space="preserve">OPTION 1 </w:t>
      </w:r>
      <w:r>
        <w:t>(par défaut)</w:t>
      </w:r>
      <w:r>
        <w:rPr>
          <w:rStyle w:val="optioncarChar"/>
        </w:rPr>
        <w:t xml:space="preserve"> / OPTION 1bis / OPTION 2 / OPTION 3</w:t>
      </w:r>
    </w:p>
    <w:p w14:paraId="30CC6F62" w14:textId="77777777" w:rsidR="00DB2B68" w:rsidRDefault="0000000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w:t>
      </w:r>
    </w:p>
    <w:p w14:paraId="2DD9BCE6" w14:textId="77777777" w:rsidR="00DB2B68"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1530832C" w14:textId="77777777" w:rsidR="00DB2B68" w:rsidRDefault="00000000">
      <w:r>
        <w:rPr>
          <w:b/>
        </w:rPr>
        <w:t>OPTION 2:</w:t>
      </w:r>
    </w:p>
    <w:p w14:paraId="0124EAA2" w14:textId="77777777" w:rsidR="00DB2B68" w:rsidRDefault="00000000">
      <w:pPr>
        <w:pStyle w:val="Author-eListParagraph"/>
        <w:numPr>
          <w:ilvl w:val="0"/>
          <w:numId w:val="487"/>
        </w:numPr>
      </w:pPr>
      <w:r>
        <w:t>m³ pour le béton</w:t>
      </w:r>
    </w:p>
    <w:p w14:paraId="0049EC72" w14:textId="77777777" w:rsidR="00DB2B68" w:rsidRDefault="00000000">
      <w:pPr>
        <w:pStyle w:val="Author-eListParagraph"/>
        <w:numPr>
          <w:ilvl w:val="0"/>
          <w:numId w:val="487"/>
        </w:numPr>
      </w:pPr>
      <w:r>
        <w:t>kg pour les armatures</w:t>
      </w:r>
    </w:p>
    <w:p w14:paraId="2F008F9B" w14:textId="77777777" w:rsidR="00DB2B68" w:rsidRDefault="00000000">
      <w:pPr>
        <w:pStyle w:val="Author-eListParagraph"/>
        <w:numPr>
          <w:ilvl w:val="0"/>
          <w:numId w:val="487"/>
        </w:numPr>
      </w:pPr>
      <w:r>
        <w:t>Tous les autres éléments, travaux et fournitures doivent être compris dans les prix unitaires respectifs pour les mesurages précités.</w:t>
      </w:r>
    </w:p>
    <w:p w14:paraId="43920982" w14:textId="77777777" w:rsidR="00DB2B68" w:rsidRDefault="00000000">
      <w:r>
        <w:rPr>
          <w:b/>
        </w:rPr>
        <w:t>OPTION 3:</w:t>
      </w:r>
    </w:p>
    <w:p w14:paraId="54838649" w14:textId="77777777" w:rsidR="00DB2B68" w:rsidRDefault="00000000">
      <w:pPr>
        <w:pStyle w:val="Author-eListParagraph"/>
        <w:numPr>
          <w:ilvl w:val="0"/>
          <w:numId w:val="488"/>
        </w:numPr>
      </w:pPr>
      <w:r>
        <w:t>m³ pour le béton de remplissage</w:t>
      </w:r>
    </w:p>
    <w:p w14:paraId="54C371FD" w14:textId="77777777" w:rsidR="00DB2B68" w:rsidRDefault="00000000">
      <w:pPr>
        <w:pStyle w:val="Author-eListParagraph"/>
        <w:numPr>
          <w:ilvl w:val="0"/>
          <w:numId w:val="488"/>
        </w:numPr>
      </w:pPr>
      <w:r>
        <w:t>m³ pour la couche de compression béton (en mentionnant l'épaisseur...)</w:t>
      </w:r>
    </w:p>
    <w:p w14:paraId="68F8DE16" w14:textId="77777777" w:rsidR="00DB2B68" w:rsidRDefault="00000000">
      <w:pPr>
        <w:pStyle w:val="Author-eListParagraph"/>
        <w:numPr>
          <w:ilvl w:val="0"/>
          <w:numId w:val="488"/>
        </w:numPr>
      </w:pPr>
      <w:r>
        <w:t>kg pour les armatures supplémentaires</w:t>
      </w:r>
    </w:p>
    <w:p w14:paraId="2E6CD067" w14:textId="77777777" w:rsidR="00DB2B68" w:rsidRDefault="00000000">
      <w:pPr>
        <w:pStyle w:val="Author-eListParagraph"/>
        <w:numPr>
          <w:ilvl w:val="0"/>
          <w:numId w:val="488"/>
        </w:numPr>
      </w:pPr>
      <w:r>
        <w:t>Pièces divergentes et pièces spéciales : à la pièce (selon les dimensions identiques ou indications standards).</w:t>
      </w:r>
    </w:p>
    <w:p w14:paraId="1F83D42A"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1F6F1372" w14:textId="77777777" w:rsidR="00DB2B68" w:rsidRDefault="00000000">
      <w:pPr>
        <w:pStyle w:val="pheading"/>
      </w:pPr>
      <w:r>
        <w:t>- code de mesurage:</w:t>
      </w:r>
    </w:p>
    <w:p w14:paraId="0349BB22" w14:textId="77777777" w:rsidR="00DB2B68"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3E9CBC1A" w14:textId="77777777" w:rsidR="00DB2B68" w:rsidRDefault="00000000">
      <w:pPr>
        <w:pStyle w:val="pheading"/>
      </w:pPr>
      <w:r>
        <w:t>- nature du marché:</w:t>
      </w:r>
    </w:p>
    <w:p w14:paraId="1DE9067E" w14:textId="77777777" w:rsidR="00DB2B68" w:rsidRDefault="00000000">
      <w:r>
        <w:rPr>
          <w:rStyle w:val="optioncarChar"/>
        </w:rPr>
        <w:t xml:space="preserve">QF </w:t>
      </w:r>
      <w:r>
        <w:t>(par défaut)</w:t>
      </w:r>
      <w:r>
        <w:rPr>
          <w:rStyle w:val="optioncarChar"/>
        </w:rPr>
        <w:t xml:space="preserve"> / QP / PM</w:t>
      </w:r>
    </w:p>
    <w:p w14:paraId="0FAAE079" w14:textId="77777777" w:rsidR="00DB2B68" w:rsidRDefault="00000000">
      <w:pPr>
        <w:pStyle w:val="Author-eSectionHeading6Numberless"/>
      </w:pPr>
      <w:bookmarkStart w:id="731" w:name="_Toc220495792"/>
      <w:r>
        <w:t>22.15.3f Planchers à tables de béton armé à double T CCTB 01.11</w:t>
      </w:r>
      <w:bookmarkEnd w:id="731"/>
    </w:p>
    <w:p w14:paraId="29724D7D" w14:textId="77777777" w:rsidR="00DB2B68" w:rsidRDefault="00000000">
      <w:pPr>
        <w:pStyle w:val="pheading"/>
      </w:pPr>
      <w:r>
        <w:lastRenderedPageBreak/>
        <w:t>DESCRIPTION</w:t>
      </w:r>
    </w:p>
    <w:p w14:paraId="21136B7C" w14:textId="77777777" w:rsidR="00DB2B68" w:rsidRDefault="00000000">
      <w:pPr>
        <w:pStyle w:val="pheading"/>
      </w:pPr>
      <w:r>
        <w:t>- Définition / Comprend</w:t>
      </w:r>
    </w:p>
    <w:p w14:paraId="010F3AEF" w14:textId="77777777" w:rsidR="00DB2B68" w:rsidRDefault="00000000">
      <w:pPr>
        <w:jc w:val="both"/>
      </w:pPr>
      <w:r>
        <w:t>Il s'agit de planchers préfabriqués en béton armé constitués de deux nervures reliées les unes aux autres par une dalle. Ils permettent de franchir de longues portées et sont, en principe, destinés à recevoir une couche de compression. Ils sont juxtaposés les uns à côté des autres directement sur la structure de support et les joints entre les éléments sont remplis de mortier ou de béton de remplissage.</w:t>
      </w:r>
    </w:p>
    <w:p w14:paraId="40548FDB" w14:textId="77777777" w:rsidR="00DB2B68" w:rsidRDefault="00000000">
      <w:pPr>
        <w:pStyle w:val="pheading"/>
      </w:pPr>
      <w:r>
        <w:t>MATÉRIAUX</w:t>
      </w:r>
    </w:p>
    <w:p w14:paraId="071FA4C6" w14:textId="77777777" w:rsidR="00DB2B68" w:rsidRDefault="00000000">
      <w:pPr>
        <w:pStyle w:val="pheading"/>
      </w:pPr>
      <w:r>
        <w:t>- Caractéristiques générales</w:t>
      </w:r>
    </w:p>
    <w:p w14:paraId="6400E132" w14:textId="77777777" w:rsidR="00DB2B68" w:rsidRDefault="00000000">
      <w:pPr>
        <w:jc w:val="both"/>
      </w:pPr>
      <w:r>
        <w:rPr>
          <w:b/>
        </w:rPr>
        <w:t>Plancher</w:t>
      </w:r>
    </w:p>
    <w:p w14:paraId="10CC2DE2" w14:textId="77777777" w:rsidR="00DB2B68" w:rsidRDefault="00000000">
      <w:pPr>
        <w:pStyle w:val="Author-eListParagraph"/>
        <w:numPr>
          <w:ilvl w:val="0"/>
          <w:numId w:val="489"/>
        </w:numPr>
      </w:pPr>
      <w:r>
        <w:t xml:space="preserve">Hauteur : </w:t>
      </w:r>
      <w:r>
        <w:rPr>
          <w:rStyle w:val="optioncarChar"/>
        </w:rPr>
        <w:t>selon les indications sur les plans</w:t>
      </w:r>
      <w:r>
        <w:t xml:space="preserve"> (par défaut) </w:t>
      </w:r>
      <w:r>
        <w:rPr>
          <w:rStyle w:val="optioncarChar"/>
        </w:rPr>
        <w:t>/ 30 / 40 / 50 / 60 / 70 / ***</w:t>
      </w:r>
      <w:r>
        <w:t xml:space="preserve"> cm.</w:t>
      </w:r>
    </w:p>
    <w:p w14:paraId="0408EE1A" w14:textId="77777777" w:rsidR="00DB2B68" w:rsidRDefault="00000000">
      <w:pPr>
        <w:pStyle w:val="Author-eListParagraph"/>
        <w:numPr>
          <w:ilvl w:val="0"/>
          <w:numId w:val="489"/>
        </w:numPr>
      </w:pPr>
      <w:r>
        <w:t xml:space="preserve">Largeur : </w:t>
      </w:r>
      <w:r>
        <w:rPr>
          <w:rStyle w:val="optioncarChar"/>
        </w:rPr>
        <w:t>de 150 à 250</w:t>
      </w:r>
      <w:r>
        <w:t xml:space="preserve"> (par défaut)</w:t>
      </w:r>
      <w:r>
        <w:rPr>
          <w:rStyle w:val="optioncarChar"/>
        </w:rPr>
        <w:t xml:space="preserve"> / ***</w:t>
      </w:r>
      <w:r>
        <w:t xml:space="preserve"> cm selon les plans de préfabrication établis par le fabricant et à soumettre à l’approbation de l'auteur de projet et du bureau d’études en stabilité.</w:t>
      </w:r>
    </w:p>
    <w:p w14:paraId="65A31B5B" w14:textId="77777777" w:rsidR="00DB2B68" w:rsidRDefault="00000000">
      <w:pPr>
        <w:pStyle w:val="Author-eListParagraph"/>
        <w:numPr>
          <w:ilvl w:val="0"/>
          <w:numId w:val="489"/>
        </w:numPr>
      </w:pPr>
      <w:r>
        <w:t xml:space="preserve">Longueur : </w:t>
      </w:r>
      <w:r>
        <w:rPr>
          <w:rStyle w:val="optioncarChar"/>
        </w:rPr>
        <w:t>selon les indications sur les plans</w:t>
      </w:r>
      <w:r>
        <w:t xml:space="preserve"> (par défaut)</w:t>
      </w:r>
      <w:r>
        <w:rPr>
          <w:rStyle w:val="optioncarChar"/>
        </w:rPr>
        <w:t xml:space="preserve"> / ***</w:t>
      </w:r>
      <w:r>
        <w:t xml:space="preserve"> cm.</w:t>
      </w:r>
    </w:p>
    <w:p w14:paraId="3D5D6FF0" w14:textId="77777777" w:rsidR="00DB2B68" w:rsidRDefault="00000000">
      <w:pPr>
        <w:jc w:val="both"/>
      </w:pPr>
      <w:r>
        <w:rPr>
          <w:b/>
        </w:rPr>
        <w:t>Remplissage des joints</w:t>
      </w:r>
    </w:p>
    <w:p w14:paraId="449C2A05" w14:textId="77777777" w:rsidR="00DB2B68" w:rsidRDefault="00000000">
      <w:pPr>
        <w:pStyle w:val="Author-eListParagraph"/>
        <w:numPr>
          <w:ilvl w:val="0"/>
          <w:numId w:val="490"/>
        </w:numPr>
      </w:pPr>
      <w:r>
        <w:t xml:space="preserve">Mortier ou béton de remplissage </w:t>
      </w:r>
      <w:r>
        <w:rPr>
          <w:rStyle w:val="optioncarChar"/>
        </w:rPr>
        <w:t>C25/30</w:t>
      </w:r>
      <w:r>
        <w:t xml:space="preserve"> (par défaut)</w:t>
      </w:r>
      <w:r>
        <w:rPr>
          <w:rStyle w:val="optioncarChar"/>
        </w:rPr>
        <w:t xml:space="preserve"> / C30/37 / ***</w:t>
      </w:r>
      <w:r>
        <w:t>.</w:t>
      </w:r>
    </w:p>
    <w:p w14:paraId="3604E7DF" w14:textId="77777777" w:rsidR="00DB2B68" w:rsidRDefault="00000000">
      <w:pPr>
        <w:jc w:val="both"/>
      </w:pPr>
      <w:r>
        <w:rPr>
          <w:b/>
        </w:rPr>
        <w:t>Couche de compression </w:t>
      </w:r>
    </w:p>
    <w:p w14:paraId="7540189F" w14:textId="77777777" w:rsidR="00DB2B68" w:rsidRDefault="00000000">
      <w:pPr>
        <w:pStyle w:val="Author-eListParagraph"/>
        <w:numPr>
          <w:ilvl w:val="0"/>
          <w:numId w:val="491"/>
        </w:numPr>
      </w:pPr>
      <w:r>
        <w:t xml:space="preserve">Epaisseur : </w:t>
      </w:r>
      <w:r>
        <w:rPr>
          <w:rStyle w:val="optioncarChar"/>
        </w:rPr>
        <w:t xml:space="preserve">selon les plans de préfabrication établis par le fabricant et à soumettre à l’approbation de l'auteur de projet et du bureau d’études en stabilité </w:t>
      </w:r>
      <w:r>
        <w:t>(par défaut)</w:t>
      </w:r>
      <w:r>
        <w:rPr>
          <w:rStyle w:val="optioncarChar"/>
        </w:rPr>
        <w:t xml:space="preserve"> / 5 / 6 / 7 / ***</w:t>
      </w:r>
      <w:r>
        <w:t xml:space="preserve"> cm.</w:t>
      </w:r>
    </w:p>
    <w:p w14:paraId="36FD77F6" w14:textId="77777777" w:rsidR="00DB2B68" w:rsidRDefault="00000000">
      <w:pPr>
        <w:pStyle w:val="Author-eListParagraph"/>
        <w:numPr>
          <w:ilvl w:val="0"/>
          <w:numId w:val="491"/>
        </w:numPr>
      </w:pPr>
      <w:r>
        <w:t xml:space="preserve">Qualité du béton selon la [NBN EN 206:2013+A2] et la [NBN B 15-001] adaptée à l’épaisseur de la couche de compression : (voir également </w:t>
      </w:r>
      <w:hyperlink w:anchor="87" w:history="1">
        <w:r>
          <w:rPr>
            <w:color w:val="0000EE"/>
          </w:rPr>
          <w:t>22 Superstructures en béton</w:t>
        </w:r>
      </w:hyperlink>
      <w:r>
        <w:t>).</w:t>
      </w:r>
    </w:p>
    <w:p w14:paraId="34EFD6EF" w14:textId="77777777" w:rsidR="00DB2B68" w:rsidRDefault="00000000">
      <w:pPr>
        <w:pStyle w:val="Author-eListParagraph"/>
        <w:numPr>
          <w:ilvl w:val="0"/>
          <w:numId w:val="491"/>
        </w:numPr>
      </w:pPr>
      <w:r>
        <w:t xml:space="preserve">Classe de résistance : </w:t>
      </w:r>
      <w:r>
        <w:rPr>
          <w:rStyle w:val="optioncarChar"/>
        </w:rPr>
        <w:t>suivant les prescriptions de l’étude des bétons</w:t>
      </w:r>
      <w:r>
        <w:t xml:space="preserve"> (par défaut) </w:t>
      </w:r>
      <w:r>
        <w:rPr>
          <w:rStyle w:val="optioncarChar"/>
        </w:rPr>
        <w:t>/ C25/30 / C30/37 / C35/45 / ***</w:t>
      </w:r>
    </w:p>
    <w:p w14:paraId="70155BFF" w14:textId="77777777" w:rsidR="00DB2B68" w:rsidRDefault="00000000">
      <w:pPr>
        <w:pStyle w:val="Author-eListParagraph"/>
        <w:numPr>
          <w:ilvl w:val="0"/>
          <w:numId w:val="491"/>
        </w:numPr>
      </w:pPr>
      <w:r>
        <w:t xml:space="preserve">Classe d’environnement : </w:t>
      </w:r>
      <w:r>
        <w:rPr>
          <w:rStyle w:val="optioncarChar"/>
        </w:rPr>
        <w:t>suivant les prescriptions de l’étude des bétons</w:t>
      </w:r>
      <w:r>
        <w:t xml:space="preserve"> (par défaut)</w:t>
      </w:r>
      <w:r>
        <w:rPr>
          <w:rStyle w:val="optioncarChar"/>
        </w:rPr>
        <w:t xml:space="preserve"> / E0 / EI / EE1 / EE2 / EE3 / EE4 / ES1 / ES2 / ES3 / ES4 / EA1+*** / EA2+***/ EA3+*** / ***</w:t>
      </w:r>
    </w:p>
    <w:p w14:paraId="7E774948" w14:textId="77777777" w:rsidR="00DB2B68" w:rsidRDefault="00000000">
      <w:pPr>
        <w:pStyle w:val="Author-eListParagraph"/>
        <w:numPr>
          <w:ilvl w:val="0"/>
          <w:numId w:val="491"/>
        </w:numPr>
      </w:pPr>
      <w:r>
        <w:t xml:space="preserve">Classe de consistance : </w:t>
      </w:r>
      <w:r>
        <w:rPr>
          <w:rStyle w:val="optioncarChar"/>
        </w:rPr>
        <w:t xml:space="preserve">suivant les prescriptions de l’étude des bétons </w:t>
      </w:r>
      <w:r>
        <w:t xml:space="preserve">(par défaut) </w:t>
      </w:r>
      <w:r>
        <w:rPr>
          <w:rStyle w:val="optioncarChar"/>
        </w:rPr>
        <w:t>/ S3 / S4 / S5 / F3 / F4 / F5 / F6 / ***</w:t>
      </w:r>
    </w:p>
    <w:p w14:paraId="414354E7" w14:textId="77777777" w:rsidR="00DB2B68" w:rsidRDefault="00000000">
      <w:pPr>
        <w:pStyle w:val="Author-eListParagraph"/>
        <w:numPr>
          <w:ilvl w:val="0"/>
          <w:numId w:val="491"/>
        </w:numPr>
      </w:pPr>
      <w:r>
        <w:t xml:space="preserve">Granulométrie maximale : </w:t>
      </w:r>
      <w:r>
        <w:rPr>
          <w:rStyle w:val="optioncarChar"/>
        </w:rPr>
        <w:t>suivant les prescriptions de l’étude des bétons</w:t>
      </w:r>
      <w:r>
        <w:t xml:space="preserve"> (par défaut)</w:t>
      </w:r>
      <w:r>
        <w:rPr>
          <w:rStyle w:val="optioncarChar"/>
        </w:rPr>
        <w:t xml:space="preserve"> / 6 / 8 / 10 / 11 / 12 / 14 / 16 / 20 / 22 / 32 / ***</w:t>
      </w:r>
      <w:r>
        <w:t xml:space="preserve"> mm</w:t>
      </w:r>
    </w:p>
    <w:p w14:paraId="4F1D0499" w14:textId="77777777" w:rsidR="00DB2B68" w:rsidRDefault="00000000">
      <w:pPr>
        <w:jc w:val="both"/>
      </w:pPr>
      <w:r>
        <w:rPr>
          <w:b/>
        </w:rPr>
        <w:t>Armatures de la couche de compression </w:t>
      </w:r>
    </w:p>
    <w:p w14:paraId="274643E4" w14:textId="77777777" w:rsidR="00DB2B68" w:rsidRDefault="00000000">
      <w:pPr>
        <w:pStyle w:val="Author-eListParagraph"/>
        <w:numPr>
          <w:ilvl w:val="0"/>
          <w:numId w:val="492"/>
        </w:numPr>
        <w:jc w:val="both"/>
      </w:pPr>
      <w:r>
        <w:t>Le diamètre et la section des armatures à insérer dans la couche de compression est déterminée par le fabricant des planchers en fonction des sollicitations prévues et de la portée. L’étude est soumise à l’approbation de l'auteur de projet et du bureau d’études en stabilité.</w:t>
      </w:r>
    </w:p>
    <w:p w14:paraId="4DA7414B" w14:textId="77777777" w:rsidR="00DB2B68" w:rsidRDefault="00000000">
      <w:pPr>
        <w:pStyle w:val="Author-eListParagraph"/>
        <w:numPr>
          <w:ilvl w:val="0"/>
          <w:numId w:val="492"/>
        </w:numPr>
        <w:jc w:val="both"/>
      </w:pPr>
      <w:r>
        <w:t xml:space="preserve">Elles sont constituées de treillis soudés nuance d'acier </w:t>
      </w:r>
      <w:r>
        <w:rPr>
          <w:rStyle w:val="optioncarChar"/>
        </w:rPr>
        <w:t xml:space="preserve">DE 500 BS </w:t>
      </w:r>
      <w:r>
        <w:t>(par défaut)</w:t>
      </w:r>
      <w:r>
        <w:rPr>
          <w:rStyle w:val="optioncarChar"/>
        </w:rPr>
        <w:t xml:space="preserve"> / BE 500 S / ***</w:t>
      </w:r>
      <w:r>
        <w:t xml:space="preserve"> et les éventuelles armatures complémentaires sont de qualité </w:t>
      </w:r>
      <w:r>
        <w:rPr>
          <w:rStyle w:val="optioncarChar"/>
        </w:rPr>
        <w:t>BE 500S</w:t>
      </w:r>
      <w:r>
        <w:t xml:space="preserve"> (par défaut)</w:t>
      </w:r>
      <w:r>
        <w:rPr>
          <w:rStyle w:val="optioncarChar"/>
        </w:rPr>
        <w:t xml:space="preserve"> / ***</w:t>
      </w:r>
      <w:r>
        <w:t>.</w:t>
      </w:r>
    </w:p>
    <w:p w14:paraId="2480AE51" w14:textId="77777777" w:rsidR="00DB2B68" w:rsidRDefault="00000000">
      <w:pPr>
        <w:pStyle w:val="Author-eListParagraph"/>
        <w:numPr>
          <w:ilvl w:val="0"/>
          <w:numId w:val="492"/>
        </w:numPr>
        <w:jc w:val="both"/>
      </w:pPr>
      <w:r>
        <w:t>L’ensemble du plancher présente une résistance au feu </w:t>
      </w:r>
      <w:r>
        <w:rPr>
          <w:rStyle w:val="optioncarChar"/>
        </w:rPr>
        <w:t>R15 / R30 / R60 / R120 / R240</w:t>
      </w:r>
      <w:r>
        <w:t xml:space="preserve"> démontrée par test au feu selon la [NBN EN 13501-2] ou par calcul selon les Eurocodes conformément à l’[AM 2013-05-17].</w:t>
      </w:r>
    </w:p>
    <w:p w14:paraId="77AC2B9E" w14:textId="77777777" w:rsidR="00DB2B68" w:rsidRDefault="00000000">
      <w:pPr>
        <w:pStyle w:val="pheading"/>
      </w:pPr>
      <w:r>
        <w:t>- Finitions</w:t>
      </w:r>
    </w:p>
    <w:p w14:paraId="23125691" w14:textId="77777777" w:rsidR="00DB2B68" w:rsidRDefault="00000000">
      <w:pPr>
        <w:jc w:val="both"/>
      </w:pPr>
      <w:r>
        <w:t xml:space="preserve">Finition : </w:t>
      </w:r>
      <w:r>
        <w:rPr>
          <w:rStyle w:val="optioncarChar"/>
        </w:rPr>
        <w:t>face inférieure lisse</w:t>
      </w:r>
      <w:r>
        <w:t xml:space="preserve"> (par défaut)</w:t>
      </w:r>
      <w:r>
        <w:rPr>
          <w:rStyle w:val="optioncarChar"/>
        </w:rPr>
        <w:t xml:space="preserve"> / rugueuse / ***</w:t>
      </w:r>
      <w:r>
        <w:t>.</w:t>
      </w:r>
    </w:p>
    <w:p w14:paraId="118FD06C" w14:textId="77777777" w:rsidR="00DB2B68" w:rsidRDefault="00000000">
      <w:pPr>
        <w:jc w:val="both"/>
      </w:pPr>
      <w:r>
        <w:t xml:space="preserve">Teinte : </w:t>
      </w:r>
      <w:r>
        <w:rPr>
          <w:rStyle w:val="optioncarChar"/>
        </w:rPr>
        <w:t xml:space="preserve">gris aspect naturel du béton </w:t>
      </w:r>
      <w:r>
        <w:t>(par défaut)</w:t>
      </w:r>
      <w:r>
        <w:rPr>
          <w:rStyle w:val="optioncarChar"/>
        </w:rPr>
        <w:t xml:space="preserve"> / blanc / ***</w:t>
      </w:r>
      <w:r>
        <w:t>.</w:t>
      </w:r>
    </w:p>
    <w:p w14:paraId="553B673F" w14:textId="77777777" w:rsidR="00DB2B68" w:rsidRDefault="00000000">
      <w:pPr>
        <w:pStyle w:val="pheading"/>
      </w:pPr>
      <w:r>
        <w:t>EXÉCUTION / MISE EN ŒUVRE</w:t>
      </w:r>
    </w:p>
    <w:p w14:paraId="62F4B593" w14:textId="77777777" w:rsidR="00DB2B68" w:rsidRDefault="00000000">
      <w:pPr>
        <w:pStyle w:val="pheading"/>
      </w:pPr>
      <w:r>
        <w:t>- Prescriptions générales</w:t>
      </w:r>
    </w:p>
    <w:p w14:paraId="60E6B280" w14:textId="77777777" w:rsidR="00DB2B68" w:rsidRDefault="00000000">
      <w:pPr>
        <w:jc w:val="both"/>
      </w:pPr>
      <w:r>
        <w:rPr>
          <w:b/>
        </w:rPr>
        <w:lastRenderedPageBreak/>
        <w:t>Dimensionnement</w:t>
      </w:r>
    </w:p>
    <w:p w14:paraId="0D5ABA23" w14:textId="77777777" w:rsidR="00DB2B68" w:rsidRDefault="00000000">
      <w:pPr>
        <w:jc w:val="both"/>
      </w:pPr>
      <w:r>
        <w:t xml:space="preserve">Le dimensionnement des éléments est déterminé par le fabricant des planchers d’après l’étude de stabilité </w:t>
      </w:r>
      <w:r>
        <w:rPr>
          <w:rStyle w:val="optioncarChar"/>
        </w:rPr>
        <w:t>annexée aux documents du marché / à charge de l’entrepreneur</w:t>
      </w:r>
      <w:r>
        <w:t>.</w:t>
      </w:r>
    </w:p>
    <w:p w14:paraId="6CA377D3" w14:textId="77777777" w:rsidR="00DB2B68" w:rsidRDefault="00000000">
      <w:pPr>
        <w:pStyle w:val="Author-eListParagraph"/>
        <w:numPr>
          <w:ilvl w:val="0"/>
          <w:numId w:val="493"/>
        </w:numPr>
      </w:pPr>
      <w:r>
        <w:t xml:space="preserve">Le plancher est calculé pour une surcharge d’exploitation particulière de </w:t>
      </w:r>
      <w:r>
        <w:rPr>
          <w:rStyle w:val="optioncarChar"/>
        </w:rPr>
        <w:t xml:space="preserve">3 </w:t>
      </w:r>
      <w:r>
        <w:t xml:space="preserve">(par défaut) </w:t>
      </w:r>
      <w:r>
        <w:rPr>
          <w:rStyle w:val="optioncarChar"/>
        </w:rPr>
        <w:t>/ 4 / 5 / ***</w:t>
      </w:r>
      <w:r>
        <w:t xml:space="preserve"> KN/m² comme spécifiée dans la [NBN EN 1991-1-1 ANB].</w:t>
      </w:r>
    </w:p>
    <w:p w14:paraId="5638D2CF" w14:textId="77777777" w:rsidR="00DB2B68" w:rsidRDefault="00000000">
      <w:pPr>
        <w:pStyle w:val="Author-eListParagraph"/>
        <w:numPr>
          <w:ilvl w:val="0"/>
          <w:numId w:val="493"/>
        </w:numPr>
      </w:pPr>
      <w:r>
        <w:t xml:space="preserve">En fonction de la surcharge d’exploitation prévue, la flèche ne peut dépasser </w:t>
      </w:r>
      <w:r>
        <w:rPr>
          <w:rStyle w:val="optioncarChar"/>
        </w:rPr>
        <w:t>1/500</w:t>
      </w:r>
      <w:r>
        <w:t xml:space="preserve"> (par défaut)</w:t>
      </w:r>
      <w:r>
        <w:rPr>
          <w:rStyle w:val="optioncarChar"/>
        </w:rPr>
        <w:t xml:space="preserve"> / 1/700</w:t>
      </w:r>
      <w:r>
        <w:t xml:space="preserve"> de la portée conforme aux spécifications de la [NBN B 21-605:2021+A2].</w:t>
      </w:r>
    </w:p>
    <w:p w14:paraId="5CFC4476" w14:textId="77777777" w:rsidR="00DB2B68" w:rsidRDefault="00000000">
      <w:pPr>
        <w:jc w:val="both"/>
      </w:pPr>
      <w:r>
        <w:rPr>
          <w:b/>
        </w:rPr>
        <w:t>Mise en œuvre</w:t>
      </w:r>
    </w:p>
    <w:p w14:paraId="54DB46F8" w14:textId="77777777" w:rsidR="00DB2B68" w:rsidRDefault="00000000">
      <w:pPr>
        <w:jc w:val="both"/>
      </w:pPr>
      <w:r>
        <w:t>Les faces supérieure et inférieures du plancher correspondent aux cotes de niveau et à l'épaisseur de plancher indiquée sur les plans.</w:t>
      </w:r>
    </w:p>
    <w:p w14:paraId="7B3E8BB4" w14:textId="77777777" w:rsidR="00DB2B68" w:rsidRDefault="00000000">
      <w:pPr>
        <w:jc w:val="both"/>
      </w:pPr>
      <w:r>
        <w:t>Pendant l’exécution des planchers, des étais de montage sont placés aux endroits nécessaires suivant les prescriptions du fabricant.</w:t>
      </w:r>
    </w:p>
    <w:p w14:paraId="29828302" w14:textId="77777777" w:rsidR="00DB2B68" w:rsidRDefault="00000000">
      <w:pPr>
        <w:jc w:val="both"/>
      </w:pPr>
      <w:r>
        <w:t>En principe, les éléments de plancher sont posés à sec sur la structure de support. Lorsque la surface d'appui n'est pas suffisamment plane, comme pour la maçonnerie ou le béton coulé en place, une couche d'égalisation en mortier de ciment est préalablement appliquée. Les surfaces d'appui en béton cellulaire autoclavé, en briques silico-calcaires ou en bois sont préalablement recouvertes d'une feuille d'étanchéité.</w:t>
      </w:r>
    </w:p>
    <w:p w14:paraId="0EE8BF11" w14:textId="77777777" w:rsidR="00DB2B68" w:rsidRDefault="00000000">
      <w:pPr>
        <w:jc w:val="both"/>
      </w:pPr>
      <w:r>
        <w:t xml:space="preserve">Les asselets éventuellement nécessaires à la bonne répartition des charges sont prévus dans l’étude de stabilité et comptés au </w:t>
      </w:r>
      <w:hyperlink w:anchor="499" w:history="1">
        <w:r>
          <w:rPr>
            <w:color w:val="0000EE"/>
          </w:rPr>
          <w:t>22.42 Pièces d'appui en béton</w:t>
        </w:r>
      </w:hyperlink>
      <w:r>
        <w:t xml:space="preserve"> et aux articles qui en découlent.</w:t>
      </w:r>
    </w:p>
    <w:p w14:paraId="11F6B2C4" w14:textId="77777777" w:rsidR="00DB2B68" w:rsidRDefault="00000000">
      <w:pPr>
        <w:jc w:val="both"/>
      </w:pPr>
      <w:r>
        <w:t>Les joints entre les éléments de planchers sont débarrassés de toutes impuretés.</w:t>
      </w:r>
    </w:p>
    <w:p w14:paraId="4034B689" w14:textId="77777777" w:rsidR="00DB2B68" w:rsidRDefault="00000000">
      <w:pPr>
        <w:jc w:val="both"/>
      </w:pPr>
      <w:r>
        <w:t>Avant de couler le béton, les planchers sont abondamment arrosés d'eau. Ensuite la couche de compression est appliquée afin de renforcer l'ensemble et de former un seul tout avec les éléments de plancher sous-jacents. La couche de compression est armée en continu jusque sur les appuis.</w:t>
      </w:r>
    </w:p>
    <w:p w14:paraId="414B7B7D" w14:textId="77777777" w:rsidR="00DB2B68" w:rsidRDefault="00000000">
      <w:pPr>
        <w:jc w:val="both"/>
      </w:pPr>
      <w:r>
        <w:t xml:space="preserve">Le plancher ne peut être mis en charge avant que le béton de remplissage des joints ou de la couche de compression ne soit complètement durci soit, au plus tôt, après </w:t>
      </w:r>
      <w:r>
        <w:rPr>
          <w:rStyle w:val="optioncarChar"/>
        </w:rPr>
        <w:t>le nombre de jours fixé dans les directives du bureau d’études</w:t>
      </w:r>
      <w:r>
        <w:t xml:space="preserve"> (par défaut)</w:t>
      </w:r>
      <w:r>
        <w:rPr>
          <w:rStyle w:val="optioncarChar"/>
        </w:rPr>
        <w:t xml:space="preserve"> / 21 jours / *** jours.</w:t>
      </w:r>
    </w:p>
    <w:p w14:paraId="07CD3C76" w14:textId="77777777" w:rsidR="00DB2B68" w:rsidRDefault="00000000">
      <w:pPr>
        <w:jc w:val="both"/>
      </w:pPr>
      <w:r>
        <w:t>La longueur d'appui des planchers est conforme aux prescriptions de la [NBN B 21-605:2021+A2].</w:t>
      </w:r>
    </w:p>
    <w:p w14:paraId="67952A5F" w14:textId="77777777" w:rsidR="00DB2B68" w:rsidRDefault="00000000">
      <w:pPr>
        <w:jc w:val="both"/>
      </w:pPr>
      <w:r>
        <w:t>Sauf dispositions prévues aux plans, la conception des joints et des assemblages externes est déterminée par le fabricant et soumise à l’approbation de l'auteur de projet et du bureau d’études en stabilité.</w:t>
      </w:r>
    </w:p>
    <w:p w14:paraId="60875E7E" w14:textId="77777777" w:rsidR="00DB2B68" w:rsidRDefault="00000000">
      <w:pPr>
        <w:pStyle w:val="pheading"/>
      </w:pPr>
      <w:r>
        <w:t>MESURAGE</w:t>
      </w:r>
    </w:p>
    <w:p w14:paraId="4440FBC3" w14:textId="77777777" w:rsidR="00DB2B68" w:rsidRDefault="00000000">
      <w:pPr>
        <w:pStyle w:val="pheading"/>
      </w:pPr>
      <w:r>
        <w:t>- unité de mesure:</w:t>
      </w:r>
    </w:p>
    <w:p w14:paraId="0C074893" w14:textId="77777777" w:rsidR="00DB2B68" w:rsidRDefault="00000000">
      <w:r>
        <w:t>m²</w:t>
      </w:r>
    </w:p>
    <w:p w14:paraId="0E77F5FD" w14:textId="77777777" w:rsidR="00DB2B68" w:rsidRDefault="00000000">
      <w:pPr>
        <w:pStyle w:val="pheading"/>
      </w:pPr>
      <w:r>
        <w:t>- code de mesurage:</w:t>
      </w:r>
    </w:p>
    <w:p w14:paraId="2B24A26F" w14:textId="77777777" w:rsidR="00DB2B68" w:rsidRDefault="00000000">
      <w:pPr>
        <w:jc w:val="both"/>
      </w:pPr>
      <w:r>
        <w:t>Surface nette de plancher mis en œuvre ventilée en fonction de la présence d’une couche de béton de compression, de l'épaisseur et/ou de la charge d’exploitation. La surface est mesurée entre le nu intérieur des murs extérieurs. Il ressort de cette convention que les parties du plancher qui reposent sur les murs extérieurs ne sont pas comptées comme plancher, mais comme maçonnerie. Par contre, les parties couvrant et/ou pénétrant dans les murs intérieurs sont comptées avec le béton sur toute l'épaisseur du mur et sont, par conséquent, déduites de la maçonnerie intérieure. Les vides, percements et feuillures supérieures à 0,50 m² sont déduits. Tous les éléments nécessaires, travaux et fournitures (coffrages, armatures et couches de compression prescrites) sont compris dans le prix unitaire. </w:t>
      </w:r>
    </w:p>
    <w:p w14:paraId="377846A7" w14:textId="77777777" w:rsidR="00DB2B68" w:rsidRDefault="00000000">
      <w:pPr>
        <w:pStyle w:val="pheading"/>
      </w:pPr>
      <w:r>
        <w:t>- nature du marché:</w:t>
      </w:r>
    </w:p>
    <w:p w14:paraId="1C3B55B4" w14:textId="77777777" w:rsidR="00DB2B68" w:rsidRDefault="00000000">
      <w:r>
        <w:t>QF</w:t>
      </w:r>
    </w:p>
    <w:p w14:paraId="2B53967C" w14:textId="77777777" w:rsidR="00DB2B68" w:rsidRDefault="00000000">
      <w:pPr>
        <w:pStyle w:val="Author-eSectionHeading6Numberless"/>
      </w:pPr>
      <w:bookmarkStart w:id="732" w:name="_Toc220495793"/>
      <w:r>
        <w:t>22.15.3g Planchers-caissons à éléments tubulaires en béton armé CCTB 01.04</w:t>
      </w:r>
      <w:bookmarkEnd w:id="732"/>
    </w:p>
    <w:p w14:paraId="40C0E073" w14:textId="77777777" w:rsidR="00DB2B68" w:rsidRDefault="00000000">
      <w:pPr>
        <w:pStyle w:val="Author-eSectionHeading5Numberless"/>
      </w:pPr>
      <w:bookmarkStart w:id="733" w:name="_Toc220495794"/>
      <w:r>
        <w:lastRenderedPageBreak/>
        <w:t>22.15.4 Planchers à éléments préfabriqués en béton architectonique CCTB 01.04</w:t>
      </w:r>
      <w:bookmarkEnd w:id="733"/>
    </w:p>
    <w:p w14:paraId="426F679B" w14:textId="77777777" w:rsidR="00DB2B68" w:rsidRDefault="00000000">
      <w:pPr>
        <w:pStyle w:val="Author-eSectionHeading6Numberless"/>
      </w:pPr>
      <w:bookmarkStart w:id="734" w:name="_Toc220495795"/>
      <w:r>
        <w:t>22.15.4a Planchers préfabriqués à prédalles en béton décoratif / architectonique CCTB 01.11</w:t>
      </w:r>
      <w:bookmarkEnd w:id="734"/>
    </w:p>
    <w:p w14:paraId="46E67841" w14:textId="77777777" w:rsidR="00DB2B68" w:rsidRDefault="00000000">
      <w:pPr>
        <w:pStyle w:val="pheading"/>
      </w:pPr>
      <w:r>
        <w:t>MATÉRIAUX</w:t>
      </w:r>
    </w:p>
    <w:p w14:paraId="12A03261" w14:textId="77777777" w:rsidR="00DB2B68" w:rsidRDefault="00000000">
      <w:pPr>
        <w:pStyle w:val="pheading"/>
      </w:pPr>
      <w:r>
        <w:t>- Finitions</w:t>
      </w:r>
    </w:p>
    <w:p w14:paraId="26B961C5" w14:textId="77777777" w:rsidR="00DB2B68" w:rsidRDefault="00000000">
      <w:r>
        <w:t xml:space="preserve">La face inférieure des prédalles est </w:t>
      </w:r>
      <w:r>
        <w:rPr>
          <w:rStyle w:val="optioncarChar"/>
        </w:rPr>
        <w:t xml:space="preserve">brute de décoffrage </w:t>
      </w:r>
      <w:r>
        <w:t xml:space="preserve">(par défaut) </w:t>
      </w:r>
      <w:r>
        <w:rPr>
          <w:rStyle w:val="optioncarChar"/>
        </w:rPr>
        <w:t>/ lavée à l’eau / brossée / lavée à l’acide / bouchardée / grenaillée / grésée / polie mat / polie brillant / structurée / incrustée d’autres matériaux / ***</w:t>
      </w:r>
    </w:p>
    <w:p w14:paraId="30E894B0" w14:textId="77777777" w:rsidR="00DB2B68" w:rsidRDefault="00000000">
      <w:pPr>
        <w:pStyle w:val="Author-eSectionHeading6Numberless"/>
      </w:pPr>
      <w:bookmarkStart w:id="735" w:name="_Toc220495796"/>
      <w:r>
        <w:t>22.15.4b Planchers à dalles alvéolées en béton décoratif / architectonique CCTB 01.11</w:t>
      </w:r>
      <w:bookmarkEnd w:id="735"/>
    </w:p>
    <w:p w14:paraId="659D00C6" w14:textId="77777777" w:rsidR="00DB2B68" w:rsidRDefault="00000000">
      <w:pPr>
        <w:pStyle w:val="pheading"/>
      </w:pPr>
      <w:r>
        <w:t>MATÉRIAUX</w:t>
      </w:r>
    </w:p>
    <w:p w14:paraId="533387CA" w14:textId="77777777" w:rsidR="00DB2B68" w:rsidRDefault="00000000">
      <w:pPr>
        <w:pStyle w:val="pheading"/>
      </w:pPr>
      <w:r>
        <w:t>- Finitions</w:t>
      </w:r>
    </w:p>
    <w:p w14:paraId="7AED44BE" w14:textId="77777777" w:rsidR="00DB2B68" w:rsidRDefault="00000000">
      <w:r>
        <w:t xml:space="preserve">La face inférieure des dalles de béton est </w:t>
      </w:r>
      <w:r>
        <w:rPr>
          <w:rStyle w:val="optioncarChar"/>
        </w:rPr>
        <w:t>brute de décoffrage / lavée à l’eau / brossée / lavée à l’acide / bouchardée / grenaillée / grésée / polie mat </w:t>
      </w:r>
      <w:r>
        <w:t>(par défaut)</w:t>
      </w:r>
      <w:r>
        <w:rPr>
          <w:rStyle w:val="optioncarChar"/>
        </w:rPr>
        <w:t xml:space="preserve"> / polie brillant / structurée / incrustée d’autres matériaux / ***</w:t>
      </w:r>
    </w:p>
    <w:p w14:paraId="7B733098" w14:textId="77777777" w:rsidR="00DB2B68" w:rsidRDefault="00000000">
      <w:pPr>
        <w:pStyle w:val="Author-eSectionHeading5Numberless"/>
      </w:pPr>
      <w:bookmarkStart w:id="736" w:name="_Toc220495797"/>
      <w:r>
        <w:t>22.15.5 Couches de compression CCTB 01.07</w:t>
      </w:r>
      <w:bookmarkEnd w:id="736"/>
    </w:p>
    <w:p w14:paraId="0D1C35ED" w14:textId="77777777" w:rsidR="00DB2B68" w:rsidRDefault="00000000">
      <w:pPr>
        <w:pStyle w:val="pheading"/>
      </w:pPr>
      <w:bookmarkStart w:id="737" w:name="1289"/>
      <w:bookmarkEnd w:id="737"/>
      <w:r>
        <w:t>AIDE</w:t>
      </w:r>
    </w:p>
    <w:p w14:paraId="0E4D7E92" w14:textId="77777777" w:rsidR="00DB2B68" w:rsidRDefault="00000000">
      <w:r>
        <w:t>Pour l’instant, cet article n’est pas utilisé puisque les couches de compression sont définies dans les articles des éléments concernés.</w:t>
      </w:r>
    </w:p>
    <w:p w14:paraId="4DFD66BA" w14:textId="77777777" w:rsidR="00DB2B68" w:rsidRDefault="00000000">
      <w:pPr>
        <w:pStyle w:val="Author-eSectionHeading4Numberless"/>
      </w:pPr>
      <w:bookmarkStart w:id="738" w:name="_Toc220495798"/>
      <w:r>
        <w:t>22.16 Parois en béton CCTB 01.02</w:t>
      </w:r>
      <w:bookmarkEnd w:id="738"/>
    </w:p>
    <w:p w14:paraId="0D5AD68C" w14:textId="77777777" w:rsidR="00DB2B68" w:rsidRDefault="00000000">
      <w:pPr>
        <w:pStyle w:val="pheading"/>
      </w:pPr>
      <w:r>
        <w:t>MATÉRIAUX</w:t>
      </w:r>
    </w:p>
    <w:p w14:paraId="70E57EB1" w14:textId="77777777" w:rsidR="00DB2B68" w:rsidRDefault="00000000">
      <w:r>
        <w:br/>
      </w:r>
    </w:p>
    <w:p w14:paraId="2F3A313B" w14:textId="77777777" w:rsidR="00DB2B68" w:rsidRDefault="00000000">
      <w:pPr>
        <w:pStyle w:val="Author-eSectionHeading5Numberless"/>
      </w:pPr>
      <w:bookmarkStart w:id="739" w:name="_Toc220495799"/>
      <w:r>
        <w:t>22.16.1 Parois en béton coulé en place CCTB 01.04</w:t>
      </w:r>
      <w:bookmarkEnd w:id="739"/>
    </w:p>
    <w:p w14:paraId="667F71AF" w14:textId="77777777" w:rsidR="00DB2B68" w:rsidRDefault="00000000">
      <w:pPr>
        <w:pStyle w:val="Author-eSectionHeading6Numberless"/>
      </w:pPr>
      <w:bookmarkStart w:id="740" w:name="_Toc220495800"/>
      <w:r>
        <w:t>22.16.1a Parois en béton armé coulé en place CCTB 01.13</w:t>
      </w:r>
      <w:bookmarkEnd w:id="740"/>
    </w:p>
    <w:p w14:paraId="42392AD4" w14:textId="77777777" w:rsidR="00DB2B68" w:rsidRDefault="00000000">
      <w:pPr>
        <w:pStyle w:val="pheading"/>
      </w:pPr>
      <w:bookmarkStart w:id="741" w:name="420"/>
      <w:bookmarkEnd w:id="741"/>
      <w:r>
        <w:t>DESCRIPTION</w:t>
      </w:r>
    </w:p>
    <w:p w14:paraId="262CE235" w14:textId="77777777" w:rsidR="00DB2B68" w:rsidRDefault="00000000">
      <w:pPr>
        <w:pStyle w:val="pheading"/>
      </w:pPr>
      <w:r>
        <w:t>- Définition / Comprend</w:t>
      </w:r>
    </w:p>
    <w:p w14:paraId="22EEC0E8" w14:textId="77777777" w:rsidR="00DB2B68" w:rsidRDefault="00000000">
      <w:r>
        <w:t>Il s'agit de toutes les surfaces en élévation</w:t>
      </w:r>
      <w:r>
        <w:rPr>
          <w:rStyle w:val="optioncarChar"/>
        </w:rPr>
        <w:t> faces de parois / pans de toiture inclinées / ***</w:t>
      </w:r>
      <w:r>
        <w:t xml:space="preserve"> exécutées en béton armé coulé en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3C6B39DB" w14:textId="77777777" w:rsidR="00DB2B68" w:rsidRDefault="00000000">
      <w:pPr>
        <w:pStyle w:val="pheading"/>
      </w:pPr>
      <w:r>
        <w:t>MATÉRIAUX</w:t>
      </w:r>
    </w:p>
    <w:p w14:paraId="78975B86" w14:textId="77777777" w:rsidR="00DB2B68" w:rsidRDefault="00000000">
      <w:pPr>
        <w:pStyle w:val="pheading"/>
      </w:pPr>
      <w:r>
        <w:t>- Caractéristiques générales</w:t>
      </w:r>
    </w:p>
    <w:p w14:paraId="619F2322" w14:textId="77777777" w:rsidR="00DB2B68" w:rsidRDefault="00000000">
      <w:pPr>
        <w:pStyle w:val="heading"/>
      </w:pPr>
      <w:r>
        <w:t>Spécifications</w:t>
      </w:r>
    </w:p>
    <w:p w14:paraId="3113A825" w14:textId="77777777" w:rsidR="00DB2B68" w:rsidRDefault="00000000">
      <w:r>
        <w:t xml:space="preserve">Qualité du béton selon la [NBN EN 206:2013+A2] et la [NBN B 15-001] .Voir également </w:t>
      </w:r>
      <w:hyperlink w:anchor="87" w:history="1">
        <w:r>
          <w:rPr>
            <w:color w:val="0000EE"/>
          </w:rP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B2B68" w14:paraId="4867B880" w14:textId="77777777">
        <w:tc>
          <w:tcPr>
            <w:tcW w:w="1500" w:type="dxa"/>
            <w:noWrap/>
          </w:tcPr>
          <w:p w14:paraId="5A265048" w14:textId="77777777" w:rsidR="00DB2B68" w:rsidRDefault="00000000">
            <w:pPr>
              <w:jc w:val="center"/>
            </w:pPr>
            <w:r>
              <w:rPr>
                <w:b/>
              </w:rPr>
              <w:t>A</w:t>
            </w:r>
          </w:p>
        </w:tc>
        <w:tc>
          <w:tcPr>
            <w:tcW w:w="1500" w:type="dxa"/>
            <w:noWrap/>
          </w:tcPr>
          <w:p w14:paraId="0AE2C6E1" w14:textId="77777777" w:rsidR="00DB2B68" w:rsidRDefault="00000000">
            <w:pPr>
              <w:jc w:val="center"/>
            </w:pPr>
            <w:r>
              <w:rPr>
                <w:b/>
              </w:rPr>
              <w:t>B1</w:t>
            </w:r>
          </w:p>
        </w:tc>
        <w:tc>
          <w:tcPr>
            <w:tcW w:w="1500" w:type="dxa"/>
            <w:noWrap/>
          </w:tcPr>
          <w:p w14:paraId="38F46EB8" w14:textId="77777777" w:rsidR="00DB2B68" w:rsidRDefault="00000000">
            <w:pPr>
              <w:jc w:val="center"/>
            </w:pPr>
            <w:r>
              <w:rPr>
                <w:b/>
              </w:rPr>
              <w:t>B2</w:t>
            </w:r>
          </w:p>
        </w:tc>
        <w:tc>
          <w:tcPr>
            <w:tcW w:w="1500" w:type="dxa"/>
            <w:noWrap/>
          </w:tcPr>
          <w:p w14:paraId="14485F8A" w14:textId="77777777" w:rsidR="00DB2B68" w:rsidRDefault="00000000">
            <w:pPr>
              <w:jc w:val="center"/>
            </w:pPr>
            <w:r>
              <w:rPr>
                <w:b/>
              </w:rPr>
              <w:t>C</w:t>
            </w:r>
          </w:p>
        </w:tc>
        <w:tc>
          <w:tcPr>
            <w:tcW w:w="1500" w:type="dxa"/>
            <w:noWrap/>
          </w:tcPr>
          <w:p w14:paraId="3785EAAE" w14:textId="77777777" w:rsidR="00DB2B68" w:rsidRDefault="00000000">
            <w:pPr>
              <w:jc w:val="center"/>
            </w:pPr>
            <w:r>
              <w:rPr>
                <w:b/>
              </w:rPr>
              <w:t>D</w:t>
            </w:r>
          </w:p>
        </w:tc>
        <w:tc>
          <w:tcPr>
            <w:tcW w:w="1500" w:type="dxa"/>
            <w:noWrap/>
          </w:tcPr>
          <w:p w14:paraId="2788DBDF" w14:textId="77777777" w:rsidR="00DB2B68" w:rsidRDefault="00000000">
            <w:pPr>
              <w:jc w:val="center"/>
            </w:pPr>
            <w:r>
              <w:rPr>
                <w:b/>
              </w:rPr>
              <w:t>E</w:t>
            </w:r>
          </w:p>
        </w:tc>
      </w:tr>
      <w:tr w:rsidR="00DB2B68" w14:paraId="180E0174" w14:textId="77777777">
        <w:tc>
          <w:tcPr>
            <w:tcW w:w="1500" w:type="dxa"/>
            <w:noWrap/>
          </w:tcPr>
          <w:p w14:paraId="4E1DF312" w14:textId="77777777" w:rsidR="00DB2B68" w:rsidRDefault="00000000">
            <w:pPr>
              <w:jc w:val="center"/>
            </w:pPr>
            <w:r>
              <w:rPr>
                <w:b/>
              </w:rPr>
              <w:lastRenderedPageBreak/>
              <w:t>Classe de résistance</w:t>
            </w:r>
          </w:p>
        </w:tc>
        <w:tc>
          <w:tcPr>
            <w:tcW w:w="1500" w:type="dxa"/>
            <w:noWrap/>
          </w:tcPr>
          <w:p w14:paraId="6E02DAF1" w14:textId="77777777" w:rsidR="00DB2B68" w:rsidRDefault="00000000">
            <w:pPr>
              <w:jc w:val="center"/>
            </w:pPr>
            <w:r>
              <w:rPr>
                <w:b/>
              </w:rPr>
              <w:t>Domaine d’application</w:t>
            </w:r>
          </w:p>
        </w:tc>
        <w:tc>
          <w:tcPr>
            <w:tcW w:w="1500" w:type="dxa"/>
            <w:noWrap/>
          </w:tcPr>
          <w:p w14:paraId="7E9654D8" w14:textId="77777777" w:rsidR="00DB2B68" w:rsidRDefault="00000000">
            <w:pPr>
              <w:jc w:val="center"/>
            </w:pPr>
            <w:r>
              <w:rPr>
                <w:b/>
              </w:rPr>
              <w:t>Classe d'environnement</w:t>
            </w:r>
          </w:p>
        </w:tc>
        <w:tc>
          <w:tcPr>
            <w:tcW w:w="1500" w:type="dxa"/>
            <w:noWrap/>
          </w:tcPr>
          <w:p w14:paraId="6841E810" w14:textId="77777777" w:rsidR="00DB2B68" w:rsidRDefault="00000000">
            <w:pPr>
              <w:jc w:val="center"/>
            </w:pPr>
            <w:r>
              <w:rPr>
                <w:b/>
              </w:rPr>
              <w:t>Classe de consistance</w:t>
            </w:r>
          </w:p>
        </w:tc>
        <w:tc>
          <w:tcPr>
            <w:tcW w:w="1500" w:type="dxa"/>
            <w:noWrap/>
          </w:tcPr>
          <w:p w14:paraId="4370A8EB" w14:textId="77777777" w:rsidR="00DB2B68" w:rsidRDefault="00000000">
            <w:pPr>
              <w:jc w:val="center"/>
            </w:pPr>
            <w:r>
              <w:rPr>
                <w:b/>
              </w:rPr>
              <w:t>Granulométrie maximale</w:t>
            </w:r>
          </w:p>
        </w:tc>
        <w:tc>
          <w:tcPr>
            <w:tcW w:w="1500" w:type="dxa"/>
            <w:noWrap/>
          </w:tcPr>
          <w:p w14:paraId="540D29EB" w14:textId="77777777" w:rsidR="00DB2B68" w:rsidRDefault="00000000">
            <w:r>
              <w:rPr>
                <w:b/>
              </w:rPr>
              <w:t>Données complémentaires</w:t>
            </w:r>
          </w:p>
        </w:tc>
      </w:tr>
      <w:tr w:rsidR="00DB2B68" w14:paraId="5E6A66D2" w14:textId="77777777">
        <w:tc>
          <w:tcPr>
            <w:tcW w:w="1500" w:type="dxa"/>
            <w:noWrap/>
          </w:tcPr>
          <w:p w14:paraId="6C5A73E3" w14:textId="77777777" w:rsidR="00DB2B68" w:rsidRDefault="00000000">
            <w:pPr>
              <w:jc w:val="center"/>
            </w:pPr>
            <w:r>
              <w:rPr>
                <w:rStyle w:val="optioncarChar"/>
              </w:rPr>
              <w:t>C25/30 / C30/37 / C35/45 / C45/55 / C50/60 / C55/67 / C60/75 / C70/85 / C80/95 / C90/105</w:t>
            </w:r>
          </w:p>
        </w:tc>
        <w:tc>
          <w:tcPr>
            <w:tcW w:w="1500" w:type="dxa"/>
            <w:noWrap/>
          </w:tcPr>
          <w:p w14:paraId="651CC6DF" w14:textId="77777777" w:rsidR="00DB2B68" w:rsidRDefault="00000000">
            <w:pPr>
              <w:jc w:val="center"/>
            </w:pPr>
            <w:r>
              <w:t>Béton armé</w:t>
            </w:r>
          </w:p>
          <w:p w14:paraId="1C063926" w14:textId="77777777" w:rsidR="00DB2B68" w:rsidRDefault="00000000">
            <w:pPr>
              <w:jc w:val="center"/>
            </w:pPr>
            <w:r>
              <w:t> </w:t>
            </w:r>
          </w:p>
        </w:tc>
        <w:tc>
          <w:tcPr>
            <w:tcW w:w="1500" w:type="dxa"/>
            <w:noWrap/>
          </w:tcPr>
          <w:p w14:paraId="35CB1C01" w14:textId="77777777" w:rsidR="00DB2B68" w:rsidRDefault="00000000">
            <w:pPr>
              <w:jc w:val="center"/>
            </w:pPr>
            <w:r>
              <w:rPr>
                <w:rStyle w:val="optioncarChar"/>
              </w:rPr>
              <w:t>E0 / EI / EE1 / EE2 / EE3 / EE4 / ES1 / ES2 / ES3 / ES4 / EA1+*** / EA2+***/ EA3+***</w:t>
            </w:r>
          </w:p>
        </w:tc>
        <w:tc>
          <w:tcPr>
            <w:tcW w:w="1500" w:type="dxa"/>
            <w:noWrap/>
          </w:tcPr>
          <w:p w14:paraId="4BFE2ADA" w14:textId="77777777" w:rsidR="00DB2B68" w:rsidRDefault="00000000">
            <w:pPr>
              <w:jc w:val="center"/>
            </w:pPr>
            <w:r>
              <w:t>au choix de l'entrepreneur :</w:t>
            </w:r>
          </w:p>
          <w:p w14:paraId="70BEDAE3" w14:textId="77777777" w:rsidR="00DB2B68" w:rsidRDefault="00000000">
            <w:pPr>
              <w:jc w:val="center"/>
            </w:pPr>
            <w:r>
              <w:rPr>
                <w:rStyle w:val="optioncarChar"/>
              </w:rPr>
              <w:t xml:space="preserve">S3 / S4 / S5 </w:t>
            </w:r>
          </w:p>
          <w:p w14:paraId="64E033AB" w14:textId="77777777" w:rsidR="00DB2B68" w:rsidRDefault="00000000">
            <w:pPr>
              <w:jc w:val="center"/>
            </w:pPr>
            <w:r>
              <w:rPr>
                <w:rStyle w:val="optioncarChar"/>
              </w:rPr>
              <w:t>F3 / F4 / F5 / F6</w:t>
            </w:r>
            <w:r>
              <w:br/>
            </w:r>
          </w:p>
        </w:tc>
        <w:tc>
          <w:tcPr>
            <w:tcW w:w="1500" w:type="dxa"/>
            <w:noWrap/>
          </w:tcPr>
          <w:p w14:paraId="082B150B" w14:textId="77777777" w:rsidR="00DB2B68" w:rsidRDefault="00000000">
            <w:pPr>
              <w:jc w:val="center"/>
            </w:pPr>
            <w:r>
              <w:t>au choix de l'entrepreneur :</w:t>
            </w:r>
          </w:p>
          <w:p w14:paraId="77D30C60" w14:textId="77777777" w:rsidR="00DB2B68" w:rsidRDefault="00000000">
            <w:pPr>
              <w:jc w:val="center"/>
            </w:pPr>
            <w:r>
              <w:rPr>
                <w:rStyle w:val="optioncarChar"/>
              </w:rPr>
              <w:t>6 / 8 / 10 / 11 / 12 / 14 / 16 / 20 / 22 / 32 </w:t>
            </w:r>
            <w:r>
              <w:t>mm</w:t>
            </w:r>
          </w:p>
        </w:tc>
        <w:tc>
          <w:tcPr>
            <w:tcW w:w="1500" w:type="dxa"/>
            <w:noWrap/>
          </w:tcPr>
          <w:p w14:paraId="768EC6B8" w14:textId="77777777" w:rsidR="00DB2B68" w:rsidRDefault="00000000">
            <w:pPr>
              <w:jc w:val="center"/>
            </w:pPr>
            <w:r>
              <w:rPr>
                <w:rStyle w:val="optioncarChar"/>
              </w:rPr>
              <w:t>***</w:t>
            </w:r>
          </w:p>
        </w:tc>
      </w:tr>
    </w:tbl>
    <w:p w14:paraId="32F7685F" w14:textId="77777777" w:rsidR="00DB2B68" w:rsidRDefault="00000000">
      <w:r>
        <w:t> </w:t>
      </w:r>
    </w:p>
    <w:p w14:paraId="586BD56F"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BE7E3C2" w14:textId="77777777" w:rsidR="00DB2B68" w:rsidRDefault="00000000">
      <w:pPr>
        <w:pStyle w:val="Author-eListParagraph"/>
        <w:numPr>
          <w:ilvl w:val="0"/>
          <w:numId w:val="494"/>
        </w:numPr>
      </w:pPr>
      <w:r>
        <w:t xml:space="preserve">Classe de viscosité apparente : </w:t>
      </w:r>
      <w:r>
        <w:rPr>
          <w:rStyle w:val="optioncarChar"/>
        </w:rPr>
        <w:t>VS1 / VS2</w:t>
      </w:r>
      <w:r>
        <w:t xml:space="preserve"> (selon la [NBN EN 12350-8] )</w:t>
      </w:r>
    </w:p>
    <w:p w14:paraId="4A195A8C" w14:textId="77777777" w:rsidR="00DB2B68" w:rsidRDefault="00000000">
      <w:pPr>
        <w:pStyle w:val="Author-eListParagraph"/>
        <w:numPr>
          <w:ilvl w:val="0"/>
          <w:numId w:val="49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9B39B3A" w14:textId="77777777" w:rsidR="00DB2B68" w:rsidRDefault="00000000">
      <w:pPr>
        <w:pStyle w:val="Author-eListParagraph"/>
        <w:numPr>
          <w:ilvl w:val="0"/>
          <w:numId w:val="49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A56EF44"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 (voir </w:t>
      </w:r>
      <w:hyperlink w:anchor="232" w:history="1">
        <w:r>
          <w:rPr>
            <w:color w:val="0000EE"/>
          </w:rPr>
          <w:t>22.51 Armatures pour béton</w:t>
        </w:r>
      </w:hyperlink>
      <w:r>
        <w:t>)</w:t>
      </w:r>
    </w:p>
    <w:p w14:paraId="4425CC75" w14:textId="77777777" w:rsidR="00DB2B68" w:rsidRDefault="00000000">
      <w:pPr>
        <w:pStyle w:val="Author-eListParagraph"/>
        <w:numPr>
          <w:ilvl w:val="0"/>
          <w:numId w:val="495"/>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 .</w:t>
      </w:r>
    </w:p>
    <w:p w14:paraId="79218CA7" w14:textId="77777777" w:rsidR="00DB2B68" w:rsidRDefault="00000000">
      <w:pPr>
        <w:pStyle w:val="Author-eListParagraph"/>
        <w:numPr>
          <w:ilvl w:val="0"/>
          <w:numId w:val="495"/>
        </w:numPr>
      </w:pPr>
      <w:r>
        <w:t xml:space="preserve">Acier pour les étriers : acier </w:t>
      </w:r>
      <w:r>
        <w:rPr>
          <w:rStyle w:val="optioncarChar"/>
        </w:rPr>
        <w:t>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 .</w:t>
      </w:r>
    </w:p>
    <w:p w14:paraId="171DCEF1" w14:textId="77777777" w:rsidR="00DB2B68" w:rsidRDefault="00000000">
      <w:pPr>
        <w:pStyle w:val="Author-eListParagraph"/>
        <w:numPr>
          <w:ilvl w:val="0"/>
          <w:numId w:val="495"/>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w:t>
      </w:r>
      <w:r>
        <w:rPr>
          <w:rStyle w:val="optioncarChar"/>
        </w:rPr>
        <w:t xml:space="preserve"> / *** x *** x *** x *** </w:t>
      </w:r>
      <w:r>
        <w:t>mm.</w:t>
      </w:r>
    </w:p>
    <w:p w14:paraId="6D98B928" w14:textId="77777777" w:rsidR="00DB2B68" w:rsidRDefault="00000000">
      <w:pPr>
        <w:pStyle w:val="pheading"/>
      </w:pPr>
      <w:r>
        <w:t>- Finitions</w:t>
      </w:r>
    </w:p>
    <w:p w14:paraId="170429EC" w14:textId="77777777" w:rsidR="00DB2B68" w:rsidRDefault="00000000">
      <w:r>
        <w:t xml:space="preserve">La surface du béton brute de décoffrage est </w:t>
      </w:r>
      <w:r>
        <w:rPr>
          <w:rStyle w:val="optioncarChar"/>
        </w:rPr>
        <w:t xml:space="preserve">lisse </w:t>
      </w:r>
      <w:r>
        <w:t>(par défaut) </w:t>
      </w:r>
      <w:r>
        <w:rPr>
          <w:rStyle w:val="optioncarChar"/>
        </w:rPr>
        <w:t xml:space="preserve">/ texturée / à relief (ou structurée) / équipée d'un coffrage perdu /*** </w:t>
      </w:r>
    </w:p>
    <w:p w14:paraId="15C8F5EA" w14:textId="77777777" w:rsidR="00DB2B68" w:rsidRDefault="00000000">
      <w:pPr>
        <w:pStyle w:val="pheading"/>
      </w:pPr>
      <w:r>
        <w:t>- Prescriptions complémentaires</w:t>
      </w:r>
    </w:p>
    <w:p w14:paraId="598EC7CE" w14:textId="77777777" w:rsidR="00DB2B68" w:rsidRDefault="00000000">
      <w:r>
        <w:t xml:space="preserve">Résistance au feu : pour les éléments porteurs et structurels sans fonction séparant </w:t>
      </w:r>
      <w:r>
        <w:rPr>
          <w:rStyle w:val="optioncarChar"/>
        </w:rPr>
        <w:t>R15 / R30</w:t>
      </w:r>
      <w:r>
        <w:t xml:space="preserve"> (par défaut) </w:t>
      </w:r>
      <w:r>
        <w:rPr>
          <w:rStyle w:val="optioncarChar"/>
        </w:rPr>
        <w:t>/ R60 / R120 / R *** / ***</w:t>
      </w:r>
      <w:r>
        <w:t xml:space="preserve">et pour les éléments porteurs et structurels avec fonction séparant </w:t>
      </w:r>
      <w:r>
        <w:rPr>
          <w:rStyle w:val="optioncarChar"/>
        </w:rPr>
        <w:t>REI 30 </w:t>
      </w:r>
      <w:r>
        <w:t xml:space="preserve">(par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559413B5" w14:textId="77777777" w:rsidR="00DB2B68" w:rsidRDefault="00000000">
      <w:pPr>
        <w:pStyle w:val="pheading"/>
      </w:pPr>
      <w:r>
        <w:t>EXÉCUTION / MISE EN ŒUVRE</w:t>
      </w:r>
    </w:p>
    <w:p w14:paraId="2CC4F9D8" w14:textId="77777777" w:rsidR="00DB2B68" w:rsidRDefault="00000000">
      <w:pPr>
        <w:pStyle w:val="pheading"/>
      </w:pPr>
      <w:r>
        <w:t>- Prescriptions générales</w:t>
      </w:r>
    </w:p>
    <w:p w14:paraId="1BB1AD4F" w14:textId="77777777" w:rsidR="00DB2B68" w:rsidRDefault="00000000">
      <w:r>
        <w:t>L 'étude est à charge de</w:t>
      </w:r>
      <w:r>
        <w:rPr>
          <w:rStyle w:val="optioncarChar"/>
        </w:rPr>
        <w:t xml:space="preserve"> l'entrepreneur </w:t>
      </w:r>
      <w:r>
        <w:t>(par défaut) </w:t>
      </w:r>
      <w:r>
        <w:rPr>
          <w:rStyle w:val="optioncarChar"/>
        </w:rPr>
        <w:t>/ du maître de l'ouvrage / du bureau d'étude / *** </w:t>
      </w:r>
      <w:r>
        <w:t>… (</w:t>
      </w:r>
      <w:hyperlink w:anchor="87" w:history="1">
        <w:r>
          <w:rPr>
            <w:color w:val="0000EE"/>
          </w:rPr>
          <w:t>22 Superstructures en béton</w:t>
        </w:r>
      </w:hyperlink>
      <w:r>
        <w:t>).</w:t>
      </w:r>
      <w:r>
        <w:br/>
      </w:r>
      <w:r>
        <w:lastRenderedPageBreak/>
        <w:t xml:space="preserve">Les </w:t>
      </w:r>
      <w:r>
        <w:rPr>
          <w:rStyle w:val="optioncarChar"/>
        </w:rPr>
        <w:t>parois / pans / *** </w:t>
      </w:r>
      <w:r>
        <w:t>de toiture sont exécutés dans les épaisseurs indiquées sur les plans.</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w:t>
      </w:r>
      <w:r>
        <w:rPr>
          <w:rStyle w:val="optioncarChar"/>
        </w:rPr>
        <w:t>.</w:t>
      </w:r>
      <w:r>
        <w:br/>
        <w:t>La période de cure est conforme aux exigences de la [NBN EN 13670] et de la [NBN B 15-400] § F8.5.</w:t>
      </w:r>
    </w:p>
    <w:p w14:paraId="0A528160" w14:textId="77777777" w:rsidR="00DB2B68" w:rsidRDefault="00000000">
      <w:pPr>
        <w:pStyle w:val="pheading"/>
      </w:pPr>
      <w:r>
        <w:t>- Notes d’exécution complémentaires</w:t>
      </w:r>
    </w:p>
    <w:p w14:paraId="1A39F2E7" w14:textId="77777777" w:rsidR="00DB2B68" w:rsidRDefault="00000000">
      <w:r>
        <w:t>Raccords visibles : joint en forme de</w:t>
      </w:r>
      <w:r>
        <w:rPr>
          <w:rStyle w:val="optioncarChar"/>
        </w:rPr>
        <w:t> V </w:t>
      </w:r>
      <w:r>
        <w:t>(par défaut)</w:t>
      </w:r>
      <w:r>
        <w:rPr>
          <w:rStyle w:val="optioncarChar"/>
        </w:rPr>
        <w:t xml:space="preserve"> / ***</w:t>
      </w:r>
      <w:r>
        <w:br/>
        <w:t>Joints de reprise :</w:t>
      </w:r>
      <w:r>
        <w:br/>
        <w:t>Ponts d'humidité / étanchéité à l'eau :</w:t>
      </w:r>
      <w:r>
        <w:br/>
        <w:t>Ponts thermiques / isolation thermique :</w:t>
      </w:r>
      <w:r>
        <w:br/>
        <w:t>Réservations / pénétrations :</w:t>
      </w:r>
      <w:r>
        <w:br/>
        <w:t>Ancrages :</w:t>
      </w:r>
    </w:p>
    <w:p w14:paraId="3C285625" w14:textId="77777777" w:rsidR="00DB2B68" w:rsidRDefault="00000000">
      <w:pPr>
        <w:pStyle w:val="pheading"/>
      </w:pPr>
      <w:r>
        <w:t>MESURAGE</w:t>
      </w:r>
    </w:p>
    <w:p w14:paraId="727D9531" w14:textId="77777777" w:rsidR="00DB2B68" w:rsidRDefault="00000000">
      <w:pPr>
        <w:pStyle w:val="pheading"/>
      </w:pPr>
      <w:r>
        <w:t>- unité de mesure:</w:t>
      </w:r>
    </w:p>
    <w:p w14:paraId="56D16B24" w14:textId="77777777" w:rsidR="00DB2B68" w:rsidRDefault="00000000">
      <w:r>
        <w:t>m³ pour le béton.</w:t>
      </w:r>
      <w:r>
        <w:br/>
        <w:t>kg pour les armatures.</w:t>
      </w:r>
      <w:r>
        <w:br/>
        <w:t>PM, coffrages</w:t>
      </w:r>
    </w:p>
    <w:p w14:paraId="3B08251C" w14:textId="77777777" w:rsidR="00DB2B68" w:rsidRDefault="00000000">
      <w:pPr>
        <w:pStyle w:val="pheading"/>
      </w:pPr>
      <w:r>
        <w:t>- code de mesurage:</w:t>
      </w:r>
    </w:p>
    <w:p w14:paraId="428485A1" w14:textId="77777777" w:rsidR="00DB2B68" w:rsidRDefault="00000000">
      <w:r>
        <w:t>Mesurage du volume à couler selon la [NBN B 06-001]</w:t>
      </w:r>
      <w:r>
        <w:br/>
        <w:t>Mesurage des quantités selon la [NBN B 06-001]</w:t>
      </w:r>
    </w:p>
    <w:p w14:paraId="71073EE3" w14:textId="77777777" w:rsidR="00DB2B68" w:rsidRDefault="00000000">
      <w:pPr>
        <w:pStyle w:val="pheading"/>
      </w:pPr>
      <w:r>
        <w:t>- nature du marché:</w:t>
      </w:r>
    </w:p>
    <w:p w14:paraId="3E047CA8" w14:textId="77777777" w:rsidR="00DB2B68" w:rsidRDefault="00000000">
      <w:r>
        <w:rPr>
          <w:rStyle w:val="optioncarChar"/>
        </w:rPr>
        <w:t>QF</w:t>
      </w:r>
      <w:r>
        <w:t xml:space="preserve"> (par défaut)</w:t>
      </w:r>
      <w:r>
        <w:rPr>
          <w:rStyle w:val="optioncarChar"/>
        </w:rPr>
        <w:t xml:space="preserve"> / QP / PM</w:t>
      </w:r>
    </w:p>
    <w:p w14:paraId="4D2F0BFA" w14:textId="77777777" w:rsidR="00DB2B68" w:rsidRDefault="00000000">
      <w:pPr>
        <w:pStyle w:val="pheading"/>
      </w:pPr>
      <w:r>
        <w:t>AIDE</w:t>
      </w:r>
    </w:p>
    <w:p w14:paraId="20EB5295" w14:textId="77777777" w:rsidR="00DB2B68" w:rsidRDefault="00000000">
      <w:r>
        <w:t>- Les travaux d’étaiement et les reprises en sous-œuvre / … au niveau de l'infrastructure sont décrits dans le chapitre 14 Travaux d'étaiement, de soutènement et reprise en sous-œuvre.</w:t>
      </w:r>
    </w:p>
    <w:p w14:paraId="7ECBF305" w14:textId="77777777" w:rsidR="00DB2B68" w:rsidRDefault="00000000">
      <w:pPr>
        <w:pStyle w:val="Author-eSectionHeading6Numberless"/>
      </w:pPr>
      <w:bookmarkStart w:id="742" w:name="_Toc220495801"/>
      <w:r>
        <w:t>22.16.1b Parois en béton de fibres d'acier coulé en place CCTB 01.13</w:t>
      </w:r>
      <w:bookmarkEnd w:id="742"/>
    </w:p>
    <w:p w14:paraId="7136FF4C" w14:textId="77777777" w:rsidR="00DB2B68" w:rsidRDefault="00000000">
      <w:pPr>
        <w:pStyle w:val="pheading"/>
      </w:pPr>
      <w:r>
        <w:t>DESCRIPTION</w:t>
      </w:r>
    </w:p>
    <w:p w14:paraId="65ED09CF" w14:textId="77777777" w:rsidR="00DB2B68" w:rsidRDefault="00000000">
      <w:pPr>
        <w:pStyle w:val="pheading"/>
      </w:pPr>
      <w:r>
        <w:t>- Définition / Comprend</w:t>
      </w:r>
    </w:p>
    <w:p w14:paraId="519E2623" w14:textId="77777777" w:rsidR="00DB2B68" w:rsidRDefault="00000000">
      <w:r>
        <w:t xml:space="preserve">Il s'agit de toutes les surfaces en élévation </w:t>
      </w:r>
      <w:r>
        <w:rPr>
          <w:rStyle w:val="optioncarChar"/>
        </w:rPr>
        <w:t>faces de parois / pans de toiture inclinées / ***</w:t>
      </w:r>
      <w:r>
        <w:t xml:space="preserve"> exécutées en béton de fibres coulé en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3B29E1AF" w14:textId="77777777" w:rsidR="00DB2B68" w:rsidRDefault="00000000">
      <w:pPr>
        <w:pStyle w:val="pheading"/>
      </w:pPr>
      <w:r>
        <w:t>MATÉRIAUX</w:t>
      </w:r>
    </w:p>
    <w:p w14:paraId="50C3CFAA" w14:textId="77777777" w:rsidR="00DB2B68" w:rsidRDefault="00000000">
      <w:pPr>
        <w:pStyle w:val="pheading"/>
      </w:pPr>
      <w:r>
        <w:t>- Caractéristiques générales</w:t>
      </w:r>
    </w:p>
    <w:p w14:paraId="0302857A" w14:textId="77777777" w:rsidR="00DB2B68" w:rsidRDefault="00000000">
      <w:r>
        <w:rPr>
          <w:u w:val="single"/>
        </w:rPr>
        <w:t>Béton</w:t>
      </w:r>
    </w:p>
    <w:p w14:paraId="12C74F32" w14:textId="77777777" w:rsidR="00DB2B68" w:rsidRDefault="00000000">
      <w:r>
        <w:t xml:space="preserve">Qualité du béton selon la [NBN EN 206:2013+A2] et la [NBN B 15-001] (voir </w:t>
      </w:r>
      <w:hyperlink w:anchor="87" w:history="1">
        <w:r>
          <w:rPr>
            <w:color w:val="0000EE"/>
          </w:rP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B2B68" w14:paraId="20187635" w14:textId="77777777">
        <w:tc>
          <w:tcPr>
            <w:tcW w:w="1500" w:type="dxa"/>
            <w:noWrap/>
          </w:tcPr>
          <w:p w14:paraId="0335FBA6" w14:textId="77777777" w:rsidR="00DB2B68" w:rsidRDefault="00000000">
            <w:pPr>
              <w:jc w:val="center"/>
            </w:pPr>
            <w:r>
              <w:rPr>
                <w:b/>
              </w:rPr>
              <w:t>A</w:t>
            </w:r>
          </w:p>
        </w:tc>
        <w:tc>
          <w:tcPr>
            <w:tcW w:w="1500" w:type="dxa"/>
            <w:noWrap/>
          </w:tcPr>
          <w:p w14:paraId="4903C88D" w14:textId="77777777" w:rsidR="00DB2B68" w:rsidRDefault="00000000">
            <w:pPr>
              <w:jc w:val="center"/>
            </w:pPr>
            <w:r>
              <w:rPr>
                <w:b/>
              </w:rPr>
              <w:t>B1</w:t>
            </w:r>
          </w:p>
        </w:tc>
        <w:tc>
          <w:tcPr>
            <w:tcW w:w="1500" w:type="dxa"/>
            <w:noWrap/>
          </w:tcPr>
          <w:p w14:paraId="31319A60" w14:textId="77777777" w:rsidR="00DB2B68" w:rsidRDefault="00000000">
            <w:pPr>
              <w:jc w:val="center"/>
            </w:pPr>
            <w:r>
              <w:rPr>
                <w:b/>
              </w:rPr>
              <w:t>B2</w:t>
            </w:r>
          </w:p>
        </w:tc>
        <w:tc>
          <w:tcPr>
            <w:tcW w:w="1500" w:type="dxa"/>
            <w:noWrap/>
          </w:tcPr>
          <w:p w14:paraId="56FC147D" w14:textId="77777777" w:rsidR="00DB2B68" w:rsidRDefault="00000000">
            <w:pPr>
              <w:jc w:val="center"/>
            </w:pPr>
            <w:r>
              <w:rPr>
                <w:b/>
              </w:rPr>
              <w:t>C</w:t>
            </w:r>
          </w:p>
        </w:tc>
        <w:tc>
          <w:tcPr>
            <w:tcW w:w="1500" w:type="dxa"/>
            <w:noWrap/>
          </w:tcPr>
          <w:p w14:paraId="1FAAE16B" w14:textId="77777777" w:rsidR="00DB2B68" w:rsidRDefault="00000000">
            <w:pPr>
              <w:jc w:val="center"/>
            </w:pPr>
            <w:r>
              <w:rPr>
                <w:b/>
              </w:rPr>
              <w:t>D</w:t>
            </w:r>
          </w:p>
        </w:tc>
        <w:tc>
          <w:tcPr>
            <w:tcW w:w="1500" w:type="dxa"/>
            <w:noWrap/>
          </w:tcPr>
          <w:p w14:paraId="79968FD2" w14:textId="77777777" w:rsidR="00DB2B68" w:rsidRDefault="00000000">
            <w:pPr>
              <w:jc w:val="center"/>
            </w:pPr>
            <w:r>
              <w:rPr>
                <w:b/>
              </w:rPr>
              <w:t>E</w:t>
            </w:r>
          </w:p>
        </w:tc>
      </w:tr>
      <w:tr w:rsidR="00DB2B68" w14:paraId="5607F90E" w14:textId="77777777">
        <w:tc>
          <w:tcPr>
            <w:tcW w:w="1500" w:type="dxa"/>
            <w:noWrap/>
          </w:tcPr>
          <w:p w14:paraId="657BA019" w14:textId="77777777" w:rsidR="00DB2B68" w:rsidRDefault="00000000">
            <w:pPr>
              <w:jc w:val="center"/>
            </w:pPr>
            <w:r>
              <w:rPr>
                <w:b/>
              </w:rPr>
              <w:lastRenderedPageBreak/>
              <w:t>Classe de résistance</w:t>
            </w:r>
          </w:p>
        </w:tc>
        <w:tc>
          <w:tcPr>
            <w:tcW w:w="1500" w:type="dxa"/>
            <w:noWrap/>
          </w:tcPr>
          <w:p w14:paraId="52B9DEE9" w14:textId="77777777" w:rsidR="00DB2B68" w:rsidRDefault="00000000">
            <w:pPr>
              <w:jc w:val="center"/>
            </w:pPr>
            <w:r>
              <w:rPr>
                <w:b/>
              </w:rPr>
              <w:t>Domaine d’application</w:t>
            </w:r>
          </w:p>
        </w:tc>
        <w:tc>
          <w:tcPr>
            <w:tcW w:w="1500" w:type="dxa"/>
            <w:noWrap/>
          </w:tcPr>
          <w:p w14:paraId="3FA965D7" w14:textId="77777777" w:rsidR="00DB2B68" w:rsidRDefault="00000000">
            <w:pPr>
              <w:jc w:val="center"/>
            </w:pPr>
            <w:r>
              <w:rPr>
                <w:b/>
              </w:rPr>
              <w:t>Classe d'environnement</w:t>
            </w:r>
          </w:p>
        </w:tc>
        <w:tc>
          <w:tcPr>
            <w:tcW w:w="1500" w:type="dxa"/>
            <w:noWrap/>
          </w:tcPr>
          <w:p w14:paraId="60B4B0BC" w14:textId="77777777" w:rsidR="00DB2B68" w:rsidRDefault="00000000">
            <w:pPr>
              <w:jc w:val="center"/>
            </w:pPr>
            <w:r>
              <w:rPr>
                <w:b/>
              </w:rPr>
              <w:t>Classe de consistance</w:t>
            </w:r>
          </w:p>
        </w:tc>
        <w:tc>
          <w:tcPr>
            <w:tcW w:w="1500" w:type="dxa"/>
            <w:noWrap/>
          </w:tcPr>
          <w:p w14:paraId="0EED0F04" w14:textId="77777777" w:rsidR="00DB2B68" w:rsidRDefault="00000000">
            <w:pPr>
              <w:jc w:val="center"/>
            </w:pPr>
            <w:r>
              <w:rPr>
                <w:b/>
              </w:rPr>
              <w:t>Granulométrie maximale</w:t>
            </w:r>
          </w:p>
        </w:tc>
        <w:tc>
          <w:tcPr>
            <w:tcW w:w="1500" w:type="dxa"/>
            <w:noWrap/>
          </w:tcPr>
          <w:p w14:paraId="3765C374" w14:textId="77777777" w:rsidR="00DB2B68" w:rsidRDefault="00000000">
            <w:r>
              <w:rPr>
                <w:b/>
              </w:rPr>
              <w:t>Données complémentaires</w:t>
            </w:r>
          </w:p>
        </w:tc>
      </w:tr>
      <w:tr w:rsidR="00DB2B68" w14:paraId="37EE1AEE" w14:textId="77777777">
        <w:tc>
          <w:tcPr>
            <w:tcW w:w="1500" w:type="dxa"/>
            <w:noWrap/>
          </w:tcPr>
          <w:p w14:paraId="0AEA659B" w14:textId="77777777" w:rsidR="00DB2B68" w:rsidRDefault="00000000">
            <w:pPr>
              <w:jc w:val="center"/>
            </w:pPr>
            <w:r>
              <w:rPr>
                <w:rStyle w:val="optioncarChar"/>
              </w:rPr>
              <w:t>C25/30 / C30/37 / C35/45 / C45/55 / C50/60 / C55/67 / C60/75 / C70/85 / C80/95 / C90/105</w:t>
            </w:r>
          </w:p>
        </w:tc>
        <w:tc>
          <w:tcPr>
            <w:tcW w:w="1500" w:type="dxa"/>
            <w:noWrap/>
          </w:tcPr>
          <w:p w14:paraId="5D48A4C7" w14:textId="77777777" w:rsidR="00DB2B68" w:rsidRDefault="00000000">
            <w:pPr>
              <w:jc w:val="center"/>
            </w:pPr>
            <w:r>
              <w:t>Béton armé</w:t>
            </w:r>
          </w:p>
          <w:p w14:paraId="46E64C58" w14:textId="77777777" w:rsidR="00DB2B68" w:rsidRDefault="00000000">
            <w:pPr>
              <w:jc w:val="center"/>
            </w:pPr>
            <w:r>
              <w:t> </w:t>
            </w:r>
          </w:p>
        </w:tc>
        <w:tc>
          <w:tcPr>
            <w:tcW w:w="1500" w:type="dxa"/>
            <w:noWrap/>
          </w:tcPr>
          <w:p w14:paraId="0C0BB4F2" w14:textId="77777777" w:rsidR="00DB2B68" w:rsidRDefault="00000000">
            <w:pPr>
              <w:jc w:val="center"/>
            </w:pPr>
            <w:r>
              <w:rPr>
                <w:rStyle w:val="optioncarChar"/>
              </w:rPr>
              <w:t>E0 / EI / EE1 / EE2 / EE3 / EE4 / ES1 / ES2 / ES3 / ES4 / EA1+*** / EA2+***/ EA3+***</w:t>
            </w:r>
          </w:p>
        </w:tc>
        <w:tc>
          <w:tcPr>
            <w:tcW w:w="1500" w:type="dxa"/>
            <w:noWrap/>
          </w:tcPr>
          <w:p w14:paraId="38296DBF" w14:textId="77777777" w:rsidR="00DB2B68" w:rsidRDefault="00000000">
            <w:pPr>
              <w:jc w:val="center"/>
            </w:pPr>
            <w:r>
              <w:t>au choix de l'entrepreneur :</w:t>
            </w:r>
          </w:p>
          <w:p w14:paraId="28641D51" w14:textId="77777777" w:rsidR="00DB2B68" w:rsidRDefault="00000000">
            <w:pPr>
              <w:jc w:val="center"/>
            </w:pPr>
            <w:r>
              <w:rPr>
                <w:rStyle w:val="optioncarChar"/>
              </w:rPr>
              <w:t xml:space="preserve">S3 / S4 / S5 </w:t>
            </w:r>
          </w:p>
          <w:p w14:paraId="23C5799B" w14:textId="77777777" w:rsidR="00DB2B68" w:rsidRDefault="00000000">
            <w:pPr>
              <w:jc w:val="center"/>
            </w:pPr>
            <w:r>
              <w:rPr>
                <w:rStyle w:val="optioncarChar"/>
              </w:rPr>
              <w:t>F3 / F4 / F5 / F6</w:t>
            </w:r>
            <w:r>
              <w:br/>
            </w:r>
          </w:p>
        </w:tc>
        <w:tc>
          <w:tcPr>
            <w:tcW w:w="1500" w:type="dxa"/>
            <w:noWrap/>
          </w:tcPr>
          <w:p w14:paraId="69D6E63B" w14:textId="77777777" w:rsidR="00DB2B68" w:rsidRDefault="00000000">
            <w:pPr>
              <w:jc w:val="center"/>
            </w:pPr>
            <w:r>
              <w:t>au choix de l'entrepreneur :</w:t>
            </w:r>
          </w:p>
          <w:p w14:paraId="744B44BD" w14:textId="77777777" w:rsidR="00DB2B68" w:rsidRDefault="00000000">
            <w:pPr>
              <w:jc w:val="center"/>
            </w:pPr>
            <w:r>
              <w:rPr>
                <w:rStyle w:val="optioncarChar"/>
              </w:rPr>
              <w:t>6 / 8 / 10 / 11 / 12 / 14 / 16 / 20 / 22 / 32 </w:t>
            </w:r>
            <w:r>
              <w:t>mm</w:t>
            </w:r>
          </w:p>
        </w:tc>
        <w:tc>
          <w:tcPr>
            <w:tcW w:w="1500" w:type="dxa"/>
            <w:noWrap/>
          </w:tcPr>
          <w:p w14:paraId="069908AA" w14:textId="77777777" w:rsidR="00DB2B68" w:rsidRDefault="00000000">
            <w:pPr>
              <w:jc w:val="center"/>
            </w:pPr>
            <w:r>
              <w:rPr>
                <w:rStyle w:val="optioncarChar"/>
              </w:rPr>
              <w:t>***</w:t>
            </w:r>
          </w:p>
        </w:tc>
      </w:tr>
    </w:tbl>
    <w:p w14:paraId="448BE6A4"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461BF4AC" w14:textId="77777777" w:rsidR="00DB2B68" w:rsidRDefault="00000000">
      <w:pPr>
        <w:ind w:left="567"/>
      </w:pPr>
      <w:r>
        <w:t>Données complémentaires propres au béton autoplaçant (E) :</w:t>
      </w:r>
    </w:p>
    <w:p w14:paraId="3986552F" w14:textId="77777777" w:rsidR="00DB2B68" w:rsidRDefault="00000000">
      <w:pPr>
        <w:pStyle w:val="Author-eListParagraph"/>
        <w:numPr>
          <w:ilvl w:val="0"/>
          <w:numId w:val="496"/>
        </w:numPr>
      </w:pPr>
      <w:r>
        <w:t xml:space="preserve">Classe de viscosité apparente : </w:t>
      </w:r>
      <w:r>
        <w:rPr>
          <w:rStyle w:val="optioncarChar"/>
        </w:rPr>
        <w:t>VS1 / VS2</w:t>
      </w:r>
      <w:r>
        <w:t xml:space="preserve"> (selon la [NBN EN 12350-8] )</w:t>
      </w:r>
    </w:p>
    <w:p w14:paraId="717EB8B9" w14:textId="77777777" w:rsidR="00DB2B68" w:rsidRDefault="00000000">
      <w:pPr>
        <w:pStyle w:val="Author-eListParagraph"/>
        <w:numPr>
          <w:ilvl w:val="0"/>
          <w:numId w:val="496"/>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25818A71" w14:textId="77777777" w:rsidR="00DB2B68" w:rsidRDefault="00000000">
      <w:pPr>
        <w:pStyle w:val="Author-eListParagraph"/>
        <w:numPr>
          <w:ilvl w:val="0"/>
          <w:numId w:val="49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5A8E6FE" w14:textId="77777777" w:rsidR="00DB2B68" w:rsidRDefault="00000000">
      <w:r>
        <w:rPr>
          <w:u w:val="single"/>
        </w:rPr>
        <w:t>Armatures</w:t>
      </w:r>
    </w:p>
    <w:p w14:paraId="6BB28539" w14:textId="77777777" w:rsidR="00DB2B68" w:rsidRDefault="00000000">
      <w:pPr>
        <w:pStyle w:val="Author-eListParagraph"/>
        <w:numPr>
          <w:ilvl w:val="0"/>
          <w:numId w:val="497"/>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 .</w:t>
      </w:r>
    </w:p>
    <w:p w14:paraId="3AADCBBA" w14:textId="77777777" w:rsidR="00DB2B68" w:rsidRDefault="00000000">
      <w:pPr>
        <w:pStyle w:val="Author-eListParagraph"/>
        <w:numPr>
          <w:ilvl w:val="0"/>
          <w:numId w:val="497"/>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 .</w:t>
      </w:r>
    </w:p>
    <w:p w14:paraId="386D6754" w14:textId="77777777" w:rsidR="00DB2B68" w:rsidRDefault="00000000">
      <w:pPr>
        <w:pStyle w:val="Author-eListParagraph"/>
        <w:numPr>
          <w:ilvl w:val="0"/>
          <w:numId w:val="497"/>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150 x 150 x 6 x 6 </w:t>
      </w:r>
      <w:r>
        <w:t>(par défaut) </w:t>
      </w:r>
      <w:r>
        <w:rPr>
          <w:rStyle w:val="optioncarChar"/>
        </w:rPr>
        <w:t>/ *** x *** x *** x ***</w:t>
      </w:r>
      <w:r>
        <w:t xml:space="preserve"> mm.</w:t>
      </w:r>
    </w:p>
    <w:p w14:paraId="5821C34D" w14:textId="77777777" w:rsidR="00DB2B68" w:rsidRDefault="00000000">
      <w:pPr>
        <w:pStyle w:val="pheading"/>
      </w:pPr>
      <w:r>
        <w:t>- Finitions</w:t>
      </w:r>
    </w:p>
    <w:p w14:paraId="224E4D3F" w14:textId="77777777" w:rsidR="00DB2B68" w:rsidRDefault="00000000">
      <w:r>
        <w:t>La surface du béton brute de décoffrage est</w:t>
      </w:r>
      <w:r>
        <w:rPr>
          <w:rStyle w:val="optioncarChar"/>
        </w:rPr>
        <w:t xml:space="preserve"> lisse </w:t>
      </w:r>
      <w:r>
        <w:t>(par défaut)</w:t>
      </w:r>
      <w:r>
        <w:rPr>
          <w:rStyle w:val="optioncarChar"/>
        </w:rPr>
        <w:t xml:space="preserve"> / texturée / à relief (ou structurée)  / ***</w:t>
      </w:r>
    </w:p>
    <w:p w14:paraId="30F62F6C" w14:textId="77777777" w:rsidR="00DB2B68" w:rsidRDefault="00000000">
      <w:pPr>
        <w:pStyle w:val="pheading"/>
      </w:pPr>
      <w:r>
        <w:t>- Prescriptions complémentaires</w:t>
      </w:r>
    </w:p>
    <w:p w14:paraId="6F860B49" w14:textId="77777777" w:rsidR="00DB2B68" w:rsidRDefault="00000000">
      <w:r>
        <w:t xml:space="preserve">Résistance au feu : pour les éléments porteurs et structuraux sans fonction séparant </w:t>
      </w:r>
      <w:r>
        <w:rPr>
          <w:rStyle w:val="optioncarChar"/>
        </w:rPr>
        <w:t>R15 / R30</w:t>
      </w:r>
      <w:r>
        <w:t> (par défaut)</w:t>
      </w:r>
      <w:r>
        <w:rPr>
          <w:rStyle w:val="optioncarChar"/>
        </w:rPr>
        <w:t xml:space="preserve"> / R60 / R120 / R *** / *** </w:t>
      </w:r>
      <w:r>
        <w:t xml:space="preserve">et pour les éléments porteurs et structuraux avec fonction séparant </w:t>
      </w:r>
      <w:r>
        <w:rPr>
          <w:rStyle w:val="optioncarChar"/>
        </w:rPr>
        <w:t>REI 30</w:t>
      </w:r>
      <w:r>
        <w:t xml:space="preserve"> (par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046BF38C" w14:textId="77777777" w:rsidR="00DB2B68" w:rsidRDefault="00000000">
      <w:pPr>
        <w:pStyle w:val="pheading"/>
      </w:pPr>
      <w:r>
        <w:t>EXÉCUTION / MISE EN ŒUVRE</w:t>
      </w:r>
    </w:p>
    <w:p w14:paraId="3C6AF76F" w14:textId="77777777" w:rsidR="00DB2B68" w:rsidRDefault="00000000">
      <w:pPr>
        <w:pStyle w:val="pheading"/>
      </w:pPr>
      <w:r>
        <w:t>- Prescriptions générales</w:t>
      </w:r>
    </w:p>
    <w:p w14:paraId="6EA3324A" w14:textId="77777777" w:rsidR="00DB2B68" w:rsidRDefault="00000000">
      <w:r>
        <w:t>L 'étude est à charge de</w:t>
      </w:r>
      <w:r>
        <w:rPr>
          <w:rStyle w:val="optioncarChar"/>
        </w:rPr>
        <w:t xml:space="preserve"> l'entrepreneur </w:t>
      </w:r>
      <w:r>
        <w:t>(par défaut)</w:t>
      </w:r>
      <w:r>
        <w:rPr>
          <w:rStyle w:val="optioncarChar"/>
        </w:rPr>
        <w:t xml:space="preserve">/ du maître de l'ouvrage / du bureau d'étude </w:t>
      </w:r>
      <w:r>
        <w:t>… (</w:t>
      </w:r>
      <w:hyperlink w:anchor="87" w:history="1">
        <w:r>
          <w:rPr>
            <w:color w:val="0000EE"/>
          </w:rPr>
          <w:t>22 Superstructures en béton</w:t>
        </w:r>
      </w:hyperlink>
      <w:r>
        <w:t>).</w:t>
      </w:r>
      <w:r>
        <w:br/>
        <w:t xml:space="preserve">Les </w:t>
      </w:r>
      <w:r>
        <w:rPr>
          <w:rStyle w:val="optioncarChar"/>
        </w:rPr>
        <w:t>parois / pans de toiture / ***</w:t>
      </w:r>
      <w:r>
        <w:t xml:space="preserve"> sont exécutés dans les épaisseurs indiquées sur les plans.</w:t>
      </w:r>
      <w:r>
        <w:br/>
        <w:t xml:space="preserve">La liaison avec d’autres éléments se fait en bétonnant sur place les différentes extrémités des </w:t>
      </w:r>
      <w:r>
        <w:lastRenderedPageBreak/>
        <w:t>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 xml:space="preserve"> 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 .</w:t>
      </w:r>
      <w:r>
        <w:br/>
        <w:t>La période de cure est conforme aux exigences de la [NBN EN 13670] et de la [NBN B 15-400] § F8.5.</w:t>
      </w:r>
    </w:p>
    <w:p w14:paraId="05CD4057" w14:textId="77777777" w:rsidR="00DB2B68" w:rsidRDefault="00000000">
      <w:pPr>
        <w:pStyle w:val="pheading"/>
      </w:pPr>
      <w:r>
        <w:t>- Notes d’exécution complémentaires</w:t>
      </w:r>
    </w:p>
    <w:p w14:paraId="2E29FC09" w14:textId="77777777" w:rsidR="00DB2B68" w:rsidRDefault="00000000">
      <w:r>
        <w:t>Raccords visibles : joint en forme de</w:t>
      </w:r>
      <w:r>
        <w:rPr>
          <w:rStyle w:val="optioncarChar"/>
        </w:rPr>
        <w:t xml:space="preserve"> V </w:t>
      </w:r>
      <w:r>
        <w:t>(par défaut) </w:t>
      </w:r>
      <w:r>
        <w:rPr>
          <w:rStyle w:val="optioncarChar"/>
        </w:rPr>
        <w:t>/ ***</w:t>
      </w:r>
      <w:r>
        <w:t xml:space="preserve"> .</w:t>
      </w:r>
      <w:r>
        <w:br/>
        <w:t>Joints de reprise :</w:t>
      </w:r>
      <w:r>
        <w:br/>
        <w:t>Ponts d'humidité / étanchéité à l'eau :</w:t>
      </w:r>
      <w:r>
        <w:br/>
        <w:t>Ponts thermiques / isolation thermique :</w:t>
      </w:r>
      <w:r>
        <w:br/>
        <w:t>Réservations / pénétrations :</w:t>
      </w:r>
      <w:r>
        <w:br/>
        <w:t>Ancrages :</w:t>
      </w:r>
    </w:p>
    <w:p w14:paraId="1BB6A21D" w14:textId="77777777" w:rsidR="00DB2B68" w:rsidRDefault="00000000">
      <w:pPr>
        <w:pStyle w:val="pheading"/>
      </w:pPr>
      <w:r>
        <w:t>DOCUMENTS DE RÉFÉRENCE COMPLÉMENTAIRES</w:t>
      </w:r>
    </w:p>
    <w:p w14:paraId="4875F8E5" w14:textId="77777777" w:rsidR="00DB2B68" w:rsidRDefault="00000000">
      <w:pPr>
        <w:pStyle w:val="pheading"/>
      </w:pPr>
      <w:r>
        <w:t>- Matériau</w:t>
      </w:r>
    </w:p>
    <w:p w14:paraId="70DA322B" w14:textId="77777777" w:rsidR="00DB2B68" w:rsidRDefault="00000000">
      <w:r>
        <w:t>[NBN A 24-302, Produits sidérurgiques - Aciers pour béton armé - Barres lisses et barres à nervures - Fils machine lisses et fils machine à nervures]</w:t>
      </w:r>
    </w:p>
    <w:p w14:paraId="7DC398AC" w14:textId="77777777" w:rsidR="00DB2B68" w:rsidRDefault="00000000">
      <w:r>
        <w:t>[NBN A 24-303, Produits sidérurgiques - Aciers pour béton armé - Fils écrouis à froid lisses et fils écrouis à froid à nervures]</w:t>
      </w:r>
    </w:p>
    <w:p w14:paraId="53C504D4" w14:textId="77777777" w:rsidR="00DB2B68" w:rsidRDefault="00000000">
      <w:r>
        <w:t>[NBN EN 14889-1, Fibres pour béton - Partie 1 : Fibres d'acier - Définitions, spécifications et conformité]</w:t>
      </w:r>
    </w:p>
    <w:p w14:paraId="48572D14" w14:textId="77777777" w:rsidR="00DB2B68" w:rsidRDefault="00000000">
      <w:pPr>
        <w:pStyle w:val="pheading"/>
      </w:pPr>
      <w:r>
        <w:t>MESURAGE</w:t>
      </w:r>
    </w:p>
    <w:p w14:paraId="53693FF7" w14:textId="77777777" w:rsidR="00DB2B68" w:rsidRDefault="00000000">
      <w:r>
        <w:t xml:space="preserve">Quantités de fibres : </w:t>
      </w:r>
      <w:r>
        <w:rPr>
          <w:rStyle w:val="optioncarChar"/>
        </w:rPr>
        <w:t>***</w:t>
      </w:r>
      <w:r>
        <w:t xml:space="preserve"> kg/m</w:t>
      </w:r>
      <w:r>
        <w:rPr>
          <w:vertAlign w:val="superscript"/>
        </w:rPr>
        <w:t>3</w:t>
      </w:r>
      <w:r>
        <w:t xml:space="preserve"> de béton.</w:t>
      </w:r>
      <w:r>
        <w:br/>
        <w:t xml:space="preserve">Armatures </w:t>
      </w:r>
      <w:r>
        <w:rPr>
          <w:rStyle w:val="optioncarChar"/>
        </w:rPr>
        <w:t>comprises dans le prix unitaire du béton</w:t>
      </w:r>
      <w:r>
        <w:t xml:space="preserve"> (par défaut) / </w:t>
      </w:r>
      <w:r>
        <w:rPr>
          <w:rStyle w:val="optioncarChar"/>
        </w:rPr>
        <w:t>métrées séparément dans les articles Armatures</w:t>
      </w:r>
      <w:r>
        <w:br/>
      </w:r>
      <w:r>
        <w:rPr>
          <w:b/>
        </w:rPr>
        <w:t>(Soit par défaut)</w:t>
      </w:r>
      <w:r>
        <w:br/>
      </w:r>
      <w:r>
        <w:rPr>
          <w:color w:val="33CCCC"/>
        </w:rPr>
        <w:t>1. </w:t>
      </w:r>
      <w:r>
        <w:rPr>
          <w:rStyle w:val="soitChar"/>
          <w:u w:val="single"/>
        </w:rPr>
        <w:t xml:space="preserve">comprises dans le prix unitaire du béton </w:t>
      </w:r>
      <w:r>
        <w:rPr>
          <w:rStyle w:val="soitChar"/>
        </w:rPr>
        <w:t xml:space="preserve"> : Q</w:t>
      </w:r>
      <w:r>
        <w:rPr>
          <w:color w:val="33CCCC"/>
        </w:rPr>
        <w:t>uantités d'armatures précisées dans le métré de cet article (kg/m</w:t>
      </w:r>
      <w:r>
        <w:rPr>
          <w:vertAlign w:val="superscript"/>
        </w:rPr>
        <w:t xml:space="preserve">3 </w:t>
      </w:r>
      <w:r>
        <w:rPr>
          <w:color w:val="33CCCC"/>
        </w:rPr>
        <w:t>de béton)</w:t>
      </w:r>
      <w:r>
        <w:br/>
      </w:r>
      <w:r>
        <w:rPr>
          <w:b/>
        </w:rPr>
        <w:t>(soit)</w:t>
      </w:r>
      <w:r>
        <w:br/>
      </w:r>
      <w:r>
        <w:rPr>
          <w:color w:val="33CCCC"/>
        </w:rPr>
        <w:t xml:space="preserve">2. </w:t>
      </w:r>
      <w:r>
        <w:rPr>
          <w:rStyle w:val="soitChar"/>
          <w:u w:val="single"/>
        </w:rPr>
        <w:t xml:space="preserve"> métrées séparément dans les articles Armatures </w:t>
      </w:r>
      <w:r>
        <w:rPr>
          <w:color w:val="33CCCC"/>
        </w:rPr>
        <w:t xml:space="preserve"> : voir </w:t>
      </w:r>
      <w:hyperlink w:anchor="232" w:history="1">
        <w:r>
          <w:rPr>
            <w:color w:val="0000EE"/>
          </w:rPr>
          <w:t>22.51 Armatures pour béton</w:t>
        </w:r>
      </w:hyperlink>
    </w:p>
    <w:p w14:paraId="07C7CF8F" w14:textId="77777777" w:rsidR="00DB2B68" w:rsidRDefault="00000000">
      <w:pPr>
        <w:pStyle w:val="pheading"/>
      </w:pPr>
      <w:r>
        <w:t>- unité de mesure:</w:t>
      </w:r>
    </w:p>
    <w:p w14:paraId="177258D9" w14:textId="77777777" w:rsidR="00DB2B68" w:rsidRDefault="00000000">
      <w:r>
        <w:t>m³ pour le béton.</w:t>
      </w:r>
      <w:r>
        <w:br/>
        <w:t>kg pour les armatures.</w:t>
      </w:r>
      <w:r>
        <w:br/>
        <w:t>PM, coffrages</w:t>
      </w:r>
    </w:p>
    <w:p w14:paraId="18C743A4" w14:textId="77777777" w:rsidR="00DB2B68" w:rsidRDefault="00000000">
      <w:pPr>
        <w:pStyle w:val="pheading"/>
      </w:pPr>
      <w:r>
        <w:t>- code de mesurage:</w:t>
      </w:r>
    </w:p>
    <w:p w14:paraId="2F7AB702" w14:textId="77777777" w:rsidR="00DB2B68" w:rsidRDefault="00000000">
      <w:r>
        <w:t>Mesurage du volume à couler selon la [NBN B 06-001]</w:t>
      </w:r>
      <w:r>
        <w:br/>
        <w:t>Mesurage des quantités selon la [NBN B 06-001]</w:t>
      </w:r>
    </w:p>
    <w:p w14:paraId="11CB85B2" w14:textId="77777777" w:rsidR="00DB2B68" w:rsidRDefault="00000000">
      <w:pPr>
        <w:pStyle w:val="pheading"/>
      </w:pPr>
      <w:r>
        <w:t>- nature du marché:</w:t>
      </w:r>
    </w:p>
    <w:p w14:paraId="47D4B975" w14:textId="77777777" w:rsidR="00DB2B68" w:rsidRDefault="00000000">
      <w:r>
        <w:t>QF</w:t>
      </w:r>
    </w:p>
    <w:p w14:paraId="46DB9565" w14:textId="77777777" w:rsidR="00DB2B68" w:rsidRDefault="00000000">
      <w:pPr>
        <w:pStyle w:val="pheading"/>
      </w:pPr>
      <w:r>
        <w:t>AIDE</w:t>
      </w:r>
    </w:p>
    <w:p w14:paraId="70FF2000" w14:textId="77777777" w:rsidR="00DB2B68" w:rsidRDefault="00000000">
      <w:r>
        <w:t>Les travaux d’étaiement et les reprises en sous-œuvre / … au niveau de l'infrastructure sont décrits dans le chapitre 14 Travaux d'étaiement, de soutènement et reprise en sous-œuvre.</w:t>
      </w:r>
    </w:p>
    <w:p w14:paraId="067B97D0" w14:textId="77777777" w:rsidR="00DB2B68" w:rsidRDefault="00000000">
      <w:pPr>
        <w:pStyle w:val="Author-eSectionHeading5Numberless"/>
      </w:pPr>
      <w:bookmarkStart w:id="743" w:name="_Toc220495802"/>
      <w:r>
        <w:t>22.16.2 Parois en béton apparent (esthétique) coulé en place CCTB 01.04</w:t>
      </w:r>
      <w:bookmarkEnd w:id="743"/>
    </w:p>
    <w:p w14:paraId="4E7BCB1F" w14:textId="77777777" w:rsidR="00DB2B68" w:rsidRDefault="00000000">
      <w:pPr>
        <w:pStyle w:val="Author-eSectionHeading6Numberless"/>
      </w:pPr>
      <w:bookmarkStart w:id="744" w:name="_Toc220495803"/>
      <w:r>
        <w:lastRenderedPageBreak/>
        <w:t>22.16.2a Parois en béton armé apparent (esthétique) coulé en place CCTB 01.13</w:t>
      </w:r>
      <w:bookmarkEnd w:id="744"/>
    </w:p>
    <w:p w14:paraId="7E2C45D1" w14:textId="77777777" w:rsidR="00DB2B68" w:rsidRDefault="00000000">
      <w:pPr>
        <w:pStyle w:val="pheading"/>
      </w:pPr>
      <w:r>
        <w:t>DESCRIPTION</w:t>
      </w:r>
    </w:p>
    <w:p w14:paraId="037F4FCD" w14:textId="77777777" w:rsidR="00DB2B68" w:rsidRDefault="00000000">
      <w:pPr>
        <w:pStyle w:val="pheading"/>
      </w:pPr>
      <w:r>
        <w:t>- Définition / Comprend</w:t>
      </w:r>
    </w:p>
    <w:p w14:paraId="46251C1A" w14:textId="77777777" w:rsidR="00DB2B68" w:rsidRDefault="00000000">
      <w:r>
        <w:t xml:space="preserve">Il s'agit de toutes les surfaces en élévation </w:t>
      </w:r>
      <w:r>
        <w:rPr>
          <w:rStyle w:val="optioncarChar"/>
        </w:rPr>
        <w:t>faces de parois / pans de toiture inclinées / ***</w:t>
      </w:r>
      <w:r>
        <w:t xml:space="preserve"> exécutées en béton armé coulé en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18B3E6DE" w14:textId="77777777" w:rsidR="00DB2B68" w:rsidRDefault="00000000">
      <w:pPr>
        <w:pStyle w:val="pheading"/>
      </w:pPr>
      <w:r>
        <w:t>MATÉRIAUX</w:t>
      </w:r>
    </w:p>
    <w:p w14:paraId="48AC88D2" w14:textId="77777777" w:rsidR="00DB2B68" w:rsidRDefault="00000000">
      <w:pPr>
        <w:pStyle w:val="pheading"/>
      </w:pPr>
      <w:r>
        <w:t>- Caractéristiques générales</w:t>
      </w:r>
    </w:p>
    <w:p w14:paraId="1E09C6A5" w14:textId="77777777" w:rsidR="00DB2B68" w:rsidRDefault="00000000">
      <w:pPr>
        <w:pStyle w:val="heading"/>
      </w:pPr>
      <w:r>
        <w:t>Spécifications</w:t>
      </w:r>
    </w:p>
    <w:p w14:paraId="7816600F" w14:textId="77777777" w:rsidR="00DB2B68" w:rsidRDefault="00000000">
      <w:r>
        <w:t xml:space="preserve">Qualité du béton selon la [NBN EN 206:2013+A2] et la [NBN B 15-001] (voir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2047936B" w14:textId="77777777">
        <w:tc>
          <w:tcPr>
            <w:tcW w:w="1500" w:type="dxa"/>
            <w:noWrap/>
          </w:tcPr>
          <w:p w14:paraId="0D702187" w14:textId="77777777" w:rsidR="00DB2B68" w:rsidRDefault="00000000">
            <w:pPr>
              <w:jc w:val="center"/>
            </w:pPr>
            <w:r>
              <w:rPr>
                <w:b/>
              </w:rPr>
              <w:t>A</w:t>
            </w:r>
          </w:p>
        </w:tc>
        <w:tc>
          <w:tcPr>
            <w:tcW w:w="1500" w:type="dxa"/>
            <w:noWrap/>
          </w:tcPr>
          <w:p w14:paraId="21C2F81C" w14:textId="77777777" w:rsidR="00DB2B68" w:rsidRDefault="00000000">
            <w:pPr>
              <w:jc w:val="center"/>
            </w:pPr>
            <w:r>
              <w:rPr>
                <w:b/>
              </w:rPr>
              <w:t>B1</w:t>
            </w:r>
          </w:p>
        </w:tc>
        <w:tc>
          <w:tcPr>
            <w:tcW w:w="1500" w:type="dxa"/>
            <w:noWrap/>
          </w:tcPr>
          <w:p w14:paraId="4FB50943" w14:textId="77777777" w:rsidR="00DB2B68" w:rsidRDefault="00000000">
            <w:pPr>
              <w:jc w:val="center"/>
            </w:pPr>
            <w:r>
              <w:rPr>
                <w:b/>
              </w:rPr>
              <w:t>B2</w:t>
            </w:r>
          </w:p>
        </w:tc>
        <w:tc>
          <w:tcPr>
            <w:tcW w:w="1500" w:type="dxa"/>
            <w:noWrap/>
          </w:tcPr>
          <w:p w14:paraId="6F3126EE" w14:textId="77777777" w:rsidR="00DB2B68" w:rsidRDefault="00000000">
            <w:pPr>
              <w:jc w:val="center"/>
            </w:pPr>
            <w:r>
              <w:rPr>
                <w:b/>
              </w:rPr>
              <w:t>C</w:t>
            </w:r>
          </w:p>
        </w:tc>
        <w:tc>
          <w:tcPr>
            <w:tcW w:w="1500" w:type="dxa"/>
            <w:noWrap/>
          </w:tcPr>
          <w:p w14:paraId="4BAF5F43" w14:textId="77777777" w:rsidR="00DB2B68" w:rsidRDefault="00000000">
            <w:pPr>
              <w:jc w:val="center"/>
            </w:pPr>
            <w:r>
              <w:rPr>
                <w:b/>
              </w:rPr>
              <w:t>D</w:t>
            </w:r>
          </w:p>
        </w:tc>
        <w:tc>
          <w:tcPr>
            <w:tcW w:w="1500" w:type="dxa"/>
            <w:noWrap/>
          </w:tcPr>
          <w:p w14:paraId="21E66F46" w14:textId="77777777" w:rsidR="00DB2B68" w:rsidRDefault="00000000">
            <w:pPr>
              <w:jc w:val="center"/>
            </w:pPr>
            <w:r>
              <w:rPr>
                <w:b/>
              </w:rPr>
              <w:t>E</w:t>
            </w:r>
          </w:p>
        </w:tc>
      </w:tr>
      <w:tr w:rsidR="00DB2B68" w14:paraId="5F2F6A85" w14:textId="77777777">
        <w:tc>
          <w:tcPr>
            <w:tcW w:w="1500" w:type="dxa"/>
            <w:noWrap/>
          </w:tcPr>
          <w:p w14:paraId="74EF322E" w14:textId="77777777" w:rsidR="00DB2B68" w:rsidRDefault="00000000">
            <w:pPr>
              <w:jc w:val="center"/>
            </w:pPr>
            <w:r>
              <w:rPr>
                <w:b/>
              </w:rPr>
              <w:t>Classe de résistance</w:t>
            </w:r>
          </w:p>
        </w:tc>
        <w:tc>
          <w:tcPr>
            <w:tcW w:w="1500" w:type="dxa"/>
            <w:noWrap/>
          </w:tcPr>
          <w:p w14:paraId="17650566" w14:textId="77777777" w:rsidR="00DB2B68" w:rsidRDefault="00000000">
            <w:pPr>
              <w:jc w:val="center"/>
            </w:pPr>
            <w:r>
              <w:rPr>
                <w:b/>
              </w:rPr>
              <w:t>Domaine d’application</w:t>
            </w:r>
          </w:p>
        </w:tc>
        <w:tc>
          <w:tcPr>
            <w:tcW w:w="1500" w:type="dxa"/>
            <w:noWrap/>
          </w:tcPr>
          <w:p w14:paraId="198CE91B" w14:textId="77777777" w:rsidR="00DB2B68" w:rsidRDefault="00000000">
            <w:pPr>
              <w:jc w:val="center"/>
            </w:pPr>
            <w:r>
              <w:rPr>
                <w:b/>
              </w:rPr>
              <w:t>Classe d'environnement</w:t>
            </w:r>
          </w:p>
        </w:tc>
        <w:tc>
          <w:tcPr>
            <w:tcW w:w="1500" w:type="dxa"/>
            <w:noWrap/>
          </w:tcPr>
          <w:p w14:paraId="4DD77C7C" w14:textId="77777777" w:rsidR="00DB2B68" w:rsidRDefault="00000000">
            <w:pPr>
              <w:jc w:val="center"/>
            </w:pPr>
            <w:r>
              <w:rPr>
                <w:b/>
              </w:rPr>
              <w:t>Classe de consistance</w:t>
            </w:r>
          </w:p>
        </w:tc>
        <w:tc>
          <w:tcPr>
            <w:tcW w:w="1500" w:type="dxa"/>
            <w:noWrap/>
          </w:tcPr>
          <w:p w14:paraId="5ECF8C6B" w14:textId="77777777" w:rsidR="00DB2B68" w:rsidRDefault="00000000">
            <w:pPr>
              <w:jc w:val="center"/>
            </w:pPr>
            <w:r>
              <w:rPr>
                <w:b/>
              </w:rPr>
              <w:t>Granulométrie maximale</w:t>
            </w:r>
          </w:p>
        </w:tc>
        <w:tc>
          <w:tcPr>
            <w:tcW w:w="1500" w:type="dxa"/>
            <w:noWrap/>
          </w:tcPr>
          <w:p w14:paraId="5B4AC9E0" w14:textId="77777777" w:rsidR="00DB2B68" w:rsidRDefault="00000000">
            <w:r>
              <w:rPr>
                <w:b/>
              </w:rPr>
              <w:t>Données complémentaires</w:t>
            </w:r>
          </w:p>
        </w:tc>
      </w:tr>
      <w:tr w:rsidR="00DB2B68" w14:paraId="1C63F615" w14:textId="77777777">
        <w:tc>
          <w:tcPr>
            <w:tcW w:w="1500" w:type="dxa"/>
            <w:noWrap/>
          </w:tcPr>
          <w:p w14:paraId="3916497B" w14:textId="77777777" w:rsidR="00DB2B68" w:rsidRDefault="00000000">
            <w:pPr>
              <w:jc w:val="center"/>
            </w:pPr>
            <w:r>
              <w:rPr>
                <w:rStyle w:val="optioncarChar"/>
              </w:rPr>
              <w:t>C25/30 / C30/37 / C35/45 / C45/55 / C50/60 / C55/67 / C60/75 / C70/85 / C80/95 / C90/105</w:t>
            </w:r>
          </w:p>
        </w:tc>
        <w:tc>
          <w:tcPr>
            <w:tcW w:w="1500" w:type="dxa"/>
            <w:noWrap/>
          </w:tcPr>
          <w:p w14:paraId="270DD35E" w14:textId="77777777" w:rsidR="00DB2B68" w:rsidRDefault="00000000">
            <w:pPr>
              <w:jc w:val="center"/>
            </w:pPr>
            <w:r>
              <w:t>Béton armé</w:t>
            </w:r>
          </w:p>
          <w:p w14:paraId="58729543" w14:textId="77777777" w:rsidR="00DB2B68" w:rsidRDefault="00000000">
            <w:pPr>
              <w:jc w:val="center"/>
            </w:pPr>
            <w:r>
              <w:t> </w:t>
            </w:r>
          </w:p>
        </w:tc>
        <w:tc>
          <w:tcPr>
            <w:tcW w:w="1500" w:type="dxa"/>
            <w:noWrap/>
          </w:tcPr>
          <w:p w14:paraId="3ED51C8F" w14:textId="77777777" w:rsidR="00DB2B68" w:rsidRDefault="00000000">
            <w:pPr>
              <w:jc w:val="center"/>
            </w:pPr>
            <w:r>
              <w:rPr>
                <w:rStyle w:val="optioncarChar"/>
              </w:rPr>
              <w:t>E0 / EI / EE1 / EE2 / EE3 / EE4 / ES1 / ES2 / ES3 / ES4 / EA1+*** / EA2+***/ EA3+***</w:t>
            </w:r>
          </w:p>
        </w:tc>
        <w:tc>
          <w:tcPr>
            <w:tcW w:w="1500" w:type="dxa"/>
            <w:noWrap/>
          </w:tcPr>
          <w:p w14:paraId="10B55F09" w14:textId="77777777" w:rsidR="00DB2B68" w:rsidRDefault="00000000">
            <w:pPr>
              <w:jc w:val="center"/>
            </w:pPr>
            <w:r>
              <w:t>au choix de l'entrepreneur :</w:t>
            </w:r>
          </w:p>
          <w:p w14:paraId="190BA1E1" w14:textId="77777777" w:rsidR="00DB2B68" w:rsidRDefault="00000000">
            <w:pPr>
              <w:jc w:val="center"/>
            </w:pPr>
            <w:r>
              <w:rPr>
                <w:rStyle w:val="optioncarChar"/>
              </w:rPr>
              <w:t xml:space="preserve">S3 / S4 / S5 </w:t>
            </w:r>
          </w:p>
          <w:p w14:paraId="6E4E04C2" w14:textId="77777777" w:rsidR="00DB2B68" w:rsidRDefault="00000000">
            <w:pPr>
              <w:jc w:val="center"/>
            </w:pPr>
            <w:r>
              <w:rPr>
                <w:rStyle w:val="optioncarChar"/>
              </w:rPr>
              <w:t>F3 / F4 / F5 / F6</w:t>
            </w:r>
            <w:r>
              <w:br/>
            </w:r>
          </w:p>
        </w:tc>
        <w:tc>
          <w:tcPr>
            <w:tcW w:w="1500" w:type="dxa"/>
            <w:noWrap/>
          </w:tcPr>
          <w:p w14:paraId="42198661" w14:textId="77777777" w:rsidR="00DB2B68" w:rsidRDefault="00000000">
            <w:pPr>
              <w:jc w:val="center"/>
            </w:pPr>
            <w:r>
              <w:t>au choix de l'entrepreneur :</w:t>
            </w:r>
          </w:p>
          <w:p w14:paraId="68451379" w14:textId="77777777" w:rsidR="00DB2B68" w:rsidRDefault="00000000">
            <w:pPr>
              <w:jc w:val="center"/>
            </w:pPr>
            <w:r>
              <w:rPr>
                <w:rStyle w:val="optioncarChar"/>
              </w:rPr>
              <w:t>6 / 8 / 10 / 11 / 12 / 14 / 16 / 20 / 22 / 32 </w:t>
            </w:r>
            <w:r>
              <w:t>mm</w:t>
            </w:r>
          </w:p>
        </w:tc>
        <w:tc>
          <w:tcPr>
            <w:tcW w:w="1500" w:type="dxa"/>
            <w:noWrap/>
          </w:tcPr>
          <w:p w14:paraId="3D08F9CD" w14:textId="77777777" w:rsidR="00DB2B68" w:rsidRDefault="00000000">
            <w:pPr>
              <w:jc w:val="center"/>
            </w:pPr>
            <w:r>
              <w:rPr>
                <w:rStyle w:val="optioncarChar"/>
              </w:rPr>
              <w:t>***</w:t>
            </w:r>
          </w:p>
        </w:tc>
      </w:tr>
    </w:tbl>
    <w:p w14:paraId="41E4377B"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6B3137D5" w14:textId="77777777" w:rsidR="00DB2B68" w:rsidRDefault="00000000">
      <w:pPr>
        <w:ind w:left="567"/>
      </w:pPr>
      <w:r>
        <w:t>Données complémentaires propres au béton autoplaçant (E) :</w:t>
      </w:r>
    </w:p>
    <w:p w14:paraId="5A37D186" w14:textId="77777777" w:rsidR="00DB2B68" w:rsidRDefault="00000000">
      <w:pPr>
        <w:pStyle w:val="Author-eListParagraph"/>
        <w:numPr>
          <w:ilvl w:val="0"/>
          <w:numId w:val="498"/>
        </w:numPr>
      </w:pPr>
      <w:r>
        <w:t xml:space="preserve">Classe de viscosité apparente : </w:t>
      </w:r>
      <w:r>
        <w:rPr>
          <w:rStyle w:val="optioncarChar"/>
        </w:rPr>
        <w:t>VS1 / VS2</w:t>
      </w:r>
      <w:r>
        <w:t xml:space="preserve"> (selon la [NBN EN 12350-8] )</w:t>
      </w:r>
    </w:p>
    <w:p w14:paraId="2A6DF84B" w14:textId="77777777" w:rsidR="00DB2B68" w:rsidRDefault="00000000">
      <w:pPr>
        <w:pStyle w:val="Author-eListParagraph"/>
        <w:numPr>
          <w:ilvl w:val="0"/>
          <w:numId w:val="49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7DB1D53" w14:textId="77777777" w:rsidR="00DB2B68" w:rsidRDefault="00000000">
      <w:pPr>
        <w:pStyle w:val="Author-eListParagraph"/>
        <w:numPr>
          <w:ilvl w:val="0"/>
          <w:numId w:val="49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C00EF51"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1AE9BB10" w14:textId="77777777" w:rsidR="00DB2B68" w:rsidRDefault="00000000">
      <w:pPr>
        <w:pStyle w:val="Author-eListParagraph"/>
        <w:numPr>
          <w:ilvl w:val="0"/>
          <w:numId w:val="499"/>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 .</w:t>
      </w:r>
    </w:p>
    <w:p w14:paraId="13BA16FA" w14:textId="77777777" w:rsidR="00DB2B68" w:rsidRDefault="00000000">
      <w:pPr>
        <w:pStyle w:val="Author-eListParagraph"/>
        <w:numPr>
          <w:ilvl w:val="0"/>
          <w:numId w:val="499"/>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 .</w:t>
      </w:r>
    </w:p>
    <w:p w14:paraId="65103734" w14:textId="77777777" w:rsidR="00DB2B68" w:rsidRDefault="00000000">
      <w:pPr>
        <w:pStyle w:val="Author-eListParagraph"/>
        <w:numPr>
          <w:ilvl w:val="0"/>
          <w:numId w:val="499"/>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w:t>
      </w:r>
      <w:r>
        <w:rPr>
          <w:rStyle w:val="optioncarChar"/>
        </w:rPr>
        <w:t xml:space="preserve"> / *** x *** x *** x ***</w:t>
      </w:r>
      <w:r>
        <w:t xml:space="preserve"> mm.</w:t>
      </w:r>
    </w:p>
    <w:p w14:paraId="3A22C38C" w14:textId="77777777" w:rsidR="00DB2B68" w:rsidRDefault="00000000">
      <w:pPr>
        <w:pStyle w:val="pheading"/>
      </w:pPr>
      <w:r>
        <w:lastRenderedPageBreak/>
        <w:t>- Finitions</w:t>
      </w:r>
    </w:p>
    <w:p w14:paraId="62B49CC9" w14:textId="77777777" w:rsidR="00DB2B68" w:rsidRDefault="00000000">
      <w:pPr>
        <w:jc w:val="both"/>
      </w:pPr>
      <w:r>
        <w:t>Finition de la face supérieure de la paroi :</w:t>
      </w:r>
      <w:r>
        <w:rPr>
          <w:rStyle w:val="optioncarChar"/>
        </w:rPr>
        <w:t xml:space="preserve"> talochée </w:t>
      </w:r>
      <w:r>
        <w:t>(par défaut) </w:t>
      </w:r>
      <w:r>
        <w:rPr>
          <w:rStyle w:val="optioncarChar"/>
        </w:rPr>
        <w:t>/ polie / ***</w:t>
      </w:r>
      <w:r>
        <w:t>.</w:t>
      </w:r>
    </w:p>
    <w:p w14:paraId="45EFBD6F" w14:textId="77777777" w:rsidR="00DB2B68" w:rsidRDefault="00000000">
      <w:pPr>
        <w:jc w:val="both"/>
      </w:pPr>
      <w:r>
        <w:t xml:space="preserve">Le type de béton apparent défini suivant la [NBN B 15-007] est </w:t>
      </w:r>
      <w:r>
        <w:rPr>
          <w:rStyle w:val="optioncarChar"/>
        </w:rPr>
        <w:t>ZBA/1 // ZBA/2 // ZBA/3 // ZBA/4 // ZBA/5</w:t>
      </w:r>
    </w:p>
    <w:p w14:paraId="1943332D" w14:textId="77777777" w:rsidR="00DB2B68" w:rsidRDefault="00000000">
      <w:pPr>
        <w:jc w:val="both"/>
      </w:pPr>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6" w:history="1">
        <w:r>
          <w:rPr>
            <w:color w:val="0000EE"/>
          </w:rPr>
          <w:t>22.71 Traitements esthétiques ou de surface</w:t>
        </w:r>
      </w:hyperlink>
      <w:r>
        <w:t>.</w:t>
      </w:r>
    </w:p>
    <w:p w14:paraId="420F15BF"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57C21667" w14:textId="77777777" w:rsidR="00DB2B68" w:rsidRDefault="00000000">
      <w:pPr>
        <w:pStyle w:val="Author-eListParagraph"/>
        <w:numPr>
          <w:ilvl w:val="0"/>
          <w:numId w:val="500"/>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4BE25B56" w14:textId="77777777" w:rsidR="00DB2B68" w:rsidRDefault="00000000">
      <w:pPr>
        <w:pStyle w:val="Author-eListParagraph"/>
        <w:numPr>
          <w:ilvl w:val="0"/>
          <w:numId w:val="500"/>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45D6DDFD" w14:textId="77777777" w:rsidR="00DB2B68" w:rsidRDefault="00000000">
      <w:pPr>
        <w:pStyle w:val="Author-eListParagraph"/>
        <w:numPr>
          <w:ilvl w:val="0"/>
          <w:numId w:val="500"/>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5F0F1464" w14:textId="77777777" w:rsidR="00DB2B68" w:rsidRDefault="00000000">
      <w:pPr>
        <w:pStyle w:val="Author-eListParagraph"/>
        <w:numPr>
          <w:ilvl w:val="0"/>
          <w:numId w:val="500"/>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608E263B" w14:textId="77777777" w:rsidR="00DB2B68" w:rsidRDefault="00000000">
      <w:r>
        <w:rPr>
          <w:rStyle w:val="optioncarChar"/>
          <w:color w:val="000000"/>
        </w:rPr>
        <w:t>Les arêtes saillantes des parois sont</w:t>
      </w:r>
      <w:r>
        <w:rPr>
          <w:rStyle w:val="optioncarChar"/>
        </w:rPr>
        <w:t xml:space="preserve"> vives / chanfreinées </w:t>
      </w:r>
      <w:r>
        <w:t>(par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485D8079" w14:textId="77777777" w:rsidR="00DB2B68" w:rsidRDefault="00000000">
      <w:pPr>
        <w:pStyle w:val="pheading"/>
      </w:pPr>
      <w:r>
        <w:t>- Prescriptions complémentaires</w:t>
      </w:r>
    </w:p>
    <w:p w14:paraId="46167008" w14:textId="77777777" w:rsidR="00DB2B68" w:rsidRDefault="00000000">
      <w:r>
        <w:t xml:space="preserve">Résistance au feu : pour les éléments porteurs et structuraux sans fonction séparant </w:t>
      </w:r>
      <w:r>
        <w:rPr>
          <w:rStyle w:val="optioncarChar"/>
        </w:rPr>
        <w:t>R15 / R30 / R60 / R120 / R *** / *** </w:t>
      </w:r>
      <w:r>
        <w:t xml:space="preserve">et pour les éléments porteurs et structuraux avec fonction séparant </w:t>
      </w:r>
      <w:r>
        <w:rPr>
          <w:rStyle w:val="optioncarChar"/>
        </w:rPr>
        <w:t>REI 30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65D4C715" w14:textId="77777777" w:rsidR="00DB2B68" w:rsidRDefault="00000000">
      <w:pPr>
        <w:pStyle w:val="pheading"/>
      </w:pPr>
      <w:r>
        <w:t>EXÉCUTION / MISE EN ŒUVRE</w:t>
      </w:r>
    </w:p>
    <w:p w14:paraId="2EE66B37" w14:textId="77777777" w:rsidR="00DB2B68" w:rsidRDefault="00000000">
      <w:pPr>
        <w:pStyle w:val="pheading"/>
      </w:pPr>
      <w:r>
        <w:t>- Prescriptions générales</w:t>
      </w:r>
    </w:p>
    <w:p w14:paraId="58ABD6C0" w14:textId="77777777" w:rsidR="00DB2B68" w:rsidRDefault="00000000">
      <w:r>
        <w:t>L 'étude est à charge de</w:t>
      </w:r>
      <w:r>
        <w:rPr>
          <w:rStyle w:val="optioncarChar"/>
        </w:rPr>
        <w:t xml:space="preserve"> l'entrepreneur </w:t>
      </w:r>
      <w:r>
        <w:t>(par défaut) </w:t>
      </w:r>
      <w:r>
        <w:rPr>
          <w:rStyle w:val="optioncarChar"/>
        </w:rPr>
        <w:t>/ du maître de l'ouvrage / du bureau d'étude / *** </w:t>
      </w:r>
      <w:r>
        <w:t>… (</w:t>
      </w:r>
      <w:hyperlink w:anchor="87" w:history="1">
        <w:r>
          <w:rPr>
            <w:color w:val="0000EE"/>
          </w:rPr>
          <w:t>22 Superstructures en béton</w:t>
        </w:r>
      </w:hyperlink>
      <w:r>
        <w:t>).</w:t>
      </w:r>
      <w:r>
        <w:br/>
        <w:t xml:space="preserve">Les </w:t>
      </w:r>
      <w:r>
        <w:rPr>
          <w:rStyle w:val="optioncarChar"/>
        </w:rPr>
        <w:t>parois / pans / *** </w:t>
      </w:r>
      <w:r>
        <w:t>de toiture sont exécutés dans les épaisseurs indiquées sur les plans.</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 .</w:t>
      </w:r>
      <w:r>
        <w:br/>
        <w:t>La période de cure est conforme aux exigences de la [NBN EN 13670] et de la [NBN B 15-400] § F8.5.</w:t>
      </w:r>
    </w:p>
    <w:p w14:paraId="535A5F50" w14:textId="77777777" w:rsidR="00DB2B68" w:rsidRDefault="00000000">
      <w:pPr>
        <w:pStyle w:val="pheading"/>
      </w:pPr>
      <w:r>
        <w:t>- Notes d’exécution complémentaires</w:t>
      </w:r>
    </w:p>
    <w:p w14:paraId="4D07588D" w14:textId="77777777" w:rsidR="00DB2B68" w:rsidRDefault="00000000">
      <w:r>
        <w:t>Raccords visibles : joint en forme de </w:t>
      </w:r>
      <w:r>
        <w:rPr>
          <w:rStyle w:val="optioncarChar"/>
        </w:rPr>
        <w:t>V </w:t>
      </w:r>
      <w:r>
        <w:t>(par défaut) / ***</w:t>
      </w:r>
      <w:r>
        <w:br/>
        <w:t>Joints de reprise :</w:t>
      </w:r>
      <w:r>
        <w:br/>
      </w:r>
      <w:r>
        <w:lastRenderedPageBreak/>
        <w:t>Ponts d'humidité / étanchéité à l'eau :</w:t>
      </w:r>
      <w:r>
        <w:br/>
        <w:t>Ponts thermiques / isolation thermique :</w:t>
      </w:r>
      <w:r>
        <w:br/>
        <w:t>Réservations / pénétrations :</w:t>
      </w:r>
      <w:r>
        <w:br/>
        <w:t>Ancrages :</w:t>
      </w:r>
    </w:p>
    <w:p w14:paraId="2DDD06EB" w14:textId="77777777" w:rsidR="00DB2B68" w:rsidRDefault="00000000">
      <w:pPr>
        <w:pStyle w:val="pheading"/>
      </w:pPr>
      <w:r>
        <w:t>MESURAGE</w:t>
      </w:r>
    </w:p>
    <w:p w14:paraId="135F3C37" w14:textId="77777777" w:rsidR="00DB2B68" w:rsidRDefault="00000000">
      <w:pPr>
        <w:pStyle w:val="pheading"/>
      </w:pPr>
      <w:r>
        <w:t>- unité de mesure:</w:t>
      </w:r>
    </w:p>
    <w:p w14:paraId="4795D176" w14:textId="77777777" w:rsidR="00DB2B68" w:rsidRDefault="00000000">
      <w:r>
        <w:t>m³ pour le béton.</w:t>
      </w:r>
      <w:r>
        <w:br/>
        <w:t>kg pour les armatures.</w:t>
      </w:r>
      <w:r>
        <w:br/>
        <w:t>PM, coffrages</w:t>
      </w:r>
    </w:p>
    <w:p w14:paraId="599180A5" w14:textId="77777777" w:rsidR="00DB2B68" w:rsidRDefault="00000000">
      <w:pPr>
        <w:pStyle w:val="pheading"/>
      </w:pPr>
      <w:r>
        <w:t>- code de mesurage:</w:t>
      </w:r>
    </w:p>
    <w:p w14:paraId="3E011F8B" w14:textId="77777777" w:rsidR="00DB2B68" w:rsidRDefault="00000000">
      <w:r>
        <w:t>Mesurage du volume à couler selon la [NBN B 06-001]</w:t>
      </w:r>
      <w:r>
        <w:br/>
        <w:t>Mesurage des quantités selon la [NBN B 06-001]</w:t>
      </w:r>
    </w:p>
    <w:p w14:paraId="4C23FD06" w14:textId="77777777" w:rsidR="00DB2B68" w:rsidRDefault="00000000">
      <w:pPr>
        <w:pStyle w:val="pheading"/>
      </w:pPr>
      <w:r>
        <w:t>- nature du marché:</w:t>
      </w:r>
    </w:p>
    <w:p w14:paraId="1BAEADBE" w14:textId="77777777" w:rsidR="00DB2B68" w:rsidRDefault="00000000">
      <w:r>
        <w:t>QF</w:t>
      </w:r>
    </w:p>
    <w:p w14:paraId="174C0E58" w14:textId="77777777" w:rsidR="00DB2B68" w:rsidRDefault="00000000">
      <w:pPr>
        <w:pStyle w:val="pheading"/>
      </w:pPr>
      <w:r>
        <w:t>AIDE</w:t>
      </w:r>
    </w:p>
    <w:p w14:paraId="5BCF01E9" w14:textId="77777777" w:rsidR="00DB2B68" w:rsidRDefault="00000000">
      <w:r>
        <w:t>Les travaux d’étaiement et les reprises en sous-œuvre / … au niveau de l'infrastructure sont décrits dans le chapitre 14 Travaux d'étaiement, de soutènement et reprise en sous-œuvre.</w:t>
      </w:r>
    </w:p>
    <w:p w14:paraId="2F892D79" w14:textId="77777777" w:rsidR="00DB2B68" w:rsidRDefault="00000000">
      <w:pPr>
        <w:pStyle w:val="Author-eSectionHeading6Numberless"/>
      </w:pPr>
      <w:bookmarkStart w:id="745" w:name="_Toc220495804"/>
      <w:r>
        <w:t>22.16.2b Parois en béton de fibres d'acier apparent (esthétique) coulé en place CCTB 01.13</w:t>
      </w:r>
      <w:bookmarkEnd w:id="745"/>
    </w:p>
    <w:p w14:paraId="3CA24F07" w14:textId="77777777" w:rsidR="00DB2B68" w:rsidRDefault="00000000">
      <w:pPr>
        <w:pStyle w:val="pheading"/>
      </w:pPr>
      <w:r>
        <w:t>DESCRIPTION</w:t>
      </w:r>
    </w:p>
    <w:p w14:paraId="39BE91BD" w14:textId="77777777" w:rsidR="00DB2B68" w:rsidRDefault="00000000">
      <w:pPr>
        <w:pStyle w:val="pheading"/>
      </w:pPr>
      <w:r>
        <w:t>- Définition / Comprend</w:t>
      </w:r>
    </w:p>
    <w:p w14:paraId="5EE9E377" w14:textId="77777777" w:rsidR="00DB2B68" w:rsidRDefault="00000000">
      <w:r>
        <w:t xml:space="preserve">Il s'agit de toutes les surfaces en élévation </w:t>
      </w:r>
      <w:r>
        <w:rPr>
          <w:rStyle w:val="optioncarChar"/>
        </w:rPr>
        <w:t>faces de parois / pans de toiture inclinées / ***</w:t>
      </w:r>
      <w:r>
        <w:t xml:space="preserve"> exécutées en béton fibre coulé en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4DC823F9" w14:textId="77777777" w:rsidR="00DB2B68" w:rsidRDefault="00000000">
      <w:pPr>
        <w:pStyle w:val="pheading"/>
      </w:pPr>
      <w:r>
        <w:t>MATÉRIAUX</w:t>
      </w:r>
    </w:p>
    <w:p w14:paraId="1218D5D6" w14:textId="77777777" w:rsidR="00DB2B68" w:rsidRDefault="00000000">
      <w:pPr>
        <w:pStyle w:val="pheading"/>
      </w:pPr>
      <w:r>
        <w:t>- Caractéristiques générales</w:t>
      </w:r>
    </w:p>
    <w:p w14:paraId="5DD02611" w14:textId="77777777" w:rsidR="00DB2B68" w:rsidRDefault="00000000">
      <w:pPr>
        <w:pStyle w:val="heading"/>
      </w:pPr>
      <w:r>
        <w:t>Spécifications</w:t>
      </w:r>
    </w:p>
    <w:p w14:paraId="15514447" w14:textId="77777777" w:rsidR="00DB2B68" w:rsidRDefault="00000000">
      <w:r>
        <w:t xml:space="preserve">Qualité du béton selon la [NBN EN 206:2013+A2] et la [NBN B 15-001] (voir également </w:t>
      </w:r>
      <w:hyperlink w:anchor="87" w:history="1">
        <w:r>
          <w:rPr>
            <w:color w:val="0000EE"/>
          </w:rPr>
          <w:t>22 Superstructures en béton</w:t>
        </w:r>
      </w:hyperlink>
      <w:r>
        <w:t>) .</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B2B68" w14:paraId="6EF04232" w14:textId="77777777">
        <w:tc>
          <w:tcPr>
            <w:tcW w:w="1500" w:type="dxa"/>
            <w:noWrap/>
          </w:tcPr>
          <w:p w14:paraId="69B5130F" w14:textId="77777777" w:rsidR="00DB2B68" w:rsidRDefault="00000000">
            <w:pPr>
              <w:jc w:val="center"/>
            </w:pPr>
            <w:r>
              <w:rPr>
                <w:b/>
              </w:rPr>
              <w:t>A</w:t>
            </w:r>
          </w:p>
        </w:tc>
        <w:tc>
          <w:tcPr>
            <w:tcW w:w="1500" w:type="dxa"/>
            <w:noWrap/>
          </w:tcPr>
          <w:p w14:paraId="62A91A49" w14:textId="77777777" w:rsidR="00DB2B68" w:rsidRDefault="00000000">
            <w:pPr>
              <w:jc w:val="center"/>
            </w:pPr>
            <w:r>
              <w:rPr>
                <w:b/>
              </w:rPr>
              <w:t>B1</w:t>
            </w:r>
          </w:p>
        </w:tc>
        <w:tc>
          <w:tcPr>
            <w:tcW w:w="1500" w:type="dxa"/>
            <w:noWrap/>
          </w:tcPr>
          <w:p w14:paraId="0C625BAF" w14:textId="77777777" w:rsidR="00DB2B68" w:rsidRDefault="00000000">
            <w:pPr>
              <w:jc w:val="center"/>
            </w:pPr>
            <w:r>
              <w:rPr>
                <w:b/>
              </w:rPr>
              <w:t>B2</w:t>
            </w:r>
          </w:p>
        </w:tc>
        <w:tc>
          <w:tcPr>
            <w:tcW w:w="1500" w:type="dxa"/>
            <w:noWrap/>
          </w:tcPr>
          <w:p w14:paraId="3463F109" w14:textId="77777777" w:rsidR="00DB2B68" w:rsidRDefault="00000000">
            <w:pPr>
              <w:jc w:val="center"/>
            </w:pPr>
            <w:r>
              <w:rPr>
                <w:b/>
              </w:rPr>
              <w:t>C</w:t>
            </w:r>
          </w:p>
        </w:tc>
        <w:tc>
          <w:tcPr>
            <w:tcW w:w="1500" w:type="dxa"/>
            <w:noWrap/>
          </w:tcPr>
          <w:p w14:paraId="7922C367" w14:textId="77777777" w:rsidR="00DB2B68" w:rsidRDefault="00000000">
            <w:pPr>
              <w:jc w:val="center"/>
            </w:pPr>
            <w:r>
              <w:rPr>
                <w:b/>
              </w:rPr>
              <w:t>D</w:t>
            </w:r>
          </w:p>
        </w:tc>
        <w:tc>
          <w:tcPr>
            <w:tcW w:w="1500" w:type="dxa"/>
            <w:noWrap/>
          </w:tcPr>
          <w:p w14:paraId="45AF3E27" w14:textId="77777777" w:rsidR="00DB2B68" w:rsidRDefault="00000000">
            <w:pPr>
              <w:jc w:val="center"/>
            </w:pPr>
            <w:r>
              <w:rPr>
                <w:b/>
              </w:rPr>
              <w:t>E</w:t>
            </w:r>
          </w:p>
        </w:tc>
      </w:tr>
      <w:tr w:rsidR="00DB2B68" w14:paraId="590DC6EC" w14:textId="77777777">
        <w:tc>
          <w:tcPr>
            <w:tcW w:w="1500" w:type="dxa"/>
            <w:noWrap/>
          </w:tcPr>
          <w:p w14:paraId="122864D0" w14:textId="77777777" w:rsidR="00DB2B68" w:rsidRDefault="00000000">
            <w:pPr>
              <w:jc w:val="center"/>
            </w:pPr>
            <w:r>
              <w:rPr>
                <w:b/>
              </w:rPr>
              <w:t>Classe de résistance</w:t>
            </w:r>
          </w:p>
        </w:tc>
        <w:tc>
          <w:tcPr>
            <w:tcW w:w="1500" w:type="dxa"/>
            <w:noWrap/>
          </w:tcPr>
          <w:p w14:paraId="32B041BA" w14:textId="77777777" w:rsidR="00DB2B68" w:rsidRDefault="00000000">
            <w:pPr>
              <w:jc w:val="center"/>
            </w:pPr>
            <w:r>
              <w:rPr>
                <w:b/>
              </w:rPr>
              <w:t>Domaine d’application</w:t>
            </w:r>
          </w:p>
        </w:tc>
        <w:tc>
          <w:tcPr>
            <w:tcW w:w="1500" w:type="dxa"/>
            <w:noWrap/>
          </w:tcPr>
          <w:p w14:paraId="2ED63EF5" w14:textId="77777777" w:rsidR="00DB2B68" w:rsidRDefault="00000000">
            <w:pPr>
              <w:jc w:val="center"/>
            </w:pPr>
            <w:r>
              <w:rPr>
                <w:b/>
              </w:rPr>
              <w:t>Classe d'environnement</w:t>
            </w:r>
          </w:p>
        </w:tc>
        <w:tc>
          <w:tcPr>
            <w:tcW w:w="1500" w:type="dxa"/>
            <w:noWrap/>
          </w:tcPr>
          <w:p w14:paraId="6C3A144B" w14:textId="77777777" w:rsidR="00DB2B68" w:rsidRDefault="00000000">
            <w:pPr>
              <w:jc w:val="center"/>
            </w:pPr>
            <w:r>
              <w:rPr>
                <w:b/>
              </w:rPr>
              <w:t>Classe de consistance</w:t>
            </w:r>
          </w:p>
        </w:tc>
        <w:tc>
          <w:tcPr>
            <w:tcW w:w="1500" w:type="dxa"/>
            <w:noWrap/>
          </w:tcPr>
          <w:p w14:paraId="0B29728B" w14:textId="77777777" w:rsidR="00DB2B68" w:rsidRDefault="00000000">
            <w:pPr>
              <w:jc w:val="center"/>
            </w:pPr>
            <w:r>
              <w:rPr>
                <w:b/>
              </w:rPr>
              <w:t>Granulométrie maximale</w:t>
            </w:r>
          </w:p>
        </w:tc>
        <w:tc>
          <w:tcPr>
            <w:tcW w:w="1500" w:type="dxa"/>
            <w:noWrap/>
          </w:tcPr>
          <w:p w14:paraId="501BE42F" w14:textId="77777777" w:rsidR="00DB2B68" w:rsidRDefault="00000000">
            <w:r>
              <w:rPr>
                <w:b/>
              </w:rPr>
              <w:t>Données complémentaires</w:t>
            </w:r>
          </w:p>
        </w:tc>
      </w:tr>
      <w:tr w:rsidR="00DB2B68" w14:paraId="1EAC2495" w14:textId="77777777">
        <w:tc>
          <w:tcPr>
            <w:tcW w:w="1500" w:type="dxa"/>
            <w:noWrap/>
          </w:tcPr>
          <w:p w14:paraId="00954280" w14:textId="77777777" w:rsidR="00DB2B68" w:rsidRDefault="00000000">
            <w:pPr>
              <w:jc w:val="center"/>
            </w:pPr>
            <w:r>
              <w:rPr>
                <w:rStyle w:val="optioncarChar"/>
              </w:rPr>
              <w:t>C25/30 / C30/37 / C35/45 / C45/55 / C50/60 / C55/67 / C60/75 / C70/85 / C80/95 / C90/105</w:t>
            </w:r>
          </w:p>
        </w:tc>
        <w:tc>
          <w:tcPr>
            <w:tcW w:w="1500" w:type="dxa"/>
            <w:noWrap/>
          </w:tcPr>
          <w:p w14:paraId="7924D827" w14:textId="77777777" w:rsidR="00DB2B68" w:rsidRDefault="00000000">
            <w:pPr>
              <w:jc w:val="center"/>
            </w:pPr>
            <w:r>
              <w:t>Béton armé</w:t>
            </w:r>
          </w:p>
          <w:p w14:paraId="15853E18" w14:textId="77777777" w:rsidR="00DB2B68" w:rsidRDefault="00000000">
            <w:pPr>
              <w:jc w:val="center"/>
            </w:pPr>
            <w:r>
              <w:t> </w:t>
            </w:r>
          </w:p>
        </w:tc>
        <w:tc>
          <w:tcPr>
            <w:tcW w:w="1500" w:type="dxa"/>
            <w:noWrap/>
          </w:tcPr>
          <w:p w14:paraId="33ABC95B" w14:textId="77777777" w:rsidR="00DB2B68" w:rsidRDefault="00000000">
            <w:pPr>
              <w:jc w:val="center"/>
            </w:pPr>
            <w:r>
              <w:rPr>
                <w:rStyle w:val="optioncarChar"/>
              </w:rPr>
              <w:t>E0 / EI / EE1 / EE2 / EE3 / EE4 / ES1 / ES2 / ES3 / ES4 / EA1+*** / EA2+***/ EA3+***</w:t>
            </w:r>
          </w:p>
        </w:tc>
        <w:tc>
          <w:tcPr>
            <w:tcW w:w="1500" w:type="dxa"/>
            <w:noWrap/>
          </w:tcPr>
          <w:p w14:paraId="60586918" w14:textId="77777777" w:rsidR="00DB2B68" w:rsidRDefault="00000000">
            <w:pPr>
              <w:jc w:val="center"/>
            </w:pPr>
            <w:r>
              <w:t>au choix de l'entrepreneur :</w:t>
            </w:r>
          </w:p>
          <w:p w14:paraId="3AC4B109" w14:textId="77777777" w:rsidR="00DB2B68" w:rsidRDefault="00000000">
            <w:pPr>
              <w:jc w:val="center"/>
            </w:pPr>
            <w:r>
              <w:rPr>
                <w:rStyle w:val="optioncarChar"/>
              </w:rPr>
              <w:t xml:space="preserve">S3 / S4 / S5 </w:t>
            </w:r>
          </w:p>
          <w:p w14:paraId="26C86EA7" w14:textId="77777777" w:rsidR="00DB2B68" w:rsidRDefault="00000000">
            <w:pPr>
              <w:jc w:val="center"/>
            </w:pPr>
            <w:r>
              <w:rPr>
                <w:rStyle w:val="optioncarChar"/>
              </w:rPr>
              <w:t>F3 / F4 / F5 / F6</w:t>
            </w:r>
            <w:r>
              <w:br/>
            </w:r>
          </w:p>
        </w:tc>
        <w:tc>
          <w:tcPr>
            <w:tcW w:w="1500" w:type="dxa"/>
            <w:noWrap/>
          </w:tcPr>
          <w:p w14:paraId="7249C1F9" w14:textId="77777777" w:rsidR="00DB2B68" w:rsidRDefault="00000000">
            <w:pPr>
              <w:jc w:val="center"/>
            </w:pPr>
            <w:r>
              <w:t>au choix de l'entrepreneur :</w:t>
            </w:r>
          </w:p>
          <w:p w14:paraId="12A36E56" w14:textId="77777777" w:rsidR="00DB2B68" w:rsidRDefault="00000000">
            <w:pPr>
              <w:jc w:val="center"/>
            </w:pPr>
            <w:r>
              <w:rPr>
                <w:rStyle w:val="optioncarChar"/>
              </w:rPr>
              <w:t>6 / 8 / 10 / 11 / 12 / 14 / 16 / 20 / 22 / 32 </w:t>
            </w:r>
            <w:r>
              <w:t>mm</w:t>
            </w:r>
          </w:p>
        </w:tc>
        <w:tc>
          <w:tcPr>
            <w:tcW w:w="1500" w:type="dxa"/>
            <w:noWrap/>
          </w:tcPr>
          <w:p w14:paraId="22CC9CE8" w14:textId="77777777" w:rsidR="00DB2B68" w:rsidRDefault="00000000">
            <w:pPr>
              <w:jc w:val="center"/>
            </w:pPr>
            <w:r>
              <w:rPr>
                <w:rStyle w:val="optioncarChar"/>
              </w:rPr>
              <w:t>***</w:t>
            </w:r>
          </w:p>
        </w:tc>
      </w:tr>
    </w:tbl>
    <w:p w14:paraId="4D0439BA" w14:textId="77777777" w:rsidR="00DB2B68" w:rsidRDefault="00000000">
      <w:pPr>
        <w:ind w:left="567"/>
      </w:pPr>
      <w:r>
        <w:lastRenderedPageBreak/>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362766FE" w14:textId="77777777" w:rsidR="00DB2B68" w:rsidRDefault="00000000">
      <w:pPr>
        <w:ind w:left="567"/>
      </w:pPr>
      <w:r>
        <w:t>Données complémentaires propres au béton autoplaçant (E) :</w:t>
      </w:r>
    </w:p>
    <w:p w14:paraId="20A6F09F" w14:textId="77777777" w:rsidR="00DB2B68" w:rsidRDefault="00000000">
      <w:pPr>
        <w:pStyle w:val="Author-eListParagraph"/>
        <w:numPr>
          <w:ilvl w:val="0"/>
          <w:numId w:val="501"/>
        </w:numPr>
      </w:pPr>
      <w:r>
        <w:t xml:space="preserve">Classe de viscosité apparente : </w:t>
      </w:r>
      <w:r>
        <w:rPr>
          <w:rStyle w:val="optioncarChar"/>
        </w:rPr>
        <w:t>VS1 / VS2</w:t>
      </w:r>
      <w:r>
        <w:t xml:space="preserve"> (selon la [NBN EN 12350-8] )</w:t>
      </w:r>
    </w:p>
    <w:p w14:paraId="3F69CF24" w14:textId="77777777" w:rsidR="00DB2B68" w:rsidRDefault="00000000">
      <w:pPr>
        <w:pStyle w:val="Author-eListParagraph"/>
        <w:numPr>
          <w:ilvl w:val="0"/>
          <w:numId w:val="50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93C6793" w14:textId="77777777" w:rsidR="00DB2B68" w:rsidRDefault="00000000">
      <w:pPr>
        <w:pStyle w:val="Author-eListParagraph"/>
        <w:numPr>
          <w:ilvl w:val="0"/>
          <w:numId w:val="50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D5E67E3" w14:textId="77777777" w:rsidR="00DB2B68" w:rsidRDefault="00000000">
      <w:pPr>
        <w:pStyle w:val="Author-eListParagraph"/>
        <w:numPr>
          <w:ilvl w:val="0"/>
          <w:numId w:val="502"/>
        </w:numPr>
      </w:pPr>
      <w:r>
        <w:t xml:space="preserve">Pourcentage de fibres : </w:t>
      </w:r>
      <w:r>
        <w:rPr>
          <w:rStyle w:val="optioncarChar"/>
        </w:rPr>
        <w:t>***</w:t>
      </w:r>
      <w:r>
        <w:t xml:space="preserve"> kg au m</w:t>
      </w:r>
      <w:r>
        <w:rPr>
          <w:vertAlign w:val="superscript"/>
        </w:rPr>
        <w:t>3</w:t>
      </w:r>
      <w:r>
        <w:t xml:space="preserve"> béton. </w:t>
      </w:r>
    </w:p>
    <w:p w14:paraId="29C4687A" w14:textId="77777777" w:rsidR="00DB2B68" w:rsidRDefault="00000000">
      <w:r>
        <w:t xml:space="preserve">Pourcentage d'armatures : </w:t>
      </w:r>
      <w:r>
        <w:rPr>
          <w:rStyle w:val="optioncarChar"/>
        </w:rPr>
        <w:t>***</w:t>
      </w:r>
      <w:r>
        <w:t xml:space="preserve"> kg d'acier de barres et treillis par m</w:t>
      </w:r>
      <w:r>
        <w:rPr>
          <w:vertAlign w:val="superscript"/>
        </w:rPr>
        <w:t>3</w:t>
      </w:r>
      <w:r>
        <w:t xml:space="preserve"> de béton.</w:t>
      </w:r>
    </w:p>
    <w:p w14:paraId="6EE8D148" w14:textId="77777777" w:rsidR="00DB2B68" w:rsidRDefault="00000000">
      <w:pPr>
        <w:pStyle w:val="Author-eListParagraph"/>
        <w:numPr>
          <w:ilvl w:val="0"/>
          <w:numId w:val="50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74B1A380" w14:textId="77777777" w:rsidR="00DB2B68" w:rsidRDefault="00000000">
      <w:pPr>
        <w:pStyle w:val="Author-eListParagraph"/>
        <w:numPr>
          <w:ilvl w:val="0"/>
          <w:numId w:val="503"/>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6 x 6 </w:t>
      </w:r>
      <w:r>
        <w:t>(par défaut)</w:t>
      </w:r>
      <w:r>
        <w:rPr>
          <w:rStyle w:val="optioncarChar"/>
        </w:rPr>
        <w:t xml:space="preserve"> / *** x *** x *** x *** </w:t>
      </w:r>
      <w:r>
        <w:t xml:space="preserve"> mm.</w:t>
      </w:r>
    </w:p>
    <w:p w14:paraId="5DDA5883" w14:textId="77777777" w:rsidR="00DB2B68" w:rsidRDefault="00000000">
      <w:pPr>
        <w:pStyle w:val="pheading"/>
      </w:pPr>
      <w:r>
        <w:t>- Finitions</w:t>
      </w:r>
    </w:p>
    <w:p w14:paraId="1C8292E7" w14:textId="77777777" w:rsidR="00DB2B68" w:rsidRDefault="00000000">
      <w:pPr>
        <w:jc w:val="both"/>
      </w:pPr>
      <w:r>
        <w:t>Finition supérieure :</w:t>
      </w:r>
      <w:r>
        <w:rPr>
          <w:rStyle w:val="optioncarChar"/>
        </w:rPr>
        <w:t> talochée </w:t>
      </w:r>
      <w:r>
        <w:t>(par défaut)</w:t>
      </w:r>
      <w:r>
        <w:rPr>
          <w:rStyle w:val="optioncarChar"/>
        </w:rPr>
        <w:t xml:space="preserve"> / polie / ***</w:t>
      </w:r>
      <w:r>
        <w:t>.</w:t>
      </w:r>
    </w:p>
    <w:p w14:paraId="584A5E51" w14:textId="77777777" w:rsidR="00DB2B68" w:rsidRDefault="00000000">
      <w:pPr>
        <w:jc w:val="both"/>
      </w:pPr>
      <w:r>
        <w:t xml:space="preserve">Le type de béton apparent défini suivant la [NBN B 15-007] est </w:t>
      </w:r>
      <w:r>
        <w:rPr>
          <w:rStyle w:val="optioncarChar"/>
        </w:rPr>
        <w:t>ZBA/1 // ZBA/2 // ZBA/3 // ZBA/4 // ZBA/5</w:t>
      </w:r>
    </w:p>
    <w:p w14:paraId="38111E52" w14:textId="77777777" w:rsidR="00DB2B68" w:rsidRDefault="00000000">
      <w:pPr>
        <w:jc w:val="both"/>
      </w:pPr>
      <w:r>
        <w:t xml:space="preserve">La surface des bétons de type ZBA/4 et ZBA/5 est </w:t>
      </w:r>
      <w:r>
        <w:rPr>
          <w:rStyle w:val="optioncarChar"/>
        </w:rPr>
        <w:t>lavée à l’eau / brossée / bouchardée / grenaillée / grésée / polie mat / polie brillant</w:t>
      </w:r>
      <w:r>
        <w:t xml:space="preserve">, comme décrit en </w:t>
      </w:r>
      <w:hyperlink w:anchor="486" w:history="1">
        <w:r>
          <w:rPr>
            <w:color w:val="0000EE"/>
          </w:rPr>
          <w:t>22.71 Traitements esthétiques ou de surface</w:t>
        </w:r>
      </w:hyperlink>
      <w:r>
        <w:t>.</w:t>
      </w:r>
    </w:p>
    <w:p w14:paraId="03C501EA"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37E7247B" w14:textId="77777777" w:rsidR="00DB2B68" w:rsidRDefault="00000000">
      <w:pPr>
        <w:pStyle w:val="Author-eListParagraph"/>
        <w:numPr>
          <w:ilvl w:val="0"/>
          <w:numId w:val="504"/>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96F5E8C" w14:textId="77777777" w:rsidR="00DB2B68" w:rsidRDefault="00000000">
      <w:pPr>
        <w:pStyle w:val="Author-eListParagraph"/>
        <w:numPr>
          <w:ilvl w:val="0"/>
          <w:numId w:val="504"/>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008AEEDD" w14:textId="77777777" w:rsidR="00DB2B68" w:rsidRDefault="00000000">
      <w:pPr>
        <w:pStyle w:val="Author-eListParagraph"/>
        <w:numPr>
          <w:ilvl w:val="0"/>
          <w:numId w:val="504"/>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CFA4B21" w14:textId="77777777" w:rsidR="00DB2B68" w:rsidRDefault="00000000">
      <w:pPr>
        <w:pStyle w:val="Author-eListParagraph"/>
        <w:numPr>
          <w:ilvl w:val="0"/>
          <w:numId w:val="504"/>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59212FB1" w14:textId="77777777" w:rsidR="00DB2B68" w:rsidRDefault="00000000">
      <w:r>
        <w:rPr>
          <w:rStyle w:val="optioncarChar"/>
          <w:color w:val="000000"/>
        </w:rPr>
        <w:t>Les arêtes saillantes des parois sont</w:t>
      </w:r>
      <w:r>
        <w:rPr>
          <w:rStyle w:val="optioncarChar"/>
        </w:rPr>
        <w:t xml:space="preserve"> vives / chanfreinées </w:t>
      </w:r>
      <w:r>
        <w:t xml:space="preserve">(par défaut) </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692F84AC" w14:textId="77777777" w:rsidR="00DB2B68" w:rsidRDefault="00000000">
      <w:r>
        <w:rPr>
          <w:rStyle w:val="optioncarChar"/>
        </w:rPr>
        <w:t> </w:t>
      </w:r>
    </w:p>
    <w:p w14:paraId="5F019F7C" w14:textId="77777777" w:rsidR="00DB2B68" w:rsidRDefault="00000000">
      <w:pPr>
        <w:pStyle w:val="pheading"/>
      </w:pPr>
      <w:r>
        <w:t>- Prescriptions complémentaires</w:t>
      </w:r>
    </w:p>
    <w:p w14:paraId="5C50528E" w14:textId="77777777" w:rsidR="00DB2B68" w:rsidRDefault="00000000">
      <w:r>
        <w:t>Résistance au feu :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 xml:space="preserve">démontrée par test au feu selon la [NBN EN 13501-2] ou par calcul selon les Eurocodes conformément à l’[AM 2013-05-17, Arrêté ministériel relatif à l’utilisation des Eurocodes comme méthodes de calcul pour l’évaluation de la résistance au </w:t>
      </w:r>
      <w:r>
        <w:lastRenderedPageBreak/>
        <w:t>feu d’éléments de construction].</w:t>
      </w:r>
      <w:r>
        <w:br/>
      </w:r>
    </w:p>
    <w:p w14:paraId="107BEAC1" w14:textId="77777777" w:rsidR="00DB2B68" w:rsidRDefault="00000000">
      <w:pPr>
        <w:pStyle w:val="pheading"/>
      </w:pPr>
      <w:r>
        <w:t>EXÉCUTION / MISE EN ŒUVRE</w:t>
      </w:r>
    </w:p>
    <w:p w14:paraId="7CE9A76E" w14:textId="77777777" w:rsidR="00DB2B68" w:rsidRDefault="00000000">
      <w:pPr>
        <w:pStyle w:val="pheading"/>
      </w:pPr>
      <w:r>
        <w:t>- Prescriptions générales</w:t>
      </w:r>
    </w:p>
    <w:p w14:paraId="2AC92571" w14:textId="77777777" w:rsidR="00DB2B68" w:rsidRDefault="00000000">
      <w:r>
        <w:t>L 'étude est à charge de</w:t>
      </w:r>
      <w:r>
        <w:rPr>
          <w:rStyle w:val="optioncarChar"/>
        </w:rPr>
        <w:t> l'entrepreneur </w:t>
      </w:r>
      <w:r>
        <w:t>(par défaut)</w:t>
      </w:r>
      <w:r>
        <w:rPr>
          <w:rStyle w:val="optioncarChar"/>
        </w:rPr>
        <w:t xml:space="preserve"> / du maître de l'ouvrage / du bureau d'étude / *** </w:t>
      </w:r>
      <w:r>
        <w:t>… (</w:t>
      </w:r>
      <w:hyperlink w:anchor="87" w:history="1">
        <w:r>
          <w:rPr>
            <w:color w:val="0000EE"/>
          </w:rPr>
          <w:t>22 Superstructures en béton</w:t>
        </w:r>
      </w:hyperlink>
      <w:r>
        <w:t>).</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 / *** fois. L’entrepreneur se concerte au préalable avec l’auteur de projet ou l’ingénieur au sujet de la succession des travaux de coulage, de l’emplacement des joints de reprise, …</w:t>
      </w:r>
      <w:r>
        <w:br/>
        <w:t xml:space="preserve">Le décoffrage ne se fait pas avant </w:t>
      </w:r>
      <w:r>
        <w:rPr>
          <w:rStyle w:val="optioncarChar"/>
        </w:rPr>
        <w:t>*** jours suivant le coulage du béton / selon les directives de l'ingénieur conseil béton </w:t>
      </w:r>
      <w:r>
        <w:t>(par défaut) .</w:t>
      </w:r>
      <w:r>
        <w:br/>
        <w:t>La période de cure est conforme aux exigences de la [NBN EN 13670] et de la [NBN B 15-400] § F8.5.</w:t>
      </w:r>
    </w:p>
    <w:p w14:paraId="01AE2AE9" w14:textId="77777777" w:rsidR="00DB2B68" w:rsidRDefault="00000000">
      <w:pPr>
        <w:pStyle w:val="pheading"/>
      </w:pPr>
      <w:r>
        <w:t>- Notes d’exécution complémentaires</w:t>
      </w:r>
    </w:p>
    <w:p w14:paraId="11B0CB5E" w14:textId="77777777" w:rsidR="00DB2B68" w:rsidRDefault="00000000">
      <w:r>
        <w:t>Raccords visibles : joint en forme de</w:t>
      </w:r>
      <w:r>
        <w:rPr>
          <w:rStyle w:val="optioncarChar"/>
        </w:rPr>
        <w:t> V </w:t>
      </w:r>
      <w:r>
        <w:t>(par défaut)</w:t>
      </w:r>
      <w:r>
        <w:rPr>
          <w:rStyle w:val="optioncarChar"/>
        </w:rPr>
        <w:t xml:space="preserve"> / ***</w:t>
      </w:r>
      <w:r>
        <w:br/>
        <w:t>Joints de reprise :</w:t>
      </w:r>
      <w:r>
        <w:br/>
        <w:t>Ponts d'humidité / étanchéité à l'eau :</w:t>
      </w:r>
      <w:r>
        <w:br/>
        <w:t>Ponts thermiques / isolation thermique :</w:t>
      </w:r>
      <w:r>
        <w:br/>
        <w:t>Réservations / pénétrations :</w:t>
      </w:r>
      <w:r>
        <w:br/>
        <w:t>Ancrages :</w:t>
      </w:r>
    </w:p>
    <w:p w14:paraId="46769AC2" w14:textId="77777777" w:rsidR="00DB2B68" w:rsidRDefault="00000000">
      <w:pPr>
        <w:pStyle w:val="pheading"/>
      </w:pPr>
      <w:r>
        <w:t>DOCUMENTS DE RÉFÉRENCE COMPLÉMENTAIRES</w:t>
      </w:r>
    </w:p>
    <w:p w14:paraId="4F1BEB81" w14:textId="77777777" w:rsidR="00DB2B68" w:rsidRDefault="00000000">
      <w:pPr>
        <w:pStyle w:val="pheading"/>
      </w:pPr>
      <w:r>
        <w:t>- Matériau</w:t>
      </w:r>
    </w:p>
    <w:p w14:paraId="7D268455" w14:textId="77777777" w:rsidR="00DB2B68" w:rsidRDefault="00000000">
      <w:r>
        <w:t>[NBN A 24-302, Produits sidérurgiques - Aciers pour béton armé - Barres lisses et barres à nervures - Fils machine lisses et fils machine à nervures]</w:t>
      </w:r>
    </w:p>
    <w:p w14:paraId="49AFB43A" w14:textId="77777777" w:rsidR="00DB2B68" w:rsidRDefault="00000000">
      <w:r>
        <w:t>[NBN EN 14889-1, Fibres pour béton - Partie 1 : Fibres d'acier - Définitions, spécifications et conformité]</w:t>
      </w:r>
    </w:p>
    <w:p w14:paraId="74A1FEF1" w14:textId="77777777" w:rsidR="00DB2B68" w:rsidRDefault="00000000">
      <w:pPr>
        <w:pStyle w:val="pheading"/>
      </w:pPr>
      <w:r>
        <w:t>MESURAGE</w:t>
      </w:r>
    </w:p>
    <w:p w14:paraId="05BE56A5" w14:textId="77777777" w:rsidR="00DB2B68" w:rsidRDefault="00000000">
      <w:pPr>
        <w:pStyle w:val="pheading"/>
      </w:pPr>
      <w:r>
        <w:t>- unité de mesure:</w:t>
      </w:r>
    </w:p>
    <w:p w14:paraId="720EAB6A" w14:textId="77777777" w:rsidR="00DB2B68" w:rsidRDefault="00000000">
      <w:r>
        <w:t>m³ pour le béton.</w:t>
      </w:r>
      <w:r>
        <w:br/>
        <w:t>kg pour les armatures.</w:t>
      </w:r>
      <w:r>
        <w:br/>
        <w:t>PM, coffrages</w:t>
      </w:r>
    </w:p>
    <w:p w14:paraId="37D2F98B" w14:textId="77777777" w:rsidR="00DB2B68" w:rsidRDefault="00000000">
      <w:pPr>
        <w:pStyle w:val="pheading"/>
      </w:pPr>
      <w:r>
        <w:t>- code de mesurage:</w:t>
      </w:r>
    </w:p>
    <w:p w14:paraId="33BC2309" w14:textId="77777777" w:rsidR="00DB2B68" w:rsidRDefault="00000000">
      <w:r>
        <w:t>Mesurage du volume à couler selon la [NBN B 06-001]</w:t>
      </w:r>
      <w:r>
        <w:br/>
        <w:t>Mesurage des quantités selon la [NBN B 06-001]</w:t>
      </w:r>
    </w:p>
    <w:p w14:paraId="5398EC6E" w14:textId="77777777" w:rsidR="00DB2B68" w:rsidRDefault="00000000">
      <w:pPr>
        <w:pStyle w:val="pheading"/>
      </w:pPr>
      <w:r>
        <w:t>- nature du marché:</w:t>
      </w:r>
    </w:p>
    <w:p w14:paraId="2CB321D6" w14:textId="77777777" w:rsidR="00DB2B68" w:rsidRDefault="00000000">
      <w:r>
        <w:t>QF</w:t>
      </w:r>
    </w:p>
    <w:p w14:paraId="6F25DB77" w14:textId="77777777" w:rsidR="00DB2B68" w:rsidRDefault="00000000">
      <w:pPr>
        <w:pStyle w:val="pheading"/>
      </w:pPr>
      <w:r>
        <w:t>AIDE</w:t>
      </w:r>
    </w:p>
    <w:p w14:paraId="1A61646F" w14:textId="77777777" w:rsidR="00DB2B68" w:rsidRDefault="00000000">
      <w:r>
        <w:t>Les travaux d’étaiement et les reprises en sous-œuvre / … au niveau de l'infrastructure sont décrits dans le chapitre 14 Travaux d'étaiement, de soutènement et reprise en sous-œuvre.</w:t>
      </w:r>
    </w:p>
    <w:p w14:paraId="2556C813" w14:textId="77777777" w:rsidR="00DB2B68" w:rsidRDefault="00000000">
      <w:pPr>
        <w:pStyle w:val="Author-eSectionHeading5Numberless"/>
      </w:pPr>
      <w:bookmarkStart w:id="746" w:name="_Toc220495805"/>
      <w:r>
        <w:t>22.16.3 Parois préfabriquées en béton CCTB 01.11</w:t>
      </w:r>
      <w:bookmarkEnd w:id="746"/>
    </w:p>
    <w:p w14:paraId="0D463AE6" w14:textId="77777777" w:rsidR="00DB2B68" w:rsidRDefault="00000000">
      <w:pPr>
        <w:pStyle w:val="pheading"/>
      </w:pPr>
      <w:bookmarkStart w:id="747" w:name="502"/>
      <w:bookmarkEnd w:id="747"/>
      <w:r>
        <w:t>DESCRIPTION</w:t>
      </w:r>
    </w:p>
    <w:p w14:paraId="5A4E53A8" w14:textId="77777777" w:rsidR="00DB2B68" w:rsidRDefault="00000000">
      <w:pPr>
        <w:pStyle w:val="pheading"/>
      </w:pPr>
      <w:r>
        <w:t>- Définition / Comprend</w:t>
      </w:r>
    </w:p>
    <w:p w14:paraId="09EC4686" w14:textId="77777777" w:rsidR="00DB2B68" w:rsidRDefault="00000000">
      <w:pPr>
        <w:jc w:val="both"/>
      </w:pPr>
      <w:r>
        <w:lastRenderedPageBreak/>
        <w:t>Il s'agit de toutes les faces en élévation des murs en béton armé ou béton précontraint, qui sont préfabriquées en usine et assemblées sur chantier aux constructions déjà exécutées.</w:t>
      </w:r>
    </w:p>
    <w:p w14:paraId="485A4B23" w14:textId="77777777" w:rsidR="00DB2B68" w:rsidRDefault="00000000">
      <w:pPr>
        <w:jc w:val="both"/>
      </w:pPr>
      <w:r>
        <w:t>Le travail comprend notamment :</w:t>
      </w:r>
    </w:p>
    <w:p w14:paraId="4B0149FE" w14:textId="77777777" w:rsidR="00DB2B68" w:rsidRDefault="00000000">
      <w:pPr>
        <w:pStyle w:val="Author-eListParagraph"/>
        <w:numPr>
          <w:ilvl w:val="0"/>
          <w:numId w:val="505"/>
        </w:numPr>
        <w:jc w:val="both"/>
      </w:pPr>
      <w:r>
        <w:t>La préparation et nettoyage du sol sur lesquels les parois sont posées ;</w:t>
      </w:r>
    </w:p>
    <w:p w14:paraId="0B806BAB" w14:textId="77777777" w:rsidR="00DB2B68" w:rsidRDefault="00000000">
      <w:pPr>
        <w:pStyle w:val="Author-eListParagraph"/>
        <w:numPr>
          <w:ilvl w:val="0"/>
          <w:numId w:val="505"/>
        </w:numPr>
        <w:jc w:val="both"/>
      </w:pPr>
      <w:r>
        <w:t>La livraison et la pose des parois, y compris tous les supports temporaires et travaux d’étayage ;</w:t>
      </w:r>
    </w:p>
    <w:p w14:paraId="58AF4328" w14:textId="77777777" w:rsidR="00DB2B68" w:rsidRDefault="00000000">
      <w:pPr>
        <w:pStyle w:val="Author-eListParagraph"/>
        <w:numPr>
          <w:ilvl w:val="0"/>
          <w:numId w:val="505"/>
        </w:numPr>
        <w:jc w:val="both"/>
      </w:pPr>
      <w:r>
        <w:t>Les réservations prévues sur les plans ;</w:t>
      </w:r>
    </w:p>
    <w:p w14:paraId="56B02CAC" w14:textId="77777777" w:rsidR="00DB2B68" w:rsidRDefault="00000000">
      <w:pPr>
        <w:pStyle w:val="Author-eListParagraph"/>
        <w:numPr>
          <w:ilvl w:val="0"/>
          <w:numId w:val="505"/>
        </w:numPr>
        <w:jc w:val="both"/>
      </w:pPr>
      <w:r>
        <w:t>La finition des bords et travaux de réparation en cas d’endommagement ;</w:t>
      </w:r>
    </w:p>
    <w:p w14:paraId="3FAEA5D7" w14:textId="77777777" w:rsidR="00DB2B68" w:rsidRDefault="00000000">
      <w:pPr>
        <w:pStyle w:val="Author-eListParagraph"/>
        <w:numPr>
          <w:ilvl w:val="0"/>
          <w:numId w:val="505"/>
        </w:numPr>
        <w:jc w:val="both"/>
      </w:pPr>
      <w:r>
        <w:t>Le remplissage des joints de dilatation selon les directives du fournisseur ;</w:t>
      </w:r>
    </w:p>
    <w:p w14:paraId="2A1CFD67" w14:textId="77777777" w:rsidR="00DB2B68" w:rsidRDefault="00000000">
      <w:pPr>
        <w:pStyle w:val="Author-eListParagraph"/>
        <w:numPr>
          <w:ilvl w:val="0"/>
          <w:numId w:val="505"/>
        </w:numPr>
        <w:jc w:val="both"/>
      </w:pPr>
      <w:r>
        <w:t>Le contrôle de toutes les dimensions et l’adaptation des éléments à préfabriquer aux dimensions réelles ;</w:t>
      </w:r>
    </w:p>
    <w:p w14:paraId="35321928" w14:textId="77777777" w:rsidR="00DB2B68" w:rsidRDefault="00000000">
      <w:pPr>
        <w:pStyle w:val="Author-eListParagraph"/>
        <w:numPr>
          <w:ilvl w:val="0"/>
          <w:numId w:val="505"/>
        </w:numPr>
        <w:jc w:val="both"/>
      </w:pPr>
      <w:r>
        <w:t>Toutes les armatures saillantes et recouvertes de béton, toutes les pièces pour leur placement et leur fixation ;</w:t>
      </w:r>
    </w:p>
    <w:p w14:paraId="5DFBEAF9" w14:textId="77777777" w:rsidR="00DB2B68" w:rsidRDefault="00000000">
      <w:pPr>
        <w:pStyle w:val="Author-eListParagraph"/>
        <w:numPr>
          <w:ilvl w:val="0"/>
          <w:numId w:val="505"/>
        </w:numPr>
        <w:jc w:val="both"/>
      </w:pPr>
      <w:r>
        <w:t>Les armatures complémentaires de liaison, de renforcement et d’angle selon les indications figurant sur le plan de pose et/ou dans l’étude du béton ;</w:t>
      </w:r>
    </w:p>
    <w:p w14:paraId="24722B53" w14:textId="77777777" w:rsidR="00DB2B68" w:rsidRDefault="00000000">
      <w:pPr>
        <w:pStyle w:val="Author-eListParagraph"/>
        <w:numPr>
          <w:ilvl w:val="0"/>
          <w:numId w:val="505"/>
        </w:numPr>
        <w:jc w:val="both"/>
      </w:pPr>
      <w:r>
        <w:t>Tous les moyens de liaisonnement, aussi bien entre les éléments préfabriqués, qu’avec les éléments de bord, … ;</w:t>
      </w:r>
    </w:p>
    <w:p w14:paraId="4AF4D2F6" w14:textId="77777777" w:rsidR="00DB2B68" w:rsidRDefault="00000000">
      <w:pPr>
        <w:pStyle w:val="Author-eListParagraph"/>
        <w:numPr>
          <w:ilvl w:val="0"/>
          <w:numId w:val="505"/>
        </w:numPr>
        <w:jc w:val="both"/>
      </w:pPr>
      <w:r>
        <w:t>Tous les treillis armés, armatures additionnelles et coffrages complémentaires, le remplissage éventuel des joints et/ou des creux entre les murs ;</w:t>
      </w:r>
    </w:p>
    <w:p w14:paraId="2D4E0FF8" w14:textId="77777777" w:rsidR="00DB2B68" w:rsidRDefault="00000000">
      <w:pPr>
        <w:pStyle w:val="Author-eListParagraph"/>
        <w:numPr>
          <w:ilvl w:val="0"/>
          <w:numId w:val="505"/>
        </w:numPr>
        <w:jc w:val="both"/>
      </w:pPr>
      <w:r>
        <w:t>L’enlèvement de tous les accessoires, éléments de coffrage, supports, étais et le nettoyage des faces visibles. </w:t>
      </w:r>
    </w:p>
    <w:p w14:paraId="26C76673" w14:textId="77777777" w:rsidR="00DB2B68" w:rsidRDefault="00000000">
      <w:pPr>
        <w:pStyle w:val="pheading"/>
      </w:pPr>
      <w:r>
        <w:t>EXÉCUTION / MISE EN ŒUVRE</w:t>
      </w:r>
    </w:p>
    <w:p w14:paraId="4AB21CF3" w14:textId="77777777" w:rsidR="00DB2B68" w:rsidRDefault="00000000">
      <w:r>
        <w:t>La stabilité de la paroi doit être vérifiée avant désélingage.</w:t>
      </w:r>
    </w:p>
    <w:p w14:paraId="2E0D6195" w14:textId="77777777" w:rsidR="00DB2B68" w:rsidRDefault="00000000">
      <w:pPr>
        <w:pStyle w:val="pheading"/>
      </w:pPr>
      <w:r>
        <w:t>DOCUMENTS DE RÉFÉRENCE</w:t>
      </w:r>
    </w:p>
    <w:p w14:paraId="526559A9" w14:textId="77777777" w:rsidR="00DB2B68" w:rsidRDefault="00000000">
      <w:pPr>
        <w:pStyle w:val="pheading"/>
      </w:pPr>
      <w:r>
        <w:t>- Matériau</w:t>
      </w:r>
    </w:p>
    <w:p w14:paraId="152D7BA5" w14:textId="77777777" w:rsidR="00DB2B68" w:rsidRDefault="00000000">
      <w:r>
        <w:t>[NBN EN 14992+A1, Produits préfabriqués en béton - Eléments de mur]</w:t>
      </w:r>
    </w:p>
    <w:p w14:paraId="0CED14DA" w14:textId="77777777" w:rsidR="00DB2B68" w:rsidRDefault="00000000">
      <w:r>
        <w:t>[NBN B 21-612, Produits préfabriqués en béton - Eléments de mur - Norme d'application nationale à la NBN EN 14992+A1:2012]</w:t>
      </w:r>
    </w:p>
    <w:p w14:paraId="7E45B39A" w14:textId="77777777" w:rsidR="00DB2B68" w:rsidRDefault="00000000">
      <w:pPr>
        <w:pStyle w:val="Author-eSectionHeading6Numberless"/>
      </w:pPr>
      <w:bookmarkStart w:id="748" w:name="_Toc220495806"/>
      <w:r>
        <w:t>22.16.3a Parois pleines préfabriquées en béton armé CCTB 01.13</w:t>
      </w:r>
      <w:bookmarkEnd w:id="748"/>
    </w:p>
    <w:p w14:paraId="530814ED" w14:textId="77777777" w:rsidR="00DB2B68" w:rsidRDefault="00000000">
      <w:pPr>
        <w:pStyle w:val="pheading"/>
      </w:pPr>
      <w:r>
        <w:t>DESCRIPTION</w:t>
      </w:r>
    </w:p>
    <w:p w14:paraId="7817BD35" w14:textId="77777777" w:rsidR="00DB2B68" w:rsidRDefault="00000000">
      <w:pPr>
        <w:pStyle w:val="pheading"/>
      </w:pPr>
      <w:r>
        <w:t>- Définition / Comprend</w:t>
      </w:r>
    </w:p>
    <w:p w14:paraId="41C296C9" w14:textId="77777777" w:rsidR="00DB2B68" w:rsidRDefault="00000000">
      <w:pPr>
        <w:jc w:val="both"/>
      </w:pPr>
      <w:r>
        <w:t>Cet article vise la fourniture et la pose de parois pleines préfabriqués en béton armé (BA), de forme quelconque, fabriqués sous forme d’éléments pleins, comportant armatures et inserts.  La portée des travaux est décrite dans l'élément </w:t>
      </w:r>
      <w:hyperlink w:anchor="502" w:history="1">
        <w:r>
          <w:rPr>
            <w:color w:val="0000EE"/>
          </w:rPr>
          <w:t>22.16.3 Parois préfabriquées en béton</w:t>
        </w:r>
      </w:hyperlink>
      <w:r>
        <w:t>.</w:t>
      </w:r>
    </w:p>
    <w:p w14:paraId="611F72A9" w14:textId="77777777" w:rsidR="00DB2B68" w:rsidRDefault="00000000">
      <w:pPr>
        <w:pStyle w:val="pheading"/>
      </w:pPr>
      <w:r>
        <w:t>- Localisation</w:t>
      </w:r>
    </w:p>
    <w:p w14:paraId="0E7EAED7" w14:textId="77777777" w:rsidR="00DB2B68" w:rsidRDefault="00000000">
      <w:r>
        <w:t xml:space="preserve">La pose est réalisée aux endroits suivants : </w:t>
      </w:r>
      <w:r>
        <w:rPr>
          <w:rStyle w:val="optioncarChar"/>
        </w:rPr>
        <w:t>***</w:t>
      </w:r>
      <w:r>
        <w:t>.</w:t>
      </w:r>
    </w:p>
    <w:p w14:paraId="2D0621BC" w14:textId="77777777" w:rsidR="00DB2B68" w:rsidRDefault="00000000">
      <w:r>
        <w:t>Voir plans et métrés détaillés.</w:t>
      </w:r>
    </w:p>
    <w:p w14:paraId="5F48E28A" w14:textId="77777777" w:rsidR="00DB2B68" w:rsidRDefault="00000000">
      <w:pPr>
        <w:pStyle w:val="pheading"/>
      </w:pPr>
      <w:r>
        <w:t>MATÉRIAUX</w:t>
      </w:r>
    </w:p>
    <w:p w14:paraId="0A27BFA6" w14:textId="77777777" w:rsidR="00DB2B68" w:rsidRDefault="00000000">
      <w:pPr>
        <w:pStyle w:val="pheading"/>
      </w:pPr>
      <w:r>
        <w:t>- Caractéristiques générales</w:t>
      </w:r>
    </w:p>
    <w:p w14:paraId="31EFEBEB" w14:textId="77777777" w:rsidR="00DB2B68" w:rsidRDefault="00000000">
      <w:pPr>
        <w:jc w:val="both"/>
      </w:pPr>
      <w:r>
        <w:t>L’épaisseur des parois est de  </w:t>
      </w:r>
      <w:r>
        <w:rPr>
          <w:rStyle w:val="optioncarChar"/>
        </w:rPr>
        <w:t>***</w:t>
      </w:r>
      <w:r>
        <w:t xml:space="preserve"> cm. </w:t>
      </w:r>
    </w:p>
    <w:p w14:paraId="5C3A5B14" w14:textId="77777777" w:rsidR="00DB2B68" w:rsidRDefault="00000000">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45C4FDC2" w14:textId="77777777" w:rsidR="00DB2B68" w:rsidRDefault="00000000">
      <w:pPr>
        <w:jc w:val="both"/>
      </w:pPr>
      <w:r>
        <w:rPr>
          <w:b/>
        </w:rPr>
        <w:t>Résistance au feu des parois</w:t>
      </w:r>
    </w:p>
    <w:p w14:paraId="3147E01B" w14:textId="77777777" w:rsidR="00DB2B68" w:rsidRDefault="00000000">
      <w:pPr>
        <w:jc w:val="both"/>
      </w:pPr>
      <w:r>
        <w:t>Résistance au feu suivant la déclaration de performance (DoP) selon les [NBN EN 14992+A1] et [NBN B 21-612].</w:t>
      </w:r>
    </w:p>
    <w:p w14:paraId="2D6D437A" w14:textId="77777777" w:rsidR="00DB2B68" w:rsidRDefault="00000000">
      <w:pPr>
        <w:jc w:val="both"/>
      </w:pPr>
      <w:r>
        <w:lastRenderedPageBreak/>
        <w:t>Si la résistance au feu n’est pas déclarée sous marquage CE, elle est démontrée par test au feu selon la [NBN EN 13501-2] ou par calcul selon les Eurocodes conformément à l’[AM 2013-05-17].</w:t>
      </w:r>
    </w:p>
    <w:p w14:paraId="53C266BA" w14:textId="77777777" w:rsidR="00DB2B68" w:rsidRDefault="00000000">
      <w:pPr>
        <w:jc w:val="both"/>
      </w:pPr>
      <w:r>
        <w:t>- Pour les éléments porteurs sans fonction séparante </w:t>
      </w:r>
      <w:r>
        <w:rPr>
          <w:rStyle w:val="optioncarChar"/>
        </w:rPr>
        <w:t xml:space="preserve"> R15 / R30</w:t>
      </w:r>
      <w:r>
        <w:t xml:space="preserve"> (par défaut) </w:t>
      </w:r>
      <w:r>
        <w:rPr>
          <w:rStyle w:val="optioncarChar"/>
        </w:rPr>
        <w:t>/ R60 / R120 / R ***</w:t>
      </w:r>
    </w:p>
    <w:p w14:paraId="63EBCB61" w14:textId="77777777" w:rsidR="00DB2B68" w:rsidRDefault="00000000">
      <w:pPr>
        <w:jc w:val="both"/>
      </w:pPr>
      <w:r>
        <w:t xml:space="preserve">- Pour les éléments porteurs avec fonction séparante  </w:t>
      </w:r>
      <w:r>
        <w:rPr>
          <w:rStyle w:val="optioncarChar"/>
        </w:rPr>
        <w:t>REI 30 </w:t>
      </w:r>
      <w:r>
        <w:t>(par défaut)</w:t>
      </w:r>
      <w:r>
        <w:rPr>
          <w:rStyle w:val="optioncarChar"/>
        </w:rPr>
        <w:t xml:space="preserve"> / REI 60 / REI 120 / REI ***</w:t>
      </w:r>
    </w:p>
    <w:p w14:paraId="67E631F6" w14:textId="77777777" w:rsidR="00DB2B68" w:rsidRDefault="00000000">
      <w:pPr>
        <w:jc w:val="both"/>
      </w:pPr>
      <w:r>
        <w:t xml:space="preserve">- Pour les éléments non porteurs avec fonction séparante : </w:t>
      </w:r>
      <w:r>
        <w:rPr>
          <w:rStyle w:val="optioncarChar"/>
        </w:rPr>
        <w:t>EI 30</w:t>
      </w:r>
      <w:r>
        <w:t> (par défaut)</w:t>
      </w:r>
      <w:r>
        <w:rPr>
          <w:rStyle w:val="optioncarChar"/>
        </w:rPr>
        <w:t> / EI 60 / EI 120 / EI ***</w:t>
      </w:r>
    </w:p>
    <w:p w14:paraId="05178F86" w14:textId="77777777" w:rsidR="00DB2B68" w:rsidRDefault="00000000">
      <w:pPr>
        <w:jc w:val="both"/>
      </w:pPr>
      <w:r>
        <w:rPr>
          <w:b/>
        </w:rPr>
        <w:t>Classe d’étanchéité</w:t>
      </w:r>
    </w:p>
    <w:p w14:paraId="73E9C365" w14:textId="77777777" w:rsidR="00DB2B68" w:rsidRDefault="00000000">
      <w:pPr>
        <w:jc w:val="both"/>
      </w:pPr>
      <w:r>
        <w:t>La classe d’étanchéité à l’eau des parois selon la [NBN EN 1992-3] est :</w:t>
      </w:r>
      <w:r>
        <w:rPr>
          <w:rStyle w:val="optioncarChar"/>
        </w:rPr>
        <w:t xml:space="preserve"> classe 0</w:t>
      </w:r>
      <w:r>
        <w:t xml:space="preserve"> (défaut) </w:t>
      </w:r>
      <w:r>
        <w:rPr>
          <w:rStyle w:val="optioncarChar"/>
        </w:rPr>
        <w:t>/ classe 1 / classe 2 / classe 3</w:t>
      </w:r>
      <w:r>
        <w:t>. Pour la classe 1, l’épaisseur minimale des parois est de 100mm.  Pour les classes 2 et 3, l’épaisseur minimale est de 200mm.</w:t>
      </w:r>
    </w:p>
    <w:p w14:paraId="69F9F0FA" w14:textId="77777777" w:rsidR="00DB2B68" w:rsidRDefault="00000000">
      <w:pPr>
        <w:ind w:left="750"/>
      </w:pPr>
      <w:r>
        <w:t> </w:t>
      </w:r>
    </w:p>
    <w:p w14:paraId="349E8741" w14:textId="77777777" w:rsidR="00DB2B68" w:rsidRDefault="00000000">
      <w:pPr>
        <w:pStyle w:val="pheading"/>
      </w:pPr>
      <w:r>
        <w:t>- Finitions</w:t>
      </w:r>
    </w:p>
    <w:p w14:paraId="40B799B0" w14:textId="77777777" w:rsidR="00DB2B68" w:rsidRDefault="00000000">
      <w:pPr>
        <w:jc w:val="both"/>
      </w:pPr>
      <w:r>
        <w:t xml:space="preserve">La finition extérieure des parois: </w:t>
      </w:r>
      <w:r>
        <w:rPr>
          <w:rStyle w:val="optioncarChar"/>
        </w:rPr>
        <w:t>béton lisse industriel selon l’[NBN EN 13369] + [NBN B 21-600]</w:t>
      </w:r>
      <w:r>
        <w:t> (par défaut)</w:t>
      </w:r>
      <w:r>
        <w:rPr>
          <w:rStyle w:val="optioncarChar"/>
        </w:rPr>
        <w:t xml:space="preserve"> / ***</w:t>
      </w:r>
      <w:r>
        <w:t>.</w:t>
      </w:r>
    </w:p>
    <w:p w14:paraId="5E8FBCF1" w14:textId="77777777" w:rsidR="00DB2B68" w:rsidRDefault="00000000">
      <w:pPr>
        <w:jc w:val="both"/>
      </w:pPr>
      <w:r>
        <w:t xml:space="preserve">La finition des faces intérieures des éléments est : </w:t>
      </w:r>
      <w:r>
        <w:rPr>
          <w:rStyle w:val="optioncarChar"/>
        </w:rPr>
        <w:t>talochée</w:t>
      </w:r>
      <w:r>
        <w:t xml:space="preserve"> (par défaut) </w:t>
      </w:r>
      <w:r>
        <w:rPr>
          <w:rStyle w:val="optioncarChar"/>
        </w:rPr>
        <w:t>/ brute et lisse / ***.</w:t>
      </w:r>
    </w:p>
    <w:p w14:paraId="4B5058BE" w14:textId="77777777" w:rsidR="00DB2B68" w:rsidRDefault="00000000">
      <w:pPr>
        <w:jc w:val="both"/>
      </w:pPr>
      <w:r>
        <w:t xml:space="preserve">La finition des faces extérieures (apparentes) des éléments est : </w:t>
      </w:r>
      <w:r>
        <w:rPr>
          <w:rStyle w:val="optioncarChar"/>
        </w:rPr>
        <w:t>brute et lisse </w:t>
      </w:r>
      <w:r>
        <w:t>(par défaut)</w:t>
      </w:r>
      <w:r>
        <w:rPr>
          <w:rStyle w:val="optioncarChar"/>
        </w:rPr>
        <w:t> / ***</w:t>
      </w:r>
      <w:r>
        <w:t>.</w:t>
      </w:r>
    </w:p>
    <w:p w14:paraId="64696024" w14:textId="77777777" w:rsidR="00DB2B68" w:rsidRDefault="00000000">
      <w:pPr>
        <w:jc w:val="both"/>
      </w:pPr>
      <w:r>
        <w:t xml:space="preserve">Le joint entre les éléments préfabriqués est : </w:t>
      </w:r>
      <w:r>
        <w:rPr>
          <w:rStyle w:val="optioncarChar"/>
        </w:rPr>
        <w:t>vide / rempli par un joint souple </w:t>
      </w:r>
      <w:r>
        <w:t>(par défaut)</w:t>
      </w:r>
      <w:r>
        <w:rPr>
          <w:rStyle w:val="optioncarChar"/>
        </w:rPr>
        <w:t xml:space="preserve"> / muni d’un dispositif d'étanchéité .</w:t>
      </w:r>
    </w:p>
    <w:p w14:paraId="399A2D3B" w14:textId="77777777" w:rsidR="00DB2B68" w:rsidRDefault="00000000">
      <w:pPr>
        <w:jc w:val="both"/>
      </w:pPr>
      <w:r>
        <w:t>Les arêtes de la face apparente sont </w:t>
      </w:r>
      <w:r>
        <w:rPr>
          <w:rStyle w:val="optioncarChar"/>
        </w:rPr>
        <w:t>: droites </w:t>
      </w:r>
      <w:r>
        <w:t>(par défaut)</w:t>
      </w:r>
      <w:r>
        <w:rPr>
          <w:rStyle w:val="optioncarChar"/>
        </w:rPr>
        <w:t xml:space="preserve"> / munies de chanfreins / ***</w:t>
      </w:r>
      <w:r>
        <w:t>.</w:t>
      </w:r>
    </w:p>
    <w:p w14:paraId="6AC5F657" w14:textId="77777777" w:rsidR="00DB2B68" w:rsidRDefault="00000000">
      <w:pPr>
        <w:jc w:val="both"/>
      </w:pPr>
      <w:r>
        <w:t xml:space="preserve">La tête de l’élément préfabriqué est : </w:t>
      </w:r>
      <w:r>
        <w:rPr>
          <w:rStyle w:val="optioncarChar"/>
        </w:rPr>
        <w:t>droite </w:t>
      </w:r>
      <w:r>
        <w:t>(par défaut)</w:t>
      </w:r>
      <w:r>
        <w:rPr>
          <w:rStyle w:val="optioncarChar"/>
        </w:rPr>
        <w:t xml:space="preserve"> / arrondie / ***</w:t>
      </w:r>
      <w:r>
        <w:t>.</w:t>
      </w:r>
    </w:p>
    <w:p w14:paraId="47885381" w14:textId="77777777" w:rsidR="00DB2B68" w:rsidRDefault="00000000">
      <w:pPr>
        <w:pStyle w:val="pheading"/>
      </w:pPr>
      <w:r>
        <w:t>EXÉCUTION / MISE EN ŒUVRE</w:t>
      </w:r>
    </w:p>
    <w:p w14:paraId="53F844EB" w14:textId="77777777" w:rsidR="00DB2B68" w:rsidRDefault="00000000">
      <w:pPr>
        <w:pStyle w:val="pheading"/>
      </w:pPr>
      <w:r>
        <w:t>- Prescriptions générales</w:t>
      </w:r>
    </w:p>
    <w:p w14:paraId="7678C907" w14:textId="77777777" w:rsidR="00DB2B68" w:rsidRDefault="00000000">
      <w:pPr>
        <w:jc w:val="both"/>
      </w:pPr>
      <w:r>
        <w:t>Le plan de pose doit être approuvé par l’entrepreneur ou le bureau d’études.</w:t>
      </w:r>
    </w:p>
    <w:p w14:paraId="12C513B2" w14:textId="77777777" w:rsidR="00DB2B68" w:rsidRDefault="00000000">
      <w:pPr>
        <w:jc w:val="both"/>
      </w:pPr>
      <w:r>
        <w:t>Les parois sont fabriquées dans les dimensions indiquées sur les plans d’exécution approuvés.</w:t>
      </w:r>
    </w:p>
    <w:p w14:paraId="2D915AC6" w14:textId="77777777" w:rsidR="00DB2B68" w:rsidRDefault="00000000">
      <w:pPr>
        <w:jc w:val="both"/>
      </w:pPr>
      <w:r>
        <w:t>La mise en œuvre est conforme aux normes [NBN EN 13670] et [NBN B 15-400].   Les recommandations du [Buildwise Méthode de dimensionnement Rapport 10] sont également respectées.</w:t>
      </w:r>
    </w:p>
    <w:p w14:paraId="3C541FDE" w14:textId="77777777" w:rsidR="00DB2B68" w:rsidRDefault="00000000">
      <w:pPr>
        <w:jc w:val="both"/>
      </w:pPr>
      <w:r>
        <w:t>L’alignement des parois est réalisé au moyen d’étais et de madriers en bois parfaitement alignés.</w:t>
      </w:r>
    </w:p>
    <w:p w14:paraId="02575B7F" w14:textId="77777777" w:rsidR="00DB2B68" w:rsidRDefault="00000000">
      <w:pPr>
        <w:jc w:val="both"/>
      </w:pPr>
      <w:r>
        <w:t>Le sol/support devra être non travaillé et stable.</w:t>
      </w:r>
    </w:p>
    <w:p w14:paraId="6C5DD46D" w14:textId="77777777" w:rsidR="00DB2B68" w:rsidRDefault="00000000">
      <w:pPr>
        <w:jc w:val="both"/>
      </w:pPr>
      <w:r>
        <w:t>La verticalité doit être garantie par la pose préalable de madrier en bois</w:t>
      </w:r>
    </w:p>
    <w:p w14:paraId="66AB49C4" w14:textId="77777777" w:rsidR="00DB2B68" w:rsidRDefault="00000000">
      <w:pPr>
        <w:jc w:val="both"/>
      </w:pPr>
      <w:r>
        <w:t>Si les parois doivent être étanches à l’eau, il y a lieu que la mise en œuvre soit conforme à la [NIT 247] et à la [NIT 250].</w:t>
      </w:r>
    </w:p>
    <w:p w14:paraId="5439D1D3" w14:textId="77777777" w:rsidR="00DB2B68" w:rsidRDefault="00000000">
      <w:pPr>
        <w:pStyle w:val="pheading"/>
      </w:pPr>
      <w:r>
        <w:t>DOCUMENTS DE RÉFÉRENCE COMPLÉMENTAIRES</w:t>
      </w:r>
    </w:p>
    <w:p w14:paraId="49335B87" w14:textId="77777777" w:rsidR="00DB2B68" w:rsidRDefault="00000000">
      <w:pPr>
        <w:pStyle w:val="pheading"/>
      </w:pPr>
      <w:r>
        <w:t>- Matériau</w:t>
      </w:r>
    </w:p>
    <w:p w14:paraId="524B15A5" w14:textId="77777777" w:rsidR="00DB2B68" w:rsidRDefault="00000000">
      <w:r>
        <w:t>[NBN EN 14992+A1, Produits préfabriqués en béton - Eléments de mur]</w:t>
      </w:r>
      <w:r>
        <w:br/>
      </w:r>
      <w:r>
        <w:br/>
        <w:t>[NBN B 21-612, Produits préfabriqués en béton - Eléments de mur - Norme d'application nationale à la NBN EN 14992+A1:2012]</w:t>
      </w:r>
    </w:p>
    <w:p w14:paraId="258A3F59" w14:textId="77777777" w:rsidR="00DB2B68" w:rsidRDefault="00000000">
      <w:r>
        <w:t>[RA 21-612, Règlement d'application Benor - Produits préfabriqués en béton - Eléments de murs]</w:t>
      </w:r>
    </w:p>
    <w:p w14:paraId="43ACFC18" w14:textId="77777777" w:rsidR="00DB2B68" w:rsidRDefault="00000000">
      <w:r>
        <w:t>[Buildwise Méthode de dimensionnement Rapport 10, Sécurité et mise en oeuvre d'éléments préfabriqués en béton]</w:t>
      </w:r>
    </w:p>
    <w:p w14:paraId="5E4FF87D" w14:textId="77777777" w:rsidR="00DB2B68" w:rsidRDefault="00000000">
      <w:pPr>
        <w:ind w:left="750"/>
      </w:pPr>
      <w:r>
        <w:t> </w:t>
      </w:r>
    </w:p>
    <w:p w14:paraId="3CFCB019" w14:textId="77777777" w:rsidR="00DB2B68" w:rsidRDefault="00000000">
      <w:pPr>
        <w:pStyle w:val="pheading"/>
      </w:pPr>
      <w:r>
        <w:t>- Exécution</w:t>
      </w:r>
    </w:p>
    <w:p w14:paraId="44FC7D02" w14:textId="77777777" w:rsidR="00DB2B68" w:rsidRDefault="00000000">
      <w:r>
        <w:lastRenderedPageBreak/>
        <w:t>[NIT 247, Conception et exécution des ouvrages étanches en béton]</w:t>
      </w:r>
    </w:p>
    <w:p w14:paraId="25548BF9" w14:textId="77777777" w:rsidR="00DB2B68" w:rsidRDefault="00000000">
      <w:r>
        <w:t>[NIT 250, Détails de référence pour les constructions enterrées]</w:t>
      </w:r>
    </w:p>
    <w:p w14:paraId="378A858E" w14:textId="77777777" w:rsidR="00DB2B68" w:rsidRDefault="00000000">
      <w:pPr>
        <w:pStyle w:val="pheading"/>
      </w:pPr>
      <w:r>
        <w:t>MESURAGE</w:t>
      </w:r>
    </w:p>
    <w:p w14:paraId="583277F8" w14:textId="77777777" w:rsidR="00DB2B68" w:rsidRDefault="00000000">
      <w:pPr>
        <w:pStyle w:val="pheading"/>
      </w:pPr>
      <w:r>
        <w:t>- unité de mesure:</w:t>
      </w:r>
    </w:p>
    <w:p w14:paraId="233147B4" w14:textId="77777777" w:rsidR="00DB2B68" w:rsidRDefault="00000000">
      <w:r>
        <w:rPr>
          <w:rStyle w:val="optioncarChar"/>
        </w:rPr>
        <w:t>m²</w:t>
      </w:r>
      <w:r>
        <w:t xml:space="preserve"> (par défaut) </w:t>
      </w:r>
      <w:r>
        <w:rPr>
          <w:rStyle w:val="optioncarChar"/>
        </w:rPr>
        <w:t>/  m³</w:t>
      </w:r>
    </w:p>
    <w:p w14:paraId="3498795E" w14:textId="77777777" w:rsidR="00DB2B68" w:rsidRDefault="00000000">
      <w:r>
        <w:rPr>
          <w:b/>
          <w:i/>
        </w:rPr>
        <w:t>(soit par défaut)</w:t>
      </w:r>
    </w:p>
    <w:p w14:paraId="5874CEBC" w14:textId="77777777" w:rsidR="00DB2B68" w:rsidRDefault="00000000">
      <w:r>
        <w:rPr>
          <w:rStyle w:val="soitChar"/>
        </w:rPr>
        <w:t>1. m²</w:t>
      </w:r>
    </w:p>
    <w:p w14:paraId="142BD5FF" w14:textId="77777777" w:rsidR="00DB2B68" w:rsidRDefault="00000000">
      <w:r>
        <w:rPr>
          <w:b/>
          <w:i/>
        </w:rPr>
        <w:t>(soit)</w:t>
      </w:r>
    </w:p>
    <w:p w14:paraId="70BD46FD" w14:textId="77777777" w:rsidR="00DB2B68" w:rsidRDefault="00000000">
      <w:r>
        <w:rPr>
          <w:rStyle w:val="soitChar"/>
        </w:rPr>
        <w:t>2. m³</w:t>
      </w:r>
    </w:p>
    <w:p w14:paraId="28595052" w14:textId="77777777" w:rsidR="00DB2B68" w:rsidRDefault="00000000">
      <w:pPr>
        <w:pStyle w:val="pheading"/>
      </w:pPr>
      <w:r>
        <w:t>- code de mesurage:</w:t>
      </w:r>
    </w:p>
    <w:p w14:paraId="056B2FBC" w14:textId="77777777" w:rsidR="00DB2B68" w:rsidRDefault="00000000">
      <w:r>
        <w:rPr>
          <w:rStyle w:val="optioncarChar"/>
        </w:rPr>
        <w:t>Surface nette</w:t>
      </w:r>
      <w:r>
        <w:t xml:space="preserve"> (par défaut) </w:t>
      </w:r>
      <w:r>
        <w:rPr>
          <w:rStyle w:val="optioncarChar"/>
        </w:rPr>
        <w:t>/ Volume net</w:t>
      </w:r>
    </w:p>
    <w:p w14:paraId="7C12FFE2" w14:textId="77777777" w:rsidR="00DB2B68" w:rsidRDefault="00000000">
      <w:r>
        <w:rPr>
          <w:b/>
          <w:i/>
        </w:rPr>
        <w:t>(Soit par défaut)</w:t>
      </w:r>
    </w:p>
    <w:p w14:paraId="7FEF70F7" w14:textId="77777777" w:rsidR="00DB2B68" w:rsidRDefault="00000000">
      <w:r>
        <w:rPr>
          <w:rStyle w:val="soitChar"/>
          <w:u w:val="single"/>
        </w:rPr>
        <w:t>1. Surface nette:</w:t>
      </w:r>
      <w:r>
        <w:rPr>
          <w:rStyle w:val="soitChar"/>
        </w:rPr>
        <w:t xml:space="preserve"> Longueur x Largeur de la paroi selon les plans.</w:t>
      </w:r>
    </w:p>
    <w:p w14:paraId="1FCDBB47" w14:textId="77777777" w:rsidR="00DB2B68" w:rsidRDefault="00000000">
      <w:r>
        <w:rPr>
          <w:b/>
          <w:i/>
        </w:rPr>
        <w:t>(Soit)</w:t>
      </w:r>
    </w:p>
    <w:p w14:paraId="32965CE6" w14:textId="77777777" w:rsidR="00DB2B68" w:rsidRDefault="00000000">
      <w:r>
        <w:rPr>
          <w:rStyle w:val="soitChar"/>
          <w:u w:val="single"/>
        </w:rPr>
        <w:t>2. Volume net :</w:t>
      </w:r>
      <w:r>
        <w:rPr>
          <w:rStyle w:val="soitChar"/>
        </w:rPr>
        <w:t xml:space="preserve"> Volume net des parois en béton selon les plans.  Toutes les armatures des parois sont comprises dans le prix unitaire de cet article.  Il n’est pas fait de déduction de volume de béton pour les réservations, écarteurs, les armatures etc. si ce volume est inférieur à 0,05 m³.</w:t>
      </w:r>
    </w:p>
    <w:p w14:paraId="4D76AFAE" w14:textId="77777777" w:rsidR="00DB2B68" w:rsidRDefault="00000000">
      <w:pPr>
        <w:pStyle w:val="pheading"/>
      </w:pPr>
      <w:r>
        <w:t>- nature du marché:</w:t>
      </w:r>
    </w:p>
    <w:p w14:paraId="5D3E9507" w14:textId="77777777" w:rsidR="00DB2B68" w:rsidRDefault="00000000">
      <w:r>
        <w:rPr>
          <w:rStyle w:val="optioncarChar"/>
        </w:rPr>
        <w:t>QF</w:t>
      </w:r>
      <w:r>
        <w:t xml:space="preserve"> (par défaut) </w:t>
      </w:r>
      <w:r>
        <w:rPr>
          <w:rStyle w:val="optioncarChar"/>
        </w:rPr>
        <w:t>/ QP</w:t>
      </w:r>
    </w:p>
    <w:p w14:paraId="44E8202F" w14:textId="77777777" w:rsidR="00DB2B68" w:rsidRDefault="00000000">
      <w:r>
        <w:rPr>
          <w:b/>
          <w:i/>
        </w:rPr>
        <w:t>(Soit par défaut)</w:t>
      </w:r>
    </w:p>
    <w:p w14:paraId="18278178" w14:textId="77777777" w:rsidR="00DB2B68" w:rsidRDefault="00000000">
      <w:r>
        <w:rPr>
          <w:rStyle w:val="soitChar"/>
        </w:rPr>
        <w:t>1. 2. QF</w:t>
      </w:r>
    </w:p>
    <w:p w14:paraId="3E9E9CA1" w14:textId="77777777" w:rsidR="00DB2B68" w:rsidRDefault="00000000">
      <w:r>
        <w:rPr>
          <w:b/>
          <w:i/>
        </w:rPr>
        <w:t>(Soit)</w:t>
      </w:r>
    </w:p>
    <w:p w14:paraId="65EBA3A1" w14:textId="77777777" w:rsidR="00DB2B68" w:rsidRDefault="00000000">
      <w:r>
        <w:rPr>
          <w:rStyle w:val="soitChar"/>
        </w:rPr>
        <w:t>1. 2. QP</w:t>
      </w:r>
    </w:p>
    <w:p w14:paraId="1BF13AD9" w14:textId="77777777" w:rsidR="00DB2B68" w:rsidRDefault="00000000">
      <w:pPr>
        <w:pStyle w:val="Author-eSectionHeading6Numberless"/>
      </w:pPr>
      <w:bookmarkStart w:id="749" w:name="_Toc220495807"/>
      <w:r>
        <w:t>22.16.3b Parois sandwich préfabriquées en béton  CCTB 01.13</w:t>
      </w:r>
      <w:bookmarkEnd w:id="749"/>
    </w:p>
    <w:p w14:paraId="106B44C4" w14:textId="77777777" w:rsidR="00DB2B68" w:rsidRDefault="00000000">
      <w:pPr>
        <w:pStyle w:val="pheading"/>
      </w:pPr>
      <w:r>
        <w:t>DESCRIPTION</w:t>
      </w:r>
    </w:p>
    <w:p w14:paraId="7E39D3F0" w14:textId="77777777" w:rsidR="00DB2B68" w:rsidRDefault="00000000">
      <w:pPr>
        <w:pStyle w:val="pheading"/>
      </w:pPr>
      <w:r>
        <w:t>- Définition / Comprend</w:t>
      </w:r>
    </w:p>
    <w:p w14:paraId="0B849BFF" w14:textId="77777777" w:rsidR="00DB2B68" w:rsidRDefault="00000000">
      <w:pPr>
        <w:jc w:val="both"/>
      </w:pPr>
      <w:r>
        <w:t xml:space="preserve">Cet article vise la fourniture et la pose de parois sandwich préfabriquées en </w:t>
      </w:r>
      <w:r>
        <w:rPr>
          <w:rStyle w:val="optioncarChar"/>
        </w:rPr>
        <w:t>béton armé</w:t>
      </w:r>
      <w:r>
        <w:t xml:space="preserve"> (par défaut) / </w:t>
      </w:r>
      <w:r>
        <w:rPr>
          <w:rStyle w:val="optioncarChar"/>
        </w:rPr>
        <w:t>béton précontraint</w:t>
      </w:r>
      <w:r>
        <w:t xml:space="preserve"> de forme quelconque comportant armatures et inserts.  La portée des travaux est décrite dans l’élément </w:t>
      </w:r>
      <w:hyperlink w:anchor="502" w:history="1">
        <w:r>
          <w:rPr>
            <w:color w:val="0000EE"/>
          </w:rPr>
          <w:t>22.16.3 Parois préfabriquées en béton</w:t>
        </w:r>
      </w:hyperlink>
      <w:r>
        <w:t>.</w:t>
      </w:r>
    </w:p>
    <w:p w14:paraId="79613836" w14:textId="77777777" w:rsidR="00DB2B68" w:rsidRDefault="00000000">
      <w:pPr>
        <w:pStyle w:val="pheading"/>
      </w:pPr>
      <w:r>
        <w:t>- Localisation</w:t>
      </w:r>
    </w:p>
    <w:p w14:paraId="21B660C3" w14:textId="77777777" w:rsidR="00DB2B68" w:rsidRDefault="00000000">
      <w:r>
        <w:t xml:space="preserve">La pose est réalisée aux endroits suivants : </w:t>
      </w:r>
      <w:r>
        <w:rPr>
          <w:rStyle w:val="optioncarChar"/>
        </w:rPr>
        <w:t>***</w:t>
      </w:r>
      <w:r>
        <w:t>.</w:t>
      </w:r>
    </w:p>
    <w:p w14:paraId="6CAAD71A" w14:textId="77777777" w:rsidR="00DB2B68" w:rsidRDefault="00000000">
      <w:r>
        <w:t>Voir plans et métrés détaillés.</w:t>
      </w:r>
    </w:p>
    <w:p w14:paraId="710AFE79" w14:textId="77777777" w:rsidR="00DB2B68" w:rsidRDefault="00000000">
      <w:pPr>
        <w:pStyle w:val="pheading"/>
      </w:pPr>
      <w:r>
        <w:t>MATÉRIAUX</w:t>
      </w:r>
    </w:p>
    <w:p w14:paraId="4DD155E0" w14:textId="77777777" w:rsidR="00DB2B68" w:rsidRDefault="00000000">
      <w:pPr>
        <w:pStyle w:val="pheading"/>
      </w:pPr>
      <w:r>
        <w:t>- Caractéristiques générales</w:t>
      </w:r>
    </w:p>
    <w:p w14:paraId="72D85E32" w14:textId="77777777" w:rsidR="00DB2B68" w:rsidRDefault="00000000">
      <w:pPr>
        <w:jc w:val="both"/>
      </w:pPr>
      <w:r>
        <w:t>Il s’agit d’éléments de murs préfabriqués intégrant un isolant.</w:t>
      </w:r>
    </w:p>
    <w:p w14:paraId="71A28C9D" w14:textId="77777777" w:rsidR="00DB2B68" w:rsidRDefault="00000000">
      <w:pPr>
        <w:jc w:val="both"/>
      </w:pPr>
      <w:r>
        <w:t>Valeur de Umax =  </w:t>
      </w:r>
      <w:r>
        <w:rPr>
          <w:rStyle w:val="optioncarChar"/>
        </w:rPr>
        <w:t>suivant étude de performance énergétique </w:t>
      </w:r>
      <w:r>
        <w:t>(par défaut)</w:t>
      </w:r>
      <w:r>
        <w:rPr>
          <w:rStyle w:val="optioncarChar"/>
        </w:rPr>
        <w:t xml:space="preserve"> / ***</w:t>
      </w:r>
      <w:r>
        <w:t xml:space="preserve"> W/m²K.</w:t>
      </w:r>
    </w:p>
    <w:p w14:paraId="03F944F8" w14:textId="77777777" w:rsidR="00DB2B68" w:rsidRDefault="00000000">
      <w:pPr>
        <w:jc w:val="both"/>
      </w:pPr>
      <w:r>
        <w:t>Les valeurs Umax sont toujours inférieures aux exigences légales en application au moment du dépôt du permis d’urbanisme.</w:t>
      </w:r>
    </w:p>
    <w:p w14:paraId="0CD7A128" w14:textId="77777777" w:rsidR="00DB2B68" w:rsidRDefault="00000000">
      <w:pPr>
        <w:jc w:val="both"/>
      </w:pPr>
      <w:r>
        <w:t>Pour les parois utilisées comme éléments de l’enveloppe extérieure d’un ouvrage en contact avec les terres, l’isolant utilisé doit être peu sensible à l’humidité.  La continuité de l’isolation est assurée.</w:t>
      </w:r>
    </w:p>
    <w:p w14:paraId="474E44D0" w14:textId="77777777" w:rsidR="00DB2B68" w:rsidRDefault="00000000">
      <w:pPr>
        <w:jc w:val="both"/>
      </w:pPr>
      <w:r>
        <w:lastRenderedPageBreak/>
        <w:t xml:space="preserve">L’épaisseur de la paroi extérieure est de : </w:t>
      </w:r>
      <w:r>
        <w:rPr>
          <w:rStyle w:val="optioncarChar"/>
        </w:rPr>
        <w:t>8 </w:t>
      </w:r>
      <w:r>
        <w:t xml:space="preserve">(par défaut) </w:t>
      </w:r>
      <w:r>
        <w:rPr>
          <w:rStyle w:val="optioncarChar"/>
        </w:rPr>
        <w:t>/ 9 / 10 / 11 / 12 / 14 / 16 / 20 / ***</w:t>
      </w:r>
      <w:r>
        <w:t xml:space="preserve"> cm.</w:t>
      </w:r>
    </w:p>
    <w:p w14:paraId="20B2ABC4" w14:textId="77777777" w:rsidR="00DB2B68" w:rsidRDefault="00000000">
      <w:pPr>
        <w:jc w:val="both"/>
      </w:pPr>
      <w:r>
        <w:t xml:space="preserve">L’épaisseur de la paroi intérieure est de : </w:t>
      </w:r>
      <w:r>
        <w:rPr>
          <w:rStyle w:val="optioncarChar"/>
        </w:rPr>
        <w:t>12</w:t>
      </w:r>
      <w:r>
        <w:t> (par défaut)</w:t>
      </w:r>
      <w:r>
        <w:rPr>
          <w:rStyle w:val="optioncarChar"/>
        </w:rPr>
        <w:t xml:space="preserve"> / 14 / 20 / 25 / ***</w:t>
      </w:r>
      <w:r>
        <w:t xml:space="preserve"> cm. </w:t>
      </w:r>
    </w:p>
    <w:p w14:paraId="01744DA2" w14:textId="77777777" w:rsidR="00DB2B68" w:rsidRDefault="00000000">
      <w:pPr>
        <w:jc w:val="both"/>
      </w:pPr>
      <w:r>
        <w:t xml:space="preserve">Matériaux d’isolation : </w:t>
      </w:r>
      <w:r>
        <w:rPr>
          <w:rStyle w:val="optioncarChar"/>
        </w:rPr>
        <w:t xml:space="preserve">EPS / PUR / PIR </w:t>
      </w:r>
      <w:r>
        <w:t xml:space="preserve">(par défaut) </w:t>
      </w:r>
      <w:r>
        <w:rPr>
          <w:rStyle w:val="optioncarChar"/>
        </w:rPr>
        <w:t>/ ***</w:t>
      </w:r>
      <w:r>
        <w:t>.</w:t>
      </w:r>
    </w:p>
    <w:p w14:paraId="65D2E1A4" w14:textId="77777777" w:rsidR="00DB2B68" w:rsidRDefault="00000000">
      <w:pPr>
        <w:jc w:val="both"/>
      </w:pPr>
      <w:r>
        <w:t xml:space="preserve">Epaisseur d’isolation : </w:t>
      </w:r>
      <w:r>
        <w:rPr>
          <w:rStyle w:val="optioncarChar"/>
        </w:rPr>
        <w:t>compatible avec l’exigence U </w:t>
      </w:r>
      <w:r>
        <w:t>(par défaut)</w:t>
      </w:r>
      <w:r>
        <w:rPr>
          <w:rStyle w:val="optioncarChar"/>
        </w:rPr>
        <w:t xml:space="preserve"> / 12 cm/ 16 cm / 22 cm / 24 cm / *** cm </w:t>
      </w:r>
    </w:p>
    <w:p w14:paraId="66274DB5" w14:textId="77777777" w:rsidR="00DB2B68" w:rsidRDefault="00000000">
      <w:pPr>
        <w:jc w:val="both"/>
      </w:pPr>
      <w:r>
        <w:t>La classe d’environnement est</w:t>
      </w:r>
      <w:r>
        <w:rPr>
          <w:rStyle w:val="optioncarChar"/>
        </w:rPr>
        <w:t xml:space="preserve"> EI</w:t>
      </w:r>
      <w:r>
        <w:t xml:space="preserve"> (par défaut)</w:t>
      </w:r>
      <w:r>
        <w:rPr>
          <w:rStyle w:val="optioncarChar"/>
        </w:rPr>
        <w:t> / EE1 / EE2 / EE3 / ES1 / ES2 / ES3 / EA1+*** / EA2+*** / EA3+ ***.</w:t>
      </w:r>
    </w:p>
    <w:p w14:paraId="0CDD0B19" w14:textId="77777777" w:rsidR="00DB2B68" w:rsidRDefault="00000000">
      <w:pPr>
        <w:jc w:val="both"/>
      </w:pPr>
      <w:r>
        <w:rPr>
          <w:b/>
        </w:rPr>
        <w:t>Résistance au feu des parois</w:t>
      </w:r>
    </w:p>
    <w:p w14:paraId="16FF789B" w14:textId="77777777" w:rsidR="00DB2B68" w:rsidRDefault="00000000">
      <w:pPr>
        <w:jc w:val="both"/>
      </w:pPr>
      <w:r>
        <w:t>Résistance au feu suivant la déclaration de performance (DoP) selon les [NBN EN 14992+A1] et [NBN B 21-612].</w:t>
      </w:r>
    </w:p>
    <w:p w14:paraId="61C28076" w14:textId="77777777" w:rsidR="00DB2B68" w:rsidRDefault="00000000">
      <w:pPr>
        <w:jc w:val="both"/>
      </w:pPr>
      <w:r>
        <w:t>Si la résistance au feu n’est pas déclarée sous marquage CE, elle est démontrée par test au feu selon la [NBN EN 13501-2] ou par calcul selon les Eurocodes conformément à l’[AM 2013-05-17].</w:t>
      </w:r>
    </w:p>
    <w:p w14:paraId="7DC72ADF" w14:textId="77777777" w:rsidR="00DB2B68" w:rsidRDefault="00000000">
      <w:pPr>
        <w:pStyle w:val="Author-eListParagraph"/>
        <w:numPr>
          <w:ilvl w:val="0"/>
          <w:numId w:val="506"/>
        </w:numPr>
      </w:pPr>
      <w:r>
        <w:t xml:space="preserve">Pour les éléments porteurs et structuraux sans fonction séparante  </w:t>
      </w:r>
      <w:r>
        <w:rPr>
          <w:rStyle w:val="optioncarChar"/>
        </w:rPr>
        <w:t>R15 / R30</w:t>
      </w:r>
      <w:r>
        <w:t xml:space="preserve"> (par défaut)</w:t>
      </w:r>
      <w:r>
        <w:rPr>
          <w:rStyle w:val="optioncarChar"/>
        </w:rPr>
        <w:t> / R60 / R120 / R ***</w:t>
      </w:r>
    </w:p>
    <w:p w14:paraId="5CC49E74" w14:textId="77777777" w:rsidR="00DB2B68" w:rsidRDefault="00000000">
      <w:pPr>
        <w:pStyle w:val="Author-eListParagraph"/>
        <w:numPr>
          <w:ilvl w:val="0"/>
          <w:numId w:val="506"/>
        </w:numPr>
      </w:pPr>
      <w:r>
        <w:t xml:space="preserve">Pour les éléments porteurs et structuraux avec fonction séparante  </w:t>
      </w:r>
      <w:r>
        <w:rPr>
          <w:rStyle w:val="optioncarChar"/>
        </w:rPr>
        <w:t>REI 30 </w:t>
      </w:r>
      <w:r>
        <w:t>(par défaut)</w:t>
      </w:r>
      <w:r>
        <w:rPr>
          <w:rStyle w:val="optioncarChar"/>
        </w:rPr>
        <w:t> / REI 60 / REI 120 / REI *** </w:t>
      </w:r>
    </w:p>
    <w:p w14:paraId="7DFFA247" w14:textId="77777777" w:rsidR="00DB2B68" w:rsidRDefault="00000000">
      <w:pPr>
        <w:pStyle w:val="Author-eListParagraph"/>
        <w:numPr>
          <w:ilvl w:val="0"/>
          <w:numId w:val="506"/>
        </w:numPr>
      </w:pPr>
      <w:r>
        <w:t xml:space="preserve">Pour les éléments non porteurs avec fonction séparante : </w:t>
      </w:r>
      <w:r>
        <w:rPr>
          <w:rStyle w:val="optioncarChar"/>
        </w:rPr>
        <w:t>EI 30 </w:t>
      </w:r>
      <w:r>
        <w:t xml:space="preserve">(par défaut) </w:t>
      </w:r>
      <w:r>
        <w:rPr>
          <w:rStyle w:val="optioncarChar"/>
        </w:rPr>
        <w:t>/ EI 60 / EI 120 / EI ***</w:t>
      </w:r>
    </w:p>
    <w:p w14:paraId="53016B56" w14:textId="77777777" w:rsidR="00DB2B68" w:rsidRDefault="00000000">
      <w:pPr>
        <w:jc w:val="both"/>
      </w:pPr>
      <w:r>
        <w:rPr>
          <w:b/>
        </w:rPr>
        <w:t>Classe d’étanchéité</w:t>
      </w:r>
    </w:p>
    <w:p w14:paraId="787FB1A8" w14:textId="77777777" w:rsidR="00DB2B68" w:rsidRDefault="00000000">
      <w:pPr>
        <w:jc w:val="both"/>
      </w:pPr>
      <w:r>
        <w:t xml:space="preserve">La classe d’étanchéité à l’eau de la paroi selon la [NBN EN 1992-3] est : </w:t>
      </w:r>
      <w:r>
        <w:rPr>
          <w:rStyle w:val="optioncarChar"/>
        </w:rPr>
        <w:t>classe 0</w:t>
      </w:r>
      <w:r>
        <w:t xml:space="preserve"> (par défaut) </w:t>
      </w:r>
      <w:r>
        <w:rPr>
          <w:rStyle w:val="optioncarChar"/>
        </w:rPr>
        <w:t>/ classe 1 / classe 2 / classe 3</w:t>
      </w:r>
      <w:r>
        <w:t>. Pour la classe 1, l’épaisseur minimale du panneau extérieur de la paroi est de 100mm.  Pour les classes 2 et 3, l’épaisseur minimale du panneau extérieur est de 200mm.</w:t>
      </w:r>
    </w:p>
    <w:p w14:paraId="55CF7E0E" w14:textId="77777777" w:rsidR="00DB2B68" w:rsidRDefault="00000000">
      <w:pPr>
        <w:ind w:left="750"/>
      </w:pPr>
      <w:r>
        <w:t> </w:t>
      </w:r>
    </w:p>
    <w:p w14:paraId="1423BB07" w14:textId="77777777" w:rsidR="00DB2B68" w:rsidRDefault="00000000">
      <w:pPr>
        <w:pStyle w:val="pheading"/>
      </w:pPr>
      <w:r>
        <w:t>- Finitions</w:t>
      </w:r>
    </w:p>
    <w:p w14:paraId="39CAAA26" w14:textId="77777777" w:rsidR="00DB2B68" w:rsidRDefault="00000000">
      <w:pPr>
        <w:jc w:val="both"/>
      </w:pPr>
      <w:r>
        <w:t>La finition extérieure des parois:</w:t>
      </w:r>
      <w:r>
        <w:rPr>
          <w:rStyle w:val="optioncarChar"/>
        </w:rPr>
        <w:t xml:space="preserve"> béton lisse industriel selon [NBN EN 13369] + [NBN B 21-600]</w:t>
      </w:r>
      <w:r>
        <w:t> (par défaut)</w:t>
      </w:r>
      <w:r>
        <w:rPr>
          <w:rStyle w:val="optioncarChar"/>
        </w:rPr>
        <w:t xml:space="preserve"> / ***.</w:t>
      </w:r>
    </w:p>
    <w:p w14:paraId="2EEE4CE5" w14:textId="77777777" w:rsidR="00DB2B68" w:rsidRDefault="00000000">
      <w:pPr>
        <w:jc w:val="both"/>
      </w:pPr>
      <w:r>
        <w:t>La finition des faces intérieures des éléments est :</w:t>
      </w:r>
      <w:r>
        <w:rPr>
          <w:rStyle w:val="optioncarChar"/>
        </w:rPr>
        <w:t xml:space="preserve"> talochée</w:t>
      </w:r>
      <w:r>
        <w:t xml:space="preserve"> (par défaut)</w:t>
      </w:r>
      <w:r>
        <w:rPr>
          <w:rStyle w:val="optioncarChar"/>
        </w:rPr>
        <w:t xml:space="preserve"> / brute et lisse / ***.</w:t>
      </w:r>
    </w:p>
    <w:p w14:paraId="0708C5E9" w14:textId="77777777" w:rsidR="00DB2B68" w:rsidRDefault="00000000">
      <w:pPr>
        <w:jc w:val="both"/>
      </w:pPr>
      <w:r>
        <w:t>La finition des faces extérieures (apparentes) des éléments est :</w:t>
      </w:r>
      <w:r>
        <w:rPr>
          <w:rStyle w:val="optioncarChar"/>
        </w:rPr>
        <w:t> brute et lisse</w:t>
      </w:r>
      <w:r>
        <w:t xml:space="preserve"> (par défaut)</w:t>
      </w:r>
      <w:r>
        <w:rPr>
          <w:rStyle w:val="optioncarChar"/>
        </w:rPr>
        <w:t xml:space="preserve"> / ***.</w:t>
      </w:r>
    </w:p>
    <w:p w14:paraId="769D3184" w14:textId="77777777" w:rsidR="00DB2B68" w:rsidRDefault="00000000">
      <w:pPr>
        <w:jc w:val="both"/>
      </w:pPr>
      <w:r>
        <w:t xml:space="preserve">Le joint entre les éléments préfabriqués est : </w:t>
      </w:r>
      <w:r>
        <w:rPr>
          <w:rStyle w:val="optioncarChar"/>
        </w:rPr>
        <w:t>vide </w:t>
      </w:r>
      <w:r>
        <w:t xml:space="preserve">(par défaut) </w:t>
      </w:r>
      <w:r>
        <w:rPr>
          <w:rStyle w:val="optioncarChar"/>
        </w:rPr>
        <w:t>/ rempli par un joint souple / muni d’un dispositif d’étanchéité / *** .</w:t>
      </w:r>
    </w:p>
    <w:p w14:paraId="078185CD" w14:textId="77777777" w:rsidR="00DB2B68" w:rsidRDefault="00000000">
      <w:pPr>
        <w:jc w:val="both"/>
      </w:pPr>
      <w:r>
        <w:t xml:space="preserve">Les arêtes de la face apparente sont : </w:t>
      </w:r>
      <w:r>
        <w:rPr>
          <w:rStyle w:val="optioncarChar"/>
        </w:rPr>
        <w:t xml:space="preserve">droites </w:t>
      </w:r>
      <w:r>
        <w:t>(par défaut) </w:t>
      </w:r>
      <w:r>
        <w:rPr>
          <w:rStyle w:val="optioncarChar"/>
        </w:rPr>
        <w:t>/ munis de chanfreins / ***.</w:t>
      </w:r>
    </w:p>
    <w:p w14:paraId="0EF6ABDE" w14:textId="77777777" w:rsidR="00DB2B68" w:rsidRDefault="00000000">
      <w:pPr>
        <w:jc w:val="both"/>
      </w:pPr>
      <w:r>
        <w:t>La tête de l’élément préfabriqué est :</w:t>
      </w:r>
      <w:r>
        <w:rPr>
          <w:rStyle w:val="optioncarChar"/>
        </w:rPr>
        <w:t> droite </w:t>
      </w:r>
      <w:r>
        <w:t>(par défaut)</w:t>
      </w:r>
      <w:r>
        <w:rPr>
          <w:rStyle w:val="optioncarChar"/>
        </w:rPr>
        <w:t xml:space="preserve"> / arrondie / ***.</w:t>
      </w:r>
    </w:p>
    <w:p w14:paraId="282C2570" w14:textId="77777777" w:rsidR="00DB2B68" w:rsidRDefault="00000000">
      <w:pPr>
        <w:pStyle w:val="pheading"/>
      </w:pPr>
      <w:r>
        <w:t>EXÉCUTION / MISE EN ŒUVRE</w:t>
      </w:r>
    </w:p>
    <w:p w14:paraId="40A4FF99" w14:textId="77777777" w:rsidR="00DB2B68" w:rsidRDefault="00000000">
      <w:pPr>
        <w:pStyle w:val="pheading"/>
      </w:pPr>
      <w:r>
        <w:t>- Prescriptions générales</w:t>
      </w:r>
    </w:p>
    <w:p w14:paraId="14EE561E" w14:textId="77777777" w:rsidR="00DB2B68" w:rsidRDefault="00000000">
      <w:pPr>
        <w:jc w:val="both"/>
      </w:pPr>
      <w:r>
        <w:t>Le plan de pose doit être approuvé par</w:t>
      </w:r>
      <w:r>
        <w:rPr>
          <w:rStyle w:val="optioncarChar"/>
        </w:rPr>
        <w:t xml:space="preserve"> l’entrepreneur / le bureau d’études </w:t>
      </w:r>
      <w:r>
        <w:t>(par défaut)</w:t>
      </w:r>
      <w:r>
        <w:rPr>
          <w:rStyle w:val="optioncarChar"/>
        </w:rPr>
        <w:t>.</w:t>
      </w:r>
    </w:p>
    <w:p w14:paraId="166A85F5" w14:textId="77777777" w:rsidR="00DB2B68" w:rsidRDefault="00000000">
      <w:pPr>
        <w:jc w:val="both"/>
      </w:pPr>
      <w:r>
        <w:t>Les parois sont fabriquées dans les dimensions indiquées sur les plans d’exécution approuvés.</w:t>
      </w:r>
    </w:p>
    <w:p w14:paraId="0FA1BF4E" w14:textId="77777777" w:rsidR="00DB2B68" w:rsidRDefault="00000000">
      <w:pPr>
        <w:jc w:val="both"/>
      </w:pPr>
      <w:r>
        <w:t>La mise en œuvre est conforme aux normes [NBN EN 13670] et [NBN B 15-400].</w:t>
      </w:r>
    </w:p>
    <w:p w14:paraId="4B34C8C2" w14:textId="77777777" w:rsidR="00DB2B68" w:rsidRDefault="00000000">
      <w:pPr>
        <w:jc w:val="both"/>
      </w:pPr>
      <w:r>
        <w:t>L’alignement des parois est réalisé au moyens d’étais et de madriers en bois parfaitement alignés.</w:t>
      </w:r>
    </w:p>
    <w:p w14:paraId="4306A7DF" w14:textId="77777777" w:rsidR="00DB2B68" w:rsidRDefault="00000000">
      <w:pPr>
        <w:jc w:val="both"/>
      </w:pPr>
      <w:r>
        <w:t>Le sol/support devra être non travaillé et stable.</w:t>
      </w:r>
    </w:p>
    <w:p w14:paraId="7162F757" w14:textId="77777777" w:rsidR="00DB2B68" w:rsidRDefault="00000000">
      <w:pPr>
        <w:jc w:val="both"/>
      </w:pPr>
      <w:r>
        <w:t>La verticalité doit être garantie par la pose préalable de madrier en bois</w:t>
      </w:r>
    </w:p>
    <w:p w14:paraId="7CB7C2EE" w14:textId="77777777" w:rsidR="00DB2B68" w:rsidRDefault="00000000">
      <w:pPr>
        <w:jc w:val="both"/>
      </w:pPr>
      <w:r>
        <w:t>Si les parois doivent être étanches à l’eau, il y a lieu de suivre les principes de conception et de mise en œuvre des [NIT 247] et [NIT 250].</w:t>
      </w:r>
    </w:p>
    <w:p w14:paraId="30BE2E41" w14:textId="77777777" w:rsidR="00DB2B68" w:rsidRDefault="00000000">
      <w:pPr>
        <w:pStyle w:val="pheading"/>
      </w:pPr>
      <w:r>
        <w:t>DOCUMENTS DE RÉFÉRENCE COMPLÉMENTAIRES</w:t>
      </w:r>
    </w:p>
    <w:p w14:paraId="0B014EF4" w14:textId="77777777" w:rsidR="00DB2B68" w:rsidRDefault="00000000">
      <w:pPr>
        <w:pStyle w:val="pheading"/>
      </w:pPr>
      <w:r>
        <w:lastRenderedPageBreak/>
        <w:t>- Matériau</w:t>
      </w:r>
    </w:p>
    <w:p w14:paraId="4C3EAA3A" w14:textId="77777777" w:rsidR="00DB2B68" w:rsidRDefault="00000000">
      <w:r>
        <w:t>[NBN EN 14992+A1, Produits préfabriqués en béton - Eléments de mur]</w:t>
      </w:r>
      <w:r>
        <w:br/>
      </w:r>
      <w:r>
        <w:br/>
        <w:t>[NBN B 21-612, Produits préfabriqués en béton - Eléments de mur - Norme d'application nationale à la NBN EN 14992+A1:2012]</w:t>
      </w:r>
    </w:p>
    <w:p w14:paraId="1B1546C5" w14:textId="77777777" w:rsidR="00DB2B68" w:rsidRDefault="00000000">
      <w:r>
        <w:t>[RA 21-612, Règlement d'application Benor - Produits préfabriqués en béton - Eléments de murs]</w:t>
      </w:r>
      <w:r>
        <w:br/>
      </w:r>
      <w:r>
        <w:br/>
        <w:t>[Buildwise Méthode de dimensionnement Rapport 10, Sécurité et mise en oeuvre d'éléments préfabriqués en béton]</w:t>
      </w:r>
    </w:p>
    <w:p w14:paraId="1A48A2EC" w14:textId="77777777" w:rsidR="00DB2B68" w:rsidRDefault="00000000">
      <w:pPr>
        <w:ind w:left="750"/>
      </w:pPr>
      <w:r>
        <w:t> </w:t>
      </w:r>
    </w:p>
    <w:p w14:paraId="6F9F09C7" w14:textId="77777777" w:rsidR="00DB2B68" w:rsidRDefault="00000000">
      <w:pPr>
        <w:pStyle w:val="pheading"/>
      </w:pPr>
      <w:r>
        <w:t>- Exécution</w:t>
      </w:r>
    </w:p>
    <w:p w14:paraId="43471386" w14:textId="77777777" w:rsidR="00DB2B68" w:rsidRDefault="00000000">
      <w:r>
        <w:t>[NIT 247, Conception et exécution des ouvrages étanches en béton]</w:t>
      </w:r>
    </w:p>
    <w:p w14:paraId="18C4DBD1" w14:textId="77777777" w:rsidR="00DB2B68" w:rsidRDefault="00000000">
      <w:r>
        <w:t>[NIT 250, Détails de référence pour les constructions enterrées]</w:t>
      </w:r>
    </w:p>
    <w:p w14:paraId="53319620" w14:textId="77777777" w:rsidR="00DB2B68" w:rsidRDefault="00000000">
      <w:pPr>
        <w:pStyle w:val="pheading"/>
      </w:pPr>
      <w:r>
        <w:t>MESURAGE</w:t>
      </w:r>
    </w:p>
    <w:p w14:paraId="3059221E" w14:textId="77777777" w:rsidR="00DB2B68" w:rsidRDefault="00000000">
      <w:pPr>
        <w:pStyle w:val="pheading"/>
      </w:pPr>
      <w:r>
        <w:t>- unité de mesure:</w:t>
      </w:r>
    </w:p>
    <w:p w14:paraId="667EA03A" w14:textId="77777777" w:rsidR="00DB2B68" w:rsidRDefault="00000000">
      <w:r>
        <w:rPr>
          <w:rStyle w:val="optioncarChar"/>
        </w:rPr>
        <w:t>m²</w:t>
      </w:r>
      <w:r>
        <w:t xml:space="preserve"> (par défaut) </w:t>
      </w:r>
      <w:r>
        <w:rPr>
          <w:rStyle w:val="optioncarChar"/>
        </w:rPr>
        <w:t>/ m³</w:t>
      </w:r>
    </w:p>
    <w:p w14:paraId="22D5CE47" w14:textId="77777777" w:rsidR="00DB2B68" w:rsidRDefault="00000000">
      <w:r>
        <w:rPr>
          <w:b/>
          <w:i/>
        </w:rPr>
        <w:t>(Soit par défaut)</w:t>
      </w:r>
    </w:p>
    <w:p w14:paraId="7F574145" w14:textId="77777777" w:rsidR="00DB2B68" w:rsidRDefault="00000000">
      <w:r>
        <w:rPr>
          <w:rStyle w:val="soitChar"/>
        </w:rPr>
        <w:t>1.     m²</w:t>
      </w:r>
    </w:p>
    <w:p w14:paraId="516FFF35" w14:textId="77777777" w:rsidR="00DB2B68" w:rsidRDefault="00000000">
      <w:r>
        <w:rPr>
          <w:b/>
          <w:i/>
        </w:rPr>
        <w:t>(Soit)</w:t>
      </w:r>
    </w:p>
    <w:p w14:paraId="509E79EE" w14:textId="77777777" w:rsidR="00DB2B68" w:rsidRDefault="00000000">
      <w:r>
        <w:rPr>
          <w:rStyle w:val="soitChar"/>
        </w:rPr>
        <w:t>2.     m³</w:t>
      </w:r>
    </w:p>
    <w:p w14:paraId="6AB88BF4" w14:textId="77777777" w:rsidR="00DB2B68" w:rsidRDefault="00000000">
      <w:pPr>
        <w:pStyle w:val="pheading"/>
      </w:pPr>
      <w:r>
        <w:t>- code de mesurage:</w:t>
      </w:r>
    </w:p>
    <w:p w14:paraId="44DE1071" w14:textId="77777777" w:rsidR="00DB2B68" w:rsidRDefault="00000000">
      <w:pPr>
        <w:jc w:val="both"/>
      </w:pPr>
      <w:r>
        <w:rPr>
          <w:rStyle w:val="optioncarChar"/>
        </w:rPr>
        <w:t>Surface nette</w:t>
      </w:r>
      <w:r>
        <w:t xml:space="preserve"> (par défaut) </w:t>
      </w:r>
      <w:r>
        <w:rPr>
          <w:rStyle w:val="optioncarChar"/>
        </w:rPr>
        <w:t>/ volume net</w:t>
      </w:r>
    </w:p>
    <w:p w14:paraId="1629A21C" w14:textId="77777777" w:rsidR="00DB2B68" w:rsidRDefault="00000000">
      <w:pPr>
        <w:jc w:val="both"/>
      </w:pPr>
      <w:r>
        <w:rPr>
          <w:b/>
          <w:i/>
        </w:rPr>
        <w:t>(Soit par défaut)</w:t>
      </w:r>
    </w:p>
    <w:p w14:paraId="563CC498" w14:textId="77777777" w:rsidR="00DB2B68" w:rsidRDefault="00000000">
      <w:pPr>
        <w:jc w:val="both"/>
      </w:pPr>
      <w:r>
        <w:rPr>
          <w:rStyle w:val="soitChar"/>
          <w:u w:val="single"/>
        </w:rPr>
        <w:t>1.  Surface nette </w:t>
      </w:r>
      <w:r>
        <w:rPr>
          <w:rStyle w:val="soitChar"/>
        </w:rPr>
        <w:t>: Longueur x Largeur de la paroi selon les plans.</w:t>
      </w:r>
    </w:p>
    <w:p w14:paraId="744ECC70" w14:textId="77777777" w:rsidR="00DB2B68" w:rsidRDefault="00000000">
      <w:pPr>
        <w:jc w:val="both"/>
      </w:pPr>
      <w:r>
        <w:rPr>
          <w:b/>
          <w:i/>
        </w:rPr>
        <w:t>(Soit)</w:t>
      </w:r>
    </w:p>
    <w:p w14:paraId="0E05E0FF" w14:textId="77777777" w:rsidR="00DB2B68" w:rsidRDefault="00000000">
      <w:pPr>
        <w:jc w:val="both"/>
      </w:pPr>
      <w:r>
        <w:rPr>
          <w:rStyle w:val="soitChar"/>
          <w:u w:val="single"/>
        </w:rPr>
        <w:t>2. Volume net </w:t>
      </w:r>
      <w:r>
        <w:rPr>
          <w:rStyle w:val="soitChar"/>
        </w:rPr>
        <w:t>: Volume net des parois en béton selon les plans.  Toutes les armatures des parois ainsi que l’isolant sont compris dans le prix unitaire de cet article.  Il n’est pas fait de déduction de volume de béton pour les réservations, écarteurs, les armatures etc. si ce volume est inférieur à 0,05 m³.</w:t>
      </w:r>
    </w:p>
    <w:p w14:paraId="1295574E" w14:textId="77777777" w:rsidR="00DB2B68" w:rsidRDefault="00000000">
      <w:pPr>
        <w:pStyle w:val="pheading"/>
      </w:pPr>
      <w:r>
        <w:t>- nature du marché:</w:t>
      </w:r>
    </w:p>
    <w:p w14:paraId="0642F573" w14:textId="77777777" w:rsidR="00DB2B68" w:rsidRDefault="00000000">
      <w:r>
        <w:rPr>
          <w:rStyle w:val="optioncarChar"/>
        </w:rPr>
        <w:t>QF</w:t>
      </w:r>
      <w:r>
        <w:t xml:space="preserve"> (par défaut) </w:t>
      </w:r>
      <w:r>
        <w:rPr>
          <w:rStyle w:val="optioncarChar"/>
        </w:rPr>
        <w:t>/ QP</w:t>
      </w:r>
    </w:p>
    <w:p w14:paraId="51CEF366" w14:textId="77777777" w:rsidR="00DB2B68" w:rsidRDefault="00000000">
      <w:r>
        <w:rPr>
          <w:b/>
          <w:i/>
        </w:rPr>
        <w:t>(Soit par défaut)</w:t>
      </w:r>
    </w:p>
    <w:p w14:paraId="0B5C79DB" w14:textId="77777777" w:rsidR="00DB2B68" w:rsidRDefault="00000000">
      <w:r>
        <w:rPr>
          <w:rStyle w:val="soitChar"/>
        </w:rPr>
        <w:t>1. 2  QF</w:t>
      </w:r>
    </w:p>
    <w:p w14:paraId="75BB8C50" w14:textId="77777777" w:rsidR="00DB2B68" w:rsidRDefault="00000000">
      <w:r>
        <w:rPr>
          <w:b/>
          <w:i/>
        </w:rPr>
        <w:t>(Soit)</w:t>
      </w:r>
    </w:p>
    <w:p w14:paraId="3702DD63" w14:textId="77777777" w:rsidR="00DB2B68" w:rsidRDefault="00000000">
      <w:r>
        <w:rPr>
          <w:rStyle w:val="soitChar"/>
        </w:rPr>
        <w:t>1. 2. QP</w:t>
      </w:r>
    </w:p>
    <w:p w14:paraId="03F3F06A" w14:textId="77777777" w:rsidR="00DB2B68" w:rsidRDefault="00000000">
      <w:pPr>
        <w:pStyle w:val="Author-eSectionHeading6Numberless"/>
      </w:pPr>
      <w:bookmarkStart w:id="750" w:name="_Toc220495808"/>
      <w:r>
        <w:t>22.16.3c Prémurs en béton armé CCTB 01.13</w:t>
      </w:r>
      <w:bookmarkEnd w:id="750"/>
    </w:p>
    <w:p w14:paraId="405AD6FE" w14:textId="77777777" w:rsidR="00DB2B68" w:rsidRDefault="00000000">
      <w:pPr>
        <w:pStyle w:val="pheading"/>
      </w:pPr>
      <w:r>
        <w:t>DESCRIPTION</w:t>
      </w:r>
    </w:p>
    <w:p w14:paraId="77F6A8DC" w14:textId="77777777" w:rsidR="00DB2B68" w:rsidRDefault="00000000">
      <w:pPr>
        <w:pStyle w:val="pheading"/>
      </w:pPr>
      <w:r>
        <w:t>- Définition / Comprend</w:t>
      </w:r>
    </w:p>
    <w:p w14:paraId="4CB8F0EA" w14:textId="77777777" w:rsidR="00DB2B68" w:rsidRDefault="00000000">
      <w:pPr>
        <w:jc w:val="both"/>
      </w:pPr>
      <w:r>
        <w:t xml:space="preserve">Cet article vise la fourniture et la pose de prémurs en béton armé. Ces éléments sont constitués de deux voiles en béton armé préfabriqués qui sont reliés ensemble, avec un espace, au moyen d’un système de raidisseurs à treillis.  La portée des travaux est décrite dans l’élément </w:t>
      </w:r>
      <w:hyperlink w:anchor="502" w:history="1">
        <w:r>
          <w:rPr>
            <w:color w:val="0000EE"/>
          </w:rPr>
          <w:t>22.16.3 Parois préfabriquées en béton</w:t>
        </w:r>
      </w:hyperlink>
      <w:r>
        <w:t>. Sont compris également :</w:t>
      </w:r>
    </w:p>
    <w:p w14:paraId="6DFF178C" w14:textId="77777777" w:rsidR="00DB2B68" w:rsidRDefault="00000000">
      <w:pPr>
        <w:pStyle w:val="Author-eListParagraph"/>
        <w:numPr>
          <w:ilvl w:val="0"/>
          <w:numId w:val="507"/>
        </w:numPr>
      </w:pPr>
      <w:r>
        <w:lastRenderedPageBreak/>
        <w:t>L’humification des parois intérieures des prémurs avant bétonnage du béton de remplissage ;</w:t>
      </w:r>
    </w:p>
    <w:p w14:paraId="6E374E31" w14:textId="77777777" w:rsidR="00DB2B68" w:rsidRDefault="00000000">
      <w:pPr>
        <w:pStyle w:val="Author-eListParagraph"/>
        <w:numPr>
          <w:ilvl w:val="0"/>
          <w:numId w:val="507"/>
        </w:numPr>
      </w:pPr>
      <w:r>
        <w:t>La livraison et la mise en œuvre du béton de remplissage ;</w:t>
      </w:r>
    </w:p>
    <w:p w14:paraId="5ABFA336" w14:textId="77777777" w:rsidR="00DB2B68" w:rsidRDefault="00000000">
      <w:pPr>
        <w:pStyle w:val="Author-eListParagraph"/>
        <w:numPr>
          <w:ilvl w:val="0"/>
          <w:numId w:val="507"/>
        </w:numPr>
      </w:pPr>
      <w:r>
        <w:t>La gestion des joints horizontaux, verticaux, tassements ainsi que leur finition ;</w:t>
      </w:r>
    </w:p>
    <w:p w14:paraId="04E540BD" w14:textId="77777777" w:rsidR="00DB2B68" w:rsidRDefault="00000000">
      <w:pPr>
        <w:pStyle w:val="Author-eListParagraph"/>
        <w:numPr>
          <w:ilvl w:val="0"/>
          <w:numId w:val="507"/>
        </w:numPr>
      </w:pPr>
      <w:r>
        <w:t>La gestion de l’étanchéité au raccord avec la dalle et entre les prémurs.</w:t>
      </w:r>
    </w:p>
    <w:p w14:paraId="69F13846" w14:textId="77777777" w:rsidR="00DB2B68" w:rsidRDefault="00000000">
      <w:pPr>
        <w:pStyle w:val="pheading"/>
      </w:pPr>
      <w:r>
        <w:t>- Localisation</w:t>
      </w:r>
    </w:p>
    <w:p w14:paraId="6608B64F" w14:textId="77777777" w:rsidR="00DB2B68" w:rsidRDefault="00000000">
      <w:r>
        <w:t xml:space="preserve">La pose est réalisée aux endroits suivants : </w:t>
      </w:r>
      <w:r>
        <w:rPr>
          <w:rStyle w:val="optioncarChar"/>
        </w:rPr>
        <w:t>***</w:t>
      </w:r>
      <w:r>
        <w:t>.</w:t>
      </w:r>
    </w:p>
    <w:p w14:paraId="7746EF94" w14:textId="77777777" w:rsidR="00DB2B68" w:rsidRDefault="00000000">
      <w:r>
        <w:t>Voir plans et métrés détaillés.</w:t>
      </w:r>
    </w:p>
    <w:p w14:paraId="7761FCC5" w14:textId="77777777" w:rsidR="00DB2B68" w:rsidRDefault="00000000">
      <w:pPr>
        <w:pStyle w:val="pheading"/>
      </w:pPr>
      <w:r>
        <w:t>MATÉRIAUX</w:t>
      </w:r>
    </w:p>
    <w:p w14:paraId="052B0316" w14:textId="77777777" w:rsidR="00DB2B68" w:rsidRDefault="00000000">
      <w:pPr>
        <w:pStyle w:val="pheading"/>
      </w:pPr>
      <w:r>
        <w:t>- Caractéristiques générales</w:t>
      </w:r>
    </w:p>
    <w:p w14:paraId="5E221DA9" w14:textId="77777777" w:rsidR="00DB2B68" w:rsidRDefault="00000000">
      <w:pPr>
        <w:jc w:val="both"/>
      </w:pPr>
      <w:r>
        <w:t xml:space="preserve">L’épaisseur totale des prémurs est de : </w:t>
      </w:r>
      <w:r>
        <w:rPr>
          <w:rStyle w:val="optioncarChar"/>
        </w:rPr>
        <w:t>19 </w:t>
      </w:r>
      <w:r>
        <w:t>(par défaut)</w:t>
      </w:r>
      <w:r>
        <w:rPr>
          <w:rStyle w:val="optioncarChar"/>
        </w:rPr>
        <w:t xml:space="preserve"> / 20 / 25 / 30 / ***</w:t>
      </w:r>
      <w:r>
        <w:t xml:space="preserve"> cm.</w:t>
      </w:r>
    </w:p>
    <w:p w14:paraId="5DD8BED9" w14:textId="77777777" w:rsidR="00DB2B68" w:rsidRDefault="00000000">
      <w:pPr>
        <w:jc w:val="both"/>
      </w:pPr>
      <w:r>
        <w:rPr>
          <w:b/>
        </w:rPr>
        <w:t>Spécification prémur</w:t>
      </w:r>
    </w:p>
    <w:p w14:paraId="5F1E7E98" w14:textId="77777777" w:rsidR="00DB2B68" w:rsidRDefault="00000000">
      <w:pPr>
        <w:jc w:val="both"/>
      </w:pPr>
      <w:r>
        <w:t>Epaisseur des parois du prémur :</w:t>
      </w:r>
    </w:p>
    <w:p w14:paraId="2FEB7F69" w14:textId="77777777" w:rsidR="00DB2B68" w:rsidRDefault="00000000">
      <w:pPr>
        <w:jc w:val="both"/>
      </w:pPr>
      <w:r>
        <w:t xml:space="preserve">Paroi intérieure : </w:t>
      </w:r>
      <w:r>
        <w:rPr>
          <w:rStyle w:val="optioncarChar"/>
        </w:rPr>
        <w:t>5 </w:t>
      </w:r>
      <w:r>
        <w:t>(par défaut)</w:t>
      </w:r>
      <w:r>
        <w:rPr>
          <w:rStyle w:val="optioncarChar"/>
        </w:rPr>
        <w:t xml:space="preserve"> / 6 / 7 / ***</w:t>
      </w:r>
      <w:r>
        <w:t xml:space="preserve"> cm suivant étude et plans d’exécution</w:t>
      </w:r>
    </w:p>
    <w:p w14:paraId="7883B216" w14:textId="77777777" w:rsidR="00DB2B68" w:rsidRDefault="00000000">
      <w:pPr>
        <w:jc w:val="both"/>
      </w:pPr>
      <w:r>
        <w:t xml:space="preserve">Paroi extérieure : </w:t>
      </w:r>
      <w:r>
        <w:rPr>
          <w:rStyle w:val="optioncarChar"/>
        </w:rPr>
        <w:t>5 </w:t>
      </w:r>
      <w:r>
        <w:t>(par défaut)</w:t>
      </w:r>
      <w:r>
        <w:rPr>
          <w:rStyle w:val="optioncarChar"/>
        </w:rPr>
        <w:t xml:space="preserve"> / 6 / 7 / ***</w:t>
      </w:r>
      <w:r>
        <w:t xml:space="preserve"> cm suivant étude et plans d’exécution</w:t>
      </w:r>
    </w:p>
    <w:p w14:paraId="6F53F91D" w14:textId="77777777" w:rsidR="00DB2B68" w:rsidRDefault="00000000">
      <w:pPr>
        <w:jc w:val="both"/>
      </w:pPr>
      <w:r>
        <w:t>La classe de résistance du béton des parois, fonction de la classe de résistance du béton de remplissage, est</w:t>
      </w:r>
      <w:r>
        <w:rPr>
          <w:rStyle w:val="optioncarChar"/>
        </w:rPr>
        <w:t xml:space="preserve"> C25/30 </w:t>
      </w:r>
      <w:r>
        <w:t xml:space="preserve">(par défaut) </w:t>
      </w:r>
      <w:r>
        <w:rPr>
          <w:rStyle w:val="optioncarChar"/>
        </w:rPr>
        <w:t>/ ***</w:t>
      </w:r>
      <w:r>
        <w:t>.</w:t>
      </w:r>
    </w:p>
    <w:p w14:paraId="0388C8F2" w14:textId="77777777" w:rsidR="00DB2B68" w:rsidRDefault="00000000">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3191A5AF" w14:textId="77777777" w:rsidR="00DB2B68" w:rsidRDefault="00000000">
      <w:pPr>
        <w:jc w:val="both"/>
      </w:pPr>
      <w:r>
        <w:rPr>
          <w:b/>
        </w:rPr>
        <w:t>Spécification du béton de remplissage.</w:t>
      </w:r>
    </w:p>
    <w:p w14:paraId="3B8E0623" w14:textId="77777777" w:rsidR="00DB2B68" w:rsidRDefault="00000000">
      <w:pPr>
        <w:jc w:val="both"/>
      </w:pPr>
      <w:r>
        <w:t xml:space="preserve">Le béton de remplissage est également conforme aux [NBN EN 206:2013+A2] et [NBN B 15-001]. Voir également la section </w:t>
      </w:r>
      <w:hyperlink w:anchor="87" w:history="1">
        <w:r>
          <w:rPr>
            <w:color w:val="0000EE"/>
          </w:rPr>
          <w:t>22 Superstructures en béton</w:t>
        </w:r>
      </w:hyperlink>
      <w:r>
        <w:t>. Pour le béton autocompactant, la [NBN EN 206:2013+A2] est d’application.</w:t>
      </w:r>
    </w:p>
    <w:tbl>
      <w:tblPr>
        <w:tblStyle w:val="Author-eTableGrid"/>
        <w:tblW w:w="9030" w:type="dxa"/>
        <w:tblLayout w:type="fixed"/>
        <w:tblLook w:val="04A0" w:firstRow="1" w:lastRow="0" w:firstColumn="1" w:lastColumn="0" w:noHBand="0" w:noVBand="1"/>
      </w:tblPr>
      <w:tblGrid>
        <w:gridCol w:w="1445"/>
        <w:gridCol w:w="1445"/>
        <w:gridCol w:w="1535"/>
        <w:gridCol w:w="1535"/>
        <w:gridCol w:w="1535"/>
        <w:gridCol w:w="1535"/>
      </w:tblGrid>
      <w:tr w:rsidR="00DB2B68" w14:paraId="7D5BC954" w14:textId="77777777">
        <w:tc>
          <w:tcPr>
            <w:tcW w:w="1440" w:type="dxa"/>
            <w:noWrap/>
          </w:tcPr>
          <w:p w14:paraId="528E4534" w14:textId="77777777" w:rsidR="00DB2B68" w:rsidRDefault="00000000">
            <w:pPr>
              <w:jc w:val="center"/>
            </w:pPr>
            <w:r>
              <w:rPr>
                <w:b/>
              </w:rPr>
              <w:t>A</w:t>
            </w:r>
          </w:p>
        </w:tc>
        <w:tc>
          <w:tcPr>
            <w:tcW w:w="1440" w:type="dxa"/>
            <w:noWrap/>
          </w:tcPr>
          <w:p w14:paraId="3701C996" w14:textId="77777777" w:rsidR="00DB2B68" w:rsidRDefault="00000000">
            <w:pPr>
              <w:jc w:val="center"/>
            </w:pPr>
            <w:r>
              <w:rPr>
                <w:b/>
              </w:rPr>
              <w:t>B1</w:t>
            </w:r>
          </w:p>
        </w:tc>
        <w:tc>
          <w:tcPr>
            <w:tcW w:w="1530" w:type="dxa"/>
            <w:noWrap/>
          </w:tcPr>
          <w:p w14:paraId="5A9F5655" w14:textId="77777777" w:rsidR="00DB2B68" w:rsidRDefault="00000000">
            <w:pPr>
              <w:jc w:val="center"/>
            </w:pPr>
            <w:r>
              <w:rPr>
                <w:b/>
              </w:rPr>
              <w:t>B2</w:t>
            </w:r>
          </w:p>
        </w:tc>
        <w:tc>
          <w:tcPr>
            <w:tcW w:w="1530" w:type="dxa"/>
            <w:noWrap/>
          </w:tcPr>
          <w:p w14:paraId="2DBFE8BA" w14:textId="77777777" w:rsidR="00DB2B68" w:rsidRDefault="00000000">
            <w:pPr>
              <w:jc w:val="center"/>
            </w:pPr>
            <w:r>
              <w:rPr>
                <w:b/>
              </w:rPr>
              <w:t>C</w:t>
            </w:r>
          </w:p>
        </w:tc>
        <w:tc>
          <w:tcPr>
            <w:tcW w:w="1530" w:type="dxa"/>
            <w:noWrap/>
          </w:tcPr>
          <w:p w14:paraId="364FE5FD" w14:textId="77777777" w:rsidR="00DB2B68" w:rsidRDefault="00000000">
            <w:pPr>
              <w:jc w:val="center"/>
            </w:pPr>
            <w:r>
              <w:rPr>
                <w:b/>
              </w:rPr>
              <w:t>D</w:t>
            </w:r>
          </w:p>
        </w:tc>
        <w:tc>
          <w:tcPr>
            <w:tcW w:w="1530" w:type="dxa"/>
            <w:noWrap/>
          </w:tcPr>
          <w:p w14:paraId="3236DA27" w14:textId="77777777" w:rsidR="00DB2B68" w:rsidRDefault="00000000">
            <w:pPr>
              <w:jc w:val="center"/>
            </w:pPr>
            <w:r>
              <w:rPr>
                <w:b/>
              </w:rPr>
              <w:t>E</w:t>
            </w:r>
          </w:p>
        </w:tc>
      </w:tr>
      <w:tr w:rsidR="00DB2B68" w14:paraId="2353C666" w14:textId="77777777">
        <w:tc>
          <w:tcPr>
            <w:tcW w:w="1440" w:type="dxa"/>
            <w:noWrap/>
          </w:tcPr>
          <w:p w14:paraId="4547A070" w14:textId="77777777" w:rsidR="00DB2B68" w:rsidRDefault="00000000">
            <w:pPr>
              <w:jc w:val="center"/>
            </w:pPr>
            <w:r>
              <w:rPr>
                <w:b/>
              </w:rPr>
              <w:t>Classe de résistance</w:t>
            </w:r>
          </w:p>
          <w:p w14:paraId="67E2CB84" w14:textId="77777777" w:rsidR="00DB2B68" w:rsidRDefault="00000000">
            <w:pPr>
              <w:jc w:val="center"/>
            </w:pPr>
            <w:r>
              <w:t> </w:t>
            </w:r>
          </w:p>
        </w:tc>
        <w:tc>
          <w:tcPr>
            <w:tcW w:w="1440" w:type="dxa"/>
            <w:noWrap/>
          </w:tcPr>
          <w:p w14:paraId="02A67733" w14:textId="77777777" w:rsidR="00DB2B68" w:rsidRDefault="00000000">
            <w:pPr>
              <w:jc w:val="center"/>
            </w:pPr>
            <w:r>
              <w:rPr>
                <w:b/>
              </w:rPr>
              <w:t>Domaine d’application</w:t>
            </w:r>
          </w:p>
        </w:tc>
        <w:tc>
          <w:tcPr>
            <w:tcW w:w="1530" w:type="dxa"/>
            <w:noWrap/>
          </w:tcPr>
          <w:p w14:paraId="473796C0" w14:textId="77777777" w:rsidR="00DB2B68" w:rsidRDefault="00000000">
            <w:pPr>
              <w:jc w:val="center"/>
            </w:pPr>
            <w:r>
              <w:rPr>
                <w:b/>
              </w:rPr>
              <w:t>Classe d’environnement</w:t>
            </w:r>
          </w:p>
        </w:tc>
        <w:tc>
          <w:tcPr>
            <w:tcW w:w="1530" w:type="dxa"/>
            <w:noWrap/>
          </w:tcPr>
          <w:p w14:paraId="3A9F1892" w14:textId="77777777" w:rsidR="00DB2B68" w:rsidRDefault="00000000">
            <w:pPr>
              <w:jc w:val="center"/>
            </w:pPr>
            <w:r>
              <w:rPr>
                <w:b/>
              </w:rPr>
              <w:t>Classe de consistance</w:t>
            </w:r>
          </w:p>
        </w:tc>
        <w:tc>
          <w:tcPr>
            <w:tcW w:w="1530" w:type="dxa"/>
            <w:noWrap/>
          </w:tcPr>
          <w:p w14:paraId="047E7B33" w14:textId="77777777" w:rsidR="00DB2B68" w:rsidRDefault="00000000">
            <w:pPr>
              <w:jc w:val="center"/>
            </w:pPr>
            <w:r>
              <w:rPr>
                <w:b/>
              </w:rPr>
              <w:t>Granulométrie maximale</w:t>
            </w:r>
          </w:p>
        </w:tc>
        <w:tc>
          <w:tcPr>
            <w:tcW w:w="1530" w:type="dxa"/>
            <w:noWrap/>
          </w:tcPr>
          <w:p w14:paraId="0349050F" w14:textId="77777777" w:rsidR="00DB2B68" w:rsidRDefault="00000000">
            <w:pPr>
              <w:jc w:val="center"/>
            </w:pPr>
            <w:r>
              <w:rPr>
                <w:b/>
              </w:rPr>
              <w:t>Données complémentaires</w:t>
            </w:r>
          </w:p>
        </w:tc>
      </w:tr>
      <w:tr w:rsidR="00DB2B68" w14:paraId="1B6CA2B2" w14:textId="77777777">
        <w:tc>
          <w:tcPr>
            <w:tcW w:w="1440" w:type="dxa"/>
            <w:noWrap/>
          </w:tcPr>
          <w:p w14:paraId="5FEF0881" w14:textId="77777777" w:rsidR="00DB2B68" w:rsidRDefault="00000000">
            <w:pPr>
              <w:jc w:val="center"/>
            </w:pPr>
            <w:r>
              <w:t> </w:t>
            </w:r>
          </w:p>
          <w:p w14:paraId="70261859" w14:textId="77777777" w:rsidR="00DB2B68" w:rsidRDefault="00000000">
            <w:pPr>
              <w:jc w:val="center"/>
            </w:pPr>
            <w:r>
              <w:rPr>
                <w:rStyle w:val="optioncarChar"/>
              </w:rPr>
              <w:t>C25/30 / C30/37 / C35/45 / C45/55 / C50/60 / C55/67 / C60/75 / C70/85 / C80/90 / C90/105</w:t>
            </w:r>
          </w:p>
          <w:p w14:paraId="00810639" w14:textId="77777777" w:rsidR="00DB2B68" w:rsidRDefault="00000000">
            <w:pPr>
              <w:jc w:val="center"/>
            </w:pPr>
            <w:r>
              <w:t> </w:t>
            </w:r>
          </w:p>
        </w:tc>
        <w:tc>
          <w:tcPr>
            <w:tcW w:w="1440" w:type="dxa"/>
            <w:noWrap/>
          </w:tcPr>
          <w:p w14:paraId="70D85DCB" w14:textId="77777777" w:rsidR="00DB2B68" w:rsidRDefault="00000000">
            <w:pPr>
              <w:jc w:val="center"/>
            </w:pPr>
            <w:r>
              <w:t> </w:t>
            </w:r>
          </w:p>
          <w:p w14:paraId="37933194" w14:textId="77777777" w:rsidR="00DB2B68" w:rsidRDefault="00000000">
            <w:pPr>
              <w:jc w:val="center"/>
            </w:pPr>
            <w:r>
              <w:t>Béton armé</w:t>
            </w:r>
          </w:p>
        </w:tc>
        <w:tc>
          <w:tcPr>
            <w:tcW w:w="1530" w:type="dxa"/>
            <w:noWrap/>
          </w:tcPr>
          <w:p w14:paraId="24E1D14F" w14:textId="77777777" w:rsidR="00DB2B68" w:rsidRDefault="00000000">
            <w:pPr>
              <w:jc w:val="center"/>
            </w:pPr>
            <w:r>
              <w:t> </w:t>
            </w:r>
          </w:p>
          <w:p w14:paraId="062795AD" w14:textId="77777777" w:rsidR="00DB2B68" w:rsidRDefault="00000000">
            <w:pPr>
              <w:jc w:val="center"/>
            </w:pPr>
            <w:r>
              <w:rPr>
                <w:rStyle w:val="optioncarChar"/>
              </w:rPr>
              <w:t>EI / EE1 / EE2 / EE3 / EE4 / ES1 / ES2 / ES3 / ES4 / EA1+*** / EA2+*** / EA3+***</w:t>
            </w:r>
          </w:p>
        </w:tc>
        <w:tc>
          <w:tcPr>
            <w:tcW w:w="1530" w:type="dxa"/>
            <w:noWrap/>
          </w:tcPr>
          <w:p w14:paraId="37A5B662" w14:textId="77777777" w:rsidR="00DB2B68" w:rsidRDefault="00000000">
            <w:pPr>
              <w:jc w:val="center"/>
            </w:pPr>
            <w:r>
              <w:t> </w:t>
            </w:r>
          </w:p>
          <w:p w14:paraId="6B52B1B4" w14:textId="77777777" w:rsidR="00DB2B68" w:rsidRDefault="00000000">
            <w:pPr>
              <w:jc w:val="center"/>
            </w:pPr>
            <w:r>
              <w:t>Au choix de l’entrepreneur :</w:t>
            </w:r>
            <w:r>
              <w:br/>
            </w:r>
            <w:r>
              <w:br/>
            </w:r>
          </w:p>
          <w:p w14:paraId="5E783A01" w14:textId="77777777" w:rsidR="00DB2B68" w:rsidRDefault="00000000">
            <w:pPr>
              <w:jc w:val="center"/>
            </w:pPr>
            <w:r>
              <w:rPr>
                <w:rStyle w:val="optioncarChar"/>
              </w:rPr>
              <w:t>S3 / S4 / S5</w:t>
            </w:r>
          </w:p>
          <w:p w14:paraId="45561CB1" w14:textId="77777777" w:rsidR="00DB2B68" w:rsidRDefault="00000000">
            <w:pPr>
              <w:jc w:val="center"/>
            </w:pPr>
            <w:r>
              <w:rPr>
                <w:rStyle w:val="optioncarChar"/>
              </w:rPr>
              <w:t> </w:t>
            </w:r>
          </w:p>
          <w:p w14:paraId="13979476" w14:textId="77777777" w:rsidR="00DB2B68" w:rsidRDefault="00000000">
            <w:pPr>
              <w:jc w:val="center"/>
            </w:pPr>
            <w:r>
              <w:rPr>
                <w:rStyle w:val="optioncarChar"/>
              </w:rPr>
              <w:t>F1 / F4 / F5 / F6</w:t>
            </w:r>
          </w:p>
        </w:tc>
        <w:tc>
          <w:tcPr>
            <w:tcW w:w="1530" w:type="dxa"/>
            <w:noWrap/>
          </w:tcPr>
          <w:p w14:paraId="39272465" w14:textId="77777777" w:rsidR="00DB2B68" w:rsidRDefault="00000000">
            <w:pPr>
              <w:jc w:val="center"/>
            </w:pPr>
            <w:r>
              <w:t> </w:t>
            </w:r>
          </w:p>
          <w:p w14:paraId="2DAC1301" w14:textId="77777777" w:rsidR="00DB2B68" w:rsidRDefault="00000000">
            <w:pPr>
              <w:jc w:val="center"/>
            </w:pPr>
            <w:r>
              <w:t>Au choix de l’entrepreneur :</w:t>
            </w:r>
          </w:p>
          <w:p w14:paraId="3D61DED0" w14:textId="77777777" w:rsidR="00DB2B68" w:rsidRDefault="00000000">
            <w:pPr>
              <w:jc w:val="center"/>
            </w:pPr>
            <w:r>
              <w:t> </w:t>
            </w:r>
          </w:p>
          <w:p w14:paraId="6EAD960B" w14:textId="77777777" w:rsidR="00DB2B68" w:rsidRDefault="00000000">
            <w:pPr>
              <w:jc w:val="center"/>
            </w:pPr>
            <w:r>
              <w:rPr>
                <w:rStyle w:val="optioncarChar"/>
              </w:rPr>
              <w:t>6 / 8 / 10 / 11 / 12 / 14 / 16 / 20 / 22 / 32</w:t>
            </w:r>
            <w:r>
              <w:t xml:space="preserve"> mm</w:t>
            </w:r>
          </w:p>
        </w:tc>
        <w:tc>
          <w:tcPr>
            <w:tcW w:w="1530" w:type="dxa"/>
            <w:noWrap/>
          </w:tcPr>
          <w:p w14:paraId="146224F3" w14:textId="77777777" w:rsidR="00DB2B68" w:rsidRDefault="00000000">
            <w:pPr>
              <w:jc w:val="center"/>
            </w:pPr>
            <w:r>
              <w:t> </w:t>
            </w:r>
          </w:p>
          <w:p w14:paraId="143048FC" w14:textId="77777777" w:rsidR="00DB2B68" w:rsidRDefault="00000000">
            <w:pPr>
              <w:jc w:val="center"/>
            </w:pPr>
            <w:r>
              <w:rPr>
                <w:rStyle w:val="optioncarChar"/>
              </w:rPr>
              <w:t>***</w:t>
            </w:r>
          </w:p>
        </w:tc>
      </w:tr>
    </w:tbl>
    <w:p w14:paraId="31AA5484" w14:textId="77777777" w:rsidR="00DB2B68" w:rsidRDefault="00DB2B68"/>
    <w:p w14:paraId="6E791B3A" w14:textId="77777777" w:rsidR="00DB2B68" w:rsidRDefault="00000000">
      <w:pPr>
        <w:jc w:val="both"/>
      </w:pPr>
      <w:r>
        <w:t>Pour les bétons autoplaçants, l’étalement au cône d’Abrams (consistance) est prescrit obligatoirement à l’aide d’une des classes suivantes :</w:t>
      </w:r>
      <w:r>
        <w:rPr>
          <w:rStyle w:val="optioncarChar"/>
        </w:rPr>
        <w:t xml:space="preserve"> SF1 / SF2 / SF3</w:t>
      </w:r>
      <w:r>
        <w:t xml:space="preserve"> (selon la [NBN EN 12350-8])</w:t>
      </w:r>
    </w:p>
    <w:p w14:paraId="371660A7" w14:textId="77777777" w:rsidR="00DB2B68" w:rsidRDefault="00000000">
      <w:pPr>
        <w:jc w:val="both"/>
      </w:pPr>
      <w:r>
        <w:t>Données complémentaires propres au béton auto-plaçant € :</w:t>
      </w:r>
    </w:p>
    <w:p w14:paraId="7086C5C0" w14:textId="77777777" w:rsidR="00DB2B68" w:rsidRDefault="00000000">
      <w:pPr>
        <w:pStyle w:val="Author-eListParagraph"/>
        <w:numPr>
          <w:ilvl w:val="0"/>
          <w:numId w:val="508"/>
        </w:numPr>
      </w:pPr>
      <w:r>
        <w:t xml:space="preserve">Classe de viscosité apparente : </w:t>
      </w:r>
      <w:r>
        <w:rPr>
          <w:rStyle w:val="optioncarChar"/>
        </w:rPr>
        <w:t>VS1 / VS2</w:t>
      </w:r>
      <w:r>
        <w:t xml:space="preserve"> (selon la [NBN EN 12350-8])</w:t>
      </w:r>
    </w:p>
    <w:p w14:paraId="7D5D43D8" w14:textId="77777777" w:rsidR="00DB2B68" w:rsidRDefault="00000000">
      <w:pPr>
        <w:pStyle w:val="Author-eListParagraph"/>
        <w:numPr>
          <w:ilvl w:val="0"/>
          <w:numId w:val="508"/>
        </w:numPr>
      </w:pPr>
      <w:r>
        <w:t>Aptitude à l’écoulement :</w:t>
      </w:r>
      <w:r>
        <w:rPr>
          <w:rStyle w:val="optioncarChar"/>
        </w:rPr>
        <w:t xml:space="preserve"> PL1 / PL2</w:t>
      </w:r>
      <w:r>
        <w:t xml:space="preserve"> (selon la [NBN EN 12350-10]) ou</w:t>
      </w:r>
      <w:r>
        <w:rPr>
          <w:rStyle w:val="optioncarChar"/>
        </w:rPr>
        <w:t xml:space="preserve"> PJ1 / PJ2</w:t>
      </w:r>
      <w:r>
        <w:t xml:space="preserve"> (selon la [NBN EN 12350-12])</w:t>
      </w:r>
    </w:p>
    <w:p w14:paraId="7E00A149" w14:textId="77777777" w:rsidR="00DB2B68" w:rsidRDefault="00000000">
      <w:pPr>
        <w:pStyle w:val="Author-eListParagraph"/>
        <w:numPr>
          <w:ilvl w:val="0"/>
          <w:numId w:val="508"/>
        </w:numPr>
      </w:pPr>
      <w:r>
        <w:t xml:space="preserve">Classe de résistance à la ségrégation : </w:t>
      </w:r>
      <w:r>
        <w:rPr>
          <w:rStyle w:val="optioncarChar"/>
        </w:rPr>
        <w:t>SR1 / SR2</w:t>
      </w:r>
      <w:r>
        <w:t xml:space="preserve"> (selon la [NBN EN 12350-11])</w:t>
      </w:r>
    </w:p>
    <w:p w14:paraId="79387C68" w14:textId="77777777" w:rsidR="00DB2B68" w:rsidRDefault="00000000">
      <w:pPr>
        <w:pStyle w:val="Author-eListParagraph"/>
        <w:numPr>
          <w:ilvl w:val="0"/>
          <w:numId w:val="508"/>
        </w:numPr>
      </w:pPr>
      <w:r>
        <w:t xml:space="preserve">Pourcentage d’armatures : </w:t>
      </w:r>
      <w:r>
        <w:rPr>
          <w:rStyle w:val="optioncarChar"/>
        </w:rPr>
        <w:t>***</w:t>
      </w:r>
      <w:r>
        <w:t xml:space="preserve"> kg d’acier par m³ de béton</w:t>
      </w:r>
    </w:p>
    <w:p w14:paraId="07098A9C" w14:textId="77777777" w:rsidR="00DB2B68" w:rsidRDefault="00000000">
      <w:pPr>
        <w:pStyle w:val="Author-eListParagraph"/>
        <w:numPr>
          <w:ilvl w:val="0"/>
          <w:numId w:val="508"/>
        </w:numPr>
      </w:pPr>
      <w:r>
        <w:lastRenderedPageBreak/>
        <w:t xml:space="preserve">Barres d’acier/armatures complémentaires : </w:t>
      </w:r>
      <w:r>
        <w:rPr>
          <w:rStyle w:val="optioncarChar"/>
        </w:rPr>
        <w:t>acier BE 500 S</w:t>
      </w:r>
      <w:r>
        <w:t xml:space="preserve"> (par défaut)</w:t>
      </w:r>
      <w:r>
        <w:rPr>
          <w:rStyle w:val="optioncarChar"/>
        </w:rPr>
        <w:t xml:space="preserve"> / ***</w:t>
      </w:r>
      <w:r>
        <w:t xml:space="preserve"> selon [NBN A 24-302] + [PTV 302] .</w:t>
      </w:r>
    </w:p>
    <w:p w14:paraId="14173AA5" w14:textId="77777777" w:rsidR="00DB2B68" w:rsidRDefault="00000000">
      <w:pPr>
        <w:jc w:val="both"/>
      </w:pPr>
      <w:r>
        <w:rPr>
          <w:b/>
        </w:rPr>
        <w:t>Résistance au feu des parois</w:t>
      </w:r>
    </w:p>
    <w:p w14:paraId="5A3199B7" w14:textId="77777777" w:rsidR="00DB2B68" w:rsidRDefault="00000000">
      <w:pPr>
        <w:jc w:val="both"/>
      </w:pPr>
      <w:r>
        <w:t>Résistance au feu suivant la déclaration de performance (DoP) selon les [NBN EN 14992+A1] et [NBN B 21-612].</w:t>
      </w:r>
    </w:p>
    <w:p w14:paraId="3BE2F026" w14:textId="77777777" w:rsidR="00DB2B68" w:rsidRDefault="00000000">
      <w:pPr>
        <w:jc w:val="both"/>
      </w:pPr>
      <w:r>
        <w:t>Si la résistance au feu n’est pas déclarée sous marquage CE, elle est démontrée par test au feu selon la [NBN EN 13501-2] ou par calcul selon les Eurocodes conformément à l’[AM 2013-05-17].</w:t>
      </w:r>
    </w:p>
    <w:p w14:paraId="0C23C683" w14:textId="77777777" w:rsidR="00DB2B68" w:rsidRDefault="00000000">
      <w:pPr>
        <w:pStyle w:val="Author-eListParagraph"/>
        <w:numPr>
          <w:ilvl w:val="0"/>
          <w:numId w:val="509"/>
        </w:numPr>
      </w:pPr>
      <w:r>
        <w:t>Pour les éléments porteurs sans fonction séparante :  </w:t>
      </w:r>
      <w:r>
        <w:rPr>
          <w:rStyle w:val="optioncarChar"/>
        </w:rPr>
        <w:t>R15 / R30 </w:t>
      </w:r>
      <w:r>
        <w:t>(par défaut)</w:t>
      </w:r>
      <w:r>
        <w:rPr>
          <w:rStyle w:val="optioncarChar"/>
        </w:rPr>
        <w:t xml:space="preserve"> / R60 / R120 / R ***</w:t>
      </w:r>
    </w:p>
    <w:p w14:paraId="538347DC" w14:textId="77777777" w:rsidR="00DB2B68" w:rsidRDefault="00000000">
      <w:pPr>
        <w:pStyle w:val="Author-eListParagraph"/>
        <w:numPr>
          <w:ilvl w:val="0"/>
          <w:numId w:val="509"/>
        </w:numPr>
      </w:pPr>
      <w:r>
        <w:t>Pour les éléments porteurs avec fonction séparante : </w:t>
      </w:r>
      <w:r>
        <w:rPr>
          <w:rStyle w:val="optioncarChar"/>
        </w:rPr>
        <w:t xml:space="preserve"> REI 30</w:t>
      </w:r>
      <w:r>
        <w:t> (par défaut)</w:t>
      </w:r>
      <w:r>
        <w:rPr>
          <w:rStyle w:val="optioncarChar"/>
        </w:rPr>
        <w:t xml:space="preserve"> / REI 60 / REI 120 / REI ***</w:t>
      </w:r>
    </w:p>
    <w:p w14:paraId="6E68AC91" w14:textId="77777777" w:rsidR="00DB2B68" w:rsidRDefault="00000000">
      <w:pPr>
        <w:pStyle w:val="Author-eListParagraph"/>
        <w:numPr>
          <w:ilvl w:val="0"/>
          <w:numId w:val="509"/>
        </w:numPr>
      </w:pPr>
      <w:r>
        <w:t xml:space="preserve">Pour les éléments non porteurs avec fonction séparante : </w:t>
      </w:r>
      <w:r>
        <w:rPr>
          <w:rStyle w:val="optioncarChar"/>
        </w:rPr>
        <w:t>EI 30</w:t>
      </w:r>
      <w:r>
        <w:t xml:space="preserve"> (par défaut) </w:t>
      </w:r>
      <w:r>
        <w:rPr>
          <w:rStyle w:val="optioncarChar"/>
        </w:rPr>
        <w:t>/ EI 60 / EI 120 / EI ***</w:t>
      </w:r>
    </w:p>
    <w:p w14:paraId="40B13B39" w14:textId="77777777" w:rsidR="00DB2B68" w:rsidRDefault="00000000">
      <w:pPr>
        <w:jc w:val="both"/>
      </w:pPr>
      <w:r>
        <w:rPr>
          <w:b/>
        </w:rPr>
        <w:t>Classe d’étanchéité</w:t>
      </w:r>
    </w:p>
    <w:p w14:paraId="6A39DFFB" w14:textId="77777777" w:rsidR="00DB2B68" w:rsidRDefault="00000000">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Pour les classes 1, 2 et 3, l’épaisseur minimale totale des prémurs sera de 240mm. L’épaisseur minimale du béton de seconde phase est de :</w:t>
      </w:r>
    </w:p>
    <w:p w14:paraId="49529E10" w14:textId="77777777" w:rsidR="00DB2B68" w:rsidRDefault="00000000">
      <w:pPr>
        <w:pStyle w:val="Author-eListParagraph"/>
        <w:numPr>
          <w:ilvl w:val="0"/>
          <w:numId w:val="510"/>
        </w:numPr>
      </w:pPr>
      <w:r>
        <w:t>120 mm si le Dmax du béton de seconde phase vaut 8 mm</w:t>
      </w:r>
    </w:p>
    <w:p w14:paraId="0186ABA6" w14:textId="77777777" w:rsidR="00DB2B68" w:rsidRDefault="00000000">
      <w:pPr>
        <w:pStyle w:val="Author-eListParagraph"/>
        <w:numPr>
          <w:ilvl w:val="0"/>
          <w:numId w:val="510"/>
        </w:numPr>
      </w:pPr>
      <w:r>
        <w:t>140 mm si le Dmax du béton de seconde phase vaut 16 mm</w:t>
      </w:r>
    </w:p>
    <w:p w14:paraId="2673BEFF" w14:textId="77777777" w:rsidR="00DB2B68" w:rsidRDefault="00000000">
      <w:pPr>
        <w:pStyle w:val="Author-eListParagraph"/>
        <w:numPr>
          <w:ilvl w:val="0"/>
          <w:numId w:val="510"/>
        </w:numPr>
      </w:pPr>
      <w:r>
        <w:t>180 mm si le Dmax du béton de seconde phase vaut 32 mm</w:t>
      </w:r>
    </w:p>
    <w:p w14:paraId="4172FF40" w14:textId="77777777" w:rsidR="00DB2B68" w:rsidRDefault="00000000">
      <w:pPr>
        <w:jc w:val="both"/>
      </w:pPr>
      <w:r>
        <w:t>Pour les classes d’étanchéité supérieures à la classe 0, le facteur E/C du béton de remplissage ne peut dépasser 0,50.</w:t>
      </w:r>
    </w:p>
    <w:p w14:paraId="73B70B95" w14:textId="77777777" w:rsidR="00DB2B68" w:rsidRDefault="00000000">
      <w:pPr>
        <w:jc w:val="both"/>
      </w:pPr>
      <w:r>
        <w:t>L’armature des joints du béton de remplissage est au moins un treillis soudé, d’un acier BE 500S ou BE 500 TS de dimension</w:t>
      </w:r>
      <w:r>
        <w:rPr>
          <w:rStyle w:val="optioncarChar"/>
        </w:rPr>
        <w:t xml:space="preserve"> 150x150x8x8</w:t>
      </w:r>
      <w:r>
        <w:t xml:space="preserve"> (par défaut) </w:t>
      </w:r>
      <w:r>
        <w:rPr>
          <w:rStyle w:val="optioncarChar"/>
        </w:rPr>
        <w:t>/ *** x *** x *** x ***</w:t>
      </w:r>
      <w:r>
        <w:t xml:space="preserve"> cm.</w:t>
      </w:r>
    </w:p>
    <w:p w14:paraId="504446AB" w14:textId="77777777" w:rsidR="00DB2B68" w:rsidRDefault="00000000">
      <w:pPr>
        <w:ind w:left="750"/>
      </w:pPr>
      <w:r>
        <w:t> </w:t>
      </w:r>
    </w:p>
    <w:p w14:paraId="6657EB8E" w14:textId="77777777" w:rsidR="00DB2B68" w:rsidRDefault="00000000">
      <w:pPr>
        <w:pStyle w:val="pheading"/>
      </w:pPr>
      <w:r>
        <w:t>- Finitions</w:t>
      </w:r>
    </w:p>
    <w:p w14:paraId="55F493D5" w14:textId="77777777" w:rsidR="00DB2B68" w:rsidRDefault="00000000">
      <w:pPr>
        <w:jc w:val="both"/>
      </w:pPr>
      <w:r>
        <w:t xml:space="preserve">La finition extérieure des parois: </w:t>
      </w:r>
      <w:r>
        <w:rPr>
          <w:rStyle w:val="optioncarChar"/>
        </w:rPr>
        <w:t>béton lisse industriel selon l’[NBN EN 13369] + [NBN B 21-600]</w:t>
      </w:r>
      <w:r>
        <w:t xml:space="preserve"> (par défaut) </w:t>
      </w:r>
      <w:r>
        <w:rPr>
          <w:rStyle w:val="optioncarChar"/>
        </w:rPr>
        <w:t>/ ***</w:t>
      </w:r>
      <w:r>
        <w:t>.</w:t>
      </w:r>
    </w:p>
    <w:p w14:paraId="22D825C7" w14:textId="77777777" w:rsidR="00DB2B68" w:rsidRDefault="00000000">
      <w:pPr>
        <w:jc w:val="both"/>
      </w:pPr>
      <w:r>
        <w:t>La finition des faces intérieures des éléments est :</w:t>
      </w:r>
      <w:r>
        <w:rPr>
          <w:rStyle w:val="optioncarChar"/>
        </w:rPr>
        <w:t xml:space="preserve"> talochée</w:t>
      </w:r>
      <w:r>
        <w:t xml:space="preserve"> (par défaut) </w:t>
      </w:r>
      <w:r>
        <w:rPr>
          <w:rStyle w:val="optioncarChar"/>
        </w:rPr>
        <w:t>/ brute et lisse / ***.</w:t>
      </w:r>
    </w:p>
    <w:p w14:paraId="592DFD23" w14:textId="77777777" w:rsidR="00DB2B68" w:rsidRDefault="00000000">
      <w:pPr>
        <w:jc w:val="both"/>
      </w:pPr>
      <w:r>
        <w:t xml:space="preserve">La finition des faces extérieures (apparentes) des éléments est : </w:t>
      </w:r>
      <w:r>
        <w:rPr>
          <w:rStyle w:val="optioncarChar"/>
        </w:rPr>
        <w:t>brute et lisse </w:t>
      </w:r>
      <w:r>
        <w:t>(par défaut) / ***.</w:t>
      </w:r>
    </w:p>
    <w:p w14:paraId="54550A3F" w14:textId="77777777" w:rsidR="00DB2B68" w:rsidRDefault="00000000">
      <w:pPr>
        <w:jc w:val="both"/>
      </w:pPr>
      <w:r>
        <w:t xml:space="preserve">Le joint entre les éléments préfabriqués est : </w:t>
      </w:r>
      <w:r>
        <w:rPr>
          <w:rStyle w:val="optioncarChar"/>
        </w:rPr>
        <w:t xml:space="preserve">muni d’un dispositif d’étanchéité </w:t>
      </w:r>
      <w:r>
        <w:t>(par défaut) </w:t>
      </w:r>
      <w:r>
        <w:rPr>
          <w:rStyle w:val="optioncarChar"/>
        </w:rPr>
        <w:t>/ ***</w:t>
      </w:r>
      <w:r>
        <w:t>.</w:t>
      </w:r>
    </w:p>
    <w:p w14:paraId="5D76E741" w14:textId="77777777" w:rsidR="00DB2B68" w:rsidRDefault="00000000">
      <w:pPr>
        <w:jc w:val="both"/>
      </w:pPr>
      <w:r>
        <w:t>Les arêtes de la face visible sont :</w:t>
      </w:r>
      <w:r>
        <w:rPr>
          <w:rStyle w:val="optioncarChar"/>
        </w:rPr>
        <w:t> droites / munies de chanfreins </w:t>
      </w:r>
      <w:r>
        <w:t>(par défaut).</w:t>
      </w:r>
    </w:p>
    <w:p w14:paraId="359296AF" w14:textId="77777777" w:rsidR="00DB2B68" w:rsidRDefault="00000000">
      <w:pPr>
        <w:pStyle w:val="pheading"/>
      </w:pPr>
      <w:r>
        <w:t>EXÉCUTION / MISE EN ŒUVRE</w:t>
      </w:r>
    </w:p>
    <w:p w14:paraId="53AB8AE5" w14:textId="77777777" w:rsidR="00DB2B68" w:rsidRDefault="00000000">
      <w:pPr>
        <w:pStyle w:val="pheading"/>
      </w:pPr>
      <w:r>
        <w:t>- Prescriptions générales</w:t>
      </w:r>
    </w:p>
    <w:p w14:paraId="76FC4C6E" w14:textId="77777777" w:rsidR="00DB2B68" w:rsidRDefault="00000000">
      <w:pPr>
        <w:jc w:val="both"/>
      </w:pPr>
      <w:r>
        <w:t>Les parois sont fabriquées dans les dimensions indiquées sur les plans d’exécution approuvés.</w:t>
      </w:r>
    </w:p>
    <w:p w14:paraId="480CFE9D" w14:textId="77777777" w:rsidR="00DB2B68" w:rsidRDefault="00000000">
      <w:pPr>
        <w:jc w:val="both"/>
      </w:pPr>
      <w:r>
        <w:t>La mise en œuvre est conforme aux normes [NBN EN 13670] et [NBN B 15-400] ainsi qu’au code de bonne pratique pour les prémurs (édité par la FEBE).</w:t>
      </w:r>
    </w:p>
    <w:p w14:paraId="3590A12E" w14:textId="77777777" w:rsidR="00DB2B68" w:rsidRDefault="00000000">
      <w:pPr>
        <w:jc w:val="both"/>
      </w:pPr>
      <w:r>
        <w:t>Les recommandations du [Buildwise Méthode de dimensionnement Rapport 10] sont respectées pour la mise en œuvre.</w:t>
      </w:r>
    </w:p>
    <w:p w14:paraId="08843AE1" w14:textId="77777777" w:rsidR="00DB2B68" w:rsidRDefault="00000000">
      <w:pPr>
        <w:jc w:val="both"/>
      </w:pPr>
      <w:r>
        <w:t>Si les parois doivent être étanches à l’eau, il y a lieu que la conception et la mise en œuvre soient conformes à la [NIT 247] et à la [NIT 250]. Il faut prévoir au minimum une bande de gonflement, un obturateur ou équivalent à la liaison du sol avec le mur. Les joints entre les prémurs doivent être colmatés avec le plus grand soin avec un kit élastique étanche ou équivalent.</w:t>
      </w:r>
    </w:p>
    <w:p w14:paraId="53D3830F" w14:textId="77777777" w:rsidR="00DB2B68" w:rsidRDefault="00000000">
      <w:pPr>
        <w:jc w:val="both"/>
      </w:pPr>
      <w:r>
        <w:t xml:space="preserve">Conformément aux dispositions générales de l’étude stabilité, l’étude est à charge de </w:t>
      </w:r>
      <w:r>
        <w:rPr>
          <w:rStyle w:val="optioncarChar"/>
        </w:rPr>
        <w:t>l’entrepreneur</w:t>
      </w:r>
      <w:r>
        <w:t xml:space="preserve"> / </w:t>
      </w:r>
      <w:r>
        <w:rPr>
          <w:rStyle w:val="optioncarChar"/>
        </w:rPr>
        <w:t>le maître d’œuvre</w:t>
      </w:r>
      <w:r>
        <w:t xml:space="preserve"> /</w:t>
      </w:r>
      <w:r>
        <w:rPr>
          <w:rStyle w:val="optioncarChar"/>
        </w:rPr>
        <w:t xml:space="preserve"> le bureau d’études</w:t>
      </w:r>
      <w:r>
        <w:t xml:space="preserve"> (par défaut).</w:t>
      </w:r>
    </w:p>
    <w:p w14:paraId="7457AE90" w14:textId="77777777" w:rsidR="00DB2B68" w:rsidRDefault="00000000">
      <w:pPr>
        <w:jc w:val="both"/>
      </w:pPr>
      <w:r>
        <w:lastRenderedPageBreak/>
        <w:t>Le plan de pose doit être approuvé par l’entrepreneur ou le bureau d’études. </w:t>
      </w:r>
    </w:p>
    <w:p w14:paraId="62D0BB87" w14:textId="77777777" w:rsidR="00DB2B68" w:rsidRDefault="00000000">
      <w:pPr>
        <w:jc w:val="both"/>
      </w:pPr>
      <w:r>
        <w:t>La conception des joints et des liaisons extérieures sont définis par l’étude de stabilité et soumis pour approbation à l’auteur de projet.  De même, une description des techniques de butée temporaire doit être indiquée et approuvée par l’auteur de projet: </w:t>
      </w:r>
    </w:p>
    <w:p w14:paraId="7CB71590" w14:textId="77777777" w:rsidR="00DB2B68" w:rsidRDefault="00000000">
      <w:pPr>
        <w:jc w:val="both"/>
      </w:pPr>
      <w:r>
        <w:t>La couche de béton coulé et son armature (l’armature de joints, treillis + barres additionnelles) sont mises en œuvre et apposées suivant les indications reprises dans l’étude du béton et le plan de pose.</w:t>
      </w:r>
    </w:p>
    <w:p w14:paraId="16C32841" w14:textId="77777777" w:rsidR="00DB2B68" w:rsidRDefault="00000000">
      <w:pPr>
        <w:jc w:val="both"/>
      </w:pPr>
      <w:r>
        <w:t>Le béton de remplissage est coulé en couches de maximum 60 cm.</w:t>
      </w:r>
    </w:p>
    <w:p w14:paraId="57EC11AA" w14:textId="77777777" w:rsidR="00DB2B68" w:rsidRDefault="00000000">
      <w:pPr>
        <w:jc w:val="both"/>
      </w:pPr>
      <w:r>
        <w:t>Une pression maximale autorisée du béton de 30 kN/m² ne peut pas être dépassée.</w:t>
      </w:r>
    </w:p>
    <w:p w14:paraId="166E8E9C" w14:textId="77777777" w:rsidR="00DB2B68" w:rsidRDefault="00000000">
      <w:pPr>
        <w:pStyle w:val="pheading"/>
      </w:pPr>
      <w:r>
        <w:t>DOCUMENTS DE RÉFÉRENCE COMPLÉMENTAIRES</w:t>
      </w:r>
    </w:p>
    <w:p w14:paraId="2A61C712" w14:textId="77777777" w:rsidR="00DB2B68" w:rsidRDefault="00000000">
      <w:pPr>
        <w:pStyle w:val="pheading"/>
      </w:pPr>
      <w:r>
        <w:t>- Matériau</w:t>
      </w:r>
    </w:p>
    <w:p w14:paraId="041ED390" w14:textId="77777777" w:rsidR="00DB2B68" w:rsidRDefault="00000000">
      <w:r>
        <w:t>[NBN EN 14992+A1, Produits préfabriqués en béton - Eléments de mur]</w:t>
      </w:r>
      <w:r>
        <w:br/>
      </w:r>
      <w:r>
        <w:br/>
        <w:t>[NBN B 21-612, Produits préfabriqués en béton - Eléments de mur - Norme d'application nationale à la NBN EN 14992+A1:2012]</w:t>
      </w:r>
    </w:p>
    <w:p w14:paraId="2DA6DC82" w14:textId="77777777" w:rsidR="00DB2B68" w:rsidRDefault="00000000">
      <w:r>
        <w:t>[RA 21-612, Règlement d'application Benor - Produits préfabriqués en béton - Eléments de murs]</w:t>
      </w:r>
      <w:r>
        <w:br/>
      </w:r>
      <w:r>
        <w:br/>
        <w:t>[Buildwise Méthode de dimensionnement Rapport 10, Sécurité et mise en oeuvre d'éléments préfabriqués en béton]</w:t>
      </w:r>
      <w:r>
        <w:br/>
      </w:r>
      <w:r>
        <w:br/>
        <w:t>[FEBE BT Prémurs, Brochure Technique - Prémurs - Rapides et économiques]</w:t>
      </w:r>
    </w:p>
    <w:p w14:paraId="75662C9B" w14:textId="77777777" w:rsidR="00DB2B68" w:rsidRDefault="00000000">
      <w:r>
        <w:t>[NBN EN 206:2013+A2, Béton - Spécification, performances, production et conformité]</w:t>
      </w:r>
    </w:p>
    <w:p w14:paraId="6BCA3E27" w14:textId="77777777" w:rsidR="00DB2B68" w:rsidRDefault="00000000">
      <w:r>
        <w:t>[NBN B 15-001, Béton - Spécification, performances, production et conformité - Complément national à la NBN EN 206:2013+A2:2021]</w:t>
      </w:r>
    </w:p>
    <w:p w14:paraId="48BF4425" w14:textId="77777777" w:rsidR="00DB2B68" w:rsidRDefault="00000000">
      <w:r>
        <w:t>[NBN EN 12350-8, Essai pour béton frais - Partie 8: Béton auto-plaçant - Essai d'étalement au cône d'Abrams]</w:t>
      </w:r>
    </w:p>
    <w:p w14:paraId="6CA62185" w14:textId="77777777" w:rsidR="00DB2B68" w:rsidRDefault="00000000">
      <w:r>
        <w:t>[NBN EN 12350-11, Essai pour béton frais - Partie 11: Béton autoplaçant - Essai de stabilité au tamis]</w:t>
      </w:r>
    </w:p>
    <w:p w14:paraId="3C60E29A" w14:textId="77777777" w:rsidR="00DB2B68" w:rsidRDefault="00000000">
      <w:r>
        <w:t>[NBN EN 12350-12, Essai pour béton frais - Partie 12 : Béton autoplaçant - Essai d'écoulement à l'anneau]</w:t>
      </w:r>
    </w:p>
    <w:p w14:paraId="6BE20E60" w14:textId="77777777" w:rsidR="00DB2B68" w:rsidRDefault="00000000">
      <w:r>
        <w:t>[NBN A 24-302, Produits sidérurgiques - Aciers pour béton armé - Barres lisses et barres à nervures - Fils machine lisses et fils machine à nervures]</w:t>
      </w:r>
    </w:p>
    <w:p w14:paraId="5A4E704F" w14:textId="77777777" w:rsidR="00DB2B68" w:rsidRDefault="00000000">
      <w:r>
        <w:t>[PTV 302, Aciers pour béton armé - barres à nervures ou à empreintes et fils à nervures ou à empreintes à haute ductilité]</w:t>
      </w:r>
    </w:p>
    <w:p w14:paraId="0E377539" w14:textId="77777777" w:rsidR="00DB2B68" w:rsidRDefault="00000000">
      <w:pPr>
        <w:ind w:left="750"/>
      </w:pPr>
      <w:r>
        <w:t> </w:t>
      </w:r>
    </w:p>
    <w:p w14:paraId="0098BC1D" w14:textId="77777777" w:rsidR="00DB2B68" w:rsidRDefault="00000000">
      <w:pPr>
        <w:pStyle w:val="pheading"/>
      </w:pPr>
      <w:r>
        <w:t>- Exécution</w:t>
      </w:r>
    </w:p>
    <w:p w14:paraId="7E75650C" w14:textId="77777777" w:rsidR="00DB2B68" w:rsidRDefault="00000000">
      <w:r>
        <w:t>[NIT 247, Conception et exécution des ouvrages étanches en béton]</w:t>
      </w:r>
    </w:p>
    <w:p w14:paraId="78B26642" w14:textId="77777777" w:rsidR="00DB2B68" w:rsidRDefault="00000000">
      <w:r>
        <w:t>[NIT 250, Détails de référence pour les constructions enterrées]</w:t>
      </w:r>
    </w:p>
    <w:p w14:paraId="6F09E2BE" w14:textId="77777777" w:rsidR="00DB2B68" w:rsidRDefault="00000000">
      <w:pPr>
        <w:pStyle w:val="pheading"/>
      </w:pPr>
      <w:r>
        <w:t>MESURAGE</w:t>
      </w:r>
    </w:p>
    <w:p w14:paraId="694C7B19" w14:textId="77777777" w:rsidR="00DB2B68" w:rsidRDefault="00000000">
      <w:pPr>
        <w:pStyle w:val="pheading"/>
      </w:pPr>
      <w:r>
        <w:t>- unité de mesure:</w:t>
      </w:r>
    </w:p>
    <w:p w14:paraId="361B5376" w14:textId="77777777" w:rsidR="00DB2B68" w:rsidRDefault="00000000">
      <w:r>
        <w:rPr>
          <w:rStyle w:val="optioncarChar"/>
        </w:rPr>
        <w:t>m²</w:t>
      </w:r>
      <w:r>
        <w:t xml:space="preserve"> (par défaut) </w:t>
      </w:r>
      <w:r>
        <w:rPr>
          <w:rStyle w:val="optioncarChar"/>
        </w:rPr>
        <w:t>/ m³ ; kg</w:t>
      </w:r>
    </w:p>
    <w:p w14:paraId="515DA67D" w14:textId="77777777" w:rsidR="00DB2B68" w:rsidRDefault="00000000">
      <w:r>
        <w:rPr>
          <w:b/>
          <w:i/>
        </w:rPr>
        <w:t>(Soit par défaut)</w:t>
      </w:r>
    </w:p>
    <w:p w14:paraId="10C8F456" w14:textId="77777777" w:rsidR="00DB2B68" w:rsidRDefault="00000000">
      <w:r>
        <w:rPr>
          <w:rStyle w:val="soitChar"/>
          <w:u w:val="single"/>
        </w:rPr>
        <w:t>1. m²</w:t>
      </w:r>
      <w:r>
        <w:rPr>
          <w:rStyle w:val="soitChar"/>
        </w:rPr>
        <w:t xml:space="preserve"> pour les panneaux</w:t>
      </w:r>
    </w:p>
    <w:p w14:paraId="08524270" w14:textId="77777777" w:rsidR="00DB2B68" w:rsidRDefault="00000000">
      <w:r>
        <w:rPr>
          <w:b/>
          <w:i/>
        </w:rPr>
        <w:t>(Soit)</w:t>
      </w:r>
    </w:p>
    <w:p w14:paraId="56CB8932" w14:textId="77777777" w:rsidR="00DB2B68" w:rsidRDefault="00000000">
      <w:r>
        <w:rPr>
          <w:rStyle w:val="soitChar"/>
          <w:u w:val="single"/>
        </w:rPr>
        <w:t>2. m³</w:t>
      </w:r>
      <w:r>
        <w:rPr>
          <w:rStyle w:val="soitChar"/>
        </w:rPr>
        <w:t xml:space="preserve"> pour le béton et </w:t>
      </w:r>
      <w:r>
        <w:rPr>
          <w:rStyle w:val="soitChar"/>
          <w:u w:val="single"/>
        </w:rPr>
        <w:t>kg</w:t>
      </w:r>
      <w:r>
        <w:rPr>
          <w:rStyle w:val="soitChar"/>
        </w:rPr>
        <w:t xml:space="preserve"> pour les armatures supplémentaires.</w:t>
      </w:r>
    </w:p>
    <w:p w14:paraId="595B1A14" w14:textId="77777777" w:rsidR="00DB2B68" w:rsidRDefault="00000000">
      <w:pPr>
        <w:pStyle w:val="pheading"/>
      </w:pPr>
      <w:r>
        <w:t>- code de mesurage:</w:t>
      </w:r>
    </w:p>
    <w:p w14:paraId="17046615" w14:textId="77777777" w:rsidR="00DB2B68" w:rsidRDefault="00000000">
      <w:r>
        <w:rPr>
          <w:rStyle w:val="optioncarChar"/>
        </w:rPr>
        <w:lastRenderedPageBreak/>
        <w:t>Surface nette</w:t>
      </w:r>
      <w:r>
        <w:t xml:space="preserve"> (par défaut) </w:t>
      </w:r>
      <w:r>
        <w:rPr>
          <w:rStyle w:val="optioncarChar"/>
        </w:rPr>
        <w:t>/ quantités détaillées</w:t>
      </w:r>
    </w:p>
    <w:p w14:paraId="1ECCEDED" w14:textId="77777777" w:rsidR="00DB2B68" w:rsidRDefault="00000000">
      <w:r>
        <w:rPr>
          <w:b/>
          <w:i/>
        </w:rPr>
        <w:t>(Soit par défaut)</w:t>
      </w:r>
    </w:p>
    <w:p w14:paraId="36D05CB6" w14:textId="77777777" w:rsidR="00DB2B68" w:rsidRDefault="00000000">
      <w:r>
        <w:rPr>
          <w:rStyle w:val="soitChar"/>
          <w:u w:val="single"/>
        </w:rPr>
        <w:t xml:space="preserve">1. Surface nette </w:t>
      </w:r>
      <w:r>
        <w:rPr>
          <w:rStyle w:val="soitChar"/>
        </w:rPr>
        <w:t>pour la surface des panneaux : surface nette apparente des éléments</w:t>
      </w:r>
    </w:p>
    <w:p w14:paraId="7281941F" w14:textId="77777777" w:rsidR="00DB2B68" w:rsidRDefault="00000000">
      <w:r>
        <w:rPr>
          <w:b/>
          <w:i/>
        </w:rPr>
        <w:t>(Soit)</w:t>
      </w:r>
    </w:p>
    <w:p w14:paraId="701C5994" w14:textId="77777777" w:rsidR="00DB2B68" w:rsidRDefault="00000000">
      <w:r>
        <w:rPr>
          <w:rStyle w:val="soitChar"/>
        </w:rPr>
        <w:t xml:space="preserve">2. </w:t>
      </w:r>
      <w:r>
        <w:rPr>
          <w:rStyle w:val="soitChar"/>
          <w:u w:val="single"/>
        </w:rPr>
        <w:t>Quantités détaillées</w:t>
      </w:r>
    </w:p>
    <w:p w14:paraId="0AA56766" w14:textId="77777777" w:rsidR="00DB2B68" w:rsidRDefault="00000000">
      <w:pPr>
        <w:ind w:left="567"/>
      </w:pPr>
      <w:r>
        <w:rPr>
          <w:rStyle w:val="soitChar"/>
          <w:u w:val="single"/>
        </w:rPr>
        <w:t>Volume net</w:t>
      </w:r>
      <w:r>
        <w:rPr>
          <w:rStyle w:val="soitChar"/>
        </w:rPr>
        <w:t xml:space="preserve"> pour le volume de béton :(selon la [NBN B 06-001]) mesuré entre la dalle de sol et les poutres, selon les dimensions nominales indiquées sur les plans.</w:t>
      </w:r>
    </w:p>
    <w:p w14:paraId="067C6570" w14:textId="77777777" w:rsidR="00DB2B68" w:rsidRDefault="00000000">
      <w:pPr>
        <w:ind w:left="567"/>
      </w:pPr>
      <w:r>
        <w:rPr>
          <w:rStyle w:val="soitChar"/>
        </w:rPr>
        <w:t>Les éléments en béton non rectangulaires sont calculés en multipliant la longueur par la surface de la section.</w:t>
      </w:r>
    </w:p>
    <w:p w14:paraId="6D4C21B2" w14:textId="77777777" w:rsidR="00DB2B68" w:rsidRDefault="00000000">
      <w:pPr>
        <w:ind w:left="567"/>
      </w:pPr>
      <w:r>
        <w:rPr>
          <w:rStyle w:val="soitChar"/>
        </w:rPr>
        <w:t>Le contenu des volumes résiduels au droit des angles, rencontres et terminaisons est négligé.</w:t>
      </w:r>
    </w:p>
    <w:p w14:paraId="1CB5A9B8" w14:textId="77777777" w:rsidR="00DB2B68" w:rsidRDefault="00000000">
      <w:pPr>
        <w:ind w:left="567"/>
      </w:pPr>
      <w:r>
        <w:rPr>
          <w:rStyle w:val="soitChar"/>
        </w:rPr>
        <w:t>Aucune déduction n'est faite pour:</w:t>
      </w:r>
    </w:p>
    <w:p w14:paraId="003CBBA8" w14:textId="77777777" w:rsidR="00DB2B68" w:rsidRDefault="00000000">
      <w:pPr>
        <w:pStyle w:val="Author-eListParagraph"/>
        <w:numPr>
          <w:ilvl w:val="0"/>
          <w:numId w:val="511"/>
        </w:numPr>
      </w:pPr>
      <w:r>
        <w:rPr>
          <w:rStyle w:val="soitChar"/>
        </w:rPr>
        <w:t>le volume des armatures,</w:t>
      </w:r>
    </w:p>
    <w:p w14:paraId="34F7DE45" w14:textId="77777777" w:rsidR="00DB2B68" w:rsidRDefault="00000000">
      <w:pPr>
        <w:pStyle w:val="Author-eListParagraph"/>
        <w:numPr>
          <w:ilvl w:val="0"/>
          <w:numId w:val="511"/>
        </w:numPr>
      </w:pPr>
      <w:r>
        <w:rPr>
          <w:rStyle w:val="soitChar"/>
        </w:rPr>
        <w:t>les blocs et écarteurs, les fourreaux pour les armatures de précontrainte ;</w:t>
      </w:r>
    </w:p>
    <w:p w14:paraId="2416C66D" w14:textId="77777777" w:rsidR="00DB2B68" w:rsidRDefault="00000000">
      <w:pPr>
        <w:pStyle w:val="Author-eListParagraph"/>
        <w:numPr>
          <w:ilvl w:val="0"/>
          <w:numId w:val="511"/>
        </w:numPr>
      </w:pPr>
      <w:r>
        <w:rPr>
          <w:rStyle w:val="soitChar"/>
        </w:rPr>
        <w:t>les pénétrations pour les pattes d’ancrage, les creux, les conduites noyées et les réservations dont le volume est inférieur à 0,05 m3.</w:t>
      </w:r>
    </w:p>
    <w:p w14:paraId="18C6FECB" w14:textId="77777777" w:rsidR="00DB2B68" w:rsidRDefault="00000000">
      <w:pPr>
        <w:pStyle w:val="Author-eListParagraph"/>
        <w:numPr>
          <w:ilvl w:val="0"/>
          <w:numId w:val="511"/>
        </w:numPr>
      </w:pPr>
      <w:r>
        <w:rPr>
          <w:rStyle w:val="soitChar"/>
        </w:rPr>
        <w:t>les chanfreins et tous les profils dont la section a une superficie inférieure à 20 cm2.</w:t>
      </w:r>
    </w:p>
    <w:p w14:paraId="25297841" w14:textId="77777777" w:rsidR="00DB2B68" w:rsidRDefault="00000000">
      <w:pPr>
        <w:pStyle w:val="Author-eListParagraph"/>
        <w:numPr>
          <w:ilvl w:val="0"/>
          <w:numId w:val="511"/>
        </w:numPr>
      </w:pPr>
      <w:r>
        <w:rPr>
          <w:rStyle w:val="soitChar"/>
        </w:rPr>
        <w:t>les rainures, encoches et languettes.</w:t>
      </w:r>
    </w:p>
    <w:p w14:paraId="42F72C88" w14:textId="77777777" w:rsidR="00DB2B68" w:rsidRDefault="00DB2B68"/>
    <w:p w14:paraId="1F742BDC" w14:textId="77777777" w:rsidR="00DB2B68" w:rsidRDefault="00000000">
      <w:pPr>
        <w:ind w:left="567"/>
      </w:pPr>
      <w:r>
        <w:rPr>
          <w:rStyle w:val="soitChar"/>
          <w:u w:val="single"/>
        </w:rPr>
        <w:t>Masse</w:t>
      </w:r>
      <w:r>
        <w:rPr>
          <w:rStyle w:val="soitChar"/>
        </w:rPr>
        <w:t xml:space="preserve"> pour les armatures supplémentaires</w:t>
      </w:r>
    </w:p>
    <w:p w14:paraId="46C35137" w14:textId="77777777" w:rsidR="00DB2B68" w:rsidRDefault="00000000">
      <w:pPr>
        <w:pStyle w:val="pheading"/>
      </w:pPr>
      <w:r>
        <w:t>- nature du marché:</w:t>
      </w:r>
    </w:p>
    <w:p w14:paraId="4E0F90F5" w14:textId="77777777" w:rsidR="00DB2B68" w:rsidRDefault="00000000">
      <w:r>
        <w:rPr>
          <w:rStyle w:val="optioncarChar"/>
        </w:rPr>
        <w:t>QF</w:t>
      </w:r>
      <w:r>
        <w:t> (par défaut)</w:t>
      </w:r>
      <w:r>
        <w:rPr>
          <w:rStyle w:val="optioncarChar"/>
        </w:rPr>
        <w:t xml:space="preserve"> / QP</w:t>
      </w:r>
    </w:p>
    <w:p w14:paraId="4638E903" w14:textId="77777777" w:rsidR="00DB2B68" w:rsidRDefault="00000000">
      <w:r>
        <w:rPr>
          <w:b/>
          <w:i/>
        </w:rPr>
        <w:t>(Soit par défaut)</w:t>
      </w:r>
    </w:p>
    <w:p w14:paraId="104FE20C" w14:textId="77777777" w:rsidR="00DB2B68" w:rsidRDefault="00000000">
      <w:r>
        <w:rPr>
          <w:rStyle w:val="soitChar"/>
        </w:rPr>
        <w:t>1. 2 QF</w:t>
      </w:r>
    </w:p>
    <w:p w14:paraId="639FA48C" w14:textId="77777777" w:rsidR="00DB2B68" w:rsidRDefault="00000000">
      <w:r>
        <w:rPr>
          <w:b/>
          <w:i/>
        </w:rPr>
        <w:t>(Soit)</w:t>
      </w:r>
    </w:p>
    <w:p w14:paraId="7E7885EB" w14:textId="77777777" w:rsidR="00DB2B68" w:rsidRDefault="00000000">
      <w:r>
        <w:rPr>
          <w:rStyle w:val="soitChar"/>
        </w:rPr>
        <w:t>1. 2. QP</w:t>
      </w:r>
    </w:p>
    <w:p w14:paraId="70B67A42" w14:textId="77777777" w:rsidR="00DB2B68" w:rsidRDefault="00000000">
      <w:pPr>
        <w:pStyle w:val="Author-eSectionHeading6Numberless"/>
      </w:pPr>
      <w:bookmarkStart w:id="751" w:name="_Toc220495809"/>
      <w:r>
        <w:t>22.16.3d Prémurs en béton armé avec isolation intégrée CCTB 01.13</w:t>
      </w:r>
      <w:bookmarkEnd w:id="751"/>
    </w:p>
    <w:p w14:paraId="237D39C7" w14:textId="77777777" w:rsidR="00DB2B68" w:rsidRDefault="00000000">
      <w:pPr>
        <w:pStyle w:val="pheading"/>
      </w:pPr>
      <w:r>
        <w:t>DESCRIPTION</w:t>
      </w:r>
    </w:p>
    <w:p w14:paraId="161E4E41" w14:textId="77777777" w:rsidR="00DB2B68" w:rsidRDefault="00000000">
      <w:pPr>
        <w:pStyle w:val="pheading"/>
      </w:pPr>
      <w:r>
        <w:t>- Définition / Comprend</w:t>
      </w:r>
    </w:p>
    <w:p w14:paraId="23ACC79E" w14:textId="77777777" w:rsidR="00DB2B68" w:rsidRDefault="00000000">
      <w:pPr>
        <w:jc w:val="both"/>
      </w:pPr>
      <w:r>
        <w:t>Il s'agit de la fourniture et la pose de prémurs en béton armé avec isolation intégrée.  Ces éléments sont constitués de deux voiles en béton armé préfabriqués qui sont reliés ensemble, avec un espace, au moyen d’un système d’ancrage avec coupure thermique.  La portée des travaux est décrite dans le chapitre </w:t>
      </w:r>
      <w:hyperlink w:anchor="502" w:history="1">
        <w:r>
          <w:rPr>
            <w:color w:val="0000EE"/>
          </w:rPr>
          <w:t>22.16.3 Parois préfabriquées en béton</w:t>
        </w:r>
      </w:hyperlink>
      <w:r>
        <w:t>. Sont compris également :</w:t>
      </w:r>
    </w:p>
    <w:p w14:paraId="3672AE1F" w14:textId="77777777" w:rsidR="00DB2B68" w:rsidRDefault="00000000">
      <w:pPr>
        <w:pStyle w:val="Author-eListParagraph"/>
        <w:numPr>
          <w:ilvl w:val="0"/>
          <w:numId w:val="512"/>
        </w:numPr>
        <w:jc w:val="both"/>
      </w:pPr>
      <w:r>
        <w:t>Armatures supplémentaires à insérer dans le creux du prémur</w:t>
      </w:r>
    </w:p>
    <w:p w14:paraId="688EBE2A" w14:textId="77777777" w:rsidR="00DB2B68" w:rsidRDefault="00000000">
      <w:pPr>
        <w:pStyle w:val="Author-eListParagraph"/>
        <w:numPr>
          <w:ilvl w:val="0"/>
          <w:numId w:val="512"/>
        </w:numPr>
        <w:jc w:val="both"/>
      </w:pPr>
      <w:r>
        <w:t>L’humidification des parois intérieures des prémurs avant bétonnage du béton de remplissage.</w:t>
      </w:r>
    </w:p>
    <w:p w14:paraId="47224878" w14:textId="77777777" w:rsidR="00DB2B68" w:rsidRDefault="00000000">
      <w:pPr>
        <w:pStyle w:val="Author-eListParagraph"/>
        <w:numPr>
          <w:ilvl w:val="0"/>
          <w:numId w:val="512"/>
        </w:numPr>
        <w:jc w:val="both"/>
      </w:pPr>
      <w:r>
        <w:t>La livraison et la mise en œuvre du béton de remplissage</w:t>
      </w:r>
    </w:p>
    <w:p w14:paraId="0942FD10" w14:textId="77777777" w:rsidR="00DB2B68" w:rsidRDefault="00000000">
      <w:pPr>
        <w:pStyle w:val="Author-eListParagraph"/>
        <w:numPr>
          <w:ilvl w:val="0"/>
          <w:numId w:val="512"/>
        </w:numPr>
        <w:jc w:val="both"/>
      </w:pPr>
      <w:r>
        <w:t>La gestion des joints horizontaux, verticaux, tassements ainsi que leur finition ;</w:t>
      </w:r>
    </w:p>
    <w:p w14:paraId="69F2FDA4" w14:textId="77777777" w:rsidR="00DB2B68" w:rsidRDefault="00000000">
      <w:pPr>
        <w:pStyle w:val="Author-eListParagraph"/>
        <w:numPr>
          <w:ilvl w:val="0"/>
          <w:numId w:val="512"/>
        </w:numPr>
        <w:jc w:val="both"/>
      </w:pPr>
      <w:r>
        <w:t>La gestion de l’étanchéité au raccord avec la dalle et entre les prémurs.</w:t>
      </w:r>
    </w:p>
    <w:p w14:paraId="29F96A93" w14:textId="77777777" w:rsidR="00DB2B68" w:rsidRDefault="00000000">
      <w:pPr>
        <w:pStyle w:val="pheading"/>
      </w:pPr>
      <w:r>
        <w:t>- Localisation</w:t>
      </w:r>
    </w:p>
    <w:p w14:paraId="607A55C1" w14:textId="77777777" w:rsidR="00DB2B68" w:rsidRDefault="00000000">
      <w:r>
        <w:t>La pose est réalisée aux endroits suivants :</w:t>
      </w:r>
      <w:r>
        <w:rPr>
          <w:rStyle w:val="optioncarChar"/>
        </w:rPr>
        <w:t xml:space="preserve"> ***</w:t>
      </w:r>
      <w:r>
        <w:t>.</w:t>
      </w:r>
    </w:p>
    <w:p w14:paraId="5038AA79" w14:textId="77777777" w:rsidR="00DB2B68" w:rsidRDefault="00000000">
      <w:r>
        <w:t>Voir plans et métrés détaillés.</w:t>
      </w:r>
    </w:p>
    <w:p w14:paraId="28F0CA3C" w14:textId="77777777" w:rsidR="00DB2B68" w:rsidRDefault="00000000">
      <w:pPr>
        <w:pStyle w:val="pheading"/>
      </w:pPr>
      <w:r>
        <w:t>MATÉRIAUX</w:t>
      </w:r>
    </w:p>
    <w:p w14:paraId="388B3750" w14:textId="77777777" w:rsidR="00DB2B68" w:rsidRDefault="00000000">
      <w:pPr>
        <w:pStyle w:val="pheading"/>
      </w:pPr>
      <w:r>
        <w:t>- Caractéristiques générales</w:t>
      </w:r>
    </w:p>
    <w:p w14:paraId="4FD5D7E5" w14:textId="77777777" w:rsidR="00DB2B68" w:rsidRDefault="00000000">
      <w:pPr>
        <w:jc w:val="both"/>
      </w:pPr>
      <w:r>
        <w:rPr>
          <w:b/>
          <w:u w:val="single"/>
        </w:rPr>
        <w:lastRenderedPageBreak/>
        <w:t>Prémur</w:t>
      </w:r>
    </w:p>
    <w:p w14:paraId="59C8523E" w14:textId="77777777" w:rsidR="00DB2B68" w:rsidRDefault="00000000">
      <w:pPr>
        <w:jc w:val="both"/>
      </w:pPr>
      <w:r>
        <w:t>Il s’agit d’éléments de prémurs en béton armé conformes aux normes [NBN EN 14992+A1] et [NBN B 21-612] intégrant un isolant.  Par ailleurs, les éléments disposent également d'une déclaration d'aptitude à l'utilisation suivant les prescriptions de l'élément 02.42.1 Critères d'acceptabilité.</w:t>
      </w:r>
    </w:p>
    <w:p w14:paraId="7507FD7F" w14:textId="77777777" w:rsidR="00DB2B68" w:rsidRDefault="00000000">
      <w:pPr>
        <w:jc w:val="both"/>
      </w:pPr>
      <w:r>
        <w:t>Dimensions : l’épaisseur totale est fonction des résultats de l’étude de stabilité et plans d’exécution: (épaisseur des deux parois + épaisseur d’isolation + ~10 cm d’épaisseur de béton de remplissage).</w:t>
      </w:r>
    </w:p>
    <w:p w14:paraId="4E94DD55" w14:textId="77777777" w:rsidR="00DB2B68" w:rsidRDefault="00000000">
      <w:pPr>
        <w:jc w:val="both"/>
      </w:pPr>
      <w:r>
        <w:t xml:space="preserve">La classe de résistance du béton des parois, fonction de la classe de résistance du béton de remplissage, est </w:t>
      </w:r>
      <w:r>
        <w:rPr>
          <w:rStyle w:val="optioncarChar"/>
        </w:rPr>
        <w:t>C25/30 / C30/37 </w:t>
      </w:r>
      <w:r>
        <w:t>(par défaut)</w:t>
      </w:r>
      <w:r>
        <w:rPr>
          <w:rStyle w:val="optioncarChar"/>
        </w:rPr>
        <w:t xml:space="preserve"> / ***</w:t>
      </w:r>
      <w:r>
        <w:t>.</w:t>
      </w:r>
    </w:p>
    <w:p w14:paraId="3FFBEACF" w14:textId="77777777" w:rsidR="00DB2B68" w:rsidRDefault="00000000">
      <w:pPr>
        <w:jc w:val="both"/>
      </w:pPr>
      <w:r>
        <w:t xml:space="preserve"> La classe d’environnement est </w:t>
      </w:r>
      <w:r>
        <w:rPr>
          <w:rStyle w:val="optioncarChar"/>
        </w:rPr>
        <w:t xml:space="preserve">EI </w:t>
      </w:r>
      <w:r>
        <w:t>(par défaut) </w:t>
      </w:r>
      <w:r>
        <w:rPr>
          <w:rStyle w:val="optioncarChar"/>
        </w:rPr>
        <w:t>/ EE1 / EE2 / EE3 / ES1 / ES2 / ES3 / EA1+*** / EA2+*** / EA3+ ***</w:t>
      </w:r>
      <w:r>
        <w:t>.</w:t>
      </w:r>
    </w:p>
    <w:p w14:paraId="3E6BD460" w14:textId="77777777" w:rsidR="00DB2B68" w:rsidRDefault="00000000">
      <w:pPr>
        <w:jc w:val="both"/>
      </w:pPr>
      <w:r>
        <w:t xml:space="preserve">Valeur de Umax = suivant </w:t>
      </w:r>
      <w:r>
        <w:rPr>
          <w:rStyle w:val="optioncarChar"/>
        </w:rPr>
        <w:t>étude de performance énergétique / *** W/ m²K.</w:t>
      </w:r>
    </w:p>
    <w:p w14:paraId="49BF4429" w14:textId="77777777" w:rsidR="00DB2B68" w:rsidRDefault="00000000">
      <w:pPr>
        <w:jc w:val="both"/>
      </w:pPr>
      <w:r>
        <w:t>Les valeurs Umax sont toujours inférieures aux exigences légales en application au moment du dépôt du permis d’urbanisme.</w:t>
      </w:r>
    </w:p>
    <w:p w14:paraId="49A6B834" w14:textId="77777777" w:rsidR="00DB2B68" w:rsidRDefault="00000000">
      <w:pPr>
        <w:jc w:val="both"/>
      </w:pPr>
      <w:r>
        <w:t>Matériaux d’isolation :</w:t>
      </w:r>
      <w:r>
        <w:rPr>
          <w:rStyle w:val="optioncarChar"/>
        </w:rPr>
        <w:t xml:space="preserve"> EPS / PUR / PIR</w:t>
      </w:r>
      <w:r>
        <w:t xml:space="preserve"> (par défaut) </w:t>
      </w:r>
      <w:r>
        <w:rPr>
          <w:rStyle w:val="optioncarChar"/>
        </w:rPr>
        <w:t>/ ***.</w:t>
      </w:r>
    </w:p>
    <w:p w14:paraId="1BF57E88" w14:textId="77777777" w:rsidR="00DB2B68" w:rsidRDefault="00000000">
      <w:pPr>
        <w:jc w:val="both"/>
      </w:pPr>
      <w:r>
        <w:t>Epaisseur d’isolation :</w:t>
      </w:r>
      <w:r>
        <w:rPr>
          <w:rStyle w:val="optioncarChar"/>
        </w:rPr>
        <w:t xml:space="preserve"> compatible avec l’exigence U </w:t>
      </w:r>
      <w:r>
        <w:t>(par défaut)</w:t>
      </w:r>
      <w:r>
        <w:rPr>
          <w:rStyle w:val="optioncarChar"/>
        </w:rPr>
        <w:t xml:space="preserve"> / 12 / 16 / 22 / 24 / ***</w:t>
      </w:r>
      <w:r>
        <w:t xml:space="preserve"> cm</w:t>
      </w:r>
    </w:p>
    <w:p w14:paraId="3403E081" w14:textId="77777777" w:rsidR="00DB2B68" w:rsidRDefault="00000000">
      <w:pPr>
        <w:jc w:val="both"/>
      </w:pPr>
      <w:r>
        <w:t xml:space="preserve">L’isolation utilisée est conforme au titre </w:t>
      </w:r>
      <w:hyperlink w:anchor="70" w:history="1">
        <w:r>
          <w:rPr>
            <w:color w:val="0000EE"/>
          </w:rPr>
          <w:t>26.4 Isolation</w:t>
        </w:r>
      </w:hyperlink>
      <w:r>
        <w:t>. Pour les parois utilisées comme éléments de l’enveloppe extérieure d’un ouvrage en contact avec les terres, l’isolant utilisé est peu sensible à l’humidité. La continuité de l’isolation et de l’étanchéité à l’air est assurée conformément aux principes de la PEB tout en veillant à l’esthétique des finitions prévues.</w:t>
      </w:r>
    </w:p>
    <w:p w14:paraId="13C87814" w14:textId="77777777" w:rsidR="00DB2B68" w:rsidRDefault="00000000">
      <w:pPr>
        <w:jc w:val="both"/>
      </w:pPr>
      <w:r>
        <w:t>Epaisseur des parois du prémur :</w:t>
      </w:r>
    </w:p>
    <w:p w14:paraId="0CB3481F" w14:textId="77777777" w:rsidR="00DB2B68" w:rsidRDefault="00000000">
      <w:pPr>
        <w:jc w:val="both"/>
      </w:pPr>
      <w:r>
        <w:t xml:space="preserve">Paroi intérieure : </w:t>
      </w:r>
      <w:r>
        <w:rPr>
          <w:rStyle w:val="optioncarChar"/>
        </w:rPr>
        <w:t xml:space="preserve">5 </w:t>
      </w:r>
      <w:r>
        <w:t>(par défaut) </w:t>
      </w:r>
      <w:r>
        <w:rPr>
          <w:rStyle w:val="optioncarChar"/>
        </w:rPr>
        <w:t>/ 6 / 7 / ***</w:t>
      </w:r>
      <w:r>
        <w:t xml:space="preserve"> cm suivant étude et plans d’exécution</w:t>
      </w:r>
    </w:p>
    <w:p w14:paraId="54E29139" w14:textId="77777777" w:rsidR="00DB2B68" w:rsidRDefault="00000000">
      <w:pPr>
        <w:jc w:val="both"/>
      </w:pPr>
      <w:r>
        <w:t xml:space="preserve">Paroi extérieure : </w:t>
      </w:r>
      <w:r>
        <w:rPr>
          <w:rStyle w:val="optioncarChar"/>
        </w:rPr>
        <w:t>5</w:t>
      </w:r>
      <w:r>
        <w:t xml:space="preserve"> (par défaut)</w:t>
      </w:r>
      <w:r>
        <w:rPr>
          <w:rStyle w:val="optioncarChar"/>
        </w:rPr>
        <w:t xml:space="preserve"> / 6 / 7 / ***</w:t>
      </w:r>
      <w:r>
        <w:t xml:space="preserve"> cm suivant étude et plans d’exécution </w:t>
      </w:r>
    </w:p>
    <w:p w14:paraId="12EA07E2" w14:textId="77777777" w:rsidR="00DB2B68" w:rsidRDefault="00000000">
      <w:pPr>
        <w:jc w:val="both"/>
      </w:pPr>
      <w:r>
        <w:t>Les matériaux utilisés sont conformes à la [NBN EN 13369] et à la [NBN B 21-600].</w:t>
      </w:r>
    </w:p>
    <w:p w14:paraId="373D2A37" w14:textId="77777777" w:rsidR="00DB2B68" w:rsidRDefault="00000000">
      <w:pPr>
        <w:jc w:val="both"/>
      </w:pPr>
      <w:r>
        <w:rPr>
          <w:u w:val="single"/>
        </w:rPr>
        <w:t> </w:t>
      </w:r>
      <w:r>
        <w:rPr>
          <w:b/>
          <w:u w:val="single"/>
        </w:rPr>
        <w:t>Béton de remplissage</w:t>
      </w:r>
    </w:p>
    <w:p w14:paraId="408953E7" w14:textId="77777777" w:rsidR="00DB2B68" w:rsidRDefault="00000000">
      <w:pPr>
        <w:jc w:val="both"/>
      </w:pPr>
      <w:r>
        <w:t xml:space="preserve">Qualité du béton selon la [NBN EN 206:2013+A2] et la [NBN B 15-001] : (voir également la section </w:t>
      </w:r>
      <w:hyperlink w:anchor="87" w:history="1">
        <w:r>
          <w:rPr>
            <w:color w:val="0000EE"/>
          </w:rPr>
          <w:t>22 Superstructures en béton</w:t>
        </w:r>
      </w:hyperlink>
      <w:r>
        <w:t>). Pour le béton autocompactant la [NBN EN 206:2013+A2] est d’application.</w:t>
      </w:r>
    </w:p>
    <w:tbl>
      <w:tblPr>
        <w:tblStyle w:val="Author-eTableGrid"/>
        <w:tblW w:w="9030" w:type="dxa"/>
        <w:tblLayout w:type="fixed"/>
        <w:tblLook w:val="04A0" w:firstRow="1" w:lastRow="0" w:firstColumn="1" w:lastColumn="0" w:noHBand="0" w:noVBand="1"/>
      </w:tblPr>
      <w:tblGrid>
        <w:gridCol w:w="1125"/>
        <w:gridCol w:w="1410"/>
        <w:gridCol w:w="1800"/>
        <w:gridCol w:w="1380"/>
        <w:gridCol w:w="1530"/>
        <w:gridCol w:w="1785"/>
      </w:tblGrid>
      <w:tr w:rsidR="00DB2B68" w14:paraId="79A3FBA5" w14:textId="77777777">
        <w:tc>
          <w:tcPr>
            <w:tcW w:w="1125" w:type="dxa"/>
            <w:noWrap/>
          </w:tcPr>
          <w:p w14:paraId="6F64892D" w14:textId="77777777" w:rsidR="00DB2B68" w:rsidRDefault="00000000">
            <w:pPr>
              <w:jc w:val="center"/>
            </w:pPr>
            <w:r>
              <w:rPr>
                <w:b/>
              </w:rPr>
              <w:t>A</w:t>
            </w:r>
          </w:p>
        </w:tc>
        <w:tc>
          <w:tcPr>
            <w:tcW w:w="1410" w:type="dxa"/>
            <w:noWrap/>
          </w:tcPr>
          <w:p w14:paraId="7EEF6F64" w14:textId="77777777" w:rsidR="00DB2B68" w:rsidRDefault="00000000">
            <w:pPr>
              <w:jc w:val="center"/>
            </w:pPr>
            <w:r>
              <w:rPr>
                <w:b/>
              </w:rPr>
              <w:t>B1</w:t>
            </w:r>
          </w:p>
        </w:tc>
        <w:tc>
          <w:tcPr>
            <w:tcW w:w="1800" w:type="dxa"/>
            <w:noWrap/>
          </w:tcPr>
          <w:p w14:paraId="42914CD5" w14:textId="77777777" w:rsidR="00DB2B68" w:rsidRDefault="00000000">
            <w:pPr>
              <w:jc w:val="center"/>
            </w:pPr>
            <w:r>
              <w:rPr>
                <w:b/>
              </w:rPr>
              <w:t>B2</w:t>
            </w:r>
          </w:p>
        </w:tc>
        <w:tc>
          <w:tcPr>
            <w:tcW w:w="1380" w:type="dxa"/>
            <w:noWrap/>
          </w:tcPr>
          <w:p w14:paraId="5B3D6ACF" w14:textId="77777777" w:rsidR="00DB2B68" w:rsidRDefault="00000000">
            <w:pPr>
              <w:jc w:val="center"/>
            </w:pPr>
            <w:r>
              <w:rPr>
                <w:b/>
              </w:rPr>
              <w:t>C</w:t>
            </w:r>
          </w:p>
        </w:tc>
        <w:tc>
          <w:tcPr>
            <w:tcW w:w="1530" w:type="dxa"/>
            <w:noWrap/>
          </w:tcPr>
          <w:p w14:paraId="5E376276" w14:textId="77777777" w:rsidR="00DB2B68" w:rsidRDefault="00000000">
            <w:pPr>
              <w:jc w:val="center"/>
            </w:pPr>
            <w:r>
              <w:rPr>
                <w:b/>
              </w:rPr>
              <w:t>D</w:t>
            </w:r>
          </w:p>
        </w:tc>
        <w:tc>
          <w:tcPr>
            <w:tcW w:w="1785" w:type="dxa"/>
            <w:noWrap/>
          </w:tcPr>
          <w:p w14:paraId="0DC92BDA" w14:textId="77777777" w:rsidR="00DB2B68" w:rsidRDefault="00000000">
            <w:pPr>
              <w:jc w:val="center"/>
            </w:pPr>
            <w:r>
              <w:rPr>
                <w:b/>
              </w:rPr>
              <w:t>E</w:t>
            </w:r>
          </w:p>
        </w:tc>
      </w:tr>
      <w:tr w:rsidR="00DB2B68" w14:paraId="2F6B1680" w14:textId="77777777">
        <w:tc>
          <w:tcPr>
            <w:tcW w:w="1125" w:type="dxa"/>
            <w:noWrap/>
          </w:tcPr>
          <w:p w14:paraId="22F9E4A6" w14:textId="77777777" w:rsidR="00DB2B68" w:rsidRDefault="00000000">
            <w:pPr>
              <w:jc w:val="center"/>
            </w:pPr>
            <w:r>
              <w:rPr>
                <w:b/>
              </w:rPr>
              <w:t>Classe de résistance</w:t>
            </w:r>
          </w:p>
        </w:tc>
        <w:tc>
          <w:tcPr>
            <w:tcW w:w="1410" w:type="dxa"/>
            <w:noWrap/>
          </w:tcPr>
          <w:p w14:paraId="67C589F2" w14:textId="77777777" w:rsidR="00DB2B68" w:rsidRDefault="00000000">
            <w:pPr>
              <w:jc w:val="center"/>
            </w:pPr>
            <w:r>
              <w:rPr>
                <w:b/>
              </w:rPr>
              <w:t>Domaine d’application</w:t>
            </w:r>
          </w:p>
        </w:tc>
        <w:tc>
          <w:tcPr>
            <w:tcW w:w="1800" w:type="dxa"/>
            <w:noWrap/>
          </w:tcPr>
          <w:p w14:paraId="2049FA5C" w14:textId="77777777" w:rsidR="00DB2B68" w:rsidRDefault="00000000">
            <w:pPr>
              <w:jc w:val="center"/>
            </w:pPr>
            <w:r>
              <w:rPr>
                <w:b/>
              </w:rPr>
              <w:t>Classe d'environnement</w:t>
            </w:r>
          </w:p>
        </w:tc>
        <w:tc>
          <w:tcPr>
            <w:tcW w:w="1380" w:type="dxa"/>
            <w:noWrap/>
          </w:tcPr>
          <w:p w14:paraId="51164F0C" w14:textId="77777777" w:rsidR="00DB2B68" w:rsidRDefault="00000000">
            <w:pPr>
              <w:jc w:val="center"/>
            </w:pPr>
            <w:r>
              <w:rPr>
                <w:b/>
              </w:rPr>
              <w:t>Classe de consistance</w:t>
            </w:r>
          </w:p>
        </w:tc>
        <w:tc>
          <w:tcPr>
            <w:tcW w:w="1530" w:type="dxa"/>
            <w:noWrap/>
          </w:tcPr>
          <w:p w14:paraId="5FE35EF7" w14:textId="77777777" w:rsidR="00DB2B68" w:rsidRDefault="00000000">
            <w:pPr>
              <w:jc w:val="center"/>
            </w:pPr>
            <w:r>
              <w:rPr>
                <w:b/>
              </w:rPr>
              <w:t>Granulométrie maximale</w:t>
            </w:r>
          </w:p>
        </w:tc>
        <w:tc>
          <w:tcPr>
            <w:tcW w:w="1785" w:type="dxa"/>
            <w:noWrap/>
          </w:tcPr>
          <w:p w14:paraId="30BF213E" w14:textId="77777777" w:rsidR="00DB2B68" w:rsidRDefault="00000000">
            <w:pPr>
              <w:jc w:val="center"/>
            </w:pPr>
            <w:r>
              <w:rPr>
                <w:b/>
              </w:rPr>
              <w:t>Données complémentaires</w:t>
            </w:r>
          </w:p>
        </w:tc>
      </w:tr>
      <w:tr w:rsidR="00DB2B68" w14:paraId="72B99188" w14:textId="77777777">
        <w:tc>
          <w:tcPr>
            <w:tcW w:w="1125" w:type="dxa"/>
            <w:noWrap/>
          </w:tcPr>
          <w:p w14:paraId="3A4AF136" w14:textId="77777777" w:rsidR="00DB2B68" w:rsidRDefault="00000000">
            <w:r>
              <w:t> </w:t>
            </w:r>
          </w:p>
          <w:p w14:paraId="68146DBF" w14:textId="77777777" w:rsidR="00DB2B68" w:rsidRDefault="00000000">
            <w:pPr>
              <w:jc w:val="center"/>
            </w:pPr>
            <w:r>
              <w:rPr>
                <w:rStyle w:val="optioncarChar"/>
              </w:rPr>
              <w:t>C25/30 / C30/37 / C35/45 / C45/55 / C50/60 / C55/67 / C60/75 / C70/85 / C80/95 / C90/105</w:t>
            </w:r>
          </w:p>
        </w:tc>
        <w:tc>
          <w:tcPr>
            <w:tcW w:w="1410" w:type="dxa"/>
            <w:noWrap/>
          </w:tcPr>
          <w:p w14:paraId="72C31D03" w14:textId="77777777" w:rsidR="00DB2B68" w:rsidRDefault="00000000">
            <w:pPr>
              <w:jc w:val="center"/>
            </w:pPr>
            <w:r>
              <w:t> </w:t>
            </w:r>
          </w:p>
          <w:p w14:paraId="423CFA1F" w14:textId="77777777" w:rsidR="00DB2B68" w:rsidRDefault="00000000">
            <w:pPr>
              <w:jc w:val="center"/>
            </w:pPr>
            <w:r>
              <w:t>Béton armé</w:t>
            </w:r>
          </w:p>
        </w:tc>
        <w:tc>
          <w:tcPr>
            <w:tcW w:w="1800" w:type="dxa"/>
            <w:noWrap/>
          </w:tcPr>
          <w:p w14:paraId="38543ED2" w14:textId="77777777" w:rsidR="00DB2B68" w:rsidRDefault="00000000">
            <w:pPr>
              <w:jc w:val="center"/>
            </w:pPr>
            <w:r>
              <w:t> </w:t>
            </w:r>
          </w:p>
          <w:p w14:paraId="12FAC3AD" w14:textId="77777777" w:rsidR="00DB2B68" w:rsidRDefault="00000000">
            <w:pPr>
              <w:jc w:val="center"/>
            </w:pPr>
            <w:r>
              <w:rPr>
                <w:rStyle w:val="optioncarChar"/>
              </w:rPr>
              <w:t>EI / EE1 / EE2 / EE3 / EE4 / ES1 / ES2 / ES3 / ES4 / EA1+*** / EA2+*** / EA3+***</w:t>
            </w:r>
          </w:p>
        </w:tc>
        <w:tc>
          <w:tcPr>
            <w:tcW w:w="1380" w:type="dxa"/>
            <w:noWrap/>
          </w:tcPr>
          <w:p w14:paraId="39317EF8" w14:textId="77777777" w:rsidR="00DB2B68" w:rsidRDefault="00000000">
            <w:pPr>
              <w:jc w:val="both"/>
            </w:pPr>
            <w:r>
              <w:t> </w:t>
            </w:r>
          </w:p>
          <w:p w14:paraId="3AE0AFA2" w14:textId="77777777" w:rsidR="00DB2B68" w:rsidRDefault="00000000">
            <w:pPr>
              <w:jc w:val="both"/>
            </w:pPr>
            <w:r>
              <w:t>au choix de l'entrepreneur :</w:t>
            </w:r>
          </w:p>
          <w:p w14:paraId="58BEB4E3" w14:textId="77777777" w:rsidR="00DB2B68" w:rsidRDefault="00000000">
            <w:pPr>
              <w:jc w:val="both"/>
            </w:pPr>
            <w:r>
              <w:t> </w:t>
            </w:r>
          </w:p>
          <w:p w14:paraId="272E5CE8" w14:textId="77777777" w:rsidR="00DB2B68" w:rsidRDefault="00000000">
            <w:pPr>
              <w:jc w:val="both"/>
            </w:pPr>
            <w:r>
              <w:rPr>
                <w:rStyle w:val="optioncarChar"/>
              </w:rPr>
              <w:t>S3 / S4 / S5</w:t>
            </w:r>
          </w:p>
          <w:p w14:paraId="38AEEE19" w14:textId="77777777" w:rsidR="00DB2B68" w:rsidRDefault="00000000">
            <w:pPr>
              <w:jc w:val="both"/>
            </w:pPr>
            <w:r>
              <w:rPr>
                <w:rStyle w:val="optioncarChar"/>
              </w:rPr>
              <w:t>F1 / F4 / F5 / F6</w:t>
            </w:r>
          </w:p>
        </w:tc>
        <w:tc>
          <w:tcPr>
            <w:tcW w:w="1530" w:type="dxa"/>
            <w:noWrap/>
          </w:tcPr>
          <w:p w14:paraId="29F1094E" w14:textId="77777777" w:rsidR="00DB2B68" w:rsidRDefault="00000000">
            <w:pPr>
              <w:jc w:val="both"/>
            </w:pPr>
            <w:r>
              <w:t> </w:t>
            </w:r>
          </w:p>
          <w:p w14:paraId="1EFEAF1C" w14:textId="77777777" w:rsidR="00DB2B68" w:rsidRDefault="00000000">
            <w:pPr>
              <w:jc w:val="both"/>
            </w:pPr>
            <w:r>
              <w:t>au choix de l'entrepreneur :</w:t>
            </w:r>
          </w:p>
          <w:p w14:paraId="2B907A5F" w14:textId="77777777" w:rsidR="00DB2B68" w:rsidRDefault="00000000">
            <w:pPr>
              <w:jc w:val="both"/>
            </w:pPr>
            <w:r>
              <w:t> </w:t>
            </w:r>
          </w:p>
          <w:p w14:paraId="60B36700" w14:textId="77777777" w:rsidR="00DB2B68" w:rsidRDefault="00000000">
            <w:pPr>
              <w:jc w:val="both"/>
            </w:pPr>
            <w:r>
              <w:t> </w:t>
            </w:r>
          </w:p>
          <w:p w14:paraId="5D8358B2" w14:textId="77777777" w:rsidR="00DB2B68" w:rsidRDefault="00000000">
            <w:pPr>
              <w:jc w:val="both"/>
            </w:pPr>
            <w:r>
              <w:rPr>
                <w:rStyle w:val="optioncarChar"/>
              </w:rPr>
              <w:t>6 / 8 / 10 / 11 / 12 / 14 / 16 / 20 / 22 / 32</w:t>
            </w:r>
            <w:r>
              <w:t xml:space="preserve"> mm</w:t>
            </w:r>
          </w:p>
        </w:tc>
        <w:tc>
          <w:tcPr>
            <w:tcW w:w="1785" w:type="dxa"/>
            <w:noWrap/>
          </w:tcPr>
          <w:p w14:paraId="12EE7B82" w14:textId="77777777" w:rsidR="00DB2B68" w:rsidRDefault="00000000">
            <w:pPr>
              <w:jc w:val="center"/>
            </w:pPr>
            <w:r>
              <w:t> </w:t>
            </w:r>
          </w:p>
          <w:p w14:paraId="6204F1B5" w14:textId="77777777" w:rsidR="00DB2B68" w:rsidRDefault="00000000">
            <w:pPr>
              <w:jc w:val="center"/>
            </w:pPr>
            <w:r>
              <w:rPr>
                <w:rStyle w:val="optioncarChar"/>
              </w:rPr>
              <w:t>***</w:t>
            </w:r>
          </w:p>
        </w:tc>
      </w:tr>
    </w:tbl>
    <w:p w14:paraId="5410F402" w14:textId="77777777" w:rsidR="00DB2B68" w:rsidRDefault="00000000">
      <w:pPr>
        <w:jc w:val="both"/>
      </w:pPr>
      <w:r>
        <w:t> </w:t>
      </w:r>
    </w:p>
    <w:p w14:paraId="296DD642" w14:textId="77777777" w:rsidR="00DB2B68" w:rsidRDefault="0000000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p>
    <w:p w14:paraId="75C15A2B" w14:textId="77777777" w:rsidR="00DB2B68" w:rsidRDefault="00000000">
      <w:pPr>
        <w:jc w:val="both"/>
      </w:pPr>
      <w:r>
        <w:t xml:space="preserve"> Données complémentaires propres au béton autoplaçant (E) :</w:t>
      </w:r>
    </w:p>
    <w:p w14:paraId="15AD2CAB" w14:textId="77777777" w:rsidR="00DB2B68" w:rsidRDefault="00000000">
      <w:pPr>
        <w:pStyle w:val="Author-eListParagraph"/>
        <w:numPr>
          <w:ilvl w:val="0"/>
          <w:numId w:val="513"/>
        </w:numPr>
      </w:pPr>
      <w:r>
        <w:t>Classe de viscosité apparente :</w:t>
      </w:r>
      <w:r>
        <w:rPr>
          <w:rStyle w:val="optioncarChar"/>
        </w:rPr>
        <w:t xml:space="preserve"> VS1 / VS2</w:t>
      </w:r>
      <w:r>
        <w:t xml:space="preserve"> (selon la [NBN EN 12350-8])</w:t>
      </w:r>
    </w:p>
    <w:p w14:paraId="2F975824" w14:textId="77777777" w:rsidR="00DB2B68" w:rsidRDefault="00000000">
      <w:pPr>
        <w:pStyle w:val="Author-eListParagraph"/>
        <w:numPr>
          <w:ilvl w:val="0"/>
          <w:numId w:val="513"/>
        </w:numPr>
      </w:pPr>
      <w:r>
        <w:t xml:space="preserve"> Aptitude à l’écoulement : </w:t>
      </w:r>
      <w:r>
        <w:rPr>
          <w:rStyle w:val="optioncarChar"/>
        </w:rPr>
        <w:t>PL1 / PL2</w:t>
      </w:r>
      <w:r>
        <w:t xml:space="preserve"> (selon la [NBN EN 12350-10]) ou</w:t>
      </w:r>
      <w:r>
        <w:rPr>
          <w:rStyle w:val="optioncarChar"/>
        </w:rPr>
        <w:t xml:space="preserve"> PJ1 / PJ2</w:t>
      </w:r>
      <w:r>
        <w:t xml:space="preserve"> (selon la [NBN EN 12350-12])</w:t>
      </w:r>
    </w:p>
    <w:p w14:paraId="5C1D2382" w14:textId="77777777" w:rsidR="00DB2B68" w:rsidRDefault="00000000">
      <w:pPr>
        <w:pStyle w:val="Author-eListParagraph"/>
        <w:numPr>
          <w:ilvl w:val="0"/>
          <w:numId w:val="513"/>
        </w:numPr>
      </w:pPr>
      <w:r>
        <w:lastRenderedPageBreak/>
        <w:t xml:space="preserve">Classe de résistance à la ségrégation : </w:t>
      </w:r>
      <w:r>
        <w:rPr>
          <w:rStyle w:val="optioncarChar"/>
        </w:rPr>
        <w:t>SR1 / SR2</w:t>
      </w:r>
      <w:r>
        <w:t xml:space="preserve"> (selon la [NBN EN 12350-11])</w:t>
      </w:r>
    </w:p>
    <w:p w14:paraId="64E82889" w14:textId="77777777" w:rsidR="00DB2B68" w:rsidRDefault="00000000">
      <w:pPr>
        <w:pStyle w:val="Author-eListParagraph"/>
        <w:numPr>
          <w:ilvl w:val="0"/>
          <w:numId w:val="513"/>
        </w:numPr>
      </w:pPr>
      <w:r>
        <w:t xml:space="preserve">Pourcentage d'armatures : </w:t>
      </w:r>
      <w:r>
        <w:rPr>
          <w:rStyle w:val="optioncarChar"/>
        </w:rPr>
        <w:t>***</w:t>
      </w:r>
      <w:r>
        <w:t xml:space="preserve"> kg d'acier par m³ de béton.</w:t>
      </w:r>
    </w:p>
    <w:p w14:paraId="396808B4" w14:textId="77777777" w:rsidR="00DB2B68" w:rsidRDefault="00000000">
      <w:pPr>
        <w:pStyle w:val="Author-eListParagraph"/>
        <w:numPr>
          <w:ilvl w:val="0"/>
          <w:numId w:val="513"/>
        </w:numPr>
      </w:pPr>
      <w:r>
        <w:t xml:space="preserve">Barres d’acier/armatures complémentaires : acier </w:t>
      </w:r>
      <w:r>
        <w:rPr>
          <w:rStyle w:val="optioncarChar"/>
        </w:rPr>
        <w:t>BE 500 S</w:t>
      </w:r>
      <w:r>
        <w:t xml:space="preserve"> (par défaut)</w:t>
      </w:r>
      <w:r>
        <w:rPr>
          <w:rStyle w:val="optioncarChar"/>
        </w:rPr>
        <w:t xml:space="preserve"> / ***</w:t>
      </w:r>
      <w:r>
        <w:t xml:space="preserve"> selon [NBN A 24-302] + [PTV 302] .</w:t>
      </w:r>
    </w:p>
    <w:p w14:paraId="6722C1AC" w14:textId="77777777" w:rsidR="00DB2B68" w:rsidRDefault="00000000">
      <w:pPr>
        <w:jc w:val="both"/>
      </w:pPr>
      <w:r>
        <w:rPr>
          <w:u w:val="single"/>
        </w:rPr>
        <w:t> </w:t>
      </w:r>
      <w:r>
        <w:rPr>
          <w:b/>
          <w:u w:val="single"/>
        </w:rPr>
        <w:t>Résistance au feu des parois</w:t>
      </w:r>
    </w:p>
    <w:p w14:paraId="3B6CCCFC" w14:textId="77777777" w:rsidR="00DB2B68" w:rsidRDefault="00000000">
      <w:pPr>
        <w:jc w:val="both"/>
      </w:pPr>
      <w:r>
        <w:t>Résistance au feu suivant la déclaration de performance (DoP) selon la norme produit [NBN EN 14992+A1] et [NBN B 21-612].</w:t>
      </w:r>
    </w:p>
    <w:p w14:paraId="5800AFCB" w14:textId="77777777" w:rsidR="00DB2B68" w:rsidRDefault="00000000">
      <w:pPr>
        <w:jc w:val="both"/>
      </w:pPr>
      <w:r>
        <w:t>Si la résistance au feu n’est pas déclarée sous marquage CE, elle est démontrée par test au feu selon la [NBN EN 13501-2] ou par calcul selon les Eurocodes conformément à l’[AM 2013-05-17]</w:t>
      </w:r>
    </w:p>
    <w:p w14:paraId="2D64ED31" w14:textId="77777777" w:rsidR="00DB2B68" w:rsidRDefault="00000000">
      <w:pPr>
        <w:pStyle w:val="Author-eListParagraph"/>
        <w:numPr>
          <w:ilvl w:val="0"/>
          <w:numId w:val="514"/>
        </w:numPr>
      </w:pPr>
      <w:r>
        <w:t xml:space="preserve">pour les éléments porteurs sans fonction séparante  </w:t>
      </w:r>
      <w:r>
        <w:rPr>
          <w:rStyle w:val="optioncarChar"/>
        </w:rPr>
        <w:t>R15 / R30 </w:t>
      </w:r>
      <w:r>
        <w:t xml:space="preserve">(par défaut) </w:t>
      </w:r>
      <w:r>
        <w:rPr>
          <w:rStyle w:val="optioncarChar"/>
        </w:rPr>
        <w:t>/ R60 / R120 / R ***</w:t>
      </w:r>
    </w:p>
    <w:p w14:paraId="13EC409A" w14:textId="77777777" w:rsidR="00DB2B68" w:rsidRDefault="00000000">
      <w:pPr>
        <w:pStyle w:val="Author-eListParagraph"/>
        <w:numPr>
          <w:ilvl w:val="0"/>
          <w:numId w:val="514"/>
        </w:numPr>
      </w:pPr>
      <w:r>
        <w:t xml:space="preserve">pour les éléments porteurs avec fonction séparante  </w:t>
      </w:r>
      <w:r>
        <w:rPr>
          <w:rStyle w:val="optioncarChar"/>
        </w:rPr>
        <w:t>REI 30 </w:t>
      </w:r>
      <w:r>
        <w:t>(par défaut)</w:t>
      </w:r>
      <w:r>
        <w:rPr>
          <w:rStyle w:val="optioncarChar"/>
        </w:rPr>
        <w:t> / REI 60 / REI 120 / REI *** </w:t>
      </w:r>
      <w:r>
        <w:t xml:space="preserve">pour les éléments non porteurs avec fonction séparante : </w:t>
      </w:r>
      <w:r>
        <w:rPr>
          <w:rStyle w:val="optioncarChar"/>
        </w:rPr>
        <w:t>EI 30 </w:t>
      </w:r>
      <w:r>
        <w:t>(par défaut)</w:t>
      </w:r>
      <w:r>
        <w:rPr>
          <w:rStyle w:val="optioncarChar"/>
        </w:rPr>
        <w:t xml:space="preserve"> / EI 60 / EI 120 / EI ***</w:t>
      </w:r>
    </w:p>
    <w:p w14:paraId="69771894" w14:textId="77777777" w:rsidR="00DB2B68" w:rsidRDefault="00000000">
      <w:pPr>
        <w:jc w:val="both"/>
      </w:pPr>
      <w:r>
        <w:rPr>
          <w:b/>
          <w:u w:val="single"/>
        </w:rPr>
        <w:t>Classe d’étanchéité</w:t>
      </w:r>
    </w:p>
    <w:p w14:paraId="18F6CE4B" w14:textId="77777777" w:rsidR="00DB2B68" w:rsidRDefault="00000000">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Si seul le béton fait office de barrière étanche à l’humidité, l’épaisseur minimale totale du béton du côté intérieur vaut 240 mm.</w:t>
      </w:r>
    </w:p>
    <w:p w14:paraId="4F54D5A2" w14:textId="77777777" w:rsidR="00DB2B68" w:rsidRDefault="00000000">
      <w:pPr>
        <w:jc w:val="both"/>
      </w:pPr>
      <w:r>
        <w:t>L’épaisseur minimale du béton de seconde phase est de :</w:t>
      </w:r>
    </w:p>
    <w:p w14:paraId="04947F26" w14:textId="77777777" w:rsidR="00DB2B68" w:rsidRDefault="00000000">
      <w:pPr>
        <w:pStyle w:val="Author-eListParagraph"/>
        <w:numPr>
          <w:ilvl w:val="0"/>
          <w:numId w:val="515"/>
        </w:numPr>
      </w:pPr>
      <w:r>
        <w:t>120 mm si le Dmax du béton de seconde phase vaut 8 mm</w:t>
      </w:r>
    </w:p>
    <w:p w14:paraId="4FDE795E" w14:textId="77777777" w:rsidR="00DB2B68" w:rsidRDefault="00000000">
      <w:pPr>
        <w:pStyle w:val="Author-eListParagraph"/>
        <w:numPr>
          <w:ilvl w:val="0"/>
          <w:numId w:val="515"/>
        </w:numPr>
      </w:pPr>
      <w:r>
        <w:t>140 mm si le Dmax du béton de seconde phase vaut 16 mm</w:t>
      </w:r>
    </w:p>
    <w:p w14:paraId="24E2FD91" w14:textId="77777777" w:rsidR="00DB2B68" w:rsidRDefault="00000000">
      <w:pPr>
        <w:pStyle w:val="Author-eListParagraph"/>
        <w:numPr>
          <w:ilvl w:val="0"/>
          <w:numId w:val="515"/>
        </w:numPr>
      </w:pPr>
      <w:r>
        <w:t>180 mm si le Dmax du béton de seconde phase vaut 32 mm</w:t>
      </w:r>
    </w:p>
    <w:p w14:paraId="3326652A" w14:textId="77777777" w:rsidR="00DB2B68" w:rsidRDefault="00000000">
      <w:pPr>
        <w:jc w:val="both"/>
      </w:pPr>
      <w:r>
        <w:t>Pour les classes d’étanchéité supérieures à la classe 0 et si seul le béton fait office de barrière étanche, le rapport E/C du béton de remplissage ne peut dépasser 0,50.</w:t>
      </w:r>
    </w:p>
    <w:p w14:paraId="6303CCA7" w14:textId="77777777" w:rsidR="00DB2B68" w:rsidRDefault="00000000">
      <w:pPr>
        <w:jc w:val="both"/>
      </w:pPr>
      <w:r>
        <w:t xml:space="preserve">L’armature des joints du béton de remplissage est au moins un treillis soudé, d’un acier BE 500S ou BE 500 TS de type </w:t>
      </w:r>
      <w:r>
        <w:rPr>
          <w:rStyle w:val="optioncarChar"/>
        </w:rPr>
        <w:t>150x150x8x8 </w:t>
      </w:r>
      <w:r>
        <w:t>(par défaut)</w:t>
      </w:r>
      <w:r>
        <w:rPr>
          <w:rStyle w:val="optioncarChar"/>
        </w:rPr>
        <w:t xml:space="preserve"> / ***x***x***x*** </w:t>
      </w:r>
      <w:r>
        <w:t>.</w:t>
      </w:r>
    </w:p>
    <w:p w14:paraId="23CF1F0D" w14:textId="77777777" w:rsidR="00DB2B68" w:rsidRDefault="00000000">
      <w:pPr>
        <w:ind w:left="750"/>
      </w:pPr>
      <w:r>
        <w:t> </w:t>
      </w:r>
    </w:p>
    <w:p w14:paraId="5BE6FD47" w14:textId="77777777" w:rsidR="00DB2B68" w:rsidRDefault="00000000">
      <w:pPr>
        <w:pStyle w:val="pheading"/>
      </w:pPr>
      <w:r>
        <w:t>- Finitions</w:t>
      </w:r>
    </w:p>
    <w:p w14:paraId="478F788A" w14:textId="77777777" w:rsidR="00DB2B68" w:rsidRDefault="00000000">
      <w:pPr>
        <w:jc w:val="both"/>
      </w:pPr>
      <w:r>
        <w:t xml:space="preserve">La finition extérieure des parois: </w:t>
      </w:r>
      <w:r>
        <w:rPr>
          <w:rStyle w:val="optioncarChar"/>
        </w:rPr>
        <w:t>béton lisse industriel selon [NBN EN 13369] + [NBN B 21-600] </w:t>
      </w:r>
      <w:r>
        <w:t xml:space="preserve">(par défaut) </w:t>
      </w:r>
      <w:r>
        <w:rPr>
          <w:rStyle w:val="optioncarChar"/>
        </w:rPr>
        <w:t>/ ***</w:t>
      </w:r>
      <w:r>
        <w:t>.</w:t>
      </w:r>
    </w:p>
    <w:p w14:paraId="6610279D" w14:textId="77777777" w:rsidR="00DB2B68" w:rsidRDefault="00000000">
      <w:pPr>
        <w:jc w:val="both"/>
      </w:pPr>
      <w:r>
        <w:t xml:space="preserve">Le joint entre les éléments préfabriqués est : </w:t>
      </w:r>
      <w:r>
        <w:rPr>
          <w:rStyle w:val="optioncarChar"/>
        </w:rPr>
        <w:t>vide / rempli par un joint souple</w:t>
      </w:r>
      <w:r>
        <w:t xml:space="preserve"> (par défaut) </w:t>
      </w:r>
      <w:r>
        <w:rPr>
          <w:rStyle w:val="optioncarChar"/>
        </w:rPr>
        <w:t>/ muni d’un dispositif d’étanchéité / ***</w:t>
      </w:r>
      <w:r>
        <w:t>.</w:t>
      </w:r>
    </w:p>
    <w:p w14:paraId="14CC97F1" w14:textId="77777777" w:rsidR="00DB2B68" w:rsidRDefault="00000000">
      <w:pPr>
        <w:jc w:val="both"/>
      </w:pPr>
      <w:r>
        <w:t xml:space="preserve">Les arêtes de la face apparente sont : </w:t>
      </w:r>
      <w:r>
        <w:rPr>
          <w:rStyle w:val="optioncarChar"/>
        </w:rPr>
        <w:t>munies de chanfreins </w:t>
      </w:r>
      <w:r>
        <w:t>(par défaut)</w:t>
      </w:r>
      <w:r>
        <w:rPr>
          <w:rStyle w:val="optioncarChar"/>
        </w:rPr>
        <w:t xml:space="preserve"> / ***</w:t>
      </w:r>
      <w:r>
        <w:t>.</w:t>
      </w:r>
    </w:p>
    <w:p w14:paraId="07EDAD3B" w14:textId="77777777" w:rsidR="00DB2B68" w:rsidRDefault="00000000">
      <w:pPr>
        <w:pStyle w:val="pheading"/>
      </w:pPr>
      <w:r>
        <w:t>EXÉCUTION / MISE EN ŒUVRE</w:t>
      </w:r>
    </w:p>
    <w:p w14:paraId="441B5825" w14:textId="77777777" w:rsidR="00DB2B68" w:rsidRDefault="00000000">
      <w:pPr>
        <w:pStyle w:val="pheading"/>
      </w:pPr>
      <w:r>
        <w:t>- Prescriptions générales</w:t>
      </w:r>
    </w:p>
    <w:p w14:paraId="6811679E" w14:textId="77777777" w:rsidR="00DB2B68" w:rsidRDefault="00000000">
      <w:pPr>
        <w:jc w:val="both"/>
      </w:pPr>
      <w:r>
        <w:t xml:space="preserve">L’étude et les plans d’exécution </w:t>
      </w:r>
      <w:r>
        <w:rPr>
          <w:rStyle w:val="optioncarChar"/>
        </w:rPr>
        <w:t>sont / ne sont</w:t>
      </w:r>
      <w:r>
        <w:t xml:space="preserve"> pas à charge de l’entreprise.</w:t>
      </w:r>
    </w:p>
    <w:p w14:paraId="7EC112FA" w14:textId="77777777" w:rsidR="00DB2B68" w:rsidRDefault="00000000">
      <w:pPr>
        <w:jc w:val="both"/>
      </w:pPr>
      <w:r>
        <w:t>Le plan de pose doit être approuvé par le bureau d’études ou la direction de chantier.</w:t>
      </w:r>
    </w:p>
    <w:p w14:paraId="50020751" w14:textId="77777777" w:rsidR="00DB2B68" w:rsidRDefault="00000000">
      <w:pPr>
        <w:jc w:val="both"/>
      </w:pPr>
      <w:r>
        <w:t>Les parois sont fabriquées dans les dimensions indiquées sur les plans d’exécution approuvés.</w:t>
      </w:r>
    </w:p>
    <w:p w14:paraId="78DF8A0F" w14:textId="77777777" w:rsidR="00DB2B68" w:rsidRDefault="00000000">
      <w:pPr>
        <w:jc w:val="both"/>
      </w:pPr>
      <w:r>
        <w:t>La conception des joints et des liaisons extérieures sont définis par l’étude de stabilité et soumis pour approbation à l’auteur de projet.</w:t>
      </w:r>
    </w:p>
    <w:p w14:paraId="32C06746" w14:textId="77777777" w:rsidR="00DB2B68" w:rsidRDefault="00000000">
      <w:pPr>
        <w:jc w:val="both"/>
      </w:pPr>
      <w:r>
        <w:t>La mise en œuvre est conforme aux normes [NBN EN 13670] et [NBN B 15-400] et au [FEBE BT Prémurs].</w:t>
      </w:r>
    </w:p>
    <w:p w14:paraId="1A46ABCB" w14:textId="77777777" w:rsidR="00DB2B68" w:rsidRDefault="00000000">
      <w:pPr>
        <w:jc w:val="both"/>
      </w:pPr>
      <w:r>
        <w:t>Les recommandations du [Buildwise Méthode de dimensionnement Rapport 10] sont respectées pour la mise en œuvre.</w:t>
      </w:r>
    </w:p>
    <w:p w14:paraId="2439498A" w14:textId="77777777" w:rsidR="00DB2B68" w:rsidRDefault="00000000">
      <w:pPr>
        <w:jc w:val="both"/>
      </w:pPr>
      <w:r>
        <w:lastRenderedPageBreak/>
        <w:t>Si les parois doivent être étanches à l’eau, il y a lieu de prévoir des dispositifs d’étanchéité intégrés aux prémurs et que leur mise en œuvre soit réalisée conformément à la [NIT 247] et à la [NIT 250].</w:t>
      </w:r>
    </w:p>
    <w:p w14:paraId="44C6EEDA" w14:textId="77777777" w:rsidR="00DB2B68" w:rsidRDefault="00000000">
      <w:pPr>
        <w:jc w:val="both"/>
      </w:pPr>
      <w:r>
        <w:t>Les joints assurent la continuité thermique de l’isolant.</w:t>
      </w:r>
    </w:p>
    <w:p w14:paraId="1EC5F21F" w14:textId="77777777" w:rsidR="00DB2B68" w:rsidRDefault="00000000">
      <w:pPr>
        <w:jc w:val="both"/>
      </w:pPr>
      <w:r>
        <w:t>La couche de béton coulé et son armature (l’armature de joints, treillis + barres additionnelles) sont mises en œuvre et apposées suivant les indications reprises dans l’étude du béton et le plan de pose.</w:t>
      </w:r>
    </w:p>
    <w:p w14:paraId="2AE64955" w14:textId="77777777" w:rsidR="00DB2B68" w:rsidRDefault="00000000">
      <w:pPr>
        <w:jc w:val="both"/>
      </w:pPr>
      <w:r>
        <w:t>Le béton de remplissage est coulé en couches de maximum 60 cm.</w:t>
      </w:r>
    </w:p>
    <w:p w14:paraId="5F9812F3" w14:textId="77777777" w:rsidR="00DB2B68" w:rsidRDefault="00000000">
      <w:pPr>
        <w:jc w:val="both"/>
      </w:pPr>
      <w:r>
        <w:t>Une pression maximale autorisée du béton de 30 kN/m² ne peut pas être dépassée.</w:t>
      </w:r>
    </w:p>
    <w:p w14:paraId="681BE2A5" w14:textId="77777777" w:rsidR="00DB2B68" w:rsidRDefault="00000000">
      <w:pPr>
        <w:jc w:val="both"/>
      </w:pPr>
      <w:r>
        <w:t>Une description des techniques d’étançonnement temporaire doit être indiquée et approuvée par l’auteur de projet. En cas de fixation sur les autres parois, les trous de fixation sont réparés et conservent les mêmes propriétés que la paroi initiale.</w:t>
      </w:r>
    </w:p>
    <w:p w14:paraId="10D2C323" w14:textId="77777777" w:rsidR="00DB2B68" w:rsidRDefault="00000000">
      <w:pPr>
        <w:pStyle w:val="pheading"/>
      </w:pPr>
      <w:r>
        <w:t>DOCUMENTS DE RÉFÉRENCE COMPLÉMENTAIRES</w:t>
      </w:r>
    </w:p>
    <w:p w14:paraId="0094DE79" w14:textId="77777777" w:rsidR="00DB2B68" w:rsidRDefault="00000000">
      <w:pPr>
        <w:pStyle w:val="pheading"/>
      </w:pPr>
      <w:r>
        <w:t>- Matériau</w:t>
      </w:r>
    </w:p>
    <w:p w14:paraId="6A2789BE" w14:textId="77777777" w:rsidR="00DB2B68" w:rsidRDefault="00000000">
      <w:r>
        <w:t>[NBN EN 14992+A1, Produits préfabriqués en béton - Eléments de mur] </w:t>
      </w:r>
      <w:r>
        <w:br/>
      </w:r>
      <w:r>
        <w:br/>
        <w:t>[NBN B 21-612, Produits préfabriqués en béton - Eléments de mur - Norme d'application nationale à la NBN EN 14992+A1:2012]</w:t>
      </w:r>
    </w:p>
    <w:p w14:paraId="09DC2A4D" w14:textId="77777777" w:rsidR="00DB2B68" w:rsidRDefault="00000000">
      <w:r>
        <w:t>[RA 21-612, Règlement d'application Benor - Produits préfabriqués en béton - Eléments de murs]</w:t>
      </w:r>
      <w:r>
        <w:br/>
      </w:r>
      <w:r>
        <w:br/>
        <w:t>[Buildwise Méthode de dimensionnement Rapport 10, Sécurité et mise en oeuvre d'éléments préfabriqués en béton]</w:t>
      </w:r>
    </w:p>
    <w:p w14:paraId="5E4F769B" w14:textId="77777777" w:rsidR="00DB2B68" w:rsidRDefault="00000000">
      <w:r>
        <w:br/>
        <w:t>[FEBE BT Prémurs, Brochure Technique - Prémurs - Rapides et économiques]</w:t>
      </w:r>
    </w:p>
    <w:p w14:paraId="2985FFB6" w14:textId="77777777" w:rsidR="00DB2B68" w:rsidRDefault="00000000">
      <w:r>
        <w:t>[NBN EN 12350-8, Essai pour béton frais - Partie 8: Béton auto-plaçant - Essai d'étalement au cône d'Abrams]</w:t>
      </w:r>
      <w:r>
        <w:br/>
      </w:r>
      <w:r>
        <w:br/>
        <w:t>[NBN EN 12350-10, Essai pour béton frais - Partie 10: Béton autoplaçant - Essai à la boîte en L]</w:t>
      </w:r>
      <w:r>
        <w:br/>
      </w:r>
      <w:r>
        <w:br/>
        <w:t>[NBN EN 12350-12, Essai pour béton frais - Partie 12 : Béton autoplaçant - Essai d'écoulement à l'anneau]</w:t>
      </w:r>
      <w:r>
        <w:br/>
      </w:r>
      <w:r>
        <w:br/>
        <w:t>[NBN EN 12350-11, Essai pour béton frais - Partie 11: Béton autoplaçant - Essai de stabilité au tamis]</w:t>
      </w:r>
      <w:r>
        <w:br/>
      </w:r>
      <w:r>
        <w:br/>
        <w:t>[NBN A 24-302, Produits sidérurgiques - Aciers pour béton armé - Barres lisses et barres à nervures - Fils machine lisses et fils machine à nervures]</w:t>
      </w:r>
    </w:p>
    <w:p w14:paraId="14AFB612" w14:textId="77777777" w:rsidR="00DB2B68" w:rsidRDefault="00000000">
      <w:r>
        <w:t>[PTV 302, Aciers pour béton armé - barres à nervures ou à empreintes et fils à nervures ou à empreintes à haute ductilité]</w:t>
      </w:r>
    </w:p>
    <w:p w14:paraId="33E898EC" w14:textId="77777777" w:rsidR="00DB2B68" w:rsidRDefault="00000000">
      <w:pPr>
        <w:pStyle w:val="pheading"/>
      </w:pPr>
      <w:r>
        <w:t>- Exécution</w:t>
      </w:r>
    </w:p>
    <w:p w14:paraId="7D3F5B0A" w14:textId="77777777" w:rsidR="00DB2B68" w:rsidRDefault="00000000">
      <w:r>
        <w:t>[NIT 247, Conception et exécution des ouvrages étanches en béton]</w:t>
      </w:r>
    </w:p>
    <w:p w14:paraId="02948F83" w14:textId="77777777" w:rsidR="00DB2B68" w:rsidRDefault="00000000">
      <w:r>
        <w:t>[NIT 250, Détails de référence pour les constructions enterrées]</w:t>
      </w:r>
    </w:p>
    <w:p w14:paraId="18525841" w14:textId="77777777" w:rsidR="00DB2B68" w:rsidRDefault="00000000">
      <w:r>
        <w:t>[NBN EN 13670, Exécution des structures en béton]</w:t>
      </w:r>
    </w:p>
    <w:p w14:paraId="2A1069EB" w14:textId="77777777" w:rsidR="00DB2B68" w:rsidRDefault="00000000">
      <w:r>
        <w:t>[NBN B 15-400, Exécution des structures en béton - Supplément national à la NBN EN 13670:2010]</w:t>
      </w:r>
    </w:p>
    <w:p w14:paraId="52BC1E9B" w14:textId="77777777" w:rsidR="00DB2B68" w:rsidRDefault="00000000">
      <w:pPr>
        <w:pStyle w:val="pheading"/>
      </w:pPr>
      <w:r>
        <w:t>MESURAGE</w:t>
      </w:r>
    </w:p>
    <w:p w14:paraId="15EF1008" w14:textId="77777777" w:rsidR="00DB2B68" w:rsidRDefault="00000000">
      <w:pPr>
        <w:pStyle w:val="pheading"/>
      </w:pPr>
      <w:r>
        <w:t>- unité de mesure:</w:t>
      </w:r>
    </w:p>
    <w:p w14:paraId="0F46AFB7" w14:textId="77777777" w:rsidR="00DB2B68" w:rsidRDefault="00000000">
      <w:r>
        <w:rPr>
          <w:rStyle w:val="optioncarChar"/>
        </w:rPr>
        <w:t xml:space="preserve">m² </w:t>
      </w:r>
      <w:r>
        <w:t xml:space="preserve">(par défaut) </w:t>
      </w:r>
      <w:r>
        <w:rPr>
          <w:rStyle w:val="optioncarChar"/>
        </w:rPr>
        <w:t>/ m³</w:t>
      </w:r>
    </w:p>
    <w:p w14:paraId="25CFCAC9" w14:textId="77777777" w:rsidR="00DB2B68" w:rsidRDefault="00000000">
      <w:r>
        <w:rPr>
          <w:b/>
          <w:i/>
        </w:rPr>
        <w:t>(soit par défaut)</w:t>
      </w:r>
    </w:p>
    <w:p w14:paraId="2FA3498D" w14:textId="77777777" w:rsidR="00DB2B68" w:rsidRDefault="00000000">
      <w:r>
        <w:rPr>
          <w:rStyle w:val="soitChar"/>
        </w:rPr>
        <w:t>1. m²</w:t>
      </w:r>
    </w:p>
    <w:p w14:paraId="26497978" w14:textId="77777777" w:rsidR="00DB2B68" w:rsidRDefault="00000000">
      <w:r>
        <w:rPr>
          <w:b/>
          <w:i/>
        </w:rPr>
        <w:lastRenderedPageBreak/>
        <w:t>(soit)</w:t>
      </w:r>
    </w:p>
    <w:p w14:paraId="6BC5C2DD" w14:textId="77777777" w:rsidR="00DB2B68" w:rsidRDefault="00000000">
      <w:r>
        <w:rPr>
          <w:rStyle w:val="soitChar"/>
        </w:rPr>
        <w:t>2. m³</w:t>
      </w:r>
    </w:p>
    <w:p w14:paraId="1CD1830F" w14:textId="77777777" w:rsidR="00DB2B68" w:rsidRDefault="00000000">
      <w:pPr>
        <w:pStyle w:val="pheading"/>
      </w:pPr>
      <w:r>
        <w:t>- code de mesurage:</w:t>
      </w:r>
    </w:p>
    <w:p w14:paraId="2C9DAA25" w14:textId="77777777" w:rsidR="00DB2B68" w:rsidRDefault="00000000">
      <w:r>
        <w:rPr>
          <w:rStyle w:val="optioncarChar"/>
        </w:rPr>
        <w:t xml:space="preserve">Surface nette </w:t>
      </w:r>
      <w:r>
        <w:t>(par défaut)</w:t>
      </w:r>
      <w:r>
        <w:rPr>
          <w:rStyle w:val="optioncarChar"/>
        </w:rPr>
        <w:t xml:space="preserve"> / volume</w:t>
      </w:r>
    </w:p>
    <w:p w14:paraId="37952329" w14:textId="77777777" w:rsidR="00DB2B68" w:rsidRDefault="00000000">
      <w:r>
        <w:rPr>
          <w:b/>
          <w:i/>
        </w:rPr>
        <w:t>(Soit par défaut) </w:t>
      </w:r>
    </w:p>
    <w:p w14:paraId="6F72ADF0" w14:textId="77777777" w:rsidR="00DB2B68" w:rsidRDefault="00000000">
      <w:r>
        <w:rPr>
          <w:rStyle w:val="soitChar"/>
          <w:u w:val="single"/>
        </w:rPr>
        <w:t>1. La surface nette</w:t>
      </w:r>
      <w:r>
        <w:rPr>
          <w:rStyle w:val="soitChar"/>
        </w:rPr>
        <w:t xml:space="preserve"> apparente des éléments</w:t>
      </w:r>
    </w:p>
    <w:p w14:paraId="1D87CC6C" w14:textId="77777777" w:rsidR="00DB2B68" w:rsidRDefault="00000000">
      <w:r>
        <w:rPr>
          <w:b/>
          <w:i/>
        </w:rPr>
        <w:t>(Soit) </w:t>
      </w:r>
    </w:p>
    <w:p w14:paraId="7DBA0500" w14:textId="77777777" w:rsidR="00DB2B68" w:rsidRDefault="00000000">
      <w:pPr>
        <w:jc w:val="both"/>
      </w:pPr>
      <w:r>
        <w:rPr>
          <w:rStyle w:val="soitChar"/>
          <w:u w:val="single"/>
        </w:rPr>
        <w:t>2. Le volume</w:t>
      </w:r>
      <w:r>
        <w:rPr>
          <w:rStyle w:val="soitChar"/>
        </w:rPr>
        <w:t xml:space="preserve"> de béton préfabriqué.</w:t>
      </w:r>
    </w:p>
    <w:p w14:paraId="645ED2EC" w14:textId="77777777" w:rsidR="00DB2B68" w:rsidRDefault="00000000">
      <w:pPr>
        <w:jc w:val="both"/>
      </w:pPr>
      <w:r>
        <w:rPr>
          <w:rStyle w:val="soitChar"/>
        </w:rPr>
        <w:t>Aucune déduction n'est faite pour:</w:t>
      </w:r>
    </w:p>
    <w:p w14:paraId="24CEA6BD" w14:textId="77777777" w:rsidR="00DB2B68" w:rsidRDefault="00000000">
      <w:pPr>
        <w:pStyle w:val="Author-eListParagraph"/>
        <w:numPr>
          <w:ilvl w:val="0"/>
          <w:numId w:val="516"/>
        </w:numPr>
      </w:pPr>
      <w:r>
        <w:rPr>
          <w:rStyle w:val="soitChar"/>
        </w:rPr>
        <w:t>le volume des armatures,</w:t>
      </w:r>
    </w:p>
    <w:p w14:paraId="26DF75EE" w14:textId="77777777" w:rsidR="00DB2B68" w:rsidRDefault="00000000">
      <w:pPr>
        <w:pStyle w:val="Author-eListParagraph"/>
        <w:numPr>
          <w:ilvl w:val="0"/>
          <w:numId w:val="516"/>
        </w:numPr>
      </w:pPr>
      <w:r>
        <w:rPr>
          <w:rStyle w:val="soitChar"/>
        </w:rPr>
        <w:t>les blocs et écarteurs, les fourreaux pour les armatures de précontrainte ;</w:t>
      </w:r>
    </w:p>
    <w:p w14:paraId="65BBFA0F" w14:textId="77777777" w:rsidR="00DB2B68" w:rsidRDefault="00000000">
      <w:pPr>
        <w:pStyle w:val="Author-eListParagraph"/>
        <w:numPr>
          <w:ilvl w:val="0"/>
          <w:numId w:val="516"/>
        </w:numPr>
      </w:pPr>
      <w:r>
        <w:rPr>
          <w:rStyle w:val="soitChar"/>
        </w:rPr>
        <w:t>les pénétrations pour les pattes d’ancrage, les creux, les conduites noyées et les réservations dont le volume est inférieur à 0,05 m3.</w:t>
      </w:r>
    </w:p>
    <w:p w14:paraId="7775000A" w14:textId="77777777" w:rsidR="00DB2B68" w:rsidRDefault="00000000">
      <w:pPr>
        <w:pStyle w:val="Author-eListParagraph"/>
        <w:numPr>
          <w:ilvl w:val="0"/>
          <w:numId w:val="516"/>
        </w:numPr>
      </w:pPr>
      <w:r>
        <w:rPr>
          <w:rStyle w:val="soitChar"/>
        </w:rPr>
        <w:t>les chanfreins et tous les profils dont la section a une superficie inférieure à 20 cm2.</w:t>
      </w:r>
    </w:p>
    <w:p w14:paraId="5E8F83BB" w14:textId="77777777" w:rsidR="00DB2B68" w:rsidRDefault="00000000">
      <w:pPr>
        <w:pStyle w:val="Author-eListParagraph"/>
        <w:numPr>
          <w:ilvl w:val="0"/>
          <w:numId w:val="516"/>
        </w:numPr>
      </w:pPr>
      <w:r>
        <w:rPr>
          <w:rStyle w:val="soitChar"/>
        </w:rPr>
        <w:t>les rainures, encoches et languettes.</w:t>
      </w:r>
    </w:p>
    <w:p w14:paraId="42BD7FC4" w14:textId="77777777" w:rsidR="00DB2B68" w:rsidRDefault="00000000">
      <w:pPr>
        <w:jc w:val="both"/>
      </w:pPr>
      <w:r>
        <w:rPr>
          <w:rStyle w:val="soitChar"/>
        </w:rPr>
        <w:t>Tous les volumes ajoutés relatifs aux éléments saillants sont quant à eux comptabilisés.</w:t>
      </w:r>
    </w:p>
    <w:p w14:paraId="7ADB4C14" w14:textId="77777777" w:rsidR="00DB2B68" w:rsidRDefault="00000000">
      <w:pPr>
        <w:pStyle w:val="pheading"/>
      </w:pPr>
      <w:r>
        <w:t>- nature du marché:</w:t>
      </w:r>
    </w:p>
    <w:p w14:paraId="4A029F37" w14:textId="77777777" w:rsidR="00DB2B68" w:rsidRDefault="00000000">
      <w:r>
        <w:t>QF</w:t>
      </w:r>
    </w:p>
    <w:p w14:paraId="61A2D5DF" w14:textId="77777777" w:rsidR="00DB2B68" w:rsidRDefault="00000000">
      <w:pPr>
        <w:pStyle w:val="Author-eSectionHeading6Numberless"/>
      </w:pPr>
      <w:bookmarkStart w:id="752" w:name="_Toc220495810"/>
      <w:r>
        <w:t>22.16.3e Parois composées d'éléments de murs porteurs en béton cellulaire CCTB 01.04</w:t>
      </w:r>
      <w:bookmarkEnd w:id="752"/>
    </w:p>
    <w:p w14:paraId="3EF3C47F" w14:textId="77777777" w:rsidR="00DB2B68" w:rsidRDefault="00000000">
      <w:pPr>
        <w:pStyle w:val="Author-eSectionHeading6Numberless"/>
      </w:pPr>
      <w:bookmarkStart w:id="753" w:name="_Toc220495811"/>
      <w:r>
        <w:t>22.16.3f Paroi bicouche béton de structure-béton de bois CCTB 01.13</w:t>
      </w:r>
      <w:bookmarkEnd w:id="753"/>
    </w:p>
    <w:p w14:paraId="28C618FA" w14:textId="77777777" w:rsidR="00DB2B68" w:rsidRDefault="00000000">
      <w:pPr>
        <w:pStyle w:val="pheading"/>
      </w:pPr>
      <w:r>
        <w:t>DESCRIPTION</w:t>
      </w:r>
    </w:p>
    <w:p w14:paraId="52B8E451" w14:textId="77777777" w:rsidR="00DB2B68" w:rsidRDefault="00000000">
      <w:pPr>
        <w:pStyle w:val="pheading"/>
      </w:pPr>
      <w:r>
        <w:t>- Définition / Comprend</w:t>
      </w:r>
    </w:p>
    <w:p w14:paraId="1A1BEBCB" w14:textId="77777777" w:rsidR="00DB2B68" w:rsidRDefault="00000000">
      <w:pPr>
        <w:jc w:val="both"/>
      </w:pPr>
      <w:r>
        <w:t>Il s'agit de la fourniture et de la pose de toutes les faces en élévation des parois porteuses bicouches en béton de structure - béton de bois qui sont préfabriquées en usine et assemblées sur chantier aux constructions déjà exécutées.</w:t>
      </w:r>
    </w:p>
    <w:p w14:paraId="3C318198" w14:textId="77777777" w:rsidR="00DB2B68" w:rsidRDefault="00000000">
      <w:pPr>
        <w:pStyle w:val="pheading"/>
      </w:pPr>
      <w:r>
        <w:t>- Localisation</w:t>
      </w:r>
    </w:p>
    <w:p w14:paraId="52457C8F" w14:textId="77777777" w:rsidR="00DB2B68" w:rsidRDefault="00000000">
      <w:r>
        <w:t xml:space="preserve">La pose est réalisée aux endroits suivants : </w:t>
      </w:r>
      <w:r>
        <w:rPr>
          <w:rStyle w:val="optioncarChar"/>
        </w:rPr>
        <w:t>***</w:t>
      </w:r>
      <w:r>
        <w:t>.</w:t>
      </w:r>
    </w:p>
    <w:p w14:paraId="4EC859B5" w14:textId="77777777" w:rsidR="00DB2B68" w:rsidRDefault="00000000">
      <w:r>
        <w:t>Voir plans et métrés détaillés.</w:t>
      </w:r>
    </w:p>
    <w:p w14:paraId="772653D6" w14:textId="77777777" w:rsidR="00DB2B68" w:rsidRDefault="00000000">
      <w:pPr>
        <w:pStyle w:val="pheading"/>
      </w:pPr>
      <w:r>
        <w:t>MATÉRIAUX</w:t>
      </w:r>
    </w:p>
    <w:p w14:paraId="146B25D7" w14:textId="77777777" w:rsidR="00DB2B68" w:rsidRDefault="00000000">
      <w:pPr>
        <w:pStyle w:val="pheading"/>
      </w:pPr>
      <w:r>
        <w:t>- Caractéristiques générales</w:t>
      </w:r>
    </w:p>
    <w:p w14:paraId="6D976E90" w14:textId="77777777" w:rsidR="00DB2B68" w:rsidRDefault="00000000">
      <w:pPr>
        <w:jc w:val="both"/>
      </w:pPr>
      <w:r>
        <w:rPr>
          <w:b/>
        </w:rPr>
        <w:t>Partie porteuse intérieure</w:t>
      </w:r>
    </w:p>
    <w:p w14:paraId="657972C3" w14:textId="77777777" w:rsidR="00DB2B68" w:rsidRDefault="00000000">
      <w:pPr>
        <w:jc w:val="both"/>
      </w:pPr>
      <w:r>
        <w:t>Il s’agit d’éléments de béton armé conformes aux normes [NBN EN 14992+A1] et [NBN B 21-612] recevant un isolant en béton de bois. </w:t>
      </w:r>
    </w:p>
    <w:p w14:paraId="7F3484C5" w14:textId="77777777" w:rsidR="00DB2B68" w:rsidRDefault="00000000">
      <w:pPr>
        <w:jc w:val="both"/>
      </w:pPr>
      <w:r>
        <w:t xml:space="preserve">La classe de résistance du béton de la paroi porteuse est  </w:t>
      </w:r>
      <w:r>
        <w:rPr>
          <w:rStyle w:val="optioncarChar"/>
        </w:rPr>
        <w:t>C25/30 </w:t>
      </w:r>
      <w:r>
        <w:t xml:space="preserve">(par défaut) </w:t>
      </w:r>
      <w:r>
        <w:rPr>
          <w:rStyle w:val="optioncarChar"/>
        </w:rPr>
        <w:t>/ ***</w:t>
      </w:r>
      <w:r>
        <w:t>.</w:t>
      </w:r>
    </w:p>
    <w:p w14:paraId="1CD662EB" w14:textId="77777777" w:rsidR="00DB2B68" w:rsidRDefault="00000000">
      <w:pPr>
        <w:jc w:val="both"/>
      </w:pPr>
      <w:r>
        <w:t>Les parois préfabriquées en béton doublé de béton de bois doivent satisfaire aux normes relatives aux parois préfabriquées [NBN EN 14992+A1] et [NBN B 21-612].</w:t>
      </w:r>
    </w:p>
    <w:p w14:paraId="679D93D5" w14:textId="77777777" w:rsidR="00DB2B68" w:rsidRDefault="00000000">
      <w:pPr>
        <w:pStyle w:val="Author-eListParagraph"/>
        <w:numPr>
          <w:ilvl w:val="0"/>
          <w:numId w:val="517"/>
        </w:numPr>
      </w:pPr>
      <w:r>
        <w:t>Qualité du béton selon la [NBN EN 206:2013+A2] et la [NBN B 15-001].</w:t>
      </w:r>
    </w:p>
    <w:p w14:paraId="233D30A4" w14:textId="77777777" w:rsidR="00DB2B68" w:rsidRDefault="00000000">
      <w:pPr>
        <w:pStyle w:val="Author-eListParagraph"/>
        <w:numPr>
          <w:ilvl w:val="0"/>
          <w:numId w:val="517"/>
        </w:numPr>
      </w:pPr>
      <w:r>
        <w:t>Les enrobages sont conformes aux normes [NBN EN 13369] et [NBN B 21-600].</w:t>
      </w:r>
    </w:p>
    <w:p w14:paraId="7D7FCA62" w14:textId="77777777" w:rsidR="00DB2B68" w:rsidRDefault="00000000">
      <w:pPr>
        <w:pStyle w:val="Author-eListParagraph"/>
        <w:numPr>
          <w:ilvl w:val="0"/>
          <w:numId w:val="517"/>
        </w:numPr>
      </w:pPr>
      <w:r>
        <w:t>Les armatures sont conformes aux séries [NBN A 24-3xx série] dans le cas du béton armé.</w:t>
      </w:r>
    </w:p>
    <w:p w14:paraId="2A840465" w14:textId="77777777" w:rsidR="00DB2B68" w:rsidRDefault="00000000">
      <w:pPr>
        <w:pStyle w:val="Author-eListParagraph"/>
        <w:numPr>
          <w:ilvl w:val="0"/>
          <w:numId w:val="517"/>
        </w:numPr>
      </w:pPr>
      <w:r>
        <w:t>Les armatures sont conformes aux [NBN I 10-001], [NBN I 10-002], [NBN I 10-003] dans le cas du béton précontraint.</w:t>
      </w:r>
    </w:p>
    <w:p w14:paraId="25A954A9" w14:textId="77777777" w:rsidR="00DB2B68" w:rsidRDefault="00000000">
      <w:pPr>
        <w:jc w:val="both"/>
      </w:pPr>
      <w:r>
        <w:rPr>
          <w:u w:val="single"/>
        </w:rPr>
        <w:lastRenderedPageBreak/>
        <w:t>Résistance au feu des parois</w:t>
      </w:r>
    </w:p>
    <w:p w14:paraId="6C21932F" w14:textId="77777777" w:rsidR="00DB2B68" w:rsidRDefault="00000000">
      <w:pPr>
        <w:jc w:val="both"/>
      </w:pPr>
      <w:r>
        <w:t>Résistance au feu suivant la déclaration de performance (DoP) selon la [NBN EN 14992+A1] et [NBN B 21-612].</w:t>
      </w:r>
    </w:p>
    <w:p w14:paraId="5F187054" w14:textId="77777777" w:rsidR="00DB2B68" w:rsidRDefault="00000000">
      <w:pPr>
        <w:jc w:val="both"/>
      </w:pPr>
      <w:r>
        <w:t>Si la résistance au feu n’est pas déclarée sous marquage CE, elle est démontrée par test au feu selon la [NBN EN 13501-2] ou par calcul selon les Eurocodes conformément à l’[AM 2013-05-17]</w:t>
      </w:r>
    </w:p>
    <w:p w14:paraId="479A22E7" w14:textId="77777777" w:rsidR="00DB2B68" w:rsidRDefault="00000000">
      <w:pPr>
        <w:pStyle w:val="Author-eListParagraph"/>
        <w:numPr>
          <w:ilvl w:val="0"/>
          <w:numId w:val="518"/>
        </w:numPr>
      </w:pPr>
      <w:r>
        <w:t xml:space="preserve">pour les éléments porteurs sans fonction séparante (compartimentage) : </w:t>
      </w:r>
      <w:r>
        <w:br/>
      </w:r>
      <w:r>
        <w:rPr>
          <w:rStyle w:val="optioncarChar"/>
        </w:rPr>
        <w:t>R15 / R30 </w:t>
      </w:r>
      <w:r>
        <w:t>(par défaut)</w:t>
      </w:r>
      <w:r>
        <w:rPr>
          <w:rStyle w:val="optioncarChar"/>
        </w:rPr>
        <w:t xml:space="preserve"> / R60 / R ***</w:t>
      </w:r>
    </w:p>
    <w:p w14:paraId="7F39D054" w14:textId="77777777" w:rsidR="00DB2B68" w:rsidRDefault="00000000">
      <w:pPr>
        <w:pStyle w:val="Author-eListParagraph"/>
        <w:numPr>
          <w:ilvl w:val="0"/>
          <w:numId w:val="518"/>
        </w:numPr>
      </w:pPr>
      <w:r>
        <w:t xml:space="preserve">pour les éléments porteurs avec fonction séparante (compartimentage) : </w:t>
      </w:r>
      <w:r>
        <w:br/>
      </w:r>
      <w:r>
        <w:rPr>
          <w:rStyle w:val="optioncarChar"/>
        </w:rPr>
        <w:t>REI 30 </w:t>
      </w:r>
      <w:r>
        <w:t>(par défaut)</w:t>
      </w:r>
      <w:r>
        <w:rPr>
          <w:rStyle w:val="optioncarChar"/>
        </w:rPr>
        <w:t xml:space="preserve"> / REI 60 / REI *** </w:t>
      </w:r>
    </w:p>
    <w:p w14:paraId="67FA339A" w14:textId="77777777" w:rsidR="00DB2B68" w:rsidRDefault="00000000">
      <w:pPr>
        <w:jc w:val="both"/>
      </w:pPr>
      <w:r>
        <w:t> </w:t>
      </w:r>
      <w:r>
        <w:rPr>
          <w:b/>
        </w:rPr>
        <w:t>Partie non porteuse extérieure</w:t>
      </w:r>
      <w:r>
        <w:t>     </w:t>
      </w:r>
    </w:p>
    <w:p w14:paraId="049A9C5A" w14:textId="77777777" w:rsidR="00DB2B68" w:rsidRDefault="00000000">
      <w:pPr>
        <w:jc w:val="both"/>
      </w:pPr>
      <w:r>
        <w:t>Matériau d’isolation constitué de copeau de bois minéralisé et agrégé. Les copeaux de bois qui servent d’agrégats pour le béton sont des copeaux de granulométries différentes. Ils répondent à la définition de copeaux de bois du §3.1 de la norme [NBN EN 12779]. Le matériau est conforme à la [NBN EN 14474].  </w:t>
      </w:r>
    </w:p>
    <w:p w14:paraId="3A6CD068" w14:textId="77777777" w:rsidR="00DB2B68" w:rsidRDefault="00000000">
      <w:pPr>
        <w:jc w:val="both"/>
      </w:pPr>
      <w:r>
        <w:t>Pour les parois utilisées comme éléments de l’enveloppe extérieure d’un ouvrage en contact avec les terres, l’isolant utilisé sera peu sensible à l’humidité.</w:t>
      </w:r>
    </w:p>
    <w:p w14:paraId="7B8409F5" w14:textId="77777777" w:rsidR="00DB2B68" w:rsidRDefault="00000000">
      <w:pPr>
        <w:jc w:val="both"/>
      </w:pPr>
      <w:r>
        <w:t>La continuité de l’isolation et de l’étanchéité à l’air est assurée conformément au [DRW 2013-11-28] tout en veillant à l’esthétique des finitions prévues.</w:t>
      </w:r>
    </w:p>
    <w:p w14:paraId="137EF697" w14:textId="77777777" w:rsidR="00DB2B68" w:rsidRDefault="00000000">
      <w:pPr>
        <w:jc w:val="both"/>
      </w:pPr>
      <w:r>
        <w:t>La réaction au feu est déterminée conformément à la [NBN EN 14474] c.à.d. conformément à la [NBN EN 13823], la classification étant effectuée conformément à la [NBN EN 13501-1]. le matériau doit répondre au minimum au classement B,s1 d0.</w:t>
      </w:r>
    </w:p>
    <w:p w14:paraId="08C6B8A1" w14:textId="77777777" w:rsidR="00DB2B68" w:rsidRDefault="00000000">
      <w:pPr>
        <w:jc w:val="both"/>
      </w:pPr>
      <w:r>
        <w:t> </w:t>
      </w:r>
    </w:p>
    <w:p w14:paraId="4AA5ADB0" w14:textId="77777777" w:rsidR="00DB2B68" w:rsidRDefault="00000000">
      <w:pPr>
        <w:jc w:val="both"/>
      </w:pPr>
      <w:r>
        <w:t>Les joints assurent la continuité thermique de l’isolant.</w:t>
      </w:r>
    </w:p>
    <w:p w14:paraId="5105116D" w14:textId="77777777" w:rsidR="00DB2B68" w:rsidRDefault="00000000">
      <w:pPr>
        <w:jc w:val="both"/>
      </w:pPr>
      <w:r>
        <w:t> </w:t>
      </w:r>
    </w:p>
    <w:p w14:paraId="4A7A704B" w14:textId="77777777" w:rsidR="00DB2B68" w:rsidRDefault="00000000">
      <w:pPr>
        <w:jc w:val="both"/>
      </w:pPr>
      <w:r>
        <w:t>Epaisseur des parois:</w:t>
      </w:r>
    </w:p>
    <w:p w14:paraId="5632C416" w14:textId="77777777" w:rsidR="00DB2B68" w:rsidRDefault="00000000">
      <w:pPr>
        <w:jc w:val="both"/>
      </w:pPr>
      <w:r>
        <w:t xml:space="preserve">Paroi intérieure béton structurel : </w:t>
      </w:r>
      <w:r>
        <w:rPr>
          <w:rStyle w:val="optioncarChar"/>
        </w:rPr>
        <w:t>variable</w:t>
      </w:r>
      <w:r>
        <w:t>(par défaut)</w:t>
      </w:r>
      <w:r>
        <w:rPr>
          <w:rStyle w:val="optioncarChar"/>
        </w:rPr>
        <w:t xml:space="preserve"> / 8 / 9 / 10 / ***</w:t>
      </w:r>
      <w:r>
        <w:t xml:space="preserve"> cm suivant étude et plans d’exécution</w:t>
      </w:r>
    </w:p>
    <w:p w14:paraId="74996DD6" w14:textId="77777777" w:rsidR="00DB2B68" w:rsidRDefault="00000000">
      <w:pPr>
        <w:jc w:val="both"/>
      </w:pPr>
      <w:r>
        <w:t xml:space="preserve">Paroi extérieure béton de bois : </w:t>
      </w:r>
      <w:r>
        <w:rPr>
          <w:rStyle w:val="optioncarChar"/>
        </w:rPr>
        <w:t>15 </w:t>
      </w:r>
      <w:r>
        <w:t>(par défaut) </w:t>
      </w:r>
      <w:r>
        <w:rPr>
          <w:rStyle w:val="optioncarChar"/>
        </w:rPr>
        <w:t>/ 16 / 17 / 18 / ***</w:t>
      </w:r>
      <w:r>
        <w:t xml:space="preserve"> cm suivant étude PEB et plans d’exécution </w:t>
      </w:r>
    </w:p>
    <w:p w14:paraId="3D178F85" w14:textId="77777777" w:rsidR="00DB2B68" w:rsidRDefault="00000000">
      <w:pPr>
        <w:jc w:val="both"/>
      </w:pPr>
      <w:r>
        <w:t>Les matériaux utilisés sont conformes à la [NBN EN 13369] et à la [NBN B 21-600].</w:t>
      </w:r>
    </w:p>
    <w:p w14:paraId="4BE9C6FE" w14:textId="77777777" w:rsidR="00DB2B68" w:rsidRDefault="00000000">
      <w:pPr>
        <w:jc w:val="both"/>
      </w:pPr>
      <w:r>
        <w:t xml:space="preserve">Valeur de λ de l’isolant doit </w:t>
      </w:r>
      <w:r>
        <w:rPr>
          <w:rStyle w:val="optioncarChar"/>
        </w:rPr>
        <w:t>répondre à l’étude de performance énergétique </w:t>
      </w:r>
      <w:r>
        <w:t>(par défaut)</w:t>
      </w:r>
      <w:r>
        <w:rPr>
          <w:rStyle w:val="optioncarChar"/>
        </w:rPr>
        <w:t xml:space="preserve"> / être ≤ ***</w:t>
      </w:r>
      <w:r>
        <w:t> W/ mK</w:t>
      </w:r>
    </w:p>
    <w:p w14:paraId="6283EAC5" w14:textId="77777777" w:rsidR="00DB2B68" w:rsidRDefault="00000000">
      <w:pPr>
        <w:ind w:left="750"/>
      </w:pPr>
      <w:r>
        <w:t> </w:t>
      </w:r>
    </w:p>
    <w:p w14:paraId="79D26200" w14:textId="77777777" w:rsidR="00DB2B68" w:rsidRDefault="00000000">
      <w:pPr>
        <w:pStyle w:val="pheading"/>
      </w:pPr>
      <w:r>
        <w:t>- Finitions</w:t>
      </w:r>
    </w:p>
    <w:p w14:paraId="1706A36C" w14:textId="77777777" w:rsidR="00DB2B68" w:rsidRDefault="00000000">
      <w:pPr>
        <w:jc w:val="both"/>
      </w:pPr>
      <w:r>
        <w:t>La structure porteuse n’est pas apparente : apparence brute afin de recevoir une finition.</w:t>
      </w:r>
    </w:p>
    <w:p w14:paraId="74B81ECD" w14:textId="77777777" w:rsidR="00DB2B68" w:rsidRDefault="00000000">
      <w:pPr>
        <w:pStyle w:val="pheading"/>
      </w:pPr>
      <w:r>
        <w:t>EXÉCUTION / MISE EN ŒUVRE</w:t>
      </w:r>
    </w:p>
    <w:p w14:paraId="5682A3FE" w14:textId="77777777" w:rsidR="00DB2B68" w:rsidRDefault="00000000">
      <w:pPr>
        <w:pStyle w:val="pheading"/>
      </w:pPr>
      <w:r>
        <w:t>- Prescriptions générales</w:t>
      </w:r>
    </w:p>
    <w:p w14:paraId="6CDA3B7C" w14:textId="77777777" w:rsidR="00DB2B68" w:rsidRDefault="00000000">
      <w:r>
        <w:t>L’étude et les plans d’exécution </w:t>
      </w:r>
      <w:r>
        <w:rPr>
          <w:rStyle w:val="optioncarChar"/>
        </w:rPr>
        <w:t>sont / ne sont</w:t>
      </w:r>
      <w:r>
        <w:t xml:space="preserve"> pas à charge de l’entreprise.</w:t>
      </w:r>
    </w:p>
    <w:p w14:paraId="0B28F9B0" w14:textId="77777777" w:rsidR="00DB2B68" w:rsidRDefault="00000000">
      <w:pPr>
        <w:jc w:val="both"/>
      </w:pPr>
      <w:r>
        <w:t>L’étude de stabilité est réalisée conformément aux normes [NBN EN 1990], [NBN EN 1991-1-1], [NBN EN 1991-1-2], [NBN EN 1991-1-3], [NBN EN 1991-1-4], [NBN EN 1991-1-5], [NBN EN 1991-1-6], [NBN EN 1991-1-7], [NBN EN 1992-1-1] et [NBN EN 1992-1-2].</w:t>
      </w:r>
    </w:p>
    <w:p w14:paraId="3DFF8F4F" w14:textId="77777777" w:rsidR="00DB2B68" w:rsidRDefault="00000000">
      <w:pPr>
        <w:jc w:val="both"/>
      </w:pPr>
      <w:r>
        <w:t>La série complète des plans d’exécution et de détails sont établis et soumis à l’approbation de l’architecte et/ou du maître d’ouvrage.</w:t>
      </w:r>
    </w:p>
    <w:p w14:paraId="10299049" w14:textId="77777777" w:rsidR="00DB2B68" w:rsidRDefault="00000000">
      <w:r>
        <w:t>Les parois sont fabriquées dans les dimensions indiquées sur les plans d’exécution approuvés.</w:t>
      </w:r>
    </w:p>
    <w:p w14:paraId="2590F80B" w14:textId="77777777" w:rsidR="00DB2B68" w:rsidRDefault="00000000">
      <w:pPr>
        <w:jc w:val="both"/>
      </w:pPr>
      <w:r>
        <w:lastRenderedPageBreak/>
        <w:t xml:space="preserve">Les tolérances maximales (reprises au plan) sont conformes à [NBN EN 14992+A1] et [NBN B 21-612] : </w:t>
      </w:r>
      <w:r>
        <w:rPr>
          <w:rStyle w:val="optioncarChar"/>
        </w:rPr>
        <w:t>classe A / classe B.</w:t>
      </w:r>
    </w:p>
    <w:p w14:paraId="45888853" w14:textId="77777777" w:rsidR="00DB2B68" w:rsidRDefault="00000000">
      <w:pPr>
        <w:jc w:val="both"/>
      </w:pPr>
      <w:r>
        <w:t> </w:t>
      </w:r>
    </w:p>
    <w:p w14:paraId="21E2B930" w14:textId="77777777" w:rsidR="00DB2B68" w:rsidRDefault="00000000">
      <w:pPr>
        <w:jc w:val="both"/>
      </w:pPr>
      <w:r>
        <w:t>Le matériel utilisé pour le montage doit répondre aux exigences de sécurité et l’entreprise, chargée du montage, doit disposer de toutes les agrégations nécessaires. </w:t>
      </w:r>
    </w:p>
    <w:p w14:paraId="11E72288" w14:textId="77777777" w:rsidR="00DB2B68" w:rsidRDefault="00000000">
      <w:pPr>
        <w:jc w:val="both"/>
      </w:pPr>
      <w:r>
        <w:t>Le déchargement sur le chantier s’effectue avec une grue qui convient pour ce travail. Le poids maximal de l’élément est marqué sur l’étiquette.</w:t>
      </w:r>
    </w:p>
    <w:p w14:paraId="6B2488CE" w14:textId="77777777" w:rsidR="00DB2B68" w:rsidRDefault="00000000">
      <w:pPr>
        <w:jc w:val="both"/>
      </w:pPr>
      <w:r>
        <w:t>La manipulation des murs sur le chantier s’effectue conformément aux consignes de sécurité en vigueur.</w:t>
      </w:r>
    </w:p>
    <w:p w14:paraId="73A13906" w14:textId="77777777" w:rsidR="00DB2B68" w:rsidRDefault="00000000">
      <w:pPr>
        <w:jc w:val="both"/>
      </w:pPr>
      <w:r>
        <w:t>La dalle de pose doit être parfaitement plane et horizontale (tolérance maximale de 5 mm/5 m).</w:t>
      </w:r>
    </w:p>
    <w:p w14:paraId="0B15947E" w14:textId="77777777" w:rsidR="00DB2B68" w:rsidRDefault="00000000">
      <w:pPr>
        <w:jc w:val="both"/>
      </w:pPr>
      <w:r>
        <w:t>Si la dalle n’est pas bien plane et horizontale, des cales sont mises pour garantir l’horizontalité des murs. Par mur, il y a au moins deux supports à niveler. Entre les cales vient une couche de mortier. Ce mortier est conforme à la [NBN EN 998-2]. Il est de la classe M15, sauf indications contraires du bureau d’étude.</w:t>
      </w:r>
    </w:p>
    <w:p w14:paraId="55EE5C3F" w14:textId="77777777" w:rsidR="00DB2B68" w:rsidRDefault="00000000">
      <w:pPr>
        <w:jc w:val="both"/>
      </w:pPr>
      <w:r>
        <w:t>Lors de la pose de panneaux de grandes longueurs, équipés de grandes ouvertures, il y a lieu de prévoir une cale à l’aplomb de chaque montant.</w:t>
      </w:r>
    </w:p>
    <w:p w14:paraId="3455B8C0" w14:textId="77777777" w:rsidR="00DB2B68" w:rsidRDefault="00000000">
      <w:pPr>
        <w:jc w:val="both"/>
      </w:pPr>
      <w:r>
        <w:t>L’arrimage au sol se fait au moyen d’équerres en acier galvanisé à chaud ou en acier inox fixées dans les fondations et sur la structure panneau.</w:t>
      </w:r>
    </w:p>
    <w:p w14:paraId="579D6BC0" w14:textId="77777777" w:rsidR="00DB2B68" w:rsidRDefault="00000000">
      <w:pPr>
        <w:jc w:val="both"/>
      </w:pPr>
      <w:r>
        <w:t>Le nombre d’équerres à positionner est fonction de la longueur des panneaux et des positions de baies de fenêtres et de portes. Ils sont indiqués sur les plans du d’exécution.</w:t>
      </w:r>
    </w:p>
    <w:p w14:paraId="4D3B81F6" w14:textId="77777777" w:rsidR="00DB2B68" w:rsidRDefault="00000000">
      <w:pPr>
        <w:jc w:val="both"/>
      </w:pPr>
      <w:r>
        <w:t>L’assemblage des angles se fait conformément aux détails du fabricant ou de l’ingénieur.</w:t>
      </w:r>
    </w:p>
    <w:p w14:paraId="7EF592B4" w14:textId="77777777" w:rsidR="00DB2B68" w:rsidRDefault="00000000">
      <w:pPr>
        <w:pStyle w:val="pheading"/>
      </w:pPr>
      <w:r>
        <w:t>- Échantillons</w:t>
      </w:r>
    </w:p>
    <w:p w14:paraId="2E0A0984" w14:textId="77777777" w:rsidR="00DB2B68" w:rsidRDefault="00000000">
      <w:pPr>
        <w:jc w:val="both"/>
      </w:pPr>
      <w:r>
        <w:rPr>
          <w:rStyle w:val="optioncarChar"/>
        </w:rPr>
        <w:t>Pas d’échantillon / Le béton préfabriqué intérieur est apparent : le soumissionnaire présente un échantillon à échelle réelle dans l’usine.</w:t>
      </w:r>
    </w:p>
    <w:p w14:paraId="521BC5D3" w14:textId="77777777" w:rsidR="00DB2B68" w:rsidRDefault="00000000">
      <w:pPr>
        <w:pStyle w:val="pheading"/>
      </w:pPr>
      <w:r>
        <w:t>DOCUMENTS DE RÉFÉRENCE COMPLÉMENTAIRES</w:t>
      </w:r>
    </w:p>
    <w:p w14:paraId="0E810453" w14:textId="77777777" w:rsidR="00DB2B68" w:rsidRDefault="00000000">
      <w:pPr>
        <w:pStyle w:val="pheading"/>
      </w:pPr>
      <w:r>
        <w:t>- Matériau</w:t>
      </w:r>
    </w:p>
    <w:p w14:paraId="068FA15F" w14:textId="77777777" w:rsidR="00DB2B68" w:rsidRDefault="00000000">
      <w:r>
        <w:t>[NBN EN 14474, Produits préfabriqués en béton - Béton utilisant des copeaux de bois comme granulat - Exigences et méthodes d'essai]</w:t>
      </w:r>
    </w:p>
    <w:p w14:paraId="4F2E7C59" w14:textId="77777777" w:rsidR="00DB2B68" w:rsidRDefault="00000000">
      <w:r>
        <w:t>[NBN EN 14992+A1, Produits préfabriqués en béton - Eléments de mur]</w:t>
      </w:r>
    </w:p>
    <w:p w14:paraId="45653D12" w14:textId="77777777" w:rsidR="00DB2B68" w:rsidRDefault="00000000">
      <w:r>
        <w:t>[NBN B 21-612, Produits préfabriqués en béton - Eléments de mur - Norme d'application nationale à la NBN EN 14992+A1:2012]</w:t>
      </w:r>
    </w:p>
    <w:p w14:paraId="57E4B41A" w14:textId="77777777" w:rsidR="00DB2B68" w:rsidRDefault="00000000">
      <w:r>
        <w:t>[DRW 2013-11-28, Décret relatif à la performance énergétique des bâtiments (Décret PEB)]</w:t>
      </w:r>
    </w:p>
    <w:p w14:paraId="7BDE3E1B" w14:textId="77777777" w:rsidR="00DB2B68" w:rsidRDefault="00000000">
      <w:r>
        <w:t>[NBN EN 206:2013+A2, Béton - Spécification, performances, production et conformité]</w:t>
      </w:r>
    </w:p>
    <w:p w14:paraId="18018AE5" w14:textId="77777777" w:rsidR="00DB2B68" w:rsidRDefault="00000000">
      <w:r>
        <w:t>[NBN B 15-001, Béton - Spécification, performances, production et conformité - Complément national à la NBN EN 206:2013+A2:2021]</w:t>
      </w:r>
    </w:p>
    <w:p w14:paraId="0E3A3B0D" w14:textId="77777777" w:rsidR="00DB2B68" w:rsidRDefault="00000000">
      <w:r>
        <w:t>[NBN A 24-3xx série, Produits sidérurgiques - Aciers pour béton armé]</w:t>
      </w:r>
    </w:p>
    <w:p w14:paraId="6AF81C9D" w14:textId="77777777" w:rsidR="00DB2B68" w:rsidRDefault="00000000">
      <w:r>
        <w:t>[NBN I 10-001, Aciers de précontrainte - Fils, torons et barres - Généralités et prescriptions communes]</w:t>
      </w:r>
    </w:p>
    <w:p w14:paraId="4B6EAA65" w14:textId="77777777" w:rsidR="00DB2B68" w:rsidRDefault="00000000">
      <w:r>
        <w:t>[NBN I 10-002, Aciers de précontrainte - Fils tréfilés]</w:t>
      </w:r>
    </w:p>
    <w:p w14:paraId="6F8BCC2A" w14:textId="77777777" w:rsidR="00DB2B68" w:rsidRDefault="00000000">
      <w:r>
        <w:t>[NBN I 10-003, Aciers de précontrainte - Torons (avec erratum)]</w:t>
      </w:r>
    </w:p>
    <w:p w14:paraId="6124618A" w14:textId="77777777" w:rsidR="00DB2B68" w:rsidRDefault="00000000">
      <w:r>
        <w:t>[NBN EN 13369, Règles communes pour les produits préfabriqués en béton]</w:t>
      </w:r>
    </w:p>
    <w:p w14:paraId="4BBED5C1" w14:textId="77777777" w:rsidR="00DB2B68" w:rsidRDefault="00000000">
      <w:r>
        <w:t>[NBN EN 12779, Sécurité des machines pour le travail du bois - Installations fixes d'extraction de copeaux et de poussières - Prescriptions de sécurité]</w:t>
      </w:r>
    </w:p>
    <w:p w14:paraId="731B3928" w14:textId="77777777" w:rsidR="00DB2B68" w:rsidRDefault="00000000">
      <w:r>
        <w:lastRenderedPageBreak/>
        <w:t>[NBN EN 998-2, Définitions et spécifications des mortiers pour maçonnerie - Partie 2: Mortiers de montage des éléments de maçonnerie]</w:t>
      </w:r>
    </w:p>
    <w:p w14:paraId="766CB0E2" w14:textId="77777777" w:rsidR="00DB2B68" w:rsidRDefault="00000000">
      <w:pPr>
        <w:ind w:left="750"/>
      </w:pPr>
      <w:r>
        <w:t> </w:t>
      </w:r>
    </w:p>
    <w:p w14:paraId="42CAC9F5" w14:textId="77777777" w:rsidR="00DB2B68" w:rsidRDefault="00000000">
      <w:pPr>
        <w:pStyle w:val="pheading"/>
      </w:pPr>
      <w:r>
        <w:t>- Exécution</w:t>
      </w:r>
    </w:p>
    <w:p w14:paraId="78B29F95" w14:textId="77777777" w:rsidR="00DB2B68" w:rsidRDefault="00000000">
      <w:r>
        <w:t>[NIT 247, Conception et exécution des ouvrages étanches en béton]</w:t>
      </w:r>
    </w:p>
    <w:p w14:paraId="77A10053" w14:textId="77777777" w:rsidR="00DB2B68" w:rsidRDefault="00000000">
      <w:r>
        <w:t>[NIT 250, Détails de référence pour les constructions enterrées]</w:t>
      </w:r>
    </w:p>
    <w:p w14:paraId="76967140" w14:textId="77777777" w:rsidR="00DB2B68" w:rsidRDefault="00000000">
      <w:r>
        <w:t>[NBN EN 13670, Exécution des structures en béton]</w:t>
      </w:r>
    </w:p>
    <w:p w14:paraId="0483A342" w14:textId="77777777" w:rsidR="00DB2B68" w:rsidRDefault="00000000">
      <w:r>
        <w:t>[NBN B 15-400, Exécution des structures en béton - Supplément national à la NBN EN 13670:2010]</w:t>
      </w:r>
    </w:p>
    <w:p w14:paraId="491AC9F5" w14:textId="77777777" w:rsidR="00DB2B68" w:rsidRDefault="00000000">
      <w:r>
        <w:t>[Buildwise Méthode de dimensionnement Rapport 10, Sécurité et mise en oeuvre d'éléments préfabriqués en béton]</w:t>
      </w:r>
    </w:p>
    <w:p w14:paraId="23C29193" w14:textId="77777777" w:rsidR="00DB2B68" w:rsidRDefault="00000000">
      <w:pPr>
        <w:pStyle w:val="pheading"/>
      </w:pPr>
      <w:r>
        <w:t>MESURAGE</w:t>
      </w:r>
    </w:p>
    <w:p w14:paraId="7A577882" w14:textId="77777777" w:rsidR="00DB2B68" w:rsidRDefault="00000000">
      <w:pPr>
        <w:pStyle w:val="pheading"/>
      </w:pPr>
      <w:r>
        <w:t>- unité de mesure:</w:t>
      </w:r>
    </w:p>
    <w:p w14:paraId="08B717B4" w14:textId="77777777" w:rsidR="00DB2B68" w:rsidRDefault="00000000">
      <w:r>
        <w:t>m²</w:t>
      </w:r>
    </w:p>
    <w:p w14:paraId="73150D42" w14:textId="77777777" w:rsidR="00DB2B68" w:rsidRDefault="00000000">
      <w:pPr>
        <w:pStyle w:val="pheading"/>
      </w:pPr>
      <w:r>
        <w:t>- code de mesurage:</w:t>
      </w:r>
    </w:p>
    <w:p w14:paraId="09AA9803" w14:textId="77777777" w:rsidR="00DB2B68" w:rsidRDefault="00000000">
      <w:r>
        <w:t>Surface nette apparente des éléments ventilés suivant le type et l’épaisseur.</w:t>
      </w:r>
    </w:p>
    <w:p w14:paraId="70966874" w14:textId="77777777" w:rsidR="00DB2B68" w:rsidRDefault="00000000">
      <w:pPr>
        <w:pStyle w:val="pheading"/>
      </w:pPr>
      <w:r>
        <w:t>- nature du marché:</w:t>
      </w:r>
    </w:p>
    <w:p w14:paraId="55322147" w14:textId="77777777" w:rsidR="00DB2B68" w:rsidRDefault="00000000">
      <w:r>
        <w:rPr>
          <w:rStyle w:val="optioncarChar"/>
        </w:rPr>
        <w:t xml:space="preserve">QF </w:t>
      </w:r>
      <w:r>
        <w:t xml:space="preserve">(par défaut) </w:t>
      </w:r>
      <w:r>
        <w:rPr>
          <w:rStyle w:val="optioncarChar"/>
        </w:rPr>
        <w:t>/ QP</w:t>
      </w:r>
    </w:p>
    <w:p w14:paraId="7F33736F" w14:textId="77777777" w:rsidR="00DB2B68" w:rsidRDefault="00000000">
      <w:pPr>
        <w:pStyle w:val="pheading"/>
      </w:pPr>
      <w:r>
        <w:t>AIDE</w:t>
      </w:r>
    </w:p>
    <w:p w14:paraId="73E076F0" w14:textId="77777777" w:rsidR="00DB2B68" w:rsidRDefault="00000000">
      <w:pPr>
        <w:jc w:val="both"/>
      </w:pPr>
      <w:r>
        <w:t>Ce type de béton n’est pas prévu pour être un béton architectonique.</w:t>
      </w:r>
    </w:p>
    <w:p w14:paraId="053FBAB8" w14:textId="77777777" w:rsidR="00DB2B68" w:rsidRDefault="00000000">
      <w:pPr>
        <w:pStyle w:val="Author-eSectionHeading5Numberless"/>
      </w:pPr>
      <w:bookmarkStart w:id="754" w:name="_Toc220495812"/>
      <w:r>
        <w:t>22.16.4 Parois préfabriquées en béton architectonique CCTB 01.13</w:t>
      </w:r>
      <w:bookmarkEnd w:id="754"/>
    </w:p>
    <w:p w14:paraId="78EADD1D" w14:textId="77777777" w:rsidR="00DB2B68" w:rsidRDefault="00000000">
      <w:pPr>
        <w:pStyle w:val="pheading"/>
      </w:pPr>
      <w:bookmarkStart w:id="755" w:name="504"/>
      <w:bookmarkEnd w:id="755"/>
      <w:r>
        <w:t>DESCRIPTION</w:t>
      </w:r>
    </w:p>
    <w:p w14:paraId="65318B2F" w14:textId="77777777" w:rsidR="00DB2B68" w:rsidRDefault="00000000">
      <w:pPr>
        <w:pStyle w:val="pheading"/>
      </w:pPr>
      <w:r>
        <w:t>- Définition / Comprend</w:t>
      </w:r>
    </w:p>
    <w:p w14:paraId="38B56869" w14:textId="77777777" w:rsidR="00DB2B68" w:rsidRDefault="00000000">
      <w:pPr>
        <w:jc w:val="both"/>
      </w:pPr>
      <w:r>
        <w:t>Il s'agit de la fourniture et de la pose de toutes les faces en élévation des parois qui sont préfabriquées en usine et assemblées sur chantier aux constructions déjà exécutées.</w:t>
      </w:r>
    </w:p>
    <w:p w14:paraId="227351EC" w14:textId="77777777" w:rsidR="00DB2B68" w:rsidRDefault="00000000">
      <w:pPr>
        <w:jc w:val="both"/>
      </w:pPr>
      <w:r>
        <w:t>Sont compris :</w:t>
      </w:r>
    </w:p>
    <w:p w14:paraId="3D1A930A" w14:textId="77777777" w:rsidR="00DB2B68" w:rsidRDefault="00000000">
      <w:pPr>
        <w:pStyle w:val="Author-eListParagraph"/>
        <w:numPr>
          <w:ilvl w:val="0"/>
          <w:numId w:val="519"/>
        </w:numPr>
      </w:pPr>
      <w:r>
        <w:t>La préparation et nettoyage du sol sur lesquels les parois sont posées.</w:t>
      </w:r>
    </w:p>
    <w:p w14:paraId="3F87CB56" w14:textId="77777777" w:rsidR="00DB2B68" w:rsidRDefault="00000000">
      <w:pPr>
        <w:pStyle w:val="Author-eListParagraph"/>
        <w:numPr>
          <w:ilvl w:val="0"/>
          <w:numId w:val="519"/>
        </w:numPr>
      </w:pPr>
      <w:r>
        <w:t>La livraison et la pose des parois, y compris tous les supports temporaires et travaux d’étayage.</w:t>
      </w:r>
    </w:p>
    <w:p w14:paraId="579080E0" w14:textId="77777777" w:rsidR="00DB2B68" w:rsidRDefault="00000000">
      <w:pPr>
        <w:pStyle w:val="Author-eListParagraph"/>
        <w:numPr>
          <w:ilvl w:val="0"/>
          <w:numId w:val="519"/>
        </w:numPr>
      </w:pPr>
      <w:r>
        <w:t>Les réservations prévues sur les plans.</w:t>
      </w:r>
    </w:p>
    <w:p w14:paraId="5DACFB06" w14:textId="77777777" w:rsidR="00DB2B68" w:rsidRDefault="00000000">
      <w:pPr>
        <w:pStyle w:val="Author-eListParagraph"/>
        <w:numPr>
          <w:ilvl w:val="0"/>
          <w:numId w:val="519"/>
        </w:numPr>
      </w:pPr>
      <w:r>
        <w:t>La finition des bords et travaux de réparation en cas d’endommagement.</w:t>
      </w:r>
    </w:p>
    <w:p w14:paraId="5026F35D" w14:textId="77777777" w:rsidR="00DB2B68" w:rsidRDefault="00000000">
      <w:pPr>
        <w:pStyle w:val="Author-eListParagraph"/>
        <w:numPr>
          <w:ilvl w:val="0"/>
          <w:numId w:val="519"/>
        </w:numPr>
      </w:pPr>
      <w:r>
        <w:t>Le remplissage des joints de dilatation selon les directives du fournisseur.</w:t>
      </w:r>
    </w:p>
    <w:p w14:paraId="01531CFE" w14:textId="77777777" w:rsidR="00DB2B68" w:rsidRDefault="00000000">
      <w:pPr>
        <w:pStyle w:val="Author-eListParagraph"/>
        <w:numPr>
          <w:ilvl w:val="0"/>
          <w:numId w:val="519"/>
        </w:numPr>
      </w:pPr>
      <w:r>
        <w:t>Le contrôle de toutes les dimensions et l’adaptation des éléments à préfabriquer aux dimensions réelles ;</w:t>
      </w:r>
    </w:p>
    <w:p w14:paraId="6C8BE675" w14:textId="77777777" w:rsidR="00DB2B68" w:rsidRDefault="00000000">
      <w:pPr>
        <w:pStyle w:val="Author-eListParagraph"/>
        <w:numPr>
          <w:ilvl w:val="0"/>
          <w:numId w:val="519"/>
        </w:numPr>
      </w:pPr>
      <w:r>
        <w:t>Toutes les armatures saillantes et recouvertes de béton, toutes les pièces pour leur placement et leur fixation ;</w:t>
      </w:r>
    </w:p>
    <w:p w14:paraId="4E14FA75" w14:textId="77777777" w:rsidR="00DB2B68" w:rsidRDefault="00000000">
      <w:pPr>
        <w:pStyle w:val="Author-eListParagraph"/>
        <w:numPr>
          <w:ilvl w:val="0"/>
          <w:numId w:val="519"/>
        </w:numPr>
      </w:pPr>
      <w:r>
        <w:t>Les armatures complémentaires de liaison, de renforcement et d’angle selon les indications figurant  sur le plan de pose et/ou dans l’étude du béton ;</w:t>
      </w:r>
    </w:p>
    <w:p w14:paraId="15D94BB9" w14:textId="77777777" w:rsidR="00DB2B68" w:rsidRDefault="00000000">
      <w:pPr>
        <w:pStyle w:val="Author-eListParagraph"/>
        <w:numPr>
          <w:ilvl w:val="0"/>
          <w:numId w:val="519"/>
        </w:numPr>
      </w:pPr>
      <w:r>
        <w:t>Tous les moyens de liaisonnement, aussi bien entre les éléments préfabriqués qu’avec les éléments de bord, … ;</w:t>
      </w:r>
    </w:p>
    <w:p w14:paraId="4C3ABD4A" w14:textId="77777777" w:rsidR="00DB2B68" w:rsidRDefault="00000000">
      <w:pPr>
        <w:pStyle w:val="Author-eListParagraph"/>
        <w:numPr>
          <w:ilvl w:val="0"/>
          <w:numId w:val="519"/>
        </w:numPr>
      </w:pPr>
      <w:r>
        <w:t>Tous les treillis armés, armatures additionnelles et coffrages complémentaires, le remplissage éventuel des joints et/ou des creux entre les murs ;</w:t>
      </w:r>
    </w:p>
    <w:p w14:paraId="047CABDC" w14:textId="77777777" w:rsidR="00DB2B68" w:rsidRDefault="00000000">
      <w:pPr>
        <w:pStyle w:val="Author-eListParagraph"/>
        <w:numPr>
          <w:ilvl w:val="0"/>
          <w:numId w:val="519"/>
        </w:numPr>
      </w:pPr>
      <w:r>
        <w:t>L’enlèvement de tous les accessoires, éléments de coffrage, supports et étais ;</w:t>
      </w:r>
    </w:p>
    <w:p w14:paraId="3DD9C095" w14:textId="77777777" w:rsidR="00DB2B68" w:rsidRDefault="00000000">
      <w:pPr>
        <w:pStyle w:val="Author-eListParagraph"/>
        <w:numPr>
          <w:ilvl w:val="0"/>
          <w:numId w:val="519"/>
        </w:numPr>
      </w:pPr>
      <w:r>
        <w:lastRenderedPageBreak/>
        <w:t>La finition des bords, les travaux de réparation en cas d’endommagements et/ou de restes de gravier inacceptables, le remplissage des joints (de dilatation), selon les directives du fournisseur, le nettoyage des faces visibles, …</w:t>
      </w:r>
    </w:p>
    <w:p w14:paraId="65BDEDAB" w14:textId="77777777" w:rsidR="00DB2B68" w:rsidRDefault="00000000">
      <w:pPr>
        <w:jc w:val="both"/>
      </w:pPr>
      <w:r>
        <w:t>L’étude de stabilité réalisée conformément aux normes [NBN EN 1990], [NBN EN 1991 série], [NBN EN 1992 série], [NBN EN 1997 série], [NBN EN 1998 série] et leurs différentes parties.</w:t>
      </w:r>
    </w:p>
    <w:p w14:paraId="42539548" w14:textId="77777777" w:rsidR="00DB2B68" w:rsidRDefault="00000000">
      <w:pPr>
        <w:pStyle w:val="pheading"/>
      </w:pPr>
      <w:r>
        <w:t>MATÉRIAUX</w:t>
      </w:r>
    </w:p>
    <w:p w14:paraId="1B92D508" w14:textId="77777777" w:rsidR="00DB2B68" w:rsidRDefault="00000000">
      <w:pPr>
        <w:jc w:val="both"/>
      </w:pPr>
      <w:r>
        <w:t>Les parois préfabriquées en béton architectonique doivent satisfaire aux normes relatives aux parois préfabriquées [NBN EN 14992+A1] et [NBN B 21-612] ainsi qu’aux exigences liées à l’esthétisme de la norme [PTV 21-601].</w:t>
      </w:r>
    </w:p>
    <w:p w14:paraId="6B0360A1" w14:textId="77777777" w:rsidR="00DB2B68" w:rsidRDefault="00000000">
      <w:pPr>
        <w:pStyle w:val="Author-eListParagraph"/>
        <w:numPr>
          <w:ilvl w:val="0"/>
          <w:numId w:val="520"/>
        </w:numPr>
      </w:pPr>
      <w:r>
        <w:t>Qualité du béton selon la [NBN EN 206:2013+A2] et la [NBN B 15-001] .</w:t>
      </w:r>
    </w:p>
    <w:p w14:paraId="7B9F00B0" w14:textId="77777777" w:rsidR="00DB2B68" w:rsidRDefault="00000000">
      <w:pPr>
        <w:pStyle w:val="Author-eListParagraph"/>
        <w:numPr>
          <w:ilvl w:val="0"/>
          <w:numId w:val="520"/>
        </w:numPr>
      </w:pPr>
      <w:r>
        <w:t>Les enrobages sont conformes aux normes [NBN EN 13369] et [NBN B 21-600].</w:t>
      </w:r>
    </w:p>
    <w:p w14:paraId="1DEA580D" w14:textId="77777777" w:rsidR="00DB2B68" w:rsidRDefault="00000000">
      <w:pPr>
        <w:pStyle w:val="Author-eListParagraph"/>
        <w:numPr>
          <w:ilvl w:val="0"/>
          <w:numId w:val="520"/>
        </w:numPr>
      </w:pPr>
      <w:r>
        <w:t>Les armatures sont conformes aux séries [NBN A 24-3xx série] dans le cas du béton armé.</w:t>
      </w:r>
    </w:p>
    <w:p w14:paraId="4240A4CB" w14:textId="77777777" w:rsidR="00DB2B68" w:rsidRDefault="00000000">
      <w:pPr>
        <w:pStyle w:val="Author-eListParagraph"/>
        <w:numPr>
          <w:ilvl w:val="0"/>
          <w:numId w:val="520"/>
        </w:numPr>
      </w:pPr>
      <w:r>
        <w:t>Les armatures sont conformes aux  [NBN I 10-001], [NBN I 10-002], [NBN I 10-003] dans le cas du béton précontraint.</w:t>
      </w:r>
    </w:p>
    <w:p w14:paraId="44FED0D2" w14:textId="77777777" w:rsidR="00DB2B68" w:rsidRDefault="00000000">
      <w:pPr>
        <w:jc w:val="both"/>
      </w:pPr>
      <w:r>
        <w:rPr>
          <w:b/>
        </w:rPr>
        <w:t>Finitions</w:t>
      </w:r>
    </w:p>
    <w:p w14:paraId="7E9DD04B" w14:textId="77777777" w:rsidR="00DB2B68" w:rsidRDefault="00000000">
      <w:pPr>
        <w:jc w:val="both"/>
      </w:pPr>
      <w:r>
        <w:t>Les finitions sont décrites dans le [PTV 21-601].</w:t>
      </w:r>
    </w:p>
    <w:p w14:paraId="074CBC72" w14:textId="77777777" w:rsidR="00DB2B68" w:rsidRDefault="00000000">
      <w:pPr>
        <w:pStyle w:val="pheading"/>
      </w:pPr>
      <w:r>
        <w:t>EXÉCUTION / MISE EN ŒUVRE</w:t>
      </w:r>
    </w:p>
    <w:p w14:paraId="25E603CF" w14:textId="77777777" w:rsidR="00DB2B68" w:rsidRDefault="00000000">
      <w:pPr>
        <w:pStyle w:val="Author-eListParagraph"/>
        <w:numPr>
          <w:ilvl w:val="0"/>
          <w:numId w:val="521"/>
        </w:numPr>
        <w:jc w:val="both"/>
      </w:pPr>
      <w:r>
        <w:t>L’étude et les plans d’exécution </w:t>
      </w:r>
      <w:r>
        <w:rPr>
          <w:rStyle w:val="optioncarChar"/>
        </w:rPr>
        <w:t>sont / ne sont pas</w:t>
      </w:r>
      <w:r>
        <w:t> à charge de l’entreprise.</w:t>
      </w:r>
    </w:p>
    <w:p w14:paraId="042CDDFE" w14:textId="77777777" w:rsidR="00DB2B68" w:rsidRDefault="00000000">
      <w:pPr>
        <w:pStyle w:val="Author-eListParagraph"/>
        <w:numPr>
          <w:ilvl w:val="0"/>
          <w:numId w:val="521"/>
        </w:numPr>
        <w:jc w:val="both"/>
      </w:pPr>
      <w:r>
        <w:t>Les parois sont fabriquées dans les dimensions indiquées sur les plans d’exécution approuvés.</w:t>
      </w:r>
    </w:p>
    <w:p w14:paraId="484CF8D1" w14:textId="77777777" w:rsidR="00DB2B68" w:rsidRDefault="00000000">
      <w:pPr>
        <w:pStyle w:val="pheading"/>
      </w:pPr>
      <w:r>
        <w:t>DOCUMENTS DE RÉFÉRENCE</w:t>
      </w:r>
    </w:p>
    <w:p w14:paraId="4BF255D2" w14:textId="77777777" w:rsidR="00DB2B68" w:rsidRDefault="00000000">
      <w:pPr>
        <w:pStyle w:val="pheading"/>
      </w:pPr>
      <w:r>
        <w:t>- Matériau</w:t>
      </w:r>
    </w:p>
    <w:p w14:paraId="2AD348B6" w14:textId="77777777" w:rsidR="00DB2B68" w:rsidRDefault="00000000">
      <w:r>
        <w:t>[NBN EN 14992+A1, Produits préfabriqués en béton - Eléments de mur]</w:t>
      </w:r>
    </w:p>
    <w:p w14:paraId="0699256B" w14:textId="77777777" w:rsidR="00DB2B68" w:rsidRDefault="00000000">
      <w:r>
        <w:t>[NBN B 21-612, Produits préfabriqués en béton - Eléments de mur - Norme d'application nationale à la NBN EN 14992+A1:2012]</w:t>
      </w:r>
    </w:p>
    <w:p w14:paraId="3C3D2F4C" w14:textId="77777777" w:rsidR="00DB2B68" w:rsidRDefault="00000000">
      <w:r>
        <w:t>[PTV 21-601, Eléments préfabriqués en béton architectonique.]</w:t>
      </w:r>
    </w:p>
    <w:p w14:paraId="124C3DA5" w14:textId="77777777" w:rsidR="00DB2B68" w:rsidRDefault="00000000">
      <w:r>
        <w:t>[NBN EN 206:2013+A2, Béton - Spécification, performances, production et conformité]</w:t>
      </w:r>
    </w:p>
    <w:p w14:paraId="11E59DEA" w14:textId="77777777" w:rsidR="00DB2B68" w:rsidRDefault="00000000">
      <w:r>
        <w:t>[NBN B 15-001, Béton - Spécification, performances, production et conformité - Complément national à la NBN EN 206:2013+A2:2021]</w:t>
      </w:r>
    </w:p>
    <w:p w14:paraId="30E7CB9D" w14:textId="77777777" w:rsidR="00DB2B68" w:rsidRDefault="00000000">
      <w:r>
        <w:t>[NBN A 24-3xx série, Produits sidérurgiques - Aciers pour béton armé]</w:t>
      </w:r>
    </w:p>
    <w:p w14:paraId="477B02F4" w14:textId="77777777" w:rsidR="00DB2B68" w:rsidRDefault="00000000">
      <w:r>
        <w:t>[NBN I 10-001, Aciers de précontrainte - Fils, torons et barres - Généralités et prescriptions communes]</w:t>
      </w:r>
    </w:p>
    <w:p w14:paraId="552D17F7" w14:textId="77777777" w:rsidR="00DB2B68" w:rsidRDefault="00000000">
      <w:r>
        <w:t>[NBN I 10-002, Aciers de précontrainte - Fils tréfilés]</w:t>
      </w:r>
    </w:p>
    <w:p w14:paraId="3DFD49F4" w14:textId="77777777" w:rsidR="00DB2B68" w:rsidRDefault="00000000">
      <w:r>
        <w:t>[NBN I 10-003, Aciers de précontrainte - Torons (avec erratum)]</w:t>
      </w:r>
    </w:p>
    <w:p w14:paraId="390AECB5" w14:textId="77777777" w:rsidR="00DB2B68" w:rsidRDefault="00000000">
      <w:pPr>
        <w:ind w:left="750"/>
      </w:pPr>
      <w:r>
        <w:t> </w:t>
      </w:r>
    </w:p>
    <w:p w14:paraId="7327B823" w14:textId="77777777" w:rsidR="00DB2B68" w:rsidRDefault="00000000">
      <w:pPr>
        <w:pStyle w:val="Author-eSectionHeading6Numberless"/>
      </w:pPr>
      <w:bookmarkStart w:id="756" w:name="_Toc220495813"/>
      <w:r>
        <w:t>22.16.4a Parois préfabriquées en béton architectonique CCTB 01.11</w:t>
      </w:r>
      <w:bookmarkEnd w:id="756"/>
    </w:p>
    <w:p w14:paraId="55D0157E" w14:textId="77777777" w:rsidR="00DB2B68" w:rsidRDefault="00000000">
      <w:pPr>
        <w:pStyle w:val="pheading"/>
      </w:pPr>
      <w:r>
        <w:t>DESCRIPTION</w:t>
      </w:r>
    </w:p>
    <w:p w14:paraId="2AD56980" w14:textId="77777777" w:rsidR="00DB2B68" w:rsidRDefault="00000000">
      <w:pPr>
        <w:pStyle w:val="pheading"/>
      </w:pPr>
      <w:r>
        <w:t>- Définition / Comprend</w:t>
      </w:r>
    </w:p>
    <w:p w14:paraId="583D2E76" w14:textId="77777777" w:rsidR="00DB2B68" w:rsidRDefault="00000000">
      <w:pPr>
        <w:jc w:val="both"/>
      </w:pPr>
      <w:r>
        <w:t>Cet article vise la fourniture et la pose de parois préfabriqués en béton architectonique </w:t>
      </w:r>
      <w:r>
        <w:rPr>
          <w:color w:val="000000"/>
        </w:rPr>
        <w:t xml:space="preserve">et </w:t>
      </w:r>
      <w:r>
        <w:rPr>
          <w:color w:val="FF0000"/>
        </w:rPr>
        <w:t xml:space="preserve">béton armé </w:t>
      </w:r>
      <w:r>
        <w:t>(par défaut)</w:t>
      </w:r>
      <w:r>
        <w:rPr>
          <w:color w:val="FF0000"/>
        </w:rPr>
        <w:t xml:space="preserve"> / béton précontraint </w:t>
      </w:r>
      <w:r>
        <w:t xml:space="preserve">de forme quelconque comportant armatures et inserts. </w:t>
      </w:r>
      <w:r>
        <w:rPr>
          <w:color w:val="000000"/>
        </w:rPr>
        <w:t>La portée des travaux est décrite dans l’élément </w:t>
      </w:r>
      <w:hyperlink w:anchor="504" w:history="1">
        <w:r>
          <w:rPr>
            <w:color w:val="0000EE"/>
          </w:rPr>
          <w:t>22.16.4 Parois préfabriquées en béton architectonique</w:t>
        </w:r>
      </w:hyperlink>
    </w:p>
    <w:p w14:paraId="3E2C5256" w14:textId="77777777" w:rsidR="00DB2B68" w:rsidRDefault="00000000">
      <w:pPr>
        <w:pStyle w:val="pheading"/>
      </w:pPr>
      <w:r>
        <w:t>- Localisation</w:t>
      </w:r>
    </w:p>
    <w:p w14:paraId="455F958B" w14:textId="77777777" w:rsidR="00DB2B68" w:rsidRDefault="00000000">
      <w:r>
        <w:t xml:space="preserve">La pose est réalisée aux endroits suivants : </w:t>
      </w:r>
      <w:r>
        <w:rPr>
          <w:rStyle w:val="optioncarChar"/>
        </w:rPr>
        <w:t>***</w:t>
      </w:r>
      <w:r>
        <w:t xml:space="preserve"> .</w:t>
      </w:r>
    </w:p>
    <w:p w14:paraId="7EF8C956" w14:textId="77777777" w:rsidR="00DB2B68" w:rsidRDefault="00000000">
      <w:r>
        <w:lastRenderedPageBreak/>
        <w:t>Voir plans et métrés détaillés.</w:t>
      </w:r>
    </w:p>
    <w:p w14:paraId="2950F243" w14:textId="77777777" w:rsidR="00DB2B68" w:rsidRDefault="00000000">
      <w:pPr>
        <w:pStyle w:val="pheading"/>
      </w:pPr>
      <w:r>
        <w:t>MATÉRIAUX</w:t>
      </w:r>
    </w:p>
    <w:p w14:paraId="216ABE4C" w14:textId="77777777" w:rsidR="00DB2B68" w:rsidRDefault="00000000">
      <w:pPr>
        <w:pStyle w:val="pheading"/>
      </w:pPr>
      <w:r>
        <w:t>- Caractéristiques générales</w:t>
      </w:r>
    </w:p>
    <w:p w14:paraId="171327CD" w14:textId="77777777" w:rsidR="00DB2B68" w:rsidRDefault="00000000">
      <w:pPr>
        <w:jc w:val="both"/>
      </w:pPr>
      <w:r>
        <w:t>Dimensions :</w:t>
      </w:r>
      <w:r>
        <w:rPr>
          <w:rStyle w:val="optioncarChar"/>
        </w:rPr>
        <w:t xml:space="preserve"> en fonction des résultats de l’étude de stabilité </w:t>
      </w:r>
      <w:r>
        <w:t>(par défaut) </w:t>
      </w:r>
      <w:r>
        <w:rPr>
          <w:rStyle w:val="optioncarChar"/>
        </w:rPr>
        <w:t>/ l’épaisseur de béton de la paroi *** cm</w:t>
      </w:r>
      <w:r>
        <w:t>.</w:t>
      </w:r>
    </w:p>
    <w:p w14:paraId="54EAB42B" w14:textId="77777777" w:rsidR="00DB2B68" w:rsidRDefault="00000000">
      <w:pPr>
        <w:jc w:val="both"/>
      </w:pPr>
      <w:r>
        <w:t>La qualité du béton sera conforme à la [NBN EN 206:2013+A2] et à la [NBN B 15-001].</w:t>
      </w:r>
    </w:p>
    <w:p w14:paraId="4B0EC783" w14:textId="77777777" w:rsidR="00DB2B68" w:rsidRDefault="00000000">
      <w:pPr>
        <w:jc w:val="both"/>
      </w:pPr>
      <w:r>
        <w:t xml:space="preserve">La classe de résistance minimale du béton est </w:t>
      </w:r>
      <w:r>
        <w:rPr>
          <w:rStyle w:val="optioncarChar"/>
        </w:rPr>
        <w:t>celle suivant l’étude de stabilité</w:t>
      </w:r>
      <w:r>
        <w:t xml:space="preserve"> (par défaut) </w:t>
      </w:r>
      <w:r>
        <w:rPr>
          <w:rStyle w:val="optioncarChar"/>
        </w:rPr>
        <w:t>/ C30/37 / ***.</w:t>
      </w:r>
    </w:p>
    <w:p w14:paraId="1108CA07" w14:textId="77777777" w:rsidR="00DB2B68" w:rsidRDefault="00000000">
      <w:pPr>
        <w:jc w:val="both"/>
      </w:pPr>
      <w:r>
        <w:t xml:space="preserve">La classe d’environnement sera : </w:t>
      </w:r>
      <w:r>
        <w:rPr>
          <w:rStyle w:val="optioncarChar"/>
        </w:rPr>
        <w:t>EI </w:t>
      </w:r>
      <w:r>
        <w:t>(par défaut)</w:t>
      </w:r>
      <w:r>
        <w:rPr>
          <w:rStyle w:val="optioncarChar"/>
        </w:rPr>
        <w:t xml:space="preserve"> / EE1 / EE2 / EE3/ES1 / ES2 / ES3/EA1 +*** / EA2+*** / EA3+***</w:t>
      </w:r>
      <w:r>
        <w:t xml:space="preserve"> en cas d’environnement chimiquement agressif.</w:t>
      </w:r>
    </w:p>
    <w:p w14:paraId="193B356E" w14:textId="77777777" w:rsidR="00DB2B68" w:rsidRDefault="00000000">
      <w:pPr>
        <w:jc w:val="both"/>
      </w:pPr>
      <w:r>
        <w:rPr>
          <w:b/>
        </w:rPr>
        <w:t>Résistance au feu des parois</w:t>
      </w:r>
    </w:p>
    <w:p w14:paraId="0F7D69FF" w14:textId="77777777" w:rsidR="00DB2B68" w:rsidRDefault="00000000">
      <w:pPr>
        <w:jc w:val="both"/>
      </w:pPr>
      <w:r>
        <w:t xml:space="preserve">Pour les éléments porteurs et structuraux sans fonction séparante  </w:t>
      </w:r>
      <w:r>
        <w:rPr>
          <w:rStyle w:val="optioncarChar"/>
        </w:rPr>
        <w:t>R15 / R30 </w:t>
      </w:r>
      <w:r>
        <w:t>(par défaut)</w:t>
      </w:r>
      <w:r>
        <w:rPr>
          <w:rStyle w:val="optioncarChar"/>
        </w:rPr>
        <w:t xml:space="preserve"> / R60 / R120 / R ***</w:t>
      </w:r>
      <w:r>
        <w:t xml:space="preserve">, pour les éléments porteurs et structuraux avec fonction séparante  </w:t>
      </w:r>
      <w:r>
        <w:rPr>
          <w:rStyle w:val="optioncarChar"/>
        </w:rPr>
        <w:t>REI 30</w:t>
      </w:r>
      <w:r>
        <w:t xml:space="preserve"> (par défaut)</w:t>
      </w:r>
      <w:r>
        <w:rPr>
          <w:rStyle w:val="optioncarChar"/>
        </w:rPr>
        <w:t> / REI 60 / REI 120 / REI *** </w:t>
      </w:r>
      <w:r>
        <w:t xml:space="preserve">et pour les éléments non porteurs avec fonction séparante : </w:t>
      </w:r>
      <w:r>
        <w:rPr>
          <w:rStyle w:val="optioncarChar"/>
        </w:rPr>
        <w:t>EI 30</w:t>
      </w:r>
      <w:r>
        <w:t> (par défaut)</w:t>
      </w:r>
      <w:r>
        <w:rPr>
          <w:rStyle w:val="optioncarChar"/>
        </w:rPr>
        <w:t xml:space="preserve"> / EI 60 / EI 120 / EI ***</w:t>
      </w:r>
    </w:p>
    <w:p w14:paraId="5958157B" w14:textId="77777777" w:rsidR="00DB2B68" w:rsidRDefault="00000000">
      <w:pPr>
        <w:jc w:val="both"/>
      </w:pPr>
      <w:r>
        <w:rPr>
          <w:b/>
        </w:rPr>
        <w:t>Classe d’étanchéité</w:t>
      </w:r>
    </w:p>
    <w:p w14:paraId="233CF237" w14:textId="77777777" w:rsidR="00DB2B68" w:rsidRDefault="00000000">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Pour la classe 1, l’épaisseur minimale des parois sera de 100mm.  Pour les classes 2 et 3, l’épaisseur minimale est de 200mm.</w:t>
      </w:r>
    </w:p>
    <w:p w14:paraId="7424FC59" w14:textId="77777777" w:rsidR="00DB2B68" w:rsidRDefault="00000000">
      <w:pPr>
        <w:pStyle w:val="pheading"/>
      </w:pPr>
      <w:r>
        <w:t>- Finitions</w:t>
      </w:r>
    </w:p>
    <w:p w14:paraId="49F1D067" w14:textId="77777777" w:rsidR="00DB2B68" w:rsidRDefault="00000000">
      <w:pPr>
        <w:jc w:val="both"/>
      </w:pPr>
      <w:r>
        <w:t>Type de béton préfabriqué avec exigences esthétiques :</w:t>
      </w:r>
      <w:r>
        <w:rPr>
          <w:rStyle w:val="optioncarChar"/>
        </w:rPr>
        <w:t> béton architectonique</w:t>
      </w:r>
      <w:r>
        <w:t> (par défaut) </w:t>
      </w:r>
      <w:r>
        <w:rPr>
          <w:rStyle w:val="optioncarChar"/>
        </w:rPr>
        <w:t>/ béton décoratif industriel</w:t>
      </w:r>
    </w:p>
    <w:p w14:paraId="5CD4D2D0" w14:textId="77777777" w:rsidR="00DB2B68" w:rsidRDefault="00000000">
      <w:pPr>
        <w:jc w:val="both"/>
      </w:pPr>
      <w:r>
        <w:t>Les éléments en béton architectoniques doivent répondre au [PTV 21-601].</w:t>
      </w:r>
    </w:p>
    <w:p w14:paraId="6BA855C5" w14:textId="77777777" w:rsidR="00DB2B68" w:rsidRDefault="00000000">
      <w:pPr>
        <w:jc w:val="both"/>
      </w:pPr>
      <w:r>
        <w:t xml:space="preserve">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33EF4919" w14:textId="77777777" w:rsidR="00DB2B68" w:rsidRDefault="00000000">
      <w:pPr>
        <w:jc w:val="both"/>
      </w:pPr>
      <w:r>
        <w:t>Description détaillée des éléments :</w:t>
      </w:r>
    </w:p>
    <w:p w14:paraId="7DD41886" w14:textId="77777777" w:rsidR="00DB2B68" w:rsidRDefault="00000000">
      <w:r>
        <w:t> 1.     Couleur : </w:t>
      </w:r>
      <w:r>
        <w:rPr>
          <w:rStyle w:val="optioncarChar"/>
        </w:rPr>
        <w:t>suivant échantillon disponible</w:t>
      </w:r>
      <w:r>
        <w:t> (par défaut)</w:t>
      </w:r>
      <w:r>
        <w:rPr>
          <w:rStyle w:val="optioncarChar"/>
        </w:rPr>
        <w:t> / suivant échantillons à remettre pour approbation par l'architecte / suivant la couleur RAL</w:t>
      </w:r>
    </w:p>
    <w:p w14:paraId="4CBDC1B8" w14:textId="77777777" w:rsidR="00DB2B68" w:rsidRDefault="00000000">
      <w:r>
        <w:rPr>
          <w:b/>
          <w:i/>
        </w:rPr>
        <w:t>(soit par défaut)</w:t>
      </w:r>
    </w:p>
    <w:p w14:paraId="26BD7F32" w14:textId="77777777" w:rsidR="00DB2B68" w:rsidRDefault="00000000">
      <w:r>
        <w:rPr>
          <w:rStyle w:val="soitChar"/>
          <w:u w:val="single"/>
        </w:rPr>
        <w:t>Suivant échantillon disponible</w:t>
      </w:r>
      <w:r>
        <w:t> </w:t>
      </w:r>
      <w:r>
        <w:rPr>
          <w:rStyle w:val="optioncarChar"/>
        </w:rPr>
        <w:t>auprès du bureau d’architecte / sur chantier </w:t>
      </w:r>
      <w:r>
        <w:t>(par défaut)</w:t>
      </w:r>
      <w:r>
        <w:rPr>
          <w:rStyle w:val="optioncarChar"/>
        </w:rPr>
        <w:t xml:space="preserve"> / auprès du fabricant</w:t>
      </w:r>
    </w:p>
    <w:p w14:paraId="4EC5625A" w14:textId="77777777" w:rsidR="00DB2B68" w:rsidRDefault="00000000">
      <w:r>
        <w:rPr>
          <w:b/>
          <w:i/>
        </w:rPr>
        <w:t>(soit)</w:t>
      </w:r>
    </w:p>
    <w:p w14:paraId="055AF196" w14:textId="77777777" w:rsidR="00DB2B68" w:rsidRDefault="00000000">
      <w:r>
        <w:rPr>
          <w:rStyle w:val="soitChar"/>
          <w:u w:val="single"/>
        </w:rPr>
        <w:t>Suivant échantillons à remettre pour approbation par l’architecte: </w:t>
      </w:r>
      <w:r>
        <w:t> </w:t>
      </w:r>
      <w:r>
        <w:rPr>
          <w:rStyle w:val="optioncarChar"/>
        </w:rPr>
        <w:t>gris </w:t>
      </w:r>
      <w:r>
        <w:t>(par défaut)</w:t>
      </w:r>
      <w:r>
        <w:rPr>
          <w:rStyle w:val="optioncarChar"/>
        </w:rPr>
        <w:t> / blanc / vert / anthracite / rouge / ***</w:t>
      </w:r>
    </w:p>
    <w:p w14:paraId="0CF2C7A2" w14:textId="77777777" w:rsidR="00DB2B68" w:rsidRDefault="00000000">
      <w:r>
        <w:rPr>
          <w:b/>
          <w:i/>
        </w:rPr>
        <w:t>(soit)</w:t>
      </w:r>
    </w:p>
    <w:p w14:paraId="58E157E9" w14:textId="77777777" w:rsidR="00DB2B68" w:rsidRDefault="00000000">
      <w:r>
        <w:rPr>
          <w:rStyle w:val="soitChar"/>
          <w:u w:val="single"/>
        </w:rPr>
        <w:t>Suivant la couleur RAL</w:t>
      </w:r>
      <w:r>
        <w:rPr>
          <w:rStyle w:val="soitChar"/>
        </w:rPr>
        <w:t> se rapprochant le mieux que possible du RAL </w:t>
      </w:r>
      <w:r>
        <w:rPr>
          <w:rStyle w:val="optioncarChar"/>
        </w:rPr>
        <w:t>***</w:t>
      </w:r>
    </w:p>
    <w:p w14:paraId="57F6591D" w14:textId="77777777" w:rsidR="00DB2B68" w:rsidRDefault="00000000">
      <w:r>
        <w:t> 2.     Texture : </w:t>
      </w:r>
      <w:r>
        <w:rPr>
          <w:rStyle w:val="optioncarChar"/>
        </w:rPr>
        <w:t>suivant échantillon disponible</w:t>
      </w:r>
      <w:r>
        <w:t> (par défaut)</w:t>
      </w:r>
      <w:r>
        <w:rPr>
          <w:rStyle w:val="optioncarChar"/>
        </w:rPr>
        <w:t> / suivant échantillons à remettre pour approbation par l'architecte</w:t>
      </w:r>
    </w:p>
    <w:p w14:paraId="20C594B7" w14:textId="77777777" w:rsidR="00DB2B68" w:rsidRDefault="00000000">
      <w:r>
        <w:rPr>
          <w:b/>
          <w:i/>
        </w:rPr>
        <w:t>(soit par défaut)</w:t>
      </w:r>
    </w:p>
    <w:p w14:paraId="56E6E887" w14:textId="77777777" w:rsidR="00DB2B68" w:rsidRDefault="00000000">
      <w:r>
        <w:rPr>
          <w:rStyle w:val="soitChar"/>
          <w:u w:val="single"/>
        </w:rPr>
        <w:t>Suivant échantillon disponible</w:t>
      </w:r>
      <w:r>
        <w:t> </w:t>
      </w:r>
      <w:r>
        <w:rPr>
          <w:rStyle w:val="optioncarChar"/>
        </w:rPr>
        <w:t xml:space="preserve">auprès du bureau d’architecte / sur chantier </w:t>
      </w:r>
      <w:r>
        <w:t>(par défaut) </w:t>
      </w:r>
      <w:r>
        <w:rPr>
          <w:rStyle w:val="optioncarChar"/>
        </w:rPr>
        <w:t>/ auprès du fabricant</w:t>
      </w:r>
    </w:p>
    <w:p w14:paraId="737357C9" w14:textId="77777777" w:rsidR="00DB2B68" w:rsidRDefault="00000000">
      <w:r>
        <w:rPr>
          <w:b/>
          <w:i/>
        </w:rPr>
        <w:t>(soit)</w:t>
      </w:r>
    </w:p>
    <w:p w14:paraId="2AFBA492" w14:textId="77777777" w:rsidR="00DB2B68" w:rsidRDefault="00000000">
      <w:r>
        <w:rPr>
          <w:rStyle w:val="soitChar"/>
          <w:u w:val="single"/>
        </w:rPr>
        <w:t>Echantillons à remettre pour approbation par l’architecte: </w:t>
      </w:r>
      <w:r>
        <w:t> </w:t>
      </w:r>
    </w:p>
    <w:p w14:paraId="12E533E8" w14:textId="77777777" w:rsidR="00DB2B68" w:rsidRDefault="00000000">
      <w:r>
        <w:lastRenderedPageBreak/>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7E050DF7" w14:textId="77777777" w:rsidR="00DB2B68" w:rsidRDefault="00000000">
      <w:pPr>
        <w:jc w:val="both"/>
      </w:pPr>
      <w:r>
        <w:t> 3.     Terminaison des arêtes</w:t>
      </w:r>
    </w:p>
    <w:p w14:paraId="22F5AFE6" w14:textId="77777777" w:rsidR="00DB2B68" w:rsidRDefault="00000000">
      <w:pPr>
        <w:jc w:val="both"/>
      </w:pPr>
      <w:r>
        <w:t xml:space="preserve"> Les arêtes saillantes des parois sont </w:t>
      </w:r>
      <w:r>
        <w:rPr>
          <w:rStyle w:val="optioncarChar"/>
        </w:rPr>
        <w:t>chanfreinées en triangle </w:t>
      </w:r>
      <w:r>
        <w:t xml:space="preserve">(par défaut) </w:t>
      </w:r>
      <w:r>
        <w:rPr>
          <w:rStyle w:val="optioncarChar"/>
        </w:rPr>
        <w:t>/chanfreinées en arrondi / vives</w:t>
      </w:r>
    </w:p>
    <w:p w14:paraId="4669C513" w14:textId="77777777" w:rsidR="00DB2B68" w:rsidRDefault="00000000">
      <w:pPr>
        <w:jc w:val="both"/>
      </w:pPr>
      <w:r>
        <w:rPr>
          <w:b/>
          <w:i/>
        </w:rPr>
        <w:t xml:space="preserve"> (soit)</w:t>
      </w:r>
    </w:p>
    <w:p w14:paraId="62BA3E6B" w14:textId="77777777" w:rsidR="00DB2B68" w:rsidRDefault="00000000">
      <w:pPr>
        <w:jc w:val="both"/>
      </w:pPr>
      <w:r>
        <w:rPr>
          <w:rStyle w:val="soitChar"/>
          <w:u w:val="single"/>
        </w:rPr>
        <w:t>chanfreinées en triangle</w:t>
      </w:r>
    </w:p>
    <w:p w14:paraId="1DF98AE1" w14:textId="77777777" w:rsidR="00DB2B68" w:rsidRDefault="00000000">
      <w:pPr>
        <w:jc w:val="both"/>
      </w:pPr>
      <w:r>
        <w:rPr>
          <w:rStyle w:val="soitChar"/>
        </w:rPr>
        <w:t xml:space="preserve"> Les arêtes sont cassées au moyen d'un chanfrein de </w:t>
      </w:r>
      <w:r>
        <w:rPr>
          <w:rStyle w:val="optioncarChar"/>
        </w:rPr>
        <w:t xml:space="preserve">1,5 x 1,5 </w:t>
      </w:r>
      <w:r>
        <w:t>(par défaut) </w:t>
      </w:r>
      <w:r>
        <w:rPr>
          <w:rStyle w:val="optioncarChar"/>
        </w:rPr>
        <w:t>/ 2,5 x 2,5 / *** cm x *** cm.</w:t>
      </w:r>
    </w:p>
    <w:p w14:paraId="0951A4D2" w14:textId="77777777" w:rsidR="00DB2B68" w:rsidRDefault="00000000">
      <w:pPr>
        <w:jc w:val="both"/>
      </w:pPr>
      <w:r>
        <w:rPr>
          <w:b/>
          <w:i/>
        </w:rPr>
        <w:t>(soit)</w:t>
      </w:r>
    </w:p>
    <w:p w14:paraId="1C2CBFEB" w14:textId="77777777" w:rsidR="00DB2B68" w:rsidRDefault="00000000">
      <w:pPr>
        <w:jc w:val="both"/>
      </w:pPr>
      <w:r>
        <w:rPr>
          <w:rStyle w:val="soitChar"/>
          <w:u w:val="single"/>
        </w:rPr>
        <w:t>chanfreinées en arrondi</w:t>
      </w:r>
    </w:p>
    <w:p w14:paraId="7BCB539D" w14:textId="77777777" w:rsidR="00DB2B68" w:rsidRDefault="00000000">
      <w:pPr>
        <w:jc w:val="both"/>
      </w:pPr>
      <w:r>
        <w:rPr>
          <w:rStyle w:val="soitChar"/>
        </w:rPr>
        <w:t xml:space="preserve"> Les arêtes sont cassées au moyen d'un chanfrein de rayon </w:t>
      </w:r>
      <w:r>
        <w:rPr>
          <w:rStyle w:val="optioncarChar"/>
        </w:rPr>
        <w:t>1,5 </w:t>
      </w:r>
      <w:r>
        <w:t>(par défaut)</w:t>
      </w:r>
      <w:r>
        <w:rPr>
          <w:rStyle w:val="optioncarChar"/>
        </w:rPr>
        <w:t xml:space="preserve"> / 2,5 / ***</w:t>
      </w:r>
      <w:r>
        <w:t>cm .</w:t>
      </w:r>
    </w:p>
    <w:p w14:paraId="4253A58C" w14:textId="77777777" w:rsidR="00DB2B68" w:rsidRDefault="00000000">
      <w:pPr>
        <w:jc w:val="both"/>
      </w:pPr>
      <w:r>
        <w:rPr>
          <w:b/>
          <w:i/>
        </w:rPr>
        <w:t>(soit)</w:t>
      </w:r>
    </w:p>
    <w:p w14:paraId="1E02BAE9" w14:textId="77777777" w:rsidR="00DB2B68" w:rsidRDefault="00000000">
      <w:pPr>
        <w:jc w:val="both"/>
      </w:pPr>
      <w:r>
        <w:rPr>
          <w:rStyle w:val="soitChar"/>
          <w:u w:val="single"/>
        </w:rPr>
        <w:t>vives</w:t>
      </w:r>
    </w:p>
    <w:p w14:paraId="69C94852" w14:textId="77777777" w:rsidR="00DB2B68" w:rsidRDefault="00000000">
      <w:pPr>
        <w:pStyle w:val="pheading"/>
      </w:pPr>
      <w:r>
        <w:t>EXÉCUTION / MISE EN ŒUVRE</w:t>
      </w:r>
    </w:p>
    <w:p w14:paraId="69E85D29" w14:textId="77777777" w:rsidR="00DB2B68" w:rsidRDefault="00000000">
      <w:pPr>
        <w:pStyle w:val="pheading"/>
      </w:pPr>
      <w:r>
        <w:t>- Prescriptions générales</w:t>
      </w:r>
    </w:p>
    <w:p w14:paraId="124AD2E7" w14:textId="77777777" w:rsidR="00DB2B68" w:rsidRDefault="00000000">
      <w:pPr>
        <w:jc w:val="both"/>
      </w:pPr>
      <w:r>
        <w:t>Le plan de pose doit être approuvé par l’entrepreneur ou le bureau d’études.</w:t>
      </w:r>
    </w:p>
    <w:p w14:paraId="5B8995B3" w14:textId="77777777" w:rsidR="00DB2B68" w:rsidRDefault="00000000">
      <w:pPr>
        <w:jc w:val="both"/>
      </w:pPr>
      <w:r>
        <w:t>Les parois sont fabriquées dans les dimensions indiquées sur les plans d’exécution approuvés.</w:t>
      </w:r>
    </w:p>
    <w:p w14:paraId="4840CD31" w14:textId="77777777" w:rsidR="00DB2B68" w:rsidRDefault="00000000">
      <w:pPr>
        <w:jc w:val="both"/>
      </w:pPr>
      <w:r>
        <w:t>La mise en œuvre est conforme aux normes [NBN EN 13670] et [NBN B 15-400].</w:t>
      </w:r>
    </w:p>
    <w:p w14:paraId="790CB07B" w14:textId="77777777" w:rsidR="00DB2B68" w:rsidRDefault="00000000">
      <w:pPr>
        <w:jc w:val="both"/>
      </w:pPr>
      <w:r>
        <w:t>L’alignement des parois est réalisé au moyen d’étais et de madriers en bois parfaitement alignés.</w:t>
      </w:r>
    </w:p>
    <w:p w14:paraId="76DB5D29" w14:textId="77777777" w:rsidR="00DB2B68" w:rsidRDefault="00000000">
      <w:pPr>
        <w:jc w:val="both"/>
      </w:pPr>
      <w:r>
        <w:t>Le sol/support doit être non travaillé et stable.</w:t>
      </w:r>
    </w:p>
    <w:p w14:paraId="5891DF1C" w14:textId="77777777" w:rsidR="00DB2B68" w:rsidRDefault="00000000">
      <w:pPr>
        <w:jc w:val="both"/>
      </w:pPr>
      <w:r>
        <w:t>La verticalité doit être garantie par la pose préalable de madrier en bois</w:t>
      </w:r>
    </w:p>
    <w:p w14:paraId="6F2920B1" w14:textId="77777777" w:rsidR="00DB2B68" w:rsidRDefault="00000000">
      <w:pPr>
        <w:jc w:val="both"/>
      </w:pPr>
      <w:r>
        <w:t>Si les parois doivent être étanches à l’eau, il y a lieu que la mise en œuvre soit conforme à la [NIT 247] et à la [NIT 250].</w:t>
      </w:r>
    </w:p>
    <w:p w14:paraId="17D8193E" w14:textId="77777777" w:rsidR="00DB2B68" w:rsidRDefault="00000000">
      <w:pPr>
        <w:pStyle w:val="pheading"/>
      </w:pPr>
      <w:r>
        <w:t>DOCUMENTS DE RÉFÉRENCE COMPLÉMENTAIRES</w:t>
      </w:r>
    </w:p>
    <w:p w14:paraId="584D2B93" w14:textId="77777777" w:rsidR="00DB2B68" w:rsidRDefault="00000000">
      <w:pPr>
        <w:pStyle w:val="pheading"/>
      </w:pPr>
      <w:r>
        <w:t>- Matériau</w:t>
      </w:r>
    </w:p>
    <w:p w14:paraId="238D8E41" w14:textId="77777777" w:rsidR="00DB2B68" w:rsidRDefault="00000000">
      <w:r>
        <w:t>[NBN EN 14992+A1, Produits préfabriqués en béton - Eléments de mur]</w:t>
      </w:r>
      <w:r>
        <w:br/>
      </w:r>
      <w:r>
        <w:br/>
        <w:t>[RA 21-612, Règlement d'application Benor - Produits préfabriqués en béton - Eléments de murs]</w:t>
      </w:r>
      <w:r>
        <w:br/>
      </w:r>
      <w:r>
        <w:br/>
        <w:t>[Buildwise Méthode de dimensionnement Rapport 10, Sécurité et mise en oeuvre d'éléments préfabriqués en béton]</w:t>
      </w:r>
    </w:p>
    <w:p w14:paraId="08972404" w14:textId="77777777" w:rsidR="00DB2B68" w:rsidRDefault="00000000">
      <w:r>
        <w:t>[PTV 21-601, Eléments préfabriqués en béton architectonique.]</w:t>
      </w:r>
    </w:p>
    <w:p w14:paraId="294D5D1C" w14:textId="77777777" w:rsidR="00DB2B68" w:rsidRDefault="00000000">
      <w:pPr>
        <w:ind w:left="750"/>
      </w:pPr>
      <w:r>
        <w:t> </w:t>
      </w:r>
    </w:p>
    <w:p w14:paraId="17F9C2BB" w14:textId="77777777" w:rsidR="00DB2B68" w:rsidRDefault="00000000">
      <w:pPr>
        <w:pStyle w:val="pheading"/>
      </w:pPr>
      <w:r>
        <w:t>- Exécution</w:t>
      </w:r>
    </w:p>
    <w:p w14:paraId="63B04551" w14:textId="77777777" w:rsidR="00DB2B68" w:rsidRDefault="00000000">
      <w:r>
        <w:t>[NIT 247, Conception et exécution des ouvrages étanches en béton]</w:t>
      </w:r>
    </w:p>
    <w:p w14:paraId="7C6015E7" w14:textId="77777777" w:rsidR="00DB2B68" w:rsidRDefault="00000000">
      <w:r>
        <w:t>[NIT 250, Détails de référence pour les constructions enterrées]</w:t>
      </w:r>
    </w:p>
    <w:p w14:paraId="0D354B30" w14:textId="77777777" w:rsidR="00DB2B68" w:rsidRDefault="00000000">
      <w:r>
        <w:t>[NBN EN 13670, Exécution des structures en béton]</w:t>
      </w:r>
    </w:p>
    <w:p w14:paraId="5092251D" w14:textId="77777777" w:rsidR="00DB2B68" w:rsidRDefault="00000000">
      <w:r>
        <w:t>[NBN B 15-400, Exécution des structures en béton - Supplément national à la NBN EN 13670:2010]</w:t>
      </w:r>
    </w:p>
    <w:p w14:paraId="11A6979D" w14:textId="77777777" w:rsidR="00DB2B68" w:rsidRDefault="00000000">
      <w:pPr>
        <w:pStyle w:val="pheading"/>
      </w:pPr>
      <w:r>
        <w:t>MESURAGE</w:t>
      </w:r>
    </w:p>
    <w:p w14:paraId="3F131FDA" w14:textId="77777777" w:rsidR="00DB2B68" w:rsidRDefault="00000000">
      <w:pPr>
        <w:pStyle w:val="pheading"/>
      </w:pPr>
      <w:r>
        <w:t>- unité de mesure:</w:t>
      </w:r>
    </w:p>
    <w:p w14:paraId="5BB9C26A" w14:textId="77777777" w:rsidR="00DB2B68" w:rsidRDefault="00000000">
      <w:r>
        <w:rPr>
          <w:rStyle w:val="optioncarChar"/>
        </w:rPr>
        <w:lastRenderedPageBreak/>
        <w:t>m³</w:t>
      </w:r>
      <w:r>
        <w:t xml:space="preserve"> (par défaut) </w:t>
      </w:r>
      <w:r>
        <w:rPr>
          <w:rStyle w:val="optioncarChar"/>
        </w:rPr>
        <w:t>/ pc / m / m² </w:t>
      </w:r>
    </w:p>
    <w:p w14:paraId="00643CA5" w14:textId="77777777" w:rsidR="00DB2B68" w:rsidRDefault="00000000">
      <w:r>
        <w:rPr>
          <w:b/>
          <w:i/>
        </w:rPr>
        <w:t>(Soit par défaut)</w:t>
      </w:r>
    </w:p>
    <w:p w14:paraId="20773B25" w14:textId="77777777" w:rsidR="00DB2B68" w:rsidRDefault="00000000">
      <w:r>
        <w:rPr>
          <w:rStyle w:val="soitChar"/>
        </w:rPr>
        <w:t>1. m³</w:t>
      </w:r>
    </w:p>
    <w:p w14:paraId="1924AC93" w14:textId="77777777" w:rsidR="00DB2B68" w:rsidRDefault="00000000">
      <w:r>
        <w:rPr>
          <w:b/>
          <w:i/>
        </w:rPr>
        <w:t>(Soit)</w:t>
      </w:r>
    </w:p>
    <w:p w14:paraId="2EFD32C2" w14:textId="77777777" w:rsidR="00DB2B68" w:rsidRDefault="00000000">
      <w:r>
        <w:rPr>
          <w:rStyle w:val="soitChar"/>
        </w:rPr>
        <w:t>2. pc</w:t>
      </w:r>
    </w:p>
    <w:p w14:paraId="42910E86" w14:textId="77777777" w:rsidR="00DB2B68" w:rsidRDefault="00000000">
      <w:r>
        <w:rPr>
          <w:b/>
          <w:i/>
        </w:rPr>
        <w:t>(Soit)</w:t>
      </w:r>
    </w:p>
    <w:p w14:paraId="51E7008C" w14:textId="77777777" w:rsidR="00DB2B68" w:rsidRDefault="00000000">
      <w:r>
        <w:rPr>
          <w:rStyle w:val="soitChar"/>
        </w:rPr>
        <w:t>3. m</w:t>
      </w:r>
    </w:p>
    <w:p w14:paraId="260CDAD8" w14:textId="77777777" w:rsidR="00DB2B68" w:rsidRDefault="00000000">
      <w:r>
        <w:rPr>
          <w:b/>
          <w:i/>
        </w:rPr>
        <w:t>(Soit)</w:t>
      </w:r>
    </w:p>
    <w:p w14:paraId="56345E18" w14:textId="77777777" w:rsidR="00DB2B68" w:rsidRDefault="00000000">
      <w:r>
        <w:rPr>
          <w:rStyle w:val="soitChar"/>
        </w:rPr>
        <w:t>4. m²</w:t>
      </w:r>
    </w:p>
    <w:p w14:paraId="320A9F74" w14:textId="77777777" w:rsidR="00DB2B68" w:rsidRDefault="00000000">
      <w:pPr>
        <w:pStyle w:val="pheading"/>
      </w:pPr>
      <w:r>
        <w:t>- code de mesurage:</w:t>
      </w:r>
    </w:p>
    <w:p w14:paraId="5C93EBB9" w14:textId="77777777" w:rsidR="00DB2B68" w:rsidRDefault="00000000">
      <w:r>
        <w:rPr>
          <w:rStyle w:val="optioncarChar"/>
        </w:rPr>
        <w:t>Volume net </w:t>
      </w:r>
      <w:r>
        <w:t>(par défaut)</w:t>
      </w:r>
      <w:r>
        <w:rPr>
          <w:rStyle w:val="optioncarChar"/>
        </w:rPr>
        <w:t> / quantité nette / longueur nette / surface nette</w:t>
      </w:r>
    </w:p>
    <w:p w14:paraId="31C6F618" w14:textId="77777777" w:rsidR="00DB2B68" w:rsidRDefault="00000000">
      <w:r>
        <w:rPr>
          <w:b/>
          <w:i/>
        </w:rPr>
        <w:t>(Soit par défaut)</w:t>
      </w:r>
    </w:p>
    <w:p w14:paraId="38DBC10C" w14:textId="77777777" w:rsidR="00DB2B68" w:rsidRDefault="00000000">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6189CA64" w14:textId="77777777" w:rsidR="00DB2B68" w:rsidRDefault="00000000">
      <w:r>
        <w:rPr>
          <w:rStyle w:val="soitChar"/>
        </w:rPr>
        <w:t>Aucune déduction n'est faite pour:</w:t>
      </w:r>
    </w:p>
    <w:p w14:paraId="7E2640C8" w14:textId="77777777" w:rsidR="00DB2B68" w:rsidRDefault="00000000">
      <w:pPr>
        <w:pStyle w:val="Author-eListParagraph"/>
        <w:numPr>
          <w:ilvl w:val="0"/>
          <w:numId w:val="522"/>
        </w:numPr>
      </w:pPr>
      <w:r>
        <w:rPr>
          <w:rStyle w:val="soitChar"/>
        </w:rPr>
        <w:t>le volume des armatures,</w:t>
      </w:r>
    </w:p>
    <w:p w14:paraId="1C902C6C" w14:textId="77777777" w:rsidR="00DB2B68" w:rsidRDefault="00000000">
      <w:pPr>
        <w:pStyle w:val="Author-eListParagraph"/>
        <w:numPr>
          <w:ilvl w:val="0"/>
          <w:numId w:val="522"/>
        </w:numPr>
      </w:pPr>
      <w:r>
        <w:rPr>
          <w:rStyle w:val="soitChar"/>
        </w:rPr>
        <w:t>les blocs et écarteurs, les fourreaux pour les armatures de précontrainte ;</w:t>
      </w:r>
    </w:p>
    <w:p w14:paraId="6204F723" w14:textId="77777777" w:rsidR="00DB2B68" w:rsidRDefault="00000000">
      <w:pPr>
        <w:pStyle w:val="Author-eListParagraph"/>
        <w:numPr>
          <w:ilvl w:val="0"/>
          <w:numId w:val="522"/>
        </w:numPr>
      </w:pPr>
      <w:r>
        <w:rPr>
          <w:rStyle w:val="soitChar"/>
        </w:rPr>
        <w:t>les pénétrations pour les pattes d’ancrage, les creux, les conduites noyées et les réservations dont le volume est inférieur à 0,05 m3.</w:t>
      </w:r>
    </w:p>
    <w:p w14:paraId="7389D3A0" w14:textId="77777777" w:rsidR="00DB2B68" w:rsidRDefault="00000000">
      <w:pPr>
        <w:pStyle w:val="Author-eListParagraph"/>
        <w:numPr>
          <w:ilvl w:val="0"/>
          <w:numId w:val="522"/>
        </w:numPr>
      </w:pPr>
      <w:r>
        <w:rPr>
          <w:rStyle w:val="soitChar"/>
        </w:rPr>
        <w:t>les chanfreins et tous les profils dont la section a une superficie inférieure à 20 cm2.</w:t>
      </w:r>
    </w:p>
    <w:p w14:paraId="0988A022" w14:textId="77777777" w:rsidR="00DB2B68" w:rsidRDefault="00000000">
      <w:pPr>
        <w:pStyle w:val="Author-eListParagraph"/>
        <w:numPr>
          <w:ilvl w:val="0"/>
          <w:numId w:val="522"/>
        </w:numPr>
      </w:pPr>
      <w:r>
        <w:rPr>
          <w:rStyle w:val="soitChar"/>
        </w:rPr>
        <w:t>les rainures, encoches et languettes.</w:t>
      </w:r>
    </w:p>
    <w:p w14:paraId="5973E755" w14:textId="77777777" w:rsidR="00DB2B68" w:rsidRDefault="00000000">
      <w:r>
        <w:rPr>
          <w:b/>
          <w:i/>
        </w:rPr>
        <w:t>(Soit)</w:t>
      </w:r>
    </w:p>
    <w:p w14:paraId="4E7E7D72" w14:textId="77777777" w:rsidR="00DB2B68" w:rsidRDefault="00000000">
      <w:r>
        <w:rPr>
          <w:rStyle w:val="soitChar"/>
          <w:u w:val="single"/>
        </w:rPr>
        <w:t>2. Quantité nette</w:t>
      </w:r>
    </w:p>
    <w:p w14:paraId="659F68E3" w14:textId="77777777" w:rsidR="00DB2B68" w:rsidRDefault="00000000">
      <w:r>
        <w:rPr>
          <w:b/>
          <w:i/>
        </w:rPr>
        <w:t>(Soit)</w:t>
      </w:r>
    </w:p>
    <w:p w14:paraId="2F87AA93" w14:textId="77777777" w:rsidR="00DB2B68" w:rsidRDefault="00000000">
      <w:r>
        <w:rPr>
          <w:rStyle w:val="soitChar"/>
          <w:u w:val="single"/>
        </w:rPr>
        <w:t>3. Longueur nette</w:t>
      </w:r>
    </w:p>
    <w:p w14:paraId="02A7A8A4" w14:textId="77777777" w:rsidR="00DB2B68" w:rsidRDefault="00000000">
      <w:r>
        <w:rPr>
          <w:b/>
          <w:i/>
        </w:rPr>
        <w:t>(Soit)</w:t>
      </w:r>
    </w:p>
    <w:p w14:paraId="74FD49E2" w14:textId="77777777" w:rsidR="00DB2B68" w:rsidRDefault="00000000">
      <w:r>
        <w:rPr>
          <w:rStyle w:val="soitChar"/>
          <w:u w:val="single"/>
        </w:rPr>
        <w:t>4. Surface nette</w:t>
      </w:r>
    </w:p>
    <w:p w14:paraId="340846AF" w14:textId="77777777" w:rsidR="00DB2B68" w:rsidRDefault="00000000">
      <w:pPr>
        <w:pStyle w:val="pheading"/>
      </w:pPr>
      <w:r>
        <w:t>- nature du marché:</w:t>
      </w:r>
    </w:p>
    <w:p w14:paraId="3C8C816A" w14:textId="77777777" w:rsidR="00DB2B68" w:rsidRDefault="00000000">
      <w:r>
        <w:rPr>
          <w:rStyle w:val="optioncarChar"/>
        </w:rPr>
        <w:t>QF</w:t>
      </w:r>
      <w:r>
        <w:t xml:space="preserve"> (par défaut)</w:t>
      </w:r>
      <w:r>
        <w:rPr>
          <w:rStyle w:val="optioncarChar"/>
        </w:rPr>
        <w:t xml:space="preserve"> / QP</w:t>
      </w:r>
    </w:p>
    <w:p w14:paraId="754D912D" w14:textId="77777777" w:rsidR="00DB2B68" w:rsidRDefault="00000000">
      <w:r>
        <w:rPr>
          <w:b/>
          <w:i/>
        </w:rPr>
        <w:t>(Soit par défaut)</w:t>
      </w:r>
    </w:p>
    <w:p w14:paraId="3BC76B1A" w14:textId="77777777" w:rsidR="00DB2B68" w:rsidRDefault="00000000">
      <w:r>
        <w:rPr>
          <w:rStyle w:val="soitChar"/>
        </w:rPr>
        <w:t>1. 2. 3. 4. QF</w:t>
      </w:r>
    </w:p>
    <w:p w14:paraId="6C6492BE" w14:textId="77777777" w:rsidR="00DB2B68" w:rsidRDefault="00000000">
      <w:r>
        <w:rPr>
          <w:b/>
          <w:i/>
        </w:rPr>
        <w:t>(Soit)</w:t>
      </w:r>
    </w:p>
    <w:p w14:paraId="695E7C1B" w14:textId="77777777" w:rsidR="00DB2B68" w:rsidRDefault="00000000">
      <w:r>
        <w:rPr>
          <w:rStyle w:val="soitChar"/>
        </w:rPr>
        <w:t>1. 2. 3. 4. QP</w:t>
      </w:r>
    </w:p>
    <w:p w14:paraId="68CC0607" w14:textId="77777777" w:rsidR="00DB2B68" w:rsidRDefault="00000000">
      <w:pPr>
        <w:pStyle w:val="Author-eSectionHeading6Numberless"/>
      </w:pPr>
      <w:bookmarkStart w:id="757" w:name="_Toc220495814"/>
      <w:r>
        <w:t>22.16.4b Parois sandwich en béton décoratif / architectonique CCTB 01.13</w:t>
      </w:r>
      <w:bookmarkEnd w:id="757"/>
    </w:p>
    <w:p w14:paraId="76101BCC" w14:textId="77777777" w:rsidR="00DB2B68" w:rsidRDefault="00000000">
      <w:pPr>
        <w:pStyle w:val="pheading"/>
      </w:pPr>
      <w:r>
        <w:t>DESCRIPTION</w:t>
      </w:r>
    </w:p>
    <w:p w14:paraId="63075878" w14:textId="77777777" w:rsidR="00DB2B68" w:rsidRDefault="00000000">
      <w:pPr>
        <w:pStyle w:val="pheading"/>
      </w:pPr>
      <w:r>
        <w:t>- Définition / Comprend</w:t>
      </w:r>
    </w:p>
    <w:p w14:paraId="2BD9DB12" w14:textId="77777777" w:rsidR="00DB2B68" w:rsidRDefault="00000000">
      <w:pPr>
        <w:jc w:val="both"/>
      </w:pPr>
      <w:r>
        <w:t xml:space="preserve">Cet article vise la fourniture et la pose de parois sandwich préfabriquées en béton architectonique et </w:t>
      </w:r>
      <w:r>
        <w:rPr>
          <w:rStyle w:val="optioncarChar"/>
        </w:rPr>
        <w:t>béton armé</w:t>
      </w:r>
      <w:r>
        <w:t xml:space="preserve"> (par défaut) / </w:t>
      </w:r>
      <w:r>
        <w:rPr>
          <w:rStyle w:val="optioncarChar"/>
        </w:rPr>
        <w:t>béton précontraint</w:t>
      </w:r>
      <w:r>
        <w:t xml:space="preserve"> de forme quelconque comportant armatures et </w:t>
      </w:r>
      <w:r>
        <w:lastRenderedPageBreak/>
        <w:t xml:space="preserve">inserts.  La portée des travaux est décrite dans l’élément </w:t>
      </w:r>
      <w:hyperlink w:anchor="504" w:history="1">
        <w:r>
          <w:rPr>
            <w:color w:val="0000EE"/>
          </w:rPr>
          <w:t>22.16.4 Parois préfabriquées en béton architectonique</w:t>
        </w:r>
      </w:hyperlink>
      <w:r>
        <w:t>.</w:t>
      </w:r>
    </w:p>
    <w:p w14:paraId="5FB61575" w14:textId="77777777" w:rsidR="00DB2B68" w:rsidRDefault="00000000">
      <w:pPr>
        <w:pStyle w:val="pheading"/>
      </w:pPr>
      <w:r>
        <w:t>- Localisation</w:t>
      </w:r>
    </w:p>
    <w:p w14:paraId="67621420" w14:textId="77777777" w:rsidR="00DB2B68" w:rsidRDefault="00000000">
      <w:r>
        <w:t xml:space="preserve">La pose est réalisée aux endroits suivants : </w:t>
      </w:r>
      <w:r>
        <w:rPr>
          <w:rStyle w:val="optioncarChar"/>
        </w:rPr>
        <w:t>***</w:t>
      </w:r>
      <w:r>
        <w:t>.</w:t>
      </w:r>
    </w:p>
    <w:p w14:paraId="38AAFBAC" w14:textId="77777777" w:rsidR="00DB2B68" w:rsidRDefault="00000000">
      <w:r>
        <w:t>Voir plans et métrés détaillés.</w:t>
      </w:r>
    </w:p>
    <w:p w14:paraId="1285CC7B" w14:textId="77777777" w:rsidR="00DB2B68" w:rsidRDefault="00000000">
      <w:pPr>
        <w:pStyle w:val="pheading"/>
      </w:pPr>
      <w:r>
        <w:t>MATÉRIAUX</w:t>
      </w:r>
    </w:p>
    <w:p w14:paraId="320239BD" w14:textId="77777777" w:rsidR="00DB2B68" w:rsidRDefault="00000000">
      <w:pPr>
        <w:pStyle w:val="pheading"/>
      </w:pPr>
      <w:r>
        <w:t>- Caractéristiques générales</w:t>
      </w:r>
    </w:p>
    <w:p w14:paraId="1A6DE433" w14:textId="77777777" w:rsidR="00DB2B68" w:rsidRDefault="00000000">
      <w:pPr>
        <w:jc w:val="both"/>
      </w:pPr>
      <w:r>
        <w:t>Les matériaux utilisés sont conformes à la [NBN EN 14992+A1] et à la [NBN B 21-612]</w:t>
      </w:r>
    </w:p>
    <w:p w14:paraId="04D83885" w14:textId="77777777" w:rsidR="00DB2B68" w:rsidRDefault="00000000">
      <w:pPr>
        <w:jc w:val="both"/>
      </w:pPr>
      <w:r>
        <w:t xml:space="preserve">Valeur de U max= </w:t>
      </w:r>
      <w:r>
        <w:rPr>
          <w:rStyle w:val="optioncarChar"/>
        </w:rPr>
        <w:t>***</w:t>
      </w:r>
      <w:r>
        <w:t xml:space="preserve"> W/ m²K</w:t>
      </w:r>
    </w:p>
    <w:p w14:paraId="75FCFE6F" w14:textId="77777777" w:rsidR="00DB2B68" w:rsidRDefault="00000000">
      <w:pPr>
        <w:jc w:val="both"/>
      </w:pPr>
      <w:r>
        <w:t xml:space="preserve">L’épaisseur de la paroi extérieure est de : </w:t>
      </w:r>
      <w:r>
        <w:rPr>
          <w:rStyle w:val="optioncarChar"/>
        </w:rPr>
        <w:t>8 </w:t>
      </w:r>
      <w:r>
        <w:t>(par défaut) </w:t>
      </w:r>
      <w:r>
        <w:rPr>
          <w:rStyle w:val="optioncarChar"/>
        </w:rPr>
        <w:t>/ 9 / 10 / 11/ 12 / 14 / 16 / 20 / ***</w:t>
      </w:r>
      <w:r>
        <w:t xml:space="preserve"> cm</w:t>
      </w:r>
    </w:p>
    <w:p w14:paraId="05B9EA67" w14:textId="77777777" w:rsidR="00DB2B68" w:rsidRDefault="00000000">
      <w:pPr>
        <w:jc w:val="both"/>
      </w:pPr>
      <w:r>
        <w:t xml:space="preserve">L’épaisseur de la paroi intérieure est de : </w:t>
      </w:r>
      <w:r>
        <w:rPr>
          <w:rStyle w:val="optioncarChar"/>
        </w:rPr>
        <w:t>12 </w:t>
      </w:r>
      <w:r>
        <w:t>(par défaut)</w:t>
      </w:r>
      <w:r>
        <w:rPr>
          <w:rStyle w:val="optioncarChar"/>
        </w:rPr>
        <w:t xml:space="preserve"> / 14 / 20 / 25 / ***</w:t>
      </w:r>
      <w:r>
        <w:t xml:space="preserve"> cm</w:t>
      </w:r>
    </w:p>
    <w:p w14:paraId="4862317B" w14:textId="77777777" w:rsidR="00DB2B68" w:rsidRDefault="00000000">
      <w:pPr>
        <w:jc w:val="both"/>
      </w:pPr>
      <w:r>
        <w:t xml:space="preserve">Matériaux d’isolation : </w:t>
      </w:r>
      <w:r>
        <w:rPr>
          <w:rStyle w:val="optioncarChar"/>
        </w:rPr>
        <w:t>EPS / PUR / PIR (par défaut) / ***</w:t>
      </w:r>
    </w:p>
    <w:p w14:paraId="7A112122" w14:textId="77777777" w:rsidR="00DB2B68" w:rsidRDefault="00000000">
      <w:pPr>
        <w:jc w:val="both"/>
      </w:pPr>
      <w:r>
        <w:t xml:space="preserve">Epaisseur d’isolation : </w:t>
      </w:r>
      <w:r>
        <w:rPr>
          <w:rStyle w:val="optioncarChar"/>
        </w:rPr>
        <w:t xml:space="preserve">compatible avec l’exigence U </w:t>
      </w:r>
      <w:r>
        <w:t>(par défaut) </w:t>
      </w:r>
      <w:r>
        <w:rPr>
          <w:rStyle w:val="optioncarChar"/>
        </w:rPr>
        <w:t>/ 12 cm / 16 cm  / 22 cm / 24 cm / ***</w:t>
      </w:r>
      <w:r>
        <w:t> .</w:t>
      </w:r>
    </w:p>
    <w:p w14:paraId="7E31134D" w14:textId="77777777" w:rsidR="00DB2B68" w:rsidRDefault="00000000">
      <w:pPr>
        <w:jc w:val="both"/>
      </w:pPr>
      <w:r>
        <w:t>La qualité du béton est conforme à la [NBN EN 206:2013+A2] et à la [NBN B 15-001].</w:t>
      </w:r>
    </w:p>
    <w:p w14:paraId="3BBE7E37" w14:textId="77777777" w:rsidR="00DB2B68" w:rsidRDefault="00000000">
      <w:pPr>
        <w:jc w:val="both"/>
      </w:pPr>
      <w:r>
        <w:t xml:space="preserve">La classe de résistance minimale du béton est </w:t>
      </w:r>
      <w:r>
        <w:rPr>
          <w:rStyle w:val="optioncarChar"/>
        </w:rPr>
        <w:t>suivant l’étude de stabilité </w:t>
      </w:r>
      <w:r>
        <w:t xml:space="preserve">(par défaut) </w:t>
      </w:r>
      <w:r>
        <w:rPr>
          <w:rStyle w:val="optioncarChar"/>
        </w:rPr>
        <w:t>/ C30/37 / ***</w:t>
      </w:r>
    </w:p>
    <w:p w14:paraId="15FCC698" w14:textId="77777777" w:rsidR="00DB2B68" w:rsidRDefault="00000000">
      <w:pPr>
        <w:jc w:val="both"/>
      </w:pPr>
      <w:r>
        <w:t>La classe d’environnement est</w:t>
      </w:r>
      <w:r>
        <w:rPr>
          <w:rStyle w:val="optioncarChar"/>
        </w:rPr>
        <w:t xml:space="preserve"> EI</w:t>
      </w:r>
      <w:r>
        <w:t> (par défaut)</w:t>
      </w:r>
      <w:r>
        <w:rPr>
          <w:rStyle w:val="optioncarChar"/>
        </w:rPr>
        <w:t xml:space="preserve"> / EE1 / EE2 / EE3 / ES1 / ES2 / ES3 / EA1+*** / EA2+*** / EA3+ ***.</w:t>
      </w:r>
    </w:p>
    <w:p w14:paraId="1D5B7B0E" w14:textId="77777777" w:rsidR="00DB2B68" w:rsidRDefault="00DB2B68">
      <w:pPr>
        <w:jc w:val="both"/>
      </w:pPr>
    </w:p>
    <w:p w14:paraId="598C86A6" w14:textId="77777777" w:rsidR="00DB2B68" w:rsidRDefault="00DB2B68">
      <w:pPr>
        <w:jc w:val="both"/>
      </w:pPr>
    </w:p>
    <w:p w14:paraId="7F1681D7" w14:textId="77777777" w:rsidR="00DB2B68" w:rsidRDefault="00000000">
      <w:pPr>
        <w:jc w:val="both"/>
      </w:pPr>
      <w:r>
        <w:rPr>
          <w:b/>
        </w:rPr>
        <w:t>Résistance au feu des parois</w:t>
      </w:r>
    </w:p>
    <w:p w14:paraId="1D8018C2" w14:textId="77777777" w:rsidR="00DB2B68" w:rsidRDefault="00000000">
      <w:pPr>
        <w:jc w:val="both"/>
      </w:pPr>
      <w:r>
        <w:t>Résistance au feu suivant la déclaration de performance (DoP) selon la norme produit [NBN EN 14992+A1] et [NBN B 21-612].</w:t>
      </w:r>
    </w:p>
    <w:p w14:paraId="5642837F" w14:textId="77777777" w:rsidR="00DB2B68" w:rsidRDefault="00000000">
      <w:pPr>
        <w:jc w:val="both"/>
      </w:pPr>
      <w:r>
        <w:t>Si la résistance au feu n’est pas déclarée sous marquage CE, elle est démontrée par test au feu selon la [NBN EN 13501-2] ou par calcul selon les Eurocodes conformément à l’[AM 2013-05-17]</w:t>
      </w:r>
    </w:p>
    <w:p w14:paraId="50BB81BE" w14:textId="77777777" w:rsidR="00DB2B68" w:rsidRDefault="00000000">
      <w:pPr>
        <w:pStyle w:val="Author-eListParagraph"/>
        <w:numPr>
          <w:ilvl w:val="0"/>
          <w:numId w:val="523"/>
        </w:numPr>
      </w:pPr>
      <w:r>
        <w:t xml:space="preserve">pour les éléments porteurs sans fonction séparant : </w:t>
      </w:r>
      <w:r>
        <w:rPr>
          <w:rStyle w:val="optioncarChar"/>
        </w:rPr>
        <w:t>R15 / R30 </w:t>
      </w:r>
      <w:r>
        <w:t>(par défaut)</w:t>
      </w:r>
      <w:r>
        <w:rPr>
          <w:rStyle w:val="optioncarChar"/>
        </w:rPr>
        <w:t xml:space="preserve"> / R60 / R120 / R ***</w:t>
      </w:r>
    </w:p>
    <w:p w14:paraId="446D315C" w14:textId="77777777" w:rsidR="00DB2B68" w:rsidRDefault="00000000">
      <w:pPr>
        <w:pStyle w:val="Author-eListParagraph"/>
        <w:numPr>
          <w:ilvl w:val="0"/>
          <w:numId w:val="523"/>
        </w:numPr>
      </w:pPr>
      <w:r>
        <w:t xml:space="preserve">pour les éléments porteurs avec fonction séparant : </w:t>
      </w:r>
      <w:r>
        <w:rPr>
          <w:rStyle w:val="optioncarChar"/>
        </w:rPr>
        <w:t>REI 30</w:t>
      </w:r>
      <w:r>
        <w:t> (par défaut)</w:t>
      </w:r>
      <w:r>
        <w:rPr>
          <w:rStyle w:val="optioncarChar"/>
        </w:rPr>
        <w:t xml:space="preserve"> / REI 60 / REI 120 / REI *** </w:t>
      </w:r>
    </w:p>
    <w:p w14:paraId="2C0B805F" w14:textId="77777777" w:rsidR="00DB2B68" w:rsidRDefault="00000000">
      <w:pPr>
        <w:pStyle w:val="Author-eListParagraph"/>
        <w:numPr>
          <w:ilvl w:val="0"/>
          <w:numId w:val="523"/>
        </w:numPr>
      </w:pPr>
      <w:r>
        <w:t>pour les éléments non porteurs avec fonction séparant :</w:t>
      </w:r>
      <w:r>
        <w:rPr>
          <w:rStyle w:val="optioncarChar"/>
        </w:rPr>
        <w:t xml:space="preserve"> EI 30 </w:t>
      </w:r>
      <w:r>
        <w:t xml:space="preserve">(par défaut) </w:t>
      </w:r>
      <w:r>
        <w:rPr>
          <w:rStyle w:val="optioncarChar"/>
        </w:rPr>
        <w:t>/ EI 60 / EI 120 / EI ***</w:t>
      </w:r>
    </w:p>
    <w:p w14:paraId="50489035" w14:textId="77777777" w:rsidR="00DB2B68" w:rsidRDefault="00000000">
      <w:r>
        <w:rPr>
          <w:b/>
        </w:rPr>
        <w:t>Classe d’étanchéité</w:t>
      </w:r>
    </w:p>
    <w:p w14:paraId="0AD116FA" w14:textId="77777777" w:rsidR="00DB2B68" w:rsidRDefault="00000000">
      <w:pPr>
        <w:jc w:val="both"/>
      </w:pPr>
      <w:r>
        <w:t xml:space="preserve">La classe d’étanchéité à l’eau des parois selon la [NBN EN 1992-3] est : </w:t>
      </w:r>
      <w:r>
        <w:rPr>
          <w:rStyle w:val="optioncarChar"/>
        </w:rPr>
        <w:t>classe 0</w:t>
      </w:r>
      <w:r>
        <w:t xml:space="preserve"> (par défaut) </w:t>
      </w:r>
      <w:r>
        <w:rPr>
          <w:rStyle w:val="optioncarChar"/>
        </w:rPr>
        <w:t>/ classe 1 / classe 2 / classe 3</w:t>
      </w:r>
      <w:r>
        <w:t>. Pour la classe 1, l’épaisseur minimale des parois est de 100mm.  Pour les classes 2 et 3, l’épaisseur minimale est de 200mm.</w:t>
      </w:r>
    </w:p>
    <w:p w14:paraId="126B2082" w14:textId="77777777" w:rsidR="00DB2B68" w:rsidRDefault="00000000">
      <w:pPr>
        <w:ind w:left="750"/>
      </w:pPr>
      <w:r>
        <w:t> </w:t>
      </w:r>
    </w:p>
    <w:p w14:paraId="32CACABB" w14:textId="77777777" w:rsidR="00DB2B68" w:rsidRDefault="00000000">
      <w:pPr>
        <w:pStyle w:val="pheading"/>
      </w:pPr>
      <w:r>
        <w:t>- Finitions</w:t>
      </w:r>
    </w:p>
    <w:p w14:paraId="28D047EB" w14:textId="77777777" w:rsidR="00DB2B68" w:rsidRDefault="00000000">
      <w:r>
        <w:t xml:space="preserve">Les finitions sont décrites dans le [PTV 21-601] (voir également </w:t>
      </w:r>
      <w:hyperlink w:anchor="87" w:history="1">
        <w:r>
          <w:rPr>
            <w:color w:val="0000EE"/>
          </w:rPr>
          <w:t>22 Superstructures en béton</w:t>
        </w:r>
      </w:hyperlink>
      <w:r>
        <w:t>).</w:t>
      </w:r>
    </w:p>
    <w:p w14:paraId="5963CFFF" w14:textId="77777777" w:rsidR="00DB2B68" w:rsidRDefault="00000000">
      <w:pPr>
        <w:jc w:val="both"/>
      </w:pPr>
      <w:r>
        <w:t>Type de béton préfabriqué avec exigences esthétiques :</w:t>
      </w:r>
      <w:r>
        <w:rPr>
          <w:rStyle w:val="optioncarChar"/>
        </w:rPr>
        <w:t> béton architectonique</w:t>
      </w:r>
      <w:r>
        <w:t> (par défaut) </w:t>
      </w:r>
      <w:r>
        <w:rPr>
          <w:rStyle w:val="optioncarChar"/>
        </w:rPr>
        <w:t>/ béton décoratif industriel</w:t>
      </w:r>
    </w:p>
    <w:p w14:paraId="652F4A5E" w14:textId="77777777" w:rsidR="00DB2B68" w:rsidRDefault="00000000">
      <w:pPr>
        <w:jc w:val="both"/>
      </w:pPr>
      <w:r>
        <w:t>Les éléments en béton architectoniques doivent répondre au [PTV 21-601].</w:t>
      </w:r>
    </w:p>
    <w:p w14:paraId="6244E518" w14:textId="77777777" w:rsidR="00DB2B68" w:rsidRDefault="00000000">
      <w:pPr>
        <w:jc w:val="both"/>
      </w:pPr>
      <w:r>
        <w:t>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0815A79C" w14:textId="77777777" w:rsidR="00DB2B68" w:rsidRDefault="00000000">
      <w:pPr>
        <w:jc w:val="both"/>
      </w:pPr>
      <w:r>
        <w:lastRenderedPageBreak/>
        <w:t>Description détaillée des éléments :</w:t>
      </w:r>
    </w:p>
    <w:p w14:paraId="41CBAFA3" w14:textId="77777777" w:rsidR="00DB2B68" w:rsidRDefault="00000000">
      <w:r>
        <w:t>1.     Couleur : </w:t>
      </w:r>
      <w:r>
        <w:rPr>
          <w:rStyle w:val="optioncarChar"/>
        </w:rPr>
        <w:t>suivant échantillon disponible</w:t>
      </w:r>
      <w:r>
        <w:t> (par défaut)</w:t>
      </w:r>
      <w:r>
        <w:rPr>
          <w:rStyle w:val="optioncarChar"/>
        </w:rPr>
        <w:t> / suivant échantillons à remettre pour approbation par l'architecte / suivant la couleur RAL</w:t>
      </w:r>
    </w:p>
    <w:p w14:paraId="3E1DE13F" w14:textId="77777777" w:rsidR="00DB2B68" w:rsidRDefault="00000000">
      <w:r>
        <w:rPr>
          <w:b/>
          <w:i/>
        </w:rPr>
        <w:t> (soit par défaut)</w:t>
      </w:r>
    </w:p>
    <w:p w14:paraId="1B571058" w14:textId="77777777" w:rsidR="00DB2B68" w:rsidRDefault="00000000">
      <w:r>
        <w:rPr>
          <w:rStyle w:val="soitChar"/>
          <w:u w:val="single"/>
        </w:rPr>
        <w:t>Suivant échantillon disponible</w:t>
      </w:r>
      <w:r>
        <w:t> </w:t>
      </w:r>
      <w:r>
        <w:rPr>
          <w:rStyle w:val="optioncarChar"/>
        </w:rPr>
        <w:t>auprès du bureau d’architecte / sur chantier / auprès du fabricant</w:t>
      </w:r>
    </w:p>
    <w:p w14:paraId="761ACD5E" w14:textId="77777777" w:rsidR="00DB2B68" w:rsidRDefault="00000000">
      <w:r>
        <w:rPr>
          <w:b/>
          <w:i/>
        </w:rPr>
        <w:t>(soit)</w:t>
      </w:r>
    </w:p>
    <w:p w14:paraId="7D458156" w14:textId="77777777" w:rsidR="00DB2B68" w:rsidRDefault="00000000">
      <w:r>
        <w:rPr>
          <w:rStyle w:val="soitChar"/>
          <w:u w:val="single"/>
        </w:rPr>
        <w:t>Suivant échantillons à remettre pour approbation par l’architecte: </w:t>
      </w:r>
      <w:r>
        <w:t> </w:t>
      </w:r>
      <w:r>
        <w:rPr>
          <w:rStyle w:val="optioncarChar"/>
        </w:rPr>
        <w:t>gris </w:t>
      </w:r>
      <w:r>
        <w:t>(par défaut)</w:t>
      </w:r>
      <w:r>
        <w:rPr>
          <w:rStyle w:val="optioncarChar"/>
        </w:rPr>
        <w:t xml:space="preserve"> / blanc / vert / anthracite / rouge / ***</w:t>
      </w:r>
    </w:p>
    <w:p w14:paraId="6E7FB98C" w14:textId="77777777" w:rsidR="00DB2B68" w:rsidRDefault="00000000">
      <w:r>
        <w:rPr>
          <w:b/>
          <w:i/>
        </w:rPr>
        <w:t>(soit)</w:t>
      </w:r>
    </w:p>
    <w:p w14:paraId="34FE330F" w14:textId="77777777" w:rsidR="00DB2B68" w:rsidRDefault="00000000">
      <w:r>
        <w:rPr>
          <w:rStyle w:val="soitChar"/>
          <w:u w:val="single"/>
        </w:rPr>
        <w:t>Suivant la couleur RAL</w:t>
      </w:r>
      <w:r>
        <w:rPr>
          <w:rStyle w:val="soitChar"/>
        </w:rPr>
        <w:t> se rapprochant le mieux que possible du RAL </w:t>
      </w:r>
      <w:r>
        <w:t> </w:t>
      </w:r>
      <w:r>
        <w:rPr>
          <w:rStyle w:val="optioncarChar"/>
        </w:rPr>
        <w:t>***</w:t>
      </w:r>
    </w:p>
    <w:p w14:paraId="16F9A264" w14:textId="77777777" w:rsidR="00DB2B68" w:rsidRDefault="00000000">
      <w:r>
        <w:t> 2.     Texture : </w:t>
      </w:r>
      <w:r>
        <w:rPr>
          <w:rStyle w:val="optioncarChar"/>
        </w:rPr>
        <w:t>suivant échantillon disponible</w:t>
      </w:r>
      <w:r>
        <w:t> (par défaut)</w:t>
      </w:r>
      <w:r>
        <w:rPr>
          <w:rStyle w:val="optioncarChar"/>
        </w:rPr>
        <w:t> / suivant échantillons à remettre pour approbation par l'architecte</w:t>
      </w:r>
    </w:p>
    <w:p w14:paraId="01D784F0" w14:textId="77777777" w:rsidR="00DB2B68" w:rsidRDefault="00000000">
      <w:r>
        <w:rPr>
          <w:b/>
          <w:i/>
        </w:rPr>
        <w:t>(soit par défaut)</w:t>
      </w:r>
    </w:p>
    <w:p w14:paraId="44139DEA" w14:textId="77777777" w:rsidR="00DB2B68" w:rsidRDefault="00000000">
      <w:r>
        <w:rPr>
          <w:rStyle w:val="soitChar"/>
          <w:u w:val="single"/>
        </w:rPr>
        <w:t>Suivant échantillon disponible</w:t>
      </w:r>
      <w:r>
        <w:t> </w:t>
      </w:r>
      <w:r>
        <w:rPr>
          <w:rStyle w:val="optioncarChar"/>
        </w:rPr>
        <w:t xml:space="preserve">auprès du bureau d’architecte </w:t>
      </w:r>
      <w:r>
        <w:t>(par défaut) </w:t>
      </w:r>
      <w:r>
        <w:rPr>
          <w:rStyle w:val="optioncarChar"/>
        </w:rPr>
        <w:t>/ sur chantier / auprès du fabricant</w:t>
      </w:r>
    </w:p>
    <w:p w14:paraId="3F9DF2BA" w14:textId="77777777" w:rsidR="00DB2B68" w:rsidRDefault="00000000">
      <w:r>
        <w:rPr>
          <w:b/>
          <w:i/>
        </w:rPr>
        <w:t>(soit)</w:t>
      </w:r>
    </w:p>
    <w:p w14:paraId="29759673" w14:textId="77777777" w:rsidR="00DB2B68" w:rsidRDefault="00000000">
      <w:r>
        <w:rPr>
          <w:rStyle w:val="soitChar"/>
          <w:u w:val="single"/>
        </w:rPr>
        <w:t>Echantillons à remettre pour approbation par l’architecte: </w:t>
      </w:r>
      <w:r>
        <w:t> </w:t>
      </w:r>
    </w:p>
    <w:p w14:paraId="1F197B31" w14:textId="77777777" w:rsidR="00DB2B68" w:rsidRDefault="00000000">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2F97D03B" w14:textId="77777777" w:rsidR="00DB2B68" w:rsidRDefault="00000000">
      <w:r>
        <w:t>3.     Terminaison des arêtes</w:t>
      </w:r>
    </w:p>
    <w:p w14:paraId="6E1C4192" w14:textId="77777777" w:rsidR="00DB2B68" w:rsidRDefault="00000000">
      <w:r>
        <w:t>Les arêtes saillantes des parois sont </w:t>
      </w:r>
      <w:r>
        <w:rPr>
          <w:rStyle w:val="optioncarChar"/>
        </w:rPr>
        <w:t>chanfreinées en triangle </w:t>
      </w:r>
      <w:r>
        <w:t>(par défaut)</w:t>
      </w:r>
      <w:r>
        <w:rPr>
          <w:rStyle w:val="optioncarChar"/>
        </w:rPr>
        <w:t xml:space="preserve"> /chanfreinées en arrondi / vives</w:t>
      </w:r>
    </w:p>
    <w:p w14:paraId="4D0C6B95" w14:textId="77777777" w:rsidR="00DB2B68" w:rsidRDefault="00000000">
      <w:r>
        <w:rPr>
          <w:b/>
          <w:i/>
        </w:rPr>
        <w:t>(soit)</w:t>
      </w:r>
    </w:p>
    <w:p w14:paraId="7088228B" w14:textId="77777777" w:rsidR="00DB2B68" w:rsidRDefault="00000000">
      <w:r>
        <w:br/>
      </w:r>
      <w:r>
        <w:rPr>
          <w:rStyle w:val="soitChar"/>
          <w:u w:val="single"/>
        </w:rPr>
        <w:t>chanfreinées en triangle</w:t>
      </w:r>
      <w:r>
        <w:br/>
      </w:r>
      <w:r>
        <w:rPr>
          <w:rStyle w:val="soitChar"/>
        </w:rPr>
        <w:t>Les arêtes sont cassées au moyen d'un chanfrein de</w:t>
      </w:r>
      <w:r>
        <w:rPr>
          <w:rStyle w:val="optioncarChar"/>
        </w:rPr>
        <w:t>1,5 x 1,5</w:t>
      </w:r>
      <w:r>
        <w:t> (par défaut)</w:t>
      </w:r>
      <w:r>
        <w:rPr>
          <w:rStyle w:val="optioncarChar"/>
        </w:rPr>
        <w:t xml:space="preserve"> / 2,5 x 2,5 / *** cm x *** cm.</w:t>
      </w:r>
    </w:p>
    <w:p w14:paraId="31A23285" w14:textId="77777777" w:rsidR="00DB2B68" w:rsidRDefault="00000000">
      <w:r>
        <w:br/>
      </w:r>
      <w:r>
        <w:rPr>
          <w:b/>
          <w:i/>
        </w:rPr>
        <w:t>(soit)</w:t>
      </w:r>
    </w:p>
    <w:p w14:paraId="3678F441" w14:textId="77777777" w:rsidR="00DB2B68" w:rsidRDefault="00000000">
      <w:r>
        <w:br/>
      </w:r>
      <w:r>
        <w:rPr>
          <w:rStyle w:val="soitChar"/>
          <w:u w:val="single"/>
        </w:rPr>
        <w:t>chanfreinées en arrondi</w:t>
      </w:r>
      <w:r>
        <w:br/>
      </w:r>
      <w:r>
        <w:rPr>
          <w:rStyle w:val="soitChar"/>
        </w:rPr>
        <w:t>Les arêtes sont cassées au moyen d'un chanfrein de rayon</w:t>
      </w:r>
      <w:r>
        <w:rPr>
          <w:rStyle w:val="optioncarChar"/>
        </w:rPr>
        <w:t>1,5 </w:t>
      </w:r>
      <w:r>
        <w:t>(par défaut)</w:t>
      </w:r>
      <w:r>
        <w:rPr>
          <w:rStyle w:val="optioncarChar"/>
        </w:rPr>
        <w:t xml:space="preserve"> / 2,5 / ***cm</w:t>
      </w:r>
      <w:r>
        <w:t> .</w:t>
      </w:r>
    </w:p>
    <w:p w14:paraId="593F3695" w14:textId="77777777" w:rsidR="00DB2B68" w:rsidRDefault="00000000">
      <w:r>
        <w:br/>
      </w:r>
      <w:r>
        <w:rPr>
          <w:b/>
          <w:i/>
        </w:rPr>
        <w:t>(soit)</w:t>
      </w:r>
    </w:p>
    <w:p w14:paraId="691DCB37" w14:textId="77777777" w:rsidR="00DB2B68" w:rsidRDefault="00000000">
      <w:r>
        <w:br/>
      </w:r>
      <w:r>
        <w:rPr>
          <w:rStyle w:val="soitChar"/>
          <w:u w:val="single"/>
        </w:rPr>
        <w:t>vives</w:t>
      </w:r>
    </w:p>
    <w:p w14:paraId="3709FC0F" w14:textId="77777777" w:rsidR="00DB2B68" w:rsidRDefault="00000000">
      <w:pPr>
        <w:pStyle w:val="pheading"/>
      </w:pPr>
      <w:r>
        <w:t>EXÉCUTION / MISE EN ŒUVRE</w:t>
      </w:r>
    </w:p>
    <w:p w14:paraId="1517A7B0" w14:textId="77777777" w:rsidR="00DB2B68" w:rsidRDefault="00000000">
      <w:pPr>
        <w:pStyle w:val="pheading"/>
      </w:pPr>
      <w:r>
        <w:t>- Prescriptions générales</w:t>
      </w:r>
    </w:p>
    <w:p w14:paraId="4788D56B" w14:textId="77777777" w:rsidR="00DB2B68" w:rsidRDefault="00000000">
      <w:pPr>
        <w:jc w:val="both"/>
      </w:pPr>
      <w:r>
        <w:t>Le plan de pose doit être approuvé par l’entrepreneur ou le bureau d’études.</w:t>
      </w:r>
    </w:p>
    <w:p w14:paraId="67703279" w14:textId="77777777" w:rsidR="00DB2B68" w:rsidRDefault="00000000">
      <w:pPr>
        <w:jc w:val="both"/>
      </w:pPr>
      <w:r>
        <w:t>Les parois sont fabriquées dans les dimensions indiquées sur les plans d’exécution approuvés.</w:t>
      </w:r>
    </w:p>
    <w:p w14:paraId="564D4C88" w14:textId="77777777" w:rsidR="00DB2B68" w:rsidRDefault="00000000">
      <w:pPr>
        <w:jc w:val="both"/>
      </w:pPr>
      <w:r>
        <w:t>La mise en œuvre est conforme aux normes [NBN EN 13670] et [NBN B 15-400].</w:t>
      </w:r>
    </w:p>
    <w:p w14:paraId="6E7DF1EB" w14:textId="77777777" w:rsidR="00DB2B68" w:rsidRDefault="00000000">
      <w:pPr>
        <w:jc w:val="both"/>
      </w:pPr>
      <w:r>
        <w:t>L’alignement des parois est réalisé au moyens d’étais et de madriers en bois parfaitement alignés.</w:t>
      </w:r>
    </w:p>
    <w:p w14:paraId="70B6AF84" w14:textId="77777777" w:rsidR="00DB2B68" w:rsidRDefault="00000000">
      <w:pPr>
        <w:jc w:val="both"/>
      </w:pPr>
      <w:r>
        <w:t>Le sol/support devra être non travaillé et stable.</w:t>
      </w:r>
    </w:p>
    <w:p w14:paraId="2B785191" w14:textId="77777777" w:rsidR="00DB2B68" w:rsidRDefault="00000000">
      <w:pPr>
        <w:jc w:val="both"/>
      </w:pPr>
      <w:r>
        <w:t>La verticalité doit être garantie par la pose préalable de madrier en bois</w:t>
      </w:r>
    </w:p>
    <w:p w14:paraId="41DDEFD5" w14:textId="77777777" w:rsidR="00DB2B68" w:rsidRDefault="00000000">
      <w:pPr>
        <w:jc w:val="both"/>
      </w:pPr>
      <w:r>
        <w:lastRenderedPageBreak/>
        <w:t>Si les parois doivent être étanches à l’eau, il y a lieu que la mise en œuvre soit conforme à la [NIT 247] et à la [NIT 250].</w:t>
      </w:r>
    </w:p>
    <w:p w14:paraId="7A469525" w14:textId="77777777" w:rsidR="00DB2B68" w:rsidRDefault="00000000">
      <w:pPr>
        <w:pStyle w:val="pheading"/>
      </w:pPr>
      <w:r>
        <w:t>DOCUMENTS DE RÉFÉRENCE COMPLÉMENTAIRES</w:t>
      </w:r>
    </w:p>
    <w:p w14:paraId="00D49352" w14:textId="77777777" w:rsidR="00DB2B68" w:rsidRDefault="00000000">
      <w:pPr>
        <w:pStyle w:val="pheading"/>
      </w:pPr>
      <w:r>
        <w:t>- Matériau</w:t>
      </w:r>
    </w:p>
    <w:p w14:paraId="76247366" w14:textId="77777777" w:rsidR="00DB2B68" w:rsidRDefault="00000000">
      <w:r>
        <w:t>[NBN EN 14992+A1, Produits préfabriqués en béton - Eléments de mur]</w:t>
      </w:r>
      <w:r>
        <w:br/>
      </w:r>
      <w:r>
        <w:br/>
        <w:t>[RA 21-612, Règlement d'application Benor - Produits préfabriqués en béton - Eléments de murs]</w:t>
      </w:r>
      <w:r>
        <w:br/>
      </w:r>
      <w:r>
        <w:br/>
        <w:t>[Buildwise Méthode de dimensionnement Rapport 10, Sécurité et mise en oeuvre d'éléments préfabriqués en béton]</w:t>
      </w:r>
    </w:p>
    <w:p w14:paraId="6F6BFC40" w14:textId="77777777" w:rsidR="00DB2B68" w:rsidRDefault="00000000">
      <w:r>
        <w:t>[PTV 21-601, Eléments préfabriqués en béton architectonique.]</w:t>
      </w:r>
    </w:p>
    <w:p w14:paraId="1CB913B8" w14:textId="77777777" w:rsidR="00DB2B68" w:rsidRDefault="00000000">
      <w:r>
        <w:t>[NBN EN 206:2013+A2, Béton - Spécification, performances, production et conformité]</w:t>
      </w:r>
    </w:p>
    <w:p w14:paraId="0336460D" w14:textId="77777777" w:rsidR="00DB2B68" w:rsidRDefault="00000000">
      <w:r>
        <w:t>[NBN B 15-001, Béton - Spécification, performances, production et conformité - Complément national à la NBN EN 206:2013+A2:2021]</w:t>
      </w:r>
    </w:p>
    <w:p w14:paraId="542A09C8" w14:textId="77777777" w:rsidR="00DB2B68" w:rsidRDefault="00000000">
      <w:pPr>
        <w:ind w:left="750"/>
      </w:pPr>
      <w:r>
        <w:t> </w:t>
      </w:r>
    </w:p>
    <w:p w14:paraId="6BC62C2D" w14:textId="77777777" w:rsidR="00DB2B68" w:rsidRDefault="00000000">
      <w:pPr>
        <w:pStyle w:val="pheading"/>
      </w:pPr>
      <w:r>
        <w:t>- Exécution</w:t>
      </w:r>
    </w:p>
    <w:p w14:paraId="2C99A81E" w14:textId="77777777" w:rsidR="00DB2B68" w:rsidRDefault="00000000">
      <w:r>
        <w:t>[NIT 247, Conception et exécution des ouvrages étanches en béton]</w:t>
      </w:r>
    </w:p>
    <w:p w14:paraId="1DD364C9" w14:textId="77777777" w:rsidR="00DB2B68" w:rsidRDefault="00000000">
      <w:r>
        <w:t>[NIT 250, Détails de référence pour les constructions enterrées]</w:t>
      </w:r>
    </w:p>
    <w:p w14:paraId="51CE3D59" w14:textId="77777777" w:rsidR="00DB2B68" w:rsidRDefault="00000000">
      <w:r>
        <w:t>[NBN EN 13670, Exécution des structures en béton]</w:t>
      </w:r>
    </w:p>
    <w:p w14:paraId="7014605D" w14:textId="77777777" w:rsidR="00DB2B68" w:rsidRDefault="00000000">
      <w:r>
        <w:t>[NBN B 15-400, Exécution des structures en béton - Supplément national à la NBN EN 13670:2010]</w:t>
      </w:r>
    </w:p>
    <w:p w14:paraId="58C1B23D" w14:textId="77777777" w:rsidR="00DB2B68" w:rsidRDefault="00000000">
      <w:r>
        <w:t>[NBN EN 13369, Règles communes pour les produits préfabriqués en béton]</w:t>
      </w:r>
    </w:p>
    <w:p w14:paraId="19DFC214" w14:textId="77777777" w:rsidR="00DB2B68" w:rsidRDefault="00000000">
      <w:r>
        <w:t>[NBN B 21-600, Règles communes pour les produits préfabriqués en béton - Complément national à la NBN EN 13369:2004+A1:2006+AC:2006]</w:t>
      </w:r>
    </w:p>
    <w:p w14:paraId="38252CAB" w14:textId="77777777" w:rsidR="00DB2B68" w:rsidRDefault="00000000">
      <w:pPr>
        <w:pStyle w:val="pheading"/>
      </w:pPr>
      <w:r>
        <w:t>MESURAGE</w:t>
      </w:r>
    </w:p>
    <w:p w14:paraId="052F66D4" w14:textId="77777777" w:rsidR="00DB2B68" w:rsidRDefault="00000000">
      <w:pPr>
        <w:pStyle w:val="pheading"/>
      </w:pPr>
      <w:r>
        <w:t>- unité de mesure:</w:t>
      </w:r>
    </w:p>
    <w:p w14:paraId="06888A2B" w14:textId="77777777" w:rsidR="00DB2B68" w:rsidRDefault="00000000">
      <w:r>
        <w:rPr>
          <w:rStyle w:val="optioncarChar"/>
        </w:rPr>
        <w:t>m³</w:t>
      </w:r>
      <w:r>
        <w:t> (par défaut) </w:t>
      </w:r>
      <w:r>
        <w:rPr>
          <w:rStyle w:val="optioncarChar"/>
        </w:rPr>
        <w:t>/ pc / m / m² </w:t>
      </w:r>
    </w:p>
    <w:p w14:paraId="3F293B1C" w14:textId="77777777" w:rsidR="00DB2B68" w:rsidRDefault="00000000">
      <w:r>
        <w:rPr>
          <w:b/>
          <w:i/>
        </w:rPr>
        <w:t>(Soit par défaut)</w:t>
      </w:r>
    </w:p>
    <w:p w14:paraId="2BCD7073" w14:textId="77777777" w:rsidR="00DB2B68" w:rsidRDefault="00000000">
      <w:r>
        <w:rPr>
          <w:rStyle w:val="soitChar"/>
        </w:rPr>
        <w:t>1. m³</w:t>
      </w:r>
    </w:p>
    <w:p w14:paraId="035FA600" w14:textId="77777777" w:rsidR="00DB2B68" w:rsidRDefault="00000000">
      <w:r>
        <w:rPr>
          <w:b/>
          <w:i/>
        </w:rPr>
        <w:t>(Soit)</w:t>
      </w:r>
    </w:p>
    <w:p w14:paraId="077006A6" w14:textId="77777777" w:rsidR="00DB2B68" w:rsidRDefault="00000000">
      <w:r>
        <w:rPr>
          <w:rStyle w:val="soitChar"/>
        </w:rPr>
        <w:t>2. pc</w:t>
      </w:r>
    </w:p>
    <w:p w14:paraId="6FBBCE11" w14:textId="77777777" w:rsidR="00DB2B68" w:rsidRDefault="00000000">
      <w:r>
        <w:rPr>
          <w:b/>
          <w:i/>
        </w:rPr>
        <w:t>(Soit)</w:t>
      </w:r>
    </w:p>
    <w:p w14:paraId="12DD521F" w14:textId="77777777" w:rsidR="00DB2B68" w:rsidRDefault="00000000">
      <w:r>
        <w:rPr>
          <w:rStyle w:val="soitChar"/>
        </w:rPr>
        <w:t>3. m</w:t>
      </w:r>
    </w:p>
    <w:p w14:paraId="4FA43120" w14:textId="77777777" w:rsidR="00DB2B68" w:rsidRDefault="00000000">
      <w:r>
        <w:rPr>
          <w:b/>
          <w:i/>
        </w:rPr>
        <w:t>(Soit)</w:t>
      </w:r>
    </w:p>
    <w:p w14:paraId="68FD6580" w14:textId="77777777" w:rsidR="00DB2B68" w:rsidRDefault="00000000">
      <w:r>
        <w:rPr>
          <w:rStyle w:val="soitChar"/>
        </w:rPr>
        <w:t>4. m²</w:t>
      </w:r>
    </w:p>
    <w:p w14:paraId="5C2BC746" w14:textId="77777777" w:rsidR="00DB2B68" w:rsidRDefault="00000000">
      <w:pPr>
        <w:pStyle w:val="pheading"/>
      </w:pPr>
      <w:r>
        <w:t>- code de mesurage:</w:t>
      </w:r>
    </w:p>
    <w:p w14:paraId="1688B83A" w14:textId="77777777" w:rsidR="00DB2B68" w:rsidRDefault="00000000">
      <w:r>
        <w:rPr>
          <w:rStyle w:val="optioncarChar"/>
        </w:rPr>
        <w:t>Volume net </w:t>
      </w:r>
      <w:r>
        <w:t>(par défaut)</w:t>
      </w:r>
      <w:r>
        <w:rPr>
          <w:rStyle w:val="optioncarChar"/>
        </w:rPr>
        <w:t> / quantité nette / longueur nette / surface nette</w:t>
      </w:r>
    </w:p>
    <w:p w14:paraId="16103CD9" w14:textId="77777777" w:rsidR="00DB2B68" w:rsidRDefault="00000000">
      <w:r>
        <w:rPr>
          <w:b/>
          <w:i/>
        </w:rPr>
        <w:t>(Soit par défaut)</w:t>
      </w:r>
    </w:p>
    <w:p w14:paraId="07FB1805" w14:textId="77777777" w:rsidR="00DB2B68" w:rsidRDefault="00000000">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46D51A5C" w14:textId="77777777" w:rsidR="00DB2B68" w:rsidRDefault="00000000">
      <w:r>
        <w:rPr>
          <w:rStyle w:val="soitChar"/>
        </w:rPr>
        <w:lastRenderedPageBreak/>
        <w:t>Aucune déduction n'est faite pour:</w:t>
      </w:r>
    </w:p>
    <w:p w14:paraId="78610B24" w14:textId="77777777" w:rsidR="00DB2B68" w:rsidRDefault="00000000">
      <w:pPr>
        <w:pStyle w:val="Author-eListParagraph"/>
        <w:numPr>
          <w:ilvl w:val="0"/>
          <w:numId w:val="524"/>
        </w:numPr>
      </w:pPr>
      <w:r>
        <w:rPr>
          <w:rStyle w:val="soitChar"/>
        </w:rPr>
        <w:t>le volume des armatures,</w:t>
      </w:r>
    </w:p>
    <w:p w14:paraId="3DF56E79" w14:textId="77777777" w:rsidR="00DB2B68" w:rsidRDefault="00000000">
      <w:pPr>
        <w:pStyle w:val="Author-eListParagraph"/>
        <w:numPr>
          <w:ilvl w:val="0"/>
          <w:numId w:val="524"/>
        </w:numPr>
      </w:pPr>
      <w:r>
        <w:rPr>
          <w:rStyle w:val="soitChar"/>
        </w:rPr>
        <w:t>les blocs et écarteurs, les fourreaux pour les armatures de précontrainte ;</w:t>
      </w:r>
    </w:p>
    <w:p w14:paraId="0B9BDE51" w14:textId="77777777" w:rsidR="00DB2B68" w:rsidRDefault="00000000">
      <w:pPr>
        <w:pStyle w:val="Author-eListParagraph"/>
        <w:numPr>
          <w:ilvl w:val="0"/>
          <w:numId w:val="524"/>
        </w:numPr>
      </w:pPr>
      <w:r>
        <w:rPr>
          <w:rStyle w:val="soitChar"/>
        </w:rPr>
        <w:t>les pénétrations pour les pattes d’ancrage, les creux, les conduites noyées et les réservations dont le volume est inférieur à 0,05 m3.</w:t>
      </w:r>
    </w:p>
    <w:p w14:paraId="75AC9267" w14:textId="77777777" w:rsidR="00DB2B68" w:rsidRDefault="00000000">
      <w:pPr>
        <w:pStyle w:val="Author-eListParagraph"/>
        <w:numPr>
          <w:ilvl w:val="0"/>
          <w:numId w:val="524"/>
        </w:numPr>
      </w:pPr>
      <w:r>
        <w:rPr>
          <w:rStyle w:val="soitChar"/>
        </w:rPr>
        <w:t>les chanfreins et tous les profils dont la section a une superficie inférieure à 20 cm2.</w:t>
      </w:r>
    </w:p>
    <w:p w14:paraId="78797678" w14:textId="77777777" w:rsidR="00DB2B68" w:rsidRDefault="00000000">
      <w:pPr>
        <w:pStyle w:val="Author-eListParagraph"/>
        <w:numPr>
          <w:ilvl w:val="0"/>
          <w:numId w:val="524"/>
        </w:numPr>
      </w:pPr>
      <w:r>
        <w:rPr>
          <w:rStyle w:val="soitChar"/>
        </w:rPr>
        <w:t>les rainures, encoches et languettes.</w:t>
      </w:r>
    </w:p>
    <w:p w14:paraId="66C2DFF0" w14:textId="77777777" w:rsidR="00DB2B68" w:rsidRDefault="00000000">
      <w:r>
        <w:rPr>
          <w:b/>
          <w:i/>
        </w:rPr>
        <w:t>(Soit)</w:t>
      </w:r>
    </w:p>
    <w:p w14:paraId="5D15EE40" w14:textId="77777777" w:rsidR="00DB2B68" w:rsidRDefault="00000000">
      <w:r>
        <w:t>2. Quantité nette</w:t>
      </w:r>
    </w:p>
    <w:p w14:paraId="2D61F4F4" w14:textId="77777777" w:rsidR="00DB2B68" w:rsidRDefault="00000000">
      <w:r>
        <w:rPr>
          <w:b/>
          <w:i/>
        </w:rPr>
        <w:t>(Soit)</w:t>
      </w:r>
    </w:p>
    <w:p w14:paraId="21FEF71B" w14:textId="77777777" w:rsidR="00DB2B68" w:rsidRDefault="00000000">
      <w:r>
        <w:t>3. Longueur nette</w:t>
      </w:r>
    </w:p>
    <w:p w14:paraId="4D5A7EB4" w14:textId="77777777" w:rsidR="00DB2B68" w:rsidRDefault="00000000">
      <w:r>
        <w:rPr>
          <w:b/>
          <w:i/>
        </w:rPr>
        <w:t>(Soit)</w:t>
      </w:r>
    </w:p>
    <w:p w14:paraId="23BBAC90" w14:textId="77777777" w:rsidR="00DB2B68" w:rsidRDefault="00000000">
      <w:r>
        <w:t>4. Surface nette</w:t>
      </w:r>
    </w:p>
    <w:p w14:paraId="71D7DCBD" w14:textId="77777777" w:rsidR="00DB2B68" w:rsidRDefault="00000000">
      <w:pPr>
        <w:pStyle w:val="pheading"/>
      </w:pPr>
      <w:r>
        <w:t>- nature du marché:</w:t>
      </w:r>
    </w:p>
    <w:p w14:paraId="013C22FE" w14:textId="77777777" w:rsidR="00DB2B68" w:rsidRDefault="00000000">
      <w:r>
        <w:rPr>
          <w:rStyle w:val="optioncarChar"/>
        </w:rPr>
        <w:t>QF</w:t>
      </w:r>
      <w:r>
        <w:t xml:space="preserve"> (par défaut)</w:t>
      </w:r>
      <w:r>
        <w:rPr>
          <w:rStyle w:val="optioncarChar"/>
        </w:rPr>
        <w:t xml:space="preserve"> / QP</w:t>
      </w:r>
    </w:p>
    <w:p w14:paraId="7B172623" w14:textId="77777777" w:rsidR="00DB2B68" w:rsidRDefault="00000000">
      <w:r>
        <w:rPr>
          <w:b/>
          <w:i/>
        </w:rPr>
        <w:t>(Soit par défaut)</w:t>
      </w:r>
    </w:p>
    <w:p w14:paraId="421F11F0" w14:textId="77777777" w:rsidR="00DB2B68" w:rsidRDefault="00000000">
      <w:r>
        <w:rPr>
          <w:rStyle w:val="soitChar"/>
        </w:rPr>
        <w:t>1. 2. 3. 4. QF</w:t>
      </w:r>
    </w:p>
    <w:p w14:paraId="3D0007EB" w14:textId="77777777" w:rsidR="00DB2B68" w:rsidRDefault="00000000">
      <w:r>
        <w:rPr>
          <w:b/>
          <w:i/>
        </w:rPr>
        <w:t>(Soit)</w:t>
      </w:r>
    </w:p>
    <w:p w14:paraId="453C9325" w14:textId="77777777" w:rsidR="00DB2B68" w:rsidRDefault="00000000">
      <w:r>
        <w:rPr>
          <w:rStyle w:val="soitChar"/>
        </w:rPr>
        <w:t>1. 2. 3. 4. QP</w:t>
      </w:r>
    </w:p>
    <w:p w14:paraId="3FE5C4F0" w14:textId="77777777" w:rsidR="00DB2B68" w:rsidRDefault="00000000">
      <w:pPr>
        <w:pStyle w:val="Author-eSectionHeading6Numberless"/>
      </w:pPr>
      <w:bookmarkStart w:id="758" w:name="_Toc220495815"/>
      <w:r>
        <w:t>22.16.4c Parois préfabriquées avec éléments de revêtement intégrés en béton décoratif / architectonique CCTB 01.13</w:t>
      </w:r>
      <w:bookmarkEnd w:id="758"/>
    </w:p>
    <w:p w14:paraId="6CC10480" w14:textId="77777777" w:rsidR="00DB2B68" w:rsidRDefault="00000000">
      <w:pPr>
        <w:pStyle w:val="pheading"/>
      </w:pPr>
      <w:r>
        <w:t>DESCRIPTION</w:t>
      </w:r>
    </w:p>
    <w:p w14:paraId="43D6901F" w14:textId="77777777" w:rsidR="00DB2B68" w:rsidRDefault="00000000">
      <w:pPr>
        <w:pStyle w:val="pheading"/>
      </w:pPr>
      <w:r>
        <w:t>- Définition / Comprend</w:t>
      </w:r>
    </w:p>
    <w:p w14:paraId="1963C536" w14:textId="77777777" w:rsidR="00DB2B68" w:rsidRDefault="00000000">
      <w:pPr>
        <w:jc w:val="both"/>
      </w:pPr>
      <w:r>
        <w:t xml:space="preserve">Cet article vise la fourniture et la pose de parois préfabriqués en béton architectonique et </w:t>
      </w:r>
      <w:r>
        <w:rPr>
          <w:rStyle w:val="optioncarChar"/>
        </w:rPr>
        <w:t>béton armé</w:t>
      </w:r>
      <w:r>
        <w:t xml:space="preserve"> (par défaut) </w:t>
      </w:r>
      <w:r>
        <w:rPr>
          <w:rStyle w:val="optioncarChar"/>
        </w:rPr>
        <w:t>/ béton précontraint</w:t>
      </w:r>
      <w:r>
        <w:t xml:space="preserve"> de forme quelconque comportant armatures et inserts.  La portée des travaux est décrite dans l’élément </w:t>
      </w:r>
      <w:hyperlink w:anchor="504" w:history="1">
        <w:r>
          <w:rPr>
            <w:color w:val="0000EE"/>
          </w:rPr>
          <w:t>22.16.4 Parois préfabriquées en béton architectonique</w:t>
        </w:r>
      </w:hyperlink>
      <w:r>
        <w:t>.</w:t>
      </w:r>
    </w:p>
    <w:p w14:paraId="23917B31" w14:textId="77777777" w:rsidR="00DB2B68" w:rsidRDefault="00000000">
      <w:pPr>
        <w:pStyle w:val="pheading"/>
      </w:pPr>
      <w:r>
        <w:t>- Localisation</w:t>
      </w:r>
    </w:p>
    <w:p w14:paraId="1F2FC0B9" w14:textId="77777777" w:rsidR="00DB2B68" w:rsidRDefault="00000000">
      <w:r>
        <w:t xml:space="preserve">La pose est réalisée aux endroits suivants : </w:t>
      </w:r>
      <w:r>
        <w:rPr>
          <w:rStyle w:val="optioncarChar"/>
        </w:rPr>
        <w:t>***</w:t>
      </w:r>
      <w:r>
        <w:t>.</w:t>
      </w:r>
    </w:p>
    <w:p w14:paraId="06013C59" w14:textId="77777777" w:rsidR="00DB2B68" w:rsidRDefault="00000000">
      <w:r>
        <w:t>Voir plans et métrés détaillés.</w:t>
      </w:r>
    </w:p>
    <w:p w14:paraId="7874CC37" w14:textId="77777777" w:rsidR="00DB2B68" w:rsidRDefault="00000000">
      <w:pPr>
        <w:pStyle w:val="pheading"/>
      </w:pPr>
      <w:r>
        <w:t>MATÉRIAUX</w:t>
      </w:r>
    </w:p>
    <w:p w14:paraId="33CB486D" w14:textId="77777777" w:rsidR="00DB2B68" w:rsidRDefault="00000000">
      <w:pPr>
        <w:pStyle w:val="pheading"/>
      </w:pPr>
      <w:r>
        <w:t>- Caractéristiques générales</w:t>
      </w:r>
    </w:p>
    <w:p w14:paraId="18A64D8D" w14:textId="77777777" w:rsidR="00DB2B68" w:rsidRDefault="00000000">
      <w:pPr>
        <w:jc w:val="both"/>
      </w:pPr>
      <w:r>
        <w:t xml:space="preserve">Dimensions : </w:t>
      </w:r>
      <w:r>
        <w:rPr>
          <w:rStyle w:val="optioncarChar"/>
        </w:rPr>
        <w:t>en fonction des résultats de l’étude de stabilité</w:t>
      </w:r>
      <w:r>
        <w:t xml:space="preserve"> (par défaut)</w:t>
      </w:r>
      <w:r>
        <w:rPr>
          <w:rStyle w:val="optioncarChar"/>
        </w:rPr>
        <w:t> / l’épaisseur de béton de la paroi ***</w:t>
      </w:r>
      <w:r>
        <w:t xml:space="preserve"> cm</w:t>
      </w:r>
    </w:p>
    <w:p w14:paraId="3EF9C66E" w14:textId="77777777" w:rsidR="00DB2B68" w:rsidRDefault="00000000">
      <w:pPr>
        <w:jc w:val="both"/>
      </w:pPr>
      <w:r>
        <w:t>Les matériaux utilisés sont conformes à la [NBN EN 14992+A1] et à la [NBN B 21-612].</w:t>
      </w:r>
    </w:p>
    <w:p w14:paraId="0F3E4A3F" w14:textId="77777777" w:rsidR="00DB2B68" w:rsidRDefault="00000000">
      <w:pPr>
        <w:jc w:val="both"/>
      </w:pPr>
      <w:r>
        <w:t>La qualité du béton est conforme à la [NBN EN 206:2013+A2] et à la [NBN B 15-001]</w:t>
      </w:r>
    </w:p>
    <w:p w14:paraId="63B31605" w14:textId="77777777" w:rsidR="00DB2B68" w:rsidRDefault="00000000">
      <w:pPr>
        <w:jc w:val="both"/>
      </w:pPr>
      <w:r>
        <w:t xml:space="preserve">La classe de résistance minimale du béton est </w:t>
      </w:r>
      <w:r>
        <w:rPr>
          <w:rStyle w:val="optioncarChar"/>
        </w:rPr>
        <w:t>suivant l’étude de stabilité </w:t>
      </w:r>
      <w:r>
        <w:t>(par défaut)</w:t>
      </w:r>
      <w:r>
        <w:rPr>
          <w:rStyle w:val="optioncarChar"/>
        </w:rPr>
        <w:t xml:space="preserve"> / C30/37 / ***</w:t>
      </w:r>
    </w:p>
    <w:p w14:paraId="6860B46D" w14:textId="77777777" w:rsidR="00DB2B68" w:rsidRDefault="00000000">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60F6A80A" w14:textId="77777777" w:rsidR="00DB2B68" w:rsidRDefault="00000000">
      <w:pPr>
        <w:jc w:val="both"/>
      </w:pPr>
      <w:r>
        <w:t> </w:t>
      </w:r>
    </w:p>
    <w:p w14:paraId="71997DCB" w14:textId="77777777" w:rsidR="00DB2B68" w:rsidRDefault="00000000">
      <w:pPr>
        <w:jc w:val="both"/>
      </w:pPr>
      <w:r>
        <w:rPr>
          <w:b/>
        </w:rPr>
        <w:t>Résistance au feu des parois</w:t>
      </w:r>
    </w:p>
    <w:p w14:paraId="287BBFBF" w14:textId="77777777" w:rsidR="00DB2B68" w:rsidRDefault="00000000">
      <w:pPr>
        <w:jc w:val="both"/>
      </w:pPr>
      <w:r>
        <w:t>Résistance au feu suivant la déclaration de performance (DoP) selon la norme produit [NBN EN 14992+A1] et [NBN B 21-612].</w:t>
      </w:r>
    </w:p>
    <w:p w14:paraId="2E77C48D" w14:textId="77777777" w:rsidR="00DB2B68" w:rsidRDefault="00000000">
      <w:pPr>
        <w:jc w:val="both"/>
      </w:pPr>
      <w:r>
        <w:lastRenderedPageBreak/>
        <w:t>Si la résistance au feu n’est pas déclarée sous marquage CE, elle est démontrée au moyen d’un essai au feu selon la [NBN EN 13501-2] ou par calcul selon les Eurocodes conformément à l’[AM 2013-05-17]</w:t>
      </w:r>
    </w:p>
    <w:p w14:paraId="43BC179C" w14:textId="77777777" w:rsidR="00DB2B68" w:rsidRDefault="00000000">
      <w:pPr>
        <w:pStyle w:val="Author-eListParagraph"/>
        <w:numPr>
          <w:ilvl w:val="0"/>
          <w:numId w:val="525"/>
        </w:numPr>
      </w:pPr>
      <w:r>
        <w:t>pour les éléments porteurs sans fonction séparant :</w:t>
      </w:r>
      <w:r>
        <w:rPr>
          <w:rStyle w:val="optioncarChar"/>
        </w:rPr>
        <w:t xml:space="preserve"> R15 / R30 </w:t>
      </w:r>
      <w:r>
        <w:t>(par défaut)</w:t>
      </w:r>
      <w:r>
        <w:rPr>
          <w:rStyle w:val="optioncarChar"/>
        </w:rPr>
        <w:t xml:space="preserve"> / R60 / R120 / R ***</w:t>
      </w:r>
    </w:p>
    <w:p w14:paraId="21E292F7" w14:textId="77777777" w:rsidR="00DB2B68" w:rsidRDefault="00000000">
      <w:pPr>
        <w:pStyle w:val="Author-eListParagraph"/>
        <w:numPr>
          <w:ilvl w:val="0"/>
          <w:numId w:val="525"/>
        </w:numPr>
      </w:pPr>
      <w:r>
        <w:t xml:space="preserve">pour les éléments porteurs avec fonction séparant : </w:t>
      </w:r>
      <w:r>
        <w:rPr>
          <w:rStyle w:val="optioncarChar"/>
        </w:rPr>
        <w:t>REI 30 </w:t>
      </w:r>
      <w:r>
        <w:t xml:space="preserve">(par défaut) </w:t>
      </w:r>
      <w:r>
        <w:rPr>
          <w:rStyle w:val="optioncarChar"/>
        </w:rPr>
        <w:t>/ REI 60 / REI 120 / REI *** </w:t>
      </w:r>
    </w:p>
    <w:p w14:paraId="0C2CD8AA" w14:textId="77777777" w:rsidR="00DB2B68" w:rsidRDefault="00000000">
      <w:pPr>
        <w:pStyle w:val="Author-eListParagraph"/>
        <w:numPr>
          <w:ilvl w:val="0"/>
          <w:numId w:val="525"/>
        </w:numPr>
      </w:pPr>
      <w:r>
        <w:t xml:space="preserve">pour les éléments non porteurs avec fonction séparant : </w:t>
      </w:r>
      <w:r>
        <w:rPr>
          <w:rStyle w:val="optioncarChar"/>
        </w:rPr>
        <w:t>EI 30 </w:t>
      </w:r>
      <w:r>
        <w:t>(par défaut)</w:t>
      </w:r>
      <w:r>
        <w:rPr>
          <w:rStyle w:val="optioncarChar"/>
        </w:rPr>
        <w:t xml:space="preserve"> / EI 60 / EI 120 / EI ***</w:t>
      </w:r>
    </w:p>
    <w:p w14:paraId="2F809773" w14:textId="77777777" w:rsidR="00DB2B68" w:rsidRDefault="00000000">
      <w:pPr>
        <w:jc w:val="both"/>
      </w:pPr>
      <w:r>
        <w:rPr>
          <w:b/>
        </w:rPr>
        <w:t>Classe d’étanchéité</w:t>
      </w:r>
    </w:p>
    <w:p w14:paraId="733ED843" w14:textId="77777777" w:rsidR="00DB2B68" w:rsidRDefault="00000000">
      <w:pPr>
        <w:jc w:val="both"/>
      </w:pPr>
      <w:r>
        <w:t>La classe d’étanchéité à l’eau des parois selon la [NBN EN 1992-3] est :</w:t>
      </w:r>
      <w:r>
        <w:rPr>
          <w:rStyle w:val="optioncarChar"/>
        </w:rPr>
        <w:t xml:space="preserve"> classe 0</w:t>
      </w:r>
      <w:r>
        <w:t xml:space="preserve"> (par défaut)</w:t>
      </w:r>
      <w:r>
        <w:rPr>
          <w:rStyle w:val="optioncarChar"/>
        </w:rPr>
        <w:t xml:space="preserve"> / classe 1 / classe 2 / classe 3</w:t>
      </w:r>
      <w:r>
        <w:t>. Pour la classe 1, l’épaisseur minimale des parois sera de 100mm.  Pour les classes 2 et 3, l’épaisseur minimale est de 200 mm.</w:t>
      </w:r>
    </w:p>
    <w:p w14:paraId="4CFB791A" w14:textId="77777777" w:rsidR="00DB2B68" w:rsidRDefault="00000000">
      <w:pPr>
        <w:ind w:left="750"/>
      </w:pPr>
      <w:r>
        <w:t> </w:t>
      </w:r>
    </w:p>
    <w:p w14:paraId="6661B089" w14:textId="77777777" w:rsidR="00DB2B68" w:rsidRDefault="00000000">
      <w:pPr>
        <w:pStyle w:val="pheading"/>
      </w:pPr>
      <w:r>
        <w:t>- Finitions</w:t>
      </w:r>
    </w:p>
    <w:p w14:paraId="4CBE6CA8" w14:textId="77777777" w:rsidR="00DB2B68" w:rsidRDefault="00000000">
      <w:pPr>
        <w:jc w:val="both"/>
      </w:pPr>
      <w:r>
        <w:t xml:space="preserve">Les finitions sont décrites dans le [PTV 21-601] (voir également </w:t>
      </w:r>
      <w:hyperlink w:anchor="87" w:history="1">
        <w:r>
          <w:rPr>
            <w:color w:val="0000EE"/>
          </w:rPr>
          <w:t>22 Superstructures en béton</w:t>
        </w:r>
      </w:hyperlink>
      <w:r>
        <w:t>).</w:t>
      </w:r>
    </w:p>
    <w:p w14:paraId="405B50A8" w14:textId="77777777" w:rsidR="00DB2B68" w:rsidRDefault="00000000">
      <w:pPr>
        <w:jc w:val="both"/>
      </w:pPr>
      <w:r>
        <w:t>Description détaillée de la paroi :</w:t>
      </w:r>
    </w:p>
    <w:p w14:paraId="0A321EE4" w14:textId="77777777" w:rsidR="00DB2B68" w:rsidRDefault="00000000">
      <w:r>
        <w:t>1. Eléments intégrés suivant dessin de l’architecte :</w:t>
      </w:r>
      <w:r>
        <w:rPr>
          <w:rStyle w:val="optioncarChar"/>
        </w:rPr>
        <w:t xml:space="preserve">briques </w:t>
      </w:r>
      <w:r>
        <w:t>(par défaut) </w:t>
      </w:r>
      <w:r>
        <w:rPr>
          <w:rStyle w:val="optioncarChar"/>
        </w:rPr>
        <w:t>/ pierre bleue / pierre de France / ***</w:t>
      </w:r>
      <w:r>
        <w:br/>
        <w:t>Les éléments intégrés sont conformes aux exigences de leurs normes respectives</w:t>
      </w:r>
      <w:r>
        <w:br/>
        <w:t>2. Terminaison des arêtes</w:t>
      </w:r>
    </w:p>
    <w:p w14:paraId="3FD7CCD9" w14:textId="77777777" w:rsidR="00DB2B68" w:rsidRDefault="00000000">
      <w:r>
        <w:t>Les arêtes saillantes des parois sont</w:t>
      </w:r>
      <w:r>
        <w:rPr>
          <w:rStyle w:val="optioncarChar"/>
        </w:rPr>
        <w:t xml:space="preserve"> chanfreinées en triangle </w:t>
      </w:r>
      <w:r>
        <w:t>(par défaut)</w:t>
      </w:r>
      <w:r>
        <w:rPr>
          <w:rStyle w:val="optioncarChar"/>
        </w:rPr>
        <w:t xml:space="preserve"> / chanfreinées en arrondi / vives</w:t>
      </w:r>
    </w:p>
    <w:p w14:paraId="54DA6744" w14:textId="77777777" w:rsidR="00DB2B68" w:rsidRDefault="00000000">
      <w:pPr>
        <w:ind w:left="567"/>
        <w:jc w:val="both"/>
      </w:pPr>
      <w:r>
        <w:rPr>
          <w:b/>
          <w:i/>
        </w:rPr>
        <w:t>(soit par défaut)</w:t>
      </w:r>
    </w:p>
    <w:p w14:paraId="59B86BA6" w14:textId="77777777" w:rsidR="00DB2B68" w:rsidRDefault="00000000">
      <w:pPr>
        <w:ind w:left="567"/>
        <w:jc w:val="both"/>
      </w:pPr>
      <w:r>
        <w:rPr>
          <w:rStyle w:val="soitChar"/>
          <w:u w:val="single"/>
        </w:rPr>
        <w:t>chanfreinées en triangle</w:t>
      </w:r>
    </w:p>
    <w:p w14:paraId="1306B83E" w14:textId="77777777" w:rsidR="00DB2B68" w:rsidRDefault="00000000">
      <w:pPr>
        <w:ind w:left="567"/>
        <w:jc w:val="both"/>
      </w:pPr>
      <w:r>
        <w:rPr>
          <w:rStyle w:val="soitChar"/>
        </w:rPr>
        <w:t xml:space="preserve"> Les arêtes sont cassées au moyen d'un chanfrein de</w:t>
      </w:r>
      <w:r>
        <w:rPr>
          <w:rStyle w:val="optioncarChar"/>
        </w:rPr>
        <w:t>1,5 x 1,5 </w:t>
      </w:r>
      <w:r>
        <w:t>(par défaut)</w:t>
      </w:r>
      <w:r>
        <w:rPr>
          <w:rStyle w:val="optioncarChar"/>
        </w:rPr>
        <w:t xml:space="preserve"> / 2,5 x 2,5 / *** cm x *** cm.</w:t>
      </w:r>
    </w:p>
    <w:p w14:paraId="03D6DC72" w14:textId="77777777" w:rsidR="00DB2B68" w:rsidRDefault="00DB2B68">
      <w:pPr>
        <w:ind w:left="567"/>
        <w:jc w:val="both"/>
      </w:pPr>
    </w:p>
    <w:p w14:paraId="64D3C48C" w14:textId="77777777" w:rsidR="00DB2B68" w:rsidRDefault="00000000">
      <w:pPr>
        <w:ind w:left="567"/>
        <w:jc w:val="both"/>
      </w:pPr>
      <w:r>
        <w:rPr>
          <w:b/>
          <w:i/>
        </w:rPr>
        <w:t>(soit)</w:t>
      </w:r>
    </w:p>
    <w:p w14:paraId="2B282579" w14:textId="77777777" w:rsidR="00DB2B68" w:rsidRDefault="00000000">
      <w:pPr>
        <w:ind w:left="567"/>
        <w:jc w:val="both"/>
      </w:pPr>
      <w:r>
        <w:rPr>
          <w:rStyle w:val="soitChar"/>
          <w:u w:val="single"/>
        </w:rPr>
        <w:t>chanfreinée en arrondi</w:t>
      </w:r>
    </w:p>
    <w:p w14:paraId="3E325B0A" w14:textId="77777777" w:rsidR="00DB2B68" w:rsidRDefault="00000000">
      <w:pPr>
        <w:ind w:left="567"/>
        <w:jc w:val="both"/>
      </w:pPr>
      <w:r>
        <w:rPr>
          <w:rStyle w:val="soitChar"/>
        </w:rPr>
        <w:t xml:space="preserve"> Les arêtes sont cassées au moyen d'un chanfrein de rayon</w:t>
      </w:r>
      <w:r>
        <w:rPr>
          <w:rStyle w:val="optioncarChar"/>
        </w:rPr>
        <w:t>1,5 </w:t>
      </w:r>
      <w:r>
        <w:t>(par défaut)</w:t>
      </w:r>
      <w:r>
        <w:rPr>
          <w:rStyle w:val="optioncarChar"/>
        </w:rPr>
        <w:t xml:space="preserve"> / 2,5 / ***</w:t>
      </w:r>
      <w:r>
        <w:rPr>
          <w:rStyle w:val="soitChar"/>
        </w:rPr>
        <w:t xml:space="preserve"> cm .</w:t>
      </w:r>
    </w:p>
    <w:p w14:paraId="2CDB5E6F" w14:textId="77777777" w:rsidR="00DB2B68" w:rsidRDefault="00DB2B68">
      <w:pPr>
        <w:ind w:left="567"/>
        <w:jc w:val="both"/>
      </w:pPr>
    </w:p>
    <w:p w14:paraId="76C28CF5" w14:textId="77777777" w:rsidR="00DB2B68" w:rsidRDefault="00000000">
      <w:pPr>
        <w:ind w:left="567"/>
        <w:jc w:val="both"/>
      </w:pPr>
      <w:r>
        <w:rPr>
          <w:b/>
          <w:i/>
        </w:rPr>
        <w:t xml:space="preserve"> (soit)</w:t>
      </w:r>
    </w:p>
    <w:p w14:paraId="20A67B88" w14:textId="77777777" w:rsidR="00DB2B68" w:rsidRDefault="00000000">
      <w:pPr>
        <w:ind w:left="567"/>
        <w:jc w:val="both"/>
      </w:pPr>
      <w:r>
        <w:rPr>
          <w:rStyle w:val="soitChar"/>
          <w:u w:val="single"/>
        </w:rPr>
        <w:t>vives</w:t>
      </w:r>
    </w:p>
    <w:p w14:paraId="2DDDD2DE" w14:textId="77777777" w:rsidR="00DB2B68" w:rsidRDefault="00000000">
      <w:pPr>
        <w:pStyle w:val="pheading"/>
      </w:pPr>
      <w:r>
        <w:t>EXÉCUTION / MISE EN ŒUVRE</w:t>
      </w:r>
    </w:p>
    <w:p w14:paraId="31EF6CE9" w14:textId="77777777" w:rsidR="00DB2B68" w:rsidRDefault="00000000">
      <w:pPr>
        <w:pStyle w:val="pheading"/>
      </w:pPr>
      <w:r>
        <w:t>- Prescriptions générales</w:t>
      </w:r>
    </w:p>
    <w:p w14:paraId="4931ED74" w14:textId="77777777" w:rsidR="00DB2B68" w:rsidRDefault="00000000">
      <w:pPr>
        <w:jc w:val="both"/>
      </w:pPr>
      <w:r>
        <w:t>Le plan de pose doit être approuvé par l’entrepreneur ou le bureau d’études.</w:t>
      </w:r>
    </w:p>
    <w:p w14:paraId="1B6F4792" w14:textId="77777777" w:rsidR="00DB2B68" w:rsidRDefault="00000000">
      <w:pPr>
        <w:jc w:val="both"/>
      </w:pPr>
      <w:r>
        <w:t>Les parois sont fabriquées dans les dimensions indiquées sur les plans d’exécution approuvés.</w:t>
      </w:r>
    </w:p>
    <w:p w14:paraId="17196A02" w14:textId="77777777" w:rsidR="00DB2B68" w:rsidRDefault="00000000">
      <w:pPr>
        <w:jc w:val="both"/>
      </w:pPr>
      <w:r>
        <w:t>La mise en œuvre est conforme aux normes [NBN EN 13670] et [NBN B 15-400].</w:t>
      </w:r>
    </w:p>
    <w:p w14:paraId="45048A85" w14:textId="77777777" w:rsidR="00DB2B68" w:rsidRDefault="00000000">
      <w:pPr>
        <w:jc w:val="both"/>
      </w:pPr>
      <w:r>
        <w:t>L’alignement des parois est réalisé au moyens d’étais et de madriers en bois parfaitement alignés.</w:t>
      </w:r>
    </w:p>
    <w:p w14:paraId="5A42E835" w14:textId="77777777" w:rsidR="00DB2B68" w:rsidRDefault="00000000">
      <w:pPr>
        <w:jc w:val="both"/>
      </w:pPr>
      <w:r>
        <w:t>Le sol/support doit être non travaillé et stable.</w:t>
      </w:r>
    </w:p>
    <w:p w14:paraId="53D31591" w14:textId="77777777" w:rsidR="00DB2B68" w:rsidRDefault="00000000">
      <w:pPr>
        <w:jc w:val="both"/>
      </w:pPr>
      <w:r>
        <w:t>La verticalité doit être garantie par la pose préalable de madrier en bois</w:t>
      </w:r>
    </w:p>
    <w:p w14:paraId="63EF2D1F" w14:textId="77777777" w:rsidR="00DB2B68" w:rsidRDefault="00000000">
      <w:pPr>
        <w:jc w:val="both"/>
      </w:pPr>
      <w:r>
        <w:t>Si les parois doivent être étanches à l’eau, il y a lieu que la mise en œuvre soit conforme à la [NIT 247] et à la [NIT 250].</w:t>
      </w:r>
    </w:p>
    <w:p w14:paraId="69A2E91B" w14:textId="77777777" w:rsidR="00DB2B68" w:rsidRDefault="00000000">
      <w:pPr>
        <w:pStyle w:val="pheading"/>
      </w:pPr>
      <w:r>
        <w:lastRenderedPageBreak/>
        <w:t>DOCUMENTS DE RÉFÉRENCE COMPLÉMENTAIRES</w:t>
      </w:r>
    </w:p>
    <w:p w14:paraId="29D5B1C3" w14:textId="77777777" w:rsidR="00DB2B68" w:rsidRDefault="00000000">
      <w:pPr>
        <w:pStyle w:val="pheading"/>
      </w:pPr>
      <w:r>
        <w:t>- Matériau</w:t>
      </w:r>
    </w:p>
    <w:p w14:paraId="06115079" w14:textId="77777777" w:rsidR="00DB2B68" w:rsidRDefault="00000000">
      <w:r>
        <w:t>[NBN EN 14992+A1, Produits préfabriqués en béton - Eléments de mur]</w:t>
      </w:r>
      <w:r>
        <w:br/>
      </w:r>
      <w:r>
        <w:br/>
        <w:t>[RA 21-612, Règlement d'application Benor - Produits préfabriqués en béton - Eléments de murs]</w:t>
      </w:r>
      <w:r>
        <w:br/>
      </w:r>
      <w:r>
        <w:br/>
        <w:t>[Buildwise Méthode de dimensionnement Rapport 10, Sécurité et mise en oeuvre d'éléments préfabriqués en béton]</w:t>
      </w:r>
    </w:p>
    <w:p w14:paraId="6148E222" w14:textId="77777777" w:rsidR="00DB2B68" w:rsidRDefault="00000000">
      <w:r>
        <w:t>[PTV 21-601, Eléments préfabriqués en béton architectonique.]</w:t>
      </w:r>
    </w:p>
    <w:p w14:paraId="44182AB0" w14:textId="77777777" w:rsidR="00DB2B68" w:rsidRDefault="00000000">
      <w:r>
        <w:t>[NBN EN 206:2013+A2, Béton - Spécification, performances, production et conformité]</w:t>
      </w:r>
    </w:p>
    <w:p w14:paraId="6E2A70D6" w14:textId="77777777" w:rsidR="00DB2B68" w:rsidRDefault="00000000">
      <w:r>
        <w:t>[NBN B 15-001, Béton - Spécification, performances, production et conformité - Complément national à la NBN EN 206:2013+A2:2021]</w:t>
      </w:r>
    </w:p>
    <w:p w14:paraId="6D37A5D8" w14:textId="77777777" w:rsidR="00DB2B68" w:rsidRDefault="00000000">
      <w:pPr>
        <w:ind w:left="750"/>
      </w:pPr>
      <w:r>
        <w:t> </w:t>
      </w:r>
    </w:p>
    <w:p w14:paraId="0AE24316" w14:textId="77777777" w:rsidR="00DB2B68" w:rsidRDefault="00000000">
      <w:pPr>
        <w:pStyle w:val="pheading"/>
      </w:pPr>
      <w:r>
        <w:t>- Exécution</w:t>
      </w:r>
    </w:p>
    <w:p w14:paraId="253460F6" w14:textId="77777777" w:rsidR="00DB2B68" w:rsidRDefault="00000000">
      <w:r>
        <w:t>[NIT 247, Conception et exécution des ouvrages étanches en béton]</w:t>
      </w:r>
    </w:p>
    <w:p w14:paraId="65787928" w14:textId="77777777" w:rsidR="00DB2B68" w:rsidRDefault="00000000">
      <w:r>
        <w:t>[NIT 250, Détails de référence pour les constructions enterrées]</w:t>
      </w:r>
    </w:p>
    <w:p w14:paraId="59CCF1C9" w14:textId="77777777" w:rsidR="00DB2B68" w:rsidRDefault="00000000">
      <w:r>
        <w:t>[NBN EN 13670, Exécution des structures en béton]</w:t>
      </w:r>
    </w:p>
    <w:p w14:paraId="26648855" w14:textId="77777777" w:rsidR="00DB2B68" w:rsidRDefault="00000000">
      <w:r>
        <w:t>[NBN B 15-400, Exécution des structures en béton - Supplément national à la NBN EN 13670:2010]</w:t>
      </w:r>
    </w:p>
    <w:p w14:paraId="79CEF653" w14:textId="77777777" w:rsidR="00DB2B68" w:rsidRDefault="00000000">
      <w:r>
        <w:t>[NBN EN 13369, Règles communes pour les produits préfabriqués en béton]</w:t>
      </w:r>
    </w:p>
    <w:p w14:paraId="13CCB901" w14:textId="77777777" w:rsidR="00DB2B68" w:rsidRDefault="00000000">
      <w:r>
        <w:t>[NBN B 21-600, Règles communes pour les produits préfabriqués en béton - Complément national à la NBN EN 13369:2004+A1:2006+AC:2006]</w:t>
      </w:r>
    </w:p>
    <w:p w14:paraId="2FE20FBD" w14:textId="77777777" w:rsidR="00DB2B68" w:rsidRDefault="00000000">
      <w:pPr>
        <w:pStyle w:val="pheading"/>
      </w:pPr>
      <w:r>
        <w:t>MESURAGE</w:t>
      </w:r>
    </w:p>
    <w:p w14:paraId="0E829E3B" w14:textId="77777777" w:rsidR="00DB2B68" w:rsidRDefault="00000000">
      <w:pPr>
        <w:pStyle w:val="pheading"/>
      </w:pPr>
      <w:r>
        <w:t>- unité de mesure:</w:t>
      </w:r>
    </w:p>
    <w:p w14:paraId="43FCE55F" w14:textId="77777777" w:rsidR="00DB2B68" w:rsidRDefault="00000000">
      <w:r>
        <w:rPr>
          <w:rStyle w:val="optioncarChar"/>
        </w:rPr>
        <w:t>m³</w:t>
      </w:r>
      <w:r>
        <w:t>  (par défaut) </w:t>
      </w:r>
      <w:r>
        <w:rPr>
          <w:rStyle w:val="optioncarChar"/>
        </w:rPr>
        <w:t>/ pc / m / m² </w:t>
      </w:r>
    </w:p>
    <w:p w14:paraId="57F8403B" w14:textId="77777777" w:rsidR="00DB2B68" w:rsidRDefault="00000000">
      <w:r>
        <w:rPr>
          <w:b/>
          <w:i/>
        </w:rPr>
        <w:t>(Soit par défaut)</w:t>
      </w:r>
    </w:p>
    <w:p w14:paraId="69C505A7" w14:textId="77777777" w:rsidR="00DB2B68" w:rsidRDefault="00000000">
      <w:r>
        <w:rPr>
          <w:rStyle w:val="soitChar"/>
        </w:rPr>
        <w:t>1. m³</w:t>
      </w:r>
    </w:p>
    <w:p w14:paraId="4676B8ED" w14:textId="77777777" w:rsidR="00DB2B68" w:rsidRDefault="00000000">
      <w:r>
        <w:rPr>
          <w:b/>
          <w:i/>
        </w:rPr>
        <w:t>(Soit)</w:t>
      </w:r>
    </w:p>
    <w:p w14:paraId="53A12D18" w14:textId="77777777" w:rsidR="00DB2B68" w:rsidRDefault="00000000">
      <w:r>
        <w:rPr>
          <w:rStyle w:val="soitChar"/>
        </w:rPr>
        <w:t>2. pc</w:t>
      </w:r>
    </w:p>
    <w:p w14:paraId="694BD91E" w14:textId="77777777" w:rsidR="00DB2B68" w:rsidRDefault="00000000">
      <w:r>
        <w:rPr>
          <w:b/>
          <w:i/>
        </w:rPr>
        <w:t>(Soit)</w:t>
      </w:r>
    </w:p>
    <w:p w14:paraId="1DD54737" w14:textId="77777777" w:rsidR="00DB2B68" w:rsidRDefault="00000000">
      <w:r>
        <w:rPr>
          <w:rStyle w:val="soitChar"/>
        </w:rPr>
        <w:t>3. m</w:t>
      </w:r>
    </w:p>
    <w:p w14:paraId="1A19D15D" w14:textId="77777777" w:rsidR="00DB2B68" w:rsidRDefault="00000000">
      <w:r>
        <w:rPr>
          <w:b/>
          <w:i/>
        </w:rPr>
        <w:t>(Soit)</w:t>
      </w:r>
    </w:p>
    <w:p w14:paraId="6B81A217" w14:textId="77777777" w:rsidR="00DB2B68" w:rsidRDefault="00000000">
      <w:r>
        <w:rPr>
          <w:rStyle w:val="soitChar"/>
        </w:rPr>
        <w:t>4. m²</w:t>
      </w:r>
    </w:p>
    <w:p w14:paraId="67344D3B" w14:textId="77777777" w:rsidR="00DB2B68" w:rsidRDefault="00000000">
      <w:pPr>
        <w:pStyle w:val="pheading"/>
      </w:pPr>
      <w:r>
        <w:t>- code de mesurage:</w:t>
      </w:r>
    </w:p>
    <w:p w14:paraId="5C83BA75" w14:textId="77777777" w:rsidR="00DB2B68" w:rsidRDefault="00000000">
      <w:r>
        <w:rPr>
          <w:rStyle w:val="optioncarChar"/>
        </w:rPr>
        <w:t xml:space="preserve">Volume net </w:t>
      </w:r>
      <w:r>
        <w:t>(par défaut)</w:t>
      </w:r>
      <w:r>
        <w:rPr>
          <w:rStyle w:val="optioncarChar"/>
        </w:rPr>
        <w:t xml:space="preserve"> / quantité nette / longueur nette / surface nette</w:t>
      </w:r>
    </w:p>
    <w:p w14:paraId="4494F52B" w14:textId="77777777" w:rsidR="00DB2B68" w:rsidRDefault="00000000">
      <w:r>
        <w:rPr>
          <w:b/>
          <w:i/>
        </w:rPr>
        <w:t>(Soit par défaut)</w:t>
      </w:r>
    </w:p>
    <w:p w14:paraId="218E4438" w14:textId="77777777" w:rsidR="00DB2B68" w:rsidRDefault="00000000">
      <w:r>
        <w:rPr>
          <w:rStyle w:val="soitChar"/>
          <w:u w:val="single"/>
        </w:rPr>
        <w:t>1. Volume net</w:t>
      </w:r>
      <w:r>
        <w:rPr>
          <w:rStyle w:val="soitChar"/>
        </w:rPr>
        <w:t xml:space="preserve">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69DBEAC3" w14:textId="77777777" w:rsidR="00DB2B68" w:rsidRDefault="00000000">
      <w:r>
        <w:rPr>
          <w:rStyle w:val="soitChar"/>
        </w:rPr>
        <w:t>Aucune déduction n'est faite pour:</w:t>
      </w:r>
    </w:p>
    <w:p w14:paraId="34CA338D" w14:textId="77777777" w:rsidR="00DB2B68" w:rsidRDefault="00000000">
      <w:pPr>
        <w:pStyle w:val="Author-eListParagraph"/>
        <w:numPr>
          <w:ilvl w:val="0"/>
          <w:numId w:val="526"/>
        </w:numPr>
      </w:pPr>
      <w:r>
        <w:rPr>
          <w:rStyle w:val="soitChar"/>
        </w:rPr>
        <w:t>le volume des armatures,</w:t>
      </w:r>
    </w:p>
    <w:p w14:paraId="4C28739A" w14:textId="77777777" w:rsidR="00DB2B68" w:rsidRDefault="00000000">
      <w:pPr>
        <w:pStyle w:val="Author-eListParagraph"/>
        <w:numPr>
          <w:ilvl w:val="0"/>
          <w:numId w:val="526"/>
        </w:numPr>
      </w:pPr>
      <w:r>
        <w:rPr>
          <w:rStyle w:val="soitChar"/>
        </w:rPr>
        <w:lastRenderedPageBreak/>
        <w:t>les blocs et écarteurs, les fourreaux pour les armatures de précontrainte ;</w:t>
      </w:r>
    </w:p>
    <w:p w14:paraId="46E7AA72" w14:textId="77777777" w:rsidR="00DB2B68" w:rsidRDefault="00000000">
      <w:pPr>
        <w:pStyle w:val="Author-eListParagraph"/>
        <w:numPr>
          <w:ilvl w:val="0"/>
          <w:numId w:val="526"/>
        </w:numPr>
      </w:pPr>
      <w:r>
        <w:rPr>
          <w:rStyle w:val="soitChar"/>
        </w:rPr>
        <w:t>les pénétrations pour les pattes d’ancrage, les creux, les conduites noyées et les réservations dont le volume est inférieur à 0,05 m3.</w:t>
      </w:r>
    </w:p>
    <w:p w14:paraId="4082A68A" w14:textId="77777777" w:rsidR="00DB2B68" w:rsidRDefault="00000000">
      <w:pPr>
        <w:pStyle w:val="Author-eListParagraph"/>
        <w:numPr>
          <w:ilvl w:val="0"/>
          <w:numId w:val="526"/>
        </w:numPr>
      </w:pPr>
      <w:r>
        <w:rPr>
          <w:rStyle w:val="soitChar"/>
        </w:rPr>
        <w:t>les chanfreins et tous les profils dont la section a une superficie inférieure à 20 cm2.</w:t>
      </w:r>
    </w:p>
    <w:p w14:paraId="6F3BCEC7" w14:textId="77777777" w:rsidR="00DB2B68" w:rsidRDefault="00000000">
      <w:pPr>
        <w:pStyle w:val="Author-eListParagraph"/>
        <w:numPr>
          <w:ilvl w:val="0"/>
          <w:numId w:val="526"/>
        </w:numPr>
      </w:pPr>
      <w:r>
        <w:rPr>
          <w:rStyle w:val="soitChar"/>
        </w:rPr>
        <w:t>les rainures, encoches et languettes.</w:t>
      </w:r>
    </w:p>
    <w:p w14:paraId="64788F8B" w14:textId="77777777" w:rsidR="00DB2B68" w:rsidRDefault="00000000">
      <w:r>
        <w:rPr>
          <w:b/>
          <w:i/>
        </w:rPr>
        <w:t>(Soit)</w:t>
      </w:r>
    </w:p>
    <w:p w14:paraId="0027AD07" w14:textId="77777777" w:rsidR="00DB2B68" w:rsidRDefault="00000000">
      <w:r>
        <w:rPr>
          <w:rStyle w:val="soitChar"/>
          <w:u w:val="single"/>
        </w:rPr>
        <w:t>2. Quantité nette</w:t>
      </w:r>
    </w:p>
    <w:p w14:paraId="0D259DBE" w14:textId="77777777" w:rsidR="00DB2B68" w:rsidRDefault="00000000">
      <w:r>
        <w:rPr>
          <w:b/>
          <w:i/>
        </w:rPr>
        <w:t>(Soit)</w:t>
      </w:r>
    </w:p>
    <w:p w14:paraId="77213E57" w14:textId="77777777" w:rsidR="00DB2B68" w:rsidRDefault="00000000">
      <w:r>
        <w:rPr>
          <w:rStyle w:val="soitChar"/>
          <w:u w:val="single"/>
        </w:rPr>
        <w:t>3. Longueur nette</w:t>
      </w:r>
    </w:p>
    <w:p w14:paraId="5161804A" w14:textId="77777777" w:rsidR="00DB2B68" w:rsidRDefault="00000000">
      <w:r>
        <w:rPr>
          <w:b/>
          <w:i/>
        </w:rPr>
        <w:t>(Soit)</w:t>
      </w:r>
    </w:p>
    <w:p w14:paraId="248368C8" w14:textId="77777777" w:rsidR="00DB2B68" w:rsidRDefault="00000000">
      <w:r>
        <w:rPr>
          <w:rStyle w:val="soitChar"/>
          <w:u w:val="single"/>
        </w:rPr>
        <w:t>4. Surface nette</w:t>
      </w:r>
    </w:p>
    <w:p w14:paraId="60578896" w14:textId="77777777" w:rsidR="00DB2B68" w:rsidRDefault="00000000">
      <w:pPr>
        <w:pStyle w:val="pheading"/>
      </w:pPr>
      <w:r>
        <w:t>- nature du marché:</w:t>
      </w:r>
    </w:p>
    <w:p w14:paraId="191FCAB8" w14:textId="77777777" w:rsidR="00DB2B68" w:rsidRDefault="00000000">
      <w:r>
        <w:rPr>
          <w:rStyle w:val="optioncarChar"/>
        </w:rPr>
        <w:t>QF</w:t>
      </w:r>
      <w:r>
        <w:t xml:space="preserve"> (par défaut)</w:t>
      </w:r>
      <w:r>
        <w:rPr>
          <w:rStyle w:val="optioncarChar"/>
        </w:rPr>
        <w:t xml:space="preserve"> / QP</w:t>
      </w:r>
    </w:p>
    <w:p w14:paraId="73B0C1B8" w14:textId="77777777" w:rsidR="00DB2B68" w:rsidRDefault="00000000">
      <w:r>
        <w:rPr>
          <w:b/>
          <w:i/>
        </w:rPr>
        <w:t>(Soit par défaut)</w:t>
      </w:r>
    </w:p>
    <w:p w14:paraId="5F04979E" w14:textId="77777777" w:rsidR="00DB2B68" w:rsidRDefault="00000000">
      <w:r>
        <w:rPr>
          <w:rStyle w:val="soitChar"/>
        </w:rPr>
        <w:t>1. 2. 3. 4. QF</w:t>
      </w:r>
    </w:p>
    <w:p w14:paraId="4E397844" w14:textId="77777777" w:rsidR="00DB2B68" w:rsidRDefault="00000000">
      <w:r>
        <w:rPr>
          <w:b/>
          <w:i/>
        </w:rPr>
        <w:t>(Soit)</w:t>
      </w:r>
    </w:p>
    <w:p w14:paraId="0DC7A9D0" w14:textId="77777777" w:rsidR="00DB2B68" w:rsidRDefault="00000000">
      <w:r>
        <w:rPr>
          <w:rStyle w:val="soitChar"/>
        </w:rPr>
        <w:t>1. 2. 3. 4. QP</w:t>
      </w:r>
    </w:p>
    <w:p w14:paraId="3FCA53A0" w14:textId="77777777" w:rsidR="00DB2B68" w:rsidRDefault="00000000">
      <w:pPr>
        <w:pStyle w:val="Author-eSectionHeading6Numberless"/>
      </w:pPr>
      <w:bookmarkStart w:id="759" w:name="_Toc220495816"/>
      <w:r>
        <w:t>22.16.4d Prémurs préfabriqués en béton décoratif / architectonique CCTB 01.11</w:t>
      </w:r>
      <w:bookmarkEnd w:id="759"/>
    </w:p>
    <w:p w14:paraId="4FF6EA67" w14:textId="77777777" w:rsidR="00DB2B68" w:rsidRDefault="00000000">
      <w:pPr>
        <w:pStyle w:val="pheading"/>
      </w:pPr>
      <w:r>
        <w:t>DESCRIPTION</w:t>
      </w:r>
    </w:p>
    <w:p w14:paraId="4E8B63FC" w14:textId="77777777" w:rsidR="00DB2B68" w:rsidRDefault="00000000">
      <w:pPr>
        <w:pStyle w:val="pheading"/>
      </w:pPr>
      <w:r>
        <w:t>- Définition / Comprend</w:t>
      </w:r>
    </w:p>
    <w:p w14:paraId="548789F8" w14:textId="77777777" w:rsidR="00DB2B68" w:rsidRDefault="00000000">
      <w:pPr>
        <w:jc w:val="both"/>
      </w:pPr>
      <w:r>
        <w:t>L’article vise la fourniture et la pose de prémurs préfabriqués en béton architectonique.</w:t>
      </w:r>
    </w:p>
    <w:p w14:paraId="6EC4DD9C" w14:textId="77777777" w:rsidR="00DB2B68" w:rsidRDefault="00000000">
      <w:pPr>
        <w:jc w:val="both"/>
      </w:pPr>
      <w:r>
        <w:t>Les prémurs se composent de deux panneaux en béton armé reliés l’un à l’autre par des poutres à treillis.</w:t>
      </w:r>
    </w:p>
    <w:p w14:paraId="1176A6CE" w14:textId="77777777" w:rsidR="00DB2B68" w:rsidRDefault="00000000">
      <w:pPr>
        <w:jc w:val="both"/>
      </w:pPr>
      <w:r>
        <w:t>Sont compris :</w:t>
      </w:r>
    </w:p>
    <w:p w14:paraId="0FE9ED81" w14:textId="77777777" w:rsidR="00DB2B68" w:rsidRDefault="00000000">
      <w:pPr>
        <w:pStyle w:val="Author-eListParagraph"/>
        <w:numPr>
          <w:ilvl w:val="0"/>
          <w:numId w:val="527"/>
        </w:numPr>
      </w:pPr>
      <w:r>
        <w:t>La livraison et la réalisation du béton de remplissage en cas de prémurs.</w:t>
      </w:r>
    </w:p>
    <w:p w14:paraId="1C4917FA" w14:textId="77777777" w:rsidR="00DB2B68" w:rsidRDefault="00000000">
      <w:pPr>
        <w:pStyle w:val="Author-eListParagraph"/>
        <w:numPr>
          <w:ilvl w:val="0"/>
          <w:numId w:val="527"/>
        </w:numPr>
      </w:pPr>
      <w:r>
        <w:t>L’humification des prémurs avant bétonnage du creux des prémurs.</w:t>
      </w:r>
    </w:p>
    <w:p w14:paraId="3B298872" w14:textId="77777777" w:rsidR="00DB2B68" w:rsidRDefault="00000000">
      <w:pPr>
        <w:pStyle w:val="pheading"/>
      </w:pPr>
      <w:r>
        <w:t>- Localisation</w:t>
      </w:r>
    </w:p>
    <w:p w14:paraId="436440DA" w14:textId="77777777" w:rsidR="00DB2B68" w:rsidRDefault="00000000">
      <w:r>
        <w:t>La pose est réalisée aux endroits suivants :</w:t>
      </w:r>
      <w:r>
        <w:rPr>
          <w:rStyle w:val="optioncarChar"/>
        </w:rPr>
        <w:t xml:space="preserve"> ***</w:t>
      </w:r>
      <w:r>
        <w:t>.</w:t>
      </w:r>
    </w:p>
    <w:p w14:paraId="7818B0F3" w14:textId="77777777" w:rsidR="00DB2B68" w:rsidRDefault="00000000">
      <w:r>
        <w:t>Voir plans et métrés détaillés.</w:t>
      </w:r>
    </w:p>
    <w:p w14:paraId="66495E99" w14:textId="77777777" w:rsidR="00DB2B68" w:rsidRDefault="00000000">
      <w:pPr>
        <w:pStyle w:val="pheading"/>
      </w:pPr>
      <w:r>
        <w:t>MATÉRIAUX</w:t>
      </w:r>
    </w:p>
    <w:p w14:paraId="27BF0B65" w14:textId="77777777" w:rsidR="00DB2B68" w:rsidRDefault="00000000">
      <w:pPr>
        <w:pStyle w:val="pheading"/>
      </w:pPr>
      <w:r>
        <w:t>- Caractéristiques générales</w:t>
      </w:r>
    </w:p>
    <w:p w14:paraId="6724E62C" w14:textId="77777777" w:rsidR="00DB2B68" w:rsidRDefault="00000000">
      <w:pPr>
        <w:jc w:val="both"/>
      </w:pPr>
      <w:r>
        <w:t xml:space="preserve">Epaisseur totale du mur : </w:t>
      </w:r>
      <w:r>
        <w:rPr>
          <w:rStyle w:val="optioncarChar"/>
        </w:rPr>
        <w:t>19 </w:t>
      </w:r>
      <w:r>
        <w:t xml:space="preserve">(par défaut)  </w:t>
      </w:r>
      <w:r>
        <w:rPr>
          <w:rStyle w:val="optioncarChar"/>
        </w:rPr>
        <w:t>/20 / 25 / 30 / ***</w:t>
      </w:r>
      <w:r>
        <w:t xml:space="preserve"> cm suivant étude et plans d’exécution</w:t>
      </w:r>
    </w:p>
    <w:p w14:paraId="0D9F26F0" w14:textId="77777777" w:rsidR="00DB2B68" w:rsidRDefault="00000000">
      <w:pPr>
        <w:jc w:val="both"/>
      </w:pPr>
      <w:r>
        <w:t>Epaisseur des parois du prémur :</w:t>
      </w:r>
    </w:p>
    <w:p w14:paraId="2DA58FD1" w14:textId="77777777" w:rsidR="00DB2B68" w:rsidRDefault="00000000">
      <w:pPr>
        <w:pStyle w:val="Author-eListParagraph"/>
        <w:numPr>
          <w:ilvl w:val="0"/>
          <w:numId w:val="528"/>
        </w:numPr>
      </w:pPr>
      <w:r>
        <w:t xml:space="preserve">Paroi intérieure : </w:t>
      </w:r>
      <w:r>
        <w:rPr>
          <w:rStyle w:val="optioncarChar"/>
        </w:rPr>
        <w:t>5 </w:t>
      </w:r>
      <w:r>
        <w:t>(par défaut)</w:t>
      </w:r>
      <w:r>
        <w:rPr>
          <w:rStyle w:val="optioncarChar"/>
        </w:rPr>
        <w:t xml:space="preserve"> / 6 / 7 / ***</w:t>
      </w:r>
      <w:r>
        <w:t xml:space="preserve"> cm suivant étude et plans d’exécution</w:t>
      </w:r>
    </w:p>
    <w:p w14:paraId="438B1B78" w14:textId="77777777" w:rsidR="00DB2B68" w:rsidRDefault="00000000">
      <w:pPr>
        <w:pStyle w:val="Author-eListParagraph"/>
        <w:numPr>
          <w:ilvl w:val="0"/>
          <w:numId w:val="528"/>
        </w:numPr>
      </w:pPr>
      <w:r>
        <w:t xml:space="preserve">Paroi extérieure : </w:t>
      </w:r>
      <w:r>
        <w:rPr>
          <w:rStyle w:val="optioncarChar"/>
        </w:rPr>
        <w:t>5 </w:t>
      </w:r>
      <w:r>
        <w:t xml:space="preserve">(par défaut) </w:t>
      </w:r>
      <w:r>
        <w:rPr>
          <w:rStyle w:val="optioncarChar"/>
        </w:rPr>
        <w:t>/ 6 / 7 / ***</w:t>
      </w:r>
      <w:r>
        <w:t xml:space="preserve"> cm suivant étude et plans d’exécutions</w:t>
      </w:r>
    </w:p>
    <w:p w14:paraId="4AA99C91" w14:textId="77777777" w:rsidR="00DB2B68" w:rsidRDefault="00000000">
      <w:pPr>
        <w:jc w:val="both"/>
      </w:pPr>
      <w:r>
        <w:t> </w:t>
      </w:r>
    </w:p>
    <w:p w14:paraId="67E83593" w14:textId="77777777" w:rsidR="00DB2B68" w:rsidRDefault="00000000">
      <w:pPr>
        <w:jc w:val="both"/>
      </w:pPr>
      <w:r>
        <w:t>1. Les parois préfabriquées en béton architectonique doivent satisfaire aux normes relatives aux parois préfabriquées [NBN EN 14992+A1] et [NBN B 21-612] ainsi qu’aux exigences liées à l’esthétisme de la norme [PTV 21-601].</w:t>
      </w:r>
    </w:p>
    <w:p w14:paraId="525C2C81" w14:textId="77777777" w:rsidR="00DB2B68" w:rsidRDefault="00000000">
      <w:pPr>
        <w:pStyle w:val="Author-eListParagraph"/>
        <w:numPr>
          <w:ilvl w:val="0"/>
          <w:numId w:val="529"/>
        </w:numPr>
      </w:pPr>
      <w:r>
        <w:t>Qualité du béton selon la [NBN EN 206:2013+A2] et la [NBN B 15-001].</w:t>
      </w:r>
    </w:p>
    <w:p w14:paraId="3524447B" w14:textId="77777777" w:rsidR="00DB2B68" w:rsidRDefault="00000000">
      <w:pPr>
        <w:pStyle w:val="Author-eListParagraph"/>
        <w:numPr>
          <w:ilvl w:val="0"/>
          <w:numId w:val="529"/>
        </w:numPr>
      </w:pPr>
      <w:r>
        <w:t>Classe de résistance à la compression</w:t>
      </w:r>
    </w:p>
    <w:p w14:paraId="4B63E093" w14:textId="77777777" w:rsidR="00DB2B68" w:rsidRDefault="00000000">
      <w:pPr>
        <w:ind w:left="567"/>
      </w:pPr>
      <w:r>
        <w:rPr>
          <w:rStyle w:val="optioncarChar"/>
        </w:rPr>
        <w:lastRenderedPageBreak/>
        <w:t>C30/37 </w:t>
      </w:r>
      <w:r>
        <w:t>(par défaut)</w:t>
      </w:r>
      <w:r>
        <w:rPr>
          <w:rStyle w:val="optioncarChar"/>
        </w:rPr>
        <w:t xml:space="preserve"> / C35/45 / C45/55 / C50/60 / C55/67 / C60/75 / C70/85 / C80/95 / C90/105 / ***</w:t>
      </w:r>
    </w:p>
    <w:p w14:paraId="51AB4297" w14:textId="77777777" w:rsidR="00DB2B68" w:rsidRDefault="00000000">
      <w:pPr>
        <w:pStyle w:val="Author-eListParagraph"/>
        <w:numPr>
          <w:ilvl w:val="0"/>
          <w:numId w:val="530"/>
        </w:numPr>
      </w:pPr>
      <w:r>
        <w:t>Classe d’environnement</w:t>
      </w:r>
    </w:p>
    <w:p w14:paraId="322676DE" w14:textId="77777777" w:rsidR="00DB2B68" w:rsidRDefault="00000000">
      <w:pPr>
        <w:ind w:left="567"/>
      </w:pPr>
      <w:r>
        <w:rPr>
          <w:rStyle w:val="optioncarChar"/>
        </w:rPr>
        <w:t>EI </w:t>
      </w:r>
      <w:r>
        <w:t xml:space="preserve">(par défaut) </w:t>
      </w:r>
      <w:r>
        <w:rPr>
          <w:rStyle w:val="optioncarChar"/>
        </w:rPr>
        <w:t>/ EE1 / EE2 / EE3 / EE4 / ES1 / ES2 / ES3 / ES4 / EA1+*** / EA2+***/ EA3+*** / ***</w:t>
      </w:r>
    </w:p>
    <w:p w14:paraId="08AAFE97" w14:textId="77777777" w:rsidR="00DB2B68" w:rsidRDefault="00000000">
      <w:r>
        <w:t>2. Le béton de remplissage est également conforme aux normes [NBN EN 206:2013+A2] et la [NBN B 15-001].</w:t>
      </w:r>
    </w:p>
    <w:p w14:paraId="22F59577" w14:textId="77777777" w:rsidR="00DB2B68" w:rsidRDefault="00000000">
      <w:pPr>
        <w:pStyle w:val="Author-eListParagraph"/>
        <w:numPr>
          <w:ilvl w:val="0"/>
          <w:numId w:val="531"/>
        </w:numPr>
      </w:pPr>
      <w:r>
        <w:t>Classe de résistance à la compression</w:t>
      </w:r>
    </w:p>
    <w:p w14:paraId="4273A8F5" w14:textId="77777777" w:rsidR="00DB2B68" w:rsidRDefault="00000000">
      <w:pPr>
        <w:ind w:left="567"/>
      </w:pPr>
      <w:r>
        <w:rPr>
          <w:rStyle w:val="optioncarChar"/>
        </w:rPr>
        <w:t>C25/30</w:t>
      </w:r>
      <w:r>
        <w:t xml:space="preserve"> (par défaut) </w:t>
      </w:r>
      <w:r>
        <w:rPr>
          <w:rStyle w:val="optioncarChar"/>
        </w:rPr>
        <w:t>/ 30/37 / C35/45 / C45/55 / C50/60 / C55/67 / C60/75 / C70/85 / C80/95 / C90/105 / ***</w:t>
      </w:r>
    </w:p>
    <w:p w14:paraId="6A2597B7" w14:textId="77777777" w:rsidR="00DB2B68" w:rsidRDefault="00000000">
      <w:pPr>
        <w:pStyle w:val="Author-eListParagraph"/>
        <w:numPr>
          <w:ilvl w:val="0"/>
          <w:numId w:val="532"/>
        </w:numPr>
      </w:pPr>
      <w:r>
        <w:t> Classe d’environnement</w:t>
      </w:r>
    </w:p>
    <w:p w14:paraId="3F3A4A15" w14:textId="77777777" w:rsidR="00DB2B68" w:rsidRDefault="00000000">
      <w:pPr>
        <w:ind w:left="567"/>
      </w:pPr>
      <w:r>
        <w:rPr>
          <w:rStyle w:val="optioncarChar"/>
        </w:rPr>
        <w:t xml:space="preserve">EI </w:t>
      </w:r>
      <w:r>
        <w:t>(par défaut) </w:t>
      </w:r>
      <w:r>
        <w:rPr>
          <w:rStyle w:val="optioncarChar"/>
        </w:rPr>
        <w:t>/ EE1 / EE2 / EE3 / ***</w:t>
      </w:r>
    </w:p>
    <w:p w14:paraId="3A38D21C" w14:textId="77777777" w:rsidR="00DB2B68" w:rsidRDefault="00000000">
      <w:pPr>
        <w:pStyle w:val="Author-eListParagraph"/>
        <w:numPr>
          <w:ilvl w:val="0"/>
          <w:numId w:val="533"/>
        </w:numPr>
      </w:pPr>
      <w:r>
        <w:t>Dmax et classe de consistance (min.S4) en adéquation avec distance des parois.</w:t>
      </w:r>
      <w:r>
        <w:br/>
      </w:r>
    </w:p>
    <w:p w14:paraId="30E144C7" w14:textId="77777777" w:rsidR="00DB2B68" w:rsidRDefault="00000000">
      <w:pPr>
        <w:pStyle w:val="Author-eListParagraph"/>
        <w:numPr>
          <w:ilvl w:val="0"/>
          <w:numId w:val="533"/>
        </w:numPr>
      </w:pPr>
      <w:r>
        <w:t xml:space="preserve">L’armature des joints du béton de remplissage est au moins un treillis soudé, d’un acier BE 500S ou BE 500 TS de dimension </w:t>
      </w:r>
      <w:r>
        <w:rPr>
          <w:rStyle w:val="optioncarChar"/>
        </w:rPr>
        <w:t xml:space="preserve">150x150x8x8 </w:t>
      </w:r>
      <w:r>
        <w:t>(par défaut) </w:t>
      </w:r>
      <w:r>
        <w:rPr>
          <w:rStyle w:val="optioncarChar"/>
        </w:rPr>
        <w:t>/ ***x***x***x***</w:t>
      </w:r>
      <w:r>
        <w:t xml:space="preserve"> cm.</w:t>
      </w:r>
    </w:p>
    <w:p w14:paraId="4D186082" w14:textId="77777777" w:rsidR="00DB2B68" w:rsidRDefault="00000000">
      <w:pPr>
        <w:pStyle w:val="pheading"/>
      </w:pPr>
      <w:r>
        <w:t>- Finitions</w:t>
      </w:r>
    </w:p>
    <w:p w14:paraId="3B3B2961" w14:textId="77777777" w:rsidR="00DB2B68" w:rsidRDefault="00000000">
      <w:pPr>
        <w:jc w:val="both"/>
      </w:pPr>
      <w:r>
        <w:t xml:space="preserve">Type de béton préfabriqué avec exigences esthétiques : </w:t>
      </w:r>
      <w:r>
        <w:rPr>
          <w:rStyle w:val="optioncarChar"/>
        </w:rPr>
        <w:t>béton architectonique</w:t>
      </w:r>
      <w:r>
        <w:t xml:space="preserve"> (par défaut)</w:t>
      </w:r>
      <w:r>
        <w:rPr>
          <w:rStyle w:val="optioncarChar"/>
        </w:rPr>
        <w:t xml:space="preserve"> / béton décoratif industriel</w:t>
      </w:r>
    </w:p>
    <w:p w14:paraId="67AF3305" w14:textId="77777777" w:rsidR="00DB2B68" w:rsidRDefault="00000000">
      <w:pPr>
        <w:jc w:val="both"/>
      </w:pPr>
      <w:r>
        <w:t>Les éléments en béton architectoniques doivent répondre au [PTV 21-601].</w:t>
      </w:r>
    </w:p>
    <w:p w14:paraId="47453D47" w14:textId="77777777" w:rsidR="00DB2B68" w:rsidRDefault="00000000">
      <w:pPr>
        <w:jc w:val="both"/>
      </w:pPr>
      <w:r>
        <w:t xml:space="preserve">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464CAD4D" w14:textId="77777777" w:rsidR="00DB2B68" w:rsidRDefault="00000000">
      <w:pPr>
        <w:jc w:val="both"/>
      </w:pPr>
      <w:r>
        <w:t> Faces internes des parois: pas de prescription</w:t>
      </w:r>
    </w:p>
    <w:p w14:paraId="06A13B04" w14:textId="77777777" w:rsidR="00DB2B68" w:rsidRDefault="00000000">
      <w:pPr>
        <w:jc w:val="both"/>
      </w:pPr>
      <w:r>
        <w:t>Description détaillée des prémurs (paroi intérieure – face externe):</w:t>
      </w:r>
    </w:p>
    <w:p w14:paraId="7261CC56" w14:textId="77777777" w:rsidR="00DB2B68" w:rsidRDefault="00000000">
      <w:pPr>
        <w:jc w:val="both"/>
      </w:pPr>
      <w:r>
        <w:t>1.     Couleur :</w:t>
      </w:r>
    </w:p>
    <w:p w14:paraId="2CE8EED0" w14:textId="77777777" w:rsidR="00DB2B68" w:rsidRDefault="00000000">
      <w:pPr>
        <w:jc w:val="both"/>
      </w:pPr>
      <w:r>
        <w:t>Les éléments en béton architectonique sont de couleur</w:t>
      </w:r>
      <w:r>
        <w:rPr>
          <w:rStyle w:val="optioncarChar"/>
        </w:rPr>
        <w:t xml:space="preserve"> ***</w:t>
      </w:r>
      <w:r>
        <w:t xml:space="preserve">, afin d’approcher au mieux le coloris RAL </w:t>
      </w:r>
      <w:r>
        <w:rPr>
          <w:rStyle w:val="optioncarChar"/>
        </w:rPr>
        <w:t>***</w:t>
      </w:r>
      <w:r>
        <w:t>.</w:t>
      </w:r>
    </w:p>
    <w:p w14:paraId="7F1E66DE" w14:textId="77777777" w:rsidR="00DB2B68" w:rsidRDefault="00000000">
      <w:pPr>
        <w:jc w:val="both"/>
      </w:pPr>
      <w:r>
        <w:t>2.     Finition de la surface apparente</w:t>
      </w:r>
    </w:p>
    <w:p w14:paraId="4C5D5386" w14:textId="77777777" w:rsidR="00DB2B68" w:rsidRDefault="00000000">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335A25B4" w14:textId="77777777" w:rsidR="00DB2B68" w:rsidRDefault="00DB2B68">
      <w:pPr>
        <w:jc w:val="both"/>
      </w:pPr>
    </w:p>
    <w:p w14:paraId="2465450E" w14:textId="77777777" w:rsidR="00DB2B68" w:rsidRDefault="00000000">
      <w:pPr>
        <w:jc w:val="both"/>
      </w:pPr>
      <w:r>
        <w:rPr>
          <w:u w:val="single"/>
        </w:rPr>
        <w:t>Terminaison des arêtes</w:t>
      </w:r>
    </w:p>
    <w:p w14:paraId="5C16FBAE" w14:textId="77777777" w:rsidR="00DB2B68" w:rsidRDefault="00000000">
      <w:pPr>
        <w:jc w:val="both"/>
      </w:pPr>
      <w:r>
        <w:t xml:space="preserve"> Les arêtes saillantes des prémurs sont </w:t>
      </w:r>
      <w:r>
        <w:rPr>
          <w:rStyle w:val="optioncarChar"/>
        </w:rPr>
        <w:t>chanfreinées en triangle </w:t>
      </w:r>
      <w:r>
        <w:t>(par défaut)</w:t>
      </w:r>
      <w:r>
        <w:rPr>
          <w:rStyle w:val="optioncarChar"/>
        </w:rPr>
        <w:t xml:space="preserve"> /chanfreinées en arrondi / vives</w:t>
      </w:r>
    </w:p>
    <w:p w14:paraId="78C23AFE" w14:textId="77777777" w:rsidR="00DB2B68" w:rsidRDefault="00DB2B68">
      <w:pPr>
        <w:jc w:val="both"/>
      </w:pPr>
    </w:p>
    <w:p w14:paraId="4E5E1AFB" w14:textId="77777777" w:rsidR="00DB2B68" w:rsidRDefault="00000000">
      <w:pPr>
        <w:jc w:val="both"/>
      </w:pPr>
      <w:r>
        <w:rPr>
          <w:b/>
          <w:i/>
        </w:rPr>
        <w:t>(soit)</w:t>
      </w:r>
    </w:p>
    <w:p w14:paraId="0B3E0101" w14:textId="77777777" w:rsidR="00DB2B68" w:rsidRDefault="00000000">
      <w:pPr>
        <w:jc w:val="both"/>
      </w:pPr>
      <w:r>
        <w:rPr>
          <w:rStyle w:val="soitChar"/>
          <w:u w:val="single"/>
        </w:rPr>
        <w:t>chanfreinées en triangle</w:t>
      </w:r>
    </w:p>
    <w:p w14:paraId="64B93377" w14:textId="77777777" w:rsidR="00DB2B68" w:rsidRDefault="00000000">
      <w:pPr>
        <w:jc w:val="both"/>
      </w:pPr>
      <w:r>
        <w:rPr>
          <w:rStyle w:val="soitChar"/>
        </w:rPr>
        <w:t xml:space="preserve"> Les arêtes sont cassées au moyen d'un chanfrein de</w:t>
      </w:r>
      <w:r>
        <w:rPr>
          <w:rStyle w:val="optioncarChar"/>
        </w:rPr>
        <w:t xml:space="preserve"> 1,5 x 1,5 </w:t>
      </w:r>
      <w:r>
        <w:t>(par défaut) </w:t>
      </w:r>
      <w:r>
        <w:rPr>
          <w:rStyle w:val="optioncarChar"/>
        </w:rPr>
        <w:t xml:space="preserve">/ 2,5 x 2,5 / *** x *** </w:t>
      </w:r>
      <w:r>
        <w:rPr>
          <w:rStyle w:val="soitChar"/>
        </w:rPr>
        <w:t>cm</w:t>
      </w:r>
      <w:r>
        <w:t>.</w:t>
      </w:r>
    </w:p>
    <w:p w14:paraId="2FF84D99" w14:textId="77777777" w:rsidR="00DB2B68" w:rsidRDefault="00DB2B68">
      <w:pPr>
        <w:jc w:val="both"/>
      </w:pPr>
    </w:p>
    <w:p w14:paraId="63C5B99A" w14:textId="77777777" w:rsidR="00DB2B68" w:rsidRDefault="00000000">
      <w:pPr>
        <w:jc w:val="both"/>
      </w:pPr>
      <w:r>
        <w:rPr>
          <w:b/>
          <w:i/>
        </w:rPr>
        <w:t>(soit)</w:t>
      </w:r>
    </w:p>
    <w:p w14:paraId="336E2CAD" w14:textId="77777777" w:rsidR="00DB2B68" w:rsidRDefault="00000000">
      <w:pPr>
        <w:jc w:val="both"/>
      </w:pPr>
      <w:r>
        <w:rPr>
          <w:rStyle w:val="soitChar"/>
          <w:u w:val="single"/>
        </w:rPr>
        <w:t> chanfreinée en arrondi</w:t>
      </w:r>
    </w:p>
    <w:p w14:paraId="24B4B99F" w14:textId="77777777" w:rsidR="00DB2B68" w:rsidRDefault="00000000">
      <w:pPr>
        <w:jc w:val="both"/>
      </w:pPr>
      <w:r>
        <w:rPr>
          <w:rStyle w:val="soitChar"/>
        </w:rPr>
        <w:t xml:space="preserve"> Les arêtes sont cassées au moyen d'un chanfrein de rayon</w:t>
      </w:r>
      <w:r>
        <w:rPr>
          <w:rStyle w:val="optioncarChar"/>
        </w:rPr>
        <w:t xml:space="preserve">1,5 </w:t>
      </w:r>
      <w:r>
        <w:t>(par défaut) </w:t>
      </w:r>
      <w:r>
        <w:rPr>
          <w:rStyle w:val="optioncarChar"/>
        </w:rPr>
        <w:t>/ 2,5 / *** </w:t>
      </w:r>
      <w:r>
        <w:rPr>
          <w:rStyle w:val="soitChar"/>
        </w:rPr>
        <w:t>cm</w:t>
      </w:r>
      <w:r>
        <w:t xml:space="preserve"> .</w:t>
      </w:r>
    </w:p>
    <w:p w14:paraId="4441DB42" w14:textId="77777777" w:rsidR="00DB2B68" w:rsidRDefault="00DB2B68">
      <w:pPr>
        <w:jc w:val="both"/>
      </w:pPr>
    </w:p>
    <w:p w14:paraId="2D854C4B" w14:textId="77777777" w:rsidR="00DB2B68" w:rsidRDefault="00000000">
      <w:pPr>
        <w:jc w:val="both"/>
      </w:pPr>
      <w:r>
        <w:rPr>
          <w:b/>
          <w:i/>
        </w:rPr>
        <w:t>(soit)</w:t>
      </w:r>
    </w:p>
    <w:p w14:paraId="6DCCA080" w14:textId="77777777" w:rsidR="00DB2B68" w:rsidRDefault="00000000">
      <w:pPr>
        <w:jc w:val="both"/>
      </w:pPr>
      <w:r>
        <w:rPr>
          <w:rStyle w:val="soitChar"/>
          <w:u w:val="single"/>
        </w:rPr>
        <w:t>vives</w:t>
      </w:r>
    </w:p>
    <w:p w14:paraId="5E3644BC" w14:textId="77777777" w:rsidR="00DB2B68" w:rsidRDefault="00000000">
      <w:pPr>
        <w:jc w:val="both"/>
      </w:pPr>
      <w:r>
        <w:t>Description détaillée des prémurs (paroi extérieure – face externe):</w:t>
      </w:r>
    </w:p>
    <w:p w14:paraId="62F7D269" w14:textId="77777777" w:rsidR="00DB2B68" w:rsidRDefault="00000000">
      <w:pPr>
        <w:jc w:val="both"/>
      </w:pPr>
      <w:r>
        <w:t xml:space="preserve">Finition identique à celle de la face externe de la paroi intérieure : </w:t>
      </w:r>
      <w:r>
        <w:rPr>
          <w:rStyle w:val="optioncarChar"/>
        </w:rPr>
        <w:t>oui / non</w:t>
      </w:r>
    </w:p>
    <w:p w14:paraId="584FF87C" w14:textId="77777777" w:rsidR="00DB2B68" w:rsidRDefault="00000000">
      <w:pPr>
        <w:jc w:val="both"/>
      </w:pPr>
      <w:r>
        <w:rPr>
          <w:b/>
          <w:i/>
        </w:rPr>
        <w:t>Si la finition est différente</w:t>
      </w:r>
    </w:p>
    <w:p w14:paraId="0EFC8DEF" w14:textId="77777777" w:rsidR="00DB2B68" w:rsidRDefault="00000000">
      <w:pPr>
        <w:jc w:val="both"/>
      </w:pPr>
      <w:r>
        <w:t>1.     Couleur :</w:t>
      </w:r>
    </w:p>
    <w:p w14:paraId="09DDB7FC" w14:textId="77777777" w:rsidR="00DB2B68" w:rsidRDefault="00000000">
      <w:pPr>
        <w:jc w:val="both"/>
      </w:pPr>
      <w:r>
        <w:t>Les éléments en béton architectonique seront de couleur</w:t>
      </w:r>
      <w:r>
        <w:rPr>
          <w:rStyle w:val="optioncarChar"/>
        </w:rPr>
        <w:t> ***</w:t>
      </w:r>
      <w:r>
        <w:t>, afin d’approcher au mieux le coloris RAL </w:t>
      </w:r>
      <w:r>
        <w:rPr>
          <w:rStyle w:val="optioncarChar"/>
        </w:rPr>
        <w:t>***</w:t>
      </w:r>
      <w:r>
        <w:t>.</w:t>
      </w:r>
    </w:p>
    <w:p w14:paraId="19E7EDD4" w14:textId="77777777" w:rsidR="00DB2B68" w:rsidRDefault="00000000">
      <w:pPr>
        <w:jc w:val="both"/>
      </w:pPr>
      <w:r>
        <w:t>2.     Finition de la surface apparente</w:t>
      </w:r>
    </w:p>
    <w:p w14:paraId="719BA917" w14:textId="77777777" w:rsidR="00DB2B68" w:rsidRDefault="00000000">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7BB2D7B4" w14:textId="77777777" w:rsidR="00DB2B68" w:rsidRDefault="00DB2B68">
      <w:pPr>
        <w:jc w:val="both"/>
      </w:pPr>
    </w:p>
    <w:p w14:paraId="170A1A71" w14:textId="77777777" w:rsidR="00DB2B68" w:rsidRDefault="00000000">
      <w:pPr>
        <w:jc w:val="both"/>
      </w:pPr>
      <w:r>
        <w:rPr>
          <w:u w:val="single"/>
        </w:rPr>
        <w:t>Terminaison des arêtes</w:t>
      </w:r>
      <w:r>
        <w:t> </w:t>
      </w:r>
    </w:p>
    <w:p w14:paraId="79A512E0" w14:textId="77777777" w:rsidR="00DB2B68" w:rsidRDefault="00000000">
      <w:pPr>
        <w:jc w:val="both"/>
      </w:pPr>
      <w:r>
        <w:t>Les arêtes saillantes des prémurs sont </w:t>
      </w:r>
      <w:r>
        <w:rPr>
          <w:rStyle w:val="optioncarChar"/>
        </w:rPr>
        <w:t>chanfreinées en triangle </w:t>
      </w:r>
      <w:r>
        <w:t>(par défaut)</w:t>
      </w:r>
      <w:r>
        <w:rPr>
          <w:rStyle w:val="optioncarChar"/>
        </w:rPr>
        <w:t xml:space="preserve"> / chanfreinées en arrondi / vives</w:t>
      </w:r>
    </w:p>
    <w:p w14:paraId="4CD2138F" w14:textId="77777777" w:rsidR="00DB2B68" w:rsidRDefault="00000000">
      <w:pPr>
        <w:jc w:val="both"/>
      </w:pPr>
      <w:r>
        <w:rPr>
          <w:b/>
          <w:i/>
        </w:rPr>
        <w:t>(soit)</w:t>
      </w:r>
    </w:p>
    <w:p w14:paraId="32453C47" w14:textId="77777777" w:rsidR="00DB2B68" w:rsidRDefault="00000000">
      <w:pPr>
        <w:jc w:val="both"/>
      </w:pPr>
      <w:r>
        <w:rPr>
          <w:rStyle w:val="soitChar"/>
          <w:u w:val="single"/>
        </w:rPr>
        <w:t>chanfreinées en triangle</w:t>
      </w:r>
    </w:p>
    <w:p w14:paraId="252635C7" w14:textId="77777777" w:rsidR="00DB2B68" w:rsidRDefault="00000000">
      <w:pPr>
        <w:jc w:val="both"/>
      </w:pPr>
      <w:r>
        <w:rPr>
          <w:rStyle w:val="soitChar"/>
        </w:rPr>
        <w:t>Les arêtes sont cassées au moyen d'un chanfrein de</w:t>
      </w:r>
      <w:r>
        <w:rPr>
          <w:rStyle w:val="optioncarChar"/>
        </w:rPr>
        <w:t> 1,5 x 1,5 </w:t>
      </w:r>
      <w:r>
        <w:t>(par défaut)</w:t>
      </w:r>
      <w:r>
        <w:rPr>
          <w:rStyle w:val="optioncarChar"/>
        </w:rPr>
        <w:t xml:space="preserve"> / 2,5 x 2,5 / *** x *** </w:t>
      </w:r>
      <w:r>
        <w:rPr>
          <w:rStyle w:val="soitChar"/>
        </w:rPr>
        <w:t>cm</w:t>
      </w:r>
      <w:r>
        <w:t>.</w:t>
      </w:r>
    </w:p>
    <w:p w14:paraId="45E9DFCB" w14:textId="77777777" w:rsidR="00DB2B68" w:rsidRDefault="00000000">
      <w:pPr>
        <w:jc w:val="both"/>
      </w:pPr>
      <w:r>
        <w:rPr>
          <w:b/>
          <w:i/>
        </w:rPr>
        <w:t>(soit)</w:t>
      </w:r>
    </w:p>
    <w:p w14:paraId="383B5A0B" w14:textId="77777777" w:rsidR="00DB2B68" w:rsidRDefault="00000000">
      <w:pPr>
        <w:jc w:val="both"/>
      </w:pPr>
      <w:r>
        <w:rPr>
          <w:rStyle w:val="soitChar"/>
          <w:u w:val="single"/>
        </w:rPr>
        <w:t>chanfreinée en arrondi</w:t>
      </w:r>
    </w:p>
    <w:p w14:paraId="57FA3608" w14:textId="77777777" w:rsidR="00DB2B68" w:rsidRDefault="00000000">
      <w:pPr>
        <w:jc w:val="both"/>
      </w:pP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w:t>
      </w:r>
      <w:r>
        <w:t> .</w:t>
      </w:r>
    </w:p>
    <w:p w14:paraId="34F7A92C" w14:textId="77777777" w:rsidR="00DB2B68" w:rsidRDefault="00000000">
      <w:pPr>
        <w:jc w:val="both"/>
      </w:pPr>
      <w:r>
        <w:rPr>
          <w:b/>
          <w:i/>
        </w:rPr>
        <w:t>(soit)</w:t>
      </w:r>
    </w:p>
    <w:p w14:paraId="1C21D5C7" w14:textId="77777777" w:rsidR="00DB2B68" w:rsidRDefault="00000000">
      <w:pPr>
        <w:jc w:val="both"/>
      </w:pPr>
      <w:r>
        <w:rPr>
          <w:rStyle w:val="soitChar"/>
          <w:u w:val="single"/>
        </w:rPr>
        <w:t>vives</w:t>
      </w:r>
    </w:p>
    <w:p w14:paraId="5912F022" w14:textId="77777777" w:rsidR="00DB2B68" w:rsidRDefault="00000000">
      <w:pPr>
        <w:pStyle w:val="pheading"/>
      </w:pPr>
      <w:r>
        <w:t>- Prescriptions complémentaires</w:t>
      </w:r>
    </w:p>
    <w:p w14:paraId="46933513" w14:textId="77777777" w:rsidR="00DB2B68" w:rsidRDefault="00000000">
      <w:pPr>
        <w:jc w:val="both"/>
      </w:pPr>
      <w:r>
        <w:rPr>
          <w:rStyle w:val="facultChar"/>
        </w:rPr>
        <w:t>Résistance au feu : pour les éléments porteurs et structurels sans fonction séparant </w:t>
      </w:r>
      <w:r>
        <w:rPr>
          <w:rStyle w:val="optioncarChar"/>
        </w:rPr>
        <w:t xml:space="preserve">/ R15 / R30 </w:t>
      </w:r>
      <w:r>
        <w:t>(par défaut) </w:t>
      </w:r>
      <w:r>
        <w:rPr>
          <w:rStyle w:val="optioncarChar"/>
        </w:rPr>
        <w:t>/ R60 / R120 / R ***</w:t>
      </w:r>
      <w:r>
        <w:rPr>
          <w:rStyle w:val="facultChar"/>
        </w:rPr>
        <w:t>, pour les éléments porteurs et structurels avec fonction séparant </w:t>
      </w:r>
      <w:r>
        <w:rPr>
          <w:rStyle w:val="optioncarChar"/>
        </w:rPr>
        <w:t>/ REI 30 </w:t>
      </w:r>
      <w:r>
        <w:t>(par défaut)</w:t>
      </w:r>
      <w:r>
        <w:rPr>
          <w:rStyle w:val="optioncarChar"/>
        </w:rPr>
        <w:t xml:space="preserve"> / REI 60 / REI 120 / REI ***</w:t>
      </w:r>
      <w:r>
        <w:rPr>
          <w:rStyle w:val="facultChar"/>
        </w:rPr>
        <w:t> et pour les éléments non porteurs avec fonction séparant </w:t>
      </w:r>
      <w:r>
        <w:rPr>
          <w:rStyle w:val="optioncarChar"/>
        </w:rPr>
        <w:t>/ EI 30</w:t>
      </w:r>
      <w:r>
        <w:t> (par défaut) </w:t>
      </w:r>
      <w:r>
        <w:rPr>
          <w:rStyle w:val="optioncarChar"/>
        </w:rPr>
        <w:t>/ EI 60 / EI 120 / EI ***</w:t>
      </w:r>
    </w:p>
    <w:p w14:paraId="1867E2E3" w14:textId="77777777" w:rsidR="00DB2B68" w:rsidRDefault="00000000">
      <w:pPr>
        <w:pStyle w:val="pheading"/>
      </w:pPr>
      <w:r>
        <w:t>EXÉCUTION / MISE EN ŒUVRE</w:t>
      </w:r>
    </w:p>
    <w:p w14:paraId="6477CECB" w14:textId="77777777" w:rsidR="00DB2B68" w:rsidRDefault="00000000">
      <w:pPr>
        <w:pStyle w:val="pheading"/>
      </w:pPr>
      <w:r>
        <w:t>- Prescriptions générales</w:t>
      </w:r>
    </w:p>
    <w:p w14:paraId="634521A7" w14:textId="77777777" w:rsidR="00DB2B68" w:rsidRDefault="00000000">
      <w:pPr>
        <w:pStyle w:val="Author-eListParagraph"/>
        <w:numPr>
          <w:ilvl w:val="0"/>
          <w:numId w:val="534"/>
        </w:numPr>
      </w:pPr>
      <w:r>
        <w:t>L’étude et les plans d’exécution </w:t>
      </w:r>
      <w:r>
        <w:rPr>
          <w:rStyle w:val="optioncarChar"/>
        </w:rPr>
        <w:t>sont / ne sont pas</w:t>
      </w:r>
      <w:r>
        <w:t> à charge de l’entreprise.</w:t>
      </w:r>
    </w:p>
    <w:p w14:paraId="6E28F0B0" w14:textId="77777777" w:rsidR="00DB2B68" w:rsidRDefault="00000000">
      <w:pPr>
        <w:pStyle w:val="Author-eListParagraph"/>
        <w:numPr>
          <w:ilvl w:val="0"/>
          <w:numId w:val="534"/>
        </w:numPr>
      </w:pPr>
      <w:r>
        <w:t>La mise en œuvre est conforme aux normes [NBN EN 13670]  et [NBN B 15-400].</w:t>
      </w:r>
    </w:p>
    <w:p w14:paraId="33A674CB" w14:textId="77777777" w:rsidR="00DB2B68" w:rsidRDefault="00000000">
      <w:pPr>
        <w:pStyle w:val="Author-eListParagraph"/>
        <w:numPr>
          <w:ilvl w:val="0"/>
          <w:numId w:val="534"/>
        </w:numPr>
      </w:pPr>
      <w:r>
        <w:t>Les parois sont fabriquées dans les dimensions indiquées sur les plans d’exécution approuvés.</w:t>
      </w:r>
    </w:p>
    <w:p w14:paraId="13DB561B" w14:textId="77777777" w:rsidR="00DB2B68" w:rsidRDefault="00000000">
      <w:pPr>
        <w:pStyle w:val="Author-eListParagraph"/>
        <w:numPr>
          <w:ilvl w:val="0"/>
          <w:numId w:val="534"/>
        </w:numPr>
      </w:pPr>
      <w:r>
        <w:t>L’alignement des prémurs est réalisé au moyens d’étais et de madriers en bois parfaitement alignés.</w:t>
      </w:r>
    </w:p>
    <w:p w14:paraId="608312C9" w14:textId="77777777" w:rsidR="00DB2B68" w:rsidRDefault="00000000">
      <w:pPr>
        <w:pStyle w:val="Author-eListParagraph"/>
        <w:numPr>
          <w:ilvl w:val="0"/>
          <w:numId w:val="534"/>
        </w:numPr>
      </w:pPr>
      <w:r>
        <w:t>Le sol/support doit être non travaillé et stable.</w:t>
      </w:r>
    </w:p>
    <w:p w14:paraId="1F74A614" w14:textId="77777777" w:rsidR="00DB2B68" w:rsidRDefault="00000000">
      <w:pPr>
        <w:pStyle w:val="Author-eListParagraph"/>
        <w:numPr>
          <w:ilvl w:val="0"/>
          <w:numId w:val="534"/>
        </w:numPr>
      </w:pPr>
      <w:r>
        <w:t>La verticalité doit être garantie par la pose préalable de madrier en bois</w:t>
      </w:r>
    </w:p>
    <w:p w14:paraId="591406CF" w14:textId="77777777" w:rsidR="00DB2B68" w:rsidRDefault="00000000">
      <w:pPr>
        <w:pStyle w:val="Author-eListParagraph"/>
        <w:numPr>
          <w:ilvl w:val="0"/>
          <w:numId w:val="534"/>
        </w:numPr>
      </w:pPr>
      <w:r>
        <w:t>Les étançons doivent être solidement fixés. L’angle entre l’étançon et le prémur doit être au minimum de 30°. Le nombre d’étançons nécessaires communiqué par le fabricant est respecté.</w:t>
      </w:r>
    </w:p>
    <w:p w14:paraId="70562038" w14:textId="77777777" w:rsidR="00DB2B68" w:rsidRDefault="00000000">
      <w:pPr>
        <w:pStyle w:val="Author-eListParagraph"/>
        <w:numPr>
          <w:ilvl w:val="0"/>
          <w:numId w:val="534"/>
        </w:numPr>
      </w:pPr>
      <w:r>
        <w:t>Le béton de remplissage est coulé en couche de maximum 60 cm d’épaisseur et doit être vibré conformément aux normes[NBN EN 13670]  et [NBN B 15-400].</w:t>
      </w:r>
    </w:p>
    <w:p w14:paraId="331EE933" w14:textId="77777777" w:rsidR="00DB2B68" w:rsidRDefault="00000000">
      <w:pPr>
        <w:pStyle w:val="Author-eListParagraph"/>
        <w:numPr>
          <w:ilvl w:val="0"/>
          <w:numId w:val="534"/>
        </w:numPr>
      </w:pPr>
      <w:r>
        <w:lastRenderedPageBreak/>
        <w:t>Afin d’éviter l’ouverture des joints à hauteur des coins, il faut placer des équerres ou planches d’étais.</w:t>
      </w:r>
    </w:p>
    <w:p w14:paraId="43E50FE3" w14:textId="77777777" w:rsidR="00DB2B68" w:rsidRDefault="00000000">
      <w:pPr>
        <w:pStyle w:val="Author-eListParagraph"/>
        <w:numPr>
          <w:ilvl w:val="0"/>
          <w:numId w:val="534"/>
        </w:numPr>
      </w:pPr>
      <w:r>
        <w:t xml:space="preserve">Mise en place de tôle d’étanchéité : </w:t>
      </w:r>
      <w:r>
        <w:rPr>
          <w:rStyle w:val="optioncarChar"/>
        </w:rPr>
        <w:t>oui / non</w:t>
      </w:r>
    </w:p>
    <w:p w14:paraId="459F4072" w14:textId="77777777" w:rsidR="00DB2B68" w:rsidRDefault="00000000">
      <w:pPr>
        <w:pStyle w:val="pheading"/>
      </w:pPr>
      <w:r>
        <w:t>DOCUMENTS DE RÉFÉRENCE COMPLÉMENTAIRES</w:t>
      </w:r>
    </w:p>
    <w:p w14:paraId="09782C1C" w14:textId="77777777" w:rsidR="00DB2B68" w:rsidRDefault="00000000">
      <w:pPr>
        <w:pStyle w:val="pheading"/>
      </w:pPr>
      <w:r>
        <w:t>- Matériau</w:t>
      </w:r>
    </w:p>
    <w:p w14:paraId="6240E7B7" w14:textId="77777777" w:rsidR="00DB2B68" w:rsidRDefault="00000000">
      <w:r>
        <w:t>[NBN EN 14992+A1, Produits préfabriqués en béton - Eléments de mur]</w:t>
      </w:r>
    </w:p>
    <w:p w14:paraId="6F064480" w14:textId="77777777" w:rsidR="00DB2B68" w:rsidRDefault="00000000">
      <w:r>
        <w:t>[RA 21-612, Règlement d'application Benor - Produits préfabriqués en béton - Eléments de murs]</w:t>
      </w:r>
      <w:r>
        <w:br/>
      </w:r>
      <w:r>
        <w:br/>
        <w:t>[Buildwise Méthode de dimensionnement Rapport 10, Sécurité et mise en oeuvre d'éléments préfabriqués en béton]</w:t>
      </w:r>
    </w:p>
    <w:p w14:paraId="5E7EC75A" w14:textId="77777777" w:rsidR="00DB2B68" w:rsidRDefault="00000000">
      <w:r>
        <w:t>[PTV 21-601, Eléments préfabriqués en béton architectonique.]</w:t>
      </w:r>
    </w:p>
    <w:p w14:paraId="40B2B46B" w14:textId="77777777" w:rsidR="00DB2B68" w:rsidRDefault="00000000">
      <w:r>
        <w:t>[NBN EN 206:2013+A2, Béton - Spécification, performances, production et conformité]</w:t>
      </w:r>
    </w:p>
    <w:p w14:paraId="22C035DA" w14:textId="77777777" w:rsidR="00DB2B68" w:rsidRDefault="00000000">
      <w:r>
        <w:t>[NBN B 15-001, Béton - Spécification, performances, production et conformité - Complément national à la NBN EN 206:2013+A2:2021]</w:t>
      </w:r>
    </w:p>
    <w:p w14:paraId="42DEC2E3" w14:textId="77777777" w:rsidR="00DB2B68" w:rsidRDefault="00000000">
      <w:pPr>
        <w:ind w:left="750"/>
      </w:pPr>
      <w:r>
        <w:t> </w:t>
      </w:r>
    </w:p>
    <w:p w14:paraId="76E75E5F" w14:textId="77777777" w:rsidR="00DB2B68" w:rsidRDefault="00000000">
      <w:pPr>
        <w:pStyle w:val="pheading"/>
      </w:pPr>
      <w:r>
        <w:t>- Exécution</w:t>
      </w:r>
    </w:p>
    <w:p w14:paraId="251C4F89" w14:textId="77777777" w:rsidR="00DB2B68" w:rsidRDefault="00000000">
      <w:r>
        <w:t>[NBN EN 13670, Exécution des structures en béton]</w:t>
      </w:r>
    </w:p>
    <w:p w14:paraId="4A23F956" w14:textId="77777777" w:rsidR="00DB2B68" w:rsidRDefault="00000000">
      <w:r>
        <w:t>[NBN B 15-400, Exécution des structures en béton - Supplément national à la NBN EN 13670:2010]</w:t>
      </w:r>
    </w:p>
    <w:p w14:paraId="6121256B" w14:textId="77777777" w:rsidR="00DB2B68" w:rsidRDefault="00000000">
      <w:r>
        <w:t>[FEBE BT Prémurs, Brochure Technique - Prémurs - Rapides et économiques]</w:t>
      </w:r>
    </w:p>
    <w:p w14:paraId="4FA55728" w14:textId="77777777" w:rsidR="00DB2B68" w:rsidRDefault="00000000">
      <w:pPr>
        <w:pStyle w:val="pheading"/>
      </w:pPr>
      <w:r>
        <w:t>MESURAGE</w:t>
      </w:r>
    </w:p>
    <w:p w14:paraId="150D78D8" w14:textId="77777777" w:rsidR="00DB2B68" w:rsidRDefault="00000000">
      <w:pPr>
        <w:pStyle w:val="pheading"/>
      </w:pPr>
      <w:r>
        <w:t>- unité de mesure:</w:t>
      </w:r>
    </w:p>
    <w:p w14:paraId="40E1ABBE" w14:textId="77777777" w:rsidR="00DB2B68" w:rsidRDefault="00000000">
      <w:r>
        <w:rPr>
          <w:rStyle w:val="optioncarChar"/>
        </w:rPr>
        <w:t>m³</w:t>
      </w:r>
      <w:r>
        <w:t>    (par défaut) </w:t>
      </w:r>
      <w:r>
        <w:rPr>
          <w:rStyle w:val="optioncarChar"/>
        </w:rPr>
        <w:t>/ pc / m / m² </w:t>
      </w:r>
    </w:p>
    <w:p w14:paraId="2C86777C" w14:textId="77777777" w:rsidR="00DB2B68" w:rsidRDefault="00000000">
      <w:r>
        <w:rPr>
          <w:b/>
          <w:i/>
        </w:rPr>
        <w:t>(Soit par défaut)</w:t>
      </w:r>
    </w:p>
    <w:p w14:paraId="3DA29342" w14:textId="77777777" w:rsidR="00DB2B68" w:rsidRDefault="00000000">
      <w:r>
        <w:rPr>
          <w:rStyle w:val="soitChar"/>
        </w:rPr>
        <w:t>1. m³</w:t>
      </w:r>
    </w:p>
    <w:p w14:paraId="20F82232" w14:textId="77777777" w:rsidR="00DB2B68" w:rsidRDefault="00000000">
      <w:r>
        <w:rPr>
          <w:b/>
          <w:i/>
        </w:rPr>
        <w:t>(Soit)</w:t>
      </w:r>
    </w:p>
    <w:p w14:paraId="6A449C1F" w14:textId="77777777" w:rsidR="00DB2B68" w:rsidRDefault="00000000">
      <w:r>
        <w:rPr>
          <w:rStyle w:val="soitChar"/>
        </w:rPr>
        <w:t>2. pc</w:t>
      </w:r>
    </w:p>
    <w:p w14:paraId="652647CC" w14:textId="77777777" w:rsidR="00DB2B68" w:rsidRDefault="00000000">
      <w:r>
        <w:rPr>
          <w:b/>
          <w:i/>
        </w:rPr>
        <w:t>(Soit)</w:t>
      </w:r>
    </w:p>
    <w:p w14:paraId="089D4497" w14:textId="77777777" w:rsidR="00DB2B68" w:rsidRDefault="00000000">
      <w:r>
        <w:rPr>
          <w:rStyle w:val="soitChar"/>
        </w:rPr>
        <w:t>3. m</w:t>
      </w:r>
    </w:p>
    <w:p w14:paraId="145D026A" w14:textId="77777777" w:rsidR="00DB2B68" w:rsidRDefault="00000000">
      <w:r>
        <w:rPr>
          <w:b/>
          <w:i/>
        </w:rPr>
        <w:t>(Soit)</w:t>
      </w:r>
    </w:p>
    <w:p w14:paraId="4F3260C4" w14:textId="77777777" w:rsidR="00DB2B68" w:rsidRDefault="00000000">
      <w:r>
        <w:rPr>
          <w:rStyle w:val="soitChar"/>
        </w:rPr>
        <w:t>4. m²</w:t>
      </w:r>
    </w:p>
    <w:p w14:paraId="5AB72B40" w14:textId="77777777" w:rsidR="00DB2B68" w:rsidRDefault="00000000">
      <w:pPr>
        <w:pStyle w:val="pheading"/>
      </w:pPr>
      <w:r>
        <w:t>- code de mesurage:</w:t>
      </w:r>
    </w:p>
    <w:p w14:paraId="40030D3E" w14:textId="77777777" w:rsidR="00DB2B68" w:rsidRDefault="00000000">
      <w:r>
        <w:rPr>
          <w:rStyle w:val="optioncarChar"/>
        </w:rPr>
        <w:t>Volume net </w:t>
      </w:r>
      <w:r>
        <w:t>(par défaut)</w:t>
      </w:r>
      <w:r>
        <w:rPr>
          <w:rStyle w:val="optioncarChar"/>
        </w:rPr>
        <w:t> / quantité nette / longueur nette / surface nette</w:t>
      </w:r>
    </w:p>
    <w:p w14:paraId="501FD8F1" w14:textId="77777777" w:rsidR="00DB2B68" w:rsidRDefault="00000000">
      <w:r>
        <w:rPr>
          <w:b/>
          <w:i/>
        </w:rPr>
        <w:t>(Soit par défaut)</w:t>
      </w:r>
    </w:p>
    <w:p w14:paraId="70D27216" w14:textId="77777777" w:rsidR="00DB2B68" w:rsidRDefault="00000000">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546F9C58" w14:textId="77777777" w:rsidR="00DB2B68" w:rsidRDefault="00000000">
      <w:r>
        <w:rPr>
          <w:rStyle w:val="soitChar"/>
        </w:rPr>
        <w:t>Aucune déduction n'est faite pour:</w:t>
      </w:r>
    </w:p>
    <w:p w14:paraId="58CDBA9A" w14:textId="77777777" w:rsidR="00DB2B68" w:rsidRDefault="00000000">
      <w:pPr>
        <w:pStyle w:val="Author-eListParagraph"/>
        <w:numPr>
          <w:ilvl w:val="0"/>
          <w:numId w:val="535"/>
        </w:numPr>
      </w:pPr>
      <w:r>
        <w:rPr>
          <w:rStyle w:val="soitChar"/>
        </w:rPr>
        <w:t>le volume des armatures,</w:t>
      </w:r>
    </w:p>
    <w:p w14:paraId="677C8F98" w14:textId="77777777" w:rsidR="00DB2B68" w:rsidRDefault="00000000">
      <w:pPr>
        <w:pStyle w:val="Author-eListParagraph"/>
        <w:numPr>
          <w:ilvl w:val="0"/>
          <w:numId w:val="535"/>
        </w:numPr>
      </w:pPr>
      <w:r>
        <w:rPr>
          <w:rStyle w:val="soitChar"/>
        </w:rPr>
        <w:t>les blocs et écarteurs, les fourreaux pour les armatures de précontrainte ;</w:t>
      </w:r>
    </w:p>
    <w:p w14:paraId="309D9868" w14:textId="77777777" w:rsidR="00DB2B68" w:rsidRDefault="00000000">
      <w:pPr>
        <w:pStyle w:val="Author-eListParagraph"/>
        <w:numPr>
          <w:ilvl w:val="0"/>
          <w:numId w:val="535"/>
        </w:numPr>
      </w:pPr>
      <w:r>
        <w:rPr>
          <w:rStyle w:val="soitChar"/>
        </w:rPr>
        <w:lastRenderedPageBreak/>
        <w:t>les pénétrations pour les pattes d’ancrage, les creux, les conduites noyées et les réservations dont le volume est inférieur à 0,05 m3.</w:t>
      </w:r>
    </w:p>
    <w:p w14:paraId="28EC8D9F" w14:textId="77777777" w:rsidR="00DB2B68" w:rsidRDefault="00000000">
      <w:pPr>
        <w:pStyle w:val="Author-eListParagraph"/>
        <w:numPr>
          <w:ilvl w:val="0"/>
          <w:numId w:val="535"/>
        </w:numPr>
      </w:pPr>
      <w:r>
        <w:rPr>
          <w:rStyle w:val="soitChar"/>
        </w:rPr>
        <w:t>les chanfreins et tous les profils dont la section a une superficie inférieure à 20 cm2.</w:t>
      </w:r>
    </w:p>
    <w:p w14:paraId="1601DD50" w14:textId="77777777" w:rsidR="00DB2B68" w:rsidRDefault="00000000">
      <w:pPr>
        <w:pStyle w:val="Author-eListParagraph"/>
        <w:numPr>
          <w:ilvl w:val="0"/>
          <w:numId w:val="535"/>
        </w:numPr>
      </w:pPr>
      <w:r>
        <w:rPr>
          <w:rStyle w:val="soitChar"/>
        </w:rPr>
        <w:t>les rainures, encoches et languettes.</w:t>
      </w:r>
    </w:p>
    <w:p w14:paraId="609403A7" w14:textId="77777777" w:rsidR="00DB2B68" w:rsidRDefault="00000000">
      <w:r>
        <w:rPr>
          <w:b/>
          <w:i/>
        </w:rPr>
        <w:t>(Soit)</w:t>
      </w:r>
    </w:p>
    <w:p w14:paraId="295D0359" w14:textId="77777777" w:rsidR="00DB2B68" w:rsidRDefault="00000000">
      <w:r>
        <w:rPr>
          <w:rStyle w:val="soitChar"/>
          <w:u w:val="single"/>
        </w:rPr>
        <w:t>2. Quantité nette</w:t>
      </w:r>
    </w:p>
    <w:p w14:paraId="70563376" w14:textId="77777777" w:rsidR="00DB2B68" w:rsidRDefault="00000000">
      <w:r>
        <w:rPr>
          <w:b/>
          <w:i/>
        </w:rPr>
        <w:t>(Soit)</w:t>
      </w:r>
    </w:p>
    <w:p w14:paraId="360136AB" w14:textId="77777777" w:rsidR="00DB2B68" w:rsidRDefault="00000000">
      <w:r>
        <w:rPr>
          <w:rStyle w:val="soitChar"/>
          <w:u w:val="single"/>
        </w:rPr>
        <w:t>3. Longueur nette</w:t>
      </w:r>
    </w:p>
    <w:p w14:paraId="679B2140" w14:textId="77777777" w:rsidR="00DB2B68" w:rsidRDefault="00000000">
      <w:r>
        <w:rPr>
          <w:b/>
          <w:i/>
        </w:rPr>
        <w:t>(Soit)</w:t>
      </w:r>
    </w:p>
    <w:p w14:paraId="45577A01" w14:textId="77777777" w:rsidR="00DB2B68" w:rsidRDefault="00000000">
      <w:r>
        <w:rPr>
          <w:rStyle w:val="soitChar"/>
          <w:u w:val="single"/>
        </w:rPr>
        <w:t>4. Surface nette</w:t>
      </w:r>
    </w:p>
    <w:p w14:paraId="47F04577" w14:textId="77777777" w:rsidR="00DB2B68" w:rsidRDefault="00000000">
      <w:pPr>
        <w:pStyle w:val="pheading"/>
      </w:pPr>
      <w:r>
        <w:t>- nature du marché:</w:t>
      </w:r>
    </w:p>
    <w:p w14:paraId="67A5BC8C" w14:textId="77777777" w:rsidR="00DB2B68" w:rsidRDefault="00000000">
      <w:r>
        <w:t>QF</w:t>
      </w:r>
    </w:p>
    <w:p w14:paraId="5C3F2A4A" w14:textId="77777777" w:rsidR="00DB2B68" w:rsidRDefault="00000000">
      <w:pPr>
        <w:pStyle w:val="Author-eSectionHeading6Numberless"/>
      </w:pPr>
      <w:bookmarkStart w:id="760" w:name="_Toc220495817"/>
      <w:r>
        <w:t>22.16.4e Prémurs préfabriqués en béton décoratif / architectonique avec isolation intégrée CCTB 01.11</w:t>
      </w:r>
      <w:bookmarkEnd w:id="760"/>
    </w:p>
    <w:p w14:paraId="7E463424" w14:textId="77777777" w:rsidR="00DB2B68" w:rsidRDefault="00000000">
      <w:pPr>
        <w:pStyle w:val="pheading"/>
      </w:pPr>
      <w:r>
        <w:t>DESCRIPTION</w:t>
      </w:r>
    </w:p>
    <w:p w14:paraId="664B526B" w14:textId="77777777" w:rsidR="00DB2B68" w:rsidRDefault="00000000">
      <w:pPr>
        <w:pStyle w:val="pheading"/>
      </w:pPr>
      <w:r>
        <w:t>- Définition / Comprend</w:t>
      </w:r>
    </w:p>
    <w:p w14:paraId="72A5D11F" w14:textId="77777777" w:rsidR="00DB2B68" w:rsidRDefault="00000000">
      <w:pPr>
        <w:jc w:val="both"/>
      </w:pPr>
      <w:r>
        <w:t>Cet article vise la fourniture et la pose de prémurs préfabriqués en béton architectonique.</w:t>
      </w:r>
    </w:p>
    <w:p w14:paraId="5E5494EF" w14:textId="77777777" w:rsidR="00DB2B68" w:rsidRDefault="00000000">
      <w:pPr>
        <w:jc w:val="both"/>
      </w:pPr>
      <w:r>
        <w:t>Les prémurs se composent de deux panneaux en béton armé reliés l’un à l’autre par des poutres à treillis. Un isolant est fixé sur un des panneaux.</w:t>
      </w:r>
    </w:p>
    <w:p w14:paraId="6DE28CA2" w14:textId="77777777" w:rsidR="00DB2B68" w:rsidRDefault="00000000">
      <w:pPr>
        <w:jc w:val="both"/>
      </w:pPr>
      <w:r>
        <w:t>Sont compris :</w:t>
      </w:r>
    </w:p>
    <w:p w14:paraId="273A0DB3" w14:textId="77777777" w:rsidR="00DB2B68" w:rsidRDefault="00000000">
      <w:pPr>
        <w:pStyle w:val="Author-eListParagraph"/>
        <w:numPr>
          <w:ilvl w:val="0"/>
          <w:numId w:val="536"/>
        </w:numPr>
      </w:pPr>
      <w:r>
        <w:t>La livraison et la réalisation du béton de remplissage en cas de prémurs si requis.</w:t>
      </w:r>
    </w:p>
    <w:p w14:paraId="792C66C3" w14:textId="77777777" w:rsidR="00DB2B68" w:rsidRDefault="00000000">
      <w:pPr>
        <w:pStyle w:val="Author-eListParagraph"/>
        <w:numPr>
          <w:ilvl w:val="0"/>
          <w:numId w:val="536"/>
        </w:numPr>
      </w:pPr>
      <w:r>
        <w:t>L’humification des prémurs avant bétonnage du creux des prémurs.</w:t>
      </w:r>
    </w:p>
    <w:p w14:paraId="376F45C5" w14:textId="77777777" w:rsidR="00DB2B68" w:rsidRDefault="00000000">
      <w:pPr>
        <w:pStyle w:val="pheading"/>
      </w:pPr>
      <w:r>
        <w:t>- Localisation</w:t>
      </w:r>
    </w:p>
    <w:p w14:paraId="42D46504" w14:textId="77777777" w:rsidR="00DB2B68" w:rsidRDefault="00000000">
      <w:r>
        <w:t xml:space="preserve">La pose est réalisée aux endroits suivants : </w:t>
      </w:r>
      <w:r>
        <w:rPr>
          <w:rStyle w:val="optioncarChar"/>
        </w:rPr>
        <w:t>***</w:t>
      </w:r>
      <w:r>
        <w:t>.</w:t>
      </w:r>
    </w:p>
    <w:p w14:paraId="69342B1C" w14:textId="77777777" w:rsidR="00DB2B68" w:rsidRDefault="00000000">
      <w:r>
        <w:t>Voir plans et métrés détaillés.</w:t>
      </w:r>
    </w:p>
    <w:p w14:paraId="1166B727" w14:textId="77777777" w:rsidR="00DB2B68" w:rsidRDefault="00000000">
      <w:pPr>
        <w:pStyle w:val="pheading"/>
      </w:pPr>
      <w:r>
        <w:t>MATÉRIAUX</w:t>
      </w:r>
    </w:p>
    <w:p w14:paraId="2C8D0ED0" w14:textId="77777777" w:rsidR="00DB2B68" w:rsidRDefault="00000000">
      <w:pPr>
        <w:pStyle w:val="pheading"/>
      </w:pPr>
      <w:r>
        <w:t>- Caractéristiques générales</w:t>
      </w:r>
    </w:p>
    <w:p w14:paraId="3A7E0B84" w14:textId="77777777" w:rsidR="00DB2B68" w:rsidRDefault="00000000">
      <w:pPr>
        <w:jc w:val="both"/>
      </w:pPr>
      <w:r>
        <w:t>Epaisseur totale du mur : </w:t>
      </w:r>
      <w:r>
        <w:rPr>
          <w:rStyle w:val="optioncarChar"/>
        </w:rPr>
        <w:t>19 </w:t>
      </w:r>
      <w:r>
        <w:t>(par défaut)</w:t>
      </w:r>
      <w:r>
        <w:rPr>
          <w:rStyle w:val="optioncarChar"/>
        </w:rPr>
        <w:t xml:space="preserve"> / 20 / 25 / 30 / ***</w:t>
      </w:r>
      <w:r>
        <w:t> cm suivant étude et plans d’exécution</w:t>
      </w:r>
    </w:p>
    <w:p w14:paraId="108CAB83" w14:textId="77777777" w:rsidR="00DB2B68" w:rsidRDefault="00000000">
      <w:pPr>
        <w:jc w:val="both"/>
      </w:pPr>
      <w:r>
        <w:t>Epaisseur des parois du prémur :</w:t>
      </w:r>
    </w:p>
    <w:p w14:paraId="7F9C6AEC" w14:textId="77777777" w:rsidR="00DB2B68" w:rsidRDefault="00000000">
      <w:pPr>
        <w:pStyle w:val="Author-eListParagraph"/>
        <w:numPr>
          <w:ilvl w:val="0"/>
          <w:numId w:val="537"/>
        </w:numPr>
      </w:pPr>
      <w:r>
        <w:t>Paroi intérieure : </w:t>
      </w:r>
      <w:r>
        <w:rPr>
          <w:rStyle w:val="optioncarChar"/>
        </w:rPr>
        <w:t>5 </w:t>
      </w:r>
      <w:r>
        <w:t>(par défaut)</w:t>
      </w:r>
      <w:r>
        <w:rPr>
          <w:rStyle w:val="optioncarChar"/>
        </w:rPr>
        <w:t xml:space="preserve"> / 6 / 7 / ***</w:t>
      </w:r>
      <w:r>
        <w:t> cm suivant étude et plans d’exécution</w:t>
      </w:r>
    </w:p>
    <w:p w14:paraId="2EBED1A0" w14:textId="77777777" w:rsidR="00DB2B68" w:rsidRDefault="00000000">
      <w:pPr>
        <w:pStyle w:val="Author-eListParagraph"/>
        <w:numPr>
          <w:ilvl w:val="0"/>
          <w:numId w:val="537"/>
        </w:numPr>
      </w:pPr>
      <w:r>
        <w:t>Paroi extérieure : </w:t>
      </w:r>
      <w:r>
        <w:rPr>
          <w:rStyle w:val="optioncarChar"/>
        </w:rPr>
        <w:t>5</w:t>
      </w:r>
      <w:r>
        <w:t xml:space="preserve"> (par défaut)</w:t>
      </w:r>
      <w:r>
        <w:rPr>
          <w:rStyle w:val="optioncarChar"/>
        </w:rPr>
        <w:t> / 6 / 7 / ***</w:t>
      </w:r>
      <w:r>
        <w:t> cm suivant étude et plans d’exécutions</w:t>
      </w:r>
    </w:p>
    <w:p w14:paraId="697CC48F" w14:textId="77777777" w:rsidR="00DB2B68" w:rsidRDefault="00000000">
      <w:pPr>
        <w:jc w:val="both"/>
      </w:pPr>
      <w:r>
        <w:t> </w:t>
      </w:r>
    </w:p>
    <w:p w14:paraId="728D8F31" w14:textId="77777777" w:rsidR="00DB2B68" w:rsidRDefault="00000000">
      <w:pPr>
        <w:jc w:val="both"/>
      </w:pPr>
      <w:r>
        <w:t>1. Les parois préfabriquées en béton architectonique doivent satisfaire aux normes relatives aux parois préfabriquées [NBN EN 14992+A1] et [NBN B 21-612] ainsi qu’aux exigences liées à l’esthétisme de la norme [PTV 21-601].</w:t>
      </w:r>
    </w:p>
    <w:p w14:paraId="3BBB448F" w14:textId="77777777" w:rsidR="00DB2B68" w:rsidRDefault="00000000">
      <w:pPr>
        <w:pStyle w:val="Author-eListParagraph"/>
        <w:numPr>
          <w:ilvl w:val="0"/>
          <w:numId w:val="538"/>
        </w:numPr>
      </w:pPr>
      <w:r>
        <w:t>Qualité du béton selon la [NBN EN 206:2013+A2] et la [NBN B 15-001].</w:t>
      </w:r>
    </w:p>
    <w:p w14:paraId="1A42023C" w14:textId="77777777" w:rsidR="00DB2B68" w:rsidRDefault="00000000">
      <w:pPr>
        <w:pStyle w:val="Author-eListParagraph"/>
        <w:numPr>
          <w:ilvl w:val="0"/>
          <w:numId w:val="538"/>
        </w:numPr>
      </w:pPr>
      <w:r>
        <w:t>Classe de résistance à la compression</w:t>
      </w:r>
    </w:p>
    <w:p w14:paraId="715C7AEE" w14:textId="77777777" w:rsidR="00DB2B68" w:rsidRDefault="00000000">
      <w:pPr>
        <w:ind w:left="567"/>
      </w:pPr>
      <w:r>
        <w:rPr>
          <w:rStyle w:val="optioncarChar"/>
        </w:rPr>
        <w:t>C30/37</w:t>
      </w:r>
      <w:r>
        <w:t> (par défaut)</w:t>
      </w:r>
      <w:r>
        <w:rPr>
          <w:rStyle w:val="optioncarChar"/>
        </w:rPr>
        <w:t xml:space="preserve"> / C35/45 / C45/55 / C50/60 / C55/67 / C60/75 / C70/85 / C80/95 / C90/105 / ***</w:t>
      </w:r>
    </w:p>
    <w:p w14:paraId="03E4F314" w14:textId="77777777" w:rsidR="00DB2B68" w:rsidRDefault="00000000">
      <w:pPr>
        <w:pStyle w:val="Author-eListParagraph"/>
        <w:numPr>
          <w:ilvl w:val="0"/>
          <w:numId w:val="539"/>
        </w:numPr>
      </w:pPr>
      <w:r>
        <w:t>Classe d’environnement</w:t>
      </w:r>
    </w:p>
    <w:p w14:paraId="014DE810" w14:textId="77777777" w:rsidR="00DB2B68" w:rsidRDefault="00000000">
      <w:pPr>
        <w:ind w:left="567"/>
      </w:pPr>
      <w:r>
        <w:rPr>
          <w:rStyle w:val="optioncarChar"/>
        </w:rPr>
        <w:t>EI </w:t>
      </w:r>
      <w:r>
        <w:t>(par défaut)</w:t>
      </w:r>
      <w:r>
        <w:rPr>
          <w:rStyle w:val="optioncarChar"/>
        </w:rPr>
        <w:t xml:space="preserve"> / EE1 / EE2 / EE3 / EE4 / ES1 / ES2 / ES3 / ES4 / EA1+*** / EA2+***/ EA3+*** / ***</w:t>
      </w:r>
    </w:p>
    <w:p w14:paraId="24CC5E38" w14:textId="77777777" w:rsidR="00DB2B68" w:rsidRDefault="00000000">
      <w:r>
        <w:lastRenderedPageBreak/>
        <w:t>2.Béton de remplissage</w:t>
      </w:r>
    </w:p>
    <w:p w14:paraId="4F474ADC" w14:textId="77777777" w:rsidR="00DB2B68" w:rsidRDefault="00000000">
      <w:r>
        <w:t>Si requis, le béton de remplissage est également conforme aux normes [NBN EN 206:2013+A2] et la [NBN B 15-001] .</w:t>
      </w:r>
    </w:p>
    <w:p w14:paraId="7D0FA7F5" w14:textId="77777777" w:rsidR="00DB2B68" w:rsidRDefault="00000000">
      <w:pPr>
        <w:pStyle w:val="Author-eListParagraph"/>
        <w:numPr>
          <w:ilvl w:val="0"/>
          <w:numId w:val="540"/>
        </w:numPr>
      </w:pPr>
      <w:r>
        <w:t>Classe de résistance à la compression</w:t>
      </w:r>
    </w:p>
    <w:p w14:paraId="5CAB55D7" w14:textId="77777777" w:rsidR="00DB2B68" w:rsidRDefault="00000000">
      <w:pPr>
        <w:ind w:left="567"/>
      </w:pPr>
      <w:r>
        <w:rPr>
          <w:rStyle w:val="optioncarChar"/>
        </w:rPr>
        <w:t>C25/30 </w:t>
      </w:r>
      <w:r>
        <w:t>(par défaut)</w:t>
      </w:r>
      <w:r>
        <w:rPr>
          <w:rStyle w:val="optioncarChar"/>
        </w:rPr>
        <w:t xml:space="preserve"> / 30/37 / C35/45 / C45/55 / C50/60 / C55/67 / C60/75 / C70/85 / C80/95 / C90/105 / ***</w:t>
      </w:r>
    </w:p>
    <w:p w14:paraId="3409126A" w14:textId="77777777" w:rsidR="00DB2B68" w:rsidRDefault="00000000">
      <w:pPr>
        <w:pStyle w:val="Author-eListParagraph"/>
        <w:numPr>
          <w:ilvl w:val="0"/>
          <w:numId w:val="541"/>
        </w:numPr>
      </w:pPr>
      <w:r>
        <w:t> Classe d’environnement</w:t>
      </w:r>
    </w:p>
    <w:p w14:paraId="5B144945" w14:textId="77777777" w:rsidR="00DB2B68" w:rsidRDefault="00000000">
      <w:pPr>
        <w:ind w:left="567"/>
      </w:pPr>
      <w:r>
        <w:rPr>
          <w:rStyle w:val="optioncarChar"/>
        </w:rPr>
        <w:t>EI </w:t>
      </w:r>
      <w:r>
        <w:t>(par défaut)</w:t>
      </w:r>
      <w:r>
        <w:rPr>
          <w:rStyle w:val="optioncarChar"/>
        </w:rPr>
        <w:t xml:space="preserve"> / EE1 / EE2 / EE3 / ***</w:t>
      </w:r>
    </w:p>
    <w:p w14:paraId="344BB0F6" w14:textId="77777777" w:rsidR="00DB2B68" w:rsidRDefault="00000000">
      <w:pPr>
        <w:pStyle w:val="Author-eListParagraph"/>
        <w:numPr>
          <w:ilvl w:val="0"/>
          <w:numId w:val="542"/>
        </w:numPr>
      </w:pPr>
      <w:r>
        <w:t>Dmax et classe de consistance (min.S4) en adéquation avec distance des parois.</w:t>
      </w:r>
      <w:r>
        <w:br/>
      </w:r>
    </w:p>
    <w:p w14:paraId="56D09F7D" w14:textId="77777777" w:rsidR="00DB2B68" w:rsidRDefault="00000000">
      <w:pPr>
        <w:pStyle w:val="Author-eListParagraph"/>
        <w:numPr>
          <w:ilvl w:val="0"/>
          <w:numId w:val="542"/>
        </w:numPr>
      </w:pPr>
      <w:r>
        <w:t>L’armature des joints du béton de remplissage est au moins un treillis soudé, d’un acier BE 500S ou BE 500 TS de dimension </w:t>
      </w:r>
      <w:r>
        <w:rPr>
          <w:rStyle w:val="optioncarChar"/>
        </w:rPr>
        <w:t xml:space="preserve">150x150x8x8 </w:t>
      </w:r>
      <w:r>
        <w:t>(par défaut) </w:t>
      </w:r>
      <w:r>
        <w:rPr>
          <w:rStyle w:val="optioncarChar"/>
        </w:rPr>
        <w:t>/ ***x***x***x***</w:t>
      </w:r>
      <w:r>
        <w:t> cm.</w:t>
      </w:r>
    </w:p>
    <w:p w14:paraId="1C835B40" w14:textId="77777777" w:rsidR="00DB2B68" w:rsidRDefault="00000000">
      <w:r>
        <w:t>3. Prémurs avec isolants</w:t>
      </w:r>
    </w:p>
    <w:p w14:paraId="76505BBF" w14:textId="77777777" w:rsidR="00DB2B68" w:rsidRDefault="00000000">
      <w:r>
        <w:t xml:space="preserve">Valeur de U max= </w:t>
      </w:r>
      <w:r>
        <w:rPr>
          <w:rStyle w:val="optioncarChar"/>
        </w:rPr>
        <w:t>*** </w:t>
      </w:r>
      <w:r>
        <w:t>W/ m²K.</w:t>
      </w:r>
    </w:p>
    <w:p w14:paraId="03DCA2C1" w14:textId="77777777" w:rsidR="00DB2B68" w:rsidRDefault="00000000">
      <w:r>
        <w:t xml:space="preserve">Matériaux d’isolation : </w:t>
      </w:r>
      <w:r>
        <w:rPr>
          <w:rStyle w:val="optioncarChar"/>
        </w:rPr>
        <w:t xml:space="preserve">EPS / PUR / PIR </w:t>
      </w:r>
      <w:r>
        <w:t xml:space="preserve">(par défaut) </w:t>
      </w:r>
      <w:r>
        <w:rPr>
          <w:rStyle w:val="optioncarChar"/>
        </w:rPr>
        <w:t>/ ***</w:t>
      </w:r>
    </w:p>
    <w:p w14:paraId="425C7D09" w14:textId="77777777" w:rsidR="00DB2B68" w:rsidRDefault="00000000">
      <w:r>
        <w:t xml:space="preserve">Epaisseur d’isolation : </w:t>
      </w:r>
      <w:r>
        <w:rPr>
          <w:rStyle w:val="optioncarChar"/>
        </w:rPr>
        <w:t>compatible avec l’exigence U</w:t>
      </w:r>
      <w:r>
        <w:t xml:space="preserve"> (par défaut) </w:t>
      </w:r>
      <w:r>
        <w:rPr>
          <w:rStyle w:val="optioncarChar"/>
        </w:rPr>
        <w:t>/ 12cm / 16cm / 22cm / 24cm / ***</w:t>
      </w:r>
      <w:r>
        <w:t xml:space="preserve"> cm</w:t>
      </w:r>
    </w:p>
    <w:p w14:paraId="7135A193" w14:textId="77777777" w:rsidR="00DB2B68" w:rsidRDefault="00DB2B68"/>
    <w:p w14:paraId="31848667" w14:textId="77777777" w:rsidR="00DB2B68" w:rsidRDefault="00000000">
      <w:pPr>
        <w:pStyle w:val="pheading"/>
      </w:pPr>
      <w:r>
        <w:t>- Finitions</w:t>
      </w:r>
    </w:p>
    <w:p w14:paraId="4424FCF4" w14:textId="77777777" w:rsidR="00DB2B68" w:rsidRDefault="00000000">
      <w:pPr>
        <w:jc w:val="both"/>
      </w:pPr>
      <w:r>
        <w:t>Type de béton préfabriqué avec exigences esthétiques :</w:t>
      </w:r>
      <w:r>
        <w:rPr>
          <w:rStyle w:val="optioncarChar"/>
        </w:rPr>
        <w:t xml:space="preserve"> béton architectonique </w:t>
      </w:r>
      <w:r>
        <w:t>(par défaut)</w:t>
      </w:r>
      <w:r>
        <w:rPr>
          <w:rStyle w:val="optioncarChar"/>
        </w:rPr>
        <w:t xml:space="preserve"> / béton décoratif industriel</w:t>
      </w:r>
    </w:p>
    <w:p w14:paraId="5A08E6D2" w14:textId="77777777" w:rsidR="00DB2B68" w:rsidRDefault="00000000">
      <w:pPr>
        <w:jc w:val="both"/>
      </w:pPr>
      <w:r>
        <w:t>Les éléments en béton architectoniques doivent répondre au [PTV 21-601].</w:t>
      </w:r>
    </w:p>
    <w:p w14:paraId="228BD963" w14:textId="77777777" w:rsidR="00DB2B68" w:rsidRDefault="00000000">
      <w:pPr>
        <w:jc w:val="both"/>
      </w:pPr>
      <w:r>
        <w:t>Les éléments en béton décoratif industriel doivent répondre aux Prescriptions complémentaires pour les éléments en béton décoratif industriel de la section </w:t>
      </w:r>
      <w:hyperlink w:anchor="87" w:history="1">
        <w:r>
          <w:rPr>
            <w:color w:val="0000EE"/>
          </w:rPr>
          <w:t>22 Superstructures en béton</w:t>
        </w:r>
      </w:hyperlink>
      <w:r>
        <w:t>.</w:t>
      </w:r>
    </w:p>
    <w:p w14:paraId="6A1F6F4C" w14:textId="77777777" w:rsidR="00DB2B68" w:rsidRDefault="00000000">
      <w:pPr>
        <w:jc w:val="both"/>
      </w:pPr>
      <w:r>
        <w:t>Faces internes des parois : pas de prescription.</w:t>
      </w:r>
    </w:p>
    <w:p w14:paraId="52FDA9A0" w14:textId="77777777" w:rsidR="00DB2B68" w:rsidRDefault="00000000">
      <w:pPr>
        <w:jc w:val="both"/>
      </w:pPr>
      <w:r>
        <w:t>Description détaillée des prémurs (paroi intérieure – face externe):</w:t>
      </w:r>
    </w:p>
    <w:p w14:paraId="686131FE" w14:textId="77777777" w:rsidR="00DB2B68" w:rsidRDefault="00000000">
      <w:pPr>
        <w:jc w:val="both"/>
      </w:pPr>
      <w:r>
        <w:t>1.     Couleur :</w:t>
      </w:r>
    </w:p>
    <w:p w14:paraId="73C7D96D" w14:textId="77777777" w:rsidR="00DB2B68" w:rsidRDefault="00000000">
      <w:pPr>
        <w:jc w:val="both"/>
      </w:pPr>
      <w:r>
        <w:t>Les éléments en béton architectonique sont de couleur</w:t>
      </w:r>
      <w:r>
        <w:rPr>
          <w:rStyle w:val="optioncarChar"/>
        </w:rPr>
        <w:t> ***</w:t>
      </w:r>
      <w:r>
        <w:t>, afin d’approcher au mieux le coloris RAL </w:t>
      </w:r>
      <w:r>
        <w:rPr>
          <w:rStyle w:val="optioncarChar"/>
        </w:rPr>
        <w:t>***</w:t>
      </w:r>
      <w:r>
        <w:t>.</w:t>
      </w:r>
    </w:p>
    <w:p w14:paraId="54ED29FA" w14:textId="77777777" w:rsidR="00DB2B68" w:rsidRDefault="00000000">
      <w:pPr>
        <w:jc w:val="both"/>
      </w:pPr>
      <w:r>
        <w:t>2.     Finition de la surface apparente</w:t>
      </w:r>
    </w:p>
    <w:p w14:paraId="29702D92" w14:textId="77777777" w:rsidR="00DB2B68" w:rsidRDefault="00000000">
      <w:pPr>
        <w:jc w:val="both"/>
      </w:pPr>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4F90F408" w14:textId="77777777" w:rsidR="00DB2B68" w:rsidRDefault="00DB2B68">
      <w:pPr>
        <w:jc w:val="both"/>
      </w:pPr>
    </w:p>
    <w:p w14:paraId="06EEC761" w14:textId="77777777" w:rsidR="00DB2B68" w:rsidRDefault="00000000">
      <w:pPr>
        <w:jc w:val="both"/>
      </w:pPr>
      <w:r>
        <w:rPr>
          <w:u w:val="single"/>
        </w:rPr>
        <w:t>Terminaison des arêtes</w:t>
      </w:r>
      <w:r>
        <w:t> </w:t>
      </w:r>
    </w:p>
    <w:p w14:paraId="11637A01" w14:textId="77777777" w:rsidR="00DB2B68" w:rsidRDefault="00000000">
      <w:pPr>
        <w:jc w:val="both"/>
      </w:pPr>
      <w:r>
        <w:t>Les arêtes saillantes des prémurs sont </w:t>
      </w:r>
      <w:r>
        <w:rPr>
          <w:rStyle w:val="optioncarChar"/>
        </w:rPr>
        <w:t xml:space="preserve">chanfreinées en triangle </w:t>
      </w:r>
      <w:r>
        <w:t>(par défaut) </w:t>
      </w:r>
      <w:r>
        <w:rPr>
          <w:rStyle w:val="optioncarChar"/>
        </w:rPr>
        <w:t>/chanfreinées en arrondi / vives</w:t>
      </w:r>
    </w:p>
    <w:p w14:paraId="304C40D2" w14:textId="77777777" w:rsidR="00DB2B68" w:rsidRDefault="00DB2B68">
      <w:pPr>
        <w:jc w:val="both"/>
      </w:pPr>
    </w:p>
    <w:p w14:paraId="785F8490" w14:textId="77777777" w:rsidR="00DB2B68" w:rsidRDefault="00000000">
      <w:pPr>
        <w:jc w:val="both"/>
      </w:pPr>
      <w:r>
        <w:rPr>
          <w:b/>
          <w:i/>
        </w:rPr>
        <w:t>(soit)</w:t>
      </w:r>
    </w:p>
    <w:p w14:paraId="036D8512" w14:textId="77777777" w:rsidR="00DB2B68" w:rsidRDefault="00000000">
      <w:pPr>
        <w:jc w:val="both"/>
      </w:pPr>
      <w:r>
        <w:rPr>
          <w:rStyle w:val="soitChar"/>
          <w:u w:val="single"/>
        </w:rPr>
        <w:t>chanfreinées en triangle</w:t>
      </w:r>
    </w:p>
    <w:p w14:paraId="1B96C7A7" w14:textId="77777777" w:rsidR="00DB2B68" w:rsidRDefault="00000000">
      <w:pPr>
        <w:jc w:val="both"/>
      </w:pPr>
      <w:r>
        <w:rPr>
          <w:rStyle w:val="soitChar"/>
        </w:rPr>
        <w:t>Les arêtes sont cassées au moyen d'un chanfrein de</w:t>
      </w:r>
      <w:r>
        <w:rPr>
          <w:rStyle w:val="optioncarChar"/>
        </w:rPr>
        <w:t> 1,5 x 1,5 </w:t>
      </w:r>
      <w:r>
        <w:t>(par défaut)</w:t>
      </w:r>
      <w:r>
        <w:rPr>
          <w:rStyle w:val="optioncarChar"/>
        </w:rPr>
        <w:t xml:space="preserve"> / 2,5 x 2,5 / *** cm x *** cm</w:t>
      </w:r>
      <w:r>
        <w:t>.</w:t>
      </w:r>
    </w:p>
    <w:p w14:paraId="0276096B" w14:textId="77777777" w:rsidR="00DB2B68" w:rsidRDefault="00000000">
      <w:pPr>
        <w:jc w:val="both"/>
      </w:pPr>
      <w:r>
        <w:rPr>
          <w:b/>
          <w:i/>
        </w:rPr>
        <w:t>(soit)</w:t>
      </w:r>
    </w:p>
    <w:p w14:paraId="055406BF" w14:textId="77777777" w:rsidR="00DB2B68" w:rsidRDefault="00000000">
      <w:pPr>
        <w:jc w:val="both"/>
      </w:pPr>
      <w:r>
        <w:rPr>
          <w:rStyle w:val="soitChar"/>
          <w:u w:val="single"/>
        </w:rPr>
        <w:lastRenderedPageBreak/>
        <w:t>chanfreinée en arrondi</w:t>
      </w:r>
    </w:p>
    <w:p w14:paraId="03937BB3" w14:textId="77777777" w:rsidR="00DB2B68" w:rsidRDefault="00000000">
      <w:pPr>
        <w:jc w:val="both"/>
      </w:pP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cm</w:t>
      </w:r>
      <w:r>
        <w:t> .</w:t>
      </w:r>
    </w:p>
    <w:p w14:paraId="4BFD2FE0" w14:textId="77777777" w:rsidR="00DB2B68" w:rsidRDefault="00000000">
      <w:pPr>
        <w:jc w:val="both"/>
      </w:pPr>
      <w:r>
        <w:rPr>
          <w:b/>
          <w:i/>
        </w:rPr>
        <w:t>(soit)</w:t>
      </w:r>
    </w:p>
    <w:p w14:paraId="4B227540" w14:textId="77777777" w:rsidR="00DB2B68" w:rsidRDefault="00000000">
      <w:pPr>
        <w:jc w:val="both"/>
      </w:pPr>
      <w:r>
        <w:rPr>
          <w:rStyle w:val="soitChar"/>
          <w:u w:val="single"/>
        </w:rPr>
        <w:t>vives</w:t>
      </w:r>
    </w:p>
    <w:p w14:paraId="03F8F923" w14:textId="77777777" w:rsidR="00DB2B68" w:rsidRDefault="00DB2B68"/>
    <w:p w14:paraId="017A61E0" w14:textId="77777777" w:rsidR="00DB2B68" w:rsidRDefault="00000000">
      <w:pPr>
        <w:jc w:val="both"/>
      </w:pPr>
      <w:r>
        <w:t>Description détaillée des prémurs (paroi extérieure – face externe):</w:t>
      </w:r>
    </w:p>
    <w:p w14:paraId="4F097DA7" w14:textId="77777777" w:rsidR="00DB2B68" w:rsidRDefault="00000000">
      <w:r>
        <w:t>Finition de la face externe de la paroi extérieure identique à celle de la paroi intérieure:</w:t>
      </w:r>
      <w:r>
        <w:rPr>
          <w:rStyle w:val="optioncarChar"/>
        </w:rPr>
        <w:t xml:space="preserve"> oui / non</w:t>
      </w:r>
    </w:p>
    <w:p w14:paraId="3A26611C" w14:textId="77777777" w:rsidR="00DB2B68" w:rsidRDefault="00000000">
      <w:r>
        <w:rPr>
          <w:b/>
          <w:i/>
        </w:rPr>
        <w:t>Si la finition est différente:</w:t>
      </w:r>
    </w:p>
    <w:p w14:paraId="6D68549F" w14:textId="77777777" w:rsidR="00DB2B68" w:rsidRDefault="00000000">
      <w:pPr>
        <w:jc w:val="both"/>
      </w:pPr>
      <w:r>
        <w:t>1.     Couleur :</w:t>
      </w:r>
    </w:p>
    <w:p w14:paraId="568355B7" w14:textId="77777777" w:rsidR="00DB2B68" w:rsidRDefault="00000000">
      <w:pPr>
        <w:jc w:val="both"/>
      </w:pPr>
      <w:r>
        <w:t>Les éléments en béton architectonique sont de couleur</w:t>
      </w:r>
      <w:r>
        <w:rPr>
          <w:rStyle w:val="optioncarChar"/>
        </w:rPr>
        <w:t> ***</w:t>
      </w:r>
      <w:r>
        <w:t>, afin d’approcher au mieux le coloris RAL </w:t>
      </w:r>
      <w:r>
        <w:rPr>
          <w:rStyle w:val="optioncarChar"/>
        </w:rPr>
        <w:t>***</w:t>
      </w:r>
      <w:r>
        <w:t>.</w:t>
      </w:r>
    </w:p>
    <w:p w14:paraId="077C345C" w14:textId="77777777" w:rsidR="00DB2B68" w:rsidRDefault="00000000">
      <w:pPr>
        <w:jc w:val="both"/>
      </w:pPr>
      <w:r>
        <w:t>2.     Finition de la surface apparente</w:t>
      </w:r>
    </w:p>
    <w:p w14:paraId="42F16FF5" w14:textId="77777777" w:rsidR="00DB2B68" w:rsidRDefault="00000000">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4360EF3B" w14:textId="77777777" w:rsidR="00DB2B68" w:rsidRDefault="00DB2B68">
      <w:pPr>
        <w:jc w:val="both"/>
      </w:pPr>
    </w:p>
    <w:p w14:paraId="78C6937B" w14:textId="77777777" w:rsidR="00DB2B68" w:rsidRDefault="00000000">
      <w:pPr>
        <w:jc w:val="both"/>
      </w:pPr>
      <w:r>
        <w:rPr>
          <w:u w:val="single"/>
        </w:rPr>
        <w:t>Terminaison des arêtes</w:t>
      </w:r>
      <w:r>
        <w:t>   </w:t>
      </w:r>
    </w:p>
    <w:p w14:paraId="7514C8D8" w14:textId="77777777" w:rsidR="00DB2B68" w:rsidRDefault="00000000">
      <w:pPr>
        <w:jc w:val="both"/>
      </w:pPr>
      <w:r>
        <w:t>Les arêtes saillantes des prémurs sont </w:t>
      </w:r>
      <w:r>
        <w:rPr>
          <w:rStyle w:val="optioncarChar"/>
        </w:rPr>
        <w:t>chanfreinées en triangle </w:t>
      </w:r>
      <w:r>
        <w:t>(par défaut)</w:t>
      </w:r>
      <w:r>
        <w:rPr>
          <w:rStyle w:val="optioncarChar"/>
        </w:rPr>
        <w:t xml:space="preserve"> /chanfreinées en arrondi / vives</w:t>
      </w:r>
    </w:p>
    <w:p w14:paraId="396A0DB7" w14:textId="77777777" w:rsidR="00DB2B68" w:rsidRDefault="00000000">
      <w:pPr>
        <w:jc w:val="both"/>
      </w:pPr>
      <w:r>
        <w:rPr>
          <w:b/>
          <w:i/>
        </w:rPr>
        <w:t>(soit)</w:t>
      </w:r>
    </w:p>
    <w:p w14:paraId="349CFA13" w14:textId="77777777" w:rsidR="00DB2B68" w:rsidRDefault="00000000">
      <w:pPr>
        <w:jc w:val="both"/>
      </w:pPr>
      <w:r>
        <w:rPr>
          <w:rStyle w:val="soitChar"/>
          <w:u w:val="single"/>
        </w:rPr>
        <w:t>chanfreinées en triangle</w:t>
      </w:r>
    </w:p>
    <w:p w14:paraId="05328785" w14:textId="77777777" w:rsidR="00DB2B68" w:rsidRDefault="00000000">
      <w:pPr>
        <w:jc w:val="both"/>
      </w:pPr>
      <w:r>
        <w:rPr>
          <w:rStyle w:val="soitChar"/>
        </w:rPr>
        <w:t>Les arêtes sont cassées au moyen d'un chanfrein de</w:t>
      </w:r>
      <w:r>
        <w:rPr>
          <w:rStyle w:val="optioncarChar"/>
        </w:rPr>
        <w:t> 1,5 x 1,5 / 2,5 x 2,5 </w:t>
      </w:r>
      <w:r>
        <w:t>(par défaut)</w:t>
      </w:r>
      <w:r>
        <w:rPr>
          <w:rStyle w:val="optioncarChar"/>
        </w:rPr>
        <w:t xml:space="preserve"> / ***x*** </w:t>
      </w:r>
      <w:r>
        <w:rPr>
          <w:rStyle w:val="soitChar"/>
        </w:rPr>
        <w:t>cm</w:t>
      </w:r>
      <w:r>
        <w:t>.</w:t>
      </w:r>
    </w:p>
    <w:p w14:paraId="7E8599E8" w14:textId="77777777" w:rsidR="00DB2B68" w:rsidRDefault="00000000">
      <w:pPr>
        <w:jc w:val="both"/>
      </w:pPr>
      <w:r>
        <w:rPr>
          <w:b/>
          <w:i/>
        </w:rPr>
        <w:t>(soit)</w:t>
      </w:r>
    </w:p>
    <w:p w14:paraId="666E5A02" w14:textId="77777777" w:rsidR="00DB2B68" w:rsidRDefault="00000000">
      <w:pPr>
        <w:jc w:val="both"/>
      </w:pPr>
      <w:r>
        <w:rPr>
          <w:rStyle w:val="soitChar"/>
          <w:u w:val="single"/>
        </w:rPr>
        <w:t>chanfreinée en arrondi</w:t>
      </w:r>
    </w:p>
    <w:p w14:paraId="327FDAF7" w14:textId="77777777" w:rsidR="00DB2B68" w:rsidRDefault="00000000">
      <w:pPr>
        <w:jc w:val="both"/>
      </w:pP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cm</w:t>
      </w:r>
      <w:r>
        <w:t> .</w:t>
      </w:r>
    </w:p>
    <w:p w14:paraId="6E000035" w14:textId="77777777" w:rsidR="00DB2B68" w:rsidRDefault="00000000">
      <w:pPr>
        <w:jc w:val="both"/>
      </w:pPr>
      <w:r>
        <w:rPr>
          <w:b/>
          <w:i/>
        </w:rPr>
        <w:t>(soit)</w:t>
      </w:r>
    </w:p>
    <w:p w14:paraId="1114E03A" w14:textId="77777777" w:rsidR="00DB2B68" w:rsidRDefault="00000000">
      <w:pPr>
        <w:jc w:val="both"/>
      </w:pPr>
      <w:r>
        <w:rPr>
          <w:rStyle w:val="soitChar"/>
          <w:u w:val="single"/>
        </w:rPr>
        <w:t>vives</w:t>
      </w:r>
    </w:p>
    <w:p w14:paraId="68EAC4FE" w14:textId="77777777" w:rsidR="00DB2B68" w:rsidRDefault="00000000">
      <w:pPr>
        <w:pStyle w:val="pheading"/>
      </w:pPr>
      <w:r>
        <w:t>- Prescriptions complémentaires</w:t>
      </w:r>
    </w:p>
    <w:p w14:paraId="11943FC2" w14:textId="77777777" w:rsidR="00DB2B68" w:rsidRDefault="00000000">
      <w:pPr>
        <w:jc w:val="both"/>
      </w:pPr>
      <w:r>
        <w:rPr>
          <w:rStyle w:val="facultChar"/>
        </w:rPr>
        <w:t>Résistance au feu : pour les éléments porteurs et structurels sans fonction séparant </w:t>
      </w:r>
      <w:r>
        <w:rPr>
          <w:rStyle w:val="optioncarChar"/>
        </w:rPr>
        <w:t>/ R15 / R30</w:t>
      </w:r>
      <w:r>
        <w:t> (par défaut)</w:t>
      </w:r>
      <w:r>
        <w:rPr>
          <w:rStyle w:val="optioncarChar"/>
        </w:rPr>
        <w:t xml:space="preserve"> / R60 / R120 / R ***</w:t>
      </w:r>
      <w:r>
        <w:rPr>
          <w:rStyle w:val="facultChar"/>
        </w:rPr>
        <w:t>, pour les éléments porteurs et structurels avec fonction séparant </w:t>
      </w:r>
      <w:r>
        <w:rPr>
          <w:rStyle w:val="optioncarChar"/>
        </w:rPr>
        <w:t>/ REI 30 </w:t>
      </w:r>
      <w:r>
        <w:t xml:space="preserve">(par défaut) </w:t>
      </w:r>
      <w:r>
        <w:rPr>
          <w:rStyle w:val="optioncarChar"/>
        </w:rPr>
        <w:t>/ REI 60 / REI 120 / REI *** </w:t>
      </w:r>
      <w:r>
        <w:rPr>
          <w:rStyle w:val="facultChar"/>
        </w:rPr>
        <w:t>et pour les éléments non porteurs avec fonction séparant </w:t>
      </w:r>
      <w:r>
        <w:rPr>
          <w:rStyle w:val="optioncarChar"/>
        </w:rPr>
        <w:t>/ EI 30 </w:t>
      </w:r>
      <w:r>
        <w:t>(par défaut)</w:t>
      </w:r>
      <w:r>
        <w:rPr>
          <w:rStyle w:val="optioncarChar"/>
        </w:rPr>
        <w:t xml:space="preserve"> / EI 60 / EI 120 / EI ***</w:t>
      </w:r>
    </w:p>
    <w:p w14:paraId="7F5EB623" w14:textId="77777777" w:rsidR="00DB2B68" w:rsidRDefault="00000000">
      <w:pPr>
        <w:pStyle w:val="pheading"/>
      </w:pPr>
      <w:r>
        <w:t>EXÉCUTION / MISE EN ŒUVRE</w:t>
      </w:r>
    </w:p>
    <w:p w14:paraId="6F7E538C" w14:textId="77777777" w:rsidR="00DB2B68" w:rsidRDefault="00000000">
      <w:pPr>
        <w:pStyle w:val="pheading"/>
      </w:pPr>
      <w:r>
        <w:t>- Prescriptions générales</w:t>
      </w:r>
    </w:p>
    <w:p w14:paraId="5C58255B" w14:textId="77777777" w:rsidR="00DB2B68" w:rsidRDefault="00000000">
      <w:r>
        <w:t>L’étude et les plans d’exécution</w:t>
      </w:r>
      <w:r>
        <w:rPr>
          <w:rStyle w:val="optioncarChar"/>
        </w:rPr>
        <w:t> sont / ne sont pas</w:t>
      </w:r>
      <w:r>
        <w:t> à charge de l’entreprise.</w:t>
      </w:r>
      <w:r>
        <w:br/>
        <w:t>Les parois sont fabriquées dans les dimensions indiquées sur les plans d’exécution approuvés.</w:t>
      </w:r>
      <w:r>
        <w:br/>
        <w:t>La mise en œuvre est conforme aux normes [NBN EN 13670] et [NBN B 15-400].</w:t>
      </w:r>
      <w:r>
        <w:br/>
        <w:t>L’alignement des prémurs est réalisé au moyens d’étais et de madriers en bois parfaitement alignés.</w:t>
      </w:r>
      <w:r>
        <w:br/>
        <w:t>Le sol/support doit être non travaillé et stable.</w:t>
      </w:r>
      <w:r>
        <w:br/>
        <w:t>La verticalité doit être garantie par la pose préalable de madrier en bois</w:t>
      </w:r>
      <w:r>
        <w:br/>
        <w:t>Les étançons doivent être solidement fixés. L’angle entre l’étançon et le prémur doit être au minimum de 30°. Le nombre d’étançons nécessaires communiqué par le fabricant est respecté.</w:t>
      </w:r>
      <w:r>
        <w:br/>
        <w:t>Le béton de remplissage est coulé en couche de maximum 60 cm d’épaisseur et doit être vibré conformément aux normes [NBN EN 13670] et [NBN B 15-400].</w:t>
      </w:r>
      <w:r>
        <w:br/>
      </w:r>
      <w:r>
        <w:lastRenderedPageBreak/>
        <w:t>Afin d’éviter l’ouverture des joints à hauteur des coins, il faut placer des équerres ou planches d’étais.</w:t>
      </w:r>
      <w:r>
        <w:br/>
        <w:t xml:space="preserve">Mise en place de tôle d’étanchéité : </w:t>
      </w:r>
      <w:r>
        <w:rPr>
          <w:rStyle w:val="optioncarChar"/>
        </w:rPr>
        <w:t>oui / non</w:t>
      </w:r>
    </w:p>
    <w:p w14:paraId="3C9E0BDF" w14:textId="77777777" w:rsidR="00DB2B68" w:rsidRDefault="00000000">
      <w:pPr>
        <w:pStyle w:val="pheading"/>
      </w:pPr>
      <w:r>
        <w:t>DOCUMENTS DE RÉFÉRENCE COMPLÉMENTAIRES</w:t>
      </w:r>
    </w:p>
    <w:p w14:paraId="163A2E80" w14:textId="77777777" w:rsidR="00DB2B68" w:rsidRDefault="00000000">
      <w:pPr>
        <w:pStyle w:val="pheading"/>
      </w:pPr>
      <w:r>
        <w:t>- Matériau</w:t>
      </w:r>
    </w:p>
    <w:p w14:paraId="511698B9" w14:textId="77777777" w:rsidR="00DB2B68" w:rsidRDefault="00000000">
      <w:r>
        <w:t>[NBN EN 14992+A1, Produits préfabriqués en béton - Eléments de mur]</w:t>
      </w:r>
    </w:p>
    <w:p w14:paraId="6AEDE232" w14:textId="77777777" w:rsidR="00DB2B68" w:rsidRDefault="00000000">
      <w:r>
        <w:t>[RA 21-612, Règlement d'application Benor - Produits préfabriqués en béton - Eléments de murs]</w:t>
      </w:r>
    </w:p>
    <w:p w14:paraId="430B9512" w14:textId="77777777" w:rsidR="00DB2B68" w:rsidRDefault="00000000">
      <w:r>
        <w:t>[PTV 21-601, Eléments préfabriqués en béton architectonique.]</w:t>
      </w:r>
    </w:p>
    <w:p w14:paraId="2E62A596" w14:textId="77777777" w:rsidR="00DB2B68" w:rsidRDefault="00000000">
      <w:r>
        <w:t>[NBN EN 206:2013+A2, Béton - Spécification, performances, production et conformité]</w:t>
      </w:r>
    </w:p>
    <w:p w14:paraId="1977415D" w14:textId="77777777" w:rsidR="00DB2B68" w:rsidRDefault="00000000">
      <w:r>
        <w:t>[NBN B 15-001, Béton - Spécification, performances, production et conformité - Complément national à la NBN EN 206:2013+A2:2021]</w:t>
      </w:r>
    </w:p>
    <w:p w14:paraId="0F134669" w14:textId="77777777" w:rsidR="00DB2B68" w:rsidRDefault="00000000">
      <w:pPr>
        <w:ind w:left="750"/>
      </w:pPr>
      <w:r>
        <w:t> </w:t>
      </w:r>
    </w:p>
    <w:p w14:paraId="7180D167" w14:textId="77777777" w:rsidR="00DB2B68" w:rsidRDefault="00000000">
      <w:pPr>
        <w:pStyle w:val="pheading"/>
      </w:pPr>
      <w:r>
        <w:t>- Exécution</w:t>
      </w:r>
    </w:p>
    <w:p w14:paraId="75EE6383" w14:textId="77777777" w:rsidR="00DB2B68" w:rsidRDefault="00000000">
      <w:r>
        <w:t>[NBN EN 13670, Exécution des structures en béton]</w:t>
      </w:r>
    </w:p>
    <w:p w14:paraId="556C859C" w14:textId="77777777" w:rsidR="00DB2B68" w:rsidRDefault="00000000">
      <w:r>
        <w:t>[NBN B 15-400, Exécution des structures en béton - Supplément national à la NBN EN 13670:2010]</w:t>
      </w:r>
    </w:p>
    <w:p w14:paraId="3F4E969A" w14:textId="77777777" w:rsidR="00DB2B68" w:rsidRDefault="00000000">
      <w:r>
        <w:t>[FEBE BT Prémurs, Brochure Technique - Prémurs - Rapides et économiques]</w:t>
      </w:r>
    </w:p>
    <w:p w14:paraId="44F45F1F" w14:textId="77777777" w:rsidR="00DB2B68" w:rsidRDefault="00000000">
      <w:pPr>
        <w:pStyle w:val="pheading"/>
      </w:pPr>
      <w:r>
        <w:t>MESURAGE</w:t>
      </w:r>
    </w:p>
    <w:p w14:paraId="6DF2058C" w14:textId="77777777" w:rsidR="00DB2B68" w:rsidRDefault="00000000">
      <w:pPr>
        <w:pStyle w:val="pheading"/>
      </w:pPr>
      <w:r>
        <w:t>- unité de mesure:</w:t>
      </w:r>
    </w:p>
    <w:p w14:paraId="78CBAB2A" w14:textId="77777777" w:rsidR="00DB2B68" w:rsidRDefault="00000000">
      <w:r>
        <w:rPr>
          <w:rStyle w:val="optioncarChar"/>
        </w:rPr>
        <w:t>m³</w:t>
      </w:r>
      <w:r>
        <w:t> (par défaut) </w:t>
      </w:r>
      <w:r>
        <w:rPr>
          <w:rStyle w:val="optioncarChar"/>
        </w:rPr>
        <w:t>/ pc / m / m² </w:t>
      </w:r>
    </w:p>
    <w:p w14:paraId="38726C42" w14:textId="77777777" w:rsidR="00DB2B68" w:rsidRDefault="00000000">
      <w:r>
        <w:rPr>
          <w:b/>
          <w:i/>
        </w:rPr>
        <w:t>(Soit par défaut)</w:t>
      </w:r>
    </w:p>
    <w:p w14:paraId="18AFFF83" w14:textId="77777777" w:rsidR="00DB2B68" w:rsidRDefault="00000000">
      <w:r>
        <w:rPr>
          <w:rStyle w:val="soitChar"/>
        </w:rPr>
        <w:t>1. m³</w:t>
      </w:r>
    </w:p>
    <w:p w14:paraId="32EA0EC5" w14:textId="77777777" w:rsidR="00DB2B68" w:rsidRDefault="00000000">
      <w:r>
        <w:rPr>
          <w:b/>
          <w:i/>
        </w:rPr>
        <w:t>(Soit)</w:t>
      </w:r>
    </w:p>
    <w:p w14:paraId="58456EA9" w14:textId="77777777" w:rsidR="00DB2B68" w:rsidRDefault="00000000">
      <w:r>
        <w:rPr>
          <w:rStyle w:val="soitChar"/>
        </w:rPr>
        <w:t>2. pc</w:t>
      </w:r>
    </w:p>
    <w:p w14:paraId="7AB33417" w14:textId="77777777" w:rsidR="00DB2B68" w:rsidRDefault="00000000">
      <w:r>
        <w:rPr>
          <w:b/>
          <w:i/>
        </w:rPr>
        <w:t>(Soit)</w:t>
      </w:r>
    </w:p>
    <w:p w14:paraId="47E2495F" w14:textId="77777777" w:rsidR="00DB2B68" w:rsidRDefault="00000000">
      <w:r>
        <w:rPr>
          <w:rStyle w:val="soitChar"/>
        </w:rPr>
        <w:t>3. m</w:t>
      </w:r>
    </w:p>
    <w:p w14:paraId="4F259475" w14:textId="77777777" w:rsidR="00DB2B68" w:rsidRDefault="00000000">
      <w:r>
        <w:rPr>
          <w:b/>
          <w:i/>
        </w:rPr>
        <w:t>(Soit)</w:t>
      </w:r>
    </w:p>
    <w:p w14:paraId="6FBD2943" w14:textId="77777777" w:rsidR="00DB2B68" w:rsidRDefault="00000000">
      <w:r>
        <w:rPr>
          <w:rStyle w:val="soitChar"/>
        </w:rPr>
        <w:t>4. m²</w:t>
      </w:r>
    </w:p>
    <w:p w14:paraId="46E4EA99" w14:textId="77777777" w:rsidR="00DB2B68" w:rsidRDefault="00000000">
      <w:pPr>
        <w:pStyle w:val="pheading"/>
      </w:pPr>
      <w:r>
        <w:t>- code de mesurage:</w:t>
      </w:r>
    </w:p>
    <w:p w14:paraId="5708C1C7" w14:textId="77777777" w:rsidR="00DB2B68" w:rsidRDefault="00000000">
      <w:r>
        <w:rPr>
          <w:rStyle w:val="optioncarChar"/>
        </w:rPr>
        <w:t>Volume net </w:t>
      </w:r>
      <w:r>
        <w:t>(par défaut)</w:t>
      </w:r>
      <w:r>
        <w:rPr>
          <w:rStyle w:val="optioncarChar"/>
        </w:rPr>
        <w:t> / quantité nette / longueur nette / surface nette</w:t>
      </w:r>
    </w:p>
    <w:p w14:paraId="05FED31A" w14:textId="77777777" w:rsidR="00DB2B68" w:rsidRDefault="00000000">
      <w:r>
        <w:rPr>
          <w:b/>
          <w:i/>
        </w:rPr>
        <w:t>(Soit par défaut)</w:t>
      </w:r>
    </w:p>
    <w:p w14:paraId="1BF53DD3" w14:textId="77777777" w:rsidR="00DB2B68" w:rsidRDefault="00000000">
      <w:r>
        <w:rPr>
          <w:rStyle w:val="soitChar"/>
          <w:u w:val="single"/>
        </w:rPr>
        <w:t>1. Volume net</w:t>
      </w:r>
      <w:r>
        <w:rPr>
          <w:rStyle w:val="soitChar"/>
        </w:rPr>
        <w:t>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2A519607" w14:textId="77777777" w:rsidR="00DB2B68" w:rsidRDefault="00000000">
      <w:r>
        <w:rPr>
          <w:rStyle w:val="soitChar"/>
        </w:rPr>
        <w:t>Aucune déduction n'est faite pour:</w:t>
      </w:r>
    </w:p>
    <w:p w14:paraId="16F5643C" w14:textId="77777777" w:rsidR="00DB2B68" w:rsidRDefault="00000000">
      <w:pPr>
        <w:pStyle w:val="Author-eListParagraph"/>
        <w:numPr>
          <w:ilvl w:val="0"/>
          <w:numId w:val="543"/>
        </w:numPr>
      </w:pPr>
      <w:r>
        <w:rPr>
          <w:rStyle w:val="soitChar"/>
        </w:rPr>
        <w:t>le volume des armatures,</w:t>
      </w:r>
    </w:p>
    <w:p w14:paraId="5F131588" w14:textId="77777777" w:rsidR="00DB2B68" w:rsidRDefault="00000000">
      <w:pPr>
        <w:pStyle w:val="Author-eListParagraph"/>
        <w:numPr>
          <w:ilvl w:val="0"/>
          <w:numId w:val="543"/>
        </w:numPr>
      </w:pPr>
      <w:r>
        <w:rPr>
          <w:rStyle w:val="soitChar"/>
        </w:rPr>
        <w:t>les blocs et écarteurs, les fourreaux pour les armatures de précontrainte ;</w:t>
      </w:r>
    </w:p>
    <w:p w14:paraId="7A2DE409" w14:textId="77777777" w:rsidR="00DB2B68" w:rsidRDefault="00000000">
      <w:pPr>
        <w:pStyle w:val="Author-eListParagraph"/>
        <w:numPr>
          <w:ilvl w:val="0"/>
          <w:numId w:val="543"/>
        </w:numPr>
      </w:pPr>
      <w:r>
        <w:rPr>
          <w:rStyle w:val="soitChar"/>
        </w:rPr>
        <w:t>les pénétrations pour les pattes d’ancrage, les creux, les conduites noyées et les réservations dont le volume est inférieur à 0,05 m3.</w:t>
      </w:r>
    </w:p>
    <w:p w14:paraId="4D92211C" w14:textId="77777777" w:rsidR="00DB2B68" w:rsidRDefault="00000000">
      <w:pPr>
        <w:pStyle w:val="Author-eListParagraph"/>
        <w:numPr>
          <w:ilvl w:val="0"/>
          <w:numId w:val="543"/>
        </w:numPr>
      </w:pPr>
      <w:r>
        <w:rPr>
          <w:rStyle w:val="soitChar"/>
        </w:rPr>
        <w:t>les chanfreins et tous les profils dont la section a une superficie inférieure à 20 cm2.</w:t>
      </w:r>
    </w:p>
    <w:p w14:paraId="7A0D021D" w14:textId="77777777" w:rsidR="00DB2B68" w:rsidRDefault="00000000">
      <w:pPr>
        <w:pStyle w:val="Author-eListParagraph"/>
        <w:numPr>
          <w:ilvl w:val="0"/>
          <w:numId w:val="543"/>
        </w:numPr>
      </w:pPr>
      <w:r>
        <w:rPr>
          <w:rStyle w:val="soitChar"/>
        </w:rPr>
        <w:t>les rainures, encoches et languettes.</w:t>
      </w:r>
    </w:p>
    <w:p w14:paraId="601715A8" w14:textId="77777777" w:rsidR="00DB2B68" w:rsidRDefault="00000000">
      <w:r>
        <w:rPr>
          <w:b/>
          <w:i/>
        </w:rPr>
        <w:t>(Soit)</w:t>
      </w:r>
    </w:p>
    <w:p w14:paraId="70A6C96F" w14:textId="77777777" w:rsidR="00DB2B68" w:rsidRDefault="00000000">
      <w:r>
        <w:rPr>
          <w:rStyle w:val="soitChar"/>
          <w:u w:val="single"/>
        </w:rPr>
        <w:lastRenderedPageBreak/>
        <w:t>2. Quantité nette</w:t>
      </w:r>
    </w:p>
    <w:p w14:paraId="498AADBF" w14:textId="77777777" w:rsidR="00DB2B68" w:rsidRDefault="00000000">
      <w:r>
        <w:rPr>
          <w:b/>
          <w:i/>
        </w:rPr>
        <w:t>(Soit)</w:t>
      </w:r>
    </w:p>
    <w:p w14:paraId="68384D21" w14:textId="77777777" w:rsidR="00DB2B68" w:rsidRDefault="00000000">
      <w:r>
        <w:rPr>
          <w:rStyle w:val="soitChar"/>
          <w:u w:val="single"/>
        </w:rPr>
        <w:t>3. Longueur nette</w:t>
      </w:r>
    </w:p>
    <w:p w14:paraId="52F3D589" w14:textId="77777777" w:rsidR="00DB2B68" w:rsidRDefault="00000000">
      <w:r>
        <w:rPr>
          <w:b/>
          <w:i/>
        </w:rPr>
        <w:t>(Soit)</w:t>
      </w:r>
    </w:p>
    <w:p w14:paraId="6F53CDD8" w14:textId="77777777" w:rsidR="00DB2B68" w:rsidRDefault="00000000">
      <w:r>
        <w:rPr>
          <w:rStyle w:val="soitChar"/>
          <w:u w:val="single"/>
        </w:rPr>
        <w:t>4. Surface nette</w:t>
      </w:r>
    </w:p>
    <w:p w14:paraId="7D0CD8F1" w14:textId="77777777" w:rsidR="00DB2B68" w:rsidRDefault="00000000">
      <w:pPr>
        <w:pStyle w:val="pheading"/>
      </w:pPr>
      <w:r>
        <w:t>- nature du marché:</w:t>
      </w:r>
    </w:p>
    <w:p w14:paraId="70EB90F4" w14:textId="77777777" w:rsidR="00DB2B68" w:rsidRDefault="00000000">
      <w:r>
        <w:t>QF</w:t>
      </w:r>
    </w:p>
    <w:p w14:paraId="1824E724" w14:textId="77777777" w:rsidR="00DB2B68" w:rsidRDefault="00000000">
      <w:pPr>
        <w:pStyle w:val="Author-eSectionHeading3Numberless"/>
      </w:pPr>
      <w:bookmarkStart w:id="761" w:name="_Toc220495818"/>
      <w:r>
        <w:t>22.2 Ensembles structuraux en béton CCTB 01.04</w:t>
      </w:r>
      <w:bookmarkEnd w:id="761"/>
    </w:p>
    <w:p w14:paraId="5AC4055A" w14:textId="77777777" w:rsidR="00DB2B68" w:rsidRDefault="00000000">
      <w:pPr>
        <w:pStyle w:val="Author-eSectionHeading4Numberless"/>
      </w:pPr>
      <w:bookmarkStart w:id="762" w:name="533"/>
      <w:bookmarkStart w:id="763" w:name="_Toc220495819"/>
      <w:bookmarkEnd w:id="762"/>
      <w:r>
        <w:t>22.21 Structures en béton (poutres/colonnes) CCTB 01.04</w:t>
      </w:r>
      <w:bookmarkEnd w:id="763"/>
    </w:p>
    <w:p w14:paraId="2D0E2D28" w14:textId="77777777" w:rsidR="00DB2B68" w:rsidRDefault="00000000">
      <w:pPr>
        <w:pStyle w:val="Author-eSectionHeading5Numberless"/>
      </w:pPr>
      <w:bookmarkStart w:id="764" w:name="_Toc220495820"/>
      <w:r>
        <w:t>22.21.1 Structures en béton coulé en place CCTB 01.04</w:t>
      </w:r>
      <w:bookmarkEnd w:id="764"/>
    </w:p>
    <w:p w14:paraId="13E71ABF" w14:textId="77777777" w:rsidR="00DB2B68" w:rsidRDefault="00000000">
      <w:pPr>
        <w:pStyle w:val="Author-eSectionHeading6Numberless"/>
      </w:pPr>
      <w:bookmarkStart w:id="765" w:name="_Toc220495821"/>
      <w:r>
        <w:t>22.21.1a Structures en béton coulé en place CCTB 01.04</w:t>
      </w:r>
      <w:bookmarkEnd w:id="765"/>
    </w:p>
    <w:p w14:paraId="23F9C23E" w14:textId="77777777" w:rsidR="00DB2B68" w:rsidRDefault="00000000">
      <w:pPr>
        <w:pStyle w:val="Author-eSectionHeading6Numberless"/>
      </w:pPr>
      <w:bookmarkStart w:id="766" w:name="_Toc220495822"/>
      <w:r>
        <w:t>22.21.1b Portiques en béton coulé en place CCTB 01.04</w:t>
      </w:r>
      <w:bookmarkEnd w:id="766"/>
    </w:p>
    <w:p w14:paraId="3F9D887C" w14:textId="77777777" w:rsidR="00DB2B68" w:rsidRDefault="00000000">
      <w:pPr>
        <w:pStyle w:val="Author-eSectionHeading6Numberless"/>
      </w:pPr>
      <w:bookmarkStart w:id="767" w:name="_Toc220495823"/>
      <w:r>
        <w:t>22.21.1c Arcs en béton coulé en place CCTB 01.04</w:t>
      </w:r>
      <w:bookmarkEnd w:id="767"/>
    </w:p>
    <w:p w14:paraId="1989CD39" w14:textId="77777777" w:rsidR="00DB2B68" w:rsidRDefault="00000000">
      <w:pPr>
        <w:pStyle w:val="Author-eSectionHeading6Numberless"/>
      </w:pPr>
      <w:bookmarkStart w:id="768" w:name="_Toc220495824"/>
      <w:r>
        <w:t>22.21.1d Potences en béton coulé en place CCTB 01.04</w:t>
      </w:r>
      <w:bookmarkEnd w:id="768"/>
    </w:p>
    <w:p w14:paraId="5692C4D2" w14:textId="77777777" w:rsidR="00DB2B68" w:rsidRDefault="00000000">
      <w:pPr>
        <w:pStyle w:val="Author-eSectionHeading5Numberless"/>
      </w:pPr>
      <w:bookmarkStart w:id="769" w:name="_Toc220495825"/>
      <w:r>
        <w:t>22.21.2 Structures en béton apparent (esthétique) coulé en place CCTB 01.04</w:t>
      </w:r>
      <w:bookmarkEnd w:id="769"/>
    </w:p>
    <w:p w14:paraId="57958035" w14:textId="77777777" w:rsidR="00DB2B68" w:rsidRDefault="00000000">
      <w:pPr>
        <w:pStyle w:val="Author-eSectionHeading6Numberless"/>
      </w:pPr>
      <w:bookmarkStart w:id="770" w:name="_Toc220495826"/>
      <w:r>
        <w:t>22.21.2a Structures en béton apparent (esthétique) coulé en place CCTB 01.04</w:t>
      </w:r>
      <w:bookmarkEnd w:id="770"/>
    </w:p>
    <w:p w14:paraId="1D645BE1" w14:textId="77777777" w:rsidR="00DB2B68" w:rsidRDefault="00000000">
      <w:pPr>
        <w:pStyle w:val="Author-eSectionHeading6Numberless"/>
      </w:pPr>
      <w:bookmarkStart w:id="771" w:name="_Toc220495827"/>
      <w:r>
        <w:t>22.21.2b Portiques en béton apparent (esthétique) coulé en place CCTB 01.04</w:t>
      </w:r>
      <w:bookmarkEnd w:id="771"/>
    </w:p>
    <w:p w14:paraId="2E258C6C" w14:textId="77777777" w:rsidR="00DB2B68" w:rsidRDefault="00000000">
      <w:pPr>
        <w:pStyle w:val="Author-eSectionHeading6Numberless"/>
      </w:pPr>
      <w:bookmarkStart w:id="772" w:name="_Toc220495828"/>
      <w:r>
        <w:t>22.21.2c Arcs en béton apparent (esthétique) coulé en place CCTB 01.04</w:t>
      </w:r>
      <w:bookmarkEnd w:id="772"/>
    </w:p>
    <w:p w14:paraId="7188E239" w14:textId="77777777" w:rsidR="00DB2B68" w:rsidRDefault="00000000">
      <w:pPr>
        <w:pStyle w:val="Author-eSectionHeading6Numberless"/>
      </w:pPr>
      <w:bookmarkStart w:id="773" w:name="_Toc220495829"/>
      <w:r>
        <w:t>22.21.2d Potences en béton apparent (esthétique) coulé en place CCTB 01.04</w:t>
      </w:r>
      <w:bookmarkEnd w:id="773"/>
    </w:p>
    <w:p w14:paraId="2B5BA07D" w14:textId="77777777" w:rsidR="00DB2B68" w:rsidRDefault="00000000">
      <w:pPr>
        <w:pStyle w:val="Author-eSectionHeading5Numberless"/>
      </w:pPr>
      <w:bookmarkStart w:id="774" w:name="_Toc220495830"/>
      <w:r>
        <w:t>22.21.3 Structures préfabriquées en béton CCTB 01.04</w:t>
      </w:r>
      <w:bookmarkEnd w:id="774"/>
    </w:p>
    <w:p w14:paraId="7528B7F2" w14:textId="77777777" w:rsidR="00DB2B68" w:rsidRDefault="00000000">
      <w:pPr>
        <w:pStyle w:val="Author-eSectionHeading6Numberless"/>
      </w:pPr>
      <w:bookmarkStart w:id="775" w:name="_Toc220495831"/>
      <w:r>
        <w:t>22.21.3a Structures préfabriquées en béton CCTB 01.04</w:t>
      </w:r>
      <w:bookmarkEnd w:id="775"/>
    </w:p>
    <w:p w14:paraId="3625A544" w14:textId="77777777" w:rsidR="00DB2B68" w:rsidRDefault="00000000">
      <w:pPr>
        <w:pStyle w:val="Author-eSectionHeading6Numberless"/>
      </w:pPr>
      <w:bookmarkStart w:id="776" w:name="_Toc220495832"/>
      <w:r>
        <w:t>22.21.3b Portiques préfabriqués en béton CCTB 01.04</w:t>
      </w:r>
      <w:bookmarkEnd w:id="776"/>
    </w:p>
    <w:p w14:paraId="5D420056" w14:textId="77777777" w:rsidR="00DB2B68" w:rsidRDefault="00000000">
      <w:pPr>
        <w:pStyle w:val="Author-eSectionHeading6Numberless"/>
      </w:pPr>
      <w:bookmarkStart w:id="777" w:name="_Toc220495833"/>
      <w:r>
        <w:t>22.21.3c Arcs préfabriqués en béton CCTB 01.04</w:t>
      </w:r>
      <w:bookmarkEnd w:id="777"/>
    </w:p>
    <w:p w14:paraId="4813CCE4" w14:textId="77777777" w:rsidR="00DB2B68" w:rsidRDefault="00000000">
      <w:pPr>
        <w:pStyle w:val="Author-eSectionHeading6Numberless"/>
      </w:pPr>
      <w:bookmarkStart w:id="778" w:name="_Toc220495834"/>
      <w:r>
        <w:t>22.21.3d Potences préfabriquées en béton CCTB 01.04</w:t>
      </w:r>
      <w:bookmarkEnd w:id="778"/>
    </w:p>
    <w:p w14:paraId="3AA82503" w14:textId="77777777" w:rsidR="00DB2B68" w:rsidRDefault="00000000">
      <w:pPr>
        <w:pStyle w:val="Author-eSectionHeading5Numberless"/>
      </w:pPr>
      <w:bookmarkStart w:id="779" w:name="_Toc220495835"/>
      <w:r>
        <w:t>22.21.4 Structures préfabriquées en béton architectonique CCTB 01.04</w:t>
      </w:r>
      <w:bookmarkEnd w:id="779"/>
    </w:p>
    <w:p w14:paraId="5FA0CA4A" w14:textId="77777777" w:rsidR="00DB2B68" w:rsidRDefault="00000000">
      <w:pPr>
        <w:pStyle w:val="Author-eSectionHeading6Numberless"/>
      </w:pPr>
      <w:bookmarkStart w:id="780" w:name="_Toc220495836"/>
      <w:r>
        <w:t>22.21.4a Structures préfabriquées en béton décoratif / architectonique CCTB 01.04</w:t>
      </w:r>
      <w:bookmarkEnd w:id="780"/>
    </w:p>
    <w:p w14:paraId="367D6FCB" w14:textId="77777777" w:rsidR="00DB2B68" w:rsidRDefault="00000000">
      <w:pPr>
        <w:pStyle w:val="Author-eSectionHeading6Numberless"/>
      </w:pPr>
      <w:bookmarkStart w:id="781" w:name="_Toc220495837"/>
      <w:r>
        <w:t>22.21.4b Portiques préfabriqués en béton décoratif / architectonique CCTB 01.04</w:t>
      </w:r>
      <w:bookmarkEnd w:id="781"/>
    </w:p>
    <w:p w14:paraId="0536A2B4" w14:textId="77777777" w:rsidR="00DB2B68" w:rsidRDefault="00000000">
      <w:pPr>
        <w:pStyle w:val="Author-eSectionHeading6Numberless"/>
      </w:pPr>
      <w:bookmarkStart w:id="782" w:name="_Toc220495838"/>
      <w:r>
        <w:t>22.21.4c Arcs préfabriqués en béton décoratif / architectonique CCTB 01.04</w:t>
      </w:r>
      <w:bookmarkEnd w:id="782"/>
    </w:p>
    <w:p w14:paraId="1C0C92B5" w14:textId="77777777" w:rsidR="00DB2B68" w:rsidRDefault="00000000">
      <w:pPr>
        <w:pStyle w:val="Author-eSectionHeading6Numberless"/>
      </w:pPr>
      <w:bookmarkStart w:id="783" w:name="_Toc220495839"/>
      <w:r>
        <w:t>22.21.4d Potences préfabriquées en béton décoratif / architectonique CCTB 01.04</w:t>
      </w:r>
      <w:bookmarkEnd w:id="783"/>
    </w:p>
    <w:p w14:paraId="2964EFE3" w14:textId="77777777" w:rsidR="00DB2B68" w:rsidRDefault="00000000">
      <w:pPr>
        <w:pStyle w:val="Author-eSectionHeading5Numberless"/>
      </w:pPr>
      <w:bookmarkStart w:id="784" w:name="_Toc220495840"/>
      <w:r>
        <w:t>22.21.5 Structures mixtes acier-béton CCTB 01.04</w:t>
      </w:r>
      <w:bookmarkEnd w:id="784"/>
    </w:p>
    <w:p w14:paraId="2053B1E8" w14:textId="77777777" w:rsidR="00DB2B68" w:rsidRDefault="00000000">
      <w:pPr>
        <w:pStyle w:val="Author-eSectionHeading6Numberless"/>
      </w:pPr>
      <w:bookmarkStart w:id="785" w:name="_Toc220495841"/>
      <w:r>
        <w:t>22.21.5a Structures mixtes acier-béton CCTB 01.04</w:t>
      </w:r>
      <w:bookmarkEnd w:id="785"/>
    </w:p>
    <w:p w14:paraId="45DCCDF9" w14:textId="77777777" w:rsidR="00DB2B68" w:rsidRDefault="00000000">
      <w:pPr>
        <w:pStyle w:val="Author-eSectionHeading6Numberless"/>
      </w:pPr>
      <w:bookmarkStart w:id="786" w:name="_Toc220495842"/>
      <w:r>
        <w:t>22.21.5b Portiques mixtes acier-béton CCTB 01.04</w:t>
      </w:r>
      <w:bookmarkEnd w:id="786"/>
    </w:p>
    <w:p w14:paraId="42D6A83E" w14:textId="77777777" w:rsidR="00DB2B68" w:rsidRDefault="00000000">
      <w:pPr>
        <w:pStyle w:val="Author-eSectionHeading6Numberless"/>
      </w:pPr>
      <w:bookmarkStart w:id="787" w:name="_Toc220495843"/>
      <w:r>
        <w:t>22.21.5c Arcs mixtes acier-béton CCTB 01.04</w:t>
      </w:r>
      <w:bookmarkEnd w:id="787"/>
    </w:p>
    <w:p w14:paraId="400123BF" w14:textId="77777777" w:rsidR="00DB2B68" w:rsidRDefault="00000000">
      <w:pPr>
        <w:pStyle w:val="Author-eSectionHeading6Numberless"/>
      </w:pPr>
      <w:bookmarkStart w:id="788" w:name="_Toc220495844"/>
      <w:r>
        <w:t>22.21.5d Potences mixtes acier-béton CCTB 01.04</w:t>
      </w:r>
      <w:bookmarkEnd w:id="788"/>
    </w:p>
    <w:p w14:paraId="06C52C55" w14:textId="77777777" w:rsidR="00DB2B68" w:rsidRDefault="00000000">
      <w:pPr>
        <w:pStyle w:val="Author-eSectionHeading4Numberless"/>
      </w:pPr>
      <w:bookmarkStart w:id="789" w:name="_Toc220495845"/>
      <w:r>
        <w:lastRenderedPageBreak/>
        <w:t>22.22 Planchers composites en béton CCTB 01.02</w:t>
      </w:r>
      <w:bookmarkEnd w:id="789"/>
    </w:p>
    <w:p w14:paraId="55427977" w14:textId="77777777" w:rsidR="00DB2B68" w:rsidRDefault="00000000">
      <w:pPr>
        <w:pStyle w:val="Author-eSectionHeading5Numberless"/>
      </w:pPr>
      <w:bookmarkStart w:id="790" w:name="_Toc220495846"/>
      <w:r>
        <w:t>22.22.1 Planchers composites en béton préfabriqués CCTB 01.02</w:t>
      </w:r>
      <w:bookmarkEnd w:id="790"/>
    </w:p>
    <w:p w14:paraId="723ABA18" w14:textId="77777777" w:rsidR="00DB2B68" w:rsidRDefault="00000000">
      <w:pPr>
        <w:pStyle w:val="Author-eSectionHeading6Numberless"/>
      </w:pPr>
      <w:bookmarkStart w:id="791" w:name="_Toc220495847"/>
      <w:r>
        <w:t>22.22.1a Planchers à poutrelles en béton et entrevous en béton CCTB 01.12</w:t>
      </w:r>
      <w:bookmarkEnd w:id="791"/>
    </w:p>
    <w:p w14:paraId="52023230" w14:textId="77777777" w:rsidR="00DB2B68" w:rsidRDefault="00000000">
      <w:pPr>
        <w:pStyle w:val="pheading"/>
      </w:pPr>
      <w:r>
        <w:t>DESCRIPTION</w:t>
      </w:r>
    </w:p>
    <w:p w14:paraId="394C44DD" w14:textId="77777777" w:rsidR="00DB2B68" w:rsidRDefault="00000000">
      <w:pPr>
        <w:pStyle w:val="pheading"/>
      </w:pPr>
      <w:r>
        <w:t>- Définition / Comprend</w:t>
      </w:r>
    </w:p>
    <w:p w14:paraId="3DFA9B91" w14:textId="77777777" w:rsidR="00DB2B68" w:rsidRDefault="00000000">
      <w:r>
        <w:t>Il s'agit des planchers combinés à caractère monolithe, composées de poutrelles préfabriquées, d'entrevous et d'une couche de compression armée coulée sur place. Le système doit être conforme aux normes [NBN EN 15037-1], [NBN EN 15037-2+A1], [NBN B 21-616].</w:t>
      </w:r>
    </w:p>
    <w:p w14:paraId="522ED5E1" w14:textId="77777777" w:rsidR="00DB2B68" w:rsidRDefault="00000000">
      <w:pPr>
        <w:pStyle w:val="pheading"/>
      </w:pPr>
      <w:r>
        <w:t>MATÉRIAUX</w:t>
      </w:r>
    </w:p>
    <w:p w14:paraId="69CFE829" w14:textId="77777777" w:rsidR="00DB2B68" w:rsidRDefault="00000000">
      <w:pPr>
        <w:pStyle w:val="pheading"/>
      </w:pPr>
      <w:r>
        <w:t>- Caractéristiques générales</w:t>
      </w:r>
    </w:p>
    <w:p w14:paraId="680A5B69" w14:textId="77777777" w:rsidR="00DB2B68" w:rsidRDefault="00000000">
      <w:pPr>
        <w:pStyle w:val="heading"/>
      </w:pPr>
      <w:r>
        <w:t>Poutrelles</w:t>
      </w:r>
    </w:p>
    <w:p w14:paraId="7061C846" w14:textId="77777777" w:rsidR="00DB2B68" w:rsidRDefault="00000000">
      <w:r>
        <w:t>Les poutrelles de support préfabriquées sont conformes aux [NBN EN 15037-1] et [NBN B 21-616]</w:t>
      </w:r>
    </w:p>
    <w:p w14:paraId="724D0C4E" w14:textId="77777777" w:rsidR="00DB2B68" w:rsidRDefault="00000000">
      <w:pPr>
        <w:pStyle w:val="Author-eListParagraph"/>
        <w:numPr>
          <w:ilvl w:val="0"/>
          <w:numId w:val="544"/>
        </w:numPr>
      </w:pPr>
      <w:r>
        <w:t>La face inférieure des poutres de support est achevée par une semelle dans le même matériau que les éléments de remplissage. Cette finition est réalisée au cours de la préfabrication des poutres ou par la forme des éléments de remplissage.</w:t>
      </w:r>
    </w:p>
    <w:p w14:paraId="10DDF550" w14:textId="77777777" w:rsidR="00DB2B68" w:rsidRDefault="00000000">
      <w:pPr>
        <w:pStyle w:val="heading"/>
      </w:pPr>
      <w:r>
        <w:t>Entrevous</w:t>
      </w:r>
    </w:p>
    <w:p w14:paraId="2E18C3F9" w14:textId="77777777" w:rsidR="00DB2B68" w:rsidRDefault="00000000">
      <w:pPr>
        <w:pStyle w:val="Author-eListParagraph"/>
        <w:numPr>
          <w:ilvl w:val="0"/>
          <w:numId w:val="545"/>
        </w:numPr>
      </w:pPr>
      <w:r>
        <w:t>Les entrevous sont conformes à la [NBN EN 15037-2+A1] .</w:t>
      </w:r>
    </w:p>
    <w:p w14:paraId="0722ECFF" w14:textId="77777777" w:rsidR="00DB2B68" w:rsidRDefault="00000000">
      <w:pPr>
        <w:pStyle w:val="Author-eListParagraph"/>
        <w:numPr>
          <w:ilvl w:val="0"/>
          <w:numId w:val="545"/>
        </w:numPr>
      </w:pPr>
      <w:r>
        <w:t>La forme des éléments de remplissage favorise l'adhérence au mortier ou au béton. Conformément au cahier spécial des charges, les éléments de remplissage peuvent être constitués comme</w:t>
      </w:r>
    </w:p>
    <w:p w14:paraId="61EA9554" w14:textId="77777777" w:rsidR="00DB2B68" w:rsidRDefault="00000000">
      <w:pPr>
        <w:pStyle w:val="Author-eListParagraph"/>
        <w:numPr>
          <w:ilvl w:val="0"/>
          <w:numId w:val="545"/>
        </w:numPr>
      </w:pPr>
      <w:r>
        <w:t>La face inférieure du plancher est parfaitement lisse ou prête à être plafonnée. Le cas échéant, la face inférieure des blocs est très rugueuse, ou présente des rainures et nervures afin d'améliorer l'adhérence des plafonnages.</w:t>
      </w:r>
    </w:p>
    <w:p w14:paraId="7F6F952C" w14:textId="77777777" w:rsidR="00DB2B68" w:rsidRDefault="00000000">
      <w:pPr>
        <w:pStyle w:val="heading"/>
      </w:pPr>
      <w:r>
        <w:t>Couche de compression</w:t>
      </w:r>
    </w:p>
    <w:p w14:paraId="76BABB22" w14:textId="77777777" w:rsidR="00DB2B68" w:rsidRDefault="00000000">
      <w:pPr>
        <w:pStyle w:val="Author-eListParagraph"/>
        <w:numPr>
          <w:ilvl w:val="0"/>
          <w:numId w:val="546"/>
        </w:numPr>
      </w:pPr>
      <w:r>
        <w:t xml:space="preserve">Épaisseur de la couche de compression : au moins </w:t>
      </w:r>
      <w:r>
        <w:rPr>
          <w:rStyle w:val="optioncarChar"/>
        </w:rPr>
        <w:t>3 / 4 </w:t>
      </w:r>
      <w:r>
        <w:t>(par défaut)</w:t>
      </w:r>
      <w:r>
        <w:rPr>
          <w:rStyle w:val="optioncarChar"/>
        </w:rPr>
        <w:t xml:space="preserve"> / 5 / ***</w:t>
      </w:r>
      <w:r>
        <w:t xml:space="preserve"> cm au-dessus des entrevous.</w:t>
      </w:r>
    </w:p>
    <w:p w14:paraId="74A9F4D2" w14:textId="77777777" w:rsidR="00DB2B68" w:rsidRDefault="00000000">
      <w:pPr>
        <w:pStyle w:val="Author-eListParagraph"/>
        <w:numPr>
          <w:ilvl w:val="0"/>
          <w:numId w:val="546"/>
        </w:numPr>
      </w:pPr>
      <w:r>
        <w:t xml:space="preserve">La qualité du béton selon la [NBN EN 206:2013+A2] et [NBN B 15-001] est fonction de l'épaisseur de la couche de compression (voir également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5F63C256" w14:textId="77777777">
        <w:tc>
          <w:tcPr>
            <w:tcW w:w="1500" w:type="dxa"/>
            <w:noWrap/>
          </w:tcPr>
          <w:p w14:paraId="372204AA" w14:textId="77777777" w:rsidR="00DB2B68" w:rsidRDefault="00000000">
            <w:pPr>
              <w:jc w:val="center"/>
            </w:pPr>
            <w:r>
              <w:rPr>
                <w:b/>
              </w:rPr>
              <w:t>A</w:t>
            </w:r>
          </w:p>
        </w:tc>
        <w:tc>
          <w:tcPr>
            <w:tcW w:w="1500" w:type="dxa"/>
            <w:noWrap/>
          </w:tcPr>
          <w:p w14:paraId="2F19C8A6" w14:textId="77777777" w:rsidR="00DB2B68" w:rsidRDefault="00000000">
            <w:pPr>
              <w:jc w:val="center"/>
            </w:pPr>
            <w:r>
              <w:rPr>
                <w:b/>
              </w:rPr>
              <w:t>B1</w:t>
            </w:r>
          </w:p>
        </w:tc>
        <w:tc>
          <w:tcPr>
            <w:tcW w:w="1500" w:type="dxa"/>
            <w:noWrap/>
          </w:tcPr>
          <w:p w14:paraId="0B334872" w14:textId="77777777" w:rsidR="00DB2B68" w:rsidRDefault="00000000">
            <w:pPr>
              <w:jc w:val="center"/>
            </w:pPr>
            <w:r>
              <w:rPr>
                <w:b/>
              </w:rPr>
              <w:t>B2</w:t>
            </w:r>
          </w:p>
        </w:tc>
        <w:tc>
          <w:tcPr>
            <w:tcW w:w="1500" w:type="dxa"/>
            <w:noWrap/>
          </w:tcPr>
          <w:p w14:paraId="496F0379" w14:textId="77777777" w:rsidR="00DB2B68" w:rsidRDefault="00000000">
            <w:pPr>
              <w:jc w:val="center"/>
            </w:pPr>
            <w:r>
              <w:rPr>
                <w:b/>
              </w:rPr>
              <w:t>C</w:t>
            </w:r>
          </w:p>
        </w:tc>
        <w:tc>
          <w:tcPr>
            <w:tcW w:w="1500" w:type="dxa"/>
            <w:noWrap/>
          </w:tcPr>
          <w:p w14:paraId="42E50C6D" w14:textId="77777777" w:rsidR="00DB2B68" w:rsidRDefault="00000000">
            <w:pPr>
              <w:jc w:val="center"/>
            </w:pPr>
            <w:r>
              <w:rPr>
                <w:b/>
              </w:rPr>
              <w:t>D</w:t>
            </w:r>
          </w:p>
        </w:tc>
        <w:tc>
          <w:tcPr>
            <w:tcW w:w="1500" w:type="dxa"/>
            <w:noWrap/>
          </w:tcPr>
          <w:p w14:paraId="681A98C6" w14:textId="77777777" w:rsidR="00DB2B68" w:rsidRDefault="00000000">
            <w:pPr>
              <w:jc w:val="center"/>
            </w:pPr>
            <w:r>
              <w:rPr>
                <w:b/>
              </w:rPr>
              <w:t>E</w:t>
            </w:r>
          </w:p>
        </w:tc>
      </w:tr>
      <w:tr w:rsidR="00DB2B68" w14:paraId="46EABDE0" w14:textId="77777777">
        <w:tc>
          <w:tcPr>
            <w:tcW w:w="1500" w:type="dxa"/>
            <w:noWrap/>
          </w:tcPr>
          <w:p w14:paraId="1123585A" w14:textId="77777777" w:rsidR="00DB2B68" w:rsidRDefault="00000000">
            <w:pPr>
              <w:jc w:val="center"/>
            </w:pPr>
            <w:r>
              <w:rPr>
                <w:b/>
              </w:rPr>
              <w:t>Classe de résistance</w:t>
            </w:r>
          </w:p>
        </w:tc>
        <w:tc>
          <w:tcPr>
            <w:tcW w:w="1500" w:type="dxa"/>
            <w:noWrap/>
          </w:tcPr>
          <w:p w14:paraId="140138E2" w14:textId="77777777" w:rsidR="00DB2B68" w:rsidRDefault="00000000">
            <w:pPr>
              <w:jc w:val="center"/>
            </w:pPr>
            <w:r>
              <w:rPr>
                <w:b/>
              </w:rPr>
              <w:t>Domaine d’application</w:t>
            </w:r>
          </w:p>
        </w:tc>
        <w:tc>
          <w:tcPr>
            <w:tcW w:w="1500" w:type="dxa"/>
            <w:noWrap/>
          </w:tcPr>
          <w:p w14:paraId="0DEFF4D2" w14:textId="77777777" w:rsidR="00DB2B68" w:rsidRDefault="00000000">
            <w:pPr>
              <w:jc w:val="center"/>
            </w:pPr>
            <w:r>
              <w:rPr>
                <w:b/>
              </w:rPr>
              <w:t>Classe d'environnement</w:t>
            </w:r>
          </w:p>
        </w:tc>
        <w:tc>
          <w:tcPr>
            <w:tcW w:w="1500" w:type="dxa"/>
            <w:noWrap/>
          </w:tcPr>
          <w:p w14:paraId="498FD10A" w14:textId="77777777" w:rsidR="00DB2B68" w:rsidRDefault="00000000">
            <w:pPr>
              <w:jc w:val="center"/>
            </w:pPr>
            <w:r>
              <w:rPr>
                <w:b/>
              </w:rPr>
              <w:t>Classe de consistance</w:t>
            </w:r>
          </w:p>
        </w:tc>
        <w:tc>
          <w:tcPr>
            <w:tcW w:w="1500" w:type="dxa"/>
            <w:noWrap/>
          </w:tcPr>
          <w:p w14:paraId="2D5341AE" w14:textId="77777777" w:rsidR="00DB2B68" w:rsidRDefault="00000000">
            <w:pPr>
              <w:jc w:val="center"/>
            </w:pPr>
            <w:r>
              <w:rPr>
                <w:b/>
              </w:rPr>
              <w:t>Granulométrie maximale</w:t>
            </w:r>
          </w:p>
        </w:tc>
        <w:tc>
          <w:tcPr>
            <w:tcW w:w="1500" w:type="dxa"/>
            <w:noWrap/>
          </w:tcPr>
          <w:p w14:paraId="6E0B69E7" w14:textId="77777777" w:rsidR="00DB2B68" w:rsidRDefault="00000000">
            <w:r>
              <w:rPr>
                <w:b/>
              </w:rPr>
              <w:t>Données complémentaires</w:t>
            </w:r>
          </w:p>
        </w:tc>
      </w:tr>
      <w:tr w:rsidR="00DB2B68" w14:paraId="3E0780F0" w14:textId="77777777">
        <w:tc>
          <w:tcPr>
            <w:tcW w:w="1500" w:type="dxa"/>
            <w:noWrap/>
          </w:tcPr>
          <w:p w14:paraId="36831710" w14:textId="77777777" w:rsidR="00DB2B68" w:rsidRDefault="00000000">
            <w:pPr>
              <w:jc w:val="center"/>
            </w:pPr>
            <w:r>
              <w:rPr>
                <w:rStyle w:val="optioncarChar"/>
              </w:rPr>
              <w:t>C25/30 / C30/37 / C35/45 / C45/55 / C50/60 / C55/67 / C60/75 / C70/85 / C80/95 / C90/105</w:t>
            </w:r>
          </w:p>
        </w:tc>
        <w:tc>
          <w:tcPr>
            <w:tcW w:w="1500" w:type="dxa"/>
            <w:noWrap/>
          </w:tcPr>
          <w:p w14:paraId="5E188EBD" w14:textId="77777777" w:rsidR="00DB2B68" w:rsidRDefault="00000000">
            <w:pPr>
              <w:jc w:val="center"/>
            </w:pPr>
            <w:r>
              <w:t>Béton armé</w:t>
            </w:r>
          </w:p>
          <w:p w14:paraId="6F28BEE6" w14:textId="77777777" w:rsidR="00DB2B68" w:rsidRDefault="00DB2B68"/>
        </w:tc>
        <w:tc>
          <w:tcPr>
            <w:tcW w:w="1500" w:type="dxa"/>
            <w:noWrap/>
          </w:tcPr>
          <w:p w14:paraId="09308062" w14:textId="77777777" w:rsidR="00DB2B68" w:rsidRDefault="00000000">
            <w:pPr>
              <w:jc w:val="center"/>
            </w:pPr>
            <w:r>
              <w:rPr>
                <w:rStyle w:val="optioncarChar"/>
              </w:rPr>
              <w:t>E0 / EI / EE1 / EE2 / EE3 / EE4 / ES1 / ES2 / ES3 / ES4 / EA1+*** / EA2+***/ EA3+***</w:t>
            </w:r>
          </w:p>
        </w:tc>
        <w:tc>
          <w:tcPr>
            <w:tcW w:w="1500" w:type="dxa"/>
            <w:noWrap/>
          </w:tcPr>
          <w:p w14:paraId="24B9E8C6" w14:textId="77777777" w:rsidR="00DB2B68" w:rsidRDefault="00000000">
            <w:pPr>
              <w:jc w:val="center"/>
            </w:pPr>
            <w:r>
              <w:t>au choix de l'entrepreneur :</w:t>
            </w:r>
          </w:p>
          <w:p w14:paraId="0B23BE1D" w14:textId="77777777" w:rsidR="00DB2B68" w:rsidRDefault="00000000">
            <w:pPr>
              <w:jc w:val="center"/>
            </w:pPr>
            <w:r>
              <w:rPr>
                <w:rStyle w:val="optioncarChar"/>
              </w:rPr>
              <w:t xml:space="preserve">S3 / S4 / S5 </w:t>
            </w:r>
          </w:p>
          <w:p w14:paraId="75410B44" w14:textId="77777777" w:rsidR="00DB2B68" w:rsidRDefault="00000000">
            <w:pPr>
              <w:jc w:val="center"/>
            </w:pPr>
            <w:r>
              <w:rPr>
                <w:rStyle w:val="optioncarChar"/>
              </w:rPr>
              <w:t>F3 / F4 / F5 / F6</w:t>
            </w:r>
            <w:r>
              <w:br/>
            </w:r>
          </w:p>
        </w:tc>
        <w:tc>
          <w:tcPr>
            <w:tcW w:w="1500" w:type="dxa"/>
            <w:noWrap/>
          </w:tcPr>
          <w:p w14:paraId="5B5A1A66" w14:textId="77777777" w:rsidR="00DB2B68" w:rsidRDefault="00000000">
            <w:pPr>
              <w:jc w:val="center"/>
            </w:pPr>
            <w:r>
              <w:t>au choix de l'entrepreneur :</w:t>
            </w:r>
          </w:p>
          <w:p w14:paraId="2AB3AE12" w14:textId="77777777" w:rsidR="00DB2B68" w:rsidRDefault="00000000">
            <w:pPr>
              <w:jc w:val="center"/>
            </w:pPr>
            <w:r>
              <w:rPr>
                <w:rStyle w:val="optioncarChar"/>
              </w:rPr>
              <w:t>6 / 8 / 10 / 11 / 12 / 14 / 16 / 20 / 22 / 32</w:t>
            </w:r>
            <w:r>
              <w:t xml:space="preserve"> mm</w:t>
            </w:r>
          </w:p>
        </w:tc>
        <w:tc>
          <w:tcPr>
            <w:tcW w:w="1500" w:type="dxa"/>
            <w:noWrap/>
          </w:tcPr>
          <w:p w14:paraId="4A29BB69" w14:textId="77777777" w:rsidR="00DB2B68" w:rsidRDefault="00000000">
            <w:pPr>
              <w:jc w:val="center"/>
            </w:pPr>
            <w:r>
              <w:rPr>
                <w:rStyle w:val="optioncarChar"/>
              </w:rPr>
              <w:t>***</w:t>
            </w:r>
          </w:p>
        </w:tc>
      </w:tr>
    </w:tbl>
    <w:p w14:paraId="40EA5034"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7813ACA2" w14:textId="77777777" w:rsidR="00DB2B68" w:rsidRDefault="00000000">
      <w:pPr>
        <w:ind w:left="567"/>
      </w:pPr>
      <w:r>
        <w:t>Données complémentaires propres au béton autoplaçant (E) :</w:t>
      </w:r>
    </w:p>
    <w:p w14:paraId="25D2C993" w14:textId="77777777" w:rsidR="00DB2B68" w:rsidRDefault="00000000">
      <w:pPr>
        <w:pStyle w:val="Author-eListParagraph"/>
        <w:numPr>
          <w:ilvl w:val="0"/>
          <w:numId w:val="547"/>
        </w:numPr>
      </w:pPr>
      <w:r>
        <w:lastRenderedPageBreak/>
        <w:t xml:space="preserve">Classe de viscosité apparente : </w:t>
      </w:r>
      <w:r>
        <w:rPr>
          <w:rStyle w:val="optioncarChar"/>
        </w:rPr>
        <w:t>VS1 / VS2</w:t>
      </w:r>
      <w:r>
        <w:t xml:space="preserve"> (selon la [NBN EN 12350-8] )</w:t>
      </w:r>
    </w:p>
    <w:p w14:paraId="228BD6A9" w14:textId="77777777" w:rsidR="00DB2B68" w:rsidRDefault="00000000">
      <w:pPr>
        <w:pStyle w:val="Author-eListParagraph"/>
        <w:numPr>
          <w:ilvl w:val="0"/>
          <w:numId w:val="547"/>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9B6C518" w14:textId="77777777" w:rsidR="00DB2B68" w:rsidRDefault="00000000">
      <w:pPr>
        <w:pStyle w:val="Author-eListParagraph"/>
        <w:numPr>
          <w:ilvl w:val="0"/>
          <w:numId w:val="54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3B4104C" w14:textId="77777777" w:rsidR="00DB2B68" w:rsidRDefault="00000000">
      <w:pPr>
        <w:pStyle w:val="Author-eListParagraph"/>
        <w:numPr>
          <w:ilvl w:val="0"/>
          <w:numId w:val="548"/>
        </w:numPr>
      </w:pPr>
      <w:r>
        <w:t xml:space="preserve">Les armatures de la couche de compression se composent au moins d'un treillis soudé, nuance d'acier </w:t>
      </w:r>
      <w:r>
        <w:rPr>
          <w:rStyle w:val="optioncarChar"/>
        </w:rPr>
        <w:t xml:space="preserve">DE 500 S </w:t>
      </w:r>
      <w:r>
        <w:t>(par défaut)</w:t>
      </w:r>
      <w:r>
        <w:rPr>
          <w:rStyle w:val="optioncarChar"/>
        </w:rPr>
        <w:t xml:space="preserve"> / BE 500 S</w:t>
      </w:r>
      <w:r>
        <w:t>, dimensions</w:t>
      </w:r>
      <w:r>
        <w:rPr>
          <w:rStyle w:val="optioncarChar"/>
        </w:rPr>
        <w:t> 150 x 150 x 6 x 6</w:t>
      </w:r>
      <w:r>
        <w:t xml:space="preserve"> (par défaut)</w:t>
      </w:r>
      <w:r>
        <w:rPr>
          <w:rStyle w:val="optioncarChar"/>
        </w:rPr>
        <w:t> / ***x***x***x*** </w:t>
      </w:r>
      <w:r>
        <w:t>mm. Les armatures complémentaires sont des barres d'acier de qualité BE 500 S.</w:t>
      </w:r>
    </w:p>
    <w:p w14:paraId="4DE200A3" w14:textId="77777777" w:rsidR="00DB2B68" w:rsidRDefault="00000000">
      <w:r>
        <w:t>Entrevous</w:t>
      </w:r>
    </w:p>
    <w:p w14:paraId="723F3C90" w14:textId="77777777" w:rsidR="00DB2B68" w:rsidRDefault="00000000">
      <w:pPr>
        <w:pStyle w:val="Author-eListParagraph"/>
        <w:numPr>
          <w:ilvl w:val="0"/>
          <w:numId w:val="549"/>
        </w:numPr>
      </w:pPr>
      <w:r>
        <w:t xml:space="preserve">Type : béton avec </w:t>
      </w:r>
      <w:r>
        <w:rPr>
          <w:rStyle w:val="optioncarChar"/>
        </w:rPr>
        <w:t>adjuvants ordinaires </w:t>
      </w:r>
      <w:r>
        <w:t>(par défaut) / ***</w:t>
      </w:r>
    </w:p>
    <w:p w14:paraId="7F0347DC" w14:textId="77777777" w:rsidR="00DB2B68" w:rsidRDefault="00000000">
      <w:pPr>
        <w:pStyle w:val="Author-eListParagraph"/>
        <w:numPr>
          <w:ilvl w:val="0"/>
          <w:numId w:val="549"/>
        </w:numPr>
      </w:pPr>
      <w:r>
        <w:t xml:space="preserve">Épaisseur : </w:t>
      </w:r>
      <w:r>
        <w:rPr>
          <w:rStyle w:val="optioncarChar"/>
        </w:rPr>
        <w:t>8</w:t>
      </w:r>
      <w:r>
        <w:t> </w:t>
      </w:r>
      <w:r>
        <w:rPr>
          <w:rStyle w:val="optioncarChar"/>
        </w:rPr>
        <w:t>/ 12 / 16 / 20 / 25 / *** </w:t>
      </w:r>
      <w:r>
        <w:t>cm</w:t>
      </w:r>
    </w:p>
    <w:p w14:paraId="3BE8C453" w14:textId="77777777" w:rsidR="00DB2B68" w:rsidRDefault="00000000">
      <w:pPr>
        <w:pStyle w:val="pheading"/>
      </w:pPr>
      <w:r>
        <w:t>- Prescriptions complémentaires</w:t>
      </w:r>
    </w:p>
    <w:p w14:paraId="6BC0724D" w14:textId="77777777" w:rsidR="00DB2B68" w:rsidRDefault="00000000">
      <w:r>
        <w:t xml:space="preserve">Résistance au feu : pour les éléments porteurs et structurels sans fonction séparant </w:t>
      </w:r>
      <w:r>
        <w:rPr>
          <w:rStyle w:val="optioncarChar"/>
        </w:rPr>
        <w:t xml:space="preserve">R15 / R30 </w:t>
      </w:r>
      <w:r>
        <w:t>(par défaut) </w:t>
      </w:r>
      <w:r>
        <w:rPr>
          <w:rStyle w:val="optioncarChar"/>
        </w:rPr>
        <w:t>/ R60 / R120 / R *** / *** </w:t>
      </w:r>
      <w:r>
        <w:t xml:space="preserve">et pour les éléments porteurs et structurels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t>Support aux prescripteurs : [SWL GSI/T1/C] de la prévention passive</w:t>
      </w:r>
    </w:p>
    <w:p w14:paraId="50EDDF1F" w14:textId="77777777" w:rsidR="00DB2B68" w:rsidRDefault="00000000">
      <w:pPr>
        <w:pStyle w:val="pheading"/>
      </w:pPr>
      <w:r>
        <w:t>EXÉCUTION / MISE EN ŒUVRE</w:t>
      </w:r>
    </w:p>
    <w:p w14:paraId="50957882" w14:textId="77777777" w:rsidR="00DB2B68" w:rsidRDefault="00000000">
      <w:pPr>
        <w:pStyle w:val="pheading"/>
      </w:pPr>
      <w:r>
        <w:t>- Prescriptions générales</w:t>
      </w:r>
    </w:p>
    <w:p w14:paraId="113D01AD" w14:textId="77777777" w:rsidR="00DB2B68" w:rsidRDefault="00000000">
      <w:r>
        <w:t xml:space="preserve">L'étude est réalisée conformément à </w:t>
      </w:r>
      <w:hyperlink w:anchor="87" w:history="1">
        <w:r>
          <w:rPr>
            <w:color w:val="0000EE"/>
          </w:rPr>
          <w:t>22 Superstructures en béton</w:t>
        </w:r>
      </w:hyperlink>
      <w:r>
        <w:t>  à charge de</w:t>
      </w:r>
      <w:r>
        <w:rPr>
          <w:rStyle w:val="optioncarChar"/>
        </w:rPr>
        <w:t> l'entrepreneur </w:t>
      </w:r>
      <w:r>
        <w:t>(par défaut)</w:t>
      </w:r>
      <w:r>
        <w:rPr>
          <w:rStyle w:val="optioncarChar"/>
        </w:rPr>
        <w:t xml:space="preserve"> / du maître de l'ouvrage  / du bureau d'étude / ***</w:t>
      </w:r>
      <w:r>
        <w:br/>
        <w:t>La face supérieure du plancher correspond aux cotes de niveau et à l'épaisseur indiquées sur les plans d'architecture.</w:t>
      </w:r>
      <w:r>
        <w:br/>
        <w:t xml:space="preserve">L'espacement d'axe en axe entre les poutrelles est de maximum </w:t>
      </w:r>
      <w:r>
        <w:rPr>
          <w:rStyle w:val="optioncarChar"/>
        </w:rPr>
        <w:t>30 / 60 </w:t>
      </w:r>
      <w:r>
        <w:t>(par défaut)</w:t>
      </w:r>
      <w:r>
        <w:rPr>
          <w:rStyle w:val="optioncarChar"/>
        </w:rPr>
        <w:t xml:space="preserve"> / ***</w:t>
      </w:r>
      <w:r>
        <w:t xml:space="preserve"> cm.</w:t>
      </w:r>
      <w:r>
        <w:br/>
        <w:t>Les travaux sont exécutés conformément aux recommandations du fabricant. Les plans de pose des éléments préfabriqués doivent être préalablement soumis à l'approbation de l'auteur de projet.</w:t>
      </w:r>
      <w:r>
        <w:br/>
        <w:t>Les faces supérieure et inférieure des planchers composés doivent correspondre aux cotes de niveau et à l'épaisseur de la finition des planchers selon les indications sur les plans d'exécution. La face inférieure des planchers composés se situe dans un seul et même plan.</w:t>
      </w:r>
      <w:r>
        <w:br/>
        <w:t xml:space="preserve">La hauteur de construction des planchers de sol composées est de maximum </w:t>
      </w:r>
      <w:r>
        <w:rPr>
          <w:rStyle w:val="optioncarChar"/>
        </w:rPr>
        <w:t>***</w:t>
      </w:r>
      <w:r>
        <w:t xml:space="preserve"> cm.</w:t>
      </w:r>
    </w:p>
    <w:p w14:paraId="6C75F348" w14:textId="77777777" w:rsidR="00DB2B68" w:rsidRDefault="00000000">
      <w:pPr>
        <w:pStyle w:val="heading"/>
      </w:pPr>
      <w:r>
        <w:t>Appuis</w:t>
      </w:r>
    </w:p>
    <w:p w14:paraId="0402FC28" w14:textId="77777777" w:rsidR="00DB2B68" w:rsidRDefault="00000000">
      <w:r>
        <w:t xml:space="preserve">Avant la pose des poutrains, un support continu est réalisé transversalement au sens de la portée, conformément aux indications sur les plans de pose approuvés par l'auteur de projet. Les étais présentent un écartement de maximum </w:t>
      </w:r>
      <w:r>
        <w:rPr>
          <w:rStyle w:val="optioncarChar"/>
        </w:rPr>
        <w:t>1,50 </w:t>
      </w:r>
      <w:r>
        <w:t>(par défaut)</w:t>
      </w:r>
      <w:r>
        <w:rPr>
          <w:rStyle w:val="optioncarChar"/>
        </w:rPr>
        <w:t xml:space="preserve"> / 2,00 / *** </w:t>
      </w:r>
      <w:r>
        <w:t>m. </w:t>
      </w:r>
      <w:r>
        <w:br/>
        <w:t>Les étais sont disposés de façon telle que, lors de la mise en œuvre du plancher, il y ait au centre de la portée une contre-flèche de 1/500 de la portée.</w:t>
      </w:r>
      <w:r>
        <w:br/>
        <w:t>L'enlèvement des accessoires se fait au plus tôt après 21 jours et après le nettoyage éventuel des faces apparentes. Ce n'est qu'après l'enlèvement des étais que les éventuelles cloisons peuvent être construites à l'étage.</w:t>
      </w:r>
    </w:p>
    <w:p w14:paraId="01904CB2" w14:textId="77777777" w:rsidR="00DB2B68" w:rsidRDefault="00000000">
      <w:pPr>
        <w:pStyle w:val="heading"/>
      </w:pPr>
      <w:r>
        <w:t>Mise en œuvre des poutrelles et des entrevous</w:t>
      </w:r>
    </w:p>
    <w:p w14:paraId="17DB0B0E" w14:textId="77777777" w:rsidR="00DB2B68" w:rsidRDefault="00000000">
      <w:r>
        <w:t>Les poutrelles et entrevous sont posés dans le sens et de la façon indiquée sur les plans de pose approuvés par l'auteur de projet.</w:t>
      </w:r>
      <w:r>
        <w:br/>
        <w:t>Les poutres ne présentent pas de trous de forage ni de percements quelconques.</w:t>
      </w:r>
      <w:r>
        <w:br/>
        <w:t xml:space="preserve">La longueur de l'appui sur les ouvrages de maçonnerie portante, en béton ou en acier est d'au moins 7 cm (longueur de l’appui en fonction des différentes caractéristiques peut être vérifiée via la[NIT 223]. Lorsque des armatures dépassent des poutrelles, celles-ci sont déterminantes pour la longueur </w:t>
      </w:r>
      <w:r>
        <w:lastRenderedPageBreak/>
        <w:t>de l'appui.</w:t>
      </w:r>
      <w:r>
        <w:br/>
        <w:t>Les entrevous sont posés bien jointivement à 20 mm au-dessus du bord du mur.</w:t>
      </w:r>
      <w:r>
        <w:br/>
        <w:t>Le vide est ensuite rempli de béton et constitue une poutre de ceinture. Les entrevous cassés et/ou fortement endommagés ne peuvent pas être mis en œuvre.</w:t>
      </w:r>
      <w:r>
        <w:br/>
        <w:t>Les enchevêtrures et les renforcements locaux (sous les cloisons, aux trémies d'escaliers, aux balcons, etc.) sont exécutés conformément au plan de pose et/ou aux dessins de détail. Ces éléments doivent se situer dans la hauteur réservée au plancher. Pour ces zones, l'entrepreneur soumet une note de calcul séparée. Les enchevêtrures doivent être calculées et exécutées à l'aide d'éléments de remplissage appropriés ou de poutres transversales munies de barres de suspension, selon les directives données par le fournisseur.</w:t>
      </w:r>
      <w:r>
        <w:br/>
        <w:t>Les charges linéaires des murs non porteurs parallèles au sens du plancher sont reprises par des poutres renforcées et des entrevous adaptés (et/ou à l'aide d'armatures supplémentaires dans les cas exceptionnels).</w:t>
      </w:r>
      <w:r>
        <w:br/>
        <w:t>Lorsque le plancher repose sur une poutre en acier dont la face inférieure se situe dans le même plan que le plancher, on utilise des poutrelles dont les extrémités sont amincies. Avant la pose des poutrelles, l'aile inférieure doit être enveloppée dans un grillage céramique jusque sous la surface d'appui des poutrelles. Pour la pose sur des profils en métal, les éléments peuvent aussi être pourvus de barres de suspension. Celles-ci sont fixées autour de l'aile supérieure du profil en métal et noyées dans le béton.</w:t>
      </w:r>
      <w:r>
        <w:br/>
        <w:t>Lorsque le plancher repose sur une poutre renversée en béton armé, dont la face inférieure se situe dans le même plan que le plancher, les poutrelles sont pourvues, en usine, d'armature de suspension de section calculée. Dans la couche de béton, les armatures d'ancrage supplémentaires sont uniquement autorisées dans des cas exceptionnels.</w:t>
      </w:r>
      <w:r>
        <w:br/>
        <w:t>Lorsque le plancher s'appuie dans des murs existants, les ouvertures nécessaires doivent être prévues dans les murs avant la mise en place des étais. Les poutres sont posées dans les ouvertures sur un lit de mortier d'au moins 2 cm d'épaisseur. Le vide restant entre les poutrelles et les ouvertures réalisées sont remplis sur toute la profondeur avec du mortier de ciment, avant la pose des éléments de remplissage.</w:t>
      </w:r>
      <w:r>
        <w:br/>
        <w:t>Pour la fixation éventuelle des faux plafonds, on prévoit des lattes en bois entre les entrevous; leur nombre et leur répartition sont déterminés en fonction de la nature du faux plafond.</w:t>
      </w:r>
    </w:p>
    <w:p w14:paraId="4943C904" w14:textId="77777777" w:rsidR="00DB2B68" w:rsidRDefault="00000000">
      <w:pPr>
        <w:pStyle w:val="heading"/>
      </w:pPr>
      <w:r>
        <w:t>Exécution de la couche de compression</w:t>
      </w:r>
    </w:p>
    <w:p w14:paraId="488374E2" w14:textId="77777777" w:rsidR="00DB2B68" w:rsidRDefault="00000000">
      <w:r>
        <w:t>La couche de compression est exécutée en une seule fois sur toute l'épaisseur, de façon telle que celle-ci forme un ensemble avec les éléments sous-jacents. Avant de couler la couche de compression, les entrevous sont nettoyés, les entrevous en terre cuite sont humidifiés jusqu'à saturation.</w:t>
      </w:r>
    </w:p>
    <w:p w14:paraId="7627DCC3" w14:textId="77777777" w:rsidR="00DB2B68" w:rsidRDefault="00000000">
      <w:r>
        <w:t>L'entrepreneur prévoit les armatures nécessaires (treillis d'armatures + barres supplémentaires) :</w:t>
      </w:r>
      <w:r>
        <w:br/>
      </w:r>
      <w:r>
        <w:rPr>
          <w:b/>
        </w:rPr>
        <w:t> </w:t>
      </w:r>
    </w:p>
    <w:p w14:paraId="724D1CCC" w14:textId="77777777" w:rsidR="00DB2B68" w:rsidRDefault="00000000">
      <w:r>
        <w:rPr>
          <w:b/>
        </w:rPr>
        <w:t xml:space="preserve">Choix opéré: </w:t>
      </w:r>
      <w:r>
        <w:rPr>
          <w:rStyle w:val="optioncarChar"/>
          <w:b/>
        </w:rPr>
        <w:t>*** / OPTION1 </w:t>
      </w:r>
      <w:r>
        <w:t xml:space="preserve">(par défaut) </w:t>
      </w:r>
      <w:r>
        <w:rPr>
          <w:rStyle w:val="optioncarChar"/>
          <w:b/>
        </w:rPr>
        <w:t>/ OPTION 2</w:t>
      </w:r>
    </w:p>
    <w:p w14:paraId="1356B6F9" w14:textId="77777777" w:rsidR="00DB2B68" w:rsidRDefault="00000000">
      <w:r>
        <w:rPr>
          <w:b/>
        </w:rPr>
        <w:t>***OPTION 1:</w:t>
      </w:r>
      <w:r>
        <w:t xml:space="preserve"> selon les indications dans l'étude des bétons, </w:t>
      </w:r>
      <w:r>
        <w:rPr>
          <w:rStyle w:val="optioncarChar"/>
        </w:rPr>
        <w:t>***</w:t>
      </w:r>
      <w:r>
        <w:br/>
      </w:r>
      <w:r>
        <w:rPr>
          <w:b/>
        </w:rPr>
        <w:t>***OPTION 2:</w:t>
      </w:r>
      <w:r>
        <w:t> selon les Eurocodes (essentiellement [NBN EN 1990], [NBN EN 1991 série], [NBN EN 1992-1-1] et [NBN EN 1992-1-2])</w:t>
      </w:r>
    </w:p>
    <w:p w14:paraId="00B6217D" w14:textId="77777777" w:rsidR="00DB2B68" w:rsidRDefault="00000000">
      <w:r>
        <w:rPr>
          <w:rStyle w:val="optioncarChar"/>
        </w:rPr>
        <w:t> </w:t>
      </w:r>
    </w:p>
    <w:p w14:paraId="662F6045" w14:textId="77777777" w:rsidR="00DB2B68" w:rsidRDefault="00000000">
      <w:r>
        <w:t>Le treillis d'armature est posé sur les éléments sous-jacents sans interposition d'écarteurs ou de blocs de support. La couche de compression est armée en continu jusque sur les appuis.</w:t>
      </w:r>
      <w:r>
        <w:br/>
        <w:t>Lorsque des panneaux d'isolation sont posés directement sur les planchers de sol composées, la couche de compression doit être lissée. Lorsque la face inférieure du plancher est destinée à rester apparente, les joints et la face inférieure des entrevous doivent être débarrassés de toute impureté. L'ensemble est ensuite parfaitement nettoyé.</w:t>
      </w:r>
    </w:p>
    <w:p w14:paraId="428D292F" w14:textId="77777777" w:rsidR="00DB2B68" w:rsidRDefault="00000000">
      <w:pPr>
        <w:pStyle w:val="pheading"/>
      </w:pPr>
      <w:r>
        <w:t>MESURAGE</w:t>
      </w:r>
    </w:p>
    <w:p w14:paraId="3C71C784" w14:textId="77777777" w:rsidR="00DB2B68" w:rsidRDefault="00000000">
      <w:r>
        <w:t>Conformément à la nature du plancher, aux indications spécifiques dans le cahier spécial des charges et/ou le métré récapitulatif, le mesurage doit être conçu comme suit :</w:t>
      </w:r>
    </w:p>
    <w:p w14:paraId="73FFEBD1" w14:textId="77777777" w:rsidR="00DB2B68" w:rsidRDefault="00000000">
      <w:pPr>
        <w:pStyle w:val="pheading"/>
      </w:pPr>
      <w:r>
        <w:lastRenderedPageBreak/>
        <w:t>- unité de mesure:</w:t>
      </w:r>
    </w:p>
    <w:p w14:paraId="3C069B1A" w14:textId="77777777" w:rsidR="00DB2B68" w:rsidRDefault="00000000">
      <w:r>
        <w:rPr>
          <w:b/>
        </w:rPr>
        <w:t>Choix opéré</w:t>
      </w:r>
      <w:r>
        <w:t xml:space="preserve"> : </w:t>
      </w:r>
      <w:r>
        <w:rPr>
          <w:rStyle w:val="optioncarChar"/>
        </w:rPr>
        <w:t xml:space="preserve">OPTION 1 </w:t>
      </w:r>
      <w:r>
        <w:t>(par défaut)</w:t>
      </w:r>
      <w:r>
        <w:rPr>
          <w:rStyle w:val="optioncarChar"/>
        </w:rPr>
        <w:t xml:space="preserve"> / OPTION 1bis / OPTION 2 / OPTION 3</w:t>
      </w:r>
    </w:p>
    <w:p w14:paraId="6478F6C1" w14:textId="77777777" w:rsidR="00DB2B68" w:rsidRDefault="00000000">
      <w:r>
        <w:rPr>
          <w:b/>
        </w:rPr>
        <w:t>OPTION 1 (par défaut):m²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w:t>
      </w:r>
    </w:p>
    <w:p w14:paraId="0F9F40CE" w14:textId="77777777" w:rsidR="00DB2B68"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6B85C785" w14:textId="77777777" w:rsidR="00DB2B68" w:rsidRDefault="00000000">
      <w:r>
        <w:rPr>
          <w:b/>
        </w:rPr>
        <w:t>OPTION 2</w:t>
      </w:r>
    </w:p>
    <w:p w14:paraId="06442B5C" w14:textId="77777777" w:rsidR="00DB2B68" w:rsidRDefault="00000000">
      <w:r>
        <w:t>m³ pour le béton</w:t>
      </w:r>
      <w:r>
        <w:br/>
        <w:t>kg pour les armatures</w:t>
      </w:r>
      <w:r>
        <w:br/>
        <w:t>Tous les autres éléments, travaux et fournitures doivent être compris dans les prix unitaires respectifs pour les mesurages précités.</w:t>
      </w:r>
    </w:p>
    <w:p w14:paraId="00402D96" w14:textId="77777777" w:rsidR="00DB2B68" w:rsidRDefault="00000000">
      <w:r>
        <w:rPr>
          <w:b/>
        </w:rPr>
        <w:t xml:space="preserve">OPTION 3 </w:t>
      </w:r>
    </w:p>
    <w:p w14:paraId="392179B5" w14:textId="77777777" w:rsidR="00DB2B68" w:rsidRDefault="00000000">
      <w:r>
        <w:t>m³ pour le béton de remplissage</w:t>
      </w:r>
      <w:r>
        <w:br/>
        <w:t>m³ pour la couche de compression béton (en mentionnant l'épaisseur...)</w:t>
      </w:r>
      <w:r>
        <w:br/>
        <w:t>kg pour les armatures supplémentaires</w:t>
      </w:r>
      <w:r>
        <w:br/>
        <w:t>Pièces divergentes et pièces spéciales : à la pièce (selon les dimensions identiques ou indications standards).</w:t>
      </w:r>
    </w:p>
    <w:p w14:paraId="5446E0A8"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3E257555" w14:textId="77777777" w:rsidR="00DB2B68" w:rsidRDefault="00000000">
      <w:pPr>
        <w:pStyle w:val="pheading"/>
      </w:pPr>
      <w:r>
        <w:t>- code de mesurage:</w:t>
      </w:r>
    </w:p>
    <w:p w14:paraId="3E1311B9" w14:textId="77777777" w:rsidR="00DB2B68"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7C9BC9DC" w14:textId="77777777" w:rsidR="00DB2B68" w:rsidRDefault="00000000">
      <w:pPr>
        <w:pStyle w:val="pheading"/>
      </w:pPr>
      <w:r>
        <w:t>- nature du marché:</w:t>
      </w:r>
    </w:p>
    <w:p w14:paraId="7F9BED16" w14:textId="77777777" w:rsidR="00DB2B68" w:rsidRDefault="00000000">
      <w:r>
        <w:t>QF</w:t>
      </w:r>
    </w:p>
    <w:p w14:paraId="1BE3620D" w14:textId="77777777" w:rsidR="00DB2B68" w:rsidRDefault="00000000">
      <w:pPr>
        <w:pStyle w:val="Author-eSectionHeading6Numberless"/>
      </w:pPr>
      <w:bookmarkStart w:id="792" w:name="_Toc220495848"/>
      <w:r>
        <w:t>22.22.1b Planchers à poutrelles en béton et entrevous en terre cuite CCTB 01.12</w:t>
      </w:r>
      <w:bookmarkEnd w:id="792"/>
    </w:p>
    <w:p w14:paraId="7D354657" w14:textId="77777777" w:rsidR="00DB2B68" w:rsidRDefault="00000000">
      <w:pPr>
        <w:pStyle w:val="pheading"/>
      </w:pPr>
      <w:r>
        <w:t>MATÉRIAUX</w:t>
      </w:r>
    </w:p>
    <w:p w14:paraId="7FD86B97" w14:textId="77777777" w:rsidR="00DB2B68" w:rsidRDefault="00000000">
      <w:pPr>
        <w:pStyle w:val="pheading"/>
      </w:pPr>
      <w:r>
        <w:t>- Caractéristiques générales</w:t>
      </w:r>
    </w:p>
    <w:p w14:paraId="2CA486F4" w14:textId="77777777" w:rsidR="00DB2B68" w:rsidRDefault="00000000">
      <w:r>
        <w:t>Le plancher répond à la [NBN EN 15037-1], [NBN B 21-616] et [NBN EN 15037-3+A1]. Il se compose de poutrelles préfabriquées en béton précontraint en forme de T renversé, avec une semelle en terre cuite, avec couche de compression. Les entrevous sont fabriqués en terre cuite et exempts de tout défaut qui risque d'entamer leur résistance et/ou de matières nocives susceptibles d'attaquer le mortier, le béton et/ou l'acier. </w:t>
      </w:r>
    </w:p>
    <w:p w14:paraId="3EDA054C" w14:textId="77777777" w:rsidR="00DB2B68" w:rsidRDefault="00000000">
      <w:r>
        <w:rPr>
          <w:u w:val="single"/>
        </w:rPr>
        <w:t>Spécifications entrevous</w:t>
      </w:r>
    </w:p>
    <w:p w14:paraId="4D0A1976" w14:textId="77777777" w:rsidR="00DB2B68" w:rsidRDefault="00000000">
      <w:pPr>
        <w:pStyle w:val="Author-eListParagraph"/>
        <w:numPr>
          <w:ilvl w:val="0"/>
          <w:numId w:val="550"/>
        </w:numPr>
      </w:pPr>
      <w:r>
        <w:t xml:space="preserve">Épaisseur : </w:t>
      </w:r>
      <w:r>
        <w:rPr>
          <w:rStyle w:val="optioncarChar"/>
        </w:rPr>
        <w:t>12 / 16 / 20 / 25 </w:t>
      </w:r>
      <w:r>
        <w:t>/ ***cm.</w:t>
      </w:r>
    </w:p>
    <w:p w14:paraId="177FB071" w14:textId="77777777" w:rsidR="00DB2B68" w:rsidRDefault="00000000">
      <w:pPr>
        <w:pStyle w:val="Author-eListParagraph"/>
        <w:numPr>
          <w:ilvl w:val="0"/>
          <w:numId w:val="550"/>
        </w:numPr>
      </w:pPr>
      <w:r>
        <w:t xml:space="preserve">Résistance thermique du plancher  :  </w:t>
      </w:r>
      <w:r>
        <w:rPr>
          <w:rStyle w:val="optioncarChar"/>
        </w:rPr>
        <w:t>***</w:t>
      </w:r>
    </w:p>
    <w:p w14:paraId="18A09A19" w14:textId="77777777" w:rsidR="00DB2B68" w:rsidRDefault="00000000">
      <w:pPr>
        <w:pStyle w:val="Author-eListParagraph"/>
        <w:numPr>
          <w:ilvl w:val="0"/>
          <w:numId w:val="550"/>
        </w:numPr>
      </w:pPr>
      <w:r>
        <w:t xml:space="preserve">La qualité du béton selon la [NBN EN 206:2013+A2] et [NBN B 15-001] est fonction de l'épaisseur de la couche de compression (voir également l'article </w:t>
      </w:r>
      <w:hyperlink w:anchor="87" w:history="1">
        <w:r>
          <w:rPr>
            <w:color w:val="0000EE"/>
          </w:rPr>
          <w:t>22 Superstructures en béton</w:t>
        </w:r>
      </w:hyperlink>
      <w:r>
        <w:t>)</w:t>
      </w:r>
    </w:p>
    <w:p w14:paraId="644469A7" w14:textId="77777777" w:rsidR="00DB2B68" w:rsidRDefault="00000000">
      <w:r>
        <w:rPr>
          <w:u w:val="single"/>
        </w:rPr>
        <w:lastRenderedPageBreak/>
        <w:t>Spécifications - couche de compression</w:t>
      </w:r>
    </w:p>
    <w:p w14:paraId="2F960AD4" w14:textId="77777777" w:rsidR="00DB2B68" w:rsidRDefault="00000000">
      <w:pPr>
        <w:pStyle w:val="Author-eListParagraph"/>
        <w:numPr>
          <w:ilvl w:val="0"/>
          <w:numId w:val="551"/>
        </w:numPr>
      </w:pPr>
      <w:r>
        <w:t xml:space="preserve">Épaisseur de la couche de compression : au moins </w:t>
      </w:r>
      <w:r>
        <w:rPr>
          <w:rStyle w:val="optioncarChar"/>
        </w:rPr>
        <w:t>3 / 4 </w:t>
      </w:r>
      <w:r>
        <w:t>(par défaut)</w:t>
      </w:r>
      <w:r>
        <w:rPr>
          <w:rStyle w:val="optioncarChar"/>
        </w:rPr>
        <w:t xml:space="preserve"> / 5 / *** </w:t>
      </w:r>
      <w:r>
        <w:t>cm au-dessus des entrevous .</w:t>
      </w:r>
    </w:p>
    <w:p w14:paraId="2A2A34B8" w14:textId="77777777" w:rsidR="00DB2B68" w:rsidRDefault="00000000">
      <w:pPr>
        <w:pStyle w:val="Author-eListParagraph"/>
        <w:numPr>
          <w:ilvl w:val="0"/>
          <w:numId w:val="551"/>
        </w:numPr>
      </w:pPr>
      <w:r>
        <w:t xml:space="preserve">La qualité du béton selon la [NBN EN 206:2013+A2] et [NBN B 15-001] est fonction de l'épaisseur de la couche de compression (voir également l'article </w:t>
      </w:r>
      <w:hyperlink w:anchor="87" w:history="1">
        <w:r>
          <w:rPr>
            <w:color w:val="0000EE"/>
          </w:rP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B2B68" w14:paraId="59FFA6D4" w14:textId="77777777">
        <w:tc>
          <w:tcPr>
            <w:tcW w:w="1500" w:type="dxa"/>
            <w:noWrap/>
          </w:tcPr>
          <w:p w14:paraId="3035382F" w14:textId="77777777" w:rsidR="00DB2B68" w:rsidRDefault="00000000">
            <w:pPr>
              <w:jc w:val="center"/>
            </w:pPr>
            <w:r>
              <w:rPr>
                <w:b/>
              </w:rPr>
              <w:t>A</w:t>
            </w:r>
          </w:p>
        </w:tc>
        <w:tc>
          <w:tcPr>
            <w:tcW w:w="1500" w:type="dxa"/>
            <w:noWrap/>
          </w:tcPr>
          <w:p w14:paraId="04B9258A" w14:textId="77777777" w:rsidR="00DB2B68" w:rsidRDefault="00000000">
            <w:pPr>
              <w:jc w:val="center"/>
            </w:pPr>
            <w:r>
              <w:rPr>
                <w:b/>
              </w:rPr>
              <w:t>B1</w:t>
            </w:r>
          </w:p>
        </w:tc>
        <w:tc>
          <w:tcPr>
            <w:tcW w:w="1500" w:type="dxa"/>
            <w:noWrap/>
          </w:tcPr>
          <w:p w14:paraId="4DE1D707" w14:textId="77777777" w:rsidR="00DB2B68" w:rsidRDefault="00000000">
            <w:pPr>
              <w:jc w:val="center"/>
            </w:pPr>
            <w:r>
              <w:rPr>
                <w:b/>
              </w:rPr>
              <w:t>B2</w:t>
            </w:r>
          </w:p>
        </w:tc>
        <w:tc>
          <w:tcPr>
            <w:tcW w:w="1500" w:type="dxa"/>
            <w:noWrap/>
          </w:tcPr>
          <w:p w14:paraId="6C0314B6" w14:textId="77777777" w:rsidR="00DB2B68" w:rsidRDefault="00000000">
            <w:pPr>
              <w:jc w:val="center"/>
            </w:pPr>
            <w:r>
              <w:rPr>
                <w:b/>
              </w:rPr>
              <w:t>C</w:t>
            </w:r>
          </w:p>
        </w:tc>
        <w:tc>
          <w:tcPr>
            <w:tcW w:w="1500" w:type="dxa"/>
            <w:noWrap/>
          </w:tcPr>
          <w:p w14:paraId="4D3E7CE8" w14:textId="77777777" w:rsidR="00DB2B68" w:rsidRDefault="00000000">
            <w:pPr>
              <w:jc w:val="center"/>
            </w:pPr>
            <w:r>
              <w:rPr>
                <w:b/>
              </w:rPr>
              <w:t>D</w:t>
            </w:r>
          </w:p>
        </w:tc>
        <w:tc>
          <w:tcPr>
            <w:tcW w:w="1500" w:type="dxa"/>
            <w:noWrap/>
          </w:tcPr>
          <w:p w14:paraId="714AB49C" w14:textId="77777777" w:rsidR="00DB2B68" w:rsidRDefault="00000000">
            <w:pPr>
              <w:jc w:val="center"/>
            </w:pPr>
            <w:r>
              <w:rPr>
                <w:b/>
              </w:rPr>
              <w:t>E</w:t>
            </w:r>
          </w:p>
        </w:tc>
      </w:tr>
      <w:tr w:rsidR="00DB2B68" w14:paraId="5C4815ED" w14:textId="77777777">
        <w:tc>
          <w:tcPr>
            <w:tcW w:w="1500" w:type="dxa"/>
            <w:noWrap/>
          </w:tcPr>
          <w:p w14:paraId="3FAFEB0F" w14:textId="77777777" w:rsidR="00DB2B68" w:rsidRDefault="00000000">
            <w:pPr>
              <w:jc w:val="center"/>
            </w:pPr>
            <w:r>
              <w:rPr>
                <w:b/>
              </w:rPr>
              <w:t>Classe de résistance</w:t>
            </w:r>
          </w:p>
        </w:tc>
        <w:tc>
          <w:tcPr>
            <w:tcW w:w="1500" w:type="dxa"/>
            <w:noWrap/>
          </w:tcPr>
          <w:p w14:paraId="5AD96255" w14:textId="77777777" w:rsidR="00DB2B68" w:rsidRDefault="00000000">
            <w:pPr>
              <w:jc w:val="center"/>
            </w:pPr>
            <w:r>
              <w:rPr>
                <w:b/>
              </w:rPr>
              <w:t>Domaine d’application</w:t>
            </w:r>
          </w:p>
        </w:tc>
        <w:tc>
          <w:tcPr>
            <w:tcW w:w="1500" w:type="dxa"/>
            <w:noWrap/>
          </w:tcPr>
          <w:p w14:paraId="609E4672" w14:textId="77777777" w:rsidR="00DB2B68" w:rsidRDefault="00000000">
            <w:pPr>
              <w:jc w:val="center"/>
            </w:pPr>
            <w:r>
              <w:rPr>
                <w:b/>
              </w:rPr>
              <w:t>Classe d'environnement</w:t>
            </w:r>
          </w:p>
        </w:tc>
        <w:tc>
          <w:tcPr>
            <w:tcW w:w="1500" w:type="dxa"/>
            <w:noWrap/>
          </w:tcPr>
          <w:p w14:paraId="33016F03" w14:textId="77777777" w:rsidR="00DB2B68" w:rsidRDefault="00000000">
            <w:pPr>
              <w:jc w:val="center"/>
            </w:pPr>
            <w:r>
              <w:rPr>
                <w:b/>
              </w:rPr>
              <w:t>Classe de consistance</w:t>
            </w:r>
          </w:p>
        </w:tc>
        <w:tc>
          <w:tcPr>
            <w:tcW w:w="1500" w:type="dxa"/>
            <w:noWrap/>
          </w:tcPr>
          <w:p w14:paraId="590C99A2" w14:textId="77777777" w:rsidR="00DB2B68" w:rsidRDefault="00000000">
            <w:pPr>
              <w:jc w:val="center"/>
            </w:pPr>
            <w:r>
              <w:rPr>
                <w:b/>
              </w:rPr>
              <w:t>Granulométrie maximale</w:t>
            </w:r>
          </w:p>
        </w:tc>
        <w:tc>
          <w:tcPr>
            <w:tcW w:w="1500" w:type="dxa"/>
            <w:noWrap/>
          </w:tcPr>
          <w:p w14:paraId="536EC9FF" w14:textId="77777777" w:rsidR="00DB2B68" w:rsidRDefault="00000000">
            <w:r>
              <w:rPr>
                <w:b/>
              </w:rPr>
              <w:t>Données complémentaires</w:t>
            </w:r>
          </w:p>
        </w:tc>
      </w:tr>
      <w:tr w:rsidR="00DB2B68" w14:paraId="38620FD1" w14:textId="77777777">
        <w:tc>
          <w:tcPr>
            <w:tcW w:w="1500" w:type="dxa"/>
            <w:noWrap/>
          </w:tcPr>
          <w:p w14:paraId="547DFA37" w14:textId="77777777" w:rsidR="00DB2B68" w:rsidRDefault="00000000">
            <w:pPr>
              <w:jc w:val="center"/>
            </w:pPr>
            <w:r>
              <w:rPr>
                <w:rStyle w:val="optioncarChar"/>
              </w:rPr>
              <w:t>C25/30 / C30/37 / C35/45 / C45/55 / C50/60 / C55/67 / C60/75 / C70/85 / C80/95 / C90/105</w:t>
            </w:r>
          </w:p>
        </w:tc>
        <w:tc>
          <w:tcPr>
            <w:tcW w:w="1500" w:type="dxa"/>
            <w:noWrap/>
          </w:tcPr>
          <w:p w14:paraId="7FF4F701" w14:textId="77777777" w:rsidR="00DB2B68" w:rsidRDefault="00000000">
            <w:pPr>
              <w:jc w:val="center"/>
            </w:pPr>
            <w:r>
              <w:t>Béton armé</w:t>
            </w:r>
          </w:p>
          <w:p w14:paraId="73B4D832" w14:textId="77777777" w:rsidR="00DB2B68" w:rsidRDefault="00DB2B68"/>
        </w:tc>
        <w:tc>
          <w:tcPr>
            <w:tcW w:w="1500" w:type="dxa"/>
            <w:noWrap/>
          </w:tcPr>
          <w:p w14:paraId="7BD6F9A9" w14:textId="77777777" w:rsidR="00DB2B68" w:rsidRDefault="00000000">
            <w:pPr>
              <w:jc w:val="center"/>
            </w:pPr>
            <w:r>
              <w:rPr>
                <w:rStyle w:val="optioncarChar"/>
              </w:rPr>
              <w:t>E0 / EI / EE1 / EE2 / EE3 / EE4 / ES1 / ES2 / ES3 / ES4 / EA1+*** / EA2+***/ EA3+***</w:t>
            </w:r>
          </w:p>
        </w:tc>
        <w:tc>
          <w:tcPr>
            <w:tcW w:w="1500" w:type="dxa"/>
            <w:noWrap/>
          </w:tcPr>
          <w:p w14:paraId="0134C036" w14:textId="77777777" w:rsidR="00DB2B68" w:rsidRDefault="00000000">
            <w:pPr>
              <w:jc w:val="center"/>
            </w:pPr>
            <w:r>
              <w:t>au choix de l'entrepreneur :</w:t>
            </w:r>
          </w:p>
          <w:p w14:paraId="5FBE75D0" w14:textId="77777777" w:rsidR="00DB2B68" w:rsidRDefault="00000000">
            <w:pPr>
              <w:jc w:val="center"/>
            </w:pPr>
            <w:r>
              <w:rPr>
                <w:rStyle w:val="optioncarChar"/>
              </w:rPr>
              <w:t>S3 / S4 / S5</w:t>
            </w:r>
          </w:p>
          <w:p w14:paraId="28BA8E1F" w14:textId="77777777" w:rsidR="00DB2B68" w:rsidRDefault="00000000">
            <w:pPr>
              <w:jc w:val="center"/>
            </w:pPr>
            <w:r>
              <w:rPr>
                <w:rStyle w:val="optioncarChar"/>
              </w:rPr>
              <w:t>F3 / F4 / F5 / F6</w:t>
            </w:r>
            <w:r>
              <w:br/>
            </w:r>
          </w:p>
        </w:tc>
        <w:tc>
          <w:tcPr>
            <w:tcW w:w="1500" w:type="dxa"/>
            <w:noWrap/>
          </w:tcPr>
          <w:p w14:paraId="17EB0D3C" w14:textId="77777777" w:rsidR="00DB2B68" w:rsidRDefault="00000000">
            <w:pPr>
              <w:jc w:val="center"/>
            </w:pPr>
            <w:r>
              <w:t>au choix de l'entrepreneur :</w:t>
            </w:r>
          </w:p>
          <w:p w14:paraId="2F6785B3" w14:textId="77777777" w:rsidR="00DB2B68" w:rsidRDefault="00000000">
            <w:pPr>
              <w:jc w:val="center"/>
            </w:pPr>
            <w:r>
              <w:rPr>
                <w:rStyle w:val="optioncarChar"/>
              </w:rPr>
              <w:t>6 / 8 / 10 / 11 / 12 / 14 / 16 / 20 / 22 / 32</w:t>
            </w:r>
            <w:r>
              <w:t xml:space="preserve"> mm</w:t>
            </w:r>
          </w:p>
        </w:tc>
        <w:tc>
          <w:tcPr>
            <w:tcW w:w="1500" w:type="dxa"/>
            <w:noWrap/>
          </w:tcPr>
          <w:p w14:paraId="3180E1C5" w14:textId="77777777" w:rsidR="00DB2B68" w:rsidRDefault="00000000">
            <w:pPr>
              <w:jc w:val="center"/>
            </w:pPr>
            <w:r>
              <w:rPr>
                <w:rStyle w:val="optioncarChar"/>
              </w:rPr>
              <w:t>***</w:t>
            </w:r>
          </w:p>
        </w:tc>
      </w:tr>
    </w:tbl>
    <w:p w14:paraId="2505A92F" w14:textId="77777777" w:rsidR="00DB2B68" w:rsidRDefault="00DB2B68"/>
    <w:p w14:paraId="653824E6"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5EC6791" w14:textId="77777777" w:rsidR="00DB2B68" w:rsidRDefault="00000000">
      <w:pPr>
        <w:pStyle w:val="Author-eListParagraph"/>
        <w:numPr>
          <w:ilvl w:val="0"/>
          <w:numId w:val="552"/>
        </w:numPr>
      </w:pPr>
      <w:r>
        <w:t xml:space="preserve">Classe de viscosité apparente : </w:t>
      </w:r>
      <w:r>
        <w:rPr>
          <w:rStyle w:val="optioncarChar"/>
        </w:rPr>
        <w:t>VS1 / VS2</w:t>
      </w:r>
      <w:r>
        <w:t xml:space="preserve"> (selon la [NBN EN 12350-8] )</w:t>
      </w:r>
    </w:p>
    <w:p w14:paraId="494E019D" w14:textId="77777777" w:rsidR="00DB2B68" w:rsidRDefault="00000000">
      <w:pPr>
        <w:pStyle w:val="Author-eListParagraph"/>
        <w:numPr>
          <w:ilvl w:val="0"/>
          <w:numId w:val="55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0A0B901" w14:textId="77777777" w:rsidR="00DB2B68" w:rsidRDefault="00000000">
      <w:pPr>
        <w:pStyle w:val="Author-eListParagraph"/>
        <w:numPr>
          <w:ilvl w:val="0"/>
          <w:numId w:val="55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0E63474" w14:textId="77777777" w:rsidR="00DB2B68" w:rsidRDefault="00000000">
      <w:pPr>
        <w:pStyle w:val="Author-eListParagraph"/>
        <w:numPr>
          <w:ilvl w:val="0"/>
          <w:numId w:val="553"/>
        </w:numPr>
      </w:pPr>
      <w:r>
        <w:t xml:space="preserve">Les armatures de la couche de compression se composent au moins d'un treillis soudé, nuance d'acier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150 x 150 x 6 x 6 </w:t>
      </w:r>
      <w:r>
        <w:t>(par défaut) </w:t>
      </w:r>
      <w:r>
        <w:rPr>
          <w:rStyle w:val="optioncarChar"/>
        </w:rPr>
        <w:t>/ ***x***x***x***</w:t>
      </w:r>
      <w:r>
        <w:t xml:space="preserve"> mm. Les armatures supplémentaires sont des barres d'acier de qualité  BE 500 S.</w:t>
      </w:r>
    </w:p>
    <w:p w14:paraId="5A771EDB" w14:textId="77777777" w:rsidR="00DB2B68" w:rsidRDefault="00000000">
      <w:pPr>
        <w:pStyle w:val="pheading"/>
      </w:pPr>
      <w:r>
        <w:t>- Prescriptions complémentaires</w:t>
      </w:r>
    </w:p>
    <w:p w14:paraId="26E793CC" w14:textId="77777777" w:rsidR="00DB2B68" w:rsidRDefault="00000000">
      <w:r>
        <w:t xml:space="preserve">Résistance au feu : pour les éléments porteurs et structurels sans fonction séparant </w:t>
      </w:r>
      <w:r>
        <w:rPr>
          <w:rStyle w:val="optioncarChar"/>
        </w:rPr>
        <w:t>R15 / R30</w:t>
      </w:r>
      <w:r>
        <w:t xml:space="preserve"> (par défaut) </w:t>
      </w:r>
      <w:r>
        <w:rPr>
          <w:rStyle w:val="optioncarChar"/>
        </w:rPr>
        <w:t>/ R60 / R120 / R *** / *** </w:t>
      </w:r>
      <w:r>
        <w:t xml:space="preserve">et pour les éléments porteurs et structurels avec fonction séparant </w:t>
      </w:r>
      <w:r>
        <w:rPr>
          <w:rStyle w:val="optioncarChar"/>
        </w:rPr>
        <w:t xml:space="preserve">REI 30 </w:t>
      </w:r>
      <w:r>
        <w:t>(par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1D1DC397" w14:textId="77777777" w:rsidR="00DB2B68" w:rsidRDefault="00000000">
      <w:pPr>
        <w:pStyle w:val="pheading"/>
      </w:pPr>
      <w:r>
        <w:t>EXÉCUTION / MISE EN ŒUVRE</w:t>
      </w:r>
    </w:p>
    <w:p w14:paraId="19E54077" w14:textId="77777777" w:rsidR="00DB2B68" w:rsidRDefault="00000000">
      <w:pPr>
        <w:pStyle w:val="pheading"/>
      </w:pPr>
      <w:r>
        <w:t>- Prescriptions générales</w:t>
      </w:r>
    </w:p>
    <w:p w14:paraId="0AE6C916" w14:textId="77777777" w:rsidR="00DB2B68" w:rsidRDefault="00000000">
      <w:r>
        <w:t>La face supérieure du plancher correspond aux cotes de niveau et à l'épaisseur indiquées sur les plans d'architecture.</w:t>
      </w:r>
      <w:r>
        <w:br/>
        <w:t xml:space="preserve">L'écartement d'axe en axe entre les poutrelles est de maximum </w:t>
      </w:r>
      <w:r>
        <w:rPr>
          <w:rStyle w:val="optioncarChar"/>
        </w:rPr>
        <w:t>30 / 60 </w:t>
      </w:r>
      <w:r>
        <w:t>(par défaut)</w:t>
      </w:r>
      <w:r>
        <w:rPr>
          <w:rStyle w:val="optioncarChar"/>
        </w:rPr>
        <w:t xml:space="preserve"> / ***</w:t>
      </w:r>
      <w:r>
        <w:t xml:space="preserve"> cm.</w:t>
      </w:r>
    </w:p>
    <w:p w14:paraId="52BCF8C7" w14:textId="77777777" w:rsidR="00DB2B68" w:rsidRDefault="00000000">
      <w:pPr>
        <w:pStyle w:val="pheading"/>
      </w:pPr>
      <w:r>
        <w:t>MESURAGE</w:t>
      </w:r>
    </w:p>
    <w:p w14:paraId="36A0D571" w14:textId="77777777" w:rsidR="00DB2B68" w:rsidRDefault="00000000">
      <w:r>
        <w:t>Conformément à la nature du plancher, aux indications spécifiques dans le cahier spécial des charges et/ou le métré récapitulatif, le mesurage doit être conçu comme suit :</w:t>
      </w:r>
    </w:p>
    <w:p w14:paraId="53292026" w14:textId="77777777" w:rsidR="00DB2B68" w:rsidRDefault="00000000">
      <w:pPr>
        <w:pStyle w:val="pheading"/>
      </w:pPr>
      <w:r>
        <w:lastRenderedPageBreak/>
        <w:t>- unité de mesure:</w:t>
      </w:r>
    </w:p>
    <w:p w14:paraId="6BC3324F" w14:textId="77777777" w:rsidR="00DB2B68" w:rsidRDefault="00000000">
      <w:r>
        <w:rPr>
          <w:b/>
        </w:rPr>
        <w:t xml:space="preserve">Choix opéré : </w:t>
      </w:r>
      <w:r>
        <w:rPr>
          <w:rStyle w:val="optioncarChar"/>
          <w:b/>
        </w:rPr>
        <w:t xml:space="preserve">OPTION 1 </w:t>
      </w:r>
      <w:r>
        <w:t>(par défaut)</w:t>
      </w:r>
      <w:r>
        <w:rPr>
          <w:rStyle w:val="optioncarChar"/>
          <w:b/>
        </w:rPr>
        <w:t xml:space="preserve"> / OPTION 1bis / OPTION 2 / OPTION 3</w:t>
      </w:r>
    </w:p>
    <w:p w14:paraId="3A6DFF1B" w14:textId="77777777" w:rsidR="00DB2B68" w:rsidRDefault="0000000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28E072C5" w14:textId="77777777" w:rsidR="00DB2B68" w:rsidRDefault="00000000">
      <w:r>
        <w:t>***</w:t>
      </w:r>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459FBFBD" w14:textId="77777777" w:rsidR="00DB2B68" w:rsidRDefault="00000000">
      <w:r>
        <w:t>***</w:t>
      </w:r>
      <w:r>
        <w:rPr>
          <w:b/>
        </w:rPr>
        <w:t>OPTION 2:</w:t>
      </w:r>
    </w:p>
    <w:p w14:paraId="1C8B9D23" w14:textId="77777777" w:rsidR="00DB2B68" w:rsidRDefault="00000000">
      <w:pPr>
        <w:pStyle w:val="Author-eListParagraph"/>
        <w:numPr>
          <w:ilvl w:val="0"/>
          <w:numId w:val="554"/>
        </w:numPr>
      </w:pPr>
      <w:r>
        <w:t>m³ pour le béton</w:t>
      </w:r>
    </w:p>
    <w:p w14:paraId="33181BA3" w14:textId="77777777" w:rsidR="00DB2B68" w:rsidRDefault="00000000">
      <w:pPr>
        <w:pStyle w:val="Author-eListParagraph"/>
        <w:numPr>
          <w:ilvl w:val="0"/>
          <w:numId w:val="554"/>
        </w:numPr>
      </w:pPr>
      <w:r>
        <w:t>kg pour les armatures</w:t>
      </w:r>
    </w:p>
    <w:p w14:paraId="3EE9007A" w14:textId="77777777" w:rsidR="00DB2B68" w:rsidRDefault="00000000">
      <w:pPr>
        <w:pStyle w:val="Author-eListParagraph"/>
        <w:numPr>
          <w:ilvl w:val="0"/>
          <w:numId w:val="554"/>
        </w:numPr>
      </w:pPr>
      <w:r>
        <w:t>Tous les autres éléments, travaux et fournitures doivent être compris dans les prix unitaires respectifs pour les mesurages précités.</w:t>
      </w:r>
    </w:p>
    <w:p w14:paraId="0BC40E02" w14:textId="77777777" w:rsidR="00DB2B68" w:rsidRDefault="00000000">
      <w:r>
        <w:t>***</w:t>
      </w:r>
      <w:r>
        <w:rPr>
          <w:b/>
        </w:rPr>
        <w:t xml:space="preserve">OPTION 3: </w:t>
      </w:r>
    </w:p>
    <w:p w14:paraId="7B5A135A" w14:textId="77777777" w:rsidR="00DB2B68" w:rsidRDefault="00000000">
      <w:pPr>
        <w:pStyle w:val="Author-eListParagraph"/>
        <w:numPr>
          <w:ilvl w:val="0"/>
          <w:numId w:val="555"/>
        </w:numPr>
      </w:pPr>
      <w:r>
        <w:t>m³ pour le béton de remplissage</w:t>
      </w:r>
    </w:p>
    <w:p w14:paraId="49A55F7A" w14:textId="77777777" w:rsidR="00DB2B68" w:rsidRDefault="00000000">
      <w:pPr>
        <w:pStyle w:val="Author-eListParagraph"/>
        <w:numPr>
          <w:ilvl w:val="0"/>
          <w:numId w:val="555"/>
        </w:numPr>
      </w:pPr>
      <w:r>
        <w:t>m³ pour la couche de compression béton (en mentionnant l'épaisseur...)</w:t>
      </w:r>
    </w:p>
    <w:p w14:paraId="684CA7DB" w14:textId="77777777" w:rsidR="00DB2B68" w:rsidRDefault="00000000">
      <w:pPr>
        <w:pStyle w:val="Author-eListParagraph"/>
        <w:numPr>
          <w:ilvl w:val="0"/>
          <w:numId w:val="555"/>
        </w:numPr>
      </w:pPr>
      <w:r>
        <w:t>kg pour les armatures supplémentaires</w:t>
      </w:r>
    </w:p>
    <w:p w14:paraId="5FD062E9" w14:textId="77777777" w:rsidR="00DB2B68" w:rsidRDefault="00000000">
      <w:pPr>
        <w:pStyle w:val="Author-eListParagraph"/>
        <w:numPr>
          <w:ilvl w:val="0"/>
          <w:numId w:val="555"/>
        </w:numPr>
      </w:pPr>
      <w:r>
        <w:t>Pièces divergentes et pièces spéciales : à la pièce (selon les dimensions identiques ou indications standards).</w:t>
      </w:r>
    </w:p>
    <w:p w14:paraId="586F6321"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443AC4B3" w14:textId="77777777" w:rsidR="00DB2B68" w:rsidRDefault="00000000">
      <w:pPr>
        <w:pStyle w:val="pheading"/>
      </w:pPr>
      <w:r>
        <w:t>- code de mesurage:</w:t>
      </w:r>
    </w:p>
    <w:p w14:paraId="1D98ED75" w14:textId="77777777" w:rsidR="00DB2B68"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0EDA6099" w14:textId="77777777" w:rsidR="00DB2B68" w:rsidRDefault="00000000">
      <w:pPr>
        <w:pStyle w:val="pheading"/>
      </w:pPr>
      <w:r>
        <w:t>- nature du marché:</w:t>
      </w:r>
    </w:p>
    <w:p w14:paraId="6AB87ECF" w14:textId="77777777" w:rsidR="00DB2B68" w:rsidRDefault="00000000">
      <w:r>
        <w:t>QF</w:t>
      </w:r>
    </w:p>
    <w:p w14:paraId="42E5B200" w14:textId="77777777" w:rsidR="00DB2B68" w:rsidRDefault="00000000">
      <w:pPr>
        <w:pStyle w:val="Author-eSectionHeading6Numberless"/>
      </w:pPr>
      <w:bookmarkStart w:id="793" w:name="_Toc220495849"/>
      <w:r>
        <w:t>22.22.1c Planchers à poutrelles en béton et entrevous en polystyrène CCTB 01.12</w:t>
      </w:r>
      <w:bookmarkEnd w:id="793"/>
    </w:p>
    <w:p w14:paraId="00EA8BEF" w14:textId="77777777" w:rsidR="00DB2B68" w:rsidRDefault="00000000">
      <w:pPr>
        <w:pStyle w:val="pheading"/>
      </w:pPr>
      <w:bookmarkStart w:id="794" w:name="684"/>
      <w:bookmarkEnd w:id="794"/>
      <w:r>
        <w:t>MATÉRIAUX</w:t>
      </w:r>
    </w:p>
    <w:p w14:paraId="410712CF" w14:textId="77777777" w:rsidR="00DB2B68" w:rsidRDefault="00000000">
      <w:pPr>
        <w:pStyle w:val="pheading"/>
      </w:pPr>
      <w:r>
        <w:t>- Caractéristiques générales</w:t>
      </w:r>
    </w:p>
    <w:p w14:paraId="476977E0" w14:textId="77777777" w:rsidR="00DB2B68" w:rsidRDefault="00000000">
      <w:r>
        <w:t>Système conforme [NBN EN 15037-1],[NBN B 21-616] et [NBN EN 15037-4+A1].</w:t>
      </w:r>
      <w:r>
        <w:br/>
        <w:t>Les entrevous sont fabriqués en matériaux légers, suffisamment rigides pour résister aux déformations pendant le bétonnage et le durcissement. Ils ne peuvent pas contenir de matériaux qui risquent d'être attaqués par les insectes ou les micro-organismes. </w:t>
      </w:r>
    </w:p>
    <w:p w14:paraId="3428A82A" w14:textId="77777777" w:rsidR="00DB2B68" w:rsidRDefault="00000000">
      <w:r>
        <w:rPr>
          <w:u w:val="single"/>
        </w:rPr>
        <w:t>Spécifications pour les entrevous</w:t>
      </w:r>
    </w:p>
    <w:p w14:paraId="16C81A4B" w14:textId="77777777" w:rsidR="00DB2B68" w:rsidRDefault="00000000">
      <w:pPr>
        <w:pStyle w:val="Author-eListParagraph"/>
        <w:numPr>
          <w:ilvl w:val="0"/>
          <w:numId w:val="556"/>
        </w:numPr>
      </w:pPr>
      <w:r>
        <w:t xml:space="preserve">Type : </w:t>
      </w:r>
      <w:r>
        <w:rPr>
          <w:rStyle w:val="optioncarChar"/>
        </w:rPr>
        <w:t>polystyrène expansé (EPS) de qualité autoextinguible SE (classe A1) </w:t>
      </w:r>
      <w:r>
        <w:t xml:space="preserve">(par défaut) </w:t>
      </w:r>
      <w:r>
        <w:rPr>
          <w:rStyle w:val="optioncarChar"/>
        </w:rPr>
        <w:t>/ ***</w:t>
      </w:r>
    </w:p>
    <w:p w14:paraId="15A56A38" w14:textId="77777777" w:rsidR="00DB2B68" w:rsidRDefault="00000000">
      <w:pPr>
        <w:pStyle w:val="Author-eListParagraph"/>
        <w:numPr>
          <w:ilvl w:val="0"/>
          <w:numId w:val="556"/>
        </w:numPr>
      </w:pPr>
      <w:r>
        <w:t>Épaisseur :</w:t>
      </w:r>
      <w:r>
        <w:rPr>
          <w:rStyle w:val="optioncarChar"/>
        </w:rPr>
        <w:t> 8 / 12 / 16 / 20 / 25 / *** </w:t>
      </w:r>
      <w:r>
        <w:t>cm.</w:t>
      </w:r>
    </w:p>
    <w:p w14:paraId="05E897F3" w14:textId="77777777" w:rsidR="00DB2B68" w:rsidRDefault="00000000">
      <w:pPr>
        <w:pStyle w:val="Author-eListParagraph"/>
        <w:numPr>
          <w:ilvl w:val="0"/>
          <w:numId w:val="556"/>
        </w:numPr>
      </w:pPr>
      <w:r>
        <w:t xml:space="preserve">Mode de pose : </w:t>
      </w:r>
      <w:r>
        <w:rPr>
          <w:rStyle w:val="optioncarChar"/>
        </w:rPr>
        <w:t xml:space="preserve">jointive </w:t>
      </w:r>
      <w:r>
        <w:t>(par défaut) </w:t>
      </w:r>
      <w:r>
        <w:rPr>
          <w:rStyle w:val="optioncarChar"/>
        </w:rPr>
        <w:t>/ avec chevauchement / ***</w:t>
      </w:r>
    </w:p>
    <w:p w14:paraId="471A0232" w14:textId="77777777" w:rsidR="00DB2B68" w:rsidRDefault="00000000">
      <w:pPr>
        <w:pStyle w:val="Author-eListParagraph"/>
        <w:numPr>
          <w:ilvl w:val="0"/>
          <w:numId w:val="556"/>
        </w:numPr>
      </w:pPr>
      <w:r>
        <w:t xml:space="preserve">Résistance thermique du plancher : </w:t>
      </w:r>
      <w:r>
        <w:rPr>
          <w:rStyle w:val="optioncarChar"/>
        </w:rPr>
        <w:t>au moins 1</w:t>
      </w:r>
      <w:r>
        <w:t xml:space="preserve"> (par défaut)</w:t>
      </w:r>
      <w:r>
        <w:rPr>
          <w:rStyle w:val="optioncarChar"/>
        </w:rPr>
        <w:t> / ***</w:t>
      </w:r>
      <w:r>
        <w:t xml:space="preserve"> m²K/W.</w:t>
      </w:r>
    </w:p>
    <w:p w14:paraId="4BD3057D" w14:textId="77777777" w:rsidR="00DB2B68" w:rsidRDefault="00000000">
      <w:pPr>
        <w:pStyle w:val="Author-eListParagraph"/>
        <w:numPr>
          <w:ilvl w:val="0"/>
          <w:numId w:val="556"/>
        </w:numPr>
      </w:pPr>
      <w:r>
        <w:t xml:space="preserve">La qualité du béton selon la [NBN EN 206:2013+A2] et [NBN B 15-001] est adaptée à l'épaisseur de la couche de compression (voir également le titre </w:t>
      </w:r>
      <w:hyperlink w:anchor="87" w:history="1">
        <w:r>
          <w:rPr>
            <w:color w:val="0000EE"/>
          </w:rPr>
          <w:t>22 Superstructures en béton</w:t>
        </w:r>
      </w:hyperlink>
      <w:r>
        <w:t>)</w:t>
      </w:r>
    </w:p>
    <w:p w14:paraId="798677A1" w14:textId="77777777" w:rsidR="00DB2B68" w:rsidRDefault="00000000">
      <w:r>
        <w:rPr>
          <w:u w:val="single"/>
        </w:rPr>
        <w:lastRenderedPageBreak/>
        <w:t>Spécifications - couche de compression</w:t>
      </w:r>
    </w:p>
    <w:p w14:paraId="36A858EB" w14:textId="77777777" w:rsidR="00DB2B68" w:rsidRDefault="00000000">
      <w:pPr>
        <w:pStyle w:val="Author-eListParagraph"/>
        <w:numPr>
          <w:ilvl w:val="0"/>
          <w:numId w:val="557"/>
        </w:numPr>
      </w:pPr>
      <w:r>
        <w:t xml:space="preserve">Épaisseur de la couche de compression : au moins </w:t>
      </w:r>
      <w:r>
        <w:rPr>
          <w:rStyle w:val="optioncarChar"/>
        </w:rPr>
        <w:t>3 / 4</w:t>
      </w:r>
      <w:r>
        <w:t xml:space="preserve"> (par défaut) </w:t>
      </w:r>
      <w:r>
        <w:rPr>
          <w:rStyle w:val="optioncarChar"/>
        </w:rPr>
        <w:t>/ 5</w:t>
      </w:r>
      <w:r>
        <w:t xml:space="preserve"> cm au-dessus des entrevous.</w:t>
      </w:r>
    </w:p>
    <w:p w14:paraId="73680BE8" w14:textId="77777777" w:rsidR="00DB2B68" w:rsidRDefault="00000000">
      <w:pPr>
        <w:pStyle w:val="Author-eListParagraph"/>
        <w:numPr>
          <w:ilvl w:val="0"/>
          <w:numId w:val="557"/>
        </w:numPr>
      </w:pPr>
      <w:r>
        <w:t xml:space="preserve">La qualité du béton selon la [NBN EN 206:2013+A2] et [NBN B 15-001] sera adaptée à l'épaisseur de la couche de compression (voir également le titre </w:t>
      </w:r>
      <w:hyperlink w:anchor="87" w:history="1">
        <w:r>
          <w:rPr>
            <w:color w:val="0000EE"/>
          </w:rP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B2B68" w14:paraId="2F7F1B08" w14:textId="77777777">
        <w:tc>
          <w:tcPr>
            <w:tcW w:w="1500" w:type="dxa"/>
            <w:noWrap/>
          </w:tcPr>
          <w:p w14:paraId="799DA9A1" w14:textId="77777777" w:rsidR="00DB2B68" w:rsidRDefault="00000000">
            <w:pPr>
              <w:jc w:val="center"/>
            </w:pPr>
            <w:r>
              <w:rPr>
                <w:b/>
              </w:rPr>
              <w:t>A</w:t>
            </w:r>
          </w:p>
        </w:tc>
        <w:tc>
          <w:tcPr>
            <w:tcW w:w="1500" w:type="dxa"/>
            <w:noWrap/>
          </w:tcPr>
          <w:p w14:paraId="30818A7D" w14:textId="77777777" w:rsidR="00DB2B68" w:rsidRDefault="00000000">
            <w:pPr>
              <w:jc w:val="center"/>
            </w:pPr>
            <w:r>
              <w:rPr>
                <w:b/>
              </w:rPr>
              <w:t>B1</w:t>
            </w:r>
          </w:p>
        </w:tc>
        <w:tc>
          <w:tcPr>
            <w:tcW w:w="1500" w:type="dxa"/>
            <w:noWrap/>
          </w:tcPr>
          <w:p w14:paraId="74AAA0C5" w14:textId="77777777" w:rsidR="00DB2B68" w:rsidRDefault="00000000">
            <w:pPr>
              <w:jc w:val="center"/>
            </w:pPr>
            <w:r>
              <w:rPr>
                <w:b/>
              </w:rPr>
              <w:t>B2</w:t>
            </w:r>
          </w:p>
        </w:tc>
        <w:tc>
          <w:tcPr>
            <w:tcW w:w="1500" w:type="dxa"/>
            <w:noWrap/>
          </w:tcPr>
          <w:p w14:paraId="50E68AB8" w14:textId="77777777" w:rsidR="00DB2B68" w:rsidRDefault="00000000">
            <w:pPr>
              <w:jc w:val="center"/>
            </w:pPr>
            <w:r>
              <w:rPr>
                <w:b/>
              </w:rPr>
              <w:t>C</w:t>
            </w:r>
          </w:p>
        </w:tc>
        <w:tc>
          <w:tcPr>
            <w:tcW w:w="1500" w:type="dxa"/>
            <w:noWrap/>
          </w:tcPr>
          <w:p w14:paraId="37649713" w14:textId="77777777" w:rsidR="00DB2B68" w:rsidRDefault="00000000">
            <w:pPr>
              <w:jc w:val="center"/>
            </w:pPr>
            <w:r>
              <w:rPr>
                <w:b/>
              </w:rPr>
              <w:t>D</w:t>
            </w:r>
          </w:p>
        </w:tc>
        <w:tc>
          <w:tcPr>
            <w:tcW w:w="1500" w:type="dxa"/>
            <w:noWrap/>
          </w:tcPr>
          <w:p w14:paraId="290492C3" w14:textId="77777777" w:rsidR="00DB2B68" w:rsidRDefault="00000000">
            <w:pPr>
              <w:jc w:val="center"/>
            </w:pPr>
            <w:r>
              <w:rPr>
                <w:b/>
              </w:rPr>
              <w:t>E</w:t>
            </w:r>
          </w:p>
        </w:tc>
      </w:tr>
      <w:tr w:rsidR="00DB2B68" w14:paraId="3ADE5D5F" w14:textId="77777777">
        <w:tc>
          <w:tcPr>
            <w:tcW w:w="1500" w:type="dxa"/>
            <w:noWrap/>
          </w:tcPr>
          <w:p w14:paraId="3A3CD3BB" w14:textId="77777777" w:rsidR="00DB2B68" w:rsidRDefault="00000000">
            <w:r>
              <w:rPr>
                <w:b/>
              </w:rPr>
              <w:t>Classe de résistance</w:t>
            </w:r>
          </w:p>
        </w:tc>
        <w:tc>
          <w:tcPr>
            <w:tcW w:w="1500" w:type="dxa"/>
            <w:noWrap/>
          </w:tcPr>
          <w:p w14:paraId="4A936DE5" w14:textId="77777777" w:rsidR="00DB2B68" w:rsidRDefault="00000000">
            <w:r>
              <w:rPr>
                <w:b/>
              </w:rPr>
              <w:t>Domaine d'application</w:t>
            </w:r>
          </w:p>
        </w:tc>
        <w:tc>
          <w:tcPr>
            <w:tcW w:w="1500" w:type="dxa"/>
            <w:noWrap/>
          </w:tcPr>
          <w:p w14:paraId="14EBD68A" w14:textId="77777777" w:rsidR="00DB2B68" w:rsidRDefault="00000000">
            <w:r>
              <w:rPr>
                <w:b/>
              </w:rPr>
              <w:t>Classe d'environnement</w:t>
            </w:r>
          </w:p>
        </w:tc>
        <w:tc>
          <w:tcPr>
            <w:tcW w:w="1500" w:type="dxa"/>
            <w:noWrap/>
          </w:tcPr>
          <w:p w14:paraId="369238A3" w14:textId="77777777" w:rsidR="00DB2B68" w:rsidRDefault="00000000">
            <w:r>
              <w:rPr>
                <w:b/>
              </w:rPr>
              <w:t>Classe de consistance</w:t>
            </w:r>
          </w:p>
        </w:tc>
        <w:tc>
          <w:tcPr>
            <w:tcW w:w="1500" w:type="dxa"/>
            <w:noWrap/>
          </w:tcPr>
          <w:p w14:paraId="22938A27" w14:textId="77777777" w:rsidR="00DB2B68" w:rsidRDefault="00000000">
            <w:r>
              <w:rPr>
                <w:b/>
              </w:rPr>
              <w:t>Granulométrie maximale</w:t>
            </w:r>
          </w:p>
        </w:tc>
        <w:tc>
          <w:tcPr>
            <w:tcW w:w="1500" w:type="dxa"/>
            <w:noWrap/>
          </w:tcPr>
          <w:p w14:paraId="1127B1D8" w14:textId="77777777" w:rsidR="00DB2B68" w:rsidRDefault="00000000">
            <w:r>
              <w:rPr>
                <w:b/>
              </w:rPr>
              <w:t>Données complémentaires</w:t>
            </w:r>
          </w:p>
        </w:tc>
      </w:tr>
      <w:tr w:rsidR="00DB2B68" w14:paraId="603175DF" w14:textId="77777777">
        <w:tc>
          <w:tcPr>
            <w:tcW w:w="1500" w:type="dxa"/>
            <w:noWrap/>
          </w:tcPr>
          <w:p w14:paraId="7FB0DE4C" w14:textId="77777777" w:rsidR="00DB2B68" w:rsidRDefault="00000000">
            <w:pPr>
              <w:jc w:val="center"/>
            </w:pPr>
            <w:r>
              <w:rPr>
                <w:rStyle w:val="optioncarChar"/>
              </w:rPr>
              <w:t>C25/30 / C30/37 / C35/45 / C45/55 / C50/60 / C55/67 / C60/75 / C70/85 / C80/95 / C90/105</w:t>
            </w:r>
          </w:p>
        </w:tc>
        <w:tc>
          <w:tcPr>
            <w:tcW w:w="1500" w:type="dxa"/>
            <w:noWrap/>
          </w:tcPr>
          <w:p w14:paraId="3F4D132E" w14:textId="77777777" w:rsidR="00DB2B68" w:rsidRDefault="00000000">
            <w:pPr>
              <w:jc w:val="center"/>
            </w:pPr>
            <w:r>
              <w:t>Béton armé</w:t>
            </w:r>
          </w:p>
        </w:tc>
        <w:tc>
          <w:tcPr>
            <w:tcW w:w="1500" w:type="dxa"/>
            <w:noWrap/>
          </w:tcPr>
          <w:p w14:paraId="0AE59212" w14:textId="77777777" w:rsidR="00DB2B68" w:rsidRDefault="00000000">
            <w:pPr>
              <w:jc w:val="center"/>
            </w:pPr>
            <w:r>
              <w:rPr>
                <w:rStyle w:val="optioncarChar"/>
              </w:rPr>
              <w:t>E0 / EI / EE1 / EE2 / EE3 / EE4 / ES1 / ES2 / ES3 / ES4 / EA1+*** / EA2+*** / EA3+***</w:t>
            </w:r>
          </w:p>
        </w:tc>
        <w:tc>
          <w:tcPr>
            <w:tcW w:w="1500" w:type="dxa"/>
            <w:noWrap/>
          </w:tcPr>
          <w:p w14:paraId="24218585" w14:textId="77777777" w:rsidR="00DB2B68" w:rsidRDefault="00000000">
            <w:pPr>
              <w:jc w:val="center"/>
            </w:pPr>
            <w:r>
              <w:t xml:space="preserve">au choix de l'entrepreneur : </w:t>
            </w:r>
            <w:r>
              <w:rPr>
                <w:rStyle w:val="optioncarChar"/>
              </w:rPr>
              <w:t>S3 / S4 / S5F3 / F4 / F5 / F6</w:t>
            </w:r>
          </w:p>
        </w:tc>
        <w:tc>
          <w:tcPr>
            <w:tcW w:w="1500" w:type="dxa"/>
            <w:noWrap/>
          </w:tcPr>
          <w:p w14:paraId="350C1602" w14:textId="77777777" w:rsidR="00DB2B68" w:rsidRDefault="00000000">
            <w:pPr>
              <w:jc w:val="center"/>
            </w:pPr>
            <w:r>
              <w:t xml:space="preserve">au choix de l'entrepreneur : </w:t>
            </w:r>
            <w:r>
              <w:rPr>
                <w:rStyle w:val="optioncarChar"/>
              </w:rPr>
              <w:t>6 / 8 / 10 / 11 / 12 / 14 / 16 / 20 / 22 / 32</w:t>
            </w:r>
            <w:r>
              <w:t xml:space="preserve"> mm</w:t>
            </w:r>
          </w:p>
        </w:tc>
        <w:tc>
          <w:tcPr>
            <w:tcW w:w="1500" w:type="dxa"/>
            <w:noWrap/>
          </w:tcPr>
          <w:p w14:paraId="2BB52AA3" w14:textId="77777777" w:rsidR="00DB2B68" w:rsidRDefault="00000000">
            <w:pPr>
              <w:jc w:val="center"/>
            </w:pPr>
            <w:r>
              <w:rPr>
                <w:rStyle w:val="optioncarChar"/>
              </w:rPr>
              <w:t>***</w:t>
            </w:r>
          </w:p>
        </w:tc>
      </w:tr>
    </w:tbl>
    <w:p w14:paraId="6483D0DD" w14:textId="77777777" w:rsidR="00DB2B68" w:rsidRDefault="00000000">
      <w:r>
        <w:t> </w:t>
      </w:r>
    </w:p>
    <w:p w14:paraId="2FF09ADC"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r>
        <w:br/>
        <w:t>Données complémentaires propres au béton autoplaçant (E) :</w:t>
      </w:r>
    </w:p>
    <w:p w14:paraId="3C71A4F7" w14:textId="77777777" w:rsidR="00DB2B68" w:rsidRDefault="00000000">
      <w:pPr>
        <w:pStyle w:val="Author-eListParagraph"/>
        <w:numPr>
          <w:ilvl w:val="0"/>
          <w:numId w:val="558"/>
        </w:numPr>
      </w:pPr>
      <w:r>
        <w:t xml:space="preserve">Classe de viscosité apparente : </w:t>
      </w:r>
      <w:r>
        <w:rPr>
          <w:rStyle w:val="optioncarChar"/>
        </w:rPr>
        <w:t>VS1 / VS2</w:t>
      </w:r>
      <w:r>
        <w:t xml:space="preserve"> (selon la [NBN EN 12350-8])</w:t>
      </w:r>
    </w:p>
    <w:p w14:paraId="6ED276A9" w14:textId="77777777" w:rsidR="00DB2B68" w:rsidRDefault="00000000">
      <w:pPr>
        <w:pStyle w:val="Author-eListParagraph"/>
        <w:numPr>
          <w:ilvl w:val="0"/>
          <w:numId w:val="558"/>
        </w:numPr>
      </w:pPr>
      <w:r>
        <w:t xml:space="preserve">Aptitude à l’écoulement : </w:t>
      </w:r>
      <w:r>
        <w:rPr>
          <w:rStyle w:val="optioncarChar"/>
        </w:rPr>
        <w:t>PL1 / PL2</w:t>
      </w:r>
      <w:r>
        <w:t xml:space="preserve"> (selon la [NBN EN 12350-10]) ou </w:t>
      </w:r>
      <w:r>
        <w:rPr>
          <w:rStyle w:val="optioncarChar"/>
        </w:rPr>
        <w:t>PJ1 / PJ2</w:t>
      </w:r>
      <w:r>
        <w:t xml:space="preserve"> (selon la [NBN EN 12350-12])</w:t>
      </w:r>
    </w:p>
    <w:p w14:paraId="1B1F36EB" w14:textId="77777777" w:rsidR="00DB2B68" w:rsidRDefault="00000000">
      <w:pPr>
        <w:pStyle w:val="Author-eListParagraph"/>
        <w:numPr>
          <w:ilvl w:val="0"/>
          <w:numId w:val="558"/>
        </w:numPr>
      </w:pPr>
      <w:r>
        <w:t xml:space="preserve">Classe de résistance à la ségrégation : </w:t>
      </w:r>
      <w:r>
        <w:rPr>
          <w:rStyle w:val="optioncarChar"/>
        </w:rPr>
        <w:t>SR1 / SR2</w:t>
      </w:r>
      <w:r>
        <w:t xml:space="preserve"> (selon la [NBN EN 12350-11])</w:t>
      </w:r>
    </w:p>
    <w:p w14:paraId="178AA339" w14:textId="77777777" w:rsidR="00DB2B68" w:rsidRDefault="00DB2B68"/>
    <w:p w14:paraId="3CA490FB" w14:textId="77777777" w:rsidR="00DB2B68" w:rsidRDefault="00000000">
      <w:pPr>
        <w:pStyle w:val="Author-eListParagraph"/>
        <w:numPr>
          <w:ilvl w:val="0"/>
          <w:numId w:val="559"/>
        </w:numPr>
      </w:pPr>
      <w:r>
        <w:t xml:space="preserve">Les armatures de la couche de compression se composent au moins d'un treillis soudé, nuance d'acier </w:t>
      </w:r>
      <w:r>
        <w:rPr>
          <w:rStyle w:val="optioncarChar"/>
        </w:rPr>
        <w:t>DE 500 BS</w:t>
      </w:r>
      <w:r>
        <w:t xml:space="preserve"> (par défaut) </w:t>
      </w:r>
      <w:r>
        <w:rPr>
          <w:rStyle w:val="optioncarChar"/>
        </w:rPr>
        <w:t>/ BE 500 S</w:t>
      </w:r>
      <w:r>
        <w:t xml:space="preserve">, dimensions </w:t>
      </w:r>
      <w:r>
        <w:rPr>
          <w:rStyle w:val="optioncarChar"/>
        </w:rPr>
        <w:t>150 x 150 x 6 x 6</w:t>
      </w:r>
      <w:r>
        <w:t> (par défaut)</w:t>
      </w:r>
      <w:r>
        <w:rPr>
          <w:rStyle w:val="optioncarChar"/>
        </w:rPr>
        <w:t xml:space="preserve"> / ***x***x***x***</w:t>
      </w:r>
      <w:r>
        <w:t xml:space="preserve"> mm. Les armatures complémentaires sont des barres d'acier de qualité BE 500 S.</w:t>
      </w:r>
    </w:p>
    <w:p w14:paraId="105ACDC5" w14:textId="77777777" w:rsidR="00DB2B68" w:rsidRDefault="00000000">
      <w:pPr>
        <w:pStyle w:val="pheading"/>
      </w:pPr>
      <w:r>
        <w:t>- Prescriptions complémentaires</w:t>
      </w:r>
    </w:p>
    <w:p w14:paraId="0694B737" w14:textId="77777777" w:rsidR="00DB2B68" w:rsidRDefault="00000000">
      <w:r>
        <w:t xml:space="preserve">Résistance au feu :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REI 30</w:t>
      </w:r>
      <w:r>
        <w:t> (par défaut)</w:t>
      </w:r>
      <w:r>
        <w:rPr>
          <w:rStyle w:val="optioncarChar"/>
        </w:rPr>
        <w:t xml:space="preserve"> / REI 60 / REI 120 / REI ***/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124578BF" w14:textId="77777777" w:rsidR="00DB2B68" w:rsidRDefault="00000000">
      <w:pPr>
        <w:pStyle w:val="pheading"/>
      </w:pPr>
      <w:r>
        <w:t>EXÉCUTION / MISE EN ŒUVRE</w:t>
      </w:r>
    </w:p>
    <w:p w14:paraId="0E3600F8" w14:textId="77777777" w:rsidR="00DB2B68" w:rsidRDefault="00000000">
      <w:pPr>
        <w:pStyle w:val="pheading"/>
      </w:pPr>
      <w:r>
        <w:t>- Prescriptions générales</w:t>
      </w:r>
    </w:p>
    <w:p w14:paraId="48CFEBCE" w14:textId="77777777" w:rsidR="00DB2B68" w:rsidRDefault="00000000">
      <w:r>
        <w:t>La face supérieure du plancher doit correspondre aux cotes de niveau et à l'épaisseur indiquées sur les plans d'architecture.</w:t>
      </w:r>
      <w:r>
        <w:br/>
        <w:t xml:space="preserve">L'écartement d'axe en axe entre les poutrelles est de maximum </w:t>
      </w:r>
      <w:r>
        <w:rPr>
          <w:rStyle w:val="optioncarChar"/>
        </w:rPr>
        <w:t>30 / 60</w:t>
      </w:r>
      <w:r>
        <w:t xml:space="preserve"> (par défaut) </w:t>
      </w:r>
      <w:r>
        <w:rPr>
          <w:rStyle w:val="optioncarChar"/>
        </w:rPr>
        <w:t>/ ***</w:t>
      </w:r>
      <w:r>
        <w:t xml:space="preserve"> cm.</w:t>
      </w:r>
    </w:p>
    <w:p w14:paraId="6B962323" w14:textId="77777777" w:rsidR="00DB2B68" w:rsidRDefault="00000000">
      <w:pPr>
        <w:pStyle w:val="pheading"/>
      </w:pPr>
      <w:r>
        <w:t>MESURAGE</w:t>
      </w:r>
    </w:p>
    <w:p w14:paraId="79CEE5BB" w14:textId="77777777" w:rsidR="00DB2B68" w:rsidRDefault="00000000">
      <w:r>
        <w:t>Conformément à la nature du plancher, aux indications spécifiques dans le cahier spécial des charges et/ou le métré récapitulatif, le mesurage doit être conçu comme suit :</w:t>
      </w:r>
    </w:p>
    <w:p w14:paraId="1150260E" w14:textId="77777777" w:rsidR="00DB2B68" w:rsidRDefault="00000000">
      <w:pPr>
        <w:pStyle w:val="pheading"/>
      </w:pPr>
      <w:r>
        <w:lastRenderedPageBreak/>
        <w:t>- unité de mesure:</w:t>
      </w:r>
    </w:p>
    <w:p w14:paraId="4AD0A8F3" w14:textId="77777777" w:rsidR="00DB2B68" w:rsidRDefault="00000000">
      <w:r>
        <w:rPr>
          <w:b/>
        </w:rPr>
        <w:t>Choix opéré</w:t>
      </w:r>
      <w:r>
        <w:t xml:space="preserve"> : </w:t>
      </w:r>
      <w:r>
        <w:rPr>
          <w:rStyle w:val="optioncarChar"/>
        </w:rPr>
        <w:t>OPTION 1 (par défaut) / OPTION 1bis / OPTION 2 / OPTION 3</w:t>
      </w:r>
    </w:p>
    <w:p w14:paraId="41EE3F27" w14:textId="77777777" w:rsidR="00DB2B68" w:rsidRDefault="0000000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14:paraId="6BF9A2F1" w14:textId="77777777" w:rsidR="00DB2B68" w:rsidRDefault="00000000">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14:paraId="62ECE758" w14:textId="77777777" w:rsidR="00DB2B68" w:rsidRDefault="00000000">
      <w:r>
        <w:t>***</w:t>
      </w:r>
      <w:r>
        <w:rPr>
          <w:b/>
        </w:rPr>
        <w:t>OPTION 2:</w:t>
      </w:r>
    </w:p>
    <w:p w14:paraId="3573F51C" w14:textId="77777777" w:rsidR="00DB2B68" w:rsidRDefault="00000000">
      <w:pPr>
        <w:pStyle w:val="Author-eListParagraph"/>
        <w:numPr>
          <w:ilvl w:val="0"/>
          <w:numId w:val="560"/>
        </w:numPr>
      </w:pPr>
      <w:r>
        <w:t>m³ pour le béton</w:t>
      </w:r>
    </w:p>
    <w:p w14:paraId="3C8EFA5B" w14:textId="77777777" w:rsidR="00DB2B68" w:rsidRDefault="00000000">
      <w:pPr>
        <w:pStyle w:val="Author-eListParagraph"/>
        <w:numPr>
          <w:ilvl w:val="0"/>
          <w:numId w:val="560"/>
        </w:numPr>
      </w:pPr>
      <w:r>
        <w:t>kg pour les armatures</w:t>
      </w:r>
    </w:p>
    <w:p w14:paraId="54273DF7" w14:textId="77777777" w:rsidR="00DB2B68" w:rsidRDefault="00000000">
      <w:pPr>
        <w:pStyle w:val="Author-eListParagraph"/>
        <w:numPr>
          <w:ilvl w:val="0"/>
          <w:numId w:val="560"/>
        </w:numPr>
      </w:pPr>
      <w:r>
        <w:t>Tous les autres éléments, travaux et fournitures doivent être compris dans les prix unitaires respectifs pour les mesurages précités.</w:t>
      </w:r>
    </w:p>
    <w:p w14:paraId="0080FC75" w14:textId="77777777" w:rsidR="00DB2B68" w:rsidRDefault="00000000">
      <w:r>
        <w:t>***</w:t>
      </w:r>
      <w:r>
        <w:rPr>
          <w:b/>
        </w:rPr>
        <w:t xml:space="preserve">OPTION 3: </w:t>
      </w:r>
    </w:p>
    <w:p w14:paraId="6F61D22B" w14:textId="77777777" w:rsidR="00DB2B68" w:rsidRDefault="00000000">
      <w:pPr>
        <w:pStyle w:val="Author-eListParagraph"/>
        <w:numPr>
          <w:ilvl w:val="0"/>
          <w:numId w:val="561"/>
        </w:numPr>
      </w:pPr>
      <w:r>
        <w:t>m³ pour le béton de remplissage</w:t>
      </w:r>
    </w:p>
    <w:p w14:paraId="16C8A845" w14:textId="77777777" w:rsidR="00DB2B68" w:rsidRDefault="00000000">
      <w:pPr>
        <w:pStyle w:val="Author-eListParagraph"/>
        <w:numPr>
          <w:ilvl w:val="0"/>
          <w:numId w:val="561"/>
        </w:numPr>
      </w:pPr>
      <w:r>
        <w:t>m³ pour la couche de compression béton (en mentionnant l'épaisseur...)</w:t>
      </w:r>
    </w:p>
    <w:p w14:paraId="2AEC2C9E" w14:textId="77777777" w:rsidR="00DB2B68" w:rsidRDefault="00000000">
      <w:pPr>
        <w:pStyle w:val="Author-eListParagraph"/>
        <w:numPr>
          <w:ilvl w:val="0"/>
          <w:numId w:val="561"/>
        </w:numPr>
      </w:pPr>
      <w:r>
        <w:t>kg pour les armatures supplémentaires</w:t>
      </w:r>
    </w:p>
    <w:p w14:paraId="4178832A" w14:textId="77777777" w:rsidR="00DB2B68" w:rsidRDefault="00000000">
      <w:pPr>
        <w:pStyle w:val="Author-eListParagraph"/>
        <w:numPr>
          <w:ilvl w:val="0"/>
          <w:numId w:val="561"/>
        </w:numPr>
      </w:pPr>
      <w:r>
        <w:t>Pièces divergentes et pièces spéciales : à la pièce (selon les dimensions identiques ou indications standards).</w:t>
      </w:r>
    </w:p>
    <w:p w14:paraId="474CACF6" w14:textId="77777777" w:rsidR="00DB2B68"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639436E0" w14:textId="77777777" w:rsidR="00DB2B68" w:rsidRDefault="00000000">
      <w:pPr>
        <w:pStyle w:val="pheading"/>
      </w:pPr>
      <w:r>
        <w:t>- code de mesurage:</w:t>
      </w:r>
    </w:p>
    <w:p w14:paraId="480A2397" w14:textId="77777777" w:rsidR="00DB2B68"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48042721" w14:textId="77777777" w:rsidR="00DB2B68" w:rsidRDefault="00000000">
      <w:pPr>
        <w:pStyle w:val="pheading"/>
      </w:pPr>
      <w:r>
        <w:t>- nature du marché:</w:t>
      </w:r>
    </w:p>
    <w:p w14:paraId="625DFD92" w14:textId="77777777" w:rsidR="00DB2B68" w:rsidRDefault="00000000">
      <w:r>
        <w:t>QF</w:t>
      </w:r>
    </w:p>
    <w:p w14:paraId="4AD5A90C" w14:textId="77777777" w:rsidR="00DB2B68" w:rsidRDefault="00000000">
      <w:pPr>
        <w:pStyle w:val="Author-eSectionHeading6Numberless"/>
      </w:pPr>
      <w:bookmarkStart w:id="795" w:name="_Toc220495850"/>
      <w:r>
        <w:t>22.22.1d Planchers à poutrelles en béton et entrevous en fibres de bois agglomérées de ciment CCTB 01.04</w:t>
      </w:r>
      <w:bookmarkEnd w:id="795"/>
    </w:p>
    <w:p w14:paraId="01C3177E" w14:textId="77777777" w:rsidR="00DB2B68" w:rsidRDefault="00000000">
      <w:pPr>
        <w:pStyle w:val="Author-eSectionHeading6Numberless"/>
      </w:pPr>
      <w:bookmarkStart w:id="796" w:name="_Toc220495851"/>
      <w:r>
        <w:t>22.22.1e Planchers à poutrelles en béton et entrevous en copeaux de bois CCTB 01.04</w:t>
      </w:r>
      <w:bookmarkEnd w:id="796"/>
    </w:p>
    <w:p w14:paraId="3468DFFE" w14:textId="77777777" w:rsidR="00DB2B68" w:rsidRDefault="00000000">
      <w:pPr>
        <w:pStyle w:val="Author-eSectionHeading5Numberless"/>
      </w:pPr>
      <w:bookmarkStart w:id="797" w:name="_Toc220495852"/>
      <w:r>
        <w:t>22.22.2 Planchers mixtes en béton CCTB 01.02</w:t>
      </w:r>
      <w:bookmarkEnd w:id="797"/>
    </w:p>
    <w:p w14:paraId="3665D4FD" w14:textId="77777777" w:rsidR="00DB2B68" w:rsidRDefault="00000000">
      <w:pPr>
        <w:pStyle w:val="Author-eSectionHeading6Numberless"/>
      </w:pPr>
      <w:bookmarkStart w:id="798" w:name="_Toc220495853"/>
      <w:r>
        <w:t>22.22.2a Planchers mixtes en acier-béton avec poutres en acier CCTB 01.13</w:t>
      </w:r>
      <w:bookmarkEnd w:id="798"/>
    </w:p>
    <w:p w14:paraId="7BA8C3D9" w14:textId="77777777" w:rsidR="00DB2B68" w:rsidRDefault="00000000">
      <w:pPr>
        <w:pStyle w:val="pheading"/>
      </w:pPr>
      <w:r>
        <w:t>DESCRIPTION</w:t>
      </w:r>
    </w:p>
    <w:p w14:paraId="146E6926" w14:textId="77777777" w:rsidR="00DB2B68" w:rsidRDefault="00000000">
      <w:pPr>
        <w:pStyle w:val="pheading"/>
      </w:pPr>
      <w:r>
        <w:t>- Définition / Comprend</w:t>
      </w:r>
    </w:p>
    <w:p w14:paraId="6AC4A075" w14:textId="77777777" w:rsidR="00DB2B68" w:rsidRDefault="00000000">
      <w:pPr>
        <w:jc w:val="both"/>
      </w:pPr>
      <w:r>
        <w:t>Il s’agit de planchers mixtes composés d’une dalle en béton armé associée à des profilés portants en acier ce qui permet de faire travailler chaque matériau sous les types de contraintes qui le rendent le plus performant et d’optimiser ainsi la structure.</w:t>
      </w:r>
    </w:p>
    <w:p w14:paraId="144C978D" w14:textId="77777777" w:rsidR="00DB2B68" w:rsidRDefault="00000000">
      <w:pPr>
        <w:pStyle w:val="pheading"/>
      </w:pPr>
      <w:r>
        <w:t>MATÉRIAUX</w:t>
      </w:r>
    </w:p>
    <w:p w14:paraId="595EB70A" w14:textId="77777777" w:rsidR="00DB2B68" w:rsidRDefault="00000000">
      <w:pPr>
        <w:pStyle w:val="pheading"/>
      </w:pPr>
      <w:r>
        <w:lastRenderedPageBreak/>
        <w:t>- Caractéristiques générales</w:t>
      </w:r>
    </w:p>
    <w:p w14:paraId="21A0EB07" w14:textId="77777777" w:rsidR="00DB2B68" w:rsidRDefault="00000000">
      <w:pPr>
        <w:jc w:val="both"/>
      </w:pPr>
      <w:r>
        <w:t>Le système est conforme aux normes [NBN EN 1994-1-1] et à la [NIT 236].</w:t>
      </w:r>
    </w:p>
    <w:p w14:paraId="356530B4" w14:textId="77777777" w:rsidR="00DB2B68" w:rsidRDefault="00000000">
      <w:pPr>
        <w:jc w:val="both"/>
      </w:pPr>
      <w:r>
        <w:rPr>
          <w:b/>
        </w:rPr>
        <w:t>Profilés en acier</w:t>
      </w:r>
    </w:p>
    <w:p w14:paraId="060A35F9" w14:textId="77777777" w:rsidR="00DB2B68" w:rsidRDefault="00000000">
      <w:pPr>
        <w:pStyle w:val="Author-eListParagraph"/>
        <w:numPr>
          <w:ilvl w:val="0"/>
          <w:numId w:val="562"/>
        </w:numPr>
      </w:pPr>
      <w:r>
        <w:t xml:space="preserve">Types de profilés : </w:t>
      </w:r>
      <w:r>
        <w:rPr>
          <w:rStyle w:val="optioncarChar"/>
        </w:rPr>
        <w:t xml:space="preserve">suivant les prescriptions de l’étude de stabilité </w:t>
      </w:r>
      <w:r>
        <w:t xml:space="preserve">(par défaut) </w:t>
      </w:r>
      <w:r>
        <w:rPr>
          <w:rStyle w:val="optioncarChar"/>
        </w:rPr>
        <w:t>/ ***</w:t>
      </w:r>
    </w:p>
    <w:p w14:paraId="50C536FF" w14:textId="77777777" w:rsidR="00DB2B68" w:rsidRDefault="00000000">
      <w:pPr>
        <w:pStyle w:val="Author-eListParagraph"/>
        <w:numPr>
          <w:ilvl w:val="0"/>
          <w:numId w:val="562"/>
        </w:numPr>
      </w:pPr>
      <w:r>
        <w:t xml:space="preserve">Nuance d'acier : </w:t>
      </w:r>
      <w:r>
        <w:rPr>
          <w:rStyle w:val="optioncarChar"/>
        </w:rPr>
        <w:t xml:space="preserve">suivant les prescriptions de l’étude de stabilité </w:t>
      </w:r>
      <w:r>
        <w:t>(par défaut)</w:t>
      </w:r>
      <w:r>
        <w:rPr>
          <w:rStyle w:val="optioncarChar"/>
        </w:rPr>
        <w:t xml:space="preserve"> / S235 / S275 / S355 / S420 / S460 / ***</w:t>
      </w:r>
      <w:r>
        <w:t>.</w:t>
      </w:r>
    </w:p>
    <w:p w14:paraId="38DBAE8D" w14:textId="77777777" w:rsidR="00DB2B68" w:rsidRDefault="00000000">
      <w:pPr>
        <w:pStyle w:val="Author-eListParagraph"/>
        <w:numPr>
          <w:ilvl w:val="0"/>
          <w:numId w:val="562"/>
        </w:numPr>
      </w:pPr>
      <w:r>
        <w:t xml:space="preserve">Qualité d’acier [NBN EN 10025 série] : </w:t>
      </w:r>
      <w:r>
        <w:rPr>
          <w:rStyle w:val="optioncarChar"/>
        </w:rPr>
        <w:t xml:space="preserve">suivant les prescriptions de l’étude de stabilité </w:t>
      </w:r>
      <w:r>
        <w:t>(par défaut)</w:t>
      </w:r>
      <w:r>
        <w:rPr>
          <w:rStyle w:val="optioncarChar"/>
        </w:rPr>
        <w:t xml:space="preserve"> / JR / J0 / J2 / K2 / N / NL / M / ML / W / P / Q / QL / QL1 / ***</w:t>
      </w:r>
      <w:r>
        <w:t>.</w:t>
      </w:r>
    </w:p>
    <w:p w14:paraId="5EC42FDC" w14:textId="77777777" w:rsidR="00DB2B68" w:rsidRDefault="00000000">
      <w:pPr>
        <w:pStyle w:val="Author-eListParagraph"/>
        <w:numPr>
          <w:ilvl w:val="0"/>
          <w:numId w:val="562"/>
        </w:numPr>
      </w:pPr>
      <w:r>
        <w:t xml:space="preserve">Traitement anti-corrosion : </w:t>
      </w:r>
      <w:r>
        <w:rPr>
          <w:rStyle w:val="optioncarChar"/>
        </w:rPr>
        <w:t>primaire antirouille</w:t>
      </w:r>
      <w:r>
        <w:t xml:space="preserve"> (par défaut)</w:t>
      </w:r>
      <w:r>
        <w:rPr>
          <w:rStyle w:val="optioncarChar"/>
        </w:rPr>
        <w:t xml:space="preserve"> / galvanisation à chaud / métallisation / ***.</w:t>
      </w:r>
    </w:p>
    <w:p w14:paraId="276D068E" w14:textId="77777777" w:rsidR="00DB2B68" w:rsidRDefault="00000000">
      <w:pPr>
        <w:ind w:left="567"/>
        <w:jc w:val="both"/>
      </w:pPr>
      <w:r>
        <w:rPr>
          <w:b/>
        </w:rPr>
        <w:t>(soit par défaut)</w:t>
      </w:r>
    </w:p>
    <w:p w14:paraId="1CA14430" w14:textId="77777777" w:rsidR="00DB2B68" w:rsidRDefault="00000000">
      <w:pPr>
        <w:ind w:left="567"/>
        <w:jc w:val="both"/>
      </w:pPr>
      <w:r>
        <w:rPr>
          <w:rStyle w:val="soitChar"/>
          <w:u w:val="single"/>
        </w:rPr>
        <w:t>Primaire antirouille</w:t>
      </w:r>
    </w:p>
    <w:p w14:paraId="71C1ADAA" w14:textId="77777777" w:rsidR="00DB2B68" w:rsidRDefault="00000000">
      <w:pPr>
        <w:ind w:left="567"/>
        <w:jc w:val="both"/>
      </w:pPr>
      <w:r>
        <w:rPr>
          <w:rStyle w:val="soitChar"/>
        </w:rPr>
        <w:t>Conformément aux prescriptions du 81.31.3c Protections intérieures par primaire antirouille (en atelier ou sur chantier) des supports métalliques ferreux ou du 82.31.3c Protections extérieures par primaire antirouille des supports métalliques ferreux.</w:t>
      </w:r>
    </w:p>
    <w:p w14:paraId="2E3056DC" w14:textId="77777777" w:rsidR="00DB2B68" w:rsidRDefault="00000000">
      <w:pPr>
        <w:ind w:left="567"/>
        <w:jc w:val="both"/>
      </w:pPr>
      <w:r>
        <w:rPr>
          <w:b/>
        </w:rPr>
        <w:t>(soit)</w:t>
      </w:r>
    </w:p>
    <w:p w14:paraId="0F80F264" w14:textId="77777777" w:rsidR="00DB2B68" w:rsidRDefault="00000000">
      <w:pPr>
        <w:ind w:left="567"/>
        <w:jc w:val="both"/>
      </w:pPr>
      <w:r>
        <w:rPr>
          <w:rStyle w:val="soitChar"/>
          <w:u w:val="single"/>
        </w:rPr>
        <w:t>Galvanisation à chaud</w:t>
      </w:r>
    </w:p>
    <w:p w14:paraId="60DFB035" w14:textId="77777777" w:rsidR="00DB2B68" w:rsidRDefault="00000000">
      <w:pPr>
        <w:ind w:left="567"/>
        <w:jc w:val="both"/>
      </w:pPr>
      <w:r>
        <w:rPr>
          <w:rStyle w:val="soitChar"/>
        </w:rPr>
        <w:t>Conformément aux prescriptions du 81.31.3a Protections intérieures par galvanisation (en atelier) des supports métalliques ferreux ou du 82.31.3a Protections extérieures par galvanisation de supports métalliques ferreux.</w:t>
      </w:r>
    </w:p>
    <w:p w14:paraId="0077BED8" w14:textId="77777777" w:rsidR="00DB2B68" w:rsidRDefault="00000000">
      <w:pPr>
        <w:ind w:left="567"/>
        <w:jc w:val="both"/>
      </w:pPr>
      <w:r>
        <w:rPr>
          <w:b/>
        </w:rPr>
        <w:t>(soit)</w:t>
      </w:r>
    </w:p>
    <w:p w14:paraId="0CE112EE" w14:textId="77777777" w:rsidR="00DB2B68" w:rsidRDefault="00000000">
      <w:pPr>
        <w:ind w:left="567"/>
        <w:jc w:val="both"/>
      </w:pPr>
      <w:r>
        <w:rPr>
          <w:rStyle w:val="soitChar"/>
          <w:u w:val="single"/>
        </w:rPr>
        <w:t>Métallisation</w:t>
      </w:r>
    </w:p>
    <w:p w14:paraId="319FD941" w14:textId="77777777" w:rsidR="00DB2B68" w:rsidRDefault="00000000">
      <w:pPr>
        <w:ind w:left="567"/>
        <w:jc w:val="both"/>
      </w:pPr>
      <w:r>
        <w:rPr>
          <w:rStyle w:val="soitChar"/>
        </w:rPr>
        <w:t>Conformément aux prescriptions du 81.31.3b Protections intérieures par métallisation (en atelier ou sur chantier) des supports métalliques ferreux ou du 82.31.3b Protections extérieures par métallisation des supports métalliques ferreux.</w:t>
      </w:r>
    </w:p>
    <w:p w14:paraId="5C5E58B5" w14:textId="77777777" w:rsidR="00DB2B68" w:rsidRDefault="00000000">
      <w:pPr>
        <w:jc w:val="both"/>
      </w:pPr>
      <w:r>
        <w:rPr>
          <w:b/>
        </w:rPr>
        <w:t>Dalle en béton armé</w:t>
      </w:r>
    </w:p>
    <w:p w14:paraId="2A7E01E4" w14:textId="77777777" w:rsidR="00DB2B68" w:rsidRDefault="00000000">
      <w:pPr>
        <w:jc w:val="both"/>
      </w:pPr>
      <w:r>
        <w:t>Le plancher est composé d’un coffrage en tôles d’acier à froid recouvert d’une dalle en béton armé.</w:t>
      </w:r>
    </w:p>
    <w:p w14:paraId="3F1B59CD" w14:textId="77777777" w:rsidR="00DB2B68" w:rsidRDefault="00000000">
      <w:pPr>
        <w:jc w:val="both"/>
      </w:pPr>
      <w:r>
        <w:rPr>
          <w:b/>
        </w:rPr>
        <w:t>Tôles</w:t>
      </w:r>
    </w:p>
    <w:p w14:paraId="1750DC60" w14:textId="77777777" w:rsidR="00DB2B68" w:rsidRDefault="00000000">
      <w:pPr>
        <w:jc w:val="both"/>
      </w:pPr>
      <w:r>
        <w:t>Les tôles de coffrage sont nervurées par profilage à froid.</w:t>
      </w:r>
    </w:p>
    <w:p w14:paraId="14230C9E" w14:textId="77777777" w:rsidR="00DB2B68" w:rsidRDefault="00000000">
      <w:pPr>
        <w:pStyle w:val="Author-eListParagraph"/>
        <w:numPr>
          <w:ilvl w:val="0"/>
          <w:numId w:val="563"/>
        </w:numPr>
      </w:pPr>
      <w:r>
        <w:t>Profil des tôles :</w:t>
      </w:r>
      <w:r>
        <w:rPr>
          <w:rStyle w:val="optioncarChar"/>
        </w:rPr>
        <w:t xml:space="preserve"> profilés en queue d’aronde / de forme trapézoïdale / oméga</w:t>
      </w:r>
      <w:r>
        <w:t xml:space="preserve">. Le profil </w:t>
      </w:r>
      <w:r>
        <w:rPr>
          <w:rStyle w:val="optioncarChar"/>
        </w:rPr>
        <w:t>est / n’est pas</w:t>
      </w:r>
      <w:r>
        <w:t xml:space="preserve"> pré-percé de trous pour le passage de goujons soudés</w:t>
      </w:r>
    </w:p>
    <w:p w14:paraId="1FA7D6A7" w14:textId="77777777" w:rsidR="00DB2B68" w:rsidRDefault="00000000">
      <w:pPr>
        <w:pStyle w:val="Author-eListParagraph"/>
        <w:numPr>
          <w:ilvl w:val="0"/>
          <w:numId w:val="563"/>
        </w:numPr>
      </w:pPr>
      <w:r>
        <w:t xml:space="preserve">Epaisseur : </w:t>
      </w:r>
      <w:r>
        <w:rPr>
          <w:rStyle w:val="optioncarChar"/>
        </w:rPr>
        <w:t xml:space="preserve">suivant les prescriptions de l’étude de stabilité </w:t>
      </w:r>
      <w:r>
        <w:t xml:space="preserve">(par défaut) </w:t>
      </w:r>
      <w:r>
        <w:rPr>
          <w:rStyle w:val="optioncarChar"/>
        </w:rPr>
        <w:t>/ entre 0,7 et 1,25 / ***</w:t>
      </w:r>
      <w:r>
        <w:t xml:space="preserve"> mm.</w:t>
      </w:r>
    </w:p>
    <w:p w14:paraId="04E28290" w14:textId="77777777" w:rsidR="00DB2B68" w:rsidRDefault="00000000">
      <w:pPr>
        <w:pStyle w:val="Author-eListParagraph"/>
        <w:numPr>
          <w:ilvl w:val="0"/>
          <w:numId w:val="563"/>
        </w:numPr>
      </w:pPr>
      <w:r>
        <w:t xml:space="preserve">Hauteur : </w:t>
      </w:r>
      <w:r>
        <w:rPr>
          <w:rStyle w:val="optioncarChar"/>
        </w:rPr>
        <w:t xml:space="preserve">suivant les prescriptions de l’étude de stabilité </w:t>
      </w:r>
      <w:r>
        <w:t xml:space="preserve">(par défaut) </w:t>
      </w:r>
      <w:r>
        <w:rPr>
          <w:rStyle w:val="optioncarChar"/>
        </w:rPr>
        <w:t>/ 40 / 60 / 80 / ***</w:t>
      </w:r>
      <w:r>
        <w:t xml:space="preserve"> mm.</w:t>
      </w:r>
    </w:p>
    <w:p w14:paraId="00B78324" w14:textId="77777777" w:rsidR="00DB2B68" w:rsidRDefault="00000000">
      <w:pPr>
        <w:pStyle w:val="Author-eListParagraph"/>
        <w:numPr>
          <w:ilvl w:val="0"/>
          <w:numId w:val="563"/>
        </w:numPr>
      </w:pPr>
      <w:r>
        <w:t xml:space="preserve">Protection contre la corrosion : </w:t>
      </w:r>
      <w:r>
        <w:rPr>
          <w:rStyle w:val="optioncarChar"/>
        </w:rPr>
        <w:t>couche de zinc de type Z275, épaisseur ≥ à 0,02mm (galvanisation à chaud)</w:t>
      </w:r>
      <w:r>
        <w:t xml:space="preserve"> (par défaut)</w:t>
      </w:r>
      <w:r>
        <w:rPr>
          <w:rStyle w:val="optioncarChar"/>
        </w:rPr>
        <w:t xml:space="preserve"> / ***</w:t>
      </w:r>
      <w:r>
        <w:t>.</w:t>
      </w:r>
    </w:p>
    <w:p w14:paraId="1B2EB1BB" w14:textId="77777777" w:rsidR="00DB2B68" w:rsidRDefault="00000000">
      <w:pPr>
        <w:jc w:val="both"/>
      </w:pPr>
      <w:r>
        <w:rPr>
          <w:b/>
        </w:rPr>
        <w:t>Béton</w:t>
      </w:r>
    </w:p>
    <w:p w14:paraId="69650882" w14:textId="77777777" w:rsidR="00DB2B68" w:rsidRDefault="00000000">
      <w:pPr>
        <w:pStyle w:val="Author-eListParagraph"/>
        <w:numPr>
          <w:ilvl w:val="0"/>
          <w:numId w:val="564"/>
        </w:numPr>
      </w:pPr>
      <w:r>
        <w:t xml:space="preserve">Qualité du béton selon la [NBN EN 206:2013+A2] et la [NBN B 15-001] : (voir également </w:t>
      </w:r>
      <w:hyperlink w:anchor="87" w:history="1">
        <w:r>
          <w:rPr>
            <w:color w:val="0000EE"/>
          </w:rPr>
          <w:t>22 Superstructures en béton</w:t>
        </w:r>
      </w:hyperlink>
      <w:r>
        <w:t>).</w:t>
      </w:r>
    </w:p>
    <w:p w14:paraId="640443B2" w14:textId="77777777" w:rsidR="00DB2B68" w:rsidRDefault="00000000">
      <w:pPr>
        <w:pStyle w:val="Author-eListParagraph"/>
        <w:numPr>
          <w:ilvl w:val="0"/>
          <w:numId w:val="564"/>
        </w:numPr>
      </w:pPr>
      <w:r>
        <w:t xml:space="preserve">Classe de résistance : </w:t>
      </w:r>
      <w:r>
        <w:rPr>
          <w:rStyle w:val="optioncarChar"/>
        </w:rPr>
        <w:t xml:space="preserve">suivant les prescriptions de l’étude de stabilité </w:t>
      </w:r>
      <w:r>
        <w:t>(par défaut)</w:t>
      </w:r>
      <w:r>
        <w:rPr>
          <w:rStyle w:val="optioncarChar"/>
        </w:rPr>
        <w:t xml:space="preserve"> / C25/30 / C30/37 / C35/45 / C45/55 / C50/60 / C55/67 / C60/75 / C70/85 / C80/95 / C90/105 / ***</w:t>
      </w:r>
    </w:p>
    <w:p w14:paraId="12A5EB5E" w14:textId="77777777" w:rsidR="00DB2B68" w:rsidRDefault="00000000">
      <w:pPr>
        <w:pStyle w:val="Author-eListParagraph"/>
        <w:numPr>
          <w:ilvl w:val="0"/>
          <w:numId w:val="564"/>
        </w:numPr>
      </w:pPr>
      <w:r>
        <w:t xml:space="preserve">Classe d’environnement : </w:t>
      </w:r>
      <w:r>
        <w:rPr>
          <w:rStyle w:val="optioncarChar"/>
        </w:rPr>
        <w:t xml:space="preserve">suivant les prescriptions de l’étude de stabilité </w:t>
      </w:r>
      <w:r>
        <w:t xml:space="preserve">(par défaut) </w:t>
      </w:r>
      <w:r>
        <w:rPr>
          <w:rStyle w:val="optioncarChar"/>
        </w:rPr>
        <w:t>/ E0 / EI / EE1 / EE2 / EE3 / EE4 / ES1 / ES2 / ES3 / ES4 / EA1+*** / EA2+***/ EA3+*** / ***</w:t>
      </w:r>
    </w:p>
    <w:p w14:paraId="0243379D" w14:textId="77777777" w:rsidR="00DB2B68" w:rsidRDefault="00000000">
      <w:pPr>
        <w:pStyle w:val="Author-eListParagraph"/>
        <w:numPr>
          <w:ilvl w:val="0"/>
          <w:numId w:val="564"/>
        </w:numPr>
      </w:pPr>
      <w:r>
        <w:t xml:space="preserve">Classe de consistance : </w:t>
      </w:r>
      <w:r>
        <w:rPr>
          <w:rStyle w:val="optioncarChar"/>
        </w:rPr>
        <w:t xml:space="preserve">suivant les prescriptions de l’étude de stabilité </w:t>
      </w:r>
      <w:r>
        <w:t>(par défaut)</w:t>
      </w:r>
      <w:r>
        <w:rPr>
          <w:rStyle w:val="optioncarChar"/>
        </w:rPr>
        <w:t xml:space="preserve"> / S3 / S4 / S5 / F3 / F4 / F5 / F6 / ***</w:t>
      </w:r>
    </w:p>
    <w:p w14:paraId="67B939EE" w14:textId="77777777" w:rsidR="00DB2B68" w:rsidRDefault="00000000">
      <w:pPr>
        <w:pStyle w:val="Author-eListParagraph"/>
        <w:numPr>
          <w:ilvl w:val="0"/>
          <w:numId w:val="564"/>
        </w:numPr>
      </w:pPr>
      <w:r>
        <w:t xml:space="preserve">Granulométrie maximale : </w:t>
      </w:r>
      <w:r>
        <w:rPr>
          <w:rStyle w:val="optioncarChar"/>
        </w:rPr>
        <w:t>suivant les prescriptions de l’étude de stabilité</w:t>
      </w:r>
      <w:r>
        <w:t xml:space="preserve"> (par défaut)</w:t>
      </w:r>
      <w:r>
        <w:rPr>
          <w:rStyle w:val="optioncarChar"/>
        </w:rPr>
        <w:t xml:space="preserve"> / 6 / 8 / 10 / 11 / 12 / 14 / 16 / 20 / 22 / 32 / ***</w:t>
      </w:r>
      <w:r>
        <w:t xml:space="preserve"> mm</w:t>
      </w:r>
    </w:p>
    <w:p w14:paraId="47F04CA2" w14:textId="77777777" w:rsidR="00DB2B68" w:rsidRDefault="00000000">
      <w:pPr>
        <w:jc w:val="both"/>
      </w:pPr>
      <w:r>
        <w:rPr>
          <w:b/>
        </w:rPr>
        <w:lastRenderedPageBreak/>
        <w:t>Armature </w:t>
      </w:r>
    </w:p>
    <w:p w14:paraId="68B8C647" w14:textId="77777777" w:rsidR="00DB2B68" w:rsidRDefault="00000000">
      <w:pPr>
        <w:pStyle w:val="Author-eListParagraph"/>
        <w:numPr>
          <w:ilvl w:val="0"/>
          <w:numId w:val="565"/>
        </w:numPr>
      </w:pPr>
      <w:r>
        <w:t xml:space="preserve">Barres d’acier pour les armatures principales : </w:t>
      </w:r>
      <w:r>
        <w:rPr>
          <w:rStyle w:val="optioncarChar"/>
        </w:rPr>
        <w:t>acier BE 500 S</w:t>
      </w:r>
      <w:r>
        <w:t xml:space="preserve"> (par défaut)</w:t>
      </w:r>
      <w:r>
        <w:rPr>
          <w:rStyle w:val="optioncarChar"/>
        </w:rPr>
        <w:t xml:space="preserve"> / ***</w:t>
      </w:r>
      <w:r>
        <w:t xml:space="preserve"> selon [NBN A 24-302] + [PTV 302] .</w:t>
      </w:r>
    </w:p>
    <w:p w14:paraId="139B936C" w14:textId="77777777" w:rsidR="00DB2B68" w:rsidRDefault="00000000">
      <w:pPr>
        <w:pStyle w:val="Author-eListParagraph"/>
        <w:numPr>
          <w:ilvl w:val="0"/>
          <w:numId w:val="565"/>
        </w:numPr>
      </w:pPr>
      <w:r>
        <w:t xml:space="preserve">Acier pour les étriers : </w:t>
      </w:r>
      <w:r>
        <w:rPr>
          <w:rStyle w:val="optioncarChar"/>
        </w:rPr>
        <w:t xml:space="preserve">DE 500 BS </w:t>
      </w:r>
      <w:r>
        <w:t>(par défaut)</w:t>
      </w:r>
      <w:r>
        <w:rPr>
          <w:rStyle w:val="optioncarChar"/>
        </w:rPr>
        <w:t xml:space="preserve"> / BE 500 S</w:t>
      </w:r>
    </w:p>
    <w:p w14:paraId="527352DA" w14:textId="77777777" w:rsidR="00DB2B68" w:rsidRDefault="00000000">
      <w:pPr>
        <w:jc w:val="both"/>
      </w:pPr>
      <w:r>
        <w:rPr>
          <w:b/>
        </w:rPr>
        <w:t>Connexion </w:t>
      </w:r>
    </w:p>
    <w:p w14:paraId="2D3E4D03" w14:textId="77777777" w:rsidR="00DB2B68" w:rsidRDefault="00000000">
      <w:pPr>
        <w:jc w:val="both"/>
      </w:pPr>
      <w:r>
        <w:t xml:space="preserve">Connexion entre les profilés et le plancher en béton : </w:t>
      </w:r>
      <w:r>
        <w:rPr>
          <w:rStyle w:val="optioncarChar"/>
        </w:rPr>
        <w:t xml:space="preserve">définie par l’étude de stabilité </w:t>
      </w:r>
      <w:r>
        <w:t xml:space="preserve">(par défaut) </w:t>
      </w:r>
      <w:r>
        <w:rPr>
          <w:rStyle w:val="optioncarChar"/>
        </w:rPr>
        <w:t>/ goujons soudés sur les poutrelles en acier à travers la tôle / équerres composées de pièces métalliques formées à froid en forme de L et fixées à la poutrelle à l’aide de deux clous et d’un appareil de scellement à cartouche / ***.</w:t>
      </w:r>
    </w:p>
    <w:p w14:paraId="4A1D416F" w14:textId="77777777" w:rsidR="00DB2B68" w:rsidRDefault="00000000">
      <w:pPr>
        <w:jc w:val="both"/>
      </w:pPr>
      <w:r>
        <w:t>Le plancher mixte présente une résistance au feu </w:t>
      </w:r>
      <w:r>
        <w:rPr>
          <w:rStyle w:val="optioncarChar"/>
        </w:rPr>
        <w:t>R15 / R30 / R60 / R120 / 240</w:t>
      </w:r>
      <w:r>
        <w:t xml:space="preserve"> démontrée par test au feu selon la [NBN EN 13501-2] ou par calcul selon les Eurocodes conformément à l’[AM 2013-05-17].</w:t>
      </w:r>
    </w:p>
    <w:p w14:paraId="5F6414E4" w14:textId="77777777" w:rsidR="00DB2B68" w:rsidRDefault="00000000">
      <w:pPr>
        <w:pStyle w:val="pheading"/>
      </w:pPr>
      <w:r>
        <w:t>- Finitions</w:t>
      </w:r>
    </w:p>
    <w:p w14:paraId="1D82594E" w14:textId="77777777" w:rsidR="00DB2B68" w:rsidRDefault="00000000">
      <w:pPr>
        <w:jc w:val="both"/>
      </w:pPr>
      <w:r>
        <w:rPr>
          <w:b/>
        </w:rPr>
        <w:t>Profilés en acier</w:t>
      </w:r>
    </w:p>
    <w:p w14:paraId="2CA8BD16" w14:textId="77777777" w:rsidR="00DB2B68" w:rsidRDefault="00000000">
      <w:pPr>
        <w:jc w:val="both"/>
      </w:pPr>
      <w:r>
        <w:t xml:space="preserve">Finition des profilés en acier : </w:t>
      </w:r>
      <w:r>
        <w:rPr>
          <w:rStyle w:val="optioncarChar"/>
        </w:rPr>
        <w:t>pas de finition</w:t>
      </w:r>
      <w:r>
        <w:t xml:space="preserve"> (par défaut) </w:t>
      </w:r>
      <w:r>
        <w:rPr>
          <w:rStyle w:val="optioncarChar"/>
        </w:rPr>
        <w:t>/ peint / brut (verni)</w:t>
      </w:r>
      <w:r>
        <w:t>.</w:t>
      </w:r>
    </w:p>
    <w:p w14:paraId="606AADDC" w14:textId="77777777" w:rsidR="00DB2B68" w:rsidRDefault="00000000">
      <w:pPr>
        <w:jc w:val="both"/>
      </w:pPr>
      <w:r>
        <w:rPr>
          <w:b/>
        </w:rPr>
        <w:t>(soit par défaut)</w:t>
      </w:r>
    </w:p>
    <w:p w14:paraId="779CCBF3" w14:textId="77777777" w:rsidR="00DB2B68" w:rsidRDefault="00000000">
      <w:pPr>
        <w:jc w:val="both"/>
      </w:pPr>
      <w:r>
        <w:rPr>
          <w:rStyle w:val="soitChar"/>
          <w:u w:val="single"/>
        </w:rPr>
        <w:t>Pas de finition :</w:t>
      </w:r>
      <w:r>
        <w:rPr>
          <w:rStyle w:val="soitChar"/>
        </w:rPr>
        <w:t xml:space="preserve"> pas d’application</w:t>
      </w:r>
    </w:p>
    <w:p w14:paraId="55493338" w14:textId="77777777" w:rsidR="00DB2B68" w:rsidRDefault="00000000">
      <w:pPr>
        <w:jc w:val="both"/>
      </w:pPr>
      <w:r>
        <w:rPr>
          <w:b/>
        </w:rPr>
        <w:t>(soit)</w:t>
      </w:r>
    </w:p>
    <w:p w14:paraId="743ED49D" w14:textId="77777777" w:rsidR="00DB2B68" w:rsidRDefault="00000000">
      <w:pPr>
        <w:jc w:val="both"/>
      </w:pPr>
      <w:r>
        <w:rPr>
          <w:rStyle w:val="soitChar"/>
          <w:u w:val="single"/>
        </w:rPr>
        <w:t>Peint :</w:t>
      </w:r>
    </w:p>
    <w:p w14:paraId="296F931B" w14:textId="77777777" w:rsidR="00DB2B68" w:rsidRDefault="00000000">
      <w:pPr>
        <w:jc w:val="both"/>
      </w:pPr>
      <w:r>
        <w:rPr>
          <w:rStyle w:val="soitChar"/>
        </w:rPr>
        <w:t>Conformément aux prescriptions du 81.33 Finitions / décorations des métaux ferreux et non ferreux ou 82.33 Finitions / décorations des métaux ferreux et non ferreux et articles qui en découlent.</w:t>
      </w:r>
    </w:p>
    <w:p w14:paraId="386B4741" w14:textId="77777777" w:rsidR="00DB2B68" w:rsidRDefault="00000000">
      <w:pPr>
        <w:jc w:val="both"/>
      </w:pPr>
      <w:r>
        <w:rPr>
          <w:b/>
        </w:rPr>
        <w:t>(soit)</w:t>
      </w:r>
    </w:p>
    <w:p w14:paraId="0699574B" w14:textId="77777777" w:rsidR="00DB2B68" w:rsidRDefault="00000000">
      <w:pPr>
        <w:jc w:val="both"/>
      </w:pPr>
      <w:r>
        <w:rPr>
          <w:rStyle w:val="soitChar"/>
          <w:u w:val="single"/>
        </w:rPr>
        <w:t>Brut (verni) :</w:t>
      </w:r>
    </w:p>
    <w:p w14:paraId="43B68115" w14:textId="77777777" w:rsidR="00DB2B68" w:rsidRDefault="00000000">
      <w:pPr>
        <w:jc w:val="both"/>
      </w:pPr>
      <w:r>
        <w:rPr>
          <w:rStyle w:val="soitChar"/>
        </w:rPr>
        <w:t xml:space="preserve">L’acier est protégé à l’aide d’un verni incolore à base </w:t>
      </w:r>
      <w:r>
        <w:rPr>
          <w:rStyle w:val="optioncarChar"/>
        </w:rPr>
        <w:t>de résine glycérophtalique</w:t>
      </w:r>
      <w:r>
        <w:t xml:space="preserve"> (par défaut) </w:t>
      </w:r>
      <w:r>
        <w:rPr>
          <w:rStyle w:val="optioncarChar"/>
        </w:rPr>
        <w:t>/ ***</w:t>
      </w:r>
      <w:r>
        <w:rPr>
          <w:rStyle w:val="soitChar"/>
        </w:rPr>
        <w:t>.</w:t>
      </w:r>
    </w:p>
    <w:p w14:paraId="4B82DC3E" w14:textId="77777777" w:rsidR="00DB2B68" w:rsidRDefault="00000000">
      <w:pPr>
        <w:jc w:val="both"/>
      </w:pPr>
      <w:r>
        <w:rPr>
          <w:rStyle w:val="soitChar"/>
        </w:rPr>
        <w:t>Conformément aux prescriptions du 81.33 Finitions / décorations des métaux ferreux et non ferreux ou du 82.33 Finitions / décorations des métaux ferreux et non ferreux, et articles qui en découlent.</w:t>
      </w:r>
    </w:p>
    <w:p w14:paraId="764819A7" w14:textId="77777777" w:rsidR="00DB2B68" w:rsidRDefault="00000000">
      <w:pPr>
        <w:jc w:val="both"/>
      </w:pPr>
      <w:r>
        <w:rPr>
          <w:b/>
        </w:rPr>
        <w:t>Tôles en acier</w:t>
      </w:r>
    </w:p>
    <w:p w14:paraId="470D016C" w14:textId="77777777" w:rsidR="00DB2B68" w:rsidRDefault="00000000">
      <w:pPr>
        <w:jc w:val="both"/>
      </w:pPr>
      <w:r>
        <w:t xml:space="preserve">Finition des tôles en acier : </w:t>
      </w:r>
      <w:r>
        <w:rPr>
          <w:rStyle w:val="optioncarChar"/>
        </w:rPr>
        <w:t>pas de finition</w:t>
      </w:r>
      <w:r>
        <w:t xml:space="preserve"> (par défaut)</w:t>
      </w:r>
      <w:r>
        <w:rPr>
          <w:rStyle w:val="optioncarChar"/>
        </w:rPr>
        <w:t xml:space="preserve"> / peint / brut (verni)</w:t>
      </w:r>
      <w:r>
        <w:t>.</w:t>
      </w:r>
    </w:p>
    <w:p w14:paraId="58FC597C" w14:textId="77777777" w:rsidR="00DB2B68" w:rsidRDefault="00000000">
      <w:pPr>
        <w:jc w:val="both"/>
      </w:pPr>
      <w:r>
        <w:rPr>
          <w:b/>
        </w:rPr>
        <w:t>(soit par défaut)</w:t>
      </w:r>
    </w:p>
    <w:p w14:paraId="6401CE4D" w14:textId="77777777" w:rsidR="00DB2B68" w:rsidRDefault="00000000">
      <w:pPr>
        <w:jc w:val="both"/>
      </w:pPr>
      <w:r>
        <w:rPr>
          <w:rStyle w:val="soitChar"/>
          <w:u w:val="single"/>
        </w:rPr>
        <w:t>Pas de finition :</w:t>
      </w:r>
      <w:r>
        <w:rPr>
          <w:rStyle w:val="soitChar"/>
        </w:rPr>
        <w:t xml:space="preserve"> pas d'application</w:t>
      </w:r>
    </w:p>
    <w:p w14:paraId="34543B29" w14:textId="77777777" w:rsidR="00DB2B68" w:rsidRDefault="00000000">
      <w:pPr>
        <w:jc w:val="both"/>
      </w:pPr>
      <w:r>
        <w:rPr>
          <w:b/>
        </w:rPr>
        <w:t>(soit)</w:t>
      </w:r>
    </w:p>
    <w:p w14:paraId="1E6E6FE9" w14:textId="77777777" w:rsidR="00DB2B68" w:rsidRDefault="00000000">
      <w:pPr>
        <w:jc w:val="both"/>
      </w:pPr>
      <w:r>
        <w:rPr>
          <w:rStyle w:val="soitChar"/>
          <w:u w:val="single"/>
        </w:rPr>
        <w:t>Peint :</w:t>
      </w:r>
    </w:p>
    <w:p w14:paraId="0DC7F339" w14:textId="77777777" w:rsidR="00DB2B68" w:rsidRDefault="00000000">
      <w:pPr>
        <w:jc w:val="both"/>
      </w:pPr>
      <w:r>
        <w:rPr>
          <w:rStyle w:val="soitChar"/>
        </w:rPr>
        <w:t>Conformément aux prescriptions du 81.33 Finitions / décorations des métaux ferreux et non ferreux ou 82.33 Finitions / décorations des métaux ferreux et non ferreux et articles qui en découlent.</w:t>
      </w:r>
    </w:p>
    <w:p w14:paraId="4ACA8050" w14:textId="77777777" w:rsidR="00DB2B68" w:rsidRDefault="00000000">
      <w:pPr>
        <w:jc w:val="both"/>
      </w:pPr>
      <w:r>
        <w:rPr>
          <w:b/>
        </w:rPr>
        <w:t>(soit)</w:t>
      </w:r>
    </w:p>
    <w:p w14:paraId="55A95627" w14:textId="77777777" w:rsidR="00DB2B68" w:rsidRDefault="00000000">
      <w:pPr>
        <w:jc w:val="both"/>
      </w:pPr>
      <w:r>
        <w:rPr>
          <w:rStyle w:val="soitChar"/>
          <w:u w:val="single"/>
        </w:rPr>
        <w:t>Brut (verni) :</w:t>
      </w:r>
    </w:p>
    <w:p w14:paraId="5C5AEEE2" w14:textId="77777777" w:rsidR="00DB2B68" w:rsidRDefault="00000000">
      <w:pPr>
        <w:jc w:val="both"/>
      </w:pPr>
      <w:r>
        <w:rPr>
          <w:rStyle w:val="soitChar"/>
        </w:rPr>
        <w:t xml:space="preserve">L’acier est protégé à l’aide d’un verni incolore à base de </w:t>
      </w:r>
      <w:r>
        <w:rPr>
          <w:rStyle w:val="optioncarChar"/>
        </w:rPr>
        <w:t xml:space="preserve">résine glycérophtalique </w:t>
      </w:r>
      <w:r>
        <w:t>(par défaut)</w:t>
      </w:r>
      <w:r>
        <w:rPr>
          <w:rStyle w:val="optioncarChar"/>
        </w:rPr>
        <w:t xml:space="preserve"> / ***</w:t>
      </w:r>
      <w:r>
        <w:rPr>
          <w:rStyle w:val="soitChar"/>
        </w:rPr>
        <w:t>.</w:t>
      </w:r>
    </w:p>
    <w:p w14:paraId="278B3057" w14:textId="77777777" w:rsidR="00DB2B68" w:rsidRDefault="00000000">
      <w:pPr>
        <w:jc w:val="both"/>
      </w:pPr>
      <w:r>
        <w:rPr>
          <w:rStyle w:val="soitChar"/>
        </w:rPr>
        <w:t>Conformément aux prescriptions du 81.33 Finitions / décorations des métaux ferreux et non ferreux ou du 82.33 Finitions / décorations des métaux ferreux et non ferreux, et articles qui en découlent.</w:t>
      </w:r>
    </w:p>
    <w:p w14:paraId="21CA4416" w14:textId="77777777" w:rsidR="00DB2B68" w:rsidRDefault="00000000">
      <w:pPr>
        <w:jc w:val="both"/>
      </w:pPr>
      <w:r>
        <w:rPr>
          <w:b/>
        </w:rPr>
        <w:t>Résistance au feu</w:t>
      </w:r>
    </w:p>
    <w:p w14:paraId="67A2C898" w14:textId="77777777" w:rsidR="00DB2B68" w:rsidRDefault="00000000">
      <w:pPr>
        <w:jc w:val="both"/>
      </w:pPr>
      <w:r>
        <w:t xml:space="preserve">La résistance au feu prescrite des profilés est atteinte à l’aide : </w:t>
      </w:r>
      <w:r>
        <w:rPr>
          <w:rStyle w:val="optioncarChar"/>
        </w:rPr>
        <w:t xml:space="preserve">d’une peinture intumescente </w:t>
      </w:r>
      <w:r>
        <w:t>(par défaut)</w:t>
      </w:r>
      <w:r>
        <w:rPr>
          <w:rStyle w:val="optioncarChar"/>
        </w:rPr>
        <w:t xml:space="preserve"> / par emballage / par flocage fibreux / par flocage pâteux / sans traitement particulier</w:t>
      </w:r>
      <w:r>
        <w:t>.</w:t>
      </w:r>
    </w:p>
    <w:p w14:paraId="6AF66FCB" w14:textId="77777777" w:rsidR="00DB2B68" w:rsidRDefault="00000000">
      <w:pPr>
        <w:jc w:val="both"/>
      </w:pPr>
      <w:r>
        <w:rPr>
          <w:b/>
        </w:rPr>
        <w:t>(soit par défaut)</w:t>
      </w:r>
    </w:p>
    <w:p w14:paraId="0B2BB343" w14:textId="77777777" w:rsidR="00DB2B68" w:rsidRDefault="00000000">
      <w:pPr>
        <w:jc w:val="both"/>
      </w:pPr>
      <w:r>
        <w:rPr>
          <w:rStyle w:val="soitChar"/>
          <w:u w:val="single"/>
        </w:rPr>
        <w:lastRenderedPageBreak/>
        <w:t>Peinture intumescente :</w:t>
      </w:r>
    </w:p>
    <w:p w14:paraId="2688D633" w14:textId="77777777" w:rsidR="00DB2B68" w:rsidRDefault="00000000">
      <w:pPr>
        <w:jc w:val="both"/>
      </w:pPr>
      <w:r>
        <w:rPr>
          <w:rStyle w:val="soitChar"/>
        </w:rPr>
        <w:t>Conformément aux prescriptions du 81.34.1b Peintures intérieures intumescentes sur supports métalliques ferreux et non ferreux.</w:t>
      </w:r>
    </w:p>
    <w:p w14:paraId="6A8E3997" w14:textId="77777777" w:rsidR="00DB2B68" w:rsidRDefault="00000000">
      <w:pPr>
        <w:jc w:val="both"/>
      </w:pPr>
      <w:r>
        <w:rPr>
          <w:b/>
        </w:rPr>
        <w:t>(soit)</w:t>
      </w:r>
    </w:p>
    <w:p w14:paraId="6D44589A" w14:textId="77777777" w:rsidR="00DB2B68" w:rsidRDefault="00000000">
      <w:pPr>
        <w:jc w:val="both"/>
      </w:pPr>
      <w:r>
        <w:rPr>
          <w:rStyle w:val="soitChar"/>
          <w:u w:val="single"/>
        </w:rPr>
        <w:t>Emballage :</w:t>
      </w:r>
    </w:p>
    <w:p w14:paraId="72080AB9" w14:textId="77777777" w:rsidR="00DB2B68" w:rsidRDefault="00000000">
      <w:pPr>
        <w:jc w:val="both"/>
      </w:pPr>
      <w:r>
        <w:rPr>
          <w:rStyle w:val="soitChar"/>
        </w:rPr>
        <w:t>Conformément aux prescriptions du 83.34.1a Doublage en plaques.</w:t>
      </w:r>
    </w:p>
    <w:p w14:paraId="399041EF" w14:textId="77777777" w:rsidR="00DB2B68" w:rsidRDefault="00000000">
      <w:pPr>
        <w:jc w:val="both"/>
      </w:pPr>
      <w:r>
        <w:rPr>
          <w:b/>
        </w:rPr>
        <w:t>(soit)</w:t>
      </w:r>
    </w:p>
    <w:p w14:paraId="6E3E48DC" w14:textId="77777777" w:rsidR="00DB2B68" w:rsidRDefault="00000000">
      <w:pPr>
        <w:jc w:val="both"/>
      </w:pPr>
      <w:r>
        <w:rPr>
          <w:rStyle w:val="soitChar"/>
          <w:u w:val="single"/>
        </w:rPr>
        <w:t>Flocage fibreux :</w:t>
      </w:r>
    </w:p>
    <w:p w14:paraId="667E145C" w14:textId="77777777" w:rsidR="00DB2B68" w:rsidRDefault="00000000">
      <w:pPr>
        <w:jc w:val="both"/>
      </w:pPr>
      <w:r>
        <w:rPr>
          <w:rStyle w:val="soitChar"/>
        </w:rPr>
        <w:t>Composé essentiellement de laine minérale, de liants minéraux inorganiques additionnés d’adjuvants spécifiques hydrauliques et synthétiques, non combustibles.</w:t>
      </w:r>
    </w:p>
    <w:p w14:paraId="0DDFF1C1" w14:textId="77777777" w:rsidR="00DB2B68" w:rsidRDefault="00000000">
      <w:pPr>
        <w:jc w:val="both"/>
      </w:pPr>
      <w:r>
        <w:rPr>
          <w:rStyle w:val="soitChar"/>
        </w:rPr>
        <w:t>Le produit est exempt d’amiante, de silice cristallisée, ou de tout autre produit nocif ou toxique.</w:t>
      </w:r>
    </w:p>
    <w:p w14:paraId="634A34E7" w14:textId="77777777" w:rsidR="00DB2B68" w:rsidRDefault="00000000">
      <w:pPr>
        <w:jc w:val="both"/>
      </w:pPr>
      <w:r>
        <w:rPr>
          <w:rStyle w:val="soitChar"/>
        </w:rPr>
        <w:t>Le flocage est appliqué mécaniquement à l’aide de machines à projeter qui respectent la granulométrie et la masse volumique des produits.</w:t>
      </w:r>
    </w:p>
    <w:p w14:paraId="30DC802C" w14:textId="77777777" w:rsidR="00DB2B68" w:rsidRDefault="00000000">
      <w:pPr>
        <w:jc w:val="both"/>
      </w:pPr>
      <w:r>
        <w:rPr>
          <w:b/>
        </w:rPr>
        <w:t>(soit)</w:t>
      </w:r>
    </w:p>
    <w:p w14:paraId="162DF44D" w14:textId="77777777" w:rsidR="00DB2B68" w:rsidRDefault="00000000">
      <w:pPr>
        <w:jc w:val="both"/>
      </w:pPr>
      <w:r>
        <w:rPr>
          <w:rStyle w:val="soitChar"/>
          <w:u w:val="single"/>
        </w:rPr>
        <w:t>Flocage pâteux :</w:t>
      </w:r>
    </w:p>
    <w:p w14:paraId="7C01D90E" w14:textId="77777777" w:rsidR="00DB2B68" w:rsidRDefault="00000000">
      <w:pPr>
        <w:jc w:val="both"/>
      </w:pPr>
      <w:r>
        <w:rPr>
          <w:rStyle w:val="soitChar"/>
        </w:rPr>
        <w:t>A base de gypse ou vermiculite.</w:t>
      </w:r>
    </w:p>
    <w:p w14:paraId="6DF0D8EE" w14:textId="77777777" w:rsidR="00DB2B68" w:rsidRDefault="00000000">
      <w:pPr>
        <w:jc w:val="both"/>
      </w:pPr>
      <w:r>
        <w:rPr>
          <w:rStyle w:val="soitChar"/>
        </w:rPr>
        <w:t>Le produit est exempt d’amiante, de silice cristallisée, ou de tout autre produit nocif ou toxique.</w:t>
      </w:r>
    </w:p>
    <w:p w14:paraId="4BBF2390" w14:textId="77777777" w:rsidR="00DB2B68" w:rsidRDefault="00000000">
      <w:pPr>
        <w:jc w:val="both"/>
      </w:pPr>
      <w:r>
        <w:rPr>
          <w:rStyle w:val="soitChar"/>
        </w:rPr>
        <w:t>Le flocage est appliqué mécaniquement à l’aide de machines à projeter qui respectent la granulométrie et la masse volumique des produits.</w:t>
      </w:r>
    </w:p>
    <w:p w14:paraId="7EC423F3" w14:textId="77777777" w:rsidR="00DB2B68" w:rsidRDefault="00000000">
      <w:pPr>
        <w:jc w:val="both"/>
      </w:pPr>
      <w:r>
        <w:rPr>
          <w:b/>
        </w:rPr>
        <w:t>(soit)</w:t>
      </w:r>
    </w:p>
    <w:p w14:paraId="45A41CE9" w14:textId="77777777" w:rsidR="00DB2B68" w:rsidRDefault="00000000">
      <w:pPr>
        <w:jc w:val="both"/>
      </w:pPr>
      <w:r>
        <w:rPr>
          <w:rStyle w:val="soitChar"/>
          <w:u w:val="single"/>
        </w:rPr>
        <w:t>Sans traitement particulier :</w:t>
      </w:r>
    </w:p>
    <w:p w14:paraId="43F5E565" w14:textId="77777777" w:rsidR="00DB2B68" w:rsidRDefault="00000000">
      <w:pPr>
        <w:jc w:val="both"/>
      </w:pPr>
      <w:r>
        <w:rPr>
          <w:rStyle w:val="soitChar"/>
        </w:rPr>
        <w:t>La résistance au feu est démontrée par test au feu selon la [NBN EN 13501-2] ou par calcul selon les Eurocodes conformément à l’[AM 2013-05-17].</w:t>
      </w:r>
    </w:p>
    <w:p w14:paraId="4B6E29DC" w14:textId="77777777" w:rsidR="00DB2B68" w:rsidRDefault="00000000">
      <w:pPr>
        <w:pStyle w:val="pheading"/>
      </w:pPr>
      <w:r>
        <w:t>EXÉCUTION / MISE EN ŒUVRE</w:t>
      </w:r>
    </w:p>
    <w:p w14:paraId="5C48B26A" w14:textId="77777777" w:rsidR="00DB2B68" w:rsidRDefault="00000000">
      <w:pPr>
        <w:pStyle w:val="pheading"/>
      </w:pPr>
      <w:r>
        <w:t>- Prescriptions générales</w:t>
      </w:r>
    </w:p>
    <w:p w14:paraId="6BF17003" w14:textId="77777777" w:rsidR="00DB2B68" w:rsidRDefault="00000000">
      <w:pPr>
        <w:jc w:val="both"/>
      </w:pPr>
      <w:r>
        <w:rPr>
          <w:b/>
        </w:rPr>
        <w:t>Transport et entreposage</w:t>
      </w:r>
    </w:p>
    <w:p w14:paraId="28630553" w14:textId="77777777" w:rsidR="00DB2B68" w:rsidRDefault="00000000">
      <w:pPr>
        <w:jc w:val="both"/>
      </w:pPr>
      <w:r>
        <w:t>Les profilés et les tôles sont stockés à l’abri des influences atmosphériques.</w:t>
      </w:r>
    </w:p>
    <w:p w14:paraId="79CFF9B8" w14:textId="77777777" w:rsidR="00DB2B68" w:rsidRDefault="00000000">
      <w:pPr>
        <w:jc w:val="both"/>
      </w:pPr>
      <w:r>
        <w:t>Les colis, superposés à l’aide de cales, reposent sur un plan dur et sain. Ils sont, en outre, de longueur comparable afin de permettre une superposition correcte des cadres en bois et d’éviter une localisation de contrainte importante, surtout lors du transport.</w:t>
      </w:r>
    </w:p>
    <w:p w14:paraId="3AAC0D5E" w14:textId="77777777" w:rsidR="00DB2B68" w:rsidRDefault="00000000">
      <w:pPr>
        <w:jc w:val="both"/>
      </w:pPr>
      <w:r>
        <w:t>Les tôles sont protégées de toute stagnation ou condensation d’eau. Une bonne ventilation des colis évite la formation de rouille blanche.</w:t>
      </w:r>
    </w:p>
    <w:p w14:paraId="75899CFF" w14:textId="77777777" w:rsidR="00DB2B68" w:rsidRDefault="00000000">
      <w:pPr>
        <w:jc w:val="both"/>
      </w:pPr>
      <w:r>
        <w:rPr>
          <w:b/>
        </w:rPr>
        <w:t>Dimensionnement</w:t>
      </w:r>
    </w:p>
    <w:p w14:paraId="3B58D846" w14:textId="77777777" w:rsidR="00DB2B68" w:rsidRDefault="00000000">
      <w:pPr>
        <w:jc w:val="both"/>
      </w:pPr>
      <w:r>
        <w:t xml:space="preserve">Le dimensionnement des planchers mixtes est déterminé d’après l’étude de stabilité </w:t>
      </w:r>
      <w:r>
        <w:rPr>
          <w:rStyle w:val="optioncarChar"/>
        </w:rPr>
        <w:t>annexée aux documents du marché / à charge de l’entrepreneur.</w:t>
      </w:r>
    </w:p>
    <w:p w14:paraId="5A6DD629" w14:textId="77777777" w:rsidR="00DB2B68" w:rsidRDefault="00000000">
      <w:pPr>
        <w:pStyle w:val="Author-eListParagraph"/>
        <w:numPr>
          <w:ilvl w:val="0"/>
          <w:numId w:val="566"/>
        </w:numPr>
        <w:jc w:val="both"/>
      </w:pPr>
      <w:r>
        <w:t xml:space="preserve">Le plancher mixte est calculé pour une surcharge d’exploitation particulière de </w:t>
      </w:r>
      <w:r>
        <w:rPr>
          <w:rStyle w:val="optioncarChar"/>
        </w:rPr>
        <w:t>3</w:t>
      </w:r>
      <w:r>
        <w:t xml:space="preserve"> (par défaut</w:t>
      </w:r>
      <w:r>
        <w:rPr>
          <w:rStyle w:val="optioncarChar"/>
        </w:rPr>
        <w:t>) / 4 / 5 / ***</w:t>
      </w:r>
      <w:r>
        <w:t xml:space="preserve"> KN/m² comme spécifié dans la [NBN EN 1991-1-1 ANB].</w:t>
      </w:r>
    </w:p>
    <w:p w14:paraId="42BDCFD7" w14:textId="77777777" w:rsidR="00DB2B68" w:rsidRDefault="00000000">
      <w:pPr>
        <w:pStyle w:val="Author-eListParagraph"/>
        <w:numPr>
          <w:ilvl w:val="0"/>
          <w:numId w:val="566"/>
        </w:numPr>
        <w:jc w:val="both"/>
      </w:pPr>
      <w:r>
        <w:t xml:space="preserve">En fonction de la surcharge d’exploitation prévue, la flèche ne peut dépasser </w:t>
      </w:r>
      <w:r>
        <w:rPr>
          <w:rStyle w:val="optioncarChar"/>
        </w:rPr>
        <w:t xml:space="preserve">1/500 </w:t>
      </w:r>
      <w:r>
        <w:t>(par défaut)</w:t>
      </w:r>
      <w:r>
        <w:rPr>
          <w:rStyle w:val="optioncarChar"/>
        </w:rPr>
        <w:t xml:space="preserve"> / 1/700</w:t>
      </w:r>
      <w:r>
        <w:t xml:space="preserve"> de la portée conforme aux spécifications de la [NBN B 21-605:2021+A2].</w:t>
      </w:r>
    </w:p>
    <w:p w14:paraId="06DB48FF" w14:textId="77777777" w:rsidR="00DB2B68" w:rsidRDefault="00000000">
      <w:pPr>
        <w:jc w:val="both"/>
      </w:pPr>
      <w:r>
        <w:t>Les faces supérieures et inférieures du plancher mixte correspondent aux cotes de niveau et à l'épaisseur de plancher indiquée sur les plans.</w:t>
      </w:r>
    </w:p>
    <w:p w14:paraId="258C029B" w14:textId="77777777" w:rsidR="00DB2B68" w:rsidRDefault="00000000">
      <w:pPr>
        <w:jc w:val="both"/>
      </w:pPr>
      <w:r>
        <w:rPr>
          <w:b/>
        </w:rPr>
        <w:t>Mise en œuvre des profilés</w:t>
      </w:r>
    </w:p>
    <w:p w14:paraId="074CAEFB" w14:textId="77777777" w:rsidR="00DB2B68" w:rsidRDefault="00000000">
      <w:pPr>
        <w:jc w:val="both"/>
      </w:pPr>
      <w:r>
        <w:lastRenderedPageBreak/>
        <w:t>Les appuis des profilés sont uniformes et compatibles avec le support. Les longueurs d’appui sont proportionnées à la portée, aux charges et au type de support suivant l’étude de stabilité.</w:t>
      </w:r>
    </w:p>
    <w:p w14:paraId="23E18F47" w14:textId="77777777" w:rsidR="00DB2B68" w:rsidRDefault="00000000">
      <w:pPr>
        <w:pStyle w:val="Author-eListParagraph"/>
        <w:numPr>
          <w:ilvl w:val="0"/>
          <w:numId w:val="567"/>
        </w:numPr>
      </w:pPr>
      <w:r>
        <w:t xml:space="preserve">Longueur d’appui minimum à chaque extrémité des poutres : </w:t>
      </w:r>
      <w:r>
        <w:rPr>
          <w:rStyle w:val="optioncarChar"/>
        </w:rPr>
        <w:t>20</w:t>
      </w:r>
      <w:r>
        <w:t xml:space="preserve"> (par défaut)</w:t>
      </w:r>
      <w:r>
        <w:rPr>
          <w:rStyle w:val="optioncarChar"/>
        </w:rPr>
        <w:t xml:space="preserve"> / ***</w:t>
      </w:r>
      <w:r>
        <w:t xml:space="preserve"> cm.</w:t>
      </w:r>
    </w:p>
    <w:p w14:paraId="1F426432" w14:textId="77777777" w:rsidR="00DB2B68" w:rsidRDefault="00000000">
      <w:pPr>
        <w:jc w:val="both"/>
      </w:pPr>
      <w:r>
        <w:t xml:space="preserve">Les asselets éventuellement nécessaires à la bonne répartition des charges sont prévus dans l’étude de stabilité et comptés au </w:t>
      </w:r>
      <w:hyperlink w:anchor="499" w:history="1">
        <w:r>
          <w:rPr>
            <w:color w:val="0000EE"/>
          </w:rPr>
          <w:t>22.42 Pièces d'appui en béton</w:t>
        </w:r>
      </w:hyperlink>
      <w:r>
        <w:t xml:space="preserve"> et aux articles qui en découlent.</w:t>
      </w:r>
    </w:p>
    <w:p w14:paraId="510A9DFE" w14:textId="77777777" w:rsidR="00DB2B68" w:rsidRDefault="00000000">
      <w:pPr>
        <w:jc w:val="both"/>
      </w:pPr>
      <w:r>
        <w:rPr>
          <w:b/>
        </w:rPr>
        <w:t>Mise en œuvre des tôles</w:t>
      </w:r>
    </w:p>
    <w:p w14:paraId="1F5BEC39" w14:textId="77777777" w:rsidR="00DB2B68" w:rsidRDefault="00000000">
      <w:pPr>
        <w:jc w:val="both"/>
      </w:pPr>
      <w:r>
        <w:t>Les tôles sont posées dans le sens et de la façon indiquée par l’étude de stabilité.</w:t>
      </w:r>
    </w:p>
    <w:p w14:paraId="2481FD1B" w14:textId="77777777" w:rsidR="00DB2B68" w:rsidRDefault="00000000">
      <w:pPr>
        <w:jc w:val="both"/>
      </w:pPr>
      <w:r>
        <w:t>La longueur d’appui, les ouvertures en bord de dalle, les trous de forage et percements quelconques sont obturés.</w:t>
      </w:r>
    </w:p>
    <w:p w14:paraId="29D7C9B4" w14:textId="77777777" w:rsidR="00DB2B68" w:rsidRDefault="00000000">
      <w:pPr>
        <w:jc w:val="both"/>
      </w:pPr>
      <w:r>
        <w:t>Les appuis sont réalisés sur</w:t>
      </w:r>
      <w:r>
        <w:rPr>
          <w:rStyle w:val="optioncarChar"/>
        </w:rPr>
        <w:t xml:space="preserve"> support béton / support métallique avec goujons / support métallique avec équerre</w:t>
      </w:r>
      <w:r>
        <w:t>.</w:t>
      </w:r>
    </w:p>
    <w:p w14:paraId="5661D083" w14:textId="77777777" w:rsidR="00DB2B68" w:rsidRDefault="00000000">
      <w:pPr>
        <w:jc w:val="both"/>
      </w:pPr>
      <w:r>
        <w:rPr>
          <w:b/>
        </w:rPr>
        <w:t>(soit par défaut)</w:t>
      </w:r>
    </w:p>
    <w:p w14:paraId="01890E6E" w14:textId="77777777" w:rsidR="00DB2B68" w:rsidRDefault="00000000">
      <w:pPr>
        <w:jc w:val="both"/>
      </w:pPr>
      <w:r>
        <w:rPr>
          <w:rStyle w:val="soitChar"/>
          <w:u w:val="single"/>
        </w:rPr>
        <w:t>Support béton</w:t>
      </w:r>
      <w:r>
        <w:rPr>
          <w:rStyle w:val="soitChar"/>
        </w:rPr>
        <w:t xml:space="preserve"> avec des étriers dépassants</w:t>
      </w:r>
    </w:p>
    <w:p w14:paraId="01FB4777" w14:textId="77777777" w:rsidR="00DB2B68" w:rsidRDefault="00000000">
      <w:pPr>
        <w:jc w:val="both"/>
      </w:pPr>
      <w:r>
        <w:rPr>
          <w:b/>
        </w:rPr>
        <w:t>(soit)</w:t>
      </w:r>
    </w:p>
    <w:p w14:paraId="1FF147DF" w14:textId="77777777" w:rsidR="00DB2B68" w:rsidRDefault="00000000">
      <w:pPr>
        <w:jc w:val="both"/>
      </w:pPr>
      <w:r>
        <w:rPr>
          <w:rStyle w:val="soitChar"/>
          <w:u w:val="single"/>
        </w:rPr>
        <w:t>Support métallique avec goujons</w:t>
      </w:r>
      <w:r>
        <w:rPr>
          <w:rStyle w:val="soitChar"/>
        </w:rPr>
        <w:t xml:space="preserve"> soudés</w:t>
      </w:r>
    </w:p>
    <w:p w14:paraId="065EF85D" w14:textId="77777777" w:rsidR="00DB2B68" w:rsidRDefault="00000000">
      <w:pPr>
        <w:jc w:val="both"/>
      </w:pPr>
      <w:r>
        <w:rPr>
          <w:b/>
        </w:rPr>
        <w:t>(soit)</w:t>
      </w:r>
    </w:p>
    <w:p w14:paraId="046AB169" w14:textId="77777777" w:rsidR="00DB2B68" w:rsidRDefault="00000000">
      <w:pPr>
        <w:jc w:val="both"/>
      </w:pPr>
      <w:r>
        <w:rPr>
          <w:rStyle w:val="soitChar"/>
          <w:u w:val="single"/>
        </w:rPr>
        <w:t>Support métallique avec équerre</w:t>
      </w:r>
      <w:r>
        <w:rPr>
          <w:rStyle w:val="soitChar"/>
        </w:rPr>
        <w:t xml:space="preserve"> clouée</w:t>
      </w:r>
    </w:p>
    <w:p w14:paraId="0C24CC06" w14:textId="77777777" w:rsidR="00DB2B68" w:rsidRDefault="00000000">
      <w:pPr>
        <w:jc w:val="both"/>
      </w:pPr>
      <w:r>
        <w:t>Pendant l’exécution des planchers, des étais de montage sont placés aux endroits nécessaires suivant les prescriptions de la [NBN EN 1993-1-3] et de façon telle que, lors de la mise en œuvre du plancher, il y ait au centre de la portée une contre-flèche de 1/500 de la portée.</w:t>
      </w:r>
    </w:p>
    <w:p w14:paraId="7AB3A6DB" w14:textId="77777777" w:rsidR="00DB2B68" w:rsidRDefault="00000000">
      <w:pPr>
        <w:jc w:val="both"/>
      </w:pPr>
      <w:r>
        <w:t>Les enchevêtrures et les renforcements locaux (sous les cloisons, aux trémies d'escaliers, aux balcons, etc…) sont exécutés conformément au plan de pose et/ou aux dessins de détail. Ces éléments se situent dans la hauteur réservée au plancher. Pour ces zones, l'entrepreneur soumet une note de calcul séparée à l’approbation de l'auteur de projet et du bureau d’études en stabilité.</w:t>
      </w:r>
    </w:p>
    <w:p w14:paraId="5915093E" w14:textId="77777777" w:rsidR="00DB2B68" w:rsidRDefault="00000000">
      <w:pPr>
        <w:jc w:val="both"/>
      </w:pPr>
      <w:r>
        <w:t>Les enchevêtrures sont calculées et exécutées à l'aide d'éléments de remplissage appropriés ou de poutres transversales munies de barres de suspension, selon les directives données par le fournisseur.</w:t>
      </w:r>
    </w:p>
    <w:p w14:paraId="1710847D" w14:textId="77777777" w:rsidR="00DB2B68" w:rsidRDefault="00000000">
      <w:pPr>
        <w:jc w:val="both"/>
      </w:pPr>
      <w:r>
        <w:rPr>
          <w:b/>
        </w:rPr>
        <w:t>Mise en œuvre de la dalle en béton</w:t>
      </w:r>
    </w:p>
    <w:p w14:paraId="6FB777A3" w14:textId="77777777" w:rsidR="00DB2B68" w:rsidRDefault="00000000">
      <w:pPr>
        <w:jc w:val="both"/>
      </w:pPr>
      <w:r>
        <w:t>La dalle de béton est exécutée en une seule fois sur toute l'épaisseur, de façon telle que celle-ci forme un ensemble avec les éléments sous-jacents.</w:t>
      </w:r>
    </w:p>
    <w:p w14:paraId="6C75AC50" w14:textId="77777777" w:rsidR="00DB2B68" w:rsidRDefault="00000000">
      <w:pPr>
        <w:jc w:val="both"/>
      </w:pPr>
      <w:r>
        <w:t>Avant de couler la dalle, les tôles sont nettoyées.</w:t>
      </w:r>
    </w:p>
    <w:p w14:paraId="79605BE4" w14:textId="77777777" w:rsidR="00DB2B68" w:rsidRDefault="00000000">
      <w:pPr>
        <w:pStyle w:val="pheading"/>
      </w:pPr>
      <w:r>
        <w:t>DOCUMENTS DE RÉFÉRENCE COMPLÉMENTAIRES</w:t>
      </w:r>
    </w:p>
    <w:p w14:paraId="00B22A26" w14:textId="77777777" w:rsidR="00DB2B68" w:rsidRDefault="00000000">
      <w:pPr>
        <w:pStyle w:val="pheading"/>
      </w:pPr>
      <w:r>
        <w:t>- Matériau</w:t>
      </w:r>
    </w:p>
    <w:p w14:paraId="4E07B212" w14:textId="77777777" w:rsidR="00DB2B68" w:rsidRDefault="00000000">
      <w:r>
        <w:t>[NBN EN 1994-1-1, Eurocode 4: Calcul des structures mixtes acier-béton - Partie 1-1: Règles générales et règles pour les bâtiments (+ AC:2009)]</w:t>
      </w:r>
    </w:p>
    <w:p w14:paraId="18473436" w14:textId="77777777" w:rsidR="00DB2B68" w:rsidRDefault="00000000">
      <w:pPr>
        <w:pStyle w:val="pheading"/>
      </w:pPr>
      <w:r>
        <w:t>- Exécution</w:t>
      </w:r>
    </w:p>
    <w:p w14:paraId="7EAAA81F" w14:textId="77777777" w:rsidR="00DB2B68" w:rsidRDefault="00000000">
      <w:r>
        <w:t>[NIT 236, Conception et exécution des dalles mixtes acier-béton.]</w:t>
      </w:r>
    </w:p>
    <w:p w14:paraId="7400A96A" w14:textId="77777777" w:rsidR="00DB2B68" w:rsidRDefault="00000000">
      <w:pPr>
        <w:pStyle w:val="pheading"/>
      </w:pPr>
      <w:r>
        <w:t>MESURAGE</w:t>
      </w:r>
    </w:p>
    <w:p w14:paraId="587046F6" w14:textId="77777777" w:rsidR="00DB2B68" w:rsidRDefault="00000000">
      <w:pPr>
        <w:pStyle w:val="pheading"/>
      </w:pPr>
      <w:r>
        <w:t>- unité de mesure:</w:t>
      </w:r>
    </w:p>
    <w:p w14:paraId="665F2428" w14:textId="77777777" w:rsidR="00DB2B68" w:rsidRDefault="00000000">
      <w:r>
        <w:t>1.2.3. m²</w:t>
      </w:r>
    </w:p>
    <w:p w14:paraId="6AFAF5BC" w14:textId="77777777" w:rsidR="00DB2B68" w:rsidRDefault="00000000">
      <w:pPr>
        <w:pStyle w:val="pheading"/>
      </w:pPr>
      <w:r>
        <w:t>- code de mesurage:</w:t>
      </w:r>
    </w:p>
    <w:p w14:paraId="38B21A05" w14:textId="77777777" w:rsidR="00DB2B68" w:rsidRDefault="00000000">
      <w:pPr>
        <w:jc w:val="both"/>
      </w:pPr>
      <w:r>
        <w:rPr>
          <w:rStyle w:val="optioncarChar"/>
        </w:rPr>
        <w:t>Surface nette, tout compris</w:t>
      </w:r>
      <w:r>
        <w:t xml:space="preserve"> (par défaut) </w:t>
      </w:r>
      <w:r>
        <w:rPr>
          <w:rStyle w:val="optioncarChar"/>
        </w:rPr>
        <w:t>/ Surface nette, aciers métrés séparément / Surface nette, aciers et coffrages métrés séparément</w:t>
      </w:r>
      <w:r>
        <w:t>.</w:t>
      </w:r>
    </w:p>
    <w:p w14:paraId="239CFAE0" w14:textId="77777777" w:rsidR="00DB2B68" w:rsidRDefault="00000000">
      <w:pPr>
        <w:jc w:val="both"/>
      </w:pPr>
      <w:r>
        <w:rPr>
          <w:b/>
        </w:rPr>
        <w:lastRenderedPageBreak/>
        <w:t>(soit par défaut)</w:t>
      </w:r>
    </w:p>
    <w:p w14:paraId="58511AAC" w14:textId="77777777" w:rsidR="00DB2B68" w:rsidRDefault="00000000">
      <w:pPr>
        <w:jc w:val="both"/>
      </w:pPr>
      <w:r>
        <w:rPr>
          <w:rStyle w:val="soitChar"/>
        </w:rPr>
        <w:t xml:space="preserve">1. </w:t>
      </w:r>
      <w:r>
        <w:rPr>
          <w:rStyle w:val="soitChar"/>
          <w:u w:val="single"/>
        </w:rPr>
        <w:t>Surface nette tout compris</w:t>
      </w:r>
      <w:r>
        <w:rPr>
          <w:rStyle w:val="soitChar"/>
        </w:rPr>
        <w:t> : surface nette de plancher, y compris le coffrage, les armatures et les profilés.</w:t>
      </w:r>
    </w:p>
    <w:p w14:paraId="3A791446" w14:textId="77777777" w:rsidR="00DB2B68" w:rsidRDefault="00000000">
      <w:pPr>
        <w:jc w:val="both"/>
      </w:pPr>
      <w:r>
        <w:rPr>
          <w:b/>
        </w:rPr>
        <w:t>(soit)</w:t>
      </w:r>
    </w:p>
    <w:p w14:paraId="520B8876" w14:textId="77777777" w:rsidR="00DB2B68" w:rsidRDefault="00000000">
      <w:pPr>
        <w:jc w:val="both"/>
      </w:pPr>
      <w:r>
        <w:rPr>
          <w:rStyle w:val="soitChar"/>
        </w:rPr>
        <w:t xml:space="preserve">2. </w:t>
      </w:r>
      <w:r>
        <w:rPr>
          <w:rStyle w:val="soitChar"/>
          <w:u w:val="single"/>
        </w:rPr>
        <w:t>Surface nette, aciers métrés séparément</w:t>
      </w:r>
      <w:r>
        <w:rPr>
          <w:rStyle w:val="soitChar"/>
        </w:rPr>
        <w:t xml:space="preserve"> :  surface nette de plancher, y compris le coffrage. Les aciers sont compris et métrés séparément respectivement dans le </w:t>
      </w:r>
      <w:hyperlink w:anchor="492" w:history="1">
        <w:r>
          <w:rPr>
            <w:rStyle w:val="soitChar"/>
            <w:color w:val="0000EE"/>
          </w:rPr>
          <w:t>23.11.1 Poutres en acier laminées à chaud</w:t>
        </w:r>
      </w:hyperlink>
      <w:r>
        <w:rPr>
          <w:rStyle w:val="soitChar"/>
        </w:rPr>
        <w:t xml:space="preserve"> et le </w:t>
      </w:r>
      <w:hyperlink w:anchor="493" w:history="1">
        <w:r>
          <w:rPr>
            <w:rStyle w:val="soitChar"/>
            <w:color w:val="0000EE"/>
          </w:rPr>
          <w:t>22.51.1a Barres d'armatures pour béton</w:t>
        </w:r>
      </w:hyperlink>
      <w:r>
        <w:rPr>
          <w:rStyle w:val="soitChar"/>
        </w:rPr>
        <w:t>.</w:t>
      </w:r>
    </w:p>
    <w:p w14:paraId="1F7EF834" w14:textId="77777777" w:rsidR="00DB2B68" w:rsidRDefault="00000000">
      <w:pPr>
        <w:jc w:val="both"/>
      </w:pPr>
      <w:r>
        <w:rPr>
          <w:b/>
        </w:rPr>
        <w:t>(soit)</w:t>
      </w:r>
    </w:p>
    <w:p w14:paraId="6504947E" w14:textId="77777777" w:rsidR="00DB2B68" w:rsidRDefault="00000000">
      <w:pPr>
        <w:jc w:val="both"/>
      </w:pPr>
      <w:r>
        <w:rPr>
          <w:rStyle w:val="soitChar"/>
        </w:rPr>
        <w:t xml:space="preserve">3. </w:t>
      </w:r>
      <w:r>
        <w:rPr>
          <w:rStyle w:val="soitChar"/>
          <w:u w:val="single"/>
        </w:rPr>
        <w:t>Surface nette, aciers et coffrages métrés séparément</w:t>
      </w:r>
      <w:r>
        <w:rPr>
          <w:rStyle w:val="soitChar"/>
        </w:rPr>
        <w:t xml:space="preserve"> :  surface nette de plancher. Les aciers sont compris et métrés séparément respectivement dans le </w:t>
      </w:r>
      <w:hyperlink w:anchor="492" w:history="1">
        <w:r>
          <w:rPr>
            <w:rStyle w:val="soitChar"/>
            <w:color w:val="0000EE"/>
          </w:rPr>
          <w:t>23.11.1 Poutres en acier laminées à chaud</w:t>
        </w:r>
      </w:hyperlink>
      <w:r>
        <w:rPr>
          <w:rStyle w:val="soitChar"/>
        </w:rPr>
        <w:t xml:space="preserve"> et le </w:t>
      </w:r>
      <w:hyperlink w:anchor="493" w:history="1">
        <w:r>
          <w:rPr>
            <w:rStyle w:val="soitChar"/>
            <w:color w:val="0000EE"/>
          </w:rPr>
          <w:t>22.51.1a Barres d'armatures pour béton</w:t>
        </w:r>
      </w:hyperlink>
      <w:r>
        <w:rPr>
          <w:rStyle w:val="soitChar"/>
        </w:rPr>
        <w:t xml:space="preserve">. Les coffrages sont compris et métrés séparément au </w:t>
      </w:r>
      <w:hyperlink w:anchor="235" w:history="1">
        <w:r>
          <w:rPr>
            <w:rStyle w:val="soitChar"/>
            <w:color w:val="0000EE"/>
          </w:rPr>
          <w:t>22.53 Coffrages</w:t>
        </w:r>
      </w:hyperlink>
      <w:r>
        <w:rPr>
          <w:rStyle w:val="soitChar"/>
        </w:rPr>
        <w:t>.</w:t>
      </w:r>
    </w:p>
    <w:p w14:paraId="7BC1890D" w14:textId="77777777" w:rsidR="00DB2B68" w:rsidRDefault="00000000">
      <w:pPr>
        <w:jc w:val="both"/>
      </w:pPr>
      <w:r>
        <w:t>La surface est mesurée entre le nu intérieur des murs extérieurs. Il ressort de cette convention que les parties du plancher qui reposent sur les murs extérieurs ne sont pas comptées comme plancher, mais comme maçonnerie. Par contre, les parties couvrant et/ou pénétrant dans les murs intérieurs sont comptées avec le béton sur toute l'épaisseur du mur et sont, par conséquent, déduites de la maçonnerie intérieure. Les vides, percements et feuillures supérieures à 0,50 m² sont déduits.</w:t>
      </w:r>
    </w:p>
    <w:p w14:paraId="4AB3AB69" w14:textId="77777777" w:rsidR="00DB2B68" w:rsidRDefault="00000000">
      <w:pPr>
        <w:jc w:val="both"/>
      </w:pPr>
      <w:r>
        <w:t>Le traitement au feu est décrit et comptabilisé séparément au 8 T8 Travaux de peinture / Traitements de surface, sauf pour le traitement par flocage (fibreux ou pâteux) qui est entièrement décrit et comptabilisé au présent article.</w:t>
      </w:r>
    </w:p>
    <w:p w14:paraId="69C3C65D" w14:textId="77777777" w:rsidR="00DB2B68" w:rsidRDefault="00000000">
      <w:pPr>
        <w:pStyle w:val="pheading"/>
      </w:pPr>
      <w:r>
        <w:t>- nature du marché:</w:t>
      </w:r>
    </w:p>
    <w:p w14:paraId="169DDB38" w14:textId="77777777" w:rsidR="00DB2B68" w:rsidRDefault="00000000">
      <w:r>
        <w:t>1.2.3. QF</w:t>
      </w:r>
    </w:p>
    <w:p w14:paraId="40EFA95E" w14:textId="77777777" w:rsidR="00DB2B68" w:rsidRDefault="00000000">
      <w:pPr>
        <w:pStyle w:val="Author-eSectionHeading6Numberless"/>
      </w:pPr>
      <w:bookmarkStart w:id="799" w:name="_Toc220495854"/>
      <w:r>
        <w:t>22.22.2b Planchers mixtes acier-béton avec plaques nervurées en acier CCTB 01.13</w:t>
      </w:r>
      <w:bookmarkEnd w:id="799"/>
    </w:p>
    <w:p w14:paraId="45415390" w14:textId="77777777" w:rsidR="00DB2B68" w:rsidRDefault="00000000">
      <w:pPr>
        <w:pStyle w:val="pheading"/>
      </w:pPr>
      <w:bookmarkStart w:id="800" w:name="554"/>
      <w:bookmarkEnd w:id="800"/>
      <w:r>
        <w:t>DESCRIPTION</w:t>
      </w:r>
    </w:p>
    <w:p w14:paraId="762FA209" w14:textId="77777777" w:rsidR="00DB2B68" w:rsidRDefault="00000000">
      <w:pPr>
        <w:pStyle w:val="pheading"/>
      </w:pPr>
      <w:r>
        <w:t>- Définition / Comprend</w:t>
      </w:r>
    </w:p>
    <w:p w14:paraId="1C683499" w14:textId="77777777" w:rsidR="00DB2B68" w:rsidRDefault="00000000">
      <w:r>
        <w:t>Il s’agit des planchers composés d’une tôle d’acier écrouie à froid recouverte d’une dalle en béton armé. Le système doit être conforme aux normes [NBN EN 1994-1-1] et à la [NIT 236].</w:t>
      </w:r>
    </w:p>
    <w:p w14:paraId="64B698D6" w14:textId="77777777" w:rsidR="00DB2B68" w:rsidRDefault="00000000">
      <w:pPr>
        <w:pStyle w:val="pheading"/>
      </w:pPr>
      <w:r>
        <w:t>MATÉRIAUX</w:t>
      </w:r>
    </w:p>
    <w:p w14:paraId="4C123FFB" w14:textId="77777777" w:rsidR="00DB2B68" w:rsidRDefault="00000000">
      <w:pPr>
        <w:pStyle w:val="pheading"/>
      </w:pPr>
      <w:r>
        <w:t>- Caractéristiques générales</w:t>
      </w:r>
    </w:p>
    <w:p w14:paraId="732D4BC9" w14:textId="77777777" w:rsidR="00DB2B68" w:rsidRDefault="00000000">
      <w:r>
        <w:rPr>
          <w:rStyle w:val="headingChar"/>
        </w:rPr>
        <w:t>Tôles</w:t>
      </w:r>
      <w:r>
        <w:br/>
        <w:t>Les tôles nervurées utilisées sont profilées soit en queue d’aronde, soit sous une forme trapézoïdale, soit en oméga. Elles sont en acier galvanisé. Leur hauteur varie de 40 à 80 mm et leur épaisseur varie de 0,70 à 1,25 mm.</w:t>
      </w:r>
      <w:r>
        <w:br/>
      </w:r>
      <w:r>
        <w:rPr>
          <w:rStyle w:val="headingChar"/>
        </w:rPr>
        <w:t>Armatures</w:t>
      </w:r>
      <w:r>
        <w:br/>
        <w:t xml:space="preserve">• Prise en compte de la tôle comme armature : </w:t>
      </w:r>
      <w:r>
        <w:rPr>
          <w:rStyle w:val="optioncarChar"/>
        </w:rPr>
        <w:t>la tôle constitue l’armature inférieure du plancher / la tôle ne constitue pas l’armature inférieure du plancher et est considérée comme un coffrage perdu</w:t>
      </w:r>
    </w:p>
    <w:p w14:paraId="2BC1426D" w14:textId="77777777" w:rsidR="00DB2B68" w:rsidRDefault="00000000">
      <w:r>
        <w:t xml:space="preserve">• Pourcentage d'armatures : </w:t>
      </w:r>
      <w:r>
        <w:rPr>
          <w:rStyle w:val="optioncarChar"/>
        </w:rPr>
        <w:t>***</w:t>
      </w:r>
      <w:r>
        <w:t xml:space="preserve"> kg d'acier par m</w:t>
      </w:r>
      <w:r>
        <w:rPr>
          <w:vertAlign w:val="superscript"/>
        </w:rPr>
        <w:t>3</w:t>
      </w:r>
      <w:r>
        <w:t xml:space="preserve"> de béton.</w:t>
      </w:r>
    </w:p>
    <w:p w14:paraId="301E125C" w14:textId="77777777" w:rsidR="00DB2B68" w:rsidRDefault="00000000">
      <w:pPr>
        <w:pStyle w:val="Author-eListParagraph"/>
        <w:numPr>
          <w:ilvl w:val="0"/>
          <w:numId w:val="568"/>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0CB32732" w14:textId="77777777" w:rsidR="00DB2B68" w:rsidRDefault="00000000">
      <w:pPr>
        <w:pStyle w:val="Author-eListParagraph"/>
        <w:numPr>
          <w:ilvl w:val="0"/>
          <w:numId w:val="568"/>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8 x 8 / ***x***x***x***</w:t>
      </w:r>
      <w:r>
        <w:t xml:space="preserve"> mm.</w:t>
      </w:r>
    </w:p>
    <w:p w14:paraId="4FF35F7D" w14:textId="77777777" w:rsidR="00DB2B68" w:rsidRDefault="00000000">
      <w:r>
        <w:rPr>
          <w:rStyle w:val="headingChar"/>
        </w:rPr>
        <w:t>Béton</w:t>
      </w:r>
      <w:r>
        <w:br/>
        <w:t>Qualité du béton selon la [NBN EN 206:2013+A2] et la [NBN B 15-001].</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4369AE6B" w14:textId="77777777">
        <w:tc>
          <w:tcPr>
            <w:tcW w:w="1500" w:type="dxa"/>
            <w:noWrap/>
          </w:tcPr>
          <w:p w14:paraId="46A30C56" w14:textId="77777777" w:rsidR="00DB2B68" w:rsidRDefault="00000000">
            <w:pPr>
              <w:jc w:val="center"/>
            </w:pPr>
            <w:r>
              <w:rPr>
                <w:b/>
              </w:rPr>
              <w:t>A</w:t>
            </w:r>
          </w:p>
        </w:tc>
        <w:tc>
          <w:tcPr>
            <w:tcW w:w="1500" w:type="dxa"/>
            <w:noWrap/>
          </w:tcPr>
          <w:p w14:paraId="781D157B" w14:textId="77777777" w:rsidR="00DB2B68" w:rsidRDefault="00000000">
            <w:pPr>
              <w:jc w:val="center"/>
            </w:pPr>
            <w:r>
              <w:rPr>
                <w:b/>
              </w:rPr>
              <w:t>B1</w:t>
            </w:r>
          </w:p>
        </w:tc>
        <w:tc>
          <w:tcPr>
            <w:tcW w:w="1500" w:type="dxa"/>
            <w:noWrap/>
          </w:tcPr>
          <w:p w14:paraId="0ECE1283" w14:textId="77777777" w:rsidR="00DB2B68" w:rsidRDefault="00000000">
            <w:pPr>
              <w:jc w:val="center"/>
            </w:pPr>
            <w:r>
              <w:rPr>
                <w:b/>
              </w:rPr>
              <w:t>B2</w:t>
            </w:r>
          </w:p>
        </w:tc>
        <w:tc>
          <w:tcPr>
            <w:tcW w:w="1500" w:type="dxa"/>
            <w:noWrap/>
          </w:tcPr>
          <w:p w14:paraId="12A8E4C3" w14:textId="77777777" w:rsidR="00DB2B68" w:rsidRDefault="00000000">
            <w:pPr>
              <w:jc w:val="center"/>
            </w:pPr>
            <w:r>
              <w:rPr>
                <w:b/>
              </w:rPr>
              <w:t>C</w:t>
            </w:r>
          </w:p>
        </w:tc>
        <w:tc>
          <w:tcPr>
            <w:tcW w:w="1500" w:type="dxa"/>
            <w:noWrap/>
          </w:tcPr>
          <w:p w14:paraId="745CD704" w14:textId="77777777" w:rsidR="00DB2B68" w:rsidRDefault="00000000">
            <w:pPr>
              <w:jc w:val="center"/>
            </w:pPr>
            <w:r>
              <w:rPr>
                <w:b/>
              </w:rPr>
              <w:t>D</w:t>
            </w:r>
          </w:p>
        </w:tc>
        <w:tc>
          <w:tcPr>
            <w:tcW w:w="1500" w:type="dxa"/>
            <w:noWrap/>
          </w:tcPr>
          <w:p w14:paraId="28B1ADEA" w14:textId="77777777" w:rsidR="00DB2B68" w:rsidRDefault="00000000">
            <w:pPr>
              <w:jc w:val="center"/>
            </w:pPr>
            <w:r>
              <w:rPr>
                <w:b/>
              </w:rPr>
              <w:t>E</w:t>
            </w:r>
          </w:p>
        </w:tc>
      </w:tr>
      <w:tr w:rsidR="00DB2B68" w14:paraId="157B01A3" w14:textId="77777777">
        <w:tc>
          <w:tcPr>
            <w:tcW w:w="1500" w:type="dxa"/>
            <w:noWrap/>
          </w:tcPr>
          <w:p w14:paraId="4855127E" w14:textId="77777777" w:rsidR="00DB2B68" w:rsidRDefault="00000000">
            <w:pPr>
              <w:jc w:val="center"/>
            </w:pPr>
            <w:r>
              <w:rPr>
                <w:b/>
              </w:rPr>
              <w:t xml:space="preserve">Classe de </w:t>
            </w:r>
            <w:r>
              <w:rPr>
                <w:b/>
              </w:rPr>
              <w:lastRenderedPageBreak/>
              <w:t>résistance</w:t>
            </w:r>
          </w:p>
        </w:tc>
        <w:tc>
          <w:tcPr>
            <w:tcW w:w="1500" w:type="dxa"/>
            <w:noWrap/>
          </w:tcPr>
          <w:p w14:paraId="02B33A87" w14:textId="77777777" w:rsidR="00DB2B68" w:rsidRDefault="00000000">
            <w:pPr>
              <w:jc w:val="center"/>
            </w:pPr>
            <w:r>
              <w:rPr>
                <w:b/>
              </w:rPr>
              <w:lastRenderedPageBreak/>
              <w:t xml:space="preserve">Domaine </w:t>
            </w:r>
            <w:r>
              <w:rPr>
                <w:b/>
              </w:rPr>
              <w:lastRenderedPageBreak/>
              <w:t>d’application</w:t>
            </w:r>
          </w:p>
        </w:tc>
        <w:tc>
          <w:tcPr>
            <w:tcW w:w="1500" w:type="dxa"/>
            <w:noWrap/>
          </w:tcPr>
          <w:p w14:paraId="30D8FCD9" w14:textId="77777777" w:rsidR="00DB2B68" w:rsidRDefault="00000000">
            <w:pPr>
              <w:jc w:val="center"/>
            </w:pPr>
            <w:r>
              <w:rPr>
                <w:b/>
              </w:rPr>
              <w:lastRenderedPageBreak/>
              <w:t xml:space="preserve">Classe </w:t>
            </w:r>
            <w:r>
              <w:rPr>
                <w:b/>
              </w:rPr>
              <w:lastRenderedPageBreak/>
              <w:t>d'environnement</w:t>
            </w:r>
          </w:p>
        </w:tc>
        <w:tc>
          <w:tcPr>
            <w:tcW w:w="1500" w:type="dxa"/>
            <w:noWrap/>
          </w:tcPr>
          <w:p w14:paraId="0F68E655" w14:textId="77777777" w:rsidR="00DB2B68" w:rsidRDefault="00000000">
            <w:pPr>
              <w:jc w:val="center"/>
            </w:pPr>
            <w:r>
              <w:rPr>
                <w:b/>
              </w:rPr>
              <w:lastRenderedPageBreak/>
              <w:t xml:space="preserve">Classe de </w:t>
            </w:r>
            <w:r>
              <w:rPr>
                <w:b/>
              </w:rPr>
              <w:lastRenderedPageBreak/>
              <w:t>consistance</w:t>
            </w:r>
          </w:p>
        </w:tc>
        <w:tc>
          <w:tcPr>
            <w:tcW w:w="1500" w:type="dxa"/>
            <w:noWrap/>
          </w:tcPr>
          <w:p w14:paraId="4658F8A9" w14:textId="77777777" w:rsidR="00DB2B68" w:rsidRDefault="00000000">
            <w:pPr>
              <w:jc w:val="center"/>
            </w:pPr>
            <w:r>
              <w:rPr>
                <w:b/>
              </w:rPr>
              <w:lastRenderedPageBreak/>
              <w:t xml:space="preserve">Granulométrie </w:t>
            </w:r>
            <w:r>
              <w:rPr>
                <w:b/>
              </w:rPr>
              <w:lastRenderedPageBreak/>
              <w:t>maximale</w:t>
            </w:r>
          </w:p>
        </w:tc>
        <w:tc>
          <w:tcPr>
            <w:tcW w:w="1500" w:type="dxa"/>
            <w:noWrap/>
          </w:tcPr>
          <w:p w14:paraId="5E48448F" w14:textId="77777777" w:rsidR="00DB2B68" w:rsidRDefault="00000000">
            <w:r>
              <w:rPr>
                <w:b/>
              </w:rPr>
              <w:lastRenderedPageBreak/>
              <w:t xml:space="preserve">Données </w:t>
            </w:r>
            <w:r>
              <w:rPr>
                <w:b/>
              </w:rPr>
              <w:lastRenderedPageBreak/>
              <w:t>complémentaires</w:t>
            </w:r>
          </w:p>
        </w:tc>
      </w:tr>
      <w:tr w:rsidR="00DB2B68" w14:paraId="6BC37CB2" w14:textId="77777777">
        <w:tc>
          <w:tcPr>
            <w:tcW w:w="1500" w:type="dxa"/>
            <w:noWrap/>
          </w:tcPr>
          <w:p w14:paraId="2AFA7BF8" w14:textId="77777777" w:rsidR="00DB2B68" w:rsidRDefault="00000000">
            <w:pPr>
              <w:jc w:val="center"/>
            </w:pPr>
            <w:r>
              <w:rPr>
                <w:rStyle w:val="optioncarChar"/>
              </w:rPr>
              <w:t>C25/30 / C30/37 / C35/45 / C45/55 / C50/60 / C55/67 / C60/75 / C70/85 / C80/95 / C90/105</w:t>
            </w:r>
          </w:p>
        </w:tc>
        <w:tc>
          <w:tcPr>
            <w:tcW w:w="1500" w:type="dxa"/>
            <w:noWrap/>
          </w:tcPr>
          <w:p w14:paraId="6672A3F2" w14:textId="77777777" w:rsidR="00DB2B68" w:rsidRDefault="00000000">
            <w:pPr>
              <w:jc w:val="center"/>
            </w:pPr>
            <w:r>
              <w:t>Béton armé</w:t>
            </w:r>
          </w:p>
          <w:p w14:paraId="5708665C" w14:textId="77777777" w:rsidR="00DB2B68" w:rsidRDefault="00000000">
            <w:pPr>
              <w:jc w:val="center"/>
            </w:pPr>
            <w:r>
              <w:t> </w:t>
            </w:r>
          </w:p>
        </w:tc>
        <w:tc>
          <w:tcPr>
            <w:tcW w:w="1500" w:type="dxa"/>
            <w:noWrap/>
          </w:tcPr>
          <w:p w14:paraId="784BC364" w14:textId="77777777" w:rsidR="00DB2B68" w:rsidRDefault="00000000">
            <w:pPr>
              <w:jc w:val="center"/>
            </w:pPr>
            <w:r>
              <w:rPr>
                <w:rStyle w:val="optioncarChar"/>
              </w:rPr>
              <w:t>E0 / EI / EE1 / EE2 / EE3 / EE4 / ES1 / ES2 / ES3 / ES4 / EA1+*** / EA2+***/ EA3+***</w:t>
            </w:r>
          </w:p>
        </w:tc>
        <w:tc>
          <w:tcPr>
            <w:tcW w:w="1500" w:type="dxa"/>
            <w:noWrap/>
          </w:tcPr>
          <w:p w14:paraId="0D93C9B8" w14:textId="77777777" w:rsidR="00DB2B68" w:rsidRDefault="00000000">
            <w:pPr>
              <w:jc w:val="center"/>
            </w:pPr>
            <w:r>
              <w:t>au choix de l'entrepreneur :</w:t>
            </w:r>
          </w:p>
          <w:p w14:paraId="79AE4B04" w14:textId="77777777" w:rsidR="00DB2B68" w:rsidRDefault="00000000">
            <w:pPr>
              <w:jc w:val="center"/>
            </w:pPr>
            <w:r>
              <w:rPr>
                <w:rStyle w:val="optioncarChar"/>
              </w:rPr>
              <w:t>S3 / S4 / S5</w:t>
            </w:r>
          </w:p>
          <w:p w14:paraId="2E80DAFB" w14:textId="77777777" w:rsidR="00DB2B68" w:rsidRDefault="00000000">
            <w:pPr>
              <w:jc w:val="center"/>
            </w:pPr>
            <w:r>
              <w:rPr>
                <w:rStyle w:val="optioncarChar"/>
              </w:rPr>
              <w:t>F3 / F4 / F5 / F6</w:t>
            </w:r>
            <w:r>
              <w:br/>
            </w:r>
          </w:p>
        </w:tc>
        <w:tc>
          <w:tcPr>
            <w:tcW w:w="1500" w:type="dxa"/>
            <w:noWrap/>
          </w:tcPr>
          <w:p w14:paraId="205D92D9" w14:textId="77777777" w:rsidR="00DB2B68" w:rsidRDefault="00000000">
            <w:pPr>
              <w:jc w:val="center"/>
            </w:pPr>
            <w:r>
              <w:t>au choix de l'entrepreneur :</w:t>
            </w:r>
          </w:p>
          <w:p w14:paraId="40D74322" w14:textId="77777777" w:rsidR="00DB2B68" w:rsidRDefault="00000000">
            <w:pPr>
              <w:jc w:val="center"/>
            </w:pPr>
            <w:r>
              <w:rPr>
                <w:rStyle w:val="optioncarChar"/>
              </w:rPr>
              <w:t>6 / 8 / 10 / 11 / 12 / 14 / 16 / 20 / 22 / 32</w:t>
            </w:r>
            <w:r>
              <w:t xml:space="preserve"> mm</w:t>
            </w:r>
          </w:p>
        </w:tc>
        <w:tc>
          <w:tcPr>
            <w:tcW w:w="1500" w:type="dxa"/>
            <w:noWrap/>
          </w:tcPr>
          <w:p w14:paraId="1D3740F3" w14:textId="77777777" w:rsidR="00DB2B68" w:rsidRDefault="00000000">
            <w:pPr>
              <w:jc w:val="center"/>
            </w:pPr>
            <w:r>
              <w:rPr>
                <w:rStyle w:val="optioncarChar"/>
              </w:rPr>
              <w:t>***</w:t>
            </w:r>
          </w:p>
        </w:tc>
      </w:tr>
    </w:tbl>
    <w:p w14:paraId="4593B160" w14:textId="77777777" w:rsidR="00DB2B68" w:rsidRDefault="00000000">
      <w:r>
        <w:t> </w:t>
      </w:r>
    </w:p>
    <w:p w14:paraId="4E087B54"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6701BFC" w14:textId="77777777" w:rsidR="00DB2B68" w:rsidRDefault="00000000">
      <w:pPr>
        <w:pStyle w:val="Author-eListParagraph"/>
        <w:numPr>
          <w:ilvl w:val="0"/>
          <w:numId w:val="569"/>
        </w:numPr>
      </w:pPr>
      <w:r>
        <w:t xml:space="preserve">Classe de viscosité apparente : </w:t>
      </w:r>
      <w:r>
        <w:rPr>
          <w:rStyle w:val="optioncarChar"/>
        </w:rPr>
        <w:t>VS1 / VS2</w:t>
      </w:r>
      <w:r>
        <w:t xml:space="preserve"> (selon la [NBN EN 12350-8] )</w:t>
      </w:r>
    </w:p>
    <w:p w14:paraId="05EE5D8E" w14:textId="77777777" w:rsidR="00DB2B68" w:rsidRDefault="00000000">
      <w:pPr>
        <w:pStyle w:val="Author-eListParagraph"/>
        <w:numPr>
          <w:ilvl w:val="0"/>
          <w:numId w:val="56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2487BD3F" w14:textId="77777777" w:rsidR="00DB2B68" w:rsidRDefault="00000000">
      <w:pPr>
        <w:pStyle w:val="Author-eListParagraph"/>
        <w:numPr>
          <w:ilvl w:val="0"/>
          <w:numId w:val="56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673D742" w14:textId="77777777" w:rsidR="00DB2B68" w:rsidRDefault="00000000">
      <w:r>
        <w:rPr>
          <w:rStyle w:val="headingChar"/>
        </w:rPr>
        <w:t>Connexion Acier-Béton Dans La Dalle Mixte</w:t>
      </w:r>
      <w:r>
        <w:br/>
        <w:t>Pour que l’acier et le béton constituent un ensemble structural monolithique, il est nécessaire qu’ils soient solidarisés</w:t>
      </w:r>
      <w:r>
        <w:rPr>
          <w:rStyle w:val="optioncarChar"/>
        </w:rPr>
        <w:t xml:space="preserve"> par une géométrie particulière de la tôle </w:t>
      </w:r>
      <w:r>
        <w:t>(par défaut)</w:t>
      </w:r>
      <w:r>
        <w:rPr>
          <w:rStyle w:val="optioncarChar"/>
        </w:rPr>
        <w:t xml:space="preserve"> / une liaison mécanique / un ancrage d’about par soudure / un ancrage d’about par déformation</w:t>
      </w:r>
      <w:r>
        <w:br/>
      </w:r>
      <w:r>
        <w:rPr>
          <w:b/>
        </w:rPr>
        <w:t>(soit par défaut)</w:t>
      </w:r>
      <w:r>
        <w:br/>
      </w:r>
      <w:r>
        <w:rPr>
          <w:rStyle w:val="soitChar"/>
        </w:rPr>
        <w:t xml:space="preserve">1. </w:t>
      </w:r>
      <w:r>
        <w:rPr>
          <w:rStyle w:val="soitChar"/>
          <w:u w:val="single"/>
        </w:rPr>
        <w:t>par une géométrie particulière</w:t>
      </w:r>
      <w:r>
        <w:br/>
      </w:r>
      <w:r>
        <w:rPr>
          <w:rStyle w:val="soitChar"/>
        </w:rPr>
        <w:t>Une géométrie particulière de la section de la tôle assure le transfert de cisaillement par frottement</w:t>
      </w:r>
      <w:r>
        <w:br/>
      </w:r>
      <w:r>
        <w:rPr>
          <w:b/>
        </w:rPr>
        <w:t>(soit)</w:t>
      </w:r>
      <w:r>
        <w:br/>
      </w:r>
      <w:r>
        <w:rPr>
          <w:rStyle w:val="soitChar"/>
        </w:rPr>
        <w:t xml:space="preserve">2. </w:t>
      </w:r>
      <w:r>
        <w:rPr>
          <w:rStyle w:val="soitChar"/>
          <w:u w:val="single"/>
        </w:rPr>
        <w:t>par une liaison mécanique</w:t>
      </w:r>
      <w:r>
        <w:br/>
      </w:r>
      <w:r>
        <w:rPr>
          <w:rStyle w:val="soitChar"/>
        </w:rPr>
        <w:t>Il s’agit d’une liaison mécanique obtenue par une déformation du profil à l’aide d’indentations ou de bosselages</w:t>
      </w:r>
      <w:r>
        <w:br/>
      </w:r>
      <w:r>
        <w:rPr>
          <w:b/>
        </w:rPr>
        <w:t>(soit)</w:t>
      </w:r>
      <w:r>
        <w:br/>
      </w:r>
      <w:r>
        <w:rPr>
          <w:rStyle w:val="soitChar"/>
        </w:rPr>
        <w:t xml:space="preserve">3. </w:t>
      </w:r>
      <w:r>
        <w:rPr>
          <w:rStyle w:val="soitChar"/>
          <w:u w:val="single"/>
        </w:rPr>
        <w:t>par un ancrage d’about par soudure</w:t>
      </w:r>
      <w:r>
        <w:br/>
      </w:r>
      <w:r>
        <w:rPr>
          <w:rStyle w:val="soitChar"/>
        </w:rPr>
        <w:t>L’ancrage d’about est réalisé au moyen de goujons soudés</w:t>
      </w:r>
      <w:r>
        <w:br/>
      </w:r>
      <w:r>
        <w:rPr>
          <w:b/>
        </w:rPr>
        <w:t>(soit)</w:t>
      </w:r>
      <w:r>
        <w:br/>
      </w:r>
      <w:r>
        <w:rPr>
          <w:rStyle w:val="soitChar"/>
        </w:rPr>
        <w:t xml:space="preserve">4. </w:t>
      </w:r>
      <w:r>
        <w:rPr>
          <w:rStyle w:val="soitChar"/>
          <w:u w:val="single"/>
        </w:rPr>
        <w:t>par un ancrage d’about par déformation</w:t>
      </w:r>
      <w:r>
        <w:br/>
      </w:r>
      <w:r>
        <w:rPr>
          <w:rStyle w:val="soitChar"/>
        </w:rPr>
        <w:t>L’ancrage d’about est réalisé par une déformation des nervures à l’extrémité des tôles.</w:t>
      </w:r>
    </w:p>
    <w:p w14:paraId="2515A963" w14:textId="77777777" w:rsidR="00DB2B68" w:rsidRDefault="00000000">
      <w:pPr>
        <w:pStyle w:val="pheading"/>
      </w:pPr>
      <w:r>
        <w:t>- Prescriptions complémentaires</w:t>
      </w:r>
    </w:p>
    <w:p w14:paraId="4B100D76" w14:textId="77777777" w:rsidR="00DB2B68" w:rsidRDefault="00000000">
      <w:r>
        <w:t xml:space="preserve">Résistance au feu : pour les éléments porteurs et structurels sans fonction séparant </w:t>
      </w:r>
      <w:r>
        <w:rPr>
          <w:rStyle w:val="optioncarChar"/>
        </w:rPr>
        <w:t>R15 / R30 </w:t>
      </w:r>
      <w:r>
        <w:t>(par défaut)</w:t>
      </w:r>
      <w:r>
        <w:rPr>
          <w:rStyle w:val="optioncarChar"/>
        </w:rPr>
        <w:t xml:space="preserve"> / R60 / R120 / R *** / *** </w:t>
      </w:r>
      <w:r>
        <w:t xml:space="preserve">et pour les éléments porteurs et structurels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41E1412F" w14:textId="77777777" w:rsidR="00DB2B68" w:rsidRDefault="00000000">
      <w:pPr>
        <w:pStyle w:val="pheading"/>
      </w:pPr>
      <w:r>
        <w:t>EXÉCUTION / MISE EN ŒUVRE</w:t>
      </w:r>
    </w:p>
    <w:p w14:paraId="798E6F54" w14:textId="77777777" w:rsidR="00DB2B68" w:rsidRDefault="00000000">
      <w:pPr>
        <w:pStyle w:val="pheading"/>
      </w:pPr>
      <w:r>
        <w:t>- Prescriptions générales</w:t>
      </w:r>
    </w:p>
    <w:p w14:paraId="6851DFC0" w14:textId="77777777" w:rsidR="00DB2B68" w:rsidRDefault="00000000">
      <w:r>
        <w:t xml:space="preserve">Les faces supérieure et inférieure des planchers mixtes correspondent aux cotes de niveau et à l'épaisseur de la finition des planchers selon les indications sur les plans d'exécution. La face </w:t>
      </w:r>
      <w:r>
        <w:lastRenderedPageBreak/>
        <w:t>inférieure des planchers mixtes se situe dans un seul et même plan.</w:t>
      </w:r>
      <w:r>
        <w:br/>
        <w:t xml:space="preserve">La hauteur de construction des planchers de sol mixtes est de maximum </w:t>
      </w:r>
      <w:r>
        <w:rPr>
          <w:rStyle w:val="optioncarChar"/>
        </w:rPr>
        <w:t>***</w:t>
      </w:r>
      <w:r>
        <w:t xml:space="preserve"> cm.</w:t>
      </w:r>
    </w:p>
    <w:p w14:paraId="2801BADE" w14:textId="77777777" w:rsidR="00DB2B68" w:rsidRDefault="00000000">
      <w:r>
        <w:rPr>
          <w:rStyle w:val="headingChar"/>
        </w:rPr>
        <w:t>Appuis</w:t>
      </w:r>
    </w:p>
    <w:p w14:paraId="656AA2A0" w14:textId="77777777" w:rsidR="00DB2B68" w:rsidRDefault="00000000">
      <w:pPr>
        <w:pStyle w:val="Author-eListParagraph"/>
        <w:numPr>
          <w:ilvl w:val="0"/>
          <w:numId w:val="570"/>
        </w:numPr>
      </w:pPr>
      <w:r>
        <w:t xml:space="preserve">Les appuis sont réalisés sur </w:t>
      </w:r>
      <w:r>
        <w:rPr>
          <w:rStyle w:val="optioncarChar"/>
        </w:rPr>
        <w:t>support béton </w:t>
      </w:r>
      <w:r>
        <w:t>(par défaut)</w:t>
      </w:r>
      <w:r>
        <w:rPr>
          <w:rStyle w:val="optioncarChar"/>
        </w:rPr>
        <w:t xml:space="preserve"> / support métallique avec goujons / support métallique avec équerre</w:t>
      </w:r>
    </w:p>
    <w:p w14:paraId="46EDB502" w14:textId="77777777" w:rsidR="00DB2B68" w:rsidRDefault="00000000">
      <w:pPr>
        <w:ind w:left="567"/>
      </w:pPr>
      <w:r>
        <w:rPr>
          <w:b/>
        </w:rPr>
        <w:t>(soit par défaut )</w:t>
      </w:r>
      <w:r>
        <w:br/>
      </w:r>
      <w:r>
        <w:rPr>
          <w:rStyle w:val="soitChar"/>
        </w:rPr>
        <w:t xml:space="preserve">1. </w:t>
      </w:r>
      <w:r>
        <w:rPr>
          <w:rStyle w:val="soitChar"/>
          <w:u w:val="single"/>
        </w:rPr>
        <w:t>sur support béton</w:t>
      </w:r>
      <w:r>
        <w:br/>
      </w:r>
      <w:r>
        <w:rPr>
          <w:rStyle w:val="soitChar"/>
        </w:rPr>
        <w:t>sur support en béton avec des étriers dépassants</w:t>
      </w:r>
      <w:r>
        <w:br/>
      </w:r>
      <w:r>
        <w:rPr>
          <w:b/>
        </w:rPr>
        <w:t>(soit)</w:t>
      </w:r>
      <w:r>
        <w:br/>
      </w:r>
      <w:r>
        <w:rPr>
          <w:rStyle w:val="soitChar"/>
        </w:rPr>
        <w:t xml:space="preserve">2. </w:t>
      </w:r>
      <w:r>
        <w:rPr>
          <w:rStyle w:val="soitChar"/>
          <w:u w:val="single"/>
        </w:rPr>
        <w:t>sur support métallique avec goujons</w:t>
      </w:r>
      <w:r>
        <w:br/>
      </w:r>
      <w:r>
        <w:rPr>
          <w:rStyle w:val="soitChar"/>
        </w:rPr>
        <w:t>sur support métallique avec des goujons soudés</w:t>
      </w:r>
      <w:r>
        <w:br/>
      </w:r>
      <w:r>
        <w:rPr>
          <w:b/>
        </w:rPr>
        <w:t>(soit)</w:t>
      </w:r>
      <w:r>
        <w:br/>
      </w:r>
      <w:r>
        <w:rPr>
          <w:rStyle w:val="soitChar"/>
        </w:rPr>
        <w:t xml:space="preserve">3. </w:t>
      </w:r>
      <w:r>
        <w:rPr>
          <w:rStyle w:val="soitChar"/>
          <w:u w:val="single"/>
        </w:rPr>
        <w:t>sur support métallique avec équerre</w:t>
      </w:r>
      <w:r>
        <w:br/>
      </w:r>
      <w:r>
        <w:rPr>
          <w:rStyle w:val="soitChar"/>
        </w:rPr>
        <w:t>sur support métallique avec des équerres clouées</w:t>
      </w:r>
    </w:p>
    <w:p w14:paraId="2845E23F" w14:textId="77777777" w:rsidR="00DB2B68" w:rsidRDefault="00000000">
      <w:pPr>
        <w:pStyle w:val="Author-eListParagraph"/>
        <w:numPr>
          <w:ilvl w:val="0"/>
          <w:numId w:val="571"/>
        </w:numPr>
      </w:pPr>
      <w:r>
        <w:t>Les étais éventuels sont disposés de façon telle que, lors de la mise en œuvre du plancher, il y ait au centre de la portée une contre-flèche de 1/500 de la portée.</w:t>
      </w:r>
    </w:p>
    <w:p w14:paraId="1C056088" w14:textId="77777777" w:rsidR="00DB2B68" w:rsidRDefault="00000000">
      <w:pPr>
        <w:pStyle w:val="Author-eListParagraph"/>
        <w:numPr>
          <w:ilvl w:val="0"/>
          <w:numId w:val="572"/>
        </w:numPr>
      </w:pPr>
      <w:r>
        <w:t>L'enlèvement des accessoires se fait au plus tôt après 21 jours et après le nettoyage éventuel des faces apparentes. Ce n'est qu'après l'enlèvement des étais que les éventuelles cloisons peuvent être construites à l'étage.</w:t>
      </w:r>
    </w:p>
    <w:p w14:paraId="15550C7D" w14:textId="77777777" w:rsidR="00DB2B68" w:rsidRDefault="00000000">
      <w:r>
        <w:rPr>
          <w:rStyle w:val="headingChar"/>
        </w:rPr>
        <w:t>Mise En Œuvre Des Tôles</w:t>
      </w:r>
    </w:p>
    <w:p w14:paraId="7ACCCB08" w14:textId="77777777" w:rsidR="00DB2B68" w:rsidRDefault="00000000">
      <w:pPr>
        <w:pStyle w:val="Author-eListParagraph"/>
        <w:numPr>
          <w:ilvl w:val="0"/>
          <w:numId w:val="573"/>
        </w:numPr>
      </w:pPr>
      <w:r>
        <w:t>Les tôles sont posées dans le sens et de la façon indiquée sur les plans de pose approuvés par l'auteur de projet.</w:t>
      </w:r>
    </w:p>
    <w:p w14:paraId="1D95F7E1" w14:textId="77777777" w:rsidR="00DB2B68" w:rsidRDefault="00000000">
      <w:pPr>
        <w:pStyle w:val="Author-eListParagraph"/>
        <w:numPr>
          <w:ilvl w:val="0"/>
          <w:numId w:val="573"/>
        </w:numPr>
      </w:pPr>
      <w:r>
        <w:t>Les ouvertures en bord de dalle, les trous de forage et percements quelconques sont obturés.</w:t>
      </w:r>
    </w:p>
    <w:p w14:paraId="1D5343E3" w14:textId="77777777" w:rsidR="00DB2B68" w:rsidRDefault="00000000">
      <w:pPr>
        <w:pStyle w:val="Author-eListParagraph"/>
        <w:numPr>
          <w:ilvl w:val="0"/>
          <w:numId w:val="573"/>
        </w:numPr>
      </w:pPr>
      <w:r>
        <w:t>La longueur de l'appui sur acier, sur béton, sur bois ou sur maçonnerie est mentionnée sur le plan de pose.</w:t>
      </w:r>
    </w:p>
    <w:p w14:paraId="1E602A71" w14:textId="77777777" w:rsidR="00DB2B68" w:rsidRDefault="00000000">
      <w:pPr>
        <w:pStyle w:val="Author-eListParagraph"/>
        <w:numPr>
          <w:ilvl w:val="0"/>
          <w:numId w:val="573"/>
        </w:numPr>
      </w:pPr>
      <w:r>
        <w:t>Les enchevêtrures et les renforcements locaux (sous les cloisons, aux trémies d'escaliers, aux balcons, etc.) sont exécutés conformément au plan de pose et/ou aux dessins de détail. Ces éléments doivent se situer dans la hauteur réservée au plancher. Pour ces zones, l'entrepreneur soumet une note de calcul séparée. Les enchevêtrures doivent être calculées et exécutées à l'aide d'éléments de remplissage appropriés ou de poutres transversales munies de barres de suspension, selon les directives données par le fournisseur.</w:t>
      </w:r>
    </w:p>
    <w:p w14:paraId="6A48F5C2" w14:textId="77777777" w:rsidR="00DB2B68" w:rsidRDefault="00000000">
      <w:r>
        <w:rPr>
          <w:rStyle w:val="headingChar"/>
        </w:rPr>
        <w:t>Exécution De La Dalle De Béton</w:t>
      </w:r>
      <w:r>
        <w:br/>
        <w:t>La dalle de béton est exécutée en une seule fois sur toute l'épaisseur, de façon telle que celle-ci forme un ensemble avec les éléments sous-jacents. Avant de couler la dalle, les tôles sont nettoyées.</w:t>
      </w:r>
    </w:p>
    <w:p w14:paraId="0C0902F9" w14:textId="77777777" w:rsidR="00DB2B68" w:rsidRDefault="00000000">
      <w:pPr>
        <w:pStyle w:val="pheading"/>
      </w:pPr>
      <w:r>
        <w:t>MESURAGE</w:t>
      </w:r>
    </w:p>
    <w:p w14:paraId="50C3C8B9" w14:textId="77777777" w:rsidR="00DB2B68" w:rsidRDefault="00000000">
      <w:r>
        <w:t>Conformément à la nature du plancher, aux indications spécifiques dans le cahier spécial des charges et/ou le métré récapitulatif, le mesurage doit être conçu comme suit :</w:t>
      </w:r>
    </w:p>
    <w:p w14:paraId="01F838E1" w14:textId="77777777" w:rsidR="00DB2B68" w:rsidRDefault="00000000">
      <w:pPr>
        <w:pStyle w:val="pheading"/>
      </w:pPr>
      <w:r>
        <w:t>- unité de mesure:</w:t>
      </w:r>
    </w:p>
    <w:p w14:paraId="2AAAB0C9" w14:textId="77777777" w:rsidR="00DB2B68" w:rsidRDefault="00000000">
      <w:r>
        <w:t xml:space="preserve">unité de mesure: </w:t>
      </w:r>
      <w:r>
        <w:rPr>
          <w:rStyle w:val="optioncarChar"/>
        </w:rPr>
        <w:t>m² </w:t>
      </w:r>
      <w:r>
        <w:t>(par défaut)</w:t>
      </w:r>
      <w:r>
        <w:rPr>
          <w:rStyle w:val="optioncarChar"/>
        </w:rPr>
        <w:t xml:space="preserve"> / selon bordereau / béton et acier / séparément</w:t>
      </w:r>
      <w:r>
        <w:br/>
      </w:r>
      <w:r>
        <w:rPr>
          <w:b/>
        </w:rPr>
        <w:t>(soit par défaut)</w:t>
      </w:r>
      <w:r>
        <w:br/>
      </w:r>
      <w:r>
        <w:rPr>
          <w:rStyle w:val="soitChar"/>
        </w:rPr>
        <w:t xml:space="preserve">1. </w:t>
      </w:r>
      <w:r>
        <w:rPr>
          <w:rStyle w:val="soitChar"/>
          <w:u w:val="single"/>
        </w:rPr>
        <w:t>m²</w:t>
      </w:r>
      <w:r>
        <w:br/>
      </w:r>
      <w:r>
        <w:rPr>
          <w:rStyle w:val="soitChar"/>
        </w:rPr>
        <w:t>Tous les éléments nécessaires, travaux et fournitures (coffrages et armatures) sont compris dans le prix unitaire (pour l'ensemble ou, le cas échéant, ventilé en fonction de la nature, de l'épaisseur et/ou de la charge d’exploitation).</w:t>
      </w:r>
      <w:r>
        <w:br/>
      </w:r>
      <w:r>
        <w:rPr>
          <w:b/>
        </w:rPr>
        <w:t>(soit)</w:t>
      </w:r>
      <w:r>
        <w:br/>
      </w:r>
      <w:r>
        <w:rPr>
          <w:rStyle w:val="soitChar"/>
        </w:rPr>
        <w:t>2.</w:t>
      </w:r>
      <w:r>
        <w:rPr>
          <w:rStyle w:val="soitChar"/>
          <w:u w:val="single"/>
        </w:rPr>
        <w:t xml:space="preserve"> Selon bordereau</w:t>
      </w:r>
      <w:r>
        <w:br/>
      </w:r>
      <w:r>
        <w:rPr>
          <w:rStyle w:val="soitChar"/>
        </w:rPr>
        <w:t xml:space="preserve">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r>
        <w:br/>
      </w:r>
      <w:r>
        <w:rPr>
          <w:b/>
        </w:rPr>
        <w:t>(soit)</w:t>
      </w:r>
      <w:r>
        <w:br/>
      </w:r>
      <w:r>
        <w:rPr>
          <w:rStyle w:val="soitChar"/>
        </w:rPr>
        <w:lastRenderedPageBreak/>
        <w:t xml:space="preserve">3. </w:t>
      </w:r>
      <w:r>
        <w:rPr>
          <w:rStyle w:val="soitChar"/>
          <w:u w:val="single"/>
        </w:rPr>
        <w:t>Béton et acier</w:t>
      </w:r>
      <w:r>
        <w:br/>
      </w:r>
      <w:r>
        <w:rPr>
          <w:rStyle w:val="soitChar"/>
        </w:rPr>
        <w:t>• m³ pour le béton</w:t>
      </w:r>
      <w:r>
        <w:br/>
      </w:r>
      <w:r>
        <w:rPr>
          <w:rStyle w:val="soitChar"/>
        </w:rPr>
        <w:t>• kg pour la tôle et les armatures</w:t>
      </w:r>
      <w:r>
        <w:br/>
      </w:r>
      <w:r>
        <w:rPr>
          <w:rStyle w:val="soitChar"/>
        </w:rPr>
        <w:t xml:space="preserve">• Tous les autres éléments, travaux et fournitures doivent être compris dans les prix unitaires respectifs pour les mesurages précités. </w:t>
      </w:r>
      <w:r>
        <w:br/>
      </w:r>
      <w:r>
        <w:rPr>
          <w:b/>
        </w:rPr>
        <w:t>(soit)</w:t>
      </w:r>
      <w:r>
        <w:br/>
      </w:r>
      <w:r>
        <w:rPr>
          <w:rStyle w:val="soitChar"/>
        </w:rPr>
        <w:t xml:space="preserve">4. </w:t>
      </w:r>
      <w:r>
        <w:rPr>
          <w:rStyle w:val="soitChar"/>
          <w:u w:val="single"/>
        </w:rPr>
        <w:t>séparément</w:t>
      </w:r>
      <w:r>
        <w:br/>
      </w:r>
      <w:r>
        <w:rPr>
          <w:rStyle w:val="soitChar"/>
        </w:rPr>
        <w:t>• m³ pour la dalle de béton (en mentionnant l'épaisseur ...)</w:t>
      </w:r>
      <w:r>
        <w:br/>
      </w:r>
      <w:r>
        <w:rPr>
          <w:rStyle w:val="soitChar"/>
        </w:rPr>
        <w:t>• kg pour la tôle et les armatures</w:t>
      </w:r>
      <w:r>
        <w:br/>
      </w:r>
      <w:r>
        <w:rPr>
          <w:rStyle w:val="soitChar"/>
        </w:rPr>
        <w:t>• Pièces divergentes et pièces spéciales : à la pièce (selon les dimensions identiques ou indications standards).</w:t>
      </w:r>
      <w:r>
        <w:b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714CC677" w14:textId="77777777" w:rsidR="00DB2B68" w:rsidRDefault="00000000">
      <w:pPr>
        <w:pStyle w:val="pheading"/>
      </w:pPr>
      <w:r>
        <w:t>- code de mesurage:</w:t>
      </w:r>
    </w:p>
    <w:p w14:paraId="2966C3F6" w14:textId="77777777" w:rsidR="00DB2B68"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66786A3D" w14:textId="77777777" w:rsidR="00DB2B68" w:rsidRDefault="00000000">
      <w:pPr>
        <w:pStyle w:val="pheading"/>
      </w:pPr>
      <w:r>
        <w:t>- nature du marché:</w:t>
      </w:r>
    </w:p>
    <w:p w14:paraId="34909701" w14:textId="77777777" w:rsidR="00DB2B68" w:rsidRDefault="00000000">
      <w:r>
        <w:t>QF</w:t>
      </w:r>
    </w:p>
    <w:p w14:paraId="29FDC9F8" w14:textId="77777777" w:rsidR="00DB2B68" w:rsidRDefault="00000000">
      <w:pPr>
        <w:pStyle w:val="Author-eSectionHeading6Numberless"/>
      </w:pPr>
      <w:bookmarkStart w:id="801" w:name="_Toc220495855"/>
      <w:r>
        <w:t>22.22.2c Planchers mixtes bois-béton CCTB 01.04</w:t>
      </w:r>
      <w:bookmarkEnd w:id="801"/>
    </w:p>
    <w:p w14:paraId="083A0950" w14:textId="77777777" w:rsidR="00DB2B68" w:rsidRDefault="00000000">
      <w:pPr>
        <w:pStyle w:val="pheading"/>
      </w:pPr>
      <w:r>
        <w:t>DESCRIPTION</w:t>
      </w:r>
    </w:p>
    <w:p w14:paraId="3583E9DA" w14:textId="77777777" w:rsidR="00DB2B68" w:rsidRDefault="00000000">
      <w:pPr>
        <w:pStyle w:val="pheading"/>
      </w:pPr>
      <w:r>
        <w:t>- Définition / Comprend</w:t>
      </w:r>
    </w:p>
    <w:p w14:paraId="20AF14FB" w14:textId="77777777" w:rsidR="00DB2B68" w:rsidRDefault="00000000">
      <w:r>
        <w:t>Le plancher mixte en bois-béton se rapproche du plancher traditionnel en bois sur lequel une dalle en béton est coulée. La différence essentielle réside dans la collaboration entre les deux matériaux grâce à la liaison mécanique obtenue par des connecteurs.</w:t>
      </w:r>
    </w:p>
    <w:p w14:paraId="77C4B147" w14:textId="77777777" w:rsidR="00DB2B68" w:rsidRDefault="00000000">
      <w:r>
        <w:t>Concrètement, la dalle en béton remplit, en travée, la fonction de table de compression, alors que la poutre en bois, située dans la partie inférieure, est essentiellement tendue. Par conséquent, les deux matériaux sont soumis à des contraintes en parfait accord avec leurs meilleures propriétés pour former une dalle ‘nervurée’. Dans le cas où la poutre est continue sur appuis, la participation de la dalle à la résistance est obtenue par une armature supérieure capable de reprendre les efforts de traction, la poutre en bois étant alors partiellement comprimée. Voir [Buildwise Méthode de dimensionnement Rapport 13].</w:t>
      </w:r>
    </w:p>
    <w:p w14:paraId="4FD1F7AA" w14:textId="77777777" w:rsidR="00DB2B68" w:rsidRDefault="00000000">
      <w:pPr>
        <w:pStyle w:val="pheading"/>
      </w:pPr>
      <w:r>
        <w:t>MATÉRIAUX</w:t>
      </w:r>
    </w:p>
    <w:p w14:paraId="45170CCC" w14:textId="77777777" w:rsidR="00DB2B68" w:rsidRDefault="00000000">
      <w:pPr>
        <w:pStyle w:val="pheading"/>
      </w:pPr>
      <w:r>
        <w:t>- Caractéristiques générales</w:t>
      </w:r>
    </w:p>
    <w:p w14:paraId="2052D85C" w14:textId="77777777" w:rsidR="00DB2B68" w:rsidRDefault="00000000">
      <w:r>
        <w:t>Le plancher mixte en bois-béton se rapproche du plancher traditionnel en bois sur lequel une dalle en béton est coulée. La différence essentielle réside dans la collaboration entre les deux matériaux grâce à la liaison mécanique obtenue par des connecteurs. Voir [Buildwise Méthode de dimensionnement Rapport 13].</w:t>
      </w:r>
    </w:p>
    <w:p w14:paraId="25430AA1" w14:textId="77777777" w:rsidR="00DB2B68" w:rsidRDefault="00000000">
      <w:pPr>
        <w:pStyle w:val="Author-eSectionHeading4Numberless"/>
      </w:pPr>
      <w:bookmarkStart w:id="802" w:name="_Toc220495856"/>
      <w:r>
        <w:t>22.23 Charpentes de toiture en béton CCTB 01.04</w:t>
      </w:r>
      <w:bookmarkEnd w:id="802"/>
    </w:p>
    <w:p w14:paraId="17FB87BA" w14:textId="77777777" w:rsidR="00DB2B68" w:rsidRDefault="00000000">
      <w:pPr>
        <w:pStyle w:val="Author-eSectionHeading5Numberless"/>
      </w:pPr>
      <w:bookmarkStart w:id="803" w:name="_Toc220495857"/>
      <w:r>
        <w:t>22.23.1 Charpentes de toiture en béton coulé en place CCTB 01.04</w:t>
      </w:r>
      <w:bookmarkEnd w:id="803"/>
    </w:p>
    <w:p w14:paraId="279297C1" w14:textId="77777777" w:rsidR="00DB2B68" w:rsidRDefault="00000000">
      <w:pPr>
        <w:pStyle w:val="Author-eSectionHeading6Numberless"/>
      </w:pPr>
      <w:bookmarkStart w:id="804" w:name="_Toc220495858"/>
      <w:r>
        <w:t>22.23.1a Fermes de toiture en béton coulé en place CCTB 01.04</w:t>
      </w:r>
      <w:bookmarkEnd w:id="804"/>
    </w:p>
    <w:p w14:paraId="3DD48EE5" w14:textId="77777777" w:rsidR="00DB2B68" w:rsidRDefault="00000000">
      <w:pPr>
        <w:pStyle w:val="Author-eSectionHeading6Numberless"/>
      </w:pPr>
      <w:bookmarkStart w:id="805" w:name="_Toc220495859"/>
      <w:r>
        <w:lastRenderedPageBreak/>
        <w:t>22.23.1b Charpentes de toiture en béton coulé en place CCTB 01.04</w:t>
      </w:r>
      <w:bookmarkEnd w:id="805"/>
    </w:p>
    <w:p w14:paraId="1E7AC17B" w14:textId="77777777" w:rsidR="00DB2B68" w:rsidRDefault="00000000">
      <w:pPr>
        <w:pStyle w:val="Author-eSectionHeading5Numberless"/>
      </w:pPr>
      <w:bookmarkStart w:id="806" w:name="_Toc220495860"/>
      <w:r>
        <w:t>22.23.2 Charpentes de toiture en béton apparent (esthétique) coulé en place CCTB 01.04</w:t>
      </w:r>
      <w:bookmarkEnd w:id="806"/>
    </w:p>
    <w:p w14:paraId="665D60CD" w14:textId="77777777" w:rsidR="00DB2B68" w:rsidRDefault="00000000">
      <w:pPr>
        <w:pStyle w:val="Author-eSectionHeading6Numberless"/>
      </w:pPr>
      <w:bookmarkStart w:id="807" w:name="_Toc220495861"/>
      <w:r>
        <w:t>22.23.2a Fermes de toiture en béton apparent (esthétique) coulé en place CCTB 01.04</w:t>
      </w:r>
      <w:bookmarkEnd w:id="807"/>
    </w:p>
    <w:p w14:paraId="27577F80" w14:textId="77777777" w:rsidR="00DB2B68" w:rsidRDefault="00000000">
      <w:pPr>
        <w:pStyle w:val="Author-eSectionHeading6Numberless"/>
      </w:pPr>
      <w:bookmarkStart w:id="808" w:name="_Toc220495862"/>
      <w:r>
        <w:t>22.23.2b Charpentes de toiture en béton apparent (esthétique) coulé en place CCTB 01.04</w:t>
      </w:r>
      <w:bookmarkEnd w:id="808"/>
    </w:p>
    <w:p w14:paraId="62C321F9" w14:textId="77777777" w:rsidR="00DB2B68" w:rsidRDefault="00000000">
      <w:pPr>
        <w:pStyle w:val="Author-eSectionHeading5Numberless"/>
      </w:pPr>
      <w:bookmarkStart w:id="809" w:name="_Toc220495863"/>
      <w:r>
        <w:t>22.23.3 Charpentes de toiture préfabriquées en béton CCTB 01.04</w:t>
      </w:r>
      <w:bookmarkEnd w:id="809"/>
    </w:p>
    <w:p w14:paraId="72FB2A71" w14:textId="77777777" w:rsidR="00DB2B68" w:rsidRDefault="00000000">
      <w:pPr>
        <w:pStyle w:val="Author-eSectionHeading6Numberless"/>
      </w:pPr>
      <w:bookmarkStart w:id="810" w:name="_Toc220495864"/>
      <w:r>
        <w:t>22.23.3a Fermes de toiture préfabriquées en béton armé CCTB 01.02</w:t>
      </w:r>
      <w:bookmarkEnd w:id="810"/>
    </w:p>
    <w:p w14:paraId="28981ADA" w14:textId="77777777" w:rsidR="00DB2B68" w:rsidRDefault="00000000">
      <w:pPr>
        <w:pStyle w:val="Author-eSectionHeading6Numberless"/>
      </w:pPr>
      <w:bookmarkStart w:id="811" w:name="_Toc220495865"/>
      <w:r>
        <w:t>22.23.3b Charpentes de toiture préfabriquées en béton armé CCTB 01.02</w:t>
      </w:r>
      <w:bookmarkEnd w:id="811"/>
    </w:p>
    <w:p w14:paraId="6E4AE2F3" w14:textId="77777777" w:rsidR="00DB2B68" w:rsidRDefault="00000000">
      <w:pPr>
        <w:pStyle w:val="Author-eSectionHeading5Numberless"/>
      </w:pPr>
      <w:bookmarkStart w:id="812" w:name="_Toc220495866"/>
      <w:r>
        <w:t>22.23.4 Charpentes de toiture préfabriquées en béton architectonique CCTB 01.04</w:t>
      </w:r>
      <w:bookmarkEnd w:id="812"/>
    </w:p>
    <w:p w14:paraId="49F1889A" w14:textId="77777777" w:rsidR="00DB2B68" w:rsidRDefault="00000000">
      <w:pPr>
        <w:pStyle w:val="Author-eSectionHeading6Numberless"/>
      </w:pPr>
      <w:bookmarkStart w:id="813" w:name="_Toc220495867"/>
      <w:r>
        <w:t>22.23.4a Fermes de toiture préfabriquées en béton décoratif / architectonique CCTB 01.04</w:t>
      </w:r>
      <w:bookmarkEnd w:id="813"/>
    </w:p>
    <w:p w14:paraId="52124D64" w14:textId="77777777" w:rsidR="00DB2B68" w:rsidRDefault="00000000">
      <w:pPr>
        <w:pStyle w:val="Author-eSectionHeading6Numberless"/>
      </w:pPr>
      <w:bookmarkStart w:id="814" w:name="_Toc220495868"/>
      <w:r>
        <w:t>22.23.4b Charpentes de toiture préfabriquées en béton décoratif / architectonique CCTB 01.04</w:t>
      </w:r>
      <w:bookmarkEnd w:id="814"/>
    </w:p>
    <w:p w14:paraId="232FE02E" w14:textId="77777777" w:rsidR="00DB2B68" w:rsidRDefault="00000000">
      <w:pPr>
        <w:pStyle w:val="Author-eSectionHeading4Numberless"/>
      </w:pPr>
      <w:bookmarkStart w:id="815" w:name="_Toc220495869"/>
      <w:r>
        <w:t>22.24 Structures particulières en béton armé CCTB 01.02</w:t>
      </w:r>
      <w:bookmarkEnd w:id="815"/>
    </w:p>
    <w:p w14:paraId="7EB7F8EF" w14:textId="77777777" w:rsidR="00DB2B68" w:rsidRDefault="00000000">
      <w:pPr>
        <w:pStyle w:val="Author-eSectionHeading5Numberless"/>
      </w:pPr>
      <w:bookmarkStart w:id="816" w:name="_Toc220495870"/>
      <w:r>
        <w:t>22.24.1 Structures tridimensionnelles en béton coulé en place CCTB 01.04</w:t>
      </w:r>
      <w:bookmarkEnd w:id="816"/>
    </w:p>
    <w:p w14:paraId="72D5D9D0" w14:textId="77777777" w:rsidR="00DB2B68" w:rsidRDefault="00000000">
      <w:pPr>
        <w:pStyle w:val="Author-eSectionHeading6Numberless"/>
      </w:pPr>
      <w:bookmarkStart w:id="817" w:name="_Toc220495871"/>
      <w:r>
        <w:t>22.24.1a Structures tridimensionnelles en béton coulé en place CCTB 01.04</w:t>
      </w:r>
      <w:bookmarkEnd w:id="817"/>
    </w:p>
    <w:p w14:paraId="1111FD79" w14:textId="77777777" w:rsidR="00DB2B68" w:rsidRDefault="00000000">
      <w:pPr>
        <w:pStyle w:val="Author-eSectionHeading5Numberless"/>
      </w:pPr>
      <w:bookmarkStart w:id="818" w:name="_Toc220495872"/>
      <w:r>
        <w:t>22.24.2 Structures tridimensionnelles préfabriquées en béton CCTB 01.04</w:t>
      </w:r>
      <w:bookmarkEnd w:id="818"/>
    </w:p>
    <w:p w14:paraId="7A35B6A3" w14:textId="77777777" w:rsidR="00DB2B68" w:rsidRDefault="00000000">
      <w:pPr>
        <w:pStyle w:val="Author-eSectionHeading6Numberless"/>
      </w:pPr>
      <w:bookmarkStart w:id="819" w:name="_Toc220495873"/>
      <w:r>
        <w:t>22.24.2a Structures tridimensionnelles préfabriquées en béton CCTB 01.04</w:t>
      </w:r>
      <w:bookmarkEnd w:id="819"/>
    </w:p>
    <w:p w14:paraId="79AC8771" w14:textId="77777777" w:rsidR="00DB2B68" w:rsidRDefault="00000000">
      <w:pPr>
        <w:pStyle w:val="Author-eSectionHeading5Numberless"/>
      </w:pPr>
      <w:bookmarkStart w:id="820" w:name="_Toc220495874"/>
      <w:r>
        <w:t>22.24.3 Structures tridimensionnelles préfabriquées en béton architectonique CCTB 01.04</w:t>
      </w:r>
      <w:bookmarkEnd w:id="820"/>
    </w:p>
    <w:p w14:paraId="6AD5008B" w14:textId="77777777" w:rsidR="00DB2B68" w:rsidRDefault="00000000">
      <w:pPr>
        <w:pStyle w:val="Author-eSectionHeading6Numberless"/>
      </w:pPr>
      <w:bookmarkStart w:id="821" w:name="_Toc220495875"/>
      <w:r>
        <w:t>22.24.3a Structures tridimensionnelles préfabriquées en béton décoratif / architectonique CCTB 01.04</w:t>
      </w:r>
      <w:bookmarkEnd w:id="821"/>
    </w:p>
    <w:p w14:paraId="0882D680" w14:textId="77777777" w:rsidR="00DB2B68" w:rsidRDefault="00000000">
      <w:pPr>
        <w:pStyle w:val="Author-eSectionHeading5Numberless"/>
      </w:pPr>
      <w:bookmarkStart w:id="822" w:name="_Toc220495876"/>
      <w:r>
        <w:t>22.24.4 Structures tridimensionnelles mixtes acier-béton CCTB 01.04</w:t>
      </w:r>
      <w:bookmarkEnd w:id="822"/>
    </w:p>
    <w:p w14:paraId="1E6BA5AC" w14:textId="77777777" w:rsidR="00DB2B68" w:rsidRDefault="00000000">
      <w:pPr>
        <w:pStyle w:val="Author-eSectionHeading6Numberless"/>
      </w:pPr>
      <w:bookmarkStart w:id="823" w:name="_Toc220495877"/>
      <w:r>
        <w:t>22.24.4a Structures tridimensionnelles mixtes acier-béton CCTB 01.04</w:t>
      </w:r>
      <w:bookmarkEnd w:id="823"/>
    </w:p>
    <w:p w14:paraId="22BF81AA" w14:textId="77777777" w:rsidR="00DB2B68" w:rsidRDefault="00000000">
      <w:pPr>
        <w:pStyle w:val="Author-eSectionHeading4Numberless"/>
      </w:pPr>
      <w:bookmarkStart w:id="824" w:name="_Toc220495878"/>
      <w:r>
        <w:t>22.25 Systèmes constructifs particuliers en béton CCTB 01.02</w:t>
      </w:r>
      <w:bookmarkEnd w:id="824"/>
    </w:p>
    <w:p w14:paraId="27DE29DB" w14:textId="77777777" w:rsidR="00DB2B68" w:rsidRDefault="00000000">
      <w:pPr>
        <w:pStyle w:val="Author-eSectionHeading5Numberless"/>
      </w:pPr>
      <w:bookmarkStart w:id="825" w:name="_Toc220495879"/>
      <w:r>
        <w:t>22.25.1 Systèmes constructifs particuliers en béton CCTB 01.02</w:t>
      </w:r>
      <w:bookmarkEnd w:id="825"/>
    </w:p>
    <w:p w14:paraId="10F87AE5" w14:textId="77777777" w:rsidR="00DB2B68" w:rsidRDefault="00000000">
      <w:pPr>
        <w:pStyle w:val="Author-eSectionHeading6Numberless"/>
      </w:pPr>
      <w:bookmarkStart w:id="826" w:name="_Toc220495880"/>
      <w:r>
        <w:t>22.25.1a Systèmes constructifs particuliers en béton CCTB 01.02</w:t>
      </w:r>
      <w:bookmarkEnd w:id="826"/>
    </w:p>
    <w:p w14:paraId="278F6FD8" w14:textId="77777777" w:rsidR="00DB2B68" w:rsidRDefault="00000000">
      <w:pPr>
        <w:pStyle w:val="Author-eSectionHeading3Numberless"/>
      </w:pPr>
      <w:bookmarkStart w:id="827" w:name="_Toc220495881"/>
      <w:r>
        <w:t>22.3 Eléments et structures secondaires en béton CCTB 01.02</w:t>
      </w:r>
      <w:bookmarkEnd w:id="827"/>
    </w:p>
    <w:p w14:paraId="44C28457" w14:textId="77777777" w:rsidR="00DB2B68" w:rsidRDefault="00000000">
      <w:pPr>
        <w:pStyle w:val="Author-eSectionHeading4Numberless"/>
      </w:pPr>
      <w:bookmarkStart w:id="828" w:name="534"/>
      <w:bookmarkStart w:id="829" w:name="_Toc220495882"/>
      <w:bookmarkEnd w:id="828"/>
      <w:r>
        <w:t>22.31 Escaliers en béton CCTB 01.13</w:t>
      </w:r>
      <w:bookmarkEnd w:id="829"/>
    </w:p>
    <w:p w14:paraId="755BD365" w14:textId="77777777" w:rsidR="00DB2B68" w:rsidRDefault="00000000">
      <w:pPr>
        <w:pStyle w:val="pheading"/>
      </w:pPr>
      <w:bookmarkStart w:id="830" w:name="516"/>
      <w:bookmarkEnd w:id="830"/>
      <w:r>
        <w:t>MATÉRIAUX</w:t>
      </w:r>
    </w:p>
    <w:p w14:paraId="5EC9C911" w14:textId="77777777" w:rsidR="00DB2B68" w:rsidRDefault="00000000">
      <w:r>
        <w:rPr>
          <w:b/>
        </w:rPr>
        <w:lastRenderedPageBreak/>
        <w:t>Critères de performance</w:t>
      </w:r>
    </w:p>
    <w:p w14:paraId="7E338948" w14:textId="77777777" w:rsidR="00DB2B68" w:rsidRDefault="00000000">
      <w:pPr>
        <w:pStyle w:val="Author-eListParagraph"/>
        <w:numPr>
          <w:ilvl w:val="0"/>
          <w:numId w:val="574"/>
        </w:numPr>
      </w:pPr>
      <w:r>
        <w:t xml:space="preserve">Résistance au feu : pour les escaliers sans fonction séparant </w:t>
      </w:r>
      <w:r>
        <w:rPr>
          <w:rStyle w:val="optioncarChar"/>
        </w:rPr>
        <w:t>R 30</w:t>
      </w:r>
      <w:r>
        <w:t> (par défaut)</w:t>
      </w:r>
      <w:r>
        <w:rPr>
          <w:rStyle w:val="optioncarChar"/>
        </w:rPr>
        <w:t xml:space="preserve"> / R 60 / R 120 / R ***</w:t>
      </w:r>
      <w:r>
        <w:t xml:space="preserve"> et pour les escaliers avec fonction séparant </w:t>
      </w:r>
      <w:r>
        <w:rPr>
          <w:rStyle w:val="optioncarChar"/>
        </w:rPr>
        <w:t>REI 30 </w:t>
      </w:r>
      <w:r>
        <w:t>(par défaut)</w:t>
      </w:r>
      <w:r>
        <w:rPr>
          <w:rStyle w:val="optioncarChar"/>
        </w:rPr>
        <w:t xml:space="preserve"> / REI 60 / REI 120 / REI ***</w:t>
      </w:r>
      <w:r>
        <w:t xml:space="preserve"> selon la [NBN EN 13501-2] (et les normes d’essais qui y sont référencées). La résistance au feu peut également se déterminer par calcul conformément aux Eurocodes structuraux (la [NBN EN 1992-1-2] en l’occurrence).</w:t>
      </w:r>
    </w:p>
    <w:p w14:paraId="1A2695E1" w14:textId="77777777" w:rsidR="00DB2B68" w:rsidRDefault="00000000">
      <w:pPr>
        <w:pStyle w:val="Author-eListParagraph"/>
        <w:numPr>
          <w:ilvl w:val="0"/>
          <w:numId w:val="574"/>
        </w:numPr>
      </w:pPr>
      <w:r>
        <w:t>Réaction au feu : un escalier en béton armé sans finition appartient à la classe de réaction au feu A1 (incombustible) sans essai préalable. La [Décision 96/603/CE] établit que le béton prêt à l’emploi et les produits préfabriqués en béton armé et en béton précontraint avec une teneur en matière organique inférieure à 1% (pourcentage massique ou volumique, selon la valeur la plus élevée) appartient à la classe de réaction au feu A1 (incombustible) sans qu’aucun autre test ne soit nécessaire.</w:t>
      </w:r>
    </w:p>
    <w:p w14:paraId="5550A2FE" w14:textId="77777777" w:rsidR="00DB2B68" w:rsidRDefault="00000000">
      <w:pPr>
        <w:pStyle w:val="pheading"/>
      </w:pPr>
      <w:r>
        <w:t>DOCUMENTS DE RÉFÉRENCE</w:t>
      </w:r>
    </w:p>
    <w:p w14:paraId="1189C457" w14:textId="77777777" w:rsidR="00DB2B68" w:rsidRDefault="00000000">
      <w:pPr>
        <w:pStyle w:val="pheading"/>
      </w:pPr>
      <w:r>
        <w:t>- Matériau</w:t>
      </w:r>
    </w:p>
    <w:p w14:paraId="6D3DFDD1"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7E3F2E50" w14:textId="77777777" w:rsidR="00DB2B68" w:rsidRDefault="00000000">
      <w:r>
        <w:t>[NBN EN 1992-2, Eurocode 2 - Calcul des structures en béton - Partie 2: Ponts en béton - Calcul et dispositions constructives (+AC:2008)]</w:t>
      </w:r>
    </w:p>
    <w:p w14:paraId="58E0A8C6" w14:textId="77777777" w:rsidR="00DB2B68" w:rsidRDefault="00000000">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14:paraId="3DB79B8E" w14:textId="77777777" w:rsidR="00DB2B68" w:rsidRDefault="00000000">
      <w:pPr>
        <w:pStyle w:val="pheading"/>
      </w:pPr>
      <w:r>
        <w:t>AIDE</w:t>
      </w:r>
    </w:p>
    <w:p w14:paraId="47D77871" w14:textId="77777777" w:rsidR="00DB2B68" w:rsidRDefault="00000000">
      <w:r>
        <w:rPr>
          <w:u w:val="single"/>
        </w:rPr>
        <w:t>Note à l'auteur de projet</w:t>
      </w:r>
    </w:p>
    <w:p w14:paraId="3034696F" w14:textId="77777777" w:rsidR="00DB2B68" w:rsidRDefault="00000000">
      <w:r>
        <w:t> </w:t>
      </w:r>
      <w:r>
        <w:rPr>
          <w:b/>
        </w:rPr>
        <w:t>Accessibilité aux personnes à mobilité réduite (PMR)</w:t>
      </w:r>
    </w:p>
    <w:p w14:paraId="65BD8DC1" w14:textId="77777777" w:rsidR="00DB2B68" w:rsidRDefault="00000000">
      <w:r>
        <w:t> </w:t>
      </w:r>
    </w:p>
    <w:p w14:paraId="33F41B6D" w14:textId="77777777" w:rsidR="00DB2B68" w:rsidRDefault="00000000">
      <w:r>
        <w:rPr>
          <w:i/>
          <w:u w:val="single"/>
        </w:rPr>
        <w:t>Général :</w:t>
      </w:r>
    </w:p>
    <w:p w14:paraId="36CCF72B" w14:textId="77777777" w:rsidR="00DB2B68" w:rsidRDefault="00000000">
      <w:r>
        <w:t>Pente : entre 19° et 33° [Buildwise Article Dossier (2004/4.06)]</w:t>
      </w:r>
    </w:p>
    <w:p w14:paraId="70330CE7" w14:textId="77777777" w:rsidR="00DB2B68" w:rsidRDefault="00000000">
      <w:r>
        <w:t>Géométrie : éviter les escaliers en colimaçon et l’utilisation de la méthode de balancement des marches [Buildwise Article Dossier (2004/4.06)]</w:t>
      </w:r>
    </w:p>
    <w:p w14:paraId="7182E36A" w14:textId="77777777" w:rsidR="00DB2B68" w:rsidRDefault="00000000">
      <w:r>
        <w:t>Echappée : 220 cm minimum [SWL CALA]</w:t>
      </w:r>
    </w:p>
    <w:p w14:paraId="455B501F" w14:textId="77777777" w:rsidR="00DB2B68" w:rsidRDefault="00000000">
      <w:r>
        <w:t>Largeur de libre passage, en cas de :</w:t>
      </w:r>
    </w:p>
    <w:p w14:paraId="5B1D7D6B" w14:textId="77777777" w:rsidR="00DB2B68" w:rsidRDefault="00000000">
      <w:pPr>
        <w:pStyle w:val="Author-eListParagraph"/>
        <w:numPr>
          <w:ilvl w:val="0"/>
          <w:numId w:val="575"/>
        </w:numPr>
      </w:pPr>
      <w:r>
        <w:t>Installation d’un fauteuil monte-escalier : 70 cm minimum</w:t>
      </w:r>
    </w:p>
    <w:p w14:paraId="156148A4" w14:textId="77777777" w:rsidR="00DB2B68" w:rsidRDefault="00000000">
      <w:pPr>
        <w:pStyle w:val="Author-eListParagraph"/>
        <w:numPr>
          <w:ilvl w:val="0"/>
          <w:numId w:val="575"/>
        </w:numPr>
      </w:pPr>
      <w:r>
        <w:t>Installation d’une plateforme : 90 cm minimum [Buildwise Article Dossier (2004/4.06)]</w:t>
      </w:r>
    </w:p>
    <w:p w14:paraId="502C7C17" w14:textId="77777777" w:rsidR="00DB2B68" w:rsidRDefault="00000000">
      <w:pPr>
        <w:pStyle w:val="Author-eListParagraph"/>
        <w:numPr>
          <w:ilvl w:val="0"/>
          <w:numId w:val="575"/>
        </w:numPr>
      </w:pPr>
      <w:r>
        <w:t>Evacuation manuelle : 122 cm minimum [NFPA 101 Life Safety Code Handbook]</w:t>
      </w:r>
    </w:p>
    <w:p w14:paraId="55A16741" w14:textId="77777777" w:rsidR="00DB2B68" w:rsidRDefault="00000000">
      <w:pPr>
        <w:pStyle w:val="Author-eListParagraph"/>
        <w:numPr>
          <w:ilvl w:val="0"/>
          <w:numId w:val="575"/>
        </w:numPr>
      </w:pPr>
      <w:r>
        <w:t>Utilisation d’une chaise d’évacuation : à établir en fonction des dimensions de la chaise</w:t>
      </w:r>
    </w:p>
    <w:p w14:paraId="2C030DD8" w14:textId="77777777" w:rsidR="00DB2B68" w:rsidRDefault="00000000">
      <w:r>
        <w:br/>
      </w:r>
      <w:r>
        <w:rPr>
          <w:i/>
          <w:u w:val="single"/>
        </w:rPr>
        <w:t xml:space="preserve">Marches et contremarches : </w:t>
      </w:r>
    </w:p>
    <w:p w14:paraId="0C36DA29" w14:textId="77777777" w:rsidR="00DB2B68" w:rsidRDefault="00000000">
      <w:r>
        <w:t>Nombre de marches par volée : 15 à 20 maximum [SWL CALA], [NBN ISO 21542] et [BS 8300]</w:t>
      </w:r>
    </w:p>
    <w:p w14:paraId="2F5BFD56" w14:textId="77777777" w:rsidR="00DB2B68" w:rsidRDefault="00000000">
      <w:r>
        <w:t>Module de pas (M=2H+G) : entre 60 et 64 cm [SWL CALA]</w:t>
      </w:r>
    </w:p>
    <w:p w14:paraId="771286AF" w14:textId="77777777" w:rsidR="00DB2B68" w:rsidRDefault="00000000">
      <w:r>
        <w:t>Hauteur des marches (H) : 18 cm maximum [SWL CALA]</w:t>
      </w:r>
    </w:p>
    <w:p w14:paraId="1CC5DB7E" w14:textId="77777777" w:rsidR="00DB2B68" w:rsidRDefault="00000000">
      <w:r>
        <w:t>Giron (G) : 25 cm minimum [SWL CALA]</w:t>
      </w:r>
    </w:p>
    <w:p w14:paraId="6D82243F" w14:textId="77777777" w:rsidR="00DB2B68" w:rsidRDefault="00000000">
      <w:r>
        <w:t>Type de marches : pleines, antidérapantes [CoDT]  et [SWL CALA]</w:t>
      </w:r>
    </w:p>
    <w:p w14:paraId="34B57CEC" w14:textId="77777777" w:rsidR="00DB2B68" w:rsidRDefault="00000000">
      <w:r>
        <w:t>Type de contremarches : pleines, profil oblique [SWL CALA], [NBN ISO 21542] et [BS 8300]</w:t>
      </w:r>
    </w:p>
    <w:p w14:paraId="31864346" w14:textId="77777777" w:rsidR="00DB2B68" w:rsidRDefault="00000000">
      <w:r>
        <w:lastRenderedPageBreak/>
        <w:br/>
      </w:r>
      <w:r>
        <w:rPr>
          <w:i/>
          <w:u w:val="single"/>
        </w:rPr>
        <w:t xml:space="preserve"> Nez de marches : </w:t>
      </w:r>
    </w:p>
    <w:p w14:paraId="06CFB098" w14:textId="77777777" w:rsidR="00DB2B68" w:rsidRDefault="00000000">
      <w:r>
        <w:t xml:space="preserve">    </w:t>
      </w:r>
      <w:r>
        <w:br/>
        <w:t xml:space="preserve"> Forme : non saillants [SWL CALA], [NBN ISO 21542] et [BS 8300]</w:t>
      </w:r>
      <w:r>
        <w:br/>
        <w:t xml:space="preserve"> Projection : 2.5 cm maximum [NBN ISO 21542] et [BS 8300]</w:t>
      </w:r>
    </w:p>
    <w:p w14:paraId="68B67ABA" w14:textId="77777777" w:rsidR="00DB2B68" w:rsidRDefault="00000000">
      <w:r>
        <w:t>Indicateurs visuels sur les nez de marches : [NBN ISO 21542] et [BS 8300]</w:t>
      </w:r>
    </w:p>
    <w:p w14:paraId="3B8F24A9" w14:textId="77777777" w:rsidR="00DB2B68" w:rsidRDefault="00000000">
      <w:pPr>
        <w:pStyle w:val="Author-eListParagraph"/>
        <w:numPr>
          <w:ilvl w:val="0"/>
          <w:numId w:val="576"/>
        </w:numPr>
      </w:pPr>
      <w:r>
        <w:t>Localisation : de préférence, sur chaque marche ; sinon, sur la première et la dernière marche de chaque volée</w:t>
      </w:r>
    </w:p>
    <w:p w14:paraId="7D7E413B" w14:textId="77777777" w:rsidR="00DB2B68" w:rsidRDefault="00000000">
      <w:pPr>
        <w:pStyle w:val="Author-eListParagraph"/>
        <w:numPr>
          <w:ilvl w:val="0"/>
          <w:numId w:val="577"/>
        </w:numPr>
      </w:pPr>
      <w:r>
        <w:t>Largeur : continus sur toute la largeur des marches</w:t>
      </w:r>
    </w:p>
    <w:p w14:paraId="6F996C77" w14:textId="77777777" w:rsidR="00DB2B68" w:rsidRDefault="00000000">
      <w:pPr>
        <w:pStyle w:val="Author-eListParagraph"/>
        <w:numPr>
          <w:ilvl w:val="0"/>
          <w:numId w:val="577"/>
        </w:numPr>
      </w:pPr>
      <w:r>
        <w:t>Revêtement : antidérapants</w:t>
      </w:r>
    </w:p>
    <w:p w14:paraId="6BE31121" w14:textId="77777777" w:rsidR="00DB2B68" w:rsidRDefault="00000000">
      <w:pPr>
        <w:pStyle w:val="Author-eListParagraph"/>
        <w:numPr>
          <w:ilvl w:val="0"/>
          <w:numId w:val="577"/>
        </w:numPr>
      </w:pPr>
      <w:r>
        <w:t>Profondeur : 4 cm minimum sur la marche, peut redescendre sur la contremarche</w:t>
      </w:r>
    </w:p>
    <w:p w14:paraId="01152198" w14:textId="77777777" w:rsidR="00DB2B68" w:rsidRDefault="00000000">
      <w:pPr>
        <w:pStyle w:val="Author-eListParagraph"/>
        <w:numPr>
          <w:ilvl w:val="0"/>
          <w:numId w:val="577"/>
        </w:numPr>
      </w:pPr>
      <w:r>
        <w:t>Contraste : différence de coefficient de réflexion (LRV) entre les indicateurs et les marches de minimum 60%</w:t>
      </w:r>
    </w:p>
    <w:p w14:paraId="22B66869" w14:textId="77777777" w:rsidR="00DB2B68" w:rsidRDefault="00000000">
      <w:r>
        <w:t> </w:t>
      </w:r>
      <w:r>
        <w:rPr>
          <w:i/>
          <w:u w:val="single"/>
        </w:rPr>
        <w:t>Paliers :</w:t>
      </w:r>
      <w:r>
        <w:t>[CoDT] et [NBN ISO 21542]</w:t>
      </w:r>
    </w:p>
    <w:p w14:paraId="4AD053B8" w14:textId="77777777" w:rsidR="00DB2B68" w:rsidRDefault="00000000">
      <w:r>
        <w:t>Contraste : différence de coefficient de réflexion (LRV) entre les paliers et les marches de minimum 60% </w:t>
      </w:r>
    </w:p>
    <w:p w14:paraId="35289B70" w14:textId="77777777" w:rsidR="00DB2B68" w:rsidRDefault="00000000">
      <w:r>
        <w:rPr>
          <w:i/>
          <w:u w:val="single"/>
        </w:rPr>
        <w:t>Dalles d’éveil à la vigilance (ou dalles podotactiles) :</w:t>
      </w:r>
      <w:r>
        <w:t>[CoDT], [SWL CALA], [NBN ISO 21542] et [NEN 1814]</w:t>
      </w:r>
    </w:p>
    <w:p w14:paraId="71DFF4E5" w14:textId="77777777" w:rsidR="00DB2B68" w:rsidRDefault="00000000">
      <w:r>
        <w:t>Position : sur les paliers, au-dessus et en-dessous de chaque volée, à 50 cm du nez de la première et de la dernière marche</w:t>
      </w:r>
    </w:p>
    <w:p w14:paraId="37C2F3E5" w14:textId="77777777" w:rsidR="00DB2B68" w:rsidRDefault="00000000">
      <w:r>
        <w:t>Largeur : sur toute la largeur de l’escalier</w:t>
      </w:r>
    </w:p>
    <w:p w14:paraId="4D137806" w14:textId="77777777" w:rsidR="00DB2B68" w:rsidRDefault="00000000">
      <w:r>
        <w:t>Profondeur : 60 cm minimum</w:t>
      </w:r>
    </w:p>
    <w:p w14:paraId="7EF0643A" w14:textId="77777777" w:rsidR="00DB2B68" w:rsidRDefault="00000000">
      <w:r>
        <w:t> </w:t>
      </w:r>
    </w:p>
    <w:p w14:paraId="67421468" w14:textId="77777777" w:rsidR="00DB2B68" w:rsidRDefault="00000000">
      <w:r>
        <w:rPr>
          <w:i/>
          <w:u w:val="single"/>
        </w:rPr>
        <w:t xml:space="preserve"> Main-courantes :</w:t>
      </w:r>
    </w:p>
    <w:p w14:paraId="6D15C60D" w14:textId="77777777" w:rsidR="00DB2B68" w:rsidRDefault="00000000">
      <w:r>
        <w:t> Type : double (2 lisses) [SWL CALA], [NBN ISO 21542] et [BS 8300]</w:t>
      </w:r>
    </w:p>
    <w:p w14:paraId="775BCC9E" w14:textId="77777777" w:rsidR="00DB2B68" w:rsidRDefault="00000000">
      <w:r>
        <w:t>Position : de chaque côté de l’escalier [CoDT] et [SWL CALA]</w:t>
      </w:r>
    </w:p>
    <w:p w14:paraId="17C5B8D2" w14:textId="77777777" w:rsidR="00DB2B68" w:rsidRDefault="00000000">
      <w:r>
        <w:t>Géométrie : solides et continues sur les paliers [CoDT] et [SWL CALA]</w:t>
      </w:r>
    </w:p>
    <w:p w14:paraId="175007AA" w14:textId="77777777" w:rsidR="00DB2B68" w:rsidRDefault="00000000">
      <w:r>
        <w:t>Prolongement : [CoDT] et [SWL CALA]</w:t>
      </w:r>
    </w:p>
    <w:p w14:paraId="7442C126" w14:textId="77777777" w:rsidR="00DB2B68" w:rsidRDefault="00000000">
      <w:pPr>
        <w:pStyle w:val="Author-eListParagraph"/>
        <w:numPr>
          <w:ilvl w:val="0"/>
          <w:numId w:val="578"/>
        </w:numPr>
      </w:pPr>
      <w:r>
        <w:t>Côté mur : prolongement de 40 cm à l’origine et à l’extrémité de l’escalier</w:t>
      </w:r>
    </w:p>
    <w:p w14:paraId="3FF8B814" w14:textId="77777777" w:rsidR="00DB2B68" w:rsidRDefault="00000000">
      <w:pPr>
        <w:pStyle w:val="Author-eListParagraph"/>
        <w:numPr>
          <w:ilvl w:val="0"/>
          <w:numId w:val="578"/>
        </w:numPr>
      </w:pPr>
      <w:r>
        <w:t>Côté vide : prolongement jusqu’au sol, et de 40 cm à l’origine et à l’extrémité de l’escalier pour autant que ce prolongement ne représente aucun obstacle ni danger</w:t>
      </w:r>
    </w:p>
    <w:p w14:paraId="43BAB90C" w14:textId="77777777" w:rsidR="00DB2B68" w:rsidRDefault="00000000">
      <w:r>
        <w:t>Hauteur : [SWL CALA] et [NBN ISO 21542] </w:t>
      </w:r>
    </w:p>
    <w:p w14:paraId="6D59DCC5" w14:textId="77777777" w:rsidR="00DB2B68" w:rsidRDefault="00000000">
      <w:pPr>
        <w:pStyle w:val="Author-eListParagraph"/>
        <w:numPr>
          <w:ilvl w:val="0"/>
          <w:numId w:val="579"/>
        </w:numPr>
      </w:pPr>
      <w:r>
        <w:t>Main-courante principale : entre 85 et 100 cm par rapport au nez de marche</w:t>
      </w:r>
    </w:p>
    <w:p w14:paraId="2B77627C" w14:textId="77777777" w:rsidR="00DB2B68" w:rsidRDefault="00000000">
      <w:pPr>
        <w:pStyle w:val="Author-eListParagraph"/>
        <w:numPr>
          <w:ilvl w:val="0"/>
          <w:numId w:val="579"/>
        </w:numPr>
      </w:pPr>
      <w:r>
        <w:t>Main-courante secondaire : entre 60 et 75 cm par rapport au nez de marche</w:t>
      </w:r>
    </w:p>
    <w:p w14:paraId="1E09FEB3" w14:textId="77777777" w:rsidR="00DB2B68" w:rsidRDefault="00000000">
      <w:r>
        <w:t>Distance du mur : 4 cm minimum [SWL CALA]</w:t>
      </w:r>
    </w:p>
    <w:p w14:paraId="007CCFBB" w14:textId="77777777" w:rsidR="00DB2B68" w:rsidRDefault="00000000">
      <w:r>
        <w:t>Diamètre : entre 4 et 5 cm [SWL CALA]</w:t>
      </w:r>
    </w:p>
    <w:p w14:paraId="4F39DCF9" w14:textId="77777777" w:rsidR="00DB2B68" w:rsidRDefault="00000000">
      <w:r>
        <w:t>Contraste : différence de coefficient de réflexion (LRV) entre la main courante et son support de minimum 30% [NBN ISO 21542] et [BS 8300]</w:t>
      </w:r>
    </w:p>
    <w:p w14:paraId="79DF2475" w14:textId="77777777" w:rsidR="00DB2B68" w:rsidRDefault="00000000">
      <w:pPr>
        <w:pStyle w:val="Author-eSectionHeading5Numberless"/>
      </w:pPr>
      <w:bookmarkStart w:id="831" w:name="_Toc220495883"/>
      <w:r>
        <w:t>22.31.1 Escaliers en béton coulé en place CCTB 01.13</w:t>
      </w:r>
      <w:bookmarkEnd w:id="831"/>
    </w:p>
    <w:p w14:paraId="0086864F" w14:textId="77777777" w:rsidR="00DB2B68" w:rsidRDefault="00000000">
      <w:pPr>
        <w:pStyle w:val="pheading"/>
      </w:pPr>
      <w:bookmarkStart w:id="832" w:name="1119"/>
      <w:bookmarkEnd w:id="832"/>
      <w:r>
        <w:t>DESCRIPTION</w:t>
      </w:r>
    </w:p>
    <w:p w14:paraId="43DB2418" w14:textId="77777777" w:rsidR="00DB2B68" w:rsidRDefault="00000000">
      <w:pPr>
        <w:pStyle w:val="pheading"/>
      </w:pPr>
      <w:r>
        <w:t>- Définition / Comprend</w:t>
      </w:r>
    </w:p>
    <w:p w14:paraId="49048AAE" w14:textId="77777777" w:rsidR="00DB2B68" w:rsidRDefault="00000000">
      <w:r>
        <w:t>Il s'agit de l’ensemble des </w:t>
      </w:r>
      <w:r>
        <w:rPr>
          <w:rStyle w:val="optioncarChar"/>
        </w:rPr>
        <w:t xml:space="preserve">escaliers / paliers / tous les éléments dont la face supérieure ont une inclinaison supérieure à 6/4 </w:t>
      </w:r>
      <w:r>
        <w:t>(par défaut) </w:t>
      </w:r>
      <w:r>
        <w:rPr>
          <w:rStyle w:val="optioncarChar"/>
        </w:rPr>
        <w:t xml:space="preserve">/ ***, </w:t>
      </w:r>
      <w:r>
        <w:t xml:space="preserve">exécutés en béton coulé en place. En ce qui concerne les prescriptions générales en matière de charges d’exploitation, sécurité anti-incendie, modulation de </w:t>
      </w:r>
      <w:r>
        <w:lastRenderedPageBreak/>
        <w:t>l’escalier, etc. voir le chapitre 57.1 Escaliers et garde-corps complets. Les éventuelles finitions d’escalier sont décrites dans un poste séparé du chapitre 46.4 Revêtements de sols extérieurs (des balcons).</w:t>
      </w:r>
    </w:p>
    <w:p w14:paraId="4E4911F9" w14:textId="77777777" w:rsidR="00DB2B68" w:rsidRDefault="00000000">
      <w:pPr>
        <w:pStyle w:val="pheading"/>
      </w:pPr>
      <w:r>
        <w:t>MATÉRIAUX</w:t>
      </w:r>
    </w:p>
    <w:p w14:paraId="64435259" w14:textId="77777777" w:rsidR="00DB2B68" w:rsidRDefault="00000000">
      <w:r>
        <w:t xml:space="preserve">Qualité du béton selon la [NBN EN 206:2013+A2] et la [NBN B 15-001] (voir également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59F4D61F" w14:textId="77777777">
        <w:tc>
          <w:tcPr>
            <w:tcW w:w="1500" w:type="dxa"/>
            <w:noWrap/>
          </w:tcPr>
          <w:p w14:paraId="05BB18D2" w14:textId="77777777" w:rsidR="00DB2B68" w:rsidRDefault="00000000">
            <w:pPr>
              <w:jc w:val="center"/>
            </w:pPr>
            <w:r>
              <w:rPr>
                <w:b/>
              </w:rPr>
              <w:t>A</w:t>
            </w:r>
          </w:p>
        </w:tc>
        <w:tc>
          <w:tcPr>
            <w:tcW w:w="1500" w:type="dxa"/>
            <w:noWrap/>
          </w:tcPr>
          <w:p w14:paraId="75B3E6C2" w14:textId="77777777" w:rsidR="00DB2B68" w:rsidRDefault="00000000">
            <w:pPr>
              <w:jc w:val="center"/>
            </w:pPr>
            <w:r>
              <w:rPr>
                <w:b/>
              </w:rPr>
              <w:t>B1</w:t>
            </w:r>
          </w:p>
        </w:tc>
        <w:tc>
          <w:tcPr>
            <w:tcW w:w="1500" w:type="dxa"/>
            <w:noWrap/>
          </w:tcPr>
          <w:p w14:paraId="11A8A2B5" w14:textId="77777777" w:rsidR="00DB2B68" w:rsidRDefault="00000000">
            <w:pPr>
              <w:jc w:val="center"/>
            </w:pPr>
            <w:r>
              <w:rPr>
                <w:b/>
              </w:rPr>
              <w:t>B2</w:t>
            </w:r>
          </w:p>
        </w:tc>
        <w:tc>
          <w:tcPr>
            <w:tcW w:w="1500" w:type="dxa"/>
            <w:noWrap/>
          </w:tcPr>
          <w:p w14:paraId="0D76A18B" w14:textId="77777777" w:rsidR="00DB2B68" w:rsidRDefault="00000000">
            <w:pPr>
              <w:jc w:val="center"/>
            </w:pPr>
            <w:r>
              <w:rPr>
                <w:b/>
              </w:rPr>
              <w:t>C</w:t>
            </w:r>
          </w:p>
        </w:tc>
        <w:tc>
          <w:tcPr>
            <w:tcW w:w="1500" w:type="dxa"/>
            <w:noWrap/>
          </w:tcPr>
          <w:p w14:paraId="1B201648" w14:textId="77777777" w:rsidR="00DB2B68" w:rsidRDefault="00000000">
            <w:pPr>
              <w:jc w:val="center"/>
            </w:pPr>
            <w:r>
              <w:rPr>
                <w:b/>
              </w:rPr>
              <w:t>D</w:t>
            </w:r>
          </w:p>
        </w:tc>
        <w:tc>
          <w:tcPr>
            <w:tcW w:w="1500" w:type="dxa"/>
            <w:noWrap/>
          </w:tcPr>
          <w:p w14:paraId="39039841" w14:textId="77777777" w:rsidR="00DB2B68" w:rsidRDefault="00000000">
            <w:pPr>
              <w:jc w:val="center"/>
            </w:pPr>
            <w:r>
              <w:rPr>
                <w:b/>
              </w:rPr>
              <w:t>E</w:t>
            </w:r>
          </w:p>
        </w:tc>
      </w:tr>
      <w:tr w:rsidR="00DB2B68" w14:paraId="2D7D1C14" w14:textId="77777777">
        <w:tc>
          <w:tcPr>
            <w:tcW w:w="1500" w:type="dxa"/>
            <w:noWrap/>
          </w:tcPr>
          <w:p w14:paraId="20C73B4E" w14:textId="77777777" w:rsidR="00DB2B68" w:rsidRDefault="00000000">
            <w:pPr>
              <w:jc w:val="center"/>
            </w:pPr>
            <w:r>
              <w:rPr>
                <w:b/>
              </w:rPr>
              <w:t>Classe de résistance</w:t>
            </w:r>
          </w:p>
        </w:tc>
        <w:tc>
          <w:tcPr>
            <w:tcW w:w="1500" w:type="dxa"/>
            <w:noWrap/>
          </w:tcPr>
          <w:p w14:paraId="163AE339" w14:textId="77777777" w:rsidR="00DB2B68" w:rsidRDefault="00000000">
            <w:pPr>
              <w:jc w:val="center"/>
            </w:pPr>
            <w:r>
              <w:rPr>
                <w:b/>
              </w:rPr>
              <w:t>Domaine d’application</w:t>
            </w:r>
          </w:p>
        </w:tc>
        <w:tc>
          <w:tcPr>
            <w:tcW w:w="1500" w:type="dxa"/>
            <w:noWrap/>
          </w:tcPr>
          <w:p w14:paraId="6C2BCAE9" w14:textId="77777777" w:rsidR="00DB2B68" w:rsidRDefault="00000000">
            <w:pPr>
              <w:jc w:val="center"/>
            </w:pPr>
            <w:r>
              <w:rPr>
                <w:b/>
              </w:rPr>
              <w:t>Classe d'environnement</w:t>
            </w:r>
          </w:p>
        </w:tc>
        <w:tc>
          <w:tcPr>
            <w:tcW w:w="1500" w:type="dxa"/>
            <w:noWrap/>
          </w:tcPr>
          <w:p w14:paraId="6714383D" w14:textId="77777777" w:rsidR="00DB2B68" w:rsidRDefault="00000000">
            <w:pPr>
              <w:jc w:val="center"/>
            </w:pPr>
            <w:r>
              <w:rPr>
                <w:b/>
              </w:rPr>
              <w:t>Classe de consistance</w:t>
            </w:r>
          </w:p>
        </w:tc>
        <w:tc>
          <w:tcPr>
            <w:tcW w:w="1500" w:type="dxa"/>
            <w:noWrap/>
          </w:tcPr>
          <w:p w14:paraId="0DBE7612" w14:textId="77777777" w:rsidR="00DB2B68" w:rsidRDefault="00000000">
            <w:pPr>
              <w:jc w:val="center"/>
            </w:pPr>
            <w:r>
              <w:rPr>
                <w:b/>
              </w:rPr>
              <w:t>Granulométrie maximale</w:t>
            </w:r>
          </w:p>
        </w:tc>
        <w:tc>
          <w:tcPr>
            <w:tcW w:w="1500" w:type="dxa"/>
            <w:noWrap/>
          </w:tcPr>
          <w:p w14:paraId="5EC45852" w14:textId="77777777" w:rsidR="00DB2B68" w:rsidRDefault="00000000">
            <w:r>
              <w:rPr>
                <w:b/>
              </w:rPr>
              <w:t>Données complémentaires</w:t>
            </w:r>
          </w:p>
        </w:tc>
      </w:tr>
      <w:tr w:rsidR="00DB2B68" w14:paraId="13061C87" w14:textId="77777777">
        <w:tc>
          <w:tcPr>
            <w:tcW w:w="1500" w:type="dxa"/>
            <w:noWrap/>
          </w:tcPr>
          <w:p w14:paraId="33AB0063" w14:textId="77777777" w:rsidR="00DB2B68" w:rsidRDefault="00000000">
            <w:pPr>
              <w:jc w:val="center"/>
            </w:pPr>
            <w:r>
              <w:rPr>
                <w:rStyle w:val="optioncarChar"/>
              </w:rPr>
              <w:t>C25/30 / C30/37 / C35/45 / C45/55 / C50/60 / C55/67 / C60/75 / C70/85 / C80/95 / C90/105</w:t>
            </w:r>
          </w:p>
        </w:tc>
        <w:tc>
          <w:tcPr>
            <w:tcW w:w="1500" w:type="dxa"/>
            <w:noWrap/>
          </w:tcPr>
          <w:p w14:paraId="423A96A1" w14:textId="77777777" w:rsidR="00DB2B68" w:rsidRDefault="00000000">
            <w:pPr>
              <w:jc w:val="center"/>
            </w:pPr>
            <w:r>
              <w:t>Béton armé</w:t>
            </w:r>
          </w:p>
          <w:p w14:paraId="5CB16EF6" w14:textId="77777777" w:rsidR="00DB2B68" w:rsidRDefault="00000000">
            <w:pPr>
              <w:jc w:val="center"/>
            </w:pPr>
            <w:r>
              <w:t> </w:t>
            </w:r>
          </w:p>
        </w:tc>
        <w:tc>
          <w:tcPr>
            <w:tcW w:w="1500" w:type="dxa"/>
            <w:noWrap/>
          </w:tcPr>
          <w:p w14:paraId="1DFAB05B" w14:textId="77777777" w:rsidR="00DB2B68" w:rsidRDefault="00000000">
            <w:pPr>
              <w:jc w:val="center"/>
            </w:pPr>
            <w:r>
              <w:rPr>
                <w:rStyle w:val="optioncarChar"/>
              </w:rPr>
              <w:t>E0 / EI / EE1 / EE2 / EE3 / EE4 / ES1 / ES2 / ES3 / ES4 / EA1+*** / EA2+***/ EA3+***</w:t>
            </w:r>
          </w:p>
        </w:tc>
        <w:tc>
          <w:tcPr>
            <w:tcW w:w="1500" w:type="dxa"/>
            <w:noWrap/>
          </w:tcPr>
          <w:p w14:paraId="354C567F" w14:textId="77777777" w:rsidR="00DB2B68" w:rsidRDefault="00000000">
            <w:pPr>
              <w:jc w:val="center"/>
            </w:pPr>
            <w:r>
              <w:t>au choix de l'entrepreneur :</w:t>
            </w:r>
          </w:p>
          <w:p w14:paraId="4C9F0BE5" w14:textId="77777777" w:rsidR="00DB2B68" w:rsidRDefault="00000000">
            <w:pPr>
              <w:jc w:val="center"/>
            </w:pPr>
            <w:r>
              <w:rPr>
                <w:rStyle w:val="optioncarChar"/>
              </w:rPr>
              <w:t xml:space="preserve">S3 / S4 / S5 </w:t>
            </w:r>
          </w:p>
          <w:p w14:paraId="0C982E28" w14:textId="77777777" w:rsidR="00DB2B68" w:rsidRDefault="00000000">
            <w:pPr>
              <w:jc w:val="center"/>
            </w:pPr>
            <w:r>
              <w:rPr>
                <w:rStyle w:val="optioncarChar"/>
              </w:rPr>
              <w:t>F3 / F4 / F5 / F6</w:t>
            </w:r>
            <w:r>
              <w:br/>
            </w:r>
          </w:p>
        </w:tc>
        <w:tc>
          <w:tcPr>
            <w:tcW w:w="1500" w:type="dxa"/>
            <w:noWrap/>
          </w:tcPr>
          <w:p w14:paraId="452F5F77" w14:textId="77777777" w:rsidR="00DB2B68" w:rsidRDefault="00000000">
            <w:pPr>
              <w:jc w:val="center"/>
            </w:pPr>
            <w:r>
              <w:t>au choix de l'entrepreneur :</w:t>
            </w:r>
          </w:p>
          <w:p w14:paraId="456E3524" w14:textId="77777777" w:rsidR="00DB2B68" w:rsidRDefault="00000000">
            <w:pPr>
              <w:jc w:val="center"/>
            </w:pPr>
            <w:r>
              <w:rPr>
                <w:rStyle w:val="optioncarChar"/>
              </w:rPr>
              <w:t>*** / 6 / 8 / 10 / 11 / 12 / 14 / 16 / 20 / 22 / 32</w:t>
            </w:r>
            <w:r>
              <w:t xml:space="preserve"> mm</w:t>
            </w:r>
          </w:p>
        </w:tc>
        <w:tc>
          <w:tcPr>
            <w:tcW w:w="1500" w:type="dxa"/>
            <w:noWrap/>
          </w:tcPr>
          <w:p w14:paraId="2FF988E9" w14:textId="77777777" w:rsidR="00DB2B68" w:rsidRDefault="00000000">
            <w:pPr>
              <w:jc w:val="center"/>
            </w:pPr>
            <w:r>
              <w:rPr>
                <w:rStyle w:val="optioncarChar"/>
              </w:rPr>
              <w:t>***</w:t>
            </w:r>
          </w:p>
        </w:tc>
      </w:tr>
    </w:tbl>
    <w:p w14:paraId="6C811E43" w14:textId="77777777" w:rsidR="00DB2B68" w:rsidRDefault="00000000">
      <w:r>
        <w:t> </w:t>
      </w:r>
    </w:p>
    <w:p w14:paraId="3072EB86"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43C23ED5" w14:textId="77777777" w:rsidR="00DB2B68" w:rsidRDefault="00000000">
      <w:pPr>
        <w:pStyle w:val="Author-eListParagraph"/>
        <w:numPr>
          <w:ilvl w:val="0"/>
          <w:numId w:val="580"/>
        </w:numPr>
      </w:pPr>
      <w:r>
        <w:t xml:space="preserve">Classe de viscosité apparente : </w:t>
      </w:r>
      <w:r>
        <w:rPr>
          <w:rStyle w:val="optioncarChar"/>
        </w:rPr>
        <w:t>VS1 / VS2</w:t>
      </w:r>
      <w:r>
        <w:t xml:space="preserve"> (selon la [NBN EN 12350-8] )</w:t>
      </w:r>
    </w:p>
    <w:p w14:paraId="0DF15257" w14:textId="77777777" w:rsidR="00DB2B68" w:rsidRDefault="00000000">
      <w:pPr>
        <w:pStyle w:val="Author-eListParagraph"/>
        <w:numPr>
          <w:ilvl w:val="0"/>
          <w:numId w:val="58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DF088BA" w14:textId="77777777" w:rsidR="00DB2B68" w:rsidRDefault="00000000">
      <w:pPr>
        <w:pStyle w:val="Author-eListParagraph"/>
        <w:numPr>
          <w:ilvl w:val="0"/>
          <w:numId w:val="58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FBA3F75"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772136F4" w14:textId="77777777" w:rsidR="00DB2B68" w:rsidRDefault="00000000">
      <w:pPr>
        <w:pStyle w:val="Author-eListParagraph"/>
        <w:numPr>
          <w:ilvl w:val="0"/>
          <w:numId w:val="581"/>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50462B78" w14:textId="77777777" w:rsidR="00DB2B68" w:rsidRDefault="00000000">
      <w:pPr>
        <w:pStyle w:val="Author-eListParagraph"/>
        <w:numPr>
          <w:ilvl w:val="0"/>
          <w:numId w:val="58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2EFE8C1D" w14:textId="77777777" w:rsidR="00DB2B68" w:rsidRDefault="00000000">
      <w:pPr>
        <w:pStyle w:val="Author-eListParagraph"/>
        <w:numPr>
          <w:ilvl w:val="0"/>
          <w:numId w:val="581"/>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6 x 6</w:t>
      </w:r>
      <w:r>
        <w:t> (par défaut)</w:t>
      </w:r>
      <w:r>
        <w:rPr>
          <w:rStyle w:val="optioncarChar"/>
        </w:rPr>
        <w:t xml:space="preserve"> / ***x***x***x***</w:t>
      </w:r>
      <w:r>
        <w:t xml:space="preserve"> mm.</w:t>
      </w:r>
    </w:p>
    <w:p w14:paraId="7651EF20" w14:textId="77777777" w:rsidR="00DB2B68" w:rsidRDefault="00000000">
      <w:r>
        <w:t> </w:t>
      </w:r>
    </w:p>
    <w:p w14:paraId="404FA07A" w14:textId="77777777" w:rsidR="00DB2B68" w:rsidRDefault="00000000">
      <w:pPr>
        <w:pStyle w:val="pheading"/>
      </w:pPr>
      <w:r>
        <w:t>EXÉCUTION / MISE EN ŒUVRE</w:t>
      </w:r>
    </w:p>
    <w:p w14:paraId="49CC39EB" w14:textId="77777777" w:rsidR="00DB2B68" w:rsidRDefault="00000000">
      <w:r>
        <w:t>L'étude est à charge</w:t>
      </w:r>
      <w:r>
        <w:rPr>
          <w:rStyle w:val="optioncarChar"/>
        </w:rPr>
        <w:t xml:space="preserve"> de l'entrepreneur </w:t>
      </w:r>
      <w:r>
        <w:t>(par défaut) </w:t>
      </w:r>
      <w:r>
        <w:rPr>
          <w:rStyle w:val="optioncarChar"/>
        </w:rPr>
        <w:t xml:space="preserve">/ du maître de l'ouvrage / du bureau d’étude </w:t>
      </w:r>
      <w:r>
        <w:t xml:space="preserve">(voir </w:t>
      </w:r>
      <w:hyperlink w:anchor="87" w:history="1">
        <w:r>
          <w:rPr>
            <w:color w:val="0000EE"/>
          </w:rPr>
          <w:t>22 Superstructures en béton</w:t>
        </w:r>
      </w:hyperlink>
      <w:r>
        <w:t>)</w:t>
      </w:r>
      <w:r>
        <w:br/>
        <w:t xml:space="preserve">Les escaliers et les paliers sont coulés sur place en </w:t>
      </w:r>
      <w:r>
        <w:rPr>
          <w:rStyle w:val="optioncarChar"/>
        </w:rPr>
        <w:t>une seule</w:t>
      </w:r>
      <w:r>
        <w:t> (par défaut)</w:t>
      </w:r>
      <w:r>
        <w:rPr>
          <w:rStyle w:val="optioncarChar"/>
        </w:rPr>
        <w:t> / ***</w:t>
      </w:r>
      <w:r>
        <w:t xml:space="preserve"> fois.</w:t>
      </w:r>
      <w:r>
        <w:br/>
        <w:t xml:space="preserve">Le décoffrage se fait au plus tôt </w:t>
      </w:r>
      <w:r>
        <w:rPr>
          <w:rStyle w:val="optioncarChar"/>
        </w:rPr>
        <w:t xml:space="preserve">*** jours après le coulage du béton / selon les directives de l’ingénieur </w:t>
      </w:r>
      <w:r>
        <w:t>(par défaut).</w:t>
      </w:r>
      <w:r>
        <w:br/>
        <w:t>La période de cure est conforme aux exigences de la [NBN EN 13670] et de la [NBN B 15-400] § F.8.5.</w:t>
      </w:r>
    </w:p>
    <w:p w14:paraId="3AD6BECB" w14:textId="77777777" w:rsidR="00DB2B68" w:rsidRDefault="00000000">
      <w:pPr>
        <w:pStyle w:val="Author-eSectionHeading6Numberless"/>
      </w:pPr>
      <w:bookmarkStart w:id="833" w:name="_Toc220495884"/>
      <w:r>
        <w:lastRenderedPageBreak/>
        <w:t>22.31.1a Volées d'escaliers en béton coulé en place CCTB 01.11</w:t>
      </w:r>
      <w:bookmarkEnd w:id="833"/>
    </w:p>
    <w:p w14:paraId="5B624417" w14:textId="77777777" w:rsidR="00DB2B68" w:rsidRDefault="00000000">
      <w:pPr>
        <w:pStyle w:val="pheading"/>
      </w:pPr>
      <w:r>
        <w:t>MATÉRIAUX</w:t>
      </w:r>
    </w:p>
    <w:p w14:paraId="63DB1818" w14:textId="77777777" w:rsidR="00DB2B68" w:rsidRDefault="00000000">
      <w:pPr>
        <w:pStyle w:val="pheading"/>
      </w:pPr>
      <w:r>
        <w:t>- Finitions</w:t>
      </w:r>
    </w:p>
    <w:p w14:paraId="67384694" w14:textId="77777777" w:rsidR="00DB2B68" w:rsidRDefault="00000000">
      <w:r>
        <w:t xml:space="preserve">Surface de béton: </w:t>
      </w:r>
      <w:r>
        <w:rPr>
          <w:rStyle w:val="optioncarChar"/>
        </w:rPr>
        <w:t xml:space="preserve">brute et lisse </w:t>
      </w:r>
      <w:r>
        <w:t>(par défaut)</w:t>
      </w:r>
      <w:r>
        <w:rPr>
          <w:rStyle w:val="optioncarChar"/>
        </w:rPr>
        <w:t xml:space="preserve"> / rugueuse / ****</w:t>
      </w:r>
    </w:p>
    <w:p w14:paraId="74F89140" w14:textId="77777777" w:rsidR="00DB2B68" w:rsidRDefault="00000000">
      <w:pPr>
        <w:pStyle w:val="pheading"/>
      </w:pPr>
      <w:r>
        <w:t>- Prescriptions complémentaires</w:t>
      </w:r>
    </w:p>
    <w:p w14:paraId="7EE93D41" w14:textId="77777777" w:rsidR="00DB2B68" w:rsidRDefault="00000000">
      <w:r>
        <w:t xml:space="preserve">Résistance au feu : pour les escaliers sans fonction séparante </w:t>
      </w:r>
      <w:r>
        <w:rPr>
          <w:rStyle w:val="optioncarChar"/>
        </w:rPr>
        <w:t xml:space="preserve">R30 </w:t>
      </w:r>
      <w:r>
        <w:t>(par défaut) </w:t>
      </w:r>
      <w:r>
        <w:rPr>
          <w:rStyle w:val="optioncarChar"/>
        </w:rPr>
        <w:t>/ R60 / R120 / R ***</w:t>
      </w:r>
      <w:r>
        <w:t xml:space="preserve"> et pour les escaliers avec fonction séparante </w:t>
      </w:r>
      <w:r>
        <w:rPr>
          <w:rStyle w:val="optioncarChar"/>
        </w:rPr>
        <w:t xml:space="preserve">REI 30 </w:t>
      </w:r>
      <w:r>
        <w:t>(par défaut) </w:t>
      </w:r>
      <w:r>
        <w:rPr>
          <w:rStyle w:val="optioncarChar"/>
        </w:rPr>
        <w:t>/ REI 60 / REI 120 / REI *** </w:t>
      </w:r>
    </w:p>
    <w:p w14:paraId="54DFF44D" w14:textId="77777777" w:rsidR="00DB2B68" w:rsidRDefault="00000000">
      <w:pPr>
        <w:pStyle w:val="pheading"/>
      </w:pPr>
      <w:r>
        <w:t>EXÉCUTION / MISE EN ŒUVRE</w:t>
      </w:r>
    </w:p>
    <w:p w14:paraId="2EAC1A65" w14:textId="77777777" w:rsidR="00DB2B68" w:rsidRDefault="00000000">
      <w:pPr>
        <w:pStyle w:val="pheading"/>
      </w:pPr>
      <w:r>
        <w:t>- Notes d’exécution complémentaires</w:t>
      </w:r>
    </w:p>
    <w:p w14:paraId="1B7D682A" w14:textId="77777777" w:rsidR="00DB2B68" w:rsidRDefault="00000000">
      <w:r>
        <w:t xml:space="preserve">Raccords visibles : joint en forme de </w:t>
      </w:r>
      <w:r>
        <w:rPr>
          <w:rStyle w:val="optioncarChar"/>
        </w:rPr>
        <w:t>*** / V</w:t>
      </w:r>
      <w:r>
        <w:t xml:space="preserve"> (par défaut)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w:t>
      </w:r>
      <w:r>
        <w:t xml:space="preserve"> et/ou d’indicateurs visuels (PMR) présentant les caractéristiques suivantes : </w:t>
      </w:r>
      <w:r>
        <w:rPr>
          <w:rStyle w:val="optioncarChar"/>
        </w:rPr>
        <w:t xml:space="preserve">voir recommandations dans le sous-titre </w:t>
      </w:r>
      <w:hyperlink w:anchor="516" w:history="1">
        <w:r>
          <w:rPr>
            <w:rStyle w:val="optioncarChar"/>
            <w:color w:val="0000EE"/>
          </w:rPr>
          <w:t>22.31 Escaliers en béton</w:t>
        </w:r>
      </w:hyperlink>
      <w:r>
        <w:rPr>
          <w:rStyle w:val="optioncarChar"/>
        </w:rPr>
        <w:t> (PMR) </w:t>
      </w:r>
      <w:r>
        <w:t>(par défaut)</w:t>
      </w:r>
      <w:r>
        <w:rPr>
          <w:rStyle w:val="optioncarChar"/>
        </w:rPr>
        <w:t xml:space="preserve"> / *** </w:t>
      </w:r>
    </w:p>
    <w:p w14:paraId="3511D412" w14:textId="77777777" w:rsidR="00DB2B68" w:rsidRDefault="00000000">
      <w:pPr>
        <w:pStyle w:val="pheading"/>
      </w:pPr>
      <w:r>
        <w:t>MESURAGE</w:t>
      </w:r>
    </w:p>
    <w:p w14:paraId="080194F4" w14:textId="77777777" w:rsidR="00DB2B68" w:rsidRDefault="00000000">
      <w:pPr>
        <w:pStyle w:val="pheading"/>
      </w:pPr>
      <w:r>
        <w:t>- unité de mesure:</w:t>
      </w:r>
    </w:p>
    <w:p w14:paraId="3FBC0306" w14:textId="77777777" w:rsidR="00DB2B68" w:rsidRDefault="00000000">
      <w:r>
        <w:rPr>
          <w:b/>
        </w:rPr>
        <w:t xml:space="preserve">1. </w:t>
      </w:r>
      <w:r>
        <w:t>m pour le béton</w:t>
      </w:r>
    </w:p>
    <w:p w14:paraId="2ACCC15E" w14:textId="77777777" w:rsidR="00DB2B68" w:rsidRDefault="00000000">
      <w:r>
        <w:rPr>
          <w:b/>
        </w:rPr>
        <w:t xml:space="preserve">2. </w:t>
      </w:r>
      <w:r>
        <w:t>kg pour les barres d’armatures</w:t>
      </w:r>
    </w:p>
    <w:p w14:paraId="0C22F1DE" w14:textId="77777777" w:rsidR="00DB2B68" w:rsidRDefault="00000000">
      <w:r>
        <w:rPr>
          <w:b/>
        </w:rPr>
        <w:t>3.</w:t>
      </w:r>
      <w:r>
        <w:t xml:space="preserve"> PM, coffrages</w:t>
      </w:r>
    </w:p>
    <w:p w14:paraId="33A58666" w14:textId="77777777" w:rsidR="00DB2B68" w:rsidRDefault="00000000">
      <w:pPr>
        <w:pStyle w:val="pheading"/>
      </w:pPr>
      <w:r>
        <w:t>- nature du marché:</w:t>
      </w:r>
    </w:p>
    <w:p w14:paraId="7021CC18" w14:textId="77777777" w:rsidR="00DB2B68" w:rsidRDefault="00000000">
      <w:r>
        <w:t>QF</w:t>
      </w:r>
    </w:p>
    <w:p w14:paraId="5B9FBB24" w14:textId="77777777" w:rsidR="00DB2B68" w:rsidRDefault="00000000">
      <w:pPr>
        <w:pStyle w:val="Author-eSectionHeading6Numberless"/>
      </w:pPr>
      <w:bookmarkStart w:id="834" w:name="_Toc220495885"/>
      <w:r>
        <w:t>22.31.1b Paliers d'escaliers en béton coulé en place CCTB 01.11</w:t>
      </w:r>
      <w:bookmarkEnd w:id="834"/>
    </w:p>
    <w:p w14:paraId="19DB28D3" w14:textId="77777777" w:rsidR="00DB2B68" w:rsidRDefault="00000000">
      <w:pPr>
        <w:pStyle w:val="pheading"/>
      </w:pPr>
      <w:r>
        <w:t>MATÉRIAUX</w:t>
      </w:r>
    </w:p>
    <w:p w14:paraId="07B9EAD7" w14:textId="77777777" w:rsidR="00DB2B68" w:rsidRDefault="00000000">
      <w:pPr>
        <w:pStyle w:val="pheading"/>
      </w:pPr>
      <w:r>
        <w:t>- Finitions</w:t>
      </w:r>
    </w:p>
    <w:p w14:paraId="0272F8D3" w14:textId="77777777" w:rsidR="00DB2B68" w:rsidRDefault="00000000">
      <w:r>
        <w:t xml:space="preserve">Surface de béton: </w:t>
      </w:r>
      <w:r>
        <w:rPr>
          <w:rStyle w:val="optioncarChar"/>
        </w:rPr>
        <w:t xml:space="preserve">brute et lisse </w:t>
      </w:r>
      <w:r>
        <w:t>(par défaut)</w:t>
      </w:r>
      <w:r>
        <w:rPr>
          <w:rStyle w:val="optioncarChar"/>
        </w:rPr>
        <w:t xml:space="preserve"> / rugueuse / ***</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0FC06B68" w14:textId="77777777" w:rsidR="00DB2B68" w:rsidRDefault="00000000">
      <w:pPr>
        <w:pStyle w:val="pheading"/>
      </w:pPr>
      <w:r>
        <w:t>- Prescriptions complémentaires</w:t>
      </w:r>
    </w:p>
    <w:p w14:paraId="63E52376" w14:textId="77777777" w:rsidR="00DB2B68" w:rsidRDefault="00000000">
      <w:r>
        <w:t xml:space="preserve">Résistance au feu : pour les escaliers sans fonction séparant </w:t>
      </w:r>
      <w:r>
        <w:rPr>
          <w:rStyle w:val="optioncarChar"/>
        </w:rPr>
        <w:t>/ R30 </w:t>
      </w:r>
      <w:r>
        <w:t>(par défaut) </w:t>
      </w:r>
      <w:r>
        <w:rPr>
          <w:rStyle w:val="optioncarChar"/>
        </w:rPr>
        <w:t>/ R60 / R120 / R ***</w:t>
      </w:r>
      <w:r>
        <w:t xml:space="preserve"> et pour les escaliers avec fonction séparant </w:t>
      </w:r>
      <w:r>
        <w:rPr>
          <w:rStyle w:val="optioncarChar"/>
        </w:rPr>
        <w:t>/ REI 30</w:t>
      </w:r>
      <w:r>
        <w:t> (par défaut)</w:t>
      </w:r>
      <w:r>
        <w:rPr>
          <w:rStyle w:val="optioncarChar"/>
        </w:rPr>
        <w:t xml:space="preserve"> / REI 60 / REI 120 / REI ***</w:t>
      </w:r>
    </w:p>
    <w:p w14:paraId="688E5CED" w14:textId="77777777" w:rsidR="00DB2B68" w:rsidRDefault="00000000">
      <w:pPr>
        <w:pStyle w:val="pheading"/>
      </w:pPr>
      <w:r>
        <w:t>EXÉCUTION / MISE EN ŒUVRE</w:t>
      </w:r>
    </w:p>
    <w:p w14:paraId="388FE1FD" w14:textId="77777777" w:rsidR="00DB2B68" w:rsidRDefault="00000000">
      <w:pPr>
        <w:pStyle w:val="pheading"/>
      </w:pPr>
      <w:r>
        <w:t>- Notes d’exécution complémentaires</w:t>
      </w:r>
    </w:p>
    <w:p w14:paraId="02DD845A" w14:textId="77777777" w:rsidR="00DB2B68" w:rsidRDefault="00000000">
      <w:r>
        <w:t>Raccords visibles : joint en forme de </w:t>
      </w:r>
      <w:r>
        <w:rPr>
          <w:rStyle w:val="optioncarChar"/>
        </w:rPr>
        <w:t>V</w:t>
      </w:r>
      <w:r>
        <w:t xml:space="preserve">(par défaut) </w:t>
      </w:r>
      <w:r>
        <w:rPr>
          <w:rStyle w:val="optioncarChar"/>
        </w:rPr>
        <w:t>/ ***</w:t>
      </w:r>
      <w:r>
        <w: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w:t>
      </w:r>
      <w:r>
        <w:rPr>
          <w:rStyle w:val="optioncarChar"/>
        </w:rPr>
        <w:lastRenderedPageBreak/>
        <w:t xml:space="preserve">sous-titre </w:t>
      </w:r>
      <w:hyperlink w:anchor="516" w:history="1">
        <w:r>
          <w:rPr>
            <w:rStyle w:val="optioncarChar"/>
            <w:color w:val="0000EE"/>
          </w:rPr>
          <w:t>22.31 Escaliers en béton</w:t>
        </w:r>
      </w:hyperlink>
      <w:r>
        <w:rPr>
          <w:rStyle w:val="optioncarChar"/>
        </w:rPr>
        <w:t> (PMR) </w:t>
      </w:r>
      <w:r>
        <w:t>(par défaut)</w:t>
      </w:r>
      <w:r>
        <w:rPr>
          <w:rStyle w:val="optioncarChar"/>
        </w:rPr>
        <w:t xml:space="preserve"> / ***</w:t>
      </w:r>
      <w:r>
        <w:br/>
        <w:t>Les paliers sont équipés de dalles podotactiles présentant les caractéristiques suivantes :</w:t>
      </w:r>
      <w:r>
        <w:rPr>
          <w:rStyle w:val="optioncarChar"/>
        </w:rPr>
        <w:t xml:space="preserve"> voir recommandations dans le sous-titre </w:t>
      </w:r>
      <w:hyperlink w:anchor="516" w:history="1">
        <w:r>
          <w:rPr>
            <w:rStyle w:val="optioncarChar"/>
            <w:color w:val="0000EE"/>
          </w:rPr>
          <w:t>22.31 Escaliers en béton</w:t>
        </w:r>
      </w:hyperlink>
      <w:r>
        <w:rPr>
          <w:rStyle w:val="optioncarChar"/>
        </w:rPr>
        <w:t xml:space="preserve"> (PMR) </w:t>
      </w:r>
      <w:r>
        <w:t>(par défaut)</w:t>
      </w:r>
    </w:p>
    <w:p w14:paraId="072B1138" w14:textId="77777777" w:rsidR="00DB2B68" w:rsidRDefault="00000000">
      <w:pPr>
        <w:pStyle w:val="pheading"/>
      </w:pPr>
      <w:r>
        <w:t>MESURAGE</w:t>
      </w:r>
    </w:p>
    <w:p w14:paraId="1A403E61" w14:textId="77777777" w:rsidR="00DB2B68" w:rsidRDefault="00000000">
      <w:pPr>
        <w:pStyle w:val="pheading"/>
      </w:pPr>
      <w:r>
        <w:t>- unité de mesure:</w:t>
      </w:r>
    </w:p>
    <w:p w14:paraId="2DA5E014" w14:textId="77777777" w:rsidR="00DB2B68" w:rsidRDefault="00000000">
      <w:r>
        <w:rPr>
          <w:b/>
        </w:rPr>
        <w:t xml:space="preserve">1. </w:t>
      </w:r>
      <w:r>
        <w:t>m pour le béton</w:t>
      </w:r>
    </w:p>
    <w:p w14:paraId="4F92297B" w14:textId="77777777" w:rsidR="00DB2B68" w:rsidRDefault="00000000">
      <w:r>
        <w:rPr>
          <w:b/>
        </w:rPr>
        <w:t xml:space="preserve">2. </w:t>
      </w:r>
      <w:r>
        <w:t>kg pour les barres d’armatures</w:t>
      </w:r>
    </w:p>
    <w:p w14:paraId="354E3D72" w14:textId="77777777" w:rsidR="00DB2B68" w:rsidRDefault="00000000">
      <w:r>
        <w:rPr>
          <w:b/>
        </w:rPr>
        <w:t>3.</w:t>
      </w:r>
      <w:r>
        <w:t xml:space="preserve"> PM, coffrages</w:t>
      </w:r>
    </w:p>
    <w:p w14:paraId="159813D6" w14:textId="77777777" w:rsidR="00DB2B68" w:rsidRDefault="00000000">
      <w:pPr>
        <w:pStyle w:val="pheading"/>
      </w:pPr>
      <w:r>
        <w:t>- nature du marché:</w:t>
      </w:r>
    </w:p>
    <w:p w14:paraId="063DAEEB" w14:textId="77777777" w:rsidR="00DB2B68" w:rsidRDefault="00000000">
      <w:r>
        <w:t>QF</w:t>
      </w:r>
    </w:p>
    <w:p w14:paraId="076C2D5D" w14:textId="77777777" w:rsidR="00DB2B68" w:rsidRDefault="00000000">
      <w:pPr>
        <w:pStyle w:val="Author-eSectionHeading6Numberless"/>
      </w:pPr>
      <w:bookmarkStart w:id="835" w:name="_Toc220495886"/>
      <w:r>
        <w:t>22.31.1c Escaliers en béton coulé en place CCTB 01.10</w:t>
      </w:r>
      <w:bookmarkEnd w:id="835"/>
    </w:p>
    <w:p w14:paraId="5C1500E8" w14:textId="77777777" w:rsidR="00DB2B68" w:rsidRDefault="00000000">
      <w:pPr>
        <w:pStyle w:val="pheading"/>
      </w:pPr>
      <w:r>
        <w:t>MATÉRIAUX</w:t>
      </w:r>
    </w:p>
    <w:p w14:paraId="2CD09FFF" w14:textId="77777777" w:rsidR="00DB2B68" w:rsidRDefault="00000000">
      <w:pPr>
        <w:pStyle w:val="pheading"/>
      </w:pPr>
      <w:r>
        <w:t>- Finitions</w:t>
      </w:r>
    </w:p>
    <w:p w14:paraId="5A96B9B3" w14:textId="77777777" w:rsidR="00DB2B68" w:rsidRDefault="00000000">
      <w:r>
        <w:t xml:space="preserve">Surface de béton: </w:t>
      </w:r>
      <w:r>
        <w:rPr>
          <w:rStyle w:val="optioncarChar"/>
        </w:rPr>
        <w:t xml:space="preserve">brute et lisse </w:t>
      </w:r>
      <w:r>
        <w:t>(par défaut)</w:t>
      </w:r>
      <w:r>
        <w:rPr>
          <w:rStyle w:val="optioncarChar"/>
        </w:rPr>
        <w:t xml:space="preserve"> / rugueuse / ***</w:t>
      </w:r>
    </w:p>
    <w:p w14:paraId="635EED7A" w14:textId="77777777" w:rsidR="00DB2B68" w:rsidRDefault="00000000">
      <w:pPr>
        <w:pStyle w:val="pheading"/>
      </w:pPr>
      <w:r>
        <w:t>- Prescriptions complémentaires</w:t>
      </w:r>
    </w:p>
    <w:p w14:paraId="4BC95F46" w14:textId="77777777" w:rsidR="00DB2B68" w:rsidRDefault="00000000">
      <w:r>
        <w:t xml:space="preserve">Résistance au feu : pour les escaliers sans fonction séparant </w:t>
      </w:r>
      <w:r>
        <w:rPr>
          <w:rStyle w:val="optioncarChar"/>
        </w:rPr>
        <w:t xml:space="preserve">/ R30 </w:t>
      </w:r>
      <w:r>
        <w:t>(par défaut) </w:t>
      </w:r>
      <w:r>
        <w:rPr>
          <w:rStyle w:val="optioncarChar"/>
        </w:rPr>
        <w:t xml:space="preserve">/ R60 / R120 / R *** </w:t>
      </w:r>
      <w:r>
        <w:t xml:space="preserve">et pour les escaliers avec fonction séparant </w:t>
      </w:r>
      <w:r>
        <w:rPr>
          <w:rStyle w:val="optioncarChar"/>
        </w:rPr>
        <w:t xml:space="preserve">/ REI 30 </w:t>
      </w:r>
      <w:r>
        <w:t>(par défaut) </w:t>
      </w:r>
      <w:r>
        <w:rPr>
          <w:rStyle w:val="optioncarChar"/>
        </w:rPr>
        <w:t>/ REI 60 / REI 120 / REI ***</w:t>
      </w:r>
    </w:p>
    <w:p w14:paraId="0758E73C" w14:textId="77777777" w:rsidR="00DB2B68" w:rsidRDefault="00000000">
      <w:pPr>
        <w:pStyle w:val="pheading"/>
      </w:pPr>
      <w:r>
        <w:t>EXÉCUTION / MISE EN ŒUVRE</w:t>
      </w:r>
    </w:p>
    <w:p w14:paraId="78ABA45D" w14:textId="77777777" w:rsidR="00DB2B68" w:rsidRDefault="00000000">
      <w:pPr>
        <w:pStyle w:val="pheading"/>
      </w:pPr>
      <w:r>
        <w:t>- Notes d’exécution complémentaires</w:t>
      </w:r>
    </w:p>
    <w:p w14:paraId="6BCD6D22" w14:textId="77777777" w:rsidR="00DB2B68" w:rsidRDefault="00000000">
      <w:r>
        <w:t xml:space="preserve">Raccords visibles : joint en forme de </w:t>
      </w:r>
      <w:r>
        <w:rPr>
          <w:rStyle w:val="optioncarChar"/>
        </w:rPr>
        <w:t>*** / V </w:t>
      </w:r>
      <w:r>
        <w:t>(par défaut)</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sous-titre </w:t>
      </w:r>
      <w:hyperlink w:anchor="516" w:history="1">
        <w:r>
          <w:rPr>
            <w:rStyle w:val="optioncarChar"/>
            <w:color w:val="0000EE"/>
          </w:rPr>
          <w:t>22.31 Escaliers en béton</w:t>
        </w:r>
      </w:hyperlink>
      <w:r>
        <w:rPr>
          <w:rStyle w:val="optioncarChar"/>
        </w:rPr>
        <w:t> (PMR) </w:t>
      </w:r>
      <w:r>
        <w:t xml:space="preserve">(par défaut) </w:t>
      </w:r>
      <w:r>
        <w:rPr>
          <w:rStyle w:val="optioncarChar"/>
        </w:rPr>
        <w:t>/ ***</w:t>
      </w:r>
      <w:r>
        <w:br/>
        <w:t xml:space="preserve">Les paliers sont équipés de dalles podotactiles présentant les caractéristiques suivantes : </w:t>
      </w:r>
      <w:r>
        <w:rPr>
          <w:rStyle w:val="optioncarChar"/>
        </w:rPr>
        <w:t xml:space="preserve">voir recommandations dans le sous-titre </w:t>
      </w:r>
      <w:hyperlink w:anchor="516" w:history="1">
        <w:r>
          <w:rPr>
            <w:rStyle w:val="optioncarChar"/>
            <w:color w:val="0000EE"/>
          </w:rPr>
          <w:t>22.31 Escaliers en béton</w:t>
        </w:r>
      </w:hyperlink>
      <w:r>
        <w:rPr>
          <w:rStyle w:val="optioncarChar"/>
        </w:rPr>
        <w:t> (PMR) </w:t>
      </w:r>
      <w:r>
        <w:t>(par défaut)</w:t>
      </w:r>
      <w:r>
        <w:rPr>
          <w:rStyle w:val="optioncarChar"/>
        </w:rPr>
        <w:t xml:space="preserve"> / ***</w:t>
      </w:r>
      <w:r>
        <w:t xml:space="preserve"> .</w:t>
      </w:r>
    </w:p>
    <w:p w14:paraId="42E09A2D" w14:textId="77777777" w:rsidR="00DB2B68" w:rsidRDefault="00000000">
      <w:pPr>
        <w:pStyle w:val="pheading"/>
      </w:pPr>
      <w:r>
        <w:t>MESURAGE</w:t>
      </w:r>
    </w:p>
    <w:p w14:paraId="3D878EAF" w14:textId="77777777" w:rsidR="00DB2B68" w:rsidRDefault="00000000">
      <w:pPr>
        <w:pStyle w:val="pheading"/>
      </w:pPr>
      <w:r>
        <w:t>- unité de mesure:</w:t>
      </w:r>
    </w:p>
    <w:p w14:paraId="14799D5A" w14:textId="77777777" w:rsidR="00DB2B68" w:rsidRDefault="00000000">
      <w:r>
        <w:rPr>
          <w:b/>
        </w:rPr>
        <w:t xml:space="preserve">1. </w:t>
      </w:r>
      <w:r>
        <w:t>m pour le béton</w:t>
      </w:r>
    </w:p>
    <w:p w14:paraId="18964E01" w14:textId="77777777" w:rsidR="00DB2B68" w:rsidRDefault="00000000">
      <w:r>
        <w:rPr>
          <w:b/>
        </w:rPr>
        <w:t xml:space="preserve">2. </w:t>
      </w:r>
      <w:r>
        <w:t>kg pour les barres d’armatures</w:t>
      </w:r>
    </w:p>
    <w:p w14:paraId="593B3AB4" w14:textId="77777777" w:rsidR="00DB2B68" w:rsidRDefault="00000000">
      <w:r>
        <w:rPr>
          <w:b/>
        </w:rPr>
        <w:t>3.</w:t>
      </w:r>
      <w:r>
        <w:t xml:space="preserve"> PM, coffrages</w:t>
      </w:r>
    </w:p>
    <w:p w14:paraId="5047EA06" w14:textId="77777777" w:rsidR="00DB2B68" w:rsidRDefault="00000000">
      <w:pPr>
        <w:pStyle w:val="pheading"/>
      </w:pPr>
      <w:r>
        <w:t>- nature du marché:</w:t>
      </w:r>
    </w:p>
    <w:p w14:paraId="71E9D1D3" w14:textId="77777777" w:rsidR="00DB2B68" w:rsidRDefault="00000000">
      <w:r>
        <w:t>QF</w:t>
      </w:r>
    </w:p>
    <w:p w14:paraId="32239034" w14:textId="77777777" w:rsidR="00DB2B68" w:rsidRDefault="00000000">
      <w:pPr>
        <w:pStyle w:val="Author-eSectionHeading5Numberless"/>
      </w:pPr>
      <w:bookmarkStart w:id="836" w:name="_Toc220495887"/>
      <w:r>
        <w:t>22.31.2 Escaliers en béton apparent (esthétique) coulé en place CCTB 01.13</w:t>
      </w:r>
      <w:bookmarkEnd w:id="836"/>
    </w:p>
    <w:p w14:paraId="195FDACF" w14:textId="77777777" w:rsidR="00DB2B68" w:rsidRDefault="00000000">
      <w:pPr>
        <w:pStyle w:val="pheading"/>
      </w:pPr>
      <w:r>
        <w:t>DESCRIPTION</w:t>
      </w:r>
    </w:p>
    <w:p w14:paraId="0D59E85B" w14:textId="77777777" w:rsidR="00DB2B68" w:rsidRDefault="00000000">
      <w:pPr>
        <w:pStyle w:val="pheading"/>
      </w:pPr>
      <w:r>
        <w:t>- Définition / Comprend</w:t>
      </w:r>
    </w:p>
    <w:p w14:paraId="4D33A487" w14:textId="77777777" w:rsidR="00DB2B68" w:rsidRDefault="00000000">
      <w:r>
        <w:lastRenderedPageBreak/>
        <w:t>Il s'agit de l’ensemble des </w:t>
      </w:r>
      <w:r>
        <w:rPr>
          <w:rStyle w:val="optioncarChar"/>
        </w:rPr>
        <w:t>escaliers </w:t>
      </w:r>
      <w:r>
        <w:t>(par défaut)</w:t>
      </w:r>
      <w:r>
        <w:rPr>
          <w:rStyle w:val="optioncarChar"/>
        </w:rPr>
        <w:t xml:space="preserve"> / paliers / tous les éléments dont la face supérieure ont une inclinaison supérieure à 6/4  / ***, </w:t>
      </w:r>
      <w:r>
        <w:t>exécutés en béton coulé en place. En ce qui concerne les prescriptions générales en matière de charges d’exploitation, sécurité anti-incendie, modulation de l’escalier, etc. voir le chapitre 57.1 Escaliers et garde-corps complets. Les éventuelles finitions d’escalier sont décrites dans un poste séparé du chapitre 46.4 Revêtements de sols extérieurs (des balcons).</w:t>
      </w:r>
    </w:p>
    <w:p w14:paraId="513BB518" w14:textId="77777777" w:rsidR="00DB2B68" w:rsidRDefault="00000000">
      <w:pPr>
        <w:pStyle w:val="pheading"/>
      </w:pPr>
      <w:r>
        <w:t>MATÉRIAUX</w:t>
      </w:r>
    </w:p>
    <w:p w14:paraId="7A9F42B1" w14:textId="77777777" w:rsidR="00DB2B68" w:rsidRDefault="00000000">
      <w:r>
        <w:t xml:space="preserve">Qualité du béton selon la [NBN EN 206:2013+A2] et la [NBN B 15-001] (voir également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795F9C01" w14:textId="77777777">
        <w:tc>
          <w:tcPr>
            <w:tcW w:w="1500" w:type="dxa"/>
            <w:noWrap/>
          </w:tcPr>
          <w:p w14:paraId="4ACE6C7F" w14:textId="77777777" w:rsidR="00DB2B68" w:rsidRDefault="00000000">
            <w:pPr>
              <w:jc w:val="center"/>
            </w:pPr>
            <w:r>
              <w:rPr>
                <w:b/>
              </w:rPr>
              <w:t>A</w:t>
            </w:r>
          </w:p>
        </w:tc>
        <w:tc>
          <w:tcPr>
            <w:tcW w:w="1500" w:type="dxa"/>
            <w:noWrap/>
          </w:tcPr>
          <w:p w14:paraId="6C252910" w14:textId="77777777" w:rsidR="00DB2B68" w:rsidRDefault="00000000">
            <w:pPr>
              <w:jc w:val="center"/>
            </w:pPr>
            <w:r>
              <w:rPr>
                <w:b/>
              </w:rPr>
              <w:t>B1</w:t>
            </w:r>
          </w:p>
        </w:tc>
        <w:tc>
          <w:tcPr>
            <w:tcW w:w="1500" w:type="dxa"/>
            <w:noWrap/>
          </w:tcPr>
          <w:p w14:paraId="68A53E5A" w14:textId="77777777" w:rsidR="00DB2B68" w:rsidRDefault="00000000">
            <w:pPr>
              <w:jc w:val="center"/>
            </w:pPr>
            <w:r>
              <w:rPr>
                <w:b/>
              </w:rPr>
              <w:t>B2</w:t>
            </w:r>
          </w:p>
        </w:tc>
        <w:tc>
          <w:tcPr>
            <w:tcW w:w="1500" w:type="dxa"/>
            <w:noWrap/>
          </w:tcPr>
          <w:p w14:paraId="2655E022" w14:textId="77777777" w:rsidR="00DB2B68" w:rsidRDefault="00000000">
            <w:pPr>
              <w:jc w:val="center"/>
            </w:pPr>
            <w:r>
              <w:rPr>
                <w:b/>
              </w:rPr>
              <w:t>C</w:t>
            </w:r>
          </w:p>
        </w:tc>
        <w:tc>
          <w:tcPr>
            <w:tcW w:w="1500" w:type="dxa"/>
            <w:noWrap/>
          </w:tcPr>
          <w:p w14:paraId="47843F3C" w14:textId="77777777" w:rsidR="00DB2B68" w:rsidRDefault="00000000">
            <w:pPr>
              <w:jc w:val="center"/>
            </w:pPr>
            <w:r>
              <w:rPr>
                <w:b/>
              </w:rPr>
              <w:t>D</w:t>
            </w:r>
          </w:p>
        </w:tc>
        <w:tc>
          <w:tcPr>
            <w:tcW w:w="1500" w:type="dxa"/>
            <w:noWrap/>
          </w:tcPr>
          <w:p w14:paraId="377AB431" w14:textId="77777777" w:rsidR="00DB2B68" w:rsidRDefault="00000000">
            <w:pPr>
              <w:jc w:val="center"/>
            </w:pPr>
            <w:r>
              <w:rPr>
                <w:b/>
              </w:rPr>
              <w:t>E</w:t>
            </w:r>
          </w:p>
        </w:tc>
      </w:tr>
      <w:tr w:rsidR="00DB2B68" w14:paraId="1A48F96B" w14:textId="77777777">
        <w:tc>
          <w:tcPr>
            <w:tcW w:w="1500" w:type="dxa"/>
            <w:noWrap/>
          </w:tcPr>
          <w:p w14:paraId="63F0DB41" w14:textId="77777777" w:rsidR="00DB2B68" w:rsidRDefault="00000000">
            <w:pPr>
              <w:jc w:val="center"/>
            </w:pPr>
            <w:r>
              <w:rPr>
                <w:b/>
              </w:rPr>
              <w:t>Classe de résistance</w:t>
            </w:r>
          </w:p>
        </w:tc>
        <w:tc>
          <w:tcPr>
            <w:tcW w:w="1500" w:type="dxa"/>
            <w:noWrap/>
          </w:tcPr>
          <w:p w14:paraId="2A18476C" w14:textId="77777777" w:rsidR="00DB2B68" w:rsidRDefault="00000000">
            <w:pPr>
              <w:jc w:val="center"/>
            </w:pPr>
            <w:r>
              <w:rPr>
                <w:b/>
              </w:rPr>
              <w:t>Domaine d’application</w:t>
            </w:r>
          </w:p>
        </w:tc>
        <w:tc>
          <w:tcPr>
            <w:tcW w:w="1500" w:type="dxa"/>
            <w:noWrap/>
          </w:tcPr>
          <w:p w14:paraId="0078C8EA" w14:textId="77777777" w:rsidR="00DB2B68" w:rsidRDefault="00000000">
            <w:pPr>
              <w:jc w:val="center"/>
            </w:pPr>
            <w:r>
              <w:rPr>
                <w:b/>
              </w:rPr>
              <w:t>Classe d'environnement</w:t>
            </w:r>
          </w:p>
        </w:tc>
        <w:tc>
          <w:tcPr>
            <w:tcW w:w="1500" w:type="dxa"/>
            <w:noWrap/>
          </w:tcPr>
          <w:p w14:paraId="34C061D8" w14:textId="77777777" w:rsidR="00DB2B68" w:rsidRDefault="00000000">
            <w:pPr>
              <w:jc w:val="center"/>
            </w:pPr>
            <w:r>
              <w:rPr>
                <w:b/>
              </w:rPr>
              <w:t>Classe de consistance</w:t>
            </w:r>
          </w:p>
        </w:tc>
        <w:tc>
          <w:tcPr>
            <w:tcW w:w="1500" w:type="dxa"/>
            <w:noWrap/>
          </w:tcPr>
          <w:p w14:paraId="53767515" w14:textId="77777777" w:rsidR="00DB2B68" w:rsidRDefault="00000000">
            <w:pPr>
              <w:jc w:val="center"/>
            </w:pPr>
            <w:r>
              <w:rPr>
                <w:b/>
              </w:rPr>
              <w:t>Granulométrie maximale</w:t>
            </w:r>
          </w:p>
        </w:tc>
        <w:tc>
          <w:tcPr>
            <w:tcW w:w="1500" w:type="dxa"/>
            <w:noWrap/>
          </w:tcPr>
          <w:p w14:paraId="02769544" w14:textId="77777777" w:rsidR="00DB2B68" w:rsidRDefault="00000000">
            <w:r>
              <w:rPr>
                <w:b/>
              </w:rPr>
              <w:t>Données complémentaires</w:t>
            </w:r>
          </w:p>
        </w:tc>
      </w:tr>
      <w:tr w:rsidR="00DB2B68" w14:paraId="2EA94830" w14:textId="77777777">
        <w:tc>
          <w:tcPr>
            <w:tcW w:w="1500" w:type="dxa"/>
            <w:noWrap/>
          </w:tcPr>
          <w:p w14:paraId="7C953BB0" w14:textId="77777777" w:rsidR="00DB2B68" w:rsidRDefault="00000000">
            <w:pPr>
              <w:jc w:val="center"/>
            </w:pPr>
            <w:r>
              <w:rPr>
                <w:rStyle w:val="optioncarChar"/>
              </w:rPr>
              <w:t>C25/30 // C30/37 // C35/45 // C45/55 // C50/60 // C55/67 // C60/75 // C70/85 // C80/95 // C90/105 // ***</w:t>
            </w:r>
          </w:p>
        </w:tc>
        <w:tc>
          <w:tcPr>
            <w:tcW w:w="1500" w:type="dxa"/>
            <w:noWrap/>
          </w:tcPr>
          <w:p w14:paraId="041FBA2A" w14:textId="77777777" w:rsidR="00DB2B68" w:rsidRDefault="00000000">
            <w:pPr>
              <w:jc w:val="center"/>
            </w:pPr>
            <w:r>
              <w:t>Béton armé</w:t>
            </w:r>
          </w:p>
          <w:p w14:paraId="50358E09" w14:textId="77777777" w:rsidR="00DB2B68" w:rsidRDefault="00000000">
            <w:pPr>
              <w:jc w:val="center"/>
            </w:pPr>
            <w:r>
              <w:t> </w:t>
            </w:r>
          </w:p>
        </w:tc>
        <w:tc>
          <w:tcPr>
            <w:tcW w:w="1500" w:type="dxa"/>
            <w:noWrap/>
          </w:tcPr>
          <w:p w14:paraId="3196D2A0" w14:textId="77777777" w:rsidR="00DB2B68" w:rsidRDefault="00000000">
            <w:pPr>
              <w:jc w:val="center"/>
            </w:pPr>
            <w:r>
              <w:rPr>
                <w:rStyle w:val="optioncarChar"/>
              </w:rPr>
              <w:t>*** / E0 / EI / EE1 / EE2 / EE3 / EE4 / ES1 / ES2 / ES3 / ES4 / EA1+*** / EA2+***/ EA3+***</w:t>
            </w:r>
          </w:p>
        </w:tc>
        <w:tc>
          <w:tcPr>
            <w:tcW w:w="1500" w:type="dxa"/>
            <w:noWrap/>
          </w:tcPr>
          <w:p w14:paraId="021B186C" w14:textId="77777777" w:rsidR="00DB2B68" w:rsidRDefault="00000000">
            <w:pPr>
              <w:jc w:val="center"/>
            </w:pPr>
            <w:r>
              <w:t>au choix de l'entrepreneur :</w:t>
            </w:r>
          </w:p>
          <w:p w14:paraId="6484A7F8" w14:textId="77777777" w:rsidR="00DB2B68" w:rsidRDefault="00000000">
            <w:pPr>
              <w:jc w:val="center"/>
            </w:pPr>
            <w:r>
              <w:rPr>
                <w:rStyle w:val="optioncarChar"/>
              </w:rPr>
              <w:t>*** / S3 / S4 / S5 /</w:t>
            </w:r>
            <w:r>
              <w:br/>
            </w:r>
          </w:p>
          <w:p w14:paraId="502CD2E6" w14:textId="77777777" w:rsidR="00DB2B68" w:rsidRDefault="00000000">
            <w:pPr>
              <w:jc w:val="center"/>
            </w:pPr>
            <w:r>
              <w:rPr>
                <w:rStyle w:val="optioncarChar"/>
              </w:rPr>
              <w:t>*** / F3 / F4 / F5 / F6</w:t>
            </w:r>
            <w:r>
              <w:br/>
            </w:r>
          </w:p>
        </w:tc>
        <w:tc>
          <w:tcPr>
            <w:tcW w:w="1500" w:type="dxa"/>
            <w:noWrap/>
          </w:tcPr>
          <w:p w14:paraId="62A3B16C" w14:textId="77777777" w:rsidR="00DB2B68" w:rsidRDefault="00000000">
            <w:pPr>
              <w:jc w:val="center"/>
            </w:pPr>
            <w:r>
              <w:t>au choix de l'entrepreneur :</w:t>
            </w:r>
          </w:p>
          <w:p w14:paraId="3CDA5D58" w14:textId="77777777" w:rsidR="00DB2B68" w:rsidRDefault="00000000">
            <w:pPr>
              <w:jc w:val="center"/>
            </w:pPr>
            <w:r>
              <w:rPr>
                <w:rStyle w:val="optioncarChar"/>
              </w:rPr>
              <w:t>*** / 6 / 8 / 10 / 11 / 12 / 14 / 16 / 20 / 22 / 32</w:t>
            </w:r>
            <w:r>
              <w:t xml:space="preserve"> mm</w:t>
            </w:r>
          </w:p>
        </w:tc>
        <w:tc>
          <w:tcPr>
            <w:tcW w:w="1500" w:type="dxa"/>
            <w:noWrap/>
          </w:tcPr>
          <w:p w14:paraId="203BBC08" w14:textId="77777777" w:rsidR="00DB2B68" w:rsidRDefault="00000000">
            <w:pPr>
              <w:jc w:val="center"/>
            </w:pPr>
            <w:r>
              <w:rPr>
                <w:rStyle w:val="optioncarChar"/>
              </w:rPr>
              <w:t>***</w:t>
            </w:r>
          </w:p>
        </w:tc>
      </w:tr>
    </w:tbl>
    <w:p w14:paraId="2F4325A4"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E07D401" w14:textId="77777777" w:rsidR="00DB2B68" w:rsidRDefault="00000000">
      <w:pPr>
        <w:pStyle w:val="Author-eListParagraph"/>
        <w:numPr>
          <w:ilvl w:val="0"/>
          <w:numId w:val="582"/>
        </w:numPr>
      </w:pPr>
      <w:r>
        <w:t xml:space="preserve">Classe de viscosité apparente : </w:t>
      </w:r>
      <w:r>
        <w:rPr>
          <w:rStyle w:val="optioncarChar"/>
        </w:rPr>
        <w:t>VS1 / VS2</w:t>
      </w:r>
      <w:r>
        <w:t xml:space="preserve"> (selon la [NBN EN 12350-8] )</w:t>
      </w:r>
    </w:p>
    <w:p w14:paraId="4D5CF285" w14:textId="77777777" w:rsidR="00DB2B68" w:rsidRDefault="00000000">
      <w:pPr>
        <w:pStyle w:val="Author-eListParagraph"/>
        <w:numPr>
          <w:ilvl w:val="0"/>
          <w:numId w:val="58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1D0AF16" w14:textId="77777777" w:rsidR="00DB2B68" w:rsidRDefault="00000000">
      <w:pPr>
        <w:pStyle w:val="Author-eListParagraph"/>
        <w:numPr>
          <w:ilvl w:val="0"/>
          <w:numId w:val="58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DD99F82"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60C900C3" w14:textId="77777777" w:rsidR="00DB2B68" w:rsidRDefault="00000000">
      <w:pPr>
        <w:pStyle w:val="Author-eListParagraph"/>
        <w:numPr>
          <w:ilvl w:val="0"/>
          <w:numId w:val="583"/>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1A2F3513" w14:textId="77777777" w:rsidR="00DB2B68" w:rsidRDefault="00000000">
      <w:pPr>
        <w:pStyle w:val="Author-eListParagraph"/>
        <w:numPr>
          <w:ilvl w:val="0"/>
          <w:numId w:val="58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2013D386" w14:textId="77777777" w:rsidR="00DB2B68" w:rsidRDefault="00000000">
      <w:pPr>
        <w:pStyle w:val="Author-eListParagraph"/>
        <w:numPr>
          <w:ilvl w:val="0"/>
          <w:numId w:val="583"/>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 ***x***x***x***</w:t>
      </w:r>
      <w:r>
        <w:t xml:space="preserve"> mm.</w:t>
      </w:r>
    </w:p>
    <w:p w14:paraId="33A6894E" w14:textId="77777777" w:rsidR="00DB2B68" w:rsidRDefault="00000000">
      <w:r>
        <w:t> </w:t>
      </w:r>
    </w:p>
    <w:p w14:paraId="16EE5612" w14:textId="77777777" w:rsidR="00DB2B68" w:rsidRDefault="00000000">
      <w:pPr>
        <w:pStyle w:val="pheading"/>
      </w:pPr>
      <w:r>
        <w:t>EXÉCUTION / MISE EN ŒUVRE</w:t>
      </w:r>
    </w:p>
    <w:p w14:paraId="5068B71F" w14:textId="77777777" w:rsidR="00DB2B68" w:rsidRDefault="00000000">
      <w:r>
        <w:t>L'étude est à charge</w:t>
      </w:r>
      <w:r>
        <w:rPr>
          <w:rStyle w:val="optioncarChar"/>
        </w:rPr>
        <w:t> de l'entrepreneur </w:t>
      </w:r>
      <w:r>
        <w:t>(par défaut)</w:t>
      </w:r>
      <w:r>
        <w:rPr>
          <w:rStyle w:val="optioncarChar"/>
        </w:rPr>
        <w:t xml:space="preserve"> / du maître de l'ouvrage / du bureau d’étude / *** </w:t>
      </w:r>
      <w:r>
        <w:t>(</w:t>
      </w:r>
      <w:hyperlink w:anchor="87" w:history="1">
        <w:r>
          <w:rPr>
            <w:color w:val="0000EE"/>
          </w:rPr>
          <w:t>22 Superstructures en béton</w:t>
        </w:r>
      </w:hyperlink>
      <w:r>
        <w:t>)</w:t>
      </w:r>
      <w:r>
        <w:br/>
        <w:t xml:space="preserve">Les escaliers et les paliers sont coulés sur place en </w:t>
      </w:r>
      <w:r>
        <w:rPr>
          <w:rStyle w:val="optioncarChar"/>
        </w:rPr>
        <w:t>une seule</w:t>
      </w:r>
      <w:r>
        <w:t> (par défaut)</w:t>
      </w:r>
      <w:r>
        <w:rPr>
          <w:rStyle w:val="optioncarChar"/>
        </w:rPr>
        <w:t xml:space="preserve"> / ***</w:t>
      </w:r>
      <w:r>
        <w:t xml:space="preserve"> fois.</w:t>
      </w:r>
      <w:r>
        <w:br/>
        <w:t xml:space="preserve">Le décoffrage se fait au plus tôt </w:t>
      </w:r>
      <w:r>
        <w:rPr>
          <w:rStyle w:val="optioncarChar"/>
        </w:rPr>
        <w:t>*** jours après le coulage du béton / selon les directives de l’ingénieur </w:t>
      </w:r>
      <w:r>
        <w:t>(par défaut).</w:t>
      </w:r>
      <w:r>
        <w:br/>
      </w:r>
      <w:r>
        <w:lastRenderedPageBreak/>
        <w:t>La période de cure est conforme aux exigences de la [NBN EN 13670] et de la [NBN B 15-400] § F.8.5.</w:t>
      </w:r>
    </w:p>
    <w:p w14:paraId="5C45FE25" w14:textId="77777777" w:rsidR="00DB2B68" w:rsidRDefault="00000000">
      <w:pPr>
        <w:pStyle w:val="Author-eSectionHeading6Numberless"/>
      </w:pPr>
      <w:bookmarkStart w:id="837" w:name="_Toc220495888"/>
      <w:r>
        <w:t>22.31.2a Volées d'escaliers en béton apparent (esthétique) coulé en place CCTB 01.11</w:t>
      </w:r>
      <w:bookmarkEnd w:id="837"/>
    </w:p>
    <w:p w14:paraId="0433C223" w14:textId="77777777" w:rsidR="00DB2B68" w:rsidRDefault="00000000">
      <w:pPr>
        <w:pStyle w:val="pheading"/>
      </w:pPr>
      <w:r>
        <w:t>MATÉRIAUX</w:t>
      </w:r>
    </w:p>
    <w:p w14:paraId="50AB7362" w14:textId="77777777" w:rsidR="00DB2B68" w:rsidRDefault="00000000">
      <w:pPr>
        <w:pStyle w:val="pheading"/>
      </w:pPr>
      <w:r>
        <w:t>- Finitions</w:t>
      </w:r>
    </w:p>
    <w:p w14:paraId="5C76590E"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434361DA" w14:textId="77777777" w:rsidR="00DB2B68"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486" w:history="1">
        <w:r>
          <w:rPr>
            <w:color w:val="0000EE"/>
          </w:rPr>
          <w:t>22.71 Traitements esthétiques ou de surface</w:t>
        </w:r>
      </w:hyperlink>
      <w:r>
        <w:t>.</w:t>
      </w:r>
    </w:p>
    <w:p w14:paraId="0B0DB407" w14:textId="77777777" w:rsidR="00DB2B68"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27C01D21"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C</w:t>
      </w:r>
      <w:r>
        <w:t xml:space="preserve"> (par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102A3164" w14:textId="77777777" w:rsidR="00DB2B68" w:rsidRDefault="00000000">
      <w:pPr>
        <w:pStyle w:val="Author-eListParagraph"/>
        <w:numPr>
          <w:ilvl w:val="0"/>
          <w:numId w:val="584"/>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DB577DC" w14:textId="77777777" w:rsidR="00DB2B68" w:rsidRDefault="00000000">
      <w:pPr>
        <w:pStyle w:val="Author-eListParagraph"/>
        <w:numPr>
          <w:ilvl w:val="0"/>
          <w:numId w:val="584"/>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75C4050A" w14:textId="77777777" w:rsidR="00DB2B68" w:rsidRDefault="00000000">
      <w:pPr>
        <w:pStyle w:val="Author-eListParagraph"/>
        <w:numPr>
          <w:ilvl w:val="0"/>
          <w:numId w:val="584"/>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7C0253D4" w14:textId="77777777" w:rsidR="00DB2B68" w:rsidRDefault="00000000">
      <w:pPr>
        <w:pStyle w:val="Author-eListParagraph"/>
        <w:numPr>
          <w:ilvl w:val="0"/>
          <w:numId w:val="584"/>
        </w:numPr>
      </w:pPr>
      <w:r>
        <w:rPr>
          <w:rStyle w:val="soitChar"/>
        </w:rPr>
        <w:t>La tolérance de forme :</w:t>
      </w:r>
      <w:r>
        <w:t xml:space="preserve">  </w:t>
      </w:r>
      <w:r>
        <w:rPr>
          <w:rStyle w:val="optioncarChar"/>
        </w:rPr>
        <w:t>VF1</w:t>
      </w:r>
      <w:r>
        <w:t xml:space="preserve"> (par défaut)</w:t>
      </w:r>
      <w:r>
        <w:rPr>
          <w:rStyle w:val="optioncarChar"/>
        </w:rPr>
        <w:t xml:space="preserve"> / VF2 / VF3 / suivant description spécifique</w:t>
      </w:r>
    </w:p>
    <w:p w14:paraId="0056EE52" w14:textId="77777777" w:rsidR="00DB2B68" w:rsidRDefault="00000000">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22016E79" w14:textId="77777777" w:rsidR="00DB2B68" w:rsidRDefault="00000000">
      <w:pPr>
        <w:pStyle w:val="pheading"/>
      </w:pPr>
      <w:r>
        <w:t>- Prescriptions complémentaires</w:t>
      </w:r>
    </w:p>
    <w:p w14:paraId="2BF7D1A8" w14:textId="77777777" w:rsidR="00DB2B68" w:rsidRDefault="00000000">
      <w:r>
        <w:t>Résistance au feu : pour les escaliers sans fonction séparant </w:t>
      </w:r>
      <w:r>
        <w:rPr>
          <w:rStyle w:val="optioncarChar"/>
        </w:rPr>
        <w:t>/ R30 / R60 / R120 / R ***</w:t>
      </w:r>
      <w:r>
        <w:t xml:space="preserve"> et pour les escaliers avec fonction séparant </w:t>
      </w:r>
      <w:r>
        <w:rPr>
          <w:rStyle w:val="optioncarChar"/>
        </w:rPr>
        <w:t>REI 30 </w:t>
      </w:r>
      <w:r>
        <w:t>(par défaut)</w:t>
      </w:r>
      <w:r>
        <w:rPr>
          <w:rStyle w:val="optioncarChar"/>
        </w:rPr>
        <w:t xml:space="preserve"> / REI 60 / REI 120 / REI ***</w:t>
      </w:r>
    </w:p>
    <w:p w14:paraId="5D32D6A6" w14:textId="77777777" w:rsidR="00DB2B68" w:rsidRDefault="00000000">
      <w:pPr>
        <w:pStyle w:val="pheading"/>
      </w:pPr>
      <w:r>
        <w:t>EXÉCUTION / MISE EN ŒUVRE</w:t>
      </w:r>
    </w:p>
    <w:p w14:paraId="02617620" w14:textId="77777777" w:rsidR="00DB2B68" w:rsidRDefault="00000000">
      <w:pPr>
        <w:pStyle w:val="pheading"/>
      </w:pPr>
      <w:r>
        <w:t>- Notes d’exécution complémentaires</w:t>
      </w:r>
    </w:p>
    <w:p w14:paraId="6FFD589A" w14:textId="77777777" w:rsidR="00DB2B68" w:rsidRDefault="00000000">
      <w:r>
        <w:t>Raccords visibles : joint en forme de</w:t>
      </w:r>
      <w:r>
        <w:rPr>
          <w:rStyle w:val="optioncarChar"/>
        </w:rPr>
        <w:t xml:space="preserve"> V </w:t>
      </w:r>
      <w:r>
        <w:t>(par défaut) </w:t>
      </w:r>
      <w:r>
        <w:rPr>
          <w:rStyle w:val="optioncarChar"/>
        </w:rPr>
        <w: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w:t>
      </w:r>
      <w:r>
        <w:t xml:space="preserve"> et/ou d’indicateurs visuels (PMR) présentant les caractéristiques suivantes : </w:t>
      </w:r>
      <w:r>
        <w:rPr>
          <w:rStyle w:val="optioncarChar"/>
        </w:rPr>
        <w:t xml:space="preserve">voir recommandations dans le sous-titre </w:t>
      </w:r>
      <w:hyperlink w:anchor="516" w:history="1">
        <w:r>
          <w:rPr>
            <w:rStyle w:val="optioncarChar"/>
            <w:color w:val="0000EE"/>
          </w:rPr>
          <w:t>22.31 Escaliers en béton</w:t>
        </w:r>
      </w:hyperlink>
      <w:r>
        <w:rPr>
          <w:rStyle w:val="optioncarChar"/>
        </w:rPr>
        <w:t> (PMR) </w:t>
      </w:r>
      <w:r>
        <w:t>(par défaut)</w:t>
      </w:r>
      <w:r>
        <w:rPr>
          <w:rStyle w:val="optioncarChar"/>
        </w:rPr>
        <w:t xml:space="preserve"> / ***</w:t>
      </w:r>
    </w:p>
    <w:p w14:paraId="653D07E1" w14:textId="77777777" w:rsidR="00DB2B68" w:rsidRDefault="00000000">
      <w:pPr>
        <w:pStyle w:val="pheading"/>
      </w:pPr>
      <w:r>
        <w:t>MESURAGE</w:t>
      </w:r>
    </w:p>
    <w:p w14:paraId="71641DEC" w14:textId="77777777" w:rsidR="00DB2B68" w:rsidRDefault="00000000">
      <w:pPr>
        <w:pStyle w:val="pheading"/>
      </w:pPr>
      <w:r>
        <w:t>- unité de mesure:</w:t>
      </w:r>
    </w:p>
    <w:p w14:paraId="28DCE91D" w14:textId="77777777" w:rsidR="00DB2B68" w:rsidRDefault="00000000">
      <w:r>
        <w:rPr>
          <w:b/>
        </w:rPr>
        <w:t xml:space="preserve">1. </w:t>
      </w:r>
      <w:r>
        <w:t>m pour le béton</w:t>
      </w:r>
    </w:p>
    <w:p w14:paraId="3DE7B31C" w14:textId="77777777" w:rsidR="00DB2B68" w:rsidRDefault="00000000">
      <w:r>
        <w:rPr>
          <w:b/>
        </w:rPr>
        <w:lastRenderedPageBreak/>
        <w:t xml:space="preserve">2. </w:t>
      </w:r>
      <w:r>
        <w:t>kg pour les barres d’armatures</w:t>
      </w:r>
    </w:p>
    <w:p w14:paraId="7CCF0E23" w14:textId="77777777" w:rsidR="00DB2B68" w:rsidRDefault="00000000">
      <w:r>
        <w:rPr>
          <w:b/>
        </w:rPr>
        <w:t>3.</w:t>
      </w:r>
      <w:r>
        <w:t xml:space="preserve"> PM, coffrages</w:t>
      </w:r>
    </w:p>
    <w:p w14:paraId="2E5E542B" w14:textId="77777777" w:rsidR="00DB2B68" w:rsidRDefault="00000000">
      <w:pPr>
        <w:pStyle w:val="pheading"/>
      </w:pPr>
      <w:r>
        <w:t>- nature du marché:</w:t>
      </w:r>
    </w:p>
    <w:p w14:paraId="73CFCE69" w14:textId="77777777" w:rsidR="00DB2B68" w:rsidRDefault="00000000">
      <w:r>
        <w:t>QF</w:t>
      </w:r>
    </w:p>
    <w:p w14:paraId="062E755A" w14:textId="77777777" w:rsidR="00DB2B68" w:rsidRDefault="00000000">
      <w:pPr>
        <w:pStyle w:val="Author-eSectionHeading6Numberless"/>
      </w:pPr>
      <w:bookmarkStart w:id="838" w:name="_Toc220495889"/>
      <w:r>
        <w:t>22.31.2b Paliers d'escaliers en béton apparent (esthétique) coulé en place CCTB 01.11</w:t>
      </w:r>
      <w:bookmarkEnd w:id="838"/>
    </w:p>
    <w:p w14:paraId="3F58C40E" w14:textId="77777777" w:rsidR="00DB2B68" w:rsidRDefault="00000000">
      <w:pPr>
        <w:pStyle w:val="pheading"/>
      </w:pPr>
      <w:r>
        <w:t>MATÉRIAUX</w:t>
      </w:r>
    </w:p>
    <w:p w14:paraId="4B661611" w14:textId="77777777" w:rsidR="00DB2B68" w:rsidRDefault="00000000">
      <w:pPr>
        <w:pStyle w:val="pheading"/>
      </w:pPr>
      <w:r>
        <w:t>- Finitions</w:t>
      </w:r>
    </w:p>
    <w:p w14:paraId="266960DF" w14:textId="77777777" w:rsidR="00DB2B68" w:rsidRDefault="00000000">
      <w:r>
        <w:t xml:space="preserve">Contraste : différence de LRV entre les paliers et les marches de </w:t>
      </w:r>
      <w:r>
        <w:rPr>
          <w:rStyle w:val="optioncarChar"/>
        </w:rPr>
        <w:t>min 60 (PMR) </w:t>
      </w:r>
      <w:r>
        <w:t>(par défaut)</w:t>
      </w:r>
      <w:r>
        <w:rPr>
          <w:rStyle w:val="optioncarChar"/>
        </w:rPr>
        <w:t xml:space="preserve"> / *** </w:t>
      </w:r>
      <w:r>
        <w:t xml:space="preserve"> %</w:t>
      </w:r>
    </w:p>
    <w:p w14:paraId="33B6048F"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68D9A89B" w14:textId="77777777" w:rsidR="00DB2B68"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486" w:history="1">
        <w:r>
          <w:rPr>
            <w:color w:val="0000EE"/>
          </w:rPr>
          <w:t>22.71 Traitements esthétiques ou de surface</w:t>
        </w:r>
      </w:hyperlink>
      <w:r>
        <w:t>.</w:t>
      </w:r>
    </w:p>
    <w:p w14:paraId="0126272B" w14:textId="77777777" w:rsidR="00DB2B68"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2FB93C78"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705182A3" w14:textId="77777777" w:rsidR="00DB2B68" w:rsidRDefault="00000000">
      <w:pPr>
        <w:pStyle w:val="Author-eListParagraph"/>
        <w:numPr>
          <w:ilvl w:val="0"/>
          <w:numId w:val="585"/>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020D91A8" w14:textId="77777777" w:rsidR="00DB2B68" w:rsidRDefault="00000000">
      <w:pPr>
        <w:pStyle w:val="Author-eListParagraph"/>
        <w:numPr>
          <w:ilvl w:val="0"/>
          <w:numId w:val="585"/>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5D997B39" w14:textId="77777777" w:rsidR="00DB2B68" w:rsidRDefault="00000000">
      <w:pPr>
        <w:pStyle w:val="Author-eListParagraph"/>
        <w:numPr>
          <w:ilvl w:val="0"/>
          <w:numId w:val="585"/>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4192574" w14:textId="77777777" w:rsidR="00DB2B68" w:rsidRDefault="00000000">
      <w:pPr>
        <w:pStyle w:val="Author-eListParagraph"/>
        <w:numPr>
          <w:ilvl w:val="0"/>
          <w:numId w:val="585"/>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33BECBA0" w14:textId="77777777" w:rsidR="00DB2B68" w:rsidRDefault="0000000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shd w:val="clear" w:color="auto" w:fill="FFFFFF"/>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399695F6" w14:textId="77777777" w:rsidR="00DB2B68" w:rsidRDefault="00000000">
      <w:pPr>
        <w:pStyle w:val="pheading"/>
      </w:pPr>
      <w:r>
        <w:t>- Prescriptions complémentaires</w:t>
      </w:r>
    </w:p>
    <w:p w14:paraId="6103DA3A" w14:textId="77777777" w:rsidR="00DB2B68" w:rsidRDefault="00000000">
      <w:r>
        <w:t xml:space="preserve">Résistance au feu : pour les escaliers sans fonction séparant </w:t>
      </w:r>
      <w:r>
        <w:rPr>
          <w:rStyle w:val="optioncarChar"/>
        </w:rPr>
        <w:t>/ R30 </w:t>
      </w:r>
      <w:r>
        <w:t>(par défaut)</w:t>
      </w:r>
      <w:r>
        <w:rPr>
          <w:rStyle w:val="optioncarChar"/>
        </w:rPr>
        <w:t xml:space="preserve"> / R60 / R120 / R ***</w:t>
      </w:r>
      <w:r>
        <w:t xml:space="preserve"> et pour les escaliers avec fonction séparant </w:t>
      </w:r>
      <w:r>
        <w:rPr>
          <w:rStyle w:val="optioncarChar"/>
        </w:rPr>
        <w:t>REI 30 </w:t>
      </w:r>
      <w:r>
        <w:t>(par défaut)</w:t>
      </w:r>
      <w:r>
        <w:rPr>
          <w:rStyle w:val="optioncarChar"/>
        </w:rPr>
        <w:t xml:space="preserve"> / REI 60 / REI 120 / REI ***</w:t>
      </w:r>
    </w:p>
    <w:p w14:paraId="6BD7D76E" w14:textId="77777777" w:rsidR="00DB2B68" w:rsidRDefault="00000000">
      <w:pPr>
        <w:pStyle w:val="pheading"/>
      </w:pPr>
      <w:r>
        <w:t>EXÉCUTION / MISE EN ŒUVRE</w:t>
      </w:r>
    </w:p>
    <w:p w14:paraId="52709A89" w14:textId="77777777" w:rsidR="00DB2B68" w:rsidRDefault="00000000">
      <w:pPr>
        <w:pStyle w:val="pheading"/>
      </w:pPr>
      <w:r>
        <w:t>- Notes d’exécution complémentaires</w:t>
      </w:r>
    </w:p>
    <w:p w14:paraId="44E5521C" w14:textId="77777777" w:rsidR="00DB2B68" w:rsidRDefault="00000000">
      <w:r>
        <w:t>Raccords visibles : joint en forme de </w:t>
      </w:r>
      <w:r>
        <w:rPr>
          <w:rStyle w:val="optioncarChar"/>
        </w:rPr>
        <w:t xml:space="preserve">V </w:t>
      </w:r>
      <w:r>
        <w:t>(par défaut) </w:t>
      </w:r>
      <w:r>
        <w:rPr>
          <w:rStyle w:val="optioncarChar"/>
        </w:rPr>
        <w:t>/ ***</w:t>
      </w:r>
      <w:r>
        <w: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et/ou d’indicateurs visuels (PMR) présentant les caractéristiques suivantes :</w:t>
      </w:r>
      <w:r>
        <w:rPr>
          <w:rStyle w:val="optioncarChar"/>
        </w:rPr>
        <w:t xml:space="preserve"> voir recommandations dans le sous-titre </w:t>
      </w:r>
      <w:hyperlink w:anchor="516" w:history="1">
        <w:r>
          <w:rPr>
            <w:rStyle w:val="optioncarChar"/>
            <w:color w:val="0000EE"/>
          </w:rPr>
          <w:t>22.31 Escaliers en béton</w:t>
        </w:r>
      </w:hyperlink>
      <w:r>
        <w:rPr>
          <w:rStyle w:val="optioncarChar"/>
        </w:rPr>
        <w:t> (PMR) </w:t>
      </w:r>
      <w:r>
        <w:t xml:space="preserve">(par défaut) </w:t>
      </w:r>
      <w:r>
        <w:rPr>
          <w:rStyle w:val="optioncarChar"/>
        </w:rPr>
        <w:t>/ ***</w:t>
      </w:r>
      <w:r>
        <w:br/>
      </w:r>
      <w:r>
        <w:lastRenderedPageBreak/>
        <w:t xml:space="preserve">Les paliers sont équipés de dalles podotactiles présentant les caractéristiques suivantes : </w:t>
      </w:r>
      <w:r>
        <w:rPr>
          <w:rStyle w:val="optioncarChar"/>
        </w:rPr>
        <w:t xml:space="preserve">voir recommandations dans le sous-titre </w:t>
      </w:r>
      <w:hyperlink w:anchor="516" w:history="1">
        <w:r>
          <w:rPr>
            <w:rStyle w:val="optioncarChar"/>
            <w:color w:val="0000EE"/>
          </w:rPr>
          <w:t>22.31 Escaliers en béton</w:t>
        </w:r>
      </w:hyperlink>
      <w:r>
        <w:rPr>
          <w:rStyle w:val="optioncarChar"/>
        </w:rPr>
        <w:t xml:space="preserve"> (PMR) </w:t>
      </w:r>
      <w:r>
        <w:t>(par défaut)</w:t>
      </w:r>
    </w:p>
    <w:p w14:paraId="2C8BDBEF" w14:textId="77777777" w:rsidR="00DB2B68" w:rsidRDefault="00000000">
      <w:pPr>
        <w:pStyle w:val="pheading"/>
      </w:pPr>
      <w:r>
        <w:t>MESURAGE</w:t>
      </w:r>
    </w:p>
    <w:p w14:paraId="0C81188C" w14:textId="77777777" w:rsidR="00DB2B68" w:rsidRDefault="00000000">
      <w:pPr>
        <w:pStyle w:val="pheading"/>
      </w:pPr>
      <w:r>
        <w:t>- unité de mesure:</w:t>
      </w:r>
    </w:p>
    <w:p w14:paraId="4F977997" w14:textId="77777777" w:rsidR="00DB2B68" w:rsidRDefault="00000000">
      <w:r>
        <w:rPr>
          <w:b/>
        </w:rPr>
        <w:t xml:space="preserve">1. </w:t>
      </w:r>
      <w:r>
        <w:t>m pour le béton</w:t>
      </w:r>
    </w:p>
    <w:p w14:paraId="012081AE" w14:textId="77777777" w:rsidR="00DB2B68" w:rsidRDefault="00000000">
      <w:r>
        <w:rPr>
          <w:b/>
        </w:rPr>
        <w:t xml:space="preserve">2. </w:t>
      </w:r>
      <w:r>
        <w:t>kg pour les barres d’armatures</w:t>
      </w:r>
    </w:p>
    <w:p w14:paraId="571BB24C" w14:textId="77777777" w:rsidR="00DB2B68" w:rsidRDefault="00000000">
      <w:r>
        <w:rPr>
          <w:b/>
        </w:rPr>
        <w:t>3.</w:t>
      </w:r>
      <w:r>
        <w:t xml:space="preserve"> PM, coffrages</w:t>
      </w:r>
    </w:p>
    <w:p w14:paraId="5C93EF64" w14:textId="77777777" w:rsidR="00DB2B68" w:rsidRDefault="00000000">
      <w:pPr>
        <w:pStyle w:val="pheading"/>
      </w:pPr>
      <w:r>
        <w:t>- nature du marché:</w:t>
      </w:r>
    </w:p>
    <w:p w14:paraId="3253B635" w14:textId="77777777" w:rsidR="00DB2B68" w:rsidRDefault="00000000">
      <w:r>
        <w:t>QF</w:t>
      </w:r>
    </w:p>
    <w:p w14:paraId="5081D1CA" w14:textId="77777777" w:rsidR="00DB2B68" w:rsidRDefault="00000000">
      <w:pPr>
        <w:pStyle w:val="Author-eSectionHeading6Numberless"/>
      </w:pPr>
      <w:bookmarkStart w:id="839" w:name="_Toc220495890"/>
      <w:r>
        <w:t>22.31.2c Escaliers en béton apparent (esthétique) coulé en place CCTB 01.11</w:t>
      </w:r>
      <w:bookmarkEnd w:id="839"/>
    </w:p>
    <w:p w14:paraId="1F5A179D" w14:textId="77777777" w:rsidR="00DB2B68" w:rsidRDefault="00000000">
      <w:pPr>
        <w:pStyle w:val="pheading"/>
      </w:pPr>
      <w:r>
        <w:t>MATÉRIAUX</w:t>
      </w:r>
    </w:p>
    <w:p w14:paraId="5E48A4B8" w14:textId="77777777" w:rsidR="00DB2B68" w:rsidRDefault="00000000">
      <w:pPr>
        <w:pStyle w:val="pheading"/>
      </w:pPr>
      <w:r>
        <w:t>- Finitions</w:t>
      </w:r>
    </w:p>
    <w:p w14:paraId="23E41A03"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00C69F8A" w14:textId="77777777" w:rsidR="00DB2B68"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486" w:history="1">
        <w:r>
          <w:rPr>
            <w:color w:val="0000EE"/>
          </w:rPr>
          <w:t>22.71 Traitements esthétiques ou de surface</w:t>
        </w:r>
      </w:hyperlink>
      <w:r>
        <w:t>.</w:t>
      </w:r>
    </w:p>
    <w:p w14:paraId="5EE31852" w14:textId="77777777" w:rsidR="00DB2B68"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4928DB8E"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3F7BACC1" w14:textId="77777777" w:rsidR="00DB2B68" w:rsidRDefault="00000000">
      <w:pPr>
        <w:pStyle w:val="Author-eListParagraph"/>
        <w:numPr>
          <w:ilvl w:val="0"/>
          <w:numId w:val="586"/>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069F3D9C" w14:textId="77777777" w:rsidR="00DB2B68" w:rsidRDefault="00000000">
      <w:pPr>
        <w:pStyle w:val="Author-eListParagraph"/>
        <w:numPr>
          <w:ilvl w:val="0"/>
          <w:numId w:val="586"/>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260B46D1" w14:textId="77777777" w:rsidR="00DB2B68" w:rsidRDefault="00000000">
      <w:pPr>
        <w:pStyle w:val="Author-eListParagraph"/>
        <w:numPr>
          <w:ilvl w:val="0"/>
          <w:numId w:val="586"/>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9A87BCC" w14:textId="77777777" w:rsidR="00DB2B68" w:rsidRDefault="00000000">
      <w:pPr>
        <w:pStyle w:val="Author-eListParagraph"/>
        <w:numPr>
          <w:ilvl w:val="0"/>
          <w:numId w:val="586"/>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6FA1F99A" w14:textId="77777777" w:rsidR="00DB2B68" w:rsidRDefault="00000000">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33F18780" w14:textId="77777777" w:rsidR="00DB2B68" w:rsidRDefault="00000000">
      <w:r>
        <w:rPr>
          <w:rStyle w:val="optioncarChar"/>
        </w:rPr>
        <w:t> </w:t>
      </w:r>
    </w:p>
    <w:p w14:paraId="53E80B65" w14:textId="77777777" w:rsidR="00DB2B68" w:rsidRDefault="00000000">
      <w:pPr>
        <w:pStyle w:val="pheading"/>
      </w:pPr>
      <w:r>
        <w:t>- Prescriptions complémentaires</w:t>
      </w:r>
    </w:p>
    <w:p w14:paraId="080A0FFD" w14:textId="77777777" w:rsidR="00DB2B68" w:rsidRDefault="00000000">
      <w:r>
        <w:t xml:space="preserve">Résistance au feu : pour les escaliers sans fonction séparant </w:t>
      </w:r>
      <w:r>
        <w:rPr>
          <w:rStyle w:val="optioncarChar"/>
        </w:rPr>
        <w:t xml:space="preserve">R30 </w:t>
      </w:r>
      <w:r>
        <w:t>(par défaut) </w:t>
      </w:r>
      <w:r>
        <w:rPr>
          <w:rStyle w:val="optioncarChar"/>
        </w:rPr>
        <w:t xml:space="preserve">/ R60 / R120 / R *** </w:t>
      </w:r>
      <w:r>
        <w:t xml:space="preserve">et pour les escaliers avec fonction séparant </w:t>
      </w:r>
      <w:r>
        <w:rPr>
          <w:rStyle w:val="optioncarChar"/>
        </w:rPr>
        <w:t>REI 30 </w:t>
      </w:r>
      <w:r>
        <w:t xml:space="preserve">(par défaut) </w:t>
      </w:r>
      <w:r>
        <w:rPr>
          <w:rStyle w:val="optioncarChar"/>
        </w:rPr>
        <w:t>/ REI 60 / REI 120 / REI ***</w:t>
      </w:r>
    </w:p>
    <w:p w14:paraId="05141EC7" w14:textId="77777777" w:rsidR="00DB2B68" w:rsidRDefault="00000000">
      <w:pPr>
        <w:pStyle w:val="pheading"/>
      </w:pPr>
      <w:r>
        <w:t>EXÉCUTION / MISE EN ŒUVRE</w:t>
      </w:r>
    </w:p>
    <w:p w14:paraId="6FED5ECE" w14:textId="77777777" w:rsidR="00DB2B68" w:rsidRDefault="00000000">
      <w:pPr>
        <w:pStyle w:val="pheading"/>
      </w:pPr>
      <w:r>
        <w:t>- Notes d’exécution complémentaires</w:t>
      </w:r>
    </w:p>
    <w:p w14:paraId="005AEC9E" w14:textId="77777777" w:rsidR="00DB2B68" w:rsidRDefault="00000000">
      <w:r>
        <w:t xml:space="preserve">Raccords visibles : joint en forme de </w:t>
      </w:r>
      <w:r>
        <w:rPr>
          <w:rStyle w:val="optioncarChar"/>
        </w:rPr>
        <w:t>V </w:t>
      </w:r>
      <w:r>
        <w:t>(par défaut)</w:t>
      </w:r>
      <w:r>
        <w:rPr>
          <w:rStyle w:val="optioncarChar"/>
        </w:rPr>
        <w:t xml:space="preserve"> / ***</w:t>
      </w:r>
      <w:r>
        <w:br/>
        <w:t>Joints de reprise :</w:t>
      </w:r>
      <w:r>
        <w:br/>
        <w:t>Ancrages : à rupture thermique - système à soumettre pour approbation</w:t>
      </w:r>
      <w:r>
        <w:br/>
        <w:t>Ponts d'humidité / étanchéité à l'eau :</w:t>
      </w:r>
      <w:r>
        <w:br/>
      </w:r>
      <w:r>
        <w:lastRenderedPageBreak/>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sous-titre </w:t>
      </w:r>
      <w:hyperlink w:anchor="516" w:history="1">
        <w:r>
          <w:rPr>
            <w:rStyle w:val="optioncarChar"/>
            <w:color w:val="0000EE"/>
          </w:rPr>
          <w:t>22.31 Escaliers en béton</w:t>
        </w:r>
      </w:hyperlink>
      <w:r>
        <w:rPr>
          <w:rStyle w:val="optioncarChar"/>
        </w:rPr>
        <w:t> (PMR) </w:t>
      </w:r>
      <w:r>
        <w:t>(par défaut)</w:t>
      </w:r>
      <w:r>
        <w:rPr>
          <w:rStyle w:val="optioncarChar"/>
        </w:rPr>
        <w:t xml:space="preserve"> / ***</w:t>
      </w:r>
      <w:r>
        <w:br/>
        <w:t xml:space="preserve">Les paliers sont équipés de dalles podotactiles présentant les caractéristiques suivantes : </w:t>
      </w:r>
      <w:r>
        <w:rPr>
          <w:rStyle w:val="optioncarChar"/>
        </w:rPr>
        <w:t xml:space="preserve">voir recommandations dans le sous-titre </w:t>
      </w:r>
      <w:hyperlink w:anchor="516" w:history="1">
        <w:r>
          <w:rPr>
            <w:rStyle w:val="optioncarChar"/>
            <w:color w:val="0000EE"/>
          </w:rPr>
          <w:t>22.31 Escaliers en béton</w:t>
        </w:r>
      </w:hyperlink>
      <w:r>
        <w:rPr>
          <w:rStyle w:val="optioncarChar"/>
        </w:rPr>
        <w:t> (PMR) </w:t>
      </w:r>
      <w:r>
        <w:t>(par défaut)</w:t>
      </w:r>
      <w:r>
        <w:rPr>
          <w:rStyle w:val="optioncarChar"/>
        </w:rPr>
        <w:t xml:space="preserve"> / ***</w:t>
      </w:r>
    </w:p>
    <w:p w14:paraId="3B340C8A" w14:textId="77777777" w:rsidR="00DB2B68" w:rsidRDefault="00000000">
      <w:pPr>
        <w:pStyle w:val="pheading"/>
      </w:pPr>
      <w:r>
        <w:t>MESURAGE</w:t>
      </w:r>
    </w:p>
    <w:p w14:paraId="56D1EB3E" w14:textId="77777777" w:rsidR="00DB2B68" w:rsidRDefault="00000000">
      <w:pPr>
        <w:pStyle w:val="pheading"/>
      </w:pPr>
      <w:r>
        <w:t>- unité de mesure:</w:t>
      </w:r>
    </w:p>
    <w:p w14:paraId="4E3A7AF8" w14:textId="77777777" w:rsidR="00DB2B68" w:rsidRDefault="00000000">
      <w:r>
        <w:rPr>
          <w:b/>
        </w:rPr>
        <w:t xml:space="preserve">1. </w:t>
      </w:r>
      <w:r>
        <w:t>m pour le béton</w:t>
      </w:r>
    </w:p>
    <w:p w14:paraId="348C66F1" w14:textId="77777777" w:rsidR="00DB2B68" w:rsidRDefault="00000000">
      <w:r>
        <w:rPr>
          <w:b/>
        </w:rPr>
        <w:t xml:space="preserve">2. </w:t>
      </w:r>
      <w:r>
        <w:t>kg pour les barres d’armatures</w:t>
      </w:r>
    </w:p>
    <w:p w14:paraId="09560625" w14:textId="77777777" w:rsidR="00DB2B68" w:rsidRDefault="00000000">
      <w:r>
        <w:rPr>
          <w:b/>
        </w:rPr>
        <w:t>3.</w:t>
      </w:r>
      <w:r>
        <w:t xml:space="preserve"> PM, coffrages</w:t>
      </w:r>
    </w:p>
    <w:p w14:paraId="44365DB5" w14:textId="77777777" w:rsidR="00DB2B68" w:rsidRDefault="00000000">
      <w:pPr>
        <w:pStyle w:val="pheading"/>
      </w:pPr>
      <w:r>
        <w:t>- nature du marché:</w:t>
      </w:r>
    </w:p>
    <w:p w14:paraId="74B5BF4B" w14:textId="77777777" w:rsidR="00DB2B68" w:rsidRDefault="00000000">
      <w:r>
        <w:t>QF</w:t>
      </w:r>
    </w:p>
    <w:p w14:paraId="7B789894" w14:textId="77777777" w:rsidR="00DB2B68" w:rsidRDefault="00000000">
      <w:pPr>
        <w:pStyle w:val="Author-eSectionHeading5Numberless"/>
      </w:pPr>
      <w:bookmarkStart w:id="840" w:name="_Toc220495891"/>
      <w:r>
        <w:t>22.31.3 Escaliers préfabriqués en béton CCTB 01.11</w:t>
      </w:r>
      <w:bookmarkEnd w:id="840"/>
    </w:p>
    <w:p w14:paraId="5C825B2D" w14:textId="77777777" w:rsidR="00DB2B68" w:rsidRDefault="00000000">
      <w:pPr>
        <w:pStyle w:val="pheading"/>
      </w:pPr>
      <w:bookmarkStart w:id="841" w:name="1120"/>
      <w:bookmarkEnd w:id="841"/>
      <w:r>
        <w:t>DESCRIPTION</w:t>
      </w:r>
    </w:p>
    <w:p w14:paraId="0FF0BF77" w14:textId="77777777" w:rsidR="00DB2B68" w:rsidRDefault="00000000">
      <w:pPr>
        <w:pStyle w:val="pheading"/>
      </w:pPr>
      <w:r>
        <w:t>- Définition / Comprend</w:t>
      </w:r>
    </w:p>
    <w:p w14:paraId="21EE0436" w14:textId="77777777" w:rsidR="00DB2B68" w:rsidRDefault="00000000">
      <w:r>
        <w:t>Il s'agit de l’ensemble des escaliers et paliers qui sont préfabriqués et ensuite reliés à l’ouvrage de construction avec les moyens d’ancrage appropriés. En ce qui concerne les prescriptions générales en matière de charges d’exploitation, de sécurité anti-incendie, de modulation de l’escalier, etc. voir le chapitre 57.1 Escaliers et garde-corps complets. Les éventuelles finitions d’escalier sont décrites dans un poste séparé du chapitre 46.4 Revêtements de sols extérieurs (des balcons).</w:t>
      </w:r>
    </w:p>
    <w:p w14:paraId="43244623" w14:textId="77777777" w:rsidR="00DB2B68" w:rsidRDefault="00000000">
      <w:pPr>
        <w:pStyle w:val="pheading"/>
      </w:pPr>
      <w:r>
        <w:t>MATÉRIAUX</w:t>
      </w:r>
    </w:p>
    <w:p w14:paraId="61A3813B" w14:textId="77777777" w:rsidR="00DB2B68" w:rsidRDefault="00000000">
      <w:r>
        <w:t>L’ensemble des matériaux, des éléments porteurs et des assemblages doivent satisfaire aux charges d’exploitation préalablement indiquées (</w:t>
      </w:r>
      <w:hyperlink w:anchor="87" w:history="1">
        <w:r>
          <w:rPr>
            <w:color w:val="0000EE"/>
          </w:rPr>
          <w:t>22 Superstructures en béton</w:t>
        </w:r>
      </w:hyperlink>
      <w:r>
        <w:t>).</w:t>
      </w:r>
    </w:p>
    <w:p w14:paraId="58A1B070" w14:textId="77777777" w:rsidR="00DB2B68" w:rsidRDefault="00000000">
      <w:pPr>
        <w:pStyle w:val="heading"/>
      </w:pPr>
      <w:r>
        <w:t>Spécifications</w:t>
      </w:r>
    </w:p>
    <w:p w14:paraId="4DFAAA21" w14:textId="77777777" w:rsidR="00DB2B68" w:rsidRDefault="00000000">
      <w:pPr>
        <w:pStyle w:val="Author-eListParagraph"/>
        <w:numPr>
          <w:ilvl w:val="0"/>
          <w:numId w:val="587"/>
        </w:numPr>
      </w:pPr>
      <w:r>
        <w:t>Conformes aux normes [NBN EN 14843] et aux exigences de la norme [NBN B 21-611]</w:t>
      </w:r>
    </w:p>
    <w:p w14:paraId="245D8DFB" w14:textId="77777777" w:rsidR="00DB2B68" w:rsidRDefault="00000000">
      <w:pPr>
        <w:pStyle w:val="Author-eListParagraph"/>
        <w:numPr>
          <w:ilvl w:val="0"/>
          <w:numId w:val="587"/>
        </w:numPr>
      </w:pPr>
      <w:r>
        <w:t>Forme et dimensions : conformément aux indications sur les plans</w:t>
      </w:r>
    </w:p>
    <w:p w14:paraId="341C8F6E" w14:textId="77777777" w:rsidR="00DB2B68" w:rsidRDefault="00000000">
      <w:pPr>
        <w:pStyle w:val="Author-eListParagraph"/>
        <w:numPr>
          <w:ilvl w:val="0"/>
          <w:numId w:val="587"/>
        </w:numPr>
      </w:pPr>
      <w:r>
        <w:t xml:space="preserve">Charges d’exploitation : </w:t>
      </w:r>
      <w:r>
        <w:rPr>
          <w:rStyle w:val="optioncarChar"/>
        </w:rPr>
        <w:t>***</w:t>
      </w:r>
    </w:p>
    <w:p w14:paraId="46B7401C" w14:textId="77777777" w:rsidR="00DB2B68" w:rsidRDefault="00000000">
      <w:pPr>
        <w:pStyle w:val="Author-eListParagraph"/>
        <w:numPr>
          <w:ilvl w:val="0"/>
          <w:numId w:val="587"/>
        </w:numPr>
      </w:pPr>
      <w:r>
        <w:t xml:space="preserve">Classe d'environnement : </w:t>
      </w:r>
      <w:r>
        <w:rPr>
          <w:rStyle w:val="optioncarChar"/>
        </w:rPr>
        <w:t>***</w:t>
      </w:r>
    </w:p>
    <w:p w14:paraId="7F234125" w14:textId="77777777" w:rsidR="00DB2B68" w:rsidRDefault="00000000">
      <w:pPr>
        <w:pStyle w:val="Author-eListParagraph"/>
        <w:numPr>
          <w:ilvl w:val="0"/>
          <w:numId w:val="587"/>
        </w:numPr>
      </w:pPr>
      <w:r>
        <w:t xml:space="preserve">Eléments d’ancrage (système à soumettre pour approbation) : </w:t>
      </w:r>
      <w:r>
        <w:rPr>
          <w:rStyle w:val="optioncarChar"/>
        </w:rPr>
        <w:t>sans dispositif de rupture thermique </w:t>
      </w:r>
      <w:r>
        <w:t>(par défaut) / </w:t>
      </w:r>
      <w:r>
        <w:rPr>
          <w:rStyle w:val="optioncarChar"/>
        </w:rPr>
        <w:t>avec dispositif de rupture thermique</w:t>
      </w:r>
    </w:p>
    <w:p w14:paraId="06871385" w14:textId="77777777" w:rsidR="00DB2B68" w:rsidRDefault="00000000">
      <w:pPr>
        <w:pStyle w:val="pheading"/>
      </w:pPr>
      <w:r>
        <w:t>EXÉCUTION / MISE EN ŒUVRE</w:t>
      </w:r>
    </w:p>
    <w:p w14:paraId="07047829" w14:textId="77777777" w:rsidR="00DB2B68" w:rsidRDefault="00000000">
      <w:r>
        <w:t>Les escaliers et les paliers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w:t>
      </w:r>
    </w:p>
    <w:p w14:paraId="51828221" w14:textId="77777777" w:rsidR="00DB2B68" w:rsidRDefault="00000000">
      <w:pPr>
        <w:pStyle w:val="pheading"/>
      </w:pPr>
      <w:r>
        <w:t>DOCUMENTS DE RÉFÉRENCE</w:t>
      </w:r>
    </w:p>
    <w:p w14:paraId="16C6FF89" w14:textId="77777777" w:rsidR="00DB2B68" w:rsidRDefault="00000000">
      <w:pPr>
        <w:pStyle w:val="pheading"/>
      </w:pPr>
      <w:r>
        <w:t>- Matériau</w:t>
      </w:r>
    </w:p>
    <w:p w14:paraId="6B45F28C" w14:textId="77777777" w:rsidR="00DB2B68" w:rsidRDefault="00000000">
      <w:r>
        <w:t>[NBN EN 14843, Produits préfabriqués en béton - Escaliers]</w:t>
      </w:r>
    </w:p>
    <w:p w14:paraId="7576E582" w14:textId="77777777" w:rsidR="00DB2B68" w:rsidRDefault="00000000">
      <w:r>
        <w:rPr>
          <w:shd w:val="clear" w:color="auto" w:fill="FFFFFF"/>
        </w:rPr>
        <w:t>[NBN B 21-611, Produits préfabriqués en béton - Escaliers - Complément national à la NBN EN 14843:2007]</w:t>
      </w:r>
    </w:p>
    <w:p w14:paraId="6D4FA7C8" w14:textId="77777777" w:rsidR="00DB2B68" w:rsidRDefault="00000000">
      <w:pPr>
        <w:pStyle w:val="Author-eSectionHeading6Numberless"/>
      </w:pPr>
      <w:bookmarkStart w:id="842" w:name="_Toc220495892"/>
      <w:r>
        <w:t>22.31.3a Volées d'escaliers préfabriquées en béton CCTB 01.11</w:t>
      </w:r>
      <w:bookmarkEnd w:id="842"/>
    </w:p>
    <w:p w14:paraId="23E491BA" w14:textId="77777777" w:rsidR="00DB2B68" w:rsidRDefault="00000000">
      <w:pPr>
        <w:pStyle w:val="pheading"/>
      </w:pPr>
      <w:r>
        <w:lastRenderedPageBreak/>
        <w:t>MATÉRIAUX</w:t>
      </w:r>
    </w:p>
    <w:p w14:paraId="12B75FF8" w14:textId="77777777" w:rsidR="00DB2B68" w:rsidRDefault="00000000">
      <w:pPr>
        <w:pStyle w:val="pheading"/>
      </w:pPr>
      <w:r>
        <w:t>- Finitions</w:t>
      </w:r>
    </w:p>
    <w:p w14:paraId="1FE966F1" w14:textId="77777777" w:rsidR="00DB2B68" w:rsidRDefault="00000000">
      <w:r>
        <w:t xml:space="preserve">Surface de béton: </w:t>
      </w:r>
      <w:r>
        <w:rPr>
          <w:rStyle w:val="optioncarChar"/>
        </w:rPr>
        <w:t xml:space="preserve">brute et lisse </w:t>
      </w:r>
      <w:r>
        <w:t>(par défaut)</w:t>
      </w:r>
      <w:r>
        <w:rPr>
          <w:rStyle w:val="optioncarChar"/>
        </w:rPr>
        <w:t xml:space="preserve"> / rugueuse / ****</w:t>
      </w:r>
    </w:p>
    <w:p w14:paraId="581EE7B8" w14:textId="77777777" w:rsidR="00DB2B68" w:rsidRDefault="00000000">
      <w:pPr>
        <w:pStyle w:val="pheading"/>
      </w:pPr>
      <w:r>
        <w:t>- Prescriptions complémentaires</w:t>
      </w:r>
    </w:p>
    <w:p w14:paraId="34AC5237" w14:textId="77777777" w:rsidR="00DB2B68" w:rsidRDefault="00000000">
      <w:r>
        <w:t>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w:t>
      </w:r>
      <w:r>
        <w:t xml:space="preserve"> (par défaut) </w:t>
      </w:r>
      <w:r>
        <w:rPr>
          <w:rStyle w:val="optioncarChar"/>
        </w:rPr>
        <w:t>/ REI 60 / REI 120 / REI ***</w:t>
      </w:r>
    </w:p>
    <w:p w14:paraId="51DACFB0" w14:textId="77777777" w:rsidR="00DB2B68" w:rsidRDefault="00000000">
      <w:pPr>
        <w:pStyle w:val="pheading"/>
      </w:pPr>
      <w:r>
        <w:t>EXÉCUTION / MISE EN ŒUVRE</w:t>
      </w:r>
    </w:p>
    <w:p w14:paraId="525E6642" w14:textId="77777777" w:rsidR="00DB2B68" w:rsidRDefault="00000000">
      <w:pPr>
        <w:pStyle w:val="pheading"/>
      </w:pPr>
      <w:r>
        <w:t>- Notes d’exécution complémentaires</w:t>
      </w:r>
    </w:p>
    <w:p w14:paraId="0A85CB38" w14:textId="77777777" w:rsidR="00DB2B68" w:rsidRDefault="00000000">
      <w:r>
        <w:t xml:space="preserve">Dans les marches, on intègre une bande antidérapante (PMR) en </w:t>
      </w:r>
      <w:r>
        <w:rPr>
          <w:color w:val="FF0000"/>
        </w:rPr>
        <w:t>caoutchouc </w:t>
      </w:r>
      <w:r>
        <w:t>(par défaut)</w:t>
      </w:r>
      <w:r>
        <w:rPr>
          <w:rStyle w:val="optioncarChar"/>
        </w:rPr>
        <w:t xml:space="preserve"> / ***</w:t>
      </w:r>
      <w:r>
        <w:t xml:space="preserve"> selon </w:t>
      </w:r>
      <w:r>
        <w:rPr>
          <w:color w:val="FF0000"/>
        </w:rPr>
        <w:t>***</w:t>
      </w:r>
      <w:r>
        <w:t>  et/ou des indicateurs visuels (PMR) présentant les caractéristiques suivantes:</w:t>
      </w:r>
      <w:r>
        <w:rPr>
          <w:color w:val="FF0000"/>
        </w:rPr>
        <w:t xml:space="preserve"> voir recommandations dans le sous-titre </w:t>
      </w:r>
      <w:hyperlink w:anchor="516" w:history="1">
        <w:r>
          <w:rPr>
            <w:color w:val="0000EE"/>
          </w:rPr>
          <w:t>22.31 Escaliers en béton</w:t>
        </w:r>
      </w:hyperlink>
      <w:r>
        <w:t>(par défaut)</w:t>
      </w:r>
      <w:r>
        <w:rPr>
          <w:rStyle w:val="optioncarChar"/>
        </w:rPr>
        <w:t xml:space="preserve"> / ***</w:t>
      </w:r>
    </w:p>
    <w:p w14:paraId="49D1E3A2" w14:textId="77777777" w:rsidR="00DB2B68" w:rsidRDefault="00000000">
      <w:pPr>
        <w:pStyle w:val="pheading"/>
      </w:pPr>
      <w:r>
        <w:t>MESURAGE</w:t>
      </w:r>
    </w:p>
    <w:p w14:paraId="141691D9" w14:textId="77777777" w:rsidR="00DB2B68" w:rsidRDefault="00000000">
      <w:pPr>
        <w:pStyle w:val="pheading"/>
      </w:pPr>
      <w:r>
        <w:t>- unité de mesure:</w:t>
      </w:r>
    </w:p>
    <w:p w14:paraId="40E5FD0F" w14:textId="77777777" w:rsidR="00DB2B68" w:rsidRDefault="00000000">
      <w:r>
        <w:rPr>
          <w:b/>
        </w:rPr>
        <w:t xml:space="preserve">1. </w:t>
      </w:r>
      <w:r>
        <w:t xml:space="preserve">escaliers par marche </w:t>
      </w:r>
    </w:p>
    <w:p w14:paraId="522A1060" w14:textId="77777777" w:rsidR="00DB2B68" w:rsidRDefault="00000000">
      <w:r>
        <w:rPr>
          <w:b/>
        </w:rPr>
        <w:t xml:space="preserve">2. </w:t>
      </w:r>
      <w:r>
        <w:t>paliers au m² pour les paliers</w:t>
      </w:r>
    </w:p>
    <w:p w14:paraId="32C30A3E" w14:textId="77777777" w:rsidR="00DB2B68" w:rsidRDefault="00000000">
      <w:pPr>
        <w:pStyle w:val="pheading"/>
      </w:pPr>
      <w:r>
        <w:t>- code de mesurage:</w:t>
      </w:r>
    </w:p>
    <w:p w14:paraId="7F6CBE6B" w14:textId="77777777" w:rsidR="00DB2B68" w:rsidRDefault="00000000">
      <w:r>
        <w:t xml:space="preserve">Une distinction </w:t>
      </w:r>
      <w:r>
        <w:rPr>
          <w:rStyle w:val="optioncarChar"/>
        </w:rPr>
        <w:t xml:space="preserve">est faite / n’est pas </w:t>
      </w:r>
      <w:r>
        <w:t>faite entre les marches droites et tournantes</w:t>
      </w:r>
      <w:r>
        <w:br/>
        <w:t>Les limons et le chemin d’escalier sont compris dans le prix unitaire. Ne sont pas compris : les revêtements d’escalier.</w:t>
      </w:r>
    </w:p>
    <w:p w14:paraId="09D1FD2B" w14:textId="77777777" w:rsidR="00DB2B68" w:rsidRDefault="00000000">
      <w:pPr>
        <w:pStyle w:val="pheading"/>
      </w:pPr>
      <w:r>
        <w:t>- nature du marché:</w:t>
      </w:r>
    </w:p>
    <w:p w14:paraId="57EA1C7B" w14:textId="77777777" w:rsidR="00DB2B68" w:rsidRDefault="00000000">
      <w:r>
        <w:t>QF</w:t>
      </w:r>
    </w:p>
    <w:p w14:paraId="4B538DEC" w14:textId="77777777" w:rsidR="00DB2B68" w:rsidRDefault="00000000">
      <w:pPr>
        <w:pStyle w:val="Author-eSectionHeading6Numberless"/>
      </w:pPr>
      <w:bookmarkStart w:id="843" w:name="_Toc220495893"/>
      <w:r>
        <w:t>22.31.3b Paliers d'escaliers préfabriqués en béton CCTB 01.11</w:t>
      </w:r>
      <w:bookmarkEnd w:id="843"/>
    </w:p>
    <w:p w14:paraId="5F787E82" w14:textId="77777777" w:rsidR="00DB2B68" w:rsidRDefault="00000000">
      <w:pPr>
        <w:pStyle w:val="pheading"/>
      </w:pPr>
      <w:r>
        <w:t>MATÉRIAUX</w:t>
      </w:r>
    </w:p>
    <w:p w14:paraId="2C9A3105" w14:textId="77777777" w:rsidR="00DB2B68" w:rsidRDefault="00000000">
      <w:pPr>
        <w:pStyle w:val="pheading"/>
      </w:pPr>
      <w:r>
        <w:t>- Caractéristiques générales</w:t>
      </w:r>
    </w:p>
    <w:p w14:paraId="325766F5" w14:textId="77777777" w:rsidR="00DB2B68" w:rsidRDefault="00000000">
      <w:r>
        <w:t>Conformes aux normes [NBN EN 14843] et aux exigences de la norme [NBN B 21-611]</w:t>
      </w:r>
    </w:p>
    <w:p w14:paraId="5E158C2F" w14:textId="77777777" w:rsidR="00DB2B68" w:rsidRDefault="00000000">
      <w:pPr>
        <w:pStyle w:val="pheading"/>
      </w:pPr>
      <w:r>
        <w:t>- Finitions</w:t>
      </w:r>
    </w:p>
    <w:p w14:paraId="7BAFD657" w14:textId="77777777" w:rsidR="00DB2B68" w:rsidRDefault="00000000">
      <w:r>
        <w:t xml:space="preserve">Surface de béton: </w:t>
      </w:r>
      <w:r>
        <w:rPr>
          <w:rStyle w:val="optioncarChar"/>
        </w:rPr>
        <w:t xml:space="preserve">brute et lisse </w:t>
      </w:r>
      <w:r>
        <w:t>(par défaut)</w:t>
      </w:r>
      <w:r>
        <w:rPr>
          <w:rStyle w:val="optioncarChar"/>
        </w:rPr>
        <w:t xml:space="preserve"> / rugueuse / ***</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23BEBDB2" w14:textId="77777777" w:rsidR="00DB2B68" w:rsidRDefault="00000000">
      <w:pPr>
        <w:pStyle w:val="pheading"/>
      </w:pPr>
      <w:r>
        <w:t>- Prescriptions complémentaires</w:t>
      </w:r>
    </w:p>
    <w:p w14:paraId="67801354" w14:textId="77777777" w:rsidR="00DB2B68" w:rsidRDefault="00000000">
      <w:r>
        <w:t xml:space="preserve">• 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 </w:t>
      </w:r>
      <w:r>
        <w:t>(par défaut)</w:t>
      </w:r>
      <w:r>
        <w:rPr>
          <w:rStyle w:val="optioncarChar"/>
        </w:rPr>
        <w:t xml:space="preserve"> / REI 60 / REI 120 / REI ***</w:t>
      </w:r>
    </w:p>
    <w:p w14:paraId="37726A2A" w14:textId="77777777" w:rsidR="00DB2B68" w:rsidRDefault="00000000">
      <w:pPr>
        <w:pStyle w:val="pheading"/>
      </w:pPr>
      <w:r>
        <w:t>EXÉCUTION / MISE EN ŒUVRE</w:t>
      </w:r>
    </w:p>
    <w:p w14:paraId="3B5F8F45" w14:textId="77777777" w:rsidR="00DB2B68" w:rsidRDefault="00000000">
      <w:pPr>
        <w:pStyle w:val="pheading"/>
      </w:pPr>
      <w:r>
        <w:t>- Notes d’exécution complémentaires</w:t>
      </w:r>
    </w:p>
    <w:p w14:paraId="5C0824E1" w14:textId="77777777" w:rsidR="00DB2B68" w:rsidRDefault="00000000">
      <w:pPr>
        <w:pStyle w:val="Author-eListParagraph"/>
        <w:numPr>
          <w:ilvl w:val="0"/>
          <w:numId w:val="588"/>
        </w:numPr>
      </w:pPr>
      <w:r>
        <w:t>Dans les marches, on intègre une bande antidérapante (PMR) en</w:t>
      </w:r>
      <w:r>
        <w:rPr>
          <w:rStyle w:val="optioncarChar"/>
        </w:rPr>
        <w:t>*** / caoutchouc</w:t>
      </w:r>
      <w:r>
        <w:t xml:space="preserve"> selon</w:t>
      </w:r>
      <w:r>
        <w:rPr>
          <w:rStyle w:val="optioncarChar"/>
        </w:rPr>
        <w:t xml:space="preserve"> ***</w:t>
      </w:r>
      <w:r>
        <w:t xml:space="preserve"> et/ou des indicateurs visuels (PMR) présentant les caractéristiques suivantes : </w:t>
      </w:r>
      <w:r>
        <w:rPr>
          <w:rStyle w:val="optioncarChar"/>
        </w:rPr>
        <w:t xml:space="preserve">*** / voir recommandations dans le sous-titre </w:t>
      </w:r>
      <w:hyperlink w:anchor="516" w:history="1">
        <w:r>
          <w:rPr>
            <w:rStyle w:val="optioncarChar"/>
            <w:color w:val="0000EE"/>
          </w:rPr>
          <w:t>22.31 Escaliers en béton</w:t>
        </w:r>
      </w:hyperlink>
      <w:r>
        <w:rPr>
          <w:rStyle w:val="optioncarChar"/>
        </w:rPr>
        <w:t xml:space="preserve"> (PMR)</w:t>
      </w:r>
    </w:p>
    <w:p w14:paraId="3F7BAB46" w14:textId="77777777" w:rsidR="00DB2B68" w:rsidRDefault="00000000">
      <w:pPr>
        <w:pStyle w:val="Author-eListParagraph"/>
        <w:numPr>
          <w:ilvl w:val="0"/>
          <w:numId w:val="588"/>
        </w:numPr>
      </w:pPr>
      <w:r>
        <w:t xml:space="preserve">Les paliers sont équipés de dalles podotactiles présentant les caractéristiques suivantes : </w:t>
      </w:r>
      <w:r>
        <w:rPr>
          <w:rStyle w:val="optioncarChar"/>
        </w:rPr>
        <w:t xml:space="preserve">*** / voir recommandations dans le sous-titre </w:t>
      </w:r>
      <w:hyperlink w:anchor="516" w:history="1">
        <w:r>
          <w:rPr>
            <w:rStyle w:val="optioncarChar"/>
            <w:color w:val="0000EE"/>
          </w:rPr>
          <w:t>22.31 Escaliers en béton</w:t>
        </w:r>
      </w:hyperlink>
      <w:r>
        <w:rPr>
          <w:rStyle w:val="optioncarChar"/>
        </w:rPr>
        <w:t> (PMR)</w:t>
      </w:r>
    </w:p>
    <w:p w14:paraId="0666669D" w14:textId="77777777" w:rsidR="00DB2B68" w:rsidRDefault="00000000">
      <w:pPr>
        <w:pStyle w:val="pheading"/>
      </w:pPr>
      <w:r>
        <w:t>MESURAGE</w:t>
      </w:r>
    </w:p>
    <w:p w14:paraId="217B41C5" w14:textId="77777777" w:rsidR="00DB2B68" w:rsidRDefault="00000000">
      <w:pPr>
        <w:pStyle w:val="pheading"/>
      </w:pPr>
      <w:r>
        <w:t>- unité de mesure:</w:t>
      </w:r>
    </w:p>
    <w:p w14:paraId="1096E6E7" w14:textId="77777777" w:rsidR="00DB2B68" w:rsidRDefault="00000000">
      <w:r>
        <w:rPr>
          <w:b/>
        </w:rPr>
        <w:lastRenderedPageBreak/>
        <w:t xml:space="preserve">1. </w:t>
      </w:r>
      <w:r>
        <w:t xml:space="preserve">escaliers par marche </w:t>
      </w:r>
    </w:p>
    <w:p w14:paraId="0824F893" w14:textId="77777777" w:rsidR="00DB2B68" w:rsidRDefault="00000000">
      <w:r>
        <w:rPr>
          <w:b/>
        </w:rPr>
        <w:t xml:space="preserve">2. </w:t>
      </w:r>
      <w:r>
        <w:t>paliers au m² pour les paliers</w:t>
      </w:r>
    </w:p>
    <w:p w14:paraId="0D60CBEA" w14:textId="77777777" w:rsidR="00DB2B68" w:rsidRDefault="00000000">
      <w:pPr>
        <w:pStyle w:val="pheading"/>
      </w:pPr>
      <w:r>
        <w:t>- code de mesurage:</w:t>
      </w:r>
    </w:p>
    <w:p w14:paraId="557B7F70" w14:textId="77777777" w:rsidR="00DB2B68" w:rsidRDefault="00000000">
      <w:r>
        <w:t xml:space="preserve">Une distinction </w:t>
      </w:r>
      <w:r>
        <w:rPr>
          <w:rStyle w:val="optioncarChar"/>
        </w:rPr>
        <w:t xml:space="preserve">est faite / n’est pas faite </w:t>
      </w:r>
      <w:r>
        <w:t>entre les marches droites et tournantes.</w:t>
      </w:r>
      <w:r>
        <w:br/>
        <w:t>Les limons et le chemin d’escalier sont compris dans le prix unitaire. Ne sont pas compris : les revêtements d’escalier.</w:t>
      </w:r>
    </w:p>
    <w:p w14:paraId="7DD4C4B3" w14:textId="77777777" w:rsidR="00DB2B68" w:rsidRDefault="00000000">
      <w:pPr>
        <w:pStyle w:val="pheading"/>
      </w:pPr>
      <w:r>
        <w:t>- nature du marché:</w:t>
      </w:r>
    </w:p>
    <w:p w14:paraId="668AFF23" w14:textId="77777777" w:rsidR="00DB2B68" w:rsidRDefault="00000000">
      <w:r>
        <w:t>QF</w:t>
      </w:r>
    </w:p>
    <w:p w14:paraId="7D6AC225" w14:textId="77777777" w:rsidR="00DB2B68" w:rsidRDefault="00000000">
      <w:pPr>
        <w:pStyle w:val="Author-eSectionHeading6Numberless"/>
      </w:pPr>
      <w:bookmarkStart w:id="844" w:name="_Toc220495894"/>
      <w:r>
        <w:t>22.31.3c Escaliers préfabriqués en béton CCTB 01.11</w:t>
      </w:r>
      <w:bookmarkEnd w:id="844"/>
    </w:p>
    <w:p w14:paraId="03A6FCE2" w14:textId="77777777" w:rsidR="00DB2B68" w:rsidRDefault="00000000">
      <w:pPr>
        <w:pStyle w:val="pheading"/>
      </w:pPr>
      <w:r>
        <w:t>MATÉRIAUX</w:t>
      </w:r>
    </w:p>
    <w:p w14:paraId="38400BE5" w14:textId="77777777" w:rsidR="00DB2B68" w:rsidRDefault="00000000">
      <w:pPr>
        <w:pStyle w:val="pheading"/>
      </w:pPr>
      <w:r>
        <w:t>- Caractéristiques générales</w:t>
      </w:r>
    </w:p>
    <w:p w14:paraId="0C1526F6" w14:textId="77777777" w:rsidR="00DB2B68" w:rsidRDefault="00000000">
      <w:r>
        <w:t>Conformes aux normes [NBN EN 14843] et aux exigences de la norme [NBN B 21-611]</w:t>
      </w:r>
    </w:p>
    <w:p w14:paraId="22846BE2" w14:textId="77777777" w:rsidR="00DB2B68" w:rsidRDefault="00000000">
      <w:pPr>
        <w:pStyle w:val="pheading"/>
      </w:pPr>
      <w:r>
        <w:t>- Finitions</w:t>
      </w:r>
    </w:p>
    <w:p w14:paraId="4D2B7FA3" w14:textId="77777777" w:rsidR="00DB2B68" w:rsidRDefault="00000000">
      <w:r>
        <w:t xml:space="preserve">Surface de béton: </w:t>
      </w:r>
      <w:r>
        <w:rPr>
          <w:rStyle w:val="optioncarChar"/>
        </w:rPr>
        <w:t xml:space="preserve">brute et lisse </w:t>
      </w:r>
      <w:r>
        <w:t>(par défaut)</w:t>
      </w:r>
      <w:r>
        <w:rPr>
          <w:rStyle w:val="optioncarChar"/>
        </w:rPr>
        <w:t xml:space="preserve"> / rugueuse / ***</w:t>
      </w:r>
    </w:p>
    <w:p w14:paraId="18CC7572" w14:textId="77777777" w:rsidR="00DB2B68" w:rsidRDefault="00000000">
      <w:pPr>
        <w:pStyle w:val="pheading"/>
      </w:pPr>
      <w:r>
        <w:t>- Prescriptions complémentaires</w:t>
      </w:r>
    </w:p>
    <w:p w14:paraId="76C25919" w14:textId="77777777" w:rsidR="00DB2B68" w:rsidRDefault="00000000">
      <w:r>
        <w:t xml:space="preserve">Résistance au feu : pour les escaliers sans fonction séparant </w:t>
      </w:r>
      <w:r>
        <w:rPr>
          <w:rStyle w:val="optioncarChar"/>
        </w:rPr>
        <w:t>R30 </w:t>
      </w:r>
      <w:r>
        <w:t xml:space="preserve">(par défaut) </w:t>
      </w:r>
      <w:r>
        <w:rPr>
          <w:rStyle w:val="optioncarChar"/>
        </w:rPr>
        <w:t xml:space="preserve">/ R60 / R120 / R *** </w:t>
      </w:r>
      <w:r>
        <w:t>et pour les escaliers avec fonction séparant </w:t>
      </w:r>
      <w:r>
        <w:rPr>
          <w:rStyle w:val="optioncarChar"/>
        </w:rPr>
        <w:t xml:space="preserve">REI 30 </w:t>
      </w:r>
      <w:r>
        <w:t>(par défaut) </w:t>
      </w:r>
      <w:r>
        <w:rPr>
          <w:rStyle w:val="optioncarChar"/>
        </w:rPr>
        <w:t>/ REI 60 / REI 120 / REI ***</w:t>
      </w:r>
    </w:p>
    <w:p w14:paraId="18E10740" w14:textId="77777777" w:rsidR="00DB2B68" w:rsidRDefault="00000000">
      <w:pPr>
        <w:pStyle w:val="pheading"/>
      </w:pPr>
      <w:r>
        <w:t>EXÉCUTION / MISE EN ŒUVRE</w:t>
      </w:r>
    </w:p>
    <w:p w14:paraId="0BDFDCC6" w14:textId="77777777" w:rsidR="00DB2B68" w:rsidRDefault="00000000">
      <w:pPr>
        <w:pStyle w:val="pheading"/>
      </w:pPr>
      <w:r>
        <w:t>- Notes d’exécution complémentaires</w:t>
      </w:r>
    </w:p>
    <w:p w14:paraId="26254616" w14:textId="77777777" w:rsidR="00DB2B68" w:rsidRDefault="00000000">
      <w:r>
        <w:t>Dans les marches, on intègre une bande antidérapante (PMR) en </w:t>
      </w:r>
      <w:r>
        <w:rPr>
          <w:rStyle w:val="optioncarChar"/>
        </w:rPr>
        <w:t>caoutchouc </w:t>
      </w:r>
      <w:r>
        <w:t>(par défaut)</w:t>
      </w:r>
      <w:r>
        <w:rPr>
          <w:rStyle w:val="optioncarChar"/>
        </w:rPr>
        <w:t xml:space="preserve"> / ***</w:t>
      </w:r>
      <w:r>
        <w:t xml:space="preserve"> selon </w:t>
      </w:r>
      <w:r>
        <w:rPr>
          <w:rStyle w:val="optioncarChar"/>
        </w:rPr>
        <w:t xml:space="preserve">*** </w:t>
      </w:r>
      <w:r>
        <w:t xml:space="preserve">et/ou des indicateurs visuels (PMR) présentant les caractéristiques suivantes : </w:t>
      </w:r>
      <w:r>
        <w:rPr>
          <w:rStyle w:val="optioncarChar"/>
        </w:rPr>
        <w:t>voir recommandations de l'article 22.31 (PMR) </w:t>
      </w:r>
      <w:r>
        <w:t>(par défaut)</w:t>
      </w:r>
      <w:r>
        <w:rPr>
          <w:rStyle w:val="optioncarChar"/>
        </w:rPr>
        <w:t xml:space="preserve"> / ***</w:t>
      </w:r>
      <w:r>
        <w:br/>
        <w:t xml:space="preserve">Les paliers sont équipés de dalles podotactiles présentant les caractéristiques suivantes : </w:t>
      </w:r>
      <w:r>
        <w:rPr>
          <w:rStyle w:val="optioncarChar"/>
        </w:rPr>
        <w:t>voir recommandations de l'article 22.31 (PMR) </w:t>
      </w:r>
      <w:r>
        <w:t>(par défaut)</w:t>
      </w:r>
      <w:r>
        <w:rPr>
          <w:rStyle w:val="optioncarChar"/>
        </w:rPr>
        <w:t xml:space="preserve"> / ***</w:t>
      </w:r>
    </w:p>
    <w:p w14:paraId="7EFE8FA2" w14:textId="77777777" w:rsidR="00DB2B68" w:rsidRDefault="00000000">
      <w:pPr>
        <w:pStyle w:val="pheading"/>
      </w:pPr>
      <w:r>
        <w:t>MESURAGE</w:t>
      </w:r>
    </w:p>
    <w:p w14:paraId="06D92B4C" w14:textId="77777777" w:rsidR="00DB2B68" w:rsidRDefault="00000000">
      <w:pPr>
        <w:pStyle w:val="pheading"/>
      </w:pPr>
      <w:r>
        <w:t>- unité de mesure:</w:t>
      </w:r>
    </w:p>
    <w:p w14:paraId="545EB662" w14:textId="77777777" w:rsidR="00DB2B68" w:rsidRDefault="00000000">
      <w:r>
        <w:rPr>
          <w:b/>
        </w:rPr>
        <w:t xml:space="preserve">1. </w:t>
      </w:r>
      <w:r>
        <w:t xml:space="preserve">escaliers par marche </w:t>
      </w:r>
    </w:p>
    <w:p w14:paraId="5087BB25" w14:textId="77777777" w:rsidR="00DB2B68" w:rsidRDefault="00000000">
      <w:r>
        <w:rPr>
          <w:b/>
        </w:rPr>
        <w:t xml:space="preserve">2. </w:t>
      </w:r>
      <w:r>
        <w:t>paliers au m² pour les paliers</w:t>
      </w:r>
    </w:p>
    <w:p w14:paraId="022369B7" w14:textId="77777777" w:rsidR="00DB2B68" w:rsidRDefault="00000000">
      <w:pPr>
        <w:pStyle w:val="pheading"/>
      </w:pPr>
      <w:r>
        <w:t>- code de mesurage:</w:t>
      </w:r>
    </w:p>
    <w:p w14:paraId="239B3AD8" w14:textId="77777777" w:rsidR="00DB2B68" w:rsidRDefault="00000000">
      <w:r>
        <w:t xml:space="preserve">Une distinction </w:t>
      </w:r>
      <w:r>
        <w:rPr>
          <w:rStyle w:val="optioncarChar"/>
        </w:rPr>
        <w:t>est faite / n’est pas faite</w:t>
      </w:r>
      <w:r>
        <w:t xml:space="preserve"> entre les marches droites et tournantes</w:t>
      </w:r>
    </w:p>
    <w:p w14:paraId="152D2E24" w14:textId="77777777" w:rsidR="00DB2B68" w:rsidRDefault="00000000">
      <w:r>
        <w:t>Les limons et le chemin d’escalier sont compris dans le prix unitaire. Ne sont pas compris : les revêtements d’escalier.</w:t>
      </w:r>
    </w:p>
    <w:p w14:paraId="014FD201" w14:textId="77777777" w:rsidR="00DB2B68" w:rsidRDefault="00000000">
      <w:pPr>
        <w:pStyle w:val="pheading"/>
      </w:pPr>
      <w:r>
        <w:t>- nature du marché:</w:t>
      </w:r>
    </w:p>
    <w:p w14:paraId="6E38294E" w14:textId="77777777" w:rsidR="00DB2B68" w:rsidRDefault="00000000">
      <w:r>
        <w:t>QF</w:t>
      </w:r>
    </w:p>
    <w:p w14:paraId="7B959756" w14:textId="77777777" w:rsidR="00DB2B68" w:rsidRDefault="00000000">
      <w:pPr>
        <w:pStyle w:val="Author-eSectionHeading5Numberless"/>
      </w:pPr>
      <w:bookmarkStart w:id="845" w:name="_Toc220495895"/>
      <w:r>
        <w:t>22.31.4 Escaliers préfabriqués en béton architectonique CCTB 01.11</w:t>
      </w:r>
      <w:bookmarkEnd w:id="845"/>
    </w:p>
    <w:p w14:paraId="34DBA951" w14:textId="77777777" w:rsidR="00DB2B68" w:rsidRDefault="00000000">
      <w:pPr>
        <w:pStyle w:val="pheading"/>
      </w:pPr>
      <w:r>
        <w:t>DESCRIPTION</w:t>
      </w:r>
    </w:p>
    <w:p w14:paraId="69FB51A1" w14:textId="77777777" w:rsidR="00DB2B68" w:rsidRDefault="00000000">
      <w:pPr>
        <w:pStyle w:val="pheading"/>
      </w:pPr>
      <w:r>
        <w:t>- Définition / Comprend</w:t>
      </w:r>
    </w:p>
    <w:p w14:paraId="69777915" w14:textId="77777777" w:rsidR="00DB2B68" w:rsidRDefault="00000000">
      <w:r>
        <w:t xml:space="preserve">Il s'agit de l’ensemble des escaliers et paliers qui sont préfabriqués et ensuite reliés à l’ouvrage de construction avec les moyens d’ancrage appropriés. En ce qui concerne les prescriptions générales en matière de charges d’exploitation, de sécurité anti-incendie, de modulation de l’escalier, etc. voir le </w:t>
      </w:r>
      <w:r>
        <w:lastRenderedPageBreak/>
        <w:t>chapitre 57.1 Escaliers et garde-corps complets. Les éventuelles finitions d’escalier sont décrites dans un poste séparé du chapitre 46.4 Revêtements de sols extérieurs (des balcons).</w:t>
      </w:r>
    </w:p>
    <w:p w14:paraId="276D148A" w14:textId="77777777" w:rsidR="00DB2B68" w:rsidRDefault="00000000">
      <w:pPr>
        <w:pStyle w:val="pheading"/>
      </w:pPr>
      <w:r>
        <w:t>MATÉRIAUX</w:t>
      </w:r>
    </w:p>
    <w:p w14:paraId="1EB9B9EB" w14:textId="77777777" w:rsidR="00DB2B68" w:rsidRDefault="00000000">
      <w:r>
        <w:t>L’ensemble des matériaux, des éléments porteurs et des assemblages doivent satisfaire aux charges d’exploitation préalablement indiquées (</w:t>
      </w:r>
      <w:hyperlink w:anchor="87" w:history="1">
        <w:r>
          <w:rPr>
            <w:color w:val="0000EE"/>
          </w:rPr>
          <w:t>22 Superstructures en béton</w:t>
        </w:r>
      </w:hyperlink>
      <w:r>
        <w:t>).</w:t>
      </w:r>
    </w:p>
    <w:p w14:paraId="561E204C" w14:textId="77777777" w:rsidR="00DB2B68" w:rsidRDefault="00000000">
      <w:pPr>
        <w:pStyle w:val="heading"/>
      </w:pPr>
      <w:r>
        <w:t>Spécifications</w:t>
      </w:r>
    </w:p>
    <w:p w14:paraId="5CC9D8BA" w14:textId="77777777" w:rsidR="00DB2B68" w:rsidRDefault="00000000">
      <w:r>
        <w:t>Conformes aux normes [NBN EN 14843] et aux exigences de la norme [NBN B 21-611]</w:t>
      </w:r>
      <w:r>
        <w:br/>
        <w:t>Forme et dimensions : conformément aux indications sur les plans</w:t>
      </w:r>
      <w:r>
        <w:br/>
        <w:t xml:space="preserve">Charges d’exploitation : </w:t>
      </w:r>
      <w:r>
        <w:rPr>
          <w:rStyle w:val="optioncarChar"/>
        </w:rPr>
        <w:t>***</w:t>
      </w:r>
      <w:r>
        <w:br/>
        <w:t xml:space="preserve">Classe d'environnement : </w:t>
      </w:r>
      <w:r>
        <w:rPr>
          <w:rStyle w:val="optioncarChar"/>
        </w:rPr>
        <w:t>***</w:t>
      </w:r>
      <w:r>
        <w:br/>
        <w:t xml:space="preserve">Eléments d’ancrage : </w:t>
      </w:r>
      <w:r>
        <w:rPr>
          <w:rStyle w:val="optioncarChar"/>
        </w:rPr>
        <w:t>avec dispositif de rupture thermique - système à soumettre pour approbation </w:t>
      </w:r>
      <w:r>
        <w:t>(par défaut)</w:t>
      </w:r>
      <w:r>
        <w:rPr>
          <w:rStyle w:val="optioncarChar"/>
        </w:rPr>
        <w:t xml:space="preserve"> / ***</w:t>
      </w:r>
    </w:p>
    <w:p w14:paraId="468C3E99" w14:textId="77777777" w:rsidR="00DB2B68" w:rsidRDefault="00000000">
      <w:pPr>
        <w:pStyle w:val="pheading"/>
      </w:pPr>
      <w:r>
        <w:t>EXÉCUTION / MISE EN ŒUVRE</w:t>
      </w:r>
    </w:p>
    <w:p w14:paraId="0D4A440F" w14:textId="77777777" w:rsidR="00DB2B68" w:rsidRDefault="00000000">
      <w:r>
        <w:t>Les escaliers et les paliers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w:t>
      </w:r>
    </w:p>
    <w:p w14:paraId="7521AA12" w14:textId="77777777" w:rsidR="00DB2B68" w:rsidRDefault="00000000">
      <w:pPr>
        <w:pStyle w:val="pheading"/>
      </w:pPr>
      <w:r>
        <w:t>DOCUMENTS DE RÉFÉRENCE</w:t>
      </w:r>
    </w:p>
    <w:p w14:paraId="27865E57" w14:textId="77777777" w:rsidR="00DB2B68" w:rsidRDefault="00000000">
      <w:pPr>
        <w:pStyle w:val="pheading"/>
      </w:pPr>
      <w:r>
        <w:t>- Matériau</w:t>
      </w:r>
    </w:p>
    <w:p w14:paraId="68DDF55D" w14:textId="77777777" w:rsidR="00DB2B68" w:rsidRDefault="00000000">
      <w:r>
        <w:t>[NBN EN 14843, Produits préfabriqués en béton - Escaliers]</w:t>
      </w:r>
    </w:p>
    <w:p w14:paraId="261ACEBF" w14:textId="77777777" w:rsidR="00DB2B68" w:rsidRDefault="00000000">
      <w:r>
        <w:rPr>
          <w:shd w:val="clear" w:color="auto" w:fill="FFFFFF"/>
        </w:rPr>
        <w:t>[NBN B 21-611, Produits préfabriqués en béton - Escaliers - Complément national à la NBN EN 14843:2007]</w:t>
      </w:r>
    </w:p>
    <w:p w14:paraId="6D7A46AE" w14:textId="77777777" w:rsidR="00DB2B68" w:rsidRDefault="00000000">
      <w:pPr>
        <w:pStyle w:val="Author-eSectionHeading6Numberless"/>
      </w:pPr>
      <w:bookmarkStart w:id="846" w:name="_Toc220495896"/>
      <w:r>
        <w:t>22.31.4a Volées d'escaliers préfabriquées en béton décoratif / architectonique CCTB 01.11</w:t>
      </w:r>
      <w:bookmarkEnd w:id="846"/>
    </w:p>
    <w:p w14:paraId="06F6847D" w14:textId="77777777" w:rsidR="00DB2B68" w:rsidRDefault="00000000">
      <w:pPr>
        <w:pStyle w:val="pheading"/>
      </w:pPr>
      <w:r>
        <w:t>MATÉRIAUX</w:t>
      </w:r>
    </w:p>
    <w:p w14:paraId="3A456BE1" w14:textId="77777777" w:rsidR="00DB2B68" w:rsidRDefault="00000000">
      <w:pPr>
        <w:pStyle w:val="pheading"/>
      </w:pPr>
      <w:r>
        <w:t>- Finitions</w:t>
      </w:r>
    </w:p>
    <w:p w14:paraId="1448609F" w14:textId="77777777" w:rsidR="00DB2B68" w:rsidRDefault="00000000">
      <w:r>
        <w:t>Surface de béton:</w:t>
      </w:r>
      <w:r>
        <w:rPr>
          <w:rStyle w:val="optioncarChar"/>
        </w:rPr>
        <w:t xml:space="preserve"> brute et lisse en béton apparent</w:t>
      </w:r>
      <w:r>
        <w:t xml:space="preserve"> (par défaut) </w:t>
      </w:r>
      <w:r>
        <w:rPr>
          <w:rStyle w:val="optioncarChar"/>
        </w:rPr>
        <w:t>/ rugueuse</w:t>
      </w:r>
      <w:r>
        <w:br/>
      </w:r>
    </w:p>
    <w:p w14:paraId="37AF6AFC" w14:textId="77777777" w:rsidR="00DB2B68" w:rsidRDefault="00000000">
      <w:pPr>
        <w:pStyle w:val="pheading"/>
      </w:pPr>
      <w:r>
        <w:t>- Prescriptions complémentaires</w:t>
      </w:r>
    </w:p>
    <w:p w14:paraId="5FA81A5D" w14:textId="77777777" w:rsidR="00DB2B68" w:rsidRDefault="00000000">
      <w:r>
        <w:t xml:space="preserve">Résistance au feu : pour les escaliers sans fonction séparant </w:t>
      </w:r>
      <w:r>
        <w:rPr>
          <w:rStyle w:val="optioncarChar"/>
        </w:rPr>
        <w:t>R30</w:t>
      </w:r>
      <w:r>
        <w:t> (par défaut)</w:t>
      </w:r>
      <w:r>
        <w:rPr>
          <w:rStyle w:val="optioncarChar"/>
        </w:rPr>
        <w:t xml:space="preserve"> / R60 / R120 / R *** </w:t>
      </w:r>
      <w:r>
        <w:t xml:space="preserve">et pour les escaliers avec fonction séparant </w:t>
      </w:r>
      <w:r>
        <w:rPr>
          <w:rStyle w:val="optioncarChar"/>
        </w:rPr>
        <w:t>/ REI 30 </w:t>
      </w:r>
      <w:r>
        <w:t>(par défaut)</w:t>
      </w:r>
      <w:r>
        <w:rPr>
          <w:rStyle w:val="optioncarChar"/>
        </w:rPr>
        <w:t xml:space="preserve"> / REI 60 / REI 120 / REI ***</w:t>
      </w:r>
    </w:p>
    <w:p w14:paraId="4F08534D" w14:textId="77777777" w:rsidR="00DB2B68" w:rsidRDefault="00000000">
      <w:pPr>
        <w:pStyle w:val="pheading"/>
      </w:pPr>
      <w:r>
        <w:t>EXÉCUTION / MISE EN ŒUVRE</w:t>
      </w:r>
    </w:p>
    <w:p w14:paraId="0D7091EF" w14:textId="77777777" w:rsidR="00DB2B68" w:rsidRDefault="00000000">
      <w:pPr>
        <w:pStyle w:val="pheading"/>
      </w:pPr>
      <w:r>
        <w:t>- Notes d’exécution complémentaires</w:t>
      </w:r>
    </w:p>
    <w:p w14:paraId="329B32F3" w14:textId="77777777" w:rsidR="00DB2B68" w:rsidRDefault="00000000">
      <w:r>
        <w:t xml:space="preserve">Dans les marches, on intègre une bande antidérapante (PMR) en </w:t>
      </w:r>
      <w:r>
        <w:rPr>
          <w:color w:val="FF0000"/>
        </w:rPr>
        <w:t>caoutchouc </w:t>
      </w:r>
      <w:r>
        <w:t>(par défaut)</w:t>
      </w:r>
      <w:r>
        <w:rPr>
          <w:rStyle w:val="optioncarChar"/>
        </w:rPr>
        <w:t xml:space="preserve"> / ***</w:t>
      </w:r>
      <w:r>
        <w:t xml:space="preserve"> selon </w:t>
      </w:r>
      <w:r>
        <w:rPr>
          <w:color w:val="FF0000"/>
        </w:rPr>
        <w:t>***</w:t>
      </w:r>
      <w:r>
        <w:t xml:space="preserve"> et/ou des indicateurs visuels (PMR) présentant les caractéristiques suivantes:</w:t>
      </w:r>
      <w:r>
        <w:rPr>
          <w:color w:val="FF0000"/>
        </w:rPr>
        <w:t xml:space="preserve"> voir recommandations dans le sous-titre </w:t>
      </w:r>
      <w:hyperlink w:anchor="516" w:history="1">
        <w:r>
          <w:rPr>
            <w:color w:val="0000EE"/>
          </w:rPr>
          <w:t>22.31 Escaliers en béton</w:t>
        </w:r>
      </w:hyperlink>
      <w:r>
        <w:t xml:space="preserve">(par défaut) </w:t>
      </w:r>
      <w:r>
        <w:rPr>
          <w:rStyle w:val="optioncarChar"/>
        </w:rPr>
        <w:t>/ ***</w:t>
      </w:r>
    </w:p>
    <w:p w14:paraId="06FE65CE" w14:textId="77777777" w:rsidR="00DB2B68" w:rsidRDefault="00000000">
      <w:pPr>
        <w:pStyle w:val="pheading"/>
      </w:pPr>
      <w:r>
        <w:t>MESURAGE</w:t>
      </w:r>
    </w:p>
    <w:p w14:paraId="689434EC" w14:textId="77777777" w:rsidR="00DB2B68" w:rsidRDefault="00000000">
      <w:pPr>
        <w:pStyle w:val="pheading"/>
      </w:pPr>
      <w:r>
        <w:t>- unité de mesure:</w:t>
      </w:r>
    </w:p>
    <w:p w14:paraId="18BF3E91" w14:textId="77777777" w:rsidR="00DB2B68" w:rsidRDefault="00000000">
      <w:r>
        <w:rPr>
          <w:b/>
        </w:rPr>
        <w:t xml:space="preserve">1. </w:t>
      </w:r>
      <w:r>
        <w:t xml:space="preserve">escaliers par marche </w:t>
      </w:r>
    </w:p>
    <w:p w14:paraId="7BD00BAD" w14:textId="77777777" w:rsidR="00DB2B68" w:rsidRDefault="00000000">
      <w:r>
        <w:rPr>
          <w:b/>
        </w:rPr>
        <w:t xml:space="preserve">2. </w:t>
      </w:r>
      <w:r>
        <w:t>paliers au m² pour les paliers</w:t>
      </w:r>
    </w:p>
    <w:p w14:paraId="775CE53A" w14:textId="77777777" w:rsidR="00DB2B68" w:rsidRDefault="00000000">
      <w:pPr>
        <w:pStyle w:val="pheading"/>
      </w:pPr>
      <w:r>
        <w:t>- code de mesurage:</w:t>
      </w:r>
    </w:p>
    <w:p w14:paraId="41D2EC2A" w14:textId="77777777" w:rsidR="00DB2B68" w:rsidRDefault="00000000">
      <w:r>
        <w:lastRenderedPageBreak/>
        <w:t xml:space="preserve">Une distinction </w:t>
      </w:r>
      <w:r>
        <w:rPr>
          <w:rStyle w:val="optioncarChar"/>
        </w:rPr>
        <w:t xml:space="preserve">est faite / n’est pas </w:t>
      </w:r>
      <w:r>
        <w:t>faite entre les marches droites et tournantes</w:t>
      </w:r>
      <w:r>
        <w:br/>
        <w:t>Les limons et le chemin d’escalier sont compris dans le prix unitaire. Ne sont pas compris : les revêtements d’escalier.</w:t>
      </w:r>
    </w:p>
    <w:p w14:paraId="53BAD81B" w14:textId="77777777" w:rsidR="00DB2B68" w:rsidRDefault="00000000">
      <w:pPr>
        <w:pStyle w:val="pheading"/>
      </w:pPr>
      <w:r>
        <w:t>- nature du marché:</w:t>
      </w:r>
    </w:p>
    <w:p w14:paraId="42015D46" w14:textId="77777777" w:rsidR="00DB2B68" w:rsidRDefault="00000000">
      <w:r>
        <w:t>QF</w:t>
      </w:r>
    </w:p>
    <w:p w14:paraId="49641B9F" w14:textId="77777777" w:rsidR="00DB2B68" w:rsidRDefault="00000000">
      <w:pPr>
        <w:pStyle w:val="Author-eSectionHeading6Numberless"/>
      </w:pPr>
      <w:bookmarkStart w:id="847" w:name="_Toc220495897"/>
      <w:r>
        <w:t>22.31.4b Paliers d'escaliers préfabriqués en béton décoratif / architectonique CCTB 01.11</w:t>
      </w:r>
      <w:bookmarkEnd w:id="847"/>
    </w:p>
    <w:p w14:paraId="208490C2" w14:textId="77777777" w:rsidR="00DB2B68" w:rsidRDefault="00000000">
      <w:pPr>
        <w:pStyle w:val="pheading"/>
      </w:pPr>
      <w:r>
        <w:t>MATÉRIAUX</w:t>
      </w:r>
    </w:p>
    <w:p w14:paraId="18B22ED5" w14:textId="77777777" w:rsidR="00DB2B68" w:rsidRDefault="00000000">
      <w:pPr>
        <w:pStyle w:val="pheading"/>
      </w:pPr>
      <w:r>
        <w:t>- Caractéristiques générales</w:t>
      </w:r>
    </w:p>
    <w:p w14:paraId="06BB5861" w14:textId="77777777" w:rsidR="00DB2B68" w:rsidRDefault="00000000">
      <w:r>
        <w:t>Conformes aux normes [NBN EN 14843] et aux exigences de la norme [NBN B 21-611]</w:t>
      </w:r>
    </w:p>
    <w:p w14:paraId="5C3A4127" w14:textId="77777777" w:rsidR="00DB2B68" w:rsidRDefault="00000000">
      <w:pPr>
        <w:pStyle w:val="pheading"/>
      </w:pPr>
      <w:r>
        <w:t>- Finitions</w:t>
      </w:r>
    </w:p>
    <w:p w14:paraId="41E24CAF" w14:textId="77777777" w:rsidR="00DB2B68" w:rsidRDefault="00000000">
      <w:r>
        <w:t>Surface de béton:</w:t>
      </w:r>
      <w:r>
        <w:rPr>
          <w:rStyle w:val="optioncarChar"/>
        </w:rPr>
        <w:t xml:space="preserve"> brute et lisse en béton apparent</w:t>
      </w:r>
      <w:r>
        <w:t xml:space="preserve"> (par défaut) </w:t>
      </w:r>
      <w:r>
        <w:rPr>
          <w:rStyle w:val="optioncarChar"/>
        </w:rPr>
        <w:t>/ rugueuse</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21A4B569" w14:textId="77777777" w:rsidR="00DB2B68" w:rsidRDefault="00000000">
      <w:pPr>
        <w:pStyle w:val="pheading"/>
      </w:pPr>
      <w:r>
        <w:t>- Prescriptions complémentaires</w:t>
      </w:r>
    </w:p>
    <w:p w14:paraId="46D03CD5" w14:textId="77777777" w:rsidR="00DB2B68" w:rsidRDefault="00000000">
      <w:r>
        <w:t xml:space="preserve">• 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w:t>
      </w:r>
      <w:r>
        <w:t xml:space="preserve"> (par défaut)</w:t>
      </w:r>
      <w:r>
        <w:rPr>
          <w:rStyle w:val="optioncarChar"/>
        </w:rPr>
        <w:t> / REI 60 / REI 120 / REI ***</w:t>
      </w:r>
    </w:p>
    <w:p w14:paraId="3DBAA05B" w14:textId="77777777" w:rsidR="00DB2B68" w:rsidRDefault="00000000">
      <w:pPr>
        <w:pStyle w:val="pheading"/>
      </w:pPr>
      <w:r>
        <w:t>EXÉCUTION / MISE EN ŒUVRE</w:t>
      </w:r>
    </w:p>
    <w:p w14:paraId="3BA688E4" w14:textId="77777777" w:rsidR="00DB2B68" w:rsidRDefault="00000000">
      <w:pPr>
        <w:pStyle w:val="pheading"/>
      </w:pPr>
      <w:r>
        <w:t>- Notes d’exécution complémentaires</w:t>
      </w:r>
    </w:p>
    <w:p w14:paraId="7EDE77C1" w14:textId="77777777" w:rsidR="00DB2B68" w:rsidRDefault="00000000">
      <w:r>
        <w:t>Dans les marches, on intègre une bande antidérapante (PMR) en </w:t>
      </w:r>
      <w:r>
        <w:rPr>
          <w:rStyle w:val="optioncarChar"/>
        </w:rPr>
        <w:t>caoutchouc </w:t>
      </w:r>
      <w:r>
        <w:t>(par défaut)</w:t>
      </w:r>
      <w:r>
        <w:rPr>
          <w:rStyle w:val="optioncarChar"/>
        </w:rPr>
        <w:t xml:space="preserve"> / ***</w:t>
      </w:r>
      <w:r>
        <w:t xml:space="preserve"> selon</w:t>
      </w:r>
      <w:r>
        <w:rPr>
          <w:rStyle w:val="optioncarChar"/>
        </w:rPr>
        <w:t xml:space="preserve"> ***</w:t>
      </w:r>
      <w:r>
        <w:t xml:space="preserve"> et/ou des indicateurs visuels (PMR) présentant les caractéristiques suivantes : </w:t>
      </w:r>
      <w:r>
        <w:rPr>
          <w:rStyle w:val="optioncarChar"/>
        </w:rPr>
        <w:t xml:space="preserve">voir recommandations dans le sous-titre </w:t>
      </w:r>
      <w:hyperlink w:anchor="516" w:history="1">
        <w:r>
          <w:rPr>
            <w:rStyle w:val="optioncarChar"/>
            <w:color w:val="0000EE"/>
          </w:rPr>
          <w:t>22.31 Escaliers en béton</w:t>
        </w:r>
      </w:hyperlink>
      <w:r>
        <w:rPr>
          <w:rStyle w:val="optioncarChar"/>
        </w:rPr>
        <w:t xml:space="preserve"> (PMR) </w:t>
      </w:r>
      <w:r>
        <w:t>(par défaut)</w:t>
      </w:r>
      <w:r>
        <w:rPr>
          <w:rStyle w:val="optioncarChar"/>
        </w:rPr>
        <w:t xml:space="preserve"> / ***</w:t>
      </w:r>
      <w:r>
        <w:br/>
        <w:t xml:space="preserve">Les paliers sont équipés de dalles podotactiles présentant les caractéristiques suivantes : </w:t>
      </w:r>
      <w:r>
        <w:rPr>
          <w:rStyle w:val="optioncarChar"/>
        </w:rPr>
        <w:t xml:space="preserve">voir recommandations dans le sous-titre </w:t>
      </w:r>
      <w:hyperlink w:anchor="516" w:history="1">
        <w:r>
          <w:rPr>
            <w:rStyle w:val="optioncarChar"/>
            <w:color w:val="0000EE"/>
          </w:rPr>
          <w:t>22.31 Escaliers en béton</w:t>
        </w:r>
      </w:hyperlink>
      <w:r>
        <w:rPr>
          <w:rStyle w:val="optioncarChar"/>
        </w:rPr>
        <w:t> (PMR) </w:t>
      </w:r>
      <w:r>
        <w:t>(par défaut)</w:t>
      </w:r>
      <w:r>
        <w:rPr>
          <w:rStyle w:val="optioncarChar"/>
        </w:rPr>
        <w:t xml:space="preserve"> / ***</w:t>
      </w:r>
    </w:p>
    <w:p w14:paraId="37A51AA7" w14:textId="77777777" w:rsidR="00DB2B68" w:rsidRDefault="00000000">
      <w:pPr>
        <w:pStyle w:val="pheading"/>
      </w:pPr>
      <w:r>
        <w:t>MESURAGE</w:t>
      </w:r>
    </w:p>
    <w:p w14:paraId="53FC561A" w14:textId="77777777" w:rsidR="00DB2B68" w:rsidRDefault="00000000">
      <w:pPr>
        <w:pStyle w:val="pheading"/>
      </w:pPr>
      <w:r>
        <w:t>- unité de mesure:</w:t>
      </w:r>
    </w:p>
    <w:p w14:paraId="128010B2" w14:textId="77777777" w:rsidR="00DB2B68" w:rsidRDefault="00000000">
      <w:r>
        <w:rPr>
          <w:b/>
        </w:rPr>
        <w:t xml:space="preserve">1. </w:t>
      </w:r>
      <w:r>
        <w:t xml:space="preserve">escaliers par marche </w:t>
      </w:r>
    </w:p>
    <w:p w14:paraId="560D29B2" w14:textId="77777777" w:rsidR="00DB2B68" w:rsidRDefault="00000000">
      <w:r>
        <w:rPr>
          <w:b/>
        </w:rPr>
        <w:t xml:space="preserve">2. </w:t>
      </w:r>
      <w:r>
        <w:t>paliers au m² pour les paliers</w:t>
      </w:r>
    </w:p>
    <w:p w14:paraId="520571DF" w14:textId="77777777" w:rsidR="00DB2B68" w:rsidRDefault="00000000">
      <w:pPr>
        <w:pStyle w:val="pheading"/>
      </w:pPr>
      <w:r>
        <w:t>- code de mesurage:</w:t>
      </w:r>
    </w:p>
    <w:p w14:paraId="35EE5A8B" w14:textId="77777777" w:rsidR="00DB2B68" w:rsidRDefault="00000000">
      <w:r>
        <w:t xml:space="preserve">Une distinction </w:t>
      </w:r>
      <w:r>
        <w:rPr>
          <w:rStyle w:val="optioncarChar"/>
        </w:rPr>
        <w:t xml:space="preserve">est faite / n’est pas faite </w:t>
      </w:r>
      <w:r>
        <w:t>entre les marches droites et tournantes</w:t>
      </w:r>
      <w:r>
        <w:br/>
        <w:t>Les limons et le chemin d’escalier sont compris dans le prix unitaire. Ne sont pas compris : les revêtements d’escalier.</w:t>
      </w:r>
    </w:p>
    <w:p w14:paraId="14145ADE" w14:textId="77777777" w:rsidR="00DB2B68" w:rsidRDefault="00000000">
      <w:pPr>
        <w:pStyle w:val="pheading"/>
      </w:pPr>
      <w:r>
        <w:t>- nature du marché:</w:t>
      </w:r>
    </w:p>
    <w:p w14:paraId="6BEEBE5A" w14:textId="77777777" w:rsidR="00DB2B68" w:rsidRDefault="00000000">
      <w:r>
        <w:t>QF</w:t>
      </w:r>
    </w:p>
    <w:p w14:paraId="41097C61" w14:textId="77777777" w:rsidR="00DB2B68" w:rsidRDefault="00000000">
      <w:pPr>
        <w:pStyle w:val="Author-eSectionHeading6Numberless"/>
      </w:pPr>
      <w:bookmarkStart w:id="848" w:name="_Toc220495898"/>
      <w:r>
        <w:t>22.31.4c Escaliers préfabriqués en béton décoratif / architectonique CCTB 01.11</w:t>
      </w:r>
      <w:bookmarkEnd w:id="848"/>
    </w:p>
    <w:p w14:paraId="23F56E7B" w14:textId="77777777" w:rsidR="00DB2B68" w:rsidRDefault="00000000">
      <w:pPr>
        <w:pStyle w:val="pheading"/>
      </w:pPr>
      <w:r>
        <w:t>MATÉRIAUX</w:t>
      </w:r>
    </w:p>
    <w:p w14:paraId="199C24FA" w14:textId="77777777" w:rsidR="00DB2B68" w:rsidRDefault="00000000">
      <w:pPr>
        <w:pStyle w:val="pheading"/>
      </w:pPr>
      <w:r>
        <w:t>- Caractéristiques générales</w:t>
      </w:r>
    </w:p>
    <w:p w14:paraId="16433874" w14:textId="77777777" w:rsidR="00DB2B68" w:rsidRDefault="00000000">
      <w:r>
        <w:t>Conformes aux normes [NBN EN 14843] et aux exigences de la norme [NBN B 21-611]</w:t>
      </w:r>
    </w:p>
    <w:p w14:paraId="2BD9855F" w14:textId="77777777" w:rsidR="00DB2B68" w:rsidRDefault="00000000">
      <w:pPr>
        <w:pStyle w:val="pheading"/>
      </w:pPr>
      <w:r>
        <w:t>- Finitions</w:t>
      </w:r>
    </w:p>
    <w:p w14:paraId="52DE4F13" w14:textId="77777777" w:rsidR="00DB2B68" w:rsidRDefault="00000000">
      <w:r>
        <w:t>Surface de béton:</w:t>
      </w:r>
      <w:r>
        <w:rPr>
          <w:rStyle w:val="optioncarChar"/>
        </w:rPr>
        <w:t xml:space="preserve"> brute et lisse en béton apparent</w:t>
      </w:r>
      <w:r>
        <w:t xml:space="preserve"> (par défaut) </w:t>
      </w:r>
      <w:r>
        <w:rPr>
          <w:rStyle w:val="optioncarChar"/>
        </w:rPr>
        <w:t>/ rugueuse</w:t>
      </w:r>
    </w:p>
    <w:p w14:paraId="358C6345" w14:textId="77777777" w:rsidR="00DB2B68" w:rsidRDefault="00000000">
      <w:pPr>
        <w:pStyle w:val="pheading"/>
      </w:pPr>
      <w:r>
        <w:t>- Prescriptions complémentaires</w:t>
      </w:r>
    </w:p>
    <w:p w14:paraId="65C91FF6" w14:textId="77777777" w:rsidR="00DB2B68" w:rsidRDefault="00000000">
      <w:r>
        <w:lastRenderedPageBreak/>
        <w:t xml:space="preserve">Résistance au feu : pour les escaliers sans fonction séparant </w:t>
      </w:r>
      <w:r>
        <w:rPr>
          <w:rStyle w:val="optioncarChar"/>
        </w:rPr>
        <w:t>R30 </w:t>
      </w:r>
      <w:r>
        <w:t>(par défaut) </w:t>
      </w:r>
      <w:r>
        <w:rPr>
          <w:rStyle w:val="optioncarChar"/>
        </w:rPr>
        <w:t xml:space="preserve">/ R60 / R120 / R *** </w:t>
      </w:r>
      <w:r>
        <w:t xml:space="preserve">et pour les escaliers avec fonction séparant </w:t>
      </w:r>
      <w:r>
        <w:rPr>
          <w:rStyle w:val="optioncarChar"/>
        </w:rPr>
        <w:t>REI 30 </w:t>
      </w:r>
      <w:r>
        <w:t>(par défaut)</w:t>
      </w:r>
      <w:r>
        <w:rPr>
          <w:rStyle w:val="optioncarChar"/>
        </w:rPr>
        <w:t xml:space="preserve"> / REI 60 / REI 120 / REI ***</w:t>
      </w:r>
    </w:p>
    <w:p w14:paraId="6FDC0EA9" w14:textId="77777777" w:rsidR="00DB2B68" w:rsidRDefault="00000000">
      <w:pPr>
        <w:pStyle w:val="pheading"/>
      </w:pPr>
      <w:r>
        <w:t>EXÉCUTION / MISE EN ŒUVRE</w:t>
      </w:r>
    </w:p>
    <w:p w14:paraId="682B519E" w14:textId="77777777" w:rsidR="00DB2B68" w:rsidRDefault="00000000">
      <w:pPr>
        <w:pStyle w:val="pheading"/>
      </w:pPr>
      <w:r>
        <w:t>- Notes d’exécution complémentaires</w:t>
      </w:r>
    </w:p>
    <w:p w14:paraId="60E70DB6" w14:textId="77777777" w:rsidR="00DB2B68" w:rsidRDefault="00000000">
      <w:r>
        <w:t>Dans les marches, on intègre une bande antidérapante (PMR) en </w:t>
      </w:r>
      <w:r>
        <w:rPr>
          <w:rStyle w:val="optioncarChar"/>
        </w:rPr>
        <w:t>caoutchouc </w:t>
      </w:r>
      <w:r>
        <w:t>(par défaut)</w:t>
      </w:r>
      <w:r>
        <w:rPr>
          <w:rStyle w:val="optioncarChar"/>
        </w:rPr>
        <w:t xml:space="preserve"> / ***</w:t>
      </w:r>
      <w:r>
        <w:t xml:space="preserve"> selon </w:t>
      </w:r>
      <w:r>
        <w:rPr>
          <w:rStyle w:val="optioncarChar"/>
        </w:rPr>
        <w:t xml:space="preserve">*** </w:t>
      </w:r>
      <w:r>
        <w:t xml:space="preserve">et/ou des indicateurs visuels (PMR) présentant les caractéristiques suivantes : </w:t>
      </w:r>
      <w:r>
        <w:rPr>
          <w:rStyle w:val="optioncarChar"/>
        </w:rPr>
        <w:t>voir recommandations de l'article 22.31 (PMR) </w:t>
      </w:r>
      <w:r>
        <w:t>(par défaut)</w:t>
      </w:r>
      <w:r>
        <w:rPr>
          <w:rStyle w:val="optioncarChar"/>
        </w:rPr>
        <w:t xml:space="preserve"> / ***</w:t>
      </w:r>
      <w:r>
        <w:br/>
        <w:t xml:space="preserve">Les paliers sont équipés de dalles podotactiles présentant les caractéristiques suivantes : </w:t>
      </w:r>
      <w:r>
        <w:rPr>
          <w:rStyle w:val="optioncarChar"/>
        </w:rPr>
        <w:t>voir recommandations de l'article 22.31 (PMR) </w:t>
      </w:r>
      <w:r>
        <w:t>(par défaut)</w:t>
      </w:r>
      <w:r>
        <w:rPr>
          <w:rStyle w:val="optioncarChar"/>
        </w:rPr>
        <w:t> / ***</w:t>
      </w:r>
    </w:p>
    <w:p w14:paraId="1B05EDDD" w14:textId="77777777" w:rsidR="00DB2B68" w:rsidRDefault="00000000">
      <w:pPr>
        <w:pStyle w:val="pheading"/>
      </w:pPr>
      <w:r>
        <w:t>MESURAGE</w:t>
      </w:r>
    </w:p>
    <w:p w14:paraId="4D82FC98" w14:textId="77777777" w:rsidR="00DB2B68" w:rsidRDefault="00000000">
      <w:pPr>
        <w:pStyle w:val="pheading"/>
      </w:pPr>
      <w:r>
        <w:t>- unité de mesure:</w:t>
      </w:r>
    </w:p>
    <w:p w14:paraId="35212DBC" w14:textId="77777777" w:rsidR="00DB2B68" w:rsidRDefault="00000000">
      <w:r>
        <w:rPr>
          <w:b/>
        </w:rPr>
        <w:t xml:space="preserve">1. </w:t>
      </w:r>
      <w:r>
        <w:t xml:space="preserve">escaliers par marche </w:t>
      </w:r>
    </w:p>
    <w:p w14:paraId="54E448F5" w14:textId="77777777" w:rsidR="00DB2B68" w:rsidRDefault="00000000">
      <w:r>
        <w:rPr>
          <w:b/>
        </w:rPr>
        <w:t xml:space="preserve">2. </w:t>
      </w:r>
      <w:r>
        <w:t>paliers au m² pour les paliers</w:t>
      </w:r>
    </w:p>
    <w:p w14:paraId="54CFB9AB" w14:textId="77777777" w:rsidR="00DB2B68" w:rsidRDefault="00000000">
      <w:pPr>
        <w:pStyle w:val="pheading"/>
      </w:pPr>
      <w:r>
        <w:t>- code de mesurage:</w:t>
      </w:r>
    </w:p>
    <w:p w14:paraId="4012A6B8" w14:textId="77777777" w:rsidR="00DB2B68" w:rsidRDefault="00000000">
      <w:r>
        <w:t xml:space="preserve">Une distinction </w:t>
      </w:r>
      <w:r>
        <w:rPr>
          <w:rStyle w:val="optioncarChar"/>
        </w:rPr>
        <w:t>est faite / n’est pas faite</w:t>
      </w:r>
      <w:r>
        <w:t xml:space="preserve"> entre les marches droites et tournantes</w:t>
      </w:r>
    </w:p>
    <w:p w14:paraId="2692B344" w14:textId="77777777" w:rsidR="00DB2B68" w:rsidRDefault="00000000">
      <w:r>
        <w:t>Les limons et le chemin d’escalier sont compris dans le prix unitaire. Ne sont pas compris : les revêtements d’escalier.</w:t>
      </w:r>
    </w:p>
    <w:p w14:paraId="64F40A0C" w14:textId="77777777" w:rsidR="00DB2B68" w:rsidRDefault="00000000">
      <w:pPr>
        <w:pStyle w:val="pheading"/>
      </w:pPr>
      <w:r>
        <w:t>- nature du marché:</w:t>
      </w:r>
    </w:p>
    <w:p w14:paraId="0132601B" w14:textId="77777777" w:rsidR="00DB2B68" w:rsidRDefault="00000000">
      <w:r>
        <w:t>QF</w:t>
      </w:r>
    </w:p>
    <w:p w14:paraId="049D94F3" w14:textId="77777777" w:rsidR="00DB2B68" w:rsidRDefault="00000000">
      <w:pPr>
        <w:pStyle w:val="Author-eSectionHeading4Numberless"/>
      </w:pPr>
      <w:bookmarkStart w:id="849" w:name="_Toc220495899"/>
      <w:r>
        <w:t>22.32 Garde-corps et rampes en béton CCTB 01.13</w:t>
      </w:r>
      <w:bookmarkEnd w:id="849"/>
    </w:p>
    <w:p w14:paraId="2C67D70B" w14:textId="77777777" w:rsidR="00DB2B68" w:rsidRDefault="00000000">
      <w:pPr>
        <w:pStyle w:val="pheading"/>
      </w:pPr>
      <w:bookmarkStart w:id="850" w:name="1116"/>
      <w:bookmarkEnd w:id="850"/>
      <w:r>
        <w:t>DOCUMENTS DE RÉFÉRENCE</w:t>
      </w:r>
    </w:p>
    <w:p w14:paraId="26B178C7" w14:textId="77777777" w:rsidR="00DB2B68" w:rsidRDefault="00000000">
      <w:pPr>
        <w:pStyle w:val="pheading"/>
      </w:pPr>
      <w:r>
        <w:t>- Exécution</w:t>
      </w:r>
    </w:p>
    <w:p w14:paraId="01733231" w14:textId="77777777" w:rsidR="00DB2B68" w:rsidRDefault="00000000">
      <w:r>
        <w:t>[NBN B 03-004, Garde-corps de bâtiments]</w:t>
      </w:r>
    </w:p>
    <w:p w14:paraId="3B592CFF" w14:textId="77777777" w:rsidR="00DB2B68" w:rsidRDefault="00000000">
      <w:pPr>
        <w:pStyle w:val="pheading"/>
      </w:pPr>
      <w:r>
        <w:t>AIDE</w:t>
      </w:r>
    </w:p>
    <w:p w14:paraId="672014C1" w14:textId="77777777" w:rsidR="00DB2B68" w:rsidRDefault="00000000">
      <w:r>
        <w:rPr>
          <w:b/>
        </w:rPr>
        <w:t>NOTE A L’AUTEUR DE PROJET</w:t>
      </w:r>
    </w:p>
    <w:p w14:paraId="54C92334" w14:textId="77777777" w:rsidR="00DB2B68" w:rsidRDefault="00000000">
      <w:r>
        <w:rPr>
          <w:b/>
        </w:rPr>
        <w:t>Accessibilité aux personnes à mobilité réduite (PMR)</w:t>
      </w:r>
      <w:r>
        <w:t>     </w:t>
      </w:r>
    </w:p>
    <w:p w14:paraId="43585BBB" w14:textId="77777777" w:rsidR="00DB2B68" w:rsidRDefault="00000000">
      <w:r>
        <w:rPr>
          <w:i/>
          <w:u w:val="single"/>
        </w:rPr>
        <w:t>Main-courantes :</w:t>
      </w:r>
    </w:p>
    <w:p w14:paraId="2FC3E69B" w14:textId="77777777" w:rsidR="00DB2B68" w:rsidRDefault="00000000">
      <w:r>
        <w:t>Type : double (2 lisses) [SWL CALA], [NBN ISO 21542] et [BS 8300]</w:t>
      </w:r>
    </w:p>
    <w:p w14:paraId="0972A1B4" w14:textId="77777777" w:rsidR="00DB2B68" w:rsidRDefault="00000000">
      <w:r>
        <w:t>Position : de chaque côté de l’escalier [CoDT] (Article 415) et [SWL CALA]</w:t>
      </w:r>
    </w:p>
    <w:p w14:paraId="0DB21E42" w14:textId="77777777" w:rsidR="00DB2B68" w:rsidRDefault="00000000">
      <w:r>
        <w:t>Géométrie : solides et continues sur les paliers [CoDT] (Article 415) et [SWL CALA]</w:t>
      </w:r>
    </w:p>
    <w:p w14:paraId="053F6F5F" w14:textId="77777777" w:rsidR="00DB2B68" w:rsidRDefault="00000000">
      <w:r>
        <w:t>Prolongement : [CoDT] et [SWL CALA]</w:t>
      </w:r>
    </w:p>
    <w:p w14:paraId="6DA03520" w14:textId="77777777" w:rsidR="00DB2B68" w:rsidRDefault="00000000">
      <w:pPr>
        <w:pStyle w:val="Author-eListParagraph"/>
        <w:numPr>
          <w:ilvl w:val="0"/>
          <w:numId w:val="589"/>
        </w:numPr>
      </w:pPr>
      <w:r>
        <w:t>Côté mur : prolongement de 40 cm à l’origine et à l’extrémité de l’escalier</w:t>
      </w:r>
    </w:p>
    <w:p w14:paraId="3622ED82" w14:textId="77777777" w:rsidR="00DB2B68" w:rsidRDefault="00000000">
      <w:pPr>
        <w:pStyle w:val="Author-eListParagraph"/>
        <w:numPr>
          <w:ilvl w:val="0"/>
          <w:numId w:val="589"/>
        </w:numPr>
      </w:pPr>
      <w:r>
        <w:t>Côté vide : prolongement jusqu’au sol et de 40 cm, à l’origine et à l’extrémité de l’escalier pour autant que ce prolongement ne représente aucun obstacle ni danger</w:t>
      </w:r>
    </w:p>
    <w:p w14:paraId="74FE68D1" w14:textId="77777777" w:rsidR="00DB2B68" w:rsidRDefault="00000000">
      <w:r>
        <w:t> </w:t>
      </w:r>
    </w:p>
    <w:p w14:paraId="5F081CE6" w14:textId="77777777" w:rsidR="00DB2B68" w:rsidRDefault="00000000">
      <w:r>
        <w:t>Hauteur : [SWL CALA] et [NBN ISO 21542]</w:t>
      </w:r>
    </w:p>
    <w:p w14:paraId="554990E0" w14:textId="77777777" w:rsidR="00DB2B68" w:rsidRDefault="00000000">
      <w:pPr>
        <w:pStyle w:val="Author-eListParagraph"/>
        <w:numPr>
          <w:ilvl w:val="0"/>
          <w:numId w:val="590"/>
        </w:numPr>
      </w:pPr>
      <w:r>
        <w:t>Main-courante principale : entre 85 et 100 cm par rapport au nez de marche</w:t>
      </w:r>
    </w:p>
    <w:p w14:paraId="0247BBBE" w14:textId="77777777" w:rsidR="00DB2B68" w:rsidRDefault="00000000">
      <w:pPr>
        <w:pStyle w:val="Author-eListParagraph"/>
        <w:numPr>
          <w:ilvl w:val="0"/>
          <w:numId w:val="590"/>
        </w:numPr>
      </w:pPr>
      <w:r>
        <w:t>Main-courante secondaire : entre 60 et 75 cm par rapport au nez de marche</w:t>
      </w:r>
    </w:p>
    <w:p w14:paraId="14FA1DC0" w14:textId="77777777" w:rsidR="00DB2B68" w:rsidRDefault="00000000">
      <w:r>
        <w:t> </w:t>
      </w:r>
    </w:p>
    <w:p w14:paraId="5A540B4B" w14:textId="77777777" w:rsidR="00DB2B68" w:rsidRDefault="00000000">
      <w:r>
        <w:t>Distance du mur : 4 cm minimum [SWL CALA]</w:t>
      </w:r>
    </w:p>
    <w:p w14:paraId="65422418" w14:textId="77777777" w:rsidR="00DB2B68" w:rsidRDefault="00000000">
      <w:r>
        <w:t>Diamètre : entre 4 et 5 cm [SWL CALA]</w:t>
      </w:r>
    </w:p>
    <w:p w14:paraId="356FA37B" w14:textId="77777777" w:rsidR="00DB2B68" w:rsidRDefault="00000000">
      <w:r>
        <w:lastRenderedPageBreak/>
        <w:t>Contraste: différence de coefficient de réflexion (LRV) entre la main courante et son support de minimum 30% [NBN ISO 21542] et [BS 8300]</w:t>
      </w:r>
    </w:p>
    <w:p w14:paraId="16DF7BB4" w14:textId="77777777" w:rsidR="00DB2B68" w:rsidRDefault="00000000">
      <w:pPr>
        <w:pStyle w:val="Author-eSectionHeading5Numberless"/>
      </w:pPr>
      <w:bookmarkStart w:id="851" w:name="_Toc220495900"/>
      <w:r>
        <w:t>22.32.1 Garde-corps et rampes en béton coulé en place CCTB 01.04</w:t>
      </w:r>
      <w:bookmarkEnd w:id="851"/>
    </w:p>
    <w:p w14:paraId="16996FF3" w14:textId="77777777" w:rsidR="00DB2B68" w:rsidRDefault="00000000">
      <w:pPr>
        <w:pStyle w:val="Author-eSectionHeading6Numberless"/>
      </w:pPr>
      <w:bookmarkStart w:id="852" w:name="_Toc220495901"/>
      <w:r>
        <w:t>22.32.1a Garde-corps et rampes en béton coulé en place CCTB 01.13</w:t>
      </w:r>
      <w:bookmarkEnd w:id="852"/>
    </w:p>
    <w:p w14:paraId="176882AA" w14:textId="77777777" w:rsidR="00DB2B68" w:rsidRDefault="00000000">
      <w:pPr>
        <w:pStyle w:val="pheading"/>
      </w:pPr>
      <w:r>
        <w:t>DESCRIPTION</w:t>
      </w:r>
    </w:p>
    <w:p w14:paraId="1F696EE1" w14:textId="77777777" w:rsidR="00DB2B68" w:rsidRDefault="00000000">
      <w:pPr>
        <w:pStyle w:val="pheading"/>
      </w:pPr>
      <w:r>
        <w:t>- Définition / Comprend</w:t>
      </w:r>
    </w:p>
    <w:p w14:paraId="2ACF6D47" w14:textId="77777777" w:rsidR="00DB2B68" w:rsidRDefault="00000000">
      <w:r>
        <w:t>Il s'agit de tous les éléments</w:t>
      </w:r>
      <w:r>
        <w:rPr>
          <w:rStyle w:val="optioncarChar"/>
        </w:rPr>
        <w:t xml:space="preserve"> garde-corps / rampes</w:t>
      </w:r>
      <w:r>
        <w:t xml:space="preserve"> exécutés en béton coulé en place sans exigences esthétiques particulières.</w:t>
      </w:r>
    </w:p>
    <w:p w14:paraId="72A017D4" w14:textId="77777777" w:rsidR="00DB2B68" w:rsidRDefault="00000000">
      <w:pPr>
        <w:pStyle w:val="pheading"/>
      </w:pPr>
      <w:r>
        <w:t>MATÉRIAUX</w:t>
      </w:r>
    </w:p>
    <w:p w14:paraId="02BF1475" w14:textId="77777777" w:rsidR="00DB2B68" w:rsidRDefault="00000000">
      <w:pPr>
        <w:pStyle w:val="pheading"/>
      </w:pPr>
      <w:r>
        <w:t>- Caractéristiques générales</w:t>
      </w:r>
    </w:p>
    <w:p w14:paraId="77808A77" w14:textId="77777777" w:rsidR="00DB2B68" w:rsidRDefault="00000000">
      <w:pPr>
        <w:pStyle w:val="heading"/>
      </w:pPr>
      <w:r>
        <w:t>Spécifications</w:t>
      </w:r>
    </w:p>
    <w:p w14:paraId="194CFFC1" w14:textId="77777777" w:rsidR="00DB2B68" w:rsidRDefault="00000000">
      <w:r>
        <w:t xml:space="preserve">Qualité du béton selon la [NBN EN 206:2013+A2] et la [NBN B 15-001] (voir également </w:t>
      </w:r>
      <w:hyperlink w:anchor="87" w:history="1">
        <w:r>
          <w:rPr>
            <w:color w:val="0000EE"/>
          </w:rP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4CDEE48C" w14:textId="77777777">
        <w:tc>
          <w:tcPr>
            <w:tcW w:w="1500" w:type="dxa"/>
            <w:noWrap/>
          </w:tcPr>
          <w:p w14:paraId="39FC57B8" w14:textId="77777777" w:rsidR="00DB2B68" w:rsidRDefault="00000000">
            <w:pPr>
              <w:jc w:val="center"/>
            </w:pPr>
            <w:r>
              <w:rPr>
                <w:b/>
              </w:rPr>
              <w:t>A</w:t>
            </w:r>
          </w:p>
        </w:tc>
        <w:tc>
          <w:tcPr>
            <w:tcW w:w="1500" w:type="dxa"/>
            <w:noWrap/>
          </w:tcPr>
          <w:p w14:paraId="20BE080F" w14:textId="77777777" w:rsidR="00DB2B68" w:rsidRDefault="00000000">
            <w:pPr>
              <w:jc w:val="center"/>
            </w:pPr>
            <w:r>
              <w:rPr>
                <w:b/>
              </w:rPr>
              <w:t>B1</w:t>
            </w:r>
          </w:p>
        </w:tc>
        <w:tc>
          <w:tcPr>
            <w:tcW w:w="1500" w:type="dxa"/>
            <w:noWrap/>
          </w:tcPr>
          <w:p w14:paraId="3547F59A" w14:textId="77777777" w:rsidR="00DB2B68" w:rsidRDefault="00000000">
            <w:pPr>
              <w:jc w:val="center"/>
            </w:pPr>
            <w:r>
              <w:rPr>
                <w:b/>
              </w:rPr>
              <w:t>B2</w:t>
            </w:r>
          </w:p>
        </w:tc>
        <w:tc>
          <w:tcPr>
            <w:tcW w:w="1500" w:type="dxa"/>
            <w:noWrap/>
          </w:tcPr>
          <w:p w14:paraId="24A5D9BB" w14:textId="77777777" w:rsidR="00DB2B68" w:rsidRDefault="00000000">
            <w:pPr>
              <w:jc w:val="center"/>
            </w:pPr>
            <w:r>
              <w:rPr>
                <w:b/>
              </w:rPr>
              <w:t>C</w:t>
            </w:r>
          </w:p>
        </w:tc>
        <w:tc>
          <w:tcPr>
            <w:tcW w:w="1500" w:type="dxa"/>
            <w:noWrap/>
          </w:tcPr>
          <w:p w14:paraId="099EAB09" w14:textId="77777777" w:rsidR="00DB2B68" w:rsidRDefault="00000000">
            <w:pPr>
              <w:jc w:val="center"/>
            </w:pPr>
            <w:r>
              <w:rPr>
                <w:b/>
              </w:rPr>
              <w:t>D</w:t>
            </w:r>
          </w:p>
        </w:tc>
        <w:tc>
          <w:tcPr>
            <w:tcW w:w="1500" w:type="dxa"/>
            <w:noWrap/>
          </w:tcPr>
          <w:p w14:paraId="2714326A" w14:textId="77777777" w:rsidR="00DB2B68" w:rsidRDefault="00000000">
            <w:pPr>
              <w:jc w:val="center"/>
            </w:pPr>
            <w:r>
              <w:rPr>
                <w:b/>
              </w:rPr>
              <w:t>E</w:t>
            </w:r>
          </w:p>
        </w:tc>
      </w:tr>
      <w:tr w:rsidR="00DB2B68" w14:paraId="5556538D" w14:textId="77777777">
        <w:tc>
          <w:tcPr>
            <w:tcW w:w="1500" w:type="dxa"/>
            <w:noWrap/>
          </w:tcPr>
          <w:p w14:paraId="1DF2B91C" w14:textId="77777777" w:rsidR="00DB2B68" w:rsidRDefault="00000000">
            <w:pPr>
              <w:jc w:val="center"/>
            </w:pPr>
            <w:r>
              <w:rPr>
                <w:b/>
              </w:rPr>
              <w:t>Classe de résistance</w:t>
            </w:r>
          </w:p>
        </w:tc>
        <w:tc>
          <w:tcPr>
            <w:tcW w:w="1500" w:type="dxa"/>
            <w:noWrap/>
          </w:tcPr>
          <w:p w14:paraId="03B43061" w14:textId="77777777" w:rsidR="00DB2B68" w:rsidRDefault="00000000">
            <w:pPr>
              <w:jc w:val="center"/>
            </w:pPr>
            <w:r>
              <w:rPr>
                <w:b/>
              </w:rPr>
              <w:t>Domaine d’application</w:t>
            </w:r>
          </w:p>
        </w:tc>
        <w:tc>
          <w:tcPr>
            <w:tcW w:w="1500" w:type="dxa"/>
            <w:noWrap/>
          </w:tcPr>
          <w:p w14:paraId="32B0BE79" w14:textId="77777777" w:rsidR="00DB2B68" w:rsidRDefault="00000000">
            <w:pPr>
              <w:jc w:val="center"/>
            </w:pPr>
            <w:r>
              <w:rPr>
                <w:b/>
              </w:rPr>
              <w:t>Classe d'environnement</w:t>
            </w:r>
          </w:p>
        </w:tc>
        <w:tc>
          <w:tcPr>
            <w:tcW w:w="1500" w:type="dxa"/>
            <w:noWrap/>
          </w:tcPr>
          <w:p w14:paraId="4187FB81" w14:textId="77777777" w:rsidR="00DB2B68" w:rsidRDefault="00000000">
            <w:pPr>
              <w:jc w:val="center"/>
            </w:pPr>
            <w:r>
              <w:rPr>
                <w:b/>
              </w:rPr>
              <w:t>Classe de consistance</w:t>
            </w:r>
          </w:p>
        </w:tc>
        <w:tc>
          <w:tcPr>
            <w:tcW w:w="1500" w:type="dxa"/>
            <w:noWrap/>
          </w:tcPr>
          <w:p w14:paraId="18C84BA6" w14:textId="77777777" w:rsidR="00DB2B68" w:rsidRDefault="00000000">
            <w:pPr>
              <w:jc w:val="center"/>
            </w:pPr>
            <w:r>
              <w:rPr>
                <w:b/>
              </w:rPr>
              <w:t>Granulométrie maximale</w:t>
            </w:r>
          </w:p>
        </w:tc>
        <w:tc>
          <w:tcPr>
            <w:tcW w:w="1500" w:type="dxa"/>
            <w:noWrap/>
          </w:tcPr>
          <w:p w14:paraId="570AD33B" w14:textId="77777777" w:rsidR="00DB2B68" w:rsidRDefault="00000000">
            <w:r>
              <w:rPr>
                <w:b/>
              </w:rPr>
              <w:t>Données complémentaires</w:t>
            </w:r>
          </w:p>
        </w:tc>
      </w:tr>
      <w:tr w:rsidR="00DB2B68" w14:paraId="4F6A43DB" w14:textId="77777777">
        <w:tc>
          <w:tcPr>
            <w:tcW w:w="1500" w:type="dxa"/>
            <w:noWrap/>
          </w:tcPr>
          <w:p w14:paraId="6BD02F3F" w14:textId="77777777" w:rsidR="00DB2B68" w:rsidRDefault="00000000">
            <w:pPr>
              <w:jc w:val="center"/>
            </w:pPr>
            <w:r>
              <w:rPr>
                <w:rStyle w:val="optioncarChar"/>
              </w:rPr>
              <w:t>C25/30 / C30/37 / C35/45 / C45/55 / C50/60 / C55/67 / C60/75 / C70/85 / C80/95 / C90/105</w:t>
            </w:r>
          </w:p>
        </w:tc>
        <w:tc>
          <w:tcPr>
            <w:tcW w:w="1500" w:type="dxa"/>
            <w:noWrap/>
          </w:tcPr>
          <w:p w14:paraId="2CB17AB9" w14:textId="77777777" w:rsidR="00DB2B68" w:rsidRDefault="00000000">
            <w:pPr>
              <w:jc w:val="center"/>
            </w:pPr>
            <w:r>
              <w:t>Béton armé</w:t>
            </w:r>
          </w:p>
          <w:p w14:paraId="2FBDE858" w14:textId="77777777" w:rsidR="00DB2B68" w:rsidRDefault="00000000">
            <w:pPr>
              <w:jc w:val="center"/>
            </w:pPr>
            <w:r>
              <w:t> </w:t>
            </w:r>
          </w:p>
        </w:tc>
        <w:tc>
          <w:tcPr>
            <w:tcW w:w="1500" w:type="dxa"/>
            <w:noWrap/>
          </w:tcPr>
          <w:p w14:paraId="23874958" w14:textId="77777777" w:rsidR="00DB2B68" w:rsidRDefault="00000000">
            <w:pPr>
              <w:jc w:val="center"/>
            </w:pPr>
            <w:r>
              <w:rPr>
                <w:rStyle w:val="optioncarChar"/>
              </w:rPr>
              <w:t>E0 / EI / EE1 / EE2 / EE3 / EE4 / ES1 / ES2 / ES3 / ES4 / EA1+*** / EA2+***/ EA3+***</w:t>
            </w:r>
          </w:p>
        </w:tc>
        <w:tc>
          <w:tcPr>
            <w:tcW w:w="1500" w:type="dxa"/>
            <w:noWrap/>
          </w:tcPr>
          <w:p w14:paraId="1815727D" w14:textId="77777777" w:rsidR="00DB2B68" w:rsidRDefault="00000000">
            <w:pPr>
              <w:jc w:val="center"/>
            </w:pPr>
            <w:r>
              <w:t>au choix de l'entrepreneur :</w:t>
            </w:r>
          </w:p>
          <w:p w14:paraId="09D5DDC3" w14:textId="77777777" w:rsidR="00DB2B68" w:rsidRDefault="00000000">
            <w:pPr>
              <w:jc w:val="center"/>
            </w:pPr>
            <w:r>
              <w:rPr>
                <w:rStyle w:val="optioncarChar"/>
              </w:rPr>
              <w:t>S3 / S4 / S5 /</w:t>
            </w:r>
          </w:p>
          <w:p w14:paraId="6CA925BA" w14:textId="77777777" w:rsidR="00DB2B68" w:rsidRDefault="00000000">
            <w:pPr>
              <w:jc w:val="center"/>
            </w:pPr>
            <w:r>
              <w:rPr>
                <w:rStyle w:val="optioncarChar"/>
              </w:rPr>
              <w:t>F3 / F4 / F5 / F6</w:t>
            </w:r>
            <w:r>
              <w:br/>
            </w:r>
          </w:p>
        </w:tc>
        <w:tc>
          <w:tcPr>
            <w:tcW w:w="1500" w:type="dxa"/>
            <w:noWrap/>
          </w:tcPr>
          <w:p w14:paraId="30195100" w14:textId="77777777" w:rsidR="00DB2B68" w:rsidRDefault="00000000">
            <w:pPr>
              <w:jc w:val="center"/>
            </w:pPr>
            <w:r>
              <w:t>au choix de l'entrepreneur :</w:t>
            </w:r>
          </w:p>
          <w:p w14:paraId="56452D5D" w14:textId="77777777" w:rsidR="00DB2B68" w:rsidRDefault="00000000">
            <w:pPr>
              <w:jc w:val="center"/>
            </w:pPr>
            <w:r>
              <w:rPr>
                <w:rStyle w:val="optioncarChar"/>
              </w:rPr>
              <w:t>6 / 8 / 10 / 11 / 12 / 14 / 16 / 20 / 22 / 32</w:t>
            </w:r>
            <w:r>
              <w:t xml:space="preserve"> mm</w:t>
            </w:r>
          </w:p>
        </w:tc>
        <w:tc>
          <w:tcPr>
            <w:tcW w:w="1500" w:type="dxa"/>
            <w:noWrap/>
          </w:tcPr>
          <w:p w14:paraId="36EA23C0" w14:textId="77777777" w:rsidR="00DB2B68" w:rsidRDefault="00000000">
            <w:pPr>
              <w:jc w:val="center"/>
            </w:pPr>
            <w:r>
              <w:rPr>
                <w:rStyle w:val="optioncarChar"/>
              </w:rPr>
              <w:t>***</w:t>
            </w:r>
          </w:p>
        </w:tc>
      </w:tr>
    </w:tbl>
    <w:p w14:paraId="3ABA10DC"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F259BC5" w14:textId="77777777" w:rsidR="00DB2B68" w:rsidRDefault="00000000">
      <w:pPr>
        <w:pStyle w:val="Author-eListParagraph"/>
        <w:numPr>
          <w:ilvl w:val="0"/>
          <w:numId w:val="591"/>
        </w:numPr>
      </w:pPr>
      <w:r>
        <w:t xml:space="preserve">Classe de viscosité apparente : </w:t>
      </w:r>
      <w:r>
        <w:rPr>
          <w:rStyle w:val="optioncarChar"/>
        </w:rPr>
        <w:t>VS1 / VS2</w:t>
      </w:r>
      <w:r>
        <w:t xml:space="preserve"> (selon la [NBN EN 12350-8] )</w:t>
      </w:r>
    </w:p>
    <w:p w14:paraId="30D591DC" w14:textId="77777777" w:rsidR="00DB2B68" w:rsidRDefault="00000000">
      <w:pPr>
        <w:pStyle w:val="Author-eListParagraph"/>
        <w:numPr>
          <w:ilvl w:val="0"/>
          <w:numId w:val="59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C496EBB" w14:textId="77777777" w:rsidR="00DB2B68" w:rsidRDefault="00000000">
      <w:pPr>
        <w:pStyle w:val="Author-eListParagraph"/>
        <w:numPr>
          <w:ilvl w:val="0"/>
          <w:numId w:val="59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829AC2F"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71BF8660" w14:textId="77777777" w:rsidR="00DB2B68" w:rsidRDefault="00000000">
      <w:pPr>
        <w:pStyle w:val="Author-eListParagraph"/>
        <w:numPr>
          <w:ilvl w:val="0"/>
          <w:numId w:val="592"/>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5B930217" w14:textId="77777777" w:rsidR="00DB2B68" w:rsidRDefault="00000000">
      <w:pPr>
        <w:pStyle w:val="Author-eListParagraph"/>
        <w:numPr>
          <w:ilvl w:val="0"/>
          <w:numId w:val="592"/>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1C417E1" w14:textId="77777777" w:rsidR="00DB2B68" w:rsidRDefault="00000000">
      <w:pPr>
        <w:pStyle w:val="Author-eListParagraph"/>
        <w:numPr>
          <w:ilvl w:val="0"/>
          <w:numId w:val="592"/>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 / 150 x 150 x 6 x 6 </w:t>
      </w:r>
      <w:r>
        <w:t>(par défaut) </w:t>
      </w:r>
      <w:r>
        <w:rPr>
          <w:rStyle w:val="optioncarChar"/>
        </w:rPr>
        <w:t>/ ***x***x***x***</w:t>
      </w:r>
      <w:r>
        <w:t xml:space="preserve"> mm.</w:t>
      </w:r>
    </w:p>
    <w:p w14:paraId="4AD4DF51" w14:textId="77777777" w:rsidR="00DB2B68" w:rsidRDefault="00000000">
      <w:r>
        <w:lastRenderedPageBreak/>
        <w:t> </w:t>
      </w:r>
    </w:p>
    <w:p w14:paraId="6387F254" w14:textId="77777777" w:rsidR="00DB2B68" w:rsidRDefault="00000000">
      <w:pPr>
        <w:pStyle w:val="pheading"/>
      </w:pPr>
      <w:r>
        <w:t>- Finitions</w:t>
      </w:r>
    </w:p>
    <w:p w14:paraId="71685A6D" w14:textId="77777777" w:rsidR="00DB2B68" w:rsidRDefault="00000000">
      <w:r>
        <w:t>Surface de béton:</w:t>
      </w:r>
      <w:r>
        <w:rPr>
          <w:rStyle w:val="optioncarChar"/>
        </w:rPr>
        <w:t xml:space="preserve"> brute et lisse</w:t>
      </w:r>
      <w:r>
        <w:t xml:space="preserve"> (par défaut) </w:t>
      </w:r>
      <w:r>
        <w:rPr>
          <w:rStyle w:val="optioncarChar"/>
        </w:rPr>
        <w:t>/ rugueuse</w:t>
      </w:r>
    </w:p>
    <w:p w14:paraId="4B62069A" w14:textId="77777777" w:rsidR="00DB2B68" w:rsidRDefault="00000000">
      <w:pPr>
        <w:pStyle w:val="pheading"/>
      </w:pPr>
      <w:r>
        <w:t>EXÉCUTION / MISE EN ŒUVRE</w:t>
      </w:r>
    </w:p>
    <w:p w14:paraId="0AA4174B" w14:textId="77777777" w:rsidR="00DB2B68" w:rsidRDefault="00000000">
      <w:pPr>
        <w:pStyle w:val="pheading"/>
      </w:pPr>
      <w:r>
        <w:t>- Prescriptions générales</w:t>
      </w:r>
    </w:p>
    <w:p w14:paraId="541E4773" w14:textId="77777777" w:rsidR="00DB2B68" w:rsidRDefault="00000000">
      <w:r>
        <w:t xml:space="preserve">L'étude est à charge </w:t>
      </w:r>
      <w:r>
        <w:rPr>
          <w:rStyle w:val="optioncarChar"/>
        </w:rPr>
        <w:t xml:space="preserve">de l'entrepreneur </w:t>
      </w:r>
      <w:r>
        <w:t>(par défaut) </w:t>
      </w:r>
      <w:r>
        <w:rPr>
          <w:rStyle w:val="optioncarChar"/>
        </w:rPr>
        <w:t>/ du maître de  l'ouvrage / du bureau d’étude </w:t>
      </w:r>
      <w:r>
        <w:t xml:space="preserve">( </w:t>
      </w:r>
      <w:hyperlink w:anchor="87" w:history="1">
        <w:r>
          <w:rPr>
            <w:color w:val="0000EE"/>
          </w:rPr>
          <w:t>22 Superstructures en béton</w:t>
        </w:r>
      </w:hyperlink>
      <w:r>
        <w:t xml:space="preserve"> ).</w:t>
      </w:r>
      <w:r>
        <w:br/>
        <w:t xml:space="preserve">Les éléments en encorbellement sont coulés sur place en </w:t>
      </w:r>
      <w:r>
        <w:rPr>
          <w:rStyle w:val="optioncarChar"/>
        </w:rPr>
        <w:t>une seule</w:t>
      </w:r>
      <w:r>
        <w:t xml:space="preserve">(par défaut) </w:t>
      </w:r>
      <w:r>
        <w:rPr>
          <w:rStyle w:val="optioncarChar"/>
        </w:rPr>
        <w:t>/ ***</w:t>
      </w:r>
      <w:r>
        <w:t xml:space="preserve"> fois.</w:t>
      </w:r>
      <w:r>
        <w:br/>
        <w:t xml:space="preserve">Le décoffrage se fait au plus tôt </w:t>
      </w:r>
      <w:r>
        <w:rPr>
          <w:rStyle w:val="optioncarChar"/>
        </w:rPr>
        <w:t>***</w:t>
      </w:r>
      <w:r>
        <w:t xml:space="preserve"> jours </w:t>
      </w:r>
      <w:r>
        <w:rPr>
          <w:rStyle w:val="optioncarChar"/>
        </w:rPr>
        <w:t>après le coulage du béton / selon les directives de l’ingénieur</w:t>
      </w:r>
      <w:r>
        <w:t xml:space="preserve"> .</w:t>
      </w:r>
    </w:p>
    <w:p w14:paraId="28A7F141" w14:textId="77777777" w:rsidR="00DB2B68" w:rsidRDefault="00000000">
      <w:pPr>
        <w:pStyle w:val="pheading"/>
      </w:pPr>
      <w:r>
        <w:t>- Notes d’exécution complémentaires</w:t>
      </w:r>
    </w:p>
    <w:p w14:paraId="4DDF025C" w14:textId="77777777" w:rsidR="00DB2B68" w:rsidRDefault="00000000">
      <w:r>
        <w:t>Raccords visibles : joint en forme de</w:t>
      </w:r>
      <w:r>
        <w:rPr>
          <w:rStyle w:val="optioncarChar"/>
        </w:rPr>
        <w:t> V </w:t>
      </w:r>
      <w:r>
        <w:t>(par défaut)</w:t>
      </w:r>
      <w:r>
        <w:rPr>
          <w:rStyle w:val="optioncarChar"/>
        </w:rPr>
        <w:t xml:space="preserve"> /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7F6A62A7" w14:textId="77777777" w:rsidR="00DB2B68" w:rsidRDefault="00000000">
      <w:pPr>
        <w:pStyle w:val="pheading"/>
      </w:pPr>
      <w:r>
        <w:t>MESURAGE</w:t>
      </w:r>
    </w:p>
    <w:p w14:paraId="2F579BB4" w14:textId="77777777" w:rsidR="00DB2B68" w:rsidRDefault="00000000">
      <w:r>
        <w:rPr>
          <w:color w:val="FF0000"/>
        </w:rPr>
        <w:t xml:space="preserve">Mesurage </w:t>
      </w:r>
    </w:p>
    <w:p w14:paraId="4EFD05C2" w14:textId="77777777" w:rsidR="00DB2B68" w:rsidRDefault="00000000">
      <w:pPr>
        <w:pStyle w:val="pheading"/>
      </w:pPr>
      <w:r>
        <w:t>- unité de mesure:</w:t>
      </w:r>
    </w:p>
    <w:p w14:paraId="5BD2B43F" w14:textId="77777777" w:rsidR="00DB2B68" w:rsidRDefault="00000000">
      <w:r>
        <w:t>m³ pour le béton</w:t>
      </w:r>
      <w:r>
        <w:br/>
        <w:t>kg pour les barres d’armatures</w:t>
      </w:r>
      <w:r>
        <w:br/>
        <w:t>PM, coffrages</w:t>
      </w:r>
    </w:p>
    <w:p w14:paraId="3D59CDBF" w14:textId="77777777" w:rsidR="00DB2B68" w:rsidRDefault="00000000">
      <w:pPr>
        <w:pStyle w:val="pheading"/>
      </w:pPr>
      <w:r>
        <w:t>- nature du marché:</w:t>
      </w:r>
    </w:p>
    <w:p w14:paraId="3936F1B4" w14:textId="77777777" w:rsidR="00DB2B68" w:rsidRDefault="00000000">
      <w:r>
        <w:t>QF</w:t>
      </w:r>
    </w:p>
    <w:p w14:paraId="0BE34DA7" w14:textId="77777777" w:rsidR="00DB2B68" w:rsidRDefault="00000000">
      <w:pPr>
        <w:pStyle w:val="Author-eSectionHeading5Numberless"/>
      </w:pPr>
      <w:bookmarkStart w:id="853" w:name="_Toc220495902"/>
      <w:r>
        <w:t>22.32.2 Garde-corps et rampes en béton apparent (esthétique) coulé en place CCTB 01.04</w:t>
      </w:r>
      <w:bookmarkEnd w:id="853"/>
    </w:p>
    <w:p w14:paraId="2A26A92E" w14:textId="77777777" w:rsidR="00DB2B68" w:rsidRDefault="00000000">
      <w:pPr>
        <w:pStyle w:val="Author-eSectionHeading6Numberless"/>
      </w:pPr>
      <w:bookmarkStart w:id="854" w:name="_Toc220495903"/>
      <w:r>
        <w:t>22.32.2a Garde-corps et rampes en béton apparent (esthétique) coulé en place CCTB 01.13</w:t>
      </w:r>
      <w:bookmarkEnd w:id="854"/>
    </w:p>
    <w:p w14:paraId="28351551" w14:textId="77777777" w:rsidR="00DB2B68" w:rsidRDefault="00000000">
      <w:pPr>
        <w:pStyle w:val="pheading"/>
      </w:pPr>
      <w:r>
        <w:t>MATÉRIAUX</w:t>
      </w:r>
    </w:p>
    <w:p w14:paraId="177F8278" w14:textId="77777777" w:rsidR="00DB2B68" w:rsidRDefault="00000000">
      <w:pPr>
        <w:pStyle w:val="pheading"/>
      </w:pPr>
      <w:r>
        <w:t>- Caractéristiques générales</w:t>
      </w:r>
    </w:p>
    <w:p w14:paraId="11BCF85C" w14:textId="77777777" w:rsidR="00DB2B68" w:rsidRDefault="00000000">
      <w:pPr>
        <w:pStyle w:val="heading"/>
      </w:pPr>
      <w:r>
        <w:t>Spécifications</w:t>
      </w:r>
    </w:p>
    <w:p w14:paraId="19908ED5" w14:textId="77777777" w:rsidR="00DB2B68" w:rsidRDefault="00000000">
      <w:r>
        <w:t xml:space="preserve">Qualité du béton selon la [NBN EN 206:2013+A2] et la [NBN B 15-001] (voir également </w:t>
      </w:r>
      <w:hyperlink w:anchor="87" w:history="1">
        <w:r>
          <w:rPr>
            <w:color w:val="0000EE"/>
          </w:rPr>
          <w:t>22 Superstructures en béton</w:t>
        </w:r>
      </w:hyperlink>
      <w:r>
        <w:t>) .</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B2B68" w14:paraId="19C9A781" w14:textId="77777777">
        <w:tc>
          <w:tcPr>
            <w:tcW w:w="1500" w:type="dxa"/>
            <w:noWrap/>
          </w:tcPr>
          <w:p w14:paraId="59C437B3" w14:textId="77777777" w:rsidR="00DB2B68" w:rsidRDefault="00000000">
            <w:pPr>
              <w:jc w:val="center"/>
            </w:pPr>
            <w:r>
              <w:rPr>
                <w:b/>
              </w:rPr>
              <w:t>A</w:t>
            </w:r>
          </w:p>
        </w:tc>
        <w:tc>
          <w:tcPr>
            <w:tcW w:w="1500" w:type="dxa"/>
            <w:noWrap/>
          </w:tcPr>
          <w:p w14:paraId="5799C251" w14:textId="77777777" w:rsidR="00DB2B68" w:rsidRDefault="00000000">
            <w:pPr>
              <w:jc w:val="center"/>
            </w:pPr>
            <w:r>
              <w:rPr>
                <w:b/>
              </w:rPr>
              <w:t>B1</w:t>
            </w:r>
          </w:p>
        </w:tc>
        <w:tc>
          <w:tcPr>
            <w:tcW w:w="1500" w:type="dxa"/>
            <w:noWrap/>
          </w:tcPr>
          <w:p w14:paraId="40C073AB" w14:textId="77777777" w:rsidR="00DB2B68" w:rsidRDefault="00000000">
            <w:pPr>
              <w:jc w:val="center"/>
            </w:pPr>
            <w:r>
              <w:rPr>
                <w:b/>
              </w:rPr>
              <w:t>B2</w:t>
            </w:r>
          </w:p>
        </w:tc>
        <w:tc>
          <w:tcPr>
            <w:tcW w:w="1500" w:type="dxa"/>
            <w:noWrap/>
          </w:tcPr>
          <w:p w14:paraId="32224395" w14:textId="77777777" w:rsidR="00DB2B68" w:rsidRDefault="00000000">
            <w:pPr>
              <w:jc w:val="center"/>
            </w:pPr>
            <w:r>
              <w:rPr>
                <w:b/>
              </w:rPr>
              <w:t>C</w:t>
            </w:r>
          </w:p>
        </w:tc>
        <w:tc>
          <w:tcPr>
            <w:tcW w:w="1500" w:type="dxa"/>
            <w:noWrap/>
          </w:tcPr>
          <w:p w14:paraId="67878A83" w14:textId="77777777" w:rsidR="00DB2B68" w:rsidRDefault="00000000">
            <w:pPr>
              <w:jc w:val="center"/>
            </w:pPr>
            <w:r>
              <w:rPr>
                <w:b/>
              </w:rPr>
              <w:t>D</w:t>
            </w:r>
          </w:p>
        </w:tc>
        <w:tc>
          <w:tcPr>
            <w:tcW w:w="1500" w:type="dxa"/>
            <w:noWrap/>
          </w:tcPr>
          <w:p w14:paraId="55D9A632" w14:textId="77777777" w:rsidR="00DB2B68" w:rsidRDefault="00000000">
            <w:pPr>
              <w:jc w:val="center"/>
            </w:pPr>
            <w:r>
              <w:rPr>
                <w:b/>
              </w:rPr>
              <w:t>E</w:t>
            </w:r>
          </w:p>
        </w:tc>
      </w:tr>
      <w:tr w:rsidR="00DB2B68" w14:paraId="3A27D919" w14:textId="77777777">
        <w:tc>
          <w:tcPr>
            <w:tcW w:w="1500" w:type="dxa"/>
            <w:noWrap/>
          </w:tcPr>
          <w:p w14:paraId="682BC372" w14:textId="77777777" w:rsidR="00DB2B68" w:rsidRDefault="00000000">
            <w:pPr>
              <w:jc w:val="center"/>
            </w:pPr>
            <w:r>
              <w:rPr>
                <w:b/>
              </w:rPr>
              <w:t>Classe de résistance</w:t>
            </w:r>
          </w:p>
        </w:tc>
        <w:tc>
          <w:tcPr>
            <w:tcW w:w="1500" w:type="dxa"/>
            <w:noWrap/>
          </w:tcPr>
          <w:p w14:paraId="71F5E678" w14:textId="77777777" w:rsidR="00DB2B68" w:rsidRDefault="00000000">
            <w:pPr>
              <w:jc w:val="center"/>
            </w:pPr>
            <w:r>
              <w:rPr>
                <w:b/>
              </w:rPr>
              <w:t>Domaine d’application</w:t>
            </w:r>
          </w:p>
        </w:tc>
        <w:tc>
          <w:tcPr>
            <w:tcW w:w="1500" w:type="dxa"/>
            <w:noWrap/>
          </w:tcPr>
          <w:p w14:paraId="019785AE" w14:textId="77777777" w:rsidR="00DB2B68" w:rsidRDefault="00000000">
            <w:pPr>
              <w:jc w:val="center"/>
            </w:pPr>
            <w:r>
              <w:rPr>
                <w:b/>
              </w:rPr>
              <w:t>Classe d'environnement</w:t>
            </w:r>
          </w:p>
        </w:tc>
        <w:tc>
          <w:tcPr>
            <w:tcW w:w="1500" w:type="dxa"/>
            <w:noWrap/>
          </w:tcPr>
          <w:p w14:paraId="2CF00FE5" w14:textId="77777777" w:rsidR="00DB2B68" w:rsidRDefault="00000000">
            <w:pPr>
              <w:jc w:val="center"/>
            </w:pPr>
            <w:r>
              <w:rPr>
                <w:b/>
              </w:rPr>
              <w:t>Classe de consistance</w:t>
            </w:r>
          </w:p>
        </w:tc>
        <w:tc>
          <w:tcPr>
            <w:tcW w:w="1500" w:type="dxa"/>
            <w:noWrap/>
          </w:tcPr>
          <w:p w14:paraId="109E9A10" w14:textId="77777777" w:rsidR="00DB2B68" w:rsidRDefault="00000000">
            <w:pPr>
              <w:jc w:val="center"/>
            </w:pPr>
            <w:r>
              <w:rPr>
                <w:b/>
              </w:rPr>
              <w:t>Granulométrie maximale</w:t>
            </w:r>
          </w:p>
        </w:tc>
        <w:tc>
          <w:tcPr>
            <w:tcW w:w="1500" w:type="dxa"/>
            <w:noWrap/>
          </w:tcPr>
          <w:p w14:paraId="2F891CEF" w14:textId="77777777" w:rsidR="00DB2B68" w:rsidRDefault="00000000">
            <w:r>
              <w:rPr>
                <w:b/>
              </w:rPr>
              <w:t>Données complémentaires</w:t>
            </w:r>
          </w:p>
        </w:tc>
      </w:tr>
      <w:tr w:rsidR="00DB2B68" w14:paraId="46455FB5" w14:textId="77777777">
        <w:tc>
          <w:tcPr>
            <w:tcW w:w="1500" w:type="dxa"/>
            <w:noWrap/>
          </w:tcPr>
          <w:p w14:paraId="25C0753A" w14:textId="77777777" w:rsidR="00DB2B68" w:rsidRDefault="00000000">
            <w:pPr>
              <w:jc w:val="center"/>
            </w:pPr>
            <w:r>
              <w:rPr>
                <w:rStyle w:val="optioncarChar"/>
              </w:rPr>
              <w:t xml:space="preserve">C25/30 / C30/37 / C35/45 / C45/55 / C50/60 / C55/67 / </w:t>
            </w:r>
            <w:r>
              <w:rPr>
                <w:rStyle w:val="optioncarChar"/>
              </w:rPr>
              <w:lastRenderedPageBreak/>
              <w:t>C60/75 / C70/85 / C80/95 / C90/105</w:t>
            </w:r>
          </w:p>
        </w:tc>
        <w:tc>
          <w:tcPr>
            <w:tcW w:w="1500" w:type="dxa"/>
            <w:noWrap/>
          </w:tcPr>
          <w:p w14:paraId="635E0BD5" w14:textId="77777777" w:rsidR="00DB2B68" w:rsidRDefault="00000000">
            <w:pPr>
              <w:jc w:val="center"/>
            </w:pPr>
            <w:r>
              <w:lastRenderedPageBreak/>
              <w:t>Béton armé</w:t>
            </w:r>
          </w:p>
          <w:p w14:paraId="29F8DB73" w14:textId="77777777" w:rsidR="00DB2B68" w:rsidRDefault="00000000">
            <w:pPr>
              <w:jc w:val="center"/>
            </w:pPr>
            <w:r>
              <w:t> </w:t>
            </w:r>
          </w:p>
        </w:tc>
        <w:tc>
          <w:tcPr>
            <w:tcW w:w="1500" w:type="dxa"/>
            <w:noWrap/>
          </w:tcPr>
          <w:p w14:paraId="4B0781ED" w14:textId="77777777" w:rsidR="00DB2B68" w:rsidRDefault="00000000">
            <w:pPr>
              <w:jc w:val="center"/>
            </w:pPr>
            <w:r>
              <w:rPr>
                <w:rStyle w:val="optioncarChar"/>
              </w:rPr>
              <w:t xml:space="preserve">E0 / EI / EE1 / EE2 / EE3 / EE4 / ES1 / ES2 / ES3 / ES4 / EA1+*** / EA2+***/ </w:t>
            </w:r>
            <w:r>
              <w:rPr>
                <w:rStyle w:val="optioncarChar"/>
              </w:rPr>
              <w:lastRenderedPageBreak/>
              <w:t>EA3+***</w:t>
            </w:r>
          </w:p>
        </w:tc>
        <w:tc>
          <w:tcPr>
            <w:tcW w:w="1500" w:type="dxa"/>
            <w:noWrap/>
          </w:tcPr>
          <w:p w14:paraId="7A102EF2" w14:textId="77777777" w:rsidR="00DB2B68" w:rsidRDefault="00000000">
            <w:pPr>
              <w:jc w:val="center"/>
            </w:pPr>
            <w:r>
              <w:lastRenderedPageBreak/>
              <w:t>au choix de l'entrepreneur :</w:t>
            </w:r>
          </w:p>
          <w:p w14:paraId="59E5EF8D" w14:textId="77777777" w:rsidR="00DB2B68" w:rsidRDefault="00000000">
            <w:pPr>
              <w:jc w:val="center"/>
            </w:pPr>
            <w:r>
              <w:rPr>
                <w:rStyle w:val="optioncarChar"/>
              </w:rPr>
              <w:t>S3 / S4 / S5 </w:t>
            </w:r>
            <w:r>
              <w:br/>
            </w:r>
          </w:p>
          <w:p w14:paraId="6523D4F4" w14:textId="77777777" w:rsidR="00DB2B68" w:rsidRDefault="00000000">
            <w:pPr>
              <w:jc w:val="center"/>
            </w:pPr>
            <w:r>
              <w:rPr>
                <w:rStyle w:val="optioncarChar"/>
              </w:rPr>
              <w:t>F3 / F4 / F5 / F6</w:t>
            </w:r>
            <w:r>
              <w:br/>
            </w:r>
          </w:p>
        </w:tc>
        <w:tc>
          <w:tcPr>
            <w:tcW w:w="1500" w:type="dxa"/>
            <w:noWrap/>
          </w:tcPr>
          <w:p w14:paraId="2AAD8197" w14:textId="77777777" w:rsidR="00DB2B68" w:rsidRDefault="00000000">
            <w:pPr>
              <w:jc w:val="center"/>
            </w:pPr>
            <w:r>
              <w:t>au choix de l'entrepreneur :</w:t>
            </w:r>
          </w:p>
          <w:p w14:paraId="5D513560" w14:textId="77777777" w:rsidR="00DB2B68" w:rsidRDefault="00000000">
            <w:pPr>
              <w:jc w:val="center"/>
            </w:pPr>
            <w:r>
              <w:rPr>
                <w:rStyle w:val="optioncarChar"/>
              </w:rPr>
              <w:t>6 / 8 / 10 / 11 / 12 / 14 / 16 / 20 / 22 / 32</w:t>
            </w:r>
            <w:r>
              <w:t xml:space="preserve"> mm</w:t>
            </w:r>
          </w:p>
        </w:tc>
        <w:tc>
          <w:tcPr>
            <w:tcW w:w="1500" w:type="dxa"/>
            <w:noWrap/>
          </w:tcPr>
          <w:p w14:paraId="0F799492" w14:textId="77777777" w:rsidR="00DB2B68" w:rsidRDefault="00000000">
            <w:pPr>
              <w:jc w:val="center"/>
            </w:pPr>
            <w:r>
              <w:rPr>
                <w:rStyle w:val="optioncarChar"/>
              </w:rPr>
              <w:t>***</w:t>
            </w:r>
          </w:p>
        </w:tc>
      </w:tr>
    </w:tbl>
    <w:p w14:paraId="6E758535"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2D843605" w14:textId="77777777" w:rsidR="00DB2B68" w:rsidRDefault="00000000">
      <w:pPr>
        <w:pStyle w:val="Author-eListParagraph"/>
        <w:numPr>
          <w:ilvl w:val="0"/>
          <w:numId w:val="593"/>
        </w:numPr>
      </w:pPr>
      <w:r>
        <w:t xml:space="preserve">Classe de viscosité apparente : </w:t>
      </w:r>
      <w:r>
        <w:rPr>
          <w:rStyle w:val="optioncarChar"/>
        </w:rPr>
        <w:t>VS1 / VS2</w:t>
      </w:r>
      <w:r>
        <w:t xml:space="preserve"> (selon la [NBN EN 12350-8] )</w:t>
      </w:r>
    </w:p>
    <w:p w14:paraId="441929B8" w14:textId="77777777" w:rsidR="00DB2B68" w:rsidRDefault="00000000">
      <w:pPr>
        <w:pStyle w:val="Author-eListParagraph"/>
        <w:numPr>
          <w:ilvl w:val="0"/>
          <w:numId w:val="59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46251C3" w14:textId="77777777" w:rsidR="00DB2B68" w:rsidRDefault="00000000">
      <w:pPr>
        <w:pStyle w:val="Author-eListParagraph"/>
        <w:numPr>
          <w:ilvl w:val="0"/>
          <w:numId w:val="59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AE7581F"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 (voir </w:t>
      </w:r>
      <w:hyperlink w:anchor="232" w:history="1">
        <w:r>
          <w:rPr>
            <w:color w:val="0000EE"/>
          </w:rPr>
          <w:t>22.51 Armatures pour béton</w:t>
        </w:r>
      </w:hyperlink>
      <w:r>
        <w:t>)</w:t>
      </w:r>
    </w:p>
    <w:p w14:paraId="382C4C2B" w14:textId="77777777" w:rsidR="00DB2B68" w:rsidRDefault="00000000">
      <w:pPr>
        <w:pStyle w:val="Author-eListParagraph"/>
        <w:numPr>
          <w:ilvl w:val="0"/>
          <w:numId w:val="59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672DC39" w14:textId="77777777" w:rsidR="00DB2B68" w:rsidRDefault="00000000">
      <w:pPr>
        <w:pStyle w:val="Author-eListParagraph"/>
        <w:numPr>
          <w:ilvl w:val="0"/>
          <w:numId w:val="59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F773EF0" w14:textId="77777777" w:rsidR="00DB2B68" w:rsidRDefault="00000000">
      <w:pPr>
        <w:pStyle w:val="Author-eListParagraph"/>
        <w:numPr>
          <w:ilvl w:val="0"/>
          <w:numId w:val="594"/>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 </w:t>
      </w:r>
      <w:r>
        <w:rPr>
          <w:rStyle w:val="optioncarChar"/>
        </w:rPr>
        <w:t>/ ***x***x***x***</w:t>
      </w:r>
      <w:r>
        <w:t xml:space="preserve"> mm.</w:t>
      </w:r>
    </w:p>
    <w:p w14:paraId="2CB65AED" w14:textId="77777777" w:rsidR="00DB2B68" w:rsidRDefault="00000000">
      <w:r>
        <w:t> </w:t>
      </w:r>
    </w:p>
    <w:p w14:paraId="6ACAF27D" w14:textId="77777777" w:rsidR="00DB2B68" w:rsidRDefault="00000000">
      <w:pPr>
        <w:pStyle w:val="pheading"/>
      </w:pPr>
      <w:r>
        <w:t>- Finitions</w:t>
      </w:r>
    </w:p>
    <w:p w14:paraId="06C58EB0"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63FFB15B" w14:textId="77777777" w:rsidR="00DB2B68"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486" w:history="1">
        <w:r>
          <w:rPr>
            <w:color w:val="0000EE"/>
          </w:rPr>
          <w:t>22.71 Traitements esthétiques ou de surface</w:t>
        </w:r>
      </w:hyperlink>
      <w:r>
        <w:t>.</w:t>
      </w:r>
    </w:p>
    <w:p w14:paraId="6343CB78" w14:textId="77777777" w:rsidR="00DB2B68"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3AE1AB83"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7E7D9029" w14:textId="77777777" w:rsidR="00DB2B68" w:rsidRDefault="00000000">
      <w:pPr>
        <w:pStyle w:val="Author-eListParagraph"/>
        <w:numPr>
          <w:ilvl w:val="0"/>
          <w:numId w:val="595"/>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210715A" w14:textId="77777777" w:rsidR="00DB2B68" w:rsidRDefault="00000000">
      <w:pPr>
        <w:pStyle w:val="Author-eListParagraph"/>
        <w:numPr>
          <w:ilvl w:val="0"/>
          <w:numId w:val="595"/>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3BD9584C" w14:textId="77777777" w:rsidR="00DB2B68" w:rsidRDefault="00000000">
      <w:pPr>
        <w:pStyle w:val="Author-eListParagraph"/>
        <w:numPr>
          <w:ilvl w:val="0"/>
          <w:numId w:val="595"/>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C1D23D8" w14:textId="77777777" w:rsidR="00DB2B68" w:rsidRDefault="00000000">
      <w:pPr>
        <w:pStyle w:val="Author-eListParagraph"/>
        <w:numPr>
          <w:ilvl w:val="0"/>
          <w:numId w:val="595"/>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24F4CCD8" w14:textId="77777777" w:rsidR="00DB2B68" w:rsidRDefault="00000000">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5E6336DC" w14:textId="77777777" w:rsidR="00DB2B68" w:rsidRDefault="00000000">
      <w:pPr>
        <w:pStyle w:val="pheading"/>
      </w:pPr>
      <w:r>
        <w:lastRenderedPageBreak/>
        <w:t>EXÉCUTION / MISE EN ŒUVRE</w:t>
      </w:r>
    </w:p>
    <w:p w14:paraId="1F3C7F33" w14:textId="77777777" w:rsidR="00DB2B68" w:rsidRDefault="00000000">
      <w:pPr>
        <w:pStyle w:val="pheading"/>
      </w:pPr>
      <w:r>
        <w:t>- Prescriptions générales</w:t>
      </w:r>
    </w:p>
    <w:p w14:paraId="6EE882DE" w14:textId="77777777" w:rsidR="00DB2B68" w:rsidRDefault="00000000">
      <w:r>
        <w:t xml:space="preserve">L'étude est à charge </w:t>
      </w:r>
      <w:r>
        <w:rPr>
          <w:rStyle w:val="optioncarChar"/>
        </w:rPr>
        <w:t xml:space="preserve">/ de l'entrepreneur </w:t>
      </w:r>
      <w:r>
        <w:t>(par défaut) </w:t>
      </w:r>
      <w:r>
        <w:rPr>
          <w:rStyle w:val="optioncarChar"/>
        </w:rPr>
        <w:t>/ du maître de  l'ouvrage / du bureau d’étude </w:t>
      </w:r>
      <w:r>
        <w:t xml:space="preserve">( </w:t>
      </w:r>
      <w:hyperlink w:anchor="87" w:history="1">
        <w:r>
          <w:rPr>
            <w:color w:val="0000EE"/>
          </w:rPr>
          <w:t>22 Superstructures en béton</w:t>
        </w:r>
      </w:hyperlink>
      <w:r>
        <w:t xml:space="preserve"> ).</w:t>
      </w:r>
      <w:r>
        <w:br/>
        <w:t xml:space="preserve">Les éléments en encorbellement sont coulés sur place en </w:t>
      </w:r>
      <w:r>
        <w:rPr>
          <w:rStyle w:val="optioncarChar"/>
        </w:rPr>
        <w:t>une seule </w:t>
      </w:r>
      <w:r>
        <w:t>(par défaut)</w:t>
      </w:r>
      <w:r>
        <w:rPr>
          <w:rStyle w:val="optioncarChar"/>
        </w:rPr>
        <w:t xml:space="preserve"> / *** </w:t>
      </w:r>
      <w:r>
        <w:t>fois.</w:t>
      </w:r>
      <w:r>
        <w:br/>
        <w:t xml:space="preserve">Le décoffrage se fait au plus tôt </w:t>
      </w:r>
      <w:r>
        <w:rPr>
          <w:rStyle w:val="optioncarChar"/>
        </w:rPr>
        <w:t>***</w:t>
      </w:r>
      <w:r>
        <w:t xml:space="preserve"> jours </w:t>
      </w:r>
      <w:r>
        <w:rPr>
          <w:rStyle w:val="optioncarChar"/>
        </w:rPr>
        <w:t>après le coulage du béton / selon les directives de l’ingénieur</w:t>
      </w:r>
      <w:r>
        <w:t xml:space="preserve"> .</w:t>
      </w:r>
    </w:p>
    <w:p w14:paraId="68F17974" w14:textId="77777777" w:rsidR="00DB2B68" w:rsidRDefault="00000000">
      <w:pPr>
        <w:pStyle w:val="pheading"/>
      </w:pPr>
      <w:r>
        <w:t>- Notes d’exécution complémentaires</w:t>
      </w:r>
    </w:p>
    <w:p w14:paraId="12CD4C42" w14:textId="77777777" w:rsidR="00DB2B68" w:rsidRDefault="00000000">
      <w:pPr>
        <w:pStyle w:val="Author-eListParagraph"/>
        <w:numPr>
          <w:ilvl w:val="0"/>
          <w:numId w:val="596"/>
        </w:numPr>
      </w:pPr>
      <w:r>
        <w:t>Raccords visibles : joint en forme de</w:t>
      </w:r>
      <w:r>
        <w:rPr>
          <w:rStyle w:val="optioncarChar"/>
        </w:rPr>
        <w:t> V </w:t>
      </w:r>
      <w:r>
        <w:t>(par défaut)</w:t>
      </w:r>
      <w:r>
        <w:rPr>
          <w:rStyle w:val="optioncarChar"/>
        </w:rPr>
        <w:t xml:space="preserve"> / *** </w:t>
      </w:r>
    </w:p>
    <w:p w14:paraId="68F32FC7" w14:textId="77777777" w:rsidR="00DB2B68" w:rsidRDefault="00000000">
      <w:pPr>
        <w:pStyle w:val="Author-eListParagraph"/>
        <w:numPr>
          <w:ilvl w:val="0"/>
          <w:numId w:val="596"/>
        </w:numPr>
      </w:pPr>
      <w:r>
        <w:t>Joints de reprise :</w:t>
      </w:r>
      <w:r>
        <w:rPr>
          <w:rStyle w:val="optioncarChar"/>
        </w:rPr>
        <w:t xml:space="preserve"> ***</w:t>
      </w:r>
    </w:p>
    <w:p w14:paraId="547CE126" w14:textId="77777777" w:rsidR="00DB2B68" w:rsidRDefault="00000000">
      <w:pPr>
        <w:pStyle w:val="Author-eListParagraph"/>
        <w:numPr>
          <w:ilvl w:val="0"/>
          <w:numId w:val="596"/>
        </w:numPr>
      </w:pPr>
      <w:r>
        <w:t>Ancrages : à rupture thermique - système à soumettre pour approbation</w:t>
      </w:r>
    </w:p>
    <w:p w14:paraId="55D6524F" w14:textId="77777777" w:rsidR="00DB2B68" w:rsidRDefault="00000000">
      <w:pPr>
        <w:pStyle w:val="Author-eListParagraph"/>
        <w:numPr>
          <w:ilvl w:val="0"/>
          <w:numId w:val="596"/>
        </w:numPr>
      </w:pPr>
      <w:r>
        <w:t xml:space="preserve">Ponts d'humidité / étanchéité à l'eau : </w:t>
      </w:r>
      <w:r>
        <w:rPr>
          <w:rStyle w:val="optioncarChar"/>
        </w:rPr>
        <w:t>***</w:t>
      </w:r>
    </w:p>
    <w:p w14:paraId="1A2082EF" w14:textId="77777777" w:rsidR="00DB2B68" w:rsidRDefault="00000000">
      <w:pPr>
        <w:pStyle w:val="Author-eListParagraph"/>
        <w:numPr>
          <w:ilvl w:val="0"/>
          <w:numId w:val="596"/>
        </w:numPr>
      </w:pPr>
      <w:r>
        <w:t xml:space="preserve">Ponts thermiques / isolation thermique : </w:t>
      </w:r>
      <w:r>
        <w:rPr>
          <w:rStyle w:val="optioncarChar"/>
        </w:rPr>
        <w:t>***</w:t>
      </w:r>
    </w:p>
    <w:p w14:paraId="6C4BC351" w14:textId="77777777" w:rsidR="00DB2B68" w:rsidRDefault="00000000">
      <w:pPr>
        <w:pStyle w:val="Author-eListParagraph"/>
        <w:numPr>
          <w:ilvl w:val="0"/>
          <w:numId w:val="596"/>
        </w:numPr>
      </w:pPr>
      <w:r>
        <w:t xml:space="preserve">Réservations / pénétrations : </w:t>
      </w:r>
      <w:r>
        <w:rPr>
          <w:rStyle w:val="optioncarChar"/>
        </w:rPr>
        <w:t>***</w:t>
      </w:r>
    </w:p>
    <w:p w14:paraId="3190F8FB" w14:textId="77777777" w:rsidR="00DB2B68" w:rsidRDefault="00000000">
      <w:pPr>
        <w:pStyle w:val="pheading"/>
      </w:pPr>
      <w:r>
        <w:t>MESURAGE</w:t>
      </w:r>
    </w:p>
    <w:p w14:paraId="21AC8715" w14:textId="77777777" w:rsidR="00DB2B68" w:rsidRDefault="00000000">
      <w:r>
        <w:rPr>
          <w:color w:val="FF0000"/>
        </w:rPr>
        <w:t xml:space="preserve">Mesurage </w:t>
      </w:r>
    </w:p>
    <w:p w14:paraId="72C6F88F" w14:textId="77777777" w:rsidR="00DB2B68" w:rsidRDefault="00000000">
      <w:pPr>
        <w:pStyle w:val="pheading"/>
      </w:pPr>
      <w:r>
        <w:t>- unité de mesure:</w:t>
      </w:r>
    </w:p>
    <w:p w14:paraId="563A6E2C" w14:textId="77777777" w:rsidR="00DB2B68" w:rsidRDefault="00000000">
      <w:r>
        <w:t>m³ pour le béton</w:t>
      </w:r>
      <w:r>
        <w:br/>
        <w:t>kg pour les barres d’armatures</w:t>
      </w:r>
      <w:r>
        <w:br/>
        <w:t>PM, coffrages</w:t>
      </w:r>
    </w:p>
    <w:p w14:paraId="1AA1814D" w14:textId="77777777" w:rsidR="00DB2B68" w:rsidRDefault="00000000">
      <w:pPr>
        <w:pStyle w:val="pheading"/>
      </w:pPr>
      <w:r>
        <w:t>- nature du marché:</w:t>
      </w:r>
    </w:p>
    <w:p w14:paraId="40EA2F5B" w14:textId="77777777" w:rsidR="00DB2B68" w:rsidRDefault="00000000">
      <w:r>
        <w:t>QF</w:t>
      </w:r>
    </w:p>
    <w:p w14:paraId="73277B5D" w14:textId="77777777" w:rsidR="00DB2B68" w:rsidRDefault="00000000">
      <w:pPr>
        <w:pStyle w:val="Author-eSectionHeading5Numberless"/>
      </w:pPr>
      <w:bookmarkStart w:id="855" w:name="_Toc220495904"/>
      <w:r>
        <w:t>22.32.3 Garde-corps et rampes préfabriqués en béton CCTB 01.13</w:t>
      </w:r>
      <w:bookmarkEnd w:id="855"/>
    </w:p>
    <w:p w14:paraId="4CB49FA9" w14:textId="77777777" w:rsidR="00DB2B68" w:rsidRDefault="00000000">
      <w:pPr>
        <w:pStyle w:val="pheading"/>
      </w:pPr>
      <w:r>
        <w:t>DESCRIPTION</w:t>
      </w:r>
    </w:p>
    <w:p w14:paraId="485E006B" w14:textId="77777777" w:rsidR="00DB2B68" w:rsidRDefault="00000000">
      <w:pPr>
        <w:pStyle w:val="pheading"/>
      </w:pPr>
      <w:r>
        <w:t>- Définition / Comprend</w:t>
      </w:r>
    </w:p>
    <w:p w14:paraId="5942E388" w14:textId="77777777" w:rsidR="00DB2B68" w:rsidRDefault="00000000">
      <w:r>
        <w:t xml:space="preserve">Il s'agit de tous les éléments en encorbellement : </w:t>
      </w:r>
      <w:r>
        <w:rPr>
          <w:rStyle w:val="optioncarChar"/>
        </w:rPr>
        <w:t>balcons / galeries / corniches / auvents</w:t>
      </w:r>
      <w:r>
        <w:t xml:space="preserve"> qui sont préfabriqués et sont ensuite intégrés dans la construction portante avec les moyens appropriés.</w:t>
      </w:r>
    </w:p>
    <w:p w14:paraId="761FD05D" w14:textId="77777777" w:rsidR="00DB2B68" w:rsidRDefault="00000000">
      <w:pPr>
        <w:pStyle w:val="pheading"/>
      </w:pPr>
      <w:r>
        <w:t>MATÉRIAUX</w:t>
      </w:r>
    </w:p>
    <w:p w14:paraId="3D897892" w14:textId="77777777" w:rsidR="00DB2B68" w:rsidRDefault="00000000">
      <w:r>
        <w:t xml:space="preserve">L’ensemble des matériaux, des éléments de support et des assemblages doivent satisfaire aux charges d’exploitation et à la classe d’exposition indiquées préalablement (voir également l’art. </w:t>
      </w:r>
      <w:hyperlink w:anchor="87" w:history="1">
        <w:r>
          <w:rPr>
            <w:color w:val="0000EE"/>
          </w:rPr>
          <w:t>22 Superstructures en béton</w:t>
        </w:r>
      </w:hyperlink>
      <w:r>
        <w:t>).</w:t>
      </w:r>
    </w:p>
    <w:p w14:paraId="5DE34B62" w14:textId="77777777" w:rsidR="00DB2B68" w:rsidRDefault="00000000">
      <w:pPr>
        <w:pStyle w:val="heading"/>
      </w:pPr>
      <w:r>
        <w:t>Spécifications</w:t>
      </w:r>
    </w:p>
    <w:p w14:paraId="73CFE057" w14:textId="77777777" w:rsidR="00DB2B68" w:rsidRDefault="00000000">
      <w:pPr>
        <w:pStyle w:val="Author-eListParagraph"/>
        <w:numPr>
          <w:ilvl w:val="0"/>
          <w:numId w:val="597"/>
        </w:numPr>
      </w:pPr>
      <w:r>
        <w:t>Conformes à la [NBN EN 13369] et à la [NBN B 21-600]</w:t>
      </w:r>
    </w:p>
    <w:p w14:paraId="08DE5F79" w14:textId="77777777" w:rsidR="00DB2B68" w:rsidRDefault="00000000">
      <w:pPr>
        <w:pStyle w:val="Author-eListParagraph"/>
        <w:numPr>
          <w:ilvl w:val="0"/>
          <w:numId w:val="597"/>
        </w:numPr>
      </w:pPr>
      <w:r>
        <w:t>Forme et dimensions : conformément aux indications sur les plans</w:t>
      </w:r>
    </w:p>
    <w:p w14:paraId="56014DCB" w14:textId="77777777" w:rsidR="00DB2B68" w:rsidRDefault="00000000">
      <w:pPr>
        <w:pStyle w:val="Author-eListParagraph"/>
        <w:numPr>
          <w:ilvl w:val="0"/>
          <w:numId w:val="597"/>
        </w:numPr>
      </w:pPr>
      <w:r>
        <w:t xml:space="preserve">Classe d'exploitation : </w:t>
      </w:r>
      <w:r>
        <w:rPr>
          <w:rStyle w:val="optioncarChar"/>
        </w:rPr>
        <w:t>***</w:t>
      </w:r>
    </w:p>
    <w:p w14:paraId="0B123E5D" w14:textId="77777777" w:rsidR="00DB2B68" w:rsidRDefault="00000000">
      <w:pPr>
        <w:pStyle w:val="Author-eListParagraph"/>
        <w:numPr>
          <w:ilvl w:val="0"/>
          <w:numId w:val="597"/>
        </w:numPr>
      </w:pPr>
      <w:r>
        <w:t>Classe d'environnement:</w:t>
      </w:r>
      <w:r>
        <w:rPr>
          <w:rStyle w:val="optioncarChar"/>
        </w:rPr>
        <w:t xml:space="preserve"> ***</w:t>
      </w:r>
    </w:p>
    <w:p w14:paraId="55EF328D" w14:textId="77777777" w:rsidR="00DB2B68" w:rsidRDefault="00000000">
      <w:pPr>
        <w:pStyle w:val="Author-eListParagraph"/>
        <w:numPr>
          <w:ilvl w:val="0"/>
          <w:numId w:val="597"/>
        </w:numPr>
      </w:pPr>
      <w:r>
        <w:t>Eléments d’ancrage : avec dispositif de rupture thermique - système à soumettre pour approbation</w:t>
      </w:r>
    </w:p>
    <w:p w14:paraId="547330F9" w14:textId="77777777" w:rsidR="00DB2B68" w:rsidRDefault="00000000">
      <w:pPr>
        <w:pStyle w:val="pheading"/>
      </w:pPr>
      <w:r>
        <w:t>EXÉCUTION / MISE EN ŒUVRE</w:t>
      </w:r>
    </w:p>
    <w:p w14:paraId="622AB3EB" w14:textId="77777777" w:rsidR="00DB2B68" w:rsidRDefault="00000000">
      <w:r>
        <w:t xml:space="preserve">Les éléments de </w:t>
      </w:r>
      <w:r>
        <w:rPr>
          <w:rStyle w:val="optioncarChar"/>
        </w:rPr>
        <w:t>balcons / débordements de rive de toiture</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w:t>
      </w:r>
      <w:r>
        <w:lastRenderedPageBreak/>
        <w:t xml:space="preserve">établit ses plans de coffrage et d’armature et les soumet pour approbation avant la mise en production (voir également </w:t>
      </w:r>
      <w:hyperlink w:anchor="87" w:history="1">
        <w:r>
          <w:rPr>
            <w:color w:val="0000EE"/>
          </w:rPr>
          <w:t>22 Superstructures en béton</w:t>
        </w:r>
      </w:hyperlink>
      <w:r>
        <w:t>).</w:t>
      </w:r>
    </w:p>
    <w:p w14:paraId="1B453B0E" w14:textId="77777777" w:rsidR="00DB2B68" w:rsidRDefault="00000000">
      <w:pPr>
        <w:pStyle w:val="Author-eSectionHeading6Numberless"/>
      </w:pPr>
      <w:bookmarkStart w:id="856" w:name="_Toc220495905"/>
      <w:r>
        <w:t>22.32.3a Garde-corps et rampes préfabriqués en béton CCTB 01.02</w:t>
      </w:r>
      <w:bookmarkEnd w:id="856"/>
    </w:p>
    <w:p w14:paraId="49F74527" w14:textId="77777777" w:rsidR="00DB2B68" w:rsidRDefault="00000000">
      <w:pPr>
        <w:pStyle w:val="Author-eSectionHeading5Numberless"/>
      </w:pPr>
      <w:bookmarkStart w:id="857" w:name="_Toc220495906"/>
      <w:r>
        <w:t>22.32.4 Garde-corps et rampes préfabriqués en béton architectonique CCTB 01.13</w:t>
      </w:r>
      <w:bookmarkEnd w:id="857"/>
    </w:p>
    <w:p w14:paraId="2E24C46F" w14:textId="77777777" w:rsidR="00DB2B68" w:rsidRDefault="00000000">
      <w:pPr>
        <w:pStyle w:val="pheading"/>
      </w:pPr>
      <w:r>
        <w:t>DESCRIPTION</w:t>
      </w:r>
    </w:p>
    <w:p w14:paraId="539092F1" w14:textId="77777777" w:rsidR="00DB2B68" w:rsidRDefault="00000000">
      <w:pPr>
        <w:pStyle w:val="pheading"/>
      </w:pPr>
      <w:r>
        <w:t>- Définition / Comprend</w:t>
      </w:r>
    </w:p>
    <w:p w14:paraId="6C61FF5D" w14:textId="77777777" w:rsidR="00DB2B68" w:rsidRDefault="00000000">
      <w:r>
        <w:t xml:space="preserve">Il s'agit de tous les éléments </w:t>
      </w:r>
      <w:r>
        <w:rPr>
          <w:rStyle w:val="optioncarChar"/>
        </w:rPr>
        <w:t xml:space="preserve">garde-corps / rampes / </w:t>
      </w:r>
      <w:r>
        <w:t xml:space="preserve">qui sont préfabriqués et sont ensuite intégrés dans la construction portante avec les moyens </w:t>
      </w:r>
      <w:r>
        <w:rPr>
          <w:shd w:val="clear" w:color="auto" w:fill="FFFFFF"/>
        </w:rPr>
        <w:t>appropriés.</w:t>
      </w:r>
    </w:p>
    <w:p w14:paraId="068E8E7F" w14:textId="77777777" w:rsidR="00DB2B68" w:rsidRDefault="00000000">
      <w:pPr>
        <w:pStyle w:val="pheading"/>
      </w:pPr>
      <w:r>
        <w:t>MATÉRIAUX</w:t>
      </w:r>
    </w:p>
    <w:p w14:paraId="25FD4D6B" w14:textId="77777777" w:rsidR="00DB2B68" w:rsidRDefault="00000000">
      <w:r>
        <w:t xml:space="preserve">L’ensemble des matériaux, des éléments de support et des assemblages doivent satisfaire aux charges d’exploitation et à la classe d’exposition indiquées préalablement (voir également l’art. </w:t>
      </w:r>
      <w:hyperlink w:anchor="87" w:history="1">
        <w:r>
          <w:rPr>
            <w:color w:val="0000EE"/>
          </w:rPr>
          <w:t>22 Superstructures en béton</w:t>
        </w:r>
      </w:hyperlink>
      <w:r>
        <w:t>).</w:t>
      </w:r>
    </w:p>
    <w:p w14:paraId="018FCCF4" w14:textId="77777777" w:rsidR="00DB2B68" w:rsidRDefault="00000000">
      <w:pPr>
        <w:pStyle w:val="heading"/>
      </w:pPr>
      <w:r>
        <w:t>Spécifications</w:t>
      </w:r>
    </w:p>
    <w:p w14:paraId="04B66045" w14:textId="77777777" w:rsidR="00DB2B68" w:rsidRDefault="00000000">
      <w:pPr>
        <w:pStyle w:val="Author-eListParagraph"/>
        <w:numPr>
          <w:ilvl w:val="0"/>
          <w:numId w:val="598"/>
        </w:numPr>
      </w:pPr>
      <w:r>
        <w:t>Conformes à la [NBN EN 13369] et à la [NBN B 21-600]</w:t>
      </w:r>
    </w:p>
    <w:p w14:paraId="6397F050" w14:textId="77777777" w:rsidR="00DB2B68" w:rsidRDefault="00000000">
      <w:pPr>
        <w:pStyle w:val="Author-eListParagraph"/>
        <w:numPr>
          <w:ilvl w:val="0"/>
          <w:numId w:val="598"/>
        </w:numPr>
      </w:pPr>
      <w:r>
        <w:t>Forme et dimensions : conformément aux indications sur les plans</w:t>
      </w:r>
    </w:p>
    <w:p w14:paraId="56EB09B5" w14:textId="77777777" w:rsidR="00DB2B68" w:rsidRDefault="00000000">
      <w:pPr>
        <w:pStyle w:val="Author-eListParagraph"/>
        <w:numPr>
          <w:ilvl w:val="0"/>
          <w:numId w:val="598"/>
        </w:numPr>
      </w:pPr>
      <w:r>
        <w:t xml:space="preserve">Classe d'exploitation : </w:t>
      </w:r>
      <w:r>
        <w:rPr>
          <w:rStyle w:val="optioncarChar"/>
        </w:rPr>
        <w:t>***</w:t>
      </w:r>
    </w:p>
    <w:p w14:paraId="11E03AC6" w14:textId="77777777" w:rsidR="00DB2B68" w:rsidRDefault="00000000">
      <w:pPr>
        <w:pStyle w:val="Author-eListParagraph"/>
        <w:numPr>
          <w:ilvl w:val="0"/>
          <w:numId w:val="598"/>
        </w:numPr>
      </w:pPr>
      <w:r>
        <w:t>Classe d'environnement:</w:t>
      </w:r>
      <w:r>
        <w:rPr>
          <w:rStyle w:val="optioncarChar"/>
        </w:rPr>
        <w:t xml:space="preserve"> ***</w:t>
      </w:r>
    </w:p>
    <w:p w14:paraId="623B857C" w14:textId="77777777" w:rsidR="00DB2B68" w:rsidRDefault="00000000">
      <w:pPr>
        <w:pStyle w:val="Author-eListParagraph"/>
        <w:numPr>
          <w:ilvl w:val="0"/>
          <w:numId w:val="598"/>
        </w:numPr>
      </w:pPr>
      <w:r>
        <w:t>Eléments d’ancrage : avec dispositif de rupture thermique - système à soumettre pour approbation</w:t>
      </w:r>
    </w:p>
    <w:p w14:paraId="207CD1CC" w14:textId="77777777" w:rsidR="00DB2B68" w:rsidRDefault="00000000">
      <w:pPr>
        <w:pStyle w:val="pheading"/>
      </w:pPr>
      <w:r>
        <w:t>EXÉCUTION / MISE EN ŒUVRE</w:t>
      </w:r>
    </w:p>
    <w:p w14:paraId="6F893A3A" w14:textId="77777777" w:rsidR="00DB2B68" w:rsidRDefault="00000000">
      <w:r>
        <w:t>Les éléments de</w:t>
      </w:r>
      <w:r>
        <w:rPr>
          <w:rStyle w:val="optioncarChar"/>
        </w:rPr>
        <w:t xml:space="preserve"> garde-corps / rampes</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rPr>
            <w:color w:val="0000EE"/>
          </w:rPr>
          <w:t>22 Superstructures en béton</w:t>
        </w:r>
      </w:hyperlink>
      <w:r>
        <w:t>).</w:t>
      </w:r>
    </w:p>
    <w:p w14:paraId="7E8BA8F8" w14:textId="77777777" w:rsidR="00DB2B68" w:rsidRDefault="00000000">
      <w:pPr>
        <w:pStyle w:val="Author-eSectionHeading6Numberless"/>
      </w:pPr>
      <w:bookmarkStart w:id="858" w:name="_Toc220495907"/>
      <w:r>
        <w:t>22.32.4a Garde-corps et rampes préfabriqués en béton décoratif / architectonique CCTB 01.04</w:t>
      </w:r>
      <w:bookmarkEnd w:id="858"/>
    </w:p>
    <w:p w14:paraId="4EDE337F" w14:textId="77777777" w:rsidR="00DB2B68" w:rsidRDefault="00000000">
      <w:pPr>
        <w:pStyle w:val="Author-eSectionHeading4Numberless"/>
      </w:pPr>
      <w:bookmarkStart w:id="859" w:name="_Toc220495908"/>
      <w:r>
        <w:t>22.33 Balcons et terrasses en béton CCTB 01.04</w:t>
      </w:r>
      <w:bookmarkEnd w:id="859"/>
    </w:p>
    <w:p w14:paraId="3D6A5D4A" w14:textId="77777777" w:rsidR="00DB2B68" w:rsidRDefault="00000000">
      <w:pPr>
        <w:pStyle w:val="pheading"/>
      </w:pPr>
      <w:bookmarkStart w:id="860" w:name="518"/>
      <w:bookmarkEnd w:id="860"/>
      <w:r>
        <w:t>DESCRIPTION</w:t>
      </w:r>
    </w:p>
    <w:p w14:paraId="3489A4AB" w14:textId="77777777" w:rsidR="00DB2B68" w:rsidRDefault="00000000">
      <w:pPr>
        <w:pStyle w:val="pheading"/>
      </w:pPr>
      <w:r>
        <w:t>- Remarques importantes</w:t>
      </w:r>
    </w:p>
    <w:p w14:paraId="1F7F0439" w14:textId="77777777" w:rsidR="00DB2B68" w:rsidRDefault="00000000">
      <w:r>
        <w:t>Dans certains cas les balcons et terrasses peuvent faire l’objet d’exigences de comportement au feu :</w:t>
      </w:r>
    </w:p>
    <w:p w14:paraId="66D1B8D9" w14:textId="77777777" w:rsidR="00DB2B68" w:rsidRDefault="00000000">
      <w:pPr>
        <w:pStyle w:val="Author-eListParagraph"/>
        <w:numPr>
          <w:ilvl w:val="0"/>
          <w:numId w:val="599"/>
        </w:numPr>
      </w:pPr>
      <w:r>
        <w:t>En vue de limiter la propagation de l’incendie par les façades, il convient (notamment pour les bâtiments moyens et élevés soumis à [AR 1994-07-07]) de prévoir un élément de construction résistant au feu à la jonction entre la façade et la paroi du compartiment (horizontale ou verticale). Une des solutions est la réalisation d’une saillie horizontale présentant au moins E 60 d’une longueur minimale de 60 cm.</w:t>
      </w:r>
    </w:p>
    <w:p w14:paraId="16AD5B3D" w14:textId="77777777" w:rsidR="00DB2B68" w:rsidRDefault="00000000">
      <w:pPr>
        <w:pStyle w:val="Author-eListParagraph"/>
        <w:numPr>
          <w:ilvl w:val="0"/>
          <w:numId w:val="599"/>
        </w:numPr>
      </w:pPr>
      <w:r>
        <w:t>Les terrasses d’attente accessibles aux échelles du service d’incendie doivent présenter une résistance au feu suffisante (par exemple REI 60 pour les bâtiments moyens soumis à [AR 1994-07-07] et ses modifications)</w:t>
      </w:r>
    </w:p>
    <w:p w14:paraId="1391F70C" w14:textId="77777777" w:rsidR="00DB2B68" w:rsidRDefault="00000000">
      <w:r>
        <w:br/>
      </w:r>
      <w:r>
        <w:rPr>
          <w:i/>
          <w:u w:val="single"/>
        </w:rPr>
        <w:t>&gt;Remarque</w:t>
      </w:r>
      <w:r>
        <w:rPr>
          <w:i/>
        </w:rPr>
        <w:t xml:space="preserve"> : </w:t>
      </w:r>
      <w:r>
        <w:br/>
      </w:r>
      <w:r>
        <w:rPr>
          <w:i/>
        </w:rPr>
        <w:t>Les revêtements de balcons, coursives et terrasses présentent la classe B</w:t>
      </w:r>
      <w:r>
        <w:rPr>
          <w:i/>
          <w:vertAlign w:val="subscript"/>
        </w:rPr>
        <w:t>ROOF</w:t>
      </w:r>
      <w:r>
        <w:rPr>
          <w:i/>
        </w:rPr>
        <w:t xml:space="preserve">(t1) (performance au </w:t>
      </w:r>
      <w:r>
        <w:rPr>
          <w:i/>
        </w:rPr>
        <w:lastRenderedPageBreak/>
        <w:t>feu extérieur) (par exemple pour les bâtiments soumis à [AR 1994-07-07] et ses modifications]) : voir 46.4 Revêtements de sols extérieurs (des balcons).</w:t>
      </w:r>
    </w:p>
    <w:p w14:paraId="61BF5090" w14:textId="77777777" w:rsidR="00DB2B68" w:rsidRDefault="00000000">
      <w:pPr>
        <w:pStyle w:val="Author-eSectionHeading5Numberless"/>
      </w:pPr>
      <w:bookmarkStart w:id="861" w:name="_Toc220495909"/>
      <w:r>
        <w:t>22.33.1 Balcons et terrasses en béton coulé en place CCTB 01.13</w:t>
      </w:r>
      <w:bookmarkEnd w:id="861"/>
    </w:p>
    <w:p w14:paraId="03828FEA" w14:textId="77777777" w:rsidR="00DB2B68" w:rsidRDefault="00000000">
      <w:pPr>
        <w:pStyle w:val="pheading"/>
      </w:pPr>
      <w:r>
        <w:t>DESCRIPTION</w:t>
      </w:r>
    </w:p>
    <w:p w14:paraId="42D7B131" w14:textId="77777777" w:rsidR="00DB2B68" w:rsidRDefault="00000000">
      <w:pPr>
        <w:pStyle w:val="pheading"/>
      </w:pPr>
      <w:r>
        <w:t>- Définition / Comprend</w:t>
      </w:r>
    </w:p>
    <w:p w14:paraId="67B56C94" w14:textId="77777777" w:rsidR="00DB2B68" w:rsidRDefault="00000000">
      <w:r>
        <w:t xml:space="preserve">Il s'agit de tous les éléments en encorbellement </w:t>
      </w:r>
      <w:r>
        <w:rPr>
          <w:rStyle w:val="optioncarChar"/>
        </w:rPr>
        <w:t>balcons / terrasses / </w:t>
      </w:r>
      <w:r>
        <w:t>exécutés en béton.</w:t>
      </w:r>
    </w:p>
    <w:p w14:paraId="36136A6B" w14:textId="77777777" w:rsidR="00DB2B68" w:rsidRDefault="00000000">
      <w:pPr>
        <w:pStyle w:val="pheading"/>
      </w:pPr>
      <w:r>
        <w:t>MATÉRIAUX</w:t>
      </w:r>
    </w:p>
    <w:p w14:paraId="21E65FFE" w14:textId="77777777" w:rsidR="00DB2B68" w:rsidRDefault="00000000">
      <w:pPr>
        <w:pStyle w:val="heading"/>
      </w:pPr>
      <w:r>
        <w:t>Spécifications</w:t>
      </w:r>
    </w:p>
    <w:p w14:paraId="1DFD53F0" w14:textId="77777777" w:rsidR="00DB2B68" w:rsidRDefault="00000000">
      <w:r>
        <w:t xml:space="preserve">Qualité du béton selon la [NBN EN 206:2013+A2] et la [NBN B 15-001] (voir également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33531DA0" w14:textId="77777777">
        <w:tc>
          <w:tcPr>
            <w:tcW w:w="1500" w:type="dxa"/>
            <w:noWrap/>
          </w:tcPr>
          <w:p w14:paraId="1A89EEAA" w14:textId="77777777" w:rsidR="00DB2B68" w:rsidRDefault="00000000">
            <w:pPr>
              <w:jc w:val="center"/>
            </w:pPr>
            <w:r>
              <w:rPr>
                <w:b/>
              </w:rPr>
              <w:t>A</w:t>
            </w:r>
          </w:p>
        </w:tc>
        <w:tc>
          <w:tcPr>
            <w:tcW w:w="1500" w:type="dxa"/>
            <w:noWrap/>
          </w:tcPr>
          <w:p w14:paraId="3895A662" w14:textId="77777777" w:rsidR="00DB2B68" w:rsidRDefault="00000000">
            <w:pPr>
              <w:jc w:val="center"/>
            </w:pPr>
            <w:r>
              <w:rPr>
                <w:b/>
              </w:rPr>
              <w:t>B1</w:t>
            </w:r>
          </w:p>
        </w:tc>
        <w:tc>
          <w:tcPr>
            <w:tcW w:w="1500" w:type="dxa"/>
            <w:noWrap/>
          </w:tcPr>
          <w:p w14:paraId="601CC109" w14:textId="77777777" w:rsidR="00DB2B68" w:rsidRDefault="00000000">
            <w:pPr>
              <w:jc w:val="center"/>
            </w:pPr>
            <w:r>
              <w:rPr>
                <w:b/>
              </w:rPr>
              <w:t>B2</w:t>
            </w:r>
          </w:p>
        </w:tc>
        <w:tc>
          <w:tcPr>
            <w:tcW w:w="1500" w:type="dxa"/>
            <w:noWrap/>
          </w:tcPr>
          <w:p w14:paraId="4A266264" w14:textId="77777777" w:rsidR="00DB2B68" w:rsidRDefault="00000000">
            <w:pPr>
              <w:jc w:val="center"/>
            </w:pPr>
            <w:r>
              <w:rPr>
                <w:b/>
              </w:rPr>
              <w:t>C</w:t>
            </w:r>
          </w:p>
        </w:tc>
        <w:tc>
          <w:tcPr>
            <w:tcW w:w="1500" w:type="dxa"/>
            <w:noWrap/>
          </w:tcPr>
          <w:p w14:paraId="3D99744A" w14:textId="77777777" w:rsidR="00DB2B68" w:rsidRDefault="00000000">
            <w:pPr>
              <w:jc w:val="center"/>
            </w:pPr>
            <w:r>
              <w:rPr>
                <w:b/>
              </w:rPr>
              <w:t>D</w:t>
            </w:r>
          </w:p>
        </w:tc>
        <w:tc>
          <w:tcPr>
            <w:tcW w:w="1500" w:type="dxa"/>
            <w:noWrap/>
          </w:tcPr>
          <w:p w14:paraId="430F0C2E" w14:textId="77777777" w:rsidR="00DB2B68" w:rsidRDefault="00000000">
            <w:pPr>
              <w:jc w:val="center"/>
            </w:pPr>
            <w:r>
              <w:rPr>
                <w:b/>
              </w:rPr>
              <w:t>E</w:t>
            </w:r>
          </w:p>
        </w:tc>
      </w:tr>
      <w:tr w:rsidR="00DB2B68" w14:paraId="15F58FD3" w14:textId="77777777">
        <w:tc>
          <w:tcPr>
            <w:tcW w:w="1500" w:type="dxa"/>
            <w:noWrap/>
          </w:tcPr>
          <w:p w14:paraId="16A43F98" w14:textId="77777777" w:rsidR="00DB2B68" w:rsidRDefault="00000000">
            <w:pPr>
              <w:jc w:val="center"/>
            </w:pPr>
            <w:r>
              <w:rPr>
                <w:b/>
              </w:rPr>
              <w:t>Classe de résistance</w:t>
            </w:r>
          </w:p>
        </w:tc>
        <w:tc>
          <w:tcPr>
            <w:tcW w:w="1500" w:type="dxa"/>
            <w:noWrap/>
          </w:tcPr>
          <w:p w14:paraId="36287419" w14:textId="77777777" w:rsidR="00DB2B68" w:rsidRDefault="00000000">
            <w:pPr>
              <w:jc w:val="center"/>
            </w:pPr>
            <w:r>
              <w:rPr>
                <w:b/>
              </w:rPr>
              <w:t>Domaine d’application</w:t>
            </w:r>
          </w:p>
        </w:tc>
        <w:tc>
          <w:tcPr>
            <w:tcW w:w="1500" w:type="dxa"/>
            <w:noWrap/>
          </w:tcPr>
          <w:p w14:paraId="48FAC0AB" w14:textId="77777777" w:rsidR="00DB2B68" w:rsidRDefault="00000000">
            <w:pPr>
              <w:jc w:val="center"/>
            </w:pPr>
            <w:r>
              <w:rPr>
                <w:b/>
              </w:rPr>
              <w:t>Classe d'environnement</w:t>
            </w:r>
          </w:p>
        </w:tc>
        <w:tc>
          <w:tcPr>
            <w:tcW w:w="1500" w:type="dxa"/>
            <w:noWrap/>
          </w:tcPr>
          <w:p w14:paraId="56BE34F0" w14:textId="77777777" w:rsidR="00DB2B68" w:rsidRDefault="00000000">
            <w:pPr>
              <w:jc w:val="center"/>
            </w:pPr>
            <w:r>
              <w:rPr>
                <w:b/>
              </w:rPr>
              <w:t>Classe de consistance</w:t>
            </w:r>
          </w:p>
        </w:tc>
        <w:tc>
          <w:tcPr>
            <w:tcW w:w="1500" w:type="dxa"/>
            <w:noWrap/>
          </w:tcPr>
          <w:p w14:paraId="5A01CCB4" w14:textId="77777777" w:rsidR="00DB2B68" w:rsidRDefault="00000000">
            <w:pPr>
              <w:jc w:val="center"/>
            </w:pPr>
            <w:r>
              <w:rPr>
                <w:b/>
              </w:rPr>
              <w:t>Granulométrie maximale</w:t>
            </w:r>
          </w:p>
        </w:tc>
        <w:tc>
          <w:tcPr>
            <w:tcW w:w="1500" w:type="dxa"/>
            <w:noWrap/>
          </w:tcPr>
          <w:p w14:paraId="1216F65A" w14:textId="77777777" w:rsidR="00DB2B68" w:rsidRDefault="00000000">
            <w:r>
              <w:rPr>
                <w:b/>
              </w:rPr>
              <w:t>Données complémentaires</w:t>
            </w:r>
          </w:p>
        </w:tc>
      </w:tr>
      <w:tr w:rsidR="00DB2B68" w14:paraId="6DB7D8FC" w14:textId="77777777">
        <w:tc>
          <w:tcPr>
            <w:tcW w:w="1500" w:type="dxa"/>
            <w:noWrap/>
          </w:tcPr>
          <w:p w14:paraId="089B3CD1" w14:textId="77777777" w:rsidR="00DB2B68" w:rsidRDefault="00000000">
            <w:pPr>
              <w:jc w:val="center"/>
            </w:pPr>
            <w:r>
              <w:rPr>
                <w:rStyle w:val="optioncarChar"/>
              </w:rPr>
              <w:t>C25/30 / C30/37 / C35/45 / C45/55 / C50/60 / C55/67 / C60/75 / C70/85 / C80/95 / C90/105</w:t>
            </w:r>
          </w:p>
        </w:tc>
        <w:tc>
          <w:tcPr>
            <w:tcW w:w="1500" w:type="dxa"/>
            <w:noWrap/>
          </w:tcPr>
          <w:p w14:paraId="4678C304" w14:textId="77777777" w:rsidR="00DB2B68" w:rsidRDefault="00000000">
            <w:pPr>
              <w:jc w:val="center"/>
            </w:pPr>
            <w:r>
              <w:t>Béton armé</w:t>
            </w:r>
          </w:p>
          <w:p w14:paraId="21DE46EC" w14:textId="77777777" w:rsidR="00DB2B68" w:rsidRDefault="00000000">
            <w:pPr>
              <w:jc w:val="center"/>
            </w:pPr>
            <w:r>
              <w:t> </w:t>
            </w:r>
          </w:p>
        </w:tc>
        <w:tc>
          <w:tcPr>
            <w:tcW w:w="1500" w:type="dxa"/>
            <w:noWrap/>
          </w:tcPr>
          <w:p w14:paraId="675396BC" w14:textId="77777777" w:rsidR="00DB2B68" w:rsidRDefault="00000000">
            <w:pPr>
              <w:jc w:val="center"/>
            </w:pPr>
            <w:r>
              <w:rPr>
                <w:rStyle w:val="optioncarChar"/>
              </w:rPr>
              <w:t> E0 / EI / EE1 / EE2 / EE3 / EE4 / ES1 / ES2 / ES3 / ES4 / EA1+*** / EA2+***/ EA3+***</w:t>
            </w:r>
          </w:p>
        </w:tc>
        <w:tc>
          <w:tcPr>
            <w:tcW w:w="1500" w:type="dxa"/>
            <w:noWrap/>
          </w:tcPr>
          <w:p w14:paraId="0CCAA3AF" w14:textId="77777777" w:rsidR="00DB2B68" w:rsidRDefault="00000000">
            <w:pPr>
              <w:jc w:val="center"/>
            </w:pPr>
            <w:r>
              <w:t>au choix de l'entrepreneur :</w:t>
            </w:r>
          </w:p>
          <w:p w14:paraId="54F62DF1" w14:textId="77777777" w:rsidR="00DB2B68" w:rsidRDefault="00000000">
            <w:pPr>
              <w:jc w:val="center"/>
            </w:pPr>
            <w:r>
              <w:rPr>
                <w:rStyle w:val="optioncarChar"/>
              </w:rPr>
              <w:t xml:space="preserve">S3 / S4 / S5 </w:t>
            </w:r>
          </w:p>
          <w:p w14:paraId="034D4754" w14:textId="77777777" w:rsidR="00DB2B68" w:rsidRDefault="00000000">
            <w:pPr>
              <w:jc w:val="center"/>
            </w:pPr>
            <w:r>
              <w:rPr>
                <w:rStyle w:val="optioncarChar"/>
              </w:rPr>
              <w:t>F1 / F4 / F5 / F6</w:t>
            </w:r>
            <w:r>
              <w:br/>
            </w:r>
          </w:p>
        </w:tc>
        <w:tc>
          <w:tcPr>
            <w:tcW w:w="1500" w:type="dxa"/>
            <w:noWrap/>
          </w:tcPr>
          <w:p w14:paraId="46B60DA6" w14:textId="77777777" w:rsidR="00DB2B68" w:rsidRDefault="00000000">
            <w:pPr>
              <w:jc w:val="center"/>
            </w:pPr>
            <w:r>
              <w:t>au choix de l'entrepreneur :</w:t>
            </w:r>
          </w:p>
          <w:p w14:paraId="5136729F" w14:textId="77777777" w:rsidR="00DB2B68" w:rsidRDefault="00000000">
            <w:pPr>
              <w:jc w:val="center"/>
            </w:pPr>
            <w:r>
              <w:rPr>
                <w:rStyle w:val="optioncarChar"/>
              </w:rPr>
              <w:t>6 / 8 / 10 / 11 / 12 / 14 / 16 / 20 / 22 / 32</w:t>
            </w:r>
            <w:r>
              <w:t xml:space="preserve"> mm</w:t>
            </w:r>
          </w:p>
        </w:tc>
        <w:tc>
          <w:tcPr>
            <w:tcW w:w="1500" w:type="dxa"/>
            <w:noWrap/>
          </w:tcPr>
          <w:p w14:paraId="30D81C06" w14:textId="77777777" w:rsidR="00DB2B68" w:rsidRDefault="00000000">
            <w:pPr>
              <w:jc w:val="center"/>
            </w:pPr>
            <w:r>
              <w:rPr>
                <w:rStyle w:val="optioncarChar"/>
              </w:rPr>
              <w:t>***</w:t>
            </w:r>
          </w:p>
        </w:tc>
      </w:tr>
    </w:tbl>
    <w:p w14:paraId="410C2E56"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B5A7D93" w14:textId="77777777" w:rsidR="00DB2B68" w:rsidRDefault="00000000">
      <w:pPr>
        <w:pStyle w:val="Author-eListParagraph"/>
        <w:numPr>
          <w:ilvl w:val="0"/>
          <w:numId w:val="600"/>
        </w:numPr>
      </w:pPr>
      <w:r>
        <w:t xml:space="preserve">Classe de viscosité apparente : </w:t>
      </w:r>
      <w:r>
        <w:rPr>
          <w:rStyle w:val="optioncarChar"/>
        </w:rPr>
        <w:t>VS1 / VS2</w:t>
      </w:r>
      <w:r>
        <w:t xml:space="preserve"> (selon la [NBN EN 12350-8] )</w:t>
      </w:r>
    </w:p>
    <w:p w14:paraId="29902C32" w14:textId="77777777" w:rsidR="00DB2B68" w:rsidRDefault="00000000">
      <w:pPr>
        <w:pStyle w:val="Author-eListParagraph"/>
        <w:numPr>
          <w:ilvl w:val="0"/>
          <w:numId w:val="60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AFC520F" w14:textId="77777777" w:rsidR="00DB2B68" w:rsidRDefault="00000000">
      <w:pPr>
        <w:pStyle w:val="Author-eListParagraph"/>
        <w:numPr>
          <w:ilvl w:val="0"/>
          <w:numId w:val="60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CE4BF65"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4E8F7D80" w14:textId="77777777" w:rsidR="00DB2B68" w:rsidRDefault="00000000">
      <w:pPr>
        <w:pStyle w:val="Author-eListParagraph"/>
        <w:numPr>
          <w:ilvl w:val="0"/>
          <w:numId w:val="601"/>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71CE8258" w14:textId="77777777" w:rsidR="00DB2B68" w:rsidRDefault="00000000">
      <w:pPr>
        <w:pStyle w:val="Author-eListParagraph"/>
        <w:numPr>
          <w:ilvl w:val="0"/>
          <w:numId w:val="60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A6B6AEC" w14:textId="77777777" w:rsidR="00DB2B68" w:rsidRDefault="00000000">
      <w:pPr>
        <w:pStyle w:val="Author-eListParagraph"/>
        <w:numPr>
          <w:ilvl w:val="0"/>
          <w:numId w:val="601"/>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xml:space="preserve"> (par défaut)</w:t>
      </w:r>
      <w:r>
        <w:rPr>
          <w:rStyle w:val="optioncarChar"/>
        </w:rPr>
        <w:t> / ***x***x***x***</w:t>
      </w:r>
      <w:r>
        <w:t xml:space="preserve"> mm.</w:t>
      </w:r>
    </w:p>
    <w:p w14:paraId="25F1AA71" w14:textId="77777777" w:rsidR="00DB2B68" w:rsidRDefault="00000000">
      <w:pPr>
        <w:pStyle w:val="heading"/>
      </w:pPr>
      <w:r>
        <w:t>Options</w:t>
      </w:r>
    </w:p>
    <w:p w14:paraId="43246833" w14:textId="77777777" w:rsidR="00DB2B68" w:rsidRDefault="00000000">
      <w:pPr>
        <w:pStyle w:val="Author-eListParagraph"/>
        <w:numPr>
          <w:ilvl w:val="0"/>
          <w:numId w:val="602"/>
        </w:numPr>
      </w:pPr>
      <w:r>
        <w:lastRenderedPageBreak/>
        <w:t>Résistance au feu : dans certains cas, les balcons et terrasses sont soumis à des exigences de résistance au feu (</w:t>
      </w:r>
      <w:hyperlink w:anchor="518" w:history="1">
        <w:r>
          <w:rPr>
            <w:color w:val="0000EE"/>
          </w:rPr>
          <w:t>22.33 Balcons et terrasses en béton</w:t>
        </w:r>
      </w:hyperlink>
      <w:r>
        <w:t xml:space="preserve">) : sans fonction portante </w:t>
      </w:r>
      <w:r>
        <w:rPr>
          <w:rStyle w:val="optioncarChar"/>
        </w:rPr>
        <w:t>E 60 </w:t>
      </w:r>
      <w:r>
        <w:t>(par défaut)</w:t>
      </w:r>
      <w:r>
        <w:rPr>
          <w:rStyle w:val="optioncarChar"/>
        </w:rPr>
        <w:t xml:space="preserve"> / E *** </w:t>
      </w:r>
      <w:r>
        <w:t>et avec fonction portante</w:t>
      </w:r>
      <w:r>
        <w:rPr>
          <w:rStyle w:val="optioncarChar"/>
        </w:rPr>
        <w:t> REI 60 </w:t>
      </w:r>
      <w:r>
        <w:t>(par défaut)</w:t>
      </w:r>
      <w:r>
        <w:rPr>
          <w:rStyle w:val="optioncarChar"/>
        </w:rPr>
        <w:t xml:space="preserve"> / REI *** </w:t>
      </w:r>
    </w:p>
    <w:p w14:paraId="66BE3A60" w14:textId="77777777" w:rsidR="00DB2B68" w:rsidRDefault="00000000">
      <w:r>
        <w:br/>
      </w:r>
      <w:r>
        <w:rPr>
          <w:i/>
          <w:u w:val="single"/>
        </w:rPr>
        <w:t> &gt; Remarque </w:t>
      </w:r>
      <w:r>
        <w:rPr>
          <w:i/>
        </w:rPr>
        <w:t xml:space="preserve">: </w:t>
      </w:r>
      <w:r>
        <w:br/>
      </w:r>
      <w:r>
        <w:rPr>
          <w:i/>
        </w:rPr>
        <w:t>Dans certains cas, les revêtements des balcons, coursives et terrasses sont soumis à des exigences de comportement au feu extérieur et/ou de réaction au feu : voir tome 5</w:t>
      </w:r>
    </w:p>
    <w:p w14:paraId="2AD26A84" w14:textId="77777777" w:rsidR="00DB2B68" w:rsidRDefault="00000000">
      <w:pPr>
        <w:pStyle w:val="pheading"/>
      </w:pPr>
      <w:r>
        <w:t>EXÉCUTION / MISE EN ŒUVRE</w:t>
      </w:r>
    </w:p>
    <w:p w14:paraId="654D042C" w14:textId="77777777" w:rsidR="00DB2B68" w:rsidRDefault="00000000">
      <w:r>
        <w:t xml:space="preserve">L'étude est à charge </w:t>
      </w:r>
      <w:r>
        <w:rPr>
          <w:rStyle w:val="optioncarChar"/>
        </w:rPr>
        <w:t>de l'entrepreneur / du maître de l'ouvrage / du bureau d’étude</w:t>
      </w:r>
      <w:r>
        <w:t xml:space="preserve"> ( voir également </w:t>
      </w:r>
      <w:hyperlink w:anchor="87" w:history="1">
        <w:r>
          <w:rPr>
            <w:color w:val="0000EE"/>
          </w:rPr>
          <w:t>22 Superstructures en béton</w:t>
        </w:r>
      </w:hyperlink>
      <w:r>
        <w:t xml:space="preserve"> ).</w:t>
      </w:r>
      <w:r>
        <w:br/>
        <w:t>Les éléments en encorbellement sont coulés sur place en </w:t>
      </w:r>
      <w:r>
        <w:rPr>
          <w:rStyle w:val="optioncarChar"/>
        </w:rPr>
        <w:t>une seule </w:t>
      </w:r>
      <w:r>
        <w:t>(par défaut)</w:t>
      </w:r>
      <w:r>
        <w:rPr>
          <w:rStyle w:val="optioncarChar"/>
        </w:rPr>
        <w:t xml:space="preserve"> / ***</w:t>
      </w:r>
      <w:r>
        <w:t> fois.</w:t>
      </w:r>
      <w:r>
        <w:br/>
        <w:t xml:space="preserve">Le décoffrage se fait au plus tôt </w:t>
      </w:r>
      <w:r>
        <w:rPr>
          <w:rStyle w:val="optioncarChar"/>
        </w:rPr>
        <w:t xml:space="preserve">*** </w:t>
      </w:r>
      <w:r>
        <w:t xml:space="preserve">jours </w:t>
      </w:r>
      <w:r>
        <w:rPr>
          <w:rStyle w:val="optioncarChar"/>
        </w:rPr>
        <w:t>après le coulage du béton / selon les directives de l’ingénieur. </w:t>
      </w:r>
    </w:p>
    <w:p w14:paraId="56A5EAFE" w14:textId="77777777" w:rsidR="00DB2B68" w:rsidRDefault="00000000">
      <w:pPr>
        <w:pStyle w:val="Author-eSectionHeading6Numberless"/>
      </w:pPr>
      <w:bookmarkStart w:id="862" w:name="_Toc220495910"/>
      <w:r>
        <w:t>22.33.1a Balcons et terrasses en béton coulé en place CCTB 01.11</w:t>
      </w:r>
      <w:bookmarkEnd w:id="862"/>
    </w:p>
    <w:p w14:paraId="3634F867" w14:textId="77777777" w:rsidR="00DB2B68" w:rsidRDefault="00000000">
      <w:pPr>
        <w:pStyle w:val="pheading"/>
      </w:pPr>
      <w:r>
        <w:t>MATÉRIAUX</w:t>
      </w:r>
    </w:p>
    <w:p w14:paraId="292A5100" w14:textId="77777777" w:rsidR="00DB2B68" w:rsidRDefault="00000000">
      <w:pPr>
        <w:pStyle w:val="pheading"/>
      </w:pPr>
      <w:r>
        <w:t>- Finitions</w:t>
      </w:r>
    </w:p>
    <w:p w14:paraId="57722EB6" w14:textId="77777777" w:rsidR="00DB2B68" w:rsidRDefault="00000000">
      <w:r>
        <w:t xml:space="preserve">Surface de béton : </w:t>
      </w:r>
      <w:r>
        <w:rPr>
          <w:rStyle w:val="optioncarChar"/>
        </w:rPr>
        <w:t>brute et lisse</w:t>
      </w:r>
      <w:r>
        <w:t xml:space="preserve"> (par défaut) </w:t>
      </w:r>
      <w:r>
        <w:rPr>
          <w:rStyle w:val="optioncarChar"/>
        </w:rPr>
        <w:t>/ rugueux</w:t>
      </w:r>
      <w:r>
        <w:br/>
      </w:r>
    </w:p>
    <w:p w14:paraId="5276E16B" w14:textId="77777777" w:rsidR="00DB2B68" w:rsidRDefault="00000000">
      <w:pPr>
        <w:pStyle w:val="pheading"/>
      </w:pPr>
      <w:r>
        <w:t>EXÉCUTION / MISE EN ŒUVRE</w:t>
      </w:r>
    </w:p>
    <w:p w14:paraId="35B2B5E4" w14:textId="77777777" w:rsidR="00DB2B68" w:rsidRDefault="00000000">
      <w:pPr>
        <w:pStyle w:val="pheading"/>
      </w:pPr>
      <w:r>
        <w:t>- Notes d’exécution complémentaires</w:t>
      </w:r>
    </w:p>
    <w:p w14:paraId="23F8B483" w14:textId="77777777" w:rsidR="00DB2B68" w:rsidRDefault="00000000">
      <w:r>
        <w:t>Raccords visibles : joint en forme de</w:t>
      </w:r>
      <w:r>
        <w:rPr>
          <w:rStyle w:val="optioncarChar"/>
        </w:rPr>
        <w:t> V </w:t>
      </w:r>
      <w:r>
        <w:t>(par défaut)</w:t>
      </w:r>
      <w:r>
        <w:rPr>
          <w:rStyle w:val="optioncarChar"/>
        </w:rPr>
        <w:t xml:space="preserve"> /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1731C069" w14:textId="77777777" w:rsidR="00DB2B68" w:rsidRDefault="00000000">
      <w:pPr>
        <w:pStyle w:val="pheading"/>
      </w:pPr>
      <w:r>
        <w:t>MESURAGE</w:t>
      </w:r>
    </w:p>
    <w:p w14:paraId="6AAF462C" w14:textId="77777777" w:rsidR="00DB2B68" w:rsidRDefault="00000000">
      <w:pPr>
        <w:pStyle w:val="pheading"/>
      </w:pPr>
      <w:r>
        <w:t>- unité de mesure:</w:t>
      </w:r>
    </w:p>
    <w:p w14:paraId="6123F181" w14:textId="77777777" w:rsidR="00DB2B68" w:rsidRDefault="00000000">
      <w:r>
        <w:t>m³ pour le béton</w:t>
      </w:r>
      <w:r>
        <w:br/>
        <w:t>kg pour les barres d’armatures</w:t>
      </w:r>
      <w:r>
        <w:br/>
        <w:t>PM, coffrages</w:t>
      </w:r>
    </w:p>
    <w:p w14:paraId="3AF4D4CE" w14:textId="77777777" w:rsidR="00DB2B68" w:rsidRDefault="00000000">
      <w:pPr>
        <w:pStyle w:val="pheading"/>
      </w:pPr>
      <w:r>
        <w:t>- nature du marché:</w:t>
      </w:r>
    </w:p>
    <w:p w14:paraId="5D94AEBD" w14:textId="77777777" w:rsidR="00DB2B68" w:rsidRDefault="00000000">
      <w:r>
        <w:t>QF</w:t>
      </w:r>
    </w:p>
    <w:p w14:paraId="2C006293" w14:textId="77777777" w:rsidR="00DB2B68" w:rsidRDefault="00000000">
      <w:pPr>
        <w:pStyle w:val="Author-eSectionHeading5Numberless"/>
      </w:pPr>
      <w:bookmarkStart w:id="863" w:name="_Toc220495911"/>
      <w:r>
        <w:t>22.33.2 Balcons et terrasses en béton apparent (esthétique) coulé en place CCTB 01.13</w:t>
      </w:r>
      <w:bookmarkEnd w:id="863"/>
    </w:p>
    <w:p w14:paraId="25D27A0B" w14:textId="77777777" w:rsidR="00DB2B68" w:rsidRDefault="00000000">
      <w:pPr>
        <w:pStyle w:val="pheading"/>
      </w:pPr>
      <w:r>
        <w:t>DESCRIPTION</w:t>
      </w:r>
    </w:p>
    <w:p w14:paraId="16A0CD44" w14:textId="77777777" w:rsidR="00DB2B68" w:rsidRDefault="00000000">
      <w:pPr>
        <w:pStyle w:val="pheading"/>
      </w:pPr>
      <w:r>
        <w:t>- Définition / Comprend</w:t>
      </w:r>
    </w:p>
    <w:p w14:paraId="31EF784E" w14:textId="77777777" w:rsidR="00DB2B68" w:rsidRDefault="00000000">
      <w:r>
        <w:t xml:space="preserve">Il s'agit de tous les éléments en encorbellement </w:t>
      </w:r>
      <w:r>
        <w:rPr>
          <w:rStyle w:val="optioncarChar"/>
        </w:rPr>
        <w:t xml:space="preserve">balcons / terrasses </w:t>
      </w:r>
      <w:r>
        <w:t>exécutés en béton apparent coulés en place</w:t>
      </w:r>
    </w:p>
    <w:p w14:paraId="4AE71091" w14:textId="77777777" w:rsidR="00DB2B68" w:rsidRDefault="00000000">
      <w:pPr>
        <w:pStyle w:val="pheading"/>
      </w:pPr>
      <w:r>
        <w:t>MATÉRIAUX</w:t>
      </w:r>
    </w:p>
    <w:p w14:paraId="1D73686A" w14:textId="77777777" w:rsidR="00DB2B68" w:rsidRDefault="00000000">
      <w:pPr>
        <w:pStyle w:val="heading"/>
      </w:pPr>
      <w:r>
        <w:t>Spécifications</w:t>
      </w:r>
    </w:p>
    <w:p w14:paraId="6F7966E6" w14:textId="77777777" w:rsidR="00DB2B68" w:rsidRDefault="00000000">
      <w:r>
        <w:t xml:space="preserve">Qualité du béton selon la [NBN EN 206:2013+A2] et la [NBN B 15-001] (voir également </w:t>
      </w:r>
      <w:hyperlink w:anchor="87" w:history="1">
        <w:r>
          <w:rPr>
            <w:color w:val="0000EE"/>
          </w:rP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79954BD5" w14:textId="77777777">
        <w:tc>
          <w:tcPr>
            <w:tcW w:w="1500" w:type="dxa"/>
            <w:noWrap/>
          </w:tcPr>
          <w:p w14:paraId="1F6D6ED5" w14:textId="77777777" w:rsidR="00DB2B68" w:rsidRDefault="00000000">
            <w:pPr>
              <w:jc w:val="center"/>
            </w:pPr>
            <w:r>
              <w:rPr>
                <w:b/>
              </w:rPr>
              <w:lastRenderedPageBreak/>
              <w:t>A</w:t>
            </w:r>
          </w:p>
        </w:tc>
        <w:tc>
          <w:tcPr>
            <w:tcW w:w="1500" w:type="dxa"/>
            <w:noWrap/>
          </w:tcPr>
          <w:p w14:paraId="44419CCC" w14:textId="77777777" w:rsidR="00DB2B68" w:rsidRDefault="00000000">
            <w:pPr>
              <w:jc w:val="center"/>
            </w:pPr>
            <w:r>
              <w:rPr>
                <w:b/>
              </w:rPr>
              <w:t>B1</w:t>
            </w:r>
          </w:p>
        </w:tc>
        <w:tc>
          <w:tcPr>
            <w:tcW w:w="1500" w:type="dxa"/>
            <w:noWrap/>
          </w:tcPr>
          <w:p w14:paraId="24291986" w14:textId="77777777" w:rsidR="00DB2B68" w:rsidRDefault="00000000">
            <w:pPr>
              <w:jc w:val="center"/>
            </w:pPr>
            <w:r>
              <w:rPr>
                <w:b/>
              </w:rPr>
              <w:t>B2</w:t>
            </w:r>
          </w:p>
        </w:tc>
        <w:tc>
          <w:tcPr>
            <w:tcW w:w="1500" w:type="dxa"/>
            <w:noWrap/>
          </w:tcPr>
          <w:p w14:paraId="57C4F43B" w14:textId="77777777" w:rsidR="00DB2B68" w:rsidRDefault="00000000">
            <w:pPr>
              <w:jc w:val="center"/>
            </w:pPr>
            <w:r>
              <w:rPr>
                <w:b/>
              </w:rPr>
              <w:t>C</w:t>
            </w:r>
          </w:p>
        </w:tc>
        <w:tc>
          <w:tcPr>
            <w:tcW w:w="1500" w:type="dxa"/>
            <w:noWrap/>
          </w:tcPr>
          <w:p w14:paraId="39DA715F" w14:textId="77777777" w:rsidR="00DB2B68" w:rsidRDefault="00000000">
            <w:pPr>
              <w:jc w:val="center"/>
            </w:pPr>
            <w:r>
              <w:rPr>
                <w:b/>
              </w:rPr>
              <w:t>D</w:t>
            </w:r>
          </w:p>
        </w:tc>
        <w:tc>
          <w:tcPr>
            <w:tcW w:w="1500" w:type="dxa"/>
            <w:noWrap/>
          </w:tcPr>
          <w:p w14:paraId="0C3C1F9C" w14:textId="77777777" w:rsidR="00DB2B68" w:rsidRDefault="00000000">
            <w:pPr>
              <w:jc w:val="center"/>
            </w:pPr>
            <w:r>
              <w:rPr>
                <w:b/>
              </w:rPr>
              <w:t>E</w:t>
            </w:r>
          </w:p>
        </w:tc>
      </w:tr>
      <w:tr w:rsidR="00DB2B68" w14:paraId="1ADD286A" w14:textId="77777777">
        <w:tc>
          <w:tcPr>
            <w:tcW w:w="1500" w:type="dxa"/>
            <w:noWrap/>
          </w:tcPr>
          <w:p w14:paraId="6F8B1201" w14:textId="77777777" w:rsidR="00DB2B68" w:rsidRDefault="00000000">
            <w:pPr>
              <w:jc w:val="center"/>
            </w:pPr>
            <w:r>
              <w:rPr>
                <w:b/>
              </w:rPr>
              <w:t>Classe de résistance</w:t>
            </w:r>
          </w:p>
        </w:tc>
        <w:tc>
          <w:tcPr>
            <w:tcW w:w="1500" w:type="dxa"/>
            <w:noWrap/>
          </w:tcPr>
          <w:p w14:paraId="453E924B" w14:textId="77777777" w:rsidR="00DB2B68" w:rsidRDefault="00000000">
            <w:pPr>
              <w:jc w:val="center"/>
            </w:pPr>
            <w:r>
              <w:rPr>
                <w:b/>
              </w:rPr>
              <w:t>Domaine d’application</w:t>
            </w:r>
          </w:p>
        </w:tc>
        <w:tc>
          <w:tcPr>
            <w:tcW w:w="1500" w:type="dxa"/>
            <w:noWrap/>
          </w:tcPr>
          <w:p w14:paraId="0C7F30AC" w14:textId="77777777" w:rsidR="00DB2B68" w:rsidRDefault="00000000">
            <w:pPr>
              <w:jc w:val="center"/>
            </w:pPr>
            <w:r>
              <w:rPr>
                <w:b/>
              </w:rPr>
              <w:t>Classe d'environnement</w:t>
            </w:r>
          </w:p>
        </w:tc>
        <w:tc>
          <w:tcPr>
            <w:tcW w:w="1500" w:type="dxa"/>
            <w:noWrap/>
          </w:tcPr>
          <w:p w14:paraId="067AFFC5" w14:textId="77777777" w:rsidR="00DB2B68" w:rsidRDefault="00000000">
            <w:pPr>
              <w:jc w:val="center"/>
            </w:pPr>
            <w:r>
              <w:rPr>
                <w:b/>
              </w:rPr>
              <w:t>Classe de consistance</w:t>
            </w:r>
          </w:p>
        </w:tc>
        <w:tc>
          <w:tcPr>
            <w:tcW w:w="1500" w:type="dxa"/>
            <w:noWrap/>
          </w:tcPr>
          <w:p w14:paraId="37B2CE68" w14:textId="77777777" w:rsidR="00DB2B68" w:rsidRDefault="00000000">
            <w:pPr>
              <w:jc w:val="center"/>
            </w:pPr>
            <w:r>
              <w:rPr>
                <w:b/>
              </w:rPr>
              <w:t>Granulométrie maximale</w:t>
            </w:r>
          </w:p>
        </w:tc>
        <w:tc>
          <w:tcPr>
            <w:tcW w:w="1500" w:type="dxa"/>
            <w:noWrap/>
          </w:tcPr>
          <w:p w14:paraId="61A53B34" w14:textId="77777777" w:rsidR="00DB2B68" w:rsidRDefault="00000000">
            <w:r>
              <w:rPr>
                <w:b/>
              </w:rPr>
              <w:t>Données complémentaires</w:t>
            </w:r>
          </w:p>
        </w:tc>
      </w:tr>
      <w:tr w:rsidR="00DB2B68" w14:paraId="519089F2" w14:textId="77777777">
        <w:tc>
          <w:tcPr>
            <w:tcW w:w="1500" w:type="dxa"/>
            <w:noWrap/>
          </w:tcPr>
          <w:p w14:paraId="31641AEA" w14:textId="77777777" w:rsidR="00DB2B68" w:rsidRDefault="00000000">
            <w:pPr>
              <w:jc w:val="center"/>
            </w:pPr>
            <w:r>
              <w:rPr>
                <w:rStyle w:val="optioncarChar"/>
              </w:rPr>
              <w:t>C25/30 / C30/37 / C35/45 / C45/55 / C50/60 / C55/67 / C60/75 / C70/85 / C80/95 / C90/105</w:t>
            </w:r>
          </w:p>
        </w:tc>
        <w:tc>
          <w:tcPr>
            <w:tcW w:w="1500" w:type="dxa"/>
            <w:noWrap/>
          </w:tcPr>
          <w:p w14:paraId="68694385" w14:textId="77777777" w:rsidR="00DB2B68" w:rsidRDefault="00000000">
            <w:pPr>
              <w:jc w:val="center"/>
            </w:pPr>
            <w:r>
              <w:t>Béton armé</w:t>
            </w:r>
          </w:p>
          <w:p w14:paraId="29502E38" w14:textId="77777777" w:rsidR="00DB2B68" w:rsidRDefault="00000000">
            <w:pPr>
              <w:jc w:val="center"/>
            </w:pPr>
            <w:r>
              <w:t> </w:t>
            </w:r>
          </w:p>
        </w:tc>
        <w:tc>
          <w:tcPr>
            <w:tcW w:w="1500" w:type="dxa"/>
            <w:noWrap/>
          </w:tcPr>
          <w:p w14:paraId="0409D936" w14:textId="77777777" w:rsidR="00DB2B68" w:rsidRDefault="00000000">
            <w:pPr>
              <w:jc w:val="center"/>
            </w:pPr>
            <w:r>
              <w:rPr>
                <w:rStyle w:val="optioncarChar"/>
              </w:rPr>
              <w:t>E0 / EI / EE1 / EE2 / EE3 / EE4 / ES1 / ES2 / ES3 / ES4 / EA1+*** / EA2+***/ EA3+***</w:t>
            </w:r>
          </w:p>
        </w:tc>
        <w:tc>
          <w:tcPr>
            <w:tcW w:w="1500" w:type="dxa"/>
            <w:noWrap/>
          </w:tcPr>
          <w:p w14:paraId="08DEAF4F" w14:textId="77777777" w:rsidR="00DB2B68" w:rsidRDefault="00000000">
            <w:pPr>
              <w:jc w:val="center"/>
            </w:pPr>
            <w:r>
              <w:t>au choix de l'entrepreneur :</w:t>
            </w:r>
          </w:p>
          <w:p w14:paraId="61F81023" w14:textId="77777777" w:rsidR="00DB2B68" w:rsidRDefault="00000000">
            <w:pPr>
              <w:jc w:val="center"/>
            </w:pPr>
            <w:r>
              <w:rPr>
                <w:rStyle w:val="optioncarChar"/>
              </w:rPr>
              <w:t>S3 / S4 / S5 /</w:t>
            </w:r>
            <w:r>
              <w:br/>
            </w:r>
          </w:p>
          <w:p w14:paraId="048FEF87" w14:textId="77777777" w:rsidR="00DB2B68" w:rsidRDefault="00000000">
            <w:pPr>
              <w:jc w:val="center"/>
            </w:pPr>
            <w:r>
              <w:rPr>
                <w:rStyle w:val="optioncarChar"/>
              </w:rPr>
              <w:t>F3 / F4 / F5 / F6</w:t>
            </w:r>
            <w:r>
              <w:br/>
            </w:r>
          </w:p>
        </w:tc>
        <w:tc>
          <w:tcPr>
            <w:tcW w:w="1500" w:type="dxa"/>
            <w:noWrap/>
          </w:tcPr>
          <w:p w14:paraId="20E4B53C" w14:textId="77777777" w:rsidR="00DB2B68" w:rsidRDefault="00000000">
            <w:pPr>
              <w:jc w:val="center"/>
            </w:pPr>
            <w:r>
              <w:t>au choix de l'entrepreneur :</w:t>
            </w:r>
          </w:p>
          <w:p w14:paraId="01097234" w14:textId="77777777" w:rsidR="00DB2B68" w:rsidRDefault="00000000">
            <w:pPr>
              <w:jc w:val="center"/>
            </w:pPr>
            <w:r>
              <w:rPr>
                <w:rStyle w:val="optioncarChar"/>
              </w:rPr>
              <w:t>6 / 8 / 10 / 11 / 12 / 14 / 16 / 20 / 22 / 32</w:t>
            </w:r>
            <w:r>
              <w:t xml:space="preserve"> mm</w:t>
            </w:r>
          </w:p>
        </w:tc>
        <w:tc>
          <w:tcPr>
            <w:tcW w:w="1500" w:type="dxa"/>
            <w:noWrap/>
          </w:tcPr>
          <w:p w14:paraId="626ED93B" w14:textId="77777777" w:rsidR="00DB2B68" w:rsidRDefault="00000000">
            <w:pPr>
              <w:jc w:val="center"/>
            </w:pPr>
            <w:r>
              <w:rPr>
                <w:rStyle w:val="optioncarChar"/>
              </w:rPr>
              <w:t>***</w:t>
            </w:r>
          </w:p>
        </w:tc>
      </w:tr>
    </w:tbl>
    <w:p w14:paraId="3108E23B"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CDBB8B1" w14:textId="77777777" w:rsidR="00DB2B68" w:rsidRDefault="00000000">
      <w:pPr>
        <w:pStyle w:val="Author-eListParagraph"/>
        <w:numPr>
          <w:ilvl w:val="0"/>
          <w:numId w:val="603"/>
        </w:numPr>
      </w:pPr>
      <w:r>
        <w:t xml:space="preserve">Classe de viscosité apparente : </w:t>
      </w:r>
      <w:r>
        <w:rPr>
          <w:rStyle w:val="optioncarChar"/>
        </w:rPr>
        <w:t>VS1 / VS2</w:t>
      </w:r>
      <w:r>
        <w:t xml:space="preserve"> (selon la [NBN EN 12350-8] )</w:t>
      </w:r>
    </w:p>
    <w:p w14:paraId="54492E2C" w14:textId="77777777" w:rsidR="00DB2B68" w:rsidRDefault="00000000">
      <w:pPr>
        <w:pStyle w:val="Author-eListParagraph"/>
        <w:numPr>
          <w:ilvl w:val="0"/>
          <w:numId w:val="60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67D3FF4" w14:textId="77777777" w:rsidR="00DB2B68" w:rsidRDefault="00000000">
      <w:pPr>
        <w:pStyle w:val="Author-eListParagraph"/>
        <w:numPr>
          <w:ilvl w:val="0"/>
          <w:numId w:val="60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E0B31AE"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 (voir </w:t>
      </w:r>
      <w:hyperlink w:anchor="232" w:history="1">
        <w:r>
          <w:rPr>
            <w:color w:val="0000EE"/>
          </w:rPr>
          <w:t>22.51 Armatures pour béton</w:t>
        </w:r>
      </w:hyperlink>
      <w:r>
        <w:t>)</w:t>
      </w:r>
    </w:p>
    <w:p w14:paraId="6E7DC955" w14:textId="77777777" w:rsidR="00DB2B68" w:rsidRDefault="00000000">
      <w:pPr>
        <w:pStyle w:val="Author-eListParagraph"/>
        <w:numPr>
          <w:ilvl w:val="0"/>
          <w:numId w:val="60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6AA1BC02" w14:textId="77777777" w:rsidR="00DB2B68" w:rsidRDefault="00000000">
      <w:pPr>
        <w:pStyle w:val="Author-eListParagraph"/>
        <w:numPr>
          <w:ilvl w:val="0"/>
          <w:numId w:val="60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59B69BED" w14:textId="77777777" w:rsidR="00DB2B68" w:rsidRDefault="00000000">
      <w:pPr>
        <w:pStyle w:val="Author-eListParagraph"/>
        <w:numPr>
          <w:ilvl w:val="0"/>
          <w:numId w:val="604"/>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 </w:t>
      </w:r>
      <w:r>
        <w:t>(par défaut)</w:t>
      </w:r>
      <w:r>
        <w:rPr>
          <w:rStyle w:val="optioncarChar"/>
        </w:rPr>
        <w:t xml:space="preserve"> / ***x***x***x***</w:t>
      </w:r>
      <w:r>
        <w:t xml:space="preserve"> mm.</w:t>
      </w:r>
    </w:p>
    <w:p w14:paraId="4D88AEF6" w14:textId="77777777" w:rsidR="00DB2B68" w:rsidRDefault="00000000">
      <w:pPr>
        <w:pStyle w:val="heading"/>
      </w:pPr>
      <w:r>
        <w:t>Options</w:t>
      </w:r>
    </w:p>
    <w:p w14:paraId="0FACE15F" w14:textId="77777777" w:rsidR="00DB2B68" w:rsidRDefault="00000000">
      <w:pPr>
        <w:pStyle w:val="Author-eListParagraph"/>
        <w:numPr>
          <w:ilvl w:val="0"/>
          <w:numId w:val="605"/>
        </w:numPr>
      </w:pPr>
      <w:r>
        <w:t>Résistance au feu : dans certains cas, les balcons et terrasses sont soumis à des exigences de résistance au feu (</w:t>
      </w:r>
      <w:hyperlink w:anchor="518" w:history="1">
        <w:r>
          <w:rPr>
            <w:color w:val="0000EE"/>
          </w:rPr>
          <w:t>22.33 Balcons et terrasses en béton</w:t>
        </w:r>
      </w:hyperlink>
      <w:r>
        <w:t xml:space="preserve">) : sans fonction portante </w:t>
      </w:r>
      <w:r>
        <w:rPr>
          <w:rStyle w:val="optioncarChar"/>
        </w:rPr>
        <w:t>E 60 </w:t>
      </w:r>
      <w:r>
        <w:t>(par défaut)</w:t>
      </w:r>
      <w:r>
        <w:rPr>
          <w:rStyle w:val="optioncarChar"/>
        </w:rPr>
        <w:t xml:space="preserve"> / E *** </w:t>
      </w:r>
      <w:r>
        <w:t>et avec fonction portante</w:t>
      </w:r>
      <w:r>
        <w:rPr>
          <w:rStyle w:val="optioncarChar"/>
        </w:rPr>
        <w:t> REI 60 </w:t>
      </w:r>
      <w:r>
        <w:t>(par défaut)</w:t>
      </w:r>
      <w:r>
        <w:rPr>
          <w:rStyle w:val="optioncarChar"/>
        </w:rPr>
        <w:t xml:space="preserve"> / REI *** </w:t>
      </w:r>
    </w:p>
    <w:p w14:paraId="764EB05B" w14:textId="77777777" w:rsidR="00DB2B68" w:rsidRDefault="00000000">
      <w:r>
        <w:br/>
      </w:r>
      <w:r>
        <w:rPr>
          <w:i/>
          <w:u w:val="single"/>
        </w:rPr>
        <w:t> &gt; Remarque </w:t>
      </w:r>
      <w:r>
        <w:rPr>
          <w:i/>
        </w:rPr>
        <w:t xml:space="preserve">: </w:t>
      </w:r>
      <w:r>
        <w:br/>
      </w:r>
      <w:r>
        <w:rPr>
          <w:i/>
        </w:rPr>
        <w:t>Dans certains cas, les revêtements des balcons, coursives et terrasses sont soumis à des exigences de comportement au feu extérieur et/ou de réaction au feu : voir tome 5</w:t>
      </w:r>
    </w:p>
    <w:p w14:paraId="43D091C3" w14:textId="77777777" w:rsidR="00DB2B68" w:rsidRDefault="00000000">
      <w:pPr>
        <w:pStyle w:val="pheading"/>
      </w:pPr>
      <w:r>
        <w:t>EXÉCUTION / MISE EN ŒUVRE</w:t>
      </w:r>
    </w:p>
    <w:p w14:paraId="3374C5AD" w14:textId="77777777" w:rsidR="00DB2B68" w:rsidRDefault="00000000">
      <w:r>
        <w:t xml:space="preserve">L'étude est à charge </w:t>
      </w:r>
      <w:r>
        <w:rPr>
          <w:rStyle w:val="optioncarChar"/>
        </w:rPr>
        <w:t>de l'entrepreneur / du maître de l'ouvrage / du bureau d’étude</w:t>
      </w:r>
      <w:r>
        <w:t xml:space="preserve"> ( voir également </w:t>
      </w:r>
      <w:hyperlink w:anchor="87" w:history="1">
        <w:r>
          <w:rPr>
            <w:color w:val="0000EE"/>
          </w:rPr>
          <w:t>22 Superstructures en béton</w:t>
        </w:r>
      </w:hyperlink>
      <w:r>
        <w:t>).</w:t>
      </w:r>
      <w:r>
        <w:br/>
        <w:t xml:space="preserve">Les éléments en encorbellement sont coulés sur place en </w:t>
      </w:r>
      <w:r>
        <w:rPr>
          <w:rStyle w:val="optioncarChar"/>
        </w:rPr>
        <w:t>une seule </w:t>
      </w:r>
      <w:r>
        <w:t>(par défaut)</w:t>
      </w:r>
      <w:r>
        <w:rPr>
          <w:rStyle w:val="optioncarChar"/>
        </w:rPr>
        <w:t xml:space="preserve"> / ***</w:t>
      </w:r>
      <w:r>
        <w:t> fois.</w:t>
      </w:r>
      <w:r>
        <w:br/>
        <w:t xml:space="preserve">Le décoffrage se fait au plus tôt  </w:t>
      </w:r>
      <w:r>
        <w:rPr>
          <w:rStyle w:val="optioncarChar"/>
        </w:rPr>
        <w:t xml:space="preserve">*** </w:t>
      </w:r>
      <w:r>
        <w:t xml:space="preserve">jours </w:t>
      </w:r>
      <w:r>
        <w:rPr>
          <w:rStyle w:val="optioncarChar"/>
        </w:rPr>
        <w:t>après le coulage du béton / selon les directives de l’ingénieur.</w:t>
      </w:r>
    </w:p>
    <w:p w14:paraId="21D03D8A" w14:textId="77777777" w:rsidR="00DB2B68" w:rsidRDefault="00000000">
      <w:pPr>
        <w:pStyle w:val="Author-eSectionHeading6Numberless"/>
      </w:pPr>
      <w:bookmarkStart w:id="864" w:name="_Toc220495912"/>
      <w:r>
        <w:lastRenderedPageBreak/>
        <w:t>22.33.2a Balcons et terrasses en béton apparent (esthétique) coulé en place CCTB 01.11</w:t>
      </w:r>
      <w:bookmarkEnd w:id="864"/>
    </w:p>
    <w:p w14:paraId="4CD599BE" w14:textId="77777777" w:rsidR="00DB2B68" w:rsidRDefault="00000000">
      <w:pPr>
        <w:pStyle w:val="pheading"/>
      </w:pPr>
      <w:r>
        <w:t>MATÉRIAUX</w:t>
      </w:r>
    </w:p>
    <w:p w14:paraId="3977FA38" w14:textId="77777777" w:rsidR="00DB2B68" w:rsidRDefault="00000000">
      <w:pPr>
        <w:pStyle w:val="pheading"/>
      </w:pPr>
      <w:r>
        <w:t>- Finitions</w:t>
      </w:r>
    </w:p>
    <w:p w14:paraId="4AC71B46"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536E199B" w14:textId="77777777" w:rsidR="00DB2B68"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486" w:history="1">
        <w:r>
          <w:rPr>
            <w:color w:val="0000EE"/>
          </w:rPr>
          <w:t>22.71 Traitements esthétiques ou de surface</w:t>
        </w:r>
      </w:hyperlink>
      <w:r>
        <w:t>.</w:t>
      </w:r>
    </w:p>
    <w:p w14:paraId="41D92C98" w14:textId="77777777" w:rsidR="00DB2B68"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4390A287"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1EB7F0AF" w14:textId="77777777" w:rsidR="00DB2B68" w:rsidRDefault="00000000">
      <w:pPr>
        <w:pStyle w:val="Author-eListParagraph"/>
        <w:numPr>
          <w:ilvl w:val="0"/>
          <w:numId w:val="606"/>
        </w:numPr>
      </w:pPr>
      <w:r>
        <w:rPr>
          <w:rStyle w:val="soitChar"/>
        </w:rPr>
        <w:t>La texture :</w:t>
      </w:r>
      <w:r>
        <w:t xml:space="preserve">  </w:t>
      </w:r>
      <w:r>
        <w:rPr>
          <w:rStyle w:val="optioncarChar"/>
        </w:rPr>
        <w:t>T1</w:t>
      </w:r>
      <w:r>
        <w:t xml:space="preserve"> (par défaut) </w:t>
      </w:r>
      <w:r>
        <w:rPr>
          <w:rStyle w:val="optioncarChar"/>
        </w:rPr>
        <w:t>/ T2 / T3 / suivant description spécifique</w:t>
      </w:r>
    </w:p>
    <w:p w14:paraId="119922AC" w14:textId="77777777" w:rsidR="00DB2B68" w:rsidRDefault="00000000">
      <w:pPr>
        <w:pStyle w:val="Author-eListParagraph"/>
        <w:numPr>
          <w:ilvl w:val="0"/>
          <w:numId w:val="606"/>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3AD3E3B2" w14:textId="77777777" w:rsidR="00DB2B68" w:rsidRDefault="00000000">
      <w:pPr>
        <w:pStyle w:val="Author-eListParagraph"/>
        <w:numPr>
          <w:ilvl w:val="0"/>
          <w:numId w:val="606"/>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DD2FAE1" w14:textId="77777777" w:rsidR="00DB2B68" w:rsidRDefault="00000000">
      <w:pPr>
        <w:pStyle w:val="Author-eListParagraph"/>
        <w:numPr>
          <w:ilvl w:val="0"/>
          <w:numId w:val="606"/>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51EF7410" w14:textId="77777777" w:rsidR="00DB2B68" w:rsidRDefault="00000000">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6A445A0F" w14:textId="77777777" w:rsidR="00DB2B68" w:rsidRDefault="00000000">
      <w:pPr>
        <w:pStyle w:val="pheading"/>
      </w:pPr>
      <w:r>
        <w:t>EXÉCUTION / MISE EN ŒUVRE</w:t>
      </w:r>
    </w:p>
    <w:p w14:paraId="5B3FDFE4" w14:textId="77777777" w:rsidR="00DB2B68" w:rsidRDefault="00000000">
      <w:pPr>
        <w:pStyle w:val="pheading"/>
      </w:pPr>
      <w:r>
        <w:t>- Notes d’exécution complémentaires</w:t>
      </w:r>
    </w:p>
    <w:p w14:paraId="3C7D23FE" w14:textId="77777777" w:rsidR="00DB2B68" w:rsidRDefault="00000000">
      <w:r>
        <w:t>Raccords visibles : joint en forme de </w:t>
      </w:r>
      <w:r>
        <w:rPr>
          <w:rStyle w:val="optioncarChar"/>
        </w:rPr>
        <w:t>V</w:t>
      </w:r>
      <w:r>
        <w:t> (par défaut)</w:t>
      </w:r>
      <w:r>
        <w:rPr>
          <w:rStyle w:val="optioncarChar"/>
        </w:rPr>
        <w:t xml:space="preserve"> / ***</w:t>
      </w:r>
      <w:r>
        <w:t>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27DA8BE9" w14:textId="77777777" w:rsidR="00DB2B68" w:rsidRDefault="00000000">
      <w:pPr>
        <w:pStyle w:val="pheading"/>
      </w:pPr>
      <w:r>
        <w:t>MESURAGE</w:t>
      </w:r>
    </w:p>
    <w:p w14:paraId="06362BCF" w14:textId="77777777" w:rsidR="00DB2B68" w:rsidRDefault="00000000">
      <w:pPr>
        <w:pStyle w:val="pheading"/>
      </w:pPr>
      <w:r>
        <w:t>- unité de mesure:</w:t>
      </w:r>
    </w:p>
    <w:p w14:paraId="673B6695" w14:textId="77777777" w:rsidR="00DB2B68" w:rsidRDefault="00000000">
      <w:r>
        <w:t>m³ pour le béton</w:t>
      </w:r>
      <w:r>
        <w:br/>
        <w:t>kg pour les barres d’armatures</w:t>
      </w:r>
      <w:r>
        <w:br/>
        <w:t>PM, coffrages</w:t>
      </w:r>
    </w:p>
    <w:p w14:paraId="6CDB5FC8" w14:textId="77777777" w:rsidR="00DB2B68" w:rsidRDefault="00000000">
      <w:pPr>
        <w:pStyle w:val="pheading"/>
      </w:pPr>
      <w:r>
        <w:t>- nature du marché:</w:t>
      </w:r>
    </w:p>
    <w:p w14:paraId="36F66CF3" w14:textId="77777777" w:rsidR="00DB2B68" w:rsidRDefault="00000000">
      <w:r>
        <w:t>QF</w:t>
      </w:r>
    </w:p>
    <w:p w14:paraId="26BE7255" w14:textId="77777777" w:rsidR="00DB2B68" w:rsidRDefault="00000000">
      <w:pPr>
        <w:pStyle w:val="Author-eSectionHeading5Numberless"/>
      </w:pPr>
      <w:bookmarkStart w:id="865" w:name="_Toc220495913"/>
      <w:r>
        <w:t>22.33.3 Balcons et terrasses préfabriqués en béton CCTB 01.13</w:t>
      </w:r>
      <w:bookmarkEnd w:id="865"/>
    </w:p>
    <w:p w14:paraId="7334E85D" w14:textId="77777777" w:rsidR="00DB2B68" w:rsidRDefault="00000000">
      <w:pPr>
        <w:pStyle w:val="pheading"/>
      </w:pPr>
      <w:r>
        <w:t>DESCRIPTION</w:t>
      </w:r>
    </w:p>
    <w:p w14:paraId="4FC32E8C" w14:textId="77777777" w:rsidR="00DB2B68" w:rsidRDefault="00000000">
      <w:pPr>
        <w:pStyle w:val="pheading"/>
      </w:pPr>
      <w:r>
        <w:t>- Définition / Comprend</w:t>
      </w:r>
    </w:p>
    <w:p w14:paraId="0DDD86F5" w14:textId="77777777" w:rsidR="00DB2B68" w:rsidRDefault="00000000">
      <w:r>
        <w:lastRenderedPageBreak/>
        <w:t>Il s'agit de tous les éléments en encorbellement :  balcons et terrasses qui sont préfabriqués et sont ensuite intégrés dans la construction portante avec les moyens appropriés.</w:t>
      </w:r>
    </w:p>
    <w:p w14:paraId="068F0D2B" w14:textId="77777777" w:rsidR="00DB2B68" w:rsidRDefault="00000000">
      <w:pPr>
        <w:pStyle w:val="pheading"/>
      </w:pPr>
      <w:r>
        <w:t>MATÉRIAUX</w:t>
      </w:r>
    </w:p>
    <w:p w14:paraId="38F8EBE2" w14:textId="77777777" w:rsidR="00DB2B68" w:rsidRDefault="00000000">
      <w:r>
        <w:t xml:space="preserve">L’ensemble des matériaux, des éléments de support et des assemblages doivent satisfaire aux charges d’exploitation et à la classe d’environnement indiquées préalablement (voir également </w:t>
      </w:r>
      <w:hyperlink w:anchor="87" w:history="1">
        <w:r>
          <w:rPr>
            <w:color w:val="0000EE"/>
          </w:rPr>
          <w:t>22 Superstructures en béton</w:t>
        </w:r>
      </w:hyperlink>
      <w:r>
        <w:t>).</w:t>
      </w:r>
    </w:p>
    <w:p w14:paraId="407E1EF5" w14:textId="77777777" w:rsidR="00DB2B68" w:rsidRDefault="00000000">
      <w:pPr>
        <w:pStyle w:val="heading"/>
      </w:pPr>
      <w:r>
        <w:t>Spécifications</w:t>
      </w:r>
    </w:p>
    <w:p w14:paraId="41767F63" w14:textId="77777777" w:rsidR="00DB2B68" w:rsidRDefault="00000000">
      <w:pPr>
        <w:pStyle w:val="Author-eListParagraph"/>
        <w:numPr>
          <w:ilvl w:val="0"/>
          <w:numId w:val="607"/>
        </w:numPr>
      </w:pPr>
      <w:r>
        <w:t>Conformes aux normes [NBN EN 13369] et [NBN B 21-600]</w:t>
      </w:r>
    </w:p>
    <w:p w14:paraId="7A01BF65" w14:textId="77777777" w:rsidR="00DB2B68" w:rsidRDefault="00000000">
      <w:pPr>
        <w:pStyle w:val="Author-eListParagraph"/>
        <w:numPr>
          <w:ilvl w:val="0"/>
          <w:numId w:val="607"/>
        </w:numPr>
      </w:pPr>
      <w:r>
        <w:t>Forme et dimensions : conformément aux indications sur les plans</w:t>
      </w:r>
    </w:p>
    <w:p w14:paraId="30187C01" w14:textId="77777777" w:rsidR="00DB2B68" w:rsidRDefault="00000000">
      <w:pPr>
        <w:pStyle w:val="Author-eListParagraph"/>
        <w:numPr>
          <w:ilvl w:val="0"/>
          <w:numId w:val="607"/>
        </w:numPr>
      </w:pPr>
      <w:r>
        <w:t xml:space="preserve">Charge d’exploitation : </w:t>
      </w:r>
      <w:r>
        <w:rPr>
          <w:rStyle w:val="optioncarChar"/>
        </w:rPr>
        <w:t>***</w:t>
      </w:r>
    </w:p>
    <w:p w14:paraId="365A0503" w14:textId="77777777" w:rsidR="00DB2B68" w:rsidRDefault="00000000">
      <w:pPr>
        <w:pStyle w:val="Author-eListParagraph"/>
        <w:numPr>
          <w:ilvl w:val="0"/>
          <w:numId w:val="607"/>
        </w:numPr>
      </w:pPr>
      <w:r>
        <w:t xml:space="preserve">Classe d’environnement : </w:t>
      </w:r>
      <w:r>
        <w:rPr>
          <w:rStyle w:val="optioncarChar"/>
        </w:rPr>
        <w:t>***</w:t>
      </w:r>
    </w:p>
    <w:p w14:paraId="367F04FB" w14:textId="77777777" w:rsidR="00DB2B68" w:rsidRDefault="00000000">
      <w:pPr>
        <w:pStyle w:val="Author-eListParagraph"/>
        <w:numPr>
          <w:ilvl w:val="0"/>
          <w:numId w:val="607"/>
        </w:numPr>
      </w:pPr>
      <w:r>
        <w:t>Coffrage : La surface du béton est</w:t>
      </w:r>
      <w:r>
        <w:rPr>
          <w:rStyle w:val="optioncarChar"/>
        </w:rPr>
        <w:t xml:space="preserve"> brute et lisse / brute et finement texturée / brute et grossièrement texturée / brute à relief (ou structurée)</w:t>
      </w:r>
    </w:p>
    <w:p w14:paraId="41EED033" w14:textId="77777777" w:rsidR="00DB2B68" w:rsidRDefault="00000000">
      <w:pPr>
        <w:pStyle w:val="Author-eListParagraph"/>
        <w:numPr>
          <w:ilvl w:val="0"/>
          <w:numId w:val="607"/>
        </w:numPr>
      </w:pPr>
      <w:r>
        <w:t>Eléments d’ancrage : avec dispositif de rupture thermique - système à soumettre pour approbation</w:t>
      </w:r>
    </w:p>
    <w:p w14:paraId="01B60528" w14:textId="77777777" w:rsidR="00DB2B68" w:rsidRDefault="00000000">
      <w:pPr>
        <w:pStyle w:val="pheading"/>
      </w:pPr>
      <w:r>
        <w:t>EXÉCUTION / MISE EN ŒUVRE</w:t>
      </w:r>
    </w:p>
    <w:p w14:paraId="3EF06DBA" w14:textId="77777777" w:rsidR="00DB2B68" w:rsidRDefault="00000000">
      <w:r>
        <w:t xml:space="preserve">Les éléments de balcons et terrasses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rPr>
            <w:color w:val="0000EE"/>
          </w:rPr>
          <w:t>22 Superstructures en béton</w:t>
        </w:r>
      </w:hyperlink>
      <w:r>
        <w:t>).</w:t>
      </w:r>
    </w:p>
    <w:p w14:paraId="28AE5A22" w14:textId="77777777" w:rsidR="00DB2B68" w:rsidRDefault="00000000">
      <w:pPr>
        <w:pStyle w:val="Author-eSectionHeading6Numberless"/>
      </w:pPr>
      <w:bookmarkStart w:id="866" w:name="_Toc220495914"/>
      <w:r>
        <w:t>22.33.3a Balcons et terrasses préfabriqués en béton CCTB 01.04</w:t>
      </w:r>
      <w:bookmarkEnd w:id="866"/>
    </w:p>
    <w:p w14:paraId="43C48180" w14:textId="77777777" w:rsidR="00DB2B68" w:rsidRDefault="00000000">
      <w:pPr>
        <w:pStyle w:val="Author-eSectionHeading5Numberless"/>
      </w:pPr>
      <w:bookmarkStart w:id="867" w:name="_Toc220495915"/>
      <w:r>
        <w:t>22.33.4 Balcons et terrasses préfabriqués en béton architectonique CCTB 01.13</w:t>
      </w:r>
      <w:bookmarkEnd w:id="867"/>
    </w:p>
    <w:p w14:paraId="64A8D959" w14:textId="77777777" w:rsidR="00DB2B68" w:rsidRDefault="00000000">
      <w:pPr>
        <w:pStyle w:val="pheading"/>
      </w:pPr>
      <w:r>
        <w:t>DESCRIPTION</w:t>
      </w:r>
    </w:p>
    <w:p w14:paraId="3CA720F8" w14:textId="77777777" w:rsidR="00DB2B68" w:rsidRDefault="00000000">
      <w:pPr>
        <w:pStyle w:val="pheading"/>
      </w:pPr>
      <w:r>
        <w:t>- Définition / Comprend</w:t>
      </w:r>
    </w:p>
    <w:p w14:paraId="72A8AAAC" w14:textId="77777777" w:rsidR="00DB2B68" w:rsidRDefault="00000000">
      <w:r>
        <w:t>Il s'agit de tous les éléments en encorbellement balcons et terrasses qui sont préfabriqués en béton architectonique/décoratifs et sont ensuite intégrés dans la construction portante avec les moyens appropriés.</w:t>
      </w:r>
    </w:p>
    <w:p w14:paraId="4BA88DDB" w14:textId="77777777" w:rsidR="00DB2B68" w:rsidRDefault="00000000">
      <w:pPr>
        <w:pStyle w:val="pheading"/>
      </w:pPr>
      <w:r>
        <w:t>MATÉRIAUX</w:t>
      </w:r>
    </w:p>
    <w:p w14:paraId="1C56F0B0" w14:textId="77777777" w:rsidR="00DB2B68" w:rsidRDefault="00000000">
      <w:r>
        <w:t xml:space="preserve">L’ensemble des matériaux, des éléments de support et des assemblages doivent satisfaire aux charges d’exploitation et à la classe d’environnement indiquées préalablement (voir également </w:t>
      </w:r>
      <w:hyperlink w:anchor="87" w:history="1">
        <w:r>
          <w:rPr>
            <w:color w:val="0000EE"/>
          </w:rPr>
          <w:t>22 Superstructures en béton</w:t>
        </w:r>
      </w:hyperlink>
      <w:r>
        <w:t>).</w:t>
      </w:r>
    </w:p>
    <w:p w14:paraId="4E5C5984" w14:textId="77777777" w:rsidR="00DB2B68" w:rsidRDefault="00000000">
      <w:pPr>
        <w:pStyle w:val="heading"/>
      </w:pPr>
      <w:r>
        <w:t>Spécifications</w:t>
      </w:r>
    </w:p>
    <w:p w14:paraId="47E30507" w14:textId="77777777" w:rsidR="00DB2B68" w:rsidRDefault="00000000">
      <w:pPr>
        <w:pStyle w:val="Author-eListParagraph"/>
        <w:numPr>
          <w:ilvl w:val="0"/>
          <w:numId w:val="608"/>
        </w:numPr>
      </w:pPr>
      <w:r>
        <w:t>Conformes aux normes [NBN EN 13369], [NBN B 21-600] et [PTV 21-601]</w:t>
      </w:r>
    </w:p>
    <w:p w14:paraId="6B44C2D8" w14:textId="77777777" w:rsidR="00DB2B68" w:rsidRDefault="00000000">
      <w:pPr>
        <w:pStyle w:val="Author-eListParagraph"/>
        <w:numPr>
          <w:ilvl w:val="0"/>
          <w:numId w:val="608"/>
        </w:numPr>
      </w:pPr>
      <w:r>
        <w:t>Forme et dimensions : conformément aux indications sur les plans</w:t>
      </w:r>
    </w:p>
    <w:p w14:paraId="47F3C87D" w14:textId="77777777" w:rsidR="00DB2B68" w:rsidRDefault="00000000">
      <w:pPr>
        <w:pStyle w:val="Author-eListParagraph"/>
        <w:numPr>
          <w:ilvl w:val="0"/>
          <w:numId w:val="608"/>
        </w:numPr>
      </w:pPr>
      <w:r>
        <w:t xml:space="preserve">Charge d’exploitation : </w:t>
      </w:r>
      <w:r>
        <w:rPr>
          <w:rStyle w:val="optioncarChar"/>
        </w:rPr>
        <w:t>***</w:t>
      </w:r>
    </w:p>
    <w:p w14:paraId="6E5F2C2A" w14:textId="77777777" w:rsidR="00DB2B68" w:rsidRDefault="00000000">
      <w:pPr>
        <w:pStyle w:val="Author-eListParagraph"/>
        <w:numPr>
          <w:ilvl w:val="0"/>
          <w:numId w:val="608"/>
        </w:numPr>
      </w:pPr>
      <w:r>
        <w:t xml:space="preserve">Classe d’environnement : </w:t>
      </w:r>
      <w:r>
        <w:rPr>
          <w:rStyle w:val="optioncarChar"/>
        </w:rPr>
        <w:t>***</w:t>
      </w:r>
    </w:p>
    <w:p w14:paraId="542E2F68" w14:textId="77777777" w:rsidR="00DB2B68" w:rsidRDefault="00000000">
      <w:pPr>
        <w:pStyle w:val="Author-eListParagraph"/>
        <w:numPr>
          <w:ilvl w:val="0"/>
          <w:numId w:val="608"/>
        </w:numPr>
      </w:pPr>
      <w:r>
        <w:t>Coffrage : </w:t>
      </w:r>
    </w:p>
    <w:p w14:paraId="0ADD9535" w14:textId="77777777" w:rsidR="00DB2B68" w:rsidRDefault="00000000">
      <w:r>
        <w:t xml:space="preserve">La surface du béton est </w:t>
      </w:r>
      <w:r>
        <w:rPr>
          <w:color w:val="FF0000"/>
        </w:rPr>
        <w:t>brute et lisse / brute et finement texturée / brute et grossièrement texturée / brute à relief (ou structurée) / lavée à l’eau / brossée / lavée à l’acide / bouchardée / grenaillée / grésée / polie mat / polie brillant / structurée / incrustée d’autres matériaux / ***</w:t>
      </w:r>
    </w:p>
    <w:p w14:paraId="71B1BF5C" w14:textId="77777777" w:rsidR="00DB2B68" w:rsidRDefault="00000000">
      <w:pPr>
        <w:pStyle w:val="Author-eListParagraph"/>
        <w:numPr>
          <w:ilvl w:val="0"/>
          <w:numId w:val="608"/>
        </w:numPr>
      </w:pPr>
      <w:r>
        <w:t>Eléments d’ancrage : avec dispositif de rupture thermique - système à soumettre pour approbation</w:t>
      </w:r>
    </w:p>
    <w:p w14:paraId="4B071399" w14:textId="77777777" w:rsidR="00DB2B68" w:rsidRDefault="00000000">
      <w:pPr>
        <w:pStyle w:val="pheading"/>
      </w:pPr>
      <w:r>
        <w:lastRenderedPageBreak/>
        <w:t>EXÉCUTION / MISE EN ŒUVRE</w:t>
      </w:r>
    </w:p>
    <w:p w14:paraId="6987B310" w14:textId="77777777" w:rsidR="00DB2B68" w:rsidRDefault="00000000">
      <w:r>
        <w:t xml:space="preserve">Les éléments de balcons et terrasses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rPr>
            <w:color w:val="0000EE"/>
          </w:rPr>
          <w:t>22 Superstructures en béton</w:t>
        </w:r>
      </w:hyperlink>
      <w:r>
        <w:t>).</w:t>
      </w:r>
    </w:p>
    <w:p w14:paraId="15ED6EE4" w14:textId="77777777" w:rsidR="00DB2B68" w:rsidRDefault="00000000">
      <w:pPr>
        <w:pStyle w:val="Author-eSectionHeading6Numberless"/>
      </w:pPr>
      <w:bookmarkStart w:id="868" w:name="_Toc220495916"/>
      <w:r>
        <w:t>22.33.4a Balcons et terrasses préfabriqués en béton décoratif / architectonique CCTB 01.04</w:t>
      </w:r>
      <w:bookmarkEnd w:id="868"/>
    </w:p>
    <w:p w14:paraId="50C3E0E4" w14:textId="77777777" w:rsidR="00DB2B68" w:rsidRDefault="00000000">
      <w:pPr>
        <w:pStyle w:val="Author-eSectionHeading4Numberless"/>
      </w:pPr>
      <w:bookmarkStart w:id="869" w:name="_Toc220495917"/>
      <w:r>
        <w:t>22.34 Passerelles et coursives en béton CCTB 01.04</w:t>
      </w:r>
      <w:bookmarkEnd w:id="869"/>
    </w:p>
    <w:p w14:paraId="05977049" w14:textId="77777777" w:rsidR="00DB2B68" w:rsidRDefault="00000000">
      <w:pPr>
        <w:pStyle w:val="Author-eSectionHeading5Numberless"/>
      </w:pPr>
      <w:bookmarkStart w:id="870" w:name="_Toc220495918"/>
      <w:r>
        <w:t>22.34.1 Passerelles et coursives en béton coulé en place CCTB 01.04</w:t>
      </w:r>
      <w:bookmarkEnd w:id="870"/>
    </w:p>
    <w:p w14:paraId="1DBB51C0" w14:textId="77777777" w:rsidR="00DB2B68" w:rsidRDefault="00000000">
      <w:pPr>
        <w:pStyle w:val="Author-eSectionHeading6Numberless"/>
      </w:pPr>
      <w:bookmarkStart w:id="871" w:name="_Toc220495919"/>
      <w:r>
        <w:t>22.34.1a Passerelles et coursives en béton coulé en place CCTB 01.04</w:t>
      </w:r>
      <w:bookmarkEnd w:id="871"/>
    </w:p>
    <w:p w14:paraId="363BF330" w14:textId="77777777" w:rsidR="00DB2B68" w:rsidRDefault="00000000">
      <w:pPr>
        <w:pStyle w:val="Author-eSectionHeading5Numberless"/>
      </w:pPr>
      <w:bookmarkStart w:id="872" w:name="_Toc220495920"/>
      <w:r>
        <w:t>22.34.2 Passerelles et coursives en béton apparent (esthétique) coulé en place CCTB 01.02</w:t>
      </w:r>
      <w:bookmarkEnd w:id="872"/>
    </w:p>
    <w:p w14:paraId="34ED5A5F" w14:textId="77777777" w:rsidR="00DB2B68" w:rsidRDefault="00000000">
      <w:pPr>
        <w:pStyle w:val="Author-eSectionHeading6Numberless"/>
      </w:pPr>
      <w:bookmarkStart w:id="873" w:name="_Toc220495921"/>
      <w:r>
        <w:t>22.34.2a Passerelles et coursives en béton apparent (esthétique) coulé en place CCTB 01.04</w:t>
      </w:r>
      <w:bookmarkEnd w:id="873"/>
    </w:p>
    <w:p w14:paraId="10B0B180" w14:textId="77777777" w:rsidR="00DB2B68" w:rsidRDefault="00000000">
      <w:pPr>
        <w:pStyle w:val="Author-eSectionHeading5Numberless"/>
      </w:pPr>
      <w:bookmarkStart w:id="874" w:name="_Toc220495922"/>
      <w:r>
        <w:t>22.34.3 Passerelles et coursives préfabriquées en béton CCTB 01.04</w:t>
      </w:r>
      <w:bookmarkEnd w:id="874"/>
    </w:p>
    <w:p w14:paraId="65963DCF" w14:textId="77777777" w:rsidR="00DB2B68" w:rsidRDefault="00000000">
      <w:pPr>
        <w:pStyle w:val="Author-eSectionHeading6Numberless"/>
      </w:pPr>
      <w:bookmarkStart w:id="875" w:name="_Toc220495923"/>
      <w:r>
        <w:t>22.34.3a Passerelles et coursives préfabriquées en béton CCTB 01.04</w:t>
      </w:r>
      <w:bookmarkEnd w:id="875"/>
    </w:p>
    <w:p w14:paraId="4FCE24E3" w14:textId="77777777" w:rsidR="00DB2B68" w:rsidRDefault="00000000">
      <w:pPr>
        <w:pStyle w:val="Author-eSectionHeading5Numberless"/>
      </w:pPr>
      <w:bookmarkStart w:id="876" w:name="_Toc220495924"/>
      <w:r>
        <w:t>22.34.4 Passerelles et coursives préfabriquées en béton architectonique CCTB 01.04</w:t>
      </w:r>
      <w:bookmarkEnd w:id="876"/>
    </w:p>
    <w:p w14:paraId="3269E784" w14:textId="77777777" w:rsidR="00DB2B68" w:rsidRDefault="00000000">
      <w:pPr>
        <w:pStyle w:val="Author-eSectionHeading6Numberless"/>
      </w:pPr>
      <w:bookmarkStart w:id="877" w:name="_Toc220495925"/>
      <w:r>
        <w:t>22.34.4a Passerelles et coursives préfabriquées en béton décoratif / architectonique CCTB 01.04</w:t>
      </w:r>
      <w:bookmarkEnd w:id="877"/>
    </w:p>
    <w:p w14:paraId="23E37EA2" w14:textId="77777777" w:rsidR="00DB2B68" w:rsidRDefault="00000000">
      <w:pPr>
        <w:pStyle w:val="Author-eSectionHeading4Numberless"/>
      </w:pPr>
      <w:bookmarkStart w:id="878" w:name="_Toc220495926"/>
      <w:r>
        <w:t>22.35 Auvents en béton CCTB 01.04</w:t>
      </w:r>
      <w:bookmarkEnd w:id="878"/>
    </w:p>
    <w:p w14:paraId="697DD1DC" w14:textId="77777777" w:rsidR="00DB2B68" w:rsidRDefault="00000000">
      <w:pPr>
        <w:pStyle w:val="Author-eSectionHeading5Numberless"/>
      </w:pPr>
      <w:bookmarkStart w:id="879" w:name="_Toc220495927"/>
      <w:r>
        <w:t>22.35.1 Auvents en béton coulé en place CCTB 01.04</w:t>
      </w:r>
      <w:bookmarkEnd w:id="879"/>
    </w:p>
    <w:p w14:paraId="1AE8C9EE" w14:textId="77777777" w:rsidR="00DB2B68" w:rsidRDefault="00000000">
      <w:pPr>
        <w:pStyle w:val="Author-eSectionHeading6Numberless"/>
      </w:pPr>
      <w:bookmarkStart w:id="880" w:name="_Toc220495928"/>
      <w:r>
        <w:t>22.35.1a Auvents en béton coulé en place CCTB 01.04</w:t>
      </w:r>
      <w:bookmarkEnd w:id="880"/>
    </w:p>
    <w:p w14:paraId="6F975D3D" w14:textId="77777777" w:rsidR="00DB2B68" w:rsidRDefault="00000000">
      <w:pPr>
        <w:pStyle w:val="Author-eSectionHeading5Numberless"/>
      </w:pPr>
      <w:bookmarkStart w:id="881" w:name="_Toc220495929"/>
      <w:r>
        <w:t>22.35.2 Auvents en béton apparent (esthétique) coulé en place CCTB 01.04</w:t>
      </w:r>
      <w:bookmarkEnd w:id="881"/>
    </w:p>
    <w:p w14:paraId="1CE0ECB1" w14:textId="77777777" w:rsidR="00DB2B68" w:rsidRDefault="00000000">
      <w:pPr>
        <w:pStyle w:val="Author-eSectionHeading6Numberless"/>
      </w:pPr>
      <w:bookmarkStart w:id="882" w:name="_Toc220495930"/>
      <w:r>
        <w:t>22.35.2a Auvents en béton apparent (esthétique) coulé en place CCTB 01.04</w:t>
      </w:r>
      <w:bookmarkEnd w:id="882"/>
    </w:p>
    <w:p w14:paraId="7BE4FBC4" w14:textId="77777777" w:rsidR="00DB2B68" w:rsidRDefault="00000000">
      <w:pPr>
        <w:pStyle w:val="Author-eSectionHeading5Numberless"/>
      </w:pPr>
      <w:bookmarkStart w:id="883" w:name="_Toc220495931"/>
      <w:r>
        <w:t>22.35.3 Auvents préfabriqués en béton CCTB 01.04</w:t>
      </w:r>
      <w:bookmarkEnd w:id="883"/>
    </w:p>
    <w:p w14:paraId="1A9B9A9F" w14:textId="77777777" w:rsidR="00DB2B68" w:rsidRDefault="00000000">
      <w:pPr>
        <w:pStyle w:val="Author-eSectionHeading6Numberless"/>
      </w:pPr>
      <w:bookmarkStart w:id="884" w:name="_Toc220495932"/>
      <w:r>
        <w:t>22.35.3a Auvents préfabriqués en béton CCTB 01.04</w:t>
      </w:r>
      <w:bookmarkEnd w:id="884"/>
    </w:p>
    <w:p w14:paraId="5E878885" w14:textId="77777777" w:rsidR="00DB2B68" w:rsidRDefault="00000000">
      <w:pPr>
        <w:pStyle w:val="Author-eSectionHeading5Numberless"/>
      </w:pPr>
      <w:bookmarkStart w:id="885" w:name="_Toc220495933"/>
      <w:r>
        <w:t>22.35.4 Auvents préfabriqués en béton architectonique CCTB 01.02</w:t>
      </w:r>
      <w:bookmarkEnd w:id="885"/>
    </w:p>
    <w:p w14:paraId="108D5074" w14:textId="77777777" w:rsidR="00DB2B68" w:rsidRDefault="00000000">
      <w:pPr>
        <w:pStyle w:val="Author-eSectionHeading6Numberless"/>
      </w:pPr>
      <w:bookmarkStart w:id="886" w:name="_Toc220495934"/>
      <w:r>
        <w:t>22.35.4a Auvents préfabriqués en béton décoratif / architectonique CCTB 01.04</w:t>
      </w:r>
      <w:bookmarkEnd w:id="886"/>
    </w:p>
    <w:p w14:paraId="18542877" w14:textId="77777777" w:rsidR="00DB2B68" w:rsidRDefault="00000000">
      <w:pPr>
        <w:pStyle w:val="Author-eSectionHeading4Numberless"/>
      </w:pPr>
      <w:bookmarkStart w:id="887" w:name="_Toc220495935"/>
      <w:r>
        <w:t>22.36 Corniches en béton CCTB 01.04</w:t>
      </w:r>
      <w:bookmarkEnd w:id="887"/>
    </w:p>
    <w:p w14:paraId="6FA12B27" w14:textId="77777777" w:rsidR="00DB2B68" w:rsidRDefault="00000000">
      <w:pPr>
        <w:pStyle w:val="Author-eSectionHeading5Numberless"/>
      </w:pPr>
      <w:bookmarkStart w:id="888" w:name="_Toc220495936"/>
      <w:r>
        <w:t>22.36.1 Corniches en béton coulé en place CCTB 01.04</w:t>
      </w:r>
      <w:bookmarkEnd w:id="888"/>
    </w:p>
    <w:p w14:paraId="150173C7" w14:textId="77777777" w:rsidR="00DB2B68" w:rsidRDefault="00000000">
      <w:pPr>
        <w:pStyle w:val="Author-eSectionHeading6Numberless"/>
      </w:pPr>
      <w:bookmarkStart w:id="889" w:name="_Toc220495937"/>
      <w:r>
        <w:t>22.36.1a Corniches en béton coulé en place CCTB 01.13</w:t>
      </w:r>
      <w:bookmarkEnd w:id="889"/>
    </w:p>
    <w:p w14:paraId="73C34F77" w14:textId="77777777" w:rsidR="00DB2B68" w:rsidRDefault="00000000">
      <w:pPr>
        <w:pStyle w:val="pheading"/>
      </w:pPr>
      <w:r>
        <w:t>DESCRIPTION</w:t>
      </w:r>
    </w:p>
    <w:p w14:paraId="26CC6E96" w14:textId="77777777" w:rsidR="00DB2B68" w:rsidRDefault="00000000">
      <w:pPr>
        <w:pStyle w:val="pheading"/>
      </w:pPr>
      <w:r>
        <w:lastRenderedPageBreak/>
        <w:t>- Définition / Comprend</w:t>
      </w:r>
    </w:p>
    <w:p w14:paraId="0BBB28C4" w14:textId="77777777" w:rsidR="00DB2B68" w:rsidRDefault="00000000">
      <w:r>
        <w:t xml:space="preserve">Il s'agit de tous les </w:t>
      </w:r>
      <w:r>
        <w:rPr>
          <w:rStyle w:val="optioncarChar"/>
          <w:color w:val="000000"/>
        </w:rPr>
        <w:t>corniches</w:t>
      </w:r>
      <w:r>
        <w:t xml:space="preserve"> exécutées en béton coulé en place.</w:t>
      </w:r>
    </w:p>
    <w:p w14:paraId="2617AA7E" w14:textId="77777777" w:rsidR="00DB2B68" w:rsidRDefault="00000000">
      <w:pPr>
        <w:pStyle w:val="pheading"/>
      </w:pPr>
      <w:r>
        <w:t>MATÉRIAUX</w:t>
      </w:r>
    </w:p>
    <w:p w14:paraId="74F45B98" w14:textId="77777777" w:rsidR="00DB2B68" w:rsidRDefault="00000000">
      <w:pPr>
        <w:pStyle w:val="pheading"/>
      </w:pPr>
      <w:r>
        <w:t>- Caractéristiques générales</w:t>
      </w:r>
    </w:p>
    <w:p w14:paraId="5D6ABC6B" w14:textId="77777777" w:rsidR="00DB2B68" w:rsidRDefault="00000000">
      <w:pPr>
        <w:pStyle w:val="heading"/>
      </w:pPr>
      <w:r>
        <w:t>Spécifications</w:t>
      </w:r>
    </w:p>
    <w:p w14:paraId="62CB4BC8" w14:textId="77777777" w:rsidR="00DB2B68" w:rsidRDefault="00000000">
      <w:r>
        <w:t xml:space="preserve">Qualité du béton selon la [NBN EN 206:2013+A2] et la [NBN B 15-001] (voir également </w:t>
      </w:r>
      <w:hyperlink w:anchor="87" w:history="1">
        <w:r>
          <w:rPr>
            <w:color w:val="0000EE"/>
          </w:rP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6CC7427F" w14:textId="77777777">
        <w:tc>
          <w:tcPr>
            <w:tcW w:w="1500" w:type="dxa"/>
            <w:noWrap/>
          </w:tcPr>
          <w:p w14:paraId="2C271B9D" w14:textId="77777777" w:rsidR="00DB2B68" w:rsidRDefault="00000000">
            <w:pPr>
              <w:jc w:val="center"/>
            </w:pPr>
            <w:r>
              <w:rPr>
                <w:b/>
              </w:rPr>
              <w:t>A</w:t>
            </w:r>
          </w:p>
        </w:tc>
        <w:tc>
          <w:tcPr>
            <w:tcW w:w="1500" w:type="dxa"/>
            <w:noWrap/>
          </w:tcPr>
          <w:p w14:paraId="735B1559" w14:textId="77777777" w:rsidR="00DB2B68" w:rsidRDefault="00000000">
            <w:pPr>
              <w:jc w:val="center"/>
            </w:pPr>
            <w:r>
              <w:rPr>
                <w:b/>
              </w:rPr>
              <w:t>B1</w:t>
            </w:r>
          </w:p>
        </w:tc>
        <w:tc>
          <w:tcPr>
            <w:tcW w:w="1500" w:type="dxa"/>
            <w:noWrap/>
          </w:tcPr>
          <w:p w14:paraId="084EE3D5" w14:textId="77777777" w:rsidR="00DB2B68" w:rsidRDefault="00000000">
            <w:pPr>
              <w:jc w:val="center"/>
            </w:pPr>
            <w:r>
              <w:rPr>
                <w:b/>
              </w:rPr>
              <w:t>B2</w:t>
            </w:r>
          </w:p>
        </w:tc>
        <w:tc>
          <w:tcPr>
            <w:tcW w:w="1500" w:type="dxa"/>
            <w:noWrap/>
          </w:tcPr>
          <w:p w14:paraId="55871674" w14:textId="77777777" w:rsidR="00DB2B68" w:rsidRDefault="00000000">
            <w:pPr>
              <w:jc w:val="center"/>
            </w:pPr>
            <w:r>
              <w:rPr>
                <w:b/>
              </w:rPr>
              <w:t>C</w:t>
            </w:r>
          </w:p>
        </w:tc>
        <w:tc>
          <w:tcPr>
            <w:tcW w:w="1500" w:type="dxa"/>
            <w:noWrap/>
          </w:tcPr>
          <w:p w14:paraId="3A754332" w14:textId="77777777" w:rsidR="00DB2B68" w:rsidRDefault="00000000">
            <w:pPr>
              <w:jc w:val="center"/>
            </w:pPr>
            <w:r>
              <w:rPr>
                <w:b/>
              </w:rPr>
              <w:t>D</w:t>
            </w:r>
          </w:p>
        </w:tc>
        <w:tc>
          <w:tcPr>
            <w:tcW w:w="1500" w:type="dxa"/>
            <w:noWrap/>
          </w:tcPr>
          <w:p w14:paraId="3F9FB3F3" w14:textId="77777777" w:rsidR="00DB2B68" w:rsidRDefault="00000000">
            <w:pPr>
              <w:jc w:val="center"/>
            </w:pPr>
            <w:r>
              <w:rPr>
                <w:b/>
              </w:rPr>
              <w:t>E</w:t>
            </w:r>
          </w:p>
        </w:tc>
      </w:tr>
      <w:tr w:rsidR="00DB2B68" w14:paraId="28B237EA" w14:textId="77777777">
        <w:tc>
          <w:tcPr>
            <w:tcW w:w="1500" w:type="dxa"/>
            <w:noWrap/>
          </w:tcPr>
          <w:p w14:paraId="334EFE72" w14:textId="77777777" w:rsidR="00DB2B68" w:rsidRDefault="00000000">
            <w:pPr>
              <w:jc w:val="center"/>
            </w:pPr>
            <w:r>
              <w:rPr>
                <w:b/>
              </w:rPr>
              <w:t>Classe de résistance</w:t>
            </w:r>
          </w:p>
        </w:tc>
        <w:tc>
          <w:tcPr>
            <w:tcW w:w="1500" w:type="dxa"/>
            <w:noWrap/>
          </w:tcPr>
          <w:p w14:paraId="78841C13" w14:textId="77777777" w:rsidR="00DB2B68" w:rsidRDefault="00000000">
            <w:pPr>
              <w:jc w:val="center"/>
            </w:pPr>
            <w:r>
              <w:rPr>
                <w:b/>
              </w:rPr>
              <w:t>Domaine d’application</w:t>
            </w:r>
          </w:p>
        </w:tc>
        <w:tc>
          <w:tcPr>
            <w:tcW w:w="1500" w:type="dxa"/>
            <w:noWrap/>
          </w:tcPr>
          <w:p w14:paraId="7F35FBBC" w14:textId="77777777" w:rsidR="00DB2B68" w:rsidRDefault="00000000">
            <w:pPr>
              <w:jc w:val="center"/>
            </w:pPr>
            <w:r>
              <w:rPr>
                <w:b/>
              </w:rPr>
              <w:t>Classe d'environnement</w:t>
            </w:r>
          </w:p>
        </w:tc>
        <w:tc>
          <w:tcPr>
            <w:tcW w:w="1500" w:type="dxa"/>
            <w:noWrap/>
          </w:tcPr>
          <w:p w14:paraId="55075ECC" w14:textId="77777777" w:rsidR="00DB2B68" w:rsidRDefault="00000000">
            <w:pPr>
              <w:jc w:val="center"/>
            </w:pPr>
            <w:r>
              <w:rPr>
                <w:b/>
              </w:rPr>
              <w:t>Classe de consistance</w:t>
            </w:r>
          </w:p>
        </w:tc>
        <w:tc>
          <w:tcPr>
            <w:tcW w:w="1500" w:type="dxa"/>
            <w:noWrap/>
          </w:tcPr>
          <w:p w14:paraId="16CC898F" w14:textId="77777777" w:rsidR="00DB2B68" w:rsidRDefault="00000000">
            <w:pPr>
              <w:jc w:val="center"/>
            </w:pPr>
            <w:r>
              <w:rPr>
                <w:b/>
              </w:rPr>
              <w:t>Granulométrie maximale</w:t>
            </w:r>
          </w:p>
        </w:tc>
        <w:tc>
          <w:tcPr>
            <w:tcW w:w="1500" w:type="dxa"/>
            <w:noWrap/>
          </w:tcPr>
          <w:p w14:paraId="3FC5F76F" w14:textId="77777777" w:rsidR="00DB2B68" w:rsidRDefault="00000000">
            <w:r>
              <w:rPr>
                <w:b/>
              </w:rPr>
              <w:t>Données complémentaires</w:t>
            </w:r>
          </w:p>
        </w:tc>
      </w:tr>
      <w:tr w:rsidR="00DB2B68" w14:paraId="2AD2B7C0" w14:textId="77777777">
        <w:tc>
          <w:tcPr>
            <w:tcW w:w="1500" w:type="dxa"/>
            <w:noWrap/>
          </w:tcPr>
          <w:p w14:paraId="5817D6A3" w14:textId="77777777" w:rsidR="00DB2B68" w:rsidRDefault="00000000">
            <w:pPr>
              <w:jc w:val="center"/>
            </w:pPr>
            <w:r>
              <w:rPr>
                <w:rStyle w:val="optioncarChar"/>
              </w:rPr>
              <w:t>C25/30 / C30/37 / C35/45 / C45/55 / C50/60 / C55/67 / C60/75 / C70/85 / C80/95 / C90/105</w:t>
            </w:r>
          </w:p>
        </w:tc>
        <w:tc>
          <w:tcPr>
            <w:tcW w:w="1500" w:type="dxa"/>
            <w:noWrap/>
          </w:tcPr>
          <w:p w14:paraId="259201C2" w14:textId="77777777" w:rsidR="00DB2B68" w:rsidRDefault="00000000">
            <w:pPr>
              <w:jc w:val="center"/>
            </w:pPr>
            <w:r>
              <w:t>Béton armé</w:t>
            </w:r>
          </w:p>
          <w:p w14:paraId="6D5A4172" w14:textId="77777777" w:rsidR="00DB2B68" w:rsidRDefault="00000000">
            <w:pPr>
              <w:jc w:val="center"/>
            </w:pPr>
            <w:r>
              <w:t> </w:t>
            </w:r>
          </w:p>
        </w:tc>
        <w:tc>
          <w:tcPr>
            <w:tcW w:w="1500" w:type="dxa"/>
            <w:noWrap/>
          </w:tcPr>
          <w:p w14:paraId="3A8DA7AD" w14:textId="77777777" w:rsidR="00DB2B68" w:rsidRDefault="00000000">
            <w:pPr>
              <w:jc w:val="center"/>
            </w:pPr>
            <w:r>
              <w:rPr>
                <w:rStyle w:val="optioncarChar"/>
              </w:rPr>
              <w:t>E0 / EI / EE1 / EE2 / EE3 / EE4 / ES1 / ES2 / ES3 / ES4 / EA1+*** / EA2+***/ EA3+***</w:t>
            </w:r>
          </w:p>
        </w:tc>
        <w:tc>
          <w:tcPr>
            <w:tcW w:w="1500" w:type="dxa"/>
            <w:noWrap/>
          </w:tcPr>
          <w:p w14:paraId="67667C06" w14:textId="77777777" w:rsidR="00DB2B68" w:rsidRDefault="00000000">
            <w:pPr>
              <w:jc w:val="center"/>
            </w:pPr>
            <w:r>
              <w:t>au choix de l'entrepreneur :</w:t>
            </w:r>
          </w:p>
          <w:p w14:paraId="61B0ECC3" w14:textId="77777777" w:rsidR="00DB2B68" w:rsidRDefault="00000000">
            <w:pPr>
              <w:jc w:val="center"/>
            </w:pPr>
            <w:r>
              <w:rPr>
                <w:rStyle w:val="optioncarChar"/>
              </w:rPr>
              <w:t xml:space="preserve">S3 / S4 / S5 </w:t>
            </w:r>
          </w:p>
          <w:p w14:paraId="5B77D4F9" w14:textId="77777777" w:rsidR="00DB2B68" w:rsidRDefault="00000000">
            <w:pPr>
              <w:jc w:val="center"/>
            </w:pPr>
            <w:r>
              <w:rPr>
                <w:rStyle w:val="optioncarChar"/>
              </w:rPr>
              <w:t>F3 / F4 / F5 / F6</w:t>
            </w:r>
            <w:r>
              <w:br/>
            </w:r>
          </w:p>
        </w:tc>
        <w:tc>
          <w:tcPr>
            <w:tcW w:w="1500" w:type="dxa"/>
            <w:noWrap/>
          </w:tcPr>
          <w:p w14:paraId="1F323006" w14:textId="77777777" w:rsidR="00DB2B68" w:rsidRDefault="00000000">
            <w:pPr>
              <w:jc w:val="center"/>
            </w:pPr>
            <w:r>
              <w:t>au choix de l'entrepreneur :</w:t>
            </w:r>
          </w:p>
          <w:p w14:paraId="6369084E" w14:textId="77777777" w:rsidR="00DB2B68" w:rsidRDefault="00000000">
            <w:pPr>
              <w:jc w:val="center"/>
            </w:pPr>
            <w:r>
              <w:rPr>
                <w:rStyle w:val="optioncarChar"/>
              </w:rPr>
              <w:t>6 / 8 / 10 / 11 / 12 / 14 / 16 / 20 / 22 / 32</w:t>
            </w:r>
            <w:r>
              <w:t xml:space="preserve"> mm</w:t>
            </w:r>
          </w:p>
        </w:tc>
        <w:tc>
          <w:tcPr>
            <w:tcW w:w="1500" w:type="dxa"/>
            <w:noWrap/>
          </w:tcPr>
          <w:p w14:paraId="4F708608" w14:textId="77777777" w:rsidR="00DB2B68" w:rsidRDefault="00000000">
            <w:pPr>
              <w:jc w:val="center"/>
            </w:pPr>
            <w:r>
              <w:rPr>
                <w:rStyle w:val="optioncarChar"/>
              </w:rPr>
              <w:t>***</w:t>
            </w:r>
          </w:p>
        </w:tc>
      </w:tr>
    </w:tbl>
    <w:p w14:paraId="70E0083B"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DA8A436" w14:textId="77777777" w:rsidR="00DB2B68" w:rsidRDefault="00000000">
      <w:pPr>
        <w:pStyle w:val="Author-eListParagraph"/>
        <w:numPr>
          <w:ilvl w:val="0"/>
          <w:numId w:val="609"/>
        </w:numPr>
      </w:pPr>
      <w:r>
        <w:t xml:space="preserve">Classe de viscosité apparente : </w:t>
      </w:r>
      <w:r>
        <w:rPr>
          <w:rStyle w:val="optioncarChar"/>
        </w:rPr>
        <w:t>VS1 / VS2</w:t>
      </w:r>
      <w:r>
        <w:t xml:space="preserve"> (selon la [NBN EN 12350-8] )</w:t>
      </w:r>
    </w:p>
    <w:p w14:paraId="29B0914C" w14:textId="77777777" w:rsidR="00DB2B68" w:rsidRDefault="00000000">
      <w:pPr>
        <w:pStyle w:val="Author-eListParagraph"/>
        <w:numPr>
          <w:ilvl w:val="0"/>
          <w:numId w:val="60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5C2D6BD" w14:textId="77777777" w:rsidR="00DB2B68" w:rsidRDefault="00000000">
      <w:pPr>
        <w:pStyle w:val="Author-eListParagraph"/>
        <w:numPr>
          <w:ilvl w:val="0"/>
          <w:numId w:val="60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EB51176"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 (voir </w:t>
      </w:r>
      <w:hyperlink w:anchor="232" w:history="1">
        <w:r>
          <w:rPr>
            <w:color w:val="0000EE"/>
          </w:rPr>
          <w:t>22.51 Armatures pour béton</w:t>
        </w:r>
      </w:hyperlink>
      <w:r>
        <w:t>)</w:t>
      </w:r>
    </w:p>
    <w:p w14:paraId="136BBF00" w14:textId="77777777" w:rsidR="00DB2B68" w:rsidRDefault="00000000">
      <w:pPr>
        <w:pStyle w:val="Author-eListParagraph"/>
        <w:numPr>
          <w:ilvl w:val="0"/>
          <w:numId w:val="610"/>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278B2264" w14:textId="77777777" w:rsidR="00DB2B68" w:rsidRDefault="00000000">
      <w:pPr>
        <w:pStyle w:val="Author-eListParagraph"/>
        <w:numPr>
          <w:ilvl w:val="0"/>
          <w:numId w:val="610"/>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FB3236E" w14:textId="77777777" w:rsidR="00DB2B68" w:rsidRDefault="00000000">
      <w:pPr>
        <w:pStyle w:val="Author-eListParagraph"/>
        <w:numPr>
          <w:ilvl w:val="0"/>
          <w:numId w:val="610"/>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w:t>
      </w:r>
      <w:r>
        <w:t>(par défaut)</w:t>
      </w:r>
      <w:r>
        <w:rPr>
          <w:rStyle w:val="optioncarChar"/>
        </w:rPr>
        <w:t xml:space="preserve"> / ***x***x***x***</w:t>
      </w:r>
      <w:r>
        <w:t xml:space="preserve"> mm.</w:t>
      </w:r>
    </w:p>
    <w:p w14:paraId="36630947" w14:textId="77777777" w:rsidR="00DB2B68" w:rsidRDefault="00000000">
      <w:pPr>
        <w:pStyle w:val="pheading"/>
      </w:pPr>
      <w:r>
        <w:t>- Finitions</w:t>
      </w:r>
    </w:p>
    <w:p w14:paraId="1067CC3A" w14:textId="77777777" w:rsidR="00DB2B68" w:rsidRDefault="00000000">
      <w:r>
        <w:t>Surface de béton :</w:t>
      </w:r>
      <w:r>
        <w:rPr>
          <w:rStyle w:val="optioncarChar"/>
        </w:rPr>
        <w:t xml:space="preserve"> brute et lisse </w:t>
      </w:r>
      <w:r>
        <w:t>(par défaut)</w:t>
      </w:r>
      <w:r>
        <w:rPr>
          <w:rStyle w:val="optioncarChar"/>
        </w:rPr>
        <w:t xml:space="preserve"> / rugueux</w:t>
      </w:r>
    </w:p>
    <w:p w14:paraId="791281F7" w14:textId="77777777" w:rsidR="00DB2B68" w:rsidRDefault="00000000">
      <w:pPr>
        <w:pStyle w:val="pheading"/>
      </w:pPr>
      <w:r>
        <w:t>EXÉCUTION / MISE EN ŒUVRE</w:t>
      </w:r>
    </w:p>
    <w:p w14:paraId="5610EA13" w14:textId="77777777" w:rsidR="00DB2B68" w:rsidRDefault="00000000">
      <w:pPr>
        <w:pStyle w:val="pheading"/>
      </w:pPr>
      <w:r>
        <w:t>- Prescriptions générales</w:t>
      </w:r>
    </w:p>
    <w:p w14:paraId="61F0B2CB" w14:textId="77777777" w:rsidR="00DB2B68" w:rsidRDefault="00000000">
      <w:pPr>
        <w:pStyle w:val="Author-eListParagraph"/>
        <w:numPr>
          <w:ilvl w:val="0"/>
          <w:numId w:val="611"/>
        </w:numPr>
      </w:pPr>
      <w:r>
        <w:t xml:space="preserve">L'étude est à charge </w:t>
      </w:r>
      <w:r>
        <w:rPr>
          <w:rStyle w:val="optioncarChar"/>
        </w:rPr>
        <w:t>de l'entrepreneur / du maître de l'ouvrage / du bureau d’étude </w:t>
      </w:r>
      <w:r>
        <w:t xml:space="preserve">( voir </w:t>
      </w:r>
      <w:hyperlink w:anchor="87" w:history="1">
        <w:r>
          <w:rPr>
            <w:color w:val="0000EE"/>
          </w:rPr>
          <w:t>22 Superstructures en béton</w:t>
        </w:r>
      </w:hyperlink>
      <w:r>
        <w:t xml:space="preserve"> ).</w:t>
      </w:r>
    </w:p>
    <w:p w14:paraId="6A07F20E" w14:textId="77777777" w:rsidR="00DB2B68" w:rsidRDefault="00000000">
      <w:pPr>
        <w:pStyle w:val="Author-eListParagraph"/>
        <w:numPr>
          <w:ilvl w:val="0"/>
          <w:numId w:val="611"/>
        </w:numPr>
      </w:pPr>
      <w:r>
        <w:lastRenderedPageBreak/>
        <w:t xml:space="preserve">Les éléments en encorbellement seront coulés sur place en </w:t>
      </w:r>
      <w:r>
        <w:rPr>
          <w:rStyle w:val="optioncarChar"/>
        </w:rPr>
        <w:t>une seule </w:t>
      </w:r>
      <w:r>
        <w:t>(par défaut)</w:t>
      </w:r>
      <w:r>
        <w:rPr>
          <w:rStyle w:val="optioncarChar"/>
        </w:rPr>
        <w:t xml:space="preserve"> / ***</w:t>
      </w:r>
      <w:r>
        <w:t xml:space="preserve"> fois.</w:t>
      </w:r>
    </w:p>
    <w:p w14:paraId="4DDDFAE5" w14:textId="77777777" w:rsidR="00DB2B68" w:rsidRDefault="00000000">
      <w:pPr>
        <w:pStyle w:val="Author-eListParagraph"/>
        <w:numPr>
          <w:ilvl w:val="0"/>
          <w:numId w:val="611"/>
        </w:numPr>
      </w:pPr>
      <w:r>
        <w:t xml:space="preserve">Le décoffrage se fera au plus tôt </w:t>
      </w:r>
      <w:r>
        <w:rPr>
          <w:rStyle w:val="optioncarChar"/>
        </w:rPr>
        <w:t>***</w:t>
      </w:r>
      <w:r>
        <w:t xml:space="preserve"> jours </w:t>
      </w:r>
      <w:r>
        <w:rPr>
          <w:rStyle w:val="optioncarChar"/>
        </w:rPr>
        <w:t>après le coulage du béton / selon les directives de l’ingénieur.</w:t>
      </w:r>
    </w:p>
    <w:p w14:paraId="57EF0E0A" w14:textId="77777777" w:rsidR="00DB2B68" w:rsidRDefault="00000000">
      <w:pPr>
        <w:pStyle w:val="pheading"/>
      </w:pPr>
      <w:r>
        <w:t>- Notes d’exécution complémentaires</w:t>
      </w:r>
    </w:p>
    <w:p w14:paraId="08FA703A" w14:textId="77777777" w:rsidR="00DB2B68" w:rsidRDefault="00000000">
      <w:pPr>
        <w:pStyle w:val="Author-eListParagraph"/>
        <w:numPr>
          <w:ilvl w:val="0"/>
          <w:numId w:val="612"/>
        </w:numPr>
      </w:pPr>
      <w:r>
        <w:t>Raccords visibles : joint en forme de</w:t>
      </w:r>
      <w:r>
        <w:rPr>
          <w:rStyle w:val="optioncarChar"/>
        </w:rPr>
        <w:t> V </w:t>
      </w:r>
      <w:r>
        <w:t>(par défaut)</w:t>
      </w:r>
      <w:r>
        <w:rPr>
          <w:rStyle w:val="optioncarChar"/>
        </w:rPr>
        <w:t xml:space="preserve"> / *** </w:t>
      </w:r>
    </w:p>
    <w:p w14:paraId="0AB00557" w14:textId="77777777" w:rsidR="00DB2B68" w:rsidRDefault="00000000">
      <w:pPr>
        <w:pStyle w:val="Author-eListParagraph"/>
        <w:numPr>
          <w:ilvl w:val="0"/>
          <w:numId w:val="612"/>
        </w:numPr>
      </w:pPr>
      <w:r>
        <w:t xml:space="preserve">Joints de reprise : </w:t>
      </w:r>
      <w:r>
        <w:rPr>
          <w:rStyle w:val="optioncarChar"/>
        </w:rPr>
        <w:t>***</w:t>
      </w:r>
    </w:p>
    <w:p w14:paraId="1DC98AC9" w14:textId="77777777" w:rsidR="00DB2B68" w:rsidRDefault="00000000">
      <w:pPr>
        <w:pStyle w:val="Author-eListParagraph"/>
        <w:numPr>
          <w:ilvl w:val="0"/>
          <w:numId w:val="612"/>
        </w:numPr>
      </w:pPr>
      <w:r>
        <w:t>Ancrages : à rupture thermique - système à soumettre pour approbation</w:t>
      </w:r>
    </w:p>
    <w:p w14:paraId="57DE12FD" w14:textId="77777777" w:rsidR="00DB2B68" w:rsidRDefault="00000000">
      <w:pPr>
        <w:pStyle w:val="Author-eListParagraph"/>
        <w:numPr>
          <w:ilvl w:val="0"/>
          <w:numId w:val="612"/>
        </w:numPr>
      </w:pPr>
      <w:r>
        <w:t xml:space="preserve">Ponts d'humidité / étanchéité à l'eau : </w:t>
      </w:r>
      <w:r>
        <w:rPr>
          <w:rStyle w:val="optioncarChar"/>
        </w:rPr>
        <w:t>***</w:t>
      </w:r>
    </w:p>
    <w:p w14:paraId="7D8B692B" w14:textId="77777777" w:rsidR="00DB2B68" w:rsidRDefault="00000000">
      <w:pPr>
        <w:pStyle w:val="Author-eListParagraph"/>
        <w:numPr>
          <w:ilvl w:val="0"/>
          <w:numId w:val="612"/>
        </w:numPr>
      </w:pPr>
      <w:r>
        <w:t>Ponts thermiques / isolation thermique :</w:t>
      </w:r>
      <w:r>
        <w:rPr>
          <w:rStyle w:val="optioncarChar"/>
        </w:rPr>
        <w:t xml:space="preserve"> ***</w:t>
      </w:r>
    </w:p>
    <w:p w14:paraId="684EA116" w14:textId="77777777" w:rsidR="00DB2B68" w:rsidRDefault="00000000">
      <w:pPr>
        <w:pStyle w:val="Author-eListParagraph"/>
        <w:numPr>
          <w:ilvl w:val="0"/>
          <w:numId w:val="612"/>
        </w:numPr>
      </w:pPr>
      <w:r>
        <w:t xml:space="preserve">Réservations / pénétrations : </w:t>
      </w:r>
      <w:r>
        <w:rPr>
          <w:rStyle w:val="optioncarChar"/>
        </w:rPr>
        <w:t>***</w:t>
      </w:r>
    </w:p>
    <w:p w14:paraId="2B86BC9C" w14:textId="77777777" w:rsidR="00DB2B68" w:rsidRDefault="00000000">
      <w:pPr>
        <w:pStyle w:val="pheading"/>
      </w:pPr>
      <w:r>
        <w:t>MESURAGE</w:t>
      </w:r>
    </w:p>
    <w:p w14:paraId="6AFE6A8F" w14:textId="77777777" w:rsidR="00DB2B68" w:rsidRDefault="00000000">
      <w:r>
        <w:rPr>
          <w:color w:val="FF0000"/>
        </w:rPr>
        <w:t xml:space="preserve">Mesurage </w:t>
      </w:r>
    </w:p>
    <w:p w14:paraId="3D4AF180" w14:textId="77777777" w:rsidR="00DB2B68" w:rsidRDefault="00000000">
      <w:pPr>
        <w:pStyle w:val="pheading"/>
      </w:pPr>
      <w:r>
        <w:t>- unité de mesure:</w:t>
      </w:r>
    </w:p>
    <w:p w14:paraId="7F1F9795" w14:textId="77777777" w:rsidR="00DB2B68" w:rsidRDefault="00000000">
      <w:r>
        <w:t>m³ pour le béton</w:t>
      </w:r>
      <w:r>
        <w:br/>
        <w:t>kg pour les barres d’armatures</w:t>
      </w:r>
      <w:r>
        <w:br/>
        <w:t>PM, coffrages</w:t>
      </w:r>
    </w:p>
    <w:p w14:paraId="7A073865" w14:textId="77777777" w:rsidR="00DB2B68" w:rsidRDefault="00000000">
      <w:pPr>
        <w:pStyle w:val="pheading"/>
      </w:pPr>
      <w:r>
        <w:t>- nature du marché:</w:t>
      </w:r>
    </w:p>
    <w:p w14:paraId="020B71E8" w14:textId="77777777" w:rsidR="00DB2B68" w:rsidRDefault="00000000">
      <w:r>
        <w:t>QF</w:t>
      </w:r>
    </w:p>
    <w:p w14:paraId="0C1D8476" w14:textId="77777777" w:rsidR="00DB2B68" w:rsidRDefault="00000000">
      <w:pPr>
        <w:pStyle w:val="Author-eSectionHeading5Numberless"/>
      </w:pPr>
      <w:bookmarkStart w:id="890" w:name="_Toc220495938"/>
      <w:r>
        <w:t>22.36.2 Corniches en béton apparent (esthétique) coulé en place CCTB 01.04</w:t>
      </w:r>
      <w:bookmarkEnd w:id="890"/>
    </w:p>
    <w:p w14:paraId="636F58AB" w14:textId="77777777" w:rsidR="00DB2B68" w:rsidRDefault="00000000">
      <w:pPr>
        <w:pStyle w:val="Author-eSectionHeading6Numberless"/>
      </w:pPr>
      <w:bookmarkStart w:id="891" w:name="_Toc220495939"/>
      <w:r>
        <w:t>22.36.2a Corniches en béton apparent (esthétique) coulé en place CCTB 01.13</w:t>
      </w:r>
      <w:bookmarkEnd w:id="891"/>
    </w:p>
    <w:p w14:paraId="41A972A0" w14:textId="77777777" w:rsidR="00DB2B68" w:rsidRDefault="00000000">
      <w:pPr>
        <w:pStyle w:val="pheading"/>
      </w:pPr>
      <w:r>
        <w:t>DESCRIPTION</w:t>
      </w:r>
    </w:p>
    <w:p w14:paraId="1C9F3EDE" w14:textId="77777777" w:rsidR="00DB2B68" w:rsidRDefault="00000000">
      <w:pPr>
        <w:pStyle w:val="pheading"/>
      </w:pPr>
      <w:r>
        <w:t>- Définition / Comprend</w:t>
      </w:r>
    </w:p>
    <w:p w14:paraId="243B7CDA" w14:textId="77777777" w:rsidR="00DB2B68" w:rsidRDefault="00000000">
      <w:r>
        <w:t xml:space="preserve">Il s'agit de toutes les </w:t>
      </w:r>
      <w:r>
        <w:rPr>
          <w:rStyle w:val="optioncarChar"/>
          <w:color w:val="000000"/>
        </w:rPr>
        <w:t xml:space="preserve">corniches </w:t>
      </w:r>
      <w:r>
        <w:t>exécutées en béton apparent coulé en place.</w:t>
      </w:r>
    </w:p>
    <w:p w14:paraId="19318580" w14:textId="77777777" w:rsidR="00DB2B68" w:rsidRDefault="00000000">
      <w:pPr>
        <w:pStyle w:val="pheading"/>
      </w:pPr>
      <w:r>
        <w:t>MATÉRIAUX</w:t>
      </w:r>
    </w:p>
    <w:p w14:paraId="1BDB2BDC" w14:textId="77777777" w:rsidR="00DB2B68" w:rsidRDefault="00000000">
      <w:pPr>
        <w:pStyle w:val="pheading"/>
      </w:pPr>
      <w:r>
        <w:t>- Caractéristiques générales</w:t>
      </w:r>
    </w:p>
    <w:p w14:paraId="422E5EC7" w14:textId="77777777" w:rsidR="00DB2B68" w:rsidRDefault="00000000">
      <w:pPr>
        <w:pStyle w:val="heading"/>
      </w:pPr>
      <w:r>
        <w:t>Spécifications</w:t>
      </w:r>
    </w:p>
    <w:p w14:paraId="07F6D98E" w14:textId="77777777" w:rsidR="00DB2B68" w:rsidRDefault="00000000">
      <w:r>
        <w:t xml:space="preserve">Qualité du béton selon la [NBN EN 206:2013+A2] et la [NBN B 15-001] (voir également </w:t>
      </w:r>
      <w:hyperlink w:anchor="87" w:history="1">
        <w:r>
          <w:rPr>
            <w:color w:val="0000EE"/>
          </w:rP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3617C795" w14:textId="77777777">
        <w:tc>
          <w:tcPr>
            <w:tcW w:w="1500" w:type="dxa"/>
            <w:noWrap/>
          </w:tcPr>
          <w:p w14:paraId="2404C739" w14:textId="77777777" w:rsidR="00DB2B68" w:rsidRDefault="00000000">
            <w:pPr>
              <w:jc w:val="center"/>
            </w:pPr>
            <w:r>
              <w:rPr>
                <w:b/>
              </w:rPr>
              <w:t>A</w:t>
            </w:r>
          </w:p>
        </w:tc>
        <w:tc>
          <w:tcPr>
            <w:tcW w:w="1500" w:type="dxa"/>
            <w:noWrap/>
          </w:tcPr>
          <w:p w14:paraId="665B96BE" w14:textId="77777777" w:rsidR="00DB2B68" w:rsidRDefault="00000000">
            <w:pPr>
              <w:jc w:val="center"/>
            </w:pPr>
            <w:r>
              <w:rPr>
                <w:b/>
              </w:rPr>
              <w:t>B1</w:t>
            </w:r>
          </w:p>
        </w:tc>
        <w:tc>
          <w:tcPr>
            <w:tcW w:w="1500" w:type="dxa"/>
            <w:noWrap/>
          </w:tcPr>
          <w:p w14:paraId="62B2EA56" w14:textId="77777777" w:rsidR="00DB2B68" w:rsidRDefault="00000000">
            <w:pPr>
              <w:jc w:val="center"/>
            </w:pPr>
            <w:r>
              <w:rPr>
                <w:b/>
              </w:rPr>
              <w:t>B2</w:t>
            </w:r>
          </w:p>
        </w:tc>
        <w:tc>
          <w:tcPr>
            <w:tcW w:w="1500" w:type="dxa"/>
            <w:noWrap/>
          </w:tcPr>
          <w:p w14:paraId="04D4D3FD" w14:textId="77777777" w:rsidR="00DB2B68" w:rsidRDefault="00000000">
            <w:pPr>
              <w:jc w:val="center"/>
            </w:pPr>
            <w:r>
              <w:rPr>
                <w:b/>
              </w:rPr>
              <w:t>C</w:t>
            </w:r>
          </w:p>
        </w:tc>
        <w:tc>
          <w:tcPr>
            <w:tcW w:w="1500" w:type="dxa"/>
            <w:noWrap/>
          </w:tcPr>
          <w:p w14:paraId="73D55637" w14:textId="77777777" w:rsidR="00DB2B68" w:rsidRDefault="00000000">
            <w:pPr>
              <w:jc w:val="center"/>
            </w:pPr>
            <w:r>
              <w:rPr>
                <w:b/>
              </w:rPr>
              <w:t>D</w:t>
            </w:r>
          </w:p>
        </w:tc>
        <w:tc>
          <w:tcPr>
            <w:tcW w:w="1500" w:type="dxa"/>
            <w:noWrap/>
          </w:tcPr>
          <w:p w14:paraId="5A597CDB" w14:textId="77777777" w:rsidR="00DB2B68" w:rsidRDefault="00000000">
            <w:pPr>
              <w:jc w:val="center"/>
            </w:pPr>
            <w:r>
              <w:rPr>
                <w:b/>
              </w:rPr>
              <w:t>E</w:t>
            </w:r>
          </w:p>
        </w:tc>
      </w:tr>
      <w:tr w:rsidR="00DB2B68" w14:paraId="79B49A3C" w14:textId="77777777">
        <w:tc>
          <w:tcPr>
            <w:tcW w:w="1500" w:type="dxa"/>
            <w:noWrap/>
          </w:tcPr>
          <w:p w14:paraId="495079CB" w14:textId="77777777" w:rsidR="00DB2B68" w:rsidRDefault="00000000">
            <w:pPr>
              <w:jc w:val="center"/>
            </w:pPr>
            <w:r>
              <w:rPr>
                <w:b/>
              </w:rPr>
              <w:t>Classe de résistance</w:t>
            </w:r>
          </w:p>
        </w:tc>
        <w:tc>
          <w:tcPr>
            <w:tcW w:w="1500" w:type="dxa"/>
            <w:noWrap/>
          </w:tcPr>
          <w:p w14:paraId="2F5D3258" w14:textId="77777777" w:rsidR="00DB2B68" w:rsidRDefault="00000000">
            <w:pPr>
              <w:jc w:val="center"/>
            </w:pPr>
            <w:r>
              <w:rPr>
                <w:b/>
              </w:rPr>
              <w:t>Domaine d’application</w:t>
            </w:r>
          </w:p>
        </w:tc>
        <w:tc>
          <w:tcPr>
            <w:tcW w:w="1500" w:type="dxa"/>
            <w:noWrap/>
          </w:tcPr>
          <w:p w14:paraId="25612C64" w14:textId="77777777" w:rsidR="00DB2B68" w:rsidRDefault="00000000">
            <w:pPr>
              <w:jc w:val="center"/>
            </w:pPr>
            <w:r>
              <w:rPr>
                <w:b/>
              </w:rPr>
              <w:t>Classe d'environnement</w:t>
            </w:r>
          </w:p>
        </w:tc>
        <w:tc>
          <w:tcPr>
            <w:tcW w:w="1500" w:type="dxa"/>
            <w:noWrap/>
          </w:tcPr>
          <w:p w14:paraId="1BF0CAAD" w14:textId="77777777" w:rsidR="00DB2B68" w:rsidRDefault="00000000">
            <w:pPr>
              <w:jc w:val="center"/>
            </w:pPr>
            <w:r>
              <w:rPr>
                <w:b/>
              </w:rPr>
              <w:t>Classe de consistance</w:t>
            </w:r>
          </w:p>
        </w:tc>
        <w:tc>
          <w:tcPr>
            <w:tcW w:w="1500" w:type="dxa"/>
            <w:noWrap/>
          </w:tcPr>
          <w:p w14:paraId="7F9C1A39" w14:textId="77777777" w:rsidR="00DB2B68" w:rsidRDefault="00000000">
            <w:pPr>
              <w:jc w:val="center"/>
            </w:pPr>
            <w:r>
              <w:rPr>
                <w:b/>
              </w:rPr>
              <w:t>Granulométrie maximale</w:t>
            </w:r>
          </w:p>
        </w:tc>
        <w:tc>
          <w:tcPr>
            <w:tcW w:w="1500" w:type="dxa"/>
            <w:noWrap/>
          </w:tcPr>
          <w:p w14:paraId="22A6F292" w14:textId="77777777" w:rsidR="00DB2B68" w:rsidRDefault="00000000">
            <w:r>
              <w:rPr>
                <w:b/>
              </w:rPr>
              <w:t>Données complémentaires</w:t>
            </w:r>
          </w:p>
        </w:tc>
      </w:tr>
      <w:tr w:rsidR="00DB2B68" w14:paraId="46B86D80" w14:textId="77777777">
        <w:tc>
          <w:tcPr>
            <w:tcW w:w="1500" w:type="dxa"/>
            <w:noWrap/>
          </w:tcPr>
          <w:p w14:paraId="208DEFC7" w14:textId="77777777" w:rsidR="00DB2B68" w:rsidRDefault="00000000">
            <w:pPr>
              <w:jc w:val="center"/>
            </w:pPr>
            <w:r>
              <w:rPr>
                <w:rStyle w:val="optioncarChar"/>
              </w:rPr>
              <w:t>C25/30 / C30/37 / C35/45 / C45/55 / C50/60 / C55/67 / C60/75 / C70/85 / C80/95 / C90/105</w:t>
            </w:r>
          </w:p>
        </w:tc>
        <w:tc>
          <w:tcPr>
            <w:tcW w:w="1500" w:type="dxa"/>
            <w:noWrap/>
          </w:tcPr>
          <w:p w14:paraId="00346210" w14:textId="77777777" w:rsidR="00DB2B68" w:rsidRDefault="00000000">
            <w:pPr>
              <w:jc w:val="center"/>
            </w:pPr>
            <w:r>
              <w:t>Béton armé</w:t>
            </w:r>
          </w:p>
          <w:p w14:paraId="74A2BF33" w14:textId="77777777" w:rsidR="00DB2B68" w:rsidRDefault="00000000">
            <w:pPr>
              <w:jc w:val="center"/>
            </w:pPr>
            <w:r>
              <w:t> </w:t>
            </w:r>
          </w:p>
        </w:tc>
        <w:tc>
          <w:tcPr>
            <w:tcW w:w="1500" w:type="dxa"/>
            <w:noWrap/>
          </w:tcPr>
          <w:p w14:paraId="228DFAFF" w14:textId="77777777" w:rsidR="00DB2B68" w:rsidRDefault="00000000">
            <w:pPr>
              <w:jc w:val="center"/>
            </w:pPr>
            <w:r>
              <w:rPr>
                <w:rStyle w:val="optioncarChar"/>
              </w:rPr>
              <w:t>E0 / EI / EE1 / EE2 / EE3 / EE4 / ES1 / ES2 / ES3 / ES4 / EA1+*** / EA2+***/ EA3+***</w:t>
            </w:r>
          </w:p>
        </w:tc>
        <w:tc>
          <w:tcPr>
            <w:tcW w:w="1500" w:type="dxa"/>
            <w:noWrap/>
          </w:tcPr>
          <w:p w14:paraId="3BE2C70D" w14:textId="77777777" w:rsidR="00DB2B68" w:rsidRDefault="00000000">
            <w:pPr>
              <w:jc w:val="center"/>
            </w:pPr>
            <w:r>
              <w:t>au choix de l'entrepreneur :</w:t>
            </w:r>
          </w:p>
          <w:p w14:paraId="05FB2354" w14:textId="77777777" w:rsidR="00DB2B68" w:rsidRDefault="00000000">
            <w:pPr>
              <w:jc w:val="center"/>
            </w:pPr>
            <w:r>
              <w:rPr>
                <w:rStyle w:val="optioncarChar"/>
              </w:rPr>
              <w:t>S3 / S4 / S5</w:t>
            </w:r>
          </w:p>
          <w:p w14:paraId="0E870CAF" w14:textId="77777777" w:rsidR="00DB2B68" w:rsidRDefault="00000000">
            <w:pPr>
              <w:jc w:val="center"/>
            </w:pPr>
            <w:r>
              <w:rPr>
                <w:rStyle w:val="optioncarChar"/>
              </w:rPr>
              <w:t>F3 / F4 / F5 / F6</w:t>
            </w:r>
            <w:r>
              <w:br/>
            </w:r>
          </w:p>
        </w:tc>
        <w:tc>
          <w:tcPr>
            <w:tcW w:w="1500" w:type="dxa"/>
            <w:noWrap/>
          </w:tcPr>
          <w:p w14:paraId="6DFE4DC5" w14:textId="77777777" w:rsidR="00DB2B68" w:rsidRDefault="00000000">
            <w:pPr>
              <w:jc w:val="center"/>
            </w:pPr>
            <w:r>
              <w:t>au choix de l'entrepreneur :</w:t>
            </w:r>
          </w:p>
          <w:p w14:paraId="4FFA613F" w14:textId="77777777" w:rsidR="00DB2B68" w:rsidRDefault="00000000">
            <w:pPr>
              <w:jc w:val="center"/>
            </w:pPr>
            <w:r>
              <w:rPr>
                <w:rStyle w:val="optioncarChar"/>
              </w:rPr>
              <w:t>6 / 8 / 10 / 11 / 12 / 14 / 16 / 20 / 22 / 32</w:t>
            </w:r>
            <w:r>
              <w:t xml:space="preserve"> mm</w:t>
            </w:r>
          </w:p>
        </w:tc>
        <w:tc>
          <w:tcPr>
            <w:tcW w:w="1500" w:type="dxa"/>
            <w:noWrap/>
          </w:tcPr>
          <w:p w14:paraId="53719044" w14:textId="77777777" w:rsidR="00DB2B68" w:rsidRDefault="00000000">
            <w:pPr>
              <w:jc w:val="center"/>
            </w:pPr>
            <w:r>
              <w:rPr>
                <w:rStyle w:val="optioncarChar"/>
              </w:rPr>
              <w:t>***</w:t>
            </w:r>
          </w:p>
        </w:tc>
      </w:tr>
    </w:tbl>
    <w:p w14:paraId="2C4D9773"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w:t>
      </w:r>
      <w:r>
        <w:lastRenderedPageBreak/>
        <w:t xml:space="preserve">12350-8] ) </w:t>
      </w:r>
      <w:r>
        <w:br/>
        <w:t>Données complémentaires propres au béton autoplaçant (E) :</w:t>
      </w:r>
    </w:p>
    <w:p w14:paraId="37B7E959" w14:textId="77777777" w:rsidR="00DB2B68" w:rsidRDefault="00000000">
      <w:pPr>
        <w:pStyle w:val="Author-eListParagraph"/>
        <w:numPr>
          <w:ilvl w:val="0"/>
          <w:numId w:val="613"/>
        </w:numPr>
      </w:pPr>
      <w:r>
        <w:t xml:space="preserve">Classe de viscosité apparente : </w:t>
      </w:r>
      <w:r>
        <w:rPr>
          <w:rStyle w:val="optioncarChar"/>
        </w:rPr>
        <w:t>VS1 / VS2</w:t>
      </w:r>
      <w:r>
        <w:t xml:space="preserve"> (selon la [NBN EN 12350-8] )</w:t>
      </w:r>
    </w:p>
    <w:p w14:paraId="257FDB9E" w14:textId="77777777" w:rsidR="00DB2B68" w:rsidRDefault="00000000">
      <w:pPr>
        <w:pStyle w:val="Author-eListParagraph"/>
        <w:numPr>
          <w:ilvl w:val="0"/>
          <w:numId w:val="61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3518FF89" w14:textId="77777777" w:rsidR="00DB2B68" w:rsidRDefault="00000000">
      <w:pPr>
        <w:pStyle w:val="Author-eListParagraph"/>
        <w:numPr>
          <w:ilvl w:val="0"/>
          <w:numId w:val="61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B0FFB05"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 (voir </w:t>
      </w:r>
      <w:hyperlink w:anchor="232" w:history="1">
        <w:r>
          <w:rPr>
            <w:color w:val="0000EE"/>
          </w:rPr>
          <w:t>22.51 Armatures pour béton</w:t>
        </w:r>
      </w:hyperlink>
      <w:r>
        <w:t>)</w:t>
      </w:r>
    </w:p>
    <w:p w14:paraId="4F1DB6E6" w14:textId="77777777" w:rsidR="00DB2B68" w:rsidRDefault="00000000">
      <w:pPr>
        <w:pStyle w:val="Author-eListParagraph"/>
        <w:numPr>
          <w:ilvl w:val="0"/>
          <w:numId w:val="61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1FE655B" w14:textId="77777777" w:rsidR="00DB2B68" w:rsidRDefault="00000000">
      <w:pPr>
        <w:pStyle w:val="Author-eListParagraph"/>
        <w:numPr>
          <w:ilvl w:val="0"/>
          <w:numId w:val="61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578318B1" w14:textId="77777777" w:rsidR="00DB2B68" w:rsidRDefault="00000000">
      <w:pPr>
        <w:pStyle w:val="Author-eListParagraph"/>
        <w:numPr>
          <w:ilvl w:val="0"/>
          <w:numId w:val="614"/>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dimensions </w:t>
      </w:r>
      <w:r>
        <w:rPr>
          <w:rStyle w:val="optioncarChar"/>
        </w:rPr>
        <w:t>150 x 150 x 6 x 6 </w:t>
      </w:r>
      <w:r>
        <w:t>(par défaut)</w:t>
      </w:r>
      <w:r>
        <w:rPr>
          <w:rStyle w:val="optioncarChar"/>
        </w:rPr>
        <w:t xml:space="preserve"> / ***x***x***x***</w:t>
      </w:r>
      <w:r>
        <w:t xml:space="preserve"> mm.</w:t>
      </w:r>
    </w:p>
    <w:p w14:paraId="5B5726D3" w14:textId="77777777" w:rsidR="00DB2B68" w:rsidRDefault="00000000">
      <w:r>
        <w:t> </w:t>
      </w:r>
    </w:p>
    <w:p w14:paraId="39795567" w14:textId="77777777" w:rsidR="00DB2B68" w:rsidRDefault="00000000">
      <w:pPr>
        <w:pStyle w:val="pheading"/>
      </w:pPr>
      <w:r>
        <w:t>- Finitions</w:t>
      </w:r>
    </w:p>
    <w:p w14:paraId="7ECE27B5" w14:textId="77777777" w:rsidR="00DB2B68"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rPr>
            <w:color w:val="0000EE"/>
          </w:rPr>
          <w:t>22 Superstructures en béton</w:t>
        </w:r>
      </w:hyperlink>
      <w:r>
        <w:t>.</w:t>
      </w:r>
    </w:p>
    <w:p w14:paraId="45D63C0C" w14:textId="77777777" w:rsidR="00DB2B68" w:rsidRDefault="00000000">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6" w:history="1">
        <w:r>
          <w:rPr>
            <w:color w:val="0000EE"/>
          </w:rPr>
          <w:t>22.71 Traitements esthétiques ou de surface</w:t>
        </w:r>
      </w:hyperlink>
      <w:r>
        <w:t>.</w:t>
      </w:r>
    </w:p>
    <w:p w14:paraId="46CA6469" w14:textId="77777777" w:rsidR="00DB2B68"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5D7AF7FE" w14:textId="77777777" w:rsidR="00DB2B68"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rPr>
            <w:color w:val="0000EE"/>
          </w:rP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5188C209" w14:textId="77777777" w:rsidR="00DB2B68" w:rsidRDefault="00000000">
      <w:pPr>
        <w:pStyle w:val="Author-eListParagraph"/>
        <w:numPr>
          <w:ilvl w:val="0"/>
          <w:numId w:val="615"/>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0688A94B" w14:textId="77777777" w:rsidR="00DB2B68" w:rsidRDefault="00000000">
      <w:pPr>
        <w:pStyle w:val="Author-eListParagraph"/>
        <w:numPr>
          <w:ilvl w:val="0"/>
          <w:numId w:val="615"/>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43D34370" w14:textId="77777777" w:rsidR="00DB2B68" w:rsidRDefault="00000000">
      <w:pPr>
        <w:pStyle w:val="Author-eListParagraph"/>
        <w:numPr>
          <w:ilvl w:val="0"/>
          <w:numId w:val="615"/>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ACF0B70" w14:textId="77777777" w:rsidR="00DB2B68" w:rsidRDefault="00000000">
      <w:pPr>
        <w:pStyle w:val="Author-eListParagraph"/>
        <w:numPr>
          <w:ilvl w:val="0"/>
          <w:numId w:val="615"/>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13F682CF" w14:textId="77777777" w:rsidR="00DB2B68" w:rsidRDefault="00000000">
      <w:r>
        <w:rPr>
          <w:rStyle w:val="optioncarChar"/>
          <w:color w:val="000000"/>
        </w:rPr>
        <w:t>Les arêtes saillantes des éléments en béton sont</w:t>
      </w:r>
      <w:r>
        <w:rPr>
          <w:rStyle w:val="optioncarChar"/>
        </w:rPr>
        <w:t xml:space="preserve"> vives / chanfreinées </w:t>
      </w:r>
      <w:r>
        <w:t xml:space="preserve">(par défaut) </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7304FEBC" w14:textId="77777777" w:rsidR="00DB2B68" w:rsidRDefault="00000000">
      <w:pPr>
        <w:pStyle w:val="pheading"/>
      </w:pPr>
      <w:r>
        <w:t>EXÉCUTION / MISE EN ŒUVRE</w:t>
      </w:r>
    </w:p>
    <w:p w14:paraId="21AD73B3" w14:textId="77777777" w:rsidR="00DB2B68" w:rsidRDefault="00000000">
      <w:pPr>
        <w:pStyle w:val="pheading"/>
      </w:pPr>
      <w:r>
        <w:t>- Prescriptions générales</w:t>
      </w:r>
    </w:p>
    <w:p w14:paraId="163C682E" w14:textId="77777777" w:rsidR="00DB2B68" w:rsidRDefault="00000000">
      <w:r>
        <w:t xml:space="preserve">L'étude est à charge </w:t>
      </w:r>
      <w:r>
        <w:rPr>
          <w:rStyle w:val="optioncarChar"/>
        </w:rPr>
        <w:t>de l'entrepreneur / du maître de  l'ouvrage / du bureau d’étude </w:t>
      </w:r>
      <w:r>
        <w:t xml:space="preserve">( </w:t>
      </w:r>
      <w:hyperlink w:anchor="87" w:history="1">
        <w:r>
          <w:rPr>
            <w:color w:val="0000EE"/>
          </w:rPr>
          <w:t>22 Superstructures en béton</w:t>
        </w:r>
      </w:hyperlink>
      <w:r>
        <w:t>).</w:t>
      </w:r>
      <w:r>
        <w:br/>
      </w:r>
      <w:r>
        <w:lastRenderedPageBreak/>
        <w:t xml:space="preserve">Les éléments en encorbellement sont coulés sur place en </w:t>
      </w:r>
      <w:r>
        <w:rPr>
          <w:rStyle w:val="optioncarChar"/>
        </w:rPr>
        <w:t>une seule </w:t>
      </w:r>
      <w:r>
        <w:t>(par défaut)</w:t>
      </w:r>
      <w:r>
        <w:rPr>
          <w:rStyle w:val="optioncarChar"/>
        </w:rPr>
        <w:t xml:space="preserve"> / ***</w:t>
      </w:r>
      <w:r>
        <w:t xml:space="preserve"> fois.</w:t>
      </w:r>
      <w:r>
        <w:br/>
        <w:t xml:space="preserve">Le décoffrage se fait au plus tôt </w:t>
      </w:r>
      <w:r>
        <w:rPr>
          <w:rStyle w:val="optioncarChar"/>
        </w:rPr>
        <w:t>***</w:t>
      </w:r>
      <w:r>
        <w:t xml:space="preserve"> jours </w:t>
      </w:r>
      <w:r>
        <w:rPr>
          <w:rStyle w:val="optioncarChar"/>
        </w:rPr>
        <w:t>après le coulage du béton / selon les directives de l’ingénieur.</w:t>
      </w:r>
    </w:p>
    <w:p w14:paraId="2675717F" w14:textId="77777777" w:rsidR="00DB2B68" w:rsidRDefault="00000000">
      <w:pPr>
        <w:pStyle w:val="pheading"/>
      </w:pPr>
      <w:r>
        <w:t>- Notes d’exécution complémentaires</w:t>
      </w:r>
    </w:p>
    <w:p w14:paraId="028FE53D" w14:textId="77777777" w:rsidR="00DB2B68" w:rsidRDefault="00000000">
      <w:r>
        <w:t>Raccords visibles : joint en forme de</w:t>
      </w:r>
      <w:r>
        <w:rPr>
          <w:rStyle w:val="optioncarChar"/>
        </w:rPr>
        <w:t> V </w:t>
      </w:r>
      <w:r>
        <w:t xml:space="preserve">(par défaut) </w:t>
      </w:r>
      <w:r>
        <w:rPr>
          <w:rStyle w:val="optioncarChar"/>
        </w:rPr>
        <w:t>/ *** .</w:t>
      </w:r>
      <w:r>
        <w:br/>
        <w:t xml:space="preserve">Joints de reprise : </w:t>
      </w:r>
      <w:r>
        <w:rPr>
          <w:rStyle w:val="optioncarChar"/>
        </w:rPr>
        <w:t>***</w:t>
      </w:r>
      <w:r>
        <w:br/>
        <w:t>Ancrages : à rupture thermique - système à soumettre pour approbation</w:t>
      </w:r>
      <w:r>
        <w:br/>
        <w:t>Ponts d'humidité / étanchéité à l'eau :</w:t>
      </w:r>
      <w:r>
        <w:rPr>
          <w:rStyle w:val="optioncarChar"/>
        </w:rPr>
        <w:t xml:space="preserve"> ***</w:t>
      </w:r>
      <w:r>
        <w:br/>
        <w:t>Ponts thermiques / isolation thermique :</w:t>
      </w:r>
      <w:r>
        <w:rPr>
          <w:rStyle w:val="optioncarChar"/>
        </w:rPr>
        <w:t xml:space="preserve"> ***</w:t>
      </w:r>
      <w:r>
        <w:br/>
        <w:t xml:space="preserve">Réservations / pénétrations : </w:t>
      </w:r>
      <w:r>
        <w:rPr>
          <w:rStyle w:val="optioncarChar"/>
        </w:rPr>
        <w:t>***</w:t>
      </w:r>
    </w:p>
    <w:p w14:paraId="655A0F4D" w14:textId="77777777" w:rsidR="00DB2B68" w:rsidRDefault="00000000">
      <w:pPr>
        <w:pStyle w:val="pheading"/>
      </w:pPr>
      <w:r>
        <w:t>MESURAGE</w:t>
      </w:r>
    </w:p>
    <w:p w14:paraId="4B09FB61" w14:textId="77777777" w:rsidR="00DB2B68" w:rsidRDefault="00000000">
      <w:r>
        <w:rPr>
          <w:color w:val="FF0000"/>
        </w:rPr>
        <w:t xml:space="preserve">Mesurage </w:t>
      </w:r>
    </w:p>
    <w:p w14:paraId="58FD9320" w14:textId="77777777" w:rsidR="00DB2B68" w:rsidRDefault="00000000">
      <w:pPr>
        <w:pStyle w:val="pheading"/>
      </w:pPr>
      <w:r>
        <w:t>- unité de mesure:</w:t>
      </w:r>
    </w:p>
    <w:p w14:paraId="13021921" w14:textId="77777777" w:rsidR="00DB2B68" w:rsidRDefault="00000000">
      <w:r>
        <w:t>m³ pour le béton</w:t>
      </w:r>
      <w:r>
        <w:br/>
        <w:t>kg pour les barres d’armatures</w:t>
      </w:r>
      <w:r>
        <w:br/>
        <w:t>PM, coffrages</w:t>
      </w:r>
    </w:p>
    <w:p w14:paraId="528ACD0C" w14:textId="77777777" w:rsidR="00DB2B68" w:rsidRDefault="00000000">
      <w:pPr>
        <w:pStyle w:val="pheading"/>
      </w:pPr>
      <w:r>
        <w:t>- nature du marché:</w:t>
      </w:r>
    </w:p>
    <w:p w14:paraId="31E918D5" w14:textId="77777777" w:rsidR="00DB2B68" w:rsidRDefault="00000000">
      <w:r>
        <w:t>QF</w:t>
      </w:r>
    </w:p>
    <w:p w14:paraId="566A6431" w14:textId="77777777" w:rsidR="00DB2B68" w:rsidRDefault="00000000">
      <w:pPr>
        <w:pStyle w:val="Author-eSectionHeading5Numberless"/>
      </w:pPr>
      <w:bookmarkStart w:id="892" w:name="_Toc220495940"/>
      <w:r>
        <w:t>22.36.3 Corniches préfabriquées en béton CCTB 01.13</w:t>
      </w:r>
      <w:bookmarkEnd w:id="892"/>
    </w:p>
    <w:p w14:paraId="4A928A36" w14:textId="77777777" w:rsidR="00DB2B68" w:rsidRDefault="00000000">
      <w:pPr>
        <w:pStyle w:val="pheading"/>
      </w:pPr>
      <w:r>
        <w:t>DESCRIPTION</w:t>
      </w:r>
    </w:p>
    <w:p w14:paraId="72CD0E5C" w14:textId="77777777" w:rsidR="00DB2B68" w:rsidRDefault="00000000">
      <w:pPr>
        <w:pStyle w:val="pheading"/>
      </w:pPr>
      <w:r>
        <w:t>- Définition / Comprend</w:t>
      </w:r>
    </w:p>
    <w:p w14:paraId="3FACC9F8" w14:textId="77777777" w:rsidR="00DB2B68" w:rsidRDefault="00000000">
      <w:r>
        <w:t xml:space="preserve">Il s'agit de toutes les </w:t>
      </w:r>
      <w:r>
        <w:rPr>
          <w:rStyle w:val="optioncarChar"/>
          <w:color w:val="000000"/>
        </w:rPr>
        <w:t xml:space="preserve">corniches </w:t>
      </w:r>
      <w:r>
        <w:t>qui sont préfabriquées et sont ensuite intégrés dans la construction portante avec les moyens appropriés.</w:t>
      </w:r>
    </w:p>
    <w:p w14:paraId="62CD1452" w14:textId="77777777" w:rsidR="00DB2B68" w:rsidRDefault="00000000">
      <w:pPr>
        <w:pStyle w:val="pheading"/>
      </w:pPr>
      <w:r>
        <w:t>MATÉRIAUX</w:t>
      </w:r>
    </w:p>
    <w:p w14:paraId="709176D6" w14:textId="77777777" w:rsidR="00DB2B68" w:rsidRDefault="00000000">
      <w:r>
        <w:t xml:space="preserve">L’ensemble des matériaux, des éléments de support et des assemblages doivent satisfaire aux charges d’exploitation et à la classe d’exposition indiquées préalablement (voir également l’art. </w:t>
      </w:r>
      <w:hyperlink w:anchor="87" w:history="1">
        <w:r>
          <w:rPr>
            <w:color w:val="0000EE"/>
          </w:rPr>
          <w:t>22 Superstructures en béton</w:t>
        </w:r>
      </w:hyperlink>
      <w:r>
        <w:t>).</w:t>
      </w:r>
    </w:p>
    <w:p w14:paraId="1788E2E9" w14:textId="77777777" w:rsidR="00DB2B68" w:rsidRDefault="00000000">
      <w:pPr>
        <w:pStyle w:val="heading"/>
      </w:pPr>
      <w:r>
        <w:t>Spécifications</w:t>
      </w:r>
    </w:p>
    <w:p w14:paraId="7975BF29" w14:textId="77777777" w:rsidR="00DB2B68" w:rsidRDefault="00000000">
      <w:pPr>
        <w:pStyle w:val="Author-eListParagraph"/>
        <w:numPr>
          <w:ilvl w:val="0"/>
          <w:numId w:val="616"/>
        </w:numPr>
      </w:pPr>
      <w:r>
        <w:t>Conformes à la [NBN EN 13369] et à la [NBN B 21-600]</w:t>
      </w:r>
    </w:p>
    <w:p w14:paraId="353382C7" w14:textId="77777777" w:rsidR="00DB2B68" w:rsidRDefault="00000000">
      <w:pPr>
        <w:pStyle w:val="Author-eListParagraph"/>
        <w:numPr>
          <w:ilvl w:val="0"/>
          <w:numId w:val="616"/>
        </w:numPr>
      </w:pPr>
      <w:r>
        <w:t>Forme et dimensions : conformément aux indications sur les plans</w:t>
      </w:r>
    </w:p>
    <w:p w14:paraId="142CE1F0" w14:textId="77777777" w:rsidR="00DB2B68" w:rsidRDefault="00000000">
      <w:pPr>
        <w:pStyle w:val="Author-eListParagraph"/>
        <w:numPr>
          <w:ilvl w:val="0"/>
          <w:numId w:val="616"/>
        </w:numPr>
      </w:pPr>
      <w:r>
        <w:t xml:space="preserve">Classe d'exploitation : </w:t>
      </w:r>
      <w:r>
        <w:rPr>
          <w:rStyle w:val="optioncarChar"/>
        </w:rPr>
        <w:t>***</w:t>
      </w:r>
    </w:p>
    <w:p w14:paraId="18E47F45" w14:textId="77777777" w:rsidR="00DB2B68" w:rsidRDefault="00000000">
      <w:pPr>
        <w:pStyle w:val="Author-eListParagraph"/>
        <w:numPr>
          <w:ilvl w:val="0"/>
          <w:numId w:val="616"/>
        </w:numPr>
      </w:pPr>
      <w:r>
        <w:t>Classe d'environnement:</w:t>
      </w:r>
      <w:r>
        <w:rPr>
          <w:rStyle w:val="optioncarChar"/>
        </w:rPr>
        <w:t xml:space="preserve"> ***</w:t>
      </w:r>
    </w:p>
    <w:p w14:paraId="10F32DB2" w14:textId="77777777" w:rsidR="00DB2B68" w:rsidRDefault="00000000">
      <w:pPr>
        <w:pStyle w:val="Author-eListParagraph"/>
        <w:numPr>
          <w:ilvl w:val="0"/>
          <w:numId w:val="616"/>
        </w:numPr>
      </w:pPr>
      <w:r>
        <w:t>Eléments d’ancrage : avec dispositif de rupture thermique - système à soumettre pour approbation</w:t>
      </w:r>
    </w:p>
    <w:p w14:paraId="5C2CBEE8" w14:textId="77777777" w:rsidR="00DB2B68" w:rsidRDefault="00000000">
      <w:pPr>
        <w:pStyle w:val="pheading"/>
      </w:pPr>
      <w:r>
        <w:t>EXÉCUTION / MISE EN ŒUVRE</w:t>
      </w:r>
    </w:p>
    <w:p w14:paraId="3BA4C1CB" w14:textId="77777777" w:rsidR="00DB2B68" w:rsidRDefault="00000000">
      <w:r>
        <w:t xml:space="preserve">Les éléments de </w:t>
      </w:r>
      <w:r>
        <w:rPr>
          <w:rStyle w:val="optioncarChar"/>
          <w:color w:val="000000"/>
        </w:rPr>
        <w:t>corniches</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rPr>
            <w:color w:val="0000EE"/>
          </w:rPr>
          <w:t>22 Superstructures en béton</w:t>
        </w:r>
      </w:hyperlink>
      <w:r>
        <w:t>).</w:t>
      </w:r>
    </w:p>
    <w:p w14:paraId="3AAB57B9" w14:textId="77777777" w:rsidR="00DB2B68" w:rsidRDefault="00000000">
      <w:pPr>
        <w:pStyle w:val="Author-eSectionHeading6Numberless"/>
      </w:pPr>
      <w:bookmarkStart w:id="893" w:name="_Toc220495941"/>
      <w:r>
        <w:t>22.36.3a Corniches préfabriquées en béton CCTB 01.13</w:t>
      </w:r>
      <w:bookmarkEnd w:id="893"/>
    </w:p>
    <w:p w14:paraId="5A5118EA" w14:textId="77777777" w:rsidR="00DB2B68" w:rsidRDefault="00000000">
      <w:pPr>
        <w:pStyle w:val="pheading"/>
      </w:pPr>
      <w:r>
        <w:t>DESCRIPTION</w:t>
      </w:r>
    </w:p>
    <w:p w14:paraId="7435B880" w14:textId="77777777" w:rsidR="00DB2B68" w:rsidRDefault="00000000">
      <w:pPr>
        <w:pStyle w:val="pheading"/>
      </w:pPr>
      <w:r>
        <w:t>- Définition / Comprend</w:t>
      </w:r>
    </w:p>
    <w:p w14:paraId="4BF3EB21" w14:textId="77777777" w:rsidR="00DB2B68" w:rsidRDefault="00000000">
      <w:r>
        <w:lastRenderedPageBreak/>
        <w:t xml:space="preserve">Il s'agit de toutes les corniches en béton armé qui sont obligatoirement préfabriquées dans une usine suivant la définition reprise dans les généralités, et sont assemblées sur chantier aux ouvrages de construction déjà exécutés ( voir également </w:t>
      </w:r>
      <w:hyperlink w:anchor="87" w:history="1">
        <w:r>
          <w:rPr>
            <w:color w:val="0000EE"/>
          </w:rPr>
          <w:t>22 Superstructures en béton</w:t>
        </w:r>
      </w:hyperlink>
      <w:r>
        <w:t xml:space="preserve"> ).</w:t>
      </w:r>
    </w:p>
    <w:p w14:paraId="679028BA" w14:textId="77777777" w:rsidR="00DB2B68" w:rsidRDefault="00000000">
      <w:r>
        <w:t>Les éléments sont fabriqués suivant les spécifications de la norme [NBN EN 13225] et la [NBN B 21-604].</w:t>
      </w:r>
    </w:p>
    <w:p w14:paraId="20775C50" w14:textId="77777777" w:rsidR="00DB2B68" w:rsidRDefault="00000000">
      <w:pPr>
        <w:ind w:left="750"/>
      </w:pPr>
      <w:r>
        <w:t> </w:t>
      </w:r>
    </w:p>
    <w:p w14:paraId="1E1D1C64" w14:textId="77777777" w:rsidR="00DB2B68" w:rsidRDefault="00000000">
      <w:pPr>
        <w:pStyle w:val="pheading"/>
      </w:pPr>
      <w:r>
        <w:t>MATÉRIAUX</w:t>
      </w:r>
    </w:p>
    <w:p w14:paraId="5DD6EC10" w14:textId="77777777" w:rsidR="00DB2B68" w:rsidRDefault="00000000">
      <w:pPr>
        <w:pStyle w:val="pheading"/>
      </w:pPr>
      <w:r>
        <w:t>- Caractéristiques générales</w:t>
      </w:r>
    </w:p>
    <w:p w14:paraId="192B0372" w14:textId="77777777" w:rsidR="00DB2B68" w:rsidRDefault="00000000">
      <w:pPr>
        <w:pStyle w:val="Author-eListParagraph"/>
        <w:numPr>
          <w:ilvl w:val="0"/>
          <w:numId w:val="617"/>
        </w:numPr>
      </w:pPr>
      <w:r>
        <w:rPr>
          <w:rStyle w:val="normalChar"/>
        </w:rPr>
        <w:t>Classe de résistance à la compression</w:t>
      </w:r>
      <w:r>
        <w:br/>
      </w:r>
      <w:r>
        <w:rPr>
          <w:rStyle w:val="optioncarChar"/>
        </w:rPr>
        <w:t>C25/30 </w:t>
      </w:r>
      <w:r>
        <w:t>(par défaut)</w:t>
      </w:r>
      <w:r>
        <w:rPr>
          <w:rStyle w:val="optioncarChar"/>
        </w:rPr>
        <w:t xml:space="preserve"> / C30/37 / C35/45 / C45/55 / C50/60 / C55/67 / C60/75 / C70/85 / C80/95 / C90/105 / ***</w:t>
      </w:r>
    </w:p>
    <w:p w14:paraId="222FF9E4" w14:textId="77777777" w:rsidR="00DB2B68" w:rsidRDefault="00000000">
      <w:pPr>
        <w:pStyle w:val="Author-eListParagraph"/>
        <w:numPr>
          <w:ilvl w:val="0"/>
          <w:numId w:val="618"/>
        </w:numPr>
      </w:pPr>
      <w:r>
        <w:rPr>
          <w:rStyle w:val="normalChar"/>
        </w:rPr>
        <w:t>Classe d’environnement</w:t>
      </w:r>
      <w:r>
        <w:br/>
      </w:r>
      <w:r>
        <w:rPr>
          <w:rStyle w:val="optioncarChar"/>
        </w:rPr>
        <w:t>E0 / EI </w:t>
      </w:r>
      <w:r>
        <w:t>(par défaut)</w:t>
      </w:r>
      <w:r>
        <w:rPr>
          <w:rStyle w:val="optioncarChar"/>
        </w:rPr>
        <w:t xml:space="preserve"> / EE1 / EE2 / EE3 / EE4 / ES1 / ES2 / ES3 / ES4 / EA1+*** / EA2+*** / EA3+*** / ***</w:t>
      </w:r>
    </w:p>
    <w:p w14:paraId="259272A0" w14:textId="77777777" w:rsidR="00DB2B68" w:rsidRDefault="00000000">
      <w:pPr>
        <w:pStyle w:val="pheading"/>
      </w:pPr>
      <w:r>
        <w:t>- Finitions</w:t>
      </w:r>
    </w:p>
    <w:p w14:paraId="7E4432F2" w14:textId="77777777" w:rsidR="00DB2B68" w:rsidRDefault="00000000">
      <w:r>
        <w:t>La surface du béton brute de décoffrage est</w:t>
      </w:r>
      <w:r>
        <w:rPr>
          <w:rStyle w:val="optioncarChar"/>
        </w:rPr>
        <w:t xml:space="preserve"> lisse </w:t>
      </w:r>
      <w:r>
        <w:t>(par défaut) </w:t>
      </w:r>
      <w:r>
        <w:rPr>
          <w:rStyle w:val="optioncarChar"/>
        </w:rPr>
        <w:t>/ texturée / à relief (ou structurée) / ***</w:t>
      </w:r>
      <w:r>
        <w:br/>
      </w:r>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***x*** </w:t>
      </w:r>
      <w:r>
        <w:rPr>
          <w:rStyle w:val="soitChar"/>
        </w:rPr>
        <w:t>cm.</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p>
    <w:p w14:paraId="1963716A" w14:textId="77777777" w:rsidR="00DB2B68" w:rsidRDefault="00000000">
      <w:r>
        <w:t xml:space="preserve">Les arêtes rentrantes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 </w:t>
      </w:r>
    </w:p>
    <w:p w14:paraId="1702C0F5" w14:textId="77777777" w:rsidR="00DB2B68" w:rsidRDefault="00000000">
      <w:pPr>
        <w:pStyle w:val="pheading"/>
      </w:pPr>
      <w:r>
        <w:t>EXÉCUTION / MISE EN ŒUVRE</w:t>
      </w:r>
    </w:p>
    <w:p w14:paraId="5FB13B7D" w14:textId="77777777" w:rsidR="00DB2B68" w:rsidRDefault="00000000">
      <w:pPr>
        <w:pStyle w:val="pheading"/>
      </w:pPr>
      <w:r>
        <w:t>- Prescriptions générales</w:t>
      </w:r>
    </w:p>
    <w:p w14:paraId="2D440500" w14:textId="77777777" w:rsidR="00DB2B68" w:rsidRDefault="00000000">
      <w:pPr>
        <w:pStyle w:val="Author-eListParagraph"/>
        <w:numPr>
          <w:ilvl w:val="0"/>
          <w:numId w:val="619"/>
        </w:numPr>
      </w:pPr>
      <w:r>
        <w:t xml:space="preserve">L’étude et les plans d’exécution </w:t>
      </w:r>
      <w:r>
        <w:rPr>
          <w:rStyle w:val="optioncarChar"/>
        </w:rPr>
        <w:t>sont / ne sont pas</w:t>
      </w:r>
      <w:r>
        <w:t xml:space="preserve"> à charge de l’entreprise.</w:t>
      </w:r>
    </w:p>
    <w:p w14:paraId="25809BA1" w14:textId="77777777" w:rsidR="00DB2B68" w:rsidRDefault="00000000">
      <w:pPr>
        <w:pStyle w:val="Author-eListParagraph"/>
        <w:numPr>
          <w:ilvl w:val="0"/>
          <w:numId w:val="619"/>
        </w:numPr>
      </w:pPr>
      <w:r>
        <w:t>Les corniches sont fabriquées dans les dimensions indiquées sur les plans d’exécution approuvés.</w:t>
      </w:r>
    </w:p>
    <w:p w14:paraId="51DF4608" w14:textId="77777777" w:rsidR="00DB2B68" w:rsidRDefault="00000000">
      <w:pPr>
        <w:pStyle w:val="Author-eListParagraph"/>
        <w:numPr>
          <w:ilvl w:val="0"/>
          <w:numId w:val="619"/>
        </w:numPr>
      </w:pPr>
      <w:r>
        <w:t>L’entrepreneur veille à ce que la répartition des charges à l’appui de la corniche soit uniforme et compatible avec le support. Les longueurs d’appui sont proportionnées à la portée, aux charges et au type de support suivant le calcul du bureau d’études.</w:t>
      </w:r>
    </w:p>
    <w:p w14:paraId="7D8E72E0" w14:textId="77777777" w:rsidR="00DB2B68" w:rsidRDefault="00000000">
      <w:pPr>
        <w:pStyle w:val="pheading"/>
      </w:pPr>
      <w:r>
        <w:t>- Notes d’exécution complémentaires</w:t>
      </w:r>
    </w:p>
    <w:p w14:paraId="5CD9F0A3" w14:textId="77777777" w:rsidR="00DB2B68" w:rsidRDefault="00000000">
      <w:r>
        <w:t>Ponts thermiques / isolation thermique : des dispositifs adéquats sont utilisés pour éviter tout pont thermique.</w:t>
      </w:r>
    </w:p>
    <w:p w14:paraId="2FF18165" w14:textId="77777777" w:rsidR="00DB2B68" w:rsidRDefault="00000000">
      <w:pPr>
        <w:pStyle w:val="pheading"/>
      </w:pPr>
      <w:r>
        <w:lastRenderedPageBreak/>
        <w:t>MESURAGE</w:t>
      </w:r>
    </w:p>
    <w:p w14:paraId="5EFDD3E9" w14:textId="77777777" w:rsidR="00DB2B68" w:rsidRDefault="00000000">
      <w:r>
        <w:t>Conformément aux indications spécifiques dans le cahier spécial des charges et/ou le métré récapitulatif, le mesurage est conçu comme suit :</w:t>
      </w:r>
    </w:p>
    <w:p w14:paraId="4AB771C7" w14:textId="77777777" w:rsidR="00DB2B68" w:rsidRDefault="00000000">
      <w:pPr>
        <w:pStyle w:val="pheading"/>
      </w:pPr>
      <w:r>
        <w:t>- unité de mesure:</w:t>
      </w:r>
    </w:p>
    <w:p w14:paraId="7A94BADA" w14:textId="77777777" w:rsidR="00DB2B68" w:rsidRDefault="00000000">
      <w:r>
        <w:rPr>
          <w:rStyle w:val="optioncarChar"/>
        </w:rPr>
        <w:t xml:space="preserve">m³ </w:t>
      </w:r>
      <w:r>
        <w:t>(par défaut)</w:t>
      </w:r>
      <w:r>
        <w:rPr>
          <w:rStyle w:val="optioncarChar"/>
        </w:rPr>
        <w:t xml:space="preserve"> / pce / m / m² / ***</w:t>
      </w:r>
    </w:p>
    <w:p w14:paraId="36D13C0D" w14:textId="77777777" w:rsidR="00DB2B68" w:rsidRDefault="00000000">
      <w:pPr>
        <w:pStyle w:val="pheading"/>
      </w:pPr>
      <w:r>
        <w:t>- code de mesurage:</w:t>
      </w:r>
    </w:p>
    <w:p w14:paraId="13F98622" w14:textId="77777777" w:rsidR="00DB2B68" w:rsidRDefault="00000000">
      <w:r>
        <w:t>Volume net, mesuré selon les dimensions nominales indiquées sur les plans.</w:t>
      </w:r>
    </w:p>
    <w:p w14:paraId="669B7DCC" w14:textId="77777777" w:rsidR="00DB2B68" w:rsidRDefault="00000000">
      <w:pPr>
        <w:pStyle w:val="Author-eListParagraph"/>
        <w:numPr>
          <w:ilvl w:val="0"/>
          <w:numId w:val="620"/>
        </w:numPr>
      </w:pPr>
      <w:r>
        <w:t>Les éléments en béton non rectangulaires sont calculés en multipliant la longueur par la surface de la section.</w:t>
      </w:r>
    </w:p>
    <w:p w14:paraId="7635E4D5" w14:textId="77777777" w:rsidR="00DB2B68" w:rsidRDefault="00000000">
      <w:pPr>
        <w:pStyle w:val="Author-eListParagraph"/>
        <w:numPr>
          <w:ilvl w:val="0"/>
          <w:numId w:val="621"/>
        </w:numPr>
      </w:pPr>
      <w:r>
        <w:t>Le contenu des volumes résiduels au droit des angles, rencontres et terminaisons est négligé.</w:t>
      </w:r>
    </w:p>
    <w:p w14:paraId="0C98A489" w14:textId="77777777" w:rsidR="00DB2B68" w:rsidRDefault="00000000">
      <w:pPr>
        <w:pStyle w:val="Author-eListParagraph"/>
        <w:numPr>
          <w:ilvl w:val="0"/>
          <w:numId w:val="621"/>
        </w:numPr>
      </w:pPr>
      <w:r>
        <w:t xml:space="preserve">Aucune déduction n'est faite pour: </w:t>
      </w:r>
    </w:p>
    <w:p w14:paraId="56ECD7A3" w14:textId="77777777" w:rsidR="00DB2B68" w:rsidRDefault="00000000">
      <w:pPr>
        <w:pStyle w:val="Author-eListParagraph"/>
        <w:numPr>
          <w:ilvl w:val="1"/>
          <w:numId w:val="622"/>
        </w:numPr>
      </w:pPr>
      <w:r>
        <w:t>le volume des armatures,</w:t>
      </w:r>
    </w:p>
    <w:p w14:paraId="57196713" w14:textId="77777777" w:rsidR="00DB2B68" w:rsidRDefault="00000000">
      <w:pPr>
        <w:pStyle w:val="Author-eListParagraph"/>
        <w:numPr>
          <w:ilvl w:val="1"/>
          <w:numId w:val="622"/>
        </w:numPr>
      </w:pPr>
      <w:r>
        <w:t>les blocs et écarteurs, les fourreaux pour les armatures de précontrainte ;</w:t>
      </w:r>
    </w:p>
    <w:p w14:paraId="04941C19" w14:textId="77777777" w:rsidR="00DB2B68" w:rsidRDefault="00000000">
      <w:pPr>
        <w:pStyle w:val="Author-eListParagraph"/>
        <w:numPr>
          <w:ilvl w:val="1"/>
          <w:numId w:val="622"/>
        </w:numPr>
      </w:pPr>
      <w:r>
        <w:t>les pénétrations pour les pattes d’ancrage, les creux, les conduites noyées et les réservations dont le volume est inférieur à 0,05 m3.</w:t>
      </w:r>
    </w:p>
    <w:p w14:paraId="4106968A" w14:textId="77777777" w:rsidR="00DB2B68" w:rsidRDefault="00000000">
      <w:pPr>
        <w:pStyle w:val="Author-eListParagraph"/>
        <w:numPr>
          <w:ilvl w:val="1"/>
          <w:numId w:val="622"/>
        </w:numPr>
      </w:pPr>
      <w:r>
        <w:t>les chanfreins et tous les profils dont la section a une superficie inférieure à 20 cm2.</w:t>
      </w:r>
    </w:p>
    <w:p w14:paraId="34CA1376" w14:textId="77777777" w:rsidR="00DB2B68" w:rsidRDefault="00000000">
      <w:pPr>
        <w:pStyle w:val="Author-eListParagraph"/>
        <w:numPr>
          <w:ilvl w:val="1"/>
          <w:numId w:val="622"/>
        </w:numPr>
      </w:pPr>
      <w:r>
        <w:t>les rainures, encoches et languettes.</w:t>
      </w:r>
    </w:p>
    <w:p w14:paraId="47595BDA" w14:textId="77777777" w:rsidR="00DB2B68" w:rsidRDefault="00000000">
      <w:r>
        <w:t>Sont toujours compris dans le prix unitaire outre les éléments préfabriqués, les armatures qui y sont incorporées, les moyens de support, de fixation et d’appui, le béton, ainsi que les armatures posées sur place pour des raisons de stabilité</w:t>
      </w:r>
    </w:p>
    <w:p w14:paraId="4A2586B2" w14:textId="77777777" w:rsidR="00DB2B68" w:rsidRDefault="00000000">
      <w:pPr>
        <w:pStyle w:val="pheading"/>
      </w:pPr>
      <w:r>
        <w:t>- nature du marché:</w:t>
      </w:r>
    </w:p>
    <w:p w14:paraId="1CAD45F7" w14:textId="77777777" w:rsidR="00DB2B68" w:rsidRDefault="00000000">
      <w:r>
        <w:rPr>
          <w:rStyle w:val="optioncarChar"/>
        </w:rPr>
        <w:t xml:space="preserve">QF </w:t>
      </w:r>
      <w:r>
        <w:t>(par défaut)</w:t>
      </w:r>
      <w:r>
        <w:rPr>
          <w:rStyle w:val="optioncarChar"/>
        </w:rPr>
        <w:t xml:space="preserve"> / QP / PM</w:t>
      </w:r>
    </w:p>
    <w:p w14:paraId="3E61CC67" w14:textId="77777777" w:rsidR="00DB2B68" w:rsidRDefault="00000000">
      <w:pPr>
        <w:pStyle w:val="Author-eSectionHeading5Numberless"/>
      </w:pPr>
      <w:bookmarkStart w:id="894" w:name="_Toc220495942"/>
      <w:r>
        <w:t>22.36.4 Corniches préfabriquées en béton architectonique CCTB 01.13</w:t>
      </w:r>
      <w:bookmarkEnd w:id="894"/>
    </w:p>
    <w:p w14:paraId="48EB63AF" w14:textId="77777777" w:rsidR="00DB2B68" w:rsidRDefault="00000000">
      <w:pPr>
        <w:pStyle w:val="pheading"/>
      </w:pPr>
      <w:r>
        <w:t>DESCRIPTION</w:t>
      </w:r>
    </w:p>
    <w:p w14:paraId="095C095E" w14:textId="77777777" w:rsidR="00DB2B68" w:rsidRDefault="00000000">
      <w:pPr>
        <w:pStyle w:val="pheading"/>
      </w:pPr>
      <w:r>
        <w:t>- Définition / Comprend</w:t>
      </w:r>
    </w:p>
    <w:p w14:paraId="2AE017FE" w14:textId="77777777" w:rsidR="00DB2B68" w:rsidRDefault="00000000">
      <w:r>
        <w:t>Il s'agit de toutes les</w:t>
      </w:r>
      <w:r>
        <w:rPr>
          <w:rStyle w:val="optioncarChar"/>
          <w:color w:val="000000"/>
        </w:rPr>
        <w:t xml:space="preserve"> corniches </w:t>
      </w:r>
      <w:r>
        <w:t>qui sont préfabriquées en béton architectonique et sont ensuite intégrées dans la construction portante avec les moyens appropriés.</w:t>
      </w:r>
    </w:p>
    <w:p w14:paraId="720531A1" w14:textId="77777777" w:rsidR="00DB2B68" w:rsidRDefault="00000000">
      <w:pPr>
        <w:pStyle w:val="pheading"/>
      </w:pPr>
      <w:r>
        <w:t>MATÉRIAUX</w:t>
      </w:r>
    </w:p>
    <w:p w14:paraId="4C4DDCD5" w14:textId="77777777" w:rsidR="00DB2B68" w:rsidRDefault="00000000">
      <w:r>
        <w:t xml:space="preserve">L’ensemble des matériaux, des éléments de support et des assemblages doivent satisfaire aux charges d’exploitation et à la classe d’exposition indiquées préalablement (voir également l’art. </w:t>
      </w:r>
      <w:hyperlink w:anchor="87" w:history="1">
        <w:r>
          <w:rPr>
            <w:color w:val="0000EE"/>
          </w:rPr>
          <w:t>22 Superstructures en béton</w:t>
        </w:r>
      </w:hyperlink>
      <w:r>
        <w:t>).</w:t>
      </w:r>
    </w:p>
    <w:p w14:paraId="621DAE38" w14:textId="77777777" w:rsidR="00DB2B68" w:rsidRDefault="00000000">
      <w:pPr>
        <w:pStyle w:val="heading"/>
      </w:pPr>
      <w:r>
        <w:t>Spécifications</w:t>
      </w:r>
    </w:p>
    <w:p w14:paraId="27B18831" w14:textId="77777777" w:rsidR="00DB2B68" w:rsidRDefault="00000000">
      <w:pPr>
        <w:pStyle w:val="Author-eListParagraph"/>
        <w:numPr>
          <w:ilvl w:val="0"/>
          <w:numId w:val="623"/>
        </w:numPr>
      </w:pPr>
      <w:r>
        <w:t>Conformes à la [NBN EN 13369] et à la [NBN B 21-600]</w:t>
      </w:r>
    </w:p>
    <w:p w14:paraId="60C27E37" w14:textId="77777777" w:rsidR="00DB2B68" w:rsidRDefault="00000000">
      <w:pPr>
        <w:pStyle w:val="Author-eListParagraph"/>
        <w:numPr>
          <w:ilvl w:val="0"/>
          <w:numId w:val="623"/>
        </w:numPr>
      </w:pPr>
      <w:r>
        <w:t>Forme et dimensions  : conformément aux indications sur les plans</w:t>
      </w:r>
    </w:p>
    <w:p w14:paraId="2070E996" w14:textId="77777777" w:rsidR="00DB2B68" w:rsidRDefault="00000000">
      <w:pPr>
        <w:pStyle w:val="Author-eListParagraph"/>
        <w:numPr>
          <w:ilvl w:val="0"/>
          <w:numId w:val="623"/>
        </w:numPr>
      </w:pPr>
      <w:r>
        <w:t xml:space="preserve">Classe d'exploitation : </w:t>
      </w:r>
      <w:r>
        <w:rPr>
          <w:rStyle w:val="optioncarChar"/>
        </w:rPr>
        <w:t>***</w:t>
      </w:r>
    </w:p>
    <w:p w14:paraId="26BDDEA9" w14:textId="77777777" w:rsidR="00DB2B68" w:rsidRDefault="00000000">
      <w:pPr>
        <w:pStyle w:val="Author-eListParagraph"/>
        <w:numPr>
          <w:ilvl w:val="0"/>
          <w:numId w:val="623"/>
        </w:numPr>
      </w:pPr>
      <w:r>
        <w:t>Classe d'environnement:</w:t>
      </w:r>
      <w:r>
        <w:rPr>
          <w:rStyle w:val="optioncarChar"/>
        </w:rPr>
        <w:t xml:space="preserve"> ***</w:t>
      </w:r>
    </w:p>
    <w:p w14:paraId="5D13B197" w14:textId="77777777" w:rsidR="00DB2B68" w:rsidRDefault="00000000">
      <w:pPr>
        <w:pStyle w:val="Author-eListParagraph"/>
        <w:numPr>
          <w:ilvl w:val="0"/>
          <w:numId w:val="623"/>
        </w:numPr>
      </w:pPr>
      <w:r>
        <w:t>Eléments d’ancrage : avec dispositif de rupture thermique - système à soumettre pour approbation</w:t>
      </w:r>
    </w:p>
    <w:p w14:paraId="5790D089" w14:textId="77777777" w:rsidR="00DB2B68" w:rsidRDefault="00000000">
      <w:pPr>
        <w:pStyle w:val="pheading"/>
      </w:pPr>
      <w:r>
        <w:t>EXÉCUTION / MISE EN ŒUVRE</w:t>
      </w:r>
    </w:p>
    <w:p w14:paraId="699CFA13" w14:textId="77777777" w:rsidR="00DB2B68" w:rsidRDefault="00000000">
      <w:r>
        <w:t xml:space="preserve">Les éléments de </w:t>
      </w:r>
      <w:r>
        <w:rPr>
          <w:rStyle w:val="optioncarChar"/>
          <w:color w:val="000000"/>
          <w:shd w:val="clear" w:color="auto" w:fill="FFFFFF"/>
        </w:rPr>
        <w:t xml:space="preserve">corniches </w:t>
      </w:r>
      <w:r>
        <w:t xml:space="preserve">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w:t>
      </w:r>
      <w:r>
        <w:lastRenderedPageBreak/>
        <w:t xml:space="preserve">coffrage et d’armature et les soumet pour approbation avant la mise en production (voir également </w:t>
      </w:r>
      <w:hyperlink w:anchor="87" w:history="1">
        <w:r>
          <w:rPr>
            <w:color w:val="0000EE"/>
          </w:rPr>
          <w:t>22 Superstructures en béton</w:t>
        </w:r>
      </w:hyperlink>
      <w:r>
        <w:t>).</w:t>
      </w:r>
    </w:p>
    <w:p w14:paraId="463290BB" w14:textId="77777777" w:rsidR="00DB2B68" w:rsidRDefault="00000000">
      <w:pPr>
        <w:pStyle w:val="Author-eSectionHeading6Numberless"/>
      </w:pPr>
      <w:bookmarkStart w:id="895" w:name="_Toc220495943"/>
      <w:r>
        <w:t>22.36.4a Corniches préfabriquées en béton décoratif / architectonique CCTB 01.11</w:t>
      </w:r>
      <w:bookmarkEnd w:id="895"/>
    </w:p>
    <w:p w14:paraId="1CE72A01" w14:textId="77777777" w:rsidR="00DB2B68" w:rsidRDefault="00000000">
      <w:pPr>
        <w:pStyle w:val="pheading"/>
      </w:pPr>
      <w:r>
        <w:t>DESCRIPTION</w:t>
      </w:r>
    </w:p>
    <w:p w14:paraId="6B433A8F" w14:textId="77777777" w:rsidR="00DB2B68" w:rsidRDefault="00000000">
      <w:pPr>
        <w:pStyle w:val="pheading"/>
      </w:pPr>
      <w:r>
        <w:t>- Définition / Comprend</w:t>
      </w:r>
    </w:p>
    <w:p w14:paraId="0D2A63C2" w14:textId="77777777" w:rsidR="00DB2B68" w:rsidRDefault="00000000">
      <w:r>
        <w:t xml:space="preserve">Il s'agit de toutes les corniches en béton armé en béton décoratif / architectonique qui sont obligatoirement préfabriquées dans une usine suivant la définition reprise dans les généralités, et sont assemblées sur chantier aux ouvrages de construction déjà exécutés ( voir également </w:t>
      </w:r>
      <w:hyperlink w:anchor="87" w:history="1">
        <w:r>
          <w:rPr>
            <w:color w:val="0000EE"/>
          </w:rPr>
          <w:t>22 Superstructures en béton</w:t>
        </w:r>
      </w:hyperlink>
      <w:r>
        <w:t xml:space="preserve"> ).</w:t>
      </w:r>
    </w:p>
    <w:p w14:paraId="2E41BADB" w14:textId="77777777" w:rsidR="00DB2B68" w:rsidRDefault="00000000">
      <w:pPr>
        <w:pStyle w:val="pheading"/>
      </w:pPr>
      <w:r>
        <w:t>MATÉRIAUX</w:t>
      </w:r>
    </w:p>
    <w:p w14:paraId="2AAA31EF" w14:textId="77777777" w:rsidR="00DB2B68" w:rsidRDefault="00000000">
      <w:pPr>
        <w:pStyle w:val="pheading"/>
      </w:pPr>
      <w:r>
        <w:t>- Caractéristiques générales</w:t>
      </w:r>
    </w:p>
    <w:p w14:paraId="5E4A7783" w14:textId="77777777" w:rsidR="00DB2B68" w:rsidRDefault="00000000">
      <w:pPr>
        <w:pStyle w:val="Author-eListParagraph"/>
        <w:numPr>
          <w:ilvl w:val="0"/>
          <w:numId w:val="624"/>
        </w:numPr>
      </w:pPr>
      <w:r>
        <w:rPr>
          <w:rStyle w:val="normalChar"/>
        </w:rPr>
        <w:t>Classe de résistance à la compression</w:t>
      </w:r>
      <w:r>
        <w:br/>
      </w:r>
      <w:r>
        <w:rPr>
          <w:rStyle w:val="optioncarChar"/>
        </w:rPr>
        <w:t xml:space="preserve">C25/30 </w:t>
      </w:r>
      <w:r>
        <w:t>(par défaut) </w:t>
      </w:r>
      <w:r>
        <w:rPr>
          <w:rStyle w:val="optioncarChar"/>
        </w:rPr>
        <w:t>/ C30/37 / C35/45 / C45/55 / C50/60 / C55/67 / C60/75 / C70/85 / C80/95 / C90/105 / ***</w:t>
      </w:r>
    </w:p>
    <w:p w14:paraId="69D7C6B0" w14:textId="77777777" w:rsidR="00DB2B68" w:rsidRDefault="00000000">
      <w:pPr>
        <w:pStyle w:val="Author-eListParagraph"/>
        <w:numPr>
          <w:ilvl w:val="0"/>
          <w:numId w:val="625"/>
        </w:numPr>
      </w:pPr>
      <w:r>
        <w:rPr>
          <w:rStyle w:val="normalChar"/>
        </w:rPr>
        <w:t>Classe d’environnement</w:t>
      </w:r>
      <w:r>
        <w:br/>
      </w:r>
      <w:r>
        <w:rPr>
          <w:rStyle w:val="optioncarChar"/>
        </w:rPr>
        <w:t>E0 / EI </w:t>
      </w:r>
      <w:r>
        <w:t>(par défaut)</w:t>
      </w:r>
      <w:r>
        <w:rPr>
          <w:rStyle w:val="optioncarChar"/>
        </w:rPr>
        <w:t xml:space="preserve"> / EE1 / EE2 / EE3 / EE4 / ES1 / ES2 / ES3 / ES4 / EA1+*** / EA2+***/ EA3+*** / ***</w:t>
      </w:r>
    </w:p>
    <w:p w14:paraId="15EE2F92" w14:textId="77777777" w:rsidR="00DB2B68" w:rsidRDefault="00000000">
      <w:pPr>
        <w:pStyle w:val="pheading"/>
      </w:pPr>
      <w:r>
        <w:t>- Finitions</w:t>
      </w:r>
    </w:p>
    <w:p w14:paraId="6DA3C183" w14:textId="77777777" w:rsidR="00DB2B68" w:rsidRDefault="00000000">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structurée / incrustée d’autres matériaux / ***</w:t>
      </w:r>
    </w:p>
    <w:p w14:paraId="3E43B7C0" w14:textId="77777777" w:rsidR="00DB2B68" w:rsidRDefault="00000000">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p>
    <w:p w14:paraId="46ED0FA6" w14:textId="77777777" w:rsidR="00DB2B68" w:rsidRDefault="00000000">
      <w:r>
        <w:t xml:space="preserve">Les arêtes rentrantes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p>
    <w:p w14:paraId="0F7E376A" w14:textId="77777777" w:rsidR="00DB2B68" w:rsidRDefault="00000000">
      <w:pPr>
        <w:pStyle w:val="pheading"/>
      </w:pPr>
      <w:r>
        <w:t>EXÉCUTION / MISE EN ŒUVRE</w:t>
      </w:r>
    </w:p>
    <w:p w14:paraId="78208464" w14:textId="77777777" w:rsidR="00DB2B68" w:rsidRDefault="00000000">
      <w:pPr>
        <w:pStyle w:val="pheading"/>
      </w:pPr>
      <w:r>
        <w:t>- Prescriptions générales</w:t>
      </w:r>
    </w:p>
    <w:p w14:paraId="1283FAF3" w14:textId="77777777" w:rsidR="00DB2B68" w:rsidRDefault="00000000">
      <w:r>
        <w:t xml:space="preserve">L’étude et les plans d’exécution </w:t>
      </w:r>
      <w:r>
        <w:rPr>
          <w:rStyle w:val="optioncarChar"/>
        </w:rPr>
        <w:t>sont / ne sont pas</w:t>
      </w:r>
      <w:r>
        <w:t xml:space="preserve"> à charge de l’entreprise.</w:t>
      </w:r>
      <w:r>
        <w:br/>
        <w:t>Les corniches sont fabriquées dans les dimensions indiquées sur les plans d’exécution approuvés.</w:t>
      </w:r>
      <w:r>
        <w:br/>
        <w:t xml:space="preserve">L’entrepreneur veille à ce que la répartition des charges à l’appui de la corniche soit uniforme et </w:t>
      </w:r>
      <w:r>
        <w:lastRenderedPageBreak/>
        <w:t>compatible avec le support. Les longueurs d’appui sont proportionnées à la portée, aux charges et au type de support suivant le calcul du bureau d’études.</w:t>
      </w:r>
    </w:p>
    <w:p w14:paraId="6C3EF140" w14:textId="77777777" w:rsidR="00DB2B68" w:rsidRDefault="00000000">
      <w:pPr>
        <w:pStyle w:val="pheading"/>
      </w:pPr>
      <w:r>
        <w:t>- Notes d’exécution complémentaires</w:t>
      </w:r>
    </w:p>
    <w:p w14:paraId="45BA0E33" w14:textId="77777777" w:rsidR="00DB2B68" w:rsidRDefault="00000000">
      <w:r>
        <w:t>Ponts thermiques / isolation thermique : des dispositifs adéquats sont utilisés pour éviter tout pont thermique.</w:t>
      </w:r>
    </w:p>
    <w:p w14:paraId="0DBF8E60" w14:textId="77777777" w:rsidR="00DB2B68" w:rsidRDefault="00000000">
      <w:pPr>
        <w:pStyle w:val="pheading"/>
      </w:pPr>
      <w:r>
        <w:t>MESURAGE</w:t>
      </w:r>
    </w:p>
    <w:p w14:paraId="08C5B62C" w14:textId="77777777" w:rsidR="00DB2B68" w:rsidRDefault="00000000">
      <w:r>
        <w:t>Conformément aux indications spécifiques dans le cahier spécial des charges et/ou le métré récapitulatif, le mesurage est conçu comme suit :</w:t>
      </w:r>
    </w:p>
    <w:p w14:paraId="23EA596D" w14:textId="77777777" w:rsidR="00DB2B68" w:rsidRDefault="00000000">
      <w:pPr>
        <w:pStyle w:val="pheading"/>
      </w:pPr>
      <w:r>
        <w:t>- unité de mesure:</w:t>
      </w:r>
    </w:p>
    <w:p w14:paraId="70758136" w14:textId="77777777" w:rsidR="00DB2B68" w:rsidRDefault="00000000">
      <w:r>
        <w:rPr>
          <w:rStyle w:val="optioncarChar"/>
        </w:rPr>
        <w:t xml:space="preserve">m³ </w:t>
      </w:r>
      <w:r>
        <w:t>(par défaut)</w:t>
      </w:r>
      <w:r>
        <w:rPr>
          <w:rStyle w:val="optioncarChar"/>
        </w:rPr>
        <w:t xml:space="preserve"> / pce / m</w:t>
      </w:r>
      <w:r>
        <w:br/>
      </w:r>
    </w:p>
    <w:p w14:paraId="66EAF3EB" w14:textId="77777777" w:rsidR="00DB2B68" w:rsidRDefault="00000000">
      <w:pPr>
        <w:pStyle w:val="pheading"/>
      </w:pPr>
      <w:r>
        <w:t>- code de mesurage:</w:t>
      </w:r>
    </w:p>
    <w:p w14:paraId="5E9C6F96" w14:textId="77777777" w:rsidR="00DB2B68" w:rsidRDefault="00000000">
      <w:r>
        <w:t>Volume net, mesuré selon les dimensions nominales indiquées sur les plans.</w:t>
      </w:r>
    </w:p>
    <w:p w14:paraId="3271B8F1" w14:textId="77777777" w:rsidR="00DB2B68" w:rsidRDefault="00000000">
      <w:pPr>
        <w:pStyle w:val="Author-eListParagraph"/>
        <w:numPr>
          <w:ilvl w:val="0"/>
          <w:numId w:val="626"/>
        </w:numPr>
      </w:pPr>
      <w:r>
        <w:t>Les éléments en béton non rectangulaires sont calculés en multipliant la longueur par la surface de la section.</w:t>
      </w:r>
    </w:p>
    <w:p w14:paraId="4FD0BB29" w14:textId="77777777" w:rsidR="00DB2B68" w:rsidRDefault="00000000">
      <w:pPr>
        <w:pStyle w:val="Author-eListParagraph"/>
        <w:numPr>
          <w:ilvl w:val="0"/>
          <w:numId w:val="627"/>
        </w:numPr>
      </w:pPr>
      <w:r>
        <w:t>Le contenu des volumes résiduels au droit des angles, rencontres et terminaisons est négligé.</w:t>
      </w:r>
    </w:p>
    <w:p w14:paraId="15A8E3EC" w14:textId="77777777" w:rsidR="00DB2B68" w:rsidRDefault="00000000">
      <w:pPr>
        <w:pStyle w:val="Author-eListParagraph"/>
        <w:numPr>
          <w:ilvl w:val="0"/>
          <w:numId w:val="627"/>
        </w:numPr>
      </w:pPr>
      <w:r>
        <w:t xml:space="preserve">Aucune déduction n'est faite pour: </w:t>
      </w:r>
    </w:p>
    <w:p w14:paraId="0B3C87EA" w14:textId="77777777" w:rsidR="00DB2B68" w:rsidRDefault="00000000">
      <w:pPr>
        <w:pStyle w:val="Author-eListParagraph"/>
        <w:numPr>
          <w:ilvl w:val="1"/>
          <w:numId w:val="628"/>
        </w:numPr>
      </w:pPr>
      <w:r>
        <w:t>le volume des armatures,</w:t>
      </w:r>
    </w:p>
    <w:p w14:paraId="2C36D1CF" w14:textId="77777777" w:rsidR="00DB2B68" w:rsidRDefault="00000000">
      <w:pPr>
        <w:pStyle w:val="Author-eListParagraph"/>
        <w:numPr>
          <w:ilvl w:val="1"/>
          <w:numId w:val="628"/>
        </w:numPr>
      </w:pPr>
      <w:r>
        <w:t>les blocs et écarteurs, les fourreaux pour les armatures de précontrainte ;</w:t>
      </w:r>
    </w:p>
    <w:p w14:paraId="4E1BB5B6" w14:textId="77777777" w:rsidR="00DB2B68" w:rsidRDefault="00000000">
      <w:pPr>
        <w:pStyle w:val="Author-eListParagraph"/>
        <w:numPr>
          <w:ilvl w:val="1"/>
          <w:numId w:val="628"/>
        </w:numPr>
      </w:pPr>
      <w:r>
        <w:t>les pénétrations pour les pattes d’ancrage, les creux, les conduites noyées et les réservations dont le volume est inférieur à 0,05 m3.</w:t>
      </w:r>
    </w:p>
    <w:p w14:paraId="1816D3D9" w14:textId="77777777" w:rsidR="00DB2B68" w:rsidRDefault="00000000">
      <w:pPr>
        <w:pStyle w:val="Author-eListParagraph"/>
        <w:numPr>
          <w:ilvl w:val="1"/>
          <w:numId w:val="628"/>
        </w:numPr>
      </w:pPr>
      <w:r>
        <w:t>les chanfreins et tous les profils dont la section a une superficie inférieure à 20 cm2.</w:t>
      </w:r>
    </w:p>
    <w:p w14:paraId="3EC9DF4F" w14:textId="77777777" w:rsidR="00DB2B68" w:rsidRDefault="00000000">
      <w:pPr>
        <w:pStyle w:val="Author-eListParagraph"/>
        <w:numPr>
          <w:ilvl w:val="1"/>
          <w:numId w:val="628"/>
        </w:numPr>
      </w:pPr>
      <w:r>
        <w:t>les rainures, encoches et languettes.</w:t>
      </w:r>
    </w:p>
    <w:p w14:paraId="6188AB5F" w14:textId="77777777" w:rsidR="00DB2B68" w:rsidRDefault="00000000">
      <w:r>
        <w:t>Sont toujours compris dans le prix unitaire outre les éléments préfabriqués, les armatures qui y sont incorporées, les moyens de support, de fixation et d’appui, le béton, ainsi que les armatures posées sur place pour des raisons de stabilité</w:t>
      </w:r>
    </w:p>
    <w:p w14:paraId="532334E6" w14:textId="77777777" w:rsidR="00DB2B68" w:rsidRDefault="00000000">
      <w:pPr>
        <w:pStyle w:val="pheading"/>
      </w:pPr>
      <w:r>
        <w:t>- nature du marché:</w:t>
      </w:r>
    </w:p>
    <w:p w14:paraId="08B15026" w14:textId="77777777" w:rsidR="00DB2B68" w:rsidRDefault="00000000">
      <w:r>
        <w:rPr>
          <w:rStyle w:val="optioncarChar"/>
        </w:rPr>
        <w:t>QF</w:t>
      </w:r>
      <w:r>
        <w:t xml:space="preserve"> (par défaut)</w:t>
      </w:r>
      <w:r>
        <w:rPr>
          <w:rStyle w:val="optioncarChar"/>
        </w:rPr>
        <w:t xml:space="preserve"> / QP</w:t>
      </w:r>
    </w:p>
    <w:p w14:paraId="155C6732" w14:textId="77777777" w:rsidR="00DB2B68" w:rsidRDefault="00000000">
      <w:pPr>
        <w:pStyle w:val="Author-eSectionHeading3Numberless"/>
      </w:pPr>
      <w:bookmarkStart w:id="896" w:name="_Toc220495944"/>
      <w:r>
        <w:t>22.4 Eléments particuliers pour structures en béton CCTB 01.04</w:t>
      </w:r>
      <w:bookmarkEnd w:id="896"/>
    </w:p>
    <w:p w14:paraId="14EFB525" w14:textId="77777777" w:rsidR="00DB2B68" w:rsidRDefault="00000000">
      <w:pPr>
        <w:pStyle w:val="Author-eSectionHeading4Numberless"/>
      </w:pPr>
      <w:bookmarkStart w:id="897" w:name="_Toc220495945"/>
      <w:r>
        <w:t>22.41 Socles en béton CCTB 01.04</w:t>
      </w:r>
      <w:bookmarkEnd w:id="897"/>
    </w:p>
    <w:p w14:paraId="4B0506F6" w14:textId="77777777" w:rsidR="00DB2B68" w:rsidRDefault="00000000">
      <w:pPr>
        <w:pStyle w:val="Author-eSectionHeading5Numberless"/>
      </w:pPr>
      <w:bookmarkStart w:id="898" w:name="_Toc220495946"/>
      <w:r>
        <w:t>22.41.1 Socles en béton coulé en place CCTB 01.11</w:t>
      </w:r>
      <w:bookmarkEnd w:id="898"/>
    </w:p>
    <w:p w14:paraId="1AE8DFE4" w14:textId="77777777" w:rsidR="00DB2B68" w:rsidRDefault="00000000">
      <w:pPr>
        <w:pStyle w:val="pheading"/>
      </w:pPr>
      <w:r>
        <w:t>DESCRIPTION</w:t>
      </w:r>
    </w:p>
    <w:p w14:paraId="72E1DD1B" w14:textId="77777777" w:rsidR="00DB2B68" w:rsidRDefault="00000000">
      <w:pPr>
        <w:pStyle w:val="pheading"/>
      </w:pPr>
      <w:r>
        <w:t>- Définition / Comprend</w:t>
      </w:r>
    </w:p>
    <w:p w14:paraId="5DEC4640" w14:textId="77777777" w:rsidR="00DB2B68" w:rsidRDefault="00000000">
      <w:r>
        <w:t>Il s'agit de l’ensemble des socles exécutés en béton. Les travaux comprennent les coffrages, les armatures et le béton, y compris tous les éléments à noyer dans ou contre le béton, …</w:t>
      </w:r>
    </w:p>
    <w:p w14:paraId="4C4FDF63" w14:textId="77777777" w:rsidR="00DB2B68" w:rsidRDefault="00000000">
      <w:pPr>
        <w:pStyle w:val="pheading"/>
      </w:pPr>
      <w:r>
        <w:t>EXÉCUTION / MISE EN ŒUVRE</w:t>
      </w:r>
    </w:p>
    <w:p w14:paraId="2F39C683" w14:textId="77777777" w:rsidR="00DB2B68" w:rsidRDefault="00000000">
      <w:r>
        <w:t xml:space="preserve">L'étude est à charge </w:t>
      </w:r>
      <w:r>
        <w:rPr>
          <w:rStyle w:val="optioncarChar"/>
        </w:rPr>
        <w:t>de l'entrepreneur / du maître de l'ouvrage / du bureau d’étude</w:t>
      </w:r>
      <w:r>
        <w:t xml:space="preserve"> (voir également </w:t>
      </w:r>
      <w:hyperlink w:anchor="87" w:history="1">
        <w:r>
          <w:rPr>
            <w:color w:val="0000EE"/>
          </w:rPr>
          <w:t>22 Superstructures en béton</w:t>
        </w:r>
      </w:hyperlink>
      <w:r>
        <w:t>)</w:t>
      </w:r>
    </w:p>
    <w:p w14:paraId="5681587E" w14:textId="77777777" w:rsidR="00DB2B68" w:rsidRDefault="00000000">
      <w:r>
        <w:t xml:space="preserve">Les socles sont exécutés dans les dimensions et avec la longueur d’appui indiquées sur les plans et les coupes. L’entrepreneur est tenu de vérifier s'ils peuvent effectivement être réalisés conformément aux plans soumis. Il y a lieu de tenir compte de la hauteur requise par rapport au niveau du sol. Les </w:t>
      </w:r>
      <w:r>
        <w:lastRenderedPageBreak/>
        <w:t>indications sur les plans de coffrage sont scrupuleusement respectées. L’entrepreneur veille à ce que les coffrages des socles soient d’aplomb, alignés et de niveau.</w:t>
      </w:r>
    </w:p>
    <w:p w14:paraId="3B2CCFDC" w14:textId="77777777" w:rsidR="00DB2B68" w:rsidRDefault="00000000">
      <w:r>
        <w:t>Avant le coulage du béton, on prévoit dans les socles toutes les réservations ou pénétrations indiquées sur les plans. Aucun percement ne peut être effectué par la suite par forage ou décapage du béton sans l’approbation explicite préalable de l’auteur de projet ou de l’ingénieur.</w:t>
      </w:r>
    </w:p>
    <w:p w14:paraId="412F0EF4" w14:textId="77777777" w:rsidR="00DB2B68" w:rsidRDefault="00000000">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14:paraId="455D6CEC" w14:textId="77777777" w:rsidR="00DB2B68" w:rsidRDefault="00000000">
      <w:r>
        <w:t xml:space="preserve">Le décoffrage ne peut avoir lieu </w:t>
      </w:r>
      <w:r>
        <w:rPr>
          <w:rStyle w:val="optioncarChar"/>
        </w:rPr>
        <w:t>avant *** jours après le coulage du béton / que selon les directives de l’ingénieur.</w:t>
      </w:r>
    </w:p>
    <w:p w14:paraId="2C28821C" w14:textId="77777777" w:rsidR="00DB2B68" w:rsidRDefault="00000000">
      <w:pPr>
        <w:pStyle w:val="Author-eSectionHeading6Numberless"/>
      </w:pPr>
      <w:bookmarkStart w:id="899" w:name="_Toc220495947"/>
      <w:r>
        <w:t>22.41.1a Socles en béton coulé en place CCTB 01.13</w:t>
      </w:r>
      <w:bookmarkEnd w:id="899"/>
    </w:p>
    <w:p w14:paraId="291446FD" w14:textId="77777777" w:rsidR="00DB2B68" w:rsidRDefault="00000000">
      <w:pPr>
        <w:pStyle w:val="pheading"/>
      </w:pPr>
      <w:r>
        <w:t>MATÉRIAUX</w:t>
      </w:r>
    </w:p>
    <w:p w14:paraId="09F41116" w14:textId="77777777" w:rsidR="00DB2B68" w:rsidRDefault="00000000">
      <w:pPr>
        <w:pStyle w:val="pheading"/>
      </w:pPr>
      <w:r>
        <w:t>- Caractéristiques générales</w:t>
      </w:r>
    </w:p>
    <w:p w14:paraId="73401CCE" w14:textId="77777777" w:rsidR="00DB2B68" w:rsidRDefault="00000000">
      <w:r>
        <w:rPr>
          <w:u w:val="single"/>
        </w:rPr>
        <w:t>Béton</w:t>
      </w:r>
    </w:p>
    <w:p w14:paraId="7D9E044B" w14:textId="77777777" w:rsidR="00DB2B68" w:rsidRDefault="00000000">
      <w:pPr>
        <w:pStyle w:val="Author-eListParagraph"/>
        <w:numPr>
          <w:ilvl w:val="0"/>
          <w:numId w:val="629"/>
        </w:numPr>
      </w:pPr>
      <w:r>
        <w:t xml:space="preserve">Qualité du béton selon la [NBN EN 206:2013+A2] et la [NBN B 15-001] : (voir également </w:t>
      </w:r>
      <w:hyperlink w:anchor="87" w:history="1">
        <w:r>
          <w:rPr>
            <w:color w:val="0000EE"/>
          </w:rP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B2B68" w14:paraId="6C476335" w14:textId="77777777">
        <w:tc>
          <w:tcPr>
            <w:tcW w:w="1500" w:type="dxa"/>
            <w:noWrap/>
          </w:tcPr>
          <w:p w14:paraId="32179C05" w14:textId="77777777" w:rsidR="00DB2B68" w:rsidRDefault="00000000">
            <w:pPr>
              <w:jc w:val="center"/>
            </w:pPr>
            <w:r>
              <w:rPr>
                <w:b/>
              </w:rPr>
              <w:t>A</w:t>
            </w:r>
          </w:p>
        </w:tc>
        <w:tc>
          <w:tcPr>
            <w:tcW w:w="1500" w:type="dxa"/>
            <w:noWrap/>
          </w:tcPr>
          <w:p w14:paraId="4EC93F83" w14:textId="77777777" w:rsidR="00DB2B68" w:rsidRDefault="00000000">
            <w:pPr>
              <w:jc w:val="center"/>
            </w:pPr>
            <w:r>
              <w:rPr>
                <w:b/>
              </w:rPr>
              <w:t>B1</w:t>
            </w:r>
          </w:p>
        </w:tc>
        <w:tc>
          <w:tcPr>
            <w:tcW w:w="1500" w:type="dxa"/>
            <w:noWrap/>
          </w:tcPr>
          <w:p w14:paraId="19965A4F" w14:textId="77777777" w:rsidR="00DB2B68" w:rsidRDefault="00000000">
            <w:pPr>
              <w:jc w:val="center"/>
            </w:pPr>
            <w:r>
              <w:rPr>
                <w:b/>
              </w:rPr>
              <w:t>B2</w:t>
            </w:r>
          </w:p>
        </w:tc>
        <w:tc>
          <w:tcPr>
            <w:tcW w:w="1500" w:type="dxa"/>
            <w:noWrap/>
          </w:tcPr>
          <w:p w14:paraId="38135ABF" w14:textId="77777777" w:rsidR="00DB2B68" w:rsidRDefault="00000000">
            <w:pPr>
              <w:jc w:val="center"/>
            </w:pPr>
            <w:r>
              <w:rPr>
                <w:b/>
              </w:rPr>
              <w:t>C</w:t>
            </w:r>
          </w:p>
        </w:tc>
        <w:tc>
          <w:tcPr>
            <w:tcW w:w="1500" w:type="dxa"/>
            <w:noWrap/>
          </w:tcPr>
          <w:p w14:paraId="598D2741" w14:textId="77777777" w:rsidR="00DB2B68" w:rsidRDefault="00000000">
            <w:pPr>
              <w:jc w:val="center"/>
            </w:pPr>
            <w:r>
              <w:rPr>
                <w:b/>
              </w:rPr>
              <w:t>D</w:t>
            </w:r>
          </w:p>
        </w:tc>
        <w:tc>
          <w:tcPr>
            <w:tcW w:w="1500" w:type="dxa"/>
            <w:noWrap/>
          </w:tcPr>
          <w:p w14:paraId="1727C899" w14:textId="77777777" w:rsidR="00DB2B68" w:rsidRDefault="00000000">
            <w:pPr>
              <w:jc w:val="center"/>
            </w:pPr>
            <w:r>
              <w:rPr>
                <w:b/>
              </w:rPr>
              <w:t>E</w:t>
            </w:r>
          </w:p>
        </w:tc>
      </w:tr>
      <w:tr w:rsidR="00DB2B68" w14:paraId="4699CDB5" w14:textId="77777777">
        <w:tc>
          <w:tcPr>
            <w:tcW w:w="1500" w:type="dxa"/>
            <w:noWrap/>
          </w:tcPr>
          <w:p w14:paraId="09B5C8FD" w14:textId="77777777" w:rsidR="00DB2B68" w:rsidRDefault="00000000">
            <w:pPr>
              <w:jc w:val="center"/>
            </w:pPr>
            <w:r>
              <w:rPr>
                <w:b/>
              </w:rPr>
              <w:t>Classe de résistance</w:t>
            </w:r>
          </w:p>
        </w:tc>
        <w:tc>
          <w:tcPr>
            <w:tcW w:w="1500" w:type="dxa"/>
            <w:noWrap/>
          </w:tcPr>
          <w:p w14:paraId="1DEC5892" w14:textId="77777777" w:rsidR="00DB2B68" w:rsidRDefault="00000000">
            <w:pPr>
              <w:jc w:val="center"/>
            </w:pPr>
            <w:r>
              <w:rPr>
                <w:b/>
              </w:rPr>
              <w:t>Domaine d’application</w:t>
            </w:r>
          </w:p>
        </w:tc>
        <w:tc>
          <w:tcPr>
            <w:tcW w:w="1500" w:type="dxa"/>
            <w:noWrap/>
          </w:tcPr>
          <w:p w14:paraId="0F0E9788" w14:textId="77777777" w:rsidR="00DB2B68" w:rsidRDefault="00000000">
            <w:pPr>
              <w:jc w:val="center"/>
            </w:pPr>
            <w:r>
              <w:rPr>
                <w:b/>
              </w:rPr>
              <w:t>Classe d'environnement</w:t>
            </w:r>
          </w:p>
        </w:tc>
        <w:tc>
          <w:tcPr>
            <w:tcW w:w="1500" w:type="dxa"/>
            <w:noWrap/>
          </w:tcPr>
          <w:p w14:paraId="3DD8029D" w14:textId="77777777" w:rsidR="00DB2B68" w:rsidRDefault="00000000">
            <w:pPr>
              <w:jc w:val="center"/>
            </w:pPr>
            <w:r>
              <w:rPr>
                <w:b/>
              </w:rPr>
              <w:t>Classe de consistance</w:t>
            </w:r>
          </w:p>
        </w:tc>
        <w:tc>
          <w:tcPr>
            <w:tcW w:w="1500" w:type="dxa"/>
            <w:noWrap/>
          </w:tcPr>
          <w:p w14:paraId="22E92272" w14:textId="77777777" w:rsidR="00DB2B68" w:rsidRDefault="00000000">
            <w:pPr>
              <w:jc w:val="center"/>
            </w:pPr>
            <w:r>
              <w:rPr>
                <w:b/>
              </w:rPr>
              <w:t>Granulométrie maximale</w:t>
            </w:r>
          </w:p>
        </w:tc>
        <w:tc>
          <w:tcPr>
            <w:tcW w:w="1500" w:type="dxa"/>
            <w:noWrap/>
          </w:tcPr>
          <w:p w14:paraId="64DB27FC" w14:textId="77777777" w:rsidR="00DB2B68" w:rsidRDefault="00000000">
            <w:r>
              <w:rPr>
                <w:b/>
              </w:rPr>
              <w:t>Données complémentaires</w:t>
            </w:r>
          </w:p>
        </w:tc>
      </w:tr>
      <w:tr w:rsidR="00DB2B68" w14:paraId="4006CCDA" w14:textId="77777777">
        <w:tc>
          <w:tcPr>
            <w:tcW w:w="1500" w:type="dxa"/>
            <w:noWrap/>
          </w:tcPr>
          <w:p w14:paraId="15756675" w14:textId="77777777" w:rsidR="00DB2B68" w:rsidRDefault="00000000">
            <w:pPr>
              <w:jc w:val="center"/>
            </w:pPr>
            <w:r>
              <w:rPr>
                <w:rStyle w:val="optioncarChar"/>
              </w:rPr>
              <w:t>C25/30 / C30/37 / C35/45 / C45/55 / C50/60 / C55/67 / C60/75 / C70/85 / C80/95 / C90/105</w:t>
            </w:r>
          </w:p>
        </w:tc>
        <w:tc>
          <w:tcPr>
            <w:tcW w:w="1500" w:type="dxa"/>
            <w:noWrap/>
          </w:tcPr>
          <w:p w14:paraId="53E857D7" w14:textId="77777777" w:rsidR="00DB2B68" w:rsidRDefault="00000000">
            <w:pPr>
              <w:jc w:val="center"/>
            </w:pPr>
            <w:r>
              <w:t>Béton armé</w:t>
            </w:r>
          </w:p>
          <w:p w14:paraId="137EBBEF" w14:textId="77777777" w:rsidR="00DB2B68" w:rsidRDefault="00000000">
            <w:pPr>
              <w:jc w:val="center"/>
            </w:pPr>
            <w:r>
              <w:t> </w:t>
            </w:r>
          </w:p>
        </w:tc>
        <w:tc>
          <w:tcPr>
            <w:tcW w:w="1500" w:type="dxa"/>
            <w:noWrap/>
          </w:tcPr>
          <w:p w14:paraId="7FFC77B8" w14:textId="77777777" w:rsidR="00DB2B68" w:rsidRDefault="00000000">
            <w:pPr>
              <w:jc w:val="center"/>
            </w:pPr>
            <w:r>
              <w:rPr>
                <w:rStyle w:val="optioncarChar"/>
              </w:rPr>
              <w:t>E0 / EI / EE1 / EE2 / EE3 / EE4 / ES1 / ES2 / ES3 / ES4 / EA1+*** / EA2+***/ EA3+***</w:t>
            </w:r>
          </w:p>
        </w:tc>
        <w:tc>
          <w:tcPr>
            <w:tcW w:w="1500" w:type="dxa"/>
            <w:noWrap/>
          </w:tcPr>
          <w:p w14:paraId="1389BB04" w14:textId="77777777" w:rsidR="00DB2B68" w:rsidRDefault="00000000">
            <w:pPr>
              <w:jc w:val="center"/>
            </w:pPr>
            <w:r>
              <w:t>au choix de l'entrepreneur :</w:t>
            </w:r>
          </w:p>
          <w:p w14:paraId="25D854F5" w14:textId="77777777" w:rsidR="00DB2B68" w:rsidRDefault="00000000">
            <w:pPr>
              <w:jc w:val="center"/>
            </w:pPr>
            <w:r>
              <w:rPr>
                <w:rStyle w:val="optioncarChar"/>
              </w:rPr>
              <w:t xml:space="preserve">S3 / S4 / S5 </w:t>
            </w:r>
          </w:p>
          <w:p w14:paraId="773FFFEF" w14:textId="77777777" w:rsidR="00DB2B68" w:rsidRDefault="00000000">
            <w:pPr>
              <w:jc w:val="center"/>
            </w:pPr>
            <w:r>
              <w:rPr>
                <w:rStyle w:val="optioncarChar"/>
              </w:rPr>
              <w:t>F3 / F4 / F5 / F6</w:t>
            </w:r>
            <w:r>
              <w:br/>
            </w:r>
          </w:p>
        </w:tc>
        <w:tc>
          <w:tcPr>
            <w:tcW w:w="1500" w:type="dxa"/>
            <w:noWrap/>
          </w:tcPr>
          <w:p w14:paraId="6D4A7838" w14:textId="77777777" w:rsidR="00DB2B68" w:rsidRDefault="00000000">
            <w:pPr>
              <w:jc w:val="center"/>
            </w:pPr>
            <w:r>
              <w:t>au choix de l'entrepreneur :</w:t>
            </w:r>
          </w:p>
          <w:p w14:paraId="5CF2FB0C" w14:textId="77777777" w:rsidR="00DB2B68" w:rsidRDefault="00000000">
            <w:pPr>
              <w:jc w:val="center"/>
            </w:pPr>
            <w:r>
              <w:rPr>
                <w:rStyle w:val="optioncarChar"/>
              </w:rPr>
              <w:t>6 / 8 / 10 / 11 / 12 / 14 / 16 / 20 / 22 / 32 </w:t>
            </w:r>
            <w:r>
              <w:t>mm</w:t>
            </w:r>
          </w:p>
        </w:tc>
        <w:tc>
          <w:tcPr>
            <w:tcW w:w="1500" w:type="dxa"/>
            <w:noWrap/>
          </w:tcPr>
          <w:p w14:paraId="7095DB31" w14:textId="77777777" w:rsidR="00DB2B68" w:rsidRDefault="00000000">
            <w:pPr>
              <w:jc w:val="center"/>
            </w:pPr>
            <w:r>
              <w:rPr>
                <w:rStyle w:val="optioncarChar"/>
              </w:rPr>
              <w:t>***</w:t>
            </w:r>
          </w:p>
        </w:tc>
      </w:tr>
    </w:tbl>
    <w:p w14:paraId="5FEDB051" w14:textId="77777777" w:rsidR="00DB2B68" w:rsidRDefault="00000000">
      <w:r>
        <w:t> </w:t>
      </w:r>
    </w:p>
    <w:p w14:paraId="3C920D8F"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4A1F03A3" w14:textId="77777777" w:rsidR="00DB2B68" w:rsidRDefault="00000000">
      <w:pPr>
        <w:pStyle w:val="Author-eListParagraph"/>
        <w:numPr>
          <w:ilvl w:val="0"/>
          <w:numId w:val="630"/>
        </w:numPr>
      </w:pPr>
      <w:r>
        <w:t xml:space="preserve">Classe de viscosité apparente : </w:t>
      </w:r>
      <w:r>
        <w:rPr>
          <w:rStyle w:val="optioncarChar"/>
        </w:rPr>
        <w:t>VS1 / VS2</w:t>
      </w:r>
      <w:r>
        <w:t xml:space="preserve"> (selon la [NBN EN 12350-8] )</w:t>
      </w:r>
    </w:p>
    <w:p w14:paraId="22DB5224" w14:textId="77777777" w:rsidR="00DB2B68" w:rsidRDefault="00000000">
      <w:pPr>
        <w:pStyle w:val="Author-eListParagraph"/>
        <w:numPr>
          <w:ilvl w:val="0"/>
          <w:numId w:val="63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2EB0552" w14:textId="77777777" w:rsidR="00DB2B68" w:rsidRDefault="00000000">
      <w:pPr>
        <w:pStyle w:val="Author-eListParagraph"/>
        <w:numPr>
          <w:ilvl w:val="0"/>
          <w:numId w:val="63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D37F741" w14:textId="77777777" w:rsidR="00DB2B68" w:rsidRDefault="00000000">
      <w:r>
        <w:rPr>
          <w:u w:val="single"/>
        </w:rPr>
        <w:t>Armatures</w:t>
      </w:r>
    </w:p>
    <w:p w14:paraId="071531A3" w14:textId="77777777" w:rsidR="00DB2B68" w:rsidRDefault="00000000">
      <w:pPr>
        <w:pStyle w:val="Author-eListParagraph"/>
        <w:numPr>
          <w:ilvl w:val="0"/>
          <w:numId w:val="631"/>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 .</w:t>
      </w:r>
    </w:p>
    <w:p w14:paraId="531DF675" w14:textId="77777777" w:rsidR="00DB2B68" w:rsidRDefault="00000000">
      <w:pPr>
        <w:pStyle w:val="Author-eListParagraph"/>
        <w:numPr>
          <w:ilvl w:val="0"/>
          <w:numId w:val="63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lastRenderedPageBreak/>
        <w:t>(Soit)</w:t>
      </w:r>
      <w:r>
        <w:br/>
      </w:r>
      <w:r>
        <w:rPr>
          <w:rStyle w:val="soitChar"/>
        </w:rPr>
        <w:t xml:space="preserve">2. </w:t>
      </w:r>
      <w:r>
        <w:rPr>
          <w:rStyle w:val="soitChar"/>
          <w:u w:val="single"/>
        </w:rPr>
        <w:t>BE 500 S</w:t>
      </w:r>
      <w:r>
        <w:rPr>
          <w:rStyle w:val="soitChar"/>
        </w:rPr>
        <w:t xml:space="preserve"> selon [NBN A 24-302] + [PTV 302] .</w:t>
      </w:r>
    </w:p>
    <w:p w14:paraId="3F84C1D8" w14:textId="77777777" w:rsidR="00DB2B68" w:rsidRDefault="00000000">
      <w:pPr>
        <w:pStyle w:val="pheading"/>
      </w:pPr>
      <w:r>
        <w:t>- Finitions</w:t>
      </w:r>
    </w:p>
    <w:p w14:paraId="630D3F0D" w14:textId="77777777" w:rsidR="00DB2B68" w:rsidRDefault="00000000">
      <w:r>
        <w:t xml:space="preserve">La surface du béton brute de décoffrage est </w:t>
      </w:r>
      <w:r>
        <w:rPr>
          <w:rStyle w:val="optioncarChar"/>
        </w:rPr>
        <w:t xml:space="preserve">lisse </w:t>
      </w:r>
      <w:r>
        <w:t>(par défaut)</w:t>
      </w:r>
      <w:r>
        <w:rPr>
          <w:rStyle w:val="optioncarChar"/>
        </w:rPr>
        <w:t xml:space="preserve"> / texturée</w:t>
      </w:r>
      <w:r>
        <w:t> </w:t>
      </w:r>
      <w:r>
        <w:rPr>
          <w:rStyle w:val="optioncarChar"/>
        </w:rPr>
        <w:t>/ à relief (ou structurée) / ***</w:t>
      </w:r>
    </w:p>
    <w:p w14:paraId="0E38CFC9" w14:textId="77777777" w:rsidR="00DB2B68" w:rsidRDefault="00000000">
      <w:r>
        <w:rPr>
          <w:rStyle w:val="optioncarChar"/>
          <w:color w:val="000000"/>
        </w:rPr>
        <w:t>Les arêtes saillantes des poutres sont</w:t>
      </w:r>
      <w:r>
        <w:rPr>
          <w:rStyle w:val="optioncarChar"/>
        </w:rPr>
        <w:t xml:space="preserve"> vives / chanfreinées </w:t>
      </w:r>
      <w:r>
        <w:t xml:space="preserve">(par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shd w:val="clear" w:color="auto" w:fill="FFFFFF"/>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34880160" w14:textId="77777777" w:rsidR="00DB2B68" w:rsidRDefault="00000000">
      <w:pPr>
        <w:pStyle w:val="pheading"/>
      </w:pPr>
      <w:r>
        <w:t>EXÉCUTION / MISE EN ŒUVRE</w:t>
      </w:r>
    </w:p>
    <w:p w14:paraId="60A991EB" w14:textId="77777777" w:rsidR="00DB2B68" w:rsidRDefault="00000000">
      <w:pPr>
        <w:pStyle w:val="pheading"/>
      </w:pPr>
      <w:r>
        <w:t>- Notes d’exécution complémentaires</w:t>
      </w:r>
    </w:p>
    <w:p w14:paraId="644FE09A" w14:textId="77777777" w:rsidR="00DB2B68" w:rsidRDefault="00000000">
      <w:r>
        <w:t xml:space="preserve">Raccords visibles : joint en forme de </w:t>
      </w:r>
      <w:r>
        <w:rPr>
          <w:rStyle w:val="optioncarChar"/>
        </w:rPr>
        <w:t>V </w:t>
      </w:r>
      <w:r>
        <w:t>(par défaut)</w:t>
      </w:r>
      <w:r>
        <w:rPr>
          <w:rStyle w:val="optioncarChar"/>
        </w:rPr>
        <w:t xml:space="preserve"> / ***</w:t>
      </w:r>
      <w:r>
        <w:br/>
        <w:t xml:space="preserve">Ponts d’humidité / étanchéité à l'eau : </w:t>
      </w:r>
      <w:r>
        <w:rPr>
          <w:rStyle w:val="optioncarChar"/>
        </w:rPr>
        <w:t>***</w:t>
      </w:r>
      <w:r>
        <w:br/>
        <w:t>Ponts thermiques / isolation thermique : lorsque la section thermique de la coulisse ne peut, pour des raisons constructives, pas être poursuivie au droit des socles, les ponts thermiques à cet endroit sont évités en plaçant un coffrage perdu en polystyrène extrudé.</w:t>
      </w:r>
    </w:p>
    <w:p w14:paraId="676853ED" w14:textId="77777777" w:rsidR="00DB2B68" w:rsidRDefault="00000000">
      <w:pPr>
        <w:pStyle w:val="pheading"/>
      </w:pPr>
      <w:r>
        <w:t>MESURAGE</w:t>
      </w:r>
    </w:p>
    <w:p w14:paraId="28689F17" w14:textId="77777777" w:rsidR="00DB2B68" w:rsidRDefault="00000000">
      <w:r>
        <w:t>Conformément aux indications spécifiques dans le cahier spécial des charges et/ou le métré récapitulatif, le mesurage est conçu comme suit :</w:t>
      </w:r>
    </w:p>
    <w:p w14:paraId="50ABEFB9" w14:textId="77777777" w:rsidR="00DB2B68" w:rsidRDefault="0000000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6F187926" w14:textId="77777777" w:rsidR="00DB2B68"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2" w:history="1">
        <w:r>
          <w:rPr>
            <w:rStyle w:val="soitChar"/>
            <w:color w:val="0000EE"/>
          </w:rPr>
          <w:t>22.51 Armatures pour béton</w:t>
        </w:r>
      </w:hyperlink>
    </w:p>
    <w:p w14:paraId="18ECAB0E" w14:textId="77777777" w:rsidR="00DB2B68" w:rsidRDefault="00000000">
      <w:pPr>
        <w:pStyle w:val="pheading"/>
      </w:pPr>
      <w:r>
        <w:t>- unité de mesure:</w:t>
      </w:r>
    </w:p>
    <w:p w14:paraId="4A6B027D" w14:textId="77777777" w:rsidR="00DB2B68" w:rsidRDefault="00000000">
      <w:r>
        <w:t>m³</w:t>
      </w:r>
    </w:p>
    <w:p w14:paraId="064B5D6A" w14:textId="77777777" w:rsidR="00DB2B68" w:rsidRDefault="00000000">
      <w:pPr>
        <w:pStyle w:val="pheading"/>
      </w:pPr>
      <w:r>
        <w:t>- code de mesurage:</w:t>
      </w:r>
    </w:p>
    <w:p w14:paraId="144B637B" w14:textId="77777777" w:rsidR="00DB2B68" w:rsidRDefault="00000000">
      <w:r>
        <w:t>Volume net</w:t>
      </w:r>
    </w:p>
    <w:p w14:paraId="2B343376" w14:textId="77777777" w:rsidR="00DB2B68" w:rsidRDefault="00000000">
      <w:pPr>
        <w:pStyle w:val="pheading"/>
      </w:pPr>
      <w:r>
        <w:t>- nature du marché:</w:t>
      </w:r>
    </w:p>
    <w:p w14:paraId="0CA6FE2D" w14:textId="77777777" w:rsidR="00DB2B68" w:rsidRDefault="00000000">
      <w:r>
        <w:rPr>
          <w:rStyle w:val="optioncarChar"/>
        </w:rPr>
        <w:t xml:space="preserve">QF </w:t>
      </w:r>
      <w:r>
        <w:t>(par défaut)</w:t>
      </w:r>
      <w:r>
        <w:rPr>
          <w:rStyle w:val="optioncarChar"/>
        </w:rPr>
        <w:t xml:space="preserve"> / QP</w:t>
      </w:r>
    </w:p>
    <w:p w14:paraId="7D71C2AF" w14:textId="77777777" w:rsidR="00DB2B68" w:rsidRDefault="00000000">
      <w:r>
        <w:rPr>
          <w:u w:val="single"/>
        </w:rPr>
        <w:t>Attention</w:t>
      </w:r>
      <w:r>
        <w:t xml:space="preserve"> : dans le cas où les armatures ne sont pas comprises dans le prix unitaire du béton, se référer aux § </w:t>
      </w:r>
      <w:hyperlink w:anchor="233" w:history="1">
        <w:r>
          <w:rPr>
            <w:color w:val="0000EE"/>
          </w:rPr>
          <w:t>22.51.1 Barres d'armatures pour béton</w:t>
        </w:r>
      </w:hyperlink>
      <w:r>
        <w:t xml:space="preserve"> et § </w:t>
      </w:r>
      <w:hyperlink w:anchor="234" w:history="1">
        <w:r>
          <w:rPr>
            <w:color w:val="0000EE"/>
          </w:rPr>
          <w:t>22.51.2 Treillis et panneaux d'armatures préfabriqués</w:t>
        </w:r>
      </w:hyperlink>
      <w:r>
        <w:t xml:space="preserve">. Pour les armatures de précontrainte, se référer au § </w:t>
      </w:r>
      <w:hyperlink w:anchor="483" w:history="1">
        <w:r>
          <w:rPr>
            <w:color w:val="0000EE"/>
          </w:rPr>
          <w:t>22.52.1 Armatures de précontrainte par post-tension</w:t>
        </w:r>
      </w:hyperlink>
      <w:r>
        <w:t>.</w:t>
      </w:r>
    </w:p>
    <w:p w14:paraId="1046B893" w14:textId="77777777" w:rsidR="00DB2B68" w:rsidRDefault="00000000">
      <w:pPr>
        <w:pStyle w:val="Author-eSectionHeading5Numberless"/>
      </w:pPr>
      <w:bookmarkStart w:id="900" w:name="_Toc220495948"/>
      <w:r>
        <w:t>22.41.2 Socles préfabriqués en béton CCTB 01.02</w:t>
      </w:r>
      <w:bookmarkEnd w:id="900"/>
    </w:p>
    <w:p w14:paraId="0423A2C4" w14:textId="77777777" w:rsidR="00DB2B68" w:rsidRDefault="00000000">
      <w:pPr>
        <w:pStyle w:val="Author-eSectionHeading6Numberless"/>
      </w:pPr>
      <w:bookmarkStart w:id="901" w:name="_Toc220495949"/>
      <w:r>
        <w:t>22.41.2a Socles préfabriqués en béton CCTB 01.13</w:t>
      </w:r>
      <w:bookmarkEnd w:id="901"/>
    </w:p>
    <w:p w14:paraId="6627F7FE" w14:textId="77777777" w:rsidR="00DB2B68" w:rsidRDefault="00000000">
      <w:pPr>
        <w:pStyle w:val="Author-eSectionHeading4Numberless"/>
      </w:pPr>
      <w:bookmarkStart w:id="902" w:name="_Toc220495950"/>
      <w:r>
        <w:t>22.42 Pièces d'appui en béton CCTB 01.04</w:t>
      </w:r>
      <w:bookmarkEnd w:id="902"/>
    </w:p>
    <w:p w14:paraId="2661AD5B" w14:textId="77777777" w:rsidR="00DB2B68" w:rsidRDefault="00000000">
      <w:pPr>
        <w:pStyle w:val="Author-eSectionHeading5Numberless"/>
      </w:pPr>
      <w:bookmarkStart w:id="903" w:name="499"/>
      <w:bookmarkStart w:id="904" w:name="_Toc220495951"/>
      <w:bookmarkEnd w:id="903"/>
      <w:r>
        <w:t>22.42.1 Pièces d'appui en béton coulé en place CCTB 01.13</w:t>
      </w:r>
      <w:bookmarkEnd w:id="904"/>
    </w:p>
    <w:p w14:paraId="0C444CFC" w14:textId="77777777" w:rsidR="00DB2B68" w:rsidRDefault="00000000">
      <w:pPr>
        <w:pStyle w:val="pheading"/>
      </w:pPr>
      <w:r>
        <w:t>DESCRIPTION</w:t>
      </w:r>
    </w:p>
    <w:p w14:paraId="334A199E" w14:textId="77777777" w:rsidR="00DB2B68" w:rsidRDefault="00000000">
      <w:pPr>
        <w:pStyle w:val="pheading"/>
      </w:pPr>
      <w:r>
        <w:t>- Définition / Comprend</w:t>
      </w:r>
    </w:p>
    <w:p w14:paraId="3CC59379" w14:textId="77777777" w:rsidR="00DB2B68" w:rsidRDefault="00000000">
      <w:r>
        <w:lastRenderedPageBreak/>
        <w:t xml:space="preserve">Il s'agit de l’ensemble des </w:t>
      </w:r>
      <w:r>
        <w:rPr>
          <w:rStyle w:val="optioncarChar"/>
        </w:rPr>
        <w:t xml:space="preserve">pièces d’appui </w:t>
      </w:r>
      <w:r>
        <w:t>(par défaut) </w:t>
      </w:r>
      <w:r>
        <w:rPr>
          <w:rStyle w:val="optioncarChar"/>
        </w:rPr>
        <w:t>/ *** </w:t>
      </w:r>
      <w:r>
        <w:t>exécutées en béton. Les travaux comprennent les coffrages, les armatures et le béton, y compris tous les éléments à noyer dans ou contre le béton, …</w:t>
      </w:r>
    </w:p>
    <w:p w14:paraId="02B750F8" w14:textId="77777777" w:rsidR="00DB2B68" w:rsidRDefault="00000000">
      <w:pPr>
        <w:pStyle w:val="pheading"/>
      </w:pPr>
      <w:r>
        <w:t>MATÉRIAUX</w:t>
      </w:r>
    </w:p>
    <w:p w14:paraId="4DA9DC8F" w14:textId="77777777" w:rsidR="00DB2B68" w:rsidRDefault="00000000">
      <w:pPr>
        <w:pStyle w:val="heading"/>
      </w:pPr>
      <w:r>
        <w:t>Spécifications</w:t>
      </w:r>
    </w:p>
    <w:p w14:paraId="087F4913" w14:textId="77777777" w:rsidR="00DB2B68" w:rsidRDefault="00000000">
      <w:r>
        <w:t>Qualité du béton selon la [NBN EN 206:2013+A2] et la [NBN B 15-001] . (</w:t>
      </w:r>
      <w:r>
        <w:rPr>
          <w:i/>
        </w:rPr>
        <w:t xml:space="preserve">voir également l'article </w:t>
      </w:r>
      <w:hyperlink w:anchor="87" w:history="1">
        <w:r>
          <w:rPr>
            <w:i/>
            <w:color w:val="0000EE"/>
          </w:rPr>
          <w:t>22 Superstructures en béton</w:t>
        </w:r>
      </w:hyperlink>
      <w:r>
        <w:rPr>
          <w:i/>
        </w:rP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B2B68" w14:paraId="482DDC56" w14:textId="77777777">
        <w:tc>
          <w:tcPr>
            <w:tcW w:w="1500" w:type="dxa"/>
            <w:noWrap/>
          </w:tcPr>
          <w:p w14:paraId="16231055" w14:textId="77777777" w:rsidR="00DB2B68" w:rsidRDefault="00000000">
            <w:pPr>
              <w:jc w:val="center"/>
            </w:pPr>
            <w:r>
              <w:rPr>
                <w:b/>
              </w:rPr>
              <w:t>A</w:t>
            </w:r>
          </w:p>
        </w:tc>
        <w:tc>
          <w:tcPr>
            <w:tcW w:w="1500" w:type="dxa"/>
            <w:noWrap/>
          </w:tcPr>
          <w:p w14:paraId="5A3649B8" w14:textId="77777777" w:rsidR="00DB2B68" w:rsidRDefault="00000000">
            <w:pPr>
              <w:jc w:val="center"/>
            </w:pPr>
            <w:r>
              <w:rPr>
                <w:b/>
              </w:rPr>
              <w:t>B1</w:t>
            </w:r>
          </w:p>
        </w:tc>
        <w:tc>
          <w:tcPr>
            <w:tcW w:w="1500" w:type="dxa"/>
            <w:noWrap/>
          </w:tcPr>
          <w:p w14:paraId="6FB70490" w14:textId="77777777" w:rsidR="00DB2B68" w:rsidRDefault="00000000">
            <w:pPr>
              <w:jc w:val="center"/>
            </w:pPr>
            <w:r>
              <w:rPr>
                <w:b/>
              </w:rPr>
              <w:t>B2</w:t>
            </w:r>
          </w:p>
        </w:tc>
        <w:tc>
          <w:tcPr>
            <w:tcW w:w="1500" w:type="dxa"/>
            <w:noWrap/>
          </w:tcPr>
          <w:p w14:paraId="5B36F7A8" w14:textId="77777777" w:rsidR="00DB2B68" w:rsidRDefault="00000000">
            <w:pPr>
              <w:jc w:val="center"/>
            </w:pPr>
            <w:r>
              <w:rPr>
                <w:b/>
              </w:rPr>
              <w:t>C</w:t>
            </w:r>
          </w:p>
        </w:tc>
        <w:tc>
          <w:tcPr>
            <w:tcW w:w="1500" w:type="dxa"/>
            <w:noWrap/>
          </w:tcPr>
          <w:p w14:paraId="66C7BEDF" w14:textId="77777777" w:rsidR="00DB2B68" w:rsidRDefault="00000000">
            <w:pPr>
              <w:jc w:val="center"/>
            </w:pPr>
            <w:r>
              <w:rPr>
                <w:b/>
              </w:rPr>
              <w:t>D</w:t>
            </w:r>
          </w:p>
        </w:tc>
        <w:tc>
          <w:tcPr>
            <w:tcW w:w="1500" w:type="dxa"/>
            <w:noWrap/>
          </w:tcPr>
          <w:p w14:paraId="17F25EDC" w14:textId="77777777" w:rsidR="00DB2B68" w:rsidRDefault="00000000">
            <w:pPr>
              <w:jc w:val="center"/>
            </w:pPr>
            <w:r>
              <w:rPr>
                <w:b/>
              </w:rPr>
              <w:t>E</w:t>
            </w:r>
          </w:p>
        </w:tc>
      </w:tr>
      <w:tr w:rsidR="00DB2B68" w14:paraId="47DA13F4" w14:textId="77777777">
        <w:tc>
          <w:tcPr>
            <w:tcW w:w="1500" w:type="dxa"/>
            <w:noWrap/>
          </w:tcPr>
          <w:p w14:paraId="226AB4D9" w14:textId="77777777" w:rsidR="00DB2B68" w:rsidRDefault="00000000">
            <w:pPr>
              <w:jc w:val="center"/>
            </w:pPr>
            <w:r>
              <w:rPr>
                <w:b/>
              </w:rPr>
              <w:t>Classe de résistance</w:t>
            </w:r>
          </w:p>
        </w:tc>
        <w:tc>
          <w:tcPr>
            <w:tcW w:w="1500" w:type="dxa"/>
            <w:noWrap/>
          </w:tcPr>
          <w:p w14:paraId="72A8A7FE" w14:textId="77777777" w:rsidR="00DB2B68" w:rsidRDefault="00000000">
            <w:pPr>
              <w:jc w:val="center"/>
            </w:pPr>
            <w:r>
              <w:rPr>
                <w:b/>
              </w:rPr>
              <w:t>Domaine d’application</w:t>
            </w:r>
          </w:p>
        </w:tc>
        <w:tc>
          <w:tcPr>
            <w:tcW w:w="1500" w:type="dxa"/>
            <w:noWrap/>
          </w:tcPr>
          <w:p w14:paraId="4B41C032" w14:textId="77777777" w:rsidR="00DB2B68" w:rsidRDefault="00000000">
            <w:pPr>
              <w:jc w:val="center"/>
            </w:pPr>
            <w:r>
              <w:rPr>
                <w:b/>
              </w:rPr>
              <w:t>Classe d'environnement</w:t>
            </w:r>
          </w:p>
        </w:tc>
        <w:tc>
          <w:tcPr>
            <w:tcW w:w="1500" w:type="dxa"/>
            <w:noWrap/>
          </w:tcPr>
          <w:p w14:paraId="347720FF" w14:textId="77777777" w:rsidR="00DB2B68" w:rsidRDefault="00000000">
            <w:pPr>
              <w:jc w:val="center"/>
            </w:pPr>
            <w:r>
              <w:rPr>
                <w:b/>
              </w:rPr>
              <w:t>Classe de consistance</w:t>
            </w:r>
          </w:p>
        </w:tc>
        <w:tc>
          <w:tcPr>
            <w:tcW w:w="1500" w:type="dxa"/>
            <w:noWrap/>
          </w:tcPr>
          <w:p w14:paraId="5939A084" w14:textId="77777777" w:rsidR="00DB2B68" w:rsidRDefault="00000000">
            <w:pPr>
              <w:jc w:val="center"/>
            </w:pPr>
            <w:r>
              <w:rPr>
                <w:b/>
              </w:rPr>
              <w:t>Granulométrie maximale</w:t>
            </w:r>
          </w:p>
        </w:tc>
        <w:tc>
          <w:tcPr>
            <w:tcW w:w="1500" w:type="dxa"/>
            <w:noWrap/>
          </w:tcPr>
          <w:p w14:paraId="12CFC58B" w14:textId="77777777" w:rsidR="00DB2B68" w:rsidRDefault="00000000">
            <w:r>
              <w:rPr>
                <w:b/>
              </w:rPr>
              <w:t>Données complémentaires</w:t>
            </w:r>
          </w:p>
        </w:tc>
      </w:tr>
      <w:tr w:rsidR="00DB2B68" w14:paraId="35705215" w14:textId="77777777">
        <w:tc>
          <w:tcPr>
            <w:tcW w:w="1500" w:type="dxa"/>
            <w:noWrap/>
          </w:tcPr>
          <w:p w14:paraId="143C42CC" w14:textId="77777777" w:rsidR="00DB2B68" w:rsidRDefault="00000000">
            <w:pPr>
              <w:jc w:val="center"/>
            </w:pPr>
            <w:r>
              <w:rPr>
                <w:rStyle w:val="optioncarChar"/>
              </w:rPr>
              <w:t>C25/30 / C30/37 / C35/45 / C45/55 / C50/60 / C55/67 / C60/75 / C70/85 / C80/95 / C90/105</w:t>
            </w:r>
          </w:p>
        </w:tc>
        <w:tc>
          <w:tcPr>
            <w:tcW w:w="1500" w:type="dxa"/>
            <w:noWrap/>
          </w:tcPr>
          <w:p w14:paraId="66DB46B4" w14:textId="77777777" w:rsidR="00DB2B68" w:rsidRDefault="00000000">
            <w:pPr>
              <w:jc w:val="center"/>
            </w:pPr>
            <w:r>
              <w:t>Béton armé</w:t>
            </w:r>
          </w:p>
          <w:p w14:paraId="053442E2" w14:textId="77777777" w:rsidR="00DB2B68" w:rsidRDefault="00000000">
            <w:pPr>
              <w:jc w:val="center"/>
            </w:pPr>
            <w:r>
              <w:t> </w:t>
            </w:r>
          </w:p>
        </w:tc>
        <w:tc>
          <w:tcPr>
            <w:tcW w:w="1500" w:type="dxa"/>
            <w:noWrap/>
          </w:tcPr>
          <w:p w14:paraId="40F68343" w14:textId="77777777" w:rsidR="00DB2B68" w:rsidRDefault="00000000">
            <w:pPr>
              <w:jc w:val="center"/>
            </w:pPr>
            <w:r>
              <w:rPr>
                <w:rStyle w:val="optioncarChar"/>
              </w:rPr>
              <w:t>E0 / EI / EE1 / EE2 / EE3 / EE4 / ES1 / ES2 / ES3 / ES4 / EA1+*** / EA2+***/ EA3+***</w:t>
            </w:r>
          </w:p>
        </w:tc>
        <w:tc>
          <w:tcPr>
            <w:tcW w:w="1500" w:type="dxa"/>
            <w:noWrap/>
          </w:tcPr>
          <w:p w14:paraId="4C166CCB" w14:textId="77777777" w:rsidR="00DB2B68" w:rsidRDefault="00000000">
            <w:pPr>
              <w:jc w:val="center"/>
            </w:pPr>
            <w:r>
              <w:t>au choix de l'entrepreneur :</w:t>
            </w:r>
          </w:p>
          <w:p w14:paraId="13587E37" w14:textId="77777777" w:rsidR="00DB2B68" w:rsidRDefault="00000000">
            <w:pPr>
              <w:jc w:val="center"/>
            </w:pPr>
            <w:r>
              <w:rPr>
                <w:rStyle w:val="optioncarChar"/>
              </w:rPr>
              <w:t xml:space="preserve">S3 / S4 / S5 </w:t>
            </w:r>
          </w:p>
          <w:p w14:paraId="44EECEFC" w14:textId="77777777" w:rsidR="00DB2B68" w:rsidRDefault="00000000">
            <w:pPr>
              <w:jc w:val="center"/>
            </w:pPr>
            <w:r>
              <w:rPr>
                <w:rStyle w:val="optioncarChar"/>
              </w:rPr>
              <w:t>F3 / F4 / F5 / F6</w:t>
            </w:r>
            <w:r>
              <w:br/>
            </w:r>
          </w:p>
        </w:tc>
        <w:tc>
          <w:tcPr>
            <w:tcW w:w="1500" w:type="dxa"/>
            <w:noWrap/>
          </w:tcPr>
          <w:p w14:paraId="18876C92" w14:textId="77777777" w:rsidR="00DB2B68" w:rsidRDefault="00000000">
            <w:pPr>
              <w:jc w:val="center"/>
            </w:pPr>
            <w:r>
              <w:t>au choix de l'entrepreneur :</w:t>
            </w:r>
          </w:p>
          <w:p w14:paraId="1E5CDA68" w14:textId="77777777" w:rsidR="00DB2B68" w:rsidRDefault="00000000">
            <w:pPr>
              <w:jc w:val="center"/>
            </w:pPr>
            <w:r>
              <w:rPr>
                <w:rStyle w:val="optioncarChar"/>
              </w:rPr>
              <w:t>6 / 8 / 10 / 11 / 12 / 14 / 16 / 20 / 22 / 32</w:t>
            </w:r>
            <w:r>
              <w:t xml:space="preserve"> mm</w:t>
            </w:r>
          </w:p>
        </w:tc>
        <w:tc>
          <w:tcPr>
            <w:tcW w:w="1500" w:type="dxa"/>
            <w:noWrap/>
          </w:tcPr>
          <w:p w14:paraId="6B33988D" w14:textId="77777777" w:rsidR="00DB2B68" w:rsidRDefault="00000000">
            <w:pPr>
              <w:jc w:val="center"/>
            </w:pPr>
            <w:r>
              <w:rPr>
                <w:rStyle w:val="optioncarChar"/>
              </w:rPr>
              <w:t>***</w:t>
            </w:r>
          </w:p>
        </w:tc>
      </w:tr>
    </w:tbl>
    <w:p w14:paraId="3109C905" w14:textId="77777777" w:rsidR="00DB2B68"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F71930A" w14:textId="77777777" w:rsidR="00DB2B68" w:rsidRDefault="00000000">
      <w:pPr>
        <w:pStyle w:val="Author-eListParagraph"/>
        <w:numPr>
          <w:ilvl w:val="0"/>
          <w:numId w:val="632"/>
        </w:numPr>
      </w:pPr>
      <w:r>
        <w:t xml:space="preserve">Classe de viscosité apparente : </w:t>
      </w:r>
      <w:r>
        <w:rPr>
          <w:rStyle w:val="optioncarChar"/>
        </w:rPr>
        <w:t>VS1 / VS2</w:t>
      </w:r>
      <w:r>
        <w:t xml:space="preserve"> (selon la [NBN EN 12350-8] )</w:t>
      </w:r>
    </w:p>
    <w:p w14:paraId="2322D8C0" w14:textId="77777777" w:rsidR="00DB2B68" w:rsidRDefault="00000000">
      <w:pPr>
        <w:pStyle w:val="Author-eListParagraph"/>
        <w:numPr>
          <w:ilvl w:val="0"/>
          <w:numId w:val="63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AE209BB" w14:textId="77777777" w:rsidR="00DB2B68" w:rsidRDefault="00000000">
      <w:pPr>
        <w:pStyle w:val="Author-eListParagraph"/>
        <w:numPr>
          <w:ilvl w:val="0"/>
          <w:numId w:val="63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C9C0575" w14:textId="77777777" w:rsidR="00DB2B68" w:rsidRDefault="00000000">
      <w:r>
        <w:t xml:space="preserve">Pourcentage d'armatures : </w:t>
      </w:r>
      <w:r>
        <w:rPr>
          <w:rStyle w:val="optioncarChar"/>
        </w:rPr>
        <w:t>***</w:t>
      </w:r>
      <w:r>
        <w:t xml:space="preserve"> kg d'acier par m</w:t>
      </w:r>
      <w:r>
        <w:rPr>
          <w:vertAlign w:val="superscript"/>
        </w:rPr>
        <w:t>3</w:t>
      </w:r>
      <w:r>
        <w:t xml:space="preserve"> de béton.</w:t>
      </w:r>
    </w:p>
    <w:p w14:paraId="288A07A9" w14:textId="77777777" w:rsidR="00DB2B68" w:rsidRDefault="00000000">
      <w:pPr>
        <w:pStyle w:val="Author-eListParagraph"/>
        <w:numPr>
          <w:ilvl w:val="0"/>
          <w:numId w:val="633"/>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5254B409" w14:textId="77777777" w:rsidR="00DB2B68" w:rsidRDefault="00000000">
      <w:pPr>
        <w:pStyle w:val="Author-eListParagraph"/>
        <w:numPr>
          <w:ilvl w:val="0"/>
          <w:numId w:val="63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68BAEB7" w14:textId="77777777" w:rsidR="00DB2B68" w:rsidRDefault="00000000">
      <w:pPr>
        <w:pStyle w:val="Author-eListParagraph"/>
        <w:numPr>
          <w:ilvl w:val="0"/>
          <w:numId w:val="633"/>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w:t>
      </w:r>
      <w:r>
        <w:t>(par défaut)</w:t>
      </w:r>
      <w:r>
        <w:rPr>
          <w:rStyle w:val="optioncarChar"/>
        </w:rPr>
        <w:t xml:space="preserve"> / ***x***x***x***</w:t>
      </w:r>
      <w:r>
        <w:t xml:space="preserve"> mm.</w:t>
      </w:r>
    </w:p>
    <w:p w14:paraId="07BA561C" w14:textId="77777777" w:rsidR="00DB2B68" w:rsidRDefault="00000000">
      <w:pPr>
        <w:pStyle w:val="pheading"/>
      </w:pPr>
      <w:r>
        <w:t>EXÉCUTION / MISE EN ŒUVRE</w:t>
      </w:r>
    </w:p>
    <w:p w14:paraId="1286296C" w14:textId="77777777" w:rsidR="00DB2B68" w:rsidRDefault="00000000">
      <w:r>
        <w:t>L'étude est à charge </w:t>
      </w:r>
      <w:r>
        <w:rPr>
          <w:rStyle w:val="optioncarChar"/>
        </w:rPr>
        <w:t>de l'entrepreneur </w:t>
      </w:r>
      <w:r>
        <w:t>(par défaut)</w:t>
      </w:r>
      <w:r>
        <w:rPr>
          <w:rStyle w:val="optioncarChar"/>
        </w:rPr>
        <w:t xml:space="preserve"> / du maître de l'ouvrage / du bureau d’étude </w:t>
      </w:r>
      <w:r>
        <w:t>(</w:t>
      </w:r>
      <w:r>
        <w:rPr>
          <w:i/>
        </w:rPr>
        <w:t xml:space="preserve">voir également art. </w:t>
      </w:r>
      <w:hyperlink w:anchor="87" w:history="1">
        <w:r>
          <w:rPr>
            <w:i/>
            <w:color w:val="0000EE"/>
          </w:rPr>
          <w:t>22 Superstructures en béton</w:t>
        </w:r>
      </w:hyperlink>
      <w:r>
        <w:t>)</w:t>
      </w:r>
    </w:p>
    <w:p w14:paraId="3FEFBF05" w14:textId="77777777" w:rsidR="00DB2B68" w:rsidRDefault="00000000">
      <w:r>
        <w:t xml:space="preserve">Les </w:t>
      </w:r>
      <w:r>
        <w:rPr>
          <w:rStyle w:val="optioncarChar"/>
        </w:rPr>
        <w:t xml:space="preserve">pièces d’appui </w:t>
      </w:r>
      <w:r>
        <w:t>(par défaut)</w:t>
      </w:r>
      <w:r>
        <w:rPr>
          <w:rStyle w:val="optioncarChar"/>
        </w:rPr>
        <w:t xml:space="preserve"> / *** </w:t>
      </w:r>
      <w:r>
        <w:t>sont exécutées dans les dimensions et avec la longueur d’appui indiquées sur les plans et les coupes. L’entrepreneur est tenu de vérifier si elles peuvent effectivement être réalisées conformément aux plans soumis. Il y a lieu de tenir compte de la hauteur requise par rapport au niveau du sol. La longueur d’appui est d’au moins </w:t>
      </w:r>
      <w:r>
        <w:rPr>
          <w:rStyle w:val="optioncarChar"/>
        </w:rPr>
        <w:t>20 / 30</w:t>
      </w:r>
      <w:r>
        <w:t xml:space="preserve">  cm à chaque extrémité des </w:t>
      </w:r>
      <w:r>
        <w:rPr>
          <w:rStyle w:val="optioncarChar"/>
        </w:rPr>
        <w:t>pièces d’appui </w:t>
      </w:r>
      <w:r>
        <w:t>(par défaut)</w:t>
      </w:r>
      <w:r>
        <w:rPr>
          <w:rStyle w:val="optioncarChar"/>
        </w:rPr>
        <w:t xml:space="preserve"> / ***</w:t>
      </w:r>
    </w:p>
    <w:p w14:paraId="6B7FF1CA" w14:textId="77777777" w:rsidR="00DB2B68" w:rsidRDefault="00000000">
      <w:r>
        <w:lastRenderedPageBreak/>
        <w:t xml:space="preserve">Les indications sur les plans de coffrage sont scrupuleusement respectées. L’entrepreneur veille à ce que les coffrages des </w:t>
      </w:r>
      <w:r>
        <w:rPr>
          <w:rStyle w:val="optioncarChar"/>
        </w:rPr>
        <w:t>pièces d’appui </w:t>
      </w:r>
      <w:r>
        <w:t>(par défaut)</w:t>
      </w:r>
      <w:r>
        <w:rPr>
          <w:rStyle w:val="optioncarChar"/>
        </w:rPr>
        <w:t xml:space="preserve"> / *** </w:t>
      </w:r>
      <w:r>
        <w:t>soient d’aplomb, alignés et de niveau.</w:t>
      </w:r>
    </w:p>
    <w:p w14:paraId="266BBD75" w14:textId="77777777" w:rsidR="00DB2B68" w:rsidRDefault="00000000">
      <w:r>
        <w:t xml:space="preserve">Avant le coulage du béton, on prévoit dans les </w:t>
      </w:r>
      <w:r>
        <w:rPr>
          <w:rStyle w:val="optioncarChar"/>
        </w:rPr>
        <w:t>poutres </w:t>
      </w:r>
      <w:r>
        <w:t>(par défaut)</w:t>
      </w:r>
      <w:r>
        <w:rPr>
          <w:rStyle w:val="optioncarChar"/>
        </w:rPr>
        <w:t xml:space="preserve"> / *** </w:t>
      </w:r>
      <w:r>
        <w:t>toutes les réservations ou pénétrations indiquées sur les plans. Aucun percement ne peut être effectué par la suite par forage ou décapage du béton sans l’approbation explicite préalable de l’auteur de projet ou de l’ingénieur.</w:t>
      </w:r>
    </w:p>
    <w:p w14:paraId="0E4FFAB6" w14:textId="77777777" w:rsidR="00DB2B68" w:rsidRDefault="00000000">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14:paraId="2D51DD5A" w14:textId="77777777" w:rsidR="00DB2B68" w:rsidRDefault="00000000">
      <w:r>
        <w:t xml:space="preserve">Le décoffrage ne peut avoir lieu avant </w:t>
      </w:r>
      <w:r>
        <w:rPr>
          <w:rStyle w:val="optioncarChar"/>
        </w:rPr>
        <w:t>*** jours après le coulage du béton / selon les directives de l’ingénieur</w:t>
      </w:r>
      <w:r>
        <w:rPr>
          <w:rStyle w:val="optioncarChar"/>
          <w:i/>
        </w:rPr>
        <w:t>.</w:t>
      </w:r>
    </w:p>
    <w:p w14:paraId="38A5993E" w14:textId="77777777" w:rsidR="00DB2B68" w:rsidRDefault="00000000">
      <w:pPr>
        <w:pStyle w:val="Author-eSectionHeading6Numberless"/>
      </w:pPr>
      <w:bookmarkStart w:id="905" w:name="_Toc220495952"/>
      <w:r>
        <w:t>22.42.1a Asselets en béton coulé en place CCTB 01.11</w:t>
      </w:r>
      <w:bookmarkEnd w:id="905"/>
    </w:p>
    <w:p w14:paraId="43F4A74E" w14:textId="77777777" w:rsidR="00DB2B68" w:rsidRDefault="00000000">
      <w:pPr>
        <w:pStyle w:val="pheading"/>
      </w:pPr>
      <w:r>
        <w:t>MATÉRIAUX</w:t>
      </w:r>
    </w:p>
    <w:p w14:paraId="1BC335A1" w14:textId="77777777" w:rsidR="00DB2B68" w:rsidRDefault="00000000">
      <w:pPr>
        <w:pStyle w:val="pheading"/>
      </w:pPr>
      <w:r>
        <w:t>- Finitions</w:t>
      </w:r>
    </w:p>
    <w:p w14:paraId="2AED103F" w14:textId="77777777" w:rsidR="00DB2B68" w:rsidRDefault="00000000">
      <w:r>
        <w:t xml:space="preserve">• Coffrage : </w:t>
      </w:r>
      <w:r>
        <w:rPr>
          <w:rStyle w:val="optioncarChar"/>
        </w:rPr>
        <w:t>brut de décoffrage (linteaux destinés à être plafonnés) </w:t>
      </w:r>
      <w:r>
        <w:t>(par défaut)</w:t>
      </w:r>
      <w:r>
        <w:rPr>
          <w:rStyle w:val="optioncarChar"/>
        </w:rPr>
        <w:t xml:space="preserve"> / lisse / coffrage perdu </w:t>
      </w:r>
      <w:r>
        <w:t>en</w:t>
      </w:r>
      <w:r>
        <w:rPr>
          <w:rStyle w:val="optioncarChar"/>
        </w:rPr>
        <w:t xml:space="preserve"> ***</w:t>
      </w:r>
    </w:p>
    <w:p w14:paraId="6395018C" w14:textId="77777777" w:rsidR="00DB2B68" w:rsidRDefault="00000000">
      <w:pPr>
        <w:pStyle w:val="pheading"/>
      </w:pPr>
      <w:r>
        <w:t>- Prescriptions complémentaires</w:t>
      </w:r>
    </w:p>
    <w:p w14:paraId="66694EB2" w14:textId="77777777" w:rsidR="00DB2B68" w:rsidRDefault="00000000">
      <w:r>
        <w:t>• Résistance au feu : </w:t>
      </w:r>
      <w:r>
        <w:rPr>
          <w:rStyle w:val="optioncarChar"/>
        </w:rPr>
        <w:t>R30 / R60 / R120 / R240</w:t>
      </w:r>
      <w:r>
        <w:t xml:space="preserve"> selon la [NBN EN 13501-2] .</w:t>
      </w:r>
    </w:p>
    <w:p w14:paraId="70FCDFA6" w14:textId="77777777" w:rsidR="00DB2B68" w:rsidRDefault="00000000">
      <w:pPr>
        <w:pStyle w:val="pheading"/>
      </w:pPr>
      <w:r>
        <w:t>EXÉCUTION / MISE EN ŒUVRE</w:t>
      </w:r>
    </w:p>
    <w:p w14:paraId="301CCD1B" w14:textId="77777777" w:rsidR="00DB2B68" w:rsidRDefault="00000000">
      <w:pPr>
        <w:pStyle w:val="pheading"/>
      </w:pPr>
      <w:r>
        <w:t>- Notes d’exécution complémentaires</w:t>
      </w:r>
    </w:p>
    <w:p w14:paraId="5BF54A91" w14:textId="77777777" w:rsidR="00DB2B68" w:rsidRDefault="00000000">
      <w:r>
        <w:t>Raccords visibles : joint en forme de </w:t>
      </w:r>
      <w:r>
        <w:rPr>
          <w:rStyle w:val="optioncarChar"/>
        </w:rPr>
        <w:t>V </w:t>
      </w:r>
      <w:r>
        <w:t>(par défaut)</w:t>
      </w:r>
      <w:r>
        <w:rPr>
          <w:rStyle w:val="optioncarChar"/>
        </w:rPr>
        <w:t xml:space="preserve"> / ***</w:t>
      </w:r>
      <w:r>
        <w:br/>
        <w:t xml:space="preserve">Ponts d’humidité / étanchéité à l'eau : </w:t>
      </w:r>
      <w:r>
        <w:rPr>
          <w:rStyle w:val="optioncarChar"/>
        </w:rPr>
        <w:t>***</w:t>
      </w:r>
      <w:r>
        <w:br/>
        <w:t xml:space="preserve">Ponts thermiques / isolation thermique : lorsque la section thermique de la coulisse ne peut, pour des raisons constructives, pas être poursuivie au droit des asselets, les ponts thermiques à cet endroit sont évités en plaçant un coffrage perdu en </w:t>
      </w:r>
      <w:r>
        <w:rPr>
          <w:rStyle w:val="optioncarChar"/>
        </w:rPr>
        <w:t>polystyrène extrudé </w:t>
      </w:r>
      <w:r>
        <w:t xml:space="preserve">(par défaut) </w:t>
      </w:r>
      <w:r>
        <w:rPr>
          <w:rStyle w:val="optioncarChar"/>
        </w:rPr>
        <w:t>/ ***</w:t>
      </w:r>
      <w:r>
        <w:br/>
        <w:t xml:space="preserve">Réservations / pénétrations : </w:t>
      </w:r>
      <w:r>
        <w:rPr>
          <w:rStyle w:val="optioncarChar"/>
        </w:rPr>
        <w:t>***</w:t>
      </w:r>
    </w:p>
    <w:p w14:paraId="6C3A7AA2" w14:textId="77777777" w:rsidR="00DB2B68" w:rsidRDefault="00000000">
      <w:pPr>
        <w:pStyle w:val="pheading"/>
      </w:pPr>
      <w:r>
        <w:t>DOCUMENTS DE RÉFÉRENCE COMPLÉMENTAIRES</w:t>
      </w:r>
    </w:p>
    <w:p w14:paraId="1A7F9084" w14:textId="77777777" w:rsidR="00DB2B68" w:rsidRDefault="00000000">
      <w:pPr>
        <w:pStyle w:val="pheading"/>
      </w:pPr>
      <w:r>
        <w:t>- Matériau</w:t>
      </w:r>
    </w:p>
    <w:p w14:paraId="2AD7CE94"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41CC734" w14:textId="77777777" w:rsidR="00DB2B68" w:rsidRDefault="00000000">
      <w:pPr>
        <w:pStyle w:val="pheading"/>
      </w:pPr>
      <w:r>
        <w:t>MESURAGE</w:t>
      </w:r>
    </w:p>
    <w:p w14:paraId="4F12DBA6" w14:textId="77777777" w:rsidR="00DB2B68" w:rsidRDefault="00000000">
      <w:r>
        <w:t>Conformément aux indications spécifiques dans le cahier spécial des charges et/ou le métré récapitulatif, le mesurage est conçu comme suit :</w:t>
      </w:r>
    </w:p>
    <w:p w14:paraId="21814D44" w14:textId="77777777" w:rsidR="00DB2B68" w:rsidRDefault="00000000">
      <w:pPr>
        <w:pStyle w:val="pheading"/>
      </w:pPr>
      <w:r>
        <w:t>- unité de mesure:</w:t>
      </w:r>
    </w:p>
    <w:p w14:paraId="787DFAFF" w14:textId="77777777" w:rsidR="00DB2B68" w:rsidRDefault="00000000">
      <w:r>
        <w:t>m³ pour le béton</w:t>
      </w:r>
      <w:r>
        <w:br/>
        <w:t>kg pour les armatures</w:t>
      </w:r>
    </w:p>
    <w:p w14:paraId="14130BEA" w14:textId="77777777" w:rsidR="00DB2B68" w:rsidRDefault="00000000">
      <w:pPr>
        <w:pStyle w:val="pheading"/>
      </w:pPr>
      <w:r>
        <w:t>- code de mesurage:</w:t>
      </w:r>
    </w:p>
    <w:p w14:paraId="39BCCC7A" w14:textId="77777777" w:rsidR="00DB2B68" w:rsidRDefault="00000000">
      <w:pPr>
        <w:ind w:left="435"/>
      </w:pPr>
      <w:r>
        <w:t>volume net (selon la [NBN B 06-001])</w:t>
      </w:r>
    </w:p>
    <w:p w14:paraId="1AFD2E34" w14:textId="77777777" w:rsidR="00DB2B68" w:rsidRDefault="00000000">
      <w:pPr>
        <w:pStyle w:val="pheading"/>
      </w:pPr>
      <w:r>
        <w:t>- nature du marché:</w:t>
      </w:r>
    </w:p>
    <w:p w14:paraId="7DE2381C" w14:textId="77777777" w:rsidR="00DB2B68" w:rsidRDefault="00000000">
      <w:pPr>
        <w:ind w:left="435"/>
      </w:pPr>
      <w:r>
        <w:t>QF</w:t>
      </w:r>
    </w:p>
    <w:p w14:paraId="6A8F855A" w14:textId="77777777" w:rsidR="00DB2B68" w:rsidRDefault="00000000">
      <w:pPr>
        <w:pStyle w:val="Author-eSectionHeading6Numberless"/>
      </w:pPr>
      <w:bookmarkStart w:id="906" w:name="_Toc220495953"/>
      <w:r>
        <w:t>22.42.1b Consoles et supports en béton coulé en place CCTB 01.04</w:t>
      </w:r>
      <w:bookmarkEnd w:id="906"/>
    </w:p>
    <w:p w14:paraId="1EFBBF37" w14:textId="77777777" w:rsidR="00DB2B68" w:rsidRDefault="00000000">
      <w:pPr>
        <w:pStyle w:val="Author-eSectionHeading5Numberless"/>
      </w:pPr>
      <w:bookmarkStart w:id="907" w:name="_Toc220495954"/>
      <w:r>
        <w:t>22.42.2 Pièces d'appui préfabriquées en béton CCTB 01.04</w:t>
      </w:r>
      <w:bookmarkEnd w:id="907"/>
    </w:p>
    <w:p w14:paraId="3AE35B93" w14:textId="77777777" w:rsidR="00DB2B68" w:rsidRDefault="00000000">
      <w:pPr>
        <w:pStyle w:val="Author-eSectionHeading6Numberless"/>
      </w:pPr>
      <w:bookmarkStart w:id="908" w:name="_Toc220495955"/>
      <w:r>
        <w:lastRenderedPageBreak/>
        <w:t>22.42.2a Consoles préfabriquées en béton CCTB 01.13</w:t>
      </w:r>
      <w:bookmarkEnd w:id="908"/>
    </w:p>
    <w:p w14:paraId="3F3CF1E4" w14:textId="77777777" w:rsidR="00DB2B68" w:rsidRDefault="00000000">
      <w:pPr>
        <w:pStyle w:val="pheading"/>
      </w:pPr>
      <w:r>
        <w:t>MATÉRIAUX</w:t>
      </w:r>
    </w:p>
    <w:p w14:paraId="2018895A" w14:textId="77777777" w:rsidR="00DB2B68" w:rsidRDefault="00000000">
      <w:pPr>
        <w:pStyle w:val="pheading"/>
      </w:pPr>
      <w:r>
        <w:t>- Caractéristiques générales</w:t>
      </w:r>
    </w:p>
    <w:p w14:paraId="685A0D25" w14:textId="77777777" w:rsidR="00DB2B68" w:rsidRDefault="00000000">
      <w:r>
        <w:t>Conformes aux exigences des normes [NBN EN 13369] et [NBN B 21-600]</w:t>
      </w:r>
    </w:p>
    <w:p w14:paraId="61B74145" w14:textId="77777777" w:rsidR="00DB2B68" w:rsidRDefault="00000000">
      <w:pPr>
        <w:pStyle w:val="pheading"/>
      </w:pPr>
      <w:r>
        <w:t>- Finitions</w:t>
      </w:r>
    </w:p>
    <w:p w14:paraId="4E4FE56F" w14:textId="77777777" w:rsidR="00DB2B68" w:rsidRDefault="00000000">
      <w:r>
        <w:t xml:space="preserve">Surface de béton : </w:t>
      </w:r>
      <w:r>
        <w:rPr>
          <w:rStyle w:val="optioncarChar"/>
        </w:rPr>
        <w:t xml:space="preserve">brute et lisse </w:t>
      </w:r>
      <w:r>
        <w:t>(par défaut)</w:t>
      </w:r>
      <w:r>
        <w:rPr>
          <w:rStyle w:val="optioncarChar"/>
        </w:rPr>
        <w:t xml:space="preserve"> / rugueux (consoles destinées à être plafonnés)</w:t>
      </w:r>
      <w:r>
        <w:t xml:space="preserve"> .</w:t>
      </w:r>
      <w:r>
        <w:br/>
      </w:r>
    </w:p>
    <w:p w14:paraId="6A21A658" w14:textId="77777777" w:rsidR="00DB2B68" w:rsidRDefault="00000000">
      <w:pPr>
        <w:pStyle w:val="pheading"/>
      </w:pPr>
      <w:r>
        <w:t>- Prescriptions complémentaires</w:t>
      </w:r>
    </w:p>
    <w:p w14:paraId="27F761B3" w14:textId="77777777" w:rsidR="00DB2B68" w:rsidRDefault="00000000">
      <w:r>
        <w:t>Résistance au feu : </w:t>
      </w:r>
      <w:r>
        <w:rPr>
          <w:rStyle w:val="optioncarChar"/>
        </w:rPr>
        <w:t>R30 / R60 / R120 / R240</w:t>
      </w:r>
      <w:r>
        <w:t xml:space="preserve"> selon la [NBN EN 13501-2] ou suivant la [NBN EN 1992-1-2].</w:t>
      </w:r>
    </w:p>
    <w:p w14:paraId="586BE0CD" w14:textId="77777777" w:rsidR="00DB2B68" w:rsidRDefault="00000000">
      <w:pPr>
        <w:pStyle w:val="pheading"/>
      </w:pPr>
      <w:r>
        <w:t>EXÉCUTION / MISE EN ŒUVRE</w:t>
      </w:r>
    </w:p>
    <w:p w14:paraId="3D9BEAF8" w14:textId="77777777" w:rsidR="00DB2B68" w:rsidRDefault="00000000">
      <w:pPr>
        <w:pStyle w:val="pheading"/>
      </w:pPr>
      <w:r>
        <w:t>- Notes d’exécution complémentaires</w:t>
      </w:r>
    </w:p>
    <w:p w14:paraId="21920569" w14:textId="77777777" w:rsidR="00DB2B68" w:rsidRDefault="00000000">
      <w:pPr>
        <w:pStyle w:val="Author-eListParagraph"/>
        <w:numPr>
          <w:ilvl w:val="0"/>
          <w:numId w:val="634"/>
        </w:numPr>
      </w:pPr>
      <w:r>
        <w:t xml:space="preserve">Raccords visibles : joint en forme de </w:t>
      </w:r>
      <w:r>
        <w:rPr>
          <w:rStyle w:val="optioncarChar"/>
        </w:rPr>
        <w:t>V</w:t>
      </w:r>
      <w:r>
        <w:t> (par défaut)</w:t>
      </w:r>
      <w:r>
        <w:rPr>
          <w:rStyle w:val="optioncarChar"/>
        </w:rPr>
        <w:t xml:space="preserve"> / ***</w:t>
      </w:r>
    </w:p>
    <w:p w14:paraId="79E65466" w14:textId="77777777" w:rsidR="00DB2B68" w:rsidRDefault="00000000">
      <w:pPr>
        <w:pStyle w:val="Author-eListParagraph"/>
        <w:numPr>
          <w:ilvl w:val="0"/>
          <w:numId w:val="634"/>
        </w:numPr>
      </w:pPr>
      <w:r>
        <w:t xml:space="preserve">Ponts d’humidité / étanchéité à l'eau : </w:t>
      </w:r>
      <w:r>
        <w:rPr>
          <w:rStyle w:val="optioncarChar"/>
        </w:rPr>
        <w:t>***</w:t>
      </w:r>
    </w:p>
    <w:p w14:paraId="1440C34B" w14:textId="77777777" w:rsidR="00DB2B68" w:rsidRDefault="00000000">
      <w:pPr>
        <w:pStyle w:val="Author-eListParagraph"/>
        <w:numPr>
          <w:ilvl w:val="0"/>
          <w:numId w:val="634"/>
        </w:numPr>
      </w:pPr>
      <w:r>
        <w:t>Ponts thermiques / isolation thermique : lorsque la section thermique de la coulisse ne peut, pour des raisons constructives, pas être poursuivie au droit des consoles, les ponts thermiques à cet endroit sont évités en plaçant un coffrage perdu en</w:t>
      </w:r>
      <w:r>
        <w:rPr>
          <w:rStyle w:val="optioncarChar"/>
        </w:rPr>
        <w:t> polystyrène extrudé </w:t>
      </w:r>
      <w:r>
        <w:t>(par défaut)</w:t>
      </w:r>
      <w:r>
        <w:rPr>
          <w:rStyle w:val="optioncarChar"/>
        </w:rPr>
        <w:t xml:space="preserve"> / ***</w:t>
      </w:r>
    </w:p>
    <w:p w14:paraId="1390E000" w14:textId="77777777" w:rsidR="00DB2B68" w:rsidRDefault="00000000">
      <w:pPr>
        <w:pStyle w:val="Author-eListParagraph"/>
        <w:numPr>
          <w:ilvl w:val="0"/>
          <w:numId w:val="634"/>
        </w:numPr>
      </w:pPr>
      <w:r>
        <w:t xml:space="preserve">Réservations / pénétrations : </w:t>
      </w:r>
      <w:r>
        <w:rPr>
          <w:rStyle w:val="optioncarChar"/>
        </w:rPr>
        <w:t>***</w:t>
      </w:r>
    </w:p>
    <w:p w14:paraId="37EE2BFA" w14:textId="77777777" w:rsidR="00DB2B68" w:rsidRDefault="00000000">
      <w:pPr>
        <w:pStyle w:val="pheading"/>
      </w:pPr>
      <w:r>
        <w:t>MESURAGE</w:t>
      </w:r>
    </w:p>
    <w:p w14:paraId="4719F6B4" w14:textId="77777777" w:rsidR="00DB2B68" w:rsidRDefault="00000000">
      <w:r>
        <w:t>Conformément aux indications spécifiques dans le cahier spécial des charges et/ou le métré récapitulatif, le mesurage est conçu comme suit :</w:t>
      </w:r>
    </w:p>
    <w:p w14:paraId="4A1A2BE9" w14:textId="77777777" w:rsidR="00DB2B68" w:rsidRDefault="00000000">
      <w:pPr>
        <w:pStyle w:val="pheading"/>
      </w:pPr>
      <w:r>
        <w:t>- unité de mesure:</w:t>
      </w:r>
    </w:p>
    <w:p w14:paraId="69135F49" w14:textId="77777777" w:rsidR="00DB2B68" w:rsidRDefault="00000000">
      <w:r>
        <w:t>m³ pour le béton</w:t>
      </w:r>
      <w:r>
        <w:br/>
        <w:t>kg pour les armatures</w:t>
      </w:r>
    </w:p>
    <w:p w14:paraId="273B64F6" w14:textId="77777777" w:rsidR="00DB2B68" w:rsidRDefault="00000000">
      <w:pPr>
        <w:pStyle w:val="pheading"/>
      </w:pPr>
      <w:r>
        <w:t>- code de mesurage:</w:t>
      </w:r>
    </w:p>
    <w:p w14:paraId="2C9D0B5C" w14:textId="77777777" w:rsidR="00DB2B68" w:rsidRDefault="00000000">
      <w:r>
        <w:t>volume net (selon la [NBN B 06-001])</w:t>
      </w:r>
    </w:p>
    <w:p w14:paraId="1FC981AB" w14:textId="77777777" w:rsidR="00DB2B68" w:rsidRDefault="00000000">
      <w:pPr>
        <w:pStyle w:val="pheading"/>
      </w:pPr>
      <w:r>
        <w:t>- nature du marché:</w:t>
      </w:r>
    </w:p>
    <w:p w14:paraId="10804E46" w14:textId="77777777" w:rsidR="00DB2B68" w:rsidRDefault="00000000">
      <w:pPr>
        <w:ind w:left="435"/>
      </w:pPr>
      <w:r>
        <w:t>QF</w:t>
      </w:r>
    </w:p>
    <w:p w14:paraId="25477C0B" w14:textId="77777777" w:rsidR="00DB2B68" w:rsidRDefault="00000000">
      <w:pPr>
        <w:pStyle w:val="Author-eSectionHeading4Numberless"/>
      </w:pPr>
      <w:bookmarkStart w:id="909" w:name="_Toc220495956"/>
      <w:r>
        <w:t>22.43 Pièces d'appui autres qu'en béton CCTB 01.04</w:t>
      </w:r>
      <w:bookmarkEnd w:id="909"/>
    </w:p>
    <w:p w14:paraId="426E76B5" w14:textId="77777777" w:rsidR="00DB2B68" w:rsidRDefault="00000000">
      <w:pPr>
        <w:pStyle w:val="Author-eSectionHeading5Numberless"/>
      </w:pPr>
      <w:bookmarkStart w:id="910" w:name="_Toc220495957"/>
      <w:r>
        <w:t>22.43.1 Pièces d'appui en matière synthétique CCTB 01.04</w:t>
      </w:r>
      <w:bookmarkEnd w:id="910"/>
    </w:p>
    <w:p w14:paraId="22CCC6E3" w14:textId="77777777" w:rsidR="00DB2B68" w:rsidRDefault="00000000">
      <w:pPr>
        <w:pStyle w:val="Author-eSectionHeading6Numberless"/>
      </w:pPr>
      <w:bookmarkStart w:id="911" w:name="_Toc220495958"/>
      <w:r>
        <w:t>22.43.1a Pièces d'appui en néoprène CCTB 01.04</w:t>
      </w:r>
      <w:bookmarkEnd w:id="911"/>
    </w:p>
    <w:p w14:paraId="24F6B0BB" w14:textId="77777777" w:rsidR="00DB2B68" w:rsidRDefault="00000000">
      <w:pPr>
        <w:pStyle w:val="Author-eSectionHeading4Numberless"/>
      </w:pPr>
      <w:bookmarkStart w:id="912" w:name="_Toc220495959"/>
      <w:r>
        <w:t>22.44 Ancrages de structure en béton CCTB 01.04</w:t>
      </w:r>
      <w:bookmarkEnd w:id="912"/>
    </w:p>
    <w:p w14:paraId="26E6CD9A" w14:textId="77777777" w:rsidR="00DB2B68" w:rsidRDefault="00000000">
      <w:pPr>
        <w:pStyle w:val="Author-eSectionHeading5Numberless"/>
      </w:pPr>
      <w:bookmarkStart w:id="913" w:name="_Toc220495960"/>
      <w:r>
        <w:t>22.44.1 Ancrages métalliques de structures en béton CCTB 01.04</w:t>
      </w:r>
      <w:bookmarkEnd w:id="913"/>
    </w:p>
    <w:p w14:paraId="7F6A5459" w14:textId="77777777" w:rsidR="00DB2B68" w:rsidRDefault="00000000">
      <w:pPr>
        <w:pStyle w:val="Author-eSectionHeading6Numberless"/>
      </w:pPr>
      <w:bookmarkStart w:id="914" w:name="_Toc220495961"/>
      <w:r>
        <w:t>22.44.1a Ancrages métalliques de structures en béton CCTB 01.04</w:t>
      </w:r>
      <w:bookmarkEnd w:id="914"/>
    </w:p>
    <w:p w14:paraId="2D32DE82" w14:textId="77777777" w:rsidR="00DB2B68" w:rsidRDefault="00000000">
      <w:pPr>
        <w:pStyle w:val="Author-eSectionHeading4Numberless"/>
      </w:pPr>
      <w:bookmarkStart w:id="915" w:name="_Toc220495962"/>
      <w:r>
        <w:t>22.45 Contreventements de structures en béton CCTB 01.04</w:t>
      </w:r>
      <w:bookmarkEnd w:id="915"/>
    </w:p>
    <w:p w14:paraId="138EE497" w14:textId="77777777" w:rsidR="00DB2B68" w:rsidRDefault="00000000">
      <w:pPr>
        <w:pStyle w:val="Author-eSectionHeading5Numberless"/>
      </w:pPr>
      <w:bookmarkStart w:id="916" w:name="_Toc220495963"/>
      <w:r>
        <w:t>22.45.1 Contreventements en acier CCTB 01.02</w:t>
      </w:r>
      <w:bookmarkEnd w:id="916"/>
    </w:p>
    <w:p w14:paraId="6BE433A5" w14:textId="77777777" w:rsidR="00DB2B68" w:rsidRDefault="00000000">
      <w:pPr>
        <w:pStyle w:val="Author-eSectionHeading6Numberless"/>
      </w:pPr>
      <w:bookmarkStart w:id="917" w:name="_Toc220495964"/>
      <w:r>
        <w:t>22.45.1a Contreventements par câbles en acier CCTB 01.04</w:t>
      </w:r>
      <w:bookmarkEnd w:id="917"/>
    </w:p>
    <w:p w14:paraId="2C9E2306" w14:textId="77777777" w:rsidR="00DB2B68" w:rsidRDefault="00000000">
      <w:pPr>
        <w:pStyle w:val="pheading"/>
      </w:pPr>
      <w:r>
        <w:lastRenderedPageBreak/>
        <w:t>DESCRIPTION</w:t>
      </w:r>
    </w:p>
    <w:p w14:paraId="49B26E2D" w14:textId="77777777" w:rsidR="00DB2B68" w:rsidRDefault="00000000">
      <w:pPr>
        <w:pStyle w:val="pheading"/>
      </w:pPr>
      <w:r>
        <w:t>- Définition / Comprend</w:t>
      </w:r>
    </w:p>
    <w:p w14:paraId="5D399BBF" w14:textId="77777777" w:rsidR="00DB2B68" w:rsidRDefault="00000000">
      <w:r>
        <w:t xml:space="preserve">Renvoi au § </w:t>
      </w:r>
      <w:hyperlink w:anchor="519" w:history="1">
        <w:r>
          <w:rPr>
            <w:color w:val="0000EE"/>
          </w:rPr>
          <w:t>23.46.1 Câbles en acier</w:t>
        </w:r>
      </w:hyperlink>
    </w:p>
    <w:p w14:paraId="0618E1B5" w14:textId="77777777" w:rsidR="00DB2B68" w:rsidRDefault="00000000">
      <w:pPr>
        <w:pStyle w:val="Author-eSectionHeading6Numberless"/>
      </w:pPr>
      <w:bookmarkStart w:id="918" w:name="_Toc220495965"/>
      <w:r>
        <w:t>22.45.1b Contreventements par barres en acier CCTB 01.04</w:t>
      </w:r>
      <w:bookmarkEnd w:id="918"/>
    </w:p>
    <w:p w14:paraId="03977EC6" w14:textId="77777777" w:rsidR="00DB2B68" w:rsidRDefault="00000000">
      <w:pPr>
        <w:pStyle w:val="pheading"/>
      </w:pPr>
      <w:r>
        <w:t>DESCRIPTION</w:t>
      </w:r>
    </w:p>
    <w:p w14:paraId="65E7373D" w14:textId="77777777" w:rsidR="00DB2B68" w:rsidRDefault="00000000">
      <w:pPr>
        <w:pStyle w:val="pheading"/>
      </w:pPr>
      <w:r>
        <w:t>- Définition / Comprend</w:t>
      </w:r>
    </w:p>
    <w:p w14:paraId="723EF9AC" w14:textId="77777777" w:rsidR="00DB2B68" w:rsidRDefault="00000000">
      <w:r>
        <w:t xml:space="preserve">Renvoi au </w:t>
      </w:r>
      <w:hyperlink w:anchor="520" w:history="1">
        <w:r>
          <w:rPr>
            <w:color w:val="0000EE"/>
          </w:rPr>
          <w:t>23.46.3 Barres en acier</w:t>
        </w:r>
      </w:hyperlink>
    </w:p>
    <w:p w14:paraId="74FD2581" w14:textId="77777777" w:rsidR="00DB2B68" w:rsidRDefault="00000000">
      <w:pPr>
        <w:pStyle w:val="Author-eSectionHeading4Numberless"/>
      </w:pPr>
      <w:bookmarkStart w:id="919" w:name="_Toc220495966"/>
      <w:r>
        <w:t>22.46 Eléments de soutènement en béton CCTB 01.11</w:t>
      </w:r>
      <w:bookmarkEnd w:id="919"/>
    </w:p>
    <w:p w14:paraId="2E94C6F7" w14:textId="77777777" w:rsidR="00DB2B68" w:rsidRDefault="00000000">
      <w:pPr>
        <w:pStyle w:val="pheading"/>
      </w:pPr>
      <w:bookmarkStart w:id="920" w:name="523"/>
      <w:bookmarkEnd w:id="920"/>
      <w:r>
        <w:t>DESCRIPTION</w:t>
      </w:r>
    </w:p>
    <w:p w14:paraId="1CA1CA60" w14:textId="77777777" w:rsidR="00DB2B68" w:rsidRDefault="00000000">
      <w:pPr>
        <w:pStyle w:val="pheading"/>
      </w:pPr>
      <w:r>
        <w:t>- Définition / Comprend</w:t>
      </w:r>
    </w:p>
    <w:p w14:paraId="05DD73C9" w14:textId="77777777" w:rsidR="00DB2B68" w:rsidRDefault="00000000">
      <w:pPr>
        <w:jc w:val="both"/>
      </w:pPr>
      <w:r>
        <w:t xml:space="preserve">Ce poste comprend tous les éléments, travaux et fournitures, en vue de la réalisation des éléments de soutènement en béton.  Conformément aux dispositions du cahier spécial des charges, les prix unitaires compris dans ce poste doivent toujours comprendre, soit selon la ventilation explicite du métré récapitulatif, soit dans leur totalité les éléments repris à la section </w:t>
      </w:r>
      <w:hyperlink w:anchor="87" w:history="1">
        <w:r>
          <w:rPr>
            <w:color w:val="0000EE"/>
          </w:rPr>
          <w:t>22 Superstructures en béton</w:t>
        </w:r>
      </w:hyperlink>
      <w:r>
        <w:t xml:space="preserve"> ainsi que :</w:t>
      </w:r>
    </w:p>
    <w:p w14:paraId="1BAF8E42" w14:textId="77777777" w:rsidR="00DB2B68" w:rsidRDefault="00000000">
      <w:pPr>
        <w:pStyle w:val="Author-eListParagraph"/>
        <w:numPr>
          <w:ilvl w:val="0"/>
          <w:numId w:val="635"/>
        </w:numPr>
      </w:pPr>
      <w:r>
        <w:t>le réglage et l’ancrage éventuel des éléments préfabriqués en ce compris les éventuels moyens de fixation et de support, les coupures thermiques et les joints de dilatation ;</w:t>
      </w:r>
      <w:r>
        <w:br/>
      </w:r>
    </w:p>
    <w:p w14:paraId="38F14235" w14:textId="77777777" w:rsidR="00DB2B68" w:rsidRDefault="00000000">
      <w:pPr>
        <w:jc w:val="both"/>
      </w:pPr>
      <w:r>
        <w:t xml:space="preserve">Les notes de calcul sont établies en conformité avec les modalités de la section </w:t>
      </w:r>
      <w:hyperlink w:anchor="87" w:history="1">
        <w:r>
          <w:rPr>
            <w:color w:val="0000EE"/>
          </w:rPr>
          <w:t>22 Superstructures en béton</w:t>
        </w:r>
      </w:hyperlink>
      <w:r>
        <w:t>.</w:t>
      </w:r>
    </w:p>
    <w:p w14:paraId="1A85C8FE" w14:textId="77777777" w:rsidR="00DB2B68" w:rsidRDefault="00000000">
      <w:pPr>
        <w:jc w:val="both"/>
      </w:pPr>
      <w:r>
        <w:t>Les produits visés sont destinés à faire partie de murs de soutènement pour des applications telles que :</w:t>
      </w:r>
    </w:p>
    <w:p w14:paraId="197C74AB" w14:textId="77777777" w:rsidR="00DB2B68" w:rsidRDefault="00000000">
      <w:pPr>
        <w:pStyle w:val="Author-eListParagraph"/>
        <w:numPr>
          <w:ilvl w:val="0"/>
          <w:numId w:val="636"/>
        </w:numPr>
      </w:pPr>
      <w:r>
        <w:t>soutènement d'excavations et de tranchées creusées dans un terrain naturel ;</w:t>
      </w:r>
    </w:p>
    <w:p w14:paraId="56948708" w14:textId="77777777" w:rsidR="00DB2B68" w:rsidRDefault="00000000">
      <w:pPr>
        <w:pStyle w:val="Author-eListParagraph"/>
        <w:numPr>
          <w:ilvl w:val="0"/>
          <w:numId w:val="636"/>
        </w:numPr>
      </w:pPr>
      <w:r>
        <w:t>soutènement de remblais de terre pour routes, plates-formes, etc ;</w:t>
      </w:r>
    </w:p>
    <w:p w14:paraId="1B0D1F9E" w14:textId="77777777" w:rsidR="00DB2B68" w:rsidRDefault="00000000">
      <w:pPr>
        <w:pStyle w:val="Author-eListParagraph"/>
        <w:numPr>
          <w:ilvl w:val="0"/>
          <w:numId w:val="636"/>
        </w:numPr>
      </w:pPr>
      <w:r>
        <w:t>culées de ponts et leurs murs en retour/murs en aile ;</w:t>
      </w:r>
    </w:p>
    <w:p w14:paraId="61829E7A" w14:textId="77777777" w:rsidR="00DB2B68" w:rsidRDefault="00000000">
      <w:pPr>
        <w:pStyle w:val="Author-eListParagraph"/>
        <w:numPr>
          <w:ilvl w:val="0"/>
          <w:numId w:val="636"/>
        </w:numPr>
      </w:pPr>
      <w:r>
        <w:t>soutènement de matériaux en vrac tels que sable, graviers etc.</w:t>
      </w:r>
    </w:p>
    <w:p w14:paraId="6B06A35B" w14:textId="77777777" w:rsidR="00DB2B68" w:rsidRDefault="00000000">
      <w:pPr>
        <w:jc w:val="both"/>
      </w:pPr>
      <w:r>
        <w:t>Les éléments de soutènement sont réalisés en béton coulé en place ou en béton préfabriqué. </w:t>
      </w:r>
    </w:p>
    <w:p w14:paraId="78B5CF9E" w14:textId="77777777" w:rsidR="00DB2B68" w:rsidRDefault="00000000">
      <w:pPr>
        <w:jc w:val="both"/>
      </w:pPr>
      <w:r>
        <w:t xml:space="preserve">L’étude et les plans d’exécution </w:t>
      </w:r>
      <w:r>
        <w:rPr>
          <w:rStyle w:val="optioncarChar"/>
        </w:rPr>
        <w:t>sont / ne sont pas</w:t>
      </w:r>
      <w:r>
        <w:t xml:space="preserve"> à charge de l’entreprise.</w:t>
      </w:r>
    </w:p>
    <w:p w14:paraId="71EAE073" w14:textId="77777777" w:rsidR="00DB2B68" w:rsidRDefault="00000000">
      <w:pPr>
        <w:pStyle w:val="pheading"/>
      </w:pPr>
      <w:r>
        <w:t>MATÉRIAUX</w:t>
      </w:r>
    </w:p>
    <w:p w14:paraId="5AB185F3" w14:textId="77777777" w:rsidR="00DB2B68" w:rsidRDefault="00000000">
      <w:r>
        <w:t xml:space="preserve">Il s’agit de béton armé conforme à la section </w:t>
      </w:r>
      <w:hyperlink w:anchor="87" w:history="1">
        <w:r>
          <w:rPr>
            <w:color w:val="0000EE"/>
          </w:rPr>
          <w:t>22 Superstructures en béton</w:t>
        </w:r>
      </w:hyperlink>
      <w:r>
        <w:t>.</w:t>
      </w:r>
    </w:p>
    <w:p w14:paraId="676CA3F3" w14:textId="77777777" w:rsidR="00DB2B68" w:rsidRDefault="00000000">
      <w:pPr>
        <w:pStyle w:val="Author-eSectionHeading5Numberless"/>
      </w:pPr>
      <w:bookmarkStart w:id="921" w:name="_Toc220495967"/>
      <w:r>
        <w:t>22.46.1 Eléments de soutènement en béton coulé en place CCTB 01.04</w:t>
      </w:r>
      <w:bookmarkEnd w:id="921"/>
    </w:p>
    <w:p w14:paraId="4DDA97F7" w14:textId="77777777" w:rsidR="00DB2B68" w:rsidRDefault="00000000">
      <w:pPr>
        <w:pStyle w:val="Author-eSectionHeading6Numberless"/>
      </w:pPr>
      <w:bookmarkStart w:id="922" w:name="_Toc220495968"/>
      <w:r>
        <w:t>22.46.1a Eléments de soutènement en L en béton coulé en place CCTB 01.04</w:t>
      </w:r>
      <w:bookmarkEnd w:id="922"/>
    </w:p>
    <w:p w14:paraId="5604ADC7" w14:textId="77777777" w:rsidR="00DB2B68" w:rsidRDefault="00000000">
      <w:pPr>
        <w:pStyle w:val="Author-eSectionHeading5Numberless"/>
      </w:pPr>
      <w:bookmarkStart w:id="923" w:name="_Toc220495969"/>
      <w:r>
        <w:t>22.46.2 Eléments de soutènement préfabriqués en béton armé CCTB 01.13</w:t>
      </w:r>
      <w:bookmarkEnd w:id="923"/>
    </w:p>
    <w:p w14:paraId="0C8B9D56" w14:textId="77777777" w:rsidR="00DB2B68" w:rsidRDefault="00000000">
      <w:pPr>
        <w:pStyle w:val="pheading"/>
      </w:pPr>
      <w:bookmarkStart w:id="924" w:name="521"/>
      <w:bookmarkEnd w:id="924"/>
      <w:r>
        <w:t>DESCRIPTION</w:t>
      </w:r>
    </w:p>
    <w:p w14:paraId="631FB140" w14:textId="77777777" w:rsidR="00DB2B68" w:rsidRDefault="00000000">
      <w:pPr>
        <w:pStyle w:val="pheading"/>
      </w:pPr>
      <w:r>
        <w:t>- Définition / Comprend</w:t>
      </w:r>
    </w:p>
    <w:p w14:paraId="51DFC941" w14:textId="77777777" w:rsidR="00DB2B68" w:rsidRDefault="00000000">
      <w:pPr>
        <w:jc w:val="both"/>
      </w:pPr>
      <w:r>
        <w:t>Il s’agit d’éléments de soutènement préfabriqués en béton armé pour des applications telles que décrites au sous-titre </w:t>
      </w:r>
      <w:hyperlink w:anchor="523" w:history="1">
        <w:r>
          <w:rPr>
            <w:color w:val="0000EE"/>
          </w:rPr>
          <w:t>22.46 Eléments de soutènement en béton</w:t>
        </w:r>
      </w:hyperlink>
      <w:r>
        <w:t>.</w:t>
      </w:r>
    </w:p>
    <w:p w14:paraId="113896C3" w14:textId="77777777" w:rsidR="00DB2B68" w:rsidRDefault="00000000">
      <w:pPr>
        <w:pStyle w:val="pheading"/>
      </w:pPr>
      <w:r>
        <w:t>MATÉRIAUX</w:t>
      </w:r>
    </w:p>
    <w:p w14:paraId="42FC69A4" w14:textId="77777777" w:rsidR="00DB2B68" w:rsidRDefault="00000000">
      <w:pPr>
        <w:jc w:val="both"/>
      </w:pPr>
      <w:r>
        <w:t>Les matériaux utilisés sont conformes à la [NBN EN 15258] et à la [NBN B 21-132].</w:t>
      </w:r>
    </w:p>
    <w:p w14:paraId="686D9842" w14:textId="77777777" w:rsidR="00DB2B68" w:rsidRDefault="00DB2B68">
      <w:pPr>
        <w:jc w:val="both"/>
      </w:pPr>
    </w:p>
    <w:p w14:paraId="4F771A74" w14:textId="77777777" w:rsidR="00DB2B68" w:rsidRDefault="00000000">
      <w:pPr>
        <w:jc w:val="both"/>
      </w:pPr>
      <w:r>
        <w:t>La qualité du béton selon la [NBN EN 206:2013+A2] et la [NBN B 15-001] est :</w:t>
      </w:r>
    </w:p>
    <w:p w14:paraId="273EC55C" w14:textId="77777777" w:rsidR="00DB2B68" w:rsidRDefault="00000000">
      <w:pPr>
        <w:jc w:val="both"/>
      </w:pPr>
      <w:r>
        <w:t xml:space="preserve">Classe de résistance minimale du béton : </w:t>
      </w:r>
      <w:r>
        <w:rPr>
          <w:rStyle w:val="optioncarChar"/>
        </w:rPr>
        <w:t>C30/37 </w:t>
      </w:r>
      <w:r>
        <w:t>(par défaut)</w:t>
      </w:r>
      <w:r>
        <w:rPr>
          <w:rStyle w:val="optioncarChar"/>
        </w:rPr>
        <w:t xml:space="preserve"> / ***</w:t>
      </w:r>
      <w:r>
        <w:t>.</w:t>
      </w:r>
    </w:p>
    <w:p w14:paraId="2E261F82" w14:textId="77777777" w:rsidR="00DB2B68" w:rsidRDefault="00000000">
      <w:pPr>
        <w:jc w:val="both"/>
      </w:pPr>
      <w:r>
        <w:t xml:space="preserve">Classe minimale d’environnement : </w:t>
      </w:r>
      <w:r>
        <w:rPr>
          <w:rStyle w:val="optioncarChar"/>
        </w:rPr>
        <w:t>EE3 </w:t>
      </w:r>
      <w:r>
        <w:t>(par défaut)</w:t>
      </w:r>
      <w:r>
        <w:rPr>
          <w:rStyle w:val="optioncarChar"/>
        </w:rPr>
        <w:t xml:space="preserve"> / ***</w:t>
      </w:r>
      <w:r>
        <w:t>.</w:t>
      </w:r>
    </w:p>
    <w:p w14:paraId="079383D7" w14:textId="77777777" w:rsidR="00DB2B68" w:rsidRDefault="00DB2B68">
      <w:pPr>
        <w:jc w:val="both"/>
      </w:pPr>
    </w:p>
    <w:p w14:paraId="413578C4" w14:textId="77777777" w:rsidR="00DB2B68" w:rsidRDefault="00000000">
      <w:pPr>
        <w:jc w:val="both"/>
      </w:pPr>
      <w:r>
        <w:t xml:space="preserve">Les éléments sont préfabriqués </w:t>
      </w:r>
      <w:r>
        <w:rPr>
          <w:rStyle w:val="optioncarChar"/>
        </w:rPr>
        <w:t xml:space="preserve">pour mur cantilever avec semelle (pied) </w:t>
      </w:r>
      <w:r>
        <w:t xml:space="preserve">(par défaut) </w:t>
      </w:r>
      <w:r>
        <w:rPr>
          <w:rStyle w:val="optioncarChar"/>
        </w:rPr>
        <w:t>/ pour mur cantilever avec semelle coulée en place / pour mur cantilever avec talon (préfabriqué) / ***</w:t>
      </w:r>
    </w:p>
    <w:p w14:paraId="3B66D0BE" w14:textId="77777777" w:rsidR="00DB2B68" w:rsidRDefault="00000000">
      <w:pPr>
        <w:jc w:val="both"/>
      </w:pPr>
      <w:r>
        <w:rPr>
          <w:b/>
          <w:i/>
        </w:rPr>
        <w:t>(soit par défaut)</w:t>
      </w:r>
    </w:p>
    <w:p w14:paraId="7262E52F" w14:textId="77777777" w:rsidR="00DB2B68" w:rsidRDefault="00000000">
      <w:pPr>
        <w:jc w:val="both"/>
      </w:pPr>
      <w:r>
        <w:rPr>
          <w:rStyle w:val="soitChar"/>
        </w:rPr>
        <w:t xml:space="preserve">préfabriqués pour mur cantilever </w:t>
      </w:r>
      <w:r>
        <w:rPr>
          <w:rStyle w:val="soitChar"/>
          <w:u w:val="single"/>
        </w:rPr>
        <w:t>avec semelle (pied</w:t>
      </w:r>
      <w:r>
        <w:rPr>
          <w:rStyle w:val="soitChar"/>
        </w:rPr>
        <w:t>), c.-à-d. des éléments de soutènement en L ;</w:t>
      </w:r>
    </w:p>
    <w:p w14:paraId="56FF25F2" w14:textId="77777777" w:rsidR="00DB2B68" w:rsidRDefault="00000000">
      <w:pPr>
        <w:jc w:val="both"/>
      </w:pPr>
      <w:r>
        <w:rPr>
          <w:b/>
          <w:i/>
        </w:rPr>
        <w:t>(soit)</w:t>
      </w:r>
    </w:p>
    <w:p w14:paraId="155FA815" w14:textId="77777777" w:rsidR="00DB2B68" w:rsidRDefault="00000000">
      <w:pPr>
        <w:jc w:val="both"/>
      </w:pPr>
      <w:r>
        <w:rPr>
          <w:rStyle w:val="soitChar"/>
        </w:rPr>
        <w:t xml:space="preserve">préfabriqués pour mur cantilever </w:t>
      </w:r>
      <w:r>
        <w:rPr>
          <w:rStyle w:val="soitChar"/>
          <w:u w:val="single"/>
        </w:rPr>
        <w:t>avec semelle coulée en place</w:t>
      </w:r>
      <w:r>
        <w:rPr>
          <w:rStyle w:val="soitChar"/>
        </w:rPr>
        <w:t xml:space="preserve"> ;</w:t>
      </w:r>
    </w:p>
    <w:p w14:paraId="11BFE813" w14:textId="77777777" w:rsidR="00DB2B68" w:rsidRDefault="00000000">
      <w:pPr>
        <w:jc w:val="both"/>
      </w:pPr>
      <w:r>
        <w:rPr>
          <w:b/>
          <w:i/>
        </w:rPr>
        <w:t>(soit)</w:t>
      </w:r>
    </w:p>
    <w:p w14:paraId="0A36EE75" w14:textId="77777777" w:rsidR="00DB2B68" w:rsidRDefault="00000000">
      <w:pPr>
        <w:jc w:val="both"/>
      </w:pPr>
      <w:r>
        <w:rPr>
          <w:rStyle w:val="soitChar"/>
        </w:rPr>
        <w:t xml:space="preserve">préfabriqués pour mur cantilever </w:t>
      </w:r>
      <w:r>
        <w:rPr>
          <w:rStyle w:val="soitChar"/>
          <w:u w:val="single"/>
        </w:rPr>
        <w:t>avec talon (préfabriqué)</w:t>
      </w:r>
      <w:r>
        <w:rPr>
          <w:rStyle w:val="soitChar"/>
        </w:rPr>
        <w:t> ;</w:t>
      </w:r>
    </w:p>
    <w:p w14:paraId="7866B1E7" w14:textId="77777777" w:rsidR="00DB2B68" w:rsidRDefault="00000000">
      <w:pPr>
        <w:jc w:val="both"/>
      </w:pPr>
      <w:r>
        <w:rPr>
          <w:b/>
        </w:rPr>
        <w:t>(soit)</w:t>
      </w:r>
    </w:p>
    <w:p w14:paraId="16C3DBFD" w14:textId="77777777" w:rsidR="00DB2B68" w:rsidRDefault="00000000">
      <w:pPr>
        <w:jc w:val="both"/>
      </w:pPr>
      <w:r>
        <w:rPr>
          <w:rStyle w:val="optioncarChar"/>
        </w:rPr>
        <w:t>***</w:t>
      </w:r>
    </w:p>
    <w:p w14:paraId="72DB3021" w14:textId="77777777" w:rsidR="00DB2B68" w:rsidRDefault="00000000">
      <w:pPr>
        <w:jc w:val="both"/>
      </w:pPr>
      <w:r>
        <w:t>Le béton de toute semelle éventuellement coulée en place (étude et réalisation) ne fait pas partie de ce poste.</w:t>
      </w:r>
    </w:p>
    <w:p w14:paraId="5DD25D2B" w14:textId="77777777" w:rsidR="00DB2B68" w:rsidRDefault="00000000">
      <w:pPr>
        <w:jc w:val="both"/>
      </w:pPr>
      <w:r>
        <w:t xml:space="preserve">La classe d’étanchéité des éléments en béton définie selon la [NBN EN 1992-3 ANB] sera la suivante : </w:t>
      </w:r>
      <w:r>
        <w:rPr>
          <w:rStyle w:val="optioncarChar"/>
        </w:rPr>
        <w:t>classe 0</w:t>
      </w:r>
      <w:r>
        <w:t xml:space="preserve"> (par défaut) </w:t>
      </w:r>
      <w:r>
        <w:rPr>
          <w:rStyle w:val="optioncarChar"/>
        </w:rPr>
        <w:t>/ classe 1 / classe 2 / classe 3</w:t>
      </w:r>
      <w:r>
        <w:t>.  Pour les classes d’étanchéité 1,2 et 3, les recommandations de la [NIT 247] et [NIT 250] sont également d’application.</w:t>
      </w:r>
    </w:p>
    <w:p w14:paraId="6A4D2C23" w14:textId="77777777" w:rsidR="00DB2B68" w:rsidRDefault="00000000">
      <w:pPr>
        <w:pStyle w:val="pheading"/>
      </w:pPr>
      <w:r>
        <w:t>EXÉCUTION / MISE EN ŒUVRE</w:t>
      </w:r>
    </w:p>
    <w:p w14:paraId="2DA31BAC" w14:textId="77777777" w:rsidR="00DB2B68" w:rsidRDefault="00000000">
      <w:pPr>
        <w:jc w:val="both"/>
      </w:pPr>
      <w:r>
        <w:t>Les éléments de murs doivent être érigés en utilisant des étais provisoires ou tout dispositif requis par les spécifications techniques afin d'assurer leur propre résistance et stabilité au cours des phases provisoires et afin de garantir des conditions de travail en sécurité.</w:t>
      </w:r>
    </w:p>
    <w:p w14:paraId="656970F8" w14:textId="77777777" w:rsidR="00DB2B68" w:rsidRDefault="00000000">
      <w:pPr>
        <w:jc w:val="both"/>
      </w:pPr>
      <w:r>
        <w:t>Les remblais sont réalisés conformément au titre 11.3 Remblais et travaux connexes.</w:t>
      </w:r>
    </w:p>
    <w:p w14:paraId="191FD1FB" w14:textId="77777777" w:rsidR="00DB2B68" w:rsidRDefault="00000000">
      <w:pPr>
        <w:pStyle w:val="pheading"/>
      </w:pPr>
      <w:r>
        <w:t>DOCUMENTS DE RÉFÉRENCE</w:t>
      </w:r>
    </w:p>
    <w:p w14:paraId="74C755A2" w14:textId="77777777" w:rsidR="00DB2B68" w:rsidRDefault="00000000">
      <w:pPr>
        <w:pStyle w:val="pheading"/>
      </w:pPr>
      <w:r>
        <w:t>- Matériau</w:t>
      </w:r>
    </w:p>
    <w:p w14:paraId="1E2D24AF" w14:textId="77777777" w:rsidR="00DB2B68" w:rsidRDefault="00000000">
      <w:r>
        <w:t>[NBN EN 13369, Règles communes pour les produits préfabriqués en béton]</w:t>
      </w:r>
    </w:p>
    <w:p w14:paraId="44E518BA" w14:textId="77777777" w:rsidR="00DB2B68" w:rsidRDefault="00000000">
      <w:r>
        <w:t>[NBN B 21-600, Règles communes pour les produits préfabriqués en béton - Complément national à la NBN EN 13369:2004+A1:2006+AC:2006]</w:t>
      </w:r>
    </w:p>
    <w:p w14:paraId="23F27888" w14:textId="77777777" w:rsidR="00DB2B68" w:rsidRDefault="00000000">
      <w:r>
        <w:t>[NBN EN 15258, Produits préfabriqués en béton - Éléments de murs de soutènement]</w:t>
      </w:r>
    </w:p>
    <w:p w14:paraId="2806AE88" w14:textId="77777777" w:rsidR="00DB2B68" w:rsidRDefault="00000000">
      <w:r>
        <w:t>[NBN B 21-132, Produits préfabriqués en béton - Eléments de murs de soutènement - Complément national à la NBN EN 15258:2009]</w:t>
      </w:r>
    </w:p>
    <w:p w14:paraId="236268EE" w14:textId="77777777" w:rsidR="00DB2B68" w:rsidRDefault="00000000">
      <w:r>
        <w:t>[NBN EN 1992-3, Eurocode 2 - Calcul des structures en béton - Partie 3: Silos et réservoirs]</w:t>
      </w:r>
    </w:p>
    <w:p w14:paraId="11603DEB" w14:textId="77777777" w:rsidR="00DB2B68" w:rsidRDefault="00000000">
      <w:r>
        <w:t>[NBN EN 1992-3 ANB, Eurocode 2 - Calcul des structures en béton - Partie 3 : Silos et réservoirs - Annexe nationale]</w:t>
      </w:r>
    </w:p>
    <w:p w14:paraId="3434107A" w14:textId="77777777" w:rsidR="00DB2B68" w:rsidRDefault="00000000">
      <w:pPr>
        <w:pStyle w:val="pheading"/>
      </w:pPr>
      <w:r>
        <w:t>- Exécution</w:t>
      </w:r>
    </w:p>
    <w:p w14:paraId="4C68E353" w14:textId="77777777" w:rsidR="00DB2B68" w:rsidRDefault="00000000">
      <w:r>
        <w:t>[NIT 247, Conception et exécution des ouvrages étanches en béton]</w:t>
      </w:r>
    </w:p>
    <w:p w14:paraId="6EE5BA2C" w14:textId="77777777" w:rsidR="00DB2B68" w:rsidRDefault="00000000">
      <w:r>
        <w:t>[NIT 250, Détails de référence pour les constructions enterrées]</w:t>
      </w:r>
    </w:p>
    <w:p w14:paraId="7E240DB6" w14:textId="77777777" w:rsidR="00DB2B68" w:rsidRDefault="00000000">
      <w:pPr>
        <w:pStyle w:val="Author-eSectionHeading6Numberless"/>
      </w:pPr>
      <w:bookmarkStart w:id="925" w:name="_Toc220495970"/>
      <w:r>
        <w:t>22.46.2a Eléments de soutènement en L préfabriqués en béton armé CCTB 01.11</w:t>
      </w:r>
      <w:bookmarkEnd w:id="925"/>
    </w:p>
    <w:p w14:paraId="482EF654" w14:textId="77777777" w:rsidR="00DB2B68" w:rsidRDefault="00000000">
      <w:pPr>
        <w:pStyle w:val="pheading"/>
      </w:pPr>
      <w:r>
        <w:t>DESCRIPTION</w:t>
      </w:r>
    </w:p>
    <w:p w14:paraId="4CACCE0E" w14:textId="77777777" w:rsidR="00DB2B68" w:rsidRDefault="00000000">
      <w:pPr>
        <w:pStyle w:val="pheading"/>
      </w:pPr>
      <w:r>
        <w:lastRenderedPageBreak/>
        <w:t>- Définition / Comprend</w:t>
      </w:r>
    </w:p>
    <w:p w14:paraId="1C69CB40" w14:textId="77777777" w:rsidR="00DB2B68" w:rsidRDefault="00000000">
      <w:pPr>
        <w:jc w:val="both"/>
      </w:pPr>
      <w:r>
        <w:t xml:space="preserve">Cet article vise la fourniture et la pose d’éléments de soutènement en L en béton armé, préfabriqués en usine et assemblés sur chantier.  La portée des travaux est décrite dans l’élément </w:t>
      </w:r>
      <w:hyperlink w:anchor="521" w:history="1">
        <w:r>
          <w:rPr>
            <w:color w:val="0000EE"/>
          </w:rPr>
          <w:t>22.46.2 Eléments de soutènement préfabriqués en béton armé</w:t>
        </w:r>
      </w:hyperlink>
      <w:r>
        <w:t>.</w:t>
      </w:r>
    </w:p>
    <w:p w14:paraId="21A719C3" w14:textId="77777777" w:rsidR="00DB2B68" w:rsidRDefault="00000000">
      <w:pPr>
        <w:pStyle w:val="pheading"/>
      </w:pPr>
      <w:r>
        <w:t>- Localisation</w:t>
      </w:r>
    </w:p>
    <w:p w14:paraId="22941A92" w14:textId="77777777" w:rsidR="00DB2B68" w:rsidRDefault="00000000">
      <w:r>
        <w:t>Le pose est réalisée aux endroits suivants :</w:t>
      </w:r>
      <w:r>
        <w:rPr>
          <w:rStyle w:val="optioncarChar"/>
        </w:rPr>
        <w:t xml:space="preserve"> ***</w:t>
      </w:r>
    </w:p>
    <w:p w14:paraId="26CC0684" w14:textId="77777777" w:rsidR="00DB2B68" w:rsidRDefault="00000000">
      <w:r>
        <w:t>Voir plans et métrés détaillés.</w:t>
      </w:r>
    </w:p>
    <w:p w14:paraId="7C22C79F" w14:textId="77777777" w:rsidR="00DB2B68" w:rsidRDefault="00000000">
      <w:pPr>
        <w:pStyle w:val="pheading"/>
      </w:pPr>
      <w:r>
        <w:t>MATÉRIAUX</w:t>
      </w:r>
    </w:p>
    <w:p w14:paraId="5D511E83" w14:textId="77777777" w:rsidR="00DB2B68" w:rsidRDefault="00000000">
      <w:pPr>
        <w:pStyle w:val="pheading"/>
      </w:pPr>
      <w:r>
        <w:t>- Caractéristiques générales</w:t>
      </w:r>
    </w:p>
    <w:p w14:paraId="0C0C7C42" w14:textId="77777777" w:rsidR="00DB2B68" w:rsidRDefault="00000000">
      <w:pPr>
        <w:jc w:val="both"/>
      </w:pPr>
      <w:r>
        <w:t>Il s’agit d’éléments de soutènement en L en béton armé, préfabriqués conformes aux normes [NBN EN 15258] et [NBN B 21-132], pour les éléments utilisés dans le domaine de l’agriculture, le [PTV 21-620] s’applique en plus.</w:t>
      </w:r>
    </w:p>
    <w:p w14:paraId="56079C55" w14:textId="77777777" w:rsidR="00DB2B68" w:rsidRDefault="00000000">
      <w:pPr>
        <w:jc w:val="both"/>
      </w:pPr>
      <w:r>
        <w:t>Si l’étude en démontre la nécessité, les éléments sont réalisés avec raidisseur à l’arrière du voile vertical et intègrent un gousset de renforcement à l’endroit de la connexion entre la face verticale et le pied.</w:t>
      </w:r>
    </w:p>
    <w:p w14:paraId="7D055718" w14:textId="77777777" w:rsidR="00DB2B68" w:rsidRDefault="00000000">
      <w:pPr>
        <w:jc w:val="both"/>
      </w:pPr>
      <w:r>
        <w:t>Les armatures transversales principales et secondaires de l’élément de mur, ainsi que celles utilisées pour le levage, doivent être capables de résister aux chargements prévus au cours des situations transitoires. Dans ces situations transitoires, des étais provisoires ou des dispositifs d'étaiement assurant la sécurité et adaptés au produit, doivent être utilisés, si nécessaire, pour à la fois maintenir les éléments préfabriqués en position adéquate et selon un profil adéquat et réduire les effets des chargements.</w:t>
      </w:r>
    </w:p>
    <w:p w14:paraId="50EB3B57" w14:textId="77777777" w:rsidR="00DB2B68" w:rsidRDefault="00000000">
      <w:pPr>
        <w:jc w:val="both"/>
      </w:pPr>
      <w:r>
        <w:t>Dimensions :</w:t>
      </w:r>
    </w:p>
    <w:p w14:paraId="6B5049C0" w14:textId="77777777" w:rsidR="00DB2B68" w:rsidRDefault="00000000">
      <w:pPr>
        <w:pStyle w:val="Author-eListParagraph"/>
        <w:numPr>
          <w:ilvl w:val="0"/>
          <w:numId w:val="637"/>
        </w:numPr>
      </w:pPr>
      <w:r>
        <w:t xml:space="preserve">Hauteur : </w:t>
      </w:r>
      <w:r>
        <w:rPr>
          <w:rStyle w:val="optioncarChar"/>
        </w:rPr>
        <w:t>***</w:t>
      </w:r>
      <w:r>
        <w:t xml:space="preserve"> cm</w:t>
      </w:r>
    </w:p>
    <w:p w14:paraId="022A4018" w14:textId="77777777" w:rsidR="00DB2B68" w:rsidRDefault="00000000">
      <w:pPr>
        <w:pStyle w:val="Author-eListParagraph"/>
        <w:numPr>
          <w:ilvl w:val="0"/>
          <w:numId w:val="637"/>
        </w:numPr>
      </w:pPr>
      <w:r>
        <w:t xml:space="preserve">Epaisseur du voile : </w:t>
      </w:r>
      <w:r>
        <w:rPr>
          <w:rStyle w:val="optioncarChar"/>
        </w:rPr>
        <w:t>en fonction des résultats de l’étude de stabilité</w:t>
      </w:r>
      <w:r>
        <w:t xml:space="preserve"> (par défaut) </w:t>
      </w:r>
      <w:r>
        <w:rPr>
          <w:rStyle w:val="optioncarChar"/>
        </w:rPr>
        <w:t>/ *** cm</w:t>
      </w:r>
    </w:p>
    <w:p w14:paraId="29E97737" w14:textId="77777777" w:rsidR="00DB2B68" w:rsidRDefault="00000000">
      <w:pPr>
        <w:pStyle w:val="Author-eListParagraph"/>
        <w:numPr>
          <w:ilvl w:val="0"/>
          <w:numId w:val="637"/>
        </w:numPr>
      </w:pPr>
      <w:r>
        <w:t xml:space="preserve">Epaisseur du pied : </w:t>
      </w:r>
      <w:r>
        <w:rPr>
          <w:rStyle w:val="optioncarChar"/>
        </w:rPr>
        <w:t>en fonction des résultats de l’étude de stabilité</w:t>
      </w:r>
      <w:r>
        <w:t xml:space="preserve"> (par défaut) </w:t>
      </w:r>
      <w:r>
        <w:rPr>
          <w:rStyle w:val="optioncarChar"/>
        </w:rPr>
        <w:t>/ *** cm.</w:t>
      </w:r>
    </w:p>
    <w:p w14:paraId="7C8F500C" w14:textId="77777777" w:rsidR="00DB2B68" w:rsidRDefault="00000000">
      <w:pPr>
        <w:jc w:val="both"/>
      </w:pPr>
      <w:r>
        <w:t xml:space="preserve">L’épaisseur des éléments sera : </w:t>
      </w:r>
      <w:r>
        <w:rPr>
          <w:rStyle w:val="optioncarChar"/>
        </w:rPr>
        <w:t>constante</w:t>
      </w:r>
      <w:r>
        <w:t xml:space="preserve"> (par défaut) / </w:t>
      </w:r>
      <w:r>
        <w:rPr>
          <w:rStyle w:val="optioncarChar"/>
        </w:rPr>
        <w:t>variable</w:t>
      </w:r>
      <w:r>
        <w:t>.</w:t>
      </w:r>
    </w:p>
    <w:p w14:paraId="20FECFC0" w14:textId="77777777" w:rsidR="00DB2B68" w:rsidRDefault="00000000">
      <w:pPr>
        <w:jc w:val="both"/>
      </w:pPr>
      <w:r>
        <w:t> </w:t>
      </w:r>
    </w:p>
    <w:p w14:paraId="6A74C819" w14:textId="77777777" w:rsidR="00DB2B68" w:rsidRDefault="00000000">
      <w:pPr>
        <w:pStyle w:val="pheading"/>
      </w:pPr>
      <w:r>
        <w:t>- Finitions</w:t>
      </w:r>
    </w:p>
    <w:p w14:paraId="1D2D4EA3" w14:textId="77777777" w:rsidR="00DB2B68" w:rsidRDefault="00000000">
      <w:pPr>
        <w:jc w:val="both"/>
      </w:pPr>
      <w:r>
        <w:t xml:space="preserve">La finition des faces intérieures (côté pied) des éléments est : </w:t>
      </w:r>
      <w:r>
        <w:rPr>
          <w:rStyle w:val="optioncarChar"/>
        </w:rPr>
        <w:t xml:space="preserve">lissée à la taloche </w:t>
      </w:r>
      <w:r>
        <w:t>(par défaut)</w:t>
      </w:r>
      <w:r>
        <w:rPr>
          <w:rStyle w:val="optioncarChar"/>
        </w:rPr>
        <w:t xml:space="preserve"> / brute et lisse / ***</w:t>
      </w:r>
      <w:r>
        <w:t>.</w:t>
      </w:r>
    </w:p>
    <w:p w14:paraId="6E2E77BD" w14:textId="77777777" w:rsidR="00DB2B68" w:rsidRDefault="00000000">
      <w:pPr>
        <w:jc w:val="both"/>
      </w:pPr>
      <w:r>
        <w:t>La finition des faces extérieures (visibles) des éléments est :</w:t>
      </w:r>
      <w:r>
        <w:rPr>
          <w:rStyle w:val="optioncarChar"/>
        </w:rPr>
        <w:t xml:space="preserve"> brute et lisse </w:t>
      </w:r>
      <w:r>
        <w:t xml:space="preserve">(par défaut) </w:t>
      </w:r>
      <w:r>
        <w:rPr>
          <w:rStyle w:val="optioncarChar"/>
        </w:rPr>
        <w:t>/ ***</w:t>
      </w:r>
      <w:r>
        <w:t>.</w:t>
      </w:r>
    </w:p>
    <w:p w14:paraId="07B4742A" w14:textId="77777777" w:rsidR="00DB2B68" w:rsidRDefault="00000000">
      <w:pPr>
        <w:jc w:val="both"/>
      </w:pPr>
      <w:r>
        <w:t xml:space="preserve">Le joint vertical entre les éléments préfabriqués est : </w:t>
      </w:r>
      <w:r>
        <w:rPr>
          <w:rStyle w:val="optioncarChar"/>
        </w:rPr>
        <w:t xml:space="preserve">vide </w:t>
      </w:r>
      <w:r>
        <w:t>(par défaut)</w:t>
      </w:r>
      <w:r>
        <w:rPr>
          <w:rStyle w:val="optioncarChar"/>
        </w:rPr>
        <w:t xml:space="preserve"> / rempli par un joint souple / muni d’un dispositif d’étanchéité / ***</w:t>
      </w:r>
      <w:r>
        <w:t>.</w:t>
      </w:r>
    </w:p>
    <w:p w14:paraId="30D93551" w14:textId="77777777" w:rsidR="00DB2B68" w:rsidRDefault="00000000">
      <w:pPr>
        <w:jc w:val="both"/>
      </w:pPr>
      <w:r>
        <w:t xml:space="preserve">Les arêtes de la face visible sont : </w:t>
      </w:r>
      <w:r>
        <w:rPr>
          <w:rStyle w:val="optioncarChar"/>
        </w:rPr>
        <w:t>droites</w:t>
      </w:r>
      <w:r>
        <w:t> (par défaut)</w:t>
      </w:r>
      <w:r>
        <w:rPr>
          <w:rStyle w:val="optioncarChar"/>
        </w:rPr>
        <w:t xml:space="preserve"> / munies de chanfreins / ***</w:t>
      </w:r>
      <w:r>
        <w:t>.</w:t>
      </w:r>
    </w:p>
    <w:p w14:paraId="17DF37E6" w14:textId="77777777" w:rsidR="00DB2B68" w:rsidRDefault="00000000">
      <w:pPr>
        <w:jc w:val="both"/>
      </w:pPr>
      <w:r>
        <w:t xml:space="preserve">La tête de l’élément préfabriqué est : </w:t>
      </w:r>
      <w:r>
        <w:rPr>
          <w:rStyle w:val="optioncarChar"/>
        </w:rPr>
        <w:t xml:space="preserve">droite </w:t>
      </w:r>
      <w:r>
        <w:t>(par défaut)</w:t>
      </w:r>
      <w:r>
        <w:rPr>
          <w:rStyle w:val="optioncarChar"/>
        </w:rPr>
        <w:t xml:space="preserve"> / arrondie / ***</w:t>
      </w:r>
      <w:r>
        <w:t>.</w:t>
      </w:r>
    </w:p>
    <w:p w14:paraId="6970335E" w14:textId="77777777" w:rsidR="00DB2B68" w:rsidRDefault="00000000">
      <w:pPr>
        <w:pStyle w:val="pheading"/>
      </w:pPr>
      <w:r>
        <w:t>EXÉCUTION / MISE EN ŒUVRE</w:t>
      </w:r>
    </w:p>
    <w:p w14:paraId="106F7B90" w14:textId="77777777" w:rsidR="00DB2B68" w:rsidRDefault="00000000">
      <w:pPr>
        <w:pStyle w:val="pheading"/>
      </w:pPr>
      <w:r>
        <w:t>- Prescriptions générales</w:t>
      </w:r>
    </w:p>
    <w:p w14:paraId="1FE3F1B2" w14:textId="77777777" w:rsidR="00DB2B68" w:rsidRDefault="00000000">
      <w:pPr>
        <w:jc w:val="both"/>
      </w:pPr>
      <w:r>
        <w:t>La liaison entre éléments se fait par :</w:t>
      </w:r>
      <w:r>
        <w:rPr>
          <w:rStyle w:val="optioncarChar"/>
        </w:rPr>
        <w:t xml:space="preserve"> emboîtement latéral / tiges filetées / faces plates </w:t>
      </w:r>
      <w:r>
        <w:t>(par défaut)</w:t>
      </w:r>
      <w:r>
        <w:rPr>
          <w:rStyle w:val="optioncarChar"/>
        </w:rPr>
        <w:t xml:space="preserve"> / ***</w:t>
      </w:r>
      <w:r>
        <w:t>.</w:t>
      </w:r>
    </w:p>
    <w:p w14:paraId="06BBFDDA" w14:textId="77777777" w:rsidR="00DB2B68" w:rsidRDefault="00000000">
      <w:pPr>
        <w:jc w:val="both"/>
      </w:pPr>
      <w:r>
        <w:t>Les éléments sont pourvus d’un système de levage. </w:t>
      </w:r>
    </w:p>
    <w:p w14:paraId="750652E8" w14:textId="77777777" w:rsidR="00DB2B68" w:rsidRDefault="00000000">
      <w:pPr>
        <w:jc w:val="both"/>
      </w:pPr>
      <w:r>
        <w:t>Le mur de soutènement est créé en plaçant côte à côte les éléments préfabriqués.</w:t>
      </w:r>
    </w:p>
    <w:p w14:paraId="0EA78FC3" w14:textId="77777777" w:rsidR="00DB2B68" w:rsidRDefault="00000000">
      <w:pPr>
        <w:jc w:val="both"/>
      </w:pPr>
      <w:r>
        <w:t xml:space="preserve">Ces éléments de soutènement sont posés sur une assise en sable stabilisé (min 100 kg de ciment /m³ de mélange compacté) ou en béton maigre (min 100 kg de ciment /m³ de mélange compacté) </w:t>
      </w:r>
      <w:r>
        <w:lastRenderedPageBreak/>
        <w:t>compacté.  Cette assise doit être bien plane et au moins aussi large que le pied des éléments en question.</w:t>
      </w:r>
    </w:p>
    <w:p w14:paraId="4D42DA85" w14:textId="77777777" w:rsidR="00DB2B68" w:rsidRDefault="00000000">
      <w:pPr>
        <w:jc w:val="both"/>
      </w:pPr>
      <w:r>
        <w:t>Au surplus, les éléments sont placés au mortier plastique, ce qui permet de corriger les légères irrégularités de la semelle de fondation.</w:t>
      </w:r>
    </w:p>
    <w:p w14:paraId="18C60061" w14:textId="77777777" w:rsidR="00DB2B68" w:rsidRDefault="00000000">
      <w:pPr>
        <w:jc w:val="both"/>
      </w:pPr>
      <w:r>
        <w:t>Si la capacité portante du sol est suffisante, cette semelle de fondation, à comprendre au présent article, aura une épaisseur de minimum 15 cm et ne devra pas être armée.</w:t>
      </w:r>
    </w:p>
    <w:p w14:paraId="7F093777" w14:textId="77777777" w:rsidR="00DB2B68" w:rsidRDefault="00000000">
      <w:pPr>
        <w:jc w:val="both"/>
      </w:pPr>
      <w:r>
        <w:t>Dans le cas où la capacité portante du sol est insuffisante, il y a lieu de prévoir une semelle armée dont les dimensions sont à étudier suivant les résultats d'essais de sol. Cette semelle est comptée séparément (voir élément 12.3 Semelles de fondation)</w:t>
      </w:r>
    </w:p>
    <w:p w14:paraId="1FA1D335" w14:textId="77777777" w:rsidR="00DB2B68" w:rsidRDefault="00000000">
      <w:pPr>
        <w:pStyle w:val="pheading"/>
      </w:pPr>
      <w:r>
        <w:t>DOCUMENTS DE RÉFÉRENCE COMPLÉMENTAIRES</w:t>
      </w:r>
    </w:p>
    <w:p w14:paraId="1E305F37" w14:textId="77777777" w:rsidR="00DB2B68" w:rsidRDefault="00000000">
      <w:pPr>
        <w:pStyle w:val="pheading"/>
      </w:pPr>
      <w:r>
        <w:t>- Matériau</w:t>
      </w:r>
    </w:p>
    <w:p w14:paraId="40C174FB" w14:textId="77777777" w:rsidR="00DB2B68" w:rsidRDefault="00000000">
      <w:r>
        <w:t>[NBN EN 15258, Produits préfabriqués en béton - Éléments de murs de soutènement]</w:t>
      </w:r>
    </w:p>
    <w:p w14:paraId="58B19D45" w14:textId="77777777" w:rsidR="00DB2B68" w:rsidRDefault="00000000">
      <w:r>
        <w:t>[NBN B 21-132, Produits préfabriqués en béton - Eléments de murs de soutènement - Complément national à la NBN EN 15258:2009]</w:t>
      </w:r>
    </w:p>
    <w:p w14:paraId="30EB42F9" w14:textId="77777777" w:rsidR="00DB2B68" w:rsidRDefault="00000000">
      <w:r>
        <w:t>[PTV 21-620, Produits préfabriqués en béton du secteur agricole]</w:t>
      </w:r>
    </w:p>
    <w:p w14:paraId="4C751B4E" w14:textId="77777777" w:rsidR="00DB2B68" w:rsidRDefault="00000000">
      <w:pPr>
        <w:pStyle w:val="pheading"/>
      </w:pPr>
      <w:r>
        <w:t>MESURAGE</w:t>
      </w:r>
    </w:p>
    <w:p w14:paraId="43A558CD" w14:textId="77777777" w:rsidR="00DB2B68" w:rsidRDefault="00000000">
      <w:pPr>
        <w:pStyle w:val="pheading"/>
      </w:pPr>
      <w:r>
        <w:t>- unité de mesure:</w:t>
      </w:r>
    </w:p>
    <w:p w14:paraId="394C85AB" w14:textId="77777777" w:rsidR="00DB2B68" w:rsidRDefault="00000000">
      <w:r>
        <w:rPr>
          <w:rStyle w:val="optioncarChar"/>
        </w:rPr>
        <w:t xml:space="preserve">m </w:t>
      </w:r>
      <w:r>
        <w:t xml:space="preserve">(par défaut) </w:t>
      </w:r>
      <w:r>
        <w:rPr>
          <w:rStyle w:val="optioncarChar"/>
        </w:rPr>
        <w:t>/ m² / pc</w:t>
      </w:r>
    </w:p>
    <w:p w14:paraId="47B0B8C1" w14:textId="77777777" w:rsidR="00DB2B68" w:rsidRDefault="00000000">
      <w:r>
        <w:rPr>
          <w:b/>
          <w:i/>
        </w:rPr>
        <w:t>(Soit par défaut)</w:t>
      </w:r>
    </w:p>
    <w:p w14:paraId="61AC9077" w14:textId="77777777" w:rsidR="00DB2B68" w:rsidRDefault="00000000">
      <w:r>
        <w:rPr>
          <w:rStyle w:val="soitChar"/>
        </w:rPr>
        <w:t>1. m</w:t>
      </w:r>
    </w:p>
    <w:p w14:paraId="342F0298" w14:textId="77777777" w:rsidR="00DB2B68" w:rsidRDefault="00000000">
      <w:r>
        <w:rPr>
          <w:b/>
          <w:i/>
        </w:rPr>
        <w:t>(Soit)</w:t>
      </w:r>
    </w:p>
    <w:p w14:paraId="0A834123" w14:textId="77777777" w:rsidR="00DB2B68" w:rsidRDefault="00000000">
      <w:r>
        <w:rPr>
          <w:rStyle w:val="soitChar"/>
        </w:rPr>
        <w:t>2. m²</w:t>
      </w:r>
    </w:p>
    <w:p w14:paraId="68668CDE" w14:textId="77777777" w:rsidR="00DB2B68" w:rsidRDefault="00000000">
      <w:r>
        <w:rPr>
          <w:b/>
          <w:i/>
        </w:rPr>
        <w:t>(Soit)</w:t>
      </w:r>
    </w:p>
    <w:p w14:paraId="4137007B" w14:textId="77777777" w:rsidR="00DB2B68" w:rsidRDefault="00000000">
      <w:r>
        <w:rPr>
          <w:rStyle w:val="soitChar"/>
        </w:rPr>
        <w:t>3. pc</w:t>
      </w:r>
    </w:p>
    <w:p w14:paraId="761A54BC" w14:textId="77777777" w:rsidR="00DB2B68" w:rsidRDefault="00000000">
      <w:pPr>
        <w:pStyle w:val="pheading"/>
      </w:pPr>
      <w:r>
        <w:t>- code de mesurage:</w:t>
      </w:r>
    </w:p>
    <w:p w14:paraId="6B319945" w14:textId="77777777" w:rsidR="00DB2B68" w:rsidRDefault="00000000">
      <w:r>
        <w:rPr>
          <w:rStyle w:val="optioncarChar"/>
        </w:rPr>
        <w:t xml:space="preserve">longueur </w:t>
      </w:r>
      <w:r>
        <w:t>(par défaut)</w:t>
      </w:r>
      <w:r>
        <w:rPr>
          <w:rStyle w:val="optioncarChar"/>
        </w:rPr>
        <w:t xml:space="preserve"> / surface / quantité</w:t>
      </w:r>
      <w:r>
        <w:t xml:space="preserve"> nette à mettre en œuvre.</w:t>
      </w:r>
    </w:p>
    <w:p w14:paraId="68D1D856" w14:textId="77777777" w:rsidR="00DB2B68" w:rsidRDefault="00000000">
      <w:r>
        <w:rPr>
          <w:b/>
          <w:i/>
        </w:rPr>
        <w:t>(Soit par défaut) </w:t>
      </w:r>
    </w:p>
    <w:p w14:paraId="55654736" w14:textId="77777777" w:rsidR="00DB2B68" w:rsidRDefault="00000000">
      <w:r>
        <w:rPr>
          <w:rStyle w:val="soitChar"/>
        </w:rPr>
        <w:t>1.   </w:t>
      </w:r>
      <w:r>
        <w:rPr>
          <w:rStyle w:val="soitChar"/>
          <w:u w:val="single"/>
        </w:rPr>
        <w:t>  La longueur nette</w:t>
      </w:r>
      <w:r>
        <w:rPr>
          <w:rStyle w:val="soitChar"/>
        </w:rPr>
        <w:t xml:space="preserve"> totale des éléments (mètres courants), mesurée à l’horizontale et ventilée suivant la hauteur.</w:t>
      </w:r>
    </w:p>
    <w:p w14:paraId="2969D901" w14:textId="77777777" w:rsidR="00DB2B68" w:rsidRDefault="00000000">
      <w:r>
        <w:rPr>
          <w:b/>
          <w:i/>
        </w:rPr>
        <w:t>(Soit) </w:t>
      </w:r>
    </w:p>
    <w:p w14:paraId="5CB6D4E7" w14:textId="77777777" w:rsidR="00DB2B68" w:rsidRDefault="00000000">
      <w:r>
        <w:rPr>
          <w:rStyle w:val="soitChar"/>
        </w:rPr>
        <w:t xml:space="preserve">2.     </w:t>
      </w:r>
      <w:r>
        <w:rPr>
          <w:rStyle w:val="soitChar"/>
          <w:u w:val="single"/>
        </w:rPr>
        <w:t>La surface nette</w:t>
      </w:r>
      <w:r>
        <w:rPr>
          <w:rStyle w:val="soitChar"/>
        </w:rPr>
        <w:t xml:space="preserve"> apparente des éléments (surface verticale totale aval du soutènement).  Les ouvertures, les traversées et les réservations plus grandes que 0,50 m² sont déduites.  Toutes les armatures des éléments préfabriqués sont comprises dans le prix unitaire de cet article.</w:t>
      </w:r>
    </w:p>
    <w:p w14:paraId="6D127E14" w14:textId="77777777" w:rsidR="00DB2B68" w:rsidRDefault="00000000">
      <w:r>
        <w:rPr>
          <w:b/>
          <w:i/>
        </w:rPr>
        <w:t>(Soit) </w:t>
      </w:r>
    </w:p>
    <w:p w14:paraId="797BAF23" w14:textId="77777777" w:rsidR="00DB2B68" w:rsidRDefault="00000000">
      <w:r>
        <w:rPr>
          <w:rStyle w:val="soitChar"/>
        </w:rPr>
        <w:t>3.    </w:t>
      </w:r>
      <w:r>
        <w:rPr>
          <w:rStyle w:val="soitChar"/>
          <w:u w:val="single"/>
        </w:rPr>
        <w:t xml:space="preserve"> La quantité nette</w:t>
      </w:r>
      <w:r>
        <w:rPr>
          <w:rStyle w:val="soitChar"/>
        </w:rPr>
        <w:t xml:space="preserve"> de pièces</w:t>
      </w:r>
    </w:p>
    <w:p w14:paraId="18FAC4E2" w14:textId="77777777" w:rsidR="00DB2B68" w:rsidRDefault="00000000">
      <w:pPr>
        <w:pStyle w:val="pheading"/>
      </w:pPr>
      <w:r>
        <w:t>- nature du marché:</w:t>
      </w:r>
    </w:p>
    <w:p w14:paraId="675FCC9E" w14:textId="77777777" w:rsidR="00DB2B68" w:rsidRDefault="00000000">
      <w:r>
        <w:t>QF</w:t>
      </w:r>
    </w:p>
    <w:p w14:paraId="6139C447" w14:textId="77777777" w:rsidR="00DB2B68" w:rsidRDefault="00000000">
      <w:pPr>
        <w:pStyle w:val="Author-eSectionHeading6Numberless"/>
      </w:pPr>
      <w:bookmarkStart w:id="926" w:name="_Toc220495971"/>
      <w:r>
        <w:t>22.46.2b Eléments de soutènement en U préfabriqués en béton armé CCTB 01.02</w:t>
      </w:r>
      <w:bookmarkEnd w:id="926"/>
    </w:p>
    <w:p w14:paraId="002BD3CE" w14:textId="77777777" w:rsidR="00DB2B68" w:rsidRDefault="00000000">
      <w:pPr>
        <w:pStyle w:val="Author-eSectionHeading6Numberless"/>
      </w:pPr>
      <w:bookmarkStart w:id="927" w:name="_Toc220495972"/>
      <w:r>
        <w:t>22.46.2c Eléments de soutènement en T préfabriqués en béton armé CCTB 01.02</w:t>
      </w:r>
      <w:bookmarkEnd w:id="927"/>
    </w:p>
    <w:p w14:paraId="2C692A8D" w14:textId="77777777" w:rsidR="00DB2B68" w:rsidRDefault="00000000">
      <w:pPr>
        <w:pStyle w:val="Author-eSectionHeading6Numberless"/>
      </w:pPr>
      <w:bookmarkStart w:id="928" w:name="_Toc220495973"/>
      <w:r>
        <w:t>22.46.2d Eléments de soutènement en dalles avec treillis-raidisseur préfabriqués en béton armé CCTB 01.02</w:t>
      </w:r>
      <w:bookmarkEnd w:id="928"/>
    </w:p>
    <w:p w14:paraId="59923D36" w14:textId="77777777" w:rsidR="00DB2B68" w:rsidRDefault="00000000">
      <w:pPr>
        <w:pStyle w:val="Author-eSectionHeading3Numberless"/>
      </w:pPr>
      <w:bookmarkStart w:id="929" w:name="_Toc220495974"/>
      <w:r>
        <w:lastRenderedPageBreak/>
        <w:t>22.5 Armatures et coffrages CCTB 01.02</w:t>
      </w:r>
      <w:bookmarkEnd w:id="929"/>
    </w:p>
    <w:p w14:paraId="5A432E9C" w14:textId="77777777" w:rsidR="00DB2B68" w:rsidRDefault="00000000">
      <w:pPr>
        <w:pStyle w:val="Author-eSectionHeading4Numberless"/>
      </w:pPr>
      <w:bookmarkStart w:id="930" w:name="_Toc220495975"/>
      <w:r>
        <w:t>22.51 Armatures pour béton CCTB 01.13</w:t>
      </w:r>
      <w:bookmarkEnd w:id="930"/>
    </w:p>
    <w:p w14:paraId="5E600963" w14:textId="77777777" w:rsidR="00DB2B68" w:rsidRDefault="00000000">
      <w:pPr>
        <w:pStyle w:val="pheading"/>
      </w:pPr>
      <w:bookmarkStart w:id="931" w:name="232"/>
      <w:bookmarkEnd w:id="931"/>
      <w:r>
        <w:t>DESCRIPTION</w:t>
      </w:r>
    </w:p>
    <w:p w14:paraId="2554F854" w14:textId="77777777" w:rsidR="00DB2B68" w:rsidRDefault="00000000">
      <w:pPr>
        <w:pStyle w:val="pheading"/>
      </w:pPr>
      <w:r>
        <w:t>- Définition / Comprend</w:t>
      </w:r>
    </w:p>
    <w:p w14:paraId="47C76E6E" w14:textId="77777777" w:rsidR="00DB2B68" w:rsidRDefault="00000000">
      <w:r>
        <w:t>Il s'agit de la fourniture, de la mise en œuvre (couper, plier, …) et de la pose des armatures, barres, profils, treillis, … prescrits, y compris les écarteurs et les accessoires nécessaires pour fixer les armatures et les tenir en place.</w:t>
      </w:r>
    </w:p>
    <w:p w14:paraId="48E4497A" w14:textId="77777777" w:rsidR="00DB2B68" w:rsidRDefault="00000000">
      <w:pPr>
        <w:pStyle w:val="pheading"/>
      </w:pPr>
      <w:r>
        <w:t>- Remarques importantes</w:t>
      </w:r>
    </w:p>
    <w:p w14:paraId="78E3AD27" w14:textId="77777777" w:rsidR="00DB2B68" w:rsidRDefault="00000000">
      <w:r>
        <w:t xml:space="preserve">Conformément aux plans de ferraillage approuvés. </w:t>
      </w:r>
    </w:p>
    <w:p w14:paraId="51769738" w14:textId="77777777" w:rsidR="00DB2B68" w:rsidRDefault="00000000">
      <w:pPr>
        <w:pStyle w:val="pheading"/>
      </w:pPr>
      <w:r>
        <w:t>MATÉRIAUX</w:t>
      </w:r>
    </w:p>
    <w:p w14:paraId="4D942878" w14:textId="77777777" w:rsidR="00DB2B68" w:rsidRDefault="00000000">
      <w:pPr>
        <w:pStyle w:val="Author-eListParagraph"/>
        <w:numPr>
          <w:ilvl w:val="0"/>
          <w:numId w:val="638"/>
        </w:numPr>
      </w:pPr>
      <w:r>
        <w:t>Les barres d'armature pour le béton armé doivent respectivement satisfaire aux prescriptions de la [NBN EN 10080], [NBN A 24-301], [NBN A 24-302], [NBN A 24-303], [PTV 302], et [PTV 303].</w:t>
      </w:r>
      <w:r>
        <w:br/>
      </w:r>
    </w:p>
    <w:p w14:paraId="47E1575D" w14:textId="77777777" w:rsidR="00DB2B68" w:rsidRDefault="00000000">
      <w:pPr>
        <w:pStyle w:val="Author-eListParagraph"/>
        <w:numPr>
          <w:ilvl w:val="0"/>
          <w:numId w:val="638"/>
        </w:numPr>
      </w:pPr>
      <w:r>
        <w:rPr>
          <w:b/>
        </w:rPr>
        <w:t>Les aciers de la nuance BE 500 S, BE 500 TS, BE 500 ES et BE 500 RS ont les mêmes propriétés spécifiées</w:t>
      </w:r>
      <w:r>
        <w:t xml:space="preserve"> et correspondent à la qualité B 500 B selon l'annexe C de l'Eurocode [NBN EN 1992-1-1]. </w:t>
      </w:r>
      <w:r>
        <w:rPr>
          <w:b/>
        </w:rPr>
        <w:t>Ils peuvent donc être utilisés indifféremment</w:t>
      </w:r>
      <w:r>
        <w:t>.</w:t>
      </w:r>
      <w:r>
        <w:br/>
      </w:r>
    </w:p>
    <w:p w14:paraId="2AE16779" w14:textId="77777777" w:rsidR="00DB2B68" w:rsidRDefault="00000000">
      <w:pPr>
        <w:pStyle w:val="Author-eListParagraph"/>
        <w:numPr>
          <w:ilvl w:val="0"/>
          <w:numId w:val="638"/>
        </w:numPr>
      </w:pPr>
      <w:r>
        <w:rPr>
          <w:b/>
        </w:rPr>
        <w:t>Les aciers de la nuance DE 500 BS</w:t>
      </w:r>
      <w:r>
        <w:t xml:space="preserve"> ont des propriétés de ductilité inférieures aux nuances décrites ci-avant (rapport Rm/Re et Agt) et correspondent à la qualité B 500 A selon l'annexe C de l'Eurocode [NBN EN 1992-1-1]. </w:t>
      </w:r>
      <w:r>
        <w:rPr>
          <w:b/>
        </w:rPr>
        <w:t>Ils ne peuvent donc être employés en lieu et place de la qualité B 500 B.</w:t>
      </w:r>
      <w:r>
        <w:br/>
      </w:r>
    </w:p>
    <w:p w14:paraId="244B5AE2" w14:textId="77777777" w:rsidR="00DB2B68" w:rsidRDefault="00000000">
      <w:pPr>
        <w:pStyle w:val="Author-eListParagraph"/>
        <w:numPr>
          <w:ilvl w:val="0"/>
          <w:numId w:val="638"/>
        </w:numPr>
      </w:pPr>
      <w:r>
        <w:rPr>
          <w:b/>
        </w:rPr>
        <w:t>Les aciers de la nuance DE 500 AS ne peuvent être mis en œuvre dans les ouvrages en béton armé</w:t>
      </w:r>
      <w:r>
        <w:t xml:space="preserve"> vu l'absence de spécification des propriétés de ductilité (rapport Rm/Re et Agt non précisées et donc non conformes aux prescriptions de l’annexe C de la [NBN EN 1992-1-1]). </w:t>
      </w:r>
      <w:r>
        <w:br/>
      </w:r>
    </w:p>
    <w:p w14:paraId="79EA6657" w14:textId="77777777" w:rsidR="00DB2B68" w:rsidRDefault="00000000">
      <w:pPr>
        <w:pStyle w:val="Author-eListParagraph"/>
        <w:numPr>
          <w:ilvl w:val="0"/>
          <w:numId w:val="638"/>
        </w:numPr>
      </w:pPr>
      <w:r>
        <w:t>La qualité de l'acier, aussi bien pour les barres, les étriers que pour les treillis soudés et les panneaux plans, porte un certificat de conformité</w:t>
      </w:r>
    </w:p>
    <w:p w14:paraId="30651A6E" w14:textId="77777777" w:rsidR="00DB2B68" w:rsidRDefault="00000000">
      <w:pPr>
        <w:pStyle w:val="Author-eListParagraph"/>
        <w:numPr>
          <w:ilvl w:val="0"/>
          <w:numId w:val="638"/>
        </w:numPr>
      </w:pPr>
      <w:r>
        <w:t>Les treillis soudés pour le béton armé doivent satisfaire aux prescriptions de [NBN A 24-304], [PTV 304] et [PTV 307].</w:t>
      </w:r>
    </w:p>
    <w:p w14:paraId="31B3CD7F" w14:textId="77777777" w:rsidR="00DB2B68" w:rsidRDefault="00000000">
      <w:pPr>
        <w:pStyle w:val="Author-eListParagraph"/>
        <w:numPr>
          <w:ilvl w:val="0"/>
          <w:numId w:val="638"/>
        </w:numPr>
      </w:pPr>
      <w:r>
        <w:t>Les panneaux plans pour le béton armé doivent satisfaire aux prescriptions de [PTV 308].</w:t>
      </w:r>
    </w:p>
    <w:p w14:paraId="59DF4B51" w14:textId="77777777" w:rsidR="00DB2B68" w:rsidRDefault="00000000">
      <w:pPr>
        <w:pStyle w:val="Author-eListParagraph"/>
        <w:numPr>
          <w:ilvl w:val="0"/>
          <w:numId w:val="638"/>
        </w:numPr>
      </w:pPr>
      <w:r>
        <w:t>Les profils d'acier noyés dans le béton satisfont aux Eurocodes [NBN EN 1993 série]</w:t>
      </w:r>
    </w:p>
    <w:p w14:paraId="66593585" w14:textId="77777777" w:rsidR="00DB2B68" w:rsidRDefault="00000000">
      <w:pPr>
        <w:pStyle w:val="Author-eListParagraph"/>
        <w:numPr>
          <w:ilvl w:val="0"/>
          <w:numId w:val="638"/>
        </w:numPr>
      </w:pPr>
      <w:r>
        <w:t>Les profils sont pourvus des réservations nécessaires selon les indications sur les plans.</w:t>
      </w:r>
    </w:p>
    <w:p w14:paraId="07671A05" w14:textId="77777777" w:rsidR="00DB2B68" w:rsidRDefault="00000000">
      <w:pPr>
        <w:pStyle w:val="Author-eListParagraph"/>
        <w:numPr>
          <w:ilvl w:val="0"/>
          <w:numId w:val="638"/>
        </w:numPr>
      </w:pPr>
      <w:r>
        <w:t xml:space="preserve">Les caractéristiques des profils utilisés sont décrites au chapitre </w:t>
      </w:r>
      <w:hyperlink w:anchor="422" w:history="1">
        <w:r>
          <w:rPr>
            <w:color w:val="0000EE"/>
          </w:rPr>
          <w:t>23.1 Eléments de structures métalliques</w:t>
        </w:r>
      </w:hyperlink>
      <w:r>
        <w:t>.</w:t>
      </w:r>
    </w:p>
    <w:p w14:paraId="195DD81C" w14:textId="77777777" w:rsidR="00DB2B68" w:rsidRDefault="00000000">
      <w:pPr>
        <w:pStyle w:val="Author-eListParagraph"/>
        <w:numPr>
          <w:ilvl w:val="0"/>
          <w:numId w:val="638"/>
        </w:numPr>
      </w:pPr>
      <w:r>
        <w:t xml:space="preserve">Acier de précontrainte : pour la préfabrication des éléments en béton précontraint, il est tenu compte des normes de référence ci-dessous : </w:t>
      </w:r>
    </w:p>
    <w:p w14:paraId="403856AE" w14:textId="77777777" w:rsidR="00DB2B68" w:rsidRDefault="00000000">
      <w:pPr>
        <w:pStyle w:val="Author-eListParagraph"/>
        <w:numPr>
          <w:ilvl w:val="1"/>
          <w:numId w:val="639"/>
        </w:numPr>
      </w:pPr>
      <w:r>
        <w:t>[NBN I 10-001] </w:t>
      </w:r>
    </w:p>
    <w:p w14:paraId="4C622701" w14:textId="77777777" w:rsidR="00DB2B68" w:rsidRDefault="00000000">
      <w:pPr>
        <w:pStyle w:val="Author-eListParagraph"/>
        <w:numPr>
          <w:ilvl w:val="1"/>
          <w:numId w:val="639"/>
        </w:numPr>
      </w:pPr>
      <w:r>
        <w:t>[NBN I 10-002]</w:t>
      </w:r>
    </w:p>
    <w:p w14:paraId="6C7F2A60" w14:textId="77777777" w:rsidR="00DB2B68" w:rsidRDefault="00000000">
      <w:pPr>
        <w:pStyle w:val="Author-eListParagraph"/>
        <w:numPr>
          <w:ilvl w:val="1"/>
          <w:numId w:val="639"/>
        </w:numPr>
      </w:pPr>
      <w:r>
        <w:t>[NBN I 10-003]</w:t>
      </w:r>
    </w:p>
    <w:p w14:paraId="65899CFC" w14:textId="77777777" w:rsidR="00DB2B68" w:rsidRDefault="00000000">
      <w:pPr>
        <w:pStyle w:val="Author-eListParagraph"/>
        <w:numPr>
          <w:ilvl w:val="1"/>
          <w:numId w:val="639"/>
        </w:numPr>
      </w:pPr>
      <w:r>
        <w:t>[PTV 311]</w:t>
      </w:r>
    </w:p>
    <w:p w14:paraId="6B584FFA" w14:textId="77777777" w:rsidR="00DB2B68" w:rsidRDefault="00000000">
      <w:pPr>
        <w:pStyle w:val="Author-eListParagraph"/>
        <w:numPr>
          <w:ilvl w:val="1"/>
          <w:numId w:val="639"/>
        </w:numPr>
      </w:pPr>
      <w:r>
        <w:t>[PTV 312]</w:t>
      </w:r>
    </w:p>
    <w:p w14:paraId="36012142" w14:textId="77777777" w:rsidR="00DB2B68" w:rsidRDefault="00000000">
      <w:pPr>
        <w:pStyle w:val="Author-eListParagraph"/>
        <w:numPr>
          <w:ilvl w:val="1"/>
          <w:numId w:val="639"/>
        </w:numPr>
      </w:pPr>
      <w:r>
        <w:t>[PTV 314]</w:t>
      </w:r>
    </w:p>
    <w:p w14:paraId="6465A921" w14:textId="77777777" w:rsidR="00DB2B68" w:rsidRDefault="00000000">
      <w:pPr>
        <w:pStyle w:val="Author-eListParagraph"/>
        <w:numPr>
          <w:ilvl w:val="0"/>
          <w:numId w:val="638"/>
        </w:numPr>
      </w:pPr>
      <w:r>
        <w:t xml:space="preserve">Les fibres d'acier pour béton doivent satisfaire aux prescriptions de la [NBN EN 14889-1]. Il s'agit d'éléments droits ou déformés provenant de fil étiré à froid, de tôle découpée, d'extraits de coulée, de fil étiré à froid raboté ou de blocs d'acier fraisés dont la forme et/ou la structure de surface assure un ancrage mécanique dans le béton durci. Les fibres doivent pouvoir être mélangée de façon homogène dans le béton. Les fibres d'acier sont protégées contre la </w:t>
      </w:r>
      <w:r>
        <w:lastRenderedPageBreak/>
        <w:t xml:space="preserve">corrosion par galvanisation thermique ou électrolytique à raison de 30 g/m2 en moyenne. La résistance caractéristique à la traction pour les différentes fibres d'acier sera d'au moins 1000 Mpa. Les dimensions nominales des fibres d'acier sont déterminées par le fabricant qui tient compte : </w:t>
      </w:r>
    </w:p>
    <w:p w14:paraId="2B16541F" w14:textId="77777777" w:rsidR="00DB2B68" w:rsidRDefault="00000000">
      <w:pPr>
        <w:pStyle w:val="Author-eListParagraph"/>
        <w:numPr>
          <w:ilvl w:val="1"/>
          <w:numId w:val="640"/>
        </w:numPr>
      </w:pPr>
      <w:r>
        <w:t>du diamètre nominal (d) compris entre 0,40 et 1,00 mm;</w:t>
      </w:r>
    </w:p>
    <w:p w14:paraId="12A5E9C7" w14:textId="77777777" w:rsidR="00DB2B68" w:rsidRDefault="00000000">
      <w:pPr>
        <w:pStyle w:val="Author-eListParagraph"/>
        <w:numPr>
          <w:ilvl w:val="1"/>
          <w:numId w:val="640"/>
        </w:numPr>
      </w:pPr>
      <w:r>
        <w:t>de la longueur nominale (l) comprise entre 30 et 80 mm;</w:t>
      </w:r>
    </w:p>
    <w:p w14:paraId="020639D5" w14:textId="77777777" w:rsidR="00DB2B68" w:rsidRDefault="00000000">
      <w:pPr>
        <w:pStyle w:val="Author-eListParagraph"/>
        <w:numPr>
          <w:ilvl w:val="1"/>
          <w:numId w:val="640"/>
        </w:numPr>
      </w:pPr>
      <w:r>
        <w:t>du rapport l/d supérieur à 60.</w:t>
      </w:r>
    </w:p>
    <w:p w14:paraId="43E55F3E" w14:textId="77777777" w:rsidR="00DB2B68" w:rsidRDefault="00000000">
      <w:pPr>
        <w:pStyle w:val="pheading"/>
      </w:pPr>
      <w:r>
        <w:t>EXÉCUTION / MISE EN ŒUVRE</w:t>
      </w:r>
    </w:p>
    <w:p w14:paraId="5183B693" w14:textId="77777777" w:rsidR="00DB2B68" w:rsidRDefault="00000000">
      <w:pPr>
        <w:pStyle w:val="heading"/>
      </w:pPr>
      <w:r>
        <w:t>Entreposage - Protection</w:t>
      </w:r>
    </w:p>
    <w:p w14:paraId="45000935" w14:textId="77777777" w:rsidR="00DB2B68" w:rsidRDefault="00000000">
      <w:pPr>
        <w:pStyle w:val="Author-eListParagraph"/>
        <w:numPr>
          <w:ilvl w:val="0"/>
          <w:numId w:val="641"/>
        </w:numPr>
      </w:pPr>
      <w:r>
        <w:t>A leur arrivée sur chantier, les armatures sont exemptes de salissures, d'huile, de peinture, de terre, etc.; elles sont entreposées à un endroit couvert et protégées contre la pluie et toute autre souillure.</w:t>
      </w:r>
    </w:p>
    <w:p w14:paraId="2D6E0DFF" w14:textId="77777777" w:rsidR="00DB2B68" w:rsidRDefault="00000000">
      <w:pPr>
        <w:pStyle w:val="Author-eListParagraph"/>
        <w:numPr>
          <w:ilvl w:val="0"/>
          <w:numId w:val="641"/>
        </w:numPr>
      </w:pPr>
      <w:r>
        <w:t>Au moment de leur mise en œuvre, les armatures sont complètement débarrassées de toutes souillures et de la rouille non adhérente qui peuvent nuire à la bonne adhérence des barres au béton.</w:t>
      </w:r>
    </w:p>
    <w:p w14:paraId="721BBE02" w14:textId="77777777" w:rsidR="00DB2B68" w:rsidRDefault="00000000">
      <w:pPr>
        <w:pStyle w:val="Author-eListParagraph"/>
        <w:numPr>
          <w:ilvl w:val="0"/>
          <w:numId w:val="641"/>
        </w:numPr>
      </w:pPr>
      <w:r>
        <w:t>Les barres d'attente sont protégées contre les intempéries. Toutes les armatures qui sont exposées pendant un certain temps aux influences atmosphériques et pourraient, de ce fait, occasionner des taches de rouille sur le béton, sont enduites de lait de ciment.</w:t>
      </w:r>
    </w:p>
    <w:p w14:paraId="2D5552C8" w14:textId="77777777" w:rsidR="00DB2B68" w:rsidRDefault="00000000">
      <w:pPr>
        <w:pStyle w:val="heading"/>
      </w:pPr>
      <w:r>
        <w:t>Pliage des Armatures - Ferraillage</w:t>
      </w:r>
    </w:p>
    <w:p w14:paraId="3D558678" w14:textId="77777777" w:rsidR="00DB2B68" w:rsidRDefault="00000000">
      <w:r>
        <w:t>Avant leur mise en œuvre, les armatures doivent être pliées dans les formes et aux dimensions indiquées sur les plans et dans les bordereaux. Elles sont pliées conformément aux indications des normes [NBN EN 1992-1-1] , [NBN EN 13670] et [NBN B 15-400]. Pendant le pliage, on prend les précautions nécessaires pour éviter les ruptures fragiles ou autres détériorations.</w:t>
      </w:r>
    </w:p>
    <w:p w14:paraId="15146BD5" w14:textId="77777777" w:rsidR="00DB2B68" w:rsidRDefault="00000000">
      <w:pPr>
        <w:pStyle w:val="Author-eListParagraph"/>
        <w:numPr>
          <w:ilvl w:val="0"/>
          <w:numId w:val="642"/>
        </w:numPr>
      </w:pPr>
      <w:r>
        <w:t>Le pliage des barres s'effectue, en principe, par une température ambiante d'au moins 5°C . Dès que la température baisse sous 5°C , il est toutefois conseillé de prendre les mesures qui s'imposent afin de prévenir la rupture fragile des barres (par ex. en utilisant une plieuse mécanique à vitesse modérée et/ou en choisissant une nuance d'acier moins sensible aux variations de température).</w:t>
      </w:r>
    </w:p>
    <w:p w14:paraId="4B7993BC" w14:textId="77777777" w:rsidR="00DB2B68" w:rsidRDefault="00000000">
      <w:pPr>
        <w:pStyle w:val="Author-eListParagraph"/>
        <w:numPr>
          <w:ilvl w:val="0"/>
          <w:numId w:val="642"/>
        </w:numPr>
      </w:pPr>
      <w:r>
        <w:t>Le pliage à froid ou le dressage sur gabarit se fait progressivement et lentement, à l'aide d'une machine capable d'effectuer ces pliages, sans endommager le métal dans les angles.</w:t>
      </w:r>
    </w:p>
    <w:p w14:paraId="12256678" w14:textId="77777777" w:rsidR="00DB2B68" w:rsidRDefault="00000000">
      <w:pPr>
        <w:pStyle w:val="Author-eListParagraph"/>
        <w:numPr>
          <w:ilvl w:val="0"/>
          <w:numId w:val="642"/>
        </w:numPr>
      </w:pPr>
      <w:r>
        <w:t>Tout pliage provisoire suivi d'un pliage à contresens est évité autant que possible. Lorsque cette opération est nécessaire, elle se fait sans à-coups. Le rayon de courbure de la courbe est alors le double de celui prescrit dans la [NBN EN 1992-1-1].</w:t>
      </w:r>
    </w:p>
    <w:p w14:paraId="3FD8D4E6" w14:textId="77777777" w:rsidR="00DB2B68" w:rsidRDefault="00000000">
      <w:pPr>
        <w:pStyle w:val="Author-eListParagraph"/>
        <w:numPr>
          <w:ilvl w:val="0"/>
          <w:numId w:val="642"/>
        </w:numPr>
      </w:pPr>
      <w:r>
        <w:t>Le rayon de courbure de la courbe, mesuré sur la fibre médiane de la barre courbée, ne peut être inférieur aux valeurs mentionnées dans la [NBN EN 1992-1-1], qui indique également le diamètre du noyau de courbure qui correspond à cette valeur.</w:t>
      </w:r>
    </w:p>
    <w:p w14:paraId="7C6C4415" w14:textId="77777777" w:rsidR="00DB2B68" w:rsidRDefault="00000000">
      <w:pPr>
        <w:pStyle w:val="Author-eListParagraph"/>
        <w:numPr>
          <w:ilvl w:val="0"/>
          <w:numId w:val="642"/>
        </w:numPr>
      </w:pPr>
      <w:r>
        <w:t>Dans la mesure du possible, on réserve, entre le début d'une courbure et un nœud soudé, une distance d'au moins 4 fois le diamètre des armatures courbées</w:t>
      </w:r>
    </w:p>
    <w:p w14:paraId="607CD33C" w14:textId="77777777" w:rsidR="00DB2B68" w:rsidRDefault="00000000">
      <w:pPr>
        <w:pStyle w:val="heading"/>
      </w:pPr>
      <w:r>
        <w:t>Croisements - Chevauchements - Assemblages par soudure</w:t>
      </w:r>
    </w:p>
    <w:p w14:paraId="2FC09D82" w14:textId="77777777" w:rsidR="00DB2B68" w:rsidRDefault="00000000">
      <w:r>
        <w:t>La longueur de chevauchement des armatures principales et des treillis préfabriqués est déterminée selon les indications sur les plans.</w:t>
      </w:r>
    </w:p>
    <w:p w14:paraId="0B674F9C" w14:textId="77777777" w:rsidR="00DB2B68" w:rsidRDefault="00000000">
      <w:pPr>
        <w:pStyle w:val="Author-eListParagraph"/>
        <w:numPr>
          <w:ilvl w:val="0"/>
          <w:numId w:val="643"/>
        </w:numPr>
      </w:pPr>
      <w:r>
        <w:t>Les treillis d’armatures préfabriqués sont posés avec un chevauchement conforme au plan et à la [NBN EN 1992-1-1] et ils sont reliés aux angles des mailles superposées. Les assemblages peuvent être réalisés, soit par soudure, soit à l’aide de ligatures chauffées à blanc. Les écarteurs nécessaires sont prévus pour réaliser l’enrobage de béton exigé. Des chaises ou échelles en acier sont utilisés pour les doubles treillis.</w:t>
      </w:r>
    </w:p>
    <w:p w14:paraId="1565BCCF" w14:textId="77777777" w:rsidR="00DB2B68" w:rsidRDefault="00000000">
      <w:pPr>
        <w:pStyle w:val="Author-eListParagraph"/>
        <w:numPr>
          <w:ilvl w:val="0"/>
          <w:numId w:val="643"/>
        </w:numPr>
      </w:pPr>
      <w:r>
        <w:t>Les barres qui se croisent doivent être solidement attachées afin qu’elles ne se déplacent pas pendant le coulage du béton. A cet effet, les assemblages peuvent être réalisés, soit par soudure, soit à l’aide de ligatures chauffées à blanc et/ou les barres peuvent être supportées par des écarteurs appropriés.</w:t>
      </w:r>
    </w:p>
    <w:p w14:paraId="7B092052" w14:textId="77777777" w:rsidR="00DB2B68" w:rsidRDefault="00000000">
      <w:pPr>
        <w:pStyle w:val="Author-eListParagraph"/>
        <w:numPr>
          <w:ilvl w:val="0"/>
          <w:numId w:val="643"/>
        </w:numPr>
      </w:pPr>
      <w:r>
        <w:lastRenderedPageBreak/>
        <w:t>Les profils noyés sont liaisonnés entre eux et/ou aux barres d’armature ou aux treillis d’armature par soudure. Lorsque les armatures doivent être soudées, l’entrepreneur vérifie d’abord si cela peut se faire selon le procédé qu’il souhaitait appliquer. La méthode à appliquer est déterminée par l’ingénieur qui réalise l’étude du béton.</w:t>
      </w:r>
    </w:p>
    <w:p w14:paraId="2829E2CD" w14:textId="77777777" w:rsidR="00DB2B68" w:rsidRDefault="00000000">
      <w:pPr>
        <w:pStyle w:val="Author-eListParagraph"/>
        <w:numPr>
          <w:ilvl w:val="0"/>
          <w:numId w:val="643"/>
        </w:numPr>
      </w:pPr>
      <w:r>
        <w:t xml:space="preserve">Les procédés de soudure suivants sont autorisés : </w:t>
      </w:r>
    </w:p>
    <w:p w14:paraId="69EE936F" w14:textId="77777777" w:rsidR="00DB2B68" w:rsidRDefault="00000000">
      <w:pPr>
        <w:pStyle w:val="Author-eListParagraph"/>
        <w:numPr>
          <w:ilvl w:val="1"/>
          <w:numId w:val="644"/>
        </w:numPr>
      </w:pPr>
      <w:r>
        <w:t>soudage par résistance; (soudure électrique par résistance)</w:t>
      </w:r>
    </w:p>
    <w:p w14:paraId="009AF5AD" w14:textId="77777777" w:rsidR="00DB2B68" w:rsidRDefault="00000000">
      <w:pPr>
        <w:pStyle w:val="Author-eListParagraph"/>
        <w:numPr>
          <w:ilvl w:val="1"/>
          <w:numId w:val="644"/>
        </w:numPr>
      </w:pPr>
      <w:r>
        <w:t>soudage à l’arc manuel; (soudage électrique à l’arc)</w:t>
      </w:r>
    </w:p>
    <w:p w14:paraId="53CF93FC" w14:textId="77777777" w:rsidR="00DB2B68" w:rsidRDefault="00000000">
      <w:pPr>
        <w:pStyle w:val="Author-eListParagraph"/>
        <w:numPr>
          <w:ilvl w:val="1"/>
          <w:numId w:val="644"/>
        </w:numPr>
      </w:pPr>
      <w:r>
        <w:t>soudage semi-automatique en atmosphère gazeuse; (soudure par fusion)</w:t>
      </w:r>
    </w:p>
    <w:p w14:paraId="5D6D15D8" w14:textId="77777777" w:rsidR="00DB2B68" w:rsidRDefault="00000000">
      <w:pPr>
        <w:pStyle w:val="Author-eListParagraph"/>
        <w:numPr>
          <w:ilvl w:val="1"/>
          <w:numId w:val="644"/>
        </w:numPr>
      </w:pPr>
      <w:r>
        <w:t>soudage par étincelage.</w:t>
      </w:r>
    </w:p>
    <w:p w14:paraId="3CEBE8F8" w14:textId="77777777" w:rsidR="00DB2B68" w:rsidRDefault="00000000">
      <w:pPr>
        <w:pStyle w:val="Author-eListParagraph"/>
        <w:numPr>
          <w:ilvl w:val="0"/>
          <w:numId w:val="643"/>
        </w:numPr>
      </w:pPr>
      <w:r>
        <w:t>Il est interdit d’effectuer des soudures au chalumeau ou à la forge.</w:t>
      </w:r>
    </w:p>
    <w:p w14:paraId="41554258" w14:textId="77777777" w:rsidR="00DB2B68" w:rsidRDefault="00000000">
      <w:pPr>
        <w:pStyle w:val="Author-eListParagraph"/>
        <w:numPr>
          <w:ilvl w:val="0"/>
          <w:numId w:val="643"/>
        </w:numPr>
      </w:pPr>
      <w:r>
        <w:t>Les soudures sont effectuées conformément aux normes [NBN A 24-301] et [NBN A 24-302]</w:t>
      </w:r>
    </w:p>
    <w:p w14:paraId="7EDEF20C" w14:textId="77777777" w:rsidR="00DB2B68" w:rsidRDefault="00000000">
      <w:pPr>
        <w:pStyle w:val="Author-eListParagraph"/>
        <w:numPr>
          <w:ilvl w:val="0"/>
          <w:numId w:val="643"/>
        </w:numPr>
      </w:pPr>
      <w:r>
        <w:t>Les soudures dans les barres sont évitées autant que possible. Il est interdit de souder bout-à-bout les barres d’un diamètre inférieur à 18 mm. Les soudures sont toujours réalisées aux endroits où les barres sont les moins sollicitées. Il s'agit de soudures structurales. On évite de réaliser plusieurs soudures dans un même plan. Lorsque les armatures sont composées de plusieurs barres parallèles qui présentent des soudures, celles-ci sont écartées d’au moins 50 cm. Lorsque la soudure se situe à proximité d’un coffrage, la barre la plus proche du coffrage est déplacée à une distance supérieure ou égale au diamètre de la barre la plus grosse.</w:t>
      </w:r>
    </w:p>
    <w:p w14:paraId="49F8AC85" w14:textId="77777777" w:rsidR="00DB2B68" w:rsidRDefault="00000000">
      <w:pPr>
        <w:pStyle w:val="heading"/>
      </w:pPr>
      <w:r>
        <w:t>Ecartements - Enrobage - Ecarteurs</w:t>
      </w:r>
    </w:p>
    <w:p w14:paraId="63FF5563" w14:textId="77777777" w:rsidR="00DB2B68" w:rsidRDefault="00000000">
      <w:r>
        <w:t>Pour le béton coulé en place, les enrobages sont conformes à la [NBN EN 1992-1-1] et la [NBN EN 1992-1-1 ANB].</w:t>
      </w:r>
    </w:p>
    <w:p w14:paraId="557BA675" w14:textId="77777777" w:rsidR="00DB2B68" w:rsidRDefault="00000000">
      <w:r>
        <w:t>Pour les éléments préfabriqués, les enrobages sont conformes aux normes produits.</w:t>
      </w:r>
    </w:p>
    <w:p w14:paraId="03ADBB23" w14:textId="77777777" w:rsidR="00DB2B68" w:rsidRDefault="00000000">
      <w:r>
        <w:t>Des exigences plus sévères peuvent être requises pour la résistance au feu des structures (voir la [NBN EN 1992-1-2] et la [NBN EN 1992-1-2 ANB]).</w:t>
      </w:r>
    </w:p>
    <w:p w14:paraId="3AF0DF05" w14:textId="77777777" w:rsidR="00DB2B68" w:rsidRDefault="00000000">
      <w:r>
        <w:t>Les cales et écarteurs sont conformes aux normes [NBN EN 13670] et [NBN B 15-400].</w:t>
      </w:r>
    </w:p>
    <w:p w14:paraId="45A88A39" w14:textId="77777777" w:rsidR="00DB2B68" w:rsidRDefault="00000000">
      <w:pPr>
        <w:pStyle w:val="heading"/>
      </w:pPr>
      <w:r>
        <w:t>Armatures de précontrainte</w:t>
      </w:r>
    </w:p>
    <w:p w14:paraId="6DCB8A84" w14:textId="77777777" w:rsidR="00DB2B68" w:rsidRDefault="00000000">
      <w:r>
        <w:t>Le béton peut être précontraint selon la technique:</w:t>
      </w:r>
      <w:r>
        <w:br/>
      </w:r>
      <w:r>
        <w:rPr>
          <w:b/>
        </w:rPr>
        <w:t xml:space="preserve">Choix opéré : </w:t>
      </w:r>
      <w:r>
        <w:rPr>
          <w:rStyle w:val="optioncarChar"/>
        </w:rPr>
        <w:t>***/ OPTION 1 (fourreaux injectés par après) </w:t>
      </w:r>
      <w:r>
        <w:t>(par défaut) </w:t>
      </w:r>
      <w:r>
        <w:rPr>
          <w:rStyle w:val="optioncarChar"/>
        </w:rPr>
        <w:t>/ OPTION 2 (Tuyau rempli de graisse) / OPTION 3 (technique de précontrainte)</w:t>
      </w:r>
      <w:r>
        <w:br/>
      </w:r>
    </w:p>
    <w:p w14:paraId="348DD3AE" w14:textId="77777777" w:rsidR="00DB2B68" w:rsidRDefault="00000000">
      <w:r>
        <w:rPr>
          <w:b/>
          <w:color w:val="000000"/>
        </w:rPr>
        <w:t>***OPTION 1</w:t>
      </w:r>
      <w:r>
        <w:rPr>
          <w:color w:val="000000"/>
        </w:rPr>
        <w:t>: de l’acier à précontrainte postérieure posés dans des fourreaux injectés après la précontrainte</w:t>
      </w:r>
      <w:r>
        <w:br/>
      </w:r>
      <w:r>
        <w:rPr>
          <w:b/>
          <w:color w:val="000000"/>
        </w:rPr>
        <w:t>***OPTION 2</w:t>
      </w:r>
      <w:r>
        <w:rPr>
          <w:color w:val="000000"/>
        </w:rPr>
        <w:t xml:space="preserve"> : de l’acier à précontrainte postérieure dans un tuyau rempli de graisse.</w:t>
      </w:r>
    </w:p>
    <w:p w14:paraId="3FFE7913" w14:textId="77777777" w:rsidR="00DB2B68" w:rsidRDefault="00000000">
      <w:r>
        <w:rPr>
          <w:b/>
        </w:rPr>
        <w:t>***OPTION 3</w:t>
      </w:r>
      <w:r>
        <w:t xml:space="preserve"> : par la technique de précontrainte par prétension/adhérence. Cette technique de précontrainte est la plus utilisée en préfabrication.</w:t>
      </w:r>
    </w:p>
    <w:p w14:paraId="2077B6F4" w14:textId="77777777" w:rsidR="00DB2B68" w:rsidRDefault="00000000">
      <w:r>
        <w:t>Le béton est précontraint au moyen des techniques à vérin et de serrage. Les blocs d’extrémité des éléments sont calculés comme des éléments « courts » en béton armé. La prétension est transmise aux blocs d'extrémité avec les moyens d’ancrage appropriés en acier de haute qualité.</w:t>
      </w:r>
    </w:p>
    <w:p w14:paraId="2BB27B72" w14:textId="77777777" w:rsidR="00DB2B68" w:rsidRDefault="00000000">
      <w:pPr>
        <w:pStyle w:val="pheading"/>
      </w:pPr>
      <w:r>
        <w:t>DOCUMENTS DE RÉFÉRENCE</w:t>
      </w:r>
    </w:p>
    <w:p w14:paraId="79367EDB" w14:textId="77777777" w:rsidR="00DB2B68" w:rsidRDefault="00000000">
      <w:pPr>
        <w:pStyle w:val="pheading"/>
      </w:pPr>
      <w:r>
        <w:t>- Matériau</w:t>
      </w:r>
    </w:p>
    <w:p w14:paraId="3AAD8B79" w14:textId="77777777" w:rsidR="00DB2B68" w:rsidRDefault="00000000">
      <w:r>
        <w:t>[NBN A 24-301, Produits sidérurgiques - Aciers pour béton armé - Barres, fils et treillis soudés - Généralités et prescriptions communes]</w:t>
      </w:r>
    </w:p>
    <w:p w14:paraId="2ECC7ACC" w14:textId="77777777" w:rsidR="00DB2B68" w:rsidRDefault="00000000">
      <w:r>
        <w:t>[NBN A 24-302, Produits sidérurgiques - Aciers pour béton armé - Barres lisses et barres à nervures - Fils machine lisses et fils machine à nervures]</w:t>
      </w:r>
    </w:p>
    <w:p w14:paraId="758FB5C7" w14:textId="77777777" w:rsidR="00DB2B68" w:rsidRDefault="00000000">
      <w:r>
        <w:t>[NBN A 24-303, Produits sidérurgiques - Aciers pour béton armé - Fils écrouis à froid lisses et fils écrouis à froid à nervures]</w:t>
      </w:r>
    </w:p>
    <w:p w14:paraId="253D930C" w14:textId="77777777" w:rsidR="00DB2B68" w:rsidRDefault="00000000">
      <w:r>
        <w:t>[NBN A 24-304, Produits sidérurgiques - Aciers pour béton armé - Treillis soudés]</w:t>
      </w:r>
    </w:p>
    <w:p w14:paraId="463F01A9" w14:textId="77777777" w:rsidR="00DB2B68" w:rsidRDefault="00000000">
      <w:r>
        <w:lastRenderedPageBreak/>
        <w:t>[NBN EN 10080, Aciers pour l'armature du béton - Aciers soudables pour béton armé - Généralités] </w:t>
      </w:r>
    </w:p>
    <w:p w14:paraId="7A2F831D" w14:textId="77777777" w:rsidR="00DB2B68" w:rsidRDefault="00000000">
      <w:r>
        <w:t>[PTV 302, Aciers pour béton armé - barres à nervures ou à empreintes et fils à nervures ou à empreintes à haute ductilité]</w:t>
      </w:r>
    </w:p>
    <w:p w14:paraId="0BC5DDC2" w14:textId="77777777" w:rsidR="00DB2B68" w:rsidRDefault="00000000">
      <w:r>
        <w:t>[PTV 303, Aciers pour béton armé - Fils écrouis à froid à nervures à basse ductilité]</w:t>
      </w:r>
    </w:p>
    <w:p w14:paraId="40D91672" w14:textId="77777777" w:rsidR="00DB2B68" w:rsidRDefault="00000000">
      <w:r>
        <w:t>[PTV 304, Aciers pour béton armé - Treillis soudés]</w:t>
      </w:r>
    </w:p>
    <w:p w14:paraId="633EEB61" w14:textId="77777777" w:rsidR="00DB2B68" w:rsidRDefault="00000000">
      <w:r>
        <w:t>[PTV 307, Aciers pour béton armé - Barres à nervures - Profil alternatif (Révision 2).]</w:t>
      </w:r>
    </w:p>
    <w:p w14:paraId="7FD8CB84" w14:textId="77777777" w:rsidR="00DB2B68" w:rsidRDefault="00000000">
      <w:r>
        <w:t>[PTV 308, Aciers pour béton armé - Armatures assemblées sous forme de panneaux plans]</w:t>
      </w:r>
    </w:p>
    <w:p w14:paraId="3B047AA5" w14:textId="77777777" w:rsidR="00DB2B68" w:rsidRDefault="00000000">
      <w:r>
        <w:t>[PTV 311, Aciers de précontrainte - Torons]</w:t>
      </w:r>
    </w:p>
    <w:p w14:paraId="35E1D0CD" w14:textId="77777777" w:rsidR="00DB2B68" w:rsidRDefault="00000000">
      <w:r>
        <w:t>[PTV 312, Aciers de précontrainte - Aciers galvanisés]</w:t>
      </w:r>
    </w:p>
    <w:p w14:paraId="33141F8A" w14:textId="77777777" w:rsidR="00DB2B68" w:rsidRDefault="00000000">
      <w:r>
        <w:t>[PTV 314, Aciers de précontrainte - Fils tréfilés]</w:t>
      </w:r>
    </w:p>
    <w:p w14:paraId="260ACD85" w14:textId="77777777" w:rsidR="00DB2B68" w:rsidRDefault="00000000">
      <w:r>
        <w:t>[NBN EN 1993 série, Eurocode 3 – Calcul des structures en acier]</w:t>
      </w:r>
    </w:p>
    <w:p w14:paraId="077B3FBC" w14:textId="77777777" w:rsidR="00DB2B68" w:rsidRDefault="00000000">
      <w:r>
        <w:t>[NBN I 10-001, Aciers de précontrainte - Fils, torons et barres - Généralités et prescriptions communes]</w:t>
      </w:r>
    </w:p>
    <w:p w14:paraId="1E48CFAA" w14:textId="77777777" w:rsidR="00DB2B68" w:rsidRDefault="00000000">
      <w:r>
        <w:t>[NBN I 10-002, Aciers de précontrainte - Fils tréfilés]</w:t>
      </w:r>
    </w:p>
    <w:p w14:paraId="6A53615B" w14:textId="77777777" w:rsidR="00DB2B68" w:rsidRDefault="00000000">
      <w:r>
        <w:t>[NBN I 10-003, Aciers de précontrainte - Torons (avec erratum)]</w:t>
      </w:r>
    </w:p>
    <w:p w14:paraId="1BCACD88" w14:textId="77777777" w:rsidR="00DB2B68" w:rsidRDefault="00000000">
      <w:r>
        <w:t>[NBN EN 14889-1, Fibres pour béton - Partie 1 : Fibres d'acier - Définitions, spécifications et conformité]</w:t>
      </w:r>
    </w:p>
    <w:p w14:paraId="4E3B9C58" w14:textId="77777777" w:rsidR="00DB2B68" w:rsidRDefault="00000000">
      <w:pPr>
        <w:pStyle w:val="pheading"/>
      </w:pPr>
      <w:r>
        <w:t>- Exécution</w:t>
      </w:r>
    </w:p>
    <w:p w14:paraId="5FE9AFD0" w14:textId="77777777" w:rsidR="00DB2B68" w:rsidRDefault="00000000">
      <w:r>
        <w:t>[NBN EN ISO 3766, Dessins de construction - Représentation simplifiée des armatures de béton (ISO 3766:2003) (+AC:2004)]</w:t>
      </w:r>
    </w:p>
    <w:p w14:paraId="230AA238" w14:textId="77777777" w:rsidR="00DB2B68" w:rsidRDefault="00000000">
      <w:pPr>
        <w:pStyle w:val="Author-eSectionHeading5Numberless"/>
      </w:pPr>
      <w:bookmarkStart w:id="932" w:name="_Toc220495976"/>
      <w:r>
        <w:t>22.51.1 Barres d'armatures pour béton CCTB 01.04</w:t>
      </w:r>
      <w:bookmarkEnd w:id="932"/>
    </w:p>
    <w:p w14:paraId="69FE0825" w14:textId="77777777" w:rsidR="00DB2B68" w:rsidRDefault="00000000">
      <w:pPr>
        <w:pStyle w:val="Author-eSectionHeading6Numberless"/>
      </w:pPr>
      <w:bookmarkStart w:id="933" w:name="233"/>
      <w:bookmarkStart w:id="934" w:name="_Toc220495977"/>
      <w:bookmarkEnd w:id="933"/>
      <w:r>
        <w:t>22.51.1a Barres d'armatures pour béton CCTB 01.07</w:t>
      </w:r>
      <w:bookmarkEnd w:id="934"/>
    </w:p>
    <w:p w14:paraId="518B706C" w14:textId="77777777" w:rsidR="00DB2B68" w:rsidRDefault="00000000">
      <w:pPr>
        <w:pStyle w:val="pheading"/>
      </w:pPr>
      <w:bookmarkStart w:id="935" w:name="493"/>
      <w:bookmarkEnd w:id="935"/>
      <w:r>
        <w:t>MESURAGE</w:t>
      </w:r>
    </w:p>
    <w:p w14:paraId="6D64B82C" w14:textId="77777777" w:rsidR="00DB2B68" w:rsidRDefault="00000000">
      <w:pPr>
        <w:pStyle w:val="pheading"/>
      </w:pPr>
      <w:r>
        <w:t>- unité de mesure:</w:t>
      </w:r>
    </w:p>
    <w:p w14:paraId="4BFA6120" w14:textId="77777777" w:rsidR="00DB2B68" w:rsidRDefault="00000000">
      <w:r>
        <w:t>Les aciers sont mesurés et payés au kg en fonction de la nuance d'acier.</w:t>
      </w:r>
      <w:r>
        <w:br/>
        <w:t>La masse volumique est fixée à 7 850 kg/m³.</w:t>
      </w:r>
    </w:p>
    <w:p w14:paraId="5F6CED41" w14:textId="77777777" w:rsidR="00DB2B68" w:rsidRDefault="00000000">
      <w:pPr>
        <w:pStyle w:val="pheading"/>
      </w:pPr>
      <w:r>
        <w:t>- code de mesurage:</w:t>
      </w:r>
    </w:p>
    <w:p w14:paraId="70D6AE47" w14:textId="77777777" w:rsidR="00DB2B68" w:rsidRDefault="00000000">
      <w:r>
        <w:t>Le prix unitaire comprend toutes les fournitures et prestations nécessaires à l'exécution des ferraillages, y compris le dressage, pliage, découpage, mise en place, calage, les crochets et les joints avec recouvrement et les ligatures en fil de fer recuit. Les chutes d'armatures, les ligatures, chaises et écarteurs ne sont pas portés en compte.</w:t>
      </w:r>
    </w:p>
    <w:p w14:paraId="76E8C78F" w14:textId="77777777" w:rsidR="00DB2B68" w:rsidRDefault="00000000">
      <w:r>
        <w:t>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r>
        <w:br/>
      </w:r>
      <w:r>
        <w:br/>
      </w:r>
    </w:p>
    <w:p w14:paraId="5B3CBD32" w14:textId="77777777" w:rsidR="00DB2B68" w:rsidRDefault="00000000">
      <w:pPr>
        <w:pStyle w:val="pheading"/>
      </w:pPr>
      <w:r>
        <w:t>- nature du marché:</w:t>
      </w:r>
    </w:p>
    <w:p w14:paraId="443317EE" w14:textId="77777777" w:rsidR="00DB2B68" w:rsidRDefault="00000000">
      <w:r>
        <w:rPr>
          <w:rStyle w:val="optioncarChar"/>
        </w:rPr>
        <w:t>PM</w:t>
      </w:r>
      <w:r>
        <w:t xml:space="preserve"> (par défaut) </w:t>
      </w:r>
      <w:r>
        <w:rPr>
          <w:rStyle w:val="optioncarChar"/>
        </w:rPr>
        <w:t>/ QF / QP</w:t>
      </w:r>
    </w:p>
    <w:p w14:paraId="7729ED75" w14:textId="77777777" w:rsidR="00DB2B68" w:rsidRDefault="00000000">
      <w:pPr>
        <w:pStyle w:val="Author-eSectionHeading6Numberless"/>
      </w:pPr>
      <w:bookmarkStart w:id="936" w:name="_Toc220495978"/>
      <w:r>
        <w:t>22.51.1b Barres d'armatures pour béton de rempiétement CCTB 01.11</w:t>
      </w:r>
      <w:bookmarkEnd w:id="936"/>
    </w:p>
    <w:p w14:paraId="1E87A634" w14:textId="77777777" w:rsidR="00DB2B68" w:rsidRDefault="00000000">
      <w:pPr>
        <w:pStyle w:val="Author-eSectionHeading6Numberless"/>
      </w:pPr>
      <w:bookmarkStart w:id="937" w:name="_Toc220495979"/>
      <w:r>
        <w:t>22.51.1c Barres d'armatures scellées dans du béton CCTB 01.11</w:t>
      </w:r>
      <w:bookmarkEnd w:id="937"/>
    </w:p>
    <w:p w14:paraId="54FFE6BD" w14:textId="77777777" w:rsidR="00DB2B68" w:rsidRDefault="00000000">
      <w:pPr>
        <w:pStyle w:val="Author-eSectionHeading6Numberless"/>
      </w:pPr>
      <w:bookmarkStart w:id="938" w:name="_Toc220495980"/>
      <w:r>
        <w:lastRenderedPageBreak/>
        <w:t>22.51.1d Barres d'armatures scellées dans de la maçonnerie CCTB 01.11</w:t>
      </w:r>
      <w:bookmarkEnd w:id="938"/>
    </w:p>
    <w:p w14:paraId="7843D64B" w14:textId="77777777" w:rsidR="00DB2B68" w:rsidRDefault="00000000">
      <w:pPr>
        <w:pStyle w:val="Author-eSectionHeading5Numberless"/>
      </w:pPr>
      <w:bookmarkStart w:id="939" w:name="_Toc220495981"/>
      <w:r>
        <w:t>22.51.2 Treillis et panneaux d'armatures préfabriqués CCTB 01.04</w:t>
      </w:r>
      <w:bookmarkEnd w:id="939"/>
    </w:p>
    <w:p w14:paraId="5D810231" w14:textId="77777777" w:rsidR="00DB2B68" w:rsidRDefault="00000000">
      <w:pPr>
        <w:pStyle w:val="Author-eSectionHeading6Numberless"/>
      </w:pPr>
      <w:bookmarkStart w:id="940" w:name="234"/>
      <w:bookmarkStart w:id="941" w:name="_Toc220495982"/>
      <w:bookmarkEnd w:id="940"/>
      <w:r>
        <w:t>22.51.2a Treillis d'armatures préfabriqués CCTB 01.13</w:t>
      </w:r>
      <w:bookmarkEnd w:id="941"/>
    </w:p>
    <w:p w14:paraId="393DF0E3" w14:textId="77777777" w:rsidR="00DB2B68" w:rsidRDefault="00000000">
      <w:pPr>
        <w:pStyle w:val="pheading"/>
      </w:pPr>
      <w:r>
        <w:t>DESCRIPTION</w:t>
      </w:r>
    </w:p>
    <w:p w14:paraId="184EFB33" w14:textId="77777777" w:rsidR="00DB2B68" w:rsidRDefault="00000000">
      <w:pPr>
        <w:pStyle w:val="pheading"/>
      </w:pPr>
      <w:r>
        <w:t>- Définition / Comprend</w:t>
      </w:r>
    </w:p>
    <w:p w14:paraId="290798FD" w14:textId="77777777" w:rsidR="00DB2B68" w:rsidRDefault="00000000">
      <w:r>
        <w:t>Il s’agit d’un ensemble constitué d'un seul ou de plusieurs types de fils, soudés entre eux électriquement par résistance dans une usine productrice, de manière à former un réseau plan à mailles rectangulaires ou carrées dont tous les nœuds sont soudés, selon le [PTV 304]. Par direction, les fils sont de même origine, de même nuance et de même diamètre.</w:t>
      </w:r>
      <w:r>
        <w:br/>
        <w:t>Les armatures peuvent éventuellement être dédoublées dans une seule direction du treillis; les mailles n'ont pas nécessairement toutes les mêmes dimensions.</w:t>
      </w:r>
    </w:p>
    <w:p w14:paraId="2384E400" w14:textId="77777777" w:rsidR="00DB2B68" w:rsidRDefault="00000000">
      <w:pPr>
        <w:pStyle w:val="Author-eSectionHeading6Numberless"/>
      </w:pPr>
      <w:bookmarkStart w:id="942" w:name="_Toc220495983"/>
      <w:r>
        <w:t>22.51.2b Panneaux plans d'armatures préfabriqués CCTB 01.11</w:t>
      </w:r>
      <w:bookmarkEnd w:id="942"/>
    </w:p>
    <w:p w14:paraId="3C2B8F6B" w14:textId="77777777" w:rsidR="00DB2B68" w:rsidRDefault="00000000">
      <w:pPr>
        <w:pStyle w:val="pheading"/>
      </w:pPr>
      <w:r>
        <w:t>DESCRIPTION</w:t>
      </w:r>
    </w:p>
    <w:p w14:paraId="6E29D748" w14:textId="77777777" w:rsidR="00DB2B68" w:rsidRDefault="00000000">
      <w:pPr>
        <w:pStyle w:val="pheading"/>
      </w:pPr>
      <w:r>
        <w:t>- Définition / Comprend</w:t>
      </w:r>
    </w:p>
    <w:p w14:paraId="5634D612" w14:textId="77777777" w:rsidR="00DB2B68" w:rsidRDefault="00000000">
      <w:r>
        <w:t>Il s’agit d’un ensemble constitué d'un seul ou de plusieurs types de fils ou barres, soudés entre eux dans une entreprise productrice, de manière à former un réseau plan à mailles rectangulaires ou carrées, selon le [PTV 308]. Par direction, les fils ou barres sont de même origine et du même diamètre.</w:t>
      </w:r>
    </w:p>
    <w:p w14:paraId="4405668D" w14:textId="77777777" w:rsidR="00DB2B68" w:rsidRDefault="00000000">
      <w:r>
        <w:t>Ce type de panneaux plans d’armatures est caractérisé comme suit :</w:t>
      </w:r>
    </w:p>
    <w:p w14:paraId="1E3C0C49" w14:textId="77777777" w:rsidR="00DB2B68" w:rsidRDefault="00000000">
      <w:pPr>
        <w:ind w:left="567"/>
      </w:pPr>
      <w:r>
        <w:t>- les nœuds du « panneau » ne sont pas nécessairement tous soudés ;</w:t>
      </w:r>
      <w:r>
        <w:br/>
        <w:t>- une résistance limitée au cisaillement des soudures est garantie ;</w:t>
      </w:r>
      <w:r>
        <w:br/>
        <w:t xml:space="preserve">- il n’y a pas de limitation du diamètre maximum des fils ou barres constitutifs du panneau ; </w:t>
      </w:r>
      <w:r>
        <w:br/>
        <w:t>- il n’y a pas de minimum au rapport entre les diamètres nominaux du plus petit au plus gros diamètre de fil ou barre du « panneau » ;</w:t>
      </w:r>
      <w:r>
        <w:br/>
        <w:t>- les armatures, dans une direction, peuvent n’avoir qu’une fonction d’écarteur sans aucune autre caractéristique demandée.</w:t>
      </w:r>
    </w:p>
    <w:p w14:paraId="00B016ED" w14:textId="77777777" w:rsidR="00DB2B68" w:rsidRDefault="00000000">
      <w:pPr>
        <w:pStyle w:val="Author-eSectionHeading5Numberless"/>
      </w:pPr>
      <w:bookmarkStart w:id="943" w:name="_Toc220495984"/>
      <w:r>
        <w:t>22.51.3 Fibres de renforcement de béton CCTB 01.02</w:t>
      </w:r>
      <w:bookmarkEnd w:id="943"/>
    </w:p>
    <w:p w14:paraId="7E6C43BB" w14:textId="77777777" w:rsidR="00DB2B68" w:rsidRDefault="00000000">
      <w:pPr>
        <w:pStyle w:val="Author-eSectionHeading6Numberless"/>
      </w:pPr>
      <w:bookmarkStart w:id="944" w:name="525"/>
      <w:bookmarkStart w:id="945" w:name="_Toc220495985"/>
      <w:bookmarkEnd w:id="944"/>
      <w:r>
        <w:t>22.51.3a Fibres d'acier de renforcement de béton CCTB 01.11</w:t>
      </w:r>
      <w:bookmarkEnd w:id="945"/>
    </w:p>
    <w:p w14:paraId="1A6F61A3" w14:textId="77777777" w:rsidR="00DB2B68" w:rsidRDefault="00000000">
      <w:pPr>
        <w:pStyle w:val="pheading"/>
      </w:pPr>
      <w:bookmarkStart w:id="946" w:name="218"/>
      <w:bookmarkEnd w:id="946"/>
      <w:r>
        <w:t>DESCRIPTION</w:t>
      </w:r>
    </w:p>
    <w:p w14:paraId="3E015D3E" w14:textId="77777777" w:rsidR="00DB2B68" w:rsidRDefault="00000000">
      <w:pPr>
        <w:pStyle w:val="pheading"/>
      </w:pPr>
      <w:r>
        <w:t>- Définition / Comprend</w:t>
      </w:r>
    </w:p>
    <w:p w14:paraId="5562E1BF" w14:textId="77777777" w:rsidR="00DB2B68" w:rsidRDefault="00000000">
      <w:pPr>
        <w:jc w:val="both"/>
      </w:pPr>
      <w:r>
        <w:t>Cet article comprend la fourniture et la mise en œuvre de fibres d’acier de renforcement du béton conformément à la portée décrite dans l’élément </w:t>
      </w:r>
      <w:hyperlink w:anchor="525" w:history="1">
        <w:r>
          <w:rPr>
            <w:color w:val="0000EE"/>
          </w:rPr>
          <w:t>22.51.3 Fibres de renforcement de béton</w:t>
        </w:r>
      </w:hyperlink>
      <w:r>
        <w:t> .</w:t>
      </w:r>
    </w:p>
    <w:p w14:paraId="4D7B4E81" w14:textId="77777777" w:rsidR="00DB2B68" w:rsidRDefault="00000000">
      <w:pPr>
        <w:pStyle w:val="pheading"/>
      </w:pPr>
      <w:r>
        <w:t>- Localisation</w:t>
      </w:r>
    </w:p>
    <w:p w14:paraId="0E7F76D8" w14:textId="77777777" w:rsidR="00DB2B68" w:rsidRDefault="00000000">
      <w:r>
        <w:t xml:space="preserve">L’incorporation des fibres est réalisée dans les éléments suivants : </w:t>
      </w:r>
      <w:r>
        <w:rPr>
          <w:rStyle w:val="optioncarChar"/>
        </w:rPr>
        <w:t>***</w:t>
      </w:r>
      <w:r>
        <w:t>.</w:t>
      </w:r>
    </w:p>
    <w:p w14:paraId="4AFEF6FD" w14:textId="77777777" w:rsidR="00DB2B68" w:rsidRDefault="00000000">
      <w:r>
        <w:t>Voir plans et métrés détaillés.</w:t>
      </w:r>
    </w:p>
    <w:p w14:paraId="32561C6E" w14:textId="77777777" w:rsidR="00DB2B68" w:rsidRDefault="00000000">
      <w:pPr>
        <w:pStyle w:val="pheading"/>
      </w:pPr>
      <w:r>
        <w:t>MATÉRIAUX</w:t>
      </w:r>
    </w:p>
    <w:p w14:paraId="2C8D7D9B" w14:textId="77777777" w:rsidR="00DB2B68" w:rsidRDefault="00000000">
      <w:pPr>
        <w:pStyle w:val="pheading"/>
      </w:pPr>
      <w:r>
        <w:t>- Caractéristiques générales</w:t>
      </w:r>
    </w:p>
    <w:p w14:paraId="4B186E63" w14:textId="77777777" w:rsidR="00DB2B68" w:rsidRDefault="00000000">
      <w:pPr>
        <w:jc w:val="both"/>
      </w:pPr>
      <w:r>
        <w:t>Il s’agit d’éléments droits ou déformés provenant de fil étiré à froid, de tôle découpée, d'extraits de coulée, de fil étiré à froid raboté ou de blocs d'acier fraisés dont la forme et/ou la structure de surface assure un ancrage mécanique dans le béton durci. Les fibres doivent pouvoir être mélangées de façon homogène dans le béton.</w:t>
      </w:r>
    </w:p>
    <w:p w14:paraId="034FA5F5" w14:textId="77777777" w:rsidR="00DB2B68" w:rsidRDefault="00000000">
      <w:pPr>
        <w:jc w:val="both"/>
      </w:pPr>
      <w:r>
        <w:t>La résistance caractéristique à la traction pour les différentes fibres d'acier est d'au moins 1000 MPa. Les dimensions nominales des fibres d'acier sont déterminées par le fabricant qui tient compte :</w:t>
      </w:r>
    </w:p>
    <w:p w14:paraId="219E6140" w14:textId="77777777" w:rsidR="00DB2B68" w:rsidRDefault="00000000">
      <w:pPr>
        <w:pStyle w:val="Author-eListParagraph"/>
        <w:numPr>
          <w:ilvl w:val="0"/>
          <w:numId w:val="645"/>
        </w:numPr>
      </w:pPr>
      <w:r>
        <w:lastRenderedPageBreak/>
        <w:t>du diamètre nominal (d) compris entre 0,40 et 1,00 mm;</w:t>
      </w:r>
    </w:p>
    <w:p w14:paraId="5405A566" w14:textId="77777777" w:rsidR="00DB2B68" w:rsidRDefault="00000000">
      <w:pPr>
        <w:pStyle w:val="Author-eListParagraph"/>
        <w:numPr>
          <w:ilvl w:val="0"/>
          <w:numId w:val="645"/>
        </w:numPr>
      </w:pPr>
      <w:r>
        <w:t>de la longueur nominale (l) comprise entre 30 et 80 mm;</w:t>
      </w:r>
    </w:p>
    <w:p w14:paraId="77A72007" w14:textId="77777777" w:rsidR="00DB2B68" w:rsidRDefault="00000000">
      <w:pPr>
        <w:pStyle w:val="Author-eListParagraph"/>
        <w:numPr>
          <w:ilvl w:val="0"/>
          <w:numId w:val="645"/>
        </w:numPr>
      </w:pPr>
      <w:r>
        <w:t>du rapport l/d supérieur à 60.</w:t>
      </w:r>
    </w:p>
    <w:p w14:paraId="6184B4E9" w14:textId="77777777" w:rsidR="00DB2B68" w:rsidRDefault="00000000">
      <w:r>
        <w:t>Les fibres d’acier doivent satisfaire aux prescriptions de la [NBN EN 14889-1].  Par ailleurs, les fibres disposent également d'une déclaration d'aptitude à l'utilisation suivant les prescriptions de l'élément 02.42.1 Critères d'acceptabilité.</w:t>
      </w:r>
    </w:p>
    <w:p w14:paraId="3B1D3EF6" w14:textId="77777777" w:rsidR="00DB2B68" w:rsidRDefault="00000000">
      <w:pPr>
        <w:jc w:val="both"/>
      </w:pPr>
      <w:r>
        <w:t xml:space="preserve">Les fibres sont en </w:t>
      </w:r>
      <w:r>
        <w:rPr>
          <w:rStyle w:val="optioncarChar"/>
        </w:rPr>
        <w:t>acier</w:t>
      </w:r>
      <w:r>
        <w:t xml:space="preserve"> (par défaut)</w:t>
      </w:r>
      <w:r>
        <w:rPr>
          <w:rStyle w:val="optioncarChar"/>
        </w:rPr>
        <w:t xml:space="preserve"> / acier galvanisé / acier inoxydable.</w:t>
      </w:r>
      <w:r>
        <w:t> </w:t>
      </w:r>
    </w:p>
    <w:p w14:paraId="6C0547EB" w14:textId="77777777" w:rsidR="00DB2B68" w:rsidRDefault="00000000">
      <w:pPr>
        <w:jc w:val="both"/>
      </w:pPr>
      <w:r>
        <w:t>Les éléments métalliques galvanisés doivent obligatoirement être protégés contre la corrosion  par galvanisation thermique ou électrolytique à raison de 30 g/m² en moyenne.</w:t>
      </w:r>
    </w:p>
    <w:p w14:paraId="21A4F96F" w14:textId="77777777" w:rsidR="00DB2B68" w:rsidRDefault="00000000">
      <w:pPr>
        <w:jc w:val="both"/>
      </w:pPr>
      <w:r>
        <w:t xml:space="preserve">La résistance post-fissuration apportée par les fibres dans le béton est exprimée par la classe de ductilité définie dans le [FIB Model Code 2010].  La résistance caractéristique post-fissuration pour une ouverture de fissure de 0,5mm (fR1,k selon [NBN EN 14651+A1]), fournie par le dosage en fibres utilisé dans le béton, est supérieure ou égale à : </w:t>
      </w:r>
      <w:r>
        <w:rPr>
          <w:rStyle w:val="optioncarChar"/>
        </w:rPr>
        <w:t>1.0</w:t>
      </w:r>
      <w:r>
        <w:t xml:space="preserve"> (par défaut) </w:t>
      </w:r>
      <w:r>
        <w:rPr>
          <w:rStyle w:val="optioncarChar"/>
        </w:rPr>
        <w:t>/ 1.5 / 2.0 / 2.5 / 3.0 / 4.0 / 5.0 / 6.0 / 7.0 / 8.0 / *** </w:t>
      </w:r>
      <w:r>
        <w:t xml:space="preserve"> MPa. Le rapport entre la résistance caractéristique post-fissuration pour une ouverture de fissure de 2,5mm (fR3,k selon la [NBN EN 14651+A1]) et fr1,k vaut : </w:t>
      </w:r>
      <w:r>
        <w:rPr>
          <w:rStyle w:val="optioncarChar"/>
        </w:rPr>
        <w:t>entre 0,5 et 0,7</w:t>
      </w:r>
      <w:r>
        <w:t xml:space="preserve">  (par défaut) </w:t>
      </w:r>
      <w:r>
        <w:rPr>
          <w:rStyle w:val="optioncarChar"/>
        </w:rPr>
        <w:t>/ entre 0,7 et 0,9 / entre 0,9 et 1,1 / entre 1,1 et 1,3 / supérieur à 1,3</w:t>
      </w:r>
      <w:r>
        <w:t>. </w:t>
      </w:r>
    </w:p>
    <w:p w14:paraId="5101E2ED" w14:textId="77777777" w:rsidR="00DB2B68" w:rsidRDefault="00000000">
      <w:pPr>
        <w:pStyle w:val="pheading"/>
      </w:pPr>
      <w:r>
        <w:t>- Prescriptions complémentaires</w:t>
      </w:r>
    </w:p>
    <w:p w14:paraId="506B8280" w14:textId="77777777" w:rsidR="00DB2B68" w:rsidRDefault="00000000">
      <w:pPr>
        <w:pStyle w:val="Author-eListParagraph"/>
        <w:numPr>
          <w:ilvl w:val="0"/>
          <w:numId w:val="646"/>
        </w:numPr>
        <w:jc w:val="both"/>
      </w:pPr>
      <w:r>
        <w:rPr>
          <w:rStyle w:val="facultChar"/>
        </w:rPr>
        <w:t>Les fibres ne peuvent se détériorer sous les conditions de stockage recommandées par le fournisseur.</w:t>
      </w:r>
    </w:p>
    <w:p w14:paraId="477A51A0" w14:textId="77777777" w:rsidR="00DB2B68" w:rsidRDefault="00000000">
      <w:pPr>
        <w:pStyle w:val="Author-eListParagraph"/>
        <w:numPr>
          <w:ilvl w:val="0"/>
          <w:numId w:val="646"/>
        </w:numPr>
        <w:jc w:val="both"/>
      </w:pPr>
      <w:r>
        <w:rPr>
          <w:rStyle w:val="facultChar"/>
        </w:rPr>
        <w:t>Les fibres doivent pouvoir résister à la phase de mixage, de transport et de mise en œuvre sans perte significative de leurs propriétés.</w:t>
      </w:r>
    </w:p>
    <w:p w14:paraId="3A9A3AE5" w14:textId="77777777" w:rsidR="00DB2B68" w:rsidRDefault="00000000">
      <w:pPr>
        <w:jc w:val="both"/>
      </w:pPr>
      <w:r>
        <w:rPr>
          <w:rStyle w:val="facultChar"/>
        </w:rPr>
        <w:t>Pour des applications particulières pour lesquelles l’épaisseur des éléments à réaliser en béton de fibres est inférieure à 150 mm, ou si un processus de bétonnage non traditionnel est utilisé, des essais sont réalisés à charge de l’entrepreneur pour déterminer si des effets négatifs d’orientation des fibres sur les propriétés mécaniques sont générés lors du coulage du béton.  Des essais de flexion suivant les principes de la [NBN EN 14651+A1] sur des échantillons témoins représentatifs sont réalisés à cet égard.</w:t>
      </w:r>
    </w:p>
    <w:p w14:paraId="49D23FE1" w14:textId="77777777" w:rsidR="00DB2B68" w:rsidRDefault="00000000">
      <w:pPr>
        <w:pStyle w:val="pheading"/>
      </w:pPr>
      <w:r>
        <w:t>EXÉCUTION / MISE EN ŒUVRE</w:t>
      </w:r>
    </w:p>
    <w:p w14:paraId="21E968AA" w14:textId="77777777" w:rsidR="00DB2B68" w:rsidRDefault="00000000">
      <w:pPr>
        <w:pStyle w:val="pheading"/>
      </w:pPr>
      <w:r>
        <w:t>- Prescriptions générales</w:t>
      </w:r>
    </w:p>
    <w:p w14:paraId="12611801" w14:textId="77777777" w:rsidR="00DB2B68" w:rsidRDefault="00000000">
      <w:pPr>
        <w:jc w:val="both"/>
      </w:pPr>
      <w:r>
        <w:t>L’exécution est réalisée suivant les principes de la [NBN EN 13670] et la [NBN B 15-400].   Les fibres peuvent être introduites à différentes phases de la fabrication du mélange mais jamais comme premier constituant.  Des systèmes spécifiques peuvent être utilisés pour injecter de manière régulière les fibres dans le béton en garantissant la quantité introduite.</w:t>
      </w:r>
    </w:p>
    <w:p w14:paraId="31E29476" w14:textId="77777777" w:rsidR="00DB2B68" w:rsidRDefault="00000000">
      <w:pPr>
        <w:jc w:val="both"/>
      </w:pPr>
      <w:r>
        <w:t>Le temps de mélange doit permettre une distribution homogène correcte des fibres et dépend du type et de la quantité de fibres utilisés.</w:t>
      </w:r>
    </w:p>
    <w:p w14:paraId="5C665240" w14:textId="77777777" w:rsidR="00DB2B68" w:rsidRDefault="00000000">
      <w:pPr>
        <w:jc w:val="both"/>
      </w:pPr>
      <w:r>
        <w:t>Pour le pompage du béton de fibres, d’autres exigences peuvent être nécessaires, comme un diamètre des tuyaux supérieur à 1,5 fois la longueur des fibres. Le pompage de ces bétons nécessite une étude particulière de la composition, étant donné que le dosage en fibres dépend, outre du Dmax et de l’élancement des fibres, du fait que le béton soit pompé ou non.  Cette étude est à charge de l’entrepreneur.</w:t>
      </w:r>
    </w:p>
    <w:p w14:paraId="5C6E43DB" w14:textId="77777777" w:rsidR="00DB2B68" w:rsidRDefault="00000000">
      <w:pPr>
        <w:pStyle w:val="pheading"/>
      </w:pPr>
      <w:r>
        <w:t>DOCUMENTS DE RÉFÉRENCE COMPLÉMENTAIRES</w:t>
      </w:r>
    </w:p>
    <w:p w14:paraId="0D2E03E6" w14:textId="77777777" w:rsidR="00DB2B68" w:rsidRDefault="00000000">
      <w:pPr>
        <w:pStyle w:val="pheading"/>
      </w:pPr>
      <w:r>
        <w:t>- Matériau</w:t>
      </w:r>
    </w:p>
    <w:p w14:paraId="39585224" w14:textId="77777777" w:rsidR="00DB2B68" w:rsidRDefault="00000000">
      <w:r>
        <w:t>[NBN EN 14889-1, Fibres pour béton - Partie 1 : Fibres d'acier - Définitions, spécifications et conformité]</w:t>
      </w:r>
      <w:r>
        <w:br/>
      </w:r>
      <w:r>
        <w:br/>
        <w:t>[NBN EN 14651+A1, Méthode d'essai du béton de fibres métalliques - Mesurage de la résistance à la traction par flexion (limite de proportionnalité (LOP), résistance résiduelle)]</w:t>
      </w:r>
    </w:p>
    <w:p w14:paraId="0C5402C7" w14:textId="77777777" w:rsidR="00DB2B68" w:rsidRDefault="00000000">
      <w:r>
        <w:t>[FIB Model Code 2010, Model Code for Concrete Structures 2010]</w:t>
      </w:r>
    </w:p>
    <w:p w14:paraId="0DFB3BA7" w14:textId="77777777" w:rsidR="00DB2B68" w:rsidRDefault="00DB2B68"/>
    <w:p w14:paraId="7A2C2159" w14:textId="77777777" w:rsidR="00DB2B68" w:rsidRDefault="00000000">
      <w:pPr>
        <w:pStyle w:val="pheading"/>
      </w:pPr>
      <w:r>
        <w:t>- Exécution</w:t>
      </w:r>
    </w:p>
    <w:p w14:paraId="0A084F91" w14:textId="77777777" w:rsidR="00DB2B68" w:rsidRDefault="00000000">
      <w:r>
        <w:t>[NBN EN 13670, Exécution des structures en béton]</w:t>
      </w:r>
      <w:r>
        <w:br/>
      </w:r>
      <w:r>
        <w:br/>
        <w:t>[NBN B 15-400, Exécution des structures en béton - Supplément national à la NBN EN 13670:2010]</w:t>
      </w:r>
    </w:p>
    <w:p w14:paraId="7BE12771" w14:textId="77777777" w:rsidR="00DB2B68" w:rsidRDefault="00000000">
      <w:pPr>
        <w:pStyle w:val="pheading"/>
      </w:pPr>
      <w:r>
        <w:t>MESURAGE</w:t>
      </w:r>
    </w:p>
    <w:p w14:paraId="07B31BFB" w14:textId="77777777" w:rsidR="00DB2B68" w:rsidRDefault="00000000">
      <w:pPr>
        <w:pStyle w:val="pheading"/>
      </w:pPr>
      <w:r>
        <w:t>- unité de mesure:</w:t>
      </w:r>
    </w:p>
    <w:p w14:paraId="7D451E75" w14:textId="77777777" w:rsidR="00DB2B68" w:rsidRDefault="00000000">
      <w:r>
        <w:t>-</w:t>
      </w:r>
    </w:p>
    <w:p w14:paraId="5FAE6A22" w14:textId="77777777" w:rsidR="00DB2B68" w:rsidRDefault="00000000">
      <w:pPr>
        <w:pStyle w:val="pheading"/>
      </w:pPr>
      <w:r>
        <w:t>- code de mesurage:</w:t>
      </w:r>
    </w:p>
    <w:p w14:paraId="412A8F77" w14:textId="77777777" w:rsidR="00DB2B68" w:rsidRDefault="00000000">
      <w:r>
        <w:t>Compris dans les prix unitaires des ouvrages en béton concernés dans l'/les article(s)</w:t>
      </w:r>
      <w:r>
        <w:rPr>
          <w:rStyle w:val="optioncarChar"/>
        </w:rPr>
        <w:t xml:space="preserve"> ***</w:t>
      </w:r>
      <w:r>
        <w:t>.</w:t>
      </w:r>
    </w:p>
    <w:p w14:paraId="18CE9E67" w14:textId="77777777" w:rsidR="00DB2B68" w:rsidRDefault="00000000">
      <w:pPr>
        <w:pStyle w:val="pheading"/>
      </w:pPr>
      <w:r>
        <w:t>- nature du marché:</w:t>
      </w:r>
    </w:p>
    <w:p w14:paraId="499F848C" w14:textId="77777777" w:rsidR="00DB2B68" w:rsidRDefault="00000000">
      <w:r>
        <w:t>PM</w:t>
      </w:r>
    </w:p>
    <w:p w14:paraId="07ACD25E" w14:textId="77777777" w:rsidR="00DB2B68" w:rsidRDefault="00000000">
      <w:pPr>
        <w:pStyle w:val="pheading"/>
      </w:pPr>
      <w:r>
        <w:t>AIDE</w:t>
      </w:r>
    </w:p>
    <w:p w14:paraId="0C0F1C05" w14:textId="77777777" w:rsidR="00DB2B68" w:rsidRDefault="00000000">
      <w:pPr>
        <w:jc w:val="both"/>
      </w:pPr>
      <w:r>
        <w:t>En cas d’usage structural, le calcul de résistance mécanique des éléments en béton de fibres métalliques est conforme au [FIB Model Code 2010].</w:t>
      </w:r>
    </w:p>
    <w:p w14:paraId="3AB2A450" w14:textId="77777777" w:rsidR="00DB2B68" w:rsidRDefault="00000000">
      <w:pPr>
        <w:jc w:val="both"/>
      </w:pPr>
      <w:r>
        <w:t>L’obtention d’une performance mécanique spécifique par un béton de fibres est indissociable du  type de béton utilisé (fuseau granulaire, quantité de ciment, etc.) par rapport aux fibres utilisées.  Des classes de ductilité ne peuvent donc être associées avec n’importe quelle composition de béton.</w:t>
      </w:r>
    </w:p>
    <w:p w14:paraId="72566940" w14:textId="77777777" w:rsidR="00DB2B68" w:rsidRDefault="00000000">
      <w:pPr>
        <w:pStyle w:val="Author-eSectionHeading6Numberless"/>
      </w:pPr>
      <w:bookmarkStart w:id="947" w:name="_Toc220495986"/>
      <w:r>
        <w:t>22.51.3b Fibres synthétiques de renforcement de béton CCTB 01.11</w:t>
      </w:r>
      <w:bookmarkEnd w:id="947"/>
    </w:p>
    <w:p w14:paraId="7810B46F" w14:textId="77777777" w:rsidR="00DB2B68" w:rsidRDefault="00000000">
      <w:pPr>
        <w:pStyle w:val="pheading"/>
      </w:pPr>
      <w:r>
        <w:t>DESCRIPTION</w:t>
      </w:r>
    </w:p>
    <w:p w14:paraId="33E6EDA7" w14:textId="77777777" w:rsidR="00DB2B68" w:rsidRDefault="00000000">
      <w:pPr>
        <w:pStyle w:val="pheading"/>
      </w:pPr>
      <w:r>
        <w:t>- Définition / Comprend</w:t>
      </w:r>
    </w:p>
    <w:p w14:paraId="3D37E5BA" w14:textId="77777777" w:rsidR="00DB2B68" w:rsidRDefault="00000000">
      <w:pPr>
        <w:jc w:val="both"/>
      </w:pPr>
      <w:r>
        <w:t xml:space="preserve">Cet article comprend la fourniture et la mise en œuvre de fibres synthétiques de renforcement du béton conformément à la portée décrite dans l'élément </w:t>
      </w:r>
      <w:hyperlink w:anchor="525" w:history="1">
        <w:r>
          <w:rPr>
            <w:color w:val="0000EE"/>
          </w:rPr>
          <w:t>22.51.3 Fibres de renforcement de béton</w:t>
        </w:r>
      </w:hyperlink>
    </w:p>
    <w:p w14:paraId="2474E40B" w14:textId="77777777" w:rsidR="00DB2B68" w:rsidRDefault="00000000">
      <w:pPr>
        <w:pStyle w:val="pheading"/>
      </w:pPr>
      <w:r>
        <w:t>- Localisation</w:t>
      </w:r>
    </w:p>
    <w:p w14:paraId="335D3ACF" w14:textId="77777777" w:rsidR="00DB2B68" w:rsidRDefault="00000000">
      <w:r>
        <w:t xml:space="preserve">L’incorporation des fibres sera réalisée dans les éléments suivants : </w:t>
      </w:r>
      <w:r>
        <w:rPr>
          <w:rStyle w:val="optioncarChar"/>
        </w:rPr>
        <w:t>***</w:t>
      </w:r>
      <w:r>
        <w:t>.</w:t>
      </w:r>
    </w:p>
    <w:p w14:paraId="1AA5F59D" w14:textId="77777777" w:rsidR="00DB2B68" w:rsidRDefault="00000000">
      <w:r>
        <w:t>Voir plans et métrés détaillés.</w:t>
      </w:r>
    </w:p>
    <w:p w14:paraId="6BCC366A" w14:textId="77777777" w:rsidR="00DB2B68" w:rsidRDefault="00000000">
      <w:pPr>
        <w:pStyle w:val="pheading"/>
      </w:pPr>
      <w:r>
        <w:t>MATÉRIAUX</w:t>
      </w:r>
    </w:p>
    <w:p w14:paraId="14506B0F" w14:textId="77777777" w:rsidR="00DB2B68" w:rsidRDefault="00000000">
      <w:pPr>
        <w:pStyle w:val="pheading"/>
      </w:pPr>
      <w:r>
        <w:t>- Caractéristiques générales</w:t>
      </w:r>
    </w:p>
    <w:p w14:paraId="6C27DD50" w14:textId="77777777" w:rsidR="00DB2B68" w:rsidRDefault="00000000">
      <w:pPr>
        <w:jc w:val="both"/>
      </w:pPr>
      <w:r>
        <w:t>Les fibres synthétiques consistent en des fibres à base de polymère(s) présentant différentes compositions et différentes propriétés.  Les fibres fabriquées à base de polypropylène, polyacrylnitrile, vinylal, polyéthylène et des polyamides aromatiques (aramide) ont déjà prouvé leur efficience pour améliorer certaines propriétés spécifiques du béton. Typiquement, le polypropylène ou le polyéthylène (ou un mélange des deux) sont les bases les plus répandues.</w:t>
      </w:r>
    </w:p>
    <w:p w14:paraId="50622F1C" w14:textId="77777777" w:rsidR="00DB2B68" w:rsidRDefault="00000000">
      <w:pPr>
        <w:jc w:val="both"/>
      </w:pPr>
      <w:r>
        <w:t>Les fibres peuvent être utilisées dans toutes les applications de béton ou de mortier, y compris les applications de béton projeté, les dalles de sol, les éléments préfabriqués, du béton coulé en place ou utilisé en réparation.</w:t>
      </w:r>
    </w:p>
    <w:p w14:paraId="61B6387C" w14:textId="77777777" w:rsidR="00DB2B68" w:rsidRDefault="00000000">
      <w:pPr>
        <w:jc w:val="both"/>
      </w:pPr>
      <w:r>
        <w:t>Les fibres synthétiques doivent satisfaire aux prescriptions de la [NBN EN 14889-2].  Par ailleurs, les fibres disposent également d'une déclaration d'aptitude à l'utilisation suivant les prescriptions de l'élément 02.42.1 Critères d'acceptabilité.</w:t>
      </w:r>
    </w:p>
    <w:p w14:paraId="26A1DBCB" w14:textId="77777777" w:rsidR="00DB2B68" w:rsidRDefault="00000000">
      <w:pPr>
        <w:jc w:val="both"/>
      </w:pPr>
      <w:r>
        <w:t>On distingue quatre groupes de fibres :</w:t>
      </w:r>
    </w:p>
    <w:p w14:paraId="2A79C00E" w14:textId="77777777" w:rsidR="00DB2B68" w:rsidRDefault="00000000">
      <w:pPr>
        <w:jc w:val="both"/>
      </w:pPr>
      <w:r>
        <w:t>Groupe Ia         : les micro-fibres mono-filament avec diamètre (équivalent) ≤ 0,05 mm</w:t>
      </w:r>
    </w:p>
    <w:p w14:paraId="1BC9B39A" w14:textId="77777777" w:rsidR="00DB2B68" w:rsidRDefault="00000000">
      <w:pPr>
        <w:jc w:val="both"/>
      </w:pPr>
      <w:r>
        <w:t>Groupe Ib         : les micro-fibres fibrillées</w:t>
      </w:r>
    </w:p>
    <w:p w14:paraId="23FBDE9C" w14:textId="77777777" w:rsidR="00DB2B68" w:rsidRDefault="00000000">
      <w:pPr>
        <w:jc w:val="both"/>
      </w:pPr>
      <w:r>
        <w:lastRenderedPageBreak/>
        <w:t>Groupe Ic         : les méso-fibres mono-filament avec 0,05 mm &lt; diamètre (équivalent) ≤ 0,30 mm</w:t>
      </w:r>
    </w:p>
    <w:p w14:paraId="1097BAFA" w14:textId="77777777" w:rsidR="00DB2B68" w:rsidRDefault="00000000">
      <w:pPr>
        <w:jc w:val="both"/>
      </w:pPr>
      <w:r>
        <w:t>Groupe II          : les macro-fibres mono-filament avec diamètre (équivalent) &gt; 0,30 mm</w:t>
      </w:r>
    </w:p>
    <w:p w14:paraId="27ECB40E" w14:textId="77777777" w:rsidR="00DB2B68" w:rsidRDefault="00000000">
      <w:pPr>
        <w:jc w:val="both"/>
      </w:pPr>
      <w:r>
        <w:t> </w:t>
      </w:r>
    </w:p>
    <w:p w14:paraId="3EC44F82" w14:textId="77777777" w:rsidR="00DB2B68" w:rsidRDefault="00000000">
      <w:pPr>
        <w:jc w:val="both"/>
      </w:pPr>
      <w:r>
        <w:t xml:space="preserve">Le type d’usage des fibres est </w:t>
      </w:r>
      <w:r>
        <w:rPr>
          <w:rStyle w:val="optioncarChar"/>
        </w:rPr>
        <w:t>non structural / structural</w:t>
      </w:r>
      <w:r>
        <w:t>.</w:t>
      </w:r>
    </w:p>
    <w:p w14:paraId="0C2B0094" w14:textId="77777777" w:rsidR="00DB2B68" w:rsidRDefault="00000000">
      <w:pPr>
        <w:jc w:val="both"/>
      </w:pPr>
      <w:r>
        <w:rPr>
          <w:b/>
          <w:i/>
        </w:rPr>
        <w:t>(Soit)</w:t>
      </w:r>
    </w:p>
    <w:p w14:paraId="68C1D2C7" w14:textId="77777777" w:rsidR="00DB2B68" w:rsidRDefault="00000000">
      <w:pPr>
        <w:jc w:val="both"/>
      </w:pPr>
      <w:r>
        <w:rPr>
          <w:rStyle w:val="soitChar"/>
          <w:u w:val="single"/>
        </w:rPr>
        <w:t>Type d’usage des fibres : Non structural</w:t>
      </w:r>
      <w:r>
        <w:rPr>
          <w:rStyle w:val="soitChar"/>
        </w:rPr>
        <w:t xml:space="preserve">.  L’objectif est soit d’éviter les problèmes d’éclatement dans les bétons à haute résistance en cas d’incendie ou soit pour réduire les effets du retrait du béton en phase plastique.  Les fibres sont du groupe </w:t>
      </w:r>
      <w:r>
        <w:rPr>
          <w:rStyle w:val="optioncarChar"/>
        </w:rPr>
        <w:t>Ia / Ib</w:t>
      </w:r>
      <w:r>
        <w:rPr>
          <w:rStyle w:val="soitChar"/>
        </w:rPr>
        <w:t>.</w:t>
      </w:r>
    </w:p>
    <w:p w14:paraId="6EC01227" w14:textId="77777777" w:rsidR="00DB2B68" w:rsidRDefault="00000000">
      <w:pPr>
        <w:jc w:val="both"/>
      </w:pPr>
      <w:r>
        <w:rPr>
          <w:b/>
          <w:i/>
        </w:rPr>
        <w:t>(Soit)</w:t>
      </w:r>
    </w:p>
    <w:p w14:paraId="598557A7" w14:textId="77777777" w:rsidR="00DB2B68" w:rsidRDefault="00000000">
      <w:pPr>
        <w:jc w:val="both"/>
      </w:pPr>
      <w:r>
        <w:rPr>
          <w:rStyle w:val="soitChar"/>
          <w:u w:val="single"/>
        </w:rPr>
        <w:t>Type d’usage des fibres : Structural.</w:t>
      </w:r>
      <w:r>
        <w:rPr>
          <w:rStyle w:val="soitChar"/>
        </w:rPr>
        <w:t xml:space="preserve">  L’objectif est de fournir une contribution à la capacité portante de l’élément, principalement via une participation à la résistance en flexion post-fissuration (usage structural).  Les fibres appartiennent au groupe </w:t>
      </w:r>
      <w:r>
        <w:rPr>
          <w:rStyle w:val="optioncarChar"/>
        </w:rPr>
        <w:t>Ic / II</w:t>
      </w:r>
      <w:r>
        <w:rPr>
          <w:rStyle w:val="soitChar"/>
        </w:rPr>
        <w:t>.</w:t>
      </w:r>
    </w:p>
    <w:p w14:paraId="6B809AAD" w14:textId="77777777" w:rsidR="00DB2B68" w:rsidRDefault="00000000">
      <w:pPr>
        <w:pStyle w:val="pheading"/>
      </w:pPr>
      <w:r>
        <w:t>- Prescriptions complémentaires</w:t>
      </w:r>
    </w:p>
    <w:p w14:paraId="3FBAC619" w14:textId="77777777" w:rsidR="00DB2B68" w:rsidRDefault="00000000">
      <w:pPr>
        <w:pStyle w:val="Author-eListParagraph"/>
        <w:numPr>
          <w:ilvl w:val="0"/>
          <w:numId w:val="647"/>
        </w:numPr>
      </w:pPr>
      <w:r>
        <w:rPr>
          <w:rStyle w:val="facultChar"/>
        </w:rPr>
        <w:t>Les fibres ne peuvent se détériorer sous les conditions de stockage recommandées par le fournisseur.</w:t>
      </w:r>
    </w:p>
    <w:p w14:paraId="7B4E929B" w14:textId="77777777" w:rsidR="00DB2B68" w:rsidRDefault="00000000">
      <w:pPr>
        <w:pStyle w:val="Author-eListParagraph"/>
        <w:numPr>
          <w:ilvl w:val="0"/>
          <w:numId w:val="647"/>
        </w:numPr>
      </w:pPr>
      <w:r>
        <w:rPr>
          <w:rStyle w:val="facultChar"/>
        </w:rPr>
        <w:t>Les fibres doivent pouvoir résister à la phase de mixage, de transport et de mise en œuvre sans perte significative de leurs propriétés.</w:t>
      </w:r>
    </w:p>
    <w:p w14:paraId="105B493C" w14:textId="77777777" w:rsidR="00DB2B68" w:rsidRDefault="00000000">
      <w:pPr>
        <w:jc w:val="both"/>
      </w:pPr>
      <w:r>
        <w:rPr>
          <w:rStyle w:val="facultChar"/>
        </w:rPr>
        <w:t>Pour des applications structurales particulières pour lesquelles l’épaisseur des éléments à réaliser en béton de fibres est inférieure à 150 mm, ou si un processus de bétonnage non traditionnel est utilisé, des essais sont réalisés à charge de l’entrepreneur pour déterminer si des effets négatifs d’orientation des fibres sur les propriétés mécaniques sont générés lors du coulage du béton.  Des essais de flexion suivant les principes de la [NBN EN 14651+A1] sur des échantillons témoins représentatifs sont réalisés à cet égard.</w:t>
      </w:r>
    </w:p>
    <w:p w14:paraId="19153F44" w14:textId="77777777" w:rsidR="00DB2B68" w:rsidRDefault="00000000">
      <w:pPr>
        <w:pStyle w:val="pheading"/>
      </w:pPr>
      <w:r>
        <w:t>EXÉCUTION / MISE EN ŒUVRE</w:t>
      </w:r>
    </w:p>
    <w:p w14:paraId="5F28DD95" w14:textId="77777777" w:rsidR="00DB2B68" w:rsidRDefault="00000000">
      <w:pPr>
        <w:pStyle w:val="pheading"/>
      </w:pPr>
      <w:r>
        <w:t>- Prescriptions générales</w:t>
      </w:r>
    </w:p>
    <w:p w14:paraId="3DC97AB7" w14:textId="77777777" w:rsidR="00DB2B68" w:rsidRDefault="00000000">
      <w:pPr>
        <w:jc w:val="both"/>
      </w:pPr>
      <w:r>
        <w:t>L’exécution est réalisée suivant les principes de la [NBN EN 13670] et la [NBN B 15-400].  Les  fibres peuvent être introduites à différentes phases de la fabrication du mélange mais jamais comme premier constituant.  Des systèmes spécifiques peuvent être utilisés pour injecter de manière régulière les fibres dans le béton en garantissant la quantité introduite.</w:t>
      </w:r>
    </w:p>
    <w:p w14:paraId="7575934C" w14:textId="77777777" w:rsidR="00DB2B68" w:rsidRDefault="00000000">
      <w:pPr>
        <w:jc w:val="both"/>
      </w:pPr>
      <w:r>
        <w:t>Le temps de mélange doit permettre une distribution homogène correcte des fibres et dépend du type et de la quantité de fibres utilisés.</w:t>
      </w:r>
    </w:p>
    <w:p w14:paraId="3AA0BC20" w14:textId="77777777" w:rsidR="00DB2B68" w:rsidRDefault="00000000">
      <w:pPr>
        <w:jc w:val="both"/>
      </w:pPr>
      <w:r>
        <w:t>Pour le pompage du béton de fibres, d’autres exigences peuvent être nécessaires, comme un diamètre des tuyaux supérieur à 1,5 fois la longueur des fibres. Le pompage de ces bétons nécessite une étude particulière de la composition, étant donné que le dosage en fibres dépend, outre du Dmax et de l’élancement des fibres, du fait que le béton soit pompé ou non.</w:t>
      </w:r>
    </w:p>
    <w:p w14:paraId="435DF8A8" w14:textId="77777777" w:rsidR="00DB2B68" w:rsidRDefault="00000000">
      <w:pPr>
        <w:pStyle w:val="pheading"/>
      </w:pPr>
      <w:r>
        <w:t>DOCUMENTS DE RÉFÉRENCE COMPLÉMENTAIRES</w:t>
      </w:r>
    </w:p>
    <w:p w14:paraId="0719277E" w14:textId="77777777" w:rsidR="00DB2B68" w:rsidRDefault="00000000">
      <w:pPr>
        <w:pStyle w:val="pheading"/>
      </w:pPr>
      <w:r>
        <w:t>- Matériau</w:t>
      </w:r>
    </w:p>
    <w:p w14:paraId="6B0CB3CF" w14:textId="77777777" w:rsidR="00DB2B68" w:rsidRDefault="00000000">
      <w:r>
        <w:t>[NBN EN 14889-2, Fibres pour béton - Partie 2 : Fibres polymère - Définition, spécifications et conformité]</w:t>
      </w:r>
      <w:r>
        <w:br/>
      </w:r>
      <w:r>
        <w:br/>
        <w:t>[NBN EN 14651+A1, Méthode d'essai du béton de fibres métalliques - Mesurage de la résistance à la traction par flexion (limite de proportionnalité (LOP), résistance résiduelle)]</w:t>
      </w:r>
      <w:r>
        <w:br/>
      </w:r>
      <w:r>
        <w:br/>
        <w:t>[FIB Model Code 2010, Model Code for Concrete Structures 2010]</w:t>
      </w:r>
      <w:r>
        <w:br/>
      </w:r>
      <w:r>
        <w:br/>
      </w:r>
    </w:p>
    <w:p w14:paraId="615AFE63" w14:textId="77777777" w:rsidR="00DB2B68" w:rsidRDefault="00000000">
      <w:pPr>
        <w:pStyle w:val="pheading"/>
      </w:pPr>
      <w:r>
        <w:t>- Exécution</w:t>
      </w:r>
    </w:p>
    <w:p w14:paraId="7ADE1545" w14:textId="77777777" w:rsidR="00DB2B68" w:rsidRDefault="00000000">
      <w:r>
        <w:lastRenderedPageBreak/>
        <w:t>[NBN EN 13670, Exécution des structures en béton]</w:t>
      </w:r>
      <w:r>
        <w:br/>
      </w:r>
      <w:r>
        <w:br/>
        <w:t>[NBN B 15-400, Exécution des structures en béton - Supplément national à la NBN EN 13670:2010]</w:t>
      </w:r>
    </w:p>
    <w:p w14:paraId="34E2FB31" w14:textId="77777777" w:rsidR="00DB2B68" w:rsidRDefault="00000000">
      <w:pPr>
        <w:pStyle w:val="pheading"/>
      </w:pPr>
      <w:r>
        <w:t>MESURAGE</w:t>
      </w:r>
    </w:p>
    <w:p w14:paraId="02CB5BD9" w14:textId="77777777" w:rsidR="00DB2B68" w:rsidRDefault="00000000">
      <w:pPr>
        <w:pStyle w:val="pheading"/>
      </w:pPr>
      <w:r>
        <w:t>- unité de mesure:</w:t>
      </w:r>
    </w:p>
    <w:p w14:paraId="4E8F4D87" w14:textId="77777777" w:rsidR="00DB2B68" w:rsidRDefault="00000000">
      <w:r>
        <w:t>-</w:t>
      </w:r>
    </w:p>
    <w:p w14:paraId="6A9E08A3" w14:textId="77777777" w:rsidR="00DB2B68" w:rsidRDefault="00000000">
      <w:pPr>
        <w:pStyle w:val="pheading"/>
      </w:pPr>
      <w:r>
        <w:t>- code de mesurage:</w:t>
      </w:r>
    </w:p>
    <w:p w14:paraId="4BBE48D4" w14:textId="77777777" w:rsidR="00DB2B68" w:rsidRDefault="00000000">
      <w:r>
        <w:t xml:space="preserve">Compris dans les prix unitaires des ouvrages en béton concernés dans l'/les article(s) </w:t>
      </w:r>
      <w:r>
        <w:rPr>
          <w:rStyle w:val="optioncarChar"/>
        </w:rPr>
        <w:t>***</w:t>
      </w:r>
      <w:r>
        <w:t>.</w:t>
      </w:r>
    </w:p>
    <w:p w14:paraId="5DFCD145" w14:textId="77777777" w:rsidR="00DB2B68" w:rsidRDefault="00000000">
      <w:pPr>
        <w:pStyle w:val="pheading"/>
      </w:pPr>
      <w:r>
        <w:t>- nature du marché:</w:t>
      </w:r>
    </w:p>
    <w:p w14:paraId="46F51F41" w14:textId="77777777" w:rsidR="00DB2B68" w:rsidRDefault="00000000">
      <w:r>
        <w:t>PM</w:t>
      </w:r>
    </w:p>
    <w:p w14:paraId="44BCDCA0" w14:textId="77777777" w:rsidR="00DB2B68" w:rsidRDefault="00000000">
      <w:pPr>
        <w:pStyle w:val="pheading"/>
      </w:pPr>
      <w:r>
        <w:t>AIDE</w:t>
      </w:r>
    </w:p>
    <w:p w14:paraId="1C68C211" w14:textId="77777777" w:rsidR="00DB2B68" w:rsidRDefault="00000000">
      <w:pPr>
        <w:jc w:val="both"/>
      </w:pPr>
      <w:r>
        <w:t>En cas d’usage structural, le calcul de résistance mécanique des éléments en béton de fibres métalliques est conforme au [FIB Model Code 2010].</w:t>
      </w:r>
    </w:p>
    <w:p w14:paraId="79E9B4C7" w14:textId="77777777" w:rsidR="00DB2B68" w:rsidRDefault="00000000">
      <w:pPr>
        <w:jc w:val="both"/>
      </w:pPr>
      <w:r>
        <w:t>L’obtention d’une performance mécanique spécifique par un béton de fibres est indissociable du  type de béton utilisé (fuseau granulaire, quantité de ciment, etc.) par rapport aux fibres utilisées.  Des classes de ductilité ne peuvent donc être associées avec n’importe quelle composition de béton.</w:t>
      </w:r>
    </w:p>
    <w:p w14:paraId="15C935C0" w14:textId="77777777" w:rsidR="00DB2B68" w:rsidRDefault="00000000">
      <w:pPr>
        <w:pStyle w:val="Author-eSectionHeading6Numberless"/>
      </w:pPr>
      <w:bookmarkStart w:id="948" w:name="_Toc220495987"/>
      <w:r>
        <w:t>22.51.3c Fibres de verre de renforcement de béton CCTB 01.04</w:t>
      </w:r>
      <w:bookmarkEnd w:id="948"/>
    </w:p>
    <w:p w14:paraId="631FB92D" w14:textId="77777777" w:rsidR="00DB2B68" w:rsidRDefault="00000000">
      <w:pPr>
        <w:pStyle w:val="Author-eSectionHeading5Numberless"/>
      </w:pPr>
      <w:bookmarkStart w:id="949" w:name="_Toc220495988"/>
      <w:r>
        <w:t>22.51.4 Armatures additionnelles de renforcement de béton CCTB 01.12</w:t>
      </w:r>
      <w:bookmarkEnd w:id="949"/>
    </w:p>
    <w:p w14:paraId="530FD68D" w14:textId="77777777" w:rsidR="00DB2B68" w:rsidRDefault="00000000">
      <w:pPr>
        <w:pStyle w:val="pheading"/>
      </w:pPr>
      <w:r>
        <w:t>DESCRIPTION</w:t>
      </w:r>
    </w:p>
    <w:p w14:paraId="21A6CBF2" w14:textId="77777777" w:rsidR="00DB2B68" w:rsidRDefault="00000000">
      <w:pPr>
        <w:pStyle w:val="pheading"/>
      </w:pPr>
      <w:r>
        <w:t>- Définition / Comprend</w:t>
      </w:r>
    </w:p>
    <w:p w14:paraId="16EACBE6" w14:textId="77777777" w:rsidR="00DB2B68" w:rsidRDefault="00000000">
      <w:pPr>
        <w:jc w:val="both"/>
      </w:pPr>
      <w:r>
        <w:t>Il s'agit de la fourniture et de la mise en œuvre d’armatures additionnelles de renforcement du béton, en barres de polymères renforcés de fibres (abrégé PRF, ou FRP en anglais), ou de plats métalliques.</w:t>
      </w:r>
    </w:p>
    <w:p w14:paraId="489CE6E2" w14:textId="77777777" w:rsidR="00DB2B68" w:rsidRDefault="00000000">
      <w:pPr>
        <w:jc w:val="both"/>
      </w:pPr>
      <w:r>
        <w:t>Le travail comprend notamment la pose des écarteurs et des accessoires nécessaires pour fixer les armatures et les tenir en place.</w:t>
      </w:r>
    </w:p>
    <w:p w14:paraId="46524C02" w14:textId="77777777" w:rsidR="00DB2B68" w:rsidRDefault="00000000">
      <w:pPr>
        <w:pStyle w:val="pheading"/>
      </w:pPr>
      <w:r>
        <w:t>EXÉCUTION / MISE EN ŒUVRE</w:t>
      </w:r>
    </w:p>
    <w:p w14:paraId="5E3AD5BF" w14:textId="77777777" w:rsidR="00DB2B68" w:rsidRDefault="00000000">
      <w:pPr>
        <w:jc w:val="both"/>
      </w:pPr>
      <w:r>
        <w:t>L’étude et les plans d’exécution </w:t>
      </w:r>
      <w:r>
        <w:rPr>
          <w:rStyle w:val="optioncarChar"/>
        </w:rPr>
        <w:t>ne sont pas</w:t>
      </w:r>
      <w:r>
        <w:t xml:space="preserve"> (par défaut) </w:t>
      </w:r>
      <w:r>
        <w:rPr>
          <w:rStyle w:val="optioncarChar"/>
        </w:rPr>
        <w:t>/ sont</w:t>
      </w:r>
      <w:r>
        <w:t xml:space="preserve"> à charge de l’entreprise.</w:t>
      </w:r>
    </w:p>
    <w:p w14:paraId="1226E53E" w14:textId="77777777" w:rsidR="00DB2B68" w:rsidRDefault="00000000">
      <w:pPr>
        <w:jc w:val="both"/>
      </w:pPr>
      <w:r>
        <w:t>Les principes de dimensionnement et les règles de mises en œuvre des PRF sont expliqués dans le guide [CNR DT 203/2006] édité par le Conseil National de Recherche Italien, et le [CROW-CUR Recommendation 96], en attendant leurs intégrations dans l’eurocode [NBN EN 1992-1-1] (publication planifiée courant 2027 – la prénorme est planifiée courant 2023).</w:t>
      </w:r>
    </w:p>
    <w:p w14:paraId="793541BA" w14:textId="77777777" w:rsidR="00DB2B68" w:rsidRDefault="00000000">
      <w:pPr>
        <w:jc w:val="both"/>
      </w:pPr>
      <w:r>
        <w:t>La mise en œuvre des armatures est conforme aux prescriptions données au </w:t>
      </w:r>
      <w:hyperlink w:anchor="232" w:history="1">
        <w:r>
          <w:rPr>
            <w:color w:val="0000EE"/>
          </w:rPr>
          <w:t>22.51 Armatures pour béton</w:t>
        </w:r>
      </w:hyperlink>
      <w:r>
        <w:t>, à l’exception du pliage des barres PRF par l’entrepreneur qui est interdit. Le pliage de ces barres n’est réalisable qu’au moment de la fabrication. Elles sont dès lors commandées mises en forme à l’usine.</w:t>
      </w:r>
    </w:p>
    <w:p w14:paraId="0B278458" w14:textId="77777777" w:rsidR="00DB2B68" w:rsidRDefault="00000000">
      <w:pPr>
        <w:jc w:val="both"/>
      </w:pPr>
      <w:r>
        <w:t>La pose des armatures, le coulage du béton, et le béton de remplissage respectent les prescriptions générales données au </w:t>
      </w:r>
      <w:hyperlink w:anchor="87" w:history="1">
        <w:r>
          <w:rPr>
            <w:color w:val="0000EE"/>
          </w:rPr>
          <w:t>22 Superstructures en béton</w:t>
        </w:r>
      </w:hyperlink>
      <w:r>
        <w:t>.</w:t>
      </w:r>
    </w:p>
    <w:p w14:paraId="060CDC8B" w14:textId="77777777" w:rsidR="00DB2B68" w:rsidRDefault="00000000">
      <w:pPr>
        <w:pStyle w:val="pheading"/>
      </w:pPr>
      <w:r>
        <w:t>DOCUMENTS DE RÉFÉRENCE</w:t>
      </w:r>
    </w:p>
    <w:p w14:paraId="3675794B" w14:textId="77777777" w:rsidR="00DB2B68" w:rsidRDefault="00000000">
      <w:pPr>
        <w:pStyle w:val="pheading"/>
      </w:pPr>
      <w:r>
        <w:t>- Matériau</w:t>
      </w:r>
    </w:p>
    <w:p w14:paraId="53BAFFF2" w14:textId="77777777" w:rsidR="00DB2B68" w:rsidRDefault="00000000">
      <w:r>
        <w:t>[ISO 10406-1, Polymère renforcé par des fibres (PRF) pour l'armature du béton — Méthodes d'essai — Partie 1: Barres et grilles en PRF ]</w:t>
      </w:r>
    </w:p>
    <w:p w14:paraId="47F9CE9D" w14:textId="77777777" w:rsidR="00DB2B68" w:rsidRDefault="00000000">
      <w:r>
        <w:t>[NBN EN ISO 11357-2, Plastiques - Analyse calorimétrique différentielle (DSC) - Partie 2: Détermination de la température et de la hauteur de palier de transition vitreuse (ISO 11357-2:2020)]</w:t>
      </w:r>
    </w:p>
    <w:p w14:paraId="557845DC" w14:textId="77777777" w:rsidR="00DB2B68" w:rsidRDefault="00000000">
      <w:pPr>
        <w:pStyle w:val="pheading"/>
      </w:pPr>
      <w:r>
        <w:lastRenderedPageBreak/>
        <w:t>- Exécution</w:t>
      </w:r>
    </w:p>
    <w:p w14:paraId="021CE730" w14:textId="77777777" w:rsidR="00DB2B68" w:rsidRDefault="00000000">
      <w:r>
        <w:t>[CNR DT 203/2006, Guide for the Design and Construction of Concrete Structures Reinforced with Fiber-Reinforced Polymer Bars]</w:t>
      </w:r>
    </w:p>
    <w:p w14:paraId="29DDBCE2" w14:textId="77777777" w:rsidR="00DB2B68" w:rsidRDefault="00000000">
      <w:r>
        <w:t>[CROW-CUR Recommendation 96, Fibre-reinforced polymers in buildings and civil engineering structures]</w:t>
      </w:r>
    </w:p>
    <w:p w14:paraId="3AA3F688" w14:textId="77777777" w:rsidR="00DB2B68" w:rsidRDefault="00000000">
      <w:r>
        <w:t>[NBN EN 1992-1-1, Eurocode 2: Calcul des structures en béton - Partie 1-1: Règles générales et règles pour les bâtiments (+AC:2010)]</w:t>
      </w:r>
    </w:p>
    <w:p w14:paraId="3F359460" w14:textId="77777777" w:rsidR="00DB2B68" w:rsidRDefault="00000000">
      <w:pPr>
        <w:pStyle w:val="Author-eSectionHeading6Numberless"/>
      </w:pPr>
      <w:bookmarkStart w:id="950" w:name="_Toc220495989"/>
      <w:r>
        <w:t>22.51.4a Armatures additionnelles à base de fibres de carbone CCTB 01.12</w:t>
      </w:r>
      <w:bookmarkEnd w:id="950"/>
    </w:p>
    <w:p w14:paraId="0589FFF8" w14:textId="77777777" w:rsidR="00DB2B68" w:rsidRDefault="00000000">
      <w:pPr>
        <w:pStyle w:val="pheading"/>
      </w:pPr>
      <w:r>
        <w:t>DESCRIPTION</w:t>
      </w:r>
    </w:p>
    <w:p w14:paraId="1A2D7F73" w14:textId="77777777" w:rsidR="00DB2B68" w:rsidRDefault="00000000">
      <w:pPr>
        <w:pStyle w:val="pheading"/>
      </w:pPr>
      <w:r>
        <w:t>- Définition / Comprend</w:t>
      </w:r>
    </w:p>
    <w:p w14:paraId="5E7F14A6" w14:textId="77777777" w:rsidR="00DB2B68" w:rsidRDefault="00000000">
      <w:pPr>
        <w:jc w:val="both"/>
      </w:pPr>
      <w:r>
        <w:t>Il s'agit de la fourniture et de la mise en œuvre d’armatures additionnelles à base de fibres de carbone.</w:t>
      </w:r>
    </w:p>
    <w:p w14:paraId="4C481525" w14:textId="77777777" w:rsidR="00DB2B68" w:rsidRDefault="00000000">
      <w:pPr>
        <w:pStyle w:val="pheading"/>
      </w:pPr>
      <w:r>
        <w:t>MATÉRIAUX</w:t>
      </w:r>
    </w:p>
    <w:p w14:paraId="04601B6A" w14:textId="77777777" w:rsidR="00DB2B68" w:rsidRDefault="00000000">
      <w:pPr>
        <w:pStyle w:val="pheading"/>
      </w:pPr>
      <w:r>
        <w:t>- Caractéristiques générales</w:t>
      </w:r>
    </w:p>
    <w:p w14:paraId="7608655B" w14:textId="77777777" w:rsidR="00DB2B68" w:rsidRDefault="00000000">
      <w:pPr>
        <w:jc w:val="both"/>
      </w:pPr>
      <w:r>
        <w:t>Barres d’armatures fabriquées à partir de résines thermodurcissables et de fibres de carbone, à taux volumique de fibres supérieur à 50 % :</w:t>
      </w:r>
    </w:p>
    <w:p w14:paraId="3B254893" w14:textId="77777777" w:rsidR="00DB2B68" w:rsidRDefault="00000000">
      <w:pPr>
        <w:pStyle w:val="Author-eListParagraph"/>
        <w:numPr>
          <w:ilvl w:val="0"/>
          <w:numId w:val="648"/>
        </w:numPr>
      </w:pPr>
      <w:r>
        <w:t xml:space="preserve">Résistance à la traction, suivant la [ISO 10406-1] ≥ </w:t>
      </w:r>
      <w:r>
        <w:rPr>
          <w:rStyle w:val="optioncarChar"/>
        </w:rPr>
        <w:t xml:space="preserve">2000 / 2450 </w:t>
      </w:r>
      <w:r>
        <w:t>(par défaut)</w:t>
      </w:r>
      <w:r>
        <w:rPr>
          <w:rStyle w:val="optioncarChar"/>
        </w:rPr>
        <w:t xml:space="preserve"> / ***</w:t>
      </w:r>
      <w:r>
        <w:t xml:space="preserve"> MPa</w:t>
      </w:r>
    </w:p>
    <w:p w14:paraId="205DF444" w14:textId="77777777" w:rsidR="00DB2B68" w:rsidRDefault="00000000">
      <w:pPr>
        <w:pStyle w:val="Author-eListParagraph"/>
        <w:numPr>
          <w:ilvl w:val="0"/>
          <w:numId w:val="648"/>
        </w:numPr>
      </w:pPr>
      <w:r>
        <w:t xml:space="preserve">Module d’élasticité, suivant la [ISO 10406-1] ≥ </w:t>
      </w:r>
      <w:r>
        <w:rPr>
          <w:rStyle w:val="optioncarChar"/>
        </w:rPr>
        <w:t>100 / 130</w:t>
      </w:r>
      <w:r>
        <w:t xml:space="preserve"> (par défaut)</w:t>
      </w:r>
      <w:r>
        <w:rPr>
          <w:rStyle w:val="optioncarChar"/>
        </w:rPr>
        <w:t xml:space="preserve"> / 150 / ***</w:t>
      </w:r>
      <w:r>
        <w:t xml:space="preserve"> GPa</w:t>
      </w:r>
    </w:p>
    <w:p w14:paraId="4F708568" w14:textId="77777777" w:rsidR="00DB2B68" w:rsidRDefault="00000000">
      <w:pPr>
        <w:pStyle w:val="Author-eListParagraph"/>
        <w:numPr>
          <w:ilvl w:val="0"/>
          <w:numId w:val="648"/>
        </w:numPr>
      </w:pPr>
      <w:r>
        <w:t xml:space="preserve">Température critique de transition vitreuse, suivant la [NBN EN ISO 11357-2] ≥ </w:t>
      </w:r>
      <w:r>
        <w:rPr>
          <w:rStyle w:val="optioncarChar"/>
        </w:rPr>
        <w:t xml:space="preserve">70 </w:t>
      </w:r>
      <w:r>
        <w:t>(par défaut)</w:t>
      </w:r>
      <w:r>
        <w:rPr>
          <w:rStyle w:val="optioncarChar"/>
        </w:rPr>
        <w:t xml:space="preserve"> / 90 / ***</w:t>
      </w:r>
      <w:r>
        <w:t xml:space="preserve"> °C</w:t>
      </w:r>
    </w:p>
    <w:p w14:paraId="2ABAC32B" w14:textId="77777777" w:rsidR="00DB2B68" w:rsidRDefault="00000000">
      <w:pPr>
        <w:pStyle w:val="Author-eListParagraph"/>
        <w:numPr>
          <w:ilvl w:val="0"/>
          <w:numId w:val="648"/>
        </w:numPr>
      </w:pPr>
      <w:r>
        <w:t>Masse volumique : 1,8 g/cm³ , tolérance ± 0,2 g/cm³</w:t>
      </w:r>
    </w:p>
    <w:p w14:paraId="59DE2109" w14:textId="77777777" w:rsidR="00DB2B68" w:rsidRDefault="00000000">
      <w:pPr>
        <w:pStyle w:val="Author-eListParagraph"/>
        <w:numPr>
          <w:ilvl w:val="0"/>
          <w:numId w:val="648"/>
        </w:numPr>
      </w:pPr>
      <w:r>
        <w:t xml:space="preserve">Allongement à la rupture, suivant la [ISO 10406-1] ≥ </w:t>
      </w:r>
      <w:r>
        <w:rPr>
          <w:rStyle w:val="optioncarChar"/>
        </w:rPr>
        <w:t xml:space="preserve">1,8 </w:t>
      </w:r>
      <w:r>
        <w:t>(par défaut)</w:t>
      </w:r>
      <w:r>
        <w:rPr>
          <w:rStyle w:val="optioncarChar"/>
        </w:rPr>
        <w:t xml:space="preserve"> / ***</w:t>
      </w:r>
      <w:r>
        <w:t xml:space="preserve"> %</w:t>
      </w:r>
    </w:p>
    <w:p w14:paraId="39A63CFF" w14:textId="77777777" w:rsidR="00DB2B68" w:rsidRDefault="00000000">
      <w:pPr>
        <w:pStyle w:val="Author-eListParagraph"/>
        <w:numPr>
          <w:ilvl w:val="0"/>
          <w:numId w:val="648"/>
        </w:numPr>
      </w:pPr>
      <w:r>
        <w:t xml:space="preserve">Diamètre des barres : </w:t>
      </w:r>
      <w:r>
        <w:rPr>
          <w:rStyle w:val="optioncarChar"/>
        </w:rPr>
        <w:t>selon les indications sur les plans de ferraillage</w:t>
      </w:r>
      <w:r>
        <w:t xml:space="preserve"> (par défaut)</w:t>
      </w:r>
      <w:r>
        <w:rPr>
          <w:rStyle w:val="optioncarChar"/>
        </w:rPr>
        <w:t xml:space="preserve"> / 3,5 / 5,5 / 7,5 / 10 / 12,5 / ***</w:t>
      </w:r>
      <w:r>
        <w:t xml:space="preserve"> mm, tolérance ± 0,5 mm</w:t>
      </w:r>
    </w:p>
    <w:p w14:paraId="397EDD9A" w14:textId="77777777" w:rsidR="00DB2B68" w:rsidRDefault="00000000">
      <w:pPr>
        <w:pStyle w:val="Author-eListParagraph"/>
        <w:numPr>
          <w:ilvl w:val="0"/>
          <w:numId w:val="648"/>
        </w:numPr>
      </w:pPr>
      <w:r>
        <w:t xml:space="preserve">Caractéristique de surface des barres : </w:t>
      </w:r>
      <w:r>
        <w:rPr>
          <w:rStyle w:val="optioncarChar"/>
        </w:rPr>
        <w:t xml:space="preserve">sablé </w:t>
      </w:r>
      <w:r>
        <w:t>(par défaut)</w:t>
      </w:r>
      <w:r>
        <w:rPr>
          <w:rStyle w:val="optioncarChar"/>
        </w:rPr>
        <w:t xml:space="preserve"> / relief de surface (type « crénelé »)</w:t>
      </w:r>
    </w:p>
    <w:p w14:paraId="5308240D" w14:textId="77777777" w:rsidR="00DB2B68" w:rsidRDefault="00000000">
      <w:pPr>
        <w:pStyle w:val="pheading"/>
      </w:pPr>
      <w:r>
        <w:t>MESURAGE</w:t>
      </w:r>
    </w:p>
    <w:p w14:paraId="7A5BEF05" w14:textId="77777777" w:rsidR="00DB2B68" w:rsidRDefault="00000000">
      <w:pPr>
        <w:pStyle w:val="pheading"/>
      </w:pPr>
      <w:r>
        <w:t>- unité de mesure:</w:t>
      </w:r>
    </w:p>
    <w:p w14:paraId="33ED8D07" w14:textId="77777777" w:rsidR="00DB2B68" w:rsidRDefault="00000000">
      <w:r>
        <w:rPr>
          <w:rStyle w:val="optioncarChar"/>
        </w:rPr>
        <w:t xml:space="preserve">- </w:t>
      </w:r>
      <w:r>
        <w:t>(par défaut)</w:t>
      </w:r>
      <w:r>
        <w:rPr>
          <w:rStyle w:val="optioncarChar"/>
        </w:rPr>
        <w:t xml:space="preserve"> / kg</w:t>
      </w:r>
    </w:p>
    <w:p w14:paraId="3B4802E9" w14:textId="77777777" w:rsidR="00DB2B68" w:rsidRDefault="00000000">
      <w:r>
        <w:rPr>
          <w:b/>
        </w:rPr>
        <w:t>(soit par défaut)</w:t>
      </w:r>
      <w:r>
        <w:br/>
      </w:r>
      <w:r>
        <w:rPr>
          <w:rStyle w:val="soitChar"/>
        </w:rPr>
        <w:t>1. -</w:t>
      </w:r>
      <w:r>
        <w:br/>
      </w:r>
      <w:r>
        <w:rPr>
          <w:b/>
        </w:rPr>
        <w:t>(soit)</w:t>
      </w:r>
      <w:r>
        <w:br/>
      </w:r>
      <w:r>
        <w:rPr>
          <w:rStyle w:val="soitChar"/>
        </w:rPr>
        <w:t>2. 3. kg</w:t>
      </w:r>
    </w:p>
    <w:p w14:paraId="54A4756B" w14:textId="77777777" w:rsidR="00DB2B68" w:rsidRDefault="00000000">
      <w:pPr>
        <w:pStyle w:val="pheading"/>
      </w:pPr>
      <w:r>
        <w:t>- code de mesurage:</w:t>
      </w:r>
    </w:p>
    <w:p w14:paraId="44395C5E" w14:textId="77777777" w:rsidR="00DB2B68" w:rsidRDefault="00000000">
      <w:r>
        <w:rPr>
          <w:rStyle w:val="optioncarChar"/>
        </w:rPr>
        <w:t xml:space="preserve">Compris </w:t>
      </w:r>
      <w:r>
        <w:t>(par défaut)</w:t>
      </w:r>
      <w:r>
        <w:rPr>
          <w:rStyle w:val="optioncarChar"/>
        </w:rPr>
        <w:t xml:space="preserve"> / Masse nette</w:t>
      </w:r>
    </w:p>
    <w:p w14:paraId="67995B76" w14:textId="77777777" w:rsidR="00DB2B68" w:rsidRDefault="00000000">
      <w:r>
        <w:rPr>
          <w:b/>
        </w:rPr>
        <w:t>(soit par défaut)</w:t>
      </w:r>
      <w:r>
        <w:br/>
      </w:r>
      <w:r>
        <w:rPr>
          <w:rStyle w:val="soitChar"/>
        </w:rPr>
        <w:t xml:space="preserve">1. </w:t>
      </w:r>
      <w:r>
        <w:rPr>
          <w:rStyle w:val="soitChar"/>
          <w:u w:val="single"/>
        </w:rPr>
        <w:t>Compris</w:t>
      </w:r>
      <w:r>
        <w:rPr>
          <w:rStyle w:val="soitChar"/>
        </w:rPr>
        <w:t xml:space="preserve"> dans les prix unitaires des ouvrages en béton concernés dans l'/les article(s) </w:t>
      </w:r>
      <w:r>
        <w:rPr>
          <w:rStyle w:val="optioncarChar"/>
        </w:rPr>
        <w:t>***</w:t>
      </w:r>
      <w:r>
        <w:t>. </w:t>
      </w:r>
      <w:r>
        <w:br/>
      </w:r>
      <w:r>
        <w:rPr>
          <w:b/>
        </w:rPr>
        <w:t>(soit)</w:t>
      </w:r>
      <w:r>
        <w:br/>
      </w:r>
      <w:r>
        <w:rPr>
          <w:rStyle w:val="soitChar"/>
        </w:rPr>
        <w:t xml:space="preserve">2. 3. </w:t>
      </w:r>
      <w:r>
        <w:rPr>
          <w:rStyle w:val="soitChar"/>
          <w:u w:val="single"/>
        </w:rPr>
        <w:t>Masse nette</w:t>
      </w:r>
      <w:r>
        <w:rPr>
          <w:rStyle w:val="soitChar"/>
        </w:rPr>
        <w:t xml:space="preserve"> d’armatures à mettre en œuvre, pour toutes dimensions et sections.</w:t>
      </w:r>
    </w:p>
    <w:p w14:paraId="0156AB7E" w14:textId="77777777" w:rsidR="00DB2B68" w:rsidRDefault="00000000">
      <w:pPr>
        <w:pStyle w:val="pheading"/>
      </w:pPr>
      <w:r>
        <w:t>- nature du marché:</w:t>
      </w:r>
    </w:p>
    <w:p w14:paraId="74FDAA48" w14:textId="77777777" w:rsidR="00DB2B68" w:rsidRDefault="00000000">
      <w:r>
        <w:rPr>
          <w:rStyle w:val="optioncarChar"/>
        </w:rPr>
        <w:t xml:space="preserve">PM </w:t>
      </w:r>
      <w:r>
        <w:t>(par défaut)</w:t>
      </w:r>
      <w:r>
        <w:rPr>
          <w:rStyle w:val="optioncarChar"/>
        </w:rPr>
        <w:t xml:space="preserve"> / QF / QP</w:t>
      </w:r>
    </w:p>
    <w:p w14:paraId="427A7E20" w14:textId="77777777" w:rsidR="00DB2B68" w:rsidRDefault="00000000">
      <w:r>
        <w:rPr>
          <w:b/>
        </w:rPr>
        <w:t>(soit par défaut)</w:t>
      </w:r>
      <w:r>
        <w:br/>
      </w:r>
      <w:r>
        <w:rPr>
          <w:rStyle w:val="soitChar"/>
        </w:rPr>
        <w:t>1. PM</w:t>
      </w:r>
      <w:r>
        <w:br/>
      </w:r>
      <w:r>
        <w:rPr>
          <w:b/>
        </w:rPr>
        <w:t>(soit)</w:t>
      </w:r>
      <w:r>
        <w:br/>
      </w:r>
      <w:r>
        <w:rPr>
          <w:rStyle w:val="soitChar"/>
        </w:rPr>
        <w:t>2. QF</w:t>
      </w:r>
      <w:r>
        <w:br/>
      </w:r>
      <w:r>
        <w:rPr>
          <w:b/>
        </w:rPr>
        <w:lastRenderedPageBreak/>
        <w:t>(soit)</w:t>
      </w:r>
      <w:r>
        <w:br/>
      </w:r>
      <w:r>
        <w:rPr>
          <w:rStyle w:val="soitChar"/>
        </w:rPr>
        <w:t>3. QP</w:t>
      </w:r>
    </w:p>
    <w:p w14:paraId="70455B47" w14:textId="77777777" w:rsidR="00DB2B68" w:rsidRDefault="00000000">
      <w:pPr>
        <w:pStyle w:val="Author-eSectionHeading6Numberless"/>
      </w:pPr>
      <w:bookmarkStart w:id="951" w:name="_Toc220495990"/>
      <w:r>
        <w:t>22.51.4b Armatures additionnelles à base de plats métalliques CCTB 01.12</w:t>
      </w:r>
      <w:bookmarkEnd w:id="951"/>
    </w:p>
    <w:p w14:paraId="2FCBA1D7" w14:textId="77777777" w:rsidR="00DB2B68" w:rsidRDefault="00000000">
      <w:pPr>
        <w:pStyle w:val="pheading"/>
      </w:pPr>
      <w:r>
        <w:t>DESCRIPTION</w:t>
      </w:r>
    </w:p>
    <w:p w14:paraId="320C7013" w14:textId="77777777" w:rsidR="00DB2B68" w:rsidRDefault="00000000">
      <w:pPr>
        <w:pStyle w:val="pheading"/>
      </w:pPr>
      <w:r>
        <w:t>- Définition / Comprend</w:t>
      </w:r>
    </w:p>
    <w:p w14:paraId="223460DF" w14:textId="77777777" w:rsidR="00DB2B68" w:rsidRDefault="00000000">
      <w:pPr>
        <w:jc w:val="both"/>
      </w:pPr>
      <w:r>
        <w:t>Il s'agit de la fourniture et de la mise en œuvre d’armatures additionnelles à base de plats métalliques.</w:t>
      </w:r>
    </w:p>
    <w:p w14:paraId="4E7507EE" w14:textId="77777777" w:rsidR="00DB2B68" w:rsidRDefault="00000000">
      <w:pPr>
        <w:pStyle w:val="pheading"/>
      </w:pPr>
      <w:r>
        <w:t>MATÉRIAUX</w:t>
      </w:r>
    </w:p>
    <w:p w14:paraId="7ABE02C9" w14:textId="77777777" w:rsidR="00DB2B68" w:rsidRDefault="00000000">
      <w:pPr>
        <w:pStyle w:val="pheading"/>
      </w:pPr>
      <w:r>
        <w:t>- Caractéristiques générales</w:t>
      </w:r>
    </w:p>
    <w:p w14:paraId="667DC43D" w14:textId="77777777" w:rsidR="00DB2B68" w:rsidRDefault="00000000">
      <w:pPr>
        <w:jc w:val="both"/>
      </w:pPr>
      <w:r>
        <w:t>L'acier satisfait aux prescriptions de la [NBN EN 1993 série]. Le choix de la qualité d'acier se fait suivant les prescriptions de la [NBN EN 1993-1-10].</w:t>
      </w:r>
    </w:p>
    <w:p w14:paraId="01DE55AB" w14:textId="77777777" w:rsidR="00DB2B68" w:rsidRDefault="00000000">
      <w:pPr>
        <w:pStyle w:val="Author-eListParagraph"/>
        <w:numPr>
          <w:ilvl w:val="0"/>
          <w:numId w:val="649"/>
        </w:numPr>
        <w:jc w:val="both"/>
      </w:pPr>
      <w:r>
        <w:t>Nuance d'acier, suivant la [NBN EN 10025 série] : </w:t>
      </w:r>
      <w:r>
        <w:rPr>
          <w:rStyle w:val="optioncarChar"/>
        </w:rPr>
        <w:t xml:space="preserve">S235 / S275 / S355 / S420 </w:t>
      </w:r>
      <w:r>
        <w:t>(par défaut)</w:t>
      </w:r>
      <w:r>
        <w:rPr>
          <w:rStyle w:val="optioncarChar"/>
        </w:rPr>
        <w:t xml:space="preserve"> / S460</w:t>
      </w:r>
    </w:p>
    <w:p w14:paraId="49893E1D" w14:textId="77777777" w:rsidR="00DB2B68" w:rsidRDefault="00000000">
      <w:pPr>
        <w:pStyle w:val="Author-eListParagraph"/>
        <w:numPr>
          <w:ilvl w:val="0"/>
          <w:numId w:val="649"/>
        </w:numPr>
        <w:jc w:val="both"/>
      </w:pPr>
      <w:r>
        <w:t>Qualité d’acier, suivant la [NBN EN 10025 série] : désignation </w:t>
      </w:r>
      <w:r>
        <w:rPr>
          <w:rStyle w:val="optioncarChar"/>
        </w:rPr>
        <w:t>JR / J0</w:t>
      </w:r>
      <w:r>
        <w:t xml:space="preserve"> (par défaut)</w:t>
      </w:r>
      <w:r>
        <w:rPr>
          <w:rStyle w:val="optioncarChar"/>
        </w:rPr>
        <w:t xml:space="preserve"> / J2 / KR / K0 / K2 / N / NL / M / ML / W / P / Q / QL / QL1 </w:t>
      </w:r>
    </w:p>
    <w:p w14:paraId="3120B2D5" w14:textId="77777777" w:rsidR="00DB2B68" w:rsidRDefault="00000000">
      <w:pPr>
        <w:pStyle w:val="Author-eListParagraph"/>
        <w:numPr>
          <w:ilvl w:val="0"/>
          <w:numId w:val="649"/>
        </w:numPr>
        <w:jc w:val="both"/>
      </w:pPr>
      <w:r>
        <w:t>Masse volumique, suivant la [NBN EN 1993-1-1] : 7850 kg/m³ </w:t>
      </w:r>
    </w:p>
    <w:p w14:paraId="4E796D1F" w14:textId="77777777" w:rsidR="00DB2B68" w:rsidRDefault="00000000">
      <w:pPr>
        <w:pStyle w:val="Author-eListParagraph"/>
        <w:numPr>
          <w:ilvl w:val="0"/>
          <w:numId w:val="649"/>
        </w:numPr>
        <w:jc w:val="both"/>
      </w:pPr>
      <w:r>
        <w:t xml:space="preserve">Largeur, épaisseur et dimensions : </w:t>
      </w:r>
      <w:r>
        <w:rPr>
          <w:rStyle w:val="optioncarChar"/>
        </w:rPr>
        <w:t xml:space="preserve">selon les indications sur les plans de ferraillage </w:t>
      </w:r>
      <w:r>
        <w:t>(par défaut)</w:t>
      </w:r>
      <w:r>
        <w:rPr>
          <w:rStyle w:val="optioncarChar"/>
        </w:rPr>
        <w:t xml:space="preserve"> / *** </w:t>
      </w:r>
      <w:r>
        <w:t>mm</w:t>
      </w:r>
    </w:p>
    <w:p w14:paraId="235C0CA4" w14:textId="77777777" w:rsidR="00DB2B68" w:rsidRDefault="00000000">
      <w:pPr>
        <w:pStyle w:val="pheading"/>
      </w:pPr>
      <w:r>
        <w:t>DOCUMENTS DE RÉFÉRENCE COMPLÉMENTAIRES</w:t>
      </w:r>
    </w:p>
    <w:p w14:paraId="1D5DA2E8" w14:textId="77777777" w:rsidR="00DB2B68" w:rsidRDefault="00000000">
      <w:pPr>
        <w:pStyle w:val="pheading"/>
      </w:pPr>
      <w:r>
        <w:t>- Matériau</w:t>
      </w:r>
    </w:p>
    <w:p w14:paraId="2C3F6205" w14:textId="77777777" w:rsidR="00DB2B68" w:rsidRDefault="00000000">
      <w:r>
        <w:t>[NBN EN 10025 série, Produits laminés à chaud en aciers de construction]</w:t>
      </w:r>
    </w:p>
    <w:p w14:paraId="16A01516" w14:textId="77777777" w:rsidR="00DB2B68" w:rsidRDefault="00000000">
      <w:r>
        <w:t>[NBN EN 10058, Plats et larges plats en acier laminés à chaud pour usages généraux - Dimensions et tolérances sur la forme et les dimensions]</w:t>
      </w:r>
    </w:p>
    <w:p w14:paraId="1655BA79" w14:textId="77777777" w:rsidR="00DB2B68" w:rsidRDefault="00000000">
      <w:pPr>
        <w:pStyle w:val="pheading"/>
      </w:pPr>
      <w:r>
        <w:t>MESURAGE</w:t>
      </w:r>
    </w:p>
    <w:p w14:paraId="71DF6063" w14:textId="77777777" w:rsidR="00DB2B68" w:rsidRDefault="00000000">
      <w:pPr>
        <w:pStyle w:val="pheading"/>
      </w:pPr>
      <w:r>
        <w:t>- unité de mesure:</w:t>
      </w:r>
    </w:p>
    <w:p w14:paraId="2181AB28" w14:textId="77777777" w:rsidR="00DB2B68" w:rsidRDefault="00000000">
      <w:r>
        <w:rPr>
          <w:rStyle w:val="optioncarChar"/>
        </w:rPr>
        <w:t>- </w:t>
      </w:r>
      <w:r>
        <w:t>(par défaut)</w:t>
      </w:r>
      <w:r>
        <w:rPr>
          <w:rStyle w:val="optioncarChar"/>
        </w:rPr>
        <w:t> / kg</w:t>
      </w:r>
    </w:p>
    <w:p w14:paraId="068FD44F" w14:textId="77777777" w:rsidR="00DB2B68" w:rsidRDefault="00000000">
      <w:r>
        <w:rPr>
          <w:b/>
        </w:rPr>
        <w:t>(soit par défaut)</w:t>
      </w:r>
      <w:r>
        <w:br/>
      </w:r>
      <w:r>
        <w:rPr>
          <w:rStyle w:val="soitChar"/>
        </w:rPr>
        <w:t>1. -</w:t>
      </w:r>
      <w:r>
        <w:br/>
      </w:r>
      <w:r>
        <w:rPr>
          <w:b/>
        </w:rPr>
        <w:t>(soit)</w:t>
      </w:r>
      <w:r>
        <w:br/>
      </w:r>
      <w:r>
        <w:rPr>
          <w:rStyle w:val="soitChar"/>
        </w:rPr>
        <w:t>2. 3. kg</w:t>
      </w:r>
    </w:p>
    <w:p w14:paraId="56D085B5" w14:textId="77777777" w:rsidR="00DB2B68" w:rsidRDefault="00000000">
      <w:pPr>
        <w:pStyle w:val="pheading"/>
      </w:pPr>
      <w:r>
        <w:t>- code de mesurage:</w:t>
      </w:r>
    </w:p>
    <w:p w14:paraId="18A654A3" w14:textId="77777777" w:rsidR="00DB2B68" w:rsidRDefault="00000000">
      <w:r>
        <w:rPr>
          <w:rStyle w:val="optioncarChar"/>
        </w:rPr>
        <w:t>Compris </w:t>
      </w:r>
      <w:r>
        <w:t>(par défaut)</w:t>
      </w:r>
      <w:r>
        <w:rPr>
          <w:rStyle w:val="optioncarChar"/>
        </w:rPr>
        <w:t> / Masse nette</w:t>
      </w:r>
    </w:p>
    <w:p w14:paraId="4009A990" w14:textId="77777777" w:rsidR="00DB2B68" w:rsidRDefault="00000000">
      <w:r>
        <w:rPr>
          <w:b/>
        </w:rPr>
        <w:t>(soit par défaut)</w:t>
      </w:r>
      <w:r>
        <w:br/>
      </w:r>
      <w:r>
        <w:rPr>
          <w:rStyle w:val="soitChar"/>
        </w:rPr>
        <w:t>1. </w:t>
      </w:r>
      <w:r>
        <w:rPr>
          <w:rStyle w:val="soitChar"/>
          <w:u w:val="single"/>
        </w:rPr>
        <w:t>Compris</w:t>
      </w:r>
      <w:r>
        <w:rPr>
          <w:rStyle w:val="soitChar"/>
        </w:rPr>
        <w:t> dans les prix unitaires des ouvrages en béton concernés dans l'/les article(s) </w:t>
      </w:r>
      <w:r>
        <w:t> </w:t>
      </w:r>
      <w:r>
        <w:rPr>
          <w:rStyle w:val="optioncarChar"/>
        </w:rPr>
        <w:t>***</w:t>
      </w:r>
      <w:r>
        <w:t>. </w:t>
      </w:r>
      <w:r>
        <w:br/>
      </w:r>
      <w:r>
        <w:rPr>
          <w:b/>
        </w:rPr>
        <w:t>(soit)</w:t>
      </w:r>
      <w:r>
        <w:br/>
      </w:r>
      <w:r>
        <w:rPr>
          <w:rStyle w:val="soitChar"/>
        </w:rPr>
        <w:t>2. 3. </w:t>
      </w:r>
      <w:r>
        <w:rPr>
          <w:rStyle w:val="soitChar"/>
          <w:u w:val="single"/>
        </w:rPr>
        <w:t>Masse nette</w:t>
      </w:r>
      <w:r>
        <w:rPr>
          <w:rStyle w:val="soitChar"/>
        </w:rPr>
        <w:t> d’acier à mettre en œuvre, pour toutes dimensions et sections.</w:t>
      </w:r>
    </w:p>
    <w:p w14:paraId="4DBAC391" w14:textId="77777777" w:rsidR="00DB2B68" w:rsidRDefault="00000000">
      <w:pPr>
        <w:pStyle w:val="pheading"/>
      </w:pPr>
      <w:r>
        <w:t>- nature du marché:</w:t>
      </w:r>
    </w:p>
    <w:p w14:paraId="10ED6BBE" w14:textId="77777777" w:rsidR="00DB2B68" w:rsidRDefault="00000000">
      <w:r>
        <w:rPr>
          <w:rStyle w:val="optioncarChar"/>
        </w:rPr>
        <w:t>PM </w:t>
      </w:r>
      <w:r>
        <w:t>(par défaut)</w:t>
      </w:r>
      <w:r>
        <w:rPr>
          <w:rStyle w:val="optioncarChar"/>
        </w:rPr>
        <w:t> / QF / QP</w:t>
      </w:r>
    </w:p>
    <w:p w14:paraId="7F4B183C" w14:textId="77777777" w:rsidR="00DB2B68"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7EEDA92F" w14:textId="77777777" w:rsidR="00DB2B68" w:rsidRDefault="00000000">
      <w:pPr>
        <w:pStyle w:val="Author-eSectionHeading6Numberless"/>
      </w:pPr>
      <w:bookmarkStart w:id="952" w:name="_Toc220495991"/>
      <w:r>
        <w:lastRenderedPageBreak/>
        <w:t>22.51.4c Armatures additionnelles à base de fibre de verre CCTB 01.12</w:t>
      </w:r>
      <w:bookmarkEnd w:id="952"/>
    </w:p>
    <w:p w14:paraId="7E8065C8" w14:textId="77777777" w:rsidR="00DB2B68" w:rsidRDefault="00000000">
      <w:pPr>
        <w:pStyle w:val="pheading"/>
      </w:pPr>
      <w:r>
        <w:t>DESCRIPTION</w:t>
      </w:r>
    </w:p>
    <w:p w14:paraId="1ECDB7A6" w14:textId="77777777" w:rsidR="00DB2B68" w:rsidRDefault="00000000">
      <w:pPr>
        <w:pStyle w:val="pheading"/>
      </w:pPr>
      <w:r>
        <w:t>- Définition / Comprend</w:t>
      </w:r>
    </w:p>
    <w:p w14:paraId="550B16DF" w14:textId="77777777" w:rsidR="00DB2B68" w:rsidRDefault="00000000">
      <w:pPr>
        <w:jc w:val="both"/>
      </w:pPr>
      <w:r>
        <w:t>Il s'agit de la fourniture et de la mise en œuvre d’armatures additionnelles à base de fibres de verre.</w:t>
      </w:r>
    </w:p>
    <w:p w14:paraId="2579525D" w14:textId="77777777" w:rsidR="00DB2B68" w:rsidRDefault="00000000">
      <w:pPr>
        <w:pStyle w:val="pheading"/>
      </w:pPr>
      <w:r>
        <w:t>MATÉRIAUX</w:t>
      </w:r>
    </w:p>
    <w:p w14:paraId="3A597C19" w14:textId="77777777" w:rsidR="00DB2B68" w:rsidRDefault="00000000">
      <w:pPr>
        <w:pStyle w:val="pheading"/>
      </w:pPr>
      <w:r>
        <w:t>- Caractéristiques générales</w:t>
      </w:r>
    </w:p>
    <w:p w14:paraId="15FA9B68" w14:textId="77777777" w:rsidR="00DB2B68" w:rsidRDefault="00000000">
      <w:pPr>
        <w:jc w:val="both"/>
      </w:pPr>
      <w:r>
        <w:t>Barres d’armatures fabriquées à partir de résines thermodurcissables et de fibres de verre, à taux volumique de fibres supérieur à 50 % :</w:t>
      </w:r>
    </w:p>
    <w:p w14:paraId="4A28B3D5" w14:textId="77777777" w:rsidR="00DB2B68" w:rsidRDefault="00000000">
      <w:pPr>
        <w:pStyle w:val="Author-eListParagraph"/>
        <w:numPr>
          <w:ilvl w:val="0"/>
          <w:numId w:val="650"/>
        </w:numPr>
        <w:jc w:val="both"/>
      </w:pPr>
      <w:r>
        <w:t xml:space="preserve">Résistance à la traction, suivant la [ISO 10406-1] ≥ </w:t>
      </w:r>
      <w:r>
        <w:rPr>
          <w:rStyle w:val="optioncarChar"/>
        </w:rPr>
        <w:t xml:space="preserve">700 / 800 </w:t>
      </w:r>
      <w:r>
        <w:t xml:space="preserve">(par défaut) </w:t>
      </w:r>
      <w:r>
        <w:rPr>
          <w:rStyle w:val="optioncarChar"/>
        </w:rPr>
        <w:t>/ 900 / 1000 / 1100 / ***</w:t>
      </w:r>
      <w:r>
        <w:t xml:space="preserve"> MPa</w:t>
      </w:r>
    </w:p>
    <w:p w14:paraId="1687BE0F" w14:textId="77777777" w:rsidR="00DB2B68" w:rsidRDefault="00000000">
      <w:pPr>
        <w:pStyle w:val="Author-eListParagraph"/>
        <w:numPr>
          <w:ilvl w:val="0"/>
          <w:numId w:val="650"/>
        </w:numPr>
        <w:jc w:val="both"/>
      </w:pPr>
      <w:r>
        <w:t xml:space="preserve">Module d’élasticité, suivant la [ISO 10406-1] ≥ </w:t>
      </w:r>
      <w:r>
        <w:rPr>
          <w:rStyle w:val="optioncarChar"/>
        </w:rPr>
        <w:t>40 / 46</w:t>
      </w:r>
      <w:r>
        <w:t xml:space="preserve"> (par défaut)</w:t>
      </w:r>
      <w:r>
        <w:rPr>
          <w:rStyle w:val="optioncarChar"/>
        </w:rPr>
        <w:t xml:space="preserve"> / 50 / 60 / ***</w:t>
      </w:r>
      <w:r>
        <w:t xml:space="preserve"> GPa</w:t>
      </w:r>
    </w:p>
    <w:p w14:paraId="70930A75" w14:textId="77777777" w:rsidR="00DB2B68" w:rsidRDefault="00000000">
      <w:pPr>
        <w:pStyle w:val="Author-eListParagraph"/>
        <w:numPr>
          <w:ilvl w:val="0"/>
          <w:numId w:val="650"/>
        </w:numPr>
        <w:jc w:val="both"/>
      </w:pPr>
      <w:r>
        <w:t xml:space="preserve">Résistance au cisaillement, suivant la [ISO 10406-1] ≥ </w:t>
      </w:r>
      <w:r>
        <w:rPr>
          <w:rStyle w:val="optioncarChar"/>
        </w:rPr>
        <w:t xml:space="preserve">150 </w:t>
      </w:r>
      <w:r>
        <w:t>(par défaut)</w:t>
      </w:r>
      <w:r>
        <w:rPr>
          <w:rStyle w:val="optioncarChar"/>
        </w:rPr>
        <w:t xml:space="preserve"> / 160 / 179 / 180 / ***</w:t>
      </w:r>
      <w:r>
        <w:t xml:space="preserve"> MPa</w:t>
      </w:r>
    </w:p>
    <w:p w14:paraId="54050F82" w14:textId="77777777" w:rsidR="00DB2B68" w:rsidRDefault="00000000">
      <w:pPr>
        <w:pStyle w:val="Author-eListParagraph"/>
        <w:numPr>
          <w:ilvl w:val="0"/>
          <w:numId w:val="650"/>
        </w:numPr>
        <w:jc w:val="both"/>
      </w:pPr>
      <w:r>
        <w:t xml:space="preserve">Température critique de transition vitreuse, suivant la [NBN EN ISO 11357-2] ≥ </w:t>
      </w:r>
      <w:r>
        <w:rPr>
          <w:rStyle w:val="optioncarChar"/>
        </w:rPr>
        <w:t>110</w:t>
      </w:r>
      <w:r>
        <w:t xml:space="preserve"> (par défaut)</w:t>
      </w:r>
      <w:r>
        <w:rPr>
          <w:rStyle w:val="optioncarChar"/>
        </w:rPr>
        <w:t xml:space="preserve"> / 120 / ***</w:t>
      </w:r>
      <w:r>
        <w:t xml:space="preserve"> °C</w:t>
      </w:r>
    </w:p>
    <w:p w14:paraId="6130C25F" w14:textId="77777777" w:rsidR="00DB2B68" w:rsidRDefault="00000000">
      <w:pPr>
        <w:pStyle w:val="Author-eListParagraph"/>
        <w:numPr>
          <w:ilvl w:val="0"/>
          <w:numId w:val="650"/>
        </w:numPr>
        <w:jc w:val="both"/>
      </w:pPr>
      <w:r>
        <w:t>Masse volumique : 2 g/cm³, tolérance ± 0,2 g/cm³</w:t>
      </w:r>
    </w:p>
    <w:p w14:paraId="269D8FAE" w14:textId="77777777" w:rsidR="00DB2B68" w:rsidRDefault="00000000">
      <w:pPr>
        <w:pStyle w:val="Author-eListParagraph"/>
        <w:numPr>
          <w:ilvl w:val="0"/>
          <w:numId w:val="650"/>
        </w:numPr>
        <w:jc w:val="both"/>
      </w:pPr>
      <w:r>
        <w:t xml:space="preserve">Diamètre nominal des barres ≥ </w:t>
      </w:r>
      <w:r>
        <w:rPr>
          <w:rStyle w:val="optioncarChar"/>
        </w:rPr>
        <w:t>selon les indications sur les plans de ferraillage</w:t>
      </w:r>
      <w:r>
        <w:t xml:space="preserve"> (par défaut)</w:t>
      </w:r>
      <w:r>
        <w:rPr>
          <w:rStyle w:val="optioncarChar"/>
        </w:rPr>
        <w:t xml:space="preserve"> / 6 / 8 / 10 / 12 / 15 / 16 / 20 / 22 / 25 / 30 / 32 / 40 / ***</w:t>
      </w:r>
      <w:r>
        <w:t xml:space="preserve"> mm</w:t>
      </w:r>
    </w:p>
    <w:p w14:paraId="059DBF89" w14:textId="77777777" w:rsidR="00DB2B68" w:rsidRDefault="00000000">
      <w:pPr>
        <w:pStyle w:val="Author-eListParagraph"/>
        <w:numPr>
          <w:ilvl w:val="0"/>
          <w:numId w:val="650"/>
        </w:numPr>
        <w:jc w:val="both"/>
      </w:pPr>
      <w:r>
        <w:t xml:space="preserve">Caractéristique de surface des barres : </w:t>
      </w:r>
      <w:r>
        <w:rPr>
          <w:rStyle w:val="optioncarChar"/>
        </w:rPr>
        <w:t>sablé</w:t>
      </w:r>
      <w:r>
        <w:t xml:space="preserve"> (par défaut) </w:t>
      </w:r>
      <w:r>
        <w:rPr>
          <w:rStyle w:val="optioncarChar"/>
        </w:rPr>
        <w:t>/ relief de surface (type « crénelé »)</w:t>
      </w:r>
    </w:p>
    <w:p w14:paraId="0FC99C86" w14:textId="77777777" w:rsidR="00DB2B68" w:rsidRDefault="00000000">
      <w:pPr>
        <w:pStyle w:val="Author-eListParagraph"/>
        <w:numPr>
          <w:ilvl w:val="0"/>
          <w:numId w:val="650"/>
        </w:numPr>
        <w:jc w:val="both"/>
      </w:pPr>
      <w:r>
        <w:t xml:space="preserve">Les extrémités des barres sont terminées avec des têtes d’ancrage : </w:t>
      </w:r>
      <w:r>
        <w:rPr>
          <w:rStyle w:val="optioncarChar"/>
        </w:rPr>
        <w:t>non</w:t>
      </w:r>
      <w:r>
        <w:t xml:space="preserve"> (par défaut) </w:t>
      </w:r>
      <w:r>
        <w:rPr>
          <w:rStyle w:val="optioncarChar"/>
        </w:rPr>
        <w:t>/ oui</w:t>
      </w:r>
    </w:p>
    <w:p w14:paraId="44868B88" w14:textId="77777777" w:rsidR="00DB2B68" w:rsidRDefault="00000000">
      <w:pPr>
        <w:pStyle w:val="pheading"/>
      </w:pPr>
      <w:r>
        <w:t>MESURAGE</w:t>
      </w:r>
    </w:p>
    <w:p w14:paraId="78A3CBDA" w14:textId="77777777" w:rsidR="00DB2B68" w:rsidRDefault="00000000">
      <w:pPr>
        <w:pStyle w:val="pheading"/>
      </w:pPr>
      <w:r>
        <w:t>- unité de mesure:</w:t>
      </w:r>
    </w:p>
    <w:p w14:paraId="3ED0562B" w14:textId="77777777" w:rsidR="00DB2B68" w:rsidRDefault="00000000">
      <w:r>
        <w:rPr>
          <w:rStyle w:val="optioncarChar"/>
        </w:rPr>
        <w:t>- </w:t>
      </w:r>
      <w:r>
        <w:t>(par défaut)</w:t>
      </w:r>
      <w:r>
        <w:rPr>
          <w:rStyle w:val="optioncarChar"/>
        </w:rPr>
        <w:t> / kg</w:t>
      </w:r>
    </w:p>
    <w:p w14:paraId="59867FB8" w14:textId="77777777" w:rsidR="00DB2B68" w:rsidRDefault="00000000">
      <w:r>
        <w:rPr>
          <w:b/>
        </w:rPr>
        <w:t>(soit par défaut)</w:t>
      </w:r>
      <w:r>
        <w:br/>
      </w:r>
      <w:r>
        <w:rPr>
          <w:rStyle w:val="soitChar"/>
        </w:rPr>
        <w:t>1. -</w:t>
      </w:r>
      <w:r>
        <w:br/>
      </w:r>
      <w:r>
        <w:rPr>
          <w:b/>
        </w:rPr>
        <w:t>(soit)</w:t>
      </w:r>
      <w:r>
        <w:br/>
      </w:r>
      <w:r>
        <w:rPr>
          <w:rStyle w:val="soitChar"/>
        </w:rPr>
        <w:t>2. 3. kg</w:t>
      </w:r>
    </w:p>
    <w:p w14:paraId="17DE965B" w14:textId="77777777" w:rsidR="00DB2B68" w:rsidRDefault="00000000">
      <w:pPr>
        <w:pStyle w:val="pheading"/>
      </w:pPr>
      <w:r>
        <w:t>- code de mesurage:</w:t>
      </w:r>
    </w:p>
    <w:p w14:paraId="513AD2BC" w14:textId="77777777" w:rsidR="00DB2B68" w:rsidRDefault="00000000">
      <w:r>
        <w:rPr>
          <w:rStyle w:val="optioncarChar"/>
        </w:rPr>
        <w:t>Compris </w:t>
      </w:r>
      <w:r>
        <w:t>(par défaut)</w:t>
      </w:r>
      <w:r>
        <w:rPr>
          <w:rStyle w:val="optioncarChar"/>
        </w:rPr>
        <w:t> / Masse nette</w:t>
      </w:r>
    </w:p>
    <w:p w14:paraId="58B3608B" w14:textId="77777777" w:rsidR="00DB2B68" w:rsidRDefault="00000000">
      <w:r>
        <w:rPr>
          <w:b/>
        </w:rPr>
        <w:t>(soit par défaut)</w:t>
      </w:r>
      <w:r>
        <w:br/>
      </w:r>
      <w:r>
        <w:rPr>
          <w:rStyle w:val="soitChar"/>
        </w:rPr>
        <w:t>1. </w:t>
      </w:r>
      <w:r>
        <w:rPr>
          <w:rStyle w:val="soitChar"/>
          <w:u w:val="single"/>
        </w:rPr>
        <w:t>Compris</w:t>
      </w:r>
      <w:r>
        <w:rPr>
          <w:rStyle w:val="soitChar"/>
        </w:rPr>
        <w:t> dans les prix unitaires des ouvrages en béton concernés dans l'/les article(s) </w:t>
      </w:r>
      <w:r>
        <w:t> </w:t>
      </w:r>
      <w:r>
        <w:rPr>
          <w:rStyle w:val="optioncarChar"/>
        </w:rPr>
        <w:t>***</w:t>
      </w:r>
      <w:r>
        <w:t>. </w:t>
      </w:r>
      <w:r>
        <w:br/>
      </w:r>
      <w:r>
        <w:rPr>
          <w:b/>
        </w:rPr>
        <w:t>(soit)</w:t>
      </w:r>
      <w:r>
        <w:br/>
      </w:r>
      <w:r>
        <w:rPr>
          <w:rStyle w:val="soitChar"/>
        </w:rPr>
        <w:t>2. 3. </w:t>
      </w:r>
      <w:r>
        <w:rPr>
          <w:rStyle w:val="soitChar"/>
          <w:u w:val="single"/>
        </w:rPr>
        <w:t>Masse nette</w:t>
      </w:r>
      <w:r>
        <w:rPr>
          <w:rStyle w:val="soitChar"/>
        </w:rPr>
        <w:t> d’armatures à mettre en œuvre, pour toutes dimensions et sections.</w:t>
      </w:r>
    </w:p>
    <w:p w14:paraId="748BA410" w14:textId="77777777" w:rsidR="00DB2B68" w:rsidRDefault="00000000">
      <w:pPr>
        <w:pStyle w:val="pheading"/>
      </w:pPr>
      <w:r>
        <w:t>- nature du marché:</w:t>
      </w:r>
    </w:p>
    <w:p w14:paraId="2C21E569" w14:textId="77777777" w:rsidR="00DB2B68" w:rsidRDefault="00000000">
      <w:r>
        <w:rPr>
          <w:rStyle w:val="optioncarChar"/>
        </w:rPr>
        <w:t>PM </w:t>
      </w:r>
      <w:r>
        <w:t>(par défaut)</w:t>
      </w:r>
      <w:r>
        <w:rPr>
          <w:rStyle w:val="optioncarChar"/>
        </w:rPr>
        <w:t> / QF / QP</w:t>
      </w:r>
    </w:p>
    <w:p w14:paraId="2B6AC0B1" w14:textId="77777777" w:rsidR="00DB2B68"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396F0E15" w14:textId="77777777" w:rsidR="00DB2B68" w:rsidRDefault="00000000">
      <w:pPr>
        <w:pStyle w:val="Author-eSectionHeading6Numberless"/>
      </w:pPr>
      <w:bookmarkStart w:id="953" w:name="_Toc220495992"/>
      <w:r>
        <w:t>22.51.4d Armatures additionnelles à base de fibre d’aramide CCTB 01.12</w:t>
      </w:r>
      <w:bookmarkEnd w:id="953"/>
    </w:p>
    <w:p w14:paraId="747C15EA" w14:textId="77777777" w:rsidR="00DB2B68" w:rsidRDefault="00000000">
      <w:pPr>
        <w:pStyle w:val="pheading"/>
      </w:pPr>
      <w:r>
        <w:t>DESCRIPTION</w:t>
      </w:r>
    </w:p>
    <w:p w14:paraId="5761AD7D" w14:textId="77777777" w:rsidR="00DB2B68" w:rsidRDefault="00000000">
      <w:pPr>
        <w:pStyle w:val="pheading"/>
      </w:pPr>
      <w:r>
        <w:t>- Définition / Comprend</w:t>
      </w:r>
    </w:p>
    <w:p w14:paraId="59497B6F" w14:textId="77777777" w:rsidR="00DB2B68" w:rsidRDefault="00000000">
      <w:r>
        <w:lastRenderedPageBreak/>
        <w:t>Il s'agit de la fourniture et de la mise en œuvre d’armatures à base de fibres d’aramide.</w:t>
      </w:r>
    </w:p>
    <w:p w14:paraId="73114828" w14:textId="77777777" w:rsidR="00DB2B68" w:rsidRDefault="00000000">
      <w:pPr>
        <w:pStyle w:val="pheading"/>
      </w:pPr>
      <w:r>
        <w:t>MATÉRIAUX</w:t>
      </w:r>
    </w:p>
    <w:p w14:paraId="790A29E1" w14:textId="77777777" w:rsidR="00DB2B68" w:rsidRDefault="00000000">
      <w:pPr>
        <w:pStyle w:val="pheading"/>
      </w:pPr>
      <w:r>
        <w:t>- Caractéristiques générales</w:t>
      </w:r>
    </w:p>
    <w:p w14:paraId="15F5869D" w14:textId="77777777" w:rsidR="00DB2B68" w:rsidRDefault="00000000">
      <w:pPr>
        <w:jc w:val="both"/>
      </w:pPr>
      <w:r>
        <w:t>Barres d’armatures fabriquées à partir de résines thermodurcissables et de fibres d’aramide, à taux volumique de fibres supérieur à 50 % :</w:t>
      </w:r>
    </w:p>
    <w:p w14:paraId="073A01D7" w14:textId="77777777" w:rsidR="00DB2B68" w:rsidRDefault="00000000">
      <w:pPr>
        <w:pStyle w:val="Author-eListParagraph"/>
        <w:numPr>
          <w:ilvl w:val="0"/>
          <w:numId w:val="651"/>
        </w:numPr>
        <w:jc w:val="both"/>
      </w:pPr>
      <w:r>
        <w:t xml:space="preserve">Résistance à la traction, suivant la [ISO 10406-1] ≥ </w:t>
      </w:r>
      <w:r>
        <w:rPr>
          <w:rStyle w:val="optioncarChar"/>
        </w:rPr>
        <w:t xml:space="preserve">1800 </w:t>
      </w:r>
      <w:r>
        <w:t>(par défaut)</w:t>
      </w:r>
      <w:r>
        <w:rPr>
          <w:rStyle w:val="optioncarChar"/>
        </w:rPr>
        <w:t xml:space="preserve"> / 1850 / ***</w:t>
      </w:r>
      <w:r>
        <w:t xml:space="preserve"> MPa</w:t>
      </w:r>
    </w:p>
    <w:p w14:paraId="57654F8C" w14:textId="77777777" w:rsidR="00DB2B68" w:rsidRDefault="00000000">
      <w:pPr>
        <w:pStyle w:val="Author-eListParagraph"/>
        <w:numPr>
          <w:ilvl w:val="0"/>
          <w:numId w:val="651"/>
        </w:numPr>
        <w:jc w:val="both"/>
      </w:pPr>
      <w:r>
        <w:t xml:space="preserve">Module d’élasticité, suivant la [ISO 10406-1] ≥ </w:t>
      </w:r>
      <w:r>
        <w:rPr>
          <w:rStyle w:val="optioncarChar"/>
        </w:rPr>
        <w:t xml:space="preserve">65 </w:t>
      </w:r>
      <w:r>
        <w:t>(par défaut)</w:t>
      </w:r>
      <w:r>
        <w:rPr>
          <w:rStyle w:val="optioncarChar"/>
        </w:rPr>
        <w:t xml:space="preserve"> / 68 / ***</w:t>
      </w:r>
      <w:r>
        <w:t xml:space="preserve"> GPa</w:t>
      </w:r>
    </w:p>
    <w:p w14:paraId="64A9A1C6" w14:textId="77777777" w:rsidR="00DB2B68" w:rsidRDefault="00000000">
      <w:pPr>
        <w:pStyle w:val="Author-eListParagraph"/>
        <w:numPr>
          <w:ilvl w:val="0"/>
          <w:numId w:val="651"/>
        </w:numPr>
        <w:jc w:val="both"/>
      </w:pPr>
      <w:r>
        <w:t xml:space="preserve">Température critique de transition vitreuse, suivant la [NBN EN ISO 11357-2] ≥ </w:t>
      </w:r>
      <w:r>
        <w:rPr>
          <w:rStyle w:val="optioncarChar"/>
        </w:rPr>
        <w:t xml:space="preserve">65 </w:t>
      </w:r>
      <w:r>
        <w:t>(par défaut)</w:t>
      </w:r>
      <w:r>
        <w:rPr>
          <w:rStyle w:val="optioncarChar"/>
        </w:rPr>
        <w:t xml:space="preserve"> / 70 / ***</w:t>
      </w:r>
      <w:r>
        <w:t xml:space="preserve"> °C</w:t>
      </w:r>
    </w:p>
    <w:p w14:paraId="5AB002B1" w14:textId="77777777" w:rsidR="00DB2B68" w:rsidRDefault="00000000">
      <w:pPr>
        <w:pStyle w:val="Author-eListParagraph"/>
        <w:numPr>
          <w:ilvl w:val="0"/>
          <w:numId w:val="651"/>
        </w:numPr>
        <w:jc w:val="both"/>
      </w:pPr>
      <w:r>
        <w:t xml:space="preserve">Allongement à la rupture, suivant la [ISO 10406-1] ≥ </w:t>
      </w:r>
      <w:r>
        <w:rPr>
          <w:rStyle w:val="optioncarChar"/>
        </w:rPr>
        <w:t>2,3</w:t>
      </w:r>
      <w:r>
        <w:t xml:space="preserve"> (par défaut)</w:t>
      </w:r>
      <w:r>
        <w:rPr>
          <w:rStyle w:val="optioncarChar"/>
        </w:rPr>
        <w:t xml:space="preserve"> / 3,9 / ***</w:t>
      </w:r>
      <w:r>
        <w:t xml:space="preserve"> %</w:t>
      </w:r>
    </w:p>
    <w:p w14:paraId="2D64315E" w14:textId="77777777" w:rsidR="00DB2B68" w:rsidRDefault="00000000">
      <w:pPr>
        <w:pStyle w:val="Author-eListParagraph"/>
        <w:numPr>
          <w:ilvl w:val="0"/>
          <w:numId w:val="651"/>
        </w:numPr>
        <w:jc w:val="both"/>
      </w:pPr>
      <w:r>
        <w:t>Masse volumique : 1,4 g/cm³, tolérance ± 0,2 g/cm³</w:t>
      </w:r>
    </w:p>
    <w:p w14:paraId="77C6C0A8" w14:textId="77777777" w:rsidR="00DB2B68" w:rsidRDefault="00000000">
      <w:pPr>
        <w:pStyle w:val="Author-eListParagraph"/>
        <w:numPr>
          <w:ilvl w:val="0"/>
          <w:numId w:val="651"/>
        </w:numPr>
        <w:jc w:val="both"/>
      </w:pPr>
      <w:r>
        <w:t xml:space="preserve">Diamètre des barres : </w:t>
      </w:r>
      <w:r>
        <w:rPr>
          <w:rStyle w:val="optioncarChar"/>
        </w:rPr>
        <w:t>selon les indications sur les plans de ferraillage</w:t>
      </w:r>
      <w:r>
        <w:t xml:space="preserve"> (par défaut)</w:t>
      </w:r>
      <w:r>
        <w:rPr>
          <w:rStyle w:val="optioncarChar"/>
        </w:rPr>
        <w:t xml:space="preserve"> / 2,7 / 5,7 / 7,8 / 9,3 / 11 / 13,7 / 15,7 / ***</w:t>
      </w:r>
      <w:r>
        <w:t xml:space="preserve"> mm, tolérance ± 0,5 mm</w:t>
      </w:r>
    </w:p>
    <w:p w14:paraId="1ED9E13F" w14:textId="77777777" w:rsidR="00DB2B68" w:rsidRDefault="00000000">
      <w:pPr>
        <w:pStyle w:val="Author-eListParagraph"/>
        <w:numPr>
          <w:ilvl w:val="0"/>
          <w:numId w:val="651"/>
        </w:numPr>
        <w:jc w:val="both"/>
      </w:pPr>
      <w:r>
        <w:t>Caractéristique de surface des barres : sablé</w:t>
      </w:r>
    </w:p>
    <w:p w14:paraId="27A2FD3D" w14:textId="77777777" w:rsidR="00DB2B68" w:rsidRDefault="00000000">
      <w:pPr>
        <w:pStyle w:val="pheading"/>
      </w:pPr>
      <w:r>
        <w:t>MESURAGE</w:t>
      </w:r>
    </w:p>
    <w:p w14:paraId="32D9CE59" w14:textId="77777777" w:rsidR="00DB2B68" w:rsidRDefault="00000000">
      <w:pPr>
        <w:pStyle w:val="pheading"/>
      </w:pPr>
      <w:r>
        <w:t>- unité de mesure:</w:t>
      </w:r>
    </w:p>
    <w:p w14:paraId="68CE0738" w14:textId="77777777" w:rsidR="00DB2B68" w:rsidRDefault="00000000">
      <w:r>
        <w:rPr>
          <w:rStyle w:val="optioncarChar"/>
        </w:rPr>
        <w:t>- </w:t>
      </w:r>
      <w:r>
        <w:t>(par défaut)</w:t>
      </w:r>
      <w:r>
        <w:rPr>
          <w:rStyle w:val="optioncarChar"/>
        </w:rPr>
        <w:t> / kg</w:t>
      </w:r>
    </w:p>
    <w:p w14:paraId="42F7D5D9" w14:textId="77777777" w:rsidR="00DB2B68" w:rsidRDefault="00000000">
      <w:r>
        <w:rPr>
          <w:b/>
        </w:rPr>
        <w:t>(soit par défaut)</w:t>
      </w:r>
      <w:r>
        <w:br/>
      </w:r>
      <w:r>
        <w:rPr>
          <w:rStyle w:val="soitChar"/>
        </w:rPr>
        <w:t>1. -</w:t>
      </w:r>
      <w:r>
        <w:br/>
      </w:r>
      <w:r>
        <w:rPr>
          <w:b/>
        </w:rPr>
        <w:t>(soit)</w:t>
      </w:r>
      <w:r>
        <w:br/>
      </w:r>
      <w:r>
        <w:rPr>
          <w:rStyle w:val="soitChar"/>
        </w:rPr>
        <w:t>2. 3. kg</w:t>
      </w:r>
    </w:p>
    <w:p w14:paraId="38D3ABE4" w14:textId="77777777" w:rsidR="00DB2B68" w:rsidRDefault="00000000">
      <w:pPr>
        <w:pStyle w:val="pheading"/>
      </w:pPr>
      <w:r>
        <w:t>- code de mesurage:</w:t>
      </w:r>
    </w:p>
    <w:p w14:paraId="2B761D4D" w14:textId="77777777" w:rsidR="00DB2B68" w:rsidRDefault="00000000">
      <w:r>
        <w:rPr>
          <w:rStyle w:val="optioncarChar"/>
        </w:rPr>
        <w:t>Compris </w:t>
      </w:r>
      <w:r>
        <w:t>(par défaut)</w:t>
      </w:r>
      <w:r>
        <w:rPr>
          <w:rStyle w:val="optioncarChar"/>
        </w:rPr>
        <w:t> / Masse nette</w:t>
      </w:r>
    </w:p>
    <w:p w14:paraId="6D4ED3C8" w14:textId="77777777" w:rsidR="00DB2B68" w:rsidRDefault="00000000">
      <w:r>
        <w:rPr>
          <w:b/>
        </w:rPr>
        <w:t>(soit par défaut)</w:t>
      </w:r>
      <w:r>
        <w:br/>
      </w:r>
      <w:r>
        <w:rPr>
          <w:rStyle w:val="soitChar"/>
        </w:rPr>
        <w:t>1. </w:t>
      </w:r>
      <w:r>
        <w:rPr>
          <w:rStyle w:val="soitChar"/>
          <w:u w:val="single"/>
        </w:rPr>
        <w:t>Compris</w:t>
      </w:r>
      <w:r>
        <w:rPr>
          <w:rStyle w:val="soitChar"/>
        </w:rPr>
        <w:t> dans les prix unitaires des ouvrages en béton concernés dans l'/les article(s) </w:t>
      </w:r>
      <w:r>
        <w:t> </w:t>
      </w:r>
      <w:r>
        <w:rPr>
          <w:rStyle w:val="optioncarChar"/>
        </w:rPr>
        <w:t>***</w:t>
      </w:r>
      <w:r>
        <w:t>. </w:t>
      </w:r>
      <w:r>
        <w:br/>
      </w:r>
      <w:r>
        <w:rPr>
          <w:b/>
        </w:rPr>
        <w:t>(soit)</w:t>
      </w:r>
      <w:r>
        <w:br/>
      </w:r>
      <w:r>
        <w:rPr>
          <w:rStyle w:val="soitChar"/>
        </w:rPr>
        <w:t>2. 3. </w:t>
      </w:r>
      <w:r>
        <w:rPr>
          <w:rStyle w:val="soitChar"/>
          <w:u w:val="single"/>
        </w:rPr>
        <w:t>Masse nette</w:t>
      </w:r>
      <w:r>
        <w:rPr>
          <w:rStyle w:val="soitChar"/>
        </w:rPr>
        <w:t> d’armatures à mettre en œuvre, pour toutes dimensions et sections.</w:t>
      </w:r>
    </w:p>
    <w:p w14:paraId="041FA46F" w14:textId="77777777" w:rsidR="00DB2B68" w:rsidRDefault="00000000">
      <w:pPr>
        <w:pStyle w:val="pheading"/>
      </w:pPr>
      <w:r>
        <w:t>- nature du marché:</w:t>
      </w:r>
    </w:p>
    <w:p w14:paraId="4CF3E4B4" w14:textId="77777777" w:rsidR="00DB2B68" w:rsidRDefault="00000000">
      <w:r>
        <w:rPr>
          <w:rStyle w:val="optioncarChar"/>
        </w:rPr>
        <w:t>PM </w:t>
      </w:r>
      <w:r>
        <w:t>(par défaut)</w:t>
      </w:r>
      <w:r>
        <w:rPr>
          <w:rStyle w:val="optioncarChar"/>
        </w:rPr>
        <w:t> / QF / QP</w:t>
      </w:r>
    </w:p>
    <w:p w14:paraId="4399B7F0" w14:textId="77777777" w:rsidR="00DB2B68"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7B325743" w14:textId="77777777" w:rsidR="00DB2B68" w:rsidRDefault="00000000">
      <w:pPr>
        <w:pStyle w:val="Author-eSectionHeading4Numberless"/>
      </w:pPr>
      <w:bookmarkStart w:id="954" w:name="_Toc220495993"/>
      <w:r>
        <w:t>22.52 Armatures et accessoires de précontrainte CCTB 01.04</w:t>
      </w:r>
      <w:bookmarkEnd w:id="954"/>
    </w:p>
    <w:p w14:paraId="554AA6D1" w14:textId="77777777" w:rsidR="00DB2B68" w:rsidRDefault="00000000">
      <w:pPr>
        <w:pStyle w:val="Author-eSectionHeading5Numberless"/>
      </w:pPr>
      <w:bookmarkStart w:id="955" w:name="_Toc220495994"/>
      <w:r>
        <w:t>22.52.1 Armatures de précontrainte par post-tension CCTB 01.04</w:t>
      </w:r>
      <w:bookmarkEnd w:id="955"/>
    </w:p>
    <w:p w14:paraId="2BEE74F9" w14:textId="77777777" w:rsidR="00DB2B68" w:rsidRDefault="00000000">
      <w:pPr>
        <w:pStyle w:val="Author-eSectionHeading6Numberless"/>
      </w:pPr>
      <w:bookmarkStart w:id="956" w:name="483"/>
      <w:bookmarkStart w:id="957" w:name="_Toc220495995"/>
      <w:bookmarkEnd w:id="956"/>
      <w:r>
        <w:t>22.52.1a Barres de précontrainte par post-tension CCTB 01.07</w:t>
      </w:r>
      <w:bookmarkEnd w:id="957"/>
    </w:p>
    <w:p w14:paraId="760A2E26" w14:textId="77777777" w:rsidR="00DB2B68" w:rsidRDefault="00000000">
      <w:pPr>
        <w:pStyle w:val="pheading"/>
      </w:pPr>
      <w:r>
        <w:t>MESURAGE</w:t>
      </w:r>
    </w:p>
    <w:p w14:paraId="7F9962C2" w14:textId="77777777" w:rsidR="00DB2B68" w:rsidRDefault="00000000">
      <w:pPr>
        <w:pStyle w:val="pheading"/>
      </w:pPr>
      <w:r>
        <w:t>- unité de mesure:</w:t>
      </w:r>
    </w:p>
    <w:p w14:paraId="3A6EAF87" w14:textId="77777777" w:rsidR="00DB2B68" w:rsidRDefault="00000000">
      <w:r>
        <w:t>Les aciers sont mesurés et payés au kg en fonction du type d'armatures utilisées et du procédé retenu.</w:t>
      </w:r>
    </w:p>
    <w:p w14:paraId="43509C0B" w14:textId="77777777" w:rsidR="00DB2B68" w:rsidRDefault="00000000">
      <w:pPr>
        <w:pStyle w:val="pheading"/>
      </w:pPr>
      <w:r>
        <w:t>- code de mesurage:</w:t>
      </w:r>
    </w:p>
    <w:p w14:paraId="067F2F36" w14:textId="77777777" w:rsidR="00DB2B68" w:rsidRDefault="00000000">
      <w:r>
        <w:lastRenderedPageBreak/>
        <w:t>Les gaines, ancrages, injections, déviateurs, capots, cachetage, opérations de mise en précontrainte, essai de frottement sont inclus dans le prix du poste.</w:t>
      </w:r>
      <w:r>
        <w:br/>
        <w:t>Les essais d'homologation font l'objet de postes séparés du métré.</w:t>
      </w:r>
    </w:p>
    <w:p w14:paraId="5842DC98" w14:textId="77777777" w:rsidR="00DB2B68" w:rsidRDefault="00000000">
      <w:pPr>
        <w:pStyle w:val="pheading"/>
      </w:pPr>
      <w:r>
        <w:t>- nature du marché:</w:t>
      </w:r>
    </w:p>
    <w:p w14:paraId="181592FB" w14:textId="77777777" w:rsidR="00DB2B68" w:rsidRDefault="00000000">
      <w:r>
        <w:rPr>
          <w:rStyle w:val="optioncarChar"/>
        </w:rPr>
        <w:t xml:space="preserve">QF </w:t>
      </w:r>
      <w:r>
        <w:t xml:space="preserve">(par défaut) </w:t>
      </w:r>
      <w:r>
        <w:rPr>
          <w:rStyle w:val="optioncarChar"/>
        </w:rPr>
        <w:t>/ QP / PM</w:t>
      </w:r>
    </w:p>
    <w:p w14:paraId="0EB45FE8" w14:textId="77777777" w:rsidR="00DB2B68" w:rsidRDefault="00000000">
      <w:pPr>
        <w:pStyle w:val="Author-eSectionHeading6Numberless"/>
      </w:pPr>
      <w:bookmarkStart w:id="958" w:name="_Toc220495996"/>
      <w:r>
        <w:t>22.52.1b Câbles de précontrainte par post-tension CCTB 01.07</w:t>
      </w:r>
      <w:bookmarkEnd w:id="958"/>
    </w:p>
    <w:p w14:paraId="38D00E04" w14:textId="77777777" w:rsidR="00DB2B68" w:rsidRDefault="00000000">
      <w:pPr>
        <w:pStyle w:val="pheading"/>
      </w:pPr>
      <w:r>
        <w:t>MESURAGE</w:t>
      </w:r>
    </w:p>
    <w:p w14:paraId="20B674EA" w14:textId="77777777" w:rsidR="00DB2B68" w:rsidRDefault="00000000">
      <w:pPr>
        <w:pStyle w:val="pheading"/>
      </w:pPr>
      <w:r>
        <w:t>- unité de mesure:</w:t>
      </w:r>
    </w:p>
    <w:p w14:paraId="12AFF719" w14:textId="77777777" w:rsidR="00DB2B68" w:rsidRDefault="00000000">
      <w:r>
        <w:t>Les aciers sont mesurés et payés au kg en fonction du type d'armatures utilisées et du procédé retenu.</w:t>
      </w:r>
    </w:p>
    <w:p w14:paraId="03A73581" w14:textId="77777777" w:rsidR="00DB2B68" w:rsidRDefault="00000000">
      <w:pPr>
        <w:pStyle w:val="pheading"/>
      </w:pPr>
      <w:r>
        <w:t>- code de mesurage:</w:t>
      </w:r>
    </w:p>
    <w:p w14:paraId="40BC4AEA" w14:textId="77777777" w:rsidR="00DB2B68" w:rsidRDefault="00000000">
      <w:r>
        <w:t>Les gaines, ancrages, injections, déviateurs, capots, cachetage, opérations de mise en précontrainte, essai de frottement sont inclus dans le prix du poste.</w:t>
      </w:r>
    </w:p>
    <w:p w14:paraId="1292BD91" w14:textId="77777777" w:rsidR="00DB2B68" w:rsidRDefault="00000000">
      <w:r>
        <w:t>Les essais d'homologation font l'objet de postes séparés du métré.</w:t>
      </w:r>
    </w:p>
    <w:p w14:paraId="227F0CE3" w14:textId="77777777" w:rsidR="00DB2B68" w:rsidRDefault="00000000">
      <w:pPr>
        <w:pStyle w:val="pheading"/>
      </w:pPr>
      <w:r>
        <w:t>- nature du marché:</w:t>
      </w:r>
    </w:p>
    <w:p w14:paraId="7F1E368E" w14:textId="77777777" w:rsidR="00DB2B68" w:rsidRDefault="00000000">
      <w:r>
        <w:rPr>
          <w:rStyle w:val="optioncarChar"/>
        </w:rPr>
        <w:t xml:space="preserve">QF </w:t>
      </w:r>
      <w:r>
        <w:t>(par défaut)</w:t>
      </w:r>
      <w:r>
        <w:rPr>
          <w:rStyle w:val="optioncarChar"/>
        </w:rPr>
        <w:t xml:space="preserve"> / QP / PM</w:t>
      </w:r>
      <w:r>
        <w:br/>
      </w:r>
    </w:p>
    <w:p w14:paraId="451FDA79" w14:textId="77777777" w:rsidR="00DB2B68" w:rsidRDefault="00000000">
      <w:pPr>
        <w:pStyle w:val="Author-eSectionHeading6Numberless"/>
      </w:pPr>
      <w:bookmarkStart w:id="959" w:name="_Toc220495997"/>
      <w:r>
        <w:t>22.52.1c Torons de précontrainte clairs par post-tension CCTB 01.11</w:t>
      </w:r>
      <w:bookmarkEnd w:id="959"/>
    </w:p>
    <w:p w14:paraId="720D3B95" w14:textId="77777777" w:rsidR="00DB2B68" w:rsidRDefault="00000000">
      <w:pPr>
        <w:pStyle w:val="pheading"/>
      </w:pPr>
      <w:r>
        <w:t>MESURAGE</w:t>
      </w:r>
    </w:p>
    <w:p w14:paraId="00B3A4FD" w14:textId="77777777" w:rsidR="00DB2B68" w:rsidRDefault="00000000">
      <w:pPr>
        <w:pStyle w:val="pheading"/>
      </w:pPr>
      <w:r>
        <w:t>- unité de mesure:</w:t>
      </w:r>
    </w:p>
    <w:p w14:paraId="06CD3A15" w14:textId="77777777" w:rsidR="00DB2B68" w:rsidRDefault="00000000">
      <w:r>
        <w:t>Les aciers sont mesurés et payés au kg en fonction du type d'armatures utilisées et du procédé retenu.</w:t>
      </w:r>
    </w:p>
    <w:p w14:paraId="0A39E5A4" w14:textId="77777777" w:rsidR="00DB2B68" w:rsidRDefault="00000000">
      <w:pPr>
        <w:pStyle w:val="pheading"/>
      </w:pPr>
      <w:r>
        <w:t>- code de mesurage:</w:t>
      </w:r>
    </w:p>
    <w:p w14:paraId="6A2B716C" w14:textId="77777777" w:rsidR="00DB2B68" w:rsidRDefault="00000000">
      <w:r>
        <w:t>Les gaines, ancrages, injections, déviateurs, capots, cachetage, opérations de mise en précontrainte, essai de frottement sont inclus dans le prix du poste.</w:t>
      </w:r>
    </w:p>
    <w:p w14:paraId="1FAB1E35" w14:textId="77777777" w:rsidR="00DB2B68" w:rsidRDefault="00000000">
      <w:r>
        <w:t>Les essais d'homologation font l'objet de postes séparés du métré.</w:t>
      </w:r>
    </w:p>
    <w:p w14:paraId="02B28A82" w14:textId="77777777" w:rsidR="00DB2B68" w:rsidRDefault="00000000">
      <w:pPr>
        <w:pStyle w:val="pheading"/>
      </w:pPr>
      <w:r>
        <w:t>- nature du marché:</w:t>
      </w:r>
    </w:p>
    <w:p w14:paraId="167859FF" w14:textId="77777777" w:rsidR="00DB2B68" w:rsidRDefault="00000000">
      <w:r>
        <w:rPr>
          <w:rStyle w:val="optioncarChar"/>
        </w:rPr>
        <w:t xml:space="preserve">QF </w:t>
      </w:r>
      <w:r>
        <w:t>(par défaut)</w:t>
      </w:r>
      <w:r>
        <w:rPr>
          <w:rStyle w:val="optioncarChar"/>
        </w:rPr>
        <w:t xml:space="preserve"> / QP / PM</w:t>
      </w:r>
    </w:p>
    <w:p w14:paraId="22214B08" w14:textId="77777777" w:rsidR="00DB2B68" w:rsidRDefault="00000000">
      <w:pPr>
        <w:pStyle w:val="Author-eSectionHeading6Numberless"/>
      </w:pPr>
      <w:bookmarkStart w:id="960" w:name="_Toc220495998"/>
      <w:r>
        <w:t>22.52.1d Torons de précontrainte par post-tension avec gaines injectées à l'aide d'un coulis de ciment CCTB 01.11</w:t>
      </w:r>
      <w:bookmarkEnd w:id="960"/>
    </w:p>
    <w:p w14:paraId="72482FA5" w14:textId="77777777" w:rsidR="00DB2B68" w:rsidRDefault="00000000">
      <w:pPr>
        <w:pStyle w:val="pheading"/>
      </w:pPr>
      <w:r>
        <w:t>MESURAGE</w:t>
      </w:r>
    </w:p>
    <w:p w14:paraId="5658C08E" w14:textId="77777777" w:rsidR="00DB2B68" w:rsidRDefault="00000000">
      <w:pPr>
        <w:pStyle w:val="pheading"/>
      </w:pPr>
      <w:r>
        <w:t>- unité de mesure:</w:t>
      </w:r>
    </w:p>
    <w:p w14:paraId="25DFEBEB" w14:textId="77777777" w:rsidR="00DB2B68" w:rsidRDefault="00000000">
      <w:r>
        <w:t>Les aciers sont mesurés et payés au kg en fonction du type d'armatures utilisées et du procédé retenu.</w:t>
      </w:r>
    </w:p>
    <w:p w14:paraId="1A6A522B" w14:textId="77777777" w:rsidR="00DB2B68" w:rsidRDefault="00000000">
      <w:pPr>
        <w:pStyle w:val="pheading"/>
      </w:pPr>
      <w:r>
        <w:t>- code de mesurage:</w:t>
      </w:r>
    </w:p>
    <w:p w14:paraId="7BDEED25" w14:textId="77777777" w:rsidR="00DB2B68" w:rsidRDefault="00000000">
      <w:r>
        <w:t>Les gaines, ancrages, injections, déviateurs, capots, cachetage, opérations de mise en précontrainte, essai de frottement sont inclus dans le prix du poste.</w:t>
      </w:r>
    </w:p>
    <w:p w14:paraId="323CA71E" w14:textId="77777777" w:rsidR="00DB2B68" w:rsidRDefault="00000000">
      <w:r>
        <w:t>Les essais d'homologation font l'objet de postes séparés du métré.</w:t>
      </w:r>
    </w:p>
    <w:p w14:paraId="5BE3FB58" w14:textId="77777777" w:rsidR="00DB2B68" w:rsidRDefault="00000000">
      <w:pPr>
        <w:pStyle w:val="pheading"/>
      </w:pPr>
      <w:r>
        <w:t>- nature du marché:</w:t>
      </w:r>
    </w:p>
    <w:p w14:paraId="542E49D1" w14:textId="77777777" w:rsidR="00DB2B68" w:rsidRDefault="00000000">
      <w:r>
        <w:rPr>
          <w:rStyle w:val="optioncarChar"/>
        </w:rPr>
        <w:t xml:space="preserve">QF </w:t>
      </w:r>
      <w:r>
        <w:t>(par défaut)</w:t>
      </w:r>
      <w:r>
        <w:rPr>
          <w:rStyle w:val="optioncarChar"/>
        </w:rPr>
        <w:t xml:space="preserve"> / QP / PM</w:t>
      </w:r>
    </w:p>
    <w:p w14:paraId="0ED2B184" w14:textId="77777777" w:rsidR="00DB2B68" w:rsidRDefault="00000000">
      <w:pPr>
        <w:pStyle w:val="Author-eSectionHeading6Numberless"/>
      </w:pPr>
      <w:bookmarkStart w:id="961" w:name="_Toc220495999"/>
      <w:r>
        <w:lastRenderedPageBreak/>
        <w:t>22.52.1e Torons de précontrainte par post-tension gainés graissés CCTB 01.11</w:t>
      </w:r>
      <w:bookmarkEnd w:id="961"/>
    </w:p>
    <w:p w14:paraId="43F0DF95" w14:textId="77777777" w:rsidR="00DB2B68" w:rsidRDefault="00000000">
      <w:pPr>
        <w:pStyle w:val="pheading"/>
      </w:pPr>
      <w:r>
        <w:t>MESURAGE</w:t>
      </w:r>
    </w:p>
    <w:p w14:paraId="0ABE2DAD" w14:textId="77777777" w:rsidR="00DB2B68" w:rsidRDefault="00000000">
      <w:pPr>
        <w:pStyle w:val="pheading"/>
      </w:pPr>
      <w:r>
        <w:t>- unité de mesure:</w:t>
      </w:r>
    </w:p>
    <w:p w14:paraId="3CEAF175" w14:textId="77777777" w:rsidR="00DB2B68" w:rsidRDefault="00000000">
      <w:r>
        <w:t>Les aciers sont mesurés et payés au kg en fonction du type d'armatures utilisées et du procédé retenu.</w:t>
      </w:r>
    </w:p>
    <w:p w14:paraId="1C3DE468" w14:textId="77777777" w:rsidR="00DB2B68" w:rsidRDefault="00000000">
      <w:pPr>
        <w:pStyle w:val="pheading"/>
      </w:pPr>
      <w:r>
        <w:t>- code de mesurage:</w:t>
      </w:r>
    </w:p>
    <w:p w14:paraId="0D702787" w14:textId="77777777" w:rsidR="00DB2B68" w:rsidRDefault="00000000">
      <w:r>
        <w:t>Les gaines, ancrages, injections, déviateurs, capots, cachetage, opérations de mise en précontrainte, essai de frottement sont inclus dans le prix du poste.</w:t>
      </w:r>
    </w:p>
    <w:p w14:paraId="22A90CEF" w14:textId="77777777" w:rsidR="00DB2B68" w:rsidRDefault="00000000">
      <w:r>
        <w:t>Les essais d'homologation font l'objet de postes séparés du métré.</w:t>
      </w:r>
    </w:p>
    <w:p w14:paraId="4A61EAB7" w14:textId="77777777" w:rsidR="00DB2B68" w:rsidRDefault="00000000">
      <w:pPr>
        <w:pStyle w:val="pheading"/>
      </w:pPr>
      <w:r>
        <w:t>- nature du marché:</w:t>
      </w:r>
    </w:p>
    <w:p w14:paraId="297649AB" w14:textId="77777777" w:rsidR="00DB2B68" w:rsidRDefault="00000000">
      <w:r>
        <w:rPr>
          <w:rStyle w:val="optioncarChar"/>
        </w:rPr>
        <w:t xml:space="preserve">QF </w:t>
      </w:r>
      <w:r>
        <w:t>(par défaut)</w:t>
      </w:r>
      <w:r>
        <w:rPr>
          <w:rStyle w:val="optioncarChar"/>
        </w:rPr>
        <w:t xml:space="preserve"> / QP / PM</w:t>
      </w:r>
    </w:p>
    <w:p w14:paraId="39F50122" w14:textId="77777777" w:rsidR="00DB2B68" w:rsidRDefault="00000000">
      <w:pPr>
        <w:pStyle w:val="Author-eSectionHeading6Numberless"/>
      </w:pPr>
      <w:bookmarkStart w:id="962" w:name="_Toc220496000"/>
      <w:r>
        <w:t>22.52.1f Torons de précontrainte par post-tension galvanisés gainés graissés CCTB 01.11</w:t>
      </w:r>
      <w:bookmarkEnd w:id="962"/>
    </w:p>
    <w:p w14:paraId="0739514B" w14:textId="77777777" w:rsidR="00DB2B68" w:rsidRDefault="00000000">
      <w:pPr>
        <w:pStyle w:val="pheading"/>
      </w:pPr>
      <w:r>
        <w:t>MESURAGE</w:t>
      </w:r>
    </w:p>
    <w:p w14:paraId="3CF058DA" w14:textId="77777777" w:rsidR="00DB2B68" w:rsidRDefault="00000000">
      <w:pPr>
        <w:pStyle w:val="pheading"/>
      </w:pPr>
      <w:r>
        <w:t>- unité de mesure:</w:t>
      </w:r>
    </w:p>
    <w:p w14:paraId="6B8D7C48" w14:textId="77777777" w:rsidR="00DB2B68" w:rsidRDefault="00000000">
      <w:r>
        <w:t>Les aciers sont mesurés et payés au kg en fonction du type d'armatures utilisées et du procédé retenu.</w:t>
      </w:r>
    </w:p>
    <w:p w14:paraId="2DE5D53C" w14:textId="77777777" w:rsidR="00DB2B68" w:rsidRDefault="00000000">
      <w:pPr>
        <w:pStyle w:val="pheading"/>
      </w:pPr>
      <w:r>
        <w:t>- code de mesurage:</w:t>
      </w:r>
    </w:p>
    <w:p w14:paraId="65323B08" w14:textId="77777777" w:rsidR="00DB2B68" w:rsidRDefault="00000000">
      <w:r>
        <w:t>Les gaines, ancrages, injections, déviateurs, capots, cachetage, opérations de mise en précontrainte, essai de frottement sont inclus dans le prix du poste.</w:t>
      </w:r>
    </w:p>
    <w:p w14:paraId="530F92BF" w14:textId="77777777" w:rsidR="00DB2B68" w:rsidRDefault="00000000">
      <w:r>
        <w:t>Les essais d'homologation font l'objet de postes séparés du métré.</w:t>
      </w:r>
    </w:p>
    <w:p w14:paraId="177D985C" w14:textId="77777777" w:rsidR="00DB2B68" w:rsidRDefault="00000000">
      <w:pPr>
        <w:pStyle w:val="pheading"/>
      </w:pPr>
      <w:r>
        <w:t>- nature du marché:</w:t>
      </w:r>
    </w:p>
    <w:p w14:paraId="484AB546" w14:textId="77777777" w:rsidR="00DB2B68" w:rsidRDefault="00000000">
      <w:r>
        <w:rPr>
          <w:rStyle w:val="optioncarChar"/>
        </w:rPr>
        <w:t xml:space="preserve">QF </w:t>
      </w:r>
      <w:r>
        <w:t>(par défaut)</w:t>
      </w:r>
      <w:r>
        <w:rPr>
          <w:rStyle w:val="optioncarChar"/>
        </w:rPr>
        <w:t xml:space="preserve"> / QP / PM</w:t>
      </w:r>
    </w:p>
    <w:p w14:paraId="75190C94" w14:textId="77777777" w:rsidR="00DB2B68" w:rsidRDefault="00000000">
      <w:pPr>
        <w:pStyle w:val="Author-eSectionHeading5Numberless"/>
      </w:pPr>
      <w:bookmarkStart w:id="963" w:name="_Toc220496001"/>
      <w:r>
        <w:t>22.52.2 Accessoires de précontrainte pour post-tension CCTB 01.04</w:t>
      </w:r>
      <w:bookmarkEnd w:id="963"/>
    </w:p>
    <w:p w14:paraId="5D0474E9" w14:textId="77777777" w:rsidR="00DB2B68" w:rsidRDefault="00000000">
      <w:pPr>
        <w:pStyle w:val="Author-eSectionHeading6Numberless"/>
      </w:pPr>
      <w:bookmarkStart w:id="964" w:name="_Toc220496002"/>
      <w:r>
        <w:t>22.52.2a Accessoires de précontrainte par post-tension CCTB 01.04</w:t>
      </w:r>
      <w:bookmarkEnd w:id="964"/>
    </w:p>
    <w:p w14:paraId="0F060542" w14:textId="77777777" w:rsidR="00DB2B68" w:rsidRDefault="00000000">
      <w:pPr>
        <w:pStyle w:val="Author-eSectionHeading4Numberless"/>
      </w:pPr>
      <w:bookmarkStart w:id="965" w:name="_Toc220496003"/>
      <w:r>
        <w:t>22.53 Coffrages CCTB 01.11</w:t>
      </w:r>
      <w:bookmarkEnd w:id="965"/>
    </w:p>
    <w:p w14:paraId="75047D0E" w14:textId="77777777" w:rsidR="00DB2B68" w:rsidRDefault="00000000">
      <w:pPr>
        <w:pStyle w:val="pheading"/>
      </w:pPr>
      <w:bookmarkStart w:id="966" w:name="235"/>
      <w:bookmarkEnd w:id="966"/>
      <w:r>
        <w:t>DESCRIPTION</w:t>
      </w:r>
    </w:p>
    <w:p w14:paraId="483E783F" w14:textId="77777777" w:rsidR="00DB2B68" w:rsidRDefault="00000000">
      <w:pPr>
        <w:pStyle w:val="pheading"/>
      </w:pPr>
      <w:r>
        <w:t>- Définition / Comprend</w:t>
      </w:r>
    </w:p>
    <w:p w14:paraId="1F97F3F6" w14:textId="77777777" w:rsidR="00DB2B68" w:rsidRDefault="00000000">
      <w:r>
        <w:t>Il s'agit de la fourniture et du montage des coffrages nécessaires pour la réalisation des éléments en béton armé, conformément à la forme et aux dimensions indiquées sur les plans. Ils sont constitués de plaques ou d’éléments similaires, y compris tous les accessoires, supports, éventuellement les produits de décoffrage ainsi que le décoffrage final.</w:t>
      </w:r>
    </w:p>
    <w:p w14:paraId="2376ED80" w14:textId="77777777" w:rsidR="00DB2B68" w:rsidRDefault="00000000">
      <w:pPr>
        <w:pStyle w:val="pheading"/>
      </w:pPr>
      <w:r>
        <w:t>MATÉRIAUX</w:t>
      </w:r>
    </w:p>
    <w:p w14:paraId="248205C4" w14:textId="77777777" w:rsidR="00DB2B68" w:rsidRDefault="00000000">
      <w:r>
        <w:t>Les matériaux de coffrage doivent être choisis par l’entrepreneur en fonction de la texture de surface ou de la finition prévues. Le § 5 des normes [NBN EN 13670] et [NBN B 15-400] donnent les exigences de base :</w:t>
      </w:r>
    </w:p>
    <w:p w14:paraId="2B2407DF" w14:textId="77777777" w:rsidR="00DB2B68" w:rsidRDefault="00000000">
      <w:pPr>
        <w:pStyle w:val="Author-eListParagraph"/>
        <w:numPr>
          <w:ilvl w:val="0"/>
          <w:numId w:val="652"/>
        </w:numPr>
      </w:pPr>
      <w:r>
        <w:t>Les matériaux utilisés ne constituent d’aucune manière un empêchement à la finition ultérieure.</w:t>
      </w:r>
    </w:p>
    <w:p w14:paraId="204EBD6C" w14:textId="77777777" w:rsidR="00DB2B68" w:rsidRDefault="00000000">
      <w:pPr>
        <w:pStyle w:val="Author-eListParagraph"/>
        <w:numPr>
          <w:ilvl w:val="0"/>
          <w:numId w:val="652"/>
        </w:numPr>
      </w:pPr>
      <w:r>
        <w:t>Ils sont suffisamment rigides et résistant à l’eau. Ils sont conçus de manière à offrir une solidité suffisante pendant le coulage et pour le maintien du béton. En outre, les éléments ne laissent pas s’écouler le lait de ciment ou ne provoquent pas la décoloration du béton.</w:t>
      </w:r>
    </w:p>
    <w:p w14:paraId="07C58FAF" w14:textId="77777777" w:rsidR="00DB2B68" w:rsidRDefault="00000000">
      <w:pPr>
        <w:pStyle w:val="Author-eListParagraph"/>
        <w:numPr>
          <w:ilvl w:val="0"/>
          <w:numId w:val="652"/>
        </w:numPr>
      </w:pPr>
      <w:r>
        <w:lastRenderedPageBreak/>
        <w:t xml:space="preserve">Des produits de décoffrage peuvent être appliqués pour faciliter le décoffrage, dans la mesure où ils ne nuisent pas à l’aspect du béton et/ou aux finitions à appliquer ultérieurement. </w:t>
      </w:r>
    </w:p>
    <w:p w14:paraId="4125EFEF" w14:textId="77777777" w:rsidR="00DB2B68" w:rsidRDefault="00000000">
      <w:pPr>
        <w:pStyle w:val="Author-eListParagraph"/>
        <w:numPr>
          <w:ilvl w:val="1"/>
          <w:numId w:val="653"/>
        </w:numPr>
      </w:pPr>
      <w:r>
        <w:t>les produits de protection utilisés ne provoquent pas de taches, ne sont pas adhérents ni agressifs.</w:t>
      </w:r>
    </w:p>
    <w:p w14:paraId="677288FA" w14:textId="77777777" w:rsidR="00DB2B68" w:rsidRDefault="00000000">
      <w:pPr>
        <w:pStyle w:val="Author-eListParagraph"/>
        <w:numPr>
          <w:ilvl w:val="1"/>
          <w:numId w:val="653"/>
        </w:numPr>
      </w:pPr>
      <w:r>
        <w:t>une documentation technique du produit est préalablement remise à l’auteur de projet ou, le cas échéant, à l’ingénieur du béton.</w:t>
      </w:r>
    </w:p>
    <w:p w14:paraId="2FFDC0E7" w14:textId="77777777" w:rsidR="00DB2B68" w:rsidRDefault="00000000">
      <w:pPr>
        <w:pStyle w:val="Author-eListParagraph"/>
        <w:numPr>
          <w:ilvl w:val="0"/>
          <w:numId w:val="654"/>
        </w:numPr>
      </w:pPr>
      <w:r>
        <w:t>En principe, tous les éléments de structure en béton destinés à rester apparents, et qui ne sont pas spécialement indiqués sur les plans, sont coffrés lisses.</w:t>
      </w:r>
    </w:p>
    <w:p w14:paraId="34DE2ED7" w14:textId="77777777" w:rsidR="00DB2B68" w:rsidRDefault="00000000">
      <w:pPr>
        <w:pStyle w:val="Author-eListParagraph"/>
        <w:numPr>
          <w:ilvl w:val="0"/>
          <w:numId w:val="654"/>
        </w:numPr>
      </w:pPr>
      <w:r>
        <w:t>Conformément aux spécifications dans le cahier spécial des charges, l’entrepreneur utilise :</w:t>
      </w:r>
    </w:p>
    <w:p w14:paraId="4AB7CE8A" w14:textId="77777777" w:rsidR="00DB2B68" w:rsidRDefault="00000000">
      <w:pPr>
        <w:ind w:left="450"/>
      </w:pPr>
      <w:r>
        <w:rPr>
          <w:rStyle w:val="normalChar"/>
          <w:b/>
        </w:rPr>
        <w:t>Choix opéré : </w:t>
      </w:r>
      <w:r>
        <w:rPr>
          <w:rStyle w:val="optioncarChar"/>
          <w:b/>
        </w:rPr>
        <w:t>OPTION 1</w:t>
      </w:r>
      <w:r>
        <w:t> (par défaut)</w:t>
      </w:r>
      <w:r>
        <w:rPr>
          <w:rStyle w:val="optioncarChar"/>
          <w:b/>
        </w:rPr>
        <w:t xml:space="preserve"> / OPTION 2 / OPTION 3 / OPTION 4</w:t>
      </w:r>
    </w:p>
    <w:p w14:paraId="087B5535" w14:textId="77777777" w:rsidR="00DB2B68" w:rsidRDefault="00000000">
      <w:pPr>
        <w:ind w:left="450"/>
      </w:pPr>
      <w:r>
        <w:rPr>
          <w:b/>
        </w:rPr>
        <w:t>***OPTION 1:</w:t>
      </w:r>
      <w:r>
        <w:t xml:space="preserve"> un coffrage lisse constitué de plaques lisses convenant pour le coffrage du béton (par ex. des plaques de multiplex, d'aggloméré ou similaires, toutes bakélisées).</w:t>
      </w:r>
      <w:r>
        <w:br/>
      </w:r>
      <w:r>
        <w:rPr>
          <w:b/>
        </w:rPr>
        <w:t>***OPTION 2:</w:t>
      </w:r>
      <w:r>
        <w:t xml:space="preserve"> un coffrage rugueux pour les surfaces à plafonner.</w:t>
      </w:r>
      <w:r>
        <w:br/>
      </w:r>
      <w:r>
        <w:rPr>
          <w:b/>
        </w:rPr>
        <w:t>***OPTION 3:</w:t>
      </w:r>
      <w:r>
        <w:t xml:space="preserve"> un coffrage rugueux d’aspect décoratif (par ex. planches en bois rugueuses / …). Voir </w:t>
      </w:r>
      <w:hyperlink w:anchor="87" w:history="1">
        <w:r>
          <w:rPr>
            <w:color w:val="0000EE"/>
          </w:rPr>
          <w:t>22 Superstructures en béton</w:t>
        </w:r>
      </w:hyperlink>
      <w:r>
        <w:t>.</w:t>
      </w:r>
      <w:r>
        <w:br/>
      </w:r>
      <w:r>
        <w:rPr>
          <w:b/>
        </w:rPr>
        <w:t>***OPTION 4:</w:t>
      </w:r>
      <w:r>
        <w:t xml:space="preserve"> un coffrage perdu isolant : pour la prévention de ponts thermiques, l’entrepreneur est autorisé à utiliser, en cas de nécessité et pour autant qu’il ne s’agisse pas de béton apparent, des plaques d’isolation (</w:t>
      </w:r>
      <w:r>
        <w:rPr>
          <w:rStyle w:val="optioncarChar"/>
        </w:rPr>
        <w:t>polystyrène extrudé </w:t>
      </w:r>
      <w:r>
        <w:t>(par défaut)</w:t>
      </w:r>
      <w:r>
        <w:rPr>
          <w:rStyle w:val="optioncarChar"/>
        </w:rPr>
        <w:t xml:space="preserve"> / ***</w:t>
      </w:r>
      <w:r>
        <w:t>) comme coffrage perdu.</w:t>
      </w:r>
    </w:p>
    <w:p w14:paraId="7E809A42" w14:textId="77777777" w:rsidR="00DB2B68" w:rsidRDefault="00000000">
      <w:pPr>
        <w:pStyle w:val="pheading"/>
      </w:pPr>
      <w:r>
        <w:t>EXÉCUTION / MISE EN ŒUVRE</w:t>
      </w:r>
    </w:p>
    <w:p w14:paraId="26AAC52C" w14:textId="77777777" w:rsidR="00DB2B68" w:rsidRDefault="00000000">
      <w:r>
        <w:t xml:space="preserve">En vue d’un soutènement efficace il y a lieu de tenir compte des mesures de sécurité prescrites par le [RGPT], le CNAC (Comité National d’Action pour la sécurité et l’hygiène dans la Construction - voir </w:t>
      </w:r>
      <w:hyperlink r:id="rId10" w:history="1">
        <w:r>
          <w:rPr>
            <w:color w:val="0000EE"/>
          </w:rPr>
          <w:t>http://cnac.constructiv.be/</w:t>
        </w:r>
      </w:hyperlink>
      <w:r>
        <w:t>), ainsi que les prescriptions établies par le coordinateur-projet et les directives données par le coordinateur-réalisation.</w:t>
      </w:r>
    </w:p>
    <w:p w14:paraId="005AF1BE" w14:textId="77777777" w:rsidR="00DB2B68" w:rsidRDefault="00000000">
      <w:r>
        <w:t>Les indications sur les plans de coffrage sont scrupuleusement respectées. L’entrepreneur veille à ce que les coffrages des éléments soient d’aplomb, alignés et de niveau.</w:t>
      </w:r>
    </w:p>
    <w:p w14:paraId="3BF8C7D0" w14:textId="77777777" w:rsidR="00DB2B68" w:rsidRDefault="00000000">
      <w:r>
        <w:t>Avant le coulage du béton, on prévoit dans les éléments toutes les réservations ou pénétrations indiquées sur les plans. Aucun percement ne peut être effectué par la suite par forage ou décapage du béton sans l’approbation explicite préalable de l’auteur de projet ou de l’ingénieur.</w:t>
      </w:r>
    </w:p>
    <w:p w14:paraId="52163C79" w14:textId="77777777" w:rsidR="00DB2B68" w:rsidRDefault="00000000">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14:paraId="3A1AC1E1" w14:textId="77777777" w:rsidR="00DB2B68" w:rsidRDefault="00000000">
      <w:pPr>
        <w:pStyle w:val="heading"/>
      </w:pPr>
      <w:r>
        <w:t>Généralités</w:t>
      </w:r>
    </w:p>
    <w:p w14:paraId="2F8C9900" w14:textId="77777777" w:rsidR="00DB2B68" w:rsidRDefault="00000000">
      <w:pPr>
        <w:pStyle w:val="Author-eListParagraph"/>
        <w:numPr>
          <w:ilvl w:val="0"/>
          <w:numId w:val="655"/>
        </w:numPr>
      </w:pPr>
      <w:r>
        <w:t>Les éléments de coffrage sont parfaitement propres et nets ; ils sont traités avec le plus grand soin afin d’exclure systématiquement tout danger de souillure. Tout contact des plaques ou des panneaux avec les armatures rouillées doit être évité.</w:t>
      </w:r>
    </w:p>
    <w:p w14:paraId="3FD65AAF" w14:textId="77777777" w:rsidR="00DB2B68" w:rsidRDefault="00000000">
      <w:pPr>
        <w:pStyle w:val="Author-eListParagraph"/>
        <w:numPr>
          <w:ilvl w:val="0"/>
          <w:numId w:val="655"/>
        </w:numPr>
      </w:pPr>
      <w:r>
        <w:t>Pendant leur séjour sur chantier avant leur mise en œuvre, les éléments de coffrage sont protégés des intempéries</w:t>
      </w:r>
    </w:p>
    <w:p w14:paraId="1D61C292" w14:textId="77777777" w:rsidR="00DB2B68" w:rsidRDefault="00000000">
      <w:pPr>
        <w:pStyle w:val="Author-eListParagraph"/>
        <w:numPr>
          <w:ilvl w:val="0"/>
          <w:numId w:val="655"/>
        </w:numPr>
      </w:pPr>
      <w:r>
        <w:t xml:space="preserve">Les coffrages et leurs soutènements sont suffisamment solides et rigides pour pouvoir résister à toutes les sollicitations sans subir de dégâts. Il est, par conséquent, tenu compte : </w:t>
      </w:r>
    </w:p>
    <w:p w14:paraId="4A720A18" w14:textId="77777777" w:rsidR="00DB2B68" w:rsidRDefault="00000000">
      <w:pPr>
        <w:pStyle w:val="Author-eListParagraph"/>
        <w:numPr>
          <w:ilvl w:val="1"/>
          <w:numId w:val="656"/>
        </w:numPr>
      </w:pPr>
      <w:r>
        <w:t>du poids et de la pression hydrostatique du béton.</w:t>
      </w:r>
    </w:p>
    <w:p w14:paraId="13FA1742" w14:textId="77777777" w:rsidR="00DB2B68" w:rsidRDefault="00000000">
      <w:pPr>
        <w:pStyle w:val="Author-eListParagraph"/>
        <w:numPr>
          <w:ilvl w:val="1"/>
          <w:numId w:val="656"/>
        </w:numPr>
      </w:pPr>
      <w:r>
        <w:t>du choc par le fait du coulage du béton.</w:t>
      </w:r>
    </w:p>
    <w:p w14:paraId="7C5AFEF6" w14:textId="77777777" w:rsidR="00DB2B68" w:rsidRDefault="00000000">
      <w:pPr>
        <w:pStyle w:val="Author-eListParagraph"/>
        <w:numPr>
          <w:ilvl w:val="1"/>
          <w:numId w:val="656"/>
        </w:numPr>
      </w:pPr>
      <w:r>
        <w:t>des effets dynamiques dus aux vibrations.</w:t>
      </w:r>
    </w:p>
    <w:p w14:paraId="49F42837" w14:textId="77777777" w:rsidR="00DB2B68" w:rsidRDefault="00000000">
      <w:pPr>
        <w:pStyle w:val="Author-eListParagraph"/>
        <w:numPr>
          <w:ilvl w:val="1"/>
          <w:numId w:val="656"/>
        </w:numPr>
      </w:pPr>
      <w:r>
        <w:t>du foulage par les ouvriers.</w:t>
      </w:r>
    </w:p>
    <w:p w14:paraId="36B7A1C5" w14:textId="77777777" w:rsidR="00DB2B68" w:rsidRDefault="00000000">
      <w:pPr>
        <w:pStyle w:val="Author-eListParagraph"/>
        <w:numPr>
          <w:ilvl w:val="1"/>
          <w:numId w:val="656"/>
        </w:numPr>
      </w:pPr>
      <w:r>
        <w:t>de la circulation des camions-tombereaux et de l’entreposage des matériaux </w:t>
      </w:r>
    </w:p>
    <w:p w14:paraId="3DC5C999" w14:textId="77777777" w:rsidR="00DB2B68" w:rsidRDefault="00000000">
      <w:pPr>
        <w:pStyle w:val="Author-eListParagraph"/>
        <w:numPr>
          <w:ilvl w:val="1"/>
          <w:numId w:val="656"/>
        </w:numPr>
      </w:pPr>
      <w:r>
        <w:t>de l’influence du vent.</w:t>
      </w:r>
    </w:p>
    <w:p w14:paraId="67D3D3E9" w14:textId="77777777" w:rsidR="00DB2B68" w:rsidRDefault="00000000">
      <w:pPr>
        <w:pStyle w:val="Author-eListParagraph"/>
        <w:numPr>
          <w:ilvl w:val="0"/>
          <w:numId w:val="657"/>
        </w:numPr>
      </w:pPr>
      <w:r>
        <w:t>Les déformations inévitables des coffrages et des supports ne peuvent en aucun cas nuire aux ouvrages. Lorsque le béton armé présente des déformations, il doit être démoli et reconstruit aux frais de l’entrepreneur.</w:t>
      </w:r>
    </w:p>
    <w:p w14:paraId="44758FF9" w14:textId="77777777" w:rsidR="00DB2B68" w:rsidRDefault="00000000">
      <w:pPr>
        <w:pStyle w:val="Author-eListParagraph"/>
        <w:numPr>
          <w:ilvl w:val="0"/>
          <w:numId w:val="657"/>
        </w:numPr>
      </w:pPr>
      <w:r>
        <w:lastRenderedPageBreak/>
        <w:t>Lorsque le coffrage utilisé est en bois (ou dérivés), celui-ci doit être enlevé après le durcissement du béton. Il ne peut en aucun cas être noyé dans le béton.</w:t>
      </w:r>
    </w:p>
    <w:p w14:paraId="6D2126BC" w14:textId="77777777" w:rsidR="00DB2B68" w:rsidRDefault="00000000">
      <w:pPr>
        <w:pStyle w:val="heading"/>
      </w:pPr>
      <w:r>
        <w:t>Coffrages – forme &amp; contre-flèche</w:t>
      </w:r>
    </w:p>
    <w:p w14:paraId="2BD7EDFD" w14:textId="77777777" w:rsidR="00DB2B68" w:rsidRDefault="00000000">
      <w:pPr>
        <w:pStyle w:val="Author-eListParagraph"/>
        <w:numPr>
          <w:ilvl w:val="0"/>
          <w:numId w:val="658"/>
        </w:numPr>
      </w:pPr>
      <w:r>
        <w:t>Les coffrages sont exécutés de façon telle que l’on puisse garantir les tolérances imposées par [NBN EN 13670] et [NBN B 15-400] : classe de tolérance 1 ou 2, en fonction de l’objet de l’élément.</w:t>
      </w:r>
    </w:p>
    <w:p w14:paraId="15D1C7C6" w14:textId="77777777" w:rsidR="00DB2B68" w:rsidRDefault="00000000">
      <w:pPr>
        <w:pStyle w:val="Author-eListParagraph"/>
        <w:numPr>
          <w:ilvl w:val="0"/>
          <w:numId w:val="658"/>
        </w:numPr>
      </w:pPr>
      <w:r>
        <w:t>Les coffrages sont mis en œuvre de manière à permettre la mise en place et le réglage des armatures ; la forme du coffrage ne peut en aucun cas empêcher le retrait du béton.</w:t>
      </w:r>
    </w:p>
    <w:p w14:paraId="2BE9A7A2" w14:textId="77777777" w:rsidR="00DB2B68" w:rsidRDefault="00000000">
      <w:pPr>
        <w:pStyle w:val="Author-eListParagraph"/>
        <w:numPr>
          <w:ilvl w:val="0"/>
          <w:numId w:val="658"/>
        </w:numPr>
      </w:pPr>
      <w:r>
        <w:t>L’entrepreneur s’accorde avec les sous-entrepreneurs afin de prendre toutes les dispositions afin de prévoir les réservations pour les tuyaux et conduites pendant l’exécution des travaux de bétonnage.</w:t>
      </w:r>
    </w:p>
    <w:p w14:paraId="3DD0CE3D" w14:textId="77777777" w:rsidR="00DB2B68" w:rsidRDefault="00000000">
      <w:pPr>
        <w:pStyle w:val="Author-eListParagraph"/>
        <w:numPr>
          <w:ilvl w:val="0"/>
          <w:numId w:val="658"/>
        </w:numPr>
      </w:pPr>
      <w:r>
        <w:t>Aux endroits nécessaires, l’entrepreneur prévoit, dans le béton, des blocs en bois afin de pouvoir y fixer, par la suite, les éléments de menuiserie ou autres.</w:t>
      </w:r>
    </w:p>
    <w:p w14:paraId="0E84D294" w14:textId="77777777" w:rsidR="00DB2B68" w:rsidRDefault="00000000">
      <w:pPr>
        <w:pStyle w:val="Author-eListParagraph"/>
        <w:numPr>
          <w:ilvl w:val="0"/>
          <w:numId w:val="658"/>
        </w:numPr>
      </w:pPr>
      <w:r>
        <w:t xml:space="preserve">Pour les bétons destinés à rester visibles, tous les angles libres sont biseautés à 45° à l’aide de chanfreins de coffrage en bois ou en matière synthétique, afin de casser les angles sur </w:t>
      </w:r>
      <w:r>
        <w:rPr>
          <w:rStyle w:val="optioncarChar"/>
        </w:rPr>
        <w:t>1,5 </w:t>
      </w:r>
      <w:r>
        <w:t>(par défaut)</w:t>
      </w:r>
      <w:r>
        <w:rPr>
          <w:rStyle w:val="optioncarChar"/>
        </w:rPr>
        <w:t xml:space="preserve"> / *** </w:t>
      </w:r>
      <w:r>
        <w:t>cm dans les deux directions.</w:t>
      </w:r>
    </w:p>
    <w:p w14:paraId="188F3822" w14:textId="77777777" w:rsidR="00DB2B68" w:rsidRDefault="00000000">
      <w:pPr>
        <w:pStyle w:val="Author-eListParagraph"/>
        <w:numPr>
          <w:ilvl w:val="0"/>
          <w:numId w:val="658"/>
        </w:numPr>
      </w:pPr>
      <w:r>
        <w:t xml:space="preserve">Tous les linteaux en encorbellement sont pourvus, dans leur face inférieure, d’un rejet d’eau, obtenu en posant dans le coffrage une latte triangulaire en bois ou en plastic de </w:t>
      </w:r>
      <w:r>
        <w:rPr>
          <w:rStyle w:val="optioncarChar"/>
        </w:rPr>
        <w:t>1,5 </w:t>
      </w:r>
      <w:r>
        <w:t>(par défaut)</w:t>
      </w:r>
      <w:r>
        <w:rPr>
          <w:rStyle w:val="optioncarChar"/>
        </w:rPr>
        <w:t xml:space="preserve"> / *** </w:t>
      </w:r>
      <w:r>
        <w:t xml:space="preserve">cm de côté, à placer à au moins </w:t>
      </w:r>
      <w:r>
        <w:rPr>
          <w:rStyle w:val="optioncarChar"/>
        </w:rPr>
        <w:t>3 </w:t>
      </w:r>
      <w:r>
        <w:t>(par défaut)</w:t>
      </w:r>
      <w:r>
        <w:rPr>
          <w:rStyle w:val="optioncarChar"/>
        </w:rPr>
        <w:t xml:space="preserve"> / *** </w:t>
      </w:r>
      <w:r>
        <w:t>cm de la face de parement.</w:t>
      </w:r>
    </w:p>
    <w:p w14:paraId="496924F3" w14:textId="77777777" w:rsidR="00DB2B68" w:rsidRDefault="00000000">
      <w:pPr>
        <w:pStyle w:val="Author-eListParagraph"/>
        <w:numPr>
          <w:ilvl w:val="0"/>
          <w:numId w:val="658"/>
        </w:numPr>
      </w:pPr>
      <w:r>
        <w:t>Toutes les précautions sont prises pour que les surfaces apparentes en béton ne présentent, après le décoffrage, aucun défaut (nids de gravier, taches aux joints de reprise, …). Cette mesure s’applique tout particulièrement aux poutres et colonnes. Pour les coffrages lisses, les joints doivent être enduits pour obtenir une surface parfaitement unie.</w:t>
      </w:r>
    </w:p>
    <w:p w14:paraId="61BB6BBF" w14:textId="77777777" w:rsidR="00DB2B68" w:rsidRDefault="00000000">
      <w:pPr>
        <w:pStyle w:val="Author-eListParagraph"/>
        <w:numPr>
          <w:ilvl w:val="0"/>
          <w:numId w:val="658"/>
        </w:numPr>
      </w:pPr>
      <w:r>
        <w:t>Lorsqu’un coffrage est exposé plus d’une semaine sans que le béton n’y soit coulé, ce coffrage est préalablement inspecté quant aux déformations qui ont pu se produire à la suite des influences atmosphériques.</w:t>
      </w:r>
    </w:p>
    <w:p w14:paraId="6E2166AF" w14:textId="77777777" w:rsidR="00DB2B68" w:rsidRDefault="00000000">
      <w:pPr>
        <w:pStyle w:val="heading"/>
      </w:pPr>
      <w:r>
        <w:t>Etanchéité - joints - finition</w:t>
      </w:r>
    </w:p>
    <w:p w14:paraId="126D41C9" w14:textId="77777777" w:rsidR="00DB2B68" w:rsidRDefault="00000000">
      <w:pPr>
        <w:pStyle w:val="Author-eListParagraph"/>
        <w:numPr>
          <w:ilvl w:val="0"/>
          <w:numId w:val="659"/>
        </w:numPr>
      </w:pPr>
      <w:r>
        <w:t>Pour la composition des coffrages, on assure une étanchéité suffisante afin de prévenir la perte de lait de ciment. Cette condition est particulièrement importante pour le béton apparent. A cet effet, on applique sur les bords des panneaux une bande d’étanchéité, par ex. une mousse de caoutchouc autocollante. Afin que cette bande ne se déplace pas, elle peut être fixée à l’aide de petits clous ou d’agrafes.</w:t>
      </w:r>
    </w:p>
    <w:p w14:paraId="04817964" w14:textId="77777777" w:rsidR="00DB2B68" w:rsidRDefault="00000000">
      <w:pPr>
        <w:pStyle w:val="Author-eListParagraph"/>
        <w:numPr>
          <w:ilvl w:val="0"/>
          <w:numId w:val="659"/>
        </w:numPr>
      </w:pPr>
      <w:r>
        <w:t>L’entrepreneur attache une importance particulière à la propreté des surfaces de contact du coffrage et du fond du coffrage. Avant le coulage du béton, le coffrage est parfaitement débarrassé de toute impureté telle que sciure, clous, déchets de fer et autres, en le rinçant et/ou en le nettoyant à l’air comprimé. Ces précautions sont particulièrement importantes en ce qui concerne les éléments horizontaux et le béton apparent.</w:t>
      </w:r>
    </w:p>
    <w:p w14:paraId="761A9BBC" w14:textId="77777777" w:rsidR="00DB2B68" w:rsidRDefault="00000000">
      <w:pPr>
        <w:pStyle w:val="Author-eListParagraph"/>
        <w:numPr>
          <w:ilvl w:val="0"/>
          <w:numId w:val="659"/>
        </w:numPr>
      </w:pPr>
      <w:r>
        <w:t>Surtout par temps sec, les coffrages en bois sont aspergés d’eau une heure à l’avance et une nouvelle fois immédiatement avant le coulage du béton. Avant le coulage, l'entrepreneur avertit le bureau d’étude et l’auteur de projet afin qu’ils puissent contrôler les coffrages. Il n’effectue aucun travail qui peut empêcher partiellement ou totalement ce contrôle.</w:t>
      </w:r>
    </w:p>
    <w:p w14:paraId="75D57427" w14:textId="77777777" w:rsidR="00DB2B68" w:rsidRDefault="00000000">
      <w:pPr>
        <w:pStyle w:val="heading"/>
      </w:pPr>
      <w:r>
        <w:t>Décoffrage</w:t>
      </w:r>
    </w:p>
    <w:p w14:paraId="18D5FBEC" w14:textId="77777777" w:rsidR="00DB2B68" w:rsidRDefault="00000000">
      <w:r>
        <w:t> Les règles du § 5.7 des normes [NBN EN 13670] et [NBN B 15-400] s’appliquent.</w:t>
      </w:r>
    </w:p>
    <w:p w14:paraId="642E5B08" w14:textId="77777777" w:rsidR="00DB2B68" w:rsidRDefault="00000000">
      <w:pPr>
        <w:pStyle w:val="pheading"/>
      </w:pPr>
      <w:r>
        <w:t>DOCUMENTS DE RÉFÉRENCE</w:t>
      </w:r>
    </w:p>
    <w:p w14:paraId="61673AFD" w14:textId="77777777" w:rsidR="00DB2B68" w:rsidRDefault="00000000">
      <w:pPr>
        <w:pStyle w:val="pheading"/>
      </w:pPr>
      <w:r>
        <w:t>- Matériau</w:t>
      </w:r>
    </w:p>
    <w:p w14:paraId="504EEA21" w14:textId="77777777" w:rsidR="00DB2B68" w:rsidRDefault="00000000">
      <w:r>
        <w:t>[NBN EN 13670, Exécution des structures en béton]</w:t>
      </w:r>
    </w:p>
    <w:p w14:paraId="7E78D53E" w14:textId="77777777" w:rsidR="00DB2B68" w:rsidRDefault="00000000">
      <w:r>
        <w:t>[NBN B 15-400, Exécution des structures en béton - Supplément national à la NBN EN 13670:2010]</w:t>
      </w:r>
    </w:p>
    <w:p w14:paraId="7C99A2E1" w14:textId="77777777" w:rsidR="00DB2B68" w:rsidRDefault="00000000">
      <w:pPr>
        <w:pStyle w:val="pheading"/>
      </w:pPr>
      <w:r>
        <w:t>- Exécution</w:t>
      </w:r>
    </w:p>
    <w:p w14:paraId="2D0A9F94" w14:textId="77777777" w:rsidR="00DB2B68" w:rsidRDefault="00000000">
      <w:r>
        <w:t>[NBN EN 13670, Exécution des structures en béton]</w:t>
      </w:r>
    </w:p>
    <w:p w14:paraId="0B98C4C4" w14:textId="77777777" w:rsidR="00DB2B68" w:rsidRDefault="00000000">
      <w:r>
        <w:lastRenderedPageBreak/>
        <w:t>[NBN B 15-400, Exécution des structures en béton - Supplément national à la NBN EN 13670:2010]</w:t>
      </w:r>
    </w:p>
    <w:p w14:paraId="7EC13810" w14:textId="77777777" w:rsidR="00DB2B68" w:rsidRDefault="00000000">
      <w:pPr>
        <w:pStyle w:val="Author-eSectionHeading5Numberless"/>
      </w:pPr>
      <w:bookmarkStart w:id="967" w:name="_Toc220496004"/>
      <w:r>
        <w:t>22.53.1 Coffrages traditionnels CCTB 01.02</w:t>
      </w:r>
      <w:bookmarkEnd w:id="967"/>
    </w:p>
    <w:p w14:paraId="5590CC1A" w14:textId="77777777" w:rsidR="00DB2B68" w:rsidRDefault="00000000">
      <w:pPr>
        <w:pStyle w:val="Author-eSectionHeading6Numberless"/>
      </w:pPr>
      <w:bookmarkStart w:id="968" w:name="_Toc220496005"/>
      <w:r>
        <w:t>22.53.1a Coffrages traditionnels pour béton non apparent CCTB 01.04</w:t>
      </w:r>
      <w:bookmarkEnd w:id="968"/>
    </w:p>
    <w:p w14:paraId="2EF2D8E3" w14:textId="77777777" w:rsidR="00DB2B68" w:rsidRDefault="00000000">
      <w:pPr>
        <w:pStyle w:val="Author-eSectionHeading6Numberless"/>
      </w:pPr>
      <w:bookmarkStart w:id="969" w:name="_Toc220496006"/>
      <w:r>
        <w:t>22.53.1b Coffrages traditionnels pour béton apparent CCTB 01.04</w:t>
      </w:r>
      <w:bookmarkEnd w:id="969"/>
    </w:p>
    <w:p w14:paraId="35775555" w14:textId="77777777" w:rsidR="00DB2B68" w:rsidRDefault="00000000">
      <w:pPr>
        <w:pStyle w:val="Author-eSectionHeading6Numberless"/>
      </w:pPr>
      <w:bookmarkStart w:id="970" w:name="_Toc220496007"/>
      <w:r>
        <w:t>22.53.1c Coffrages traditionnels lisses CCTB 01.04</w:t>
      </w:r>
      <w:bookmarkEnd w:id="970"/>
    </w:p>
    <w:p w14:paraId="3E1161B1" w14:textId="77777777" w:rsidR="00DB2B68" w:rsidRDefault="00000000">
      <w:pPr>
        <w:pStyle w:val="Author-eSectionHeading6Numberless"/>
      </w:pPr>
      <w:bookmarkStart w:id="971" w:name="_Toc220496008"/>
      <w:r>
        <w:t>22.53.1d Coffrages traditionnels avec motifs décoratifs CCTB 01.04</w:t>
      </w:r>
      <w:bookmarkEnd w:id="971"/>
    </w:p>
    <w:p w14:paraId="3BDD858A" w14:textId="77777777" w:rsidR="00DB2B68" w:rsidRDefault="00000000">
      <w:pPr>
        <w:pStyle w:val="Author-eSectionHeading5Numberless"/>
      </w:pPr>
      <w:bookmarkStart w:id="972" w:name="_Toc220496009"/>
      <w:r>
        <w:t>22.53.2 Coffrages modulaires avec cadre métallique CCTB 01.02</w:t>
      </w:r>
      <w:bookmarkEnd w:id="972"/>
    </w:p>
    <w:p w14:paraId="3C58C87D" w14:textId="77777777" w:rsidR="00DB2B68" w:rsidRDefault="00000000">
      <w:pPr>
        <w:pStyle w:val="Author-eSectionHeading6Numberless"/>
      </w:pPr>
      <w:bookmarkStart w:id="973" w:name="_Toc220496010"/>
      <w:r>
        <w:t>22.53.2a Coffrages modulaires avec cadre métallique pour béton non apparent CCTB 01.04</w:t>
      </w:r>
      <w:bookmarkEnd w:id="973"/>
    </w:p>
    <w:p w14:paraId="35103695" w14:textId="77777777" w:rsidR="00DB2B68" w:rsidRDefault="00000000">
      <w:pPr>
        <w:pStyle w:val="Author-eSectionHeading6Numberless"/>
      </w:pPr>
      <w:bookmarkStart w:id="974" w:name="_Toc220496011"/>
      <w:r>
        <w:t>22.53.2b Coffrages modulaires avec cadre métallique pour béton apparent CCTB 01.04</w:t>
      </w:r>
      <w:bookmarkEnd w:id="974"/>
    </w:p>
    <w:p w14:paraId="4A0ABD6E" w14:textId="77777777" w:rsidR="00DB2B68" w:rsidRDefault="00000000">
      <w:pPr>
        <w:pStyle w:val="Author-eSectionHeading6Numberless"/>
      </w:pPr>
      <w:bookmarkStart w:id="975" w:name="_Toc220496012"/>
      <w:r>
        <w:t>22.53.2c Coffrages modulaires avec cadre métallique lisses CCTB 01.04</w:t>
      </w:r>
      <w:bookmarkEnd w:id="975"/>
    </w:p>
    <w:p w14:paraId="191213DC" w14:textId="77777777" w:rsidR="00DB2B68" w:rsidRDefault="00000000">
      <w:pPr>
        <w:pStyle w:val="Author-eSectionHeading6Numberless"/>
      </w:pPr>
      <w:bookmarkStart w:id="976" w:name="_Toc220496013"/>
      <w:r>
        <w:t>22.53.2d Coffrages modulaires avec cadre métallique à motifs décoratifs CCTB 01.04</w:t>
      </w:r>
      <w:bookmarkEnd w:id="976"/>
    </w:p>
    <w:p w14:paraId="65908BCD" w14:textId="77777777" w:rsidR="00DB2B68" w:rsidRDefault="00000000">
      <w:pPr>
        <w:pStyle w:val="Author-eSectionHeading6Numberless"/>
      </w:pPr>
      <w:bookmarkStart w:id="977" w:name="_Toc220496014"/>
      <w:r>
        <w:t>22.53.2e Coffrages modulaires avec cadre métallique d'éléments spéciaux (moules) CCTB 01.04</w:t>
      </w:r>
      <w:bookmarkEnd w:id="977"/>
    </w:p>
    <w:p w14:paraId="7550301B" w14:textId="77777777" w:rsidR="00DB2B68" w:rsidRDefault="00000000">
      <w:pPr>
        <w:pStyle w:val="Author-eSectionHeading5Numberless"/>
      </w:pPr>
      <w:bookmarkStart w:id="978" w:name="_Toc220496015"/>
      <w:r>
        <w:t>22.53.3 Systèmes de coffrage particuliers CCTB 01.04</w:t>
      </w:r>
      <w:bookmarkEnd w:id="978"/>
    </w:p>
    <w:p w14:paraId="20526695" w14:textId="77777777" w:rsidR="00DB2B68" w:rsidRDefault="00000000">
      <w:pPr>
        <w:pStyle w:val="Author-eSectionHeading6Numberless"/>
      </w:pPr>
      <w:bookmarkStart w:id="979" w:name="_Toc220496016"/>
      <w:r>
        <w:t>22.53.3a Coffrages grimpants CCTB 01.04</w:t>
      </w:r>
      <w:bookmarkEnd w:id="979"/>
    </w:p>
    <w:p w14:paraId="143635D4" w14:textId="77777777" w:rsidR="00DB2B68" w:rsidRDefault="00000000">
      <w:pPr>
        <w:pStyle w:val="Author-eSectionHeading6Numberless"/>
      </w:pPr>
      <w:bookmarkStart w:id="980" w:name="_Toc220496017"/>
      <w:r>
        <w:t>22.53.3b Coffrages glissants CCTB 01.04</w:t>
      </w:r>
      <w:bookmarkEnd w:id="980"/>
    </w:p>
    <w:p w14:paraId="7EBBB55E" w14:textId="77777777" w:rsidR="00DB2B68" w:rsidRDefault="00000000">
      <w:pPr>
        <w:pStyle w:val="Author-eSectionHeading6Numberless"/>
      </w:pPr>
      <w:bookmarkStart w:id="981" w:name="_Toc220496018"/>
      <w:r>
        <w:t>22.53.3c Coffrages avec système de pompage par le bas CCTB 01.04</w:t>
      </w:r>
      <w:bookmarkEnd w:id="981"/>
    </w:p>
    <w:p w14:paraId="0229CF90" w14:textId="77777777" w:rsidR="00DB2B68" w:rsidRDefault="00000000">
      <w:pPr>
        <w:pStyle w:val="Author-eSectionHeading6Numberless"/>
      </w:pPr>
      <w:bookmarkStart w:id="982" w:name="_Toc220496019"/>
      <w:r>
        <w:t>22.53.3d Coffrages en matière textile CCTB 01.04</w:t>
      </w:r>
      <w:bookmarkEnd w:id="982"/>
    </w:p>
    <w:p w14:paraId="190C76E5" w14:textId="77777777" w:rsidR="00DB2B68" w:rsidRDefault="00000000">
      <w:pPr>
        <w:pStyle w:val="Author-eSectionHeading6Numberless"/>
      </w:pPr>
      <w:bookmarkStart w:id="983" w:name="_Toc220496020"/>
      <w:r>
        <w:t>22.53.3e Coffrages gonflables CCTB 01.04</w:t>
      </w:r>
      <w:bookmarkEnd w:id="983"/>
    </w:p>
    <w:p w14:paraId="0E39EFC9" w14:textId="77777777" w:rsidR="00DB2B68" w:rsidRDefault="00000000">
      <w:pPr>
        <w:pStyle w:val="Author-eSectionHeading5Numberless"/>
      </w:pPr>
      <w:bookmarkStart w:id="984" w:name="_Toc220496021"/>
      <w:r>
        <w:t>22.53.4 Coffrages permanents CCTB 01.04</w:t>
      </w:r>
      <w:bookmarkEnd w:id="984"/>
    </w:p>
    <w:p w14:paraId="5FB0AC2A" w14:textId="77777777" w:rsidR="00DB2B68" w:rsidRDefault="00000000">
      <w:pPr>
        <w:pStyle w:val="Author-eSectionHeading6Numberless"/>
      </w:pPr>
      <w:bookmarkStart w:id="985" w:name="_Toc220496022"/>
      <w:r>
        <w:t>22.53.4a Coffrages traditionnels permanents CCTB 01.04</w:t>
      </w:r>
      <w:bookmarkEnd w:id="985"/>
    </w:p>
    <w:p w14:paraId="17C99F4D" w14:textId="77777777" w:rsidR="00DB2B68" w:rsidRDefault="00000000">
      <w:pPr>
        <w:pStyle w:val="Author-eSectionHeading6Numberless"/>
      </w:pPr>
      <w:bookmarkStart w:id="986" w:name="_Toc220496023"/>
      <w:r>
        <w:t>22.53.4b Coffrages permanents en synthétique armé CCTB 01.04</w:t>
      </w:r>
      <w:bookmarkEnd w:id="986"/>
    </w:p>
    <w:p w14:paraId="2CF110DC" w14:textId="77777777" w:rsidR="00DB2B68" w:rsidRDefault="00000000">
      <w:pPr>
        <w:pStyle w:val="Author-eSectionHeading6Numberless"/>
      </w:pPr>
      <w:bookmarkStart w:id="987" w:name="_Toc220496024"/>
      <w:r>
        <w:t>22.53.4c Coffrages permanents en plaques d'isolant CCTB 01.04</w:t>
      </w:r>
      <w:bookmarkEnd w:id="987"/>
    </w:p>
    <w:p w14:paraId="37209121" w14:textId="77777777" w:rsidR="00DB2B68" w:rsidRDefault="00000000">
      <w:pPr>
        <w:pStyle w:val="Author-eSectionHeading6Numberless"/>
      </w:pPr>
      <w:bookmarkStart w:id="988" w:name="_Toc220496025"/>
      <w:r>
        <w:t>22.53.4d Coffrages permanents en bacs acier CCTB 01.04</w:t>
      </w:r>
      <w:bookmarkEnd w:id="988"/>
    </w:p>
    <w:p w14:paraId="776C6438" w14:textId="77777777" w:rsidR="00DB2B68" w:rsidRDefault="00000000">
      <w:pPr>
        <w:pStyle w:val="pheading"/>
      </w:pPr>
      <w:r>
        <w:t>DESCRIPTION</w:t>
      </w:r>
    </w:p>
    <w:p w14:paraId="144DB241" w14:textId="77777777" w:rsidR="00DB2B68" w:rsidRDefault="00000000">
      <w:pPr>
        <w:pStyle w:val="pheading"/>
      </w:pPr>
      <w:r>
        <w:t>- Définition / Comprend</w:t>
      </w:r>
    </w:p>
    <w:p w14:paraId="03BC2F79" w14:textId="77777777" w:rsidR="00DB2B68" w:rsidRDefault="00000000">
      <w:r>
        <w:t>Renvoi au §</w:t>
      </w:r>
      <w:hyperlink w:anchor="526" w:history="1">
        <w:r>
          <w:rPr>
            <w:color w:val="0000EE"/>
          </w:rPr>
          <w:t>26.15 Etanchéisation de joints</w:t>
        </w:r>
      </w:hyperlink>
    </w:p>
    <w:p w14:paraId="6575EFD9" w14:textId="77777777" w:rsidR="00DB2B68" w:rsidRDefault="00000000">
      <w:pPr>
        <w:pStyle w:val="Author-eSectionHeading6Numberless"/>
      </w:pPr>
      <w:bookmarkStart w:id="989" w:name="_Toc220496026"/>
      <w:r>
        <w:t>22.53.4e Coffrages permanents en gaines acier CCTB 01.04</w:t>
      </w:r>
      <w:bookmarkEnd w:id="989"/>
    </w:p>
    <w:p w14:paraId="787F4F31" w14:textId="77777777" w:rsidR="00DB2B68" w:rsidRDefault="00000000">
      <w:pPr>
        <w:pStyle w:val="Author-eSectionHeading6Numberless"/>
      </w:pPr>
      <w:bookmarkStart w:id="990" w:name="_Toc220496027"/>
      <w:r>
        <w:t>22.53.4f Coffrages permanents en tuyaux CCTB 01.04</w:t>
      </w:r>
      <w:bookmarkEnd w:id="990"/>
    </w:p>
    <w:p w14:paraId="470DF234" w14:textId="77777777" w:rsidR="00DB2B68" w:rsidRDefault="00000000">
      <w:pPr>
        <w:pStyle w:val="Author-eSectionHeading6Numberless"/>
      </w:pPr>
      <w:bookmarkStart w:id="991" w:name="_Toc220496028"/>
      <w:r>
        <w:t>22.53.4g Coffrages permanents en béton cellulaire CCTB 01.04</w:t>
      </w:r>
      <w:bookmarkEnd w:id="991"/>
    </w:p>
    <w:p w14:paraId="7D1181D7" w14:textId="77777777" w:rsidR="00DB2B68" w:rsidRDefault="00000000">
      <w:pPr>
        <w:pStyle w:val="Author-eSectionHeading5Numberless"/>
      </w:pPr>
      <w:bookmarkStart w:id="992" w:name="_Toc220496029"/>
      <w:r>
        <w:t>22.53.5 Systèmes de coffrage à détruire CCTB 01.02</w:t>
      </w:r>
      <w:bookmarkEnd w:id="992"/>
    </w:p>
    <w:p w14:paraId="23AF03DA" w14:textId="77777777" w:rsidR="00DB2B68" w:rsidRDefault="00000000">
      <w:pPr>
        <w:pStyle w:val="Author-eSectionHeading6Numberless"/>
      </w:pPr>
      <w:bookmarkStart w:id="993" w:name="_Toc220496030"/>
      <w:r>
        <w:t>22.53.5a Systèmes de coffrage à détruire de colonnes rondes CCTB 01.04</w:t>
      </w:r>
      <w:bookmarkEnd w:id="993"/>
    </w:p>
    <w:p w14:paraId="0C3387A8" w14:textId="77777777" w:rsidR="00DB2B68" w:rsidRDefault="00000000">
      <w:pPr>
        <w:pStyle w:val="Author-eSectionHeading6Numberless"/>
      </w:pPr>
      <w:bookmarkStart w:id="994" w:name="_Toc220496031"/>
      <w:r>
        <w:lastRenderedPageBreak/>
        <w:t>22.53.5b Systèmes de coffrage à détruire de colonnes à facettes CCTB 01.04</w:t>
      </w:r>
      <w:bookmarkEnd w:id="994"/>
    </w:p>
    <w:p w14:paraId="2FE7FA1F" w14:textId="77777777" w:rsidR="00DB2B68" w:rsidRDefault="00000000">
      <w:pPr>
        <w:pStyle w:val="Author-eSectionHeading6Numberless"/>
      </w:pPr>
      <w:bookmarkStart w:id="995" w:name="_Toc220496032"/>
      <w:r>
        <w:t>22.53.5c Systèmes de coffrage à détruire d'éléments spéciaux (moules) CCTB 01.04</w:t>
      </w:r>
      <w:bookmarkEnd w:id="995"/>
    </w:p>
    <w:p w14:paraId="717332AD" w14:textId="77777777" w:rsidR="00DB2B68" w:rsidRDefault="00000000">
      <w:pPr>
        <w:pStyle w:val="Author-eSectionHeading5Numberless"/>
      </w:pPr>
      <w:bookmarkStart w:id="996" w:name="_Toc220496033"/>
      <w:r>
        <w:t>22.53.6 Membranes spéciales pour coffrage CCTB 01.02</w:t>
      </w:r>
      <w:bookmarkEnd w:id="996"/>
    </w:p>
    <w:p w14:paraId="6B6C189F" w14:textId="77777777" w:rsidR="00DB2B68" w:rsidRDefault="00000000">
      <w:pPr>
        <w:pStyle w:val="Author-eSectionHeading6Numberless"/>
      </w:pPr>
      <w:bookmarkStart w:id="997" w:name="_Toc220496034"/>
      <w:r>
        <w:t>22.53.6a Membrane drainante réutilisable pour coffrage CCTB 01.04</w:t>
      </w:r>
      <w:bookmarkEnd w:id="997"/>
    </w:p>
    <w:p w14:paraId="2CF97CAE" w14:textId="77777777" w:rsidR="00DB2B68" w:rsidRDefault="00000000">
      <w:pPr>
        <w:pStyle w:val="Author-eSectionHeading6Numberless"/>
      </w:pPr>
      <w:bookmarkStart w:id="998" w:name="_Toc220496035"/>
      <w:r>
        <w:t>22.53.6b Membrane drainante à détruire pour coffrage CCTB 01.04</w:t>
      </w:r>
      <w:bookmarkEnd w:id="998"/>
    </w:p>
    <w:p w14:paraId="7A30EEDB" w14:textId="77777777" w:rsidR="00DB2B68" w:rsidRDefault="00000000">
      <w:pPr>
        <w:pStyle w:val="Author-eSectionHeading6Numberless"/>
      </w:pPr>
      <w:bookmarkStart w:id="999" w:name="_Toc220496036"/>
      <w:r>
        <w:t>22.53.6c Membrane à motifs décoratifs réutilisable pour coffrage CCTB 01.04</w:t>
      </w:r>
      <w:bookmarkEnd w:id="999"/>
    </w:p>
    <w:p w14:paraId="42484AFC" w14:textId="77777777" w:rsidR="00DB2B68" w:rsidRDefault="00000000">
      <w:pPr>
        <w:pStyle w:val="Author-eSectionHeading6Numberless"/>
      </w:pPr>
      <w:bookmarkStart w:id="1000" w:name="_Toc220496037"/>
      <w:r>
        <w:t>22.53.6d Membrane à motifs décoratifs à détruire pour coffrage CCTB 01.04</w:t>
      </w:r>
      <w:bookmarkEnd w:id="1000"/>
    </w:p>
    <w:p w14:paraId="6A717019" w14:textId="77777777" w:rsidR="00DB2B68" w:rsidRDefault="00000000">
      <w:pPr>
        <w:pStyle w:val="Author-eSectionHeading3Numberless"/>
      </w:pPr>
      <w:bookmarkStart w:id="1001" w:name="_Toc220496038"/>
      <w:r>
        <w:t>22.6 Réalisation de joints CCTB 01.11</w:t>
      </w:r>
      <w:bookmarkEnd w:id="1001"/>
    </w:p>
    <w:p w14:paraId="1CE66506" w14:textId="77777777" w:rsidR="00DB2B68" w:rsidRDefault="00000000">
      <w:pPr>
        <w:pStyle w:val="pheading"/>
      </w:pPr>
      <w:bookmarkStart w:id="1002" w:name="237"/>
      <w:bookmarkEnd w:id="1002"/>
      <w:r>
        <w:t>DESCRIPTION</w:t>
      </w:r>
    </w:p>
    <w:p w14:paraId="4DBE46E9" w14:textId="77777777" w:rsidR="00DB2B68" w:rsidRDefault="00000000">
      <w:pPr>
        <w:pStyle w:val="pheading"/>
      </w:pPr>
      <w:r>
        <w:t>- Définition / Comprend</w:t>
      </w:r>
    </w:p>
    <w:p w14:paraId="17B3272C" w14:textId="77777777" w:rsidR="00DB2B68" w:rsidRDefault="00000000">
      <w:pPr>
        <w:jc w:val="both"/>
      </w:pPr>
      <w:r>
        <w:t>Il s’agit de joints destinés à permettre un mouvement relatif de la structure en béton des bâtiments.</w:t>
      </w:r>
    </w:p>
    <w:p w14:paraId="4EF2843F" w14:textId="77777777" w:rsidR="00DB2B68" w:rsidRDefault="00000000">
      <w:pPr>
        <w:jc w:val="both"/>
      </w:pPr>
      <w:r>
        <w:t>Concernant les joints de mouvement, il convient de distinguer :</w:t>
      </w:r>
    </w:p>
    <w:p w14:paraId="48C846BE" w14:textId="77777777" w:rsidR="00DB2B68" w:rsidRDefault="00000000">
      <w:pPr>
        <w:pStyle w:val="Author-eListParagraph"/>
        <w:numPr>
          <w:ilvl w:val="0"/>
          <w:numId w:val="660"/>
        </w:numPr>
      </w:pPr>
      <w:r>
        <w:t>les joints de structure ou de gros-œuvre ;</w:t>
      </w:r>
    </w:p>
    <w:p w14:paraId="464EC967" w14:textId="77777777" w:rsidR="00DB2B68" w:rsidRDefault="00000000">
      <w:pPr>
        <w:pStyle w:val="Author-eListParagraph"/>
        <w:numPr>
          <w:ilvl w:val="0"/>
          <w:numId w:val="660"/>
        </w:numPr>
      </w:pPr>
      <w:r>
        <w:t>les joints de fractionnement.</w:t>
      </w:r>
    </w:p>
    <w:p w14:paraId="57916136" w14:textId="77777777" w:rsidR="00DB2B68" w:rsidRDefault="00000000">
      <w:r>
        <w:t>Les joints de structure ou de gros œuvre marquent une interruption verticale dans la structure portante d’un immeuble. Leur rôle est de scinder le bâtiment en plusieurs parties indépendantes les unes des autres, afin d’y permettre un mouvement différentiel horizontal ou vertical. Etant donné qu’ils peuvent remplir des fonctions diverses, ces joints sont désignés par des appellations différentes :</w:t>
      </w:r>
    </w:p>
    <w:p w14:paraId="7F4B4AED" w14:textId="77777777" w:rsidR="00DB2B68" w:rsidRDefault="00000000">
      <w:pPr>
        <w:pStyle w:val="Author-eListParagraph"/>
        <w:numPr>
          <w:ilvl w:val="0"/>
          <w:numId w:val="661"/>
        </w:numPr>
      </w:pPr>
      <w:r>
        <w:t>Le joint de dilatation désigne les joints réalisés dans la structure d’un long bâtiment, pour éviter que les mouvements horizontaux dus à la dilatation thermique ou au retrait (hydraulique ou de séchage) de l’ouvrage n’atteignent des valeurs excessives et provoquent des tensions susceptibles d’entraîner une fissuration.</w:t>
      </w:r>
    </w:p>
    <w:p w14:paraId="06865F09" w14:textId="77777777" w:rsidR="00DB2B68" w:rsidRDefault="00000000">
      <w:pPr>
        <w:pStyle w:val="Author-eListParagraph"/>
        <w:numPr>
          <w:ilvl w:val="0"/>
          <w:numId w:val="661"/>
        </w:numPr>
      </w:pPr>
      <w:r>
        <w:t>Le joint de tassement ou de rupture désigne les joints réalisés en cas d’interruption de la structure portante d’un immeuble au droit d’une modification des charges appliquées aux fondations, lorsque ces dernières ne sont pas établies à la même profondeur ou encore lorsque la portance du sol est différente.</w:t>
      </w:r>
    </w:p>
    <w:p w14:paraId="6BF89656" w14:textId="77777777" w:rsidR="00DB2B68" w:rsidRDefault="00000000">
      <w:pPr>
        <w:pStyle w:val="Author-eListParagraph"/>
        <w:numPr>
          <w:ilvl w:val="0"/>
          <w:numId w:val="661"/>
        </w:numPr>
      </w:pPr>
      <w:r>
        <w:t>Les joints de fractionnement concernent uniquement les dalles ou les revêtements de sol flottants. Leur rôle consiste à fractionner le sol en surfaces restreintes dans le but de réduire les tensions qui résultent des mouvements thermiques et/ou du retrait (hydraulique ou de séchage).</w:t>
      </w:r>
    </w:p>
    <w:p w14:paraId="3AAC58AE" w14:textId="77777777" w:rsidR="00DB2B68" w:rsidRDefault="00000000">
      <w:pPr>
        <w:jc w:val="both"/>
      </w:pPr>
      <w:r>
        <w:t>Intrinsèquement, ces joints ne sont pas étanches aux liquides. Si le béton est soumis à des exigences à ce sujet, ce chapitre traite également la mise en œuvre de barrières à l’eau par la mise en place du colmatage des joints.</w:t>
      </w:r>
    </w:p>
    <w:p w14:paraId="00D2D35F" w14:textId="77777777" w:rsidR="00DB2B68" w:rsidRDefault="00000000">
      <w:pPr>
        <w:pStyle w:val="Author-eSectionHeading4Numberless"/>
      </w:pPr>
      <w:bookmarkStart w:id="1003" w:name="_Toc220496039"/>
      <w:r>
        <w:t>22.61 Joints structuraux CCTB 01.12</w:t>
      </w:r>
      <w:bookmarkEnd w:id="1003"/>
    </w:p>
    <w:p w14:paraId="330393EB" w14:textId="77777777" w:rsidR="00DB2B68" w:rsidRDefault="00000000">
      <w:pPr>
        <w:pStyle w:val="pheading"/>
      </w:pPr>
      <w:r>
        <w:t>DESCRIPTION</w:t>
      </w:r>
    </w:p>
    <w:p w14:paraId="2B4E5EE3" w14:textId="77777777" w:rsidR="00DB2B68" w:rsidRDefault="00000000">
      <w:pPr>
        <w:pStyle w:val="pheading"/>
      </w:pPr>
      <w:r>
        <w:t>- Définition / Comprend</w:t>
      </w:r>
    </w:p>
    <w:p w14:paraId="789AF880" w14:textId="77777777" w:rsidR="00DB2B68" w:rsidRDefault="00000000">
      <w:pPr>
        <w:jc w:val="both"/>
      </w:pPr>
      <w:r>
        <w:t>Les joints structuraux (autrement dit les joints de structure ou de gros œuvre) sont ceux qui permettent un mouvement relatif de la structure portante en béton d’un immeuble en marquant une interruption dans celle-ci.</w:t>
      </w:r>
    </w:p>
    <w:p w14:paraId="6C3C3A60" w14:textId="77777777" w:rsidR="00DB2B68" w:rsidRDefault="00000000">
      <w:pPr>
        <w:jc w:val="both"/>
      </w:pPr>
      <w:r>
        <w:t>Cette interruption a pour rôle de scinder le bâtiment en plusieurs parties indépendantes les unes des autres afin d’y permettre des mouvements différentiels.</w:t>
      </w:r>
    </w:p>
    <w:p w14:paraId="5D985E73" w14:textId="77777777" w:rsidR="00DB2B68" w:rsidRDefault="00000000">
      <w:pPr>
        <w:jc w:val="both"/>
      </w:pPr>
      <w:r>
        <w:lastRenderedPageBreak/>
        <w:t>Selon leurs caractéristiques, ils peuvent remplir différentes fonctions et sont habituellement désignés selon les appellations suivantes :</w:t>
      </w:r>
    </w:p>
    <w:p w14:paraId="396C3912" w14:textId="77777777" w:rsidR="00DB2B68" w:rsidRDefault="00000000">
      <w:pPr>
        <w:pStyle w:val="Author-eListParagraph"/>
        <w:numPr>
          <w:ilvl w:val="0"/>
          <w:numId w:val="662"/>
        </w:numPr>
      </w:pPr>
      <w:r>
        <w:t xml:space="preserve">Les joints de dilatation qui se rapportent aux contraintes dues : </w:t>
      </w:r>
    </w:p>
    <w:p w14:paraId="07D63279" w14:textId="77777777" w:rsidR="00DB2B68" w:rsidRDefault="00000000">
      <w:pPr>
        <w:pStyle w:val="Author-eListParagraph"/>
        <w:numPr>
          <w:ilvl w:val="1"/>
          <w:numId w:val="663"/>
        </w:numPr>
      </w:pPr>
      <w:r>
        <w:t>  aux variations thermiques ;</w:t>
      </w:r>
    </w:p>
    <w:p w14:paraId="3F5AF1A5" w14:textId="77777777" w:rsidR="00DB2B68" w:rsidRDefault="00000000">
      <w:pPr>
        <w:pStyle w:val="Author-eListParagraph"/>
        <w:numPr>
          <w:ilvl w:val="1"/>
          <w:numId w:val="663"/>
        </w:numPr>
      </w:pPr>
      <w:r>
        <w:t>  ou au retrait hydraulique ou de séchage des éléments de structure.</w:t>
      </w:r>
    </w:p>
    <w:p w14:paraId="1EF52ECB" w14:textId="77777777" w:rsidR="00DB2B68" w:rsidRDefault="00000000">
      <w:pPr>
        <w:pStyle w:val="Author-eListParagraph"/>
        <w:numPr>
          <w:ilvl w:val="0"/>
          <w:numId w:val="662"/>
        </w:numPr>
      </w:pPr>
      <w:r>
        <w:t xml:space="preserve">Les joints de tassement ou de rupture qui se rapportent aux contraintes dues : </w:t>
      </w:r>
    </w:p>
    <w:p w14:paraId="3F10F225" w14:textId="77777777" w:rsidR="00DB2B68" w:rsidRDefault="00000000">
      <w:pPr>
        <w:pStyle w:val="Author-eListParagraph"/>
        <w:numPr>
          <w:ilvl w:val="1"/>
          <w:numId w:val="664"/>
        </w:numPr>
      </w:pPr>
      <w:r>
        <w:t>  aux charges appliquées sur, ou subies par, la structure de l’immeuble.</w:t>
      </w:r>
    </w:p>
    <w:p w14:paraId="08264B76" w14:textId="77777777" w:rsidR="00DB2B68" w:rsidRDefault="00000000">
      <w:pPr>
        <w:jc w:val="both"/>
      </w:pPr>
      <w:r>
        <w:t>Les joints de fractionnement (joint de retrait, de désolidarisation ou de dilatation de la dalle) qui concernent uniquement les dalles de sol ou les revêtements de sol flottants sont traités séparément dans les tomes 1 T1 Terrassements / fondations et 5 T5 Fermetures / Finitions intérieures</w:t>
      </w:r>
    </w:p>
    <w:p w14:paraId="4029B56D" w14:textId="77777777" w:rsidR="00DB2B68" w:rsidRDefault="00000000">
      <w:pPr>
        <w:pStyle w:val="pheading"/>
      </w:pPr>
      <w:r>
        <w:t>MATÉRIAUX</w:t>
      </w:r>
    </w:p>
    <w:p w14:paraId="1B21DBFC" w14:textId="77777777" w:rsidR="00DB2B68" w:rsidRDefault="00000000">
      <w:pPr>
        <w:jc w:val="both"/>
      </w:pPr>
      <w:r>
        <w:t xml:space="preserve">Les joints structuraux sont définis (choix du type de joint, du remplissage, de leur emplacement, …) par : </w:t>
      </w:r>
      <w:r>
        <w:rPr>
          <w:rStyle w:val="optioncarChar"/>
        </w:rPr>
        <w:t xml:space="preserve">le bureau d’études chargé de la conception de la structure en béton </w:t>
      </w:r>
      <w:r>
        <w:t>(par défaut) / </w:t>
      </w:r>
      <w:r>
        <w:rPr>
          <w:rStyle w:val="optioncarChar"/>
        </w:rPr>
        <w:t>l’auteur de projet / le bureau de stabilité / ***</w:t>
      </w:r>
    </w:p>
    <w:p w14:paraId="7D010DA9" w14:textId="77777777" w:rsidR="00DB2B68" w:rsidRDefault="00000000">
      <w:pPr>
        <w:jc w:val="both"/>
      </w:pPr>
      <w:r>
        <w:t>Ils sont pourvus ou non d’un matériau compressible, selon les descriptions.</w:t>
      </w:r>
    </w:p>
    <w:p w14:paraId="2C7618A9" w14:textId="77777777" w:rsidR="00DB2B68" w:rsidRDefault="00000000">
      <w:pPr>
        <w:pStyle w:val="pheading"/>
      </w:pPr>
      <w:r>
        <w:t>EXÉCUTION / MISE EN ŒUVRE</w:t>
      </w:r>
    </w:p>
    <w:p w14:paraId="499CE66F" w14:textId="77777777" w:rsidR="00DB2B68" w:rsidRDefault="00000000">
      <w:r>
        <w:t>Les joints structuraux se répercutent dans les différents éléments qui composent la paroi dans laquelle ils s’insèrent (ex. isolation, étanchéité, chape, enduit, …).</w:t>
      </w:r>
      <w:r>
        <w:br/>
        <w:t xml:space="preserve"> Ces différents éléments sont interrompus au droit des joints selon les règles de l’art et la documentation technique qui les accompagnent.</w:t>
      </w:r>
    </w:p>
    <w:p w14:paraId="2340FE67" w14:textId="77777777" w:rsidR="00DB2B68" w:rsidRDefault="00000000">
      <w:pPr>
        <w:pStyle w:val="pheading"/>
      </w:pPr>
      <w:r>
        <w:t>DOCUMENTS DE RÉFÉRENCE</w:t>
      </w:r>
    </w:p>
    <w:p w14:paraId="0F6C733D" w14:textId="77777777" w:rsidR="00DB2B68" w:rsidRDefault="00000000">
      <w:pPr>
        <w:pStyle w:val="pheading"/>
      </w:pPr>
      <w:r>
        <w:t>- Matériau</w:t>
      </w:r>
    </w:p>
    <w:p w14:paraId="4E8D9904" w14:textId="77777777" w:rsidR="00DB2B68" w:rsidRDefault="00000000">
      <w:r>
        <w:t>[Buildwise Article (2019/04.07), Le point sur les joints de structure et de fractionnement]</w:t>
      </w:r>
    </w:p>
    <w:p w14:paraId="29340E96" w14:textId="77777777" w:rsidR="00DB2B68" w:rsidRDefault="00000000">
      <w:pPr>
        <w:pStyle w:val="Author-eSectionHeading5Numberless"/>
      </w:pPr>
      <w:bookmarkStart w:id="1004" w:name="_Toc220496040"/>
      <w:r>
        <w:t>22.61.1 Joints de dilatation CCTB 01.11</w:t>
      </w:r>
      <w:bookmarkEnd w:id="1004"/>
    </w:p>
    <w:p w14:paraId="4D206C0E" w14:textId="77777777" w:rsidR="00DB2B68" w:rsidRDefault="00000000">
      <w:pPr>
        <w:pStyle w:val="pheading"/>
      </w:pPr>
      <w:r>
        <w:t>DOCUMENTS DE RÉFÉRENCE</w:t>
      </w:r>
    </w:p>
    <w:p w14:paraId="6FDE2D93" w14:textId="77777777" w:rsidR="00DB2B68" w:rsidRDefault="00000000">
      <w:pPr>
        <w:pStyle w:val="pheading"/>
      </w:pPr>
      <w:r>
        <w:t>- Exécution</w:t>
      </w:r>
    </w:p>
    <w:p w14:paraId="39874E19" w14:textId="77777777" w:rsidR="00DB2B68" w:rsidRDefault="00000000">
      <w:r>
        <w:t>[NIT 267, Sols intérieurs en béton (révision de la NIT 204)]</w:t>
      </w:r>
    </w:p>
    <w:p w14:paraId="16CBEBED" w14:textId="77777777" w:rsidR="00DB2B68" w:rsidRDefault="00000000">
      <w:r>
        <w:t>[NBN ISO 2444, Joints dans le bâtiment - Vocabulaire]</w:t>
      </w:r>
    </w:p>
    <w:p w14:paraId="2826AA95" w14:textId="77777777" w:rsidR="00DB2B68" w:rsidRDefault="00000000">
      <w:r>
        <w:t>[NBN ISO 2445, Joints dans le bâtiment - Principes de conception fondamentaux]</w:t>
      </w:r>
    </w:p>
    <w:p w14:paraId="6E6AD48B" w14:textId="77777777" w:rsidR="00DB2B68" w:rsidRDefault="00000000">
      <w:r>
        <w:t>[NBN ISO 6589, Joints dans le bâtiment - Méthode d'essai en laboratoire de perméabilité à l'air des joints]</w:t>
      </w:r>
    </w:p>
    <w:p w14:paraId="1368BE1A" w14:textId="77777777" w:rsidR="00DB2B68" w:rsidRDefault="00000000">
      <w:r>
        <w:t>[NBN ISO 7727, Joints dans le bâtiment - Principes de jonction des composants de bâtiment - Aptitude des joints à s'accommoder des écarts dimensionnels en cours de construction]</w:t>
      </w:r>
    </w:p>
    <w:p w14:paraId="3451AA9C" w14:textId="77777777" w:rsidR="00DB2B68" w:rsidRDefault="00000000">
      <w:r>
        <w:t>[NBN ISO 7729, Assemblages verticaux courants entre deux composants de façade en béton ordinaire - Propriétés, caractéristiques et éléments de la classification]</w:t>
      </w:r>
    </w:p>
    <w:p w14:paraId="3C0B013B" w14:textId="77777777" w:rsidR="00DB2B68" w:rsidRDefault="00000000">
      <w:pPr>
        <w:ind w:left="750"/>
      </w:pPr>
      <w:r>
        <w:t> </w:t>
      </w:r>
    </w:p>
    <w:p w14:paraId="0D3B171E" w14:textId="77777777" w:rsidR="00DB2B68" w:rsidRDefault="00000000">
      <w:pPr>
        <w:pStyle w:val="Author-eSectionHeading6Numberless"/>
      </w:pPr>
      <w:bookmarkStart w:id="1005" w:name="_Toc220496041"/>
      <w:r>
        <w:t>22.61.1a Joints de dilatation CCTB 01.11</w:t>
      </w:r>
      <w:bookmarkEnd w:id="1005"/>
    </w:p>
    <w:p w14:paraId="2EF295D8" w14:textId="77777777" w:rsidR="00DB2B68" w:rsidRDefault="00000000">
      <w:pPr>
        <w:pStyle w:val="pheading"/>
      </w:pPr>
      <w:r>
        <w:t>DESCRIPTION</w:t>
      </w:r>
    </w:p>
    <w:p w14:paraId="2B6B3EEF" w14:textId="77777777" w:rsidR="00DB2B68" w:rsidRDefault="00000000">
      <w:pPr>
        <w:pStyle w:val="pheading"/>
      </w:pPr>
      <w:r>
        <w:t>- Définition / Comprend</w:t>
      </w:r>
    </w:p>
    <w:p w14:paraId="4C5A2AE5" w14:textId="77777777" w:rsidR="00DB2B68" w:rsidRDefault="00000000">
      <w:pPr>
        <w:jc w:val="both"/>
      </w:pPr>
      <w:r>
        <w:t>Il s’agit de la mise en œuvre de joints marquant une interruption verticale sur l’épaisseur complète de la structure portante en béton.</w:t>
      </w:r>
    </w:p>
    <w:p w14:paraId="3A2C6563" w14:textId="77777777" w:rsidR="00DB2B68" w:rsidRDefault="00000000">
      <w:pPr>
        <w:pStyle w:val="pheading"/>
      </w:pPr>
      <w:r>
        <w:t>MATÉRIAUX</w:t>
      </w:r>
    </w:p>
    <w:p w14:paraId="543A6AC5" w14:textId="77777777" w:rsidR="00DB2B68" w:rsidRDefault="00000000">
      <w:pPr>
        <w:pStyle w:val="pheading"/>
      </w:pPr>
      <w:r>
        <w:lastRenderedPageBreak/>
        <w:t>- Caractéristiques générales</w:t>
      </w:r>
    </w:p>
    <w:p w14:paraId="601EDF4E" w14:textId="77777777" w:rsidR="00DB2B68" w:rsidRDefault="00000000">
      <w:pPr>
        <w:jc w:val="both"/>
      </w:pPr>
      <w:r>
        <w:t xml:space="preserve">Epaisseur du joint : </w:t>
      </w:r>
      <w:r>
        <w:rPr>
          <w:rStyle w:val="optioncarChar"/>
        </w:rPr>
        <w:t xml:space="preserve">suivant les prescriptions de l’étude de stabilité </w:t>
      </w:r>
      <w:r>
        <w:t>(par défaut)</w:t>
      </w:r>
      <w:r>
        <w:rPr>
          <w:rStyle w:val="optioncarChar"/>
        </w:rPr>
        <w:t xml:space="preserve"> / 5 / 10 / 15 / 20 / 40 / ***</w:t>
      </w:r>
      <w:r>
        <w:t xml:space="preserve"> mm</w:t>
      </w:r>
    </w:p>
    <w:p w14:paraId="1B69A814" w14:textId="77777777" w:rsidR="00DB2B68" w:rsidRDefault="00000000">
      <w:pPr>
        <w:jc w:val="both"/>
      </w:pPr>
      <w:r>
        <w:t xml:space="preserve">Type de matériau à insérer au cœur de la structure : </w:t>
      </w:r>
      <w:r>
        <w:rPr>
          <w:rStyle w:val="optioncarChar"/>
        </w:rPr>
        <w:t>panneau en XPS</w:t>
      </w:r>
      <w:r>
        <w:t xml:space="preserve"> (par défaut)</w:t>
      </w:r>
      <w:r>
        <w:rPr>
          <w:rStyle w:val="optioncarChar"/>
        </w:rPr>
        <w:t xml:space="preserve"> / panneau en PUR / ***</w:t>
      </w:r>
    </w:p>
    <w:p w14:paraId="3F61BA98" w14:textId="77777777" w:rsidR="00DB2B68" w:rsidRDefault="00000000">
      <w:pPr>
        <w:jc w:val="both"/>
      </w:pPr>
      <w:r>
        <w:rPr>
          <w:b/>
        </w:rPr>
        <w:t>(soit par défaut)</w:t>
      </w:r>
    </w:p>
    <w:p w14:paraId="23401CF5" w14:textId="77777777" w:rsidR="00DB2B68" w:rsidRDefault="00000000">
      <w:pPr>
        <w:jc w:val="both"/>
      </w:pPr>
      <w:r>
        <w:rPr>
          <w:rStyle w:val="soitChar"/>
          <w:u w:val="single"/>
        </w:rPr>
        <w:t>Panneau en XPS :</w:t>
      </w:r>
      <w:r>
        <w:rPr>
          <w:rStyle w:val="soitChar"/>
        </w:rPr>
        <w:t xml:space="preserve"> conformément aux prescriptions du 32.41.1a Isolation en panneaux - polystyrène extrudé (XPS)</w:t>
      </w:r>
    </w:p>
    <w:p w14:paraId="6DA39E45" w14:textId="77777777" w:rsidR="00DB2B68" w:rsidRDefault="00000000">
      <w:pPr>
        <w:jc w:val="both"/>
      </w:pPr>
      <w:r>
        <w:rPr>
          <w:b/>
        </w:rPr>
        <w:t>(soit)</w:t>
      </w:r>
    </w:p>
    <w:p w14:paraId="38FBB0E8" w14:textId="77777777" w:rsidR="00DB2B68" w:rsidRDefault="00000000">
      <w:pPr>
        <w:jc w:val="both"/>
      </w:pPr>
      <w:r>
        <w:rPr>
          <w:rStyle w:val="soitChar"/>
          <w:u w:val="single"/>
        </w:rPr>
        <w:t>Panneau en PUR :</w:t>
      </w:r>
      <w:r>
        <w:rPr>
          <w:rStyle w:val="soitChar"/>
        </w:rPr>
        <w:t xml:space="preserve"> conformément aux prescriptions du 32.41.1d Isolation en panneaux - polyuréthane (PUR)</w:t>
      </w:r>
    </w:p>
    <w:p w14:paraId="2ABE873A" w14:textId="77777777" w:rsidR="00DB2B68" w:rsidRDefault="00000000">
      <w:pPr>
        <w:jc w:val="both"/>
      </w:pPr>
      <w:r>
        <w:rPr>
          <w:b/>
        </w:rPr>
        <w:t>(soit)</w:t>
      </w:r>
    </w:p>
    <w:p w14:paraId="6A5698D4" w14:textId="77777777" w:rsidR="00DB2B68" w:rsidRDefault="00000000">
      <w:pPr>
        <w:jc w:val="both"/>
      </w:pPr>
      <w:r>
        <w:rPr>
          <w:rStyle w:val="optioncarChar"/>
        </w:rPr>
        <w:t>***</w:t>
      </w:r>
    </w:p>
    <w:p w14:paraId="1731F847" w14:textId="77777777" w:rsidR="00DB2B68" w:rsidRDefault="00000000">
      <w:pPr>
        <w:jc w:val="both"/>
      </w:pPr>
      <w:r>
        <w:t>Type de panneau à insérer à la périphérie de la structure :  </w:t>
      </w:r>
      <w:r>
        <w:rPr>
          <w:rStyle w:val="optioncarChar"/>
        </w:rPr>
        <w:t xml:space="preserve">mousse synthétique </w:t>
      </w:r>
      <w:r>
        <w:t>(par défaut)</w:t>
      </w:r>
      <w:r>
        <w:rPr>
          <w:rStyle w:val="optioncarChar"/>
        </w:rPr>
        <w:t xml:space="preserve"> / panneau compressible / ***</w:t>
      </w:r>
    </w:p>
    <w:p w14:paraId="730E678C" w14:textId="77777777" w:rsidR="00DB2B68" w:rsidRDefault="00000000">
      <w:pPr>
        <w:jc w:val="both"/>
      </w:pPr>
      <w:r>
        <w:rPr>
          <w:b/>
        </w:rPr>
        <w:t>(soit par défaut)</w:t>
      </w:r>
    </w:p>
    <w:p w14:paraId="0AA76910" w14:textId="77777777" w:rsidR="00DB2B68" w:rsidRDefault="00000000">
      <w:pPr>
        <w:jc w:val="both"/>
      </w:pPr>
      <w:r>
        <w:rPr>
          <w:rStyle w:val="soitChar"/>
          <w:u w:val="single"/>
        </w:rPr>
        <w:t>Mousse synthétique :</w:t>
      </w:r>
      <w:r>
        <w:rPr>
          <w:rStyle w:val="soitChar"/>
        </w:rPr>
        <w:t xml:space="preserve"> rouleau en mousse synthétique de polymères isomères dans une très petite structure à cellules fermées.</w:t>
      </w:r>
    </w:p>
    <w:p w14:paraId="53764063" w14:textId="77777777" w:rsidR="00DB2B68" w:rsidRDefault="00000000">
      <w:pPr>
        <w:jc w:val="both"/>
      </w:pPr>
      <w:r>
        <w:rPr>
          <w:b/>
        </w:rPr>
        <w:t>(soit)</w:t>
      </w:r>
    </w:p>
    <w:p w14:paraId="7A90EAEE" w14:textId="77777777" w:rsidR="00DB2B68" w:rsidRDefault="00000000">
      <w:pPr>
        <w:jc w:val="both"/>
      </w:pPr>
      <w:r>
        <w:rPr>
          <w:rStyle w:val="soitChar"/>
          <w:u w:val="single"/>
        </w:rPr>
        <w:t>Panneau compressible :</w:t>
      </w:r>
      <w:r>
        <w:rPr>
          <w:rStyle w:val="soitChar"/>
        </w:rPr>
        <w:t xml:space="preserve"> panneau composé d’un mousse synthétique de polymères isomériques dans une structure de petites cellules fermées.</w:t>
      </w:r>
    </w:p>
    <w:p w14:paraId="2491ABEA" w14:textId="77777777" w:rsidR="00DB2B68" w:rsidRDefault="00000000">
      <w:pPr>
        <w:jc w:val="both"/>
      </w:pPr>
      <w:r>
        <w:rPr>
          <w:b/>
        </w:rPr>
        <w:t>(soit)</w:t>
      </w:r>
    </w:p>
    <w:p w14:paraId="037D08CD" w14:textId="77777777" w:rsidR="00DB2B68" w:rsidRDefault="00000000">
      <w:pPr>
        <w:jc w:val="both"/>
      </w:pPr>
      <w:r>
        <w:rPr>
          <w:rStyle w:val="optioncarChar"/>
        </w:rPr>
        <w:t>***</w:t>
      </w:r>
    </w:p>
    <w:p w14:paraId="6EC75D50" w14:textId="77777777" w:rsidR="00DB2B68" w:rsidRDefault="00000000">
      <w:pPr>
        <w:pStyle w:val="pheading"/>
      </w:pPr>
      <w:r>
        <w:t>- Finitions</w:t>
      </w:r>
    </w:p>
    <w:p w14:paraId="7153B2C8" w14:textId="77777777" w:rsidR="00DB2B68" w:rsidRDefault="00000000">
      <w:pPr>
        <w:jc w:val="both"/>
      </w:pPr>
      <w:r>
        <w:t xml:space="preserve">Finition des joints : </w:t>
      </w:r>
      <w:r>
        <w:rPr>
          <w:rStyle w:val="optioncarChar"/>
        </w:rPr>
        <w:t xml:space="preserve">pas de finition </w:t>
      </w:r>
      <w:r>
        <w:t>(par défaut)</w:t>
      </w:r>
      <w:r>
        <w:rPr>
          <w:rStyle w:val="optioncarChar"/>
        </w:rPr>
        <w:t xml:space="preserve"> / joint de remplissage.</w:t>
      </w:r>
    </w:p>
    <w:p w14:paraId="32FE9213" w14:textId="77777777" w:rsidR="00DB2B68" w:rsidRDefault="00000000">
      <w:pPr>
        <w:jc w:val="both"/>
      </w:pPr>
      <w:r>
        <w:rPr>
          <w:b/>
        </w:rPr>
        <w:t>(soit par défaut)</w:t>
      </w:r>
    </w:p>
    <w:p w14:paraId="6B36C0A3" w14:textId="77777777" w:rsidR="00DB2B68" w:rsidRDefault="00000000">
      <w:pPr>
        <w:jc w:val="both"/>
      </w:pPr>
      <w:r>
        <w:rPr>
          <w:rStyle w:val="soitChar"/>
          <w:u w:val="single"/>
        </w:rPr>
        <w:t>Pas de finition :</w:t>
      </w:r>
      <w:r>
        <w:rPr>
          <w:rStyle w:val="soitChar"/>
        </w:rPr>
        <w:t xml:space="preserve"> pas d’application</w:t>
      </w:r>
    </w:p>
    <w:p w14:paraId="2E890FF9" w14:textId="77777777" w:rsidR="00DB2B68" w:rsidRDefault="00000000">
      <w:pPr>
        <w:jc w:val="both"/>
      </w:pPr>
      <w:r>
        <w:rPr>
          <w:b/>
        </w:rPr>
        <w:t>(soit)</w:t>
      </w:r>
    </w:p>
    <w:p w14:paraId="5B368684" w14:textId="77777777" w:rsidR="00DB2B68" w:rsidRDefault="00000000">
      <w:pPr>
        <w:jc w:val="both"/>
      </w:pPr>
      <w:r>
        <w:rPr>
          <w:rStyle w:val="soitChar"/>
          <w:u w:val="single"/>
        </w:rPr>
        <w:t>Joint de remplissage :</w:t>
      </w:r>
      <w:r>
        <w:rPr>
          <w:rStyle w:val="soitChar"/>
        </w:rPr>
        <w:t xml:space="preserve"> conformément aux prescriptions du </w:t>
      </w:r>
      <w:hyperlink w:anchor="529" w:history="1">
        <w:r>
          <w:rPr>
            <w:rStyle w:val="soitChar"/>
            <w:color w:val="0000EE"/>
          </w:rPr>
          <w:t>22.63.1 Joints de remplissage</w:t>
        </w:r>
      </w:hyperlink>
      <w:r>
        <w:rPr>
          <w:rStyle w:val="soitChar"/>
        </w:rPr>
        <w:t>.</w:t>
      </w:r>
    </w:p>
    <w:p w14:paraId="55D36598" w14:textId="77777777" w:rsidR="00DB2B68" w:rsidRDefault="00000000">
      <w:pPr>
        <w:pStyle w:val="pheading"/>
      </w:pPr>
      <w:r>
        <w:t>EXÉCUTION / MISE EN ŒUVRE</w:t>
      </w:r>
    </w:p>
    <w:p w14:paraId="29ED6AC9" w14:textId="77777777" w:rsidR="00DB2B68" w:rsidRDefault="00000000">
      <w:pPr>
        <w:pStyle w:val="pheading"/>
      </w:pPr>
      <w:r>
        <w:t>- Prescriptions générales</w:t>
      </w:r>
    </w:p>
    <w:p w14:paraId="14267072" w14:textId="77777777" w:rsidR="00DB2B68" w:rsidRDefault="00000000">
      <w:pPr>
        <w:jc w:val="both"/>
      </w:pPr>
      <w:r>
        <w:t>Les joints sont réalisés selon un schéma d’implantation préalablement déterminé d’après l’étude de stabilité annexée aux documents du marché.</w:t>
      </w:r>
    </w:p>
    <w:p w14:paraId="21B48D92" w14:textId="77777777" w:rsidR="00DB2B68" w:rsidRDefault="00000000">
      <w:pPr>
        <w:jc w:val="both"/>
      </w:pPr>
      <w:r>
        <w:t>Avant de couler le béton, les panneaux chargés de créer le joint de dilatation sont insérés dans le coffrage aux endroits définis par l’étude de stabilité et en respectant les largeurs prescrites.</w:t>
      </w:r>
    </w:p>
    <w:p w14:paraId="26A7F0CF" w14:textId="77777777" w:rsidR="00DB2B68" w:rsidRDefault="00000000">
      <w:pPr>
        <w:jc w:val="both"/>
      </w:pPr>
      <w:r>
        <w:t>Ces éléments sont ensuite ajustés en hauteur avant la mise en place du béton.</w:t>
      </w:r>
    </w:p>
    <w:p w14:paraId="13CDF5B7" w14:textId="77777777" w:rsidR="00DB2B68" w:rsidRDefault="00000000">
      <w:pPr>
        <w:jc w:val="both"/>
      </w:pPr>
      <w:r>
        <w:t>Tous les moyens nécessaires pour éviter la déformation des panneaux sont obligatoires.</w:t>
      </w:r>
    </w:p>
    <w:p w14:paraId="5F583004" w14:textId="77777777" w:rsidR="00DB2B68" w:rsidRDefault="00000000">
      <w:pPr>
        <w:pStyle w:val="pheading"/>
      </w:pPr>
      <w:r>
        <w:t>MESURAGE</w:t>
      </w:r>
    </w:p>
    <w:p w14:paraId="5536EEAE" w14:textId="77777777" w:rsidR="00DB2B68" w:rsidRDefault="00000000">
      <w:pPr>
        <w:pStyle w:val="pheading"/>
      </w:pPr>
      <w:r>
        <w:t>- unité de mesure:</w:t>
      </w:r>
    </w:p>
    <w:p w14:paraId="376F7243" w14:textId="77777777" w:rsidR="00DB2B68" w:rsidRDefault="00000000">
      <w:r>
        <w:rPr>
          <w:rStyle w:val="optioncarChar"/>
        </w:rPr>
        <w:t xml:space="preserve">- </w:t>
      </w:r>
      <w:r>
        <w:t>(par défaut)</w:t>
      </w:r>
      <w:r>
        <w:rPr>
          <w:rStyle w:val="optioncarChar"/>
        </w:rPr>
        <w:t xml:space="preserve"> / m </w:t>
      </w:r>
    </w:p>
    <w:p w14:paraId="497F4124" w14:textId="77777777" w:rsidR="00DB2B68" w:rsidRDefault="00000000">
      <w:r>
        <w:rPr>
          <w:b/>
        </w:rPr>
        <w:t>(soit par défaut) </w:t>
      </w:r>
      <w:r>
        <w:br/>
      </w:r>
      <w:r>
        <w:rPr>
          <w:rStyle w:val="soitChar"/>
        </w:rPr>
        <w:t>1. – </w:t>
      </w:r>
      <w:r>
        <w:br/>
      </w:r>
      <w:r>
        <w:rPr>
          <w:b/>
        </w:rPr>
        <w:lastRenderedPageBreak/>
        <w:t>(soit) </w:t>
      </w:r>
      <w:r>
        <w:br/>
      </w:r>
      <w:r>
        <w:rPr>
          <w:rStyle w:val="soitChar"/>
        </w:rPr>
        <w:t>2.3. m </w:t>
      </w:r>
    </w:p>
    <w:p w14:paraId="31F2E2E3" w14:textId="77777777" w:rsidR="00DB2B68" w:rsidRDefault="00000000">
      <w:pPr>
        <w:pStyle w:val="pheading"/>
      </w:pPr>
      <w:r>
        <w:t>- code de mesurage:</w:t>
      </w:r>
    </w:p>
    <w:p w14:paraId="4DF6EC04" w14:textId="77777777" w:rsidR="00DB2B68" w:rsidRDefault="00000000">
      <w:r>
        <w:rPr>
          <w:rStyle w:val="optioncarChar"/>
        </w:rPr>
        <w:t>Compris</w:t>
      </w:r>
      <w:r>
        <w:t xml:space="preserve"> (par défaut)</w:t>
      </w:r>
      <w:r>
        <w:rPr>
          <w:rStyle w:val="optioncarChar"/>
        </w:rPr>
        <w:t xml:space="preserve"> / Longueur nette. </w:t>
      </w:r>
    </w:p>
    <w:p w14:paraId="14C92F38" w14:textId="77777777" w:rsidR="00DB2B68" w:rsidRDefault="00000000">
      <w:r>
        <w:rPr>
          <w:b/>
        </w:rPr>
        <w:t>(soit par défaut) </w:t>
      </w:r>
      <w:r>
        <w:br/>
      </w:r>
      <w:r>
        <w:rPr>
          <w:rStyle w:val="soitChar"/>
        </w:rPr>
        <w:t xml:space="preserve">1. </w:t>
      </w:r>
      <w:r>
        <w:rPr>
          <w:rStyle w:val="soitChar"/>
          <w:u w:val="single"/>
        </w:rPr>
        <w:t>Compris</w:t>
      </w:r>
      <w:r>
        <w:rPr>
          <w:rStyle w:val="soitChar"/>
        </w:rPr>
        <w:t xml:space="preserve"> dans les articles du </w:t>
      </w:r>
      <w:hyperlink w:anchor="87" w:history="1">
        <w:r>
          <w:rPr>
            <w:rStyle w:val="soitChar"/>
            <w:color w:val="0000EE"/>
          </w:rPr>
          <w:t>22 Superstructures en béton</w:t>
        </w:r>
      </w:hyperlink>
      <w:r>
        <w:rPr>
          <w:rStyle w:val="soitChar"/>
        </w:rPr>
        <w:t>. </w:t>
      </w:r>
      <w:r>
        <w:br/>
      </w:r>
      <w:r>
        <w:rPr>
          <w:b/>
        </w:rPr>
        <w:t>(soit) </w:t>
      </w:r>
      <w:r>
        <w:br/>
      </w:r>
      <w:r>
        <w:rPr>
          <w:rStyle w:val="soitChar"/>
        </w:rPr>
        <w:t xml:space="preserve">2. 3. </w:t>
      </w:r>
      <w:r>
        <w:rPr>
          <w:rStyle w:val="soitChar"/>
          <w:u w:val="single"/>
        </w:rPr>
        <w:t>Longueur nette</w:t>
      </w:r>
      <w:r>
        <w:rPr>
          <w:rStyle w:val="soitChar"/>
        </w:rPr>
        <w:t xml:space="preserve"> sans tenir compte de la largeur de joints.</w:t>
      </w:r>
    </w:p>
    <w:p w14:paraId="0525420D" w14:textId="77777777" w:rsidR="00DB2B68" w:rsidRDefault="00000000">
      <w:pPr>
        <w:pStyle w:val="pheading"/>
      </w:pPr>
      <w:r>
        <w:t>- nature du marché:</w:t>
      </w:r>
    </w:p>
    <w:p w14:paraId="0163A3E0" w14:textId="77777777" w:rsidR="00DB2B68" w:rsidRDefault="00000000">
      <w:r>
        <w:rPr>
          <w:rStyle w:val="optioncarChar"/>
        </w:rPr>
        <w:t>PM (p</w:t>
      </w:r>
      <w:r>
        <w:t xml:space="preserve">ar défaut) </w:t>
      </w:r>
      <w:r>
        <w:rPr>
          <w:rStyle w:val="optioncarChar"/>
        </w:rPr>
        <w:t>/ QF / QP </w:t>
      </w:r>
    </w:p>
    <w:p w14:paraId="66926FDC" w14:textId="77777777" w:rsidR="00DB2B68" w:rsidRDefault="00000000">
      <w:r>
        <w:rPr>
          <w:b/>
        </w:rPr>
        <w:t>(soit par défaut) </w:t>
      </w:r>
      <w:r>
        <w:br/>
      </w:r>
      <w:r>
        <w:rPr>
          <w:rStyle w:val="soitChar"/>
        </w:rPr>
        <w:t>1. PM </w:t>
      </w:r>
      <w:r>
        <w:br/>
      </w:r>
      <w:r>
        <w:rPr>
          <w:b/>
        </w:rPr>
        <w:t>(soit) </w:t>
      </w:r>
      <w:r>
        <w:br/>
      </w:r>
      <w:r>
        <w:rPr>
          <w:rStyle w:val="soitChar"/>
        </w:rPr>
        <w:t>2. QF</w:t>
      </w:r>
      <w:r>
        <w:br/>
      </w:r>
      <w:r>
        <w:rPr>
          <w:b/>
        </w:rPr>
        <w:t>(soit)</w:t>
      </w:r>
      <w:r>
        <w:br/>
      </w:r>
      <w:r>
        <w:rPr>
          <w:rStyle w:val="soitChar"/>
        </w:rPr>
        <w:t>3. QP si schéma d’implantation à charge du bureau d’études de l’entrepreneur.</w:t>
      </w:r>
    </w:p>
    <w:p w14:paraId="1ADA4090" w14:textId="77777777" w:rsidR="00DB2B68" w:rsidRDefault="00000000">
      <w:pPr>
        <w:pStyle w:val="pheading"/>
      </w:pPr>
      <w:r>
        <w:t>AIDE</w:t>
      </w:r>
    </w:p>
    <w:p w14:paraId="41EB99FF" w14:textId="77777777" w:rsidR="00DB2B68" w:rsidRDefault="00000000">
      <w:pPr>
        <w:jc w:val="both"/>
      </w:pPr>
      <w:r>
        <w:t>Les panneaux rigides (PUR/XPS) sont utilisés pour la création des joints à placer au cœur de la structure en béton.</w:t>
      </w:r>
    </w:p>
    <w:p w14:paraId="067FA2A2" w14:textId="77777777" w:rsidR="00DB2B68" w:rsidRDefault="00000000">
      <w:pPr>
        <w:jc w:val="both"/>
      </w:pPr>
      <w:r>
        <w:t>Les mousses synthétiques et les panneaux compressibles sont principalement utilisés pour la création des joints périphériques des dalles flottantes en béton.</w:t>
      </w:r>
    </w:p>
    <w:p w14:paraId="698ECFE8" w14:textId="77777777" w:rsidR="00DB2B68" w:rsidRDefault="00000000">
      <w:pPr>
        <w:pStyle w:val="Author-eSectionHeading4Numberless"/>
      </w:pPr>
      <w:bookmarkStart w:id="1006" w:name="_Toc220496042"/>
      <w:r>
        <w:t>22.62 Joints de retrait CCTB 01.04</w:t>
      </w:r>
      <w:bookmarkEnd w:id="1006"/>
    </w:p>
    <w:p w14:paraId="26CAD3D2" w14:textId="77777777" w:rsidR="00DB2B68" w:rsidRDefault="00000000">
      <w:pPr>
        <w:pStyle w:val="Author-eSectionHeading5Numberless"/>
      </w:pPr>
      <w:bookmarkStart w:id="1007" w:name="_Toc220496043"/>
      <w:r>
        <w:t>22.62.1 Joints de retrait CCTB 01.12</w:t>
      </w:r>
      <w:bookmarkEnd w:id="1007"/>
    </w:p>
    <w:p w14:paraId="4E2CDF47" w14:textId="77777777" w:rsidR="00DB2B68" w:rsidRDefault="00000000">
      <w:pPr>
        <w:pStyle w:val="pheading"/>
      </w:pPr>
      <w:r>
        <w:t>EXÉCUTION / MISE EN ŒUVRE</w:t>
      </w:r>
    </w:p>
    <w:p w14:paraId="2A7E8547" w14:textId="77777777" w:rsidR="00DB2B68" w:rsidRDefault="00000000">
      <w:pPr>
        <w:jc w:val="both"/>
      </w:pPr>
      <w:r>
        <w:t>Les joints sont réalisés selon un schéma d’implantation préalablement déterminé par l’entrepreneur et soumis à l’approbation de l’auteur de projet.</w:t>
      </w:r>
    </w:p>
    <w:p w14:paraId="52CBD081" w14:textId="77777777" w:rsidR="00DB2B68" w:rsidRDefault="00000000">
      <w:pPr>
        <w:jc w:val="both"/>
      </w:pPr>
      <w:r>
        <w:t>Lors de l’élaboration de ce schéma d’implantation, l’entrepreneur tient compte des aspects suivants :</w:t>
      </w:r>
    </w:p>
    <w:p w14:paraId="700ACB4A" w14:textId="77777777" w:rsidR="00DB2B68" w:rsidRDefault="00000000">
      <w:pPr>
        <w:pStyle w:val="Author-eListParagraph"/>
        <w:numPr>
          <w:ilvl w:val="0"/>
          <w:numId w:val="665"/>
        </w:numPr>
        <w:jc w:val="both"/>
      </w:pPr>
      <w:r>
        <w:t>diviser le sol en panneaux de forme rectangulaire dont le rapport longueur/largeur ne dépasse pas 1,5 ;</w:t>
      </w:r>
    </w:p>
    <w:p w14:paraId="6925BB55" w14:textId="77777777" w:rsidR="00DB2B68" w:rsidRDefault="00000000">
      <w:pPr>
        <w:pStyle w:val="Author-eListParagraph"/>
        <w:numPr>
          <w:ilvl w:val="0"/>
          <w:numId w:val="665"/>
        </w:numPr>
        <w:jc w:val="both"/>
      </w:pPr>
      <w:r>
        <w:t>éviter les angles rentrants au droit des colonnes ou des points d’appuis ;</w:t>
      </w:r>
    </w:p>
    <w:p w14:paraId="6790A9FB" w14:textId="77777777" w:rsidR="00DB2B68" w:rsidRDefault="00000000">
      <w:pPr>
        <w:pStyle w:val="Author-eListParagraph"/>
        <w:numPr>
          <w:ilvl w:val="0"/>
          <w:numId w:val="665"/>
        </w:numPr>
        <w:jc w:val="both"/>
      </w:pPr>
      <w:r>
        <w:t>éviter les joints décalés (appareillage à joints continus) ;</w:t>
      </w:r>
    </w:p>
    <w:p w14:paraId="33D5F6EC" w14:textId="77777777" w:rsidR="00DB2B68" w:rsidRDefault="00000000">
      <w:pPr>
        <w:pStyle w:val="Author-eListParagraph"/>
        <w:numPr>
          <w:ilvl w:val="0"/>
          <w:numId w:val="665"/>
        </w:numPr>
        <w:jc w:val="both"/>
      </w:pPr>
      <w:r>
        <w:t>éviter les joints à proximité des charges concentrées, afin d’éviter l’affaissement dû au tassement différentiel du support ;</w:t>
      </w:r>
    </w:p>
    <w:p w14:paraId="326E956D" w14:textId="77777777" w:rsidR="00DB2B68" w:rsidRDefault="00000000">
      <w:pPr>
        <w:pStyle w:val="Author-eListParagraph"/>
        <w:numPr>
          <w:ilvl w:val="0"/>
          <w:numId w:val="665"/>
        </w:numPr>
        <w:jc w:val="both"/>
      </w:pPr>
      <w:r>
        <w:t>éviter les joints dans les zones de circulation intense et lourde ou de circulation d’élévateurs à bandages durs de petite taille (dans les couloirs de circulation entre des rayonnages, etc…).</w:t>
      </w:r>
    </w:p>
    <w:p w14:paraId="57673A55" w14:textId="77777777" w:rsidR="00DB2B68" w:rsidRDefault="00000000">
      <w:pPr>
        <w:jc w:val="both"/>
      </w:pPr>
      <w:r>
        <w:rPr>
          <w:b/>
        </w:rPr>
        <w:t>Mise en œuvre</w:t>
      </w:r>
    </w:p>
    <w:p w14:paraId="2E35B083" w14:textId="77777777" w:rsidR="00DB2B68" w:rsidRDefault="00000000">
      <w:pPr>
        <w:jc w:val="both"/>
      </w:pPr>
      <w:r>
        <w:t>Après le coulage du béton, la dalle de sol est sciée à sa surface à l’aide d’une scie circulaire équipée d’un disque spécial diamanté.</w:t>
      </w:r>
    </w:p>
    <w:p w14:paraId="5CC15F10" w14:textId="77777777" w:rsidR="00DB2B68" w:rsidRDefault="00000000">
      <w:pPr>
        <w:pStyle w:val="pheading"/>
      </w:pPr>
      <w:r>
        <w:t>DOCUMENTS DE RÉFÉRENCE</w:t>
      </w:r>
    </w:p>
    <w:p w14:paraId="0168E1FA" w14:textId="77777777" w:rsidR="00DB2B68" w:rsidRDefault="00000000">
      <w:pPr>
        <w:pStyle w:val="pheading"/>
      </w:pPr>
      <w:r>
        <w:t>- Exécution</w:t>
      </w:r>
    </w:p>
    <w:p w14:paraId="2FB1DC48" w14:textId="77777777" w:rsidR="00DB2B68" w:rsidRDefault="00000000">
      <w:r>
        <w:t>[NIT 179, Les revêtements durs sur sols chauffés.]</w:t>
      </w:r>
    </w:p>
    <w:p w14:paraId="555C934B" w14:textId="77777777" w:rsidR="00DB2B68" w:rsidRDefault="00000000">
      <w:r>
        <w:t>[NIT 213, Les revêtements de sol intérieurs en pierre naturelle (remplace la NIT 137 pour les travaux de dallage en pierre naturelle).]</w:t>
      </w:r>
    </w:p>
    <w:p w14:paraId="5B8B811E" w14:textId="77777777" w:rsidR="00DB2B68" w:rsidRDefault="00000000">
      <w:r>
        <w:lastRenderedPageBreak/>
        <w:t>[NIT 237, Revêtements de sol intérieurs en carreaux céramiques (remplace la NIT 137 pour les travaux de carrelage en céramique).]</w:t>
      </w:r>
    </w:p>
    <w:p w14:paraId="11E54E64" w14:textId="77777777" w:rsidR="00DB2B68" w:rsidRDefault="00000000">
      <w:r>
        <w:t>[NIT 267, Sols intérieurs en béton (révision de la NIT 204)]</w:t>
      </w:r>
    </w:p>
    <w:p w14:paraId="24FD1AC9" w14:textId="77777777" w:rsidR="00DB2B68" w:rsidRDefault="00000000">
      <w:r>
        <w:t>[NBN ISO 2444, Joints dans le bâtiment - Vocabulaire]</w:t>
      </w:r>
    </w:p>
    <w:p w14:paraId="1CF95D4D" w14:textId="77777777" w:rsidR="00DB2B68" w:rsidRDefault="00000000">
      <w:r>
        <w:t>[NBN ISO 2445, Joints dans le bâtiment - Principes de conception fondamentaux]</w:t>
      </w:r>
    </w:p>
    <w:p w14:paraId="257D0301" w14:textId="77777777" w:rsidR="00DB2B68" w:rsidRDefault="00000000">
      <w:r>
        <w:t>[NBN ISO 6589, Joints dans le bâtiment - Méthode d'essai en laboratoire de perméabilité à l'air des joints]</w:t>
      </w:r>
    </w:p>
    <w:p w14:paraId="47E90166" w14:textId="77777777" w:rsidR="00DB2B68" w:rsidRDefault="00000000">
      <w:r>
        <w:t>[NBN ISO 7727, Joints dans le bâtiment - Principes de jonction des composants de bâtiment - Aptitude des joints à s'accommoder des écarts dimensionnels en cours de construction]</w:t>
      </w:r>
    </w:p>
    <w:p w14:paraId="50E77D32" w14:textId="77777777" w:rsidR="00DB2B68" w:rsidRDefault="00000000">
      <w:r>
        <w:t>[NBN ISO 7729, Assemblages verticaux courants entre deux composants de façade en béton ordinaire - Propriétés, caractéristiques et éléments de la classification]</w:t>
      </w:r>
    </w:p>
    <w:p w14:paraId="5BBACA85" w14:textId="77777777" w:rsidR="00DB2B68" w:rsidRDefault="00000000">
      <w:pPr>
        <w:pStyle w:val="Author-eSectionHeading6Numberless"/>
      </w:pPr>
      <w:bookmarkStart w:id="1008" w:name="_Toc220496044"/>
      <w:r>
        <w:t>22.62.1a Joints de retrait CCTB 01.11</w:t>
      </w:r>
      <w:bookmarkEnd w:id="1008"/>
    </w:p>
    <w:p w14:paraId="27F8249D" w14:textId="77777777" w:rsidR="00DB2B68" w:rsidRDefault="00000000">
      <w:pPr>
        <w:pStyle w:val="pheading"/>
      </w:pPr>
      <w:r>
        <w:t>DESCRIPTION</w:t>
      </w:r>
    </w:p>
    <w:p w14:paraId="75A15BC5" w14:textId="77777777" w:rsidR="00DB2B68" w:rsidRDefault="00000000">
      <w:pPr>
        <w:pStyle w:val="pheading"/>
      </w:pPr>
      <w:r>
        <w:t>- Définition / Comprend</w:t>
      </w:r>
    </w:p>
    <w:p w14:paraId="4A4A925F" w14:textId="77777777" w:rsidR="00DB2B68" w:rsidRDefault="00000000">
      <w:pPr>
        <w:jc w:val="both"/>
      </w:pPr>
      <w:r>
        <w:t>Il s’agit de la mise en œuvre de joints de fractionnement créés à postériori dans les dalles de sol en béton. Ils servent à les diviser en surfaces plus restreintes de manière à réduire les tensions qui résultent des mouvements thermiques et/ou du retrait (hydraulique ou de séchage). Leur mise en œuvre permet de créer des zones localement plus faibles où la dalle en béton se fissurera de manière à éviter la formation de fissures irrégulières à la surface.</w:t>
      </w:r>
    </w:p>
    <w:p w14:paraId="29DE1F74" w14:textId="77777777" w:rsidR="00DB2B68" w:rsidRDefault="00000000">
      <w:pPr>
        <w:pStyle w:val="pheading"/>
      </w:pPr>
      <w:r>
        <w:t>MATÉRIAUX</w:t>
      </w:r>
    </w:p>
    <w:p w14:paraId="49696FEB" w14:textId="77777777" w:rsidR="00DB2B68" w:rsidRDefault="00000000">
      <w:pPr>
        <w:pStyle w:val="pheading"/>
      </w:pPr>
      <w:r>
        <w:t>- Finitions</w:t>
      </w:r>
    </w:p>
    <w:p w14:paraId="6CF76ED9" w14:textId="77777777" w:rsidR="00DB2B68" w:rsidRDefault="00000000">
      <w:r>
        <w:t xml:space="preserve">Finition des joints : </w:t>
      </w:r>
      <w:r>
        <w:rPr>
          <w:rStyle w:val="optioncarChar"/>
        </w:rPr>
        <w:t>pas de finition</w:t>
      </w:r>
      <w:r>
        <w:t xml:space="preserve"> (par défaut) </w:t>
      </w:r>
      <w:r>
        <w:rPr>
          <w:rStyle w:val="optioncarChar"/>
        </w:rPr>
        <w:t>/ joint de remplissage</w:t>
      </w:r>
      <w:r>
        <w:t>.</w:t>
      </w:r>
    </w:p>
    <w:p w14:paraId="6B646AEC" w14:textId="77777777" w:rsidR="00DB2B68" w:rsidRDefault="00000000">
      <w:r>
        <w:rPr>
          <w:b/>
        </w:rPr>
        <w:t>(soit par défaut)</w:t>
      </w:r>
      <w:r>
        <w:br/>
      </w:r>
      <w:r>
        <w:rPr>
          <w:rStyle w:val="soitChar"/>
          <w:u w:val="single"/>
        </w:rPr>
        <w:t>Pas de finition :</w:t>
      </w:r>
      <w:r>
        <w:rPr>
          <w:rStyle w:val="soitChar"/>
        </w:rPr>
        <w:t xml:space="preserve"> pas d’application</w:t>
      </w:r>
      <w:r>
        <w:br/>
      </w:r>
      <w:r>
        <w:rPr>
          <w:b/>
        </w:rPr>
        <w:t>(soit)</w:t>
      </w:r>
      <w:r>
        <w:br/>
      </w:r>
      <w:r>
        <w:rPr>
          <w:rStyle w:val="soitChar"/>
          <w:u w:val="single"/>
        </w:rPr>
        <w:t>Joint de remplissage :</w:t>
      </w:r>
      <w:r>
        <w:rPr>
          <w:rStyle w:val="soitChar"/>
        </w:rPr>
        <w:t xml:space="preserve"> conformément aux prescriptions du </w:t>
      </w:r>
      <w:hyperlink w:anchor="529" w:history="1">
        <w:r>
          <w:rPr>
            <w:rStyle w:val="soitChar"/>
            <w:color w:val="0000EE"/>
          </w:rPr>
          <w:t>22.63.1 Joints de remplissage</w:t>
        </w:r>
      </w:hyperlink>
      <w:r>
        <w:rPr>
          <w:rStyle w:val="soitChar"/>
        </w:rPr>
        <w:t>.</w:t>
      </w:r>
    </w:p>
    <w:p w14:paraId="0666D5C0" w14:textId="77777777" w:rsidR="00DB2B68" w:rsidRDefault="00000000">
      <w:pPr>
        <w:pStyle w:val="pheading"/>
      </w:pPr>
      <w:r>
        <w:t>EXÉCUTION / MISE EN ŒUVRE</w:t>
      </w:r>
    </w:p>
    <w:p w14:paraId="3222DD86" w14:textId="77777777" w:rsidR="00DB2B68" w:rsidRDefault="00000000">
      <w:pPr>
        <w:pStyle w:val="pheading"/>
      </w:pPr>
      <w:r>
        <w:t>- Prescriptions générales</w:t>
      </w:r>
    </w:p>
    <w:p w14:paraId="7E992F0C" w14:textId="77777777" w:rsidR="00DB2B68" w:rsidRDefault="00000000">
      <w:pPr>
        <w:pStyle w:val="Author-eListParagraph"/>
        <w:numPr>
          <w:ilvl w:val="0"/>
          <w:numId w:val="666"/>
        </w:numPr>
        <w:jc w:val="both"/>
      </w:pPr>
      <w:r>
        <w:t xml:space="preserve">Temps de séchage du béton avant sciage de la dalle : </w:t>
      </w:r>
      <w:r>
        <w:rPr>
          <w:rStyle w:val="optioncarChar"/>
        </w:rPr>
        <w:t>24</w:t>
      </w:r>
      <w:r>
        <w:t xml:space="preserve"> (par défaut)</w:t>
      </w:r>
      <w:r>
        <w:rPr>
          <w:rStyle w:val="optioncarChar"/>
        </w:rPr>
        <w:t xml:space="preserve"> / ***</w:t>
      </w:r>
      <w:r>
        <w:t xml:space="preserve"> heures.</w:t>
      </w:r>
    </w:p>
    <w:p w14:paraId="55AEE99A" w14:textId="77777777" w:rsidR="00DB2B68" w:rsidRDefault="00000000">
      <w:pPr>
        <w:pStyle w:val="Author-eListParagraph"/>
        <w:numPr>
          <w:ilvl w:val="0"/>
          <w:numId w:val="666"/>
        </w:numPr>
        <w:jc w:val="both"/>
      </w:pPr>
      <w:r>
        <w:t xml:space="preserve">Profondeur du joint : </w:t>
      </w:r>
      <w:r>
        <w:rPr>
          <w:rStyle w:val="optioncarChar"/>
        </w:rPr>
        <w:t>1/4 à 1/3 de l’épaisseur de la dalle</w:t>
      </w:r>
      <w:r>
        <w:t xml:space="preserve"> (par défaut)</w:t>
      </w:r>
      <w:r>
        <w:rPr>
          <w:rStyle w:val="optioncarChar"/>
        </w:rPr>
        <w:t xml:space="preserve"> / ***</w:t>
      </w:r>
      <w:r>
        <w:t xml:space="preserve"> cm.</w:t>
      </w:r>
    </w:p>
    <w:p w14:paraId="324497BB" w14:textId="77777777" w:rsidR="00DB2B68" w:rsidRDefault="00000000">
      <w:pPr>
        <w:pStyle w:val="Author-eListParagraph"/>
        <w:numPr>
          <w:ilvl w:val="0"/>
          <w:numId w:val="666"/>
        </w:numPr>
        <w:jc w:val="both"/>
      </w:pPr>
      <w:r>
        <w:t xml:space="preserve">Largeur du joint : </w:t>
      </w:r>
      <w:r>
        <w:rPr>
          <w:rStyle w:val="optioncarChar"/>
        </w:rPr>
        <w:t xml:space="preserve">5 </w:t>
      </w:r>
      <w:r>
        <w:t xml:space="preserve">(par défaut) </w:t>
      </w:r>
      <w:r>
        <w:rPr>
          <w:rStyle w:val="optioncarChar"/>
        </w:rPr>
        <w:t>/ 3 / ***</w:t>
      </w:r>
      <w:r>
        <w:t xml:space="preserve"> mm.</w:t>
      </w:r>
    </w:p>
    <w:p w14:paraId="0C7DB229" w14:textId="77777777" w:rsidR="00DB2B68" w:rsidRDefault="00000000">
      <w:pPr>
        <w:pStyle w:val="pheading"/>
      </w:pPr>
      <w:r>
        <w:t>MESURAGE</w:t>
      </w:r>
    </w:p>
    <w:p w14:paraId="4D287E79" w14:textId="77777777" w:rsidR="00DB2B68" w:rsidRDefault="00000000">
      <w:pPr>
        <w:pStyle w:val="pheading"/>
      </w:pPr>
      <w:r>
        <w:t>- unité de mesure:</w:t>
      </w:r>
    </w:p>
    <w:p w14:paraId="2588CEE9" w14:textId="77777777" w:rsidR="00DB2B68" w:rsidRDefault="00000000">
      <w:r>
        <w:rPr>
          <w:rStyle w:val="optioncarChar"/>
        </w:rPr>
        <w:t xml:space="preserve">- </w:t>
      </w:r>
      <w:r>
        <w:t>(par défaut)</w:t>
      </w:r>
      <w:r>
        <w:rPr>
          <w:rStyle w:val="optioncarChar"/>
        </w:rPr>
        <w:t xml:space="preserve"> / m </w:t>
      </w:r>
    </w:p>
    <w:p w14:paraId="0C768A27" w14:textId="77777777" w:rsidR="00DB2B68" w:rsidRDefault="00000000">
      <w:r>
        <w:rPr>
          <w:b/>
        </w:rPr>
        <w:t>(soit par défaut) </w:t>
      </w:r>
      <w:r>
        <w:br/>
      </w:r>
      <w:r>
        <w:rPr>
          <w:rStyle w:val="soitChar"/>
        </w:rPr>
        <w:t>1. – </w:t>
      </w:r>
      <w:r>
        <w:br/>
      </w:r>
      <w:r>
        <w:rPr>
          <w:b/>
        </w:rPr>
        <w:t>(soit) </w:t>
      </w:r>
      <w:r>
        <w:br/>
      </w:r>
      <w:r>
        <w:rPr>
          <w:rStyle w:val="soitChar"/>
        </w:rPr>
        <w:t>2.3. m </w:t>
      </w:r>
    </w:p>
    <w:p w14:paraId="3A9EB4EA" w14:textId="77777777" w:rsidR="00DB2B68" w:rsidRDefault="00000000">
      <w:pPr>
        <w:pStyle w:val="pheading"/>
      </w:pPr>
      <w:r>
        <w:t>- code de mesurage:</w:t>
      </w:r>
    </w:p>
    <w:p w14:paraId="758F3811" w14:textId="77777777" w:rsidR="00DB2B68" w:rsidRDefault="00000000">
      <w:r>
        <w:rPr>
          <w:rStyle w:val="optioncarChar"/>
        </w:rPr>
        <w:t>Compris</w:t>
      </w:r>
      <w:r>
        <w:t xml:space="preserve"> (par défaut)</w:t>
      </w:r>
      <w:r>
        <w:rPr>
          <w:rStyle w:val="optioncarChar"/>
        </w:rPr>
        <w:t xml:space="preserve"> / Longueur nette. </w:t>
      </w:r>
    </w:p>
    <w:p w14:paraId="1266D3D2" w14:textId="77777777" w:rsidR="00DB2B68" w:rsidRDefault="00000000">
      <w:r>
        <w:rPr>
          <w:b/>
        </w:rPr>
        <w:t>(soit par défaut) </w:t>
      </w:r>
      <w:r>
        <w:br/>
      </w:r>
      <w:r>
        <w:rPr>
          <w:rStyle w:val="soitChar"/>
        </w:rPr>
        <w:t xml:space="preserve">1. </w:t>
      </w:r>
      <w:r>
        <w:rPr>
          <w:rStyle w:val="soitChar"/>
          <w:u w:val="single"/>
        </w:rPr>
        <w:t>Compris</w:t>
      </w:r>
      <w:r>
        <w:rPr>
          <w:rStyle w:val="soitChar"/>
        </w:rPr>
        <w:t xml:space="preserve"> dans les articles du </w:t>
      </w:r>
      <w:hyperlink w:anchor="87" w:history="1">
        <w:r>
          <w:rPr>
            <w:rStyle w:val="soitChar"/>
            <w:color w:val="0000EE"/>
          </w:rPr>
          <w:t>22 Superstructures en béton</w:t>
        </w:r>
      </w:hyperlink>
      <w:r>
        <w:rPr>
          <w:rStyle w:val="soitChar"/>
        </w:rPr>
        <w:t>. </w:t>
      </w:r>
      <w:r>
        <w:br/>
      </w:r>
      <w:r>
        <w:rPr>
          <w:b/>
        </w:rPr>
        <w:t>(soit) </w:t>
      </w:r>
      <w:r>
        <w:br/>
      </w:r>
      <w:r>
        <w:rPr>
          <w:rStyle w:val="soitChar"/>
        </w:rPr>
        <w:t xml:space="preserve">2. 3. </w:t>
      </w:r>
      <w:r>
        <w:rPr>
          <w:rStyle w:val="soitChar"/>
          <w:u w:val="single"/>
        </w:rPr>
        <w:t>Longueur nette</w:t>
      </w:r>
      <w:r>
        <w:rPr>
          <w:rStyle w:val="soitChar"/>
        </w:rPr>
        <w:t xml:space="preserve"> sans tenir compte de la largeur de joints.</w:t>
      </w:r>
    </w:p>
    <w:p w14:paraId="0DD8EBA5" w14:textId="77777777" w:rsidR="00DB2B68" w:rsidRDefault="00000000">
      <w:pPr>
        <w:pStyle w:val="Author-eSectionHeading4Numberless"/>
      </w:pPr>
      <w:bookmarkStart w:id="1009" w:name="_Toc220496045"/>
      <w:r>
        <w:lastRenderedPageBreak/>
        <w:t>22.63 Joints de remplissage CCTB 01.04</w:t>
      </w:r>
      <w:bookmarkEnd w:id="1009"/>
    </w:p>
    <w:p w14:paraId="55D4CFF0" w14:textId="77777777" w:rsidR="00DB2B68" w:rsidRDefault="00000000">
      <w:pPr>
        <w:pStyle w:val="Author-eSectionHeading5Numberless"/>
      </w:pPr>
      <w:bookmarkStart w:id="1010" w:name="_Toc220496046"/>
      <w:r>
        <w:t>22.63.1 Joints de remplissage CCTB 01.13</w:t>
      </w:r>
      <w:bookmarkEnd w:id="1010"/>
    </w:p>
    <w:p w14:paraId="603A1077" w14:textId="77777777" w:rsidR="00DB2B68" w:rsidRDefault="00000000">
      <w:pPr>
        <w:pStyle w:val="pheading"/>
      </w:pPr>
      <w:bookmarkStart w:id="1011" w:name="529"/>
      <w:bookmarkEnd w:id="1011"/>
      <w:r>
        <w:t>DESCRIPTION</w:t>
      </w:r>
    </w:p>
    <w:p w14:paraId="2E967CC0" w14:textId="77777777" w:rsidR="00DB2B68" w:rsidRDefault="00000000">
      <w:pPr>
        <w:pStyle w:val="pheading"/>
      </w:pPr>
      <w:r>
        <w:t>- Définition / Comprend</w:t>
      </w:r>
    </w:p>
    <w:p w14:paraId="5E3C8B38" w14:textId="77777777" w:rsidR="00DB2B68" w:rsidRDefault="00000000">
      <w:pPr>
        <w:jc w:val="both"/>
      </w:pPr>
      <w:r>
        <w:t>Il s’agit de la préparation, de la fourniture et de l’application de joints de remplissage pour les joints structuraux décrits dans le cahier spécial des charges.</w:t>
      </w:r>
    </w:p>
    <w:p w14:paraId="53B5C965" w14:textId="77777777" w:rsidR="00DB2B68" w:rsidRDefault="00000000">
      <w:pPr>
        <w:jc w:val="both"/>
      </w:pPr>
      <w:r>
        <w:t>Ce travail comprend notamment :</w:t>
      </w:r>
    </w:p>
    <w:p w14:paraId="7FFC10AA" w14:textId="77777777" w:rsidR="00DB2B68" w:rsidRDefault="00000000">
      <w:pPr>
        <w:pStyle w:val="Author-eListParagraph"/>
        <w:numPr>
          <w:ilvl w:val="0"/>
          <w:numId w:val="667"/>
        </w:numPr>
        <w:jc w:val="both"/>
      </w:pPr>
      <w:r>
        <w:t>la vérification préalable des joints à combler ;</w:t>
      </w:r>
    </w:p>
    <w:p w14:paraId="041835F5" w14:textId="77777777" w:rsidR="00DB2B68" w:rsidRDefault="00000000">
      <w:pPr>
        <w:pStyle w:val="Author-eListParagraph"/>
        <w:numPr>
          <w:ilvl w:val="0"/>
          <w:numId w:val="667"/>
        </w:numPr>
        <w:jc w:val="both"/>
      </w:pPr>
      <w:r>
        <w:t>le nettoyage des joints et des matériaux attenants ;</w:t>
      </w:r>
    </w:p>
    <w:p w14:paraId="2FDAB692" w14:textId="77777777" w:rsidR="00DB2B68" w:rsidRDefault="00000000">
      <w:pPr>
        <w:pStyle w:val="Author-eListParagraph"/>
        <w:numPr>
          <w:ilvl w:val="0"/>
          <w:numId w:val="667"/>
        </w:numPr>
        <w:jc w:val="both"/>
      </w:pPr>
      <w:r>
        <w:t>éventuellement, la pose de matériaux de remplissage des joints qui servent de fond ou de support pour le joint de remplissage ;</w:t>
      </w:r>
    </w:p>
    <w:p w14:paraId="749ACC36" w14:textId="77777777" w:rsidR="00DB2B68" w:rsidRDefault="00000000">
      <w:pPr>
        <w:pStyle w:val="Author-eListParagraph"/>
        <w:numPr>
          <w:ilvl w:val="0"/>
          <w:numId w:val="667"/>
        </w:numPr>
        <w:jc w:val="both"/>
      </w:pPr>
      <w:r>
        <w:t>l'application du joint de remplissage et l'enlèvement des matériaux excédentaires.</w:t>
      </w:r>
    </w:p>
    <w:p w14:paraId="71993743" w14:textId="77777777" w:rsidR="00DB2B68" w:rsidRDefault="00000000">
      <w:pPr>
        <w:pStyle w:val="pheading"/>
      </w:pPr>
      <w:r>
        <w:t>MATÉRIAUX</w:t>
      </w:r>
    </w:p>
    <w:p w14:paraId="1DEA0B17" w14:textId="77777777" w:rsidR="00DB2B68" w:rsidRDefault="00000000">
      <w:pPr>
        <w:jc w:val="both"/>
      </w:pPr>
      <w:r>
        <w:t>Le cordon d'étanchéité et le joint de remplissage sont adaptés au type de joint à combler (forme, dimensions, déformation), au degré de sollicitation et compatibles avec les matériaux attenants. Ils sont également résistant aux influences atmosphériques et chimiques.</w:t>
      </w:r>
    </w:p>
    <w:p w14:paraId="36B82DAC" w14:textId="77777777" w:rsidR="00DB2B68" w:rsidRDefault="00000000">
      <w:pPr>
        <w:jc w:val="both"/>
      </w:pPr>
      <w:r>
        <w:rPr>
          <w:b/>
        </w:rPr>
        <w:t>Fond de joint</w:t>
      </w:r>
    </w:p>
    <w:p w14:paraId="52BD01CA" w14:textId="77777777" w:rsidR="00DB2B68" w:rsidRDefault="00000000">
      <w:pPr>
        <w:pStyle w:val="Author-eListParagraph"/>
        <w:numPr>
          <w:ilvl w:val="0"/>
          <w:numId w:val="668"/>
        </w:numPr>
        <w:jc w:val="both"/>
      </w:pPr>
      <w:r>
        <w:rPr>
          <w:rStyle w:val="optioncarChar"/>
        </w:rPr>
        <w:t xml:space="preserve">cordon pré-comprimé en mousse de polyuréthane imprégnée d’un produit à base de paraffine chlorée et de néoprène </w:t>
      </w:r>
      <w:r>
        <w:t>(par défaut)</w:t>
      </w:r>
      <w:r>
        <w:rPr>
          <w:rStyle w:val="optioncarChar"/>
        </w:rPr>
        <w:t xml:space="preserve"> / ***</w:t>
      </w:r>
      <w:r>
        <w:t>.</w:t>
      </w:r>
    </w:p>
    <w:p w14:paraId="37FA8836" w14:textId="77777777" w:rsidR="00DB2B68" w:rsidRDefault="00000000">
      <w:pPr>
        <w:pStyle w:val="Author-eListParagraph"/>
        <w:numPr>
          <w:ilvl w:val="0"/>
          <w:numId w:val="668"/>
        </w:numPr>
        <w:jc w:val="both"/>
      </w:pPr>
      <w:r>
        <w:t>dimensions : l’épaisseur du cordon est d'au moins deux fois celle du joint à combler.</w:t>
      </w:r>
    </w:p>
    <w:p w14:paraId="214853B0" w14:textId="77777777" w:rsidR="00DB2B68" w:rsidRDefault="00000000">
      <w:pPr>
        <w:pStyle w:val="pheading"/>
      </w:pPr>
      <w:r>
        <w:t>EXÉCUTION / MISE EN ŒUVRE</w:t>
      </w:r>
    </w:p>
    <w:p w14:paraId="6EBF5922" w14:textId="77777777" w:rsidR="00DB2B68" w:rsidRDefault="00000000">
      <w:pPr>
        <w:jc w:val="both"/>
      </w:pPr>
      <w:r>
        <w:rPr>
          <w:b/>
        </w:rPr>
        <w:t>Fond de joint</w:t>
      </w:r>
    </w:p>
    <w:p w14:paraId="3DCB5128" w14:textId="77777777" w:rsidR="00DB2B68" w:rsidRDefault="00000000">
      <w:pPr>
        <w:jc w:val="both"/>
      </w:pPr>
      <w:r>
        <w:t>Après avoir nettoyé le joint et les matériaux attenants, le cordon est exécuté en longueurs maximales, posé en alignement droit et placé suivant les directives du fabricant. La face vue est réalisée en profondeur.</w:t>
      </w:r>
    </w:p>
    <w:p w14:paraId="3BF54346" w14:textId="77777777" w:rsidR="00DB2B68" w:rsidRDefault="00000000">
      <w:pPr>
        <w:jc w:val="both"/>
      </w:pPr>
      <w:r>
        <w:t>Avant la mise en œuvre, le ruban est comprimé jusqu’à 20% de son épaisseur nominale. Après la pose, il gonfle lentement jusqu’à l’obtention d’une étanchéité parfaite à l’air et à l’eau.</w:t>
      </w:r>
    </w:p>
    <w:p w14:paraId="4B22A2CE" w14:textId="77777777" w:rsidR="00DB2B68" w:rsidRDefault="00000000">
      <w:pPr>
        <w:jc w:val="both"/>
      </w:pPr>
      <w:r>
        <w:rPr>
          <w:b/>
        </w:rPr>
        <w:t>Joint de remplissage</w:t>
      </w:r>
    </w:p>
    <w:p w14:paraId="0ACC9287" w14:textId="77777777" w:rsidR="00DB2B68" w:rsidRDefault="00000000">
      <w:pPr>
        <w:jc w:val="both"/>
      </w:pPr>
      <w:r>
        <w:t>Les travaux sont exécutés lorsque le support est sec et que la température superficielle est supérieure à 5°C. Il est interdit d'appliquer le joint par temps de pluie ou de brouillard.</w:t>
      </w:r>
    </w:p>
    <w:p w14:paraId="651E08C7" w14:textId="77777777" w:rsidR="00DB2B68" w:rsidRDefault="00000000">
      <w:pPr>
        <w:jc w:val="both"/>
      </w:pPr>
      <w:r>
        <w:t>Avant d'appliquer le joint, le support est débarrassé de toute poussière et de toute graisse. Le cas échéant, un primer est appliqué afin d'assurer une meilleure adhérence.</w:t>
      </w:r>
    </w:p>
    <w:p w14:paraId="4C439BED" w14:textId="77777777" w:rsidR="00DB2B68" w:rsidRDefault="00000000">
      <w:pPr>
        <w:jc w:val="both"/>
      </w:pPr>
      <w:r>
        <w:t>Lorsqu'il y a risque d'allongement inégal du remplissage des joints, une couche antiadhérente est appliquée sur le fond de joint.</w:t>
      </w:r>
    </w:p>
    <w:p w14:paraId="58C1A093" w14:textId="77777777" w:rsidR="00DB2B68" w:rsidRDefault="00000000">
      <w:pPr>
        <w:jc w:val="both"/>
      </w:pPr>
      <w:r>
        <w:t>La profondeur des joints est au moins égale à la moitié de la largeur du joint, avec un minimum de 6 mm.</w:t>
      </w:r>
    </w:p>
    <w:p w14:paraId="1739FA33" w14:textId="77777777" w:rsidR="00DB2B68" w:rsidRDefault="00DB2B68">
      <w:pPr>
        <w:jc w:val="both"/>
      </w:pPr>
    </w:p>
    <w:p w14:paraId="2640455B" w14:textId="77777777" w:rsidR="00DB2B68" w:rsidRDefault="00000000">
      <w:pPr>
        <w:jc w:val="both"/>
      </w:pPr>
      <w:r>
        <w:t xml:space="preserve">La face vue est exécutée avec un léger creux et </w:t>
      </w:r>
      <w:r>
        <w:rPr>
          <w:rStyle w:val="optioncarChar"/>
        </w:rPr>
        <w:t>est / n’est pas</w:t>
      </w:r>
      <w:r>
        <w:t xml:space="preserve"> en retrait.</w:t>
      </w:r>
    </w:p>
    <w:p w14:paraId="0AB16AD6" w14:textId="77777777" w:rsidR="00DB2B68" w:rsidRDefault="00DB2B68">
      <w:pPr>
        <w:jc w:val="both"/>
      </w:pPr>
    </w:p>
    <w:p w14:paraId="535C3EC0" w14:textId="77777777" w:rsidR="00DB2B68" w:rsidRDefault="00000000">
      <w:pPr>
        <w:jc w:val="both"/>
      </w:pPr>
      <w:r>
        <w:t>Au préalable, les lèvres des joints sont protégées à l'aide de bandes adhésives qui sont enlevées immédiatement après le lissage du joint. Les joints sont achevés proprement, en ligne droite et lissés à l'aide d'une solution savonneuse avant la formation de la pellicule.</w:t>
      </w:r>
    </w:p>
    <w:p w14:paraId="14E02FA2" w14:textId="77777777" w:rsidR="00DB2B68" w:rsidRDefault="00000000">
      <w:pPr>
        <w:jc w:val="both"/>
      </w:pPr>
      <w:r>
        <w:t>Les matériaux excédentaires et les taches sont soigneusement enlevés.</w:t>
      </w:r>
    </w:p>
    <w:p w14:paraId="77901232" w14:textId="77777777" w:rsidR="00DB2B68" w:rsidRDefault="00000000">
      <w:pPr>
        <w:pStyle w:val="pheading"/>
      </w:pPr>
      <w:r>
        <w:lastRenderedPageBreak/>
        <w:t>DOCUMENTS DE RÉFÉRENCE</w:t>
      </w:r>
    </w:p>
    <w:p w14:paraId="6D16F8C7" w14:textId="77777777" w:rsidR="00DB2B68" w:rsidRDefault="00000000">
      <w:pPr>
        <w:pStyle w:val="pheading"/>
      </w:pPr>
      <w:r>
        <w:t>- Matériau</w:t>
      </w:r>
    </w:p>
    <w:p w14:paraId="2552EACC" w14:textId="77777777" w:rsidR="00DB2B68" w:rsidRDefault="00000000">
      <w:r>
        <w:t>[NIT 224, Hydrofugation de surface (remplace la NIT 140).]</w:t>
      </w:r>
    </w:p>
    <w:p w14:paraId="79065B5D" w14:textId="77777777" w:rsidR="00DB2B68" w:rsidRDefault="00000000">
      <w:r>
        <w:t>[NIT 252, L'humidité dans les constructions. Particularités de l'humidité ascensionnelle (remplace la NIT 210).]</w:t>
      </w:r>
    </w:p>
    <w:p w14:paraId="03EBF507" w14:textId="77777777" w:rsidR="00DB2B68" w:rsidRDefault="00000000">
      <w:r>
        <w:t>[NIT 208, Jointoiement des maçonneries.]</w:t>
      </w:r>
    </w:p>
    <w:p w14:paraId="0E23B2F0" w14:textId="77777777" w:rsidR="00DB2B68" w:rsidRDefault="00000000">
      <w:r>
        <w:t>[NIT 257, Enduits sur isolation extérieure (ETICS) (remplace partiellement la NIT 209)]</w:t>
      </w:r>
    </w:p>
    <w:p w14:paraId="0A9446CE" w14:textId="77777777" w:rsidR="00DB2B68" w:rsidRDefault="00000000">
      <w:r>
        <w:t>[NIT 289, Les enduits extérieurs sur maçonnerie et béton]</w:t>
      </w:r>
    </w:p>
    <w:p w14:paraId="756D075A" w14:textId="77777777" w:rsidR="00DB2B68" w:rsidRDefault="00000000">
      <w:r>
        <w:t>[NBN ISO 6589, Joints dans le bâtiment - Méthode d'essai en laboratoire de perméabilité à l'air des joints]</w:t>
      </w:r>
    </w:p>
    <w:p w14:paraId="72C00293" w14:textId="77777777" w:rsidR="00DB2B68" w:rsidRDefault="00000000">
      <w:r>
        <w:t>[NBN EN ISO 6927, Mastics pour le bâtiment et le génie civil - Vocabulaire (ISO 6927:2021)]</w:t>
      </w:r>
    </w:p>
    <w:p w14:paraId="4B2FBD69" w14:textId="77777777" w:rsidR="00DB2B68" w:rsidRDefault="00000000">
      <w:r>
        <w:t>[NBN ISO 7727, Joints dans le bâtiment - Principes de jonction des composants de bâtiment - Aptitude des joints à s'accommoder des écarts dimensionnels en cours de construction]</w:t>
      </w:r>
    </w:p>
    <w:p w14:paraId="0182304D" w14:textId="77777777" w:rsidR="00DB2B68" w:rsidRDefault="00000000">
      <w:r>
        <w:t>[NBN EN ISO 8339, Construction immobilière - Mastics - Détermination des propriétés de traction (Allongement jusqu'à rupture) (ISO 8339:2005)]</w:t>
      </w:r>
    </w:p>
    <w:p w14:paraId="7A83B490" w14:textId="77777777" w:rsidR="00DB2B68" w:rsidRDefault="00000000">
      <w:r>
        <w:t>[NBN EN ISO 8394 série, Construction immobilière - Produits pour joints - Détermination de l’extrudabilité des mastics à un composant]</w:t>
      </w:r>
    </w:p>
    <w:p w14:paraId="29B2FA2B" w14:textId="77777777" w:rsidR="00DB2B68" w:rsidRDefault="00000000">
      <w:r>
        <w:t>[NBN EN ISO 9046, Mastics pour le bâtiment et le génie civil - Détermination des propriétés d'adhésivité/cohésion à température constante (ISO 9046:2021)]</w:t>
      </w:r>
    </w:p>
    <w:p w14:paraId="5233FA65" w14:textId="77777777" w:rsidR="00DB2B68" w:rsidRDefault="00000000">
      <w:r>
        <w:t>[NBN EN ISO 9047, Construction immobilière - Produits pour joints - Détermination des propriétés d'adhésivité/cohésion des mastics à température variable (ISO 9047:2001)]</w:t>
      </w:r>
    </w:p>
    <w:p w14:paraId="2F19C611" w14:textId="77777777" w:rsidR="00DB2B68" w:rsidRDefault="00000000">
      <w:r>
        <w:t>[NBN EN ISO 7390, Construction immobilière - Produits pour joints - Détermination de la résistance au coulage des mastics (ISO 7390:2003)]</w:t>
      </w:r>
    </w:p>
    <w:p w14:paraId="0AD037B2" w14:textId="77777777" w:rsidR="00DB2B68" w:rsidRDefault="00000000">
      <w:r>
        <w:t>[NBN ISO 7729, Assemblages verticaux courants entre deux composants de façade en béton ordinaire - Propriétés, caractéristiques et éléments de la classification]</w:t>
      </w:r>
    </w:p>
    <w:p w14:paraId="70F56002" w14:textId="77777777" w:rsidR="00DB2B68" w:rsidRDefault="00000000">
      <w:r>
        <w:t>[NBN EN ISO 10563, Mastics pour bâtiments et ouvrages de génie civil - Détermination des variations de masse et de volume (ISO 10563:2023)]</w:t>
      </w:r>
    </w:p>
    <w:p w14:paraId="10711D59" w14:textId="77777777" w:rsidR="00DB2B68" w:rsidRDefault="00000000">
      <w:r>
        <w:t>[NBN EN ISO 10590, Construction immobilière - Mastics - Détermination des propriétés de déformation des mastics sous traction maintenue après immersion dans l'eau (ISO 10590:2005)]  </w:t>
      </w:r>
    </w:p>
    <w:p w14:paraId="5E7F931B" w14:textId="77777777" w:rsidR="00DB2B68" w:rsidRDefault="00000000">
      <w:r>
        <w:t>[NBN EN ISO 10591, Mastics pour bâtiments et ouvrages de génie civil - Détermination des propriétés d'adhésivité/cohésion des mastics après immersion dans l'eau(ISO 10591:2021)]</w:t>
      </w:r>
    </w:p>
    <w:p w14:paraId="5F3B605A" w14:textId="77777777" w:rsidR="00DB2B68" w:rsidRDefault="00000000">
      <w:r>
        <w:t>[NBN EN ISO 11432, Mastics pour bâtiments et ouvrages de génie civil - Détermination de la résistance à la compression (ISO 11432:2021)]</w:t>
      </w:r>
    </w:p>
    <w:p w14:paraId="03EC4BF8" w14:textId="77777777" w:rsidR="00DB2B68" w:rsidRDefault="00000000">
      <w:r>
        <w:t>[NBN EN ISO 11600, Construction immobilière - Produits pour joints - Classification et exigences pour les mastics (ISO 11600:2002)]</w:t>
      </w:r>
    </w:p>
    <w:p w14:paraId="1B2B1275" w14:textId="77777777" w:rsidR="00DB2B68" w:rsidRDefault="00000000">
      <w:pPr>
        <w:pStyle w:val="pheading"/>
      </w:pPr>
      <w:r>
        <w:t>- Exécution</w:t>
      </w:r>
    </w:p>
    <w:p w14:paraId="5E6FD02B" w14:textId="77777777" w:rsidR="00DB2B68" w:rsidRDefault="00000000">
      <w:r>
        <w:t>[NIT 124, Joints d'étanchéité en mastic entre éléments de façade. Conception et exécution. (remplace la NIT 107).]</w:t>
      </w:r>
    </w:p>
    <w:p w14:paraId="0291EE45" w14:textId="77777777" w:rsidR="00DB2B68" w:rsidRDefault="00000000">
      <w:r>
        <w:t>[NBN ISO 2445, Joints dans le bâtiment - Principes de conception fondamentaux]</w:t>
      </w:r>
    </w:p>
    <w:p w14:paraId="336E8F14" w14:textId="77777777" w:rsidR="00DB2B68" w:rsidRDefault="00000000">
      <w:pPr>
        <w:pStyle w:val="Author-eSectionHeading6Numberless"/>
      </w:pPr>
      <w:bookmarkStart w:id="1012" w:name="_Toc220496047"/>
      <w:r>
        <w:t>22.63.1a Joints de resserrage en mortier CCTB 01.11</w:t>
      </w:r>
      <w:bookmarkEnd w:id="1012"/>
    </w:p>
    <w:p w14:paraId="3373CD15" w14:textId="77777777" w:rsidR="00DB2B68" w:rsidRDefault="00000000">
      <w:pPr>
        <w:pStyle w:val="pheading"/>
      </w:pPr>
      <w:r>
        <w:t>DESCRIPTION</w:t>
      </w:r>
    </w:p>
    <w:p w14:paraId="7C8F6ECC" w14:textId="77777777" w:rsidR="00DB2B68" w:rsidRDefault="00000000">
      <w:pPr>
        <w:pStyle w:val="pheading"/>
      </w:pPr>
      <w:r>
        <w:t>- Définition / Comprend</w:t>
      </w:r>
    </w:p>
    <w:p w14:paraId="259A95F3" w14:textId="77777777" w:rsidR="00DB2B68" w:rsidRDefault="00000000">
      <w:pPr>
        <w:jc w:val="both"/>
      </w:pPr>
      <w:r>
        <w:t>Il s’agit du resserrage de joints de structure avec un joint en mortier.</w:t>
      </w:r>
    </w:p>
    <w:p w14:paraId="36775F46" w14:textId="77777777" w:rsidR="00DB2B68" w:rsidRDefault="00000000">
      <w:pPr>
        <w:jc w:val="both"/>
      </w:pPr>
      <w:r>
        <w:lastRenderedPageBreak/>
        <w:t>Le travail comprend notamment :</w:t>
      </w:r>
    </w:p>
    <w:p w14:paraId="1C8ECBA9" w14:textId="77777777" w:rsidR="00DB2B68" w:rsidRDefault="00000000">
      <w:pPr>
        <w:pStyle w:val="Author-eListParagraph"/>
        <w:numPr>
          <w:ilvl w:val="0"/>
          <w:numId w:val="669"/>
        </w:numPr>
        <w:jc w:val="both"/>
      </w:pPr>
      <w:r>
        <w:t>la fourniture et la pose préalable d’un fond de joint ;</w:t>
      </w:r>
    </w:p>
    <w:p w14:paraId="2D27D3F5" w14:textId="77777777" w:rsidR="00DB2B68" w:rsidRDefault="00000000">
      <w:pPr>
        <w:pStyle w:val="Author-eListParagraph"/>
        <w:numPr>
          <w:ilvl w:val="0"/>
          <w:numId w:val="669"/>
        </w:numPr>
        <w:jc w:val="both"/>
      </w:pPr>
      <w:r>
        <w:t>la fourniture et l’application du joint de resserrage.</w:t>
      </w:r>
    </w:p>
    <w:p w14:paraId="6BFB355E" w14:textId="77777777" w:rsidR="00DB2B68" w:rsidRDefault="00000000">
      <w:pPr>
        <w:pStyle w:val="pheading"/>
      </w:pPr>
      <w:r>
        <w:t>MATÉRIAUX</w:t>
      </w:r>
    </w:p>
    <w:p w14:paraId="1F3B4F69" w14:textId="77777777" w:rsidR="00DB2B68" w:rsidRDefault="00000000">
      <w:pPr>
        <w:pStyle w:val="pheading"/>
      </w:pPr>
      <w:r>
        <w:t>- Caractéristiques générales</w:t>
      </w:r>
    </w:p>
    <w:p w14:paraId="41623727" w14:textId="77777777" w:rsidR="00DB2B68" w:rsidRDefault="00000000">
      <w:pPr>
        <w:jc w:val="both"/>
      </w:pPr>
      <w:r>
        <w:rPr>
          <w:b/>
        </w:rPr>
        <w:t>Joint de resserrage</w:t>
      </w:r>
    </w:p>
    <w:p w14:paraId="6FEA9BFF" w14:textId="77777777" w:rsidR="00DB2B68" w:rsidRDefault="00DB2B68">
      <w:pPr>
        <w:jc w:val="both"/>
      </w:pPr>
    </w:p>
    <w:p w14:paraId="166F74C2" w14:textId="77777777" w:rsidR="00DB2B68" w:rsidRDefault="00000000">
      <w:pPr>
        <w:pStyle w:val="Author-eListParagraph"/>
        <w:numPr>
          <w:ilvl w:val="0"/>
          <w:numId w:val="670"/>
        </w:numPr>
        <w:jc w:val="both"/>
      </w:pPr>
      <w:r>
        <w:rPr>
          <w:rStyle w:val="optioncarChar"/>
        </w:rPr>
        <w:t>Mortier tri-composant à base de polyuréthane renforcé avec des agrégats et spécialement élaboré pour le resserrage de joints de structure</w:t>
      </w:r>
      <w:r>
        <w:t xml:space="preserve"> (par défaut) </w:t>
      </w:r>
      <w:r>
        <w:rPr>
          <w:rStyle w:val="optioncarChar"/>
        </w:rPr>
        <w:t>/ ***</w:t>
      </w:r>
      <w:r>
        <w:t>.</w:t>
      </w:r>
    </w:p>
    <w:p w14:paraId="4CDEF857" w14:textId="77777777" w:rsidR="00DB2B68" w:rsidRDefault="00000000">
      <w:pPr>
        <w:pStyle w:val="Author-eListParagraph"/>
        <w:numPr>
          <w:ilvl w:val="0"/>
          <w:numId w:val="670"/>
        </w:numPr>
        <w:jc w:val="both"/>
      </w:pPr>
      <w:r>
        <w:t xml:space="preserve">Largeur du joint : </w:t>
      </w:r>
      <w:r>
        <w:rPr>
          <w:rStyle w:val="optioncarChar"/>
        </w:rPr>
        <w:t>10</w:t>
      </w:r>
      <w:r>
        <w:t xml:space="preserve"> (par défaut) / </w:t>
      </w:r>
      <w:r>
        <w:rPr>
          <w:rStyle w:val="optioncarChar"/>
        </w:rPr>
        <w:t>20 / 30 / 50 / ***</w:t>
      </w:r>
      <w:r>
        <w:t xml:space="preserve"> mm.</w:t>
      </w:r>
    </w:p>
    <w:p w14:paraId="20E9EE7C" w14:textId="77777777" w:rsidR="00DB2B68" w:rsidRDefault="00000000">
      <w:pPr>
        <w:pStyle w:val="pheading"/>
      </w:pPr>
      <w:r>
        <w:t>- Finitions</w:t>
      </w:r>
    </w:p>
    <w:p w14:paraId="496ECC76" w14:textId="77777777" w:rsidR="00DB2B68" w:rsidRDefault="00000000">
      <w:pPr>
        <w:jc w:val="both"/>
      </w:pPr>
      <w:r>
        <w:t xml:space="preserve">Couleur du fond de joint : </w:t>
      </w:r>
      <w:r>
        <w:rPr>
          <w:rStyle w:val="optioncarChar"/>
        </w:rPr>
        <w:t xml:space="preserve">gris </w:t>
      </w:r>
      <w:r>
        <w:t xml:space="preserve">(par défaut) </w:t>
      </w:r>
      <w:r>
        <w:rPr>
          <w:rStyle w:val="optioncarChar"/>
        </w:rPr>
        <w:t>/ gris anthracite / ***</w:t>
      </w:r>
      <w:r>
        <w:t>.</w:t>
      </w:r>
    </w:p>
    <w:p w14:paraId="3AA6944C" w14:textId="77777777" w:rsidR="00DB2B68" w:rsidRDefault="00000000">
      <w:pPr>
        <w:jc w:val="both"/>
      </w:pPr>
      <w:r>
        <w:t xml:space="preserve">Couleur du joint de resserrage : </w:t>
      </w:r>
      <w:r>
        <w:rPr>
          <w:rStyle w:val="optioncarChar"/>
        </w:rPr>
        <w:t xml:space="preserve">gris clair </w:t>
      </w:r>
      <w:r>
        <w:t>(par défaut)</w:t>
      </w:r>
      <w:r>
        <w:rPr>
          <w:rStyle w:val="optioncarChar"/>
        </w:rPr>
        <w:t xml:space="preserve"> / ***</w:t>
      </w:r>
      <w:r>
        <w:t>.</w:t>
      </w:r>
    </w:p>
    <w:p w14:paraId="239401C0" w14:textId="77777777" w:rsidR="00DB2B68" w:rsidRDefault="00000000">
      <w:pPr>
        <w:pStyle w:val="pheading"/>
      </w:pPr>
      <w:r>
        <w:t>EXÉCUTION / MISE EN ŒUVRE</w:t>
      </w:r>
    </w:p>
    <w:p w14:paraId="0013E9F0" w14:textId="77777777" w:rsidR="00DB2B68" w:rsidRDefault="00000000">
      <w:pPr>
        <w:pStyle w:val="pheading"/>
      </w:pPr>
      <w:r>
        <w:t>- Prescriptions générales</w:t>
      </w:r>
    </w:p>
    <w:p w14:paraId="17023EBB" w14:textId="77777777" w:rsidR="00DB2B68" w:rsidRDefault="00000000">
      <w:pPr>
        <w:jc w:val="both"/>
      </w:pPr>
      <w:r>
        <w:rPr>
          <w:b/>
        </w:rPr>
        <w:t>Joint de resserrage</w:t>
      </w:r>
    </w:p>
    <w:p w14:paraId="4C2D5BA9" w14:textId="77777777" w:rsidR="00DB2B68" w:rsidRDefault="00000000">
      <w:pPr>
        <w:jc w:val="both"/>
      </w:pPr>
      <w:r>
        <w:t>Le remplissage des joints est effectué conformément aux prescriptions du fabricant.</w:t>
      </w:r>
    </w:p>
    <w:p w14:paraId="03222DB8" w14:textId="77777777" w:rsidR="00DB2B68" w:rsidRDefault="00000000">
      <w:pPr>
        <w:pStyle w:val="pheading"/>
      </w:pPr>
      <w:r>
        <w:t>MESURAGE</w:t>
      </w:r>
    </w:p>
    <w:p w14:paraId="5140AC82" w14:textId="77777777" w:rsidR="00DB2B68" w:rsidRDefault="00000000">
      <w:pPr>
        <w:pStyle w:val="pheading"/>
      </w:pPr>
      <w:r>
        <w:t>- unité de mesure:</w:t>
      </w:r>
    </w:p>
    <w:p w14:paraId="3926C7B4" w14:textId="77777777" w:rsidR="00DB2B68" w:rsidRDefault="00000000">
      <w:r>
        <w:t>1.2. m</w:t>
      </w:r>
    </w:p>
    <w:p w14:paraId="1FC81205" w14:textId="77777777" w:rsidR="00DB2B68" w:rsidRDefault="00000000">
      <w:pPr>
        <w:pStyle w:val="pheading"/>
      </w:pPr>
      <w:r>
        <w:t>- code de mesurage:</w:t>
      </w:r>
    </w:p>
    <w:p w14:paraId="5968042F" w14:textId="77777777" w:rsidR="00DB2B68" w:rsidRDefault="00000000">
      <w:r>
        <w:t>1.2 Longueur nette à exécuter ventilée en fonction de la largeur des joints.</w:t>
      </w:r>
    </w:p>
    <w:p w14:paraId="06756C06" w14:textId="77777777" w:rsidR="00DB2B68" w:rsidRDefault="00000000">
      <w:pPr>
        <w:pStyle w:val="pheading"/>
      </w:pPr>
      <w:r>
        <w:t>- nature du marché:</w:t>
      </w:r>
    </w:p>
    <w:p w14:paraId="61BDD9B3" w14:textId="77777777" w:rsidR="00DB2B68" w:rsidRDefault="00000000">
      <w:r>
        <w:rPr>
          <w:rStyle w:val="optioncarChar"/>
        </w:rPr>
        <w:t>QF</w:t>
      </w:r>
      <w:r>
        <w:t xml:space="preserve"> (par défaut)</w:t>
      </w:r>
      <w:r>
        <w:rPr>
          <w:rStyle w:val="optioncarChar"/>
        </w:rPr>
        <w:t xml:space="preserve"> / QP</w:t>
      </w:r>
    </w:p>
    <w:p w14:paraId="4B5598B8" w14:textId="77777777" w:rsidR="00DB2B68" w:rsidRDefault="00000000">
      <w:r>
        <w:rPr>
          <w:b/>
        </w:rPr>
        <w:t>(soit par défaut)</w:t>
      </w:r>
      <w:r>
        <w:br/>
      </w:r>
      <w:r>
        <w:rPr>
          <w:rStyle w:val="soitChar"/>
        </w:rPr>
        <w:t>1. QF</w:t>
      </w:r>
      <w:r>
        <w:br/>
      </w:r>
      <w:r>
        <w:rPr>
          <w:b/>
        </w:rPr>
        <w:t>(soit)</w:t>
      </w:r>
      <w:r>
        <w:br/>
      </w:r>
      <w:r>
        <w:rPr>
          <w:rStyle w:val="soitChar"/>
        </w:rPr>
        <w:t>2. QP</w:t>
      </w:r>
    </w:p>
    <w:p w14:paraId="2DD0ABE1" w14:textId="77777777" w:rsidR="00DB2B68" w:rsidRDefault="00000000">
      <w:pPr>
        <w:pStyle w:val="Author-eSectionHeading6Numberless"/>
      </w:pPr>
      <w:bookmarkStart w:id="1013" w:name="_Toc220496048"/>
      <w:r>
        <w:t>22.63.1b Joints de remplissage autres qu'en mortier CCTB 01.11</w:t>
      </w:r>
      <w:bookmarkEnd w:id="1013"/>
    </w:p>
    <w:p w14:paraId="395E92D5" w14:textId="77777777" w:rsidR="00DB2B68" w:rsidRDefault="00000000">
      <w:pPr>
        <w:pStyle w:val="pheading"/>
      </w:pPr>
      <w:bookmarkStart w:id="1014" w:name="701"/>
      <w:bookmarkEnd w:id="1014"/>
      <w:r>
        <w:t>DESCRIPTION</w:t>
      </w:r>
    </w:p>
    <w:p w14:paraId="7C33C2C7" w14:textId="77777777" w:rsidR="00DB2B68" w:rsidRDefault="00000000">
      <w:pPr>
        <w:pStyle w:val="pheading"/>
      </w:pPr>
      <w:r>
        <w:t>- Définition / Comprend</w:t>
      </w:r>
    </w:p>
    <w:p w14:paraId="68C43E7B" w14:textId="77777777" w:rsidR="00DB2B68" w:rsidRDefault="00000000">
      <w:pPr>
        <w:jc w:val="both"/>
      </w:pPr>
      <w:r>
        <w:t>Il s’agit du remplissage de joints de structure avec un joint autre qu’en mortier.</w:t>
      </w:r>
    </w:p>
    <w:p w14:paraId="4B9DEDFE" w14:textId="77777777" w:rsidR="00DB2B68" w:rsidRDefault="00000000">
      <w:pPr>
        <w:jc w:val="both"/>
      </w:pPr>
      <w:r>
        <w:t>Le travail comprend notamment :</w:t>
      </w:r>
    </w:p>
    <w:p w14:paraId="04C0060A" w14:textId="77777777" w:rsidR="00DB2B68" w:rsidRDefault="00000000">
      <w:pPr>
        <w:pStyle w:val="Author-eListParagraph"/>
        <w:numPr>
          <w:ilvl w:val="0"/>
          <w:numId w:val="671"/>
        </w:numPr>
        <w:jc w:val="both"/>
      </w:pPr>
      <w:r>
        <w:t>la fourniture et la pose préalable d’un fond de joint ;</w:t>
      </w:r>
    </w:p>
    <w:p w14:paraId="55B45C2A" w14:textId="77777777" w:rsidR="00DB2B68" w:rsidRDefault="00000000">
      <w:pPr>
        <w:pStyle w:val="Author-eListParagraph"/>
        <w:numPr>
          <w:ilvl w:val="0"/>
          <w:numId w:val="671"/>
        </w:numPr>
        <w:jc w:val="both"/>
      </w:pPr>
      <w:r>
        <w:t>la fourniture et l’application d’un joint élastique de finition.</w:t>
      </w:r>
    </w:p>
    <w:p w14:paraId="03408962" w14:textId="77777777" w:rsidR="00DB2B68" w:rsidRDefault="00000000">
      <w:pPr>
        <w:pStyle w:val="pheading"/>
      </w:pPr>
      <w:r>
        <w:t>MATÉRIAUX</w:t>
      </w:r>
    </w:p>
    <w:p w14:paraId="5DE32B13" w14:textId="77777777" w:rsidR="00DB2B68" w:rsidRDefault="00000000">
      <w:pPr>
        <w:pStyle w:val="pheading"/>
      </w:pPr>
      <w:r>
        <w:t>- Caractéristiques générales</w:t>
      </w:r>
    </w:p>
    <w:p w14:paraId="6EF853C4" w14:textId="77777777" w:rsidR="00DB2B68" w:rsidRDefault="00000000">
      <w:pPr>
        <w:jc w:val="both"/>
      </w:pPr>
      <w:r>
        <w:rPr>
          <w:b/>
        </w:rPr>
        <w:t>Joint de remplissage</w:t>
      </w:r>
    </w:p>
    <w:p w14:paraId="47B26B35" w14:textId="77777777" w:rsidR="00DB2B68" w:rsidRDefault="00000000">
      <w:pPr>
        <w:jc w:val="both"/>
      </w:pPr>
      <w:r>
        <w:rPr>
          <w:rStyle w:val="optioncarChar"/>
        </w:rPr>
        <w:t>Mastic élastique élastomère / type F</w:t>
      </w:r>
    </w:p>
    <w:p w14:paraId="22C7A467" w14:textId="77777777" w:rsidR="00DB2B68" w:rsidRDefault="00000000">
      <w:pPr>
        <w:jc w:val="both"/>
      </w:pPr>
      <w:r>
        <w:rPr>
          <w:b/>
        </w:rPr>
        <w:t>(soit)</w:t>
      </w:r>
    </w:p>
    <w:p w14:paraId="5FFAB638" w14:textId="77777777" w:rsidR="00DB2B68" w:rsidRDefault="00000000">
      <w:pPr>
        <w:jc w:val="both"/>
      </w:pPr>
      <w:r>
        <w:rPr>
          <w:rStyle w:val="soitChar"/>
          <w:u w:val="single"/>
        </w:rPr>
        <w:lastRenderedPageBreak/>
        <w:t>1. Mastic élastique élastomère</w:t>
      </w:r>
      <w:r>
        <w:rPr>
          <w:rStyle w:val="soitChar"/>
        </w:rPr>
        <w:t xml:space="preserve"> à une seule composante à base de silicones </w:t>
      </w:r>
      <w:r>
        <w:rPr>
          <w:rStyle w:val="optioncarChar"/>
        </w:rPr>
        <w:t>neutres qui peuvent être peints / acides qui ne peuvent pas être peints</w:t>
      </w:r>
      <w:r>
        <w:rPr>
          <w:rStyle w:val="soitChar"/>
        </w:rPr>
        <w:t>.</w:t>
      </w:r>
    </w:p>
    <w:p w14:paraId="302D6207" w14:textId="77777777" w:rsidR="00DB2B68" w:rsidRDefault="00000000">
      <w:pPr>
        <w:jc w:val="both"/>
      </w:pPr>
      <w:r>
        <w:rPr>
          <w:b/>
        </w:rPr>
        <w:t>(soit)</w:t>
      </w:r>
    </w:p>
    <w:p w14:paraId="58167EA8" w14:textId="77777777" w:rsidR="00DB2B68" w:rsidRDefault="00000000">
      <w:pPr>
        <w:jc w:val="both"/>
      </w:pPr>
      <w:r>
        <w:rPr>
          <w:rStyle w:val="soitChar"/>
        </w:rPr>
        <w:t xml:space="preserve">2. </w:t>
      </w:r>
      <w:r>
        <w:rPr>
          <w:rStyle w:val="soitChar"/>
          <w:u w:val="single"/>
        </w:rPr>
        <w:t>Type F</w:t>
      </w:r>
      <w:r>
        <w:rPr>
          <w:rStyle w:val="soitChar"/>
        </w:rPr>
        <w:t> appartenant selon la [NBN EN ISO 11600], au type F et répondant aux performances suivantes :</w:t>
      </w:r>
    </w:p>
    <w:p w14:paraId="7205E43F" w14:textId="77777777" w:rsidR="00DB2B68" w:rsidRDefault="00000000">
      <w:pPr>
        <w:pStyle w:val="Author-eListParagraph"/>
        <w:numPr>
          <w:ilvl w:val="0"/>
          <w:numId w:val="672"/>
        </w:numPr>
        <w:jc w:val="both"/>
      </w:pPr>
      <w:r>
        <w:rPr>
          <w:rStyle w:val="soitChar"/>
        </w:rPr>
        <w:t xml:space="preserve">Classe : </w:t>
      </w:r>
      <w:r>
        <w:rPr>
          <w:rStyle w:val="optioncarChar"/>
        </w:rPr>
        <w:t>25</w:t>
      </w:r>
      <w:r>
        <w:t xml:space="preserve"> (par défaut)</w:t>
      </w:r>
      <w:r>
        <w:rPr>
          <w:rStyle w:val="optioncarChar"/>
        </w:rPr>
        <w:t xml:space="preserve"> / 20 / 12,5 / 7.A</w:t>
      </w:r>
    </w:p>
    <w:p w14:paraId="67123055" w14:textId="77777777" w:rsidR="00DB2B68" w:rsidRDefault="00000000">
      <w:pPr>
        <w:pStyle w:val="Author-eListParagraph"/>
        <w:numPr>
          <w:ilvl w:val="0"/>
          <w:numId w:val="672"/>
        </w:numPr>
        <w:jc w:val="both"/>
      </w:pPr>
      <w:r>
        <w:rPr>
          <w:rStyle w:val="soitChar"/>
        </w:rPr>
        <w:t>Sous-classe :</w:t>
      </w:r>
      <w:r>
        <w:t xml:space="preserve">  </w:t>
      </w:r>
      <w:r>
        <w:rPr>
          <w:rStyle w:val="optioncarChar"/>
        </w:rPr>
        <w:t>LM</w:t>
      </w:r>
      <w:r>
        <w:t xml:space="preserve"> (par défaut) </w:t>
      </w:r>
      <w:r>
        <w:rPr>
          <w:rStyle w:val="optioncarChar"/>
        </w:rPr>
        <w:t>/ HM</w:t>
      </w:r>
    </w:p>
    <w:p w14:paraId="3FD51900" w14:textId="77777777" w:rsidR="00DB2B68" w:rsidRDefault="00000000">
      <w:pPr>
        <w:pStyle w:val="Author-eListParagraph"/>
        <w:numPr>
          <w:ilvl w:val="0"/>
          <w:numId w:val="672"/>
        </w:numPr>
        <w:jc w:val="both"/>
      </w:pPr>
      <w:r>
        <w:rPr>
          <w:rStyle w:val="soitChar"/>
        </w:rPr>
        <w:t xml:space="preserve">Largeur : </w:t>
      </w:r>
      <w:r>
        <w:rPr>
          <w:rStyle w:val="optioncarChar"/>
        </w:rPr>
        <w:t>10</w:t>
      </w:r>
      <w:r>
        <w:t xml:space="preserve"> (par défaut)</w:t>
      </w:r>
      <w:r>
        <w:rPr>
          <w:rStyle w:val="optioncarChar"/>
        </w:rPr>
        <w:t xml:space="preserve"> / 20 / 30 / ***</w:t>
      </w:r>
      <w:r>
        <w:rPr>
          <w:rStyle w:val="soitChar"/>
        </w:rPr>
        <w:t xml:space="preserve"> mm</w:t>
      </w:r>
    </w:p>
    <w:p w14:paraId="6D2CF2F5" w14:textId="77777777" w:rsidR="00DB2B68" w:rsidRDefault="00000000">
      <w:pPr>
        <w:pStyle w:val="pheading"/>
      </w:pPr>
      <w:r>
        <w:t>- Finitions</w:t>
      </w:r>
    </w:p>
    <w:p w14:paraId="707198A9" w14:textId="77777777" w:rsidR="00DB2B68" w:rsidRDefault="00000000">
      <w:pPr>
        <w:jc w:val="both"/>
      </w:pPr>
      <w:r>
        <w:t xml:space="preserve">Couleur de fond de joint : </w:t>
      </w:r>
      <w:r>
        <w:rPr>
          <w:rStyle w:val="optioncarChar"/>
        </w:rPr>
        <w:t>gris</w:t>
      </w:r>
      <w:r>
        <w:t xml:space="preserve"> (par défaut)</w:t>
      </w:r>
      <w:r>
        <w:rPr>
          <w:rStyle w:val="optioncarChar"/>
        </w:rPr>
        <w:t xml:space="preserve"> / gris anthracite / ***</w:t>
      </w:r>
      <w:r>
        <w:t>.</w:t>
      </w:r>
    </w:p>
    <w:p w14:paraId="50FA8EBE" w14:textId="77777777" w:rsidR="00DB2B68" w:rsidRDefault="00000000">
      <w:pPr>
        <w:jc w:val="both"/>
      </w:pPr>
      <w:r>
        <w:t xml:space="preserve">Couleur de joint de remplissage : </w:t>
      </w:r>
      <w:r>
        <w:rPr>
          <w:rStyle w:val="optioncarChar"/>
        </w:rPr>
        <w:t>à déterminer en cours d'exécution</w:t>
      </w:r>
      <w:r>
        <w:t xml:space="preserve"> (par défaut)</w:t>
      </w:r>
      <w:r>
        <w:rPr>
          <w:rStyle w:val="optioncarChar"/>
        </w:rPr>
        <w:t xml:space="preserve"> / gris / noir / brun clair / brun foncé / beige / ***</w:t>
      </w:r>
    </w:p>
    <w:p w14:paraId="3742F8E6" w14:textId="77777777" w:rsidR="00DB2B68" w:rsidRDefault="00000000">
      <w:pPr>
        <w:pStyle w:val="pheading"/>
      </w:pPr>
      <w:r>
        <w:t>EXÉCUTION / MISE EN ŒUVRE</w:t>
      </w:r>
    </w:p>
    <w:p w14:paraId="1F535C49" w14:textId="77777777" w:rsidR="00DB2B68" w:rsidRDefault="00000000">
      <w:pPr>
        <w:pStyle w:val="pheading"/>
      </w:pPr>
      <w:r>
        <w:t>- Prescriptions générales</w:t>
      </w:r>
    </w:p>
    <w:p w14:paraId="5C080FFE" w14:textId="77777777" w:rsidR="00DB2B68" w:rsidRDefault="00000000">
      <w:pPr>
        <w:jc w:val="both"/>
      </w:pPr>
      <w:r>
        <w:rPr>
          <w:b/>
        </w:rPr>
        <w:t>Joint de remplissage</w:t>
      </w:r>
    </w:p>
    <w:p w14:paraId="3C5A7B4F" w14:textId="77777777" w:rsidR="00DB2B68" w:rsidRDefault="00000000">
      <w:pPr>
        <w:jc w:val="both"/>
      </w:pPr>
      <w:r>
        <w:t>Le remplissage des joints est effectué conformément à la [NIT 124] et conformément aux prescriptions du fabricant.</w:t>
      </w:r>
    </w:p>
    <w:p w14:paraId="76395F16" w14:textId="77777777" w:rsidR="00DB2B68" w:rsidRDefault="00000000">
      <w:pPr>
        <w:pStyle w:val="pheading"/>
      </w:pPr>
      <w:r>
        <w:t>MESURAGE</w:t>
      </w:r>
    </w:p>
    <w:p w14:paraId="1201C395" w14:textId="77777777" w:rsidR="00DB2B68" w:rsidRDefault="00000000">
      <w:pPr>
        <w:pStyle w:val="pheading"/>
      </w:pPr>
      <w:r>
        <w:t>- unité de mesure:</w:t>
      </w:r>
    </w:p>
    <w:p w14:paraId="68B8F6E1" w14:textId="77777777" w:rsidR="00DB2B68" w:rsidRDefault="00000000">
      <w:r>
        <w:t>1.2. m</w:t>
      </w:r>
    </w:p>
    <w:p w14:paraId="1AE40815" w14:textId="77777777" w:rsidR="00DB2B68" w:rsidRDefault="00000000">
      <w:pPr>
        <w:pStyle w:val="pheading"/>
      </w:pPr>
      <w:r>
        <w:t>- code de mesurage:</w:t>
      </w:r>
    </w:p>
    <w:p w14:paraId="3916C826" w14:textId="77777777" w:rsidR="00DB2B68" w:rsidRDefault="00000000">
      <w:r>
        <w:t>1.2. Longueur nette à exécuter ventilée en fonction de la largeur des joints.</w:t>
      </w:r>
    </w:p>
    <w:p w14:paraId="3A092E53" w14:textId="77777777" w:rsidR="00DB2B68" w:rsidRDefault="00000000">
      <w:pPr>
        <w:pStyle w:val="pheading"/>
      </w:pPr>
      <w:r>
        <w:t>- nature du marché:</w:t>
      </w:r>
    </w:p>
    <w:p w14:paraId="0D42FBCC" w14:textId="77777777" w:rsidR="00DB2B68" w:rsidRDefault="00000000">
      <w:r>
        <w:rPr>
          <w:rStyle w:val="optioncarChar"/>
        </w:rPr>
        <w:t xml:space="preserve">QF </w:t>
      </w:r>
      <w:r>
        <w:t xml:space="preserve">(par défaut) </w:t>
      </w:r>
      <w:r>
        <w:rPr>
          <w:rStyle w:val="optioncarChar"/>
        </w:rPr>
        <w:t>/ QP</w:t>
      </w:r>
    </w:p>
    <w:p w14:paraId="5DC28C30" w14:textId="77777777" w:rsidR="00DB2B68" w:rsidRDefault="00000000">
      <w:r>
        <w:rPr>
          <w:b/>
        </w:rPr>
        <w:t>(soit par défaut)</w:t>
      </w:r>
      <w:r>
        <w:br/>
      </w:r>
      <w:r>
        <w:rPr>
          <w:rStyle w:val="soitChar"/>
        </w:rPr>
        <w:t>1. QF</w:t>
      </w:r>
      <w:r>
        <w:br/>
      </w:r>
      <w:r>
        <w:rPr>
          <w:b/>
        </w:rPr>
        <w:t>(soit)</w:t>
      </w:r>
      <w:r>
        <w:br/>
      </w:r>
      <w:r>
        <w:rPr>
          <w:rStyle w:val="soitChar"/>
        </w:rPr>
        <w:t>2. QP</w:t>
      </w:r>
    </w:p>
    <w:p w14:paraId="0B88E76E" w14:textId="77777777" w:rsidR="00DB2B68" w:rsidRDefault="00000000">
      <w:pPr>
        <w:pStyle w:val="pheading"/>
      </w:pPr>
      <w:r>
        <w:t>AIDE</w:t>
      </w:r>
    </w:p>
    <w:p w14:paraId="1E232035" w14:textId="77777777" w:rsidR="00DB2B68" w:rsidRDefault="00000000">
      <w:pPr>
        <w:jc w:val="both"/>
      </w:pPr>
      <w:r>
        <w:t>Largeur de joint en fonction de la classe :</w:t>
      </w:r>
    </w:p>
    <w:p w14:paraId="44976267" w14:textId="77777777" w:rsidR="00DB2B68" w:rsidRDefault="00000000">
      <w:pPr>
        <w:pStyle w:val="Author-eListParagraph"/>
        <w:numPr>
          <w:ilvl w:val="0"/>
          <w:numId w:val="673"/>
        </w:numPr>
        <w:jc w:val="both"/>
      </w:pPr>
      <w:r>
        <w:t>Classe 7,5 : 10 à 20 mm</w:t>
      </w:r>
    </w:p>
    <w:p w14:paraId="7EA6D864" w14:textId="77777777" w:rsidR="00DB2B68" w:rsidRDefault="00000000">
      <w:pPr>
        <w:pStyle w:val="Author-eListParagraph"/>
        <w:numPr>
          <w:ilvl w:val="0"/>
          <w:numId w:val="673"/>
        </w:numPr>
        <w:jc w:val="both"/>
      </w:pPr>
      <w:r>
        <w:t>Classe 12,5 : 6 à 20 mm</w:t>
      </w:r>
    </w:p>
    <w:p w14:paraId="61C85F66" w14:textId="77777777" w:rsidR="00DB2B68" w:rsidRDefault="00000000">
      <w:pPr>
        <w:pStyle w:val="Author-eListParagraph"/>
        <w:numPr>
          <w:ilvl w:val="0"/>
          <w:numId w:val="673"/>
        </w:numPr>
        <w:jc w:val="both"/>
      </w:pPr>
      <w:r>
        <w:t>Classe 20 : 6 à 30 mm</w:t>
      </w:r>
    </w:p>
    <w:p w14:paraId="5F00BB9F" w14:textId="77777777" w:rsidR="00DB2B68" w:rsidRDefault="00000000">
      <w:pPr>
        <w:pStyle w:val="Author-eListParagraph"/>
        <w:numPr>
          <w:ilvl w:val="0"/>
          <w:numId w:val="673"/>
        </w:numPr>
        <w:jc w:val="both"/>
      </w:pPr>
      <w:r>
        <w:t>Classe 25 : 6 à 30 mm</w:t>
      </w:r>
    </w:p>
    <w:p w14:paraId="3A2AAE5C" w14:textId="77777777" w:rsidR="00DB2B68" w:rsidRDefault="00000000">
      <w:pPr>
        <w:pStyle w:val="Author-eSectionHeading4Numberless"/>
      </w:pPr>
      <w:bookmarkStart w:id="1015" w:name="_Toc220496049"/>
      <w:r>
        <w:t>22.64 Etanchéisations de joints CCTB 01.04</w:t>
      </w:r>
      <w:bookmarkEnd w:id="1015"/>
    </w:p>
    <w:p w14:paraId="126FD2F8" w14:textId="77777777" w:rsidR="00DB2B68" w:rsidRDefault="00000000">
      <w:pPr>
        <w:pStyle w:val="pheading"/>
      </w:pPr>
      <w:r>
        <w:t>DESCRIPTION</w:t>
      </w:r>
    </w:p>
    <w:p w14:paraId="66FD3BDF" w14:textId="77777777" w:rsidR="00DB2B68" w:rsidRDefault="00000000">
      <w:pPr>
        <w:pStyle w:val="pheading"/>
      </w:pPr>
      <w:r>
        <w:t>- Définition / Comprend</w:t>
      </w:r>
    </w:p>
    <w:p w14:paraId="1BEEDAAB" w14:textId="77777777" w:rsidR="00DB2B68" w:rsidRDefault="00000000">
      <w:r>
        <w:t xml:space="preserve">Renvoi au § </w:t>
      </w:r>
      <w:hyperlink w:anchor="479" w:history="1">
        <w:r>
          <w:rPr>
            <w:color w:val="0000EE"/>
          </w:rPr>
          <w:t>26 Etanchéisation et isolation</w:t>
        </w:r>
      </w:hyperlink>
    </w:p>
    <w:p w14:paraId="354780E1" w14:textId="77777777" w:rsidR="00DB2B68" w:rsidRDefault="00000000">
      <w:pPr>
        <w:pStyle w:val="Author-eSectionHeading4Numberless"/>
      </w:pPr>
      <w:bookmarkStart w:id="1016" w:name="_Toc220496050"/>
      <w:r>
        <w:t>22.65 Finitions particulières de joints CCTB 01.02</w:t>
      </w:r>
      <w:bookmarkEnd w:id="1016"/>
    </w:p>
    <w:p w14:paraId="1327F868" w14:textId="77777777" w:rsidR="00DB2B68" w:rsidRDefault="00000000">
      <w:pPr>
        <w:pStyle w:val="Author-eSectionHeading3Numberless"/>
      </w:pPr>
      <w:bookmarkStart w:id="1017" w:name="_Toc220496051"/>
      <w:r>
        <w:t>22.7 Traitements CCTB 01.07</w:t>
      </w:r>
      <w:bookmarkEnd w:id="1017"/>
    </w:p>
    <w:p w14:paraId="7F7157E3" w14:textId="77777777" w:rsidR="00DB2B68" w:rsidRDefault="00000000">
      <w:pPr>
        <w:pStyle w:val="Author-eSectionHeading4Numberless"/>
      </w:pPr>
      <w:bookmarkStart w:id="1018" w:name="_Toc220496052"/>
      <w:r>
        <w:lastRenderedPageBreak/>
        <w:t>22.71 Traitements esthétiques ou de surface CCTB 01.02</w:t>
      </w:r>
      <w:bookmarkEnd w:id="1018"/>
    </w:p>
    <w:p w14:paraId="3A45A2D1" w14:textId="77777777" w:rsidR="00DB2B68" w:rsidRDefault="00000000">
      <w:pPr>
        <w:pStyle w:val="Author-eSectionHeading5Numberless"/>
      </w:pPr>
      <w:bookmarkStart w:id="1019" w:name="486"/>
      <w:bookmarkStart w:id="1020" w:name="_Toc220496053"/>
      <w:bookmarkEnd w:id="1019"/>
      <w:r>
        <w:t>22.71.1 Traitements de surface sélectifs CCTB 01.02</w:t>
      </w:r>
      <w:bookmarkEnd w:id="1020"/>
    </w:p>
    <w:p w14:paraId="1C83EF70" w14:textId="77777777" w:rsidR="00DB2B68" w:rsidRDefault="00000000">
      <w:pPr>
        <w:pStyle w:val="Author-eSectionHeading6Numberless"/>
      </w:pPr>
      <w:bookmarkStart w:id="1021" w:name="_Toc220496054"/>
      <w:r>
        <w:t>22.71.1a Lavages à l'eau de structures en béton CCTB 01.07</w:t>
      </w:r>
      <w:bookmarkEnd w:id="1021"/>
    </w:p>
    <w:p w14:paraId="0C85686B" w14:textId="77777777" w:rsidR="00DB2B68" w:rsidRDefault="00000000">
      <w:pPr>
        <w:pStyle w:val="pheading"/>
      </w:pPr>
      <w:r>
        <w:t>DESCRIPTION</w:t>
      </w:r>
    </w:p>
    <w:p w14:paraId="75038458" w14:textId="77777777" w:rsidR="00DB2B68" w:rsidRDefault="00000000">
      <w:pPr>
        <w:pStyle w:val="pheading"/>
      </w:pPr>
      <w:r>
        <w:t>- Définition / Comprend</w:t>
      </w:r>
    </w:p>
    <w:p w14:paraId="22F91C02" w14:textId="77777777" w:rsidR="00DB2B68" w:rsidRDefault="00000000">
      <w:r>
        <w:t>La peau de ciment de la surface de béton est rincée à l’eau, faisant apparaître les granulats. Le lavage s’effectue soit au début de la prise, soit après celle-ci, en empêchant l’hydratation du ciment à la surface au moyen d’un désactivant ou en la retardant au moyen d’un papier ou d’une pâte ou de démoulants retardateurs.</w:t>
      </w:r>
    </w:p>
    <w:p w14:paraId="49B42BE7" w14:textId="77777777" w:rsidR="00DB2B68" w:rsidRDefault="00000000">
      <w:pPr>
        <w:pStyle w:val="pheading"/>
      </w:pPr>
      <w:r>
        <w:t>MESURAGE</w:t>
      </w:r>
    </w:p>
    <w:p w14:paraId="20051915" w14:textId="77777777" w:rsidR="00DB2B68" w:rsidRDefault="00000000">
      <w:pPr>
        <w:pStyle w:val="pheading"/>
      </w:pPr>
      <w:r>
        <w:t>- unité de mesure:</w:t>
      </w:r>
    </w:p>
    <w:p w14:paraId="7E9FFE23" w14:textId="77777777" w:rsidR="00DB2B68" w:rsidRDefault="00000000">
      <w:r>
        <w:t>-</w:t>
      </w:r>
    </w:p>
    <w:p w14:paraId="5AE577CE" w14:textId="77777777" w:rsidR="00DB2B68" w:rsidRDefault="00DB2B68"/>
    <w:p w14:paraId="3031F3AD" w14:textId="77777777" w:rsidR="00DB2B68" w:rsidRDefault="00000000">
      <w:pPr>
        <w:pStyle w:val="pheading"/>
      </w:pPr>
      <w:r>
        <w:t>- nature du marché:</w:t>
      </w:r>
    </w:p>
    <w:p w14:paraId="075E0586" w14:textId="77777777" w:rsidR="00DB2B68" w:rsidRDefault="00000000">
      <w:r>
        <w:t>PM</w:t>
      </w:r>
    </w:p>
    <w:p w14:paraId="3D0698B5" w14:textId="77777777" w:rsidR="00DB2B68" w:rsidRDefault="00DB2B68"/>
    <w:p w14:paraId="411D25FB" w14:textId="77777777" w:rsidR="00DB2B68" w:rsidRDefault="00000000">
      <w:pPr>
        <w:pStyle w:val="Author-eSectionHeading6Numberless"/>
      </w:pPr>
      <w:bookmarkStart w:id="1022" w:name="_Toc220496055"/>
      <w:r>
        <w:t>22.71.1b Brossages de structures en béton CCTB 01.07</w:t>
      </w:r>
      <w:bookmarkEnd w:id="1022"/>
    </w:p>
    <w:p w14:paraId="1646D9F0" w14:textId="77777777" w:rsidR="00DB2B68" w:rsidRDefault="00000000">
      <w:pPr>
        <w:pStyle w:val="pheading"/>
      </w:pPr>
      <w:r>
        <w:t>DESCRIPTION</w:t>
      </w:r>
    </w:p>
    <w:p w14:paraId="3723982A" w14:textId="77777777" w:rsidR="00DB2B68" w:rsidRDefault="00000000">
      <w:pPr>
        <w:pStyle w:val="pheading"/>
      </w:pPr>
      <w:r>
        <w:t>- Définition / Comprend</w:t>
      </w:r>
    </w:p>
    <w:p w14:paraId="6B916423" w14:textId="77777777" w:rsidR="00DB2B68" w:rsidRDefault="00000000">
      <w:r>
        <w:t>La peau de ciment de la surface de béton est éliminée par brossage au moyen d'une brosse non métallique à poils durs, avec ou sans eau. Le brossage s'effectue soit au début de la prise, soit après celle-ci en empêchant l'hydratation du ciment à la surface au moyen d'un désactivant ou en la retardant au moyen d'un papier ou d'une pâte retardateur ou de démoulants retardateurs.</w:t>
      </w:r>
    </w:p>
    <w:p w14:paraId="43BB8D99" w14:textId="77777777" w:rsidR="00DB2B68" w:rsidRDefault="00000000">
      <w:pPr>
        <w:pStyle w:val="pheading"/>
      </w:pPr>
      <w:r>
        <w:t>MESURAGE</w:t>
      </w:r>
    </w:p>
    <w:p w14:paraId="0D33FC3A" w14:textId="77777777" w:rsidR="00DB2B68" w:rsidRDefault="00000000">
      <w:pPr>
        <w:pStyle w:val="pheading"/>
      </w:pPr>
      <w:r>
        <w:t>- unité de mesure:</w:t>
      </w:r>
    </w:p>
    <w:p w14:paraId="1E600827" w14:textId="77777777" w:rsidR="00DB2B68" w:rsidRDefault="00000000">
      <w:r>
        <w:t>-</w:t>
      </w:r>
    </w:p>
    <w:p w14:paraId="652573CB" w14:textId="77777777" w:rsidR="00DB2B68" w:rsidRDefault="00DB2B68"/>
    <w:p w14:paraId="68D8125A" w14:textId="77777777" w:rsidR="00DB2B68" w:rsidRDefault="00000000">
      <w:pPr>
        <w:pStyle w:val="pheading"/>
      </w:pPr>
      <w:r>
        <w:t>- nature du marché:</w:t>
      </w:r>
    </w:p>
    <w:p w14:paraId="4444FE35" w14:textId="77777777" w:rsidR="00DB2B68" w:rsidRDefault="00000000">
      <w:r>
        <w:t>PM</w:t>
      </w:r>
    </w:p>
    <w:p w14:paraId="25D9063B" w14:textId="77777777" w:rsidR="00DB2B68" w:rsidRDefault="00DB2B68"/>
    <w:p w14:paraId="11D0CA25" w14:textId="77777777" w:rsidR="00DB2B68" w:rsidRDefault="00000000">
      <w:pPr>
        <w:pStyle w:val="Author-eSectionHeading6Numberless"/>
      </w:pPr>
      <w:bookmarkStart w:id="1023" w:name="_Toc220496056"/>
      <w:r>
        <w:t>22.71.1c Lavages à l'acide de structures en béton CCTB 01.07</w:t>
      </w:r>
      <w:bookmarkEnd w:id="1023"/>
    </w:p>
    <w:p w14:paraId="11E7B693" w14:textId="77777777" w:rsidR="00DB2B68" w:rsidRDefault="00000000">
      <w:pPr>
        <w:pStyle w:val="pheading"/>
      </w:pPr>
      <w:r>
        <w:t>DESCRIPTION</w:t>
      </w:r>
    </w:p>
    <w:p w14:paraId="0153E3AC" w14:textId="77777777" w:rsidR="00DB2B68" w:rsidRDefault="00000000">
      <w:pPr>
        <w:pStyle w:val="pheading"/>
      </w:pPr>
      <w:r>
        <w:t>- Définition / Comprend</w:t>
      </w:r>
    </w:p>
    <w:p w14:paraId="0A51EECA" w14:textId="77777777" w:rsidR="00DB2B68" w:rsidRDefault="00000000">
      <w:r>
        <w:t>On parle aussi de béton décapé, désactivé ou trempé.</w:t>
      </w:r>
    </w:p>
    <w:p w14:paraId="044282CB" w14:textId="77777777" w:rsidR="00DB2B68" w:rsidRDefault="00000000">
      <w:r>
        <w:t>La peau de ciment de la surface de béton durci est éliminée par lavage ou par immersion dans un acide, qui a été dilué en fonction de la profondeur d’action souhaitée. La surface traitée est ensuite entièrement rincée à l’eau. Le traitement rend les granulats plus ou moins apparents et la structure de la surface devient plus sableuse.</w:t>
      </w:r>
    </w:p>
    <w:p w14:paraId="06A068B3" w14:textId="77777777" w:rsidR="00DB2B68" w:rsidRDefault="00000000">
      <w:pPr>
        <w:pStyle w:val="pheading"/>
      </w:pPr>
      <w:r>
        <w:t>MESURAGE</w:t>
      </w:r>
    </w:p>
    <w:p w14:paraId="52DD46AC" w14:textId="77777777" w:rsidR="00DB2B68" w:rsidRDefault="00000000">
      <w:pPr>
        <w:pStyle w:val="pheading"/>
      </w:pPr>
      <w:r>
        <w:lastRenderedPageBreak/>
        <w:t>- unité de mesure:</w:t>
      </w:r>
    </w:p>
    <w:p w14:paraId="0DED1A0E" w14:textId="77777777" w:rsidR="00DB2B68" w:rsidRDefault="00000000">
      <w:r>
        <w:t>-</w:t>
      </w:r>
    </w:p>
    <w:p w14:paraId="5C0D338C" w14:textId="77777777" w:rsidR="00DB2B68" w:rsidRDefault="00DB2B68"/>
    <w:p w14:paraId="017F5F00" w14:textId="77777777" w:rsidR="00DB2B68" w:rsidRDefault="00000000">
      <w:pPr>
        <w:pStyle w:val="pheading"/>
      </w:pPr>
      <w:r>
        <w:t>- nature du marché:</w:t>
      </w:r>
    </w:p>
    <w:p w14:paraId="0E6C2E03" w14:textId="77777777" w:rsidR="00DB2B68" w:rsidRDefault="00000000">
      <w:r>
        <w:t>PM</w:t>
      </w:r>
    </w:p>
    <w:p w14:paraId="672DE69B" w14:textId="77777777" w:rsidR="00DB2B68" w:rsidRDefault="00DB2B68"/>
    <w:p w14:paraId="66F4B284" w14:textId="77777777" w:rsidR="00DB2B68" w:rsidRDefault="00000000">
      <w:pPr>
        <w:pStyle w:val="Author-eSectionHeading5Numberless"/>
      </w:pPr>
      <w:bookmarkStart w:id="1024" w:name="_Toc220496057"/>
      <w:r>
        <w:t>22.71.2 Traitements intégraux de surface CCTB 01.04</w:t>
      </w:r>
      <w:bookmarkEnd w:id="1024"/>
    </w:p>
    <w:p w14:paraId="5471712E" w14:textId="77777777" w:rsidR="00DB2B68" w:rsidRDefault="00000000">
      <w:pPr>
        <w:pStyle w:val="Author-eSectionHeading6Numberless"/>
      </w:pPr>
      <w:bookmarkStart w:id="1025" w:name="_Toc220496058"/>
      <w:r>
        <w:t>22.71.2a Bouchardages de structures en béton CCTB 01.07</w:t>
      </w:r>
      <w:bookmarkEnd w:id="1025"/>
    </w:p>
    <w:p w14:paraId="1F0FDBE3" w14:textId="77777777" w:rsidR="00DB2B68" w:rsidRDefault="00000000">
      <w:pPr>
        <w:pStyle w:val="pheading"/>
      </w:pPr>
      <w:r>
        <w:t>DESCRIPTION</w:t>
      </w:r>
    </w:p>
    <w:p w14:paraId="3E7355B4" w14:textId="77777777" w:rsidR="00DB2B68" w:rsidRDefault="00000000">
      <w:pPr>
        <w:pStyle w:val="pheading"/>
      </w:pPr>
      <w:r>
        <w:t>- Définition / Comprend</w:t>
      </w:r>
    </w:p>
    <w:p w14:paraId="69ABA3BE" w14:textId="77777777" w:rsidR="00DB2B68" w:rsidRDefault="00000000">
      <w:r>
        <w:t>La surface de béton durci est bouchardée manuellement ou pneumatiquement au moyen d’une boucharde dont la distance entre les dents a été choisie en fonction de l’aspect souhaité.</w:t>
      </w:r>
    </w:p>
    <w:p w14:paraId="78B5A98E" w14:textId="77777777" w:rsidR="00DB2B68" w:rsidRDefault="00000000">
      <w:pPr>
        <w:pStyle w:val="pheading"/>
      </w:pPr>
      <w:r>
        <w:t>MESURAGE</w:t>
      </w:r>
    </w:p>
    <w:p w14:paraId="6C369E40" w14:textId="77777777" w:rsidR="00DB2B68" w:rsidRDefault="00000000">
      <w:pPr>
        <w:pStyle w:val="pheading"/>
      </w:pPr>
      <w:r>
        <w:t>- unité de mesure:</w:t>
      </w:r>
    </w:p>
    <w:p w14:paraId="0661EC39" w14:textId="77777777" w:rsidR="00DB2B68" w:rsidRDefault="00000000">
      <w:r>
        <w:t>-</w:t>
      </w:r>
    </w:p>
    <w:p w14:paraId="75AFFAA1" w14:textId="77777777" w:rsidR="00DB2B68" w:rsidRDefault="00DB2B68"/>
    <w:p w14:paraId="7B2EEDF8" w14:textId="77777777" w:rsidR="00DB2B68" w:rsidRDefault="00000000">
      <w:pPr>
        <w:pStyle w:val="pheading"/>
      </w:pPr>
      <w:r>
        <w:t>- nature du marché:</w:t>
      </w:r>
    </w:p>
    <w:p w14:paraId="526C2A1F" w14:textId="77777777" w:rsidR="00DB2B68" w:rsidRDefault="00000000">
      <w:r>
        <w:t>PM</w:t>
      </w:r>
    </w:p>
    <w:p w14:paraId="1A98B7D0" w14:textId="77777777" w:rsidR="00DB2B68" w:rsidRDefault="00DB2B68"/>
    <w:p w14:paraId="6FD06427" w14:textId="77777777" w:rsidR="00DB2B68" w:rsidRDefault="00000000">
      <w:pPr>
        <w:pStyle w:val="Author-eSectionHeading6Numberless"/>
      </w:pPr>
      <w:bookmarkStart w:id="1026" w:name="_Toc220496059"/>
      <w:r>
        <w:t>22.71.2b Grenaillages de structures en béton CCTB 01.13</w:t>
      </w:r>
      <w:bookmarkEnd w:id="1026"/>
    </w:p>
    <w:p w14:paraId="289F11D9" w14:textId="77777777" w:rsidR="00DB2B68" w:rsidRDefault="00000000">
      <w:pPr>
        <w:pStyle w:val="pheading"/>
      </w:pPr>
      <w:bookmarkStart w:id="1027" w:name="547"/>
      <w:bookmarkEnd w:id="1027"/>
      <w:r>
        <w:t>DESCRIPTION</w:t>
      </w:r>
    </w:p>
    <w:p w14:paraId="797C7809" w14:textId="77777777" w:rsidR="00DB2B68" w:rsidRDefault="00000000">
      <w:pPr>
        <w:pStyle w:val="pheading"/>
      </w:pPr>
      <w:r>
        <w:t>- Définition / Comprend</w:t>
      </w:r>
    </w:p>
    <w:p w14:paraId="3715F90A" w14:textId="77777777" w:rsidR="00DB2B68" w:rsidRDefault="00000000">
      <w:r>
        <w:t>La peau de ciment de la surface de béton durci est éliminée par grenaillage rendant les granulats plus ou moins apparents. Ce traitement confère une légère rugosité aux granulats.</w:t>
      </w:r>
    </w:p>
    <w:p w14:paraId="60FFD391" w14:textId="77777777" w:rsidR="00DB2B68" w:rsidRDefault="00000000">
      <w:pPr>
        <w:pStyle w:val="pheading"/>
      </w:pPr>
      <w:r>
        <w:t>EXÉCUTION / MISE EN ŒUVRE</w:t>
      </w:r>
    </w:p>
    <w:p w14:paraId="516440D5" w14:textId="77777777" w:rsidR="00DB2B68" w:rsidRDefault="00000000">
      <w:pPr>
        <w:pStyle w:val="pheading"/>
      </w:pPr>
      <w:r>
        <w:t>- Prescriptions générales</w:t>
      </w:r>
    </w:p>
    <w:p w14:paraId="0E181F72" w14:textId="77777777" w:rsidR="00DB2B68" w:rsidRDefault="00000000">
      <w:r>
        <w:rPr>
          <w:u w:val="single"/>
        </w:rPr>
        <w:t>Mise en garde</w:t>
      </w:r>
    </w:p>
    <w:p w14:paraId="4E7B19C0" w14:textId="77777777" w:rsidR="00DB2B68" w:rsidRDefault="00000000">
      <w:r>
        <w:t>Plus les abrasifs contiennent de quartz libre (dioxyde de silicium), plus l’inhalation de la poussière dégagée risque d‘entraîner des troubles respiratoires ou des maladies pulmonaires.</w:t>
      </w:r>
    </w:p>
    <w:p w14:paraId="6397C393" w14:textId="77777777" w:rsidR="00DB2B68" w:rsidRDefault="00000000">
      <w:r>
        <w:t>Le sable a été souvent utilisé comme matériau abrasif pour le nettoyage des surfaces. Depuis 2002, l'article 37 de l' [AR 2002-03-11, Arrêté royal relatif à la protection de la santé et de la sécurité des travailleurs contre les risques liés à des agents chimiques sur le lieu de travail] interdit l'usage de ce matériau. Il fixe une teneur maximale en silice libre à un 1 % pour le sable ou autres grains.</w:t>
      </w:r>
    </w:p>
    <w:p w14:paraId="5036BCA9" w14:textId="77777777" w:rsidR="00DB2B68" w:rsidRDefault="00000000">
      <w:pPr>
        <w:pStyle w:val="Author-eListParagraph"/>
        <w:numPr>
          <w:ilvl w:val="0"/>
          <w:numId w:val="674"/>
        </w:numPr>
      </w:pPr>
      <w:r>
        <w:t>Cet article 37 est repris dans le Livre VI, titre 1er, article 35 du [CODE 2017-04-28, Code du bien-être au travail (2017)]. </w:t>
      </w:r>
    </w:p>
    <w:p w14:paraId="5EF08C90" w14:textId="77777777" w:rsidR="00DB2B68" w:rsidRDefault="00000000">
      <w:pPr>
        <w:pStyle w:val="Author-eListParagraph"/>
        <w:numPr>
          <w:ilvl w:val="0"/>
          <w:numId w:val="674"/>
        </w:numPr>
      </w:pPr>
      <w:r>
        <w:t>Voir aussi [Buildwise Innovation paper Monographie 02.3, Guide pour la restauration des maçonneries. 3ème partie : nettoyage de façade]</w:t>
      </w:r>
    </w:p>
    <w:p w14:paraId="4D4D631A" w14:textId="77777777" w:rsidR="00DB2B68" w:rsidRDefault="00000000">
      <w:r>
        <w:t>La plupart des sables courants (sable de Mol, par exemple) contiennent beaucoup de quartz. D’autres abrasifs n’en contiennent quasiment pas : l’olivine, le verre concassé, le basalte, la dolomie, le calcite, … contiennent moins de 1 % de dioxyde de silice libre.</w:t>
      </w:r>
    </w:p>
    <w:p w14:paraId="2CDFC0C7" w14:textId="77777777" w:rsidR="00DB2B68" w:rsidRDefault="00000000">
      <w:r>
        <w:rPr>
          <w:b/>
        </w:rPr>
        <w:lastRenderedPageBreak/>
        <w:t>Il convient d'utiliser le vocable "grenaillage" plutôt que « sablage »</w:t>
      </w:r>
      <w:r>
        <w:t xml:space="preserve"> : il s’agit bien de nettoyage par jet / projection à l’aide de particules abrasives.</w:t>
      </w:r>
    </w:p>
    <w:p w14:paraId="1EF34E17" w14:textId="77777777" w:rsidR="00DB2B68" w:rsidRDefault="00000000">
      <w:pPr>
        <w:pStyle w:val="pheading"/>
      </w:pPr>
      <w:r>
        <w:t>MESURAGE</w:t>
      </w:r>
    </w:p>
    <w:p w14:paraId="770779E1" w14:textId="77777777" w:rsidR="00DB2B68" w:rsidRDefault="00000000">
      <w:pPr>
        <w:pStyle w:val="pheading"/>
      </w:pPr>
      <w:r>
        <w:t>- unité de mesure:</w:t>
      </w:r>
    </w:p>
    <w:p w14:paraId="74DBAF69" w14:textId="77777777" w:rsidR="00DB2B68" w:rsidRDefault="00000000">
      <w:r>
        <w:t>-</w:t>
      </w:r>
    </w:p>
    <w:p w14:paraId="2AE546F5" w14:textId="77777777" w:rsidR="00DB2B68" w:rsidRDefault="00000000">
      <w:pPr>
        <w:pStyle w:val="pheading"/>
      </w:pPr>
      <w:r>
        <w:t>- nature du marché:</w:t>
      </w:r>
    </w:p>
    <w:p w14:paraId="38DFE990" w14:textId="77777777" w:rsidR="00DB2B68" w:rsidRDefault="00000000">
      <w:r>
        <w:t>PM</w:t>
      </w:r>
    </w:p>
    <w:p w14:paraId="01101AE0" w14:textId="77777777" w:rsidR="00DB2B68" w:rsidRDefault="00000000">
      <w:pPr>
        <w:pStyle w:val="Author-eSectionHeading6Numberless"/>
      </w:pPr>
      <w:bookmarkStart w:id="1028" w:name="_Toc220496060"/>
      <w:r>
        <w:t>22.71.2c Flammages de structures en béton CCTB 01.07</w:t>
      </w:r>
      <w:bookmarkEnd w:id="1028"/>
    </w:p>
    <w:p w14:paraId="61E3A384" w14:textId="77777777" w:rsidR="00DB2B68" w:rsidRDefault="00000000">
      <w:pPr>
        <w:pStyle w:val="pheading"/>
      </w:pPr>
      <w:r>
        <w:t>DESCRIPTION</w:t>
      </w:r>
    </w:p>
    <w:p w14:paraId="7504FC3B" w14:textId="77777777" w:rsidR="00DB2B68" w:rsidRDefault="00000000">
      <w:pPr>
        <w:pStyle w:val="pheading"/>
      </w:pPr>
      <w:r>
        <w:t>- Définition / Comprend</w:t>
      </w:r>
    </w:p>
    <w:p w14:paraId="5B4D63B6" w14:textId="77777777" w:rsidR="00DB2B68" w:rsidRDefault="00000000">
      <w:r>
        <w:t>La peau de ciment de la surface de béton durci est éliminée par flammage, rendant les granulats plus ou moins apparents. Ce traitement confère une légère rugosité aux granulats.</w:t>
      </w:r>
    </w:p>
    <w:p w14:paraId="42F715C2" w14:textId="77777777" w:rsidR="00DB2B68" w:rsidRDefault="00000000">
      <w:pPr>
        <w:pStyle w:val="pheading"/>
      </w:pPr>
      <w:r>
        <w:t>MESURAGE</w:t>
      </w:r>
    </w:p>
    <w:p w14:paraId="1C0A88BF" w14:textId="77777777" w:rsidR="00DB2B68" w:rsidRDefault="00000000">
      <w:pPr>
        <w:pStyle w:val="pheading"/>
      </w:pPr>
      <w:r>
        <w:t>- unité de mesure:</w:t>
      </w:r>
    </w:p>
    <w:p w14:paraId="5B2CD5FC" w14:textId="77777777" w:rsidR="00DB2B68" w:rsidRDefault="00000000">
      <w:r>
        <w:t>-</w:t>
      </w:r>
    </w:p>
    <w:p w14:paraId="621A1324" w14:textId="77777777" w:rsidR="00DB2B68" w:rsidRDefault="00DB2B68"/>
    <w:p w14:paraId="1D5D29D1" w14:textId="77777777" w:rsidR="00DB2B68" w:rsidRDefault="00000000">
      <w:pPr>
        <w:pStyle w:val="pheading"/>
      </w:pPr>
      <w:r>
        <w:t>- nature du marché:</w:t>
      </w:r>
    </w:p>
    <w:p w14:paraId="1A19F352" w14:textId="77777777" w:rsidR="00DB2B68" w:rsidRDefault="00000000">
      <w:r>
        <w:t>PM</w:t>
      </w:r>
    </w:p>
    <w:p w14:paraId="709853B3" w14:textId="77777777" w:rsidR="00DB2B68" w:rsidRDefault="00000000">
      <w:pPr>
        <w:pStyle w:val="Author-eSectionHeading6Numberless"/>
      </w:pPr>
      <w:bookmarkStart w:id="1029" w:name="_Toc220496061"/>
      <w:r>
        <w:t>22.71.2d Grésages de structures en béton CCTB 01.07</w:t>
      </w:r>
      <w:bookmarkEnd w:id="1029"/>
    </w:p>
    <w:p w14:paraId="1ECFDBBC" w14:textId="77777777" w:rsidR="00DB2B68" w:rsidRDefault="00000000">
      <w:pPr>
        <w:pStyle w:val="pheading"/>
      </w:pPr>
      <w:r>
        <w:t>DESCRIPTION</w:t>
      </w:r>
    </w:p>
    <w:p w14:paraId="272D8FBE" w14:textId="77777777" w:rsidR="00DB2B68" w:rsidRDefault="00000000">
      <w:pPr>
        <w:pStyle w:val="pheading"/>
      </w:pPr>
      <w:r>
        <w:t>- Définition / Comprend</w:t>
      </w:r>
    </w:p>
    <w:p w14:paraId="19F03AB3" w14:textId="77777777" w:rsidR="00DB2B68" w:rsidRDefault="00000000">
      <w:r>
        <w:t>La peau de ciment de la surface de béton durci est éliminée par grésage à la meule en une passe, rendant les granulats apparents. Ensuite, les cavités les plus grosses dans la surface de béton sont bouche-porées. Les granulats sont visibles à la surface qui est matte et ne brille pas.</w:t>
      </w:r>
    </w:p>
    <w:p w14:paraId="3008B43A" w14:textId="77777777" w:rsidR="00DB2B68" w:rsidRDefault="00000000">
      <w:pPr>
        <w:pStyle w:val="pheading"/>
      </w:pPr>
      <w:r>
        <w:t>MESURAGE</w:t>
      </w:r>
    </w:p>
    <w:p w14:paraId="58F6EEAF" w14:textId="77777777" w:rsidR="00DB2B68" w:rsidRDefault="00000000">
      <w:pPr>
        <w:pStyle w:val="pheading"/>
      </w:pPr>
      <w:r>
        <w:t>- unité de mesure:</w:t>
      </w:r>
    </w:p>
    <w:p w14:paraId="142F92B5" w14:textId="77777777" w:rsidR="00DB2B68" w:rsidRDefault="00000000">
      <w:r>
        <w:t>-</w:t>
      </w:r>
    </w:p>
    <w:p w14:paraId="001BE926" w14:textId="77777777" w:rsidR="00DB2B68" w:rsidRDefault="00DB2B68"/>
    <w:p w14:paraId="49CBFD8B" w14:textId="77777777" w:rsidR="00DB2B68" w:rsidRDefault="00000000">
      <w:pPr>
        <w:pStyle w:val="pheading"/>
      </w:pPr>
      <w:r>
        <w:t>- nature du marché:</w:t>
      </w:r>
    </w:p>
    <w:p w14:paraId="31CA93D1" w14:textId="77777777" w:rsidR="00DB2B68" w:rsidRDefault="00000000">
      <w:r>
        <w:t>PM</w:t>
      </w:r>
    </w:p>
    <w:p w14:paraId="43958461" w14:textId="77777777" w:rsidR="00DB2B68" w:rsidRDefault="00DB2B68"/>
    <w:p w14:paraId="5A0453B4" w14:textId="77777777" w:rsidR="00DB2B68" w:rsidRDefault="00000000">
      <w:pPr>
        <w:pStyle w:val="Author-eSectionHeading6Numberless"/>
      </w:pPr>
      <w:bookmarkStart w:id="1030" w:name="_Toc220496062"/>
      <w:r>
        <w:t>22.71.2e Polissages mats de structures en béton CCTB 01.07</w:t>
      </w:r>
      <w:bookmarkEnd w:id="1030"/>
    </w:p>
    <w:p w14:paraId="730C11C1" w14:textId="77777777" w:rsidR="00DB2B68" w:rsidRDefault="00000000">
      <w:pPr>
        <w:pStyle w:val="pheading"/>
      </w:pPr>
      <w:r>
        <w:t>DESCRIPTION</w:t>
      </w:r>
    </w:p>
    <w:p w14:paraId="31121280" w14:textId="77777777" w:rsidR="00DB2B68" w:rsidRDefault="00000000">
      <w:pPr>
        <w:pStyle w:val="pheading"/>
      </w:pPr>
      <w:r>
        <w:t>- Définition / Comprend</w:t>
      </w:r>
    </w:p>
    <w:p w14:paraId="1D5C75DE" w14:textId="77777777" w:rsidR="00DB2B68" w:rsidRDefault="00000000">
      <w:r>
        <w:t>Au préalable, on élimine 3 mm du matériau et le polissage proprement dit a lieu en plusieurs étapes, permettant d'obtenir une brillance de plus en plus accrue avec une meule de plus en plus fine.</w:t>
      </w:r>
    </w:p>
    <w:p w14:paraId="7F22966B" w14:textId="77777777" w:rsidR="00DB2B68" w:rsidRDefault="00000000">
      <w:r>
        <w:t>La meule la plus fine en cas de polissage mat a un grain de 300.</w:t>
      </w:r>
    </w:p>
    <w:p w14:paraId="6CF17FBA" w14:textId="77777777" w:rsidR="00DB2B68" w:rsidRDefault="00000000">
      <w:pPr>
        <w:pStyle w:val="pheading"/>
      </w:pPr>
      <w:r>
        <w:t>MESURAGE</w:t>
      </w:r>
    </w:p>
    <w:p w14:paraId="07BE0254" w14:textId="77777777" w:rsidR="00DB2B68" w:rsidRDefault="00000000">
      <w:pPr>
        <w:pStyle w:val="pheading"/>
      </w:pPr>
      <w:r>
        <w:lastRenderedPageBreak/>
        <w:t>- unité de mesure:</w:t>
      </w:r>
    </w:p>
    <w:p w14:paraId="1F6BF874" w14:textId="77777777" w:rsidR="00DB2B68" w:rsidRDefault="00000000">
      <w:r>
        <w:t>-</w:t>
      </w:r>
    </w:p>
    <w:p w14:paraId="0C274CDD" w14:textId="77777777" w:rsidR="00DB2B68" w:rsidRDefault="00DB2B68"/>
    <w:p w14:paraId="5ABC8224" w14:textId="77777777" w:rsidR="00DB2B68" w:rsidRDefault="00000000">
      <w:pPr>
        <w:pStyle w:val="pheading"/>
      </w:pPr>
      <w:r>
        <w:t>- nature du marché:</w:t>
      </w:r>
    </w:p>
    <w:p w14:paraId="0CD98057" w14:textId="77777777" w:rsidR="00DB2B68" w:rsidRDefault="00000000">
      <w:r>
        <w:t>PM</w:t>
      </w:r>
    </w:p>
    <w:p w14:paraId="0F1D343E" w14:textId="77777777" w:rsidR="00DB2B68" w:rsidRDefault="00DB2B68"/>
    <w:p w14:paraId="6E69EF8F" w14:textId="77777777" w:rsidR="00DB2B68" w:rsidRDefault="00000000">
      <w:pPr>
        <w:pStyle w:val="Author-eSectionHeading6Numberless"/>
      </w:pPr>
      <w:bookmarkStart w:id="1031" w:name="_Toc220496063"/>
      <w:r>
        <w:t>22.71.2f Polissages brillants de structures en béton CCTB 01.07</w:t>
      </w:r>
      <w:bookmarkEnd w:id="1031"/>
    </w:p>
    <w:p w14:paraId="71183443" w14:textId="77777777" w:rsidR="00DB2B68" w:rsidRDefault="00000000">
      <w:pPr>
        <w:pStyle w:val="pheading"/>
      </w:pPr>
      <w:r>
        <w:t>DESCRIPTION</w:t>
      </w:r>
    </w:p>
    <w:p w14:paraId="4899DD29" w14:textId="77777777" w:rsidR="00DB2B68" w:rsidRDefault="00000000">
      <w:pPr>
        <w:pStyle w:val="pheading"/>
      </w:pPr>
      <w:r>
        <w:t>- Définition / Comprend</w:t>
      </w:r>
    </w:p>
    <w:p w14:paraId="51C63A3F" w14:textId="77777777" w:rsidR="00DB2B68" w:rsidRDefault="00000000">
      <w:r>
        <w:t>Au préalable, on élimine 3 mm du matériau et le polissage proprement dit a lieu en plusieurs étapes, permettant d'obtenir une brillance de plus en plus accrue avec une meule de plus en plus fine.</w:t>
      </w:r>
    </w:p>
    <w:p w14:paraId="3CB5603F" w14:textId="77777777" w:rsidR="00DB2B68" w:rsidRDefault="00000000">
      <w:r>
        <w:t>La meule la plus fine va jusqu'à une finesse de 1800.</w:t>
      </w:r>
    </w:p>
    <w:p w14:paraId="153A372B" w14:textId="77777777" w:rsidR="00DB2B68" w:rsidRDefault="00000000">
      <w:pPr>
        <w:pStyle w:val="pheading"/>
      </w:pPr>
      <w:r>
        <w:t>MESURAGE</w:t>
      </w:r>
    </w:p>
    <w:p w14:paraId="75631DC5" w14:textId="77777777" w:rsidR="00DB2B68" w:rsidRDefault="00000000">
      <w:pPr>
        <w:pStyle w:val="pheading"/>
      </w:pPr>
      <w:r>
        <w:t>- unité de mesure:</w:t>
      </w:r>
    </w:p>
    <w:p w14:paraId="767A14C3" w14:textId="77777777" w:rsidR="00DB2B68" w:rsidRDefault="00000000">
      <w:r>
        <w:t>-</w:t>
      </w:r>
    </w:p>
    <w:p w14:paraId="447B62F8" w14:textId="77777777" w:rsidR="00DB2B68" w:rsidRDefault="00DB2B68"/>
    <w:p w14:paraId="4C908DBF" w14:textId="77777777" w:rsidR="00DB2B68" w:rsidRDefault="00000000">
      <w:pPr>
        <w:pStyle w:val="pheading"/>
      </w:pPr>
      <w:r>
        <w:t>- nature du marché:</w:t>
      </w:r>
    </w:p>
    <w:p w14:paraId="609AC76E" w14:textId="77777777" w:rsidR="00DB2B68" w:rsidRDefault="00000000">
      <w:r>
        <w:t>PM</w:t>
      </w:r>
    </w:p>
    <w:p w14:paraId="2CE1A825" w14:textId="77777777" w:rsidR="00DB2B68" w:rsidRDefault="00DB2B68"/>
    <w:p w14:paraId="67FC5D78" w14:textId="77777777" w:rsidR="00DB2B68" w:rsidRDefault="00000000">
      <w:pPr>
        <w:pStyle w:val="Author-eSectionHeading4Numberless"/>
      </w:pPr>
      <w:bookmarkStart w:id="1032" w:name="_Toc220496064"/>
      <w:r>
        <w:t>22.72 Produits de cure et adjuvants CCTB 01.11</w:t>
      </w:r>
      <w:bookmarkEnd w:id="1032"/>
    </w:p>
    <w:p w14:paraId="579AB01D" w14:textId="77777777" w:rsidR="00DB2B68" w:rsidRDefault="00000000">
      <w:pPr>
        <w:pStyle w:val="pheading"/>
      </w:pPr>
      <w:bookmarkStart w:id="1033" w:name="546"/>
      <w:bookmarkEnd w:id="1033"/>
      <w:r>
        <w:t>MATÉRIAUX</w:t>
      </w:r>
    </w:p>
    <w:p w14:paraId="64633B79" w14:textId="77777777" w:rsidR="00DB2B68" w:rsidRDefault="00000000">
      <w:r>
        <w:t>Le béton frais doit être protégé contre la dessiccation au moyen d’un produit de cure. L’efficacité du produit de cure a été évaluée sur base du [PTV 501].</w:t>
      </w:r>
    </w:p>
    <w:p w14:paraId="4DED8339" w14:textId="77777777" w:rsidR="00DB2B68" w:rsidRDefault="00000000">
      <w:r>
        <w:t>Les adjuvants sont conformes aux normes [NBN EN 934-1] et [NBN EN 934-2+A1] et au [TRA 500 série]</w:t>
      </w:r>
    </w:p>
    <w:p w14:paraId="2BCFFB9F" w14:textId="77777777" w:rsidR="00DB2B68" w:rsidRDefault="00000000">
      <w:r>
        <w:t>Le système est à soumettre pour approbation à l'auteur de projet.</w:t>
      </w:r>
    </w:p>
    <w:p w14:paraId="64F4DB66" w14:textId="77777777" w:rsidR="00DB2B68" w:rsidRDefault="00000000">
      <w:pPr>
        <w:pStyle w:val="Author-eSectionHeading5Numberless"/>
      </w:pPr>
      <w:bookmarkStart w:id="1034" w:name="_Toc220496065"/>
      <w:r>
        <w:t>22.72.1 Produits de cure CCTB 01.02</w:t>
      </w:r>
      <w:bookmarkEnd w:id="1034"/>
    </w:p>
    <w:p w14:paraId="2091D3B0" w14:textId="77777777" w:rsidR="00DB2B68" w:rsidRDefault="00000000">
      <w:pPr>
        <w:pStyle w:val="Author-eSectionHeading6Numberless"/>
      </w:pPr>
      <w:bookmarkStart w:id="1035" w:name="_Toc220496066"/>
      <w:r>
        <w:t>22.72.1a Produits de cure CCTB 01.13</w:t>
      </w:r>
      <w:bookmarkEnd w:id="1035"/>
    </w:p>
    <w:p w14:paraId="1572D58A" w14:textId="77777777" w:rsidR="00DB2B68" w:rsidRDefault="00000000">
      <w:pPr>
        <w:pStyle w:val="pheading"/>
      </w:pPr>
      <w:r>
        <w:t>DESCRIPTION</w:t>
      </w:r>
    </w:p>
    <w:p w14:paraId="7176D75C" w14:textId="77777777" w:rsidR="00DB2B68" w:rsidRDefault="00000000">
      <w:pPr>
        <w:pStyle w:val="pheading"/>
      </w:pPr>
      <w:r>
        <w:t>- Définition / Comprend</w:t>
      </w:r>
    </w:p>
    <w:p w14:paraId="7730E884" w14:textId="77777777" w:rsidR="00DB2B68" w:rsidRDefault="00000000">
      <w:pPr>
        <w:jc w:val="both"/>
      </w:pPr>
      <w:r>
        <w:t>Il s’agit de la fourniture et la mise en œuvre de produits de cure (résines) pulvérisés à la surface du béton et formant un film continu d’une épaisseur suffisante protégeant celui-ci contre la dessiccation.</w:t>
      </w:r>
    </w:p>
    <w:p w14:paraId="2A551926" w14:textId="77777777" w:rsidR="00DB2B68" w:rsidRDefault="00000000">
      <w:pPr>
        <w:pStyle w:val="pheading"/>
      </w:pPr>
      <w:r>
        <w:t>- Localisation</w:t>
      </w:r>
    </w:p>
    <w:p w14:paraId="1DB290C3" w14:textId="77777777" w:rsidR="00DB2B68" w:rsidRDefault="00000000">
      <w:r>
        <w:t xml:space="preserve">Le présent travail est effectué sur les éléments en béton suivants : </w:t>
      </w:r>
      <w:r>
        <w:rPr>
          <w:rStyle w:val="optioncarChar"/>
        </w:rPr>
        <w:t>***</w:t>
      </w:r>
    </w:p>
    <w:p w14:paraId="66684707" w14:textId="77777777" w:rsidR="00DB2B68" w:rsidRDefault="00000000">
      <w:r>
        <w:t>Voir plans et métrés détaillés.</w:t>
      </w:r>
    </w:p>
    <w:p w14:paraId="4979CE9B" w14:textId="77777777" w:rsidR="00DB2B68" w:rsidRDefault="00000000">
      <w:pPr>
        <w:pStyle w:val="pheading"/>
      </w:pPr>
      <w:r>
        <w:t>MATÉRIAUX</w:t>
      </w:r>
    </w:p>
    <w:p w14:paraId="60F7DBD6" w14:textId="77777777" w:rsidR="00DB2B68" w:rsidRDefault="00000000">
      <w:pPr>
        <w:pStyle w:val="pheading"/>
      </w:pPr>
      <w:r>
        <w:t>- Caractéristiques générales</w:t>
      </w:r>
    </w:p>
    <w:p w14:paraId="1FB97E2E" w14:textId="77777777" w:rsidR="00DB2B68" w:rsidRDefault="00000000">
      <w:pPr>
        <w:jc w:val="both"/>
      </w:pPr>
      <w:r>
        <w:lastRenderedPageBreak/>
        <w:t>Le produit doit contenir une charge ou un colorant permettant d’évaluer le degré et l’efficacité de l’épandage.</w:t>
      </w:r>
    </w:p>
    <w:p w14:paraId="2A2A7198" w14:textId="77777777" w:rsidR="00DB2B68" w:rsidRDefault="00000000">
      <w:pPr>
        <w:jc w:val="both"/>
      </w:pPr>
      <w:r>
        <w:t>Il doit être de teinte claire pour réfléchir les rayons solaires et réduire les températures de surface.</w:t>
      </w:r>
    </w:p>
    <w:p w14:paraId="3954A79D" w14:textId="77777777" w:rsidR="00DB2B68" w:rsidRDefault="00000000">
      <w:pPr>
        <w:jc w:val="both"/>
      </w:pPr>
      <w:r>
        <w:t>Il ne peut former de taches ou favoriser l’adhérence de saletés à la surface du béton.</w:t>
      </w:r>
    </w:p>
    <w:p w14:paraId="7FAF123D" w14:textId="77777777" w:rsidR="00DB2B68" w:rsidRDefault="00000000">
      <w:pPr>
        <w:jc w:val="both"/>
      </w:pPr>
      <w:r>
        <w:t>Le produit de cure dispose d’un certificat d’efficacité évaluée conformément au [PTV 501] ou au [CEN/TS 14754-1]. Le coefficient de protection du produit de cure doit être de minimum 75%.</w:t>
      </w:r>
    </w:p>
    <w:p w14:paraId="7A5BB70D" w14:textId="77777777" w:rsidR="00DB2B68" w:rsidRDefault="00000000">
      <w:pPr>
        <w:pStyle w:val="pheading"/>
      </w:pPr>
      <w:r>
        <w:t>- Finitions</w:t>
      </w:r>
    </w:p>
    <w:p w14:paraId="2B8A6888" w14:textId="77777777" w:rsidR="00DB2B68" w:rsidRDefault="00000000">
      <w:pPr>
        <w:jc w:val="both"/>
      </w:pPr>
      <w:r>
        <w:t xml:space="preserve">Teinte du produit lors de la pulvérisation : </w:t>
      </w:r>
      <w:r>
        <w:rPr>
          <w:rStyle w:val="optioncarChar"/>
        </w:rPr>
        <w:t>différente du béton mis en œuvre</w:t>
      </w:r>
      <w:r>
        <w:t xml:space="preserve"> (par défaut) </w:t>
      </w:r>
      <w:r>
        <w:rPr>
          <w:rStyle w:val="optioncarChar"/>
        </w:rPr>
        <w:t>/ ***</w:t>
      </w:r>
    </w:p>
    <w:p w14:paraId="77D8F827" w14:textId="77777777" w:rsidR="00DB2B68" w:rsidRDefault="00000000">
      <w:pPr>
        <w:jc w:val="both"/>
      </w:pPr>
      <w:r>
        <w:t xml:space="preserve">Teinte du produit après séchage : </w:t>
      </w:r>
      <w:r>
        <w:rPr>
          <w:rStyle w:val="optioncarChar"/>
        </w:rPr>
        <w:t>blanche ou métallisée</w:t>
      </w:r>
      <w:r>
        <w:t xml:space="preserve"> (par défaut) </w:t>
      </w:r>
      <w:r>
        <w:rPr>
          <w:rStyle w:val="optioncarChar"/>
        </w:rPr>
        <w:t>/ blanche / métallisée / incolore / teinte différente du béton / ***</w:t>
      </w:r>
    </w:p>
    <w:p w14:paraId="59B4ECB3" w14:textId="77777777" w:rsidR="00DB2B68" w:rsidRDefault="00000000">
      <w:pPr>
        <w:pStyle w:val="pheading"/>
      </w:pPr>
      <w:r>
        <w:t>EXÉCUTION / MISE EN ŒUVRE</w:t>
      </w:r>
    </w:p>
    <w:p w14:paraId="0CE964AC" w14:textId="77777777" w:rsidR="00DB2B68" w:rsidRDefault="00000000">
      <w:pPr>
        <w:pStyle w:val="pheading"/>
      </w:pPr>
      <w:r>
        <w:t>- Prescriptions générales</w:t>
      </w:r>
    </w:p>
    <w:p w14:paraId="70C7E58F" w14:textId="77777777" w:rsidR="00DB2B68" w:rsidRDefault="00000000">
      <w:pPr>
        <w:jc w:val="both"/>
      </w:pPr>
      <w:r>
        <w:t>La quantité de produit de cure à appliquer par pulvérisation est conforme à la fiche technique du produit pour atteindre les performances de cure prévues dans le [PTV 501] ou suite à l’essai repris dans le [CEN/TS 14754-1].  Il est appliqué à la fin du ressuage ou directement après le décoffrage ou la finition du béton.</w:t>
      </w:r>
    </w:p>
    <w:p w14:paraId="3FBE9F4D" w14:textId="77777777" w:rsidR="00DB2B68" w:rsidRDefault="00000000">
      <w:pPr>
        <w:jc w:val="both"/>
      </w:pPr>
      <w:r>
        <w:t>Sauf autorisation expresse de la direction de chantier, il est fait usage d’un équipement automatisé d’épandage pour répartir le produit de manière uniforme.</w:t>
      </w:r>
    </w:p>
    <w:p w14:paraId="0EF22CA9" w14:textId="77777777" w:rsidR="00DB2B68" w:rsidRDefault="00000000">
      <w:pPr>
        <w:jc w:val="both"/>
      </w:pPr>
      <w:r>
        <w:t>La protection contre la dessiccation est maintenue :</w:t>
      </w:r>
    </w:p>
    <w:p w14:paraId="7BA80125" w14:textId="77777777" w:rsidR="00DB2B68" w:rsidRDefault="00000000">
      <w:pPr>
        <w:pStyle w:val="Author-eListParagraph"/>
        <w:numPr>
          <w:ilvl w:val="0"/>
          <w:numId w:val="675"/>
        </w:numPr>
      </w:pPr>
      <w:r>
        <w:t>jusqu’à ce que la résistance minimale du béton ait été atteinte suivant la [NBN EN 13369] dans le cas des éléments préfabriqués</w:t>
      </w:r>
    </w:p>
    <w:p w14:paraId="7740D9A8" w14:textId="77777777" w:rsidR="00DB2B68" w:rsidRDefault="00000000">
      <w:pPr>
        <w:pStyle w:val="Author-eListParagraph"/>
        <w:numPr>
          <w:ilvl w:val="0"/>
          <w:numId w:val="675"/>
        </w:numPr>
      </w:pPr>
      <w:r>
        <w:t>conformément aux exigences des normes [NBN EN 13670]  et [NBN B 15-400] dans le cas des éléments coulés in situ.</w:t>
      </w:r>
    </w:p>
    <w:p w14:paraId="0DEAED8F" w14:textId="77777777" w:rsidR="00DB2B68" w:rsidRDefault="00000000">
      <w:pPr>
        <w:pStyle w:val="pheading"/>
      </w:pPr>
      <w:r>
        <w:t>- Notes d’exécution complémentaires</w:t>
      </w:r>
    </w:p>
    <w:p w14:paraId="08A82D3E" w14:textId="77777777" w:rsidR="00DB2B68" w:rsidRDefault="00000000">
      <w:pPr>
        <w:jc w:val="both"/>
      </w:pPr>
      <w:r>
        <w:rPr>
          <w:rStyle w:val="facultChar"/>
        </w:rPr>
        <w:t>En vue de la pose de finitions et d’en assurer l’adhérence au support béton ou dans le cas d’un béton restant apparent en finale, le produit de cure est enlevé.</w:t>
      </w:r>
    </w:p>
    <w:p w14:paraId="36DC5008" w14:textId="77777777" w:rsidR="00DB2B68" w:rsidRDefault="00000000">
      <w:pPr>
        <w:jc w:val="both"/>
      </w:pPr>
      <w:r>
        <w:rPr>
          <w:rStyle w:val="facultChar"/>
        </w:rPr>
        <w:t>Méthode de suppression du produit de cure : par ponçage / par décapage à l’eau sous pression / par grenaillage.</w:t>
      </w:r>
    </w:p>
    <w:p w14:paraId="3CF718B3" w14:textId="77777777" w:rsidR="00DB2B68" w:rsidRDefault="00000000">
      <w:pPr>
        <w:pStyle w:val="pheading"/>
      </w:pPr>
      <w:r>
        <w:t>DOCUMENTS DE RÉFÉRENCE COMPLÉMENTAIRES</w:t>
      </w:r>
    </w:p>
    <w:p w14:paraId="6E7B640A" w14:textId="77777777" w:rsidR="00DB2B68" w:rsidRDefault="00000000">
      <w:pPr>
        <w:pStyle w:val="pheading"/>
      </w:pPr>
      <w:r>
        <w:t>- Matériau</w:t>
      </w:r>
    </w:p>
    <w:p w14:paraId="0EB9CBBF" w14:textId="77777777" w:rsidR="00DB2B68" w:rsidRDefault="00000000">
      <w:r>
        <w:t>[PTV 501, Produits de cure]</w:t>
      </w:r>
    </w:p>
    <w:p w14:paraId="08CA1876" w14:textId="77777777" w:rsidR="00DB2B68" w:rsidRDefault="00000000">
      <w:r>
        <w:t>[CEN/TS 14754-1, Produits de cure - Méthodes d'essai - Partie 1 : Détermination de l'efficacité de protection des produits de cure courants]</w:t>
      </w:r>
    </w:p>
    <w:p w14:paraId="4C191193" w14:textId="77777777" w:rsidR="00DB2B68" w:rsidRDefault="00000000">
      <w:r>
        <w:t>[NBN EN 13369, Règles communes pour les produits préfabriqués en béton]</w:t>
      </w:r>
    </w:p>
    <w:p w14:paraId="78C422C5" w14:textId="77777777" w:rsidR="00DB2B68" w:rsidRDefault="00000000">
      <w:pPr>
        <w:pStyle w:val="pheading"/>
      </w:pPr>
      <w:r>
        <w:t>- Exécution</w:t>
      </w:r>
    </w:p>
    <w:p w14:paraId="1776CEC3" w14:textId="77777777" w:rsidR="00DB2B68" w:rsidRDefault="00000000">
      <w:r>
        <w:t>[NBN EN 13670, Exécution des structures en béton]</w:t>
      </w:r>
    </w:p>
    <w:p w14:paraId="43E6D798" w14:textId="77777777" w:rsidR="00DB2B68" w:rsidRDefault="00000000">
      <w:r>
        <w:t>[NBN B 15-400, Exécution des structures en béton - Supplément national à la NBN EN 13670:2010]</w:t>
      </w:r>
    </w:p>
    <w:p w14:paraId="09E9CA5F" w14:textId="77777777" w:rsidR="00DB2B68" w:rsidRDefault="00000000">
      <w:pPr>
        <w:pStyle w:val="pheading"/>
      </w:pPr>
      <w:r>
        <w:t>MESURAGE</w:t>
      </w:r>
    </w:p>
    <w:p w14:paraId="6905646B" w14:textId="77777777" w:rsidR="00DB2B68" w:rsidRDefault="00000000">
      <w:pPr>
        <w:pStyle w:val="pheading"/>
      </w:pPr>
      <w:r>
        <w:t>- unité de mesure:</w:t>
      </w:r>
    </w:p>
    <w:p w14:paraId="0EEA48C5" w14:textId="77777777" w:rsidR="00DB2B68" w:rsidRDefault="00000000">
      <w:r>
        <w:t>-</w:t>
      </w:r>
    </w:p>
    <w:p w14:paraId="4CF6769F" w14:textId="77777777" w:rsidR="00DB2B68" w:rsidRDefault="00000000">
      <w:pPr>
        <w:pStyle w:val="pheading"/>
      </w:pPr>
      <w:r>
        <w:t>- code de mesurage:</w:t>
      </w:r>
    </w:p>
    <w:p w14:paraId="26318F6D" w14:textId="77777777" w:rsidR="00DB2B68" w:rsidRDefault="00000000">
      <w:r>
        <w:t>Compris dans le prix de réalisation des bétons.</w:t>
      </w:r>
    </w:p>
    <w:p w14:paraId="5657FE05" w14:textId="77777777" w:rsidR="00DB2B68" w:rsidRDefault="00000000">
      <w:pPr>
        <w:pStyle w:val="pheading"/>
      </w:pPr>
      <w:r>
        <w:lastRenderedPageBreak/>
        <w:t>- nature du marché:</w:t>
      </w:r>
    </w:p>
    <w:p w14:paraId="08B8F337" w14:textId="77777777" w:rsidR="00DB2B68" w:rsidRDefault="00000000">
      <w:r>
        <w:t>PM</w:t>
      </w:r>
    </w:p>
    <w:p w14:paraId="3A573FF3" w14:textId="77777777" w:rsidR="00DB2B68" w:rsidRDefault="00000000">
      <w:pPr>
        <w:pStyle w:val="pheading"/>
      </w:pPr>
      <w:r>
        <w:t>AIDE</w:t>
      </w:r>
    </w:p>
    <w:p w14:paraId="403D253E" w14:textId="77777777" w:rsidR="00DB2B68" w:rsidRDefault="00000000">
      <w:pPr>
        <w:jc w:val="both"/>
      </w:pPr>
      <w:r>
        <w:t>Il existe d’autres techniques de cure comme par exemples laisser le coffrage en place, mettre des bâches plastiques, …  Les durées de cure doivent être conformes aux exigences des normes [NBN EN 13670] et [NBN B 15-400] dans le cas des bétons coulés in situ ou conformes aux exigences de la [NBN EN 13369] dans le cas des éléments préfabriqués.  Ces travaux de protection contre la dessiccation (cure) sont prescrits dans les éléments </w:t>
      </w:r>
      <w:hyperlink w:anchor="532" w:history="1">
        <w:r>
          <w:rPr>
            <w:color w:val="0000EE"/>
          </w:rPr>
          <w:t>22.1 Eléments de structures en béton</w:t>
        </w:r>
      </w:hyperlink>
      <w:r>
        <w:t xml:space="preserve">, </w:t>
      </w:r>
      <w:hyperlink w:anchor="533" w:history="1">
        <w:r>
          <w:rPr>
            <w:color w:val="0000EE"/>
          </w:rPr>
          <w:t>22.2 Ensembles structuraux en béton</w:t>
        </w:r>
      </w:hyperlink>
      <w:r>
        <w:t xml:space="preserve">, </w:t>
      </w:r>
      <w:hyperlink w:anchor="534" w:history="1">
        <w:r>
          <w:rPr>
            <w:color w:val="0000EE"/>
          </w:rPr>
          <w:t>22.3 Eléments et structures secondaires en béton</w:t>
        </w:r>
      </w:hyperlink>
      <w:r>
        <w:t xml:space="preserve"> , </w:t>
      </w:r>
      <w:hyperlink w:anchor="535" w:history="1">
        <w:r>
          <w:rPr>
            <w:color w:val="0000EE"/>
          </w:rPr>
          <w:t>22.83 Réparations / ragréages / rénovations</w:t>
        </w:r>
      </w:hyperlink>
      <w:r>
        <w:t xml:space="preserve"> et </w:t>
      </w:r>
      <w:hyperlink w:anchor="536" w:history="1">
        <w:r>
          <w:rPr>
            <w:color w:val="0000EE"/>
          </w:rPr>
          <w:t>28.21 Revêtements de façade en panneaux préfabriqués en béton</w:t>
        </w:r>
      </w:hyperlink>
      <w:r>
        <w:t>.</w:t>
      </w:r>
    </w:p>
    <w:p w14:paraId="04CA9ECF" w14:textId="77777777" w:rsidR="00DB2B68" w:rsidRDefault="00000000">
      <w:pPr>
        <w:pStyle w:val="Author-eSectionHeading5Numberless"/>
      </w:pPr>
      <w:bookmarkStart w:id="1036" w:name="_Toc220496067"/>
      <w:r>
        <w:t>22.72.2 Adjuvants CCTB 01.07</w:t>
      </w:r>
      <w:bookmarkEnd w:id="1036"/>
    </w:p>
    <w:p w14:paraId="6C3B1229" w14:textId="77777777" w:rsidR="00DB2B68" w:rsidRDefault="00000000">
      <w:pPr>
        <w:pStyle w:val="pheading"/>
      </w:pPr>
      <w:r>
        <w:t>DESCRIPTION</w:t>
      </w:r>
    </w:p>
    <w:p w14:paraId="31349A1E" w14:textId="77777777" w:rsidR="00DB2B68" w:rsidRDefault="00000000">
      <w:pPr>
        <w:pStyle w:val="pheading"/>
      </w:pPr>
      <w:r>
        <w:t>- Définition / Comprend</w:t>
      </w:r>
    </w:p>
    <w:p w14:paraId="4A09480A" w14:textId="77777777" w:rsidR="00DB2B68" w:rsidRDefault="00000000">
      <w:r>
        <w:t>La majorité des adjuvants sont incorporés dans les bétons sous la responsabilité des producteurs de béton. Dans le cas des plastifiants et superplastifiants, il faut mentionner la classe de consistance lors de la spécification des bétons, mais sans préciser leur type et leur quantité.</w:t>
      </w:r>
    </w:p>
    <w:p w14:paraId="611D8AFC" w14:textId="77777777" w:rsidR="00DB2B68" w:rsidRDefault="00000000">
      <w:pPr>
        <w:pStyle w:val="Author-eSectionHeading6Numberless"/>
      </w:pPr>
      <w:bookmarkStart w:id="1037" w:name="_Toc220496068"/>
      <w:r>
        <w:t>22.72.2a Plastifiants réducteurs d'eau CCTB 01.07</w:t>
      </w:r>
      <w:bookmarkEnd w:id="1037"/>
    </w:p>
    <w:p w14:paraId="4569E034" w14:textId="77777777" w:rsidR="00DB2B68" w:rsidRDefault="00000000">
      <w:pPr>
        <w:pStyle w:val="pheading"/>
      </w:pPr>
      <w:r>
        <w:t>DESCRIPTION</w:t>
      </w:r>
    </w:p>
    <w:p w14:paraId="09CB11FF" w14:textId="77777777" w:rsidR="00DB2B68" w:rsidRDefault="00000000">
      <w:pPr>
        <w:pStyle w:val="pheading"/>
      </w:pPr>
      <w:r>
        <w:t>- Définition / Comprend</w:t>
      </w:r>
    </w:p>
    <w:p w14:paraId="4E7E14B7" w14:textId="77777777" w:rsidR="00DB2B68" w:rsidRDefault="00000000">
      <w:pPr>
        <w:jc w:val="both"/>
      </w:pPr>
      <w:r>
        <w:t>L’entreprise comprend la fourniture et l’intégration de plastifiants dans le béton.  Les plastifiants sont des adjuvants réducteurs d’eau à incorporer dans le béton lors du malaxage et permettant d’accroître l’ouvrabilité des bétons ou qui sans modifier l’ouvrabilité permettent de réduire la teneur en eau ou qui produisent les deux effets à la fois.</w:t>
      </w:r>
    </w:p>
    <w:p w14:paraId="55ED8958" w14:textId="77777777" w:rsidR="00DB2B68" w:rsidRDefault="00000000">
      <w:pPr>
        <w:pStyle w:val="pheading"/>
      </w:pPr>
      <w:r>
        <w:t>MATÉRIAUX</w:t>
      </w:r>
    </w:p>
    <w:p w14:paraId="14BADF25" w14:textId="77777777" w:rsidR="00DB2B68" w:rsidRDefault="00000000">
      <w:pPr>
        <w:pStyle w:val="pheading"/>
      </w:pPr>
      <w:r>
        <w:t>- Caractéristiques générales</w:t>
      </w:r>
    </w:p>
    <w:p w14:paraId="600F50AD" w14:textId="77777777" w:rsidR="00DB2B68" w:rsidRDefault="00000000">
      <w:r>
        <w:t>Les plastifiants  doivent être conformes à la [NBN EN 934-2+A1].</w:t>
      </w:r>
    </w:p>
    <w:p w14:paraId="4696EC91" w14:textId="77777777" w:rsidR="00DB2B68" w:rsidRDefault="00000000">
      <w:pPr>
        <w:pStyle w:val="pheading"/>
      </w:pPr>
      <w:r>
        <w:t>EXÉCUTION / MISE EN ŒUVRE</w:t>
      </w:r>
    </w:p>
    <w:p w14:paraId="26FE49D9" w14:textId="77777777" w:rsidR="00DB2B68" w:rsidRDefault="00000000">
      <w:pPr>
        <w:pStyle w:val="pheading"/>
      </w:pPr>
      <w:r>
        <w:t>- Prescriptions générales</w:t>
      </w:r>
    </w:p>
    <w:p w14:paraId="0463D524" w14:textId="77777777" w:rsidR="00DB2B68" w:rsidRDefault="00000000">
      <w:pPr>
        <w:jc w:val="both"/>
      </w:pPr>
      <w:r>
        <w:t>Dans le cas des bétons prêts à l’emploi, les plastifiants sont incorporés dans les bétons en centrale ou dans le camion malaxeur sur chantier sous la responsabilité de la centrale à béton. La durée de malaxage sur chantier doit être conforme aux exigences du paragraphe 8.4.1. des normes [NBN EN 13670] et [NBN B 15-400], c’est-à-dire qu'après ajout des adjuvants sur chantier, la durée de re-malaxage ne doit ni être inférieure à 1min/m³ de béton, ni inférieure à 5 min.</w:t>
      </w:r>
    </w:p>
    <w:p w14:paraId="04F46840" w14:textId="77777777" w:rsidR="00DB2B68" w:rsidRDefault="00000000">
      <w:pPr>
        <w:pStyle w:val="pheading"/>
      </w:pPr>
      <w:r>
        <w:t>DOCUMENTS DE RÉFÉRENCE COMPLÉMENTAIRES</w:t>
      </w:r>
    </w:p>
    <w:p w14:paraId="2F500C22" w14:textId="77777777" w:rsidR="00DB2B68" w:rsidRDefault="00000000">
      <w:pPr>
        <w:pStyle w:val="pheading"/>
      </w:pPr>
      <w:r>
        <w:t>- Matériau</w:t>
      </w:r>
    </w:p>
    <w:p w14:paraId="2CEE46A0" w14:textId="77777777" w:rsidR="00DB2B68" w:rsidRDefault="00000000">
      <w:r>
        <w:t>[NBN EN 934-2+A1, Adjuvants pour bétons, mortier et coulis - Partie 2: Adjuvants pour béton - Définitions, exigences, conformité, marquage et étiquetage]</w:t>
      </w:r>
    </w:p>
    <w:p w14:paraId="4C182C89" w14:textId="77777777" w:rsidR="00DB2B68" w:rsidRDefault="00000000">
      <w:pPr>
        <w:pStyle w:val="pheading"/>
      </w:pPr>
      <w:r>
        <w:t>- Exécution</w:t>
      </w:r>
    </w:p>
    <w:p w14:paraId="56715763" w14:textId="77777777" w:rsidR="00DB2B68" w:rsidRDefault="00000000">
      <w:r>
        <w:t>[NBN EN 13670, Exécution des structures en béton]</w:t>
      </w:r>
    </w:p>
    <w:p w14:paraId="55326614" w14:textId="77777777" w:rsidR="00DB2B68" w:rsidRDefault="00000000">
      <w:r>
        <w:t>[NBN B 15-400, Exécution des structures en béton - Supplément national à la NBN EN 13670:2010]</w:t>
      </w:r>
    </w:p>
    <w:p w14:paraId="0982E370" w14:textId="77777777" w:rsidR="00DB2B68" w:rsidRDefault="00000000">
      <w:pPr>
        <w:pStyle w:val="pheading"/>
      </w:pPr>
      <w:r>
        <w:t>MESURAGE</w:t>
      </w:r>
    </w:p>
    <w:p w14:paraId="7D5BEED0" w14:textId="77777777" w:rsidR="00DB2B68" w:rsidRDefault="00000000">
      <w:pPr>
        <w:pStyle w:val="pheading"/>
      </w:pPr>
      <w:r>
        <w:lastRenderedPageBreak/>
        <w:t>- unité de mesure:</w:t>
      </w:r>
    </w:p>
    <w:p w14:paraId="4AE5AB6E" w14:textId="77777777" w:rsidR="00DB2B68" w:rsidRDefault="00000000">
      <w:r>
        <w:t>-</w:t>
      </w:r>
    </w:p>
    <w:p w14:paraId="67EE7D31" w14:textId="77777777" w:rsidR="00DB2B68" w:rsidRDefault="00000000">
      <w:pPr>
        <w:pStyle w:val="pheading"/>
      </w:pPr>
      <w:r>
        <w:t>- code de mesurage:</w:t>
      </w:r>
    </w:p>
    <w:p w14:paraId="43459FA9" w14:textId="77777777" w:rsidR="00DB2B68" w:rsidRDefault="00000000">
      <w:r>
        <w:t>Compris dans les prix unitaires des ouvrages en béton concernés.</w:t>
      </w:r>
    </w:p>
    <w:p w14:paraId="610AEE95" w14:textId="77777777" w:rsidR="00DB2B68" w:rsidRDefault="00000000">
      <w:pPr>
        <w:pStyle w:val="pheading"/>
      </w:pPr>
      <w:r>
        <w:t>- nature du marché:</w:t>
      </w:r>
    </w:p>
    <w:p w14:paraId="7B6FC250" w14:textId="77777777" w:rsidR="00DB2B68" w:rsidRDefault="00000000">
      <w:r>
        <w:t>PM</w:t>
      </w:r>
    </w:p>
    <w:p w14:paraId="097E5E64" w14:textId="77777777" w:rsidR="00DB2B68" w:rsidRDefault="00000000">
      <w:pPr>
        <w:pStyle w:val="pheading"/>
      </w:pPr>
      <w:r>
        <w:t>AIDE</w:t>
      </w:r>
    </w:p>
    <w:p w14:paraId="4FF7E863" w14:textId="77777777" w:rsidR="00DB2B68" w:rsidRDefault="00000000">
      <w:pPr>
        <w:jc w:val="both"/>
      </w:pPr>
      <w:r>
        <w:t>Dans le cas des bétons prêts à l’emploi, comme la spécification des bétons selon les normes [NBN EN 206:2013+A2] et [NBN B 15-001] est une spécification basée sur les performances, il ne faut pas prescrire l’emploi des adjuvants comme les plastifiants. Il incombe à la centrale à béton de concevoir une recette de béton qui permette l’obtention de la classe d’ouvrabilité souhaitée et prescrite lors de la spécification du béton.</w:t>
      </w:r>
    </w:p>
    <w:p w14:paraId="749AF16F" w14:textId="77777777" w:rsidR="00DB2B68" w:rsidRDefault="00000000">
      <w:pPr>
        <w:jc w:val="both"/>
      </w:pPr>
      <w:r>
        <w:t>Ces adjuvants peuvent avoir comme action secondaire un effet retardateur de prise.</w:t>
      </w:r>
    </w:p>
    <w:p w14:paraId="772D167F" w14:textId="77777777" w:rsidR="00DB2B68" w:rsidRDefault="00000000">
      <w:pPr>
        <w:pStyle w:val="Author-eSectionHeading6Numberless"/>
      </w:pPr>
      <w:bookmarkStart w:id="1038" w:name="_Toc220496069"/>
      <w:r>
        <w:t>22.72.2b Superplastifiants hautement réducteurs d'eau CCTB 01.11</w:t>
      </w:r>
      <w:bookmarkEnd w:id="1038"/>
    </w:p>
    <w:p w14:paraId="17C50AFD" w14:textId="77777777" w:rsidR="00DB2B68" w:rsidRDefault="00000000">
      <w:pPr>
        <w:pStyle w:val="pheading"/>
      </w:pPr>
      <w:r>
        <w:t>DESCRIPTION</w:t>
      </w:r>
    </w:p>
    <w:p w14:paraId="7D434155" w14:textId="77777777" w:rsidR="00DB2B68" w:rsidRDefault="00000000">
      <w:pPr>
        <w:pStyle w:val="pheading"/>
      </w:pPr>
      <w:r>
        <w:t>- Définition / Comprend</w:t>
      </w:r>
    </w:p>
    <w:p w14:paraId="182E4747" w14:textId="77777777" w:rsidR="00DB2B68" w:rsidRDefault="00000000">
      <w:pPr>
        <w:jc w:val="both"/>
      </w:pPr>
      <w:r>
        <w:t>L’entreprise comprend la fourniture et l’intégration de plastifiants dans le béton. Les superplastifiants sont des adjuvants hautement réducteurs d’eau à incorporer dans le béton lors du malaxage et permettant d’accroître l’ouvrabilité des bétons ou qui sans modifier l’ouvrabilité permettent de réduire fortement la teneur en eau ou qui produisent les deux effets à la fois.</w:t>
      </w:r>
    </w:p>
    <w:p w14:paraId="427129C3" w14:textId="77777777" w:rsidR="00DB2B68" w:rsidRDefault="00000000">
      <w:pPr>
        <w:pStyle w:val="pheading"/>
      </w:pPr>
      <w:r>
        <w:t>MATÉRIAUX</w:t>
      </w:r>
    </w:p>
    <w:p w14:paraId="0A5BF5CF" w14:textId="77777777" w:rsidR="00DB2B68" w:rsidRDefault="00000000">
      <w:pPr>
        <w:pStyle w:val="pheading"/>
      </w:pPr>
      <w:r>
        <w:t>- Caractéristiques générales</w:t>
      </w:r>
    </w:p>
    <w:p w14:paraId="04F1C31F" w14:textId="77777777" w:rsidR="00DB2B68" w:rsidRDefault="00000000">
      <w:pPr>
        <w:jc w:val="both"/>
      </w:pPr>
      <w:r>
        <w:t>Les superplastifiants doivent être conformes à la [NBN EN 934-2+A1]. S'ils ont comme caractéristique de conduire à une ouvrabilité prolongée du béton, ils sont également conformes au [PTV 502].</w:t>
      </w:r>
    </w:p>
    <w:p w14:paraId="49D72339" w14:textId="77777777" w:rsidR="00DB2B68" w:rsidRDefault="00000000">
      <w:pPr>
        <w:pStyle w:val="pheading"/>
      </w:pPr>
      <w:r>
        <w:t>EXÉCUTION / MISE EN ŒUVRE</w:t>
      </w:r>
    </w:p>
    <w:p w14:paraId="5D6F2CEE" w14:textId="77777777" w:rsidR="00DB2B68" w:rsidRDefault="00000000">
      <w:pPr>
        <w:pStyle w:val="pheading"/>
      </w:pPr>
      <w:r>
        <w:t>- Prescriptions générales</w:t>
      </w:r>
    </w:p>
    <w:p w14:paraId="0D1B7D88" w14:textId="77777777" w:rsidR="00DB2B68" w:rsidRDefault="00000000">
      <w:pPr>
        <w:jc w:val="both"/>
      </w:pPr>
      <w:r>
        <w:t>Dans le cas des bétons prêts à l’emploi, les superplastifiants sont incorporés dans les bétons en centrale ou dans le camion malaxeur sur chantier sous la responsabilité de la centrale à béton. La durée de malaxage sur chantier doit être conforme aux exigences du paragraphe 8.4.1. des normes [NBN EN 13670] et [NBN B 15-400], c’est-à-dire qu'après ajout des adjuvants sur chantier, la durée de re-malaxage ne doit ni être inférieure à 1min/m³ de béton, ni inférieure à 5 min.</w:t>
      </w:r>
    </w:p>
    <w:p w14:paraId="72AB806D" w14:textId="77777777" w:rsidR="00DB2B68" w:rsidRDefault="00000000">
      <w:pPr>
        <w:pStyle w:val="pheading"/>
      </w:pPr>
      <w:r>
        <w:t>DOCUMENTS DE RÉFÉRENCE COMPLÉMENTAIRES</w:t>
      </w:r>
    </w:p>
    <w:p w14:paraId="386AD461" w14:textId="77777777" w:rsidR="00DB2B68" w:rsidRDefault="00000000">
      <w:pPr>
        <w:pStyle w:val="pheading"/>
      </w:pPr>
      <w:r>
        <w:t>- Matériau</w:t>
      </w:r>
    </w:p>
    <w:p w14:paraId="75624D99" w14:textId="77777777" w:rsidR="00DB2B68" w:rsidRDefault="00000000">
      <w:r>
        <w:t>[NBN EN 934-2+A1, Adjuvants pour bétons, mortier et coulis - Partie 2: Adjuvants pour béton - Définitions, exigences, conformité, marquage et étiquetage]</w:t>
      </w:r>
    </w:p>
    <w:p w14:paraId="5747E7E8" w14:textId="77777777" w:rsidR="00DB2B68" w:rsidRDefault="00000000">
      <w:r>
        <w:t>[PTV 502, Superplastifiants-hauts réducteurs d'eau avec déclaration d'ouvrabilité prolongée]</w:t>
      </w:r>
    </w:p>
    <w:p w14:paraId="7C989CE6" w14:textId="77777777" w:rsidR="00DB2B68" w:rsidRDefault="00000000">
      <w:pPr>
        <w:pStyle w:val="pheading"/>
      </w:pPr>
      <w:r>
        <w:t>- Exécution</w:t>
      </w:r>
    </w:p>
    <w:p w14:paraId="05C819CC" w14:textId="77777777" w:rsidR="00DB2B68" w:rsidRDefault="00000000">
      <w:r>
        <w:t>[NBN EN 13670, Exécution des structures en béton]</w:t>
      </w:r>
    </w:p>
    <w:p w14:paraId="68924C7F" w14:textId="77777777" w:rsidR="00DB2B68" w:rsidRDefault="00000000">
      <w:r>
        <w:t>[NBN B 15-400, Exécution des structures en béton - Supplément national à la NBN EN 13670:2010]</w:t>
      </w:r>
    </w:p>
    <w:p w14:paraId="4F8D967A" w14:textId="77777777" w:rsidR="00DB2B68" w:rsidRDefault="00000000">
      <w:pPr>
        <w:pStyle w:val="pheading"/>
      </w:pPr>
      <w:r>
        <w:t>MESURAGE</w:t>
      </w:r>
    </w:p>
    <w:p w14:paraId="05D2A735" w14:textId="77777777" w:rsidR="00DB2B68" w:rsidRDefault="00000000">
      <w:pPr>
        <w:pStyle w:val="pheading"/>
      </w:pPr>
      <w:r>
        <w:t>- unité de mesure:</w:t>
      </w:r>
    </w:p>
    <w:p w14:paraId="7D654A68" w14:textId="77777777" w:rsidR="00DB2B68" w:rsidRDefault="00000000">
      <w:r>
        <w:lastRenderedPageBreak/>
        <w:t>-</w:t>
      </w:r>
    </w:p>
    <w:p w14:paraId="31E473CA" w14:textId="77777777" w:rsidR="00DB2B68" w:rsidRDefault="00000000">
      <w:pPr>
        <w:pStyle w:val="pheading"/>
      </w:pPr>
      <w:r>
        <w:t>- code de mesurage:</w:t>
      </w:r>
    </w:p>
    <w:p w14:paraId="243AD78A" w14:textId="77777777" w:rsidR="00DB2B68" w:rsidRDefault="00000000">
      <w:r>
        <w:t>Compris dans les prix unitaires des ouvrages en béton concernés.</w:t>
      </w:r>
    </w:p>
    <w:p w14:paraId="006B83BB" w14:textId="77777777" w:rsidR="00DB2B68" w:rsidRDefault="00000000">
      <w:pPr>
        <w:pStyle w:val="pheading"/>
      </w:pPr>
      <w:r>
        <w:t>- nature du marché:</w:t>
      </w:r>
    </w:p>
    <w:p w14:paraId="37A9520F" w14:textId="77777777" w:rsidR="00DB2B68" w:rsidRDefault="00000000">
      <w:r>
        <w:t>PM</w:t>
      </w:r>
    </w:p>
    <w:p w14:paraId="75BDDAF8" w14:textId="77777777" w:rsidR="00DB2B68" w:rsidRDefault="00000000">
      <w:pPr>
        <w:pStyle w:val="pheading"/>
      </w:pPr>
      <w:r>
        <w:t>AIDE</w:t>
      </w:r>
    </w:p>
    <w:p w14:paraId="0F865961" w14:textId="77777777" w:rsidR="00DB2B68" w:rsidRDefault="00000000">
      <w:pPr>
        <w:jc w:val="both"/>
      </w:pPr>
      <w:r>
        <w:t>Dans le cas des bétons prêts à l’emploi, comme la spécification des bétons selon les normes [NBN EN 206:2013+A2] et [NBN B 15-001] est une spécification basée sur les performances, il ne faut pas prescrire l’emploi des adjuvants comme les superplastifiants. Il incombe à la centrale à béton de concevoir une recette de béton qui permette l’obtention des classes de résistance et d’ouvrabilité souhaitées et prescrites lors de la spécification du béton.</w:t>
      </w:r>
    </w:p>
    <w:p w14:paraId="301F8654" w14:textId="77777777" w:rsidR="00DB2B68" w:rsidRDefault="00000000">
      <w:pPr>
        <w:jc w:val="both"/>
      </w:pPr>
      <w:r>
        <w:t>Ces adjuvants peuvent avoir comme action secondaire un effet retardateur de prise.</w:t>
      </w:r>
    </w:p>
    <w:p w14:paraId="4470FECF" w14:textId="77777777" w:rsidR="00DB2B68" w:rsidRDefault="00000000">
      <w:pPr>
        <w:pStyle w:val="Author-eSectionHeading6Numberless"/>
      </w:pPr>
      <w:bookmarkStart w:id="1039" w:name="_Toc220496070"/>
      <w:r>
        <w:t>22.72.2c Rétenteurs d'eau CCTB 01.02</w:t>
      </w:r>
      <w:bookmarkEnd w:id="1039"/>
    </w:p>
    <w:p w14:paraId="3DEC312D" w14:textId="77777777" w:rsidR="00DB2B68" w:rsidRDefault="00000000">
      <w:pPr>
        <w:pStyle w:val="Author-eSectionHeading6Numberless"/>
      </w:pPr>
      <w:bookmarkStart w:id="1040" w:name="_Toc220496071"/>
      <w:r>
        <w:t>22.72.2d Entraineurs d'air CCTB 01.02</w:t>
      </w:r>
      <w:bookmarkEnd w:id="1040"/>
    </w:p>
    <w:p w14:paraId="29276D5B" w14:textId="77777777" w:rsidR="00DB2B68" w:rsidRDefault="00000000">
      <w:pPr>
        <w:pStyle w:val="Author-eSectionHeading6Numberless"/>
      </w:pPr>
      <w:bookmarkStart w:id="1041" w:name="_Toc220496072"/>
      <w:r>
        <w:t>22.72.2e Accélérateurs de prise et de durcissement CCTB 01.02</w:t>
      </w:r>
      <w:bookmarkEnd w:id="1041"/>
    </w:p>
    <w:p w14:paraId="689B0603" w14:textId="77777777" w:rsidR="00DB2B68" w:rsidRDefault="00000000">
      <w:pPr>
        <w:pStyle w:val="Author-eSectionHeading6Numberless"/>
      </w:pPr>
      <w:bookmarkStart w:id="1042" w:name="_Toc220496073"/>
      <w:r>
        <w:t>22.72.2f Retardateurs de prise CCTB 01.02</w:t>
      </w:r>
      <w:bookmarkEnd w:id="1042"/>
    </w:p>
    <w:p w14:paraId="1E4285A5" w14:textId="77777777" w:rsidR="00DB2B68" w:rsidRDefault="00000000">
      <w:pPr>
        <w:pStyle w:val="Author-eSectionHeading6Numberless"/>
      </w:pPr>
      <w:bookmarkStart w:id="1043" w:name="_Toc220496074"/>
      <w:r>
        <w:t>22.72.2g Adjuvants anti-efflorescences CCTB 01.02</w:t>
      </w:r>
      <w:bookmarkEnd w:id="1043"/>
    </w:p>
    <w:p w14:paraId="790DDBA3" w14:textId="77777777" w:rsidR="00DB2B68" w:rsidRDefault="00000000">
      <w:pPr>
        <w:pStyle w:val="Author-eSectionHeading6Numberless"/>
      </w:pPr>
      <w:bookmarkStart w:id="1044" w:name="_Toc220496075"/>
      <w:r>
        <w:t>22.72.2h Agents anti-bullage CCTB 01.02</w:t>
      </w:r>
      <w:bookmarkEnd w:id="1044"/>
    </w:p>
    <w:p w14:paraId="23AFEE1C" w14:textId="77777777" w:rsidR="00DB2B68" w:rsidRDefault="00000000">
      <w:pPr>
        <w:pStyle w:val="Author-eSectionHeading6Numberless"/>
      </w:pPr>
      <w:bookmarkStart w:id="1045" w:name="_Toc220496076"/>
      <w:r>
        <w:t>22.72.2i Hydrofuge de masse CCTB 01.11</w:t>
      </w:r>
      <w:bookmarkEnd w:id="1045"/>
    </w:p>
    <w:p w14:paraId="2F4E5F3F" w14:textId="77777777" w:rsidR="00DB2B68" w:rsidRDefault="00000000">
      <w:pPr>
        <w:pStyle w:val="pheading"/>
      </w:pPr>
      <w:r>
        <w:t>DESCRIPTION</w:t>
      </w:r>
    </w:p>
    <w:p w14:paraId="6CA8BAC4" w14:textId="77777777" w:rsidR="00DB2B68" w:rsidRDefault="00000000">
      <w:pPr>
        <w:pStyle w:val="pheading"/>
      </w:pPr>
      <w:r>
        <w:t>- Définition / Comprend</w:t>
      </w:r>
    </w:p>
    <w:p w14:paraId="2011EAF7" w14:textId="77777777" w:rsidR="00DB2B68" w:rsidRDefault="00000000">
      <w:r>
        <w:t>Il s'agit des suppléments de prix à compter pour le volume de béton armé étanche.</w:t>
      </w:r>
    </w:p>
    <w:p w14:paraId="6A6FBFA6" w14:textId="77777777" w:rsidR="00DB2B68" w:rsidRDefault="00000000">
      <w:pPr>
        <w:pStyle w:val="pheading"/>
      </w:pPr>
      <w:r>
        <w:t>- Localisation</w:t>
      </w:r>
    </w:p>
    <w:p w14:paraId="5C182CCD" w14:textId="77777777" w:rsidR="00DB2B68" w:rsidRDefault="00000000">
      <w:r>
        <w:t xml:space="preserve">Les éléments en béton étanche repris dans le métré sont : </w:t>
      </w:r>
      <w:r>
        <w:rPr>
          <w:rStyle w:val="optioncarChar"/>
        </w:rPr>
        <w:t>***</w:t>
      </w:r>
      <w:r>
        <w:t>.</w:t>
      </w:r>
    </w:p>
    <w:p w14:paraId="267BAB16" w14:textId="77777777" w:rsidR="00DB2B68" w:rsidRDefault="00000000">
      <w:pPr>
        <w:pStyle w:val="pheading"/>
      </w:pPr>
      <w:r>
        <w:t>MATÉRIAUX</w:t>
      </w:r>
    </w:p>
    <w:p w14:paraId="715F3312" w14:textId="77777777" w:rsidR="00DB2B68" w:rsidRDefault="00000000">
      <w:pPr>
        <w:pStyle w:val="pheading"/>
      </w:pPr>
      <w:r>
        <w:t>- Caractéristiques générales</w:t>
      </w:r>
    </w:p>
    <w:p w14:paraId="6C372FB3" w14:textId="77777777" w:rsidR="00DB2B68" w:rsidRDefault="00000000">
      <w:r>
        <w:t>Un adjuvant liquide hydrofuge est mélangé à l'eau de gâchage. Le produit utilisé ne peut en aucun cas nuire aux caractéristiques du béton ou de l'acier et est exempt de matières organiques, d'huiles et de graisses. Il ne provoque pas de réactions d'augmentation du retrait. En outre, il améliore à la fois la résistance du béton à la compression et à la traction. L'adjuvant hydrofuge est préalablement soumis à l'approbation de l'ingénieur conseil. Il est donc conforme aux exigences de la norme [NBN EN 934-1] et son efficacité est conforme à la norme [NBN EN 934-2+A1] et au [TRA 500 série].</w:t>
      </w:r>
    </w:p>
    <w:p w14:paraId="1C2DD11A" w14:textId="77777777" w:rsidR="00DB2B68" w:rsidRDefault="00000000">
      <w:pPr>
        <w:pStyle w:val="pheading"/>
      </w:pPr>
      <w:r>
        <w:t>EXÉCUTION / MISE EN ŒUVRE</w:t>
      </w:r>
    </w:p>
    <w:p w14:paraId="24BB9BA7" w14:textId="77777777" w:rsidR="00DB2B68" w:rsidRDefault="00000000">
      <w:pPr>
        <w:pStyle w:val="pheading"/>
      </w:pPr>
      <w:r>
        <w:t>- Prescriptions générales</w:t>
      </w:r>
    </w:p>
    <w:p w14:paraId="4C4F1AE7" w14:textId="77777777" w:rsidR="00DB2B68" w:rsidRDefault="00000000">
      <w:r>
        <w:t>Le béton a été spécifié conformément aux normes [NBN EN 206:2013+A2] et [NBN B 15-001] en veillant au choix de la classe d’environnement.</w:t>
      </w:r>
    </w:p>
    <w:p w14:paraId="11C7E377" w14:textId="77777777" w:rsidR="00DB2B68" w:rsidRDefault="00000000">
      <w:pPr>
        <w:pStyle w:val="pheading"/>
      </w:pPr>
      <w:r>
        <w:t>DOCUMENTS DE RÉFÉRENCE COMPLÉMENTAIRES</w:t>
      </w:r>
    </w:p>
    <w:p w14:paraId="3C6E1403" w14:textId="77777777" w:rsidR="00DB2B68" w:rsidRDefault="00000000">
      <w:pPr>
        <w:pStyle w:val="pheading"/>
      </w:pPr>
      <w:r>
        <w:t>- Matériau</w:t>
      </w:r>
    </w:p>
    <w:p w14:paraId="66029160" w14:textId="77777777" w:rsidR="00DB2B68" w:rsidRDefault="00000000">
      <w:r>
        <w:t>[NBN EN 934-1, Adjuvants pour béton, mortier et coulis - Partie 1 : Exigences communes]</w:t>
      </w:r>
    </w:p>
    <w:p w14:paraId="0B900B5C" w14:textId="77777777" w:rsidR="00DB2B68" w:rsidRDefault="00000000">
      <w:r>
        <w:lastRenderedPageBreak/>
        <w:t>[NBN EN 934-2+A1, Adjuvants pour bétons, mortier et coulis - Partie 2: Adjuvants pour béton - Définitions, exigences, conformité, marquage et étiquetage]</w:t>
      </w:r>
    </w:p>
    <w:p w14:paraId="30108916" w14:textId="77777777" w:rsidR="00DB2B68" w:rsidRDefault="00000000">
      <w:pPr>
        <w:pStyle w:val="pheading"/>
      </w:pPr>
      <w:r>
        <w:t>- Exécution</w:t>
      </w:r>
    </w:p>
    <w:p w14:paraId="0567E178" w14:textId="77777777" w:rsidR="00DB2B68" w:rsidRDefault="00000000">
      <w:r>
        <w:t>[NBN B 15-215, Essais sur béton durci - Absorption d'eau par immersion]</w:t>
      </w:r>
    </w:p>
    <w:p w14:paraId="7D416F37" w14:textId="77777777" w:rsidR="00DB2B68" w:rsidRDefault="00000000">
      <w:pPr>
        <w:pStyle w:val="pheading"/>
      </w:pPr>
      <w:r>
        <w:t>MESURAGE</w:t>
      </w:r>
    </w:p>
    <w:p w14:paraId="52547AC7" w14:textId="77777777" w:rsidR="00DB2B68" w:rsidRDefault="00000000">
      <w:r>
        <w:t>Conformément aux indications dans le métré et le métré récapitulatif, le mesurage doit être conçu comme suit :</w:t>
      </w:r>
    </w:p>
    <w:p w14:paraId="0DF7106B" w14:textId="77777777" w:rsidR="00DB2B68" w:rsidRDefault="00000000">
      <w:pPr>
        <w:pStyle w:val="pheading"/>
      </w:pPr>
      <w:r>
        <w:t>- unité de mesure:</w:t>
      </w:r>
    </w:p>
    <w:p w14:paraId="5A3D9077" w14:textId="77777777" w:rsidR="00DB2B68" w:rsidRDefault="00000000">
      <w:r>
        <w:t>m³ de béton</w:t>
      </w:r>
    </w:p>
    <w:p w14:paraId="06DC1CE5" w14:textId="77777777" w:rsidR="00DB2B68" w:rsidRDefault="00000000">
      <w:pPr>
        <w:pStyle w:val="pheading"/>
      </w:pPr>
      <w:r>
        <w:t>- code de mesurage:</w:t>
      </w:r>
    </w:p>
    <w:p w14:paraId="454D33BD" w14:textId="77777777" w:rsidR="00DB2B68" w:rsidRDefault="00000000">
      <w:r>
        <w:t>conformément au domaine d'application</w:t>
      </w:r>
    </w:p>
    <w:p w14:paraId="3DC6BC7E" w14:textId="77777777" w:rsidR="00DB2B68" w:rsidRDefault="00000000">
      <w:pPr>
        <w:pStyle w:val="pheading"/>
      </w:pPr>
      <w:r>
        <w:t>- nature du marché:</w:t>
      </w:r>
    </w:p>
    <w:p w14:paraId="0C39F7A8" w14:textId="77777777" w:rsidR="00DB2B68" w:rsidRDefault="00000000">
      <w:r>
        <w:t>QF</w:t>
      </w:r>
    </w:p>
    <w:p w14:paraId="26DE9F41" w14:textId="77777777" w:rsidR="00DB2B68" w:rsidRDefault="00000000">
      <w:pPr>
        <w:pStyle w:val="Author-eSectionHeading6Numberless"/>
      </w:pPr>
      <w:bookmarkStart w:id="1046" w:name="_Toc220496077"/>
      <w:r>
        <w:t>22.72.2j Colorants pour béton CCTB 01.02</w:t>
      </w:r>
      <w:bookmarkEnd w:id="1046"/>
    </w:p>
    <w:p w14:paraId="4590556F" w14:textId="77777777" w:rsidR="00DB2B68" w:rsidRDefault="00000000">
      <w:pPr>
        <w:pStyle w:val="Author-eSectionHeading6Numberless"/>
      </w:pPr>
      <w:bookmarkStart w:id="1047" w:name="_Toc220496078"/>
      <w:r>
        <w:t>22.72.2k Inhibiteurs de corrosion CCTB 01.02</w:t>
      </w:r>
      <w:bookmarkEnd w:id="1047"/>
    </w:p>
    <w:p w14:paraId="4D2A4E7A" w14:textId="77777777" w:rsidR="00DB2B68" w:rsidRDefault="00000000">
      <w:pPr>
        <w:pStyle w:val="Author-eSectionHeading5Numberless"/>
      </w:pPr>
      <w:bookmarkStart w:id="1048" w:name="_Toc220496079"/>
      <w:r>
        <w:t>22.72.3 Traitement de surface – hydrofugation de surface des bétons CCTB 01.10</w:t>
      </w:r>
      <w:bookmarkEnd w:id="1048"/>
    </w:p>
    <w:p w14:paraId="6B117F46" w14:textId="77777777" w:rsidR="00DB2B68" w:rsidRDefault="00000000">
      <w:pPr>
        <w:pStyle w:val="Author-eSectionHeading6Numberless"/>
      </w:pPr>
      <w:bookmarkStart w:id="1049" w:name="_Toc220496080"/>
      <w:r>
        <w:t>22.72.3a Traitement de surface – hydrofugation de surface des bétons CCTB 01.07</w:t>
      </w:r>
      <w:bookmarkEnd w:id="1049"/>
    </w:p>
    <w:p w14:paraId="194CA248" w14:textId="77777777" w:rsidR="00DB2B68" w:rsidRDefault="00000000">
      <w:pPr>
        <w:pStyle w:val="pheading"/>
      </w:pPr>
      <w:r>
        <w:t>DESCRIPTION</w:t>
      </w:r>
    </w:p>
    <w:p w14:paraId="2BFA75C1" w14:textId="77777777" w:rsidR="00DB2B68" w:rsidRDefault="00000000">
      <w:pPr>
        <w:pStyle w:val="pheading"/>
      </w:pPr>
      <w:r>
        <w:t>- Définition / Comprend</w:t>
      </w:r>
    </w:p>
    <w:p w14:paraId="42843F89" w14:textId="77777777" w:rsidR="00DB2B68" w:rsidRDefault="00000000">
      <w:r>
        <w:t>Renvoi au § 83.14.2a Hydrofugations de surface</w:t>
      </w:r>
    </w:p>
    <w:p w14:paraId="66863D1D" w14:textId="77777777" w:rsidR="00DB2B68" w:rsidRDefault="00000000">
      <w:pPr>
        <w:pStyle w:val="pheading"/>
      </w:pPr>
      <w:r>
        <w:t>MESURAGE</w:t>
      </w:r>
    </w:p>
    <w:p w14:paraId="46E37347" w14:textId="77777777" w:rsidR="00DB2B68" w:rsidRDefault="00000000">
      <w:pPr>
        <w:pStyle w:val="pheading"/>
      </w:pPr>
      <w:r>
        <w:t>- unité de mesure:</w:t>
      </w:r>
    </w:p>
    <w:p w14:paraId="1ECA3A4B" w14:textId="77777777" w:rsidR="00DB2B68" w:rsidRDefault="00000000">
      <w:r>
        <w:t>-</w:t>
      </w:r>
    </w:p>
    <w:p w14:paraId="4F2B1E5F" w14:textId="77777777" w:rsidR="00DB2B68" w:rsidRDefault="00DB2B68"/>
    <w:p w14:paraId="4438F528" w14:textId="77777777" w:rsidR="00DB2B68" w:rsidRDefault="00000000">
      <w:pPr>
        <w:pStyle w:val="pheading"/>
      </w:pPr>
      <w:r>
        <w:t>- nature du marché:</w:t>
      </w:r>
    </w:p>
    <w:p w14:paraId="5821E6C8" w14:textId="77777777" w:rsidR="00DB2B68" w:rsidRDefault="00000000">
      <w:r>
        <w:t>PM</w:t>
      </w:r>
    </w:p>
    <w:p w14:paraId="279F6C09" w14:textId="77777777" w:rsidR="00DB2B68" w:rsidRDefault="00DB2B68"/>
    <w:p w14:paraId="2A0065E5" w14:textId="77777777" w:rsidR="00DB2B68" w:rsidRDefault="00000000">
      <w:pPr>
        <w:pStyle w:val="Author-eSectionHeading4Numberless"/>
      </w:pPr>
      <w:bookmarkStart w:id="1050" w:name="_Toc220496081"/>
      <w:r>
        <w:t>22.73 Revêtements de finition CCTB 01.02</w:t>
      </w:r>
      <w:bookmarkEnd w:id="1050"/>
    </w:p>
    <w:p w14:paraId="6C51C6C0" w14:textId="77777777" w:rsidR="00DB2B68" w:rsidRDefault="00000000">
      <w:pPr>
        <w:pStyle w:val="Author-eSectionHeading5Numberless"/>
      </w:pPr>
      <w:bookmarkStart w:id="1051" w:name="542"/>
      <w:bookmarkStart w:id="1052" w:name="_Toc220496082"/>
      <w:bookmarkEnd w:id="1051"/>
      <w:r>
        <w:t>22.73.1 Mortiers d'égalisation CCTB 01.04</w:t>
      </w:r>
      <w:bookmarkEnd w:id="1052"/>
    </w:p>
    <w:p w14:paraId="1842954F" w14:textId="77777777" w:rsidR="00DB2B68" w:rsidRDefault="00000000">
      <w:pPr>
        <w:pStyle w:val="Author-eSectionHeading6Numberless"/>
      </w:pPr>
      <w:bookmarkStart w:id="1053" w:name="_Toc220496083"/>
      <w:r>
        <w:t>22.73.1a Mortiers d'égalisation CCTB 01.04</w:t>
      </w:r>
      <w:bookmarkEnd w:id="1053"/>
    </w:p>
    <w:p w14:paraId="4D66BE5B" w14:textId="77777777" w:rsidR="00DB2B68" w:rsidRDefault="00000000">
      <w:pPr>
        <w:pStyle w:val="Author-eSectionHeading5Numberless"/>
      </w:pPr>
      <w:bookmarkStart w:id="1054" w:name="_Toc220496084"/>
      <w:r>
        <w:t>22.73.2 Couches de finition CCTB 01.02</w:t>
      </w:r>
      <w:bookmarkEnd w:id="1054"/>
    </w:p>
    <w:p w14:paraId="79A18DE9" w14:textId="77777777" w:rsidR="00DB2B68" w:rsidRDefault="00000000">
      <w:pPr>
        <w:pStyle w:val="Author-eSectionHeading6Numberless"/>
      </w:pPr>
      <w:bookmarkStart w:id="1055" w:name="_Toc220496085"/>
      <w:r>
        <w:t>22.73.2a Couches de finition CCTB 01.02</w:t>
      </w:r>
      <w:bookmarkEnd w:id="1055"/>
    </w:p>
    <w:p w14:paraId="45CE1037" w14:textId="77777777" w:rsidR="00DB2B68" w:rsidRDefault="00000000">
      <w:pPr>
        <w:pStyle w:val="Author-eSectionHeading4Numberless"/>
      </w:pPr>
      <w:bookmarkStart w:id="1056" w:name="_Toc220496086"/>
      <w:r>
        <w:t>22.74 Revêtements de protection CCTB 01.04</w:t>
      </w:r>
      <w:bookmarkEnd w:id="1056"/>
    </w:p>
    <w:p w14:paraId="0D50EF77" w14:textId="77777777" w:rsidR="00DB2B68" w:rsidRDefault="00000000">
      <w:pPr>
        <w:pStyle w:val="pheading"/>
      </w:pPr>
      <w:bookmarkStart w:id="1057" w:name="543"/>
      <w:bookmarkEnd w:id="1057"/>
      <w:r>
        <w:t>DESCRIPTION</w:t>
      </w:r>
    </w:p>
    <w:p w14:paraId="74FF67C4" w14:textId="77777777" w:rsidR="00DB2B68" w:rsidRDefault="00000000">
      <w:pPr>
        <w:pStyle w:val="pheading"/>
      </w:pPr>
      <w:r>
        <w:t>- Définition / Comprend</w:t>
      </w:r>
    </w:p>
    <w:p w14:paraId="053CCB9C" w14:textId="77777777" w:rsidR="00DB2B68" w:rsidRDefault="00000000">
      <w:r>
        <w:lastRenderedPageBreak/>
        <w:t>Conformes à la norme [NBN EN 1504-2] et au [PTV BB 562]</w:t>
      </w:r>
      <w:r>
        <w:rPr>
          <w:shd w:val="clear" w:color="auto" w:fill="FFFFFF"/>
        </w:rPr>
        <w:t>.</w:t>
      </w:r>
    </w:p>
    <w:p w14:paraId="085BC776" w14:textId="77777777" w:rsidR="00DB2B68" w:rsidRDefault="00000000">
      <w:pPr>
        <w:pStyle w:val="Author-eSectionHeading5Numberless"/>
      </w:pPr>
      <w:bookmarkStart w:id="1058" w:name="_Toc220496087"/>
      <w:r>
        <w:t>22.74.1 Revêtements minces de protection à liant minéral CCTB 01.02</w:t>
      </w:r>
      <w:bookmarkEnd w:id="1058"/>
    </w:p>
    <w:p w14:paraId="43FFBEA7" w14:textId="77777777" w:rsidR="00DB2B68" w:rsidRDefault="00000000">
      <w:pPr>
        <w:pStyle w:val="Author-eSectionHeading6Numberless"/>
      </w:pPr>
      <w:bookmarkStart w:id="1059" w:name="_Toc220496088"/>
      <w:r>
        <w:t>22.74.1a Revêtements minces de protection à liant minéral CCTB 01.02</w:t>
      </w:r>
      <w:bookmarkEnd w:id="1059"/>
    </w:p>
    <w:p w14:paraId="4541DCC4" w14:textId="77777777" w:rsidR="00DB2B68" w:rsidRDefault="00000000">
      <w:pPr>
        <w:pStyle w:val="Author-eSectionHeading5Numberless"/>
      </w:pPr>
      <w:bookmarkStart w:id="1060" w:name="_Toc220496089"/>
      <w:r>
        <w:t>22.74.2 Revêtements minces de protection à liant organique (coating) CCTB 01.02</w:t>
      </w:r>
      <w:bookmarkEnd w:id="1060"/>
    </w:p>
    <w:p w14:paraId="0ABF2BB7" w14:textId="77777777" w:rsidR="00DB2B68" w:rsidRDefault="00000000">
      <w:pPr>
        <w:pStyle w:val="Author-eSectionHeading6Numberless"/>
      </w:pPr>
      <w:bookmarkStart w:id="1061" w:name="_Toc220496090"/>
      <w:r>
        <w:t>22.74.2a Revêtements minces de protection à liant organique (coating) CCTB 01.02</w:t>
      </w:r>
      <w:bookmarkEnd w:id="1061"/>
    </w:p>
    <w:p w14:paraId="62FCBD28" w14:textId="77777777" w:rsidR="00DB2B68" w:rsidRDefault="00000000">
      <w:pPr>
        <w:pStyle w:val="Author-eSectionHeading3Numberless"/>
      </w:pPr>
      <w:bookmarkStart w:id="1062" w:name="_Toc220496091"/>
      <w:r>
        <w:t>22.8 Superstructures en béton - Rénovation CCTB 01.07</w:t>
      </w:r>
      <w:bookmarkEnd w:id="1062"/>
    </w:p>
    <w:p w14:paraId="14F191C8" w14:textId="77777777" w:rsidR="00DB2B68" w:rsidRDefault="00000000">
      <w:pPr>
        <w:pStyle w:val="pheading"/>
      </w:pPr>
      <w:bookmarkStart w:id="1063" w:name="225"/>
      <w:bookmarkEnd w:id="1063"/>
      <w:r>
        <w:t>DOCUMENTS DE RÉFÉRENCE</w:t>
      </w:r>
    </w:p>
    <w:p w14:paraId="12726EDD" w14:textId="77777777" w:rsidR="00DB2B68" w:rsidRDefault="00000000">
      <w:pPr>
        <w:pStyle w:val="pheading"/>
      </w:pPr>
      <w:r>
        <w:t>- Exécution</w:t>
      </w:r>
    </w:p>
    <w:p w14:paraId="4B13D985" w14:textId="77777777" w:rsidR="00DB2B68" w:rsidRDefault="00000000">
      <w:r>
        <w:t>[NIT 231, Réparation et protection des ouvrages en béton (bâtiment et génie civil).]</w:t>
      </w:r>
    </w:p>
    <w:p w14:paraId="538C96DC" w14:textId="77777777" w:rsidR="00DB2B68" w:rsidRDefault="00000000">
      <w:r>
        <w:t>[NIT 248, Renforcement des structures en béton au moyen d'armatures collées.]</w:t>
      </w:r>
    </w:p>
    <w:p w14:paraId="53846411" w14:textId="77777777" w:rsidR="00DB2B68"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18FFBA78" w14:textId="77777777" w:rsidR="00DB2B68" w:rsidRDefault="00000000">
      <w:r>
        <w:t>[PTV BB 563, Prescriptions techniques pour mortiers de réparation du béton.]</w:t>
      </w:r>
    </w:p>
    <w:p w14:paraId="25A13C5A" w14:textId="77777777" w:rsidR="00DB2B68" w:rsidRDefault="00000000">
      <w:r>
        <w:t>[NBN EN 14487-1, Béton projeté - Partie 1: Définitions, spécifications et conformité]</w:t>
      </w:r>
    </w:p>
    <w:p w14:paraId="3595095C" w14:textId="77777777" w:rsidR="00DB2B68" w:rsidRDefault="00000000">
      <w:r>
        <w:t>[NBN EN 14487-2, Béton projeté - Partie 2 : Exécution]</w:t>
      </w:r>
    </w:p>
    <w:p w14:paraId="3194DEE5" w14:textId="77777777" w:rsidR="00DB2B68" w:rsidRDefault="00000000">
      <w:r>
        <w:t>[NBN EN 1542, Produits et systèmes pour la protection et la réparation des structures en béton - Méthodes d'essais - Mesurage de l'adhérence par traction directe]</w:t>
      </w:r>
    </w:p>
    <w:p w14:paraId="3737D42E" w14:textId="77777777" w:rsidR="00DB2B68" w:rsidRDefault="00000000">
      <w:r>
        <w:t>[NBN EN 1799, Produits et systèmes pour la protection et la réparation des structures en béton - Méthodes d'essais - Essais de détermination de l'aptitude à l'emploi des colles structurales à appliquer sur les surfaces en béton]</w:t>
      </w:r>
    </w:p>
    <w:p w14:paraId="73D3AC25" w14:textId="77777777" w:rsidR="00DB2B68" w:rsidRDefault="00000000">
      <w:r>
        <w:t>[NBN EN 12636, Produits et systèmes pour la protection et la réparation des structures en béton - Méthodes d'essais - Détermination de l'adhérence béton sur béton]</w:t>
      </w:r>
    </w:p>
    <w:p w14:paraId="1A7FF391" w14:textId="77777777" w:rsidR="00DB2B68" w:rsidRDefault="00000000">
      <w:r>
        <w:t>[NBN EN 12190, Produits et systèmes pour la protection et la réparation des structures en béton - Méthodes d'essais - Détermination de la résistance à la compression pour les mortiers de réparation]</w:t>
      </w:r>
    </w:p>
    <w:p w14:paraId="39AFB959" w14:textId="77777777" w:rsidR="00DB2B68" w:rsidRDefault="00000000">
      <w:r>
        <w:t>[NBN EN 12192-1, Produits et systèmes de protection et de réparation des structures en béton - Méthode d'essai - Analyse granulométrique - Partie 1: Méthode applicable aux composants secs des mortiers prêts à l'emploi]</w:t>
      </w:r>
    </w:p>
    <w:p w14:paraId="25666399" w14:textId="77777777" w:rsidR="00DB2B68" w:rsidRDefault="00000000">
      <w:r>
        <w:t>[NBN EN 12192-2, Produits et systèmes pour la protection et la réparation des structures en béton - Analyse granulométrique - Partie 2: Méthode d'essai pour les charges de produits de collages structuraux à base de polymères]</w:t>
      </w:r>
    </w:p>
    <w:p w14:paraId="6407BD5F" w14:textId="77777777" w:rsidR="00DB2B68" w:rsidRDefault="00000000">
      <w:r>
        <w:t>[NBN EN ISO 12696, Protection cathodique de l’acier dans le béton (ISO 12696:2022)]</w:t>
      </w:r>
    </w:p>
    <w:p w14:paraId="17F8C8B8" w14:textId="77777777" w:rsidR="00DB2B68" w:rsidRDefault="00000000">
      <w:pPr>
        <w:pStyle w:val="Author-eSectionHeading4Numberless"/>
      </w:pPr>
      <w:bookmarkStart w:id="1064" w:name="_Toc220496092"/>
      <w:r>
        <w:t>22.81 Etudes / essais préliminaires CCTB 01.04</w:t>
      </w:r>
      <w:bookmarkEnd w:id="1064"/>
    </w:p>
    <w:p w14:paraId="3E390134" w14:textId="77777777" w:rsidR="00DB2B68" w:rsidRDefault="00000000">
      <w:pPr>
        <w:pStyle w:val="pheading"/>
      </w:pPr>
      <w:r>
        <w:t>DESCRIPTION</w:t>
      </w:r>
    </w:p>
    <w:p w14:paraId="2BEFF0DF" w14:textId="77777777" w:rsidR="00DB2B68" w:rsidRDefault="00000000">
      <w:pPr>
        <w:pStyle w:val="pheading"/>
      </w:pPr>
      <w:r>
        <w:t>- Définition / Comprend</w:t>
      </w:r>
    </w:p>
    <w:p w14:paraId="2EF871B5" w14:textId="77777777" w:rsidR="00DB2B68" w:rsidRDefault="00000000">
      <w:r>
        <w:t>Renvoi au § 03 Études, essais et contrôles en cours de chantier</w:t>
      </w:r>
    </w:p>
    <w:p w14:paraId="0C2EE64D" w14:textId="77777777" w:rsidR="00DB2B68" w:rsidRDefault="00000000">
      <w:pPr>
        <w:pStyle w:val="Author-eSectionHeading4Numberless"/>
      </w:pPr>
      <w:bookmarkStart w:id="1065" w:name="_Toc220496093"/>
      <w:r>
        <w:t>22.82 Déposes / démontages / percements / déconstructions-démolitions CCTB 01.02</w:t>
      </w:r>
      <w:bookmarkEnd w:id="1065"/>
    </w:p>
    <w:p w14:paraId="7E45DEA0" w14:textId="77777777" w:rsidR="00DB2B68" w:rsidRDefault="00000000">
      <w:pPr>
        <w:pStyle w:val="Author-eSectionHeading5Numberless"/>
      </w:pPr>
      <w:bookmarkStart w:id="1066" w:name="_Toc220496094"/>
      <w:r>
        <w:t>22.82.1 Travaux de stabilisation CCTB 01.04</w:t>
      </w:r>
      <w:bookmarkEnd w:id="1066"/>
    </w:p>
    <w:p w14:paraId="597AAB57" w14:textId="77777777" w:rsidR="00DB2B68" w:rsidRDefault="00000000">
      <w:pPr>
        <w:pStyle w:val="pheading"/>
      </w:pPr>
      <w:r>
        <w:lastRenderedPageBreak/>
        <w:t>DESCRIPTION</w:t>
      </w:r>
    </w:p>
    <w:p w14:paraId="520C1553" w14:textId="77777777" w:rsidR="00DB2B68" w:rsidRDefault="00000000">
      <w:pPr>
        <w:pStyle w:val="pheading"/>
      </w:pPr>
      <w:r>
        <w:t>- Définition / Comprend</w:t>
      </w:r>
    </w:p>
    <w:p w14:paraId="349B007F" w14:textId="77777777" w:rsidR="00DB2B68" w:rsidRDefault="00000000">
      <w:r>
        <w:t>Renvoi à l'élément 06.11 Stabilisations de la structure</w:t>
      </w:r>
    </w:p>
    <w:p w14:paraId="396EDED4" w14:textId="77777777" w:rsidR="00DB2B68" w:rsidRDefault="00000000">
      <w:pPr>
        <w:pStyle w:val="Author-eSectionHeading5Numberless"/>
      </w:pPr>
      <w:bookmarkStart w:id="1067" w:name="_Toc220496095"/>
      <w:r>
        <w:t>22.82.2 Déposes d'éléments (pour repose ultérieure) CCTB 01.04</w:t>
      </w:r>
      <w:bookmarkEnd w:id="1067"/>
    </w:p>
    <w:p w14:paraId="6D674AEC" w14:textId="77777777" w:rsidR="00DB2B68" w:rsidRDefault="00000000">
      <w:pPr>
        <w:pStyle w:val="pheading"/>
      </w:pPr>
      <w:r>
        <w:t>DESCRIPTION</w:t>
      </w:r>
    </w:p>
    <w:p w14:paraId="2EB22CC2" w14:textId="77777777" w:rsidR="00DB2B68" w:rsidRDefault="00000000">
      <w:pPr>
        <w:pStyle w:val="pheading"/>
      </w:pPr>
      <w:r>
        <w:t>- Définition / Comprend</w:t>
      </w:r>
    </w:p>
    <w:p w14:paraId="046BCD0C" w14:textId="77777777" w:rsidR="00DB2B68" w:rsidRDefault="00000000">
      <w:r>
        <w:t>Renvoi au § 06.45 Démontages d'éléments de fermeture et de finitions extérieures</w:t>
      </w:r>
    </w:p>
    <w:p w14:paraId="36A5EC2C" w14:textId="77777777" w:rsidR="00DB2B68" w:rsidRDefault="00000000">
      <w:pPr>
        <w:pStyle w:val="Author-eSectionHeading5Numberless"/>
      </w:pPr>
      <w:bookmarkStart w:id="1068" w:name="_Toc220496096"/>
      <w:r>
        <w:t>22.82.3 Démontages d'éléments (pour récupération) CCTB 01.04</w:t>
      </w:r>
      <w:bookmarkEnd w:id="1068"/>
    </w:p>
    <w:p w14:paraId="16623146" w14:textId="77777777" w:rsidR="00DB2B68" w:rsidRDefault="00000000">
      <w:pPr>
        <w:pStyle w:val="pheading"/>
      </w:pPr>
      <w:r>
        <w:t>DESCRIPTION</w:t>
      </w:r>
    </w:p>
    <w:p w14:paraId="50090360" w14:textId="77777777" w:rsidR="00DB2B68" w:rsidRDefault="00000000">
      <w:pPr>
        <w:pStyle w:val="pheading"/>
      </w:pPr>
      <w:r>
        <w:t>- Définition / Comprend</w:t>
      </w:r>
    </w:p>
    <w:p w14:paraId="04D35584" w14:textId="77777777" w:rsidR="00DB2B68" w:rsidRDefault="00000000">
      <w:r>
        <w:t>Renvoi au § 06.45 Démontages d'éléments de fermeture et de finitions extérieures</w:t>
      </w:r>
    </w:p>
    <w:p w14:paraId="3A84620D" w14:textId="77777777" w:rsidR="00DB2B68" w:rsidRDefault="00000000">
      <w:pPr>
        <w:pStyle w:val="Author-eSectionHeading5Numberless"/>
      </w:pPr>
      <w:bookmarkStart w:id="1069" w:name="_Toc220496097"/>
      <w:r>
        <w:t>22.82.4 Décapages / déjointoiements (pour évacuation) CCTB 01.04</w:t>
      </w:r>
      <w:bookmarkEnd w:id="1069"/>
    </w:p>
    <w:p w14:paraId="03B24FF0" w14:textId="77777777" w:rsidR="00DB2B68" w:rsidRDefault="00000000">
      <w:pPr>
        <w:pStyle w:val="pheading"/>
      </w:pPr>
      <w:r>
        <w:t>DESCRIPTION</w:t>
      </w:r>
    </w:p>
    <w:p w14:paraId="6AB15B0A" w14:textId="77777777" w:rsidR="00DB2B68" w:rsidRDefault="00000000">
      <w:pPr>
        <w:pStyle w:val="pheading"/>
      </w:pPr>
      <w:r>
        <w:t>- Définition / Comprend</w:t>
      </w:r>
    </w:p>
    <w:p w14:paraId="30FE78F5" w14:textId="77777777" w:rsidR="00DB2B68" w:rsidRDefault="00000000">
      <w:r>
        <w:t>Renvoi à l'élément 06.7 Décapages / déjointoiements (pour évacuation)</w:t>
      </w:r>
    </w:p>
    <w:p w14:paraId="2D731F2E" w14:textId="77777777" w:rsidR="00DB2B68" w:rsidRDefault="00000000">
      <w:r>
        <w:t>L’évacuation et la gestion des déchets issus de travaux de démolition, de rénovation ou de construction font l’objet d’un ou plusieurs postes spécifiques, détaillés en 07 Déchets, matériaux et éléments réemployables.</w:t>
      </w:r>
    </w:p>
    <w:p w14:paraId="347FE8D3" w14:textId="77777777" w:rsidR="00DB2B68" w:rsidRDefault="00000000">
      <w:pPr>
        <w:pStyle w:val="Author-eSectionHeading5Numberless"/>
      </w:pPr>
      <w:bookmarkStart w:id="1070" w:name="_Toc220496098"/>
      <w:r>
        <w:t>22.82.5 Percements / carottages CCTB 01.04</w:t>
      </w:r>
      <w:bookmarkEnd w:id="1070"/>
    </w:p>
    <w:p w14:paraId="2A13BA93" w14:textId="77777777" w:rsidR="00DB2B68" w:rsidRDefault="00000000">
      <w:pPr>
        <w:pStyle w:val="pheading"/>
      </w:pPr>
      <w:r>
        <w:t>DESCRIPTION</w:t>
      </w:r>
    </w:p>
    <w:p w14:paraId="51E95DA9" w14:textId="77777777" w:rsidR="00DB2B68" w:rsidRDefault="00000000">
      <w:pPr>
        <w:pStyle w:val="pheading"/>
      </w:pPr>
      <w:r>
        <w:t>- Définition / Comprend</w:t>
      </w:r>
    </w:p>
    <w:p w14:paraId="00BB0872" w14:textId="77777777" w:rsidR="00DB2B68" w:rsidRDefault="00000000">
      <w:r>
        <w:t>Renvoi à l'élément 06.8 Percements / carottages</w:t>
      </w:r>
    </w:p>
    <w:p w14:paraId="223FAE0B" w14:textId="77777777" w:rsidR="00DB2B68" w:rsidRDefault="00000000">
      <w:pPr>
        <w:pStyle w:val="Author-eSectionHeading5Numberless"/>
      </w:pPr>
      <w:bookmarkStart w:id="1071" w:name="_Toc220496099"/>
      <w:r>
        <w:t>22.82.6 Déconstructions / démolitions (pour évacuation) CCTB 01.04</w:t>
      </w:r>
      <w:bookmarkEnd w:id="1071"/>
    </w:p>
    <w:p w14:paraId="0004B16B" w14:textId="77777777" w:rsidR="00DB2B68" w:rsidRDefault="00000000">
      <w:pPr>
        <w:pStyle w:val="pheading"/>
      </w:pPr>
      <w:r>
        <w:t>DESCRIPTION</w:t>
      </w:r>
    </w:p>
    <w:p w14:paraId="4F17178C" w14:textId="77777777" w:rsidR="00DB2B68" w:rsidRDefault="00000000">
      <w:pPr>
        <w:pStyle w:val="pheading"/>
      </w:pPr>
      <w:r>
        <w:t>- Définition / Comprend</w:t>
      </w:r>
    </w:p>
    <w:p w14:paraId="43EF2480" w14:textId="77777777" w:rsidR="00DB2B68" w:rsidRDefault="00000000">
      <w:r>
        <w:t>Renvoi au § 06.27.2 Démolitions d'éléments de structures en béton</w:t>
      </w:r>
    </w:p>
    <w:p w14:paraId="485808DC" w14:textId="77777777" w:rsidR="00DB2B68" w:rsidRDefault="00000000">
      <w:r>
        <w:t>L’évacuation et la gestion des déchets issus de travaux de démolition, de rénovation ou de construction font l’objet d’un ou plusieurs postes spécifiques, détaillés dans le Tome 0 en section 07 Déchets, matériaux et éléments réemployables.</w:t>
      </w:r>
    </w:p>
    <w:p w14:paraId="7458A8E6" w14:textId="77777777" w:rsidR="00DB2B68" w:rsidRDefault="00000000">
      <w:pPr>
        <w:pStyle w:val="Author-eSectionHeading4Numberless"/>
      </w:pPr>
      <w:bookmarkStart w:id="1072" w:name="_Toc220496100"/>
      <w:r>
        <w:t>22.83 Réparations / ragréages / rénovations CCTB 01.02</w:t>
      </w:r>
      <w:bookmarkEnd w:id="1072"/>
    </w:p>
    <w:p w14:paraId="08547C9D" w14:textId="77777777" w:rsidR="00DB2B68" w:rsidRDefault="00000000">
      <w:pPr>
        <w:pStyle w:val="Author-eSectionHeading5Numberless"/>
      </w:pPr>
      <w:bookmarkStart w:id="1073" w:name="535"/>
      <w:bookmarkStart w:id="1074" w:name="_Toc220496101"/>
      <w:bookmarkEnd w:id="1073"/>
      <w:r>
        <w:t>22.83.1 Ragréages superficiels de béton par mortiers de réparation CCTB 01.02</w:t>
      </w:r>
      <w:bookmarkEnd w:id="1074"/>
    </w:p>
    <w:p w14:paraId="2C3D4CA8" w14:textId="77777777" w:rsidR="00DB2B68" w:rsidRDefault="00000000">
      <w:pPr>
        <w:pStyle w:val="Author-eSectionHeading6Numberless"/>
      </w:pPr>
      <w:bookmarkStart w:id="1075" w:name="_Toc220496102"/>
      <w:r>
        <w:t>22.83.1a Ragréages de béton par mortier de ragréage à base de liants hydraulique CCTB 01.02</w:t>
      </w:r>
      <w:bookmarkEnd w:id="1075"/>
    </w:p>
    <w:p w14:paraId="46B296A8" w14:textId="77777777" w:rsidR="00DB2B68" w:rsidRDefault="00000000">
      <w:pPr>
        <w:pStyle w:val="Author-eSectionHeading6Numberless"/>
      </w:pPr>
      <w:bookmarkStart w:id="1076" w:name="_Toc220496103"/>
      <w:r>
        <w:t>22.83.1b Ragréages de béton par mortier de ragréage à base de résines CCTB 01.02</w:t>
      </w:r>
      <w:bookmarkEnd w:id="1076"/>
    </w:p>
    <w:p w14:paraId="4C4A8BC3" w14:textId="77777777" w:rsidR="00DB2B68" w:rsidRDefault="00000000">
      <w:pPr>
        <w:pStyle w:val="Author-eSectionHeading5Numberless"/>
      </w:pPr>
      <w:bookmarkStart w:id="1077" w:name="_Toc220496104"/>
      <w:r>
        <w:lastRenderedPageBreak/>
        <w:t>22.83.2 Réparations de béton armé par application manuelle CCTB 01.02</w:t>
      </w:r>
      <w:bookmarkEnd w:id="1077"/>
    </w:p>
    <w:p w14:paraId="62E0A4C9" w14:textId="77777777" w:rsidR="00DB2B68" w:rsidRDefault="00000000">
      <w:pPr>
        <w:pStyle w:val="Author-eSectionHeading6Numberless"/>
      </w:pPr>
      <w:bookmarkStart w:id="1078" w:name="_Toc220496105"/>
      <w:r>
        <w:t>22.83.2a Réparations de béton armé par application manuelle CCTB 01.02</w:t>
      </w:r>
      <w:bookmarkEnd w:id="1078"/>
    </w:p>
    <w:p w14:paraId="5F1E90E7" w14:textId="77777777" w:rsidR="00DB2B68" w:rsidRDefault="00000000">
      <w:pPr>
        <w:pStyle w:val="Author-eSectionHeading5Numberless"/>
      </w:pPr>
      <w:bookmarkStart w:id="1079" w:name="_Toc220496106"/>
      <w:r>
        <w:t>22.83.3 Réparations de béton armé par coulage CCTB 01.02</w:t>
      </w:r>
      <w:bookmarkEnd w:id="1079"/>
    </w:p>
    <w:p w14:paraId="32A9DE9C" w14:textId="77777777" w:rsidR="00DB2B68" w:rsidRDefault="00000000">
      <w:pPr>
        <w:pStyle w:val="Author-eSectionHeading6Numberless"/>
      </w:pPr>
      <w:bookmarkStart w:id="1080" w:name="_Toc220496107"/>
      <w:r>
        <w:t>22.83.3a Réparations de béton armé par coulage CCTB 01.02</w:t>
      </w:r>
      <w:bookmarkEnd w:id="1080"/>
    </w:p>
    <w:p w14:paraId="39CDE7B4" w14:textId="77777777" w:rsidR="00DB2B68" w:rsidRDefault="00000000">
      <w:pPr>
        <w:pStyle w:val="Author-eSectionHeading5Numberless"/>
      </w:pPr>
      <w:bookmarkStart w:id="1081" w:name="_Toc220496108"/>
      <w:r>
        <w:t>22.83.4 Réparations de béton armé par gunitage CCTB 01.02</w:t>
      </w:r>
      <w:bookmarkEnd w:id="1081"/>
    </w:p>
    <w:p w14:paraId="2B3EC6D9" w14:textId="77777777" w:rsidR="00DB2B68" w:rsidRDefault="00000000">
      <w:pPr>
        <w:pStyle w:val="Author-eSectionHeading6Numberless"/>
      </w:pPr>
      <w:bookmarkStart w:id="1082" w:name="_Toc220496109"/>
      <w:r>
        <w:t>22.83.4a Réparations de béton armé par gunitage CCTB 01.02</w:t>
      </w:r>
      <w:bookmarkEnd w:id="1082"/>
    </w:p>
    <w:p w14:paraId="225F403C" w14:textId="77777777" w:rsidR="00DB2B68" w:rsidRDefault="00000000">
      <w:pPr>
        <w:pStyle w:val="Author-eSectionHeading4Numberless"/>
      </w:pPr>
      <w:bookmarkStart w:id="1083" w:name="_Toc220496110"/>
      <w:r>
        <w:t>22.84 Renforcements CCTB 01.02</w:t>
      </w:r>
      <w:bookmarkEnd w:id="1083"/>
    </w:p>
    <w:p w14:paraId="3B3009A0" w14:textId="77777777" w:rsidR="00DB2B68" w:rsidRDefault="00000000">
      <w:pPr>
        <w:pStyle w:val="Author-eSectionHeading5Numberless"/>
      </w:pPr>
      <w:bookmarkStart w:id="1084" w:name="_Toc220496111"/>
      <w:r>
        <w:t>22.84.1 Renforcements par injections de fissures CCTB 01.02</w:t>
      </w:r>
      <w:bookmarkEnd w:id="1084"/>
    </w:p>
    <w:p w14:paraId="3CEE1212" w14:textId="77777777" w:rsidR="00DB2B68" w:rsidRDefault="00000000">
      <w:pPr>
        <w:pStyle w:val="Author-eSectionHeading6Numberless"/>
      </w:pPr>
      <w:bookmarkStart w:id="1085" w:name="_Toc220496112"/>
      <w:r>
        <w:t>22.84.1a Renforcements par injections de fissures CCTB 01.02</w:t>
      </w:r>
      <w:bookmarkEnd w:id="1085"/>
    </w:p>
    <w:p w14:paraId="1438194E" w14:textId="77777777" w:rsidR="00DB2B68" w:rsidRDefault="00000000">
      <w:pPr>
        <w:pStyle w:val="Author-eSectionHeading5Numberless"/>
      </w:pPr>
      <w:bookmarkStart w:id="1086" w:name="_Toc220496113"/>
      <w:r>
        <w:t>22.84.2 Renforcements par modification de la section de poutres existantes CCTB 01.02</w:t>
      </w:r>
      <w:bookmarkEnd w:id="1086"/>
    </w:p>
    <w:p w14:paraId="472F73DE" w14:textId="77777777" w:rsidR="00DB2B68" w:rsidRDefault="00000000">
      <w:pPr>
        <w:pStyle w:val="Author-eSectionHeading6Numberless"/>
      </w:pPr>
      <w:bookmarkStart w:id="1087" w:name="_Toc220496114"/>
      <w:r>
        <w:t>22.84.2a Renforcements par modification de la section de poutres existantes CCTB 01.02</w:t>
      </w:r>
      <w:bookmarkEnd w:id="1087"/>
    </w:p>
    <w:p w14:paraId="027CDDC6" w14:textId="77777777" w:rsidR="00DB2B68" w:rsidRDefault="00000000">
      <w:pPr>
        <w:pStyle w:val="Author-eSectionHeading5Numberless"/>
      </w:pPr>
      <w:bookmarkStart w:id="1088" w:name="_Toc220496115"/>
      <w:r>
        <w:t>22.84.3 Renforcements par insertions et scellements de barres CCTB 01.02</w:t>
      </w:r>
      <w:bookmarkEnd w:id="1088"/>
    </w:p>
    <w:p w14:paraId="0B54AB68" w14:textId="77777777" w:rsidR="00DB2B68" w:rsidRDefault="00000000">
      <w:pPr>
        <w:pStyle w:val="Author-eSectionHeading6Numberless"/>
      </w:pPr>
      <w:bookmarkStart w:id="1089" w:name="_Toc220496116"/>
      <w:r>
        <w:t>22.84.3a Scellements de barres en attente CCTB 01.02</w:t>
      </w:r>
      <w:bookmarkEnd w:id="1089"/>
    </w:p>
    <w:p w14:paraId="4A406A48" w14:textId="77777777" w:rsidR="00DB2B68" w:rsidRDefault="00000000">
      <w:pPr>
        <w:pStyle w:val="Author-eSectionHeading6Numberless"/>
      </w:pPr>
      <w:bookmarkStart w:id="1090" w:name="_Toc220496117"/>
      <w:r>
        <w:t>22.84.3b Ancrages de structures en béton CCTB 01.02</w:t>
      </w:r>
      <w:bookmarkEnd w:id="1090"/>
    </w:p>
    <w:p w14:paraId="243A3127" w14:textId="77777777" w:rsidR="00DB2B68" w:rsidRDefault="00000000">
      <w:pPr>
        <w:pStyle w:val="Author-eSectionHeading6Numberless"/>
      </w:pPr>
      <w:bookmarkStart w:id="1091" w:name="_Toc220496118"/>
      <w:r>
        <w:t>22.84.3c Brochages de structures en béton CCTB 01.02</w:t>
      </w:r>
      <w:bookmarkEnd w:id="1091"/>
    </w:p>
    <w:p w14:paraId="677C6A06" w14:textId="77777777" w:rsidR="00DB2B68" w:rsidRDefault="00000000">
      <w:pPr>
        <w:pStyle w:val="Author-eSectionHeading6Numberless"/>
      </w:pPr>
      <w:bookmarkStart w:id="1092" w:name="_Toc220496119"/>
      <w:r>
        <w:t>22.84.3d Agrafages de structures en béton CCTB 01.02</w:t>
      </w:r>
      <w:bookmarkEnd w:id="1092"/>
    </w:p>
    <w:p w14:paraId="2AFC659C" w14:textId="77777777" w:rsidR="00DB2B68" w:rsidRDefault="00000000">
      <w:pPr>
        <w:pStyle w:val="Author-eSectionHeading6Numberless"/>
      </w:pPr>
      <w:bookmarkStart w:id="1093" w:name="_Toc220496120"/>
      <w:r>
        <w:t>22.84.3e Epinglages de structures en béton CCTB 01.02</w:t>
      </w:r>
      <w:bookmarkEnd w:id="1093"/>
    </w:p>
    <w:p w14:paraId="2FD2EE0F" w14:textId="77777777" w:rsidR="00DB2B68" w:rsidRDefault="00000000">
      <w:pPr>
        <w:pStyle w:val="Author-eSectionHeading5Numberless"/>
      </w:pPr>
      <w:bookmarkStart w:id="1094" w:name="_Toc220496121"/>
      <w:r>
        <w:t>22.84.4 Renforcements par collage d'armatures CCTB 01.02</w:t>
      </w:r>
      <w:bookmarkEnd w:id="1094"/>
    </w:p>
    <w:p w14:paraId="4A038DDD" w14:textId="77777777" w:rsidR="00DB2B68" w:rsidRDefault="00000000">
      <w:pPr>
        <w:pStyle w:val="Author-eSectionHeading6Numberless"/>
      </w:pPr>
      <w:bookmarkStart w:id="1095" w:name="178"/>
      <w:bookmarkStart w:id="1096" w:name="_Toc220496122"/>
      <w:bookmarkEnd w:id="1095"/>
      <w:r>
        <w:t>22.84.4a Ajouts d'armatures collées en acier CCTB 01.02</w:t>
      </w:r>
      <w:bookmarkEnd w:id="1096"/>
    </w:p>
    <w:p w14:paraId="05663E04" w14:textId="77777777" w:rsidR="00DB2B68" w:rsidRDefault="00000000">
      <w:pPr>
        <w:pStyle w:val="Author-eSectionHeading6Numberless"/>
      </w:pPr>
      <w:bookmarkStart w:id="1097" w:name="_Toc220496123"/>
      <w:r>
        <w:t>22.84.4b Ajouts d'armatures collées en fibres de carbone CCTB 01.02</w:t>
      </w:r>
      <w:bookmarkEnd w:id="1097"/>
    </w:p>
    <w:p w14:paraId="3E65D40E" w14:textId="77777777" w:rsidR="00DB2B68" w:rsidRDefault="00000000">
      <w:pPr>
        <w:pStyle w:val="Author-eSectionHeading6Numberless"/>
      </w:pPr>
      <w:bookmarkStart w:id="1098" w:name="_Toc220496124"/>
      <w:r>
        <w:t>22.84.4c Systèmes d'armatures précontraintes collées CCTB 01.02</w:t>
      </w:r>
      <w:bookmarkEnd w:id="1098"/>
    </w:p>
    <w:p w14:paraId="6384E431" w14:textId="77777777" w:rsidR="00DB2B68" w:rsidRDefault="00000000">
      <w:pPr>
        <w:pStyle w:val="Author-eSectionHeading6Numberless"/>
      </w:pPr>
      <w:bookmarkStart w:id="1099" w:name="_Toc220496125"/>
      <w:r>
        <w:t>22.84.4d Renforcements par moulages composites CCTB 01.02</w:t>
      </w:r>
      <w:bookmarkEnd w:id="1099"/>
    </w:p>
    <w:p w14:paraId="7C331419" w14:textId="77777777" w:rsidR="00DB2B68" w:rsidRDefault="00000000">
      <w:pPr>
        <w:pStyle w:val="Author-eSectionHeading5Numberless"/>
      </w:pPr>
      <w:bookmarkStart w:id="1100" w:name="_Toc220496126"/>
      <w:r>
        <w:t>22.84.5 Renforcements par ajout d'éléments structuraux INTERNES CCTB 01.04</w:t>
      </w:r>
      <w:bookmarkEnd w:id="1100"/>
    </w:p>
    <w:p w14:paraId="4E96FD4A" w14:textId="77777777" w:rsidR="00DB2B68" w:rsidRDefault="00000000">
      <w:pPr>
        <w:pStyle w:val="Author-eSectionHeading6Numberless"/>
      </w:pPr>
      <w:bookmarkStart w:id="1101" w:name="_Toc220496127"/>
      <w:r>
        <w:t>22.84.5a Renforcements par ajout d'armatures complémentaires CCTB 01.02</w:t>
      </w:r>
      <w:bookmarkEnd w:id="1101"/>
    </w:p>
    <w:p w14:paraId="117FE39E" w14:textId="77777777" w:rsidR="00DB2B68" w:rsidRDefault="00000000">
      <w:pPr>
        <w:pStyle w:val="Author-eSectionHeading5Numberless"/>
      </w:pPr>
      <w:bookmarkStart w:id="1102" w:name="_Toc220496128"/>
      <w:r>
        <w:t>22.84.6 Renforcements par ajout d'éléments structuraux EXTERNES CCTB 01.04</w:t>
      </w:r>
      <w:bookmarkEnd w:id="1102"/>
    </w:p>
    <w:p w14:paraId="724BCECE" w14:textId="77777777" w:rsidR="00DB2B68" w:rsidRDefault="00000000">
      <w:pPr>
        <w:pStyle w:val="Author-eSectionHeading6Numberless"/>
      </w:pPr>
      <w:bookmarkStart w:id="1103" w:name="_Toc220496129"/>
      <w:r>
        <w:t>22.84.6a Ajouts de tirants métalliques externes CCTB 01.02</w:t>
      </w:r>
      <w:bookmarkEnd w:id="1103"/>
    </w:p>
    <w:p w14:paraId="6149ADB2" w14:textId="77777777" w:rsidR="00DB2B68" w:rsidRDefault="00000000">
      <w:pPr>
        <w:pStyle w:val="Author-eSectionHeading6Numberless"/>
      </w:pPr>
      <w:bookmarkStart w:id="1104" w:name="_Toc220496130"/>
      <w:r>
        <w:t>22.84.6b Renforcements par ajout de profils métalliques externes boulonnés CCTB 01.02</w:t>
      </w:r>
      <w:bookmarkEnd w:id="1104"/>
    </w:p>
    <w:p w14:paraId="62995F0D" w14:textId="77777777" w:rsidR="00DB2B68" w:rsidRDefault="00000000">
      <w:pPr>
        <w:pStyle w:val="Author-eSectionHeading6Numberless"/>
      </w:pPr>
      <w:bookmarkStart w:id="1105" w:name="_Toc220496131"/>
      <w:r>
        <w:t>22.84.6c Réalisations de postcontrainte extérieure CCTB 01.02</w:t>
      </w:r>
      <w:bookmarkEnd w:id="1105"/>
    </w:p>
    <w:p w14:paraId="30E06A50" w14:textId="77777777" w:rsidR="00DB2B68" w:rsidRDefault="00000000">
      <w:pPr>
        <w:pStyle w:val="Author-eSectionHeading6Numberless"/>
      </w:pPr>
      <w:bookmarkStart w:id="1106" w:name="_Toc220496132"/>
      <w:r>
        <w:lastRenderedPageBreak/>
        <w:t>22.84.6d Structures de délestage autour d'une structure existante CCTB 01.04</w:t>
      </w:r>
      <w:bookmarkEnd w:id="1106"/>
    </w:p>
    <w:p w14:paraId="2C5B4AD1" w14:textId="77777777" w:rsidR="00DB2B68" w:rsidRDefault="00000000">
      <w:pPr>
        <w:pStyle w:val="Author-eSectionHeading4Numberless"/>
      </w:pPr>
      <w:bookmarkStart w:id="1107" w:name="_Toc220496133"/>
      <w:r>
        <w:t>22.85 Adaptations CCTB 01.02</w:t>
      </w:r>
      <w:bookmarkEnd w:id="1107"/>
    </w:p>
    <w:p w14:paraId="4551FFE7" w14:textId="77777777" w:rsidR="00DB2B68" w:rsidRDefault="00000000">
      <w:pPr>
        <w:pStyle w:val="Author-eSectionHeading5Numberless"/>
      </w:pPr>
      <w:bookmarkStart w:id="1108" w:name="_Toc220496134"/>
      <w:r>
        <w:t>22.85.1 Adaptations de structures en béton pour baies / passages CCTB 01.02</w:t>
      </w:r>
      <w:bookmarkEnd w:id="1108"/>
    </w:p>
    <w:p w14:paraId="75D321CC" w14:textId="77777777" w:rsidR="00DB2B68" w:rsidRDefault="00000000">
      <w:pPr>
        <w:pStyle w:val="Author-eSectionHeading6Numberless"/>
      </w:pPr>
      <w:bookmarkStart w:id="1109" w:name="_Toc220496135"/>
      <w:r>
        <w:t>22.85.1a Créations de baies dans structures en béton CCTB 01.04</w:t>
      </w:r>
      <w:bookmarkEnd w:id="1109"/>
    </w:p>
    <w:p w14:paraId="3FC489FE" w14:textId="77777777" w:rsidR="00DB2B68" w:rsidRDefault="00000000">
      <w:pPr>
        <w:pStyle w:val="pheading"/>
      </w:pPr>
      <w:r>
        <w:t>DESCRIPTION</w:t>
      </w:r>
    </w:p>
    <w:p w14:paraId="71EEAAEA" w14:textId="77777777" w:rsidR="00DB2B68" w:rsidRDefault="00000000">
      <w:pPr>
        <w:pStyle w:val="pheading"/>
      </w:pPr>
      <w:r>
        <w:t>- Définition / Comprend</w:t>
      </w:r>
    </w:p>
    <w:p w14:paraId="6C1FC472" w14:textId="77777777" w:rsidR="00DB2B68" w:rsidRDefault="00000000">
      <w:r>
        <w:t>Renvoi à l'élément 06.82.2c Créations de baies dans éléments de structures en béton armé</w:t>
      </w:r>
    </w:p>
    <w:p w14:paraId="19C049EB" w14:textId="77777777" w:rsidR="00DB2B68" w:rsidRDefault="00000000">
      <w:pPr>
        <w:pStyle w:val="Author-eSectionHeading6Numberless"/>
      </w:pPr>
      <w:bookmarkStart w:id="1110" w:name="_Toc220496136"/>
      <w:r>
        <w:t>22.85.1b Adaptations dimensionnelles de baies existantes dans structures en béton CCTB 01.04</w:t>
      </w:r>
      <w:bookmarkEnd w:id="1110"/>
    </w:p>
    <w:p w14:paraId="00E083A2" w14:textId="77777777" w:rsidR="00DB2B68" w:rsidRDefault="00000000">
      <w:pPr>
        <w:pStyle w:val="pheading"/>
      </w:pPr>
      <w:r>
        <w:t>DESCRIPTION</w:t>
      </w:r>
    </w:p>
    <w:p w14:paraId="4026875D" w14:textId="77777777" w:rsidR="00DB2B68" w:rsidRDefault="00000000">
      <w:pPr>
        <w:pStyle w:val="pheading"/>
      </w:pPr>
      <w:r>
        <w:t>- Définition / Comprend</w:t>
      </w:r>
    </w:p>
    <w:p w14:paraId="2123C664" w14:textId="77777777" w:rsidR="00DB2B68" w:rsidRDefault="00000000">
      <w:r>
        <w:t>Renvoi aux éléments 06.82.3c Adaptations dimensionnelles de baies, avec reprise de charges, dans éléments de structures en béton armé et 06.82.4c Adaptations dimensionnelles de baies, sans reprise de charges, dans éléments de structures en béton armé</w:t>
      </w:r>
    </w:p>
    <w:p w14:paraId="747EB3D4" w14:textId="77777777" w:rsidR="00DB2B68" w:rsidRDefault="00000000">
      <w:pPr>
        <w:pStyle w:val="Author-eSectionHeading6Numberless"/>
      </w:pPr>
      <w:bookmarkStart w:id="1111" w:name="_Toc220496137"/>
      <w:r>
        <w:t>22.85.1c Obturations de baies existantes dans structures en béton CCTB 01.02</w:t>
      </w:r>
      <w:bookmarkEnd w:id="1111"/>
    </w:p>
    <w:p w14:paraId="3BC5D37D" w14:textId="77777777" w:rsidR="00DB2B68" w:rsidRDefault="00000000">
      <w:pPr>
        <w:pStyle w:val="Author-eSectionHeading4Numberless"/>
      </w:pPr>
      <w:bookmarkStart w:id="1112" w:name="_Toc220496138"/>
      <w:r>
        <w:t>22.86 Reposes / remplacements (à l'identique) CCTB 01.02</w:t>
      </w:r>
      <w:bookmarkEnd w:id="1112"/>
    </w:p>
    <w:p w14:paraId="2F4F2579" w14:textId="77777777" w:rsidR="00DB2B68" w:rsidRDefault="00000000">
      <w:pPr>
        <w:pStyle w:val="Author-eSectionHeading5Numberless"/>
      </w:pPr>
      <w:bookmarkStart w:id="1113" w:name="_Toc220496139"/>
      <w:r>
        <w:t>22.86.1 Reposes d'éléments récupérés CCTB 01.02</w:t>
      </w:r>
      <w:bookmarkEnd w:id="1113"/>
    </w:p>
    <w:p w14:paraId="0A5D5C3E" w14:textId="77777777" w:rsidR="00DB2B68" w:rsidRDefault="00000000">
      <w:pPr>
        <w:pStyle w:val="Author-eSectionHeading6Numberless"/>
      </w:pPr>
      <w:bookmarkStart w:id="1114" w:name="_Toc220496140"/>
      <w:r>
        <w:t>22.86.1a Reposes d'éléments de structures en béton récupérés CCTB 01.02</w:t>
      </w:r>
      <w:bookmarkEnd w:id="1114"/>
    </w:p>
    <w:p w14:paraId="3AA85C5D" w14:textId="77777777" w:rsidR="00DB2B68" w:rsidRDefault="00000000">
      <w:pPr>
        <w:pStyle w:val="Author-eSectionHeading5Numberless"/>
      </w:pPr>
      <w:bookmarkStart w:id="1115" w:name="_Toc220496141"/>
      <w:r>
        <w:t>22.86.2 Remplacements complets à l'identique de structures en béton CCTB 01.04</w:t>
      </w:r>
      <w:bookmarkEnd w:id="1115"/>
    </w:p>
    <w:p w14:paraId="67EC2B35" w14:textId="77777777" w:rsidR="00DB2B68" w:rsidRDefault="00000000">
      <w:pPr>
        <w:pStyle w:val="pheading"/>
      </w:pPr>
      <w:r>
        <w:t>DESCRIPTION</w:t>
      </w:r>
    </w:p>
    <w:p w14:paraId="6A427EC5" w14:textId="77777777" w:rsidR="00DB2B68" w:rsidRDefault="00000000">
      <w:pPr>
        <w:pStyle w:val="pheading"/>
      </w:pPr>
      <w:r>
        <w:t>- Définition / Comprend</w:t>
      </w:r>
    </w:p>
    <w:p w14:paraId="140648B3" w14:textId="77777777" w:rsidR="00DB2B68" w:rsidRDefault="00000000">
      <w:r>
        <w:t xml:space="preserve">Renvoi au § </w:t>
      </w:r>
      <w:hyperlink w:anchor="87" w:history="1">
        <w:r>
          <w:rPr>
            <w:color w:val="0000EE"/>
          </w:rPr>
          <w:t>22 Superstructures en béton</w:t>
        </w:r>
      </w:hyperlink>
    </w:p>
    <w:p w14:paraId="501FBB8A" w14:textId="77777777" w:rsidR="00DB2B68" w:rsidRDefault="00000000">
      <w:pPr>
        <w:pStyle w:val="Author-eSectionHeading5Numberless"/>
      </w:pPr>
      <w:bookmarkStart w:id="1116" w:name="_Toc220496142"/>
      <w:r>
        <w:t>22.86.3 Remplacements d'éléments de structure isolés en béton CCTB 01.02</w:t>
      </w:r>
      <w:bookmarkEnd w:id="1116"/>
    </w:p>
    <w:p w14:paraId="6C6A8608" w14:textId="77777777" w:rsidR="00DB2B68" w:rsidRDefault="00000000">
      <w:pPr>
        <w:pStyle w:val="Author-eSectionHeading6Numberless"/>
      </w:pPr>
      <w:bookmarkStart w:id="1117" w:name="_Toc220496143"/>
      <w:r>
        <w:t>22.86.3a Remplacements d'éléments de structure isolés en béton CCTB 01.02</w:t>
      </w:r>
      <w:bookmarkEnd w:id="1117"/>
    </w:p>
    <w:p w14:paraId="4DA4C622" w14:textId="77777777" w:rsidR="00DB2B68" w:rsidRDefault="00000000">
      <w:pPr>
        <w:pStyle w:val="Author-eSectionHeading5Numberless"/>
      </w:pPr>
      <w:bookmarkStart w:id="1118" w:name="_Toc220496144"/>
      <w:r>
        <w:t>22.86.4 Remplacements partiels de parties de structure / charpente en béton CCTB 01.02</w:t>
      </w:r>
      <w:bookmarkEnd w:id="1118"/>
    </w:p>
    <w:p w14:paraId="4551EF7A" w14:textId="77777777" w:rsidR="00DB2B68" w:rsidRDefault="00000000">
      <w:pPr>
        <w:pStyle w:val="Author-eSectionHeading6Numberless"/>
      </w:pPr>
      <w:bookmarkStart w:id="1119" w:name="_Toc220496145"/>
      <w:r>
        <w:t>22.86.4a Remplacements partiels de parties de structure / charpente en béton CCTB 01.02</w:t>
      </w:r>
      <w:bookmarkEnd w:id="1119"/>
    </w:p>
    <w:p w14:paraId="735CEF16" w14:textId="77777777" w:rsidR="00DB2B68" w:rsidRDefault="00000000">
      <w:pPr>
        <w:pStyle w:val="Author-eSectionHeading5Numberless"/>
      </w:pPr>
      <w:bookmarkStart w:id="1120" w:name="_Toc220496146"/>
      <w:r>
        <w:t>22.86.5 Remplacements d'éléments de fixation / assemblage CCTB 01.02</w:t>
      </w:r>
      <w:bookmarkEnd w:id="1120"/>
    </w:p>
    <w:p w14:paraId="4F4D220B" w14:textId="77777777" w:rsidR="00DB2B68" w:rsidRDefault="00000000">
      <w:pPr>
        <w:pStyle w:val="Author-eSectionHeading6Numberless"/>
      </w:pPr>
      <w:bookmarkStart w:id="1121" w:name="_Toc220496147"/>
      <w:r>
        <w:t>22.86.5a Remplacements de fixations métalliques (boulons / écrous) CCTB 01.02</w:t>
      </w:r>
      <w:bookmarkEnd w:id="1121"/>
    </w:p>
    <w:p w14:paraId="5D1FCDFF" w14:textId="77777777" w:rsidR="00DB2B68" w:rsidRDefault="00000000">
      <w:pPr>
        <w:pStyle w:val="Author-eSectionHeading4Numberless"/>
      </w:pPr>
      <w:bookmarkStart w:id="1122" w:name="_Toc220496148"/>
      <w:r>
        <w:t>22.87 Nettoyages / préparations de surface CCTB 01.04</w:t>
      </w:r>
      <w:bookmarkEnd w:id="1122"/>
    </w:p>
    <w:p w14:paraId="282E8CD9" w14:textId="77777777" w:rsidR="00DB2B68" w:rsidRDefault="00000000">
      <w:pPr>
        <w:pStyle w:val="pheading"/>
      </w:pPr>
      <w:r>
        <w:t>DESCRIPTION</w:t>
      </w:r>
    </w:p>
    <w:p w14:paraId="1CDE392D" w14:textId="77777777" w:rsidR="00DB2B68" w:rsidRDefault="00000000">
      <w:pPr>
        <w:pStyle w:val="pheading"/>
      </w:pPr>
      <w:r>
        <w:lastRenderedPageBreak/>
        <w:t>- Définition / Comprend</w:t>
      </w:r>
    </w:p>
    <w:p w14:paraId="14442CBF" w14:textId="77777777" w:rsidR="00DB2B68" w:rsidRDefault="00000000">
      <w:r>
        <w:t>Renvoi au § 83.11 Nettoyage / préparation de surface</w:t>
      </w:r>
    </w:p>
    <w:p w14:paraId="1675541C" w14:textId="77777777" w:rsidR="00DB2B68" w:rsidRDefault="00000000">
      <w:pPr>
        <w:pStyle w:val="Author-eSectionHeading4Numberless"/>
      </w:pPr>
      <w:bookmarkStart w:id="1123" w:name="_Toc220496149"/>
      <w:r>
        <w:t>22.88 Traitements et protections CCTB 01.02</w:t>
      </w:r>
      <w:bookmarkEnd w:id="1123"/>
    </w:p>
    <w:p w14:paraId="2E287CE8" w14:textId="77777777" w:rsidR="00DB2B68" w:rsidRDefault="00000000">
      <w:pPr>
        <w:pStyle w:val="Author-eSectionHeading5Numberless"/>
      </w:pPr>
      <w:bookmarkStart w:id="1124" w:name="_Toc220496150"/>
      <w:r>
        <w:t>22.88.1 Revêtements de finition / protection CCTB 01.04</w:t>
      </w:r>
      <w:bookmarkEnd w:id="1124"/>
    </w:p>
    <w:p w14:paraId="624C95BD" w14:textId="77777777" w:rsidR="00DB2B68" w:rsidRDefault="00000000">
      <w:pPr>
        <w:pStyle w:val="pheading"/>
      </w:pPr>
      <w:r>
        <w:t>DESCRIPTION</w:t>
      </w:r>
    </w:p>
    <w:p w14:paraId="2F195C1D" w14:textId="77777777" w:rsidR="00DB2B68" w:rsidRDefault="00000000">
      <w:pPr>
        <w:pStyle w:val="pheading"/>
      </w:pPr>
      <w:r>
        <w:t>- Définition / Comprend</w:t>
      </w:r>
    </w:p>
    <w:p w14:paraId="7AEF7FF3" w14:textId="77777777" w:rsidR="00DB2B68" w:rsidRDefault="00000000">
      <w:r>
        <w:t xml:space="preserve">Renvoi à </w:t>
      </w:r>
      <w:hyperlink w:anchor="542" w:history="1">
        <w:r>
          <w:rPr>
            <w:color w:val="0000EE"/>
          </w:rPr>
          <w:t>22.73 Revêtements de finition</w:t>
        </w:r>
      </w:hyperlink>
      <w:r>
        <w:t xml:space="preserve"> et </w:t>
      </w:r>
      <w:hyperlink w:anchor="543" w:history="1">
        <w:r>
          <w:rPr>
            <w:color w:val="0000EE"/>
          </w:rPr>
          <w:t>22.74 Revêtements de protection</w:t>
        </w:r>
      </w:hyperlink>
    </w:p>
    <w:p w14:paraId="510C8F0D" w14:textId="77777777" w:rsidR="00DB2B68" w:rsidRDefault="00000000">
      <w:pPr>
        <w:pStyle w:val="Author-eSectionHeading5Numberless"/>
      </w:pPr>
      <w:bookmarkStart w:id="1125" w:name="_Toc220496151"/>
      <w:r>
        <w:t>22.88.2 Traitements de protection préventifs / curatifs CCTB 01.04</w:t>
      </w:r>
      <w:bookmarkEnd w:id="1125"/>
    </w:p>
    <w:p w14:paraId="69D8D6A3" w14:textId="77777777" w:rsidR="00DB2B68" w:rsidRDefault="00000000">
      <w:pPr>
        <w:pStyle w:val="pheading"/>
      </w:pPr>
      <w:r>
        <w:t>DESCRIPTION</w:t>
      </w:r>
    </w:p>
    <w:p w14:paraId="3EAF2127" w14:textId="77777777" w:rsidR="00DB2B68" w:rsidRDefault="00000000">
      <w:pPr>
        <w:pStyle w:val="pheading"/>
      </w:pPr>
      <w:r>
        <w:t>- Définition / Comprend</w:t>
      </w:r>
    </w:p>
    <w:p w14:paraId="5F97AB42" w14:textId="77777777" w:rsidR="00DB2B68" w:rsidRDefault="00000000">
      <w:r>
        <w:t>Renvoi au § 83.1 Subjectiles minéraux poreux (béton, blocs de béton, terre cuite, enduits)</w:t>
      </w:r>
    </w:p>
    <w:p w14:paraId="5891F7DD" w14:textId="77777777" w:rsidR="00DB2B68" w:rsidRDefault="00000000">
      <w:pPr>
        <w:pStyle w:val="Author-eSectionHeading2Numberless"/>
      </w:pPr>
      <w:bookmarkStart w:id="1126" w:name="_Toc220496152"/>
      <w:r>
        <w:t>23 Superstructures métalliques CCTB 01.12</w:t>
      </w:r>
      <w:bookmarkEnd w:id="1126"/>
    </w:p>
    <w:p w14:paraId="72DEC0E9" w14:textId="77777777" w:rsidR="00DB2B68" w:rsidRDefault="00000000">
      <w:pPr>
        <w:pStyle w:val="pheading"/>
      </w:pPr>
      <w:bookmarkStart w:id="1127" w:name="349"/>
      <w:bookmarkEnd w:id="1127"/>
      <w:r>
        <w:t>DESCRIPTION</w:t>
      </w:r>
    </w:p>
    <w:p w14:paraId="669B8C80" w14:textId="77777777" w:rsidR="00DB2B68" w:rsidRDefault="00000000">
      <w:pPr>
        <w:pStyle w:val="pheading"/>
      </w:pPr>
      <w:r>
        <w:t>- Définition / Comprend</w:t>
      </w:r>
    </w:p>
    <w:p w14:paraId="7869ED07" w14:textId="77777777" w:rsidR="00DB2B68" w:rsidRDefault="00000000">
      <w:r>
        <w:t>La présente section se rapporte à tous les travaux et fournitures pour la réalisation des ouvrages de construction en acier, y compris tous les systèmes d'assemblage, l'exécution proprement dite, tous les boulonnages, le raccordement au gros-œuvre, les ancrages, les accessoires, la protection contre la corrosion, …  :</w:t>
      </w:r>
    </w:p>
    <w:p w14:paraId="12B72047" w14:textId="77777777" w:rsidR="00DB2B68" w:rsidRDefault="00000000">
      <w:r>
        <w:t>Ces travaux comportent quatre étapes :</w:t>
      </w:r>
    </w:p>
    <w:p w14:paraId="165E0BA7" w14:textId="77777777" w:rsidR="00DB2B68" w:rsidRDefault="00000000">
      <w:pPr>
        <w:pStyle w:val="Author-eListParagraph"/>
        <w:numPr>
          <w:ilvl w:val="0"/>
          <w:numId w:val="676"/>
        </w:numPr>
      </w:pPr>
      <w:r>
        <w:rPr>
          <w:rFonts w:ascii="Times New Roman" w:hAnsi="Times New Roman" w:cs="Times New Roman"/>
          <w:sz w:val="14"/>
        </w:rPr>
        <w:t> </w:t>
      </w:r>
      <w:r>
        <w:t>l'établissement de l'étude de stabilité et les dessins d'exécution;</w:t>
      </w:r>
    </w:p>
    <w:p w14:paraId="30F1C090" w14:textId="77777777" w:rsidR="00DB2B68" w:rsidRDefault="00000000">
      <w:pPr>
        <w:pStyle w:val="Author-eListParagraph"/>
        <w:numPr>
          <w:ilvl w:val="0"/>
          <w:numId w:val="676"/>
        </w:numPr>
      </w:pPr>
      <w:r>
        <w:rPr>
          <w:rFonts w:ascii="Times New Roman" w:hAnsi="Times New Roman" w:cs="Times New Roman"/>
          <w:sz w:val="14"/>
        </w:rPr>
        <w:t> </w:t>
      </w:r>
      <w:r>
        <w:t>la préparation et l'usinage de l'acier en atelier (couper, plier, …), y compris tous les assemblages par soudure et boulonnage;</w:t>
      </w:r>
    </w:p>
    <w:p w14:paraId="4575254F" w14:textId="77777777" w:rsidR="00DB2B68" w:rsidRDefault="00000000">
      <w:pPr>
        <w:pStyle w:val="Author-eListParagraph"/>
        <w:numPr>
          <w:ilvl w:val="0"/>
          <w:numId w:val="676"/>
        </w:numPr>
      </w:pPr>
      <w:r>
        <w:rPr>
          <w:rFonts w:ascii="Times New Roman" w:hAnsi="Times New Roman" w:cs="Times New Roman"/>
          <w:sz w:val="14"/>
        </w:rPr>
        <w:t> </w:t>
      </w:r>
      <w:r>
        <w:t>la protection contre la corrosion, par métallisation, galvanisation à chaud et/ou systèmes de peinture antirouille ...</w:t>
      </w:r>
    </w:p>
    <w:p w14:paraId="3A252F1A" w14:textId="77777777" w:rsidR="00DB2B68" w:rsidRDefault="00000000">
      <w:pPr>
        <w:pStyle w:val="Author-eListParagraph"/>
        <w:numPr>
          <w:ilvl w:val="0"/>
          <w:numId w:val="676"/>
        </w:numPr>
      </w:pPr>
      <w:r>
        <w:rPr>
          <w:rFonts w:ascii="Times New Roman" w:hAnsi="Times New Roman" w:cs="Times New Roman"/>
          <w:sz w:val="14"/>
        </w:rPr>
        <w:t> </w:t>
      </w:r>
      <w:r>
        <w:t>la fourniture et le montage des éléments de construction en acier sur chantier, y compris tous les dispositifs d'assemblage, d'appui et d'ancrage.</w:t>
      </w:r>
    </w:p>
    <w:p w14:paraId="3F8CC566" w14:textId="77777777" w:rsidR="00DB2B68" w:rsidRDefault="00000000">
      <w:r>
        <w:t>Les masses d’acier sont portées en compte moyennant les règles suivantes :</w:t>
      </w:r>
    </w:p>
    <w:p w14:paraId="167DA270" w14:textId="77777777" w:rsidR="00DB2B68" w:rsidRDefault="00000000">
      <w:pPr>
        <w:pStyle w:val="Author-eListParagraph"/>
        <w:numPr>
          <w:ilvl w:val="0"/>
          <w:numId w:val="677"/>
        </w:numPr>
      </w:pPr>
      <w:r>
        <w:rPr>
          <w:rFonts w:ascii="Times New Roman" w:hAnsi="Times New Roman" w:cs="Times New Roman"/>
          <w:sz w:val="14"/>
        </w:rPr>
        <w:t> </w:t>
      </w:r>
      <w:r>
        <w:t>toute ouverture intérieure située en pleine tôle (ou dans l’âme de profilé) et inférieure à une surface de 0,2 m² n’est pas soustraite.</w:t>
      </w:r>
    </w:p>
    <w:p w14:paraId="6CCD67FE" w14:textId="77777777" w:rsidR="00DB2B68" w:rsidRDefault="00000000">
      <w:pPr>
        <w:pStyle w:val="Author-eListParagraph"/>
        <w:numPr>
          <w:ilvl w:val="0"/>
          <w:numId w:val="677"/>
        </w:numPr>
      </w:pPr>
      <w:r>
        <w:rPr>
          <w:rFonts w:ascii="Times New Roman" w:hAnsi="Times New Roman" w:cs="Times New Roman"/>
          <w:sz w:val="14"/>
        </w:rPr>
        <w:t> </w:t>
      </w:r>
      <w:r>
        <w:t>les petites découpes en quart ou demi-cercles évitant la rencontre des soudures ne sont pas déduites.</w:t>
      </w:r>
    </w:p>
    <w:p w14:paraId="1F1B7C27" w14:textId="77777777" w:rsidR="00DB2B68" w:rsidRDefault="00000000">
      <w:pPr>
        <w:pStyle w:val="Author-eListParagraph"/>
        <w:numPr>
          <w:ilvl w:val="0"/>
          <w:numId w:val="677"/>
        </w:numPr>
      </w:pPr>
      <w:r>
        <w:rPr>
          <w:rFonts w:ascii="Times New Roman" w:hAnsi="Times New Roman" w:cs="Times New Roman"/>
          <w:sz w:val="14"/>
        </w:rPr>
        <w:t> </w:t>
      </w:r>
      <w:r>
        <w:t>aucun supplément de masse n’est pris en compte pour les pièces particulières, les soudures, les rivets, les boulons et les goujons.</w:t>
      </w:r>
    </w:p>
    <w:p w14:paraId="7C76A7D3" w14:textId="77777777" w:rsidR="00DB2B68" w:rsidRDefault="00000000">
      <w:pPr>
        <w:pStyle w:val="Author-eListParagraph"/>
        <w:numPr>
          <w:ilvl w:val="0"/>
          <w:numId w:val="677"/>
        </w:numPr>
      </w:pPr>
      <w:r>
        <w:rPr>
          <w:rFonts w:ascii="Times New Roman" w:hAnsi="Times New Roman" w:cs="Times New Roman"/>
          <w:sz w:val="14"/>
        </w:rPr>
        <w:t> </w:t>
      </w:r>
      <w:r>
        <w:t>la masse volumique de l’acier est fixée à 7.850 kg/m³.</w:t>
      </w:r>
    </w:p>
    <w:p w14:paraId="6F114AAD" w14:textId="77777777" w:rsidR="00DB2B68" w:rsidRDefault="00000000">
      <w:pPr>
        <w:jc w:val="both"/>
      </w:pPr>
      <w:r>
        <w:t>La gestion et l’évacuation des déchets de chantier est décrite et comptabilisée au « 07 Déchets, matériaux et éléments réemployables ».</w:t>
      </w:r>
    </w:p>
    <w:p w14:paraId="056AC6F6" w14:textId="77777777" w:rsidR="00DB2B68" w:rsidRDefault="00000000">
      <w:pPr>
        <w:pStyle w:val="pheading"/>
      </w:pPr>
      <w:r>
        <w:t>- Remarques importantes</w:t>
      </w:r>
    </w:p>
    <w:p w14:paraId="6C5F856F" w14:textId="77777777" w:rsidR="00DB2B68" w:rsidRDefault="00DB2B68"/>
    <w:p w14:paraId="278EEAC3" w14:textId="77777777" w:rsidR="00DB2B68" w:rsidRDefault="00000000">
      <w:r>
        <w:t>L'entrepreneur exécute les travaux conformément aux règles de bonne pratique. En cas de controverse en ce qui concerne les critères de qualité ou les tolérances d'application, seules les normes les plus récentes sont contraignantes.</w:t>
      </w:r>
    </w:p>
    <w:p w14:paraId="30D102FF" w14:textId="77777777" w:rsidR="00DB2B68" w:rsidRDefault="00000000">
      <w:r>
        <w:rPr>
          <w:u w:val="single"/>
        </w:rPr>
        <w:t>Attention</w:t>
      </w:r>
    </w:p>
    <w:p w14:paraId="5D6CC767" w14:textId="77777777" w:rsidR="00DB2B68" w:rsidRDefault="00000000">
      <w:r>
        <w:lastRenderedPageBreak/>
        <w:t>Les éléments d'escalier, les balustrades ou les éléments de façade en acier sont décrits dans le tome 4 T4 Fermetures / Finitions extérieures.</w:t>
      </w:r>
    </w:p>
    <w:p w14:paraId="312AA14C" w14:textId="77777777" w:rsidR="00DB2B68" w:rsidRDefault="00000000">
      <w:pPr>
        <w:pStyle w:val="pheading"/>
      </w:pPr>
      <w:r>
        <w:t>MATÉRIAUX</w:t>
      </w:r>
    </w:p>
    <w:p w14:paraId="4B7AA325" w14:textId="77777777" w:rsidR="00DB2B68" w:rsidRDefault="00000000">
      <w:r>
        <w:rPr>
          <w:b/>
        </w:rPr>
        <w:t>NUANCE D'ACIER - catégories de qualité</w:t>
      </w:r>
    </w:p>
    <w:p w14:paraId="3AD1A7AC" w14:textId="77777777" w:rsidR="00DB2B68" w:rsidRDefault="00000000">
      <w:r>
        <w:t>L'acier satisfait aux prescriptions de la norme [NBN EN 1993 série].</w:t>
      </w:r>
    </w:p>
    <w:p w14:paraId="181A342C" w14:textId="77777777" w:rsidR="00DB2B68" w:rsidRDefault="00000000">
      <w:r>
        <w:t>Le choix de la qualité d'acier se fait suivant les prescriptions de la norme [NBN EN 1993-1-10].</w:t>
      </w:r>
    </w:p>
    <w:p w14:paraId="405048C9" w14:textId="77777777" w:rsidR="00DB2B68" w:rsidRDefault="00000000">
      <w:r>
        <w:t>Acier pour construction métallique :</w:t>
      </w:r>
    </w:p>
    <w:p w14:paraId="630527D3" w14:textId="77777777" w:rsidR="00DB2B68" w:rsidRDefault="00000000">
      <w:pPr>
        <w:pStyle w:val="Author-eListParagraph"/>
        <w:numPr>
          <w:ilvl w:val="0"/>
          <w:numId w:val="678"/>
        </w:numPr>
      </w:pPr>
      <w:r>
        <w:t> les aciers laminés pour ouvrages métalliques sont conformes aux [NBN EN 10025 série].</w:t>
      </w:r>
    </w:p>
    <w:p w14:paraId="57D5BD91" w14:textId="77777777" w:rsidR="00DB2B68" w:rsidRDefault="00000000">
      <w:pPr>
        <w:pStyle w:val="Author-eListParagraph"/>
        <w:numPr>
          <w:ilvl w:val="0"/>
          <w:numId w:val="678"/>
        </w:numPr>
      </w:pPr>
      <w:r>
        <w:t> les aciers moulés sont conformes à la [NBN EN 10340]</w:t>
      </w:r>
    </w:p>
    <w:p w14:paraId="3DD63D71" w14:textId="77777777" w:rsidR="00DB2B68" w:rsidRDefault="00000000">
      <w:pPr>
        <w:pStyle w:val="Author-eListParagraph"/>
        <w:numPr>
          <w:ilvl w:val="0"/>
          <w:numId w:val="678"/>
        </w:numPr>
      </w:pPr>
      <w:r>
        <w:t> les aciers inoxydables sont conformes aux [NBN EN 10088 série]</w:t>
      </w:r>
    </w:p>
    <w:p w14:paraId="5EFFE2C1" w14:textId="77777777" w:rsidR="00DB2B68" w:rsidRDefault="00000000">
      <w:pPr>
        <w:pStyle w:val="Author-eListParagraph"/>
        <w:numPr>
          <w:ilvl w:val="0"/>
          <w:numId w:val="678"/>
        </w:numPr>
      </w:pPr>
      <w:r>
        <w:t> Fontes:</w:t>
      </w:r>
    </w:p>
    <w:p w14:paraId="19AAE3A0" w14:textId="77777777" w:rsidR="00DB2B68" w:rsidRDefault="00000000">
      <w:pPr>
        <w:pStyle w:val="Author-eListParagraph"/>
        <w:numPr>
          <w:ilvl w:val="1"/>
          <w:numId w:val="679"/>
        </w:numPr>
      </w:pPr>
      <w:r>
        <w:t> les fontes à graphite lamellaire sont conformes à la [NBN EN 1561].</w:t>
      </w:r>
    </w:p>
    <w:p w14:paraId="4BEB3EFA" w14:textId="77777777" w:rsidR="00DB2B68" w:rsidRDefault="00000000">
      <w:pPr>
        <w:pStyle w:val="Author-eListParagraph"/>
        <w:numPr>
          <w:ilvl w:val="1"/>
          <w:numId w:val="679"/>
        </w:numPr>
      </w:pPr>
      <w:r>
        <w:t> les fontes à graphite sphéroïdal sont conformes à la [NBN EN 1563].</w:t>
      </w:r>
    </w:p>
    <w:p w14:paraId="1ADBCC19" w14:textId="77777777" w:rsidR="00DB2B68" w:rsidRDefault="00000000">
      <w:r>
        <w:t>Les dimensions et tolérances des profils sont conformes à la série des normes référencées au §2.2 de la norme [NBN EN 10025-1]. Les profilés en acier laminés à chaud répondant à cette norme sont du type :</w:t>
      </w:r>
    </w:p>
    <w:p w14:paraId="7D31954C" w14:textId="77777777" w:rsidR="00DB2B68" w:rsidRDefault="00000000">
      <w:pPr>
        <w:pStyle w:val="Author-eListParagraph"/>
        <w:numPr>
          <w:ilvl w:val="0"/>
          <w:numId w:val="680"/>
        </w:numPr>
      </w:pPr>
      <w:r>
        <w:t> Profils en I : IPE / IPN</w:t>
      </w:r>
    </w:p>
    <w:p w14:paraId="723989FB" w14:textId="77777777" w:rsidR="00DB2B68" w:rsidRDefault="00000000">
      <w:pPr>
        <w:pStyle w:val="Author-eListParagraph"/>
        <w:numPr>
          <w:ilvl w:val="0"/>
          <w:numId w:val="680"/>
        </w:numPr>
      </w:pPr>
      <w:r>
        <w:t> poutrelles ailes parallèles : HEA / HEB / HEM</w:t>
      </w:r>
    </w:p>
    <w:p w14:paraId="246F4850" w14:textId="77777777" w:rsidR="00DB2B68" w:rsidRDefault="00000000">
      <w:pPr>
        <w:pStyle w:val="Author-eListParagraph"/>
        <w:numPr>
          <w:ilvl w:val="0"/>
          <w:numId w:val="680"/>
        </w:numPr>
      </w:pPr>
      <w:r>
        <w:t> cornières : équilatérales / non-équilatérales</w:t>
      </w:r>
    </w:p>
    <w:p w14:paraId="5C35EEB7" w14:textId="77777777" w:rsidR="00DB2B68" w:rsidRDefault="00000000">
      <w:pPr>
        <w:pStyle w:val="Author-eListParagraph"/>
        <w:numPr>
          <w:ilvl w:val="0"/>
          <w:numId w:val="680"/>
        </w:numPr>
      </w:pPr>
      <w:r>
        <w:t> profils en T : équilatéraux / non-équilatéraux</w:t>
      </w:r>
    </w:p>
    <w:p w14:paraId="1C13D187" w14:textId="77777777" w:rsidR="00DB2B68" w:rsidRDefault="00000000">
      <w:pPr>
        <w:pStyle w:val="Author-eListParagraph"/>
        <w:numPr>
          <w:ilvl w:val="0"/>
          <w:numId w:val="680"/>
        </w:numPr>
      </w:pPr>
      <w:r>
        <w:t> profils en U</w:t>
      </w:r>
    </w:p>
    <w:p w14:paraId="3F59E2DD" w14:textId="77777777" w:rsidR="00DB2B68" w:rsidRDefault="00000000">
      <w:pPr>
        <w:pStyle w:val="Author-eListParagraph"/>
        <w:numPr>
          <w:ilvl w:val="0"/>
          <w:numId w:val="680"/>
        </w:numPr>
      </w:pPr>
      <w:r>
        <w:t> Barres pleines : barres rondes / barres carrées</w:t>
      </w:r>
    </w:p>
    <w:p w14:paraId="76610250" w14:textId="77777777" w:rsidR="00DB2B68" w:rsidRDefault="00000000">
      <w:pPr>
        <w:pStyle w:val="Author-eListParagraph"/>
        <w:numPr>
          <w:ilvl w:val="0"/>
          <w:numId w:val="680"/>
        </w:numPr>
      </w:pPr>
      <w:r>
        <w:t> Plats</w:t>
      </w:r>
    </w:p>
    <w:p w14:paraId="02A2A297" w14:textId="77777777" w:rsidR="00DB2B68" w:rsidRDefault="00000000">
      <w:pPr>
        <w:pStyle w:val="Author-eListParagraph"/>
        <w:numPr>
          <w:ilvl w:val="0"/>
          <w:numId w:val="680"/>
        </w:numPr>
      </w:pPr>
      <w:r>
        <w:rPr>
          <w:color w:val="FF0000"/>
        </w:rPr>
        <w:t> </w:t>
      </w:r>
      <w:r>
        <w:t>Tôles d'acier</w:t>
      </w:r>
    </w:p>
    <w:p w14:paraId="34442125" w14:textId="77777777" w:rsidR="00DB2B68" w:rsidRDefault="00000000">
      <w:r>
        <w:t>Les profilés tubulaires (tuyaux ronds sans soudures, tuyaux carrés, tuyaux rectangulaires) relèvent de la norme [NBN EN 10210 série].</w:t>
      </w:r>
    </w:p>
    <w:p w14:paraId="34B85B51" w14:textId="77777777" w:rsidR="00DB2B68" w:rsidRDefault="00000000">
      <w:r>
        <w:t>Les profilés en acier formés à froid (L, U, C, Z, Omega, tubulaires à bords rejoints,…) relèvent de la norme [NBN EN 10162].</w:t>
      </w:r>
    </w:p>
    <w:p w14:paraId="1F93F8DC" w14:textId="77777777" w:rsidR="00DB2B68" w:rsidRDefault="00000000">
      <w:r>
        <w:t>Caractéristiques principales :</w:t>
      </w:r>
    </w:p>
    <w:p w14:paraId="0ABEDFE0" w14:textId="77777777" w:rsidR="00DB2B68" w:rsidRDefault="00000000">
      <w:pPr>
        <w:pStyle w:val="Author-eListParagraph"/>
        <w:numPr>
          <w:ilvl w:val="0"/>
          <w:numId w:val="681"/>
        </w:numPr>
      </w:pPr>
      <w:r>
        <w:t xml:space="preserve">Type de profilé: </w:t>
      </w:r>
      <w:r>
        <w:rPr>
          <w:rStyle w:val="optioncarChar"/>
        </w:rPr>
        <w:t>IPE / HEA</w:t>
      </w:r>
      <w:r>
        <w:t xml:space="preserve"> (par défaut) </w:t>
      </w:r>
      <w:r>
        <w:rPr>
          <w:rStyle w:val="optioncarChar"/>
        </w:rPr>
        <w:t>/ HEB / HEM / tube carré (SHS) / tube rectangulaire (RHS) / ***</w:t>
      </w:r>
      <w:r>
        <w:t>.</w:t>
      </w:r>
    </w:p>
    <w:p w14:paraId="579F4095" w14:textId="77777777" w:rsidR="00DB2B68" w:rsidRDefault="00000000">
      <w:pPr>
        <w:pStyle w:val="Author-eListParagraph"/>
        <w:numPr>
          <w:ilvl w:val="0"/>
          <w:numId w:val="681"/>
        </w:numPr>
      </w:pPr>
      <w:r>
        <w:t xml:space="preserve">Nuance d'acier : </w:t>
      </w:r>
      <w:r>
        <w:rPr>
          <w:rStyle w:val="optioncarChar"/>
        </w:rPr>
        <w:t>S235 / ***</w:t>
      </w:r>
      <w:r>
        <w:t xml:space="preserve"> (par défaut) </w:t>
      </w:r>
      <w:r>
        <w:rPr>
          <w:color w:val="FF0000"/>
        </w:rPr>
        <w:t xml:space="preserve">/ S 275 / S 355 / S 420 / S460 </w:t>
      </w:r>
      <w:r>
        <w:rPr>
          <w:i/>
        </w:rPr>
        <w:t>(selon la limite élastique en N/mm2 </w:t>
      </w:r>
      <w:r>
        <w:t>[NBN EN 10025 série]).</w:t>
      </w:r>
    </w:p>
    <w:p w14:paraId="137D746A" w14:textId="77777777" w:rsidR="00DB2B68" w:rsidRDefault="00000000">
      <w:pPr>
        <w:pStyle w:val="Author-eListParagraph"/>
        <w:numPr>
          <w:ilvl w:val="0"/>
          <w:numId w:val="681"/>
        </w:numPr>
      </w:pPr>
      <w:r>
        <w:t xml:space="preserve"> Qualité : désignation </w:t>
      </w:r>
      <w:r>
        <w:rPr>
          <w:rStyle w:val="optioncarChar"/>
        </w:rPr>
        <w:t>JR / J0</w:t>
      </w:r>
      <w:r>
        <w:t xml:space="preserve"> (par défaut) </w:t>
      </w:r>
      <w:r>
        <w:rPr>
          <w:rStyle w:val="optioncarChar"/>
        </w:rPr>
        <w:t>/ J2 / K2 / N / NL / M / ML / W / P / Q / QL / QL1</w:t>
      </w:r>
      <w:r>
        <w:t xml:space="preserve"> ([NBN EN 10025 série]) </w:t>
      </w:r>
      <w:r>
        <w:rPr>
          <w:rStyle w:val="optioncarChar"/>
        </w:rPr>
        <w:t>/ ***</w:t>
      </w:r>
      <w:r>
        <w:t>.</w:t>
      </w:r>
    </w:p>
    <w:p w14:paraId="4EE7C9A5" w14:textId="77777777" w:rsidR="00DB2B68" w:rsidRDefault="00000000">
      <w:pPr>
        <w:pStyle w:val="Author-eListParagraph"/>
        <w:numPr>
          <w:ilvl w:val="0"/>
          <w:numId w:val="681"/>
        </w:numPr>
      </w:pPr>
      <w:r>
        <w:t xml:space="preserve"> Option pour arrachement lamellaire </w:t>
      </w:r>
      <w:r>
        <w:rPr>
          <w:rStyle w:val="optioncarChar"/>
        </w:rPr>
        <w:t>aucune / Z15 / Z25 / Z35</w:t>
      </w:r>
      <w:r>
        <w:t>.</w:t>
      </w:r>
    </w:p>
    <w:p w14:paraId="2D2F8F31" w14:textId="77777777" w:rsidR="00DB2B68" w:rsidRDefault="00000000">
      <w:r>
        <w:t>﻿</w:t>
      </w:r>
      <w:r>
        <w:rPr>
          <w:b/>
        </w:rPr>
        <w:t>Aluminium</w:t>
      </w:r>
    </w:p>
    <w:p w14:paraId="149512E3" w14:textId="77777777" w:rsidR="00DB2B68" w:rsidRDefault="00000000">
      <w:r>
        <w:t>L'aluminium satisfait aux prescriptions de la norme [NBN EN 1999 série].</w:t>
      </w:r>
    </w:p>
    <w:p w14:paraId="360237E7" w14:textId="77777777" w:rsidR="00DB2B68" w:rsidRDefault="00000000">
      <w:pPr>
        <w:pStyle w:val="pheading"/>
      </w:pPr>
      <w:r>
        <w:t>EXÉCUTION / MISE EN ŒUVRE</w:t>
      </w:r>
    </w:p>
    <w:p w14:paraId="0E275D8E" w14:textId="77777777" w:rsidR="00DB2B68" w:rsidRDefault="00DB2B68"/>
    <w:p w14:paraId="173CD2C0" w14:textId="77777777" w:rsidR="00DB2B68" w:rsidRDefault="00000000">
      <w:r>
        <w:t xml:space="preserve">Le constructeur est tenu de prendre, dans l'atelier et sur chantier, toutes les précautions nécessaires pour prévenir toute déformation des éléments pendant leur manutention. Il attache une importance particulière aux dimensions des éléments, à leur niveau et fléchissement ainsi qu'aux pénétrations pour les conduites et les fourreaux. Il faut absolument éviter de rectifier des éléments déjà assemblés. Au cours de leur production, les éléments sont pourvus des réservations ou des pénétrations nécessaires conformément aux indications sur les plans. On ne peut en aucun cas effectuer des perforations par forage, fraisages ou au chalumeau sans l'autorisation préalable de </w:t>
      </w:r>
      <w:r>
        <w:lastRenderedPageBreak/>
        <w:t>l'auteur de projet ou du bureau d'étude chargé de l'étude de stabilité. Pour les marquages provisoires, on utilise des peintures ou des marqueurs effaçables à l'eau. Les peintures à l'huile et autres ne sont pas autorisées, elles risquent de donner lieu à des défauts de galvanisation.</w:t>
      </w:r>
    </w:p>
    <w:p w14:paraId="136DD224" w14:textId="77777777" w:rsidR="00DB2B68" w:rsidRDefault="00DB2B68"/>
    <w:p w14:paraId="77236001" w14:textId="77777777" w:rsidR="00DB2B68" w:rsidRDefault="00000000">
      <w:r>
        <w:rPr>
          <w:b/>
        </w:rPr>
        <w:t>ÉTUDE</w:t>
      </w:r>
    </w:p>
    <w:p w14:paraId="2326F7A8" w14:textId="77777777" w:rsidR="00DB2B68" w:rsidRDefault="00000000">
      <w:r>
        <w:t>Le cahier spécial des charges doit mentionner les modalités d'entreprise en ce qui concerne l'étude de stabilité et les détails :</w:t>
      </w:r>
    </w:p>
    <w:p w14:paraId="28F7B416" w14:textId="77777777" w:rsidR="00DB2B68" w:rsidRDefault="00000000">
      <w:r>
        <w:t xml:space="preserve">Choix opéré : </w:t>
      </w:r>
      <w:r>
        <w:rPr>
          <w:rStyle w:val="optioncarChar"/>
        </w:rPr>
        <w:t xml:space="preserve">étude à charge du maître de l'ouvrage </w:t>
      </w:r>
      <w:r>
        <w:rPr>
          <w:rStyle w:val="optioncarChar"/>
          <w:color w:val="000000"/>
        </w:rPr>
        <w:t>(par défaut)</w:t>
      </w:r>
      <w:r>
        <w:rPr>
          <w:rStyle w:val="optioncarChar"/>
        </w:rPr>
        <w:t xml:space="preserve"> / étude à charge de l'entrepreneur / étude à charge du maître de l’ouvrage à l’exception des assemblages / ***</w:t>
      </w:r>
      <w:r>
        <w:rPr>
          <w:rStyle w:val="optioncarChar"/>
          <w:color w:val="000000"/>
        </w:rPr>
        <w:t>.</w:t>
      </w:r>
    </w:p>
    <w:p w14:paraId="41C4717B" w14:textId="77777777" w:rsidR="00DB2B68" w:rsidRDefault="00000000">
      <w:r>
        <w:rPr>
          <w:rStyle w:val="normalChar"/>
          <w:b/>
          <w:i/>
        </w:rPr>
        <w:t>(soit par défaut)</w:t>
      </w:r>
    </w:p>
    <w:p w14:paraId="28424C15" w14:textId="77777777" w:rsidR="00DB2B68" w:rsidRDefault="00000000">
      <w:r>
        <w:rPr>
          <w:rStyle w:val="soitChar"/>
          <w:u w:val="single"/>
        </w:rPr>
        <w:t>étude à charge du maître de l'ouvrage :</w:t>
      </w:r>
      <w:r>
        <w:br/>
      </w:r>
      <w:r>
        <w:rPr>
          <w:rStyle w:val="soitChar"/>
        </w:rPr>
        <w:t xml:space="preserve"> Les éléments de structure en acier sont exécutés conformément aux documents de travail annexés au dossier d'adjudication (plans, cahiers des charges, bordereaux, dessins de détail). L'entrepreneur est toutefois tenu de vérifier s'il est possible d'exécuter les ouvrages conformément aux documents d'exécution et/ou s'il n'y a pas d'incompatibilités entre les différents documents. Avant de commencer les travaux, il met l'auteur de projet au courant de ses éventuelles remarques à ce sujet.</w:t>
      </w:r>
    </w:p>
    <w:p w14:paraId="126D97A6" w14:textId="77777777" w:rsidR="00DB2B68" w:rsidRDefault="00000000">
      <w:r>
        <w:rPr>
          <w:b/>
          <w:i/>
        </w:rPr>
        <w:t>(soit)</w:t>
      </w:r>
    </w:p>
    <w:p w14:paraId="115F82DD" w14:textId="77777777" w:rsidR="00DB2B68" w:rsidRDefault="00000000">
      <w:r>
        <w:rPr>
          <w:rStyle w:val="soitChar"/>
          <w:u w:val="single"/>
        </w:rPr>
        <w:t>étude à charge de l'entrepreneur :</w:t>
      </w:r>
      <w:r>
        <w:br/>
      </w:r>
      <w:r>
        <w:rPr>
          <w:rStyle w:val="soitChar"/>
        </w:rPr>
        <w:t xml:space="preserve"> Les frais pour la réalisation de l'étude des éléments de construction en acier sont compris dans le prix de l'entreprise. Les dessins d'exécution établis par l'ingénieur, que l'entrepreneur a chargé de l'étude de stabilité, sont soumis à l'approbation de la direction des travaux avant le début des travaux et au plus tard deux mois après l'attribution des travaux. Ils sont établis conformément aux indications données dans les documents d'adjudication (plans, cahiers des charges, bordereaux, ;..) et complétées par les prescriptions d'exécution définies dans la [NBN EN 1090 série] et l'Eurocode 3 [NBN EN 1993 série] et informations dans la série des normes [NBN A 24-3xx série].</w:t>
      </w:r>
    </w:p>
    <w:p w14:paraId="182C1DAC" w14:textId="77777777" w:rsidR="00DB2B68" w:rsidRDefault="00000000">
      <w:r>
        <w:rPr>
          <w:b/>
          <w:i/>
        </w:rPr>
        <w:t>(soit)</w:t>
      </w:r>
    </w:p>
    <w:p w14:paraId="6F7B0A9A" w14:textId="77777777" w:rsidR="00DB2B68" w:rsidRDefault="00000000">
      <w:r>
        <w:rPr>
          <w:rStyle w:val="soitChar"/>
          <w:u w:val="single"/>
        </w:rPr>
        <w:t>étude à charge du maître de l’ouvrage à l’exception des assemblages :</w:t>
      </w:r>
      <w:r>
        <w:br/>
      </w:r>
      <w:r>
        <w:rPr>
          <w:rStyle w:val="soitChar"/>
        </w:rPr>
        <w:t xml:space="preserve"> Le Maître de l’Ouvrage fournit à l’adjudication les plans de structure en acier en précisant tous les profilés et toutes les pièces mis en œuvre. Ces plans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14:paraId="5E529BD9" w14:textId="77777777" w:rsidR="00DB2B68" w:rsidRDefault="00DB2B68"/>
    <w:p w14:paraId="2231AEDF" w14:textId="77777777" w:rsidR="00DB2B68" w:rsidRDefault="00000000">
      <w:r>
        <w:t>MÉTHODE DE CALCUL</w:t>
      </w:r>
    </w:p>
    <w:p w14:paraId="670E6F16" w14:textId="77777777" w:rsidR="00DB2B68" w:rsidRDefault="00000000">
      <w:r>
        <w:t>Les calculs sont exécutés conformément aux Eurocodes et en particulier conformément aux différentes parties de l'Eurocodes 3 : Calcul des structures en acier [NBN EN 1993 série].</w:t>
      </w:r>
    </w:p>
    <w:p w14:paraId="2FC8832C" w14:textId="77777777" w:rsidR="00DB2B68" w:rsidRDefault="00000000">
      <w:r>
        <w:t>Les sollicitations à prendre en compte sont détaillées dans les différentes parties de l'Eurocode 1 : [NBN EN 1991 série].</w:t>
      </w:r>
    </w:p>
    <w:p w14:paraId="3A5D0334" w14:textId="77777777" w:rsidR="00DB2B68" w:rsidRDefault="00000000">
      <w:r>
        <w:t>Les flèches des éléments en acier sous l'action des charges sont limitées conformément à la [NBN B 03-003].</w:t>
      </w:r>
    </w:p>
    <w:p w14:paraId="1D50C207" w14:textId="77777777" w:rsidR="00DB2B68" w:rsidRDefault="00000000">
      <w:r>
        <w:rPr>
          <w:b/>
        </w:rPr>
        <w:t>MISE EN ŒUVRE</w:t>
      </w:r>
    </w:p>
    <w:p w14:paraId="3E303BBE" w14:textId="77777777" w:rsidR="00DB2B68" w:rsidRDefault="00DB2B68"/>
    <w:p w14:paraId="5B70C083" w14:textId="77777777" w:rsidR="00DB2B68" w:rsidRDefault="00000000">
      <w:r>
        <w:t xml:space="preserve">Avant l'exécution, le constructeur doit contrôler si les profils en acier sont parfaitement rectilignes afin d'éviter tout gauchissement ou déformation. Les découpes à l'oxycoupeur doivent être soigneusement parachevées (enlèvement des ébarbures, fraisage, etc.) afin d'obtenir une découpe parfaitement lisse. Les éléments sont débarrassés de toute saleté, huile, graisse et autres souillures ainsi que de la rouille non adhérente au moment de la mise en œuvre. Toutes les opérations telles </w:t>
      </w:r>
      <w:r>
        <w:lastRenderedPageBreak/>
        <w:t>que le planage et le dressage des pièces, le forgeage et le pliage à chaud, la mise à forme, le recuit, le découpage, tous les assemblages par soudures, boulons, vis, la préparation des trous, etc. doivent être exécutées en conformité avec la norme [NBN EN 1090 série].</w:t>
      </w:r>
    </w:p>
    <w:p w14:paraId="0F964F4A" w14:textId="77777777" w:rsidR="00DB2B68" w:rsidRDefault="00000000">
      <w:r>
        <w:t>ASSEMBLAGES</w:t>
      </w:r>
    </w:p>
    <w:p w14:paraId="146C7A5D" w14:textId="77777777" w:rsidR="00DB2B68" w:rsidRDefault="00000000">
      <w:r>
        <w:t>Dans le cas où l’entrepreneur dimensionne les assemblages, celui-ci fournit au MO les calculs correspondants. Les calculs pour les assemblages sont effectués conformément aux prescriptions de la partie 8 de l'Eurocode 3 [NBN EN 1993-1-8].</w:t>
      </w:r>
    </w:p>
    <w:p w14:paraId="209F0945" w14:textId="77777777" w:rsidR="00DB2B68" w:rsidRDefault="00000000">
      <w:r>
        <w:t> </w:t>
      </w:r>
    </w:p>
    <w:p w14:paraId="10335A7C" w14:textId="77777777" w:rsidR="00DB2B68" w:rsidRDefault="00000000">
      <w:r>
        <w:t>Le mode d'exécution doit en outre satisfaire aux critères d'ordre général suivants :</w:t>
      </w:r>
    </w:p>
    <w:p w14:paraId="1D23064A" w14:textId="77777777" w:rsidR="00DB2B68" w:rsidRDefault="00DB2B68"/>
    <w:p w14:paraId="63B5040C" w14:textId="77777777" w:rsidR="00DB2B68" w:rsidRDefault="00000000">
      <w:pPr>
        <w:pStyle w:val="Author-eListParagraph"/>
        <w:numPr>
          <w:ilvl w:val="0"/>
          <w:numId w:val="682"/>
        </w:numPr>
      </w:pPr>
      <w:r>
        <w:t> les systèmes d'assemblages appliqués sont parfaitement compatibles avec les autres éléments structurels, techniques et/ou de finition qui composent l'ouvrage de construction ;</w:t>
      </w:r>
    </w:p>
    <w:p w14:paraId="32691EEC" w14:textId="77777777" w:rsidR="00DB2B68" w:rsidRDefault="00000000">
      <w:pPr>
        <w:pStyle w:val="Author-eListParagraph"/>
        <w:numPr>
          <w:ilvl w:val="0"/>
          <w:numId w:val="682"/>
        </w:numPr>
      </w:pPr>
      <w:r>
        <w:t> les éléments qui sont représentés en une seule pièce sur les plans ne peuvent pas être constitués de différentes pièces assemblées par soudure, ou tout autre mode d'assemblage, sans accord préalable du maître de l’ouvrage ;</w:t>
      </w:r>
    </w:p>
    <w:p w14:paraId="05D4000E" w14:textId="77777777" w:rsidR="00DB2B68" w:rsidRDefault="00000000">
      <w:pPr>
        <w:pStyle w:val="Author-eListParagraph"/>
        <w:numPr>
          <w:ilvl w:val="0"/>
          <w:numId w:val="682"/>
        </w:numPr>
      </w:pPr>
      <w:r>
        <w:t> toutes les faces qui se touchent sont parfaitement planes et dressées. L'aplanissement et le dressage sont effectués à la machine à dégauchir ou à la lamineuse à l'exclusion du martèlement ou du battage ;</w:t>
      </w:r>
    </w:p>
    <w:p w14:paraId="3112D508" w14:textId="77777777" w:rsidR="00DB2B68" w:rsidRDefault="00000000">
      <w:pPr>
        <w:pStyle w:val="Author-eListParagraph"/>
        <w:numPr>
          <w:ilvl w:val="0"/>
          <w:numId w:val="682"/>
        </w:numPr>
      </w:pPr>
      <w:r>
        <w:t> les fourrures (sous renforts, sous cornières de fixation, sous goussets, etc.), les renforts, plaques de soudage, … sont coupées aux dimensions exactes et égalisées, à bords droits et bien jointifs. Le découpage ou le raccourcissement des éléments se fait sans provoquer de fissures, déchirures ou autres déformations du métal.</w:t>
      </w:r>
    </w:p>
    <w:p w14:paraId="3A83535F" w14:textId="77777777" w:rsidR="00DB2B68" w:rsidRDefault="00000000">
      <w:r>
        <w:t>Sauf dispositions spécifiques sur les plans de détails ou au cahier spécial des charges,</w:t>
      </w:r>
    </w:p>
    <w:p w14:paraId="5B223794" w14:textId="77777777" w:rsidR="00DB2B68" w:rsidRDefault="00000000">
      <w:pPr>
        <w:pStyle w:val="Author-eListParagraph"/>
        <w:numPr>
          <w:ilvl w:val="0"/>
          <w:numId w:val="683"/>
        </w:numPr>
      </w:pPr>
      <w:r>
        <w:t> les assemblages en ateliers sont proposés par l'entrepreneur et exécutés par boulons et/ou par soudure ;</w:t>
      </w:r>
    </w:p>
    <w:p w14:paraId="4ABB2153" w14:textId="77777777" w:rsidR="00DB2B68" w:rsidRDefault="00000000">
      <w:pPr>
        <w:pStyle w:val="Author-eListParagraph"/>
        <w:numPr>
          <w:ilvl w:val="0"/>
          <w:numId w:val="683"/>
        </w:numPr>
      </w:pPr>
      <w:r>
        <w:t> les assemblages pour le montage sur chantier des éléments préfabriqués sont proposés par l'entrepreneur et exécutés par boulons et/ou par soudure.</w:t>
      </w:r>
    </w:p>
    <w:p w14:paraId="07FA50F6" w14:textId="77777777" w:rsidR="00DB2B68" w:rsidRDefault="00000000">
      <w:r>
        <w:rPr>
          <w:b/>
        </w:rPr>
        <w:t>A. Assemblages boulonnés</w:t>
      </w:r>
    </w:p>
    <w:p w14:paraId="29009EBF" w14:textId="77777777" w:rsidR="00DB2B68" w:rsidRDefault="00000000">
      <w:pPr>
        <w:ind w:left="283"/>
      </w:pPr>
      <w:r>
        <w:t xml:space="preserve">A.1 </w:t>
      </w:r>
      <w:r>
        <w:rPr>
          <w:u w:val="single"/>
        </w:rPr>
        <w:t>Spécifications</w:t>
      </w:r>
    </w:p>
    <w:p w14:paraId="17D6D3C4" w14:textId="77777777" w:rsidR="00DB2B68" w:rsidRDefault="00000000">
      <w:r>
        <w:t>Les vis, écrous et rondelles en acier au carbone sont conformes aux exigences des normes du groupe 4 reprises au §1.2.4 de la norme [NBN EN 1993-1-8]. </w:t>
      </w:r>
    </w:p>
    <w:p w14:paraId="2786B988" w14:textId="77777777" w:rsidR="00DB2B68" w:rsidRDefault="00DB2B68"/>
    <w:p w14:paraId="76885A23" w14:textId="77777777" w:rsidR="00DB2B68" w:rsidRDefault="00000000">
      <w:r>
        <w:t>Les boulons en acier inoxydable sont conformes aux [NBN EN ISO 3506 série].</w:t>
      </w:r>
    </w:p>
    <w:p w14:paraId="67F6F8B5" w14:textId="77777777" w:rsidR="00DB2B68" w:rsidRDefault="00000000">
      <w:r>
        <w:t xml:space="preserve">La classe des boulons est </w:t>
      </w:r>
      <w:r>
        <w:rPr>
          <w:rStyle w:val="optioncarChar"/>
        </w:rPr>
        <w:t>précisée sur les plans</w:t>
      </w:r>
      <w:r>
        <w:t xml:space="preserve"> (par défaut) </w:t>
      </w:r>
      <w:r>
        <w:rPr>
          <w:rStyle w:val="optioncarChar"/>
        </w:rPr>
        <w:t>/ 4.6 / 4.8 / 5.6 / 5.8 / 6.8 / 8.8 / 10.9 / ***</w:t>
      </w:r>
    </w:p>
    <w:p w14:paraId="08B02BAC" w14:textId="77777777" w:rsidR="00DB2B68" w:rsidRDefault="00DB2B68"/>
    <w:p w14:paraId="698818E2" w14:textId="77777777" w:rsidR="00DB2B68" w:rsidRDefault="00000000">
      <w:pPr>
        <w:ind w:left="283"/>
      </w:pPr>
      <w:r>
        <w:t xml:space="preserve">A.2 </w:t>
      </w:r>
      <w:r>
        <w:rPr>
          <w:u w:val="single"/>
        </w:rPr>
        <w:t>Boulons précontraints</w:t>
      </w:r>
    </w:p>
    <w:p w14:paraId="252F872C" w14:textId="77777777" w:rsidR="00DB2B68" w:rsidRDefault="00000000">
      <w:r>
        <w:t>Les boulons précontraints sont serrés à l’aide d’une clé dynamométrique.</w:t>
      </w:r>
    </w:p>
    <w:p w14:paraId="2B615A22" w14:textId="77777777" w:rsidR="00DB2B68" w:rsidRDefault="00000000">
      <w:r>
        <w:t>Ils peuvent être serrés avec une clé normale, à condition toutefois de respecter les règles pratiques suivantes :</w:t>
      </w:r>
    </w:p>
    <w:p w14:paraId="50CB9834" w14:textId="77777777" w:rsidR="00DB2B68" w:rsidRDefault="00000000">
      <w:pPr>
        <w:pStyle w:val="Author-eListParagraph"/>
        <w:numPr>
          <w:ilvl w:val="0"/>
          <w:numId w:val="684"/>
        </w:numPr>
      </w:pPr>
      <w:r>
        <w:t> serrage à moment limité pour mettre les éléments assemblés en contact; ce moment est comparable au moment obtenu à l'aide d'une clé à main et correspond au début du martèlement de la clé à choc.</w:t>
      </w:r>
    </w:p>
    <w:p w14:paraId="2D9AD22B" w14:textId="77777777" w:rsidR="00DB2B68" w:rsidRDefault="00000000">
      <w:pPr>
        <w:pStyle w:val="Author-eListParagraph"/>
        <w:numPr>
          <w:ilvl w:val="0"/>
          <w:numId w:val="684"/>
        </w:numPr>
      </w:pPr>
      <w:r>
        <w:t> le serrage définitif est obtenu ensuite par rotation supplémentaire, dans le cas du fil métrique A° = e+d+90° (où a°=angle de rotation, e= épaisseur totale des éléments serrés, d= diamètre du boulon en mm.)</w:t>
      </w:r>
    </w:p>
    <w:p w14:paraId="277D75D8" w14:textId="77777777" w:rsidR="00DB2B68" w:rsidRDefault="00000000">
      <w:r>
        <w:t>Cette méthode permet d'utiliser aussi bien les clés à main que les clés à choc qui ne sont pas équipées d'un indicateur de la valeur du moment exercé.</w:t>
      </w:r>
    </w:p>
    <w:p w14:paraId="131E981E" w14:textId="77777777" w:rsidR="00DB2B68" w:rsidRDefault="00000000">
      <w:pPr>
        <w:ind w:left="283"/>
      </w:pPr>
      <w:r>
        <w:lastRenderedPageBreak/>
        <w:t xml:space="preserve">A.3 </w:t>
      </w:r>
      <w:r>
        <w:rPr>
          <w:u w:val="single"/>
        </w:rPr>
        <w:t>Options complémentaires</w:t>
      </w:r>
    </w:p>
    <w:p w14:paraId="17BE76AA" w14:textId="77777777" w:rsidR="00DB2B68" w:rsidRDefault="00000000">
      <w:pPr>
        <w:pStyle w:val="Author-eListParagraph"/>
        <w:numPr>
          <w:ilvl w:val="0"/>
          <w:numId w:val="685"/>
        </w:numPr>
      </w:pPr>
      <w:r>
        <w:t> Les boulons sont calibrés.</w:t>
      </w:r>
    </w:p>
    <w:p w14:paraId="00DB2157" w14:textId="77777777" w:rsidR="00DB2B68" w:rsidRDefault="00000000">
      <w:pPr>
        <w:pStyle w:val="Author-eListParagraph"/>
        <w:numPr>
          <w:ilvl w:val="0"/>
          <w:numId w:val="685"/>
        </w:numPr>
      </w:pPr>
      <w:r>
        <w:t> Les boulons sont placés à serrage contrôlé.</w:t>
      </w:r>
    </w:p>
    <w:p w14:paraId="719AC851" w14:textId="77777777" w:rsidR="00DB2B68" w:rsidRDefault="00000000">
      <w:pPr>
        <w:pStyle w:val="Author-eListParagraph"/>
        <w:numPr>
          <w:ilvl w:val="0"/>
          <w:numId w:val="685"/>
        </w:numPr>
      </w:pPr>
      <w:r>
        <w:t xml:space="preserve"> Les assemblages sur chantier se font à l'aide de boulons </w:t>
      </w:r>
      <w:r>
        <w:rPr>
          <w:rStyle w:val="optioncarChar"/>
        </w:rPr>
        <w:t>*en acier inoxydable </w:t>
      </w:r>
      <w:r>
        <w:t>(par défaut)</w:t>
      </w:r>
      <w:r>
        <w:rPr>
          <w:rStyle w:val="optioncarChar"/>
        </w:rPr>
        <w:t xml:space="preserve"> / en acier inoxydable à haute résistance / ***</w:t>
      </w:r>
      <w:r>
        <w:t>.</w:t>
      </w:r>
    </w:p>
    <w:p w14:paraId="5A03B0BB" w14:textId="77777777" w:rsidR="00DB2B68" w:rsidRDefault="00000000">
      <w:r>
        <w:rPr>
          <w:b/>
        </w:rPr>
        <w:t>B. Assemblages par soudure</w:t>
      </w:r>
    </w:p>
    <w:p w14:paraId="5A9FCB20" w14:textId="77777777" w:rsidR="00DB2B68" w:rsidRDefault="00000000">
      <w:r>
        <w:t>Les assemblages par soudure se font, exclusivement à l’atelier, par un soudeur qualifié et dans les conditions prescrites par la norme [NBN EN 1090 série].</w:t>
      </w:r>
    </w:p>
    <w:p w14:paraId="3F40789F" w14:textId="77777777" w:rsidR="00DB2B68" w:rsidRDefault="00000000">
      <w:r>
        <w:t>S’il est indispensable de souder sur chantier, ces opérations doivent être exécutées dans les conditions de protection prescrites par la norme, et après approbation du MO.</w:t>
      </w:r>
    </w:p>
    <w:p w14:paraId="2760381E" w14:textId="77777777" w:rsidR="00DB2B68" w:rsidRDefault="00000000">
      <w:r>
        <w:t>L'entrepreneur soumet son descriptif de mode opératoire de soudage à l'approbation du MO. Toutes les bavures de soudage, les éraflures et saillies sont soigneusement enlevées par brossage, aiguisage ou sablage et sont soigneusement poncées.</w:t>
      </w:r>
    </w:p>
    <w:p w14:paraId="31558DE6" w14:textId="77777777" w:rsidR="00DB2B68" w:rsidRDefault="00DB2B68"/>
    <w:p w14:paraId="3A317078" w14:textId="77777777" w:rsidR="00DB2B68" w:rsidRDefault="00000000">
      <w:r>
        <w:t>TRAITEMENTS ET FINITIONS</w:t>
      </w:r>
    </w:p>
    <w:p w14:paraId="15B4831D" w14:textId="77777777" w:rsidR="00DB2B68" w:rsidRDefault="00000000">
      <w:r>
        <w:rPr>
          <w:rStyle w:val="normalChar"/>
          <w:b/>
        </w:rPr>
        <w:t>A. Traitement contre la rouille</w:t>
      </w:r>
    </w:p>
    <w:p w14:paraId="4916A901" w14:textId="77777777" w:rsidR="00DB2B68" w:rsidRDefault="00000000">
      <w:r>
        <w:t xml:space="preserve">Les éléments métalliques sont traités contre la rouille par : </w:t>
      </w:r>
      <w:r>
        <w:rPr>
          <w:rStyle w:val="optioncarChar"/>
        </w:rPr>
        <w:t xml:space="preserve">primaire antirouille </w:t>
      </w:r>
      <w:r>
        <w:t xml:space="preserve">(par défaut) / </w:t>
      </w:r>
      <w:r>
        <w:rPr>
          <w:rStyle w:val="optioncarChar"/>
        </w:rPr>
        <w:t>galvanisation à chaud / métallisation / pas de traitement (aspect brut) / ***</w:t>
      </w:r>
      <w:r>
        <w:t>.</w:t>
      </w:r>
    </w:p>
    <w:p w14:paraId="055E716B" w14:textId="77777777" w:rsidR="00DB2B68" w:rsidRDefault="00000000">
      <w:r>
        <w:t xml:space="preserve">La description de ces différents traitements est reprise en </w:t>
      </w:r>
      <w:hyperlink w:anchor="177" w:history="1">
        <w:r>
          <w:rPr>
            <w:color w:val="0000EE"/>
          </w:rPr>
          <w:t>23.7 Traitement, protection et finition des aciers</w:t>
        </w:r>
      </w:hyperlink>
      <w:r>
        <w:t>. </w:t>
      </w:r>
    </w:p>
    <w:p w14:paraId="1331D87C" w14:textId="77777777" w:rsidR="00DB2B68" w:rsidRDefault="00000000">
      <w:r>
        <w:t>Ce traitement de finition contre la rouille est compris par défaut dans le travail, sauf contre-indication dans le cahier spécial des charges aux articles concernés.</w:t>
      </w:r>
    </w:p>
    <w:p w14:paraId="7A4AD2E0" w14:textId="77777777" w:rsidR="00DB2B68" w:rsidRDefault="00000000">
      <w:r>
        <w:rPr>
          <w:b/>
        </w:rPr>
        <w:t>B. Finitions</w:t>
      </w:r>
    </w:p>
    <w:p w14:paraId="2388E6AB" w14:textId="77777777" w:rsidR="00DB2B68" w:rsidRDefault="00000000">
      <w:r>
        <w:t xml:space="preserve">Finition de l’acier : </w:t>
      </w:r>
      <w:r>
        <w:rPr>
          <w:rStyle w:val="optioncarChar"/>
        </w:rPr>
        <w:t xml:space="preserve">pas de finition </w:t>
      </w:r>
      <w:r>
        <w:t xml:space="preserve">(par défaut) </w:t>
      </w:r>
      <w:r>
        <w:rPr>
          <w:rStyle w:val="optioncarChar"/>
        </w:rPr>
        <w:t>/ peint / brut (verni) / Brut (verni à base de résine glycérophtalique) / ***</w:t>
      </w:r>
      <w:r>
        <w:t>.</w:t>
      </w:r>
    </w:p>
    <w:p w14:paraId="5605FB5F" w14:textId="77777777" w:rsidR="00DB2B68" w:rsidRDefault="00000000">
      <w:r>
        <w:t xml:space="preserve">La description de ces différents traitements est reprise en </w:t>
      </w:r>
      <w:hyperlink w:anchor="177" w:history="1">
        <w:r>
          <w:rPr>
            <w:color w:val="0000EE"/>
          </w:rPr>
          <w:t>23.7 Traitement, protection et finition des aciers</w:t>
        </w:r>
      </w:hyperlink>
      <w:r>
        <w:t xml:space="preserve"> .</w:t>
      </w:r>
    </w:p>
    <w:p w14:paraId="3E894FC4" w14:textId="77777777" w:rsidR="00DB2B68" w:rsidRDefault="00000000">
      <w:r>
        <w:t>Ce traitement de finition est compris par défaut dans le poste, sauf contre-indication dans le cahier spécial des charges aux articles concernés ci-dessus.</w:t>
      </w:r>
    </w:p>
    <w:p w14:paraId="34C5ED64" w14:textId="77777777" w:rsidR="00DB2B68" w:rsidRDefault="00000000">
      <w:r>
        <w:rPr>
          <w:b/>
        </w:rPr>
        <w:t>C. Résistance au feu</w:t>
      </w:r>
    </w:p>
    <w:p w14:paraId="2830F158" w14:textId="77777777" w:rsidR="00DB2B68" w:rsidRDefault="00000000">
      <w:r>
        <w:rPr>
          <w:rStyle w:val="normalChar"/>
        </w:rPr>
        <w:t xml:space="preserve">Les éléments porteurs structurels ont une résistance au feu </w:t>
      </w:r>
      <w:r>
        <w:rPr>
          <w:rStyle w:val="optioncarChar"/>
        </w:rPr>
        <w:t>R15 / R30 / R60</w:t>
      </w:r>
      <w:r>
        <w:rPr>
          <w:rStyle w:val="normalChar"/>
        </w:rPr>
        <w:t xml:space="preserve">(par défaut) </w:t>
      </w:r>
      <w:r>
        <w:rPr>
          <w:rStyle w:val="optioncarChar"/>
        </w:rPr>
        <w:t>/ R120 / R***</w:t>
      </w:r>
      <w:r>
        <w:rPr>
          <w:rStyle w:val="normalChar"/>
        </w:rPr>
        <w:t>selon la norme </w:t>
      </w:r>
      <w:r>
        <w:t>[NBN EN 13501-2](et les normes d’essais qui y sont référencées). La résistance au feu peut également se déterminer par calcul conformément à la [NBN EN 1993-1-2]. Les poutres, les éléments de charpentes, les colonnes,... en acier n’ont pas de fonction séparante EI.</w:t>
      </w:r>
    </w:p>
    <w:p w14:paraId="78A7728A" w14:textId="77777777" w:rsidR="00DB2B68" w:rsidRDefault="00000000">
      <w:r>
        <w:t xml:space="preserve">Cette résistance au feu est atteinte </w:t>
      </w:r>
      <w:r>
        <w:rPr>
          <w:color w:val="3366FF"/>
        </w:rPr>
        <w:t>:</w:t>
      </w:r>
      <w:r>
        <w:rPr>
          <w:rStyle w:val="optioncarChar"/>
        </w:rPr>
        <w:t xml:space="preserve">sans traitement particulier </w:t>
      </w:r>
      <w:r>
        <w:t xml:space="preserve">(par défaut) </w:t>
      </w:r>
      <w:r>
        <w:rPr>
          <w:rStyle w:val="optioncarChar"/>
        </w:rPr>
        <w:t>/ à l’aide d’une peinture intumescente / par emballage / par flocage fibreux / par flocage pâteux / ***</w:t>
      </w:r>
      <w:r>
        <w:t>.</w:t>
      </w:r>
    </w:p>
    <w:p w14:paraId="4AE21377" w14:textId="77777777" w:rsidR="00DB2B68" w:rsidRDefault="00000000">
      <w:r>
        <w:t>La description de ces différents traitements pour la résistance au feu est reprise en </w:t>
      </w:r>
      <w:hyperlink w:anchor="177" w:history="1">
        <w:r>
          <w:rPr>
            <w:color w:val="0000EE"/>
          </w:rPr>
          <w:t>23.7 Traitement, protection et finition des aciers</w:t>
        </w:r>
      </w:hyperlink>
      <w:r>
        <w:t xml:space="preserve"> .</w:t>
      </w:r>
    </w:p>
    <w:p w14:paraId="5E119578" w14:textId="77777777" w:rsidR="00DB2B68" w:rsidRDefault="00000000">
      <w:r>
        <w:rPr>
          <w:rStyle w:val="normalChar"/>
        </w:rPr>
        <w:t>Le traitement au feu n’est pas compris par défaut dans le poste, sauf contre-indication dans le cahier spécial des charges.</w:t>
      </w:r>
    </w:p>
    <w:p w14:paraId="63A0033E" w14:textId="77777777" w:rsidR="00DB2B68" w:rsidRDefault="00DB2B68"/>
    <w:p w14:paraId="0CA95BE3" w14:textId="77777777" w:rsidR="00DB2B68" w:rsidRDefault="00000000">
      <w:r>
        <w:t>SÉCURITÉ</w:t>
      </w:r>
    </w:p>
    <w:p w14:paraId="5836B854" w14:textId="77777777" w:rsidR="00DB2B68" w:rsidRDefault="00000000">
      <w:r>
        <w:t>Outre les mesures de protection établies par le coordinateur-projet, il convient en outre de se référer aux normes suivantes concernant la sécurité des ouvriers :  </w:t>
      </w:r>
    </w:p>
    <w:p w14:paraId="464A5671" w14:textId="77777777" w:rsidR="00DB2B68" w:rsidRDefault="00DB2B68"/>
    <w:p w14:paraId="2CE3046B" w14:textId="77777777" w:rsidR="00DB2B68" w:rsidRDefault="00000000">
      <w:r>
        <w:lastRenderedPageBreak/>
        <w:t>[NBN EN ISO 10882-1, Hygiène et sécurité en soudage et techniques connexes - Échantillonnage des particules en suspension et des gaz dans la zone respiratoire des opérateurs - Partie 1: Échantillonnage des particules en suspension (ISO 10882-1:2011)]</w:t>
      </w:r>
    </w:p>
    <w:p w14:paraId="1C2D4EC5" w14:textId="77777777" w:rsidR="00DB2B68" w:rsidRDefault="00000000">
      <w:r>
        <w:t>[NBN EN ISO 10882-2, Hygiène et sécurité en soudage et techniques connexes - Echantillonnage de particules en suspension et gaz dans la zone respiratoire des opérateurs - Partie 2: Echantillonnage des gaz (ISO 10882-2:2000)]</w:t>
      </w:r>
    </w:p>
    <w:p w14:paraId="1133A380" w14:textId="77777777" w:rsidR="00DB2B68" w:rsidRDefault="00000000">
      <w:r>
        <w:t>[NBN EN ISO 11611, Vêtements de protection utilisés pendant le soudage et les techniques connexes (ISO 11611:2015)]</w:t>
      </w:r>
    </w:p>
    <w:p w14:paraId="0514275E" w14:textId="77777777" w:rsidR="00DB2B68" w:rsidRDefault="00000000">
      <w:r>
        <w:t>[NBN EN ISO 16321-1, Protection des yeux et du visage à usage professionnel - Partie 1 : Exigences générales (ISO 16321-1:2021)]</w:t>
      </w:r>
    </w:p>
    <w:p w14:paraId="7136E7A9" w14:textId="77777777" w:rsidR="00DB2B68" w:rsidRDefault="00000000">
      <w:pPr>
        <w:pStyle w:val="pheading"/>
      </w:pPr>
      <w:r>
        <w:t>CONTRÔLES</w:t>
      </w:r>
    </w:p>
    <w:p w14:paraId="6262262B" w14:textId="77777777" w:rsidR="00DB2B68" w:rsidRDefault="00DB2B68"/>
    <w:p w14:paraId="6A5F2F7D" w14:textId="77777777" w:rsidR="00DB2B68" w:rsidRDefault="00000000">
      <w:r>
        <w:t>L’entrepreneur fournit au Mo s’il le demande les certificats matière, DMOS, QMOS, ou tout autre document prévu par la norme.</w:t>
      </w:r>
    </w:p>
    <w:p w14:paraId="60ADAF84" w14:textId="77777777" w:rsidR="00DB2B68" w:rsidRDefault="00000000">
      <w:r>
        <w:t>Les éléments qui présentent des défauts ou des dégradations non réparables des suites de la préfabrication, du transport et/ou de l'entreposage ne peuvent pas être mis en œuvre et sont évacués le plus rapidement possible aux frais de l'entrepreneur qui les remplace par de nouveaux éléments.</w:t>
      </w:r>
    </w:p>
    <w:p w14:paraId="02334462" w14:textId="77777777" w:rsidR="00DB2B68" w:rsidRDefault="00000000">
      <w:pPr>
        <w:pStyle w:val="pheading"/>
      </w:pPr>
      <w:r>
        <w:t>DOCUMENTS DE RÉFÉRENCE</w:t>
      </w:r>
    </w:p>
    <w:p w14:paraId="03D30686" w14:textId="77777777" w:rsidR="00DB2B68" w:rsidRDefault="00000000">
      <w:pPr>
        <w:pStyle w:val="pheading"/>
      </w:pPr>
      <w:r>
        <w:t>- Matériau</w:t>
      </w:r>
    </w:p>
    <w:p w14:paraId="51ADE885" w14:textId="77777777" w:rsidR="00DB2B68" w:rsidRDefault="00000000">
      <w:pPr>
        <w:pStyle w:val="heading"/>
      </w:pPr>
      <w:r>
        <w:t>NORMES DE RÉFÉRENCE</w:t>
      </w:r>
    </w:p>
    <w:p w14:paraId="17BE1CBD" w14:textId="77777777" w:rsidR="00DB2B68" w:rsidRDefault="00000000">
      <w:r>
        <w:t>[NBN EN 1990, Eurocodes structuraux - Eurocodes: Bases de calcul des structures]</w:t>
      </w:r>
    </w:p>
    <w:p w14:paraId="73612E76" w14:textId="77777777" w:rsidR="00DB2B68" w:rsidRDefault="00000000">
      <w:r>
        <w:t>[NBN EN 1991 série, Eurocode 1 : Actions sur les structures] </w:t>
      </w:r>
    </w:p>
    <w:p w14:paraId="724060B9" w14:textId="77777777" w:rsidR="00DB2B68" w:rsidRDefault="00000000">
      <w:r>
        <w:t>[NBN EN 1993 série, Eurocode 3 – Calcul des structures en acier]</w:t>
      </w:r>
    </w:p>
    <w:p w14:paraId="2ACB7CCA" w14:textId="77777777" w:rsidR="00DB2B68" w:rsidRDefault="00000000">
      <w:r>
        <w:t>[NBN EN 1999 série, Eurocode 9 : Calcul des structures en aluminium]</w:t>
      </w:r>
    </w:p>
    <w:p w14:paraId="5B7F144B" w14:textId="77777777" w:rsidR="00DB2B68" w:rsidRDefault="00000000">
      <w:r>
        <w:t>[NBN EN 10020, Définition et classification des nuances d'acier]</w:t>
      </w:r>
    </w:p>
    <w:p w14:paraId="353A62F4" w14:textId="77777777" w:rsidR="00DB2B68" w:rsidRDefault="00000000">
      <w:r>
        <w:t>[NBN EN 10021, Conditions générales techniques de livraison des produits en acier]</w:t>
      </w:r>
    </w:p>
    <w:p w14:paraId="1BF2FF16" w14:textId="77777777" w:rsidR="00DB2B68" w:rsidRDefault="00000000">
      <w:r>
        <w:t>[NBN EN 10024, Poutrelles en I à ailes inclinées laminées à chaud - Tolérances de forme et de dimensions]</w:t>
      </w:r>
    </w:p>
    <w:p w14:paraId="5430BDAA" w14:textId="77777777" w:rsidR="00DB2B68" w:rsidRDefault="00000000">
      <w:r>
        <w:t>[NBN EN 10025 série, Produits laminés à chaud en aciers de construction]</w:t>
      </w:r>
    </w:p>
    <w:p w14:paraId="6CE91851" w14:textId="77777777" w:rsidR="00DB2B68" w:rsidRDefault="00000000">
      <w:r>
        <w:t>[NBN EN 10029, Tôles en acier laminées à chaud, d'épaisseur égale ou supérieure à 3 mm - Tolérances sur les dimensions et la forme]</w:t>
      </w:r>
    </w:p>
    <w:p w14:paraId="4556DB67" w14:textId="77777777" w:rsidR="00DB2B68" w:rsidRDefault="00000000">
      <w:r>
        <w:t>[NBN EN 10027 série, Systèmes de désignation des aciers]</w:t>
      </w:r>
    </w:p>
    <w:p w14:paraId="302BE18D" w14:textId="77777777" w:rsidR="00DB2B68" w:rsidRDefault="00000000">
      <w:r>
        <w:t>[NBN EN 10034, Poutrelles I et H en acier de construction - Tolérances de formes et de dimensions]</w:t>
      </w:r>
    </w:p>
    <w:p w14:paraId="1E789D9D" w14:textId="77777777" w:rsidR="00DB2B68" w:rsidRDefault="00000000">
      <w:r>
        <w:t>[NBN EN 10048, Feuillards laminés à chaud - Tolérances de dimensions et de forme]</w:t>
      </w:r>
    </w:p>
    <w:p w14:paraId="14435D24" w14:textId="77777777" w:rsidR="00DB2B68" w:rsidRDefault="00000000">
      <w:r>
        <w:t>[NBN EN ISO 10052, Acoustique - Mesurages in situ de l'isolement aux bruits aériens et de la transmission des bruits de choc ainsi que du bruit des équipements - Méthode de contrôle (ISO 10052:2021)]</w:t>
      </w:r>
    </w:p>
    <w:p w14:paraId="7758DE07" w14:textId="77777777" w:rsidR="00DB2B68" w:rsidRDefault="00000000">
      <w:r>
        <w:t>[NBN EN 10055, Fers T en acier à ailes égales et à coins arrondis en acier laminés à chaud - Dimensions et tolérances sur la forme et les dimensions] </w:t>
      </w:r>
    </w:p>
    <w:p w14:paraId="274ABC57" w14:textId="77777777" w:rsidR="00DB2B68" w:rsidRDefault="00000000">
      <w:r>
        <w:t>[NBN EN 10056 série, Cornières à ailes égales et inégales en acier de construction]</w:t>
      </w:r>
    </w:p>
    <w:p w14:paraId="79280A94" w14:textId="77777777" w:rsidR="00DB2B68" w:rsidRDefault="00000000">
      <w:r>
        <w:t>[NBN EN 10067, Plats à boudin laminés à chaud - Dimensions et tolérances sur la forme, les dimensions et la masse] </w:t>
      </w:r>
    </w:p>
    <w:p w14:paraId="102AB9B8" w14:textId="77777777" w:rsidR="00DB2B68" w:rsidRDefault="00000000">
      <w:r>
        <w:t>[NBN EN 10079, Définition des produits en acier] </w:t>
      </w:r>
    </w:p>
    <w:p w14:paraId="52237553" w14:textId="77777777" w:rsidR="00DB2B68" w:rsidRDefault="00000000">
      <w:r>
        <w:t>[NBN EN 10088 série, Aciers inoxydables] </w:t>
      </w:r>
    </w:p>
    <w:p w14:paraId="3558D4CF" w14:textId="77777777" w:rsidR="00DB2B68" w:rsidRDefault="00000000">
      <w:r>
        <w:lastRenderedPageBreak/>
        <w:t>[NBN EN 10346, Produits plats en acier revêtus en continu par immersion à chaud pour formage à froid - Conditions techniques de livraison]</w:t>
      </w:r>
    </w:p>
    <w:p w14:paraId="2BE8D301" w14:textId="77777777" w:rsidR="00DB2B68" w:rsidRDefault="00000000">
      <w:r>
        <w:t>[NBN EN 10143, Tôles et bandes en acier revêtues en continu par immersion à chaud - Tolérances sur les dimensions et sur la forme]</w:t>
      </w:r>
    </w:p>
    <w:p w14:paraId="1DF3A3FC" w14:textId="77777777" w:rsidR="00DB2B68" w:rsidRDefault="00000000">
      <w:r>
        <w:t>[NBN EN 10169, Produits plats en acier revêtus en continu de matières organiques (prélaqués) - Conditions techniques de livraison]</w:t>
      </w:r>
    </w:p>
    <w:p w14:paraId="26E6AD20" w14:textId="77777777" w:rsidR="00DB2B68" w:rsidRDefault="00000000">
      <w:r>
        <w:t>[NBN EN 10204, Produits métalliques - Types de documents de contrôle]</w:t>
      </w:r>
    </w:p>
    <w:p w14:paraId="7A8C6F66" w14:textId="77777777" w:rsidR="00DB2B68" w:rsidRDefault="00000000">
      <w:r>
        <w:t>[NBN EN 10210 série, Profils creux pour la construction finis à chaud en aciers de construction non alliés et à grains fins]</w:t>
      </w:r>
    </w:p>
    <w:p w14:paraId="789AA6E5" w14:textId="77777777" w:rsidR="00DB2B68" w:rsidRDefault="00000000">
      <w:r>
        <w:t>[NBN EN 10218 série, Fils et produits tréfilés en acier - Généralités]</w:t>
      </w:r>
    </w:p>
    <w:p w14:paraId="60018F5C" w14:textId="77777777" w:rsidR="00DB2B68" w:rsidRDefault="00000000">
      <w:r>
        <w:t>[NBN EN 10219 série, Profils creux pour la construction formés à froid en aciers de construction non alliés et à grains fins]</w:t>
      </w:r>
    </w:p>
    <w:p w14:paraId="36E5931D" w14:textId="77777777" w:rsidR="00DB2B68" w:rsidRDefault="00000000">
      <w:r>
        <w:t>[NBN EN ISO 9443, Classes de qualité de surface des barres et fils-machine laminés à chaud (ISO 9443:2018)]</w:t>
      </w:r>
    </w:p>
    <w:p w14:paraId="20499F72" w14:textId="77777777" w:rsidR="00DB2B68" w:rsidRDefault="00000000">
      <w:r>
        <w:t>[NBN EN 10228 série, Essais non destructifs des pièces forgées en acier]</w:t>
      </w:r>
    </w:p>
    <w:p w14:paraId="43769F12" w14:textId="77777777" w:rsidR="00DB2B68" w:rsidRDefault="00000000">
      <w:r>
        <w:t>[NBN EN 10229, Evaluation de la résistance des produits en acier à la fissuration induite par l'hydrogène (HIC)]</w:t>
      </w:r>
    </w:p>
    <w:p w14:paraId="38C15A65" w14:textId="77777777" w:rsidR="00DB2B68" w:rsidRDefault="00000000">
      <w:r>
        <w:t>[NBN EN 10238, Éléments métalliques préfabriqués automatiquement et décapés automatiquement par projection d'abrasif]</w:t>
      </w:r>
    </w:p>
    <w:p w14:paraId="6CB59AE6" w14:textId="77777777" w:rsidR="00DB2B68" w:rsidRDefault="00000000">
      <w:r>
        <w:t>[NBN EN 10243 série, Pièces forgées par estampage en acier - Tolérances dimensionnelles]</w:t>
      </w:r>
    </w:p>
    <w:p w14:paraId="0E044AF7" w14:textId="77777777" w:rsidR="00DB2B68" w:rsidRDefault="00000000">
      <w:r>
        <w:t>[NBN EN 10250 série, Pièces forgées en acier pour usage général]</w:t>
      </w:r>
    </w:p>
    <w:p w14:paraId="55BC9E4D" w14:textId="77777777" w:rsidR="00DB2B68" w:rsidRDefault="00000000">
      <w:r>
        <w:t>[NBN EN ISO 9445 série, Acier inoxydable laminé à froid en continu - Tolérances sur les dimensions et la forme]</w:t>
      </w:r>
    </w:p>
    <w:p w14:paraId="4011CF22" w14:textId="77777777" w:rsidR="00DB2B68" w:rsidRDefault="00000000">
      <w:r>
        <w:t>[NBN EN 10271, Produits plats en acier, revêtus de zinc-nickel (ZN) par voie électrolytique - Conditions techniques de livraison] </w:t>
      </w:r>
    </w:p>
    <w:p w14:paraId="0644190E" w14:textId="77777777" w:rsidR="00DB2B68" w:rsidRDefault="00000000">
      <w:r>
        <w:t>[NBN EN 10277, Produits en acier transformés à froid - Conditions techniques de livraison] </w:t>
      </w:r>
    </w:p>
    <w:p w14:paraId="7D81EF6C" w14:textId="77777777" w:rsidR="00DB2B68" w:rsidRDefault="00000000">
      <w:r>
        <w:t>[NBN EN 10278, Dimensions et tolérances des produits en acier transformés à froid à partir d’acier inoxydable et autres aciers spéciaux]</w:t>
      </w:r>
    </w:p>
    <w:p w14:paraId="7CCAEB0E" w14:textId="77777777" w:rsidR="00DB2B68" w:rsidRDefault="00000000">
      <w:r>
        <w:t>[NBN EN ISO 377, Acier et produits en acier - Position et préparation des échantillons et éprouvettes pour essais mécaniques (ISO 377:2017)]</w:t>
      </w:r>
    </w:p>
    <w:p w14:paraId="0FA87CCA" w14:textId="77777777" w:rsidR="00DB2B68" w:rsidRDefault="00000000">
      <w:r>
        <w:t>[NBN EN ISO 7799, Matériaux métalliques - Tôles et feuillards d'épaisseur inférieure ou égale à 3 mm - Essai de pliage alterné (ISO 7799:1985)]</w:t>
      </w:r>
    </w:p>
    <w:p w14:paraId="4DC7F8DF" w14:textId="77777777" w:rsidR="00DB2B68" w:rsidRDefault="00000000">
      <w:r>
        <w:t>[NBN EN 10253 série, Raccords à souder bout à bout]</w:t>
      </w:r>
    </w:p>
    <w:p w14:paraId="0BA3524A" w14:textId="77777777" w:rsidR="00DB2B68" w:rsidRDefault="00000000">
      <w:r>
        <w:t>[NBN EN ISO 544, Produits consommables pour le soudage - Conditions techniques de livraison des produits d'apport et des flux - Type de produits, dimensions, tolérances et marquage (ISO 544:2017)]</w:t>
      </w:r>
    </w:p>
    <w:p w14:paraId="13989B1B" w14:textId="77777777" w:rsidR="00DB2B68" w:rsidRDefault="00000000">
      <w:r>
        <w:t>[NBN EN ISO 3580, Produits consommables pour le soudage - Électrodes enrobées pour le soudage manuel à l'arc des aciers résistant au fluage - Classification (ISO 3580:2017)]</w:t>
      </w:r>
    </w:p>
    <w:p w14:paraId="60831374" w14:textId="77777777" w:rsidR="00DB2B68" w:rsidRDefault="00000000">
      <w:r>
        <w:t>[NBN EN ISO 3581, Produits consommables pour le soudage - Électrodes enrobées pour le soudage manuel à l'arc des aciers inoxydables et résistant aux températures élevées - Classification (ISO 3581:2023)]</w:t>
      </w:r>
    </w:p>
    <w:p w14:paraId="1F8E2F45" w14:textId="77777777" w:rsidR="00DB2B68" w:rsidRDefault="00000000">
      <w:r>
        <w:t>[NBN EN ISO 21952, Produits consommables pour le soudage - Fils-électrodes, fils, baguettes et dépôts pour le soudage à l'arc sous gaz de protection des aciers résistant au fluage - Classification (ISO 21952:2012)]</w:t>
      </w:r>
    </w:p>
    <w:p w14:paraId="2CB833A6" w14:textId="77777777" w:rsidR="00DB2B68" w:rsidRDefault="00000000">
      <w:r>
        <w:t>[NBN EN ISO 17633, Produits consommables pour le soudage - Fils et baguettes fourrés pour le soudage à l'arc avec ou sans protection gazeuse des aciers inoxydables et des aciers résistant aux températures élevées - Classification (ISO 17633:2025)] </w:t>
      </w:r>
    </w:p>
    <w:p w14:paraId="31A22905" w14:textId="77777777" w:rsidR="00DB2B68" w:rsidRDefault="00000000">
      <w:r>
        <w:lastRenderedPageBreak/>
        <w:t>[NBN EN ISO 17634, Produits consommables pour le soudage - Fils-électrodes fourrés pour le soudage à l'arc avec gaz de protection des aciers résistant au fluage - Classification (ISO 17634:2015)]</w:t>
      </w:r>
    </w:p>
    <w:p w14:paraId="350C63C2" w14:textId="77777777" w:rsidR="00DB2B68" w:rsidRDefault="00000000">
      <w:r>
        <w:t>[NBN EN ISO 14343, Produits consommables pour le soudage - Fils-électrodes, électrodes en feuillard, fils d'apport et baguettes de soudage pour le soudage à l'arc des aciers inoxydables et des aciers résistant aux températures élevées - Classification (ISO 14343:2017)]</w:t>
      </w:r>
    </w:p>
    <w:p w14:paraId="375BD322" w14:textId="77777777" w:rsidR="00DB2B68" w:rsidRDefault="00000000">
      <w:r>
        <w:t>[NBN EN ISO 16834, Produits consommables pour le soudage - Fils-électrodes, fils, baguettes et dépôts pour le soudage à l'arc sous flux gazeux des aciers à haute résistance - Classification (ISO 16834:2012)]</w:t>
      </w:r>
    </w:p>
    <w:p w14:paraId="58BF8808" w14:textId="77777777" w:rsidR="00DB2B68" w:rsidRDefault="00000000">
      <w:r>
        <w:t>[NBN EN ISO 18276, Produits consommables pour le soudage - Fils-électrodes fourrés pour le soudage à l'arc avec ou sans gaz de protection des aciers à haute résistance - Classification (ISO 18276:2017)]</w:t>
      </w:r>
    </w:p>
    <w:p w14:paraId="46D27C17" w14:textId="77777777" w:rsidR="00DB2B68" w:rsidRDefault="00000000">
      <w:r>
        <w:t>[NBN EN ISO 20378, Produits consommables pour le soudage - Baguettes pour le soudage aux gaz des aciers non alliés et des aciers résistant au fluage - Classification (ISO 20378:2017)] </w:t>
      </w:r>
    </w:p>
    <w:p w14:paraId="13EF4863" w14:textId="77777777" w:rsidR="00DB2B68" w:rsidRDefault="00000000">
      <w:r>
        <w:t>[NBN EN 10278, Dimensions et tolérances des produits en acier transformés à froid à partir d’acier inoxydable et autres aciers spéciaux]</w:t>
      </w:r>
    </w:p>
    <w:p w14:paraId="5DB8C31F" w14:textId="77777777" w:rsidR="00DB2B68" w:rsidRDefault="00000000">
      <w:pPr>
        <w:pStyle w:val="pheading"/>
      </w:pPr>
      <w:r>
        <w:t>- Exécution</w:t>
      </w:r>
    </w:p>
    <w:p w14:paraId="14226F34" w14:textId="77777777" w:rsidR="00DB2B68" w:rsidRDefault="00000000">
      <w:pPr>
        <w:ind w:left="750"/>
      </w:pPr>
      <w:r>
        <w:t>[NBN B 03-003, Déformation des structures - Valeurs limites de déformation - Bâtiments]</w:t>
      </w:r>
    </w:p>
    <w:p w14:paraId="0810E9CC" w14:textId="77777777" w:rsidR="00DB2B68" w:rsidRDefault="00000000">
      <w:pPr>
        <w:pStyle w:val="heading"/>
      </w:pPr>
      <w:r>
        <w:t>NORMES DE RÉFÉRENCE</w:t>
      </w:r>
    </w:p>
    <w:p w14:paraId="0BE5EAAA" w14:textId="77777777" w:rsidR="00DB2B68" w:rsidRDefault="00000000">
      <w:r>
        <w:t>[NBN EN 1993 série, Eurocode 3 – Calcul des structures en acier]</w:t>
      </w:r>
    </w:p>
    <w:p w14:paraId="0E682E0A" w14:textId="77777777" w:rsidR="00DB2B68" w:rsidRDefault="00000000">
      <w:r>
        <w:t>[NBN EN 1994 série, Eurocode 4 - Conception et dimensionnement des structures mixtes acier-béton]</w:t>
      </w:r>
    </w:p>
    <w:p w14:paraId="4DBAE48A" w14:textId="77777777" w:rsidR="00DB2B68" w:rsidRDefault="00000000">
      <w:r>
        <w:rPr>
          <w:shd w:val="clear" w:color="auto" w:fill="FFFFFF"/>
        </w:rPr>
        <w:t>[NBN EN 1090 série, Exécution des structures en acier et des structures en aluminium]</w:t>
      </w:r>
    </w:p>
    <w:p w14:paraId="15DE50BC" w14:textId="77777777" w:rsidR="00DB2B68" w:rsidRDefault="00000000">
      <w:r>
        <w:t>[NBN EN ISO 9015 série, Essais destructifs des soudures sur matériaux métalliques - Essais de dureté]</w:t>
      </w:r>
    </w:p>
    <w:p w14:paraId="0CCC0488" w14:textId="77777777" w:rsidR="00DB2B68" w:rsidRDefault="00000000">
      <w:r>
        <w:t>[NBN EN 1792, Soudage - Liste multilingue de termes concernant le soudage et les techniques connexes]</w:t>
      </w:r>
    </w:p>
    <w:p w14:paraId="09D68CC8" w14:textId="77777777" w:rsidR="00DB2B68" w:rsidRDefault="00000000">
      <w:r>
        <w:t>[NBN EN ISO 8249, Soudage - Détermination de l'indice de ferrite (FN) dans le métal fondu en acier inoxydable austénitique et duplex ferritique-austénitique au chrome-nickel (ISO 8249:2018)]</w:t>
      </w:r>
    </w:p>
    <w:p w14:paraId="06E3910D" w14:textId="77777777" w:rsidR="00DB2B68" w:rsidRDefault="00000000">
      <w:r>
        <w:t>[NBN EN ISO 9692-2, Soudage et techniques connexes - Préparation de joints - Partie 2: Soudage à l'arc sous flux en poudre des aciers (ISO 9692-2:1998) (+AC:1999)]</w:t>
      </w:r>
    </w:p>
    <w:p w14:paraId="634062A2" w14:textId="77777777" w:rsidR="00DB2B68" w:rsidRDefault="00000000">
      <w:r>
        <w:t>[NBN EN 1011 série, Soudage - Recommandations pour le soudage des matériaux métalliques]</w:t>
      </w:r>
    </w:p>
    <w:p w14:paraId="3814C28F" w14:textId="77777777" w:rsidR="00DB2B68" w:rsidRDefault="00000000">
      <w:r>
        <w:rPr>
          <w:shd w:val="clear" w:color="auto" w:fill="FFFFFF"/>
        </w:rPr>
        <w:t>[NBN EN 1708 série, Soudage - Descriptif de base des assemblages soudés en acier]</w:t>
      </w:r>
    </w:p>
    <w:p w14:paraId="0F78BC66" w14:textId="77777777" w:rsidR="00DB2B68" w:rsidRDefault="00000000">
      <w:r>
        <w:t>[NBN EN ISO 5817, Soudage - Assemblages en acier, nickel, titane et leurs alliages soudés par fusion (soudage par faisceau exclu) - Niveaux de qualité par rapport aux défauts (ISO 5817:2014)]</w:t>
      </w:r>
    </w:p>
    <w:p w14:paraId="25E03D5E" w14:textId="77777777" w:rsidR="00DB2B68" w:rsidRDefault="00000000">
      <w:r>
        <w:t>[NBN EN ISO 15607, Descriptif et qualification d'un mode opératoire de soudage pour les matériaux métalliques - Règles générales (ISO 15607:2019)]</w:t>
      </w:r>
    </w:p>
    <w:p w14:paraId="269F0E59" w14:textId="77777777" w:rsidR="00DB2B68" w:rsidRDefault="00000000">
      <w:r>
        <w:t>[NBN EN ISO 15609 série, Descriptif et qualification d'un mode opératoire de soudage pour les matériaux métalliques - Descriptif d'un mode opératoire de soudage ]</w:t>
      </w:r>
    </w:p>
    <w:p w14:paraId="3EF645F2" w14:textId="77777777" w:rsidR="00DB2B68" w:rsidRDefault="00000000">
      <w:r>
        <w:t>[NBN EN ISO 15610, Descriptif et qualification d'un mode opératoire de soudage pour les matériaux métalliques - Qualification basée sur des produits consommables soumis à essais (ISO 15610:2023)]</w:t>
      </w:r>
    </w:p>
    <w:p w14:paraId="08E6380C" w14:textId="77777777" w:rsidR="00DB2B68" w:rsidRDefault="00000000">
      <w:r>
        <w:t>[NBN EN ISO 15611, Descriptif et qualification d'un mode opératoire de soudage pour les matériaux métalliques - Qualification sur la base de l'expérience en soudage (ISO 15611:2003)]</w:t>
      </w:r>
    </w:p>
    <w:p w14:paraId="0300E3C1" w14:textId="77777777" w:rsidR="00DB2B68" w:rsidRDefault="00000000">
      <w:r>
        <w:t>[NBN EN ISO 15612, Descriptif et qualification d'un mode opératoire de soudage pour les matériaux métalliques - Qualification par référence à un mode opératoire de soudage standard (ISO 15612:2018)]</w:t>
      </w:r>
    </w:p>
    <w:p w14:paraId="542E09DA" w14:textId="77777777" w:rsidR="00DB2B68" w:rsidRDefault="00000000">
      <w:r>
        <w:lastRenderedPageBreak/>
        <w:t>[NBN EN ISO 15614 série, Descriptif et qualification d'un mode opératoire de soudage pour les matériaux métalliques - Epreuve de qualification d'un mode opératoire de soudage]</w:t>
      </w:r>
    </w:p>
    <w:p w14:paraId="053CC685" w14:textId="77777777" w:rsidR="00DB2B68" w:rsidRDefault="00000000">
      <w:r>
        <w:t>[NIT 238, L'application de systèmes de peinture intumescente sur structures en acier.]</w:t>
      </w:r>
    </w:p>
    <w:p w14:paraId="07988A07" w14:textId="77777777" w:rsidR="00DB2B68" w:rsidRDefault="00000000">
      <w:r>
        <w:t>[NBN EN 13501 série, Classement au feu des produits et éléments de construction]</w:t>
      </w:r>
    </w:p>
    <w:p w14:paraId="01F3DA61" w14:textId="77777777" w:rsidR="00DB2B68" w:rsidRDefault="00000000">
      <w:pPr>
        <w:ind w:left="750"/>
      </w:pPr>
      <w:r>
        <w:t> </w:t>
      </w:r>
    </w:p>
    <w:p w14:paraId="030D78AF" w14:textId="77777777" w:rsidR="00DB2B68" w:rsidRDefault="00000000">
      <w:pPr>
        <w:ind w:left="750"/>
      </w:pPr>
      <w:r>
        <w:t>[AM 2013-05-17, Arrêté ministériel relatif à l’utilisation des Eurocodes comme méthodes de calcul pour l’évaluation de la résistance au feu d’éléments de construction]</w:t>
      </w:r>
    </w:p>
    <w:p w14:paraId="36DB82F5" w14:textId="77777777" w:rsidR="00DB2B68" w:rsidRDefault="00000000">
      <w:pPr>
        <w:pStyle w:val="pheading"/>
      </w:pPr>
      <w:r>
        <w:t>AIDE</w:t>
      </w:r>
    </w:p>
    <w:p w14:paraId="1E3BB004" w14:textId="77777777" w:rsidR="00DB2B68" w:rsidRDefault="00000000">
      <w:r>
        <w:t>Note à l'attention de l'auteur de projet concernant les aciers (y compris l'acier inoxydable) : Les profilés sont habituellement laminés à chaud.  Les éléments de faible épaisseur ou les profils compliqués sont habituellement formés à froid.</w:t>
      </w:r>
    </w:p>
    <w:p w14:paraId="72DC526E" w14:textId="77777777" w:rsidR="00DB2B68" w:rsidRDefault="00DB2B68">
      <w:pPr>
        <w:ind w:left="750"/>
      </w:pPr>
    </w:p>
    <w:p w14:paraId="09534305" w14:textId="77777777" w:rsidR="00DB2B68" w:rsidRDefault="00000000">
      <w:r>
        <w:rPr>
          <w:b/>
        </w:rPr>
        <w:t>Choix pour la résistance au feu</w:t>
      </w:r>
    </w:p>
    <w:p w14:paraId="5A3ED06F" w14:textId="77777777" w:rsidR="00DB2B68" w:rsidRDefault="00000000">
      <w:r>
        <w:t>Le fait de proposer une liste de choix courts ou de choix longs n’impose nullement au rédacteur du CSC de ne se limiter qu’à un seul choix.  Il peut tout à fait retenir plusieurs choix dans son CSC.</w:t>
      </w:r>
    </w:p>
    <w:p w14:paraId="36CF2650" w14:textId="77777777" w:rsidR="00DB2B68" w:rsidRDefault="00000000">
      <w:pPr>
        <w:pStyle w:val="Author-eListParagraph"/>
        <w:numPr>
          <w:ilvl w:val="0"/>
          <w:numId w:val="686"/>
        </w:numPr>
      </w:pPr>
      <w:r>
        <w:rPr>
          <w:rFonts w:ascii="Times New Roman" w:hAnsi="Times New Roman" w:cs="Times New Roman"/>
          <w:sz w:val="14"/>
        </w:rPr>
        <w:t> </w:t>
      </w:r>
      <w:r>
        <w:t>Soit pour laisser le choix à l’entrepreneur exécutant de choisir parmi les techniques autorisées par l’auteur de projet dans son CSC (ex : pour des poutres dans des espaces techniques : « Cette résistance au feu est atteinte : à l’aide d’une peinture intumescente / par flocage fibreux »)</w:t>
      </w:r>
    </w:p>
    <w:p w14:paraId="43FDABCC" w14:textId="77777777" w:rsidR="00DB2B68" w:rsidRDefault="00000000">
      <w:pPr>
        <w:pStyle w:val="Author-eListParagraph"/>
        <w:numPr>
          <w:ilvl w:val="0"/>
          <w:numId w:val="686"/>
        </w:numPr>
      </w:pPr>
      <w:r>
        <w:rPr>
          <w:rFonts w:ascii="Times New Roman" w:hAnsi="Times New Roman" w:cs="Times New Roman"/>
          <w:sz w:val="14"/>
        </w:rPr>
        <w:t> </w:t>
      </w:r>
      <w:r>
        <w:t>Soit pour indiquer les différentes techniques à utiliser, en distinguant pour chacune son domaine d’application (ex : « Cette résistance au feu est atteinte : sans traitement particulier (pour les poutres HEM) / par flocage fibreux (pour les autres poutres dans les caves, parkings, locaux techniques et espaces non apparents comme dans les faux-plafonds) / par emballage (pour le solde des poutres).</w:t>
      </w:r>
    </w:p>
    <w:p w14:paraId="75B477B0" w14:textId="77777777" w:rsidR="00DB2B68" w:rsidRDefault="00000000">
      <w:pPr>
        <w:pStyle w:val="Author-eSectionHeading3Numberless"/>
      </w:pPr>
      <w:bookmarkStart w:id="1128" w:name="_Toc220496153"/>
      <w:r>
        <w:t>23.1 Eléments de structures métalliques CCTB 01.07</w:t>
      </w:r>
      <w:bookmarkEnd w:id="1128"/>
    </w:p>
    <w:p w14:paraId="27609F30" w14:textId="77777777" w:rsidR="00DB2B68" w:rsidRDefault="00000000">
      <w:pPr>
        <w:pStyle w:val="Author-eSectionHeading4Numberless"/>
      </w:pPr>
      <w:bookmarkStart w:id="1129" w:name="422"/>
      <w:bookmarkStart w:id="1130" w:name="_Toc220496154"/>
      <w:bookmarkEnd w:id="1129"/>
      <w:r>
        <w:t>23.11 Poutres métalliques CCTB 01.07</w:t>
      </w:r>
      <w:bookmarkEnd w:id="1130"/>
    </w:p>
    <w:p w14:paraId="40C7BED7" w14:textId="77777777" w:rsidR="00DB2B68" w:rsidRDefault="00000000">
      <w:pPr>
        <w:pStyle w:val="pheading"/>
      </w:pPr>
      <w:bookmarkStart w:id="1131" w:name="589"/>
      <w:bookmarkEnd w:id="1131"/>
      <w:r>
        <w:t>DESCRIPTION</w:t>
      </w:r>
    </w:p>
    <w:p w14:paraId="49F1261B" w14:textId="77777777" w:rsidR="00DB2B68" w:rsidRDefault="00000000">
      <w:pPr>
        <w:pStyle w:val="pheading"/>
      </w:pPr>
      <w:r>
        <w:t>- Définition / Comprend</w:t>
      </w:r>
    </w:p>
    <w:p w14:paraId="434FB825" w14:textId="77777777" w:rsidR="00DB2B68" w:rsidRDefault="00000000">
      <w:r>
        <w:t>Il s'agit des poutrelles posées horizontalement et utilisées pour franchir des portées afin de supporter des cloisons, des planchers ou des éléments de toiture.</w:t>
      </w:r>
    </w:p>
    <w:p w14:paraId="64583137" w14:textId="77777777" w:rsidR="00DB2B68" w:rsidRDefault="00000000">
      <w:pPr>
        <w:pStyle w:val="pheading"/>
      </w:pPr>
      <w:r>
        <w:t>MATÉRIAUX</w:t>
      </w:r>
    </w:p>
    <w:p w14:paraId="2664F9A7" w14:textId="77777777" w:rsidR="00DB2B68" w:rsidRDefault="00000000">
      <w:r>
        <w:t>Les types mentionnés dans le métré sont donnés à titre indicatif et sont uniquement appliqués avec l'approbation explicite de l'ingénieur. Il est toujours possible que des adaptations doivent être effectuées aux plans de stabilité.</w:t>
      </w:r>
    </w:p>
    <w:p w14:paraId="0ACA3A03" w14:textId="77777777" w:rsidR="00DB2B68" w:rsidRDefault="00000000">
      <w:pPr>
        <w:pStyle w:val="pheading"/>
      </w:pPr>
      <w:r>
        <w:t>EXÉCUTION / MISE EN ŒUVRE</w:t>
      </w:r>
    </w:p>
    <w:p w14:paraId="0B203D5D" w14:textId="77777777" w:rsidR="00DB2B68" w:rsidRDefault="00DB2B68"/>
    <w:p w14:paraId="6EDEDC11" w14:textId="77777777" w:rsidR="00DB2B68" w:rsidRDefault="00000000">
      <w:pPr>
        <w:spacing w:line="256" w:lineRule="auto"/>
      </w:pPr>
      <w:r>
        <w:t>Les poutres sont exécutées dans les dimensions indiquées sur les plans d’exécution approuvés.</w:t>
      </w:r>
    </w:p>
    <w:p w14:paraId="76AD7CB9" w14:textId="77777777" w:rsidR="00DB2B68" w:rsidRDefault="00000000">
      <w:r>
        <w:t>L’entrepreneur est tenu de vérifier si elles peuvent effectivement être réalisées conformément aux plans soumis. Il y a lieu de tenir compte de la hauteur libre requise par rapport au niveau du sol.</w:t>
      </w:r>
    </w:p>
    <w:p w14:paraId="7896AB7B" w14:textId="77777777" w:rsidR="00DB2B68" w:rsidRDefault="00000000">
      <w:r>
        <w:t>L’entrepreneur veille à ce que la répartition des charges à l’appui de la poutre soit uniforme et compatible avec le support. Les longueurs d’appui sont proportionnées à la portée, aux charges et au type de support suivant le calcul du bureau d’études.</w:t>
      </w:r>
    </w:p>
    <w:p w14:paraId="473D8BA3" w14:textId="77777777" w:rsidR="00DB2B68" w:rsidRDefault="00000000">
      <w:r>
        <w:t xml:space="preserve">Longueur d’appui minimum à chaque extrémité des poutres : </w:t>
      </w:r>
      <w:r>
        <w:rPr>
          <w:rStyle w:val="optioncarChar"/>
        </w:rPr>
        <w:t>20</w:t>
      </w:r>
      <w:r>
        <w:t xml:space="preserve"> (par défaut) </w:t>
      </w:r>
      <w:r>
        <w:rPr>
          <w:rStyle w:val="optioncarChar"/>
        </w:rPr>
        <w:t>/ *** cm</w:t>
      </w:r>
      <w:r>
        <w:t>.</w:t>
      </w:r>
    </w:p>
    <w:p w14:paraId="1F22D318" w14:textId="77777777" w:rsidR="00DB2B68" w:rsidRDefault="00000000">
      <w:r>
        <w:rPr>
          <w:b/>
        </w:rPr>
        <w:t>Asselets</w:t>
      </w:r>
    </w:p>
    <w:p w14:paraId="16090242" w14:textId="77777777" w:rsidR="00DB2B68" w:rsidRDefault="00000000">
      <w:r>
        <w:lastRenderedPageBreak/>
        <w:t xml:space="preserve">Les asselets nécessaires à la bonne répartition des charges sont décrits dans l’article </w:t>
      </w:r>
      <w:hyperlink w:anchor="168" w:history="1">
        <w:r>
          <w:rPr>
            <w:color w:val="0000EE"/>
          </w:rPr>
          <w:t>21.85.3a Réalisations d'asselets en béton armé dans une maçonnerie existante </w:t>
        </w:r>
      </w:hyperlink>
      <w:r>
        <w:t xml:space="preserve">et le sous-titre </w:t>
      </w:r>
      <w:hyperlink w:anchor="499" w:history="1">
        <w:r>
          <w:rPr>
            <w:color w:val="0000EE"/>
          </w:rPr>
          <w:t>22.42 pièces d’appui en béton</w:t>
        </w:r>
        <w:r>
          <w:rPr>
            <w:color w:val="000000"/>
          </w:rPr>
          <w:t xml:space="preserve"> et aux articles qui en découlent.</w:t>
        </w:r>
      </w:hyperlink>
    </w:p>
    <w:p w14:paraId="72A85CD7" w14:textId="77777777" w:rsidR="00DB2B68" w:rsidRDefault="00000000">
      <w:r>
        <w:t>Ils ne sont pas compris dans le présent article, sauf contre-indication dans le cahier spécial des charges aux articles concernés ci-dessus.</w:t>
      </w:r>
    </w:p>
    <w:p w14:paraId="3FFE8D28" w14:textId="77777777" w:rsidR="00DB2B68" w:rsidRDefault="00000000">
      <w:pPr>
        <w:pStyle w:val="pheading"/>
      </w:pPr>
      <w:r>
        <w:t>AIDE</w:t>
      </w:r>
    </w:p>
    <w:p w14:paraId="237A047C" w14:textId="77777777" w:rsidR="00DB2B68" w:rsidRDefault="00000000">
      <w:r>
        <w:rPr>
          <w:u w:val="single"/>
        </w:rPr>
        <w:t>Attention</w:t>
      </w:r>
    </w:p>
    <w:p w14:paraId="1B0AD16E" w14:textId="77777777" w:rsidR="00DB2B68" w:rsidRDefault="00000000">
      <w:r>
        <w:t>- Les linteaux, utilisés pour soutenir localement la maçonnerie au-dessus des baies de portes et fenêtres, sont repris sous une rubrique séparée.</w:t>
      </w:r>
    </w:p>
    <w:p w14:paraId="09112E46" w14:textId="77777777" w:rsidR="00DB2B68" w:rsidRDefault="00000000">
      <w:pPr>
        <w:pStyle w:val="Author-eSectionHeading5Numberless"/>
      </w:pPr>
      <w:bookmarkStart w:id="1132" w:name="_Toc220496155"/>
      <w:r>
        <w:t>23.11.1 Poutres en acier laminées à chaud CCTB 01.04</w:t>
      </w:r>
      <w:bookmarkEnd w:id="1132"/>
    </w:p>
    <w:p w14:paraId="7328E794" w14:textId="77777777" w:rsidR="00DB2B68" w:rsidRDefault="00000000">
      <w:pPr>
        <w:pStyle w:val="Author-eSectionHeading6Numberless"/>
      </w:pPr>
      <w:bookmarkStart w:id="1133" w:name="492"/>
      <w:bookmarkStart w:id="1134" w:name="_Toc220496156"/>
      <w:bookmarkEnd w:id="1133"/>
      <w:r>
        <w:t>23.11.1a Poutres en profilés en acier laminés à chaud CCTB 01.11</w:t>
      </w:r>
      <w:bookmarkEnd w:id="1134"/>
    </w:p>
    <w:p w14:paraId="034902CB" w14:textId="77777777" w:rsidR="00DB2B68" w:rsidRDefault="00000000">
      <w:pPr>
        <w:pStyle w:val="pheading"/>
      </w:pPr>
      <w:bookmarkStart w:id="1135" w:name="176"/>
      <w:bookmarkEnd w:id="1135"/>
      <w:r>
        <w:t>DESCRIPTION</w:t>
      </w:r>
    </w:p>
    <w:p w14:paraId="22FCDA20" w14:textId="77777777" w:rsidR="00DB2B68" w:rsidRDefault="00000000">
      <w:pPr>
        <w:pStyle w:val="pheading"/>
      </w:pPr>
      <w:r>
        <w:t>- Définition / Comprend</w:t>
      </w:r>
    </w:p>
    <w:p w14:paraId="5948AFD4" w14:textId="77777777" w:rsidR="00DB2B68" w:rsidRDefault="00000000">
      <w:r>
        <w:t>Il s'agit de l’ensemble des  poutres en profilés en acier laminés à chaud conformes à la [NBN EN 10025 série]</w:t>
      </w:r>
    </w:p>
    <w:p w14:paraId="548E3D51" w14:textId="77777777" w:rsidR="00DB2B68" w:rsidRDefault="00000000">
      <w:pPr>
        <w:pStyle w:val="pheading"/>
      </w:pPr>
      <w:r>
        <w:t>- Localisation</w:t>
      </w:r>
    </w:p>
    <w:p w14:paraId="6FD33C71" w14:textId="77777777" w:rsidR="00DB2B68" w:rsidRDefault="00000000">
      <w:r>
        <w:t xml:space="preserve">Les travaux sont localisés : </w:t>
      </w:r>
      <w:r>
        <w:rPr>
          <w:rStyle w:val="optioncarChar"/>
        </w:rPr>
        <w:t>Voir plans et métrés détaillés </w:t>
      </w:r>
      <w:r>
        <w:t>(par défaut)</w:t>
      </w:r>
      <w:r>
        <w:rPr>
          <w:rStyle w:val="optioncarChar"/>
        </w:rPr>
        <w:t xml:space="preserve"> / *** </w:t>
      </w:r>
      <w:r>
        <w:t>.</w:t>
      </w:r>
    </w:p>
    <w:p w14:paraId="15C2AA19" w14:textId="77777777" w:rsidR="00DB2B68" w:rsidRDefault="00000000">
      <w:pPr>
        <w:pStyle w:val="pheading"/>
      </w:pPr>
      <w:r>
        <w:t>EXÉCUTION / MISE EN ŒUVRE</w:t>
      </w:r>
    </w:p>
    <w:p w14:paraId="68043C0C" w14:textId="77777777" w:rsidR="00DB2B68" w:rsidRDefault="00000000">
      <w:pPr>
        <w:pStyle w:val="pheading"/>
      </w:pPr>
      <w:r>
        <w:t>- Notes d’exécution complémentaires</w:t>
      </w:r>
    </w:p>
    <w:p w14:paraId="058096B1" w14:textId="77777777" w:rsidR="00DB2B68" w:rsidRDefault="00000000">
      <w:pPr>
        <w:jc w:val="both"/>
      </w:pPr>
      <w:r>
        <w:rPr>
          <w:rStyle w:val="facultChar"/>
        </w:rPr>
        <w:t>Le présent article comprend également des coupures thermiques : des dispositifs adéquats sont utilisés pour éviter tout pont thermique.</w:t>
      </w:r>
    </w:p>
    <w:p w14:paraId="3121C138" w14:textId="77777777" w:rsidR="00DB2B68" w:rsidRDefault="00000000">
      <w:pPr>
        <w:pStyle w:val="pheading"/>
      </w:pPr>
      <w:r>
        <w:t>MESURAGE</w:t>
      </w:r>
    </w:p>
    <w:p w14:paraId="76FE4EAB" w14:textId="77777777" w:rsidR="00DB2B68" w:rsidRDefault="00000000">
      <w:pPr>
        <w:pStyle w:val="pheading"/>
      </w:pPr>
      <w:r>
        <w:t>- unité de mesure:</w:t>
      </w:r>
    </w:p>
    <w:p w14:paraId="151CE159" w14:textId="77777777" w:rsidR="00DB2B68" w:rsidRDefault="00000000">
      <w:r>
        <w:rPr>
          <w:b/>
        </w:rPr>
        <w:t>POUTRE</w:t>
      </w:r>
    </w:p>
    <w:p w14:paraId="0FFDC41D" w14:textId="77777777" w:rsidR="00DB2B68" w:rsidRDefault="00000000">
      <w:r>
        <w:rPr>
          <w:rStyle w:val="optioncarChar"/>
        </w:rPr>
        <w:t>kg </w:t>
      </w:r>
      <w:r>
        <w:t xml:space="preserve">(par défaut) </w:t>
      </w:r>
      <w:r>
        <w:rPr>
          <w:rStyle w:val="optioncarChar"/>
        </w:rPr>
        <w:t>/ m / pc.</w:t>
      </w:r>
    </w:p>
    <w:p w14:paraId="15594988" w14:textId="77777777" w:rsidR="00DB2B68" w:rsidRDefault="00000000">
      <w:r>
        <w:rPr>
          <w:b/>
          <w:i/>
        </w:rPr>
        <w:t>(Soit par défaut)</w:t>
      </w:r>
    </w:p>
    <w:p w14:paraId="1D669457" w14:textId="77777777" w:rsidR="00DB2B68" w:rsidRDefault="00000000">
      <w:r>
        <w:rPr>
          <w:rStyle w:val="soitChar"/>
        </w:rPr>
        <w:t> 1. kg.</w:t>
      </w:r>
    </w:p>
    <w:p w14:paraId="03558E59" w14:textId="77777777" w:rsidR="00DB2B68" w:rsidRDefault="00000000">
      <w:r>
        <w:rPr>
          <w:b/>
          <w:i/>
        </w:rPr>
        <w:t>(Soit)</w:t>
      </w:r>
    </w:p>
    <w:p w14:paraId="04429D6A" w14:textId="77777777" w:rsidR="00DB2B68" w:rsidRDefault="00000000">
      <w:r>
        <w:rPr>
          <w:rStyle w:val="soitChar"/>
        </w:rPr>
        <w:t>  2 ou 3. m</w:t>
      </w:r>
    </w:p>
    <w:p w14:paraId="0A9D9E03" w14:textId="77777777" w:rsidR="00DB2B68" w:rsidRDefault="00000000">
      <w:r>
        <w:rPr>
          <w:b/>
          <w:i/>
        </w:rPr>
        <w:t>(Soit)</w:t>
      </w:r>
    </w:p>
    <w:p w14:paraId="5BC39CE6" w14:textId="77777777" w:rsidR="00DB2B68" w:rsidRDefault="00000000">
      <w:r>
        <w:rPr>
          <w:rStyle w:val="soitChar"/>
        </w:rPr>
        <w:t>  4 ou 5. pc</w:t>
      </w:r>
    </w:p>
    <w:p w14:paraId="7A670C27" w14:textId="77777777" w:rsidR="00DB2B68" w:rsidRDefault="00000000">
      <w:r>
        <w:rPr>
          <w:rStyle w:val="soitChar"/>
        </w:rPr>
        <w:t> </w:t>
      </w:r>
    </w:p>
    <w:p w14:paraId="5E4A23E2" w14:textId="77777777" w:rsidR="00DB2B68" w:rsidRDefault="00000000">
      <w:r>
        <w:rPr>
          <w:b/>
        </w:rPr>
        <w:t>FLOCAGE</w:t>
      </w:r>
    </w:p>
    <w:p w14:paraId="5D4F8EB5" w14:textId="77777777" w:rsidR="00DB2B68" w:rsidRDefault="00000000">
      <w:r>
        <w:t>Le traitement au feu par flocage est compté séparément et fait l’objet d’un (de) poste(s) supplémentaire(s) dans le présent article :</w:t>
      </w:r>
    </w:p>
    <w:p w14:paraId="5022AE63" w14:textId="77777777" w:rsidR="00DB2B68" w:rsidRDefault="00000000">
      <w:r>
        <w:rPr>
          <w:rStyle w:val="optioncarChar"/>
        </w:rPr>
        <w:t xml:space="preserve">m² </w:t>
      </w:r>
      <w:r>
        <w:t>(par défaut)</w:t>
      </w:r>
      <w:r>
        <w:rPr>
          <w:rStyle w:val="optioncarChar"/>
        </w:rPr>
        <w:t xml:space="preserve"> / m / pc.</w:t>
      </w:r>
    </w:p>
    <w:p w14:paraId="5D88F6BC" w14:textId="77777777" w:rsidR="00DB2B68" w:rsidRDefault="00000000">
      <w:r>
        <w:rPr>
          <w:b/>
          <w:i/>
        </w:rPr>
        <w:t>(Soit par défaut)</w:t>
      </w:r>
    </w:p>
    <w:p w14:paraId="6A6E8447" w14:textId="77777777" w:rsidR="00DB2B68" w:rsidRDefault="00000000">
      <w:r>
        <w:rPr>
          <w:rStyle w:val="soitChar"/>
        </w:rPr>
        <w:t> 1. m².</w:t>
      </w:r>
    </w:p>
    <w:p w14:paraId="2CD58CE8" w14:textId="77777777" w:rsidR="00DB2B68" w:rsidRDefault="00000000">
      <w:r>
        <w:rPr>
          <w:b/>
          <w:i/>
        </w:rPr>
        <w:t>(Soit)</w:t>
      </w:r>
    </w:p>
    <w:p w14:paraId="178B7674" w14:textId="77777777" w:rsidR="00DB2B68" w:rsidRDefault="00000000">
      <w:r>
        <w:rPr>
          <w:rStyle w:val="soitChar"/>
        </w:rPr>
        <w:t> 2. m</w:t>
      </w:r>
    </w:p>
    <w:p w14:paraId="5C4BEF45" w14:textId="77777777" w:rsidR="00DB2B68" w:rsidRDefault="00000000">
      <w:r>
        <w:rPr>
          <w:b/>
          <w:i/>
        </w:rPr>
        <w:lastRenderedPageBreak/>
        <w:t>(Soit)</w:t>
      </w:r>
    </w:p>
    <w:p w14:paraId="68270D92" w14:textId="77777777" w:rsidR="00DB2B68" w:rsidRDefault="00000000">
      <w:r>
        <w:rPr>
          <w:rStyle w:val="soitChar"/>
        </w:rPr>
        <w:t> 3. pc</w:t>
      </w:r>
    </w:p>
    <w:p w14:paraId="3D407C45" w14:textId="77777777" w:rsidR="00DB2B68" w:rsidRDefault="00DB2B68"/>
    <w:p w14:paraId="6DEC41EC" w14:textId="77777777" w:rsidR="00DB2B68" w:rsidRDefault="00000000">
      <w:r>
        <w:rPr>
          <w:b/>
        </w:rPr>
        <w:t>COUPURE THERMIQUE</w:t>
      </w:r>
    </w:p>
    <w:p w14:paraId="1BA9F94A" w14:textId="77777777" w:rsidR="00DB2B68" w:rsidRDefault="00000000">
      <w:r>
        <w:rPr>
          <w:rStyle w:val="optioncarChar"/>
        </w:rPr>
        <w:t>pièce</w:t>
      </w:r>
    </w:p>
    <w:p w14:paraId="62CD5DC7" w14:textId="77777777" w:rsidR="00DB2B68" w:rsidRDefault="00000000">
      <w:pPr>
        <w:pStyle w:val="pheading"/>
      </w:pPr>
      <w:r>
        <w:t>- code de mesurage:</w:t>
      </w:r>
    </w:p>
    <w:p w14:paraId="7B938996" w14:textId="77777777" w:rsidR="00DB2B68" w:rsidRDefault="00000000">
      <w:r>
        <w:rPr>
          <w:b/>
        </w:rPr>
        <w:t>POUTRE</w:t>
      </w:r>
    </w:p>
    <w:p w14:paraId="661227B7" w14:textId="77777777" w:rsidR="00DB2B68" w:rsidRDefault="00000000">
      <w:r>
        <w:t>Distinctions faites suivant les types de profilés, nuances et qualités d’acier.</w:t>
      </w:r>
    </w:p>
    <w:p w14:paraId="618A8ACB" w14:textId="77777777" w:rsidR="00DB2B68" w:rsidRDefault="00DB2B68"/>
    <w:p w14:paraId="1AFB7C7E" w14:textId="77777777" w:rsidR="00DB2B68" w:rsidRDefault="00000000">
      <w:r>
        <w:rPr>
          <w:rStyle w:val="optioncarChar"/>
        </w:rPr>
        <w:t xml:space="preserve">Masse </w:t>
      </w:r>
      <w:r>
        <w:t xml:space="preserve"> (par défaut) </w:t>
      </w:r>
      <w:r>
        <w:rPr>
          <w:rStyle w:val="optioncarChar"/>
        </w:rPr>
        <w:t>/ Longueur nette / Longueur nette d’exécution / Pièce nette / Pièce d’exécution</w:t>
      </w:r>
    </w:p>
    <w:p w14:paraId="3CE3B315" w14:textId="77777777" w:rsidR="00DB2B68" w:rsidRDefault="00000000">
      <w:r>
        <w:rPr>
          <w:b/>
        </w:rPr>
        <w:t>(Soit par défaut)</w:t>
      </w:r>
    </w:p>
    <w:p w14:paraId="065A0725"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 xml:space="preserve"> Masse d’acier pour toutes dimensions et types de profilés, distinction suivant les nuances et qualités d’acier. .</w:t>
      </w:r>
    </w:p>
    <w:p w14:paraId="46D0DA1A" w14:textId="77777777" w:rsidR="00DB2B68" w:rsidRDefault="00000000">
      <w:r>
        <w:rPr>
          <w:b/>
        </w:rPr>
        <w:t>(Soit)</w:t>
      </w:r>
    </w:p>
    <w:p w14:paraId="554BF21C"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 xml:space="preserve"> Longueur de la portée à mettre en œuvre, appuis non comptés.</w:t>
      </w:r>
    </w:p>
    <w:p w14:paraId="5D93EDC4" w14:textId="77777777" w:rsidR="00DB2B68" w:rsidRDefault="00000000">
      <w:r>
        <w:rPr>
          <w:b/>
        </w:rPr>
        <w:t>(Soit)</w:t>
      </w:r>
    </w:p>
    <w:p w14:paraId="0F1570FE" w14:textId="77777777" w:rsidR="00DB2B68" w:rsidRDefault="00000000">
      <w:r>
        <w:rPr>
          <w:rStyle w:val="soitChar"/>
        </w:rPr>
        <w:t>3.</w:t>
      </w:r>
      <w:r>
        <w:rPr>
          <w:rStyle w:val="soitChar"/>
          <w:u w:val="single"/>
        </w:rPr>
        <w:t xml:space="preserve"> Longueur d’exécution</w:t>
      </w:r>
      <w:r>
        <w:rPr>
          <w:rStyle w:val="soitChar"/>
        </w:rPr>
        <w:t xml:space="preserve"> :</w:t>
      </w:r>
    </w:p>
    <w:p w14:paraId="449C6C42" w14:textId="77777777" w:rsidR="00DB2B68" w:rsidRDefault="00000000">
      <w:r>
        <w:rPr>
          <w:rStyle w:val="soitChar"/>
        </w:rPr>
        <w:t xml:space="preserve"> Longueur de la portée et longueurs d’appuis comprises.</w:t>
      </w:r>
    </w:p>
    <w:p w14:paraId="3FF1EB5B" w14:textId="77777777" w:rsidR="00DB2B68" w:rsidRDefault="00000000">
      <w:r>
        <w:rPr>
          <w:b/>
        </w:rPr>
        <w:t>(Soit)</w:t>
      </w:r>
    </w:p>
    <w:p w14:paraId="3EDED18F"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 xml:space="preserve"> selon les dimensions de la portée à mettre en œuvre, appuis non comptés.</w:t>
      </w:r>
    </w:p>
    <w:p w14:paraId="051A2A14" w14:textId="77777777" w:rsidR="00DB2B68" w:rsidRDefault="00000000">
      <w:r>
        <w:rPr>
          <w:b/>
        </w:rPr>
        <w:t>(Soit)</w:t>
      </w:r>
      <w:r>
        <w:br/>
      </w:r>
      <w:r>
        <w:rPr>
          <w:rStyle w:val="soitChar"/>
        </w:rPr>
        <w:t>5.</w:t>
      </w:r>
      <w:r>
        <w:rPr>
          <w:rStyle w:val="soitChar"/>
          <w:u w:val="single"/>
        </w:rPr>
        <w:t xml:space="preserve"> Pièce d’exécution</w:t>
      </w:r>
      <w:r>
        <w:rPr>
          <w:rStyle w:val="soitChar"/>
        </w:rPr>
        <w:t xml:space="preserve"> : </w:t>
      </w:r>
      <w:r>
        <w:br/>
      </w:r>
      <w:r>
        <w:rPr>
          <w:rStyle w:val="soitChar"/>
        </w:rPr>
        <w:t xml:space="preserve"> selon les dimensions de la portée et longueurs d’appuis comprises.</w:t>
      </w:r>
    </w:p>
    <w:p w14:paraId="57CCED8C" w14:textId="77777777" w:rsidR="00DB2B68" w:rsidRDefault="00DB2B68"/>
    <w:p w14:paraId="6BC1FB1C" w14:textId="77777777" w:rsidR="00DB2B68" w:rsidRDefault="00000000">
      <w:r>
        <w:rPr>
          <w:b/>
        </w:rPr>
        <w:t>FLOCAGE</w:t>
      </w:r>
    </w:p>
    <w:p w14:paraId="0BCB468E"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05E5FEC" w14:textId="77777777" w:rsidR="00DB2B68" w:rsidRDefault="00000000">
      <w:r>
        <w:rPr>
          <w:b/>
          <w:i/>
        </w:rPr>
        <w:t>(Soit par défaut)</w:t>
      </w:r>
    </w:p>
    <w:p w14:paraId="0F92AC44"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 xml:space="preserve"> Surface nette à traiter.</w:t>
      </w:r>
    </w:p>
    <w:p w14:paraId="08E763C7" w14:textId="77777777" w:rsidR="00DB2B68" w:rsidRDefault="00000000">
      <w:r>
        <w:rPr>
          <w:b/>
          <w:i/>
        </w:rPr>
        <w:t>(Soit)</w:t>
      </w:r>
    </w:p>
    <w:p w14:paraId="2FEB902D"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 xml:space="preserve"> Longueur nette à traiter.</w:t>
      </w:r>
    </w:p>
    <w:p w14:paraId="7B06E1BD" w14:textId="77777777" w:rsidR="00DB2B68" w:rsidRDefault="00000000">
      <w:r>
        <w:rPr>
          <w:b/>
          <w:i/>
        </w:rPr>
        <w:t>(Soit)</w:t>
      </w:r>
    </w:p>
    <w:p w14:paraId="520F163B"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 xml:space="preserve"> Ventilée selon les dimensions et les sections des profilés.</w:t>
      </w:r>
    </w:p>
    <w:p w14:paraId="27D4B7F7" w14:textId="77777777" w:rsidR="00DB2B68" w:rsidRDefault="00DB2B68"/>
    <w:p w14:paraId="26A2531A" w14:textId="77777777" w:rsidR="00DB2B68" w:rsidRDefault="00000000">
      <w:pPr>
        <w:spacing w:after="0" w:line="256" w:lineRule="auto"/>
        <w:jc w:val="both"/>
      </w:pPr>
      <w:r>
        <w:rPr>
          <w:b/>
        </w:rPr>
        <w:t>COUPURE THERMIQUE</w:t>
      </w:r>
    </w:p>
    <w:p w14:paraId="3C5AD427" w14:textId="77777777" w:rsidR="00DB2B68" w:rsidRDefault="00000000">
      <w:r>
        <w:t>À la pièce, ventilée suivant les types d’éléments</w:t>
      </w:r>
    </w:p>
    <w:p w14:paraId="0389AF7E" w14:textId="77777777" w:rsidR="00DB2B68" w:rsidRDefault="00000000">
      <w:pPr>
        <w:pStyle w:val="pheading"/>
      </w:pPr>
      <w:r>
        <w:t>- nature du marché:</w:t>
      </w:r>
    </w:p>
    <w:p w14:paraId="541E27A6" w14:textId="77777777" w:rsidR="00DB2B68" w:rsidRDefault="00000000">
      <w:r>
        <w:rPr>
          <w:rStyle w:val="optioncarChar"/>
        </w:rPr>
        <w:lastRenderedPageBreak/>
        <w:t>QF</w:t>
      </w:r>
      <w:r>
        <w:t xml:space="preserve"> (par défaut) </w:t>
      </w:r>
      <w:r>
        <w:rPr>
          <w:rStyle w:val="optioncarChar"/>
        </w:rPr>
        <w:t>/ QP</w:t>
      </w:r>
    </w:p>
    <w:p w14:paraId="23E3F1F5" w14:textId="77777777" w:rsidR="00DB2B68" w:rsidRDefault="00000000">
      <w:r>
        <w:rPr>
          <w:rStyle w:val="normalChar"/>
          <w:b/>
          <w:i/>
          <w:color w:val="000000"/>
        </w:rPr>
        <w:t>(Soit par défaut)</w:t>
      </w:r>
    </w:p>
    <w:p w14:paraId="7AC617FF" w14:textId="77777777" w:rsidR="00DB2B68" w:rsidRDefault="00DB2B68">
      <w:pPr>
        <w:ind w:left="750"/>
      </w:pPr>
    </w:p>
    <w:p w14:paraId="1C93833B" w14:textId="77777777" w:rsidR="00DB2B68" w:rsidRDefault="00000000">
      <w:r>
        <w:rPr>
          <w:rStyle w:val="soitChar"/>
        </w:rPr>
        <w:t xml:space="preserve">1. QF </w:t>
      </w:r>
      <w:r>
        <w:rPr>
          <w:b/>
          <w:i/>
        </w:rPr>
        <w:t>(Soit)</w:t>
      </w:r>
    </w:p>
    <w:p w14:paraId="621E2FFE" w14:textId="77777777" w:rsidR="00DB2B68" w:rsidRDefault="00000000">
      <w:r>
        <w:rPr>
          <w:rStyle w:val="soitChar"/>
        </w:rPr>
        <w:t xml:space="preserve">2. QP </w:t>
      </w:r>
    </w:p>
    <w:p w14:paraId="3B242101" w14:textId="77777777" w:rsidR="00DB2B68" w:rsidRDefault="00000000">
      <w:pPr>
        <w:pStyle w:val="pheading"/>
      </w:pPr>
      <w:r>
        <w:t>AIDE</w:t>
      </w:r>
    </w:p>
    <w:p w14:paraId="7412F542" w14:textId="77777777" w:rsidR="00DB2B68" w:rsidRDefault="00DB2B68"/>
    <w:p w14:paraId="1657D346" w14:textId="77777777" w:rsidR="00DB2B68" w:rsidRDefault="00000000">
      <w:r>
        <w:t>Exemple pour métré :</w:t>
      </w:r>
    </w:p>
    <w:p w14:paraId="4250E64B" w14:textId="77777777" w:rsidR="00DB2B68" w:rsidRDefault="00000000">
      <w:r>
        <w:t>HEA 200          S235JR           Z15      galvanisé à chaud</w:t>
      </w:r>
    </w:p>
    <w:p w14:paraId="349F9820" w14:textId="77777777" w:rsidR="00DB2B68" w:rsidRDefault="00000000">
      <w:r>
        <w:t>IPE 360           S355J2                        primaire antirouille</w:t>
      </w:r>
    </w:p>
    <w:p w14:paraId="699BC509" w14:textId="77777777" w:rsidR="00DB2B68" w:rsidRDefault="00000000">
      <w:pPr>
        <w:pStyle w:val="Author-eSectionHeading6Numberless"/>
      </w:pPr>
      <w:bookmarkStart w:id="1136" w:name="_Toc220496157"/>
      <w:r>
        <w:t>23.11.1b Poutres reconstituées soudées en acier CCTB 01.11</w:t>
      </w:r>
      <w:bookmarkEnd w:id="1136"/>
    </w:p>
    <w:p w14:paraId="17E2DA11" w14:textId="77777777" w:rsidR="00DB2B68" w:rsidRDefault="00000000">
      <w:pPr>
        <w:pStyle w:val="pheading"/>
      </w:pPr>
      <w:bookmarkStart w:id="1137" w:name="490"/>
      <w:bookmarkEnd w:id="1137"/>
      <w:r>
        <w:t>DESCRIPTION</w:t>
      </w:r>
    </w:p>
    <w:p w14:paraId="74D471F3" w14:textId="77777777" w:rsidR="00DB2B68" w:rsidRDefault="00000000">
      <w:pPr>
        <w:pStyle w:val="pheading"/>
      </w:pPr>
      <w:r>
        <w:t>- Définition / Comprend</w:t>
      </w:r>
    </w:p>
    <w:p w14:paraId="152464D3" w14:textId="77777777" w:rsidR="00DB2B68" w:rsidRDefault="00000000">
      <w:pPr>
        <w:jc w:val="both"/>
      </w:pPr>
      <w:r>
        <w:t>Il s'agit de la fourniture et de la pose de profilés non standards servant de poutres, préfabriqués en ateliers, constitués d’éléments linéaires en acier assemblés par soudage.</w:t>
      </w:r>
    </w:p>
    <w:p w14:paraId="303CBBB5" w14:textId="77777777" w:rsidR="00DB2B68" w:rsidRDefault="00000000">
      <w:pPr>
        <w:jc w:val="both"/>
      </w:pPr>
      <w:r>
        <w:t>Les poutres reconstituées soudées en acier sont communément appelées en abrégé « PRS ». Cette abréviation est utilisée dans la suite de cet élément.</w:t>
      </w:r>
    </w:p>
    <w:p w14:paraId="24F9EC6B" w14:textId="77777777" w:rsidR="00DB2B68" w:rsidRDefault="00000000">
      <w:pPr>
        <w:jc w:val="both"/>
      </w:pPr>
      <w:r>
        <w:t>Ce poste comprend notamment :</w:t>
      </w:r>
    </w:p>
    <w:p w14:paraId="22EF7A4C" w14:textId="77777777" w:rsidR="00DB2B68" w:rsidRDefault="00000000">
      <w:pPr>
        <w:pStyle w:val="Author-eListParagraph"/>
        <w:numPr>
          <w:ilvl w:val="0"/>
          <w:numId w:val="687"/>
        </w:numPr>
        <w:jc w:val="both"/>
      </w:pPr>
      <w:r>
        <w:t>le relevé sur place des dimensions exactes ;</w:t>
      </w:r>
    </w:p>
    <w:p w14:paraId="58337CA4" w14:textId="77777777" w:rsidR="00DB2B68" w:rsidRDefault="00000000">
      <w:pPr>
        <w:pStyle w:val="Author-eListParagraph"/>
        <w:numPr>
          <w:ilvl w:val="0"/>
          <w:numId w:val="687"/>
        </w:numPr>
        <w:jc w:val="both"/>
      </w:pPr>
      <w:r>
        <w:t>l'établissement des dessins d'exécution ;</w:t>
      </w:r>
    </w:p>
    <w:p w14:paraId="4A4180E9" w14:textId="77777777" w:rsidR="00DB2B68" w:rsidRDefault="00000000">
      <w:pPr>
        <w:pStyle w:val="Author-eListParagraph"/>
        <w:numPr>
          <w:ilvl w:val="0"/>
          <w:numId w:val="687"/>
        </w:numPr>
        <w:jc w:val="both"/>
      </w:pPr>
      <w:r>
        <w:t>le contrôle et la préparation des supports ;</w:t>
      </w:r>
    </w:p>
    <w:p w14:paraId="4DFB429C" w14:textId="77777777" w:rsidR="00DB2B68" w:rsidRDefault="00000000">
      <w:pPr>
        <w:pStyle w:val="Author-eListParagraph"/>
        <w:numPr>
          <w:ilvl w:val="0"/>
          <w:numId w:val="687"/>
        </w:numPr>
        <w:jc w:val="both"/>
      </w:pPr>
      <w:r>
        <w:t>la préparation et l'usinage de l'acier en atelier (couper, plier, etc.), y compris tous les assemblages par soudure et boulonnage ;</w:t>
      </w:r>
    </w:p>
    <w:p w14:paraId="3B373DF4" w14:textId="77777777" w:rsidR="00DB2B68" w:rsidRDefault="00000000">
      <w:pPr>
        <w:pStyle w:val="Author-eListParagraph"/>
        <w:numPr>
          <w:ilvl w:val="0"/>
          <w:numId w:val="687"/>
        </w:numPr>
        <w:jc w:val="both"/>
      </w:pPr>
      <w:r>
        <w:t>la protection contre la corrosion;</w:t>
      </w:r>
    </w:p>
    <w:p w14:paraId="515086F7" w14:textId="77777777" w:rsidR="00DB2B68" w:rsidRDefault="00000000">
      <w:pPr>
        <w:pStyle w:val="Author-eListParagraph"/>
        <w:numPr>
          <w:ilvl w:val="0"/>
          <w:numId w:val="687"/>
        </w:numPr>
        <w:jc w:val="both"/>
      </w:pPr>
      <w:r>
        <w:t>la fourniture et le montage des éléments de construction en acier sur chantier, y compris tous les dispositifs d'assemblage, d'appui et d'ancrage ;</w:t>
      </w:r>
    </w:p>
    <w:p w14:paraId="19569CF5" w14:textId="77777777" w:rsidR="00DB2B68" w:rsidRDefault="00000000">
      <w:pPr>
        <w:pStyle w:val="Author-eListParagraph"/>
        <w:numPr>
          <w:ilvl w:val="0"/>
          <w:numId w:val="687"/>
        </w:numPr>
        <w:jc w:val="both"/>
      </w:pPr>
      <w:r>
        <w:t>l’évacuation des déchets et le nettoyage du chantier.</w:t>
      </w:r>
    </w:p>
    <w:p w14:paraId="2AD013B5" w14:textId="77777777" w:rsidR="00DB2B68" w:rsidRDefault="00000000">
      <w:pPr>
        <w:pStyle w:val="pheading"/>
      </w:pPr>
      <w:r>
        <w:t>- Localisation</w:t>
      </w:r>
    </w:p>
    <w:p w14:paraId="0B90E325" w14:textId="77777777" w:rsidR="00DB2B68" w:rsidRDefault="00000000">
      <w:r>
        <w:t xml:space="preserve">Les travaux sont localisés : </w:t>
      </w:r>
      <w:r>
        <w:rPr>
          <w:rStyle w:val="optioncarChar"/>
        </w:rPr>
        <w:t>***</w:t>
      </w:r>
      <w:r>
        <w:t>.</w:t>
      </w:r>
    </w:p>
    <w:p w14:paraId="5066B47E" w14:textId="77777777" w:rsidR="00DB2B68" w:rsidRDefault="00000000">
      <w:r>
        <w:t>Voir plans et métrés détaillés.</w:t>
      </w:r>
    </w:p>
    <w:p w14:paraId="0F272C81" w14:textId="77777777" w:rsidR="00DB2B68" w:rsidRDefault="00000000">
      <w:pPr>
        <w:pStyle w:val="pheading"/>
      </w:pPr>
      <w:r>
        <w:t>MATÉRIAUX</w:t>
      </w:r>
    </w:p>
    <w:p w14:paraId="6CE30576" w14:textId="77777777" w:rsidR="00DB2B68" w:rsidRDefault="00000000">
      <w:pPr>
        <w:pStyle w:val="pheading"/>
      </w:pPr>
      <w:r>
        <w:t>- Caractéristiques générales</w:t>
      </w:r>
    </w:p>
    <w:p w14:paraId="5C556D56" w14:textId="77777777" w:rsidR="00DB2B68" w:rsidRDefault="00000000">
      <w:r>
        <w:rPr>
          <w:b/>
          <w:u w:val="single"/>
        </w:rPr>
        <w:t>Acier laminé à chaud</w:t>
      </w:r>
    </w:p>
    <w:p w14:paraId="5450649E" w14:textId="77777777" w:rsidR="00DB2B68" w:rsidRDefault="00000000">
      <w:pPr>
        <w:pStyle w:val="Author-eListParagraph"/>
        <w:numPr>
          <w:ilvl w:val="0"/>
          <w:numId w:val="688"/>
        </w:numPr>
      </w:pPr>
      <w:r>
        <w:t xml:space="preserve">Types de profilés : </w:t>
      </w:r>
      <w:r>
        <w:rPr>
          <w:rStyle w:val="optioncarChar"/>
        </w:rPr>
        <w:t xml:space="preserve">voir données mentionnées sur les plans </w:t>
      </w:r>
      <w:r>
        <w:t xml:space="preserve">(par défaut) </w:t>
      </w:r>
      <w:r>
        <w:rPr>
          <w:rStyle w:val="optioncarChar"/>
        </w:rPr>
        <w:t>/ ***</w:t>
      </w:r>
      <w:r>
        <w:t>.</w:t>
      </w:r>
    </w:p>
    <w:p w14:paraId="2B30DC37" w14:textId="77777777" w:rsidR="00DB2B68" w:rsidRDefault="00000000">
      <w:pPr>
        <w:pStyle w:val="Author-eListParagraph"/>
        <w:numPr>
          <w:ilvl w:val="0"/>
          <w:numId w:val="688"/>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0C7CE327" w14:textId="77777777" w:rsidR="00DB2B68" w:rsidRDefault="00000000">
      <w:pPr>
        <w:pStyle w:val="Author-eListParagraph"/>
        <w:numPr>
          <w:ilvl w:val="0"/>
          <w:numId w:val="688"/>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p>
    <w:p w14:paraId="2E231959" w14:textId="77777777" w:rsidR="00DB2B68" w:rsidRDefault="00000000">
      <w:pPr>
        <w:pStyle w:val="Author-eListParagraph"/>
        <w:numPr>
          <w:ilvl w:val="0"/>
          <w:numId w:val="688"/>
        </w:numPr>
      </w:pPr>
      <w:r>
        <w:t xml:space="preserve">Flèche maximale [NBN B 03-003]: </w:t>
      </w:r>
      <w:r>
        <w:rPr>
          <w:rStyle w:val="optioncarChar"/>
        </w:rPr>
        <w:t xml:space="preserve">L/500 </w:t>
      </w:r>
      <w:r>
        <w:t xml:space="preserve">(par défaut) </w:t>
      </w:r>
      <w:r>
        <w:rPr>
          <w:rStyle w:val="optioncarChar"/>
        </w:rPr>
        <w:t>/ L/300 / ***</w:t>
      </w:r>
      <w:r>
        <w:t>.</w:t>
      </w:r>
    </w:p>
    <w:p w14:paraId="13903E6E" w14:textId="77777777" w:rsidR="00DB2B68" w:rsidRDefault="00000000">
      <w:r>
        <w:t> </w:t>
      </w:r>
      <w:r>
        <w:br/>
      </w:r>
      <w:r>
        <w:rPr>
          <w:b/>
          <w:u w:val="single"/>
        </w:rPr>
        <w:t>Traitement anticorrosion</w:t>
      </w:r>
    </w:p>
    <w:p w14:paraId="1FB7C64C" w14:textId="77777777" w:rsidR="00DB2B68" w:rsidRDefault="00000000">
      <w:r>
        <w:t xml:space="preserve">Les éléments métalliques sont traités contre la rouille par : </w:t>
      </w:r>
      <w:r>
        <w:rPr>
          <w:rStyle w:val="optioncarChar"/>
        </w:rPr>
        <w:t xml:space="preserve">primaire antirouille </w:t>
      </w:r>
      <w:r>
        <w:t xml:space="preserve">(par défaut) </w:t>
      </w:r>
      <w:r>
        <w:rPr>
          <w:rStyle w:val="optioncarChar"/>
        </w:rPr>
        <w:t>/ galvanisation à chaud / métallisation / pas de traitement (aspect brut)</w:t>
      </w:r>
      <w:r>
        <w:t>.</w:t>
      </w:r>
    </w:p>
    <w:p w14:paraId="683F1E42" w14:textId="77777777" w:rsidR="00DB2B68" w:rsidRDefault="00000000">
      <w:pPr>
        <w:ind w:left="567"/>
        <w:jc w:val="both"/>
      </w:pPr>
      <w:r>
        <w:rPr>
          <w:b/>
          <w:i/>
        </w:rPr>
        <w:lastRenderedPageBreak/>
        <w:t>(Soit par défaut)</w:t>
      </w:r>
    </w:p>
    <w:p w14:paraId="5878C336" w14:textId="77777777" w:rsidR="00DB2B68" w:rsidRDefault="00000000">
      <w:pPr>
        <w:ind w:left="567"/>
        <w:jc w:val="both"/>
      </w:pPr>
      <w:r>
        <w:rPr>
          <w:rStyle w:val="soitChar"/>
          <w:u w:val="single"/>
        </w:rPr>
        <w:t>Primaire antirouille</w:t>
      </w:r>
    </w:p>
    <w:p w14:paraId="2BE5C469" w14:textId="77777777" w:rsidR="00DB2B68" w:rsidRDefault="00000000">
      <w:pPr>
        <w:ind w:left="567"/>
        <w:jc w:val="both"/>
      </w:pPr>
      <w:r>
        <w:rPr>
          <w:rStyle w:val="soitChar"/>
        </w:rPr>
        <w:t>Conformément aux prescriptions des articles « 81.31.3c Protections intérieures par primaire antirouille (en atelier ou sur chantier) des supports métalliques ferreux » ou 82.31.3c Protections extérieures par primaire antirouille des supports métalliques ferreux</w:t>
      </w:r>
    </w:p>
    <w:p w14:paraId="28ACC929" w14:textId="77777777" w:rsidR="00DB2B68" w:rsidRDefault="00000000">
      <w:pPr>
        <w:ind w:left="567"/>
        <w:jc w:val="both"/>
      </w:pPr>
      <w:r>
        <w:rPr>
          <w:b/>
          <w:i/>
        </w:rPr>
        <w:t>(Soit)</w:t>
      </w:r>
    </w:p>
    <w:p w14:paraId="07ADFBA5" w14:textId="77777777" w:rsidR="00DB2B68" w:rsidRDefault="00000000">
      <w:pPr>
        <w:ind w:left="567"/>
        <w:jc w:val="both"/>
      </w:pPr>
      <w:r>
        <w:rPr>
          <w:rStyle w:val="soitChar"/>
          <w:u w:val="single"/>
        </w:rPr>
        <w:t>Galvanisation à chaud</w:t>
      </w:r>
    </w:p>
    <w:p w14:paraId="389BA2F0" w14:textId="77777777" w:rsidR="00DB2B68" w:rsidRDefault="00000000">
      <w:pPr>
        <w:ind w:left="567"/>
        <w:jc w:val="both"/>
      </w:pPr>
      <w:r>
        <w:rPr>
          <w:rStyle w:val="soitChar"/>
        </w:rPr>
        <w:t>Conformément aux prescriptions des articles 81.31.3a Protections intérieures par galvanisation (en atelier) des supports métalliques ferreux ou 82.31.3a Protections extérieures par galvanisation de supports métalliques ferreux.</w:t>
      </w:r>
    </w:p>
    <w:p w14:paraId="45C69B4B" w14:textId="77777777" w:rsidR="00DB2B68" w:rsidRDefault="00000000">
      <w:pPr>
        <w:ind w:left="567"/>
        <w:jc w:val="both"/>
      </w:pPr>
      <w:r>
        <w:rPr>
          <w:b/>
          <w:i/>
        </w:rPr>
        <w:t>(Soit)</w:t>
      </w:r>
    </w:p>
    <w:p w14:paraId="6F40585F" w14:textId="77777777" w:rsidR="00DB2B68" w:rsidRDefault="00000000">
      <w:pPr>
        <w:ind w:left="567"/>
        <w:jc w:val="both"/>
      </w:pPr>
      <w:r>
        <w:rPr>
          <w:rStyle w:val="soitChar"/>
          <w:u w:val="single"/>
        </w:rPr>
        <w:t>Métallisation</w:t>
      </w:r>
    </w:p>
    <w:p w14:paraId="128B2355" w14:textId="77777777" w:rsidR="00DB2B68" w:rsidRDefault="00000000">
      <w:pPr>
        <w:ind w:left="567"/>
        <w:jc w:val="both"/>
      </w:pPr>
      <w:r>
        <w:rPr>
          <w:rStyle w:val="soitChar"/>
        </w:rPr>
        <w:t>Conformément aux prescriptions des articles 81.31.3b Protections intérieures par métallisation (en atelier ou sur chantier) des supports métalliques ferreux ou 82.31.3b Protections extérieures par métallisation des supports métalliques ferreux.</w:t>
      </w:r>
    </w:p>
    <w:p w14:paraId="7ED7403A" w14:textId="77777777" w:rsidR="00DB2B68" w:rsidRDefault="00000000">
      <w:pPr>
        <w:ind w:left="567"/>
        <w:jc w:val="both"/>
      </w:pPr>
      <w:r>
        <w:rPr>
          <w:b/>
          <w:i/>
        </w:rPr>
        <w:t>(Soit)</w:t>
      </w:r>
    </w:p>
    <w:p w14:paraId="22C7F4CC" w14:textId="77777777" w:rsidR="00DB2B68" w:rsidRDefault="00000000">
      <w:pPr>
        <w:ind w:left="567"/>
        <w:jc w:val="both"/>
      </w:pPr>
      <w:r>
        <w:rPr>
          <w:rStyle w:val="soitChar"/>
          <w:u w:val="single"/>
        </w:rPr>
        <w:t>Pas de traitement (aspect brut)</w:t>
      </w:r>
    </w:p>
    <w:p w14:paraId="6C06F62C" w14:textId="77777777" w:rsidR="00DB2B68" w:rsidRDefault="00000000">
      <w:pPr>
        <w:ind w:left="567"/>
        <w:jc w:val="both"/>
      </w:pPr>
      <w:r>
        <w:rPr>
          <w:rStyle w:val="soitChar"/>
        </w:rPr>
        <w:t>L’acier reste « brut ». Il est simplement nettoyé, dégraissé et débarrassé de la rouille conformément aux chapitres 81.31.1 Nettoyage / Dégraissage, 81.31.2 Grenaillage - Sablage / Ponçage / Dérouillage et articles qui en découlent.</w:t>
      </w:r>
    </w:p>
    <w:p w14:paraId="621EDB6F" w14:textId="77777777" w:rsidR="00DB2B68" w:rsidRDefault="00000000">
      <w:pPr>
        <w:ind w:left="567"/>
        <w:jc w:val="both"/>
      </w:pPr>
      <w:r>
        <w:rPr>
          <w:rStyle w:val="soitChar"/>
        </w:rPr>
        <w:t>L’acier étant très sensible à la rouille dans cet état, il recevra le plus rapidement possible le traitement de finition.</w:t>
      </w:r>
    </w:p>
    <w:p w14:paraId="54D52F6D" w14:textId="77777777" w:rsidR="00DB2B68" w:rsidRDefault="00000000">
      <w:pPr>
        <w:jc w:val="both"/>
      </w:pPr>
      <w:r>
        <w:t> </w:t>
      </w:r>
    </w:p>
    <w:p w14:paraId="11895D57" w14:textId="77777777" w:rsidR="00DB2B68" w:rsidRDefault="00000000">
      <w:r>
        <w:t>Le traitement contre la rouille est comptabilisé au présent article.</w:t>
      </w:r>
    </w:p>
    <w:p w14:paraId="5DCE85EE" w14:textId="77777777" w:rsidR="00DB2B68" w:rsidRDefault="00000000">
      <w:pPr>
        <w:pStyle w:val="pheading"/>
      </w:pPr>
      <w:r>
        <w:t>- Finitions</w:t>
      </w:r>
    </w:p>
    <w:p w14:paraId="56F4E58F" w14:textId="77777777" w:rsidR="00DB2B68" w:rsidRDefault="00000000">
      <w:pPr>
        <w:jc w:val="both"/>
      </w:pPr>
      <w:r>
        <w:t xml:space="preserve">Finition de l’acier : </w:t>
      </w:r>
      <w:r>
        <w:rPr>
          <w:rStyle w:val="optioncarChar"/>
        </w:rPr>
        <w:t xml:space="preserve">pas de finition </w:t>
      </w:r>
      <w:r>
        <w:t>(par défaut)</w:t>
      </w:r>
      <w:r>
        <w:rPr>
          <w:rStyle w:val="optioncarChar"/>
        </w:rPr>
        <w:t xml:space="preserve"> / peint / brut (verni)</w:t>
      </w:r>
      <w:r>
        <w:t>.</w:t>
      </w:r>
    </w:p>
    <w:p w14:paraId="0C178096" w14:textId="77777777" w:rsidR="00DB2B68" w:rsidRDefault="00000000">
      <w:pPr>
        <w:ind w:left="567"/>
        <w:jc w:val="both"/>
      </w:pPr>
      <w:r>
        <w:rPr>
          <w:b/>
          <w:i/>
        </w:rPr>
        <w:t>(Soit par défaut)</w:t>
      </w:r>
    </w:p>
    <w:p w14:paraId="7CACA19A" w14:textId="77777777" w:rsidR="00DB2B68" w:rsidRDefault="00000000">
      <w:pPr>
        <w:ind w:left="567"/>
        <w:jc w:val="both"/>
      </w:pPr>
      <w:r>
        <w:rPr>
          <w:rStyle w:val="soitChar"/>
          <w:u w:val="single"/>
        </w:rPr>
        <w:t>Pas de finition</w:t>
      </w:r>
    </w:p>
    <w:p w14:paraId="05C08A1C" w14:textId="77777777" w:rsidR="00DB2B68" w:rsidRDefault="00000000">
      <w:pPr>
        <w:ind w:left="567"/>
        <w:jc w:val="both"/>
      </w:pPr>
      <w:r>
        <w:rPr>
          <w:rStyle w:val="soitChar"/>
        </w:rPr>
        <w:t>Pas de finition.</w:t>
      </w:r>
    </w:p>
    <w:p w14:paraId="467EFCB5" w14:textId="77777777" w:rsidR="00DB2B68" w:rsidRDefault="00000000">
      <w:pPr>
        <w:ind w:left="567"/>
        <w:jc w:val="both"/>
      </w:pPr>
      <w:r>
        <w:rPr>
          <w:b/>
          <w:i/>
        </w:rPr>
        <w:t>(Soit)</w:t>
      </w:r>
    </w:p>
    <w:p w14:paraId="10B18FDC" w14:textId="77777777" w:rsidR="00DB2B68" w:rsidRDefault="00000000">
      <w:pPr>
        <w:ind w:left="567"/>
        <w:jc w:val="both"/>
      </w:pPr>
      <w:r>
        <w:rPr>
          <w:rStyle w:val="soitChar"/>
          <w:u w:val="single"/>
        </w:rPr>
        <w:t>Peint</w:t>
      </w:r>
    </w:p>
    <w:p w14:paraId="06E8B82D" w14:textId="77777777" w:rsidR="00DB2B68" w:rsidRDefault="00000000">
      <w:pPr>
        <w:ind w:left="567"/>
        <w:jc w:val="both"/>
      </w:pPr>
      <w:r>
        <w:rPr>
          <w:rStyle w:val="soitChar"/>
        </w:rPr>
        <w:t>Renvoi aux sous-titres 81.33 Finitions / décorations des métaux ferreux et non ferreux(intérieure) ou 82.33 Finitions / décorations des métaux ferreux et non ferreux (extérieure), et articles qui en découlent.</w:t>
      </w:r>
    </w:p>
    <w:p w14:paraId="28EE543D" w14:textId="77777777" w:rsidR="00DB2B68" w:rsidRDefault="00000000">
      <w:pPr>
        <w:ind w:left="567"/>
        <w:jc w:val="both"/>
      </w:pPr>
      <w:r>
        <w:rPr>
          <w:b/>
          <w:i/>
        </w:rPr>
        <w:t>(Soit)</w:t>
      </w:r>
    </w:p>
    <w:p w14:paraId="5A228359" w14:textId="77777777" w:rsidR="00DB2B68" w:rsidRDefault="00000000">
      <w:pPr>
        <w:ind w:left="567"/>
        <w:jc w:val="both"/>
      </w:pPr>
      <w:r>
        <w:rPr>
          <w:rStyle w:val="soitChar"/>
          <w:u w:val="single"/>
        </w:rPr>
        <w:t>Brut (verni)</w:t>
      </w:r>
    </w:p>
    <w:p w14:paraId="7915C957" w14:textId="77777777" w:rsidR="00DB2B68" w:rsidRDefault="00000000">
      <w:pPr>
        <w:ind w:left="567"/>
        <w:jc w:val="both"/>
      </w:pPr>
      <w:r>
        <w:rPr>
          <w:rStyle w:val="soitChar"/>
        </w:rPr>
        <w:t xml:space="preserve">L’acier est protégé à l’aide d’un verni incolore à base de </w:t>
      </w:r>
      <w:r>
        <w:rPr>
          <w:rStyle w:val="optioncarChar"/>
        </w:rPr>
        <w:t>résine glycérophtalique</w:t>
      </w:r>
      <w:r>
        <w:t xml:space="preserve"> (par défaut)</w:t>
      </w:r>
      <w:r>
        <w:rPr>
          <w:rStyle w:val="optioncarChar"/>
        </w:rPr>
        <w:t xml:space="preserve"> / ***.</w:t>
      </w:r>
    </w:p>
    <w:p w14:paraId="53DA10E8" w14:textId="77777777" w:rsidR="00DB2B68" w:rsidRDefault="00000000">
      <w:pPr>
        <w:ind w:left="567"/>
        <w:jc w:val="both"/>
      </w:pPr>
      <w:r>
        <w:rPr>
          <w:rStyle w:val="soitChar"/>
        </w:rPr>
        <w:t>Pour la mise en œuvre, renvoi aux sous-titres « 81.33 Finitions / décorations des métaux ferreux et non ferreux » (intérieure) ou 82.33 Finitions / décorations des métaux ferreux et non ferreux (extérieure), et articles qui en découlent.</w:t>
      </w:r>
    </w:p>
    <w:p w14:paraId="6FC76953" w14:textId="77777777" w:rsidR="00DB2B68" w:rsidRDefault="00000000">
      <w:pPr>
        <w:jc w:val="both"/>
      </w:pPr>
      <w:r>
        <w:t> </w:t>
      </w:r>
    </w:p>
    <w:p w14:paraId="50207536" w14:textId="77777777" w:rsidR="00DB2B68" w:rsidRDefault="00000000">
      <w:pPr>
        <w:jc w:val="both"/>
      </w:pPr>
      <w:r>
        <w:t>Le traitement de finition est décrit et comptabilisé séparément aux articles du 8 T8 Travaux de peinture / Traitements de surface mentionnés ci-dessus.</w:t>
      </w:r>
    </w:p>
    <w:p w14:paraId="083D6D5D" w14:textId="77777777" w:rsidR="00DB2B68" w:rsidRDefault="00000000">
      <w:pPr>
        <w:pStyle w:val="pheading"/>
      </w:pPr>
      <w:r>
        <w:lastRenderedPageBreak/>
        <w:t>- Prescriptions complémentaires</w:t>
      </w:r>
    </w:p>
    <w:p w14:paraId="37994CF9" w14:textId="77777777" w:rsidR="00DB2B68" w:rsidRDefault="00000000">
      <w:pPr>
        <w:jc w:val="both"/>
      </w:pPr>
      <w:r>
        <w:rPr>
          <w:rStyle w:val="facultChar"/>
        </w:rPr>
        <w:t>Résistance au feu :</w:t>
      </w:r>
      <w:r>
        <w:rPr>
          <w:rStyle w:val="optioncarChar"/>
        </w:rPr>
        <w:t xml:space="preserve">R30 / R60 </w:t>
      </w:r>
      <w:r>
        <w:t>(par défaut)</w:t>
      </w:r>
      <w:r>
        <w:rPr>
          <w:rStyle w:val="optioncarChar"/>
        </w:rPr>
        <w:t xml:space="preserve"> / R120 / R240 / ***</w:t>
      </w:r>
      <w:r>
        <w:rPr>
          <w:rStyle w:val="facultChar"/>
        </w:rPr>
        <w:t xml:space="preserve">, conformément aux prescriptions du titre </w:t>
      </w:r>
      <w:hyperlink w:anchor="422" w:history="1">
        <w:r>
          <w:rPr>
            <w:rStyle w:val="facultChar"/>
            <w:color w:val="0000EE"/>
          </w:rPr>
          <w:t>23.1 Eléments de structures métalliques</w:t>
        </w:r>
      </w:hyperlink>
      <w:r>
        <w:rPr>
          <w:rStyle w:val="facultChar"/>
        </w:rPr>
        <w:t>.</w:t>
      </w:r>
    </w:p>
    <w:p w14:paraId="0F2AAB2D" w14:textId="77777777" w:rsidR="00DB2B68" w:rsidRDefault="00DB2B68">
      <w:pPr>
        <w:jc w:val="both"/>
      </w:pPr>
    </w:p>
    <w:p w14:paraId="72F59218" w14:textId="77777777" w:rsidR="00DB2B68" w:rsidRDefault="00000000">
      <w:pPr>
        <w:jc w:val="both"/>
      </w:pPr>
      <w:r>
        <w:rPr>
          <w:rStyle w:val="facultChar"/>
        </w:rPr>
        <w:t>Cette résistance au feu est atteinte à l’aide :</w:t>
      </w:r>
      <w:r>
        <w:rPr>
          <w:rStyle w:val="optioncarChar"/>
        </w:rPr>
        <w:t xml:space="preserve">d’une peinture intumescente </w:t>
      </w:r>
      <w:r>
        <w:t>(par défaut)</w:t>
      </w:r>
      <w:r>
        <w:rPr>
          <w:rStyle w:val="optioncarChar"/>
        </w:rPr>
        <w:t xml:space="preserve"> / par emballage / par flocage fibreux / par flocage pâteux / sans traitement particulier</w:t>
      </w:r>
      <w:r>
        <w:t>.</w:t>
      </w:r>
    </w:p>
    <w:p w14:paraId="51F29E20" w14:textId="77777777" w:rsidR="00DB2B68" w:rsidRDefault="00000000">
      <w:pPr>
        <w:ind w:left="567"/>
        <w:jc w:val="both"/>
      </w:pPr>
      <w:r>
        <w:rPr>
          <w:b/>
          <w:i/>
        </w:rPr>
        <w:t>(Soit par défaut)</w:t>
      </w:r>
    </w:p>
    <w:p w14:paraId="63A911C2" w14:textId="77777777" w:rsidR="00DB2B68" w:rsidRDefault="00000000">
      <w:pPr>
        <w:ind w:left="567"/>
        <w:jc w:val="both"/>
      </w:pPr>
      <w:r>
        <w:rPr>
          <w:rStyle w:val="soitChar"/>
          <w:u w:val="single"/>
        </w:rPr>
        <w:t>Peinture intumescente</w:t>
      </w:r>
    </w:p>
    <w:p w14:paraId="681B1B09" w14:textId="77777777" w:rsidR="00DB2B68" w:rsidRDefault="00000000">
      <w:pPr>
        <w:ind w:left="567"/>
        <w:jc w:val="both"/>
      </w:pPr>
      <w:r>
        <w:rPr>
          <w:rStyle w:val="soitChar"/>
        </w:rPr>
        <w:t>Conformément à l’article 81.34.1b Peintures intérieures intumescentes sur supports métalliques ferreux et non ferreux.</w:t>
      </w:r>
    </w:p>
    <w:p w14:paraId="72E9271F" w14:textId="77777777" w:rsidR="00DB2B68" w:rsidRDefault="00000000">
      <w:pPr>
        <w:ind w:left="567"/>
        <w:jc w:val="both"/>
      </w:pPr>
      <w:r>
        <w:rPr>
          <w:b/>
          <w:i/>
        </w:rPr>
        <w:t>(Soit)</w:t>
      </w:r>
    </w:p>
    <w:p w14:paraId="758EBDF4" w14:textId="77777777" w:rsidR="00DB2B68" w:rsidRDefault="00000000">
      <w:pPr>
        <w:ind w:left="567"/>
        <w:jc w:val="both"/>
      </w:pPr>
      <w:r>
        <w:rPr>
          <w:rStyle w:val="soitChar"/>
          <w:u w:val="single"/>
        </w:rPr>
        <w:t>Emballage</w:t>
      </w:r>
    </w:p>
    <w:p w14:paraId="001A36DA" w14:textId="77777777" w:rsidR="00DB2B68" w:rsidRDefault="00000000">
      <w:pPr>
        <w:ind w:left="567"/>
        <w:jc w:val="both"/>
      </w:pPr>
      <w:r>
        <w:rPr>
          <w:rStyle w:val="soitChar"/>
        </w:rPr>
        <w:t>Conformément à l’article 83.34.1a Doublage en plaques.</w:t>
      </w:r>
    </w:p>
    <w:p w14:paraId="08B6EA64" w14:textId="77777777" w:rsidR="00DB2B68" w:rsidRDefault="00000000">
      <w:pPr>
        <w:ind w:left="567"/>
        <w:jc w:val="both"/>
      </w:pPr>
      <w:r>
        <w:rPr>
          <w:b/>
          <w:i/>
        </w:rPr>
        <w:t>(Soit)</w:t>
      </w:r>
    </w:p>
    <w:p w14:paraId="6C4AC3B6" w14:textId="77777777" w:rsidR="00DB2B68" w:rsidRDefault="00000000">
      <w:pPr>
        <w:ind w:left="567"/>
        <w:jc w:val="both"/>
      </w:pPr>
      <w:r>
        <w:rPr>
          <w:rStyle w:val="soitChar"/>
          <w:u w:val="single"/>
        </w:rPr>
        <w:t>Flocage fibreux</w:t>
      </w:r>
    </w:p>
    <w:p w14:paraId="0B430CFB" w14:textId="77777777" w:rsidR="00DB2B68" w:rsidRDefault="00000000">
      <w:pPr>
        <w:ind w:left="567"/>
        <w:jc w:val="both"/>
      </w:pPr>
      <w:r>
        <w:rPr>
          <w:rStyle w:val="soitChar"/>
        </w:rPr>
        <w:t>Composé essentiellement de laine minérale, de liants minéraux inorganiques additionnés d’adjuvants spécifiques hydrauliques et synthétiques, non combustibles.</w:t>
      </w:r>
    </w:p>
    <w:p w14:paraId="2655A4B8" w14:textId="77777777" w:rsidR="00DB2B68" w:rsidRDefault="00000000">
      <w:pPr>
        <w:ind w:left="567"/>
        <w:jc w:val="both"/>
      </w:pPr>
      <w:r>
        <w:rPr>
          <w:rStyle w:val="soitChar"/>
        </w:rPr>
        <w:t>Le produit est exempt d’amiante, de silice cristallisée, ou de tout autre produit nocif ou toxique.</w:t>
      </w:r>
    </w:p>
    <w:p w14:paraId="3E9CEEC6" w14:textId="77777777" w:rsidR="00DB2B68" w:rsidRDefault="00000000">
      <w:pPr>
        <w:ind w:left="567"/>
        <w:jc w:val="both"/>
      </w:pPr>
      <w:r>
        <w:rPr>
          <w:rStyle w:val="soitChar"/>
        </w:rPr>
        <w:t>Le flocage est appliqué mécaniquement à l’aide de machines à projeter qui respectent la granulométrie et la masse volumique des produits.</w:t>
      </w:r>
    </w:p>
    <w:p w14:paraId="25810A28" w14:textId="77777777" w:rsidR="00DB2B68" w:rsidRDefault="00000000">
      <w:pPr>
        <w:ind w:left="567"/>
        <w:jc w:val="both"/>
      </w:pPr>
      <w:r>
        <w:rPr>
          <w:b/>
          <w:i/>
        </w:rPr>
        <w:t>(Soit)</w:t>
      </w:r>
    </w:p>
    <w:p w14:paraId="626F6D68" w14:textId="77777777" w:rsidR="00DB2B68" w:rsidRDefault="00000000">
      <w:pPr>
        <w:ind w:left="567"/>
        <w:jc w:val="both"/>
      </w:pPr>
      <w:r>
        <w:rPr>
          <w:rStyle w:val="soitChar"/>
          <w:u w:val="single"/>
        </w:rPr>
        <w:t>Flocage pâteux</w:t>
      </w:r>
    </w:p>
    <w:p w14:paraId="67C5168E" w14:textId="77777777" w:rsidR="00DB2B68" w:rsidRDefault="00000000">
      <w:pPr>
        <w:ind w:left="567"/>
        <w:jc w:val="both"/>
      </w:pPr>
      <w:r>
        <w:rPr>
          <w:rStyle w:val="soitChar"/>
        </w:rPr>
        <w:t>A base de gypse ou vermiculite.</w:t>
      </w:r>
    </w:p>
    <w:p w14:paraId="0EFF3562" w14:textId="77777777" w:rsidR="00DB2B68" w:rsidRDefault="00000000">
      <w:pPr>
        <w:ind w:left="567"/>
        <w:jc w:val="both"/>
      </w:pPr>
      <w:r>
        <w:rPr>
          <w:rStyle w:val="soitChar"/>
        </w:rPr>
        <w:t>Le produit est exempt d’amiante, de silice cristallisée, ou de tout autre produit nocif ou toxique.</w:t>
      </w:r>
    </w:p>
    <w:p w14:paraId="6FAFA460" w14:textId="77777777" w:rsidR="00DB2B68" w:rsidRDefault="00000000">
      <w:pPr>
        <w:ind w:left="567"/>
        <w:jc w:val="both"/>
      </w:pPr>
      <w:r>
        <w:rPr>
          <w:rStyle w:val="soitChar"/>
        </w:rPr>
        <w:t>Le flocage est appliqué mécaniquement à l’aide de machines à projeter qui respectent la granulométrie et la masse volumique des produits.</w:t>
      </w:r>
    </w:p>
    <w:p w14:paraId="4041E46C" w14:textId="77777777" w:rsidR="00DB2B68" w:rsidRDefault="00000000">
      <w:pPr>
        <w:ind w:left="567"/>
        <w:jc w:val="both"/>
      </w:pPr>
      <w:r>
        <w:rPr>
          <w:b/>
          <w:i/>
        </w:rPr>
        <w:t>(Soit)</w:t>
      </w:r>
    </w:p>
    <w:p w14:paraId="3AE4CC4A" w14:textId="77777777" w:rsidR="00DB2B68" w:rsidRDefault="00000000">
      <w:pPr>
        <w:ind w:left="567"/>
        <w:jc w:val="both"/>
      </w:pPr>
      <w:r>
        <w:rPr>
          <w:rStyle w:val="soitChar"/>
          <w:u w:val="single"/>
        </w:rPr>
        <w:t>Sans traitement particulier</w:t>
      </w:r>
    </w:p>
    <w:p w14:paraId="767E108A" w14:textId="77777777" w:rsidR="00DB2B68" w:rsidRDefault="00000000">
      <w:pPr>
        <w:ind w:left="567"/>
        <w:jc w:val="both"/>
      </w:pPr>
      <w:r>
        <w:rPr>
          <w:rStyle w:val="soitChar"/>
        </w:rPr>
        <w:t>La résistance au feu est démontrée par test au feu selon la [NBN EN 13501-2] ou par calcul selon les Eurocodes conformément à l’[AM 2013-05-17].</w:t>
      </w:r>
    </w:p>
    <w:p w14:paraId="5D4D8048" w14:textId="77777777" w:rsidR="00DB2B68" w:rsidRDefault="00000000">
      <w:pPr>
        <w:jc w:val="both"/>
      </w:pPr>
      <w:r>
        <w:t> </w:t>
      </w:r>
    </w:p>
    <w:p w14:paraId="013F37A1" w14:textId="77777777" w:rsidR="00DB2B68" w:rsidRDefault="00000000">
      <w:pPr>
        <w:jc w:val="both"/>
      </w:pPr>
      <w:r>
        <w:t>Le traitement au feu est décrit et comptabilisé séparément aux articles du 8 T8 Travaux de peinture / Traitements de surface mentionnés ci-dessus, sauf pour le traitement par flocage (fibreux ou pâteux) qui est entièrement décrit et  comptabilisé au présent article.</w:t>
      </w:r>
    </w:p>
    <w:p w14:paraId="7145DD6C" w14:textId="77777777" w:rsidR="00DB2B68" w:rsidRDefault="00000000">
      <w:pPr>
        <w:pStyle w:val="pheading"/>
      </w:pPr>
      <w:r>
        <w:t>EXÉCUTION / MISE EN ŒUVRE</w:t>
      </w:r>
    </w:p>
    <w:p w14:paraId="204C7272" w14:textId="77777777" w:rsidR="00DB2B68" w:rsidRDefault="00000000">
      <w:pPr>
        <w:pStyle w:val="pheading"/>
      </w:pPr>
      <w:r>
        <w:t>- Prescriptions générales</w:t>
      </w:r>
    </w:p>
    <w:p w14:paraId="2FCF4852" w14:textId="77777777" w:rsidR="00DB2B68" w:rsidRDefault="00000000">
      <w:pPr>
        <w:jc w:val="both"/>
      </w:pPr>
      <w:r>
        <w:t>Les PRS sont exécutées conformément aux formes indiquées sur les plans et les coupes, et selon les dessins de détail annexés au cahier spécial des charges.</w:t>
      </w:r>
    </w:p>
    <w:p w14:paraId="3E164183" w14:textId="77777777" w:rsidR="00DB2B68" w:rsidRDefault="00000000">
      <w:pPr>
        <w:jc w:val="both"/>
      </w:pPr>
      <w:r>
        <w:t>Lorsque le dossier d'adjudication ne contient pas de dessins de détail spécifiques, la forme des poutres PRS et les dimensions de bases sont données à titre indicatif.</w:t>
      </w:r>
    </w:p>
    <w:p w14:paraId="76DC229E" w14:textId="77777777" w:rsidR="00DB2B68" w:rsidRDefault="00000000">
      <w:pPr>
        <w:jc w:val="both"/>
      </w:pPr>
      <w:r>
        <w:t xml:space="preserve">L'entrepreneur est tenu de contrôler les dimensions sur place et de vérifier si les PRS peuvent être exécutées selon les plans soumis. Il y a lieu de tenir compte de la hauteur libre requise par rapport au </w:t>
      </w:r>
      <w:r>
        <w:lastRenderedPageBreak/>
        <w:t>niveau du sol. Lorsque cela s'avère impossible, il en avertit l'auteur de projet ou le bureau d’étude le jour même.</w:t>
      </w:r>
    </w:p>
    <w:p w14:paraId="7628F40B" w14:textId="77777777" w:rsidR="00DB2B68" w:rsidRDefault="00000000">
      <w:pPr>
        <w:jc w:val="both"/>
      </w:pPr>
      <w:r>
        <w:t>Dans tous les cas, l'entrepreneur est tenu de réaliser les dessins d'exécution et de les soumettre préalablement à l'approbation de l'auteur de projet ou du bureau d’études. Les PRS sont exécutées dans les dimensions indiquées sur les plans d’exécution approuvés.</w:t>
      </w:r>
    </w:p>
    <w:p w14:paraId="1C273286" w14:textId="77777777" w:rsidR="00DB2B68" w:rsidRDefault="00000000">
      <w:pPr>
        <w:jc w:val="both"/>
      </w:pPr>
      <w:r>
        <w:t>L’entrepreneur veille à ce que la répartition des charges à l’appui de la poutre soit uniforme et compatible avec le support. Les longueurs d’appui sont proportionnées à la portée, aux charges et au type de support suivant le calcul du bureau d’études.</w:t>
      </w:r>
    </w:p>
    <w:p w14:paraId="26CA0125" w14:textId="77777777" w:rsidR="00DB2B68" w:rsidRDefault="00000000">
      <w:pPr>
        <w:jc w:val="both"/>
      </w:pPr>
      <w:r>
        <w:t xml:space="preserve">Longueur d’appui minimum à chaque extrémité des poutres : </w:t>
      </w:r>
      <w:r>
        <w:rPr>
          <w:rStyle w:val="optioncarChar"/>
        </w:rPr>
        <w:t xml:space="preserve">20 </w:t>
      </w:r>
      <w:r>
        <w:t>(par défaut)</w:t>
      </w:r>
      <w:r>
        <w:rPr>
          <w:rStyle w:val="optioncarChar"/>
        </w:rPr>
        <w:t xml:space="preserve"> / ***</w:t>
      </w:r>
      <w:r>
        <w:t xml:space="preserve"> cm.</w:t>
      </w:r>
    </w:p>
    <w:p w14:paraId="2E9AA057" w14:textId="77777777" w:rsidR="00DB2B68" w:rsidRDefault="00000000">
      <w:pPr>
        <w:jc w:val="both"/>
      </w:pPr>
      <w:r>
        <w:rPr>
          <w:b/>
          <w:u w:val="single"/>
        </w:rPr>
        <w:t>Asselets</w:t>
      </w:r>
    </w:p>
    <w:p w14:paraId="7D05F069" w14:textId="77777777" w:rsidR="00DB2B68" w:rsidRDefault="00000000">
      <w:pPr>
        <w:jc w:val="both"/>
      </w:pPr>
      <w:r>
        <w:t xml:space="preserve">Les asselets nécessaires à la bonne répartition des charges sont décrits dans l’élément </w:t>
      </w:r>
      <w:hyperlink w:anchor="168" w:history="1">
        <w:r>
          <w:rPr>
            <w:color w:val="0000EE"/>
          </w:rPr>
          <w:t>21.85.3a Réalisations d'asselets en béton armé dans une maçonnerie existante</w:t>
        </w:r>
      </w:hyperlink>
      <w:r>
        <w:t xml:space="preserve"> et le sous-titre </w:t>
      </w:r>
      <w:hyperlink w:anchor="499" w:history="1">
        <w:r>
          <w:rPr>
            <w:color w:val="0000EE"/>
          </w:rPr>
          <w:t>22.42 Pièces d'appui en béton</w:t>
        </w:r>
      </w:hyperlink>
      <w:r>
        <w:t xml:space="preserve"> et aux éléments et articles qui en découlent.</w:t>
      </w:r>
    </w:p>
    <w:p w14:paraId="67E4DEEF" w14:textId="77777777" w:rsidR="00DB2B68" w:rsidRDefault="00000000">
      <w:pPr>
        <w:jc w:val="both"/>
      </w:pPr>
      <w:r>
        <w:t xml:space="preserve">Les asselets sont comptabilisés séparément aux articles du </w:t>
      </w:r>
      <w:hyperlink w:anchor="41" w:history="1">
        <w:r>
          <w:rPr>
            <w:color w:val="0000EE"/>
          </w:rPr>
          <w:t>2 T2 Superstructures</w:t>
        </w:r>
      </w:hyperlink>
      <w:r>
        <w:t xml:space="preserve"> mentionnés ci-dessus.</w:t>
      </w:r>
    </w:p>
    <w:p w14:paraId="52495B27" w14:textId="77777777" w:rsidR="00DB2B68" w:rsidRDefault="00000000">
      <w:pPr>
        <w:pStyle w:val="pheading"/>
      </w:pPr>
      <w:r>
        <w:t>- Notes d’exécution complémentaires</w:t>
      </w:r>
    </w:p>
    <w:p w14:paraId="633AC952" w14:textId="77777777" w:rsidR="00DB2B68" w:rsidRDefault="00000000">
      <w:pPr>
        <w:spacing w:after="0" w:line="256" w:lineRule="auto"/>
      </w:pPr>
      <w:r>
        <w:rPr>
          <w:rStyle w:val="facultChar"/>
        </w:rPr>
        <w:t xml:space="preserve"> Le présent élément comprend également des coupures thermiques</w:t>
      </w:r>
      <w:r>
        <w:t xml:space="preserve"> : </w:t>
      </w:r>
      <w:r>
        <w:rPr>
          <w:rStyle w:val="optioncarChar"/>
        </w:rPr>
        <w:t>***</w:t>
      </w:r>
      <w:r>
        <w:t>.</w:t>
      </w:r>
    </w:p>
    <w:p w14:paraId="614A4D0B" w14:textId="77777777" w:rsidR="00DB2B68" w:rsidRDefault="00000000">
      <w:pPr>
        <w:pStyle w:val="pheading"/>
      </w:pPr>
      <w:r>
        <w:t>DOCUMENTS DE RÉFÉRENCE COMPLÉMENTAIRES</w:t>
      </w:r>
    </w:p>
    <w:p w14:paraId="7A7A7B4E" w14:textId="77777777" w:rsidR="00DB2B68" w:rsidRDefault="00000000">
      <w:pPr>
        <w:pStyle w:val="pheading"/>
      </w:pPr>
      <w:r>
        <w:t>- Matériau</w:t>
      </w:r>
    </w:p>
    <w:p w14:paraId="47D95725" w14:textId="77777777" w:rsidR="00DB2B68" w:rsidRDefault="00000000">
      <w:r>
        <w:t>[NBN EN 10025 série, Produits laminés à chaud en aciers de construction]</w:t>
      </w:r>
    </w:p>
    <w:p w14:paraId="77F1115C" w14:textId="77777777" w:rsidR="00DB2B68" w:rsidRDefault="00000000">
      <w:r>
        <w:t>[NBN B 03-003, Déformation des structures - Valeurs limites de déformation - Bâtiments]</w:t>
      </w:r>
    </w:p>
    <w:p w14:paraId="7633FE57"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43B13CA0" w14:textId="77777777" w:rsidR="00DB2B68" w:rsidRDefault="00000000">
      <w:r>
        <w:t>[AM 2013-05-17, Arrêté ministériel relatif à l’utilisation des Eurocodes comme méthodes de calcul pour l’évaluation de la résistance au feu d’éléments de construction]</w:t>
      </w:r>
    </w:p>
    <w:p w14:paraId="016FAB0F" w14:textId="77777777" w:rsidR="00DB2B68" w:rsidRDefault="00000000">
      <w:pPr>
        <w:pStyle w:val="pheading"/>
      </w:pPr>
      <w:r>
        <w:t>MESURAGE</w:t>
      </w:r>
    </w:p>
    <w:p w14:paraId="34020543" w14:textId="77777777" w:rsidR="00DB2B68" w:rsidRDefault="00000000">
      <w:pPr>
        <w:pStyle w:val="pheading"/>
      </w:pPr>
      <w:r>
        <w:t>- unité de mesure:</w:t>
      </w:r>
    </w:p>
    <w:p w14:paraId="4C90B8A0" w14:textId="77777777" w:rsidR="00DB2B68" w:rsidRDefault="00000000">
      <w:r>
        <w:rPr>
          <w:b/>
        </w:rPr>
        <w:t>POUTRE PRS</w:t>
      </w:r>
    </w:p>
    <w:p w14:paraId="6707BCEF" w14:textId="77777777" w:rsidR="00DB2B68" w:rsidRDefault="00000000">
      <w:r>
        <w:rPr>
          <w:rStyle w:val="optioncarChar"/>
        </w:rPr>
        <w:t xml:space="preserve">m </w:t>
      </w:r>
      <w:r>
        <w:t>(par défaut)</w:t>
      </w:r>
      <w:r>
        <w:rPr>
          <w:rStyle w:val="optioncarChar"/>
        </w:rPr>
        <w:t xml:space="preserve"> / pc / kg</w:t>
      </w:r>
    </w:p>
    <w:p w14:paraId="2EE80713" w14:textId="77777777" w:rsidR="00DB2B68" w:rsidRDefault="00000000">
      <w:r>
        <w:rPr>
          <w:b/>
          <w:i/>
        </w:rPr>
        <w:t>(Soit par défaut)</w:t>
      </w:r>
    </w:p>
    <w:p w14:paraId="16642D1C" w14:textId="77777777" w:rsidR="00DB2B68" w:rsidRDefault="00000000">
      <w:r>
        <w:rPr>
          <w:rStyle w:val="soitChar"/>
        </w:rPr>
        <w:t> 1 ou 2. m.</w:t>
      </w:r>
    </w:p>
    <w:p w14:paraId="1C235068" w14:textId="77777777" w:rsidR="00DB2B68" w:rsidRDefault="00000000">
      <w:r>
        <w:rPr>
          <w:b/>
          <w:i/>
        </w:rPr>
        <w:t>(Soit)</w:t>
      </w:r>
    </w:p>
    <w:p w14:paraId="11D07954" w14:textId="77777777" w:rsidR="00DB2B68" w:rsidRDefault="00000000">
      <w:r>
        <w:rPr>
          <w:rStyle w:val="soitChar"/>
        </w:rPr>
        <w:t>  3 ou 4. pc</w:t>
      </w:r>
    </w:p>
    <w:p w14:paraId="05CB534D" w14:textId="77777777" w:rsidR="00DB2B68" w:rsidRDefault="00000000">
      <w:r>
        <w:rPr>
          <w:b/>
          <w:i/>
        </w:rPr>
        <w:t>(Soit)</w:t>
      </w:r>
    </w:p>
    <w:p w14:paraId="644764E5" w14:textId="77777777" w:rsidR="00DB2B68" w:rsidRDefault="00000000">
      <w:r>
        <w:rPr>
          <w:rStyle w:val="soitChar"/>
        </w:rPr>
        <w:t>  5. kg</w:t>
      </w:r>
    </w:p>
    <w:p w14:paraId="21F6A0AD" w14:textId="77777777" w:rsidR="00DB2B68" w:rsidRDefault="00000000">
      <w:r>
        <w:t> </w:t>
      </w:r>
    </w:p>
    <w:p w14:paraId="0D7ECD84" w14:textId="77777777" w:rsidR="00DB2B68" w:rsidRDefault="00000000">
      <w:r>
        <w:rPr>
          <w:b/>
        </w:rPr>
        <w:t>FLOCAGE</w:t>
      </w:r>
    </w:p>
    <w:p w14:paraId="549EEB10" w14:textId="77777777" w:rsidR="00DB2B68" w:rsidRDefault="00000000">
      <w:r>
        <w:t>Le traitement au feu par flocage est compté séparément et fait l’objet d’un (de) poste(s) supplémentaire(s) dans le présent article :</w:t>
      </w:r>
    </w:p>
    <w:p w14:paraId="6FACA1CC" w14:textId="77777777" w:rsidR="00DB2B68" w:rsidRDefault="00000000">
      <w:r>
        <w:rPr>
          <w:rStyle w:val="optioncarChar"/>
        </w:rPr>
        <w:t xml:space="preserve">m² </w:t>
      </w:r>
      <w:r>
        <w:t>(par défaut)</w:t>
      </w:r>
      <w:r>
        <w:rPr>
          <w:rStyle w:val="optioncarChar"/>
        </w:rPr>
        <w:t xml:space="preserve"> / m / pc.</w:t>
      </w:r>
    </w:p>
    <w:p w14:paraId="4CC7F8E8" w14:textId="77777777" w:rsidR="00DB2B68" w:rsidRDefault="00000000">
      <w:r>
        <w:rPr>
          <w:b/>
          <w:i/>
        </w:rPr>
        <w:t>(Soit par défaut)</w:t>
      </w:r>
    </w:p>
    <w:p w14:paraId="2EA4C867" w14:textId="77777777" w:rsidR="00DB2B68" w:rsidRDefault="00000000">
      <w:r>
        <w:rPr>
          <w:rStyle w:val="soitChar"/>
        </w:rPr>
        <w:t> 1. m².</w:t>
      </w:r>
    </w:p>
    <w:p w14:paraId="02A8F562" w14:textId="77777777" w:rsidR="00DB2B68" w:rsidRDefault="00000000">
      <w:r>
        <w:rPr>
          <w:b/>
          <w:i/>
        </w:rPr>
        <w:lastRenderedPageBreak/>
        <w:t>(Soit)</w:t>
      </w:r>
    </w:p>
    <w:p w14:paraId="26DA5B8A" w14:textId="77777777" w:rsidR="00DB2B68" w:rsidRDefault="00000000">
      <w:r>
        <w:rPr>
          <w:rStyle w:val="soitChar"/>
        </w:rPr>
        <w:t> 2. m</w:t>
      </w:r>
    </w:p>
    <w:p w14:paraId="21F673AF" w14:textId="77777777" w:rsidR="00DB2B68" w:rsidRDefault="00000000">
      <w:r>
        <w:rPr>
          <w:b/>
          <w:i/>
        </w:rPr>
        <w:t>(Soit)</w:t>
      </w:r>
    </w:p>
    <w:p w14:paraId="06C0D40C" w14:textId="77777777" w:rsidR="00DB2B68" w:rsidRDefault="00000000">
      <w:r>
        <w:rPr>
          <w:rStyle w:val="soitChar"/>
        </w:rPr>
        <w:t> 3. pc</w:t>
      </w:r>
    </w:p>
    <w:p w14:paraId="2E93912C" w14:textId="77777777" w:rsidR="00DB2B68" w:rsidRDefault="00000000">
      <w:pPr>
        <w:pStyle w:val="pheading"/>
      </w:pPr>
      <w:r>
        <w:t>- code de mesurage:</w:t>
      </w:r>
    </w:p>
    <w:p w14:paraId="6E352364" w14:textId="77777777" w:rsidR="00DB2B68" w:rsidRDefault="00000000">
      <w:pPr>
        <w:jc w:val="both"/>
      </w:pPr>
      <w:r>
        <w:rPr>
          <w:b/>
        </w:rPr>
        <w:t>POUTRE PRS</w:t>
      </w:r>
    </w:p>
    <w:p w14:paraId="079BAE70" w14:textId="77777777" w:rsidR="00DB2B68" w:rsidRDefault="00000000">
      <w:pPr>
        <w:jc w:val="both"/>
      </w:pPr>
      <w:r>
        <w:t>Distinctions faites suivant les formes des PRS, nuances et qualités d’acier.</w:t>
      </w:r>
    </w:p>
    <w:p w14:paraId="7A7FC2F2" w14:textId="77777777" w:rsidR="00DB2B68" w:rsidRDefault="00000000">
      <w:pPr>
        <w:jc w:val="both"/>
      </w:pPr>
      <w:r>
        <w:rPr>
          <w:rStyle w:val="optioncarChar"/>
        </w:rPr>
        <w:t xml:space="preserve">Longueur nette </w:t>
      </w:r>
      <w:r>
        <w:t xml:space="preserve">(par défaut) </w:t>
      </w:r>
      <w:r>
        <w:rPr>
          <w:rStyle w:val="optioncarChar"/>
        </w:rPr>
        <w:t>/ Longueur  d’exécution / Quantité nette / Quantité d’exécution / Masse.</w:t>
      </w:r>
    </w:p>
    <w:p w14:paraId="1266A9F7" w14:textId="77777777" w:rsidR="00DB2B68" w:rsidRDefault="00000000">
      <w:pPr>
        <w:jc w:val="both"/>
      </w:pPr>
      <w:r>
        <w:rPr>
          <w:b/>
          <w:i/>
        </w:rPr>
        <w:t>(Soit par défaut)</w:t>
      </w:r>
    </w:p>
    <w:p w14:paraId="07931983" w14:textId="77777777" w:rsidR="00DB2B68" w:rsidRDefault="00000000">
      <w:pPr>
        <w:jc w:val="both"/>
      </w:pPr>
      <w:r>
        <w:rPr>
          <w:rStyle w:val="soitChar"/>
        </w:rPr>
        <w:t xml:space="preserve">1.     </w:t>
      </w:r>
      <w:r>
        <w:rPr>
          <w:rStyle w:val="soitChar"/>
          <w:u w:val="single"/>
        </w:rPr>
        <w:t>Longueur nette</w:t>
      </w:r>
      <w:r>
        <w:rPr>
          <w:rStyle w:val="soitChar"/>
        </w:rPr>
        <w:t xml:space="preserve"> : Longueur de la portée à mettre en œuvre, appuis non comptés.</w:t>
      </w:r>
    </w:p>
    <w:p w14:paraId="31467395" w14:textId="77777777" w:rsidR="00DB2B68" w:rsidRDefault="00000000">
      <w:pPr>
        <w:jc w:val="both"/>
      </w:pPr>
      <w:r>
        <w:rPr>
          <w:b/>
          <w:i/>
        </w:rPr>
        <w:t>(Soit)</w:t>
      </w:r>
    </w:p>
    <w:p w14:paraId="76CCEF6C" w14:textId="77777777" w:rsidR="00DB2B68" w:rsidRDefault="00000000">
      <w:pPr>
        <w:jc w:val="both"/>
      </w:pPr>
      <w:r>
        <w:rPr>
          <w:rStyle w:val="soitChar"/>
        </w:rPr>
        <w:t xml:space="preserve">2.     </w:t>
      </w:r>
      <w:r>
        <w:rPr>
          <w:rStyle w:val="soitChar"/>
          <w:u w:val="single"/>
        </w:rPr>
        <w:t>Longueur d’exécution</w:t>
      </w:r>
      <w:r>
        <w:rPr>
          <w:rStyle w:val="soitChar"/>
        </w:rPr>
        <w:t> : longueur de la portée et longueurs d’appuis comprises.</w:t>
      </w:r>
    </w:p>
    <w:p w14:paraId="2F09E956" w14:textId="77777777" w:rsidR="00DB2B68" w:rsidRDefault="00000000">
      <w:pPr>
        <w:jc w:val="both"/>
      </w:pPr>
      <w:r>
        <w:rPr>
          <w:b/>
          <w:i/>
        </w:rPr>
        <w:t>(Soit)</w:t>
      </w:r>
    </w:p>
    <w:p w14:paraId="2A495FAF" w14:textId="77777777" w:rsidR="00DB2B68" w:rsidRDefault="00000000">
      <w:pPr>
        <w:jc w:val="both"/>
      </w:pPr>
      <w:r>
        <w:rPr>
          <w:rStyle w:val="soitChar"/>
        </w:rPr>
        <w:t xml:space="preserve">3.     </w:t>
      </w:r>
      <w:r>
        <w:rPr>
          <w:rStyle w:val="soitChar"/>
          <w:u w:val="single"/>
        </w:rPr>
        <w:t>Quantité nette</w:t>
      </w:r>
      <w:r>
        <w:rPr>
          <w:rStyle w:val="soitChar"/>
        </w:rPr>
        <w:t>, selon les dimensions de la portée à mettre en œuvre, appuis non comptés.</w:t>
      </w:r>
    </w:p>
    <w:p w14:paraId="5BE89570" w14:textId="77777777" w:rsidR="00DB2B68" w:rsidRDefault="00000000">
      <w:pPr>
        <w:jc w:val="both"/>
      </w:pPr>
      <w:r>
        <w:rPr>
          <w:b/>
          <w:i/>
        </w:rPr>
        <w:t>(Soit)</w:t>
      </w:r>
    </w:p>
    <w:p w14:paraId="04B9D3DD" w14:textId="77777777" w:rsidR="00DB2B68" w:rsidRDefault="00000000">
      <w:pPr>
        <w:jc w:val="both"/>
      </w:pPr>
      <w:r>
        <w:rPr>
          <w:rStyle w:val="soitChar"/>
        </w:rPr>
        <w:t xml:space="preserve">4.     </w:t>
      </w:r>
      <w:r>
        <w:rPr>
          <w:rStyle w:val="soitChar"/>
          <w:u w:val="single"/>
        </w:rPr>
        <w:t>Quantité d’exécution</w:t>
      </w:r>
      <w:r>
        <w:rPr>
          <w:rStyle w:val="soitChar"/>
        </w:rPr>
        <w:t>, selon les dimensions de la portée et longueurs d’appuis comprises.</w:t>
      </w:r>
    </w:p>
    <w:p w14:paraId="68018785" w14:textId="77777777" w:rsidR="00DB2B68" w:rsidRDefault="00000000">
      <w:pPr>
        <w:jc w:val="both"/>
      </w:pPr>
      <w:r>
        <w:rPr>
          <w:b/>
          <w:i/>
        </w:rPr>
        <w:t>(Soit)</w:t>
      </w:r>
    </w:p>
    <w:p w14:paraId="1DB8E909" w14:textId="77777777" w:rsidR="00DB2B68" w:rsidRDefault="00000000">
      <w:pPr>
        <w:jc w:val="both"/>
      </w:pPr>
      <w:r>
        <w:rPr>
          <w:rStyle w:val="soitChar"/>
        </w:rPr>
        <w:t xml:space="preserve">5.     </w:t>
      </w:r>
      <w:r>
        <w:rPr>
          <w:rStyle w:val="soitChar"/>
          <w:u w:val="single"/>
        </w:rPr>
        <w:t>Masse</w:t>
      </w:r>
      <w:r>
        <w:rPr>
          <w:rStyle w:val="soitChar"/>
        </w:rPr>
        <w:t> : masse d’acier pour toutes dimensions et types de profilés. Y compris les masses des pièces spéciales fixées aux poutres telles que pattes et autres accessoires de liaison.</w:t>
      </w:r>
    </w:p>
    <w:p w14:paraId="59D0D170" w14:textId="77777777" w:rsidR="00DB2B68" w:rsidRDefault="00000000">
      <w:pPr>
        <w:jc w:val="both"/>
      </w:pPr>
      <w:r>
        <w:t> </w:t>
      </w:r>
    </w:p>
    <w:p w14:paraId="3AFFA75B" w14:textId="77777777" w:rsidR="00DB2B68" w:rsidRDefault="00000000">
      <w:pPr>
        <w:jc w:val="both"/>
      </w:pPr>
      <w:r>
        <w:rPr>
          <w:b/>
        </w:rPr>
        <w:t>FLOCAGE</w:t>
      </w:r>
    </w:p>
    <w:p w14:paraId="7CC41696" w14:textId="77777777" w:rsidR="00DB2B68" w:rsidRDefault="00000000">
      <w:pPr>
        <w:jc w:val="both"/>
      </w:pPr>
      <w:r>
        <w:rPr>
          <w:rStyle w:val="optioncarChar"/>
        </w:rPr>
        <w:t xml:space="preserve">Surface nette </w:t>
      </w:r>
      <w:r>
        <w:t xml:space="preserve">(par défaut) </w:t>
      </w:r>
      <w:r>
        <w:rPr>
          <w:rStyle w:val="optioncarChar"/>
        </w:rPr>
        <w:t>/ Longueur nette / Quantité nette.</w:t>
      </w:r>
    </w:p>
    <w:p w14:paraId="09A3721B" w14:textId="77777777" w:rsidR="00DB2B68" w:rsidRDefault="00000000">
      <w:pPr>
        <w:jc w:val="both"/>
      </w:pPr>
      <w:r>
        <w:rPr>
          <w:b/>
          <w:i/>
        </w:rPr>
        <w:t>(Soit par défaut)</w:t>
      </w:r>
    </w:p>
    <w:p w14:paraId="5E5D21CA" w14:textId="77777777" w:rsidR="00DB2B68" w:rsidRDefault="00000000">
      <w:pPr>
        <w:jc w:val="both"/>
      </w:pPr>
      <w:r>
        <w:rPr>
          <w:rStyle w:val="soitChar"/>
        </w:rPr>
        <w:t>1.    </w:t>
      </w:r>
      <w:r>
        <w:rPr>
          <w:rStyle w:val="soitChar"/>
          <w:u w:val="single"/>
        </w:rPr>
        <w:t xml:space="preserve"> Surface nette</w:t>
      </w:r>
      <w:r>
        <w:rPr>
          <w:rStyle w:val="soitChar"/>
        </w:rPr>
        <w:t xml:space="preserve"> à traiter.</w:t>
      </w:r>
    </w:p>
    <w:p w14:paraId="35E63420" w14:textId="77777777" w:rsidR="00DB2B68" w:rsidRDefault="00000000">
      <w:pPr>
        <w:jc w:val="both"/>
      </w:pPr>
      <w:r>
        <w:rPr>
          <w:b/>
          <w:i/>
        </w:rPr>
        <w:t>(Soit)</w:t>
      </w:r>
    </w:p>
    <w:p w14:paraId="5B6A7F1F" w14:textId="77777777" w:rsidR="00DB2B68" w:rsidRDefault="00000000">
      <w:pPr>
        <w:jc w:val="both"/>
      </w:pPr>
      <w:r>
        <w:rPr>
          <w:rStyle w:val="soitChar"/>
        </w:rPr>
        <w:t>2.    </w:t>
      </w:r>
      <w:r>
        <w:rPr>
          <w:rStyle w:val="soitChar"/>
          <w:u w:val="single"/>
        </w:rPr>
        <w:t xml:space="preserve"> Longueur nette</w:t>
      </w:r>
      <w:r>
        <w:rPr>
          <w:rStyle w:val="soitChar"/>
        </w:rPr>
        <w:t xml:space="preserve"> à traiter.</w:t>
      </w:r>
    </w:p>
    <w:p w14:paraId="1F9BBDC0" w14:textId="77777777" w:rsidR="00DB2B68" w:rsidRDefault="00000000">
      <w:pPr>
        <w:jc w:val="both"/>
      </w:pPr>
      <w:r>
        <w:rPr>
          <w:b/>
          <w:i/>
        </w:rPr>
        <w:t>(Soit)</w:t>
      </w:r>
    </w:p>
    <w:p w14:paraId="34CB4166" w14:textId="77777777" w:rsidR="00DB2B68" w:rsidRDefault="00000000">
      <w:pPr>
        <w:jc w:val="both"/>
      </w:pPr>
      <w:r>
        <w:rPr>
          <w:rStyle w:val="soitChar"/>
        </w:rPr>
        <w:t>3.    </w:t>
      </w:r>
      <w:r>
        <w:rPr>
          <w:rStyle w:val="soitChar"/>
          <w:u w:val="single"/>
        </w:rPr>
        <w:t xml:space="preserve"> Quantité nette</w:t>
      </w:r>
      <w:r>
        <w:rPr>
          <w:rStyle w:val="soitChar"/>
        </w:rPr>
        <w:t>, ventilée selon les dimensions et les sections des profilés.</w:t>
      </w:r>
    </w:p>
    <w:p w14:paraId="7498A6F1" w14:textId="77777777" w:rsidR="00DB2B68" w:rsidRDefault="00000000">
      <w:pPr>
        <w:pStyle w:val="pheading"/>
      </w:pPr>
      <w:r>
        <w:t>- nature du marché:</w:t>
      </w:r>
    </w:p>
    <w:p w14:paraId="1F4950EE" w14:textId="77777777" w:rsidR="00DB2B68" w:rsidRDefault="00000000">
      <w:r>
        <w:rPr>
          <w:b/>
        </w:rPr>
        <w:t>POUTRE PRS</w:t>
      </w:r>
    </w:p>
    <w:p w14:paraId="5AB28B28" w14:textId="77777777" w:rsidR="00DB2B68" w:rsidRDefault="00000000">
      <w:r>
        <w:t>QF</w:t>
      </w:r>
    </w:p>
    <w:p w14:paraId="0E916F6D" w14:textId="77777777" w:rsidR="00DB2B68" w:rsidRDefault="00000000">
      <w:r>
        <w:t> </w:t>
      </w:r>
    </w:p>
    <w:p w14:paraId="7C6C5FAB" w14:textId="77777777" w:rsidR="00DB2B68" w:rsidRDefault="00000000">
      <w:r>
        <w:rPr>
          <w:b/>
        </w:rPr>
        <w:t>FLOCAGE</w:t>
      </w:r>
    </w:p>
    <w:p w14:paraId="649F105D" w14:textId="77777777" w:rsidR="00DB2B68" w:rsidRDefault="00000000">
      <w:r>
        <w:t>QF</w:t>
      </w:r>
    </w:p>
    <w:p w14:paraId="4543B9B2" w14:textId="77777777" w:rsidR="00DB2B68" w:rsidRDefault="00000000">
      <w:pPr>
        <w:pStyle w:val="Author-eSectionHeading6Numberless"/>
      </w:pPr>
      <w:bookmarkStart w:id="1138" w:name="_Toc220496158"/>
      <w:r>
        <w:t>23.11.1c Poutres en treillis en acier CCTB 01.11</w:t>
      </w:r>
      <w:bookmarkEnd w:id="1138"/>
    </w:p>
    <w:p w14:paraId="5237A972" w14:textId="77777777" w:rsidR="00DB2B68" w:rsidRDefault="00000000">
      <w:pPr>
        <w:pStyle w:val="pheading"/>
      </w:pPr>
      <w:r>
        <w:t>DESCRIPTION</w:t>
      </w:r>
    </w:p>
    <w:p w14:paraId="3C6C54B4" w14:textId="77777777" w:rsidR="00DB2B68" w:rsidRDefault="00000000">
      <w:pPr>
        <w:pStyle w:val="pheading"/>
      </w:pPr>
      <w:r>
        <w:t>- Définition / Comprend</w:t>
      </w:r>
    </w:p>
    <w:p w14:paraId="22FA5283" w14:textId="77777777" w:rsidR="00DB2B68" w:rsidRDefault="00000000">
      <w:pPr>
        <w:ind w:left="750"/>
      </w:pPr>
      <w:r>
        <w:rPr>
          <w:rFonts w:ascii="Calibri" w:hAnsi="Calibri" w:cs="Calibri"/>
          <w:sz w:val="22"/>
        </w:rPr>
        <w:t>Il s'agit de l’ensemble des poutres en treillis constituées d’éléments en acier laminés à chaud conformes à la </w:t>
      </w:r>
      <w:r>
        <w:t>[NBN EN 10025 série]. </w:t>
      </w:r>
    </w:p>
    <w:p w14:paraId="783C2C40" w14:textId="77777777" w:rsidR="00DB2B68" w:rsidRDefault="00000000">
      <w:pPr>
        <w:ind w:left="750"/>
      </w:pPr>
      <w:r>
        <w:lastRenderedPageBreak/>
        <w:t>Une poutre en treillis est formée d’éléments assemblés entre eux formant une triangulation. Cette poutre comprend deux membrures reliées par des éléments verticaux et/ou obliques (montants et/ou diagonales). La réalisation de cette poutre est conforme à la [NBN EN 1090-2]. </w:t>
      </w:r>
    </w:p>
    <w:p w14:paraId="377A8A16" w14:textId="77777777" w:rsidR="00DB2B68" w:rsidRDefault="00000000">
      <w:pPr>
        <w:pStyle w:val="pheading"/>
      </w:pPr>
      <w:r>
        <w:t>- Localisation</w:t>
      </w:r>
    </w:p>
    <w:p w14:paraId="73104B20" w14:textId="77777777" w:rsidR="00DB2B68" w:rsidRDefault="00000000">
      <w:pPr>
        <w:ind w:left="750"/>
      </w:pPr>
      <w:r>
        <w:rPr>
          <w:rFonts w:ascii="Calibri" w:hAnsi="Calibri" w:cs="Calibri"/>
          <w:sz w:val="22"/>
        </w:rPr>
        <w:t xml:space="preserve">Les travaux sont localisés : </w:t>
      </w:r>
      <w:r>
        <w:rPr>
          <w:rStyle w:val="optioncarChar"/>
        </w:rPr>
        <w:t>Voir plans et métrés détaillés </w:t>
      </w:r>
      <w:r>
        <w:t>(par défaut)</w:t>
      </w:r>
      <w:r>
        <w:rPr>
          <w:rStyle w:val="optioncarChar"/>
        </w:rPr>
        <w:t xml:space="preserve"> / ***</w:t>
      </w:r>
      <w:r>
        <w:t>. </w:t>
      </w:r>
    </w:p>
    <w:p w14:paraId="531F025C" w14:textId="77777777" w:rsidR="00DB2B68" w:rsidRDefault="00000000">
      <w:pPr>
        <w:pStyle w:val="pheading"/>
      </w:pPr>
      <w:r>
        <w:t>EXÉCUTION / MISE EN ŒUVRE</w:t>
      </w:r>
    </w:p>
    <w:p w14:paraId="67AA6773" w14:textId="77777777" w:rsidR="00DB2B68" w:rsidRDefault="00000000">
      <w:pPr>
        <w:pStyle w:val="pheading"/>
      </w:pPr>
      <w:r>
        <w:t>- Notes d’exécution complémentaires</w:t>
      </w:r>
    </w:p>
    <w:p w14:paraId="0F4F936D" w14:textId="77777777" w:rsidR="00DB2B68" w:rsidRDefault="00000000">
      <w:r>
        <w:rPr>
          <w:rStyle w:val="facultChar"/>
        </w:rPr>
        <w:t xml:space="preserve"> Le présent article comprend également des coupures thermiques : des dispositifs adéquats sont utilisés pour éviter tout pont thermique. </w:t>
      </w:r>
    </w:p>
    <w:p w14:paraId="7AD77E9B" w14:textId="77777777" w:rsidR="00DB2B68" w:rsidRDefault="00000000">
      <w:pPr>
        <w:pStyle w:val="pheading"/>
      </w:pPr>
      <w:r>
        <w:t>MESURAGE</w:t>
      </w:r>
    </w:p>
    <w:p w14:paraId="3821017C" w14:textId="77777777" w:rsidR="00DB2B68" w:rsidRDefault="00000000">
      <w:pPr>
        <w:pStyle w:val="pheading"/>
      </w:pPr>
      <w:r>
        <w:t>- unité de mesure:</w:t>
      </w:r>
    </w:p>
    <w:p w14:paraId="6542D194" w14:textId="77777777" w:rsidR="00DB2B68" w:rsidRDefault="00000000">
      <w:r>
        <w:rPr>
          <w:b/>
        </w:rPr>
        <w:t>POUTRE</w:t>
      </w:r>
    </w:p>
    <w:p w14:paraId="4F6F0B4F" w14:textId="77777777" w:rsidR="00DB2B68" w:rsidRDefault="00000000">
      <w:r>
        <w:rPr>
          <w:rStyle w:val="optioncarChar"/>
        </w:rPr>
        <w:t>kg </w:t>
      </w:r>
      <w:r>
        <w:t xml:space="preserve">(par défaut) </w:t>
      </w:r>
      <w:r>
        <w:rPr>
          <w:rStyle w:val="optioncarChar"/>
        </w:rPr>
        <w:t>/ m / pc.</w:t>
      </w:r>
    </w:p>
    <w:p w14:paraId="7211A8CB" w14:textId="77777777" w:rsidR="00DB2B68" w:rsidRDefault="00DB2B68">
      <w:pPr>
        <w:ind w:left="750"/>
      </w:pPr>
    </w:p>
    <w:p w14:paraId="2A855E72" w14:textId="77777777" w:rsidR="00DB2B68" w:rsidRDefault="00000000">
      <w:r>
        <w:rPr>
          <w:b/>
          <w:i/>
        </w:rPr>
        <w:t>(Soit par défaut)</w:t>
      </w:r>
    </w:p>
    <w:p w14:paraId="59850811" w14:textId="77777777" w:rsidR="00DB2B68" w:rsidRDefault="00000000">
      <w:r>
        <w:rPr>
          <w:rStyle w:val="soitChar"/>
        </w:rPr>
        <w:t> 1. kg.</w:t>
      </w:r>
    </w:p>
    <w:p w14:paraId="5F93470B" w14:textId="77777777" w:rsidR="00DB2B68" w:rsidRDefault="00000000">
      <w:r>
        <w:rPr>
          <w:b/>
          <w:i/>
        </w:rPr>
        <w:t>(Soit)</w:t>
      </w:r>
    </w:p>
    <w:p w14:paraId="30196D27" w14:textId="77777777" w:rsidR="00DB2B68" w:rsidRDefault="00000000">
      <w:r>
        <w:rPr>
          <w:rStyle w:val="soitChar"/>
        </w:rPr>
        <w:t>  2 ou 3. m</w:t>
      </w:r>
    </w:p>
    <w:p w14:paraId="5A7D4A2E" w14:textId="77777777" w:rsidR="00DB2B68" w:rsidRDefault="00000000">
      <w:r>
        <w:rPr>
          <w:b/>
          <w:i/>
        </w:rPr>
        <w:t>(Soit)</w:t>
      </w:r>
    </w:p>
    <w:p w14:paraId="1393BED3" w14:textId="77777777" w:rsidR="00DB2B68" w:rsidRDefault="00000000">
      <w:r>
        <w:rPr>
          <w:rStyle w:val="soitChar"/>
        </w:rPr>
        <w:t>  4 ou 5. pc</w:t>
      </w:r>
    </w:p>
    <w:p w14:paraId="260C5EA6" w14:textId="77777777" w:rsidR="00DB2B68" w:rsidRDefault="00000000">
      <w:r>
        <w:rPr>
          <w:rStyle w:val="soitChar"/>
        </w:rPr>
        <w:t> </w:t>
      </w:r>
    </w:p>
    <w:p w14:paraId="4397D069" w14:textId="77777777" w:rsidR="00DB2B68" w:rsidRDefault="00000000">
      <w:r>
        <w:rPr>
          <w:b/>
        </w:rPr>
        <w:t>FLOCAGE</w:t>
      </w:r>
    </w:p>
    <w:p w14:paraId="32231846" w14:textId="77777777" w:rsidR="00DB2B68" w:rsidRDefault="00000000">
      <w:r>
        <w:t>Le traitement au feu par flocage est compté séparément et fait l’objet d’un (de) poste(s) supplémentaire(s) dans le présent article :</w:t>
      </w:r>
    </w:p>
    <w:p w14:paraId="0766FDE4" w14:textId="77777777" w:rsidR="00DB2B68" w:rsidRDefault="00000000">
      <w:r>
        <w:rPr>
          <w:rStyle w:val="optioncarChar"/>
        </w:rPr>
        <w:t xml:space="preserve">m² </w:t>
      </w:r>
      <w:r>
        <w:t>(par défaut)</w:t>
      </w:r>
      <w:r>
        <w:rPr>
          <w:rStyle w:val="optioncarChar"/>
        </w:rPr>
        <w:t xml:space="preserve"> / m / pc.</w:t>
      </w:r>
    </w:p>
    <w:p w14:paraId="1526B9BF" w14:textId="77777777" w:rsidR="00DB2B68" w:rsidRDefault="00000000">
      <w:r>
        <w:rPr>
          <w:b/>
          <w:i/>
        </w:rPr>
        <w:t>(Soit par défaut)</w:t>
      </w:r>
    </w:p>
    <w:p w14:paraId="09B0846B" w14:textId="77777777" w:rsidR="00DB2B68" w:rsidRDefault="00000000">
      <w:r>
        <w:rPr>
          <w:rStyle w:val="soitChar"/>
        </w:rPr>
        <w:t> 1. m².</w:t>
      </w:r>
    </w:p>
    <w:p w14:paraId="53D4C0E8" w14:textId="77777777" w:rsidR="00DB2B68" w:rsidRDefault="00000000">
      <w:r>
        <w:rPr>
          <w:b/>
          <w:i/>
        </w:rPr>
        <w:t>(Soit)</w:t>
      </w:r>
    </w:p>
    <w:p w14:paraId="23F95B6D" w14:textId="77777777" w:rsidR="00DB2B68" w:rsidRDefault="00000000">
      <w:r>
        <w:rPr>
          <w:rStyle w:val="soitChar"/>
        </w:rPr>
        <w:t> 2. m</w:t>
      </w:r>
    </w:p>
    <w:p w14:paraId="30352197" w14:textId="77777777" w:rsidR="00DB2B68" w:rsidRDefault="00000000">
      <w:r>
        <w:rPr>
          <w:b/>
          <w:i/>
        </w:rPr>
        <w:t>(Soit)</w:t>
      </w:r>
    </w:p>
    <w:p w14:paraId="01567227" w14:textId="77777777" w:rsidR="00DB2B68" w:rsidRDefault="00000000">
      <w:r>
        <w:rPr>
          <w:rStyle w:val="soitChar"/>
        </w:rPr>
        <w:t> 3. pc</w:t>
      </w:r>
    </w:p>
    <w:p w14:paraId="6C6602E7" w14:textId="77777777" w:rsidR="00DB2B68" w:rsidRDefault="00DB2B68"/>
    <w:p w14:paraId="208A55BA" w14:textId="77777777" w:rsidR="00DB2B68" w:rsidRDefault="00000000">
      <w:r>
        <w:rPr>
          <w:b/>
        </w:rPr>
        <w:t>COUPURE THERMIQUE</w:t>
      </w:r>
    </w:p>
    <w:p w14:paraId="76077EAF" w14:textId="77777777" w:rsidR="00DB2B68" w:rsidRDefault="00000000">
      <w:r>
        <w:rPr>
          <w:rStyle w:val="optioncarChar"/>
        </w:rPr>
        <w:t>pièce</w:t>
      </w:r>
    </w:p>
    <w:p w14:paraId="1893EFAB" w14:textId="77777777" w:rsidR="00DB2B68" w:rsidRDefault="00000000">
      <w:pPr>
        <w:pStyle w:val="pheading"/>
      </w:pPr>
      <w:r>
        <w:t>- code de mesurage:</w:t>
      </w:r>
    </w:p>
    <w:p w14:paraId="7E5E42C4" w14:textId="77777777" w:rsidR="00DB2B68" w:rsidRDefault="00DB2B68"/>
    <w:p w14:paraId="01345CA2" w14:textId="77777777" w:rsidR="00DB2B68" w:rsidRDefault="00000000">
      <w:r>
        <w:rPr>
          <w:b/>
        </w:rPr>
        <w:t>POUTRE</w:t>
      </w:r>
    </w:p>
    <w:p w14:paraId="50D2570B" w14:textId="77777777" w:rsidR="00DB2B68" w:rsidRDefault="00000000">
      <w:r>
        <w:t>Distinctions faites suivant les types de profilés, nuances et qualités d’acier.</w:t>
      </w:r>
    </w:p>
    <w:p w14:paraId="30621093"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3D229299" w14:textId="77777777" w:rsidR="00DB2B68" w:rsidRDefault="00000000">
      <w:r>
        <w:rPr>
          <w:b/>
          <w:i/>
        </w:rPr>
        <w:lastRenderedPageBreak/>
        <w:t>(Soit par défaut)</w:t>
      </w:r>
    </w:p>
    <w:p w14:paraId="725EBE16"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37AF4F46" w14:textId="77777777" w:rsidR="00DB2B68" w:rsidRDefault="00000000">
      <w:r>
        <w:rPr>
          <w:b/>
          <w:i/>
        </w:rPr>
        <w:t>(Soit)</w:t>
      </w:r>
    </w:p>
    <w:p w14:paraId="5B80FEE1"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7EBEDE64" w14:textId="77777777" w:rsidR="00DB2B68" w:rsidRDefault="00000000">
      <w:r>
        <w:rPr>
          <w:b/>
          <w:i/>
        </w:rPr>
        <w:t>(Soit)</w:t>
      </w:r>
    </w:p>
    <w:p w14:paraId="7B66AEAA"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D47B834" w14:textId="77777777" w:rsidR="00DB2B68" w:rsidRDefault="00000000">
      <w:r>
        <w:rPr>
          <w:b/>
          <w:i/>
        </w:rPr>
        <w:t>(Soit)</w:t>
      </w:r>
    </w:p>
    <w:p w14:paraId="337273E4"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48D4B2DE" w14:textId="77777777" w:rsidR="00DB2B68" w:rsidRDefault="00000000">
      <w:r>
        <w:rPr>
          <w:b/>
          <w:i/>
        </w:rPr>
        <w:t>(Soit)</w:t>
      </w:r>
    </w:p>
    <w:p w14:paraId="22DEBB9A"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55CFCB53" w14:textId="77777777" w:rsidR="00DB2B68" w:rsidRDefault="00DB2B68"/>
    <w:p w14:paraId="1FB81AD4" w14:textId="77777777" w:rsidR="00DB2B68" w:rsidRDefault="00000000">
      <w:r>
        <w:rPr>
          <w:b/>
        </w:rPr>
        <w:t>FLOCAGE</w:t>
      </w:r>
    </w:p>
    <w:p w14:paraId="74E9EB2A"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CEF9448" w14:textId="77777777" w:rsidR="00DB2B68" w:rsidRDefault="00000000">
      <w:r>
        <w:rPr>
          <w:b/>
          <w:i/>
        </w:rPr>
        <w:t>(Soit par défaut)</w:t>
      </w:r>
    </w:p>
    <w:p w14:paraId="1E1868E6"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297CF1C2" w14:textId="77777777" w:rsidR="00DB2B68" w:rsidRDefault="00000000">
      <w:r>
        <w:rPr>
          <w:b/>
          <w:i/>
        </w:rPr>
        <w:t>(Soit)</w:t>
      </w:r>
    </w:p>
    <w:p w14:paraId="39536DC7"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50A73E03" w14:textId="77777777" w:rsidR="00DB2B68" w:rsidRDefault="00000000">
      <w:r>
        <w:rPr>
          <w:b/>
          <w:i/>
        </w:rPr>
        <w:t>(Soit)</w:t>
      </w:r>
    </w:p>
    <w:p w14:paraId="3B02E74F"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7970A2F4" w14:textId="77777777" w:rsidR="00DB2B68" w:rsidRDefault="00DB2B68"/>
    <w:p w14:paraId="71286200" w14:textId="77777777" w:rsidR="00DB2B68" w:rsidRDefault="00000000">
      <w:pPr>
        <w:spacing w:after="0" w:line="256" w:lineRule="auto"/>
        <w:jc w:val="both"/>
      </w:pPr>
      <w:r>
        <w:rPr>
          <w:b/>
        </w:rPr>
        <w:t>COUPURE THERMIQUE</w:t>
      </w:r>
    </w:p>
    <w:p w14:paraId="3544817A" w14:textId="77777777" w:rsidR="00DB2B68" w:rsidRDefault="00000000">
      <w:r>
        <w:rPr>
          <w:rStyle w:val="optioncarChar"/>
        </w:rPr>
        <w:t>À la pièce, ventilée suivant les types d’éléments</w:t>
      </w:r>
    </w:p>
    <w:p w14:paraId="2027F951" w14:textId="77777777" w:rsidR="00DB2B68" w:rsidRDefault="00000000">
      <w:pPr>
        <w:pStyle w:val="pheading"/>
      </w:pPr>
      <w:r>
        <w:t>- nature du marché:</w:t>
      </w:r>
    </w:p>
    <w:p w14:paraId="389463A8" w14:textId="77777777" w:rsidR="00DB2B68" w:rsidRDefault="00DB2B68"/>
    <w:p w14:paraId="2FBFE598" w14:textId="77777777" w:rsidR="00DB2B68" w:rsidRDefault="00000000">
      <w:r>
        <w:rPr>
          <w:rStyle w:val="optioncarChar"/>
        </w:rPr>
        <w:t>QF</w:t>
      </w:r>
      <w:r>
        <w:t xml:space="preserve"> (par défaut) </w:t>
      </w:r>
      <w:r>
        <w:rPr>
          <w:rStyle w:val="optioncarChar"/>
        </w:rPr>
        <w:t>/ QP</w:t>
      </w:r>
    </w:p>
    <w:p w14:paraId="6FD7CF95" w14:textId="77777777" w:rsidR="00DB2B68" w:rsidRDefault="00000000">
      <w:pPr>
        <w:pStyle w:val="soit"/>
      </w:pPr>
      <w:r>
        <w:rPr>
          <w:rStyle w:val="normalChar"/>
          <w:b/>
          <w:i/>
          <w:color w:val="000000"/>
        </w:rPr>
        <w:t xml:space="preserve">(Soit par défaut) </w:t>
      </w:r>
    </w:p>
    <w:p w14:paraId="45437F64" w14:textId="77777777" w:rsidR="00DB2B68" w:rsidRDefault="00000000">
      <w:r>
        <w:rPr>
          <w:rStyle w:val="soitChar"/>
        </w:rPr>
        <w:t xml:space="preserve">1. QF </w:t>
      </w:r>
    </w:p>
    <w:p w14:paraId="497AE755" w14:textId="77777777" w:rsidR="00DB2B68" w:rsidRDefault="00000000">
      <w:r>
        <w:rPr>
          <w:b/>
          <w:i/>
        </w:rPr>
        <w:t>(Soit)</w:t>
      </w:r>
    </w:p>
    <w:p w14:paraId="0B099713" w14:textId="77777777" w:rsidR="00DB2B68" w:rsidRDefault="00000000">
      <w:r>
        <w:rPr>
          <w:rStyle w:val="soitChar"/>
        </w:rPr>
        <w:t>2. QP</w:t>
      </w:r>
    </w:p>
    <w:p w14:paraId="09F57CA9" w14:textId="77777777" w:rsidR="00DB2B68" w:rsidRDefault="00000000">
      <w:pPr>
        <w:pStyle w:val="pheading"/>
      </w:pPr>
      <w:r>
        <w:t>AIDE</w:t>
      </w:r>
    </w:p>
    <w:p w14:paraId="29BC212F" w14:textId="77777777" w:rsidR="00DB2B68" w:rsidRDefault="00000000">
      <w:r>
        <w:t>Exemple pour métré :</w:t>
      </w:r>
    </w:p>
    <w:p w14:paraId="3151CDFC" w14:textId="77777777" w:rsidR="00DB2B68" w:rsidRDefault="00DB2B68">
      <w:pPr>
        <w:ind w:left="750"/>
      </w:pPr>
    </w:p>
    <w:p w14:paraId="2A580215" w14:textId="77777777" w:rsidR="00DB2B68" w:rsidRDefault="00000000">
      <w:r>
        <w:t>Poutre treillis X             galvanisé à chaud       </w:t>
      </w:r>
    </w:p>
    <w:p w14:paraId="0D54A8B0" w14:textId="77777777" w:rsidR="00DB2B68" w:rsidRDefault="00000000">
      <w:r>
        <w:lastRenderedPageBreak/>
        <w:t>            Diagonales                   L80x80x8        S235J2           </w:t>
      </w:r>
    </w:p>
    <w:p w14:paraId="03D81F3D" w14:textId="77777777" w:rsidR="00DB2B68" w:rsidRDefault="00000000">
      <w:r>
        <w:t>            Membrures                   HEA 200          S355J2             Z15</w:t>
      </w:r>
    </w:p>
    <w:p w14:paraId="15331C96" w14:textId="77777777" w:rsidR="00DB2B68" w:rsidRDefault="00000000">
      <w:pPr>
        <w:pStyle w:val="Author-eSectionHeading6Numberless"/>
      </w:pPr>
      <w:bookmarkStart w:id="1139" w:name="_Toc220496159"/>
      <w:r>
        <w:t>23.11.1d Poutres alvéolaires en acier CCTB 01.11</w:t>
      </w:r>
      <w:bookmarkEnd w:id="1139"/>
    </w:p>
    <w:p w14:paraId="64DC6D86" w14:textId="77777777" w:rsidR="00DB2B68" w:rsidRDefault="00000000">
      <w:pPr>
        <w:pStyle w:val="pheading"/>
      </w:pPr>
      <w:r>
        <w:t>DESCRIPTION</w:t>
      </w:r>
    </w:p>
    <w:p w14:paraId="77628F02" w14:textId="77777777" w:rsidR="00DB2B68" w:rsidRDefault="00000000">
      <w:pPr>
        <w:pStyle w:val="pheading"/>
      </w:pPr>
      <w:r>
        <w:t>- Définition / Comprend</w:t>
      </w:r>
    </w:p>
    <w:p w14:paraId="1B153E0F" w14:textId="77777777" w:rsidR="00DB2B68" w:rsidRDefault="00000000">
      <w:pPr>
        <w:ind w:left="750"/>
      </w:pPr>
      <w:r>
        <w:rPr>
          <w:rFonts w:ascii="Calibri" w:hAnsi="Calibri" w:cs="Calibri"/>
          <w:sz w:val="22"/>
        </w:rPr>
        <w:t xml:space="preserve">Il s'agit de l’ensemble des poutres alvéolaires reconstituées soudées à partir de poutrelles en acier laminées à chaud conformes à la </w:t>
      </w:r>
      <w:r>
        <w:t>[NBN EN 10025 série]. </w:t>
      </w:r>
    </w:p>
    <w:p w14:paraId="18FA8285" w14:textId="77777777" w:rsidR="00DB2B68" w:rsidRDefault="00000000">
      <w:pPr>
        <w:ind w:left="750"/>
      </w:pPr>
      <w:r>
        <w:rPr>
          <w:rFonts w:ascii="Calibri" w:hAnsi="Calibri" w:cs="Calibri"/>
          <w:sz w:val="22"/>
        </w:rPr>
        <w:t xml:space="preserve">Le soudage de ces poutrelles découpées suivant une ligne spécifique est conforme à la </w:t>
      </w:r>
      <w:r>
        <w:t>[NBN EN 1090-2]. </w:t>
      </w:r>
    </w:p>
    <w:p w14:paraId="5D6DDD37" w14:textId="77777777" w:rsidR="00DB2B68" w:rsidRDefault="00000000">
      <w:pPr>
        <w:pStyle w:val="pheading"/>
      </w:pPr>
      <w:r>
        <w:t>- Localisation</w:t>
      </w:r>
    </w:p>
    <w:p w14:paraId="5ACC69F6" w14:textId="77777777" w:rsidR="00DB2B68" w:rsidRDefault="00000000">
      <w:pPr>
        <w:ind w:left="750"/>
      </w:pPr>
      <w:r>
        <w:rPr>
          <w:rFonts w:ascii="Calibri" w:hAnsi="Calibri" w:cs="Calibri"/>
          <w:sz w:val="22"/>
        </w:rPr>
        <w:t xml:space="preserve">Les travaux sont localisés : </w:t>
      </w:r>
      <w:r>
        <w:rPr>
          <w:rStyle w:val="optioncarChar"/>
        </w:rPr>
        <w:t>Voir plans et métrés détaillés </w:t>
      </w:r>
      <w:r>
        <w:t>(par défaut)</w:t>
      </w:r>
      <w:r>
        <w:rPr>
          <w:rStyle w:val="optioncarChar"/>
        </w:rPr>
        <w:t xml:space="preserve"> / *** </w:t>
      </w:r>
      <w:r>
        <w:rPr>
          <w:color w:val="000000"/>
        </w:rPr>
        <w:t>.</w:t>
      </w:r>
    </w:p>
    <w:p w14:paraId="6F09DA2E" w14:textId="77777777" w:rsidR="00DB2B68" w:rsidRDefault="00000000">
      <w:pPr>
        <w:pStyle w:val="pheading"/>
      </w:pPr>
      <w:r>
        <w:t>EXÉCUTION / MISE EN ŒUVRE</w:t>
      </w:r>
    </w:p>
    <w:p w14:paraId="6804126A" w14:textId="77777777" w:rsidR="00DB2B68" w:rsidRDefault="00000000">
      <w:pPr>
        <w:pStyle w:val="pheading"/>
      </w:pPr>
      <w:r>
        <w:t>- Notes d’exécution complémentaires</w:t>
      </w:r>
    </w:p>
    <w:p w14:paraId="7F436883" w14:textId="77777777" w:rsidR="00DB2B68" w:rsidRDefault="00000000">
      <w:r>
        <w:rPr>
          <w:rStyle w:val="facultChar"/>
        </w:rPr>
        <w:t xml:space="preserve"> Le présent article comprend également des coupures thermiques :  des dispositifs adéquats sont utilisés pour éviter tout pont thermique. </w:t>
      </w:r>
    </w:p>
    <w:p w14:paraId="580D5B08" w14:textId="77777777" w:rsidR="00DB2B68" w:rsidRDefault="00000000">
      <w:pPr>
        <w:pStyle w:val="pheading"/>
      </w:pPr>
      <w:r>
        <w:t>MESURAGE</w:t>
      </w:r>
    </w:p>
    <w:p w14:paraId="136A1C0C" w14:textId="77777777" w:rsidR="00DB2B68" w:rsidRDefault="00000000">
      <w:pPr>
        <w:pStyle w:val="pheading"/>
      </w:pPr>
      <w:r>
        <w:t>- unité de mesure:</w:t>
      </w:r>
    </w:p>
    <w:p w14:paraId="68C2BF8A" w14:textId="77777777" w:rsidR="00DB2B68" w:rsidRDefault="00DB2B68"/>
    <w:p w14:paraId="123B0068" w14:textId="77777777" w:rsidR="00DB2B68" w:rsidRDefault="00000000">
      <w:r>
        <w:rPr>
          <w:b/>
        </w:rPr>
        <w:t>POUTRE</w:t>
      </w:r>
    </w:p>
    <w:p w14:paraId="7C8B3F23" w14:textId="77777777" w:rsidR="00DB2B68" w:rsidRDefault="00000000">
      <w:r>
        <w:rPr>
          <w:rStyle w:val="optioncarChar"/>
        </w:rPr>
        <w:t>kg </w:t>
      </w:r>
      <w:r>
        <w:t xml:space="preserve">(par défaut) </w:t>
      </w:r>
      <w:r>
        <w:rPr>
          <w:rStyle w:val="optioncarChar"/>
        </w:rPr>
        <w:t>/ m / pc.</w:t>
      </w:r>
    </w:p>
    <w:p w14:paraId="05022C1C" w14:textId="77777777" w:rsidR="00DB2B68" w:rsidRDefault="00000000">
      <w:r>
        <w:rPr>
          <w:b/>
          <w:i/>
        </w:rPr>
        <w:t>(Soit par défaut)</w:t>
      </w:r>
    </w:p>
    <w:p w14:paraId="3F62F488" w14:textId="77777777" w:rsidR="00DB2B68" w:rsidRDefault="00000000">
      <w:r>
        <w:rPr>
          <w:rStyle w:val="soitChar"/>
        </w:rPr>
        <w:t> 1. kg.</w:t>
      </w:r>
    </w:p>
    <w:p w14:paraId="524BCE63" w14:textId="77777777" w:rsidR="00DB2B68" w:rsidRDefault="00000000">
      <w:r>
        <w:rPr>
          <w:b/>
          <w:i/>
        </w:rPr>
        <w:t>(Soit)</w:t>
      </w:r>
    </w:p>
    <w:p w14:paraId="413982A8" w14:textId="77777777" w:rsidR="00DB2B68" w:rsidRDefault="00000000">
      <w:r>
        <w:rPr>
          <w:rStyle w:val="soitChar"/>
        </w:rPr>
        <w:t>  2 ou 3. m</w:t>
      </w:r>
    </w:p>
    <w:p w14:paraId="565646F0" w14:textId="77777777" w:rsidR="00DB2B68" w:rsidRDefault="00000000">
      <w:r>
        <w:rPr>
          <w:b/>
          <w:i/>
        </w:rPr>
        <w:t>(Soit)</w:t>
      </w:r>
    </w:p>
    <w:p w14:paraId="46EC5235" w14:textId="77777777" w:rsidR="00DB2B68" w:rsidRDefault="00000000">
      <w:r>
        <w:rPr>
          <w:rStyle w:val="soitChar"/>
        </w:rPr>
        <w:t>  4 ou 5. pc</w:t>
      </w:r>
    </w:p>
    <w:p w14:paraId="731AA01B" w14:textId="77777777" w:rsidR="00DB2B68" w:rsidRDefault="00000000">
      <w:r>
        <w:rPr>
          <w:rStyle w:val="soitChar"/>
        </w:rPr>
        <w:t> </w:t>
      </w:r>
    </w:p>
    <w:p w14:paraId="5F7D1861" w14:textId="77777777" w:rsidR="00DB2B68" w:rsidRDefault="00000000">
      <w:r>
        <w:rPr>
          <w:b/>
        </w:rPr>
        <w:t>FLOCAGE</w:t>
      </w:r>
    </w:p>
    <w:p w14:paraId="5D1D22B8" w14:textId="77777777" w:rsidR="00DB2B68" w:rsidRDefault="00000000">
      <w:r>
        <w:t>Le traitement au feu par flocage est compté séparément et fait l’objet d’un (de) poste(s) supplémentaire(s) dans le présent article :</w:t>
      </w:r>
    </w:p>
    <w:p w14:paraId="41C9D2BF" w14:textId="77777777" w:rsidR="00DB2B68" w:rsidRDefault="00000000">
      <w:r>
        <w:rPr>
          <w:rStyle w:val="optioncarChar"/>
        </w:rPr>
        <w:t xml:space="preserve">m² </w:t>
      </w:r>
      <w:r>
        <w:t>(par défaut)</w:t>
      </w:r>
      <w:r>
        <w:rPr>
          <w:rStyle w:val="optioncarChar"/>
        </w:rPr>
        <w:t xml:space="preserve"> / m / pc.</w:t>
      </w:r>
    </w:p>
    <w:p w14:paraId="76A6C46C" w14:textId="77777777" w:rsidR="00DB2B68" w:rsidRDefault="00000000">
      <w:r>
        <w:rPr>
          <w:b/>
          <w:i/>
        </w:rPr>
        <w:t>(Soit par défaut)</w:t>
      </w:r>
    </w:p>
    <w:p w14:paraId="76CA57AC" w14:textId="77777777" w:rsidR="00DB2B68" w:rsidRDefault="00000000">
      <w:r>
        <w:rPr>
          <w:rStyle w:val="soitChar"/>
        </w:rPr>
        <w:t> 1. m².</w:t>
      </w:r>
    </w:p>
    <w:p w14:paraId="4B9245D0" w14:textId="77777777" w:rsidR="00DB2B68" w:rsidRDefault="00000000">
      <w:r>
        <w:rPr>
          <w:b/>
          <w:i/>
        </w:rPr>
        <w:t>(Soit)</w:t>
      </w:r>
    </w:p>
    <w:p w14:paraId="458D1ECB" w14:textId="77777777" w:rsidR="00DB2B68" w:rsidRDefault="00000000">
      <w:r>
        <w:rPr>
          <w:rStyle w:val="soitChar"/>
        </w:rPr>
        <w:t> 2. m</w:t>
      </w:r>
    </w:p>
    <w:p w14:paraId="51E3309B" w14:textId="77777777" w:rsidR="00DB2B68" w:rsidRDefault="00000000">
      <w:r>
        <w:rPr>
          <w:b/>
          <w:i/>
        </w:rPr>
        <w:t>(Soit)</w:t>
      </w:r>
    </w:p>
    <w:p w14:paraId="13CC8281" w14:textId="77777777" w:rsidR="00DB2B68" w:rsidRDefault="00000000">
      <w:r>
        <w:rPr>
          <w:rStyle w:val="soitChar"/>
        </w:rPr>
        <w:t> 3. pc</w:t>
      </w:r>
    </w:p>
    <w:p w14:paraId="27B73A53" w14:textId="77777777" w:rsidR="00DB2B68" w:rsidRDefault="00DB2B68"/>
    <w:p w14:paraId="3B45431E" w14:textId="77777777" w:rsidR="00DB2B68" w:rsidRDefault="00000000">
      <w:r>
        <w:rPr>
          <w:b/>
        </w:rPr>
        <w:t>COUPURE THERMIQUE</w:t>
      </w:r>
    </w:p>
    <w:p w14:paraId="6B2C9BE1" w14:textId="77777777" w:rsidR="00DB2B68" w:rsidRDefault="00000000">
      <w:r>
        <w:rPr>
          <w:rStyle w:val="optioncarChar"/>
        </w:rPr>
        <w:lastRenderedPageBreak/>
        <w:t>pièce</w:t>
      </w:r>
    </w:p>
    <w:p w14:paraId="2964F99B" w14:textId="77777777" w:rsidR="00DB2B68" w:rsidRDefault="00000000">
      <w:pPr>
        <w:pStyle w:val="pheading"/>
      </w:pPr>
      <w:r>
        <w:t>- code de mesurage:</w:t>
      </w:r>
    </w:p>
    <w:p w14:paraId="21C87452" w14:textId="77777777" w:rsidR="00DB2B68" w:rsidRDefault="00DB2B68"/>
    <w:p w14:paraId="22232C6E" w14:textId="77777777" w:rsidR="00DB2B68" w:rsidRDefault="00000000">
      <w:r>
        <w:rPr>
          <w:b/>
        </w:rPr>
        <w:t>POUTRE</w:t>
      </w:r>
    </w:p>
    <w:p w14:paraId="3A6C4C1B" w14:textId="77777777" w:rsidR="00DB2B68" w:rsidRDefault="00000000">
      <w:r>
        <w:t>Distinctions faites suivant les types de profilés, nuances et qualités d’acier.</w:t>
      </w:r>
    </w:p>
    <w:p w14:paraId="67B080F9"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7950B023" w14:textId="77777777" w:rsidR="00DB2B68" w:rsidRDefault="00000000">
      <w:r>
        <w:rPr>
          <w:b/>
          <w:i/>
        </w:rPr>
        <w:t>(Soit par défaut)</w:t>
      </w:r>
    </w:p>
    <w:p w14:paraId="27822D32"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480CA204" w14:textId="77777777" w:rsidR="00DB2B68" w:rsidRDefault="00000000">
      <w:r>
        <w:rPr>
          <w:b/>
          <w:i/>
        </w:rPr>
        <w:t>(Soit)</w:t>
      </w:r>
    </w:p>
    <w:p w14:paraId="27B05EE7"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4358987" w14:textId="77777777" w:rsidR="00DB2B68" w:rsidRDefault="00000000">
      <w:r>
        <w:rPr>
          <w:b/>
          <w:i/>
        </w:rPr>
        <w:t>(Soit)</w:t>
      </w:r>
    </w:p>
    <w:p w14:paraId="04E9D012"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18DFF5B8" w14:textId="77777777" w:rsidR="00DB2B68" w:rsidRDefault="00000000">
      <w:r>
        <w:rPr>
          <w:b/>
          <w:i/>
        </w:rPr>
        <w:t>(Soit)</w:t>
      </w:r>
    </w:p>
    <w:p w14:paraId="62E249A4"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1E300274" w14:textId="77777777" w:rsidR="00DB2B68" w:rsidRDefault="00000000">
      <w:r>
        <w:rPr>
          <w:b/>
          <w:i/>
        </w:rPr>
        <w:t>(Soit)</w:t>
      </w:r>
    </w:p>
    <w:p w14:paraId="32DAE8DE"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324667E" w14:textId="77777777" w:rsidR="00DB2B68" w:rsidRDefault="00DB2B68"/>
    <w:p w14:paraId="767C9B14" w14:textId="77777777" w:rsidR="00DB2B68" w:rsidRDefault="00000000">
      <w:r>
        <w:rPr>
          <w:b/>
        </w:rPr>
        <w:t>FLOCAGE</w:t>
      </w:r>
    </w:p>
    <w:p w14:paraId="25564E05"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AFBE41D" w14:textId="77777777" w:rsidR="00DB2B68" w:rsidRDefault="00000000">
      <w:r>
        <w:rPr>
          <w:b/>
          <w:i/>
        </w:rPr>
        <w:t>(Soit par défaut)</w:t>
      </w:r>
    </w:p>
    <w:p w14:paraId="2C6B259F"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258F0C9F" w14:textId="77777777" w:rsidR="00DB2B68" w:rsidRDefault="00000000">
      <w:r>
        <w:rPr>
          <w:b/>
          <w:i/>
        </w:rPr>
        <w:t>(Soit)</w:t>
      </w:r>
    </w:p>
    <w:p w14:paraId="7BE3EAA7"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71AE0007" w14:textId="77777777" w:rsidR="00DB2B68" w:rsidRDefault="00000000">
      <w:r>
        <w:rPr>
          <w:b/>
          <w:i/>
        </w:rPr>
        <w:t>(Soit)</w:t>
      </w:r>
    </w:p>
    <w:p w14:paraId="3B43F405"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38F537D0" w14:textId="77777777" w:rsidR="00DB2B68" w:rsidRDefault="00DB2B68"/>
    <w:p w14:paraId="326AF1CB" w14:textId="77777777" w:rsidR="00DB2B68" w:rsidRDefault="00000000">
      <w:pPr>
        <w:spacing w:after="0" w:line="256" w:lineRule="auto"/>
        <w:jc w:val="both"/>
      </w:pPr>
      <w:r>
        <w:rPr>
          <w:b/>
        </w:rPr>
        <w:t>COUPURE THERMIQUE</w:t>
      </w:r>
    </w:p>
    <w:p w14:paraId="4BCABA4F" w14:textId="77777777" w:rsidR="00DB2B68" w:rsidRDefault="00000000">
      <w:r>
        <w:rPr>
          <w:rStyle w:val="optioncarChar"/>
        </w:rPr>
        <w:t>À la pièce, ventilée suivant les types d’éléments</w:t>
      </w:r>
    </w:p>
    <w:p w14:paraId="3B5A4011" w14:textId="77777777" w:rsidR="00DB2B68" w:rsidRDefault="00000000">
      <w:pPr>
        <w:pStyle w:val="pheading"/>
      </w:pPr>
      <w:r>
        <w:t>- nature du marché:</w:t>
      </w:r>
    </w:p>
    <w:p w14:paraId="10589E13" w14:textId="77777777" w:rsidR="00DB2B68" w:rsidRDefault="00DB2B68"/>
    <w:p w14:paraId="32B506D6" w14:textId="77777777" w:rsidR="00DB2B68" w:rsidRDefault="00000000">
      <w:r>
        <w:rPr>
          <w:rStyle w:val="optioncarChar"/>
        </w:rPr>
        <w:t>QF</w:t>
      </w:r>
      <w:r>
        <w:t xml:space="preserve"> (par défaut) </w:t>
      </w:r>
      <w:r>
        <w:rPr>
          <w:rStyle w:val="optioncarChar"/>
        </w:rPr>
        <w:t>/ QP</w:t>
      </w:r>
    </w:p>
    <w:p w14:paraId="65D4019A" w14:textId="77777777" w:rsidR="00DB2B68" w:rsidRDefault="00000000">
      <w:pPr>
        <w:pStyle w:val="soit"/>
      </w:pPr>
      <w:r>
        <w:rPr>
          <w:rStyle w:val="normalChar"/>
          <w:b/>
          <w:i/>
          <w:color w:val="000000"/>
        </w:rPr>
        <w:t xml:space="preserve">(Soit par défaut) </w:t>
      </w:r>
    </w:p>
    <w:p w14:paraId="114E6430" w14:textId="77777777" w:rsidR="00DB2B68" w:rsidRDefault="00000000">
      <w:r>
        <w:rPr>
          <w:rStyle w:val="soitChar"/>
        </w:rPr>
        <w:t xml:space="preserve">1. QF </w:t>
      </w:r>
    </w:p>
    <w:p w14:paraId="076646DB" w14:textId="77777777" w:rsidR="00DB2B68" w:rsidRDefault="00000000">
      <w:r>
        <w:rPr>
          <w:b/>
          <w:i/>
        </w:rPr>
        <w:lastRenderedPageBreak/>
        <w:t>(Soit)</w:t>
      </w:r>
    </w:p>
    <w:p w14:paraId="79B8E29F" w14:textId="77777777" w:rsidR="00DB2B68" w:rsidRDefault="00000000">
      <w:r>
        <w:rPr>
          <w:rStyle w:val="soitChar"/>
        </w:rPr>
        <w:t>2. QP</w:t>
      </w:r>
    </w:p>
    <w:p w14:paraId="44DAEE44" w14:textId="77777777" w:rsidR="00DB2B68" w:rsidRDefault="00000000">
      <w:pPr>
        <w:pStyle w:val="pheading"/>
      </w:pPr>
      <w:r>
        <w:t>AIDE</w:t>
      </w:r>
    </w:p>
    <w:p w14:paraId="1DF36DF6" w14:textId="77777777" w:rsidR="00DB2B68" w:rsidRDefault="00DB2B68"/>
    <w:p w14:paraId="1ECE463E" w14:textId="77777777" w:rsidR="00DB2B68" w:rsidRDefault="00000000">
      <w:r>
        <w:t>Exemple pour métré :</w:t>
      </w:r>
    </w:p>
    <w:p w14:paraId="6A698420" w14:textId="77777777" w:rsidR="00DB2B68" w:rsidRDefault="00000000">
      <w:r>
        <w:t>Poutre X          S235JR           Z15      galvanisé à chaud</w:t>
      </w:r>
    </w:p>
    <w:p w14:paraId="6CFEA407" w14:textId="77777777" w:rsidR="00DB2B68" w:rsidRDefault="00000000">
      <w:r>
        <w:t>Poutre Y          S355J2                        primaire antirouille</w:t>
      </w:r>
    </w:p>
    <w:p w14:paraId="7FE789AA" w14:textId="77777777" w:rsidR="00DB2B68" w:rsidRDefault="00000000">
      <w:pPr>
        <w:pStyle w:val="Author-eSectionHeading6Numberless"/>
      </w:pPr>
      <w:bookmarkStart w:id="1140" w:name="_Toc220496160"/>
      <w:r>
        <w:t>23.11.1e Poutres en éléments tubulaires en acier CCTB 01.04</w:t>
      </w:r>
      <w:bookmarkEnd w:id="1140"/>
    </w:p>
    <w:p w14:paraId="709938F7" w14:textId="77777777" w:rsidR="00DB2B68" w:rsidRDefault="00000000">
      <w:pPr>
        <w:pStyle w:val="Author-eSectionHeading5Numberless"/>
      </w:pPr>
      <w:bookmarkStart w:id="1141" w:name="_Toc220496161"/>
      <w:r>
        <w:t>23.11.2 Poutres en acier formées à froid CCTB 01.11</w:t>
      </w:r>
      <w:bookmarkEnd w:id="1141"/>
    </w:p>
    <w:p w14:paraId="412B3F76" w14:textId="77777777" w:rsidR="00DB2B68" w:rsidRDefault="00000000">
      <w:pPr>
        <w:pStyle w:val="pheading"/>
      </w:pPr>
      <w:r>
        <w:t>DESCRIPTION</w:t>
      </w:r>
    </w:p>
    <w:p w14:paraId="332E62B7" w14:textId="77777777" w:rsidR="00DB2B68" w:rsidRDefault="00000000">
      <w:pPr>
        <w:pStyle w:val="pheading"/>
      </w:pPr>
      <w:r>
        <w:t>- Définition / Comprend</w:t>
      </w:r>
    </w:p>
    <w:p w14:paraId="158DDFF3" w14:textId="77777777" w:rsidR="00DB2B68" w:rsidRDefault="00000000">
      <w:r>
        <w:t>Les produits formés à froid sont des produits de formes diverses, dont la section droite ouverte ou à bords rejoints est constante sur toute leur longueur. Ils sont fabriqués à partir de produits plats laminés à chaud ou à froid (revêtus ou non), dont l'épaisseur n'est que très légèrement modifiée par les procédés de formage à froid (par exemple : profilage, étirage, formage à la presse, bordage, etc.).</w:t>
      </w:r>
    </w:p>
    <w:p w14:paraId="7ED51C1B" w14:textId="77777777" w:rsidR="00DB2B68" w:rsidRDefault="00000000">
      <w:r>
        <w:t>On distingue :</w:t>
      </w:r>
    </w:p>
    <w:p w14:paraId="50A425CD" w14:textId="77777777" w:rsidR="00DB2B68" w:rsidRDefault="00000000">
      <w:pPr>
        <w:pStyle w:val="Author-eListParagraph"/>
        <w:numPr>
          <w:ilvl w:val="0"/>
          <w:numId w:val="689"/>
        </w:numPr>
      </w:pPr>
      <w:r>
        <w:rPr>
          <w:rFonts w:ascii="Times New Roman" w:hAnsi="Times New Roman" w:cs="Times New Roman"/>
          <w:sz w:val="14"/>
        </w:rPr>
        <w:t> </w:t>
      </w:r>
      <w:r>
        <w:rPr>
          <w:rStyle w:val="normalChar"/>
        </w:rPr>
        <w:t>des produits</w:t>
      </w:r>
      <w:r>
        <w:t xml:space="preserve"> d'usage courant ou standard : par exemple en forme de L, de U, de C, de Z ;</w:t>
      </w:r>
    </w:p>
    <w:p w14:paraId="444B1C30" w14:textId="77777777" w:rsidR="00DB2B68" w:rsidRDefault="00000000">
      <w:pPr>
        <w:pStyle w:val="Author-eListParagraph"/>
        <w:numPr>
          <w:ilvl w:val="0"/>
          <w:numId w:val="689"/>
        </w:numPr>
      </w:pPr>
      <w:r>
        <w:t> des produits d'usage spécial : correspondant à une utilisation particulière, par exemple palplanches formées à froid, glissières de sécurité, profils d'ossature de bâtiments.</w:t>
      </w:r>
    </w:p>
    <w:p w14:paraId="10853ACD" w14:textId="77777777" w:rsidR="00DB2B68" w:rsidRDefault="00000000">
      <w:pPr>
        <w:pStyle w:val="Author-eSectionHeading6Numberless"/>
      </w:pPr>
      <w:bookmarkStart w:id="1142" w:name="_Toc220496162"/>
      <w:r>
        <w:t>23.11.2a Poutres en acier formées à froid CCTB 01.11</w:t>
      </w:r>
      <w:bookmarkEnd w:id="1142"/>
    </w:p>
    <w:p w14:paraId="622D8A62" w14:textId="77777777" w:rsidR="00DB2B68" w:rsidRDefault="00000000">
      <w:pPr>
        <w:pStyle w:val="pheading"/>
      </w:pPr>
      <w:r>
        <w:t>DESCRIPTION</w:t>
      </w:r>
    </w:p>
    <w:p w14:paraId="0822CF7C" w14:textId="77777777" w:rsidR="00DB2B68" w:rsidRDefault="00000000">
      <w:pPr>
        <w:pStyle w:val="pheading"/>
      </w:pPr>
      <w:r>
        <w:t>- Définition / Comprend</w:t>
      </w:r>
    </w:p>
    <w:p w14:paraId="3A7E8184" w14:textId="77777777" w:rsidR="00DB2B68" w:rsidRDefault="00000000">
      <w:pPr>
        <w:ind w:left="750"/>
      </w:pPr>
      <w:r>
        <w:rPr>
          <w:rFonts w:ascii="Calibri" w:hAnsi="Calibri" w:cs="Calibri"/>
          <w:sz w:val="22"/>
        </w:rPr>
        <w:t xml:space="preserve">Il s'agit de l’ensemble des poutres en acier dont la mise en forme finale a été réalisée à froid. Les profilés sont conformes à la </w:t>
      </w:r>
      <w:r>
        <w:t>[NBN EN 10162] ; </w:t>
      </w:r>
      <w:r>
        <w:rPr>
          <w:rFonts w:ascii="Calibri" w:hAnsi="Calibri" w:cs="Calibri"/>
          <w:sz w:val="22"/>
        </w:rPr>
        <w:t xml:space="preserve">les tubes sont conformes à la </w:t>
      </w:r>
      <w:r>
        <w:t>[NBN EN 10219 série]. </w:t>
      </w:r>
    </w:p>
    <w:p w14:paraId="223B8B02" w14:textId="77777777" w:rsidR="00DB2B68" w:rsidRDefault="00000000">
      <w:pPr>
        <w:pStyle w:val="pheading"/>
      </w:pPr>
      <w:r>
        <w:t>- Localisation</w:t>
      </w:r>
    </w:p>
    <w:p w14:paraId="61508E56" w14:textId="77777777" w:rsidR="00DB2B68" w:rsidRDefault="00DB2B68"/>
    <w:p w14:paraId="6A716570" w14:textId="77777777" w:rsidR="00DB2B68" w:rsidRDefault="00000000">
      <w:r>
        <w:t xml:space="preserve">Les travaux sont localisés : </w:t>
      </w:r>
      <w:r>
        <w:rPr>
          <w:rStyle w:val="optioncarChar"/>
        </w:rPr>
        <w:t>Voir plans et métrés détaillés </w:t>
      </w:r>
      <w:r>
        <w:t>(par défaut)</w:t>
      </w:r>
      <w:r>
        <w:rPr>
          <w:rStyle w:val="optioncarChar"/>
        </w:rPr>
        <w:t xml:space="preserve"> / ***</w:t>
      </w:r>
      <w:r>
        <w:t> </w:t>
      </w:r>
      <w:r>
        <w:rPr>
          <w:rStyle w:val="optioncarChar"/>
        </w:rPr>
        <w:t>.</w:t>
      </w:r>
    </w:p>
    <w:p w14:paraId="1B4D5E9E" w14:textId="77777777" w:rsidR="00DB2B68" w:rsidRDefault="00000000">
      <w:pPr>
        <w:pStyle w:val="pheading"/>
      </w:pPr>
      <w:r>
        <w:t>EXÉCUTION / MISE EN ŒUVRE</w:t>
      </w:r>
    </w:p>
    <w:p w14:paraId="0233A094" w14:textId="77777777" w:rsidR="00DB2B68" w:rsidRDefault="00000000">
      <w:pPr>
        <w:pStyle w:val="pheading"/>
      </w:pPr>
      <w:r>
        <w:t>- Notes d’exécution complémentaires</w:t>
      </w:r>
    </w:p>
    <w:p w14:paraId="11A404B1" w14:textId="77777777" w:rsidR="00DB2B68" w:rsidRDefault="00000000">
      <w:r>
        <w:rPr>
          <w:rStyle w:val="facultChar"/>
        </w:rPr>
        <w:t xml:space="preserve"> Le présent article comprend également des coupures thermiques : Des dispositifs adéquats sont utilisés pour éviter tout pont thermique.</w:t>
      </w:r>
    </w:p>
    <w:p w14:paraId="5C54B33F" w14:textId="77777777" w:rsidR="00DB2B68" w:rsidRDefault="00000000">
      <w:pPr>
        <w:pStyle w:val="pheading"/>
      </w:pPr>
      <w:r>
        <w:t>MESURAGE</w:t>
      </w:r>
    </w:p>
    <w:p w14:paraId="386D6A87" w14:textId="77777777" w:rsidR="00DB2B68" w:rsidRDefault="00000000">
      <w:pPr>
        <w:pStyle w:val="pheading"/>
      </w:pPr>
      <w:r>
        <w:t>- unité de mesure:</w:t>
      </w:r>
    </w:p>
    <w:p w14:paraId="589C936F" w14:textId="77777777" w:rsidR="00DB2B68" w:rsidRDefault="00DB2B68"/>
    <w:p w14:paraId="09D0F3BA" w14:textId="77777777" w:rsidR="00DB2B68" w:rsidRDefault="00000000">
      <w:r>
        <w:rPr>
          <w:b/>
        </w:rPr>
        <w:t>POUTRE</w:t>
      </w:r>
    </w:p>
    <w:p w14:paraId="3022D75A" w14:textId="77777777" w:rsidR="00DB2B68" w:rsidRDefault="00000000">
      <w:r>
        <w:rPr>
          <w:rStyle w:val="optioncarChar"/>
        </w:rPr>
        <w:t>kg </w:t>
      </w:r>
      <w:r>
        <w:t xml:space="preserve">(par défaut) </w:t>
      </w:r>
      <w:r>
        <w:rPr>
          <w:rStyle w:val="optioncarChar"/>
        </w:rPr>
        <w:t>/ m / pc.</w:t>
      </w:r>
    </w:p>
    <w:p w14:paraId="43AC54B0" w14:textId="77777777" w:rsidR="00DB2B68" w:rsidRDefault="00000000">
      <w:r>
        <w:rPr>
          <w:b/>
          <w:i/>
        </w:rPr>
        <w:t>(Soit par défaut)</w:t>
      </w:r>
    </w:p>
    <w:p w14:paraId="4539B83B" w14:textId="77777777" w:rsidR="00DB2B68" w:rsidRDefault="00000000">
      <w:r>
        <w:rPr>
          <w:rStyle w:val="soitChar"/>
        </w:rPr>
        <w:t> 1. kg.</w:t>
      </w:r>
    </w:p>
    <w:p w14:paraId="525D9689" w14:textId="77777777" w:rsidR="00DB2B68" w:rsidRDefault="00000000">
      <w:r>
        <w:rPr>
          <w:b/>
          <w:i/>
        </w:rPr>
        <w:t>(Soit)</w:t>
      </w:r>
    </w:p>
    <w:p w14:paraId="6B64DD35" w14:textId="77777777" w:rsidR="00DB2B68" w:rsidRDefault="00000000">
      <w:r>
        <w:rPr>
          <w:rStyle w:val="soitChar"/>
        </w:rPr>
        <w:lastRenderedPageBreak/>
        <w:t>  2 ou 3. m</w:t>
      </w:r>
    </w:p>
    <w:p w14:paraId="1787397C" w14:textId="77777777" w:rsidR="00DB2B68" w:rsidRDefault="00000000">
      <w:r>
        <w:rPr>
          <w:b/>
          <w:i/>
        </w:rPr>
        <w:t>(Soit)</w:t>
      </w:r>
    </w:p>
    <w:p w14:paraId="39B50E02" w14:textId="77777777" w:rsidR="00DB2B68" w:rsidRDefault="00000000">
      <w:r>
        <w:rPr>
          <w:rStyle w:val="soitChar"/>
        </w:rPr>
        <w:t>  4 ou 5. pc</w:t>
      </w:r>
    </w:p>
    <w:p w14:paraId="71E732E6" w14:textId="77777777" w:rsidR="00DB2B68" w:rsidRDefault="00000000">
      <w:r>
        <w:rPr>
          <w:rStyle w:val="soitChar"/>
        </w:rPr>
        <w:t> </w:t>
      </w:r>
    </w:p>
    <w:p w14:paraId="4D988908" w14:textId="77777777" w:rsidR="00DB2B68" w:rsidRDefault="00000000">
      <w:r>
        <w:rPr>
          <w:b/>
        </w:rPr>
        <w:t>FLOCAGE</w:t>
      </w:r>
    </w:p>
    <w:p w14:paraId="6FCDCBE6" w14:textId="77777777" w:rsidR="00DB2B68" w:rsidRDefault="00000000">
      <w:r>
        <w:t>Le traitement au feu par flocage est compté séparément et fait l’objet d’un (de) poste(s) supplémentaire(s) dans le présent article :</w:t>
      </w:r>
    </w:p>
    <w:p w14:paraId="45142825" w14:textId="77777777" w:rsidR="00DB2B68" w:rsidRDefault="00000000">
      <w:r>
        <w:rPr>
          <w:rStyle w:val="optioncarChar"/>
        </w:rPr>
        <w:t xml:space="preserve">m² </w:t>
      </w:r>
      <w:r>
        <w:t>(par défaut)</w:t>
      </w:r>
      <w:r>
        <w:rPr>
          <w:rStyle w:val="optioncarChar"/>
        </w:rPr>
        <w:t xml:space="preserve"> / m / pc.</w:t>
      </w:r>
    </w:p>
    <w:p w14:paraId="3154FB5E" w14:textId="77777777" w:rsidR="00DB2B68" w:rsidRDefault="00000000">
      <w:r>
        <w:rPr>
          <w:b/>
          <w:i/>
        </w:rPr>
        <w:t>(Soit par défaut)</w:t>
      </w:r>
    </w:p>
    <w:p w14:paraId="243C1C84" w14:textId="77777777" w:rsidR="00DB2B68" w:rsidRDefault="00000000">
      <w:r>
        <w:rPr>
          <w:rStyle w:val="soitChar"/>
        </w:rPr>
        <w:t> 1. m².</w:t>
      </w:r>
    </w:p>
    <w:p w14:paraId="311EC5DA" w14:textId="77777777" w:rsidR="00DB2B68" w:rsidRDefault="00000000">
      <w:r>
        <w:rPr>
          <w:b/>
          <w:i/>
        </w:rPr>
        <w:t>(Soit)</w:t>
      </w:r>
    </w:p>
    <w:p w14:paraId="04990421" w14:textId="77777777" w:rsidR="00DB2B68" w:rsidRDefault="00000000">
      <w:r>
        <w:rPr>
          <w:rStyle w:val="soitChar"/>
        </w:rPr>
        <w:t> 2. m</w:t>
      </w:r>
    </w:p>
    <w:p w14:paraId="7D4027D9" w14:textId="77777777" w:rsidR="00DB2B68" w:rsidRDefault="00000000">
      <w:r>
        <w:rPr>
          <w:b/>
          <w:i/>
        </w:rPr>
        <w:t>(Soit)</w:t>
      </w:r>
    </w:p>
    <w:p w14:paraId="2145A313" w14:textId="77777777" w:rsidR="00DB2B68" w:rsidRDefault="00000000">
      <w:r>
        <w:rPr>
          <w:rStyle w:val="soitChar"/>
        </w:rPr>
        <w:t> 3. pc</w:t>
      </w:r>
    </w:p>
    <w:p w14:paraId="078DD178" w14:textId="77777777" w:rsidR="00DB2B68" w:rsidRDefault="00DB2B68"/>
    <w:p w14:paraId="66A99998" w14:textId="77777777" w:rsidR="00DB2B68" w:rsidRDefault="00000000">
      <w:r>
        <w:rPr>
          <w:b/>
        </w:rPr>
        <w:t>COUPURE THERMIQUE</w:t>
      </w:r>
    </w:p>
    <w:p w14:paraId="1376547B" w14:textId="77777777" w:rsidR="00DB2B68" w:rsidRDefault="00000000">
      <w:r>
        <w:rPr>
          <w:rStyle w:val="optioncarChar"/>
        </w:rPr>
        <w:t>pièce</w:t>
      </w:r>
    </w:p>
    <w:p w14:paraId="3D93BA9D" w14:textId="77777777" w:rsidR="00DB2B68" w:rsidRDefault="00000000">
      <w:pPr>
        <w:pStyle w:val="pheading"/>
      </w:pPr>
      <w:r>
        <w:t>- code de mesurage:</w:t>
      </w:r>
    </w:p>
    <w:p w14:paraId="676B0142" w14:textId="77777777" w:rsidR="00DB2B68" w:rsidRDefault="00DB2B68"/>
    <w:p w14:paraId="0F1C3438" w14:textId="77777777" w:rsidR="00DB2B68" w:rsidRDefault="00000000">
      <w:r>
        <w:rPr>
          <w:b/>
        </w:rPr>
        <w:t>POUTRE</w:t>
      </w:r>
    </w:p>
    <w:p w14:paraId="480C09C2" w14:textId="77777777" w:rsidR="00DB2B68" w:rsidRDefault="00000000">
      <w:r>
        <w:t>Distinctions faites suivant les types de profilés, nuances et qualités d’acier.</w:t>
      </w:r>
    </w:p>
    <w:p w14:paraId="10DF20E9"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5AFE3E6B" w14:textId="77777777" w:rsidR="00DB2B68" w:rsidRDefault="00000000">
      <w:r>
        <w:rPr>
          <w:b/>
          <w:i/>
        </w:rPr>
        <w:t>(Soit par défaut)</w:t>
      </w:r>
    </w:p>
    <w:p w14:paraId="66AD7C6A"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288ADDC7" w14:textId="77777777" w:rsidR="00DB2B68" w:rsidRDefault="00000000">
      <w:r>
        <w:rPr>
          <w:b/>
          <w:i/>
        </w:rPr>
        <w:t>(Soit)</w:t>
      </w:r>
    </w:p>
    <w:p w14:paraId="726AEB04"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0AC6DC7C" w14:textId="77777777" w:rsidR="00DB2B68" w:rsidRDefault="00000000">
      <w:r>
        <w:rPr>
          <w:b/>
          <w:i/>
        </w:rPr>
        <w:t>(Soit)</w:t>
      </w:r>
    </w:p>
    <w:p w14:paraId="0A054768"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79129C4" w14:textId="77777777" w:rsidR="00DB2B68" w:rsidRDefault="00000000">
      <w:r>
        <w:rPr>
          <w:b/>
          <w:i/>
        </w:rPr>
        <w:t>(Soit)</w:t>
      </w:r>
    </w:p>
    <w:p w14:paraId="66FBF488"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AE0E550" w14:textId="77777777" w:rsidR="00DB2B68" w:rsidRDefault="00000000">
      <w:r>
        <w:rPr>
          <w:b/>
          <w:i/>
        </w:rPr>
        <w:t>(Soit)</w:t>
      </w:r>
    </w:p>
    <w:p w14:paraId="50CA1B15"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747DD98E" w14:textId="77777777" w:rsidR="00DB2B68" w:rsidRDefault="00DB2B68"/>
    <w:p w14:paraId="1B101021" w14:textId="77777777" w:rsidR="00DB2B68" w:rsidRDefault="00000000">
      <w:r>
        <w:rPr>
          <w:b/>
        </w:rPr>
        <w:t>FLOCAGE</w:t>
      </w:r>
    </w:p>
    <w:p w14:paraId="5247790F"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AFC21B2" w14:textId="77777777" w:rsidR="00DB2B68" w:rsidRDefault="00000000">
      <w:r>
        <w:rPr>
          <w:b/>
          <w:i/>
        </w:rPr>
        <w:t>(Soit par défaut)</w:t>
      </w:r>
    </w:p>
    <w:p w14:paraId="55A57D0F" w14:textId="77777777" w:rsidR="00DB2B68" w:rsidRDefault="00000000">
      <w:r>
        <w:rPr>
          <w:rStyle w:val="soitChar"/>
        </w:rPr>
        <w:lastRenderedPageBreak/>
        <w:t xml:space="preserve">1. </w:t>
      </w:r>
      <w:r>
        <w:rPr>
          <w:rStyle w:val="soitChar"/>
          <w:u w:val="single"/>
        </w:rPr>
        <w:t>Surface nette</w:t>
      </w:r>
      <w:r>
        <w:rPr>
          <w:rStyle w:val="soitChar"/>
        </w:rPr>
        <w:t xml:space="preserve"> : </w:t>
      </w:r>
      <w:r>
        <w:br/>
      </w:r>
      <w:r>
        <w:rPr>
          <w:rStyle w:val="soitChar"/>
        </w:rPr>
        <w:t>Surface nette à traiter.</w:t>
      </w:r>
    </w:p>
    <w:p w14:paraId="48BB88A8" w14:textId="77777777" w:rsidR="00DB2B68" w:rsidRDefault="00000000">
      <w:r>
        <w:rPr>
          <w:b/>
          <w:i/>
        </w:rPr>
        <w:t>(Soit)</w:t>
      </w:r>
    </w:p>
    <w:p w14:paraId="5D76778F"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24D5A3AF" w14:textId="77777777" w:rsidR="00DB2B68" w:rsidRDefault="00000000">
      <w:r>
        <w:rPr>
          <w:b/>
          <w:i/>
        </w:rPr>
        <w:t>(Soit)</w:t>
      </w:r>
    </w:p>
    <w:p w14:paraId="32F53848"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47CF57B" w14:textId="77777777" w:rsidR="00DB2B68" w:rsidRDefault="00DB2B68"/>
    <w:p w14:paraId="48E2228F" w14:textId="77777777" w:rsidR="00DB2B68" w:rsidRDefault="00000000">
      <w:pPr>
        <w:spacing w:after="0" w:line="256" w:lineRule="auto"/>
        <w:jc w:val="both"/>
      </w:pPr>
      <w:r>
        <w:rPr>
          <w:b/>
        </w:rPr>
        <w:t>COUPURE THERMIQUE</w:t>
      </w:r>
    </w:p>
    <w:p w14:paraId="2654AE9A" w14:textId="77777777" w:rsidR="00DB2B68" w:rsidRDefault="00000000">
      <w:r>
        <w:rPr>
          <w:rStyle w:val="optioncarChar"/>
        </w:rPr>
        <w:t>À la pièce, ventilée suivant les types d’éléments</w:t>
      </w:r>
    </w:p>
    <w:p w14:paraId="19BB1DF1" w14:textId="77777777" w:rsidR="00DB2B68" w:rsidRDefault="00000000">
      <w:pPr>
        <w:pStyle w:val="pheading"/>
      </w:pPr>
      <w:r>
        <w:t>- nature du marché:</w:t>
      </w:r>
    </w:p>
    <w:p w14:paraId="3A7871C8" w14:textId="77777777" w:rsidR="00DB2B68" w:rsidRDefault="00DB2B68"/>
    <w:p w14:paraId="39B1C738" w14:textId="77777777" w:rsidR="00DB2B68" w:rsidRDefault="00000000">
      <w:r>
        <w:rPr>
          <w:rStyle w:val="optioncarChar"/>
        </w:rPr>
        <w:t>QF</w:t>
      </w:r>
      <w:r>
        <w:t xml:space="preserve"> (par défaut) </w:t>
      </w:r>
      <w:r>
        <w:rPr>
          <w:rStyle w:val="optioncarChar"/>
        </w:rPr>
        <w:t>/ QP</w:t>
      </w:r>
    </w:p>
    <w:p w14:paraId="743486B5" w14:textId="77777777" w:rsidR="00DB2B68" w:rsidRDefault="00000000">
      <w:pPr>
        <w:pStyle w:val="soit"/>
      </w:pPr>
      <w:r>
        <w:rPr>
          <w:rStyle w:val="normalChar"/>
          <w:b/>
          <w:i/>
          <w:color w:val="000000"/>
        </w:rPr>
        <w:t xml:space="preserve">(Soit par défaut) </w:t>
      </w:r>
    </w:p>
    <w:p w14:paraId="1E20C604" w14:textId="77777777" w:rsidR="00DB2B68" w:rsidRDefault="00000000">
      <w:r>
        <w:rPr>
          <w:rStyle w:val="soitChar"/>
        </w:rPr>
        <w:t xml:space="preserve">1. QF </w:t>
      </w:r>
    </w:p>
    <w:p w14:paraId="6A594F75" w14:textId="77777777" w:rsidR="00DB2B68" w:rsidRDefault="00000000">
      <w:r>
        <w:rPr>
          <w:b/>
          <w:i/>
        </w:rPr>
        <w:t>(Soit)</w:t>
      </w:r>
    </w:p>
    <w:p w14:paraId="7F4A2AB2" w14:textId="77777777" w:rsidR="00DB2B68" w:rsidRDefault="00000000">
      <w:r>
        <w:rPr>
          <w:rStyle w:val="soitChar"/>
        </w:rPr>
        <w:t>2. QP</w:t>
      </w:r>
    </w:p>
    <w:p w14:paraId="5B54DDC8" w14:textId="77777777" w:rsidR="00DB2B68" w:rsidRDefault="00000000">
      <w:pPr>
        <w:pStyle w:val="pheading"/>
      </w:pPr>
      <w:r>
        <w:t>AIDE</w:t>
      </w:r>
    </w:p>
    <w:p w14:paraId="61CD29E1" w14:textId="77777777" w:rsidR="00DB2B68" w:rsidRDefault="00000000">
      <w:r>
        <w:t>Exemple pour métré :</w:t>
      </w:r>
    </w:p>
    <w:p w14:paraId="16CC8FFB" w14:textId="77777777" w:rsidR="00DB2B68" w:rsidRDefault="00000000">
      <w:r>
        <w:t>Tube carré 140x140x5             S235JRH         galvanisé à chaud</w:t>
      </w:r>
    </w:p>
    <w:p w14:paraId="40BC5199" w14:textId="77777777" w:rsidR="00DB2B68" w:rsidRDefault="00000000">
      <w:pPr>
        <w:pStyle w:val="Author-eSectionHeading5Numberless"/>
      </w:pPr>
      <w:bookmarkStart w:id="1143" w:name="_Toc220496163"/>
      <w:r>
        <w:t>23.11.3 Poutres en acier inoxydable laminées à chaud CCTB 01.04</w:t>
      </w:r>
      <w:bookmarkEnd w:id="1143"/>
    </w:p>
    <w:p w14:paraId="13932404" w14:textId="77777777" w:rsidR="00DB2B68" w:rsidRDefault="00000000">
      <w:pPr>
        <w:pStyle w:val="Author-eSectionHeading6Numberless"/>
      </w:pPr>
      <w:bookmarkStart w:id="1144" w:name="_Toc220496164"/>
      <w:r>
        <w:t>23.11.3a Poutres en profilés en acier inoxydable laminés à chaud CCTB 01.11</w:t>
      </w:r>
      <w:bookmarkEnd w:id="1144"/>
    </w:p>
    <w:p w14:paraId="0ED9613B" w14:textId="77777777" w:rsidR="00DB2B68" w:rsidRDefault="00000000">
      <w:pPr>
        <w:pStyle w:val="pheading"/>
      </w:pPr>
      <w:r>
        <w:t>DESCRIPTION</w:t>
      </w:r>
    </w:p>
    <w:p w14:paraId="4473DB9E" w14:textId="77777777" w:rsidR="00DB2B68" w:rsidRDefault="00000000">
      <w:pPr>
        <w:pStyle w:val="pheading"/>
      </w:pPr>
      <w:r>
        <w:t>- Définition / Comprend</w:t>
      </w:r>
    </w:p>
    <w:p w14:paraId="2BBD054E" w14:textId="77777777" w:rsidR="00DB2B68" w:rsidRDefault="00000000">
      <w:r>
        <w:t>Il s'agit de l’ensemble des poutres en profilés en acier inoxydable laminés à chaud conformes à la [NBN EN 10088 série]. </w:t>
      </w:r>
    </w:p>
    <w:p w14:paraId="0D815110" w14:textId="77777777" w:rsidR="00DB2B68" w:rsidRDefault="00000000">
      <w:pPr>
        <w:pStyle w:val="pheading"/>
      </w:pPr>
      <w:r>
        <w:t>- Localisation</w:t>
      </w:r>
    </w:p>
    <w:p w14:paraId="350F907B" w14:textId="77777777" w:rsidR="00DB2B68" w:rsidRDefault="00000000">
      <w:r>
        <w:t xml:space="preserve">Les travaux sont localisés : </w:t>
      </w:r>
      <w:r>
        <w:rPr>
          <w:rStyle w:val="optioncarChar"/>
        </w:rPr>
        <w:t>Voir plans et métrés détaillés </w:t>
      </w:r>
      <w:r>
        <w:t>(par défaut)</w:t>
      </w:r>
      <w:r>
        <w:rPr>
          <w:rStyle w:val="optioncarChar"/>
        </w:rPr>
        <w:t xml:space="preserve"> / ***</w:t>
      </w:r>
      <w:r>
        <w:t>.</w:t>
      </w:r>
    </w:p>
    <w:p w14:paraId="312684F8" w14:textId="77777777" w:rsidR="00DB2B68" w:rsidRDefault="00000000">
      <w:pPr>
        <w:pStyle w:val="pheading"/>
      </w:pPr>
      <w:r>
        <w:t>EXÉCUTION / MISE EN ŒUVRE</w:t>
      </w:r>
    </w:p>
    <w:p w14:paraId="2DC7E01B" w14:textId="77777777" w:rsidR="00DB2B68" w:rsidRDefault="00000000">
      <w:pPr>
        <w:pStyle w:val="pheading"/>
      </w:pPr>
      <w:r>
        <w:t>- Notes d’exécution complémentaires</w:t>
      </w:r>
    </w:p>
    <w:p w14:paraId="67ED469F" w14:textId="77777777" w:rsidR="00DB2B68" w:rsidRDefault="00000000">
      <w:r>
        <w:rPr>
          <w:rStyle w:val="facultChar"/>
        </w:rPr>
        <w:t xml:space="preserve"> Le présent article comprend également des coupures thermiques : Des dispositifs adéquats sont utilisés pour éviter tout pont thermique.</w:t>
      </w:r>
    </w:p>
    <w:p w14:paraId="14BB214C" w14:textId="77777777" w:rsidR="00DB2B68" w:rsidRDefault="00000000">
      <w:pPr>
        <w:pStyle w:val="pheading"/>
      </w:pPr>
      <w:r>
        <w:t>MESURAGE</w:t>
      </w:r>
    </w:p>
    <w:p w14:paraId="69F92AC9" w14:textId="77777777" w:rsidR="00DB2B68" w:rsidRDefault="00DB2B68"/>
    <w:p w14:paraId="16EB5A7B" w14:textId="77777777" w:rsidR="00DB2B68" w:rsidRDefault="00000000">
      <w:pPr>
        <w:pStyle w:val="pheading"/>
      </w:pPr>
      <w:r>
        <w:t>- unité de mesure:</w:t>
      </w:r>
    </w:p>
    <w:p w14:paraId="5DFAE504" w14:textId="77777777" w:rsidR="00DB2B68" w:rsidRDefault="00DB2B68"/>
    <w:p w14:paraId="7D30BD77" w14:textId="77777777" w:rsidR="00DB2B68" w:rsidRDefault="00000000">
      <w:r>
        <w:rPr>
          <w:b/>
        </w:rPr>
        <w:t>POUTRE</w:t>
      </w:r>
    </w:p>
    <w:p w14:paraId="51E17777" w14:textId="77777777" w:rsidR="00DB2B68" w:rsidRDefault="00000000">
      <w:r>
        <w:rPr>
          <w:rStyle w:val="optioncarChar"/>
        </w:rPr>
        <w:t>kg </w:t>
      </w:r>
      <w:r>
        <w:t xml:space="preserve">(par défaut) </w:t>
      </w:r>
      <w:r>
        <w:rPr>
          <w:rStyle w:val="optioncarChar"/>
        </w:rPr>
        <w:t>/ m / pc.</w:t>
      </w:r>
    </w:p>
    <w:p w14:paraId="51B0E62C" w14:textId="77777777" w:rsidR="00DB2B68" w:rsidRDefault="00000000">
      <w:r>
        <w:rPr>
          <w:b/>
          <w:i/>
        </w:rPr>
        <w:t>(Soit par défaut)</w:t>
      </w:r>
    </w:p>
    <w:p w14:paraId="0A7B0CF0" w14:textId="77777777" w:rsidR="00DB2B68" w:rsidRDefault="00000000">
      <w:r>
        <w:rPr>
          <w:rStyle w:val="soitChar"/>
        </w:rPr>
        <w:lastRenderedPageBreak/>
        <w:t> 1. kg.</w:t>
      </w:r>
    </w:p>
    <w:p w14:paraId="2DAC1CB2" w14:textId="77777777" w:rsidR="00DB2B68" w:rsidRDefault="00000000">
      <w:r>
        <w:rPr>
          <w:b/>
          <w:i/>
        </w:rPr>
        <w:t>(Soit)</w:t>
      </w:r>
    </w:p>
    <w:p w14:paraId="3ED59369" w14:textId="77777777" w:rsidR="00DB2B68" w:rsidRDefault="00000000">
      <w:r>
        <w:rPr>
          <w:rStyle w:val="soitChar"/>
        </w:rPr>
        <w:t>  2 ou 3. m</w:t>
      </w:r>
    </w:p>
    <w:p w14:paraId="2284E635" w14:textId="77777777" w:rsidR="00DB2B68" w:rsidRDefault="00000000">
      <w:r>
        <w:rPr>
          <w:b/>
          <w:i/>
        </w:rPr>
        <w:t>(Soit)</w:t>
      </w:r>
    </w:p>
    <w:p w14:paraId="5F804888" w14:textId="77777777" w:rsidR="00DB2B68" w:rsidRDefault="00000000">
      <w:r>
        <w:rPr>
          <w:rStyle w:val="soitChar"/>
        </w:rPr>
        <w:t>  4 ou 5. pc</w:t>
      </w:r>
    </w:p>
    <w:p w14:paraId="576B7BF8" w14:textId="77777777" w:rsidR="00DB2B68" w:rsidRDefault="00000000">
      <w:r>
        <w:rPr>
          <w:rStyle w:val="soitChar"/>
        </w:rPr>
        <w:t> </w:t>
      </w:r>
    </w:p>
    <w:p w14:paraId="517FCEE1" w14:textId="77777777" w:rsidR="00DB2B68" w:rsidRDefault="00000000">
      <w:r>
        <w:rPr>
          <w:b/>
        </w:rPr>
        <w:t>FLOCAGE</w:t>
      </w:r>
    </w:p>
    <w:p w14:paraId="2F307C42" w14:textId="77777777" w:rsidR="00DB2B68" w:rsidRDefault="00000000">
      <w:r>
        <w:t>Le traitement au feu par flocage est compté séparément et fait l’objet d’un (de) poste(s) supplémentaire(s) dans le présent article :</w:t>
      </w:r>
    </w:p>
    <w:p w14:paraId="721BC6BE" w14:textId="77777777" w:rsidR="00DB2B68" w:rsidRDefault="00000000">
      <w:r>
        <w:rPr>
          <w:rStyle w:val="optioncarChar"/>
        </w:rPr>
        <w:t xml:space="preserve">m² </w:t>
      </w:r>
      <w:r>
        <w:t>(par défaut)</w:t>
      </w:r>
      <w:r>
        <w:rPr>
          <w:rStyle w:val="optioncarChar"/>
        </w:rPr>
        <w:t xml:space="preserve"> / m / pc.</w:t>
      </w:r>
    </w:p>
    <w:p w14:paraId="2EA44DE7" w14:textId="77777777" w:rsidR="00DB2B68" w:rsidRDefault="00000000">
      <w:r>
        <w:rPr>
          <w:b/>
          <w:i/>
        </w:rPr>
        <w:t>(Soit par défaut)</w:t>
      </w:r>
    </w:p>
    <w:p w14:paraId="704D5987" w14:textId="77777777" w:rsidR="00DB2B68" w:rsidRDefault="00000000">
      <w:r>
        <w:rPr>
          <w:rStyle w:val="soitChar"/>
        </w:rPr>
        <w:t> 1. m².</w:t>
      </w:r>
    </w:p>
    <w:p w14:paraId="62707C3D" w14:textId="77777777" w:rsidR="00DB2B68" w:rsidRDefault="00000000">
      <w:r>
        <w:rPr>
          <w:b/>
          <w:i/>
        </w:rPr>
        <w:t>(Soit)</w:t>
      </w:r>
    </w:p>
    <w:p w14:paraId="105B1518" w14:textId="77777777" w:rsidR="00DB2B68" w:rsidRDefault="00000000">
      <w:r>
        <w:rPr>
          <w:rStyle w:val="soitChar"/>
        </w:rPr>
        <w:t> 2. m</w:t>
      </w:r>
    </w:p>
    <w:p w14:paraId="1144E089" w14:textId="77777777" w:rsidR="00DB2B68" w:rsidRDefault="00000000">
      <w:r>
        <w:rPr>
          <w:b/>
          <w:i/>
        </w:rPr>
        <w:t>(Soit)</w:t>
      </w:r>
    </w:p>
    <w:p w14:paraId="1A669EB2" w14:textId="77777777" w:rsidR="00DB2B68" w:rsidRDefault="00000000">
      <w:r>
        <w:rPr>
          <w:rStyle w:val="soitChar"/>
        </w:rPr>
        <w:t> 3. pc</w:t>
      </w:r>
    </w:p>
    <w:p w14:paraId="6DE2CB9B" w14:textId="77777777" w:rsidR="00DB2B68" w:rsidRDefault="00DB2B68"/>
    <w:p w14:paraId="30A9FB4F" w14:textId="77777777" w:rsidR="00DB2B68" w:rsidRDefault="00000000">
      <w:r>
        <w:rPr>
          <w:b/>
        </w:rPr>
        <w:t>COUPURE THERMIQUE</w:t>
      </w:r>
    </w:p>
    <w:p w14:paraId="041AE53D" w14:textId="77777777" w:rsidR="00DB2B68" w:rsidRDefault="00000000">
      <w:r>
        <w:rPr>
          <w:rStyle w:val="optioncarChar"/>
        </w:rPr>
        <w:t>pièce</w:t>
      </w:r>
    </w:p>
    <w:p w14:paraId="16D8F8FB" w14:textId="77777777" w:rsidR="00DB2B68" w:rsidRDefault="00000000">
      <w:pPr>
        <w:pStyle w:val="pheading"/>
      </w:pPr>
      <w:r>
        <w:t>- code de mesurage:</w:t>
      </w:r>
    </w:p>
    <w:p w14:paraId="1CD461EB" w14:textId="77777777" w:rsidR="00DB2B68" w:rsidRDefault="00DB2B68"/>
    <w:p w14:paraId="1ABD38B5" w14:textId="77777777" w:rsidR="00DB2B68" w:rsidRDefault="00000000">
      <w:r>
        <w:rPr>
          <w:b/>
        </w:rPr>
        <w:t>POUTRE</w:t>
      </w:r>
    </w:p>
    <w:p w14:paraId="68354467" w14:textId="77777777" w:rsidR="00DB2B68" w:rsidRDefault="00000000">
      <w:r>
        <w:t>Distinctions faites suivant les types de profilés, nuances et qualités d’acier.</w:t>
      </w:r>
    </w:p>
    <w:p w14:paraId="5E8E1CA7"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0CEE0877" w14:textId="77777777" w:rsidR="00DB2B68" w:rsidRDefault="00000000">
      <w:r>
        <w:rPr>
          <w:b/>
          <w:i/>
        </w:rPr>
        <w:t>(Soit par défaut)</w:t>
      </w:r>
    </w:p>
    <w:p w14:paraId="22C76FE2"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581C02D9" w14:textId="77777777" w:rsidR="00DB2B68" w:rsidRDefault="00000000">
      <w:r>
        <w:rPr>
          <w:b/>
          <w:i/>
        </w:rPr>
        <w:t>(Soit)</w:t>
      </w:r>
    </w:p>
    <w:p w14:paraId="45A61F31"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110764E8" w14:textId="77777777" w:rsidR="00DB2B68" w:rsidRDefault="00000000">
      <w:r>
        <w:rPr>
          <w:b/>
          <w:i/>
        </w:rPr>
        <w:t>(Soit)</w:t>
      </w:r>
    </w:p>
    <w:p w14:paraId="63B6E468"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7A655899" w14:textId="77777777" w:rsidR="00DB2B68" w:rsidRDefault="00000000">
      <w:r>
        <w:rPr>
          <w:b/>
          <w:i/>
        </w:rPr>
        <w:t>(Soit)</w:t>
      </w:r>
    </w:p>
    <w:p w14:paraId="1D04D83A"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5DE7D93F" w14:textId="77777777" w:rsidR="00DB2B68" w:rsidRDefault="00000000">
      <w:r>
        <w:rPr>
          <w:b/>
          <w:i/>
        </w:rPr>
        <w:t>(Soit)</w:t>
      </w:r>
    </w:p>
    <w:p w14:paraId="22863E39"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30DDF9C" w14:textId="77777777" w:rsidR="00DB2B68" w:rsidRDefault="00DB2B68"/>
    <w:p w14:paraId="1648216A" w14:textId="77777777" w:rsidR="00DB2B68" w:rsidRDefault="00000000">
      <w:r>
        <w:rPr>
          <w:b/>
        </w:rPr>
        <w:t>FLOCAGE</w:t>
      </w:r>
    </w:p>
    <w:p w14:paraId="6836ACC2" w14:textId="77777777" w:rsidR="00DB2B68" w:rsidRDefault="00000000">
      <w:r>
        <w:rPr>
          <w:rStyle w:val="optioncarChar"/>
        </w:rPr>
        <w:lastRenderedPageBreak/>
        <w:t xml:space="preserve">Surface nette </w:t>
      </w:r>
      <w:r>
        <w:rPr>
          <w:i/>
        </w:rPr>
        <w:t xml:space="preserve">(par défaut) </w:t>
      </w:r>
      <w:r>
        <w:t>/</w:t>
      </w:r>
      <w:r>
        <w:rPr>
          <w:rStyle w:val="optioncarChar"/>
        </w:rPr>
        <w:t xml:space="preserve"> Longueur nette / Pièce</w:t>
      </w:r>
      <w:r>
        <w:rPr>
          <w:i/>
        </w:rPr>
        <w:t xml:space="preserve">. </w:t>
      </w:r>
    </w:p>
    <w:p w14:paraId="148E72BC" w14:textId="77777777" w:rsidR="00DB2B68" w:rsidRDefault="00000000">
      <w:r>
        <w:rPr>
          <w:b/>
          <w:i/>
        </w:rPr>
        <w:t>(Soit par défaut)</w:t>
      </w:r>
    </w:p>
    <w:p w14:paraId="37D44B1F"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6652C046" w14:textId="77777777" w:rsidR="00DB2B68" w:rsidRDefault="00000000">
      <w:r>
        <w:rPr>
          <w:b/>
          <w:i/>
        </w:rPr>
        <w:t>(Soit)</w:t>
      </w:r>
    </w:p>
    <w:p w14:paraId="0FA7195F"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885001F" w14:textId="77777777" w:rsidR="00DB2B68" w:rsidRDefault="00000000">
      <w:r>
        <w:rPr>
          <w:b/>
          <w:i/>
        </w:rPr>
        <w:t>(Soit)</w:t>
      </w:r>
    </w:p>
    <w:p w14:paraId="416257FD"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74D65D9F" w14:textId="77777777" w:rsidR="00DB2B68" w:rsidRDefault="00DB2B68"/>
    <w:p w14:paraId="5ED29F5C" w14:textId="77777777" w:rsidR="00DB2B68" w:rsidRDefault="00000000">
      <w:pPr>
        <w:spacing w:after="0" w:line="256" w:lineRule="auto"/>
        <w:jc w:val="both"/>
      </w:pPr>
      <w:r>
        <w:rPr>
          <w:b/>
        </w:rPr>
        <w:t>COUPURE THERMIQUE</w:t>
      </w:r>
    </w:p>
    <w:p w14:paraId="51387D57" w14:textId="77777777" w:rsidR="00DB2B68" w:rsidRDefault="00000000">
      <w:r>
        <w:rPr>
          <w:rStyle w:val="optioncarChar"/>
        </w:rPr>
        <w:t>À la pièce, ventilée suivant les types d’éléments</w:t>
      </w:r>
    </w:p>
    <w:p w14:paraId="7F2D422D" w14:textId="77777777" w:rsidR="00DB2B68" w:rsidRDefault="00000000">
      <w:pPr>
        <w:pStyle w:val="pheading"/>
      </w:pPr>
      <w:r>
        <w:t>- nature du marché:</w:t>
      </w:r>
    </w:p>
    <w:p w14:paraId="0650B4CF" w14:textId="77777777" w:rsidR="00DB2B68" w:rsidRDefault="00DB2B68"/>
    <w:p w14:paraId="6135116F" w14:textId="77777777" w:rsidR="00DB2B68" w:rsidRDefault="00000000">
      <w:r>
        <w:rPr>
          <w:rStyle w:val="optioncarChar"/>
        </w:rPr>
        <w:t>QF</w:t>
      </w:r>
      <w:r>
        <w:t xml:space="preserve"> (par défaut) </w:t>
      </w:r>
      <w:r>
        <w:rPr>
          <w:rStyle w:val="optioncarChar"/>
        </w:rPr>
        <w:t>/ QP</w:t>
      </w:r>
    </w:p>
    <w:p w14:paraId="4BEABDEB" w14:textId="77777777" w:rsidR="00DB2B68" w:rsidRDefault="00000000">
      <w:pPr>
        <w:pStyle w:val="soit"/>
      </w:pPr>
      <w:r>
        <w:rPr>
          <w:rStyle w:val="normalChar"/>
          <w:b/>
          <w:i/>
          <w:color w:val="000000"/>
        </w:rPr>
        <w:t xml:space="preserve">(Soit par défaut) </w:t>
      </w:r>
    </w:p>
    <w:p w14:paraId="0784BE1C" w14:textId="77777777" w:rsidR="00DB2B68" w:rsidRDefault="00000000">
      <w:r>
        <w:rPr>
          <w:rStyle w:val="soitChar"/>
        </w:rPr>
        <w:t xml:space="preserve">1. QF </w:t>
      </w:r>
    </w:p>
    <w:p w14:paraId="0A7DF491" w14:textId="77777777" w:rsidR="00DB2B68" w:rsidRDefault="00000000">
      <w:r>
        <w:rPr>
          <w:b/>
          <w:i/>
        </w:rPr>
        <w:t>(Soit)</w:t>
      </w:r>
    </w:p>
    <w:p w14:paraId="1D1C2197" w14:textId="77777777" w:rsidR="00DB2B68" w:rsidRDefault="00000000">
      <w:r>
        <w:rPr>
          <w:rStyle w:val="soitChar"/>
        </w:rPr>
        <w:t>2. QP</w:t>
      </w:r>
    </w:p>
    <w:p w14:paraId="5B415933" w14:textId="77777777" w:rsidR="00DB2B68" w:rsidRDefault="00000000">
      <w:pPr>
        <w:pStyle w:val="Author-eSectionHeading6Numberless"/>
      </w:pPr>
      <w:bookmarkStart w:id="1145" w:name="_Toc220496165"/>
      <w:r>
        <w:t>23.11.3b Poutres reconstituées soudées en acier inoxydable CCTB 01.11</w:t>
      </w:r>
      <w:bookmarkEnd w:id="1145"/>
    </w:p>
    <w:p w14:paraId="7507CDF8" w14:textId="77777777" w:rsidR="00DB2B68" w:rsidRDefault="00000000">
      <w:pPr>
        <w:pStyle w:val="pheading"/>
      </w:pPr>
      <w:r>
        <w:t>DESCRIPTION</w:t>
      </w:r>
    </w:p>
    <w:p w14:paraId="47759822" w14:textId="77777777" w:rsidR="00DB2B68" w:rsidRDefault="00000000">
      <w:pPr>
        <w:pStyle w:val="pheading"/>
      </w:pPr>
      <w:r>
        <w:t>- Définition / Comprend</w:t>
      </w:r>
    </w:p>
    <w:p w14:paraId="055A1FB4" w14:textId="77777777" w:rsidR="00DB2B68" w:rsidRDefault="00000000">
      <w:pPr>
        <w:ind w:left="750"/>
      </w:pPr>
      <w:r>
        <w:rPr>
          <w:rFonts w:ascii="Calibri" w:hAnsi="Calibri" w:cs="Calibri"/>
          <w:sz w:val="22"/>
        </w:rPr>
        <w:t xml:space="preserve">Il s'agit de l’ensemble des poutres reconstituées soudées à partir d’éléments en acier inoxydable conformes à la </w:t>
      </w:r>
      <w:r>
        <w:t>[NBN EN 10088 série]. </w:t>
      </w:r>
      <w:r>
        <w:rPr>
          <w:rFonts w:ascii="Calibri" w:hAnsi="Calibri" w:cs="Calibri"/>
          <w:sz w:val="22"/>
        </w:rPr>
        <w:t xml:space="preserve">L’assemblage de ces éléments est conforme à la </w:t>
      </w:r>
      <w:r>
        <w:t>[NBN EN 1090-2]. </w:t>
      </w:r>
    </w:p>
    <w:p w14:paraId="6D7EFD93" w14:textId="77777777" w:rsidR="00DB2B68" w:rsidRDefault="00000000">
      <w:pPr>
        <w:pStyle w:val="pheading"/>
      </w:pPr>
      <w:r>
        <w:t>- Localisation</w:t>
      </w:r>
    </w:p>
    <w:p w14:paraId="3BD2F1A7" w14:textId="77777777" w:rsidR="00DB2B68" w:rsidRDefault="00DB2B68"/>
    <w:p w14:paraId="268D7A3F" w14:textId="77777777" w:rsidR="00DB2B68" w:rsidRDefault="00000000">
      <w:r>
        <w:t xml:space="preserve">Les travaux sont localisés : </w:t>
      </w:r>
      <w:r>
        <w:rPr>
          <w:rStyle w:val="optioncarChar"/>
        </w:rPr>
        <w:t>Voir plans et métrés détaillés </w:t>
      </w:r>
      <w:r>
        <w:t>(par défaut)</w:t>
      </w:r>
      <w:r>
        <w:rPr>
          <w:rStyle w:val="optioncarChar"/>
        </w:rPr>
        <w:t xml:space="preserve"> / ***. </w:t>
      </w:r>
    </w:p>
    <w:p w14:paraId="1C978FEA" w14:textId="77777777" w:rsidR="00DB2B68" w:rsidRDefault="00000000">
      <w:pPr>
        <w:pStyle w:val="pheading"/>
      </w:pPr>
      <w:r>
        <w:t>EXÉCUTION / MISE EN ŒUVRE</w:t>
      </w:r>
    </w:p>
    <w:p w14:paraId="7D78D35A" w14:textId="77777777" w:rsidR="00DB2B68" w:rsidRDefault="00000000">
      <w:pPr>
        <w:pStyle w:val="pheading"/>
      </w:pPr>
      <w:r>
        <w:t>- Notes d’exécution complémentaires</w:t>
      </w:r>
    </w:p>
    <w:p w14:paraId="1F51319D" w14:textId="77777777" w:rsidR="00DB2B68" w:rsidRDefault="00000000">
      <w:r>
        <w:rPr>
          <w:rStyle w:val="facultChar"/>
        </w:rPr>
        <w:t xml:space="preserve"> Le présent article comprend également des coupures thermiques : Des dispositifs adéquats sont utilisés pour éviter tout pont thermique.</w:t>
      </w:r>
    </w:p>
    <w:p w14:paraId="08E908B7" w14:textId="77777777" w:rsidR="00DB2B68" w:rsidRDefault="00000000">
      <w:pPr>
        <w:pStyle w:val="pheading"/>
      </w:pPr>
      <w:r>
        <w:t>MESURAGE</w:t>
      </w:r>
    </w:p>
    <w:p w14:paraId="6EFFFC31" w14:textId="77777777" w:rsidR="00DB2B68" w:rsidRDefault="00DB2B68"/>
    <w:p w14:paraId="6D7AC7FA" w14:textId="77777777" w:rsidR="00DB2B68" w:rsidRDefault="00000000">
      <w:pPr>
        <w:pStyle w:val="pheading"/>
      </w:pPr>
      <w:r>
        <w:t>- unité de mesure:</w:t>
      </w:r>
    </w:p>
    <w:p w14:paraId="1A56BC7B" w14:textId="77777777" w:rsidR="00DB2B68" w:rsidRDefault="00DB2B68"/>
    <w:p w14:paraId="0C897B80" w14:textId="77777777" w:rsidR="00DB2B68" w:rsidRDefault="00000000">
      <w:r>
        <w:rPr>
          <w:b/>
        </w:rPr>
        <w:t>POUTRE</w:t>
      </w:r>
    </w:p>
    <w:p w14:paraId="1153958D" w14:textId="77777777" w:rsidR="00DB2B68" w:rsidRDefault="00000000">
      <w:r>
        <w:rPr>
          <w:rStyle w:val="optioncarChar"/>
        </w:rPr>
        <w:t>kg </w:t>
      </w:r>
      <w:r>
        <w:t xml:space="preserve">(par défaut) </w:t>
      </w:r>
      <w:r>
        <w:rPr>
          <w:rStyle w:val="optioncarChar"/>
        </w:rPr>
        <w:t>/ m / pc.</w:t>
      </w:r>
    </w:p>
    <w:p w14:paraId="4E9CF09A" w14:textId="77777777" w:rsidR="00DB2B68" w:rsidRDefault="00000000">
      <w:r>
        <w:rPr>
          <w:b/>
          <w:i/>
        </w:rPr>
        <w:t>(Soit par défaut)</w:t>
      </w:r>
    </w:p>
    <w:p w14:paraId="75C72E7E" w14:textId="77777777" w:rsidR="00DB2B68" w:rsidRDefault="00000000">
      <w:r>
        <w:rPr>
          <w:rStyle w:val="soitChar"/>
        </w:rPr>
        <w:lastRenderedPageBreak/>
        <w:t> 1. kg.</w:t>
      </w:r>
    </w:p>
    <w:p w14:paraId="754F7CD9" w14:textId="77777777" w:rsidR="00DB2B68" w:rsidRDefault="00000000">
      <w:r>
        <w:rPr>
          <w:b/>
          <w:i/>
        </w:rPr>
        <w:t>(Soit)</w:t>
      </w:r>
    </w:p>
    <w:p w14:paraId="05759263" w14:textId="77777777" w:rsidR="00DB2B68" w:rsidRDefault="00000000">
      <w:r>
        <w:rPr>
          <w:rStyle w:val="soitChar"/>
        </w:rPr>
        <w:t>  2 ou 3. m</w:t>
      </w:r>
    </w:p>
    <w:p w14:paraId="0A7D95B1" w14:textId="77777777" w:rsidR="00DB2B68" w:rsidRDefault="00000000">
      <w:r>
        <w:rPr>
          <w:b/>
          <w:i/>
        </w:rPr>
        <w:t>(Soit)</w:t>
      </w:r>
    </w:p>
    <w:p w14:paraId="0EE463D9" w14:textId="77777777" w:rsidR="00DB2B68" w:rsidRDefault="00000000">
      <w:r>
        <w:rPr>
          <w:rStyle w:val="soitChar"/>
        </w:rPr>
        <w:t>  4 ou 5. pc</w:t>
      </w:r>
    </w:p>
    <w:p w14:paraId="6AD72650" w14:textId="77777777" w:rsidR="00DB2B68" w:rsidRDefault="00000000">
      <w:r>
        <w:rPr>
          <w:rStyle w:val="soitChar"/>
        </w:rPr>
        <w:t> </w:t>
      </w:r>
    </w:p>
    <w:p w14:paraId="5AE5CAE4" w14:textId="77777777" w:rsidR="00DB2B68" w:rsidRDefault="00000000">
      <w:r>
        <w:rPr>
          <w:b/>
        </w:rPr>
        <w:t>FLOCAGE</w:t>
      </w:r>
    </w:p>
    <w:p w14:paraId="3CA5622C" w14:textId="77777777" w:rsidR="00DB2B68" w:rsidRDefault="00000000">
      <w:r>
        <w:t>Le traitement au feu par flocage est compté séparément et fait l’objet d’un (de) poste(s) supplémentaire(s) dans le présent article :</w:t>
      </w:r>
    </w:p>
    <w:p w14:paraId="2FB4078E" w14:textId="77777777" w:rsidR="00DB2B68" w:rsidRDefault="00000000">
      <w:r>
        <w:rPr>
          <w:rStyle w:val="optioncarChar"/>
        </w:rPr>
        <w:t xml:space="preserve">m² </w:t>
      </w:r>
      <w:r>
        <w:t>(par défaut)</w:t>
      </w:r>
      <w:r>
        <w:rPr>
          <w:rStyle w:val="optioncarChar"/>
        </w:rPr>
        <w:t xml:space="preserve"> / m / pc.</w:t>
      </w:r>
    </w:p>
    <w:p w14:paraId="289296B3" w14:textId="77777777" w:rsidR="00DB2B68" w:rsidRDefault="00000000">
      <w:r>
        <w:rPr>
          <w:b/>
          <w:i/>
        </w:rPr>
        <w:t>(Soit par défaut)</w:t>
      </w:r>
    </w:p>
    <w:p w14:paraId="1AAC08C7" w14:textId="77777777" w:rsidR="00DB2B68" w:rsidRDefault="00000000">
      <w:r>
        <w:rPr>
          <w:rStyle w:val="soitChar"/>
        </w:rPr>
        <w:t> 1. m².</w:t>
      </w:r>
    </w:p>
    <w:p w14:paraId="54D9732A" w14:textId="77777777" w:rsidR="00DB2B68" w:rsidRDefault="00000000">
      <w:r>
        <w:rPr>
          <w:b/>
          <w:i/>
        </w:rPr>
        <w:t>(Soit)</w:t>
      </w:r>
    </w:p>
    <w:p w14:paraId="3523E6EE" w14:textId="77777777" w:rsidR="00DB2B68" w:rsidRDefault="00000000">
      <w:r>
        <w:rPr>
          <w:rStyle w:val="soitChar"/>
        </w:rPr>
        <w:t> 2. m</w:t>
      </w:r>
    </w:p>
    <w:p w14:paraId="3D5EF5AE" w14:textId="77777777" w:rsidR="00DB2B68" w:rsidRDefault="00000000">
      <w:r>
        <w:rPr>
          <w:b/>
          <w:i/>
        </w:rPr>
        <w:t>(Soit)</w:t>
      </w:r>
    </w:p>
    <w:p w14:paraId="7F03D70B" w14:textId="77777777" w:rsidR="00DB2B68" w:rsidRDefault="00000000">
      <w:r>
        <w:rPr>
          <w:rStyle w:val="soitChar"/>
        </w:rPr>
        <w:t> 3. pc</w:t>
      </w:r>
    </w:p>
    <w:p w14:paraId="515DC219" w14:textId="77777777" w:rsidR="00DB2B68" w:rsidRDefault="00DB2B68"/>
    <w:p w14:paraId="14EC11BA" w14:textId="77777777" w:rsidR="00DB2B68" w:rsidRDefault="00000000">
      <w:r>
        <w:rPr>
          <w:b/>
        </w:rPr>
        <w:t>COUPURE THERMIQUE</w:t>
      </w:r>
    </w:p>
    <w:p w14:paraId="3F70BB7A" w14:textId="77777777" w:rsidR="00DB2B68" w:rsidRDefault="00000000">
      <w:r>
        <w:rPr>
          <w:rStyle w:val="optioncarChar"/>
        </w:rPr>
        <w:t>pièce</w:t>
      </w:r>
    </w:p>
    <w:p w14:paraId="62D505EB" w14:textId="77777777" w:rsidR="00DB2B68" w:rsidRDefault="00000000">
      <w:pPr>
        <w:pStyle w:val="pheading"/>
      </w:pPr>
      <w:r>
        <w:t>- code de mesurage:</w:t>
      </w:r>
    </w:p>
    <w:p w14:paraId="2150F6F8" w14:textId="77777777" w:rsidR="00DB2B68" w:rsidRDefault="00DB2B68"/>
    <w:p w14:paraId="3A1F3F77" w14:textId="77777777" w:rsidR="00DB2B68" w:rsidRDefault="00000000">
      <w:r>
        <w:rPr>
          <w:b/>
        </w:rPr>
        <w:t>POUTRE</w:t>
      </w:r>
    </w:p>
    <w:p w14:paraId="5BD29AFC" w14:textId="77777777" w:rsidR="00DB2B68" w:rsidRDefault="00000000">
      <w:r>
        <w:t>Distinctions faites suivant les types de profilés, nuances et qualités d’acier.</w:t>
      </w:r>
    </w:p>
    <w:p w14:paraId="39909ED2"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7C29BFFE" w14:textId="77777777" w:rsidR="00DB2B68" w:rsidRDefault="00000000">
      <w:r>
        <w:rPr>
          <w:b/>
          <w:i/>
        </w:rPr>
        <w:t>(Soit par défaut)</w:t>
      </w:r>
    </w:p>
    <w:p w14:paraId="68B76E14"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6006EA60" w14:textId="77777777" w:rsidR="00DB2B68" w:rsidRDefault="00000000">
      <w:r>
        <w:rPr>
          <w:b/>
          <w:i/>
        </w:rPr>
        <w:t>(Soit)</w:t>
      </w:r>
    </w:p>
    <w:p w14:paraId="045A6169"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1A57A847" w14:textId="77777777" w:rsidR="00DB2B68" w:rsidRDefault="00000000">
      <w:r>
        <w:rPr>
          <w:b/>
          <w:i/>
        </w:rPr>
        <w:t>(Soit)</w:t>
      </w:r>
    </w:p>
    <w:p w14:paraId="2FDF68F0"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8C97B0F" w14:textId="77777777" w:rsidR="00DB2B68" w:rsidRDefault="00000000">
      <w:r>
        <w:rPr>
          <w:b/>
          <w:i/>
        </w:rPr>
        <w:t>(Soit)</w:t>
      </w:r>
    </w:p>
    <w:p w14:paraId="5482A6F2"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334B6A1B" w14:textId="77777777" w:rsidR="00DB2B68" w:rsidRDefault="00000000">
      <w:r>
        <w:rPr>
          <w:b/>
          <w:i/>
        </w:rPr>
        <w:t>(Soit)</w:t>
      </w:r>
    </w:p>
    <w:p w14:paraId="6F325FA1"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7A8B8AD0" w14:textId="77777777" w:rsidR="00DB2B68" w:rsidRDefault="00DB2B68"/>
    <w:p w14:paraId="565939FC" w14:textId="77777777" w:rsidR="00DB2B68" w:rsidRDefault="00000000">
      <w:r>
        <w:rPr>
          <w:b/>
        </w:rPr>
        <w:t>FLOCAGE</w:t>
      </w:r>
    </w:p>
    <w:p w14:paraId="38124C18" w14:textId="77777777" w:rsidR="00DB2B68" w:rsidRDefault="00000000">
      <w:r>
        <w:rPr>
          <w:rStyle w:val="optioncarChar"/>
        </w:rPr>
        <w:lastRenderedPageBreak/>
        <w:t xml:space="preserve">Surface nette </w:t>
      </w:r>
      <w:r>
        <w:rPr>
          <w:i/>
        </w:rPr>
        <w:t xml:space="preserve">(par défaut) </w:t>
      </w:r>
      <w:r>
        <w:t>/</w:t>
      </w:r>
      <w:r>
        <w:rPr>
          <w:rStyle w:val="optioncarChar"/>
        </w:rPr>
        <w:t xml:space="preserve"> Longueur nette / Pièce</w:t>
      </w:r>
      <w:r>
        <w:rPr>
          <w:i/>
        </w:rPr>
        <w:t xml:space="preserve">. </w:t>
      </w:r>
    </w:p>
    <w:p w14:paraId="30FDFC80" w14:textId="77777777" w:rsidR="00DB2B68" w:rsidRDefault="00000000">
      <w:r>
        <w:rPr>
          <w:b/>
          <w:i/>
        </w:rPr>
        <w:t>(Soit par défaut)</w:t>
      </w:r>
    </w:p>
    <w:p w14:paraId="1ACC94CB"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3574DE81" w14:textId="77777777" w:rsidR="00DB2B68" w:rsidRDefault="00000000">
      <w:r>
        <w:rPr>
          <w:b/>
          <w:i/>
        </w:rPr>
        <w:t>(Soit)</w:t>
      </w:r>
    </w:p>
    <w:p w14:paraId="5F88BB86"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B8EFA85" w14:textId="77777777" w:rsidR="00DB2B68" w:rsidRDefault="00000000">
      <w:r>
        <w:rPr>
          <w:b/>
          <w:i/>
        </w:rPr>
        <w:t>(Soit)</w:t>
      </w:r>
    </w:p>
    <w:p w14:paraId="572D76F0"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638BEFD" w14:textId="77777777" w:rsidR="00DB2B68" w:rsidRDefault="00DB2B68"/>
    <w:p w14:paraId="4A03B5AB" w14:textId="77777777" w:rsidR="00DB2B68" w:rsidRDefault="00000000">
      <w:pPr>
        <w:spacing w:after="0" w:line="256" w:lineRule="auto"/>
        <w:jc w:val="both"/>
      </w:pPr>
      <w:r>
        <w:rPr>
          <w:b/>
        </w:rPr>
        <w:t>COUPURE THERMIQUE</w:t>
      </w:r>
    </w:p>
    <w:p w14:paraId="0B5D3F16" w14:textId="77777777" w:rsidR="00DB2B68" w:rsidRDefault="00000000">
      <w:r>
        <w:rPr>
          <w:rStyle w:val="optioncarChar"/>
        </w:rPr>
        <w:t>À la pièce, ventilée suivant les types d’éléments</w:t>
      </w:r>
    </w:p>
    <w:p w14:paraId="1349D9EE" w14:textId="77777777" w:rsidR="00DB2B68" w:rsidRDefault="00000000">
      <w:pPr>
        <w:pStyle w:val="pheading"/>
      </w:pPr>
      <w:r>
        <w:t>- nature du marché:</w:t>
      </w:r>
    </w:p>
    <w:p w14:paraId="133A3603" w14:textId="77777777" w:rsidR="00DB2B68" w:rsidRDefault="00DB2B68"/>
    <w:p w14:paraId="3B36CD8F" w14:textId="77777777" w:rsidR="00DB2B68" w:rsidRDefault="00000000">
      <w:r>
        <w:rPr>
          <w:rStyle w:val="optioncarChar"/>
        </w:rPr>
        <w:t>QF</w:t>
      </w:r>
      <w:r>
        <w:t xml:space="preserve"> (par défaut) </w:t>
      </w:r>
      <w:r>
        <w:rPr>
          <w:rStyle w:val="optioncarChar"/>
        </w:rPr>
        <w:t>/ QP</w:t>
      </w:r>
    </w:p>
    <w:p w14:paraId="4078B0D4" w14:textId="77777777" w:rsidR="00DB2B68" w:rsidRDefault="00000000">
      <w:pPr>
        <w:pStyle w:val="soit"/>
      </w:pPr>
      <w:r>
        <w:rPr>
          <w:rStyle w:val="normalChar"/>
          <w:b/>
          <w:i/>
          <w:color w:val="000000"/>
        </w:rPr>
        <w:t xml:space="preserve">(Soit par défaut) </w:t>
      </w:r>
    </w:p>
    <w:p w14:paraId="71249299" w14:textId="77777777" w:rsidR="00DB2B68" w:rsidRDefault="00000000">
      <w:r>
        <w:rPr>
          <w:rStyle w:val="soitChar"/>
        </w:rPr>
        <w:t xml:space="preserve">1. QF </w:t>
      </w:r>
    </w:p>
    <w:p w14:paraId="2318F2C4" w14:textId="77777777" w:rsidR="00DB2B68" w:rsidRDefault="00000000">
      <w:r>
        <w:rPr>
          <w:b/>
          <w:i/>
        </w:rPr>
        <w:t>(Soit)</w:t>
      </w:r>
    </w:p>
    <w:p w14:paraId="0F26145C" w14:textId="77777777" w:rsidR="00DB2B68" w:rsidRDefault="00000000">
      <w:r>
        <w:rPr>
          <w:rStyle w:val="soitChar"/>
        </w:rPr>
        <w:t>2. QP</w:t>
      </w:r>
    </w:p>
    <w:p w14:paraId="42E7C804" w14:textId="77777777" w:rsidR="00DB2B68" w:rsidRDefault="00000000">
      <w:pPr>
        <w:pStyle w:val="Author-eSectionHeading6Numberless"/>
      </w:pPr>
      <w:bookmarkStart w:id="1146" w:name="_Toc220496166"/>
      <w:r>
        <w:t>23.11.3c Poutres en treillis en acier inoxydable CCTB 01.11</w:t>
      </w:r>
      <w:bookmarkEnd w:id="1146"/>
    </w:p>
    <w:p w14:paraId="50F11CF1" w14:textId="77777777" w:rsidR="00DB2B68" w:rsidRDefault="00000000">
      <w:pPr>
        <w:pStyle w:val="pheading"/>
      </w:pPr>
      <w:r>
        <w:t>DESCRIPTION</w:t>
      </w:r>
    </w:p>
    <w:p w14:paraId="4CF01B13" w14:textId="77777777" w:rsidR="00DB2B68" w:rsidRDefault="00000000">
      <w:pPr>
        <w:pStyle w:val="pheading"/>
      </w:pPr>
      <w:r>
        <w:t>- Définition / Comprend</w:t>
      </w:r>
    </w:p>
    <w:p w14:paraId="324B735B" w14:textId="77777777" w:rsidR="00DB2B68" w:rsidRDefault="00000000">
      <w:pPr>
        <w:ind w:left="750"/>
      </w:pPr>
      <w:r>
        <w:rPr>
          <w:rFonts w:ascii="Calibri" w:hAnsi="Calibri" w:cs="Calibri"/>
          <w:sz w:val="22"/>
        </w:rPr>
        <w:t xml:space="preserve">Il s'agit de l’ensemble des poutres en treillis constituées d’éléments en acier inoxydable conformes à la </w:t>
      </w:r>
      <w:r>
        <w:t>[NBN EN 10088 série]. </w:t>
      </w:r>
      <w:r>
        <w:rPr>
          <w:rStyle w:val="normalChar"/>
          <w:rFonts w:ascii="Calibri" w:hAnsi="Calibri" w:cs="Calibri"/>
          <w:sz w:val="22"/>
        </w:rPr>
        <w:t xml:space="preserve">Une poutre en treillis est formée d’éléments assemblés entre eux formant une triangulation. Cette poutre comprend deux membrures reliées par des éléments verticaux et/ou obliques (montants et/ou diagonales).  La réalisation de cette poutre est conforme à la </w:t>
      </w:r>
      <w:r>
        <w:t>[NBN EN 1090-2]. </w:t>
      </w:r>
    </w:p>
    <w:p w14:paraId="13954087" w14:textId="77777777" w:rsidR="00DB2B68" w:rsidRDefault="00000000">
      <w:pPr>
        <w:pStyle w:val="pheading"/>
      </w:pPr>
      <w:r>
        <w:t>- Localisation</w:t>
      </w:r>
    </w:p>
    <w:p w14:paraId="5FD9460B" w14:textId="77777777" w:rsidR="00DB2B68" w:rsidRDefault="00000000">
      <w:r>
        <w:t xml:space="preserve">Les travaux sont localisés : </w:t>
      </w:r>
      <w:r>
        <w:rPr>
          <w:rStyle w:val="optioncarChar"/>
        </w:rPr>
        <w:t>Voir plans et métrés détaillés </w:t>
      </w:r>
      <w:r>
        <w:t>(par défaut)</w:t>
      </w:r>
      <w:r>
        <w:rPr>
          <w:rStyle w:val="optioncarChar"/>
        </w:rPr>
        <w:t xml:space="preserve"> / ***</w:t>
      </w:r>
      <w:r>
        <w:t>. </w:t>
      </w:r>
    </w:p>
    <w:p w14:paraId="2D610D62" w14:textId="77777777" w:rsidR="00DB2B68" w:rsidRDefault="00000000">
      <w:pPr>
        <w:pStyle w:val="pheading"/>
      </w:pPr>
      <w:r>
        <w:t>EXÉCUTION / MISE EN ŒUVRE</w:t>
      </w:r>
    </w:p>
    <w:p w14:paraId="7F4B25F7" w14:textId="77777777" w:rsidR="00DB2B68" w:rsidRDefault="00000000">
      <w:pPr>
        <w:pStyle w:val="pheading"/>
      </w:pPr>
      <w:r>
        <w:t>- Notes d’exécution complémentaires</w:t>
      </w:r>
    </w:p>
    <w:p w14:paraId="00FC6BDF" w14:textId="77777777" w:rsidR="00DB2B68" w:rsidRDefault="00000000">
      <w:r>
        <w:rPr>
          <w:rStyle w:val="facultChar"/>
        </w:rPr>
        <w:t xml:space="preserve"> Le présent article comprend également des coupures thermiques : Des dispositifs adéquats sont utilisés pour éviter tout pont thermique. </w:t>
      </w:r>
    </w:p>
    <w:p w14:paraId="6EC2F64B" w14:textId="77777777" w:rsidR="00DB2B68" w:rsidRDefault="00000000">
      <w:pPr>
        <w:pStyle w:val="pheading"/>
      </w:pPr>
      <w:r>
        <w:t>MESURAGE</w:t>
      </w:r>
    </w:p>
    <w:p w14:paraId="486F8280" w14:textId="77777777" w:rsidR="00DB2B68" w:rsidRDefault="00000000">
      <w:pPr>
        <w:pStyle w:val="pheading"/>
      </w:pPr>
      <w:r>
        <w:t>- unité de mesure:</w:t>
      </w:r>
    </w:p>
    <w:p w14:paraId="78EE330D" w14:textId="77777777" w:rsidR="00DB2B68" w:rsidRDefault="00DB2B68"/>
    <w:p w14:paraId="65296FA8" w14:textId="77777777" w:rsidR="00DB2B68" w:rsidRDefault="00000000">
      <w:r>
        <w:rPr>
          <w:b/>
        </w:rPr>
        <w:t>POUTRE</w:t>
      </w:r>
    </w:p>
    <w:p w14:paraId="01AD7CA4" w14:textId="77777777" w:rsidR="00DB2B68" w:rsidRDefault="00000000">
      <w:r>
        <w:rPr>
          <w:rStyle w:val="optioncarChar"/>
        </w:rPr>
        <w:t>kg </w:t>
      </w:r>
      <w:r>
        <w:t xml:space="preserve">(par défaut) </w:t>
      </w:r>
      <w:r>
        <w:rPr>
          <w:rStyle w:val="optioncarChar"/>
        </w:rPr>
        <w:t>/ m / pc.</w:t>
      </w:r>
    </w:p>
    <w:p w14:paraId="779355AC" w14:textId="77777777" w:rsidR="00DB2B68" w:rsidRDefault="00000000">
      <w:r>
        <w:rPr>
          <w:b/>
          <w:i/>
        </w:rPr>
        <w:t>(Soit par défaut)</w:t>
      </w:r>
    </w:p>
    <w:p w14:paraId="6A4AAD3B" w14:textId="77777777" w:rsidR="00DB2B68" w:rsidRDefault="00000000">
      <w:r>
        <w:rPr>
          <w:rStyle w:val="soitChar"/>
        </w:rPr>
        <w:lastRenderedPageBreak/>
        <w:t> 1. kg.</w:t>
      </w:r>
    </w:p>
    <w:p w14:paraId="4DE4AA0B" w14:textId="77777777" w:rsidR="00DB2B68" w:rsidRDefault="00000000">
      <w:r>
        <w:rPr>
          <w:b/>
          <w:i/>
        </w:rPr>
        <w:t>(Soit)</w:t>
      </w:r>
    </w:p>
    <w:p w14:paraId="585C3A44" w14:textId="77777777" w:rsidR="00DB2B68" w:rsidRDefault="00000000">
      <w:r>
        <w:rPr>
          <w:rStyle w:val="soitChar"/>
        </w:rPr>
        <w:t>  2 ou 3. m</w:t>
      </w:r>
    </w:p>
    <w:p w14:paraId="65342D79" w14:textId="77777777" w:rsidR="00DB2B68" w:rsidRDefault="00000000">
      <w:r>
        <w:rPr>
          <w:b/>
          <w:i/>
        </w:rPr>
        <w:t>(Soit)</w:t>
      </w:r>
    </w:p>
    <w:p w14:paraId="1DC174F1" w14:textId="77777777" w:rsidR="00DB2B68" w:rsidRDefault="00000000">
      <w:r>
        <w:rPr>
          <w:rStyle w:val="soitChar"/>
        </w:rPr>
        <w:t>  4 ou 5. pc</w:t>
      </w:r>
    </w:p>
    <w:p w14:paraId="21B0104D" w14:textId="77777777" w:rsidR="00DB2B68" w:rsidRDefault="00000000">
      <w:r>
        <w:rPr>
          <w:rStyle w:val="soitChar"/>
        </w:rPr>
        <w:t> </w:t>
      </w:r>
    </w:p>
    <w:p w14:paraId="7A6E3023" w14:textId="77777777" w:rsidR="00DB2B68" w:rsidRDefault="00000000">
      <w:r>
        <w:rPr>
          <w:b/>
        </w:rPr>
        <w:t>FLOCAGE</w:t>
      </w:r>
    </w:p>
    <w:p w14:paraId="7039AA92" w14:textId="77777777" w:rsidR="00DB2B68" w:rsidRDefault="00000000">
      <w:r>
        <w:t>Le traitement au feu par flocage est compté séparément et fait l’objet d’un (de) poste(s) supplémentaire(s) dans le présent article :</w:t>
      </w:r>
    </w:p>
    <w:p w14:paraId="6F51869E" w14:textId="77777777" w:rsidR="00DB2B68" w:rsidRDefault="00000000">
      <w:r>
        <w:rPr>
          <w:rStyle w:val="optioncarChar"/>
        </w:rPr>
        <w:t xml:space="preserve">m² </w:t>
      </w:r>
      <w:r>
        <w:t>(par défaut)</w:t>
      </w:r>
      <w:r>
        <w:rPr>
          <w:rStyle w:val="optioncarChar"/>
        </w:rPr>
        <w:t xml:space="preserve"> / m / pc.</w:t>
      </w:r>
    </w:p>
    <w:p w14:paraId="25A644AD" w14:textId="77777777" w:rsidR="00DB2B68" w:rsidRDefault="00000000">
      <w:r>
        <w:rPr>
          <w:b/>
          <w:i/>
        </w:rPr>
        <w:t>(Soit par défaut)</w:t>
      </w:r>
    </w:p>
    <w:p w14:paraId="76A55C43" w14:textId="77777777" w:rsidR="00DB2B68" w:rsidRDefault="00000000">
      <w:r>
        <w:rPr>
          <w:rStyle w:val="soitChar"/>
        </w:rPr>
        <w:t> 1. m².</w:t>
      </w:r>
    </w:p>
    <w:p w14:paraId="40D1781E" w14:textId="77777777" w:rsidR="00DB2B68" w:rsidRDefault="00000000">
      <w:r>
        <w:rPr>
          <w:b/>
          <w:i/>
        </w:rPr>
        <w:t>(Soit)</w:t>
      </w:r>
    </w:p>
    <w:p w14:paraId="3EF9E174" w14:textId="77777777" w:rsidR="00DB2B68" w:rsidRDefault="00000000">
      <w:r>
        <w:rPr>
          <w:rStyle w:val="soitChar"/>
        </w:rPr>
        <w:t> 2. m</w:t>
      </w:r>
    </w:p>
    <w:p w14:paraId="134AEEB8" w14:textId="77777777" w:rsidR="00DB2B68" w:rsidRDefault="00000000">
      <w:r>
        <w:rPr>
          <w:b/>
          <w:i/>
        </w:rPr>
        <w:t>(Soit)</w:t>
      </w:r>
    </w:p>
    <w:p w14:paraId="3CB4B893" w14:textId="77777777" w:rsidR="00DB2B68" w:rsidRDefault="00000000">
      <w:r>
        <w:rPr>
          <w:rStyle w:val="soitChar"/>
        </w:rPr>
        <w:t> 3. pc</w:t>
      </w:r>
    </w:p>
    <w:p w14:paraId="7C19ADED" w14:textId="77777777" w:rsidR="00DB2B68" w:rsidRDefault="00DB2B68"/>
    <w:p w14:paraId="003244BA" w14:textId="77777777" w:rsidR="00DB2B68" w:rsidRDefault="00000000">
      <w:r>
        <w:rPr>
          <w:b/>
        </w:rPr>
        <w:t>COUPURE THERMIQUE</w:t>
      </w:r>
    </w:p>
    <w:p w14:paraId="23834F24" w14:textId="77777777" w:rsidR="00DB2B68" w:rsidRDefault="00000000">
      <w:r>
        <w:rPr>
          <w:rStyle w:val="optioncarChar"/>
        </w:rPr>
        <w:t>pièce</w:t>
      </w:r>
    </w:p>
    <w:p w14:paraId="7F7FDB10" w14:textId="77777777" w:rsidR="00DB2B68" w:rsidRDefault="00000000">
      <w:pPr>
        <w:pStyle w:val="pheading"/>
      </w:pPr>
      <w:r>
        <w:t>- code de mesurage:</w:t>
      </w:r>
    </w:p>
    <w:p w14:paraId="6703EBDF" w14:textId="77777777" w:rsidR="00DB2B68" w:rsidRDefault="00DB2B68"/>
    <w:p w14:paraId="1C7CBBFB" w14:textId="77777777" w:rsidR="00DB2B68" w:rsidRDefault="00000000">
      <w:r>
        <w:rPr>
          <w:b/>
        </w:rPr>
        <w:t>POUTRE</w:t>
      </w:r>
    </w:p>
    <w:p w14:paraId="78444A39" w14:textId="77777777" w:rsidR="00DB2B68" w:rsidRDefault="00000000">
      <w:r>
        <w:t>Distinctions faites suivant les types de profilés, nuances et qualités d’acier.</w:t>
      </w:r>
    </w:p>
    <w:p w14:paraId="6EE055D4"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2F49A03A" w14:textId="77777777" w:rsidR="00DB2B68" w:rsidRDefault="00000000">
      <w:r>
        <w:rPr>
          <w:b/>
          <w:i/>
        </w:rPr>
        <w:t>(Soit par défaut)</w:t>
      </w:r>
    </w:p>
    <w:p w14:paraId="36948E70"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7C292F75" w14:textId="77777777" w:rsidR="00DB2B68" w:rsidRDefault="00000000">
      <w:r>
        <w:rPr>
          <w:b/>
          <w:i/>
        </w:rPr>
        <w:t>(Soit)</w:t>
      </w:r>
    </w:p>
    <w:p w14:paraId="530E945D"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715E8D2C" w14:textId="77777777" w:rsidR="00DB2B68" w:rsidRDefault="00000000">
      <w:r>
        <w:rPr>
          <w:b/>
          <w:i/>
        </w:rPr>
        <w:t>(Soit)</w:t>
      </w:r>
    </w:p>
    <w:p w14:paraId="535AC592"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5C5A6427" w14:textId="77777777" w:rsidR="00DB2B68" w:rsidRDefault="00000000">
      <w:r>
        <w:rPr>
          <w:b/>
          <w:i/>
        </w:rPr>
        <w:t>(Soit)</w:t>
      </w:r>
    </w:p>
    <w:p w14:paraId="12C11E83"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15BC421D" w14:textId="77777777" w:rsidR="00DB2B68" w:rsidRDefault="00000000">
      <w:r>
        <w:rPr>
          <w:b/>
          <w:i/>
        </w:rPr>
        <w:t>(Soit)</w:t>
      </w:r>
    </w:p>
    <w:p w14:paraId="724100B0"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2C45BF2" w14:textId="77777777" w:rsidR="00DB2B68" w:rsidRDefault="00DB2B68"/>
    <w:p w14:paraId="02081E12" w14:textId="77777777" w:rsidR="00DB2B68" w:rsidRDefault="00000000">
      <w:r>
        <w:rPr>
          <w:b/>
        </w:rPr>
        <w:t>FLOCAGE</w:t>
      </w:r>
    </w:p>
    <w:p w14:paraId="0C765323" w14:textId="77777777" w:rsidR="00DB2B68" w:rsidRDefault="00000000">
      <w:r>
        <w:rPr>
          <w:rStyle w:val="optioncarChar"/>
        </w:rPr>
        <w:lastRenderedPageBreak/>
        <w:t xml:space="preserve">Surface nette </w:t>
      </w:r>
      <w:r>
        <w:rPr>
          <w:i/>
        </w:rPr>
        <w:t xml:space="preserve">(par défaut) </w:t>
      </w:r>
      <w:r>
        <w:t>/</w:t>
      </w:r>
      <w:r>
        <w:rPr>
          <w:rStyle w:val="optioncarChar"/>
        </w:rPr>
        <w:t xml:space="preserve"> Longueur nette / Pièce</w:t>
      </w:r>
      <w:r>
        <w:rPr>
          <w:i/>
        </w:rPr>
        <w:t xml:space="preserve">. </w:t>
      </w:r>
    </w:p>
    <w:p w14:paraId="32601AD8" w14:textId="77777777" w:rsidR="00DB2B68" w:rsidRDefault="00000000">
      <w:r>
        <w:rPr>
          <w:b/>
          <w:i/>
        </w:rPr>
        <w:t>(Soit par défaut)</w:t>
      </w:r>
    </w:p>
    <w:p w14:paraId="2BF2929F"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13EFB744" w14:textId="77777777" w:rsidR="00DB2B68" w:rsidRDefault="00000000">
      <w:r>
        <w:rPr>
          <w:b/>
          <w:i/>
        </w:rPr>
        <w:t>(Soit)</w:t>
      </w:r>
    </w:p>
    <w:p w14:paraId="6E567132"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5418A49" w14:textId="77777777" w:rsidR="00DB2B68" w:rsidRDefault="00000000">
      <w:r>
        <w:rPr>
          <w:b/>
          <w:i/>
        </w:rPr>
        <w:t>(Soit)</w:t>
      </w:r>
    </w:p>
    <w:p w14:paraId="3E62B8CF"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6C58B011" w14:textId="77777777" w:rsidR="00DB2B68" w:rsidRDefault="00DB2B68"/>
    <w:p w14:paraId="21677856" w14:textId="77777777" w:rsidR="00DB2B68" w:rsidRDefault="00000000">
      <w:pPr>
        <w:spacing w:after="0" w:line="256" w:lineRule="auto"/>
        <w:jc w:val="both"/>
      </w:pPr>
      <w:r>
        <w:rPr>
          <w:b/>
        </w:rPr>
        <w:t>COUPURE THERMIQUE</w:t>
      </w:r>
    </w:p>
    <w:p w14:paraId="19802DF9" w14:textId="77777777" w:rsidR="00DB2B68" w:rsidRDefault="00000000">
      <w:r>
        <w:rPr>
          <w:rStyle w:val="optioncarChar"/>
        </w:rPr>
        <w:t>À la pièce, ventilée suivant les types d’éléments</w:t>
      </w:r>
    </w:p>
    <w:p w14:paraId="65705BCF" w14:textId="77777777" w:rsidR="00DB2B68" w:rsidRDefault="00000000">
      <w:pPr>
        <w:pStyle w:val="pheading"/>
      </w:pPr>
      <w:r>
        <w:t>- nature du marché:</w:t>
      </w:r>
    </w:p>
    <w:p w14:paraId="227EF070" w14:textId="77777777" w:rsidR="00DB2B68" w:rsidRDefault="00DB2B68"/>
    <w:p w14:paraId="7ADAC32A" w14:textId="77777777" w:rsidR="00DB2B68" w:rsidRDefault="00000000">
      <w:r>
        <w:rPr>
          <w:rStyle w:val="optioncarChar"/>
        </w:rPr>
        <w:t>QF</w:t>
      </w:r>
      <w:r>
        <w:t xml:space="preserve"> (par défaut) </w:t>
      </w:r>
      <w:r>
        <w:rPr>
          <w:rStyle w:val="optioncarChar"/>
        </w:rPr>
        <w:t>/ QP</w:t>
      </w:r>
    </w:p>
    <w:p w14:paraId="357E113A" w14:textId="77777777" w:rsidR="00DB2B68" w:rsidRDefault="00000000">
      <w:pPr>
        <w:pStyle w:val="soit"/>
      </w:pPr>
      <w:r>
        <w:rPr>
          <w:rStyle w:val="normalChar"/>
          <w:b/>
          <w:i/>
          <w:color w:val="000000"/>
        </w:rPr>
        <w:t xml:space="preserve">(Soit par défaut) </w:t>
      </w:r>
    </w:p>
    <w:p w14:paraId="4067B85C" w14:textId="77777777" w:rsidR="00DB2B68" w:rsidRDefault="00000000">
      <w:r>
        <w:rPr>
          <w:rStyle w:val="soitChar"/>
        </w:rPr>
        <w:t xml:space="preserve">1. QF </w:t>
      </w:r>
    </w:p>
    <w:p w14:paraId="6618768A" w14:textId="77777777" w:rsidR="00DB2B68" w:rsidRDefault="00000000">
      <w:r>
        <w:rPr>
          <w:b/>
          <w:i/>
        </w:rPr>
        <w:t>(Soit)</w:t>
      </w:r>
    </w:p>
    <w:p w14:paraId="53887329" w14:textId="77777777" w:rsidR="00DB2B68" w:rsidRDefault="00000000">
      <w:r>
        <w:rPr>
          <w:rStyle w:val="soitChar"/>
        </w:rPr>
        <w:t>2. QP</w:t>
      </w:r>
    </w:p>
    <w:p w14:paraId="34B6BC5E" w14:textId="77777777" w:rsidR="00DB2B68" w:rsidRDefault="00000000">
      <w:pPr>
        <w:pStyle w:val="Author-eSectionHeading6Numberless"/>
      </w:pPr>
      <w:bookmarkStart w:id="1147" w:name="_Toc220496167"/>
      <w:r>
        <w:t>23.11.3d Poutres alvéolaires en acier inoxydable CCTB 01.11</w:t>
      </w:r>
      <w:bookmarkEnd w:id="1147"/>
    </w:p>
    <w:p w14:paraId="61653F22" w14:textId="77777777" w:rsidR="00DB2B68" w:rsidRDefault="00000000">
      <w:pPr>
        <w:pStyle w:val="pheading"/>
      </w:pPr>
      <w:r>
        <w:t>DESCRIPTION</w:t>
      </w:r>
    </w:p>
    <w:p w14:paraId="0433E527" w14:textId="77777777" w:rsidR="00DB2B68" w:rsidRDefault="00000000">
      <w:pPr>
        <w:pStyle w:val="pheading"/>
      </w:pPr>
      <w:r>
        <w:t>- Définition / Comprend</w:t>
      </w:r>
    </w:p>
    <w:p w14:paraId="55EACEED" w14:textId="77777777" w:rsidR="00DB2B68" w:rsidRDefault="00000000">
      <w:pPr>
        <w:ind w:left="750"/>
      </w:pPr>
      <w:r>
        <w:rPr>
          <w:rFonts w:ascii="Calibri" w:hAnsi="Calibri" w:cs="Calibri"/>
          <w:sz w:val="22"/>
        </w:rPr>
        <w:t xml:space="preserve">Il s'agit de l’ensemble des poutres alvéolaires reconstituées soudées à partir de poutrelles en acier inoxydable conformes à la </w:t>
      </w:r>
      <w:r>
        <w:t>[NBN EN 10088 série]. </w:t>
      </w:r>
      <w:r>
        <w:rPr>
          <w:rFonts w:ascii="Calibri" w:hAnsi="Calibri" w:cs="Calibri"/>
          <w:sz w:val="22"/>
        </w:rPr>
        <w:t xml:space="preserve">Le soudage de ces poutrelles découpées suivant une ligne spécifique est conforme à la </w:t>
      </w:r>
      <w:r>
        <w:t>[NBN EN 1090-2]. </w:t>
      </w:r>
    </w:p>
    <w:p w14:paraId="2C11380F" w14:textId="77777777" w:rsidR="00DB2B68" w:rsidRDefault="00000000">
      <w:pPr>
        <w:pStyle w:val="pheading"/>
      </w:pPr>
      <w:r>
        <w:t>- Localisation</w:t>
      </w:r>
    </w:p>
    <w:p w14:paraId="2BA068BF" w14:textId="77777777" w:rsidR="00DB2B68" w:rsidRDefault="00DB2B68"/>
    <w:p w14:paraId="43DF444C" w14:textId="77777777" w:rsidR="00DB2B68" w:rsidRDefault="00000000">
      <w:r>
        <w:t xml:space="preserve">Les travaux sont localisés : </w:t>
      </w:r>
      <w:r>
        <w:rPr>
          <w:rStyle w:val="optioncarChar"/>
        </w:rPr>
        <w:t>Voir plans et métrés détaillés </w:t>
      </w:r>
      <w:r>
        <w:t>(par défaut)</w:t>
      </w:r>
      <w:r>
        <w:rPr>
          <w:rStyle w:val="optioncarChar"/>
        </w:rPr>
        <w:t xml:space="preserve"> / ***</w:t>
      </w:r>
      <w:r>
        <w:t>. </w:t>
      </w:r>
    </w:p>
    <w:p w14:paraId="674BFA70" w14:textId="77777777" w:rsidR="00DB2B68" w:rsidRDefault="00000000">
      <w:pPr>
        <w:pStyle w:val="pheading"/>
      </w:pPr>
      <w:r>
        <w:t>EXÉCUTION / MISE EN ŒUVRE</w:t>
      </w:r>
    </w:p>
    <w:p w14:paraId="68D38AEE" w14:textId="77777777" w:rsidR="00DB2B68" w:rsidRDefault="00000000">
      <w:pPr>
        <w:pStyle w:val="pheading"/>
      </w:pPr>
      <w:r>
        <w:t>- Notes d’exécution complémentaires</w:t>
      </w:r>
    </w:p>
    <w:p w14:paraId="1685AA0D" w14:textId="77777777" w:rsidR="00DB2B68" w:rsidRDefault="00000000">
      <w:r>
        <w:rPr>
          <w:rStyle w:val="facultChar"/>
        </w:rPr>
        <w:t xml:space="preserve"> Le présent article comprend également des coupures thermiques : Des dispositifs adéquats sont utilisés pour éviter tout pont thermique.</w:t>
      </w:r>
    </w:p>
    <w:p w14:paraId="20D9632E" w14:textId="77777777" w:rsidR="00DB2B68" w:rsidRDefault="00000000">
      <w:pPr>
        <w:pStyle w:val="pheading"/>
      </w:pPr>
      <w:r>
        <w:t>MESURAGE</w:t>
      </w:r>
    </w:p>
    <w:p w14:paraId="4EBEA6DD" w14:textId="77777777" w:rsidR="00DB2B68" w:rsidRDefault="00000000">
      <w:pPr>
        <w:pStyle w:val="pheading"/>
      </w:pPr>
      <w:r>
        <w:t>- unité de mesure:</w:t>
      </w:r>
    </w:p>
    <w:p w14:paraId="03144D3F" w14:textId="77777777" w:rsidR="00DB2B68" w:rsidRDefault="00DB2B68"/>
    <w:p w14:paraId="3CE41F03" w14:textId="77777777" w:rsidR="00DB2B68" w:rsidRDefault="00000000">
      <w:r>
        <w:rPr>
          <w:b/>
        </w:rPr>
        <w:t>POUTRE</w:t>
      </w:r>
    </w:p>
    <w:p w14:paraId="1686879E" w14:textId="77777777" w:rsidR="00DB2B68" w:rsidRDefault="00000000">
      <w:r>
        <w:rPr>
          <w:rStyle w:val="optioncarChar"/>
        </w:rPr>
        <w:t>kg </w:t>
      </w:r>
      <w:r>
        <w:t xml:space="preserve">(par défaut) </w:t>
      </w:r>
      <w:r>
        <w:rPr>
          <w:rStyle w:val="optioncarChar"/>
        </w:rPr>
        <w:t>/ m / pc.</w:t>
      </w:r>
    </w:p>
    <w:p w14:paraId="420D747E" w14:textId="77777777" w:rsidR="00DB2B68" w:rsidRDefault="00000000">
      <w:r>
        <w:rPr>
          <w:b/>
          <w:i/>
        </w:rPr>
        <w:t>(Soit par défaut)</w:t>
      </w:r>
    </w:p>
    <w:p w14:paraId="193AD32D" w14:textId="77777777" w:rsidR="00DB2B68" w:rsidRDefault="00000000">
      <w:r>
        <w:rPr>
          <w:rStyle w:val="soitChar"/>
        </w:rPr>
        <w:t> 1. kg.</w:t>
      </w:r>
    </w:p>
    <w:p w14:paraId="00C4312E" w14:textId="77777777" w:rsidR="00DB2B68" w:rsidRDefault="00000000">
      <w:r>
        <w:rPr>
          <w:b/>
          <w:i/>
        </w:rPr>
        <w:lastRenderedPageBreak/>
        <w:t>(Soit)</w:t>
      </w:r>
    </w:p>
    <w:p w14:paraId="019F5E4C" w14:textId="77777777" w:rsidR="00DB2B68" w:rsidRDefault="00000000">
      <w:r>
        <w:rPr>
          <w:rStyle w:val="soitChar"/>
        </w:rPr>
        <w:t>  2 ou 3. m</w:t>
      </w:r>
    </w:p>
    <w:p w14:paraId="59F14002" w14:textId="77777777" w:rsidR="00DB2B68" w:rsidRDefault="00000000">
      <w:r>
        <w:rPr>
          <w:b/>
          <w:i/>
        </w:rPr>
        <w:t>(Soit)</w:t>
      </w:r>
    </w:p>
    <w:p w14:paraId="17316D1F" w14:textId="77777777" w:rsidR="00DB2B68" w:rsidRDefault="00000000">
      <w:r>
        <w:rPr>
          <w:rStyle w:val="soitChar"/>
        </w:rPr>
        <w:t>  4 ou 5. pc</w:t>
      </w:r>
    </w:p>
    <w:p w14:paraId="5E340811" w14:textId="77777777" w:rsidR="00DB2B68" w:rsidRDefault="00000000">
      <w:r>
        <w:rPr>
          <w:rStyle w:val="soitChar"/>
        </w:rPr>
        <w:t> </w:t>
      </w:r>
    </w:p>
    <w:p w14:paraId="0D264ACC" w14:textId="77777777" w:rsidR="00DB2B68" w:rsidRDefault="00000000">
      <w:r>
        <w:rPr>
          <w:b/>
        </w:rPr>
        <w:t>FLOCAGE</w:t>
      </w:r>
    </w:p>
    <w:p w14:paraId="111026B0" w14:textId="77777777" w:rsidR="00DB2B68" w:rsidRDefault="00000000">
      <w:r>
        <w:t>Le traitement au feu par flocage est compté séparément et fait l’objet d’un (de) poste(s) supplémentaire(s) dans le présent article :</w:t>
      </w:r>
    </w:p>
    <w:p w14:paraId="33A8F8B8" w14:textId="77777777" w:rsidR="00DB2B68" w:rsidRDefault="00000000">
      <w:r>
        <w:rPr>
          <w:rStyle w:val="optioncarChar"/>
        </w:rPr>
        <w:t xml:space="preserve">m² </w:t>
      </w:r>
      <w:r>
        <w:t>(par défaut)</w:t>
      </w:r>
      <w:r>
        <w:rPr>
          <w:rStyle w:val="optioncarChar"/>
        </w:rPr>
        <w:t xml:space="preserve"> / m / pc.</w:t>
      </w:r>
    </w:p>
    <w:p w14:paraId="745A68F5" w14:textId="77777777" w:rsidR="00DB2B68" w:rsidRDefault="00000000">
      <w:r>
        <w:rPr>
          <w:b/>
          <w:i/>
        </w:rPr>
        <w:t>(Soit par défaut)</w:t>
      </w:r>
    </w:p>
    <w:p w14:paraId="4B796F19" w14:textId="77777777" w:rsidR="00DB2B68" w:rsidRDefault="00000000">
      <w:r>
        <w:rPr>
          <w:rStyle w:val="soitChar"/>
        </w:rPr>
        <w:t> 1. m².</w:t>
      </w:r>
    </w:p>
    <w:p w14:paraId="0CA7E1BC" w14:textId="77777777" w:rsidR="00DB2B68" w:rsidRDefault="00000000">
      <w:r>
        <w:rPr>
          <w:b/>
          <w:i/>
        </w:rPr>
        <w:t>(Soit)</w:t>
      </w:r>
    </w:p>
    <w:p w14:paraId="1F8B9FFF" w14:textId="77777777" w:rsidR="00DB2B68" w:rsidRDefault="00000000">
      <w:r>
        <w:rPr>
          <w:rStyle w:val="soitChar"/>
        </w:rPr>
        <w:t> 2. m</w:t>
      </w:r>
    </w:p>
    <w:p w14:paraId="4A85C40A" w14:textId="77777777" w:rsidR="00DB2B68" w:rsidRDefault="00000000">
      <w:r>
        <w:rPr>
          <w:b/>
          <w:i/>
        </w:rPr>
        <w:t>(Soit)</w:t>
      </w:r>
    </w:p>
    <w:p w14:paraId="08BE9BA3" w14:textId="77777777" w:rsidR="00DB2B68" w:rsidRDefault="00000000">
      <w:r>
        <w:rPr>
          <w:rStyle w:val="soitChar"/>
        </w:rPr>
        <w:t> 3. pc</w:t>
      </w:r>
    </w:p>
    <w:p w14:paraId="13657430" w14:textId="77777777" w:rsidR="00DB2B68" w:rsidRDefault="00DB2B68"/>
    <w:p w14:paraId="36272337" w14:textId="77777777" w:rsidR="00DB2B68" w:rsidRDefault="00000000">
      <w:r>
        <w:rPr>
          <w:b/>
        </w:rPr>
        <w:t>COUPURE THERMIQUE</w:t>
      </w:r>
    </w:p>
    <w:p w14:paraId="167EBD4A" w14:textId="77777777" w:rsidR="00DB2B68" w:rsidRDefault="00000000">
      <w:r>
        <w:rPr>
          <w:rStyle w:val="optioncarChar"/>
        </w:rPr>
        <w:t>pièce</w:t>
      </w:r>
    </w:p>
    <w:p w14:paraId="17307E3A" w14:textId="77777777" w:rsidR="00DB2B68" w:rsidRDefault="00000000">
      <w:pPr>
        <w:pStyle w:val="pheading"/>
      </w:pPr>
      <w:r>
        <w:t>- code de mesurage:</w:t>
      </w:r>
    </w:p>
    <w:p w14:paraId="3A672F58" w14:textId="77777777" w:rsidR="00DB2B68" w:rsidRDefault="00DB2B68"/>
    <w:p w14:paraId="23900642" w14:textId="77777777" w:rsidR="00DB2B68" w:rsidRDefault="00000000">
      <w:r>
        <w:rPr>
          <w:b/>
        </w:rPr>
        <w:t>POUTRE</w:t>
      </w:r>
    </w:p>
    <w:p w14:paraId="674CC9CC" w14:textId="77777777" w:rsidR="00DB2B68" w:rsidRDefault="00000000">
      <w:r>
        <w:t>Distinctions faites suivant les types de profilés, nuances et qualités d’acier.</w:t>
      </w:r>
    </w:p>
    <w:p w14:paraId="07E67D51"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3062369D" w14:textId="77777777" w:rsidR="00DB2B68" w:rsidRDefault="00000000">
      <w:r>
        <w:rPr>
          <w:b/>
          <w:i/>
        </w:rPr>
        <w:t>(Soit par défaut)</w:t>
      </w:r>
    </w:p>
    <w:p w14:paraId="42D5E2A0"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2263F9CE" w14:textId="77777777" w:rsidR="00DB2B68" w:rsidRDefault="00000000">
      <w:r>
        <w:rPr>
          <w:b/>
          <w:i/>
        </w:rPr>
        <w:t>(Soit)</w:t>
      </w:r>
    </w:p>
    <w:p w14:paraId="707319F7"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0AB81989" w14:textId="77777777" w:rsidR="00DB2B68" w:rsidRDefault="00000000">
      <w:r>
        <w:rPr>
          <w:b/>
          <w:i/>
        </w:rPr>
        <w:t>(Soit)</w:t>
      </w:r>
    </w:p>
    <w:p w14:paraId="53B85989"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24FC285" w14:textId="77777777" w:rsidR="00DB2B68" w:rsidRDefault="00000000">
      <w:r>
        <w:rPr>
          <w:b/>
          <w:i/>
        </w:rPr>
        <w:t>(Soit)</w:t>
      </w:r>
    </w:p>
    <w:p w14:paraId="28E65BC8"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285BDDFA" w14:textId="77777777" w:rsidR="00DB2B68" w:rsidRDefault="00000000">
      <w:r>
        <w:rPr>
          <w:b/>
          <w:i/>
        </w:rPr>
        <w:t>(Soit)</w:t>
      </w:r>
    </w:p>
    <w:p w14:paraId="675F7CE3"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5546EBBA" w14:textId="77777777" w:rsidR="00DB2B68" w:rsidRDefault="00DB2B68"/>
    <w:p w14:paraId="1CCE218E" w14:textId="77777777" w:rsidR="00DB2B68" w:rsidRDefault="00000000">
      <w:r>
        <w:rPr>
          <w:b/>
        </w:rPr>
        <w:t>FLOCAGE</w:t>
      </w:r>
    </w:p>
    <w:p w14:paraId="2AE9F60A"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6C90B2F9" w14:textId="77777777" w:rsidR="00DB2B68" w:rsidRDefault="00000000">
      <w:r>
        <w:rPr>
          <w:b/>
          <w:i/>
        </w:rPr>
        <w:lastRenderedPageBreak/>
        <w:t>(Soit par défaut)</w:t>
      </w:r>
    </w:p>
    <w:p w14:paraId="062EF664"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52AF1E96" w14:textId="77777777" w:rsidR="00DB2B68" w:rsidRDefault="00000000">
      <w:r>
        <w:rPr>
          <w:b/>
          <w:i/>
        </w:rPr>
        <w:t>(Soit)</w:t>
      </w:r>
    </w:p>
    <w:p w14:paraId="23354C8A"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4EC62120" w14:textId="77777777" w:rsidR="00DB2B68" w:rsidRDefault="00000000">
      <w:r>
        <w:rPr>
          <w:b/>
          <w:i/>
        </w:rPr>
        <w:t>(Soit)</w:t>
      </w:r>
    </w:p>
    <w:p w14:paraId="21F19E0C"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4D48E888" w14:textId="77777777" w:rsidR="00DB2B68" w:rsidRDefault="00DB2B68"/>
    <w:p w14:paraId="010D8FC3" w14:textId="77777777" w:rsidR="00DB2B68" w:rsidRDefault="00000000">
      <w:pPr>
        <w:spacing w:after="0" w:line="256" w:lineRule="auto"/>
        <w:jc w:val="both"/>
      </w:pPr>
      <w:r>
        <w:rPr>
          <w:b/>
        </w:rPr>
        <w:t>COUPURE THERMIQUE</w:t>
      </w:r>
    </w:p>
    <w:p w14:paraId="0050E3F7" w14:textId="77777777" w:rsidR="00DB2B68" w:rsidRDefault="00000000">
      <w:r>
        <w:rPr>
          <w:rStyle w:val="optioncarChar"/>
        </w:rPr>
        <w:t>À la pièce, ventilée suivant les types d’éléments</w:t>
      </w:r>
    </w:p>
    <w:p w14:paraId="3A463015" w14:textId="77777777" w:rsidR="00DB2B68" w:rsidRDefault="00000000">
      <w:pPr>
        <w:pStyle w:val="pheading"/>
      </w:pPr>
      <w:r>
        <w:t>- nature du marché:</w:t>
      </w:r>
    </w:p>
    <w:p w14:paraId="31AF6131" w14:textId="77777777" w:rsidR="00DB2B68" w:rsidRDefault="00DB2B68"/>
    <w:p w14:paraId="303074C9" w14:textId="77777777" w:rsidR="00DB2B68" w:rsidRDefault="00000000">
      <w:r>
        <w:rPr>
          <w:rStyle w:val="optioncarChar"/>
        </w:rPr>
        <w:t>QF</w:t>
      </w:r>
      <w:r>
        <w:t xml:space="preserve"> (par défaut) </w:t>
      </w:r>
      <w:r>
        <w:rPr>
          <w:rStyle w:val="optioncarChar"/>
        </w:rPr>
        <w:t>/ QP</w:t>
      </w:r>
    </w:p>
    <w:p w14:paraId="4DFD10A5" w14:textId="77777777" w:rsidR="00DB2B68" w:rsidRDefault="00000000">
      <w:pPr>
        <w:pStyle w:val="soit"/>
      </w:pPr>
      <w:r>
        <w:rPr>
          <w:rStyle w:val="normalChar"/>
          <w:b/>
          <w:i/>
          <w:color w:val="000000"/>
        </w:rPr>
        <w:t xml:space="preserve">(Soit par défaut) </w:t>
      </w:r>
    </w:p>
    <w:p w14:paraId="00746AAE" w14:textId="77777777" w:rsidR="00DB2B68" w:rsidRDefault="00000000">
      <w:r>
        <w:rPr>
          <w:rStyle w:val="soitChar"/>
        </w:rPr>
        <w:t xml:space="preserve">1. QF </w:t>
      </w:r>
    </w:p>
    <w:p w14:paraId="0D2D356F" w14:textId="77777777" w:rsidR="00DB2B68" w:rsidRDefault="00000000">
      <w:r>
        <w:rPr>
          <w:b/>
          <w:i/>
        </w:rPr>
        <w:t>(Soit)</w:t>
      </w:r>
    </w:p>
    <w:p w14:paraId="1A679ADA" w14:textId="77777777" w:rsidR="00DB2B68" w:rsidRDefault="00000000">
      <w:r>
        <w:rPr>
          <w:rStyle w:val="soitChar"/>
        </w:rPr>
        <w:t>2. QP</w:t>
      </w:r>
    </w:p>
    <w:p w14:paraId="13AC4CAA" w14:textId="77777777" w:rsidR="00DB2B68" w:rsidRDefault="00000000">
      <w:pPr>
        <w:pStyle w:val="Author-eSectionHeading6Numberless"/>
      </w:pPr>
      <w:bookmarkStart w:id="1148" w:name="_Toc220496168"/>
      <w:r>
        <w:t>23.11.3e Poutres en éléments tubulaires en acier inoxydable CCTB 01.04</w:t>
      </w:r>
      <w:bookmarkEnd w:id="1148"/>
    </w:p>
    <w:p w14:paraId="5405DF13" w14:textId="77777777" w:rsidR="00DB2B68" w:rsidRDefault="00000000">
      <w:pPr>
        <w:pStyle w:val="Author-eSectionHeading5Numberless"/>
      </w:pPr>
      <w:bookmarkStart w:id="1149" w:name="_Toc220496169"/>
      <w:r>
        <w:t>23.11.4 Poutres en acier inoxydable formées à froid CCTB 01.04</w:t>
      </w:r>
      <w:bookmarkEnd w:id="1149"/>
    </w:p>
    <w:p w14:paraId="004BBEC6" w14:textId="77777777" w:rsidR="00DB2B68" w:rsidRDefault="00000000">
      <w:pPr>
        <w:pStyle w:val="Author-eSectionHeading6Numberless"/>
      </w:pPr>
      <w:bookmarkStart w:id="1150" w:name="_Toc220496170"/>
      <w:r>
        <w:t>23.11.4a Poutres en acier inoxydable formées à froid CCTB 01.04</w:t>
      </w:r>
      <w:bookmarkEnd w:id="1150"/>
    </w:p>
    <w:p w14:paraId="74E26C12" w14:textId="77777777" w:rsidR="00DB2B68" w:rsidRDefault="00000000">
      <w:pPr>
        <w:pStyle w:val="Author-eSectionHeading5Numberless"/>
      </w:pPr>
      <w:bookmarkStart w:id="1151" w:name="_Toc220496171"/>
      <w:r>
        <w:t>23.11.5 Poutres en aluminium CCTB 01.04</w:t>
      </w:r>
      <w:bookmarkEnd w:id="1151"/>
    </w:p>
    <w:p w14:paraId="2D58ECF2" w14:textId="77777777" w:rsidR="00DB2B68" w:rsidRDefault="00000000">
      <w:pPr>
        <w:pStyle w:val="Author-eSectionHeading6Numberless"/>
      </w:pPr>
      <w:bookmarkStart w:id="1152" w:name="_Toc220496172"/>
      <w:r>
        <w:t>23.11.5a Poutres en aluminium CCTB 01.04</w:t>
      </w:r>
      <w:bookmarkEnd w:id="1152"/>
    </w:p>
    <w:p w14:paraId="4786D243" w14:textId="77777777" w:rsidR="00DB2B68" w:rsidRDefault="00000000">
      <w:pPr>
        <w:pStyle w:val="Author-eSectionHeading6Numberless"/>
      </w:pPr>
      <w:bookmarkStart w:id="1153" w:name="_Toc220496173"/>
      <w:r>
        <w:t>23.11.5b Poutres en treillis en aluminium CCTB 01.04</w:t>
      </w:r>
      <w:bookmarkEnd w:id="1153"/>
    </w:p>
    <w:p w14:paraId="1A3D1FB8" w14:textId="77777777" w:rsidR="00DB2B68" w:rsidRDefault="00000000">
      <w:pPr>
        <w:pStyle w:val="Author-eSectionHeading4Numberless"/>
      </w:pPr>
      <w:bookmarkStart w:id="1154" w:name="_Toc220496174"/>
      <w:r>
        <w:t>23.12 Eléments de charpentes de toiture métalliques CCTB 01.04</w:t>
      </w:r>
      <w:bookmarkEnd w:id="1154"/>
    </w:p>
    <w:p w14:paraId="35F6A558" w14:textId="77777777" w:rsidR="00DB2B68" w:rsidRDefault="00000000">
      <w:pPr>
        <w:pStyle w:val="Author-eSectionHeading5Numberless"/>
      </w:pPr>
      <w:bookmarkStart w:id="1155" w:name="_Toc220496175"/>
      <w:r>
        <w:t>23.12.1 Eléments de charpente de toiture en acier laminés à chaud CCTB 01.04</w:t>
      </w:r>
      <w:bookmarkEnd w:id="1155"/>
    </w:p>
    <w:p w14:paraId="5231F018" w14:textId="77777777" w:rsidR="00DB2B68" w:rsidRDefault="00000000">
      <w:pPr>
        <w:pStyle w:val="Author-eSectionHeading6Numberless"/>
      </w:pPr>
      <w:bookmarkStart w:id="1156" w:name="_Toc220496176"/>
      <w:r>
        <w:t>23.12.1a Sablières en acier laminées à chaud CCTB 01.04</w:t>
      </w:r>
      <w:bookmarkEnd w:id="1156"/>
    </w:p>
    <w:p w14:paraId="60D49B5D" w14:textId="77777777" w:rsidR="00DB2B68" w:rsidRDefault="00000000">
      <w:pPr>
        <w:pStyle w:val="Author-eSectionHeading6Numberless"/>
      </w:pPr>
      <w:bookmarkStart w:id="1157" w:name="_Toc220496177"/>
      <w:r>
        <w:t>23.12.1b Pannes en acier laminées à chaud CCTB 01.04</w:t>
      </w:r>
      <w:bookmarkEnd w:id="1157"/>
    </w:p>
    <w:p w14:paraId="57592609" w14:textId="77777777" w:rsidR="00DB2B68" w:rsidRDefault="00000000">
      <w:pPr>
        <w:pStyle w:val="Author-eSectionHeading6Numberless"/>
      </w:pPr>
      <w:bookmarkStart w:id="1158" w:name="_Toc220496178"/>
      <w:r>
        <w:t>23.12.1c Chevrons autoporteurs en acier laminés à chaud CCTB 01.04</w:t>
      </w:r>
      <w:bookmarkEnd w:id="1158"/>
    </w:p>
    <w:p w14:paraId="12150CA7" w14:textId="77777777" w:rsidR="00DB2B68" w:rsidRDefault="00000000">
      <w:pPr>
        <w:pStyle w:val="Author-eSectionHeading6Numberless"/>
      </w:pPr>
      <w:bookmarkStart w:id="1159" w:name="_Toc220496179"/>
      <w:r>
        <w:t>23.12.1d Faîtières en acier laminées à chaud CCTB 01.04</w:t>
      </w:r>
      <w:bookmarkEnd w:id="1159"/>
    </w:p>
    <w:p w14:paraId="4C930CED" w14:textId="77777777" w:rsidR="00DB2B68" w:rsidRDefault="00000000">
      <w:pPr>
        <w:pStyle w:val="Author-eSectionHeading6Numberless"/>
      </w:pPr>
      <w:bookmarkStart w:id="1160" w:name="_Toc220496180"/>
      <w:r>
        <w:t>23.12.1e Arbalétriers en acier laminés à chaud CCTB 01.04</w:t>
      </w:r>
      <w:bookmarkEnd w:id="1160"/>
    </w:p>
    <w:p w14:paraId="4063CB05" w14:textId="77777777" w:rsidR="00DB2B68" w:rsidRDefault="00000000">
      <w:pPr>
        <w:pStyle w:val="Author-eSectionHeading6Numberless"/>
      </w:pPr>
      <w:bookmarkStart w:id="1161" w:name="_Toc220496181"/>
      <w:r>
        <w:t>23.12.1f Entraits en acier laminés à chaud CCTB 01.04</w:t>
      </w:r>
      <w:bookmarkEnd w:id="1161"/>
    </w:p>
    <w:p w14:paraId="4F70605F" w14:textId="77777777" w:rsidR="00DB2B68" w:rsidRDefault="00000000">
      <w:pPr>
        <w:pStyle w:val="Author-eSectionHeading6Numberless"/>
      </w:pPr>
      <w:bookmarkStart w:id="1162" w:name="_Toc220496182"/>
      <w:r>
        <w:t>23.12.1g Chevêtres en acier laminés à chaud CCTB 01.04</w:t>
      </w:r>
      <w:bookmarkEnd w:id="1162"/>
    </w:p>
    <w:p w14:paraId="252E0962" w14:textId="77777777" w:rsidR="00DB2B68" w:rsidRDefault="00000000">
      <w:pPr>
        <w:pStyle w:val="Author-eSectionHeading6Numberless"/>
      </w:pPr>
      <w:bookmarkStart w:id="1163" w:name="_Toc220496183"/>
      <w:r>
        <w:t>23.12.1h Chevrons en acier laminés à chaud CCTB 01.04</w:t>
      </w:r>
      <w:bookmarkEnd w:id="1163"/>
    </w:p>
    <w:p w14:paraId="722ACB84" w14:textId="77777777" w:rsidR="00DB2B68" w:rsidRDefault="00000000">
      <w:pPr>
        <w:pStyle w:val="pheading"/>
      </w:pPr>
      <w:r>
        <w:t>DESCRIPTION</w:t>
      </w:r>
    </w:p>
    <w:p w14:paraId="6ECE7BC4" w14:textId="77777777" w:rsidR="00DB2B68" w:rsidRDefault="00000000">
      <w:pPr>
        <w:pStyle w:val="pheading"/>
      </w:pPr>
      <w:r>
        <w:lastRenderedPageBreak/>
        <w:t>- Définition / Comprend</w:t>
      </w:r>
    </w:p>
    <w:p w14:paraId="026EEEF1" w14:textId="77777777" w:rsidR="00DB2B68" w:rsidRDefault="00000000">
      <w:r>
        <w:t>Renvoi au § 31.32 Eléments de support en bois</w:t>
      </w:r>
    </w:p>
    <w:p w14:paraId="74D133D8" w14:textId="77777777" w:rsidR="00DB2B68" w:rsidRDefault="00000000">
      <w:pPr>
        <w:pStyle w:val="Author-eSectionHeading6Numberless"/>
      </w:pPr>
      <w:bookmarkStart w:id="1164" w:name="_Toc220496184"/>
      <w:r>
        <w:t>23.12.1i Voliges et panneaux en acier laminés à chaud CCTB 01.04</w:t>
      </w:r>
      <w:bookmarkEnd w:id="1164"/>
    </w:p>
    <w:p w14:paraId="18BECA54" w14:textId="77777777" w:rsidR="00DB2B68" w:rsidRDefault="00000000">
      <w:pPr>
        <w:pStyle w:val="pheading"/>
      </w:pPr>
      <w:r>
        <w:t>DESCRIPTION</w:t>
      </w:r>
    </w:p>
    <w:p w14:paraId="6A64AF70" w14:textId="77777777" w:rsidR="00DB2B68" w:rsidRDefault="00000000">
      <w:pPr>
        <w:pStyle w:val="pheading"/>
      </w:pPr>
      <w:r>
        <w:t>- Définition / Comprend</w:t>
      </w:r>
    </w:p>
    <w:p w14:paraId="33AB3AFF" w14:textId="77777777" w:rsidR="00DB2B68" w:rsidRDefault="00000000">
      <w:r>
        <w:t>Renvoi au § 31.32 Eléments de support en bois</w:t>
      </w:r>
    </w:p>
    <w:p w14:paraId="4B032446" w14:textId="77777777" w:rsidR="00DB2B68" w:rsidRDefault="00000000">
      <w:pPr>
        <w:pStyle w:val="Author-eSectionHeading5Numberless"/>
      </w:pPr>
      <w:bookmarkStart w:id="1165" w:name="_Toc220496185"/>
      <w:r>
        <w:t>23.12.2 Eléments de charpente de toiture en acier formés à froid CCTB 01.04</w:t>
      </w:r>
      <w:bookmarkEnd w:id="1165"/>
    </w:p>
    <w:p w14:paraId="529370E3" w14:textId="77777777" w:rsidR="00DB2B68" w:rsidRDefault="00000000">
      <w:pPr>
        <w:pStyle w:val="Author-eSectionHeading6Numberless"/>
      </w:pPr>
      <w:bookmarkStart w:id="1166" w:name="_Toc220496186"/>
      <w:r>
        <w:t>23.12.2a Sablières en acier formées à froid CCTB 01.04</w:t>
      </w:r>
      <w:bookmarkEnd w:id="1166"/>
    </w:p>
    <w:p w14:paraId="7D5E9E09" w14:textId="77777777" w:rsidR="00DB2B68" w:rsidRDefault="00000000">
      <w:pPr>
        <w:pStyle w:val="Author-eSectionHeading6Numberless"/>
      </w:pPr>
      <w:bookmarkStart w:id="1167" w:name="_Toc220496187"/>
      <w:r>
        <w:t>23.12.2b Pannes en acier formées à froid CCTB 01.04</w:t>
      </w:r>
      <w:bookmarkEnd w:id="1167"/>
    </w:p>
    <w:p w14:paraId="31E1BCDA" w14:textId="77777777" w:rsidR="00DB2B68" w:rsidRDefault="00000000">
      <w:pPr>
        <w:pStyle w:val="Author-eSectionHeading6Numberless"/>
      </w:pPr>
      <w:bookmarkStart w:id="1168" w:name="_Toc220496188"/>
      <w:r>
        <w:t>23.12.2c Chevrons autoporteurs en acier formés à froid CCTB 01.04</w:t>
      </w:r>
      <w:bookmarkEnd w:id="1168"/>
    </w:p>
    <w:p w14:paraId="3C16BB28" w14:textId="77777777" w:rsidR="00DB2B68" w:rsidRDefault="00000000">
      <w:pPr>
        <w:pStyle w:val="Author-eSectionHeading6Numberless"/>
      </w:pPr>
      <w:bookmarkStart w:id="1169" w:name="_Toc220496189"/>
      <w:r>
        <w:t>23.12.2d Faîtières en acier formées à froid CCTB 01.04</w:t>
      </w:r>
      <w:bookmarkEnd w:id="1169"/>
    </w:p>
    <w:p w14:paraId="4F16BDB4" w14:textId="77777777" w:rsidR="00DB2B68" w:rsidRDefault="00000000">
      <w:pPr>
        <w:pStyle w:val="Author-eSectionHeading6Numberless"/>
      </w:pPr>
      <w:bookmarkStart w:id="1170" w:name="_Toc220496190"/>
      <w:r>
        <w:t>23.12.2e Arbalétriers en acier formés à froid CCTB 01.04</w:t>
      </w:r>
      <w:bookmarkEnd w:id="1170"/>
    </w:p>
    <w:p w14:paraId="367889DE" w14:textId="77777777" w:rsidR="00DB2B68" w:rsidRDefault="00000000">
      <w:pPr>
        <w:pStyle w:val="Author-eSectionHeading6Numberless"/>
      </w:pPr>
      <w:bookmarkStart w:id="1171" w:name="_Toc220496191"/>
      <w:r>
        <w:t>23.12.2f Entraits en acier formés à froid CCTB 01.04</w:t>
      </w:r>
      <w:bookmarkEnd w:id="1171"/>
    </w:p>
    <w:p w14:paraId="494DDD91" w14:textId="77777777" w:rsidR="00DB2B68" w:rsidRDefault="00000000">
      <w:pPr>
        <w:pStyle w:val="Author-eSectionHeading6Numberless"/>
      </w:pPr>
      <w:bookmarkStart w:id="1172" w:name="_Toc220496192"/>
      <w:r>
        <w:t>23.12.2g Chevêtres en acier formés à froid CCTB 01.04</w:t>
      </w:r>
      <w:bookmarkEnd w:id="1172"/>
    </w:p>
    <w:p w14:paraId="4B39EE4C" w14:textId="77777777" w:rsidR="00DB2B68" w:rsidRDefault="00000000">
      <w:pPr>
        <w:pStyle w:val="Author-eSectionHeading6Numberless"/>
      </w:pPr>
      <w:bookmarkStart w:id="1173" w:name="_Toc220496193"/>
      <w:r>
        <w:t>23.12.2h Chevrons en acier formés à froid CCTB 01.04</w:t>
      </w:r>
      <w:bookmarkEnd w:id="1173"/>
    </w:p>
    <w:p w14:paraId="0877C5A9" w14:textId="77777777" w:rsidR="00DB2B68" w:rsidRDefault="00000000">
      <w:pPr>
        <w:pStyle w:val="pheading"/>
      </w:pPr>
      <w:r>
        <w:t>DESCRIPTION</w:t>
      </w:r>
    </w:p>
    <w:p w14:paraId="75E69505" w14:textId="77777777" w:rsidR="00DB2B68" w:rsidRDefault="00000000">
      <w:pPr>
        <w:pStyle w:val="pheading"/>
      </w:pPr>
      <w:r>
        <w:t>- Définition / Comprend</w:t>
      </w:r>
    </w:p>
    <w:p w14:paraId="29EFDC9A" w14:textId="77777777" w:rsidR="00DB2B68" w:rsidRDefault="00000000">
      <w:r>
        <w:t>Renvoi au § 31.32 Eléments de support en bois</w:t>
      </w:r>
    </w:p>
    <w:p w14:paraId="71EEB61E" w14:textId="77777777" w:rsidR="00DB2B68" w:rsidRDefault="00000000">
      <w:pPr>
        <w:pStyle w:val="Author-eSectionHeading6Numberless"/>
      </w:pPr>
      <w:bookmarkStart w:id="1174" w:name="_Toc220496194"/>
      <w:r>
        <w:t>23.12.2i Voliges et panneaux en acier formés à froid CCTB 01.04</w:t>
      </w:r>
      <w:bookmarkEnd w:id="1174"/>
    </w:p>
    <w:p w14:paraId="6DCD833F" w14:textId="77777777" w:rsidR="00DB2B68" w:rsidRDefault="00000000">
      <w:pPr>
        <w:pStyle w:val="pheading"/>
      </w:pPr>
      <w:r>
        <w:t>DESCRIPTION</w:t>
      </w:r>
    </w:p>
    <w:p w14:paraId="00310CE3" w14:textId="77777777" w:rsidR="00DB2B68" w:rsidRDefault="00000000">
      <w:pPr>
        <w:pStyle w:val="pheading"/>
      </w:pPr>
      <w:r>
        <w:t>- Définition / Comprend</w:t>
      </w:r>
    </w:p>
    <w:p w14:paraId="74C823D3" w14:textId="77777777" w:rsidR="00DB2B68" w:rsidRDefault="00000000">
      <w:r>
        <w:t>Renvoi au § 31.32 Eléments de support en bois</w:t>
      </w:r>
    </w:p>
    <w:p w14:paraId="3D133ACF" w14:textId="77777777" w:rsidR="00DB2B68" w:rsidRDefault="00000000">
      <w:pPr>
        <w:pStyle w:val="Author-eSectionHeading5Numberless"/>
      </w:pPr>
      <w:bookmarkStart w:id="1175" w:name="_Toc220496195"/>
      <w:r>
        <w:t>23.12.3 Eléments de charpente de toiture en acier inoxydable laminés à chaud CCTB 01.04</w:t>
      </w:r>
      <w:bookmarkEnd w:id="1175"/>
    </w:p>
    <w:p w14:paraId="25C3E14E" w14:textId="77777777" w:rsidR="00DB2B68" w:rsidRDefault="00000000">
      <w:pPr>
        <w:pStyle w:val="Author-eSectionHeading6Numberless"/>
      </w:pPr>
      <w:bookmarkStart w:id="1176" w:name="_Toc220496196"/>
      <w:r>
        <w:t>23.12.3a Sablières en acier inoxydable laminées à chaud CCTB 01.04</w:t>
      </w:r>
      <w:bookmarkEnd w:id="1176"/>
    </w:p>
    <w:p w14:paraId="66A73976" w14:textId="77777777" w:rsidR="00DB2B68" w:rsidRDefault="00000000">
      <w:pPr>
        <w:pStyle w:val="Author-eSectionHeading6Numberless"/>
      </w:pPr>
      <w:bookmarkStart w:id="1177" w:name="_Toc220496197"/>
      <w:r>
        <w:t>23.12.3b Pannes en acier inoxydable laminées à chaud CCTB 01.04</w:t>
      </w:r>
      <w:bookmarkEnd w:id="1177"/>
    </w:p>
    <w:p w14:paraId="385452B0" w14:textId="77777777" w:rsidR="00DB2B68" w:rsidRDefault="00000000">
      <w:pPr>
        <w:pStyle w:val="Author-eSectionHeading6Numberless"/>
      </w:pPr>
      <w:bookmarkStart w:id="1178" w:name="_Toc220496198"/>
      <w:r>
        <w:t>23.12.3c Chevrons autoporteurs en acier inoxydable laminés à chaud CCTB 01.04</w:t>
      </w:r>
      <w:bookmarkEnd w:id="1178"/>
    </w:p>
    <w:p w14:paraId="15F4F638" w14:textId="77777777" w:rsidR="00DB2B68" w:rsidRDefault="00000000">
      <w:pPr>
        <w:pStyle w:val="Author-eSectionHeading6Numberless"/>
      </w:pPr>
      <w:bookmarkStart w:id="1179" w:name="_Toc220496199"/>
      <w:r>
        <w:t>23.12.3d Faîtières en acier inoxydable laminées à chaud CCTB 01.04</w:t>
      </w:r>
      <w:bookmarkEnd w:id="1179"/>
    </w:p>
    <w:p w14:paraId="7196725F" w14:textId="77777777" w:rsidR="00DB2B68" w:rsidRDefault="00000000">
      <w:pPr>
        <w:pStyle w:val="Author-eSectionHeading6Numberless"/>
      </w:pPr>
      <w:bookmarkStart w:id="1180" w:name="_Toc220496200"/>
      <w:r>
        <w:t>23.12.3e Arbalétriers en acier inoxydable laminés à chaud CCTB 01.04</w:t>
      </w:r>
      <w:bookmarkEnd w:id="1180"/>
    </w:p>
    <w:p w14:paraId="33AE90E9" w14:textId="77777777" w:rsidR="00DB2B68" w:rsidRDefault="00000000">
      <w:pPr>
        <w:pStyle w:val="Author-eSectionHeading6Numberless"/>
      </w:pPr>
      <w:bookmarkStart w:id="1181" w:name="_Toc220496201"/>
      <w:r>
        <w:t>23.12.3f Entraits en acier inoxydable laminés à chaud CCTB 01.04</w:t>
      </w:r>
      <w:bookmarkEnd w:id="1181"/>
    </w:p>
    <w:p w14:paraId="4AFA11C9" w14:textId="77777777" w:rsidR="00DB2B68" w:rsidRDefault="00000000">
      <w:pPr>
        <w:pStyle w:val="Author-eSectionHeading6Numberless"/>
      </w:pPr>
      <w:bookmarkStart w:id="1182" w:name="_Toc220496202"/>
      <w:r>
        <w:t>23.12.3g Chevêtres en acier inoxydable laminés à chaud CCTB 01.04</w:t>
      </w:r>
      <w:bookmarkEnd w:id="1182"/>
    </w:p>
    <w:p w14:paraId="76892F5F" w14:textId="77777777" w:rsidR="00DB2B68" w:rsidRDefault="00000000">
      <w:pPr>
        <w:pStyle w:val="Author-eSectionHeading6Numberless"/>
      </w:pPr>
      <w:bookmarkStart w:id="1183" w:name="_Toc220496203"/>
      <w:r>
        <w:t>23.12.3h Chevrons en acier inoxydable laminés à chaud CCTB 01.04</w:t>
      </w:r>
      <w:bookmarkEnd w:id="1183"/>
    </w:p>
    <w:p w14:paraId="07EB4A2C" w14:textId="77777777" w:rsidR="00DB2B68" w:rsidRDefault="00000000">
      <w:pPr>
        <w:pStyle w:val="pheading"/>
      </w:pPr>
      <w:r>
        <w:t>DESCRIPTION</w:t>
      </w:r>
    </w:p>
    <w:p w14:paraId="68893ACC" w14:textId="77777777" w:rsidR="00DB2B68" w:rsidRDefault="00000000">
      <w:pPr>
        <w:pStyle w:val="pheading"/>
      </w:pPr>
      <w:r>
        <w:t>- Définition / Comprend</w:t>
      </w:r>
    </w:p>
    <w:p w14:paraId="73A18284" w14:textId="77777777" w:rsidR="00DB2B68" w:rsidRDefault="00000000">
      <w:r>
        <w:lastRenderedPageBreak/>
        <w:t>Renvoi au § 31.32 Eléments de support en bois</w:t>
      </w:r>
    </w:p>
    <w:p w14:paraId="1618FD10" w14:textId="77777777" w:rsidR="00DB2B68" w:rsidRDefault="00000000">
      <w:pPr>
        <w:pStyle w:val="Author-eSectionHeading6Numberless"/>
      </w:pPr>
      <w:bookmarkStart w:id="1184" w:name="_Toc220496204"/>
      <w:r>
        <w:t>23.12.3i Voliges et panneaux en acier inoxydable laminés à chaud CCTB 01.04</w:t>
      </w:r>
      <w:bookmarkEnd w:id="1184"/>
    </w:p>
    <w:p w14:paraId="57B11312" w14:textId="77777777" w:rsidR="00DB2B68" w:rsidRDefault="00000000">
      <w:pPr>
        <w:pStyle w:val="pheading"/>
      </w:pPr>
      <w:r>
        <w:t>DESCRIPTION</w:t>
      </w:r>
    </w:p>
    <w:p w14:paraId="3F358596" w14:textId="77777777" w:rsidR="00DB2B68" w:rsidRDefault="00000000">
      <w:pPr>
        <w:pStyle w:val="pheading"/>
      </w:pPr>
      <w:r>
        <w:t>- Définition / Comprend</w:t>
      </w:r>
    </w:p>
    <w:p w14:paraId="0352A27D" w14:textId="77777777" w:rsidR="00DB2B68" w:rsidRDefault="00000000">
      <w:r>
        <w:t>Renvoi au § 31.32 Eléments de support en bois</w:t>
      </w:r>
    </w:p>
    <w:p w14:paraId="14304478" w14:textId="77777777" w:rsidR="00DB2B68" w:rsidRDefault="00000000">
      <w:pPr>
        <w:pStyle w:val="Author-eSectionHeading5Numberless"/>
      </w:pPr>
      <w:bookmarkStart w:id="1185" w:name="_Toc220496205"/>
      <w:r>
        <w:t>23.12.4 Eléments de charpente de toiture en acier inoxydable formés à froid CCTB 01.04</w:t>
      </w:r>
      <w:bookmarkEnd w:id="1185"/>
    </w:p>
    <w:p w14:paraId="1ABF65C6" w14:textId="77777777" w:rsidR="00DB2B68" w:rsidRDefault="00000000">
      <w:pPr>
        <w:pStyle w:val="Author-eSectionHeading6Numberless"/>
      </w:pPr>
      <w:bookmarkStart w:id="1186" w:name="_Toc220496206"/>
      <w:r>
        <w:t>23.12.4a Sablières en acier inoxydable formées à froid CCTB 01.04</w:t>
      </w:r>
      <w:bookmarkEnd w:id="1186"/>
    </w:p>
    <w:p w14:paraId="3BB00D8F" w14:textId="77777777" w:rsidR="00DB2B68" w:rsidRDefault="00000000">
      <w:pPr>
        <w:pStyle w:val="Author-eSectionHeading6Numberless"/>
      </w:pPr>
      <w:bookmarkStart w:id="1187" w:name="_Toc220496207"/>
      <w:r>
        <w:t>23.12.4b Pannes en acier inoxydable formées à froid CCTB 01.04</w:t>
      </w:r>
      <w:bookmarkEnd w:id="1187"/>
    </w:p>
    <w:p w14:paraId="6C04FC5D" w14:textId="77777777" w:rsidR="00DB2B68" w:rsidRDefault="00000000">
      <w:pPr>
        <w:pStyle w:val="Author-eSectionHeading6Numberless"/>
      </w:pPr>
      <w:bookmarkStart w:id="1188" w:name="_Toc220496208"/>
      <w:r>
        <w:t>23.12.4c Chevrons autoporteurs en acier inoxydable formés à froid CCTB 01.04</w:t>
      </w:r>
      <w:bookmarkEnd w:id="1188"/>
    </w:p>
    <w:p w14:paraId="16527EB0" w14:textId="77777777" w:rsidR="00DB2B68" w:rsidRDefault="00000000">
      <w:pPr>
        <w:pStyle w:val="Author-eSectionHeading6Numberless"/>
      </w:pPr>
      <w:bookmarkStart w:id="1189" w:name="_Toc220496209"/>
      <w:r>
        <w:t>23.12.4d Faîtières en acier inoxydable formées à froid CCTB 01.04</w:t>
      </w:r>
      <w:bookmarkEnd w:id="1189"/>
    </w:p>
    <w:p w14:paraId="75D2E600" w14:textId="77777777" w:rsidR="00DB2B68" w:rsidRDefault="00000000">
      <w:pPr>
        <w:pStyle w:val="Author-eSectionHeading6Numberless"/>
      </w:pPr>
      <w:bookmarkStart w:id="1190" w:name="_Toc220496210"/>
      <w:r>
        <w:t>23.12.4e Arbalétriers en acier inoxydable formés à froid CCTB 01.04</w:t>
      </w:r>
      <w:bookmarkEnd w:id="1190"/>
    </w:p>
    <w:p w14:paraId="36CE7374" w14:textId="77777777" w:rsidR="00DB2B68" w:rsidRDefault="00000000">
      <w:pPr>
        <w:pStyle w:val="Author-eSectionHeading6Numberless"/>
      </w:pPr>
      <w:bookmarkStart w:id="1191" w:name="_Toc220496211"/>
      <w:r>
        <w:t>23.12.4f Entraits en acier inoxydable formés à froid CCTB 01.04</w:t>
      </w:r>
      <w:bookmarkEnd w:id="1191"/>
    </w:p>
    <w:p w14:paraId="293000E2" w14:textId="77777777" w:rsidR="00DB2B68" w:rsidRDefault="00000000">
      <w:pPr>
        <w:pStyle w:val="Author-eSectionHeading6Numberless"/>
      </w:pPr>
      <w:bookmarkStart w:id="1192" w:name="_Toc220496212"/>
      <w:r>
        <w:t>23.12.4g Chevêtres en acier inoxydable formés à froid CCTB 01.04</w:t>
      </w:r>
      <w:bookmarkEnd w:id="1192"/>
    </w:p>
    <w:p w14:paraId="319EAC7A" w14:textId="77777777" w:rsidR="00DB2B68" w:rsidRDefault="00000000">
      <w:pPr>
        <w:pStyle w:val="Author-eSectionHeading6Numberless"/>
      </w:pPr>
      <w:bookmarkStart w:id="1193" w:name="_Toc220496213"/>
      <w:r>
        <w:t>23.12.4h Chevrons en acier inoxydable formés à froid CCTB 01.04</w:t>
      </w:r>
      <w:bookmarkEnd w:id="1193"/>
    </w:p>
    <w:p w14:paraId="2F4B9E03" w14:textId="77777777" w:rsidR="00DB2B68" w:rsidRDefault="00000000">
      <w:pPr>
        <w:pStyle w:val="pheading"/>
      </w:pPr>
      <w:r>
        <w:t>DESCRIPTION</w:t>
      </w:r>
    </w:p>
    <w:p w14:paraId="02F99CD4" w14:textId="77777777" w:rsidR="00DB2B68" w:rsidRDefault="00000000">
      <w:pPr>
        <w:pStyle w:val="pheading"/>
      </w:pPr>
      <w:r>
        <w:t>- Définition / Comprend</w:t>
      </w:r>
    </w:p>
    <w:p w14:paraId="3D022C49" w14:textId="77777777" w:rsidR="00DB2B68" w:rsidRDefault="00000000">
      <w:r>
        <w:t>Renvoi au § 31.32 Eléments de support en bois</w:t>
      </w:r>
    </w:p>
    <w:p w14:paraId="1769BA00" w14:textId="77777777" w:rsidR="00DB2B68" w:rsidRDefault="00000000">
      <w:pPr>
        <w:pStyle w:val="Author-eSectionHeading6Numberless"/>
      </w:pPr>
      <w:bookmarkStart w:id="1194" w:name="_Toc220496214"/>
      <w:r>
        <w:t>23.12.4i Voliges et panneaux en acier inoxydable formés à froid CCTB 01.04</w:t>
      </w:r>
      <w:bookmarkEnd w:id="1194"/>
    </w:p>
    <w:p w14:paraId="4E11556F" w14:textId="77777777" w:rsidR="00DB2B68" w:rsidRDefault="00000000">
      <w:pPr>
        <w:pStyle w:val="pheading"/>
      </w:pPr>
      <w:r>
        <w:t>DESCRIPTION</w:t>
      </w:r>
    </w:p>
    <w:p w14:paraId="0A076F73" w14:textId="77777777" w:rsidR="00DB2B68" w:rsidRDefault="00000000">
      <w:pPr>
        <w:pStyle w:val="pheading"/>
      </w:pPr>
      <w:r>
        <w:t>- Définition / Comprend</w:t>
      </w:r>
    </w:p>
    <w:p w14:paraId="5A4B465F" w14:textId="77777777" w:rsidR="00DB2B68" w:rsidRDefault="00000000">
      <w:r>
        <w:t>Renvoi au § 31.32 Eléments de support en bois</w:t>
      </w:r>
    </w:p>
    <w:p w14:paraId="14D7A22D" w14:textId="77777777" w:rsidR="00DB2B68" w:rsidRDefault="00000000">
      <w:pPr>
        <w:pStyle w:val="Author-eSectionHeading5Numberless"/>
      </w:pPr>
      <w:bookmarkStart w:id="1195" w:name="_Toc220496215"/>
      <w:r>
        <w:t>23.12.5 Eléments de charpente de toiture en aluminium CCTB 01.04</w:t>
      </w:r>
      <w:bookmarkEnd w:id="1195"/>
    </w:p>
    <w:p w14:paraId="2F754EE6" w14:textId="77777777" w:rsidR="00DB2B68" w:rsidRDefault="00000000">
      <w:pPr>
        <w:pStyle w:val="Author-eSectionHeading6Numberless"/>
      </w:pPr>
      <w:bookmarkStart w:id="1196" w:name="_Toc220496216"/>
      <w:r>
        <w:t>23.12.5a Sablières en aluminium CCTB 01.04</w:t>
      </w:r>
      <w:bookmarkEnd w:id="1196"/>
    </w:p>
    <w:p w14:paraId="42608A06" w14:textId="77777777" w:rsidR="00DB2B68" w:rsidRDefault="00000000">
      <w:pPr>
        <w:pStyle w:val="Author-eSectionHeading6Numberless"/>
      </w:pPr>
      <w:bookmarkStart w:id="1197" w:name="_Toc220496217"/>
      <w:r>
        <w:t>23.12.5b Pannes en aluminium CCTB 01.04</w:t>
      </w:r>
      <w:bookmarkEnd w:id="1197"/>
    </w:p>
    <w:p w14:paraId="0C9BD210" w14:textId="77777777" w:rsidR="00DB2B68" w:rsidRDefault="00000000">
      <w:pPr>
        <w:pStyle w:val="Author-eSectionHeading6Numberless"/>
      </w:pPr>
      <w:bookmarkStart w:id="1198" w:name="_Toc220496218"/>
      <w:r>
        <w:t>23.12.5c Chevrons autoporteurs en aluminium CCTB 01.04</w:t>
      </w:r>
      <w:bookmarkEnd w:id="1198"/>
    </w:p>
    <w:p w14:paraId="50D66709" w14:textId="77777777" w:rsidR="00DB2B68" w:rsidRDefault="00000000">
      <w:pPr>
        <w:pStyle w:val="Author-eSectionHeading6Numberless"/>
      </w:pPr>
      <w:bookmarkStart w:id="1199" w:name="_Toc220496219"/>
      <w:r>
        <w:t>23.12.5d Faîtières en aluminium CCTB 01.04</w:t>
      </w:r>
      <w:bookmarkEnd w:id="1199"/>
    </w:p>
    <w:p w14:paraId="4C3B9917" w14:textId="77777777" w:rsidR="00DB2B68" w:rsidRDefault="00000000">
      <w:pPr>
        <w:pStyle w:val="Author-eSectionHeading6Numberless"/>
      </w:pPr>
      <w:bookmarkStart w:id="1200" w:name="_Toc220496220"/>
      <w:r>
        <w:t>23.12.5e Arbalétriers en aluminium CCTB 01.04</w:t>
      </w:r>
      <w:bookmarkEnd w:id="1200"/>
    </w:p>
    <w:p w14:paraId="256CD283" w14:textId="77777777" w:rsidR="00DB2B68" w:rsidRDefault="00000000">
      <w:pPr>
        <w:pStyle w:val="Author-eSectionHeading6Numberless"/>
      </w:pPr>
      <w:bookmarkStart w:id="1201" w:name="_Toc220496221"/>
      <w:r>
        <w:t>23.12.5f Entraits en aluminium CCTB 01.04</w:t>
      </w:r>
      <w:bookmarkEnd w:id="1201"/>
    </w:p>
    <w:p w14:paraId="5AD4A62F" w14:textId="77777777" w:rsidR="00DB2B68" w:rsidRDefault="00000000">
      <w:pPr>
        <w:pStyle w:val="Author-eSectionHeading6Numberless"/>
      </w:pPr>
      <w:bookmarkStart w:id="1202" w:name="_Toc220496222"/>
      <w:r>
        <w:t>23.12.5g Chevêtres en aluminium CCTB 01.04</w:t>
      </w:r>
      <w:bookmarkEnd w:id="1202"/>
    </w:p>
    <w:p w14:paraId="2AF83490" w14:textId="77777777" w:rsidR="00DB2B68" w:rsidRDefault="00000000">
      <w:pPr>
        <w:pStyle w:val="Author-eSectionHeading6Numberless"/>
      </w:pPr>
      <w:bookmarkStart w:id="1203" w:name="_Toc220496223"/>
      <w:r>
        <w:t>23.12.5h Chevrons en aluminium CCTB 01.04</w:t>
      </w:r>
      <w:bookmarkEnd w:id="1203"/>
    </w:p>
    <w:p w14:paraId="0F0549D6" w14:textId="77777777" w:rsidR="00DB2B68" w:rsidRDefault="00000000">
      <w:pPr>
        <w:pStyle w:val="pheading"/>
      </w:pPr>
      <w:r>
        <w:t>DESCRIPTION</w:t>
      </w:r>
    </w:p>
    <w:p w14:paraId="58EE6232" w14:textId="77777777" w:rsidR="00DB2B68" w:rsidRDefault="00000000">
      <w:pPr>
        <w:pStyle w:val="pheading"/>
      </w:pPr>
      <w:r>
        <w:t>- Définition / Comprend</w:t>
      </w:r>
    </w:p>
    <w:p w14:paraId="4C39EEA2" w14:textId="77777777" w:rsidR="00DB2B68" w:rsidRDefault="00000000">
      <w:r>
        <w:t>Renvoi au § 31.32 Eléments de support en bois</w:t>
      </w:r>
    </w:p>
    <w:p w14:paraId="658487DA" w14:textId="77777777" w:rsidR="00DB2B68" w:rsidRDefault="00000000">
      <w:pPr>
        <w:pStyle w:val="Author-eSectionHeading6Numberless"/>
      </w:pPr>
      <w:bookmarkStart w:id="1204" w:name="_Toc220496224"/>
      <w:r>
        <w:t>23.12.5i Voliges et panneaux en aluminium CCTB 01.04</w:t>
      </w:r>
      <w:bookmarkEnd w:id="1204"/>
    </w:p>
    <w:p w14:paraId="285CAF95" w14:textId="77777777" w:rsidR="00DB2B68" w:rsidRDefault="00000000">
      <w:pPr>
        <w:pStyle w:val="pheading"/>
      </w:pPr>
      <w:r>
        <w:lastRenderedPageBreak/>
        <w:t>DESCRIPTION</w:t>
      </w:r>
    </w:p>
    <w:p w14:paraId="06C8A480" w14:textId="77777777" w:rsidR="00DB2B68" w:rsidRDefault="00000000">
      <w:pPr>
        <w:pStyle w:val="pheading"/>
      </w:pPr>
      <w:r>
        <w:t>- Définition / Comprend</w:t>
      </w:r>
    </w:p>
    <w:p w14:paraId="5A5B6CE8" w14:textId="77777777" w:rsidR="00DB2B68" w:rsidRDefault="00000000">
      <w:r>
        <w:t>Renvoi au § 31.32 Eléments de support en bois</w:t>
      </w:r>
    </w:p>
    <w:p w14:paraId="006DF925" w14:textId="77777777" w:rsidR="00DB2B68" w:rsidRDefault="00000000">
      <w:pPr>
        <w:pStyle w:val="Author-eSectionHeading4Numberless"/>
      </w:pPr>
      <w:bookmarkStart w:id="1205" w:name="_Toc220496225"/>
      <w:r>
        <w:t>23.13 Linteaux métalliques CCTB 01.11</w:t>
      </w:r>
      <w:bookmarkEnd w:id="1205"/>
    </w:p>
    <w:p w14:paraId="15FBB365" w14:textId="77777777" w:rsidR="00DB2B68" w:rsidRDefault="00000000">
      <w:pPr>
        <w:pStyle w:val="pheading"/>
      </w:pPr>
      <w:bookmarkStart w:id="1206" w:name="403"/>
      <w:bookmarkEnd w:id="1206"/>
      <w:r>
        <w:t>DESCRIPTION</w:t>
      </w:r>
    </w:p>
    <w:p w14:paraId="741DF0F2" w14:textId="77777777" w:rsidR="00DB2B68" w:rsidRDefault="00000000">
      <w:pPr>
        <w:pStyle w:val="pheading"/>
      </w:pPr>
      <w:r>
        <w:t>- Définition / Comprend</w:t>
      </w:r>
    </w:p>
    <w:p w14:paraId="3BB175A7" w14:textId="77777777" w:rsidR="00DB2B68" w:rsidRDefault="00000000">
      <w:r>
        <w:t>Il s'agit des linteaux constitués de cornières en acier profilé, appliqués pour soutenir localement le parement au-dessus des baies de portes et fenêtres dans les murs des façades extérieures.</w:t>
      </w:r>
    </w:p>
    <w:p w14:paraId="21FB61F5" w14:textId="77777777" w:rsidR="00DB2B68" w:rsidRDefault="00000000">
      <w:pPr>
        <w:pStyle w:val="pheading"/>
      </w:pPr>
      <w:r>
        <w:t>MATÉRIAUX</w:t>
      </w:r>
    </w:p>
    <w:p w14:paraId="43E9C91F" w14:textId="77777777" w:rsidR="00DB2B68" w:rsidRDefault="00000000">
      <w:pPr>
        <w:pStyle w:val="heading"/>
      </w:pPr>
      <w:r>
        <w:t>Spécifications</w:t>
      </w:r>
    </w:p>
    <w:p w14:paraId="7AD59149" w14:textId="77777777" w:rsidR="00DB2B68" w:rsidRDefault="00000000">
      <w:r>
        <w:t>Forme et dimensions : cornières d'acier</w:t>
      </w:r>
    </w:p>
    <w:p w14:paraId="6E33945A" w14:textId="77777777" w:rsidR="00DB2B68" w:rsidRDefault="00000000">
      <w:r>
        <w:t>hauteur : minimum </w:t>
      </w:r>
      <w:r>
        <w:rPr>
          <w:rStyle w:val="optioncarChar"/>
        </w:rPr>
        <w:t xml:space="preserve">80 </w:t>
      </w:r>
      <w:r>
        <w:t>(par défaut) </w:t>
      </w:r>
      <w:r>
        <w:rPr>
          <w:rStyle w:val="optioncarChar"/>
        </w:rPr>
        <w:t>/ 150 / ***  </w:t>
      </w:r>
      <w:r>
        <w:t>mm / soit en fonction de la portée</w:t>
      </w:r>
    </w:p>
    <w:p w14:paraId="4BCF4432" w14:textId="77777777" w:rsidR="00DB2B68" w:rsidRDefault="00000000">
      <w:r>
        <w:t>largeur : minimum </w:t>
      </w:r>
      <w:r>
        <w:rPr>
          <w:rStyle w:val="optioncarChar"/>
        </w:rPr>
        <w:t xml:space="preserve">80 </w:t>
      </w:r>
      <w:r>
        <w:t>(par défaut) </w:t>
      </w:r>
      <w:r>
        <w:rPr>
          <w:rStyle w:val="optioncarChar"/>
        </w:rPr>
        <w:t>/ 150 / ***</w:t>
      </w:r>
      <w:r>
        <w:t xml:space="preserve"> mm / soit en fonction de la portée</w:t>
      </w:r>
    </w:p>
    <w:p w14:paraId="6978039C" w14:textId="77777777" w:rsidR="00DB2B68" w:rsidRDefault="00000000">
      <w:r>
        <w:t xml:space="preserve">épaisseur : minimum </w:t>
      </w:r>
      <w:r>
        <w:rPr>
          <w:rStyle w:val="optioncarChar"/>
        </w:rPr>
        <w:t>***</w:t>
      </w:r>
      <w:r>
        <w:t xml:space="preserve"> mm / soit en fonction de la portée</w:t>
      </w:r>
    </w:p>
    <w:p w14:paraId="3C2F6285" w14:textId="77777777" w:rsidR="00DB2B68" w:rsidRDefault="00000000">
      <w:pPr>
        <w:pStyle w:val="pheading"/>
      </w:pPr>
      <w:r>
        <w:t>EXÉCUTION / MISE EN ŒUVRE</w:t>
      </w:r>
    </w:p>
    <w:p w14:paraId="00E362E9" w14:textId="77777777" w:rsidR="00DB2B68" w:rsidRDefault="00000000">
      <w:r>
        <w:t xml:space="preserve">L'appui latéral est d'au moins </w:t>
      </w:r>
      <w:r>
        <w:rPr>
          <w:rStyle w:val="optioncarChar"/>
        </w:rPr>
        <w:t>10 cm / 15 cm</w:t>
      </w:r>
      <w:r>
        <w:t>. Si nécessaire, les briques sont sciées.</w:t>
      </w:r>
    </w:p>
    <w:p w14:paraId="2E5628E9" w14:textId="77777777" w:rsidR="00DB2B68" w:rsidRDefault="00000000">
      <w:r>
        <w:t>L'ancrage au gros-œuvre se fait:</w:t>
      </w:r>
    </w:p>
    <w:p w14:paraId="3A6C4930" w14:textId="77777777" w:rsidR="00DB2B68" w:rsidRDefault="00000000">
      <w:r>
        <w:rPr>
          <w:b/>
        </w:rPr>
        <w:t>Choix opéré:</w:t>
      </w:r>
      <w:r>
        <w:rPr>
          <w:rStyle w:val="optioncarChar"/>
        </w:rPr>
        <w:t>***/Option 1</w:t>
      </w:r>
      <w:r>
        <w:t xml:space="preserve"> (par défaut) </w:t>
      </w:r>
      <w:r>
        <w:rPr>
          <w:rStyle w:val="optioncarChar"/>
        </w:rPr>
        <w:t>/Option2/Option 3</w:t>
      </w:r>
    </w:p>
    <w:p w14:paraId="674093E9" w14:textId="77777777" w:rsidR="00DB2B68" w:rsidRDefault="00000000">
      <w:r>
        <w:rPr>
          <w:b/>
        </w:rPr>
        <w:t>***Option 1:</w:t>
      </w:r>
      <w:r>
        <w:t xml:space="preserve"> de manière portante sur l'ouvrage en maçonnerie juxtaposée</w:t>
      </w:r>
    </w:p>
    <w:p w14:paraId="33772F28" w14:textId="77777777" w:rsidR="00DB2B68" w:rsidRDefault="00000000">
      <w:r>
        <w:rPr>
          <w:b/>
        </w:rPr>
        <w:t>***Option 2:</w:t>
      </w:r>
      <w:r>
        <w:t xml:space="preserve"> à l'aide de goujons disposés avec un espacement maximal de 50 cm. Il est interdit de plier les goujons pendant la pose.</w:t>
      </w:r>
    </w:p>
    <w:p w14:paraId="7E58DF61" w14:textId="77777777" w:rsidR="00DB2B68" w:rsidRDefault="00000000">
      <w:r>
        <w:rPr>
          <w:b/>
        </w:rPr>
        <w:t>***Option 3:</w:t>
      </w:r>
      <w:r>
        <w:t xml:space="preserve"> à l'aide de boulons à cheville forés avec un espacement maximal de 50 cm.</w:t>
      </w:r>
    </w:p>
    <w:p w14:paraId="327E81E0" w14:textId="77777777" w:rsidR="00DB2B68" w:rsidRDefault="00000000">
      <w:r>
        <w:t>Les profils sont ancrés dans le béton attenant ou dans la maçonnerie au-dessus du linteau, à l'aide de barres d'acier soudées, diamètre 10 . Des ancrages sont prévus tous les 80 cm maximum. Les ancrages sont disposés de façon telle que les cornières soient suspendues au mur de contre-façade, dans ou au-dessus du linteau; l'ancrage doit empêcher que les cornières ne fléchissent. La face extérieure de l'aile debout des profils doit se situer dans le même plan que la face intérieure du mur de parement (s'il y a lieu, les briques doivent être sciées mécaniquement).</w:t>
      </w:r>
    </w:p>
    <w:p w14:paraId="3A494F1C" w14:textId="77777777" w:rsidR="00DB2B68" w:rsidRDefault="00000000">
      <w:pPr>
        <w:pStyle w:val="Author-eSectionHeading5Numberless"/>
      </w:pPr>
      <w:bookmarkStart w:id="1207" w:name="_Toc220496226"/>
      <w:r>
        <w:t>23.13.1 Linteaux en acier laminés à chaud CCTB 01.02</w:t>
      </w:r>
      <w:bookmarkEnd w:id="1207"/>
    </w:p>
    <w:p w14:paraId="296CABC2" w14:textId="77777777" w:rsidR="00DB2B68" w:rsidRDefault="00000000">
      <w:pPr>
        <w:pStyle w:val="Author-eSectionHeading6Numberless"/>
      </w:pPr>
      <w:bookmarkStart w:id="1208" w:name="_Toc220496227"/>
      <w:r>
        <w:t>23.13.1a Linteaux en acier laminés à chaud CCTB 01.02</w:t>
      </w:r>
      <w:bookmarkEnd w:id="1208"/>
    </w:p>
    <w:p w14:paraId="4905E900" w14:textId="77777777" w:rsidR="00DB2B68" w:rsidRDefault="00000000">
      <w:pPr>
        <w:pStyle w:val="Author-eSectionHeading5Numberless"/>
      </w:pPr>
      <w:bookmarkStart w:id="1209" w:name="_Toc220496228"/>
      <w:r>
        <w:t>23.13.2 Linteaux en acier formés à froid CCTB 01.10</w:t>
      </w:r>
      <w:bookmarkEnd w:id="1209"/>
    </w:p>
    <w:p w14:paraId="02C86F55" w14:textId="77777777" w:rsidR="00DB2B68" w:rsidRDefault="00000000">
      <w:pPr>
        <w:pStyle w:val="Author-eSectionHeading6Numberless"/>
      </w:pPr>
      <w:bookmarkStart w:id="1210" w:name="_Toc220496229"/>
      <w:r>
        <w:t>23.13.2a Linteaux en acier formés à froid CCTB 01.10</w:t>
      </w:r>
      <w:bookmarkEnd w:id="1210"/>
    </w:p>
    <w:p w14:paraId="5E63CA8C" w14:textId="77777777" w:rsidR="00DB2B68" w:rsidRDefault="00000000">
      <w:pPr>
        <w:pStyle w:val="Author-eSectionHeading5Numberless"/>
      </w:pPr>
      <w:bookmarkStart w:id="1211" w:name="_Toc220496230"/>
      <w:r>
        <w:t>23.13.3 Linteaux en acier inoxydable laminés à chaud CCTB 01.10</w:t>
      </w:r>
      <w:bookmarkEnd w:id="1211"/>
    </w:p>
    <w:p w14:paraId="355E3F52" w14:textId="77777777" w:rsidR="00DB2B68" w:rsidRDefault="00000000">
      <w:pPr>
        <w:pStyle w:val="Author-eSectionHeading6Numberless"/>
      </w:pPr>
      <w:bookmarkStart w:id="1212" w:name="_Toc220496231"/>
      <w:r>
        <w:t>23.13.3a Linteaux en acier inoxydable laminés à chaud CCTB 01.10</w:t>
      </w:r>
      <w:bookmarkEnd w:id="1212"/>
    </w:p>
    <w:p w14:paraId="7BAFEAD4" w14:textId="77777777" w:rsidR="00DB2B68" w:rsidRDefault="00000000">
      <w:pPr>
        <w:pStyle w:val="Author-eSectionHeading5Numberless"/>
      </w:pPr>
      <w:bookmarkStart w:id="1213" w:name="_Toc220496232"/>
      <w:r>
        <w:t>23.13.4 Linteaux en acier inoxydable formés à froid CCTB 01.10</w:t>
      </w:r>
      <w:bookmarkEnd w:id="1213"/>
    </w:p>
    <w:p w14:paraId="26D0B024" w14:textId="77777777" w:rsidR="00DB2B68" w:rsidRDefault="00000000">
      <w:pPr>
        <w:pStyle w:val="Author-eSectionHeading6Numberless"/>
      </w:pPr>
      <w:bookmarkStart w:id="1214" w:name="_Toc220496233"/>
      <w:r>
        <w:t>23.13.4a Linteaux en acier inoxydable formés à froid CCTB 01.10</w:t>
      </w:r>
      <w:bookmarkEnd w:id="1214"/>
    </w:p>
    <w:p w14:paraId="2F0228ED" w14:textId="77777777" w:rsidR="00DB2B68" w:rsidRDefault="00000000">
      <w:pPr>
        <w:pStyle w:val="Author-eSectionHeading5Numberless"/>
      </w:pPr>
      <w:bookmarkStart w:id="1215" w:name="_Toc220496234"/>
      <w:r>
        <w:t>23.13.5 Linteaux en aluminium CCTB 01.10</w:t>
      </w:r>
      <w:bookmarkEnd w:id="1215"/>
    </w:p>
    <w:p w14:paraId="00E8C965" w14:textId="77777777" w:rsidR="00DB2B68" w:rsidRDefault="00000000">
      <w:pPr>
        <w:pStyle w:val="Author-eSectionHeading6Numberless"/>
      </w:pPr>
      <w:bookmarkStart w:id="1216" w:name="_Toc220496235"/>
      <w:r>
        <w:t>23.13.5a Linteaux en aluminium CCTB 01.10</w:t>
      </w:r>
      <w:bookmarkEnd w:id="1216"/>
    </w:p>
    <w:p w14:paraId="7D82CB21" w14:textId="77777777" w:rsidR="00DB2B68" w:rsidRDefault="00000000">
      <w:pPr>
        <w:pStyle w:val="Author-eSectionHeading5Numberless"/>
      </w:pPr>
      <w:bookmarkStart w:id="1217" w:name="_Toc220496236"/>
      <w:r>
        <w:lastRenderedPageBreak/>
        <w:t>23.13.6 Cornières de soutien de parement en profilés d'acier CCTB 01.02</w:t>
      </w:r>
      <w:bookmarkEnd w:id="1217"/>
    </w:p>
    <w:p w14:paraId="1DB7ADF9" w14:textId="77777777" w:rsidR="00DB2B68" w:rsidRDefault="00000000">
      <w:pPr>
        <w:pStyle w:val="Author-eSectionHeading4Numberless"/>
      </w:pPr>
      <w:bookmarkStart w:id="1218" w:name="_Toc220496237"/>
      <w:r>
        <w:t>23.14 Colonnes métalliques CCTB 01.11</w:t>
      </w:r>
      <w:bookmarkEnd w:id="1218"/>
    </w:p>
    <w:p w14:paraId="2A99E793" w14:textId="77777777" w:rsidR="00DB2B68" w:rsidRDefault="00000000">
      <w:pPr>
        <w:pStyle w:val="pheading"/>
      </w:pPr>
      <w:r>
        <w:t>DESCRIPTION</w:t>
      </w:r>
    </w:p>
    <w:p w14:paraId="6D55BC21" w14:textId="77777777" w:rsidR="00DB2B68" w:rsidRDefault="00000000">
      <w:pPr>
        <w:pStyle w:val="pheading"/>
      </w:pPr>
      <w:r>
        <w:t>- Définition / Comprend</w:t>
      </w:r>
    </w:p>
    <w:p w14:paraId="0D1F3401" w14:textId="77777777" w:rsidR="00DB2B68" w:rsidRDefault="00000000">
      <w:r>
        <w:t>Il s'agit des éléments verticaux, appliqués comme</w:t>
      </w:r>
      <w:r>
        <w:rPr>
          <w:rStyle w:val="optioncarChar"/>
        </w:rPr>
        <w:t xml:space="preserve"> colonnes porteuses </w:t>
      </w:r>
      <w:r>
        <w:t>(par défaut)</w:t>
      </w:r>
      <w:r>
        <w:rPr>
          <w:rStyle w:val="optioncarChar"/>
        </w:rPr>
        <w:t xml:space="preserve"> / ***</w:t>
      </w:r>
      <w:r>
        <w:t>. Ils sont préfabriqués en usine et assemblés sur chantier aux constructions déjà réalisées. Y compris l'assemblage par soudure des plaques de tête et de pied de colonne.</w:t>
      </w:r>
    </w:p>
    <w:p w14:paraId="011AC124" w14:textId="77777777" w:rsidR="00DB2B68" w:rsidRDefault="00000000">
      <w:pPr>
        <w:pStyle w:val="pheading"/>
      </w:pPr>
      <w:r>
        <w:t>MATÉRIAUX</w:t>
      </w:r>
    </w:p>
    <w:p w14:paraId="7A702D15" w14:textId="77777777" w:rsidR="00DB2B68" w:rsidRDefault="00000000">
      <w:r>
        <w:t>Les types mentionnés dans le métré sont donnés à titre indicatif et sont appliqués uniquement après approbation explicite de l'ingénieur. Il est toujours possible que d'éventuelles adaptations doivent être effectuées aux plans de stabilité.</w:t>
      </w:r>
    </w:p>
    <w:p w14:paraId="3C7E88E0" w14:textId="77777777" w:rsidR="00DB2B68" w:rsidRDefault="00000000">
      <w:pPr>
        <w:pStyle w:val="Author-eSectionHeading5Numberless"/>
      </w:pPr>
      <w:bookmarkStart w:id="1219" w:name="_Toc220496238"/>
      <w:r>
        <w:t>23.14.1 Colonnes en acier laminées à chaud CCTB 01.04</w:t>
      </w:r>
      <w:bookmarkEnd w:id="1219"/>
    </w:p>
    <w:p w14:paraId="5D55BD55" w14:textId="77777777" w:rsidR="00DB2B68" w:rsidRDefault="00000000">
      <w:pPr>
        <w:pStyle w:val="Author-eSectionHeading6Numberless"/>
      </w:pPr>
      <w:bookmarkStart w:id="1220" w:name="494"/>
      <w:bookmarkStart w:id="1221" w:name="_Toc220496239"/>
      <w:bookmarkEnd w:id="1220"/>
      <w:r>
        <w:t>23.14.1a Colonnes en profilés en acier laminés à chaud CCTB 01.11</w:t>
      </w:r>
      <w:bookmarkEnd w:id="1221"/>
    </w:p>
    <w:p w14:paraId="3D4D5C6A" w14:textId="77777777" w:rsidR="00DB2B68" w:rsidRDefault="00000000">
      <w:pPr>
        <w:pStyle w:val="pheading"/>
      </w:pPr>
      <w:bookmarkStart w:id="1222" w:name="495"/>
      <w:bookmarkEnd w:id="1222"/>
      <w:r>
        <w:t>DESCRIPTION</w:t>
      </w:r>
    </w:p>
    <w:p w14:paraId="5BDF35FB" w14:textId="77777777" w:rsidR="00DB2B68" w:rsidRDefault="00000000">
      <w:pPr>
        <w:pStyle w:val="pheading"/>
      </w:pPr>
      <w:r>
        <w:t>- Définition / Comprend</w:t>
      </w:r>
    </w:p>
    <w:p w14:paraId="1D26D878" w14:textId="77777777" w:rsidR="00DB2B68" w:rsidRDefault="00DB2B68"/>
    <w:p w14:paraId="764B37DA" w14:textId="77777777" w:rsidR="00DB2B68" w:rsidRDefault="00000000">
      <w:pPr>
        <w:spacing w:line="256" w:lineRule="auto"/>
      </w:pPr>
      <w:r>
        <w:t>Il s'agit de l’ensemble des colonnes en profilés en acier laminés à chaud conformes à la [NBN EN 10025 série].</w:t>
      </w:r>
    </w:p>
    <w:p w14:paraId="3EAA923E" w14:textId="77777777" w:rsidR="00DB2B68" w:rsidRDefault="00000000">
      <w:pPr>
        <w:pStyle w:val="pheading"/>
      </w:pPr>
      <w:r>
        <w:t>- Localisation</w:t>
      </w:r>
    </w:p>
    <w:p w14:paraId="30B92BAB" w14:textId="77777777" w:rsidR="00DB2B68" w:rsidRDefault="00000000">
      <w:r>
        <w:rPr>
          <w:rStyle w:val="normalChar"/>
        </w:rPr>
        <w:t xml:space="preserve">Les travaux sont localisés : </w:t>
      </w:r>
      <w:r>
        <w:rPr>
          <w:rStyle w:val="optioncarChar"/>
        </w:rPr>
        <w:t>Voir plans et métrés détaillés </w:t>
      </w:r>
      <w:r>
        <w:t>(par défaut)</w:t>
      </w:r>
      <w:r>
        <w:rPr>
          <w:rStyle w:val="optioncarChar"/>
        </w:rPr>
        <w:t xml:space="preserve"> / ***</w:t>
      </w:r>
      <w:r>
        <w:rPr>
          <w:rStyle w:val="normalChar"/>
        </w:rPr>
        <w:t>. </w:t>
      </w:r>
    </w:p>
    <w:p w14:paraId="4ACCFC1D" w14:textId="77777777" w:rsidR="00DB2B68" w:rsidRDefault="00000000">
      <w:pPr>
        <w:pStyle w:val="pheading"/>
      </w:pPr>
      <w:r>
        <w:t>EXÉCUTION / MISE EN ŒUVRE</w:t>
      </w:r>
    </w:p>
    <w:p w14:paraId="34F0B8D5" w14:textId="77777777" w:rsidR="00DB2B68" w:rsidRDefault="00000000">
      <w:pPr>
        <w:pStyle w:val="pheading"/>
      </w:pPr>
      <w:r>
        <w:t>- Notes d’exécution complémentaires</w:t>
      </w:r>
    </w:p>
    <w:p w14:paraId="11EF841F" w14:textId="77777777" w:rsidR="00DB2B68" w:rsidRDefault="00000000">
      <w:r>
        <w:rPr>
          <w:rStyle w:val="facultChar"/>
        </w:rPr>
        <w:t>Le présent article comprend également des coupures thermiques : Des dispositifs adéquats sont utilisés pour éviter tout pont thermique.</w:t>
      </w:r>
    </w:p>
    <w:p w14:paraId="2CAC4A57" w14:textId="77777777" w:rsidR="00DB2B68" w:rsidRDefault="00000000">
      <w:pPr>
        <w:pStyle w:val="pheading"/>
      </w:pPr>
      <w:r>
        <w:t>MESURAGE</w:t>
      </w:r>
    </w:p>
    <w:p w14:paraId="68ACC478" w14:textId="77777777" w:rsidR="00DB2B68" w:rsidRDefault="00000000">
      <w:pPr>
        <w:pStyle w:val="pheading"/>
      </w:pPr>
      <w:r>
        <w:t>- unité de mesure:</w:t>
      </w:r>
    </w:p>
    <w:p w14:paraId="46FA19C4" w14:textId="77777777" w:rsidR="00DB2B68" w:rsidRDefault="00000000">
      <w:r>
        <w:rPr>
          <w:b/>
        </w:rPr>
        <w:t>COLONNE</w:t>
      </w:r>
    </w:p>
    <w:p w14:paraId="03BB5CCF" w14:textId="77777777" w:rsidR="00DB2B68" w:rsidRDefault="00000000">
      <w:r>
        <w:rPr>
          <w:rStyle w:val="optioncarChar"/>
        </w:rPr>
        <w:t>kg </w:t>
      </w:r>
      <w:r>
        <w:t xml:space="preserve">(par défaut) </w:t>
      </w:r>
      <w:r>
        <w:rPr>
          <w:rStyle w:val="optioncarChar"/>
        </w:rPr>
        <w:t>/ m / pc.</w:t>
      </w:r>
    </w:p>
    <w:p w14:paraId="45E41431" w14:textId="77777777" w:rsidR="00DB2B68" w:rsidRDefault="00000000">
      <w:r>
        <w:rPr>
          <w:b/>
          <w:i/>
        </w:rPr>
        <w:t>(Soit par défaut)</w:t>
      </w:r>
    </w:p>
    <w:p w14:paraId="59E76EF8" w14:textId="77777777" w:rsidR="00DB2B68" w:rsidRDefault="00000000">
      <w:r>
        <w:rPr>
          <w:rStyle w:val="soitChar"/>
        </w:rPr>
        <w:t> 1. kg.</w:t>
      </w:r>
    </w:p>
    <w:p w14:paraId="1E9911C3" w14:textId="77777777" w:rsidR="00DB2B68" w:rsidRDefault="00000000">
      <w:r>
        <w:rPr>
          <w:b/>
          <w:i/>
        </w:rPr>
        <w:t>(Soit)</w:t>
      </w:r>
    </w:p>
    <w:p w14:paraId="714B2E5E" w14:textId="77777777" w:rsidR="00DB2B68" w:rsidRDefault="00000000">
      <w:r>
        <w:rPr>
          <w:rStyle w:val="soitChar"/>
        </w:rPr>
        <w:t>  2 ou 3. m</w:t>
      </w:r>
    </w:p>
    <w:p w14:paraId="6C3EC5C1" w14:textId="77777777" w:rsidR="00DB2B68" w:rsidRDefault="00000000">
      <w:r>
        <w:rPr>
          <w:b/>
          <w:i/>
        </w:rPr>
        <w:t>(Soit)</w:t>
      </w:r>
    </w:p>
    <w:p w14:paraId="3F3575D3" w14:textId="77777777" w:rsidR="00DB2B68" w:rsidRDefault="00000000">
      <w:r>
        <w:rPr>
          <w:rStyle w:val="soitChar"/>
        </w:rPr>
        <w:t>  4 ou 5. pc</w:t>
      </w:r>
    </w:p>
    <w:p w14:paraId="00F5EB1C" w14:textId="77777777" w:rsidR="00DB2B68" w:rsidRDefault="00000000">
      <w:r>
        <w:rPr>
          <w:rStyle w:val="soitChar"/>
        </w:rPr>
        <w:t> </w:t>
      </w:r>
    </w:p>
    <w:p w14:paraId="75494146" w14:textId="77777777" w:rsidR="00DB2B68" w:rsidRDefault="00000000">
      <w:r>
        <w:rPr>
          <w:b/>
        </w:rPr>
        <w:t>FLOCAGE</w:t>
      </w:r>
    </w:p>
    <w:p w14:paraId="165A0BCD" w14:textId="77777777" w:rsidR="00DB2B68" w:rsidRDefault="00000000">
      <w:r>
        <w:t>Le traitement au feu par flocage est compté séparément et fait l’objet d’un (de) poste(s) supplémentaire(s) dans le présent article :</w:t>
      </w:r>
    </w:p>
    <w:p w14:paraId="17836FBF" w14:textId="77777777" w:rsidR="00DB2B68" w:rsidRDefault="00000000">
      <w:r>
        <w:rPr>
          <w:rStyle w:val="optioncarChar"/>
        </w:rPr>
        <w:lastRenderedPageBreak/>
        <w:t xml:space="preserve">m² </w:t>
      </w:r>
      <w:r>
        <w:t>(par défaut)</w:t>
      </w:r>
      <w:r>
        <w:rPr>
          <w:rStyle w:val="optioncarChar"/>
        </w:rPr>
        <w:t xml:space="preserve"> / m / pc.</w:t>
      </w:r>
    </w:p>
    <w:p w14:paraId="2862B5AD" w14:textId="77777777" w:rsidR="00DB2B68" w:rsidRDefault="00000000">
      <w:r>
        <w:rPr>
          <w:b/>
          <w:i/>
        </w:rPr>
        <w:t>(Soit par défaut)</w:t>
      </w:r>
    </w:p>
    <w:p w14:paraId="6DE065AB" w14:textId="77777777" w:rsidR="00DB2B68" w:rsidRDefault="00000000">
      <w:r>
        <w:rPr>
          <w:rStyle w:val="soitChar"/>
        </w:rPr>
        <w:t> 1. m².</w:t>
      </w:r>
    </w:p>
    <w:p w14:paraId="54A93753" w14:textId="77777777" w:rsidR="00DB2B68" w:rsidRDefault="00000000">
      <w:r>
        <w:rPr>
          <w:b/>
          <w:i/>
        </w:rPr>
        <w:t>(Soit)</w:t>
      </w:r>
    </w:p>
    <w:p w14:paraId="7ABC3BB2" w14:textId="77777777" w:rsidR="00DB2B68" w:rsidRDefault="00000000">
      <w:r>
        <w:rPr>
          <w:rStyle w:val="soitChar"/>
        </w:rPr>
        <w:t> 2. m</w:t>
      </w:r>
    </w:p>
    <w:p w14:paraId="224B25FC" w14:textId="77777777" w:rsidR="00DB2B68" w:rsidRDefault="00000000">
      <w:r>
        <w:rPr>
          <w:b/>
          <w:i/>
        </w:rPr>
        <w:t>(Soit)</w:t>
      </w:r>
    </w:p>
    <w:p w14:paraId="37FCF403" w14:textId="77777777" w:rsidR="00DB2B68" w:rsidRDefault="00000000">
      <w:r>
        <w:rPr>
          <w:rStyle w:val="soitChar"/>
        </w:rPr>
        <w:t> 3. pc</w:t>
      </w:r>
    </w:p>
    <w:p w14:paraId="7E29EB28" w14:textId="77777777" w:rsidR="00DB2B68" w:rsidRDefault="00DB2B68"/>
    <w:p w14:paraId="292F5618" w14:textId="77777777" w:rsidR="00DB2B68" w:rsidRDefault="00000000">
      <w:r>
        <w:rPr>
          <w:b/>
        </w:rPr>
        <w:t>COUPURE THERMIQUE</w:t>
      </w:r>
    </w:p>
    <w:p w14:paraId="1806943D" w14:textId="77777777" w:rsidR="00DB2B68" w:rsidRDefault="00000000">
      <w:r>
        <w:rPr>
          <w:rStyle w:val="optioncarChar"/>
        </w:rPr>
        <w:t>pièce</w:t>
      </w:r>
    </w:p>
    <w:p w14:paraId="4F71A081" w14:textId="77777777" w:rsidR="00DB2B68" w:rsidRDefault="00000000">
      <w:pPr>
        <w:pStyle w:val="pheading"/>
      </w:pPr>
      <w:r>
        <w:t>- code de mesurage:</w:t>
      </w:r>
    </w:p>
    <w:p w14:paraId="5527657B" w14:textId="77777777" w:rsidR="00DB2B68" w:rsidRDefault="00000000">
      <w:r>
        <w:rPr>
          <w:b/>
        </w:rPr>
        <w:t>COLONNE</w:t>
      </w:r>
    </w:p>
    <w:p w14:paraId="636CF9BF" w14:textId="77777777" w:rsidR="00DB2B68" w:rsidRDefault="00000000">
      <w:r>
        <w:t>Distinctions faites suivant les types de profilés, nuances et qualités d’acier.</w:t>
      </w:r>
    </w:p>
    <w:p w14:paraId="66B5FAF6"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6E69A2C1" w14:textId="77777777" w:rsidR="00DB2B68" w:rsidRDefault="00000000">
      <w:r>
        <w:rPr>
          <w:b/>
          <w:i/>
        </w:rPr>
        <w:t>(Soit par défaut)</w:t>
      </w:r>
    </w:p>
    <w:p w14:paraId="6595BBD3"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3C537547" w14:textId="77777777" w:rsidR="00DB2B68" w:rsidRDefault="00000000">
      <w:r>
        <w:rPr>
          <w:b/>
          <w:i/>
        </w:rPr>
        <w:t>(Soit)</w:t>
      </w:r>
    </w:p>
    <w:p w14:paraId="68C706A6"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656F0B0" w14:textId="77777777" w:rsidR="00DB2B68" w:rsidRDefault="00000000">
      <w:r>
        <w:rPr>
          <w:b/>
          <w:i/>
        </w:rPr>
        <w:t>(Soit)</w:t>
      </w:r>
    </w:p>
    <w:p w14:paraId="405C565F"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316A4A76" w14:textId="77777777" w:rsidR="00DB2B68" w:rsidRDefault="00000000">
      <w:r>
        <w:rPr>
          <w:b/>
          <w:i/>
        </w:rPr>
        <w:t>(Soit)</w:t>
      </w:r>
    </w:p>
    <w:p w14:paraId="55B76370"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76E9FF8" w14:textId="77777777" w:rsidR="00DB2B68" w:rsidRDefault="00000000">
      <w:r>
        <w:rPr>
          <w:b/>
          <w:i/>
        </w:rPr>
        <w:t>(Soit)</w:t>
      </w:r>
    </w:p>
    <w:p w14:paraId="69FBD697"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7D645577" w14:textId="77777777" w:rsidR="00DB2B68" w:rsidRDefault="00DB2B68"/>
    <w:p w14:paraId="0D2FA4AE" w14:textId="77777777" w:rsidR="00DB2B68" w:rsidRDefault="00000000">
      <w:r>
        <w:rPr>
          <w:b/>
        </w:rPr>
        <w:t>FLOCAGE</w:t>
      </w:r>
    </w:p>
    <w:p w14:paraId="77CD50CB"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AA174AF" w14:textId="77777777" w:rsidR="00DB2B68" w:rsidRDefault="00000000">
      <w:r>
        <w:rPr>
          <w:b/>
          <w:i/>
        </w:rPr>
        <w:t>(Soit par défaut)</w:t>
      </w:r>
    </w:p>
    <w:p w14:paraId="3F0617A5"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67C5E603" w14:textId="77777777" w:rsidR="00DB2B68" w:rsidRDefault="00000000">
      <w:r>
        <w:rPr>
          <w:b/>
          <w:i/>
        </w:rPr>
        <w:t>(Soit)</w:t>
      </w:r>
    </w:p>
    <w:p w14:paraId="2E15EF76"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A904AB3" w14:textId="77777777" w:rsidR="00DB2B68" w:rsidRDefault="00000000">
      <w:r>
        <w:rPr>
          <w:b/>
          <w:i/>
        </w:rPr>
        <w:t>(Soit)</w:t>
      </w:r>
    </w:p>
    <w:p w14:paraId="2C8E7DC9"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717C49CE" w14:textId="77777777" w:rsidR="00DB2B68" w:rsidRDefault="00DB2B68"/>
    <w:p w14:paraId="4828501B" w14:textId="77777777" w:rsidR="00DB2B68" w:rsidRDefault="00000000">
      <w:pPr>
        <w:spacing w:after="0" w:line="256" w:lineRule="auto"/>
        <w:jc w:val="both"/>
      </w:pPr>
      <w:r>
        <w:rPr>
          <w:b/>
        </w:rPr>
        <w:t>COUPURE THERMIQUE</w:t>
      </w:r>
    </w:p>
    <w:p w14:paraId="4D9607C8" w14:textId="77777777" w:rsidR="00DB2B68" w:rsidRDefault="00000000">
      <w:r>
        <w:rPr>
          <w:rStyle w:val="optioncarChar"/>
        </w:rPr>
        <w:t>À la pièce, ventilée suivant les types d’éléments</w:t>
      </w:r>
    </w:p>
    <w:p w14:paraId="0FB553AF" w14:textId="77777777" w:rsidR="00DB2B68" w:rsidRDefault="00000000">
      <w:pPr>
        <w:pStyle w:val="pheading"/>
      </w:pPr>
      <w:r>
        <w:t>- nature du marché:</w:t>
      </w:r>
    </w:p>
    <w:p w14:paraId="3A5813C0" w14:textId="77777777" w:rsidR="00DB2B68" w:rsidRDefault="00DB2B68"/>
    <w:p w14:paraId="5FFA88E9" w14:textId="77777777" w:rsidR="00DB2B68" w:rsidRDefault="00000000">
      <w:r>
        <w:rPr>
          <w:rStyle w:val="optioncarChar"/>
        </w:rPr>
        <w:t>QF</w:t>
      </w:r>
      <w:r>
        <w:t xml:space="preserve"> (par défaut) </w:t>
      </w:r>
      <w:r>
        <w:rPr>
          <w:rStyle w:val="optioncarChar"/>
        </w:rPr>
        <w:t>/ QP</w:t>
      </w:r>
    </w:p>
    <w:p w14:paraId="29633C85" w14:textId="77777777" w:rsidR="00DB2B68" w:rsidRDefault="00000000">
      <w:pPr>
        <w:pStyle w:val="soit"/>
      </w:pPr>
      <w:r>
        <w:rPr>
          <w:rStyle w:val="normalChar"/>
          <w:b/>
          <w:i/>
          <w:color w:val="000000"/>
        </w:rPr>
        <w:t xml:space="preserve">(Soit par défaut) </w:t>
      </w:r>
    </w:p>
    <w:p w14:paraId="5F15870B" w14:textId="77777777" w:rsidR="00DB2B68" w:rsidRDefault="00000000">
      <w:r>
        <w:rPr>
          <w:rStyle w:val="soitChar"/>
        </w:rPr>
        <w:t xml:space="preserve">1. QF </w:t>
      </w:r>
    </w:p>
    <w:p w14:paraId="57EA8AD5" w14:textId="77777777" w:rsidR="00DB2B68" w:rsidRDefault="00000000">
      <w:r>
        <w:rPr>
          <w:b/>
          <w:i/>
        </w:rPr>
        <w:t>(Soit)</w:t>
      </w:r>
    </w:p>
    <w:p w14:paraId="5BDD056A" w14:textId="77777777" w:rsidR="00DB2B68" w:rsidRDefault="00000000">
      <w:r>
        <w:rPr>
          <w:rStyle w:val="soitChar"/>
        </w:rPr>
        <w:t>2. QP</w:t>
      </w:r>
    </w:p>
    <w:p w14:paraId="49258CE6" w14:textId="77777777" w:rsidR="00DB2B68" w:rsidRDefault="00000000">
      <w:pPr>
        <w:pStyle w:val="pheading"/>
      </w:pPr>
      <w:r>
        <w:t>AIDE</w:t>
      </w:r>
    </w:p>
    <w:p w14:paraId="409B21C8" w14:textId="77777777" w:rsidR="00DB2B68" w:rsidRDefault="00DB2B68"/>
    <w:p w14:paraId="1A6BC169" w14:textId="77777777" w:rsidR="00DB2B68" w:rsidRDefault="00000000">
      <w:pPr>
        <w:spacing w:line="256" w:lineRule="auto"/>
      </w:pPr>
      <w:r>
        <w:rPr>
          <w:sz w:val="24"/>
        </w:rPr>
        <w:t>Exemple pour métré :</w:t>
      </w:r>
    </w:p>
    <w:p w14:paraId="32E7A51F" w14:textId="77777777" w:rsidR="00DB2B68" w:rsidRDefault="00000000">
      <w:pPr>
        <w:spacing w:line="256" w:lineRule="auto"/>
      </w:pPr>
      <w:r>
        <w:rPr>
          <w:sz w:val="24"/>
        </w:rPr>
        <w:t>HEA 200       S235JR         Z15     galvanisé à chaud</w:t>
      </w:r>
    </w:p>
    <w:p w14:paraId="7BB67724" w14:textId="77777777" w:rsidR="00DB2B68" w:rsidRDefault="00000000">
      <w:pPr>
        <w:spacing w:line="259" w:lineRule="auto"/>
      </w:pPr>
      <w:r>
        <w:rPr>
          <w:sz w:val="24"/>
        </w:rPr>
        <w:t>IPE 360         S355J2                     primaire antirouille</w:t>
      </w:r>
    </w:p>
    <w:p w14:paraId="22059AF6" w14:textId="77777777" w:rsidR="00DB2B68" w:rsidRDefault="00000000">
      <w:pPr>
        <w:pStyle w:val="Author-eSectionHeading6Numberless"/>
      </w:pPr>
      <w:bookmarkStart w:id="1223" w:name="_Toc220496240"/>
      <w:r>
        <w:t>23.14.1b Colonnes reconstituées en profilés d'acier CCTB 01.11</w:t>
      </w:r>
      <w:bookmarkEnd w:id="1223"/>
    </w:p>
    <w:p w14:paraId="4C16A503" w14:textId="77777777" w:rsidR="00DB2B68" w:rsidRDefault="00000000">
      <w:pPr>
        <w:pStyle w:val="pheading"/>
      </w:pPr>
      <w:bookmarkStart w:id="1224" w:name="496"/>
      <w:bookmarkEnd w:id="1224"/>
      <w:r>
        <w:t>DESCRIPTION</w:t>
      </w:r>
    </w:p>
    <w:p w14:paraId="1BC52F2C" w14:textId="77777777" w:rsidR="00DB2B68" w:rsidRDefault="00000000">
      <w:pPr>
        <w:pStyle w:val="pheading"/>
      </w:pPr>
      <w:r>
        <w:t>- Définition / Comprend</w:t>
      </w:r>
    </w:p>
    <w:p w14:paraId="76AF5E9B" w14:textId="77777777" w:rsidR="00DB2B68" w:rsidRDefault="00000000">
      <w:pPr>
        <w:ind w:left="750"/>
      </w:pPr>
      <w:r>
        <w:t>Il s'agit de l’ensemble des colonnes reconstituées soudées à partir d’éléments en acier laminés à chaud conformes à la [NBN EN 10025 série]. L’assemblage de ces éléments est conforme à la [NBN EN 1090-2]. </w:t>
      </w:r>
    </w:p>
    <w:p w14:paraId="40CD6648" w14:textId="77777777" w:rsidR="00DB2B68" w:rsidRDefault="00000000">
      <w:pPr>
        <w:pStyle w:val="pheading"/>
      </w:pPr>
      <w:r>
        <w:t>- Localisation</w:t>
      </w:r>
    </w:p>
    <w:p w14:paraId="22D9A94E" w14:textId="77777777" w:rsidR="00DB2B68" w:rsidRDefault="00000000">
      <w:pPr>
        <w:ind w:left="750"/>
      </w:pPr>
      <w:r>
        <w:rPr>
          <w:rFonts w:ascii="Calibri" w:hAnsi="Calibri" w:cs="Calibri"/>
          <w:sz w:val="22"/>
        </w:rPr>
        <w:t xml:space="preserve">Les travaux sont localisés : </w:t>
      </w:r>
      <w:r>
        <w:rPr>
          <w:rStyle w:val="optioncarChar"/>
        </w:rPr>
        <w:t>Voir plans et métrés détaillés </w:t>
      </w:r>
      <w:r>
        <w:t>(par défaut)</w:t>
      </w:r>
      <w:r>
        <w:rPr>
          <w:rStyle w:val="optioncarChar"/>
        </w:rPr>
        <w:t xml:space="preserve"> / *** </w:t>
      </w:r>
      <w:r>
        <w:rPr>
          <w:color w:val="000000"/>
        </w:rPr>
        <w:t>.</w:t>
      </w:r>
    </w:p>
    <w:p w14:paraId="1340E450" w14:textId="77777777" w:rsidR="00DB2B68" w:rsidRDefault="00000000">
      <w:pPr>
        <w:pStyle w:val="pheading"/>
      </w:pPr>
      <w:r>
        <w:t>EXÉCUTION / MISE EN ŒUVRE</w:t>
      </w:r>
    </w:p>
    <w:p w14:paraId="3B8395C6" w14:textId="77777777" w:rsidR="00DB2B68" w:rsidRDefault="00000000">
      <w:pPr>
        <w:pStyle w:val="pheading"/>
      </w:pPr>
      <w:r>
        <w:t>- Notes d’exécution complémentaires</w:t>
      </w:r>
    </w:p>
    <w:p w14:paraId="4215960F" w14:textId="77777777" w:rsidR="00DB2B68" w:rsidRDefault="00000000">
      <w:r>
        <w:rPr>
          <w:rStyle w:val="facultChar"/>
        </w:rPr>
        <w:t xml:space="preserve"> Le présent article comprend également des coupures thermiques : Des dispositifs adéquats sont utilisés pour éviter tout pont thermique.</w:t>
      </w:r>
    </w:p>
    <w:p w14:paraId="512AA214" w14:textId="77777777" w:rsidR="00DB2B68" w:rsidRDefault="00000000">
      <w:pPr>
        <w:pStyle w:val="pheading"/>
      </w:pPr>
      <w:r>
        <w:t>MESURAGE</w:t>
      </w:r>
    </w:p>
    <w:p w14:paraId="6B98B0EE" w14:textId="77777777" w:rsidR="00DB2B68" w:rsidRDefault="00000000">
      <w:pPr>
        <w:pStyle w:val="pheading"/>
      </w:pPr>
      <w:r>
        <w:t>- unité de mesure:</w:t>
      </w:r>
    </w:p>
    <w:p w14:paraId="5BC8883B" w14:textId="77777777" w:rsidR="00DB2B68" w:rsidRDefault="00DB2B68"/>
    <w:p w14:paraId="371F1D52" w14:textId="77777777" w:rsidR="00DB2B68" w:rsidRDefault="00000000">
      <w:r>
        <w:rPr>
          <w:b/>
        </w:rPr>
        <w:t>COLONNE</w:t>
      </w:r>
    </w:p>
    <w:p w14:paraId="3FB49D1E" w14:textId="77777777" w:rsidR="00DB2B68" w:rsidRDefault="00000000">
      <w:r>
        <w:rPr>
          <w:rStyle w:val="optioncarChar"/>
        </w:rPr>
        <w:t>kg </w:t>
      </w:r>
      <w:r>
        <w:t xml:space="preserve">(par défaut) </w:t>
      </w:r>
      <w:r>
        <w:rPr>
          <w:rStyle w:val="optioncarChar"/>
        </w:rPr>
        <w:t>/ m / pc.</w:t>
      </w:r>
    </w:p>
    <w:p w14:paraId="0EFC68EF" w14:textId="77777777" w:rsidR="00DB2B68" w:rsidRDefault="00000000">
      <w:r>
        <w:rPr>
          <w:b/>
          <w:i/>
        </w:rPr>
        <w:t>(Soit par défaut)</w:t>
      </w:r>
    </w:p>
    <w:p w14:paraId="045254EC" w14:textId="77777777" w:rsidR="00DB2B68" w:rsidRDefault="00000000">
      <w:r>
        <w:rPr>
          <w:rStyle w:val="soitChar"/>
        </w:rPr>
        <w:t> 1. kg.</w:t>
      </w:r>
    </w:p>
    <w:p w14:paraId="659088C5" w14:textId="77777777" w:rsidR="00DB2B68" w:rsidRDefault="00000000">
      <w:r>
        <w:rPr>
          <w:b/>
          <w:i/>
        </w:rPr>
        <w:t>(Soit)</w:t>
      </w:r>
    </w:p>
    <w:p w14:paraId="74DBDFC1" w14:textId="77777777" w:rsidR="00DB2B68" w:rsidRDefault="00000000">
      <w:r>
        <w:rPr>
          <w:rStyle w:val="soitChar"/>
        </w:rPr>
        <w:t>  2 ou 3. m</w:t>
      </w:r>
    </w:p>
    <w:p w14:paraId="3223E86C" w14:textId="77777777" w:rsidR="00DB2B68" w:rsidRDefault="00000000">
      <w:r>
        <w:rPr>
          <w:b/>
          <w:i/>
        </w:rPr>
        <w:t>(Soit)</w:t>
      </w:r>
    </w:p>
    <w:p w14:paraId="26985413" w14:textId="77777777" w:rsidR="00DB2B68" w:rsidRDefault="00000000">
      <w:r>
        <w:rPr>
          <w:rStyle w:val="soitChar"/>
        </w:rPr>
        <w:t>  4 ou 5. pc</w:t>
      </w:r>
    </w:p>
    <w:p w14:paraId="3CDE1267" w14:textId="77777777" w:rsidR="00DB2B68" w:rsidRDefault="00000000">
      <w:r>
        <w:rPr>
          <w:rStyle w:val="soitChar"/>
        </w:rPr>
        <w:t> </w:t>
      </w:r>
    </w:p>
    <w:p w14:paraId="2E74C76B" w14:textId="77777777" w:rsidR="00DB2B68" w:rsidRDefault="00000000">
      <w:r>
        <w:rPr>
          <w:b/>
        </w:rPr>
        <w:lastRenderedPageBreak/>
        <w:t>FLOCAGE</w:t>
      </w:r>
    </w:p>
    <w:p w14:paraId="51133115" w14:textId="77777777" w:rsidR="00DB2B68" w:rsidRDefault="00000000">
      <w:r>
        <w:t>Le traitement au feu par flocage est compté séparément et fait l’objet d’un (de) poste(s) supplémentaire(s) dans le présent article :</w:t>
      </w:r>
    </w:p>
    <w:p w14:paraId="684ECAF8" w14:textId="77777777" w:rsidR="00DB2B68" w:rsidRDefault="00000000">
      <w:r>
        <w:rPr>
          <w:rStyle w:val="optioncarChar"/>
        </w:rPr>
        <w:t xml:space="preserve">m² </w:t>
      </w:r>
      <w:r>
        <w:t>(par défaut)</w:t>
      </w:r>
      <w:r>
        <w:rPr>
          <w:rStyle w:val="optioncarChar"/>
        </w:rPr>
        <w:t xml:space="preserve"> / m / pc.</w:t>
      </w:r>
    </w:p>
    <w:p w14:paraId="31CD6BDA" w14:textId="77777777" w:rsidR="00DB2B68" w:rsidRDefault="00000000">
      <w:r>
        <w:rPr>
          <w:b/>
          <w:i/>
        </w:rPr>
        <w:t>(Soit par défaut)</w:t>
      </w:r>
    </w:p>
    <w:p w14:paraId="30AF6948" w14:textId="77777777" w:rsidR="00DB2B68" w:rsidRDefault="00000000">
      <w:r>
        <w:rPr>
          <w:rStyle w:val="soitChar"/>
        </w:rPr>
        <w:t> 1. m².</w:t>
      </w:r>
    </w:p>
    <w:p w14:paraId="5466B5E3" w14:textId="77777777" w:rsidR="00DB2B68" w:rsidRDefault="00000000">
      <w:r>
        <w:rPr>
          <w:b/>
          <w:i/>
        </w:rPr>
        <w:t>(Soit)</w:t>
      </w:r>
    </w:p>
    <w:p w14:paraId="035CB14A" w14:textId="77777777" w:rsidR="00DB2B68" w:rsidRDefault="00000000">
      <w:r>
        <w:rPr>
          <w:rStyle w:val="soitChar"/>
        </w:rPr>
        <w:t> 2. m</w:t>
      </w:r>
    </w:p>
    <w:p w14:paraId="160A25F9" w14:textId="77777777" w:rsidR="00DB2B68" w:rsidRDefault="00000000">
      <w:r>
        <w:rPr>
          <w:b/>
          <w:i/>
        </w:rPr>
        <w:t>(Soit)</w:t>
      </w:r>
    </w:p>
    <w:p w14:paraId="1E5F7CE1" w14:textId="77777777" w:rsidR="00DB2B68" w:rsidRDefault="00000000">
      <w:r>
        <w:rPr>
          <w:rStyle w:val="soitChar"/>
        </w:rPr>
        <w:t> 3. pc</w:t>
      </w:r>
    </w:p>
    <w:p w14:paraId="504678C9" w14:textId="77777777" w:rsidR="00DB2B68" w:rsidRDefault="00DB2B68"/>
    <w:p w14:paraId="3A94A7F0" w14:textId="77777777" w:rsidR="00DB2B68" w:rsidRDefault="00000000">
      <w:r>
        <w:rPr>
          <w:b/>
        </w:rPr>
        <w:t>COUPURE THERMIQUE</w:t>
      </w:r>
    </w:p>
    <w:p w14:paraId="73FB71C2" w14:textId="77777777" w:rsidR="00DB2B68" w:rsidRDefault="00000000">
      <w:r>
        <w:rPr>
          <w:rStyle w:val="optioncarChar"/>
        </w:rPr>
        <w:t>pièce</w:t>
      </w:r>
    </w:p>
    <w:p w14:paraId="10481BF0" w14:textId="77777777" w:rsidR="00DB2B68" w:rsidRDefault="00000000">
      <w:pPr>
        <w:pStyle w:val="pheading"/>
      </w:pPr>
      <w:r>
        <w:t>- code de mesurage:</w:t>
      </w:r>
    </w:p>
    <w:p w14:paraId="39646E6D" w14:textId="77777777" w:rsidR="00DB2B68" w:rsidRDefault="00DB2B68"/>
    <w:p w14:paraId="5CED13D4" w14:textId="77777777" w:rsidR="00DB2B68" w:rsidRDefault="00000000">
      <w:r>
        <w:rPr>
          <w:b/>
        </w:rPr>
        <w:t>COLONNE</w:t>
      </w:r>
    </w:p>
    <w:p w14:paraId="0E1E89C1" w14:textId="77777777" w:rsidR="00DB2B68" w:rsidRDefault="00000000">
      <w:r>
        <w:t>Distinctions faites suivant les types de profilés, nuances et qualités d’acier.</w:t>
      </w:r>
    </w:p>
    <w:p w14:paraId="44976D81"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0050D724" w14:textId="77777777" w:rsidR="00DB2B68" w:rsidRDefault="00000000">
      <w:r>
        <w:rPr>
          <w:b/>
          <w:i/>
        </w:rPr>
        <w:t>(Soit par défaut)</w:t>
      </w:r>
    </w:p>
    <w:p w14:paraId="385A3B6C"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78A672AD" w14:textId="77777777" w:rsidR="00DB2B68" w:rsidRDefault="00000000">
      <w:r>
        <w:rPr>
          <w:b/>
          <w:i/>
        </w:rPr>
        <w:t>(Soit)</w:t>
      </w:r>
    </w:p>
    <w:p w14:paraId="248A5A46"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6AB5F9FB" w14:textId="77777777" w:rsidR="00DB2B68" w:rsidRDefault="00000000">
      <w:r>
        <w:rPr>
          <w:b/>
          <w:i/>
        </w:rPr>
        <w:t>(Soit)</w:t>
      </w:r>
    </w:p>
    <w:p w14:paraId="6244081E"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6F8635A" w14:textId="77777777" w:rsidR="00DB2B68" w:rsidRDefault="00000000">
      <w:r>
        <w:rPr>
          <w:b/>
          <w:i/>
        </w:rPr>
        <w:t>(Soit)</w:t>
      </w:r>
    </w:p>
    <w:p w14:paraId="62086895"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7A103C0" w14:textId="77777777" w:rsidR="00DB2B68" w:rsidRDefault="00000000">
      <w:r>
        <w:rPr>
          <w:b/>
          <w:i/>
        </w:rPr>
        <w:t>(Soit)</w:t>
      </w:r>
    </w:p>
    <w:p w14:paraId="7719E4F7"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3771E0A0" w14:textId="77777777" w:rsidR="00DB2B68" w:rsidRDefault="00DB2B68"/>
    <w:p w14:paraId="26C32E92" w14:textId="77777777" w:rsidR="00DB2B68" w:rsidRDefault="00000000">
      <w:r>
        <w:rPr>
          <w:b/>
        </w:rPr>
        <w:t>FLOCAGE</w:t>
      </w:r>
    </w:p>
    <w:p w14:paraId="28DE65B7"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6F0ECAD" w14:textId="77777777" w:rsidR="00DB2B68" w:rsidRDefault="00000000">
      <w:r>
        <w:rPr>
          <w:b/>
          <w:i/>
        </w:rPr>
        <w:t>(Soit par défaut)</w:t>
      </w:r>
    </w:p>
    <w:p w14:paraId="13B4A8D4"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14BD89C9" w14:textId="77777777" w:rsidR="00DB2B68" w:rsidRDefault="00000000">
      <w:r>
        <w:rPr>
          <w:b/>
          <w:i/>
        </w:rPr>
        <w:t>(Soit)</w:t>
      </w:r>
    </w:p>
    <w:p w14:paraId="465BA369" w14:textId="77777777" w:rsidR="00DB2B68" w:rsidRDefault="00000000">
      <w:r>
        <w:rPr>
          <w:rStyle w:val="soitChar"/>
        </w:rPr>
        <w:lastRenderedPageBreak/>
        <w:t xml:space="preserve">2. </w:t>
      </w:r>
      <w:r>
        <w:rPr>
          <w:rStyle w:val="soitChar"/>
          <w:u w:val="single"/>
        </w:rPr>
        <w:t>Longueur nette</w:t>
      </w:r>
      <w:r>
        <w:rPr>
          <w:rStyle w:val="soitChar"/>
        </w:rPr>
        <w:t xml:space="preserve"> : </w:t>
      </w:r>
      <w:r>
        <w:br/>
      </w:r>
      <w:r>
        <w:rPr>
          <w:rStyle w:val="soitChar"/>
        </w:rPr>
        <w:t>Longueur nette à traiter.</w:t>
      </w:r>
    </w:p>
    <w:p w14:paraId="4498C03F" w14:textId="77777777" w:rsidR="00DB2B68" w:rsidRDefault="00000000">
      <w:r>
        <w:rPr>
          <w:b/>
          <w:i/>
        </w:rPr>
        <w:t>(Soit)</w:t>
      </w:r>
    </w:p>
    <w:p w14:paraId="33140735"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2653953" w14:textId="77777777" w:rsidR="00DB2B68" w:rsidRDefault="00DB2B68"/>
    <w:p w14:paraId="2054DA0E" w14:textId="77777777" w:rsidR="00DB2B68" w:rsidRDefault="00000000">
      <w:pPr>
        <w:spacing w:after="0" w:line="256" w:lineRule="auto"/>
        <w:jc w:val="both"/>
      </w:pPr>
      <w:r>
        <w:rPr>
          <w:b/>
        </w:rPr>
        <w:t>COUPURE THERMIQUE</w:t>
      </w:r>
    </w:p>
    <w:p w14:paraId="723E07B3" w14:textId="77777777" w:rsidR="00DB2B68" w:rsidRDefault="00000000">
      <w:r>
        <w:rPr>
          <w:rStyle w:val="optioncarChar"/>
        </w:rPr>
        <w:t>À la pièce, ventilée suivant les types d’éléments</w:t>
      </w:r>
    </w:p>
    <w:p w14:paraId="50BA5C35" w14:textId="77777777" w:rsidR="00DB2B68" w:rsidRDefault="00000000">
      <w:pPr>
        <w:pStyle w:val="pheading"/>
      </w:pPr>
      <w:r>
        <w:t>- nature du marché:</w:t>
      </w:r>
    </w:p>
    <w:p w14:paraId="1870329A" w14:textId="77777777" w:rsidR="00DB2B68" w:rsidRDefault="00DB2B68"/>
    <w:p w14:paraId="2351ED27" w14:textId="77777777" w:rsidR="00DB2B68" w:rsidRDefault="00000000">
      <w:r>
        <w:rPr>
          <w:rStyle w:val="optioncarChar"/>
        </w:rPr>
        <w:t>QF</w:t>
      </w:r>
      <w:r>
        <w:t xml:space="preserve"> (par défaut) </w:t>
      </w:r>
      <w:r>
        <w:rPr>
          <w:rStyle w:val="optioncarChar"/>
        </w:rPr>
        <w:t>/ QP</w:t>
      </w:r>
    </w:p>
    <w:p w14:paraId="1903B548" w14:textId="77777777" w:rsidR="00DB2B68" w:rsidRDefault="00000000">
      <w:pPr>
        <w:pStyle w:val="soit"/>
      </w:pPr>
      <w:r>
        <w:rPr>
          <w:rStyle w:val="normalChar"/>
          <w:b/>
          <w:i/>
          <w:color w:val="000000"/>
        </w:rPr>
        <w:t xml:space="preserve">(Soit par défaut) </w:t>
      </w:r>
    </w:p>
    <w:p w14:paraId="3E4E42E7" w14:textId="77777777" w:rsidR="00DB2B68" w:rsidRDefault="00000000">
      <w:r>
        <w:rPr>
          <w:rStyle w:val="soitChar"/>
        </w:rPr>
        <w:t xml:space="preserve">1. QF </w:t>
      </w:r>
    </w:p>
    <w:p w14:paraId="5B697727" w14:textId="77777777" w:rsidR="00DB2B68" w:rsidRDefault="00000000">
      <w:r>
        <w:rPr>
          <w:b/>
          <w:i/>
        </w:rPr>
        <w:t>(Soit)</w:t>
      </w:r>
    </w:p>
    <w:p w14:paraId="780CE7D5" w14:textId="77777777" w:rsidR="00DB2B68" w:rsidRDefault="00000000">
      <w:r>
        <w:rPr>
          <w:rStyle w:val="soitChar"/>
        </w:rPr>
        <w:t>2. QP</w:t>
      </w:r>
    </w:p>
    <w:p w14:paraId="2226E053" w14:textId="77777777" w:rsidR="00DB2B68" w:rsidRDefault="00000000">
      <w:pPr>
        <w:pStyle w:val="Author-eSectionHeading6Numberless"/>
      </w:pPr>
      <w:bookmarkStart w:id="1225" w:name="_Toc220496241"/>
      <w:r>
        <w:t>23.14.1c Colonnes en treillis en acier CCTB 01.11</w:t>
      </w:r>
      <w:bookmarkEnd w:id="1225"/>
    </w:p>
    <w:p w14:paraId="48789310" w14:textId="77777777" w:rsidR="00DB2B68" w:rsidRDefault="00000000">
      <w:pPr>
        <w:pStyle w:val="pheading"/>
      </w:pPr>
      <w:r>
        <w:t>DESCRIPTION</w:t>
      </w:r>
    </w:p>
    <w:p w14:paraId="54AEAE85" w14:textId="77777777" w:rsidR="00DB2B68" w:rsidRDefault="00000000">
      <w:pPr>
        <w:pStyle w:val="pheading"/>
      </w:pPr>
      <w:r>
        <w:t>- Définition / Comprend</w:t>
      </w:r>
    </w:p>
    <w:p w14:paraId="4C69F8C3" w14:textId="77777777" w:rsidR="00DB2B68" w:rsidRDefault="00000000">
      <w:pPr>
        <w:ind w:left="750"/>
      </w:pPr>
      <w:r>
        <w:t>Il s'agit de l’ensemble des colonnes en treillis constituées d’éléments en acier laminés à chaud conformes à la [NBN EN 10025 série]. Une colonne en treillis est formée d’éléments assemblés entre eux formant une triangulation. Cette colonne comprend deux membrures reliées par des éléments horizontaux et/ou obliques (montants et/ou diagonales).  La réalisation de cette colonne est conforme à la [NBN EN 1090-2]. </w:t>
      </w:r>
    </w:p>
    <w:p w14:paraId="18791F84" w14:textId="77777777" w:rsidR="00DB2B68" w:rsidRDefault="00000000">
      <w:pPr>
        <w:pStyle w:val="pheading"/>
      </w:pPr>
      <w:r>
        <w:t>- Localisation</w:t>
      </w:r>
    </w:p>
    <w:p w14:paraId="79BADA26" w14:textId="77777777" w:rsidR="00DB2B68" w:rsidRDefault="00000000">
      <w:pPr>
        <w:ind w:left="750"/>
      </w:pPr>
      <w:r>
        <w:rPr>
          <w:rFonts w:ascii="Calibri" w:hAnsi="Calibri" w:cs="Calibri"/>
          <w:sz w:val="22"/>
        </w:rPr>
        <w:t xml:space="preserve">Les travaux sont localisés : </w:t>
      </w:r>
      <w:r>
        <w:rPr>
          <w:rStyle w:val="optioncarChar"/>
        </w:rPr>
        <w:t>Voir plans et métrés détaillés </w:t>
      </w:r>
      <w:r>
        <w:t>(par défaut)</w:t>
      </w:r>
      <w:r>
        <w:rPr>
          <w:rStyle w:val="optioncarChar"/>
        </w:rPr>
        <w:t xml:space="preserve"> / *** </w:t>
      </w:r>
      <w:r>
        <w:rPr>
          <w:color w:val="000000"/>
        </w:rPr>
        <w:t>.</w:t>
      </w:r>
    </w:p>
    <w:p w14:paraId="104FE3C9" w14:textId="77777777" w:rsidR="00DB2B68" w:rsidRDefault="00000000">
      <w:pPr>
        <w:pStyle w:val="pheading"/>
      </w:pPr>
      <w:r>
        <w:t>EXÉCUTION / MISE EN ŒUVRE</w:t>
      </w:r>
    </w:p>
    <w:p w14:paraId="63E252C9" w14:textId="77777777" w:rsidR="00DB2B68" w:rsidRDefault="00000000">
      <w:pPr>
        <w:pStyle w:val="pheading"/>
      </w:pPr>
      <w:r>
        <w:t>- Notes d’exécution complémentaires</w:t>
      </w:r>
    </w:p>
    <w:p w14:paraId="7C8ECEC5" w14:textId="77777777" w:rsidR="00DB2B68" w:rsidRDefault="00000000">
      <w:r>
        <w:rPr>
          <w:rStyle w:val="facultChar"/>
        </w:rPr>
        <w:t xml:space="preserve"> Le présent article comprend également des coupures thermiques : Des dispositifs adéquats sont utilisés pour éviter tout pont thermique.</w:t>
      </w:r>
    </w:p>
    <w:p w14:paraId="0D9F4F09" w14:textId="77777777" w:rsidR="00DB2B68" w:rsidRDefault="00000000">
      <w:pPr>
        <w:pStyle w:val="pheading"/>
      </w:pPr>
      <w:r>
        <w:t>MESURAGE</w:t>
      </w:r>
    </w:p>
    <w:p w14:paraId="33A7BC4D" w14:textId="77777777" w:rsidR="00DB2B68" w:rsidRDefault="00000000">
      <w:pPr>
        <w:pStyle w:val="pheading"/>
      </w:pPr>
      <w:r>
        <w:t>- unité de mesure:</w:t>
      </w:r>
    </w:p>
    <w:p w14:paraId="44EF9A02" w14:textId="77777777" w:rsidR="00DB2B68" w:rsidRDefault="00DB2B68"/>
    <w:p w14:paraId="36F415DE" w14:textId="77777777" w:rsidR="00DB2B68" w:rsidRDefault="00000000">
      <w:r>
        <w:rPr>
          <w:b/>
        </w:rPr>
        <w:t>COLONNE</w:t>
      </w:r>
    </w:p>
    <w:p w14:paraId="4CF7C901" w14:textId="77777777" w:rsidR="00DB2B68" w:rsidRDefault="00000000">
      <w:r>
        <w:rPr>
          <w:rStyle w:val="optioncarChar"/>
        </w:rPr>
        <w:t>kg </w:t>
      </w:r>
      <w:r>
        <w:t xml:space="preserve">(par défaut) </w:t>
      </w:r>
      <w:r>
        <w:rPr>
          <w:rStyle w:val="optioncarChar"/>
        </w:rPr>
        <w:t>/ m / pc.</w:t>
      </w:r>
    </w:p>
    <w:p w14:paraId="58E6FFA8" w14:textId="77777777" w:rsidR="00DB2B68" w:rsidRDefault="00000000">
      <w:r>
        <w:rPr>
          <w:b/>
          <w:i/>
        </w:rPr>
        <w:t>(Soit par défaut)</w:t>
      </w:r>
    </w:p>
    <w:p w14:paraId="30EAB722" w14:textId="77777777" w:rsidR="00DB2B68" w:rsidRDefault="00000000">
      <w:r>
        <w:rPr>
          <w:rStyle w:val="soitChar"/>
        </w:rPr>
        <w:t> 1. kg.</w:t>
      </w:r>
    </w:p>
    <w:p w14:paraId="37806ACB" w14:textId="77777777" w:rsidR="00DB2B68" w:rsidRDefault="00000000">
      <w:r>
        <w:rPr>
          <w:b/>
          <w:i/>
        </w:rPr>
        <w:t>(Soit)</w:t>
      </w:r>
    </w:p>
    <w:p w14:paraId="548DC69C" w14:textId="77777777" w:rsidR="00DB2B68" w:rsidRDefault="00000000">
      <w:r>
        <w:rPr>
          <w:rStyle w:val="soitChar"/>
        </w:rPr>
        <w:t>  2 ou 3. m</w:t>
      </w:r>
    </w:p>
    <w:p w14:paraId="5E0938D8" w14:textId="77777777" w:rsidR="00DB2B68" w:rsidRDefault="00000000">
      <w:r>
        <w:rPr>
          <w:b/>
          <w:i/>
        </w:rPr>
        <w:t>(Soit)</w:t>
      </w:r>
    </w:p>
    <w:p w14:paraId="22D69F12" w14:textId="77777777" w:rsidR="00DB2B68" w:rsidRDefault="00000000">
      <w:r>
        <w:rPr>
          <w:rStyle w:val="soitChar"/>
        </w:rPr>
        <w:t>  4 ou 5. pc</w:t>
      </w:r>
    </w:p>
    <w:p w14:paraId="1EA13EE5" w14:textId="77777777" w:rsidR="00DB2B68" w:rsidRDefault="00000000">
      <w:r>
        <w:rPr>
          <w:rStyle w:val="soitChar"/>
        </w:rPr>
        <w:lastRenderedPageBreak/>
        <w:t> </w:t>
      </w:r>
    </w:p>
    <w:p w14:paraId="2AF6AA5D" w14:textId="77777777" w:rsidR="00DB2B68" w:rsidRDefault="00000000">
      <w:r>
        <w:rPr>
          <w:b/>
        </w:rPr>
        <w:t>FLOCAGE</w:t>
      </w:r>
    </w:p>
    <w:p w14:paraId="53F27D16" w14:textId="77777777" w:rsidR="00DB2B68" w:rsidRDefault="00000000">
      <w:r>
        <w:t>Le traitement au feu par flocage est compté séparément et fait l’objet d’un (de) poste(s) supplémentaire(s) dans le présent article :</w:t>
      </w:r>
    </w:p>
    <w:p w14:paraId="18B5A3E4" w14:textId="77777777" w:rsidR="00DB2B68" w:rsidRDefault="00000000">
      <w:r>
        <w:rPr>
          <w:rStyle w:val="optioncarChar"/>
        </w:rPr>
        <w:t xml:space="preserve">m² </w:t>
      </w:r>
      <w:r>
        <w:t>(par défaut)</w:t>
      </w:r>
      <w:r>
        <w:rPr>
          <w:rStyle w:val="optioncarChar"/>
        </w:rPr>
        <w:t xml:space="preserve"> / m / pc.</w:t>
      </w:r>
    </w:p>
    <w:p w14:paraId="0B5D0EB7" w14:textId="77777777" w:rsidR="00DB2B68" w:rsidRDefault="00000000">
      <w:r>
        <w:rPr>
          <w:b/>
          <w:i/>
        </w:rPr>
        <w:t>(Soit par défaut)</w:t>
      </w:r>
    </w:p>
    <w:p w14:paraId="0C0A2E64" w14:textId="77777777" w:rsidR="00DB2B68" w:rsidRDefault="00000000">
      <w:r>
        <w:rPr>
          <w:rStyle w:val="soitChar"/>
        </w:rPr>
        <w:t> 1. m².</w:t>
      </w:r>
    </w:p>
    <w:p w14:paraId="7DA276BC" w14:textId="77777777" w:rsidR="00DB2B68" w:rsidRDefault="00000000">
      <w:r>
        <w:rPr>
          <w:b/>
          <w:i/>
        </w:rPr>
        <w:t>(Soit)</w:t>
      </w:r>
    </w:p>
    <w:p w14:paraId="5CB20447" w14:textId="77777777" w:rsidR="00DB2B68" w:rsidRDefault="00000000">
      <w:r>
        <w:rPr>
          <w:rStyle w:val="soitChar"/>
        </w:rPr>
        <w:t> 2. m</w:t>
      </w:r>
    </w:p>
    <w:p w14:paraId="345B0CE8" w14:textId="77777777" w:rsidR="00DB2B68" w:rsidRDefault="00000000">
      <w:r>
        <w:rPr>
          <w:b/>
          <w:i/>
        </w:rPr>
        <w:t>(Soit)</w:t>
      </w:r>
    </w:p>
    <w:p w14:paraId="240AF673" w14:textId="77777777" w:rsidR="00DB2B68" w:rsidRDefault="00000000">
      <w:r>
        <w:rPr>
          <w:rStyle w:val="soitChar"/>
        </w:rPr>
        <w:t> 3. pc</w:t>
      </w:r>
    </w:p>
    <w:p w14:paraId="539D6F45" w14:textId="77777777" w:rsidR="00DB2B68" w:rsidRDefault="00DB2B68"/>
    <w:p w14:paraId="59C28D92" w14:textId="77777777" w:rsidR="00DB2B68" w:rsidRDefault="00000000">
      <w:r>
        <w:rPr>
          <w:b/>
        </w:rPr>
        <w:t>COUPURE THERMIQUE</w:t>
      </w:r>
    </w:p>
    <w:p w14:paraId="17BDFC46" w14:textId="77777777" w:rsidR="00DB2B68" w:rsidRDefault="00000000">
      <w:r>
        <w:rPr>
          <w:rStyle w:val="optioncarChar"/>
        </w:rPr>
        <w:t>pièce</w:t>
      </w:r>
    </w:p>
    <w:p w14:paraId="6E83C1EC" w14:textId="77777777" w:rsidR="00DB2B68" w:rsidRDefault="00000000">
      <w:pPr>
        <w:pStyle w:val="pheading"/>
      </w:pPr>
      <w:r>
        <w:t>- code de mesurage:</w:t>
      </w:r>
    </w:p>
    <w:p w14:paraId="4FB3794A" w14:textId="77777777" w:rsidR="00DB2B68" w:rsidRDefault="00DB2B68"/>
    <w:p w14:paraId="3340DDC8" w14:textId="77777777" w:rsidR="00DB2B68" w:rsidRDefault="00000000">
      <w:r>
        <w:rPr>
          <w:b/>
        </w:rPr>
        <w:t>COLONNE</w:t>
      </w:r>
    </w:p>
    <w:p w14:paraId="5A890996" w14:textId="77777777" w:rsidR="00DB2B68" w:rsidRDefault="00000000">
      <w:r>
        <w:t>Distinctions faites suivant les types de profilés, nuances et qualités d’acier.</w:t>
      </w:r>
    </w:p>
    <w:p w14:paraId="5641A7B7"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2FCC0AB9" w14:textId="77777777" w:rsidR="00DB2B68" w:rsidRDefault="00000000">
      <w:r>
        <w:rPr>
          <w:b/>
          <w:i/>
        </w:rPr>
        <w:t>(Soit par défaut)</w:t>
      </w:r>
    </w:p>
    <w:p w14:paraId="41C41C9F"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B8AC932" w14:textId="77777777" w:rsidR="00DB2B68" w:rsidRDefault="00000000">
      <w:r>
        <w:rPr>
          <w:b/>
          <w:i/>
        </w:rPr>
        <w:t>(Soit)</w:t>
      </w:r>
    </w:p>
    <w:p w14:paraId="365536F1"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7E2982BB" w14:textId="77777777" w:rsidR="00DB2B68" w:rsidRDefault="00000000">
      <w:r>
        <w:rPr>
          <w:b/>
          <w:i/>
        </w:rPr>
        <w:t>(Soit)</w:t>
      </w:r>
    </w:p>
    <w:p w14:paraId="19892F34"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3EE4ADB1" w14:textId="77777777" w:rsidR="00DB2B68" w:rsidRDefault="00000000">
      <w:r>
        <w:rPr>
          <w:b/>
          <w:i/>
        </w:rPr>
        <w:t>(Soit)</w:t>
      </w:r>
    </w:p>
    <w:p w14:paraId="65E823EF"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15B7705A" w14:textId="77777777" w:rsidR="00DB2B68" w:rsidRDefault="00000000">
      <w:r>
        <w:rPr>
          <w:b/>
          <w:i/>
        </w:rPr>
        <w:t>(Soit)</w:t>
      </w:r>
    </w:p>
    <w:p w14:paraId="395DEF15"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63A9CFEB" w14:textId="77777777" w:rsidR="00DB2B68" w:rsidRDefault="00DB2B68"/>
    <w:p w14:paraId="049A5BAB" w14:textId="77777777" w:rsidR="00DB2B68" w:rsidRDefault="00000000">
      <w:r>
        <w:rPr>
          <w:b/>
        </w:rPr>
        <w:t>FLOCAGE</w:t>
      </w:r>
    </w:p>
    <w:p w14:paraId="30BB54D0"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DB1710D" w14:textId="77777777" w:rsidR="00DB2B68" w:rsidRDefault="00000000">
      <w:r>
        <w:rPr>
          <w:b/>
          <w:i/>
        </w:rPr>
        <w:t>(Soit par défaut)</w:t>
      </w:r>
    </w:p>
    <w:p w14:paraId="3B4AD01F"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401F0B48" w14:textId="77777777" w:rsidR="00DB2B68" w:rsidRDefault="00000000">
      <w:r>
        <w:rPr>
          <w:b/>
          <w:i/>
        </w:rPr>
        <w:t>(Soit)</w:t>
      </w:r>
    </w:p>
    <w:p w14:paraId="020090B8" w14:textId="77777777" w:rsidR="00DB2B68" w:rsidRDefault="00000000">
      <w:r>
        <w:rPr>
          <w:rStyle w:val="soitChar"/>
        </w:rPr>
        <w:lastRenderedPageBreak/>
        <w:t xml:space="preserve">2. </w:t>
      </w:r>
      <w:r>
        <w:rPr>
          <w:rStyle w:val="soitChar"/>
          <w:u w:val="single"/>
        </w:rPr>
        <w:t>Longueur nette</w:t>
      </w:r>
      <w:r>
        <w:rPr>
          <w:rStyle w:val="soitChar"/>
        </w:rPr>
        <w:t xml:space="preserve"> : </w:t>
      </w:r>
      <w:r>
        <w:br/>
      </w:r>
      <w:r>
        <w:rPr>
          <w:rStyle w:val="soitChar"/>
        </w:rPr>
        <w:t>Longueur nette à traiter.</w:t>
      </w:r>
    </w:p>
    <w:p w14:paraId="6ABC81DD" w14:textId="77777777" w:rsidR="00DB2B68" w:rsidRDefault="00000000">
      <w:r>
        <w:rPr>
          <w:b/>
          <w:i/>
        </w:rPr>
        <w:t>(Soit)</w:t>
      </w:r>
    </w:p>
    <w:p w14:paraId="5CCEDCC5"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6F8481D" w14:textId="77777777" w:rsidR="00DB2B68" w:rsidRDefault="00DB2B68"/>
    <w:p w14:paraId="7DF32C24" w14:textId="77777777" w:rsidR="00DB2B68" w:rsidRDefault="00000000">
      <w:pPr>
        <w:spacing w:after="0" w:line="256" w:lineRule="auto"/>
        <w:jc w:val="both"/>
      </w:pPr>
      <w:r>
        <w:rPr>
          <w:b/>
        </w:rPr>
        <w:t>COUPURE THERMIQUE</w:t>
      </w:r>
    </w:p>
    <w:p w14:paraId="74F15657" w14:textId="77777777" w:rsidR="00DB2B68" w:rsidRDefault="00000000">
      <w:r>
        <w:rPr>
          <w:rStyle w:val="optioncarChar"/>
        </w:rPr>
        <w:t>À la pièce, ventilée suivant les types d’éléments</w:t>
      </w:r>
    </w:p>
    <w:p w14:paraId="698A2BC8" w14:textId="77777777" w:rsidR="00DB2B68" w:rsidRDefault="00000000">
      <w:pPr>
        <w:pStyle w:val="pheading"/>
      </w:pPr>
      <w:r>
        <w:t>- nature du marché:</w:t>
      </w:r>
    </w:p>
    <w:p w14:paraId="74BE9250" w14:textId="77777777" w:rsidR="00DB2B68" w:rsidRDefault="00DB2B68"/>
    <w:p w14:paraId="4DFFEE2A" w14:textId="77777777" w:rsidR="00DB2B68" w:rsidRDefault="00000000">
      <w:r>
        <w:rPr>
          <w:rStyle w:val="optioncarChar"/>
        </w:rPr>
        <w:t>QF</w:t>
      </w:r>
      <w:r>
        <w:t xml:space="preserve"> (par défaut) </w:t>
      </w:r>
      <w:r>
        <w:rPr>
          <w:rStyle w:val="optioncarChar"/>
        </w:rPr>
        <w:t>/ QP</w:t>
      </w:r>
    </w:p>
    <w:p w14:paraId="6E6098B2" w14:textId="77777777" w:rsidR="00DB2B68" w:rsidRDefault="00000000">
      <w:pPr>
        <w:pStyle w:val="soit"/>
      </w:pPr>
      <w:r>
        <w:rPr>
          <w:rStyle w:val="normalChar"/>
          <w:b/>
          <w:i/>
          <w:color w:val="000000"/>
        </w:rPr>
        <w:t xml:space="preserve">(Soit par défaut) </w:t>
      </w:r>
    </w:p>
    <w:p w14:paraId="0ACEE3E5" w14:textId="77777777" w:rsidR="00DB2B68" w:rsidRDefault="00000000">
      <w:r>
        <w:rPr>
          <w:rStyle w:val="soitChar"/>
        </w:rPr>
        <w:t xml:space="preserve">1. QF </w:t>
      </w:r>
    </w:p>
    <w:p w14:paraId="3E098C27" w14:textId="77777777" w:rsidR="00DB2B68" w:rsidRDefault="00000000">
      <w:r>
        <w:rPr>
          <w:b/>
          <w:i/>
        </w:rPr>
        <w:t>(Soit)</w:t>
      </w:r>
    </w:p>
    <w:p w14:paraId="0F528458" w14:textId="77777777" w:rsidR="00DB2B68" w:rsidRDefault="00000000">
      <w:r>
        <w:rPr>
          <w:rStyle w:val="soitChar"/>
        </w:rPr>
        <w:t>2. QP</w:t>
      </w:r>
    </w:p>
    <w:p w14:paraId="6BABE514" w14:textId="77777777" w:rsidR="00DB2B68" w:rsidRDefault="00000000">
      <w:pPr>
        <w:pStyle w:val="Author-eSectionHeading6Numberless"/>
      </w:pPr>
      <w:bookmarkStart w:id="1226" w:name="_Toc220496242"/>
      <w:r>
        <w:t>23.14.1d Colonnes alvéolaires en acier CCTB 01.11</w:t>
      </w:r>
      <w:bookmarkEnd w:id="1226"/>
    </w:p>
    <w:p w14:paraId="3C802A8D" w14:textId="77777777" w:rsidR="00DB2B68" w:rsidRDefault="00000000">
      <w:pPr>
        <w:pStyle w:val="pheading"/>
      </w:pPr>
      <w:r>
        <w:t>DESCRIPTION</w:t>
      </w:r>
    </w:p>
    <w:p w14:paraId="1BED277C" w14:textId="77777777" w:rsidR="00DB2B68" w:rsidRDefault="00000000">
      <w:pPr>
        <w:pStyle w:val="pheading"/>
      </w:pPr>
      <w:r>
        <w:t>- Définition / Comprend</w:t>
      </w:r>
    </w:p>
    <w:p w14:paraId="741085BA" w14:textId="77777777" w:rsidR="00DB2B68" w:rsidRDefault="00000000">
      <w:pPr>
        <w:ind w:left="750"/>
      </w:pPr>
      <w:r>
        <w:t>Il s'agit de l’ensemble des colonnes alvéolaires reconstituées soudées à partir de poutrelles en acier laminées à chaud conformes à la [NBN EN 10025 série]. Le soudage de ces poutrelles découpées suivant une ligne spécifique est conforme à la [NBN EN 1090-2]. </w:t>
      </w:r>
    </w:p>
    <w:p w14:paraId="38E72DED" w14:textId="77777777" w:rsidR="00DB2B68" w:rsidRDefault="00000000">
      <w:pPr>
        <w:pStyle w:val="pheading"/>
      </w:pPr>
      <w:r>
        <w:t>- Localisation</w:t>
      </w:r>
    </w:p>
    <w:p w14:paraId="17D9B298" w14:textId="77777777" w:rsidR="00DB2B68" w:rsidRDefault="00000000">
      <w:pPr>
        <w:ind w:left="750"/>
      </w:pPr>
      <w:r>
        <w:rPr>
          <w:rFonts w:ascii="Calibri" w:hAnsi="Calibri" w:cs="Calibri"/>
          <w:sz w:val="22"/>
        </w:rPr>
        <w:t xml:space="preserve">Les travaux sont localisés : </w:t>
      </w:r>
      <w:r>
        <w:rPr>
          <w:rStyle w:val="optioncarChar"/>
        </w:rPr>
        <w:t>Voir plans et métrés détaillés </w:t>
      </w:r>
      <w:r>
        <w:t>(par défaut)</w:t>
      </w:r>
      <w:r>
        <w:rPr>
          <w:rStyle w:val="optioncarChar"/>
        </w:rPr>
        <w:t xml:space="preserve"> / *** </w:t>
      </w:r>
      <w:r>
        <w:rPr>
          <w:color w:val="000000"/>
        </w:rPr>
        <w:t>.</w:t>
      </w:r>
    </w:p>
    <w:p w14:paraId="15A52E5D" w14:textId="77777777" w:rsidR="00DB2B68" w:rsidRDefault="00000000">
      <w:pPr>
        <w:pStyle w:val="pheading"/>
      </w:pPr>
      <w:r>
        <w:t>EXÉCUTION / MISE EN ŒUVRE</w:t>
      </w:r>
    </w:p>
    <w:p w14:paraId="7CF061A6" w14:textId="77777777" w:rsidR="00DB2B68" w:rsidRDefault="00000000">
      <w:pPr>
        <w:pStyle w:val="pheading"/>
      </w:pPr>
      <w:r>
        <w:t>- Notes d’exécution complémentaires</w:t>
      </w:r>
    </w:p>
    <w:p w14:paraId="2CDF2287" w14:textId="77777777" w:rsidR="00DB2B68" w:rsidRDefault="00000000">
      <w:r>
        <w:rPr>
          <w:rStyle w:val="facultChar"/>
        </w:rPr>
        <w:t xml:space="preserve"> Le présent article comprend également des coupures thermiques : Des dispositifs adéquats sont utilisés pour éviter tout pont thermique.</w:t>
      </w:r>
    </w:p>
    <w:p w14:paraId="073C6D63" w14:textId="77777777" w:rsidR="00DB2B68" w:rsidRDefault="00000000">
      <w:pPr>
        <w:pStyle w:val="pheading"/>
      </w:pPr>
      <w:r>
        <w:t>MESURAGE</w:t>
      </w:r>
    </w:p>
    <w:p w14:paraId="343D285C" w14:textId="77777777" w:rsidR="00DB2B68" w:rsidRDefault="00000000">
      <w:pPr>
        <w:pStyle w:val="pheading"/>
      </w:pPr>
      <w:r>
        <w:t>- unité de mesure:</w:t>
      </w:r>
    </w:p>
    <w:p w14:paraId="29423082" w14:textId="77777777" w:rsidR="00DB2B68" w:rsidRDefault="00DB2B68"/>
    <w:p w14:paraId="6B4BB1F5" w14:textId="77777777" w:rsidR="00DB2B68" w:rsidRDefault="00000000">
      <w:r>
        <w:rPr>
          <w:b/>
        </w:rPr>
        <w:t>COLONNE</w:t>
      </w:r>
    </w:p>
    <w:p w14:paraId="51F6EFD3" w14:textId="77777777" w:rsidR="00DB2B68" w:rsidRDefault="00000000">
      <w:r>
        <w:rPr>
          <w:rStyle w:val="optioncarChar"/>
        </w:rPr>
        <w:t>kg </w:t>
      </w:r>
      <w:r>
        <w:t xml:space="preserve">(par défaut) </w:t>
      </w:r>
      <w:r>
        <w:rPr>
          <w:rStyle w:val="optioncarChar"/>
        </w:rPr>
        <w:t>/ m / pc.</w:t>
      </w:r>
    </w:p>
    <w:p w14:paraId="095B5A2E" w14:textId="77777777" w:rsidR="00DB2B68" w:rsidRDefault="00000000">
      <w:r>
        <w:rPr>
          <w:b/>
          <w:i/>
        </w:rPr>
        <w:t>(Soit par défaut)</w:t>
      </w:r>
    </w:p>
    <w:p w14:paraId="109F591A" w14:textId="77777777" w:rsidR="00DB2B68" w:rsidRDefault="00000000">
      <w:r>
        <w:rPr>
          <w:rStyle w:val="soitChar"/>
        </w:rPr>
        <w:t> 1. kg.</w:t>
      </w:r>
    </w:p>
    <w:p w14:paraId="4C29EB60" w14:textId="77777777" w:rsidR="00DB2B68" w:rsidRDefault="00000000">
      <w:r>
        <w:rPr>
          <w:b/>
          <w:i/>
        </w:rPr>
        <w:t>(Soit)</w:t>
      </w:r>
    </w:p>
    <w:p w14:paraId="7F378CCD" w14:textId="77777777" w:rsidR="00DB2B68" w:rsidRDefault="00000000">
      <w:r>
        <w:rPr>
          <w:rStyle w:val="soitChar"/>
        </w:rPr>
        <w:t>  2 ou 3. m</w:t>
      </w:r>
    </w:p>
    <w:p w14:paraId="112186E4" w14:textId="77777777" w:rsidR="00DB2B68" w:rsidRDefault="00000000">
      <w:r>
        <w:rPr>
          <w:b/>
          <w:i/>
        </w:rPr>
        <w:t>(Soit)</w:t>
      </w:r>
    </w:p>
    <w:p w14:paraId="4E409A64" w14:textId="77777777" w:rsidR="00DB2B68" w:rsidRDefault="00000000">
      <w:r>
        <w:rPr>
          <w:rStyle w:val="soitChar"/>
        </w:rPr>
        <w:t>  4 ou 5. pc</w:t>
      </w:r>
    </w:p>
    <w:p w14:paraId="1F6FC5B2" w14:textId="77777777" w:rsidR="00DB2B68" w:rsidRDefault="00000000">
      <w:r>
        <w:rPr>
          <w:rStyle w:val="soitChar"/>
        </w:rPr>
        <w:t> </w:t>
      </w:r>
    </w:p>
    <w:p w14:paraId="1E000F90" w14:textId="77777777" w:rsidR="00DB2B68" w:rsidRDefault="00000000">
      <w:r>
        <w:rPr>
          <w:b/>
        </w:rPr>
        <w:t>FLOCAGE</w:t>
      </w:r>
    </w:p>
    <w:p w14:paraId="0361CF3F" w14:textId="77777777" w:rsidR="00DB2B68" w:rsidRDefault="00000000">
      <w:r>
        <w:lastRenderedPageBreak/>
        <w:t>Le traitement au feu par flocage est compté séparément et fait l’objet d’un (de) poste(s) supplémentaire(s) dans le présent article :</w:t>
      </w:r>
    </w:p>
    <w:p w14:paraId="5A5865BF" w14:textId="77777777" w:rsidR="00DB2B68" w:rsidRDefault="00000000">
      <w:r>
        <w:rPr>
          <w:rStyle w:val="optioncarChar"/>
        </w:rPr>
        <w:t xml:space="preserve">m² </w:t>
      </w:r>
      <w:r>
        <w:t>(par défaut)</w:t>
      </w:r>
      <w:r>
        <w:rPr>
          <w:rStyle w:val="optioncarChar"/>
        </w:rPr>
        <w:t xml:space="preserve"> / m / pc.</w:t>
      </w:r>
    </w:p>
    <w:p w14:paraId="0C4443A1" w14:textId="77777777" w:rsidR="00DB2B68" w:rsidRDefault="00000000">
      <w:r>
        <w:rPr>
          <w:b/>
          <w:i/>
        </w:rPr>
        <w:t>(Soit par défaut)</w:t>
      </w:r>
    </w:p>
    <w:p w14:paraId="31E338E7" w14:textId="77777777" w:rsidR="00DB2B68" w:rsidRDefault="00000000">
      <w:r>
        <w:rPr>
          <w:rStyle w:val="soitChar"/>
        </w:rPr>
        <w:t> 1. m².</w:t>
      </w:r>
    </w:p>
    <w:p w14:paraId="750ABF58" w14:textId="77777777" w:rsidR="00DB2B68" w:rsidRDefault="00000000">
      <w:r>
        <w:rPr>
          <w:b/>
          <w:i/>
        </w:rPr>
        <w:t>(Soit)</w:t>
      </w:r>
    </w:p>
    <w:p w14:paraId="385B9379" w14:textId="77777777" w:rsidR="00DB2B68" w:rsidRDefault="00000000">
      <w:r>
        <w:rPr>
          <w:rStyle w:val="soitChar"/>
        </w:rPr>
        <w:t> 2. m</w:t>
      </w:r>
    </w:p>
    <w:p w14:paraId="2C355037" w14:textId="77777777" w:rsidR="00DB2B68" w:rsidRDefault="00000000">
      <w:r>
        <w:rPr>
          <w:b/>
          <w:i/>
        </w:rPr>
        <w:t>(Soit)</w:t>
      </w:r>
    </w:p>
    <w:p w14:paraId="14531DDB" w14:textId="77777777" w:rsidR="00DB2B68" w:rsidRDefault="00000000">
      <w:r>
        <w:rPr>
          <w:rStyle w:val="soitChar"/>
        </w:rPr>
        <w:t> 3. pc</w:t>
      </w:r>
    </w:p>
    <w:p w14:paraId="53AD2629" w14:textId="77777777" w:rsidR="00DB2B68" w:rsidRDefault="00DB2B68"/>
    <w:p w14:paraId="349DD74D" w14:textId="77777777" w:rsidR="00DB2B68" w:rsidRDefault="00000000">
      <w:r>
        <w:rPr>
          <w:b/>
        </w:rPr>
        <w:t>COUPURE THERMIQUE</w:t>
      </w:r>
    </w:p>
    <w:p w14:paraId="265967BC" w14:textId="77777777" w:rsidR="00DB2B68" w:rsidRDefault="00000000">
      <w:r>
        <w:rPr>
          <w:rStyle w:val="optioncarChar"/>
        </w:rPr>
        <w:t>pièce</w:t>
      </w:r>
    </w:p>
    <w:p w14:paraId="4EED6B11" w14:textId="77777777" w:rsidR="00DB2B68" w:rsidRDefault="00000000">
      <w:pPr>
        <w:pStyle w:val="pheading"/>
      </w:pPr>
      <w:r>
        <w:t>- code de mesurage:</w:t>
      </w:r>
    </w:p>
    <w:p w14:paraId="053147DE" w14:textId="77777777" w:rsidR="00DB2B68" w:rsidRDefault="00DB2B68"/>
    <w:p w14:paraId="4E9EB736" w14:textId="77777777" w:rsidR="00DB2B68" w:rsidRDefault="00000000">
      <w:r>
        <w:rPr>
          <w:b/>
        </w:rPr>
        <w:t>COLONNE</w:t>
      </w:r>
    </w:p>
    <w:p w14:paraId="39E768DC" w14:textId="77777777" w:rsidR="00DB2B68" w:rsidRDefault="00000000">
      <w:r>
        <w:t>Distinctions faites suivant les types de profilés, nuances et qualités d’acier.</w:t>
      </w:r>
    </w:p>
    <w:p w14:paraId="7DAE9C61"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2EB23AFD" w14:textId="77777777" w:rsidR="00DB2B68" w:rsidRDefault="00000000">
      <w:r>
        <w:rPr>
          <w:b/>
          <w:i/>
        </w:rPr>
        <w:t>(Soit par défaut)</w:t>
      </w:r>
    </w:p>
    <w:p w14:paraId="068DB83B"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05E16B61" w14:textId="77777777" w:rsidR="00DB2B68" w:rsidRDefault="00000000">
      <w:r>
        <w:rPr>
          <w:b/>
          <w:i/>
        </w:rPr>
        <w:t>(Soit)</w:t>
      </w:r>
    </w:p>
    <w:p w14:paraId="33E127B4"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5FBCF875" w14:textId="77777777" w:rsidR="00DB2B68" w:rsidRDefault="00000000">
      <w:r>
        <w:rPr>
          <w:b/>
          <w:i/>
        </w:rPr>
        <w:t>(Soit)</w:t>
      </w:r>
    </w:p>
    <w:p w14:paraId="6F949910"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32C0DE9E" w14:textId="77777777" w:rsidR="00DB2B68" w:rsidRDefault="00000000">
      <w:r>
        <w:rPr>
          <w:b/>
          <w:i/>
        </w:rPr>
        <w:t>(Soit)</w:t>
      </w:r>
    </w:p>
    <w:p w14:paraId="2C292B24"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4268D274" w14:textId="77777777" w:rsidR="00DB2B68" w:rsidRDefault="00000000">
      <w:r>
        <w:rPr>
          <w:b/>
          <w:i/>
        </w:rPr>
        <w:t>(Soit)</w:t>
      </w:r>
    </w:p>
    <w:p w14:paraId="4A5E85D4"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2741001E" w14:textId="77777777" w:rsidR="00DB2B68" w:rsidRDefault="00DB2B68"/>
    <w:p w14:paraId="03AE3A2C" w14:textId="77777777" w:rsidR="00DB2B68" w:rsidRDefault="00000000">
      <w:r>
        <w:rPr>
          <w:b/>
        </w:rPr>
        <w:t>FLOCAGE</w:t>
      </w:r>
    </w:p>
    <w:p w14:paraId="4DFA5119"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705FEE1" w14:textId="77777777" w:rsidR="00DB2B68" w:rsidRDefault="00000000">
      <w:r>
        <w:rPr>
          <w:b/>
          <w:i/>
        </w:rPr>
        <w:t>(Soit par défaut)</w:t>
      </w:r>
    </w:p>
    <w:p w14:paraId="5C0FCC90"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65278D72" w14:textId="77777777" w:rsidR="00DB2B68" w:rsidRDefault="00000000">
      <w:r>
        <w:rPr>
          <w:b/>
          <w:i/>
        </w:rPr>
        <w:t>(Soit)</w:t>
      </w:r>
    </w:p>
    <w:p w14:paraId="396A4626"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3D1203AF" w14:textId="77777777" w:rsidR="00DB2B68" w:rsidRDefault="00000000">
      <w:r>
        <w:rPr>
          <w:b/>
          <w:i/>
        </w:rPr>
        <w:lastRenderedPageBreak/>
        <w:t>(Soit)</w:t>
      </w:r>
    </w:p>
    <w:p w14:paraId="77242F48"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4236CDC6" w14:textId="77777777" w:rsidR="00DB2B68" w:rsidRDefault="00DB2B68"/>
    <w:p w14:paraId="4B80FF11" w14:textId="77777777" w:rsidR="00DB2B68" w:rsidRDefault="00000000">
      <w:pPr>
        <w:spacing w:after="0" w:line="256" w:lineRule="auto"/>
        <w:jc w:val="both"/>
      </w:pPr>
      <w:r>
        <w:rPr>
          <w:b/>
        </w:rPr>
        <w:t>COUPURE THERMIQUE</w:t>
      </w:r>
    </w:p>
    <w:p w14:paraId="2EC61CB9" w14:textId="77777777" w:rsidR="00DB2B68" w:rsidRDefault="00000000">
      <w:r>
        <w:rPr>
          <w:rStyle w:val="optioncarChar"/>
        </w:rPr>
        <w:t>À la pièce, ventilée suivant les types d’éléments</w:t>
      </w:r>
    </w:p>
    <w:p w14:paraId="0148AE1E" w14:textId="77777777" w:rsidR="00DB2B68" w:rsidRDefault="00000000">
      <w:pPr>
        <w:pStyle w:val="pheading"/>
      </w:pPr>
      <w:r>
        <w:t>- nature du marché:</w:t>
      </w:r>
    </w:p>
    <w:p w14:paraId="5C4C5E42" w14:textId="77777777" w:rsidR="00DB2B68" w:rsidRDefault="00DB2B68"/>
    <w:p w14:paraId="78C8EE01" w14:textId="77777777" w:rsidR="00DB2B68" w:rsidRDefault="00000000">
      <w:r>
        <w:rPr>
          <w:rStyle w:val="optioncarChar"/>
        </w:rPr>
        <w:t>QF</w:t>
      </w:r>
      <w:r>
        <w:t xml:space="preserve"> (par défaut) </w:t>
      </w:r>
      <w:r>
        <w:rPr>
          <w:rStyle w:val="optioncarChar"/>
        </w:rPr>
        <w:t>/ QP</w:t>
      </w:r>
    </w:p>
    <w:p w14:paraId="4F5F9479" w14:textId="77777777" w:rsidR="00DB2B68" w:rsidRDefault="00000000">
      <w:pPr>
        <w:pStyle w:val="soit"/>
      </w:pPr>
      <w:r>
        <w:rPr>
          <w:rStyle w:val="normalChar"/>
          <w:b/>
          <w:i/>
          <w:color w:val="000000"/>
        </w:rPr>
        <w:t xml:space="preserve">(Soit par défaut) </w:t>
      </w:r>
    </w:p>
    <w:p w14:paraId="20CFC664" w14:textId="77777777" w:rsidR="00DB2B68" w:rsidRDefault="00000000">
      <w:r>
        <w:rPr>
          <w:rStyle w:val="soitChar"/>
        </w:rPr>
        <w:t xml:space="preserve">1. QF </w:t>
      </w:r>
    </w:p>
    <w:p w14:paraId="5DFABB66" w14:textId="77777777" w:rsidR="00DB2B68" w:rsidRDefault="00000000">
      <w:r>
        <w:rPr>
          <w:b/>
          <w:i/>
        </w:rPr>
        <w:t>(Soit)</w:t>
      </w:r>
    </w:p>
    <w:p w14:paraId="76F4266C" w14:textId="77777777" w:rsidR="00DB2B68" w:rsidRDefault="00000000">
      <w:r>
        <w:rPr>
          <w:rStyle w:val="soitChar"/>
        </w:rPr>
        <w:t>2. QP</w:t>
      </w:r>
    </w:p>
    <w:p w14:paraId="0F72EC6E" w14:textId="77777777" w:rsidR="00DB2B68" w:rsidRDefault="00000000">
      <w:pPr>
        <w:pStyle w:val="Author-eSectionHeading6Numberless"/>
      </w:pPr>
      <w:bookmarkStart w:id="1227" w:name="_Toc220496243"/>
      <w:r>
        <w:t>23.14.1e Colonnes en éléments tubulaires en acier CCTB 01.04</w:t>
      </w:r>
      <w:bookmarkEnd w:id="1227"/>
    </w:p>
    <w:p w14:paraId="46E500B7" w14:textId="77777777" w:rsidR="00DB2B68" w:rsidRDefault="00000000">
      <w:pPr>
        <w:pStyle w:val="Author-eSectionHeading5Numberless"/>
      </w:pPr>
      <w:bookmarkStart w:id="1228" w:name="_Toc220496244"/>
      <w:r>
        <w:t>23.14.2 Colonnes en acier formées à froid CCTB 01.07</w:t>
      </w:r>
      <w:bookmarkEnd w:id="1228"/>
    </w:p>
    <w:p w14:paraId="5A5954A1" w14:textId="77777777" w:rsidR="00DB2B68" w:rsidRDefault="00000000">
      <w:pPr>
        <w:pStyle w:val="pheading"/>
      </w:pPr>
      <w:r>
        <w:t>DESCRIPTION</w:t>
      </w:r>
    </w:p>
    <w:p w14:paraId="301090C3" w14:textId="77777777" w:rsidR="00DB2B68" w:rsidRDefault="00000000">
      <w:pPr>
        <w:pStyle w:val="pheading"/>
      </w:pPr>
      <w:r>
        <w:t>- Définition / Comprend</w:t>
      </w:r>
    </w:p>
    <w:p w14:paraId="068E4E61" w14:textId="77777777" w:rsidR="00DB2B68" w:rsidRDefault="00DB2B68"/>
    <w:p w14:paraId="1C6181EF" w14:textId="77777777" w:rsidR="00DB2B68" w:rsidRDefault="00000000">
      <w:pPr>
        <w:spacing w:line="259" w:lineRule="auto"/>
      </w:pPr>
      <w:r>
        <w:t>Les produits formés à froid sont des produits de formes diverses, dont la section droite ouverte ou à bords rejoints est constante sur toute leur longueur. Ils sont fabriqués à partir de produits plats laminés à chaud ou à froid (revêtus ou non), dont l'épaisseur n'est que très légèrement modifiée par les procédés de formage à froid (par exemple : profilage, étirage, formage à la presse, bordage, etc.).</w:t>
      </w:r>
    </w:p>
    <w:p w14:paraId="63C2651F" w14:textId="77777777" w:rsidR="00DB2B68" w:rsidRDefault="00000000">
      <w:pPr>
        <w:spacing w:line="259" w:lineRule="auto"/>
      </w:pPr>
      <w:r>
        <w:t>On distingue :</w:t>
      </w:r>
    </w:p>
    <w:p w14:paraId="33AE320D" w14:textId="77777777" w:rsidR="00DB2B68" w:rsidRDefault="00000000">
      <w:pPr>
        <w:pStyle w:val="Author-eListParagraph"/>
        <w:numPr>
          <w:ilvl w:val="0"/>
          <w:numId w:val="690"/>
        </w:numPr>
        <w:spacing w:line="259" w:lineRule="auto"/>
      </w:pPr>
      <w:r>
        <w:t>Des produits d'usage courant ou standard : par exemple en forme de L, de U, de C, de Z.</w:t>
      </w:r>
    </w:p>
    <w:p w14:paraId="3CC2E3C1" w14:textId="77777777" w:rsidR="00DB2B68" w:rsidRDefault="00000000">
      <w:pPr>
        <w:pStyle w:val="Author-eListParagraph"/>
        <w:numPr>
          <w:ilvl w:val="0"/>
          <w:numId w:val="690"/>
        </w:numPr>
        <w:spacing w:line="259" w:lineRule="auto"/>
      </w:pPr>
      <w:r>
        <w:t>Des produits d'usage spécial : correspondant à une utilisation particulière, par exemple palplanches formées à froid, glissières de sécurité, profils d'ossature de bâtiments</w:t>
      </w:r>
    </w:p>
    <w:p w14:paraId="1BA84473" w14:textId="77777777" w:rsidR="00DB2B68" w:rsidRDefault="00000000">
      <w:pPr>
        <w:pStyle w:val="Author-eSectionHeading6Numberless"/>
      </w:pPr>
      <w:bookmarkStart w:id="1229" w:name="_Toc220496245"/>
      <w:r>
        <w:t>23.14.2a Colonnes en acier formées à froid CCTB 01.11</w:t>
      </w:r>
      <w:bookmarkEnd w:id="1229"/>
    </w:p>
    <w:p w14:paraId="2156A162" w14:textId="77777777" w:rsidR="00DB2B68" w:rsidRDefault="00000000">
      <w:pPr>
        <w:pStyle w:val="pheading"/>
      </w:pPr>
      <w:r>
        <w:t>DESCRIPTION</w:t>
      </w:r>
    </w:p>
    <w:p w14:paraId="1379E985" w14:textId="77777777" w:rsidR="00DB2B68" w:rsidRDefault="00000000">
      <w:pPr>
        <w:pStyle w:val="pheading"/>
      </w:pPr>
      <w:r>
        <w:t>- Définition / Comprend</w:t>
      </w:r>
    </w:p>
    <w:p w14:paraId="470060A4" w14:textId="77777777" w:rsidR="00DB2B68" w:rsidRDefault="00000000">
      <w:pPr>
        <w:ind w:left="750"/>
      </w:pPr>
      <w:r>
        <w:t>Il s'agit de l’ensemble des colonnes en acier dont la mise en forme finale a été réalisée à froid. Les profilés sont conformes à la [NBN EN 10162] ; les tubes sont conformes à la [NBN EN 10219 série]. </w:t>
      </w:r>
    </w:p>
    <w:p w14:paraId="74885ECC" w14:textId="77777777" w:rsidR="00DB2B68" w:rsidRDefault="00000000">
      <w:pPr>
        <w:pStyle w:val="pheading"/>
      </w:pPr>
      <w:r>
        <w:t>- Localisation</w:t>
      </w:r>
    </w:p>
    <w:p w14:paraId="2EA9B58A" w14:textId="77777777" w:rsidR="00DB2B68" w:rsidRDefault="00000000">
      <w:r>
        <w:t xml:space="preserve">Les travaux sont localisés : </w:t>
      </w:r>
      <w:r>
        <w:rPr>
          <w:rStyle w:val="optioncarChar"/>
        </w:rPr>
        <w:t>Voir plans et métrés détaillés</w:t>
      </w:r>
      <w:r>
        <w:t> (par défaut)</w:t>
      </w:r>
      <w:r>
        <w:rPr>
          <w:rStyle w:val="optioncarChar"/>
        </w:rPr>
        <w:t xml:space="preserve"> / *** </w:t>
      </w:r>
      <w:r>
        <w:rPr>
          <w:color w:val="000000"/>
        </w:rPr>
        <w:t>.</w:t>
      </w:r>
    </w:p>
    <w:p w14:paraId="3FA64BAB" w14:textId="77777777" w:rsidR="00DB2B68" w:rsidRDefault="00000000">
      <w:pPr>
        <w:pStyle w:val="pheading"/>
      </w:pPr>
      <w:r>
        <w:t>EXÉCUTION / MISE EN ŒUVRE</w:t>
      </w:r>
    </w:p>
    <w:p w14:paraId="69B1C579" w14:textId="77777777" w:rsidR="00DB2B68" w:rsidRDefault="00000000">
      <w:pPr>
        <w:pStyle w:val="pheading"/>
      </w:pPr>
      <w:r>
        <w:t>- Notes d’exécution complémentaires</w:t>
      </w:r>
    </w:p>
    <w:p w14:paraId="63F19171" w14:textId="77777777" w:rsidR="00DB2B68" w:rsidRDefault="00000000">
      <w:r>
        <w:rPr>
          <w:rStyle w:val="facultChar"/>
        </w:rPr>
        <w:t xml:space="preserve"> Le présent article comprend également des coupures thermiques : Des dispositifs adéquats sont utilisés pour éviter tout pont thermique.</w:t>
      </w:r>
    </w:p>
    <w:p w14:paraId="456577C3" w14:textId="77777777" w:rsidR="00DB2B68" w:rsidRDefault="00000000">
      <w:pPr>
        <w:pStyle w:val="pheading"/>
      </w:pPr>
      <w:r>
        <w:t>MESURAGE</w:t>
      </w:r>
    </w:p>
    <w:p w14:paraId="60B05A44" w14:textId="77777777" w:rsidR="00DB2B68" w:rsidRDefault="00000000">
      <w:pPr>
        <w:pStyle w:val="pheading"/>
      </w:pPr>
      <w:r>
        <w:t>- unité de mesure:</w:t>
      </w:r>
    </w:p>
    <w:p w14:paraId="6883C827" w14:textId="77777777" w:rsidR="00DB2B68" w:rsidRDefault="00DB2B68"/>
    <w:p w14:paraId="22A27E20" w14:textId="77777777" w:rsidR="00DB2B68" w:rsidRDefault="00000000">
      <w:r>
        <w:rPr>
          <w:b/>
        </w:rPr>
        <w:t>COLONNE</w:t>
      </w:r>
    </w:p>
    <w:p w14:paraId="4ECD5210" w14:textId="77777777" w:rsidR="00DB2B68" w:rsidRDefault="00000000">
      <w:r>
        <w:rPr>
          <w:rStyle w:val="optioncarChar"/>
        </w:rPr>
        <w:t>kg </w:t>
      </w:r>
      <w:r>
        <w:t xml:space="preserve">(par défaut) </w:t>
      </w:r>
      <w:r>
        <w:rPr>
          <w:rStyle w:val="optioncarChar"/>
        </w:rPr>
        <w:t>/ m / pc.</w:t>
      </w:r>
    </w:p>
    <w:p w14:paraId="35D211BF" w14:textId="77777777" w:rsidR="00DB2B68" w:rsidRDefault="00000000">
      <w:r>
        <w:rPr>
          <w:b/>
          <w:i/>
        </w:rPr>
        <w:t>(Soit par défaut)</w:t>
      </w:r>
    </w:p>
    <w:p w14:paraId="56FF8F5F" w14:textId="77777777" w:rsidR="00DB2B68" w:rsidRDefault="00000000">
      <w:r>
        <w:rPr>
          <w:rStyle w:val="soitChar"/>
        </w:rPr>
        <w:t> 1. kg.</w:t>
      </w:r>
    </w:p>
    <w:p w14:paraId="252C1830" w14:textId="77777777" w:rsidR="00DB2B68" w:rsidRDefault="00000000">
      <w:r>
        <w:rPr>
          <w:b/>
          <w:i/>
        </w:rPr>
        <w:t>(Soit)</w:t>
      </w:r>
    </w:p>
    <w:p w14:paraId="27A8B9C3" w14:textId="77777777" w:rsidR="00DB2B68" w:rsidRDefault="00000000">
      <w:r>
        <w:rPr>
          <w:rStyle w:val="soitChar"/>
        </w:rPr>
        <w:t>  2 ou 3. m</w:t>
      </w:r>
    </w:p>
    <w:p w14:paraId="0EEB3CE4" w14:textId="77777777" w:rsidR="00DB2B68" w:rsidRDefault="00000000">
      <w:r>
        <w:rPr>
          <w:b/>
          <w:i/>
        </w:rPr>
        <w:t>(Soit)</w:t>
      </w:r>
    </w:p>
    <w:p w14:paraId="718BC281" w14:textId="77777777" w:rsidR="00DB2B68" w:rsidRDefault="00000000">
      <w:r>
        <w:rPr>
          <w:rStyle w:val="soitChar"/>
        </w:rPr>
        <w:t>  4 ou 5. pc</w:t>
      </w:r>
    </w:p>
    <w:p w14:paraId="19B1BA3D" w14:textId="77777777" w:rsidR="00DB2B68" w:rsidRDefault="00000000">
      <w:r>
        <w:rPr>
          <w:rStyle w:val="soitChar"/>
        </w:rPr>
        <w:t> </w:t>
      </w:r>
    </w:p>
    <w:p w14:paraId="524274E0" w14:textId="77777777" w:rsidR="00DB2B68" w:rsidRDefault="00000000">
      <w:r>
        <w:rPr>
          <w:b/>
        </w:rPr>
        <w:t>FLOCAGE</w:t>
      </w:r>
    </w:p>
    <w:p w14:paraId="5A8A907D" w14:textId="77777777" w:rsidR="00DB2B68" w:rsidRDefault="00000000">
      <w:r>
        <w:t>Le traitement au feu par flocage est compté séparément et fait l’objet d’un (de) poste(s) supplémentaire(s) dans le présent article :</w:t>
      </w:r>
    </w:p>
    <w:p w14:paraId="10D5E075" w14:textId="77777777" w:rsidR="00DB2B68" w:rsidRDefault="00000000">
      <w:r>
        <w:rPr>
          <w:rStyle w:val="optioncarChar"/>
        </w:rPr>
        <w:t xml:space="preserve">m² </w:t>
      </w:r>
      <w:r>
        <w:t>(par défaut)</w:t>
      </w:r>
      <w:r>
        <w:rPr>
          <w:rStyle w:val="optioncarChar"/>
        </w:rPr>
        <w:t xml:space="preserve"> / m / pc.</w:t>
      </w:r>
    </w:p>
    <w:p w14:paraId="7810A232" w14:textId="77777777" w:rsidR="00DB2B68" w:rsidRDefault="00000000">
      <w:r>
        <w:rPr>
          <w:b/>
          <w:i/>
        </w:rPr>
        <w:t>(Soit par défaut)</w:t>
      </w:r>
    </w:p>
    <w:p w14:paraId="312B531F" w14:textId="77777777" w:rsidR="00DB2B68" w:rsidRDefault="00000000">
      <w:r>
        <w:rPr>
          <w:rStyle w:val="soitChar"/>
        </w:rPr>
        <w:t> 1. m².</w:t>
      </w:r>
    </w:p>
    <w:p w14:paraId="6620A8F2" w14:textId="77777777" w:rsidR="00DB2B68" w:rsidRDefault="00000000">
      <w:r>
        <w:rPr>
          <w:b/>
          <w:i/>
        </w:rPr>
        <w:t>(Soit)</w:t>
      </w:r>
    </w:p>
    <w:p w14:paraId="0DFE4035" w14:textId="77777777" w:rsidR="00DB2B68" w:rsidRDefault="00000000">
      <w:r>
        <w:rPr>
          <w:rStyle w:val="soitChar"/>
        </w:rPr>
        <w:t> 2. m</w:t>
      </w:r>
    </w:p>
    <w:p w14:paraId="6DF1E121" w14:textId="77777777" w:rsidR="00DB2B68" w:rsidRDefault="00000000">
      <w:r>
        <w:rPr>
          <w:b/>
          <w:i/>
        </w:rPr>
        <w:t>(Soit)</w:t>
      </w:r>
    </w:p>
    <w:p w14:paraId="7356B1CF" w14:textId="77777777" w:rsidR="00DB2B68" w:rsidRDefault="00000000">
      <w:r>
        <w:rPr>
          <w:rStyle w:val="soitChar"/>
        </w:rPr>
        <w:t> 3. pc</w:t>
      </w:r>
    </w:p>
    <w:p w14:paraId="5FF05818" w14:textId="77777777" w:rsidR="00DB2B68" w:rsidRDefault="00DB2B68"/>
    <w:p w14:paraId="22708157" w14:textId="77777777" w:rsidR="00DB2B68" w:rsidRDefault="00000000">
      <w:r>
        <w:rPr>
          <w:b/>
        </w:rPr>
        <w:t>COUPURE THERMIQUE</w:t>
      </w:r>
    </w:p>
    <w:p w14:paraId="511E9A4E" w14:textId="77777777" w:rsidR="00DB2B68" w:rsidRDefault="00000000">
      <w:r>
        <w:rPr>
          <w:rStyle w:val="optioncarChar"/>
        </w:rPr>
        <w:t>pièce</w:t>
      </w:r>
    </w:p>
    <w:p w14:paraId="1E1288EA" w14:textId="77777777" w:rsidR="00DB2B68" w:rsidRDefault="00000000">
      <w:pPr>
        <w:pStyle w:val="pheading"/>
      </w:pPr>
      <w:r>
        <w:t>- code de mesurage:</w:t>
      </w:r>
    </w:p>
    <w:p w14:paraId="481B4609" w14:textId="77777777" w:rsidR="00DB2B68" w:rsidRDefault="00DB2B68"/>
    <w:p w14:paraId="595A969E" w14:textId="77777777" w:rsidR="00DB2B68" w:rsidRDefault="00000000">
      <w:r>
        <w:rPr>
          <w:b/>
        </w:rPr>
        <w:t>COLONNE</w:t>
      </w:r>
    </w:p>
    <w:p w14:paraId="035112F4" w14:textId="77777777" w:rsidR="00DB2B68" w:rsidRDefault="00000000">
      <w:r>
        <w:t>Distinctions faites suivant les types de profilés, nuances et qualités d’acier.</w:t>
      </w:r>
    </w:p>
    <w:p w14:paraId="5850CF2A"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2F2864C3" w14:textId="77777777" w:rsidR="00DB2B68" w:rsidRDefault="00000000">
      <w:r>
        <w:rPr>
          <w:b/>
          <w:i/>
        </w:rPr>
        <w:t>(Soit par défaut)</w:t>
      </w:r>
    </w:p>
    <w:p w14:paraId="3BAE69E7"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2D218D53" w14:textId="77777777" w:rsidR="00DB2B68" w:rsidRDefault="00000000">
      <w:r>
        <w:rPr>
          <w:b/>
          <w:i/>
        </w:rPr>
        <w:t>(Soit)</w:t>
      </w:r>
    </w:p>
    <w:p w14:paraId="7B376AC9"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1808A5B8" w14:textId="77777777" w:rsidR="00DB2B68" w:rsidRDefault="00000000">
      <w:r>
        <w:rPr>
          <w:b/>
          <w:i/>
        </w:rPr>
        <w:t>(Soit)</w:t>
      </w:r>
    </w:p>
    <w:p w14:paraId="1ECA51B2"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52ACE8F0" w14:textId="77777777" w:rsidR="00DB2B68" w:rsidRDefault="00000000">
      <w:r>
        <w:rPr>
          <w:b/>
          <w:i/>
        </w:rPr>
        <w:t>(Soit)</w:t>
      </w:r>
    </w:p>
    <w:p w14:paraId="4E711FC5"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4DCA793" w14:textId="77777777" w:rsidR="00DB2B68" w:rsidRDefault="00000000">
      <w:r>
        <w:rPr>
          <w:b/>
          <w:i/>
        </w:rPr>
        <w:lastRenderedPageBreak/>
        <w:t>(Soit)</w:t>
      </w:r>
    </w:p>
    <w:p w14:paraId="00159889"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578962FC" w14:textId="77777777" w:rsidR="00DB2B68" w:rsidRDefault="00DB2B68"/>
    <w:p w14:paraId="4CA745A0" w14:textId="77777777" w:rsidR="00DB2B68" w:rsidRDefault="00000000">
      <w:r>
        <w:rPr>
          <w:b/>
        </w:rPr>
        <w:t>FLOCAGE</w:t>
      </w:r>
    </w:p>
    <w:p w14:paraId="4826D7B4"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52DE04C" w14:textId="77777777" w:rsidR="00DB2B68" w:rsidRDefault="00000000">
      <w:r>
        <w:rPr>
          <w:b/>
          <w:i/>
        </w:rPr>
        <w:t>(Soit par défaut)</w:t>
      </w:r>
    </w:p>
    <w:p w14:paraId="1C02772A"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25A23889" w14:textId="77777777" w:rsidR="00DB2B68" w:rsidRDefault="00000000">
      <w:r>
        <w:rPr>
          <w:b/>
          <w:i/>
        </w:rPr>
        <w:t>(Soit)</w:t>
      </w:r>
    </w:p>
    <w:p w14:paraId="5B5FB509"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1B10F3D" w14:textId="77777777" w:rsidR="00DB2B68" w:rsidRDefault="00000000">
      <w:r>
        <w:rPr>
          <w:b/>
          <w:i/>
        </w:rPr>
        <w:t>(Soit)</w:t>
      </w:r>
    </w:p>
    <w:p w14:paraId="00A23908"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6A729F47" w14:textId="77777777" w:rsidR="00DB2B68" w:rsidRDefault="00DB2B68"/>
    <w:p w14:paraId="4A55608C" w14:textId="77777777" w:rsidR="00DB2B68" w:rsidRDefault="00000000">
      <w:pPr>
        <w:spacing w:after="0" w:line="256" w:lineRule="auto"/>
        <w:jc w:val="both"/>
      </w:pPr>
      <w:r>
        <w:rPr>
          <w:b/>
        </w:rPr>
        <w:t>COUPURE THERMIQUE</w:t>
      </w:r>
    </w:p>
    <w:p w14:paraId="4865A7F6" w14:textId="77777777" w:rsidR="00DB2B68" w:rsidRDefault="00000000">
      <w:r>
        <w:rPr>
          <w:rStyle w:val="optioncarChar"/>
        </w:rPr>
        <w:t>À la pièce, ventilée suivant les types d’éléments</w:t>
      </w:r>
    </w:p>
    <w:p w14:paraId="7EE95EAE" w14:textId="77777777" w:rsidR="00DB2B68" w:rsidRDefault="00000000">
      <w:pPr>
        <w:pStyle w:val="pheading"/>
      </w:pPr>
      <w:r>
        <w:t>- nature du marché:</w:t>
      </w:r>
    </w:p>
    <w:p w14:paraId="59E24301" w14:textId="77777777" w:rsidR="00DB2B68" w:rsidRDefault="00DB2B68"/>
    <w:p w14:paraId="583158B3" w14:textId="77777777" w:rsidR="00DB2B68" w:rsidRDefault="00000000">
      <w:r>
        <w:rPr>
          <w:rStyle w:val="optioncarChar"/>
        </w:rPr>
        <w:t>QF</w:t>
      </w:r>
      <w:r>
        <w:t xml:space="preserve"> (par défaut) </w:t>
      </w:r>
      <w:r>
        <w:rPr>
          <w:rStyle w:val="optioncarChar"/>
        </w:rPr>
        <w:t>/ QP</w:t>
      </w:r>
    </w:p>
    <w:p w14:paraId="7824B4F9" w14:textId="77777777" w:rsidR="00DB2B68" w:rsidRDefault="00000000">
      <w:pPr>
        <w:pStyle w:val="soit"/>
      </w:pPr>
      <w:r>
        <w:rPr>
          <w:rStyle w:val="normalChar"/>
          <w:b/>
          <w:i/>
          <w:color w:val="000000"/>
        </w:rPr>
        <w:t xml:space="preserve">(Soit par défaut) </w:t>
      </w:r>
    </w:p>
    <w:p w14:paraId="333FAE84" w14:textId="77777777" w:rsidR="00DB2B68" w:rsidRDefault="00000000">
      <w:r>
        <w:rPr>
          <w:rStyle w:val="soitChar"/>
        </w:rPr>
        <w:t xml:space="preserve">1. QF </w:t>
      </w:r>
    </w:p>
    <w:p w14:paraId="2D16D3BF" w14:textId="77777777" w:rsidR="00DB2B68" w:rsidRDefault="00000000">
      <w:r>
        <w:rPr>
          <w:b/>
          <w:i/>
        </w:rPr>
        <w:t>(Soit)</w:t>
      </w:r>
    </w:p>
    <w:p w14:paraId="5FC61F66" w14:textId="77777777" w:rsidR="00DB2B68" w:rsidRDefault="00000000">
      <w:r>
        <w:rPr>
          <w:rStyle w:val="soitChar"/>
        </w:rPr>
        <w:t>2. QP</w:t>
      </w:r>
    </w:p>
    <w:p w14:paraId="4EAF842A" w14:textId="77777777" w:rsidR="00DB2B68" w:rsidRDefault="00000000">
      <w:pPr>
        <w:pStyle w:val="Author-eSectionHeading5Numberless"/>
      </w:pPr>
      <w:bookmarkStart w:id="1230" w:name="_Toc220496246"/>
      <w:r>
        <w:t>23.14.3 Colonnes en acier inoxydable laminées à chaud CCTB 01.04</w:t>
      </w:r>
      <w:bookmarkEnd w:id="1230"/>
    </w:p>
    <w:p w14:paraId="3E6E1F9E" w14:textId="77777777" w:rsidR="00DB2B68" w:rsidRDefault="00000000">
      <w:pPr>
        <w:pStyle w:val="Author-eSectionHeading6Numberless"/>
      </w:pPr>
      <w:bookmarkStart w:id="1231" w:name="_Toc220496247"/>
      <w:r>
        <w:t>23.14.3a Colonnes en profilés en acier inoxydable laminés à chaud CCTB 01.11</w:t>
      </w:r>
      <w:bookmarkEnd w:id="1231"/>
    </w:p>
    <w:p w14:paraId="21BFBA81" w14:textId="77777777" w:rsidR="00DB2B68" w:rsidRDefault="00000000">
      <w:pPr>
        <w:pStyle w:val="pheading"/>
      </w:pPr>
      <w:r>
        <w:t>DESCRIPTION</w:t>
      </w:r>
    </w:p>
    <w:p w14:paraId="5362B2FD" w14:textId="77777777" w:rsidR="00DB2B68" w:rsidRDefault="00000000">
      <w:pPr>
        <w:pStyle w:val="pheading"/>
      </w:pPr>
      <w:r>
        <w:t>- Définition / Comprend</w:t>
      </w:r>
    </w:p>
    <w:p w14:paraId="0C7982BC" w14:textId="77777777" w:rsidR="00DB2B68" w:rsidRDefault="00000000">
      <w:pPr>
        <w:ind w:left="750"/>
      </w:pPr>
      <w:r>
        <w:t>Il s'agit de l’ensemble des colonnes en profilés en acier inoxydable laminés à chaud conformes à la [NBN EN 10088 série]. </w:t>
      </w:r>
    </w:p>
    <w:p w14:paraId="2C990C36" w14:textId="77777777" w:rsidR="00DB2B68" w:rsidRDefault="00000000">
      <w:pPr>
        <w:pStyle w:val="pheading"/>
      </w:pPr>
      <w:r>
        <w:t>- Localisation</w:t>
      </w:r>
    </w:p>
    <w:p w14:paraId="06764A03" w14:textId="77777777" w:rsidR="00DB2B68" w:rsidRDefault="00000000">
      <w:pPr>
        <w:ind w:left="750"/>
      </w:pPr>
      <w:r>
        <w:rPr>
          <w:rFonts w:ascii="Calibri" w:hAnsi="Calibri" w:cs="Calibri"/>
          <w:sz w:val="22"/>
        </w:rPr>
        <w:t xml:space="preserve">Les travaux sont localisés : </w:t>
      </w:r>
      <w:r>
        <w:rPr>
          <w:rStyle w:val="optioncarChar"/>
        </w:rPr>
        <w:t>Voir plans et métrés détaillés</w:t>
      </w:r>
      <w:r>
        <w:t> (par défaut)</w:t>
      </w:r>
      <w:r>
        <w:rPr>
          <w:rStyle w:val="optioncarChar"/>
        </w:rPr>
        <w:t xml:space="preserve"> / ***</w:t>
      </w:r>
      <w:r>
        <w:rPr>
          <w:color w:val="000000"/>
        </w:rPr>
        <w:t>.</w:t>
      </w:r>
    </w:p>
    <w:p w14:paraId="03021921" w14:textId="77777777" w:rsidR="00DB2B68" w:rsidRDefault="00000000">
      <w:pPr>
        <w:pStyle w:val="pheading"/>
      </w:pPr>
      <w:r>
        <w:t>EXÉCUTION / MISE EN ŒUVRE</w:t>
      </w:r>
    </w:p>
    <w:p w14:paraId="028AB7C5" w14:textId="77777777" w:rsidR="00DB2B68" w:rsidRDefault="00000000">
      <w:pPr>
        <w:pStyle w:val="pheading"/>
      </w:pPr>
      <w:r>
        <w:t>- Notes d’exécution complémentaires</w:t>
      </w:r>
    </w:p>
    <w:p w14:paraId="1EB8BD90" w14:textId="77777777" w:rsidR="00DB2B68" w:rsidRDefault="00000000">
      <w:r>
        <w:rPr>
          <w:rStyle w:val="facultChar"/>
        </w:rPr>
        <w:t>Le présent article comprend également  des coupures thermiques :  Des dispositifs adéquats sont utilisés pour éviter tout pont thermique.</w:t>
      </w:r>
    </w:p>
    <w:p w14:paraId="304D023E" w14:textId="77777777" w:rsidR="00DB2B68" w:rsidRDefault="00000000">
      <w:pPr>
        <w:pStyle w:val="pheading"/>
      </w:pPr>
      <w:r>
        <w:t>MESURAGE</w:t>
      </w:r>
    </w:p>
    <w:p w14:paraId="155BDAEB" w14:textId="77777777" w:rsidR="00DB2B68" w:rsidRDefault="00000000">
      <w:pPr>
        <w:pStyle w:val="pheading"/>
      </w:pPr>
      <w:r>
        <w:t>- unité de mesure:</w:t>
      </w:r>
    </w:p>
    <w:p w14:paraId="7FEA2D67" w14:textId="77777777" w:rsidR="00DB2B68" w:rsidRDefault="00DB2B68"/>
    <w:p w14:paraId="55DCC5EC" w14:textId="77777777" w:rsidR="00DB2B68" w:rsidRDefault="00000000">
      <w:r>
        <w:rPr>
          <w:b/>
        </w:rPr>
        <w:lastRenderedPageBreak/>
        <w:t>COLONNE</w:t>
      </w:r>
    </w:p>
    <w:p w14:paraId="11A1D22B" w14:textId="77777777" w:rsidR="00DB2B68" w:rsidRDefault="00000000">
      <w:r>
        <w:rPr>
          <w:rStyle w:val="optioncarChar"/>
        </w:rPr>
        <w:t>kg </w:t>
      </w:r>
      <w:r>
        <w:t xml:space="preserve">(par défaut) </w:t>
      </w:r>
      <w:r>
        <w:rPr>
          <w:rStyle w:val="optioncarChar"/>
        </w:rPr>
        <w:t>/ m / pc.</w:t>
      </w:r>
    </w:p>
    <w:p w14:paraId="08087086" w14:textId="77777777" w:rsidR="00DB2B68" w:rsidRDefault="00000000">
      <w:r>
        <w:rPr>
          <w:b/>
          <w:i/>
        </w:rPr>
        <w:t>(Soit par défaut)</w:t>
      </w:r>
    </w:p>
    <w:p w14:paraId="46D1814C" w14:textId="77777777" w:rsidR="00DB2B68" w:rsidRDefault="00000000">
      <w:r>
        <w:rPr>
          <w:rStyle w:val="soitChar"/>
        </w:rPr>
        <w:t> 1. kg.</w:t>
      </w:r>
    </w:p>
    <w:p w14:paraId="6E5A186C" w14:textId="77777777" w:rsidR="00DB2B68" w:rsidRDefault="00000000">
      <w:r>
        <w:rPr>
          <w:b/>
          <w:i/>
        </w:rPr>
        <w:t>(Soit)</w:t>
      </w:r>
    </w:p>
    <w:p w14:paraId="1167E2F2" w14:textId="77777777" w:rsidR="00DB2B68" w:rsidRDefault="00000000">
      <w:r>
        <w:rPr>
          <w:rStyle w:val="soitChar"/>
        </w:rPr>
        <w:t>  2 ou 3. m</w:t>
      </w:r>
    </w:p>
    <w:p w14:paraId="597A0D31" w14:textId="77777777" w:rsidR="00DB2B68" w:rsidRDefault="00000000">
      <w:r>
        <w:rPr>
          <w:b/>
          <w:i/>
        </w:rPr>
        <w:t>(Soit)</w:t>
      </w:r>
    </w:p>
    <w:p w14:paraId="3A59023E" w14:textId="77777777" w:rsidR="00DB2B68" w:rsidRDefault="00000000">
      <w:r>
        <w:rPr>
          <w:rStyle w:val="soitChar"/>
        </w:rPr>
        <w:t>  4 ou 5. pc</w:t>
      </w:r>
    </w:p>
    <w:p w14:paraId="03B7DE84" w14:textId="77777777" w:rsidR="00DB2B68" w:rsidRDefault="00000000">
      <w:r>
        <w:rPr>
          <w:rStyle w:val="soitChar"/>
        </w:rPr>
        <w:t> </w:t>
      </w:r>
    </w:p>
    <w:p w14:paraId="3FE02733" w14:textId="77777777" w:rsidR="00DB2B68" w:rsidRDefault="00000000">
      <w:r>
        <w:rPr>
          <w:b/>
        </w:rPr>
        <w:t>FLOCAGE</w:t>
      </w:r>
    </w:p>
    <w:p w14:paraId="154CA0AD" w14:textId="77777777" w:rsidR="00DB2B68" w:rsidRDefault="00000000">
      <w:r>
        <w:t>Le traitement au feu par flocage est compté séparément et fait l’objet d’un (de) poste(s) supplémentaire(s) dans le présent article :</w:t>
      </w:r>
    </w:p>
    <w:p w14:paraId="37BCDBD3" w14:textId="77777777" w:rsidR="00DB2B68" w:rsidRDefault="00000000">
      <w:r>
        <w:rPr>
          <w:rStyle w:val="optioncarChar"/>
        </w:rPr>
        <w:t xml:space="preserve">m² </w:t>
      </w:r>
      <w:r>
        <w:t>(par défaut)</w:t>
      </w:r>
      <w:r>
        <w:rPr>
          <w:rStyle w:val="optioncarChar"/>
        </w:rPr>
        <w:t xml:space="preserve"> / m / pc.</w:t>
      </w:r>
    </w:p>
    <w:p w14:paraId="6349F25C" w14:textId="77777777" w:rsidR="00DB2B68" w:rsidRDefault="00000000">
      <w:r>
        <w:rPr>
          <w:b/>
          <w:i/>
        </w:rPr>
        <w:t>(Soit par défaut)</w:t>
      </w:r>
    </w:p>
    <w:p w14:paraId="26E3A2EB" w14:textId="77777777" w:rsidR="00DB2B68" w:rsidRDefault="00000000">
      <w:r>
        <w:rPr>
          <w:rStyle w:val="soitChar"/>
        </w:rPr>
        <w:t> 1. m².</w:t>
      </w:r>
    </w:p>
    <w:p w14:paraId="05EDCFA4" w14:textId="77777777" w:rsidR="00DB2B68" w:rsidRDefault="00000000">
      <w:r>
        <w:rPr>
          <w:b/>
          <w:i/>
        </w:rPr>
        <w:t>(Soit)</w:t>
      </w:r>
    </w:p>
    <w:p w14:paraId="0F4377E2" w14:textId="77777777" w:rsidR="00DB2B68" w:rsidRDefault="00000000">
      <w:r>
        <w:rPr>
          <w:rStyle w:val="soitChar"/>
        </w:rPr>
        <w:t> 2. m</w:t>
      </w:r>
    </w:p>
    <w:p w14:paraId="2A5AE083" w14:textId="77777777" w:rsidR="00DB2B68" w:rsidRDefault="00000000">
      <w:r>
        <w:rPr>
          <w:b/>
          <w:i/>
        </w:rPr>
        <w:t>(Soit)</w:t>
      </w:r>
    </w:p>
    <w:p w14:paraId="7B63B909" w14:textId="77777777" w:rsidR="00DB2B68" w:rsidRDefault="00000000">
      <w:r>
        <w:rPr>
          <w:rStyle w:val="soitChar"/>
        </w:rPr>
        <w:t> 3. pc</w:t>
      </w:r>
    </w:p>
    <w:p w14:paraId="3BBE77FE" w14:textId="77777777" w:rsidR="00DB2B68" w:rsidRDefault="00DB2B68"/>
    <w:p w14:paraId="150E3081" w14:textId="77777777" w:rsidR="00DB2B68" w:rsidRDefault="00000000">
      <w:r>
        <w:rPr>
          <w:b/>
        </w:rPr>
        <w:t>COUPURE THERMIQUE</w:t>
      </w:r>
    </w:p>
    <w:p w14:paraId="5C67878C" w14:textId="77777777" w:rsidR="00DB2B68" w:rsidRDefault="00000000">
      <w:r>
        <w:rPr>
          <w:rStyle w:val="optioncarChar"/>
        </w:rPr>
        <w:t>pièce</w:t>
      </w:r>
    </w:p>
    <w:p w14:paraId="0AC7F907" w14:textId="77777777" w:rsidR="00DB2B68" w:rsidRDefault="00000000">
      <w:pPr>
        <w:pStyle w:val="pheading"/>
      </w:pPr>
      <w:r>
        <w:t>- code de mesurage:</w:t>
      </w:r>
    </w:p>
    <w:p w14:paraId="34A93BFD" w14:textId="77777777" w:rsidR="00DB2B68" w:rsidRDefault="00DB2B68"/>
    <w:p w14:paraId="5B6F2676" w14:textId="77777777" w:rsidR="00DB2B68" w:rsidRDefault="00000000">
      <w:r>
        <w:rPr>
          <w:b/>
        </w:rPr>
        <w:t>COLONNE</w:t>
      </w:r>
    </w:p>
    <w:p w14:paraId="522356A1" w14:textId="77777777" w:rsidR="00DB2B68" w:rsidRDefault="00000000">
      <w:r>
        <w:t>Distinctions faites suivant les types de profilés, nuances et qualités d’acier.</w:t>
      </w:r>
    </w:p>
    <w:p w14:paraId="30BF4F8E"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365BD819" w14:textId="77777777" w:rsidR="00DB2B68" w:rsidRDefault="00000000">
      <w:r>
        <w:rPr>
          <w:b/>
          <w:i/>
        </w:rPr>
        <w:t>(Soit par défaut)</w:t>
      </w:r>
    </w:p>
    <w:p w14:paraId="7C7E04EE"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0990141A" w14:textId="77777777" w:rsidR="00DB2B68" w:rsidRDefault="00000000">
      <w:r>
        <w:rPr>
          <w:b/>
          <w:i/>
        </w:rPr>
        <w:t>(Soit)</w:t>
      </w:r>
    </w:p>
    <w:p w14:paraId="775FE3D0"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4B38F82" w14:textId="77777777" w:rsidR="00DB2B68" w:rsidRDefault="00000000">
      <w:r>
        <w:rPr>
          <w:b/>
          <w:i/>
        </w:rPr>
        <w:t>(Soit)</w:t>
      </w:r>
    </w:p>
    <w:p w14:paraId="67954C42"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59B7E9A" w14:textId="77777777" w:rsidR="00DB2B68" w:rsidRDefault="00000000">
      <w:r>
        <w:rPr>
          <w:b/>
          <w:i/>
        </w:rPr>
        <w:t>(Soit)</w:t>
      </w:r>
    </w:p>
    <w:p w14:paraId="1954D91A"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7197749" w14:textId="77777777" w:rsidR="00DB2B68" w:rsidRDefault="00000000">
      <w:r>
        <w:rPr>
          <w:b/>
          <w:i/>
        </w:rPr>
        <w:t>(Soit)</w:t>
      </w:r>
    </w:p>
    <w:p w14:paraId="5702183D" w14:textId="77777777" w:rsidR="00DB2B68" w:rsidRDefault="00000000">
      <w:r>
        <w:rPr>
          <w:rStyle w:val="soitChar"/>
        </w:rPr>
        <w:lastRenderedPageBreak/>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0668CB82" w14:textId="77777777" w:rsidR="00DB2B68" w:rsidRDefault="00DB2B68"/>
    <w:p w14:paraId="7D53EA8D" w14:textId="77777777" w:rsidR="00DB2B68" w:rsidRDefault="00000000">
      <w:r>
        <w:rPr>
          <w:b/>
        </w:rPr>
        <w:t>FLOCAGE</w:t>
      </w:r>
    </w:p>
    <w:p w14:paraId="175A297F"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8F6B3CA" w14:textId="77777777" w:rsidR="00DB2B68" w:rsidRDefault="00000000">
      <w:r>
        <w:rPr>
          <w:b/>
          <w:i/>
        </w:rPr>
        <w:t>(Soit par défaut)</w:t>
      </w:r>
    </w:p>
    <w:p w14:paraId="2B5C579A"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1099754E" w14:textId="77777777" w:rsidR="00DB2B68" w:rsidRDefault="00000000">
      <w:r>
        <w:rPr>
          <w:b/>
          <w:i/>
        </w:rPr>
        <w:t>(Soit)</w:t>
      </w:r>
    </w:p>
    <w:p w14:paraId="6A35FA50"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33D0CC1E" w14:textId="77777777" w:rsidR="00DB2B68" w:rsidRDefault="00000000">
      <w:r>
        <w:rPr>
          <w:b/>
          <w:i/>
        </w:rPr>
        <w:t>(Soit)</w:t>
      </w:r>
    </w:p>
    <w:p w14:paraId="6C337ACE"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DFB1DDC" w14:textId="77777777" w:rsidR="00DB2B68" w:rsidRDefault="00DB2B68"/>
    <w:p w14:paraId="75B53F7C" w14:textId="77777777" w:rsidR="00DB2B68" w:rsidRDefault="00000000">
      <w:pPr>
        <w:spacing w:after="0" w:line="256" w:lineRule="auto"/>
        <w:jc w:val="both"/>
      </w:pPr>
      <w:r>
        <w:rPr>
          <w:b/>
        </w:rPr>
        <w:t>COUPURE THERMIQUE</w:t>
      </w:r>
    </w:p>
    <w:p w14:paraId="45516B96" w14:textId="77777777" w:rsidR="00DB2B68" w:rsidRDefault="00000000">
      <w:r>
        <w:rPr>
          <w:rStyle w:val="optioncarChar"/>
        </w:rPr>
        <w:t>À la pièce, ventilée suivant les types d’éléments</w:t>
      </w:r>
    </w:p>
    <w:p w14:paraId="5F9936ED" w14:textId="77777777" w:rsidR="00DB2B68" w:rsidRDefault="00000000">
      <w:pPr>
        <w:pStyle w:val="pheading"/>
      </w:pPr>
      <w:r>
        <w:t>- nature du marché:</w:t>
      </w:r>
    </w:p>
    <w:p w14:paraId="13DD0F59" w14:textId="77777777" w:rsidR="00DB2B68" w:rsidRDefault="00DB2B68"/>
    <w:p w14:paraId="22A2765E" w14:textId="77777777" w:rsidR="00DB2B68" w:rsidRDefault="00000000">
      <w:r>
        <w:rPr>
          <w:rStyle w:val="optioncarChar"/>
        </w:rPr>
        <w:t>QF</w:t>
      </w:r>
      <w:r>
        <w:t xml:space="preserve"> (par défaut) </w:t>
      </w:r>
      <w:r>
        <w:rPr>
          <w:rStyle w:val="optioncarChar"/>
        </w:rPr>
        <w:t>/ QP</w:t>
      </w:r>
    </w:p>
    <w:p w14:paraId="4DA3ADFE" w14:textId="77777777" w:rsidR="00DB2B68" w:rsidRDefault="00000000">
      <w:pPr>
        <w:pStyle w:val="soit"/>
      </w:pPr>
      <w:r>
        <w:rPr>
          <w:rStyle w:val="normalChar"/>
          <w:b/>
          <w:i/>
          <w:color w:val="000000"/>
        </w:rPr>
        <w:t xml:space="preserve">(Soit par défaut) </w:t>
      </w:r>
    </w:p>
    <w:p w14:paraId="1B56CBCF" w14:textId="77777777" w:rsidR="00DB2B68" w:rsidRDefault="00000000">
      <w:r>
        <w:rPr>
          <w:rStyle w:val="soitChar"/>
        </w:rPr>
        <w:t xml:space="preserve">1. QF </w:t>
      </w:r>
    </w:p>
    <w:p w14:paraId="6BD57234" w14:textId="77777777" w:rsidR="00DB2B68" w:rsidRDefault="00000000">
      <w:r>
        <w:rPr>
          <w:b/>
          <w:i/>
        </w:rPr>
        <w:t>(Soit)</w:t>
      </w:r>
    </w:p>
    <w:p w14:paraId="768B22F5" w14:textId="77777777" w:rsidR="00DB2B68" w:rsidRDefault="00000000">
      <w:r>
        <w:rPr>
          <w:rStyle w:val="soitChar"/>
        </w:rPr>
        <w:t>2. QP</w:t>
      </w:r>
    </w:p>
    <w:p w14:paraId="52C90AC3" w14:textId="77777777" w:rsidR="00DB2B68" w:rsidRDefault="00000000">
      <w:pPr>
        <w:pStyle w:val="Author-eSectionHeading6Numberless"/>
      </w:pPr>
      <w:bookmarkStart w:id="1232" w:name="_Toc220496248"/>
      <w:r>
        <w:t>23.14.3b Colonnes reconstituées en profilés d'acier inoxydable CCTB 01.11</w:t>
      </w:r>
      <w:bookmarkEnd w:id="1232"/>
    </w:p>
    <w:p w14:paraId="05AEBB20" w14:textId="77777777" w:rsidR="00DB2B68" w:rsidRDefault="00000000">
      <w:pPr>
        <w:pStyle w:val="pheading"/>
      </w:pPr>
      <w:r>
        <w:t>DESCRIPTION</w:t>
      </w:r>
    </w:p>
    <w:p w14:paraId="1B4D7DC3" w14:textId="77777777" w:rsidR="00DB2B68" w:rsidRDefault="00000000">
      <w:pPr>
        <w:pStyle w:val="pheading"/>
      </w:pPr>
      <w:r>
        <w:t>- Définition / Comprend</w:t>
      </w:r>
    </w:p>
    <w:p w14:paraId="06DE7218" w14:textId="77777777" w:rsidR="00DB2B68" w:rsidRDefault="00000000">
      <w:pPr>
        <w:ind w:left="750"/>
      </w:pPr>
      <w:r>
        <w:t>Il s'agit de l’ensemble des colonnes reconstituées soudées à partir d’éléments en acier inoxydable conformes à la [NBN EN 10088 série]. L’assemblage de ces éléments est conforme à la [NBN EN 1090-2]. </w:t>
      </w:r>
    </w:p>
    <w:p w14:paraId="1ECBA470" w14:textId="77777777" w:rsidR="00DB2B68" w:rsidRDefault="00000000">
      <w:pPr>
        <w:pStyle w:val="pheading"/>
      </w:pPr>
      <w:r>
        <w:t>- Localisation</w:t>
      </w:r>
    </w:p>
    <w:p w14:paraId="05702C7D" w14:textId="77777777" w:rsidR="00DB2B68" w:rsidRDefault="00000000">
      <w:pPr>
        <w:ind w:left="750"/>
      </w:pPr>
      <w:r>
        <w:rPr>
          <w:rFonts w:ascii="Calibri" w:hAnsi="Calibri" w:cs="Calibri"/>
          <w:sz w:val="22"/>
        </w:rPr>
        <w:t xml:space="preserve">Les travaux sont localisés : </w:t>
      </w:r>
      <w:r>
        <w:rPr>
          <w:rStyle w:val="optioncarChar"/>
        </w:rPr>
        <w:t>Voir plans et métrés détaillés</w:t>
      </w:r>
      <w:r>
        <w:t> (par défaut)</w:t>
      </w:r>
      <w:r>
        <w:rPr>
          <w:rStyle w:val="optioncarChar"/>
        </w:rPr>
        <w:t xml:space="preserve"> / *** .</w:t>
      </w:r>
    </w:p>
    <w:p w14:paraId="3B677C0C" w14:textId="77777777" w:rsidR="00DB2B68" w:rsidRDefault="00000000">
      <w:pPr>
        <w:pStyle w:val="pheading"/>
      </w:pPr>
      <w:r>
        <w:t>EXÉCUTION / MISE EN ŒUVRE</w:t>
      </w:r>
    </w:p>
    <w:p w14:paraId="0C0E9A86" w14:textId="77777777" w:rsidR="00DB2B68" w:rsidRDefault="00000000">
      <w:pPr>
        <w:pStyle w:val="pheading"/>
      </w:pPr>
      <w:r>
        <w:t>- Notes d’exécution complémentaires</w:t>
      </w:r>
    </w:p>
    <w:p w14:paraId="274AC911" w14:textId="77777777" w:rsidR="00DB2B68" w:rsidRDefault="00000000">
      <w:r>
        <w:rPr>
          <w:rStyle w:val="facultChar"/>
        </w:rPr>
        <w:t>Le présent article comprend également des coupures thermiques : Des dispositifs adéquats sont utilisés pour éviter tout pont thermique.</w:t>
      </w:r>
    </w:p>
    <w:p w14:paraId="7B106877" w14:textId="77777777" w:rsidR="00DB2B68" w:rsidRDefault="00000000">
      <w:pPr>
        <w:pStyle w:val="pheading"/>
      </w:pPr>
      <w:r>
        <w:t>MESURAGE</w:t>
      </w:r>
    </w:p>
    <w:p w14:paraId="3F848E86" w14:textId="77777777" w:rsidR="00DB2B68" w:rsidRDefault="00000000">
      <w:pPr>
        <w:pStyle w:val="pheading"/>
      </w:pPr>
      <w:r>
        <w:t>- unité de mesure:</w:t>
      </w:r>
    </w:p>
    <w:p w14:paraId="5B5C76BB" w14:textId="77777777" w:rsidR="00DB2B68" w:rsidRDefault="00DB2B68"/>
    <w:p w14:paraId="0543CBCA" w14:textId="77777777" w:rsidR="00DB2B68" w:rsidRDefault="00000000">
      <w:r>
        <w:rPr>
          <w:b/>
        </w:rPr>
        <w:t>COLONNE</w:t>
      </w:r>
    </w:p>
    <w:p w14:paraId="14EDAE6C" w14:textId="77777777" w:rsidR="00DB2B68" w:rsidRDefault="00000000">
      <w:r>
        <w:rPr>
          <w:rStyle w:val="optioncarChar"/>
        </w:rPr>
        <w:lastRenderedPageBreak/>
        <w:t>kg </w:t>
      </w:r>
      <w:r>
        <w:t xml:space="preserve">(par défaut) </w:t>
      </w:r>
      <w:r>
        <w:rPr>
          <w:rStyle w:val="optioncarChar"/>
        </w:rPr>
        <w:t>/ m / pc.</w:t>
      </w:r>
    </w:p>
    <w:p w14:paraId="7D4914E3" w14:textId="77777777" w:rsidR="00DB2B68" w:rsidRDefault="00000000">
      <w:r>
        <w:rPr>
          <w:b/>
          <w:i/>
        </w:rPr>
        <w:t>(Soit par défaut)</w:t>
      </w:r>
    </w:p>
    <w:p w14:paraId="77B33662" w14:textId="77777777" w:rsidR="00DB2B68" w:rsidRDefault="00000000">
      <w:r>
        <w:rPr>
          <w:rStyle w:val="soitChar"/>
        </w:rPr>
        <w:t> 1. kg.</w:t>
      </w:r>
    </w:p>
    <w:p w14:paraId="313A396D" w14:textId="77777777" w:rsidR="00DB2B68" w:rsidRDefault="00000000">
      <w:r>
        <w:rPr>
          <w:b/>
          <w:i/>
        </w:rPr>
        <w:t>(Soit)</w:t>
      </w:r>
    </w:p>
    <w:p w14:paraId="21B9CCC3" w14:textId="77777777" w:rsidR="00DB2B68" w:rsidRDefault="00000000">
      <w:r>
        <w:rPr>
          <w:rStyle w:val="soitChar"/>
        </w:rPr>
        <w:t>  2 ou 3. m</w:t>
      </w:r>
    </w:p>
    <w:p w14:paraId="6FF11739" w14:textId="77777777" w:rsidR="00DB2B68" w:rsidRDefault="00000000">
      <w:r>
        <w:rPr>
          <w:b/>
          <w:i/>
        </w:rPr>
        <w:t>(Soit)</w:t>
      </w:r>
    </w:p>
    <w:p w14:paraId="0F14E35D" w14:textId="77777777" w:rsidR="00DB2B68" w:rsidRDefault="00000000">
      <w:r>
        <w:rPr>
          <w:rStyle w:val="soitChar"/>
        </w:rPr>
        <w:t>  4 ou 5. pc</w:t>
      </w:r>
    </w:p>
    <w:p w14:paraId="2F6331CA" w14:textId="77777777" w:rsidR="00DB2B68" w:rsidRDefault="00000000">
      <w:r>
        <w:rPr>
          <w:rStyle w:val="soitChar"/>
        </w:rPr>
        <w:t> </w:t>
      </w:r>
    </w:p>
    <w:p w14:paraId="0B79E568" w14:textId="77777777" w:rsidR="00DB2B68" w:rsidRDefault="00000000">
      <w:r>
        <w:rPr>
          <w:b/>
        </w:rPr>
        <w:t>FLOCAGE</w:t>
      </w:r>
    </w:p>
    <w:p w14:paraId="5E628425" w14:textId="77777777" w:rsidR="00DB2B68" w:rsidRDefault="00000000">
      <w:r>
        <w:t>Le traitement au feu par flocage est compté séparément et fait l’objet d’un (de) poste(s) supplémentaire(s) dans le présent article :</w:t>
      </w:r>
    </w:p>
    <w:p w14:paraId="04747695" w14:textId="77777777" w:rsidR="00DB2B68" w:rsidRDefault="00000000">
      <w:r>
        <w:rPr>
          <w:rStyle w:val="optioncarChar"/>
        </w:rPr>
        <w:t xml:space="preserve">m² </w:t>
      </w:r>
      <w:r>
        <w:t>(par défaut)</w:t>
      </w:r>
      <w:r>
        <w:rPr>
          <w:rStyle w:val="optioncarChar"/>
        </w:rPr>
        <w:t xml:space="preserve"> / m / pc.</w:t>
      </w:r>
    </w:p>
    <w:p w14:paraId="02F5DE44" w14:textId="77777777" w:rsidR="00DB2B68" w:rsidRDefault="00000000">
      <w:r>
        <w:rPr>
          <w:b/>
          <w:i/>
        </w:rPr>
        <w:t>(Soit par défaut)</w:t>
      </w:r>
    </w:p>
    <w:p w14:paraId="2D5C89A8" w14:textId="77777777" w:rsidR="00DB2B68" w:rsidRDefault="00000000">
      <w:r>
        <w:rPr>
          <w:rStyle w:val="soitChar"/>
        </w:rPr>
        <w:t> 1. m².</w:t>
      </w:r>
    </w:p>
    <w:p w14:paraId="5219B94A" w14:textId="77777777" w:rsidR="00DB2B68" w:rsidRDefault="00000000">
      <w:r>
        <w:rPr>
          <w:b/>
          <w:i/>
        </w:rPr>
        <w:t>(Soit)</w:t>
      </w:r>
    </w:p>
    <w:p w14:paraId="3FE632C2" w14:textId="77777777" w:rsidR="00DB2B68" w:rsidRDefault="00000000">
      <w:r>
        <w:rPr>
          <w:rStyle w:val="soitChar"/>
        </w:rPr>
        <w:t> 2. m</w:t>
      </w:r>
    </w:p>
    <w:p w14:paraId="7D36255F" w14:textId="77777777" w:rsidR="00DB2B68" w:rsidRDefault="00000000">
      <w:r>
        <w:rPr>
          <w:b/>
          <w:i/>
        </w:rPr>
        <w:t>(Soit)</w:t>
      </w:r>
    </w:p>
    <w:p w14:paraId="2144B91B" w14:textId="77777777" w:rsidR="00DB2B68" w:rsidRDefault="00000000">
      <w:r>
        <w:rPr>
          <w:rStyle w:val="soitChar"/>
        </w:rPr>
        <w:t> 3. pc</w:t>
      </w:r>
    </w:p>
    <w:p w14:paraId="647E0391" w14:textId="77777777" w:rsidR="00DB2B68" w:rsidRDefault="00DB2B68"/>
    <w:p w14:paraId="515BCBCF" w14:textId="77777777" w:rsidR="00DB2B68" w:rsidRDefault="00000000">
      <w:r>
        <w:rPr>
          <w:b/>
        </w:rPr>
        <w:t>COUPURE THERMIQUE</w:t>
      </w:r>
    </w:p>
    <w:p w14:paraId="49A6A0E3" w14:textId="77777777" w:rsidR="00DB2B68" w:rsidRDefault="00000000">
      <w:r>
        <w:rPr>
          <w:rStyle w:val="optioncarChar"/>
        </w:rPr>
        <w:t>pièce</w:t>
      </w:r>
    </w:p>
    <w:p w14:paraId="1876F265" w14:textId="77777777" w:rsidR="00DB2B68" w:rsidRDefault="00000000">
      <w:pPr>
        <w:pStyle w:val="pheading"/>
      </w:pPr>
      <w:r>
        <w:t>- code de mesurage:</w:t>
      </w:r>
    </w:p>
    <w:p w14:paraId="263DBC93" w14:textId="77777777" w:rsidR="00DB2B68" w:rsidRDefault="00DB2B68"/>
    <w:p w14:paraId="29780981" w14:textId="77777777" w:rsidR="00DB2B68" w:rsidRDefault="00000000">
      <w:r>
        <w:rPr>
          <w:b/>
        </w:rPr>
        <w:t>COLONNE</w:t>
      </w:r>
    </w:p>
    <w:p w14:paraId="7D1152E1" w14:textId="77777777" w:rsidR="00DB2B68" w:rsidRDefault="00000000">
      <w:r>
        <w:t>Distinctions faites suivant les types de profilés, nuances et qualités d’acier.</w:t>
      </w:r>
    </w:p>
    <w:p w14:paraId="1CA58AB6"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15C71D18" w14:textId="77777777" w:rsidR="00DB2B68" w:rsidRDefault="00000000">
      <w:r>
        <w:rPr>
          <w:b/>
          <w:i/>
        </w:rPr>
        <w:t>(Soit par défaut)</w:t>
      </w:r>
    </w:p>
    <w:p w14:paraId="12B3E54F"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A70B509" w14:textId="77777777" w:rsidR="00DB2B68" w:rsidRDefault="00000000">
      <w:r>
        <w:rPr>
          <w:b/>
          <w:i/>
        </w:rPr>
        <w:t>(Soit)</w:t>
      </w:r>
    </w:p>
    <w:p w14:paraId="70DDC99F"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078CD12D" w14:textId="77777777" w:rsidR="00DB2B68" w:rsidRDefault="00000000">
      <w:r>
        <w:rPr>
          <w:b/>
          <w:i/>
        </w:rPr>
        <w:t>(Soit)</w:t>
      </w:r>
    </w:p>
    <w:p w14:paraId="40415AED"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64A1D0D" w14:textId="77777777" w:rsidR="00DB2B68" w:rsidRDefault="00000000">
      <w:r>
        <w:rPr>
          <w:b/>
          <w:i/>
        </w:rPr>
        <w:t>(Soit)</w:t>
      </w:r>
    </w:p>
    <w:p w14:paraId="0449453B"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09F1A32E" w14:textId="77777777" w:rsidR="00DB2B68" w:rsidRDefault="00000000">
      <w:r>
        <w:rPr>
          <w:b/>
          <w:i/>
        </w:rPr>
        <w:t>(Soit)</w:t>
      </w:r>
    </w:p>
    <w:p w14:paraId="160DDEC6"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2D281B36" w14:textId="77777777" w:rsidR="00DB2B68" w:rsidRDefault="00DB2B68"/>
    <w:p w14:paraId="76A8B2D1" w14:textId="77777777" w:rsidR="00DB2B68" w:rsidRDefault="00000000">
      <w:r>
        <w:rPr>
          <w:b/>
        </w:rPr>
        <w:t>FLOCAGE</w:t>
      </w:r>
    </w:p>
    <w:p w14:paraId="40E0F1B7"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0A5C1A4" w14:textId="77777777" w:rsidR="00DB2B68" w:rsidRDefault="00000000">
      <w:r>
        <w:rPr>
          <w:b/>
          <w:i/>
        </w:rPr>
        <w:t>(Soit par défaut)</w:t>
      </w:r>
    </w:p>
    <w:p w14:paraId="420260FB"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704F640F" w14:textId="77777777" w:rsidR="00DB2B68" w:rsidRDefault="00000000">
      <w:r>
        <w:rPr>
          <w:b/>
          <w:i/>
        </w:rPr>
        <w:t>(Soit)</w:t>
      </w:r>
    </w:p>
    <w:p w14:paraId="30BE7C5A"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6B54790" w14:textId="77777777" w:rsidR="00DB2B68" w:rsidRDefault="00000000">
      <w:r>
        <w:rPr>
          <w:b/>
          <w:i/>
        </w:rPr>
        <w:t>(Soit)</w:t>
      </w:r>
    </w:p>
    <w:p w14:paraId="43872200"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323026CD" w14:textId="77777777" w:rsidR="00DB2B68" w:rsidRDefault="00DB2B68"/>
    <w:p w14:paraId="7C4D6747" w14:textId="77777777" w:rsidR="00DB2B68" w:rsidRDefault="00000000">
      <w:pPr>
        <w:spacing w:after="0" w:line="256" w:lineRule="auto"/>
        <w:jc w:val="both"/>
      </w:pPr>
      <w:r>
        <w:rPr>
          <w:b/>
        </w:rPr>
        <w:t>COUPURE THERMIQUE</w:t>
      </w:r>
    </w:p>
    <w:p w14:paraId="408002B5" w14:textId="77777777" w:rsidR="00DB2B68" w:rsidRDefault="00000000">
      <w:r>
        <w:rPr>
          <w:rStyle w:val="optioncarChar"/>
        </w:rPr>
        <w:t>À la pièce, ventilée suivant les types d’éléments</w:t>
      </w:r>
    </w:p>
    <w:p w14:paraId="09F4B399" w14:textId="77777777" w:rsidR="00DB2B68" w:rsidRDefault="00000000">
      <w:pPr>
        <w:pStyle w:val="pheading"/>
      </w:pPr>
      <w:r>
        <w:t>- nature du marché:</w:t>
      </w:r>
    </w:p>
    <w:p w14:paraId="0B9A9FE5" w14:textId="77777777" w:rsidR="00DB2B68" w:rsidRDefault="00DB2B68"/>
    <w:p w14:paraId="45F4C738" w14:textId="77777777" w:rsidR="00DB2B68" w:rsidRDefault="00000000">
      <w:r>
        <w:rPr>
          <w:rStyle w:val="optioncarChar"/>
        </w:rPr>
        <w:t>QF</w:t>
      </w:r>
      <w:r>
        <w:t xml:space="preserve"> (par défaut) </w:t>
      </w:r>
      <w:r>
        <w:rPr>
          <w:rStyle w:val="optioncarChar"/>
        </w:rPr>
        <w:t>/ QP</w:t>
      </w:r>
    </w:p>
    <w:p w14:paraId="5A8B7D91" w14:textId="77777777" w:rsidR="00DB2B68" w:rsidRDefault="00000000">
      <w:pPr>
        <w:pStyle w:val="soit"/>
      </w:pPr>
      <w:r>
        <w:rPr>
          <w:rStyle w:val="normalChar"/>
          <w:b/>
          <w:i/>
          <w:color w:val="000000"/>
        </w:rPr>
        <w:t xml:space="preserve">(Soit par défaut) </w:t>
      </w:r>
    </w:p>
    <w:p w14:paraId="345D15CB" w14:textId="77777777" w:rsidR="00DB2B68" w:rsidRDefault="00000000">
      <w:r>
        <w:rPr>
          <w:rStyle w:val="soitChar"/>
        </w:rPr>
        <w:t xml:space="preserve">1. QF </w:t>
      </w:r>
    </w:p>
    <w:p w14:paraId="7219D8B8" w14:textId="77777777" w:rsidR="00DB2B68" w:rsidRDefault="00000000">
      <w:r>
        <w:rPr>
          <w:b/>
          <w:i/>
        </w:rPr>
        <w:t>(Soit)</w:t>
      </w:r>
    </w:p>
    <w:p w14:paraId="649C1216" w14:textId="77777777" w:rsidR="00DB2B68" w:rsidRDefault="00000000">
      <w:r>
        <w:rPr>
          <w:rStyle w:val="soitChar"/>
        </w:rPr>
        <w:t>2. QP</w:t>
      </w:r>
    </w:p>
    <w:p w14:paraId="526ED0F3" w14:textId="77777777" w:rsidR="00DB2B68" w:rsidRDefault="00000000">
      <w:pPr>
        <w:pStyle w:val="Author-eSectionHeading6Numberless"/>
      </w:pPr>
      <w:bookmarkStart w:id="1233" w:name="_Toc220496249"/>
      <w:r>
        <w:t>23.14.3c Colonnes en treillis en acier inoxydable CCTB 01.11</w:t>
      </w:r>
      <w:bookmarkEnd w:id="1233"/>
    </w:p>
    <w:p w14:paraId="0052D6E5" w14:textId="77777777" w:rsidR="00DB2B68" w:rsidRDefault="00000000">
      <w:pPr>
        <w:pStyle w:val="pheading"/>
      </w:pPr>
      <w:r>
        <w:t>DESCRIPTION</w:t>
      </w:r>
    </w:p>
    <w:p w14:paraId="050AAFCA" w14:textId="77777777" w:rsidR="00DB2B68" w:rsidRDefault="00000000">
      <w:pPr>
        <w:pStyle w:val="pheading"/>
      </w:pPr>
      <w:r>
        <w:t>- Définition / Comprend</w:t>
      </w:r>
    </w:p>
    <w:p w14:paraId="06068C63" w14:textId="77777777" w:rsidR="00DB2B68" w:rsidRDefault="00000000">
      <w:r>
        <w:t>Il s'agit de l’ensemble des colonnes en treillis constituées d’éléments en acier inoxydable conformes à la [NBN EN 10088 série]. Une colonne en treillis est formée d’éléments assemblés entre eux formant une triangulation. Cette colonne comprend deux membrures reliées par des éléments horizontaux et/ou obliques (montants et/ou diagonales).  La réalisation de cette colonne est conforme à la [NBN EN 1090-2]. </w:t>
      </w:r>
    </w:p>
    <w:p w14:paraId="44447610" w14:textId="77777777" w:rsidR="00DB2B68" w:rsidRDefault="00000000">
      <w:pPr>
        <w:pStyle w:val="pheading"/>
      </w:pPr>
      <w:r>
        <w:t>- Localisation</w:t>
      </w:r>
    </w:p>
    <w:p w14:paraId="11720B0A" w14:textId="77777777" w:rsidR="00DB2B68" w:rsidRDefault="00000000">
      <w:pPr>
        <w:ind w:left="750"/>
      </w:pPr>
      <w:r>
        <w:rPr>
          <w:rFonts w:ascii="Calibri" w:hAnsi="Calibri" w:cs="Calibri"/>
          <w:sz w:val="22"/>
        </w:rPr>
        <w:t xml:space="preserve">Les travaux sont localisés : </w:t>
      </w:r>
      <w:r>
        <w:rPr>
          <w:rStyle w:val="optioncarChar"/>
        </w:rPr>
        <w:t>*** / Voir plans et métrés détaillés</w:t>
      </w:r>
      <w:r>
        <w:rPr>
          <w:color w:val="000000"/>
        </w:rPr>
        <w:t>.</w:t>
      </w:r>
    </w:p>
    <w:p w14:paraId="5F1E3F72" w14:textId="77777777" w:rsidR="00DB2B68" w:rsidRDefault="00000000">
      <w:pPr>
        <w:pStyle w:val="pheading"/>
      </w:pPr>
      <w:r>
        <w:t>EXÉCUTION / MISE EN ŒUVRE</w:t>
      </w:r>
    </w:p>
    <w:p w14:paraId="2674D6D3" w14:textId="77777777" w:rsidR="00DB2B68" w:rsidRDefault="00000000">
      <w:pPr>
        <w:pStyle w:val="pheading"/>
      </w:pPr>
      <w:r>
        <w:t>- Notes d’exécution complémentaires</w:t>
      </w:r>
    </w:p>
    <w:p w14:paraId="6B623165" w14:textId="77777777" w:rsidR="00DB2B68" w:rsidRDefault="00DB2B68"/>
    <w:p w14:paraId="310DDA3E" w14:textId="77777777" w:rsidR="00DB2B68" w:rsidRDefault="00000000">
      <w:pPr>
        <w:spacing w:after="0" w:line="256" w:lineRule="auto"/>
      </w:pPr>
      <w:r>
        <w:rPr>
          <w:rStyle w:val="facultChar"/>
          <w:i/>
        </w:rPr>
        <w:t xml:space="preserve">Le présent article comprend également : </w:t>
      </w:r>
      <w:r>
        <w:rPr>
          <w:rStyle w:val="optioncarChar"/>
          <w:i/>
        </w:rPr>
        <w:t>des coupures thermiques</w:t>
      </w:r>
      <w:r>
        <w:rPr>
          <w:i/>
          <w:color w:val="FF0000"/>
        </w:rPr>
        <w:t>.</w:t>
      </w:r>
    </w:p>
    <w:p w14:paraId="7B7A3B63" w14:textId="77777777" w:rsidR="00DB2B68" w:rsidRDefault="00000000">
      <w:pPr>
        <w:pStyle w:val="Author-eListParagraph"/>
        <w:numPr>
          <w:ilvl w:val="0"/>
          <w:numId w:val="691"/>
        </w:numPr>
      </w:pPr>
      <w:r>
        <w:rPr>
          <w:rFonts w:ascii="Times New Roman" w:hAnsi="Times New Roman" w:cs="Times New Roman"/>
          <w:color w:val="3366FF"/>
          <w:sz w:val="14"/>
        </w:rPr>
        <w:t> </w:t>
      </w:r>
      <w:r>
        <w:rPr>
          <w:rStyle w:val="facultChar"/>
          <w:i/>
          <w:u w:val="single"/>
        </w:rPr>
        <w:t>Coupures thermiques</w:t>
      </w:r>
    </w:p>
    <w:p w14:paraId="1B452E04" w14:textId="77777777" w:rsidR="00DB2B68" w:rsidRDefault="00000000">
      <w:pPr>
        <w:spacing w:line="256" w:lineRule="auto"/>
      </w:pPr>
      <w:r>
        <w:rPr>
          <w:rStyle w:val="facultChar"/>
          <w:i/>
        </w:rPr>
        <w:t>Des dispositifs adéquats sont utilisés pour éviter tout pont thermique.</w:t>
      </w:r>
    </w:p>
    <w:p w14:paraId="48031C68" w14:textId="77777777" w:rsidR="00DB2B68" w:rsidRDefault="00000000">
      <w:pPr>
        <w:pStyle w:val="pheading"/>
      </w:pPr>
      <w:r>
        <w:t>MESURAGE</w:t>
      </w:r>
    </w:p>
    <w:p w14:paraId="3A658A2A" w14:textId="77777777" w:rsidR="00DB2B68" w:rsidRDefault="00000000">
      <w:pPr>
        <w:pStyle w:val="pheading"/>
      </w:pPr>
      <w:r>
        <w:t>- unité de mesure:</w:t>
      </w:r>
    </w:p>
    <w:p w14:paraId="64723291" w14:textId="77777777" w:rsidR="00DB2B68" w:rsidRDefault="00DB2B68"/>
    <w:p w14:paraId="0C0ABF31" w14:textId="77777777" w:rsidR="00DB2B68" w:rsidRDefault="00000000">
      <w:r>
        <w:rPr>
          <w:b/>
        </w:rPr>
        <w:t>COLONNE</w:t>
      </w:r>
    </w:p>
    <w:p w14:paraId="13557E77" w14:textId="77777777" w:rsidR="00DB2B68" w:rsidRDefault="00000000">
      <w:r>
        <w:rPr>
          <w:rStyle w:val="optioncarChar"/>
        </w:rPr>
        <w:t>kg </w:t>
      </w:r>
      <w:r>
        <w:t xml:space="preserve">(par défaut) </w:t>
      </w:r>
      <w:r>
        <w:rPr>
          <w:rStyle w:val="optioncarChar"/>
        </w:rPr>
        <w:t>/ m / pc.</w:t>
      </w:r>
    </w:p>
    <w:p w14:paraId="51E14F88" w14:textId="77777777" w:rsidR="00DB2B68" w:rsidRDefault="00000000">
      <w:r>
        <w:rPr>
          <w:b/>
          <w:i/>
        </w:rPr>
        <w:t>(Soit par défaut)</w:t>
      </w:r>
    </w:p>
    <w:p w14:paraId="4BB4E601" w14:textId="77777777" w:rsidR="00DB2B68" w:rsidRDefault="00000000">
      <w:r>
        <w:rPr>
          <w:rStyle w:val="soitChar"/>
        </w:rPr>
        <w:t> 1. kg.</w:t>
      </w:r>
    </w:p>
    <w:p w14:paraId="75E886C8" w14:textId="77777777" w:rsidR="00DB2B68" w:rsidRDefault="00000000">
      <w:r>
        <w:rPr>
          <w:b/>
          <w:i/>
        </w:rPr>
        <w:t>(Soit)</w:t>
      </w:r>
    </w:p>
    <w:p w14:paraId="74879F5D" w14:textId="77777777" w:rsidR="00DB2B68" w:rsidRDefault="00000000">
      <w:r>
        <w:rPr>
          <w:rStyle w:val="soitChar"/>
        </w:rPr>
        <w:t>  2 ou 3. m</w:t>
      </w:r>
    </w:p>
    <w:p w14:paraId="11F9A49B" w14:textId="77777777" w:rsidR="00DB2B68" w:rsidRDefault="00000000">
      <w:r>
        <w:rPr>
          <w:b/>
          <w:i/>
        </w:rPr>
        <w:t>(Soit)</w:t>
      </w:r>
    </w:p>
    <w:p w14:paraId="312C7E7D" w14:textId="77777777" w:rsidR="00DB2B68" w:rsidRDefault="00000000">
      <w:r>
        <w:rPr>
          <w:rStyle w:val="soitChar"/>
        </w:rPr>
        <w:t>  4 ou 5. pc</w:t>
      </w:r>
    </w:p>
    <w:p w14:paraId="12FD5363" w14:textId="77777777" w:rsidR="00DB2B68" w:rsidRDefault="00000000">
      <w:r>
        <w:rPr>
          <w:rStyle w:val="soitChar"/>
        </w:rPr>
        <w:t> </w:t>
      </w:r>
    </w:p>
    <w:p w14:paraId="1B74A581" w14:textId="77777777" w:rsidR="00DB2B68" w:rsidRDefault="00000000">
      <w:r>
        <w:rPr>
          <w:b/>
        </w:rPr>
        <w:t>FLOCAGE</w:t>
      </w:r>
    </w:p>
    <w:p w14:paraId="64FE039A" w14:textId="77777777" w:rsidR="00DB2B68" w:rsidRDefault="00000000">
      <w:r>
        <w:t>Le traitement au feu par flocage est compté séparément et fait l’objet d’un (de) poste(s) supplémentaire(s) dans le présent article :</w:t>
      </w:r>
    </w:p>
    <w:p w14:paraId="7FDD1E8E" w14:textId="77777777" w:rsidR="00DB2B68" w:rsidRDefault="00000000">
      <w:r>
        <w:rPr>
          <w:rStyle w:val="optioncarChar"/>
        </w:rPr>
        <w:t xml:space="preserve">m² </w:t>
      </w:r>
      <w:r>
        <w:t>(par défaut)</w:t>
      </w:r>
      <w:r>
        <w:rPr>
          <w:rStyle w:val="optioncarChar"/>
        </w:rPr>
        <w:t xml:space="preserve"> / m / pc.</w:t>
      </w:r>
    </w:p>
    <w:p w14:paraId="60EA3834" w14:textId="77777777" w:rsidR="00DB2B68" w:rsidRDefault="00000000">
      <w:r>
        <w:rPr>
          <w:b/>
          <w:i/>
        </w:rPr>
        <w:t>(Soit par défaut)</w:t>
      </w:r>
    </w:p>
    <w:p w14:paraId="147AFE3B" w14:textId="77777777" w:rsidR="00DB2B68" w:rsidRDefault="00000000">
      <w:r>
        <w:rPr>
          <w:rStyle w:val="soitChar"/>
        </w:rPr>
        <w:t> 1. m².</w:t>
      </w:r>
    </w:p>
    <w:p w14:paraId="4D77E105" w14:textId="77777777" w:rsidR="00DB2B68" w:rsidRDefault="00000000">
      <w:r>
        <w:rPr>
          <w:b/>
          <w:i/>
        </w:rPr>
        <w:t>(Soit)</w:t>
      </w:r>
    </w:p>
    <w:p w14:paraId="0B005084" w14:textId="77777777" w:rsidR="00DB2B68" w:rsidRDefault="00000000">
      <w:r>
        <w:rPr>
          <w:rStyle w:val="soitChar"/>
        </w:rPr>
        <w:t> 2. m</w:t>
      </w:r>
    </w:p>
    <w:p w14:paraId="261D874F" w14:textId="77777777" w:rsidR="00DB2B68" w:rsidRDefault="00000000">
      <w:r>
        <w:rPr>
          <w:b/>
          <w:i/>
        </w:rPr>
        <w:t>(Soit)</w:t>
      </w:r>
    </w:p>
    <w:p w14:paraId="55DCB3BF" w14:textId="77777777" w:rsidR="00DB2B68" w:rsidRDefault="00000000">
      <w:r>
        <w:rPr>
          <w:rStyle w:val="soitChar"/>
        </w:rPr>
        <w:t> 3. pc</w:t>
      </w:r>
    </w:p>
    <w:p w14:paraId="0EE87C42" w14:textId="77777777" w:rsidR="00DB2B68" w:rsidRDefault="00DB2B68"/>
    <w:p w14:paraId="07F3A99A" w14:textId="77777777" w:rsidR="00DB2B68" w:rsidRDefault="00000000">
      <w:r>
        <w:rPr>
          <w:b/>
        </w:rPr>
        <w:t>COUPURE THERMIQUE</w:t>
      </w:r>
    </w:p>
    <w:p w14:paraId="29BE2036" w14:textId="77777777" w:rsidR="00DB2B68" w:rsidRDefault="00000000">
      <w:r>
        <w:rPr>
          <w:rStyle w:val="optioncarChar"/>
        </w:rPr>
        <w:t>pièce</w:t>
      </w:r>
    </w:p>
    <w:p w14:paraId="7DE671FC" w14:textId="77777777" w:rsidR="00DB2B68" w:rsidRDefault="00000000">
      <w:pPr>
        <w:pStyle w:val="pheading"/>
      </w:pPr>
      <w:r>
        <w:t>- code de mesurage:</w:t>
      </w:r>
    </w:p>
    <w:p w14:paraId="0CAFBD7F" w14:textId="77777777" w:rsidR="00DB2B68" w:rsidRDefault="00DB2B68"/>
    <w:p w14:paraId="4D0568CF" w14:textId="77777777" w:rsidR="00DB2B68" w:rsidRDefault="00000000">
      <w:r>
        <w:rPr>
          <w:b/>
        </w:rPr>
        <w:t>COLONNE</w:t>
      </w:r>
    </w:p>
    <w:p w14:paraId="6392A577" w14:textId="77777777" w:rsidR="00DB2B68" w:rsidRDefault="00000000">
      <w:r>
        <w:t>Distinctions faites suivant les types de profilés, nuances et qualités d’acier.</w:t>
      </w:r>
    </w:p>
    <w:p w14:paraId="0BE29F06"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0FFB6606" w14:textId="77777777" w:rsidR="00DB2B68" w:rsidRDefault="00000000">
      <w:r>
        <w:rPr>
          <w:b/>
          <w:i/>
        </w:rPr>
        <w:t>(Soit par défaut)</w:t>
      </w:r>
    </w:p>
    <w:p w14:paraId="3A85BA8A"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3752091D" w14:textId="77777777" w:rsidR="00DB2B68" w:rsidRDefault="00000000">
      <w:r>
        <w:rPr>
          <w:b/>
          <w:i/>
        </w:rPr>
        <w:t>(Soit)</w:t>
      </w:r>
    </w:p>
    <w:p w14:paraId="6134743A"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45BB4FB" w14:textId="77777777" w:rsidR="00DB2B68" w:rsidRDefault="00000000">
      <w:r>
        <w:rPr>
          <w:b/>
          <w:i/>
        </w:rPr>
        <w:t>(Soit)</w:t>
      </w:r>
    </w:p>
    <w:p w14:paraId="3D3AC7D7"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131167F6" w14:textId="77777777" w:rsidR="00DB2B68" w:rsidRDefault="00000000">
      <w:r>
        <w:rPr>
          <w:b/>
          <w:i/>
        </w:rPr>
        <w:t>(Soit)</w:t>
      </w:r>
    </w:p>
    <w:p w14:paraId="1DCE0E94"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0511FED0" w14:textId="77777777" w:rsidR="00DB2B68" w:rsidRDefault="00000000">
      <w:r>
        <w:rPr>
          <w:b/>
          <w:i/>
        </w:rPr>
        <w:lastRenderedPageBreak/>
        <w:t>(Soit)</w:t>
      </w:r>
    </w:p>
    <w:p w14:paraId="1E692A23" w14:textId="77777777" w:rsidR="00DB2B68"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3823983" w14:textId="77777777" w:rsidR="00DB2B68" w:rsidRDefault="00DB2B68"/>
    <w:p w14:paraId="75E5244A" w14:textId="77777777" w:rsidR="00DB2B68" w:rsidRDefault="00000000">
      <w:r>
        <w:rPr>
          <w:b/>
        </w:rPr>
        <w:t>FLOCAGE</w:t>
      </w:r>
    </w:p>
    <w:p w14:paraId="72AE1295"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B0BC6F5" w14:textId="77777777" w:rsidR="00DB2B68" w:rsidRDefault="00000000">
      <w:r>
        <w:rPr>
          <w:b/>
          <w:i/>
        </w:rPr>
        <w:t>(Soit par défaut)</w:t>
      </w:r>
    </w:p>
    <w:p w14:paraId="2DDC5CFA"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79E7B098" w14:textId="77777777" w:rsidR="00DB2B68" w:rsidRDefault="00000000">
      <w:r>
        <w:rPr>
          <w:b/>
          <w:i/>
        </w:rPr>
        <w:t>(Soit)</w:t>
      </w:r>
    </w:p>
    <w:p w14:paraId="486EA5E3"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57DEDA3E" w14:textId="77777777" w:rsidR="00DB2B68" w:rsidRDefault="00000000">
      <w:r>
        <w:rPr>
          <w:b/>
          <w:i/>
        </w:rPr>
        <w:t>(Soit)</w:t>
      </w:r>
    </w:p>
    <w:p w14:paraId="1B676221"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682C4B27" w14:textId="77777777" w:rsidR="00DB2B68" w:rsidRDefault="00DB2B68"/>
    <w:p w14:paraId="064BF5BB" w14:textId="77777777" w:rsidR="00DB2B68" w:rsidRDefault="00000000">
      <w:pPr>
        <w:spacing w:after="0" w:line="256" w:lineRule="auto"/>
        <w:jc w:val="both"/>
      </w:pPr>
      <w:r>
        <w:rPr>
          <w:b/>
        </w:rPr>
        <w:t>COUPURE THERMIQUE</w:t>
      </w:r>
    </w:p>
    <w:p w14:paraId="2B1EC341" w14:textId="77777777" w:rsidR="00DB2B68" w:rsidRDefault="00000000">
      <w:r>
        <w:rPr>
          <w:rStyle w:val="optioncarChar"/>
        </w:rPr>
        <w:t>À la pièce, ventilée suivant les types d’éléments</w:t>
      </w:r>
    </w:p>
    <w:p w14:paraId="5635508E" w14:textId="77777777" w:rsidR="00DB2B68" w:rsidRDefault="00000000">
      <w:pPr>
        <w:pStyle w:val="pheading"/>
      </w:pPr>
      <w:r>
        <w:t>- nature du marché:</w:t>
      </w:r>
    </w:p>
    <w:p w14:paraId="56603D6A" w14:textId="77777777" w:rsidR="00DB2B68" w:rsidRDefault="00DB2B68"/>
    <w:p w14:paraId="4520DF94" w14:textId="77777777" w:rsidR="00DB2B68" w:rsidRDefault="00000000">
      <w:r>
        <w:rPr>
          <w:rStyle w:val="optioncarChar"/>
        </w:rPr>
        <w:t>QF</w:t>
      </w:r>
      <w:r>
        <w:t xml:space="preserve"> (par défaut) </w:t>
      </w:r>
      <w:r>
        <w:rPr>
          <w:rStyle w:val="optioncarChar"/>
        </w:rPr>
        <w:t>/ QP</w:t>
      </w:r>
    </w:p>
    <w:p w14:paraId="192E02F7" w14:textId="77777777" w:rsidR="00DB2B68" w:rsidRDefault="00000000">
      <w:pPr>
        <w:pStyle w:val="soit"/>
      </w:pPr>
      <w:r>
        <w:rPr>
          <w:rStyle w:val="normalChar"/>
          <w:b/>
          <w:i/>
          <w:color w:val="000000"/>
        </w:rPr>
        <w:t xml:space="preserve">(Soit par défaut) </w:t>
      </w:r>
    </w:p>
    <w:p w14:paraId="15347B2D" w14:textId="77777777" w:rsidR="00DB2B68" w:rsidRDefault="00000000">
      <w:r>
        <w:rPr>
          <w:rStyle w:val="soitChar"/>
        </w:rPr>
        <w:t xml:space="preserve">1. QF </w:t>
      </w:r>
    </w:p>
    <w:p w14:paraId="19661EBA" w14:textId="77777777" w:rsidR="00DB2B68" w:rsidRDefault="00000000">
      <w:r>
        <w:rPr>
          <w:b/>
          <w:i/>
        </w:rPr>
        <w:t>(Soit)</w:t>
      </w:r>
    </w:p>
    <w:p w14:paraId="7DB593F1" w14:textId="77777777" w:rsidR="00DB2B68" w:rsidRDefault="00000000">
      <w:r>
        <w:rPr>
          <w:rStyle w:val="soitChar"/>
        </w:rPr>
        <w:t>2. QP</w:t>
      </w:r>
    </w:p>
    <w:p w14:paraId="39F9849B" w14:textId="77777777" w:rsidR="00DB2B68" w:rsidRDefault="00000000">
      <w:pPr>
        <w:pStyle w:val="Author-eSectionHeading6Numberless"/>
      </w:pPr>
      <w:bookmarkStart w:id="1234" w:name="_Toc220496250"/>
      <w:r>
        <w:t>23.14.3d Colonnes alvéolaires en acier inoxydable CCTB 01.11</w:t>
      </w:r>
      <w:bookmarkEnd w:id="1234"/>
    </w:p>
    <w:p w14:paraId="3460F21F" w14:textId="77777777" w:rsidR="00DB2B68" w:rsidRDefault="00000000">
      <w:pPr>
        <w:pStyle w:val="pheading"/>
      </w:pPr>
      <w:r>
        <w:t>DESCRIPTION</w:t>
      </w:r>
    </w:p>
    <w:p w14:paraId="06355181" w14:textId="77777777" w:rsidR="00DB2B68" w:rsidRDefault="00000000">
      <w:pPr>
        <w:pStyle w:val="pheading"/>
      </w:pPr>
      <w:r>
        <w:t>- Définition / Comprend</w:t>
      </w:r>
    </w:p>
    <w:p w14:paraId="468464DB" w14:textId="77777777" w:rsidR="00DB2B68" w:rsidRDefault="00000000">
      <w:pPr>
        <w:ind w:left="750"/>
      </w:pPr>
      <w:r>
        <w:t>Il s'agit de l’ensemble des colonnes alvéolaires reconstituées soudées à partir de poutrelles en acier inoxydable conformes à la [NBN EN 10088 série]. Le soudage de ces poutrelles découpées suivant une ligne spécifique est conforme à la [NBN EN 1090-2]. </w:t>
      </w:r>
    </w:p>
    <w:p w14:paraId="601DF8BA" w14:textId="77777777" w:rsidR="00DB2B68" w:rsidRDefault="00000000">
      <w:pPr>
        <w:pStyle w:val="pheading"/>
      </w:pPr>
      <w:r>
        <w:t>- Localisation</w:t>
      </w:r>
    </w:p>
    <w:p w14:paraId="78DBE93C" w14:textId="77777777" w:rsidR="00DB2B68" w:rsidRDefault="00000000">
      <w:pPr>
        <w:ind w:left="750"/>
      </w:pPr>
      <w:r>
        <w:rPr>
          <w:rFonts w:ascii="Calibri" w:hAnsi="Calibri" w:cs="Calibri"/>
          <w:sz w:val="22"/>
        </w:rPr>
        <w:t xml:space="preserve">Les travaux sont localisés : </w:t>
      </w:r>
      <w:r>
        <w:rPr>
          <w:rStyle w:val="optioncarChar"/>
        </w:rPr>
        <w:t>Voir plans et métrés détaillés </w:t>
      </w:r>
      <w:r>
        <w:t>(par défaut) </w:t>
      </w:r>
      <w:r>
        <w:rPr>
          <w:rStyle w:val="optioncarChar"/>
        </w:rPr>
        <w:t>/ *** </w:t>
      </w:r>
      <w:r>
        <w:rPr>
          <w:color w:val="000000"/>
        </w:rPr>
        <w:t>.</w:t>
      </w:r>
    </w:p>
    <w:p w14:paraId="278F91B1" w14:textId="77777777" w:rsidR="00DB2B68" w:rsidRDefault="00000000">
      <w:pPr>
        <w:pStyle w:val="pheading"/>
      </w:pPr>
      <w:r>
        <w:t>EXÉCUTION / MISE EN ŒUVRE</w:t>
      </w:r>
    </w:p>
    <w:p w14:paraId="49D5068C" w14:textId="77777777" w:rsidR="00DB2B68" w:rsidRDefault="00000000">
      <w:pPr>
        <w:pStyle w:val="pheading"/>
      </w:pPr>
      <w:r>
        <w:t>- Notes d’exécution complémentaires</w:t>
      </w:r>
    </w:p>
    <w:p w14:paraId="0C68FB22" w14:textId="77777777" w:rsidR="00DB2B68" w:rsidRDefault="00000000">
      <w:r>
        <w:rPr>
          <w:rStyle w:val="facultChar"/>
        </w:rPr>
        <w:t>Le présent article comprend également des coupures thermiques : Des dispositifs adéquats sont utilisés pour éviter tout pont thermique.</w:t>
      </w:r>
    </w:p>
    <w:p w14:paraId="32770BC3" w14:textId="77777777" w:rsidR="00DB2B68" w:rsidRDefault="00000000">
      <w:pPr>
        <w:pStyle w:val="pheading"/>
      </w:pPr>
      <w:r>
        <w:t>MESURAGE</w:t>
      </w:r>
    </w:p>
    <w:p w14:paraId="1C0B0B76" w14:textId="77777777" w:rsidR="00DB2B68" w:rsidRDefault="00000000">
      <w:pPr>
        <w:pStyle w:val="pheading"/>
      </w:pPr>
      <w:r>
        <w:t>- unité de mesure:</w:t>
      </w:r>
    </w:p>
    <w:p w14:paraId="6EC37C9D" w14:textId="77777777" w:rsidR="00DB2B68" w:rsidRDefault="00DB2B68"/>
    <w:p w14:paraId="5C908F91" w14:textId="77777777" w:rsidR="00DB2B68" w:rsidRDefault="00000000">
      <w:r>
        <w:rPr>
          <w:b/>
        </w:rPr>
        <w:lastRenderedPageBreak/>
        <w:t>COLONNE</w:t>
      </w:r>
    </w:p>
    <w:p w14:paraId="30E08352" w14:textId="77777777" w:rsidR="00DB2B68" w:rsidRDefault="00000000">
      <w:r>
        <w:rPr>
          <w:rStyle w:val="optioncarChar"/>
        </w:rPr>
        <w:t>kg </w:t>
      </w:r>
      <w:r>
        <w:t xml:space="preserve">(par défaut) </w:t>
      </w:r>
      <w:r>
        <w:rPr>
          <w:rStyle w:val="optioncarChar"/>
        </w:rPr>
        <w:t>/ m / pc.</w:t>
      </w:r>
    </w:p>
    <w:p w14:paraId="301AABDE" w14:textId="77777777" w:rsidR="00DB2B68" w:rsidRDefault="00000000">
      <w:r>
        <w:rPr>
          <w:b/>
          <w:i/>
        </w:rPr>
        <w:t>(Soit par défaut)</w:t>
      </w:r>
    </w:p>
    <w:p w14:paraId="0A403DA4" w14:textId="77777777" w:rsidR="00DB2B68" w:rsidRDefault="00000000">
      <w:r>
        <w:rPr>
          <w:rStyle w:val="soitChar"/>
        </w:rPr>
        <w:t> 1. kg.</w:t>
      </w:r>
    </w:p>
    <w:p w14:paraId="5D8975D2" w14:textId="77777777" w:rsidR="00DB2B68" w:rsidRDefault="00000000">
      <w:r>
        <w:rPr>
          <w:b/>
          <w:i/>
        </w:rPr>
        <w:t>(Soit)</w:t>
      </w:r>
    </w:p>
    <w:p w14:paraId="7D79F0CC" w14:textId="77777777" w:rsidR="00DB2B68" w:rsidRDefault="00000000">
      <w:r>
        <w:rPr>
          <w:rStyle w:val="soitChar"/>
        </w:rPr>
        <w:t>  2 ou 3. m</w:t>
      </w:r>
    </w:p>
    <w:p w14:paraId="4A17B772" w14:textId="77777777" w:rsidR="00DB2B68" w:rsidRDefault="00000000">
      <w:r>
        <w:rPr>
          <w:b/>
          <w:i/>
        </w:rPr>
        <w:t>(Soit)</w:t>
      </w:r>
    </w:p>
    <w:p w14:paraId="0AE57BA4" w14:textId="77777777" w:rsidR="00DB2B68" w:rsidRDefault="00000000">
      <w:r>
        <w:rPr>
          <w:rStyle w:val="soitChar"/>
        </w:rPr>
        <w:t>  4 ou 5. pc</w:t>
      </w:r>
    </w:p>
    <w:p w14:paraId="20C4F349" w14:textId="77777777" w:rsidR="00DB2B68" w:rsidRDefault="00000000">
      <w:r>
        <w:rPr>
          <w:rStyle w:val="soitChar"/>
        </w:rPr>
        <w:t> </w:t>
      </w:r>
    </w:p>
    <w:p w14:paraId="3EB5ED8B" w14:textId="77777777" w:rsidR="00DB2B68" w:rsidRDefault="00000000">
      <w:r>
        <w:rPr>
          <w:b/>
        </w:rPr>
        <w:t>FLOCAGE</w:t>
      </w:r>
    </w:p>
    <w:p w14:paraId="6466C5E9" w14:textId="77777777" w:rsidR="00DB2B68" w:rsidRDefault="00000000">
      <w:r>
        <w:t>Le traitement au feu par flocage est compté séparément et fait l’objet d’un (de) poste(s) supplémentaire(s) dans le présent article :</w:t>
      </w:r>
    </w:p>
    <w:p w14:paraId="55C3625F" w14:textId="77777777" w:rsidR="00DB2B68" w:rsidRDefault="00000000">
      <w:r>
        <w:rPr>
          <w:rStyle w:val="optioncarChar"/>
        </w:rPr>
        <w:t xml:space="preserve">m² </w:t>
      </w:r>
      <w:r>
        <w:t>(par défaut)</w:t>
      </w:r>
      <w:r>
        <w:rPr>
          <w:rStyle w:val="optioncarChar"/>
        </w:rPr>
        <w:t xml:space="preserve"> / m / pc.</w:t>
      </w:r>
    </w:p>
    <w:p w14:paraId="43A1B17A" w14:textId="77777777" w:rsidR="00DB2B68" w:rsidRDefault="00000000">
      <w:r>
        <w:rPr>
          <w:b/>
          <w:i/>
        </w:rPr>
        <w:t>(Soit par défaut)</w:t>
      </w:r>
    </w:p>
    <w:p w14:paraId="2D225C6E" w14:textId="77777777" w:rsidR="00DB2B68" w:rsidRDefault="00000000">
      <w:r>
        <w:rPr>
          <w:rStyle w:val="soitChar"/>
        </w:rPr>
        <w:t> 1. m².</w:t>
      </w:r>
    </w:p>
    <w:p w14:paraId="1A40A9E7" w14:textId="77777777" w:rsidR="00DB2B68" w:rsidRDefault="00000000">
      <w:r>
        <w:rPr>
          <w:b/>
          <w:i/>
        </w:rPr>
        <w:t>(Soit)</w:t>
      </w:r>
    </w:p>
    <w:p w14:paraId="3DC2B066" w14:textId="77777777" w:rsidR="00DB2B68" w:rsidRDefault="00000000">
      <w:r>
        <w:rPr>
          <w:rStyle w:val="soitChar"/>
        </w:rPr>
        <w:t> 2. m</w:t>
      </w:r>
    </w:p>
    <w:p w14:paraId="70F61CB5" w14:textId="77777777" w:rsidR="00DB2B68" w:rsidRDefault="00000000">
      <w:r>
        <w:rPr>
          <w:b/>
          <w:i/>
        </w:rPr>
        <w:t>(Soit)</w:t>
      </w:r>
    </w:p>
    <w:p w14:paraId="2CB83BEC" w14:textId="77777777" w:rsidR="00DB2B68" w:rsidRDefault="00000000">
      <w:r>
        <w:rPr>
          <w:rStyle w:val="soitChar"/>
        </w:rPr>
        <w:t> 3. pc</w:t>
      </w:r>
    </w:p>
    <w:p w14:paraId="32DFA36D" w14:textId="77777777" w:rsidR="00DB2B68" w:rsidRDefault="00DB2B68"/>
    <w:p w14:paraId="488D6C81" w14:textId="77777777" w:rsidR="00DB2B68" w:rsidRDefault="00000000">
      <w:r>
        <w:rPr>
          <w:b/>
        </w:rPr>
        <w:t>COUPURE THERMIQUE</w:t>
      </w:r>
    </w:p>
    <w:p w14:paraId="74887DE2" w14:textId="77777777" w:rsidR="00DB2B68" w:rsidRDefault="00000000">
      <w:r>
        <w:rPr>
          <w:rStyle w:val="optioncarChar"/>
        </w:rPr>
        <w:t>pièce</w:t>
      </w:r>
    </w:p>
    <w:p w14:paraId="33522BF5" w14:textId="77777777" w:rsidR="00DB2B68" w:rsidRDefault="00000000">
      <w:pPr>
        <w:pStyle w:val="pheading"/>
      </w:pPr>
      <w:r>
        <w:t>- code de mesurage:</w:t>
      </w:r>
    </w:p>
    <w:p w14:paraId="726D1C5C" w14:textId="77777777" w:rsidR="00DB2B68" w:rsidRDefault="00DB2B68"/>
    <w:p w14:paraId="5EE5E4C4" w14:textId="77777777" w:rsidR="00DB2B68" w:rsidRDefault="00000000">
      <w:r>
        <w:rPr>
          <w:b/>
        </w:rPr>
        <w:t>COLONNE</w:t>
      </w:r>
    </w:p>
    <w:p w14:paraId="34860A0C" w14:textId="77777777" w:rsidR="00DB2B68" w:rsidRDefault="00000000">
      <w:r>
        <w:t>Distinctions faites suivant les types de profilés, nuances et qualités d’acier.</w:t>
      </w:r>
    </w:p>
    <w:p w14:paraId="153C35D8" w14:textId="77777777" w:rsidR="00DB2B68" w:rsidRDefault="00000000">
      <w:r>
        <w:rPr>
          <w:rStyle w:val="optioncarChar"/>
        </w:rPr>
        <w:t xml:space="preserve">Masse </w:t>
      </w:r>
      <w:r>
        <w:t xml:space="preserve">(par défaut) </w:t>
      </w:r>
      <w:r>
        <w:rPr>
          <w:rStyle w:val="optioncarChar"/>
        </w:rPr>
        <w:t>/ Longueur nette / Longueur nette d’exécution / Pièce nette / Pièce d’exécution</w:t>
      </w:r>
    </w:p>
    <w:p w14:paraId="41EA5DE2" w14:textId="77777777" w:rsidR="00DB2B68" w:rsidRDefault="00000000">
      <w:r>
        <w:rPr>
          <w:b/>
          <w:i/>
        </w:rPr>
        <w:t>(Soit par défaut)</w:t>
      </w:r>
    </w:p>
    <w:p w14:paraId="57208CB4" w14:textId="77777777" w:rsidR="00DB2B68"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6C2BAEC" w14:textId="77777777" w:rsidR="00DB2B68" w:rsidRDefault="00000000">
      <w:r>
        <w:rPr>
          <w:b/>
          <w:i/>
        </w:rPr>
        <w:t>(Soit)</w:t>
      </w:r>
    </w:p>
    <w:p w14:paraId="4789A7EE" w14:textId="77777777" w:rsidR="00DB2B68"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06FC3825" w14:textId="77777777" w:rsidR="00DB2B68" w:rsidRDefault="00000000">
      <w:r>
        <w:rPr>
          <w:b/>
          <w:i/>
        </w:rPr>
        <w:t>(Soit)</w:t>
      </w:r>
    </w:p>
    <w:p w14:paraId="15029F63" w14:textId="77777777" w:rsidR="00DB2B68"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0A9586E" w14:textId="77777777" w:rsidR="00DB2B68" w:rsidRDefault="00000000">
      <w:r>
        <w:rPr>
          <w:b/>
          <w:i/>
        </w:rPr>
        <w:t>(Soit)</w:t>
      </w:r>
    </w:p>
    <w:p w14:paraId="1BB24808" w14:textId="77777777" w:rsidR="00DB2B68"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21822D1B" w14:textId="77777777" w:rsidR="00DB2B68" w:rsidRDefault="00000000">
      <w:r>
        <w:rPr>
          <w:b/>
          <w:i/>
        </w:rPr>
        <w:t>(Soit)</w:t>
      </w:r>
    </w:p>
    <w:p w14:paraId="1A092241" w14:textId="77777777" w:rsidR="00DB2B68" w:rsidRDefault="00000000">
      <w:r>
        <w:rPr>
          <w:rStyle w:val="soitChar"/>
        </w:rPr>
        <w:lastRenderedPageBreak/>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6B73C8FD" w14:textId="77777777" w:rsidR="00DB2B68" w:rsidRDefault="00DB2B68"/>
    <w:p w14:paraId="53F286A6" w14:textId="77777777" w:rsidR="00DB2B68" w:rsidRDefault="00000000">
      <w:r>
        <w:rPr>
          <w:b/>
        </w:rPr>
        <w:t>FLOCAGE</w:t>
      </w:r>
    </w:p>
    <w:p w14:paraId="1A246825" w14:textId="77777777" w:rsidR="00DB2B68"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01BC251E" w14:textId="77777777" w:rsidR="00DB2B68" w:rsidRDefault="00000000">
      <w:r>
        <w:rPr>
          <w:b/>
          <w:i/>
        </w:rPr>
        <w:t>(Soit par défaut)</w:t>
      </w:r>
    </w:p>
    <w:p w14:paraId="29E8A2ED" w14:textId="77777777" w:rsidR="00DB2B68"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5CBF2C53" w14:textId="77777777" w:rsidR="00DB2B68" w:rsidRDefault="00000000">
      <w:r>
        <w:rPr>
          <w:b/>
          <w:i/>
        </w:rPr>
        <w:t>(Soit)</w:t>
      </w:r>
    </w:p>
    <w:p w14:paraId="2D144EE9" w14:textId="77777777" w:rsidR="00DB2B68"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7F24038D" w14:textId="77777777" w:rsidR="00DB2B68" w:rsidRDefault="00000000">
      <w:r>
        <w:rPr>
          <w:b/>
          <w:i/>
        </w:rPr>
        <w:t>(Soit)</w:t>
      </w:r>
    </w:p>
    <w:p w14:paraId="23A9404B" w14:textId="77777777" w:rsidR="00DB2B68"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F1451B1" w14:textId="77777777" w:rsidR="00DB2B68" w:rsidRDefault="00DB2B68"/>
    <w:p w14:paraId="398EC1FA" w14:textId="77777777" w:rsidR="00DB2B68" w:rsidRDefault="00000000">
      <w:pPr>
        <w:spacing w:after="0" w:line="256" w:lineRule="auto"/>
        <w:jc w:val="both"/>
      </w:pPr>
      <w:r>
        <w:rPr>
          <w:b/>
        </w:rPr>
        <w:t>COUPURE THERMIQUE</w:t>
      </w:r>
    </w:p>
    <w:p w14:paraId="34B46305" w14:textId="77777777" w:rsidR="00DB2B68" w:rsidRDefault="00000000">
      <w:r>
        <w:rPr>
          <w:rStyle w:val="optioncarChar"/>
        </w:rPr>
        <w:t>À la pièce, ventilée suivant les types d’éléments</w:t>
      </w:r>
    </w:p>
    <w:p w14:paraId="0747906F" w14:textId="77777777" w:rsidR="00DB2B68" w:rsidRDefault="00000000">
      <w:pPr>
        <w:pStyle w:val="pheading"/>
      </w:pPr>
      <w:r>
        <w:t>- nature du marché:</w:t>
      </w:r>
    </w:p>
    <w:p w14:paraId="5F7CAF17" w14:textId="77777777" w:rsidR="00DB2B68" w:rsidRDefault="00DB2B68"/>
    <w:p w14:paraId="4D55EB1C" w14:textId="77777777" w:rsidR="00DB2B68" w:rsidRDefault="00000000">
      <w:r>
        <w:rPr>
          <w:rStyle w:val="optioncarChar"/>
        </w:rPr>
        <w:t>QF</w:t>
      </w:r>
      <w:r>
        <w:t xml:space="preserve"> (par défaut) </w:t>
      </w:r>
      <w:r>
        <w:rPr>
          <w:rStyle w:val="optioncarChar"/>
        </w:rPr>
        <w:t>/ QP</w:t>
      </w:r>
    </w:p>
    <w:p w14:paraId="74295E45" w14:textId="77777777" w:rsidR="00DB2B68" w:rsidRDefault="00000000">
      <w:pPr>
        <w:pStyle w:val="soit"/>
      </w:pPr>
      <w:r>
        <w:rPr>
          <w:rStyle w:val="normalChar"/>
          <w:b/>
          <w:i/>
          <w:color w:val="000000"/>
        </w:rPr>
        <w:t xml:space="preserve">(Soit par défaut) </w:t>
      </w:r>
    </w:p>
    <w:p w14:paraId="721279BF" w14:textId="77777777" w:rsidR="00DB2B68" w:rsidRDefault="00000000">
      <w:r>
        <w:rPr>
          <w:rStyle w:val="soitChar"/>
        </w:rPr>
        <w:t xml:space="preserve">1. QF </w:t>
      </w:r>
    </w:p>
    <w:p w14:paraId="49D577D1" w14:textId="77777777" w:rsidR="00DB2B68" w:rsidRDefault="00000000">
      <w:r>
        <w:rPr>
          <w:b/>
          <w:i/>
        </w:rPr>
        <w:t>(Soit)</w:t>
      </w:r>
    </w:p>
    <w:p w14:paraId="1D626844" w14:textId="77777777" w:rsidR="00DB2B68" w:rsidRDefault="00000000">
      <w:r>
        <w:rPr>
          <w:rStyle w:val="soitChar"/>
        </w:rPr>
        <w:t>2. QP</w:t>
      </w:r>
    </w:p>
    <w:p w14:paraId="6346BC49" w14:textId="77777777" w:rsidR="00DB2B68" w:rsidRDefault="00000000">
      <w:pPr>
        <w:pStyle w:val="Author-eSectionHeading6Numberless"/>
      </w:pPr>
      <w:bookmarkStart w:id="1235" w:name="_Toc220496251"/>
      <w:r>
        <w:t>23.14.3e Colonnes en éléments tubulaires en acier inoxydable CCTB 01.04</w:t>
      </w:r>
      <w:bookmarkEnd w:id="1235"/>
    </w:p>
    <w:p w14:paraId="2BB23694" w14:textId="77777777" w:rsidR="00DB2B68" w:rsidRDefault="00000000">
      <w:pPr>
        <w:pStyle w:val="Author-eSectionHeading5Numberless"/>
      </w:pPr>
      <w:bookmarkStart w:id="1236" w:name="_Toc220496252"/>
      <w:r>
        <w:t>23.14.4 Colonnes en acier inoxydable formées à froid CCTB 01.04</w:t>
      </w:r>
      <w:bookmarkEnd w:id="1236"/>
    </w:p>
    <w:p w14:paraId="6EE4A17B" w14:textId="77777777" w:rsidR="00DB2B68" w:rsidRDefault="00000000">
      <w:pPr>
        <w:pStyle w:val="Author-eSectionHeading6Numberless"/>
      </w:pPr>
      <w:bookmarkStart w:id="1237" w:name="_Toc220496253"/>
      <w:r>
        <w:t>23.14.4a Colonnes en acier inoxydable formées à froid CCTB 01.04</w:t>
      </w:r>
      <w:bookmarkEnd w:id="1237"/>
    </w:p>
    <w:p w14:paraId="5413E418" w14:textId="77777777" w:rsidR="00DB2B68" w:rsidRDefault="00000000">
      <w:pPr>
        <w:pStyle w:val="Author-eSectionHeading5Numberless"/>
      </w:pPr>
      <w:bookmarkStart w:id="1238" w:name="_Toc220496254"/>
      <w:r>
        <w:t>23.14.5 Colonnes en aluminium CCTB 01.04</w:t>
      </w:r>
      <w:bookmarkEnd w:id="1238"/>
    </w:p>
    <w:p w14:paraId="1A2242AA" w14:textId="77777777" w:rsidR="00DB2B68" w:rsidRDefault="00000000">
      <w:pPr>
        <w:pStyle w:val="Author-eSectionHeading6Numberless"/>
      </w:pPr>
      <w:bookmarkStart w:id="1239" w:name="_Toc220496255"/>
      <w:r>
        <w:t>23.14.5a Colonnes en aluminium CCTB 01.04</w:t>
      </w:r>
      <w:bookmarkEnd w:id="1239"/>
    </w:p>
    <w:p w14:paraId="2F643459" w14:textId="77777777" w:rsidR="00DB2B68" w:rsidRDefault="00000000">
      <w:pPr>
        <w:pStyle w:val="Author-eSectionHeading5Numberless"/>
      </w:pPr>
      <w:bookmarkStart w:id="1240" w:name="_Toc220496256"/>
      <w:r>
        <w:t>23.14.6 Colonnes en fonte CCTB 01.04</w:t>
      </w:r>
      <w:bookmarkEnd w:id="1240"/>
    </w:p>
    <w:p w14:paraId="323903D6" w14:textId="77777777" w:rsidR="00DB2B68" w:rsidRDefault="00000000">
      <w:pPr>
        <w:pStyle w:val="Author-eSectionHeading6Numberless"/>
      </w:pPr>
      <w:bookmarkStart w:id="1241" w:name="_Toc220496257"/>
      <w:r>
        <w:t>23.14.6a Colonnes en fonte CCTB 01.04</w:t>
      </w:r>
      <w:bookmarkEnd w:id="1241"/>
    </w:p>
    <w:p w14:paraId="505509D9" w14:textId="77777777" w:rsidR="00DB2B68" w:rsidRDefault="00000000">
      <w:pPr>
        <w:pStyle w:val="Author-eSectionHeading4Numberless"/>
      </w:pPr>
      <w:bookmarkStart w:id="1242" w:name="_Toc220496258"/>
      <w:r>
        <w:t>23.15 Eléments de planchers métalliques CCTB 01.02</w:t>
      </w:r>
      <w:bookmarkEnd w:id="1242"/>
    </w:p>
    <w:p w14:paraId="6967B341" w14:textId="77777777" w:rsidR="00DB2B68" w:rsidRDefault="00000000">
      <w:pPr>
        <w:pStyle w:val="Author-eSectionHeading5Numberless"/>
      </w:pPr>
      <w:bookmarkStart w:id="1243" w:name="_Toc220496259"/>
      <w:r>
        <w:t>23.15.1 Eléments de planchers en acier CCTB 01.04</w:t>
      </w:r>
      <w:bookmarkEnd w:id="1243"/>
    </w:p>
    <w:p w14:paraId="4A54B442" w14:textId="77777777" w:rsidR="00DB2B68" w:rsidRDefault="00000000">
      <w:pPr>
        <w:pStyle w:val="Author-eSectionHeading6Numberless"/>
      </w:pPr>
      <w:bookmarkStart w:id="1244" w:name="_Toc220496260"/>
      <w:r>
        <w:t>23.15.1a Bacs en tôle profilée en acier formée à froid CCTB 01.04</w:t>
      </w:r>
      <w:bookmarkEnd w:id="1244"/>
    </w:p>
    <w:p w14:paraId="2E94142E" w14:textId="77777777" w:rsidR="00DB2B68" w:rsidRDefault="00000000">
      <w:pPr>
        <w:pStyle w:val="Author-eSectionHeading6Numberless"/>
      </w:pPr>
      <w:bookmarkStart w:id="1245" w:name="_Toc220496261"/>
      <w:r>
        <w:t>23.15.1b Platelage en tôle profilée en acier formée à froid CCTB 01.04</w:t>
      </w:r>
      <w:bookmarkEnd w:id="1245"/>
    </w:p>
    <w:p w14:paraId="01D6F824" w14:textId="77777777" w:rsidR="00DB2B68" w:rsidRDefault="00000000">
      <w:pPr>
        <w:pStyle w:val="Author-eSectionHeading6Numberless"/>
      </w:pPr>
      <w:bookmarkStart w:id="1246" w:name="_Toc220496262"/>
      <w:r>
        <w:t>23.15.1c Planchers en tôle en acier formée à froid CCTB 01.04</w:t>
      </w:r>
      <w:bookmarkEnd w:id="1246"/>
    </w:p>
    <w:p w14:paraId="2EFA1EDF" w14:textId="77777777" w:rsidR="00DB2B68" w:rsidRDefault="00000000">
      <w:pPr>
        <w:pStyle w:val="Author-eSectionHeading6Numberless"/>
      </w:pPr>
      <w:bookmarkStart w:id="1247" w:name="_Toc220496263"/>
      <w:r>
        <w:t>23.15.1d Planchers en tôle larmée en acier formée à froid CCTB 01.04</w:t>
      </w:r>
      <w:bookmarkEnd w:id="1247"/>
    </w:p>
    <w:p w14:paraId="4C7F27C8" w14:textId="77777777" w:rsidR="00DB2B68" w:rsidRDefault="00000000">
      <w:pPr>
        <w:pStyle w:val="Author-eSectionHeading6Numberless"/>
      </w:pPr>
      <w:bookmarkStart w:id="1248" w:name="_Toc220496264"/>
      <w:r>
        <w:t>23.15.1e Planchers en tôle perforée en acier formée à froid CCTB 01.04</w:t>
      </w:r>
      <w:bookmarkEnd w:id="1248"/>
    </w:p>
    <w:p w14:paraId="4525FB2C" w14:textId="77777777" w:rsidR="00DB2B68" w:rsidRDefault="00000000">
      <w:pPr>
        <w:pStyle w:val="Author-eSectionHeading6Numberless"/>
      </w:pPr>
      <w:bookmarkStart w:id="1249" w:name="_Toc220496265"/>
      <w:r>
        <w:lastRenderedPageBreak/>
        <w:t>23.15.1f Planchers en caillebotis en acier formé à froid CCTB 01.04</w:t>
      </w:r>
      <w:bookmarkEnd w:id="1249"/>
    </w:p>
    <w:p w14:paraId="5D21A6D1" w14:textId="77777777" w:rsidR="00DB2B68" w:rsidRDefault="00000000">
      <w:pPr>
        <w:pStyle w:val="Author-eSectionHeading6Numberless"/>
      </w:pPr>
      <w:bookmarkStart w:id="1250" w:name="_Toc220496266"/>
      <w:r>
        <w:t>23.15.1g Planchers en métal déployé en acier CCTB 01.04</w:t>
      </w:r>
      <w:bookmarkEnd w:id="1250"/>
    </w:p>
    <w:p w14:paraId="6F0985FA" w14:textId="77777777" w:rsidR="00DB2B68" w:rsidRDefault="00000000">
      <w:pPr>
        <w:pStyle w:val="Author-eSectionHeading5Numberless"/>
      </w:pPr>
      <w:bookmarkStart w:id="1251" w:name="_Toc220496267"/>
      <w:r>
        <w:t>23.15.2 Eléments de planchers en acier inoxydable CCTB 01.04</w:t>
      </w:r>
      <w:bookmarkEnd w:id="1251"/>
    </w:p>
    <w:p w14:paraId="5B65B0CB" w14:textId="77777777" w:rsidR="00DB2B68" w:rsidRDefault="00000000">
      <w:pPr>
        <w:pStyle w:val="Author-eSectionHeading6Numberless"/>
      </w:pPr>
      <w:bookmarkStart w:id="1252" w:name="_Toc220496268"/>
      <w:r>
        <w:t>23.15.2a Bacs en tôle profilée en acier inoxydable formée à froid CCTB 01.04</w:t>
      </w:r>
      <w:bookmarkEnd w:id="1252"/>
    </w:p>
    <w:p w14:paraId="673C4804" w14:textId="77777777" w:rsidR="00DB2B68" w:rsidRDefault="00000000">
      <w:pPr>
        <w:pStyle w:val="Author-eSectionHeading6Numberless"/>
      </w:pPr>
      <w:bookmarkStart w:id="1253" w:name="_Toc220496269"/>
      <w:r>
        <w:t>23.15.2b Platelage en tôle profilée en acier inoxydable formée à froid CCTB 01.04</w:t>
      </w:r>
      <w:bookmarkEnd w:id="1253"/>
    </w:p>
    <w:p w14:paraId="0EA3AD5A" w14:textId="77777777" w:rsidR="00DB2B68" w:rsidRDefault="00000000">
      <w:pPr>
        <w:pStyle w:val="Author-eSectionHeading6Numberless"/>
      </w:pPr>
      <w:bookmarkStart w:id="1254" w:name="_Toc220496270"/>
      <w:r>
        <w:t>23.15.2c Planchers en tôle en acier inoxydable formée à froid CCTB 01.04</w:t>
      </w:r>
      <w:bookmarkEnd w:id="1254"/>
    </w:p>
    <w:p w14:paraId="383E1EC0" w14:textId="77777777" w:rsidR="00DB2B68" w:rsidRDefault="00000000">
      <w:pPr>
        <w:pStyle w:val="Author-eSectionHeading6Numberless"/>
      </w:pPr>
      <w:bookmarkStart w:id="1255" w:name="_Toc220496271"/>
      <w:r>
        <w:t>23.15.2d Planchers en tôle larmée en acier inoxydable formée à froid CCTB 01.04</w:t>
      </w:r>
      <w:bookmarkEnd w:id="1255"/>
    </w:p>
    <w:p w14:paraId="422E8969" w14:textId="77777777" w:rsidR="00DB2B68" w:rsidRDefault="00000000">
      <w:pPr>
        <w:pStyle w:val="Author-eSectionHeading6Numberless"/>
      </w:pPr>
      <w:bookmarkStart w:id="1256" w:name="_Toc220496272"/>
      <w:r>
        <w:t>23.15.2e Planchers en tôle perforée en acier inoxydable formée à froid CCTB 01.04</w:t>
      </w:r>
      <w:bookmarkEnd w:id="1256"/>
    </w:p>
    <w:p w14:paraId="0E5A5CEF" w14:textId="77777777" w:rsidR="00DB2B68" w:rsidRDefault="00000000">
      <w:pPr>
        <w:pStyle w:val="Author-eSectionHeading6Numberless"/>
      </w:pPr>
      <w:bookmarkStart w:id="1257" w:name="_Toc220496273"/>
      <w:r>
        <w:t>23.15.2f Planchers en caillebotis en acier inoxydable formé à froid CCTB 01.04</w:t>
      </w:r>
      <w:bookmarkEnd w:id="1257"/>
    </w:p>
    <w:p w14:paraId="3BAC03DB" w14:textId="77777777" w:rsidR="00DB2B68" w:rsidRDefault="00000000">
      <w:pPr>
        <w:pStyle w:val="Author-eSectionHeading5Numberless"/>
      </w:pPr>
      <w:bookmarkStart w:id="1258" w:name="_Toc220496274"/>
      <w:r>
        <w:t>23.15.3 Eléments de planchers en aluminium CCTB 01.04</w:t>
      </w:r>
      <w:bookmarkEnd w:id="1258"/>
    </w:p>
    <w:p w14:paraId="511CC9E4" w14:textId="77777777" w:rsidR="00DB2B68" w:rsidRDefault="00000000">
      <w:pPr>
        <w:pStyle w:val="Author-eSectionHeading6Numberless"/>
      </w:pPr>
      <w:bookmarkStart w:id="1259" w:name="_Toc220496275"/>
      <w:r>
        <w:t>23.15.3a Bacs en tôle profilée en aluminium CCTB 01.04</w:t>
      </w:r>
      <w:bookmarkEnd w:id="1259"/>
    </w:p>
    <w:p w14:paraId="587A07CB" w14:textId="77777777" w:rsidR="00DB2B68" w:rsidRDefault="00000000">
      <w:pPr>
        <w:pStyle w:val="Author-eSectionHeading6Numberless"/>
      </w:pPr>
      <w:bookmarkStart w:id="1260" w:name="_Toc220496276"/>
      <w:r>
        <w:t>23.15.3b Platelage en tôle profilée en aluminium CCTB 01.04</w:t>
      </w:r>
      <w:bookmarkEnd w:id="1260"/>
    </w:p>
    <w:p w14:paraId="5C89DA06" w14:textId="77777777" w:rsidR="00DB2B68" w:rsidRDefault="00000000">
      <w:pPr>
        <w:pStyle w:val="Author-eSectionHeading6Numberless"/>
      </w:pPr>
      <w:bookmarkStart w:id="1261" w:name="_Toc220496277"/>
      <w:r>
        <w:t>23.15.3c Planchers en tôle en aluminium CCTB 01.04</w:t>
      </w:r>
      <w:bookmarkEnd w:id="1261"/>
    </w:p>
    <w:p w14:paraId="2F7E0BDF" w14:textId="77777777" w:rsidR="00DB2B68" w:rsidRDefault="00000000">
      <w:pPr>
        <w:pStyle w:val="Author-eSectionHeading6Numberless"/>
      </w:pPr>
      <w:bookmarkStart w:id="1262" w:name="_Toc220496278"/>
      <w:r>
        <w:t>23.15.3d Planchers en tôle larmée en aluminium CCTB 01.04</w:t>
      </w:r>
      <w:bookmarkEnd w:id="1262"/>
    </w:p>
    <w:p w14:paraId="119A2EE0" w14:textId="77777777" w:rsidR="00DB2B68" w:rsidRDefault="00000000">
      <w:pPr>
        <w:pStyle w:val="Author-eSectionHeading6Numberless"/>
      </w:pPr>
      <w:bookmarkStart w:id="1263" w:name="_Toc220496279"/>
      <w:r>
        <w:t>23.15.3e Planchers en tôle perforée en aluminium CCTB 01.04</w:t>
      </w:r>
      <w:bookmarkEnd w:id="1263"/>
    </w:p>
    <w:p w14:paraId="6304F814" w14:textId="77777777" w:rsidR="00DB2B68" w:rsidRDefault="00000000">
      <w:pPr>
        <w:pStyle w:val="Author-eSectionHeading4Numberless"/>
      </w:pPr>
      <w:bookmarkStart w:id="1264" w:name="_Toc220496280"/>
      <w:r>
        <w:t>23.16 Tôles, plats et grilles métalliques CCTB 01.04</w:t>
      </w:r>
      <w:bookmarkEnd w:id="1264"/>
    </w:p>
    <w:p w14:paraId="50ADF3A7" w14:textId="77777777" w:rsidR="00DB2B68" w:rsidRDefault="00000000">
      <w:pPr>
        <w:pStyle w:val="Author-eSectionHeading5Numberless"/>
      </w:pPr>
      <w:bookmarkStart w:id="1265" w:name="_Toc220496281"/>
      <w:r>
        <w:t>23.16.1 Tôles, plats et grilles en acier CCTB 01.04</w:t>
      </w:r>
      <w:bookmarkEnd w:id="1265"/>
    </w:p>
    <w:p w14:paraId="3C692615" w14:textId="77777777" w:rsidR="00DB2B68" w:rsidRDefault="00000000">
      <w:pPr>
        <w:pStyle w:val="Author-eSectionHeading6Numberless"/>
      </w:pPr>
      <w:bookmarkStart w:id="1266" w:name="_Toc220496282"/>
      <w:r>
        <w:t>23.16.1a Tôles en acier formées à froid CCTB 01.04</w:t>
      </w:r>
      <w:bookmarkEnd w:id="1266"/>
    </w:p>
    <w:p w14:paraId="28E6DA5B" w14:textId="77777777" w:rsidR="00DB2B68" w:rsidRDefault="00000000">
      <w:pPr>
        <w:pStyle w:val="Author-eSectionHeading6Numberless"/>
      </w:pPr>
      <w:bookmarkStart w:id="1267" w:name="_Toc220496283"/>
      <w:r>
        <w:t>23.16.1b Tôles larmées en acier formées à froid CCTB 01.04</w:t>
      </w:r>
      <w:bookmarkEnd w:id="1267"/>
    </w:p>
    <w:p w14:paraId="3B53B006" w14:textId="77777777" w:rsidR="00DB2B68" w:rsidRDefault="00000000">
      <w:pPr>
        <w:pStyle w:val="Author-eSectionHeading6Numberless"/>
      </w:pPr>
      <w:bookmarkStart w:id="1268" w:name="_Toc220496284"/>
      <w:r>
        <w:t>23.16.1c Tôles perforées en acier formées à froid CCTB 01.04</w:t>
      </w:r>
      <w:bookmarkEnd w:id="1268"/>
    </w:p>
    <w:p w14:paraId="14949D4A" w14:textId="77777777" w:rsidR="00DB2B68" w:rsidRDefault="00000000">
      <w:pPr>
        <w:pStyle w:val="Author-eSectionHeading6Numberless"/>
      </w:pPr>
      <w:bookmarkStart w:id="1269" w:name="_Toc220496285"/>
      <w:r>
        <w:t>23.16.1d Tôles en caillebotis en acier CCTB 01.04</w:t>
      </w:r>
      <w:bookmarkEnd w:id="1269"/>
    </w:p>
    <w:p w14:paraId="2462E1D2" w14:textId="77777777" w:rsidR="00DB2B68" w:rsidRDefault="00000000">
      <w:pPr>
        <w:pStyle w:val="Author-eSectionHeading6Numberless"/>
      </w:pPr>
      <w:bookmarkStart w:id="1270" w:name="_Toc220496286"/>
      <w:r>
        <w:t>23.16.1e Tôles en métal déployé en acier CCTB 01.04</w:t>
      </w:r>
      <w:bookmarkEnd w:id="1270"/>
    </w:p>
    <w:p w14:paraId="007E0923" w14:textId="77777777" w:rsidR="00DB2B68" w:rsidRDefault="00000000">
      <w:pPr>
        <w:pStyle w:val="Author-eSectionHeading6Numberless"/>
      </w:pPr>
      <w:bookmarkStart w:id="1271" w:name="_Toc220496287"/>
      <w:r>
        <w:t>23.16.1f Plats en acier laminés à chaud CCTB 01.04</w:t>
      </w:r>
      <w:bookmarkEnd w:id="1271"/>
    </w:p>
    <w:p w14:paraId="7E314101" w14:textId="77777777" w:rsidR="00DB2B68" w:rsidRDefault="00000000">
      <w:pPr>
        <w:pStyle w:val="Author-eSectionHeading6Numberless"/>
      </w:pPr>
      <w:bookmarkStart w:id="1272" w:name="_Toc220496288"/>
      <w:r>
        <w:t>23.16.1g Plats en acier formés à froid CCTB 01.04</w:t>
      </w:r>
      <w:bookmarkEnd w:id="1272"/>
    </w:p>
    <w:p w14:paraId="4297B388" w14:textId="77777777" w:rsidR="00DB2B68" w:rsidRDefault="00000000">
      <w:pPr>
        <w:pStyle w:val="Author-eSectionHeading6Numberless"/>
      </w:pPr>
      <w:bookmarkStart w:id="1273" w:name="_Toc220496289"/>
      <w:r>
        <w:t>23.16.1h Grilles en acier formées à froid CCTB 01.04</w:t>
      </w:r>
      <w:bookmarkEnd w:id="1273"/>
    </w:p>
    <w:p w14:paraId="50CF4AA3" w14:textId="77777777" w:rsidR="00DB2B68" w:rsidRDefault="00000000">
      <w:pPr>
        <w:pStyle w:val="Author-eSectionHeading5Numberless"/>
      </w:pPr>
      <w:bookmarkStart w:id="1274" w:name="_Toc220496290"/>
      <w:r>
        <w:t>23.16.2 Tôles, plats et grilles en acier inoxydable CCTB 01.04</w:t>
      </w:r>
      <w:bookmarkEnd w:id="1274"/>
    </w:p>
    <w:p w14:paraId="3B6F2E13" w14:textId="77777777" w:rsidR="00DB2B68" w:rsidRDefault="00000000">
      <w:pPr>
        <w:pStyle w:val="Author-eSectionHeading6Numberless"/>
      </w:pPr>
      <w:bookmarkStart w:id="1275" w:name="_Toc220496291"/>
      <w:r>
        <w:t>23.16.2a Tôles en acier inoxydable formées à froid CCTB 01.04</w:t>
      </w:r>
      <w:bookmarkEnd w:id="1275"/>
    </w:p>
    <w:p w14:paraId="33476718" w14:textId="77777777" w:rsidR="00DB2B68" w:rsidRDefault="00000000">
      <w:pPr>
        <w:pStyle w:val="Author-eSectionHeading6Numberless"/>
      </w:pPr>
      <w:bookmarkStart w:id="1276" w:name="_Toc220496292"/>
      <w:r>
        <w:t>23.16.2b Tôles larmées en acier inoxydable formées à froid CCTB 01.04</w:t>
      </w:r>
      <w:bookmarkEnd w:id="1276"/>
    </w:p>
    <w:p w14:paraId="554AD58A" w14:textId="77777777" w:rsidR="00DB2B68" w:rsidRDefault="00000000">
      <w:pPr>
        <w:pStyle w:val="Author-eSectionHeading6Numberless"/>
      </w:pPr>
      <w:bookmarkStart w:id="1277" w:name="_Toc220496293"/>
      <w:r>
        <w:t>23.16.2c Tôles perforées en acier inoxydable formées à froid CCTB 01.04</w:t>
      </w:r>
      <w:bookmarkEnd w:id="1277"/>
    </w:p>
    <w:p w14:paraId="32EEF676" w14:textId="77777777" w:rsidR="00DB2B68" w:rsidRDefault="00000000">
      <w:pPr>
        <w:pStyle w:val="Author-eSectionHeading6Numberless"/>
      </w:pPr>
      <w:bookmarkStart w:id="1278" w:name="_Toc220496294"/>
      <w:r>
        <w:t>23.16.2d Tôles en caillebotis en acier inoxydable CCTB 01.04</w:t>
      </w:r>
      <w:bookmarkEnd w:id="1278"/>
    </w:p>
    <w:p w14:paraId="1471D2DA" w14:textId="77777777" w:rsidR="00DB2B68" w:rsidRDefault="00000000">
      <w:pPr>
        <w:pStyle w:val="Author-eSectionHeading6Numberless"/>
      </w:pPr>
      <w:bookmarkStart w:id="1279" w:name="_Toc220496295"/>
      <w:r>
        <w:t>23.16.2e Tôles en métal déployé en acier inoxydable CCTB 01.10</w:t>
      </w:r>
      <w:bookmarkEnd w:id="1279"/>
    </w:p>
    <w:p w14:paraId="6DB2C1B2" w14:textId="77777777" w:rsidR="00DB2B68" w:rsidRDefault="00000000">
      <w:pPr>
        <w:pStyle w:val="Author-eSectionHeading6Numberless"/>
      </w:pPr>
      <w:bookmarkStart w:id="1280" w:name="_Toc220496296"/>
      <w:r>
        <w:t>23.16.2f Plats en acier inoxydable laminés à chaud CCTB 01.04</w:t>
      </w:r>
      <w:bookmarkEnd w:id="1280"/>
    </w:p>
    <w:p w14:paraId="7DBDB4F5" w14:textId="77777777" w:rsidR="00DB2B68" w:rsidRDefault="00000000">
      <w:pPr>
        <w:pStyle w:val="Author-eSectionHeading6Numberless"/>
      </w:pPr>
      <w:bookmarkStart w:id="1281" w:name="_Toc220496297"/>
      <w:r>
        <w:t>23.16.2g Plats en acier inoxydable formés à froid CCTB 01.04</w:t>
      </w:r>
      <w:bookmarkEnd w:id="1281"/>
    </w:p>
    <w:p w14:paraId="71D41F66" w14:textId="77777777" w:rsidR="00DB2B68" w:rsidRDefault="00000000">
      <w:pPr>
        <w:pStyle w:val="Author-eSectionHeading6Numberless"/>
      </w:pPr>
      <w:bookmarkStart w:id="1282" w:name="_Toc220496298"/>
      <w:r>
        <w:t>23.16.2h Grilles en acier inoxydable formées à froid CCTB 01.04</w:t>
      </w:r>
      <w:bookmarkEnd w:id="1282"/>
    </w:p>
    <w:p w14:paraId="71C58AC1" w14:textId="77777777" w:rsidR="00DB2B68" w:rsidRDefault="00000000">
      <w:pPr>
        <w:pStyle w:val="Author-eSectionHeading5Numberless"/>
      </w:pPr>
      <w:bookmarkStart w:id="1283" w:name="_Toc220496299"/>
      <w:r>
        <w:lastRenderedPageBreak/>
        <w:t>23.16.3 Tôles, plats et grilles en aluminium CCTB 01.04</w:t>
      </w:r>
      <w:bookmarkEnd w:id="1283"/>
    </w:p>
    <w:p w14:paraId="4269144F" w14:textId="77777777" w:rsidR="00DB2B68" w:rsidRDefault="00000000">
      <w:pPr>
        <w:pStyle w:val="Author-eSectionHeading6Numberless"/>
      </w:pPr>
      <w:bookmarkStart w:id="1284" w:name="_Toc220496300"/>
      <w:r>
        <w:t>23.16.3a Tôles en aluminium CCTB 01.02</w:t>
      </w:r>
      <w:bookmarkEnd w:id="1284"/>
    </w:p>
    <w:p w14:paraId="543D00D3" w14:textId="77777777" w:rsidR="00DB2B68" w:rsidRDefault="00000000">
      <w:pPr>
        <w:pStyle w:val="Author-eSectionHeading6Numberless"/>
      </w:pPr>
      <w:bookmarkStart w:id="1285" w:name="_Toc220496301"/>
      <w:r>
        <w:t>23.16.3b Tôles larmées en aluminium CCTB 01.04</w:t>
      </w:r>
      <w:bookmarkEnd w:id="1285"/>
    </w:p>
    <w:p w14:paraId="43558E98" w14:textId="77777777" w:rsidR="00DB2B68" w:rsidRDefault="00000000">
      <w:pPr>
        <w:pStyle w:val="Author-eSectionHeading6Numberless"/>
      </w:pPr>
      <w:bookmarkStart w:id="1286" w:name="_Toc220496302"/>
      <w:r>
        <w:t>23.16.3c Tôles perforées en aluminium CCTB 01.04</w:t>
      </w:r>
      <w:bookmarkEnd w:id="1286"/>
    </w:p>
    <w:p w14:paraId="444C454B" w14:textId="77777777" w:rsidR="00DB2B68" w:rsidRDefault="00000000">
      <w:pPr>
        <w:pStyle w:val="Author-eSectionHeading6Numberless"/>
      </w:pPr>
      <w:bookmarkStart w:id="1287" w:name="_Toc220496303"/>
      <w:r>
        <w:t>23.16.3d Plats en aluminium CCTB 01.04</w:t>
      </w:r>
      <w:bookmarkEnd w:id="1287"/>
    </w:p>
    <w:p w14:paraId="3D0B338D" w14:textId="77777777" w:rsidR="00DB2B68" w:rsidRDefault="00000000">
      <w:pPr>
        <w:pStyle w:val="Author-eSectionHeading6Numberless"/>
      </w:pPr>
      <w:bookmarkStart w:id="1288" w:name="_Toc220496304"/>
      <w:r>
        <w:t>23.16.3e Grilles en aluminium CCTB 01.04</w:t>
      </w:r>
      <w:bookmarkEnd w:id="1288"/>
    </w:p>
    <w:p w14:paraId="71C571E0" w14:textId="77777777" w:rsidR="00DB2B68" w:rsidRDefault="00000000">
      <w:pPr>
        <w:pStyle w:val="Author-eSectionHeading3Numberless"/>
      </w:pPr>
      <w:bookmarkStart w:id="1289" w:name="_Toc220496305"/>
      <w:r>
        <w:t>23.2 Ensembles structuraux métalliques CCTB 01.11</w:t>
      </w:r>
      <w:bookmarkEnd w:id="1289"/>
    </w:p>
    <w:p w14:paraId="3EAE8D6B" w14:textId="77777777" w:rsidR="00DB2B68" w:rsidRDefault="00000000">
      <w:pPr>
        <w:pStyle w:val="pheading"/>
      </w:pPr>
      <w:bookmarkStart w:id="1290" w:name="557"/>
      <w:bookmarkEnd w:id="1290"/>
      <w:r>
        <w:t>EXÉCUTION / MISE EN ŒUVRE</w:t>
      </w:r>
    </w:p>
    <w:p w14:paraId="49742334" w14:textId="77777777" w:rsidR="00DB2B68" w:rsidRDefault="00000000">
      <w:r>
        <w:rPr>
          <w:b/>
          <w:color w:val="000000"/>
          <w:u w:val="single"/>
        </w:rPr>
        <w:t>Critères de performance</w:t>
      </w:r>
    </w:p>
    <w:p w14:paraId="077759DC" w14:textId="77777777" w:rsidR="00DB2B68" w:rsidRDefault="00000000">
      <w:r>
        <w:t xml:space="preserve">Résistance au feu : pour les éléments porteurs structurels </w:t>
      </w:r>
      <w:r>
        <w:rPr>
          <w:rStyle w:val="optioncarChar"/>
        </w:rPr>
        <w:t>R 15 / R 30 </w:t>
      </w:r>
      <w:r>
        <w:t>(par défaut)</w:t>
      </w:r>
      <w:r>
        <w:rPr>
          <w:rStyle w:val="optioncarChar"/>
        </w:rPr>
        <w:t xml:space="preserve"> / R 60/ R 120 / R ***</w:t>
      </w:r>
      <w:r>
        <w:t xml:space="preserve"> selon la [NBN EN 13501-2] (et les normes d’essais qui y sont référencées). La résistance au feu peut également se déterminer par calcul conformément aux Eurocodes structuraux (la [NBN EN 1993-1-2] en l’occurrence). (rem. les ensembles structuraux poutres/colonnes en acier n’ont pas de fonction séparant EI)</w:t>
      </w:r>
    </w:p>
    <w:p w14:paraId="08BF09D8" w14:textId="77777777" w:rsidR="00DB2B68" w:rsidRDefault="00000000">
      <w:pPr>
        <w:pStyle w:val="Author-eSectionHeading4Numberless"/>
      </w:pPr>
      <w:bookmarkStart w:id="1291" w:name="_Toc220496306"/>
      <w:r>
        <w:t>23.21 Structures métalliques (poutres/colonnes) CCTB 01.12</w:t>
      </w:r>
      <w:bookmarkEnd w:id="1291"/>
    </w:p>
    <w:p w14:paraId="23E94A6F" w14:textId="77777777" w:rsidR="00DB2B68" w:rsidRDefault="00000000">
      <w:pPr>
        <w:pStyle w:val="pheading"/>
      </w:pPr>
      <w:bookmarkStart w:id="1292" w:name="553"/>
      <w:bookmarkEnd w:id="1292"/>
      <w:r>
        <w:t>DESCRIPTION</w:t>
      </w:r>
    </w:p>
    <w:p w14:paraId="47D9492F" w14:textId="77777777" w:rsidR="00DB2B68" w:rsidRDefault="00000000">
      <w:pPr>
        <w:pStyle w:val="pheading"/>
      </w:pPr>
      <w:r>
        <w:t>- Définition / Comprend</w:t>
      </w:r>
    </w:p>
    <w:p w14:paraId="75D96723" w14:textId="77777777" w:rsidR="00DB2B68" w:rsidRDefault="00000000">
      <w:pPr>
        <w:jc w:val="both"/>
      </w:pPr>
      <w:r>
        <w:t>Il s’agit de la fourniture et de tous les travaux de pose de structures métalliques composées de poutres et colonnes en profilés d’acier linéaire, préfabriquées à l'atelier, montées et assemblées sur chantier aux ouvrages de construction déjà exécutés.</w:t>
      </w:r>
    </w:p>
    <w:p w14:paraId="3056AC77" w14:textId="77777777" w:rsidR="00DB2B68" w:rsidRDefault="00000000">
      <w:pPr>
        <w:jc w:val="both"/>
      </w:pPr>
      <w:r>
        <w:t>Les contreventements sont compris dans le prix unitaire de ces structures métalliques.</w:t>
      </w:r>
    </w:p>
    <w:p w14:paraId="082329B9" w14:textId="77777777" w:rsidR="00DB2B68" w:rsidRDefault="00000000">
      <w:pPr>
        <w:jc w:val="both"/>
      </w:pPr>
      <w:r>
        <w:t>Les structures secondaires (pannes, lisses) posées sur les structures principales ne sont pas comprises dans le présent travail.</w:t>
      </w:r>
    </w:p>
    <w:p w14:paraId="4804658A" w14:textId="77777777" w:rsidR="00DB2B68" w:rsidRDefault="00000000">
      <w:pPr>
        <w:jc w:val="both"/>
      </w:pPr>
      <w:r>
        <w:t>Le travail comprend notamment :</w:t>
      </w:r>
    </w:p>
    <w:p w14:paraId="6BB835F9" w14:textId="77777777" w:rsidR="00DB2B68" w:rsidRDefault="00000000">
      <w:pPr>
        <w:pStyle w:val="Author-eListParagraph"/>
        <w:numPr>
          <w:ilvl w:val="0"/>
          <w:numId w:val="692"/>
        </w:numPr>
        <w:jc w:val="both"/>
      </w:pPr>
      <w:r>
        <w:t>le relevé sur place des dimensions exactes ;</w:t>
      </w:r>
    </w:p>
    <w:p w14:paraId="14FB7F4E" w14:textId="77777777" w:rsidR="00DB2B68" w:rsidRDefault="00000000">
      <w:pPr>
        <w:pStyle w:val="Author-eListParagraph"/>
        <w:numPr>
          <w:ilvl w:val="0"/>
          <w:numId w:val="692"/>
        </w:numPr>
        <w:jc w:val="both"/>
      </w:pPr>
      <w:r>
        <w:t>le contrôle et la préparation des supports ;</w:t>
      </w:r>
    </w:p>
    <w:p w14:paraId="0F4F91E8" w14:textId="77777777" w:rsidR="00DB2B68" w:rsidRDefault="00000000">
      <w:pPr>
        <w:pStyle w:val="Author-eListParagraph"/>
        <w:numPr>
          <w:ilvl w:val="0"/>
          <w:numId w:val="692"/>
        </w:numPr>
        <w:jc w:val="both"/>
      </w:pPr>
      <w:r>
        <w:t>le nettoyage du chantier.</w:t>
      </w:r>
    </w:p>
    <w:p w14:paraId="7A9D1817" w14:textId="77777777" w:rsidR="00DB2B68" w:rsidRDefault="00000000">
      <w:pPr>
        <w:pStyle w:val="pheading"/>
      </w:pPr>
      <w:r>
        <w:t>EXÉCUTION / MISE EN ŒUVRE</w:t>
      </w:r>
    </w:p>
    <w:p w14:paraId="77B22E00" w14:textId="77777777" w:rsidR="00DB2B68" w:rsidRDefault="00000000">
      <w:pPr>
        <w:jc w:val="both"/>
      </w:pPr>
      <w:r>
        <w:rPr>
          <w:b/>
        </w:rPr>
        <w:t>Timing - Influence de l'environnement - Mesures de protection</w:t>
      </w:r>
    </w:p>
    <w:p w14:paraId="099BBBC0" w14:textId="77777777" w:rsidR="00DB2B68" w:rsidRDefault="00000000">
      <w:pPr>
        <w:jc w:val="both"/>
      </w:pPr>
      <w:r>
        <w:t>Les structures ne peuvent être placées que lorsque l'auteur de projet et l'installateur estiment, en concertation mutuelle, que les conditions de mise en œuvre sont favorables.</w:t>
      </w:r>
    </w:p>
    <w:p w14:paraId="367E7111" w14:textId="77777777" w:rsidR="00DB2B68" w:rsidRDefault="00000000">
      <w:pPr>
        <w:jc w:val="both"/>
      </w:pPr>
      <w:r>
        <w:t>Les structures et/ou les éléments qui les constituent sont autant que possible préfabriqués en atelier et acheminés en un seul lot sur le chantier. Lors du transport et de l’entreposage, les mesures nécessaires sont prises pour prévenir toute dégradation aux éléments proprement dits et au bâtiment. Ils sont immédiatement entreposés dans un endroit protégé et aéré. Si les éléments sont stockés à l’extérieur, ils sont protégés des influences atmosphériques, surtout pour un stockage de longue durée, afin d’éviter leur dégradation par la pluie.</w:t>
      </w:r>
    </w:p>
    <w:p w14:paraId="2BC47B7C" w14:textId="77777777" w:rsidR="00DB2B68" w:rsidRDefault="00000000">
      <w:pPr>
        <w:jc w:val="both"/>
      </w:pPr>
      <w:r>
        <w:t>Que les éléments soient entreposés verticalement ou horizontalement, ils doivent être suffisamment soutenus pour ne pas subir de dommages ou déformations. Tout contact des éléments avec le sol ou la végétation est à éviter.</w:t>
      </w:r>
    </w:p>
    <w:p w14:paraId="2BC20383" w14:textId="77777777" w:rsidR="00DB2B68" w:rsidRDefault="00000000">
      <w:pPr>
        <w:jc w:val="both"/>
      </w:pPr>
      <w:r>
        <w:rPr>
          <w:b/>
        </w:rPr>
        <w:t>Dessin d'étude et d'exécution</w:t>
      </w:r>
    </w:p>
    <w:p w14:paraId="4D0D8CA9" w14:textId="77777777" w:rsidR="00DB2B68" w:rsidRDefault="00000000">
      <w:pPr>
        <w:jc w:val="both"/>
      </w:pPr>
      <w:r>
        <w:t xml:space="preserve">Etude et plans d'exécution : conformément aux prescriptions du « </w:t>
      </w:r>
      <w:hyperlink w:anchor="349" w:history="1">
        <w:r>
          <w:rPr>
            <w:color w:val="0000EE"/>
          </w:rPr>
          <w:t>23 Superstructures métalliques</w:t>
        </w:r>
      </w:hyperlink>
      <w:r>
        <w:t xml:space="preserve"> ».</w:t>
      </w:r>
    </w:p>
    <w:p w14:paraId="1BDA0198" w14:textId="77777777" w:rsidR="00DB2B68" w:rsidRDefault="00000000">
      <w:pPr>
        <w:jc w:val="both"/>
      </w:pPr>
      <w:r>
        <w:lastRenderedPageBreak/>
        <w:t>Dans tous les cas, l'entrepreneur est tenu de contrôler les dimensions sur place et de vérifier si les structures ou les éléments peuvent être exécutés selon les plans soumis. Lorsque cela s'avère impossible, il en avertit l'auteur de projet ou le bureau d’étude le plus rapidement possible.</w:t>
      </w:r>
    </w:p>
    <w:p w14:paraId="157BE1AA" w14:textId="77777777" w:rsidR="00DB2B68" w:rsidRDefault="00000000">
      <w:pPr>
        <w:jc w:val="both"/>
      </w:pPr>
      <w:r>
        <w:t>Il est également tenu de réaliser les dessins d'exécution et de les soumettre préalablement à l'approbation de l'auteur de projet ou du bureau d’études afin de permettre sa fabrication, son acheminement sur site et son placement.</w:t>
      </w:r>
    </w:p>
    <w:p w14:paraId="4C8CE823" w14:textId="77777777" w:rsidR="00DB2B68" w:rsidRDefault="00000000">
      <w:pPr>
        <w:jc w:val="both"/>
      </w:pPr>
      <w:r>
        <w:rPr>
          <w:b/>
        </w:rPr>
        <w:t>Mise en œuvre</w:t>
      </w:r>
    </w:p>
    <w:p w14:paraId="54B25517" w14:textId="77777777" w:rsidR="00DB2B68" w:rsidRDefault="00000000">
      <w:pPr>
        <w:jc w:val="both"/>
      </w:pPr>
      <w:r>
        <w:t xml:space="preserve">Classe d’exécution EXC : </w:t>
      </w:r>
      <w:r>
        <w:rPr>
          <w:rStyle w:val="optioncarChar"/>
        </w:rPr>
        <w:t>1 / 2</w:t>
      </w:r>
      <w:r>
        <w:t xml:space="preserve"> (par défaut) </w:t>
      </w:r>
      <w:r>
        <w:rPr>
          <w:rStyle w:val="optioncarChar"/>
        </w:rPr>
        <w:t>/ 3 / 4</w:t>
      </w:r>
    </w:p>
    <w:p w14:paraId="58772D0B" w14:textId="77777777" w:rsidR="00DB2B68" w:rsidRDefault="00000000">
      <w:pPr>
        <w:jc w:val="both"/>
      </w:pPr>
      <w:r>
        <w:t>Tous les travaux et fournitures nécessaires au montage, réglage, calage et scellement des structures métalliques sont compris.</w:t>
      </w:r>
    </w:p>
    <w:p w14:paraId="6F07E918" w14:textId="77777777" w:rsidR="00DB2B68" w:rsidRDefault="00000000">
      <w:pPr>
        <w:jc w:val="both"/>
      </w:pPr>
      <w:r>
        <w:t>Le calage assure un contact convenable entre les éléments d’assise du gros-œuvre ou de la structure, et les éléments d’appui de la structure métallique.</w:t>
      </w:r>
    </w:p>
    <w:p w14:paraId="1D861F5A" w14:textId="77777777" w:rsidR="00DB2B68" w:rsidRDefault="00000000">
      <w:pPr>
        <w:jc w:val="both"/>
      </w:pPr>
      <w:r>
        <w:t>La structure est ancrée au gros-œuvre de façon à éviter tout déplacement causé par les actions auxquelles elle est soumise. Le dimensionnement des ancrages est déterminé par calcul ou par essais.</w:t>
      </w:r>
    </w:p>
    <w:p w14:paraId="3D6D8D3F" w14:textId="77777777" w:rsidR="00DB2B68" w:rsidRDefault="00000000">
      <w:pPr>
        <w:jc w:val="both"/>
      </w:pPr>
      <w:r>
        <w:t>Il est indispensable de prévoir des contreventements dans le plan de la toiture et dans les façades, En règle générale, les contreventements sont prévus par paire. La distance entre les parties pourvues d’un contreventement s’élève à 15m maximum, à moins que les calculs ne démontrent que ce n’est pas nécessaire.</w:t>
      </w:r>
    </w:p>
    <w:p w14:paraId="2ED083A7" w14:textId="77777777" w:rsidR="00DB2B68" w:rsidRDefault="00000000">
      <w:pPr>
        <w:jc w:val="both"/>
      </w:pPr>
      <w:r>
        <w:t>L’entrepreneur organise l'ensemble de l'ouvrage de manière telle que, de tout temps et pendant toute la durée des manipulations nécessaires et possibles des divers éléments, la stabilité de l'ensemble et de chaque élément séparément soit garantie.</w:t>
      </w:r>
    </w:p>
    <w:p w14:paraId="10576860" w14:textId="77777777" w:rsidR="00DB2B68" w:rsidRDefault="00000000">
      <w:pPr>
        <w:jc w:val="both"/>
      </w:pPr>
      <w:r>
        <w:t>Toutes les pièces sont solidement attachées ou ancrées aux ouvrages de construction attenants à l'aide de chevilles, ancrages chimiques ou mécaniques appropriés, de boulons, vis, écrous et contre-écrous, etc. afin d'obtenir un montage solide qui ne cède pas, même lors d'un usage intensif.</w:t>
      </w:r>
    </w:p>
    <w:p w14:paraId="044BE207" w14:textId="77777777" w:rsidR="00DB2B68" w:rsidRDefault="00000000">
      <w:pPr>
        <w:jc w:val="both"/>
      </w:pPr>
      <w:r>
        <w:t>Lorsque les éléments sont vissés dans des blocs de construction apparents, des briques ou des éléments en béton apparent, le forage est effectué avec toute la prudence qui s'impose pour ne pas endommager ni déchausser les briques ou les blocs.</w:t>
      </w:r>
    </w:p>
    <w:p w14:paraId="6E2ACE07" w14:textId="77777777" w:rsidR="00DB2B68" w:rsidRDefault="00000000">
      <w:pPr>
        <w:jc w:val="both"/>
      </w:pPr>
      <w:r>
        <w:t>Les recommandations de l'auteur de projet en ce qui concerne la pose de membranes d'étanchéité ou d'isolation afin de prévenir les ponts d'humidité ou les ponts thermiques sont scrupuleusement respectées par l'entrepreneur. Lorsque ces recommandations ne sont pas mentionnées explicitement dans les documents d'exécution, l'entrepreneur s'informe avant de commencer ses travaux.</w:t>
      </w:r>
    </w:p>
    <w:p w14:paraId="7B2ED82D" w14:textId="77777777" w:rsidR="00DB2B68" w:rsidRDefault="00000000">
      <w:pPr>
        <w:jc w:val="both"/>
      </w:pPr>
      <w:r>
        <w:t>La structure est mise en œuvre conformément aux prescriptions de la norme [NBN EN 1090-2] pour les structures acier, ou la [NBN EN 1090-3] pour les structures aluminium.</w:t>
      </w:r>
    </w:p>
    <w:p w14:paraId="4F283D71" w14:textId="77777777" w:rsidR="00DB2B68" w:rsidRDefault="00000000">
      <w:pPr>
        <w:jc w:val="both"/>
      </w:pPr>
      <w:r>
        <w:rPr>
          <w:b/>
        </w:rPr>
        <w:t>Pattes pour pannes</w:t>
      </w:r>
    </w:p>
    <w:p w14:paraId="55CA0512" w14:textId="77777777" w:rsidR="00DB2B68" w:rsidRDefault="00000000">
      <w:pPr>
        <w:jc w:val="both"/>
      </w:pPr>
      <w:r>
        <w:t>Les pattes qui servent à fixer les pannes et qui sont directement soudées sur les arbalétriers font partie intégrante de la structure.</w:t>
      </w:r>
    </w:p>
    <w:p w14:paraId="42316865" w14:textId="77777777" w:rsidR="00DB2B68" w:rsidRDefault="00000000">
      <w:pPr>
        <w:jc w:val="both"/>
      </w:pPr>
      <w:r>
        <w:t>Les pattes qui sont boulonnées par la suite lors de la pose de pannes sont décrites et comptabilisées avec les pannes, sauf contre-indication dans le cahier spécial des charges.</w:t>
      </w:r>
    </w:p>
    <w:p w14:paraId="7C7EB0E5" w14:textId="77777777" w:rsidR="00DB2B68" w:rsidRDefault="00000000">
      <w:pPr>
        <w:pStyle w:val="pheading"/>
      </w:pPr>
      <w:r>
        <w:t>CONTRÔLES</w:t>
      </w:r>
    </w:p>
    <w:p w14:paraId="235548F7" w14:textId="77777777" w:rsidR="00DB2B68" w:rsidRDefault="00000000">
      <w:pPr>
        <w:jc w:val="both"/>
      </w:pPr>
      <w:r>
        <w:rPr>
          <w:b/>
        </w:rPr>
        <w:t>Tolérances géométriques</w:t>
      </w:r>
    </w:p>
    <w:p w14:paraId="19DCE44E" w14:textId="77777777" w:rsidR="00DB2B68" w:rsidRDefault="00000000">
      <w:pPr>
        <w:jc w:val="both"/>
      </w:pPr>
      <w:r>
        <w:t xml:space="preserve">Les tolérances géométriques sont contrôlées en respectant les [NBN EN 1090-2] ou [NBN EN 1090-3]. Lorsqu’une même tolérance est reprise plusieurs fois dans des tableaux différents, la valeur la plus sévère est à respecter. </w:t>
      </w:r>
    </w:p>
    <w:p w14:paraId="4A2F3D22" w14:textId="77777777" w:rsidR="00DB2B68" w:rsidRDefault="00000000">
      <w:pPr>
        <w:jc w:val="both"/>
      </w:pPr>
      <w:r>
        <w:rPr>
          <w:b/>
        </w:rPr>
        <w:t>Assemblages</w:t>
      </w:r>
    </w:p>
    <w:p w14:paraId="11490F0E" w14:textId="77777777" w:rsidR="00DB2B68" w:rsidRDefault="00000000">
      <w:pPr>
        <w:jc w:val="both"/>
      </w:pPr>
      <w:r>
        <w:t>Les assemblages réalisés sur chantier sont contrôlés en respectant les [NBN EN 1090-2] ou [NBN EN 1090-3].</w:t>
      </w:r>
    </w:p>
    <w:p w14:paraId="3AD34D6D" w14:textId="77777777" w:rsidR="00DB2B68" w:rsidRDefault="00000000">
      <w:pPr>
        <w:pStyle w:val="Author-eSectionHeading5Numberless"/>
      </w:pPr>
      <w:bookmarkStart w:id="1293" w:name="_Toc220496307"/>
      <w:r>
        <w:lastRenderedPageBreak/>
        <w:t>23.21.1 Structures en profilés en acier laminés à chaud CCTB 01.11</w:t>
      </w:r>
      <w:bookmarkEnd w:id="1293"/>
    </w:p>
    <w:p w14:paraId="574E110F" w14:textId="77777777" w:rsidR="00DB2B68" w:rsidRDefault="00000000">
      <w:pPr>
        <w:pStyle w:val="pheading"/>
      </w:pPr>
      <w:r>
        <w:t>DESCRIPTION</w:t>
      </w:r>
    </w:p>
    <w:p w14:paraId="68F14AB5" w14:textId="77777777" w:rsidR="00DB2B68" w:rsidRDefault="00000000">
      <w:pPr>
        <w:pStyle w:val="pheading"/>
      </w:pPr>
      <w:r>
        <w:t>- Définition / Comprend</w:t>
      </w:r>
    </w:p>
    <w:p w14:paraId="0BCBEEEE" w14:textId="77777777" w:rsidR="00DB2B68" w:rsidRDefault="00000000">
      <w:pPr>
        <w:jc w:val="both"/>
      </w:pPr>
      <w:r>
        <w:t>Il s’agit de la fourniture et de tous les travaux de pose de structures métalliques en profilés en acier laminés à chaud préfabriquées à l'atelier, montées et assemblées sur chantier aux ouvrages de construction déjà exécutés. Les éventuels contreventements sont compris dans le travail.</w:t>
      </w:r>
    </w:p>
    <w:p w14:paraId="2999C687" w14:textId="77777777" w:rsidR="00DB2B68" w:rsidRDefault="00000000">
      <w:pPr>
        <w:pStyle w:val="pheading"/>
      </w:pPr>
      <w:r>
        <w:t>MATÉRIAUX</w:t>
      </w:r>
    </w:p>
    <w:p w14:paraId="0B61E703" w14:textId="77777777" w:rsidR="00DB2B68" w:rsidRDefault="00000000">
      <w:pPr>
        <w:jc w:val="both"/>
      </w:pPr>
      <w:r>
        <w:t>Acier laminé à chaud répondant aux prescriptions de la [NBN EN 10025 série].</w:t>
      </w:r>
    </w:p>
    <w:p w14:paraId="45E819E2" w14:textId="77777777" w:rsidR="00DB2B68" w:rsidRDefault="00000000">
      <w:pPr>
        <w:pStyle w:val="pheading"/>
      </w:pPr>
      <w:r>
        <w:t>EXÉCUTION / MISE EN ŒUVRE</w:t>
      </w:r>
    </w:p>
    <w:p w14:paraId="7435CAFD" w14:textId="77777777" w:rsidR="00DB2B68" w:rsidRDefault="00000000">
      <w:pPr>
        <w:jc w:val="both"/>
      </w:pPr>
      <w:r>
        <w:t xml:space="preserve">Conformément au </w:t>
      </w:r>
      <w:hyperlink w:anchor="553" w:history="1">
        <w:r>
          <w:rPr>
            <w:color w:val="0000EE"/>
          </w:rPr>
          <w:t>23.21 Structures métalliques (poutres/colonnes)</w:t>
        </w:r>
      </w:hyperlink>
      <w:r>
        <w:t>.</w:t>
      </w:r>
    </w:p>
    <w:p w14:paraId="4EB94E96" w14:textId="77777777" w:rsidR="00DB2B68" w:rsidRDefault="00000000">
      <w:pPr>
        <w:jc w:val="both"/>
      </w:pPr>
      <w:r>
        <w:rPr>
          <w:b/>
        </w:rPr>
        <w:t>Contreventement perpendiculaire au plan des structures</w:t>
      </w:r>
    </w:p>
    <w:p w14:paraId="3608A1F1" w14:textId="77777777" w:rsidR="00DB2B68" w:rsidRDefault="00000000">
      <w:pPr>
        <w:jc w:val="both"/>
      </w:pPr>
      <w:r>
        <w:t xml:space="preserve">Contreventement vertical des structures, perpendiculairement à leur cadre : </w:t>
      </w:r>
      <w:r>
        <w:rPr>
          <w:rStyle w:val="optioncarChar"/>
        </w:rPr>
        <w:t xml:space="preserve">oui </w:t>
      </w:r>
      <w:r>
        <w:t>(par défaut)</w:t>
      </w:r>
      <w:r>
        <w:rPr>
          <w:rStyle w:val="optioncarChar"/>
        </w:rPr>
        <w:t xml:space="preserve"> / non</w:t>
      </w:r>
    </w:p>
    <w:p w14:paraId="04395F0A" w14:textId="77777777" w:rsidR="00DB2B68" w:rsidRDefault="00000000">
      <w:pPr>
        <w:jc w:val="both"/>
      </w:pPr>
      <w:r>
        <w:rPr>
          <w:b/>
        </w:rPr>
        <w:t>(soit par défaut)</w:t>
      </w:r>
    </w:p>
    <w:p w14:paraId="27FFB6DC" w14:textId="77777777" w:rsidR="00DB2B68" w:rsidRDefault="00000000">
      <w:pPr>
        <w:jc w:val="both"/>
      </w:pPr>
      <w:r>
        <w:rPr>
          <w:rStyle w:val="soitChar"/>
          <w:u w:val="single"/>
        </w:rPr>
        <w:t>Oui :</w:t>
      </w:r>
    </w:p>
    <w:p w14:paraId="1816E08E" w14:textId="77777777" w:rsidR="00DB2B68" w:rsidRDefault="00000000">
      <w:pPr>
        <w:jc w:val="both"/>
      </w:pPr>
      <w:r>
        <w:rPr>
          <w:rStyle w:val="soitChar"/>
        </w:rPr>
        <w:t>Les cadres de charpente sont contreventés perpendiculairement à leur plan. Chaque façade est contreventée.</w:t>
      </w:r>
    </w:p>
    <w:p w14:paraId="40B157C4" w14:textId="77777777" w:rsidR="00DB2B68" w:rsidRDefault="00000000">
      <w:pPr>
        <w:jc w:val="both"/>
      </w:pPr>
      <w:r>
        <w:rPr>
          <w:rStyle w:val="soitChar"/>
        </w:rPr>
        <w:t>Des barres de transfert des efforts horizontaux sont placées entre les différents cadres. Elles sont soudées à des platines d’about, boulonnées aux colonnes des différentes charpentes.</w:t>
      </w:r>
    </w:p>
    <w:p w14:paraId="6E80CC2C" w14:textId="77777777" w:rsidR="00DB2B68" w:rsidRDefault="00000000">
      <w:pPr>
        <w:jc w:val="both"/>
      </w:pPr>
      <w:r>
        <w:rPr>
          <w:rStyle w:val="soitChar"/>
        </w:rPr>
        <w:t xml:space="preserve">Une palée de stabilité est réalisée entre deux cadres de charpente, à l’aide : </w:t>
      </w:r>
      <w:r>
        <w:rPr>
          <w:rStyle w:val="optioncarChar"/>
        </w:rPr>
        <w:t>de diagonales de contreventement / de contrefiches (bracons)</w:t>
      </w:r>
      <w:r>
        <w:rPr>
          <w:rStyle w:val="soitChar"/>
        </w:rPr>
        <w:t>.</w:t>
      </w:r>
    </w:p>
    <w:p w14:paraId="5E25A93F" w14:textId="77777777" w:rsidR="00DB2B68" w:rsidRDefault="00000000">
      <w:pPr>
        <w:jc w:val="both"/>
      </w:pPr>
      <w:r>
        <w:rPr>
          <w:rStyle w:val="soitChar"/>
        </w:rPr>
        <w:t>Leur position est déterminée en fonction des façades du bâtiment.</w:t>
      </w:r>
    </w:p>
    <w:p w14:paraId="65DABA10" w14:textId="77777777" w:rsidR="00DB2B68" w:rsidRDefault="00000000">
      <w:pPr>
        <w:jc w:val="both"/>
      </w:pPr>
      <w:r>
        <w:rPr>
          <w:rStyle w:val="soitChar"/>
        </w:rPr>
        <w:t>Le nombre de palées est conforme à l'étude de stabilité.</w:t>
      </w:r>
    </w:p>
    <w:p w14:paraId="1320F266" w14:textId="77777777" w:rsidR="00DB2B68" w:rsidRDefault="00000000">
      <w:pPr>
        <w:jc w:val="both"/>
      </w:pPr>
      <w:r>
        <w:rPr>
          <w:b/>
        </w:rPr>
        <w:t>(soit)</w:t>
      </w:r>
    </w:p>
    <w:p w14:paraId="71FFECD2" w14:textId="77777777" w:rsidR="00DB2B68" w:rsidRDefault="00000000">
      <w:pPr>
        <w:jc w:val="both"/>
      </w:pPr>
      <w:r>
        <w:rPr>
          <w:rStyle w:val="soitChar"/>
          <w:u w:val="single"/>
        </w:rPr>
        <w:t>Non :</w:t>
      </w:r>
      <w:r>
        <w:rPr>
          <w:rStyle w:val="soitChar"/>
        </w:rPr>
        <w:t xml:space="preserve"> pas d’application.</w:t>
      </w:r>
    </w:p>
    <w:p w14:paraId="022D3638" w14:textId="77777777" w:rsidR="00DB2B68" w:rsidRDefault="00000000">
      <w:pPr>
        <w:jc w:val="both"/>
      </w:pPr>
      <w:r>
        <w:rPr>
          <w:b/>
        </w:rPr>
        <w:t>Poutre au vent entre les cadres des structures</w:t>
      </w:r>
    </w:p>
    <w:p w14:paraId="1B85B4A0" w14:textId="77777777" w:rsidR="00DB2B68" w:rsidRDefault="00000000">
      <w:pPr>
        <w:jc w:val="both"/>
      </w:pPr>
      <w:r>
        <w:t xml:space="preserve">Poutres au vent horizontales entre les cadres des structures : </w:t>
      </w:r>
      <w:r>
        <w:rPr>
          <w:rStyle w:val="optioncarChar"/>
        </w:rPr>
        <w:t xml:space="preserve">oui </w:t>
      </w:r>
      <w:r>
        <w:t xml:space="preserve">(par défaut) </w:t>
      </w:r>
      <w:r>
        <w:rPr>
          <w:rStyle w:val="optioncarChar"/>
        </w:rPr>
        <w:t>/ non</w:t>
      </w:r>
    </w:p>
    <w:p w14:paraId="736F0D08" w14:textId="77777777" w:rsidR="00DB2B68" w:rsidRDefault="00000000">
      <w:pPr>
        <w:jc w:val="both"/>
      </w:pPr>
      <w:r>
        <w:rPr>
          <w:b/>
        </w:rPr>
        <w:t>(soit par défaut)</w:t>
      </w:r>
    </w:p>
    <w:p w14:paraId="0653D183" w14:textId="77777777" w:rsidR="00DB2B68" w:rsidRDefault="00000000">
      <w:pPr>
        <w:jc w:val="both"/>
      </w:pPr>
      <w:r>
        <w:rPr>
          <w:rStyle w:val="soitChar"/>
          <w:u w:val="single"/>
        </w:rPr>
        <w:t>Oui :</w:t>
      </w:r>
    </w:p>
    <w:p w14:paraId="58994DC1" w14:textId="77777777" w:rsidR="00DB2B68" w:rsidRDefault="00000000">
      <w:pPr>
        <w:jc w:val="both"/>
      </w:pPr>
      <w:r>
        <w:rPr>
          <w:rStyle w:val="soitChar"/>
        </w:rPr>
        <w:t>Les poutres au vent sont réalisées horizontalement entre deux cadres de charpente.</w:t>
      </w:r>
    </w:p>
    <w:p w14:paraId="0C48C3AD" w14:textId="77777777" w:rsidR="00DB2B68" w:rsidRDefault="00000000">
      <w:pPr>
        <w:jc w:val="both"/>
      </w:pPr>
      <w:r>
        <w:rPr>
          <w:rStyle w:val="soitChar"/>
        </w:rPr>
        <w:t>Des barres de transfert des efforts horizontaux sont placées entre les différents cadres, dans l’épaisseur des poutres. Elles sont soudées à des platines d’about, boulonnés aux poutres des différentes charpentes.</w:t>
      </w:r>
    </w:p>
    <w:p w14:paraId="5E87802A" w14:textId="77777777" w:rsidR="00DB2B68" w:rsidRDefault="00000000">
      <w:pPr>
        <w:jc w:val="both"/>
      </w:pPr>
      <w:r>
        <w:rPr>
          <w:rStyle w:val="soitChar"/>
        </w:rPr>
        <w:t>Une poutre au vent est réalisée entre deux poutres de charpente, à l’aide de diagonales de contreventement. Cette palée est réalisée de manière continue d’une façade à l’autre.</w:t>
      </w:r>
    </w:p>
    <w:p w14:paraId="0F4CAD91" w14:textId="77777777" w:rsidR="00DB2B68" w:rsidRDefault="00000000">
      <w:pPr>
        <w:jc w:val="both"/>
      </w:pPr>
      <w:r>
        <w:rPr>
          <w:rStyle w:val="soitChar"/>
        </w:rPr>
        <w:t>Le nombre de palées est conforme à l'étude de stabilité.</w:t>
      </w:r>
    </w:p>
    <w:p w14:paraId="0BAB5325" w14:textId="77777777" w:rsidR="00DB2B68" w:rsidRDefault="00000000">
      <w:pPr>
        <w:jc w:val="both"/>
      </w:pPr>
      <w:r>
        <w:rPr>
          <w:b/>
        </w:rPr>
        <w:t>(soit)</w:t>
      </w:r>
    </w:p>
    <w:p w14:paraId="46A16026" w14:textId="77777777" w:rsidR="00DB2B68" w:rsidRDefault="00000000">
      <w:pPr>
        <w:jc w:val="both"/>
      </w:pPr>
      <w:r>
        <w:rPr>
          <w:rStyle w:val="soitChar"/>
          <w:u w:val="single"/>
        </w:rPr>
        <w:t>Non :</w:t>
      </w:r>
      <w:r>
        <w:rPr>
          <w:rStyle w:val="soitChar"/>
        </w:rPr>
        <w:t xml:space="preserve"> pas d’application.</w:t>
      </w:r>
    </w:p>
    <w:p w14:paraId="37F26400" w14:textId="77777777" w:rsidR="00DB2B68" w:rsidRDefault="00000000">
      <w:pPr>
        <w:pStyle w:val="Author-eSectionHeading6Numberless"/>
      </w:pPr>
      <w:bookmarkStart w:id="1294" w:name="_Toc220496308"/>
      <w:r>
        <w:t>23.21.1a Charpentes en profilés en acier laminés à chaud CCTB 01.12</w:t>
      </w:r>
      <w:bookmarkEnd w:id="1294"/>
    </w:p>
    <w:p w14:paraId="68F337CD" w14:textId="77777777" w:rsidR="00DB2B68" w:rsidRDefault="00000000">
      <w:pPr>
        <w:pStyle w:val="pheading"/>
      </w:pPr>
      <w:r>
        <w:t>DESCRIPTION</w:t>
      </w:r>
    </w:p>
    <w:p w14:paraId="55B0B193" w14:textId="77777777" w:rsidR="00DB2B68" w:rsidRDefault="00000000">
      <w:pPr>
        <w:pStyle w:val="pheading"/>
      </w:pPr>
      <w:r>
        <w:t>- Définition / Comprend</w:t>
      </w:r>
    </w:p>
    <w:p w14:paraId="76994923" w14:textId="77777777" w:rsidR="00DB2B68" w:rsidRDefault="00000000">
      <w:pPr>
        <w:jc w:val="both"/>
      </w:pPr>
      <w:r>
        <w:lastRenderedPageBreak/>
        <w:t xml:space="preserve">Il s’agit de la fourniture et la pose de charpentes métalliques composées de poutres (ou arbalétriers) et colonnes en profilés en acier laminés à chaud, présentant des articulations à toutes ses jonctions principales, à l’inverse des portiques, qui sont décrits à l’article </w:t>
      </w:r>
      <w:hyperlink w:anchor="552" w:history="1">
        <w:r>
          <w:rPr>
            <w:color w:val="0000EE"/>
          </w:rPr>
          <w:t>23.21.1b Portiques en profilés en acier laminés à chaud</w:t>
        </w:r>
      </w:hyperlink>
      <w:r>
        <w:t>.</w:t>
      </w:r>
    </w:p>
    <w:p w14:paraId="7197C3C4" w14:textId="77777777" w:rsidR="00DB2B68" w:rsidRDefault="00000000">
      <w:pPr>
        <w:jc w:val="both"/>
      </w:pPr>
      <w:r>
        <w:t>Elles sont contreventées dans leur plan par des éléments linéaires en acier. Ces contreventements sont compris dans le travail.</w:t>
      </w:r>
    </w:p>
    <w:p w14:paraId="663E2060" w14:textId="77777777" w:rsidR="00DB2B68" w:rsidRDefault="00000000">
      <w:pPr>
        <w:jc w:val="both"/>
      </w:pPr>
      <w:r>
        <w:t>Ces structures sont préfabriquées à l'atelier, montées et assemblées sur chantier aux ouvrages de construction déjà exécutés.</w:t>
      </w:r>
    </w:p>
    <w:p w14:paraId="786CEB8C" w14:textId="77777777" w:rsidR="00DB2B68" w:rsidRDefault="00000000">
      <w:pPr>
        <w:jc w:val="both"/>
      </w:pPr>
      <w:r>
        <w:t>Les cadres sont placés à entraxe régulier.</w:t>
      </w:r>
    </w:p>
    <w:p w14:paraId="0595508D" w14:textId="77777777" w:rsidR="00DB2B68" w:rsidRDefault="00000000">
      <w:pPr>
        <w:pStyle w:val="pheading"/>
      </w:pPr>
      <w:r>
        <w:t>MATÉRIAUX</w:t>
      </w:r>
    </w:p>
    <w:p w14:paraId="4C3FD9E9" w14:textId="77777777" w:rsidR="00DB2B68" w:rsidRDefault="00000000">
      <w:pPr>
        <w:pStyle w:val="pheading"/>
      </w:pPr>
      <w:r>
        <w:t>- Caractéristiques générales</w:t>
      </w:r>
    </w:p>
    <w:p w14:paraId="48978B52" w14:textId="77777777" w:rsidR="00DB2B68" w:rsidRDefault="00000000">
      <w:pPr>
        <w:pStyle w:val="Author-eListParagraph"/>
        <w:numPr>
          <w:ilvl w:val="0"/>
          <w:numId w:val="693"/>
        </w:numPr>
        <w:jc w:val="both"/>
      </w:pPr>
      <w:r>
        <w:t>Flèche maximale admissible des poutres et colonnes, suivant la [NBN B 03-003] ≤ </w:t>
      </w:r>
      <w:r>
        <w:rPr>
          <w:rStyle w:val="optioncarChar"/>
        </w:rPr>
        <w:t>L/500 / L/300</w:t>
      </w:r>
      <w:r>
        <w:t> (par défaut)</w:t>
      </w:r>
      <w:r>
        <w:rPr>
          <w:rStyle w:val="optioncarChar"/>
        </w:rPr>
        <w:t> / ***</w:t>
      </w:r>
    </w:p>
    <w:p w14:paraId="78C8B428" w14:textId="77777777" w:rsidR="00DB2B68" w:rsidRDefault="00000000">
      <w:pPr>
        <w:pStyle w:val="Author-eListParagraph"/>
        <w:numPr>
          <w:ilvl w:val="0"/>
          <w:numId w:val="693"/>
        </w:numPr>
        <w:jc w:val="both"/>
      </w:pPr>
      <w:r>
        <w:t>Déplacement admissible en tête de colonne, suivant la [NBN B 03-003] ≤</w:t>
      </w:r>
      <w:r>
        <w:rPr>
          <w:rStyle w:val="optioncarChar"/>
        </w:rPr>
        <w:t> h/150 / h/250 </w:t>
      </w:r>
      <w:r>
        <w:t>(par défaut)</w:t>
      </w:r>
      <w:r>
        <w:rPr>
          <w:rStyle w:val="optioncarChar"/>
        </w:rPr>
        <w:t> / h/500 / ***</w:t>
      </w:r>
    </w:p>
    <w:p w14:paraId="46B46DE6" w14:textId="77777777" w:rsidR="00DB2B68" w:rsidRDefault="00000000">
      <w:pPr>
        <w:pStyle w:val="Author-eListParagraph"/>
        <w:numPr>
          <w:ilvl w:val="0"/>
          <w:numId w:val="693"/>
        </w:numPr>
        <w:jc w:val="both"/>
      </w:pPr>
      <w:r>
        <w:t>Nuance d'acier, selon la [NBN EN 10025 série] (limite élastique en N/mm2) : </w:t>
      </w:r>
      <w:r>
        <w:rPr>
          <w:rStyle w:val="optioncarChar"/>
        </w:rPr>
        <w:t>voir données mentionnées sur les plans </w:t>
      </w:r>
      <w:r>
        <w:t>(par défaut) </w:t>
      </w:r>
      <w:r>
        <w:rPr>
          <w:rStyle w:val="optioncarChar"/>
        </w:rPr>
        <w:t>/ S235 / S 275 / S 355 / S 420 / S460</w:t>
      </w:r>
    </w:p>
    <w:p w14:paraId="12E8E4B4" w14:textId="77777777" w:rsidR="00DB2B68" w:rsidRDefault="00000000">
      <w:pPr>
        <w:pStyle w:val="Author-eListParagraph"/>
        <w:numPr>
          <w:ilvl w:val="0"/>
          <w:numId w:val="693"/>
        </w:numPr>
        <w:jc w:val="both"/>
      </w:pPr>
      <w:r>
        <w:t xml:space="preserve">Qualité d’acier selon la [NBN EN 10025 série] : </w:t>
      </w:r>
      <w:r>
        <w:rPr>
          <w:rStyle w:val="optioncarChar"/>
        </w:rPr>
        <w:t>voir données mentionnées sur les plans </w:t>
      </w:r>
      <w:r>
        <w:t xml:space="preserve">(par défaut) </w:t>
      </w:r>
      <w:r>
        <w:rPr>
          <w:rStyle w:val="optioncarChar"/>
        </w:rPr>
        <w:t>/ JR / J0 / J2 / KR / K0 / K2 / N / NL / M / ML / W / P / Q / QL / QL1</w:t>
      </w:r>
      <w:r>
        <w:t> .</w:t>
      </w:r>
    </w:p>
    <w:p w14:paraId="0B9A8032" w14:textId="77777777" w:rsidR="00DB2B68" w:rsidRDefault="00000000">
      <w:pPr>
        <w:pStyle w:val="Author-eListParagraph"/>
        <w:numPr>
          <w:ilvl w:val="0"/>
          <w:numId w:val="693"/>
        </w:numPr>
        <w:jc w:val="both"/>
      </w:pPr>
      <w:r>
        <w:t xml:space="preserve">Arrachement lamellaire, selon la [NBN EN 10164] : </w:t>
      </w:r>
      <w:r>
        <w:rPr>
          <w:rStyle w:val="optioncarChar"/>
        </w:rPr>
        <w:t>voir données mentionnées sur les plans</w:t>
      </w:r>
      <w:r>
        <w:t xml:space="preserve"> (par défaut) </w:t>
      </w:r>
      <w:r>
        <w:rPr>
          <w:rStyle w:val="optioncarChar"/>
        </w:rPr>
        <w:t>/ Z15 / Z25 / Z35</w:t>
      </w:r>
    </w:p>
    <w:p w14:paraId="4134B77C" w14:textId="77777777" w:rsidR="00DB2B68" w:rsidRDefault="00000000">
      <w:pPr>
        <w:jc w:val="both"/>
      </w:pPr>
      <w:r>
        <w:t> </w:t>
      </w:r>
      <w:r>
        <w:rPr>
          <w:b/>
        </w:rPr>
        <w:t>Poutres / arbalétriers</w:t>
      </w:r>
    </w:p>
    <w:p w14:paraId="1E6FE82A" w14:textId="77777777" w:rsidR="00DB2B68" w:rsidRDefault="00000000">
      <w:pPr>
        <w:pStyle w:val="Author-eListParagraph"/>
        <w:numPr>
          <w:ilvl w:val="0"/>
          <w:numId w:val="694"/>
        </w:numPr>
      </w:pPr>
      <w:r>
        <w:t>Types de profilés : </w:t>
      </w:r>
      <w:r>
        <w:rPr>
          <w:rStyle w:val="optioncarChar"/>
        </w:rPr>
        <w:t>voir données mentionnées sur les plans </w:t>
      </w:r>
      <w:r>
        <w:t>(par défaut)</w:t>
      </w:r>
      <w:r>
        <w:rPr>
          <w:rStyle w:val="optioncarChar"/>
        </w:rPr>
        <w:t> / IPE / HEA / HEB / HEM / tube carré (SHS) / tube rectangulaire (RHS) / tube circulaire (CHS) / ***</w:t>
      </w:r>
    </w:p>
    <w:p w14:paraId="462A5E1C" w14:textId="77777777" w:rsidR="00DB2B68" w:rsidRDefault="00000000">
      <w:pPr>
        <w:jc w:val="both"/>
      </w:pPr>
      <w:r>
        <w:t> </w:t>
      </w:r>
      <w:r>
        <w:rPr>
          <w:b/>
        </w:rPr>
        <w:t>Colonnes</w:t>
      </w:r>
    </w:p>
    <w:p w14:paraId="6269439E" w14:textId="77777777" w:rsidR="00DB2B68" w:rsidRDefault="00000000">
      <w:pPr>
        <w:pStyle w:val="Author-eListParagraph"/>
        <w:numPr>
          <w:ilvl w:val="0"/>
          <w:numId w:val="695"/>
        </w:numPr>
      </w:pPr>
      <w:r>
        <w:t>Types de profilés : </w:t>
      </w:r>
      <w:r>
        <w:rPr>
          <w:rStyle w:val="optioncarChar"/>
        </w:rPr>
        <w:t>voir données mentionnées sur les plans </w:t>
      </w:r>
      <w:r>
        <w:t>(par défaut)</w:t>
      </w:r>
      <w:r>
        <w:rPr>
          <w:rStyle w:val="optioncarChar"/>
        </w:rPr>
        <w:t> / IPE / HEA / HEB / HEM / tube carré (SHS) / tube rectangulaire (RHS) / tube circulaire (CHS) / ***</w:t>
      </w:r>
    </w:p>
    <w:p w14:paraId="7B53F05E" w14:textId="77777777" w:rsidR="00DB2B68" w:rsidRDefault="00000000">
      <w:pPr>
        <w:jc w:val="both"/>
      </w:pPr>
      <w:r>
        <w:t> </w:t>
      </w:r>
      <w:r>
        <w:rPr>
          <w:b/>
        </w:rPr>
        <w:t>Barres de transfert des efforts horizontaux</w:t>
      </w:r>
    </w:p>
    <w:p w14:paraId="5E393C89" w14:textId="77777777" w:rsidR="00DB2B68" w:rsidRDefault="00000000">
      <w:pPr>
        <w:pStyle w:val="Author-eListParagraph"/>
        <w:numPr>
          <w:ilvl w:val="0"/>
          <w:numId w:val="696"/>
        </w:numPr>
      </w:pPr>
      <w:r>
        <w:t>Types de profilés : </w:t>
      </w:r>
      <w:r>
        <w:rPr>
          <w:rStyle w:val="optioncarChar"/>
        </w:rPr>
        <w:t>voir données mentionnées sur les plans </w:t>
      </w:r>
      <w:r>
        <w:t>(par défaut)</w:t>
      </w:r>
      <w:r>
        <w:rPr>
          <w:rStyle w:val="optioncarChar"/>
        </w:rPr>
        <w:t> / tube carré (SHS) / tube rectangulaire (RHS) / tube circulaire (CHS) / ***</w:t>
      </w:r>
    </w:p>
    <w:p w14:paraId="54D42D4F" w14:textId="77777777" w:rsidR="00DB2B68" w:rsidRDefault="00000000">
      <w:pPr>
        <w:jc w:val="both"/>
      </w:pPr>
      <w:r>
        <w:t> </w:t>
      </w:r>
      <w:r>
        <w:rPr>
          <w:b/>
        </w:rPr>
        <w:t>Contreventements</w:t>
      </w:r>
    </w:p>
    <w:p w14:paraId="6ADB0BDC" w14:textId="77777777" w:rsidR="00DB2B68" w:rsidRDefault="00000000">
      <w:pPr>
        <w:pStyle w:val="Author-eListParagraph"/>
        <w:numPr>
          <w:ilvl w:val="0"/>
          <w:numId w:val="697"/>
        </w:numPr>
        <w:jc w:val="both"/>
      </w:pPr>
      <w:r>
        <w:t xml:space="preserve">Types de profilés : </w:t>
      </w:r>
      <w:r>
        <w:rPr>
          <w:rStyle w:val="optioncarChar"/>
        </w:rPr>
        <w:t xml:space="preserve">voir données mentionnées sur les plans </w:t>
      </w:r>
      <w:r>
        <w:t>(par défaut)</w:t>
      </w:r>
      <w:r>
        <w:rPr>
          <w:rStyle w:val="optioncarChar"/>
        </w:rPr>
        <w:t xml:space="preserve"> / cornières à ailes égales / barres rondes / câbles / IPE / HEA / HEB / HEM / tube carré (SHS) / tube rectangulaire (RHS) / tube circulaire (CHS) / ***</w:t>
      </w:r>
    </w:p>
    <w:p w14:paraId="7062E0CB" w14:textId="77777777" w:rsidR="00DB2B68" w:rsidRDefault="00000000">
      <w:pPr>
        <w:pStyle w:val="pheading"/>
      </w:pPr>
      <w:r>
        <w:t>- Finitions</w:t>
      </w:r>
    </w:p>
    <w:p w14:paraId="1C56BEEA" w14:textId="77777777" w:rsidR="00DB2B68" w:rsidRDefault="00000000">
      <w:r>
        <w:rPr>
          <w:b/>
        </w:rPr>
        <w:t>Traitement contre la rouille</w:t>
      </w:r>
      <w:r>
        <w:br/>
        <w:t xml:space="preserve">Choix effectué au </w:t>
      </w:r>
      <w:hyperlink w:anchor="349" w:history="1">
        <w:r>
          <w:rPr>
            <w:color w:val="0000EE"/>
          </w:rPr>
          <w:t>23 Superstructures métalliques</w:t>
        </w:r>
      </w:hyperlink>
      <w:r>
        <w:t>.</w:t>
      </w:r>
    </w:p>
    <w:p w14:paraId="46E6D187" w14:textId="77777777" w:rsidR="00DB2B68" w:rsidRDefault="00000000">
      <w:r>
        <w:rPr>
          <w:b/>
        </w:rPr>
        <w:t>Finitions</w:t>
      </w:r>
      <w:r>
        <w:br/>
        <w:t>Choix effectué au </w:t>
      </w:r>
      <w:hyperlink w:anchor="349" w:history="1">
        <w:r>
          <w:rPr>
            <w:color w:val="0000EE"/>
          </w:rPr>
          <w:t>23 Superstructures métalliques</w:t>
        </w:r>
      </w:hyperlink>
      <w:r>
        <w:t>.</w:t>
      </w:r>
    </w:p>
    <w:p w14:paraId="2000FC90" w14:textId="77777777" w:rsidR="00DB2B68" w:rsidRDefault="00000000">
      <w:r>
        <w:rPr>
          <w:b/>
        </w:rPr>
        <w:t>Résistance au feu</w:t>
      </w:r>
      <w:r>
        <w:br/>
        <w:t>Choix effectué au </w:t>
      </w:r>
      <w:hyperlink w:anchor="349" w:history="1">
        <w:r>
          <w:rPr>
            <w:color w:val="0000EE"/>
          </w:rPr>
          <w:t>23 Superstructures métalliques</w:t>
        </w:r>
      </w:hyperlink>
      <w:r>
        <w:t>.</w:t>
      </w:r>
    </w:p>
    <w:p w14:paraId="60E5F5F4" w14:textId="77777777" w:rsidR="00DB2B68" w:rsidRDefault="00000000">
      <w:pPr>
        <w:pStyle w:val="pheading"/>
      </w:pPr>
      <w:r>
        <w:t>EXÉCUTION / MISE EN ŒUVRE</w:t>
      </w:r>
    </w:p>
    <w:p w14:paraId="71198314" w14:textId="77777777" w:rsidR="00DB2B68" w:rsidRDefault="00000000">
      <w:pPr>
        <w:pStyle w:val="pheading"/>
      </w:pPr>
      <w:r>
        <w:t>- Prescriptions générales</w:t>
      </w:r>
    </w:p>
    <w:p w14:paraId="7AC6969D" w14:textId="77777777" w:rsidR="00DB2B68" w:rsidRDefault="00000000">
      <w:pPr>
        <w:jc w:val="both"/>
      </w:pPr>
      <w:r>
        <w:rPr>
          <w:b/>
        </w:rPr>
        <w:t>Etude</w:t>
      </w:r>
    </w:p>
    <w:p w14:paraId="2F8D0B15" w14:textId="77777777" w:rsidR="00DB2B68" w:rsidRDefault="00000000">
      <w:pPr>
        <w:jc w:val="both"/>
      </w:pPr>
      <w:r>
        <w:t>Choix effectué au </w:t>
      </w:r>
      <w:hyperlink w:anchor="349" w:history="1">
        <w:r>
          <w:rPr>
            <w:color w:val="0000EE"/>
          </w:rPr>
          <w:t>23 Superstructures métalliques</w:t>
        </w:r>
      </w:hyperlink>
      <w:r>
        <w:t>.</w:t>
      </w:r>
    </w:p>
    <w:p w14:paraId="50EEFCD2" w14:textId="77777777" w:rsidR="00DB2B68" w:rsidRDefault="00000000">
      <w:pPr>
        <w:jc w:val="both"/>
      </w:pPr>
      <w:r>
        <w:rPr>
          <w:b/>
        </w:rPr>
        <w:lastRenderedPageBreak/>
        <w:t>Mise en œuvre</w:t>
      </w:r>
    </w:p>
    <w:p w14:paraId="7B65D61C" w14:textId="77777777" w:rsidR="00DB2B68" w:rsidRDefault="00000000">
      <w:pPr>
        <w:jc w:val="both"/>
      </w:pPr>
      <w:r>
        <w:rPr>
          <w:u w:val="single"/>
        </w:rPr>
        <w:t>Charpente</w:t>
      </w:r>
    </w:p>
    <w:p w14:paraId="0CD3D780" w14:textId="77777777" w:rsidR="00DB2B68" w:rsidRDefault="00000000">
      <w:pPr>
        <w:jc w:val="both"/>
      </w:pPr>
      <w:r>
        <w:t>Renvoi au </w:t>
      </w:r>
      <w:hyperlink w:anchor="553" w:history="1">
        <w:r>
          <w:rPr>
            <w:color w:val="0000EE"/>
          </w:rPr>
          <w:t>23.21 Structures métalliques (poutres/colonnes)</w:t>
        </w:r>
      </w:hyperlink>
      <w:r>
        <w:t>.</w:t>
      </w:r>
    </w:p>
    <w:p w14:paraId="35FF0F8F" w14:textId="77777777" w:rsidR="00DB2B68" w:rsidRDefault="00000000">
      <w:pPr>
        <w:jc w:val="both"/>
      </w:pPr>
      <w:r>
        <w:rPr>
          <w:u w:val="single"/>
        </w:rPr>
        <w:t>Contreventement dans le plan de la charpente</w:t>
      </w:r>
    </w:p>
    <w:p w14:paraId="1504B46C" w14:textId="77777777" w:rsidR="00DB2B68" w:rsidRDefault="00000000">
      <w:pPr>
        <w:jc w:val="both"/>
      </w:pPr>
      <w:r>
        <w:t xml:space="preserve">Le présent article comprend le contreventement vertical dans le plan des cadres : </w:t>
      </w:r>
      <w:r>
        <w:rPr>
          <w:rStyle w:val="optioncarChar"/>
        </w:rPr>
        <w:t>oui</w:t>
      </w:r>
      <w:r>
        <w:t xml:space="preserve"> (par défaut)</w:t>
      </w:r>
      <w:r>
        <w:rPr>
          <w:rStyle w:val="optioncarChar"/>
        </w:rPr>
        <w:t xml:space="preserve"> / non</w:t>
      </w:r>
    </w:p>
    <w:p w14:paraId="708A540B" w14:textId="77777777" w:rsidR="00DB2B68" w:rsidRDefault="00000000">
      <w:pPr>
        <w:jc w:val="both"/>
      </w:pPr>
      <w:r>
        <w:rPr>
          <w:b/>
        </w:rPr>
        <w:t>(soit par défaut)</w:t>
      </w:r>
    </w:p>
    <w:p w14:paraId="05C72EC6" w14:textId="77777777" w:rsidR="00DB2B68" w:rsidRDefault="00000000">
      <w:pPr>
        <w:jc w:val="both"/>
      </w:pPr>
      <w:r>
        <w:rPr>
          <w:rStyle w:val="soitChar"/>
          <w:u w:val="single"/>
        </w:rPr>
        <w:t>Oui :</w:t>
      </w:r>
    </w:p>
    <w:p w14:paraId="455A104F" w14:textId="77777777" w:rsidR="00DB2B68" w:rsidRDefault="00000000">
      <w:pPr>
        <w:jc w:val="both"/>
      </w:pPr>
      <w:r>
        <w:rPr>
          <w:rStyle w:val="soitChar"/>
        </w:rPr>
        <w:t>Les contreventements sont situés dans l’épaisseur des cadres.</w:t>
      </w:r>
    </w:p>
    <w:p w14:paraId="2B309140" w14:textId="77777777" w:rsidR="00DB2B68" w:rsidRDefault="00000000">
      <w:pPr>
        <w:jc w:val="both"/>
      </w:pPr>
      <w:r>
        <w:rPr>
          <w:rStyle w:val="soitChar"/>
        </w:rPr>
        <w:t xml:space="preserve">Ils sont boulonnés sur des goussets </w:t>
      </w:r>
      <w:r>
        <w:rPr>
          <w:rStyle w:val="optioncarChar"/>
        </w:rPr>
        <w:t>boulonnés</w:t>
      </w:r>
      <w:r>
        <w:t xml:space="preserve"> (par défaut) </w:t>
      </w:r>
      <w:r>
        <w:rPr>
          <w:rStyle w:val="optioncarChar"/>
        </w:rPr>
        <w:t>/ soudés</w:t>
      </w:r>
      <w:r>
        <w:rPr>
          <w:rStyle w:val="soitChar"/>
        </w:rPr>
        <w:t xml:space="preserve"> à la charpente.</w:t>
      </w:r>
    </w:p>
    <w:p w14:paraId="014102F8" w14:textId="77777777" w:rsidR="00DB2B68" w:rsidRDefault="00000000">
      <w:pPr>
        <w:jc w:val="both"/>
      </w:pPr>
      <w:r>
        <w:rPr>
          <w:rStyle w:val="soitChar"/>
        </w:rPr>
        <w:t>Des barres de transfert des efforts horizontaux sont placées entres les colonnes du cadre. A noter que les poutres peuvent jouer ce rôle en fonction de l’étude de stabilité.</w:t>
      </w:r>
    </w:p>
    <w:p w14:paraId="361B98D8" w14:textId="77777777" w:rsidR="00DB2B68" w:rsidRDefault="00000000">
      <w:pPr>
        <w:jc w:val="both"/>
      </w:pPr>
      <w:r>
        <w:rPr>
          <w:rStyle w:val="soitChar"/>
        </w:rPr>
        <w:t xml:space="preserve">Une palée de stabilité est réalisée à l’aide de </w:t>
      </w:r>
      <w:r>
        <w:rPr>
          <w:rStyle w:val="optioncarChar"/>
        </w:rPr>
        <w:t>diagonales de contreventement / contrefiches (bracons)</w:t>
      </w:r>
      <w:r>
        <w:rPr>
          <w:rStyle w:val="soitChar"/>
        </w:rPr>
        <w:t>.</w:t>
      </w:r>
    </w:p>
    <w:p w14:paraId="5BC36B83" w14:textId="77777777" w:rsidR="00DB2B68" w:rsidRDefault="00000000">
      <w:pPr>
        <w:jc w:val="both"/>
      </w:pPr>
      <w:r>
        <w:rPr>
          <w:rStyle w:val="soitChar"/>
        </w:rPr>
        <w:t>Leur position est déterminée en fonction des façades du bâtiment. A noter que plusieurs palées de stabilité peuvent être nécessaires dans un plan en fonction de l’étude de stabilité.</w:t>
      </w:r>
    </w:p>
    <w:p w14:paraId="73006C1C" w14:textId="77777777" w:rsidR="00DB2B68" w:rsidRDefault="00000000">
      <w:pPr>
        <w:jc w:val="both"/>
      </w:pPr>
      <w:r>
        <w:rPr>
          <w:b/>
        </w:rPr>
        <w:t>(soit)</w:t>
      </w:r>
    </w:p>
    <w:p w14:paraId="7240611C" w14:textId="77777777" w:rsidR="00DB2B68" w:rsidRDefault="00000000">
      <w:pPr>
        <w:jc w:val="both"/>
      </w:pPr>
      <w:r>
        <w:rPr>
          <w:rStyle w:val="soitChar"/>
          <w:u w:val="single"/>
        </w:rPr>
        <w:t>Non :</w:t>
      </w:r>
    </w:p>
    <w:p w14:paraId="2ADA6197" w14:textId="77777777" w:rsidR="00DB2B68" w:rsidRDefault="00000000">
      <w:pPr>
        <w:jc w:val="both"/>
      </w:pPr>
      <w:r>
        <w:rPr>
          <w:rStyle w:val="soitChar"/>
        </w:rPr>
        <w:t>Le contreventement est réalisé par une autre méthode (par exemple voile béton ou maçonnerie), non comprise dans le présent travail.</w:t>
      </w:r>
    </w:p>
    <w:p w14:paraId="16DE9F6C" w14:textId="77777777" w:rsidR="00DB2B68" w:rsidRDefault="00000000">
      <w:pPr>
        <w:pStyle w:val="pheading"/>
      </w:pPr>
      <w:r>
        <w:t>MESURAGE</w:t>
      </w:r>
    </w:p>
    <w:p w14:paraId="7596A33C" w14:textId="77777777" w:rsidR="00DB2B68" w:rsidRDefault="00000000">
      <w:pPr>
        <w:pStyle w:val="pheading"/>
      </w:pPr>
      <w:r>
        <w:t>- unité de mesure:</w:t>
      </w:r>
    </w:p>
    <w:p w14:paraId="2F012D0F" w14:textId="77777777" w:rsidR="00DB2B68" w:rsidRDefault="00000000">
      <w:r>
        <w:rPr>
          <w:b/>
        </w:rPr>
        <w:t>Cadres</w:t>
      </w:r>
      <w:r>
        <w:br/>
      </w:r>
      <w:r>
        <w:rPr>
          <w:rStyle w:val="optioncarChar"/>
        </w:rPr>
        <w:t xml:space="preserve">fft </w:t>
      </w:r>
      <w:r>
        <w:t>(par défaut)</w:t>
      </w:r>
      <w:r>
        <w:rPr>
          <w:rStyle w:val="optioncarChar"/>
        </w:rPr>
        <w:t xml:space="preserve"> / kg ;m</w:t>
      </w:r>
    </w:p>
    <w:p w14:paraId="5B2A6074" w14:textId="77777777" w:rsidR="00DB2B68" w:rsidRDefault="00000000">
      <w:r>
        <w:rPr>
          <w:b/>
        </w:rPr>
        <w:t>(soit par défaut)</w:t>
      </w:r>
      <w:r>
        <w:br/>
      </w:r>
      <w:r>
        <w:rPr>
          <w:rStyle w:val="soitChar"/>
        </w:rPr>
        <w:t>1. fft</w:t>
      </w:r>
      <w:r>
        <w:br/>
      </w:r>
      <w:r>
        <w:rPr>
          <w:b/>
        </w:rPr>
        <w:t>(soit)</w:t>
      </w:r>
      <w:r>
        <w:br/>
      </w:r>
      <w:r>
        <w:rPr>
          <w:rStyle w:val="soitChar"/>
        </w:rPr>
        <w:t>2. 3. kg ; m</w:t>
      </w:r>
    </w:p>
    <w:p w14:paraId="03C33157" w14:textId="77777777" w:rsidR="00DB2B68" w:rsidRDefault="00000000">
      <w:r>
        <w:rPr>
          <w:b/>
        </w:rPr>
        <w:t>Flocage</w:t>
      </w:r>
      <w:r>
        <w:br/>
      </w:r>
      <w:r>
        <w:rPr>
          <w:rStyle w:val="optioncarChar"/>
        </w:rPr>
        <w:t xml:space="preserve">m² </w:t>
      </w:r>
      <w:r>
        <w:t>(par défaut)</w:t>
      </w:r>
      <w:r>
        <w:rPr>
          <w:rStyle w:val="optioncarChar"/>
        </w:rPr>
        <w:t xml:space="preserve"> / m / pc</w:t>
      </w:r>
    </w:p>
    <w:p w14:paraId="724878FF" w14:textId="77777777" w:rsidR="00DB2B68"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pc</w:t>
      </w:r>
    </w:p>
    <w:p w14:paraId="6156B6C9" w14:textId="77777777" w:rsidR="00DB2B68" w:rsidRDefault="00000000">
      <w:pPr>
        <w:pStyle w:val="pheading"/>
      </w:pPr>
      <w:r>
        <w:t>- code de mesurage:</w:t>
      </w:r>
    </w:p>
    <w:p w14:paraId="56AF2971" w14:textId="77777777" w:rsidR="00DB2B68" w:rsidRDefault="00000000">
      <w:pPr>
        <w:jc w:val="both"/>
      </w:pPr>
      <w:r>
        <w:rPr>
          <w:b/>
        </w:rPr>
        <w:t>Cadres</w:t>
      </w:r>
    </w:p>
    <w:p w14:paraId="18D5A786" w14:textId="77777777" w:rsidR="00DB2B68" w:rsidRDefault="00000000">
      <w:pPr>
        <w:jc w:val="both"/>
      </w:pPr>
      <w:r>
        <w:rPr>
          <w:rStyle w:val="optioncarChar"/>
        </w:rPr>
        <w:t xml:space="preserve">Forfait </w:t>
      </w:r>
      <w:r>
        <w:t>(par défaut)</w:t>
      </w:r>
      <w:r>
        <w:rPr>
          <w:rStyle w:val="optioncarChar"/>
        </w:rPr>
        <w:t xml:space="preserve"> / Masse conventionnelle et longueur / Masse simplifiée et longueur</w:t>
      </w:r>
    </w:p>
    <w:p w14:paraId="5788807E" w14:textId="77777777" w:rsidR="00DB2B68" w:rsidRDefault="00000000">
      <w:pPr>
        <w:jc w:val="both"/>
      </w:pPr>
      <w:r>
        <w:rPr>
          <w:b/>
        </w:rPr>
        <w:t>(soit par défaut)</w:t>
      </w:r>
    </w:p>
    <w:p w14:paraId="2AB6402F" w14:textId="77777777" w:rsidR="00DB2B68" w:rsidRDefault="00000000">
      <w:pPr>
        <w:jc w:val="both"/>
      </w:pPr>
      <w:r>
        <w:rPr>
          <w:rStyle w:val="soitChar"/>
        </w:rPr>
        <w:t>1. </w:t>
      </w:r>
      <w:r>
        <w:rPr>
          <w:rStyle w:val="soitChar"/>
          <w:u w:val="single"/>
        </w:rPr>
        <w:t xml:space="preserve"> Forfait :</w:t>
      </w:r>
      <w:r>
        <w:rPr>
          <w:rStyle w:val="soitChar"/>
        </w:rPr>
        <w:t xml:space="preserve"> pour l’ensemble des cadres, par type de bâtiment.</w:t>
      </w:r>
    </w:p>
    <w:p w14:paraId="2CC91FD2" w14:textId="77777777" w:rsidR="00DB2B68" w:rsidRDefault="00000000">
      <w:pPr>
        <w:jc w:val="both"/>
      </w:pPr>
      <w:r>
        <w:rPr>
          <w:b/>
        </w:rPr>
        <w:t>(soit)</w:t>
      </w:r>
    </w:p>
    <w:p w14:paraId="3AD67F79" w14:textId="77777777" w:rsidR="00DB2B68" w:rsidRDefault="00000000">
      <w:pPr>
        <w:jc w:val="both"/>
      </w:pPr>
      <w:r>
        <w:rPr>
          <w:rStyle w:val="soitChar"/>
        </w:rPr>
        <w:t xml:space="preserve">2. </w:t>
      </w:r>
      <w:r>
        <w:rPr>
          <w:rStyle w:val="soitChar"/>
          <w:u w:val="single"/>
        </w:rPr>
        <w:t>Masse conventionnelle et longueur :</w:t>
      </w:r>
      <w:r>
        <w:rPr>
          <w:rStyle w:val="soitChar"/>
        </w:rPr>
        <w:t xml:space="preserve"> masse d’acier théorique à mettre en œuvre pour toutes dimensions et types de profilés, distinction faite suivant les nuances et qualités d’acier.</w:t>
      </w:r>
    </w:p>
    <w:p w14:paraId="51E52A09" w14:textId="77777777" w:rsidR="00DB2B68" w:rsidRDefault="00000000">
      <w:pPr>
        <w:jc w:val="both"/>
      </w:pPr>
      <w:r>
        <w:rPr>
          <w:rStyle w:val="soitChar"/>
        </w:rPr>
        <w:lastRenderedPageBreak/>
        <w:t>La masse d’acier théorique comprend les rivets, cordons de soudures, boulons, les, etc. Elle est obtenue en calculant les différents volumes des éléments (profils, barres, tubes, large plats, barres de contreventements), multiplié par la masse volumique théorique de l’acier de 7.850 kg/m³ (suivant [NBN B 06-001]). La valeur obtenue est alors majorée de 3%, pour obtenir la masse théorique.</w:t>
      </w:r>
    </w:p>
    <w:p w14:paraId="5F8A7661" w14:textId="77777777" w:rsidR="00DB2B68" w:rsidRDefault="00000000">
      <w:pPr>
        <w:jc w:val="both"/>
      </w:pPr>
      <w:r>
        <w:rPr>
          <w:rStyle w:val="soitChar"/>
        </w:rPr>
        <w:t>Cette masse théorique est arrondie à l’unité.</w:t>
      </w:r>
    </w:p>
    <w:p w14:paraId="5DEC62A5" w14:textId="77777777" w:rsidR="00DB2B68" w:rsidRDefault="00000000">
      <w:pPr>
        <w:jc w:val="both"/>
      </w:pPr>
      <w:r>
        <w:rPr>
          <w:rStyle w:val="soitChar"/>
        </w:rPr>
        <w:t>Cette majoration couvre notamment, forfaitairement, les soudures, les rivets, les boulons, les goujons, la protection anticorrosion et les tolérances de laminage.</w:t>
      </w:r>
    </w:p>
    <w:p w14:paraId="50913400" w14:textId="77777777" w:rsidR="00DB2B68" w:rsidRDefault="00000000">
      <w:pPr>
        <w:jc w:val="both"/>
      </w:pPr>
      <w:r>
        <w:rPr>
          <w:rStyle w:val="soitChar"/>
        </w:rPr>
        <w:t>Le calcul se base sur la géométrie des pièces prévues sur les plans d’exécution du bureau d’études, arrondie au mm.</w:t>
      </w:r>
    </w:p>
    <w:p w14:paraId="6D84B897" w14:textId="77777777" w:rsidR="00DB2B68" w:rsidRDefault="00000000">
      <w:pPr>
        <w:jc w:val="both"/>
      </w:pPr>
      <w:r>
        <w:rPr>
          <w:rStyle w:val="soitChar"/>
        </w:rPr>
        <w:t>Les découpes et ouvertures sont soustraites, à l’exception des trous pour les boulons, goujons, et des chanfreins pour les soudures ou ouvertures pour le passage des cordons de soudures. Les câbles sont mesurés au mètre, à l’axe, distinction faite suivant les nuances d’acier et les sections. Les longueurs d’ancrages aux extrémités sont prises en compte, mais pas au-delà des ancrages.</w:t>
      </w:r>
    </w:p>
    <w:p w14:paraId="17AA7BD5" w14:textId="77777777" w:rsidR="00DB2B68" w:rsidRDefault="00000000">
      <w:pPr>
        <w:jc w:val="both"/>
      </w:pPr>
      <w:r>
        <w:rPr>
          <w:b/>
        </w:rPr>
        <w:t>(soit)</w:t>
      </w:r>
    </w:p>
    <w:p w14:paraId="025D6157" w14:textId="77777777" w:rsidR="00DB2B68" w:rsidRDefault="00000000">
      <w:pPr>
        <w:jc w:val="both"/>
      </w:pPr>
      <w:r>
        <w:rPr>
          <w:rStyle w:val="soitChar"/>
        </w:rPr>
        <w:t xml:space="preserve">3.  </w:t>
      </w:r>
      <w:r>
        <w:rPr>
          <w:rStyle w:val="soitChar"/>
          <w:u w:val="single"/>
        </w:rPr>
        <w:t>Masse simplifiée et longueur :</w:t>
      </w:r>
      <w:r>
        <w:rPr>
          <w:rStyle w:val="soitChar"/>
        </w:rPr>
        <w:t xml:space="preserve"> masse d’acier théorique à mettre en œuvre pour toutes dimensions et types de profilés, distinction faite suivant les nuances et qualités d’acier.</w:t>
      </w:r>
    </w:p>
    <w:p w14:paraId="536BFA9B" w14:textId="77777777" w:rsidR="00DB2B68" w:rsidRDefault="00000000">
      <w:pPr>
        <w:jc w:val="both"/>
      </w:pPr>
      <w:r>
        <w:rPr>
          <w:rStyle w:val="soitChar"/>
        </w:rPr>
        <w:t>La masse d’acier théorique comprend les rivets, cordons de soudures, boulons, etc. Elle est obtenue en calculant les différents volumes des éléments (profils, barres, tubes et larges plats, barres de contreventements), à l’exclusion des plats et pattes d’assemblage, semelles et autres pièces rapportées, multiplié par la masse volumique théorique de l’acier de 7.850 kg/m³ (suivant [NBN B 06-001]). La valeur obtenue est alors majorée de 8%, pour obtenir la masse théorique.</w:t>
      </w:r>
    </w:p>
    <w:p w14:paraId="7079E865" w14:textId="77777777" w:rsidR="00DB2B68" w:rsidRDefault="00000000">
      <w:pPr>
        <w:jc w:val="both"/>
      </w:pPr>
      <w:r>
        <w:rPr>
          <w:rStyle w:val="soitChar"/>
        </w:rPr>
        <w:t>Cette masse théorique est arrondie à l’unité.</w:t>
      </w:r>
    </w:p>
    <w:p w14:paraId="0FD5649A" w14:textId="77777777" w:rsidR="00DB2B68" w:rsidRDefault="00000000">
      <w:pPr>
        <w:jc w:val="both"/>
      </w:pPr>
      <w:r>
        <w:rPr>
          <w:rStyle w:val="soitChar"/>
        </w:rPr>
        <w:t>Cette majoration couvre notamment, forfaitairement, les soudures, les rivets, les boulons, les goujons, la protection anticorrosion et les tolérances de laminage ainsi que les plats et pattes d’assemblage, semelles et autres pièces rapportées.</w:t>
      </w:r>
    </w:p>
    <w:p w14:paraId="08812FCE" w14:textId="77777777" w:rsidR="00DB2B68" w:rsidRDefault="00000000">
      <w:pPr>
        <w:jc w:val="both"/>
      </w:pPr>
      <w:r>
        <w:rPr>
          <w:rStyle w:val="soitChar"/>
        </w:rPr>
        <w:t>Le calcul se base sur la géométrie des pièces prévues sur les plans d’exécution du bureau d’études, arrondie au mm.</w:t>
      </w:r>
    </w:p>
    <w:p w14:paraId="5F13ACBA" w14:textId="77777777" w:rsidR="00DB2B68" w:rsidRDefault="00000000">
      <w:pPr>
        <w:jc w:val="both"/>
      </w:pPr>
      <w:r>
        <w:rPr>
          <w:rStyle w:val="soitChar"/>
        </w:rPr>
        <w:t>Les découpes et ouvertures sont soustraites, à l’exception des trous pour les boulons, goujons, et des chanfreins pour les soudures ou ouvertures pour le passage des cordons de soudures.</w:t>
      </w:r>
    </w:p>
    <w:p w14:paraId="10D652EF" w14:textId="77777777" w:rsidR="00DB2B68" w:rsidRDefault="00000000">
      <w:pPr>
        <w:jc w:val="both"/>
      </w:pPr>
      <w:r>
        <w:rPr>
          <w:rStyle w:val="soitChar"/>
        </w:rPr>
        <w:t>Les câbles sont mesurés au mètre, à l’axe, distinction faite suivant les nuances d’acier et les sections. Les longueurs d’ancrages aux extrémités sont prises en compte, mais pas au-delà des ancrages.</w:t>
      </w:r>
    </w:p>
    <w:p w14:paraId="09385BDE" w14:textId="77777777" w:rsidR="00DB2B68" w:rsidRDefault="00000000">
      <w:pPr>
        <w:jc w:val="both"/>
      </w:pPr>
      <w:r>
        <w:rPr>
          <w:b/>
        </w:rPr>
        <w:t>Flocage</w:t>
      </w:r>
    </w:p>
    <w:p w14:paraId="5228FA3C" w14:textId="77777777" w:rsidR="00DB2B68" w:rsidRDefault="00000000">
      <w:pPr>
        <w:jc w:val="both"/>
      </w:pPr>
      <w:r>
        <w:t>Le traitement au feu par flocage est compté séparément et fait l’objet d’un (de) poste(s) supplémentaire(s) dans le présent article :</w:t>
      </w:r>
    </w:p>
    <w:p w14:paraId="0914BE8B" w14:textId="77777777" w:rsidR="00DB2B68" w:rsidRDefault="00000000">
      <w:pPr>
        <w:jc w:val="both"/>
      </w:pPr>
      <w:r>
        <w:rPr>
          <w:rStyle w:val="optioncarChar"/>
        </w:rPr>
        <w:t xml:space="preserve">Surface nette </w:t>
      </w:r>
      <w:r>
        <w:t xml:space="preserve">(par défaut) </w:t>
      </w:r>
      <w:r>
        <w:rPr>
          <w:rStyle w:val="optioncarChar"/>
        </w:rPr>
        <w:t>/ Longueur nette / Quantité nette.</w:t>
      </w:r>
    </w:p>
    <w:p w14:paraId="7BDE9FCD" w14:textId="77777777" w:rsidR="00DB2B68" w:rsidRDefault="00000000">
      <w:pPr>
        <w:jc w:val="both"/>
      </w:pPr>
      <w:r>
        <w:rPr>
          <w:b/>
        </w:rPr>
        <w:t>(soit par défaut)</w:t>
      </w:r>
    </w:p>
    <w:p w14:paraId="26A57C5A" w14:textId="77777777" w:rsidR="00DB2B68" w:rsidRDefault="00000000">
      <w:pPr>
        <w:jc w:val="both"/>
      </w:pPr>
      <w:r>
        <w:rPr>
          <w:rStyle w:val="soitChar"/>
        </w:rPr>
        <w:t xml:space="preserve">1. </w:t>
      </w:r>
      <w:r>
        <w:rPr>
          <w:rStyle w:val="soitChar"/>
          <w:u w:val="single"/>
        </w:rPr>
        <w:t>Surface nette</w:t>
      </w:r>
      <w:r>
        <w:rPr>
          <w:rStyle w:val="soitChar"/>
        </w:rPr>
        <w:t xml:space="preserve"> à traiter.</w:t>
      </w:r>
    </w:p>
    <w:p w14:paraId="35A04C5B" w14:textId="77777777" w:rsidR="00DB2B68" w:rsidRDefault="00000000">
      <w:pPr>
        <w:jc w:val="both"/>
      </w:pPr>
      <w:r>
        <w:rPr>
          <w:b/>
        </w:rPr>
        <w:t>(soit)</w:t>
      </w:r>
    </w:p>
    <w:p w14:paraId="619E19B8" w14:textId="77777777" w:rsidR="00DB2B68" w:rsidRDefault="00000000">
      <w:pPr>
        <w:jc w:val="both"/>
      </w:pPr>
      <w:r>
        <w:rPr>
          <w:rStyle w:val="soitChar"/>
        </w:rPr>
        <w:t xml:space="preserve">2. </w:t>
      </w:r>
      <w:r>
        <w:rPr>
          <w:rStyle w:val="soitChar"/>
          <w:u w:val="single"/>
        </w:rPr>
        <w:t>Longueur nette</w:t>
      </w:r>
      <w:r>
        <w:rPr>
          <w:rStyle w:val="soitChar"/>
        </w:rPr>
        <w:t xml:space="preserve"> à traiter, distinction faite suivant la section des profilés.</w:t>
      </w:r>
    </w:p>
    <w:p w14:paraId="094D9FCF" w14:textId="77777777" w:rsidR="00DB2B68" w:rsidRDefault="00000000">
      <w:pPr>
        <w:jc w:val="both"/>
      </w:pPr>
      <w:r>
        <w:rPr>
          <w:b/>
        </w:rPr>
        <w:t>(soit)</w:t>
      </w:r>
    </w:p>
    <w:p w14:paraId="01F87443" w14:textId="77777777" w:rsidR="00DB2B68" w:rsidRDefault="00000000">
      <w:pPr>
        <w:jc w:val="both"/>
      </w:pPr>
      <w:r>
        <w:rPr>
          <w:rStyle w:val="soitChar"/>
        </w:rPr>
        <w:t xml:space="preserve">3. </w:t>
      </w:r>
      <w:r>
        <w:rPr>
          <w:rStyle w:val="soitChar"/>
          <w:u w:val="single"/>
        </w:rPr>
        <w:t>Quantité nette</w:t>
      </w:r>
      <w:r>
        <w:rPr>
          <w:rStyle w:val="soitChar"/>
        </w:rPr>
        <w:t xml:space="preserve"> par cadre, distinction faite suivant les dimensions et les sections des profilés.</w:t>
      </w:r>
    </w:p>
    <w:p w14:paraId="3390DA53" w14:textId="77777777" w:rsidR="00DB2B68" w:rsidRDefault="00000000">
      <w:pPr>
        <w:pStyle w:val="pheading"/>
      </w:pPr>
      <w:r>
        <w:t>- nature du marché:</w:t>
      </w:r>
    </w:p>
    <w:p w14:paraId="57146D88" w14:textId="77777777" w:rsidR="00DB2B68" w:rsidRDefault="00000000">
      <w:r>
        <w:rPr>
          <w:b/>
        </w:rPr>
        <w:t>Charpente</w:t>
      </w:r>
      <w:r>
        <w:br/>
      </w:r>
      <w:r>
        <w:rPr>
          <w:rStyle w:val="optioncarChar"/>
        </w:rPr>
        <w:t xml:space="preserve">PG </w:t>
      </w:r>
      <w:r>
        <w:t xml:space="preserve">(par défaut) </w:t>
      </w:r>
      <w:r>
        <w:rPr>
          <w:rStyle w:val="optioncarChar"/>
        </w:rPr>
        <w:t>/ QF</w:t>
      </w:r>
    </w:p>
    <w:p w14:paraId="45BAE0E8" w14:textId="77777777" w:rsidR="00DB2B68" w:rsidRDefault="00000000">
      <w:r>
        <w:rPr>
          <w:b/>
        </w:rPr>
        <w:t>(soit par défaut)</w:t>
      </w:r>
      <w:r>
        <w:br/>
      </w:r>
      <w:r>
        <w:rPr>
          <w:rStyle w:val="soitChar"/>
        </w:rPr>
        <w:t>1. PG</w:t>
      </w:r>
      <w:r>
        <w:br/>
      </w:r>
      <w:r>
        <w:rPr>
          <w:b/>
        </w:rPr>
        <w:lastRenderedPageBreak/>
        <w:t>(soit)</w:t>
      </w:r>
      <w:r>
        <w:br/>
      </w:r>
      <w:r>
        <w:rPr>
          <w:rStyle w:val="soitChar"/>
        </w:rPr>
        <w:t>2. 3. QF</w:t>
      </w:r>
    </w:p>
    <w:p w14:paraId="2D5310B4" w14:textId="77777777" w:rsidR="00DB2B68" w:rsidRDefault="00000000">
      <w:r>
        <w:rPr>
          <w:b/>
        </w:rPr>
        <w:t>Flocage</w:t>
      </w:r>
      <w:r>
        <w:br/>
        <w:t>1. 2. 3. QF</w:t>
      </w:r>
    </w:p>
    <w:p w14:paraId="66B49CDC" w14:textId="77777777" w:rsidR="00DB2B68" w:rsidRDefault="00000000">
      <w:pPr>
        <w:pStyle w:val="Author-eSectionHeading6Numberless"/>
      </w:pPr>
      <w:bookmarkStart w:id="1295" w:name="_Toc220496309"/>
      <w:r>
        <w:t>23.21.1b Portiques en profilés en acier laminés à chaud CCTB 01.04</w:t>
      </w:r>
      <w:bookmarkEnd w:id="1295"/>
    </w:p>
    <w:p w14:paraId="39F28B19" w14:textId="77777777" w:rsidR="00DB2B68" w:rsidRDefault="00000000">
      <w:pPr>
        <w:pStyle w:val="Author-eSectionHeading6Numberless"/>
      </w:pPr>
      <w:bookmarkStart w:id="1296" w:name="552"/>
      <w:bookmarkStart w:id="1297" w:name="_Toc220496310"/>
      <w:bookmarkEnd w:id="1296"/>
      <w:r>
        <w:t>23.21.1c Arcs en profilés en acier laminés à chaud CCTB 01.04</w:t>
      </w:r>
      <w:bookmarkEnd w:id="1297"/>
    </w:p>
    <w:p w14:paraId="28CF1C7E" w14:textId="77777777" w:rsidR="00DB2B68" w:rsidRDefault="00000000">
      <w:pPr>
        <w:pStyle w:val="pheading"/>
      </w:pPr>
      <w:r>
        <w:t>MESURAGE</w:t>
      </w:r>
    </w:p>
    <w:p w14:paraId="2C84E285" w14:textId="77777777" w:rsidR="00DB2B68" w:rsidRDefault="00DB2B68"/>
    <w:p w14:paraId="00F2CC81" w14:textId="77777777" w:rsidR="00DB2B68" w:rsidRDefault="00000000">
      <w:pPr>
        <w:pStyle w:val="Author-eSectionHeading6Numberless"/>
      </w:pPr>
      <w:bookmarkStart w:id="1298" w:name="_Toc220496311"/>
      <w:r>
        <w:t>23.21.1d Potences en profilés en acier laminés à chaud CCTB 01.04</w:t>
      </w:r>
      <w:bookmarkEnd w:id="1298"/>
    </w:p>
    <w:p w14:paraId="7D9C2F93" w14:textId="77777777" w:rsidR="00DB2B68" w:rsidRDefault="00000000">
      <w:pPr>
        <w:pStyle w:val="Author-eSectionHeading5Numberless"/>
      </w:pPr>
      <w:bookmarkStart w:id="1299" w:name="_Toc220496312"/>
      <w:r>
        <w:t>23.21.2 Structures en acier formées à froid CCTB 01.04</w:t>
      </w:r>
      <w:bookmarkEnd w:id="1299"/>
    </w:p>
    <w:p w14:paraId="6BDA1BE1" w14:textId="77777777" w:rsidR="00DB2B68" w:rsidRDefault="00000000">
      <w:pPr>
        <w:pStyle w:val="Author-eSectionHeading6Numberless"/>
      </w:pPr>
      <w:bookmarkStart w:id="1300" w:name="_Toc220496313"/>
      <w:r>
        <w:t>23.21.2a Charpentes en acier formées à froid CCTB 01.04</w:t>
      </w:r>
      <w:bookmarkEnd w:id="1300"/>
    </w:p>
    <w:p w14:paraId="296C6753" w14:textId="77777777" w:rsidR="00DB2B68" w:rsidRDefault="00000000">
      <w:pPr>
        <w:pStyle w:val="pheading"/>
      </w:pPr>
      <w:r>
        <w:t>MESURAGE</w:t>
      </w:r>
    </w:p>
    <w:p w14:paraId="3EC493E0" w14:textId="77777777" w:rsidR="00DB2B68" w:rsidRDefault="00DB2B68"/>
    <w:p w14:paraId="1669BF1C" w14:textId="77777777" w:rsidR="00DB2B68" w:rsidRDefault="00000000">
      <w:pPr>
        <w:pStyle w:val="Author-eSectionHeading6Numberless"/>
      </w:pPr>
      <w:bookmarkStart w:id="1301" w:name="_Toc220496314"/>
      <w:r>
        <w:t>23.21.2b Portiques en acier formés à froid CCTB 01.04</w:t>
      </w:r>
      <w:bookmarkEnd w:id="1301"/>
    </w:p>
    <w:p w14:paraId="71D55AA1" w14:textId="77777777" w:rsidR="00DB2B68" w:rsidRDefault="00000000">
      <w:pPr>
        <w:pStyle w:val="Author-eSectionHeading6Numberless"/>
      </w:pPr>
      <w:bookmarkStart w:id="1302" w:name="_Toc220496315"/>
      <w:r>
        <w:t>23.21.2c Arcs en acier formés à froid CCTB 01.04</w:t>
      </w:r>
      <w:bookmarkEnd w:id="1302"/>
    </w:p>
    <w:p w14:paraId="2102BAF1" w14:textId="77777777" w:rsidR="00DB2B68" w:rsidRDefault="00000000">
      <w:pPr>
        <w:pStyle w:val="pheading"/>
      </w:pPr>
      <w:r>
        <w:t>MESURAGE</w:t>
      </w:r>
    </w:p>
    <w:p w14:paraId="00CA6B1F" w14:textId="77777777" w:rsidR="00DB2B68" w:rsidRDefault="00DB2B68"/>
    <w:p w14:paraId="707C473F" w14:textId="77777777" w:rsidR="00DB2B68" w:rsidRDefault="00000000">
      <w:pPr>
        <w:pStyle w:val="Author-eSectionHeading6Numberless"/>
      </w:pPr>
      <w:bookmarkStart w:id="1303" w:name="_Toc220496316"/>
      <w:r>
        <w:t>23.21.2d Potences en acier formées à froid CCTB 01.04</w:t>
      </w:r>
      <w:bookmarkEnd w:id="1303"/>
    </w:p>
    <w:p w14:paraId="6AC6248F" w14:textId="77777777" w:rsidR="00DB2B68" w:rsidRDefault="00000000">
      <w:pPr>
        <w:pStyle w:val="Author-eSectionHeading5Numberless"/>
      </w:pPr>
      <w:bookmarkStart w:id="1304" w:name="_Toc220496317"/>
      <w:r>
        <w:t>23.21.3 Structures en acier inoxydable laminées à chaud CCTB 01.04</w:t>
      </w:r>
      <w:bookmarkEnd w:id="1304"/>
    </w:p>
    <w:p w14:paraId="4E758440" w14:textId="77777777" w:rsidR="00DB2B68" w:rsidRDefault="00000000">
      <w:pPr>
        <w:pStyle w:val="Author-eSectionHeading6Numberless"/>
      </w:pPr>
      <w:bookmarkStart w:id="1305" w:name="_Toc220496318"/>
      <w:r>
        <w:t>23.21.3a Charpentes en acier inoxydable laminées à chaud CCTB 01.04</w:t>
      </w:r>
      <w:bookmarkEnd w:id="1305"/>
    </w:p>
    <w:p w14:paraId="0D5F604C" w14:textId="77777777" w:rsidR="00DB2B68" w:rsidRDefault="00000000">
      <w:pPr>
        <w:pStyle w:val="pheading"/>
      </w:pPr>
      <w:r>
        <w:t>MESURAGE</w:t>
      </w:r>
    </w:p>
    <w:p w14:paraId="1EFDFD4E" w14:textId="77777777" w:rsidR="00DB2B68" w:rsidRDefault="00DB2B68"/>
    <w:p w14:paraId="10EB6DEF" w14:textId="77777777" w:rsidR="00DB2B68" w:rsidRDefault="00000000">
      <w:pPr>
        <w:pStyle w:val="Author-eSectionHeading6Numberless"/>
      </w:pPr>
      <w:bookmarkStart w:id="1306" w:name="_Toc220496319"/>
      <w:r>
        <w:t>23.21.3b Portiques en acier inoxydable laminés à chaud CCTB 01.04</w:t>
      </w:r>
      <w:bookmarkEnd w:id="1306"/>
    </w:p>
    <w:p w14:paraId="32E52013" w14:textId="77777777" w:rsidR="00DB2B68" w:rsidRDefault="00000000">
      <w:pPr>
        <w:pStyle w:val="Author-eSectionHeading6Numberless"/>
      </w:pPr>
      <w:bookmarkStart w:id="1307" w:name="_Toc220496320"/>
      <w:r>
        <w:t>23.21.3c Arcs en acier inoxydable laminés à chaud CCTB 01.04</w:t>
      </w:r>
      <w:bookmarkEnd w:id="1307"/>
    </w:p>
    <w:p w14:paraId="1B0C3FDD" w14:textId="77777777" w:rsidR="00DB2B68" w:rsidRDefault="00000000">
      <w:pPr>
        <w:pStyle w:val="pheading"/>
      </w:pPr>
      <w:r>
        <w:t>MESURAGE</w:t>
      </w:r>
    </w:p>
    <w:p w14:paraId="3FFAB549" w14:textId="77777777" w:rsidR="00DB2B68" w:rsidRDefault="00DB2B68"/>
    <w:p w14:paraId="10098D9C" w14:textId="77777777" w:rsidR="00DB2B68" w:rsidRDefault="00000000">
      <w:pPr>
        <w:pStyle w:val="Author-eSectionHeading6Numberless"/>
      </w:pPr>
      <w:bookmarkStart w:id="1308" w:name="_Toc220496321"/>
      <w:r>
        <w:t>23.21.3d Potences en acier inoxydable laminées à chaud CCTB 01.04</w:t>
      </w:r>
      <w:bookmarkEnd w:id="1308"/>
    </w:p>
    <w:p w14:paraId="598A5636" w14:textId="77777777" w:rsidR="00DB2B68" w:rsidRDefault="00000000">
      <w:pPr>
        <w:pStyle w:val="Author-eSectionHeading5Numberless"/>
      </w:pPr>
      <w:bookmarkStart w:id="1309" w:name="_Toc220496322"/>
      <w:r>
        <w:t>23.21.4 Structures en acier inoxydable formées à froid CCTB 01.04</w:t>
      </w:r>
      <w:bookmarkEnd w:id="1309"/>
    </w:p>
    <w:p w14:paraId="2B1A4CD4" w14:textId="77777777" w:rsidR="00DB2B68" w:rsidRDefault="00000000">
      <w:pPr>
        <w:pStyle w:val="Author-eSectionHeading6Numberless"/>
      </w:pPr>
      <w:bookmarkStart w:id="1310" w:name="_Toc220496323"/>
      <w:r>
        <w:t>23.21.4a Charpentes en acier inoxydable formées à froid CCTB 01.04</w:t>
      </w:r>
      <w:bookmarkEnd w:id="1310"/>
    </w:p>
    <w:p w14:paraId="2B023A7B" w14:textId="77777777" w:rsidR="00DB2B68" w:rsidRDefault="00000000">
      <w:pPr>
        <w:pStyle w:val="pheading"/>
      </w:pPr>
      <w:r>
        <w:t>MESURAGE</w:t>
      </w:r>
    </w:p>
    <w:p w14:paraId="0F8A55E1" w14:textId="77777777" w:rsidR="00DB2B68" w:rsidRDefault="00DB2B68"/>
    <w:p w14:paraId="490D605F" w14:textId="77777777" w:rsidR="00DB2B68" w:rsidRDefault="00000000">
      <w:pPr>
        <w:pStyle w:val="Author-eSectionHeading6Numberless"/>
      </w:pPr>
      <w:bookmarkStart w:id="1311" w:name="_Toc220496324"/>
      <w:r>
        <w:t>23.21.4b Portiques en acier inoxydable formés à froid CCTB 01.04</w:t>
      </w:r>
      <w:bookmarkEnd w:id="1311"/>
    </w:p>
    <w:p w14:paraId="2136E8DE" w14:textId="77777777" w:rsidR="00DB2B68" w:rsidRDefault="00000000">
      <w:pPr>
        <w:pStyle w:val="Author-eSectionHeading6Numberless"/>
      </w:pPr>
      <w:bookmarkStart w:id="1312" w:name="_Toc220496325"/>
      <w:r>
        <w:t>23.21.4c Arcs en acier inoxydable formés à froid CCTB 01.04</w:t>
      </w:r>
      <w:bookmarkEnd w:id="1312"/>
    </w:p>
    <w:p w14:paraId="529043A5" w14:textId="77777777" w:rsidR="00DB2B68" w:rsidRDefault="00000000">
      <w:pPr>
        <w:pStyle w:val="pheading"/>
      </w:pPr>
      <w:r>
        <w:t>MESURAGE</w:t>
      </w:r>
    </w:p>
    <w:p w14:paraId="037FF739" w14:textId="77777777" w:rsidR="00DB2B68" w:rsidRDefault="00DB2B68"/>
    <w:p w14:paraId="5F3BF6DC" w14:textId="77777777" w:rsidR="00DB2B68" w:rsidRDefault="00000000">
      <w:pPr>
        <w:pStyle w:val="Author-eSectionHeading6Numberless"/>
      </w:pPr>
      <w:bookmarkStart w:id="1313" w:name="_Toc220496326"/>
      <w:r>
        <w:t>23.21.4d Potences en acier inoxydable formées à froid CCTB 01.04</w:t>
      </w:r>
      <w:bookmarkEnd w:id="1313"/>
    </w:p>
    <w:p w14:paraId="1A7A35C2" w14:textId="77777777" w:rsidR="00DB2B68" w:rsidRDefault="00000000">
      <w:pPr>
        <w:pStyle w:val="Author-eSectionHeading5Numberless"/>
      </w:pPr>
      <w:bookmarkStart w:id="1314" w:name="_Toc220496327"/>
      <w:r>
        <w:lastRenderedPageBreak/>
        <w:t>23.21.5 Structures en aluminium CCTB 01.04</w:t>
      </w:r>
      <w:bookmarkEnd w:id="1314"/>
    </w:p>
    <w:p w14:paraId="5D6D132A" w14:textId="77777777" w:rsidR="00DB2B68" w:rsidRDefault="00000000">
      <w:pPr>
        <w:pStyle w:val="Author-eSectionHeading6Numberless"/>
      </w:pPr>
      <w:bookmarkStart w:id="1315" w:name="_Toc220496328"/>
      <w:r>
        <w:t>23.21.5a Charpentes en aluminium CCTB 01.04</w:t>
      </w:r>
      <w:bookmarkEnd w:id="1315"/>
    </w:p>
    <w:p w14:paraId="3C851B3C" w14:textId="77777777" w:rsidR="00DB2B68" w:rsidRDefault="00000000">
      <w:pPr>
        <w:pStyle w:val="pheading"/>
      </w:pPr>
      <w:r>
        <w:t>MESURAGE</w:t>
      </w:r>
    </w:p>
    <w:p w14:paraId="597292A1" w14:textId="77777777" w:rsidR="00DB2B68" w:rsidRDefault="00DB2B68"/>
    <w:p w14:paraId="1B700F6B" w14:textId="77777777" w:rsidR="00DB2B68" w:rsidRDefault="00000000">
      <w:pPr>
        <w:pStyle w:val="Author-eSectionHeading6Numberless"/>
      </w:pPr>
      <w:bookmarkStart w:id="1316" w:name="_Toc220496329"/>
      <w:r>
        <w:t>23.21.5b Portiques en aluminium CCTB 01.04</w:t>
      </w:r>
      <w:bookmarkEnd w:id="1316"/>
    </w:p>
    <w:p w14:paraId="350C490C" w14:textId="77777777" w:rsidR="00DB2B68" w:rsidRDefault="00000000">
      <w:pPr>
        <w:pStyle w:val="Author-eSectionHeading6Numberless"/>
      </w:pPr>
      <w:bookmarkStart w:id="1317" w:name="_Toc220496330"/>
      <w:r>
        <w:t>23.21.5c Arcs en aluminium CCTB 01.04</w:t>
      </w:r>
      <w:bookmarkEnd w:id="1317"/>
    </w:p>
    <w:p w14:paraId="335B2EA5" w14:textId="77777777" w:rsidR="00DB2B68" w:rsidRDefault="00000000">
      <w:pPr>
        <w:pStyle w:val="pheading"/>
      </w:pPr>
      <w:r>
        <w:t>MESURAGE</w:t>
      </w:r>
    </w:p>
    <w:p w14:paraId="4C194F40" w14:textId="77777777" w:rsidR="00DB2B68" w:rsidRDefault="00DB2B68"/>
    <w:p w14:paraId="020225E4" w14:textId="77777777" w:rsidR="00DB2B68" w:rsidRDefault="00000000">
      <w:pPr>
        <w:pStyle w:val="Author-eSectionHeading6Numberless"/>
      </w:pPr>
      <w:bookmarkStart w:id="1318" w:name="_Toc220496331"/>
      <w:r>
        <w:t>23.21.5d Potences en aluminium CCTB 01.04</w:t>
      </w:r>
      <w:bookmarkEnd w:id="1318"/>
    </w:p>
    <w:p w14:paraId="277454ED" w14:textId="77777777" w:rsidR="00DB2B68" w:rsidRDefault="00000000">
      <w:pPr>
        <w:pStyle w:val="Author-eSectionHeading4Numberless"/>
      </w:pPr>
      <w:bookmarkStart w:id="1319" w:name="_Toc220496332"/>
      <w:r>
        <w:t>23.22 Planchers métalliques CCTB 01.04</w:t>
      </w:r>
      <w:bookmarkEnd w:id="1319"/>
    </w:p>
    <w:p w14:paraId="34EACB50" w14:textId="77777777" w:rsidR="00DB2B68" w:rsidRDefault="00000000">
      <w:pPr>
        <w:pStyle w:val="Author-eSectionHeading5Numberless"/>
      </w:pPr>
      <w:bookmarkStart w:id="1320" w:name="_Toc220496333"/>
      <w:r>
        <w:t>23.22.1 Planchers non collaborants métalliques CCTB 01.04</w:t>
      </w:r>
      <w:bookmarkEnd w:id="1320"/>
    </w:p>
    <w:p w14:paraId="2E8683EC" w14:textId="77777777" w:rsidR="00DB2B68" w:rsidRDefault="00000000">
      <w:pPr>
        <w:pStyle w:val="Author-eSectionHeading6Numberless"/>
      </w:pPr>
      <w:bookmarkStart w:id="1321" w:name="_Toc220496334"/>
      <w:r>
        <w:t>23.22.1a Planchers non collaborants en acier CCTB 01.04</w:t>
      </w:r>
      <w:bookmarkEnd w:id="1321"/>
    </w:p>
    <w:p w14:paraId="797FAFA0" w14:textId="77777777" w:rsidR="00DB2B68" w:rsidRDefault="00000000">
      <w:pPr>
        <w:pStyle w:val="Author-eSectionHeading6Numberless"/>
      </w:pPr>
      <w:bookmarkStart w:id="1322" w:name="_Toc220496335"/>
      <w:r>
        <w:t>23.22.1b Planchers non collaborants en acier inoxydable CCTB 01.04</w:t>
      </w:r>
      <w:bookmarkEnd w:id="1322"/>
    </w:p>
    <w:p w14:paraId="3281847D" w14:textId="77777777" w:rsidR="00DB2B68" w:rsidRDefault="00000000">
      <w:pPr>
        <w:pStyle w:val="Author-eSectionHeading5Numberless"/>
      </w:pPr>
      <w:bookmarkStart w:id="1323" w:name="_Toc220496336"/>
      <w:r>
        <w:t>23.22.2 Planchers collaborants métalliques CCTB 01.04</w:t>
      </w:r>
      <w:bookmarkEnd w:id="1323"/>
    </w:p>
    <w:p w14:paraId="2DC47086" w14:textId="77777777" w:rsidR="00DB2B68" w:rsidRDefault="00000000">
      <w:pPr>
        <w:pStyle w:val="Author-eSectionHeading6Numberless"/>
      </w:pPr>
      <w:bookmarkStart w:id="1324" w:name="_Toc220496337"/>
      <w:r>
        <w:t>23.22.2a Planchers collaborants en acier-béton CCTB 01.04</w:t>
      </w:r>
      <w:bookmarkEnd w:id="1324"/>
    </w:p>
    <w:p w14:paraId="641D9899" w14:textId="77777777" w:rsidR="00DB2B68" w:rsidRDefault="00000000">
      <w:pPr>
        <w:pStyle w:val="pheading"/>
      </w:pPr>
      <w:r>
        <w:t>DESCRIPTION</w:t>
      </w:r>
    </w:p>
    <w:p w14:paraId="5E741034" w14:textId="77777777" w:rsidR="00DB2B68" w:rsidRDefault="00000000">
      <w:pPr>
        <w:pStyle w:val="pheading"/>
      </w:pPr>
      <w:r>
        <w:t>- Définition / Comprend</w:t>
      </w:r>
    </w:p>
    <w:p w14:paraId="259E86F0" w14:textId="77777777" w:rsidR="00DB2B68" w:rsidRDefault="00000000">
      <w:r>
        <w:t xml:space="preserve">Renvoi au </w:t>
      </w:r>
      <w:hyperlink w:anchor="554" w:history="1">
        <w:r>
          <w:rPr>
            <w:color w:val="0000EE"/>
          </w:rPr>
          <w:t>22.22.2b Planchers mixtes acier-béton avec plaques nervurées en acier</w:t>
        </w:r>
      </w:hyperlink>
    </w:p>
    <w:p w14:paraId="4DAB7C2E" w14:textId="77777777" w:rsidR="00DB2B68" w:rsidRDefault="00000000">
      <w:pPr>
        <w:pStyle w:val="Author-eSectionHeading5Numberless"/>
      </w:pPr>
      <w:bookmarkStart w:id="1325" w:name="_Toc220496338"/>
      <w:r>
        <w:t>23.22.3 Planchers à poutrelles en acier et entrevous CCTB 01.04</w:t>
      </w:r>
      <w:bookmarkEnd w:id="1325"/>
    </w:p>
    <w:p w14:paraId="46C7C621" w14:textId="77777777" w:rsidR="00DB2B68" w:rsidRDefault="00000000">
      <w:pPr>
        <w:pStyle w:val="Author-eSectionHeading6Numberless"/>
      </w:pPr>
      <w:bookmarkStart w:id="1326" w:name="_Toc220496339"/>
      <w:r>
        <w:t>23.22.3a Planchers à poutrelles en acier et entrevous en béton CCTB 01.04</w:t>
      </w:r>
      <w:bookmarkEnd w:id="1326"/>
    </w:p>
    <w:p w14:paraId="7908BC86" w14:textId="77777777" w:rsidR="00DB2B68" w:rsidRDefault="00000000">
      <w:pPr>
        <w:pStyle w:val="Author-eSectionHeading6Numberless"/>
      </w:pPr>
      <w:bookmarkStart w:id="1327" w:name="_Toc220496340"/>
      <w:r>
        <w:t>23.22.3b Planchers à poutrelles en acier et entrevous en terre cuite CCTB 01.04</w:t>
      </w:r>
      <w:bookmarkEnd w:id="1327"/>
    </w:p>
    <w:p w14:paraId="5F354708" w14:textId="77777777" w:rsidR="00DB2B68" w:rsidRDefault="00000000">
      <w:pPr>
        <w:pStyle w:val="Author-eSectionHeading6Numberless"/>
      </w:pPr>
      <w:bookmarkStart w:id="1328" w:name="_Toc220496341"/>
      <w:r>
        <w:t>23.22.3c Planchers à poutrelles en acier et entrevous en polystyrène CCTB 01.12</w:t>
      </w:r>
      <w:bookmarkEnd w:id="1328"/>
    </w:p>
    <w:p w14:paraId="19F2DC8B" w14:textId="77777777" w:rsidR="00DB2B68" w:rsidRDefault="00000000">
      <w:pPr>
        <w:pStyle w:val="pheading"/>
      </w:pPr>
      <w:r>
        <w:t>DESCRIPTION</w:t>
      </w:r>
    </w:p>
    <w:p w14:paraId="150383C9" w14:textId="77777777" w:rsidR="00DB2B68" w:rsidRDefault="00000000">
      <w:pPr>
        <w:pStyle w:val="pheading"/>
      </w:pPr>
      <w:r>
        <w:t>- Définition / Comprend</w:t>
      </w:r>
    </w:p>
    <w:p w14:paraId="42E36DD7" w14:textId="77777777" w:rsidR="00DB2B68" w:rsidRDefault="00000000">
      <w:pPr>
        <w:jc w:val="both"/>
      </w:pPr>
      <w:r>
        <w:t>Il s’agit de la fourniture et de la pose de plancher à poutrelles en treillis métallique dont la partie basse est enrobée dans un talon en mousse de polyuréthanne, protégées par une gaine en tôle d’acier galvanisée, d'entrevous en polystyrène et d'une couche de compression en béton armé coulée sur place.</w:t>
      </w:r>
    </w:p>
    <w:p w14:paraId="29F9B74F" w14:textId="77777777" w:rsidR="00DB2B68" w:rsidRDefault="00000000">
      <w:pPr>
        <w:pStyle w:val="pheading"/>
      </w:pPr>
      <w:r>
        <w:t>- Localisation</w:t>
      </w:r>
    </w:p>
    <w:p w14:paraId="6BFA223F" w14:textId="77777777" w:rsidR="00DB2B68" w:rsidRDefault="00000000">
      <w:r>
        <w:t xml:space="preserve">Localisation des travaux : </w:t>
      </w:r>
      <w:r>
        <w:rPr>
          <w:rStyle w:val="optioncarChar"/>
        </w:rPr>
        <w:t>***</w:t>
      </w:r>
    </w:p>
    <w:p w14:paraId="7600AED7" w14:textId="77777777" w:rsidR="00DB2B68" w:rsidRDefault="00000000">
      <w:r>
        <w:t>Voir plans et métrés détaillés.</w:t>
      </w:r>
    </w:p>
    <w:p w14:paraId="134053F0" w14:textId="77777777" w:rsidR="00DB2B68" w:rsidRDefault="00000000">
      <w:pPr>
        <w:pStyle w:val="pheading"/>
      </w:pPr>
      <w:r>
        <w:t>MATÉRIAUX</w:t>
      </w:r>
    </w:p>
    <w:p w14:paraId="25E0CBF8" w14:textId="77777777" w:rsidR="00DB2B68" w:rsidRDefault="00000000">
      <w:pPr>
        <w:pStyle w:val="pheading"/>
      </w:pPr>
      <w:r>
        <w:t>- Caractéristiques générales</w:t>
      </w:r>
    </w:p>
    <w:p w14:paraId="3BFDC242" w14:textId="77777777" w:rsidR="00DB2B68" w:rsidRDefault="00000000">
      <w:pPr>
        <w:jc w:val="both"/>
      </w:pPr>
      <w:r>
        <w:t xml:space="preserve">Épaisseur du plancher (depuis le dessous de la poutrelle jusqu’à la couche de compression) : </w:t>
      </w:r>
      <w:r>
        <w:rPr>
          <w:rStyle w:val="optioncarChar"/>
        </w:rPr>
        <w:t xml:space="preserve">17 / 18 </w:t>
      </w:r>
      <w:r>
        <w:t>(par défaut)</w:t>
      </w:r>
      <w:r>
        <w:rPr>
          <w:rStyle w:val="optioncarChar"/>
        </w:rPr>
        <w:t xml:space="preserve"> / 20 / 25 / ***</w:t>
      </w:r>
      <w:r>
        <w:t xml:space="preserve"> cm</w:t>
      </w:r>
    </w:p>
    <w:p w14:paraId="11123DAA" w14:textId="77777777" w:rsidR="00DB2B68" w:rsidRDefault="00000000">
      <w:pPr>
        <w:jc w:val="both"/>
      </w:pPr>
      <w:r>
        <w:rPr>
          <w:b/>
        </w:rPr>
        <w:t>Poutrelles</w:t>
      </w:r>
    </w:p>
    <w:p w14:paraId="03D45484" w14:textId="77777777" w:rsidR="00DB2B68" w:rsidRDefault="00000000">
      <w:pPr>
        <w:jc w:val="both"/>
      </w:pPr>
      <w:r>
        <w:lastRenderedPageBreak/>
        <w:t xml:space="preserve">La mousse de PUR est réalisée suivant une formulation </w:t>
      </w:r>
      <w:r>
        <w:rPr>
          <w:rStyle w:val="optioncarChar"/>
        </w:rPr>
        <w:t>dite « standard » / bénéficiant d’un classement B-s3-d0</w:t>
      </w:r>
      <w:r>
        <w:t>.</w:t>
      </w:r>
    </w:p>
    <w:p w14:paraId="03BAF072" w14:textId="77777777" w:rsidR="00DB2B68" w:rsidRDefault="00000000">
      <w:pPr>
        <w:jc w:val="both"/>
      </w:pPr>
      <w:r>
        <w:t>L'entraxe standard des poutrelles est de 60 cm et la hauteur des planchers varie de 12+5cm à 25+10cm suivant les charges et la portée.</w:t>
      </w:r>
    </w:p>
    <w:p w14:paraId="35A70A80" w14:textId="77777777" w:rsidR="00DB2B68" w:rsidRDefault="00000000">
      <w:pPr>
        <w:jc w:val="both"/>
      </w:pPr>
      <w:r>
        <w:t>L’utilisation du procédé pour la réalisation de planchers largement ouverts sur l’extérieur (par exemple balcons et terrasse sur pilotis) est exclue.</w:t>
      </w:r>
    </w:p>
    <w:p w14:paraId="644A961B" w14:textId="77777777" w:rsidR="00DB2B68" w:rsidRDefault="00000000">
      <w:pPr>
        <w:jc w:val="both"/>
      </w:pPr>
      <w:r>
        <w:t>Dans la mesure où la partie basse des poutrelles (enrobage du talon en mousse de polyuréthanne) n’est pas prévue pour contribuer à la stabilité en cas d’incendie, une protection rapportée bénéficiant d’un PV de résistance au feu doit obligatoirement être mise en œuvre pour assurer la résistance du plancher.</w:t>
      </w:r>
    </w:p>
    <w:p w14:paraId="1C6D8033" w14:textId="77777777" w:rsidR="00DB2B68" w:rsidRDefault="00000000">
      <w:pPr>
        <w:jc w:val="both"/>
      </w:pPr>
      <w:r>
        <w:t>Les poutrelles peuvent être renforcées par l’adjonction de ferraillage supplémentaire.</w:t>
      </w:r>
    </w:p>
    <w:p w14:paraId="2FDBD7B4" w14:textId="77777777" w:rsidR="00DB2B68" w:rsidRDefault="00000000">
      <w:pPr>
        <w:jc w:val="both"/>
      </w:pPr>
      <w:r>
        <w:rPr>
          <w:b/>
        </w:rPr>
        <w:t>Entrevous</w:t>
      </w:r>
    </w:p>
    <w:p w14:paraId="1FEEF08E" w14:textId="77777777" w:rsidR="00DB2B68" w:rsidRDefault="00000000">
      <w:pPr>
        <w:jc w:val="both"/>
      </w:pPr>
      <w:r>
        <w:t>Les entrevous en polystyrène sont fabriqués en matériaux légers constitués de polystyrène expansé (EPS) de qualité autoextinguible SE, suffisamment rigides pour résister aux déformations pendant le bétonnage et le durcissement. Ils ne peuvent pas contenir de matériaux qui risquent d'être attaqués par les insectes ou les micro-organismes. </w:t>
      </w:r>
    </w:p>
    <w:p w14:paraId="2C8F3B19" w14:textId="77777777" w:rsidR="00DB2B68" w:rsidRDefault="00000000">
      <w:pPr>
        <w:jc w:val="both"/>
      </w:pPr>
      <w:r>
        <w:t>Les entrevous doivent être conforme à la [NBN EN 15037-4+A1].</w:t>
      </w:r>
    </w:p>
    <w:p w14:paraId="0DDAFAD0" w14:textId="77777777" w:rsidR="00DB2B68" w:rsidRDefault="00000000">
      <w:pPr>
        <w:jc w:val="both"/>
      </w:pPr>
      <w:r>
        <w:t xml:space="preserve">Type : </w:t>
      </w:r>
      <w:r>
        <w:rPr>
          <w:rStyle w:val="optioncarChar"/>
        </w:rPr>
        <w:t>plein monobloc / décaissé / avec semelle d’isolant complémentaire sous poutrelle</w:t>
      </w:r>
    </w:p>
    <w:p w14:paraId="24D4B10A" w14:textId="77777777" w:rsidR="00DB2B68" w:rsidRDefault="00DB2B68">
      <w:pPr>
        <w:jc w:val="both"/>
      </w:pPr>
    </w:p>
    <w:p w14:paraId="0E989E4F" w14:textId="77777777" w:rsidR="00DB2B68" w:rsidRDefault="00000000">
      <w:pPr>
        <w:jc w:val="both"/>
      </w:pPr>
      <w:r>
        <w:t>Classement au feu :</w:t>
      </w:r>
      <w:r>
        <w:rPr>
          <w:rStyle w:val="optioncarChar"/>
        </w:rPr>
        <w:t> E</w:t>
      </w:r>
      <w:r>
        <w:t> (par défaut)</w:t>
      </w:r>
      <w:r>
        <w:rPr>
          <w:rStyle w:val="optioncarChar"/>
        </w:rPr>
        <w:t xml:space="preserve"> / ***</w:t>
      </w:r>
    </w:p>
    <w:p w14:paraId="0FFDEFBB" w14:textId="77777777" w:rsidR="00DB2B68" w:rsidRDefault="00DB2B68">
      <w:pPr>
        <w:jc w:val="both"/>
      </w:pPr>
    </w:p>
    <w:p w14:paraId="1BE280CC" w14:textId="77777777" w:rsidR="00DB2B68" w:rsidRDefault="00000000">
      <w:pPr>
        <w:jc w:val="both"/>
      </w:pPr>
      <w:r>
        <w:t>Épaisseur : </w:t>
      </w:r>
      <w:r>
        <w:rPr>
          <w:rStyle w:val="optioncarChar"/>
        </w:rPr>
        <w:t>8 </w:t>
      </w:r>
      <w:r>
        <w:t>(par défaut) </w:t>
      </w:r>
      <w:r>
        <w:rPr>
          <w:rStyle w:val="optioncarChar"/>
        </w:rPr>
        <w:t>/ 12 / 16 / 20 / 25</w:t>
      </w:r>
      <w:r>
        <w:t> </w:t>
      </w:r>
      <w:r>
        <w:rPr>
          <w:rStyle w:val="optioncarChar"/>
        </w:rPr>
        <w:t>/ ***</w:t>
      </w:r>
      <w:r>
        <w:t xml:space="preserve"> cm.</w:t>
      </w:r>
    </w:p>
    <w:p w14:paraId="5B73DDDC" w14:textId="77777777" w:rsidR="00DB2B68" w:rsidRDefault="00DB2B68">
      <w:pPr>
        <w:jc w:val="both"/>
      </w:pPr>
    </w:p>
    <w:p w14:paraId="07133344" w14:textId="77777777" w:rsidR="00DB2B68" w:rsidRDefault="00000000">
      <w:pPr>
        <w:jc w:val="both"/>
      </w:pPr>
      <w:r>
        <w:t xml:space="preserve">Épaisseur minimale de la languette isolante sous poutrelle : </w:t>
      </w:r>
      <w:r>
        <w:rPr>
          <w:rStyle w:val="optioncarChar"/>
        </w:rPr>
        <w:t>0 / 3 / 6 / 9</w:t>
      </w:r>
      <w:r>
        <w:t xml:space="preserve"> (par défaut)</w:t>
      </w:r>
      <w:r>
        <w:rPr>
          <w:rStyle w:val="optioncarChar"/>
        </w:rPr>
        <w:t xml:space="preserve"> / 12 / 18 / ***</w:t>
      </w:r>
      <w:r>
        <w:t xml:space="preserve"> cm</w:t>
      </w:r>
    </w:p>
    <w:p w14:paraId="06A2723A" w14:textId="77777777" w:rsidR="00DB2B68" w:rsidRDefault="00000000">
      <w:pPr>
        <w:jc w:val="both"/>
      </w:pPr>
      <w:r>
        <w:t xml:space="preserve">Résistance thermique du plancher  supérieure ou égale à : </w:t>
      </w:r>
      <w:r>
        <w:rPr>
          <w:rStyle w:val="optioncarChar"/>
        </w:rPr>
        <w:t>2 / 3 / 4</w:t>
      </w:r>
      <w:r>
        <w:t> (par défaut)</w:t>
      </w:r>
      <w:r>
        <w:rPr>
          <w:rStyle w:val="optioncarChar"/>
        </w:rPr>
        <w:t xml:space="preserve"> / ***</w:t>
      </w:r>
      <w:r>
        <w:t xml:space="preserve"> m²K/W. </w:t>
      </w:r>
    </w:p>
    <w:p w14:paraId="2104C93A" w14:textId="77777777" w:rsidR="00DB2B68" w:rsidRDefault="00000000">
      <w:pPr>
        <w:jc w:val="both"/>
      </w:pPr>
      <w:r>
        <w:rPr>
          <w:b/>
        </w:rPr>
        <w:t>Couche de compression</w:t>
      </w:r>
    </w:p>
    <w:p w14:paraId="4FA88BB6" w14:textId="77777777" w:rsidR="00DB2B68" w:rsidRDefault="00000000">
      <w:pPr>
        <w:pStyle w:val="Author-eListParagraph"/>
        <w:numPr>
          <w:ilvl w:val="0"/>
          <w:numId w:val="698"/>
        </w:numPr>
      </w:pPr>
      <w:r>
        <w:t>Épaisseur de la couche de compression : supérieure ou égale à</w:t>
      </w:r>
      <w:r>
        <w:rPr>
          <w:rStyle w:val="optioncarChar"/>
        </w:rPr>
        <w:t xml:space="preserve"> 5 </w:t>
      </w:r>
      <w:r>
        <w:t xml:space="preserve">(par défaut) </w:t>
      </w:r>
      <w:r>
        <w:rPr>
          <w:rStyle w:val="optioncarChar"/>
        </w:rPr>
        <w:t>/ 6 / 7 / ***</w:t>
      </w:r>
      <w:r>
        <w:t xml:space="preserve"> cm au-dessus des entrevous.</w:t>
      </w:r>
    </w:p>
    <w:p w14:paraId="1004B690" w14:textId="77777777" w:rsidR="00DB2B68" w:rsidRDefault="00000000">
      <w:pPr>
        <w:pStyle w:val="Author-eListParagraph"/>
        <w:numPr>
          <w:ilvl w:val="0"/>
          <w:numId w:val="698"/>
        </w:numPr>
      </w:pPr>
      <w:r>
        <w:t xml:space="preserve">La qualité du béton selon la [NBN EN 206:2013+A2] et [NBN B 15-001] est fonction de l'épaisseur de la couche de compression (voir également </w:t>
      </w:r>
      <w:hyperlink w:anchor="87" w:history="1">
        <w:r>
          <w:rPr>
            <w:color w:val="0000EE"/>
          </w:rPr>
          <w:t>22 Superstructures en béton</w:t>
        </w:r>
      </w:hyperlink>
      <w:r>
        <w:t>).</w:t>
      </w:r>
    </w:p>
    <w:tbl>
      <w:tblPr>
        <w:tblStyle w:val="Author-eTableGrid"/>
        <w:tblW w:w="9030" w:type="dxa"/>
        <w:tblLayout w:type="fixed"/>
        <w:tblLook w:val="04A0" w:firstRow="1" w:lastRow="0" w:firstColumn="1" w:lastColumn="0" w:noHBand="0" w:noVBand="1"/>
      </w:tblPr>
      <w:tblGrid>
        <w:gridCol w:w="1130"/>
        <w:gridCol w:w="1357"/>
        <w:gridCol w:w="1749"/>
        <w:gridCol w:w="1462"/>
        <w:gridCol w:w="1523"/>
        <w:gridCol w:w="1809"/>
      </w:tblGrid>
      <w:tr w:rsidR="00DB2B68" w14:paraId="2B289948" w14:textId="77777777">
        <w:tc>
          <w:tcPr>
            <w:tcW w:w="1125" w:type="dxa"/>
            <w:noWrap/>
          </w:tcPr>
          <w:p w14:paraId="1FDC65F1" w14:textId="77777777" w:rsidR="00DB2B68" w:rsidRDefault="00000000">
            <w:pPr>
              <w:jc w:val="center"/>
            </w:pPr>
            <w:r>
              <w:rPr>
                <w:b/>
              </w:rPr>
              <w:t>A</w:t>
            </w:r>
          </w:p>
        </w:tc>
        <w:tc>
          <w:tcPr>
            <w:tcW w:w="1350" w:type="dxa"/>
            <w:noWrap/>
          </w:tcPr>
          <w:p w14:paraId="653F87CB" w14:textId="77777777" w:rsidR="00DB2B68" w:rsidRDefault="00000000">
            <w:pPr>
              <w:jc w:val="center"/>
            </w:pPr>
            <w:r>
              <w:rPr>
                <w:b/>
              </w:rPr>
              <w:t>B1</w:t>
            </w:r>
          </w:p>
        </w:tc>
        <w:tc>
          <w:tcPr>
            <w:tcW w:w="1740" w:type="dxa"/>
            <w:noWrap/>
          </w:tcPr>
          <w:p w14:paraId="51496E42" w14:textId="77777777" w:rsidR="00DB2B68" w:rsidRDefault="00000000">
            <w:pPr>
              <w:jc w:val="center"/>
            </w:pPr>
            <w:r>
              <w:rPr>
                <w:b/>
              </w:rPr>
              <w:t>B2</w:t>
            </w:r>
          </w:p>
        </w:tc>
        <w:tc>
          <w:tcPr>
            <w:tcW w:w="1455" w:type="dxa"/>
            <w:noWrap/>
          </w:tcPr>
          <w:p w14:paraId="0917A8F4" w14:textId="77777777" w:rsidR="00DB2B68" w:rsidRDefault="00000000">
            <w:pPr>
              <w:jc w:val="center"/>
            </w:pPr>
            <w:r>
              <w:rPr>
                <w:b/>
              </w:rPr>
              <w:t>C</w:t>
            </w:r>
          </w:p>
        </w:tc>
        <w:tc>
          <w:tcPr>
            <w:tcW w:w="1515" w:type="dxa"/>
            <w:noWrap/>
          </w:tcPr>
          <w:p w14:paraId="6BB95D59" w14:textId="77777777" w:rsidR="00DB2B68" w:rsidRDefault="00000000">
            <w:pPr>
              <w:jc w:val="center"/>
            </w:pPr>
            <w:r>
              <w:rPr>
                <w:b/>
              </w:rPr>
              <w:t>D</w:t>
            </w:r>
          </w:p>
        </w:tc>
        <w:tc>
          <w:tcPr>
            <w:tcW w:w="1800" w:type="dxa"/>
            <w:noWrap/>
          </w:tcPr>
          <w:p w14:paraId="413F0ED3" w14:textId="77777777" w:rsidR="00DB2B68" w:rsidRDefault="00000000">
            <w:pPr>
              <w:jc w:val="center"/>
            </w:pPr>
            <w:r>
              <w:rPr>
                <w:b/>
              </w:rPr>
              <w:t>E</w:t>
            </w:r>
          </w:p>
        </w:tc>
      </w:tr>
      <w:tr w:rsidR="00DB2B68" w14:paraId="0E0E04AC" w14:textId="77777777">
        <w:tc>
          <w:tcPr>
            <w:tcW w:w="1125" w:type="dxa"/>
            <w:noWrap/>
          </w:tcPr>
          <w:p w14:paraId="4F8D36D2" w14:textId="77777777" w:rsidR="00DB2B68" w:rsidRDefault="00000000">
            <w:pPr>
              <w:jc w:val="center"/>
            </w:pPr>
            <w:r>
              <w:rPr>
                <w:b/>
              </w:rPr>
              <w:t>Classe de résistance</w:t>
            </w:r>
          </w:p>
        </w:tc>
        <w:tc>
          <w:tcPr>
            <w:tcW w:w="1350" w:type="dxa"/>
            <w:noWrap/>
          </w:tcPr>
          <w:p w14:paraId="777D040E" w14:textId="77777777" w:rsidR="00DB2B68" w:rsidRDefault="00000000">
            <w:pPr>
              <w:jc w:val="center"/>
            </w:pPr>
            <w:r>
              <w:rPr>
                <w:b/>
              </w:rPr>
              <w:t>Domaine d’application</w:t>
            </w:r>
          </w:p>
        </w:tc>
        <w:tc>
          <w:tcPr>
            <w:tcW w:w="1740" w:type="dxa"/>
            <w:noWrap/>
          </w:tcPr>
          <w:p w14:paraId="12119143" w14:textId="77777777" w:rsidR="00DB2B68" w:rsidRDefault="00000000">
            <w:pPr>
              <w:jc w:val="center"/>
            </w:pPr>
            <w:r>
              <w:rPr>
                <w:b/>
              </w:rPr>
              <w:t>Classe d'environnement</w:t>
            </w:r>
          </w:p>
        </w:tc>
        <w:tc>
          <w:tcPr>
            <w:tcW w:w="1455" w:type="dxa"/>
            <w:noWrap/>
          </w:tcPr>
          <w:p w14:paraId="46FE7AB3" w14:textId="77777777" w:rsidR="00DB2B68" w:rsidRDefault="00000000">
            <w:pPr>
              <w:jc w:val="center"/>
            </w:pPr>
            <w:r>
              <w:rPr>
                <w:b/>
              </w:rPr>
              <w:t>Classe de consistance</w:t>
            </w:r>
          </w:p>
        </w:tc>
        <w:tc>
          <w:tcPr>
            <w:tcW w:w="1515" w:type="dxa"/>
            <w:noWrap/>
          </w:tcPr>
          <w:p w14:paraId="2BB60A2F" w14:textId="77777777" w:rsidR="00DB2B68" w:rsidRDefault="00000000">
            <w:pPr>
              <w:jc w:val="center"/>
            </w:pPr>
            <w:r>
              <w:rPr>
                <w:b/>
              </w:rPr>
              <w:t>Granulométrie maximale</w:t>
            </w:r>
          </w:p>
        </w:tc>
        <w:tc>
          <w:tcPr>
            <w:tcW w:w="1800" w:type="dxa"/>
            <w:noWrap/>
          </w:tcPr>
          <w:p w14:paraId="01B168CC" w14:textId="77777777" w:rsidR="00DB2B68" w:rsidRDefault="00000000">
            <w:pPr>
              <w:jc w:val="center"/>
            </w:pPr>
            <w:r>
              <w:rPr>
                <w:b/>
              </w:rPr>
              <w:t>Données complémentaires</w:t>
            </w:r>
          </w:p>
        </w:tc>
      </w:tr>
      <w:tr w:rsidR="00DB2B68" w14:paraId="35FAAC3A" w14:textId="77777777">
        <w:tc>
          <w:tcPr>
            <w:tcW w:w="1125" w:type="dxa"/>
            <w:noWrap/>
          </w:tcPr>
          <w:p w14:paraId="4AD5F48E" w14:textId="77777777" w:rsidR="00DB2B68" w:rsidRDefault="00000000">
            <w:pPr>
              <w:jc w:val="center"/>
            </w:pPr>
            <w:r>
              <w:rPr>
                <w:rStyle w:val="optioncarChar"/>
              </w:rPr>
              <w:t>C25/30 / C30/37 / C35/45 / C45/55 / C50/60 / C55/67 / C60/75 / C70/85 / C80/95 / C90/105</w:t>
            </w:r>
          </w:p>
        </w:tc>
        <w:tc>
          <w:tcPr>
            <w:tcW w:w="1350" w:type="dxa"/>
            <w:noWrap/>
          </w:tcPr>
          <w:p w14:paraId="0D13D3AA" w14:textId="77777777" w:rsidR="00DB2B68" w:rsidRDefault="00DB2B68"/>
          <w:p w14:paraId="4CABDFB2" w14:textId="77777777" w:rsidR="00DB2B68" w:rsidRDefault="00000000">
            <w:pPr>
              <w:jc w:val="center"/>
            </w:pPr>
            <w:r>
              <w:t>Béton armé</w:t>
            </w:r>
          </w:p>
        </w:tc>
        <w:tc>
          <w:tcPr>
            <w:tcW w:w="1740" w:type="dxa"/>
            <w:noWrap/>
          </w:tcPr>
          <w:p w14:paraId="78B19FAE" w14:textId="77777777" w:rsidR="00DB2B68" w:rsidRDefault="00DB2B68"/>
          <w:p w14:paraId="5147C541" w14:textId="77777777" w:rsidR="00DB2B68" w:rsidRDefault="00000000">
            <w:pPr>
              <w:jc w:val="center"/>
            </w:pPr>
            <w:r>
              <w:rPr>
                <w:rStyle w:val="optioncarChar"/>
              </w:rPr>
              <w:t>E0 / EI / EE1 / EE2 / EE3 / EE4 / ES1 / ES2 / ES3 / ES4 / EA1+*** / EA2+***/ EA3+***</w:t>
            </w:r>
          </w:p>
        </w:tc>
        <w:tc>
          <w:tcPr>
            <w:tcW w:w="1455" w:type="dxa"/>
            <w:noWrap/>
          </w:tcPr>
          <w:p w14:paraId="49672FF2" w14:textId="77777777" w:rsidR="00DB2B68" w:rsidRDefault="00DB2B68"/>
          <w:p w14:paraId="16A72EE2" w14:textId="77777777" w:rsidR="00DB2B68" w:rsidRDefault="00000000">
            <w:pPr>
              <w:jc w:val="center"/>
            </w:pPr>
            <w:r>
              <w:t>au choix de l'entrepreneur :</w:t>
            </w:r>
            <w:r>
              <w:br/>
            </w:r>
            <w:r>
              <w:br/>
            </w:r>
          </w:p>
          <w:p w14:paraId="26BE5105" w14:textId="77777777" w:rsidR="00DB2B68" w:rsidRDefault="00000000">
            <w:pPr>
              <w:jc w:val="center"/>
            </w:pPr>
            <w:r>
              <w:rPr>
                <w:rStyle w:val="optioncarChar"/>
              </w:rPr>
              <w:t>S3 / S4 / S5 </w:t>
            </w:r>
          </w:p>
          <w:p w14:paraId="6E36FA24" w14:textId="77777777" w:rsidR="00DB2B68" w:rsidRDefault="00000000">
            <w:pPr>
              <w:jc w:val="center"/>
            </w:pPr>
            <w:r>
              <w:br/>
            </w:r>
            <w:r>
              <w:rPr>
                <w:rStyle w:val="optioncarChar"/>
              </w:rPr>
              <w:t>F3 / F4 / F5 / F6</w:t>
            </w:r>
          </w:p>
        </w:tc>
        <w:tc>
          <w:tcPr>
            <w:tcW w:w="1515" w:type="dxa"/>
            <w:noWrap/>
          </w:tcPr>
          <w:p w14:paraId="4E27224D" w14:textId="77777777" w:rsidR="00DB2B68" w:rsidRDefault="00DB2B68"/>
          <w:p w14:paraId="4E5BBB1D" w14:textId="77777777" w:rsidR="00DB2B68" w:rsidRDefault="00000000">
            <w:pPr>
              <w:jc w:val="center"/>
            </w:pPr>
            <w:r>
              <w:t>au choix de l'entrepreneur :</w:t>
            </w:r>
            <w:r>
              <w:br/>
            </w:r>
            <w:r>
              <w:br/>
            </w:r>
          </w:p>
          <w:p w14:paraId="30262AE4" w14:textId="77777777" w:rsidR="00DB2B68" w:rsidRDefault="00000000">
            <w:pPr>
              <w:jc w:val="center"/>
            </w:pPr>
            <w:r>
              <w:rPr>
                <w:rStyle w:val="optioncarChar"/>
              </w:rPr>
              <w:t>6 / 8 / 10 / 11 / 12 / 14 / 16 / 20 / 22 / 32 </w:t>
            </w:r>
            <w:r>
              <w:t>mm</w:t>
            </w:r>
          </w:p>
        </w:tc>
        <w:tc>
          <w:tcPr>
            <w:tcW w:w="1800" w:type="dxa"/>
            <w:noWrap/>
          </w:tcPr>
          <w:p w14:paraId="4348411F" w14:textId="77777777" w:rsidR="00DB2B68" w:rsidRDefault="00DB2B68"/>
          <w:p w14:paraId="45F7295D" w14:textId="77777777" w:rsidR="00DB2B68" w:rsidRDefault="00000000">
            <w:pPr>
              <w:jc w:val="center"/>
            </w:pPr>
            <w:r>
              <w:rPr>
                <w:rStyle w:val="optioncarChar"/>
              </w:rPr>
              <w:t>***</w:t>
            </w:r>
          </w:p>
        </w:tc>
      </w:tr>
    </w:tbl>
    <w:p w14:paraId="6CAE05EF" w14:textId="77777777" w:rsidR="00DB2B68" w:rsidRDefault="00DB2B68"/>
    <w:p w14:paraId="6B268BFF" w14:textId="77777777" w:rsidR="00DB2B68" w:rsidRDefault="00DB2B68">
      <w:pPr>
        <w:jc w:val="both"/>
      </w:pPr>
    </w:p>
    <w:p w14:paraId="40D59E50" w14:textId="77777777" w:rsidR="00DB2B68" w:rsidRDefault="0000000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p>
    <w:p w14:paraId="5E273376" w14:textId="77777777" w:rsidR="00DB2B68" w:rsidRDefault="00000000">
      <w:pPr>
        <w:jc w:val="both"/>
      </w:pPr>
      <w:r>
        <w:lastRenderedPageBreak/>
        <w:t>Données complémentaires propres au béton autoplaçant (E) :</w:t>
      </w:r>
    </w:p>
    <w:p w14:paraId="20EE0BE3" w14:textId="77777777" w:rsidR="00DB2B68" w:rsidRDefault="00000000">
      <w:pPr>
        <w:pStyle w:val="Author-eListParagraph"/>
        <w:numPr>
          <w:ilvl w:val="0"/>
          <w:numId w:val="699"/>
        </w:numPr>
      </w:pPr>
      <w:r>
        <w:t xml:space="preserve">Classe de viscosité apparente : </w:t>
      </w:r>
      <w:r>
        <w:rPr>
          <w:rStyle w:val="optioncarChar"/>
        </w:rPr>
        <w:t>VS1 / VS2</w:t>
      </w:r>
      <w:r>
        <w:t xml:space="preserve"> (selon la [NBN EN 12350-8])</w:t>
      </w:r>
    </w:p>
    <w:p w14:paraId="674ACB05" w14:textId="77777777" w:rsidR="00DB2B68" w:rsidRDefault="00000000">
      <w:pPr>
        <w:pStyle w:val="Author-eListParagraph"/>
        <w:numPr>
          <w:ilvl w:val="0"/>
          <w:numId w:val="699"/>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14:paraId="3B5B6A90" w14:textId="77777777" w:rsidR="00DB2B68" w:rsidRDefault="00000000">
      <w:pPr>
        <w:pStyle w:val="Author-eListParagraph"/>
        <w:numPr>
          <w:ilvl w:val="0"/>
          <w:numId w:val="699"/>
        </w:numPr>
      </w:pPr>
      <w:r>
        <w:t xml:space="preserve">Classe de résistance à la ségrégation : </w:t>
      </w:r>
      <w:r>
        <w:rPr>
          <w:rStyle w:val="optioncarChar"/>
        </w:rPr>
        <w:t>SR1 / SR2</w:t>
      </w:r>
      <w:r>
        <w:t xml:space="preserve"> (selon la [NBN EN 12350-11])</w:t>
      </w:r>
    </w:p>
    <w:p w14:paraId="3D13F7CB" w14:textId="77777777" w:rsidR="00DB2B68" w:rsidRDefault="00000000">
      <w:pPr>
        <w:jc w:val="both"/>
      </w:pPr>
      <w:r>
        <w:t xml:space="preserve">Les armatures de la couche de compression se composent au moins d'un treillis soudé, nuance d'acier </w:t>
      </w:r>
      <w:r>
        <w:rPr>
          <w:rStyle w:val="optioncarChar"/>
        </w:rPr>
        <w:t xml:space="preserve">DE 500 S </w:t>
      </w:r>
      <w:r>
        <w:t>(par défaut)</w:t>
      </w:r>
      <w:r>
        <w:rPr>
          <w:rStyle w:val="optioncarChar"/>
        </w:rPr>
        <w:t xml:space="preserve"> / BE 500 S</w:t>
      </w:r>
      <w:r>
        <w:t>, dimensions </w:t>
      </w:r>
      <w:r>
        <w:rPr>
          <w:rStyle w:val="optioncarChar"/>
        </w:rPr>
        <w:t>150 x 150 x 6 x 6 </w:t>
      </w:r>
      <w:r>
        <w:t>(par défaut)</w:t>
      </w:r>
      <w:r>
        <w:rPr>
          <w:rStyle w:val="optioncarChar"/>
        </w:rPr>
        <w:t xml:space="preserve"> / ***x***x***x***</w:t>
      </w:r>
      <w:r>
        <w:t xml:space="preserve"> mm Les armatures complémentaires sont des barres d'acier de qualité BE 500 S.</w:t>
      </w:r>
    </w:p>
    <w:p w14:paraId="42160CA6" w14:textId="77777777" w:rsidR="00DB2B68" w:rsidRDefault="00000000">
      <w:pPr>
        <w:pStyle w:val="pheading"/>
      </w:pPr>
      <w:r>
        <w:t>- Prescriptions complémentaires</w:t>
      </w:r>
    </w:p>
    <w:p w14:paraId="62F01757" w14:textId="77777777" w:rsidR="00DB2B68" w:rsidRDefault="00000000">
      <w:pPr>
        <w:jc w:val="both"/>
      </w:pPr>
      <w:r>
        <w:rPr>
          <w:rStyle w:val="facultChar"/>
        </w:rPr>
        <w:t>Résistance au feu : pour les éléments porteurs et structuraux sans fonction séparant</w:t>
      </w:r>
      <w:r>
        <w:t xml:space="preserve">  </w:t>
      </w:r>
      <w:r>
        <w:rPr>
          <w:rStyle w:val="optioncarChar"/>
        </w:rPr>
        <w:t xml:space="preserve">R15 / R30 / R60 </w:t>
      </w:r>
      <w:r>
        <w:t>(par défaut)</w:t>
      </w:r>
      <w:r>
        <w:rPr>
          <w:rStyle w:val="optioncarChar"/>
        </w:rPr>
        <w:t xml:space="preserve"> / R120 / ***</w:t>
      </w:r>
      <w:r>
        <w:t> </w:t>
      </w:r>
      <w:r>
        <w:rPr>
          <w:rStyle w:val="facultChar"/>
        </w:rPr>
        <w:t>et pour les éléments porteurs et structuraux avec fonction séparant</w:t>
      </w:r>
      <w:r>
        <w:t> </w:t>
      </w:r>
      <w:r>
        <w:rPr>
          <w:rStyle w:val="optioncarChar"/>
        </w:rPr>
        <w:t xml:space="preserve">REI 30 / REI 60 </w:t>
      </w:r>
      <w:r>
        <w:t>(par défaut)</w:t>
      </w:r>
      <w:r>
        <w:rPr>
          <w:rStyle w:val="optioncarChar"/>
        </w:rPr>
        <w:t xml:space="preserve"> / REI 120 / *** </w:t>
      </w:r>
      <w:r>
        <w:rPr>
          <w:rStyle w:val="facultChar"/>
        </w:rP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2FBC590C" w14:textId="77777777" w:rsidR="00DB2B68" w:rsidRDefault="00000000">
      <w:pPr>
        <w:pStyle w:val="pheading"/>
      </w:pPr>
      <w:r>
        <w:t>EXÉCUTION / MISE EN ŒUVRE</w:t>
      </w:r>
    </w:p>
    <w:p w14:paraId="67B0DF2C" w14:textId="77777777" w:rsidR="00DB2B68" w:rsidRDefault="00000000">
      <w:pPr>
        <w:pStyle w:val="pheading"/>
      </w:pPr>
      <w:r>
        <w:t>- Prescriptions générales</w:t>
      </w:r>
    </w:p>
    <w:p w14:paraId="076E9592" w14:textId="77777777" w:rsidR="00DB2B68" w:rsidRDefault="00000000">
      <w:pPr>
        <w:jc w:val="both"/>
      </w:pPr>
      <w:r>
        <w:t xml:space="preserve">L'étude de stabilité est réalisée conformément à la section </w:t>
      </w:r>
      <w:hyperlink w:anchor="87" w:history="1">
        <w:r>
          <w:rPr>
            <w:color w:val="0000EE"/>
          </w:rPr>
          <w:t>22 Superstructures en béton</w:t>
        </w:r>
      </w:hyperlink>
      <w:r>
        <w:t xml:space="preserve"> à charge </w:t>
      </w:r>
      <w:r>
        <w:rPr>
          <w:rStyle w:val="optioncarChar"/>
        </w:rPr>
        <w:t xml:space="preserve">de l'entrepreneur </w:t>
      </w:r>
      <w:r>
        <w:t xml:space="preserve">(par défaut) </w:t>
      </w:r>
      <w:r>
        <w:rPr>
          <w:rStyle w:val="optioncarChar"/>
        </w:rPr>
        <w:t>/ du maître de l'ouvrage / du bureau d’étude / ***.</w:t>
      </w:r>
    </w:p>
    <w:p w14:paraId="386CBBCF" w14:textId="77777777" w:rsidR="00DB2B68" w:rsidRDefault="00000000">
      <w:pPr>
        <w:jc w:val="both"/>
      </w:pPr>
      <w:r>
        <w:t xml:space="preserve">Le plancher doit être calculé pour une charge d’exploitation particulière de </w:t>
      </w:r>
      <w:r>
        <w:rPr>
          <w:rStyle w:val="optioncarChar"/>
        </w:rPr>
        <w:t xml:space="preserve">3 </w:t>
      </w:r>
      <w:r>
        <w:t>(par défaut)</w:t>
      </w:r>
      <w:r>
        <w:rPr>
          <w:rStyle w:val="optioncarChar"/>
        </w:rPr>
        <w:t xml:space="preserve"> / 4 / 5 / ***</w:t>
      </w:r>
      <w:r>
        <w:t> kN/m².</w:t>
      </w:r>
    </w:p>
    <w:p w14:paraId="3E6DCFC3" w14:textId="77777777" w:rsidR="00DB2B68" w:rsidRDefault="00000000">
      <w:pPr>
        <w:pStyle w:val="Author-eListParagraph"/>
        <w:numPr>
          <w:ilvl w:val="0"/>
          <w:numId w:val="700"/>
        </w:numPr>
      </w:pPr>
      <w:r>
        <w:t xml:space="preserve">la flèche du plancher ne peut excéder </w:t>
      </w:r>
      <w:r>
        <w:rPr>
          <w:rStyle w:val="optioncarChar"/>
        </w:rPr>
        <w:t xml:space="preserve">1/500 </w:t>
      </w:r>
      <w:r>
        <w:t>(par défaut)</w:t>
      </w:r>
      <w:r>
        <w:rPr>
          <w:rStyle w:val="optioncarChar"/>
        </w:rPr>
        <w:t xml:space="preserve"> / 1/700 / 1/1000 / ***</w:t>
      </w:r>
      <w:r>
        <w:t xml:space="preserve"> de la portée.</w:t>
      </w:r>
    </w:p>
    <w:p w14:paraId="15C84455" w14:textId="77777777" w:rsidR="00DB2B68" w:rsidRDefault="00000000">
      <w:pPr>
        <w:pStyle w:val="Author-eListParagraph"/>
        <w:numPr>
          <w:ilvl w:val="0"/>
          <w:numId w:val="700"/>
        </w:numPr>
      </w:pPr>
      <w:r>
        <w:t>la face supérieure du plancher doit correspondre aux cotes de niveau et à l'épaisseur indiquées sur les plans d'architecture.</w:t>
      </w:r>
    </w:p>
    <w:p w14:paraId="3EF23836" w14:textId="77777777" w:rsidR="00DB2B68" w:rsidRDefault="00000000">
      <w:pPr>
        <w:pStyle w:val="Author-eListParagraph"/>
        <w:numPr>
          <w:ilvl w:val="0"/>
          <w:numId w:val="700"/>
        </w:numPr>
      </w:pPr>
      <w:r>
        <w:t xml:space="preserve">l'écartement d'axe en axe entre les poutrelles est de maximum </w:t>
      </w:r>
      <w:r>
        <w:rPr>
          <w:rStyle w:val="optioncarChar"/>
        </w:rPr>
        <w:t xml:space="preserve">30 / 60 </w:t>
      </w:r>
      <w:r>
        <w:t>(par défaut)</w:t>
      </w:r>
      <w:r>
        <w:rPr>
          <w:rStyle w:val="optioncarChar"/>
        </w:rPr>
        <w:t xml:space="preserve"> / ***</w:t>
      </w:r>
      <w:r>
        <w:t xml:space="preserve"> cm.</w:t>
      </w:r>
      <w:r>
        <w:br/>
      </w:r>
    </w:p>
    <w:p w14:paraId="6D634675" w14:textId="77777777" w:rsidR="00DB2B68" w:rsidRDefault="00000000">
      <w:pPr>
        <w:jc w:val="both"/>
      </w:pPr>
      <w:r>
        <w:t>Chaque livraison de poutrelles est accompagnée d’un plan de pose et d’un cartouche donnant les détails importants pour la réalisation du plancher (volume béton, type de treillis soudé, de l’armature en chapeau, de renforts, etc.) ainsi que les hypothèses prises en compte pour le calcul (type de revêtement, charges, etc.). Le plan de pose indique les désignations des poutrelles et leur position.</w:t>
      </w:r>
    </w:p>
    <w:p w14:paraId="1492E45A" w14:textId="77777777" w:rsidR="00DB2B68" w:rsidRDefault="00000000">
      <w:pPr>
        <w:jc w:val="both"/>
      </w:pPr>
      <w:r>
        <w:t>Le plan de pose indique le nombre et la disposition retenue des étais pour chaque travée.</w:t>
      </w:r>
    </w:p>
    <w:p w14:paraId="624F0F42" w14:textId="77777777" w:rsidR="00DB2B68" w:rsidRDefault="00000000">
      <w:pPr>
        <w:jc w:val="both"/>
      </w:pPr>
      <w:r>
        <w:t>Après la pose des entrevous, il est procédé à la mise en place des ferraillages complémentaires : treillis soudé de la dalle, chainage et équerres, armature en chapeaux, renforts… Le bétonnage des nervures, de la dalle de compression et des chainages s’effectue en une seule opération. L’épaisseur minimale de la dalle de compression rapportée est de 5 cm au-dessus des entrevous.</w:t>
      </w:r>
    </w:p>
    <w:p w14:paraId="0E094A85" w14:textId="77777777" w:rsidR="00DB2B68" w:rsidRDefault="00000000">
      <w:pPr>
        <w:jc w:val="both"/>
      </w:pPr>
      <w:r>
        <w:t>La profondeur de pénétration des entrevous sur le mur est supérieure ou égale à 15 mm. Les entrevous sont mis en contact de manière à assurer une bonne étanchéité au coulage.</w:t>
      </w:r>
    </w:p>
    <w:p w14:paraId="157C873E" w14:textId="77777777" w:rsidR="00DB2B68" w:rsidRDefault="00000000">
      <w:pPr>
        <w:jc w:val="both"/>
      </w:pPr>
      <w:r>
        <w:t xml:space="preserve">Pose de </w:t>
      </w:r>
      <w:r>
        <w:rPr>
          <w:rStyle w:val="optioncarChar"/>
        </w:rPr>
        <w:t xml:space="preserve">5 / 6 / 7 </w:t>
      </w:r>
      <w:r>
        <w:t xml:space="preserve">(par défaut) </w:t>
      </w:r>
      <w:r>
        <w:rPr>
          <w:rStyle w:val="optioncarChar"/>
        </w:rPr>
        <w:t>/ ***</w:t>
      </w:r>
      <w:r>
        <w:t xml:space="preserve"> cm minimum de la tôle d’embase des poutrelles sur le mur.</w:t>
      </w:r>
    </w:p>
    <w:p w14:paraId="655D0E78" w14:textId="77777777" w:rsidR="00DB2B68" w:rsidRDefault="00000000">
      <w:pPr>
        <w:pStyle w:val="pheading"/>
      </w:pPr>
      <w:r>
        <w:t>- Notes d’exécution complémentaires</w:t>
      </w:r>
    </w:p>
    <w:p w14:paraId="3E00ED3B" w14:textId="77777777" w:rsidR="00DB2B68" w:rsidRDefault="00000000">
      <w:pPr>
        <w:jc w:val="both"/>
      </w:pPr>
      <w:r>
        <w:rPr>
          <w:rStyle w:val="facultChar"/>
        </w:rPr>
        <w:t>Placement d’une membrane de désolidarisation acoustique en périphérie du plancher : </w:t>
      </w:r>
      <w:r>
        <w:rPr>
          <w:rStyle w:val="optioncarChar"/>
        </w:rPr>
        <w:t>en position supérieure / en position inférieure / sans.</w:t>
      </w:r>
    </w:p>
    <w:p w14:paraId="4499CFE4" w14:textId="77777777" w:rsidR="00DB2B68" w:rsidRDefault="00000000">
      <w:pPr>
        <w:jc w:val="both"/>
      </w:pPr>
      <w:r>
        <w:rPr>
          <w:rStyle w:val="facultChar"/>
        </w:rPr>
        <w:t>Si les poutrelles restent apparentes, les semelles en acier doivent rester propres exemptes de coups, déformations, griffes apparentes à hauteur d’homme.</w:t>
      </w:r>
    </w:p>
    <w:p w14:paraId="5BC94767" w14:textId="77777777" w:rsidR="00DB2B68" w:rsidRDefault="00000000">
      <w:pPr>
        <w:jc w:val="both"/>
      </w:pPr>
      <w:r>
        <w:rPr>
          <w:rStyle w:val="facultChar"/>
        </w:rPr>
        <w:t>Remarque : le plafond peut bénéficier d’une finition en plâtre projeté en interposant entre la sous face du plancher et le plâtre un treillis métallique fixé au talon des poutrelles.</w:t>
      </w:r>
    </w:p>
    <w:p w14:paraId="53C511A2" w14:textId="77777777" w:rsidR="00DB2B68" w:rsidRDefault="00000000">
      <w:pPr>
        <w:pStyle w:val="pheading"/>
      </w:pPr>
      <w:r>
        <w:t>DOCUMENTS DE RÉFÉRENCE COMPLÉMENTAIRES</w:t>
      </w:r>
    </w:p>
    <w:p w14:paraId="4A425E2D" w14:textId="77777777" w:rsidR="00DB2B68" w:rsidRDefault="00000000">
      <w:pPr>
        <w:pStyle w:val="pheading"/>
      </w:pPr>
      <w:r>
        <w:lastRenderedPageBreak/>
        <w:t>- Matériau</w:t>
      </w:r>
    </w:p>
    <w:p w14:paraId="6F23B485" w14:textId="77777777" w:rsidR="00DB2B68" w:rsidRDefault="00000000">
      <w:r>
        <w:t>[NBN EN 15037-4+A1, Produits préfabriqués en béton - Systèmes de planchers à poutrelles et entrevous - Partie 4: Entrevous en polystyrène expansé]</w:t>
      </w:r>
    </w:p>
    <w:p w14:paraId="47D139CB" w14:textId="77777777" w:rsidR="00DB2B68" w:rsidRDefault="00000000">
      <w:r>
        <w:t>[NBN EN 206:2013+A2, Béton - Spécification, performances, production et conformité]</w:t>
      </w:r>
    </w:p>
    <w:p w14:paraId="40A2F4BE" w14:textId="77777777" w:rsidR="00DB2B68" w:rsidRDefault="00000000">
      <w:r>
        <w:t>[NBN B 15-001, Béton - Spécification, performances, production et conformité - Complément national à la NBN EN 206:2013+A2:2021]</w:t>
      </w:r>
    </w:p>
    <w:p w14:paraId="4693E840" w14:textId="77777777" w:rsidR="00DB2B68" w:rsidRDefault="00000000">
      <w:r>
        <w:t>[NBN EN 12350-10, Essai pour béton frais - Partie 10: Béton autoplaçant - Essai à la boîte en L]</w:t>
      </w:r>
    </w:p>
    <w:p w14:paraId="3341C72D" w14:textId="77777777" w:rsidR="00DB2B68" w:rsidRDefault="00000000">
      <w:r>
        <w:t>[NBN EN 12350-12, Essai pour béton frais - Partie 12 : Béton autoplaçant - Essai d'écoulement à l'anneau]</w:t>
      </w:r>
    </w:p>
    <w:p w14:paraId="7D82E0B6" w14:textId="77777777" w:rsidR="00DB2B68" w:rsidRDefault="00000000">
      <w:r>
        <w:t>[NBN EN 12350-11, Essai pour béton frais - Partie 11: Béton autoplaçant - Essai de stabilité au tamis]</w:t>
      </w:r>
    </w:p>
    <w:p w14:paraId="20F39E61"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D0FB73F" w14:textId="77777777" w:rsidR="00DB2B68" w:rsidRDefault="00000000">
      <w:pPr>
        <w:pStyle w:val="pheading"/>
      </w:pPr>
      <w:r>
        <w:t>MESURAGE</w:t>
      </w:r>
    </w:p>
    <w:p w14:paraId="1EF5B4B8" w14:textId="77777777" w:rsidR="00DB2B68" w:rsidRDefault="00000000">
      <w:pPr>
        <w:pStyle w:val="pheading"/>
      </w:pPr>
      <w:r>
        <w:t>- unité de mesure:</w:t>
      </w:r>
    </w:p>
    <w:p w14:paraId="5322BF99" w14:textId="77777777" w:rsidR="00DB2B68" w:rsidRDefault="00000000">
      <w:pPr>
        <w:jc w:val="both"/>
      </w:pPr>
      <w:r>
        <w:rPr>
          <w:rStyle w:val="optioncarChar"/>
        </w:rPr>
        <w:t>m² </w:t>
      </w:r>
      <w:r>
        <w:t xml:space="preserve">(par défaut) </w:t>
      </w:r>
      <w:r>
        <w:rPr>
          <w:rStyle w:val="optioncarChar"/>
        </w:rPr>
        <w:t>/ selon bordereau / selon bordereau avec décompte final / m³ ; kg / m³ ; m³ ; kg ; à la pièce</w:t>
      </w:r>
    </w:p>
    <w:p w14:paraId="771D38BB" w14:textId="77777777" w:rsidR="00DB2B68" w:rsidRDefault="00000000">
      <w:pPr>
        <w:jc w:val="both"/>
      </w:pPr>
      <w:r>
        <w:rPr>
          <w:b/>
          <w:i/>
        </w:rPr>
        <w:t>(Soit par défaut)</w:t>
      </w:r>
    </w:p>
    <w:p w14:paraId="37164A35" w14:textId="77777777" w:rsidR="00DB2B68" w:rsidRDefault="00000000">
      <w:pPr>
        <w:jc w:val="both"/>
      </w:pPr>
      <w:r>
        <w:rPr>
          <w:rStyle w:val="soitChar"/>
        </w:rPr>
        <w:t>1. m²</w:t>
      </w:r>
    </w:p>
    <w:p w14:paraId="6D2998DC" w14:textId="77777777" w:rsidR="00DB2B68" w:rsidRDefault="00000000">
      <w:pPr>
        <w:jc w:val="both"/>
      </w:pPr>
      <w:r>
        <w:rPr>
          <w:b/>
          <w:i/>
        </w:rPr>
        <w:t>(Soit)</w:t>
      </w:r>
    </w:p>
    <w:p w14:paraId="6FDA264E" w14:textId="77777777" w:rsidR="00DB2B68" w:rsidRDefault="00000000">
      <w:pPr>
        <w:jc w:val="both"/>
      </w:pPr>
      <w:r>
        <w:rPr>
          <w:rStyle w:val="soitChar"/>
        </w:rPr>
        <w:t>2. Selon bordereau</w:t>
      </w:r>
    </w:p>
    <w:p w14:paraId="1EFC7E3E" w14:textId="77777777" w:rsidR="00DB2B68" w:rsidRDefault="00000000">
      <w:pPr>
        <w:jc w:val="both"/>
      </w:pPr>
      <w:r>
        <w:rPr>
          <w:b/>
          <w:i/>
        </w:rPr>
        <w:t>(Soit)</w:t>
      </w:r>
    </w:p>
    <w:p w14:paraId="5783C665" w14:textId="77777777" w:rsidR="00DB2B68" w:rsidRDefault="00000000">
      <w:pPr>
        <w:jc w:val="both"/>
      </w:pPr>
      <w:r>
        <w:rPr>
          <w:rStyle w:val="soitChar"/>
        </w:rPr>
        <w:t>3. Selon bordereau avec décompte final</w:t>
      </w:r>
    </w:p>
    <w:p w14:paraId="755F0188" w14:textId="77777777" w:rsidR="00DB2B68" w:rsidRDefault="00000000">
      <w:pPr>
        <w:jc w:val="both"/>
      </w:pPr>
      <w:r>
        <w:rPr>
          <w:b/>
          <w:i/>
        </w:rPr>
        <w:t>(Soit)</w:t>
      </w:r>
    </w:p>
    <w:p w14:paraId="58CAAD60" w14:textId="77777777" w:rsidR="00DB2B68" w:rsidRDefault="00000000">
      <w:pPr>
        <w:jc w:val="both"/>
      </w:pPr>
      <w:r>
        <w:rPr>
          <w:rStyle w:val="soitChar"/>
        </w:rPr>
        <w:t>4. m³; kg</w:t>
      </w:r>
    </w:p>
    <w:p w14:paraId="726A1629" w14:textId="77777777" w:rsidR="00DB2B68" w:rsidRDefault="00000000">
      <w:pPr>
        <w:jc w:val="both"/>
      </w:pPr>
      <w:r>
        <w:rPr>
          <w:b/>
          <w:i/>
        </w:rPr>
        <w:t>(Soit)</w:t>
      </w:r>
    </w:p>
    <w:p w14:paraId="6AE11E60" w14:textId="77777777" w:rsidR="00DB2B68" w:rsidRDefault="00000000">
      <w:pPr>
        <w:jc w:val="both"/>
      </w:pPr>
      <w:r>
        <w:rPr>
          <w:rStyle w:val="soitChar"/>
        </w:rPr>
        <w:t>5. m³; m³; kg; à la pièce</w:t>
      </w:r>
    </w:p>
    <w:p w14:paraId="59572FE6" w14:textId="77777777" w:rsidR="00DB2B68" w:rsidRDefault="00000000">
      <w:pPr>
        <w:pStyle w:val="pheading"/>
      </w:pPr>
      <w:r>
        <w:t>- code de mesurage:</w:t>
      </w:r>
    </w:p>
    <w:p w14:paraId="00D58178" w14:textId="77777777" w:rsidR="00DB2B68" w:rsidRDefault="00000000">
      <w:pPr>
        <w:jc w:val="both"/>
      </w:pPr>
      <w:r>
        <w:rPr>
          <w:rStyle w:val="optioncarChar"/>
        </w:rPr>
        <w:t xml:space="preserve">Surface nette </w:t>
      </w:r>
      <w:r>
        <w:t>(par défaut)</w:t>
      </w:r>
      <w:r>
        <w:rPr>
          <w:rStyle w:val="optioncarChar"/>
        </w:rPr>
        <w:t xml:space="preserve"> / selon bordereau / selon bordereau avec décompte / selon le volume de béton et le poids des armatures / selon le volume de béton de remplissage et de compression et le poids des armatures</w:t>
      </w:r>
      <w:r>
        <w:t>.</w:t>
      </w:r>
    </w:p>
    <w:p w14:paraId="19D49630" w14:textId="77777777" w:rsidR="00DB2B68" w:rsidRDefault="00000000">
      <w:pPr>
        <w:jc w:val="both"/>
      </w:pPr>
      <w:r>
        <w:rPr>
          <w:b/>
          <w:i/>
        </w:rPr>
        <w:t>(Soit par défaut)</w:t>
      </w:r>
    </w:p>
    <w:p w14:paraId="0B926EC2" w14:textId="77777777" w:rsidR="00DB2B68" w:rsidRDefault="00000000">
      <w:pPr>
        <w:jc w:val="both"/>
      </w:pPr>
      <w:r>
        <w:rPr>
          <w:rStyle w:val="soitChar"/>
          <w:b/>
        </w:rPr>
        <w:t>1. Surface nette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sont par conséquent, être déduites de la maçonnerie intérieure. Les vides, percements et feuillures supérieures à 0,50 m² sont déduits.</w:t>
      </w:r>
    </w:p>
    <w:p w14:paraId="0BAFB3C0" w14:textId="77777777" w:rsidR="00DB2B68" w:rsidRDefault="00000000">
      <w:pPr>
        <w:jc w:val="both"/>
      </w:pPr>
      <w:r>
        <w:rPr>
          <w:rStyle w:val="soitChar"/>
        </w:rPr>
        <w:t>Pour l'ensemble ou, le cas échéant, ventilé en fonction de la nature, de l'épaisseur et/ou de la charge d’exploitation. Tous les éléments nécessaires, travaux et fournitures (coffrages, étançonnement, armatures et couches de compression prescrites) sont compris dans le prix unitaire.</w:t>
      </w:r>
    </w:p>
    <w:p w14:paraId="6E8F8F79" w14:textId="77777777" w:rsidR="00DB2B68" w:rsidRDefault="00000000">
      <w:pPr>
        <w:jc w:val="both"/>
      </w:pPr>
      <w:r>
        <w:rPr>
          <w:b/>
          <w:i/>
        </w:rPr>
        <w:t>(Soit)</w:t>
      </w:r>
    </w:p>
    <w:p w14:paraId="147FF86D" w14:textId="77777777" w:rsidR="00DB2B68" w:rsidRDefault="00000000">
      <w:pPr>
        <w:jc w:val="both"/>
      </w:pPr>
      <w:r>
        <w:rPr>
          <w:rStyle w:val="soitChar"/>
          <w:b/>
        </w:rPr>
        <w:t>2. Selon bordereau</w:t>
      </w:r>
      <w:r>
        <w:rPr>
          <w:rStyle w:val="soitChar"/>
        </w:rPr>
        <w:t xml:space="preserve">  </w:t>
      </w:r>
      <w:r>
        <w:rPr>
          <w:rStyle w:val="soitChar"/>
          <w:b/>
        </w:rPr>
        <w:t>;</w:t>
      </w:r>
      <w:r>
        <w:rPr>
          <w:rStyle w:val="soitChar"/>
        </w:rPr>
        <w:t xml:space="preserve"> selon le bordereau spécifié dans l'étude de stabilité et repris dans le métré récapitulatif.</w:t>
      </w:r>
    </w:p>
    <w:p w14:paraId="0C6A3934" w14:textId="77777777" w:rsidR="00DB2B68" w:rsidRDefault="00000000">
      <w:pPr>
        <w:jc w:val="both"/>
      </w:pPr>
      <w:r>
        <w:rPr>
          <w:b/>
          <w:i/>
        </w:rPr>
        <w:lastRenderedPageBreak/>
        <w:t>(Soit)</w:t>
      </w:r>
    </w:p>
    <w:p w14:paraId="62213DEE" w14:textId="77777777" w:rsidR="00DB2B68" w:rsidRDefault="00000000">
      <w:pPr>
        <w:jc w:val="both"/>
      </w:pPr>
      <w:r>
        <w:rPr>
          <w:rStyle w:val="soitChar"/>
          <w:b/>
        </w:rPr>
        <w:t>3. Selon bordereau avec décompte ;</w:t>
      </w:r>
      <w:r>
        <w:rPr>
          <w:rStyle w:val="soitChar"/>
        </w:rPr>
        <w:t xml:space="preserve"> selon le bordereau spécifié dans l'étude de stabilité et repris dans le métré récapitulatif mais les décomptes sont réalisés après travail. </w:t>
      </w:r>
    </w:p>
    <w:p w14:paraId="3051BC96" w14:textId="77777777" w:rsidR="00DB2B68" w:rsidRDefault="00000000">
      <w:pPr>
        <w:jc w:val="both"/>
      </w:pPr>
      <w:r>
        <w:rPr>
          <w:b/>
          <w:i/>
        </w:rPr>
        <w:t>(Soit)</w:t>
      </w:r>
    </w:p>
    <w:p w14:paraId="4ABC9A43" w14:textId="77777777" w:rsidR="00DB2B68" w:rsidRDefault="00000000">
      <w:pPr>
        <w:jc w:val="both"/>
      </w:pPr>
      <w:r>
        <w:rPr>
          <w:rStyle w:val="soitChar"/>
          <w:b/>
        </w:rPr>
        <w:t>4. Selon le volume de béton et le poids des armatures</w:t>
      </w:r>
      <w:r>
        <w:rPr>
          <w:rStyle w:val="soitChar"/>
        </w:rPr>
        <w:t> </w:t>
      </w:r>
      <w:r>
        <w:rPr>
          <w:rStyle w:val="soitChar"/>
          <w:b/>
        </w:rPr>
        <w:t>;</w:t>
      </w:r>
    </w:p>
    <w:p w14:paraId="4076D907" w14:textId="77777777" w:rsidR="00DB2B68" w:rsidRDefault="00000000">
      <w:pPr>
        <w:pStyle w:val="Author-eListParagraph"/>
        <w:numPr>
          <w:ilvl w:val="0"/>
          <w:numId w:val="701"/>
        </w:numPr>
      </w:pPr>
      <w:r>
        <w:rPr>
          <w:rStyle w:val="soitChar"/>
        </w:rPr>
        <w:t xml:space="preserve">m³ pour le béton </w:t>
      </w:r>
    </w:p>
    <w:p w14:paraId="2A70AF78" w14:textId="77777777" w:rsidR="00DB2B68" w:rsidRDefault="00000000">
      <w:pPr>
        <w:pStyle w:val="Author-eListParagraph"/>
        <w:numPr>
          <w:ilvl w:val="0"/>
          <w:numId w:val="701"/>
        </w:numPr>
      </w:pPr>
      <w:r>
        <w:rPr>
          <w:rStyle w:val="soitChar"/>
        </w:rPr>
        <w:t xml:space="preserve">kg pour les armatures </w:t>
      </w:r>
    </w:p>
    <w:p w14:paraId="400864D6" w14:textId="77777777" w:rsidR="00DB2B68" w:rsidRDefault="00000000">
      <w:pPr>
        <w:pStyle w:val="Author-eListParagraph"/>
        <w:numPr>
          <w:ilvl w:val="0"/>
          <w:numId w:val="701"/>
        </w:numPr>
      </w:pPr>
      <w:r>
        <w:rPr>
          <w:rStyle w:val="soitChar"/>
        </w:rPr>
        <w:t>Tous les autres éléments, travaux et fournitures doivent être compris dans les prix unitaires respectifs pour les mesurages précités.</w:t>
      </w:r>
    </w:p>
    <w:p w14:paraId="1D114235" w14:textId="77777777" w:rsidR="00DB2B68" w:rsidRDefault="00000000">
      <w:pPr>
        <w:jc w:val="both"/>
      </w:pPr>
      <w:r>
        <w:rPr>
          <w:b/>
          <w:i/>
        </w:rPr>
        <w:t>(Soit)</w:t>
      </w:r>
    </w:p>
    <w:p w14:paraId="3A25A446" w14:textId="77777777" w:rsidR="00DB2B68" w:rsidRDefault="00000000">
      <w:pPr>
        <w:jc w:val="both"/>
      </w:pPr>
      <w:r>
        <w:rPr>
          <w:rStyle w:val="soitChar"/>
          <w:b/>
        </w:rPr>
        <w:t>5. Selon le volume de béton de remplissage et de compression et le poids des armatures ;</w:t>
      </w:r>
    </w:p>
    <w:p w14:paraId="511BF409" w14:textId="77777777" w:rsidR="00DB2B68" w:rsidRDefault="00000000">
      <w:pPr>
        <w:pStyle w:val="Author-eListParagraph"/>
        <w:numPr>
          <w:ilvl w:val="0"/>
          <w:numId w:val="702"/>
        </w:numPr>
      </w:pPr>
      <w:r>
        <w:rPr>
          <w:rStyle w:val="soitChar"/>
        </w:rPr>
        <w:t xml:space="preserve">m³ pour le béton de remplissage </w:t>
      </w:r>
    </w:p>
    <w:p w14:paraId="386DD89C" w14:textId="77777777" w:rsidR="00DB2B68" w:rsidRDefault="00000000">
      <w:pPr>
        <w:pStyle w:val="Author-eListParagraph"/>
        <w:numPr>
          <w:ilvl w:val="0"/>
          <w:numId w:val="702"/>
        </w:numPr>
      </w:pPr>
      <w:r>
        <w:rPr>
          <w:rStyle w:val="soitChar"/>
        </w:rPr>
        <w:t xml:space="preserve">m³ pour la couche de compression béton (en mentionnant l'épaisseur...) </w:t>
      </w:r>
    </w:p>
    <w:p w14:paraId="691B9C41" w14:textId="77777777" w:rsidR="00DB2B68" w:rsidRDefault="00000000">
      <w:pPr>
        <w:pStyle w:val="Author-eListParagraph"/>
        <w:numPr>
          <w:ilvl w:val="0"/>
          <w:numId w:val="702"/>
        </w:numPr>
      </w:pPr>
      <w:r>
        <w:rPr>
          <w:rStyle w:val="soitChar"/>
        </w:rPr>
        <w:t xml:space="preserve">kg pour les armatures </w:t>
      </w:r>
    </w:p>
    <w:p w14:paraId="634663AB" w14:textId="77777777" w:rsidR="00DB2B68" w:rsidRDefault="00000000">
      <w:pPr>
        <w:pStyle w:val="Author-eListParagraph"/>
        <w:numPr>
          <w:ilvl w:val="0"/>
          <w:numId w:val="702"/>
        </w:numPr>
      </w:pPr>
      <w:r>
        <w:rPr>
          <w:rStyle w:val="soitChar"/>
        </w:rPr>
        <w:t>Pièces divergentes et pièces spéciales : à la pièce (selon les dimensions identiques ou indications standards).</w:t>
      </w:r>
    </w:p>
    <w:p w14:paraId="1E6A9334" w14:textId="77777777" w:rsidR="00DB2B68" w:rsidRDefault="00000000">
      <w:pPr>
        <w:pStyle w:val="pheading"/>
      </w:pPr>
      <w:r>
        <w:t>- nature du marché:</w:t>
      </w:r>
    </w:p>
    <w:p w14:paraId="799E03EF" w14:textId="77777777" w:rsidR="00DB2B68" w:rsidRDefault="00000000">
      <w:r>
        <w:rPr>
          <w:rStyle w:val="optioncarChar"/>
        </w:rPr>
        <w:t>QF</w:t>
      </w:r>
      <w:r>
        <w:t xml:space="preserve"> (par défaut)</w:t>
      </w:r>
      <w:r>
        <w:rPr>
          <w:rStyle w:val="optioncarChar"/>
        </w:rPr>
        <w:t xml:space="preserve"> / QP</w:t>
      </w:r>
    </w:p>
    <w:p w14:paraId="3E09E40E" w14:textId="77777777" w:rsidR="00DB2B68" w:rsidRDefault="00000000">
      <w:r>
        <w:rPr>
          <w:b/>
          <w:i/>
        </w:rPr>
        <w:t>(Soit par défaut)</w:t>
      </w:r>
    </w:p>
    <w:p w14:paraId="1C7ECD39" w14:textId="77777777" w:rsidR="00DB2B68" w:rsidRDefault="00000000">
      <w:r>
        <w:rPr>
          <w:rStyle w:val="soitChar"/>
        </w:rPr>
        <w:t>1.2.4.5. QF</w:t>
      </w:r>
    </w:p>
    <w:p w14:paraId="4793B8E8" w14:textId="77777777" w:rsidR="00DB2B68" w:rsidRDefault="00000000">
      <w:r>
        <w:rPr>
          <w:b/>
          <w:i/>
        </w:rPr>
        <w:t>(Soit)</w:t>
      </w:r>
    </w:p>
    <w:p w14:paraId="092974C6" w14:textId="77777777" w:rsidR="00DB2B68" w:rsidRDefault="00000000">
      <w:r>
        <w:rPr>
          <w:rStyle w:val="soitChar"/>
        </w:rPr>
        <w:t>3. QP</w:t>
      </w:r>
    </w:p>
    <w:p w14:paraId="16719744" w14:textId="77777777" w:rsidR="00DB2B68" w:rsidRDefault="00000000">
      <w:pPr>
        <w:pStyle w:val="Author-eSectionHeading6Numberless"/>
      </w:pPr>
      <w:bookmarkStart w:id="1329" w:name="_Toc220496342"/>
      <w:r>
        <w:t>23.22.3d Planchers à poutrelles en acier et entrevous en fibres de bois agglomérées de ciment CCTB 01.04</w:t>
      </w:r>
      <w:bookmarkEnd w:id="1329"/>
    </w:p>
    <w:p w14:paraId="1EC4BC2F" w14:textId="77777777" w:rsidR="00DB2B68" w:rsidRDefault="00000000">
      <w:pPr>
        <w:pStyle w:val="Author-eSectionHeading6Numberless"/>
      </w:pPr>
      <w:bookmarkStart w:id="1330" w:name="_Toc220496343"/>
      <w:r>
        <w:t>23.22.3e Planchers à poutrelles en acier et entrevous en copeaux de bois CCTB 01.12</w:t>
      </w:r>
      <w:bookmarkEnd w:id="1330"/>
    </w:p>
    <w:p w14:paraId="7C741E8D" w14:textId="77777777" w:rsidR="00DB2B68" w:rsidRDefault="00000000">
      <w:pPr>
        <w:pStyle w:val="pheading"/>
      </w:pPr>
      <w:r>
        <w:t>DESCRIPTION</w:t>
      </w:r>
    </w:p>
    <w:p w14:paraId="0DC5125E" w14:textId="77777777" w:rsidR="00DB2B68" w:rsidRDefault="00000000">
      <w:pPr>
        <w:pStyle w:val="pheading"/>
      </w:pPr>
      <w:r>
        <w:t>- Définition / Comprend</w:t>
      </w:r>
    </w:p>
    <w:p w14:paraId="5C5E5F76" w14:textId="77777777" w:rsidR="00DB2B68" w:rsidRDefault="00000000">
      <w:pPr>
        <w:jc w:val="both"/>
      </w:pPr>
      <w:r>
        <w:t>Il s’agit de la fourniture et de la pose de plancher à poutrelles en treillis métallique dont la partie basse est enrobée dans un talon en mousse de polyuréthanne, protégées par une gaine en tôle d’acier galvanisée, d'entrevous en en copeaux de bois et d'une couche de compression armée coulée sur place.</w:t>
      </w:r>
    </w:p>
    <w:p w14:paraId="2B811E5D" w14:textId="77777777" w:rsidR="00DB2B68" w:rsidRDefault="00000000">
      <w:pPr>
        <w:pStyle w:val="pheading"/>
      </w:pPr>
      <w:r>
        <w:t>- Localisation</w:t>
      </w:r>
    </w:p>
    <w:p w14:paraId="1376B03A" w14:textId="77777777" w:rsidR="00DB2B68" w:rsidRDefault="00000000">
      <w:r>
        <w:t xml:space="preserve">Localisation des travaux : </w:t>
      </w:r>
      <w:r>
        <w:rPr>
          <w:rStyle w:val="optioncarChar"/>
        </w:rPr>
        <w:t>***</w:t>
      </w:r>
    </w:p>
    <w:p w14:paraId="4B535DC3" w14:textId="77777777" w:rsidR="00DB2B68" w:rsidRDefault="00000000">
      <w:r>
        <w:t>Voir plans et métrés détaillés.</w:t>
      </w:r>
    </w:p>
    <w:p w14:paraId="5840E09F" w14:textId="77777777" w:rsidR="00DB2B68" w:rsidRDefault="00000000">
      <w:pPr>
        <w:pStyle w:val="pheading"/>
      </w:pPr>
      <w:r>
        <w:t>MATÉRIAUX</w:t>
      </w:r>
    </w:p>
    <w:p w14:paraId="4BF62B59" w14:textId="77777777" w:rsidR="00DB2B68" w:rsidRDefault="00000000">
      <w:pPr>
        <w:pStyle w:val="pheading"/>
      </w:pPr>
      <w:r>
        <w:t>- Caractéristiques générales</w:t>
      </w:r>
    </w:p>
    <w:p w14:paraId="3DE9CB46" w14:textId="77777777" w:rsidR="00DB2B68" w:rsidRDefault="00000000">
      <w:pPr>
        <w:jc w:val="both"/>
      </w:pPr>
      <w:r>
        <w:t xml:space="preserve">Épaisseur du plancher (depuis le dessous de la poutrelle jusqu’à la couche de compression) : </w:t>
      </w:r>
      <w:r>
        <w:rPr>
          <w:rStyle w:val="optioncarChar"/>
        </w:rPr>
        <w:t xml:space="preserve">17 / 18 </w:t>
      </w:r>
      <w:r>
        <w:t>(par défaut)</w:t>
      </w:r>
      <w:r>
        <w:rPr>
          <w:rStyle w:val="optioncarChar"/>
        </w:rPr>
        <w:t xml:space="preserve"> / 20 / 25 / ***</w:t>
      </w:r>
      <w:r>
        <w:t xml:space="preserve"> cm.</w:t>
      </w:r>
    </w:p>
    <w:p w14:paraId="4D282361" w14:textId="77777777" w:rsidR="00DB2B68" w:rsidRDefault="00000000">
      <w:pPr>
        <w:jc w:val="both"/>
      </w:pPr>
      <w:r>
        <w:rPr>
          <w:b/>
        </w:rPr>
        <w:t>Poutrelles</w:t>
      </w:r>
    </w:p>
    <w:p w14:paraId="17E2301C" w14:textId="77777777" w:rsidR="00DB2B68" w:rsidRDefault="00000000">
      <w:pPr>
        <w:jc w:val="both"/>
      </w:pPr>
      <w:r>
        <w:t xml:space="preserve">La mousse de PUR est réalisée suivant une formulation </w:t>
      </w:r>
      <w:r>
        <w:rPr>
          <w:rStyle w:val="optioncarChar"/>
        </w:rPr>
        <w:t>dite « standard » / bénéficiant d’un classement B-s3-d0.</w:t>
      </w:r>
    </w:p>
    <w:p w14:paraId="5B5C5CEA" w14:textId="77777777" w:rsidR="00DB2B68" w:rsidRDefault="00000000">
      <w:pPr>
        <w:jc w:val="both"/>
      </w:pPr>
      <w:r>
        <w:lastRenderedPageBreak/>
        <w:t>L'entraxe standard des poutrelles est de 60 cm et la hauteur des planchers varie de 12+5cm à 25+10cm suivant les charges et la portée.</w:t>
      </w:r>
    </w:p>
    <w:p w14:paraId="01656670" w14:textId="77777777" w:rsidR="00DB2B68" w:rsidRDefault="00000000">
      <w:pPr>
        <w:jc w:val="both"/>
      </w:pPr>
      <w:r>
        <w:t>L’utilisation du procédé pour la réalisation de planchers largement ouverts sur l’extérieur (par exemple balcons et terrasse sur pilotis) est exclue.</w:t>
      </w:r>
    </w:p>
    <w:p w14:paraId="2A17799B" w14:textId="77777777" w:rsidR="00DB2B68" w:rsidRDefault="00000000">
      <w:pPr>
        <w:jc w:val="both"/>
      </w:pPr>
      <w:r>
        <w:t>Dans la mesure où la partie basse des poutrelles (enrobage du talon en mousse de polyuréthanne) n’est pas prévue pour contribuer à la stabilité en cas d’incendie, une protection rapportée bénéficiant d’un PV de résistance au feu doit obligatoirement être mise en œuvre pour assurer la résistance du plancher.</w:t>
      </w:r>
    </w:p>
    <w:p w14:paraId="61A0FB83" w14:textId="77777777" w:rsidR="00DB2B68" w:rsidRDefault="00000000">
      <w:pPr>
        <w:jc w:val="both"/>
      </w:pPr>
      <w:r>
        <w:t>Les poutrelles peuvent être renforcées par l’adjonction de ferraillage supplémentaire.</w:t>
      </w:r>
    </w:p>
    <w:p w14:paraId="77DDAB83" w14:textId="77777777" w:rsidR="00DB2B68" w:rsidRDefault="00000000">
      <w:pPr>
        <w:jc w:val="both"/>
      </w:pPr>
      <w:r>
        <w:rPr>
          <w:b/>
        </w:rPr>
        <w:t>Entrevous</w:t>
      </w:r>
    </w:p>
    <w:p w14:paraId="0E09BDB9" w14:textId="77777777" w:rsidR="00DB2B68" w:rsidRDefault="00000000">
      <w:pPr>
        <w:jc w:val="both"/>
      </w:pPr>
      <w:r>
        <w:t>Les entrevous sont en copeaux de bois moulés (EBM)</w:t>
      </w:r>
    </w:p>
    <w:p w14:paraId="26C022DF" w14:textId="77777777" w:rsidR="00DB2B68" w:rsidRDefault="00000000">
      <w:pPr>
        <w:jc w:val="both"/>
      </w:pPr>
      <w:r>
        <w:t>Classement au feu Euroclasse E.</w:t>
      </w:r>
    </w:p>
    <w:p w14:paraId="3406957C" w14:textId="77777777" w:rsidR="00DB2B68" w:rsidRDefault="00000000">
      <w:pPr>
        <w:jc w:val="both"/>
      </w:pPr>
      <w:r>
        <w:t>Épaisseur : </w:t>
      </w:r>
      <w:r>
        <w:rPr>
          <w:rStyle w:val="optioncarChar"/>
        </w:rPr>
        <w:t xml:space="preserve">13 </w:t>
      </w:r>
      <w:r>
        <w:t>(par défaut)</w:t>
      </w:r>
      <w:r>
        <w:rPr>
          <w:rStyle w:val="optioncarChar"/>
        </w:rPr>
        <w:t xml:space="preserve"> / 16 / 20 / *** </w:t>
      </w:r>
      <w:r>
        <w:t xml:space="preserve"> cm.</w:t>
      </w:r>
    </w:p>
    <w:p w14:paraId="7BA19308" w14:textId="77777777" w:rsidR="00DB2B68" w:rsidRDefault="00000000">
      <w:pPr>
        <w:jc w:val="both"/>
      </w:pPr>
      <w:r>
        <w:t xml:space="preserve">Complément d’isolation : </w:t>
      </w:r>
      <w:r>
        <w:rPr>
          <w:rStyle w:val="optioncarChar"/>
        </w:rPr>
        <w:t xml:space="preserve">sans </w:t>
      </w:r>
      <w:r>
        <w:t>(par défaut)</w:t>
      </w:r>
      <w:r>
        <w:rPr>
          <w:rStyle w:val="optioncarChar"/>
        </w:rPr>
        <w:t xml:space="preserve"> / ajout d’un complément isolant en polystyrène expansé(EPS) de qualité autoextinguible SE / ***</w:t>
      </w:r>
    </w:p>
    <w:p w14:paraId="009283B6" w14:textId="77777777" w:rsidR="00DB2B68" w:rsidRDefault="00000000">
      <w:pPr>
        <w:jc w:val="both"/>
      </w:pPr>
      <w:r>
        <w:t xml:space="preserve">Résistance thermique du plancher en cas de pose d’un isolant complémentaire en EPS supérieure ou égale à : </w:t>
      </w:r>
      <w:r>
        <w:rPr>
          <w:rStyle w:val="optioncarChar"/>
        </w:rPr>
        <w:t>2 / 3 / 4</w:t>
      </w:r>
      <w:r>
        <w:t xml:space="preserve"> (par défaut)</w:t>
      </w:r>
      <w:r>
        <w:rPr>
          <w:rStyle w:val="optioncarChar"/>
        </w:rPr>
        <w:t xml:space="preserve"> / ***</w:t>
      </w:r>
      <w:r>
        <w:t xml:space="preserve"> m²K/W.</w:t>
      </w:r>
    </w:p>
    <w:p w14:paraId="0FD37C84" w14:textId="77777777" w:rsidR="00DB2B68" w:rsidRDefault="00000000">
      <w:pPr>
        <w:jc w:val="both"/>
      </w:pPr>
      <w:r>
        <w:rPr>
          <w:b/>
        </w:rPr>
        <w:t>Couche de compression</w:t>
      </w:r>
    </w:p>
    <w:p w14:paraId="3F5C8B8D" w14:textId="77777777" w:rsidR="00DB2B68" w:rsidRDefault="00000000">
      <w:pPr>
        <w:pStyle w:val="Author-eListParagraph"/>
        <w:numPr>
          <w:ilvl w:val="0"/>
          <w:numId w:val="703"/>
        </w:numPr>
      </w:pPr>
      <w:r>
        <w:t>Épaisseur de la couche de compression : supérieure ou égale à</w:t>
      </w:r>
      <w:r>
        <w:rPr>
          <w:rStyle w:val="optioncarChar"/>
        </w:rPr>
        <w:t xml:space="preserve"> 5 </w:t>
      </w:r>
      <w:r>
        <w:t xml:space="preserve">(par défaut) </w:t>
      </w:r>
      <w:r>
        <w:rPr>
          <w:rStyle w:val="optioncarChar"/>
        </w:rPr>
        <w:t>/ 6 / 7 / ***</w:t>
      </w:r>
      <w:r>
        <w:t xml:space="preserve"> cm au-dessus des entrevous.</w:t>
      </w:r>
    </w:p>
    <w:p w14:paraId="5C627D05" w14:textId="77777777" w:rsidR="00DB2B68" w:rsidRDefault="00000000">
      <w:pPr>
        <w:pStyle w:val="Author-eListParagraph"/>
        <w:numPr>
          <w:ilvl w:val="0"/>
          <w:numId w:val="703"/>
        </w:numPr>
      </w:pPr>
      <w:r>
        <w:t xml:space="preserve">La qualité du béton selon la [NBN EN 206:2013+A2] et [NBN B 15-001] est fonction de l'épaisseur de la couche de compression (voir également </w:t>
      </w:r>
      <w:hyperlink w:anchor="87" w:history="1">
        <w:r>
          <w:rPr>
            <w:color w:val="0000EE"/>
          </w:rPr>
          <w:t>22 Superstructures en béton</w:t>
        </w:r>
      </w:hyperlink>
      <w:r>
        <w:t>).</w:t>
      </w:r>
    </w:p>
    <w:tbl>
      <w:tblPr>
        <w:tblStyle w:val="Author-eTableGrid"/>
        <w:tblW w:w="9060" w:type="dxa"/>
        <w:tblLayout w:type="fixed"/>
        <w:tblLook w:val="04A0" w:firstRow="1" w:lastRow="0" w:firstColumn="1" w:lastColumn="0" w:noHBand="0" w:noVBand="1"/>
      </w:tblPr>
      <w:tblGrid>
        <w:gridCol w:w="1108"/>
        <w:gridCol w:w="1396"/>
        <w:gridCol w:w="1745"/>
        <w:gridCol w:w="1457"/>
        <w:gridCol w:w="1563"/>
        <w:gridCol w:w="1791"/>
      </w:tblGrid>
      <w:tr w:rsidR="00DB2B68" w14:paraId="02BD4FBE" w14:textId="77777777">
        <w:tc>
          <w:tcPr>
            <w:tcW w:w="1095" w:type="dxa"/>
            <w:noWrap/>
          </w:tcPr>
          <w:p w14:paraId="4963146A" w14:textId="77777777" w:rsidR="00DB2B68" w:rsidRDefault="00000000">
            <w:pPr>
              <w:jc w:val="center"/>
            </w:pPr>
            <w:r>
              <w:rPr>
                <w:b/>
              </w:rPr>
              <w:t>A</w:t>
            </w:r>
          </w:p>
        </w:tc>
        <w:tc>
          <w:tcPr>
            <w:tcW w:w="1380" w:type="dxa"/>
            <w:noWrap/>
          </w:tcPr>
          <w:p w14:paraId="7912FA0D" w14:textId="77777777" w:rsidR="00DB2B68" w:rsidRDefault="00000000">
            <w:pPr>
              <w:jc w:val="center"/>
            </w:pPr>
            <w:r>
              <w:rPr>
                <w:b/>
              </w:rPr>
              <w:t>B1</w:t>
            </w:r>
          </w:p>
        </w:tc>
        <w:tc>
          <w:tcPr>
            <w:tcW w:w="1725" w:type="dxa"/>
            <w:noWrap/>
          </w:tcPr>
          <w:p w14:paraId="680FB2DD" w14:textId="77777777" w:rsidR="00DB2B68" w:rsidRDefault="00000000">
            <w:pPr>
              <w:jc w:val="center"/>
            </w:pPr>
            <w:r>
              <w:rPr>
                <w:b/>
              </w:rPr>
              <w:t>B2</w:t>
            </w:r>
          </w:p>
        </w:tc>
        <w:tc>
          <w:tcPr>
            <w:tcW w:w="1440" w:type="dxa"/>
            <w:noWrap/>
          </w:tcPr>
          <w:p w14:paraId="3D4DC916" w14:textId="77777777" w:rsidR="00DB2B68" w:rsidRDefault="00000000">
            <w:pPr>
              <w:jc w:val="center"/>
            </w:pPr>
            <w:r>
              <w:rPr>
                <w:b/>
              </w:rPr>
              <w:t>C</w:t>
            </w:r>
          </w:p>
        </w:tc>
        <w:tc>
          <w:tcPr>
            <w:tcW w:w="1545" w:type="dxa"/>
            <w:noWrap/>
          </w:tcPr>
          <w:p w14:paraId="6C28340C" w14:textId="77777777" w:rsidR="00DB2B68" w:rsidRDefault="00000000">
            <w:pPr>
              <w:jc w:val="center"/>
            </w:pPr>
            <w:r>
              <w:rPr>
                <w:b/>
              </w:rPr>
              <w:t>D</w:t>
            </w:r>
          </w:p>
        </w:tc>
        <w:tc>
          <w:tcPr>
            <w:tcW w:w="1770" w:type="dxa"/>
            <w:noWrap/>
          </w:tcPr>
          <w:p w14:paraId="5D618F24" w14:textId="77777777" w:rsidR="00DB2B68" w:rsidRDefault="00000000">
            <w:pPr>
              <w:jc w:val="center"/>
            </w:pPr>
            <w:r>
              <w:rPr>
                <w:b/>
              </w:rPr>
              <w:t>E</w:t>
            </w:r>
          </w:p>
        </w:tc>
      </w:tr>
      <w:tr w:rsidR="00DB2B68" w14:paraId="2530A275" w14:textId="77777777">
        <w:tc>
          <w:tcPr>
            <w:tcW w:w="1095" w:type="dxa"/>
            <w:noWrap/>
          </w:tcPr>
          <w:p w14:paraId="33A8E293" w14:textId="77777777" w:rsidR="00DB2B68" w:rsidRDefault="00000000">
            <w:pPr>
              <w:jc w:val="center"/>
            </w:pPr>
            <w:r>
              <w:rPr>
                <w:b/>
              </w:rPr>
              <w:t>Classe de résistance</w:t>
            </w:r>
          </w:p>
        </w:tc>
        <w:tc>
          <w:tcPr>
            <w:tcW w:w="1380" w:type="dxa"/>
            <w:noWrap/>
          </w:tcPr>
          <w:p w14:paraId="7108DDDF" w14:textId="77777777" w:rsidR="00DB2B68" w:rsidRDefault="00000000">
            <w:pPr>
              <w:jc w:val="center"/>
            </w:pPr>
            <w:r>
              <w:rPr>
                <w:b/>
              </w:rPr>
              <w:t>Domaine d’application</w:t>
            </w:r>
          </w:p>
        </w:tc>
        <w:tc>
          <w:tcPr>
            <w:tcW w:w="1725" w:type="dxa"/>
            <w:noWrap/>
          </w:tcPr>
          <w:p w14:paraId="7C3494E4" w14:textId="77777777" w:rsidR="00DB2B68" w:rsidRDefault="00000000">
            <w:pPr>
              <w:jc w:val="center"/>
            </w:pPr>
            <w:r>
              <w:rPr>
                <w:b/>
              </w:rPr>
              <w:t>Classe d'environnement</w:t>
            </w:r>
          </w:p>
        </w:tc>
        <w:tc>
          <w:tcPr>
            <w:tcW w:w="1440" w:type="dxa"/>
            <w:noWrap/>
          </w:tcPr>
          <w:p w14:paraId="0840E9CA" w14:textId="77777777" w:rsidR="00DB2B68" w:rsidRDefault="00000000">
            <w:pPr>
              <w:jc w:val="center"/>
            </w:pPr>
            <w:r>
              <w:rPr>
                <w:b/>
              </w:rPr>
              <w:t>Classe de consistance</w:t>
            </w:r>
          </w:p>
        </w:tc>
        <w:tc>
          <w:tcPr>
            <w:tcW w:w="1545" w:type="dxa"/>
            <w:noWrap/>
          </w:tcPr>
          <w:p w14:paraId="3D55A0B5" w14:textId="77777777" w:rsidR="00DB2B68" w:rsidRDefault="00000000">
            <w:pPr>
              <w:jc w:val="center"/>
            </w:pPr>
            <w:r>
              <w:rPr>
                <w:b/>
              </w:rPr>
              <w:t>Granulométrie maximale</w:t>
            </w:r>
          </w:p>
        </w:tc>
        <w:tc>
          <w:tcPr>
            <w:tcW w:w="1770" w:type="dxa"/>
            <w:noWrap/>
          </w:tcPr>
          <w:p w14:paraId="19030DAF" w14:textId="77777777" w:rsidR="00DB2B68" w:rsidRDefault="00000000">
            <w:pPr>
              <w:jc w:val="center"/>
            </w:pPr>
            <w:r>
              <w:rPr>
                <w:b/>
              </w:rPr>
              <w:t>Données complémentaires</w:t>
            </w:r>
          </w:p>
        </w:tc>
      </w:tr>
      <w:tr w:rsidR="00DB2B68" w14:paraId="5FAB4B75" w14:textId="77777777">
        <w:tc>
          <w:tcPr>
            <w:tcW w:w="1095" w:type="dxa"/>
            <w:noWrap/>
          </w:tcPr>
          <w:p w14:paraId="55D5189A" w14:textId="77777777" w:rsidR="00DB2B68" w:rsidRDefault="00000000">
            <w:pPr>
              <w:jc w:val="center"/>
            </w:pPr>
            <w:r>
              <w:rPr>
                <w:rStyle w:val="optioncarChar"/>
              </w:rPr>
              <w:t>C25/30 / C30/37 / C35/45 / C45/55 / C50/60 / C55/67 / C60/75 / C70/85 / C80/95 / C90/105</w:t>
            </w:r>
          </w:p>
        </w:tc>
        <w:tc>
          <w:tcPr>
            <w:tcW w:w="1380" w:type="dxa"/>
            <w:noWrap/>
          </w:tcPr>
          <w:p w14:paraId="6B1DAB54" w14:textId="77777777" w:rsidR="00DB2B68" w:rsidRDefault="00000000">
            <w:pPr>
              <w:jc w:val="center"/>
            </w:pPr>
            <w:r>
              <w:br/>
              <w:t>Béton armé</w:t>
            </w:r>
          </w:p>
        </w:tc>
        <w:tc>
          <w:tcPr>
            <w:tcW w:w="1725" w:type="dxa"/>
            <w:noWrap/>
          </w:tcPr>
          <w:p w14:paraId="6C42981E" w14:textId="77777777" w:rsidR="00DB2B68" w:rsidRDefault="00DB2B68"/>
          <w:p w14:paraId="51D2B899" w14:textId="77777777" w:rsidR="00DB2B68" w:rsidRDefault="00000000">
            <w:pPr>
              <w:jc w:val="center"/>
            </w:pPr>
            <w:r>
              <w:rPr>
                <w:rStyle w:val="optioncarChar"/>
              </w:rPr>
              <w:t>E0 / EI / EE1 / EE2 / EE3 / EE4 / ES1 / ES2 / ES3 / ES4 / EA1+*** / EA2+***/ EA3+***</w:t>
            </w:r>
          </w:p>
        </w:tc>
        <w:tc>
          <w:tcPr>
            <w:tcW w:w="1440" w:type="dxa"/>
            <w:noWrap/>
          </w:tcPr>
          <w:p w14:paraId="1C00AF9C" w14:textId="77777777" w:rsidR="00DB2B68" w:rsidRDefault="00DB2B68"/>
          <w:p w14:paraId="615DA7F8" w14:textId="77777777" w:rsidR="00DB2B68" w:rsidRDefault="00000000">
            <w:pPr>
              <w:jc w:val="center"/>
            </w:pPr>
            <w:r>
              <w:t>au choix de l'entrepreneur :</w:t>
            </w:r>
          </w:p>
          <w:p w14:paraId="6101CD0D" w14:textId="77777777" w:rsidR="00DB2B68" w:rsidRDefault="00DB2B68"/>
          <w:p w14:paraId="1D246482" w14:textId="77777777" w:rsidR="00DB2B68" w:rsidRDefault="00000000">
            <w:pPr>
              <w:jc w:val="center"/>
            </w:pPr>
            <w:r>
              <w:rPr>
                <w:rStyle w:val="optioncarChar"/>
              </w:rPr>
              <w:t>S3 / S4 / S5</w:t>
            </w:r>
          </w:p>
          <w:p w14:paraId="1830A193" w14:textId="77777777" w:rsidR="00DB2B68" w:rsidRDefault="00000000">
            <w:pPr>
              <w:jc w:val="center"/>
            </w:pPr>
            <w:r>
              <w:br/>
            </w:r>
            <w:r>
              <w:rPr>
                <w:rStyle w:val="optioncarChar"/>
              </w:rPr>
              <w:t>F3 / F4 / F5 / F6</w:t>
            </w:r>
          </w:p>
        </w:tc>
        <w:tc>
          <w:tcPr>
            <w:tcW w:w="1545" w:type="dxa"/>
            <w:noWrap/>
          </w:tcPr>
          <w:p w14:paraId="1CB34FC8" w14:textId="77777777" w:rsidR="00DB2B68" w:rsidRDefault="00DB2B68"/>
          <w:p w14:paraId="26087B28" w14:textId="77777777" w:rsidR="00DB2B68" w:rsidRDefault="00000000">
            <w:pPr>
              <w:jc w:val="center"/>
            </w:pPr>
            <w:r>
              <w:t>au choix de l'entrepreneur :</w:t>
            </w:r>
          </w:p>
          <w:p w14:paraId="2E697CA8" w14:textId="77777777" w:rsidR="00DB2B68" w:rsidRDefault="00DB2B68"/>
          <w:p w14:paraId="1FE00BAE" w14:textId="77777777" w:rsidR="00DB2B68" w:rsidRDefault="00000000">
            <w:pPr>
              <w:jc w:val="center"/>
            </w:pPr>
            <w:r>
              <w:rPr>
                <w:rStyle w:val="optioncarChar"/>
              </w:rPr>
              <w:t>6 / 8 / 10 / 11 / 12 / 14 / 16 / 20 / 22 / 32</w:t>
            </w:r>
            <w:r>
              <w:t xml:space="preserve"> mm</w:t>
            </w:r>
          </w:p>
        </w:tc>
        <w:tc>
          <w:tcPr>
            <w:tcW w:w="1770" w:type="dxa"/>
            <w:noWrap/>
          </w:tcPr>
          <w:p w14:paraId="712CD319" w14:textId="77777777" w:rsidR="00DB2B68" w:rsidRDefault="00000000">
            <w:pPr>
              <w:jc w:val="center"/>
            </w:pPr>
            <w:r>
              <w:br/>
            </w:r>
            <w:r>
              <w:rPr>
                <w:rStyle w:val="optioncarChar"/>
              </w:rPr>
              <w:t>***</w:t>
            </w:r>
          </w:p>
        </w:tc>
      </w:tr>
    </w:tbl>
    <w:p w14:paraId="497ABE91" w14:textId="77777777" w:rsidR="00DB2B68" w:rsidRDefault="00DB2B68"/>
    <w:p w14:paraId="04ED8C35" w14:textId="77777777" w:rsidR="00DB2B68" w:rsidRDefault="00DB2B68">
      <w:pPr>
        <w:jc w:val="both"/>
      </w:pPr>
    </w:p>
    <w:p w14:paraId="28288454" w14:textId="77777777" w:rsidR="00DB2B68" w:rsidRDefault="0000000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p>
    <w:p w14:paraId="35695166" w14:textId="77777777" w:rsidR="00DB2B68" w:rsidRDefault="00000000">
      <w:pPr>
        <w:jc w:val="both"/>
      </w:pPr>
      <w:r>
        <w:t>Données complémentaires propres au béton autoplaçant (E) :</w:t>
      </w:r>
    </w:p>
    <w:p w14:paraId="24648974" w14:textId="77777777" w:rsidR="00DB2B68" w:rsidRDefault="00000000">
      <w:pPr>
        <w:pStyle w:val="Author-eListParagraph"/>
        <w:numPr>
          <w:ilvl w:val="0"/>
          <w:numId w:val="704"/>
        </w:numPr>
      </w:pPr>
      <w:r>
        <w:t xml:space="preserve">Classe de viscosité apparente : </w:t>
      </w:r>
      <w:r>
        <w:rPr>
          <w:rStyle w:val="optioncarChar"/>
        </w:rPr>
        <w:t>VS1 / VS2</w:t>
      </w:r>
      <w:r>
        <w:t xml:space="preserve"> (selon la [NBN EN 12350-8])</w:t>
      </w:r>
    </w:p>
    <w:p w14:paraId="3FF9E0FC" w14:textId="77777777" w:rsidR="00DB2B68" w:rsidRDefault="00000000">
      <w:pPr>
        <w:pStyle w:val="Author-eListParagraph"/>
        <w:numPr>
          <w:ilvl w:val="0"/>
          <w:numId w:val="704"/>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14:paraId="70390613" w14:textId="77777777" w:rsidR="00DB2B68" w:rsidRDefault="00000000">
      <w:pPr>
        <w:pStyle w:val="Author-eListParagraph"/>
        <w:numPr>
          <w:ilvl w:val="0"/>
          <w:numId w:val="704"/>
        </w:numPr>
      </w:pPr>
      <w:r>
        <w:t xml:space="preserve">Classe de résistance à la ségrégation : </w:t>
      </w:r>
      <w:r>
        <w:rPr>
          <w:rStyle w:val="optioncarChar"/>
        </w:rPr>
        <w:t>SR1 / SR2</w:t>
      </w:r>
      <w:r>
        <w:t xml:space="preserve"> (selon la [NBN EN 12350-11])</w:t>
      </w:r>
    </w:p>
    <w:p w14:paraId="56AB01A2" w14:textId="77777777" w:rsidR="00DB2B68" w:rsidRDefault="00000000">
      <w:pPr>
        <w:jc w:val="both"/>
      </w:pPr>
      <w:r>
        <w:t xml:space="preserve">Les armatures de la couche de compression se composent au moins d'un treillis soudé, nuance d'acier </w:t>
      </w:r>
      <w:r>
        <w:rPr>
          <w:rStyle w:val="optioncarChar"/>
        </w:rPr>
        <w:t xml:space="preserve">DE 500 S </w:t>
      </w:r>
      <w:r>
        <w:t xml:space="preserve">(par défaut) </w:t>
      </w:r>
      <w:r>
        <w:rPr>
          <w:rStyle w:val="optioncarChar"/>
        </w:rPr>
        <w:t>/ BE 500 S</w:t>
      </w:r>
      <w:r>
        <w:t xml:space="preserve">, dimensions </w:t>
      </w:r>
      <w:r>
        <w:rPr>
          <w:rStyle w:val="optioncarChar"/>
        </w:rPr>
        <w:t>150 x 150 x 6 x 6</w:t>
      </w:r>
      <w:r>
        <w:t xml:space="preserve"> (par défaut)</w:t>
      </w:r>
      <w:r>
        <w:rPr>
          <w:rStyle w:val="optioncarChar"/>
        </w:rPr>
        <w:t> / ***x***x***x***</w:t>
      </w:r>
      <w:r>
        <w:t xml:space="preserve"> mm Les armatures complémentaires sont des barres d'acier de qualité BE 500 S.</w:t>
      </w:r>
    </w:p>
    <w:p w14:paraId="796A9211" w14:textId="77777777" w:rsidR="00DB2B68" w:rsidRDefault="00000000">
      <w:pPr>
        <w:pStyle w:val="pheading"/>
      </w:pPr>
      <w:r>
        <w:lastRenderedPageBreak/>
        <w:t>- Prescriptions complémentaires</w:t>
      </w:r>
    </w:p>
    <w:p w14:paraId="08729DCD" w14:textId="77777777" w:rsidR="00DB2B68" w:rsidRDefault="00000000">
      <w:pPr>
        <w:jc w:val="both"/>
      </w:pPr>
      <w:r>
        <w:rPr>
          <w:rStyle w:val="facultChar"/>
        </w:rPr>
        <w:t xml:space="preserve">Résistance au feu : pour les éléments porteurs et structuraux sans fonction séparant </w:t>
      </w:r>
      <w:r>
        <w:rPr>
          <w:rStyle w:val="optioncarChar"/>
        </w:rPr>
        <w:t xml:space="preserve">R15 / R30 / R60 </w:t>
      </w:r>
      <w:r>
        <w:t>(par défaut)</w:t>
      </w:r>
      <w:r>
        <w:rPr>
          <w:rStyle w:val="optioncarChar"/>
        </w:rPr>
        <w:t xml:space="preserve"> / R120 / R ***</w:t>
      </w:r>
      <w:r>
        <w:rPr>
          <w:rStyle w:val="facultChar"/>
        </w:rPr>
        <w:t xml:space="preserve"> et pour les éléments porteurs et structuraux avec fonction séparant</w:t>
      </w:r>
      <w:r>
        <w:rPr>
          <w:rStyle w:val="optioncarChar"/>
        </w:rPr>
        <w:t xml:space="preserve"> REI 30 / REI 60 </w:t>
      </w:r>
      <w:r>
        <w:t>(par défaut)</w:t>
      </w:r>
      <w:r>
        <w:rPr>
          <w:rStyle w:val="optioncarChar"/>
        </w:rPr>
        <w:t xml:space="preserve"> / REI 120 / ***</w:t>
      </w:r>
      <w:r>
        <w:t> </w:t>
      </w:r>
      <w:r>
        <w:rPr>
          <w:rStyle w:val="facultChar"/>
        </w:rP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301C6C42" w14:textId="77777777" w:rsidR="00DB2B68" w:rsidRDefault="00000000">
      <w:pPr>
        <w:jc w:val="both"/>
      </w:pPr>
      <w:r>
        <w:rPr>
          <w:rStyle w:val="facultChar"/>
        </w:rPr>
        <w:t xml:space="preserve">Réaction au feu des entrevous EBM </w:t>
      </w:r>
      <w:r>
        <w:rPr>
          <w:rStyle w:val="optioncarChar"/>
        </w:rPr>
        <w:t>D : entrevous en bois moulé + béton </w:t>
      </w:r>
      <w:r>
        <w:t>(par défaut)</w:t>
      </w:r>
      <w:r>
        <w:rPr>
          <w:rStyle w:val="optioncarChar"/>
        </w:rPr>
        <w:t xml:space="preserve"> / E : entrevous en bois moulé + polystyrène expansé (EPS) de qualité autoextinguible SE (40 à 120 mm) + béton</w:t>
      </w:r>
      <w:r>
        <w:rPr>
          <w:rStyle w:val="facultChar"/>
        </w:rPr>
        <w:t>.</w:t>
      </w:r>
    </w:p>
    <w:p w14:paraId="4D71EEF3" w14:textId="77777777" w:rsidR="00DB2B68" w:rsidRDefault="00000000">
      <w:pPr>
        <w:pStyle w:val="pheading"/>
      </w:pPr>
      <w:r>
        <w:t>EXÉCUTION / MISE EN ŒUVRE</w:t>
      </w:r>
    </w:p>
    <w:p w14:paraId="26E8CB5A" w14:textId="77777777" w:rsidR="00DB2B68" w:rsidRDefault="00000000">
      <w:pPr>
        <w:pStyle w:val="pheading"/>
      </w:pPr>
      <w:r>
        <w:t>- Prescriptions générales</w:t>
      </w:r>
    </w:p>
    <w:p w14:paraId="4BCE04D3" w14:textId="77777777" w:rsidR="00DB2B68" w:rsidRDefault="00000000">
      <w:pPr>
        <w:jc w:val="both"/>
      </w:pPr>
      <w:r>
        <w:t xml:space="preserve">L'étude de stabilité est réalisée conformément à la section </w:t>
      </w:r>
      <w:hyperlink w:anchor="87" w:history="1">
        <w:r>
          <w:rPr>
            <w:color w:val="0000EE"/>
          </w:rPr>
          <w:t>22 Superstructures en béton</w:t>
        </w:r>
      </w:hyperlink>
      <w:r>
        <w:t xml:space="preserve"> à charge </w:t>
      </w:r>
      <w:r>
        <w:rPr>
          <w:rStyle w:val="optioncarChar"/>
        </w:rPr>
        <w:t xml:space="preserve">de l'entrepreneur </w:t>
      </w:r>
      <w:r>
        <w:t xml:space="preserve">(par défaut) </w:t>
      </w:r>
      <w:r>
        <w:rPr>
          <w:rStyle w:val="optioncarChar"/>
        </w:rPr>
        <w:t>/ du maître de l'ouvrage / du bureau d’étude / ***.</w:t>
      </w:r>
    </w:p>
    <w:p w14:paraId="399BF748" w14:textId="77777777" w:rsidR="00DB2B68" w:rsidRDefault="00000000">
      <w:pPr>
        <w:jc w:val="both"/>
      </w:pPr>
      <w:r>
        <w:t xml:space="preserve">Le plancher doit être calculé pour une charge d’exploitation particulière de </w:t>
      </w:r>
      <w:r>
        <w:rPr>
          <w:rStyle w:val="optioncarChar"/>
        </w:rPr>
        <w:t xml:space="preserve">3 </w:t>
      </w:r>
      <w:r>
        <w:t xml:space="preserve">(par défaut) </w:t>
      </w:r>
      <w:r>
        <w:rPr>
          <w:rStyle w:val="optioncarChar"/>
        </w:rPr>
        <w:t>/ 4 / 5 / ***</w:t>
      </w:r>
      <w:r>
        <w:t> kN/m².</w:t>
      </w:r>
    </w:p>
    <w:p w14:paraId="2F6A5CD3" w14:textId="77777777" w:rsidR="00DB2B68" w:rsidRDefault="00000000">
      <w:pPr>
        <w:pStyle w:val="Author-eListParagraph"/>
        <w:numPr>
          <w:ilvl w:val="0"/>
          <w:numId w:val="705"/>
        </w:numPr>
      </w:pPr>
      <w:r>
        <w:t xml:space="preserve">la flèche du plancher ne peut excéder </w:t>
      </w:r>
      <w:r>
        <w:rPr>
          <w:rStyle w:val="optioncarChar"/>
        </w:rPr>
        <w:t xml:space="preserve">1/500 </w:t>
      </w:r>
      <w:r>
        <w:t>(par défaut)</w:t>
      </w:r>
      <w:r>
        <w:rPr>
          <w:rStyle w:val="optioncarChar"/>
        </w:rPr>
        <w:t xml:space="preserve"> / 1/700 / 1/1000 / ***</w:t>
      </w:r>
      <w:r>
        <w:t xml:space="preserve"> de la portée.</w:t>
      </w:r>
    </w:p>
    <w:p w14:paraId="1E77D210" w14:textId="77777777" w:rsidR="00DB2B68" w:rsidRDefault="00000000">
      <w:pPr>
        <w:pStyle w:val="Author-eListParagraph"/>
        <w:numPr>
          <w:ilvl w:val="0"/>
          <w:numId w:val="705"/>
        </w:numPr>
      </w:pPr>
      <w:r>
        <w:t>la face supérieure du plancher doit correspondre aux cotes de niveau et à l'épaisseur indiquées sur les plans d'architecture.</w:t>
      </w:r>
    </w:p>
    <w:p w14:paraId="75C26742" w14:textId="77777777" w:rsidR="00DB2B68" w:rsidRDefault="00000000">
      <w:pPr>
        <w:pStyle w:val="Author-eListParagraph"/>
        <w:numPr>
          <w:ilvl w:val="0"/>
          <w:numId w:val="705"/>
        </w:numPr>
      </w:pPr>
      <w:r>
        <w:t xml:space="preserve">l'écartement d'axe en axe entre les poutrelles est de maximum </w:t>
      </w:r>
      <w:r>
        <w:rPr>
          <w:rStyle w:val="optioncarChar"/>
        </w:rPr>
        <w:t> 30 / 60 / ***</w:t>
      </w:r>
      <w:r>
        <w:t xml:space="preserve"> (par défaut) cm.</w:t>
      </w:r>
      <w:r>
        <w:br/>
      </w:r>
    </w:p>
    <w:p w14:paraId="3E0038B3" w14:textId="77777777" w:rsidR="00DB2B68" w:rsidRDefault="00000000">
      <w:pPr>
        <w:jc w:val="both"/>
      </w:pPr>
      <w:r>
        <w:t>Chaque livraison de poutrelles est accompagnée d’un plan de pose et d’un cartouche donnant les détails importants pour la réalisation du plancher (volume béton, type de treillis soudé, de chapeaux, de renforts, etc.) ainsi que les hypothèses prises en compte pour le calcul (type de revêtement, charges, etc.). Le plan de pose indique les désignations des poutrelles et leur position.</w:t>
      </w:r>
    </w:p>
    <w:p w14:paraId="298C1042" w14:textId="77777777" w:rsidR="00DB2B68" w:rsidRDefault="00000000">
      <w:pPr>
        <w:jc w:val="both"/>
      </w:pPr>
      <w:r>
        <w:t>Le plan de pose indique la disposition retenue des étais pour chaque travée.</w:t>
      </w:r>
    </w:p>
    <w:p w14:paraId="7D5876A9" w14:textId="77777777" w:rsidR="00DB2B68" w:rsidRDefault="00000000">
      <w:pPr>
        <w:jc w:val="both"/>
      </w:pPr>
      <w:r>
        <w:t>Après la pose des entrevous, il est procédé à la mise en place des ferraillages complémentaires : treillis soudé de la dalle, chainage et équerres, armature en chapeaux, renforts… Le bétonnage des nervures, de la dalle de compression et des chainages s’effectue en une seule opération. L’épaisseur minimale de la dalle de répartition rapportée est de 5cm au-dessus des entrevous</w:t>
      </w:r>
    </w:p>
    <w:p w14:paraId="45CD248F" w14:textId="77777777" w:rsidR="00DB2B68" w:rsidRDefault="00000000">
      <w:pPr>
        <w:jc w:val="both"/>
      </w:pPr>
      <w:r>
        <w:t>La profondeur de pénétration des entrevous sur le mur est supérieure ou égale à 15 mm. Les entrevous sont mis en contact de manière à assurer une bonne étanchéité au coulage.</w:t>
      </w:r>
    </w:p>
    <w:p w14:paraId="6A0062D4" w14:textId="77777777" w:rsidR="00DB2B68" w:rsidRDefault="00000000">
      <w:pPr>
        <w:jc w:val="both"/>
      </w:pPr>
      <w:r>
        <w:t xml:space="preserve">Pose de </w:t>
      </w:r>
      <w:r>
        <w:rPr>
          <w:rStyle w:val="optioncarChar"/>
        </w:rPr>
        <w:t>5 / 6 / 7</w:t>
      </w:r>
      <w:r>
        <w:t xml:space="preserve"> (par défaut)</w:t>
      </w:r>
      <w:r>
        <w:rPr>
          <w:rStyle w:val="optioncarChar"/>
        </w:rPr>
        <w:t xml:space="preserve"> / ***</w:t>
      </w:r>
      <w:r>
        <w:t xml:space="preserve"> cm minimum de la tôle d’embase des poutrelles sur le mur.</w:t>
      </w:r>
    </w:p>
    <w:p w14:paraId="2BDC59E6" w14:textId="77777777" w:rsidR="00DB2B68" w:rsidRDefault="00000000">
      <w:pPr>
        <w:pStyle w:val="pheading"/>
      </w:pPr>
      <w:r>
        <w:t>- Notes d’exécution complémentaires</w:t>
      </w:r>
    </w:p>
    <w:p w14:paraId="3F71A233" w14:textId="77777777" w:rsidR="00DB2B68" w:rsidRDefault="00000000">
      <w:pPr>
        <w:jc w:val="both"/>
      </w:pPr>
      <w:r>
        <w:rPr>
          <w:rStyle w:val="facultChar"/>
        </w:rPr>
        <w:t xml:space="preserve">Placement d’une membrane de désolidarisation acoustique en périphérie du plancher : </w:t>
      </w:r>
      <w:r>
        <w:rPr>
          <w:rStyle w:val="optioncarChar"/>
        </w:rPr>
        <w:t>en position supérieure / en position inférieure / sans</w:t>
      </w:r>
    </w:p>
    <w:p w14:paraId="0568499C" w14:textId="77777777" w:rsidR="00DB2B68" w:rsidRDefault="00000000">
      <w:pPr>
        <w:jc w:val="both"/>
      </w:pPr>
      <w:r>
        <w:rPr>
          <w:rStyle w:val="facultChar"/>
        </w:rPr>
        <w:t>Si les poutrelles restent apparentes, les semelles en acier doivent rester propres exemptes de coups, déformations, griffes apparentes à hauteur d’homme.</w:t>
      </w:r>
    </w:p>
    <w:p w14:paraId="0CDC994D" w14:textId="77777777" w:rsidR="00DB2B68" w:rsidRDefault="00000000">
      <w:pPr>
        <w:jc w:val="both"/>
      </w:pPr>
      <w:r>
        <w:rPr>
          <w:rStyle w:val="facultChar"/>
        </w:rPr>
        <w:t>Remarque : le plafond peut bénéficier d’une finition en plâtre projeté en interposant entre la sous face du plancher et le plâtre un treillis métallique fixé au talon des poutrelles.</w:t>
      </w:r>
    </w:p>
    <w:p w14:paraId="05F1D839" w14:textId="77777777" w:rsidR="00DB2B68" w:rsidRDefault="00000000">
      <w:pPr>
        <w:pStyle w:val="pheading"/>
      </w:pPr>
      <w:r>
        <w:t>- Échantillons</w:t>
      </w:r>
    </w:p>
    <w:p w14:paraId="2A00AD7E" w14:textId="77777777" w:rsidR="00DB2B68" w:rsidRDefault="00000000">
      <w:pPr>
        <w:jc w:val="both"/>
      </w:pPr>
      <w:r>
        <w:t xml:space="preserve">Si les entrevous en copeaux de bois restent apparents, un exemplaire d’entrevous est présenté pour accord </w:t>
      </w:r>
      <w:r>
        <w:rPr>
          <w:rStyle w:val="optioncarChar"/>
        </w:rPr>
        <w:t>à l’architecte / au maître de l’ouvrage</w:t>
      </w:r>
      <w:r>
        <w:t>.</w:t>
      </w:r>
    </w:p>
    <w:p w14:paraId="770C89BF" w14:textId="77777777" w:rsidR="00DB2B68" w:rsidRDefault="00000000">
      <w:pPr>
        <w:pStyle w:val="pheading"/>
      </w:pPr>
      <w:r>
        <w:t>DOCUMENTS DE RÉFÉRENCE COMPLÉMENTAIRES</w:t>
      </w:r>
    </w:p>
    <w:p w14:paraId="370D4F76" w14:textId="77777777" w:rsidR="00DB2B68" w:rsidRDefault="00000000">
      <w:pPr>
        <w:pStyle w:val="pheading"/>
      </w:pPr>
      <w:r>
        <w:t>- Matériau</w:t>
      </w:r>
    </w:p>
    <w:p w14:paraId="14AE2B13" w14:textId="77777777" w:rsidR="00DB2B68" w:rsidRDefault="00000000">
      <w:r>
        <w:t>[NBN EN 206:2013+A2, Béton - Spécification, performances, production et conformité] </w:t>
      </w:r>
    </w:p>
    <w:p w14:paraId="78B73D22" w14:textId="77777777" w:rsidR="00DB2B68" w:rsidRDefault="00000000">
      <w:r>
        <w:lastRenderedPageBreak/>
        <w:t>[NBN B 15-001, Béton - Spécification, performances, production et conformité - Complément national à la NBN EN 206:2013+A2:2021]</w:t>
      </w:r>
    </w:p>
    <w:p w14:paraId="28B13B43" w14:textId="77777777" w:rsidR="00DB2B68" w:rsidRDefault="00000000">
      <w:r>
        <w:t>[NBN EN 12350-10, Essai pour béton frais - Partie 10: Béton autoplaçant - Essai à la boîte en L]</w:t>
      </w:r>
    </w:p>
    <w:p w14:paraId="323B4132" w14:textId="77777777" w:rsidR="00DB2B68" w:rsidRDefault="00000000">
      <w:r>
        <w:t>[NBN EN 12350-12, Essai pour béton frais - Partie 12 : Béton autoplaçant - Essai d'écoulement à l'anneau]</w:t>
      </w:r>
    </w:p>
    <w:p w14:paraId="2640FC6C" w14:textId="77777777" w:rsidR="00DB2B68" w:rsidRDefault="00000000">
      <w:r>
        <w:t>[NBN EN 12350-11, Essai pour béton frais - Partie 11: Béton autoplaçant - Essai de stabilité au tamis]</w:t>
      </w:r>
    </w:p>
    <w:p w14:paraId="26208C3C"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49B09AD6" w14:textId="77777777" w:rsidR="00DB2B68" w:rsidRDefault="00000000">
      <w:pPr>
        <w:pStyle w:val="pheading"/>
      </w:pPr>
      <w:r>
        <w:t>MESURAGE</w:t>
      </w:r>
    </w:p>
    <w:p w14:paraId="1730D0B2" w14:textId="77777777" w:rsidR="00DB2B68" w:rsidRDefault="00000000">
      <w:pPr>
        <w:pStyle w:val="pheading"/>
      </w:pPr>
      <w:r>
        <w:t>- unité de mesure:</w:t>
      </w:r>
    </w:p>
    <w:p w14:paraId="46C3050B" w14:textId="77777777" w:rsidR="00DB2B68" w:rsidRDefault="00000000">
      <w:r>
        <w:rPr>
          <w:rStyle w:val="optioncarChar"/>
        </w:rPr>
        <w:t>m² </w:t>
      </w:r>
      <w:r>
        <w:t>(par défaut)</w:t>
      </w:r>
      <w:r>
        <w:rPr>
          <w:rStyle w:val="optioncarChar"/>
        </w:rPr>
        <w:t xml:space="preserve"> / selon bordereau / selon bordereau avec décompte final / m³ ; kg / m³ ; m³ ; kg ; à la pièce</w:t>
      </w:r>
    </w:p>
    <w:p w14:paraId="42A562AB" w14:textId="77777777" w:rsidR="00DB2B68" w:rsidRDefault="00000000">
      <w:r>
        <w:rPr>
          <w:b/>
          <w:i/>
        </w:rPr>
        <w:t>(Soit par défaut)</w:t>
      </w:r>
    </w:p>
    <w:p w14:paraId="5DC714A2" w14:textId="77777777" w:rsidR="00DB2B68" w:rsidRDefault="00000000">
      <w:r>
        <w:rPr>
          <w:rStyle w:val="soitChar"/>
        </w:rPr>
        <w:t>1. m²</w:t>
      </w:r>
    </w:p>
    <w:p w14:paraId="396F74E0" w14:textId="77777777" w:rsidR="00DB2B68" w:rsidRDefault="00000000">
      <w:r>
        <w:rPr>
          <w:b/>
          <w:i/>
        </w:rPr>
        <w:t>(Soit)</w:t>
      </w:r>
    </w:p>
    <w:p w14:paraId="03E3900B" w14:textId="77777777" w:rsidR="00DB2B68" w:rsidRDefault="00000000">
      <w:r>
        <w:rPr>
          <w:rStyle w:val="soitChar"/>
        </w:rPr>
        <w:t>2. Selon bordereau</w:t>
      </w:r>
    </w:p>
    <w:p w14:paraId="4C19A13B" w14:textId="77777777" w:rsidR="00DB2B68" w:rsidRDefault="00000000">
      <w:r>
        <w:rPr>
          <w:b/>
          <w:i/>
        </w:rPr>
        <w:t>(Soit)</w:t>
      </w:r>
    </w:p>
    <w:p w14:paraId="0E4B26DC" w14:textId="77777777" w:rsidR="00DB2B68" w:rsidRDefault="00000000">
      <w:r>
        <w:rPr>
          <w:rStyle w:val="soitChar"/>
        </w:rPr>
        <w:t>3. Selon bordereau avec décompte final</w:t>
      </w:r>
    </w:p>
    <w:p w14:paraId="741E71E7" w14:textId="77777777" w:rsidR="00DB2B68" w:rsidRDefault="00000000">
      <w:r>
        <w:rPr>
          <w:b/>
          <w:i/>
        </w:rPr>
        <w:t>(Soit)</w:t>
      </w:r>
    </w:p>
    <w:p w14:paraId="4F049CA9" w14:textId="77777777" w:rsidR="00DB2B68" w:rsidRDefault="00000000">
      <w:r>
        <w:rPr>
          <w:rStyle w:val="soitChar"/>
        </w:rPr>
        <w:t>4. m³ ; kg</w:t>
      </w:r>
    </w:p>
    <w:p w14:paraId="7EFACF0A" w14:textId="77777777" w:rsidR="00DB2B68" w:rsidRDefault="00000000">
      <w:r>
        <w:rPr>
          <w:b/>
          <w:i/>
        </w:rPr>
        <w:t>(Soit)</w:t>
      </w:r>
    </w:p>
    <w:p w14:paraId="76E5B60E" w14:textId="77777777" w:rsidR="00DB2B68" w:rsidRDefault="00000000">
      <w:r>
        <w:rPr>
          <w:rStyle w:val="soitChar"/>
        </w:rPr>
        <w:t>5. m³ ; m³ ; kg ; à la pièce</w:t>
      </w:r>
    </w:p>
    <w:p w14:paraId="65862800" w14:textId="77777777" w:rsidR="00DB2B68" w:rsidRDefault="00000000">
      <w:pPr>
        <w:pStyle w:val="pheading"/>
      </w:pPr>
      <w:r>
        <w:t>- code de mesurage:</w:t>
      </w:r>
    </w:p>
    <w:p w14:paraId="66B97E03" w14:textId="77777777" w:rsidR="00DB2B68" w:rsidRDefault="00000000">
      <w:pPr>
        <w:jc w:val="both"/>
      </w:pPr>
      <w:r>
        <w:rPr>
          <w:rStyle w:val="optioncarChar"/>
        </w:rPr>
        <w:t xml:space="preserve">Surface nette </w:t>
      </w:r>
      <w:r>
        <w:t xml:space="preserve">(par défaut) </w:t>
      </w:r>
      <w:r>
        <w:rPr>
          <w:rStyle w:val="optioncarChar"/>
        </w:rPr>
        <w:t>/ selon bordereau / selon bordereau avec décompte / selon le volume de béton et le poids des armatures / selon le volume de béton de remplissage et de compression et le poids des armatures.</w:t>
      </w:r>
    </w:p>
    <w:p w14:paraId="75241626" w14:textId="77777777" w:rsidR="00DB2B68" w:rsidRDefault="00000000">
      <w:pPr>
        <w:jc w:val="both"/>
      </w:pPr>
      <w:r>
        <w:rPr>
          <w:b/>
          <w:i/>
        </w:rPr>
        <w:t>(Soit par défaut)</w:t>
      </w:r>
    </w:p>
    <w:p w14:paraId="0472A093" w14:textId="77777777" w:rsidR="00DB2B68" w:rsidRDefault="00000000">
      <w:pPr>
        <w:jc w:val="both"/>
      </w:pPr>
      <w:r>
        <w:rPr>
          <w:rStyle w:val="soitChar"/>
          <w:b/>
        </w:rPr>
        <w:t>1. Surface nette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sont par conséquent, être déduites de la maçonnerie intérieure. Les vides, percements et feuillures supérieures à 0,50 m² sont déduits.</w:t>
      </w:r>
    </w:p>
    <w:p w14:paraId="3C86E91D" w14:textId="77777777" w:rsidR="00DB2B68" w:rsidRDefault="00000000">
      <w:pPr>
        <w:jc w:val="both"/>
      </w:pPr>
      <w:r>
        <w:rPr>
          <w:rStyle w:val="soitChar"/>
        </w:rPr>
        <w:t>Pour l'ensemble ou, le cas échéant, ventilé en fonction de la nature, de l'épaisseur et/ou de la charge d’exploitation. Tous les éléments nécessaires, travaux et fournitures (coffrages, étançonnement, armatures et couches de compression prescrites) sont compris dans le prix unitaire.</w:t>
      </w:r>
    </w:p>
    <w:p w14:paraId="1EA9E2D7" w14:textId="77777777" w:rsidR="00DB2B68" w:rsidRDefault="00000000">
      <w:pPr>
        <w:jc w:val="both"/>
      </w:pPr>
      <w:r>
        <w:rPr>
          <w:b/>
          <w:i/>
        </w:rPr>
        <w:t>(Soit)</w:t>
      </w:r>
    </w:p>
    <w:p w14:paraId="76701BC2" w14:textId="77777777" w:rsidR="00DB2B68" w:rsidRDefault="00000000">
      <w:pPr>
        <w:jc w:val="both"/>
      </w:pPr>
      <w:r>
        <w:rPr>
          <w:rStyle w:val="soitChar"/>
          <w:b/>
        </w:rPr>
        <w:t>2. Selon bordereau</w:t>
      </w:r>
      <w:r>
        <w:rPr>
          <w:rStyle w:val="soitChar"/>
        </w:rPr>
        <w:t> ; selon le bordereau spécifié dans l'étude de stabilité et repris dans le métré récapitulatif.</w:t>
      </w:r>
    </w:p>
    <w:p w14:paraId="45E5D085" w14:textId="77777777" w:rsidR="00DB2B68" w:rsidRDefault="00000000">
      <w:pPr>
        <w:jc w:val="both"/>
      </w:pPr>
      <w:r>
        <w:rPr>
          <w:b/>
          <w:i/>
        </w:rPr>
        <w:t>(Soit)</w:t>
      </w:r>
    </w:p>
    <w:p w14:paraId="1C7D5FA7" w14:textId="77777777" w:rsidR="00DB2B68" w:rsidRDefault="00000000">
      <w:pPr>
        <w:jc w:val="both"/>
      </w:pPr>
      <w:r>
        <w:rPr>
          <w:rStyle w:val="soitChar"/>
          <w:b/>
        </w:rPr>
        <w:t>3. Selon bordereau avec décompte</w:t>
      </w:r>
      <w:r>
        <w:rPr>
          <w:rStyle w:val="soitChar"/>
        </w:rPr>
        <w:t> ; selon le bordereau spécifié dans l'étude de stabilité et repris dans le métré récapitulatif mais les décomptes sont réalisés après travail. </w:t>
      </w:r>
    </w:p>
    <w:p w14:paraId="10CB3B46" w14:textId="77777777" w:rsidR="00DB2B68" w:rsidRDefault="00000000">
      <w:pPr>
        <w:jc w:val="both"/>
      </w:pPr>
      <w:r>
        <w:rPr>
          <w:b/>
          <w:i/>
        </w:rPr>
        <w:t>(Soit)</w:t>
      </w:r>
    </w:p>
    <w:p w14:paraId="5FADA958" w14:textId="77777777" w:rsidR="00DB2B68" w:rsidRDefault="00000000">
      <w:pPr>
        <w:jc w:val="both"/>
      </w:pPr>
      <w:r>
        <w:rPr>
          <w:rStyle w:val="soitChar"/>
          <w:b/>
        </w:rPr>
        <w:lastRenderedPageBreak/>
        <w:t>4. Selon le volume de béton et le poids des armatures ;</w:t>
      </w:r>
    </w:p>
    <w:p w14:paraId="244688A9" w14:textId="77777777" w:rsidR="00DB2B68" w:rsidRDefault="00000000">
      <w:pPr>
        <w:pStyle w:val="Author-eListParagraph"/>
        <w:numPr>
          <w:ilvl w:val="0"/>
          <w:numId w:val="706"/>
        </w:numPr>
      </w:pPr>
      <w:r>
        <w:rPr>
          <w:rStyle w:val="soitChar"/>
        </w:rPr>
        <w:t>m³ pour le béton</w:t>
      </w:r>
    </w:p>
    <w:p w14:paraId="40F58041" w14:textId="77777777" w:rsidR="00DB2B68" w:rsidRDefault="00000000">
      <w:pPr>
        <w:pStyle w:val="Author-eListParagraph"/>
        <w:numPr>
          <w:ilvl w:val="0"/>
          <w:numId w:val="706"/>
        </w:numPr>
      </w:pPr>
      <w:r>
        <w:rPr>
          <w:rStyle w:val="soitChar"/>
        </w:rPr>
        <w:t>kg pour les armatures</w:t>
      </w:r>
    </w:p>
    <w:p w14:paraId="254614AF" w14:textId="77777777" w:rsidR="00DB2B68" w:rsidRDefault="00000000">
      <w:pPr>
        <w:pStyle w:val="Author-eListParagraph"/>
        <w:numPr>
          <w:ilvl w:val="0"/>
          <w:numId w:val="706"/>
        </w:numPr>
      </w:pPr>
      <w:r>
        <w:rPr>
          <w:rStyle w:val="soitChar"/>
        </w:rPr>
        <w:t>Tous les autres éléments, travaux et fournitures doivent être compris dans les prix unitaires respectifs pour les mesurages précités.</w:t>
      </w:r>
    </w:p>
    <w:p w14:paraId="0C94339A" w14:textId="77777777" w:rsidR="00DB2B68" w:rsidRDefault="00000000">
      <w:pPr>
        <w:jc w:val="both"/>
      </w:pPr>
      <w:r>
        <w:rPr>
          <w:b/>
          <w:i/>
        </w:rPr>
        <w:t>(Soit)</w:t>
      </w:r>
    </w:p>
    <w:p w14:paraId="2C8C4D00" w14:textId="77777777" w:rsidR="00DB2B68" w:rsidRDefault="00000000">
      <w:pPr>
        <w:jc w:val="both"/>
      </w:pPr>
      <w:r>
        <w:rPr>
          <w:rStyle w:val="soitChar"/>
          <w:b/>
        </w:rPr>
        <w:t>5. Selon le volume de béton de remplissage et de compression et le poids des armatures ;</w:t>
      </w:r>
    </w:p>
    <w:p w14:paraId="1D72B95E" w14:textId="77777777" w:rsidR="00DB2B68" w:rsidRDefault="00000000">
      <w:pPr>
        <w:pStyle w:val="Author-eListParagraph"/>
        <w:numPr>
          <w:ilvl w:val="0"/>
          <w:numId w:val="707"/>
        </w:numPr>
      </w:pPr>
      <w:r>
        <w:rPr>
          <w:rStyle w:val="soitChar"/>
        </w:rPr>
        <w:t>m³ pour le béton de remplissage</w:t>
      </w:r>
    </w:p>
    <w:p w14:paraId="553DFFBF" w14:textId="77777777" w:rsidR="00DB2B68" w:rsidRDefault="00000000">
      <w:pPr>
        <w:pStyle w:val="Author-eListParagraph"/>
        <w:numPr>
          <w:ilvl w:val="0"/>
          <w:numId w:val="707"/>
        </w:numPr>
      </w:pPr>
      <w:r>
        <w:rPr>
          <w:rStyle w:val="soitChar"/>
        </w:rPr>
        <w:t>m³ pour la couche de compression béton (en mentionnant l'épaisseur...)</w:t>
      </w:r>
    </w:p>
    <w:p w14:paraId="46892FDB" w14:textId="77777777" w:rsidR="00DB2B68" w:rsidRDefault="00000000">
      <w:pPr>
        <w:pStyle w:val="Author-eListParagraph"/>
        <w:numPr>
          <w:ilvl w:val="0"/>
          <w:numId w:val="707"/>
        </w:numPr>
      </w:pPr>
      <w:r>
        <w:rPr>
          <w:rStyle w:val="soitChar"/>
        </w:rPr>
        <w:t>kg pour les armatures</w:t>
      </w:r>
    </w:p>
    <w:p w14:paraId="17FDCCDD" w14:textId="77777777" w:rsidR="00DB2B68" w:rsidRDefault="00000000">
      <w:pPr>
        <w:pStyle w:val="Author-eListParagraph"/>
        <w:numPr>
          <w:ilvl w:val="0"/>
          <w:numId w:val="707"/>
        </w:numPr>
      </w:pPr>
      <w:r>
        <w:rPr>
          <w:rStyle w:val="soitChar"/>
        </w:rPr>
        <w:t>Pièces divergentes et pièces spéciales : à la pièce (selon les dimensions identiques ou indications standards).</w:t>
      </w:r>
    </w:p>
    <w:p w14:paraId="7EA8E7C3" w14:textId="77777777" w:rsidR="00DB2B68" w:rsidRDefault="00000000">
      <w:pPr>
        <w:pStyle w:val="pheading"/>
      </w:pPr>
      <w:r>
        <w:t>- nature du marché:</w:t>
      </w:r>
    </w:p>
    <w:p w14:paraId="30D02DDC" w14:textId="77777777" w:rsidR="00DB2B68" w:rsidRDefault="00000000">
      <w:r>
        <w:rPr>
          <w:rStyle w:val="optioncarChar"/>
        </w:rPr>
        <w:t xml:space="preserve">QF </w:t>
      </w:r>
      <w:r>
        <w:t xml:space="preserve">(par défaut) </w:t>
      </w:r>
      <w:r>
        <w:rPr>
          <w:rStyle w:val="optioncarChar"/>
        </w:rPr>
        <w:t>/ QP</w:t>
      </w:r>
    </w:p>
    <w:p w14:paraId="3D7C1AE0" w14:textId="77777777" w:rsidR="00DB2B68" w:rsidRDefault="00000000">
      <w:r>
        <w:rPr>
          <w:b/>
          <w:i/>
        </w:rPr>
        <w:t>(Soit par défaut)</w:t>
      </w:r>
    </w:p>
    <w:p w14:paraId="5D1FE7ED" w14:textId="77777777" w:rsidR="00DB2B68" w:rsidRDefault="00000000">
      <w:r>
        <w:rPr>
          <w:rStyle w:val="soitChar"/>
        </w:rPr>
        <w:t>1.2.4.5. QF</w:t>
      </w:r>
    </w:p>
    <w:p w14:paraId="2C116629" w14:textId="77777777" w:rsidR="00DB2B68" w:rsidRDefault="00000000">
      <w:r>
        <w:rPr>
          <w:b/>
          <w:i/>
        </w:rPr>
        <w:t>(Soit)</w:t>
      </w:r>
    </w:p>
    <w:p w14:paraId="3288FE6C" w14:textId="77777777" w:rsidR="00DB2B68" w:rsidRDefault="00000000">
      <w:r>
        <w:rPr>
          <w:rStyle w:val="soitChar"/>
        </w:rPr>
        <w:t>3. QP</w:t>
      </w:r>
    </w:p>
    <w:p w14:paraId="4C9552AB" w14:textId="77777777" w:rsidR="00DB2B68" w:rsidRDefault="00000000">
      <w:pPr>
        <w:pStyle w:val="Author-eSectionHeading6Numberless"/>
      </w:pPr>
      <w:bookmarkStart w:id="1331" w:name="_Toc220496344"/>
      <w:r>
        <w:t>23.22.3f Planchers à poutrelles en acier et entrevous en maçonnerie CCTB 01.04</w:t>
      </w:r>
      <w:bookmarkEnd w:id="1331"/>
    </w:p>
    <w:p w14:paraId="1791575F" w14:textId="77777777" w:rsidR="00DB2B68" w:rsidRDefault="00000000">
      <w:pPr>
        <w:pStyle w:val="Author-eSectionHeading6Numberless"/>
      </w:pPr>
      <w:bookmarkStart w:id="1332" w:name="_Toc220496345"/>
      <w:r>
        <w:t>23.22.3g Planchers à poutrelles en acier et entrevous en acier CCTB 01.04</w:t>
      </w:r>
      <w:bookmarkEnd w:id="1332"/>
    </w:p>
    <w:p w14:paraId="3DD1848B" w14:textId="77777777" w:rsidR="00DB2B68" w:rsidRDefault="00000000">
      <w:pPr>
        <w:pStyle w:val="Author-eSectionHeading4Numberless"/>
      </w:pPr>
      <w:bookmarkStart w:id="1333" w:name="_Toc220496346"/>
      <w:r>
        <w:t>23.23 Charpentes de toiture métalliques CCTB 01.04</w:t>
      </w:r>
      <w:bookmarkEnd w:id="1333"/>
    </w:p>
    <w:p w14:paraId="29D6A8B5" w14:textId="77777777" w:rsidR="00DB2B68" w:rsidRDefault="00000000">
      <w:pPr>
        <w:pStyle w:val="Author-eSectionHeading5Numberless"/>
      </w:pPr>
      <w:bookmarkStart w:id="1334" w:name="_Toc220496347"/>
      <w:r>
        <w:t>23.23.1 Charpentes de toiture en acier laminé à chaud CCTB 01.12</w:t>
      </w:r>
      <w:bookmarkEnd w:id="1334"/>
    </w:p>
    <w:p w14:paraId="2B12E3EC" w14:textId="77777777" w:rsidR="00DB2B68" w:rsidRDefault="00000000">
      <w:pPr>
        <w:pStyle w:val="pheading"/>
      </w:pPr>
      <w:bookmarkStart w:id="1335" w:name="555"/>
      <w:bookmarkEnd w:id="1335"/>
      <w:r>
        <w:t>DESCRIPTION</w:t>
      </w:r>
    </w:p>
    <w:p w14:paraId="0EBEA91B" w14:textId="77777777" w:rsidR="00DB2B68" w:rsidRDefault="00000000">
      <w:pPr>
        <w:pStyle w:val="pheading"/>
      </w:pPr>
      <w:r>
        <w:t>- Définition / Comprend</w:t>
      </w:r>
    </w:p>
    <w:p w14:paraId="436A3884" w14:textId="77777777" w:rsidR="00DB2B68" w:rsidRDefault="00000000">
      <w:pPr>
        <w:jc w:val="both"/>
      </w:pPr>
      <w:r>
        <w:t>Il s’agit de tous les travaux et fournitures pour la réalisation des charpentes de toiture en acier, y compris tous les systèmes d'assemblage, l'exécution proprement dite, tous les boulonnages, le raccordement au gros-œuvre, les ancrages, les accessoires, la protection contre la corrosion, etc.</w:t>
      </w:r>
    </w:p>
    <w:p w14:paraId="5D06F346" w14:textId="77777777" w:rsidR="00DB2B68" w:rsidRDefault="00000000">
      <w:pPr>
        <w:jc w:val="both"/>
      </w:pPr>
      <w:r>
        <w:t>Ce poste comprend notamment :</w:t>
      </w:r>
    </w:p>
    <w:p w14:paraId="6EAF9DAB" w14:textId="77777777" w:rsidR="00DB2B68" w:rsidRDefault="00000000">
      <w:pPr>
        <w:pStyle w:val="Author-eListParagraph"/>
        <w:numPr>
          <w:ilvl w:val="0"/>
          <w:numId w:val="708"/>
        </w:numPr>
        <w:jc w:val="both"/>
      </w:pPr>
      <w:r>
        <w:t>le cas échéant, l'établissement de l'étude de stabilité et les dessins d'exécution ;</w:t>
      </w:r>
    </w:p>
    <w:p w14:paraId="62408FC5" w14:textId="77777777" w:rsidR="00DB2B68" w:rsidRDefault="00000000">
      <w:pPr>
        <w:pStyle w:val="Author-eListParagraph"/>
        <w:numPr>
          <w:ilvl w:val="0"/>
          <w:numId w:val="708"/>
        </w:numPr>
        <w:jc w:val="both"/>
      </w:pPr>
      <w:r>
        <w:t>le relevé sur place des dimensions exactes ;</w:t>
      </w:r>
    </w:p>
    <w:p w14:paraId="61D87313" w14:textId="77777777" w:rsidR="00DB2B68" w:rsidRDefault="00000000">
      <w:pPr>
        <w:pStyle w:val="Author-eListParagraph"/>
        <w:numPr>
          <w:ilvl w:val="0"/>
          <w:numId w:val="708"/>
        </w:numPr>
        <w:jc w:val="both"/>
      </w:pPr>
      <w:r>
        <w:t>le contrôle et la préparation des supports ;</w:t>
      </w:r>
    </w:p>
    <w:p w14:paraId="47C37911" w14:textId="77777777" w:rsidR="00DB2B68" w:rsidRDefault="00000000">
      <w:pPr>
        <w:pStyle w:val="Author-eListParagraph"/>
        <w:numPr>
          <w:ilvl w:val="0"/>
          <w:numId w:val="708"/>
        </w:numPr>
        <w:jc w:val="both"/>
      </w:pPr>
      <w:r>
        <w:t>la préparation et l'usinage de l'acier en atelier (couper, plier, etc.), y compris tous les assemblages par soudure et boulonnage ;</w:t>
      </w:r>
    </w:p>
    <w:p w14:paraId="310860DC" w14:textId="77777777" w:rsidR="00DB2B68" w:rsidRDefault="00000000">
      <w:pPr>
        <w:pStyle w:val="Author-eListParagraph"/>
        <w:numPr>
          <w:ilvl w:val="0"/>
          <w:numId w:val="708"/>
        </w:numPr>
        <w:jc w:val="both"/>
      </w:pPr>
      <w:r>
        <w:t>la protection contre la corrosion;</w:t>
      </w:r>
    </w:p>
    <w:p w14:paraId="2978B00A" w14:textId="77777777" w:rsidR="00DB2B68" w:rsidRDefault="00000000">
      <w:pPr>
        <w:pStyle w:val="Author-eListParagraph"/>
        <w:numPr>
          <w:ilvl w:val="0"/>
          <w:numId w:val="708"/>
        </w:numPr>
        <w:jc w:val="both"/>
      </w:pPr>
      <w:r>
        <w:t>la fourniture et le montage des éléments de construction en acier sur chantier, y compris tous les dispositifs d'assemblage, d'appui, d'ancrage, de scellement etc. ;</w:t>
      </w:r>
    </w:p>
    <w:p w14:paraId="16063A7D" w14:textId="77777777" w:rsidR="00DB2B68" w:rsidRDefault="00000000">
      <w:pPr>
        <w:pStyle w:val="Author-eListParagraph"/>
        <w:numPr>
          <w:ilvl w:val="0"/>
          <w:numId w:val="708"/>
        </w:numPr>
        <w:jc w:val="both"/>
      </w:pPr>
      <w:r>
        <w:t>l’évacuation des déchets et le nettoyage du chantier.</w:t>
      </w:r>
    </w:p>
    <w:p w14:paraId="07FE927F" w14:textId="77777777" w:rsidR="00DB2B68" w:rsidRDefault="00000000">
      <w:pPr>
        <w:pStyle w:val="pheading"/>
      </w:pPr>
      <w:r>
        <w:t>- Remarques importantes</w:t>
      </w:r>
    </w:p>
    <w:p w14:paraId="4C46D7BF" w14:textId="77777777" w:rsidR="00DB2B68" w:rsidRDefault="00000000">
      <w:pPr>
        <w:jc w:val="both"/>
      </w:pPr>
      <w:r>
        <w:t xml:space="preserve">Le constructeur est tenu de prendre toutes les précautions nécessaires, dans l'atelier et sur chantier, pour prévenir toute déformation des éléments pendant leur manutention. Il attache une importance particulière aux dimensions des éléments, à leur niveau et fléchissement ainsi qu'aux pénétrations pour les conduites et les fourreaux. Il faut absolument éviter de rectifier des éléments déjà assemblés. Au cours de leur production, les éléments sont pourvus des réservations ou des pénétrations nécessaires conformément aux indications sur les plans. On ne peut en aucun cas </w:t>
      </w:r>
      <w:r>
        <w:lastRenderedPageBreak/>
        <w:t>effectuer des perforations par forage, fraisages ou au chalumeau sans l'autorisation préalable de l'auteur de projet ou du bureau d'étude chargé de l'étude de stabilité.</w:t>
      </w:r>
    </w:p>
    <w:p w14:paraId="54CF8A69" w14:textId="77777777" w:rsidR="00DB2B68" w:rsidRDefault="00000000">
      <w:pPr>
        <w:jc w:val="both"/>
      </w:pPr>
      <w:r>
        <w:t>Pour les marquages provisoires, des peintures ou des marqueurs effaçables à l'eau sont utilisés. Les peintures à l'huile et autres ne sont pas autorisées, elles risquent de donner lieu à des défauts de galvanisation.</w:t>
      </w:r>
    </w:p>
    <w:p w14:paraId="38FDB7AF" w14:textId="77777777" w:rsidR="00DB2B68" w:rsidRDefault="00000000">
      <w:pPr>
        <w:jc w:val="both"/>
      </w:pPr>
      <w:r>
        <w:t>L'entrepreneur exécute les travaux conformément aux règles de bonne pratique. En cas de controverse en ce qui concerne les critères de qualité ou les tolérances d'application, seules les normes les plus récentes sont d’application.</w:t>
      </w:r>
    </w:p>
    <w:p w14:paraId="787C90BC" w14:textId="77777777" w:rsidR="00DB2B68" w:rsidRDefault="00000000">
      <w:pPr>
        <w:pStyle w:val="pheading"/>
      </w:pPr>
      <w:r>
        <w:t>MATÉRIAUX</w:t>
      </w:r>
    </w:p>
    <w:p w14:paraId="5DC9662B" w14:textId="77777777" w:rsidR="00DB2B68" w:rsidRDefault="00000000">
      <w:r>
        <w:rPr>
          <w:b/>
          <w:u w:val="single"/>
        </w:rPr>
        <w:t>Acier laminé à chaud</w:t>
      </w:r>
    </w:p>
    <w:p w14:paraId="126172CA" w14:textId="77777777" w:rsidR="00DB2B68" w:rsidRDefault="00000000">
      <w:r>
        <w:rPr>
          <w:i/>
        </w:rPr>
        <w:t>Caractéristiques</w:t>
      </w:r>
    </w:p>
    <w:p w14:paraId="3F7D69D4" w14:textId="77777777" w:rsidR="00DB2B68" w:rsidRDefault="00000000">
      <w:pPr>
        <w:pStyle w:val="Author-eListParagraph"/>
        <w:numPr>
          <w:ilvl w:val="0"/>
          <w:numId w:val="709"/>
        </w:numPr>
      </w:pPr>
      <w:r>
        <w:t xml:space="preserve">Nuance d'acier (selon la limite élastique en N/mm²) [NBN EN 10025 série] : </w:t>
      </w:r>
      <w:r>
        <w:rPr>
          <w:rStyle w:val="optioncarChar"/>
        </w:rPr>
        <w:t>S235</w:t>
      </w:r>
      <w:r>
        <w:t xml:space="preserve"> (par défaut) </w:t>
      </w:r>
      <w:r>
        <w:rPr>
          <w:rStyle w:val="optioncarChar"/>
        </w:rPr>
        <w:t>/ S 275 / S 355 / S 420 / S460 / ***</w:t>
      </w:r>
      <w:r>
        <w:t>.</w:t>
      </w:r>
    </w:p>
    <w:p w14:paraId="4951B791" w14:textId="77777777" w:rsidR="00DB2B68" w:rsidRDefault="00000000">
      <w:pPr>
        <w:pStyle w:val="Author-eListParagraph"/>
        <w:numPr>
          <w:ilvl w:val="0"/>
          <w:numId w:val="709"/>
        </w:numPr>
      </w:pPr>
      <w:r>
        <w:t xml:space="preserve">Qualité d’acier [NBN EN 10025 série] : </w:t>
      </w:r>
      <w:r>
        <w:rPr>
          <w:rStyle w:val="optioncarChar"/>
        </w:rPr>
        <w:t xml:space="preserve">JR / J0 </w:t>
      </w:r>
      <w:r>
        <w:t xml:space="preserve">(par défaut) </w:t>
      </w:r>
      <w:r>
        <w:rPr>
          <w:rStyle w:val="optioncarChar"/>
        </w:rPr>
        <w:t>/ J2 / K2 / N / NL / M / ML / W / P / Q / QL / QL1 / ***</w:t>
      </w:r>
      <w:r>
        <w:t>.</w:t>
      </w:r>
    </w:p>
    <w:p w14:paraId="5EFC0F70" w14:textId="77777777" w:rsidR="00DB2B68" w:rsidRDefault="00000000">
      <w:pPr>
        <w:pStyle w:val="Author-eListParagraph"/>
        <w:numPr>
          <w:ilvl w:val="0"/>
          <w:numId w:val="709"/>
        </w:numPr>
      </w:pPr>
      <w:r>
        <w:t xml:space="preserve">Flèche maximale : </w:t>
      </w:r>
      <w:r>
        <w:rPr>
          <w:rStyle w:val="optioncarChar"/>
        </w:rPr>
        <w:t>celle selon la</w:t>
      </w:r>
      <w:r>
        <w:t>  [NBN B 03-003] (par défaut) </w:t>
      </w:r>
      <w:r>
        <w:rPr>
          <w:rStyle w:val="optioncarChar"/>
        </w:rPr>
        <w:t>/ L/500 / L/300 / ***</w:t>
      </w:r>
      <w:r>
        <w:t>.</w:t>
      </w:r>
    </w:p>
    <w:p w14:paraId="06E92CC2" w14:textId="77777777" w:rsidR="00DB2B68" w:rsidRDefault="00000000">
      <w:r>
        <w:rPr>
          <w:b/>
          <w:u w:val="single"/>
        </w:rPr>
        <w:t>Traitement contre rouille</w:t>
      </w:r>
    </w:p>
    <w:p w14:paraId="3A66C5A0" w14:textId="77777777" w:rsidR="00DB2B68" w:rsidRDefault="00000000">
      <w:r>
        <w:t>Les éléments métalliques sont traités contre la rouille par : </w:t>
      </w:r>
      <w:r>
        <w:rPr>
          <w:rStyle w:val="optioncarChar"/>
        </w:rPr>
        <w:t>primaire antirouille </w:t>
      </w:r>
      <w:r>
        <w:t>(par défaut)</w:t>
      </w:r>
      <w:r>
        <w:rPr>
          <w:rStyle w:val="optioncarChar"/>
        </w:rPr>
        <w:t> / galvanisation à chaud / métallisation / pas de traitement (aspect brut)</w:t>
      </w:r>
      <w:r>
        <w:t>.</w:t>
      </w:r>
    </w:p>
    <w:p w14:paraId="13B858FB" w14:textId="77777777" w:rsidR="00DB2B68" w:rsidRDefault="00000000">
      <w:pPr>
        <w:ind w:left="567"/>
        <w:jc w:val="both"/>
      </w:pPr>
      <w:r>
        <w:rPr>
          <w:b/>
          <w:i/>
        </w:rPr>
        <w:t>(Soit par défaut)</w:t>
      </w:r>
    </w:p>
    <w:p w14:paraId="223A3E19" w14:textId="77777777" w:rsidR="00DB2B68" w:rsidRDefault="00000000">
      <w:pPr>
        <w:ind w:left="567"/>
        <w:jc w:val="both"/>
      </w:pPr>
      <w:r>
        <w:rPr>
          <w:rStyle w:val="soitChar"/>
          <w:u w:val="single"/>
        </w:rPr>
        <w:t>Primaire antirouille</w:t>
      </w:r>
      <w:r>
        <w:t> </w:t>
      </w:r>
    </w:p>
    <w:p w14:paraId="2F6CFF4D" w14:textId="77777777" w:rsidR="00DB2B68" w:rsidRDefault="00000000">
      <w:pPr>
        <w:ind w:left="567"/>
        <w:jc w:val="both"/>
      </w:pPr>
      <w:r>
        <w:rPr>
          <w:rStyle w:val="soitChar"/>
        </w:rPr>
        <w:t>Conformément aux prescriptions des articles 81.31.3c Protections intérieures par primaire antirouille (en atelier ou sur chantier) des supports métalliques ferreux ou 82.31.3c Protections extérieures par primaire antirouille des supports métalliques ferreux.</w:t>
      </w:r>
    </w:p>
    <w:p w14:paraId="038B0BFC" w14:textId="77777777" w:rsidR="00DB2B68" w:rsidRDefault="00000000">
      <w:pPr>
        <w:ind w:left="567"/>
        <w:jc w:val="both"/>
      </w:pPr>
      <w:r>
        <w:rPr>
          <w:b/>
          <w:i/>
        </w:rPr>
        <w:t>(Soit)</w:t>
      </w:r>
    </w:p>
    <w:p w14:paraId="08578251" w14:textId="77777777" w:rsidR="00DB2B68" w:rsidRDefault="00000000">
      <w:pPr>
        <w:ind w:left="567"/>
        <w:jc w:val="both"/>
      </w:pPr>
      <w:r>
        <w:rPr>
          <w:rStyle w:val="soitChar"/>
          <w:u w:val="single"/>
        </w:rPr>
        <w:t>Galvanisation</w:t>
      </w:r>
      <w:r>
        <w:t> </w:t>
      </w:r>
    </w:p>
    <w:p w14:paraId="202F00A5" w14:textId="77777777" w:rsidR="00DB2B68" w:rsidRDefault="00000000">
      <w:pPr>
        <w:ind w:left="567"/>
        <w:jc w:val="both"/>
      </w:pPr>
      <w:r>
        <w:rPr>
          <w:rStyle w:val="soitChar"/>
        </w:rPr>
        <w:t>Conformément aux prescriptions des articles 81.31.3a Protections intérieures par galvanisation (en atelier) des supports métalliques ferreux ou 82.31.3a Protections extérieures par galvanisation de supports métalliques ferreux.</w:t>
      </w:r>
    </w:p>
    <w:p w14:paraId="46387BA7" w14:textId="77777777" w:rsidR="00DB2B68" w:rsidRDefault="00000000">
      <w:pPr>
        <w:ind w:left="567"/>
        <w:jc w:val="both"/>
      </w:pPr>
      <w:r>
        <w:rPr>
          <w:b/>
          <w:i/>
        </w:rPr>
        <w:t>(Soit)</w:t>
      </w:r>
    </w:p>
    <w:p w14:paraId="7FEC9AF8" w14:textId="77777777" w:rsidR="00DB2B68" w:rsidRDefault="00000000">
      <w:pPr>
        <w:ind w:left="567"/>
        <w:jc w:val="both"/>
      </w:pPr>
      <w:r>
        <w:rPr>
          <w:rStyle w:val="soitChar"/>
          <w:u w:val="single"/>
        </w:rPr>
        <w:t>Métallisation</w:t>
      </w:r>
      <w:r>
        <w:t> </w:t>
      </w:r>
    </w:p>
    <w:p w14:paraId="33020C1D" w14:textId="77777777" w:rsidR="00DB2B68" w:rsidRDefault="00000000">
      <w:pPr>
        <w:ind w:left="567"/>
        <w:jc w:val="both"/>
      </w:pPr>
      <w:r>
        <w:rPr>
          <w:rStyle w:val="soitChar"/>
        </w:rPr>
        <w:t>Conformément aux prescriptions des articles 81.31.3b Protections intérieures par métallisation (en atelier ou sur chantier) des supports métalliques ferreux ou 82.31.3b Protections extérieures par métallisation des supports métalliques ferreux.</w:t>
      </w:r>
    </w:p>
    <w:p w14:paraId="70977D4A" w14:textId="77777777" w:rsidR="00DB2B68" w:rsidRDefault="00000000">
      <w:pPr>
        <w:ind w:left="567"/>
        <w:jc w:val="both"/>
      </w:pPr>
      <w:r>
        <w:rPr>
          <w:b/>
          <w:i/>
        </w:rPr>
        <w:t>(Soit)</w:t>
      </w:r>
    </w:p>
    <w:p w14:paraId="7EAE6808" w14:textId="77777777" w:rsidR="00DB2B68" w:rsidRDefault="00000000">
      <w:pPr>
        <w:ind w:left="567"/>
        <w:jc w:val="both"/>
      </w:pPr>
      <w:r>
        <w:rPr>
          <w:rStyle w:val="soitChar"/>
          <w:u w:val="single"/>
        </w:rPr>
        <w:t>Pas de traitement</w:t>
      </w:r>
      <w:r>
        <w:t> </w:t>
      </w:r>
    </w:p>
    <w:p w14:paraId="03D9E755" w14:textId="77777777" w:rsidR="00DB2B68" w:rsidRDefault="00000000">
      <w:pPr>
        <w:ind w:left="567"/>
        <w:jc w:val="both"/>
      </w:pPr>
      <w:r>
        <w:rPr>
          <w:rStyle w:val="soitChar"/>
        </w:rPr>
        <w:t>L’acier reste « brut ». Il est simplement nettoyé, dégraissé et débarrassé de la rouille par sablage et/ou ponçage conformément aux chapitres 81.31.1 Nettoyage / Dégraissage, 81.31.2 Grenaillage - Sablage / Ponçage / Dérouillage et articles qui en découlent.</w:t>
      </w:r>
    </w:p>
    <w:p w14:paraId="598C550F" w14:textId="77777777" w:rsidR="00DB2B68" w:rsidRDefault="00000000">
      <w:pPr>
        <w:ind w:left="567"/>
        <w:jc w:val="both"/>
      </w:pPr>
      <w:r>
        <w:rPr>
          <w:rStyle w:val="soitChar"/>
        </w:rPr>
        <w:t>L’acier étant très sensible à la rouille dans cet état, il reçoit le plus rapidement possible le traitement de finition.</w:t>
      </w:r>
    </w:p>
    <w:p w14:paraId="77A80E97" w14:textId="77777777" w:rsidR="00DB2B68" w:rsidRDefault="00000000">
      <w:r>
        <w:t>Ce traitement contre la rouille est compris par défaut dans le poste, sauf contre-indication dans le cahier spécial des charges, aux articles concernés ci-dessus. </w:t>
      </w:r>
    </w:p>
    <w:p w14:paraId="0544B783" w14:textId="77777777" w:rsidR="00DB2B68" w:rsidRDefault="00000000">
      <w:r>
        <w:rPr>
          <w:b/>
          <w:u w:val="single"/>
        </w:rPr>
        <w:t>Finition</w:t>
      </w:r>
    </w:p>
    <w:p w14:paraId="3840CB6C" w14:textId="77777777" w:rsidR="00DB2B68" w:rsidRDefault="00000000">
      <w:pPr>
        <w:jc w:val="both"/>
      </w:pPr>
      <w:r>
        <w:t>Finition de l’acier : </w:t>
      </w:r>
      <w:r>
        <w:rPr>
          <w:rStyle w:val="optioncarChar"/>
        </w:rPr>
        <w:t>pas de finition </w:t>
      </w:r>
      <w:r>
        <w:t>(par défaut) </w:t>
      </w:r>
      <w:r>
        <w:rPr>
          <w:rStyle w:val="optioncarChar"/>
        </w:rPr>
        <w:t>/ peint / brut (verni)</w:t>
      </w:r>
      <w:r>
        <w:t>.</w:t>
      </w:r>
    </w:p>
    <w:p w14:paraId="28C8B5DE" w14:textId="77777777" w:rsidR="00DB2B68" w:rsidRDefault="00000000">
      <w:pPr>
        <w:ind w:left="567"/>
        <w:jc w:val="both"/>
      </w:pPr>
      <w:r>
        <w:rPr>
          <w:b/>
          <w:i/>
        </w:rPr>
        <w:lastRenderedPageBreak/>
        <w:t>(Soit par défaut)</w:t>
      </w:r>
    </w:p>
    <w:p w14:paraId="36F5D200" w14:textId="77777777" w:rsidR="00DB2B68" w:rsidRDefault="00000000">
      <w:pPr>
        <w:ind w:left="567"/>
        <w:jc w:val="both"/>
      </w:pPr>
      <w:r>
        <w:rPr>
          <w:rStyle w:val="soitChar"/>
          <w:u w:val="single"/>
        </w:rPr>
        <w:t>Pas de finition</w:t>
      </w:r>
    </w:p>
    <w:p w14:paraId="0F86275D" w14:textId="77777777" w:rsidR="00DB2B68" w:rsidRDefault="00000000">
      <w:pPr>
        <w:ind w:left="567"/>
        <w:jc w:val="both"/>
      </w:pPr>
      <w:r>
        <w:rPr>
          <w:rStyle w:val="soitChar"/>
        </w:rPr>
        <w:t>Pas de finition, destiné à recevoir un traitement résistant au feu.</w:t>
      </w:r>
    </w:p>
    <w:p w14:paraId="28A0DAB3" w14:textId="77777777" w:rsidR="00DB2B68" w:rsidRDefault="00000000">
      <w:pPr>
        <w:ind w:left="567"/>
        <w:jc w:val="both"/>
      </w:pPr>
      <w:r>
        <w:rPr>
          <w:b/>
          <w:i/>
        </w:rPr>
        <w:t>(Soit)</w:t>
      </w:r>
    </w:p>
    <w:p w14:paraId="3DF2DC8B" w14:textId="77777777" w:rsidR="00DB2B68" w:rsidRDefault="00000000">
      <w:pPr>
        <w:ind w:left="567"/>
        <w:jc w:val="both"/>
      </w:pPr>
      <w:r>
        <w:rPr>
          <w:rStyle w:val="soitChar"/>
          <w:u w:val="single"/>
        </w:rPr>
        <w:t>Peint</w:t>
      </w:r>
    </w:p>
    <w:p w14:paraId="2903A055" w14:textId="77777777" w:rsidR="00DB2B68" w:rsidRDefault="00000000">
      <w:pPr>
        <w:ind w:left="567"/>
        <w:jc w:val="both"/>
      </w:pPr>
      <w:r>
        <w:rPr>
          <w:rStyle w:val="soitChar"/>
        </w:rPr>
        <w:t>Renvoi aux sous-titres 81.33 Finitions / décorations des métaux ferreux et non ferreux(intérieure) ou 82.33 Finitions / décorations des métaux ferreux et non ferreux (extérieure), et articles qui en découlent.</w:t>
      </w:r>
    </w:p>
    <w:p w14:paraId="0B2A9C92" w14:textId="77777777" w:rsidR="00DB2B68" w:rsidRDefault="00000000">
      <w:pPr>
        <w:ind w:left="567"/>
        <w:jc w:val="both"/>
      </w:pPr>
      <w:r>
        <w:rPr>
          <w:b/>
          <w:i/>
        </w:rPr>
        <w:t>(Soit)</w:t>
      </w:r>
    </w:p>
    <w:p w14:paraId="7CC54FA6" w14:textId="77777777" w:rsidR="00DB2B68" w:rsidRDefault="00000000">
      <w:pPr>
        <w:ind w:left="567"/>
        <w:jc w:val="both"/>
      </w:pPr>
      <w:r>
        <w:rPr>
          <w:rStyle w:val="soitChar"/>
          <w:u w:val="single"/>
        </w:rPr>
        <w:t>Brut (verni)</w:t>
      </w:r>
    </w:p>
    <w:p w14:paraId="388D7F80" w14:textId="77777777" w:rsidR="00DB2B68" w:rsidRDefault="00000000">
      <w:pPr>
        <w:ind w:left="567"/>
        <w:jc w:val="both"/>
      </w:pPr>
      <w:r>
        <w:rPr>
          <w:rStyle w:val="soitChar"/>
        </w:rPr>
        <w:t>L’acier est protégé à l’aide d’un verni incolore à base de </w:t>
      </w:r>
      <w:r>
        <w:rPr>
          <w:rStyle w:val="optioncarChar"/>
        </w:rPr>
        <w:t>résine glycérophtalique </w:t>
      </w:r>
      <w:r>
        <w:t>(par défaut)</w:t>
      </w:r>
      <w:r>
        <w:rPr>
          <w:rStyle w:val="optioncarChar"/>
        </w:rPr>
        <w:t> / ***</w:t>
      </w:r>
      <w:r>
        <w:rPr>
          <w:rStyle w:val="soitChar"/>
        </w:rPr>
        <w:t>.</w:t>
      </w:r>
    </w:p>
    <w:p w14:paraId="2761366E" w14:textId="77777777" w:rsidR="00DB2B68" w:rsidRDefault="00000000">
      <w:pPr>
        <w:ind w:left="567"/>
        <w:jc w:val="both"/>
      </w:pPr>
      <w:r>
        <w:rPr>
          <w:rStyle w:val="soitChar"/>
        </w:rPr>
        <w:t>Pour la mise en œuvre, renvoi aux sous-titres 81.33 Finitions / décorations des métaux ferreux et non ferreux (intérieure) ou 82.33 Finitions / décorations des métaux ferreux et non ferreux (extérieure), et articles qui en découlent.</w:t>
      </w:r>
    </w:p>
    <w:p w14:paraId="5771E723" w14:textId="77777777" w:rsidR="00DB2B68" w:rsidRDefault="00000000">
      <w:r>
        <w:t>Ce traitement de finition est compris par défaut dans le poste, sauf contre-indication dans le cahier spécial des charges aux articles concernés ci-dessus. </w:t>
      </w:r>
    </w:p>
    <w:p w14:paraId="47BD0700" w14:textId="77777777" w:rsidR="00DB2B68" w:rsidRDefault="00000000">
      <w:r>
        <w:rPr>
          <w:b/>
          <w:u w:val="single"/>
        </w:rPr>
        <w:t>Résistance au feu</w:t>
      </w:r>
    </w:p>
    <w:p w14:paraId="39C26A4F" w14:textId="77777777" w:rsidR="00DB2B68" w:rsidRDefault="00000000">
      <w:pPr>
        <w:jc w:val="both"/>
      </w:pPr>
      <w:r>
        <w:t>Résistance au feu : </w:t>
      </w:r>
      <w:r>
        <w:rPr>
          <w:rStyle w:val="optioncarChar"/>
        </w:rPr>
        <w:t>R30 / R60</w:t>
      </w:r>
      <w:r>
        <w:t> (par défaut) </w:t>
      </w:r>
      <w:r>
        <w:rPr>
          <w:rStyle w:val="optioncarChar"/>
        </w:rPr>
        <w:t>/ R120 / R240 / ***</w:t>
      </w:r>
      <w:r>
        <w:t xml:space="preserve">, conformément aux prescriptions du titre </w:t>
      </w:r>
      <w:hyperlink w:anchor="557" w:history="1">
        <w:r>
          <w:rPr>
            <w:color w:val="0000EE"/>
          </w:rPr>
          <w:t>23.2 Ensembles structuraux métalliques</w:t>
        </w:r>
      </w:hyperlink>
      <w:r>
        <w:t>.</w:t>
      </w:r>
    </w:p>
    <w:p w14:paraId="72753455" w14:textId="77777777" w:rsidR="00DB2B68" w:rsidRDefault="00000000">
      <w:pPr>
        <w:jc w:val="both"/>
      </w:pPr>
      <w:r>
        <w:t>Cette résistance au feu est atteinte :</w:t>
      </w:r>
      <w:r>
        <w:rPr>
          <w:rStyle w:val="facultChar"/>
        </w:rPr>
        <w:t> </w:t>
      </w:r>
      <w:r>
        <w:rPr>
          <w:rStyle w:val="optioncarChar"/>
        </w:rPr>
        <w:t>sans traitement particulier </w:t>
      </w:r>
      <w:r>
        <w:t>(par défaut)</w:t>
      </w:r>
      <w:r>
        <w:rPr>
          <w:rStyle w:val="optioncarChar"/>
        </w:rPr>
        <w:t> / à l’aide d’une peinture intumescente / par emballage / par flocage fibreux / par flocage pâteux</w:t>
      </w:r>
      <w:r>
        <w:rPr>
          <w:rStyle w:val="facultChar"/>
        </w:rPr>
        <w:t>.</w:t>
      </w:r>
    </w:p>
    <w:p w14:paraId="1565A6B4" w14:textId="77777777" w:rsidR="00DB2B68" w:rsidRDefault="00000000">
      <w:pPr>
        <w:ind w:left="567"/>
        <w:jc w:val="both"/>
      </w:pPr>
      <w:r>
        <w:rPr>
          <w:b/>
          <w:i/>
        </w:rPr>
        <w:t>(Soit par défaut)</w:t>
      </w:r>
    </w:p>
    <w:p w14:paraId="77B90AC0" w14:textId="77777777" w:rsidR="00DB2B68" w:rsidRDefault="00000000">
      <w:pPr>
        <w:ind w:left="567"/>
        <w:jc w:val="both"/>
      </w:pPr>
      <w:r>
        <w:rPr>
          <w:rStyle w:val="soitChar"/>
          <w:u w:val="single"/>
        </w:rPr>
        <w:t>Sans traitement particulier</w:t>
      </w:r>
    </w:p>
    <w:p w14:paraId="10DE4CE8" w14:textId="77777777" w:rsidR="00DB2B68" w:rsidRDefault="00000000">
      <w:pPr>
        <w:ind w:left="567"/>
        <w:jc w:val="both"/>
      </w:pPr>
      <w:r>
        <w:rPr>
          <w:rStyle w:val="soitChar"/>
        </w:rPr>
        <w:t>La résistance au feu est démontrée par test au feu selon la [NBN EN 13501-2] ou par calcul selon les Eurocodes conformément à l’[AM 2013-05-17].</w:t>
      </w:r>
    </w:p>
    <w:p w14:paraId="3B391C26" w14:textId="77777777" w:rsidR="00DB2B68" w:rsidRDefault="00000000">
      <w:pPr>
        <w:ind w:left="567"/>
        <w:jc w:val="both"/>
      </w:pPr>
      <w:r>
        <w:rPr>
          <w:b/>
          <w:i/>
        </w:rPr>
        <w:t>(Soit)</w:t>
      </w:r>
    </w:p>
    <w:p w14:paraId="18F9BCAB" w14:textId="77777777" w:rsidR="00DB2B68" w:rsidRDefault="00000000">
      <w:pPr>
        <w:ind w:left="567"/>
        <w:jc w:val="both"/>
      </w:pPr>
      <w:r>
        <w:rPr>
          <w:rStyle w:val="soitChar"/>
          <w:u w:val="single"/>
        </w:rPr>
        <w:t>Peinture intumescente</w:t>
      </w:r>
    </w:p>
    <w:p w14:paraId="3FC79DF3" w14:textId="77777777" w:rsidR="00DB2B68" w:rsidRDefault="00000000">
      <w:pPr>
        <w:ind w:left="567"/>
        <w:jc w:val="both"/>
      </w:pPr>
      <w:r>
        <w:rPr>
          <w:rStyle w:val="soitChar"/>
        </w:rPr>
        <w:t>Conformément à l’article 81.34.1b Peintures intérieures intumescentes sur supports métalliques ferreux et non ferreux.</w:t>
      </w:r>
    </w:p>
    <w:p w14:paraId="68034519" w14:textId="77777777" w:rsidR="00DB2B68" w:rsidRDefault="00000000">
      <w:pPr>
        <w:ind w:left="567"/>
        <w:jc w:val="both"/>
      </w:pPr>
      <w:r>
        <w:rPr>
          <w:b/>
          <w:i/>
        </w:rPr>
        <w:t>(Soit)</w:t>
      </w:r>
    </w:p>
    <w:p w14:paraId="607EB768" w14:textId="77777777" w:rsidR="00DB2B68" w:rsidRDefault="00000000">
      <w:pPr>
        <w:ind w:left="567"/>
        <w:jc w:val="both"/>
      </w:pPr>
      <w:r>
        <w:rPr>
          <w:rStyle w:val="soitChar"/>
          <w:u w:val="single"/>
        </w:rPr>
        <w:t>Emballage</w:t>
      </w:r>
    </w:p>
    <w:p w14:paraId="784EFD20" w14:textId="77777777" w:rsidR="00DB2B68" w:rsidRDefault="00000000">
      <w:pPr>
        <w:ind w:left="567"/>
        <w:jc w:val="both"/>
      </w:pPr>
      <w:r>
        <w:rPr>
          <w:rStyle w:val="soitChar"/>
        </w:rPr>
        <w:t>Conformément à l’article 83.34.1a Doublage en plaques.</w:t>
      </w:r>
    </w:p>
    <w:p w14:paraId="0951A77E" w14:textId="77777777" w:rsidR="00DB2B68" w:rsidRDefault="00000000">
      <w:pPr>
        <w:ind w:left="567"/>
        <w:jc w:val="both"/>
      </w:pPr>
      <w:r>
        <w:rPr>
          <w:b/>
          <w:i/>
        </w:rPr>
        <w:t>(Soit)</w:t>
      </w:r>
    </w:p>
    <w:p w14:paraId="1C9351C9" w14:textId="77777777" w:rsidR="00DB2B68" w:rsidRDefault="00000000">
      <w:pPr>
        <w:ind w:left="567"/>
        <w:jc w:val="both"/>
      </w:pPr>
      <w:r>
        <w:rPr>
          <w:rStyle w:val="soitChar"/>
          <w:u w:val="single"/>
        </w:rPr>
        <w:t>Flocage fibreux</w:t>
      </w:r>
    </w:p>
    <w:p w14:paraId="5AB54AA9" w14:textId="77777777" w:rsidR="00DB2B68" w:rsidRDefault="00000000">
      <w:pPr>
        <w:ind w:left="567"/>
        <w:jc w:val="both"/>
      </w:pPr>
      <w:r>
        <w:rPr>
          <w:rStyle w:val="soitChar"/>
        </w:rPr>
        <w:t>Composé essentiellement de laine minérale, de liants minéraux inorganiques additionnés d’adjuvants spécifiques hydrauliques et synthétiques, non combustibles.</w:t>
      </w:r>
      <w:r>
        <w:t> </w:t>
      </w:r>
    </w:p>
    <w:p w14:paraId="77FE0989" w14:textId="77777777" w:rsidR="00DB2B68" w:rsidRDefault="00000000">
      <w:pPr>
        <w:ind w:left="567"/>
        <w:jc w:val="both"/>
      </w:pPr>
      <w:r>
        <w:rPr>
          <w:rStyle w:val="soitChar"/>
        </w:rPr>
        <w:t>Le produit est exempt d’amiante, de silice cristallisée, ou de tout autre produit nocif ou toxique.</w:t>
      </w:r>
      <w:r>
        <w:t> </w:t>
      </w:r>
    </w:p>
    <w:p w14:paraId="67C0CC4C" w14:textId="77777777" w:rsidR="00DB2B68" w:rsidRDefault="00000000">
      <w:pPr>
        <w:ind w:left="567"/>
        <w:jc w:val="both"/>
      </w:pPr>
      <w:r>
        <w:rPr>
          <w:rStyle w:val="soitChar"/>
        </w:rPr>
        <w:t>Le flocage est appliqué mécaniquement à l’aide de machines à projeter qui respectent la granulométrie et la masse volumique des produits.</w:t>
      </w:r>
    </w:p>
    <w:p w14:paraId="6A6A5F71" w14:textId="77777777" w:rsidR="00DB2B68" w:rsidRDefault="00000000">
      <w:pPr>
        <w:ind w:left="567"/>
        <w:jc w:val="both"/>
      </w:pPr>
      <w:r>
        <w:rPr>
          <w:b/>
          <w:i/>
        </w:rPr>
        <w:t>(Soit)</w:t>
      </w:r>
    </w:p>
    <w:p w14:paraId="0DDC581B" w14:textId="77777777" w:rsidR="00DB2B68" w:rsidRDefault="00000000">
      <w:pPr>
        <w:ind w:left="567"/>
        <w:jc w:val="both"/>
      </w:pPr>
      <w:r>
        <w:rPr>
          <w:rStyle w:val="soitChar"/>
          <w:u w:val="single"/>
        </w:rPr>
        <w:t>Flocage pâteux</w:t>
      </w:r>
    </w:p>
    <w:p w14:paraId="592CC66B" w14:textId="77777777" w:rsidR="00DB2B68" w:rsidRDefault="00000000">
      <w:pPr>
        <w:ind w:left="567"/>
        <w:jc w:val="both"/>
      </w:pPr>
      <w:r>
        <w:rPr>
          <w:rStyle w:val="soitChar"/>
        </w:rPr>
        <w:t>A base de gypse ou vermiculite.</w:t>
      </w:r>
      <w:r>
        <w:t> </w:t>
      </w:r>
    </w:p>
    <w:p w14:paraId="25C4E312" w14:textId="77777777" w:rsidR="00DB2B68" w:rsidRDefault="00000000">
      <w:pPr>
        <w:ind w:left="567"/>
        <w:jc w:val="both"/>
      </w:pPr>
      <w:r>
        <w:rPr>
          <w:rStyle w:val="soitChar"/>
        </w:rPr>
        <w:lastRenderedPageBreak/>
        <w:t>Le produit est exempt d’amiante, de silice cristallisée, ou de tout autre produit nocif ou toxique.</w:t>
      </w:r>
      <w:r>
        <w:t> </w:t>
      </w:r>
    </w:p>
    <w:p w14:paraId="0D47E81C" w14:textId="77777777" w:rsidR="00DB2B68" w:rsidRDefault="00000000">
      <w:pPr>
        <w:ind w:left="567"/>
        <w:jc w:val="both"/>
      </w:pPr>
      <w:r>
        <w:rPr>
          <w:rStyle w:val="soitChar"/>
        </w:rPr>
        <w:t>Le flocage est appliqué mécaniquement à l’aide de machines à projeter qui respectent la granulométrie et la masse volumique des produits.</w:t>
      </w:r>
    </w:p>
    <w:p w14:paraId="1AA020FD" w14:textId="77777777" w:rsidR="00DB2B68" w:rsidRDefault="00000000">
      <w:pPr>
        <w:jc w:val="both"/>
      </w:pPr>
      <w:r>
        <w:t>Ce traitement au feu n’est pas compris par défaut dans le poste, sauf contre-indication dans le cahier spécial des charges, à l’article concerné ci-dessus. </w:t>
      </w:r>
    </w:p>
    <w:p w14:paraId="0C1E40D6" w14:textId="77777777" w:rsidR="00DB2B68" w:rsidRDefault="00000000">
      <w:r>
        <w:rPr>
          <w:b/>
          <w:u w:val="single"/>
        </w:rPr>
        <w:t>Pannes</w:t>
      </w:r>
    </w:p>
    <w:p w14:paraId="7FAA0AAF" w14:textId="77777777" w:rsidR="00DB2B68" w:rsidRDefault="00000000">
      <w:pPr>
        <w:jc w:val="both"/>
      </w:pPr>
      <w:r>
        <w:t>Les pannes ne sont pas comprises par défaut dans le poste, sauf contre-indication dans le cahier spécial des charges.</w:t>
      </w:r>
    </w:p>
    <w:p w14:paraId="3968DD93" w14:textId="77777777" w:rsidR="00DB2B68" w:rsidRDefault="00000000">
      <w:pPr>
        <w:pStyle w:val="pheading"/>
      </w:pPr>
      <w:r>
        <w:t>EXÉCUTION / MISE EN ŒUVRE</w:t>
      </w:r>
    </w:p>
    <w:p w14:paraId="07092FF1" w14:textId="77777777" w:rsidR="00DB2B68" w:rsidRDefault="00000000">
      <w:pPr>
        <w:jc w:val="both"/>
      </w:pPr>
      <w:r>
        <w:rPr>
          <w:b/>
        </w:rPr>
        <w:t>Timing - Influence de l'environnement - Mesures de protection</w:t>
      </w:r>
    </w:p>
    <w:p w14:paraId="0680D45F" w14:textId="77777777" w:rsidR="00DB2B68" w:rsidRDefault="00000000">
      <w:pPr>
        <w:jc w:val="both"/>
      </w:pPr>
      <w:r>
        <w:t>Les charpentes ne peuvent être placées que lorsque l'auteur de projet et l'installateur estiment, en concertation mutuelle, que les conditions de mise en œuvre sont favorables.</w:t>
      </w:r>
    </w:p>
    <w:p w14:paraId="175FED3F" w14:textId="77777777" w:rsidR="00DB2B68" w:rsidRDefault="00000000">
      <w:pPr>
        <w:jc w:val="both"/>
      </w:pPr>
      <w:r>
        <w:t>Les charpentes et/ou les éléments qui le constituent sont autant que possible préfabriqués en atelier et acheminés en un seul lot sur le chantier. Lors du transport et de l’entreposage, les mesures nécessaires sont prises pour prévenir toute dégradation aux éléments proprement dits et au bâtiment. Ils sont immédiatement entreposés dans un endroit protégé et aéré. Si les éléments sont stockés à l’extérieur, il est recommandé de les protéger des influences atmosphériques, surtout pour un stockage de longue durée, afin d’éviter leur dégradation par la pluie.</w:t>
      </w:r>
    </w:p>
    <w:p w14:paraId="561D4E38" w14:textId="77777777" w:rsidR="00DB2B68" w:rsidRDefault="00000000">
      <w:pPr>
        <w:jc w:val="both"/>
      </w:pPr>
      <w:r>
        <w:t>Que les éléments soient entreposés verticalement ou horizontalement, ils doivent être suffisamment soutenus afin de ne subir ni dommage ni déformation. En outre, il faut éviter tout contact des éléments avec le sol ou la végétation.</w:t>
      </w:r>
    </w:p>
    <w:p w14:paraId="3D4EAD5C" w14:textId="77777777" w:rsidR="00DB2B68" w:rsidRDefault="00000000">
      <w:pPr>
        <w:jc w:val="both"/>
      </w:pPr>
      <w:r>
        <w:rPr>
          <w:b/>
        </w:rPr>
        <w:t>Dessin d'étude et d'exécution</w:t>
      </w:r>
    </w:p>
    <w:p w14:paraId="0E5D754C" w14:textId="77777777" w:rsidR="00DB2B68" w:rsidRDefault="00000000">
      <w:pPr>
        <w:jc w:val="both"/>
      </w:pPr>
      <w:r>
        <w:t xml:space="preserve">Etude et plans d'exécution : conformément aux prescriptions du titre </w:t>
      </w:r>
      <w:hyperlink w:anchor="422" w:history="1">
        <w:r>
          <w:rPr>
            <w:color w:val="0000EE"/>
          </w:rPr>
          <w:t>23.1 Eléments de structures métalliques</w:t>
        </w:r>
      </w:hyperlink>
      <w:r>
        <w:t>.</w:t>
      </w:r>
    </w:p>
    <w:p w14:paraId="3269940A" w14:textId="77777777" w:rsidR="00DB2B68" w:rsidRDefault="00000000">
      <w:pPr>
        <w:jc w:val="both"/>
      </w:pPr>
      <w:r>
        <w:t>La composition de la ferme, les sections, les entre-distances et les chaînages éventuels découlent des calculs de l’ingénieur en stabilité. Les plans mentionnent ces données.</w:t>
      </w:r>
    </w:p>
    <w:p w14:paraId="17611CA7" w14:textId="77777777" w:rsidR="00DB2B68" w:rsidRDefault="00000000">
      <w:pPr>
        <w:jc w:val="both"/>
      </w:pPr>
      <w:r>
        <w:t>Les charpentes sont exécutées conformément aux formes indiquées sur les plans et les coupes et selon les dessins de détail annexés au cahier spécial des charges.</w:t>
      </w:r>
    </w:p>
    <w:p w14:paraId="0394DE0E" w14:textId="77777777" w:rsidR="00DB2B68" w:rsidRDefault="00000000">
      <w:pPr>
        <w:jc w:val="both"/>
      </w:pPr>
      <w:r>
        <w:t>Lorsque le dossier d'adjudication ne contient pas de dessins de détail spécifiques, la forme et les dimensions de bases sont données à titre indicatif.</w:t>
      </w:r>
    </w:p>
    <w:p w14:paraId="01177916" w14:textId="77777777" w:rsidR="00DB2B68" w:rsidRDefault="00000000">
      <w:pPr>
        <w:jc w:val="both"/>
      </w:pPr>
      <w:r>
        <w:t>L'entrepreneur est tenu de contrôler les dimensions sur place et de vérifier si les charpentes ou les éléments peuvent être exécutés selon les plans soumis. Lorsque cela s'avère impossible, il en avertit l'auteur de projet ou le bureau d’étude le plus rapidement possible.</w:t>
      </w:r>
    </w:p>
    <w:p w14:paraId="7C8CE4BB" w14:textId="77777777" w:rsidR="00DB2B68" w:rsidRDefault="00000000">
      <w:pPr>
        <w:jc w:val="both"/>
      </w:pPr>
      <w:r>
        <w:t>Dans tous les cas, l'entrepreneur est tenu de réaliser les dessins d'exécution et de les soumettre préalablement à l'approbation de l'auteur de projet ou du bureau d’études. Toutes les pièces sont profilées et fabriquées conformément aux dessins d'exécution approuvés.</w:t>
      </w:r>
    </w:p>
    <w:p w14:paraId="442FCC6D" w14:textId="77777777" w:rsidR="00DB2B68" w:rsidRDefault="00000000">
      <w:pPr>
        <w:jc w:val="both"/>
      </w:pPr>
      <w:r>
        <w:t>L’entrepreneur soumet à l’approbation de l’auteur de projet le plan des éventuelles coupes réalisées dans l’ouvrage afin de permettre sa fabrication, son acheminement sur site et son placement.</w:t>
      </w:r>
    </w:p>
    <w:p w14:paraId="78C24597" w14:textId="77777777" w:rsidR="00DB2B68" w:rsidRDefault="00000000">
      <w:pPr>
        <w:jc w:val="both"/>
      </w:pPr>
      <w:r>
        <w:rPr>
          <w:b/>
        </w:rPr>
        <w:t>Mise en œuvre</w:t>
      </w:r>
    </w:p>
    <w:p w14:paraId="4FF4A372" w14:textId="77777777" w:rsidR="00DB2B68" w:rsidRDefault="00000000">
      <w:pPr>
        <w:jc w:val="both"/>
      </w:pPr>
      <w:r>
        <w:t>Le poste comprend tous les travaux et fournitures nécessaires au montage, réglage, calage et scellement de la charpente métallique.</w:t>
      </w:r>
    </w:p>
    <w:p w14:paraId="772F3456" w14:textId="77777777" w:rsidR="00DB2B68" w:rsidRDefault="00000000">
      <w:pPr>
        <w:jc w:val="both"/>
      </w:pPr>
      <w:r>
        <w:t>Le charpentier doit également veiller à ce que les structures en attente de scellement ou les maçonneries restent parfaitement stables après réglage.</w:t>
      </w:r>
    </w:p>
    <w:p w14:paraId="68F7C4F8" w14:textId="77777777" w:rsidR="00DB2B68" w:rsidRDefault="00000000">
      <w:pPr>
        <w:jc w:val="both"/>
      </w:pPr>
      <w:r>
        <w:t>Le calage doit assurer un contact convenable entre les éléments d’assise du gros-œuvre ou de la structure, et les éléments d’appui de la charpente.</w:t>
      </w:r>
    </w:p>
    <w:p w14:paraId="044C5682" w14:textId="77777777" w:rsidR="00DB2B68" w:rsidRDefault="00000000">
      <w:pPr>
        <w:jc w:val="both"/>
      </w:pPr>
      <w:r>
        <w:lastRenderedPageBreak/>
        <w:t>La charpente est ancrée au gros-œuvre  de façon à éviter tout déplacement causé par les actions auxquelles elle est soumise. Le dimensionnement des ancrages est déterminé par calcul ou par essais. Les organes d’ancrage comprennent : sabots, équerres, boulons ou tiges filetées, etc.</w:t>
      </w:r>
    </w:p>
    <w:p w14:paraId="7F9F68BA" w14:textId="77777777" w:rsidR="00DB2B68" w:rsidRDefault="00000000">
      <w:pPr>
        <w:jc w:val="both"/>
      </w:pPr>
      <w:r>
        <w:t>Il est indispensable de prévoir un contreventement dans le plan de la toiture, qui assure également un rôle anti-voilement. En règle générale, les contreventements sont prévus par paire. La distance entre les parties pourvues d’un contreventement s’élève à 15m maximum, à moins que les calculs ne démontrent que ce n’est pas nécessaire.</w:t>
      </w:r>
    </w:p>
    <w:p w14:paraId="2181ADEB" w14:textId="77777777" w:rsidR="00DB2B68" w:rsidRDefault="00000000">
      <w:pPr>
        <w:jc w:val="both"/>
      </w:pPr>
      <w:r>
        <w:t>L’entrepreneur organise l'ensemble de l'ouvrage de manière telle que, de tout temps et pendant toute la durée des manipulations nécessaires et possibles des divers éléments, la stabilité de l'ensemble et de chaque élément séparément soit garantie.</w:t>
      </w:r>
    </w:p>
    <w:p w14:paraId="06F9DE13" w14:textId="77777777" w:rsidR="00DB2B68" w:rsidRDefault="00000000">
      <w:pPr>
        <w:jc w:val="both"/>
      </w:pPr>
      <w:r>
        <w:t>Toutes les pièces sont solidement attachées ou ancrées aux ouvrages de construction attenants à l'aide de chevilles, ancrages chimiques appropriés, de boulons, vis, écrous et contre-écrous, etc. ... afin d'obtenir un montage solide qui ne cède pas, même lors d'un usage intensif.</w:t>
      </w:r>
    </w:p>
    <w:p w14:paraId="3AC9403E" w14:textId="77777777" w:rsidR="00DB2B68" w:rsidRDefault="00000000">
      <w:pPr>
        <w:jc w:val="both"/>
      </w:pPr>
      <w:r>
        <w:t>Lorsque les éléments doivent être vissés dans des blocs de construction apparents, des briques ou des éléments en béton apparent, le forage est effectué avec toute la prudence qui s'impose afin de ne pas endommager ni déchausser les briques ou les blocs.</w:t>
      </w:r>
    </w:p>
    <w:p w14:paraId="55B24CFC" w14:textId="77777777" w:rsidR="00DB2B68" w:rsidRDefault="00000000">
      <w:pPr>
        <w:jc w:val="both"/>
      </w:pPr>
      <w:r>
        <w:t>Les recommandations de l'auteur de projet en ce qui concerne la pose de membranes d'étanchéité ou d'isolation afin de prévenir les ponts d'humidité ou les ponts thermiques sont scrupuleusement respectées par l'entrepreneur. Lorsque ces recommandations ne sont pas mentionnées explicitement dans les documents d'exécution, l'entrepreneur s'informe avant de commencer ses travaux.</w:t>
      </w:r>
    </w:p>
    <w:p w14:paraId="34403DCF" w14:textId="77777777" w:rsidR="00DB2B68" w:rsidRDefault="00000000">
      <w:pPr>
        <w:jc w:val="both"/>
      </w:pPr>
      <w:r>
        <w:t>Les tirants horizontaux de toutes les fermes doivent être parfaitement de niveau.</w:t>
      </w:r>
    </w:p>
    <w:p w14:paraId="1F8FF502" w14:textId="77777777" w:rsidR="00DB2B68" w:rsidRDefault="00000000">
      <w:pPr>
        <w:jc w:val="both"/>
      </w:pPr>
      <w:r>
        <w:t>La charpente est mise en œuvre conformément aux prescriptions de la section 9 de la [NBN EN 1090-2], notamment :</w:t>
      </w:r>
    </w:p>
    <w:p w14:paraId="70B71A27" w14:textId="77777777" w:rsidR="00DB2B68" w:rsidRDefault="00000000">
      <w:pPr>
        <w:jc w:val="both"/>
      </w:pPr>
      <w:r>
        <w:rPr>
          <w:i/>
          <w:u w:val="single"/>
        </w:rPr>
        <w:t>Appuis</w:t>
      </w:r>
    </w:p>
    <w:p w14:paraId="3B732E7F" w14:textId="77777777" w:rsidR="00DB2B68" w:rsidRDefault="00000000">
      <w:pPr>
        <w:jc w:val="both"/>
      </w:pPr>
      <w:r>
        <w:t>L'état et la position des appuis doivent être contrôlés à l'aide de moyens visuels et de mesure appropriés avant de commencer le montage.</w:t>
      </w:r>
    </w:p>
    <w:p w14:paraId="4CCBA05E" w14:textId="77777777" w:rsidR="00DB2B68" w:rsidRDefault="00000000">
      <w:pPr>
        <w:jc w:val="both"/>
      </w:pPr>
      <w:r>
        <w:t>Si les appuis sont inadaptés pour le montage, ils doivent être corrigés avant de commencer celui-ci.</w:t>
      </w:r>
    </w:p>
    <w:p w14:paraId="3AD41502" w14:textId="77777777" w:rsidR="00DB2B68" w:rsidRDefault="00000000">
      <w:pPr>
        <w:jc w:val="both"/>
      </w:pPr>
      <w:r>
        <w:t>En cas de non-conformités des appuis, l’entrepreneur avertit l'auteur de projet ou le bureau d’étude le plus rapidement possible.</w:t>
      </w:r>
    </w:p>
    <w:p w14:paraId="7536C5EA" w14:textId="77777777" w:rsidR="00DB2B68" w:rsidRDefault="00000000">
      <w:pPr>
        <w:jc w:val="both"/>
      </w:pPr>
      <w:r>
        <w:t>Toutes les tiges d'ancrage et autres appuis prévus pour recevoir la charpente métallique doivent être convenablement préparés.</w:t>
      </w:r>
    </w:p>
    <w:p w14:paraId="51539A31" w14:textId="77777777" w:rsidR="00DB2B68" w:rsidRDefault="00000000">
      <w:pPr>
        <w:jc w:val="both"/>
      </w:pPr>
      <w:r>
        <w:t>Le montage ne doit pas commencer tant que la position et le niveau des appuis, des ancrages ou des appareils d'appui ne sont pas conformes, ou tant qu'une modification appropriée des exigences spécifiées n'a pas été établie.</w:t>
      </w:r>
    </w:p>
    <w:p w14:paraId="0F4F3121" w14:textId="77777777" w:rsidR="00DB2B68" w:rsidRDefault="00000000">
      <w:pPr>
        <w:jc w:val="both"/>
      </w:pPr>
      <w:r>
        <w:t>L'étude de conformité utilisée pour vérifier l'implantation des appuis doit être consignée.</w:t>
      </w:r>
    </w:p>
    <w:p w14:paraId="6C1C84F8" w14:textId="77777777" w:rsidR="00DB2B68" w:rsidRDefault="00000000">
      <w:pPr>
        <w:jc w:val="both"/>
      </w:pPr>
      <w:r>
        <w:t>Lorsque des tiges d'ancrage doivent être précontraintes, des dispositions doivent être prises pour que leurs parties supérieures sur 100 mm, au minimum, n'adhèrent pas au béton.</w:t>
      </w:r>
    </w:p>
    <w:p w14:paraId="1D2610F6" w14:textId="77777777" w:rsidR="00DB2B68" w:rsidRDefault="00000000">
      <w:pPr>
        <w:jc w:val="both"/>
      </w:pPr>
      <w:r>
        <w:t>Au cours du montage, les appuis destinés à la charpente doivent être conservés dans un état équivalent à l'état dans lequel ils étaient au début du montage.</w:t>
      </w:r>
    </w:p>
    <w:p w14:paraId="58657260" w14:textId="77777777" w:rsidR="00DB2B68" w:rsidRDefault="00000000">
      <w:pPr>
        <w:jc w:val="both"/>
      </w:pPr>
      <w:r>
        <w:t>Sauf spécification contraire, une compensation du tassement des appuis peut être acceptée. Elle doit être réalisée par scellement ou calage entre la charpente et l'appui.</w:t>
      </w:r>
    </w:p>
    <w:p w14:paraId="46E1B1E1" w14:textId="77777777" w:rsidR="00DB2B68" w:rsidRDefault="00000000">
      <w:pPr>
        <w:jc w:val="both"/>
      </w:pPr>
      <w:r>
        <w:rPr>
          <w:i/>
          <w:u w:val="single"/>
        </w:rPr>
        <w:t>Calages provisoires</w:t>
      </w:r>
    </w:p>
    <w:p w14:paraId="5B71D8E2" w14:textId="77777777" w:rsidR="00DB2B68" w:rsidRDefault="00000000">
      <w:pPr>
        <w:jc w:val="both"/>
      </w:pPr>
      <w:r>
        <w:t>Les fourrures et autres dispositifs d'appui utilisés comme calages provisoires sous les plaques d'appui de la charpente doivent présenter une surface plane côté plaque, et être de dimensions, résistance et rigidité appropriées afin d'éviter l'écrasement local du béton de l’infrastructure ou de la maçonnerie.</w:t>
      </w:r>
    </w:p>
    <w:p w14:paraId="399A2F44" w14:textId="77777777" w:rsidR="00DB2B68" w:rsidRDefault="00000000">
      <w:pPr>
        <w:jc w:val="both"/>
      </w:pPr>
      <w:r>
        <w:t xml:space="preserve">Si des calages sont destinés à être scellés ultérieurement, ils doivent être constitués de matériaux possédant la même durabilité que celle de la charpente, et ils doivent être positionnés de telle façon </w:t>
      </w:r>
      <w:r>
        <w:lastRenderedPageBreak/>
        <w:t>que le produit de scellement les englobe entièrement et les recouvre d'au moins 25 mm, sauf spécification contraire.</w:t>
      </w:r>
    </w:p>
    <w:p w14:paraId="6B142362" w14:textId="77777777" w:rsidR="00DB2B68" w:rsidRDefault="00000000">
      <w:pPr>
        <w:jc w:val="both"/>
      </w:pPr>
      <w:r>
        <w:t>Lorsque la mise à niveau est obtenue à l'aide d'écrous de réglage installés sur les tiges d'ancrage sous la plaque d'appui, ces écrous peuvent être laissés en place, sauf spécification contraire. Les écrous doivent être choisis de manière à s'assurer qu'ils sont aptes à maintenir la stabilité de la structure partiellement montée, sans compromettre les performances de la tige d'ancrage en service.</w:t>
      </w:r>
    </w:p>
    <w:p w14:paraId="7E9E6514" w14:textId="77777777" w:rsidR="00DB2B68" w:rsidRDefault="00000000">
      <w:pPr>
        <w:jc w:val="both"/>
      </w:pPr>
      <w:r>
        <w:rPr>
          <w:i/>
          <w:u w:val="single"/>
        </w:rPr>
        <w:t>Scellement et remplissage</w:t>
      </w:r>
    </w:p>
    <w:p w14:paraId="1D98A17C" w14:textId="77777777" w:rsidR="00DB2B68" w:rsidRDefault="00000000">
      <w:pPr>
        <w:jc w:val="both"/>
      </w:pPr>
      <w:r>
        <w:t>Si les espaces libres sous les plaques d'appui doivent être scellés, le matériau doit être utilisé conformément au paragraphe 5.9 de la [NBN EN 1090-2].</w:t>
      </w:r>
    </w:p>
    <w:p w14:paraId="0377D736" w14:textId="77777777" w:rsidR="00DB2B68" w:rsidRDefault="00000000">
      <w:pPr>
        <w:jc w:val="both"/>
      </w:pPr>
      <w:r>
        <w:t>Immédiatement avant le remplissage, l'espace libre sous les plaques d'appui de la charpente doivent être exempt de liquides, glace, gravats et autres souillures.</w:t>
      </w:r>
    </w:p>
    <w:p w14:paraId="2787D8D5" w14:textId="77777777" w:rsidR="00DB2B68" w:rsidRDefault="00000000">
      <w:pPr>
        <w:jc w:val="both"/>
      </w:pPr>
      <w:r>
        <w:t>Le matériau de remplissage doit être utilisé de la manière suivante :</w:t>
      </w:r>
    </w:p>
    <w:p w14:paraId="21962F49" w14:textId="77777777" w:rsidR="00DB2B68" w:rsidRDefault="00000000">
      <w:pPr>
        <w:ind w:left="567"/>
        <w:jc w:val="both"/>
      </w:pPr>
      <w:r>
        <w:t>a) le matériau doit être gâché et utilisé conformément aux recommandations du fabricant du produit, notamment en ce qui concerne sa consistance lors de sa mise en œuvre  ; le matériau ne doit pas être gâché ni utilisé à une température inférieure à 5 °C, sauf si les instructions du fabricant l'autorisent ;</w:t>
      </w:r>
    </w:p>
    <w:p w14:paraId="19A0B713" w14:textId="77777777" w:rsidR="00DB2B68" w:rsidRDefault="00000000">
      <w:pPr>
        <w:ind w:left="567"/>
        <w:jc w:val="both"/>
      </w:pPr>
      <w:r>
        <w:t>b) le matériau doit être injecté sous une pression adéquate pour remplir totalement l'espace libre ;</w:t>
      </w:r>
    </w:p>
    <w:p w14:paraId="459C062E" w14:textId="77777777" w:rsidR="00DB2B68" w:rsidRDefault="00000000">
      <w:pPr>
        <w:ind w:left="567"/>
        <w:jc w:val="both"/>
      </w:pPr>
      <w:r>
        <w:t>c) un bourrage et un damage contre des parois prévues à cet effet doivent être effectués suivant les recommandations du fabricant du produit de scellement ;</w:t>
      </w:r>
    </w:p>
    <w:p w14:paraId="0DA5E7FC" w14:textId="77777777" w:rsidR="00DB2B68" w:rsidRDefault="00000000">
      <w:pPr>
        <w:ind w:left="567"/>
        <w:jc w:val="both"/>
      </w:pPr>
      <w:r>
        <w:t>d) des trous d’évent autant que nécessaire doivent être prévus.</w:t>
      </w:r>
    </w:p>
    <w:p w14:paraId="30C156C9" w14:textId="77777777" w:rsidR="00DB2B68" w:rsidRDefault="00000000">
      <w:pPr>
        <w:jc w:val="both"/>
      </w:pPr>
      <w:r>
        <w:t>L’entrepreneur veille à ce que la forme extérieure du remplissage permette à l'eau de s'évacuer du voisinage des éléments structuraux.</w:t>
      </w:r>
    </w:p>
    <w:p w14:paraId="042B2541" w14:textId="77777777" w:rsidR="00DB2B68" w:rsidRDefault="00000000">
      <w:pPr>
        <w:jc w:val="both"/>
      </w:pPr>
      <w:r>
        <w:rPr>
          <w:i/>
          <w:u w:val="single"/>
        </w:rPr>
        <w:t>Ancrage</w:t>
      </w:r>
    </w:p>
    <w:p w14:paraId="0640E5FD" w14:textId="77777777" w:rsidR="00DB2B68" w:rsidRDefault="00000000">
      <w:pPr>
        <w:jc w:val="both"/>
      </w:pPr>
      <w:r>
        <w:t>Les dispositifs d'ancrage dans les parties en béton de la structure ou dans des structures adjacentes doivent être mis en place conformément à leur spécification. Des mesures appropriées doivent être prises pour éviter toute dégradation afin d'obtenir la force d'ancrage nécessaire. </w:t>
      </w:r>
    </w:p>
    <w:p w14:paraId="02C3D74E" w14:textId="77777777" w:rsidR="00DB2B68" w:rsidRDefault="00000000">
      <w:pPr>
        <w:jc w:val="both"/>
      </w:pPr>
      <w:r>
        <w:rPr>
          <w:i/>
          <w:u w:val="single"/>
        </w:rPr>
        <w:t>Ajustement et alignement</w:t>
      </w:r>
    </w:p>
    <w:p w14:paraId="2E278E40" w14:textId="77777777" w:rsidR="00DB2B68" w:rsidRDefault="00000000">
      <w:pPr>
        <w:jc w:val="both"/>
      </w:pPr>
      <w:r>
        <w:t>Une attention particulière est portée au fait qu'aucune partie de la charpente ne soit déformée de façon permanente ou surchargée au cours des opérations de montage.</w:t>
      </w:r>
    </w:p>
    <w:p w14:paraId="3E88E899" w14:textId="77777777" w:rsidR="00DB2B68" w:rsidRDefault="00000000">
      <w:pPr>
        <w:jc w:val="both"/>
      </w:pPr>
      <w:r>
        <w:t>Chaque partie de la charpente doit être réglée dès que possible après montage, et l'assemblage final réalisé dès que possible.</w:t>
      </w:r>
    </w:p>
    <w:p w14:paraId="254FFAAB" w14:textId="77777777" w:rsidR="00DB2B68" w:rsidRDefault="00000000">
      <w:pPr>
        <w:jc w:val="both"/>
      </w:pPr>
      <w:r>
        <w:t>Aucun assemblage permanent entre éléments ne doit être réalisé avant qu'une partie suffisante de la charpente n’ait été alignée, mise de niveau, mise d'aplomb et assemblée provisoirement pour garantir les éléments contre tout déplacement au cours du montage ou de l'alignement ultérieur du reste de la charpente.</w:t>
      </w:r>
    </w:p>
    <w:p w14:paraId="085037BC" w14:textId="77777777" w:rsidR="00DB2B68" w:rsidRDefault="00000000">
      <w:pPr>
        <w:jc w:val="both"/>
      </w:pPr>
      <w:r>
        <w:t>L'alignement de la charpente et les défauts d’accostage au sein des assemblages peuvent être réglés au moyen de cales. Celles-ci doivent être fixées lorsqu'elles risquent de se détacher.</w:t>
      </w:r>
    </w:p>
    <w:p w14:paraId="0876D0F6" w14:textId="77777777" w:rsidR="00DB2B68" w:rsidRDefault="00000000">
      <w:pPr>
        <w:jc w:val="both"/>
      </w:pPr>
      <w:r>
        <w:t>Sauf spécification contraire, les cales doivent présenter une durabilité identique à celle de la charpente.</w:t>
      </w:r>
    </w:p>
    <w:p w14:paraId="513B208B" w14:textId="77777777" w:rsidR="00DB2B68" w:rsidRDefault="00000000">
      <w:pPr>
        <w:jc w:val="both"/>
      </w:pPr>
      <w:r>
        <w:t>Les jeux résiduels dans les assemblages avec boulons non précontraints, ou boulons précontraints avant application de la précontrainte, doivent respecter les prescriptions des paragraphes 8.3 et 8.5.1 de la [NBN EN 1090-2].</w:t>
      </w:r>
    </w:p>
    <w:p w14:paraId="645C50A8" w14:textId="77777777" w:rsidR="00DB2B68" w:rsidRDefault="00000000">
      <w:pPr>
        <w:jc w:val="both"/>
      </w:pPr>
      <w:r>
        <w:t>Lorsqu'un un défaut d’accostage entre éléments montés ne peut être corrigé au moyen de cales, les éléments de la structure doivent être modifiés localement conformément aux méthodes spécifiées dans la [NBN EN 1090-2]. Les modifications ne doivent pas compromettre les performances de la charpente dans l'état provisoire ou permanent. Ces travaux peuvent être réalisés sur chantier. Si les modifications sont trop importantes, l’élément est refusé et retourne à l’atelier ou est remplacé.</w:t>
      </w:r>
    </w:p>
    <w:p w14:paraId="448F26E8" w14:textId="77777777" w:rsidR="00DB2B68" w:rsidRDefault="00000000">
      <w:pPr>
        <w:jc w:val="both"/>
      </w:pPr>
      <w:r>
        <w:lastRenderedPageBreak/>
        <w:t>Le brochage peut être utilisé pour aligner les assemblages, sauf interdiction explicite par le bureau d’étude.</w:t>
      </w:r>
    </w:p>
    <w:p w14:paraId="42D45F02" w14:textId="77777777" w:rsidR="00DB2B68" w:rsidRDefault="00000000">
      <w:pPr>
        <w:jc w:val="both"/>
      </w:pPr>
      <w:r>
        <w:t>Les trous destinés aux boulons utilisés pour la transmission des efforts ne doivent pas être ovalisés au-delà des valeurs données au paragraphe 6.9 de la [NBN EN 1090-2].</w:t>
      </w:r>
    </w:p>
    <w:p w14:paraId="684DA990" w14:textId="77777777" w:rsidR="00DB2B68" w:rsidRDefault="00000000">
      <w:pPr>
        <w:jc w:val="both"/>
      </w:pPr>
      <w:r>
        <w:t>En cas d'alignement défectueux de trous destinés aux boulons, les corrections sont apportées suivant les prescriptions du paragraphe 12 de la [NBN EN 1090-2].</w:t>
      </w:r>
    </w:p>
    <w:p w14:paraId="066EF15A" w14:textId="77777777" w:rsidR="00DB2B68" w:rsidRDefault="00000000">
      <w:pPr>
        <w:jc w:val="both"/>
      </w:pPr>
      <w:r>
        <w:t>La correction d'un alignement défectueux par alésage ou fraisage est préférable, mais lorsque l'utilisation d'autres méthodes de coupe est inévitable, la conformité aux prescriptions de la section 6 de la [NBN EN 1090-2] pour la finition interne de tous les trous réalisés par ces autres méthodes doit être spécifiquement vérifiée.</w:t>
      </w:r>
    </w:p>
    <w:p w14:paraId="692DBCB8" w14:textId="77777777" w:rsidR="00DB2B68" w:rsidRDefault="00000000">
      <w:pPr>
        <w:jc w:val="both"/>
      </w:pPr>
      <w:r>
        <w:t>Les trous réalignés doivent être conformes aux exigences concernant les trous oblongs ou surdimensionnés mentionnées au paragraphe 6.6 de la [NBN EN 1090-2], et est admise à condition qu'une vérification de la transmission des efforts ait été réalisée.</w:t>
      </w:r>
    </w:p>
    <w:p w14:paraId="1AADD36F" w14:textId="77777777" w:rsidR="00DB2B68" w:rsidRDefault="00000000">
      <w:pPr>
        <w:jc w:val="both"/>
      </w:pPr>
      <w:r>
        <w:t>Les assemblages terminés réalisés sur chantier doivent être contrôlés conformément au paragraphe 12.5 de la [NBN EN 1090-2]. </w:t>
      </w:r>
    </w:p>
    <w:p w14:paraId="19951514" w14:textId="77777777" w:rsidR="00DB2B68" w:rsidRDefault="00000000">
      <w:pPr>
        <w:jc w:val="both"/>
      </w:pPr>
      <w:r>
        <w:rPr>
          <w:b/>
        </w:rPr>
        <w:t>Pannes</w:t>
      </w:r>
    </w:p>
    <w:p w14:paraId="07566C3F" w14:textId="77777777" w:rsidR="00DB2B68" w:rsidRDefault="00000000">
      <w:pPr>
        <w:jc w:val="both"/>
      </w:pPr>
      <w:r>
        <w:t>Les pattes qui servent à fixer les pannes et qui sont directement soudées sur les arbalétriers font partie intégrante de cet article. Les pattes qui sont boulonnées par la suite lors de la pose de pannes font partie de l’assemblage des pannes et ne sont pas reprises dans ce poste, sauf contre-indication dans le cahier spécial des charges.</w:t>
      </w:r>
    </w:p>
    <w:p w14:paraId="19836769" w14:textId="77777777" w:rsidR="00DB2B68" w:rsidRDefault="00000000">
      <w:pPr>
        <w:pStyle w:val="pheading"/>
      </w:pPr>
      <w:r>
        <w:t>CONTRÔLES</w:t>
      </w:r>
    </w:p>
    <w:p w14:paraId="6122D54C" w14:textId="77777777" w:rsidR="00DB2B68" w:rsidRDefault="00000000">
      <w:pPr>
        <w:jc w:val="both"/>
      </w:pPr>
      <w:r>
        <w:t>Les faces inférieures des arbalétriers doivent toutes se situer dans un même plan.</w:t>
      </w:r>
    </w:p>
    <w:p w14:paraId="105DC09E" w14:textId="77777777" w:rsidR="00DB2B68" w:rsidRDefault="00000000">
      <w:pPr>
        <w:jc w:val="both"/>
      </w:pPr>
      <w:r>
        <w:rPr>
          <w:b/>
        </w:rPr>
        <w:t>Tolérances géométriques</w:t>
      </w:r>
    </w:p>
    <w:p w14:paraId="77B33879" w14:textId="77777777" w:rsidR="00DB2B68" w:rsidRDefault="00000000">
      <w:pPr>
        <w:jc w:val="both"/>
      </w:pPr>
      <w:r>
        <w:t>Conformément à l’annexe B de la [NBN EN 1090-2]. La classe 1 est d’application.</w:t>
      </w:r>
    </w:p>
    <w:p w14:paraId="318A7A4F" w14:textId="77777777" w:rsidR="00DB2B68" w:rsidRDefault="00000000">
      <w:pPr>
        <w:jc w:val="both"/>
      </w:pPr>
      <w:r>
        <w:t>Lorsqu’une même tolérance est reprise plusieurs fois dans des tableaux différents, la valeur la plus sévère est à respecter.</w:t>
      </w:r>
    </w:p>
    <w:p w14:paraId="28830862" w14:textId="77777777" w:rsidR="00DB2B68" w:rsidRDefault="00000000">
      <w:pPr>
        <w:jc w:val="both"/>
      </w:pPr>
      <w:r>
        <w:rPr>
          <w:b/>
        </w:rPr>
        <w:t>Assemblages</w:t>
      </w:r>
    </w:p>
    <w:p w14:paraId="45E56FB8" w14:textId="77777777" w:rsidR="00DB2B68" w:rsidRDefault="00000000">
      <w:pPr>
        <w:jc w:val="both"/>
      </w:pPr>
      <w:r>
        <w:t>Les assemblages réalisés sur chantier doivent être contrôlés conformément au paragraphe 12.5 de la [NBN EN 1090-2].</w:t>
      </w:r>
    </w:p>
    <w:p w14:paraId="0DFBB0B3" w14:textId="77777777" w:rsidR="00DB2B68" w:rsidRDefault="00000000">
      <w:pPr>
        <w:pStyle w:val="pheading"/>
      </w:pPr>
      <w:r>
        <w:t>DOCUMENTS DE RÉFÉRENCE</w:t>
      </w:r>
    </w:p>
    <w:p w14:paraId="0BB6881D" w14:textId="77777777" w:rsidR="00DB2B68" w:rsidRDefault="00000000">
      <w:pPr>
        <w:pStyle w:val="pheading"/>
      </w:pPr>
      <w:r>
        <w:t>- Matériau</w:t>
      </w:r>
    </w:p>
    <w:p w14:paraId="74908624" w14:textId="77777777" w:rsidR="00DB2B68" w:rsidRDefault="00000000">
      <w:r>
        <w:t>[NBN EN 10025 série, Produits laminés à chaud en aciers de construction]</w:t>
      </w:r>
    </w:p>
    <w:p w14:paraId="67770976" w14:textId="77777777" w:rsidR="00DB2B68" w:rsidRDefault="00000000">
      <w:r>
        <w:t>[NBN B 03-003, Déformation des structures - Valeurs limites de déformation - Bâtiments]</w:t>
      </w:r>
    </w:p>
    <w:p w14:paraId="5CB2F3C5"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583EA8BA" w14:textId="77777777" w:rsidR="00DB2B68" w:rsidRDefault="00000000">
      <w:r>
        <w:t>[AM 2013-05-17, Arrêté ministériel relatif à l’utilisation des Eurocodes comme méthodes de calcul pour l’évaluation de la résistance au feu d’éléments de construction]</w:t>
      </w:r>
    </w:p>
    <w:p w14:paraId="76DBD171" w14:textId="77777777" w:rsidR="00DB2B68" w:rsidRDefault="00000000">
      <w:pPr>
        <w:pStyle w:val="pheading"/>
      </w:pPr>
      <w:r>
        <w:t>- Exécution</w:t>
      </w:r>
    </w:p>
    <w:p w14:paraId="69FECF23" w14:textId="77777777" w:rsidR="00DB2B68" w:rsidRDefault="00000000">
      <w:r>
        <w:t>[NBN EN 1090-2, Exécution des structures en acier et des structures en aluminium - Partie 2: Exigences techniques pour les structures en acier]</w:t>
      </w:r>
    </w:p>
    <w:p w14:paraId="6F5D71EA" w14:textId="77777777" w:rsidR="00DB2B68" w:rsidRDefault="00000000">
      <w:pPr>
        <w:pStyle w:val="Author-eSectionHeading6Numberless"/>
      </w:pPr>
      <w:bookmarkStart w:id="1336" w:name="_Toc220496348"/>
      <w:r>
        <w:t>23.23.1a Fermes de toiture en acier laminé à chaud CCTB 01.11</w:t>
      </w:r>
      <w:bookmarkEnd w:id="1336"/>
    </w:p>
    <w:p w14:paraId="6EE8160A" w14:textId="77777777" w:rsidR="00DB2B68" w:rsidRDefault="00000000">
      <w:pPr>
        <w:pStyle w:val="pheading"/>
      </w:pPr>
      <w:bookmarkStart w:id="1337" w:name="556"/>
      <w:bookmarkEnd w:id="1337"/>
      <w:r>
        <w:t>DESCRIPTION</w:t>
      </w:r>
    </w:p>
    <w:p w14:paraId="58A27D89" w14:textId="77777777" w:rsidR="00DB2B68" w:rsidRDefault="00000000">
      <w:pPr>
        <w:pStyle w:val="pheading"/>
      </w:pPr>
      <w:r>
        <w:t>- Définition / Comprend</w:t>
      </w:r>
    </w:p>
    <w:p w14:paraId="6CB6CD01" w14:textId="77777777" w:rsidR="00DB2B68" w:rsidRDefault="00000000">
      <w:pPr>
        <w:jc w:val="both"/>
      </w:pPr>
      <w:r>
        <w:lastRenderedPageBreak/>
        <w:t>Il s'agit de fermes de toiture constituées d'éléments linéaires en acier laminées à chaud, composant la structure portante de la toiture, préfabriquées à l'atelier, montées et assemblées sur chantier aux ouvrages de construction déjà exécutés. Ces fermes sont placées à distance régulière.</w:t>
      </w:r>
    </w:p>
    <w:p w14:paraId="3BE39035" w14:textId="77777777" w:rsidR="00DB2B68" w:rsidRDefault="00000000">
      <w:pPr>
        <w:jc w:val="both"/>
      </w:pPr>
      <w:r>
        <w:t xml:space="preserve">La portée des travaux est décrite au chapitre </w:t>
      </w:r>
      <w:hyperlink w:anchor="555" w:history="1">
        <w:r>
          <w:rPr>
            <w:color w:val="0000EE"/>
          </w:rPr>
          <w:t>23.23.1 Charpentes de toiture en acier laminé à chaud</w:t>
        </w:r>
      </w:hyperlink>
      <w:r>
        <w:t>.</w:t>
      </w:r>
    </w:p>
    <w:p w14:paraId="24200A03" w14:textId="77777777" w:rsidR="00DB2B68" w:rsidRDefault="00000000">
      <w:pPr>
        <w:pStyle w:val="pheading"/>
      </w:pPr>
      <w:r>
        <w:t>- Localisation</w:t>
      </w:r>
    </w:p>
    <w:p w14:paraId="7C2CD6E0" w14:textId="77777777" w:rsidR="00DB2B68" w:rsidRDefault="00000000">
      <w:r>
        <w:t>Les travaux sont localisés :</w:t>
      </w:r>
      <w:r>
        <w:rPr>
          <w:rStyle w:val="optioncarChar"/>
        </w:rPr>
        <w:t xml:space="preserve"> ***</w:t>
      </w:r>
      <w:r>
        <w:t>.</w:t>
      </w:r>
    </w:p>
    <w:p w14:paraId="5F3C3BA5" w14:textId="77777777" w:rsidR="00DB2B68" w:rsidRDefault="00000000">
      <w:r>
        <w:t>Voir plans et métrés détaillés.</w:t>
      </w:r>
    </w:p>
    <w:p w14:paraId="24C914EA" w14:textId="77777777" w:rsidR="00DB2B68" w:rsidRDefault="00000000">
      <w:pPr>
        <w:pStyle w:val="pheading"/>
      </w:pPr>
      <w:r>
        <w:t>MATÉRIAUX</w:t>
      </w:r>
    </w:p>
    <w:p w14:paraId="51342508" w14:textId="77777777" w:rsidR="00DB2B68" w:rsidRDefault="00000000">
      <w:pPr>
        <w:pStyle w:val="pheading"/>
      </w:pPr>
      <w:r>
        <w:t>- Caractéristiques générales</w:t>
      </w:r>
    </w:p>
    <w:p w14:paraId="587D7D72" w14:textId="77777777" w:rsidR="00DB2B68" w:rsidRDefault="00000000">
      <w:pPr>
        <w:jc w:val="both"/>
      </w:pPr>
      <w:r>
        <w:t xml:space="preserve">Types de profilés : </w:t>
      </w:r>
      <w:r>
        <w:rPr>
          <w:rStyle w:val="optioncarChar"/>
        </w:rPr>
        <w:t xml:space="preserve">voir données mentionnées sur les plans </w:t>
      </w:r>
      <w:r>
        <w:t xml:space="preserve">(par défaut) </w:t>
      </w:r>
      <w:r>
        <w:rPr>
          <w:rStyle w:val="optioncarChar"/>
        </w:rPr>
        <w:t>/ IPE / HEA / HEB / HEM / tube carré (SHS) / tube rectangulaire (RHS) / ***</w:t>
      </w:r>
      <w:r>
        <w:t>.</w:t>
      </w:r>
    </w:p>
    <w:p w14:paraId="61425A93" w14:textId="77777777" w:rsidR="00DB2B68" w:rsidRDefault="00000000">
      <w:pPr>
        <w:pStyle w:val="pheading"/>
      </w:pPr>
      <w:r>
        <w:t>EXÉCUTION / MISE EN ŒUVRE</w:t>
      </w:r>
    </w:p>
    <w:p w14:paraId="4999A347" w14:textId="77777777" w:rsidR="00DB2B68" w:rsidRDefault="00000000">
      <w:pPr>
        <w:pStyle w:val="pheading"/>
      </w:pPr>
      <w:r>
        <w:t>- Prescriptions générales</w:t>
      </w:r>
    </w:p>
    <w:p w14:paraId="2619A785" w14:textId="77777777" w:rsidR="00DB2B68" w:rsidRDefault="00000000">
      <w:r>
        <w:rPr>
          <w:b/>
          <w:u w:val="single"/>
        </w:rPr>
        <w:t>Pannes</w:t>
      </w:r>
    </w:p>
    <w:p w14:paraId="413C7328" w14:textId="77777777" w:rsidR="00DB2B68" w:rsidRDefault="00000000">
      <w:r>
        <w:t xml:space="preserve">Position des pattes de fixation pour les pannes par rapport aux fermes : </w:t>
      </w:r>
      <w:r>
        <w:rPr>
          <w:rStyle w:val="optioncarChar"/>
        </w:rPr>
        <w:t xml:space="preserve">au-dessus des fermes </w:t>
      </w:r>
      <w:r>
        <w:t>(par défaut)</w:t>
      </w:r>
      <w:r>
        <w:rPr>
          <w:rStyle w:val="optioncarChar"/>
        </w:rPr>
        <w:t xml:space="preserve"> / entre les fermes / pas d’application.</w:t>
      </w:r>
    </w:p>
    <w:p w14:paraId="471A9734" w14:textId="77777777" w:rsidR="00DB2B68" w:rsidRDefault="00000000">
      <w:pPr>
        <w:ind w:left="567"/>
      </w:pPr>
      <w:r>
        <w:rPr>
          <w:b/>
          <w:i/>
        </w:rPr>
        <w:t>(Soit par défaut)</w:t>
      </w:r>
      <w:r>
        <w:br/>
      </w:r>
      <w:r>
        <w:rPr>
          <w:rStyle w:val="soitChar"/>
          <w:u w:val="single"/>
        </w:rPr>
        <w:t>Au-dessus des fermes :</w:t>
      </w:r>
      <w:r>
        <w:br/>
      </w:r>
      <w:r>
        <w:rPr>
          <w:rStyle w:val="soitChar"/>
        </w:rPr>
        <w:t>Les pannes sont placées sur les arbalétriers des fermes. Elles sont fixées à l’aide de pattes, qui sont soudées sur la semelle extérieure des arbalétriers.</w:t>
      </w:r>
    </w:p>
    <w:p w14:paraId="62277F47" w14:textId="77777777" w:rsidR="00DB2B68" w:rsidRDefault="00000000">
      <w:pPr>
        <w:ind w:left="567"/>
      </w:pPr>
      <w:r>
        <w:rPr>
          <w:b/>
          <w:i/>
        </w:rPr>
        <w:t>(Soit)</w:t>
      </w:r>
      <w:r>
        <w:br/>
      </w:r>
      <w:r>
        <w:rPr>
          <w:rStyle w:val="soitChar"/>
          <w:u w:val="single"/>
        </w:rPr>
        <w:t>Entre les fermes : </w:t>
      </w:r>
      <w:r>
        <w:br/>
      </w:r>
      <w:r>
        <w:rPr>
          <w:rStyle w:val="soitChar"/>
        </w:rPr>
        <w:t>Les pannes sont placées entre les arbalétriers des fermes, dans leur épaisseur. Elles sont fixées à l’aide de pattes qui sont soudées dans l’âme des arbalétriers.</w:t>
      </w:r>
    </w:p>
    <w:p w14:paraId="204ABB62" w14:textId="77777777" w:rsidR="00DB2B68" w:rsidRDefault="00000000">
      <w:pPr>
        <w:ind w:left="567"/>
      </w:pPr>
      <w:r>
        <w:rPr>
          <w:b/>
          <w:i/>
        </w:rPr>
        <w:t>(Soit)</w:t>
      </w:r>
      <w:r>
        <w:br/>
      </w:r>
      <w:r>
        <w:rPr>
          <w:rStyle w:val="soitChar"/>
          <w:u w:val="single"/>
        </w:rPr>
        <w:t>Pas d’application : </w:t>
      </w:r>
      <w:r>
        <w:br/>
      </w:r>
      <w:r>
        <w:rPr>
          <w:rStyle w:val="soitChar"/>
        </w:rPr>
        <w:t>Les pattes de fixation des pannes sont boulonnées par la suite sur ou entre les arbalétriers, lors de la pose des pannes. Elles ne sont pas comprises dans ce poste. Néanmoins les trous sont compris dans ce poste.</w:t>
      </w:r>
    </w:p>
    <w:p w14:paraId="6E036A5A" w14:textId="77777777" w:rsidR="00DB2B68" w:rsidRDefault="00000000">
      <w:pPr>
        <w:pStyle w:val="pheading"/>
      </w:pPr>
      <w:r>
        <w:t>MESURAGE</w:t>
      </w:r>
    </w:p>
    <w:p w14:paraId="1413F10A" w14:textId="77777777" w:rsidR="00DB2B68" w:rsidRDefault="00000000">
      <w:pPr>
        <w:pStyle w:val="pheading"/>
      </w:pPr>
      <w:r>
        <w:t>- unité de mesure:</w:t>
      </w:r>
    </w:p>
    <w:p w14:paraId="5C12C74D" w14:textId="77777777" w:rsidR="00DB2B68" w:rsidRDefault="00000000">
      <w:r>
        <w:rPr>
          <w:b/>
        </w:rPr>
        <w:t>FERME</w:t>
      </w:r>
    </w:p>
    <w:p w14:paraId="5774B76D" w14:textId="77777777" w:rsidR="00DB2B68" w:rsidRDefault="00000000">
      <w:r>
        <w:rPr>
          <w:rStyle w:val="optioncarChar"/>
        </w:rPr>
        <w:t xml:space="preserve">pc </w:t>
      </w:r>
      <w:r>
        <w:t>(par défaut)</w:t>
      </w:r>
      <w:r>
        <w:rPr>
          <w:rStyle w:val="optioncarChar"/>
        </w:rPr>
        <w:t xml:space="preserve"> / kg  ; m / kg  ; m.</w:t>
      </w:r>
    </w:p>
    <w:p w14:paraId="33ADC45D" w14:textId="77777777" w:rsidR="00DB2B68" w:rsidRDefault="00000000">
      <w:r>
        <w:rPr>
          <w:b/>
          <w:i/>
        </w:rPr>
        <w:t>(Soit par défaut)</w:t>
      </w:r>
    </w:p>
    <w:p w14:paraId="2C52EF9D" w14:textId="77777777" w:rsidR="00DB2B68" w:rsidRDefault="00000000">
      <w:r>
        <w:rPr>
          <w:rStyle w:val="soitChar"/>
        </w:rPr>
        <w:t>  1. pc</w:t>
      </w:r>
    </w:p>
    <w:p w14:paraId="04BF2CFC" w14:textId="77777777" w:rsidR="00DB2B68" w:rsidRDefault="00000000">
      <w:r>
        <w:rPr>
          <w:b/>
          <w:i/>
        </w:rPr>
        <w:t>(Soit)</w:t>
      </w:r>
    </w:p>
    <w:p w14:paraId="352D75F2" w14:textId="77777777" w:rsidR="00DB2B68" w:rsidRDefault="00000000">
      <w:r>
        <w:rPr>
          <w:rStyle w:val="soitChar"/>
        </w:rPr>
        <w:t>  2. et 3. kg  ; m</w:t>
      </w:r>
    </w:p>
    <w:p w14:paraId="2C1299CF" w14:textId="77777777" w:rsidR="00DB2B68" w:rsidRDefault="00000000">
      <w:r>
        <w:t> </w:t>
      </w:r>
    </w:p>
    <w:p w14:paraId="60A36C52" w14:textId="77777777" w:rsidR="00DB2B68" w:rsidRDefault="00000000">
      <w:r>
        <w:rPr>
          <w:b/>
        </w:rPr>
        <w:t>FLOCAGE</w:t>
      </w:r>
    </w:p>
    <w:p w14:paraId="787F629F" w14:textId="77777777" w:rsidR="00DB2B68" w:rsidRDefault="00000000">
      <w:r>
        <w:rPr>
          <w:rStyle w:val="optioncarChar"/>
        </w:rPr>
        <w:t xml:space="preserve">m² </w:t>
      </w:r>
      <w:r>
        <w:t>(par défaut)</w:t>
      </w:r>
      <w:r>
        <w:rPr>
          <w:rStyle w:val="optioncarChar"/>
        </w:rPr>
        <w:t xml:space="preserve"> / m / pc.</w:t>
      </w:r>
    </w:p>
    <w:p w14:paraId="49F76FFD" w14:textId="77777777" w:rsidR="00DB2B68" w:rsidRDefault="00000000">
      <w:r>
        <w:rPr>
          <w:b/>
          <w:i/>
        </w:rPr>
        <w:t>(Soit par défaut)</w:t>
      </w:r>
    </w:p>
    <w:p w14:paraId="34900B10" w14:textId="77777777" w:rsidR="00DB2B68" w:rsidRDefault="00000000">
      <w:r>
        <w:rPr>
          <w:rStyle w:val="soitChar"/>
        </w:rPr>
        <w:t> 1. m²</w:t>
      </w:r>
    </w:p>
    <w:p w14:paraId="1505299A" w14:textId="77777777" w:rsidR="00DB2B68" w:rsidRDefault="00000000">
      <w:r>
        <w:rPr>
          <w:b/>
          <w:i/>
        </w:rPr>
        <w:t>(Soit)</w:t>
      </w:r>
    </w:p>
    <w:p w14:paraId="0219A2AF" w14:textId="77777777" w:rsidR="00DB2B68" w:rsidRDefault="00000000">
      <w:r>
        <w:rPr>
          <w:rStyle w:val="soitChar"/>
        </w:rPr>
        <w:lastRenderedPageBreak/>
        <w:t> 2. m</w:t>
      </w:r>
    </w:p>
    <w:p w14:paraId="2C82CDB8" w14:textId="77777777" w:rsidR="00DB2B68" w:rsidRDefault="00000000">
      <w:r>
        <w:rPr>
          <w:b/>
          <w:i/>
        </w:rPr>
        <w:t>(Soit)</w:t>
      </w:r>
    </w:p>
    <w:p w14:paraId="311AE3E3" w14:textId="77777777" w:rsidR="00DB2B68" w:rsidRDefault="00000000">
      <w:r>
        <w:rPr>
          <w:rStyle w:val="soitChar"/>
        </w:rPr>
        <w:t> 3. pc</w:t>
      </w:r>
    </w:p>
    <w:p w14:paraId="6FA5565A" w14:textId="77777777" w:rsidR="00DB2B68" w:rsidRDefault="00000000">
      <w:pPr>
        <w:pStyle w:val="pheading"/>
      </w:pPr>
      <w:r>
        <w:t>- code de mesurage:</w:t>
      </w:r>
    </w:p>
    <w:p w14:paraId="34EEA133" w14:textId="77777777" w:rsidR="00DB2B68" w:rsidRDefault="00000000">
      <w:r>
        <w:rPr>
          <w:b/>
        </w:rPr>
        <w:t>FERME</w:t>
      </w:r>
    </w:p>
    <w:p w14:paraId="41AAE796" w14:textId="77777777" w:rsidR="00DB2B68" w:rsidRDefault="00000000">
      <w:r>
        <w:rPr>
          <w:rStyle w:val="optioncarChar"/>
        </w:rPr>
        <w:t>Quantité nette</w:t>
      </w:r>
      <w:r>
        <w:t xml:space="preserve"> (par défaut)</w:t>
      </w:r>
      <w:r>
        <w:rPr>
          <w:rStyle w:val="optioncarChar"/>
        </w:rPr>
        <w:t xml:space="preserve"> / masse conventionnelle et longueur / masse simplifiée et longueur</w:t>
      </w:r>
      <w:r>
        <w:t>.</w:t>
      </w:r>
    </w:p>
    <w:p w14:paraId="548338F6" w14:textId="77777777" w:rsidR="00DB2B68" w:rsidRDefault="00000000">
      <w:pPr>
        <w:ind w:left="567"/>
      </w:pPr>
      <w:r>
        <w:rPr>
          <w:b/>
          <w:i/>
        </w:rPr>
        <w:t>(Soit par défaut)</w:t>
      </w:r>
      <w:r>
        <w:br/>
      </w:r>
      <w:r>
        <w:rPr>
          <w:rStyle w:val="soitChar"/>
          <w:u w:val="single"/>
        </w:rPr>
        <w:t>1.     Quantité nette</w:t>
      </w:r>
      <w:r>
        <w:rPr>
          <w:color w:val="33CCCC"/>
        </w:rPr>
        <w:t xml:space="preserve"> à mettre en œuvre, par type de ferme.</w:t>
      </w:r>
    </w:p>
    <w:p w14:paraId="492D1C8B" w14:textId="77777777" w:rsidR="00DB2B68" w:rsidRDefault="00000000">
      <w:pPr>
        <w:ind w:left="567"/>
        <w:jc w:val="both"/>
      </w:pPr>
      <w:r>
        <w:rPr>
          <w:b/>
          <w:i/>
        </w:rPr>
        <w:t>(Soit)</w:t>
      </w:r>
    </w:p>
    <w:p w14:paraId="62ACDEE7" w14:textId="77777777" w:rsidR="00DB2B68" w:rsidRDefault="00000000">
      <w:pPr>
        <w:ind w:left="567"/>
        <w:jc w:val="both"/>
      </w:pPr>
      <w:r>
        <w:rPr>
          <w:rStyle w:val="soitChar"/>
          <w:u w:val="single"/>
        </w:rPr>
        <w:t>2.     Masse conventionnelle et longueur</w:t>
      </w:r>
      <w:r>
        <w:rPr>
          <w:rStyle w:val="soitChar"/>
        </w:rPr>
        <w:t> : masse d’acier théorique à mettre en œuvre pour toutes dimensions et types de profilés, distinction faite suivant les nuances et qualités d’acier.</w:t>
      </w:r>
    </w:p>
    <w:p w14:paraId="1CF03F07" w14:textId="77777777" w:rsidR="00DB2B68" w:rsidRDefault="00000000">
      <w:pPr>
        <w:ind w:left="567"/>
        <w:jc w:val="both"/>
      </w:pPr>
      <w:r>
        <w:rPr>
          <w:rStyle w:val="soitChar"/>
        </w:rPr>
        <w:t>La masse d’acier théorique comprend les rivets, cordons de soudures, boulons etc. Elle est obtenue en calculant les différents volumes des éléments (profils, barres, tubes et large plats), multiplié par la masse volumique théorique de l’acier de 7.850 kg/m³ (suivant [NBN B 06-001]). La valeur obtenue est alors majorée de 3%, pour obtenir la masse théorique.</w:t>
      </w:r>
    </w:p>
    <w:p w14:paraId="47AEB3BA" w14:textId="77777777" w:rsidR="00DB2B68" w:rsidRDefault="00000000">
      <w:pPr>
        <w:ind w:left="567"/>
        <w:jc w:val="both"/>
      </w:pPr>
      <w:r>
        <w:rPr>
          <w:rStyle w:val="soitChar"/>
        </w:rPr>
        <w:t>Cette masse théorique est arrondie à l’unité.</w:t>
      </w:r>
    </w:p>
    <w:p w14:paraId="1431CBA7" w14:textId="77777777" w:rsidR="00DB2B68" w:rsidRDefault="00000000">
      <w:pPr>
        <w:ind w:left="567"/>
        <w:jc w:val="both"/>
      </w:pPr>
      <w:r>
        <w:rPr>
          <w:rStyle w:val="soitChar"/>
        </w:rPr>
        <w:t>La majoration de 3% couvre notamment, forfaitairement, les soudures, les rivets, les boulons, les goujons, la protection anticorrosion et les tolérances de laminage.</w:t>
      </w:r>
    </w:p>
    <w:p w14:paraId="555E7A6B" w14:textId="77777777" w:rsidR="00DB2B68" w:rsidRDefault="00000000">
      <w:pPr>
        <w:ind w:left="567"/>
        <w:jc w:val="both"/>
      </w:pPr>
      <w:r>
        <w:rPr>
          <w:rStyle w:val="soitChar"/>
        </w:rPr>
        <w:t>Le calcul se base sur la géométrie des pièces prévues sur les plans d’exécution du bureau d’études, arrondie au mm.</w:t>
      </w:r>
    </w:p>
    <w:p w14:paraId="248B2FEB" w14:textId="77777777" w:rsidR="00DB2B68" w:rsidRDefault="00000000">
      <w:pPr>
        <w:ind w:left="567"/>
        <w:jc w:val="both"/>
      </w:pPr>
      <w:r>
        <w:rPr>
          <w:rStyle w:val="soitChar"/>
        </w:rPr>
        <w:t>Les découpes et ouvertures sont soustraites, à l’exception des trous pour les boulons, goujons, et des chanfreins pour les soudures ou ouvertures pour le passage des cordons de soudures.</w:t>
      </w:r>
    </w:p>
    <w:p w14:paraId="0ABA0412" w14:textId="77777777" w:rsidR="00DB2B68" w:rsidRDefault="00000000">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14:paraId="1D3AD4C6" w14:textId="77777777" w:rsidR="00DB2B68" w:rsidRDefault="00000000">
      <w:pPr>
        <w:ind w:left="567"/>
        <w:jc w:val="both"/>
      </w:pPr>
      <w:r>
        <w:rPr>
          <w:b/>
          <w:i/>
        </w:rPr>
        <w:t>(Soit)</w:t>
      </w:r>
    </w:p>
    <w:p w14:paraId="7501662D" w14:textId="77777777" w:rsidR="00DB2B68" w:rsidRDefault="00000000">
      <w:pPr>
        <w:ind w:left="567"/>
        <w:jc w:val="both"/>
      </w:pPr>
      <w:r>
        <w:rPr>
          <w:rStyle w:val="soitChar"/>
          <w:u w:val="single"/>
        </w:rPr>
        <w:t>3.     Masse simplifiée et longueur</w:t>
      </w:r>
      <w:r>
        <w:rPr>
          <w:rStyle w:val="soitChar"/>
        </w:rPr>
        <w:t> : masse d’acier théorique à mettre en œuvre pour toutes dimensions et types de profilés, distinction faite suivant les nuances et qualités d’acier.</w:t>
      </w:r>
    </w:p>
    <w:p w14:paraId="51B9B9AB" w14:textId="77777777" w:rsidR="00DB2B68" w:rsidRDefault="00000000">
      <w:pPr>
        <w:ind w:left="567"/>
        <w:jc w:val="both"/>
      </w:pPr>
      <w:r>
        <w:rPr>
          <w:rStyle w:val="soitChar"/>
        </w:rPr>
        <w:t>La masse d’acier théorique comprend les rivets, cordons de soudures, boulons etc. Elle est obtenue en calculant les différents volumes des éléments (profils, barres, tubes et larges plats), à l’exclusion des plats et pattes d’assemblage, semelles et autres pièces rapportées, multiplié par la masse volumique théorique de l’acier de 7.850 kg/m³ (suivant [NBN B 06-001]). La valeur obtenue est alors majorée de 8 %, pour obtenir la masse théorique.</w:t>
      </w:r>
    </w:p>
    <w:p w14:paraId="5D14AF8F" w14:textId="77777777" w:rsidR="00DB2B68" w:rsidRDefault="00000000">
      <w:pPr>
        <w:ind w:left="567"/>
        <w:jc w:val="both"/>
      </w:pPr>
      <w:r>
        <w:rPr>
          <w:rStyle w:val="soitChar"/>
        </w:rPr>
        <w:t>Cette masse théorique est arrondie à l’unité.</w:t>
      </w:r>
    </w:p>
    <w:p w14:paraId="7D9FE400" w14:textId="77777777" w:rsidR="00DB2B68" w:rsidRDefault="00000000">
      <w:pPr>
        <w:ind w:left="567"/>
        <w:jc w:val="both"/>
      </w:pPr>
      <w:r>
        <w:rPr>
          <w:rStyle w:val="soitChar"/>
        </w:rPr>
        <w:t>La majoration de 5% couvre notamment, forfaitairement, les soudures, les rivets, les boulons, les goujons, la protection anticorrosion et les tolérances de laminage ainsi que les plats et pattes d’assemblage, semelles et autres pièces rapportées.</w:t>
      </w:r>
    </w:p>
    <w:p w14:paraId="79FAD925" w14:textId="77777777" w:rsidR="00DB2B68" w:rsidRDefault="00000000">
      <w:pPr>
        <w:ind w:left="567"/>
        <w:jc w:val="both"/>
      </w:pPr>
      <w:r>
        <w:rPr>
          <w:rStyle w:val="soitChar"/>
        </w:rPr>
        <w:t>Le calcul se base sur la géométrie des pièces prévues sur les plans d’exécution du bureau d’études, arrondie au mm.</w:t>
      </w:r>
    </w:p>
    <w:p w14:paraId="2769581B" w14:textId="77777777" w:rsidR="00DB2B68" w:rsidRDefault="00000000">
      <w:pPr>
        <w:ind w:left="567"/>
        <w:jc w:val="both"/>
      </w:pPr>
      <w:r>
        <w:rPr>
          <w:rStyle w:val="soitChar"/>
        </w:rPr>
        <w:t>Les découpes et ouvertures sont soustraites, à l’exception des trous pour les boulons, goujons, et des chanfreins pour les soudures ou ouvertures pour le passage des cordons de soudures.</w:t>
      </w:r>
    </w:p>
    <w:p w14:paraId="0F65BA6F" w14:textId="77777777" w:rsidR="00DB2B68" w:rsidRDefault="00000000">
      <w:pPr>
        <w:ind w:left="567"/>
        <w:jc w:val="both"/>
      </w:pPr>
      <w:r>
        <w:rPr>
          <w:rStyle w:val="soitChar"/>
        </w:rPr>
        <w:t>Les câbles sont mesurés au mètre, à l’axe, distinction faite suivant les nuances d’acier et les sections. Les longueurs d’ancrages aux extrémités sont prises en compte, mais pas au-delà des ancrages.</w:t>
      </w:r>
      <w:r>
        <w:t> </w:t>
      </w:r>
    </w:p>
    <w:p w14:paraId="4CADF7C2" w14:textId="77777777" w:rsidR="00DB2B68" w:rsidRDefault="00000000">
      <w:pPr>
        <w:jc w:val="both"/>
      </w:pPr>
      <w:r>
        <w:rPr>
          <w:b/>
        </w:rPr>
        <w:t>FLOCAGE</w:t>
      </w:r>
    </w:p>
    <w:p w14:paraId="4906B999" w14:textId="77777777" w:rsidR="00DB2B68" w:rsidRDefault="00000000">
      <w:pPr>
        <w:jc w:val="both"/>
      </w:pPr>
      <w:r>
        <w:lastRenderedPageBreak/>
        <w:t>Le traitement au feu par flocage est compté séparément et fait l’objet d’un (de) poste(s) supplémentaire(s) dans le présent article :</w:t>
      </w:r>
    </w:p>
    <w:p w14:paraId="220B008B" w14:textId="77777777" w:rsidR="00DB2B68" w:rsidRDefault="00000000">
      <w:pPr>
        <w:jc w:val="both"/>
      </w:pPr>
      <w:r>
        <w:rPr>
          <w:rStyle w:val="optioncarChar"/>
        </w:rPr>
        <w:t>Surface nette</w:t>
      </w:r>
      <w:r>
        <w:t xml:space="preserve"> (par défaut)</w:t>
      </w:r>
      <w:r>
        <w:rPr>
          <w:rStyle w:val="optioncarChar"/>
        </w:rPr>
        <w:t xml:space="preserve"> / longueur nette / quantité nette.</w:t>
      </w:r>
    </w:p>
    <w:p w14:paraId="1B20A5CC" w14:textId="77777777" w:rsidR="00DB2B68" w:rsidRDefault="00000000">
      <w:pPr>
        <w:ind w:left="567"/>
        <w:jc w:val="both"/>
      </w:pPr>
      <w:r>
        <w:rPr>
          <w:b/>
          <w:i/>
        </w:rPr>
        <w:t>(Soit par défaut)</w:t>
      </w:r>
    </w:p>
    <w:p w14:paraId="4E8539A8" w14:textId="77777777" w:rsidR="00DB2B68" w:rsidRDefault="00000000">
      <w:pPr>
        <w:ind w:left="567"/>
        <w:jc w:val="both"/>
      </w:pPr>
      <w:r>
        <w:rPr>
          <w:rStyle w:val="soitChar"/>
          <w:u w:val="single"/>
        </w:rPr>
        <w:t>1.     Surface nette</w:t>
      </w:r>
      <w:r>
        <w:rPr>
          <w:color w:val="33CCCC"/>
        </w:rPr>
        <w:t xml:space="preserve"> à traiter.</w:t>
      </w:r>
    </w:p>
    <w:p w14:paraId="6801C4DC" w14:textId="77777777" w:rsidR="00DB2B68" w:rsidRDefault="00000000">
      <w:pPr>
        <w:ind w:left="567"/>
        <w:jc w:val="both"/>
      </w:pPr>
      <w:r>
        <w:rPr>
          <w:b/>
          <w:i/>
        </w:rPr>
        <w:t>(Soit)</w:t>
      </w:r>
    </w:p>
    <w:p w14:paraId="26EA1C2B" w14:textId="77777777" w:rsidR="00DB2B68" w:rsidRDefault="00000000">
      <w:pPr>
        <w:ind w:left="567"/>
        <w:jc w:val="both"/>
      </w:pPr>
      <w:r>
        <w:rPr>
          <w:rStyle w:val="soitChar"/>
          <w:u w:val="single"/>
        </w:rPr>
        <w:t xml:space="preserve">2.     Longueur nette </w:t>
      </w:r>
      <w:r>
        <w:rPr>
          <w:color w:val="33CCCC"/>
        </w:rPr>
        <w:t xml:space="preserve"> à traiter, distinction faite suivant la section des profilés.</w:t>
      </w:r>
    </w:p>
    <w:p w14:paraId="7E4754D7" w14:textId="77777777" w:rsidR="00DB2B68" w:rsidRDefault="00000000">
      <w:pPr>
        <w:ind w:left="567"/>
        <w:jc w:val="both"/>
      </w:pPr>
      <w:r>
        <w:rPr>
          <w:b/>
          <w:i/>
        </w:rPr>
        <w:t>(Soit)</w:t>
      </w:r>
    </w:p>
    <w:p w14:paraId="118EB74A" w14:textId="77777777" w:rsidR="00DB2B68" w:rsidRDefault="00000000">
      <w:pPr>
        <w:ind w:left="567"/>
        <w:jc w:val="both"/>
      </w:pPr>
      <w:r>
        <w:rPr>
          <w:rStyle w:val="soitChar"/>
          <w:u w:val="single"/>
        </w:rPr>
        <w:t xml:space="preserve">3.     Quantité nette </w:t>
      </w:r>
      <w:r>
        <w:rPr>
          <w:rStyle w:val="soitChar"/>
        </w:rPr>
        <w:t>,</w:t>
      </w:r>
      <w:r>
        <w:rPr>
          <w:color w:val="33CCCC"/>
        </w:rPr>
        <w:t xml:space="preserve"> distinction faite suivant les dimensions et les sections des profilés.</w:t>
      </w:r>
    </w:p>
    <w:p w14:paraId="2B1A5D0A" w14:textId="77777777" w:rsidR="00DB2B68" w:rsidRDefault="00000000">
      <w:pPr>
        <w:pStyle w:val="pheading"/>
      </w:pPr>
      <w:r>
        <w:t>- nature du marché:</w:t>
      </w:r>
    </w:p>
    <w:p w14:paraId="2D70033A" w14:textId="77777777" w:rsidR="00DB2B68" w:rsidRDefault="00000000">
      <w:r>
        <w:rPr>
          <w:b/>
        </w:rPr>
        <w:t>FERME</w:t>
      </w:r>
    </w:p>
    <w:p w14:paraId="3D38A38F" w14:textId="77777777" w:rsidR="00DB2B68" w:rsidRDefault="00000000">
      <w:r>
        <w:t>QF</w:t>
      </w:r>
    </w:p>
    <w:p w14:paraId="40E77679" w14:textId="77777777" w:rsidR="00DB2B68" w:rsidRDefault="00000000">
      <w:r>
        <w:t> </w:t>
      </w:r>
    </w:p>
    <w:p w14:paraId="0AB8CB6A" w14:textId="77777777" w:rsidR="00DB2B68" w:rsidRDefault="00000000">
      <w:r>
        <w:rPr>
          <w:b/>
        </w:rPr>
        <w:t>FLOCAGE</w:t>
      </w:r>
    </w:p>
    <w:p w14:paraId="6E60519C" w14:textId="77777777" w:rsidR="00DB2B68" w:rsidRDefault="00000000">
      <w:r>
        <w:t>QF</w:t>
      </w:r>
    </w:p>
    <w:p w14:paraId="0027BF0B" w14:textId="77777777" w:rsidR="00DB2B68" w:rsidRDefault="00000000">
      <w:pPr>
        <w:pStyle w:val="Author-eSectionHeading6Numberless"/>
      </w:pPr>
      <w:bookmarkStart w:id="1338" w:name="_Toc220496349"/>
      <w:r>
        <w:t>23.23.1b Charpentes de toiture en acier laminé à chaud CCTB 01.11</w:t>
      </w:r>
      <w:bookmarkEnd w:id="1338"/>
    </w:p>
    <w:p w14:paraId="0FD8B5BB" w14:textId="77777777" w:rsidR="00DB2B68" w:rsidRDefault="00000000">
      <w:pPr>
        <w:pStyle w:val="pheading"/>
      </w:pPr>
      <w:r>
        <w:t>DESCRIPTION</w:t>
      </w:r>
    </w:p>
    <w:p w14:paraId="07C08B46" w14:textId="77777777" w:rsidR="00DB2B68" w:rsidRDefault="00000000">
      <w:pPr>
        <w:pStyle w:val="pheading"/>
      </w:pPr>
      <w:r>
        <w:t>- Définition / Comprend</w:t>
      </w:r>
    </w:p>
    <w:p w14:paraId="00ABB117" w14:textId="77777777" w:rsidR="00DB2B68" w:rsidRDefault="00000000">
      <w:pPr>
        <w:jc w:val="both"/>
      </w:pPr>
      <w:r>
        <w:t>Il s'agit de charpentes de toiture constituées de fermes réalisées en éléments linéaires en acier laminées à chaud, composant la structure portante de la toiture. Les fermes sont préfabriquées à l'atelier, montées et assemblées sur chantier aux ouvrages de construction déjà exécutés. Elles sont placées à distance régulière.</w:t>
      </w:r>
    </w:p>
    <w:p w14:paraId="55B56EEA" w14:textId="77777777" w:rsidR="00DB2B68" w:rsidRDefault="00000000">
      <w:pPr>
        <w:jc w:val="both"/>
      </w:pPr>
      <w:r>
        <w:t xml:space="preserve">La portée des travaux est décrite au chapitre </w:t>
      </w:r>
      <w:hyperlink w:anchor="555" w:history="1">
        <w:r>
          <w:rPr>
            <w:color w:val="0000EE"/>
          </w:rPr>
          <w:t>23.23.1 Charpentes de toiture en acier laminé à chaud</w:t>
        </w:r>
      </w:hyperlink>
      <w:r>
        <w:t>.</w:t>
      </w:r>
    </w:p>
    <w:p w14:paraId="2C6CF5D0" w14:textId="77777777" w:rsidR="00DB2B68" w:rsidRDefault="00000000">
      <w:pPr>
        <w:jc w:val="both"/>
      </w:pPr>
      <w:r>
        <w:t xml:space="preserve">Fermes : renvoi à l’article </w:t>
      </w:r>
      <w:hyperlink w:anchor="556" w:history="1">
        <w:r>
          <w:rPr>
            <w:color w:val="0000EE"/>
          </w:rPr>
          <w:t>23.23.1a Fermes de toiture en acier laminé à chaud</w:t>
        </w:r>
      </w:hyperlink>
      <w:r>
        <w:t>.</w:t>
      </w:r>
    </w:p>
    <w:p w14:paraId="6B1EE5CE" w14:textId="77777777" w:rsidR="00DB2B68" w:rsidRDefault="00000000">
      <w:pPr>
        <w:pStyle w:val="pheading"/>
      </w:pPr>
      <w:r>
        <w:t>- Localisation</w:t>
      </w:r>
    </w:p>
    <w:p w14:paraId="1B630759" w14:textId="77777777" w:rsidR="00DB2B68" w:rsidRDefault="00000000">
      <w:r>
        <w:t xml:space="preserve">Les travaux sont localisés : </w:t>
      </w:r>
      <w:r>
        <w:rPr>
          <w:rStyle w:val="optioncarChar"/>
        </w:rPr>
        <w:t>***</w:t>
      </w:r>
      <w:r>
        <w:t>.</w:t>
      </w:r>
    </w:p>
    <w:p w14:paraId="411DB062" w14:textId="77777777" w:rsidR="00DB2B68" w:rsidRDefault="00000000">
      <w:r>
        <w:t>Voir plans et métrés détaillés.</w:t>
      </w:r>
    </w:p>
    <w:p w14:paraId="2B046B48" w14:textId="77777777" w:rsidR="00DB2B68" w:rsidRDefault="00000000">
      <w:pPr>
        <w:pStyle w:val="pheading"/>
      </w:pPr>
      <w:r>
        <w:t>MATÉRIAUX</w:t>
      </w:r>
    </w:p>
    <w:p w14:paraId="63946E2A" w14:textId="77777777" w:rsidR="00DB2B68" w:rsidRDefault="00000000">
      <w:pPr>
        <w:pStyle w:val="pheading"/>
      </w:pPr>
      <w:r>
        <w:t>- Caractéristiques générales</w:t>
      </w:r>
    </w:p>
    <w:p w14:paraId="50532643" w14:textId="77777777" w:rsidR="00DB2B68" w:rsidRDefault="00000000">
      <w:r>
        <w:rPr>
          <w:b/>
        </w:rPr>
        <w:t>FERMES</w:t>
      </w:r>
    </w:p>
    <w:p w14:paraId="20EFAC7D" w14:textId="77777777" w:rsidR="00DB2B68" w:rsidRDefault="00000000">
      <w:r>
        <w:t xml:space="preserve">Renvoi à l’article </w:t>
      </w:r>
      <w:hyperlink w:anchor="556" w:history="1">
        <w:r>
          <w:rPr>
            <w:color w:val="0000EE"/>
          </w:rPr>
          <w:t>23.23.1a Fermes de toiture en acier laminé à chaud</w:t>
        </w:r>
      </w:hyperlink>
      <w:r>
        <w:t>.</w:t>
      </w:r>
    </w:p>
    <w:p w14:paraId="25B8EA37" w14:textId="77777777" w:rsidR="00DB2B68" w:rsidRDefault="00000000">
      <w:r>
        <w:rPr>
          <w:b/>
        </w:rPr>
        <w:t>CONTREVENTEMENT</w:t>
      </w:r>
    </w:p>
    <w:p w14:paraId="41FDF94D" w14:textId="77777777" w:rsidR="00DB2B68" w:rsidRDefault="00000000">
      <w:r>
        <w:t xml:space="preserve">Types de profilés : </w:t>
      </w:r>
      <w:r>
        <w:rPr>
          <w:rStyle w:val="optioncarChar"/>
        </w:rPr>
        <w:t xml:space="preserve">voir données mentionnées sur les plans </w:t>
      </w:r>
      <w:r>
        <w:t>(par défaut)</w:t>
      </w:r>
      <w:r>
        <w:rPr>
          <w:rStyle w:val="optioncarChar"/>
        </w:rPr>
        <w:t xml:space="preserve"> / cornières à ailes égales / tiges rondes / câbles / ***</w:t>
      </w:r>
      <w:r>
        <w:t>.</w:t>
      </w:r>
    </w:p>
    <w:p w14:paraId="4751D717" w14:textId="77777777" w:rsidR="00DB2B68" w:rsidRDefault="00000000">
      <w:pPr>
        <w:pStyle w:val="pheading"/>
      </w:pPr>
      <w:r>
        <w:t>- Prescriptions complémentaires</w:t>
      </w:r>
    </w:p>
    <w:p w14:paraId="29B55836" w14:textId="77777777" w:rsidR="00DB2B68" w:rsidRDefault="00000000">
      <w:r>
        <w:rPr>
          <w:rStyle w:val="facultChar"/>
        </w:rPr>
        <w:t xml:space="preserve">Le présent article comprend également les poutres au vent :  Types de profilés des montants </w:t>
      </w:r>
      <w:r>
        <w:rPr>
          <w:rStyle w:val="optioncarChar"/>
        </w:rPr>
        <w:t>: voir données mentionnées sur les plans</w:t>
      </w:r>
      <w:r>
        <w:t xml:space="preserve"> (par défaut) </w:t>
      </w:r>
      <w:r>
        <w:rPr>
          <w:rStyle w:val="optioncarChar"/>
        </w:rPr>
        <w:t>/ tube circulaire (CHS) / tube carré (SHS) / tube rectangulaire (RHS) / H / I / ***.</w:t>
      </w:r>
    </w:p>
    <w:p w14:paraId="2D05D4B4" w14:textId="77777777" w:rsidR="00DB2B68" w:rsidRDefault="00000000">
      <w:pPr>
        <w:pStyle w:val="pheading"/>
      </w:pPr>
      <w:r>
        <w:t>EXÉCUTION / MISE EN ŒUVRE</w:t>
      </w:r>
    </w:p>
    <w:p w14:paraId="53BDC300" w14:textId="77777777" w:rsidR="00DB2B68" w:rsidRDefault="00000000">
      <w:pPr>
        <w:pStyle w:val="pheading"/>
      </w:pPr>
      <w:r>
        <w:t>- Prescriptions générales</w:t>
      </w:r>
    </w:p>
    <w:p w14:paraId="31EEA706" w14:textId="77777777" w:rsidR="00DB2B68" w:rsidRDefault="00000000">
      <w:pPr>
        <w:jc w:val="both"/>
      </w:pPr>
      <w:r>
        <w:rPr>
          <w:b/>
        </w:rPr>
        <w:lastRenderedPageBreak/>
        <w:t>FERMES</w:t>
      </w:r>
    </w:p>
    <w:p w14:paraId="2B8A6AB8" w14:textId="77777777" w:rsidR="00DB2B68" w:rsidRDefault="00000000">
      <w:pPr>
        <w:jc w:val="both"/>
      </w:pPr>
      <w:r>
        <w:t xml:space="preserve">Renvoi à l’article </w:t>
      </w:r>
      <w:hyperlink w:anchor="556" w:history="1">
        <w:r>
          <w:rPr>
            <w:color w:val="0000EE"/>
          </w:rPr>
          <w:t>23.23.1a Fermes de toiture en acier laminé à chaud</w:t>
        </w:r>
      </w:hyperlink>
      <w:r>
        <w:t>.</w:t>
      </w:r>
    </w:p>
    <w:p w14:paraId="782CF101" w14:textId="77777777" w:rsidR="00DB2B68" w:rsidRDefault="00000000">
      <w:pPr>
        <w:jc w:val="both"/>
      </w:pPr>
      <w:r>
        <w:rPr>
          <w:b/>
        </w:rPr>
        <w:t>CONTREVENTEMENT</w:t>
      </w:r>
    </w:p>
    <w:p w14:paraId="6F269D3C" w14:textId="77777777" w:rsidR="00DB2B68" w:rsidRDefault="00000000">
      <w:pPr>
        <w:jc w:val="both"/>
      </w:pPr>
      <w:r>
        <w:t>Les contreventements sont situés dans l’épaisseur des arbalétriers.</w:t>
      </w:r>
    </w:p>
    <w:p w14:paraId="376AF9F6" w14:textId="77777777" w:rsidR="00DB2B68" w:rsidRDefault="00000000">
      <w:pPr>
        <w:jc w:val="both"/>
      </w:pPr>
      <w:r>
        <w:t xml:space="preserve">Ils sont boulonnés sur des goussets </w:t>
      </w:r>
      <w:r>
        <w:rPr>
          <w:rStyle w:val="optioncarChar"/>
        </w:rPr>
        <w:t>soudés / boulonnés</w:t>
      </w:r>
      <w:r>
        <w:t xml:space="preserve"> (par défaut) aux fermes, compris dans le prix de ce poste.</w:t>
      </w:r>
    </w:p>
    <w:p w14:paraId="1E043340" w14:textId="77777777" w:rsidR="00DB2B68" w:rsidRDefault="00000000">
      <w:pPr>
        <w:jc w:val="both"/>
      </w:pPr>
      <w:r>
        <w:rPr>
          <w:b/>
        </w:rPr>
        <w:t>PANNES</w:t>
      </w:r>
    </w:p>
    <w:p w14:paraId="222EF2C5" w14:textId="77777777" w:rsidR="00DB2B68" w:rsidRDefault="00000000">
      <w:pPr>
        <w:jc w:val="both"/>
      </w:pPr>
      <w:r>
        <w:t xml:space="preserve">Position des pannes par rapport aux arbalétriers : </w:t>
      </w:r>
      <w:r>
        <w:rPr>
          <w:rStyle w:val="optioncarChar"/>
        </w:rPr>
        <w:t xml:space="preserve">au-dessus des arbalétriers </w:t>
      </w:r>
      <w:r>
        <w:t>(par défaut)</w:t>
      </w:r>
      <w:r>
        <w:rPr>
          <w:rStyle w:val="optioncarChar"/>
        </w:rPr>
        <w:t xml:space="preserve"> / entre les arbalétriers.</w:t>
      </w:r>
    </w:p>
    <w:p w14:paraId="7E244535" w14:textId="77777777" w:rsidR="00DB2B68" w:rsidRDefault="00000000">
      <w:pPr>
        <w:ind w:left="567"/>
        <w:jc w:val="both"/>
      </w:pPr>
      <w:r>
        <w:rPr>
          <w:b/>
          <w:i/>
        </w:rPr>
        <w:t>(Soit par défaut)</w:t>
      </w:r>
    </w:p>
    <w:p w14:paraId="507FF3B2" w14:textId="77777777" w:rsidR="00DB2B68" w:rsidRDefault="00000000">
      <w:pPr>
        <w:ind w:left="567"/>
        <w:jc w:val="both"/>
      </w:pPr>
      <w:r>
        <w:rPr>
          <w:rStyle w:val="soitChar"/>
          <w:u w:val="single"/>
        </w:rPr>
        <w:t>Au-dessus des arbalétriers :</w:t>
      </w:r>
    </w:p>
    <w:p w14:paraId="57B4CDCD" w14:textId="77777777" w:rsidR="00DB2B68" w:rsidRDefault="00000000">
      <w:pPr>
        <w:ind w:left="567"/>
        <w:jc w:val="both"/>
      </w:pPr>
      <w:r>
        <w:rPr>
          <w:rStyle w:val="soitChar"/>
        </w:rPr>
        <w:t>Les pannes sont placées sur les arbalétriers. Elles sont assemblées entre elles avec des éclisses métalliques boulonnées pour réaliser un système de pannes continues. Elles sont boulonnées aux arbalétriers à l’aide d’échantignoles en acier galvanisé.</w:t>
      </w:r>
    </w:p>
    <w:p w14:paraId="4E481F04" w14:textId="77777777" w:rsidR="00DB2B68" w:rsidRDefault="00000000">
      <w:pPr>
        <w:ind w:left="567"/>
        <w:jc w:val="both"/>
      </w:pPr>
      <w:r>
        <w:rPr>
          <w:b/>
          <w:i/>
        </w:rPr>
        <w:t>(Soit)</w:t>
      </w:r>
    </w:p>
    <w:p w14:paraId="3FDACBB9" w14:textId="77777777" w:rsidR="00DB2B68" w:rsidRDefault="00000000">
      <w:pPr>
        <w:ind w:left="567"/>
        <w:jc w:val="both"/>
      </w:pPr>
      <w:r>
        <w:rPr>
          <w:rStyle w:val="soitChar"/>
          <w:u w:val="single"/>
        </w:rPr>
        <w:t>Entre les arbalétriers : </w:t>
      </w:r>
    </w:p>
    <w:p w14:paraId="47C647EE" w14:textId="77777777" w:rsidR="00DB2B68" w:rsidRDefault="00000000">
      <w:pPr>
        <w:ind w:left="567"/>
        <w:jc w:val="both"/>
      </w:pPr>
      <w:r>
        <w:rPr>
          <w:rStyle w:val="soitChar"/>
        </w:rPr>
        <w:t>Les pannes sont placées entre les arbalétriers, dans leur épaisseur. Elles sont grugées ou découpées de façon à avoir leurs faces supérieures alignées avec celles des arbalétriers. Elles sont fixées à l’aide de pattes, dans l’âme des arbalétriers.</w:t>
      </w:r>
    </w:p>
    <w:p w14:paraId="1CC2597E" w14:textId="77777777" w:rsidR="00DB2B68" w:rsidRDefault="00000000">
      <w:pPr>
        <w:ind w:left="567"/>
        <w:jc w:val="both"/>
      </w:pPr>
      <w:r>
        <w:rPr>
          <w:rStyle w:val="soitChar"/>
        </w:rPr>
        <w:t>Ces pattes sont</w:t>
      </w:r>
      <w:r>
        <w:rPr>
          <w:rStyle w:val="optioncarChar"/>
        </w:rPr>
        <w:t xml:space="preserve"> soudées </w:t>
      </w:r>
      <w:r>
        <w:t xml:space="preserve">(par défaut) </w:t>
      </w:r>
      <w:r>
        <w:rPr>
          <w:rStyle w:val="optioncarChar"/>
        </w:rPr>
        <w:t>/ boulonnées.</w:t>
      </w:r>
    </w:p>
    <w:p w14:paraId="66EFFD0E" w14:textId="77777777" w:rsidR="00DB2B68" w:rsidRDefault="00000000">
      <w:pPr>
        <w:pStyle w:val="pheading"/>
      </w:pPr>
      <w:r>
        <w:t>- Notes d’exécution complémentaires</w:t>
      </w:r>
    </w:p>
    <w:p w14:paraId="1FCBEA77" w14:textId="77777777" w:rsidR="00DB2B68" w:rsidRDefault="00000000">
      <w:pPr>
        <w:jc w:val="both"/>
      </w:pPr>
      <w:r>
        <w:rPr>
          <w:rStyle w:val="facultChar"/>
        </w:rPr>
        <w:t>Le présent article comprend également :  les poutres au vent.</w:t>
      </w:r>
    </w:p>
    <w:p w14:paraId="6CEE8BAE" w14:textId="77777777" w:rsidR="00DB2B68" w:rsidRDefault="00DB2B68">
      <w:pPr>
        <w:jc w:val="both"/>
      </w:pPr>
    </w:p>
    <w:p w14:paraId="167171BF" w14:textId="77777777" w:rsidR="00DB2B68" w:rsidRDefault="00000000">
      <w:pPr>
        <w:pStyle w:val="Author-eListParagraph"/>
        <w:numPr>
          <w:ilvl w:val="0"/>
          <w:numId w:val="710"/>
        </w:numPr>
      </w:pPr>
      <w:r>
        <w:rPr>
          <w:rStyle w:val="facultChar"/>
          <w:u w:val="single"/>
        </w:rPr>
        <w:t>Poutres au vent</w:t>
      </w:r>
    </w:p>
    <w:p w14:paraId="192576A5" w14:textId="77777777" w:rsidR="00DB2B68" w:rsidRDefault="00000000">
      <w:pPr>
        <w:ind w:left="567"/>
        <w:jc w:val="both"/>
      </w:pPr>
      <w:r>
        <w:rPr>
          <w:rStyle w:val="facultChar"/>
        </w:rPr>
        <w:t>Les montants pour réaliser une poutre au vent sont situés dans l’épaisseur des arbalétriers. Ils se terminent à leurs extrémités par des plats métalliques soudés qui sont boulonnés aux fermes.</w:t>
      </w:r>
    </w:p>
    <w:p w14:paraId="4D454BA4" w14:textId="77777777" w:rsidR="00DB2B68" w:rsidRDefault="00000000">
      <w:pPr>
        <w:ind w:left="567"/>
        <w:jc w:val="both"/>
      </w:pPr>
      <w:r>
        <w:rPr>
          <w:rStyle w:val="facultChar"/>
        </w:rPr>
        <w:t>Un contreventement est ensuite réalisé conformément au point précédent « contreventement ».</w:t>
      </w:r>
    </w:p>
    <w:p w14:paraId="7673B927" w14:textId="77777777" w:rsidR="00DB2B68" w:rsidRDefault="00000000">
      <w:pPr>
        <w:ind w:left="567"/>
        <w:jc w:val="both"/>
      </w:pPr>
      <w:r>
        <w:rPr>
          <w:rStyle w:val="facultChar"/>
        </w:rPr>
        <w:t>Les poutres au vent sont comprises dans ce poste.</w:t>
      </w:r>
    </w:p>
    <w:p w14:paraId="5093008F" w14:textId="77777777" w:rsidR="00DB2B68" w:rsidRDefault="00000000">
      <w:pPr>
        <w:pStyle w:val="pheading"/>
      </w:pPr>
      <w:r>
        <w:t>MESURAGE</w:t>
      </w:r>
    </w:p>
    <w:p w14:paraId="32893D4D" w14:textId="77777777" w:rsidR="00DB2B68" w:rsidRDefault="00000000">
      <w:pPr>
        <w:pStyle w:val="pheading"/>
      </w:pPr>
      <w:r>
        <w:t>- unité de mesure:</w:t>
      </w:r>
    </w:p>
    <w:p w14:paraId="56017429" w14:textId="77777777" w:rsidR="00DB2B68" w:rsidRDefault="00000000">
      <w:r>
        <w:rPr>
          <w:b/>
        </w:rPr>
        <w:t>CHARPENTE</w:t>
      </w:r>
    </w:p>
    <w:p w14:paraId="10D223C9" w14:textId="77777777" w:rsidR="00DB2B68" w:rsidRDefault="00000000">
      <w:r>
        <w:rPr>
          <w:rStyle w:val="optioncarChar"/>
        </w:rPr>
        <w:t>FFT </w:t>
      </w:r>
      <w:r>
        <w:t xml:space="preserve">(par défaut) </w:t>
      </w:r>
      <w:r>
        <w:rPr>
          <w:rStyle w:val="optioncarChar"/>
        </w:rPr>
        <w:t>/ kg  ; m / kg  ; m.</w:t>
      </w:r>
    </w:p>
    <w:p w14:paraId="68B39628" w14:textId="77777777" w:rsidR="00DB2B68" w:rsidRDefault="00000000">
      <w:r>
        <w:rPr>
          <w:b/>
          <w:i/>
        </w:rPr>
        <w:t>(Soit par défaut)</w:t>
      </w:r>
    </w:p>
    <w:p w14:paraId="4C9468F4" w14:textId="77777777" w:rsidR="00DB2B68" w:rsidRDefault="00000000">
      <w:r>
        <w:rPr>
          <w:rStyle w:val="soitChar"/>
        </w:rPr>
        <w:t>  1. FFT</w:t>
      </w:r>
    </w:p>
    <w:p w14:paraId="748B2C1C" w14:textId="77777777" w:rsidR="00DB2B68" w:rsidRDefault="00000000">
      <w:r>
        <w:rPr>
          <w:b/>
          <w:i/>
        </w:rPr>
        <w:t>(Soit)</w:t>
      </w:r>
    </w:p>
    <w:p w14:paraId="1A28155A" w14:textId="77777777" w:rsidR="00DB2B68" w:rsidRDefault="00000000">
      <w:r>
        <w:rPr>
          <w:rStyle w:val="soitChar"/>
        </w:rPr>
        <w:t>  2. et 3. kg ; m</w:t>
      </w:r>
    </w:p>
    <w:p w14:paraId="0EC7D5D2" w14:textId="77777777" w:rsidR="00DB2B68" w:rsidRDefault="00000000">
      <w:r>
        <w:t> </w:t>
      </w:r>
    </w:p>
    <w:p w14:paraId="23628EA4" w14:textId="77777777" w:rsidR="00DB2B68" w:rsidRDefault="00000000">
      <w:r>
        <w:rPr>
          <w:b/>
        </w:rPr>
        <w:t>FLOCAGE</w:t>
      </w:r>
    </w:p>
    <w:p w14:paraId="1706E9A5" w14:textId="77777777" w:rsidR="00DB2B68" w:rsidRDefault="00000000">
      <w:r>
        <w:rPr>
          <w:rStyle w:val="optioncarChar"/>
        </w:rPr>
        <w:t xml:space="preserve">m² </w:t>
      </w:r>
      <w:r>
        <w:t xml:space="preserve">(par défaut) </w:t>
      </w:r>
      <w:r>
        <w:rPr>
          <w:rStyle w:val="optioncarChar"/>
        </w:rPr>
        <w:t>/ m / pc.</w:t>
      </w:r>
    </w:p>
    <w:p w14:paraId="7F3E1E07" w14:textId="77777777" w:rsidR="00DB2B68" w:rsidRDefault="00000000">
      <w:r>
        <w:rPr>
          <w:b/>
          <w:i/>
        </w:rPr>
        <w:t>(Soit par défaut)</w:t>
      </w:r>
    </w:p>
    <w:p w14:paraId="0D12F080" w14:textId="77777777" w:rsidR="00DB2B68" w:rsidRDefault="00000000">
      <w:r>
        <w:rPr>
          <w:rStyle w:val="soitChar"/>
        </w:rPr>
        <w:t> 1. m².</w:t>
      </w:r>
    </w:p>
    <w:p w14:paraId="2AA11F04" w14:textId="77777777" w:rsidR="00DB2B68" w:rsidRDefault="00000000">
      <w:r>
        <w:rPr>
          <w:b/>
          <w:i/>
        </w:rPr>
        <w:lastRenderedPageBreak/>
        <w:t>(Soit)</w:t>
      </w:r>
    </w:p>
    <w:p w14:paraId="022F9EFE" w14:textId="77777777" w:rsidR="00DB2B68" w:rsidRDefault="00000000">
      <w:r>
        <w:rPr>
          <w:rStyle w:val="soitChar"/>
        </w:rPr>
        <w:t> 2. m</w:t>
      </w:r>
    </w:p>
    <w:p w14:paraId="77F33523" w14:textId="77777777" w:rsidR="00DB2B68" w:rsidRDefault="00000000">
      <w:r>
        <w:rPr>
          <w:b/>
          <w:i/>
        </w:rPr>
        <w:t>(Soit)</w:t>
      </w:r>
    </w:p>
    <w:p w14:paraId="484A68C4" w14:textId="77777777" w:rsidR="00DB2B68" w:rsidRDefault="00000000">
      <w:r>
        <w:rPr>
          <w:rStyle w:val="soitChar"/>
        </w:rPr>
        <w:t> 3. pc</w:t>
      </w:r>
    </w:p>
    <w:p w14:paraId="69A20B15" w14:textId="77777777" w:rsidR="00DB2B68" w:rsidRDefault="00000000">
      <w:pPr>
        <w:pStyle w:val="pheading"/>
      </w:pPr>
      <w:r>
        <w:t>- code de mesurage:</w:t>
      </w:r>
    </w:p>
    <w:p w14:paraId="08900358" w14:textId="77777777" w:rsidR="00DB2B68" w:rsidRDefault="00000000">
      <w:pPr>
        <w:jc w:val="both"/>
      </w:pPr>
      <w:r>
        <w:rPr>
          <w:b/>
        </w:rPr>
        <w:t>CHARPENTE</w:t>
      </w:r>
    </w:p>
    <w:p w14:paraId="17DCEADD" w14:textId="77777777" w:rsidR="00DB2B68" w:rsidRDefault="00000000">
      <w:pPr>
        <w:jc w:val="both"/>
      </w:pPr>
      <w:r>
        <w:rPr>
          <w:rStyle w:val="optioncarChar"/>
        </w:rPr>
        <w:t xml:space="preserve">Forfait </w:t>
      </w:r>
      <w:r>
        <w:t>(par défaut) /</w:t>
      </w:r>
      <w:r>
        <w:rPr>
          <w:rStyle w:val="optioncarChar"/>
        </w:rPr>
        <w:t xml:space="preserve"> masse conventionnelle et longueur / masse simplifiée et longueur.</w:t>
      </w:r>
    </w:p>
    <w:p w14:paraId="112AD3FD" w14:textId="77777777" w:rsidR="00DB2B68" w:rsidRDefault="00000000">
      <w:pPr>
        <w:ind w:left="567"/>
        <w:jc w:val="both"/>
      </w:pPr>
      <w:r>
        <w:rPr>
          <w:b/>
          <w:i/>
        </w:rPr>
        <w:t>(Soit par défaut)</w:t>
      </w:r>
    </w:p>
    <w:p w14:paraId="33135120" w14:textId="77777777" w:rsidR="00DB2B68" w:rsidRDefault="00000000">
      <w:pPr>
        <w:ind w:left="567"/>
        <w:jc w:val="both"/>
      </w:pPr>
      <w:r>
        <w:rPr>
          <w:rStyle w:val="soitChar"/>
          <w:u w:val="single"/>
        </w:rPr>
        <w:t>1.     Forfait :</w:t>
      </w:r>
      <w:r>
        <w:rPr>
          <w:rStyle w:val="soitChar"/>
        </w:rPr>
        <w:t xml:space="preserve"> pour l’ensemble de la charpente, par type de bâtiment.</w:t>
      </w:r>
    </w:p>
    <w:p w14:paraId="071C05A8" w14:textId="77777777" w:rsidR="00DB2B68" w:rsidRDefault="00000000">
      <w:pPr>
        <w:ind w:left="567"/>
        <w:jc w:val="both"/>
      </w:pPr>
      <w:r>
        <w:rPr>
          <w:b/>
          <w:i/>
        </w:rPr>
        <w:t>(Soit)</w:t>
      </w:r>
    </w:p>
    <w:p w14:paraId="5911A704" w14:textId="77777777" w:rsidR="00DB2B68" w:rsidRDefault="00000000">
      <w:pPr>
        <w:ind w:left="567"/>
        <w:jc w:val="both"/>
      </w:pPr>
      <w:r>
        <w:rPr>
          <w:rStyle w:val="soitChar"/>
          <w:u w:val="single"/>
        </w:rPr>
        <w:t>2.     Masse conventionnelle et longueur </w:t>
      </w:r>
      <w:r>
        <w:rPr>
          <w:rStyle w:val="soitChar"/>
        </w:rPr>
        <w:t>: masse d’acier théorique à mettre en œuvre pour toutes dimensions et types de profilés, distinction faite suivant les nuances et qualités d’acier.</w:t>
      </w:r>
    </w:p>
    <w:p w14:paraId="15412C02" w14:textId="77777777" w:rsidR="00DB2B68" w:rsidRDefault="00000000">
      <w:pPr>
        <w:ind w:left="567"/>
        <w:jc w:val="both"/>
      </w:pPr>
      <w:r>
        <w:rPr>
          <w:rStyle w:val="soitChar"/>
        </w:rPr>
        <w:t>La masse d’acier théorique comprend les rivets, cordons de soudures, boulons etc. Elle est obtenue en calculant les différents volumes des éléments (profils, barres, tubes et large plats), multiplié par la masse volumique théorique de l’acier de 7.850 kg/m³ (suivant [NBN B 06-001]). La valeur obtenue est alors majorée de 3%, pour obtenir la masse théorique.</w:t>
      </w:r>
    </w:p>
    <w:p w14:paraId="0041FD41" w14:textId="77777777" w:rsidR="00DB2B68" w:rsidRDefault="00000000">
      <w:pPr>
        <w:ind w:left="567"/>
        <w:jc w:val="both"/>
      </w:pPr>
      <w:r>
        <w:rPr>
          <w:rStyle w:val="soitChar"/>
        </w:rPr>
        <w:t>Cette masse théorique est arrondie à l’unité.</w:t>
      </w:r>
    </w:p>
    <w:p w14:paraId="7E9D66C0" w14:textId="77777777" w:rsidR="00DB2B68" w:rsidRDefault="00000000">
      <w:pPr>
        <w:ind w:left="567"/>
        <w:jc w:val="both"/>
      </w:pPr>
      <w:r>
        <w:rPr>
          <w:rStyle w:val="soitChar"/>
        </w:rPr>
        <w:t>La majoration de 3% couvre notamment, forfaitairement, les soudures, les rivets, les boulons, les goujons, la protection anticorrosion et les tolérances de laminage.</w:t>
      </w:r>
    </w:p>
    <w:p w14:paraId="777BC02B" w14:textId="77777777" w:rsidR="00DB2B68" w:rsidRDefault="00000000">
      <w:pPr>
        <w:ind w:left="567"/>
        <w:jc w:val="both"/>
      </w:pPr>
      <w:r>
        <w:rPr>
          <w:rStyle w:val="soitChar"/>
        </w:rPr>
        <w:t>Le calcul se base sur la géométrie des pièces prévues sur les plans d’exécution du bureau d’études, arrondie au mm.</w:t>
      </w:r>
    </w:p>
    <w:p w14:paraId="618839EA" w14:textId="77777777" w:rsidR="00DB2B68" w:rsidRDefault="00000000">
      <w:pPr>
        <w:ind w:left="567"/>
        <w:jc w:val="both"/>
      </w:pPr>
      <w:r>
        <w:rPr>
          <w:rStyle w:val="soitChar"/>
        </w:rPr>
        <w:t>Les découpes et ouvertures sont soustraites, à l’exception des trous pour les boulons, goujons, et des chanfreins pour les soudures ou ouvertures pour le passage des cordons de soudures.</w:t>
      </w:r>
    </w:p>
    <w:p w14:paraId="4222AF6F" w14:textId="77777777" w:rsidR="00DB2B68" w:rsidRDefault="00000000">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14:paraId="47B0FE9B" w14:textId="77777777" w:rsidR="00DB2B68" w:rsidRDefault="00000000">
      <w:pPr>
        <w:ind w:left="567"/>
        <w:jc w:val="both"/>
      </w:pPr>
      <w:r>
        <w:rPr>
          <w:b/>
          <w:i/>
        </w:rPr>
        <w:t>(Soit)</w:t>
      </w:r>
    </w:p>
    <w:p w14:paraId="6C244C82" w14:textId="77777777" w:rsidR="00DB2B68" w:rsidRDefault="00000000">
      <w:pPr>
        <w:ind w:left="567"/>
        <w:jc w:val="both"/>
      </w:pPr>
      <w:r>
        <w:rPr>
          <w:rStyle w:val="soitChar"/>
          <w:u w:val="single"/>
        </w:rPr>
        <w:t>3.     Masse simplifiée et longueur</w:t>
      </w:r>
      <w:r>
        <w:rPr>
          <w:rStyle w:val="soitChar"/>
        </w:rPr>
        <w:t> : masse d’acier théorique à mettre en œuvre pour toutes dimensions et types de profilés, distinction faite suivant les nuances et qualités d’acier.</w:t>
      </w:r>
    </w:p>
    <w:p w14:paraId="47980D04" w14:textId="77777777" w:rsidR="00DB2B68" w:rsidRDefault="00000000">
      <w:pPr>
        <w:ind w:left="567"/>
        <w:jc w:val="both"/>
      </w:pPr>
      <w:r>
        <w:rPr>
          <w:rStyle w:val="soitChar"/>
        </w:rPr>
        <w:t>La masse d’acier théorique comprend les rivets, cordons de soudures, boulons etc. Elle est obtenue en calculant les différents volumes des éléments (profils, barres, tubes et larges plats), à l’exclusion des plats et pattes d’assemblage, semelles et autres pièces rapportées, multiplié par la masse volumique théorique de l’acier de 7.850 kg/m³ (suivant [NBN B 06-001]). La valeur obtenue est alors majorée de 8 %, pour obtenir la masse théorique.</w:t>
      </w:r>
    </w:p>
    <w:p w14:paraId="2F381A9C" w14:textId="77777777" w:rsidR="00DB2B68" w:rsidRDefault="00000000">
      <w:pPr>
        <w:ind w:left="567"/>
        <w:jc w:val="both"/>
      </w:pPr>
      <w:r>
        <w:rPr>
          <w:rStyle w:val="soitChar"/>
        </w:rPr>
        <w:t>Cette masse théorique est arrondie à l’unité.</w:t>
      </w:r>
    </w:p>
    <w:p w14:paraId="1661A971" w14:textId="77777777" w:rsidR="00DB2B68" w:rsidRDefault="00000000">
      <w:pPr>
        <w:ind w:left="567"/>
        <w:jc w:val="both"/>
      </w:pPr>
      <w:r>
        <w:rPr>
          <w:rStyle w:val="soitChar"/>
        </w:rPr>
        <w:t>La majoration de 5% couvre notamment, forfaitairement, les soudures, les rivets, les boulons, les goujons, la protection anticorrosion et les tolérances de laminage ainsi que les plats et pattes d’assemblage, semelles et autres pièces rapportées.</w:t>
      </w:r>
    </w:p>
    <w:p w14:paraId="3BAE1491" w14:textId="77777777" w:rsidR="00DB2B68" w:rsidRDefault="00000000">
      <w:pPr>
        <w:ind w:left="567"/>
        <w:jc w:val="both"/>
      </w:pPr>
      <w:r>
        <w:rPr>
          <w:rStyle w:val="soitChar"/>
        </w:rPr>
        <w:t>Le calcul se base sur la géométrie des pièces prévues sur les plans d’exécution du bureau d’études, arrondie au mm.</w:t>
      </w:r>
    </w:p>
    <w:p w14:paraId="2057C137" w14:textId="77777777" w:rsidR="00DB2B68" w:rsidRDefault="00000000">
      <w:pPr>
        <w:ind w:left="567"/>
        <w:jc w:val="both"/>
      </w:pPr>
      <w:r>
        <w:rPr>
          <w:rStyle w:val="soitChar"/>
        </w:rPr>
        <w:t>Les découpes et ouvertures sont soustraites, à l’exception des trous pour les boulons, goujons, et des chanfreins pour les soudures ou ouvertures pour le passage des cordons de soudures.</w:t>
      </w:r>
    </w:p>
    <w:p w14:paraId="619C19D8" w14:textId="77777777" w:rsidR="00DB2B68" w:rsidRDefault="00000000">
      <w:pPr>
        <w:ind w:left="567"/>
        <w:jc w:val="both"/>
      </w:pPr>
      <w:r>
        <w:rPr>
          <w:rStyle w:val="soitChar"/>
        </w:rPr>
        <w:t>Les câbles sont mesurés au mètre, à l’axe, distinction faite suivant les nuances d’acier et les sections. Les longueurs d’ancrages aux extrémités sont prises en compte, mais pas au-delà des ancrages.</w:t>
      </w:r>
      <w:r>
        <w:t> </w:t>
      </w:r>
    </w:p>
    <w:p w14:paraId="3C985C85" w14:textId="77777777" w:rsidR="00DB2B68" w:rsidRDefault="00000000">
      <w:pPr>
        <w:jc w:val="both"/>
      </w:pPr>
      <w:r>
        <w:rPr>
          <w:b/>
        </w:rPr>
        <w:lastRenderedPageBreak/>
        <w:t>FLOCAGE</w:t>
      </w:r>
    </w:p>
    <w:p w14:paraId="3C22271E" w14:textId="77777777" w:rsidR="00DB2B68" w:rsidRDefault="00000000">
      <w:pPr>
        <w:jc w:val="both"/>
      </w:pPr>
      <w:r>
        <w:t>Le traitement au feu par flocage est compté séparément et fait l’objet d’un (de) poste(s) supplémentaire(s) dans le présent article :</w:t>
      </w:r>
    </w:p>
    <w:p w14:paraId="05438AB6" w14:textId="77777777" w:rsidR="00DB2B68" w:rsidRDefault="00000000">
      <w:pPr>
        <w:jc w:val="both"/>
      </w:pPr>
      <w:r>
        <w:rPr>
          <w:rStyle w:val="optioncarChar"/>
        </w:rPr>
        <w:t xml:space="preserve">Surface nette </w:t>
      </w:r>
      <w:r>
        <w:t>(par défaut)</w:t>
      </w:r>
      <w:r>
        <w:rPr>
          <w:rStyle w:val="optioncarChar"/>
        </w:rPr>
        <w:t xml:space="preserve"> / Longueur nette / Quantité nette</w:t>
      </w:r>
      <w:r>
        <w:t>.</w:t>
      </w:r>
    </w:p>
    <w:p w14:paraId="0B2D0F4F" w14:textId="77777777" w:rsidR="00DB2B68" w:rsidRDefault="00000000">
      <w:pPr>
        <w:ind w:left="567"/>
        <w:jc w:val="both"/>
      </w:pPr>
      <w:r>
        <w:rPr>
          <w:b/>
          <w:i/>
        </w:rPr>
        <w:t>(Soit par défaut)</w:t>
      </w:r>
    </w:p>
    <w:p w14:paraId="5AB0FD19" w14:textId="77777777" w:rsidR="00DB2B68" w:rsidRDefault="00000000">
      <w:pPr>
        <w:ind w:left="567"/>
        <w:jc w:val="both"/>
      </w:pPr>
      <w:r>
        <w:rPr>
          <w:rStyle w:val="soitChar"/>
          <w:u w:val="single"/>
        </w:rPr>
        <w:t>1.     Surface nette</w:t>
      </w:r>
      <w:r>
        <w:rPr>
          <w:rStyle w:val="soitChar"/>
        </w:rPr>
        <w:t xml:space="preserve"> à traiter.</w:t>
      </w:r>
    </w:p>
    <w:p w14:paraId="52EA9926" w14:textId="77777777" w:rsidR="00DB2B68" w:rsidRDefault="00000000">
      <w:pPr>
        <w:ind w:left="567"/>
        <w:jc w:val="both"/>
      </w:pPr>
      <w:r>
        <w:rPr>
          <w:b/>
          <w:i/>
        </w:rPr>
        <w:t>(Soit)</w:t>
      </w:r>
    </w:p>
    <w:p w14:paraId="0D022452" w14:textId="77777777" w:rsidR="00DB2B68" w:rsidRDefault="00000000">
      <w:pPr>
        <w:ind w:left="567"/>
        <w:jc w:val="both"/>
      </w:pPr>
      <w:r>
        <w:rPr>
          <w:rStyle w:val="soitChar"/>
          <w:u w:val="single"/>
        </w:rPr>
        <w:t>2.     Longueur nette</w:t>
      </w:r>
      <w:r>
        <w:rPr>
          <w:rStyle w:val="soitChar"/>
        </w:rPr>
        <w:t xml:space="preserve"> à traiter, distinction faite suivant la section des profilés.</w:t>
      </w:r>
    </w:p>
    <w:p w14:paraId="26380547" w14:textId="77777777" w:rsidR="00DB2B68" w:rsidRDefault="00000000">
      <w:pPr>
        <w:ind w:left="567"/>
        <w:jc w:val="both"/>
      </w:pPr>
      <w:r>
        <w:rPr>
          <w:b/>
          <w:i/>
        </w:rPr>
        <w:t>(Soit)</w:t>
      </w:r>
    </w:p>
    <w:p w14:paraId="4E2F4411" w14:textId="77777777" w:rsidR="00DB2B68" w:rsidRDefault="00000000">
      <w:pPr>
        <w:ind w:left="567"/>
        <w:jc w:val="both"/>
      </w:pPr>
      <w:r>
        <w:rPr>
          <w:rStyle w:val="soitChar"/>
          <w:u w:val="single"/>
        </w:rPr>
        <w:t>3.     Quantité nette</w:t>
      </w:r>
      <w:r>
        <w:rPr>
          <w:rStyle w:val="soitChar"/>
        </w:rPr>
        <w:t>, distinction faite suivant les dimensions et les sections des profilés.</w:t>
      </w:r>
    </w:p>
    <w:p w14:paraId="065320C3" w14:textId="77777777" w:rsidR="00DB2B68" w:rsidRDefault="00000000">
      <w:pPr>
        <w:pStyle w:val="pheading"/>
      </w:pPr>
      <w:r>
        <w:t>- nature du marché:</w:t>
      </w:r>
    </w:p>
    <w:p w14:paraId="3E1C917C" w14:textId="77777777" w:rsidR="00DB2B68" w:rsidRDefault="00000000">
      <w:r>
        <w:rPr>
          <w:b/>
        </w:rPr>
        <w:t>CHARPENTE</w:t>
      </w:r>
    </w:p>
    <w:p w14:paraId="6906282C" w14:textId="77777777" w:rsidR="00DB2B68" w:rsidRDefault="00000000">
      <w:r>
        <w:rPr>
          <w:rStyle w:val="optioncarChar"/>
        </w:rPr>
        <w:t>PG</w:t>
      </w:r>
      <w:r>
        <w:t xml:space="preserve"> (par défaut) /</w:t>
      </w:r>
      <w:r>
        <w:rPr>
          <w:rStyle w:val="optioncarChar"/>
        </w:rPr>
        <w:t xml:space="preserve"> QF.</w:t>
      </w:r>
    </w:p>
    <w:p w14:paraId="2C400FEE" w14:textId="77777777" w:rsidR="00DB2B68" w:rsidRDefault="00000000">
      <w:r>
        <w:rPr>
          <w:b/>
          <w:i/>
        </w:rPr>
        <w:t>(Soit par défaut)</w:t>
      </w:r>
    </w:p>
    <w:p w14:paraId="30AFDF2D" w14:textId="77777777" w:rsidR="00DB2B68" w:rsidRDefault="00000000">
      <w:r>
        <w:rPr>
          <w:rStyle w:val="soitChar"/>
        </w:rPr>
        <w:t>1.     PG</w:t>
      </w:r>
    </w:p>
    <w:p w14:paraId="66118049" w14:textId="77777777" w:rsidR="00DB2B68" w:rsidRDefault="00000000">
      <w:r>
        <w:rPr>
          <w:b/>
          <w:i/>
        </w:rPr>
        <w:t>(Soit)</w:t>
      </w:r>
    </w:p>
    <w:p w14:paraId="4873608A" w14:textId="77777777" w:rsidR="00DB2B68" w:rsidRDefault="00000000">
      <w:r>
        <w:rPr>
          <w:rStyle w:val="soitChar"/>
        </w:rPr>
        <w:t>2. et 3. QF</w:t>
      </w:r>
    </w:p>
    <w:p w14:paraId="0D4B56D1" w14:textId="77777777" w:rsidR="00DB2B68" w:rsidRDefault="00000000">
      <w:r>
        <w:t> </w:t>
      </w:r>
    </w:p>
    <w:p w14:paraId="1E4E4ABF" w14:textId="77777777" w:rsidR="00DB2B68" w:rsidRDefault="00000000">
      <w:r>
        <w:rPr>
          <w:b/>
        </w:rPr>
        <w:t>FLOCAGE</w:t>
      </w:r>
    </w:p>
    <w:p w14:paraId="3C964B6B" w14:textId="77777777" w:rsidR="00DB2B68" w:rsidRDefault="00000000">
      <w:r>
        <w:t>QF</w:t>
      </w:r>
    </w:p>
    <w:p w14:paraId="6CD80D07" w14:textId="77777777" w:rsidR="00DB2B68" w:rsidRDefault="00000000">
      <w:pPr>
        <w:pStyle w:val="Author-eSectionHeading5Numberless"/>
      </w:pPr>
      <w:bookmarkStart w:id="1339" w:name="_Toc220496350"/>
      <w:r>
        <w:t>23.23.2 Charpentes de toiture en acier formées à froid CCTB 01.04</w:t>
      </w:r>
      <w:bookmarkEnd w:id="1339"/>
    </w:p>
    <w:p w14:paraId="3778B87C" w14:textId="77777777" w:rsidR="00DB2B68" w:rsidRDefault="00000000">
      <w:pPr>
        <w:pStyle w:val="Author-eSectionHeading6Numberless"/>
      </w:pPr>
      <w:bookmarkStart w:id="1340" w:name="_Toc220496351"/>
      <w:r>
        <w:t>23.23.2a Fermes de toiture en acier formées à froid CCTB 01.04</w:t>
      </w:r>
      <w:bookmarkEnd w:id="1340"/>
    </w:p>
    <w:p w14:paraId="2D4A391A" w14:textId="77777777" w:rsidR="00DB2B68" w:rsidRDefault="00000000">
      <w:pPr>
        <w:pStyle w:val="Author-eSectionHeading6Numberless"/>
      </w:pPr>
      <w:bookmarkStart w:id="1341" w:name="_Toc220496352"/>
      <w:r>
        <w:t>23.23.2b Charpentes de toiture en acier formées à froid CCTB 01.04</w:t>
      </w:r>
      <w:bookmarkEnd w:id="1341"/>
    </w:p>
    <w:p w14:paraId="137D5BF0" w14:textId="77777777" w:rsidR="00DB2B68" w:rsidRDefault="00000000">
      <w:pPr>
        <w:pStyle w:val="Author-eSectionHeading5Numberless"/>
      </w:pPr>
      <w:bookmarkStart w:id="1342" w:name="_Toc220496353"/>
      <w:r>
        <w:t>23.23.3 Charpentes de toiture en acier inoxydable laminées à chaud CCTB 01.04</w:t>
      </w:r>
      <w:bookmarkEnd w:id="1342"/>
    </w:p>
    <w:p w14:paraId="4B3CB039" w14:textId="77777777" w:rsidR="00DB2B68" w:rsidRDefault="00000000">
      <w:pPr>
        <w:pStyle w:val="Author-eSectionHeading6Numberless"/>
      </w:pPr>
      <w:bookmarkStart w:id="1343" w:name="_Toc220496354"/>
      <w:r>
        <w:t>23.23.3a Fermes de toiture en acier inoxydable laminées à chaud CCTB 01.04</w:t>
      </w:r>
      <w:bookmarkEnd w:id="1343"/>
    </w:p>
    <w:p w14:paraId="724150B9" w14:textId="77777777" w:rsidR="00DB2B68" w:rsidRDefault="00000000">
      <w:pPr>
        <w:pStyle w:val="Author-eSectionHeading6Numberless"/>
      </w:pPr>
      <w:bookmarkStart w:id="1344" w:name="_Toc220496355"/>
      <w:r>
        <w:t>23.23.3b Charpentes de toiture en acier inoxydable laminées à chaud CCTB 01.04</w:t>
      </w:r>
      <w:bookmarkEnd w:id="1344"/>
    </w:p>
    <w:p w14:paraId="4EC2B720" w14:textId="77777777" w:rsidR="00DB2B68" w:rsidRDefault="00000000">
      <w:pPr>
        <w:pStyle w:val="Author-eSectionHeading5Numberless"/>
      </w:pPr>
      <w:bookmarkStart w:id="1345" w:name="_Toc220496356"/>
      <w:r>
        <w:t>23.23.4 Charpentes de toiture en acier inoxydable formées à froid CCTB 01.04</w:t>
      </w:r>
      <w:bookmarkEnd w:id="1345"/>
    </w:p>
    <w:p w14:paraId="1EF83273" w14:textId="77777777" w:rsidR="00DB2B68" w:rsidRDefault="00000000">
      <w:pPr>
        <w:pStyle w:val="Author-eSectionHeading6Numberless"/>
      </w:pPr>
      <w:bookmarkStart w:id="1346" w:name="_Toc220496357"/>
      <w:r>
        <w:t>23.23.4a Fermes de toiture en acier inoxydable formées à froid CCTB 01.04</w:t>
      </w:r>
      <w:bookmarkEnd w:id="1346"/>
    </w:p>
    <w:p w14:paraId="32B427DE" w14:textId="77777777" w:rsidR="00DB2B68" w:rsidRDefault="00000000">
      <w:pPr>
        <w:pStyle w:val="Author-eSectionHeading6Numberless"/>
      </w:pPr>
      <w:bookmarkStart w:id="1347" w:name="_Toc220496358"/>
      <w:r>
        <w:t>23.23.4b Charpentes de toiture en acier inoxydable formées à froid CCTB 01.04</w:t>
      </w:r>
      <w:bookmarkEnd w:id="1347"/>
    </w:p>
    <w:p w14:paraId="446A2B11" w14:textId="77777777" w:rsidR="00DB2B68" w:rsidRDefault="00000000">
      <w:pPr>
        <w:pStyle w:val="Author-eSectionHeading5Numberless"/>
      </w:pPr>
      <w:bookmarkStart w:id="1348" w:name="_Toc220496359"/>
      <w:r>
        <w:t>23.23.5 Charpentes de toiture en aluminium CCTB 01.04</w:t>
      </w:r>
      <w:bookmarkEnd w:id="1348"/>
    </w:p>
    <w:p w14:paraId="38030697" w14:textId="77777777" w:rsidR="00DB2B68" w:rsidRDefault="00000000">
      <w:pPr>
        <w:pStyle w:val="Author-eSectionHeading6Numberless"/>
      </w:pPr>
      <w:bookmarkStart w:id="1349" w:name="_Toc220496360"/>
      <w:r>
        <w:t>23.23.5a Fermes de toiture en aluminium CCTB 01.04</w:t>
      </w:r>
      <w:bookmarkEnd w:id="1349"/>
    </w:p>
    <w:p w14:paraId="67209968" w14:textId="77777777" w:rsidR="00DB2B68" w:rsidRDefault="00000000">
      <w:pPr>
        <w:pStyle w:val="Author-eSectionHeading6Numberless"/>
      </w:pPr>
      <w:bookmarkStart w:id="1350" w:name="_Toc220496361"/>
      <w:r>
        <w:t>23.23.5b Charpentes de toiture en aluminium CCTB 01.04</w:t>
      </w:r>
      <w:bookmarkEnd w:id="1350"/>
    </w:p>
    <w:p w14:paraId="68AA20B7" w14:textId="77777777" w:rsidR="00DB2B68" w:rsidRDefault="00000000">
      <w:pPr>
        <w:pStyle w:val="Author-eSectionHeading4Numberless"/>
      </w:pPr>
      <w:bookmarkStart w:id="1351" w:name="_Toc220496362"/>
      <w:r>
        <w:t>23.24 Structures particulières métalliques CCTB 01.11</w:t>
      </w:r>
      <w:bookmarkEnd w:id="1351"/>
    </w:p>
    <w:p w14:paraId="61B608EF" w14:textId="77777777" w:rsidR="00DB2B68" w:rsidRDefault="00000000">
      <w:pPr>
        <w:pStyle w:val="pheading"/>
      </w:pPr>
      <w:r>
        <w:t>DESCRIPTION</w:t>
      </w:r>
    </w:p>
    <w:p w14:paraId="1F81ADB7" w14:textId="77777777" w:rsidR="00DB2B68" w:rsidRDefault="00000000">
      <w:pPr>
        <w:pStyle w:val="pheading"/>
      </w:pPr>
      <w:r>
        <w:t>- Définition / Comprend</w:t>
      </w:r>
    </w:p>
    <w:p w14:paraId="4CF206BE" w14:textId="77777777" w:rsidR="00DB2B68" w:rsidRDefault="00000000">
      <w:r>
        <w:lastRenderedPageBreak/>
        <w:t>Il s'agit des structures tridimensionnelles composées d'éléments linéaires en acier, préfabriqués à l'atelier et montées et assemblées sur chantier aux ouvrages de construction déjà exécutés.</w:t>
      </w:r>
    </w:p>
    <w:p w14:paraId="7BF988E0" w14:textId="77777777" w:rsidR="00DB2B68" w:rsidRDefault="00000000">
      <w:r>
        <w:t>Attention : Les pannes posées sur les structures tridimensionnelles ne sont pas comprises dans le prix unitaire.</w:t>
      </w:r>
    </w:p>
    <w:p w14:paraId="2F05021F" w14:textId="77777777" w:rsidR="00DB2B68" w:rsidRDefault="00000000">
      <w:pPr>
        <w:pStyle w:val="pheading"/>
      </w:pPr>
      <w:r>
        <w:t>MATÉRIAUX</w:t>
      </w:r>
    </w:p>
    <w:p w14:paraId="6E2F25C4" w14:textId="77777777" w:rsidR="00DB2B68" w:rsidRDefault="00000000">
      <w:r>
        <w:t>La nuance et la qualité (soudabilité) de l'acier doivent être connues à l'avance.</w:t>
      </w:r>
    </w:p>
    <w:p w14:paraId="21C8CD7C" w14:textId="77777777" w:rsidR="00DB2B68" w:rsidRDefault="00000000">
      <w:pPr>
        <w:pStyle w:val="heading"/>
      </w:pPr>
      <w:r>
        <w:t>Spécifications</w:t>
      </w:r>
    </w:p>
    <w:p w14:paraId="2F7FDC80" w14:textId="77777777" w:rsidR="00DB2B68" w:rsidRDefault="00000000">
      <w:r>
        <w:t xml:space="preserve">Nuance d'acier : </w:t>
      </w:r>
      <w:r>
        <w:rPr>
          <w:rStyle w:val="optioncarChar"/>
        </w:rPr>
        <w:t>S235 </w:t>
      </w:r>
      <w:r>
        <w:t>(par défaut)</w:t>
      </w:r>
      <w:r>
        <w:rPr>
          <w:rStyle w:val="optioncarChar"/>
        </w:rPr>
        <w:t xml:space="preserve"> / S 275 / S 355 / S 420 / S460/ proposé par l'entrepreneur / *** </w:t>
      </w:r>
      <w:r>
        <w:rPr>
          <w:i/>
        </w:rPr>
        <w:t>(selon la limite élastique en N/mm2 [NBN EN 10025 série])</w:t>
      </w:r>
    </w:p>
    <w:p w14:paraId="573AD4CB" w14:textId="77777777" w:rsidR="00DB2B68" w:rsidRDefault="00000000">
      <w:r>
        <w:rPr>
          <w:color w:val="000000"/>
          <w:shd w:val="clear" w:color="auto" w:fill="FFFFFF"/>
        </w:rPr>
        <w:t xml:space="preserve"> Qualité : désignation </w:t>
      </w:r>
      <w:r>
        <w:rPr>
          <w:rStyle w:val="optioncarChar"/>
        </w:rPr>
        <w:t>JR </w:t>
      </w:r>
      <w:r>
        <w:t>(par défaut)</w:t>
      </w:r>
      <w:r>
        <w:rPr>
          <w:rStyle w:val="optioncarChar"/>
        </w:rPr>
        <w:t xml:space="preserve"> / J0 / J2 / K2 / N / NL / M / ML / W / P / Q /  QL / QL1 / ***</w:t>
      </w:r>
      <w:r>
        <w:rPr>
          <w:color w:val="000000"/>
          <w:shd w:val="clear" w:color="auto" w:fill="FFFFFF"/>
        </w:rPr>
        <w:t xml:space="preserve"> (</w:t>
      </w:r>
      <w:r>
        <w:rPr>
          <w:i/>
        </w:rPr>
        <w:t>[NBN EN 10025 série]</w:t>
      </w:r>
      <w:r>
        <w:t>)</w:t>
      </w:r>
    </w:p>
    <w:p w14:paraId="070255BA" w14:textId="77777777" w:rsidR="00DB2B68" w:rsidRDefault="00000000">
      <w:r>
        <w:t>Les assemblages (chevilles ou boulons à fil métrique) sont en acier de haute qualité, de la classe 8.8 ou plus et conformes à la norme [NBN EN 1993-1-8]. </w:t>
      </w:r>
    </w:p>
    <w:p w14:paraId="7F9F7C36" w14:textId="77777777" w:rsidR="00DB2B68" w:rsidRDefault="00000000">
      <w:pPr>
        <w:pStyle w:val="pheading"/>
      </w:pPr>
      <w:r>
        <w:t>EXÉCUTION / MISE EN ŒUVRE</w:t>
      </w:r>
    </w:p>
    <w:p w14:paraId="246D13F0" w14:textId="77777777" w:rsidR="00DB2B68" w:rsidRDefault="00000000">
      <w:r>
        <w:t>Les déformations de la structure sont conformes à la [NBN B 03-003]. La structure tridimensionnelle se compose d’un treillis inférieur qui est relié par des diagonales à un treillis supérieur. Les lignes axiales des barres doivent se couper exactement dans le point central des nœuds d’assemblage.</w:t>
      </w:r>
    </w:p>
    <w:p w14:paraId="07A29C75" w14:textId="77777777" w:rsidR="00DB2B68" w:rsidRDefault="00000000">
      <w:pPr>
        <w:pStyle w:val="Author-eListParagraph"/>
        <w:numPr>
          <w:ilvl w:val="0"/>
          <w:numId w:val="711"/>
        </w:numPr>
      </w:pPr>
      <w:r>
        <w:t xml:space="preserve">Hauteur de la structure tridimensionnelle, mesurée entre les axes des treillis supérieur et inférieur : </w:t>
      </w:r>
      <w:r>
        <w:rPr>
          <w:rStyle w:val="optioncarChar"/>
        </w:rPr>
        <w:t>***</w:t>
      </w:r>
      <w:r>
        <w:t xml:space="preserve"> m.</w:t>
      </w:r>
    </w:p>
    <w:p w14:paraId="0458E5D0" w14:textId="77777777" w:rsidR="00DB2B68" w:rsidRDefault="00000000">
      <w:pPr>
        <w:pStyle w:val="Author-eListParagraph"/>
        <w:numPr>
          <w:ilvl w:val="0"/>
          <w:numId w:val="711"/>
        </w:numPr>
      </w:pPr>
      <w:r>
        <w:t xml:space="preserve">Le treillis de base </w:t>
      </w:r>
      <w:r>
        <w:rPr>
          <w:rStyle w:val="optioncarChar"/>
        </w:rPr>
        <w:t>de la surface inférieure</w:t>
      </w:r>
      <w:r>
        <w:t> </w:t>
      </w:r>
      <w:r>
        <w:rPr>
          <w:rStyle w:val="optioncarChar"/>
        </w:rPr>
        <w:t>/ de la surface supérieure / des surfaces inférieure et supérieure / ***</w:t>
      </w:r>
      <w:r>
        <w:t xml:space="preserve"> a la forme d’un </w:t>
      </w:r>
      <w:r>
        <w:rPr>
          <w:rStyle w:val="optioncarChar"/>
        </w:rPr>
        <w:t>triangle équilatéral / triangle rectangulaire / carré / rectangle / hexagone régulier / ***</w:t>
      </w:r>
      <w:r>
        <w:t>.</w:t>
      </w:r>
    </w:p>
    <w:p w14:paraId="6174FD9B" w14:textId="77777777" w:rsidR="00DB2B68" w:rsidRDefault="00000000">
      <w:pPr>
        <w:pStyle w:val="Author-eListParagraph"/>
        <w:numPr>
          <w:ilvl w:val="0"/>
          <w:numId w:val="711"/>
        </w:numPr>
      </w:pPr>
      <w:r>
        <w:t>Les profilés utilisés </w:t>
      </w:r>
      <w:r>
        <w:rPr>
          <w:rStyle w:val="optioncarChar"/>
        </w:rPr>
        <w:t>du treillis inférieur / du treillis supérieur / des diagonales / ***</w:t>
      </w:r>
      <w:r>
        <w:t xml:space="preserve"> présentent les mêmes dimensions extérieures.</w:t>
      </w:r>
    </w:p>
    <w:p w14:paraId="6032011E" w14:textId="77777777" w:rsidR="00DB2B68" w:rsidRDefault="00000000">
      <w:pPr>
        <w:pStyle w:val="Author-eListParagraph"/>
        <w:numPr>
          <w:ilvl w:val="0"/>
          <w:numId w:val="711"/>
        </w:numPr>
      </w:pPr>
      <w:r>
        <w:t>La hauteur des cases est : </w:t>
      </w:r>
      <w:r>
        <w:rPr>
          <w:rStyle w:val="optioncarChar"/>
        </w:rPr>
        <w:t>constante / variable / ***</w:t>
      </w:r>
    </w:p>
    <w:p w14:paraId="7961C59E" w14:textId="77777777" w:rsidR="00DB2B68" w:rsidRDefault="00000000">
      <w:pPr>
        <w:pStyle w:val="Author-eListParagraph"/>
        <w:numPr>
          <w:ilvl w:val="0"/>
          <w:numId w:val="711"/>
        </w:numPr>
      </w:pPr>
      <w:r>
        <w:t xml:space="preserve">La reprise des contraintes s’effectue par des </w:t>
      </w:r>
      <w:r>
        <w:rPr>
          <w:rStyle w:val="optioncarChar"/>
        </w:rPr>
        <w:t>épaisseurs d’acier différentes / nuances d’acier différentes / ***</w:t>
      </w:r>
      <w:r>
        <w:rPr>
          <w:color w:val="0000FF"/>
        </w:rPr>
        <w:t>.</w:t>
      </w:r>
    </w:p>
    <w:p w14:paraId="36E749EA" w14:textId="77777777" w:rsidR="00DB2B68" w:rsidRDefault="00000000">
      <w:pPr>
        <w:pStyle w:val="Author-eListParagraph"/>
        <w:numPr>
          <w:ilvl w:val="0"/>
          <w:numId w:val="711"/>
        </w:numPr>
      </w:pPr>
      <w:r>
        <w:t>Le treillis supérieur se compose de : </w:t>
      </w:r>
      <w:r>
        <w:rPr>
          <w:rStyle w:val="optioncarChar"/>
        </w:rPr>
        <w:t>Profils en U / Profils en T / profils tubulaires / tubes circulaires / ***</w:t>
      </w:r>
    </w:p>
    <w:p w14:paraId="620B783D" w14:textId="77777777" w:rsidR="00DB2B68" w:rsidRDefault="00000000">
      <w:pPr>
        <w:pStyle w:val="Author-eListParagraph"/>
        <w:numPr>
          <w:ilvl w:val="0"/>
          <w:numId w:val="711"/>
        </w:numPr>
      </w:pPr>
      <w:r>
        <w:t>Le treillis inférieur se compose de : </w:t>
      </w:r>
      <w:r>
        <w:rPr>
          <w:rStyle w:val="optioncarChar"/>
        </w:rPr>
        <w:t>Profils en U / Profils en T / profils tubulaires / tubes circulaires / ***</w:t>
      </w:r>
    </w:p>
    <w:p w14:paraId="6D109B04" w14:textId="77777777" w:rsidR="00DB2B68" w:rsidRDefault="00000000">
      <w:pPr>
        <w:pStyle w:val="Author-eListParagraph"/>
        <w:numPr>
          <w:ilvl w:val="0"/>
          <w:numId w:val="711"/>
        </w:numPr>
      </w:pPr>
      <w:r>
        <w:t>Les diagonales se composent de : </w:t>
      </w:r>
      <w:r>
        <w:rPr>
          <w:rStyle w:val="optioncarChar"/>
        </w:rPr>
        <w:t>Profils en U / Profils en T / profils tubulaires / tubes circulaires / ***</w:t>
      </w:r>
    </w:p>
    <w:p w14:paraId="3117E702" w14:textId="77777777" w:rsidR="00DB2B68" w:rsidRDefault="00000000">
      <w:pPr>
        <w:pStyle w:val="Author-eListParagraph"/>
        <w:numPr>
          <w:ilvl w:val="0"/>
          <w:numId w:val="711"/>
        </w:numPr>
      </w:pPr>
      <w:r>
        <w:t>Les nœuds d’assemblage sont : </w:t>
      </w:r>
      <w:r>
        <w:rPr>
          <w:rStyle w:val="optioncarChar"/>
        </w:rPr>
        <w:t>des éléments sphériques / des éléments polygonaux / des éléments sous forme de pelure / des éléments de plaque plans / des boulonnages / ***</w:t>
      </w:r>
      <w:r>
        <w:t xml:space="preserve"> .</w:t>
      </w:r>
    </w:p>
    <w:p w14:paraId="7D06099F" w14:textId="77777777" w:rsidR="00DB2B68" w:rsidRDefault="00000000">
      <w:pPr>
        <w:pStyle w:val="pheading"/>
      </w:pPr>
      <w:r>
        <w:t>CONTRÔLES</w:t>
      </w:r>
    </w:p>
    <w:p w14:paraId="6BAC070E" w14:textId="77777777" w:rsidR="00DB2B68" w:rsidRDefault="00000000">
      <w:r>
        <w:t>Un essai de résistance est préalablement exécuté sur deux raccords à nœud complets, désignés par le bureau d'étude et / ou le maître de l'ouvrage et composés du nœud et des différents éléments qui y sont reliés avec leurs raccords respectifs.</w:t>
      </w:r>
    </w:p>
    <w:p w14:paraId="41978C50" w14:textId="77777777" w:rsidR="00DB2B68" w:rsidRDefault="00000000">
      <w:pPr>
        <w:pStyle w:val="pheading"/>
      </w:pPr>
      <w:r>
        <w:t>AIDE</w:t>
      </w:r>
    </w:p>
    <w:p w14:paraId="6DEEA603" w14:textId="77777777" w:rsidR="00DB2B68" w:rsidRDefault="00000000">
      <w:r>
        <w:rPr>
          <w:u w:val="single"/>
        </w:rPr>
        <w:t>À l'attention de l'auteur de projet</w:t>
      </w:r>
    </w:p>
    <w:p w14:paraId="7763AFD5" w14:textId="77777777" w:rsidR="00DB2B68" w:rsidRDefault="00000000">
      <w:r>
        <w:t>En général, la transmission des forces est basée sur la triangulation des éléments assemblés par assemblages à charnière et qui sont soumis à des efforts de compression ou de traction uniquement.</w:t>
      </w:r>
    </w:p>
    <w:p w14:paraId="465D6A33" w14:textId="77777777" w:rsidR="00DB2B68" w:rsidRDefault="00000000">
      <w:r>
        <w:t>Quelques types : structures tridimensionnelles Monié, Howe, Américaine, Neuville, en K, Croix de Saint-André, losange, Vierendeel,…</w:t>
      </w:r>
    </w:p>
    <w:p w14:paraId="08C00F0E" w14:textId="77777777" w:rsidR="00DB2B68" w:rsidRDefault="00000000">
      <w:pPr>
        <w:pStyle w:val="Author-eSectionHeading5Numberless"/>
      </w:pPr>
      <w:bookmarkStart w:id="1352" w:name="_Toc220496363"/>
      <w:r>
        <w:t>23.24.1 Structures particulières en acier laminées à chaud CCTB 01.04</w:t>
      </w:r>
      <w:bookmarkEnd w:id="1352"/>
    </w:p>
    <w:p w14:paraId="4B0E4E79" w14:textId="77777777" w:rsidR="00DB2B68" w:rsidRDefault="00000000">
      <w:pPr>
        <w:pStyle w:val="Author-eSectionHeading6Numberless"/>
      </w:pPr>
      <w:bookmarkStart w:id="1353" w:name="_Toc220496364"/>
      <w:r>
        <w:lastRenderedPageBreak/>
        <w:t>23.24.1a Structures tridimensionnelles en acier laminées à chaud CCTB 01.11</w:t>
      </w:r>
      <w:bookmarkEnd w:id="1353"/>
    </w:p>
    <w:p w14:paraId="7EE54F3F" w14:textId="77777777" w:rsidR="00DB2B68" w:rsidRDefault="00000000">
      <w:pPr>
        <w:pStyle w:val="pheading"/>
      </w:pPr>
      <w:r>
        <w:t>EXÉCUTION / MISE EN ŒUVRE</w:t>
      </w:r>
    </w:p>
    <w:p w14:paraId="3E1E152E" w14:textId="77777777" w:rsidR="00DB2B68" w:rsidRDefault="00000000">
      <w:pPr>
        <w:pStyle w:val="pheading"/>
      </w:pPr>
      <w:r>
        <w:t>- Notes d’exécution complémentaires</w:t>
      </w:r>
    </w:p>
    <w:p w14:paraId="231F51C4" w14:textId="77777777" w:rsidR="00DB2B68" w:rsidRDefault="00000000">
      <w:r>
        <w:t xml:space="preserve">• Une charge d'exploitation </w:t>
      </w:r>
      <w:r>
        <w:rPr>
          <w:color w:val="FF0000"/>
        </w:rPr>
        <w:t>spéciale</w:t>
      </w:r>
      <w:r>
        <w:t> (par défaut)</w:t>
      </w:r>
      <w:r>
        <w:rPr>
          <w:color w:val="FF0000"/>
        </w:rPr>
        <w:t xml:space="preserve"> / supplémentaire</w:t>
      </w:r>
      <w:r>
        <w:t xml:space="preserve"> de </w:t>
      </w:r>
      <w:r>
        <w:rPr>
          <w:color w:val="FF0000"/>
        </w:rPr>
        <w:t>***</w:t>
      </w:r>
      <w:r>
        <w:t>. kN/m2 est à prévoir.</w:t>
      </w:r>
    </w:p>
    <w:p w14:paraId="03908DB2" w14:textId="77777777" w:rsidR="00DB2B68" w:rsidRDefault="00000000">
      <w:r>
        <w:t>• Les éléments du treillis supérieur servent de pannes.</w:t>
      </w:r>
    </w:p>
    <w:p w14:paraId="5B988FB3" w14:textId="77777777" w:rsidR="00DB2B68" w:rsidRDefault="00000000">
      <w:pPr>
        <w:pStyle w:val="Author-eSectionHeading6Numberless"/>
      </w:pPr>
      <w:bookmarkStart w:id="1354" w:name="_Toc220496365"/>
      <w:r>
        <w:t>23.24.1b Ponts roulants en acier laminés à chaud CCTB 01.04</w:t>
      </w:r>
      <w:bookmarkEnd w:id="1354"/>
    </w:p>
    <w:p w14:paraId="06CD9C0D" w14:textId="77777777" w:rsidR="00DB2B68" w:rsidRDefault="00000000">
      <w:pPr>
        <w:pStyle w:val="Author-eSectionHeading6Numberless"/>
      </w:pPr>
      <w:bookmarkStart w:id="1355" w:name="_Toc220496366"/>
      <w:r>
        <w:t>23.24.1c Mâts et pylônes en acier laminés à chaud CCTB 01.04</w:t>
      </w:r>
      <w:bookmarkEnd w:id="1355"/>
    </w:p>
    <w:p w14:paraId="18E83FEB" w14:textId="77777777" w:rsidR="00DB2B68" w:rsidRDefault="00000000">
      <w:pPr>
        <w:pStyle w:val="Author-eSectionHeading6Numberless"/>
      </w:pPr>
      <w:bookmarkStart w:id="1356" w:name="_Toc220496367"/>
      <w:r>
        <w:t>23.24.1d Tôles fortes en acier laminées à chaud CCTB 01.04</w:t>
      </w:r>
      <w:bookmarkEnd w:id="1356"/>
    </w:p>
    <w:p w14:paraId="20E8DFC2" w14:textId="77777777" w:rsidR="00DB2B68" w:rsidRDefault="00000000">
      <w:pPr>
        <w:pStyle w:val="Author-eSectionHeading5Numberless"/>
      </w:pPr>
      <w:bookmarkStart w:id="1357" w:name="_Toc220496368"/>
      <w:r>
        <w:t>23.24.2 Structures particulières en acier formées à froid CCTB 01.04</w:t>
      </w:r>
      <w:bookmarkEnd w:id="1357"/>
    </w:p>
    <w:p w14:paraId="20DCD099" w14:textId="77777777" w:rsidR="00DB2B68" w:rsidRDefault="00000000">
      <w:pPr>
        <w:pStyle w:val="Author-eSectionHeading6Numberless"/>
      </w:pPr>
      <w:bookmarkStart w:id="1358" w:name="_Toc220496369"/>
      <w:r>
        <w:t>23.24.2a Structures tridimensionnelles en acier formées à froid CCTB 01.11</w:t>
      </w:r>
      <w:bookmarkEnd w:id="1358"/>
    </w:p>
    <w:p w14:paraId="523B3D1F" w14:textId="77777777" w:rsidR="00DB2B68" w:rsidRDefault="00000000">
      <w:pPr>
        <w:pStyle w:val="pheading"/>
      </w:pPr>
      <w:r>
        <w:t>EXÉCUTION / MISE EN ŒUVRE</w:t>
      </w:r>
    </w:p>
    <w:p w14:paraId="45A4A94D" w14:textId="77777777" w:rsidR="00DB2B68" w:rsidRDefault="00000000">
      <w:pPr>
        <w:pStyle w:val="pheading"/>
      </w:pPr>
      <w:r>
        <w:t>- Notes d’exécution complémentaires</w:t>
      </w:r>
    </w:p>
    <w:p w14:paraId="58FFBD0C" w14:textId="77777777" w:rsidR="00DB2B68" w:rsidRDefault="00000000">
      <w:r>
        <w:t xml:space="preserve">• Une charge d'exploitation </w:t>
      </w:r>
      <w:r>
        <w:rPr>
          <w:color w:val="FF0000"/>
        </w:rPr>
        <w:t>spéciale / supplémentaire</w:t>
      </w:r>
      <w:r>
        <w:t xml:space="preserve"> de </w:t>
      </w:r>
      <w:r>
        <w:rPr>
          <w:color w:val="FF0000"/>
        </w:rPr>
        <w:t xml:space="preserve">*** </w:t>
      </w:r>
      <w:r>
        <w:t>kN/m</w:t>
      </w:r>
      <w:r>
        <w:rPr>
          <w:vertAlign w:val="superscript"/>
        </w:rPr>
        <w:t>2</w:t>
      </w:r>
      <w:r>
        <w:t xml:space="preserve"> est à prévoir.</w:t>
      </w:r>
    </w:p>
    <w:p w14:paraId="66045989" w14:textId="77777777" w:rsidR="00DB2B68" w:rsidRDefault="00000000">
      <w:r>
        <w:t>• Les éléments du treillis supérieur servent de pannes.</w:t>
      </w:r>
    </w:p>
    <w:p w14:paraId="4FEBD75A" w14:textId="77777777" w:rsidR="00DB2B68" w:rsidRDefault="00000000">
      <w:pPr>
        <w:pStyle w:val="Author-eSectionHeading6Numberless"/>
      </w:pPr>
      <w:bookmarkStart w:id="1359" w:name="_Toc220496370"/>
      <w:r>
        <w:t>23.24.2b Ponts roulants en acier formés à froid CCTB 01.04</w:t>
      </w:r>
      <w:bookmarkEnd w:id="1359"/>
    </w:p>
    <w:p w14:paraId="25B177D5" w14:textId="77777777" w:rsidR="00DB2B68" w:rsidRDefault="00000000">
      <w:pPr>
        <w:pStyle w:val="Author-eSectionHeading6Numberless"/>
      </w:pPr>
      <w:bookmarkStart w:id="1360" w:name="_Toc220496371"/>
      <w:r>
        <w:t>23.24.2c Mâts et pylônes en acier formés à froid CCTB 01.04</w:t>
      </w:r>
      <w:bookmarkEnd w:id="1360"/>
    </w:p>
    <w:p w14:paraId="244EDB94" w14:textId="77777777" w:rsidR="00DB2B68" w:rsidRDefault="00000000">
      <w:pPr>
        <w:pStyle w:val="Author-eSectionHeading5Numberless"/>
      </w:pPr>
      <w:bookmarkStart w:id="1361" w:name="_Toc220496372"/>
      <w:r>
        <w:t>23.24.3 Structures particulières en acier inoxydable laminées à chaud CCTB 01.04</w:t>
      </w:r>
      <w:bookmarkEnd w:id="1361"/>
    </w:p>
    <w:p w14:paraId="004A9543" w14:textId="77777777" w:rsidR="00DB2B68" w:rsidRDefault="00000000">
      <w:pPr>
        <w:pStyle w:val="Author-eSectionHeading6Numberless"/>
      </w:pPr>
      <w:bookmarkStart w:id="1362" w:name="_Toc220496373"/>
      <w:r>
        <w:t>23.24.3a Structures tridimensionnelles en acier inoxydable laminées à chaud CCTB 01.11</w:t>
      </w:r>
      <w:bookmarkEnd w:id="1362"/>
    </w:p>
    <w:p w14:paraId="484CCC4F" w14:textId="77777777" w:rsidR="00DB2B68" w:rsidRDefault="00000000">
      <w:pPr>
        <w:pStyle w:val="pheading"/>
      </w:pPr>
      <w:r>
        <w:t>EXÉCUTION / MISE EN ŒUVRE</w:t>
      </w:r>
    </w:p>
    <w:p w14:paraId="4546C98B" w14:textId="77777777" w:rsidR="00DB2B68" w:rsidRDefault="00000000">
      <w:pPr>
        <w:pStyle w:val="pheading"/>
      </w:pPr>
      <w:r>
        <w:t>- Notes d’exécution complémentaires</w:t>
      </w:r>
    </w:p>
    <w:p w14:paraId="47AEAF5D" w14:textId="77777777" w:rsidR="00DB2B68" w:rsidRDefault="00000000">
      <w:r>
        <w:t xml:space="preserve">• Une charge d'exploitation </w:t>
      </w:r>
      <w:r>
        <w:rPr>
          <w:color w:val="FF0000"/>
        </w:rPr>
        <w:t>spéciale </w:t>
      </w:r>
      <w:r>
        <w:t xml:space="preserve">(par défaut) </w:t>
      </w:r>
      <w:r>
        <w:rPr>
          <w:color w:val="FF0000"/>
        </w:rPr>
        <w:t>/ supplémentaire</w:t>
      </w:r>
      <w:r>
        <w:t xml:space="preserve"> de </w:t>
      </w:r>
      <w:r>
        <w:rPr>
          <w:color w:val="FF0000"/>
        </w:rPr>
        <w:t xml:space="preserve">*** </w:t>
      </w:r>
      <w:r>
        <w:t>kN/m2 est à prévoir.</w:t>
      </w:r>
    </w:p>
    <w:p w14:paraId="138A62C5" w14:textId="77777777" w:rsidR="00DB2B68" w:rsidRDefault="00000000">
      <w:r>
        <w:t>• Les éléments du treillis supérieur servent de pannes.</w:t>
      </w:r>
    </w:p>
    <w:p w14:paraId="3EFBED31" w14:textId="77777777" w:rsidR="00DB2B68" w:rsidRDefault="00000000">
      <w:pPr>
        <w:pStyle w:val="Author-eSectionHeading6Numberless"/>
      </w:pPr>
      <w:bookmarkStart w:id="1363" w:name="_Toc220496374"/>
      <w:r>
        <w:t>23.24.3b Ponts roulants en acier inoxydable laminés à chaud CCTB 01.04</w:t>
      </w:r>
      <w:bookmarkEnd w:id="1363"/>
    </w:p>
    <w:p w14:paraId="61C75188" w14:textId="77777777" w:rsidR="00DB2B68" w:rsidRDefault="00000000">
      <w:pPr>
        <w:pStyle w:val="Author-eSectionHeading6Numberless"/>
      </w:pPr>
      <w:bookmarkStart w:id="1364" w:name="_Toc220496375"/>
      <w:r>
        <w:t>23.24.3c Mâts et pylônes en acier inoxydable laminés à chaud CCTB 01.04</w:t>
      </w:r>
      <w:bookmarkEnd w:id="1364"/>
    </w:p>
    <w:p w14:paraId="368FBB5A" w14:textId="77777777" w:rsidR="00DB2B68" w:rsidRDefault="00000000">
      <w:pPr>
        <w:pStyle w:val="Author-eSectionHeading6Numberless"/>
      </w:pPr>
      <w:bookmarkStart w:id="1365" w:name="_Toc220496376"/>
      <w:r>
        <w:t>23.24.3d Tôles fortes en acier inoxydable laminées à chaud CCTB 01.04</w:t>
      </w:r>
      <w:bookmarkEnd w:id="1365"/>
    </w:p>
    <w:p w14:paraId="43134995" w14:textId="77777777" w:rsidR="00DB2B68" w:rsidRDefault="00000000">
      <w:pPr>
        <w:pStyle w:val="Author-eSectionHeading5Numberless"/>
      </w:pPr>
      <w:bookmarkStart w:id="1366" w:name="_Toc220496377"/>
      <w:r>
        <w:t>23.24.4 Structures particulières en acier inoxydable formées à froid CCTB 01.04</w:t>
      </w:r>
      <w:bookmarkEnd w:id="1366"/>
    </w:p>
    <w:p w14:paraId="55FAA375" w14:textId="77777777" w:rsidR="00DB2B68" w:rsidRDefault="00000000">
      <w:pPr>
        <w:pStyle w:val="Author-eSectionHeading6Numberless"/>
      </w:pPr>
      <w:bookmarkStart w:id="1367" w:name="_Toc220496378"/>
      <w:r>
        <w:t>23.24.4a Structures tridimensionnelles en acier inoxydable formées à froid CCTB 01.11</w:t>
      </w:r>
      <w:bookmarkEnd w:id="1367"/>
    </w:p>
    <w:p w14:paraId="0B5DA08A" w14:textId="77777777" w:rsidR="00DB2B68" w:rsidRDefault="00000000">
      <w:pPr>
        <w:pStyle w:val="pheading"/>
      </w:pPr>
      <w:r>
        <w:t>EXÉCUTION / MISE EN ŒUVRE</w:t>
      </w:r>
    </w:p>
    <w:p w14:paraId="21E48A3A" w14:textId="77777777" w:rsidR="00DB2B68" w:rsidRDefault="00000000">
      <w:pPr>
        <w:pStyle w:val="pheading"/>
      </w:pPr>
      <w:r>
        <w:t>- Notes d’exécution complémentaires</w:t>
      </w:r>
    </w:p>
    <w:p w14:paraId="5797A078" w14:textId="77777777" w:rsidR="00DB2B68" w:rsidRDefault="00000000">
      <w:r>
        <w:t xml:space="preserve">• Une charge d'exploitation </w:t>
      </w:r>
      <w:r>
        <w:rPr>
          <w:color w:val="FF0000"/>
        </w:rPr>
        <w:t>spéciale </w:t>
      </w:r>
      <w:r>
        <w:t>(par défaut)</w:t>
      </w:r>
      <w:r>
        <w:rPr>
          <w:color w:val="FF0000"/>
        </w:rPr>
        <w:t xml:space="preserve"> / supplémentaire</w:t>
      </w:r>
      <w:r>
        <w:t xml:space="preserve"> de </w:t>
      </w:r>
      <w:r>
        <w:rPr>
          <w:color w:val="FF0000"/>
        </w:rPr>
        <w:t xml:space="preserve">*** </w:t>
      </w:r>
      <w:r>
        <w:t>kN/m</w:t>
      </w:r>
      <w:r>
        <w:rPr>
          <w:vertAlign w:val="superscript"/>
        </w:rPr>
        <w:t>2</w:t>
      </w:r>
      <w:r>
        <w:t xml:space="preserve"> est à prévoir.</w:t>
      </w:r>
    </w:p>
    <w:p w14:paraId="6EF40DC8" w14:textId="77777777" w:rsidR="00DB2B68" w:rsidRDefault="00000000">
      <w:r>
        <w:t>• Les éléments du treillis supérieur servent de pannes.</w:t>
      </w:r>
    </w:p>
    <w:p w14:paraId="23C1AAF8" w14:textId="77777777" w:rsidR="00DB2B68" w:rsidRDefault="00000000">
      <w:pPr>
        <w:pStyle w:val="Author-eSectionHeading6Numberless"/>
      </w:pPr>
      <w:bookmarkStart w:id="1368" w:name="_Toc220496379"/>
      <w:r>
        <w:t>23.24.4b Ponts roulants en acier inoxydable formés à froid CCTB 01.04</w:t>
      </w:r>
      <w:bookmarkEnd w:id="1368"/>
    </w:p>
    <w:p w14:paraId="57C8A291" w14:textId="77777777" w:rsidR="00DB2B68" w:rsidRDefault="00000000">
      <w:pPr>
        <w:pStyle w:val="Author-eSectionHeading6Numberless"/>
      </w:pPr>
      <w:bookmarkStart w:id="1369" w:name="_Toc220496380"/>
      <w:r>
        <w:lastRenderedPageBreak/>
        <w:t>23.24.4c Mâts et pylônes en acier inoxydable formés à froid CCTB 01.04</w:t>
      </w:r>
      <w:bookmarkEnd w:id="1369"/>
    </w:p>
    <w:p w14:paraId="4711708A" w14:textId="77777777" w:rsidR="00DB2B68" w:rsidRDefault="00000000">
      <w:pPr>
        <w:pStyle w:val="Author-eSectionHeading5Numberless"/>
      </w:pPr>
      <w:bookmarkStart w:id="1370" w:name="_Toc220496381"/>
      <w:r>
        <w:t>23.24.5 Structures particulières en aluminium CCTB 01.02</w:t>
      </w:r>
      <w:bookmarkEnd w:id="1370"/>
    </w:p>
    <w:p w14:paraId="03172C23" w14:textId="77777777" w:rsidR="00DB2B68" w:rsidRDefault="00000000">
      <w:pPr>
        <w:pStyle w:val="Author-eSectionHeading6Numberless"/>
      </w:pPr>
      <w:bookmarkStart w:id="1371" w:name="_Toc220496382"/>
      <w:r>
        <w:t>23.24.5a Structures tridimensionnelles en aluminium CCTB 01.11</w:t>
      </w:r>
      <w:bookmarkEnd w:id="1371"/>
    </w:p>
    <w:p w14:paraId="2B04F190" w14:textId="77777777" w:rsidR="00DB2B68" w:rsidRDefault="00000000">
      <w:pPr>
        <w:pStyle w:val="pheading"/>
      </w:pPr>
      <w:r>
        <w:t>EXÉCUTION / MISE EN ŒUVRE</w:t>
      </w:r>
    </w:p>
    <w:p w14:paraId="77B3F9A7" w14:textId="77777777" w:rsidR="00DB2B68" w:rsidRDefault="00000000">
      <w:pPr>
        <w:pStyle w:val="pheading"/>
      </w:pPr>
      <w:r>
        <w:t>- Notes d’exécution complémentaires</w:t>
      </w:r>
    </w:p>
    <w:p w14:paraId="4E7D726E" w14:textId="77777777" w:rsidR="00DB2B68" w:rsidRDefault="00000000">
      <w:r>
        <w:t xml:space="preserve">• Une charge d'exploitation </w:t>
      </w:r>
      <w:r>
        <w:rPr>
          <w:color w:val="FF0000"/>
        </w:rPr>
        <w:t xml:space="preserve">spéciale </w:t>
      </w:r>
      <w:r>
        <w:t>(par défaut) </w:t>
      </w:r>
      <w:r>
        <w:rPr>
          <w:color w:val="FF0000"/>
        </w:rPr>
        <w:t>/ supplémentaire</w:t>
      </w:r>
      <w:r>
        <w:t xml:space="preserve"> de </w:t>
      </w:r>
      <w:r>
        <w:rPr>
          <w:color w:val="FF0000"/>
        </w:rPr>
        <w:t xml:space="preserve">*** </w:t>
      </w:r>
      <w:r>
        <w:t>kN/m</w:t>
      </w:r>
      <w:r>
        <w:rPr>
          <w:vertAlign w:val="superscript"/>
        </w:rPr>
        <w:t>2</w:t>
      </w:r>
      <w:r>
        <w:t xml:space="preserve"> est à prévoir.</w:t>
      </w:r>
    </w:p>
    <w:p w14:paraId="3D9BBC0E" w14:textId="77777777" w:rsidR="00DB2B68" w:rsidRDefault="00000000">
      <w:r>
        <w:t>• Les éléments du treillis supérieur servent de pannes.</w:t>
      </w:r>
    </w:p>
    <w:p w14:paraId="1A8A339D" w14:textId="77777777" w:rsidR="00DB2B68" w:rsidRDefault="00000000">
      <w:pPr>
        <w:pStyle w:val="Author-eSectionHeading6Numberless"/>
      </w:pPr>
      <w:bookmarkStart w:id="1372" w:name="_Toc220496383"/>
      <w:r>
        <w:t>23.24.5b Mâts et pylônes en aluminium CCTB 01.04</w:t>
      </w:r>
      <w:bookmarkEnd w:id="1372"/>
    </w:p>
    <w:p w14:paraId="42EACF4C" w14:textId="77777777" w:rsidR="00DB2B68" w:rsidRDefault="00000000">
      <w:pPr>
        <w:pStyle w:val="Author-eSectionHeading4Numberless"/>
      </w:pPr>
      <w:bookmarkStart w:id="1373" w:name="_Toc220496384"/>
      <w:r>
        <w:t>23.25 Systèmes constructifs particuliers métalliques CCTB 01.04</w:t>
      </w:r>
      <w:bookmarkEnd w:id="1373"/>
    </w:p>
    <w:p w14:paraId="451F7877" w14:textId="77777777" w:rsidR="00DB2B68" w:rsidRDefault="00000000">
      <w:pPr>
        <w:pStyle w:val="Author-eSectionHeading5Numberless"/>
      </w:pPr>
      <w:bookmarkStart w:id="1374" w:name="_Toc220496385"/>
      <w:r>
        <w:t>23.25.1 Systèmes constructifs particuliers en acier laminés à chaud CCTB 01.04</w:t>
      </w:r>
      <w:bookmarkEnd w:id="1374"/>
    </w:p>
    <w:p w14:paraId="635D4F9C" w14:textId="77777777" w:rsidR="00DB2B68" w:rsidRDefault="00000000">
      <w:pPr>
        <w:pStyle w:val="Author-eSectionHeading6Numberless"/>
      </w:pPr>
      <w:bookmarkStart w:id="1375" w:name="_Toc220496386"/>
      <w:r>
        <w:t>23.25.1a Systèmes constructifs particuliers en acier laminés à chaud CCTB 01.04</w:t>
      </w:r>
      <w:bookmarkEnd w:id="1375"/>
    </w:p>
    <w:p w14:paraId="0DC40079" w14:textId="77777777" w:rsidR="00DB2B68" w:rsidRDefault="00000000">
      <w:pPr>
        <w:pStyle w:val="Author-eSectionHeading6Numberless"/>
      </w:pPr>
      <w:bookmarkStart w:id="1376" w:name="_Toc220496387"/>
      <w:r>
        <w:t>23.25.1b Ossatures modulaires préfabriquées en acier laminées à chaud CCTB 01.04</w:t>
      </w:r>
      <w:bookmarkEnd w:id="1376"/>
    </w:p>
    <w:p w14:paraId="3352CB8B" w14:textId="77777777" w:rsidR="00DB2B68" w:rsidRDefault="00000000">
      <w:pPr>
        <w:pStyle w:val="Author-eSectionHeading6Numberless"/>
      </w:pPr>
      <w:bookmarkStart w:id="1377" w:name="_Toc220496388"/>
      <w:r>
        <w:t>23.25.1c Systèmes constructifs en coques raidies en acier laminées à chaud CCTB 01.04</w:t>
      </w:r>
      <w:bookmarkEnd w:id="1377"/>
    </w:p>
    <w:p w14:paraId="0A576612" w14:textId="77777777" w:rsidR="00DB2B68" w:rsidRDefault="00000000">
      <w:pPr>
        <w:pStyle w:val="Author-eSectionHeading5Numberless"/>
      </w:pPr>
      <w:bookmarkStart w:id="1378" w:name="_Toc220496389"/>
      <w:r>
        <w:t>23.25.2 Systèmes constructifs particuliers en acier formés à froid CCTB 01.04</w:t>
      </w:r>
      <w:bookmarkEnd w:id="1378"/>
    </w:p>
    <w:p w14:paraId="55F37A75" w14:textId="77777777" w:rsidR="00DB2B68" w:rsidRDefault="00000000">
      <w:pPr>
        <w:pStyle w:val="Author-eSectionHeading6Numberless"/>
      </w:pPr>
      <w:bookmarkStart w:id="1379" w:name="_Toc220496390"/>
      <w:r>
        <w:t>23.25.2a Systèmes constructifs particuliers en acier formés à froid CCTB 01.04</w:t>
      </w:r>
      <w:bookmarkEnd w:id="1379"/>
    </w:p>
    <w:p w14:paraId="78ADC400" w14:textId="77777777" w:rsidR="00DB2B68" w:rsidRDefault="00000000">
      <w:pPr>
        <w:pStyle w:val="Author-eSectionHeading6Numberless"/>
      </w:pPr>
      <w:bookmarkStart w:id="1380" w:name="_Toc220496391"/>
      <w:r>
        <w:t>23.25.2b Ossatures modulaires préfabriquées en acier formées à froid CCTB 01.04</w:t>
      </w:r>
      <w:bookmarkEnd w:id="1380"/>
    </w:p>
    <w:p w14:paraId="3D452A9D" w14:textId="77777777" w:rsidR="00DB2B68" w:rsidRDefault="00000000">
      <w:pPr>
        <w:pStyle w:val="Author-eSectionHeading6Numberless"/>
      </w:pPr>
      <w:bookmarkStart w:id="1381" w:name="_Toc220496392"/>
      <w:r>
        <w:t>23.25.2c Systèmes constructifs en coques raidies en acier formées à froid CCTB 01.04</w:t>
      </w:r>
      <w:bookmarkEnd w:id="1381"/>
    </w:p>
    <w:p w14:paraId="21809131" w14:textId="77777777" w:rsidR="00DB2B68" w:rsidRDefault="00000000">
      <w:pPr>
        <w:pStyle w:val="Author-eSectionHeading5Numberless"/>
      </w:pPr>
      <w:bookmarkStart w:id="1382" w:name="_Toc220496393"/>
      <w:r>
        <w:t>23.25.3 Systèmes constructifs particuliers en acier inoxydable laminés à chaud CCTB 01.04</w:t>
      </w:r>
      <w:bookmarkEnd w:id="1382"/>
    </w:p>
    <w:p w14:paraId="5C4EDB91" w14:textId="77777777" w:rsidR="00DB2B68" w:rsidRDefault="00000000">
      <w:pPr>
        <w:pStyle w:val="Author-eSectionHeading6Numberless"/>
      </w:pPr>
      <w:bookmarkStart w:id="1383" w:name="_Toc220496394"/>
      <w:r>
        <w:t>23.25.3a Systèmes constructifs particuliers en acier inoxydable laminés à chaud CCTB 01.04</w:t>
      </w:r>
      <w:bookmarkEnd w:id="1383"/>
    </w:p>
    <w:p w14:paraId="584A308D" w14:textId="77777777" w:rsidR="00DB2B68" w:rsidRDefault="00000000">
      <w:pPr>
        <w:pStyle w:val="Author-eSectionHeading5Numberless"/>
      </w:pPr>
      <w:bookmarkStart w:id="1384" w:name="_Toc220496395"/>
      <w:r>
        <w:t>23.25.4 Systèmes constructifs particuliers en acier inoxydable formés à froid CCTB 01.04</w:t>
      </w:r>
      <w:bookmarkEnd w:id="1384"/>
    </w:p>
    <w:p w14:paraId="31357A20" w14:textId="77777777" w:rsidR="00DB2B68" w:rsidRDefault="00000000">
      <w:pPr>
        <w:pStyle w:val="Author-eSectionHeading6Numberless"/>
      </w:pPr>
      <w:bookmarkStart w:id="1385" w:name="_Toc220496396"/>
      <w:r>
        <w:t>23.25.4a Systèmes constructifs particuliers en acier inoxydable formés à froid CCTB 01.04</w:t>
      </w:r>
      <w:bookmarkEnd w:id="1385"/>
    </w:p>
    <w:p w14:paraId="6B9ADC7D" w14:textId="77777777" w:rsidR="00DB2B68" w:rsidRDefault="00000000">
      <w:pPr>
        <w:pStyle w:val="Author-eSectionHeading5Numberless"/>
      </w:pPr>
      <w:bookmarkStart w:id="1386" w:name="_Toc220496397"/>
      <w:r>
        <w:t>23.25.5 Systèmes constructifs particuliers en aluminium CCTB 01.04</w:t>
      </w:r>
      <w:bookmarkEnd w:id="1386"/>
    </w:p>
    <w:p w14:paraId="2F099076" w14:textId="77777777" w:rsidR="00DB2B68" w:rsidRDefault="00000000">
      <w:pPr>
        <w:pStyle w:val="Author-eSectionHeading6Numberless"/>
      </w:pPr>
      <w:bookmarkStart w:id="1387" w:name="_Toc220496398"/>
      <w:r>
        <w:t>23.25.5a Systèmes constructifs particuliers en aluminium CCTB 01.04</w:t>
      </w:r>
      <w:bookmarkEnd w:id="1387"/>
    </w:p>
    <w:p w14:paraId="1CF7CBD2" w14:textId="77777777" w:rsidR="00DB2B68" w:rsidRDefault="00000000">
      <w:pPr>
        <w:pStyle w:val="Author-eSectionHeading3Numberless"/>
      </w:pPr>
      <w:bookmarkStart w:id="1388" w:name="_Toc220496399"/>
      <w:r>
        <w:t>23.3 Eléments et structures secondaires métalliques CCTB 01.02</w:t>
      </w:r>
      <w:bookmarkEnd w:id="1388"/>
    </w:p>
    <w:p w14:paraId="6952FFAB" w14:textId="77777777" w:rsidR="00DB2B68" w:rsidRDefault="00000000">
      <w:pPr>
        <w:pStyle w:val="Author-eSectionHeading4Numberless"/>
      </w:pPr>
      <w:bookmarkStart w:id="1389" w:name="1403"/>
      <w:bookmarkStart w:id="1390" w:name="_Toc220496400"/>
      <w:bookmarkEnd w:id="1389"/>
      <w:r>
        <w:t>23.31 Escaliers métalliques CCTB 01.11</w:t>
      </w:r>
      <w:bookmarkEnd w:id="1390"/>
    </w:p>
    <w:p w14:paraId="30272ECB" w14:textId="77777777" w:rsidR="00DB2B68" w:rsidRDefault="00000000">
      <w:pPr>
        <w:pStyle w:val="pheading"/>
      </w:pPr>
      <w:bookmarkStart w:id="1391" w:name="558"/>
      <w:bookmarkEnd w:id="1391"/>
      <w:r>
        <w:lastRenderedPageBreak/>
        <w:t>DESCRIPTION</w:t>
      </w:r>
    </w:p>
    <w:p w14:paraId="6A3AFC42" w14:textId="77777777" w:rsidR="00DB2B68" w:rsidRDefault="00000000">
      <w:pPr>
        <w:pStyle w:val="pheading"/>
      </w:pPr>
      <w:r>
        <w:t>- Définition / Comprend</w:t>
      </w:r>
    </w:p>
    <w:p w14:paraId="73EC59FF" w14:textId="77777777" w:rsidR="00DB2B68" w:rsidRDefault="00000000">
      <w:pPr>
        <w:jc w:val="both"/>
      </w:pPr>
      <w:r>
        <w:t>Il s’agit de la fourniture et la pose de tous les éléments d'escalier nécessaires pour obtenir un ensemble parfaitement fini, c'est-à-dire l'ensemble de toutes les composantes, y compris les paliers correspondants, la finition des bords, les moyens de fixation, etc.</w:t>
      </w:r>
    </w:p>
    <w:p w14:paraId="4D458CAA" w14:textId="77777777" w:rsidR="00DB2B68" w:rsidRDefault="00000000">
      <w:pPr>
        <w:jc w:val="both"/>
      </w:pPr>
      <w:r>
        <w:t>Ce poste comprend notamment :</w:t>
      </w:r>
    </w:p>
    <w:p w14:paraId="00322782" w14:textId="77777777" w:rsidR="00DB2B68" w:rsidRDefault="00000000">
      <w:pPr>
        <w:pStyle w:val="Author-eListParagraph"/>
        <w:numPr>
          <w:ilvl w:val="0"/>
          <w:numId w:val="712"/>
        </w:numPr>
      </w:pPr>
      <w:r>
        <w:t>le relevé sur place des dimensions exactes ;</w:t>
      </w:r>
    </w:p>
    <w:p w14:paraId="1F226039" w14:textId="77777777" w:rsidR="00DB2B68" w:rsidRDefault="00000000">
      <w:pPr>
        <w:pStyle w:val="Author-eListParagraph"/>
        <w:numPr>
          <w:ilvl w:val="0"/>
          <w:numId w:val="712"/>
        </w:numPr>
      </w:pPr>
      <w:r>
        <w:t>le contrôle et la préparation des supports ;</w:t>
      </w:r>
    </w:p>
    <w:p w14:paraId="04D234D1" w14:textId="77777777" w:rsidR="00DB2B68" w:rsidRDefault="00000000">
      <w:pPr>
        <w:pStyle w:val="Author-eListParagraph"/>
        <w:numPr>
          <w:ilvl w:val="0"/>
          <w:numId w:val="712"/>
        </w:numPr>
      </w:pPr>
      <w:r>
        <w:t>la fabrication sur mesure, le transport et la mise en œuvre des éléments d'escalier, des marches, mains-courantes, rampes, etc. Y compris tous les moyens de fixation et de pose ;</w:t>
      </w:r>
    </w:p>
    <w:p w14:paraId="0F40EA14" w14:textId="77777777" w:rsidR="00DB2B68" w:rsidRDefault="00000000">
      <w:pPr>
        <w:pStyle w:val="Author-eListParagraph"/>
        <w:numPr>
          <w:ilvl w:val="0"/>
          <w:numId w:val="712"/>
        </w:numPr>
      </w:pPr>
      <w:r>
        <w:t>la protection contre la corrosion ;</w:t>
      </w:r>
    </w:p>
    <w:p w14:paraId="4860C4ED" w14:textId="77777777" w:rsidR="00DB2B68" w:rsidRDefault="00000000">
      <w:pPr>
        <w:pStyle w:val="Author-eListParagraph"/>
        <w:numPr>
          <w:ilvl w:val="0"/>
          <w:numId w:val="712"/>
        </w:numPr>
      </w:pPr>
      <w:r>
        <w:t>l'exécution des assemblages et des éventuelles jonctions avec la structure de construction ;</w:t>
      </w:r>
    </w:p>
    <w:p w14:paraId="436F92C3" w14:textId="77777777" w:rsidR="00DB2B68" w:rsidRDefault="00000000">
      <w:pPr>
        <w:pStyle w:val="Author-eListParagraph"/>
        <w:numPr>
          <w:ilvl w:val="0"/>
          <w:numId w:val="712"/>
        </w:numPr>
      </w:pPr>
      <w:r>
        <w:t>la finition des bords, les raccordements avec les finitions de mur et de sol attenantes ;</w:t>
      </w:r>
    </w:p>
    <w:p w14:paraId="2A5E1470" w14:textId="77777777" w:rsidR="00DB2B68" w:rsidRDefault="00000000">
      <w:pPr>
        <w:pStyle w:val="Author-eListParagraph"/>
        <w:numPr>
          <w:ilvl w:val="0"/>
          <w:numId w:val="712"/>
        </w:numPr>
      </w:pPr>
      <w:r>
        <w:t>le nettoyage des marches, y compris l'enlèvement des taches de mortier ou de colle ;</w:t>
      </w:r>
    </w:p>
    <w:p w14:paraId="7642DF1B" w14:textId="77777777" w:rsidR="00DB2B68" w:rsidRDefault="00000000">
      <w:pPr>
        <w:pStyle w:val="Author-eListParagraph"/>
        <w:numPr>
          <w:ilvl w:val="0"/>
          <w:numId w:val="712"/>
        </w:numPr>
      </w:pPr>
      <w:r>
        <w:t>les mesures nécessaires, après la mise en œuvre, en vue de la protection de l'escalier contre toute dégradation et salissement pendant toute la durée des travaux ;</w:t>
      </w:r>
    </w:p>
    <w:p w14:paraId="7E760784" w14:textId="77777777" w:rsidR="00DB2B68" w:rsidRDefault="00000000">
      <w:pPr>
        <w:pStyle w:val="Author-eListParagraph"/>
        <w:numPr>
          <w:ilvl w:val="0"/>
          <w:numId w:val="712"/>
        </w:numPr>
      </w:pPr>
      <w:r>
        <w:t>l’enlèvement des protections pour la réception provisoire ;</w:t>
      </w:r>
    </w:p>
    <w:p w14:paraId="110B44C6" w14:textId="77777777" w:rsidR="00DB2B68" w:rsidRDefault="00000000">
      <w:pPr>
        <w:pStyle w:val="Author-eListParagraph"/>
        <w:numPr>
          <w:ilvl w:val="0"/>
          <w:numId w:val="712"/>
        </w:numPr>
      </w:pPr>
      <w:r>
        <w:t>l’évacuation des déchets et le nettoyage du chantier.</w:t>
      </w:r>
    </w:p>
    <w:p w14:paraId="785A101B" w14:textId="77777777" w:rsidR="00DB2B68" w:rsidRDefault="00000000">
      <w:pPr>
        <w:jc w:val="both"/>
      </w:pPr>
      <w:r>
        <w:t> </w:t>
      </w:r>
    </w:p>
    <w:p w14:paraId="3228D425" w14:textId="77777777" w:rsidR="00DB2B68" w:rsidRDefault="00000000">
      <w:pPr>
        <w:jc w:val="both"/>
      </w:pPr>
      <w:r>
        <w:rPr>
          <w:b/>
        </w:rPr>
        <w:t>Composants – Terminologie</w:t>
      </w:r>
    </w:p>
    <w:p w14:paraId="635F5E7D" w14:textId="77777777" w:rsidR="00DB2B68" w:rsidRDefault="00000000">
      <w:pPr>
        <w:jc w:val="both"/>
      </w:pPr>
      <w:r>
        <w:t>En fonction de leur conception, les ensembles d'escalier sont composés de volées, d'éventuels paliers intermédiaires et d'une balustrade continue. Les volées ordinaires sont composées de marches portées par des pièces latérales dénommées limons ou échiffres ; pour les escaliers fermés, les marches sont pourvues de contremarches.</w:t>
      </w:r>
    </w:p>
    <w:p w14:paraId="5CB8D373" w14:textId="77777777" w:rsidR="00DB2B68" w:rsidRDefault="00000000">
      <w:pPr>
        <w:jc w:val="both"/>
      </w:pPr>
      <w:r>
        <w:rPr>
          <w:i/>
          <w:u w:val="single"/>
        </w:rPr>
        <w:t>Structure portante.</w:t>
      </w:r>
    </w:p>
    <w:p w14:paraId="3994CE26" w14:textId="77777777" w:rsidR="00DB2B68" w:rsidRDefault="00000000">
      <w:pPr>
        <w:jc w:val="both"/>
      </w:pPr>
      <w:r>
        <w:t>Les limons sont les éléments de structure (poutres) inclinés de l'escalier qui supportent les marches et reportent les charges sur les paliers.</w:t>
      </w:r>
    </w:p>
    <w:p w14:paraId="1CB56CCF" w14:textId="77777777" w:rsidR="00DB2B68" w:rsidRDefault="00000000">
      <w:pPr>
        <w:jc w:val="both"/>
      </w:pPr>
      <w:r>
        <w:t>Le limon de jour est situé du côté du vide ; le limon de nuit (ou limon de mur) est situé du côté de la paroi verticale. Lorsque le limon est contre un mur et soutenu directement par celui-ci, on parle de faux-limon. </w:t>
      </w:r>
    </w:p>
    <w:p w14:paraId="771C1557" w14:textId="77777777" w:rsidR="00DB2B68" w:rsidRDefault="00000000">
      <w:pPr>
        <w:jc w:val="both"/>
      </w:pPr>
      <w:r>
        <w:t>Les poteaux sont les pièces verticales entre lesquelles les limons sont insérés ou, pour les escaliers en colimaçon, les pièces dans lesquelles les marches sont insérées.</w:t>
      </w:r>
    </w:p>
    <w:p w14:paraId="0B6BAA23" w14:textId="77777777" w:rsidR="00DB2B68" w:rsidRDefault="00000000">
      <w:pPr>
        <w:jc w:val="both"/>
      </w:pPr>
      <w:r>
        <w:rPr>
          <w:i/>
          <w:u w:val="single"/>
        </w:rPr>
        <w:t>Marches</w:t>
      </w:r>
    </w:p>
    <w:p w14:paraId="3C6ABA2F" w14:textId="77777777" w:rsidR="00DB2B68" w:rsidRDefault="00000000">
      <w:pPr>
        <w:jc w:val="both"/>
      </w:pPr>
      <w:r>
        <w:t>Les marches sont les parties horizontales de l'escalier sur lesquelles les pieds sont posés pour monter ou descendre l'escalier. La structure portante peut éventuellement être combinée avec des marches dans un autre matériau, par exemple le bois, le verre, etc…</w:t>
      </w:r>
    </w:p>
    <w:p w14:paraId="65758320" w14:textId="77777777" w:rsidR="00DB2B68" w:rsidRDefault="00000000">
      <w:pPr>
        <w:pStyle w:val="Author-eListParagraph"/>
        <w:numPr>
          <w:ilvl w:val="0"/>
          <w:numId w:val="713"/>
        </w:numPr>
      </w:pPr>
      <w:r>
        <w:t>La contremarche est la partie verticale entre la surface de deux marches consécutives d'un escalier fermé. Elle réalise l'assemblage vertical entre deux marches successives.</w:t>
      </w:r>
    </w:p>
    <w:p w14:paraId="68344B99" w14:textId="77777777" w:rsidR="00DB2B68" w:rsidRDefault="00000000">
      <w:pPr>
        <w:pStyle w:val="Author-eListParagraph"/>
        <w:numPr>
          <w:ilvl w:val="0"/>
          <w:numId w:val="713"/>
        </w:numPr>
      </w:pPr>
      <w:r>
        <w:t>La ligne de foulée est la trajectoire la plus probable des pas d’une personne circulant sur un escalier.</w:t>
      </w:r>
    </w:p>
    <w:p w14:paraId="394518C7" w14:textId="77777777" w:rsidR="00DB2B68" w:rsidRDefault="00000000">
      <w:pPr>
        <w:pStyle w:val="Author-eListParagraph"/>
        <w:numPr>
          <w:ilvl w:val="0"/>
          <w:numId w:val="713"/>
        </w:numPr>
      </w:pPr>
      <w:r>
        <w:t>Le giron est la distance horizontale mesurée entre 2 contremarches successives ou entre le nez de deux marches successives. Il est mesuré sur la ligne de foulée.</w:t>
      </w:r>
    </w:p>
    <w:p w14:paraId="2AD46F39" w14:textId="77777777" w:rsidR="00DB2B68" w:rsidRDefault="00000000">
      <w:pPr>
        <w:pStyle w:val="Author-eListParagraph"/>
        <w:numPr>
          <w:ilvl w:val="0"/>
          <w:numId w:val="713"/>
        </w:numPr>
      </w:pPr>
      <w:r>
        <w:t>Le nez est la distance horizontale entre l'avant de la marche et la face avant de la contremarche ou le bord arrière de la marche inférieure (en l'absence de contremarche). Le nez de la marche est mesuré perpendiculairement à l'avant de la marche.</w:t>
      </w:r>
    </w:p>
    <w:p w14:paraId="32BBAAE2" w14:textId="77777777" w:rsidR="00DB2B68" w:rsidRDefault="00000000">
      <w:pPr>
        <w:pStyle w:val="Author-eListParagraph"/>
        <w:numPr>
          <w:ilvl w:val="0"/>
          <w:numId w:val="713"/>
        </w:numPr>
      </w:pPr>
      <w:r>
        <w:t>La marche palière ou plaquette d'arrivée est la dernière marche d'un escalier ou d'une volée d'escalier, dont la face supérieure se situe au même niveau que le plancher ou le palier.</w:t>
      </w:r>
    </w:p>
    <w:p w14:paraId="64977D63" w14:textId="77777777" w:rsidR="00DB2B68" w:rsidRDefault="00000000">
      <w:pPr>
        <w:pStyle w:val="Author-eListParagraph"/>
        <w:numPr>
          <w:ilvl w:val="0"/>
          <w:numId w:val="713"/>
        </w:numPr>
      </w:pPr>
      <w:r>
        <w:t>Le garde-carreau est la pièce qui relie le bord du palier et la première contremarche de la volée montante suivante. La surface du garde-carreau se situe au même niveau que le palier.</w:t>
      </w:r>
    </w:p>
    <w:p w14:paraId="22B21E47" w14:textId="77777777" w:rsidR="00DB2B68" w:rsidRDefault="00000000">
      <w:pPr>
        <w:jc w:val="both"/>
      </w:pPr>
      <w:r>
        <w:rPr>
          <w:i/>
          <w:u w:val="single"/>
        </w:rPr>
        <w:lastRenderedPageBreak/>
        <w:t>Rampes - Balustrades</w:t>
      </w:r>
    </w:p>
    <w:p w14:paraId="26403F12" w14:textId="77777777" w:rsidR="00DB2B68" w:rsidRDefault="00000000">
      <w:pPr>
        <w:jc w:val="both"/>
      </w:pPr>
      <w:r>
        <w:t>La rampe (ou balustrade) offre un soutien pour gravir l'escalier et protège l'utilisateur contre les chutes. Une distinction est faite entre les rampes murales (ou mains-courantes) et la rampe principale qui se situe du côté ouvert de l'escalier. La rampe principale se compose d'une main-courante, reliée au limon à l'aide de montants (appelés balustres) disposés avec un écartement régulier entre d’éventuels poteaux principaux (les balustres peuvent éventuellement être remplacés par des panneaux).</w:t>
      </w:r>
    </w:p>
    <w:p w14:paraId="09C04EA3" w14:textId="77777777" w:rsidR="00DB2B68" w:rsidRDefault="00000000">
      <w:pPr>
        <w:jc w:val="both"/>
      </w:pPr>
      <w:r>
        <w:t xml:space="preserve">Renvoi au sous-titre </w:t>
      </w:r>
      <w:hyperlink w:anchor="190" w:history="1">
        <w:r>
          <w:rPr>
            <w:color w:val="0000EE"/>
          </w:rPr>
          <w:t>23.32 Garde-corps et rampes métalliques</w:t>
        </w:r>
      </w:hyperlink>
      <w:r>
        <w:t xml:space="preserve"> pour les rampes et mains courantes.</w:t>
      </w:r>
    </w:p>
    <w:p w14:paraId="3195866D" w14:textId="77777777" w:rsidR="00DB2B68" w:rsidRDefault="00000000">
      <w:pPr>
        <w:pStyle w:val="pheading"/>
      </w:pPr>
      <w:r>
        <w:t>MATÉRIAUX</w:t>
      </w:r>
    </w:p>
    <w:p w14:paraId="5052DAD0" w14:textId="77777777" w:rsidR="00DB2B68" w:rsidRDefault="00000000">
      <w:pPr>
        <w:jc w:val="both"/>
      </w:pPr>
      <w:r>
        <w:rPr>
          <w:b/>
        </w:rPr>
        <w:t>Matériaux</w:t>
      </w:r>
    </w:p>
    <w:p w14:paraId="15A147E3" w14:textId="77777777" w:rsidR="00DB2B68" w:rsidRDefault="00000000">
      <w:pPr>
        <w:jc w:val="both"/>
      </w:pPr>
      <w:r>
        <w:t>Les éléments principaux (limon, rampes, etc.) qui composent l’escalier sont métalliques.</w:t>
      </w:r>
    </w:p>
    <w:p w14:paraId="674F9FA3" w14:textId="77777777" w:rsidR="00DB2B68" w:rsidRDefault="00000000">
      <w:pPr>
        <w:jc w:val="both"/>
      </w:pPr>
      <w:r>
        <w:rPr>
          <w:b/>
        </w:rPr>
        <w:t>Stabilité - sollicitations</w:t>
      </w:r>
    </w:p>
    <w:p w14:paraId="74AC17B0" w14:textId="77777777" w:rsidR="00DB2B68" w:rsidRDefault="00000000">
      <w:pPr>
        <w:jc w:val="both"/>
      </w:pPr>
      <w:r>
        <w:rPr>
          <w:i/>
          <w:u w:val="single"/>
        </w:rPr>
        <w:t>Escalier</w:t>
      </w:r>
    </w:p>
    <w:p w14:paraId="0915B539" w14:textId="77777777" w:rsidR="00DB2B68" w:rsidRDefault="00000000">
      <w:pPr>
        <w:jc w:val="both"/>
      </w:pPr>
      <w:r>
        <w:t>Conformément à l'Eurocode 1 [NBN EN 1991-1-1] et son annexe nationale [NBN EN 1991-1-1 ANB] :</w:t>
      </w:r>
    </w:p>
    <w:p w14:paraId="20D60FF8" w14:textId="77777777" w:rsidR="00DB2B68" w:rsidRDefault="00000000">
      <w:pPr>
        <w:pStyle w:val="Author-eListParagraph"/>
        <w:numPr>
          <w:ilvl w:val="0"/>
          <w:numId w:val="714"/>
        </w:numPr>
      </w:pPr>
      <w:r>
        <w:t>Charges uniformément réparties suivant la catégorie d’usage.</w:t>
      </w:r>
    </w:p>
    <w:p w14:paraId="4F2F62C7" w14:textId="77777777" w:rsidR="00DB2B68" w:rsidRDefault="00000000">
      <w:pPr>
        <w:pStyle w:val="Author-eListParagraph"/>
        <w:numPr>
          <w:ilvl w:val="0"/>
          <w:numId w:val="714"/>
        </w:numPr>
      </w:pPr>
      <w:r>
        <w:rPr>
          <w:u w:val="single"/>
        </w:rPr>
        <w:t>OU</w:t>
      </w:r>
      <w:r>
        <w:t xml:space="preserve"> Charges concentrées : suivant la catégorie d’usage, sur une superficie de 0,05 x 0,05 m, indépendamment des charges uniformément réparties.</w:t>
      </w:r>
    </w:p>
    <w:p w14:paraId="67ED4348" w14:textId="77777777" w:rsidR="00DB2B68" w:rsidRDefault="00000000">
      <w:pPr>
        <w:jc w:val="both"/>
      </w:pPr>
      <w:r>
        <w:t>Les choix sont précisés dans les articles, sous « catégorie d’usage ».</w:t>
      </w:r>
    </w:p>
    <w:p w14:paraId="143B1CF1" w14:textId="77777777" w:rsidR="00DB2B68" w:rsidRDefault="00000000">
      <w:pPr>
        <w:jc w:val="both"/>
      </w:pPr>
      <w:r>
        <w:rPr>
          <w:b/>
        </w:rPr>
        <w:t>Sécurité incendie</w:t>
      </w:r>
    </w:p>
    <w:p w14:paraId="3AD1FFB9" w14:textId="77777777" w:rsidR="00DB2B68" w:rsidRDefault="00000000">
      <w:pPr>
        <w:jc w:val="both"/>
      </w:pPr>
      <w:r>
        <w:t>En matière de sécurité incendie, les escaliers doivent satisfaire aux:</w:t>
      </w:r>
    </w:p>
    <w:p w14:paraId="254C4290" w14:textId="77777777" w:rsidR="00DB2B68" w:rsidRDefault="00000000">
      <w:pPr>
        <w:pStyle w:val="Author-eListParagraph"/>
        <w:numPr>
          <w:ilvl w:val="0"/>
          <w:numId w:val="715"/>
        </w:numPr>
      </w:pPr>
      <w:r>
        <w:t>conditions prescrites dans l' [AR 1994-07-07] (et ses modificatifs), en fonction du type de bâtiment : R30 (bâtiment bas), R60 (bâtiment moyen ou élevé).</w:t>
      </w:r>
    </w:p>
    <w:p w14:paraId="79A2466E" w14:textId="77777777" w:rsidR="00DB2B68" w:rsidRDefault="00000000">
      <w:pPr>
        <w:pStyle w:val="Author-eListParagraph"/>
        <w:numPr>
          <w:ilvl w:val="0"/>
          <w:numId w:val="715"/>
        </w:numPr>
      </w:pPr>
      <w:r>
        <w:t>prescriptions régionales ou communautaires.</w:t>
      </w:r>
    </w:p>
    <w:p w14:paraId="6174EC09" w14:textId="77777777" w:rsidR="00DB2B68" w:rsidRDefault="00000000">
      <w:pPr>
        <w:pStyle w:val="Author-eListParagraph"/>
        <w:numPr>
          <w:ilvl w:val="0"/>
          <w:numId w:val="715"/>
        </w:numPr>
      </w:pPr>
      <w:r>
        <w:t>prescriptions du corps de pompiers local.</w:t>
      </w:r>
    </w:p>
    <w:p w14:paraId="5D8FFBB2" w14:textId="77777777" w:rsidR="00DB2B68" w:rsidRDefault="00000000">
      <w:pPr>
        <w:jc w:val="both"/>
      </w:pPr>
      <w:r>
        <w:t>Suivant les prescriptions du [SWL GSI/T1/C] :</w:t>
      </w:r>
    </w:p>
    <w:p w14:paraId="77B7C11D" w14:textId="77777777" w:rsidR="00DB2B68" w:rsidRDefault="00000000">
      <w:pPr>
        <w:pStyle w:val="Author-eListParagraph"/>
        <w:numPr>
          <w:ilvl w:val="0"/>
          <w:numId w:val="716"/>
        </w:numPr>
        <w:jc w:val="both"/>
      </w:pPr>
      <w:r>
        <w:t>Un escalier en acier doit rester en place sans subir de déformations excessives pendant le temps requis d’exposition au feu.</w:t>
      </w:r>
    </w:p>
    <w:p w14:paraId="5F78737D" w14:textId="77777777" w:rsidR="00DB2B68" w:rsidRDefault="00000000">
      <w:pPr>
        <w:pStyle w:val="Author-eListParagraph"/>
        <w:numPr>
          <w:ilvl w:val="0"/>
          <w:numId w:val="716"/>
        </w:numPr>
        <w:jc w:val="both"/>
      </w:pPr>
      <w:r>
        <w:t>Un escalier en aluminium ne présente pas de résistance au feu (l’aluminium fond à 600°C soit avant 30 minutes d’exposition au feu).</w:t>
      </w:r>
    </w:p>
    <w:p w14:paraId="2AF3694A" w14:textId="77777777" w:rsidR="00DB2B68" w:rsidRDefault="00000000">
      <w:pPr>
        <w:pStyle w:val="pheading"/>
      </w:pPr>
      <w:r>
        <w:t>EXÉCUTION / MISE EN ŒUVRE</w:t>
      </w:r>
    </w:p>
    <w:p w14:paraId="571AFE6B" w14:textId="77777777" w:rsidR="00DB2B68" w:rsidRDefault="00000000">
      <w:pPr>
        <w:jc w:val="both"/>
      </w:pPr>
      <w:r>
        <w:rPr>
          <w:b/>
        </w:rPr>
        <w:t>Timing - Influence de l'environnement - Mesures de protection</w:t>
      </w:r>
    </w:p>
    <w:p w14:paraId="419F3419" w14:textId="77777777" w:rsidR="00DB2B68" w:rsidRDefault="00000000">
      <w:pPr>
        <w:jc w:val="both"/>
      </w:pPr>
      <w:r>
        <w:t>Les escaliers ne peuvent être placés que lorsque l'auteur de projet et l'installateur de l'escalier estiment, en concertation mutuelle, que les conditions de mise en œuvre sont favorables.</w:t>
      </w:r>
    </w:p>
    <w:p w14:paraId="139E8C22" w14:textId="77777777" w:rsidR="00DB2B68" w:rsidRDefault="00000000">
      <w:pPr>
        <w:jc w:val="both"/>
      </w:pPr>
      <w:r>
        <w:t>Les escaliers et/ou les éléments qui le constituent sont autant que possible préfabriqués en atelier et acheminés en un seul lot sur le chantier. Lors du transport, les mesures nécessaires sont prises pour prévenir toute dégradation au bâtiment, aux escaliers ou aux éléments proprement dits. Ils sont immédiatement entreposés dans un endroit protégé et aéré.</w:t>
      </w:r>
    </w:p>
    <w:p w14:paraId="4472C127" w14:textId="77777777" w:rsidR="00DB2B68" w:rsidRDefault="00000000">
      <w:pPr>
        <w:jc w:val="both"/>
      </w:pPr>
      <w:r>
        <w:t>L'entrepreneur veille à ce que, après leur mise en œuvre, les escaliers soient dûment protégés contre les dégradations et l'encrassement pendant la durée des travaux de construction.</w:t>
      </w:r>
    </w:p>
    <w:p w14:paraId="0168D5FB" w14:textId="77777777" w:rsidR="00DB2B68" w:rsidRDefault="00000000">
      <w:pPr>
        <w:jc w:val="both"/>
      </w:pPr>
      <w:r>
        <w:rPr>
          <w:b/>
        </w:rPr>
        <w:t>Dessin d'étude et d'exécution</w:t>
      </w:r>
    </w:p>
    <w:p w14:paraId="2DE5A55F" w14:textId="77777777" w:rsidR="00DB2B68" w:rsidRDefault="00000000">
      <w:pPr>
        <w:jc w:val="both"/>
      </w:pPr>
      <w:r>
        <w:t>Les escaliers sont exécutés conformément aux formes indiquées sur les plans et les coupes (escaliers droits, escaliers droits avec palier à quartier tournant, escaliers à paliers droits, escaliers à quartier tournant, escaliers tournants, escaliers en colimaçon, etc.) et selon les dessins de détail annexés au cahier spécial des charges.</w:t>
      </w:r>
    </w:p>
    <w:p w14:paraId="5E060747" w14:textId="77777777" w:rsidR="00DB2B68" w:rsidRDefault="00000000">
      <w:pPr>
        <w:jc w:val="both"/>
      </w:pPr>
      <w:r>
        <w:t>Lorsque le dossier d'adjudication ne contient pas de dessins de détail spécifiques, la forme de l'escalier et les dimensions de bases sont données à titre indicatif.</w:t>
      </w:r>
    </w:p>
    <w:p w14:paraId="28520500" w14:textId="77777777" w:rsidR="00DB2B68" w:rsidRDefault="00000000">
      <w:pPr>
        <w:jc w:val="both"/>
      </w:pPr>
      <w:r>
        <w:lastRenderedPageBreak/>
        <w:t>L'entrepreneur est tenu de contrôler les dimensions sur place et de vérifier si les escaliers et/ou les éléments peuvent être exécutés selon les plans soumis. Lorsque cela s'avère impossible, il en avertit l'auteur de projet le plus rapidement possible.</w:t>
      </w:r>
    </w:p>
    <w:p w14:paraId="6D9696D5" w14:textId="77777777" w:rsidR="00DB2B68" w:rsidRDefault="00000000">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14:paraId="45254E4F" w14:textId="77777777" w:rsidR="00DB2B68" w:rsidRDefault="00000000">
      <w:pPr>
        <w:jc w:val="both"/>
      </w:pPr>
      <w:r>
        <w:t>L’entrepreneur est responsable de la réalisation d'un module du pas ergonomique et du balancement correct des marches, conformément aux documents de référence des règles de bonne pratique.</w:t>
      </w:r>
    </w:p>
    <w:p w14:paraId="4339F9F3" w14:textId="77777777" w:rsidR="00DB2B68" w:rsidRDefault="00000000">
      <w:pPr>
        <w:jc w:val="both"/>
      </w:pPr>
      <w:r>
        <w:t>L’entrepreneur soumet à l’approbation de l’auteur de projet le plan des éventuelles coupes réalisées dans l’ouvrage afin de permettre sa fabrication, son acheminement sur site et son placement.</w:t>
      </w:r>
    </w:p>
    <w:p w14:paraId="2236C389" w14:textId="77777777" w:rsidR="00DB2B68" w:rsidRDefault="00000000">
      <w:pPr>
        <w:jc w:val="both"/>
      </w:pPr>
      <w:r>
        <w:rPr>
          <w:b/>
        </w:rPr>
        <w:t>Module du pas</w:t>
      </w:r>
    </w:p>
    <w:p w14:paraId="29F81398" w14:textId="77777777" w:rsidR="00DB2B68" w:rsidRDefault="00000000">
      <w:pPr>
        <w:jc w:val="both"/>
      </w:pPr>
      <w:r>
        <w:t>Pour la conception des escaliers, il y a lieu de tenir compte des principes élémentaires du module du pas (M=570 à 630 mm) et ce, selon la formule M=2H+G, où G est le giron et H la hauteur </w:t>
      </w:r>
    </w:p>
    <w:p w14:paraId="2D148A3B" w14:textId="77777777" w:rsidR="00DB2B68" w:rsidRDefault="00000000">
      <w:pPr>
        <w:jc w:val="both"/>
      </w:pPr>
      <w:r>
        <w:t>Dans les habitations, les girons inférieurs à 220 mm ne sont pas admissibles (sauf pour les escaliers de cave ou de grenier) ; un giron de 225 à 250 mm est souhaitable en combinaison avec une hauteur de marche de 175 à 190 mm, suivant les rapports dans le tableau des escaliers de la [NIT 198].</w:t>
      </w:r>
    </w:p>
    <w:p w14:paraId="0807D560" w14:textId="77777777" w:rsidR="00DB2B68" w:rsidRDefault="00000000">
      <w:pPr>
        <w:jc w:val="both"/>
      </w:pPr>
      <w:r>
        <w:t>Dans les bâtiments publics, les escaliers doivent satisfaire notamment aux conditions prescrites dans le [RGPT], le « code du bien-être au travail » ou l’[AR 1994-07-07], entre autres :</w:t>
      </w:r>
    </w:p>
    <w:p w14:paraId="2F91727B" w14:textId="77777777" w:rsidR="00DB2B68" w:rsidRDefault="00000000">
      <w:pPr>
        <w:pStyle w:val="Author-eListParagraph"/>
        <w:numPr>
          <w:ilvl w:val="0"/>
          <w:numId w:val="717"/>
        </w:numPr>
      </w:pPr>
      <w:r>
        <w:t>Les escaliers ne contiennent pas de parties tournantes (pas d'escaliers en colimaçon ou tournants).</w:t>
      </w:r>
    </w:p>
    <w:p w14:paraId="79E1B1C5" w14:textId="77777777" w:rsidR="00DB2B68" w:rsidRDefault="00000000">
      <w:pPr>
        <w:pStyle w:val="Author-eListParagraph"/>
        <w:numPr>
          <w:ilvl w:val="0"/>
          <w:numId w:val="717"/>
        </w:numPr>
      </w:pPr>
      <w:r>
        <w:t>Le nez est de maximum 50 mm.</w:t>
      </w:r>
    </w:p>
    <w:p w14:paraId="626DD1A5" w14:textId="77777777" w:rsidR="00DB2B68" w:rsidRDefault="00000000">
      <w:pPr>
        <w:pStyle w:val="Author-eListParagraph"/>
        <w:numPr>
          <w:ilvl w:val="0"/>
          <w:numId w:val="717"/>
        </w:numPr>
      </w:pPr>
      <w:r>
        <w:t>Les escaliers sont divisés par des paliers, de façon telle que chaque volée ne compte pas plus de 17 marches.</w:t>
      </w:r>
    </w:p>
    <w:p w14:paraId="2A10832E" w14:textId="77777777" w:rsidR="00DB2B68" w:rsidRDefault="00000000">
      <w:pPr>
        <w:pStyle w:val="Author-eListParagraph"/>
        <w:numPr>
          <w:ilvl w:val="0"/>
          <w:numId w:val="717"/>
        </w:numPr>
      </w:pPr>
      <w:r>
        <w:t>Les escaliers ont des contremarches pleines.</w:t>
      </w:r>
    </w:p>
    <w:p w14:paraId="56854630" w14:textId="77777777" w:rsidR="00DB2B68" w:rsidRDefault="00000000">
      <w:pPr>
        <w:pStyle w:val="Author-eListParagraph"/>
        <w:numPr>
          <w:ilvl w:val="0"/>
          <w:numId w:val="717"/>
        </w:numPr>
      </w:pPr>
      <w:r>
        <w:t>Un giron de minimum 200 mm de profondeur en tout point.</w:t>
      </w:r>
    </w:p>
    <w:p w14:paraId="51E28E68" w14:textId="77777777" w:rsidR="00DB2B68" w:rsidRDefault="00000000">
      <w:pPr>
        <w:pStyle w:val="Author-eListParagraph"/>
        <w:numPr>
          <w:ilvl w:val="0"/>
          <w:numId w:val="717"/>
        </w:numPr>
      </w:pPr>
      <w:r>
        <w:t>Une largeur utile d’au moins 80 cm et au moins la largeur utile calculée selon l'annexe technique 1 de l’[AR 1994-07-07] en fonction du nombre de personnes.</w:t>
      </w:r>
    </w:p>
    <w:p w14:paraId="7B7E05FE" w14:textId="77777777" w:rsidR="00DB2B68" w:rsidRDefault="00000000">
      <w:pPr>
        <w:jc w:val="both"/>
      </w:pPr>
      <w:r>
        <w:rPr>
          <w:b/>
        </w:rPr>
        <w:t>Balancement des marches</w:t>
      </w:r>
    </w:p>
    <w:p w14:paraId="2CB8D5CA" w14:textId="77777777" w:rsidR="00DB2B68" w:rsidRDefault="00000000">
      <w:pPr>
        <w:jc w:val="both"/>
      </w:pPr>
      <w:r>
        <w:t>Le balancement des escaliers se fait selon les méthodes admissibles mentionnées dans la [NIT 198] § 5.2, en particulier :</w:t>
      </w:r>
    </w:p>
    <w:p w14:paraId="49EE6B3E" w14:textId="77777777" w:rsidR="00DB2B68" w:rsidRDefault="00000000">
      <w:pPr>
        <w:pStyle w:val="Author-eListParagraph"/>
        <w:numPr>
          <w:ilvl w:val="0"/>
          <w:numId w:val="718"/>
        </w:numPr>
      </w:pPr>
      <w:r>
        <w:t>5.2.2.1 Escaliers en colimaçon ronds ou rectangulaires</w:t>
      </w:r>
    </w:p>
    <w:p w14:paraId="5A950097" w14:textId="77777777" w:rsidR="00DB2B68" w:rsidRDefault="00000000">
      <w:pPr>
        <w:pStyle w:val="Author-eListParagraph"/>
        <w:numPr>
          <w:ilvl w:val="0"/>
          <w:numId w:val="718"/>
        </w:numPr>
      </w:pPr>
      <w:r>
        <w:t>5.2.3.1 Méthode de balancement des marches pour les escaliers à quartier tournant et les escaliers tournants.</w:t>
      </w:r>
    </w:p>
    <w:p w14:paraId="21447D3F" w14:textId="77777777" w:rsidR="00DB2B68" w:rsidRDefault="00000000">
      <w:pPr>
        <w:pStyle w:val="Author-eListParagraph"/>
        <w:numPr>
          <w:ilvl w:val="0"/>
          <w:numId w:val="718"/>
        </w:numPr>
      </w:pPr>
      <w:r>
        <w:t>5.2.3.4 Méthode pour obtenir un limon intérieur droit, les marches balancées se situant uniquement dans le premier ou dernier quartier.</w:t>
      </w:r>
    </w:p>
    <w:p w14:paraId="5B858BF0" w14:textId="77777777" w:rsidR="00DB2B68" w:rsidRDefault="00000000">
      <w:pPr>
        <w:pStyle w:val="Author-eListParagraph"/>
        <w:numPr>
          <w:ilvl w:val="0"/>
          <w:numId w:val="718"/>
        </w:numPr>
      </w:pPr>
      <w:r>
        <w:t>5.2.3.6 Méthode CE pour les escaliers à quartier tournant.</w:t>
      </w:r>
    </w:p>
    <w:p w14:paraId="2D565CEA" w14:textId="77777777" w:rsidR="00DB2B68" w:rsidRDefault="00000000">
      <w:pPr>
        <w:jc w:val="both"/>
      </w:pPr>
      <w:r>
        <w:rPr>
          <w:b/>
        </w:rPr>
        <w:t>Rampes - Mains-courantes</w:t>
      </w:r>
    </w:p>
    <w:p w14:paraId="653757F8" w14:textId="77777777" w:rsidR="00DB2B68" w:rsidRDefault="00000000">
      <w:pPr>
        <w:jc w:val="both"/>
      </w:pPr>
      <w:r>
        <w:t xml:space="preserve">Les rampes et mains-courantes sont décrits au sous-titre </w:t>
      </w:r>
      <w:hyperlink w:anchor="190" w:history="1">
        <w:r>
          <w:rPr>
            <w:color w:val="0000EE"/>
          </w:rPr>
          <w:t>23.32 Garde-corps et rampes métalliques</w:t>
        </w:r>
      </w:hyperlink>
      <w:r>
        <w:t xml:space="preserve"> et articles qui en découlent.</w:t>
      </w:r>
    </w:p>
    <w:p w14:paraId="1736B291" w14:textId="77777777" w:rsidR="00DB2B68" w:rsidRDefault="00000000">
      <w:pPr>
        <w:jc w:val="both"/>
      </w:pPr>
      <w:r>
        <w:t>Elles ne sont pas comprises dans le présent article, sauf contre-indication dans le cahier spécial des charges aux articles concernés ci-dessus.</w:t>
      </w:r>
    </w:p>
    <w:p w14:paraId="286D269D" w14:textId="77777777" w:rsidR="00DB2B68" w:rsidRDefault="00000000">
      <w:pPr>
        <w:jc w:val="both"/>
      </w:pPr>
      <w:r>
        <w:rPr>
          <w:b/>
        </w:rPr>
        <w:t>Hauteur libre</w:t>
      </w:r>
    </w:p>
    <w:p w14:paraId="7E6F28E0" w14:textId="77777777" w:rsidR="00DB2B68" w:rsidRDefault="00000000">
      <w:pPr>
        <w:jc w:val="both"/>
      </w:pPr>
      <w:r>
        <w:t>Une hauteur libre d'au moins 220 cm est respectée au-dessus d'un plan formé par deux lignes parallèles au nez des marches et situées à une distance d'au moins 150 mm, mesurée à l'horizontale.</w:t>
      </w:r>
    </w:p>
    <w:p w14:paraId="09802366" w14:textId="77777777" w:rsidR="00DB2B68" w:rsidRDefault="00000000">
      <w:pPr>
        <w:jc w:val="both"/>
      </w:pPr>
      <w:r>
        <w:t>Lorsqu'il est impossible de respecter cette hauteur libre, l'entrepreneur en avertit l'auteur de projet le plus rapidement possible. </w:t>
      </w:r>
    </w:p>
    <w:p w14:paraId="13DAA3A6" w14:textId="77777777" w:rsidR="00DB2B68" w:rsidRDefault="00000000">
      <w:pPr>
        <w:jc w:val="both"/>
      </w:pPr>
      <w:r>
        <w:rPr>
          <w:b/>
        </w:rPr>
        <w:t>Accessibilité aux personnes à mobilité réduite (PMR)</w:t>
      </w:r>
    </w:p>
    <w:p w14:paraId="45C4D57F" w14:textId="77777777" w:rsidR="00DB2B68" w:rsidRDefault="00000000">
      <w:pPr>
        <w:jc w:val="both"/>
      </w:pPr>
      <w:r>
        <w:lastRenderedPageBreak/>
        <w:t>Suivant prescriptions du guide [SWL CALA] et des normes [BS 8300] et [BS 8300]:</w:t>
      </w:r>
    </w:p>
    <w:p w14:paraId="2B3F39D6" w14:textId="77777777" w:rsidR="00DB2B68" w:rsidRDefault="00000000">
      <w:pPr>
        <w:jc w:val="both"/>
      </w:pPr>
      <w:r>
        <w:rPr>
          <w:i/>
          <w:u w:val="single"/>
        </w:rPr>
        <w:t>Général :</w:t>
      </w:r>
    </w:p>
    <w:p w14:paraId="339A9245" w14:textId="77777777" w:rsidR="00DB2B68" w:rsidRDefault="00000000">
      <w:pPr>
        <w:pStyle w:val="Author-eListParagraph"/>
        <w:numPr>
          <w:ilvl w:val="0"/>
          <w:numId w:val="719"/>
        </w:numPr>
      </w:pPr>
      <w:r>
        <w:t>Pente [Buildwise Article Dossier (2004/4.06)] : entre 19° et 33°.</w:t>
      </w:r>
    </w:p>
    <w:p w14:paraId="4BEA3E80" w14:textId="77777777" w:rsidR="00DB2B68" w:rsidRDefault="00000000">
      <w:pPr>
        <w:pStyle w:val="Author-eListParagraph"/>
        <w:numPr>
          <w:ilvl w:val="0"/>
          <w:numId w:val="719"/>
        </w:numPr>
      </w:pPr>
      <w:r>
        <w:t>Géométrie [Buildwise Article Dossier (2004/4.06)]: éviter les escaliers en colimaçon et l’utilisation de la méthode de balancement des marches et préférer à un escalier droit ou à un escalier à paliers intermédiaires.</w:t>
      </w:r>
    </w:p>
    <w:p w14:paraId="746CA1BE" w14:textId="77777777" w:rsidR="00DB2B68" w:rsidRDefault="00000000">
      <w:pPr>
        <w:pStyle w:val="Author-eListParagraph"/>
        <w:numPr>
          <w:ilvl w:val="0"/>
          <w:numId w:val="719"/>
        </w:numPr>
      </w:pPr>
      <w:r>
        <w:t>Echappée (= hauteur libre) : 220 cm minimum.</w:t>
      </w:r>
    </w:p>
    <w:p w14:paraId="0685EFC9" w14:textId="77777777" w:rsidR="00DB2B68" w:rsidRDefault="00000000">
      <w:pPr>
        <w:pStyle w:val="Author-eListParagraph"/>
        <w:numPr>
          <w:ilvl w:val="0"/>
          <w:numId w:val="719"/>
        </w:numPr>
      </w:pPr>
      <w:r>
        <w:t xml:space="preserve">Largeur de libre passage, en cas de : </w:t>
      </w:r>
    </w:p>
    <w:p w14:paraId="5B4CABF0" w14:textId="77777777" w:rsidR="00DB2B68" w:rsidRDefault="00000000">
      <w:pPr>
        <w:pStyle w:val="Author-eListParagraph"/>
        <w:numPr>
          <w:ilvl w:val="1"/>
          <w:numId w:val="720"/>
        </w:numPr>
      </w:pPr>
      <w:r>
        <w:t>Installation d’un fauteuil monte-escalier : 70 cm minimum.</w:t>
      </w:r>
    </w:p>
    <w:p w14:paraId="276CFFB0" w14:textId="77777777" w:rsidR="00DB2B68" w:rsidRDefault="00000000">
      <w:pPr>
        <w:pStyle w:val="Author-eListParagraph"/>
        <w:numPr>
          <w:ilvl w:val="1"/>
          <w:numId w:val="720"/>
        </w:numPr>
      </w:pPr>
      <w:r>
        <w:t>Installation d’une plateforme [Buildwise Article Dossier (2004/4.06)]: 90 cm minimum.</w:t>
      </w:r>
    </w:p>
    <w:p w14:paraId="1B99D330" w14:textId="77777777" w:rsidR="00DB2B68" w:rsidRDefault="00000000">
      <w:pPr>
        <w:pStyle w:val="Author-eListParagraph"/>
        <w:numPr>
          <w:ilvl w:val="1"/>
          <w:numId w:val="720"/>
        </w:numPr>
      </w:pPr>
      <w:r>
        <w:t>Evacuation manuelle [NFPA 101 Life Safety Code Handbook] : 122 cm minimum.</w:t>
      </w:r>
    </w:p>
    <w:p w14:paraId="7747A084" w14:textId="77777777" w:rsidR="00DB2B68" w:rsidRDefault="00000000">
      <w:pPr>
        <w:pStyle w:val="Author-eListParagraph"/>
        <w:numPr>
          <w:ilvl w:val="1"/>
          <w:numId w:val="720"/>
        </w:numPr>
      </w:pPr>
      <w:r>
        <w:t>Utilisation d’une chaise d’évacuation : à établir en fonction des dimensions de la chaise.</w:t>
      </w:r>
    </w:p>
    <w:p w14:paraId="11E5DE1E" w14:textId="77777777" w:rsidR="00DB2B68" w:rsidRDefault="00000000">
      <w:pPr>
        <w:jc w:val="both"/>
      </w:pPr>
      <w:r>
        <w:rPr>
          <w:i/>
          <w:u w:val="single"/>
        </w:rPr>
        <w:t>Marches et contremarches :</w:t>
      </w:r>
    </w:p>
    <w:p w14:paraId="3A86E99C" w14:textId="77777777" w:rsidR="00DB2B68" w:rsidRDefault="00000000">
      <w:pPr>
        <w:pStyle w:val="Author-eListParagraph"/>
        <w:numPr>
          <w:ilvl w:val="0"/>
          <w:numId w:val="721"/>
        </w:numPr>
      </w:pPr>
      <w:r>
        <w:t>Nombre de marches par volée : 15 à 20 maximum.</w:t>
      </w:r>
    </w:p>
    <w:p w14:paraId="64BCCECD" w14:textId="77777777" w:rsidR="00DB2B68" w:rsidRDefault="00000000">
      <w:pPr>
        <w:pStyle w:val="Author-eListParagraph"/>
        <w:numPr>
          <w:ilvl w:val="0"/>
          <w:numId w:val="721"/>
        </w:numPr>
      </w:pPr>
      <w:r>
        <w:t>Hauteur des marches (H) : 18 cm maximum.</w:t>
      </w:r>
    </w:p>
    <w:p w14:paraId="3A56731A" w14:textId="77777777" w:rsidR="00DB2B68" w:rsidRDefault="00000000">
      <w:pPr>
        <w:pStyle w:val="Author-eListParagraph"/>
        <w:numPr>
          <w:ilvl w:val="0"/>
          <w:numId w:val="721"/>
        </w:numPr>
      </w:pPr>
      <w:r>
        <w:t>Giron (G) : 25 cm minimum.</w:t>
      </w:r>
    </w:p>
    <w:p w14:paraId="218A841D" w14:textId="77777777" w:rsidR="00DB2B68" w:rsidRDefault="00000000">
      <w:pPr>
        <w:pStyle w:val="Author-eListParagraph"/>
        <w:numPr>
          <w:ilvl w:val="0"/>
          <w:numId w:val="721"/>
        </w:numPr>
      </w:pPr>
      <w:r>
        <w:t>Type de marches : pleines, antidérapantes.</w:t>
      </w:r>
    </w:p>
    <w:p w14:paraId="59FB13F1" w14:textId="77777777" w:rsidR="00DB2B68" w:rsidRDefault="00000000">
      <w:pPr>
        <w:pStyle w:val="Author-eListParagraph"/>
        <w:numPr>
          <w:ilvl w:val="0"/>
          <w:numId w:val="721"/>
        </w:numPr>
      </w:pPr>
      <w:r>
        <w:t>Type de contremarches : pleines, profil oblique.</w:t>
      </w:r>
    </w:p>
    <w:p w14:paraId="1038E25D" w14:textId="77777777" w:rsidR="00DB2B68" w:rsidRDefault="00000000">
      <w:pPr>
        <w:jc w:val="both"/>
      </w:pPr>
      <w:r>
        <w:rPr>
          <w:i/>
          <w:u w:val="single"/>
        </w:rPr>
        <w:t xml:space="preserve"> Nez de marches :</w:t>
      </w:r>
    </w:p>
    <w:p w14:paraId="7150CD25" w14:textId="77777777" w:rsidR="00DB2B68" w:rsidRDefault="00000000">
      <w:pPr>
        <w:pStyle w:val="Author-eListParagraph"/>
        <w:numPr>
          <w:ilvl w:val="0"/>
          <w:numId w:val="722"/>
        </w:numPr>
      </w:pPr>
      <w:r>
        <w:t>Forme : non saillants.</w:t>
      </w:r>
    </w:p>
    <w:p w14:paraId="43DAE998" w14:textId="77777777" w:rsidR="00DB2B68" w:rsidRDefault="00000000">
      <w:pPr>
        <w:pStyle w:val="Author-eListParagraph"/>
        <w:numPr>
          <w:ilvl w:val="0"/>
          <w:numId w:val="722"/>
        </w:numPr>
      </w:pPr>
      <w:r>
        <w:t>Projection : 2,5 cm maximum.</w:t>
      </w:r>
    </w:p>
    <w:p w14:paraId="40404E73" w14:textId="77777777" w:rsidR="00DB2B68" w:rsidRDefault="00000000">
      <w:pPr>
        <w:pStyle w:val="Author-eListParagraph"/>
        <w:numPr>
          <w:ilvl w:val="0"/>
          <w:numId w:val="722"/>
        </w:numPr>
      </w:pPr>
      <w:r>
        <w:t xml:space="preserve">Indicateurs visuels sur les nez de marches : </w:t>
      </w:r>
    </w:p>
    <w:p w14:paraId="7E0E70A2" w14:textId="77777777" w:rsidR="00DB2B68" w:rsidRDefault="00000000">
      <w:pPr>
        <w:pStyle w:val="Author-eListParagraph"/>
        <w:numPr>
          <w:ilvl w:val="1"/>
          <w:numId w:val="723"/>
        </w:numPr>
      </w:pPr>
      <w:r>
        <w:t>Localisation : de préférence, sur chaque marche ; sinon, sur la première et la dernière marche de chaque volée.</w:t>
      </w:r>
    </w:p>
    <w:p w14:paraId="0B03F569" w14:textId="77777777" w:rsidR="00DB2B68" w:rsidRDefault="00000000">
      <w:pPr>
        <w:pStyle w:val="Author-eListParagraph"/>
        <w:numPr>
          <w:ilvl w:val="1"/>
          <w:numId w:val="723"/>
        </w:numPr>
      </w:pPr>
      <w:r>
        <w:t>Largeur : continus sur toute la largeur des marches.</w:t>
      </w:r>
    </w:p>
    <w:p w14:paraId="31EA68AE" w14:textId="77777777" w:rsidR="00DB2B68" w:rsidRDefault="00000000">
      <w:pPr>
        <w:pStyle w:val="Author-eListParagraph"/>
        <w:numPr>
          <w:ilvl w:val="1"/>
          <w:numId w:val="723"/>
        </w:numPr>
      </w:pPr>
      <w:r>
        <w:t>Revêtement : antidérapants.</w:t>
      </w:r>
    </w:p>
    <w:p w14:paraId="08BEA325" w14:textId="77777777" w:rsidR="00DB2B68" w:rsidRDefault="00000000">
      <w:pPr>
        <w:pStyle w:val="Author-eListParagraph"/>
        <w:numPr>
          <w:ilvl w:val="1"/>
          <w:numId w:val="723"/>
        </w:numPr>
      </w:pPr>
      <w:r>
        <w:t>Profondeur : 4 cm minimum sur la marche, peut redescendre sur la contremarche.</w:t>
      </w:r>
    </w:p>
    <w:p w14:paraId="1485844E" w14:textId="77777777" w:rsidR="00DB2B68" w:rsidRDefault="00000000">
      <w:pPr>
        <w:pStyle w:val="Author-eListParagraph"/>
        <w:numPr>
          <w:ilvl w:val="1"/>
          <w:numId w:val="723"/>
        </w:numPr>
      </w:pPr>
      <w:r>
        <w:t>Contraste : différence de coefficient de réflexion (LRV) entre les indicateurs et les marches de minimum 60%.</w:t>
      </w:r>
    </w:p>
    <w:p w14:paraId="61317136" w14:textId="77777777" w:rsidR="00DB2B68" w:rsidRDefault="00000000">
      <w:pPr>
        <w:jc w:val="both"/>
      </w:pPr>
      <w:r>
        <w:rPr>
          <w:i/>
          <w:u w:val="single"/>
        </w:rPr>
        <w:t> Paliers :</w:t>
      </w:r>
    </w:p>
    <w:p w14:paraId="40D10C65" w14:textId="77777777" w:rsidR="00DB2B68" w:rsidRDefault="00000000">
      <w:pPr>
        <w:pStyle w:val="Author-eListParagraph"/>
        <w:numPr>
          <w:ilvl w:val="0"/>
          <w:numId w:val="724"/>
        </w:numPr>
      </w:pPr>
      <w:r>
        <w:t>Contraste : différence de coefficient de réflexion (LRV) entre les paliers et les marches de minimum 60% .</w:t>
      </w:r>
    </w:p>
    <w:p w14:paraId="2ED5481F" w14:textId="77777777" w:rsidR="00DB2B68" w:rsidRDefault="00000000">
      <w:pPr>
        <w:jc w:val="both"/>
      </w:pPr>
      <w:r>
        <w:rPr>
          <w:i/>
          <w:u w:val="single"/>
        </w:rPr>
        <w:t>Dalles d’éveil à la vigilance (ou dalles podotactiles) :</w:t>
      </w:r>
    </w:p>
    <w:p w14:paraId="473CA766" w14:textId="77777777" w:rsidR="00DB2B68" w:rsidRDefault="00000000">
      <w:pPr>
        <w:pStyle w:val="Author-eListParagraph"/>
        <w:numPr>
          <w:ilvl w:val="0"/>
          <w:numId w:val="725"/>
        </w:numPr>
      </w:pPr>
      <w:r>
        <w:t>Position : sur les paliers, au-dessus et en-dessous de chaque volée, à 50 cm du nez de la première et de la dernière marche.</w:t>
      </w:r>
    </w:p>
    <w:p w14:paraId="7CEEE199" w14:textId="77777777" w:rsidR="00DB2B68" w:rsidRDefault="00000000">
      <w:pPr>
        <w:pStyle w:val="Author-eListParagraph"/>
        <w:numPr>
          <w:ilvl w:val="0"/>
          <w:numId w:val="725"/>
        </w:numPr>
      </w:pPr>
      <w:r>
        <w:t>Largeur : sur toute la largeur de l’escalier.</w:t>
      </w:r>
    </w:p>
    <w:p w14:paraId="735199D9" w14:textId="77777777" w:rsidR="00DB2B68" w:rsidRDefault="00000000">
      <w:pPr>
        <w:pStyle w:val="Author-eListParagraph"/>
        <w:numPr>
          <w:ilvl w:val="0"/>
          <w:numId w:val="725"/>
        </w:numPr>
      </w:pPr>
      <w:r>
        <w:t>Profondeur : 60 cm minimum.</w:t>
      </w:r>
    </w:p>
    <w:p w14:paraId="1C880FFF" w14:textId="77777777" w:rsidR="00DB2B68" w:rsidRDefault="00000000">
      <w:pPr>
        <w:jc w:val="both"/>
      </w:pPr>
      <w:r>
        <w:rPr>
          <w:b/>
        </w:rPr>
        <w:t>Assemblage - Scellement</w:t>
      </w:r>
    </w:p>
    <w:p w14:paraId="2ADA6E59" w14:textId="77777777" w:rsidR="00DB2B68" w:rsidRDefault="00000000">
      <w:pPr>
        <w:jc w:val="both"/>
      </w:pPr>
      <w:r>
        <w:t>Les points d'appui et les éventuels éléments d'ancrage sont déterminés en concertation avec l'auteur de projet, l'ingénieur stabilité, l'entrepreneur et le fabricant.</w:t>
      </w:r>
    </w:p>
    <w:p w14:paraId="18C81577" w14:textId="77777777" w:rsidR="00DB2B68" w:rsidRDefault="00000000">
      <w:pPr>
        <w:jc w:val="both"/>
      </w:pPr>
      <w:r>
        <w:rPr>
          <w:b/>
        </w:rPr>
        <w:t>Asselets</w:t>
      </w:r>
    </w:p>
    <w:p w14:paraId="4EEC347F" w14:textId="77777777" w:rsidR="00DB2B68" w:rsidRDefault="00000000">
      <w:pPr>
        <w:jc w:val="both"/>
      </w:pPr>
      <w:r>
        <w:t xml:space="preserve">Les asselets nécessaires à la bonne répartition des charges sont décrits dans l’article </w:t>
      </w:r>
      <w:hyperlink w:anchor="168" w:history="1">
        <w:r>
          <w:rPr>
            <w:color w:val="0000EE"/>
          </w:rPr>
          <w:t>21.85.3a Réalisations d'asselets en béton armé dans une maçonnerie existante</w:t>
        </w:r>
      </w:hyperlink>
      <w:r>
        <w:t xml:space="preserve"> et le sous-titre </w:t>
      </w:r>
      <w:hyperlink w:anchor="499" w:history="1">
        <w:r>
          <w:rPr>
            <w:color w:val="0000EE"/>
          </w:rPr>
          <w:t>22.42 Pièces d'appui en béton</w:t>
        </w:r>
      </w:hyperlink>
      <w:r>
        <w:t xml:space="preserve"> et aux élément et articles qui en découlent.</w:t>
      </w:r>
    </w:p>
    <w:p w14:paraId="56A6C3CD" w14:textId="77777777" w:rsidR="00DB2B68" w:rsidRDefault="00000000">
      <w:pPr>
        <w:jc w:val="both"/>
      </w:pPr>
      <w:r>
        <w:t>Ils ne sont pas compris dans le présent article, sauf contre-indication dans le cahier spécial des charges aux articles concernés ci-dessus.</w:t>
      </w:r>
    </w:p>
    <w:p w14:paraId="56B27D3E" w14:textId="77777777" w:rsidR="00DB2B68" w:rsidRDefault="00000000">
      <w:pPr>
        <w:jc w:val="both"/>
      </w:pPr>
      <w:r>
        <w:rPr>
          <w:b/>
        </w:rPr>
        <w:t>Sécurité</w:t>
      </w:r>
    </w:p>
    <w:p w14:paraId="187B9156" w14:textId="77777777" w:rsidR="00DB2B68" w:rsidRDefault="00000000">
      <w:pPr>
        <w:jc w:val="both"/>
      </w:pPr>
      <w:r>
        <w:lastRenderedPageBreak/>
        <w:t>Conformément à l'élément 01.42 PSS travaux de superstructure, établie par le coordinateur-projet et annexée au présent cahier des charges. Toutes les directives en la matière et les indications concrètes du coordinateur-réalisation sont scrupuleusement respectées.</w:t>
      </w:r>
    </w:p>
    <w:p w14:paraId="5783539A" w14:textId="77777777" w:rsidR="00DB2B68" w:rsidRDefault="00000000">
      <w:pPr>
        <w:pStyle w:val="pheading"/>
      </w:pPr>
      <w:r>
        <w:t>CONTRÔLES</w:t>
      </w:r>
    </w:p>
    <w:p w14:paraId="642B2019" w14:textId="77777777" w:rsidR="00DB2B68" w:rsidRDefault="00000000">
      <w:pPr>
        <w:jc w:val="both"/>
      </w:pPr>
      <w:r>
        <w:rPr>
          <w:b/>
        </w:rPr>
        <w:t>Résistance au feu </w:t>
      </w:r>
    </w:p>
    <w:p w14:paraId="657B4129" w14:textId="77777777" w:rsidR="00DB2B68" w:rsidRDefault="00000000">
      <w:pPr>
        <w:jc w:val="both"/>
      </w:pPr>
      <w:r>
        <w:t>Cette évaluation doit se faire sous poids propre, conformément à l’Eurocode [NBN EN 1993-1-2] et son annexe nationale [NBN EN 1993-1-2 ANB].</w:t>
      </w:r>
    </w:p>
    <w:p w14:paraId="447FB92E" w14:textId="77777777" w:rsidR="00DB2B68" w:rsidRDefault="00000000">
      <w:pPr>
        <w:jc w:val="both"/>
      </w:pPr>
      <w:r>
        <w:rPr>
          <w:b/>
        </w:rPr>
        <w:t>Ecarts dimensionnels</w:t>
      </w:r>
    </w:p>
    <w:p w14:paraId="72EFFA24" w14:textId="77777777" w:rsidR="00DB2B68" w:rsidRDefault="00000000">
      <w:pPr>
        <w:jc w:val="both"/>
      </w:pPr>
      <w:r>
        <w:t>Toutes les marches présentent la même hauteur. Les éventuels écarts dimensionnels doivent être absorbés dans les dimensions de la marche inférieure et ne peuvent comporter plus de 6 mm. L'écart de hauteur entre deux marches successives ne peut pas être supérieur à 2 mm.</w:t>
      </w:r>
    </w:p>
    <w:p w14:paraId="7B5C2E83" w14:textId="77777777" w:rsidR="00DB2B68" w:rsidRDefault="00000000">
      <w:pPr>
        <w:jc w:val="both"/>
      </w:pPr>
      <w:r>
        <w:rPr>
          <w:b/>
        </w:rPr>
        <w:t>Dégradations</w:t>
      </w:r>
    </w:p>
    <w:p w14:paraId="1A71461D" w14:textId="77777777" w:rsidR="00DB2B68" w:rsidRDefault="00000000">
      <w:pPr>
        <w:jc w:val="both"/>
      </w:pPr>
      <w:r>
        <w:t>Il est interdit d'utiliser un mastic de jointoiement, de la résine, etc.… pour cacher les défauts éventuels. Les éléments endommagés doivent être intégralement remplacés. Les éléments qui forment un ensemble ne peuvent pas présenter de différences de couleur.</w:t>
      </w:r>
    </w:p>
    <w:p w14:paraId="069B7705" w14:textId="77777777" w:rsidR="00DB2B68" w:rsidRDefault="00000000">
      <w:pPr>
        <w:pStyle w:val="pheading"/>
      </w:pPr>
      <w:r>
        <w:t>DOCUMENTS DE RÉFÉRENCE</w:t>
      </w:r>
    </w:p>
    <w:p w14:paraId="15319BF0" w14:textId="77777777" w:rsidR="00DB2B68" w:rsidRDefault="00000000">
      <w:pPr>
        <w:pStyle w:val="pheading"/>
      </w:pPr>
      <w:r>
        <w:t>- Matériau</w:t>
      </w:r>
    </w:p>
    <w:p w14:paraId="2B38049B" w14:textId="77777777" w:rsidR="00DB2B68" w:rsidRDefault="00000000">
      <w:r>
        <w:t>[NBN EN 1991-1-1, Eurocode 1: Actions sur les structures - Partie 1-1: Actions générales - Poids volumiques, poids propres, charges d'exploitation bâtiments (+ AC:2009)]</w:t>
      </w:r>
    </w:p>
    <w:p w14:paraId="1F156D8D" w14:textId="77777777" w:rsidR="00DB2B68" w:rsidRDefault="00000000">
      <w:r>
        <w:t>[NBN EN 1991-1-1 ANB, Eurocode 1 - Actions sur les structures - Partie 1-1 : Actions générales - Poids volumiques, poids propre, charges d'exploitation pour les bâtiments]</w:t>
      </w:r>
    </w:p>
    <w:p w14:paraId="14187964" w14:textId="77777777" w:rsidR="00DB2B68" w:rsidRDefault="00000000">
      <w:r>
        <w:t>[AR 1994-07-07, Arrêté royal fixant les normes de base en matière de prévention contre l'incendie et l'explosion, auxquelles les bâtiments nouveaux doivent satisfaire]</w:t>
      </w:r>
    </w:p>
    <w:p w14:paraId="09F5A987" w14:textId="77777777" w:rsidR="00DB2B68" w:rsidRDefault="00000000">
      <w:r>
        <w:t>[SWL GSI/T1/C, Guides sécurité incendie - Tome 1 Prévention passive - Guide C Résistance au feu]</w:t>
      </w:r>
    </w:p>
    <w:p w14:paraId="30755C5D" w14:textId="77777777" w:rsidR="00DB2B68" w:rsidRDefault="00000000">
      <w:r>
        <w:t>[NBN EN 1993-1-2, Eurocode 3 - Calcul des structures en acier - Partie 1-2 : Règles générales - Calcul du comportement au feu (+ AC:2009)]</w:t>
      </w:r>
    </w:p>
    <w:p w14:paraId="216517BB" w14:textId="77777777" w:rsidR="00DB2B68" w:rsidRDefault="00000000">
      <w:r>
        <w:t>[NBN EN 1993-1-2 ANB, Eurocode 3 - Calcul des structures en acier - Partie 1-2 : Règles générales - Calcul du comportement au feu - Annexe nationale]</w:t>
      </w:r>
    </w:p>
    <w:p w14:paraId="3E4C2066" w14:textId="77777777" w:rsidR="00DB2B68" w:rsidRDefault="00000000">
      <w:pPr>
        <w:pStyle w:val="pheading"/>
      </w:pPr>
      <w:r>
        <w:t>- Exécution</w:t>
      </w:r>
    </w:p>
    <w:p w14:paraId="0983BD21" w14:textId="77777777" w:rsidR="00DB2B68" w:rsidRDefault="00000000">
      <w:r>
        <w:t>[NIT 198, Les escaliers en bois.]</w:t>
      </w:r>
    </w:p>
    <w:p w14:paraId="1DFB46D3" w14:textId="77777777" w:rsidR="00DB2B68" w:rsidRDefault="00000000">
      <w:r>
        <w:t>[RGPT, Règlement général pour la protection du travail]</w:t>
      </w:r>
    </w:p>
    <w:p w14:paraId="4BD8CA18" w14:textId="77777777" w:rsidR="00DB2B68" w:rsidRDefault="00000000">
      <w:r>
        <w:t>[AR 1994-07-07, Arrêté royal fixant les normes de base en matière de prévention contre l'incendie et l'explosion, auxquelles les bâtiments nouveaux doivent satisfaire]</w:t>
      </w:r>
    </w:p>
    <w:p w14:paraId="56CDD275" w14:textId="77777777" w:rsidR="00DB2B68" w:rsidRDefault="00000000">
      <w:r>
        <w:t>[SWL CALA, Guide d’aide à la conception d’un logement adaptable]</w:t>
      </w:r>
    </w:p>
    <w:p w14:paraId="310FC73E" w14:textId="77777777" w:rsidR="00DB2B68" w:rsidRDefault="00000000">
      <w:r>
        <w:t>[NBN ISO 21542, Construction immobilière — Accessibilité et facilité d'utilisation de l'environnement bâti (ISO 21542:2011)]</w:t>
      </w:r>
    </w:p>
    <w:p w14:paraId="455B6F36" w14:textId="77777777" w:rsidR="00DB2B68" w:rsidRDefault="00000000">
      <w:r>
        <w:t>[BS 8300, Design of buildings and their approaches to meet the needs of disabled people. Code of Practice]</w:t>
      </w:r>
    </w:p>
    <w:p w14:paraId="5FC654B7" w14:textId="77777777" w:rsidR="00DB2B68" w:rsidRDefault="00000000">
      <w:r>
        <w:t>[Buildwise Article Dossier (2004/4.06), Accessibilité des escaliers : commentaire du § 2.4.2 de la NIT 198.]</w:t>
      </w:r>
    </w:p>
    <w:p w14:paraId="56ACD21C" w14:textId="77777777" w:rsidR="00DB2B68" w:rsidRDefault="00000000">
      <w:r>
        <w:t>[NFPA 101 Life Safety Code Handbook, NFPA Life Safety Code Handbook]</w:t>
      </w:r>
    </w:p>
    <w:p w14:paraId="3F057003" w14:textId="77777777" w:rsidR="00DB2B68" w:rsidRDefault="00000000">
      <w:pPr>
        <w:pStyle w:val="Author-eSectionHeading5Numberless"/>
      </w:pPr>
      <w:bookmarkStart w:id="1392" w:name="_Toc220496401"/>
      <w:r>
        <w:t>23.31.1 Escaliers en acier CCTB 01.04</w:t>
      </w:r>
      <w:bookmarkEnd w:id="1392"/>
    </w:p>
    <w:p w14:paraId="4EA6F5E3" w14:textId="77777777" w:rsidR="00DB2B68" w:rsidRDefault="00000000">
      <w:pPr>
        <w:pStyle w:val="Author-eSectionHeading6Numberless"/>
      </w:pPr>
      <w:bookmarkStart w:id="1393" w:name="_Toc220496402"/>
      <w:r>
        <w:t>23.31.1a Escaliers en acier CCTB 01.11</w:t>
      </w:r>
      <w:bookmarkEnd w:id="1393"/>
    </w:p>
    <w:p w14:paraId="7633D449" w14:textId="77777777" w:rsidR="00DB2B68" w:rsidRDefault="00000000">
      <w:pPr>
        <w:pStyle w:val="pheading"/>
      </w:pPr>
      <w:bookmarkStart w:id="1394" w:name="564"/>
      <w:bookmarkEnd w:id="1394"/>
      <w:r>
        <w:lastRenderedPageBreak/>
        <w:t>DESCRIPTION</w:t>
      </w:r>
    </w:p>
    <w:p w14:paraId="3D63F805" w14:textId="77777777" w:rsidR="00DB2B68" w:rsidRDefault="00000000">
      <w:pPr>
        <w:pStyle w:val="pheading"/>
      </w:pPr>
      <w:r>
        <w:t>- Définition / Comprend</w:t>
      </w:r>
    </w:p>
    <w:p w14:paraId="3F2EA944" w14:textId="77777777" w:rsidR="00DB2B68" w:rsidRDefault="00000000">
      <w:pPr>
        <w:jc w:val="both"/>
      </w:pPr>
      <w:r>
        <w:t>Il s'agit des escaliers en acier (escaliers droits, escaliers tournants avec ou sans paliers, escalier en colimaçon, etc.), dont les parties constructives doivent être fabriquées sur mesure.</w:t>
      </w:r>
    </w:p>
    <w:p w14:paraId="7C205A2F" w14:textId="77777777" w:rsidR="00DB2B68" w:rsidRDefault="00000000">
      <w:pPr>
        <w:jc w:val="both"/>
      </w:pPr>
      <w:r>
        <w:t xml:space="preserve">Les caractéristiques principales des escaliers sont décrites au sous-titre </w:t>
      </w:r>
      <w:hyperlink w:anchor="558" w:history="1">
        <w:r>
          <w:rPr>
            <w:color w:val="0000EE"/>
          </w:rPr>
          <w:t>23.31 Escaliers métalliques</w:t>
        </w:r>
      </w:hyperlink>
      <w:r>
        <w:t>.</w:t>
      </w:r>
    </w:p>
    <w:p w14:paraId="0030BE08" w14:textId="77777777" w:rsidR="00DB2B68" w:rsidRDefault="00000000">
      <w:pPr>
        <w:jc w:val="both"/>
      </w:pPr>
      <w:r>
        <w:t xml:space="preserve">Les rampes et mains-courantes ne font pas partie du présent article et sont décrites séparément à l’article </w:t>
      </w:r>
      <w:hyperlink w:anchor="559" w:history="1">
        <w:r>
          <w:rPr>
            <w:color w:val="0000EE"/>
          </w:rPr>
          <w:t>23.32.1a Garde-corps et rampes en acier</w:t>
        </w:r>
      </w:hyperlink>
      <w:r>
        <w:t>.</w:t>
      </w:r>
    </w:p>
    <w:p w14:paraId="68F6DD3F" w14:textId="77777777" w:rsidR="00DB2B68" w:rsidRDefault="00000000">
      <w:pPr>
        <w:pStyle w:val="pheading"/>
      </w:pPr>
      <w:r>
        <w:t>- Localisation</w:t>
      </w:r>
    </w:p>
    <w:p w14:paraId="61929766" w14:textId="77777777" w:rsidR="00DB2B68" w:rsidRDefault="00000000">
      <w:r>
        <w:t>Les travaux sont localisés :</w:t>
      </w:r>
      <w:r>
        <w:rPr>
          <w:rStyle w:val="optioncarChar"/>
        </w:rPr>
        <w:t xml:space="preserve"> ***</w:t>
      </w:r>
      <w:r>
        <w:t>.</w:t>
      </w:r>
    </w:p>
    <w:p w14:paraId="4FC7004A" w14:textId="77777777" w:rsidR="00DB2B68" w:rsidRDefault="00000000">
      <w:r>
        <w:t>Voir plans et métrés détaillés.</w:t>
      </w:r>
    </w:p>
    <w:p w14:paraId="206307BA" w14:textId="77777777" w:rsidR="00DB2B68" w:rsidRDefault="00000000">
      <w:pPr>
        <w:pStyle w:val="pheading"/>
      </w:pPr>
      <w:r>
        <w:t>MATÉRIAUX</w:t>
      </w:r>
    </w:p>
    <w:p w14:paraId="122C332E" w14:textId="77777777" w:rsidR="00DB2B68" w:rsidRDefault="00000000">
      <w:pPr>
        <w:pStyle w:val="pheading"/>
      </w:pPr>
      <w:r>
        <w:t>- Caractéristiques générales</w:t>
      </w:r>
    </w:p>
    <w:p w14:paraId="44B41F90" w14:textId="77777777" w:rsidR="00DB2B68" w:rsidRDefault="00000000">
      <w:pPr>
        <w:jc w:val="both"/>
      </w:pPr>
      <w:r>
        <w:rPr>
          <w:b/>
        </w:rPr>
        <w:t>Stabilité - sollicitations</w:t>
      </w:r>
    </w:p>
    <w:p w14:paraId="4D2BA576" w14:textId="77777777" w:rsidR="00DB2B68" w:rsidRDefault="00000000">
      <w:pPr>
        <w:pStyle w:val="Author-eListParagraph"/>
        <w:numPr>
          <w:ilvl w:val="0"/>
          <w:numId w:val="726"/>
        </w:numPr>
      </w:pPr>
      <w:r>
        <w:t xml:space="preserve">Catégorie d’usage [NBN EN 1991-1-1] : </w:t>
      </w:r>
      <w:r>
        <w:rPr>
          <w:rStyle w:val="optioncarChar"/>
        </w:rPr>
        <w:t xml:space="preserve">A ou B (usage privé) / C3 (bâtiment public) </w:t>
      </w:r>
      <w:r>
        <w:t>(par défaut)</w:t>
      </w:r>
      <w:r>
        <w:rPr>
          <w:rStyle w:val="optioncarChar"/>
        </w:rPr>
        <w:t xml:space="preserve">  / C5 ou D (foule importante) / ***</w:t>
      </w:r>
      <w:r>
        <w:t>.</w:t>
      </w:r>
    </w:p>
    <w:p w14:paraId="1E778B04" w14:textId="77777777" w:rsidR="00DB2B68" w:rsidRDefault="00000000">
      <w:pPr>
        <w:jc w:val="both"/>
      </w:pPr>
      <w:r>
        <w:rPr>
          <w:b/>
        </w:rPr>
        <w:t>Matériau</w:t>
      </w:r>
    </w:p>
    <w:p w14:paraId="6B1CE88D" w14:textId="77777777" w:rsidR="00DB2B68" w:rsidRDefault="00000000">
      <w:pPr>
        <w:jc w:val="both"/>
      </w:pPr>
      <w:r>
        <w:t>La structure de l'escalier se compose d'éléments en acier. Toutes les parties visibles sont propres et débarrassées des ébarbures.</w:t>
      </w:r>
    </w:p>
    <w:p w14:paraId="4F1249BB" w14:textId="77777777" w:rsidR="00DB2B68" w:rsidRDefault="00000000">
      <w:pPr>
        <w:pStyle w:val="Author-eListParagraph"/>
        <w:numPr>
          <w:ilvl w:val="0"/>
          <w:numId w:val="727"/>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0BA362FA" w14:textId="77777777" w:rsidR="00DB2B68" w:rsidRDefault="00000000">
      <w:pPr>
        <w:pStyle w:val="Author-eListParagraph"/>
        <w:numPr>
          <w:ilvl w:val="0"/>
          <w:numId w:val="727"/>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p>
    <w:p w14:paraId="1618D4B5" w14:textId="77777777" w:rsidR="00DB2B68" w:rsidRDefault="00000000">
      <w:pPr>
        <w:jc w:val="both"/>
      </w:pPr>
      <w:r>
        <w:t xml:space="preserve">Les marches et les paliers sont </w:t>
      </w:r>
      <w:r>
        <w:rPr>
          <w:rStyle w:val="optioncarChar"/>
        </w:rPr>
        <w:t xml:space="preserve">antidérapants </w:t>
      </w:r>
      <w:r>
        <w:t>(par défaut)</w:t>
      </w:r>
      <w:r>
        <w:rPr>
          <w:rStyle w:val="optioncarChar"/>
        </w:rPr>
        <w:t xml:space="preserve"> / ***</w:t>
      </w:r>
      <w:r>
        <w:t>.</w:t>
      </w:r>
    </w:p>
    <w:p w14:paraId="51A4ECF5" w14:textId="77777777" w:rsidR="00DB2B68" w:rsidRDefault="00000000">
      <w:pPr>
        <w:jc w:val="both"/>
      </w:pPr>
      <w:r>
        <w:t xml:space="preserve">Les marches, les contre marches éventuelles et les paliers sont en </w:t>
      </w:r>
      <w:r>
        <w:rPr>
          <w:rStyle w:val="optioncarChar"/>
        </w:rPr>
        <w:t>acier</w:t>
      </w:r>
      <w:r>
        <w:t xml:space="preserve"> (par défaut)</w:t>
      </w:r>
      <w:r>
        <w:rPr>
          <w:rStyle w:val="optioncarChar"/>
        </w:rPr>
        <w:t xml:space="preserve"> / bois / ***</w:t>
      </w:r>
      <w:r>
        <w:t>. </w:t>
      </w:r>
    </w:p>
    <w:p w14:paraId="3F235E9A" w14:textId="77777777" w:rsidR="00DB2B68" w:rsidRDefault="00000000">
      <w:pPr>
        <w:ind w:left="567"/>
        <w:jc w:val="both"/>
      </w:pPr>
      <w:r>
        <w:rPr>
          <w:b/>
          <w:i/>
        </w:rPr>
        <w:t>(Soit par défaut)</w:t>
      </w:r>
    </w:p>
    <w:p w14:paraId="4AF10D7D" w14:textId="77777777" w:rsidR="00DB2B68" w:rsidRDefault="00000000">
      <w:pPr>
        <w:ind w:left="567"/>
        <w:jc w:val="both"/>
      </w:pPr>
      <w:r>
        <w:rPr>
          <w:rStyle w:val="soitChar"/>
          <w:u w:val="single"/>
        </w:rPr>
        <w:t>Acier</w:t>
      </w:r>
    </w:p>
    <w:p w14:paraId="1C9F628F" w14:textId="77777777" w:rsidR="00DB2B68" w:rsidRDefault="00000000">
      <w:pPr>
        <w:ind w:left="567"/>
        <w:jc w:val="both"/>
      </w:pPr>
      <w:r>
        <w:rPr>
          <w:rStyle w:val="soitChar"/>
        </w:rPr>
        <w:t xml:space="preserve">Type : </w:t>
      </w:r>
      <w:r>
        <w:rPr>
          <w:rStyle w:val="optioncarChar"/>
        </w:rPr>
        <w:t xml:space="preserve">Tôles d’acier larmées ou gaufrées </w:t>
      </w:r>
      <w:r>
        <w:t>(par défaut)</w:t>
      </w:r>
      <w:r>
        <w:rPr>
          <w:rStyle w:val="optioncarChar"/>
        </w:rPr>
        <w:t xml:space="preserve"> / Tôles d’acier perforées (diam 9 / 14 / *** mm) / caillebotis (maille 30x30 / ***mm) / ***.</w:t>
      </w:r>
    </w:p>
    <w:p w14:paraId="2994BBE0" w14:textId="77777777" w:rsidR="00DB2B68" w:rsidRDefault="00000000">
      <w:pPr>
        <w:ind w:left="567"/>
        <w:jc w:val="both"/>
      </w:pPr>
      <w:r>
        <w:rPr>
          <w:rStyle w:val="soitChar"/>
        </w:rPr>
        <w:t>Epaisseur minimum : tôle :</w:t>
      </w:r>
      <w:r>
        <w:rPr>
          <w:rStyle w:val="optioncarChar"/>
        </w:rPr>
        <w:t> 2,5 / 4</w:t>
      </w:r>
      <w:r>
        <w:t xml:space="preserve"> (par défaut) </w:t>
      </w:r>
      <w:r>
        <w:rPr>
          <w:rStyle w:val="optioncarChar"/>
        </w:rPr>
        <w:t>/ ***</w:t>
      </w:r>
      <w:r>
        <w:rPr>
          <w:rStyle w:val="soitChar"/>
        </w:rPr>
        <w:t xml:space="preserve"> / caillebotis :</w:t>
      </w:r>
      <w:r>
        <w:rPr>
          <w:rStyle w:val="optioncarChar"/>
        </w:rPr>
        <w:t xml:space="preserve"> 20 / 30 / 40 *** mm</w:t>
      </w:r>
      <w:r>
        <w:rPr>
          <w:rStyle w:val="soitChar"/>
        </w:rPr>
        <w:t>.</w:t>
      </w:r>
    </w:p>
    <w:p w14:paraId="49F8557E" w14:textId="77777777" w:rsidR="00DB2B68" w:rsidRDefault="00000000">
      <w:pPr>
        <w:ind w:left="567"/>
        <w:jc w:val="both"/>
      </w:pPr>
      <w:r>
        <w:rPr>
          <w:b/>
          <w:i/>
        </w:rPr>
        <w:t>(Soit)</w:t>
      </w:r>
    </w:p>
    <w:p w14:paraId="56F4A9CC" w14:textId="77777777" w:rsidR="00DB2B68" w:rsidRDefault="00000000">
      <w:pPr>
        <w:ind w:left="567"/>
        <w:jc w:val="both"/>
      </w:pPr>
      <w:r>
        <w:rPr>
          <w:rStyle w:val="soitChar"/>
          <w:u w:val="single"/>
        </w:rPr>
        <w:t>Bois</w:t>
      </w:r>
    </w:p>
    <w:p w14:paraId="0322EDF3" w14:textId="77777777" w:rsidR="00DB2B68" w:rsidRDefault="00000000">
      <w:pPr>
        <w:ind w:left="567"/>
        <w:jc w:val="both"/>
      </w:pPr>
      <w:r>
        <w:rPr>
          <w:rStyle w:val="soitChar"/>
        </w:rPr>
        <w:t xml:space="preserve">Essence : </w:t>
      </w:r>
      <w:r>
        <w:rPr>
          <w:rStyle w:val="optioncarChar"/>
        </w:rPr>
        <w:t>hêtre</w:t>
      </w:r>
      <w:r>
        <w:t xml:space="preserve"> (par défaut) </w:t>
      </w:r>
      <w:r>
        <w:rPr>
          <w:rStyle w:val="optioncarChar"/>
        </w:rPr>
        <w:t>/ méranti / merbau / ipe / itauba / frêne / mélèze / ***</w:t>
      </w:r>
      <w:r>
        <w:t>.</w:t>
      </w:r>
    </w:p>
    <w:p w14:paraId="6E0F39E6" w14:textId="77777777" w:rsidR="00DB2B68" w:rsidRDefault="00000000">
      <w:pPr>
        <w:ind w:left="567"/>
        <w:jc w:val="both"/>
      </w:pPr>
      <w:r>
        <w:rPr>
          <w:rStyle w:val="soitChar"/>
        </w:rPr>
        <w:t xml:space="preserve">Epaisseur minimum des marches: </w:t>
      </w:r>
      <w:r>
        <w:rPr>
          <w:rStyle w:val="optioncarChar"/>
        </w:rPr>
        <w:t>30 / 35</w:t>
      </w:r>
      <w:r>
        <w:t xml:space="preserve"> (par défaut) </w:t>
      </w:r>
      <w:r>
        <w:rPr>
          <w:rStyle w:val="optioncarChar"/>
        </w:rPr>
        <w:t>/ *** mm</w:t>
      </w:r>
      <w:r>
        <w:t>.</w:t>
      </w:r>
    </w:p>
    <w:p w14:paraId="592D165B" w14:textId="77777777" w:rsidR="00DB2B68" w:rsidRDefault="00000000">
      <w:pPr>
        <w:ind w:left="567"/>
        <w:jc w:val="both"/>
      </w:pPr>
      <w:r>
        <w:rPr>
          <w:rStyle w:val="soitChar"/>
        </w:rPr>
        <w:t xml:space="preserve">Epaisseur minimum des contremarches: </w:t>
      </w:r>
      <w:r>
        <w:rPr>
          <w:rStyle w:val="optioncarChar"/>
        </w:rPr>
        <w:t>pas d’application / 15</w:t>
      </w:r>
      <w:r>
        <w:t xml:space="preserve"> (par défaut) </w:t>
      </w:r>
      <w:r>
        <w:rPr>
          <w:rStyle w:val="optioncarChar"/>
        </w:rPr>
        <w:t>/ 20 / *** mm</w:t>
      </w:r>
      <w:r>
        <w:t>.</w:t>
      </w:r>
    </w:p>
    <w:p w14:paraId="31BF7DE5" w14:textId="77777777" w:rsidR="00DB2B68" w:rsidRDefault="00000000">
      <w:pPr>
        <w:pStyle w:val="pheading"/>
      </w:pPr>
      <w:r>
        <w:t>- Finitions</w:t>
      </w:r>
    </w:p>
    <w:p w14:paraId="1A4D960E" w14:textId="77777777" w:rsidR="00DB2B68" w:rsidRDefault="00000000">
      <w:r>
        <w:rPr>
          <w:u w:val="single"/>
        </w:rPr>
        <w:t>T</w:t>
      </w:r>
      <w:r>
        <w:rPr>
          <w:b/>
          <w:u w:val="single"/>
        </w:rPr>
        <w:t>raitement de l'acier</w:t>
      </w:r>
    </w:p>
    <w:p w14:paraId="2D826516" w14:textId="77777777" w:rsidR="00DB2B68" w:rsidRDefault="00000000">
      <w:r>
        <w:t xml:space="preserve">Les éléments sont traités contre la rouille par : </w:t>
      </w:r>
      <w:r>
        <w:rPr>
          <w:rStyle w:val="optioncarChar"/>
        </w:rPr>
        <w:t>galvanisation à chaud</w:t>
      </w:r>
      <w:r>
        <w:t xml:space="preserve"> (par défaut) </w:t>
      </w:r>
      <w:r>
        <w:rPr>
          <w:rStyle w:val="optioncarChar"/>
        </w:rPr>
        <w:t>/ métallisation / primaire antirouille / pas de traitement (aspect brut)</w:t>
      </w:r>
      <w:r>
        <w:t>. </w:t>
      </w:r>
    </w:p>
    <w:p w14:paraId="7E6CDA33" w14:textId="77777777" w:rsidR="00DB2B68" w:rsidRDefault="00000000">
      <w:pPr>
        <w:ind w:left="567"/>
        <w:jc w:val="both"/>
      </w:pPr>
      <w:r>
        <w:rPr>
          <w:b/>
          <w:i/>
        </w:rPr>
        <w:t>(Soit par défaut)</w:t>
      </w:r>
    </w:p>
    <w:p w14:paraId="30FBD53B" w14:textId="77777777" w:rsidR="00DB2B68" w:rsidRDefault="00000000">
      <w:pPr>
        <w:ind w:left="567"/>
        <w:jc w:val="both"/>
      </w:pPr>
      <w:r>
        <w:rPr>
          <w:rStyle w:val="soitChar"/>
          <w:u w:val="single"/>
        </w:rPr>
        <w:t xml:space="preserve">Galvanisation </w:t>
      </w:r>
    </w:p>
    <w:p w14:paraId="48301844" w14:textId="77777777" w:rsidR="00DB2B68" w:rsidRDefault="00000000">
      <w:pPr>
        <w:ind w:left="567"/>
        <w:jc w:val="both"/>
      </w:pPr>
      <w:r>
        <w:rPr>
          <w:rStyle w:val="soitChar"/>
        </w:rPr>
        <w:lastRenderedPageBreak/>
        <w:t>Renvoi aux articles 81.31.3a Protections intérieures par galvanisation (en atelier) des supports métalliques ferreux ou 82.31.3a Protections extérieures par galvanisation de supports métalliques ferreux.</w:t>
      </w:r>
    </w:p>
    <w:p w14:paraId="781FCEC1" w14:textId="77777777" w:rsidR="00DB2B68" w:rsidRDefault="00000000">
      <w:pPr>
        <w:ind w:left="567"/>
        <w:jc w:val="both"/>
      </w:pPr>
      <w:r>
        <w:rPr>
          <w:b/>
          <w:i/>
        </w:rPr>
        <w:t> (Soit)</w:t>
      </w:r>
    </w:p>
    <w:p w14:paraId="774BAB16" w14:textId="77777777" w:rsidR="00DB2B68" w:rsidRDefault="00000000">
      <w:pPr>
        <w:ind w:left="567"/>
        <w:jc w:val="both"/>
      </w:pPr>
      <w:r>
        <w:rPr>
          <w:rStyle w:val="soitChar"/>
          <w:u w:val="single"/>
        </w:rPr>
        <w:t xml:space="preserve">Métallisation </w:t>
      </w:r>
    </w:p>
    <w:p w14:paraId="2CEF5744" w14:textId="77777777" w:rsidR="00DB2B68" w:rsidRDefault="00000000">
      <w:pPr>
        <w:ind w:left="567"/>
        <w:jc w:val="both"/>
      </w:pPr>
      <w:r>
        <w:rPr>
          <w:rStyle w:val="soitChar"/>
        </w:rPr>
        <w:t>Renvoi aux articles 81.31.3b Protections intérieures par métallisation (en atelier ou sur chantier) des supports métalliques ferreux ou 82.31.3b Protections extérieures par métallisation des supports métalliques ferreux.</w:t>
      </w:r>
    </w:p>
    <w:p w14:paraId="74F3914F" w14:textId="77777777" w:rsidR="00DB2B68" w:rsidRDefault="00000000">
      <w:pPr>
        <w:ind w:left="567"/>
        <w:jc w:val="both"/>
      </w:pPr>
      <w:r>
        <w:rPr>
          <w:b/>
          <w:i/>
        </w:rPr>
        <w:t>(Soit)</w:t>
      </w:r>
    </w:p>
    <w:p w14:paraId="3F1A7A16" w14:textId="77777777" w:rsidR="00DB2B68" w:rsidRDefault="00000000">
      <w:pPr>
        <w:ind w:left="567"/>
        <w:jc w:val="both"/>
      </w:pPr>
      <w:r>
        <w:rPr>
          <w:rStyle w:val="soitChar"/>
          <w:u w:val="single"/>
        </w:rPr>
        <w:t xml:space="preserve">Peinture antirouille </w:t>
      </w:r>
    </w:p>
    <w:p w14:paraId="75CA7787" w14:textId="77777777" w:rsidR="00DB2B68" w:rsidRDefault="00000000">
      <w:pPr>
        <w:ind w:left="567"/>
        <w:jc w:val="both"/>
      </w:pPr>
      <w:r>
        <w:rPr>
          <w:rStyle w:val="soitChar"/>
        </w:rPr>
        <w:t>Renvoi aux articles 81.31.3c Protections intérieures par primaire antirouille (en atelier ou sur chantier) des supports métalliques ferreux ou 82.31.3c Protections extérieures par primaire antirouille des supports métalliques ferreux.</w:t>
      </w:r>
    </w:p>
    <w:p w14:paraId="73587891" w14:textId="77777777" w:rsidR="00DB2B68" w:rsidRDefault="00000000">
      <w:pPr>
        <w:ind w:left="567"/>
        <w:jc w:val="both"/>
      </w:pPr>
      <w:r>
        <w:rPr>
          <w:b/>
          <w:i/>
        </w:rPr>
        <w:t>(Soit)</w:t>
      </w:r>
    </w:p>
    <w:p w14:paraId="24163CB4" w14:textId="77777777" w:rsidR="00DB2B68" w:rsidRDefault="00000000">
      <w:pPr>
        <w:ind w:left="567"/>
        <w:jc w:val="both"/>
      </w:pPr>
      <w:r>
        <w:rPr>
          <w:rStyle w:val="soitChar"/>
          <w:u w:val="single"/>
        </w:rPr>
        <w:t xml:space="preserve">Pas de traitement </w:t>
      </w:r>
    </w:p>
    <w:p w14:paraId="042379C5" w14:textId="77777777" w:rsidR="00DB2B68" w:rsidRDefault="00000000">
      <w:pPr>
        <w:ind w:left="567"/>
        <w:jc w:val="both"/>
      </w:pPr>
      <w:r>
        <w:rPr>
          <w:rStyle w:val="soitChar"/>
        </w:rPr>
        <w:t>L’acier reste « brut ». Il est simplement nettoyé, dégraissé et débarrassé de la rouille par sablage et/ou ponçage conformément aux chapitres 81.31.1 Nettoyage / Dégraissage, 81.31.2 Grenaillage - Sablage / Ponçage / Dérouillage et articles qui en découlent.</w:t>
      </w:r>
    </w:p>
    <w:p w14:paraId="60032CC4" w14:textId="77777777" w:rsidR="00DB2B68" w:rsidRDefault="00000000">
      <w:pPr>
        <w:jc w:val="both"/>
      </w:pPr>
      <w:r>
        <w:t>Ce traitement contre la rouille est compris par défaut dans le poste, sauf contre-indication dans le cahier spécial des charges aux articles concernés ci-dessus.</w:t>
      </w:r>
    </w:p>
    <w:p w14:paraId="74D94FDD" w14:textId="77777777" w:rsidR="00DB2B68" w:rsidRDefault="00000000">
      <w:pPr>
        <w:jc w:val="both"/>
      </w:pPr>
      <w:r>
        <w:rPr>
          <w:b/>
          <w:u w:val="single"/>
        </w:rPr>
        <w:t>Finition de l’acier</w:t>
      </w:r>
    </w:p>
    <w:p w14:paraId="4FD9CA5E" w14:textId="77777777" w:rsidR="00DB2B68" w:rsidRDefault="00000000">
      <w:pPr>
        <w:jc w:val="both"/>
      </w:pPr>
      <w:r>
        <w:t xml:space="preserve">Finition de l’acier : </w:t>
      </w:r>
      <w:r>
        <w:rPr>
          <w:rStyle w:val="optioncarChar"/>
        </w:rPr>
        <w:t xml:space="preserve">pas de finition </w:t>
      </w:r>
      <w:r>
        <w:t xml:space="preserve">(par défaut) </w:t>
      </w:r>
      <w:r>
        <w:rPr>
          <w:rStyle w:val="optioncarChar"/>
        </w:rPr>
        <w:t>/ peint / brut (verni)</w:t>
      </w:r>
      <w:r>
        <w:t>.</w:t>
      </w:r>
    </w:p>
    <w:p w14:paraId="7135665E" w14:textId="77777777" w:rsidR="00DB2B68" w:rsidRDefault="00000000">
      <w:pPr>
        <w:ind w:left="567"/>
        <w:jc w:val="both"/>
      </w:pPr>
      <w:r>
        <w:rPr>
          <w:b/>
          <w:i/>
        </w:rPr>
        <w:t>(Soit par défaut)</w:t>
      </w:r>
    </w:p>
    <w:p w14:paraId="28A50568" w14:textId="77777777" w:rsidR="00DB2B68" w:rsidRDefault="00000000">
      <w:pPr>
        <w:ind w:left="567"/>
        <w:jc w:val="both"/>
      </w:pPr>
      <w:r>
        <w:rPr>
          <w:rStyle w:val="soitChar"/>
          <w:u w:val="single"/>
        </w:rPr>
        <w:t>Pas de finition</w:t>
      </w:r>
    </w:p>
    <w:p w14:paraId="5DCD37ED" w14:textId="77777777" w:rsidR="00DB2B68" w:rsidRDefault="00000000">
      <w:pPr>
        <w:ind w:left="567"/>
        <w:jc w:val="both"/>
      </w:pPr>
      <w:r>
        <w:rPr>
          <w:rStyle w:val="soitChar"/>
        </w:rPr>
        <w:t>Pas de finition, le traitement contre la rouille reste apparent.</w:t>
      </w:r>
    </w:p>
    <w:p w14:paraId="24E77470" w14:textId="77777777" w:rsidR="00DB2B68" w:rsidRDefault="00000000">
      <w:pPr>
        <w:ind w:left="567"/>
        <w:jc w:val="both"/>
      </w:pPr>
      <w:r>
        <w:rPr>
          <w:b/>
          <w:i/>
        </w:rPr>
        <w:t>(Soit)</w:t>
      </w:r>
    </w:p>
    <w:p w14:paraId="5E6AB165" w14:textId="77777777" w:rsidR="00DB2B68" w:rsidRDefault="00000000">
      <w:pPr>
        <w:ind w:left="567"/>
        <w:jc w:val="both"/>
      </w:pPr>
      <w:r>
        <w:rPr>
          <w:rStyle w:val="soitChar"/>
          <w:u w:val="single"/>
        </w:rPr>
        <w:t>Peint</w:t>
      </w:r>
    </w:p>
    <w:p w14:paraId="3E245F2F" w14:textId="77777777" w:rsidR="00DB2B68" w:rsidRDefault="00000000">
      <w:pPr>
        <w:ind w:left="567"/>
        <w:jc w:val="both"/>
      </w:pPr>
      <w:r>
        <w:rPr>
          <w:rStyle w:val="soitChar"/>
        </w:rPr>
        <w:t>Renvoi aux sous-titres 81.33 Finitions / décorations des métaux ferreux et non ferreux(intérieure) ou 82.33 Finitions / décorations des métaux ferreux et non ferreux (extérieure), et articles qui en découlent.</w:t>
      </w:r>
    </w:p>
    <w:p w14:paraId="146472B5" w14:textId="77777777" w:rsidR="00DB2B68" w:rsidRDefault="00000000">
      <w:pPr>
        <w:ind w:left="567"/>
        <w:jc w:val="both"/>
      </w:pPr>
      <w:r>
        <w:rPr>
          <w:b/>
          <w:i/>
        </w:rPr>
        <w:t> (Soit)</w:t>
      </w:r>
    </w:p>
    <w:p w14:paraId="6C913B0E" w14:textId="77777777" w:rsidR="00DB2B68" w:rsidRDefault="00000000">
      <w:pPr>
        <w:ind w:left="567"/>
        <w:jc w:val="both"/>
      </w:pPr>
      <w:r>
        <w:rPr>
          <w:rStyle w:val="soitChar"/>
          <w:u w:val="single"/>
        </w:rPr>
        <w:t>Brut (verni)</w:t>
      </w:r>
    </w:p>
    <w:p w14:paraId="1A9375DC" w14:textId="77777777" w:rsidR="00DB2B68" w:rsidRDefault="00000000">
      <w:pPr>
        <w:ind w:left="567"/>
        <w:jc w:val="both"/>
      </w:pPr>
      <w:r>
        <w:rPr>
          <w:rStyle w:val="soitChar"/>
        </w:rPr>
        <w:t xml:space="preserve">L’acier est protégé à l’aide d’un verni incolore à base de </w:t>
      </w:r>
      <w:r>
        <w:rPr>
          <w:rStyle w:val="optioncarChar"/>
        </w:rPr>
        <w:t xml:space="preserve">résine glycérophtalique </w:t>
      </w:r>
      <w:r>
        <w:t>(par défaut)</w:t>
      </w:r>
      <w:r>
        <w:rPr>
          <w:rStyle w:val="optioncarChar"/>
        </w:rPr>
        <w:t xml:space="preserve"> / ***</w:t>
      </w:r>
      <w:r>
        <w:rPr>
          <w:rStyle w:val="soitChar"/>
        </w:rPr>
        <w:t>.</w:t>
      </w:r>
    </w:p>
    <w:p w14:paraId="261D3072" w14:textId="77777777" w:rsidR="00DB2B68" w:rsidRDefault="00000000">
      <w:pPr>
        <w:ind w:left="567"/>
        <w:jc w:val="both"/>
      </w:pPr>
      <w:r>
        <w:rPr>
          <w:rStyle w:val="soitChar"/>
        </w:rPr>
        <w:t>Pour la mise en œuvre, renvoi aux sous-titres 81.33 Finitions / décorations des métaux ferreux et non ferreux (intérieure) ou 82.33 Finitions / décorations des métaux ferreux et non ferreux (extérieure), et articles qui en découlent.</w:t>
      </w:r>
    </w:p>
    <w:p w14:paraId="48D84FBE" w14:textId="77777777" w:rsidR="00DB2B68" w:rsidRDefault="00000000">
      <w:pPr>
        <w:jc w:val="both"/>
      </w:pPr>
      <w:r>
        <w:t>Ce traitement de finition est compris par défaut dans le poste, sauf contre-indication dans le cahier spécial des charges aux articles concernés ci-dessus.</w:t>
      </w:r>
    </w:p>
    <w:p w14:paraId="2D780D0F" w14:textId="77777777" w:rsidR="00DB2B68" w:rsidRDefault="00000000">
      <w:pPr>
        <w:pStyle w:val="pheading"/>
      </w:pPr>
      <w:r>
        <w:t>- Prescriptions complémentaires</w:t>
      </w:r>
    </w:p>
    <w:p w14:paraId="7199B48A" w14:textId="77777777" w:rsidR="00DB2B68" w:rsidRDefault="00000000">
      <w:pPr>
        <w:jc w:val="both"/>
      </w:pPr>
      <w:r>
        <w:rPr>
          <w:rStyle w:val="facultChar"/>
        </w:rPr>
        <w:t xml:space="preserve">Le présent article comprend également : </w:t>
      </w:r>
      <w:r>
        <w:rPr>
          <w:rStyle w:val="optioncarChar"/>
        </w:rPr>
        <w:t>la résistance au feu / la finition du bois</w:t>
      </w:r>
      <w:r>
        <w:rPr>
          <w:rStyle w:val="facultChar"/>
        </w:rPr>
        <w:t>.</w:t>
      </w:r>
    </w:p>
    <w:p w14:paraId="30B005E6" w14:textId="77777777" w:rsidR="00DB2B68" w:rsidRDefault="00000000">
      <w:pPr>
        <w:pStyle w:val="Author-eListParagraph"/>
        <w:numPr>
          <w:ilvl w:val="0"/>
          <w:numId w:val="728"/>
        </w:numPr>
      </w:pPr>
      <w:r>
        <w:rPr>
          <w:rStyle w:val="facultChar"/>
          <w:u w:val="single"/>
        </w:rPr>
        <w:t>Résistance au feu</w:t>
      </w:r>
      <w:r>
        <w:br/>
      </w:r>
      <w:r>
        <w:rPr>
          <w:rStyle w:val="facultChar"/>
        </w:rPr>
        <w:t xml:space="preserve">[NBN EN 13501-2] : </w:t>
      </w:r>
      <w:r>
        <w:rPr>
          <w:rStyle w:val="optioncarChar"/>
        </w:rPr>
        <w:t>R30 (bâtiment bas &lt;10 m) / R60 (≥10 m)</w:t>
      </w:r>
      <w:r>
        <w:rPr>
          <w:rStyle w:val="facultChar"/>
        </w:rPr>
        <w:t>.</w:t>
      </w:r>
    </w:p>
    <w:p w14:paraId="6BDF1474" w14:textId="77777777" w:rsidR="00DB2B68" w:rsidRDefault="00000000">
      <w:pPr>
        <w:ind w:left="567"/>
        <w:jc w:val="both"/>
      </w:pPr>
      <w:r>
        <w:rPr>
          <w:rStyle w:val="facultChar"/>
        </w:rPr>
        <w:t xml:space="preserve">Cette résistance au feu sera atteinte : </w:t>
      </w:r>
      <w:r>
        <w:rPr>
          <w:rStyle w:val="optioncarChar"/>
        </w:rPr>
        <w:t xml:space="preserve">sans traitement particulier </w:t>
      </w:r>
      <w:r>
        <w:t>(par défaut)</w:t>
      </w:r>
      <w:r>
        <w:rPr>
          <w:rStyle w:val="optioncarChar"/>
        </w:rPr>
        <w:t xml:space="preserve"> / à l’aide d’une peinture intumescente</w:t>
      </w:r>
      <w:r>
        <w:rPr>
          <w:rStyle w:val="facultChar"/>
        </w:rPr>
        <w:t>.</w:t>
      </w:r>
    </w:p>
    <w:p w14:paraId="6820A66A" w14:textId="77777777" w:rsidR="00DB2B68" w:rsidRDefault="00000000">
      <w:pPr>
        <w:ind w:left="1134"/>
        <w:jc w:val="both"/>
      </w:pPr>
      <w:r>
        <w:rPr>
          <w:b/>
          <w:i/>
        </w:rPr>
        <w:lastRenderedPageBreak/>
        <w:t>(Soit par défaut)</w:t>
      </w:r>
    </w:p>
    <w:p w14:paraId="479D2F83" w14:textId="77777777" w:rsidR="00DB2B68" w:rsidRDefault="00000000">
      <w:pPr>
        <w:ind w:left="1134"/>
        <w:jc w:val="both"/>
      </w:pPr>
      <w:r>
        <w:rPr>
          <w:rStyle w:val="soitChar"/>
          <w:u w:val="single"/>
        </w:rPr>
        <w:t>Sans traitement particulier</w:t>
      </w:r>
    </w:p>
    <w:p w14:paraId="743489DB" w14:textId="77777777" w:rsidR="00DB2B68" w:rsidRDefault="00000000">
      <w:pPr>
        <w:ind w:left="1134"/>
        <w:jc w:val="both"/>
      </w:pPr>
      <w:r>
        <w:rPr>
          <w:rStyle w:val="soitChar"/>
        </w:rPr>
        <w:t>La résistance au feu est démontrée par test au feu selon la [NBN EN 13501-2] ou par calcul selon les Eurocodes conformément à l’[AM 2013-05-17].</w:t>
      </w:r>
    </w:p>
    <w:p w14:paraId="1E998B86" w14:textId="77777777" w:rsidR="00DB2B68" w:rsidRDefault="00000000">
      <w:pPr>
        <w:ind w:left="1134"/>
        <w:jc w:val="both"/>
      </w:pPr>
      <w:r>
        <w:rPr>
          <w:b/>
          <w:i/>
        </w:rPr>
        <w:t>(Soit)</w:t>
      </w:r>
    </w:p>
    <w:p w14:paraId="038A5BFD" w14:textId="77777777" w:rsidR="00DB2B68" w:rsidRDefault="00000000">
      <w:pPr>
        <w:ind w:left="1134"/>
        <w:jc w:val="both"/>
      </w:pPr>
      <w:r>
        <w:rPr>
          <w:rStyle w:val="soitChar"/>
          <w:u w:val="single"/>
        </w:rPr>
        <w:t>Peinture intumescente</w:t>
      </w:r>
    </w:p>
    <w:p w14:paraId="6DF7B73F" w14:textId="77777777" w:rsidR="00DB2B68" w:rsidRDefault="00000000">
      <w:pPr>
        <w:ind w:left="1134"/>
        <w:jc w:val="both"/>
      </w:pPr>
      <w:r>
        <w:rPr>
          <w:rStyle w:val="soitChar"/>
        </w:rPr>
        <w:t>Conformément à l’article 81.34.1b Peintures intérieures intumescentes sur supports métalliques ferreux et non ferreux.</w:t>
      </w:r>
    </w:p>
    <w:p w14:paraId="533DF0E2" w14:textId="77777777" w:rsidR="00DB2B68" w:rsidRDefault="00000000">
      <w:pPr>
        <w:ind w:left="1134"/>
        <w:jc w:val="both"/>
      </w:pPr>
      <w:r>
        <w:rPr>
          <w:rStyle w:val="soitChar"/>
        </w:rPr>
        <w:t>Ce traitement est compris par défaut dans le poste, sauf contre-indication dans le cahier spécial des charges, à l’article concerné ci-dessus.</w:t>
      </w:r>
      <w:r>
        <w:rPr>
          <w:rStyle w:val="facultChar"/>
        </w:rPr>
        <w:t> </w:t>
      </w:r>
    </w:p>
    <w:p w14:paraId="0A4EF7D4" w14:textId="77777777" w:rsidR="00DB2B68" w:rsidRDefault="00000000">
      <w:pPr>
        <w:pStyle w:val="Author-eListParagraph"/>
        <w:numPr>
          <w:ilvl w:val="0"/>
          <w:numId w:val="729"/>
        </w:numPr>
        <w:jc w:val="both"/>
      </w:pPr>
      <w:r>
        <w:rPr>
          <w:rStyle w:val="facultChar"/>
          <w:u w:val="single"/>
        </w:rPr>
        <w:t>Finition du bois</w:t>
      </w:r>
    </w:p>
    <w:p w14:paraId="12863ECF" w14:textId="77777777" w:rsidR="00DB2B68" w:rsidRDefault="00000000">
      <w:pPr>
        <w:pStyle w:val="Author-eListParagraph"/>
        <w:numPr>
          <w:ilvl w:val="0"/>
          <w:numId w:val="729"/>
        </w:numPr>
        <w:jc w:val="both"/>
      </w:pPr>
      <w:r>
        <w:rPr>
          <w:rStyle w:val="facultChar"/>
        </w:rPr>
        <w:t xml:space="preserve">Toutes les parties en bois sont vernies en deux couches selon les titres 81.2 Peintures intérieures sur subjectiles en bois et dérivés du bois (feuillus, résineux, bois exotiques, panneaux) ou 82.2 Peintures extérieures sur subjectiles en bois et dérivés du bois (feuillus, résineux, bois exotiques, panneaux) et éléments et articles qui en découlent. </w:t>
      </w:r>
    </w:p>
    <w:p w14:paraId="432446EB" w14:textId="77777777" w:rsidR="00DB2B68" w:rsidRDefault="00000000">
      <w:pPr>
        <w:pStyle w:val="Author-eListParagraph"/>
        <w:numPr>
          <w:ilvl w:val="0"/>
          <w:numId w:val="729"/>
        </w:numPr>
        <w:jc w:val="both"/>
      </w:pPr>
      <w:r>
        <w:rPr>
          <w:rStyle w:val="facultChar"/>
        </w:rPr>
        <w:t>Le traitement est compris dans le prix du poste. Le bois est protégé jusqu'à réception provisoire dans un emballage de protection évitant les chocs et rayures.</w:t>
      </w:r>
    </w:p>
    <w:p w14:paraId="61C1764B" w14:textId="77777777" w:rsidR="00DB2B68" w:rsidRDefault="00000000">
      <w:pPr>
        <w:pStyle w:val="pheading"/>
      </w:pPr>
      <w:r>
        <w:t>EXÉCUTION / MISE EN ŒUVRE</w:t>
      </w:r>
    </w:p>
    <w:p w14:paraId="55E3FBAE" w14:textId="77777777" w:rsidR="00DB2B68" w:rsidRDefault="00000000">
      <w:pPr>
        <w:pStyle w:val="pheading"/>
      </w:pPr>
      <w:r>
        <w:t>- Prescriptions générales</w:t>
      </w:r>
    </w:p>
    <w:p w14:paraId="263B1349" w14:textId="77777777" w:rsidR="00DB2B68" w:rsidRDefault="00000000">
      <w:pPr>
        <w:jc w:val="both"/>
      </w:pPr>
      <w:r>
        <w:t>Toutes les pièces sont profilées conformément aux plans d'adjudication et/ou aux dessins d'exécution. Ces dessins d'exécution sont soumis à l'approbation de l’auteur de projet.</w:t>
      </w:r>
    </w:p>
    <w:p w14:paraId="435F9F87" w14:textId="77777777" w:rsidR="00DB2B68" w:rsidRDefault="00000000">
      <w:pPr>
        <w:jc w:val="both"/>
      </w:pPr>
      <w:r>
        <w:t>Pour les escaliers à paliers, lors de l'établissement du dessin d'exécution, l’entrepreneur veille à respecter une ligne souple pour la main-courante. Dans la mesure du possible, l'escalier est préfabriqué en atelier et amené sur le chantier en une seule fois.</w:t>
      </w:r>
    </w:p>
    <w:p w14:paraId="4677C6E0" w14:textId="77777777" w:rsidR="00DB2B68" w:rsidRDefault="00000000">
      <w:pPr>
        <w:jc w:val="both"/>
      </w:pPr>
      <w:r>
        <w:t xml:space="preserve">L'étude et les plans d'exécution sont réalisés sur base : </w:t>
      </w:r>
      <w:r>
        <w:rPr>
          <w:rStyle w:val="optioncarChar"/>
        </w:rPr>
        <w:t xml:space="preserve">des études et dessins de détail annexés au dossier d'adjudication </w:t>
      </w:r>
      <w:r>
        <w:t>(par défaut)</w:t>
      </w:r>
      <w:r>
        <w:rPr>
          <w:rStyle w:val="optioncarChar"/>
        </w:rPr>
        <w:t xml:space="preserve"> / à charge de l’entreprise</w:t>
      </w:r>
      <w:r>
        <w:t>.</w:t>
      </w:r>
    </w:p>
    <w:p w14:paraId="7C154821" w14:textId="77777777" w:rsidR="00DB2B68" w:rsidRDefault="00000000">
      <w:pPr>
        <w:jc w:val="both"/>
      </w:pPr>
      <w:r>
        <w:rPr>
          <w:b/>
          <w:u w:val="single"/>
        </w:rPr>
        <w:t>Etudes et dessins de détail annexés au dossier d'adjudication</w:t>
      </w:r>
    </w:p>
    <w:p w14:paraId="577D0223" w14:textId="77777777" w:rsidR="00DB2B68" w:rsidRDefault="00000000">
      <w:pPr>
        <w:jc w:val="both"/>
      </w:pPr>
      <w:r>
        <w:t>Les dessins d’exécution sont réalisés selon l’étude des plans et des détails de l'auteur de projet annexés au dossier d'adjudication.</w:t>
      </w:r>
    </w:p>
    <w:p w14:paraId="71C7E522" w14:textId="77777777" w:rsidR="00DB2B68" w:rsidRDefault="00000000">
      <w:pPr>
        <w:jc w:val="both"/>
      </w:pPr>
      <w:r>
        <w:rPr>
          <w:b/>
          <w:u w:val="single"/>
        </w:rPr>
        <w:t>Etudes et dessins à charge de l’entreprise</w:t>
      </w:r>
    </w:p>
    <w:p w14:paraId="1CAE4330" w14:textId="77777777" w:rsidR="00DB2B68" w:rsidRDefault="00000000">
      <w:pPr>
        <w:jc w:val="both"/>
      </w:pPr>
      <w:r>
        <w:t>Les études et les dessins d’exécution sont réalisés sur base des informations suivantes, complémentaires aux plans et coupes de soumission:</w:t>
      </w:r>
    </w:p>
    <w:p w14:paraId="64544966" w14:textId="77777777" w:rsidR="00DB2B68" w:rsidRDefault="00000000">
      <w:pPr>
        <w:jc w:val="both"/>
      </w:pPr>
      <w:r>
        <w:t xml:space="preserve">Conformément aux prescriptions du sous-titre </w:t>
      </w:r>
      <w:hyperlink w:anchor="558" w:history="1">
        <w:r>
          <w:rPr>
            <w:color w:val="0000EE"/>
          </w:rPr>
          <w:t>23.31 Escaliers métalliques</w:t>
        </w:r>
      </w:hyperlink>
      <w:r>
        <w:t> :</w:t>
      </w:r>
    </w:p>
    <w:p w14:paraId="1090BA67" w14:textId="77777777" w:rsidR="00DB2B68" w:rsidRDefault="00000000">
      <w:pPr>
        <w:jc w:val="both"/>
      </w:pPr>
      <w:r>
        <w:rPr>
          <w:i/>
        </w:rPr>
        <w:t>Général</w:t>
      </w:r>
    </w:p>
    <w:p w14:paraId="1B4BCDEC" w14:textId="77777777" w:rsidR="00DB2B68" w:rsidRDefault="00000000">
      <w:pPr>
        <w:pStyle w:val="Author-eListParagraph"/>
        <w:numPr>
          <w:ilvl w:val="0"/>
          <w:numId w:val="730"/>
        </w:numPr>
      </w:pPr>
      <w:r>
        <w:t xml:space="preserve">Module du pas : </w:t>
      </w:r>
      <w:r>
        <w:rPr>
          <w:rStyle w:val="optioncarChar"/>
        </w:rPr>
        <w:t xml:space="preserve">escalier privé </w:t>
      </w:r>
      <w:r>
        <w:t xml:space="preserve">(par défaut) </w:t>
      </w:r>
      <w:r>
        <w:rPr>
          <w:rStyle w:val="optioncarChar"/>
        </w:rPr>
        <w:t>/ escalier public</w:t>
      </w:r>
      <w:r>
        <w:t>.</w:t>
      </w:r>
    </w:p>
    <w:p w14:paraId="46279BAB" w14:textId="77777777" w:rsidR="00DB2B68" w:rsidRDefault="00000000">
      <w:pPr>
        <w:pStyle w:val="Author-eListParagraph"/>
        <w:numPr>
          <w:ilvl w:val="0"/>
          <w:numId w:val="730"/>
        </w:numPr>
      </w:pPr>
      <w:r>
        <w:t xml:space="preserve">Escalier accessible aux PMR : </w:t>
      </w:r>
      <w:r>
        <w:rPr>
          <w:rStyle w:val="optioncarChar"/>
        </w:rPr>
        <w:t xml:space="preserve">oui </w:t>
      </w:r>
      <w:r>
        <w:t>(par défaut)</w:t>
      </w:r>
      <w:r>
        <w:rPr>
          <w:rStyle w:val="optioncarChar"/>
        </w:rPr>
        <w:t xml:space="preserve"> / non</w:t>
      </w:r>
      <w:r>
        <w:t>.</w:t>
      </w:r>
    </w:p>
    <w:p w14:paraId="788BCD27" w14:textId="77777777" w:rsidR="00DB2B68" w:rsidRDefault="00000000">
      <w:pPr>
        <w:jc w:val="both"/>
      </w:pPr>
      <w:r>
        <w:rPr>
          <w:i/>
        </w:rPr>
        <w:t>Limons</w:t>
      </w:r>
    </w:p>
    <w:p w14:paraId="264A4FCC" w14:textId="77777777" w:rsidR="00DB2B68" w:rsidRDefault="00000000">
      <w:pPr>
        <w:jc w:val="both"/>
      </w:pPr>
      <w:r>
        <w:t xml:space="preserve">Les limons sont fixés dans les murs ou les paliers à l’aide d’ancrages chimiques suivant les prescriptions du sous-titre </w:t>
      </w:r>
      <w:hyperlink w:anchor="558" w:history="1">
        <w:r>
          <w:rPr>
            <w:color w:val="0000EE"/>
          </w:rPr>
          <w:t>23.31 Escaliers métalliques</w:t>
        </w:r>
      </w:hyperlink>
      <w:r>
        <w:t>.</w:t>
      </w:r>
    </w:p>
    <w:p w14:paraId="0BE41E0E" w14:textId="77777777" w:rsidR="00DB2B68" w:rsidRDefault="00000000">
      <w:pPr>
        <w:pStyle w:val="Author-eListParagraph"/>
        <w:numPr>
          <w:ilvl w:val="0"/>
          <w:numId w:val="731"/>
        </w:numPr>
      </w:pPr>
      <w:r>
        <w:t xml:space="preserve">Forme : </w:t>
      </w:r>
      <w:r>
        <w:rPr>
          <w:rStyle w:val="optioncarChar"/>
        </w:rPr>
        <w:t xml:space="preserve">deux limons </w:t>
      </w:r>
      <w:r>
        <w:t>(par défaut)</w:t>
      </w:r>
      <w:r>
        <w:rPr>
          <w:rStyle w:val="optioncarChar"/>
        </w:rPr>
        <w:t xml:space="preserve"> / un limon central / un tube central vertical (colimaçon) / ***</w:t>
      </w:r>
      <w:r>
        <w:t>.</w:t>
      </w:r>
    </w:p>
    <w:p w14:paraId="4961A380" w14:textId="77777777" w:rsidR="00DB2B68" w:rsidRDefault="00000000">
      <w:pPr>
        <w:pStyle w:val="Author-eListParagraph"/>
        <w:numPr>
          <w:ilvl w:val="0"/>
          <w:numId w:val="731"/>
        </w:numPr>
      </w:pPr>
      <w:r>
        <w:t xml:space="preserve">Type : </w:t>
      </w:r>
      <w:r>
        <w:rPr>
          <w:rStyle w:val="optioncarChar"/>
        </w:rPr>
        <w:t xml:space="preserve">linéaire continu </w:t>
      </w:r>
      <w:r>
        <w:t>(par défaut)</w:t>
      </w:r>
      <w:r>
        <w:rPr>
          <w:rStyle w:val="optioncarChar"/>
        </w:rPr>
        <w:t xml:space="preserve"> / à crémaillère / ***</w:t>
      </w:r>
      <w:r>
        <w:t>.</w:t>
      </w:r>
    </w:p>
    <w:p w14:paraId="41CA49FB" w14:textId="77777777" w:rsidR="00DB2B68" w:rsidRDefault="00000000">
      <w:pPr>
        <w:pStyle w:val="Author-eListParagraph"/>
        <w:numPr>
          <w:ilvl w:val="0"/>
          <w:numId w:val="731"/>
        </w:numPr>
      </w:pPr>
      <w:r>
        <w:t xml:space="preserve">Profil : </w:t>
      </w:r>
      <w:r>
        <w:rPr>
          <w:rStyle w:val="optioncarChar"/>
        </w:rPr>
        <w:t xml:space="preserve">UPN </w:t>
      </w:r>
      <w:r>
        <w:t>(par défaut)</w:t>
      </w:r>
      <w:r>
        <w:rPr>
          <w:rStyle w:val="optioncarChar"/>
        </w:rPr>
        <w:t xml:space="preserve"> / plat / IPE / tube rectangulaire (RHS) / tube circulaire (CHS) / ***</w:t>
      </w:r>
      <w:r>
        <w:t>.</w:t>
      </w:r>
    </w:p>
    <w:p w14:paraId="0884EBEB" w14:textId="77777777" w:rsidR="00DB2B68" w:rsidRDefault="00000000">
      <w:pPr>
        <w:jc w:val="both"/>
      </w:pPr>
      <w:r>
        <w:rPr>
          <w:i/>
        </w:rPr>
        <w:t>Balancement</w:t>
      </w:r>
    </w:p>
    <w:p w14:paraId="6E5B3FA7" w14:textId="77777777" w:rsidR="00DB2B68" w:rsidRDefault="00000000">
      <w:pPr>
        <w:pStyle w:val="Author-eListParagraph"/>
        <w:numPr>
          <w:ilvl w:val="0"/>
          <w:numId w:val="732"/>
        </w:numPr>
      </w:pPr>
      <w:r>
        <w:t xml:space="preserve">Type d’escalier : </w:t>
      </w:r>
      <w:r>
        <w:rPr>
          <w:rStyle w:val="optioncarChar"/>
        </w:rPr>
        <w:t>quart tournant / demi tournant</w:t>
      </w:r>
      <w:r>
        <w:t>.</w:t>
      </w:r>
    </w:p>
    <w:p w14:paraId="3DA5ED18" w14:textId="77777777" w:rsidR="00DB2B68" w:rsidRDefault="00000000">
      <w:pPr>
        <w:pStyle w:val="Author-eListParagraph"/>
        <w:numPr>
          <w:ilvl w:val="0"/>
          <w:numId w:val="732"/>
        </w:numPr>
      </w:pPr>
      <w:r>
        <w:lastRenderedPageBreak/>
        <w:t>Position :</w:t>
      </w:r>
      <w:r>
        <w:rPr>
          <w:rStyle w:val="optioncarChar"/>
        </w:rPr>
        <w:t xml:space="preserve"> au début / à la fin / au début et à la fin / dans la volée / suivant méthode ci-dessous</w:t>
      </w:r>
      <w:r>
        <w:t xml:space="preserve"> (par défaut).</w:t>
      </w:r>
    </w:p>
    <w:p w14:paraId="21857C46" w14:textId="77777777" w:rsidR="00DB2B68" w:rsidRDefault="00000000">
      <w:pPr>
        <w:pStyle w:val="Author-eListParagraph"/>
        <w:numPr>
          <w:ilvl w:val="0"/>
          <w:numId w:val="732"/>
        </w:numPr>
      </w:pPr>
      <w:r>
        <w:t xml:space="preserve">Méthode de balancement [NIT 198] § 5.2: </w:t>
      </w:r>
      <w:r>
        <w:rPr>
          <w:rStyle w:val="optioncarChar"/>
        </w:rPr>
        <w:t xml:space="preserve">Escaliers en colimaçon ronds ou rectangulaires (5.2.2.1) / Méthode de balancement des marches pour les escaliers à quartier tournant et les escaliers tournants (5.2.3.1) </w:t>
      </w:r>
      <w:r>
        <w:t>(par défaut)</w:t>
      </w:r>
      <w:r>
        <w:rPr>
          <w:rStyle w:val="optioncarChar"/>
        </w:rPr>
        <w:t xml:space="preserve"> / méthode pour obtenir un limon intérieur droit, les marches balancées se situant uniquement dans le premier ou dernier quartier (5.2.3.4) / Méthode CE pour les escaliers à quartier tournant (5.2.3.6)</w:t>
      </w:r>
      <w:r>
        <w:t>.</w:t>
      </w:r>
    </w:p>
    <w:p w14:paraId="18FD5902" w14:textId="77777777" w:rsidR="00DB2B68" w:rsidRDefault="00000000">
      <w:pPr>
        <w:jc w:val="both"/>
      </w:pPr>
      <w:r>
        <w:rPr>
          <w:i/>
        </w:rPr>
        <w:t>Marches</w:t>
      </w:r>
    </w:p>
    <w:p w14:paraId="4A4C5175" w14:textId="77777777" w:rsidR="00DB2B68" w:rsidRDefault="00000000">
      <w:pPr>
        <w:pStyle w:val="Author-eListParagraph"/>
        <w:numPr>
          <w:ilvl w:val="0"/>
          <w:numId w:val="733"/>
        </w:numPr>
      </w:pPr>
      <w:r>
        <w:t xml:space="preserve">Fixations des marches : </w:t>
      </w:r>
      <w:r>
        <w:rPr>
          <w:rStyle w:val="optioncarChar"/>
        </w:rPr>
        <w:t xml:space="preserve">latéralement aux limons </w:t>
      </w:r>
      <w:r>
        <w:t>(par défaut)</w:t>
      </w:r>
      <w:r>
        <w:rPr>
          <w:rStyle w:val="optioncarChar"/>
        </w:rPr>
        <w:t xml:space="preserve"> / posées sur le(s) limon(s) / ***</w:t>
      </w:r>
      <w:r>
        <w:t>.</w:t>
      </w:r>
    </w:p>
    <w:p w14:paraId="6CDDC407" w14:textId="77777777" w:rsidR="00DB2B68" w:rsidRDefault="00000000">
      <w:pPr>
        <w:pStyle w:val="Author-eListParagraph"/>
        <w:numPr>
          <w:ilvl w:val="0"/>
          <w:numId w:val="733"/>
        </w:numPr>
      </w:pPr>
      <w:r>
        <w:t xml:space="preserve">Type de fixation </w:t>
      </w:r>
      <w:r>
        <w:rPr>
          <w:rStyle w:val="optioncarChar"/>
        </w:rPr>
        <w:t xml:space="preserve">par soudure </w:t>
      </w:r>
      <w:r>
        <w:t>(par défaut)</w:t>
      </w:r>
      <w:r>
        <w:rPr>
          <w:rStyle w:val="optioncarChar"/>
        </w:rPr>
        <w:t xml:space="preserve"> / boulonnage</w:t>
      </w:r>
      <w:r>
        <w:t>.</w:t>
      </w:r>
    </w:p>
    <w:p w14:paraId="12B6282C" w14:textId="77777777" w:rsidR="00DB2B68" w:rsidRDefault="00000000">
      <w:pPr>
        <w:pStyle w:val="Author-eListParagraph"/>
        <w:numPr>
          <w:ilvl w:val="0"/>
          <w:numId w:val="733"/>
        </w:numPr>
      </w:pPr>
      <w:r>
        <w:t xml:space="preserve">Marches palières :  </w:t>
      </w:r>
    </w:p>
    <w:p w14:paraId="712FDB8D" w14:textId="77777777" w:rsidR="00DB2B68" w:rsidRDefault="00000000">
      <w:pPr>
        <w:pStyle w:val="Author-eListParagraph"/>
        <w:numPr>
          <w:ilvl w:val="1"/>
          <w:numId w:val="734"/>
        </w:numPr>
      </w:pPr>
      <w:r>
        <w:t xml:space="preserve">Largeur : </w:t>
      </w:r>
      <w:r>
        <w:rPr>
          <w:rStyle w:val="optioncarChar"/>
        </w:rPr>
        <w:t xml:space="preserve">120 </w:t>
      </w:r>
      <w:r>
        <w:t>(par défaut)</w:t>
      </w:r>
      <w:r>
        <w:rPr>
          <w:rStyle w:val="optioncarChar"/>
        </w:rPr>
        <w:t xml:space="preserve"> / 150 / ***</w:t>
      </w:r>
      <w:r>
        <w:t xml:space="preserve"> mm.</w:t>
      </w:r>
    </w:p>
    <w:p w14:paraId="54069992" w14:textId="77777777" w:rsidR="00DB2B68" w:rsidRDefault="00000000">
      <w:pPr>
        <w:pStyle w:val="Author-eListParagraph"/>
        <w:numPr>
          <w:ilvl w:val="1"/>
          <w:numId w:val="734"/>
        </w:numPr>
      </w:pPr>
      <w:r>
        <w:t>Forme :</w:t>
      </w:r>
      <w:r>
        <w:rPr>
          <w:rStyle w:val="optioncarChar"/>
        </w:rPr>
        <w:t xml:space="preserve"> droite</w:t>
      </w:r>
      <w:r>
        <w:t xml:space="preserve"> (par défaut)</w:t>
      </w:r>
      <w:r>
        <w:rPr>
          <w:rStyle w:val="optioncarChar"/>
        </w:rPr>
        <w:t xml:space="preserve"> / ***</w:t>
      </w:r>
      <w:r>
        <w:t>.</w:t>
      </w:r>
    </w:p>
    <w:p w14:paraId="1C3E5EDE" w14:textId="77777777" w:rsidR="00DB2B68" w:rsidRDefault="00000000">
      <w:pPr>
        <w:pStyle w:val="Author-eListParagraph"/>
        <w:numPr>
          <w:ilvl w:val="0"/>
          <w:numId w:val="733"/>
        </w:numPr>
      </w:pPr>
      <w:r>
        <w:t xml:space="preserve">Contremarches :  </w:t>
      </w:r>
      <w:r>
        <w:rPr>
          <w:rStyle w:val="optioncarChar"/>
        </w:rPr>
        <w:t xml:space="preserve">oui </w:t>
      </w:r>
      <w:r>
        <w:t>(par défaut)</w:t>
      </w:r>
      <w:r>
        <w:rPr>
          <w:rStyle w:val="optioncarChar"/>
        </w:rPr>
        <w:t xml:space="preserve"> / non</w:t>
      </w:r>
      <w:r>
        <w:t>.</w:t>
      </w:r>
    </w:p>
    <w:p w14:paraId="1FCA228C" w14:textId="77777777" w:rsidR="00DB2B68" w:rsidRDefault="00000000">
      <w:pPr>
        <w:ind w:left="1134"/>
        <w:jc w:val="both"/>
      </w:pPr>
      <w:r>
        <w:rPr>
          <w:b/>
          <w:i/>
        </w:rPr>
        <w:t>(Soit par défaut)</w:t>
      </w:r>
    </w:p>
    <w:p w14:paraId="289C1BAB" w14:textId="77777777" w:rsidR="00DB2B68" w:rsidRDefault="00000000">
      <w:pPr>
        <w:ind w:left="1134"/>
        <w:jc w:val="both"/>
      </w:pPr>
      <w:r>
        <w:rPr>
          <w:rStyle w:val="soitChar"/>
          <w:u w:val="single"/>
        </w:rPr>
        <w:t>Oui</w:t>
      </w:r>
    </w:p>
    <w:p w14:paraId="07DE3B8D" w14:textId="77777777" w:rsidR="00DB2B68" w:rsidRDefault="00000000">
      <w:pPr>
        <w:pStyle w:val="Author-eListParagraph"/>
        <w:numPr>
          <w:ilvl w:val="0"/>
          <w:numId w:val="735"/>
        </w:numPr>
      </w:pPr>
      <w:r>
        <w:rPr>
          <w:rStyle w:val="soitChar"/>
        </w:rPr>
        <w:t xml:space="preserve">Type : </w:t>
      </w:r>
      <w:r>
        <w:rPr>
          <w:rStyle w:val="optioncarChar"/>
        </w:rPr>
        <w:t xml:space="preserve">pleines (PMR) </w:t>
      </w:r>
      <w:r>
        <w:t>(par défaut)</w:t>
      </w:r>
      <w:r>
        <w:rPr>
          <w:rStyle w:val="optioncarChar"/>
        </w:rPr>
        <w:t xml:space="preserve"> / perforées / ***</w:t>
      </w:r>
      <w:r>
        <w:rPr>
          <w:rStyle w:val="soitChar"/>
        </w:rPr>
        <w:t>.</w:t>
      </w:r>
    </w:p>
    <w:p w14:paraId="739F4E2F" w14:textId="77777777" w:rsidR="00DB2B68" w:rsidRDefault="00000000">
      <w:pPr>
        <w:pStyle w:val="Author-eListParagraph"/>
        <w:numPr>
          <w:ilvl w:val="0"/>
          <w:numId w:val="735"/>
        </w:numPr>
      </w:pPr>
      <w:r>
        <w:rPr>
          <w:rStyle w:val="soitChar"/>
        </w:rPr>
        <w:t xml:space="preserve">Forme : </w:t>
      </w:r>
      <w:r>
        <w:rPr>
          <w:rStyle w:val="optioncarChar"/>
        </w:rPr>
        <w:t xml:space="preserve">verticale / oblique (PMR) </w:t>
      </w:r>
      <w:r>
        <w:t xml:space="preserve">(par défaut) </w:t>
      </w:r>
      <w:r>
        <w:rPr>
          <w:rStyle w:val="optioncarChar"/>
        </w:rPr>
        <w:t>/ ***</w:t>
      </w:r>
      <w:r>
        <w:rPr>
          <w:rStyle w:val="soitChar"/>
        </w:rPr>
        <w:t>.</w:t>
      </w:r>
    </w:p>
    <w:p w14:paraId="41876998" w14:textId="77777777" w:rsidR="00DB2B68" w:rsidRDefault="00000000">
      <w:pPr>
        <w:pStyle w:val="Author-eListParagraph"/>
        <w:numPr>
          <w:ilvl w:val="0"/>
          <w:numId w:val="735"/>
        </w:numPr>
      </w:pPr>
      <w:r>
        <w:rPr>
          <w:rStyle w:val="soitChar"/>
        </w:rPr>
        <w:t>Nez de marches :</w:t>
      </w:r>
    </w:p>
    <w:p w14:paraId="02EAC443" w14:textId="77777777" w:rsidR="00DB2B68" w:rsidRDefault="00000000">
      <w:pPr>
        <w:pStyle w:val="Author-eListParagraph"/>
        <w:numPr>
          <w:ilvl w:val="1"/>
          <w:numId w:val="736"/>
        </w:numPr>
      </w:pPr>
      <w:r>
        <w:rPr>
          <w:rStyle w:val="soitChar"/>
        </w:rPr>
        <w:t xml:space="preserve">Dimensions des nez de marches : maximum </w:t>
      </w:r>
      <w:r>
        <w:rPr>
          <w:rStyle w:val="optioncarChar"/>
        </w:rPr>
        <w:t xml:space="preserve">25 (PMR) </w:t>
      </w:r>
      <w:r>
        <w:t>(par défaut)</w:t>
      </w:r>
      <w:r>
        <w:rPr>
          <w:rStyle w:val="optioncarChar"/>
        </w:rPr>
        <w:t xml:space="preserve"> / 30 / 40 / 50</w:t>
      </w:r>
      <w:r>
        <w:rPr>
          <w:rStyle w:val="soitChar"/>
        </w:rPr>
        <w:t> mm.</w:t>
      </w:r>
    </w:p>
    <w:p w14:paraId="0378023B" w14:textId="77777777" w:rsidR="00DB2B68" w:rsidRDefault="00000000">
      <w:pPr>
        <w:pStyle w:val="Author-eListParagraph"/>
        <w:numPr>
          <w:ilvl w:val="1"/>
          <w:numId w:val="736"/>
        </w:numPr>
      </w:pPr>
      <w:r>
        <w:rPr>
          <w:rStyle w:val="soitChar"/>
        </w:rPr>
        <w:t xml:space="preserve">Forme : </w:t>
      </w:r>
      <w:r>
        <w:rPr>
          <w:rStyle w:val="optioncarChar"/>
        </w:rPr>
        <w:t xml:space="preserve">non saillants (PMR) </w:t>
      </w:r>
      <w:r>
        <w:t xml:space="preserve">(par défaut) </w:t>
      </w:r>
      <w:r>
        <w:rPr>
          <w:rStyle w:val="optioncarChar"/>
        </w:rPr>
        <w:t>/ ***</w:t>
      </w:r>
      <w:r>
        <w:rPr>
          <w:rStyle w:val="soitChar"/>
        </w:rPr>
        <w:t>.</w:t>
      </w:r>
    </w:p>
    <w:p w14:paraId="2DFA3447" w14:textId="77777777" w:rsidR="00DB2B68" w:rsidRDefault="00000000">
      <w:pPr>
        <w:pStyle w:val="Author-eListParagraph"/>
        <w:numPr>
          <w:ilvl w:val="1"/>
          <w:numId w:val="736"/>
        </w:numPr>
      </w:pPr>
      <w:r>
        <w:rPr>
          <w:rStyle w:val="soitChar"/>
        </w:rPr>
        <w:t xml:space="preserve">Rayon de courbure: </w:t>
      </w:r>
      <w:r>
        <w:rPr>
          <w:rStyle w:val="optioncarChar"/>
        </w:rPr>
        <w:t xml:space="preserve">3 à 8 mm </w:t>
      </w:r>
      <w:r>
        <w:t>(par défaut)</w:t>
      </w:r>
      <w:r>
        <w:rPr>
          <w:rStyle w:val="optioncarChar"/>
        </w:rPr>
        <w:t xml:space="preserve"> / les bords des nez de marches sont cassés / ***</w:t>
      </w:r>
      <w:r>
        <w:rPr>
          <w:rStyle w:val="soitChar"/>
        </w:rPr>
        <w:t>.</w:t>
      </w:r>
    </w:p>
    <w:p w14:paraId="72B46404" w14:textId="77777777" w:rsidR="00DB2B68" w:rsidRDefault="00000000">
      <w:pPr>
        <w:pStyle w:val="Author-eListParagraph"/>
        <w:numPr>
          <w:ilvl w:val="1"/>
          <w:numId w:val="736"/>
        </w:numPr>
      </w:pPr>
      <w:r>
        <w:rPr>
          <w:rStyle w:val="soitChar"/>
        </w:rPr>
        <w:t xml:space="preserve">Listels : </w:t>
      </w:r>
      <w:r>
        <w:rPr>
          <w:rStyle w:val="optioncarChar"/>
        </w:rPr>
        <w:t xml:space="preserve">non </w:t>
      </w:r>
      <w:r>
        <w:t>(par défaut)</w:t>
      </w:r>
      <w:r>
        <w:rPr>
          <w:rStyle w:val="optioncarChar"/>
        </w:rPr>
        <w:t xml:space="preserve"> / carré / quart-de-rond / ***</w:t>
      </w:r>
      <w:r>
        <w:rPr>
          <w:rStyle w:val="soitChar"/>
        </w:rPr>
        <w:t>.</w:t>
      </w:r>
    </w:p>
    <w:p w14:paraId="0D6DF56A" w14:textId="77777777" w:rsidR="00DB2B68" w:rsidRDefault="00000000">
      <w:pPr>
        <w:ind w:left="1134"/>
        <w:jc w:val="both"/>
      </w:pPr>
      <w:r>
        <w:rPr>
          <w:b/>
          <w:i/>
        </w:rPr>
        <w:t>(Soit)</w:t>
      </w:r>
    </w:p>
    <w:p w14:paraId="4E6C9A6E" w14:textId="77777777" w:rsidR="00DB2B68" w:rsidRDefault="00000000">
      <w:pPr>
        <w:ind w:left="1134"/>
        <w:jc w:val="both"/>
      </w:pPr>
      <w:r>
        <w:rPr>
          <w:rStyle w:val="soitChar"/>
          <w:u w:val="single"/>
        </w:rPr>
        <w:t>Non</w:t>
      </w:r>
    </w:p>
    <w:p w14:paraId="376D4D45" w14:textId="77777777" w:rsidR="00DB2B68" w:rsidRDefault="00000000">
      <w:pPr>
        <w:ind w:left="1134"/>
        <w:jc w:val="both"/>
      </w:pPr>
      <w:r>
        <w:rPr>
          <w:rStyle w:val="soitChar"/>
        </w:rPr>
        <w:t>Pas de contremarche.</w:t>
      </w:r>
    </w:p>
    <w:p w14:paraId="773A2BB3" w14:textId="77777777" w:rsidR="00DB2B68" w:rsidRDefault="00000000">
      <w:pPr>
        <w:pStyle w:val="Author-eListParagraph"/>
        <w:numPr>
          <w:ilvl w:val="0"/>
          <w:numId w:val="737"/>
        </w:numPr>
      </w:pPr>
      <w:r>
        <w:t xml:space="preserve">Indicateurs visuels :  </w:t>
      </w:r>
      <w:r>
        <w:rPr>
          <w:rStyle w:val="optioncarChar"/>
        </w:rPr>
        <w:t xml:space="preserve">oui </w:t>
      </w:r>
      <w:r>
        <w:t>(par défaut)</w:t>
      </w:r>
      <w:r>
        <w:rPr>
          <w:rStyle w:val="optioncarChar"/>
        </w:rPr>
        <w:t xml:space="preserve"> / non.</w:t>
      </w:r>
    </w:p>
    <w:p w14:paraId="0DAB77DA" w14:textId="77777777" w:rsidR="00DB2B68" w:rsidRDefault="00000000">
      <w:pPr>
        <w:ind w:left="1134"/>
        <w:jc w:val="both"/>
      </w:pPr>
      <w:r>
        <w:rPr>
          <w:b/>
          <w:i/>
        </w:rPr>
        <w:t>(Soit par défaut)</w:t>
      </w:r>
    </w:p>
    <w:p w14:paraId="0621A98F" w14:textId="77777777" w:rsidR="00DB2B68" w:rsidRDefault="00000000">
      <w:pPr>
        <w:ind w:left="1134"/>
        <w:jc w:val="both"/>
      </w:pPr>
      <w:r>
        <w:rPr>
          <w:rStyle w:val="soitChar"/>
          <w:u w:val="single"/>
        </w:rPr>
        <w:t>Oui</w:t>
      </w:r>
    </w:p>
    <w:p w14:paraId="547291BD" w14:textId="77777777" w:rsidR="00DB2B68" w:rsidRDefault="00000000">
      <w:pPr>
        <w:pStyle w:val="Author-eListParagraph"/>
        <w:numPr>
          <w:ilvl w:val="0"/>
          <w:numId w:val="738"/>
        </w:numPr>
      </w:pPr>
      <w:r>
        <w:rPr>
          <w:rStyle w:val="soitChar"/>
        </w:rPr>
        <w:t>Localisation :</w:t>
      </w:r>
      <w:r>
        <w:rPr>
          <w:rStyle w:val="optioncarChar"/>
        </w:rPr>
        <w:t xml:space="preserve"> sur chaque marche (PMR)</w:t>
      </w:r>
      <w:r>
        <w:t xml:space="preserve"> (par défaut)</w:t>
      </w:r>
      <w:r>
        <w:rPr>
          <w:rStyle w:val="optioncarChar"/>
        </w:rPr>
        <w:t xml:space="preserve"> / sur la première et la dernière marche de chaque volée (PMR) / ***.</w:t>
      </w:r>
    </w:p>
    <w:p w14:paraId="4A4DE1BE" w14:textId="77777777" w:rsidR="00DB2B68" w:rsidRDefault="00000000">
      <w:pPr>
        <w:pStyle w:val="Author-eListParagraph"/>
        <w:numPr>
          <w:ilvl w:val="0"/>
          <w:numId w:val="738"/>
        </w:numPr>
      </w:pPr>
      <w:r>
        <w:rPr>
          <w:rStyle w:val="soitChar"/>
        </w:rPr>
        <w:t xml:space="preserve">Largeur : </w:t>
      </w:r>
      <w:r>
        <w:rPr>
          <w:rStyle w:val="optioncarChar"/>
        </w:rPr>
        <w:t xml:space="preserve">continus sur toute la largeur des marches (PMR) </w:t>
      </w:r>
      <w:r>
        <w:t>(par défaut)</w:t>
      </w:r>
      <w:r>
        <w:rPr>
          <w:rStyle w:val="optioncarChar"/>
        </w:rPr>
        <w:t xml:space="preserve"> / ***.</w:t>
      </w:r>
    </w:p>
    <w:p w14:paraId="28DA06F3" w14:textId="77777777" w:rsidR="00DB2B68" w:rsidRDefault="00000000">
      <w:pPr>
        <w:pStyle w:val="Author-eListParagraph"/>
        <w:numPr>
          <w:ilvl w:val="0"/>
          <w:numId w:val="738"/>
        </w:numPr>
      </w:pPr>
      <w:r>
        <w:rPr>
          <w:rStyle w:val="soitChar"/>
        </w:rPr>
        <w:t xml:space="preserve">Revêtement : </w:t>
      </w:r>
      <w:r>
        <w:rPr>
          <w:rStyle w:val="optioncarChar"/>
        </w:rPr>
        <w:t xml:space="preserve">antidérapant (PMR) </w:t>
      </w:r>
      <w:r>
        <w:t>(par défaut)</w:t>
      </w:r>
      <w:r>
        <w:rPr>
          <w:rStyle w:val="optioncarChar"/>
        </w:rPr>
        <w:t xml:space="preserve"> / ***.</w:t>
      </w:r>
    </w:p>
    <w:p w14:paraId="4F495259" w14:textId="77777777" w:rsidR="00DB2B68" w:rsidRDefault="00000000">
      <w:pPr>
        <w:pStyle w:val="Author-eListParagraph"/>
        <w:numPr>
          <w:ilvl w:val="0"/>
          <w:numId w:val="738"/>
        </w:numPr>
      </w:pPr>
      <w:r>
        <w:rPr>
          <w:rStyle w:val="soitChar"/>
        </w:rPr>
        <w:t xml:space="preserve">Profondeur : </w:t>
      </w:r>
      <w:r>
        <w:rPr>
          <w:rStyle w:val="optioncarChar"/>
        </w:rPr>
        <w:t>minimum 4 (PMR)</w:t>
      </w:r>
      <w:r>
        <w:t xml:space="preserve"> (par défaut) </w:t>
      </w:r>
      <w:r>
        <w:rPr>
          <w:rStyle w:val="optioncarChar"/>
        </w:rPr>
        <w:t>/ ***</w:t>
      </w:r>
      <w:r>
        <w:rPr>
          <w:rStyle w:val="soitChar"/>
        </w:rPr>
        <w:t> cm.</w:t>
      </w:r>
    </w:p>
    <w:p w14:paraId="4AE8F167" w14:textId="77777777" w:rsidR="00DB2B68" w:rsidRDefault="00000000">
      <w:pPr>
        <w:pStyle w:val="Author-eListParagraph"/>
        <w:numPr>
          <w:ilvl w:val="0"/>
          <w:numId w:val="738"/>
        </w:numPr>
      </w:pPr>
      <w:r>
        <w:rPr>
          <w:rStyle w:val="soitChar"/>
        </w:rPr>
        <w:t xml:space="preserve">Contraste : différence de LRV par rapport aux marches de minimum </w:t>
      </w:r>
      <w:r>
        <w:rPr>
          <w:rStyle w:val="optioncarChar"/>
        </w:rPr>
        <w:t>60 (PMR)</w:t>
      </w:r>
      <w:r>
        <w:t xml:space="preserve"> (par défaut)</w:t>
      </w:r>
      <w:r>
        <w:rPr>
          <w:rStyle w:val="optioncarChar"/>
        </w:rPr>
        <w:t xml:space="preserve"> / ***</w:t>
      </w:r>
      <w:r>
        <w:rPr>
          <w:rStyle w:val="soitChar"/>
        </w:rPr>
        <w:t xml:space="preserve"> %.</w:t>
      </w:r>
    </w:p>
    <w:p w14:paraId="6581EAC9" w14:textId="77777777" w:rsidR="00DB2B68" w:rsidRDefault="00000000">
      <w:pPr>
        <w:ind w:left="1134"/>
        <w:jc w:val="both"/>
      </w:pPr>
      <w:r>
        <w:rPr>
          <w:b/>
          <w:i/>
        </w:rPr>
        <w:t>(Soit)</w:t>
      </w:r>
    </w:p>
    <w:p w14:paraId="44191037" w14:textId="77777777" w:rsidR="00DB2B68" w:rsidRDefault="00000000">
      <w:pPr>
        <w:ind w:left="1134"/>
        <w:jc w:val="both"/>
      </w:pPr>
      <w:r>
        <w:rPr>
          <w:rStyle w:val="soitChar"/>
          <w:u w:val="single"/>
        </w:rPr>
        <w:t>Non</w:t>
      </w:r>
    </w:p>
    <w:p w14:paraId="108FD6BD" w14:textId="77777777" w:rsidR="00DB2B68" w:rsidRDefault="00000000">
      <w:pPr>
        <w:ind w:left="1134"/>
        <w:jc w:val="both"/>
      </w:pPr>
      <w:r>
        <w:rPr>
          <w:rStyle w:val="soitChar"/>
        </w:rPr>
        <w:t>Pas d’indicateurs visuels.</w:t>
      </w:r>
    </w:p>
    <w:p w14:paraId="792DD272" w14:textId="77777777" w:rsidR="00DB2B68" w:rsidRDefault="00000000">
      <w:pPr>
        <w:jc w:val="both"/>
      </w:pPr>
      <w:r>
        <w:rPr>
          <w:i/>
        </w:rPr>
        <w:t>Palier</w:t>
      </w:r>
    </w:p>
    <w:p w14:paraId="6DEF4BAF" w14:textId="77777777" w:rsidR="00DB2B68" w:rsidRDefault="00000000">
      <w:pPr>
        <w:pStyle w:val="Author-eListParagraph"/>
        <w:numPr>
          <w:ilvl w:val="0"/>
          <w:numId w:val="739"/>
        </w:numPr>
      </w:pPr>
      <w:r>
        <w:t xml:space="preserve">Présence d’un palier : </w:t>
      </w:r>
      <w:r>
        <w:rPr>
          <w:rStyle w:val="optioncarChar"/>
        </w:rPr>
        <w:t>oui / non</w:t>
      </w:r>
      <w:r>
        <w:t xml:space="preserve"> (par défaut).</w:t>
      </w:r>
    </w:p>
    <w:p w14:paraId="1037648D" w14:textId="77777777" w:rsidR="00DB2B68" w:rsidRDefault="00000000">
      <w:pPr>
        <w:pStyle w:val="Author-eListParagraph"/>
        <w:numPr>
          <w:ilvl w:val="0"/>
          <w:numId w:val="739"/>
        </w:numPr>
      </w:pPr>
      <w:r>
        <w:t>Longueur : minimum</w:t>
      </w:r>
      <w:r>
        <w:rPr>
          <w:rStyle w:val="optioncarChar"/>
        </w:rPr>
        <w:t xml:space="preserve"> 2 hauteurs + 2 girons (2H+2G) </w:t>
      </w:r>
      <w:r>
        <w:t>(par défaut)</w:t>
      </w:r>
      <w:r>
        <w:rPr>
          <w:rStyle w:val="optioncarChar"/>
        </w:rPr>
        <w:t xml:space="preserve"> / ***</w:t>
      </w:r>
      <w:r>
        <w:t>.</w:t>
      </w:r>
    </w:p>
    <w:p w14:paraId="38191EF5" w14:textId="77777777" w:rsidR="00DB2B68" w:rsidRDefault="00000000">
      <w:pPr>
        <w:jc w:val="both"/>
      </w:pPr>
      <w:r>
        <w:rPr>
          <w:i/>
        </w:rPr>
        <w:t>Rampe – main-courante</w:t>
      </w:r>
    </w:p>
    <w:p w14:paraId="36C57D83" w14:textId="77777777" w:rsidR="00DB2B68" w:rsidRDefault="00000000">
      <w:pPr>
        <w:pStyle w:val="Author-eListParagraph"/>
        <w:numPr>
          <w:ilvl w:val="0"/>
          <w:numId w:val="740"/>
        </w:numPr>
      </w:pPr>
      <w:r>
        <w:t xml:space="preserve">Les rampes sont solidement boulonnées : </w:t>
      </w:r>
      <w:r>
        <w:rPr>
          <w:rStyle w:val="optioncarChar"/>
        </w:rPr>
        <w:t xml:space="preserve">aux limons périphériques </w:t>
      </w:r>
      <w:r>
        <w:t>(par défaut)</w:t>
      </w:r>
      <w:r>
        <w:rPr>
          <w:rStyle w:val="optioncarChar"/>
        </w:rPr>
        <w:t xml:space="preserve"> / aux marches.</w:t>
      </w:r>
    </w:p>
    <w:p w14:paraId="516CE2A1" w14:textId="77777777" w:rsidR="00DB2B68" w:rsidRDefault="00000000">
      <w:pPr>
        <w:pStyle w:val="Author-eListParagraph"/>
        <w:numPr>
          <w:ilvl w:val="0"/>
          <w:numId w:val="740"/>
        </w:numPr>
      </w:pPr>
      <w:r>
        <w:lastRenderedPageBreak/>
        <w:t xml:space="preserve">Les mains courantes sont solidement fixées: </w:t>
      </w:r>
      <w:r>
        <w:rPr>
          <w:rStyle w:val="optioncarChar"/>
        </w:rPr>
        <w:t>par ancrage chimique dans les parois</w:t>
      </w:r>
      <w:r>
        <w:t xml:space="preserve"> (par défaut) </w:t>
      </w:r>
      <w:r>
        <w:rPr>
          <w:rStyle w:val="optioncarChar"/>
        </w:rPr>
        <w:t>pas d’application.</w:t>
      </w:r>
    </w:p>
    <w:p w14:paraId="593F24BC" w14:textId="77777777" w:rsidR="00DB2B68" w:rsidRDefault="00000000">
      <w:pPr>
        <w:pStyle w:val="pheading"/>
      </w:pPr>
      <w:r>
        <w:t>- Notes d’exécution complémentaires</w:t>
      </w:r>
    </w:p>
    <w:p w14:paraId="66712FDD" w14:textId="77777777" w:rsidR="00DB2B68" w:rsidRDefault="00000000">
      <w:pPr>
        <w:jc w:val="both"/>
      </w:pPr>
      <w:r>
        <w:rPr>
          <w:rStyle w:val="facultChar"/>
        </w:rPr>
        <w:t>Le présent article comprend également :</w:t>
      </w:r>
      <w:r>
        <w:rPr>
          <w:rStyle w:val="optioncarChar"/>
        </w:rPr>
        <w:t xml:space="preserve"> les recommandations PMR / les coupures thermiques</w:t>
      </w:r>
      <w:r>
        <w:rPr>
          <w:rStyle w:val="facultChar"/>
        </w:rPr>
        <w:t>.</w:t>
      </w:r>
    </w:p>
    <w:p w14:paraId="1F461CE2" w14:textId="77777777" w:rsidR="00DB2B68" w:rsidRDefault="00000000">
      <w:pPr>
        <w:pStyle w:val="Author-eListParagraph"/>
        <w:numPr>
          <w:ilvl w:val="0"/>
          <w:numId w:val="741"/>
        </w:numPr>
      </w:pPr>
      <w:r>
        <w:rPr>
          <w:rStyle w:val="facultChar"/>
          <w:u w:val="single"/>
        </w:rPr>
        <w:t>Respect PMR</w:t>
      </w:r>
      <w:r>
        <w:br/>
      </w:r>
      <w:r>
        <w:rPr>
          <w:rStyle w:val="facultChar"/>
        </w:rPr>
        <w:t xml:space="preserve">Les recommandations pour les personnes à mobilité réduite (PMR) du sous-titre </w:t>
      </w:r>
      <w:hyperlink w:anchor="558" w:history="1">
        <w:r>
          <w:rPr>
            <w:rStyle w:val="facultChar"/>
            <w:color w:val="0000EE"/>
          </w:rPr>
          <w:t>23.31 Escaliers métalliques</w:t>
        </w:r>
      </w:hyperlink>
      <w:r>
        <w:rPr>
          <w:rStyle w:val="facultChar"/>
        </w:rPr>
        <w:t xml:space="preserve"> doivent être respectées.</w:t>
      </w:r>
    </w:p>
    <w:p w14:paraId="5FCEDDA5" w14:textId="77777777" w:rsidR="00DB2B68" w:rsidRDefault="00000000">
      <w:pPr>
        <w:pStyle w:val="Author-eListParagraph"/>
        <w:numPr>
          <w:ilvl w:val="0"/>
          <w:numId w:val="742"/>
        </w:numPr>
      </w:pPr>
      <w:r>
        <w:rPr>
          <w:rStyle w:val="facultChar"/>
          <w:u w:val="single"/>
        </w:rPr>
        <w:t>Coupures thermiques</w:t>
      </w:r>
      <w:r>
        <w:br/>
      </w:r>
      <w:r>
        <w:rPr>
          <w:rStyle w:val="facultChar"/>
        </w:rPr>
        <w:t>Des dispositifs adéquats sont utilisés pour éviter tout pont thermique.</w:t>
      </w:r>
    </w:p>
    <w:p w14:paraId="1E19F117" w14:textId="77777777" w:rsidR="00DB2B68" w:rsidRDefault="00000000">
      <w:pPr>
        <w:pStyle w:val="pheading"/>
      </w:pPr>
      <w:r>
        <w:t>DOCUMENTS DE RÉFÉRENCE COMPLÉMENTAIRES</w:t>
      </w:r>
    </w:p>
    <w:p w14:paraId="6442B347" w14:textId="77777777" w:rsidR="00DB2B68" w:rsidRDefault="00000000">
      <w:pPr>
        <w:pStyle w:val="pheading"/>
      </w:pPr>
      <w:r>
        <w:t>- Matériau</w:t>
      </w:r>
    </w:p>
    <w:p w14:paraId="6DE4A646" w14:textId="77777777" w:rsidR="00DB2B68" w:rsidRDefault="00000000">
      <w:r>
        <w:t>[AM 2013-05-17, Arrêté ministériel relatif à l’utilisation des Eurocodes comme méthodes de calcul pour l’évaluation de la résistance au feu d’éléments de construction]</w:t>
      </w:r>
    </w:p>
    <w:p w14:paraId="77CBB274"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5C8A030D" w14:textId="77777777" w:rsidR="00DB2B68" w:rsidRDefault="00000000">
      <w:r>
        <w:t>[NBN EN 1991-1-1, Eurocode 1: Actions sur les structures - Partie 1-1: Actions générales - Poids volumiques, poids propres, charges d'exploitation bâtiments (+ AC:2009)]</w:t>
      </w:r>
    </w:p>
    <w:p w14:paraId="35A3EDC1" w14:textId="77777777" w:rsidR="00DB2B68" w:rsidRDefault="00000000">
      <w:r>
        <w:t>[NBN EN 10025 série, Produits laminés à chaud en aciers de construction]</w:t>
      </w:r>
    </w:p>
    <w:p w14:paraId="6CE4CB65" w14:textId="77777777" w:rsidR="00DB2B68" w:rsidRDefault="00000000">
      <w:pPr>
        <w:pStyle w:val="pheading"/>
      </w:pPr>
      <w:r>
        <w:t>MESURAGE</w:t>
      </w:r>
    </w:p>
    <w:p w14:paraId="205BCA12" w14:textId="77777777" w:rsidR="00DB2B68" w:rsidRDefault="00000000">
      <w:pPr>
        <w:pStyle w:val="pheading"/>
      </w:pPr>
      <w:r>
        <w:t>- unité de mesure:</w:t>
      </w:r>
    </w:p>
    <w:p w14:paraId="7C63C90F" w14:textId="77777777" w:rsidR="00DB2B68" w:rsidRDefault="00000000">
      <w:r>
        <w:rPr>
          <w:rStyle w:val="optioncarChar"/>
        </w:rPr>
        <w:t xml:space="preserve">pc </w:t>
      </w:r>
      <w:r>
        <w:t>(par défaut)</w:t>
      </w:r>
      <w:r>
        <w:rPr>
          <w:rStyle w:val="optioncarChar"/>
        </w:rPr>
        <w:t xml:space="preserve"> / m</w:t>
      </w:r>
    </w:p>
    <w:p w14:paraId="1B255151" w14:textId="77777777" w:rsidR="00DB2B68" w:rsidRDefault="00000000">
      <w:r>
        <w:rPr>
          <w:b/>
          <w:i/>
        </w:rPr>
        <w:t>(Soit par défaut)</w:t>
      </w:r>
      <w:r>
        <w:br/>
      </w:r>
      <w:r>
        <w:br/>
      </w:r>
      <w:r>
        <w:rPr>
          <w:rStyle w:val="soitChar"/>
        </w:rPr>
        <w:t>1. pc</w:t>
      </w:r>
    </w:p>
    <w:p w14:paraId="01AD567D" w14:textId="77777777" w:rsidR="00DB2B68" w:rsidRDefault="00000000">
      <w:r>
        <w:rPr>
          <w:b/>
          <w:i/>
        </w:rPr>
        <w:t>(Soit)</w:t>
      </w:r>
      <w:r>
        <w:br/>
      </w:r>
      <w:r>
        <w:br/>
      </w:r>
      <w:r>
        <w:rPr>
          <w:rStyle w:val="soitChar"/>
        </w:rPr>
        <w:t>2. m</w:t>
      </w:r>
    </w:p>
    <w:p w14:paraId="71DBA684" w14:textId="77777777" w:rsidR="00DB2B68" w:rsidRDefault="00000000">
      <w:pPr>
        <w:pStyle w:val="pheading"/>
      </w:pPr>
      <w:r>
        <w:t>- code de mesurage:</w:t>
      </w:r>
    </w:p>
    <w:p w14:paraId="128FFD23" w14:textId="77777777" w:rsidR="00DB2B68" w:rsidRDefault="00000000">
      <w:pPr>
        <w:jc w:val="both"/>
      </w:pPr>
      <w:r>
        <w:rPr>
          <w:rStyle w:val="optioncarChar"/>
        </w:rPr>
        <w:t xml:space="preserve">quantité nette </w:t>
      </w:r>
      <w:r>
        <w:t xml:space="preserve">(par défaut) </w:t>
      </w:r>
      <w:r>
        <w:rPr>
          <w:rStyle w:val="optioncarChar"/>
        </w:rPr>
        <w:t>/ longueur nette</w:t>
      </w:r>
    </w:p>
    <w:p w14:paraId="38EED067" w14:textId="77777777" w:rsidR="00DB2B68" w:rsidRDefault="00000000">
      <w:pPr>
        <w:jc w:val="both"/>
      </w:pPr>
      <w:r>
        <w:rPr>
          <w:b/>
          <w:i/>
        </w:rPr>
        <w:t>(Soit par défaut)</w:t>
      </w:r>
    </w:p>
    <w:p w14:paraId="3CBDCB19" w14:textId="77777777" w:rsidR="00DB2B68" w:rsidRDefault="00000000">
      <w:pPr>
        <w:jc w:val="both"/>
      </w:pPr>
      <w:r>
        <w:rPr>
          <w:rStyle w:val="soitChar"/>
          <w:u w:val="single"/>
        </w:rPr>
        <w:t>1. quantité nette</w:t>
      </w:r>
      <w:r>
        <w:rPr>
          <w:rStyle w:val="soitChar"/>
        </w:rPr>
        <w:t xml:space="preserve"> à mettre en œuvre, ventilée selon la nature des éléments constitutifs et des dimensions.</w:t>
      </w:r>
    </w:p>
    <w:p w14:paraId="58254317" w14:textId="77777777" w:rsidR="00DB2B68" w:rsidRDefault="00000000">
      <w:pPr>
        <w:jc w:val="both"/>
      </w:pPr>
      <w:r>
        <w:rPr>
          <w:b/>
          <w:i/>
        </w:rPr>
        <w:t>(Soit)</w:t>
      </w:r>
    </w:p>
    <w:p w14:paraId="288BAE5C" w14:textId="77777777" w:rsidR="00DB2B68" w:rsidRDefault="00000000">
      <w:pPr>
        <w:jc w:val="both"/>
      </w:pPr>
      <w:r>
        <w:rPr>
          <w:rStyle w:val="soitChar"/>
          <w:u w:val="single"/>
        </w:rPr>
        <w:t>2. longueur nette</w:t>
      </w:r>
      <w:r>
        <w:rPr>
          <w:rStyle w:val="soitChar"/>
        </w:rPr>
        <w:t xml:space="preserve"> à mettre en œuvre calculée sur la ligne de foulée, ventilée selon la nature des éléments constitutifs.</w:t>
      </w:r>
    </w:p>
    <w:p w14:paraId="11ACD392" w14:textId="77777777" w:rsidR="00DB2B68" w:rsidRDefault="00000000">
      <w:pPr>
        <w:pStyle w:val="pheading"/>
      </w:pPr>
      <w:r>
        <w:t>- nature du marché:</w:t>
      </w:r>
    </w:p>
    <w:p w14:paraId="2E3D3AD8" w14:textId="77777777" w:rsidR="00DB2B68" w:rsidRDefault="00000000">
      <w:r>
        <w:t>QF</w:t>
      </w:r>
    </w:p>
    <w:p w14:paraId="7E0729C9" w14:textId="77777777" w:rsidR="00DB2B68" w:rsidRDefault="00000000">
      <w:pPr>
        <w:pStyle w:val="Author-eSectionHeading5Numberless"/>
      </w:pPr>
      <w:bookmarkStart w:id="1395" w:name="_Toc220496403"/>
      <w:r>
        <w:t>23.31.2 Escaliers en acier inoxydable CCTB 01.04</w:t>
      </w:r>
      <w:bookmarkEnd w:id="1395"/>
    </w:p>
    <w:p w14:paraId="73DB027F" w14:textId="77777777" w:rsidR="00DB2B68" w:rsidRDefault="00000000">
      <w:pPr>
        <w:pStyle w:val="Author-eSectionHeading6Numberless"/>
      </w:pPr>
      <w:bookmarkStart w:id="1396" w:name="_Toc220496404"/>
      <w:r>
        <w:t>23.31.2a Escaliers en acier inoxydable CCTB 01.04</w:t>
      </w:r>
      <w:bookmarkEnd w:id="1396"/>
    </w:p>
    <w:p w14:paraId="33FBB35B" w14:textId="77777777" w:rsidR="00DB2B68" w:rsidRDefault="00000000">
      <w:pPr>
        <w:pStyle w:val="Author-eSectionHeading5Numberless"/>
      </w:pPr>
      <w:bookmarkStart w:id="1397" w:name="_Toc220496405"/>
      <w:r>
        <w:t>23.31.3 Escaliers en aluminium CCTB 01.04</w:t>
      </w:r>
      <w:bookmarkEnd w:id="1397"/>
    </w:p>
    <w:p w14:paraId="5A1C6F37" w14:textId="77777777" w:rsidR="00DB2B68" w:rsidRDefault="00000000">
      <w:pPr>
        <w:pStyle w:val="Author-eSectionHeading6Numberless"/>
      </w:pPr>
      <w:bookmarkStart w:id="1398" w:name="_Toc220496406"/>
      <w:r>
        <w:t>23.31.3a Escaliers en aluminium CCTB 01.04</w:t>
      </w:r>
      <w:bookmarkEnd w:id="1398"/>
    </w:p>
    <w:p w14:paraId="0FE383EC" w14:textId="77777777" w:rsidR="00DB2B68" w:rsidRDefault="00000000">
      <w:pPr>
        <w:pStyle w:val="Author-eSectionHeading4Numberless"/>
      </w:pPr>
      <w:bookmarkStart w:id="1399" w:name="_Toc220496407"/>
      <w:r>
        <w:lastRenderedPageBreak/>
        <w:t>23.32 Garde-corps et rampes métalliques CCTB 01.11</w:t>
      </w:r>
      <w:bookmarkEnd w:id="1399"/>
    </w:p>
    <w:p w14:paraId="2648C0A3" w14:textId="77777777" w:rsidR="00DB2B68" w:rsidRDefault="00000000">
      <w:pPr>
        <w:pStyle w:val="pheading"/>
      </w:pPr>
      <w:bookmarkStart w:id="1400" w:name="190"/>
      <w:bookmarkEnd w:id="1400"/>
      <w:r>
        <w:t>DESCRIPTION</w:t>
      </w:r>
    </w:p>
    <w:p w14:paraId="50130721" w14:textId="77777777" w:rsidR="00DB2B68" w:rsidRDefault="00000000">
      <w:pPr>
        <w:pStyle w:val="pheading"/>
      </w:pPr>
      <w:r>
        <w:t>- Définition / Comprend</w:t>
      </w:r>
    </w:p>
    <w:p w14:paraId="050555A2" w14:textId="77777777" w:rsidR="00DB2B68" w:rsidRDefault="00000000">
      <w:pPr>
        <w:jc w:val="both"/>
      </w:pPr>
      <w:r>
        <w:t>Il s'agit des garde-corps à prévoir autour des trémies d'escaliers, des vides, galeries, etc., y compris la structure portante, les éventuels éléments de remplissage, les moyens de fixation, etc.</w:t>
      </w:r>
    </w:p>
    <w:p w14:paraId="38B2D6C2" w14:textId="77777777" w:rsidR="00DB2B68" w:rsidRDefault="00000000">
      <w:pPr>
        <w:jc w:val="both"/>
      </w:pPr>
      <w:r>
        <w:t>Ce poste comprend notamment :</w:t>
      </w:r>
    </w:p>
    <w:p w14:paraId="3FE59F14" w14:textId="77777777" w:rsidR="00DB2B68" w:rsidRDefault="00000000">
      <w:pPr>
        <w:pStyle w:val="Author-eListParagraph"/>
        <w:numPr>
          <w:ilvl w:val="0"/>
          <w:numId w:val="743"/>
        </w:numPr>
      </w:pPr>
      <w:r>
        <w:t>le relevé sur place des dimensions exactes ;</w:t>
      </w:r>
    </w:p>
    <w:p w14:paraId="67148A7F" w14:textId="77777777" w:rsidR="00DB2B68" w:rsidRDefault="00000000">
      <w:pPr>
        <w:pStyle w:val="Author-eListParagraph"/>
        <w:numPr>
          <w:ilvl w:val="0"/>
          <w:numId w:val="743"/>
        </w:numPr>
      </w:pPr>
      <w:r>
        <w:t>le contrôle et la préparation des supports ;</w:t>
      </w:r>
    </w:p>
    <w:p w14:paraId="1A1207E0" w14:textId="77777777" w:rsidR="00DB2B68" w:rsidRDefault="00000000">
      <w:pPr>
        <w:pStyle w:val="Author-eListParagraph"/>
        <w:numPr>
          <w:ilvl w:val="0"/>
          <w:numId w:val="743"/>
        </w:numPr>
      </w:pPr>
      <w:r>
        <w:t>la fabrication sur mesure, le transport et la mise en œuvre des éléments, y compris tous les moyens de fixation ou de pose ;</w:t>
      </w:r>
    </w:p>
    <w:p w14:paraId="40C4D8C4" w14:textId="77777777" w:rsidR="00DB2B68" w:rsidRDefault="00000000">
      <w:pPr>
        <w:pStyle w:val="Author-eListParagraph"/>
        <w:numPr>
          <w:ilvl w:val="0"/>
          <w:numId w:val="743"/>
        </w:numPr>
      </w:pPr>
      <w:r>
        <w:t>l'exécution des assemblages et des éventuelles jonctions avec la structure de construction ;</w:t>
      </w:r>
    </w:p>
    <w:p w14:paraId="5ABCC07A" w14:textId="77777777" w:rsidR="00DB2B68" w:rsidRDefault="00000000">
      <w:pPr>
        <w:pStyle w:val="Author-eListParagraph"/>
        <w:numPr>
          <w:ilvl w:val="0"/>
          <w:numId w:val="743"/>
        </w:numPr>
      </w:pPr>
      <w:r>
        <w:t>la finition des bords, les raccordements avec les finitions de mur et de sol attenantes ;</w:t>
      </w:r>
    </w:p>
    <w:p w14:paraId="1630EA08" w14:textId="77777777" w:rsidR="00DB2B68" w:rsidRDefault="00000000">
      <w:pPr>
        <w:pStyle w:val="Author-eListParagraph"/>
        <w:numPr>
          <w:ilvl w:val="0"/>
          <w:numId w:val="743"/>
        </w:numPr>
      </w:pPr>
      <w:r>
        <w:t>le nettoyage des éléments, y compris l'enlèvement des taches de mortier ou de colle ;</w:t>
      </w:r>
    </w:p>
    <w:p w14:paraId="6D8EE2FC" w14:textId="77777777" w:rsidR="00DB2B68" w:rsidRDefault="00000000">
      <w:pPr>
        <w:pStyle w:val="Author-eListParagraph"/>
        <w:numPr>
          <w:ilvl w:val="0"/>
          <w:numId w:val="743"/>
        </w:numPr>
      </w:pPr>
      <w:r>
        <w:t>les mesures nécessaires, après la mise en œuvre, en vue de la protection de l'escalier contre toute dégradation et salissement pendant toute la durée des travaux ;</w:t>
      </w:r>
    </w:p>
    <w:p w14:paraId="1DA6D296" w14:textId="77777777" w:rsidR="00DB2B68" w:rsidRDefault="00000000">
      <w:pPr>
        <w:pStyle w:val="Author-eListParagraph"/>
        <w:numPr>
          <w:ilvl w:val="0"/>
          <w:numId w:val="743"/>
        </w:numPr>
      </w:pPr>
      <w:r>
        <w:t>l’enlèvement des protections pour la réception provisoire ;</w:t>
      </w:r>
    </w:p>
    <w:p w14:paraId="23E993D8" w14:textId="77777777" w:rsidR="00DB2B68" w:rsidRDefault="00000000">
      <w:pPr>
        <w:pStyle w:val="Author-eListParagraph"/>
        <w:numPr>
          <w:ilvl w:val="0"/>
          <w:numId w:val="743"/>
        </w:numPr>
      </w:pPr>
      <w:r>
        <w:t>l’évacuation des déchets et le nettoyage du chantier.</w:t>
      </w:r>
    </w:p>
    <w:p w14:paraId="52D986A8" w14:textId="77777777" w:rsidR="00DB2B68" w:rsidRDefault="00000000">
      <w:pPr>
        <w:jc w:val="both"/>
      </w:pPr>
      <w:r>
        <w:rPr>
          <w:b/>
        </w:rPr>
        <w:t>Composants – Terminologie</w:t>
      </w:r>
    </w:p>
    <w:p w14:paraId="7E0FB5EA" w14:textId="77777777" w:rsidR="00DB2B68" w:rsidRDefault="00000000">
      <w:pPr>
        <w:jc w:val="both"/>
      </w:pPr>
      <w:r>
        <w:t>Le garde-corps est un élément de construction destiné à assurer la protection contre le risque de chute fortuite dans le vide des personnes circulant ou stationnant à proximité de ce vide.</w:t>
      </w:r>
    </w:p>
    <w:p w14:paraId="3BC2DEE0" w14:textId="77777777" w:rsidR="00DB2B68" w:rsidRDefault="00000000">
      <w:pPr>
        <w:jc w:val="both"/>
      </w:pPr>
      <w:r>
        <w:t>Il se compose d'une main-courante, reliée au support à l'aide de montants (appelés balustres) disposés avec un écartement régulier (ils peuvent éventuellement être remplacés par des panneaux). </w:t>
      </w:r>
    </w:p>
    <w:p w14:paraId="3DECFD6F" w14:textId="77777777" w:rsidR="00DB2B68" w:rsidRDefault="00000000">
      <w:pPr>
        <w:jc w:val="both"/>
      </w:pPr>
      <w:r>
        <w:t>Les garde-corps doivent être conformes aux prescriptions de la norme [NBN B 03-004].  </w:t>
      </w:r>
    </w:p>
    <w:p w14:paraId="47C35ECB" w14:textId="77777777" w:rsidR="00DB2B68" w:rsidRDefault="00000000">
      <w:pPr>
        <w:jc w:val="both"/>
      </w:pPr>
      <w:r>
        <w:t>Dans la suite de ce sous-titre, le terme « garde-corps » utilisé englobe par défaut les garde-corps et les rampes d’escalier, sauf mention spécifique.</w:t>
      </w:r>
    </w:p>
    <w:p w14:paraId="2D1878ED" w14:textId="77777777" w:rsidR="00DB2B68" w:rsidRDefault="00000000">
      <w:pPr>
        <w:pStyle w:val="pheading"/>
      </w:pPr>
      <w:r>
        <w:t>MATÉRIAUX</w:t>
      </w:r>
    </w:p>
    <w:p w14:paraId="1EE3D425" w14:textId="77777777" w:rsidR="00DB2B68" w:rsidRDefault="00000000">
      <w:pPr>
        <w:jc w:val="both"/>
      </w:pPr>
      <w:r>
        <w:rPr>
          <w:b/>
        </w:rPr>
        <w:t>Matériaux</w:t>
      </w:r>
    </w:p>
    <w:p w14:paraId="254E6430" w14:textId="77777777" w:rsidR="00DB2B68" w:rsidRDefault="00000000">
      <w:pPr>
        <w:jc w:val="both"/>
      </w:pPr>
      <w:r>
        <w:t>Les éléments principaux qui composent le garde-corps sont métalliques.</w:t>
      </w:r>
    </w:p>
    <w:p w14:paraId="4B66499F" w14:textId="77777777" w:rsidR="00DB2B68" w:rsidRDefault="00000000">
      <w:pPr>
        <w:jc w:val="both"/>
      </w:pPr>
      <w:r>
        <w:rPr>
          <w:b/>
        </w:rPr>
        <w:t>Stabilité - sollicitations</w:t>
      </w:r>
    </w:p>
    <w:p w14:paraId="2E233DD7" w14:textId="77777777" w:rsidR="00DB2B68" w:rsidRDefault="00000000">
      <w:pPr>
        <w:jc w:val="both"/>
      </w:pPr>
      <w:r>
        <w:t>La résistance des garde-corps et leurs fixations doivent être conformes aux prescriptions de la section 6 de la norme [NBN B 03-004].</w:t>
      </w:r>
    </w:p>
    <w:p w14:paraId="19083C39" w14:textId="77777777" w:rsidR="00DB2B68" w:rsidRDefault="00000000">
      <w:pPr>
        <w:pStyle w:val="pheading"/>
      </w:pPr>
      <w:r>
        <w:t>EXÉCUTION / MISE EN ŒUVRE</w:t>
      </w:r>
    </w:p>
    <w:p w14:paraId="6BFB0563" w14:textId="77777777" w:rsidR="00DB2B68" w:rsidRDefault="00000000">
      <w:pPr>
        <w:jc w:val="both"/>
      </w:pPr>
      <w:r>
        <w:rPr>
          <w:b/>
        </w:rPr>
        <w:t>Timing - Influence de l'environnement - Mesures de protection</w:t>
      </w:r>
    </w:p>
    <w:p w14:paraId="180A8707" w14:textId="77777777" w:rsidR="00DB2B68" w:rsidRDefault="00000000">
      <w:pPr>
        <w:jc w:val="both"/>
      </w:pPr>
      <w:r>
        <w:t>Les garde-corps ne peuvent être placés que lorsque l'auteur de projet et l'installateur de garde-corps estiment, en concertation mutuelle, que les conditions de mise en œuvre sont favorables. </w:t>
      </w:r>
    </w:p>
    <w:p w14:paraId="66EAC5EC" w14:textId="77777777" w:rsidR="00DB2B68" w:rsidRDefault="00000000">
      <w:pPr>
        <w:jc w:val="both"/>
      </w:pPr>
      <w:r>
        <w:t>Les garde-corps ou les éléments qui le constituent sont autant que possible préfabriqués en atelier et acheminés en un seul lot sur le chantier. Lors du transport, les mesures nécessaires sont prises pour prévenir toute dégradation au bâtiment, aux escaliers et aux éléments proprement dits. Ils sont immédiatement entreposés dans un endroit protégé et aéré.</w:t>
      </w:r>
    </w:p>
    <w:p w14:paraId="57B7D948" w14:textId="77777777" w:rsidR="00DB2B68" w:rsidRDefault="00000000">
      <w:pPr>
        <w:jc w:val="both"/>
      </w:pPr>
      <w:r>
        <w:t>L'entrepreneur veille à ce que, après leur mise en œuvre, les garde-corps soient dûment protégés contre les dégradations et l'encrassement pendant la durée des travaux de construction.</w:t>
      </w:r>
    </w:p>
    <w:p w14:paraId="4317843C" w14:textId="77777777" w:rsidR="00DB2B68" w:rsidRDefault="00000000">
      <w:pPr>
        <w:jc w:val="both"/>
      </w:pPr>
      <w:r>
        <w:rPr>
          <w:b/>
        </w:rPr>
        <w:t>Dessin d'étude et d'exécution</w:t>
      </w:r>
    </w:p>
    <w:p w14:paraId="7838CCE8" w14:textId="77777777" w:rsidR="00DB2B68" w:rsidRDefault="00000000">
      <w:pPr>
        <w:jc w:val="both"/>
      </w:pPr>
      <w:r>
        <w:t>Les garde-corps sont exécutés conformément aux formes indiquées sur les plans et les coupes et selon les dessins de détail annexés au cahier spécial des charges.</w:t>
      </w:r>
    </w:p>
    <w:p w14:paraId="3619DBB0" w14:textId="77777777" w:rsidR="00DB2B68" w:rsidRDefault="00000000">
      <w:pPr>
        <w:jc w:val="both"/>
      </w:pPr>
      <w:r>
        <w:lastRenderedPageBreak/>
        <w:t>Lorsque le dossier d'adjudication ne contient pas de dessins de détail spécifiques, la forme des garde-corps et les dimensions de bases sont données à titre indicatif.</w:t>
      </w:r>
    </w:p>
    <w:p w14:paraId="190DCF13" w14:textId="77777777" w:rsidR="00DB2B68" w:rsidRDefault="00000000">
      <w:pPr>
        <w:jc w:val="both"/>
      </w:pPr>
      <w:r>
        <w:t>L'entrepreneur est tenu de contrôler les dimensions sur place et de vérifier si les garde-corps ou les éléments peuvent être exécutés selon les plans soumis. Lorsque cela s'avère impossible, il en avertit l'auteur de projet le plus rapidement possible.</w:t>
      </w:r>
    </w:p>
    <w:p w14:paraId="41CDC11A" w14:textId="77777777" w:rsidR="00DB2B68" w:rsidRDefault="00000000">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14:paraId="0D75DAF0" w14:textId="77777777" w:rsidR="00DB2B68" w:rsidRDefault="00000000">
      <w:pPr>
        <w:jc w:val="both"/>
      </w:pPr>
      <w:r>
        <w:t>Les garde-corps doivent être conçus en fonction de la sécurité des enfants (et ne peuvent donc pas servir d'espalier !), conformément à la norme [NBN B 03-004] :</w:t>
      </w:r>
    </w:p>
    <w:p w14:paraId="7D5CF084" w14:textId="77777777" w:rsidR="00DB2B68" w:rsidRDefault="00000000">
      <w:pPr>
        <w:pStyle w:val="Author-eListParagraph"/>
        <w:numPr>
          <w:ilvl w:val="0"/>
          <w:numId w:val="744"/>
        </w:numPr>
      </w:pPr>
      <w:r>
        <w:t>Les hauteurs de garde-corps respectent les prescriptions du § 5.3.</w:t>
      </w:r>
    </w:p>
    <w:p w14:paraId="7183F528" w14:textId="77777777" w:rsidR="00DB2B68" w:rsidRDefault="00000000">
      <w:pPr>
        <w:pStyle w:val="Author-eListParagraph"/>
        <w:numPr>
          <w:ilvl w:val="0"/>
          <w:numId w:val="744"/>
        </w:numPr>
      </w:pPr>
      <w:r>
        <w:t>Les ouvertures entre les montants verticaux et horizontaux respectent les valeurs du § 5.4.</w:t>
      </w:r>
    </w:p>
    <w:p w14:paraId="6E60ED73" w14:textId="77777777" w:rsidR="00DB2B68" w:rsidRDefault="00000000">
      <w:r>
        <w:rPr>
          <w:b/>
        </w:rPr>
        <w:t>Accessibilité aux personnes à mobilité réduite (PMR)</w:t>
      </w:r>
    </w:p>
    <w:p w14:paraId="1782409A" w14:textId="77777777" w:rsidR="00DB2B68" w:rsidRDefault="00000000">
      <w:pPr>
        <w:jc w:val="both"/>
      </w:pPr>
      <w:r>
        <w:t>Suivant prescriptions du guide [SWL CALA] et des normes [NBN ISO 21542], [BS 8300] :</w:t>
      </w:r>
    </w:p>
    <w:p w14:paraId="7AF5161B" w14:textId="77777777" w:rsidR="00DB2B68" w:rsidRDefault="00000000">
      <w:pPr>
        <w:jc w:val="both"/>
      </w:pPr>
      <w:r>
        <w:rPr>
          <w:i/>
        </w:rPr>
        <w:t>Mains-courantes :</w:t>
      </w:r>
    </w:p>
    <w:p w14:paraId="275DF28F" w14:textId="77777777" w:rsidR="00DB2B68" w:rsidRDefault="00000000">
      <w:pPr>
        <w:pStyle w:val="Author-eListParagraph"/>
        <w:numPr>
          <w:ilvl w:val="0"/>
          <w:numId w:val="745"/>
        </w:numPr>
      </w:pPr>
      <w:r>
        <w:t>Type : double (2 lisses).</w:t>
      </w:r>
    </w:p>
    <w:p w14:paraId="5A2F2F64" w14:textId="77777777" w:rsidR="00DB2B68" w:rsidRDefault="00000000">
      <w:pPr>
        <w:pStyle w:val="Author-eListParagraph"/>
        <w:numPr>
          <w:ilvl w:val="0"/>
          <w:numId w:val="745"/>
        </w:numPr>
      </w:pPr>
      <w:r>
        <w:t xml:space="preserve">Hauteur :  </w:t>
      </w:r>
    </w:p>
    <w:p w14:paraId="5F39E831" w14:textId="77777777" w:rsidR="00DB2B68" w:rsidRDefault="00000000">
      <w:pPr>
        <w:pStyle w:val="Author-eListParagraph"/>
        <w:numPr>
          <w:ilvl w:val="1"/>
          <w:numId w:val="746"/>
        </w:numPr>
      </w:pPr>
      <w:r>
        <w:t>Main-courante principale : entre 85 et 100 cm par rapport au nez de marche</w:t>
      </w:r>
    </w:p>
    <w:p w14:paraId="4B8D89F9" w14:textId="77777777" w:rsidR="00DB2B68" w:rsidRDefault="00000000">
      <w:pPr>
        <w:pStyle w:val="Author-eListParagraph"/>
        <w:numPr>
          <w:ilvl w:val="1"/>
          <w:numId w:val="746"/>
        </w:numPr>
      </w:pPr>
      <w:r>
        <w:t>Main-courante secondaire : entre 60 et 75 cm par rapport au nez de marche</w:t>
      </w:r>
    </w:p>
    <w:p w14:paraId="0FF2FE0F" w14:textId="77777777" w:rsidR="00DB2B68" w:rsidRDefault="00000000">
      <w:pPr>
        <w:pStyle w:val="Author-eListParagraph"/>
        <w:numPr>
          <w:ilvl w:val="0"/>
          <w:numId w:val="745"/>
        </w:numPr>
      </w:pPr>
      <w:r>
        <w:t>Position : de chaque côté de l’escalier.</w:t>
      </w:r>
    </w:p>
    <w:p w14:paraId="78094ECD" w14:textId="77777777" w:rsidR="00DB2B68" w:rsidRDefault="00000000">
      <w:pPr>
        <w:pStyle w:val="Author-eListParagraph"/>
        <w:numPr>
          <w:ilvl w:val="0"/>
          <w:numId w:val="745"/>
        </w:numPr>
      </w:pPr>
      <w:r>
        <w:t>Géométrie : solides et continues sur les paliers.</w:t>
      </w:r>
    </w:p>
    <w:p w14:paraId="18210802" w14:textId="77777777" w:rsidR="00DB2B68" w:rsidRDefault="00000000">
      <w:pPr>
        <w:pStyle w:val="Author-eListParagraph"/>
        <w:numPr>
          <w:ilvl w:val="0"/>
          <w:numId w:val="745"/>
        </w:numPr>
      </w:pPr>
      <w:r>
        <w:t xml:space="preserve">Prolongement : </w:t>
      </w:r>
    </w:p>
    <w:p w14:paraId="463D002E" w14:textId="77777777" w:rsidR="00DB2B68" w:rsidRDefault="00000000">
      <w:pPr>
        <w:pStyle w:val="Author-eListParagraph"/>
        <w:numPr>
          <w:ilvl w:val="1"/>
          <w:numId w:val="747"/>
        </w:numPr>
      </w:pPr>
      <w:r>
        <w:t>Côté mur : prolongement de 40 cm à l’origine et à l’extrémité de l’escalier</w:t>
      </w:r>
    </w:p>
    <w:p w14:paraId="2D3CBB2E" w14:textId="77777777" w:rsidR="00DB2B68" w:rsidRDefault="00000000">
      <w:pPr>
        <w:pStyle w:val="Author-eListParagraph"/>
        <w:numPr>
          <w:ilvl w:val="1"/>
          <w:numId w:val="747"/>
        </w:numPr>
      </w:pPr>
      <w:r>
        <w:t>Côté vide : prolongement jusqu’au sol, et de 40 cm à l’origine et à l’extrémité de l’escalier pour autant que ce prolongement ne représente aucun obstacle ni danger.</w:t>
      </w:r>
    </w:p>
    <w:p w14:paraId="0DE59EB8" w14:textId="77777777" w:rsidR="00DB2B68" w:rsidRDefault="00000000">
      <w:pPr>
        <w:pStyle w:val="Author-eListParagraph"/>
        <w:numPr>
          <w:ilvl w:val="0"/>
          <w:numId w:val="745"/>
        </w:numPr>
      </w:pPr>
      <w:r>
        <w:t>Distance du mur : 4 cm minimum.</w:t>
      </w:r>
    </w:p>
    <w:p w14:paraId="3D06A580" w14:textId="77777777" w:rsidR="00DB2B68" w:rsidRDefault="00000000">
      <w:pPr>
        <w:pStyle w:val="Author-eListParagraph"/>
        <w:numPr>
          <w:ilvl w:val="0"/>
          <w:numId w:val="745"/>
        </w:numPr>
      </w:pPr>
      <w:r>
        <w:t>Diamètre : entre 4 et 5 cm.</w:t>
      </w:r>
    </w:p>
    <w:p w14:paraId="4308033B" w14:textId="77777777" w:rsidR="00DB2B68" w:rsidRDefault="00000000">
      <w:pPr>
        <w:pStyle w:val="Author-eListParagraph"/>
        <w:numPr>
          <w:ilvl w:val="0"/>
          <w:numId w:val="745"/>
        </w:numPr>
      </w:pPr>
      <w:r>
        <w:t>Contraste : différence de coefficient de réflexion (LRV) entre la main-courante et son support de minimum 30 %.</w:t>
      </w:r>
    </w:p>
    <w:p w14:paraId="2570BF35" w14:textId="77777777" w:rsidR="00DB2B68" w:rsidRDefault="00000000">
      <w:r>
        <w:rPr>
          <w:b/>
        </w:rPr>
        <w:t>Assemblage - Scellement</w:t>
      </w:r>
    </w:p>
    <w:p w14:paraId="716426BF" w14:textId="77777777" w:rsidR="00DB2B68" w:rsidRDefault="00000000">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2A2F6D11" w14:textId="77777777" w:rsidR="00DB2B68" w:rsidRDefault="00000000">
      <w:pPr>
        <w:jc w:val="both"/>
      </w:pPr>
      <w:r>
        <w:t>Les garde-corps sont solidement fixés au support conformément aux prescriptions de la section 7 de la norme [NBN B 03-004].</w:t>
      </w:r>
    </w:p>
    <w:p w14:paraId="7877EC6E" w14:textId="77777777" w:rsidR="00DB2B68" w:rsidRDefault="00000000">
      <w:pPr>
        <w:jc w:val="both"/>
      </w:pPr>
      <w:r>
        <w:rPr>
          <w:b/>
        </w:rPr>
        <w:t>Asselets</w:t>
      </w:r>
    </w:p>
    <w:p w14:paraId="2BB62E33" w14:textId="77777777" w:rsidR="00DB2B68" w:rsidRDefault="00000000">
      <w:pPr>
        <w:jc w:val="both"/>
      </w:pPr>
      <w:r>
        <w:t xml:space="preserve">Les asselets nécessaires à la bonne répartition des charges sont décrits dans l’article </w:t>
      </w:r>
      <w:hyperlink w:anchor="168" w:history="1">
        <w:r>
          <w:rPr>
            <w:color w:val="0000EE"/>
          </w:rPr>
          <w:t>21.85.3a Réalisations d'asselets en béton armé dans une maçonnerie existante</w:t>
        </w:r>
      </w:hyperlink>
      <w:r>
        <w:t xml:space="preserve"> et le sous-titre </w:t>
      </w:r>
      <w:hyperlink w:anchor="499" w:history="1">
        <w:r>
          <w:rPr>
            <w:color w:val="0000EE"/>
          </w:rPr>
          <w:t>22.42 Pièces d'appui en béton</w:t>
        </w:r>
      </w:hyperlink>
      <w:r>
        <w:t xml:space="preserve"> et aux éléments et articles qui en découlent.</w:t>
      </w:r>
    </w:p>
    <w:p w14:paraId="07172649" w14:textId="77777777" w:rsidR="00DB2B68" w:rsidRDefault="00000000">
      <w:pPr>
        <w:jc w:val="both"/>
      </w:pPr>
      <w:r>
        <w:t>Ils ne sont pas compris dans le présent article, sauf contre-indication dans le cahier spécial des charges aux articles concernés ci-dessus.</w:t>
      </w:r>
    </w:p>
    <w:p w14:paraId="1E246423" w14:textId="77777777" w:rsidR="00DB2B68" w:rsidRDefault="00000000">
      <w:pPr>
        <w:jc w:val="both"/>
      </w:pPr>
      <w:r>
        <w:rPr>
          <w:b/>
        </w:rPr>
        <w:t>Sécurité</w:t>
      </w:r>
    </w:p>
    <w:p w14:paraId="75224D3B" w14:textId="77777777" w:rsidR="00DB2B68" w:rsidRDefault="00000000">
      <w:pPr>
        <w:jc w:val="both"/>
      </w:pPr>
      <w:r>
        <w:t>Conformément à l'élément 01.42 PSS travaux de superstructure, établie par le coordinateur-projet et annexée au présent cahier des charges. Toutes les directives en la matière et les indications concrètes du coordinateur-réalisation sont scrupuleusement respectées.</w:t>
      </w:r>
    </w:p>
    <w:p w14:paraId="3FF9CB51" w14:textId="77777777" w:rsidR="00DB2B68" w:rsidRDefault="00000000">
      <w:pPr>
        <w:pStyle w:val="pheading"/>
      </w:pPr>
      <w:r>
        <w:t>CONTRÔLES</w:t>
      </w:r>
    </w:p>
    <w:p w14:paraId="6CF9B811" w14:textId="77777777" w:rsidR="00DB2B68" w:rsidRDefault="00000000">
      <w:pPr>
        <w:jc w:val="both"/>
      </w:pPr>
      <w:r>
        <w:lastRenderedPageBreak/>
        <w:t>Les écarts admissibles pour les garde-corps sont définis dans les tableaux 2 et 3 du § 5.5 de la norme [NBN B 03-004], dont notamment : </w:t>
      </w:r>
    </w:p>
    <w:p w14:paraId="4317559E" w14:textId="77777777" w:rsidR="00DB2B68" w:rsidRDefault="00000000">
      <w:pPr>
        <w:pStyle w:val="Author-eListParagraph"/>
        <w:numPr>
          <w:ilvl w:val="0"/>
          <w:numId w:val="748"/>
        </w:numPr>
      </w:pPr>
      <w:r>
        <w:t>hauteur de protection : -15 mm.</w:t>
      </w:r>
    </w:p>
    <w:p w14:paraId="713C6889" w14:textId="77777777" w:rsidR="00DB2B68" w:rsidRDefault="00000000">
      <w:pPr>
        <w:pStyle w:val="Author-eListParagraph"/>
        <w:numPr>
          <w:ilvl w:val="0"/>
          <w:numId w:val="748"/>
        </w:numPr>
      </w:pPr>
      <w:r>
        <w:t>hauteur d'accessibilité (h=450mm) : +/-15 mm.</w:t>
      </w:r>
    </w:p>
    <w:p w14:paraId="35833D51" w14:textId="77777777" w:rsidR="00DB2B68" w:rsidRDefault="00000000">
      <w:pPr>
        <w:pStyle w:val="Author-eListParagraph"/>
        <w:numPr>
          <w:ilvl w:val="0"/>
          <w:numId w:val="748"/>
        </w:numPr>
      </w:pPr>
      <w:r>
        <w:t>espace en partie basse : +10 mm.</w:t>
      </w:r>
    </w:p>
    <w:p w14:paraId="06D4157C" w14:textId="77777777" w:rsidR="00DB2B68" w:rsidRDefault="00000000">
      <w:pPr>
        <w:pStyle w:val="Author-eListParagraph"/>
        <w:numPr>
          <w:ilvl w:val="0"/>
          <w:numId w:val="748"/>
        </w:numPr>
      </w:pPr>
      <w:r>
        <w:t>espace entre nez de marche et élément inférieur de la rampe : +10 mm.</w:t>
      </w:r>
    </w:p>
    <w:p w14:paraId="1148ED59" w14:textId="77777777" w:rsidR="00DB2B68" w:rsidRDefault="00000000">
      <w:pPr>
        <w:pStyle w:val="Author-eListParagraph"/>
        <w:numPr>
          <w:ilvl w:val="0"/>
          <w:numId w:val="748"/>
        </w:numPr>
      </w:pPr>
      <w:r>
        <w:t>espace entre limon et élément inférieur de la rampe : +10 mm.</w:t>
      </w:r>
    </w:p>
    <w:p w14:paraId="35C624C2" w14:textId="77777777" w:rsidR="00DB2B68" w:rsidRDefault="00000000">
      <w:pPr>
        <w:pStyle w:val="Author-eListParagraph"/>
        <w:numPr>
          <w:ilvl w:val="0"/>
          <w:numId w:val="748"/>
        </w:numPr>
      </w:pPr>
      <w:r>
        <w:t>espace entre barreaux verticaux : entre -3 et +3 mm.</w:t>
      </w:r>
    </w:p>
    <w:p w14:paraId="0D7CED83" w14:textId="77777777" w:rsidR="00DB2B68" w:rsidRDefault="00000000">
      <w:pPr>
        <w:pStyle w:val="Author-eListParagraph"/>
        <w:numPr>
          <w:ilvl w:val="0"/>
          <w:numId w:val="748"/>
        </w:numPr>
      </w:pPr>
      <w:r>
        <w:t>espace entre éléments horizontaux : entre -3 et +3 mm.</w:t>
      </w:r>
    </w:p>
    <w:p w14:paraId="0CB07590" w14:textId="77777777" w:rsidR="00DB2B68" w:rsidRDefault="00000000">
      <w:pPr>
        <w:pStyle w:val="Author-eListParagraph"/>
        <w:numPr>
          <w:ilvl w:val="0"/>
          <w:numId w:val="748"/>
        </w:numPr>
      </w:pPr>
      <w:r>
        <w:t>saillie des garde-corps : +10 mm.</w:t>
      </w:r>
    </w:p>
    <w:p w14:paraId="689AC6EA" w14:textId="77777777" w:rsidR="00DB2B68" w:rsidRDefault="00000000">
      <w:pPr>
        <w:pStyle w:val="Author-eListParagraph"/>
        <w:numPr>
          <w:ilvl w:val="0"/>
          <w:numId w:val="748"/>
        </w:numPr>
      </w:pPr>
      <w:r>
        <w:t>saillie des rampes +10 mm.</w:t>
      </w:r>
      <w:r>
        <w:br/>
      </w:r>
    </w:p>
    <w:p w14:paraId="14CDE24A" w14:textId="77777777" w:rsidR="00DB2B68" w:rsidRDefault="00000000">
      <w:pPr>
        <w:jc w:val="both"/>
      </w:pPr>
      <w:r>
        <w:rPr>
          <w:b/>
        </w:rPr>
        <w:t>Dégradations</w:t>
      </w:r>
    </w:p>
    <w:p w14:paraId="396EFE36" w14:textId="77777777" w:rsidR="00DB2B68" w:rsidRDefault="00000000">
      <w:pPr>
        <w:jc w:val="both"/>
      </w:pPr>
      <w:r>
        <w:t>Il est interdit d'utiliser un mastic de jointoiement, de la résine, etc...., pour cacher les défauts éventuels. Les éléments endommagés doivent être intégralement remplacés. Les éléments qui forment un ensemble ne peuvent pas présenter de différences de couleur.</w:t>
      </w:r>
    </w:p>
    <w:p w14:paraId="721B2279" w14:textId="77777777" w:rsidR="00DB2B68" w:rsidRDefault="00000000">
      <w:pPr>
        <w:pStyle w:val="pheading"/>
      </w:pPr>
      <w:r>
        <w:t>DOCUMENTS DE RÉFÉRENCE</w:t>
      </w:r>
    </w:p>
    <w:p w14:paraId="16067964" w14:textId="77777777" w:rsidR="00DB2B68" w:rsidRDefault="00000000">
      <w:pPr>
        <w:pStyle w:val="pheading"/>
      </w:pPr>
      <w:r>
        <w:t>- Matériau</w:t>
      </w:r>
    </w:p>
    <w:p w14:paraId="116BA781" w14:textId="77777777" w:rsidR="00DB2B68" w:rsidRDefault="00000000">
      <w:r>
        <w:t>[NBN B 03-004, Garde-corps de bâtiments]</w:t>
      </w:r>
    </w:p>
    <w:p w14:paraId="6A05BFDA" w14:textId="77777777" w:rsidR="00DB2B68" w:rsidRDefault="00000000">
      <w:r>
        <w:t>[NBN ISO 21542, Construction immobilière — Accessibilité et facilité d'utilisation de l'environnement bâti (ISO 21542:2011)]</w:t>
      </w:r>
    </w:p>
    <w:p w14:paraId="799DECAD" w14:textId="77777777" w:rsidR="00DB2B68" w:rsidRDefault="00000000">
      <w:r>
        <w:t>[BS 8300, Design of buildings and their approaches to meet the needs of disabled people. Code of Practice]</w:t>
      </w:r>
    </w:p>
    <w:p w14:paraId="3A8DAAEC" w14:textId="77777777" w:rsidR="00DB2B68" w:rsidRDefault="00000000">
      <w:pPr>
        <w:pStyle w:val="pheading"/>
      </w:pPr>
      <w:r>
        <w:t>- Exécution</w:t>
      </w:r>
    </w:p>
    <w:p w14:paraId="67E30629" w14:textId="77777777" w:rsidR="00DB2B68" w:rsidRDefault="00000000">
      <w:r>
        <w:t>[NBN B 03-004, Garde-corps de bâtiments]</w:t>
      </w:r>
    </w:p>
    <w:p w14:paraId="0B70385A" w14:textId="77777777" w:rsidR="00DB2B68" w:rsidRDefault="00000000">
      <w:r>
        <w:t>[SWL CALA, Guide d’aide à la conception d’un logement adaptable]</w:t>
      </w:r>
    </w:p>
    <w:p w14:paraId="6B2E85EC" w14:textId="77777777" w:rsidR="00DB2B68" w:rsidRDefault="00000000">
      <w:r>
        <w:t>[RGPT, Règlement général pour la protection du travail]</w:t>
      </w:r>
    </w:p>
    <w:p w14:paraId="72D49589" w14:textId="77777777" w:rsidR="00DB2B68" w:rsidRDefault="00000000">
      <w:r>
        <w:t>[NBN NEN 3509, Escaliers à l'intérieur d'habitations et d'immeubles d'habitation - Définitions et dimensions]</w:t>
      </w:r>
    </w:p>
    <w:p w14:paraId="60798AB3" w14:textId="77777777" w:rsidR="00DB2B68" w:rsidRDefault="00000000">
      <w:pPr>
        <w:pStyle w:val="pheading"/>
      </w:pPr>
      <w:r>
        <w:t>AIDE</w:t>
      </w:r>
    </w:p>
    <w:p w14:paraId="31CADE74" w14:textId="77777777" w:rsidR="00DB2B68" w:rsidRDefault="00000000">
      <w:pPr>
        <w:jc w:val="both"/>
      </w:pPr>
      <w:r>
        <w:t>Lors de la conception des escaliers, il importe de tenir compte de la hauteur de protection prescrite pour la rampe (la distance verticale entre le nez de marche et le dessus de la main-courante) selon le tableau 1 la norme [NBN B 03-004]. La hauteur de protection minimale est de 0,90 mètre. Lorsqu'une chute de plus de 12 mètres est possible dans la cage d'escalier, on prévoit une balustrade d'au moins 1,2 mètre.</w:t>
      </w:r>
    </w:p>
    <w:p w14:paraId="4EC4D16B" w14:textId="77777777" w:rsidR="00DB2B68" w:rsidRDefault="00000000">
      <w:pPr>
        <w:pStyle w:val="Author-eSectionHeading5Numberless"/>
      </w:pPr>
      <w:bookmarkStart w:id="1401" w:name="_Toc220496408"/>
      <w:r>
        <w:t>23.32.1 Garde-corps et rampes en acier CCTB 01.04</w:t>
      </w:r>
      <w:bookmarkEnd w:id="1401"/>
    </w:p>
    <w:p w14:paraId="6FA2E86F" w14:textId="77777777" w:rsidR="00DB2B68" w:rsidRDefault="00000000">
      <w:pPr>
        <w:pStyle w:val="Author-eSectionHeading6Numberless"/>
      </w:pPr>
      <w:bookmarkStart w:id="1402" w:name="_Toc220496409"/>
      <w:r>
        <w:t>23.32.1a Garde-corps et rampes en acier CCTB 01.11</w:t>
      </w:r>
      <w:bookmarkEnd w:id="1402"/>
    </w:p>
    <w:p w14:paraId="57BBE01C" w14:textId="77777777" w:rsidR="00DB2B68" w:rsidRDefault="00000000">
      <w:pPr>
        <w:pStyle w:val="pheading"/>
      </w:pPr>
      <w:bookmarkStart w:id="1403" w:name="559"/>
      <w:bookmarkEnd w:id="1403"/>
      <w:r>
        <w:t>DESCRIPTION</w:t>
      </w:r>
    </w:p>
    <w:p w14:paraId="5D9180B1" w14:textId="77777777" w:rsidR="00DB2B68" w:rsidRDefault="00000000">
      <w:pPr>
        <w:pStyle w:val="pheading"/>
      </w:pPr>
      <w:r>
        <w:t>- Définition / Comprend</w:t>
      </w:r>
    </w:p>
    <w:p w14:paraId="3202DD12" w14:textId="77777777" w:rsidR="00DB2B68" w:rsidRDefault="00000000">
      <w:pPr>
        <w:jc w:val="both"/>
      </w:pPr>
      <w:r>
        <w:t>Il s'agit des garde-corps à prévoir autour des trémies d'escaliers, des passerelles, des vides, etc., et des rampes et mains-courantes qui accompagnent les escaliers, y compris la structure portante, les éventuels éléments de remplissage, les moyens de fixation, etc.</w:t>
      </w:r>
    </w:p>
    <w:p w14:paraId="32E7BC0E" w14:textId="77777777" w:rsidR="00DB2B68" w:rsidRDefault="00000000">
      <w:pPr>
        <w:jc w:val="both"/>
      </w:pPr>
      <w:r>
        <w:t xml:space="preserve">Leurs caractéristiques principales sont décrites au sous-titre </w:t>
      </w:r>
      <w:hyperlink w:anchor="190" w:history="1">
        <w:r>
          <w:rPr>
            <w:color w:val="0000EE"/>
          </w:rPr>
          <w:t>23.32 Garde-corps et rampes métalliques</w:t>
        </w:r>
      </w:hyperlink>
      <w:r>
        <w:t xml:space="preserve"> et éléments et articles qui en découlent.</w:t>
      </w:r>
    </w:p>
    <w:p w14:paraId="7F26279E" w14:textId="77777777" w:rsidR="00DB2B68" w:rsidRDefault="00000000">
      <w:pPr>
        <w:jc w:val="both"/>
      </w:pPr>
      <w:r>
        <w:lastRenderedPageBreak/>
        <w:t xml:space="preserve">Concernant les rampes et mains courantes, renvoi aux articles </w:t>
      </w:r>
      <w:hyperlink w:anchor="564" w:history="1">
        <w:r>
          <w:rPr>
            <w:color w:val="0000EE"/>
          </w:rPr>
          <w:t>23.31.1a Escaliers en acier</w:t>
        </w:r>
      </w:hyperlink>
      <w:r>
        <w:t xml:space="preserve"> ou </w:t>
      </w:r>
      <w:hyperlink w:anchor="565" w:history="1">
        <w:r>
          <w:rPr>
            <w:color w:val="0000EE"/>
          </w:rPr>
          <w:t>23.34.1a Passerelles et coursives en acier</w:t>
        </w:r>
      </w:hyperlink>
      <w:r>
        <w:t xml:space="preserve"> pour savoir si ces éléments sont inclus dans ces postes.</w:t>
      </w:r>
    </w:p>
    <w:p w14:paraId="75CAE3FD" w14:textId="77777777" w:rsidR="00DB2B68" w:rsidRDefault="00000000">
      <w:pPr>
        <w:jc w:val="both"/>
      </w:pPr>
      <w:r>
        <w:t>Dans la suite de cet article, le terme « garde-corps » utilisé englobe par défaut les garde-corps et les rampes d’escalier, sauf mention spécifique.</w:t>
      </w:r>
    </w:p>
    <w:p w14:paraId="03994A0A" w14:textId="77777777" w:rsidR="00DB2B68" w:rsidRDefault="00000000">
      <w:pPr>
        <w:pStyle w:val="pheading"/>
      </w:pPr>
      <w:r>
        <w:t>- Localisation</w:t>
      </w:r>
    </w:p>
    <w:p w14:paraId="2ABA0F1E" w14:textId="77777777" w:rsidR="00DB2B68" w:rsidRDefault="00000000">
      <w:r>
        <w:t xml:space="preserve">Les travaux sont localisés : </w:t>
      </w:r>
      <w:r>
        <w:rPr>
          <w:rStyle w:val="optioncarChar"/>
        </w:rPr>
        <w:t>***</w:t>
      </w:r>
      <w:r>
        <w:t>.</w:t>
      </w:r>
    </w:p>
    <w:p w14:paraId="3EE2AF31" w14:textId="77777777" w:rsidR="00DB2B68" w:rsidRDefault="00000000">
      <w:r>
        <w:t>Voir plans et métrés détaillés.</w:t>
      </w:r>
    </w:p>
    <w:p w14:paraId="1967B49C" w14:textId="77777777" w:rsidR="00DB2B68" w:rsidRDefault="00000000">
      <w:pPr>
        <w:pStyle w:val="pheading"/>
      </w:pPr>
      <w:r>
        <w:t>MATÉRIAUX</w:t>
      </w:r>
    </w:p>
    <w:p w14:paraId="3A8874ED" w14:textId="77777777" w:rsidR="00DB2B68" w:rsidRDefault="00000000">
      <w:pPr>
        <w:pStyle w:val="pheading"/>
      </w:pPr>
      <w:r>
        <w:t>- Caractéristiques générales</w:t>
      </w:r>
    </w:p>
    <w:p w14:paraId="1FFA810A" w14:textId="77777777" w:rsidR="00DB2B68" w:rsidRDefault="00000000">
      <w:pPr>
        <w:jc w:val="both"/>
      </w:pPr>
      <w:r>
        <w:t>La structure des garde-corps se compose d'éléments en acier. Toutes les parties visibles sont propres et débarrassées des ébarbures.</w:t>
      </w:r>
    </w:p>
    <w:p w14:paraId="68352769" w14:textId="77777777" w:rsidR="00DB2B68" w:rsidRDefault="00000000">
      <w:pPr>
        <w:pStyle w:val="Author-eListParagraph"/>
        <w:numPr>
          <w:ilvl w:val="0"/>
          <w:numId w:val="749"/>
        </w:numPr>
        <w:jc w:val="both"/>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5A35CB9F" w14:textId="77777777" w:rsidR="00DB2B68" w:rsidRDefault="00000000">
      <w:pPr>
        <w:pStyle w:val="Author-eListParagraph"/>
        <w:numPr>
          <w:ilvl w:val="0"/>
          <w:numId w:val="749"/>
        </w:numPr>
        <w:jc w:val="both"/>
      </w:pPr>
      <w:r>
        <w:t xml:space="preserve">Qualité d’acier [NBN EN 10025 série] : </w:t>
      </w:r>
      <w:r>
        <w:rPr>
          <w:rStyle w:val="optioncarChar"/>
        </w:rPr>
        <w:t xml:space="preserve">JR / J0 </w:t>
      </w:r>
      <w:r>
        <w:t>(par défaut)</w:t>
      </w:r>
      <w:r>
        <w:rPr>
          <w:rStyle w:val="optioncarChar"/>
        </w:rPr>
        <w:t xml:space="preserve"> / J2 / K2 / N / NL / M / ML / W / P / Q / QL / QL1 / ***</w:t>
      </w:r>
      <w:r>
        <w:t>.</w:t>
      </w:r>
    </w:p>
    <w:p w14:paraId="5CD182DA" w14:textId="77777777" w:rsidR="00DB2B68" w:rsidRDefault="00000000">
      <w:pPr>
        <w:jc w:val="both"/>
      </w:pPr>
      <w:r>
        <w:t xml:space="preserve">Les mains-courantes sont fabriquées en </w:t>
      </w:r>
      <w:r>
        <w:rPr>
          <w:rStyle w:val="optioncarChar"/>
        </w:rPr>
        <w:t xml:space="preserve">acier </w:t>
      </w:r>
      <w:r>
        <w:t>(par défaut)</w:t>
      </w:r>
      <w:r>
        <w:rPr>
          <w:rStyle w:val="optioncarChar"/>
        </w:rPr>
        <w:t xml:space="preserve"> / bois / ***</w:t>
      </w:r>
      <w:r>
        <w:t>.</w:t>
      </w:r>
    </w:p>
    <w:p w14:paraId="6C95DB34" w14:textId="77777777" w:rsidR="00DB2B68" w:rsidRDefault="00000000">
      <w:pPr>
        <w:ind w:left="567"/>
        <w:jc w:val="both"/>
      </w:pPr>
      <w:r>
        <w:rPr>
          <w:b/>
          <w:i/>
        </w:rPr>
        <w:t>(Soit par défaut)</w:t>
      </w:r>
    </w:p>
    <w:p w14:paraId="4C075D50" w14:textId="77777777" w:rsidR="00DB2B68" w:rsidRDefault="00000000">
      <w:pPr>
        <w:ind w:left="567"/>
        <w:jc w:val="both"/>
      </w:pPr>
      <w:r>
        <w:rPr>
          <w:rStyle w:val="soitChar"/>
          <w:u w:val="single"/>
        </w:rPr>
        <w:t>Acier</w:t>
      </w:r>
    </w:p>
    <w:p w14:paraId="5193B6FB" w14:textId="77777777" w:rsidR="00DB2B68" w:rsidRDefault="00000000">
      <w:pPr>
        <w:ind w:left="567"/>
        <w:jc w:val="both"/>
      </w:pPr>
      <w:r>
        <w:rPr>
          <w:rStyle w:val="soitChar"/>
        </w:rPr>
        <w:t>Type :</w:t>
      </w:r>
      <w:r>
        <w:rPr>
          <w:rStyle w:val="optioncarChar"/>
        </w:rPr>
        <w:t>Tube creux circulaire (CHS)</w:t>
      </w:r>
      <w:r>
        <w:t xml:space="preserve"> (par défaut) </w:t>
      </w:r>
      <w:r>
        <w:rPr>
          <w:rStyle w:val="optioncarChar"/>
        </w:rPr>
        <w:t>/ tube creux rectangulaire (RHS) / plat / U / ***.</w:t>
      </w:r>
    </w:p>
    <w:p w14:paraId="2ADF8AC2" w14:textId="77777777" w:rsidR="00DB2B68" w:rsidRDefault="00000000">
      <w:pPr>
        <w:ind w:left="567"/>
        <w:jc w:val="both"/>
      </w:pPr>
      <w:r>
        <w:rPr>
          <w:b/>
          <w:i/>
        </w:rPr>
        <w:t>(Soit)</w:t>
      </w:r>
    </w:p>
    <w:p w14:paraId="5CDB0A91" w14:textId="77777777" w:rsidR="00DB2B68" w:rsidRDefault="00000000">
      <w:pPr>
        <w:ind w:left="567"/>
        <w:jc w:val="both"/>
      </w:pPr>
      <w:r>
        <w:rPr>
          <w:rStyle w:val="soitChar"/>
          <w:u w:val="single"/>
        </w:rPr>
        <w:t>Bois</w:t>
      </w:r>
    </w:p>
    <w:p w14:paraId="5A315190" w14:textId="77777777" w:rsidR="00DB2B68" w:rsidRDefault="00000000">
      <w:pPr>
        <w:ind w:left="567"/>
        <w:jc w:val="both"/>
      </w:pPr>
      <w:r>
        <w:rPr>
          <w:rStyle w:val="soitChar"/>
        </w:rPr>
        <w:t>Essence :</w:t>
      </w:r>
      <w:r>
        <w:rPr>
          <w:rStyle w:val="optioncarChar"/>
        </w:rPr>
        <w:t xml:space="preserve">ipe </w:t>
      </w:r>
      <w:r>
        <w:t>(par défaut)</w:t>
      </w:r>
      <w:r>
        <w:rPr>
          <w:rStyle w:val="optioncarChar"/>
        </w:rPr>
        <w:t xml:space="preserve"> / itauba / frêne / mélèze / merbau / hêtre / méranti / ***</w:t>
      </w:r>
      <w:r>
        <w:t>.</w:t>
      </w:r>
    </w:p>
    <w:p w14:paraId="3112E8F1" w14:textId="77777777" w:rsidR="00DB2B68" w:rsidRDefault="00000000">
      <w:pPr>
        <w:ind w:left="567"/>
        <w:jc w:val="both"/>
      </w:pPr>
      <w:r>
        <w:rPr>
          <w:b/>
          <w:i/>
        </w:rPr>
        <w:t>(Soit)</w:t>
      </w:r>
    </w:p>
    <w:p w14:paraId="3D7F210B" w14:textId="77777777" w:rsidR="00DB2B68" w:rsidRDefault="00000000">
      <w:pPr>
        <w:ind w:left="567"/>
        <w:jc w:val="both"/>
      </w:pPr>
      <w:r>
        <w:rPr>
          <w:rStyle w:val="optioncarChar"/>
        </w:rPr>
        <w:t>***</w:t>
      </w:r>
    </w:p>
    <w:p w14:paraId="51238560" w14:textId="77777777" w:rsidR="00DB2B68" w:rsidRDefault="00000000">
      <w:pPr>
        <w:pStyle w:val="pheading"/>
      </w:pPr>
      <w:r>
        <w:t>- Finitions</w:t>
      </w:r>
    </w:p>
    <w:p w14:paraId="5AC0A0AB" w14:textId="77777777" w:rsidR="00DB2B68" w:rsidRDefault="00000000">
      <w:pPr>
        <w:jc w:val="both"/>
      </w:pPr>
      <w:r>
        <w:rPr>
          <w:b/>
        </w:rPr>
        <w:t>Traitement de l’acier</w:t>
      </w:r>
    </w:p>
    <w:p w14:paraId="2AE0B66F" w14:textId="77777777" w:rsidR="00DB2B68" w:rsidRDefault="00000000">
      <w:pPr>
        <w:jc w:val="both"/>
      </w:pPr>
      <w:r>
        <w:t xml:space="preserve">Les éléments sont traités contre la rouille par : </w:t>
      </w:r>
      <w:r>
        <w:rPr>
          <w:rStyle w:val="optioncarChar"/>
        </w:rPr>
        <w:t xml:space="preserve">galvanisation à chaud </w:t>
      </w:r>
      <w:r>
        <w:t>(par défaut)</w:t>
      </w:r>
      <w:r>
        <w:rPr>
          <w:rStyle w:val="optioncarChar"/>
        </w:rPr>
        <w:t xml:space="preserve"> / métallisation / primaire antirouille / pas de traitement (aspect brut)</w:t>
      </w:r>
      <w:r>
        <w:t>.</w:t>
      </w:r>
    </w:p>
    <w:p w14:paraId="09C392E6" w14:textId="77777777" w:rsidR="00DB2B68" w:rsidRDefault="00000000">
      <w:pPr>
        <w:ind w:left="567"/>
        <w:jc w:val="both"/>
      </w:pPr>
      <w:r>
        <w:rPr>
          <w:b/>
          <w:i/>
        </w:rPr>
        <w:t>(Soit par défaut)</w:t>
      </w:r>
    </w:p>
    <w:p w14:paraId="2EE73B7A" w14:textId="77777777" w:rsidR="00DB2B68" w:rsidRDefault="00000000">
      <w:pPr>
        <w:ind w:left="567"/>
        <w:jc w:val="both"/>
      </w:pPr>
      <w:r>
        <w:rPr>
          <w:rStyle w:val="soitChar"/>
          <w:u w:val="single"/>
        </w:rPr>
        <w:t>Galvanisation</w:t>
      </w:r>
    </w:p>
    <w:p w14:paraId="77E17A74" w14:textId="77777777" w:rsidR="00DB2B68" w:rsidRDefault="00000000">
      <w:pPr>
        <w:ind w:left="567"/>
        <w:jc w:val="both"/>
      </w:pPr>
      <w:r>
        <w:rPr>
          <w:rStyle w:val="soitChar"/>
        </w:rPr>
        <w:t>Renvoi aux articles 81.31.3a Protections intérieures par galvanisation (en atelier) des supports métalliques ferreux ou 82.31.3a Protections extérieures par galvanisation de supports métalliques ferreux.</w:t>
      </w:r>
    </w:p>
    <w:p w14:paraId="2023AAC1" w14:textId="77777777" w:rsidR="00DB2B68" w:rsidRDefault="00000000">
      <w:pPr>
        <w:ind w:left="567"/>
        <w:jc w:val="both"/>
      </w:pPr>
      <w:r>
        <w:rPr>
          <w:b/>
          <w:i/>
        </w:rPr>
        <w:t> (Soit)</w:t>
      </w:r>
    </w:p>
    <w:p w14:paraId="135A7646" w14:textId="77777777" w:rsidR="00DB2B68" w:rsidRDefault="00000000">
      <w:pPr>
        <w:ind w:left="567"/>
        <w:jc w:val="both"/>
      </w:pPr>
      <w:r>
        <w:rPr>
          <w:rStyle w:val="soitChar"/>
          <w:u w:val="single"/>
        </w:rPr>
        <w:t>Métallisation</w:t>
      </w:r>
    </w:p>
    <w:p w14:paraId="10780BD6" w14:textId="77777777" w:rsidR="00DB2B68" w:rsidRDefault="00000000">
      <w:pPr>
        <w:ind w:left="567"/>
        <w:jc w:val="both"/>
      </w:pPr>
      <w:r>
        <w:rPr>
          <w:rStyle w:val="soitChar"/>
        </w:rPr>
        <w:t>Renvoi aux articles 81.31.3b Protections intérieures par métallisation (en atelier ou sur chantier) des supports métalliques ferreux ou 82.31.3b Protections extérieures par métallisation des supports métalliques ferreux.</w:t>
      </w:r>
    </w:p>
    <w:p w14:paraId="686AD141" w14:textId="77777777" w:rsidR="00DB2B68" w:rsidRDefault="00000000">
      <w:pPr>
        <w:ind w:left="567"/>
        <w:jc w:val="both"/>
      </w:pPr>
      <w:r>
        <w:rPr>
          <w:b/>
          <w:i/>
        </w:rPr>
        <w:t>(Soit)</w:t>
      </w:r>
    </w:p>
    <w:p w14:paraId="64EA9383" w14:textId="77777777" w:rsidR="00DB2B68" w:rsidRDefault="00000000">
      <w:pPr>
        <w:ind w:left="567"/>
        <w:jc w:val="both"/>
      </w:pPr>
      <w:r>
        <w:rPr>
          <w:rStyle w:val="soitChar"/>
          <w:u w:val="single"/>
        </w:rPr>
        <w:t>Peinture antirouille</w:t>
      </w:r>
    </w:p>
    <w:p w14:paraId="1629EDD2" w14:textId="77777777" w:rsidR="00DB2B68" w:rsidRDefault="00000000">
      <w:pPr>
        <w:ind w:left="567"/>
        <w:jc w:val="both"/>
      </w:pPr>
      <w:r>
        <w:rPr>
          <w:rStyle w:val="soitChar"/>
        </w:rPr>
        <w:t>Renvoi aux articles 81.31.3c Protections intérieures par primaire antirouille (en atelier ou sur chantier) des supports métalliques ferreux ou 82.31.3c Protections extérieures par primaire antirouille des supports métalliques ferreux.</w:t>
      </w:r>
    </w:p>
    <w:p w14:paraId="619553F9" w14:textId="77777777" w:rsidR="00DB2B68" w:rsidRDefault="00000000">
      <w:pPr>
        <w:ind w:left="567"/>
        <w:jc w:val="both"/>
      </w:pPr>
      <w:r>
        <w:rPr>
          <w:b/>
          <w:i/>
        </w:rPr>
        <w:lastRenderedPageBreak/>
        <w:t>(Soit)</w:t>
      </w:r>
    </w:p>
    <w:p w14:paraId="38C36A9F" w14:textId="77777777" w:rsidR="00DB2B68" w:rsidRDefault="00000000">
      <w:pPr>
        <w:ind w:left="567"/>
        <w:jc w:val="both"/>
      </w:pPr>
      <w:r>
        <w:rPr>
          <w:rStyle w:val="soitChar"/>
          <w:u w:val="single"/>
        </w:rPr>
        <w:t>Pas de traitement</w:t>
      </w:r>
    </w:p>
    <w:p w14:paraId="3BDE3692" w14:textId="77777777" w:rsidR="00DB2B68" w:rsidRDefault="00000000">
      <w:pPr>
        <w:ind w:left="567"/>
        <w:jc w:val="both"/>
      </w:pPr>
      <w:r>
        <w:rPr>
          <w:rStyle w:val="soitChar"/>
        </w:rPr>
        <w:t>L’acier reste « brut ». Il est simplement nettoyé, dégraissé et débarrassé de la rouille par sablage et/ou ponçage conformément aux chapitres 81.31.1 Nettoyage / Dégraissage, 81.31.2 Grenaillage - Sablage / Ponçage / Dérouillage et articles qui en découlent. </w:t>
      </w:r>
    </w:p>
    <w:p w14:paraId="56E04C97" w14:textId="77777777" w:rsidR="00DB2B68" w:rsidRDefault="00000000">
      <w:pPr>
        <w:jc w:val="both"/>
      </w:pPr>
      <w:r>
        <w:t>Ce traitement contre la rouille est compris par défaut dans le poste, sauf contre-indication dans le cahier spécial des charges aux articles concernés ci-dessus.</w:t>
      </w:r>
    </w:p>
    <w:p w14:paraId="75E7169E" w14:textId="77777777" w:rsidR="00DB2B68" w:rsidRDefault="00000000">
      <w:pPr>
        <w:jc w:val="both"/>
      </w:pPr>
      <w:r>
        <w:rPr>
          <w:b/>
        </w:rPr>
        <w:t>Finition de l’acier</w:t>
      </w:r>
    </w:p>
    <w:p w14:paraId="3D5B9C77" w14:textId="77777777" w:rsidR="00DB2B68" w:rsidRDefault="00000000">
      <w:pPr>
        <w:jc w:val="both"/>
      </w:pPr>
      <w:r>
        <w:t xml:space="preserve">Finition de l’acier : </w:t>
      </w:r>
      <w:r>
        <w:rPr>
          <w:rStyle w:val="optioncarChar"/>
        </w:rPr>
        <w:t xml:space="preserve">pas de finition </w:t>
      </w:r>
      <w:r>
        <w:t>(par défaut)</w:t>
      </w:r>
      <w:r>
        <w:rPr>
          <w:rStyle w:val="optioncarChar"/>
        </w:rPr>
        <w:t xml:space="preserve"> / peint / brut (verni)</w:t>
      </w:r>
      <w:r>
        <w:t>.</w:t>
      </w:r>
    </w:p>
    <w:p w14:paraId="7E8E5ED0" w14:textId="77777777" w:rsidR="00DB2B68" w:rsidRDefault="00000000">
      <w:pPr>
        <w:ind w:left="567"/>
        <w:jc w:val="both"/>
      </w:pPr>
      <w:r>
        <w:rPr>
          <w:b/>
          <w:i/>
        </w:rPr>
        <w:t>(Soit par défaut)</w:t>
      </w:r>
    </w:p>
    <w:p w14:paraId="36D84CBF" w14:textId="77777777" w:rsidR="00DB2B68" w:rsidRDefault="00000000">
      <w:pPr>
        <w:ind w:left="567"/>
        <w:jc w:val="both"/>
      </w:pPr>
      <w:r>
        <w:rPr>
          <w:rStyle w:val="soitChar"/>
          <w:u w:val="single"/>
        </w:rPr>
        <w:t>Pas de finition</w:t>
      </w:r>
    </w:p>
    <w:p w14:paraId="2305068B" w14:textId="77777777" w:rsidR="00DB2B68" w:rsidRDefault="00000000">
      <w:pPr>
        <w:ind w:left="567"/>
        <w:jc w:val="both"/>
      </w:pPr>
      <w:r>
        <w:rPr>
          <w:rStyle w:val="soitChar"/>
        </w:rPr>
        <w:t>Pas de finition, le traitement contre la rouille reste apparent.</w:t>
      </w:r>
    </w:p>
    <w:p w14:paraId="12D8BD18" w14:textId="77777777" w:rsidR="00DB2B68" w:rsidRDefault="00000000">
      <w:pPr>
        <w:ind w:left="567"/>
        <w:jc w:val="both"/>
      </w:pPr>
      <w:r>
        <w:rPr>
          <w:b/>
          <w:i/>
        </w:rPr>
        <w:t>(Soit)</w:t>
      </w:r>
    </w:p>
    <w:p w14:paraId="1FDAF6D8" w14:textId="77777777" w:rsidR="00DB2B68" w:rsidRDefault="00000000">
      <w:pPr>
        <w:ind w:left="567"/>
        <w:jc w:val="both"/>
      </w:pPr>
      <w:r>
        <w:rPr>
          <w:rStyle w:val="soitChar"/>
          <w:u w:val="single"/>
        </w:rPr>
        <w:t>Peint</w:t>
      </w:r>
    </w:p>
    <w:p w14:paraId="2E3C8DFE" w14:textId="77777777" w:rsidR="00DB2B68" w:rsidRDefault="00000000">
      <w:pPr>
        <w:ind w:left="567"/>
        <w:jc w:val="both"/>
      </w:pPr>
      <w:r>
        <w:rPr>
          <w:rStyle w:val="soitChar"/>
        </w:rPr>
        <w:t>Renvoi aux sous-titres 81.33 Finitions / décorations des métaux ferreux et non ferreux (intérieure) ou 82.33 Finitions / décorations des métaux ferreux et non ferreux (extérieure), et éléments et articles qui en découlent .</w:t>
      </w:r>
    </w:p>
    <w:p w14:paraId="642014B9" w14:textId="77777777" w:rsidR="00DB2B68" w:rsidRDefault="00000000">
      <w:pPr>
        <w:ind w:left="567"/>
        <w:jc w:val="both"/>
      </w:pPr>
      <w:r>
        <w:rPr>
          <w:b/>
          <w:i/>
        </w:rPr>
        <w:t> (Soit)</w:t>
      </w:r>
    </w:p>
    <w:p w14:paraId="3DC7FA0A" w14:textId="77777777" w:rsidR="00DB2B68" w:rsidRDefault="00000000">
      <w:pPr>
        <w:ind w:left="567"/>
        <w:jc w:val="both"/>
      </w:pPr>
      <w:r>
        <w:rPr>
          <w:rStyle w:val="soitChar"/>
          <w:u w:val="single"/>
        </w:rPr>
        <w:t>Brut (verni)</w:t>
      </w:r>
    </w:p>
    <w:p w14:paraId="3BD01CA3" w14:textId="77777777" w:rsidR="00DB2B68" w:rsidRDefault="00000000">
      <w:pPr>
        <w:ind w:left="567"/>
        <w:jc w:val="both"/>
      </w:pPr>
      <w:r>
        <w:rPr>
          <w:rStyle w:val="soitChar"/>
        </w:rPr>
        <w:t xml:space="preserve">L’acier est protégé à l’aide d’un verni incolore à base de </w:t>
      </w:r>
      <w:r>
        <w:rPr>
          <w:rStyle w:val="optioncarChar"/>
        </w:rPr>
        <w:t xml:space="preserve">résine glycérophtalique </w:t>
      </w:r>
      <w:r>
        <w:t xml:space="preserve">(par défaut) </w:t>
      </w:r>
      <w:r>
        <w:rPr>
          <w:rStyle w:val="optioncarChar"/>
        </w:rPr>
        <w:t>/ ***.</w:t>
      </w:r>
    </w:p>
    <w:p w14:paraId="39E76C3C" w14:textId="77777777" w:rsidR="00DB2B68" w:rsidRDefault="00000000">
      <w:pPr>
        <w:ind w:left="567"/>
        <w:jc w:val="both"/>
      </w:pPr>
      <w:r>
        <w:rPr>
          <w:rStyle w:val="soitChar"/>
        </w:rPr>
        <w:t>Pour la mise en œuvre, renvoi aux sous-titres 81.33 Finitions / décorations des métaux ferreux et non ferreux (intérieure) ou 82.33 Finitions / décorations des métaux ferreux et non ferreux (extérieure), et éléments et articles qui en découlent . </w:t>
      </w:r>
    </w:p>
    <w:p w14:paraId="7E301D86" w14:textId="77777777" w:rsidR="00DB2B68" w:rsidRDefault="00000000">
      <w:pPr>
        <w:jc w:val="both"/>
      </w:pPr>
      <w:r>
        <w:t>Ce traitement de finition est compris par défaut dans le poste, sauf contre-indication dans le cahier spécial des charges aux articles concernés ci-dessus. </w:t>
      </w:r>
    </w:p>
    <w:p w14:paraId="16E994D2" w14:textId="77777777" w:rsidR="00DB2B68" w:rsidRDefault="00000000">
      <w:pPr>
        <w:pStyle w:val="pheading"/>
      </w:pPr>
      <w:r>
        <w:t>- Prescriptions complémentaires</w:t>
      </w:r>
    </w:p>
    <w:p w14:paraId="19FEE893" w14:textId="77777777" w:rsidR="00DB2B68" w:rsidRDefault="00000000">
      <w:pPr>
        <w:jc w:val="both"/>
      </w:pPr>
      <w:r>
        <w:rPr>
          <w:rStyle w:val="facultChar"/>
        </w:rPr>
        <w:t>Le présent article comprend également la finition du bois.</w:t>
      </w:r>
    </w:p>
    <w:p w14:paraId="632D104A" w14:textId="77777777" w:rsidR="00DB2B68" w:rsidRDefault="00000000">
      <w:pPr>
        <w:jc w:val="both"/>
      </w:pPr>
      <w:r>
        <w:rPr>
          <w:rStyle w:val="facultChar"/>
          <w:u w:val="single"/>
        </w:rPr>
        <w:t>Finition du bois </w:t>
      </w:r>
    </w:p>
    <w:p w14:paraId="52D6CC43" w14:textId="77777777" w:rsidR="00DB2B68" w:rsidRDefault="00000000">
      <w:pPr>
        <w:jc w:val="both"/>
      </w:pPr>
      <w:r>
        <w:rPr>
          <w:rStyle w:val="facultChar"/>
        </w:rPr>
        <w:t>Toutes les parties en bois sont vernies en deux couches selon les titres 81.2 Peintures intérieures sur subjectiles en bois et dérivés du bois (feuillus, résineux, bois exotiques, panneaux) et 82.2 Peintures extérieures sur subjectiles en bois et dérivés du bois (feuillus, résineux, bois exotiques, panneaux) et éléments et articles qui en découlent.</w:t>
      </w:r>
    </w:p>
    <w:p w14:paraId="1566F6F7" w14:textId="77777777" w:rsidR="00DB2B68" w:rsidRDefault="00000000">
      <w:pPr>
        <w:jc w:val="both"/>
      </w:pPr>
      <w:r>
        <w:rPr>
          <w:rStyle w:val="facultChar"/>
        </w:rPr>
        <w:t>Le traitement est compris dans le prix du poste. Le bois est protégé jusqu'à réception provisoire dans un emballage de protection évitant les chocs et rayures.</w:t>
      </w:r>
    </w:p>
    <w:p w14:paraId="2A1D264B" w14:textId="77777777" w:rsidR="00DB2B68" w:rsidRDefault="00000000">
      <w:pPr>
        <w:pStyle w:val="pheading"/>
      </w:pPr>
      <w:r>
        <w:t>EXÉCUTION / MISE EN ŒUVRE</w:t>
      </w:r>
    </w:p>
    <w:p w14:paraId="3B52C671" w14:textId="77777777" w:rsidR="00DB2B68" w:rsidRDefault="00000000">
      <w:pPr>
        <w:pStyle w:val="pheading"/>
      </w:pPr>
      <w:r>
        <w:t>- Prescriptions générales</w:t>
      </w:r>
    </w:p>
    <w:p w14:paraId="7193A38E" w14:textId="77777777" w:rsidR="00DB2B68" w:rsidRDefault="00000000">
      <w:pPr>
        <w:jc w:val="both"/>
      </w:pPr>
      <w:r>
        <w:t>Toutes les pièces sont profilées conformément aux plans d'adjudication et/ou aux dessins d'exécution. Ces dessins d'exécution sont soumis à l'approbation de l’auteur de projet.</w:t>
      </w:r>
    </w:p>
    <w:p w14:paraId="47F67BDE" w14:textId="77777777" w:rsidR="00DB2B68" w:rsidRDefault="00000000">
      <w:pPr>
        <w:jc w:val="both"/>
      </w:pPr>
      <w:r>
        <w:t xml:space="preserve">L'étude et les plans d'exécution sont réalisés sur base : </w:t>
      </w:r>
      <w:r>
        <w:rPr>
          <w:rStyle w:val="optioncarChar"/>
        </w:rPr>
        <w:t xml:space="preserve">des études et dessins de détail annexés au dossier d'adjudication </w:t>
      </w:r>
      <w:r>
        <w:t>(par défaut)</w:t>
      </w:r>
      <w:r>
        <w:rPr>
          <w:rStyle w:val="optioncarChar"/>
        </w:rPr>
        <w:t xml:space="preserve"> / à charge de l’entreprise.</w:t>
      </w:r>
    </w:p>
    <w:p w14:paraId="55FAC219" w14:textId="77777777" w:rsidR="00DB2B68" w:rsidRDefault="00000000">
      <w:pPr>
        <w:jc w:val="both"/>
      </w:pPr>
      <w:r>
        <w:rPr>
          <w:b/>
          <w:u w:val="single"/>
        </w:rPr>
        <w:t>Etudes et dessins de détail annexés au dossier d'adjudication</w:t>
      </w:r>
    </w:p>
    <w:p w14:paraId="0FF519BE" w14:textId="77777777" w:rsidR="00DB2B68" w:rsidRDefault="00000000">
      <w:pPr>
        <w:jc w:val="both"/>
      </w:pPr>
      <w:r>
        <w:t>Les dessins d’exécution sont réalisés selon l’étude des plans et des détails de l'auteur de projet annexés au dossier d'adjudication.</w:t>
      </w:r>
    </w:p>
    <w:p w14:paraId="48E94DA3" w14:textId="77777777" w:rsidR="00DB2B68" w:rsidRDefault="00000000">
      <w:pPr>
        <w:jc w:val="both"/>
      </w:pPr>
      <w:r>
        <w:rPr>
          <w:b/>
          <w:u w:val="single"/>
        </w:rPr>
        <w:lastRenderedPageBreak/>
        <w:t>Etudes et dessins à charge de l’entreprise</w:t>
      </w:r>
    </w:p>
    <w:p w14:paraId="39544839" w14:textId="77777777" w:rsidR="00DB2B68" w:rsidRDefault="00000000">
      <w:pPr>
        <w:jc w:val="both"/>
      </w:pPr>
      <w:r>
        <w:t>Les études et les dessins d’exécution sont réalisés sur base des informations suivantes, complémentaires aux plans et coupes de soumission :</w:t>
      </w:r>
    </w:p>
    <w:p w14:paraId="71637CA9" w14:textId="77777777" w:rsidR="00DB2B68" w:rsidRDefault="00000000">
      <w:pPr>
        <w:jc w:val="both"/>
      </w:pPr>
      <w:r>
        <w:rPr>
          <w:i/>
        </w:rPr>
        <w:t>Spécifications</w:t>
      </w:r>
    </w:p>
    <w:p w14:paraId="10B243F4" w14:textId="77777777" w:rsidR="00DB2B68" w:rsidRDefault="00000000">
      <w:pPr>
        <w:pStyle w:val="Author-eListParagraph"/>
        <w:numPr>
          <w:ilvl w:val="0"/>
          <w:numId w:val="750"/>
        </w:numPr>
      </w:pPr>
      <w:r>
        <w:t xml:space="preserve">Hauteur de protection (hauteur de la balustrade, y compris la main-courante) [NBN B 03-004] minimum : </w:t>
      </w:r>
    </w:p>
    <w:p w14:paraId="21E59221" w14:textId="77777777" w:rsidR="00DB2B68" w:rsidRDefault="00000000">
      <w:pPr>
        <w:pStyle w:val="Author-eListParagraph"/>
        <w:numPr>
          <w:ilvl w:val="1"/>
          <w:numId w:val="751"/>
        </w:numPr>
      </w:pPr>
      <w:r>
        <w:t xml:space="preserve">Rampes : </w:t>
      </w:r>
      <w:r>
        <w:rPr>
          <w:rStyle w:val="optioncarChar"/>
        </w:rPr>
        <w:t xml:space="preserve">90 </w:t>
      </w:r>
      <w:r>
        <w:t xml:space="preserve">(par défaut) </w:t>
      </w:r>
      <w:r>
        <w:rPr>
          <w:rStyle w:val="optioncarChar"/>
        </w:rPr>
        <w:t>/ ***</w:t>
      </w:r>
      <w:r>
        <w:t xml:space="preserve"> cm.</w:t>
      </w:r>
    </w:p>
    <w:p w14:paraId="7F23AF16" w14:textId="77777777" w:rsidR="00DB2B68" w:rsidRDefault="00000000">
      <w:pPr>
        <w:pStyle w:val="Author-eListParagraph"/>
        <w:numPr>
          <w:ilvl w:val="1"/>
          <w:numId w:val="751"/>
        </w:numPr>
      </w:pPr>
      <w:r>
        <w:t>Paliers :</w:t>
      </w:r>
      <w:r>
        <w:rPr>
          <w:rStyle w:val="optioncarChar"/>
        </w:rPr>
        <w:t xml:space="preserve"> 100 </w:t>
      </w:r>
      <w:r>
        <w:t xml:space="preserve">(par défaut) </w:t>
      </w:r>
      <w:r>
        <w:rPr>
          <w:rStyle w:val="optioncarChar"/>
        </w:rPr>
        <w:t>/ ***</w:t>
      </w:r>
      <w:r>
        <w:t xml:space="preserve"> cm.</w:t>
      </w:r>
    </w:p>
    <w:p w14:paraId="1700DA8D" w14:textId="77777777" w:rsidR="00DB2B68" w:rsidRDefault="00000000">
      <w:pPr>
        <w:pStyle w:val="Author-eListParagraph"/>
        <w:numPr>
          <w:ilvl w:val="1"/>
          <w:numId w:val="751"/>
        </w:numPr>
      </w:pPr>
      <w:r>
        <w:t>Garde-corps :</w:t>
      </w:r>
      <w:r>
        <w:rPr>
          <w:rStyle w:val="optioncarChar"/>
        </w:rPr>
        <w:t xml:space="preserve"> 110</w:t>
      </w:r>
      <w:r>
        <w:t xml:space="preserve"> (par défaut)</w:t>
      </w:r>
      <w:r>
        <w:rPr>
          <w:rStyle w:val="optioncarChar"/>
        </w:rPr>
        <w:t xml:space="preserve"> / ***</w:t>
      </w:r>
      <w:r>
        <w:t xml:space="preserve"> cm.</w:t>
      </w:r>
    </w:p>
    <w:p w14:paraId="16CD1AEF" w14:textId="77777777" w:rsidR="00DB2B68" w:rsidRDefault="00000000">
      <w:pPr>
        <w:pStyle w:val="Author-eListParagraph"/>
        <w:numPr>
          <w:ilvl w:val="0"/>
          <w:numId w:val="750"/>
        </w:numPr>
      </w:pPr>
      <w:r>
        <w:t xml:space="preserve">Ouverture inférieure entre le support et la lisse inférieure : maximum </w:t>
      </w:r>
      <w:r>
        <w:rPr>
          <w:rStyle w:val="optioncarChar"/>
        </w:rPr>
        <w:t xml:space="preserve">11 cm (garde-corps) / 18 cm (rampe avec limon) / 5 cm (par rapport au nez pour les rampes sans limon) </w:t>
      </w:r>
      <w:r>
        <w:t>(par défaut). </w:t>
      </w:r>
    </w:p>
    <w:p w14:paraId="558EEFC8" w14:textId="77777777" w:rsidR="00DB2B68" w:rsidRDefault="00000000">
      <w:pPr>
        <w:pStyle w:val="Author-eListParagraph"/>
        <w:numPr>
          <w:ilvl w:val="0"/>
          <w:numId w:val="750"/>
        </w:numPr>
      </w:pPr>
      <w:r>
        <w:t>Saillie du garde-corps : maximum 5 cm.</w:t>
      </w:r>
    </w:p>
    <w:p w14:paraId="6791A4E5" w14:textId="77777777" w:rsidR="00DB2B68" w:rsidRDefault="00000000">
      <w:pPr>
        <w:pStyle w:val="Author-eListParagraph"/>
        <w:numPr>
          <w:ilvl w:val="0"/>
          <w:numId w:val="750"/>
        </w:numPr>
      </w:pPr>
      <w:r>
        <w:t>Forme des balustres :</w:t>
      </w:r>
      <w:r>
        <w:rPr>
          <w:rStyle w:val="optioncarChar"/>
        </w:rPr>
        <w:t xml:space="preserve"> rond </w:t>
      </w:r>
      <w:r>
        <w:t>(par défaut)</w:t>
      </w:r>
      <w:r>
        <w:rPr>
          <w:rStyle w:val="optioncarChar"/>
        </w:rPr>
        <w:t xml:space="preserve"> / rectangulaire / carré / plat / ***</w:t>
      </w:r>
      <w:r>
        <w:t>.</w:t>
      </w:r>
    </w:p>
    <w:p w14:paraId="596FCBD8" w14:textId="77777777" w:rsidR="00DB2B68" w:rsidRDefault="00000000">
      <w:pPr>
        <w:pStyle w:val="Author-eListParagraph"/>
        <w:numPr>
          <w:ilvl w:val="0"/>
          <w:numId w:val="750"/>
        </w:numPr>
      </w:pPr>
      <w:r>
        <w:t>Section des balustres :</w:t>
      </w:r>
      <w:r>
        <w:rPr>
          <w:rStyle w:val="optioncarChar"/>
        </w:rPr>
        <w:t xml:space="preserve"> au choix de l’entrepreneur, répondant aux prescriptions de résistance aux chocs de la section 6 de la norme [NBN B 03-004]</w:t>
      </w:r>
      <w:r>
        <w:t> (par défaut) / ***.</w:t>
      </w:r>
    </w:p>
    <w:p w14:paraId="30EBF177" w14:textId="77777777" w:rsidR="00DB2B68" w:rsidRDefault="00000000">
      <w:pPr>
        <w:pStyle w:val="Author-eListParagraph"/>
        <w:numPr>
          <w:ilvl w:val="0"/>
          <w:numId w:val="750"/>
        </w:numPr>
      </w:pPr>
      <w:r>
        <w:t xml:space="preserve">Zone inférieure jusqu'à une hauteur de 450 mm : </w:t>
      </w:r>
      <w:r>
        <w:rPr>
          <w:rStyle w:val="optioncarChar"/>
        </w:rPr>
        <w:t>balustres verticaux</w:t>
      </w:r>
      <w:r>
        <w:t xml:space="preserve"> (par défaut)</w:t>
      </w:r>
      <w:r>
        <w:rPr>
          <w:rStyle w:val="optioncarChar"/>
        </w:rPr>
        <w:t xml:space="preserve"> / éléments de remplissage</w:t>
      </w:r>
      <w:r>
        <w:t>.</w:t>
      </w:r>
    </w:p>
    <w:p w14:paraId="669B2D75" w14:textId="77777777" w:rsidR="00DB2B68" w:rsidRDefault="00000000">
      <w:pPr>
        <w:ind w:left="1134"/>
        <w:jc w:val="both"/>
      </w:pPr>
      <w:r>
        <w:rPr>
          <w:b/>
          <w:i/>
        </w:rPr>
        <w:t>(Soit par défaut)</w:t>
      </w:r>
    </w:p>
    <w:p w14:paraId="6A2BC96D" w14:textId="77777777" w:rsidR="00DB2B68" w:rsidRDefault="00000000">
      <w:pPr>
        <w:ind w:left="1134"/>
        <w:jc w:val="both"/>
      </w:pPr>
      <w:r>
        <w:rPr>
          <w:rStyle w:val="soitChar"/>
          <w:u w:val="single"/>
        </w:rPr>
        <w:t>balustres verticaux</w:t>
      </w:r>
    </w:p>
    <w:p w14:paraId="2CDB5854" w14:textId="77777777" w:rsidR="00DB2B68" w:rsidRDefault="00000000">
      <w:pPr>
        <w:ind w:left="1134"/>
        <w:jc w:val="both"/>
      </w:pPr>
      <w:r>
        <w:rPr>
          <w:rStyle w:val="soitChar"/>
        </w:rPr>
        <w:t>Le garde-corps se compose uniquement de balustres verticaux.</w:t>
      </w:r>
    </w:p>
    <w:p w14:paraId="75D86069" w14:textId="77777777" w:rsidR="00DB2B68" w:rsidRDefault="00000000">
      <w:pPr>
        <w:ind w:left="1134"/>
        <w:jc w:val="both"/>
      </w:pPr>
      <w:r>
        <w:rPr>
          <w:b/>
          <w:i/>
        </w:rPr>
        <w:t>(Soit)</w:t>
      </w:r>
    </w:p>
    <w:p w14:paraId="08F78A71" w14:textId="77777777" w:rsidR="00DB2B68" w:rsidRDefault="00000000">
      <w:pPr>
        <w:ind w:left="1134"/>
        <w:jc w:val="both"/>
      </w:pPr>
      <w:r>
        <w:rPr>
          <w:rStyle w:val="soitChar"/>
          <w:u w:val="single"/>
        </w:rPr>
        <w:t>éléments de remplissage</w:t>
      </w:r>
    </w:p>
    <w:p w14:paraId="1B86D2EA" w14:textId="77777777" w:rsidR="00DB2B68" w:rsidRDefault="00000000">
      <w:pPr>
        <w:ind w:left="1134"/>
        <w:jc w:val="both"/>
      </w:pPr>
      <w:r>
        <w:rPr>
          <w:rStyle w:val="soitChar"/>
        </w:rPr>
        <w:t xml:space="preserve">Type de remplissage : </w:t>
      </w:r>
      <w:r>
        <w:rPr>
          <w:rStyle w:val="optioncarChar"/>
        </w:rPr>
        <w:t>tôle en acier perforé (épaisseur : 3 </w:t>
      </w:r>
      <w:r>
        <w:t>(par défaut)</w:t>
      </w:r>
      <w:r>
        <w:rPr>
          <w:rStyle w:val="optioncarChar"/>
        </w:rPr>
        <w:t xml:space="preserve"> / *** mm)</w:t>
      </w:r>
      <w:r>
        <w:t xml:space="preserve"> (par défaut) </w:t>
      </w:r>
      <w:r>
        <w:rPr>
          <w:rStyle w:val="optioncarChar"/>
        </w:rPr>
        <w:t>/ métal déployé / grillage à maille carrée section : *** x *** mm / verre feuilleté (44.2 </w:t>
      </w:r>
      <w:r>
        <w:t>(par défaut) </w:t>
      </w:r>
      <w:r>
        <w:rPr>
          <w:rStyle w:val="optioncarChar"/>
        </w:rPr>
        <w:t>/ ***) / ***</w:t>
      </w:r>
      <w:r>
        <w:rPr>
          <w:rStyle w:val="soitChar"/>
        </w:rPr>
        <w:t>.</w:t>
      </w:r>
    </w:p>
    <w:p w14:paraId="1E5627E3" w14:textId="77777777" w:rsidR="00DB2B68" w:rsidRDefault="00000000">
      <w:pPr>
        <w:pStyle w:val="Author-eListParagraph"/>
        <w:numPr>
          <w:ilvl w:val="0"/>
          <w:numId w:val="752"/>
        </w:numPr>
      </w:pPr>
      <w:r>
        <w:t>Ecartement horizontal des balustres verticaux [NBN B 03-004]  : inférieur à 11 cm.</w:t>
      </w:r>
    </w:p>
    <w:p w14:paraId="6A44F0E0" w14:textId="77777777" w:rsidR="00DB2B68" w:rsidRDefault="00000000">
      <w:pPr>
        <w:pStyle w:val="Author-eListParagraph"/>
        <w:numPr>
          <w:ilvl w:val="0"/>
          <w:numId w:val="752"/>
        </w:numPr>
      </w:pPr>
      <w:r>
        <w:t>Ecartement vertical des balustres « horizontaux » (situées à plus de 450 mm de la partie inférieure du garde-corps) [NBN B 03-004] : maximum 18 cm.</w:t>
      </w:r>
    </w:p>
    <w:p w14:paraId="71D9B12A" w14:textId="77777777" w:rsidR="00DB2B68" w:rsidRDefault="00000000">
      <w:pPr>
        <w:jc w:val="both"/>
      </w:pPr>
      <w:r>
        <w:rPr>
          <w:i/>
        </w:rPr>
        <w:t>Main courante</w:t>
      </w:r>
    </w:p>
    <w:p w14:paraId="476E98C2" w14:textId="77777777" w:rsidR="00DB2B68" w:rsidRDefault="00000000">
      <w:pPr>
        <w:pStyle w:val="Author-eListParagraph"/>
        <w:numPr>
          <w:ilvl w:val="0"/>
          <w:numId w:val="753"/>
        </w:numPr>
        <w:jc w:val="both"/>
      </w:pPr>
      <w:r>
        <w:t xml:space="preserve">Forme des mains courantes : </w:t>
      </w:r>
      <w:r>
        <w:rPr>
          <w:rStyle w:val="optioncarChar"/>
        </w:rPr>
        <w:t>ronde</w:t>
      </w:r>
      <w:r>
        <w:t xml:space="preserve"> (par défaut) </w:t>
      </w:r>
      <w:r>
        <w:rPr>
          <w:rStyle w:val="optioncarChar"/>
        </w:rPr>
        <w:t>/ rectangulaire / U / ***</w:t>
      </w:r>
      <w:r>
        <w:t>.</w:t>
      </w:r>
    </w:p>
    <w:p w14:paraId="78E73818" w14:textId="77777777" w:rsidR="00DB2B68" w:rsidRDefault="00000000">
      <w:pPr>
        <w:pStyle w:val="Author-eListParagraph"/>
        <w:numPr>
          <w:ilvl w:val="0"/>
          <w:numId w:val="753"/>
        </w:numPr>
        <w:jc w:val="both"/>
      </w:pPr>
      <w:r>
        <w:t xml:space="preserve">Section des mains courantes : </w:t>
      </w:r>
      <w:r>
        <w:rPr>
          <w:rStyle w:val="optioncarChar"/>
        </w:rPr>
        <w:t xml:space="preserve">diamètre 40 mm </w:t>
      </w:r>
      <w:r>
        <w:t>(par défaut)</w:t>
      </w:r>
      <w:r>
        <w:rPr>
          <w:rStyle w:val="optioncarChar"/>
        </w:rPr>
        <w:t xml:space="preserve"> / ***</w:t>
      </w:r>
      <w:r>
        <w:t>.</w:t>
      </w:r>
    </w:p>
    <w:p w14:paraId="595FE6F4" w14:textId="77777777" w:rsidR="00DB2B68" w:rsidRDefault="00000000">
      <w:pPr>
        <w:pStyle w:val="pheading"/>
      </w:pPr>
      <w:r>
        <w:t>- Notes d’exécution complémentaires</w:t>
      </w:r>
    </w:p>
    <w:p w14:paraId="4F2C10C1" w14:textId="77777777" w:rsidR="00DB2B68" w:rsidRDefault="00000000">
      <w:pPr>
        <w:jc w:val="both"/>
      </w:pPr>
      <w:r>
        <w:rPr>
          <w:rStyle w:val="facultChar"/>
        </w:rPr>
        <w:t>Le présent article comprend également :</w:t>
      </w:r>
      <w:r>
        <w:rPr>
          <w:rStyle w:val="optioncarChar"/>
        </w:rPr>
        <w:t>les recommandations PMR / les limons de trémie / les coupures thermiques</w:t>
      </w:r>
      <w:r>
        <w:t>.</w:t>
      </w:r>
    </w:p>
    <w:p w14:paraId="688BAE74" w14:textId="77777777" w:rsidR="00DB2B68" w:rsidRDefault="00000000">
      <w:pPr>
        <w:pStyle w:val="Author-eListParagraph"/>
        <w:numPr>
          <w:ilvl w:val="0"/>
          <w:numId w:val="754"/>
        </w:numPr>
      </w:pPr>
      <w:r>
        <w:rPr>
          <w:rStyle w:val="facultChar"/>
          <w:u w:val="single"/>
        </w:rPr>
        <w:t>Respect PMR</w:t>
      </w:r>
      <w:r>
        <w:br/>
      </w:r>
      <w:r>
        <w:rPr>
          <w:rStyle w:val="facultChar"/>
        </w:rPr>
        <w:t xml:space="preserve">Les recommandations pour les personnes à mobilité réduite (PMR) du sous-titre </w:t>
      </w:r>
      <w:hyperlink w:anchor="190" w:history="1">
        <w:r>
          <w:rPr>
            <w:rStyle w:val="facultChar"/>
            <w:color w:val="0000EE"/>
          </w:rPr>
          <w:t>23.32 Garde-corps et rampes métalliques</w:t>
        </w:r>
      </w:hyperlink>
      <w:r>
        <w:rPr>
          <w:rStyle w:val="facultChar"/>
        </w:rPr>
        <w:t xml:space="preserve"> doivent être respectées.</w:t>
      </w:r>
    </w:p>
    <w:p w14:paraId="51B07906" w14:textId="77777777" w:rsidR="00DB2B68" w:rsidRDefault="00000000">
      <w:pPr>
        <w:pStyle w:val="Author-eListParagraph"/>
        <w:numPr>
          <w:ilvl w:val="0"/>
          <w:numId w:val="755"/>
        </w:numPr>
      </w:pPr>
      <w:r>
        <w:rPr>
          <w:rStyle w:val="facultChar"/>
          <w:u w:val="single"/>
        </w:rPr>
        <w:t>Limons de trémie</w:t>
      </w:r>
      <w:r>
        <w:br/>
      </w:r>
      <w:r>
        <w:rPr>
          <w:rStyle w:val="facultChar"/>
        </w:rPr>
        <w:t>Les jours des trémies doivent être revêtus d'un limon (Il n’est pas prévu de les enduire).</w:t>
      </w:r>
    </w:p>
    <w:p w14:paraId="7A1FAFB2" w14:textId="77777777" w:rsidR="00DB2B68" w:rsidRDefault="00000000">
      <w:pPr>
        <w:pStyle w:val="Author-eListParagraph"/>
        <w:numPr>
          <w:ilvl w:val="0"/>
          <w:numId w:val="756"/>
        </w:numPr>
        <w:jc w:val="both"/>
      </w:pPr>
      <w:r>
        <w:rPr>
          <w:rStyle w:val="facultChar"/>
          <w:u w:val="single"/>
        </w:rPr>
        <w:t>Coupures thermiques</w:t>
      </w:r>
    </w:p>
    <w:p w14:paraId="2CA43BAC" w14:textId="77777777" w:rsidR="00DB2B68" w:rsidRDefault="00000000">
      <w:pPr>
        <w:pStyle w:val="Author-eListParagraph"/>
        <w:numPr>
          <w:ilvl w:val="0"/>
          <w:numId w:val="756"/>
        </w:numPr>
        <w:jc w:val="both"/>
      </w:pPr>
      <w:r>
        <w:rPr>
          <w:rStyle w:val="facultChar"/>
        </w:rPr>
        <w:t>Des dispositifs adéquats sont utilisés pour éviter tout pont thermique.</w:t>
      </w:r>
    </w:p>
    <w:p w14:paraId="339200A3" w14:textId="77777777" w:rsidR="00DB2B68" w:rsidRDefault="00000000">
      <w:pPr>
        <w:pStyle w:val="pheading"/>
      </w:pPr>
      <w:r>
        <w:t>DOCUMENTS DE RÉFÉRENCE COMPLÉMENTAIRES</w:t>
      </w:r>
    </w:p>
    <w:p w14:paraId="032F4E2D" w14:textId="77777777" w:rsidR="00DB2B68" w:rsidRDefault="00000000">
      <w:pPr>
        <w:pStyle w:val="pheading"/>
      </w:pPr>
      <w:r>
        <w:t>- Matériau</w:t>
      </w:r>
    </w:p>
    <w:p w14:paraId="48D6C979" w14:textId="77777777" w:rsidR="00DB2B68" w:rsidRDefault="00000000">
      <w:r>
        <w:t>[NBN EN 10025 série, Produits laminés à chaud en aciers de construction]</w:t>
      </w:r>
    </w:p>
    <w:p w14:paraId="72FBF87B" w14:textId="77777777" w:rsidR="00DB2B68" w:rsidRDefault="00000000">
      <w:r>
        <w:t>[NBN B 03-004, Garde-corps de bâtiments]</w:t>
      </w:r>
    </w:p>
    <w:p w14:paraId="47786924" w14:textId="77777777" w:rsidR="00DB2B68" w:rsidRDefault="00000000">
      <w:pPr>
        <w:pStyle w:val="pheading"/>
      </w:pPr>
      <w:r>
        <w:lastRenderedPageBreak/>
        <w:t>- Exécution</w:t>
      </w:r>
    </w:p>
    <w:p w14:paraId="716657A0" w14:textId="77777777" w:rsidR="00DB2B68" w:rsidRDefault="00000000">
      <w:r>
        <w:t>[NBN B 03-004, Garde-corps de bâtiments]</w:t>
      </w:r>
    </w:p>
    <w:p w14:paraId="7E3C9540" w14:textId="77777777" w:rsidR="00DB2B68" w:rsidRDefault="00000000">
      <w:pPr>
        <w:pStyle w:val="pheading"/>
      </w:pPr>
      <w:r>
        <w:t>MESURAGE</w:t>
      </w:r>
    </w:p>
    <w:p w14:paraId="7536A977" w14:textId="77777777" w:rsidR="00DB2B68" w:rsidRDefault="00000000">
      <w:pPr>
        <w:pStyle w:val="pheading"/>
      </w:pPr>
      <w:r>
        <w:t>- unité de mesure:</w:t>
      </w:r>
    </w:p>
    <w:p w14:paraId="4D1025C1" w14:textId="77777777" w:rsidR="00DB2B68" w:rsidRDefault="00000000">
      <w:r>
        <w:rPr>
          <w:rStyle w:val="optioncarChar"/>
        </w:rPr>
        <w:t xml:space="preserve">pc </w:t>
      </w:r>
      <w:r>
        <w:t>(par défaut)</w:t>
      </w:r>
      <w:r>
        <w:rPr>
          <w:rStyle w:val="optioncarChar"/>
        </w:rPr>
        <w:t xml:space="preserve"> / m</w:t>
      </w:r>
    </w:p>
    <w:p w14:paraId="7F8529C3" w14:textId="77777777" w:rsidR="00DB2B68" w:rsidRDefault="00000000">
      <w:r>
        <w:rPr>
          <w:b/>
          <w:i/>
        </w:rPr>
        <w:t>(Soit par défaut)</w:t>
      </w:r>
    </w:p>
    <w:p w14:paraId="32A01713" w14:textId="77777777" w:rsidR="00DB2B68" w:rsidRDefault="00000000">
      <w:r>
        <w:rPr>
          <w:rStyle w:val="soitChar"/>
        </w:rPr>
        <w:t>1. pc</w:t>
      </w:r>
    </w:p>
    <w:p w14:paraId="42A209D8" w14:textId="77777777" w:rsidR="00DB2B68" w:rsidRDefault="00000000">
      <w:r>
        <w:br/>
      </w:r>
      <w:r>
        <w:rPr>
          <w:b/>
          <w:i/>
        </w:rPr>
        <w:t>(Soit)</w:t>
      </w:r>
    </w:p>
    <w:p w14:paraId="5D608A6B" w14:textId="77777777" w:rsidR="00DB2B68" w:rsidRDefault="00000000">
      <w:r>
        <w:rPr>
          <w:rStyle w:val="soitChar"/>
        </w:rPr>
        <w:t>2. m</w:t>
      </w:r>
    </w:p>
    <w:p w14:paraId="5BAB1ABD" w14:textId="77777777" w:rsidR="00DB2B68" w:rsidRDefault="00000000">
      <w:pPr>
        <w:pStyle w:val="pheading"/>
      </w:pPr>
      <w:r>
        <w:t>- code de mesurage:</w:t>
      </w:r>
    </w:p>
    <w:p w14:paraId="4E2DA5C4" w14:textId="77777777" w:rsidR="00DB2B68" w:rsidRDefault="00000000">
      <w:r>
        <w:rPr>
          <w:rStyle w:val="optioncarChar"/>
        </w:rPr>
        <w:t xml:space="preserve"> quantité nette </w:t>
      </w:r>
      <w:r>
        <w:t>(par défaut)</w:t>
      </w:r>
      <w:r>
        <w:rPr>
          <w:rStyle w:val="optioncarChar"/>
        </w:rPr>
        <w:t xml:space="preserve"> / longueur nette</w:t>
      </w:r>
    </w:p>
    <w:p w14:paraId="483D39A1" w14:textId="77777777" w:rsidR="00DB2B68" w:rsidRDefault="00000000">
      <w:r>
        <w:rPr>
          <w:b/>
          <w:i/>
        </w:rPr>
        <w:t>(Soit par défaut)</w:t>
      </w:r>
    </w:p>
    <w:p w14:paraId="6FD89EC4" w14:textId="77777777" w:rsidR="00DB2B68" w:rsidRDefault="00000000">
      <w:r>
        <w:rPr>
          <w:rStyle w:val="soitChar"/>
          <w:u w:val="single"/>
        </w:rPr>
        <w:t>1. quantité nette</w:t>
      </w:r>
      <w:r>
        <w:rPr>
          <w:rStyle w:val="soitChar"/>
        </w:rPr>
        <w:t xml:space="preserve"> à mettre en œuvre, ventilée selon la nature des éléments constitutifs et des dimensions.</w:t>
      </w:r>
      <w:r>
        <w:br/>
      </w:r>
      <w:r>
        <w:rPr>
          <w:b/>
          <w:i/>
        </w:rPr>
        <w:t> (Soit)</w:t>
      </w:r>
    </w:p>
    <w:p w14:paraId="644FB7C4" w14:textId="77777777" w:rsidR="00DB2B68" w:rsidRDefault="00000000">
      <w:r>
        <w:rPr>
          <w:rStyle w:val="soitChar"/>
          <w:u w:val="single"/>
        </w:rPr>
        <w:t>2. longueur nette</w:t>
      </w:r>
      <w:r>
        <w:rPr>
          <w:rStyle w:val="soitChar"/>
        </w:rPr>
        <w:t xml:space="preserve"> à mettre en œuvre, ventilée selon la nature des éléments constitutifs.</w:t>
      </w:r>
    </w:p>
    <w:p w14:paraId="6149D010" w14:textId="77777777" w:rsidR="00DB2B68" w:rsidRDefault="00000000">
      <w:pPr>
        <w:pStyle w:val="pheading"/>
      </w:pPr>
      <w:r>
        <w:t>- nature du marché:</w:t>
      </w:r>
    </w:p>
    <w:p w14:paraId="67BFEB4C" w14:textId="77777777" w:rsidR="00DB2B68" w:rsidRDefault="00000000">
      <w:r>
        <w:t>QF</w:t>
      </w:r>
    </w:p>
    <w:p w14:paraId="48B2BB9E" w14:textId="77777777" w:rsidR="00DB2B68" w:rsidRDefault="00000000">
      <w:pPr>
        <w:pStyle w:val="Author-eSectionHeading5Numberless"/>
      </w:pPr>
      <w:bookmarkStart w:id="1404" w:name="_Toc220496410"/>
      <w:r>
        <w:t>23.32.2 Garde-corps et rampes en acier inoxydable CCTB 01.04</w:t>
      </w:r>
      <w:bookmarkEnd w:id="1404"/>
    </w:p>
    <w:p w14:paraId="0BD483A7" w14:textId="77777777" w:rsidR="00DB2B68" w:rsidRDefault="00000000">
      <w:pPr>
        <w:pStyle w:val="Author-eSectionHeading6Numberless"/>
      </w:pPr>
      <w:bookmarkStart w:id="1405" w:name="_Toc220496411"/>
      <w:r>
        <w:t>23.32.2a Garde-corps et rampes en acier inoxydable CCTB 01.04</w:t>
      </w:r>
      <w:bookmarkEnd w:id="1405"/>
    </w:p>
    <w:p w14:paraId="72CB5CAE" w14:textId="77777777" w:rsidR="00DB2B68" w:rsidRDefault="00000000">
      <w:pPr>
        <w:pStyle w:val="Author-eSectionHeading5Numberless"/>
      </w:pPr>
      <w:bookmarkStart w:id="1406" w:name="_Toc220496412"/>
      <w:r>
        <w:t>23.32.3 Garde-corps et rampes en aluminium CCTB 01.04</w:t>
      </w:r>
      <w:bookmarkEnd w:id="1406"/>
    </w:p>
    <w:p w14:paraId="7EAF7632" w14:textId="77777777" w:rsidR="00DB2B68" w:rsidRDefault="00000000">
      <w:pPr>
        <w:pStyle w:val="Author-eSectionHeading6Numberless"/>
      </w:pPr>
      <w:bookmarkStart w:id="1407" w:name="_Toc220496413"/>
      <w:r>
        <w:t>23.32.3a Garde-corps et rampes en aluminium CCTB 01.04</w:t>
      </w:r>
      <w:bookmarkEnd w:id="1407"/>
    </w:p>
    <w:p w14:paraId="2C564717" w14:textId="77777777" w:rsidR="00DB2B68" w:rsidRDefault="00000000">
      <w:pPr>
        <w:pStyle w:val="Author-eSectionHeading4Numberless"/>
      </w:pPr>
      <w:bookmarkStart w:id="1408" w:name="_Toc220496414"/>
      <w:r>
        <w:t>23.33 Balcons et terrasses métalliques CCTB 01.02</w:t>
      </w:r>
      <w:bookmarkEnd w:id="1408"/>
    </w:p>
    <w:p w14:paraId="04F1F8A1" w14:textId="77777777" w:rsidR="00DB2B68" w:rsidRDefault="00000000">
      <w:pPr>
        <w:pStyle w:val="Author-eSectionHeading5Numberless"/>
      </w:pPr>
      <w:bookmarkStart w:id="1409" w:name="_Toc220496415"/>
      <w:r>
        <w:t>23.33.1 Balcons et terrasses en acier CCTB 01.04</w:t>
      </w:r>
      <w:bookmarkEnd w:id="1409"/>
    </w:p>
    <w:p w14:paraId="51DBDF9A" w14:textId="77777777" w:rsidR="00DB2B68" w:rsidRDefault="00000000">
      <w:pPr>
        <w:pStyle w:val="Author-eSectionHeading6Numberless"/>
      </w:pPr>
      <w:bookmarkStart w:id="1410" w:name="_Toc220496416"/>
      <w:r>
        <w:t>23.33.1a Balcons et terrasses en acier CCTB 01.04</w:t>
      </w:r>
      <w:bookmarkEnd w:id="1410"/>
    </w:p>
    <w:p w14:paraId="7B1DE9BD" w14:textId="77777777" w:rsidR="00DB2B68" w:rsidRDefault="00000000">
      <w:pPr>
        <w:pStyle w:val="Author-eSectionHeading5Numberless"/>
      </w:pPr>
      <w:bookmarkStart w:id="1411" w:name="_Toc220496417"/>
      <w:r>
        <w:t>23.33.2 Balcons et terrasses en acier inoxydable CCTB 01.04</w:t>
      </w:r>
      <w:bookmarkEnd w:id="1411"/>
    </w:p>
    <w:p w14:paraId="459CECD9" w14:textId="77777777" w:rsidR="00DB2B68" w:rsidRDefault="00000000">
      <w:pPr>
        <w:pStyle w:val="Author-eSectionHeading6Numberless"/>
      </w:pPr>
      <w:bookmarkStart w:id="1412" w:name="_Toc220496418"/>
      <w:r>
        <w:t>23.33.2a Balcons et terrasses en acier inoxydable CCTB 01.04</w:t>
      </w:r>
      <w:bookmarkEnd w:id="1412"/>
    </w:p>
    <w:p w14:paraId="30371DF8" w14:textId="77777777" w:rsidR="00DB2B68" w:rsidRDefault="00000000">
      <w:pPr>
        <w:pStyle w:val="Author-eSectionHeading5Numberless"/>
      </w:pPr>
      <w:bookmarkStart w:id="1413" w:name="_Toc220496419"/>
      <w:r>
        <w:t>23.33.3 Balcons et terrasses en aluminium CCTB 01.04</w:t>
      </w:r>
      <w:bookmarkEnd w:id="1413"/>
    </w:p>
    <w:p w14:paraId="4D858477" w14:textId="77777777" w:rsidR="00DB2B68" w:rsidRDefault="00000000">
      <w:pPr>
        <w:pStyle w:val="Author-eSectionHeading6Numberless"/>
      </w:pPr>
      <w:bookmarkStart w:id="1414" w:name="_Toc220496420"/>
      <w:r>
        <w:t>23.33.3a Balcons et terrasses en aluminium CCTB 01.04</w:t>
      </w:r>
      <w:bookmarkEnd w:id="1414"/>
    </w:p>
    <w:p w14:paraId="1637AD1D" w14:textId="77777777" w:rsidR="00DB2B68" w:rsidRDefault="00000000">
      <w:pPr>
        <w:pStyle w:val="Author-eSectionHeading4Numberless"/>
      </w:pPr>
      <w:bookmarkStart w:id="1415" w:name="_Toc220496421"/>
      <w:r>
        <w:t>23.34 Passerelles et coursives métalliques CCTB 01.11</w:t>
      </w:r>
      <w:bookmarkEnd w:id="1415"/>
    </w:p>
    <w:p w14:paraId="70F8E9E1" w14:textId="77777777" w:rsidR="00DB2B68" w:rsidRDefault="00000000">
      <w:pPr>
        <w:pStyle w:val="pheading"/>
      </w:pPr>
      <w:bookmarkStart w:id="1416" w:name="566"/>
      <w:bookmarkEnd w:id="1416"/>
      <w:r>
        <w:t>DESCRIPTION</w:t>
      </w:r>
    </w:p>
    <w:p w14:paraId="18314D5C" w14:textId="77777777" w:rsidR="00DB2B68" w:rsidRDefault="00000000">
      <w:pPr>
        <w:pStyle w:val="pheading"/>
      </w:pPr>
      <w:r>
        <w:t>- Définition / Comprend</w:t>
      </w:r>
    </w:p>
    <w:p w14:paraId="36717633" w14:textId="77777777" w:rsidR="00DB2B68" w:rsidRDefault="00000000">
      <w:pPr>
        <w:jc w:val="both"/>
      </w:pPr>
      <w:r>
        <w:t>Il s’agit de la fourniture et la pose de tous les éléments d’une passerelle ou coursive métallique nécessaires pour obtenir un ensemble parfaitement fini, c'est-à-dire l'ensemble de toutes les composantes, y compris la finition des bords, les moyens de fixation, etc.</w:t>
      </w:r>
    </w:p>
    <w:p w14:paraId="39D049B6" w14:textId="77777777" w:rsidR="00DB2B68" w:rsidRDefault="00000000">
      <w:pPr>
        <w:jc w:val="both"/>
      </w:pPr>
      <w:r>
        <w:t>Ce poste comprend notamment :</w:t>
      </w:r>
    </w:p>
    <w:p w14:paraId="06A89407" w14:textId="77777777" w:rsidR="00DB2B68" w:rsidRDefault="00000000">
      <w:pPr>
        <w:pStyle w:val="Author-eListParagraph"/>
        <w:numPr>
          <w:ilvl w:val="0"/>
          <w:numId w:val="757"/>
        </w:numPr>
      </w:pPr>
      <w:r>
        <w:lastRenderedPageBreak/>
        <w:t>le relevé sur place des dimensions exactes ;</w:t>
      </w:r>
    </w:p>
    <w:p w14:paraId="0C4379E8" w14:textId="77777777" w:rsidR="00DB2B68" w:rsidRDefault="00000000">
      <w:pPr>
        <w:pStyle w:val="Author-eListParagraph"/>
        <w:numPr>
          <w:ilvl w:val="0"/>
          <w:numId w:val="757"/>
        </w:numPr>
      </w:pPr>
      <w:r>
        <w:t>le contrôle et la préparation des supports ;</w:t>
      </w:r>
    </w:p>
    <w:p w14:paraId="13A876F3" w14:textId="77777777" w:rsidR="00DB2B68" w:rsidRDefault="00000000">
      <w:pPr>
        <w:pStyle w:val="Author-eListParagraph"/>
        <w:numPr>
          <w:ilvl w:val="0"/>
          <w:numId w:val="757"/>
        </w:numPr>
      </w:pPr>
      <w:r>
        <w:t>la fabrication sur mesure, le transport et la mise en œuvre de tous les éléments y compris tous les moyens de fixation et/ou de pose ;</w:t>
      </w:r>
    </w:p>
    <w:p w14:paraId="40E80E8F" w14:textId="77777777" w:rsidR="00DB2B68" w:rsidRDefault="00000000">
      <w:pPr>
        <w:pStyle w:val="Author-eListParagraph"/>
        <w:numPr>
          <w:ilvl w:val="0"/>
          <w:numId w:val="757"/>
        </w:numPr>
      </w:pPr>
      <w:r>
        <w:t>l'exécution des assemblages et des éventuelles jonctions avec la structure de construction ;</w:t>
      </w:r>
    </w:p>
    <w:p w14:paraId="21836C54" w14:textId="77777777" w:rsidR="00DB2B68" w:rsidRDefault="00000000">
      <w:pPr>
        <w:pStyle w:val="Author-eListParagraph"/>
        <w:numPr>
          <w:ilvl w:val="0"/>
          <w:numId w:val="757"/>
        </w:numPr>
      </w:pPr>
      <w:r>
        <w:t>la finition des bords, les raccordements avec les finitions de mur et de sol attenantes ;</w:t>
      </w:r>
    </w:p>
    <w:p w14:paraId="49DF86F7" w14:textId="77777777" w:rsidR="00DB2B68" w:rsidRDefault="00000000">
      <w:pPr>
        <w:pStyle w:val="Author-eListParagraph"/>
        <w:numPr>
          <w:ilvl w:val="0"/>
          <w:numId w:val="757"/>
        </w:numPr>
      </w:pPr>
      <w:r>
        <w:t>le nettoyage des éléments, y compris l'enlèvement des taches de mortier ou de colle ;</w:t>
      </w:r>
    </w:p>
    <w:p w14:paraId="1F499144" w14:textId="77777777" w:rsidR="00DB2B68" w:rsidRDefault="00000000">
      <w:pPr>
        <w:pStyle w:val="Author-eListParagraph"/>
        <w:numPr>
          <w:ilvl w:val="0"/>
          <w:numId w:val="757"/>
        </w:numPr>
      </w:pPr>
      <w:r>
        <w:t>les mesures nécessaires, après la mise en œuvre, en vue de la protection de l'escalier contre toute dégradation et salissement pendant toute la durée des travaux ;</w:t>
      </w:r>
    </w:p>
    <w:p w14:paraId="6456A7E1" w14:textId="77777777" w:rsidR="00DB2B68" w:rsidRDefault="00000000">
      <w:pPr>
        <w:pStyle w:val="Author-eListParagraph"/>
        <w:numPr>
          <w:ilvl w:val="0"/>
          <w:numId w:val="757"/>
        </w:numPr>
      </w:pPr>
      <w:r>
        <w:t>l’enlèvement des protections pour la réception provisoire ;</w:t>
      </w:r>
    </w:p>
    <w:p w14:paraId="6B735C32" w14:textId="77777777" w:rsidR="00DB2B68" w:rsidRDefault="00000000">
      <w:pPr>
        <w:pStyle w:val="Author-eListParagraph"/>
        <w:numPr>
          <w:ilvl w:val="0"/>
          <w:numId w:val="757"/>
        </w:numPr>
      </w:pPr>
      <w:r>
        <w:t>l’évacuation des déchets et le nettoyage du chantier.</w:t>
      </w:r>
      <w:r>
        <w:br/>
      </w:r>
    </w:p>
    <w:p w14:paraId="43A4D4DD" w14:textId="77777777" w:rsidR="00DB2B68" w:rsidRDefault="00000000">
      <w:pPr>
        <w:jc w:val="both"/>
      </w:pPr>
      <w:r>
        <w:rPr>
          <w:b/>
        </w:rPr>
        <w:t>Composants – Terminologie</w:t>
      </w:r>
    </w:p>
    <w:p w14:paraId="2586EEF0" w14:textId="77777777" w:rsidR="00DB2B68" w:rsidRDefault="00000000">
      <w:pPr>
        <w:jc w:val="both"/>
      </w:pPr>
      <w:r>
        <w:rPr>
          <w:i/>
          <w:u w:val="single"/>
        </w:rPr>
        <w:t>Passerelle - coursive</w:t>
      </w:r>
    </w:p>
    <w:p w14:paraId="4489400F" w14:textId="77777777" w:rsidR="00DB2B68" w:rsidRDefault="00000000">
      <w:pPr>
        <w:jc w:val="both"/>
      </w:pPr>
      <w:r>
        <w:t>En fonction de leur conception, les passerelles ou coursives sont composées :</w:t>
      </w:r>
    </w:p>
    <w:p w14:paraId="606B553E" w14:textId="77777777" w:rsidR="00DB2B68" w:rsidRDefault="00000000">
      <w:pPr>
        <w:pStyle w:val="Author-eListParagraph"/>
        <w:numPr>
          <w:ilvl w:val="0"/>
          <w:numId w:val="758"/>
        </w:numPr>
      </w:pPr>
      <w:r>
        <w:t>d’une structure portante (colonnes et/ou consoles fixées au mur) ;</w:t>
      </w:r>
    </w:p>
    <w:p w14:paraId="10B2048B" w14:textId="77777777" w:rsidR="00DB2B68" w:rsidRDefault="00000000">
      <w:pPr>
        <w:pStyle w:val="Author-eListParagraph"/>
        <w:numPr>
          <w:ilvl w:val="0"/>
          <w:numId w:val="758"/>
        </w:numPr>
      </w:pPr>
      <w:r>
        <w:t>d’une structure principale (poutres principales) ;</w:t>
      </w:r>
    </w:p>
    <w:p w14:paraId="1864F3E2" w14:textId="77777777" w:rsidR="00DB2B68" w:rsidRDefault="00000000">
      <w:pPr>
        <w:pStyle w:val="Author-eListParagraph"/>
        <w:numPr>
          <w:ilvl w:val="0"/>
          <w:numId w:val="758"/>
        </w:numPr>
      </w:pPr>
      <w:r>
        <w:t>d’une structure secondaire (traverses, contreventement, etc.) ;</w:t>
      </w:r>
    </w:p>
    <w:p w14:paraId="73ECDF18" w14:textId="77777777" w:rsidR="00DB2B68" w:rsidRDefault="00000000">
      <w:pPr>
        <w:pStyle w:val="Author-eListParagraph"/>
        <w:numPr>
          <w:ilvl w:val="0"/>
          <w:numId w:val="758"/>
        </w:numPr>
      </w:pPr>
      <w:r>
        <w:t>d’un platelage ;</w:t>
      </w:r>
    </w:p>
    <w:p w14:paraId="61378C2F" w14:textId="77777777" w:rsidR="00DB2B68" w:rsidRDefault="00000000">
      <w:pPr>
        <w:pStyle w:val="Author-eListParagraph"/>
        <w:numPr>
          <w:ilvl w:val="0"/>
          <w:numId w:val="758"/>
        </w:numPr>
      </w:pPr>
      <w:r>
        <w:t>de garde-corps.</w:t>
      </w:r>
    </w:p>
    <w:p w14:paraId="2B09D9A4" w14:textId="77777777" w:rsidR="00DB2B68" w:rsidRDefault="00000000">
      <w:pPr>
        <w:jc w:val="both"/>
      </w:pPr>
      <w:r>
        <w:rPr>
          <w:i/>
          <w:u w:val="single"/>
        </w:rPr>
        <w:t>Garde- corps</w:t>
      </w:r>
    </w:p>
    <w:p w14:paraId="33EF3801" w14:textId="77777777" w:rsidR="00DB2B68" w:rsidRDefault="00000000">
      <w:pPr>
        <w:jc w:val="both"/>
      </w:pPr>
      <w:r>
        <w:t xml:space="preserve">Renvoi au sous-titre </w:t>
      </w:r>
      <w:hyperlink w:anchor="190" w:history="1">
        <w:r>
          <w:rPr>
            <w:color w:val="0000EE"/>
          </w:rPr>
          <w:t>23.32 Garde-corps et rampes métalliques</w:t>
        </w:r>
      </w:hyperlink>
      <w:r>
        <w:t xml:space="preserve"> et éléments et articles qui en découlent.</w:t>
      </w:r>
    </w:p>
    <w:p w14:paraId="7B444684" w14:textId="77777777" w:rsidR="00DB2B68" w:rsidRDefault="00000000">
      <w:pPr>
        <w:jc w:val="both"/>
      </w:pPr>
      <w:r>
        <w:rPr>
          <w:i/>
          <w:u w:val="single"/>
        </w:rPr>
        <w:t>Escalier</w:t>
      </w:r>
    </w:p>
    <w:p w14:paraId="05523316" w14:textId="77777777" w:rsidR="00DB2B68" w:rsidRDefault="00000000">
      <w:pPr>
        <w:jc w:val="both"/>
      </w:pPr>
      <w:r>
        <w:t>Les éventuels escaliers permettant d’accéder aux passerelles ne font pas partie du présent sous-titre et articles qui en découlent.</w:t>
      </w:r>
    </w:p>
    <w:p w14:paraId="3D7E93A8" w14:textId="77777777" w:rsidR="00DB2B68" w:rsidRDefault="00000000">
      <w:pPr>
        <w:jc w:val="both"/>
      </w:pPr>
      <w:r>
        <w:t xml:space="preserve">Ils sont décrits séparément au sous-titre </w:t>
      </w:r>
      <w:hyperlink w:anchor="558" w:history="1">
        <w:r>
          <w:rPr>
            <w:color w:val="0000EE"/>
          </w:rPr>
          <w:t>23.31 Escaliers métalliques</w:t>
        </w:r>
      </w:hyperlink>
      <w:r>
        <w:t xml:space="preserve"> et éléments et articles qui en découlent.</w:t>
      </w:r>
    </w:p>
    <w:p w14:paraId="3BF36481" w14:textId="77777777" w:rsidR="00DB2B68" w:rsidRDefault="00000000">
      <w:pPr>
        <w:jc w:val="both"/>
      </w:pPr>
      <w:r>
        <w:t>Dans la suite de ce sous-titre, le terme « passerelle » utilisé englobe par défaut les passerelles et les coursives, sauf mention spécifique.</w:t>
      </w:r>
    </w:p>
    <w:p w14:paraId="036385DA" w14:textId="77777777" w:rsidR="00DB2B68" w:rsidRDefault="00000000">
      <w:pPr>
        <w:pStyle w:val="pheading"/>
      </w:pPr>
      <w:r>
        <w:t>MATÉRIAUX</w:t>
      </w:r>
    </w:p>
    <w:p w14:paraId="1C12BFA2" w14:textId="77777777" w:rsidR="00DB2B68" w:rsidRDefault="00000000">
      <w:pPr>
        <w:jc w:val="both"/>
      </w:pPr>
      <w:r>
        <w:rPr>
          <w:b/>
        </w:rPr>
        <w:t>Stabilité - sollicitations</w:t>
      </w:r>
    </w:p>
    <w:p w14:paraId="164E6F9D" w14:textId="77777777" w:rsidR="00DB2B68" w:rsidRDefault="00000000">
      <w:pPr>
        <w:jc w:val="both"/>
      </w:pPr>
      <w:r>
        <w:t>Conformément aux actions sur les passerelles décrites dans la section 5 de l'Eurocode [NBN EN 1991-2] et son annexe nationale [NBN EN 1991-2 ANB] :</w:t>
      </w:r>
    </w:p>
    <w:p w14:paraId="5A1C91A1" w14:textId="77777777" w:rsidR="00DB2B68" w:rsidRDefault="00000000">
      <w:pPr>
        <w:ind w:left="567"/>
        <w:jc w:val="both"/>
      </w:pPr>
      <w:r>
        <w:rPr>
          <w:i/>
        </w:rPr>
        <w:t>5.3 Modèles statiques pour les charges verticales – Valeurs caractéristiques :</w:t>
      </w:r>
    </w:p>
    <w:p w14:paraId="150BC527" w14:textId="77777777" w:rsidR="00DB2B68" w:rsidRDefault="00000000">
      <w:pPr>
        <w:ind w:left="1134"/>
        <w:jc w:val="both"/>
      </w:pPr>
      <w:r>
        <w:t xml:space="preserve">5.3.1 (2) Il convient, lorsqu'il y a lieu, de considérer </w:t>
      </w:r>
      <w:r>
        <w:rPr>
          <w:u w:val="single"/>
        </w:rPr>
        <w:t>séparément</w:t>
      </w:r>
      <w:r>
        <w:t xml:space="preserve"> trois modèles :</w:t>
      </w:r>
    </w:p>
    <w:p w14:paraId="7F971FB6" w14:textId="77777777" w:rsidR="00DB2B68" w:rsidRDefault="00000000">
      <w:pPr>
        <w:pStyle w:val="Author-eListParagraph"/>
        <w:numPr>
          <w:ilvl w:val="2"/>
          <w:numId w:val="759"/>
        </w:numPr>
      </w:pPr>
      <w:r>
        <w:t>une charge uniformément répartie, qfk = 5 kN/m² ;</w:t>
      </w:r>
    </w:p>
    <w:p w14:paraId="63A8924F" w14:textId="77777777" w:rsidR="00DB2B68" w:rsidRDefault="00000000">
      <w:pPr>
        <w:pStyle w:val="Author-eListParagraph"/>
        <w:numPr>
          <w:ilvl w:val="2"/>
          <w:numId w:val="759"/>
        </w:numPr>
      </w:pPr>
      <w:r>
        <w:t>une charge concentrée Qfwk= 10 kN, agissant sur une surface carrée de 0,10 m de côté.</w:t>
      </w:r>
    </w:p>
    <w:p w14:paraId="5501D104" w14:textId="77777777" w:rsidR="00DB2B68" w:rsidRDefault="00000000">
      <w:pPr>
        <w:pStyle w:val="Author-eListParagraph"/>
        <w:numPr>
          <w:ilvl w:val="2"/>
          <w:numId w:val="759"/>
        </w:numPr>
      </w:pPr>
      <w:r>
        <w:t>Des charges représentant des véhicules de service, Qser : il est considéré dans le présent article qu’un véhicule de service ne peut accéder à la passerelle.</w:t>
      </w:r>
    </w:p>
    <w:p w14:paraId="41BC6B02" w14:textId="77777777" w:rsidR="00DB2B68" w:rsidRDefault="00000000">
      <w:pPr>
        <w:ind w:left="567"/>
        <w:jc w:val="both"/>
      </w:pPr>
      <w:r>
        <w:rPr>
          <w:i/>
        </w:rPr>
        <w:t>5.4 Modèles statiques pour les forces horizontales – Valeurs caractéristiques :</w:t>
      </w:r>
    </w:p>
    <w:p w14:paraId="7461FC6C" w14:textId="77777777" w:rsidR="00DB2B68" w:rsidRDefault="00000000">
      <w:pPr>
        <w:ind w:left="1134"/>
        <w:jc w:val="both"/>
      </w:pPr>
      <w:r>
        <w:t>Force horizontale égale à la plus grande des 2 valeurs suivantes :</w:t>
      </w:r>
    </w:p>
    <w:p w14:paraId="6E1DAD1F" w14:textId="77777777" w:rsidR="00DB2B68" w:rsidRDefault="00000000">
      <w:pPr>
        <w:pStyle w:val="Author-eListParagraph"/>
        <w:numPr>
          <w:ilvl w:val="2"/>
          <w:numId w:val="760"/>
        </w:numPr>
      </w:pPr>
      <w:r>
        <w:t>10 % de la charge totale correspondant à la charge uniformément répartie ;</w:t>
      </w:r>
    </w:p>
    <w:p w14:paraId="03878211" w14:textId="77777777" w:rsidR="00DB2B68" w:rsidRDefault="00000000">
      <w:pPr>
        <w:pStyle w:val="Author-eListParagraph"/>
        <w:numPr>
          <w:ilvl w:val="2"/>
          <w:numId w:val="760"/>
        </w:numPr>
      </w:pPr>
      <w:r>
        <w:t>60 % du poids total du véhicule de service défini, s’il est considéré.</w:t>
      </w:r>
    </w:p>
    <w:p w14:paraId="009566C6" w14:textId="77777777" w:rsidR="00DB2B68" w:rsidRDefault="00000000">
      <w:pPr>
        <w:ind w:left="567"/>
        <w:jc w:val="both"/>
      </w:pPr>
      <w:r>
        <w:rPr>
          <w:i/>
        </w:rPr>
        <w:lastRenderedPageBreak/>
        <w:t>5.7 Modèles dynamiques de charges dues aux piétons</w:t>
      </w:r>
    </w:p>
    <w:p w14:paraId="7E946DED" w14:textId="77777777" w:rsidR="00DB2B68" w:rsidRDefault="00000000">
      <w:pPr>
        <w:ind w:left="1134"/>
        <w:jc w:val="both"/>
      </w:pPr>
      <w:r>
        <w:t>Des modèles dynamiques de charges dues aux piétons et les critères de confort associés peuvent être définis par le projet individuel, selon la [NBN EN 1990] et [NBN EN 1990 ANB] (Annexe A2).</w:t>
      </w:r>
    </w:p>
    <w:p w14:paraId="1F4A1F8D" w14:textId="77777777" w:rsidR="00DB2B68" w:rsidRDefault="00000000">
      <w:pPr>
        <w:ind w:left="1134"/>
        <w:jc w:val="both"/>
      </w:pPr>
      <w:r>
        <w:t>Le problème se pose uniquement pour des ouvrages relativement souples, dont les fréquences propres sont proches des valeurs données en 5.7(2) :</w:t>
      </w:r>
    </w:p>
    <w:p w14:paraId="79A92C60" w14:textId="77777777" w:rsidR="00DB2B68" w:rsidRDefault="00000000">
      <w:pPr>
        <w:pStyle w:val="Author-eListParagraph"/>
        <w:numPr>
          <w:ilvl w:val="2"/>
          <w:numId w:val="761"/>
        </w:numPr>
      </w:pPr>
      <w:r>
        <w:t>selon la direction verticale, avec une gamme de fréquences allant de 1 à 3 Hz ; et</w:t>
      </w:r>
    </w:p>
    <w:p w14:paraId="6A185C01" w14:textId="77777777" w:rsidR="00DB2B68" w:rsidRDefault="00000000">
      <w:pPr>
        <w:pStyle w:val="Author-eListParagraph"/>
        <w:numPr>
          <w:ilvl w:val="2"/>
          <w:numId w:val="761"/>
        </w:numPr>
      </w:pPr>
      <w:r>
        <w:t>selon une direction horizontale, avec une gamme de fréquences allant de 0,5 à 1,5 Hz.</w:t>
      </w:r>
    </w:p>
    <w:p w14:paraId="438E7964" w14:textId="77777777" w:rsidR="00DB2B68" w:rsidRDefault="00000000">
      <w:pPr>
        <w:pStyle w:val="Author-eListParagraph"/>
        <w:numPr>
          <w:ilvl w:val="2"/>
          <w:numId w:val="761"/>
        </w:numPr>
      </w:pPr>
      <w:r>
        <w:t>des groupes de joggers peuvent franchir une passerelle avec une fréquence de 3 Hz.</w:t>
      </w:r>
    </w:p>
    <w:p w14:paraId="4BD3C1CD" w14:textId="77777777" w:rsidR="00DB2B68" w:rsidRDefault="00000000">
      <w:pPr>
        <w:jc w:val="both"/>
      </w:pPr>
      <w:r>
        <w:rPr>
          <w:b/>
        </w:rPr>
        <w:t>Matériaux</w:t>
      </w:r>
    </w:p>
    <w:p w14:paraId="15BEB276" w14:textId="77777777" w:rsidR="00DB2B68" w:rsidRDefault="00000000">
      <w:pPr>
        <w:jc w:val="both"/>
      </w:pPr>
      <w:r>
        <w:t xml:space="preserve">Les éléments principaux qui composent la passerelle sont métalliques. La distinction (acier, inox, aluminium) est réalisée dans les articles qui en découlent : </w:t>
      </w:r>
      <w:hyperlink w:anchor="567" w:history="1">
        <w:r>
          <w:rPr>
            <w:color w:val="0000EE"/>
          </w:rPr>
          <w:t>23.34.1 Passerelles et coursives en acier</w:t>
        </w:r>
      </w:hyperlink>
      <w:r>
        <w:t xml:space="preserve">, </w:t>
      </w:r>
      <w:hyperlink w:anchor="568" w:history="1">
        <w:r>
          <w:rPr>
            <w:color w:val="0000EE"/>
          </w:rPr>
          <w:t>23.34.2a Passerelles et coursives en acier inoxydable</w:t>
        </w:r>
      </w:hyperlink>
      <w:r>
        <w:t xml:space="preserve">, </w:t>
      </w:r>
      <w:hyperlink w:anchor="569" w:history="1">
        <w:r>
          <w:rPr>
            <w:color w:val="0000EE"/>
          </w:rPr>
          <w:t>23.34.3a Passerelles et coursives en aluminium</w:t>
        </w:r>
      </w:hyperlink>
      <w:r>
        <w:t>.</w:t>
      </w:r>
    </w:p>
    <w:p w14:paraId="4FD11C4D" w14:textId="77777777" w:rsidR="00DB2B68" w:rsidRDefault="00000000">
      <w:pPr>
        <w:pStyle w:val="pheading"/>
      </w:pPr>
      <w:r>
        <w:t>EXÉCUTION / MISE EN ŒUVRE</w:t>
      </w:r>
    </w:p>
    <w:p w14:paraId="2437A219" w14:textId="77777777" w:rsidR="00DB2B68" w:rsidRDefault="00000000">
      <w:pPr>
        <w:jc w:val="both"/>
      </w:pPr>
      <w:r>
        <w:rPr>
          <w:b/>
        </w:rPr>
        <w:t>Timing - Influence de l'environnement - Mesures de protection</w:t>
      </w:r>
    </w:p>
    <w:p w14:paraId="055250AF" w14:textId="77777777" w:rsidR="00DB2B68" w:rsidRDefault="00000000">
      <w:pPr>
        <w:jc w:val="both"/>
      </w:pPr>
      <w:r>
        <w:t>Les passerelles ne peuvent être placées que lorsque l'auteur de projet et l'installateur estiment, en concertation mutuelle, que les conditions de mise en œuvre sont favorables.</w:t>
      </w:r>
    </w:p>
    <w:p w14:paraId="41EDF482" w14:textId="77777777" w:rsidR="00DB2B68" w:rsidRDefault="00000000">
      <w:pPr>
        <w:jc w:val="both"/>
      </w:pPr>
      <w:r>
        <w:t>Les éléments qui constituent la passerelle sont autant que possible préfabriqués en atelier et acheminés en un seul lot sur le chantier. Lors du transport, les mesures nécessaires sont prises pour prévenir toute dégradation au bâtiment, aux passerelles proprement dites ou aux éléments. Ils sont immédiatement entreposés dans un endroit protégé et aéré.</w:t>
      </w:r>
    </w:p>
    <w:p w14:paraId="60C9FC23" w14:textId="77777777" w:rsidR="00DB2B68" w:rsidRDefault="00000000">
      <w:pPr>
        <w:jc w:val="both"/>
      </w:pPr>
      <w:r>
        <w:t>L'entrepreneur veille à ce que, après leur mise en œuvre, les passerelles soient dûment protégées contre les dégradations et l'encrassement pendant la durée des travaux de construction.</w:t>
      </w:r>
    </w:p>
    <w:p w14:paraId="3FDAAD8C" w14:textId="77777777" w:rsidR="00DB2B68" w:rsidRDefault="00000000">
      <w:pPr>
        <w:jc w:val="both"/>
      </w:pPr>
      <w:r>
        <w:rPr>
          <w:b/>
        </w:rPr>
        <w:t>Dessin d'étude et d'exécution</w:t>
      </w:r>
    </w:p>
    <w:p w14:paraId="43409DBD" w14:textId="77777777" w:rsidR="00DB2B68" w:rsidRDefault="00000000">
      <w:pPr>
        <w:jc w:val="both"/>
      </w:pPr>
      <w:r>
        <w:t>Les passerelles sont exécutées conformément aux formes indiquées sur les plans et les coupes et selon les dessins de détail annexés au cahier spécial des charges.</w:t>
      </w:r>
    </w:p>
    <w:p w14:paraId="20F0393F" w14:textId="77777777" w:rsidR="00DB2B68" w:rsidRDefault="00000000">
      <w:pPr>
        <w:jc w:val="both"/>
      </w:pPr>
      <w:r>
        <w:t>Lorsque le dossier d'adjudication ne contient pas de dessins de détail spécifiques, la forme des passerelles et les dimensions de bases sont données à titre indicatif.</w:t>
      </w:r>
    </w:p>
    <w:p w14:paraId="3AD0FAB5" w14:textId="77777777" w:rsidR="00DB2B68" w:rsidRDefault="00000000">
      <w:pPr>
        <w:jc w:val="both"/>
      </w:pPr>
      <w:r>
        <w:t>L'entrepreneur est tenu de contrôler les dimensions sur place et de vérifier si les passerelles peuvent être exécutées selon les plans soumis. Lorsque cela s'avère impossible, il en avertit l'auteur de projet le plus rapidement possible.</w:t>
      </w:r>
    </w:p>
    <w:p w14:paraId="7E2EBCE7" w14:textId="77777777" w:rsidR="00DB2B68" w:rsidRDefault="00000000">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14:paraId="6211F13D" w14:textId="77777777" w:rsidR="00DB2B68" w:rsidRDefault="00000000">
      <w:pPr>
        <w:jc w:val="both"/>
      </w:pPr>
      <w:r>
        <w:rPr>
          <w:b/>
        </w:rPr>
        <w:t>Garde-corps - Mains-courantes</w:t>
      </w:r>
    </w:p>
    <w:p w14:paraId="65608CCC" w14:textId="77777777" w:rsidR="00DB2B68" w:rsidRDefault="00000000">
      <w:pPr>
        <w:jc w:val="both"/>
      </w:pPr>
      <w:r>
        <w:t xml:space="preserve">Les garde-corps et mains courantes sont décrits au sous-titre </w:t>
      </w:r>
      <w:hyperlink w:anchor="190" w:history="1">
        <w:r>
          <w:rPr>
            <w:color w:val="0000EE"/>
          </w:rPr>
          <w:t>23.32 Garde-corps et rampes métalliques</w:t>
        </w:r>
      </w:hyperlink>
      <w:r>
        <w:t xml:space="preserve"> et éléments et articles qui en découlent.</w:t>
      </w:r>
    </w:p>
    <w:p w14:paraId="44064D91" w14:textId="77777777" w:rsidR="00DB2B68" w:rsidRDefault="00000000">
      <w:pPr>
        <w:jc w:val="both"/>
      </w:pPr>
      <w:r>
        <w:t>Ils ne sont pas compris dans le présent article, sauf contre-indication dans le cahier spécial des charges aux articles concernés ci-dessus.</w:t>
      </w:r>
    </w:p>
    <w:p w14:paraId="40DA9D40" w14:textId="77777777" w:rsidR="00DB2B68" w:rsidRDefault="00000000">
      <w:pPr>
        <w:jc w:val="both"/>
      </w:pPr>
      <w:r>
        <w:rPr>
          <w:b/>
        </w:rPr>
        <w:t>Accessibilité aux personnes à mobilité réduite (PMR)</w:t>
      </w:r>
    </w:p>
    <w:p w14:paraId="1DCF7778" w14:textId="77777777" w:rsidR="00DB2B68" w:rsidRDefault="00000000">
      <w:pPr>
        <w:jc w:val="both"/>
      </w:pPr>
      <w:r>
        <w:t>Suivant prescriptions du guide [SWL CALA] et des normes [NBN ISO 21542] et [BS 8300] :</w:t>
      </w:r>
    </w:p>
    <w:p w14:paraId="3B26FA8E" w14:textId="77777777" w:rsidR="00DB2B68" w:rsidRDefault="00000000">
      <w:pPr>
        <w:jc w:val="both"/>
      </w:pPr>
      <w:r>
        <w:rPr>
          <w:i/>
          <w:u w:val="single"/>
        </w:rPr>
        <w:t>Général :</w:t>
      </w:r>
    </w:p>
    <w:p w14:paraId="6166E9C2" w14:textId="77777777" w:rsidR="00DB2B68" w:rsidRDefault="00000000">
      <w:pPr>
        <w:pStyle w:val="Author-eListParagraph"/>
        <w:numPr>
          <w:ilvl w:val="0"/>
          <w:numId w:val="762"/>
        </w:numPr>
      </w:pPr>
      <w:r>
        <w:lastRenderedPageBreak/>
        <w:t xml:space="preserve">Largeur de libre passage : </w:t>
      </w:r>
    </w:p>
    <w:p w14:paraId="44229EF4" w14:textId="77777777" w:rsidR="00DB2B68" w:rsidRDefault="00000000">
      <w:pPr>
        <w:pStyle w:val="Author-eListParagraph"/>
        <w:numPr>
          <w:ilvl w:val="1"/>
          <w:numId w:val="763"/>
        </w:numPr>
      </w:pPr>
      <w:r>
        <w:t>Largeur minimum : 120 cm</w:t>
      </w:r>
    </w:p>
    <w:p w14:paraId="7F38CA8F" w14:textId="77777777" w:rsidR="00DB2B68" w:rsidRDefault="00000000">
      <w:pPr>
        <w:pStyle w:val="Author-eListParagraph"/>
        <w:numPr>
          <w:ilvl w:val="1"/>
          <w:numId w:val="763"/>
        </w:numPr>
      </w:pPr>
      <w:r>
        <w:t>Aires de rotation de 150 cm devant chaque porte ou changement de direction</w:t>
      </w:r>
    </w:p>
    <w:p w14:paraId="40BFBA93" w14:textId="77777777" w:rsidR="00DB2B68" w:rsidRDefault="00000000">
      <w:pPr>
        <w:jc w:val="both"/>
      </w:pPr>
      <w:r>
        <w:rPr>
          <w:b/>
        </w:rPr>
        <w:t>Assemblage - Scellement</w:t>
      </w:r>
    </w:p>
    <w:p w14:paraId="16655F2A" w14:textId="77777777" w:rsidR="00DB2B68" w:rsidRDefault="00000000">
      <w:pPr>
        <w:jc w:val="both"/>
      </w:pPr>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4A0085DB" w14:textId="77777777" w:rsidR="00DB2B68" w:rsidRDefault="00000000">
      <w:pPr>
        <w:jc w:val="both"/>
      </w:pPr>
      <w:r>
        <w:rPr>
          <w:b/>
        </w:rPr>
        <w:t>Asselets</w:t>
      </w:r>
    </w:p>
    <w:p w14:paraId="111BF3DC" w14:textId="77777777" w:rsidR="00DB2B68" w:rsidRDefault="00000000">
      <w:pPr>
        <w:jc w:val="both"/>
      </w:pPr>
      <w:r>
        <w:t xml:space="preserve">Les asselets nécessaires à la bonne répartition des charges sont décrits dans l’article </w:t>
      </w:r>
      <w:hyperlink w:anchor="168" w:history="1">
        <w:r>
          <w:rPr>
            <w:color w:val="0000EE"/>
          </w:rPr>
          <w:t>21.85.3a Réalisations d'asselets en béton armé dans une maçonnerie existante</w:t>
        </w:r>
      </w:hyperlink>
      <w:r>
        <w:t xml:space="preserve"> et le sous-titre </w:t>
      </w:r>
      <w:hyperlink w:anchor="499" w:history="1">
        <w:r>
          <w:rPr>
            <w:color w:val="0000EE"/>
          </w:rPr>
          <w:t>22.42 Pièces d'appui en béton</w:t>
        </w:r>
      </w:hyperlink>
      <w:r>
        <w:t> et aux éléments et articles qui en découlent.</w:t>
      </w:r>
    </w:p>
    <w:p w14:paraId="7866F577" w14:textId="77777777" w:rsidR="00DB2B68" w:rsidRDefault="00000000">
      <w:pPr>
        <w:jc w:val="both"/>
      </w:pPr>
      <w:r>
        <w:t>Ils ne sont pas compris dans le présent article, sauf contre-indication dans le cahier spécial des charges aux articles concernés ci-dessus.</w:t>
      </w:r>
    </w:p>
    <w:p w14:paraId="20E3DF6D" w14:textId="77777777" w:rsidR="00DB2B68" w:rsidRDefault="00000000">
      <w:pPr>
        <w:jc w:val="both"/>
      </w:pPr>
      <w:r>
        <w:rPr>
          <w:b/>
        </w:rPr>
        <w:t>Sécurité</w:t>
      </w:r>
    </w:p>
    <w:p w14:paraId="60FF228D" w14:textId="77777777" w:rsidR="00DB2B68" w:rsidRDefault="00000000">
      <w:pPr>
        <w:jc w:val="both"/>
      </w:pPr>
      <w:r>
        <w:t>Conformément à l'élément 01.42 PSS travaux de superstructure, établie par le coordinateur-projet et annexée au présent cahier des charges. Toutes les directives en la matière et les indications concrètes du coordinateur-réalisation sont scrupuleusement respectées.</w:t>
      </w:r>
    </w:p>
    <w:p w14:paraId="36DD5FC7" w14:textId="77777777" w:rsidR="00DB2B68" w:rsidRDefault="00000000">
      <w:pPr>
        <w:pStyle w:val="pheading"/>
      </w:pPr>
      <w:r>
        <w:t>CONTRÔLES</w:t>
      </w:r>
    </w:p>
    <w:p w14:paraId="65B025FD" w14:textId="77777777" w:rsidR="00DB2B68" w:rsidRDefault="00000000">
      <w:pPr>
        <w:jc w:val="both"/>
      </w:pPr>
      <w:r>
        <w:rPr>
          <w:b/>
        </w:rPr>
        <w:t>Ecarts dimensionnels</w:t>
      </w:r>
    </w:p>
    <w:p w14:paraId="31AE4CCD" w14:textId="77777777" w:rsidR="00DB2B68" w:rsidRDefault="00000000">
      <w:pPr>
        <w:jc w:val="both"/>
      </w:pPr>
      <w:r>
        <w:t>Tous les éléments présentent la même hauteur. Les éventuels écarts dimensionnels doivent être absorbés dans les dimensions de l’ensemble et ne peuvent comporter plus de 6 mm. L'écart de hauteur entre deux éléments successifs ne peut pas être supérieur à 2 mm.</w:t>
      </w:r>
    </w:p>
    <w:p w14:paraId="06C531E9" w14:textId="77777777" w:rsidR="00DB2B68" w:rsidRDefault="00000000">
      <w:pPr>
        <w:jc w:val="both"/>
      </w:pPr>
      <w:r>
        <w:rPr>
          <w:b/>
        </w:rPr>
        <w:t>Dégradations</w:t>
      </w:r>
    </w:p>
    <w:p w14:paraId="56187E87" w14:textId="77777777" w:rsidR="00DB2B68" w:rsidRDefault="00000000">
      <w:pPr>
        <w:jc w:val="both"/>
      </w:pPr>
      <w:r>
        <w:t>Il est interdit d'utiliser un mastic de jointoiement, de la résine, etc. … pour cacher les défauts éventuels. Les éléments endommagés doivent être intégralement remplacés. Les éléments qui forment un ensemble ne peuvent pas présenter de différences de couleur.</w:t>
      </w:r>
    </w:p>
    <w:p w14:paraId="04BAD471" w14:textId="77777777" w:rsidR="00DB2B68" w:rsidRDefault="00000000">
      <w:pPr>
        <w:pStyle w:val="pheading"/>
      </w:pPr>
      <w:r>
        <w:t>DOCUMENTS DE RÉFÉRENCE</w:t>
      </w:r>
    </w:p>
    <w:p w14:paraId="0E74ACE6" w14:textId="77777777" w:rsidR="00DB2B68" w:rsidRDefault="00000000">
      <w:pPr>
        <w:pStyle w:val="pheading"/>
      </w:pPr>
      <w:r>
        <w:t>- Matériau</w:t>
      </w:r>
    </w:p>
    <w:p w14:paraId="2D19AFB9" w14:textId="77777777" w:rsidR="00DB2B68" w:rsidRDefault="00000000">
      <w:r>
        <w:t>[NBN EN 1991-2, Eurocode 1: Actions sur les structures - Partie 2: Actions sur les ponts, dues au trafic (+ AC:2010)]</w:t>
      </w:r>
    </w:p>
    <w:p w14:paraId="4D772093" w14:textId="77777777" w:rsidR="00DB2B68" w:rsidRDefault="00000000">
      <w:r>
        <w:t>[NBN EN 1991-2 ANB, Eurocode 1 : Actions sur les structures - Partie 2 : Actions sur les ponts, dues au trafic - Annexe nationale]</w:t>
      </w:r>
    </w:p>
    <w:p w14:paraId="6E299578" w14:textId="77777777" w:rsidR="00DB2B68" w:rsidRDefault="00000000">
      <w:r>
        <w:t>[NBN B 03-004, Garde-corps de bâtiments]</w:t>
      </w:r>
    </w:p>
    <w:p w14:paraId="4C581647" w14:textId="77777777" w:rsidR="00DB2B68" w:rsidRDefault="00000000">
      <w:r>
        <w:t>[NBN EN 1990, Eurocodes structuraux - Eurocodes: Bases de calcul des structures]</w:t>
      </w:r>
    </w:p>
    <w:p w14:paraId="6A5B7B08" w14:textId="77777777" w:rsidR="00DB2B68" w:rsidRDefault="00000000">
      <w:r>
        <w:t>[NBN EN 1990 ANB, Eurocode 0 - Bases de calcul des structures - Annexe nationale]</w:t>
      </w:r>
    </w:p>
    <w:p w14:paraId="528BC88F" w14:textId="77777777" w:rsidR="00DB2B68" w:rsidRDefault="00000000">
      <w:pPr>
        <w:pStyle w:val="pheading"/>
      </w:pPr>
      <w:r>
        <w:t>- Exécution</w:t>
      </w:r>
    </w:p>
    <w:p w14:paraId="5799E9F1" w14:textId="77777777" w:rsidR="00DB2B68" w:rsidRDefault="00000000">
      <w:r>
        <w:t>[RGPT, Règlement général pour la protection du travail]</w:t>
      </w:r>
    </w:p>
    <w:p w14:paraId="46B0B424" w14:textId="77777777" w:rsidR="00DB2B68" w:rsidRDefault="00000000">
      <w:r>
        <w:t>[SWL CALA, Guide d’aide à la conception d’un logement adaptable]</w:t>
      </w:r>
    </w:p>
    <w:p w14:paraId="03FBB102" w14:textId="77777777" w:rsidR="00DB2B68" w:rsidRDefault="00000000">
      <w:r>
        <w:t>[NBN ISO 21542, Construction immobilière — Accessibilité et facilité d'utilisation de l'environnement bâti (ISO 21542:2011)]</w:t>
      </w:r>
    </w:p>
    <w:p w14:paraId="69C24ABA" w14:textId="77777777" w:rsidR="00DB2B68" w:rsidRDefault="00000000">
      <w:r>
        <w:t>[BS 8300, Design of buildings and their approaches to meet the needs of disabled people. Code of Practice]</w:t>
      </w:r>
    </w:p>
    <w:p w14:paraId="5DB9B9D4" w14:textId="77777777" w:rsidR="00DB2B68" w:rsidRDefault="00000000">
      <w:pPr>
        <w:pStyle w:val="Author-eSectionHeading5Numberless"/>
      </w:pPr>
      <w:bookmarkStart w:id="1417" w:name="_Toc220496422"/>
      <w:r>
        <w:t>23.34.1 Passerelles et coursives en acier CCTB 01.04</w:t>
      </w:r>
      <w:bookmarkEnd w:id="1417"/>
    </w:p>
    <w:p w14:paraId="391AE850" w14:textId="77777777" w:rsidR="00DB2B68" w:rsidRDefault="00000000">
      <w:pPr>
        <w:pStyle w:val="Author-eSectionHeading6Numberless"/>
      </w:pPr>
      <w:bookmarkStart w:id="1418" w:name="567"/>
      <w:bookmarkStart w:id="1419" w:name="_Toc220496423"/>
      <w:bookmarkEnd w:id="1418"/>
      <w:r>
        <w:t>23.34.1a Passerelles et coursives en acier CCTB 01.12</w:t>
      </w:r>
      <w:bookmarkEnd w:id="1419"/>
    </w:p>
    <w:p w14:paraId="584F06EC" w14:textId="77777777" w:rsidR="00DB2B68" w:rsidRDefault="00000000">
      <w:pPr>
        <w:pStyle w:val="pheading"/>
      </w:pPr>
      <w:bookmarkStart w:id="1420" w:name="565"/>
      <w:bookmarkEnd w:id="1420"/>
      <w:r>
        <w:lastRenderedPageBreak/>
        <w:t>DESCRIPTION</w:t>
      </w:r>
    </w:p>
    <w:p w14:paraId="6AC97EF9" w14:textId="77777777" w:rsidR="00DB2B68" w:rsidRDefault="00000000">
      <w:pPr>
        <w:pStyle w:val="pheading"/>
      </w:pPr>
      <w:r>
        <w:t>- Définition / Comprend</w:t>
      </w:r>
    </w:p>
    <w:p w14:paraId="4F18FE3B" w14:textId="77777777" w:rsidR="00DB2B68" w:rsidRDefault="00000000">
      <w:pPr>
        <w:jc w:val="both"/>
      </w:pPr>
      <w:r>
        <w:t>Il s'agit des passerelles ou coursives en acier dont les parties constructives doivent être fabriquées sur mesure.</w:t>
      </w:r>
    </w:p>
    <w:p w14:paraId="0CDE0D4E" w14:textId="77777777" w:rsidR="00DB2B68" w:rsidRDefault="00000000">
      <w:pPr>
        <w:jc w:val="both"/>
      </w:pPr>
      <w:r>
        <w:t xml:space="preserve">Les caractéristiques principales des passerelles sont décrites au sous-titre </w:t>
      </w:r>
      <w:hyperlink w:anchor="566" w:history="1">
        <w:r>
          <w:rPr>
            <w:color w:val="0000EE"/>
          </w:rPr>
          <w:t>23.34 Passerelles et coursives métalliques</w:t>
        </w:r>
      </w:hyperlink>
      <w:r>
        <w:t>.</w:t>
      </w:r>
    </w:p>
    <w:p w14:paraId="3DB12415" w14:textId="77777777" w:rsidR="00DB2B68" w:rsidRDefault="00000000">
      <w:pPr>
        <w:jc w:val="both"/>
      </w:pPr>
      <w:r>
        <w:t xml:space="preserve">Les garde-corps et mains-courantes ne font pas partie du présent article et sont décrits séparément à l’article </w:t>
      </w:r>
      <w:hyperlink w:anchor="559" w:history="1">
        <w:r>
          <w:rPr>
            <w:color w:val="0000EE"/>
          </w:rPr>
          <w:t>23.32.1a Garde-corps et rampes en acier</w:t>
        </w:r>
      </w:hyperlink>
      <w:r>
        <w:t>.</w:t>
      </w:r>
    </w:p>
    <w:p w14:paraId="4FC1FCB0" w14:textId="77777777" w:rsidR="00DB2B68" w:rsidRDefault="00000000">
      <w:pPr>
        <w:jc w:val="both"/>
      </w:pPr>
      <w:r>
        <w:t>Dans la suite de cet article, le terme « passerelle » utilisé englobe par défaut les passerelles et les coursives, sauf mention spécifique.</w:t>
      </w:r>
    </w:p>
    <w:p w14:paraId="6007DB94" w14:textId="77777777" w:rsidR="00DB2B68" w:rsidRDefault="00000000">
      <w:pPr>
        <w:pStyle w:val="pheading"/>
      </w:pPr>
      <w:r>
        <w:t>- Localisation</w:t>
      </w:r>
    </w:p>
    <w:p w14:paraId="287FAF55" w14:textId="77777777" w:rsidR="00DB2B68" w:rsidRDefault="00000000">
      <w:r>
        <w:t xml:space="preserve">Les travaux sont localisés : </w:t>
      </w:r>
      <w:r>
        <w:rPr>
          <w:rStyle w:val="optioncarChar"/>
        </w:rPr>
        <w:t>***</w:t>
      </w:r>
      <w:r>
        <w:t>.</w:t>
      </w:r>
    </w:p>
    <w:p w14:paraId="45761F4E" w14:textId="77777777" w:rsidR="00DB2B68" w:rsidRDefault="00000000">
      <w:r>
        <w:t>Voir plans et métrés détaillés.</w:t>
      </w:r>
    </w:p>
    <w:p w14:paraId="5F9BBB7E" w14:textId="77777777" w:rsidR="00DB2B68" w:rsidRDefault="00000000">
      <w:pPr>
        <w:pStyle w:val="pheading"/>
      </w:pPr>
      <w:r>
        <w:t>MATÉRIAUX</w:t>
      </w:r>
    </w:p>
    <w:p w14:paraId="7474A78A" w14:textId="77777777" w:rsidR="00DB2B68" w:rsidRDefault="00000000">
      <w:pPr>
        <w:pStyle w:val="pheading"/>
      </w:pPr>
      <w:r>
        <w:t>- Caractéristiques générales</w:t>
      </w:r>
    </w:p>
    <w:p w14:paraId="3A4C4003" w14:textId="77777777" w:rsidR="00DB2B68" w:rsidRDefault="00000000">
      <w:r>
        <w:t>La structure de la passerelle se compose d'éléments en acier. Toutes les parties visibles sont propres et débarrassées des ébarbures.</w:t>
      </w:r>
    </w:p>
    <w:p w14:paraId="1A4075B4" w14:textId="77777777" w:rsidR="00DB2B68" w:rsidRDefault="00000000">
      <w:pPr>
        <w:pStyle w:val="Author-eListParagraph"/>
        <w:numPr>
          <w:ilvl w:val="0"/>
          <w:numId w:val="764"/>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35F0403A" w14:textId="77777777" w:rsidR="00DB2B68" w:rsidRDefault="00000000">
      <w:pPr>
        <w:pStyle w:val="Author-eListParagraph"/>
        <w:numPr>
          <w:ilvl w:val="0"/>
          <w:numId w:val="764"/>
        </w:numPr>
      </w:pPr>
      <w:r>
        <w:t xml:space="preserve">Qualité d’acier [NBN EN 10025 série]: </w:t>
      </w:r>
      <w:r>
        <w:rPr>
          <w:rStyle w:val="optioncarChar"/>
        </w:rPr>
        <w:t xml:space="preserve">JR / J0 </w:t>
      </w:r>
      <w:r>
        <w:t>(par défaut)</w:t>
      </w:r>
      <w:r>
        <w:rPr>
          <w:rStyle w:val="optioncarChar"/>
        </w:rPr>
        <w:t xml:space="preserve"> / J2 / K2 / N / NL / M / ML / W / P / Q / QL / QL1 / ***.</w:t>
      </w:r>
    </w:p>
    <w:p w14:paraId="5CDCAFA2" w14:textId="77777777" w:rsidR="00DB2B68" w:rsidRDefault="00000000">
      <w:r>
        <w:t>Les platelages sont en</w:t>
      </w:r>
      <w:r>
        <w:rPr>
          <w:rStyle w:val="optioncarChar"/>
        </w:rPr>
        <w:t xml:space="preserve"> acier </w:t>
      </w:r>
      <w:r>
        <w:t>(par défaut)</w:t>
      </w:r>
      <w:r>
        <w:rPr>
          <w:rStyle w:val="optioncarChar"/>
        </w:rPr>
        <w:t xml:space="preserve"> / bois / ***</w:t>
      </w:r>
      <w:r>
        <w:t>. </w:t>
      </w:r>
    </w:p>
    <w:p w14:paraId="194ACD65" w14:textId="77777777" w:rsidR="00DB2B68" w:rsidRDefault="00000000">
      <w:pPr>
        <w:ind w:left="567"/>
      </w:pPr>
      <w:r>
        <w:rPr>
          <w:b/>
          <w:i/>
        </w:rPr>
        <w:t>(Soit par défaut)</w:t>
      </w:r>
    </w:p>
    <w:p w14:paraId="65B6529D" w14:textId="77777777" w:rsidR="00DB2B68" w:rsidRDefault="00000000">
      <w:pPr>
        <w:ind w:left="567"/>
      </w:pPr>
      <w:r>
        <w:rPr>
          <w:rStyle w:val="soitChar"/>
          <w:u w:val="single"/>
        </w:rPr>
        <w:t>Acier</w:t>
      </w:r>
      <w:r>
        <w:br/>
      </w:r>
      <w:r>
        <w:rPr>
          <w:rStyle w:val="soitChar"/>
        </w:rPr>
        <w:t>Type </w:t>
      </w:r>
      <w:r>
        <w:t xml:space="preserve">: </w:t>
      </w:r>
      <w:r>
        <w:rPr>
          <w:rStyle w:val="optioncarChar"/>
        </w:rPr>
        <w:t xml:space="preserve">Tôles d’acier larmées ou gaufrées </w:t>
      </w:r>
      <w:r>
        <w:t xml:space="preserve">(par défaut) </w:t>
      </w:r>
      <w:r>
        <w:rPr>
          <w:rStyle w:val="optioncarChar"/>
        </w:rPr>
        <w:t>/ Tôles d’acier perforées (diam 9 (</w:t>
      </w:r>
      <w:r>
        <w:t>par défaut)</w:t>
      </w:r>
      <w:r>
        <w:rPr>
          <w:rStyle w:val="optioncarChar"/>
        </w:rPr>
        <w:t> / 14 / *** mm) / caillebotis (maille 30x30 </w:t>
      </w:r>
      <w:r>
        <w:t>(par défaut) </w:t>
      </w:r>
      <w:r>
        <w:rPr>
          <w:rStyle w:val="optioncarChar"/>
        </w:rPr>
        <w:t>/ *** mm) / ***.</w:t>
      </w:r>
      <w:r>
        <w:br/>
      </w:r>
      <w:r>
        <w:rPr>
          <w:rStyle w:val="soitChar"/>
        </w:rPr>
        <w:t>Epaisseur minimum : tôle </w:t>
      </w:r>
      <w:r>
        <w:rPr>
          <w:rStyle w:val="optioncarChar"/>
        </w:rPr>
        <w:t>: 2,5 / 4</w:t>
      </w:r>
      <w:r>
        <w:t xml:space="preserve"> (par défaut) </w:t>
      </w:r>
      <w:r>
        <w:rPr>
          <w:rStyle w:val="optioncarChar"/>
        </w:rPr>
        <w:t>/ *** mm  /</w:t>
      </w:r>
      <w:r>
        <w:rPr>
          <w:rStyle w:val="soitChar"/>
        </w:rPr>
        <w:t> caillebotis :</w:t>
      </w:r>
      <w:r>
        <w:rPr>
          <w:rStyle w:val="optioncarChar"/>
        </w:rPr>
        <w:t xml:space="preserve"> 20</w:t>
      </w:r>
      <w:r>
        <w:t> (par défaut)</w:t>
      </w:r>
      <w:r>
        <w:rPr>
          <w:rStyle w:val="optioncarChar"/>
        </w:rPr>
        <w:t xml:space="preserve"> / 30 / 40 *** mm</w:t>
      </w:r>
      <w:r>
        <w:t>.</w:t>
      </w:r>
    </w:p>
    <w:p w14:paraId="1E8C3059" w14:textId="77777777" w:rsidR="00DB2B68" w:rsidRDefault="00000000">
      <w:pPr>
        <w:ind w:left="567"/>
      </w:pPr>
      <w:r>
        <w:rPr>
          <w:b/>
          <w:i/>
        </w:rPr>
        <w:t>(Soit)</w:t>
      </w:r>
    </w:p>
    <w:p w14:paraId="03277B9C" w14:textId="77777777" w:rsidR="00DB2B68" w:rsidRDefault="00000000">
      <w:pPr>
        <w:ind w:left="567"/>
      </w:pPr>
      <w:r>
        <w:rPr>
          <w:rStyle w:val="soitChar"/>
          <w:u w:val="single"/>
        </w:rPr>
        <w:t>Bois</w:t>
      </w:r>
      <w:r>
        <w:br/>
      </w:r>
      <w:r>
        <w:rPr>
          <w:rStyle w:val="soitChar"/>
        </w:rPr>
        <w:t>Essence :</w:t>
      </w:r>
      <w:r>
        <w:rPr>
          <w:rStyle w:val="optioncarChar"/>
        </w:rPr>
        <w:t xml:space="preserve"> hêtre</w:t>
      </w:r>
      <w:r>
        <w:t xml:space="preserve"> (par défaut) </w:t>
      </w:r>
      <w:r>
        <w:rPr>
          <w:rStyle w:val="optioncarChar"/>
        </w:rPr>
        <w:t>/ méranti / merbau / ipe / itauba / frêne / mélèze / ***.</w:t>
      </w:r>
      <w:r>
        <w:br/>
      </w:r>
      <w:r>
        <w:rPr>
          <w:rStyle w:val="soitChar"/>
        </w:rPr>
        <w:t>Epaisseur du platelage:</w:t>
      </w:r>
      <w:r>
        <w:rPr>
          <w:rStyle w:val="optioncarChar"/>
        </w:rPr>
        <w:t xml:space="preserve">30 / 35 </w:t>
      </w:r>
      <w:r>
        <w:t>(par défaut)</w:t>
      </w:r>
      <w:r>
        <w:rPr>
          <w:rStyle w:val="optioncarChar"/>
        </w:rPr>
        <w:t xml:space="preserve"> / *** mm</w:t>
      </w:r>
      <w:r>
        <w:t>.</w:t>
      </w:r>
    </w:p>
    <w:p w14:paraId="1CBDC8C5" w14:textId="77777777" w:rsidR="00DB2B68" w:rsidRDefault="00000000">
      <w:pPr>
        <w:ind w:left="567"/>
      </w:pPr>
      <w:r>
        <w:rPr>
          <w:b/>
          <w:i/>
        </w:rPr>
        <w:t>(Soit)</w:t>
      </w:r>
    </w:p>
    <w:p w14:paraId="37CBF0C8" w14:textId="77777777" w:rsidR="00DB2B68" w:rsidRDefault="00000000">
      <w:pPr>
        <w:ind w:left="567"/>
      </w:pPr>
      <w:r>
        <w:rPr>
          <w:rStyle w:val="optioncarChar"/>
        </w:rPr>
        <w:t>***</w:t>
      </w:r>
    </w:p>
    <w:p w14:paraId="25E0F084" w14:textId="77777777" w:rsidR="00DB2B68" w:rsidRDefault="00000000">
      <w:pPr>
        <w:pStyle w:val="pheading"/>
      </w:pPr>
      <w:r>
        <w:t>- Finitions</w:t>
      </w:r>
    </w:p>
    <w:p w14:paraId="4177B2D9" w14:textId="77777777" w:rsidR="00DB2B68" w:rsidRDefault="00000000">
      <w:pPr>
        <w:jc w:val="both"/>
      </w:pPr>
      <w:r>
        <w:rPr>
          <w:b/>
        </w:rPr>
        <w:t>Traitement de l’acier</w:t>
      </w:r>
    </w:p>
    <w:p w14:paraId="2814FFD5" w14:textId="77777777" w:rsidR="00DB2B68" w:rsidRDefault="00000000">
      <w:pPr>
        <w:jc w:val="both"/>
      </w:pPr>
      <w:r>
        <w:t>Les éléments sont traités contre la rouille par : </w:t>
      </w:r>
      <w:r>
        <w:rPr>
          <w:rStyle w:val="optioncarChar"/>
        </w:rPr>
        <w:t>galvanisation à chaud </w:t>
      </w:r>
      <w:r>
        <w:t>(par défaut)</w:t>
      </w:r>
      <w:r>
        <w:rPr>
          <w:rStyle w:val="optioncarChar"/>
        </w:rPr>
        <w:t> / métallisation / primaire antirouille / pas de traitement (aspect brut)</w:t>
      </w:r>
      <w:r>
        <w:t>.</w:t>
      </w:r>
    </w:p>
    <w:p w14:paraId="48A74F6B" w14:textId="77777777" w:rsidR="00DB2B68" w:rsidRDefault="00000000">
      <w:pPr>
        <w:ind w:left="567"/>
        <w:jc w:val="both"/>
      </w:pPr>
      <w:r>
        <w:rPr>
          <w:b/>
          <w:i/>
        </w:rPr>
        <w:t>(Soit par défaut)</w:t>
      </w:r>
    </w:p>
    <w:p w14:paraId="559E88D2" w14:textId="77777777" w:rsidR="00DB2B68" w:rsidRDefault="00000000">
      <w:pPr>
        <w:ind w:left="567"/>
        <w:jc w:val="both"/>
      </w:pPr>
      <w:r>
        <w:rPr>
          <w:rStyle w:val="soitChar"/>
          <w:u w:val="single"/>
        </w:rPr>
        <w:t>Galvanisation</w:t>
      </w:r>
    </w:p>
    <w:p w14:paraId="3DF3CF09" w14:textId="77777777" w:rsidR="00DB2B68" w:rsidRDefault="00000000">
      <w:pPr>
        <w:ind w:left="567"/>
        <w:jc w:val="both"/>
      </w:pPr>
      <w:r>
        <w:rPr>
          <w:rStyle w:val="soitChar"/>
        </w:rPr>
        <w:t>Renvoi aux articles 81.31.3a Protections intérieures par galvanisation (en atelier) des supports métalliques ferreux ou 82.31.3a Protections extérieures par galvanisation de supports métalliques ferreux.</w:t>
      </w:r>
    </w:p>
    <w:p w14:paraId="4D5A5194" w14:textId="77777777" w:rsidR="00DB2B68" w:rsidRDefault="00000000">
      <w:pPr>
        <w:ind w:left="567"/>
        <w:jc w:val="both"/>
      </w:pPr>
      <w:r>
        <w:rPr>
          <w:b/>
          <w:i/>
        </w:rPr>
        <w:t> (Soit)</w:t>
      </w:r>
    </w:p>
    <w:p w14:paraId="1CF87548" w14:textId="77777777" w:rsidR="00DB2B68" w:rsidRDefault="00000000">
      <w:pPr>
        <w:ind w:left="567"/>
        <w:jc w:val="both"/>
      </w:pPr>
      <w:r>
        <w:rPr>
          <w:rStyle w:val="soitChar"/>
          <w:u w:val="single"/>
        </w:rPr>
        <w:lastRenderedPageBreak/>
        <w:t>Métallisation</w:t>
      </w:r>
    </w:p>
    <w:p w14:paraId="02B80ED2" w14:textId="77777777" w:rsidR="00DB2B68" w:rsidRDefault="00000000">
      <w:pPr>
        <w:ind w:left="567"/>
        <w:jc w:val="both"/>
      </w:pPr>
      <w:r>
        <w:rPr>
          <w:rStyle w:val="soitChar"/>
        </w:rPr>
        <w:t>Renvoi aux articles 81.31.3b Protections intérieures par métallisation (en atelier ou sur chantier) des supports métalliques ferreux ou 82.31.3b Protections extérieures par métallisation des supports métalliques ferreux.</w:t>
      </w:r>
    </w:p>
    <w:p w14:paraId="6A1D4296" w14:textId="77777777" w:rsidR="00DB2B68" w:rsidRDefault="00000000">
      <w:pPr>
        <w:ind w:left="567"/>
        <w:jc w:val="both"/>
      </w:pPr>
      <w:r>
        <w:rPr>
          <w:b/>
          <w:i/>
        </w:rPr>
        <w:t>(Soit)</w:t>
      </w:r>
    </w:p>
    <w:p w14:paraId="7F906C73" w14:textId="77777777" w:rsidR="00DB2B68" w:rsidRDefault="00000000">
      <w:pPr>
        <w:ind w:left="567"/>
        <w:jc w:val="both"/>
      </w:pPr>
      <w:r>
        <w:rPr>
          <w:rStyle w:val="soitChar"/>
          <w:u w:val="single"/>
        </w:rPr>
        <w:t>Peinture antirouille</w:t>
      </w:r>
    </w:p>
    <w:p w14:paraId="629D8790" w14:textId="77777777" w:rsidR="00DB2B68" w:rsidRDefault="00000000">
      <w:pPr>
        <w:ind w:left="567"/>
        <w:jc w:val="both"/>
      </w:pPr>
      <w:r>
        <w:rPr>
          <w:rStyle w:val="soitChar"/>
        </w:rPr>
        <w:t>Renvoi aux articles 81.31.3c Protections intérieures par primaire antirouille (en atelier ou sur chantier) des supports métalliques ferreux ou 82.31.3c Protections extérieures par primaire antirouille des supports métalliques ferreux.</w:t>
      </w:r>
    </w:p>
    <w:p w14:paraId="50668F08" w14:textId="77777777" w:rsidR="00DB2B68" w:rsidRDefault="00000000">
      <w:pPr>
        <w:ind w:left="567"/>
        <w:jc w:val="both"/>
      </w:pPr>
      <w:r>
        <w:rPr>
          <w:b/>
          <w:i/>
        </w:rPr>
        <w:t>(Soit)</w:t>
      </w:r>
    </w:p>
    <w:p w14:paraId="0989F915" w14:textId="77777777" w:rsidR="00DB2B68" w:rsidRDefault="00000000">
      <w:pPr>
        <w:ind w:left="567"/>
        <w:jc w:val="both"/>
      </w:pPr>
      <w:r>
        <w:rPr>
          <w:rStyle w:val="soitChar"/>
          <w:u w:val="single"/>
        </w:rPr>
        <w:t>Pas de traitement</w:t>
      </w:r>
    </w:p>
    <w:p w14:paraId="0D253F92" w14:textId="77777777" w:rsidR="00DB2B68" w:rsidRDefault="00000000">
      <w:pPr>
        <w:ind w:left="567"/>
        <w:jc w:val="both"/>
      </w:pPr>
      <w:r>
        <w:rPr>
          <w:rStyle w:val="soitChar"/>
        </w:rPr>
        <w:t>L’acier reste « brut ». Il est simplement nettoyé, dégraissé et débarrassé de la rouille par sablage et/ou ponçage conformément aux chapitres 81.31.1 Nettoyage / Dégraissage, 81.31.2 Grenaillage - Sablage / Ponçage / Dérouillage et articles qui en découlent. </w:t>
      </w:r>
    </w:p>
    <w:p w14:paraId="69048C91" w14:textId="77777777" w:rsidR="00DB2B68" w:rsidRDefault="00000000">
      <w:pPr>
        <w:jc w:val="both"/>
      </w:pPr>
      <w:r>
        <w:t>Ce traitement contre la rouille est compris par défaut dans le poste, sauf contre-indication dans le cahier spécial des charges aux articles concernés ci-dessus.</w:t>
      </w:r>
    </w:p>
    <w:p w14:paraId="6E919048" w14:textId="77777777" w:rsidR="00DB2B68" w:rsidRDefault="00000000">
      <w:pPr>
        <w:jc w:val="both"/>
      </w:pPr>
      <w:r>
        <w:rPr>
          <w:b/>
        </w:rPr>
        <w:t>Finition de l’acier</w:t>
      </w:r>
    </w:p>
    <w:p w14:paraId="615912CA" w14:textId="77777777" w:rsidR="00DB2B68" w:rsidRDefault="00000000">
      <w:pPr>
        <w:jc w:val="both"/>
      </w:pPr>
      <w:r>
        <w:t>Finition de l’acier : </w:t>
      </w:r>
      <w:r>
        <w:rPr>
          <w:rStyle w:val="optioncarChar"/>
        </w:rPr>
        <w:t>pas de finition </w:t>
      </w:r>
      <w:r>
        <w:t>(par défaut)</w:t>
      </w:r>
      <w:r>
        <w:rPr>
          <w:rStyle w:val="optioncarChar"/>
        </w:rPr>
        <w:t> / peint / brut (verni)</w:t>
      </w:r>
      <w:r>
        <w:t>.</w:t>
      </w:r>
    </w:p>
    <w:p w14:paraId="3132BA4F" w14:textId="77777777" w:rsidR="00DB2B68" w:rsidRDefault="00000000">
      <w:pPr>
        <w:ind w:left="567"/>
        <w:jc w:val="both"/>
      </w:pPr>
      <w:r>
        <w:rPr>
          <w:b/>
          <w:i/>
        </w:rPr>
        <w:t>(Soit par défaut)</w:t>
      </w:r>
    </w:p>
    <w:p w14:paraId="022223E6" w14:textId="77777777" w:rsidR="00DB2B68" w:rsidRDefault="00000000">
      <w:pPr>
        <w:ind w:left="567"/>
        <w:jc w:val="both"/>
      </w:pPr>
      <w:r>
        <w:rPr>
          <w:rStyle w:val="soitChar"/>
          <w:u w:val="single"/>
        </w:rPr>
        <w:t>Pas de finition</w:t>
      </w:r>
    </w:p>
    <w:p w14:paraId="72C7CEB2" w14:textId="77777777" w:rsidR="00DB2B68" w:rsidRDefault="00000000">
      <w:pPr>
        <w:ind w:left="567"/>
        <w:jc w:val="both"/>
      </w:pPr>
      <w:r>
        <w:rPr>
          <w:rStyle w:val="soitChar"/>
        </w:rPr>
        <w:t>Pas de finition, le traitement contre la rouille reste apparent.</w:t>
      </w:r>
    </w:p>
    <w:p w14:paraId="76517FF2" w14:textId="77777777" w:rsidR="00DB2B68" w:rsidRDefault="00000000">
      <w:pPr>
        <w:ind w:left="567"/>
        <w:jc w:val="both"/>
      </w:pPr>
      <w:r>
        <w:rPr>
          <w:b/>
          <w:i/>
        </w:rPr>
        <w:t>(Soit)</w:t>
      </w:r>
    </w:p>
    <w:p w14:paraId="2FA64C71" w14:textId="77777777" w:rsidR="00DB2B68" w:rsidRDefault="00000000">
      <w:pPr>
        <w:ind w:left="567"/>
        <w:jc w:val="both"/>
      </w:pPr>
      <w:r>
        <w:rPr>
          <w:rStyle w:val="soitChar"/>
          <w:u w:val="single"/>
        </w:rPr>
        <w:t>Peint</w:t>
      </w:r>
    </w:p>
    <w:p w14:paraId="19CF69B0" w14:textId="77777777" w:rsidR="00DB2B68" w:rsidRDefault="00000000">
      <w:pPr>
        <w:ind w:left="567"/>
        <w:jc w:val="both"/>
      </w:pPr>
      <w:r>
        <w:rPr>
          <w:rStyle w:val="soitChar"/>
        </w:rPr>
        <w:t>Renvoi aux sous-titres 81.33 Finitions / décorations des métaux ferreux et non ferreux (intérieure) ou 82.33 Finitions / décorations des métaux ferreux et non ferreux (extérieure), et éléments et articles qui en découlent .</w:t>
      </w:r>
    </w:p>
    <w:p w14:paraId="45164839" w14:textId="77777777" w:rsidR="00DB2B68" w:rsidRDefault="00000000">
      <w:pPr>
        <w:ind w:left="567"/>
        <w:jc w:val="both"/>
      </w:pPr>
      <w:r>
        <w:rPr>
          <w:b/>
          <w:i/>
        </w:rPr>
        <w:t> (Soit)</w:t>
      </w:r>
    </w:p>
    <w:p w14:paraId="02DD90E5" w14:textId="77777777" w:rsidR="00DB2B68" w:rsidRDefault="00000000">
      <w:pPr>
        <w:ind w:left="567"/>
        <w:jc w:val="both"/>
      </w:pPr>
      <w:r>
        <w:rPr>
          <w:rStyle w:val="soitChar"/>
          <w:u w:val="single"/>
        </w:rPr>
        <w:t>Brut (verni)</w:t>
      </w:r>
    </w:p>
    <w:p w14:paraId="090C6109" w14:textId="77777777" w:rsidR="00DB2B68" w:rsidRDefault="00000000">
      <w:pPr>
        <w:ind w:left="567"/>
        <w:jc w:val="both"/>
      </w:pPr>
      <w:r>
        <w:rPr>
          <w:rStyle w:val="soitChar"/>
        </w:rPr>
        <w:t>L’acier est protégé à l’aide d’un verni incolore à base de </w:t>
      </w:r>
      <w:r>
        <w:rPr>
          <w:rStyle w:val="optioncarChar"/>
        </w:rPr>
        <w:t>résine glycérophtalique </w:t>
      </w:r>
      <w:r>
        <w:t>(par défaut) </w:t>
      </w:r>
      <w:r>
        <w:rPr>
          <w:rStyle w:val="optioncarChar"/>
        </w:rPr>
        <w:t>/ ***.</w:t>
      </w:r>
    </w:p>
    <w:p w14:paraId="3AF34075" w14:textId="77777777" w:rsidR="00DB2B68" w:rsidRDefault="00000000">
      <w:pPr>
        <w:ind w:left="567"/>
        <w:jc w:val="both"/>
      </w:pPr>
      <w:r>
        <w:rPr>
          <w:rStyle w:val="soitChar"/>
        </w:rPr>
        <w:t>Pour la mise en œuvre, renvoi aux sous-titres 81.33 Finitions / décorations des métaux ferreux et non ferreux (intérieure) ou 82.33 Finitions / décorations des métaux ferreux et non ferreux (extérieure), et éléments et articles qui en découlent . </w:t>
      </w:r>
    </w:p>
    <w:p w14:paraId="20FC9D17" w14:textId="77777777" w:rsidR="00DB2B68" w:rsidRDefault="00000000">
      <w:pPr>
        <w:jc w:val="both"/>
      </w:pPr>
      <w:r>
        <w:t>Ce traitement de finition est compris par défaut dans le poste, sauf contre-indication dans le cahier spécial des charges aux articles concernés ci-dessus.</w:t>
      </w:r>
    </w:p>
    <w:p w14:paraId="162348AF" w14:textId="77777777" w:rsidR="00DB2B68" w:rsidRDefault="00000000">
      <w:pPr>
        <w:pStyle w:val="pheading"/>
      </w:pPr>
      <w:r>
        <w:t>- Prescriptions complémentaires</w:t>
      </w:r>
    </w:p>
    <w:p w14:paraId="62A8266E" w14:textId="77777777" w:rsidR="00DB2B68" w:rsidRDefault="00000000">
      <w:pPr>
        <w:jc w:val="both"/>
      </w:pPr>
      <w:r>
        <w:rPr>
          <w:rStyle w:val="facultChar"/>
        </w:rPr>
        <w:t>Le présent article comprend également</w:t>
      </w:r>
      <w:r>
        <w:rPr>
          <w:rStyle w:val="optioncarChar"/>
        </w:rPr>
        <w:t xml:space="preserve"> : la résistance au feu / la finition du bois.</w:t>
      </w:r>
    </w:p>
    <w:p w14:paraId="67D74764" w14:textId="77777777" w:rsidR="00DB2B68" w:rsidRDefault="00000000">
      <w:pPr>
        <w:pStyle w:val="Author-eListParagraph"/>
        <w:numPr>
          <w:ilvl w:val="0"/>
          <w:numId w:val="765"/>
        </w:numPr>
      </w:pPr>
      <w:r>
        <w:rPr>
          <w:rStyle w:val="facultChar"/>
          <w:u w:val="single"/>
        </w:rPr>
        <w:t>Résistance au feu</w:t>
      </w:r>
      <w:r>
        <w:br/>
      </w:r>
      <w:r>
        <w:rPr>
          <w:rStyle w:val="facultChar"/>
        </w:rPr>
        <w:t>Suivant la [NBN EN 13501-2] :</w:t>
      </w:r>
      <w:r>
        <w:rPr>
          <w:rStyle w:val="optioncarChar"/>
        </w:rPr>
        <w:t>R30 (bâtiment bas &lt;10 m) / R60 (≥10 m).</w:t>
      </w:r>
    </w:p>
    <w:p w14:paraId="48DAA3B7" w14:textId="77777777" w:rsidR="00DB2B68" w:rsidRDefault="00000000">
      <w:pPr>
        <w:ind w:left="567"/>
        <w:jc w:val="both"/>
      </w:pPr>
      <w:r>
        <w:rPr>
          <w:rStyle w:val="facultChar"/>
        </w:rPr>
        <w:t>Cette résistance au feu est atteinte :</w:t>
      </w:r>
      <w:r>
        <w:rPr>
          <w:rStyle w:val="optioncarChar"/>
        </w:rPr>
        <w:t xml:space="preserve">sans traitement particulier </w:t>
      </w:r>
      <w:r>
        <w:t>(par défaut)</w:t>
      </w:r>
      <w:r>
        <w:rPr>
          <w:rStyle w:val="optioncarChar"/>
        </w:rPr>
        <w:t xml:space="preserve"> / à l’aide d’une peinture intumescente.</w:t>
      </w:r>
    </w:p>
    <w:p w14:paraId="06C77BE6" w14:textId="77777777" w:rsidR="00DB2B68" w:rsidRDefault="00000000">
      <w:pPr>
        <w:ind w:left="1134"/>
        <w:jc w:val="both"/>
      </w:pPr>
      <w:r>
        <w:rPr>
          <w:b/>
          <w:i/>
        </w:rPr>
        <w:t>(Soit par défaut)</w:t>
      </w:r>
    </w:p>
    <w:p w14:paraId="2DE8E6EB" w14:textId="77777777" w:rsidR="00DB2B68" w:rsidRDefault="00000000">
      <w:pPr>
        <w:ind w:left="1134"/>
        <w:jc w:val="both"/>
      </w:pPr>
      <w:r>
        <w:rPr>
          <w:rStyle w:val="soitChar"/>
          <w:u w:val="single"/>
        </w:rPr>
        <w:t>Sans traitement particulier</w:t>
      </w:r>
    </w:p>
    <w:p w14:paraId="5AEFA055" w14:textId="77777777" w:rsidR="00DB2B68" w:rsidRDefault="00000000">
      <w:pPr>
        <w:ind w:left="1134"/>
        <w:jc w:val="both"/>
      </w:pPr>
      <w:r>
        <w:rPr>
          <w:rStyle w:val="soitChar"/>
        </w:rPr>
        <w:lastRenderedPageBreak/>
        <w:t>La résistance au feu est démontrée par test au feu selon la [NBN EN 13501-2] ou par calcul selon les Eurocodes conformément à l’[AM 2013-05-17].</w:t>
      </w:r>
    </w:p>
    <w:p w14:paraId="35E6CA5A" w14:textId="77777777" w:rsidR="00DB2B68" w:rsidRDefault="00000000">
      <w:pPr>
        <w:ind w:left="1134"/>
        <w:jc w:val="both"/>
      </w:pPr>
      <w:r>
        <w:rPr>
          <w:b/>
          <w:i/>
        </w:rPr>
        <w:t>(Soit)</w:t>
      </w:r>
    </w:p>
    <w:p w14:paraId="71EDA0A1" w14:textId="77777777" w:rsidR="00DB2B68" w:rsidRDefault="00000000">
      <w:pPr>
        <w:ind w:left="1134"/>
        <w:jc w:val="both"/>
      </w:pPr>
      <w:r>
        <w:rPr>
          <w:rStyle w:val="soitChar"/>
          <w:u w:val="single"/>
        </w:rPr>
        <w:t>Peinture intumescente</w:t>
      </w:r>
    </w:p>
    <w:p w14:paraId="44383AB2" w14:textId="77777777" w:rsidR="00DB2B68" w:rsidRDefault="00000000">
      <w:pPr>
        <w:ind w:left="1134"/>
        <w:jc w:val="both"/>
      </w:pPr>
      <w:r>
        <w:rPr>
          <w:rStyle w:val="soitChar"/>
        </w:rPr>
        <w:t>Conformément à l’article 81.34.1b Peintures intérieures intumescentes sur supports métalliques ferreux et non ferreux.</w:t>
      </w:r>
    </w:p>
    <w:p w14:paraId="3C30A265" w14:textId="77777777" w:rsidR="00DB2B68" w:rsidRDefault="00000000">
      <w:pPr>
        <w:ind w:left="1134"/>
        <w:jc w:val="both"/>
      </w:pPr>
      <w:r>
        <w:rPr>
          <w:rStyle w:val="soitChar"/>
        </w:rPr>
        <w:t>Ce traitement est compris par défaut dans le poste, sauf contre-indication dans le cahier spécial des charges, à l’article concerné ci-dessus.</w:t>
      </w:r>
    </w:p>
    <w:p w14:paraId="30D2CD77" w14:textId="77777777" w:rsidR="00DB2B68" w:rsidRDefault="00000000">
      <w:pPr>
        <w:jc w:val="both"/>
      </w:pPr>
      <w:r>
        <w:t> </w:t>
      </w:r>
    </w:p>
    <w:p w14:paraId="222120BB" w14:textId="77777777" w:rsidR="00DB2B68" w:rsidRDefault="00000000">
      <w:pPr>
        <w:pStyle w:val="Author-eListParagraph"/>
        <w:numPr>
          <w:ilvl w:val="0"/>
          <w:numId w:val="766"/>
        </w:numPr>
        <w:jc w:val="both"/>
      </w:pPr>
      <w:r>
        <w:rPr>
          <w:rStyle w:val="facultChar"/>
          <w:u w:val="single"/>
        </w:rPr>
        <w:t>Finition du bois</w:t>
      </w:r>
    </w:p>
    <w:p w14:paraId="6BF158E2" w14:textId="77777777" w:rsidR="00DB2B68" w:rsidRDefault="00000000">
      <w:pPr>
        <w:pStyle w:val="Author-eListParagraph"/>
        <w:numPr>
          <w:ilvl w:val="0"/>
          <w:numId w:val="766"/>
        </w:numPr>
        <w:jc w:val="both"/>
      </w:pPr>
      <w:r>
        <w:rPr>
          <w:rStyle w:val="facultChar"/>
        </w:rPr>
        <w:t xml:space="preserve">Toutes les parties en bois sont vernies en deux couches selon les titres 81.2 Peintures intérieures sur subjectiles en bois et dérivés du bois (feuillus, résineux, bois exotiques, panneaux) ou 82.2 Peintures extérieures sur subjectiles en bois et dérivés du bois (feuillus, résineux, bois exotiques, panneaux) et éléments et articles qui en découlent. </w:t>
      </w:r>
    </w:p>
    <w:p w14:paraId="24EBC3B9" w14:textId="77777777" w:rsidR="00DB2B68" w:rsidRDefault="00000000">
      <w:pPr>
        <w:pStyle w:val="Author-eListParagraph"/>
        <w:numPr>
          <w:ilvl w:val="0"/>
          <w:numId w:val="766"/>
        </w:numPr>
        <w:jc w:val="both"/>
      </w:pPr>
      <w:r>
        <w:rPr>
          <w:rStyle w:val="facultChar"/>
        </w:rPr>
        <w:t>Le traitement est compris dans le prix du poste. Le bois est protégé jusqu'à réception provisoire dans un emballage de protection évitant les chocs et rayures.</w:t>
      </w:r>
    </w:p>
    <w:p w14:paraId="03C06029" w14:textId="77777777" w:rsidR="00DB2B68" w:rsidRDefault="00000000">
      <w:pPr>
        <w:pStyle w:val="pheading"/>
      </w:pPr>
      <w:r>
        <w:t>EXÉCUTION / MISE EN ŒUVRE</w:t>
      </w:r>
    </w:p>
    <w:p w14:paraId="0635B11B" w14:textId="77777777" w:rsidR="00DB2B68" w:rsidRDefault="00000000">
      <w:pPr>
        <w:pStyle w:val="pheading"/>
      </w:pPr>
      <w:r>
        <w:t>- Prescriptions générales</w:t>
      </w:r>
    </w:p>
    <w:p w14:paraId="54D812BA" w14:textId="77777777" w:rsidR="00DB2B68" w:rsidRDefault="00000000">
      <w:r>
        <w:t>Toutes les pièces sont profilées conformément aux plans d'adjudication et/ou aux dessins d'exécution. Ces dessins d'exécution sont soumis à l'approbation de l’auteur de projet.</w:t>
      </w:r>
    </w:p>
    <w:p w14:paraId="00535313" w14:textId="77777777" w:rsidR="00DB2B68" w:rsidRDefault="00000000">
      <w:r>
        <w:t xml:space="preserve">L'étude et les plans d'exécution sont réalisés sur base : </w:t>
      </w:r>
      <w:r>
        <w:rPr>
          <w:rStyle w:val="optioncarChar"/>
        </w:rPr>
        <w:t xml:space="preserve">des études et dessins de détail annexés au dossier d'adjudication </w:t>
      </w:r>
      <w:r>
        <w:t xml:space="preserve">(par défaut) </w:t>
      </w:r>
      <w:r>
        <w:rPr>
          <w:rStyle w:val="optioncarChar"/>
        </w:rPr>
        <w:t>/ à charge de l’entreprise</w:t>
      </w:r>
      <w:r>
        <w:t>.</w:t>
      </w:r>
    </w:p>
    <w:p w14:paraId="17A6A9CA" w14:textId="77777777" w:rsidR="00DB2B68" w:rsidRDefault="00000000">
      <w:r>
        <w:rPr>
          <w:b/>
          <w:u w:val="single"/>
        </w:rPr>
        <w:t>Etudes et dessins de détail annexés au dossier d'adjudication</w:t>
      </w:r>
      <w:r>
        <w:br/>
        <w:t>Les dessins d’exécution sont réalisés selon l’étude des plans et des détails de l'auteur de projet annexés au dossier d'adjudication.</w:t>
      </w:r>
      <w:r>
        <w:rPr>
          <w:b/>
        </w:rPr>
        <w:t> </w:t>
      </w:r>
    </w:p>
    <w:p w14:paraId="6FCC7276" w14:textId="77777777" w:rsidR="00DB2B68" w:rsidRDefault="00000000">
      <w:r>
        <w:rPr>
          <w:b/>
          <w:u w:val="single"/>
        </w:rPr>
        <w:t>Etudes et dessins à charge de l’entreprise</w:t>
      </w:r>
      <w:r>
        <w:br/>
        <w:t>Les études de stabilité et les dessins d’exécution sont réalisés sur base des informations suivantes, complémentaires aux plans et coupes de soumission:</w:t>
      </w:r>
    </w:p>
    <w:p w14:paraId="11501D66" w14:textId="77777777" w:rsidR="00DB2B68" w:rsidRDefault="00000000">
      <w:r>
        <w:rPr>
          <w:i/>
        </w:rPr>
        <w:t>Structure portante</w:t>
      </w:r>
    </w:p>
    <w:p w14:paraId="498499C3" w14:textId="77777777" w:rsidR="00DB2B68" w:rsidRDefault="00000000">
      <w:pPr>
        <w:ind w:left="567"/>
      </w:pPr>
      <w:r>
        <w:t>La structure portante est appropriée pour obtenir la résistance nécessaire.</w:t>
      </w:r>
      <w:r>
        <w:br/>
        <w:t xml:space="preserve">Type de structure portante : </w:t>
      </w:r>
      <w:r>
        <w:rPr>
          <w:rStyle w:val="optioncarChar"/>
        </w:rPr>
        <w:t xml:space="preserve">colonnes </w:t>
      </w:r>
      <w:r>
        <w:t>(par défaut)</w:t>
      </w:r>
      <w:r>
        <w:rPr>
          <w:rStyle w:val="optioncarChar"/>
        </w:rPr>
        <w:t xml:space="preserve"> / consoles fixées au mur / ***.</w:t>
      </w:r>
    </w:p>
    <w:p w14:paraId="7F0BA128" w14:textId="77777777" w:rsidR="00DB2B68" w:rsidRDefault="00000000">
      <w:pPr>
        <w:ind w:left="1134"/>
      </w:pPr>
      <w:r>
        <w:rPr>
          <w:b/>
          <w:i/>
        </w:rPr>
        <w:t>(Soit par défaut)</w:t>
      </w:r>
    </w:p>
    <w:p w14:paraId="7C327B21" w14:textId="77777777" w:rsidR="00DB2B68" w:rsidRDefault="00000000">
      <w:pPr>
        <w:ind w:left="1134"/>
      </w:pPr>
      <w:r>
        <w:rPr>
          <w:rStyle w:val="soitChar"/>
          <w:u w:val="single"/>
        </w:rPr>
        <w:t>Colonnes</w:t>
      </w:r>
      <w:r>
        <w:br/>
      </w:r>
      <w:r>
        <w:rPr>
          <w:rStyle w:val="soitChar"/>
        </w:rPr>
        <w:t>Profil :</w:t>
      </w:r>
      <w:r>
        <w:rPr>
          <w:rStyle w:val="optioncarChar"/>
        </w:rPr>
        <w:t xml:space="preserve">Tube circulaire (CHS) </w:t>
      </w:r>
      <w:r>
        <w:t xml:space="preserve">(par défaut) </w:t>
      </w:r>
      <w:r>
        <w:rPr>
          <w:rStyle w:val="optioncarChar"/>
        </w:rPr>
        <w:t>/ Tube carré (SHS) / Tube rectangulaire (RHS) / H / I / ***</w:t>
      </w:r>
      <w:r>
        <w:t>.</w:t>
      </w:r>
      <w:r>
        <w:br/>
      </w:r>
      <w:r>
        <w:rPr>
          <w:rStyle w:val="soitChar"/>
        </w:rPr>
        <w:t>Les colonnes reposent sur des fondations adéquates.</w:t>
      </w:r>
    </w:p>
    <w:p w14:paraId="37AAAE14" w14:textId="77777777" w:rsidR="00DB2B68" w:rsidRDefault="00000000">
      <w:pPr>
        <w:ind w:left="1134"/>
      </w:pPr>
      <w:r>
        <w:rPr>
          <w:b/>
          <w:i/>
        </w:rPr>
        <w:t>(Soit)</w:t>
      </w:r>
    </w:p>
    <w:p w14:paraId="29E5104E" w14:textId="77777777" w:rsidR="00DB2B68" w:rsidRDefault="00000000">
      <w:pPr>
        <w:ind w:left="1134"/>
      </w:pPr>
      <w:r>
        <w:rPr>
          <w:rStyle w:val="soitChar"/>
          <w:u w:val="single"/>
        </w:rPr>
        <w:t>Consoles fixées au mur</w:t>
      </w:r>
      <w:r>
        <w:br/>
      </w:r>
      <w:r>
        <w:rPr>
          <w:rStyle w:val="soitChar"/>
        </w:rPr>
        <w:t>Profil :</w:t>
      </w:r>
      <w:r>
        <w:rPr>
          <w:rStyle w:val="optioncarChar"/>
        </w:rPr>
        <w:t xml:space="preserve">Tube circulaire (CHS) / Tube carré (SHS) / Tube rectangulaire (RHS) / H / I / U </w:t>
      </w:r>
      <w:r>
        <w:t>(par défaut)</w:t>
      </w:r>
      <w:r>
        <w:rPr>
          <w:rStyle w:val="optioncarChar"/>
        </w:rPr>
        <w:t xml:space="preserve"> / ***</w:t>
      </w:r>
      <w:r>
        <w:t>.</w:t>
      </w:r>
      <w:r>
        <w:br/>
      </w:r>
      <w:r>
        <w:rPr>
          <w:rStyle w:val="soitChar"/>
        </w:rPr>
        <w:t>Les consoles sont fixées au bâtiment par ancrages chimique en nombre et dimensions adéquats.</w:t>
      </w:r>
      <w:r>
        <w:br/>
      </w:r>
    </w:p>
    <w:p w14:paraId="53AF4E69" w14:textId="77777777" w:rsidR="00DB2B68" w:rsidRDefault="00000000">
      <w:r>
        <w:rPr>
          <w:i/>
        </w:rPr>
        <w:t>Structure principale</w:t>
      </w:r>
    </w:p>
    <w:p w14:paraId="075FF654" w14:textId="77777777" w:rsidR="00DB2B68" w:rsidRDefault="00000000">
      <w:pPr>
        <w:ind w:left="567"/>
      </w:pPr>
      <w:r>
        <w:t xml:space="preserve">Profil de limons : </w:t>
      </w:r>
      <w:r>
        <w:rPr>
          <w:rStyle w:val="optioncarChar"/>
        </w:rPr>
        <w:t>Tube circulaire (CHS) / Tube carré (SHS) / Tube rectangulaire (RHS) / H / I / U</w:t>
      </w:r>
      <w:r>
        <w:t xml:space="preserve"> (par défaut) </w:t>
      </w:r>
      <w:r>
        <w:rPr>
          <w:rStyle w:val="optioncarChar"/>
        </w:rPr>
        <w:t>/ ***.</w:t>
      </w:r>
      <w:r>
        <w:br/>
        <w:t xml:space="preserve">Assemblages à la structure portante : </w:t>
      </w:r>
      <w:r>
        <w:rPr>
          <w:rStyle w:val="optioncarChar"/>
        </w:rPr>
        <w:t>soudés / boulonnés</w:t>
      </w:r>
      <w:r>
        <w:t xml:space="preserve"> (par défaut).</w:t>
      </w:r>
    </w:p>
    <w:p w14:paraId="0779A260" w14:textId="77777777" w:rsidR="00DB2B68" w:rsidRDefault="00000000">
      <w:r>
        <w:rPr>
          <w:i/>
        </w:rPr>
        <w:lastRenderedPageBreak/>
        <w:t>Structure secondaire</w:t>
      </w:r>
    </w:p>
    <w:p w14:paraId="6056F6A5" w14:textId="77777777" w:rsidR="00DB2B68" w:rsidRDefault="00000000">
      <w:pPr>
        <w:ind w:left="567"/>
      </w:pPr>
      <w:r>
        <w:t xml:space="preserve">Profil : </w:t>
      </w:r>
      <w:r>
        <w:rPr>
          <w:rStyle w:val="optioncarChar"/>
        </w:rPr>
        <w:t xml:space="preserve">Tube circulaire (CHS) / Tube carré (SHS) / Tube rectangulaire (RHS) / H / I / U / T </w:t>
      </w:r>
      <w:r>
        <w:t>(par défaut)</w:t>
      </w:r>
      <w:r>
        <w:rPr>
          <w:rStyle w:val="optioncarChar"/>
        </w:rPr>
        <w:t xml:space="preserve"> ***.</w:t>
      </w:r>
      <w:r>
        <w:br/>
        <w:t xml:space="preserve">Assemblages à la structure principale : </w:t>
      </w:r>
      <w:r>
        <w:rPr>
          <w:rStyle w:val="optioncarChar"/>
        </w:rPr>
        <w:t>soudés / boulonnés</w:t>
      </w:r>
      <w:r>
        <w:t xml:space="preserve"> (par défaut).</w:t>
      </w:r>
    </w:p>
    <w:p w14:paraId="0340F382" w14:textId="77777777" w:rsidR="00DB2B68" w:rsidRDefault="00000000">
      <w:r>
        <w:rPr>
          <w:i/>
        </w:rPr>
        <w:t>Contreventements</w:t>
      </w:r>
    </w:p>
    <w:p w14:paraId="6DCA745A" w14:textId="77777777" w:rsidR="00DB2B68" w:rsidRDefault="00000000">
      <w:pPr>
        <w:ind w:left="567"/>
      </w:pPr>
      <w:r>
        <w:t xml:space="preserve">Profil : </w:t>
      </w:r>
      <w:r>
        <w:rPr>
          <w:rStyle w:val="optioncarChar"/>
        </w:rPr>
        <w:t xml:space="preserve">cornière L </w:t>
      </w:r>
      <w:r>
        <w:t>(par défaut)</w:t>
      </w:r>
      <w:r>
        <w:rPr>
          <w:rStyle w:val="optioncarChar"/>
        </w:rPr>
        <w:t xml:space="preserve"> / tiges rondes / câbles / ***</w:t>
      </w:r>
      <w:r>
        <w:t>.</w:t>
      </w:r>
      <w:r>
        <w:br/>
        <w:t>Assemblages à la structure : boulonnés sur des goussets</w:t>
      </w:r>
      <w:r>
        <w:rPr>
          <w:rStyle w:val="optioncarChar"/>
        </w:rPr>
        <w:t xml:space="preserve"> soudés / boulonnés </w:t>
      </w:r>
      <w:r>
        <w:t>(par défaut) à la structure.</w:t>
      </w:r>
    </w:p>
    <w:p w14:paraId="0ADE8E65" w14:textId="77777777" w:rsidR="00DB2B68" w:rsidRDefault="00000000">
      <w:r>
        <w:rPr>
          <w:i/>
        </w:rPr>
        <w:t>Platelage</w:t>
      </w:r>
    </w:p>
    <w:p w14:paraId="17098040" w14:textId="77777777" w:rsidR="00DB2B68" w:rsidRDefault="00000000">
      <w:pPr>
        <w:ind w:left="567"/>
      </w:pPr>
      <w:r>
        <w:t xml:space="preserve">Le platelage est posé : </w:t>
      </w:r>
      <w:r>
        <w:rPr>
          <w:rStyle w:val="optioncarChar"/>
        </w:rPr>
        <w:t>en affleurement aux limons périphériques (pour que la face supérieure soit dans le même plan que le dessus des limons)</w:t>
      </w:r>
      <w:r>
        <w:t xml:space="preserve"> (par défaut) </w:t>
      </w:r>
      <w:r>
        <w:rPr>
          <w:rStyle w:val="optioncarChar"/>
        </w:rPr>
        <w:t>/ sur les limons</w:t>
      </w:r>
      <w:r>
        <w:t>.</w:t>
      </w:r>
    </w:p>
    <w:p w14:paraId="6289DCA2" w14:textId="77777777" w:rsidR="00DB2B68" w:rsidRDefault="00000000">
      <w:r>
        <w:rPr>
          <w:i/>
        </w:rPr>
        <w:t>Garde-corps</w:t>
      </w:r>
    </w:p>
    <w:p w14:paraId="5DE21455" w14:textId="77777777" w:rsidR="00DB2B68" w:rsidRDefault="00000000">
      <w:pPr>
        <w:ind w:left="567"/>
      </w:pPr>
      <w:r>
        <w:t>Les garde-corps sont boulonnés solidement aux limons périphériques.</w:t>
      </w:r>
    </w:p>
    <w:p w14:paraId="4532E6C8" w14:textId="77777777" w:rsidR="00DB2B68" w:rsidRDefault="00000000">
      <w:pPr>
        <w:pStyle w:val="pheading"/>
      </w:pPr>
      <w:r>
        <w:t>- Notes d’exécution complémentaires</w:t>
      </w:r>
    </w:p>
    <w:p w14:paraId="4CCC61B2" w14:textId="77777777" w:rsidR="00DB2B68" w:rsidRDefault="00000000">
      <w:pPr>
        <w:jc w:val="both"/>
      </w:pPr>
      <w:r>
        <w:rPr>
          <w:rStyle w:val="facultChar"/>
        </w:rPr>
        <w:t xml:space="preserve">Le présent article comprend également : </w:t>
      </w:r>
      <w:r>
        <w:rPr>
          <w:rStyle w:val="optioncarChar"/>
        </w:rPr>
        <w:t>les recommandations PMR / les coupures thermiques</w:t>
      </w:r>
      <w:r>
        <w:rPr>
          <w:rStyle w:val="facultChar"/>
        </w:rPr>
        <w:t>.</w:t>
      </w:r>
    </w:p>
    <w:p w14:paraId="57CCB7BD" w14:textId="77777777" w:rsidR="00DB2B68" w:rsidRDefault="00000000">
      <w:pPr>
        <w:pStyle w:val="Author-eListParagraph"/>
        <w:numPr>
          <w:ilvl w:val="0"/>
          <w:numId w:val="767"/>
        </w:numPr>
      </w:pPr>
      <w:r>
        <w:rPr>
          <w:rStyle w:val="facultChar"/>
          <w:u w:val="single"/>
        </w:rPr>
        <w:t>Respect PMR</w:t>
      </w:r>
      <w:r>
        <w:br/>
      </w:r>
      <w:r>
        <w:rPr>
          <w:rStyle w:val="facultChar"/>
        </w:rPr>
        <w:t xml:space="preserve">Les recommandations pour les personnes à mobilité réduite (PMR) du sous-titre </w:t>
      </w:r>
      <w:hyperlink w:anchor="566" w:history="1">
        <w:r>
          <w:rPr>
            <w:rStyle w:val="facultChar"/>
            <w:color w:val="0000EE"/>
          </w:rPr>
          <w:t>23.34 Passerelles et coursives métalliques</w:t>
        </w:r>
      </w:hyperlink>
      <w:r>
        <w:rPr>
          <w:rStyle w:val="facultChar"/>
        </w:rPr>
        <w:t xml:space="preserve"> doivent être respectées.</w:t>
      </w:r>
    </w:p>
    <w:p w14:paraId="63B1B1D6" w14:textId="77777777" w:rsidR="00DB2B68" w:rsidRDefault="00000000">
      <w:pPr>
        <w:pStyle w:val="Author-eListParagraph"/>
        <w:numPr>
          <w:ilvl w:val="0"/>
          <w:numId w:val="768"/>
        </w:numPr>
      </w:pPr>
      <w:r>
        <w:rPr>
          <w:rStyle w:val="facultChar"/>
          <w:u w:val="single"/>
        </w:rPr>
        <w:t>Coupures thermiques</w:t>
      </w:r>
      <w:r>
        <w:br/>
      </w:r>
      <w:r>
        <w:rPr>
          <w:rStyle w:val="facultChar"/>
        </w:rPr>
        <w:t>Des dispositifs adéquats sont utilisés pour éviter tout pont thermique.</w:t>
      </w:r>
    </w:p>
    <w:p w14:paraId="33005953" w14:textId="77777777" w:rsidR="00DB2B68" w:rsidRDefault="00000000">
      <w:pPr>
        <w:pStyle w:val="pheading"/>
      </w:pPr>
      <w:r>
        <w:t>DOCUMENTS DE RÉFÉRENCE COMPLÉMENTAIRES</w:t>
      </w:r>
    </w:p>
    <w:p w14:paraId="2F6FA549" w14:textId="77777777" w:rsidR="00DB2B68" w:rsidRDefault="00000000">
      <w:pPr>
        <w:pStyle w:val="pheading"/>
      </w:pPr>
      <w:r>
        <w:t>- Matériau</w:t>
      </w:r>
    </w:p>
    <w:p w14:paraId="6924BD14" w14:textId="77777777" w:rsidR="00DB2B68" w:rsidRDefault="00000000">
      <w:r>
        <w:t>[NBN EN 10025 série, Produits laminés à chaud en aciers de construction]</w:t>
      </w:r>
    </w:p>
    <w:p w14:paraId="4176A71F" w14:textId="77777777" w:rsidR="00DB2B68" w:rsidRDefault="00000000">
      <w:pPr>
        <w:pStyle w:val="pheading"/>
      </w:pPr>
      <w:r>
        <w:t>MESURAGE</w:t>
      </w:r>
    </w:p>
    <w:p w14:paraId="7FF61797" w14:textId="77777777" w:rsidR="00DB2B68" w:rsidRDefault="00000000">
      <w:pPr>
        <w:pStyle w:val="pheading"/>
      </w:pPr>
      <w:r>
        <w:t>- unité de mesure:</w:t>
      </w:r>
    </w:p>
    <w:p w14:paraId="1EF3F910" w14:textId="77777777" w:rsidR="00DB2B68" w:rsidRDefault="00000000">
      <w:r>
        <w:rPr>
          <w:rStyle w:val="optioncarChar"/>
        </w:rPr>
        <w:t xml:space="preserve">pc </w:t>
      </w:r>
      <w:r>
        <w:t>(par défaut)</w:t>
      </w:r>
      <w:r>
        <w:rPr>
          <w:rStyle w:val="optioncarChar"/>
        </w:rPr>
        <w:t xml:space="preserve">  / m</w:t>
      </w:r>
    </w:p>
    <w:p w14:paraId="10A6A25F" w14:textId="77777777" w:rsidR="00DB2B68" w:rsidRDefault="00000000">
      <w:r>
        <w:rPr>
          <w:b/>
          <w:i/>
        </w:rPr>
        <w:t>(Soit par défaut)</w:t>
      </w:r>
    </w:p>
    <w:p w14:paraId="63AFDBE5" w14:textId="77777777" w:rsidR="00DB2B68" w:rsidRDefault="00000000">
      <w:r>
        <w:rPr>
          <w:rStyle w:val="soitChar"/>
        </w:rPr>
        <w:t>1. pc</w:t>
      </w:r>
      <w:r>
        <w:br/>
      </w:r>
      <w:r>
        <w:rPr>
          <w:b/>
          <w:i/>
        </w:rPr>
        <w:t>(Soit)</w:t>
      </w:r>
    </w:p>
    <w:p w14:paraId="6C93C1AC" w14:textId="77777777" w:rsidR="00DB2B68" w:rsidRDefault="00000000">
      <w:r>
        <w:rPr>
          <w:rStyle w:val="soitChar"/>
        </w:rPr>
        <w:t>2. m</w:t>
      </w:r>
    </w:p>
    <w:p w14:paraId="7B79C962" w14:textId="77777777" w:rsidR="00DB2B68" w:rsidRDefault="00000000">
      <w:pPr>
        <w:pStyle w:val="pheading"/>
      </w:pPr>
      <w:r>
        <w:t>- code de mesurage:</w:t>
      </w:r>
    </w:p>
    <w:p w14:paraId="0A2FB602" w14:textId="77777777" w:rsidR="00DB2B68" w:rsidRDefault="00000000">
      <w:r>
        <w:rPr>
          <w:rStyle w:val="optioncarChar"/>
        </w:rPr>
        <w:t xml:space="preserve">quantité nette </w:t>
      </w:r>
      <w:r>
        <w:t>(par défaut)</w:t>
      </w:r>
      <w:r>
        <w:rPr>
          <w:rStyle w:val="optioncarChar"/>
        </w:rPr>
        <w:t xml:space="preserve"> / longueur nette</w:t>
      </w:r>
    </w:p>
    <w:p w14:paraId="63661283" w14:textId="77777777" w:rsidR="00DB2B68" w:rsidRDefault="00000000">
      <w:r>
        <w:rPr>
          <w:b/>
          <w:i/>
        </w:rPr>
        <w:t>(Soit par défaut)</w:t>
      </w:r>
    </w:p>
    <w:p w14:paraId="5DE116BC" w14:textId="77777777" w:rsidR="00DB2B68" w:rsidRDefault="00000000">
      <w:r>
        <w:rPr>
          <w:rStyle w:val="soitChar"/>
          <w:u w:val="single"/>
        </w:rPr>
        <w:t>1. quantité nette</w:t>
      </w:r>
      <w:r>
        <w:rPr>
          <w:rStyle w:val="soitChar"/>
        </w:rPr>
        <w:t xml:space="preserve"> à mettre en œuvre, ventilée selon la nature des éléments constitutifs et des dimensions.</w:t>
      </w:r>
    </w:p>
    <w:p w14:paraId="1F3220C3" w14:textId="77777777" w:rsidR="00DB2B68" w:rsidRDefault="00000000">
      <w:r>
        <w:rPr>
          <w:b/>
          <w:i/>
        </w:rPr>
        <w:t>(Soit)</w:t>
      </w:r>
    </w:p>
    <w:p w14:paraId="611F92FC" w14:textId="77777777" w:rsidR="00DB2B68" w:rsidRDefault="00000000">
      <w:r>
        <w:rPr>
          <w:rStyle w:val="soitChar"/>
          <w:u w:val="single"/>
        </w:rPr>
        <w:t>2. longueur nette</w:t>
      </w:r>
      <w:r>
        <w:rPr>
          <w:rStyle w:val="soitChar"/>
        </w:rPr>
        <w:t xml:space="preserve"> à mettre en œuvre, ventilée selon la nature des éléments constitutifs.</w:t>
      </w:r>
    </w:p>
    <w:p w14:paraId="1356A597" w14:textId="77777777" w:rsidR="00DB2B68" w:rsidRDefault="00000000">
      <w:pPr>
        <w:pStyle w:val="pheading"/>
      </w:pPr>
      <w:r>
        <w:t>- nature du marché:</w:t>
      </w:r>
    </w:p>
    <w:p w14:paraId="7E1B55BD" w14:textId="77777777" w:rsidR="00DB2B68" w:rsidRDefault="00000000">
      <w:r>
        <w:t>QF</w:t>
      </w:r>
    </w:p>
    <w:p w14:paraId="79B5233A" w14:textId="77777777" w:rsidR="00DB2B68" w:rsidRDefault="00000000">
      <w:pPr>
        <w:pStyle w:val="Author-eSectionHeading5Numberless"/>
      </w:pPr>
      <w:bookmarkStart w:id="1421" w:name="_Toc220496424"/>
      <w:r>
        <w:t>23.34.2 Passerelles et coursives en acier inoxydable CCTB 01.04</w:t>
      </w:r>
      <w:bookmarkEnd w:id="1421"/>
    </w:p>
    <w:p w14:paraId="351553BE" w14:textId="77777777" w:rsidR="00DB2B68" w:rsidRDefault="00000000">
      <w:pPr>
        <w:pStyle w:val="Author-eSectionHeading6Numberless"/>
      </w:pPr>
      <w:bookmarkStart w:id="1422" w:name="_Toc220496425"/>
      <w:r>
        <w:t>23.34.2a Passerelles et coursives en acier inoxydable CCTB 01.04</w:t>
      </w:r>
      <w:bookmarkEnd w:id="1422"/>
    </w:p>
    <w:p w14:paraId="0E3A7A9D" w14:textId="77777777" w:rsidR="00DB2B68" w:rsidRDefault="00000000">
      <w:pPr>
        <w:pStyle w:val="Author-eSectionHeading5Numberless"/>
      </w:pPr>
      <w:bookmarkStart w:id="1423" w:name="568"/>
      <w:bookmarkStart w:id="1424" w:name="_Toc220496426"/>
      <w:bookmarkEnd w:id="1423"/>
      <w:r>
        <w:lastRenderedPageBreak/>
        <w:t>23.34.3 Passerelles et coursives en aluminium CCTB 01.04</w:t>
      </w:r>
      <w:bookmarkEnd w:id="1424"/>
    </w:p>
    <w:p w14:paraId="747EA3A9" w14:textId="77777777" w:rsidR="00DB2B68" w:rsidRDefault="00000000">
      <w:pPr>
        <w:pStyle w:val="Author-eSectionHeading6Numberless"/>
      </w:pPr>
      <w:bookmarkStart w:id="1425" w:name="_Toc220496427"/>
      <w:r>
        <w:t>23.34.3a Passerelles et coursives en aluminium CCTB 01.04</w:t>
      </w:r>
      <w:bookmarkEnd w:id="1425"/>
    </w:p>
    <w:p w14:paraId="3959874D" w14:textId="77777777" w:rsidR="00DB2B68" w:rsidRDefault="00000000">
      <w:pPr>
        <w:pStyle w:val="Author-eSectionHeading4Numberless"/>
      </w:pPr>
      <w:bookmarkStart w:id="1426" w:name="569"/>
      <w:bookmarkStart w:id="1427" w:name="_Toc220496428"/>
      <w:bookmarkEnd w:id="1426"/>
      <w:r>
        <w:t>23.35 Auvents métalliques CCTB 01.02</w:t>
      </w:r>
      <w:bookmarkEnd w:id="1427"/>
    </w:p>
    <w:p w14:paraId="3AA86705" w14:textId="77777777" w:rsidR="00DB2B68" w:rsidRDefault="00000000">
      <w:pPr>
        <w:pStyle w:val="Author-eSectionHeading5Numberless"/>
      </w:pPr>
      <w:bookmarkStart w:id="1428" w:name="_Toc220496429"/>
      <w:r>
        <w:t>23.35.1 Auvents métalliques en acier CCTB 01.04</w:t>
      </w:r>
      <w:bookmarkEnd w:id="1428"/>
    </w:p>
    <w:p w14:paraId="698500AF" w14:textId="77777777" w:rsidR="00DB2B68" w:rsidRDefault="00000000">
      <w:pPr>
        <w:pStyle w:val="Author-eSectionHeading6Numberless"/>
      </w:pPr>
      <w:bookmarkStart w:id="1429" w:name="_Toc220496430"/>
      <w:r>
        <w:t>23.35.1a Auvents métalliques en acier CCTB 01.04</w:t>
      </w:r>
      <w:bookmarkEnd w:id="1429"/>
    </w:p>
    <w:p w14:paraId="2E78198F" w14:textId="77777777" w:rsidR="00DB2B68" w:rsidRDefault="00000000">
      <w:pPr>
        <w:pStyle w:val="Author-eSectionHeading5Numberless"/>
      </w:pPr>
      <w:bookmarkStart w:id="1430" w:name="_Toc220496431"/>
      <w:r>
        <w:t>23.35.2 Auvents métalliques en acier inoxydable CCTB 01.04</w:t>
      </w:r>
      <w:bookmarkEnd w:id="1430"/>
    </w:p>
    <w:p w14:paraId="50795093" w14:textId="77777777" w:rsidR="00DB2B68" w:rsidRDefault="00000000">
      <w:pPr>
        <w:pStyle w:val="Author-eSectionHeading6Numberless"/>
      </w:pPr>
      <w:bookmarkStart w:id="1431" w:name="_Toc220496432"/>
      <w:r>
        <w:t>23.35.2a Auvents métalliques en acier inoxydable CCTB 01.04</w:t>
      </w:r>
      <w:bookmarkEnd w:id="1431"/>
    </w:p>
    <w:p w14:paraId="5914F822" w14:textId="77777777" w:rsidR="00DB2B68" w:rsidRDefault="00000000">
      <w:pPr>
        <w:pStyle w:val="Author-eSectionHeading5Numberless"/>
      </w:pPr>
      <w:bookmarkStart w:id="1432" w:name="_Toc220496433"/>
      <w:r>
        <w:t>23.35.3 Auvents métalliques en aluminium CCTB 01.04</w:t>
      </w:r>
      <w:bookmarkEnd w:id="1432"/>
    </w:p>
    <w:p w14:paraId="14801D4D" w14:textId="77777777" w:rsidR="00DB2B68" w:rsidRDefault="00000000">
      <w:pPr>
        <w:pStyle w:val="Author-eSectionHeading6Numberless"/>
      </w:pPr>
      <w:bookmarkStart w:id="1433" w:name="_Toc220496434"/>
      <w:r>
        <w:t>23.35.3a Auvents métalliques en aluminium CCTB 01.04</w:t>
      </w:r>
      <w:bookmarkEnd w:id="1433"/>
    </w:p>
    <w:p w14:paraId="11F0CA7F" w14:textId="77777777" w:rsidR="00DB2B68" w:rsidRDefault="00000000">
      <w:pPr>
        <w:pStyle w:val="Author-eSectionHeading3Numberless"/>
      </w:pPr>
      <w:bookmarkStart w:id="1434" w:name="_Toc220496435"/>
      <w:r>
        <w:t>23.4 Eléments particuliers pour structures métalliques CCTB 01.04</w:t>
      </w:r>
      <w:bookmarkEnd w:id="1434"/>
    </w:p>
    <w:p w14:paraId="5D953477" w14:textId="77777777" w:rsidR="00DB2B68" w:rsidRDefault="00000000">
      <w:pPr>
        <w:pStyle w:val="Author-eSectionHeading4Numberless"/>
      </w:pPr>
      <w:bookmarkStart w:id="1435" w:name="_Toc220496436"/>
      <w:r>
        <w:t>23.41 Socles métalliques CCTB 01.04</w:t>
      </w:r>
      <w:bookmarkEnd w:id="1435"/>
    </w:p>
    <w:p w14:paraId="400A9A43" w14:textId="77777777" w:rsidR="00DB2B68" w:rsidRDefault="00000000">
      <w:pPr>
        <w:pStyle w:val="pheading"/>
      </w:pPr>
      <w:r>
        <w:t>DESCRIPTION</w:t>
      </w:r>
    </w:p>
    <w:p w14:paraId="71CCDECB" w14:textId="77777777" w:rsidR="00DB2B68" w:rsidRDefault="00000000">
      <w:pPr>
        <w:pStyle w:val="pheading"/>
      </w:pPr>
      <w:r>
        <w:t>- Définition / Comprend</w:t>
      </w:r>
    </w:p>
    <w:p w14:paraId="5B8C0582" w14:textId="77777777" w:rsidR="00DB2B68" w:rsidRDefault="00DB2B68"/>
    <w:p w14:paraId="25BC3E7E" w14:textId="77777777" w:rsidR="00DB2B68" w:rsidRDefault="00000000">
      <w:pPr>
        <w:pStyle w:val="Author-eSectionHeading5Numberless"/>
      </w:pPr>
      <w:bookmarkStart w:id="1436" w:name="_Toc220496437"/>
      <w:r>
        <w:t>23.41.1 Socles en acier CCTB 01.02</w:t>
      </w:r>
      <w:bookmarkEnd w:id="1436"/>
    </w:p>
    <w:p w14:paraId="41B641B0" w14:textId="77777777" w:rsidR="00DB2B68" w:rsidRDefault="00000000">
      <w:pPr>
        <w:pStyle w:val="Author-eSectionHeading6Numberless"/>
      </w:pPr>
      <w:bookmarkStart w:id="1437" w:name="_Toc220496438"/>
      <w:r>
        <w:t>23.41.1a Socles en acier CCTB 01.02</w:t>
      </w:r>
      <w:bookmarkEnd w:id="1437"/>
    </w:p>
    <w:p w14:paraId="0802D595" w14:textId="77777777" w:rsidR="00DB2B68" w:rsidRDefault="00000000">
      <w:pPr>
        <w:pStyle w:val="Author-eSectionHeading5Numberless"/>
      </w:pPr>
      <w:bookmarkStart w:id="1438" w:name="_Toc220496439"/>
      <w:r>
        <w:t>23.41.2 Socles en acier inoxydable CCTB 01.04</w:t>
      </w:r>
      <w:bookmarkEnd w:id="1438"/>
    </w:p>
    <w:p w14:paraId="6FC86408" w14:textId="77777777" w:rsidR="00DB2B68" w:rsidRDefault="00000000">
      <w:pPr>
        <w:pStyle w:val="Author-eSectionHeading6Numberless"/>
      </w:pPr>
      <w:bookmarkStart w:id="1439" w:name="_Toc220496440"/>
      <w:r>
        <w:t>23.41.2a Socles en acier inoxydable CCTB 01.04</w:t>
      </w:r>
      <w:bookmarkEnd w:id="1439"/>
    </w:p>
    <w:p w14:paraId="75B27BDE" w14:textId="77777777" w:rsidR="00DB2B68" w:rsidRDefault="00000000">
      <w:pPr>
        <w:pStyle w:val="Author-eSectionHeading5Numberless"/>
      </w:pPr>
      <w:bookmarkStart w:id="1440" w:name="_Toc220496441"/>
      <w:r>
        <w:t>23.41.3 Socles en aluminium CCTB 01.04</w:t>
      </w:r>
      <w:bookmarkEnd w:id="1440"/>
    </w:p>
    <w:p w14:paraId="5B46E251" w14:textId="77777777" w:rsidR="00DB2B68" w:rsidRDefault="00000000">
      <w:pPr>
        <w:pStyle w:val="Author-eSectionHeading6Numberless"/>
      </w:pPr>
      <w:bookmarkStart w:id="1441" w:name="_Toc220496442"/>
      <w:r>
        <w:t>23.41.3a Socles en aluminium CCTB 01.04</w:t>
      </w:r>
      <w:bookmarkEnd w:id="1441"/>
    </w:p>
    <w:p w14:paraId="49652234" w14:textId="77777777" w:rsidR="00DB2B68" w:rsidRDefault="00000000">
      <w:pPr>
        <w:pStyle w:val="Author-eSectionHeading4Numberless"/>
      </w:pPr>
      <w:bookmarkStart w:id="1442" w:name="_Toc220496443"/>
      <w:r>
        <w:t>23.42 Pièces d'appui métalliques CCTB 01.04</w:t>
      </w:r>
      <w:bookmarkEnd w:id="1442"/>
    </w:p>
    <w:p w14:paraId="47DE0A7E" w14:textId="77777777" w:rsidR="00DB2B68" w:rsidRDefault="00000000">
      <w:pPr>
        <w:pStyle w:val="pheading"/>
      </w:pPr>
      <w:r>
        <w:t>DESCRIPTION</w:t>
      </w:r>
    </w:p>
    <w:p w14:paraId="2C45694E" w14:textId="77777777" w:rsidR="00DB2B68" w:rsidRDefault="00000000">
      <w:pPr>
        <w:pStyle w:val="pheading"/>
      </w:pPr>
      <w:r>
        <w:t>- Définition / Comprend</w:t>
      </w:r>
    </w:p>
    <w:p w14:paraId="7DE58D87" w14:textId="77777777" w:rsidR="00DB2B68" w:rsidRDefault="00DB2B68"/>
    <w:p w14:paraId="6A737D16" w14:textId="77777777" w:rsidR="00DB2B68" w:rsidRDefault="00000000">
      <w:pPr>
        <w:pStyle w:val="Author-eSectionHeading5Numberless"/>
      </w:pPr>
      <w:bookmarkStart w:id="1443" w:name="_Toc220496444"/>
      <w:r>
        <w:t>23.42.1 Pièces d'appui en acier CCTB 01.02</w:t>
      </w:r>
      <w:bookmarkEnd w:id="1443"/>
    </w:p>
    <w:p w14:paraId="6B92975F" w14:textId="77777777" w:rsidR="00DB2B68" w:rsidRDefault="00000000">
      <w:pPr>
        <w:pStyle w:val="Author-eSectionHeading6Numberless"/>
      </w:pPr>
      <w:bookmarkStart w:id="1444" w:name="_Toc220496445"/>
      <w:r>
        <w:t>23.42.1a Consoles en acier CCTB 01.02</w:t>
      </w:r>
      <w:bookmarkEnd w:id="1444"/>
    </w:p>
    <w:p w14:paraId="71C6044E" w14:textId="77777777" w:rsidR="00DB2B68" w:rsidRDefault="00000000">
      <w:pPr>
        <w:pStyle w:val="Author-eSectionHeading6Numberless"/>
      </w:pPr>
      <w:bookmarkStart w:id="1445" w:name="_Toc220496446"/>
      <w:r>
        <w:t>23.42.1b Potelets en acier CCTB 01.02</w:t>
      </w:r>
      <w:bookmarkEnd w:id="1445"/>
    </w:p>
    <w:p w14:paraId="54A01AA6" w14:textId="77777777" w:rsidR="00DB2B68" w:rsidRDefault="00000000">
      <w:pPr>
        <w:pStyle w:val="Author-eSectionHeading5Numberless"/>
      </w:pPr>
      <w:bookmarkStart w:id="1446" w:name="_Toc220496447"/>
      <w:r>
        <w:t>23.42.2 Pièces d'appui en acier inoxydable CCTB 01.04</w:t>
      </w:r>
      <w:bookmarkEnd w:id="1446"/>
    </w:p>
    <w:p w14:paraId="1D2B24F4" w14:textId="77777777" w:rsidR="00DB2B68" w:rsidRDefault="00000000">
      <w:pPr>
        <w:pStyle w:val="Author-eSectionHeading6Numberless"/>
      </w:pPr>
      <w:bookmarkStart w:id="1447" w:name="_Toc220496448"/>
      <w:r>
        <w:t>23.42.2a Consoles en acier inoxydable CCTB 01.04</w:t>
      </w:r>
      <w:bookmarkEnd w:id="1447"/>
    </w:p>
    <w:p w14:paraId="1B356588" w14:textId="77777777" w:rsidR="00DB2B68" w:rsidRDefault="00000000">
      <w:pPr>
        <w:pStyle w:val="Author-eSectionHeading6Numberless"/>
      </w:pPr>
      <w:bookmarkStart w:id="1448" w:name="_Toc220496449"/>
      <w:r>
        <w:t>23.42.2b Potelets en acier inoxydable CCTB 01.04</w:t>
      </w:r>
      <w:bookmarkEnd w:id="1448"/>
    </w:p>
    <w:p w14:paraId="6A84D16B" w14:textId="77777777" w:rsidR="00DB2B68" w:rsidRDefault="00000000">
      <w:pPr>
        <w:pStyle w:val="Author-eSectionHeading5Numberless"/>
      </w:pPr>
      <w:bookmarkStart w:id="1449" w:name="_Toc220496450"/>
      <w:r>
        <w:t>23.42.3 Pièces d'appui en aluminium CCTB 01.04</w:t>
      </w:r>
      <w:bookmarkEnd w:id="1449"/>
    </w:p>
    <w:p w14:paraId="0462ECDC" w14:textId="77777777" w:rsidR="00DB2B68" w:rsidRDefault="00000000">
      <w:pPr>
        <w:pStyle w:val="Author-eSectionHeading6Numberless"/>
      </w:pPr>
      <w:bookmarkStart w:id="1450" w:name="_Toc220496451"/>
      <w:r>
        <w:t>23.42.3a Consoles en aluminium CCTB 01.04</w:t>
      </w:r>
      <w:bookmarkEnd w:id="1450"/>
    </w:p>
    <w:p w14:paraId="6225787B" w14:textId="77777777" w:rsidR="00DB2B68" w:rsidRDefault="00000000">
      <w:pPr>
        <w:pStyle w:val="Author-eSectionHeading6Numberless"/>
      </w:pPr>
      <w:bookmarkStart w:id="1451" w:name="_Toc220496452"/>
      <w:r>
        <w:lastRenderedPageBreak/>
        <w:t>23.42.3b Potelets en aluminium CCTB 01.04</w:t>
      </w:r>
      <w:bookmarkEnd w:id="1451"/>
    </w:p>
    <w:p w14:paraId="528BE83D" w14:textId="77777777" w:rsidR="00DB2B68" w:rsidRDefault="00000000">
      <w:pPr>
        <w:pStyle w:val="Author-eSectionHeading4Numberless"/>
      </w:pPr>
      <w:bookmarkStart w:id="1452" w:name="_Toc220496453"/>
      <w:r>
        <w:t>23.43 Pièces d'appui non métalliques CCTB 01.04</w:t>
      </w:r>
      <w:bookmarkEnd w:id="1452"/>
    </w:p>
    <w:p w14:paraId="5C595908" w14:textId="77777777" w:rsidR="00DB2B68" w:rsidRDefault="00000000">
      <w:pPr>
        <w:pStyle w:val="Author-eSectionHeading5Numberless"/>
      </w:pPr>
      <w:bookmarkStart w:id="1453" w:name="_Toc220496454"/>
      <w:r>
        <w:t>23.43.1 Pièces d'appui synthétiques CCTB 01.04</w:t>
      </w:r>
      <w:bookmarkEnd w:id="1453"/>
    </w:p>
    <w:p w14:paraId="6AB95ED2" w14:textId="77777777" w:rsidR="00DB2B68" w:rsidRDefault="00000000">
      <w:pPr>
        <w:pStyle w:val="Author-eSectionHeading6Numberless"/>
      </w:pPr>
      <w:bookmarkStart w:id="1454" w:name="_Toc220496455"/>
      <w:r>
        <w:t>23.43.1a Pièces d'appui néoprène CCTB 01.04</w:t>
      </w:r>
      <w:bookmarkEnd w:id="1454"/>
    </w:p>
    <w:p w14:paraId="6477931A" w14:textId="77777777" w:rsidR="00DB2B68" w:rsidRDefault="00000000">
      <w:pPr>
        <w:pStyle w:val="Author-eSectionHeading4Numberless"/>
      </w:pPr>
      <w:bookmarkStart w:id="1455" w:name="_Toc220496456"/>
      <w:r>
        <w:t>23.44 Ancrages de structures métalliques CCTB 01.04</w:t>
      </w:r>
      <w:bookmarkEnd w:id="1455"/>
    </w:p>
    <w:p w14:paraId="5A532D1A" w14:textId="77777777" w:rsidR="00DB2B68" w:rsidRDefault="00000000">
      <w:pPr>
        <w:pStyle w:val="Author-eSectionHeading5Numberless"/>
      </w:pPr>
      <w:bookmarkStart w:id="1456" w:name="_Toc220496457"/>
      <w:r>
        <w:t>23.44.1 Ancrages de structures en acier CCTB 01.02</w:t>
      </w:r>
      <w:bookmarkEnd w:id="1456"/>
    </w:p>
    <w:p w14:paraId="43F6246C" w14:textId="77777777" w:rsidR="00DB2B68" w:rsidRDefault="00000000">
      <w:pPr>
        <w:pStyle w:val="Author-eSectionHeading6Numberless"/>
      </w:pPr>
      <w:bookmarkStart w:id="1457" w:name="_Toc220496458"/>
      <w:r>
        <w:t>23.44.1a Ancrages de structures en acier CCTB 01.02</w:t>
      </w:r>
      <w:bookmarkEnd w:id="1457"/>
    </w:p>
    <w:p w14:paraId="54E0253D" w14:textId="77777777" w:rsidR="00DB2B68" w:rsidRDefault="00000000">
      <w:pPr>
        <w:pStyle w:val="Author-eSectionHeading5Numberless"/>
      </w:pPr>
      <w:bookmarkStart w:id="1458" w:name="_Toc220496459"/>
      <w:r>
        <w:t>23.44.2 Ancrages de structures en acier inoxydable CCTB 01.04</w:t>
      </w:r>
      <w:bookmarkEnd w:id="1458"/>
    </w:p>
    <w:p w14:paraId="3601857B" w14:textId="77777777" w:rsidR="00DB2B68" w:rsidRDefault="00000000">
      <w:pPr>
        <w:pStyle w:val="Author-eSectionHeading6Numberless"/>
      </w:pPr>
      <w:bookmarkStart w:id="1459" w:name="_Toc220496460"/>
      <w:r>
        <w:t>23.44.2a Ancrages de structures en acier inoxydable CCTB 01.04</w:t>
      </w:r>
      <w:bookmarkEnd w:id="1459"/>
    </w:p>
    <w:p w14:paraId="736A7DDF" w14:textId="77777777" w:rsidR="00DB2B68" w:rsidRDefault="00000000">
      <w:pPr>
        <w:pStyle w:val="Author-eSectionHeading5Numberless"/>
      </w:pPr>
      <w:bookmarkStart w:id="1460" w:name="_Toc220496461"/>
      <w:r>
        <w:t>23.44.3 Ancrages de structures en aluminium CCTB 01.04</w:t>
      </w:r>
      <w:bookmarkEnd w:id="1460"/>
    </w:p>
    <w:p w14:paraId="576BCB12" w14:textId="77777777" w:rsidR="00DB2B68" w:rsidRDefault="00000000">
      <w:pPr>
        <w:pStyle w:val="Author-eSectionHeading6Numberless"/>
      </w:pPr>
      <w:bookmarkStart w:id="1461" w:name="_Toc220496462"/>
      <w:r>
        <w:t>23.44.3a Ancrages de structures en aluminium CCTB 01.04</w:t>
      </w:r>
      <w:bookmarkEnd w:id="1461"/>
    </w:p>
    <w:p w14:paraId="5D5A6381" w14:textId="77777777" w:rsidR="00DB2B68" w:rsidRDefault="00000000">
      <w:pPr>
        <w:pStyle w:val="Author-eSectionHeading4Numberless"/>
      </w:pPr>
      <w:bookmarkStart w:id="1462" w:name="_Toc220496463"/>
      <w:r>
        <w:t>23.45 Contreventements de structures métalliques CCTB 01.04</w:t>
      </w:r>
      <w:bookmarkEnd w:id="1462"/>
    </w:p>
    <w:p w14:paraId="6FA83044" w14:textId="77777777" w:rsidR="00DB2B68" w:rsidRDefault="00000000">
      <w:pPr>
        <w:pStyle w:val="Author-eSectionHeading5Numberless"/>
      </w:pPr>
      <w:bookmarkStart w:id="1463" w:name="_Toc220496464"/>
      <w:r>
        <w:t>23.45.1 Contreventements en acier CCTB 01.02</w:t>
      </w:r>
      <w:bookmarkEnd w:id="1463"/>
    </w:p>
    <w:p w14:paraId="225089D4" w14:textId="77777777" w:rsidR="00DB2B68" w:rsidRDefault="00000000">
      <w:pPr>
        <w:pStyle w:val="Author-eSectionHeading6Numberless"/>
      </w:pPr>
      <w:bookmarkStart w:id="1464" w:name="_Toc220496465"/>
      <w:r>
        <w:t>23.45.1a Contreventements en acier - profilés CCTB 01.02</w:t>
      </w:r>
      <w:bookmarkEnd w:id="1464"/>
    </w:p>
    <w:p w14:paraId="06C45DDD" w14:textId="77777777" w:rsidR="00DB2B68" w:rsidRDefault="00000000">
      <w:pPr>
        <w:pStyle w:val="Author-eSectionHeading6Numberless"/>
      </w:pPr>
      <w:bookmarkStart w:id="1465" w:name="_Toc220496466"/>
      <w:r>
        <w:t>23.45.1b Contreventements en acier - câbles tendeurs CCTB 01.02</w:t>
      </w:r>
      <w:bookmarkEnd w:id="1465"/>
    </w:p>
    <w:p w14:paraId="3651A494" w14:textId="77777777" w:rsidR="00DB2B68" w:rsidRDefault="00000000">
      <w:pPr>
        <w:pStyle w:val="Author-eSectionHeading5Numberless"/>
      </w:pPr>
      <w:bookmarkStart w:id="1466" w:name="_Toc220496467"/>
      <w:r>
        <w:t>23.45.2 Contreventements en acier inoxydable CCTB 01.04</w:t>
      </w:r>
      <w:bookmarkEnd w:id="1466"/>
    </w:p>
    <w:p w14:paraId="75238B91" w14:textId="77777777" w:rsidR="00DB2B68" w:rsidRDefault="00000000">
      <w:pPr>
        <w:pStyle w:val="Author-eSectionHeading6Numberless"/>
      </w:pPr>
      <w:bookmarkStart w:id="1467" w:name="_Toc220496468"/>
      <w:r>
        <w:t>23.45.2a Contreventements en acier inoxydable - profilés CCTB 01.04</w:t>
      </w:r>
      <w:bookmarkEnd w:id="1467"/>
    </w:p>
    <w:p w14:paraId="6FAE36A7" w14:textId="77777777" w:rsidR="00DB2B68" w:rsidRDefault="00000000">
      <w:pPr>
        <w:pStyle w:val="Author-eSectionHeading6Numberless"/>
      </w:pPr>
      <w:bookmarkStart w:id="1468" w:name="_Toc220496469"/>
      <w:r>
        <w:t>23.45.2b Contreventements en acier inoxydable - câbles tendeurs CCTB 01.04</w:t>
      </w:r>
      <w:bookmarkEnd w:id="1468"/>
    </w:p>
    <w:p w14:paraId="0973A3FA" w14:textId="77777777" w:rsidR="00DB2B68" w:rsidRDefault="00000000">
      <w:pPr>
        <w:pStyle w:val="Author-eSectionHeading4Numberless"/>
      </w:pPr>
      <w:bookmarkStart w:id="1469" w:name="_Toc220496470"/>
      <w:r>
        <w:t>23.46 Câbles, barres et chaînes métalliques CCTB 01.11</w:t>
      </w:r>
      <w:bookmarkEnd w:id="1469"/>
    </w:p>
    <w:p w14:paraId="34665250" w14:textId="77777777" w:rsidR="00DB2B68" w:rsidRDefault="00000000">
      <w:pPr>
        <w:pStyle w:val="pheading"/>
      </w:pPr>
      <w:r>
        <w:t>DESCRIPTION</w:t>
      </w:r>
    </w:p>
    <w:p w14:paraId="54708C25" w14:textId="77777777" w:rsidR="00DB2B68" w:rsidRDefault="00000000">
      <w:pPr>
        <w:pStyle w:val="pheading"/>
      </w:pPr>
      <w:r>
        <w:t>- Définition / Comprend</w:t>
      </w:r>
    </w:p>
    <w:p w14:paraId="7CBD5369" w14:textId="77777777" w:rsidR="00DB2B68" w:rsidRDefault="00000000">
      <w:r>
        <w:t>Il s'agit :</w:t>
      </w:r>
    </w:p>
    <w:p w14:paraId="0635D989" w14:textId="77777777" w:rsidR="00DB2B68" w:rsidRDefault="00000000">
      <w:r>
        <w:t xml:space="preserve">- des câbles tendeurs, composés de fils d'acier </w:t>
      </w:r>
      <w:r>
        <w:rPr>
          <w:rStyle w:val="optioncarChar"/>
        </w:rPr>
        <w:t>tressés </w:t>
      </w:r>
      <w:r>
        <w:t>(par défaut)</w:t>
      </w:r>
      <w:r>
        <w:rPr>
          <w:rStyle w:val="optioncarChar"/>
        </w:rPr>
        <w:t xml:space="preserve"> / ***</w:t>
      </w:r>
      <w:r>
        <w:t>, répondant à la norme [NBN I 04-001/A1].</w:t>
      </w:r>
    </w:p>
    <w:p w14:paraId="5AE70FF2" w14:textId="77777777" w:rsidR="00DB2B68" w:rsidRDefault="00000000">
      <w:r>
        <w:t>- des barres plates, carrées, rondes et hexagonales répondant respectivement aux normes [NBN EN 10058], [NBN EN 10059], [NBN EN 10060] et [NBN EN 10061]</w:t>
      </w:r>
    </w:p>
    <w:p w14:paraId="6D5B9313" w14:textId="77777777" w:rsidR="00DB2B68" w:rsidRDefault="00000000">
      <w:r>
        <w:t>- des chaînes à maillot courts repris dans la série des normes [NBN EN 818 série]</w:t>
      </w:r>
    </w:p>
    <w:p w14:paraId="6D2629C6" w14:textId="77777777" w:rsidR="00DB2B68" w:rsidRDefault="00000000">
      <w:r>
        <w:t>Ils sont préfabriqués en usine et reliés sur chantier aux constructions déjà exécutées. Ils sont uniquement destinés à reprendre les tractions dans les constructions mises sous tension en diagonale ou dans les constructions à charnière (par ex. les contreventements)</w:t>
      </w:r>
    </w:p>
    <w:p w14:paraId="6C1D8418" w14:textId="77777777" w:rsidR="00DB2B68" w:rsidRDefault="00000000">
      <w:pPr>
        <w:pStyle w:val="pheading"/>
      </w:pPr>
      <w:r>
        <w:t>MATÉRIAUX</w:t>
      </w:r>
    </w:p>
    <w:p w14:paraId="43616D9A" w14:textId="77777777" w:rsidR="00DB2B68" w:rsidRDefault="00000000">
      <w:pPr>
        <w:pStyle w:val="heading"/>
      </w:pPr>
      <w:r>
        <w:t>Spécifications</w:t>
      </w:r>
    </w:p>
    <w:p w14:paraId="0BB6818B" w14:textId="77777777" w:rsidR="00DB2B68" w:rsidRDefault="00000000">
      <w:r>
        <w:t xml:space="preserve">Nuance d'acier :  </w:t>
      </w:r>
      <w:r>
        <w:rPr>
          <w:rStyle w:val="optioncarChar"/>
        </w:rPr>
        <w:t>***</w:t>
      </w:r>
    </w:p>
    <w:p w14:paraId="739467BE" w14:textId="77777777" w:rsidR="00DB2B68" w:rsidRDefault="00000000">
      <w:r>
        <w:t xml:space="preserve">Composition : </w:t>
      </w:r>
      <w:r>
        <w:rPr>
          <w:rStyle w:val="optioncarChar"/>
        </w:rPr>
        <w:t>***</w:t>
      </w:r>
    </w:p>
    <w:p w14:paraId="1F5CD159" w14:textId="77777777" w:rsidR="00DB2B68" w:rsidRDefault="00000000">
      <w:r>
        <w:t xml:space="preserve">Qualité (soudabilité) : </w:t>
      </w:r>
      <w:r>
        <w:rPr>
          <w:rStyle w:val="optioncarChar"/>
        </w:rPr>
        <w:t>***</w:t>
      </w:r>
    </w:p>
    <w:p w14:paraId="46D7F768" w14:textId="77777777" w:rsidR="00DB2B68" w:rsidRDefault="00000000">
      <w:r>
        <w:t>Diamètre :</w:t>
      </w:r>
      <w:r>
        <w:rPr>
          <w:rStyle w:val="optioncarChar"/>
        </w:rPr>
        <w:t>M 10 </w:t>
      </w:r>
      <w:r>
        <w:t>(par défaut)</w:t>
      </w:r>
      <w:r>
        <w:rPr>
          <w:rStyle w:val="optioncarChar"/>
        </w:rPr>
        <w:t xml:space="preserve"> / M 12 / M 16 / M 20 / M 24 / M 27 / M 30 / M 36 / M42 / M 52 / ***</w:t>
      </w:r>
    </w:p>
    <w:p w14:paraId="663B33D6" w14:textId="77777777" w:rsidR="00DB2B68" w:rsidRDefault="00000000">
      <w:pPr>
        <w:pStyle w:val="pheading"/>
      </w:pPr>
      <w:r>
        <w:lastRenderedPageBreak/>
        <w:t>EXÉCUTION / MISE EN ŒUVRE</w:t>
      </w:r>
    </w:p>
    <w:p w14:paraId="08407788" w14:textId="77777777" w:rsidR="00DB2B68" w:rsidRDefault="00000000">
      <w:r>
        <w:t>Etude de stabilité : </w:t>
      </w:r>
      <w:r>
        <w:rPr>
          <w:rStyle w:val="optioncarChar"/>
        </w:rPr>
        <w:t xml:space="preserve">à charge de l'entrepreneur </w:t>
      </w:r>
      <w:r>
        <w:t>(par défaut) </w:t>
      </w:r>
      <w:r>
        <w:rPr>
          <w:rStyle w:val="optioncarChar"/>
        </w:rPr>
        <w:t>/ selon l'étude annexée aux documents d'exécution / ***</w:t>
      </w:r>
      <w:r>
        <w:t xml:space="preserve"> .</w:t>
      </w:r>
    </w:p>
    <w:p w14:paraId="2C364744" w14:textId="77777777" w:rsidR="00DB2B68" w:rsidRDefault="00000000">
      <w:pPr>
        <w:pStyle w:val="Author-eSectionHeading5Numberless"/>
      </w:pPr>
      <w:bookmarkStart w:id="1470" w:name="_Toc220496471"/>
      <w:r>
        <w:t>23.46.1 Câbles en acier CCTB 01.02</w:t>
      </w:r>
      <w:bookmarkEnd w:id="1470"/>
    </w:p>
    <w:p w14:paraId="3958D1A6" w14:textId="77777777" w:rsidR="00DB2B68" w:rsidRDefault="00000000">
      <w:pPr>
        <w:pStyle w:val="Author-eSectionHeading6Numberless"/>
      </w:pPr>
      <w:bookmarkStart w:id="1471" w:name="519"/>
      <w:bookmarkStart w:id="1472" w:name="_Toc220496472"/>
      <w:bookmarkEnd w:id="1471"/>
      <w:r>
        <w:t>23.46.1a Câbles en acier CCTB 01.04</w:t>
      </w:r>
      <w:bookmarkEnd w:id="1472"/>
    </w:p>
    <w:p w14:paraId="1F6F8DE5" w14:textId="77777777" w:rsidR="00DB2B68" w:rsidRDefault="00000000">
      <w:pPr>
        <w:pStyle w:val="Author-eSectionHeading5Numberless"/>
      </w:pPr>
      <w:bookmarkStart w:id="1473" w:name="_Toc220496473"/>
      <w:r>
        <w:t>23.46.2 Câbles en acier inoxydable CCTB 01.04</w:t>
      </w:r>
      <w:bookmarkEnd w:id="1473"/>
    </w:p>
    <w:p w14:paraId="15A353B3" w14:textId="77777777" w:rsidR="00DB2B68" w:rsidRDefault="00000000">
      <w:pPr>
        <w:pStyle w:val="Author-eSectionHeading6Numberless"/>
      </w:pPr>
      <w:bookmarkStart w:id="1474" w:name="_Toc220496474"/>
      <w:r>
        <w:t>23.46.2a Câbles en acier inoxydable CCTB 01.04</w:t>
      </w:r>
      <w:bookmarkEnd w:id="1474"/>
    </w:p>
    <w:p w14:paraId="35CEB4C6" w14:textId="77777777" w:rsidR="00DB2B68" w:rsidRDefault="00000000">
      <w:pPr>
        <w:pStyle w:val="Author-eSectionHeading5Numberless"/>
      </w:pPr>
      <w:bookmarkStart w:id="1475" w:name="_Toc220496475"/>
      <w:r>
        <w:t>23.46.3 Barres en acier CCTB 01.02</w:t>
      </w:r>
      <w:bookmarkEnd w:id="1475"/>
    </w:p>
    <w:p w14:paraId="55F9D2FD" w14:textId="77777777" w:rsidR="00DB2B68" w:rsidRDefault="00000000">
      <w:pPr>
        <w:pStyle w:val="Author-eSectionHeading6Numberless"/>
      </w:pPr>
      <w:bookmarkStart w:id="1476" w:name="520"/>
      <w:bookmarkStart w:id="1477" w:name="_Toc220496476"/>
      <w:bookmarkEnd w:id="1476"/>
      <w:r>
        <w:t>23.46.3a Barres en acier CCTB 01.02</w:t>
      </w:r>
      <w:bookmarkEnd w:id="1477"/>
    </w:p>
    <w:p w14:paraId="6C20238D" w14:textId="77777777" w:rsidR="00DB2B68" w:rsidRDefault="00000000">
      <w:pPr>
        <w:pStyle w:val="Author-eSectionHeading5Numberless"/>
      </w:pPr>
      <w:bookmarkStart w:id="1478" w:name="_Toc220496477"/>
      <w:r>
        <w:t>23.46.4 Barres en acier inoxydable CCTB 01.04</w:t>
      </w:r>
      <w:bookmarkEnd w:id="1478"/>
    </w:p>
    <w:p w14:paraId="2800CACA" w14:textId="77777777" w:rsidR="00DB2B68" w:rsidRDefault="00000000">
      <w:pPr>
        <w:pStyle w:val="Author-eSectionHeading6Numberless"/>
      </w:pPr>
      <w:bookmarkStart w:id="1479" w:name="_Toc220496478"/>
      <w:r>
        <w:t>23.46.4a Barres en acier inoxydable CCTB 01.04</w:t>
      </w:r>
      <w:bookmarkEnd w:id="1479"/>
    </w:p>
    <w:p w14:paraId="417076E2" w14:textId="77777777" w:rsidR="00DB2B68" w:rsidRDefault="00000000">
      <w:pPr>
        <w:pStyle w:val="Author-eSectionHeading5Numberless"/>
      </w:pPr>
      <w:bookmarkStart w:id="1480" w:name="_Toc220496479"/>
      <w:r>
        <w:t>23.46.5 Barres en aluminium CCTB 01.04</w:t>
      </w:r>
      <w:bookmarkEnd w:id="1480"/>
    </w:p>
    <w:p w14:paraId="128D8B3B" w14:textId="77777777" w:rsidR="00DB2B68" w:rsidRDefault="00000000">
      <w:pPr>
        <w:pStyle w:val="Author-eSectionHeading6Numberless"/>
      </w:pPr>
      <w:bookmarkStart w:id="1481" w:name="_Toc220496480"/>
      <w:r>
        <w:t>23.46.5a Barres en aluminium CCTB 01.04</w:t>
      </w:r>
      <w:bookmarkEnd w:id="1481"/>
    </w:p>
    <w:p w14:paraId="5B2302B7" w14:textId="77777777" w:rsidR="00DB2B68" w:rsidRDefault="00000000">
      <w:pPr>
        <w:pStyle w:val="Author-eSectionHeading5Numberless"/>
      </w:pPr>
      <w:bookmarkStart w:id="1482" w:name="_Toc220496481"/>
      <w:r>
        <w:t>23.46.6 Chaînes en acier CCTB 01.04</w:t>
      </w:r>
      <w:bookmarkEnd w:id="1482"/>
    </w:p>
    <w:p w14:paraId="692C0DBB" w14:textId="77777777" w:rsidR="00DB2B68" w:rsidRDefault="00000000">
      <w:pPr>
        <w:pStyle w:val="Author-eSectionHeading6Numberless"/>
      </w:pPr>
      <w:bookmarkStart w:id="1483" w:name="_Toc220496482"/>
      <w:r>
        <w:t>23.46.6a Chaînes en acier inoxydable CCTB 01.04</w:t>
      </w:r>
      <w:bookmarkEnd w:id="1483"/>
    </w:p>
    <w:p w14:paraId="5A17A44F" w14:textId="77777777" w:rsidR="00DB2B68" w:rsidRDefault="00000000">
      <w:pPr>
        <w:pStyle w:val="Author-eSectionHeading4Numberless"/>
      </w:pPr>
      <w:bookmarkStart w:id="1484" w:name="_Toc220496483"/>
      <w:r>
        <w:t>23.47 Rails métalliques CCTB 01.04</w:t>
      </w:r>
      <w:bookmarkEnd w:id="1484"/>
    </w:p>
    <w:p w14:paraId="580761AF" w14:textId="77777777" w:rsidR="00DB2B68" w:rsidRDefault="00000000">
      <w:pPr>
        <w:pStyle w:val="Author-eSectionHeading5Numberless"/>
      </w:pPr>
      <w:bookmarkStart w:id="1485" w:name="_Toc220496484"/>
      <w:r>
        <w:t>23.47.1 Rails en acier CCTB 01.02</w:t>
      </w:r>
      <w:bookmarkEnd w:id="1485"/>
    </w:p>
    <w:p w14:paraId="2E3B6180" w14:textId="77777777" w:rsidR="00DB2B68" w:rsidRDefault="00000000">
      <w:pPr>
        <w:pStyle w:val="Author-eSectionHeading6Numberless"/>
      </w:pPr>
      <w:bookmarkStart w:id="1486" w:name="_Toc220496485"/>
      <w:r>
        <w:t>23.47.1a Rails en acier CCTB 01.02</w:t>
      </w:r>
      <w:bookmarkEnd w:id="1486"/>
    </w:p>
    <w:p w14:paraId="371826B2" w14:textId="77777777" w:rsidR="00DB2B68" w:rsidRDefault="00000000">
      <w:pPr>
        <w:pStyle w:val="Author-eSectionHeading5Numberless"/>
      </w:pPr>
      <w:bookmarkStart w:id="1487" w:name="_Toc220496486"/>
      <w:r>
        <w:t>23.47.2 Rails en acier inoxydable CCTB 01.04</w:t>
      </w:r>
      <w:bookmarkEnd w:id="1487"/>
    </w:p>
    <w:p w14:paraId="3491412C" w14:textId="77777777" w:rsidR="00DB2B68" w:rsidRDefault="00000000">
      <w:pPr>
        <w:pStyle w:val="Author-eSectionHeading6Numberless"/>
      </w:pPr>
      <w:bookmarkStart w:id="1488" w:name="_Toc220496487"/>
      <w:r>
        <w:t>23.47.2a Rails en acier inoxydable CCTB 01.04</w:t>
      </w:r>
      <w:bookmarkEnd w:id="1488"/>
    </w:p>
    <w:p w14:paraId="437E0BE7" w14:textId="77777777" w:rsidR="00DB2B68" w:rsidRDefault="00000000">
      <w:pPr>
        <w:pStyle w:val="Author-eSectionHeading5Numberless"/>
      </w:pPr>
      <w:bookmarkStart w:id="1489" w:name="_Toc220496488"/>
      <w:r>
        <w:t>23.47.3 Rails en aluminium CCTB 01.04</w:t>
      </w:r>
      <w:bookmarkEnd w:id="1489"/>
    </w:p>
    <w:p w14:paraId="559B6B5E" w14:textId="77777777" w:rsidR="00DB2B68" w:rsidRDefault="00000000">
      <w:pPr>
        <w:pStyle w:val="Author-eSectionHeading6Numberless"/>
      </w:pPr>
      <w:bookmarkStart w:id="1490" w:name="_Toc220496489"/>
      <w:r>
        <w:t>23.47.3a Rails en aluminium CCTB 01.04</w:t>
      </w:r>
      <w:bookmarkEnd w:id="1490"/>
    </w:p>
    <w:p w14:paraId="4672D5CE" w14:textId="77777777" w:rsidR="00DB2B68" w:rsidRDefault="00000000">
      <w:pPr>
        <w:pStyle w:val="Author-eSectionHeading4Numberless"/>
      </w:pPr>
      <w:bookmarkStart w:id="1491" w:name="_Toc220496490"/>
      <w:r>
        <w:t>23.48 Encadrements de baies métalliques CCTB 01.04</w:t>
      </w:r>
      <w:bookmarkEnd w:id="1491"/>
    </w:p>
    <w:p w14:paraId="3E8125D0" w14:textId="77777777" w:rsidR="00DB2B68" w:rsidRDefault="00000000">
      <w:pPr>
        <w:pStyle w:val="Author-eSectionHeading5Numberless"/>
      </w:pPr>
      <w:bookmarkStart w:id="1492" w:name="_Toc220496491"/>
      <w:r>
        <w:t>23.48.1 Encadrements de baies métalliques CCTB 01.04</w:t>
      </w:r>
      <w:bookmarkEnd w:id="1492"/>
    </w:p>
    <w:p w14:paraId="7B947E91" w14:textId="77777777" w:rsidR="00DB2B68" w:rsidRDefault="00000000">
      <w:pPr>
        <w:pStyle w:val="Author-eSectionHeading6Numberless"/>
      </w:pPr>
      <w:bookmarkStart w:id="1493" w:name="_Toc220496492"/>
      <w:r>
        <w:t>23.48.1a Encadrements de baies métalliques CCTB 01.04</w:t>
      </w:r>
      <w:bookmarkEnd w:id="1493"/>
    </w:p>
    <w:p w14:paraId="0AC870FF" w14:textId="77777777" w:rsidR="00DB2B68" w:rsidRDefault="00000000">
      <w:pPr>
        <w:pStyle w:val="Author-eSectionHeading3Numberless"/>
      </w:pPr>
      <w:bookmarkStart w:id="1494" w:name="_Toc220496493"/>
      <w:r>
        <w:t>23.5 (titre réservé) CCTB 01.04</w:t>
      </w:r>
      <w:bookmarkEnd w:id="1494"/>
    </w:p>
    <w:p w14:paraId="46A3A4E7" w14:textId="77777777" w:rsidR="00DB2B68" w:rsidRDefault="00000000">
      <w:pPr>
        <w:pStyle w:val="Author-eSectionHeading3Numberless"/>
      </w:pPr>
      <w:bookmarkStart w:id="1495" w:name="_Toc220496494"/>
      <w:r>
        <w:t>23.6 Ouvrages de raccord et finitions CCTB 01.02</w:t>
      </w:r>
      <w:bookmarkEnd w:id="1495"/>
    </w:p>
    <w:p w14:paraId="0EFA0996" w14:textId="77777777" w:rsidR="00DB2B68" w:rsidRDefault="00000000">
      <w:pPr>
        <w:pStyle w:val="Author-eSectionHeading4Numberless"/>
      </w:pPr>
      <w:bookmarkStart w:id="1496" w:name="_Toc220496495"/>
      <w:r>
        <w:t>23.61 Réalisation de joints CCTB 01.02</w:t>
      </w:r>
      <w:bookmarkEnd w:id="1496"/>
    </w:p>
    <w:p w14:paraId="294E86E7" w14:textId="77777777" w:rsidR="00DB2B68" w:rsidRDefault="00000000">
      <w:pPr>
        <w:pStyle w:val="Author-eSectionHeading5Numberless"/>
      </w:pPr>
      <w:bookmarkStart w:id="1497" w:name="_Toc220496496"/>
      <w:r>
        <w:t>23.61.1 Joints particuliers CCTB 01.02</w:t>
      </w:r>
      <w:bookmarkEnd w:id="1497"/>
    </w:p>
    <w:p w14:paraId="449A035D" w14:textId="77777777" w:rsidR="00DB2B68" w:rsidRDefault="00000000">
      <w:pPr>
        <w:pStyle w:val="Author-eSectionHeading6Numberless"/>
      </w:pPr>
      <w:bookmarkStart w:id="1498" w:name="_Toc220496497"/>
      <w:r>
        <w:t>23.61.1a Joints particuliers CCTB 01.02</w:t>
      </w:r>
      <w:bookmarkEnd w:id="1498"/>
    </w:p>
    <w:p w14:paraId="637FF082" w14:textId="77777777" w:rsidR="00DB2B68" w:rsidRDefault="00000000">
      <w:pPr>
        <w:pStyle w:val="Author-eSectionHeading4Numberless"/>
      </w:pPr>
      <w:bookmarkStart w:id="1499" w:name="_Toc220496498"/>
      <w:r>
        <w:t>23.62 Etanchéisation de joints CCTB 01.04</w:t>
      </w:r>
      <w:bookmarkEnd w:id="1499"/>
    </w:p>
    <w:p w14:paraId="3E3A9061" w14:textId="77777777" w:rsidR="00DB2B68" w:rsidRDefault="00000000">
      <w:pPr>
        <w:pStyle w:val="pheading"/>
      </w:pPr>
      <w:r>
        <w:t>DESCRIPTION</w:t>
      </w:r>
    </w:p>
    <w:p w14:paraId="67C1BB51" w14:textId="77777777" w:rsidR="00DB2B68" w:rsidRDefault="00000000">
      <w:pPr>
        <w:pStyle w:val="pheading"/>
      </w:pPr>
      <w:r>
        <w:t>- Définition / Comprend</w:t>
      </w:r>
    </w:p>
    <w:p w14:paraId="0E3C09B7" w14:textId="77777777" w:rsidR="00DB2B68" w:rsidRDefault="00000000">
      <w:r>
        <w:lastRenderedPageBreak/>
        <w:t xml:space="preserve">Renvoi au § </w:t>
      </w:r>
      <w:hyperlink w:anchor="479" w:history="1">
        <w:r>
          <w:rPr>
            <w:color w:val="0000EE"/>
          </w:rPr>
          <w:t>26 Etanchéisation et isolation</w:t>
        </w:r>
      </w:hyperlink>
    </w:p>
    <w:p w14:paraId="304D6B8D" w14:textId="77777777" w:rsidR="00DB2B68" w:rsidRDefault="00000000">
      <w:pPr>
        <w:pStyle w:val="Author-eSectionHeading3Numberless"/>
      </w:pPr>
      <w:bookmarkStart w:id="1500" w:name="_Toc220496499"/>
      <w:r>
        <w:t>23.7 Traitement, protection et finition des aciers CCTB 01.11</w:t>
      </w:r>
      <w:bookmarkEnd w:id="1500"/>
    </w:p>
    <w:p w14:paraId="2523D14C" w14:textId="77777777" w:rsidR="00DB2B68" w:rsidRDefault="00000000">
      <w:pPr>
        <w:pStyle w:val="pheading"/>
      </w:pPr>
      <w:bookmarkStart w:id="1501" w:name="177"/>
      <w:bookmarkEnd w:id="1501"/>
      <w:r>
        <w:t>DESCRIPTION</w:t>
      </w:r>
    </w:p>
    <w:p w14:paraId="6A21189D" w14:textId="77777777" w:rsidR="00DB2B68" w:rsidRDefault="00000000">
      <w:pPr>
        <w:pStyle w:val="pheading"/>
      </w:pPr>
      <w:r>
        <w:t>- Définition / Comprend</w:t>
      </w:r>
    </w:p>
    <w:p w14:paraId="12BA2E3B" w14:textId="77777777" w:rsidR="00DB2B68" w:rsidRDefault="00000000">
      <w:r>
        <w:t>Renvoi aux titres 81.3 Peintures intérieures sur subjectiles métalliques</w:t>
      </w:r>
      <w:r>
        <w:rPr>
          <w:rStyle w:val="normalChar"/>
          <w:color w:val="000000"/>
        </w:rPr>
        <w:t xml:space="preserve"> , </w:t>
      </w:r>
      <w:r>
        <w:t>82.3 Peintures extérieures sur subjectiles métalliques</w:t>
      </w:r>
      <w:r>
        <w:rPr>
          <w:rStyle w:val="normalChar"/>
          <w:color w:val="000000"/>
        </w:rPr>
        <w:t xml:space="preserve"> et </w:t>
      </w:r>
      <w:r>
        <w:t>83.3 Subjectiles métalliques</w:t>
      </w:r>
    </w:p>
    <w:p w14:paraId="0B8C5631" w14:textId="77777777" w:rsidR="00DB2B68" w:rsidRDefault="00000000">
      <w:pPr>
        <w:pStyle w:val="pheading"/>
      </w:pPr>
      <w:r>
        <w:t>EXÉCUTION / MISE EN ŒUVRE</w:t>
      </w:r>
    </w:p>
    <w:p w14:paraId="21D35797" w14:textId="77777777" w:rsidR="00DB2B68" w:rsidRDefault="00000000">
      <w:r>
        <w:t>TRAITEMENT CONTRE LA ROUILLE</w:t>
      </w:r>
    </w:p>
    <w:p w14:paraId="43D401C3" w14:textId="77777777" w:rsidR="00DB2B68" w:rsidRDefault="00000000">
      <w:pPr>
        <w:spacing w:line="259" w:lineRule="auto"/>
      </w:pPr>
      <w:r>
        <w:t>Les différents traitements des éléments métalliques contre la rouille sont les suivants :</w:t>
      </w:r>
    </w:p>
    <w:p w14:paraId="375481BD" w14:textId="77777777" w:rsidR="00DB2B68" w:rsidRDefault="00000000">
      <w:pPr>
        <w:spacing w:line="256" w:lineRule="auto"/>
      </w:pPr>
      <w:r>
        <w:rPr>
          <w:b/>
        </w:rPr>
        <w:t>Primaire antirouille</w:t>
      </w:r>
    </w:p>
    <w:p w14:paraId="4001F8B7" w14:textId="77777777" w:rsidR="00DB2B68" w:rsidRDefault="00000000">
      <w:r>
        <w:t>Conformément aux prescriptions des articles 81.31.3c Protections intérieures par primaire antirouille (en atelier ou sur chantier) des supports métalliques ferreux</w:t>
      </w:r>
      <w:r>
        <w:rPr>
          <w:color w:val="000000"/>
        </w:rPr>
        <w:t xml:space="preserve"> ou </w:t>
      </w:r>
      <w:r>
        <w:rPr>
          <w:rStyle w:val="normalChar"/>
        </w:rPr>
        <w:t>82.31.3c Protections extérieures par primaire antirouille des supports métalliques ferreux.</w:t>
      </w:r>
    </w:p>
    <w:p w14:paraId="26AF6225" w14:textId="77777777" w:rsidR="00DB2B68" w:rsidRDefault="00000000">
      <w:r>
        <w:rPr>
          <w:b/>
        </w:rPr>
        <w:t>Galvanisation</w:t>
      </w:r>
    </w:p>
    <w:p w14:paraId="3154DADE" w14:textId="77777777" w:rsidR="00DB2B68" w:rsidRDefault="00000000">
      <w:pPr>
        <w:spacing w:line="259" w:lineRule="auto"/>
      </w:pPr>
      <w:r>
        <w:t>Conformément aux prescriptions des articles 81.31.3a Protections intérieures par galvanisation (en atelier) des supports métalliques ferreux</w:t>
      </w:r>
      <w:r>
        <w:rPr>
          <w:color w:val="000000"/>
        </w:rPr>
        <w:t xml:space="preserve"> ou </w:t>
      </w:r>
      <w:r>
        <w:t>82.31.3a Protections extérieures par galvanisation de supports métalliques ferreux</w:t>
      </w:r>
    </w:p>
    <w:p w14:paraId="1F5D3DAF" w14:textId="77777777" w:rsidR="00DB2B68" w:rsidRDefault="00000000">
      <w:pPr>
        <w:spacing w:line="259" w:lineRule="auto"/>
      </w:pPr>
      <w:r>
        <w:rPr>
          <w:b/>
        </w:rPr>
        <w:t>Métallisation</w:t>
      </w:r>
    </w:p>
    <w:p w14:paraId="57141D8B" w14:textId="77777777" w:rsidR="00DB2B68" w:rsidRDefault="00000000">
      <w:r>
        <w:t>Conformément aux prescriptions des articles 81.31.3b Protections intérieures par métallisation (en atelier ou sur chantier) des supports métalliques ferreux</w:t>
      </w:r>
      <w:r>
        <w:rPr>
          <w:rStyle w:val="normalChar"/>
          <w:color w:val="000000"/>
        </w:rPr>
        <w:t xml:space="preserve"> ou </w:t>
      </w:r>
      <w:r>
        <w:t>82.31.3b Protections extérieures par métallisation des supports métalliques ferreux</w:t>
      </w:r>
    </w:p>
    <w:p w14:paraId="39BE3576" w14:textId="77777777" w:rsidR="00DB2B68" w:rsidRDefault="00000000">
      <w:pPr>
        <w:spacing w:line="259" w:lineRule="auto"/>
      </w:pPr>
      <w:r>
        <w:rPr>
          <w:b/>
        </w:rPr>
        <w:t>Pas de traitement</w:t>
      </w:r>
    </w:p>
    <w:p w14:paraId="5115D325" w14:textId="77777777" w:rsidR="00DB2B68" w:rsidRDefault="00000000">
      <w:r>
        <w:t>L’acier reste « brut ». Il est simplement nettoyé, dégraissé et débarrassé de la rouille par sablage et/ou ponçage conformément aux chapitres 81.31.1 Nettoyage / Dégraissage</w:t>
      </w:r>
      <w:r>
        <w:rPr>
          <w:color w:val="000000"/>
        </w:rPr>
        <w:t xml:space="preserve"> , </w:t>
      </w:r>
      <w:r>
        <w:t>81.31.2 Grenaillage - Sablage / Ponçage / Dérouillage</w:t>
      </w:r>
      <w:r>
        <w:rPr>
          <w:color w:val="000000"/>
        </w:rPr>
        <w:t xml:space="preserve"> et aux articles qui en découlent.</w:t>
      </w:r>
    </w:p>
    <w:p w14:paraId="4D522621" w14:textId="77777777" w:rsidR="00DB2B68" w:rsidRDefault="00000000">
      <w:r>
        <w:t>L’acier étant très sensible à la rouille dans cet état, il reçoit le plus rapidement possible le traitement de finition.</w:t>
      </w:r>
    </w:p>
    <w:p w14:paraId="638DAB35" w14:textId="77777777" w:rsidR="00DB2B68" w:rsidRDefault="00DB2B68"/>
    <w:p w14:paraId="4CEE0DAF" w14:textId="77777777" w:rsidR="00DB2B68" w:rsidRDefault="00000000">
      <w:pPr>
        <w:spacing w:line="259" w:lineRule="auto"/>
      </w:pPr>
      <w:r>
        <w:t>FINITION</w:t>
      </w:r>
    </w:p>
    <w:p w14:paraId="638FCEF5" w14:textId="77777777" w:rsidR="00DB2B68" w:rsidRDefault="00000000">
      <w:pPr>
        <w:spacing w:line="259" w:lineRule="auto"/>
      </w:pPr>
      <w:r>
        <w:t>Les différents traitements de finition des éléments métalliques sont les suivants :</w:t>
      </w:r>
    </w:p>
    <w:p w14:paraId="1F038BC9" w14:textId="77777777" w:rsidR="00DB2B68" w:rsidRDefault="00000000">
      <w:pPr>
        <w:spacing w:line="259" w:lineRule="auto"/>
      </w:pPr>
      <w:r>
        <w:rPr>
          <w:b/>
        </w:rPr>
        <w:t>Pas de finition</w:t>
      </w:r>
    </w:p>
    <w:p w14:paraId="66165E62" w14:textId="77777777" w:rsidR="00DB2B68" w:rsidRDefault="00000000">
      <w:pPr>
        <w:spacing w:line="259" w:lineRule="auto"/>
      </w:pPr>
      <w:r>
        <w:t>Pas de finition, destiné à recevoir un traitement résistant au feu.</w:t>
      </w:r>
    </w:p>
    <w:p w14:paraId="032FB092" w14:textId="77777777" w:rsidR="00DB2B68" w:rsidRDefault="00000000">
      <w:pPr>
        <w:spacing w:line="259" w:lineRule="auto"/>
      </w:pPr>
      <w:r>
        <w:rPr>
          <w:b/>
        </w:rPr>
        <w:t>Peint</w:t>
      </w:r>
    </w:p>
    <w:p w14:paraId="579571C8" w14:textId="77777777" w:rsidR="00DB2B68" w:rsidRDefault="00000000">
      <w:pPr>
        <w:spacing w:line="259" w:lineRule="auto"/>
      </w:pPr>
      <w:r>
        <w:t>Renvoi aux sous-titres 81.33 Finitions / décorations des métaux ferreux et non ferreux</w:t>
      </w:r>
      <w:r>
        <w:rPr>
          <w:rStyle w:val="normalChar"/>
          <w:color w:val="000000"/>
        </w:rPr>
        <w:t xml:space="preserve"> (intérieure) ou </w:t>
      </w:r>
      <w:r>
        <w:t>82.33 Finitions / décorations des métaux ferreux et non ferreux</w:t>
      </w:r>
      <w:r>
        <w:rPr>
          <w:rStyle w:val="normalChar"/>
          <w:color w:val="000000"/>
        </w:rPr>
        <w:t xml:space="preserve"> (extérieure), et aux articles qui en découlent.</w:t>
      </w:r>
    </w:p>
    <w:p w14:paraId="1B3AEDF6" w14:textId="77777777" w:rsidR="00DB2B68" w:rsidRDefault="00000000">
      <w:r>
        <w:rPr>
          <w:b/>
        </w:rPr>
        <w:t>Brut (verni)</w:t>
      </w:r>
    </w:p>
    <w:p w14:paraId="3EC7BADA" w14:textId="77777777" w:rsidR="00DB2B68" w:rsidRDefault="00000000">
      <w:pPr>
        <w:spacing w:line="259" w:lineRule="auto"/>
      </w:pPr>
      <w:r>
        <w:t>L’acier est protégé à l’aide d’un verni incolore à base de résine glycérophtalique (par défaut) ou autre.</w:t>
      </w:r>
    </w:p>
    <w:p w14:paraId="0F5817C9" w14:textId="77777777" w:rsidR="00DB2B68" w:rsidRDefault="00000000">
      <w:r>
        <w:t>Pour la mise en œuvre, renvoi aux sous-titres 81.33 Finitions / décorations des métaux ferreux et non ferreux</w:t>
      </w:r>
      <w:r>
        <w:rPr>
          <w:rStyle w:val="normalChar"/>
          <w:color w:val="000000"/>
        </w:rPr>
        <w:t xml:space="preserve"> (intérieure) ou </w:t>
      </w:r>
      <w:r>
        <w:t>82.33 Finitions / décorations des métaux ferreux et non ferreux</w:t>
      </w:r>
      <w:r>
        <w:rPr>
          <w:rStyle w:val="normalChar"/>
          <w:color w:val="000000"/>
        </w:rPr>
        <w:t xml:space="preserve"> (extérieure), et articles qui en découlent.</w:t>
      </w:r>
    </w:p>
    <w:p w14:paraId="419544A6" w14:textId="77777777" w:rsidR="00DB2B68" w:rsidRDefault="00DB2B68"/>
    <w:p w14:paraId="16776ADA" w14:textId="77777777" w:rsidR="00DB2B68" w:rsidRDefault="00000000">
      <w:pPr>
        <w:spacing w:line="259" w:lineRule="auto"/>
      </w:pPr>
      <w:r>
        <w:t>TRAITEMENT POUR PROTECTION AU FEU</w:t>
      </w:r>
    </w:p>
    <w:p w14:paraId="7E4AD8CD" w14:textId="77777777" w:rsidR="00DB2B68" w:rsidRDefault="00000000">
      <w:pPr>
        <w:spacing w:line="259" w:lineRule="auto"/>
      </w:pPr>
      <w:r>
        <w:lastRenderedPageBreak/>
        <w:t>Les différents traitements pour la protection au feu des éléments métalliques sont les suivants :</w:t>
      </w:r>
    </w:p>
    <w:p w14:paraId="186C25BD" w14:textId="77777777" w:rsidR="00DB2B68" w:rsidRDefault="00000000">
      <w:pPr>
        <w:spacing w:line="259" w:lineRule="auto"/>
      </w:pPr>
      <w:r>
        <w:rPr>
          <w:b/>
        </w:rPr>
        <w:t>Sans traitement particulier</w:t>
      </w:r>
    </w:p>
    <w:p w14:paraId="07F0817B" w14:textId="77777777" w:rsidR="00DB2B68" w:rsidRDefault="00000000">
      <w:r>
        <w:t>La résistance au feu est démontrée par test au feu selon la [NBN EN 13501-2] ou par calcul selon les Eurocodes conformément à l’[AM 2013-05-17]. </w:t>
      </w:r>
    </w:p>
    <w:p w14:paraId="30A3F98A" w14:textId="77777777" w:rsidR="00DB2B68" w:rsidRDefault="00000000">
      <w:r>
        <w:rPr>
          <w:b/>
        </w:rPr>
        <w:t>Peinture intumescente</w:t>
      </w:r>
    </w:p>
    <w:p w14:paraId="1DA90345" w14:textId="77777777" w:rsidR="00DB2B68" w:rsidRDefault="00000000">
      <w:pPr>
        <w:spacing w:line="259" w:lineRule="auto"/>
      </w:pPr>
      <w:r>
        <w:t>Conformément à l’article 81.34.1b Peintures intérieures intumescentes sur supports métalliques ferreux et non ferreux</w:t>
      </w:r>
    </w:p>
    <w:p w14:paraId="77EF2343" w14:textId="77777777" w:rsidR="00DB2B68" w:rsidRDefault="00000000">
      <w:pPr>
        <w:spacing w:line="259" w:lineRule="auto"/>
      </w:pPr>
      <w:r>
        <w:rPr>
          <w:b/>
        </w:rPr>
        <w:t>Emballage</w:t>
      </w:r>
    </w:p>
    <w:p w14:paraId="2C28C032" w14:textId="77777777" w:rsidR="00DB2B68" w:rsidRDefault="00000000">
      <w:pPr>
        <w:spacing w:line="259" w:lineRule="auto"/>
      </w:pPr>
      <w:r>
        <w:t>Conformément à l’article 83.34.1a Doublage en plaques</w:t>
      </w:r>
    </w:p>
    <w:p w14:paraId="32620592" w14:textId="77777777" w:rsidR="00DB2B68" w:rsidRDefault="00000000">
      <w:r>
        <w:rPr>
          <w:b/>
        </w:rPr>
        <w:t>Flocage fibreux</w:t>
      </w:r>
    </w:p>
    <w:p w14:paraId="757C8FD9" w14:textId="77777777" w:rsidR="00DB2B68" w:rsidRDefault="00000000">
      <w:pPr>
        <w:spacing w:line="259" w:lineRule="auto"/>
      </w:pPr>
      <w:r>
        <w:t xml:space="preserve">Composé essentiellement de laine minérale, de liants minéraux inorganiques additionnés d’adjuvants spécifiques hydrauliques et synthétiques, non combustibles. </w:t>
      </w:r>
    </w:p>
    <w:p w14:paraId="46A7618E" w14:textId="77777777" w:rsidR="00DB2B68" w:rsidRDefault="00000000">
      <w:pPr>
        <w:spacing w:line="259" w:lineRule="auto"/>
      </w:pPr>
      <w:r>
        <w:t xml:space="preserve">Le produit est exempt d’amiante, de silice cristallisée, ou de tout autre produit nocif ou toxique. </w:t>
      </w:r>
    </w:p>
    <w:p w14:paraId="1E5669D1" w14:textId="77777777" w:rsidR="00DB2B68" w:rsidRDefault="00000000">
      <w:pPr>
        <w:spacing w:line="259" w:lineRule="auto"/>
      </w:pPr>
      <w:r>
        <w:t>Le flocage est appliqué mécaniquement à l’aide de machines à projeter qui respectent la granulométrie et la masse volumique des produits.</w:t>
      </w:r>
    </w:p>
    <w:p w14:paraId="7426399C" w14:textId="77777777" w:rsidR="00DB2B68" w:rsidRDefault="00000000">
      <w:r>
        <w:rPr>
          <w:b/>
        </w:rPr>
        <w:t>Flocage pâteux</w:t>
      </w:r>
    </w:p>
    <w:p w14:paraId="797D08D5" w14:textId="77777777" w:rsidR="00DB2B68" w:rsidRDefault="00000000">
      <w:pPr>
        <w:spacing w:line="259" w:lineRule="auto"/>
      </w:pPr>
      <w:r>
        <w:t xml:space="preserve">A base de gypse ou vermiculite. </w:t>
      </w:r>
    </w:p>
    <w:p w14:paraId="4CC8DAA0" w14:textId="77777777" w:rsidR="00DB2B68" w:rsidRDefault="00000000">
      <w:pPr>
        <w:spacing w:line="259" w:lineRule="auto"/>
      </w:pPr>
      <w:r>
        <w:t xml:space="preserve">Le produit est exempt d’amiante, de silice cristallisée, ou de tout autre produit nocif ou toxique. </w:t>
      </w:r>
    </w:p>
    <w:p w14:paraId="507800B8" w14:textId="77777777" w:rsidR="00DB2B68" w:rsidRDefault="00000000">
      <w:pPr>
        <w:spacing w:line="259" w:lineRule="auto"/>
      </w:pPr>
      <w:r>
        <w:t>Le flocage est appliqué mécaniquement à l’aide de machines à projeter qui respectent la granulométrie et la masse volumique des produits.</w:t>
      </w:r>
    </w:p>
    <w:p w14:paraId="26C06F75" w14:textId="77777777" w:rsidR="00DB2B68" w:rsidRDefault="00000000">
      <w:pPr>
        <w:pStyle w:val="Author-eSectionHeading3Numberless"/>
      </w:pPr>
      <w:bookmarkStart w:id="1502" w:name="_Toc220496500"/>
      <w:r>
        <w:t>23.8 Superstructures métalliques - Rénovation CCTB 01.04</w:t>
      </w:r>
      <w:bookmarkEnd w:id="1502"/>
    </w:p>
    <w:p w14:paraId="3F80A276" w14:textId="77777777" w:rsidR="00DB2B68" w:rsidRDefault="00000000">
      <w:pPr>
        <w:pStyle w:val="Author-eSectionHeading4Numberless"/>
      </w:pPr>
      <w:bookmarkStart w:id="1503" w:name="_Toc220496501"/>
      <w:r>
        <w:t>23.81 Etudes / essais préliminaires CCTB 01.04</w:t>
      </w:r>
      <w:bookmarkEnd w:id="1503"/>
    </w:p>
    <w:p w14:paraId="44E5633B" w14:textId="77777777" w:rsidR="00DB2B68" w:rsidRDefault="00000000">
      <w:pPr>
        <w:pStyle w:val="pheading"/>
      </w:pPr>
      <w:r>
        <w:t>DESCRIPTION</w:t>
      </w:r>
    </w:p>
    <w:p w14:paraId="2F1CAA86" w14:textId="77777777" w:rsidR="00DB2B68" w:rsidRDefault="00000000">
      <w:pPr>
        <w:pStyle w:val="pheading"/>
      </w:pPr>
      <w:r>
        <w:t>- Définition / Comprend</w:t>
      </w:r>
    </w:p>
    <w:p w14:paraId="79C69338" w14:textId="77777777" w:rsidR="00DB2B68" w:rsidRDefault="00000000">
      <w:r>
        <w:t>Renvoi au § 03 Études, essais et contrôles en cours de chantier</w:t>
      </w:r>
    </w:p>
    <w:p w14:paraId="520AC28E" w14:textId="77777777" w:rsidR="00DB2B68" w:rsidRDefault="00000000">
      <w:pPr>
        <w:pStyle w:val="Author-eSectionHeading4Numberless"/>
      </w:pPr>
      <w:bookmarkStart w:id="1504" w:name="_Toc220496502"/>
      <w:r>
        <w:t>23.82 Déposes / démontages / percements / déconstructions-démolitions CCTB 01.02</w:t>
      </w:r>
      <w:bookmarkEnd w:id="1504"/>
    </w:p>
    <w:p w14:paraId="01D69B21" w14:textId="77777777" w:rsidR="00DB2B68" w:rsidRDefault="00000000">
      <w:pPr>
        <w:pStyle w:val="Author-eSectionHeading5Numberless"/>
      </w:pPr>
      <w:bookmarkStart w:id="1505" w:name="_Toc220496503"/>
      <w:r>
        <w:t>23.82.1 Travaux de stabilisation CCTB 01.04</w:t>
      </w:r>
      <w:bookmarkEnd w:id="1505"/>
    </w:p>
    <w:p w14:paraId="2109F6CA" w14:textId="77777777" w:rsidR="00DB2B68" w:rsidRDefault="00000000">
      <w:pPr>
        <w:pStyle w:val="pheading"/>
      </w:pPr>
      <w:r>
        <w:t>DESCRIPTION</w:t>
      </w:r>
    </w:p>
    <w:p w14:paraId="164D66E6" w14:textId="77777777" w:rsidR="00DB2B68" w:rsidRDefault="00000000">
      <w:pPr>
        <w:pStyle w:val="pheading"/>
      </w:pPr>
      <w:r>
        <w:t>- Définition / Comprend</w:t>
      </w:r>
    </w:p>
    <w:p w14:paraId="327142EC" w14:textId="77777777" w:rsidR="00DB2B68" w:rsidRDefault="00000000">
      <w:r>
        <w:t>Renvoi à 06.11 Stabilisations de la structure</w:t>
      </w:r>
    </w:p>
    <w:p w14:paraId="3E212882" w14:textId="77777777" w:rsidR="00DB2B68" w:rsidRDefault="00000000">
      <w:pPr>
        <w:pStyle w:val="Author-eSectionHeading5Numberless"/>
      </w:pPr>
      <w:bookmarkStart w:id="1506" w:name="_Toc220496504"/>
      <w:r>
        <w:t>23.82.2 Déposes d'éléments (pour repose ultérieure) CCTB 01.04</w:t>
      </w:r>
      <w:bookmarkEnd w:id="1506"/>
    </w:p>
    <w:p w14:paraId="191BD5BA" w14:textId="77777777" w:rsidR="00DB2B68" w:rsidRDefault="00000000">
      <w:pPr>
        <w:pStyle w:val="pheading"/>
      </w:pPr>
      <w:r>
        <w:t>DESCRIPTION</w:t>
      </w:r>
    </w:p>
    <w:p w14:paraId="5BE2F385" w14:textId="77777777" w:rsidR="00DB2B68" w:rsidRDefault="00000000">
      <w:pPr>
        <w:pStyle w:val="pheading"/>
      </w:pPr>
      <w:r>
        <w:t>- Définition / Comprend</w:t>
      </w:r>
    </w:p>
    <w:p w14:paraId="2CA522F0" w14:textId="77777777" w:rsidR="00DB2B68" w:rsidRDefault="00000000">
      <w:r>
        <w:t>Renvoi au § 06.4 Déposes / démontages d'éléments pour récupération, stockage sur chantier et repose ultérieure</w:t>
      </w:r>
    </w:p>
    <w:p w14:paraId="563A210F" w14:textId="77777777" w:rsidR="00DB2B68" w:rsidRDefault="00000000">
      <w:pPr>
        <w:pStyle w:val="Author-eSectionHeading5Numberless"/>
      </w:pPr>
      <w:bookmarkStart w:id="1507" w:name="_Toc220496505"/>
      <w:r>
        <w:t>23.82.3 Démontages d'éléments (pour récupération) CCTB 01.04</w:t>
      </w:r>
      <w:bookmarkEnd w:id="1507"/>
    </w:p>
    <w:p w14:paraId="0F132E6B" w14:textId="77777777" w:rsidR="00DB2B68" w:rsidRDefault="00000000">
      <w:pPr>
        <w:pStyle w:val="pheading"/>
      </w:pPr>
      <w:r>
        <w:t>DESCRIPTION</w:t>
      </w:r>
    </w:p>
    <w:p w14:paraId="6DE87CE9" w14:textId="77777777" w:rsidR="00DB2B68" w:rsidRDefault="00000000">
      <w:pPr>
        <w:pStyle w:val="pheading"/>
      </w:pPr>
      <w:r>
        <w:lastRenderedPageBreak/>
        <w:t>- Définition / Comprend</w:t>
      </w:r>
    </w:p>
    <w:p w14:paraId="0B0CDFC6" w14:textId="77777777" w:rsidR="00DB2B68" w:rsidRDefault="00000000">
      <w:r>
        <w:t>Renvoi au § 06.37.5 Démontages d'éléments de structures en acier</w:t>
      </w:r>
    </w:p>
    <w:p w14:paraId="07F15C6A" w14:textId="77777777" w:rsidR="00DB2B68" w:rsidRDefault="00000000">
      <w:pPr>
        <w:pStyle w:val="Author-eSectionHeading5Numberless"/>
      </w:pPr>
      <w:bookmarkStart w:id="1508" w:name="_Toc220496506"/>
      <w:r>
        <w:t>23.82.4 Décapages / déjointoiements (pour évacuation) CCTB 01.04</w:t>
      </w:r>
      <w:bookmarkEnd w:id="1508"/>
    </w:p>
    <w:p w14:paraId="51730BCC" w14:textId="77777777" w:rsidR="00DB2B68" w:rsidRDefault="00000000">
      <w:pPr>
        <w:pStyle w:val="pheading"/>
      </w:pPr>
      <w:r>
        <w:t>DESCRIPTION</w:t>
      </w:r>
    </w:p>
    <w:p w14:paraId="45988147" w14:textId="77777777" w:rsidR="00DB2B68" w:rsidRDefault="00000000">
      <w:pPr>
        <w:pStyle w:val="pheading"/>
      </w:pPr>
      <w:r>
        <w:t>- Définition / Comprend</w:t>
      </w:r>
    </w:p>
    <w:p w14:paraId="06A4576A" w14:textId="77777777" w:rsidR="00DB2B68" w:rsidRDefault="00000000">
      <w:r>
        <w:t>Renvoi au § 06.7 Décapages / déjointoiements (pour évacuation)</w:t>
      </w:r>
    </w:p>
    <w:p w14:paraId="69BA3015" w14:textId="77777777" w:rsidR="00DB2B68" w:rsidRDefault="00000000">
      <w:r>
        <w:t>L’évacuation et la gestion des déchets issus de travaux de démolition, de rénovation ou de construction font l’objet d’un ou plusieurs postes spécifiques, détaillés dans le Tome 0 en section 07 –Déchets : Préventions, tris sélectifs sur chantier, stockages, transports et traitements des déchets.</w:t>
      </w:r>
    </w:p>
    <w:p w14:paraId="26D386C6" w14:textId="77777777" w:rsidR="00DB2B68" w:rsidRDefault="00000000">
      <w:pPr>
        <w:pStyle w:val="Author-eSectionHeading5Numberless"/>
      </w:pPr>
      <w:bookmarkStart w:id="1509" w:name="_Toc220496507"/>
      <w:r>
        <w:t>23.82.5 Percements / carottages CCTB 01.04</w:t>
      </w:r>
      <w:bookmarkEnd w:id="1509"/>
    </w:p>
    <w:p w14:paraId="1BE6180C" w14:textId="77777777" w:rsidR="00DB2B68" w:rsidRDefault="00000000">
      <w:pPr>
        <w:pStyle w:val="pheading"/>
      </w:pPr>
      <w:r>
        <w:t>DESCRIPTION</w:t>
      </w:r>
    </w:p>
    <w:p w14:paraId="65354E16" w14:textId="77777777" w:rsidR="00DB2B68" w:rsidRDefault="00000000">
      <w:pPr>
        <w:pStyle w:val="pheading"/>
      </w:pPr>
      <w:r>
        <w:t>- Définition / Comprend</w:t>
      </w:r>
    </w:p>
    <w:p w14:paraId="49019801" w14:textId="77777777" w:rsidR="00DB2B68" w:rsidRDefault="00000000">
      <w:r>
        <w:t>Renvoi au § 06.8 Percements / carottages</w:t>
      </w:r>
    </w:p>
    <w:p w14:paraId="5D313B6C" w14:textId="77777777" w:rsidR="00DB2B68" w:rsidRDefault="00000000">
      <w:pPr>
        <w:pStyle w:val="Author-eSectionHeading5Numberless"/>
      </w:pPr>
      <w:bookmarkStart w:id="1510" w:name="_Toc220496508"/>
      <w:r>
        <w:t>23.82.6 Déconstructions / démolitions (pour évacuation) CCTB 01.04</w:t>
      </w:r>
      <w:bookmarkEnd w:id="1510"/>
    </w:p>
    <w:p w14:paraId="44C18F00" w14:textId="77777777" w:rsidR="00DB2B68" w:rsidRDefault="00000000">
      <w:pPr>
        <w:pStyle w:val="pheading"/>
      </w:pPr>
      <w:r>
        <w:t>DESCRIPTION</w:t>
      </w:r>
    </w:p>
    <w:p w14:paraId="5097DB00" w14:textId="77777777" w:rsidR="00DB2B68" w:rsidRDefault="00000000">
      <w:pPr>
        <w:pStyle w:val="pheading"/>
      </w:pPr>
      <w:r>
        <w:t>- Définition / Comprend</w:t>
      </w:r>
    </w:p>
    <w:p w14:paraId="6CB96D55" w14:textId="77777777" w:rsidR="00DB2B68" w:rsidRDefault="00000000">
      <w:r>
        <w:t>Renvoi au § 06.27.3 Démolitions d'éléments de structures en acier</w:t>
      </w:r>
    </w:p>
    <w:p w14:paraId="20A44A05" w14:textId="77777777" w:rsidR="00DB2B68" w:rsidRDefault="00000000">
      <w:r>
        <w:t>L’évacuation et la gestion des déchets issus de travaux de démolition, de rénovation ou de construction font l’objet d’un ou plusieurs postes spécifiques, détaillés dans le Tome 0 en section 07 –Déchets : Préventions, tris sélectifs sur chantier, stockages, transports et traitements des déchets.</w:t>
      </w:r>
    </w:p>
    <w:p w14:paraId="59B86A45" w14:textId="77777777" w:rsidR="00DB2B68" w:rsidRDefault="00000000">
      <w:pPr>
        <w:pStyle w:val="Author-eSectionHeading4Numberless"/>
      </w:pPr>
      <w:bookmarkStart w:id="1511" w:name="_Toc220496509"/>
      <w:r>
        <w:t>23.83 Réparations / ragréages / rénovations CCTB 01.02</w:t>
      </w:r>
      <w:bookmarkEnd w:id="1511"/>
    </w:p>
    <w:p w14:paraId="12D1CBB6" w14:textId="77777777" w:rsidR="00DB2B68" w:rsidRDefault="00000000">
      <w:pPr>
        <w:pStyle w:val="Author-eSectionHeading5Numberless"/>
      </w:pPr>
      <w:bookmarkStart w:id="1512" w:name="_Toc220496510"/>
      <w:r>
        <w:t>23.83.1 Réparations d'éléments défectueux par soudure CCTB 01.04</w:t>
      </w:r>
      <w:bookmarkEnd w:id="1512"/>
    </w:p>
    <w:p w14:paraId="1580B526" w14:textId="77777777" w:rsidR="00DB2B68" w:rsidRDefault="00000000">
      <w:pPr>
        <w:pStyle w:val="Author-eSectionHeading6Numberless"/>
      </w:pPr>
      <w:bookmarkStart w:id="1513" w:name="_Toc220496511"/>
      <w:r>
        <w:t>23.83.1a Réparations d'éléments défectueux par soudure CCTB 01.04</w:t>
      </w:r>
      <w:bookmarkEnd w:id="1513"/>
    </w:p>
    <w:p w14:paraId="05B236D8" w14:textId="77777777" w:rsidR="00DB2B68" w:rsidRDefault="00000000">
      <w:pPr>
        <w:pStyle w:val="Author-eSectionHeading4Numberless"/>
      </w:pPr>
      <w:bookmarkStart w:id="1514" w:name="_Toc220496512"/>
      <w:r>
        <w:t>23.84 Renforcements CCTB 01.02</w:t>
      </w:r>
      <w:bookmarkEnd w:id="1514"/>
    </w:p>
    <w:p w14:paraId="20EEAD40" w14:textId="77777777" w:rsidR="00DB2B68" w:rsidRDefault="00000000">
      <w:pPr>
        <w:pStyle w:val="Author-eSectionHeading5Numberless"/>
      </w:pPr>
      <w:bookmarkStart w:id="1515" w:name="_Toc220496513"/>
      <w:r>
        <w:t>23.84.1 Renforcements de profils par augmentation de la section d'acier CCTB 01.02</w:t>
      </w:r>
      <w:bookmarkEnd w:id="1515"/>
    </w:p>
    <w:p w14:paraId="7F792D3D" w14:textId="77777777" w:rsidR="00DB2B68" w:rsidRDefault="00000000">
      <w:pPr>
        <w:pStyle w:val="Author-eSectionHeading6Numberless"/>
      </w:pPr>
      <w:bookmarkStart w:id="1516" w:name="_Toc220496514"/>
      <w:r>
        <w:t>23.84.1a Renforcements par ajout de plats / profils soudés CCTB 01.02</w:t>
      </w:r>
      <w:bookmarkEnd w:id="1516"/>
    </w:p>
    <w:p w14:paraId="66C977D1" w14:textId="77777777" w:rsidR="00DB2B68" w:rsidRDefault="00000000">
      <w:pPr>
        <w:pStyle w:val="Author-eSectionHeading6Numberless"/>
      </w:pPr>
      <w:bookmarkStart w:id="1517" w:name="_Toc220496515"/>
      <w:r>
        <w:t>23.84.1b Renforcements par ajout de plats / profils boulonnés / rivetés CCTB 01.02</w:t>
      </w:r>
      <w:bookmarkEnd w:id="1517"/>
    </w:p>
    <w:p w14:paraId="5A06741A" w14:textId="77777777" w:rsidR="00DB2B68" w:rsidRDefault="00000000">
      <w:pPr>
        <w:pStyle w:val="Author-eSectionHeading6Numberless"/>
      </w:pPr>
      <w:bookmarkStart w:id="1518" w:name="_Toc220496516"/>
      <w:r>
        <w:t>23.84.1c Renforcements par ajout de plats / profils collés CCTB 01.02</w:t>
      </w:r>
      <w:bookmarkEnd w:id="1518"/>
    </w:p>
    <w:p w14:paraId="44A0E7DB" w14:textId="77777777" w:rsidR="00DB2B68" w:rsidRDefault="00000000">
      <w:pPr>
        <w:pStyle w:val="Author-eSectionHeading5Numberless"/>
      </w:pPr>
      <w:bookmarkStart w:id="1519" w:name="_Toc220496517"/>
      <w:r>
        <w:t>23.84.2 Renforcements par ajout de profils à la structure existante CCTB 01.02</w:t>
      </w:r>
      <w:bookmarkEnd w:id="1519"/>
    </w:p>
    <w:p w14:paraId="6BEB914D" w14:textId="77777777" w:rsidR="00DB2B68" w:rsidRDefault="00000000">
      <w:pPr>
        <w:pStyle w:val="Author-eSectionHeading6Numberless"/>
      </w:pPr>
      <w:bookmarkStart w:id="1520" w:name="_Toc220496518"/>
      <w:r>
        <w:t>23.84.2a Ajouts de profils soudés CCTB 01.02</w:t>
      </w:r>
      <w:bookmarkEnd w:id="1520"/>
    </w:p>
    <w:p w14:paraId="47322185" w14:textId="77777777" w:rsidR="00DB2B68" w:rsidRDefault="00000000">
      <w:pPr>
        <w:pStyle w:val="Author-eSectionHeading6Numberless"/>
      </w:pPr>
      <w:bookmarkStart w:id="1521" w:name="_Toc220496519"/>
      <w:r>
        <w:t>23.84.2b Ajouts de profils collés CCTB 01.02</w:t>
      </w:r>
      <w:bookmarkEnd w:id="1521"/>
    </w:p>
    <w:p w14:paraId="693CD08B" w14:textId="77777777" w:rsidR="00DB2B68" w:rsidRDefault="00000000">
      <w:pPr>
        <w:pStyle w:val="Author-eSectionHeading6Numberless"/>
      </w:pPr>
      <w:bookmarkStart w:id="1522" w:name="_Toc220496520"/>
      <w:r>
        <w:t>23.84.2c Ajouts de profils boulonnés CCTB 01.02</w:t>
      </w:r>
      <w:bookmarkEnd w:id="1522"/>
    </w:p>
    <w:p w14:paraId="5D194D8B" w14:textId="77777777" w:rsidR="00DB2B68" w:rsidRDefault="00000000">
      <w:pPr>
        <w:pStyle w:val="Author-eSectionHeading6Numberless"/>
      </w:pPr>
      <w:bookmarkStart w:id="1523" w:name="_Toc220496521"/>
      <w:r>
        <w:t>23.84.2d Ajouts de profils rivetés CCTB 01.02</w:t>
      </w:r>
      <w:bookmarkEnd w:id="1523"/>
    </w:p>
    <w:p w14:paraId="2EC0C0AA" w14:textId="77777777" w:rsidR="00DB2B68" w:rsidRDefault="00000000">
      <w:pPr>
        <w:pStyle w:val="Author-eSectionHeading5Numberless"/>
      </w:pPr>
      <w:bookmarkStart w:id="1524" w:name="_Toc220496522"/>
      <w:r>
        <w:lastRenderedPageBreak/>
        <w:t>23.84.3 Renforcements par ajout d'éléments structuraux externes à la structure CCTB 01.04</w:t>
      </w:r>
      <w:bookmarkEnd w:id="1524"/>
    </w:p>
    <w:p w14:paraId="33ABF434" w14:textId="77777777" w:rsidR="00DB2B68" w:rsidRDefault="00000000">
      <w:pPr>
        <w:pStyle w:val="Author-eSectionHeading6Numberless"/>
      </w:pPr>
      <w:bookmarkStart w:id="1525" w:name="_Toc220496523"/>
      <w:r>
        <w:t>23.84.3a Ajouts de tirants métalliques externes CCTB 01.02</w:t>
      </w:r>
      <w:bookmarkEnd w:id="1525"/>
    </w:p>
    <w:p w14:paraId="66C43C70" w14:textId="77777777" w:rsidR="00DB2B68" w:rsidRDefault="00000000">
      <w:pPr>
        <w:pStyle w:val="Author-eSectionHeading6Numberless"/>
      </w:pPr>
      <w:bookmarkStart w:id="1526" w:name="_Toc220496524"/>
      <w:r>
        <w:t>23.84.3b Structures de délestage autour d'une structure existante CCTB 01.02</w:t>
      </w:r>
      <w:bookmarkEnd w:id="1526"/>
    </w:p>
    <w:p w14:paraId="114F94D1" w14:textId="77777777" w:rsidR="00DB2B68" w:rsidRDefault="00000000">
      <w:pPr>
        <w:pStyle w:val="Author-eSectionHeading5Numberless"/>
      </w:pPr>
      <w:bookmarkStart w:id="1527" w:name="_Toc220496525"/>
      <w:r>
        <w:t>23.84.4 Renforcements de fixations / assemblages de structure existantes CCTB 01.02</w:t>
      </w:r>
      <w:bookmarkEnd w:id="1527"/>
    </w:p>
    <w:p w14:paraId="350CE0A1" w14:textId="77777777" w:rsidR="00DB2B68" w:rsidRDefault="00000000">
      <w:pPr>
        <w:pStyle w:val="Author-eSectionHeading6Numberless"/>
      </w:pPr>
      <w:bookmarkStart w:id="1528" w:name="_Toc220496526"/>
      <w:r>
        <w:t>23.84.4a Opérations de soudure complémentaires CCTB 01.02</w:t>
      </w:r>
      <w:bookmarkEnd w:id="1528"/>
    </w:p>
    <w:p w14:paraId="4A125E00" w14:textId="77777777" w:rsidR="00DB2B68" w:rsidRDefault="00000000">
      <w:pPr>
        <w:pStyle w:val="Author-eSectionHeading6Numberless"/>
      </w:pPr>
      <w:bookmarkStart w:id="1529" w:name="_Toc220496527"/>
      <w:r>
        <w:t>23.84.4b Ajouts de raidisseurs soudés CCTB 01.04</w:t>
      </w:r>
      <w:bookmarkEnd w:id="1529"/>
    </w:p>
    <w:p w14:paraId="3DACF3DA" w14:textId="77777777" w:rsidR="00DB2B68" w:rsidRDefault="00000000">
      <w:pPr>
        <w:pStyle w:val="Author-eSectionHeading6Numberless"/>
      </w:pPr>
      <w:bookmarkStart w:id="1530" w:name="_Toc220496528"/>
      <w:r>
        <w:t>23.84.4c Ajouts de raidisseurs fixés mécaniquement CCTB 01.04</w:t>
      </w:r>
      <w:bookmarkEnd w:id="1530"/>
    </w:p>
    <w:p w14:paraId="2F13C179" w14:textId="77777777" w:rsidR="00DB2B68" w:rsidRDefault="00000000">
      <w:pPr>
        <w:pStyle w:val="Author-eSectionHeading4Numberless"/>
      </w:pPr>
      <w:bookmarkStart w:id="1531" w:name="_Toc220496529"/>
      <w:r>
        <w:t>23.85 Adaptations CCTB 01.02</w:t>
      </w:r>
      <w:bookmarkEnd w:id="1531"/>
    </w:p>
    <w:p w14:paraId="23F1F92E" w14:textId="77777777" w:rsidR="00DB2B68" w:rsidRDefault="00000000">
      <w:pPr>
        <w:pStyle w:val="Author-eSectionHeading5Numberless"/>
      </w:pPr>
      <w:bookmarkStart w:id="1532" w:name="_Toc220496530"/>
      <w:r>
        <w:t>23.85.1 Adaptations de charpentes métalliques pour baies / passages CCTB 01.02</w:t>
      </w:r>
      <w:bookmarkEnd w:id="1532"/>
    </w:p>
    <w:p w14:paraId="14F1125C" w14:textId="77777777" w:rsidR="00DB2B68" w:rsidRDefault="00000000">
      <w:pPr>
        <w:pStyle w:val="Author-eSectionHeading6Numberless"/>
      </w:pPr>
      <w:bookmarkStart w:id="1533" w:name="_Toc220496531"/>
      <w:r>
        <w:t>23.85.1a Créations de baies dans structures métalliques CCTB 01.04</w:t>
      </w:r>
      <w:bookmarkEnd w:id="1533"/>
    </w:p>
    <w:p w14:paraId="7F5A132F" w14:textId="77777777" w:rsidR="00DB2B68" w:rsidRDefault="00000000">
      <w:pPr>
        <w:pStyle w:val="pheading"/>
      </w:pPr>
      <w:r>
        <w:t>DESCRIPTION</w:t>
      </w:r>
    </w:p>
    <w:p w14:paraId="3D9EE204" w14:textId="77777777" w:rsidR="00DB2B68" w:rsidRDefault="00000000">
      <w:pPr>
        <w:pStyle w:val="pheading"/>
      </w:pPr>
      <w:r>
        <w:t>- Définition / Comprend</w:t>
      </w:r>
    </w:p>
    <w:p w14:paraId="13519BAE" w14:textId="77777777" w:rsidR="00DB2B68" w:rsidRDefault="00000000">
      <w:r>
        <w:t>Renvoi à 06.82.2d Créations de baies dans éléments de structures en acier</w:t>
      </w:r>
    </w:p>
    <w:p w14:paraId="3CCE2F16" w14:textId="77777777" w:rsidR="00DB2B68" w:rsidRDefault="00000000">
      <w:pPr>
        <w:pStyle w:val="Author-eSectionHeading6Numberless"/>
      </w:pPr>
      <w:bookmarkStart w:id="1534" w:name="_Toc220496532"/>
      <w:r>
        <w:t>23.85.1b Adaptations dimensionnelles de baies existantes dans structures métalliques CCTB 01.04</w:t>
      </w:r>
      <w:bookmarkEnd w:id="1534"/>
    </w:p>
    <w:p w14:paraId="4CF146C4" w14:textId="77777777" w:rsidR="00DB2B68" w:rsidRDefault="00000000">
      <w:pPr>
        <w:pStyle w:val="pheading"/>
      </w:pPr>
      <w:r>
        <w:t>DESCRIPTION</w:t>
      </w:r>
    </w:p>
    <w:p w14:paraId="5F34BCFF" w14:textId="77777777" w:rsidR="00DB2B68" w:rsidRDefault="00000000">
      <w:pPr>
        <w:pStyle w:val="pheading"/>
      </w:pPr>
      <w:r>
        <w:t>- Définition / Comprend</w:t>
      </w:r>
    </w:p>
    <w:p w14:paraId="05435CC8" w14:textId="77777777" w:rsidR="00DB2B68" w:rsidRDefault="00000000">
      <w:r>
        <w:t>Renvoi à 06.82.3d Adaptations dimensionnelles de baies, avec reprise de charges, dans éléments de structures en acier et 06.82.4d Adaptations dimensionnelles de baies, sans reprise de charges, dans éléments de structures en acier</w:t>
      </w:r>
    </w:p>
    <w:p w14:paraId="044B057B" w14:textId="77777777" w:rsidR="00DB2B68" w:rsidRDefault="00000000">
      <w:pPr>
        <w:pStyle w:val="Author-eSectionHeading6Numberless"/>
      </w:pPr>
      <w:bookmarkStart w:id="1535" w:name="_Toc220496533"/>
      <w:r>
        <w:t>23.85.1c Obturations de baies existantes dans structures métalliques CCTB 01.02</w:t>
      </w:r>
      <w:bookmarkEnd w:id="1535"/>
    </w:p>
    <w:p w14:paraId="4D1DE23A" w14:textId="77777777" w:rsidR="00DB2B68" w:rsidRDefault="00000000">
      <w:pPr>
        <w:pStyle w:val="Author-eSectionHeading4Numberless"/>
      </w:pPr>
      <w:bookmarkStart w:id="1536" w:name="_Toc220496534"/>
      <w:r>
        <w:t>23.86 Reposes / remplacements (à l'identique) CCTB 01.02</w:t>
      </w:r>
      <w:bookmarkEnd w:id="1536"/>
    </w:p>
    <w:p w14:paraId="0E7C9ACC" w14:textId="77777777" w:rsidR="00DB2B68" w:rsidRDefault="00000000">
      <w:pPr>
        <w:pStyle w:val="Author-eSectionHeading5Numberless"/>
      </w:pPr>
      <w:bookmarkStart w:id="1537" w:name="_Toc220496535"/>
      <w:r>
        <w:t>23.86.1 Reposes d'éléments de structures métalliques récupérés CCTB 01.04</w:t>
      </w:r>
      <w:bookmarkEnd w:id="1537"/>
    </w:p>
    <w:p w14:paraId="5D4B41C6" w14:textId="77777777" w:rsidR="00DB2B68" w:rsidRDefault="00000000">
      <w:pPr>
        <w:pStyle w:val="Author-eSectionHeading6Numberless"/>
      </w:pPr>
      <w:bookmarkStart w:id="1538" w:name="_Toc220496536"/>
      <w:r>
        <w:t>23.86.1a Reposes d'éléments de structures métalliques récupérés CCTB 01.04</w:t>
      </w:r>
      <w:bookmarkEnd w:id="1538"/>
    </w:p>
    <w:p w14:paraId="2B273594" w14:textId="77777777" w:rsidR="00DB2B68" w:rsidRDefault="00000000">
      <w:pPr>
        <w:pStyle w:val="Author-eSectionHeading5Numberless"/>
      </w:pPr>
      <w:bookmarkStart w:id="1539" w:name="_Toc220496537"/>
      <w:r>
        <w:t>23.86.2 Remplacements complets à l'identique de structures métalliques CCTB 01.04</w:t>
      </w:r>
      <w:bookmarkEnd w:id="1539"/>
    </w:p>
    <w:p w14:paraId="1A3F30C8" w14:textId="77777777" w:rsidR="00DB2B68" w:rsidRDefault="00000000">
      <w:pPr>
        <w:pStyle w:val="pheading"/>
      </w:pPr>
      <w:r>
        <w:t>DESCRIPTION</w:t>
      </w:r>
    </w:p>
    <w:p w14:paraId="053F1D1C" w14:textId="77777777" w:rsidR="00DB2B68" w:rsidRDefault="00000000">
      <w:pPr>
        <w:pStyle w:val="pheading"/>
      </w:pPr>
      <w:r>
        <w:t>- Définition / Comprend</w:t>
      </w:r>
    </w:p>
    <w:p w14:paraId="614C7457" w14:textId="77777777" w:rsidR="00DB2B68" w:rsidRDefault="00000000">
      <w:r>
        <w:t xml:space="preserve">Renvoi au § </w:t>
      </w:r>
      <w:hyperlink w:anchor="349" w:history="1">
        <w:r>
          <w:rPr>
            <w:color w:val="0000EE"/>
          </w:rPr>
          <w:t>23 Superstructures métalliques</w:t>
        </w:r>
      </w:hyperlink>
    </w:p>
    <w:p w14:paraId="4D181E26" w14:textId="77777777" w:rsidR="00DB2B68" w:rsidRDefault="00000000">
      <w:pPr>
        <w:pStyle w:val="Author-eSectionHeading5Numberless"/>
      </w:pPr>
      <w:bookmarkStart w:id="1540" w:name="_Toc220496538"/>
      <w:r>
        <w:t>23.86.3 Remplacements complets de profils métalliques CCTB 01.02</w:t>
      </w:r>
      <w:bookmarkEnd w:id="1540"/>
    </w:p>
    <w:p w14:paraId="31496AE7" w14:textId="77777777" w:rsidR="00DB2B68" w:rsidRDefault="00000000">
      <w:pPr>
        <w:pStyle w:val="Author-eSectionHeading6Numberless"/>
      </w:pPr>
      <w:bookmarkStart w:id="1541" w:name="_Toc220496539"/>
      <w:r>
        <w:t>23.86.3a Remplacements de profils métalliques isolés CCTB 01.02</w:t>
      </w:r>
      <w:bookmarkEnd w:id="1541"/>
    </w:p>
    <w:p w14:paraId="6896E440" w14:textId="77777777" w:rsidR="00DB2B68" w:rsidRDefault="00000000">
      <w:pPr>
        <w:pStyle w:val="Author-eSectionHeading6Numberless"/>
      </w:pPr>
      <w:bookmarkStart w:id="1542" w:name="_Toc220496540"/>
      <w:r>
        <w:lastRenderedPageBreak/>
        <w:t>23.86.3b Remplacements de profils métalliques faisant partie d'une structure / charpente CCTB 01.02</w:t>
      </w:r>
      <w:bookmarkEnd w:id="1542"/>
    </w:p>
    <w:p w14:paraId="7FBF5E43" w14:textId="77777777" w:rsidR="00DB2B68" w:rsidRDefault="00000000">
      <w:pPr>
        <w:pStyle w:val="Author-eSectionHeading5Numberless"/>
      </w:pPr>
      <w:bookmarkStart w:id="1543" w:name="_Toc220496541"/>
      <w:r>
        <w:t>23.86.4 Remplacements partiels de profils métalliques CCTB 01.02</w:t>
      </w:r>
      <w:bookmarkEnd w:id="1543"/>
    </w:p>
    <w:p w14:paraId="6B902992" w14:textId="77777777" w:rsidR="00DB2B68" w:rsidRDefault="00000000">
      <w:pPr>
        <w:pStyle w:val="Author-eSectionHeading6Numberless"/>
      </w:pPr>
      <w:bookmarkStart w:id="1544" w:name="_Toc220496542"/>
      <w:r>
        <w:t>23.86.4a Remplacements de pieds de structures métalliques défectueux CCTB 01.02</w:t>
      </w:r>
      <w:bookmarkEnd w:id="1544"/>
    </w:p>
    <w:p w14:paraId="1497C259" w14:textId="77777777" w:rsidR="00DB2B68" w:rsidRDefault="00000000">
      <w:pPr>
        <w:pStyle w:val="Author-eSectionHeading6Numberless"/>
      </w:pPr>
      <w:bookmarkStart w:id="1545" w:name="_Toc220496543"/>
      <w:r>
        <w:t>23.86.4b Remplacements de parties de profils métalliques défectueuses CCTB 01.02</w:t>
      </w:r>
      <w:bookmarkEnd w:id="1545"/>
    </w:p>
    <w:p w14:paraId="1D0790FF" w14:textId="77777777" w:rsidR="00DB2B68" w:rsidRDefault="00000000">
      <w:pPr>
        <w:pStyle w:val="Author-eSectionHeading5Numberless"/>
      </w:pPr>
      <w:bookmarkStart w:id="1546" w:name="_Toc220496544"/>
      <w:r>
        <w:t>23.86.5 Remplacements d'éléments de fixation / assemblage métallique CCTB 01.02</w:t>
      </w:r>
      <w:bookmarkEnd w:id="1546"/>
    </w:p>
    <w:p w14:paraId="4652571C" w14:textId="77777777" w:rsidR="00DB2B68" w:rsidRDefault="00000000">
      <w:pPr>
        <w:pStyle w:val="Author-eSectionHeading6Numberless"/>
      </w:pPr>
      <w:bookmarkStart w:id="1547" w:name="_Toc220496545"/>
      <w:r>
        <w:t>23.86.5a Remplacements de rivets défectueux CCTB 01.02</w:t>
      </w:r>
      <w:bookmarkEnd w:id="1547"/>
    </w:p>
    <w:p w14:paraId="5FE4AA28" w14:textId="77777777" w:rsidR="00DB2B68" w:rsidRDefault="00000000">
      <w:pPr>
        <w:pStyle w:val="Author-eSectionHeading6Numberless"/>
      </w:pPr>
      <w:bookmarkStart w:id="1548" w:name="_Toc220496546"/>
      <w:r>
        <w:t>23.86.5b Remplacements de boulons défectueux CCTB 01.02</w:t>
      </w:r>
      <w:bookmarkEnd w:id="1548"/>
    </w:p>
    <w:p w14:paraId="6260AA54" w14:textId="77777777" w:rsidR="00DB2B68" w:rsidRDefault="00000000">
      <w:pPr>
        <w:pStyle w:val="Author-eSectionHeading6Numberless"/>
      </w:pPr>
      <w:bookmarkStart w:id="1549" w:name="_Toc220496547"/>
      <w:r>
        <w:t>23.86.5c Remplacements de cordons de soudure défectueux CCTB 01.10</w:t>
      </w:r>
      <w:bookmarkEnd w:id="1549"/>
    </w:p>
    <w:p w14:paraId="317344A3" w14:textId="77777777" w:rsidR="00DB2B68" w:rsidRDefault="00000000">
      <w:pPr>
        <w:pStyle w:val="Author-eSectionHeading4Numberless"/>
      </w:pPr>
      <w:bookmarkStart w:id="1550" w:name="_Toc220496548"/>
      <w:r>
        <w:t>23.87 Nettoyages / préparations de surface CCTB 01.04</w:t>
      </w:r>
      <w:bookmarkEnd w:id="1550"/>
    </w:p>
    <w:p w14:paraId="2E1CFF2D" w14:textId="77777777" w:rsidR="00DB2B68" w:rsidRDefault="00000000">
      <w:pPr>
        <w:pStyle w:val="pheading"/>
      </w:pPr>
      <w:r>
        <w:t>DESCRIPTION</w:t>
      </w:r>
    </w:p>
    <w:p w14:paraId="297632A6" w14:textId="77777777" w:rsidR="00DB2B68" w:rsidRDefault="00000000">
      <w:pPr>
        <w:pStyle w:val="pheading"/>
      </w:pPr>
      <w:r>
        <w:t>- Définition / Comprend</w:t>
      </w:r>
    </w:p>
    <w:p w14:paraId="3681C0DA" w14:textId="77777777" w:rsidR="00DB2B68" w:rsidRDefault="00000000">
      <w:r>
        <w:t>Renvoi au § 83.31 Nettoyage / préparation de surface</w:t>
      </w:r>
    </w:p>
    <w:p w14:paraId="2AD04E07" w14:textId="77777777" w:rsidR="00DB2B68" w:rsidRDefault="00000000">
      <w:pPr>
        <w:pStyle w:val="Author-eSectionHeading4Numberless"/>
      </w:pPr>
      <w:bookmarkStart w:id="1551" w:name="_Toc220496549"/>
      <w:r>
        <w:t>23.88 Traitements et protections CCTB 01.04</w:t>
      </w:r>
      <w:bookmarkEnd w:id="1551"/>
    </w:p>
    <w:p w14:paraId="144E2C6D" w14:textId="77777777" w:rsidR="00DB2B68" w:rsidRDefault="00000000">
      <w:pPr>
        <w:pStyle w:val="pheading"/>
      </w:pPr>
      <w:r>
        <w:t>DESCRIPTION</w:t>
      </w:r>
    </w:p>
    <w:p w14:paraId="160B08D3" w14:textId="77777777" w:rsidR="00DB2B68" w:rsidRDefault="00000000">
      <w:pPr>
        <w:pStyle w:val="pheading"/>
      </w:pPr>
      <w:r>
        <w:t>- Définition / Comprend</w:t>
      </w:r>
    </w:p>
    <w:p w14:paraId="405E351C" w14:textId="77777777" w:rsidR="00DB2B68" w:rsidRDefault="00000000">
      <w:r>
        <w:t>Renvoi au § 83.3 Subjectiles métalliques</w:t>
      </w:r>
    </w:p>
    <w:p w14:paraId="79283E52" w14:textId="77777777" w:rsidR="00DB2B68" w:rsidRDefault="00000000">
      <w:pPr>
        <w:pStyle w:val="Author-eSectionHeading2Numberless"/>
      </w:pPr>
      <w:bookmarkStart w:id="1552" w:name="_Toc220496550"/>
      <w:r>
        <w:t>24 Superstructures en bois CCTB 01.13</w:t>
      </w:r>
      <w:bookmarkEnd w:id="1552"/>
    </w:p>
    <w:p w14:paraId="17EBD71D" w14:textId="77777777" w:rsidR="00DB2B68" w:rsidRDefault="00000000">
      <w:pPr>
        <w:pStyle w:val="pheading"/>
      </w:pPr>
      <w:bookmarkStart w:id="1553" w:name="89"/>
      <w:bookmarkEnd w:id="1553"/>
      <w:r>
        <w:t>DESCRIPTION</w:t>
      </w:r>
    </w:p>
    <w:p w14:paraId="4DA828CF" w14:textId="77777777" w:rsidR="00DB2B68" w:rsidRDefault="00000000">
      <w:pPr>
        <w:pStyle w:val="pheading"/>
      </w:pPr>
      <w:r>
        <w:t>- Définition / Comprend</w:t>
      </w:r>
    </w:p>
    <w:p w14:paraId="47326CA8" w14:textId="77777777" w:rsidR="00DB2B68" w:rsidRDefault="00000000">
      <w:pPr>
        <w:jc w:val="both"/>
      </w:pPr>
      <w:r>
        <w:t>Il s’agit des composants en bois exerçant une fonction mécanique et des éléments qui leur sont directement associés.</w:t>
      </w:r>
    </w:p>
    <w:p w14:paraId="747F529A" w14:textId="77777777" w:rsidR="00DB2B68" w:rsidRDefault="00000000">
      <w:pPr>
        <w:jc w:val="both"/>
      </w:pPr>
      <w:r>
        <w:t>Sauf mention contraire au cahier spécial des charges, le travail comprend notamment :</w:t>
      </w:r>
    </w:p>
    <w:p w14:paraId="5390DB86" w14:textId="77777777" w:rsidR="00DB2B68" w:rsidRDefault="00000000">
      <w:pPr>
        <w:pStyle w:val="Author-eListParagraph"/>
        <w:numPr>
          <w:ilvl w:val="0"/>
          <w:numId w:val="769"/>
        </w:numPr>
      </w:pPr>
      <w:r>
        <w:t>le dressage et la fourniture des plans d'exécution à établir par l’entrepreneur et pour approbation par le maître de l’ouvrage ;</w:t>
      </w:r>
    </w:p>
    <w:p w14:paraId="77428E00" w14:textId="77777777" w:rsidR="00DB2B68" w:rsidRDefault="00000000">
      <w:pPr>
        <w:pStyle w:val="Author-eListParagraph"/>
        <w:numPr>
          <w:ilvl w:val="0"/>
          <w:numId w:val="770"/>
        </w:numPr>
      </w:pPr>
      <w:r>
        <w:t>la fabrication et la fourniture des éléments telles que définies sur les plans avec pentes, courbures, cintrages, façonnages (découpes et entailles, forages et pré forages, défonçages), ferrures, sabots, connecteurs (vis, tirefonds, boulons, broches, crampons, rondelles, etc.), colles, bouchons, tiges filetées, organes métalliques divers, accessoires éventuels, scellements, ancrages, remplissages, calages, etc. ;</w:t>
      </w:r>
    </w:p>
    <w:p w14:paraId="4F4E8C89" w14:textId="77777777" w:rsidR="00DB2B68" w:rsidRDefault="00000000">
      <w:pPr>
        <w:pStyle w:val="Author-eListParagraph"/>
        <w:numPr>
          <w:ilvl w:val="0"/>
          <w:numId w:val="771"/>
        </w:numPr>
      </w:pPr>
      <w:r>
        <w:t>la préservation ;</w:t>
      </w:r>
    </w:p>
    <w:p w14:paraId="13724B66" w14:textId="77777777" w:rsidR="00DB2B68" w:rsidRDefault="00000000">
      <w:pPr>
        <w:pStyle w:val="Author-eListParagraph"/>
        <w:numPr>
          <w:ilvl w:val="0"/>
          <w:numId w:val="772"/>
        </w:numPr>
      </w:pPr>
      <w:r>
        <w:t>la préparation des surfaces, les traitements et produits de finition (essais et nombre de couches nécessaires) ;</w:t>
      </w:r>
    </w:p>
    <w:p w14:paraId="22C3438D" w14:textId="77777777" w:rsidR="00DB2B68" w:rsidRDefault="00000000">
      <w:pPr>
        <w:pStyle w:val="Author-eListParagraph"/>
        <w:numPr>
          <w:ilvl w:val="0"/>
          <w:numId w:val="773"/>
        </w:numPr>
      </w:pPr>
      <w:r>
        <w:t>les échantillons demandés par le maître de l’ouvrage ;</w:t>
      </w:r>
    </w:p>
    <w:p w14:paraId="3803343E" w14:textId="77777777" w:rsidR="00DB2B68" w:rsidRDefault="00000000">
      <w:pPr>
        <w:pStyle w:val="Author-eListParagraph"/>
        <w:numPr>
          <w:ilvl w:val="0"/>
          <w:numId w:val="774"/>
        </w:numPr>
      </w:pPr>
      <w:r>
        <w:t>la réalisation de toutes les réservations et ouvertures ;</w:t>
      </w:r>
    </w:p>
    <w:p w14:paraId="6DF7F4F4" w14:textId="77777777" w:rsidR="00DB2B68" w:rsidRDefault="00000000">
      <w:pPr>
        <w:pStyle w:val="Author-eListParagraph"/>
        <w:numPr>
          <w:ilvl w:val="0"/>
          <w:numId w:val="775"/>
        </w:numPr>
      </w:pPr>
      <w:r>
        <w:t>la pose des éléments avec leur mise à niveau et le montage (assemblages, etc.) ;</w:t>
      </w:r>
    </w:p>
    <w:p w14:paraId="5C7D2AF3" w14:textId="77777777" w:rsidR="00DB2B68" w:rsidRDefault="00000000">
      <w:pPr>
        <w:pStyle w:val="Author-eListParagraph"/>
        <w:numPr>
          <w:ilvl w:val="0"/>
          <w:numId w:val="776"/>
        </w:numPr>
      </w:pPr>
      <w:r>
        <w:t>la protection face aux intempéries lors du transport, stockage et montage jusqu’à la protection définitive des éléments en bois ;</w:t>
      </w:r>
    </w:p>
    <w:p w14:paraId="48E5A549" w14:textId="77777777" w:rsidR="00DB2B68" w:rsidRDefault="00000000">
      <w:pPr>
        <w:pStyle w:val="Author-eListParagraph"/>
        <w:numPr>
          <w:ilvl w:val="0"/>
          <w:numId w:val="777"/>
        </w:numPr>
        <w:jc w:val="both"/>
      </w:pPr>
      <w:r>
        <w:lastRenderedPageBreak/>
        <w:t>toute sujétion relative aux travaux décrits.</w:t>
      </w:r>
    </w:p>
    <w:p w14:paraId="2D02C8C6" w14:textId="77777777" w:rsidR="00DB2B68" w:rsidRDefault="00000000">
      <w:pPr>
        <w:pStyle w:val="pheading"/>
      </w:pPr>
      <w:r>
        <w:t>MATÉRIAUX</w:t>
      </w:r>
    </w:p>
    <w:p w14:paraId="5EDD12F1" w14:textId="77777777" w:rsidR="00DB2B68" w:rsidRDefault="00000000">
      <w:pPr>
        <w:pStyle w:val="heading"/>
        <w:jc w:val="both"/>
      </w:pPr>
      <w:r>
        <w:rPr>
          <w:rStyle w:val="headingChar"/>
        </w:rPr>
        <w:t>PRODUCTION DES ELEMENT</w:t>
      </w:r>
      <w:r>
        <w:t>S</w:t>
      </w:r>
    </w:p>
    <w:p w14:paraId="622C9E89" w14:textId="77777777" w:rsidR="00DB2B68" w:rsidRDefault="00000000">
      <w:pPr>
        <w:ind w:left="567"/>
      </w:pPr>
      <w:r>
        <w:rPr>
          <w:b/>
        </w:rPr>
        <w:t>PROVENANCE DES BOIS</w:t>
      </w:r>
    </w:p>
    <w:p w14:paraId="64CAD8B1" w14:textId="77777777" w:rsidR="00DB2B68" w:rsidRDefault="00000000">
      <w:pPr>
        <w:jc w:val="both"/>
      </w:pPr>
      <w:r>
        <w:t>Conformément au chapitre 02.42.4 Bois provenant de forêts gérées durablement, le bois utilisé dispose de documents prouvant qu’il provient de forêts gérées durablement.</w:t>
      </w:r>
    </w:p>
    <w:p w14:paraId="54E7DFDB" w14:textId="77777777" w:rsidR="00DB2B68" w:rsidRDefault="00000000">
      <w:pPr>
        <w:ind w:left="567"/>
        <w:jc w:val="both"/>
      </w:pPr>
      <w:r>
        <w:rPr>
          <w:b/>
        </w:rPr>
        <w:t xml:space="preserve">COLLES </w:t>
      </w:r>
    </w:p>
    <w:p w14:paraId="5E83C16E" w14:textId="77777777" w:rsidR="00DB2B68" w:rsidRDefault="00000000">
      <w:pPr>
        <w:jc w:val="both"/>
      </w:pPr>
      <w:r>
        <w:t>Les colles utilisées pour la fabrication d’éléments de structure à base de bois respectent une des normes suivantes :</w:t>
      </w:r>
    </w:p>
    <w:p w14:paraId="7FA06FE0" w14:textId="77777777" w:rsidR="00DB2B68" w:rsidRDefault="00000000">
      <w:pPr>
        <w:jc w:val="both"/>
      </w:pPr>
      <w:r>
        <w:t>Pour les usages structuraux :</w:t>
      </w:r>
    </w:p>
    <w:p w14:paraId="48F0D930" w14:textId="77777777" w:rsidR="00DB2B68" w:rsidRDefault="00000000">
      <w:pPr>
        <w:pStyle w:val="Author-eListParagraph"/>
        <w:numPr>
          <w:ilvl w:val="0"/>
          <w:numId w:val="778"/>
        </w:numPr>
      </w:pPr>
      <w:r>
        <w:t>la [NBN EN 301], concernant les adhésifs de nature phénolique et aminoplaste ;</w:t>
      </w:r>
    </w:p>
    <w:p w14:paraId="5AC8E72B" w14:textId="77777777" w:rsidR="00DB2B68" w:rsidRDefault="00000000">
      <w:pPr>
        <w:pStyle w:val="Author-eListParagraph"/>
        <w:numPr>
          <w:ilvl w:val="0"/>
          <w:numId w:val="778"/>
        </w:numPr>
      </w:pPr>
      <w:r>
        <w:t>la [NBN EN 15425], concernant les adhésifs polyuréthane monocomposants ;</w:t>
      </w:r>
    </w:p>
    <w:p w14:paraId="68594991" w14:textId="77777777" w:rsidR="00DB2B68" w:rsidRDefault="00000000">
      <w:pPr>
        <w:pStyle w:val="Author-eListParagraph"/>
        <w:numPr>
          <w:ilvl w:val="0"/>
          <w:numId w:val="778"/>
        </w:numPr>
      </w:pPr>
      <w:r>
        <w:t>la [NBN EN 16254:2013+A1], concernant les adhésifs isocyanate polymérisé en émulsion (EPI) ;</w:t>
      </w:r>
    </w:p>
    <w:p w14:paraId="44681D90" w14:textId="77777777" w:rsidR="00DB2B68" w:rsidRDefault="00000000">
      <w:pPr>
        <w:pStyle w:val="Author-eListParagraph"/>
        <w:numPr>
          <w:ilvl w:val="0"/>
          <w:numId w:val="778"/>
        </w:numPr>
      </w:pPr>
      <w:r>
        <w:t>la [NBN EN 12436], concernant les adhésifs à base de caséine.</w:t>
      </w:r>
    </w:p>
    <w:p w14:paraId="6942E7A4" w14:textId="77777777" w:rsidR="00DB2B68" w:rsidRDefault="00000000">
      <w:pPr>
        <w:jc w:val="both"/>
      </w:pPr>
      <w:r>
        <w:t>Pour les usages non structuraux :</w:t>
      </w:r>
    </w:p>
    <w:p w14:paraId="46BD5F9C" w14:textId="77777777" w:rsidR="00DB2B68" w:rsidRDefault="00000000">
      <w:pPr>
        <w:pStyle w:val="Author-eListParagraph"/>
        <w:numPr>
          <w:ilvl w:val="0"/>
          <w:numId w:val="779"/>
        </w:numPr>
      </w:pPr>
      <w:r>
        <w:t>la [NBN EN 204], concernant les colles thermoplastiques ;</w:t>
      </w:r>
    </w:p>
    <w:p w14:paraId="6A09C620" w14:textId="77777777" w:rsidR="00DB2B68" w:rsidRDefault="00000000">
      <w:pPr>
        <w:pStyle w:val="Author-eListParagraph"/>
        <w:numPr>
          <w:ilvl w:val="0"/>
          <w:numId w:val="779"/>
        </w:numPr>
      </w:pPr>
      <w:r>
        <w:t>la [NBN EN 12765], concernant les colles thermodurcissables.</w:t>
      </w:r>
    </w:p>
    <w:p w14:paraId="1402AD64" w14:textId="77777777" w:rsidR="00DB2B68" w:rsidRDefault="00000000">
      <w:pPr>
        <w:jc w:val="both"/>
      </w:pPr>
      <w:r>
        <w:t>Le choix de la colle et de son type sont déterminés par la classe d’emploi.</w:t>
      </w:r>
    </w:p>
    <w:p w14:paraId="45C2A128" w14:textId="77777777" w:rsidR="00DB2B68" w:rsidRDefault="00000000">
      <w:pPr>
        <w:ind w:left="567"/>
        <w:jc w:val="both"/>
      </w:pPr>
      <w:r>
        <w:rPr>
          <w:b/>
        </w:rPr>
        <w:t>EMISSION DE FORMALDEHYDE</w:t>
      </w:r>
    </w:p>
    <w:p w14:paraId="56AD4E7A" w14:textId="77777777" w:rsidR="00DB2B68" w:rsidRDefault="00000000">
      <w:pPr>
        <w:jc w:val="both"/>
      </w:pPr>
      <w:r>
        <w:t>Lorsqu’une colle entre dans la composition d’un produit à base de bois, une classe d’émission de formaldéhyde est attribuée à celui-ci. Si la colle ne contient pas de formaldéhyde, la classe d’émission E1 est automatiquement attribuée.</w:t>
      </w:r>
    </w:p>
    <w:p w14:paraId="51A87B15" w14:textId="77777777" w:rsidR="00DB2B68" w:rsidRDefault="00000000">
      <w:pPr>
        <w:jc w:val="both"/>
      </w:pPr>
      <w:r>
        <w:t>La classe d’émission est renseignée sur les documents accompagnant le marquage CE. Si le matériau n’est pas marqué CE, un essai suivant la [NBN EN ISO 12460-3] doit être réalisé par un laboratoire accrédité.</w:t>
      </w:r>
    </w:p>
    <w:p w14:paraId="4786A986" w14:textId="77777777" w:rsidR="00DB2B68" w:rsidRDefault="00000000">
      <w:pPr>
        <w:jc w:val="both"/>
      </w:pPr>
      <w:r>
        <w:t>L’[AR 2014-05-08] établissant les niveaux seuils pour les émissions dans l’environnement intérieur de produits de construction pour certains usages prévus et ses éventuelles modifications sont d’application.</w:t>
      </w:r>
    </w:p>
    <w:p w14:paraId="14224BCE" w14:textId="77777777" w:rsidR="00DB2B68" w:rsidRDefault="00000000">
      <w:pPr>
        <w:ind w:left="567"/>
        <w:jc w:val="both"/>
      </w:pPr>
      <w:r>
        <w:rPr>
          <w:b/>
        </w:rPr>
        <w:t>TOLERANCES SUR LES DIMENSIONS DES PRODUITS FINIS</w:t>
      </w:r>
    </w:p>
    <w:p w14:paraId="02C2D450" w14:textId="77777777" w:rsidR="00DB2B68" w:rsidRDefault="00000000">
      <w:pPr>
        <w:jc w:val="both"/>
      </w:pPr>
      <w:r>
        <w:t>Les dimensions sont toujours données pour une teneur en humidité du bois de référence. Lorsque la mesure des dimensions est effectuée à une teneur en humidité différente de la référence, des corrections sur les valeurs mesurées doivent être apportées. Ces valeurs de référence et les corrections à apporter sont précisées dans les normes produits.</w:t>
      </w:r>
    </w:p>
    <w:p w14:paraId="0757B691" w14:textId="77777777" w:rsidR="00DB2B68" w:rsidRDefault="00000000">
      <w:pPr>
        <w:jc w:val="both"/>
      </w:pPr>
      <w:r>
        <w:t>A moins que des tolérances plus strictes ne soient précisées dans le cahier spécial des charges, tous les éléments structuraux en bois massif, aboutés ou non, satisfont à la classe de tolérance 2 de la [NBN EN 336] et à la [NBN EN 1313 série].</w:t>
      </w:r>
    </w:p>
    <w:p w14:paraId="4B038051" w14:textId="77777777" w:rsidR="00DB2B68" w:rsidRDefault="00000000">
      <w:pPr>
        <w:jc w:val="both"/>
      </w:pPr>
      <w:r>
        <w:t>Pour les produits en bois lamellés collés, les exigences précisées dans la [NBN EN 14080] sont d’application.</w:t>
      </w:r>
    </w:p>
    <w:p w14:paraId="605E7144" w14:textId="77777777" w:rsidR="00DB2B68" w:rsidRDefault="00000000">
      <w:pPr>
        <w:jc w:val="both"/>
      </w:pPr>
      <w:r>
        <w:t>Pour les produits en bois lamellés croisés, les exigences précisées dans la [NBN EN 16351] sont d’application.</w:t>
      </w:r>
    </w:p>
    <w:p w14:paraId="222C240F" w14:textId="77777777" w:rsidR="00DB2B68" w:rsidRDefault="00000000">
      <w:pPr>
        <w:jc w:val="both"/>
      </w:pPr>
      <w:r>
        <w:t>Pour le lamibois (LVL), les exigences précisées dans la [NBN EN 14374] sont d’application.</w:t>
      </w:r>
    </w:p>
    <w:p w14:paraId="12700B93" w14:textId="77777777" w:rsidR="00DB2B68" w:rsidRDefault="00000000">
      <w:pPr>
        <w:jc w:val="both"/>
      </w:pPr>
      <w:r>
        <w:t>Pour les panneaux contreplaqués, les exigences précisées dans la [NBN EN 315] sont d’application.</w:t>
      </w:r>
    </w:p>
    <w:p w14:paraId="6F78BBC0" w14:textId="77777777" w:rsidR="00DB2B68" w:rsidRDefault="00000000">
      <w:pPr>
        <w:jc w:val="both"/>
      </w:pPr>
      <w:r>
        <w:t>Pour les panneaux de particules, les exigences précisées dans la [NBN EN 312] sont d’application.</w:t>
      </w:r>
    </w:p>
    <w:p w14:paraId="05C79B2E" w14:textId="77777777" w:rsidR="00DB2B68" w:rsidRDefault="00000000">
      <w:pPr>
        <w:jc w:val="both"/>
      </w:pPr>
      <w:r>
        <w:t>Pour les panneaux de fibres, les exigences précisées dans la [NBN EN 622 série] sont d’application.</w:t>
      </w:r>
    </w:p>
    <w:p w14:paraId="5598F2E0" w14:textId="77777777" w:rsidR="00DB2B68" w:rsidRDefault="00000000">
      <w:pPr>
        <w:jc w:val="both"/>
      </w:pPr>
      <w:r>
        <w:lastRenderedPageBreak/>
        <w:t>Pour les panneaux OSB, les exigences précisées dans la [NBN EN 300] sont d’application.</w:t>
      </w:r>
    </w:p>
    <w:p w14:paraId="67AA59EF" w14:textId="77777777" w:rsidR="00DB2B68" w:rsidRDefault="00DB2B68"/>
    <w:p w14:paraId="0D490882" w14:textId="77777777" w:rsidR="00DB2B68" w:rsidRDefault="00000000">
      <w:pPr>
        <w:ind w:left="567"/>
        <w:jc w:val="both"/>
      </w:pPr>
      <w:r>
        <w:rPr>
          <w:b/>
        </w:rPr>
        <w:t>MARQUAGE QUALITE DES ELEMENTS</w:t>
      </w:r>
    </w:p>
    <w:p w14:paraId="45D81F2B" w14:textId="77777777" w:rsidR="00DB2B68" w:rsidRDefault="00000000">
      <w:pPr>
        <w:jc w:val="both"/>
      </w:pPr>
      <w:r>
        <w:t>Les critères d’acceptabilité d’un matériau sont décrits au chapitre 02.42.1 Critères d'acceptabilité du présent cahier des charges. Les modalités concernant les réceptions techniques sont décrites au sous-titre A4.62 Modes de réceptions techniques.</w:t>
      </w:r>
    </w:p>
    <w:p w14:paraId="0F309A74" w14:textId="77777777" w:rsidR="00DB2B68" w:rsidRDefault="00000000">
      <w:pPr>
        <w:jc w:val="both"/>
      </w:pPr>
      <w:r>
        <w:t>Le marquage CE d’un produit de construction est obligatoire si celui-ci entre dans le champ d’application d’une norme harmonisée.</w:t>
      </w:r>
    </w:p>
    <w:p w14:paraId="56A201D9" w14:textId="77777777" w:rsidR="00DB2B68" w:rsidRDefault="00000000">
      <w:pPr>
        <w:jc w:val="both"/>
      </w:pPr>
      <w:r>
        <w:t>Si ce n’est pas le cas, un marquage peut être apposé sur base volontaire sur base d’un document d’évaluation européen (EAD).</w:t>
      </w:r>
    </w:p>
    <w:p w14:paraId="202DB408" w14:textId="77777777" w:rsidR="00DB2B68" w:rsidRDefault="00000000">
      <w:pPr>
        <w:jc w:val="both"/>
      </w:pPr>
      <w:r>
        <w:t>Si le produit n’a pas encore fait l’objet d’un marquage CE, et qu’il ne satisfait pas les critères du chapitre 02.42.1 Critères d'acceptabilité, il est validé par le maître d’ouvrage sur base d’un résultat d’essai et/ou une note de calculs fourni par un organisme compétent.</w:t>
      </w:r>
    </w:p>
    <w:p w14:paraId="1460545A" w14:textId="77777777" w:rsidR="00DB2B68" w:rsidRDefault="00DB2B68"/>
    <w:p w14:paraId="4E90B213" w14:textId="77777777" w:rsidR="00DB2B68" w:rsidRDefault="00000000">
      <w:pPr>
        <w:jc w:val="both"/>
      </w:pPr>
      <w:r>
        <w:rPr>
          <w:rStyle w:val="headingChar"/>
        </w:rPr>
        <w:t>Comportement DES ELEMENTS</w:t>
      </w:r>
    </w:p>
    <w:p w14:paraId="200C5148" w14:textId="77777777" w:rsidR="00DB2B68" w:rsidRDefault="00000000">
      <w:pPr>
        <w:ind w:left="567"/>
        <w:jc w:val="both"/>
      </w:pPr>
      <w:r>
        <w:rPr>
          <w:b/>
        </w:rPr>
        <w:t>CLASSE D’EMPLOI</w:t>
      </w:r>
    </w:p>
    <w:p w14:paraId="1396EA7C" w14:textId="77777777" w:rsidR="00DB2B68" w:rsidRDefault="00000000">
      <w:pPr>
        <w:jc w:val="both"/>
      </w:pPr>
      <w:r>
        <w:t xml:space="preserve">Pour chaque élément de structure en bois ou en matériau à base de bois, une classe d’emploi est déterminée. </w:t>
      </w:r>
    </w:p>
    <w:p w14:paraId="1FAE5AC9" w14:textId="77777777" w:rsidR="00DB2B68" w:rsidRDefault="00000000">
      <w:pPr>
        <w:jc w:val="both"/>
      </w:pPr>
      <w:r>
        <w:t>Les classes d’emploi sont fonction du risque de dégradation auquel l’élément est soumis. La classe d’emploi d’un élément est déterminée suivant la [NBN EN 335].</w:t>
      </w:r>
    </w:p>
    <w:p w14:paraId="7EDD8C49" w14:textId="77777777" w:rsidR="00DB2B68" w:rsidRDefault="00000000">
      <w:pPr>
        <w:jc w:val="both"/>
      </w:pPr>
      <w:r>
        <w:t>Le tableau ci-dessous résume les différentes classes d’emploi et les risques qui leur sont associés.</w:t>
      </w:r>
    </w:p>
    <w:tbl>
      <w:tblPr>
        <w:tblStyle w:val="Author-eTableGrid"/>
        <w:tblW w:w="9060" w:type="dxa"/>
        <w:tblLayout w:type="fixed"/>
        <w:tblLook w:val="04A0" w:firstRow="1" w:lastRow="0" w:firstColumn="1" w:lastColumn="0" w:noHBand="0" w:noVBand="1"/>
      </w:tblPr>
      <w:tblGrid>
        <w:gridCol w:w="816"/>
        <w:gridCol w:w="816"/>
        <w:gridCol w:w="1706"/>
        <w:gridCol w:w="1706"/>
        <w:gridCol w:w="815"/>
        <w:gridCol w:w="815"/>
        <w:gridCol w:w="1193"/>
        <w:gridCol w:w="1193"/>
      </w:tblGrid>
      <w:tr w:rsidR="00DB2B68" w14:paraId="2612D9FA" w14:textId="77777777">
        <w:tc>
          <w:tcPr>
            <w:tcW w:w="1620" w:type="dxa"/>
            <w:gridSpan w:val="2"/>
            <w:vMerge w:val="restart"/>
            <w:noWrap/>
          </w:tcPr>
          <w:p w14:paraId="145BC05D" w14:textId="77777777" w:rsidR="00DB2B68" w:rsidRDefault="00DB2B68"/>
          <w:p w14:paraId="1EEF5C5F" w14:textId="77777777" w:rsidR="00DB2B68" w:rsidRDefault="00DB2B68"/>
          <w:p w14:paraId="5FB75EE8" w14:textId="77777777" w:rsidR="00DB2B68" w:rsidRDefault="00000000">
            <w:pPr>
              <w:jc w:val="center"/>
            </w:pPr>
            <w:r>
              <w:rPr>
                <w:b/>
              </w:rPr>
              <w:t>Classe d'emploi</w:t>
            </w:r>
          </w:p>
          <w:p w14:paraId="18C0E58A" w14:textId="77777777" w:rsidR="00DB2B68" w:rsidRDefault="00000000">
            <w:r>
              <w:br/>
            </w:r>
          </w:p>
          <w:p w14:paraId="3B32B141" w14:textId="77777777" w:rsidR="00DB2B68" w:rsidRDefault="00DB2B68"/>
        </w:tc>
        <w:tc>
          <w:tcPr>
            <w:tcW w:w="1695" w:type="dxa"/>
            <w:vMerge w:val="restart"/>
            <w:noWrap/>
            <w:vAlign w:val="center"/>
          </w:tcPr>
          <w:p w14:paraId="22C6E774" w14:textId="77777777" w:rsidR="00DB2B68" w:rsidRDefault="00000000">
            <w:pPr>
              <w:jc w:val="center"/>
            </w:pPr>
            <w:r>
              <w:rPr>
                <w:b/>
              </w:rPr>
              <w:t>Conditions</w:t>
            </w:r>
          </w:p>
        </w:tc>
        <w:tc>
          <w:tcPr>
            <w:tcW w:w="1695" w:type="dxa"/>
            <w:vMerge w:val="restart"/>
            <w:noWrap/>
            <w:vAlign w:val="center"/>
          </w:tcPr>
          <w:p w14:paraId="43AA02A4" w14:textId="77777777" w:rsidR="00DB2B68" w:rsidRDefault="00000000">
            <w:pPr>
              <w:jc w:val="center"/>
            </w:pPr>
            <w:r>
              <w:rPr>
                <w:b/>
              </w:rPr>
              <w:t>Exemple</w:t>
            </w:r>
          </w:p>
        </w:tc>
        <w:tc>
          <w:tcPr>
            <w:tcW w:w="3990" w:type="dxa"/>
            <w:gridSpan w:val="4"/>
            <w:noWrap/>
            <w:vAlign w:val="center"/>
          </w:tcPr>
          <w:p w14:paraId="6C341B93" w14:textId="77777777" w:rsidR="00DB2B68" w:rsidRDefault="00000000">
            <w:pPr>
              <w:jc w:val="center"/>
            </w:pPr>
            <w:r>
              <w:rPr>
                <w:b/>
              </w:rPr>
              <w:t>Risques</w:t>
            </w:r>
          </w:p>
        </w:tc>
      </w:tr>
      <w:tr w:rsidR="00DB2B68" w14:paraId="1BF702AA" w14:textId="77777777">
        <w:tc>
          <w:tcPr>
            <w:tcW w:w="1620" w:type="dxa"/>
            <w:gridSpan w:val="2"/>
            <w:vMerge/>
            <w:noWrap/>
          </w:tcPr>
          <w:p w14:paraId="3C412429" w14:textId="77777777" w:rsidR="00DB2B68" w:rsidRDefault="00DB2B68"/>
        </w:tc>
        <w:tc>
          <w:tcPr>
            <w:tcW w:w="1695" w:type="dxa"/>
            <w:vMerge/>
            <w:noWrap/>
            <w:vAlign w:val="center"/>
          </w:tcPr>
          <w:p w14:paraId="2A1518A8" w14:textId="77777777" w:rsidR="00DB2B68" w:rsidRDefault="00DB2B68"/>
        </w:tc>
        <w:tc>
          <w:tcPr>
            <w:tcW w:w="1695" w:type="dxa"/>
            <w:vMerge/>
            <w:noWrap/>
            <w:vAlign w:val="center"/>
          </w:tcPr>
          <w:p w14:paraId="065F9DC1" w14:textId="77777777" w:rsidR="00DB2B68" w:rsidRDefault="00DB2B68"/>
        </w:tc>
        <w:tc>
          <w:tcPr>
            <w:tcW w:w="810" w:type="dxa"/>
            <w:vMerge w:val="restart"/>
            <w:noWrap/>
            <w:vAlign w:val="center"/>
          </w:tcPr>
          <w:p w14:paraId="1D33BBD9" w14:textId="77777777" w:rsidR="00DB2B68" w:rsidRDefault="00000000">
            <w:r>
              <w:rPr>
                <w:b/>
              </w:rPr>
              <w:t>Champignons</w:t>
            </w:r>
          </w:p>
        </w:tc>
        <w:tc>
          <w:tcPr>
            <w:tcW w:w="1995" w:type="dxa"/>
            <w:gridSpan w:val="2"/>
            <w:noWrap/>
            <w:vAlign w:val="center"/>
          </w:tcPr>
          <w:p w14:paraId="64BA394A" w14:textId="77777777" w:rsidR="00DB2B68" w:rsidRDefault="00000000">
            <w:r>
              <w:rPr>
                <w:b/>
              </w:rPr>
              <w:t>Insectes</w:t>
            </w:r>
          </w:p>
        </w:tc>
        <w:tc>
          <w:tcPr>
            <w:tcW w:w="1185" w:type="dxa"/>
            <w:vMerge w:val="restart"/>
            <w:noWrap/>
            <w:vAlign w:val="center"/>
          </w:tcPr>
          <w:p w14:paraId="5734B455" w14:textId="77777777" w:rsidR="00DB2B68" w:rsidRDefault="00000000">
            <w:r>
              <w:rPr>
                <w:b/>
              </w:rPr>
              <w:t>Térébrants marins</w:t>
            </w:r>
          </w:p>
        </w:tc>
      </w:tr>
      <w:tr w:rsidR="00DB2B68" w14:paraId="42AC4331" w14:textId="77777777">
        <w:tc>
          <w:tcPr>
            <w:tcW w:w="1620" w:type="dxa"/>
            <w:gridSpan w:val="2"/>
            <w:vMerge/>
            <w:noWrap/>
          </w:tcPr>
          <w:p w14:paraId="6E2DE8CE" w14:textId="77777777" w:rsidR="00DB2B68" w:rsidRDefault="00DB2B68"/>
        </w:tc>
        <w:tc>
          <w:tcPr>
            <w:tcW w:w="1695" w:type="dxa"/>
            <w:vMerge/>
            <w:noWrap/>
            <w:vAlign w:val="center"/>
          </w:tcPr>
          <w:p w14:paraId="724917C0" w14:textId="77777777" w:rsidR="00DB2B68" w:rsidRDefault="00DB2B68"/>
        </w:tc>
        <w:tc>
          <w:tcPr>
            <w:tcW w:w="1695" w:type="dxa"/>
            <w:vMerge/>
            <w:noWrap/>
            <w:vAlign w:val="center"/>
          </w:tcPr>
          <w:p w14:paraId="792116C2" w14:textId="77777777" w:rsidR="00DB2B68" w:rsidRDefault="00DB2B68"/>
        </w:tc>
        <w:tc>
          <w:tcPr>
            <w:tcW w:w="810" w:type="dxa"/>
            <w:vMerge/>
            <w:noWrap/>
            <w:vAlign w:val="center"/>
          </w:tcPr>
          <w:p w14:paraId="057313FB" w14:textId="77777777" w:rsidR="00DB2B68" w:rsidRDefault="00DB2B68"/>
        </w:tc>
        <w:tc>
          <w:tcPr>
            <w:tcW w:w="810" w:type="dxa"/>
            <w:noWrap/>
            <w:vAlign w:val="center"/>
          </w:tcPr>
          <w:p w14:paraId="2AD22F45" w14:textId="77777777" w:rsidR="00DB2B68" w:rsidRDefault="00000000">
            <w:r>
              <w:rPr>
                <w:b/>
              </w:rPr>
              <w:t>à larves xylophages</w:t>
            </w:r>
          </w:p>
        </w:tc>
        <w:tc>
          <w:tcPr>
            <w:tcW w:w="1185" w:type="dxa"/>
            <w:noWrap/>
            <w:vAlign w:val="center"/>
          </w:tcPr>
          <w:p w14:paraId="5C6C2E8D" w14:textId="77777777" w:rsidR="00DB2B68" w:rsidRDefault="00000000">
            <w:r>
              <w:rPr>
                <w:b/>
              </w:rPr>
              <w:t>Termites</w:t>
            </w:r>
          </w:p>
        </w:tc>
        <w:tc>
          <w:tcPr>
            <w:tcW w:w="1185" w:type="dxa"/>
            <w:vMerge/>
            <w:noWrap/>
            <w:vAlign w:val="center"/>
          </w:tcPr>
          <w:p w14:paraId="3D42B1D0" w14:textId="77777777" w:rsidR="00DB2B68" w:rsidRDefault="00DB2B68"/>
        </w:tc>
      </w:tr>
      <w:tr w:rsidR="00DB2B68" w14:paraId="15B71D9D" w14:textId="77777777">
        <w:tc>
          <w:tcPr>
            <w:tcW w:w="1620" w:type="dxa"/>
            <w:gridSpan w:val="2"/>
            <w:noWrap/>
            <w:vAlign w:val="center"/>
          </w:tcPr>
          <w:p w14:paraId="659A8557" w14:textId="77777777" w:rsidR="00DB2B68" w:rsidRDefault="00000000">
            <w:r>
              <w:rPr>
                <w:b/>
              </w:rPr>
              <w:t>Classe 1</w:t>
            </w:r>
          </w:p>
        </w:tc>
        <w:tc>
          <w:tcPr>
            <w:tcW w:w="1695" w:type="dxa"/>
            <w:noWrap/>
            <w:vAlign w:val="center"/>
          </w:tcPr>
          <w:p w14:paraId="73FA52F0" w14:textId="77777777" w:rsidR="00DB2B68" w:rsidRDefault="00000000">
            <w:r>
              <w:t>Bois situé à l'intérieur, pas d'humidification possible</w:t>
            </w:r>
          </w:p>
        </w:tc>
        <w:tc>
          <w:tcPr>
            <w:tcW w:w="1695" w:type="dxa"/>
            <w:noWrap/>
            <w:vAlign w:val="center"/>
          </w:tcPr>
          <w:p w14:paraId="654CB673" w14:textId="77777777" w:rsidR="00DB2B68" w:rsidRDefault="00000000">
            <w:r>
              <w:t>Charpente apparente, plancher, escalier intérieur</w:t>
            </w:r>
          </w:p>
        </w:tc>
        <w:tc>
          <w:tcPr>
            <w:tcW w:w="810" w:type="dxa"/>
            <w:noWrap/>
            <w:vAlign w:val="center"/>
          </w:tcPr>
          <w:p w14:paraId="4B003DF5" w14:textId="77777777" w:rsidR="00DB2B68" w:rsidRDefault="00000000">
            <w:pPr>
              <w:jc w:val="center"/>
            </w:pPr>
            <w:r>
              <w:t>Non</w:t>
            </w:r>
          </w:p>
        </w:tc>
        <w:tc>
          <w:tcPr>
            <w:tcW w:w="810" w:type="dxa"/>
            <w:noWrap/>
            <w:vAlign w:val="center"/>
          </w:tcPr>
          <w:p w14:paraId="6355B439" w14:textId="77777777" w:rsidR="00DB2B68" w:rsidRDefault="00000000">
            <w:pPr>
              <w:jc w:val="center"/>
            </w:pPr>
            <w:r>
              <w:t>Oui</w:t>
            </w:r>
          </w:p>
        </w:tc>
        <w:tc>
          <w:tcPr>
            <w:tcW w:w="1185" w:type="dxa"/>
            <w:noWrap/>
            <w:vAlign w:val="center"/>
          </w:tcPr>
          <w:p w14:paraId="69EFCED6" w14:textId="77777777" w:rsidR="00DB2B68" w:rsidRDefault="00000000">
            <w:r>
              <w:t>Localement</w:t>
            </w:r>
          </w:p>
        </w:tc>
        <w:tc>
          <w:tcPr>
            <w:tcW w:w="1185" w:type="dxa"/>
            <w:noWrap/>
            <w:vAlign w:val="center"/>
          </w:tcPr>
          <w:p w14:paraId="2FDEE9AB" w14:textId="77777777" w:rsidR="00DB2B68" w:rsidRDefault="00000000">
            <w:pPr>
              <w:jc w:val="center"/>
            </w:pPr>
            <w:r>
              <w:t>Non</w:t>
            </w:r>
          </w:p>
        </w:tc>
      </w:tr>
      <w:tr w:rsidR="00DB2B68" w14:paraId="6F52A4C6" w14:textId="77777777">
        <w:tc>
          <w:tcPr>
            <w:tcW w:w="1620" w:type="dxa"/>
            <w:gridSpan w:val="2"/>
            <w:noWrap/>
            <w:vAlign w:val="center"/>
          </w:tcPr>
          <w:p w14:paraId="2CF7D75E" w14:textId="77777777" w:rsidR="00DB2B68" w:rsidRDefault="00000000">
            <w:r>
              <w:rPr>
                <w:b/>
              </w:rPr>
              <w:t>Classe 2</w:t>
            </w:r>
          </w:p>
        </w:tc>
        <w:tc>
          <w:tcPr>
            <w:tcW w:w="1695" w:type="dxa"/>
            <w:noWrap/>
            <w:vAlign w:val="center"/>
          </w:tcPr>
          <w:p w14:paraId="3B0E07FE" w14:textId="77777777" w:rsidR="00DB2B68" w:rsidRDefault="00000000">
            <w:r>
              <w:t>Bois abrité des intempéries. Des humidifications sont possibles</w:t>
            </w:r>
          </w:p>
        </w:tc>
        <w:tc>
          <w:tcPr>
            <w:tcW w:w="1695" w:type="dxa"/>
            <w:noWrap/>
            <w:vAlign w:val="center"/>
          </w:tcPr>
          <w:p w14:paraId="245562C2" w14:textId="77777777" w:rsidR="00DB2B68" w:rsidRDefault="00000000">
            <w:r>
              <w:t>Charpente non-apparente</w:t>
            </w:r>
          </w:p>
        </w:tc>
        <w:tc>
          <w:tcPr>
            <w:tcW w:w="810" w:type="dxa"/>
            <w:noWrap/>
            <w:vAlign w:val="center"/>
          </w:tcPr>
          <w:p w14:paraId="7ABA6AE3" w14:textId="77777777" w:rsidR="00DB2B68" w:rsidRDefault="00000000">
            <w:pPr>
              <w:jc w:val="center"/>
            </w:pPr>
            <w:r>
              <w:t>Oui</w:t>
            </w:r>
          </w:p>
        </w:tc>
        <w:tc>
          <w:tcPr>
            <w:tcW w:w="810" w:type="dxa"/>
            <w:noWrap/>
            <w:vAlign w:val="center"/>
          </w:tcPr>
          <w:p w14:paraId="5CA3926E" w14:textId="77777777" w:rsidR="00DB2B68" w:rsidRDefault="00000000">
            <w:pPr>
              <w:jc w:val="center"/>
            </w:pPr>
            <w:r>
              <w:t>Oui</w:t>
            </w:r>
          </w:p>
        </w:tc>
        <w:tc>
          <w:tcPr>
            <w:tcW w:w="1185" w:type="dxa"/>
            <w:noWrap/>
            <w:vAlign w:val="center"/>
          </w:tcPr>
          <w:p w14:paraId="0A356B7E" w14:textId="77777777" w:rsidR="00DB2B68" w:rsidRDefault="00000000">
            <w:r>
              <w:t>Localement</w:t>
            </w:r>
          </w:p>
        </w:tc>
        <w:tc>
          <w:tcPr>
            <w:tcW w:w="1185" w:type="dxa"/>
            <w:noWrap/>
            <w:vAlign w:val="center"/>
          </w:tcPr>
          <w:p w14:paraId="3E6978F8" w14:textId="77777777" w:rsidR="00DB2B68" w:rsidRDefault="00000000">
            <w:pPr>
              <w:jc w:val="center"/>
            </w:pPr>
            <w:r>
              <w:t>Non</w:t>
            </w:r>
          </w:p>
        </w:tc>
      </w:tr>
      <w:tr w:rsidR="00DB2B68" w14:paraId="7ADFA078" w14:textId="77777777">
        <w:tc>
          <w:tcPr>
            <w:tcW w:w="810" w:type="dxa"/>
            <w:vMerge w:val="restart"/>
            <w:noWrap/>
            <w:vAlign w:val="center"/>
          </w:tcPr>
          <w:p w14:paraId="5088223C" w14:textId="77777777" w:rsidR="00DB2B68" w:rsidRDefault="00000000">
            <w:r>
              <w:rPr>
                <w:b/>
              </w:rPr>
              <w:t>Classe 3</w:t>
            </w:r>
          </w:p>
        </w:tc>
        <w:tc>
          <w:tcPr>
            <w:tcW w:w="810" w:type="dxa"/>
            <w:noWrap/>
            <w:vAlign w:val="center"/>
          </w:tcPr>
          <w:p w14:paraId="11963DA1" w14:textId="77777777" w:rsidR="00DB2B68" w:rsidRDefault="00000000">
            <w:r>
              <w:rPr>
                <w:b/>
              </w:rPr>
              <w:t>Classe 3-1</w:t>
            </w:r>
          </w:p>
        </w:tc>
        <w:tc>
          <w:tcPr>
            <w:tcW w:w="1695" w:type="dxa"/>
            <w:noWrap/>
            <w:vAlign w:val="center"/>
          </w:tcPr>
          <w:p w14:paraId="4BC6F732" w14:textId="77777777" w:rsidR="00DB2B68" w:rsidRDefault="00000000">
            <w:r>
              <w:t>Bois soumis aux intempéries. Pas d'accumulation d'eau.</w:t>
            </w:r>
          </w:p>
        </w:tc>
        <w:tc>
          <w:tcPr>
            <w:tcW w:w="1695" w:type="dxa"/>
            <w:noWrap/>
            <w:vAlign w:val="center"/>
          </w:tcPr>
          <w:p w14:paraId="2B060B5D" w14:textId="77777777" w:rsidR="00DB2B68" w:rsidRDefault="00000000">
            <w:r>
              <w:t>Bardage, poteau extérieur sans contact avec le sol</w:t>
            </w:r>
          </w:p>
        </w:tc>
        <w:tc>
          <w:tcPr>
            <w:tcW w:w="810" w:type="dxa"/>
            <w:noWrap/>
            <w:vAlign w:val="center"/>
          </w:tcPr>
          <w:p w14:paraId="21EEAC3B" w14:textId="77777777" w:rsidR="00DB2B68" w:rsidRDefault="00000000">
            <w:pPr>
              <w:jc w:val="center"/>
            </w:pPr>
            <w:r>
              <w:t>Oui</w:t>
            </w:r>
          </w:p>
        </w:tc>
        <w:tc>
          <w:tcPr>
            <w:tcW w:w="810" w:type="dxa"/>
            <w:noWrap/>
            <w:vAlign w:val="center"/>
          </w:tcPr>
          <w:p w14:paraId="5C5204CF" w14:textId="77777777" w:rsidR="00DB2B68" w:rsidRDefault="00000000">
            <w:pPr>
              <w:jc w:val="center"/>
            </w:pPr>
            <w:r>
              <w:t>Oui</w:t>
            </w:r>
          </w:p>
        </w:tc>
        <w:tc>
          <w:tcPr>
            <w:tcW w:w="1185" w:type="dxa"/>
            <w:noWrap/>
            <w:vAlign w:val="center"/>
          </w:tcPr>
          <w:p w14:paraId="518F6DF0" w14:textId="77777777" w:rsidR="00DB2B68" w:rsidRDefault="00000000">
            <w:r>
              <w:t>Localement</w:t>
            </w:r>
          </w:p>
        </w:tc>
        <w:tc>
          <w:tcPr>
            <w:tcW w:w="1185" w:type="dxa"/>
            <w:noWrap/>
            <w:vAlign w:val="center"/>
          </w:tcPr>
          <w:p w14:paraId="067969E1" w14:textId="77777777" w:rsidR="00DB2B68" w:rsidRDefault="00000000">
            <w:pPr>
              <w:jc w:val="center"/>
            </w:pPr>
            <w:r>
              <w:t>Non</w:t>
            </w:r>
          </w:p>
        </w:tc>
      </w:tr>
      <w:tr w:rsidR="00DB2B68" w14:paraId="23E22DCC" w14:textId="77777777">
        <w:tc>
          <w:tcPr>
            <w:tcW w:w="810" w:type="dxa"/>
            <w:vMerge/>
            <w:noWrap/>
            <w:vAlign w:val="center"/>
          </w:tcPr>
          <w:p w14:paraId="701C2396" w14:textId="77777777" w:rsidR="00DB2B68" w:rsidRDefault="00DB2B68"/>
        </w:tc>
        <w:tc>
          <w:tcPr>
            <w:tcW w:w="810" w:type="dxa"/>
            <w:noWrap/>
            <w:vAlign w:val="center"/>
          </w:tcPr>
          <w:p w14:paraId="028E2569" w14:textId="77777777" w:rsidR="00DB2B68" w:rsidRDefault="00000000">
            <w:r>
              <w:rPr>
                <w:b/>
              </w:rPr>
              <w:t>Classe 3-2</w:t>
            </w:r>
          </w:p>
        </w:tc>
        <w:tc>
          <w:tcPr>
            <w:tcW w:w="1695" w:type="dxa"/>
            <w:noWrap/>
            <w:vAlign w:val="center"/>
          </w:tcPr>
          <w:p w14:paraId="223DE09F" w14:textId="77777777" w:rsidR="00DB2B68" w:rsidRDefault="00000000">
            <w:r>
              <w:t>Bois soumis aux intempéries. Accumulation d'eau possible.</w:t>
            </w:r>
          </w:p>
        </w:tc>
        <w:tc>
          <w:tcPr>
            <w:tcW w:w="1695" w:type="dxa"/>
            <w:noWrap/>
            <w:vAlign w:val="center"/>
          </w:tcPr>
          <w:p w14:paraId="3ADF0570" w14:textId="77777777" w:rsidR="00DB2B68" w:rsidRDefault="00000000">
            <w:r>
              <w:t>Lame de terrasse, poutre extérieure</w:t>
            </w:r>
          </w:p>
        </w:tc>
        <w:tc>
          <w:tcPr>
            <w:tcW w:w="810" w:type="dxa"/>
            <w:noWrap/>
            <w:vAlign w:val="center"/>
          </w:tcPr>
          <w:p w14:paraId="18E063B8" w14:textId="77777777" w:rsidR="00DB2B68" w:rsidRDefault="00000000">
            <w:pPr>
              <w:jc w:val="center"/>
            </w:pPr>
            <w:r>
              <w:t>Oui</w:t>
            </w:r>
          </w:p>
        </w:tc>
        <w:tc>
          <w:tcPr>
            <w:tcW w:w="810" w:type="dxa"/>
            <w:noWrap/>
            <w:vAlign w:val="center"/>
          </w:tcPr>
          <w:p w14:paraId="735E4F00" w14:textId="77777777" w:rsidR="00DB2B68" w:rsidRDefault="00000000">
            <w:pPr>
              <w:jc w:val="center"/>
            </w:pPr>
            <w:r>
              <w:t>Oui</w:t>
            </w:r>
          </w:p>
        </w:tc>
        <w:tc>
          <w:tcPr>
            <w:tcW w:w="1185" w:type="dxa"/>
            <w:noWrap/>
            <w:vAlign w:val="center"/>
          </w:tcPr>
          <w:p w14:paraId="0409A5F2" w14:textId="77777777" w:rsidR="00DB2B68" w:rsidRDefault="00000000">
            <w:pPr>
              <w:jc w:val="center"/>
            </w:pPr>
            <w:r>
              <w:t>Localement</w:t>
            </w:r>
          </w:p>
        </w:tc>
        <w:tc>
          <w:tcPr>
            <w:tcW w:w="1185" w:type="dxa"/>
            <w:noWrap/>
            <w:vAlign w:val="center"/>
          </w:tcPr>
          <w:p w14:paraId="012FDA9B" w14:textId="77777777" w:rsidR="00DB2B68" w:rsidRDefault="00000000">
            <w:pPr>
              <w:jc w:val="center"/>
            </w:pPr>
            <w:r>
              <w:t>Non</w:t>
            </w:r>
          </w:p>
        </w:tc>
      </w:tr>
      <w:tr w:rsidR="00DB2B68" w14:paraId="228D4C49" w14:textId="77777777">
        <w:tc>
          <w:tcPr>
            <w:tcW w:w="1620" w:type="dxa"/>
            <w:gridSpan w:val="2"/>
            <w:noWrap/>
            <w:vAlign w:val="center"/>
          </w:tcPr>
          <w:p w14:paraId="3703BB82" w14:textId="77777777" w:rsidR="00DB2B68" w:rsidRDefault="00000000">
            <w:r>
              <w:rPr>
                <w:b/>
              </w:rPr>
              <w:t>Classe 4</w:t>
            </w:r>
          </w:p>
        </w:tc>
        <w:tc>
          <w:tcPr>
            <w:tcW w:w="1695" w:type="dxa"/>
            <w:noWrap/>
            <w:vAlign w:val="center"/>
          </w:tcPr>
          <w:p w14:paraId="253D4BBF" w14:textId="77777777" w:rsidR="00DB2B68" w:rsidRDefault="00000000">
            <w:r>
              <w:t>bois en contact direct avec le sol et/ou avec de l'eau douce</w:t>
            </w:r>
          </w:p>
        </w:tc>
        <w:tc>
          <w:tcPr>
            <w:tcW w:w="1695" w:type="dxa"/>
            <w:noWrap/>
            <w:vAlign w:val="center"/>
          </w:tcPr>
          <w:p w14:paraId="3B8FB48E" w14:textId="77777777" w:rsidR="00DB2B68" w:rsidRDefault="00000000">
            <w:r>
              <w:t>Poteau en contact avec le sol</w:t>
            </w:r>
          </w:p>
        </w:tc>
        <w:tc>
          <w:tcPr>
            <w:tcW w:w="810" w:type="dxa"/>
            <w:noWrap/>
            <w:vAlign w:val="center"/>
          </w:tcPr>
          <w:p w14:paraId="130E8115" w14:textId="77777777" w:rsidR="00DB2B68" w:rsidRDefault="00000000">
            <w:pPr>
              <w:jc w:val="center"/>
            </w:pPr>
            <w:r>
              <w:t>Oui</w:t>
            </w:r>
          </w:p>
        </w:tc>
        <w:tc>
          <w:tcPr>
            <w:tcW w:w="810" w:type="dxa"/>
            <w:noWrap/>
            <w:vAlign w:val="center"/>
          </w:tcPr>
          <w:p w14:paraId="2E7ABFC6" w14:textId="77777777" w:rsidR="00DB2B68" w:rsidRDefault="00000000">
            <w:pPr>
              <w:jc w:val="center"/>
            </w:pPr>
            <w:r>
              <w:t>Oui</w:t>
            </w:r>
          </w:p>
        </w:tc>
        <w:tc>
          <w:tcPr>
            <w:tcW w:w="1185" w:type="dxa"/>
            <w:noWrap/>
            <w:vAlign w:val="center"/>
          </w:tcPr>
          <w:p w14:paraId="361BCACC" w14:textId="77777777" w:rsidR="00DB2B68" w:rsidRDefault="00000000">
            <w:r>
              <w:t>Localement</w:t>
            </w:r>
          </w:p>
        </w:tc>
        <w:tc>
          <w:tcPr>
            <w:tcW w:w="1185" w:type="dxa"/>
            <w:noWrap/>
            <w:vAlign w:val="center"/>
          </w:tcPr>
          <w:p w14:paraId="633FD2F7" w14:textId="77777777" w:rsidR="00DB2B68" w:rsidRDefault="00000000">
            <w:pPr>
              <w:jc w:val="center"/>
            </w:pPr>
            <w:r>
              <w:t>Non</w:t>
            </w:r>
          </w:p>
        </w:tc>
      </w:tr>
      <w:tr w:rsidR="00DB2B68" w14:paraId="53C5B02E" w14:textId="77777777">
        <w:tc>
          <w:tcPr>
            <w:tcW w:w="1620" w:type="dxa"/>
            <w:gridSpan w:val="2"/>
            <w:noWrap/>
            <w:vAlign w:val="center"/>
          </w:tcPr>
          <w:p w14:paraId="21B45E58" w14:textId="77777777" w:rsidR="00DB2B68" w:rsidRDefault="00000000">
            <w:r>
              <w:rPr>
                <w:b/>
              </w:rPr>
              <w:t>Classe 5</w:t>
            </w:r>
          </w:p>
        </w:tc>
        <w:tc>
          <w:tcPr>
            <w:tcW w:w="1695" w:type="dxa"/>
            <w:noWrap/>
            <w:vAlign w:val="center"/>
          </w:tcPr>
          <w:p w14:paraId="1F9416EF" w14:textId="77777777" w:rsidR="00DB2B68" w:rsidRDefault="00000000">
            <w:r>
              <w:t xml:space="preserve">Bois en contact direct avec de </w:t>
            </w:r>
            <w:r>
              <w:lastRenderedPageBreak/>
              <w:t>l'eau salée</w:t>
            </w:r>
          </w:p>
        </w:tc>
        <w:tc>
          <w:tcPr>
            <w:tcW w:w="1695" w:type="dxa"/>
            <w:noWrap/>
            <w:vAlign w:val="center"/>
          </w:tcPr>
          <w:p w14:paraId="0F4094CF" w14:textId="77777777" w:rsidR="00DB2B68" w:rsidRDefault="00000000">
            <w:r>
              <w:lastRenderedPageBreak/>
              <w:t>Ponton Maritime</w:t>
            </w:r>
          </w:p>
        </w:tc>
        <w:tc>
          <w:tcPr>
            <w:tcW w:w="810" w:type="dxa"/>
            <w:noWrap/>
            <w:vAlign w:val="center"/>
          </w:tcPr>
          <w:p w14:paraId="3B9995B4" w14:textId="77777777" w:rsidR="00DB2B68" w:rsidRDefault="00000000">
            <w:pPr>
              <w:jc w:val="center"/>
            </w:pPr>
            <w:r>
              <w:t>Oui</w:t>
            </w:r>
          </w:p>
        </w:tc>
        <w:tc>
          <w:tcPr>
            <w:tcW w:w="810" w:type="dxa"/>
            <w:noWrap/>
            <w:vAlign w:val="center"/>
          </w:tcPr>
          <w:p w14:paraId="0E10DF54" w14:textId="77777777" w:rsidR="00DB2B68" w:rsidRDefault="00000000">
            <w:pPr>
              <w:jc w:val="center"/>
            </w:pPr>
            <w:r>
              <w:t>Oui</w:t>
            </w:r>
          </w:p>
        </w:tc>
        <w:tc>
          <w:tcPr>
            <w:tcW w:w="1185" w:type="dxa"/>
            <w:noWrap/>
            <w:vAlign w:val="center"/>
          </w:tcPr>
          <w:p w14:paraId="38545130" w14:textId="77777777" w:rsidR="00DB2B68" w:rsidRDefault="00000000">
            <w:r>
              <w:t>Localement</w:t>
            </w:r>
          </w:p>
        </w:tc>
        <w:tc>
          <w:tcPr>
            <w:tcW w:w="1185" w:type="dxa"/>
            <w:noWrap/>
            <w:vAlign w:val="center"/>
          </w:tcPr>
          <w:p w14:paraId="15BB76B5" w14:textId="77777777" w:rsidR="00DB2B68" w:rsidRDefault="00000000">
            <w:pPr>
              <w:jc w:val="center"/>
            </w:pPr>
            <w:r>
              <w:t>Oui</w:t>
            </w:r>
          </w:p>
        </w:tc>
      </w:tr>
    </w:tbl>
    <w:p w14:paraId="6204B7EA" w14:textId="77777777" w:rsidR="00DB2B68" w:rsidRDefault="00DB2B68"/>
    <w:p w14:paraId="6A1078BA" w14:textId="77777777" w:rsidR="00DB2B68" w:rsidRDefault="00000000">
      <w:pPr>
        <w:jc w:val="both"/>
      </w:pPr>
      <w:r>
        <w:rPr>
          <w:noProof/>
        </w:rPr>
        <w:drawing>
          <wp:inline distT="0" distB="0" distL="0" distR="0" wp14:anchorId="548F5D20" wp14:editId="1AF4889E">
            <wp:extent cx="5715000" cy="2733675"/>
            <wp:effectExtent l="0" t="0" r="0" b="0"/>
            <wp:docPr id="3" name="GT Bois classe d'emploi 18.png" descr="GT Bois classe d'emploi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325" descr=" "/>
                    <pic:cNvPicPr>
                      <a:picLocks noChangeAspect="1" noChangeArrowheads="1"/>
                    </pic:cNvPicPr>
                  </pic:nvPicPr>
                  <pic:blipFill>
                    <a:blip r:embed="rId11"/>
                    <a:srcRect/>
                    <a:stretch>
                      <a:fillRect/>
                    </a:stretch>
                  </pic:blipFill>
                  <pic:spPr bwMode="auto">
                    <a:xfrm>
                      <a:off x="0" y="0"/>
                      <a:ext cx="5715000" cy="2733675"/>
                    </a:xfrm>
                    <a:prstGeom prst="rect">
                      <a:avLst/>
                    </a:prstGeom>
                  </pic:spPr>
                </pic:pic>
              </a:graphicData>
            </a:graphic>
          </wp:inline>
        </w:drawing>
      </w:r>
    </w:p>
    <w:tbl>
      <w:tblPr>
        <w:tblStyle w:val="Author-eTableGrid"/>
        <w:tblW w:w="9060" w:type="dxa"/>
        <w:tblLayout w:type="fixed"/>
        <w:tblLook w:val="04A0" w:firstRow="1" w:lastRow="0" w:firstColumn="1" w:lastColumn="0" w:noHBand="0" w:noVBand="1"/>
      </w:tblPr>
      <w:tblGrid>
        <w:gridCol w:w="7359"/>
        <w:gridCol w:w="1701"/>
      </w:tblGrid>
      <w:tr w:rsidR="00DB2B68" w14:paraId="150AB3F0" w14:textId="77777777">
        <w:tc>
          <w:tcPr>
            <w:tcW w:w="7335" w:type="dxa"/>
            <w:noWrap/>
          </w:tcPr>
          <w:p w14:paraId="14F466EB" w14:textId="77777777" w:rsidR="00DB2B68" w:rsidRDefault="00000000">
            <w:pPr>
              <w:jc w:val="center"/>
            </w:pPr>
            <w:r>
              <w:rPr>
                <w:b/>
              </w:rPr>
              <w:t>Elément de construction</w:t>
            </w:r>
          </w:p>
        </w:tc>
        <w:tc>
          <w:tcPr>
            <w:tcW w:w="1695" w:type="dxa"/>
            <w:noWrap/>
          </w:tcPr>
          <w:p w14:paraId="7F1CF5B2" w14:textId="77777777" w:rsidR="00DB2B68" w:rsidRDefault="00000000">
            <w:pPr>
              <w:jc w:val="center"/>
            </w:pPr>
            <w:r>
              <w:rPr>
                <w:b/>
              </w:rPr>
              <w:t>Classe d'emploi</w:t>
            </w:r>
          </w:p>
        </w:tc>
      </w:tr>
      <w:tr w:rsidR="00DB2B68" w14:paraId="5857715C" w14:textId="77777777">
        <w:tc>
          <w:tcPr>
            <w:tcW w:w="7335" w:type="dxa"/>
            <w:noWrap/>
          </w:tcPr>
          <w:p w14:paraId="56A5C4D8" w14:textId="77777777" w:rsidR="00DB2B68" w:rsidRDefault="00000000">
            <w:r>
              <w:t>Charpente</w:t>
            </w:r>
          </w:p>
        </w:tc>
        <w:tc>
          <w:tcPr>
            <w:tcW w:w="1695" w:type="dxa"/>
            <w:noWrap/>
          </w:tcPr>
          <w:p w14:paraId="307D7753" w14:textId="77777777" w:rsidR="00DB2B68" w:rsidRDefault="00000000">
            <w:pPr>
              <w:jc w:val="center"/>
            </w:pPr>
            <w:r>
              <w:t>2</w:t>
            </w:r>
          </w:p>
        </w:tc>
      </w:tr>
      <w:tr w:rsidR="00DB2B68" w14:paraId="15092F70" w14:textId="77777777">
        <w:tc>
          <w:tcPr>
            <w:tcW w:w="7335" w:type="dxa"/>
            <w:noWrap/>
          </w:tcPr>
          <w:p w14:paraId="2DA4B7D5" w14:textId="77777777" w:rsidR="00DB2B68" w:rsidRDefault="00000000">
            <w:r>
              <w:t>Semelle d'assise</w:t>
            </w:r>
          </w:p>
        </w:tc>
        <w:tc>
          <w:tcPr>
            <w:tcW w:w="1695" w:type="dxa"/>
            <w:noWrap/>
          </w:tcPr>
          <w:p w14:paraId="232D1EF4" w14:textId="77777777" w:rsidR="00DB2B68" w:rsidRDefault="00000000">
            <w:pPr>
              <w:jc w:val="center"/>
            </w:pPr>
            <w:r>
              <w:t>3</w:t>
            </w:r>
          </w:p>
        </w:tc>
      </w:tr>
      <w:tr w:rsidR="00DB2B68" w14:paraId="7126BC94" w14:textId="77777777">
        <w:tc>
          <w:tcPr>
            <w:tcW w:w="7335" w:type="dxa"/>
            <w:noWrap/>
          </w:tcPr>
          <w:p w14:paraId="1C6DA964" w14:textId="77777777" w:rsidR="00DB2B68" w:rsidRDefault="00000000">
            <w:r>
              <w:t>Montant et traverses de l'ossature</w:t>
            </w:r>
          </w:p>
        </w:tc>
        <w:tc>
          <w:tcPr>
            <w:tcW w:w="1695" w:type="dxa"/>
            <w:noWrap/>
          </w:tcPr>
          <w:p w14:paraId="360822AB" w14:textId="77777777" w:rsidR="00DB2B68" w:rsidRDefault="00000000">
            <w:pPr>
              <w:jc w:val="center"/>
            </w:pPr>
            <w:r>
              <w:t>2</w:t>
            </w:r>
          </w:p>
        </w:tc>
      </w:tr>
      <w:tr w:rsidR="00DB2B68" w14:paraId="184D8FF6" w14:textId="77777777">
        <w:tc>
          <w:tcPr>
            <w:tcW w:w="7335" w:type="dxa"/>
            <w:noWrap/>
          </w:tcPr>
          <w:p w14:paraId="761D7E63" w14:textId="77777777" w:rsidR="00DB2B68" w:rsidRDefault="00000000">
            <w:r>
              <w:t>Solives pour plancher </w:t>
            </w:r>
          </w:p>
        </w:tc>
        <w:tc>
          <w:tcPr>
            <w:tcW w:w="1695" w:type="dxa"/>
            <w:noWrap/>
          </w:tcPr>
          <w:p w14:paraId="64868949" w14:textId="77777777" w:rsidR="00DB2B68" w:rsidRDefault="00000000">
            <w:pPr>
              <w:jc w:val="center"/>
            </w:pPr>
            <w:r>
              <w:t>1</w:t>
            </w:r>
          </w:p>
        </w:tc>
      </w:tr>
      <w:tr w:rsidR="00DB2B68" w14:paraId="1ADDF7A2" w14:textId="77777777">
        <w:tc>
          <w:tcPr>
            <w:tcW w:w="7335" w:type="dxa"/>
            <w:noWrap/>
          </w:tcPr>
          <w:p w14:paraId="72988D0E" w14:textId="77777777" w:rsidR="00DB2B68" w:rsidRDefault="00000000">
            <w:r>
              <w:t>Dalle bois</w:t>
            </w:r>
          </w:p>
          <w:p w14:paraId="6168573B" w14:textId="77777777" w:rsidR="00DB2B68" w:rsidRDefault="00000000">
            <w:r>
              <w:t>Les bois doivent avoir une durabilité naturelle ou conférée correspondant à une classe d'emploi 3 </w:t>
            </w:r>
          </w:p>
        </w:tc>
        <w:tc>
          <w:tcPr>
            <w:tcW w:w="1695" w:type="dxa"/>
            <w:noWrap/>
          </w:tcPr>
          <w:p w14:paraId="7AE76A17" w14:textId="77777777" w:rsidR="00DB2B68" w:rsidRDefault="00000000">
            <w:pPr>
              <w:jc w:val="center"/>
            </w:pPr>
            <w:r>
              <w:t>3</w:t>
            </w:r>
          </w:p>
        </w:tc>
      </w:tr>
      <w:tr w:rsidR="00DB2B68" w14:paraId="10A892B6" w14:textId="77777777">
        <w:tc>
          <w:tcPr>
            <w:tcW w:w="7335" w:type="dxa"/>
            <w:noWrap/>
          </w:tcPr>
          <w:p w14:paraId="5071BE51" w14:textId="77777777" w:rsidR="00DB2B68" w:rsidRDefault="00000000">
            <w:r>
              <w:t>Bardage extérieur</w:t>
            </w:r>
          </w:p>
        </w:tc>
        <w:tc>
          <w:tcPr>
            <w:tcW w:w="1695" w:type="dxa"/>
            <w:noWrap/>
          </w:tcPr>
          <w:p w14:paraId="369F19AB" w14:textId="77777777" w:rsidR="00DB2B68" w:rsidRDefault="00000000">
            <w:pPr>
              <w:jc w:val="center"/>
            </w:pPr>
            <w:r>
              <w:t>3b</w:t>
            </w:r>
          </w:p>
        </w:tc>
      </w:tr>
      <w:tr w:rsidR="00DB2B68" w14:paraId="5AD1E08B" w14:textId="77777777">
        <w:tc>
          <w:tcPr>
            <w:tcW w:w="7335" w:type="dxa"/>
            <w:noWrap/>
          </w:tcPr>
          <w:p w14:paraId="2E10FE93" w14:textId="77777777" w:rsidR="00DB2B68" w:rsidRDefault="00000000">
            <w:r>
              <w:t>Lattage pour bardage</w:t>
            </w:r>
          </w:p>
        </w:tc>
        <w:tc>
          <w:tcPr>
            <w:tcW w:w="1695" w:type="dxa"/>
            <w:noWrap/>
          </w:tcPr>
          <w:p w14:paraId="5D03188E" w14:textId="77777777" w:rsidR="00DB2B68" w:rsidRDefault="00000000">
            <w:pPr>
              <w:jc w:val="center"/>
            </w:pPr>
            <w:r>
              <w:t>3a</w:t>
            </w:r>
          </w:p>
        </w:tc>
      </w:tr>
      <w:tr w:rsidR="00DB2B68" w14:paraId="184C65FF" w14:textId="77777777">
        <w:tc>
          <w:tcPr>
            <w:tcW w:w="7335" w:type="dxa"/>
            <w:noWrap/>
          </w:tcPr>
          <w:p w14:paraId="40A00FFC" w14:textId="77777777" w:rsidR="00DB2B68" w:rsidRDefault="00000000">
            <w:r>
              <w:t>Menuiseries extérieures</w:t>
            </w:r>
          </w:p>
        </w:tc>
        <w:tc>
          <w:tcPr>
            <w:tcW w:w="1695" w:type="dxa"/>
            <w:noWrap/>
          </w:tcPr>
          <w:p w14:paraId="57920811" w14:textId="77777777" w:rsidR="00DB2B68" w:rsidRDefault="00000000">
            <w:pPr>
              <w:jc w:val="center"/>
            </w:pPr>
            <w:r>
              <w:t>3a</w:t>
            </w:r>
          </w:p>
        </w:tc>
      </w:tr>
    </w:tbl>
    <w:p w14:paraId="45F197BE" w14:textId="77777777" w:rsidR="00DB2B68" w:rsidRDefault="00000000">
      <w:pPr>
        <w:ind w:left="567"/>
        <w:jc w:val="both"/>
      </w:pPr>
      <w:r>
        <w:t>Tableau Classe d'emploi de certains éléments de construction</w:t>
      </w:r>
    </w:p>
    <w:p w14:paraId="60571F06" w14:textId="77777777" w:rsidR="00DB2B68" w:rsidRDefault="00DB2B68"/>
    <w:p w14:paraId="094E2291" w14:textId="77777777" w:rsidR="00DB2B68" w:rsidRDefault="00000000">
      <w:pPr>
        <w:ind w:left="567"/>
        <w:jc w:val="both"/>
      </w:pPr>
      <w:r>
        <w:rPr>
          <w:b/>
        </w:rPr>
        <w:t>CLASSE DE DURABILITE</w:t>
      </w:r>
    </w:p>
    <w:p w14:paraId="1590D20C" w14:textId="77777777" w:rsidR="00DB2B68" w:rsidRDefault="00000000">
      <w:pPr>
        <w:jc w:val="both"/>
      </w:pPr>
      <w:r>
        <w:t>La durabilité d’un bois ou d’un matériau à base de bois est la capacité de celui-ci à résister aux agents de dégradation biologiques.</w:t>
      </w:r>
    </w:p>
    <w:p w14:paraId="6FD6C0C4" w14:textId="77777777" w:rsidR="00DB2B68" w:rsidRDefault="00000000">
      <w:pPr>
        <w:jc w:val="both"/>
      </w:pPr>
      <w:r>
        <w:t>La durabilité peut être naturelle ou conférée par un traitement adapté du bois ou de l’élément à base de bois.</w:t>
      </w:r>
    </w:p>
    <w:p w14:paraId="1CAE1811" w14:textId="77777777" w:rsidR="00DB2B68" w:rsidRDefault="00000000">
      <w:pPr>
        <w:jc w:val="both"/>
      </w:pPr>
      <w:r>
        <w:t>La durabilité est exprimée suivant différentes échelles en fonction du risque. La norme [NBN EN 350] définit 4 échelles différentes :</w:t>
      </w:r>
    </w:p>
    <w:p w14:paraId="5DDDF733" w14:textId="77777777" w:rsidR="00DB2B68" w:rsidRDefault="00000000">
      <w:pPr>
        <w:pStyle w:val="Author-eListParagraph"/>
        <w:numPr>
          <w:ilvl w:val="0"/>
          <w:numId w:val="780"/>
        </w:numPr>
      </w:pPr>
      <w:r>
        <w:t>vis-à-vis du risque lié aux champignons, sur 5 niveaux : de 1 (très durable) à 5 (non durable) ;</w:t>
      </w:r>
    </w:p>
    <w:p w14:paraId="2761541E" w14:textId="77777777" w:rsidR="00DB2B68" w:rsidRDefault="00000000">
      <w:pPr>
        <w:pStyle w:val="Author-eListParagraph"/>
        <w:numPr>
          <w:ilvl w:val="0"/>
          <w:numId w:val="781"/>
        </w:numPr>
      </w:pPr>
      <w:r>
        <w:t>vis-à-vis du risque lié aux attaques d’insectes à larves xylophages, sur 2 niveaux : D (durable) ou S (non durable) ;</w:t>
      </w:r>
    </w:p>
    <w:p w14:paraId="5BE4CEA6" w14:textId="77777777" w:rsidR="00DB2B68" w:rsidRDefault="00000000">
      <w:pPr>
        <w:pStyle w:val="Author-eListParagraph"/>
        <w:numPr>
          <w:ilvl w:val="0"/>
          <w:numId w:val="782"/>
        </w:numPr>
      </w:pPr>
      <w:r>
        <w:t>vis-à-vis du risque lié aux termites, sur trois niveaux : D (durable), M (moyennement durable) ou S (non durable) ;</w:t>
      </w:r>
    </w:p>
    <w:p w14:paraId="73D8A8A4" w14:textId="77777777" w:rsidR="00DB2B68" w:rsidRDefault="00000000">
      <w:pPr>
        <w:pStyle w:val="Author-eListParagraph"/>
        <w:numPr>
          <w:ilvl w:val="0"/>
          <w:numId w:val="783"/>
        </w:numPr>
      </w:pPr>
      <w:r>
        <w:t>vis-à-vis du risque lié aux térébrants marins, sur trois niveaux : D (durable), M (moyennement durable) ou S (non durable) ;</w:t>
      </w:r>
    </w:p>
    <w:p w14:paraId="59CAA2D3" w14:textId="77777777" w:rsidR="00DB2B68" w:rsidRDefault="00000000">
      <w:pPr>
        <w:jc w:val="both"/>
      </w:pPr>
      <w:r>
        <w:lastRenderedPageBreak/>
        <w:t>Un tableau reprenant les classes de durabilité naturelle du duramen des différentes essences de bois est disponible dans la norme [NBN EN 350]. Le tableau ci-dessous présente les principales essences locales :</w:t>
      </w:r>
    </w:p>
    <w:p w14:paraId="4DD54D3F" w14:textId="77777777" w:rsidR="00DB2B68" w:rsidRDefault="00000000">
      <w:pPr>
        <w:jc w:val="both"/>
      </w:pPr>
      <w:r>
        <w:rPr>
          <w:noProof/>
        </w:rPr>
        <w:drawing>
          <wp:inline distT="0" distB="0" distL="0" distR="0" wp14:anchorId="3229CFC5" wp14:editId="09147F27">
            <wp:extent cx="5715000" cy="2647950"/>
            <wp:effectExtent l="0" t="0" r="0" b="0"/>
            <wp:docPr id="4" name="durabilié.png" descr="durabili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55" descr=" "/>
                    <pic:cNvPicPr>
                      <a:picLocks noChangeAspect="1" noChangeArrowheads="1"/>
                    </pic:cNvPicPr>
                  </pic:nvPicPr>
                  <pic:blipFill>
                    <a:blip r:embed="rId12"/>
                    <a:srcRect/>
                    <a:stretch>
                      <a:fillRect/>
                    </a:stretch>
                  </pic:blipFill>
                  <pic:spPr bwMode="auto">
                    <a:xfrm>
                      <a:off x="0" y="0"/>
                      <a:ext cx="5715000" cy="2647950"/>
                    </a:xfrm>
                    <a:prstGeom prst="rect">
                      <a:avLst/>
                    </a:prstGeom>
                  </pic:spPr>
                </pic:pic>
              </a:graphicData>
            </a:graphic>
          </wp:inline>
        </w:drawing>
      </w:r>
    </w:p>
    <w:p w14:paraId="0B014680" w14:textId="77777777" w:rsidR="00DB2B68" w:rsidRDefault="00000000">
      <w:pPr>
        <w:jc w:val="both"/>
      </w:pPr>
      <w:r>
        <w:t>*Le chêne peut être considéré en classe de durabilité 2, sauf s'il est en contact avec le sol. Dans ce cas, la classe de durabilité 4 doit être considérée.</w:t>
      </w:r>
    </w:p>
    <w:p w14:paraId="4AFA6375" w14:textId="77777777" w:rsidR="00DB2B68" w:rsidRDefault="00DB2B68">
      <w:pPr>
        <w:jc w:val="both"/>
      </w:pPr>
    </w:p>
    <w:p w14:paraId="02C659DF" w14:textId="77777777" w:rsidR="00DB2B68" w:rsidRDefault="00000000">
      <w:pPr>
        <w:jc w:val="both"/>
      </w:pPr>
      <w:r>
        <w:t>Le tableau suivant provient de la [NBN EN 460] et est utilisé pour voir si la durabilité naturelle d’un bois vis-à-vis des attaques de champignons lignivores est suffisante en fonction de la classe d’emploi de l’élément (anciennement appelée classe de risque).</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B2B68" w14:paraId="347802BE" w14:textId="77777777">
        <w:tc>
          <w:tcPr>
            <w:tcW w:w="1500" w:type="dxa"/>
            <w:vMerge w:val="restart"/>
            <w:shd w:val="clear" w:color="auto" w:fill="C0C0C0"/>
            <w:noWrap/>
          </w:tcPr>
          <w:p w14:paraId="0E7275BD" w14:textId="77777777" w:rsidR="00DB2B68" w:rsidRDefault="00000000">
            <w:pPr>
              <w:jc w:val="center"/>
            </w:pPr>
            <w:r>
              <w:rPr>
                <w:b/>
                <w:shd w:val="clear" w:color="auto" w:fill="C0C0C0"/>
              </w:rPr>
              <w:t>Classe d'emploi</w:t>
            </w:r>
          </w:p>
        </w:tc>
        <w:tc>
          <w:tcPr>
            <w:tcW w:w="7500" w:type="dxa"/>
            <w:gridSpan w:val="5"/>
            <w:shd w:val="clear" w:color="auto" w:fill="C0C0C0"/>
            <w:noWrap/>
          </w:tcPr>
          <w:p w14:paraId="581B9034" w14:textId="77777777" w:rsidR="00DB2B68" w:rsidRDefault="00000000">
            <w:pPr>
              <w:jc w:val="center"/>
            </w:pPr>
            <w:r>
              <w:rPr>
                <w:b/>
                <w:shd w:val="clear" w:color="auto" w:fill="C0C0C0"/>
              </w:rPr>
              <w:t>Classe de durabilité naturelle vis-vis des attaques de champignons lignivores</w:t>
            </w:r>
          </w:p>
        </w:tc>
      </w:tr>
      <w:tr w:rsidR="00DB2B68" w14:paraId="2DCD1A26" w14:textId="77777777">
        <w:tc>
          <w:tcPr>
            <w:tcW w:w="1500" w:type="dxa"/>
            <w:vMerge/>
            <w:shd w:val="clear" w:color="auto" w:fill="C0C0C0"/>
            <w:noWrap/>
          </w:tcPr>
          <w:p w14:paraId="7B0E036B" w14:textId="77777777" w:rsidR="00DB2B68" w:rsidRDefault="00DB2B68"/>
        </w:tc>
        <w:tc>
          <w:tcPr>
            <w:tcW w:w="1500" w:type="dxa"/>
            <w:shd w:val="clear" w:color="auto" w:fill="C0C0C0"/>
            <w:noWrap/>
          </w:tcPr>
          <w:p w14:paraId="63A61C40" w14:textId="77777777" w:rsidR="00DB2B68" w:rsidRDefault="00000000">
            <w:pPr>
              <w:jc w:val="center"/>
            </w:pPr>
            <w:r>
              <w:rPr>
                <w:b/>
                <w:shd w:val="clear" w:color="auto" w:fill="C0C0C0"/>
              </w:rPr>
              <w:t>1</w:t>
            </w:r>
          </w:p>
        </w:tc>
        <w:tc>
          <w:tcPr>
            <w:tcW w:w="1500" w:type="dxa"/>
            <w:shd w:val="clear" w:color="auto" w:fill="C0C0C0"/>
            <w:noWrap/>
          </w:tcPr>
          <w:p w14:paraId="7696B12B" w14:textId="77777777" w:rsidR="00DB2B68" w:rsidRDefault="00000000">
            <w:pPr>
              <w:jc w:val="center"/>
            </w:pPr>
            <w:r>
              <w:rPr>
                <w:b/>
                <w:shd w:val="clear" w:color="auto" w:fill="C0C0C0"/>
              </w:rPr>
              <w:t>2</w:t>
            </w:r>
          </w:p>
        </w:tc>
        <w:tc>
          <w:tcPr>
            <w:tcW w:w="1500" w:type="dxa"/>
            <w:shd w:val="clear" w:color="auto" w:fill="C0C0C0"/>
            <w:noWrap/>
          </w:tcPr>
          <w:p w14:paraId="0E17AA5F" w14:textId="77777777" w:rsidR="00DB2B68" w:rsidRDefault="00000000">
            <w:pPr>
              <w:jc w:val="center"/>
            </w:pPr>
            <w:r>
              <w:rPr>
                <w:b/>
                <w:shd w:val="clear" w:color="auto" w:fill="C0C0C0"/>
              </w:rPr>
              <w:t>3</w:t>
            </w:r>
          </w:p>
        </w:tc>
        <w:tc>
          <w:tcPr>
            <w:tcW w:w="1500" w:type="dxa"/>
            <w:shd w:val="clear" w:color="auto" w:fill="C0C0C0"/>
            <w:noWrap/>
          </w:tcPr>
          <w:p w14:paraId="3CEFB9C8" w14:textId="77777777" w:rsidR="00DB2B68" w:rsidRDefault="00000000">
            <w:pPr>
              <w:jc w:val="center"/>
            </w:pPr>
            <w:r>
              <w:rPr>
                <w:b/>
                <w:shd w:val="clear" w:color="auto" w:fill="C0C0C0"/>
              </w:rPr>
              <w:t>4</w:t>
            </w:r>
          </w:p>
        </w:tc>
        <w:tc>
          <w:tcPr>
            <w:tcW w:w="1500" w:type="dxa"/>
            <w:shd w:val="clear" w:color="auto" w:fill="C0C0C0"/>
            <w:noWrap/>
          </w:tcPr>
          <w:p w14:paraId="53B6FB22" w14:textId="77777777" w:rsidR="00DB2B68" w:rsidRDefault="00000000">
            <w:pPr>
              <w:jc w:val="center"/>
            </w:pPr>
            <w:r>
              <w:rPr>
                <w:b/>
                <w:shd w:val="clear" w:color="auto" w:fill="C0C0C0"/>
              </w:rPr>
              <w:t>5</w:t>
            </w:r>
          </w:p>
        </w:tc>
      </w:tr>
      <w:tr w:rsidR="00DB2B68" w14:paraId="3FA270D2" w14:textId="77777777">
        <w:tc>
          <w:tcPr>
            <w:tcW w:w="1500" w:type="dxa"/>
            <w:shd w:val="clear" w:color="auto" w:fill="C0C0C0"/>
            <w:noWrap/>
          </w:tcPr>
          <w:p w14:paraId="3070F2A1" w14:textId="77777777" w:rsidR="00DB2B68" w:rsidRDefault="00000000">
            <w:pPr>
              <w:jc w:val="center"/>
            </w:pPr>
            <w:r>
              <w:rPr>
                <w:b/>
                <w:shd w:val="clear" w:color="auto" w:fill="C0C0C0"/>
              </w:rPr>
              <w:t>1</w:t>
            </w:r>
          </w:p>
        </w:tc>
        <w:tc>
          <w:tcPr>
            <w:tcW w:w="1500" w:type="dxa"/>
            <w:noWrap/>
          </w:tcPr>
          <w:p w14:paraId="7818E79F" w14:textId="77777777" w:rsidR="00DB2B68" w:rsidRDefault="00000000">
            <w:pPr>
              <w:jc w:val="center"/>
            </w:pPr>
            <w:r>
              <w:t>0</w:t>
            </w:r>
          </w:p>
        </w:tc>
        <w:tc>
          <w:tcPr>
            <w:tcW w:w="1500" w:type="dxa"/>
            <w:noWrap/>
          </w:tcPr>
          <w:p w14:paraId="6E7AB67F" w14:textId="77777777" w:rsidR="00DB2B68" w:rsidRDefault="00000000">
            <w:pPr>
              <w:jc w:val="center"/>
            </w:pPr>
            <w:r>
              <w:t>0</w:t>
            </w:r>
          </w:p>
        </w:tc>
        <w:tc>
          <w:tcPr>
            <w:tcW w:w="1500" w:type="dxa"/>
            <w:noWrap/>
          </w:tcPr>
          <w:p w14:paraId="74B80A2A" w14:textId="77777777" w:rsidR="00DB2B68" w:rsidRDefault="00000000">
            <w:pPr>
              <w:jc w:val="center"/>
            </w:pPr>
            <w:r>
              <w:t>0</w:t>
            </w:r>
          </w:p>
        </w:tc>
        <w:tc>
          <w:tcPr>
            <w:tcW w:w="1500" w:type="dxa"/>
            <w:noWrap/>
          </w:tcPr>
          <w:p w14:paraId="536AD9FA" w14:textId="77777777" w:rsidR="00DB2B68" w:rsidRDefault="00000000">
            <w:pPr>
              <w:jc w:val="center"/>
            </w:pPr>
            <w:r>
              <w:t>0</w:t>
            </w:r>
          </w:p>
        </w:tc>
        <w:tc>
          <w:tcPr>
            <w:tcW w:w="1500" w:type="dxa"/>
            <w:noWrap/>
          </w:tcPr>
          <w:p w14:paraId="45393B3D" w14:textId="77777777" w:rsidR="00DB2B68" w:rsidRDefault="00000000">
            <w:pPr>
              <w:jc w:val="center"/>
            </w:pPr>
            <w:r>
              <w:t>0</w:t>
            </w:r>
          </w:p>
        </w:tc>
      </w:tr>
      <w:tr w:rsidR="00DB2B68" w14:paraId="52BCF7CF" w14:textId="77777777">
        <w:tc>
          <w:tcPr>
            <w:tcW w:w="1500" w:type="dxa"/>
            <w:shd w:val="clear" w:color="auto" w:fill="C0C0C0"/>
            <w:noWrap/>
          </w:tcPr>
          <w:p w14:paraId="55CF0413" w14:textId="77777777" w:rsidR="00DB2B68" w:rsidRDefault="00000000">
            <w:pPr>
              <w:jc w:val="center"/>
            </w:pPr>
            <w:r>
              <w:rPr>
                <w:b/>
                <w:shd w:val="clear" w:color="auto" w:fill="C0C0C0"/>
              </w:rPr>
              <w:t>2</w:t>
            </w:r>
          </w:p>
        </w:tc>
        <w:tc>
          <w:tcPr>
            <w:tcW w:w="1500" w:type="dxa"/>
            <w:noWrap/>
          </w:tcPr>
          <w:p w14:paraId="01DC3A4D" w14:textId="77777777" w:rsidR="00DB2B68" w:rsidRDefault="00000000">
            <w:pPr>
              <w:jc w:val="center"/>
            </w:pPr>
            <w:r>
              <w:t>0</w:t>
            </w:r>
          </w:p>
        </w:tc>
        <w:tc>
          <w:tcPr>
            <w:tcW w:w="1500" w:type="dxa"/>
            <w:noWrap/>
          </w:tcPr>
          <w:p w14:paraId="78B556F0" w14:textId="77777777" w:rsidR="00DB2B68" w:rsidRDefault="00000000">
            <w:pPr>
              <w:jc w:val="center"/>
            </w:pPr>
            <w:r>
              <w:t>0</w:t>
            </w:r>
          </w:p>
        </w:tc>
        <w:tc>
          <w:tcPr>
            <w:tcW w:w="1500" w:type="dxa"/>
            <w:noWrap/>
          </w:tcPr>
          <w:p w14:paraId="5FD53384" w14:textId="77777777" w:rsidR="00DB2B68" w:rsidRDefault="00000000">
            <w:pPr>
              <w:jc w:val="center"/>
            </w:pPr>
            <w:r>
              <w:t>0</w:t>
            </w:r>
          </w:p>
        </w:tc>
        <w:tc>
          <w:tcPr>
            <w:tcW w:w="1500" w:type="dxa"/>
            <w:noWrap/>
          </w:tcPr>
          <w:p w14:paraId="11264950" w14:textId="77777777" w:rsidR="00DB2B68" w:rsidRDefault="00000000">
            <w:pPr>
              <w:jc w:val="center"/>
            </w:pPr>
            <w:r>
              <w:t>(0)</w:t>
            </w:r>
          </w:p>
        </w:tc>
        <w:tc>
          <w:tcPr>
            <w:tcW w:w="1500" w:type="dxa"/>
            <w:noWrap/>
          </w:tcPr>
          <w:p w14:paraId="04D74D4B" w14:textId="77777777" w:rsidR="00DB2B68" w:rsidRDefault="00000000">
            <w:pPr>
              <w:jc w:val="center"/>
            </w:pPr>
            <w:r>
              <w:t>(0)</w:t>
            </w:r>
          </w:p>
        </w:tc>
      </w:tr>
      <w:tr w:rsidR="00DB2B68" w14:paraId="0C982DDF" w14:textId="77777777">
        <w:tc>
          <w:tcPr>
            <w:tcW w:w="1500" w:type="dxa"/>
            <w:shd w:val="clear" w:color="auto" w:fill="C0C0C0"/>
            <w:noWrap/>
          </w:tcPr>
          <w:p w14:paraId="367B9791" w14:textId="77777777" w:rsidR="00DB2B68" w:rsidRDefault="00000000">
            <w:pPr>
              <w:jc w:val="center"/>
            </w:pPr>
            <w:r>
              <w:rPr>
                <w:b/>
                <w:shd w:val="clear" w:color="auto" w:fill="C0C0C0"/>
              </w:rPr>
              <w:t>3</w:t>
            </w:r>
          </w:p>
        </w:tc>
        <w:tc>
          <w:tcPr>
            <w:tcW w:w="1500" w:type="dxa"/>
            <w:noWrap/>
          </w:tcPr>
          <w:p w14:paraId="3E726793" w14:textId="77777777" w:rsidR="00DB2B68" w:rsidRDefault="00000000">
            <w:pPr>
              <w:jc w:val="center"/>
            </w:pPr>
            <w:r>
              <w:t>0</w:t>
            </w:r>
          </w:p>
        </w:tc>
        <w:tc>
          <w:tcPr>
            <w:tcW w:w="1500" w:type="dxa"/>
            <w:noWrap/>
          </w:tcPr>
          <w:p w14:paraId="45FC3A55" w14:textId="77777777" w:rsidR="00DB2B68" w:rsidRDefault="00000000">
            <w:pPr>
              <w:jc w:val="center"/>
            </w:pPr>
            <w:r>
              <w:t>0</w:t>
            </w:r>
          </w:p>
        </w:tc>
        <w:tc>
          <w:tcPr>
            <w:tcW w:w="1500" w:type="dxa"/>
            <w:noWrap/>
          </w:tcPr>
          <w:p w14:paraId="7856B71A" w14:textId="77777777" w:rsidR="00DB2B68" w:rsidRDefault="00000000">
            <w:pPr>
              <w:jc w:val="center"/>
            </w:pPr>
            <w:r>
              <w:t>(0)</w:t>
            </w:r>
          </w:p>
        </w:tc>
        <w:tc>
          <w:tcPr>
            <w:tcW w:w="1500" w:type="dxa"/>
            <w:noWrap/>
          </w:tcPr>
          <w:p w14:paraId="31BB53B0" w14:textId="77777777" w:rsidR="00DB2B68" w:rsidRDefault="00000000">
            <w:pPr>
              <w:jc w:val="center"/>
            </w:pPr>
            <w:r>
              <w:t>(0)-(x)</w:t>
            </w:r>
          </w:p>
        </w:tc>
        <w:tc>
          <w:tcPr>
            <w:tcW w:w="1500" w:type="dxa"/>
            <w:noWrap/>
          </w:tcPr>
          <w:p w14:paraId="7A86487F" w14:textId="77777777" w:rsidR="00DB2B68" w:rsidRDefault="00000000">
            <w:pPr>
              <w:jc w:val="center"/>
            </w:pPr>
            <w:r>
              <w:t>(0)-(x)</w:t>
            </w:r>
          </w:p>
        </w:tc>
      </w:tr>
      <w:tr w:rsidR="00DB2B68" w14:paraId="3CFB338A" w14:textId="77777777">
        <w:tc>
          <w:tcPr>
            <w:tcW w:w="1500" w:type="dxa"/>
            <w:shd w:val="clear" w:color="auto" w:fill="C0C0C0"/>
            <w:noWrap/>
          </w:tcPr>
          <w:p w14:paraId="45246FB2" w14:textId="77777777" w:rsidR="00DB2B68" w:rsidRDefault="00000000">
            <w:pPr>
              <w:jc w:val="center"/>
            </w:pPr>
            <w:r>
              <w:rPr>
                <w:b/>
                <w:shd w:val="clear" w:color="auto" w:fill="C0C0C0"/>
              </w:rPr>
              <w:t>4</w:t>
            </w:r>
          </w:p>
        </w:tc>
        <w:tc>
          <w:tcPr>
            <w:tcW w:w="1500" w:type="dxa"/>
            <w:noWrap/>
          </w:tcPr>
          <w:p w14:paraId="21DDD589" w14:textId="77777777" w:rsidR="00DB2B68" w:rsidRDefault="00000000">
            <w:pPr>
              <w:jc w:val="center"/>
            </w:pPr>
            <w:r>
              <w:t>0</w:t>
            </w:r>
          </w:p>
        </w:tc>
        <w:tc>
          <w:tcPr>
            <w:tcW w:w="1500" w:type="dxa"/>
            <w:noWrap/>
          </w:tcPr>
          <w:p w14:paraId="5655A263" w14:textId="77777777" w:rsidR="00DB2B68" w:rsidRDefault="00000000">
            <w:pPr>
              <w:jc w:val="center"/>
            </w:pPr>
            <w:r>
              <w:t>(0)</w:t>
            </w:r>
          </w:p>
        </w:tc>
        <w:tc>
          <w:tcPr>
            <w:tcW w:w="1500" w:type="dxa"/>
            <w:noWrap/>
          </w:tcPr>
          <w:p w14:paraId="2E43A3F5" w14:textId="77777777" w:rsidR="00DB2B68" w:rsidRDefault="00000000">
            <w:pPr>
              <w:jc w:val="center"/>
            </w:pPr>
            <w:r>
              <w:t>(x)</w:t>
            </w:r>
          </w:p>
        </w:tc>
        <w:tc>
          <w:tcPr>
            <w:tcW w:w="1500" w:type="dxa"/>
            <w:noWrap/>
          </w:tcPr>
          <w:p w14:paraId="73F5A85F" w14:textId="77777777" w:rsidR="00DB2B68" w:rsidRDefault="00000000">
            <w:pPr>
              <w:jc w:val="center"/>
            </w:pPr>
            <w:r>
              <w:t>x</w:t>
            </w:r>
          </w:p>
        </w:tc>
        <w:tc>
          <w:tcPr>
            <w:tcW w:w="1500" w:type="dxa"/>
            <w:noWrap/>
          </w:tcPr>
          <w:p w14:paraId="32493175" w14:textId="77777777" w:rsidR="00DB2B68" w:rsidRDefault="00000000">
            <w:pPr>
              <w:jc w:val="center"/>
            </w:pPr>
            <w:r>
              <w:t>x</w:t>
            </w:r>
          </w:p>
        </w:tc>
      </w:tr>
      <w:tr w:rsidR="00DB2B68" w14:paraId="0D950B52" w14:textId="77777777">
        <w:tc>
          <w:tcPr>
            <w:tcW w:w="1500" w:type="dxa"/>
            <w:shd w:val="clear" w:color="auto" w:fill="C0C0C0"/>
            <w:noWrap/>
          </w:tcPr>
          <w:p w14:paraId="0BF50D67" w14:textId="77777777" w:rsidR="00DB2B68" w:rsidRDefault="00000000">
            <w:pPr>
              <w:jc w:val="center"/>
            </w:pPr>
            <w:r>
              <w:rPr>
                <w:b/>
                <w:shd w:val="clear" w:color="auto" w:fill="C0C0C0"/>
              </w:rPr>
              <w:t>5</w:t>
            </w:r>
          </w:p>
        </w:tc>
        <w:tc>
          <w:tcPr>
            <w:tcW w:w="1500" w:type="dxa"/>
            <w:noWrap/>
          </w:tcPr>
          <w:p w14:paraId="530FDAD8" w14:textId="77777777" w:rsidR="00DB2B68" w:rsidRDefault="00000000">
            <w:pPr>
              <w:jc w:val="center"/>
            </w:pPr>
            <w:r>
              <w:t>0</w:t>
            </w:r>
          </w:p>
        </w:tc>
        <w:tc>
          <w:tcPr>
            <w:tcW w:w="1500" w:type="dxa"/>
            <w:noWrap/>
          </w:tcPr>
          <w:p w14:paraId="224B73AD" w14:textId="77777777" w:rsidR="00DB2B68" w:rsidRDefault="00000000">
            <w:pPr>
              <w:jc w:val="center"/>
            </w:pPr>
            <w:r>
              <w:t>(x)</w:t>
            </w:r>
          </w:p>
        </w:tc>
        <w:tc>
          <w:tcPr>
            <w:tcW w:w="1500" w:type="dxa"/>
            <w:noWrap/>
          </w:tcPr>
          <w:p w14:paraId="43A17A35" w14:textId="77777777" w:rsidR="00DB2B68" w:rsidRDefault="00000000">
            <w:pPr>
              <w:jc w:val="center"/>
            </w:pPr>
            <w:r>
              <w:t>(x)</w:t>
            </w:r>
          </w:p>
        </w:tc>
        <w:tc>
          <w:tcPr>
            <w:tcW w:w="1500" w:type="dxa"/>
            <w:noWrap/>
          </w:tcPr>
          <w:p w14:paraId="24DA0C3C" w14:textId="77777777" w:rsidR="00DB2B68" w:rsidRDefault="00000000">
            <w:pPr>
              <w:jc w:val="center"/>
            </w:pPr>
            <w:r>
              <w:t>x</w:t>
            </w:r>
          </w:p>
        </w:tc>
        <w:tc>
          <w:tcPr>
            <w:tcW w:w="1500" w:type="dxa"/>
            <w:noWrap/>
          </w:tcPr>
          <w:p w14:paraId="5C14307D" w14:textId="77777777" w:rsidR="00DB2B68" w:rsidRDefault="00000000">
            <w:pPr>
              <w:jc w:val="center"/>
            </w:pPr>
            <w:r>
              <w:t>x</w:t>
            </w:r>
          </w:p>
        </w:tc>
      </w:tr>
      <w:tr w:rsidR="00DB2B68" w14:paraId="13BD6D45" w14:textId="77777777">
        <w:tc>
          <w:tcPr>
            <w:tcW w:w="9000" w:type="dxa"/>
            <w:gridSpan w:val="6"/>
            <w:noWrap/>
          </w:tcPr>
          <w:p w14:paraId="29E00F73" w14:textId="77777777" w:rsidR="00DB2B68" w:rsidRDefault="00000000">
            <w:r>
              <w:rPr>
                <w:b/>
              </w:rPr>
              <w:t>Légende:</w:t>
            </w:r>
          </w:p>
        </w:tc>
      </w:tr>
      <w:tr w:rsidR="00DB2B68" w14:paraId="0CFE7CD7" w14:textId="77777777">
        <w:tc>
          <w:tcPr>
            <w:tcW w:w="9000" w:type="dxa"/>
            <w:gridSpan w:val="6"/>
            <w:noWrap/>
          </w:tcPr>
          <w:p w14:paraId="6515B646" w14:textId="77777777" w:rsidR="00DB2B68" w:rsidRDefault="00000000">
            <w:r>
              <w:t>0            durabilité naturelle suffisante (vis-à-vis des champignons lignivores)</w:t>
            </w:r>
          </w:p>
        </w:tc>
      </w:tr>
      <w:tr w:rsidR="00DB2B68" w14:paraId="3F755802" w14:textId="77777777">
        <w:tc>
          <w:tcPr>
            <w:tcW w:w="9000" w:type="dxa"/>
            <w:gridSpan w:val="6"/>
            <w:noWrap/>
          </w:tcPr>
          <w:p w14:paraId="1A07FCAE" w14:textId="77777777" w:rsidR="00DB2B68" w:rsidRDefault="00000000">
            <w:r>
              <w:t>(0)         durabilité naturelle normalement suffisante, mais pour certains emplois un traitement de préservation peut être recommandé (voir annexe A de [NBN EN 460])</w:t>
            </w:r>
          </w:p>
        </w:tc>
      </w:tr>
      <w:tr w:rsidR="00DB2B68" w14:paraId="7DD5C74C" w14:textId="77777777">
        <w:tc>
          <w:tcPr>
            <w:tcW w:w="9000" w:type="dxa"/>
            <w:gridSpan w:val="6"/>
            <w:noWrap/>
          </w:tcPr>
          <w:p w14:paraId="13BE126E" w14:textId="77777777" w:rsidR="00DB2B68" w:rsidRDefault="00000000">
            <w:r>
              <w:t>(0)-(x)    la durabilité naturelle peut être suffisante, mais en fonction de l'essence de bois, de sa  perméabilité (voir 6.1 de [NBN EN 460]) et de son emploi final (voir annexe A de [NBN EN 460]), un traitement de préservation peut s'avérer nécessaire</w:t>
            </w:r>
          </w:p>
        </w:tc>
      </w:tr>
      <w:tr w:rsidR="00DB2B68" w14:paraId="27FD5BA9" w14:textId="77777777">
        <w:tc>
          <w:tcPr>
            <w:tcW w:w="9000" w:type="dxa"/>
            <w:gridSpan w:val="6"/>
            <w:noWrap/>
          </w:tcPr>
          <w:p w14:paraId="0D4B9770" w14:textId="77777777" w:rsidR="00DB2B68" w:rsidRDefault="00000000">
            <w:r>
              <w:t>(x)         le traitement de préservation est normalement recommandé, mais pour certains emplois la durabilité naturelle peut être suffisante (voir annexe A de [NBN EN 460])</w:t>
            </w:r>
          </w:p>
        </w:tc>
      </w:tr>
      <w:tr w:rsidR="00DB2B68" w14:paraId="77EED049" w14:textId="77777777">
        <w:tc>
          <w:tcPr>
            <w:tcW w:w="9000" w:type="dxa"/>
            <w:gridSpan w:val="6"/>
            <w:noWrap/>
          </w:tcPr>
          <w:p w14:paraId="3DB2302C" w14:textId="77777777" w:rsidR="00DB2B68" w:rsidRDefault="00000000">
            <w:r>
              <w:t>x            traitement de préservation nécessaire </w:t>
            </w:r>
          </w:p>
        </w:tc>
      </w:tr>
    </w:tbl>
    <w:p w14:paraId="1FB98B97" w14:textId="77777777" w:rsidR="00DB2B68" w:rsidRDefault="00000000">
      <w:pPr>
        <w:jc w:val="both"/>
      </w:pPr>
      <w:r>
        <w:rPr>
          <w:vertAlign w:val="superscript"/>
        </w:rPr>
        <w:t>Note: Il convient de considérer l'aubier de toutes les essences de bois comme ayant la classe de durabilité 5</w:t>
      </w:r>
    </w:p>
    <w:p w14:paraId="2C2CD821" w14:textId="77777777" w:rsidR="00DB2B68" w:rsidRDefault="00DB2B68"/>
    <w:p w14:paraId="4F6C2D46" w14:textId="77777777" w:rsidR="00DB2B68" w:rsidRDefault="00000000">
      <w:pPr>
        <w:jc w:val="both"/>
      </w:pPr>
      <w:r>
        <w:t>De manière générale aucune stagnation d’eau n’est tolérée. Il faut veiller à une bonne ventilation des éléments et particulièrement des zones d’assemblages.</w:t>
      </w:r>
    </w:p>
    <w:p w14:paraId="0411B49E" w14:textId="77777777" w:rsidR="00DB2B68" w:rsidRDefault="00000000">
      <w:pPr>
        <w:ind w:left="567"/>
        <w:jc w:val="both"/>
      </w:pPr>
      <w:r>
        <w:rPr>
          <w:b/>
        </w:rPr>
        <w:t>PRESERVATION</w:t>
      </w:r>
    </w:p>
    <w:p w14:paraId="364AD13D" w14:textId="77777777" w:rsidR="00DB2B68" w:rsidRDefault="00000000">
      <w:pPr>
        <w:jc w:val="both"/>
      </w:pPr>
      <w:r>
        <w:lastRenderedPageBreak/>
        <w:t>Le traitement de préservation des bois est d’application lorsque la durabilité naturelle du bois n’est pas suffisante par rapport aux exigences de la classe d’emploi dans laquelle il est utilisé.</w:t>
      </w:r>
    </w:p>
    <w:p w14:paraId="6F49E1B5" w14:textId="77777777" w:rsidR="00DB2B68" w:rsidRDefault="00000000">
      <w:pPr>
        <w:jc w:val="both"/>
      </w:pPr>
      <w:r>
        <w:t>Toutes les zones préalablement traitées ayant subi des entailles et/ou découpes doivent être traitées de nouveau pour atteindre la durabilité exigée ou prévoir une disposition constructive qui permet de ramener localement la classe d’emplois en adéquation avec la classe de durabilité locale.</w:t>
      </w:r>
    </w:p>
    <w:p w14:paraId="0064C0B6" w14:textId="77777777" w:rsidR="00DB2B68" w:rsidRDefault="00000000">
      <w:pPr>
        <w:jc w:val="both"/>
      </w:pPr>
      <w:r>
        <w:t>La durabilité des éléments est fortement influencée par la conception du projet, la mise en œuvre et l’entretien de l’ouvrage.</w:t>
      </w:r>
    </w:p>
    <w:p w14:paraId="3441C595" w14:textId="77777777" w:rsidR="00DB2B68" w:rsidRDefault="00000000">
      <w:pPr>
        <w:jc w:val="both"/>
      </w:pPr>
      <w:r>
        <w:t>Les traitements, protection et finition des bois sont décrits dans l'élément </w:t>
      </w:r>
      <w:hyperlink w:anchor="602" w:history="1">
        <w:r>
          <w:rPr>
            <w:color w:val="0000EE"/>
          </w:rPr>
          <w:t>24.7 Traitements, protection et finition des bois</w:t>
        </w:r>
      </w:hyperlink>
      <w:r>
        <w:t xml:space="preserve"> du présent cahier des charges et dans la [STS 04.3].</w:t>
      </w:r>
    </w:p>
    <w:p w14:paraId="5A45B933" w14:textId="77777777" w:rsidR="00DB2B68" w:rsidRDefault="00000000">
      <w:pPr>
        <w:jc w:val="both"/>
      </w:pPr>
      <w:r>
        <w:t xml:space="preserve">Le traitement de préservation utilisé est compatible avec d’autres composants (traitement ignifuge, collage, finitions). </w:t>
      </w:r>
    </w:p>
    <w:p w14:paraId="3FDEBA1C" w14:textId="77777777" w:rsidR="00DB2B68" w:rsidRDefault="00000000">
      <w:pPr>
        <w:jc w:val="both"/>
      </w:pPr>
      <w:r>
        <w:t>Lorsqu’un traitement de finition est prescrit, l’entretien des finitions est décrit dans le dossier d’intervention ultérieur.</w:t>
      </w:r>
    </w:p>
    <w:p w14:paraId="5E96A32E" w14:textId="77777777" w:rsidR="00DB2B68" w:rsidRDefault="00000000">
      <w:pPr>
        <w:ind w:left="567"/>
        <w:jc w:val="both"/>
      </w:pPr>
      <w:r>
        <w:rPr>
          <w:b/>
        </w:rPr>
        <w:t>MAITRISE DE L’HUMIDITE</w:t>
      </w:r>
    </w:p>
    <w:p w14:paraId="53FF01D6" w14:textId="77777777" w:rsidR="00DB2B68" w:rsidRDefault="00000000">
      <w:pPr>
        <w:jc w:val="both"/>
      </w:pPr>
      <w:r>
        <w:t xml:space="preserve">La teneur en humidité du bois est définie dans la [NBN EN 844] comme étant la masse d’eau contenue dans un bois exprimée en pourcentage de la masse anhydre du bois. Cette notion est aussi appelée « teneur en eau », « taux d’humidité », « taux d’humidité relatif » ou « humidité » du bois. </w:t>
      </w:r>
    </w:p>
    <w:p w14:paraId="78F65EAF" w14:textId="77777777" w:rsidR="00DB2B68" w:rsidRDefault="00000000">
      <w:pPr>
        <w:jc w:val="both"/>
      </w:pPr>
      <w:r>
        <w:t>Les différentes méthodes de mesure de la teneur en humidité sont décrites à l’article 03.41.1b Mesures du taux d'humidité dans le bois.</w:t>
      </w:r>
    </w:p>
    <w:p w14:paraId="1E9B47A7" w14:textId="77777777" w:rsidR="00DB2B68" w:rsidRDefault="00000000">
      <w:pPr>
        <w:jc w:val="both"/>
      </w:pPr>
      <w:r>
        <w:t>La maitrise de la teneur en humidité du bois est nécessaire pour différentes raisons :</w:t>
      </w:r>
    </w:p>
    <w:p w14:paraId="461890AF" w14:textId="77777777" w:rsidR="00DB2B68" w:rsidRDefault="00000000">
      <w:pPr>
        <w:pStyle w:val="Author-eListParagraph"/>
        <w:numPr>
          <w:ilvl w:val="0"/>
          <w:numId w:val="784"/>
        </w:numPr>
      </w:pPr>
      <w:r>
        <w:t>éviter les attaques de champignons,</w:t>
      </w:r>
    </w:p>
    <w:p w14:paraId="37735A33" w14:textId="77777777" w:rsidR="00DB2B68" w:rsidRDefault="00000000">
      <w:pPr>
        <w:pStyle w:val="Author-eListParagraph"/>
        <w:numPr>
          <w:ilvl w:val="0"/>
          <w:numId w:val="785"/>
        </w:numPr>
      </w:pPr>
      <w:r>
        <w:t>éviter les désordres liés aux mouvement (retrait-gonflement) du bois,</w:t>
      </w:r>
    </w:p>
    <w:p w14:paraId="5F581B16" w14:textId="77777777" w:rsidR="00DB2B68" w:rsidRDefault="00000000">
      <w:pPr>
        <w:pStyle w:val="Author-eListParagraph"/>
        <w:numPr>
          <w:ilvl w:val="0"/>
          <w:numId w:val="786"/>
        </w:numPr>
      </w:pPr>
      <w:r>
        <w:t>garantir des propriétés mécaniques conformes à celles attendues,</w:t>
      </w:r>
    </w:p>
    <w:p w14:paraId="5213FC8C" w14:textId="77777777" w:rsidR="00DB2B68" w:rsidRDefault="00000000">
      <w:pPr>
        <w:pStyle w:val="Author-eListParagraph"/>
        <w:numPr>
          <w:ilvl w:val="0"/>
          <w:numId w:val="787"/>
        </w:numPr>
      </w:pPr>
      <w:r>
        <w:t>assurer la bonne adhésion des colles et des couches de finition.</w:t>
      </w:r>
    </w:p>
    <w:p w14:paraId="63CC73BA" w14:textId="77777777" w:rsidR="00DB2B68" w:rsidRDefault="00000000">
      <w:pPr>
        <w:jc w:val="both"/>
      </w:pPr>
      <w:r>
        <w:t xml:space="preserve">Il convient que le bois soit séché pour atteindre l'humidité d'équilibre qu'il a en usage. Il est nécessaire que les composants en bois et à base de bois ne soient en aucune manière exposés à des conditions climatiques plus sévères que celles pour lesquelles ils ont été conçus. </w:t>
      </w:r>
    </w:p>
    <w:p w14:paraId="3580A3DA" w14:textId="77777777" w:rsidR="00DB2B68" w:rsidRDefault="00000000">
      <w:pPr>
        <w:jc w:val="both"/>
      </w:pPr>
      <w:r>
        <w:t xml:space="preserve">Le contrôle de la qualité du séchage d’un lot de bois scié se fait selon la [NBN EN 14298]. </w:t>
      </w:r>
    </w:p>
    <w:p w14:paraId="231AB0A6" w14:textId="77777777" w:rsidR="00DB2B68" w:rsidRDefault="00000000">
      <w:pPr>
        <w:jc w:val="both"/>
      </w:pPr>
      <w:r>
        <w:t>Sauf mention contraire au cahier spécial des charges, la teneur en humidité prescrite est la teneur en humidité cible selon la [NBN EN 14298].</w:t>
      </w:r>
    </w:p>
    <w:p w14:paraId="51F78A99" w14:textId="77777777" w:rsidR="00DB2B68" w:rsidRDefault="00000000">
      <w:pPr>
        <w:jc w:val="both"/>
      </w:pPr>
      <w:r>
        <w:t>Les éléments suivants sont indiqués au tableau ci-dessous, en fonction de la teneur en humidité cible :</w:t>
      </w:r>
    </w:p>
    <w:p w14:paraId="208CF590" w14:textId="77777777" w:rsidR="00DB2B68" w:rsidRDefault="00000000">
      <w:pPr>
        <w:pStyle w:val="Author-eListParagraph"/>
        <w:numPr>
          <w:ilvl w:val="0"/>
          <w:numId w:val="788"/>
        </w:numPr>
      </w:pPr>
      <w:r>
        <w:t>étendue admissible de la teneur en humidité moyenne par rapport à la teneur en humidité cible ;</w:t>
      </w:r>
    </w:p>
    <w:p w14:paraId="5AB550F4" w14:textId="77777777" w:rsidR="00DB2B68" w:rsidRDefault="00000000">
      <w:pPr>
        <w:pStyle w:val="Author-eListParagraph"/>
        <w:numPr>
          <w:ilvl w:val="0"/>
          <w:numId w:val="789"/>
        </w:numPr>
      </w:pPr>
      <w:r>
        <w:t>limites inférieure et supérieure de teneur en humidité admissible pour les pièces individuelles ;</w:t>
      </w:r>
    </w:p>
    <w:p w14:paraId="78EF90F4" w14:textId="77777777" w:rsidR="00DB2B68" w:rsidRDefault="00000000">
      <w:pPr>
        <w:jc w:val="both"/>
      </w:pPr>
      <w:r>
        <w:t>Le niveau de qualité acceptable (NQA – AQL en anglais) est, sauf mention contraire au cahier spécial des charges, à 6.5%.</w:t>
      </w:r>
    </w:p>
    <w:p w14:paraId="1998EB8F" w14:textId="77777777" w:rsidR="00DB2B68" w:rsidRDefault="00000000">
      <w:pPr>
        <w:jc w:val="both"/>
      </w:pPr>
      <w:r>
        <w:rPr>
          <w:noProof/>
        </w:rPr>
        <w:lastRenderedPageBreak/>
        <w:drawing>
          <wp:inline distT="0" distB="0" distL="0" distR="0" wp14:anchorId="725EB2B0" wp14:editId="35F9FAA1">
            <wp:extent cx="5715000" cy="3552825"/>
            <wp:effectExtent l="0" t="0" r="0" b="0"/>
            <wp:docPr id="5" name="image_tableau_24.jpg" descr="image_tableau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286" descr=" "/>
                    <pic:cNvPicPr>
                      <a:picLocks noChangeAspect="1" noChangeArrowheads="1"/>
                    </pic:cNvPicPr>
                  </pic:nvPicPr>
                  <pic:blipFill>
                    <a:blip r:embed="rId13"/>
                    <a:srcRect/>
                    <a:stretch>
                      <a:fillRect/>
                    </a:stretch>
                  </pic:blipFill>
                  <pic:spPr bwMode="auto">
                    <a:xfrm>
                      <a:off x="0" y="0"/>
                      <a:ext cx="5715000" cy="3552825"/>
                    </a:xfrm>
                    <a:prstGeom prst="rect">
                      <a:avLst/>
                    </a:prstGeom>
                  </pic:spPr>
                </pic:pic>
              </a:graphicData>
            </a:graphic>
          </wp:inline>
        </w:drawing>
      </w:r>
    </w:p>
    <w:p w14:paraId="1A919DCD" w14:textId="77777777" w:rsidR="00DB2B68" w:rsidRDefault="00000000">
      <w:pPr>
        <w:jc w:val="both"/>
      </w:pPr>
      <w:r>
        <w:t xml:space="preserve">Les courbes présentées ci-dessous donnent une approximation de la teneur en humidité d’équilibre d’une pièce de bois massif en fonction des conditions d’ambiance dans lesquelles elle est placée. </w:t>
      </w:r>
    </w:p>
    <w:p w14:paraId="5F5F7492" w14:textId="77777777" w:rsidR="00DB2B68" w:rsidRDefault="00DB2B68">
      <w:pPr>
        <w:jc w:val="both"/>
      </w:pPr>
    </w:p>
    <w:p w14:paraId="6C080098" w14:textId="77777777" w:rsidR="00DB2B68" w:rsidRDefault="00000000">
      <w:pPr>
        <w:jc w:val="both"/>
      </w:pPr>
      <w:r>
        <w:t>En règle générale, les pièces en bois massif reconstitué par collage ont une teneur en humidité d’équilibre légèrement inférieure à celle du bois massif.</w:t>
      </w:r>
    </w:p>
    <w:p w14:paraId="0A0BB538" w14:textId="77777777" w:rsidR="00DB2B68" w:rsidRDefault="00000000">
      <w:pPr>
        <w:jc w:val="both"/>
      </w:pPr>
      <w:r>
        <w:rPr>
          <w:noProof/>
        </w:rPr>
        <w:lastRenderedPageBreak/>
        <w:drawing>
          <wp:inline distT="0" distB="0" distL="0" distR="0" wp14:anchorId="5210D385" wp14:editId="6A8F77C5">
            <wp:extent cx="3209925" cy="4705350"/>
            <wp:effectExtent l="0" t="0" r="0" b="0"/>
            <wp:docPr id="6" name="equilibre hygroscopique.png" descr="equilibre hygroscop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785" descr=" "/>
                    <pic:cNvPicPr>
                      <a:picLocks noChangeAspect="1" noChangeArrowheads="1"/>
                    </pic:cNvPicPr>
                  </pic:nvPicPr>
                  <pic:blipFill>
                    <a:blip r:embed="rId14"/>
                    <a:srcRect/>
                    <a:stretch>
                      <a:fillRect/>
                    </a:stretch>
                  </pic:blipFill>
                  <pic:spPr bwMode="auto">
                    <a:xfrm>
                      <a:off x="0" y="0"/>
                      <a:ext cx="3209925" cy="4705350"/>
                    </a:xfrm>
                    <a:prstGeom prst="rect">
                      <a:avLst/>
                    </a:prstGeom>
                  </pic:spPr>
                </pic:pic>
              </a:graphicData>
            </a:graphic>
          </wp:inline>
        </w:drawing>
      </w:r>
    </w:p>
    <w:p w14:paraId="7E33CB54" w14:textId="77777777" w:rsidR="00DB2B68" w:rsidRDefault="00000000">
      <w:pPr>
        <w:ind w:left="567"/>
        <w:jc w:val="both"/>
      </w:pPr>
      <w:r>
        <w:rPr>
          <w:b/>
        </w:rPr>
        <w:t>RECYCLAGE/REUTILISATION</w:t>
      </w:r>
    </w:p>
    <w:p w14:paraId="240C593E" w14:textId="77777777" w:rsidR="00DB2B68" w:rsidRDefault="00000000">
      <w:pPr>
        <w:jc w:val="both"/>
      </w:pPr>
      <w:r>
        <w:t>Les impositions générales concernant les préventions, le tri sélectif sur chantier, le stockage, le transport et le traitement des déchets sont décrites à la section 07 Déchets, matériaux et éléments réemployables du présent cahier des charges type.</w:t>
      </w:r>
    </w:p>
    <w:p w14:paraId="08C85F97" w14:textId="77777777" w:rsidR="00DB2B68" w:rsidRDefault="00000000">
      <w:pPr>
        <w:ind w:left="567"/>
        <w:jc w:val="both"/>
      </w:pPr>
      <w:r>
        <w:rPr>
          <w:b/>
        </w:rPr>
        <w:t>COMPORTEMENT AU FEU DES ELEMENTS EN BOIS</w:t>
      </w:r>
    </w:p>
    <w:p w14:paraId="0A07E2F3" w14:textId="77777777" w:rsidR="00DB2B68" w:rsidRDefault="00000000">
      <w:pPr>
        <w:jc w:val="both"/>
      </w:pPr>
      <w:r>
        <w:t>Les exigences auxquelles les bâtiments doivent répondre en termes de sécurité incendie sont décrites dans la législation en vigueur et sont notamment fonction du type de bâtiment, de sa destination, de sa localisation, de ses occupants, etc.</w:t>
      </w:r>
    </w:p>
    <w:p w14:paraId="6B9A3581" w14:textId="77777777" w:rsidR="00DB2B68" w:rsidRDefault="00000000">
      <w:pPr>
        <w:jc w:val="both"/>
      </w:pPr>
      <w:r>
        <w:t>Le document de base pour la législation incendie en Belgique est l’[AR 1994-07-07] et ses modifications fixant les normes de base en matière de prévention contre l’incendie et l’explosion, auxquelles les bâtiments doivent satisfaire.</w:t>
      </w:r>
    </w:p>
    <w:p w14:paraId="16037CAB" w14:textId="77777777" w:rsidR="00DB2B68" w:rsidRDefault="00000000">
      <w:pPr>
        <w:pStyle w:val="Author-eListParagraph"/>
        <w:numPr>
          <w:ilvl w:val="0"/>
          <w:numId w:val="790"/>
        </w:numPr>
      </w:pPr>
      <w:r>
        <w:t>Réaction au feu :</w:t>
      </w:r>
    </w:p>
    <w:p w14:paraId="1ED267B1" w14:textId="77777777" w:rsidR="00DB2B68" w:rsidRDefault="00000000">
      <w:pPr>
        <w:jc w:val="both"/>
      </w:pPr>
      <w:r>
        <w:t>Pour attester de la classe de réaction au feu, un essai selon la [NBN EN 13501-1] est effectué par un laboratoire accrédité. Pour certains produits et dans certaines conditions, une décision européenne permet d’attribuer la classe de réaction au feu D-s2,d0 sans essai supplémentaire. Ces décisions et les produits auxquels elles se rapportent sont listés ci-dessous :</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DB2B68" w14:paraId="42750B8C" w14:textId="77777777">
        <w:tc>
          <w:tcPr>
            <w:tcW w:w="2250" w:type="dxa"/>
            <w:noWrap/>
          </w:tcPr>
          <w:p w14:paraId="08E0B44A" w14:textId="77777777" w:rsidR="00DB2B68" w:rsidRDefault="00000000">
            <w:r>
              <w:t>Produit</w:t>
            </w:r>
          </w:p>
        </w:tc>
        <w:tc>
          <w:tcPr>
            <w:tcW w:w="2250" w:type="dxa"/>
            <w:noWrap/>
          </w:tcPr>
          <w:p w14:paraId="2F713D32" w14:textId="77777777" w:rsidR="00DB2B68" w:rsidRDefault="00000000">
            <w:r>
              <w:t>Masse Volumique minimale</w:t>
            </w:r>
          </w:p>
        </w:tc>
        <w:tc>
          <w:tcPr>
            <w:tcW w:w="2250" w:type="dxa"/>
            <w:noWrap/>
          </w:tcPr>
          <w:p w14:paraId="2645777D" w14:textId="77777777" w:rsidR="00DB2B68" w:rsidRDefault="00000000">
            <w:r>
              <w:t>Epaisseur minimale</w:t>
            </w:r>
          </w:p>
        </w:tc>
        <w:tc>
          <w:tcPr>
            <w:tcW w:w="2250" w:type="dxa"/>
            <w:noWrap/>
          </w:tcPr>
          <w:p w14:paraId="5205C575" w14:textId="77777777" w:rsidR="00DB2B68" w:rsidRDefault="00000000">
            <w:r>
              <w:t>Référence de la décision européenne</w:t>
            </w:r>
          </w:p>
        </w:tc>
      </w:tr>
      <w:tr w:rsidR="00DB2B68" w14:paraId="5D2C4841" w14:textId="77777777">
        <w:tc>
          <w:tcPr>
            <w:tcW w:w="2250" w:type="dxa"/>
            <w:noWrap/>
          </w:tcPr>
          <w:p w14:paraId="1F48BEDF" w14:textId="77777777" w:rsidR="00DB2B68" w:rsidRDefault="00000000">
            <w:r>
              <w:t>Bois Massif</w:t>
            </w:r>
          </w:p>
        </w:tc>
        <w:tc>
          <w:tcPr>
            <w:tcW w:w="2250" w:type="dxa"/>
            <w:noWrap/>
          </w:tcPr>
          <w:p w14:paraId="44CF2FA7" w14:textId="77777777" w:rsidR="00DB2B68" w:rsidRDefault="00000000">
            <w:r>
              <w:t>350 kg/m³</w:t>
            </w:r>
          </w:p>
        </w:tc>
        <w:tc>
          <w:tcPr>
            <w:tcW w:w="2250" w:type="dxa"/>
            <w:noWrap/>
          </w:tcPr>
          <w:p w14:paraId="5B63EDD0" w14:textId="77777777" w:rsidR="00DB2B68" w:rsidRDefault="00000000">
            <w:r>
              <w:t>22mm</w:t>
            </w:r>
          </w:p>
        </w:tc>
        <w:tc>
          <w:tcPr>
            <w:tcW w:w="2250" w:type="dxa"/>
            <w:noWrap/>
          </w:tcPr>
          <w:p w14:paraId="23A71DBB" w14:textId="77777777" w:rsidR="00DB2B68" w:rsidRDefault="00000000">
            <w:r>
              <w:t>2003/593/CE</w:t>
            </w:r>
          </w:p>
        </w:tc>
      </w:tr>
      <w:tr w:rsidR="00DB2B68" w14:paraId="7BA0EEE9" w14:textId="77777777">
        <w:tc>
          <w:tcPr>
            <w:tcW w:w="2250" w:type="dxa"/>
            <w:noWrap/>
          </w:tcPr>
          <w:p w14:paraId="06DCBDBC" w14:textId="77777777" w:rsidR="00DB2B68" w:rsidRDefault="00000000">
            <w:r>
              <w:t>Bois massif abouté</w:t>
            </w:r>
          </w:p>
        </w:tc>
        <w:tc>
          <w:tcPr>
            <w:tcW w:w="2250" w:type="dxa"/>
            <w:noWrap/>
          </w:tcPr>
          <w:p w14:paraId="5D6779C9" w14:textId="77777777" w:rsidR="00DB2B68" w:rsidRDefault="00000000">
            <w:r>
              <w:t>380 kg/m³</w:t>
            </w:r>
          </w:p>
        </w:tc>
        <w:tc>
          <w:tcPr>
            <w:tcW w:w="2250" w:type="dxa"/>
            <w:noWrap/>
          </w:tcPr>
          <w:p w14:paraId="65B7FF77" w14:textId="77777777" w:rsidR="00DB2B68" w:rsidRDefault="00000000">
            <w:r>
              <w:t>22mm</w:t>
            </w:r>
          </w:p>
        </w:tc>
        <w:tc>
          <w:tcPr>
            <w:tcW w:w="2250" w:type="dxa"/>
            <w:noWrap/>
          </w:tcPr>
          <w:p w14:paraId="5ED06433" w14:textId="77777777" w:rsidR="00DB2B68" w:rsidRDefault="00000000">
            <w:r>
              <w:t>C/2017/5389</w:t>
            </w:r>
          </w:p>
        </w:tc>
      </w:tr>
      <w:tr w:rsidR="00DB2B68" w14:paraId="091DA197" w14:textId="77777777">
        <w:tc>
          <w:tcPr>
            <w:tcW w:w="2250" w:type="dxa"/>
            <w:noWrap/>
          </w:tcPr>
          <w:p w14:paraId="67FA608C" w14:textId="77777777" w:rsidR="00DB2B68" w:rsidRDefault="00000000">
            <w:r>
              <w:t>Bois lamellé collé, BMR</w:t>
            </w:r>
          </w:p>
        </w:tc>
        <w:tc>
          <w:tcPr>
            <w:tcW w:w="2250" w:type="dxa"/>
            <w:noWrap/>
          </w:tcPr>
          <w:p w14:paraId="0B56B71A" w14:textId="77777777" w:rsidR="00DB2B68" w:rsidRDefault="00000000">
            <w:r>
              <w:t>380 kg/m³</w:t>
            </w:r>
          </w:p>
        </w:tc>
        <w:tc>
          <w:tcPr>
            <w:tcW w:w="2250" w:type="dxa"/>
            <w:noWrap/>
          </w:tcPr>
          <w:p w14:paraId="18BB0490" w14:textId="77777777" w:rsidR="00DB2B68" w:rsidRDefault="00000000">
            <w:r>
              <w:t>22mm</w:t>
            </w:r>
          </w:p>
        </w:tc>
        <w:tc>
          <w:tcPr>
            <w:tcW w:w="2250" w:type="dxa"/>
            <w:noWrap/>
          </w:tcPr>
          <w:p w14:paraId="59AAD0EB" w14:textId="77777777" w:rsidR="00DB2B68" w:rsidRDefault="00000000">
            <w:r>
              <w:t>C/2017/1702</w:t>
            </w:r>
          </w:p>
        </w:tc>
      </w:tr>
      <w:tr w:rsidR="00DB2B68" w14:paraId="42E12A87" w14:textId="77777777">
        <w:tc>
          <w:tcPr>
            <w:tcW w:w="2250" w:type="dxa"/>
            <w:noWrap/>
          </w:tcPr>
          <w:p w14:paraId="50CCC5A4" w14:textId="77777777" w:rsidR="00DB2B68" w:rsidRDefault="00000000">
            <w:r>
              <w:lastRenderedPageBreak/>
              <w:t>CLT (épaisseur de couche min. : 18mm)</w:t>
            </w:r>
          </w:p>
        </w:tc>
        <w:tc>
          <w:tcPr>
            <w:tcW w:w="2250" w:type="dxa"/>
            <w:noWrap/>
          </w:tcPr>
          <w:p w14:paraId="5AC70FB9" w14:textId="77777777" w:rsidR="00DB2B68" w:rsidRDefault="00000000">
            <w:r>
              <w:t>350 kg/m³</w:t>
            </w:r>
          </w:p>
        </w:tc>
        <w:tc>
          <w:tcPr>
            <w:tcW w:w="2250" w:type="dxa"/>
            <w:noWrap/>
          </w:tcPr>
          <w:p w14:paraId="21B322AC" w14:textId="77777777" w:rsidR="00DB2B68" w:rsidRDefault="00000000">
            <w:r>
              <w:t>54mm</w:t>
            </w:r>
          </w:p>
        </w:tc>
        <w:tc>
          <w:tcPr>
            <w:tcW w:w="2250" w:type="dxa"/>
            <w:noWrap/>
          </w:tcPr>
          <w:p w14:paraId="7045DAA0" w14:textId="77777777" w:rsidR="00DB2B68" w:rsidRDefault="00000000">
            <w:r>
              <w:t>C/2017/5389</w:t>
            </w:r>
          </w:p>
        </w:tc>
      </w:tr>
      <w:tr w:rsidR="00DB2B68" w14:paraId="56852041" w14:textId="77777777">
        <w:tc>
          <w:tcPr>
            <w:tcW w:w="2250" w:type="dxa"/>
            <w:noWrap/>
          </w:tcPr>
          <w:p w14:paraId="5329675E" w14:textId="77777777" w:rsidR="00DB2B68" w:rsidRDefault="00000000">
            <w:r>
              <w:t>LVL (épaisseur des placages min. : 3mm)</w:t>
            </w:r>
          </w:p>
        </w:tc>
        <w:tc>
          <w:tcPr>
            <w:tcW w:w="2250" w:type="dxa"/>
            <w:noWrap/>
          </w:tcPr>
          <w:p w14:paraId="766F5152" w14:textId="77777777" w:rsidR="00DB2B68" w:rsidRDefault="00000000">
            <w:r>
              <w:t>400 kg/m³</w:t>
            </w:r>
          </w:p>
        </w:tc>
        <w:tc>
          <w:tcPr>
            <w:tcW w:w="2250" w:type="dxa"/>
            <w:noWrap/>
          </w:tcPr>
          <w:p w14:paraId="278F9E44" w14:textId="77777777" w:rsidR="00DB2B68" w:rsidRDefault="00000000">
            <w:r>
              <w:t>18mm</w:t>
            </w:r>
          </w:p>
        </w:tc>
        <w:tc>
          <w:tcPr>
            <w:tcW w:w="2250" w:type="dxa"/>
            <w:noWrap/>
          </w:tcPr>
          <w:p w14:paraId="4BB76AB3" w14:textId="77777777" w:rsidR="00DB2B68" w:rsidRDefault="00000000">
            <w:r>
              <w:t>C/2017/5389</w:t>
            </w:r>
          </w:p>
        </w:tc>
      </w:tr>
    </w:tbl>
    <w:p w14:paraId="4C33458A" w14:textId="77777777" w:rsidR="00DB2B68" w:rsidRDefault="00DB2B68"/>
    <w:p w14:paraId="65FF967F" w14:textId="77777777" w:rsidR="00DB2B68" w:rsidRDefault="00000000">
      <w:pPr>
        <w:jc w:val="both"/>
      </w:pPr>
      <w:r>
        <w:t>NOTE : pour les bois massifs aboutés, les bois massifs reconstitués et les bois lamellés-collés, un tableau de classe de réaction est disponible dans leur norme produit respective mais a été modifié par la décision européenne renseignée dans le tableau ci-dessus.</w:t>
      </w:r>
    </w:p>
    <w:p w14:paraId="193D7E66" w14:textId="77777777" w:rsidR="00DB2B68" w:rsidRDefault="00000000">
      <w:pPr>
        <w:pStyle w:val="Author-eListParagraph"/>
        <w:numPr>
          <w:ilvl w:val="0"/>
          <w:numId w:val="791"/>
        </w:numPr>
      </w:pPr>
      <w:r>
        <w:t>Résistance au feu :</w:t>
      </w:r>
    </w:p>
    <w:p w14:paraId="6726D6FC" w14:textId="77777777" w:rsidR="00DB2B68" w:rsidRDefault="00000000">
      <w:pPr>
        <w:jc w:val="both"/>
      </w:pPr>
      <w:r>
        <w:t xml:space="preserve">La performance de résistance au feu des éléments en bois et de ses assemblages doit être attestée soit par un rapport de classification selon la norme [NBN EN 13501-2], sur base d’un ou plusieurs essais en laboratoire, soit par un calcul selon la partie feu de l’Eurocode 5 ([NBN EN 1995-1-2] et son annexe nationale). </w:t>
      </w:r>
    </w:p>
    <w:p w14:paraId="581269C5" w14:textId="77777777" w:rsidR="00DB2B68" w:rsidRDefault="00000000">
      <w:pPr>
        <w:jc w:val="both"/>
      </w:pPr>
      <w:r>
        <w:t>Pour chaque poste faisant l’objet d’une exigence de résistance au feu définie dans le cahier spécial des charges, cette exigence s'applique à tous les éléments qui leurs sont directement associés (par exemple : plats métalliques, assemblages, etc.).</w:t>
      </w:r>
    </w:p>
    <w:p w14:paraId="55709DCE" w14:textId="77777777" w:rsidR="00DB2B68" w:rsidRDefault="00DB2B68"/>
    <w:p w14:paraId="5C62CF9C" w14:textId="77777777" w:rsidR="00DB2B68" w:rsidRDefault="00000000">
      <w:pPr>
        <w:jc w:val="both"/>
      </w:pPr>
      <w:r>
        <w:rPr>
          <w:rStyle w:val="headingChar"/>
        </w:rPr>
        <w:t>Bois Et Produits D'ingénierie En Bois</w:t>
      </w:r>
    </w:p>
    <w:p w14:paraId="55C38377" w14:textId="77777777" w:rsidR="00DB2B68" w:rsidRDefault="00000000">
      <w:pPr>
        <w:jc w:val="both"/>
      </w:pPr>
      <w:r>
        <w:t>Il existe toute une gamme de produits en bois à la disposition du constructeur. On peut les diviser en quatre familles :</w:t>
      </w:r>
    </w:p>
    <w:p w14:paraId="4897465E" w14:textId="77777777" w:rsidR="00DB2B68" w:rsidRDefault="00000000">
      <w:pPr>
        <w:pStyle w:val="Author-eListParagraph"/>
        <w:numPr>
          <w:ilvl w:val="0"/>
          <w:numId w:val="792"/>
        </w:numPr>
      </w:pPr>
      <w:r>
        <w:t>Les produits à base de bois massif qui comprennent les bois massifs, les bois massifs aboutés, les bois massifs reconstitués, les bois lamellés-collés, les bois lamellés-collés en bloc et les bois lamellés-croisés.</w:t>
      </w:r>
    </w:p>
    <w:p w14:paraId="6E7371B1" w14:textId="77777777" w:rsidR="00DB2B68" w:rsidRDefault="00000000">
      <w:pPr>
        <w:pStyle w:val="Author-eListParagraph"/>
        <w:numPr>
          <w:ilvl w:val="0"/>
          <w:numId w:val="793"/>
        </w:numPr>
      </w:pPr>
      <w:r>
        <w:t>Les produits à base de placages qui comprennent les LVL, les PSL, les LSL et les panneaux contreplaqués.</w:t>
      </w:r>
    </w:p>
    <w:p w14:paraId="5DDD8291" w14:textId="77777777" w:rsidR="00DB2B68" w:rsidRDefault="00000000">
      <w:pPr>
        <w:pStyle w:val="Author-eListParagraph"/>
        <w:numPr>
          <w:ilvl w:val="0"/>
          <w:numId w:val="794"/>
        </w:numPr>
      </w:pPr>
      <w:r>
        <w:t>Les produits issus de la trituration qui comprennent les panneaux OSB, les panneaux de particules et les panneaux MDF.</w:t>
      </w:r>
    </w:p>
    <w:p w14:paraId="15E6EAD7" w14:textId="77777777" w:rsidR="00DB2B68" w:rsidRDefault="00000000">
      <w:pPr>
        <w:pStyle w:val="Author-eListParagraph"/>
        <w:numPr>
          <w:ilvl w:val="0"/>
          <w:numId w:val="795"/>
        </w:numPr>
      </w:pPr>
      <w:r>
        <w:t>Les produits à sections recomposées du type poutres en I, etc.</w:t>
      </w:r>
    </w:p>
    <w:p w14:paraId="56CBFEBD" w14:textId="77777777" w:rsidR="00DB2B68" w:rsidRDefault="00DB2B68"/>
    <w:p w14:paraId="6AF8812F" w14:textId="77777777" w:rsidR="00DB2B68" w:rsidRDefault="00000000">
      <w:pPr>
        <w:jc w:val="both"/>
      </w:pPr>
      <w:r>
        <w:t>Le schéma ci-dessous montre les produits à base de bois massif :</w:t>
      </w:r>
    </w:p>
    <w:p w14:paraId="5A80D0D3" w14:textId="77777777" w:rsidR="00DB2B68" w:rsidRDefault="00000000">
      <w:pPr>
        <w:jc w:val="both"/>
      </w:pPr>
      <w:r>
        <w:rPr>
          <w:noProof/>
        </w:rPr>
        <w:drawing>
          <wp:anchor distT="0" distB="0" distL="0" distR="0" simplePos="0" relativeHeight="251650048" behindDoc="0" locked="0" layoutInCell="1" allowOverlap="0" wp14:anchorId="1CF2B455" wp14:editId="25FCECB5">
            <wp:simplePos x="0" y="0"/>
            <wp:positionH relativeFrom="column">
              <wp:align>center</wp:align>
            </wp:positionH>
            <wp:positionV relativeFrom="line">
              <wp:align>top</wp:align>
            </wp:positionV>
            <wp:extent cx="4762500" cy="2524125"/>
            <wp:effectExtent l="0" t="0" r="0" b="0"/>
            <wp:wrapTopAndBottom/>
            <wp:docPr id="7" name="24.png"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66" descr="24.png"/>
                    <pic:cNvPicPr>
                      <a:picLocks noChangeAspect="1" noChangeArrowheads="1"/>
                    </pic:cNvPicPr>
                  </pic:nvPicPr>
                  <pic:blipFill>
                    <a:blip r:embed="rId15"/>
                    <a:srcRect/>
                    <a:stretch>
                      <a:fillRect/>
                    </a:stretch>
                  </pic:blipFill>
                  <pic:spPr bwMode="auto">
                    <a:xfrm>
                      <a:off x="0" y="0"/>
                      <a:ext cx="4762500" cy="2524125"/>
                    </a:xfrm>
                    <a:prstGeom prst="rect">
                      <a:avLst/>
                    </a:prstGeom>
                  </pic:spPr>
                </pic:pic>
              </a:graphicData>
            </a:graphic>
          </wp:anchor>
        </w:drawing>
      </w:r>
    </w:p>
    <w:p w14:paraId="1AD80619" w14:textId="77777777" w:rsidR="00DB2B68" w:rsidRDefault="00000000">
      <w:pPr>
        <w:ind w:left="567"/>
        <w:jc w:val="both"/>
      </w:pPr>
      <w:r>
        <w:rPr>
          <w:b/>
        </w:rPr>
        <w:t>BOIS MASSIFS</w:t>
      </w:r>
    </w:p>
    <w:p w14:paraId="6C6E9F95" w14:textId="77777777" w:rsidR="00DB2B68" w:rsidRDefault="00000000">
      <w:pPr>
        <w:pStyle w:val="Author-eListParagraph"/>
        <w:numPr>
          <w:ilvl w:val="0"/>
          <w:numId w:val="796"/>
        </w:numPr>
      </w:pPr>
      <w:r>
        <w:rPr>
          <w:u w:val="single"/>
        </w:rPr>
        <w:t>Description</w:t>
      </w:r>
    </w:p>
    <w:p w14:paraId="6AED014D" w14:textId="77777777" w:rsidR="00DB2B68" w:rsidRDefault="00DB2B68"/>
    <w:p w14:paraId="2157CFA6" w14:textId="77777777" w:rsidR="00DB2B68" w:rsidRDefault="00000000">
      <w:pPr>
        <w:jc w:val="both"/>
      </w:pPr>
      <w:r>
        <w:t xml:space="preserve">Bois massif est un terme générique comprenant les sciés et les bois ronds. </w:t>
      </w:r>
    </w:p>
    <w:p w14:paraId="40C5E3B4" w14:textId="77777777" w:rsidR="00DB2B68" w:rsidRDefault="00000000">
      <w:pPr>
        <w:jc w:val="both"/>
      </w:pPr>
      <w:r>
        <w:t xml:space="preserve">Les bois sciés sont obtenus à partir de grumes ou de pièces de bois de plus fortes dimensions. </w:t>
      </w:r>
    </w:p>
    <w:p w14:paraId="02BD466A" w14:textId="77777777" w:rsidR="00DB2B68" w:rsidRDefault="00000000">
      <w:pPr>
        <w:jc w:val="both"/>
      </w:pPr>
      <w:r>
        <w:t>Les bois ronds sont des bois abattus, ébranchés, écimés et éventuellement fraisés.</w:t>
      </w:r>
    </w:p>
    <w:p w14:paraId="3242F1B4" w14:textId="77777777" w:rsidR="00DB2B68" w:rsidRDefault="00000000">
      <w:pPr>
        <w:jc w:val="both"/>
      </w:pPr>
      <w:r>
        <w:t>Les éléments peuvent éventuellement comporter des aboutages à entures multiples. Ils sont alors appelés bois massifs aboutés.</w:t>
      </w:r>
    </w:p>
    <w:p w14:paraId="4D3F4BC7" w14:textId="77777777" w:rsidR="00DB2B68" w:rsidRDefault="00000000">
      <w:pPr>
        <w:pStyle w:val="Author-eListParagraph"/>
        <w:numPr>
          <w:ilvl w:val="0"/>
          <w:numId w:val="797"/>
        </w:numPr>
      </w:pPr>
      <w:r>
        <w:rPr>
          <w:u w:val="single"/>
        </w:rPr>
        <w:t>Normes</w:t>
      </w:r>
    </w:p>
    <w:p w14:paraId="104AE36B" w14:textId="77777777" w:rsidR="00DB2B68" w:rsidRDefault="00000000">
      <w:pPr>
        <w:jc w:val="both"/>
      </w:pPr>
      <w:r>
        <w:t>La norme [NBN EN 14081 série] est d’application pour les bois massifs, non aboutés, de section rectangulaire. Le marquage CE des produits rentrant dans son champ d’application est obligatoire.</w:t>
      </w:r>
    </w:p>
    <w:p w14:paraId="24033659" w14:textId="77777777" w:rsidR="00DB2B68" w:rsidRDefault="00000000">
      <w:pPr>
        <w:jc w:val="both"/>
      </w:pPr>
      <w:r>
        <w:t>Les bois massifs peuvent être aboutés, on parle alors de bois massifs aboutés. Dans ce cas, les pièces constitutives du produit fini doivent être classées selon la  [NBN EN 14081 série] et les produits finis doivent être marqués selon la [NBN EN 15497].</w:t>
      </w:r>
    </w:p>
    <w:p w14:paraId="2A48A9D5" w14:textId="77777777" w:rsidR="00DB2B68" w:rsidRDefault="00000000">
      <w:pPr>
        <w:pStyle w:val="Author-eListParagraph"/>
        <w:numPr>
          <w:ilvl w:val="0"/>
          <w:numId w:val="798"/>
        </w:numPr>
      </w:pPr>
      <w:r>
        <w:rPr>
          <w:u w:val="single"/>
        </w:rPr>
        <w:t>Caractéristiques mécaniques</w:t>
      </w:r>
    </w:p>
    <w:p w14:paraId="40A81E61" w14:textId="77777777" w:rsidR="00DB2B68" w:rsidRDefault="00000000">
      <w:pPr>
        <w:jc w:val="both"/>
      </w:pPr>
      <w:r>
        <w:t>Tous les bois massifs structuraux doivent être classés.</w:t>
      </w:r>
    </w:p>
    <w:p w14:paraId="0CA24C74" w14:textId="77777777" w:rsidR="00DB2B68" w:rsidRDefault="00000000">
      <w:pPr>
        <w:jc w:val="both"/>
      </w:pPr>
      <w:r>
        <w:t>Les bois massifs structuraux, aboutés ou non, de section rectangulaire appartiennent à une classe de résistance selon la [NBN EN 338]. Les classe de résistance Cxx sont réservées pour les résineux et quelques feuillus assimilés aux résineux, par exemple le châtaigner. Pour les autres feuillus, les classes de résistance Dxx sont utilisées.</w:t>
      </w:r>
    </w:p>
    <w:p w14:paraId="495BB01E" w14:textId="77777777" w:rsidR="00DB2B68" w:rsidRDefault="00000000">
      <w:pPr>
        <w:pStyle w:val="Author-eListParagraph"/>
        <w:numPr>
          <w:ilvl w:val="0"/>
          <w:numId w:val="799"/>
        </w:numPr>
      </w:pPr>
      <w:r>
        <w:rPr>
          <w:u w:val="single"/>
        </w:rPr>
        <w:t>Teneur en humidité</w:t>
      </w:r>
    </w:p>
    <w:p w14:paraId="5D804EA8" w14:textId="77777777" w:rsidR="00DB2B68" w:rsidRDefault="00000000">
      <w:pPr>
        <w:jc w:val="both"/>
      </w:pPr>
      <w:r>
        <w:t xml:space="preserve">La teneur en humidité cible à prescrire dépend de la teneur en humidité d’équilibre qu’aura l’élément en usage. </w:t>
      </w:r>
    </w:p>
    <w:p w14:paraId="1E56621E" w14:textId="77777777" w:rsidR="00DB2B68" w:rsidRDefault="00000000">
      <w:pPr>
        <w:jc w:val="both"/>
      </w:pPr>
      <w:r>
        <w:t>La teneur en humidité cible maximale des bois massifs dépend de la classe d’emploi. Cependant, certains bois sèchent difficilement à cause de leur section ou de l’essence. Malgré que ce soit fortement déconseillé, il est envisageable de les mettre en œuvre à une teneur en humidité plus élevée. Dans ce cas, des dispositions particulières sont prises pour pallier les déformations (flèches, gauchissement, tuilage), les retraits et les fentes qui vont apparaitre, en particulier dans les locaux chauffés ou fortement ventilés. Ces éléments ne sont pas confinés afin de permettre le séchage.</w:t>
      </w:r>
    </w:p>
    <w:p w14:paraId="72FEDFA1" w14:textId="77777777" w:rsidR="00DB2B68" w:rsidRDefault="00000000">
      <w:pPr>
        <w:jc w:val="both"/>
      </w:pPr>
      <w:r>
        <w:t>Lorsque les bois sont classés humides (marquage CE), il est probable que des fentes apparaissent lors du séchage. L’entrepreneur veille à ce que celles-ci ne réduisent pas la résistance des éléments (par exemple fentes dans les zones d’assemblages ou fentes traversantes trop importantes).</w:t>
      </w:r>
    </w:p>
    <w:p w14:paraId="36D60F50" w14:textId="77777777" w:rsidR="00DB2B68" w:rsidRDefault="00DB2B68">
      <w:pPr>
        <w:jc w:val="both"/>
      </w:pPr>
    </w:p>
    <w:p w14:paraId="4D163239" w14:textId="77777777" w:rsidR="00DB2B68" w:rsidRDefault="00000000">
      <w:pPr>
        <w:jc w:val="both"/>
      </w:pPr>
      <w:r>
        <w:t>Sauf indication contraire au cahier des charges, la teneur en humidité cible maximale des bois massifs est donnée dans le tableau ci-dessous :</w:t>
      </w:r>
    </w:p>
    <w:tbl>
      <w:tblPr>
        <w:tblStyle w:val="Author-eTableGrid"/>
        <w:tblW w:w="9060" w:type="dxa"/>
        <w:tblLayout w:type="fixed"/>
        <w:tblLook w:val="04A0" w:firstRow="1" w:lastRow="0" w:firstColumn="1" w:lastColumn="0" w:noHBand="0" w:noVBand="1"/>
      </w:tblPr>
      <w:tblGrid>
        <w:gridCol w:w="4530"/>
        <w:gridCol w:w="4530"/>
      </w:tblGrid>
      <w:tr w:rsidR="00DB2B68" w14:paraId="6C8B2509" w14:textId="77777777">
        <w:tc>
          <w:tcPr>
            <w:tcW w:w="4515" w:type="dxa"/>
            <w:noWrap/>
          </w:tcPr>
          <w:p w14:paraId="67919D74" w14:textId="77777777" w:rsidR="00DB2B68" w:rsidRDefault="00000000">
            <w:r>
              <w:t>Classe d’emploi</w:t>
            </w:r>
          </w:p>
        </w:tc>
        <w:tc>
          <w:tcPr>
            <w:tcW w:w="4515" w:type="dxa"/>
            <w:noWrap/>
          </w:tcPr>
          <w:p w14:paraId="585268CB" w14:textId="77777777" w:rsidR="00DB2B68" w:rsidRDefault="00000000">
            <w:r>
              <w:t> Teneur en humidité cible du bois</w:t>
            </w:r>
          </w:p>
        </w:tc>
      </w:tr>
      <w:tr w:rsidR="00DB2B68" w14:paraId="5A749EDD" w14:textId="77777777">
        <w:tc>
          <w:tcPr>
            <w:tcW w:w="4515" w:type="dxa"/>
            <w:noWrap/>
          </w:tcPr>
          <w:p w14:paraId="3118BCB0" w14:textId="77777777" w:rsidR="00DB2B68" w:rsidRDefault="00000000">
            <w:r>
              <w:t>1</w:t>
            </w:r>
          </w:p>
        </w:tc>
        <w:tc>
          <w:tcPr>
            <w:tcW w:w="4515" w:type="dxa"/>
            <w:noWrap/>
          </w:tcPr>
          <w:p w14:paraId="1D0B6D81" w14:textId="77777777" w:rsidR="00DB2B68" w:rsidRDefault="00000000">
            <w:r>
              <w:t>&lt; 12%</w:t>
            </w:r>
          </w:p>
        </w:tc>
      </w:tr>
      <w:tr w:rsidR="00DB2B68" w14:paraId="5A5F039B" w14:textId="77777777">
        <w:tc>
          <w:tcPr>
            <w:tcW w:w="4515" w:type="dxa"/>
            <w:noWrap/>
          </w:tcPr>
          <w:p w14:paraId="46FF7C8C" w14:textId="77777777" w:rsidR="00DB2B68" w:rsidRDefault="00000000">
            <w:r>
              <w:t>2</w:t>
            </w:r>
          </w:p>
        </w:tc>
        <w:tc>
          <w:tcPr>
            <w:tcW w:w="4515" w:type="dxa"/>
            <w:noWrap/>
          </w:tcPr>
          <w:p w14:paraId="5259CECA" w14:textId="77777777" w:rsidR="00DB2B68" w:rsidRDefault="00000000">
            <w:r>
              <w:t>&lt; 17%</w:t>
            </w:r>
          </w:p>
        </w:tc>
      </w:tr>
      <w:tr w:rsidR="00DB2B68" w14:paraId="0CD3B4A6" w14:textId="77777777">
        <w:tc>
          <w:tcPr>
            <w:tcW w:w="4515" w:type="dxa"/>
            <w:noWrap/>
          </w:tcPr>
          <w:p w14:paraId="0A1A448D" w14:textId="77777777" w:rsidR="00DB2B68" w:rsidRDefault="00000000">
            <w:r>
              <w:t>3</w:t>
            </w:r>
          </w:p>
        </w:tc>
        <w:tc>
          <w:tcPr>
            <w:tcW w:w="4515" w:type="dxa"/>
            <w:noWrap/>
          </w:tcPr>
          <w:p w14:paraId="2CC496A3" w14:textId="77777777" w:rsidR="00DB2B68" w:rsidRDefault="00000000">
            <w:r>
              <w:t>&lt; 22%</w:t>
            </w:r>
          </w:p>
        </w:tc>
      </w:tr>
      <w:tr w:rsidR="00DB2B68" w14:paraId="1AA89352" w14:textId="77777777">
        <w:tc>
          <w:tcPr>
            <w:tcW w:w="4515" w:type="dxa"/>
            <w:noWrap/>
          </w:tcPr>
          <w:p w14:paraId="30C5F815" w14:textId="77777777" w:rsidR="00DB2B68" w:rsidRDefault="00000000">
            <w:r>
              <w:t>4</w:t>
            </w:r>
          </w:p>
        </w:tc>
        <w:tc>
          <w:tcPr>
            <w:tcW w:w="4515" w:type="dxa"/>
            <w:vMerge w:val="restart"/>
            <w:noWrap/>
          </w:tcPr>
          <w:p w14:paraId="35CB04D0" w14:textId="77777777" w:rsidR="00DB2B68" w:rsidRDefault="00DB2B68"/>
          <w:p w14:paraId="48846878" w14:textId="77777777" w:rsidR="00DB2B68" w:rsidRDefault="00000000">
            <w:r>
              <w:t>&gt; 25%</w:t>
            </w:r>
          </w:p>
        </w:tc>
      </w:tr>
      <w:tr w:rsidR="00DB2B68" w14:paraId="4FB5BB65" w14:textId="77777777">
        <w:tc>
          <w:tcPr>
            <w:tcW w:w="4515" w:type="dxa"/>
            <w:noWrap/>
          </w:tcPr>
          <w:p w14:paraId="50286E74" w14:textId="77777777" w:rsidR="00DB2B68" w:rsidRDefault="00000000">
            <w:r>
              <w:t>5</w:t>
            </w:r>
          </w:p>
        </w:tc>
        <w:tc>
          <w:tcPr>
            <w:tcW w:w="4515" w:type="dxa"/>
            <w:vMerge/>
            <w:noWrap/>
          </w:tcPr>
          <w:p w14:paraId="3A2244CA" w14:textId="77777777" w:rsidR="00DB2B68" w:rsidRDefault="00DB2B68"/>
        </w:tc>
      </w:tr>
    </w:tbl>
    <w:p w14:paraId="09E2EC82" w14:textId="77777777" w:rsidR="00DB2B68" w:rsidRDefault="00DB2B68"/>
    <w:p w14:paraId="6197F065" w14:textId="77777777" w:rsidR="00DB2B68" w:rsidRDefault="00DB2B68">
      <w:pPr>
        <w:ind w:left="567"/>
        <w:jc w:val="both"/>
      </w:pPr>
    </w:p>
    <w:p w14:paraId="1CEE433C" w14:textId="77777777" w:rsidR="00DB2B68" w:rsidRDefault="00000000">
      <w:pPr>
        <w:ind w:left="567"/>
        <w:jc w:val="both"/>
      </w:pPr>
      <w:r>
        <w:rPr>
          <w:b/>
        </w:rPr>
        <w:t>BOIS LAMELLE COLLE</w:t>
      </w:r>
    </w:p>
    <w:p w14:paraId="7B9627E4" w14:textId="77777777" w:rsidR="00DB2B68" w:rsidRDefault="00000000">
      <w:pPr>
        <w:pStyle w:val="Author-eListParagraph"/>
        <w:numPr>
          <w:ilvl w:val="0"/>
          <w:numId w:val="800"/>
        </w:numPr>
      </w:pPr>
      <w:r>
        <w:rPr>
          <w:u w:val="single"/>
        </w:rPr>
        <w:t>Description</w:t>
      </w:r>
    </w:p>
    <w:p w14:paraId="4A854087" w14:textId="77777777" w:rsidR="00DB2B68" w:rsidRDefault="00000000">
      <w:pPr>
        <w:jc w:val="both"/>
      </w:pPr>
      <w:r>
        <w:lastRenderedPageBreak/>
        <w:t>Les bois lamellés collés sont composés à partir de planches de bois massifs qui sont aboutées pour obtenir les lamelles. Ensuite ces lamelles sont superposées et solidarisées entre elles, généralement par collage.</w:t>
      </w:r>
    </w:p>
    <w:p w14:paraId="750947B1" w14:textId="77777777" w:rsidR="00DB2B68" w:rsidRDefault="00000000">
      <w:pPr>
        <w:jc w:val="both"/>
      </w:pPr>
      <w:r>
        <w:t>Les bois lamellés collés sont composés de minimum deux lamelles. L’épaisseur des lamelles est comprise entre 6 et 45 mm (inclus).</w:t>
      </w:r>
    </w:p>
    <w:p w14:paraId="00104A8A" w14:textId="77777777" w:rsidR="00DB2B68" w:rsidRDefault="00000000">
      <w:pPr>
        <w:jc w:val="both"/>
      </w:pPr>
      <w:r>
        <w:t>Les bois massifs reconstitués sont compris dans les bois lamellés collés. Un bois massifs reconstitué est composé de 2 à 5 lamelles. Ces lamelles sont d’une épaisseur comprise entre 45mm et 85mm.</w:t>
      </w:r>
    </w:p>
    <w:p w14:paraId="0C083FB7" w14:textId="77777777" w:rsidR="00DB2B68" w:rsidRDefault="00000000">
      <w:pPr>
        <w:pStyle w:val="Author-eListParagraph"/>
        <w:numPr>
          <w:ilvl w:val="0"/>
          <w:numId w:val="801"/>
        </w:numPr>
      </w:pPr>
      <w:r>
        <w:rPr>
          <w:u w:val="single"/>
        </w:rPr>
        <w:t>Normes</w:t>
      </w:r>
    </w:p>
    <w:p w14:paraId="33811012" w14:textId="77777777" w:rsidR="00DB2B68" w:rsidRDefault="00000000">
      <w:pPr>
        <w:jc w:val="both"/>
      </w:pPr>
      <w:r>
        <w:t xml:space="preserve">La norme [NBN EN 14080] est d’application pour les éléments en bois lamellé collé. </w:t>
      </w:r>
    </w:p>
    <w:p w14:paraId="795259B2" w14:textId="77777777" w:rsidR="00DB2B68" w:rsidRDefault="00000000">
      <w:pPr>
        <w:jc w:val="both"/>
      </w:pPr>
      <w:r>
        <w:t>Lorsque les éléments sont fabriqués à partir d’essences résineuses ou de peuplier, ils disposent du marquage CE conformément à l’annexe ZA de cette norme.</w:t>
      </w:r>
    </w:p>
    <w:p w14:paraId="67480383" w14:textId="77777777" w:rsidR="00DB2B68" w:rsidRDefault="00DB2B68">
      <w:pPr>
        <w:jc w:val="both"/>
      </w:pPr>
    </w:p>
    <w:p w14:paraId="50BBB08D" w14:textId="77777777" w:rsidR="00DB2B68" w:rsidRDefault="00000000">
      <w:pPr>
        <w:jc w:val="both"/>
      </w:pPr>
      <w:r>
        <w:t>Il n’existe à l’heure actuelle aucune norme couvrant les bois lamellés collés en essences feuillues autres que le peuplier, en lamellé cloués, lamellés collés-cloués ou lamellés chevillés. Leurs caractéristiques essentielles doivent donc être prouvées par une autre méthode.</w:t>
      </w:r>
    </w:p>
    <w:p w14:paraId="4B70E3A5" w14:textId="77777777" w:rsidR="00DB2B68" w:rsidRDefault="00000000">
      <w:pPr>
        <w:pStyle w:val="Author-eListParagraph"/>
        <w:numPr>
          <w:ilvl w:val="0"/>
          <w:numId w:val="802"/>
        </w:numPr>
      </w:pPr>
      <w:r>
        <w:rPr>
          <w:u w:val="single"/>
        </w:rPr>
        <w:t>Caractéristiques mécaniques</w:t>
      </w:r>
    </w:p>
    <w:p w14:paraId="44DA034A" w14:textId="77777777" w:rsidR="00DB2B68" w:rsidRDefault="00000000">
      <w:pPr>
        <w:jc w:val="both"/>
      </w:pPr>
      <w:r>
        <w:t>Les planches sont classées selon leur résistance dans une classe décrite à la [NBN EN 338].</w:t>
      </w:r>
    </w:p>
    <w:p w14:paraId="7ABCF942" w14:textId="77777777" w:rsidR="00DB2B68" w:rsidRDefault="00000000">
      <w:pPr>
        <w:jc w:val="both"/>
      </w:pPr>
      <w:r>
        <w:t>Les bois lamellés collés sont dits homogènes s’ils sont composés de planches appartenant à la même classe de résistance. La classe de résistance du lamellé collé est alors noté « GL xx h ».</w:t>
      </w:r>
    </w:p>
    <w:p w14:paraId="3EB34ED7" w14:textId="77777777" w:rsidR="00DB2B68" w:rsidRDefault="00000000">
      <w:pPr>
        <w:jc w:val="both"/>
      </w:pPr>
      <w:r>
        <w:t>Il est possible d’utiliser, pour les lamelles centrales, des planches de classe inférieure à celles des lamelles extérieures. Le bois lamellé-collé est dit panaché et sa classe de résistance est alors notée « GL xx c ».</w:t>
      </w:r>
    </w:p>
    <w:p w14:paraId="7FE45D4D" w14:textId="77777777" w:rsidR="00DB2B68" w:rsidRDefault="00000000">
      <w:pPr>
        <w:pStyle w:val="Author-eListParagraph"/>
        <w:numPr>
          <w:ilvl w:val="0"/>
          <w:numId w:val="803"/>
        </w:numPr>
      </w:pPr>
      <w:r>
        <w:rPr>
          <w:u w:val="single"/>
        </w:rPr>
        <w:t>Essences utilisées</w:t>
      </w:r>
    </w:p>
    <w:p w14:paraId="76DC52F2" w14:textId="77777777" w:rsidR="00DB2B68" w:rsidRDefault="00000000">
      <w:pPr>
        <w:jc w:val="both"/>
      </w:pPr>
      <w:r>
        <w:t>Les bois lamellés collés sont réalisés à partir d’une seule et même essence (épicéa et sapin peuvent être considérés comme étant la même essence). La norme [NBN EN 14080] ne couvre que les produits fabriqués à partir de certaines essences, toutes résineuses à l’exception du peuplier. Les principales essences locales couvertes sont les suivantes :</w:t>
      </w:r>
    </w:p>
    <w:p w14:paraId="7D671767" w14:textId="77777777" w:rsidR="00DB2B68" w:rsidRDefault="00000000">
      <w:pPr>
        <w:pStyle w:val="Author-eListParagraph"/>
        <w:numPr>
          <w:ilvl w:val="0"/>
          <w:numId w:val="804"/>
        </w:numPr>
      </w:pPr>
      <w:r>
        <w:t>sapin/épicéa</w:t>
      </w:r>
    </w:p>
    <w:p w14:paraId="76F9D69B" w14:textId="77777777" w:rsidR="00DB2B68" w:rsidRDefault="00000000">
      <w:pPr>
        <w:pStyle w:val="Author-eListParagraph"/>
        <w:numPr>
          <w:ilvl w:val="0"/>
          <w:numId w:val="804"/>
        </w:numPr>
      </w:pPr>
      <w:r>
        <w:t>pin sylvestre</w:t>
      </w:r>
    </w:p>
    <w:p w14:paraId="69AAF2D0" w14:textId="77777777" w:rsidR="00DB2B68" w:rsidRDefault="00000000">
      <w:pPr>
        <w:pStyle w:val="Author-eListParagraph"/>
        <w:numPr>
          <w:ilvl w:val="0"/>
          <w:numId w:val="804"/>
        </w:numPr>
      </w:pPr>
      <w:r>
        <w:t>douglas</w:t>
      </w:r>
    </w:p>
    <w:p w14:paraId="5E32152A" w14:textId="77777777" w:rsidR="00DB2B68" w:rsidRDefault="00000000">
      <w:pPr>
        <w:pStyle w:val="Author-eListParagraph"/>
        <w:numPr>
          <w:ilvl w:val="0"/>
          <w:numId w:val="804"/>
        </w:numPr>
      </w:pPr>
      <w:r>
        <w:t>mélèze</w:t>
      </w:r>
    </w:p>
    <w:p w14:paraId="4262D2E9" w14:textId="77777777" w:rsidR="00DB2B68" w:rsidRDefault="00000000">
      <w:pPr>
        <w:pStyle w:val="Author-eListParagraph"/>
        <w:numPr>
          <w:ilvl w:val="0"/>
          <w:numId w:val="804"/>
        </w:numPr>
      </w:pPr>
      <w:r>
        <w:t>peuplier</w:t>
      </w:r>
    </w:p>
    <w:p w14:paraId="644208A3" w14:textId="77777777" w:rsidR="00DB2B68" w:rsidRDefault="00000000">
      <w:pPr>
        <w:pStyle w:val="Author-eListParagraph"/>
        <w:numPr>
          <w:ilvl w:val="0"/>
          <w:numId w:val="805"/>
        </w:numPr>
      </w:pPr>
      <w:r>
        <w:rPr>
          <w:u w:val="single"/>
        </w:rPr>
        <w:t>Durabilité des lamellés collés</w:t>
      </w:r>
    </w:p>
    <w:p w14:paraId="545246CE" w14:textId="77777777" w:rsidR="00DB2B68" w:rsidRDefault="00000000">
      <w:pPr>
        <w:jc w:val="both"/>
      </w:pPr>
      <w:r>
        <w:t>Il est préférable de concevoir avec du bois lamellé collé en privilégiant les classes d’emploi 1 et 2, mais une utilisation en classe d’emploi 3 ou 4 sera possible avec une étude au cas par cas et seulement sous conditions particulières.</w:t>
      </w:r>
    </w:p>
    <w:p w14:paraId="737334C2" w14:textId="77777777" w:rsidR="00DB2B68" w:rsidRDefault="00000000">
      <w:pPr>
        <w:jc w:val="both"/>
      </w:pPr>
      <w:r>
        <w:t>Le traitement de préservation doit être compatible avec la colle utilisée pour la fabrication de l’élément.</w:t>
      </w:r>
    </w:p>
    <w:p w14:paraId="25BBF435" w14:textId="77777777" w:rsidR="00DB2B68" w:rsidRDefault="00DB2B68"/>
    <w:p w14:paraId="3694674D" w14:textId="77777777" w:rsidR="00DB2B68" w:rsidRDefault="00000000">
      <w:pPr>
        <w:ind w:left="567"/>
        <w:jc w:val="both"/>
      </w:pPr>
      <w:r>
        <w:rPr>
          <w:b/>
        </w:rPr>
        <w:t>BOIS LAMELLE COLLE EN BLOC</w:t>
      </w:r>
    </w:p>
    <w:p w14:paraId="764BCAD6" w14:textId="77777777" w:rsidR="00DB2B68" w:rsidRDefault="00000000">
      <w:pPr>
        <w:pStyle w:val="Author-eListParagraph"/>
        <w:numPr>
          <w:ilvl w:val="0"/>
          <w:numId w:val="806"/>
        </w:numPr>
      </w:pPr>
      <w:r>
        <w:rPr>
          <w:u w:val="single"/>
        </w:rPr>
        <w:t>Description</w:t>
      </w:r>
    </w:p>
    <w:p w14:paraId="54B17A16" w14:textId="77777777" w:rsidR="00DB2B68" w:rsidRDefault="00000000">
      <w:pPr>
        <w:jc w:val="both"/>
      </w:pPr>
      <w:r>
        <w:t>Il s’agit d’éléments de structure ayant une section transversale massive, fabriqué à partir d’au moins deux composants en bois lamellé-collé assemblés par collage à l'aide d'un adhésif pour joint épais.</w:t>
      </w:r>
    </w:p>
    <w:p w14:paraId="37A5920F" w14:textId="77777777" w:rsidR="00DB2B68" w:rsidRDefault="00000000">
      <w:pPr>
        <w:jc w:val="both"/>
      </w:pPr>
      <w:r>
        <w:t>Les prescriptions pour le bois lamellé-collé sont d’application.</w:t>
      </w:r>
    </w:p>
    <w:p w14:paraId="65E10AC9" w14:textId="77777777" w:rsidR="00DB2B68" w:rsidRDefault="00000000">
      <w:pPr>
        <w:pStyle w:val="Author-eListParagraph"/>
        <w:numPr>
          <w:ilvl w:val="0"/>
          <w:numId w:val="807"/>
        </w:numPr>
      </w:pPr>
      <w:r>
        <w:rPr>
          <w:u w:val="single"/>
        </w:rPr>
        <w:t>Normes</w:t>
      </w:r>
    </w:p>
    <w:p w14:paraId="0567A9D9" w14:textId="77777777" w:rsidR="00DB2B68" w:rsidRDefault="00000000">
      <w:pPr>
        <w:jc w:val="both"/>
      </w:pPr>
      <w:r>
        <w:lastRenderedPageBreak/>
        <w:t>La norme [NBN EN 14080] couvre les bois lamellés-collés en bloc. Ceux-ci disposent du marquage CE conformément à l’annexe ZA de la norme.</w:t>
      </w:r>
    </w:p>
    <w:p w14:paraId="74EBA1BA" w14:textId="77777777" w:rsidR="00DB2B68" w:rsidRDefault="00DB2B68"/>
    <w:p w14:paraId="0EA849BF" w14:textId="77777777" w:rsidR="00DB2B68" w:rsidRDefault="00000000">
      <w:pPr>
        <w:ind w:left="567"/>
        <w:jc w:val="both"/>
      </w:pPr>
      <w:r>
        <w:rPr>
          <w:b/>
        </w:rPr>
        <w:t>CLT</w:t>
      </w:r>
    </w:p>
    <w:p w14:paraId="6921CA86" w14:textId="77777777" w:rsidR="00DB2B68" w:rsidRDefault="00000000">
      <w:pPr>
        <w:pStyle w:val="Author-eListParagraph"/>
        <w:numPr>
          <w:ilvl w:val="0"/>
          <w:numId w:val="808"/>
        </w:numPr>
      </w:pPr>
      <w:r>
        <w:rPr>
          <w:u w:val="single"/>
        </w:rPr>
        <w:t>Description</w:t>
      </w:r>
    </w:p>
    <w:p w14:paraId="506361FA" w14:textId="77777777" w:rsidR="00DB2B68" w:rsidRDefault="00000000">
      <w:pPr>
        <w:jc w:val="both"/>
      </w:pPr>
      <w:r>
        <w:t>Le CLT (Cross Laminated Timber, bois lamellé croisé) est un panneau structurel de grande dimension et constitué d’aux moins trois couches dont au moins trois sont collées orthogonalement, comprenant toujours des couches de bois et pouvant également comprendre des couches en panneaux à base de bois.</w:t>
      </w:r>
    </w:p>
    <w:p w14:paraId="0FB291DC" w14:textId="77777777" w:rsidR="00DB2B68" w:rsidRDefault="00000000">
      <w:pPr>
        <w:jc w:val="both"/>
      </w:pPr>
      <w:r>
        <w:t>Les panneaux sont symétriques par rapport à leur plan central.</w:t>
      </w:r>
    </w:p>
    <w:p w14:paraId="509256D3" w14:textId="77777777" w:rsidR="00DB2B68" w:rsidRDefault="00DB2B68">
      <w:pPr>
        <w:jc w:val="both"/>
      </w:pPr>
    </w:p>
    <w:p w14:paraId="1919B572" w14:textId="77777777" w:rsidR="00DB2B68" w:rsidRDefault="00000000">
      <w:pPr>
        <w:jc w:val="both"/>
      </w:pPr>
      <w:r>
        <w:t>Il existe aussi des CLT cloués et des CLT chevillés. Sauf prescription contraire au cahier spécial des charges, ceux-ci ne sont pas développés.</w:t>
      </w:r>
    </w:p>
    <w:p w14:paraId="0A529342" w14:textId="77777777" w:rsidR="00DB2B68" w:rsidRDefault="00000000">
      <w:pPr>
        <w:pStyle w:val="Author-eListParagraph"/>
        <w:numPr>
          <w:ilvl w:val="0"/>
          <w:numId w:val="809"/>
        </w:numPr>
      </w:pPr>
      <w:r>
        <w:rPr>
          <w:u w:val="single"/>
        </w:rPr>
        <w:t>Normes</w:t>
      </w:r>
    </w:p>
    <w:p w14:paraId="1CE81156" w14:textId="77777777" w:rsidR="00DB2B68" w:rsidRDefault="00000000">
      <w:pPr>
        <w:jc w:val="both"/>
      </w:pPr>
      <w:r>
        <w:t>La norme [NBN EN 16351] est d’application, celle-ci définit les exigences concernant le CLT.</w:t>
      </w:r>
    </w:p>
    <w:p w14:paraId="0DEDD93A" w14:textId="77777777" w:rsidR="00DB2B68" w:rsidRDefault="00000000">
      <w:pPr>
        <w:jc w:val="both"/>
      </w:pPr>
      <w:r>
        <w:t>Bien qu’elle comporte l’annexe ZA, il n’est pas possible d’effectuer le marquage CE sur base de celle-ci tant qu’elle n’a pas été publiée au journal officiel de l’union européenne.</w:t>
      </w:r>
    </w:p>
    <w:p w14:paraId="78B33665" w14:textId="77777777" w:rsidR="00DB2B68" w:rsidRDefault="00DB2B68">
      <w:pPr>
        <w:jc w:val="both"/>
      </w:pPr>
    </w:p>
    <w:p w14:paraId="0E3AC6F7" w14:textId="77777777" w:rsidR="00DB2B68" w:rsidRDefault="00000000">
      <w:pPr>
        <w:jc w:val="both"/>
      </w:pPr>
      <w:r>
        <w:t>Le CLT collé est couvert par le document d’évaluation européen [EAD 130005-00-0304].</w:t>
      </w:r>
    </w:p>
    <w:p w14:paraId="7FEFB862" w14:textId="77777777" w:rsidR="00DB2B68" w:rsidRDefault="00000000">
      <w:pPr>
        <w:pStyle w:val="Author-eListParagraph"/>
        <w:numPr>
          <w:ilvl w:val="0"/>
          <w:numId w:val="810"/>
        </w:numPr>
      </w:pPr>
      <w:r>
        <w:rPr>
          <w:u w:val="single"/>
        </w:rPr>
        <w:t>Caractéristiques mécaniques</w:t>
      </w:r>
    </w:p>
    <w:p w14:paraId="2A8192D2" w14:textId="77777777" w:rsidR="00DB2B68" w:rsidRDefault="00000000">
      <w:pPr>
        <w:jc w:val="both"/>
      </w:pPr>
      <w:r>
        <w:t>Les caractéristiques mécaniques des CLT sont déclarées par le fabricant et attestées par un organisme notifié.</w:t>
      </w:r>
    </w:p>
    <w:p w14:paraId="47EA48A6" w14:textId="77777777" w:rsidR="00DB2B68" w:rsidRDefault="00000000">
      <w:pPr>
        <w:pStyle w:val="Author-eListParagraph"/>
        <w:numPr>
          <w:ilvl w:val="0"/>
          <w:numId w:val="811"/>
        </w:numPr>
      </w:pPr>
      <w:r>
        <w:rPr>
          <w:u w:val="single"/>
        </w:rPr>
        <w:t>Essences utilisées</w:t>
      </w:r>
    </w:p>
    <w:p w14:paraId="01F1D14A" w14:textId="77777777" w:rsidR="00DB2B68" w:rsidRDefault="00000000">
      <w:pPr>
        <w:jc w:val="both"/>
      </w:pPr>
      <w:r>
        <w:t>Généralement, les bois lamellés croisés sont réalisés à partir d’essences résineuses ou de peuplier.</w:t>
      </w:r>
    </w:p>
    <w:p w14:paraId="34F6B436" w14:textId="77777777" w:rsidR="00DB2B68" w:rsidRDefault="00000000">
      <w:pPr>
        <w:pStyle w:val="Author-eListParagraph"/>
        <w:numPr>
          <w:ilvl w:val="0"/>
          <w:numId w:val="812"/>
        </w:numPr>
      </w:pPr>
      <w:r>
        <w:rPr>
          <w:u w:val="single"/>
        </w:rPr>
        <w:t>Durabilité du CLT</w:t>
      </w:r>
    </w:p>
    <w:p w14:paraId="776C5B86" w14:textId="77777777" w:rsidR="00DB2B68" w:rsidRDefault="00000000">
      <w:pPr>
        <w:jc w:val="both"/>
      </w:pPr>
      <w:r>
        <w:t>Il est conseillé de se limiter aux classes d’emploi 1 ou 2 pour le bois lamellé croisé.</w:t>
      </w:r>
    </w:p>
    <w:p w14:paraId="130027B5" w14:textId="77777777" w:rsidR="00DB2B68" w:rsidRDefault="00000000">
      <w:pPr>
        <w:pStyle w:val="Author-eListParagraph"/>
        <w:numPr>
          <w:ilvl w:val="0"/>
          <w:numId w:val="813"/>
        </w:numPr>
      </w:pPr>
      <w:r>
        <w:rPr>
          <w:u w:val="single"/>
        </w:rPr>
        <w:t>Exigences d’aspect</w:t>
      </w:r>
    </w:p>
    <w:p w14:paraId="08000055" w14:textId="77777777" w:rsidR="00DB2B68" w:rsidRDefault="00000000">
      <w:pPr>
        <w:jc w:val="both"/>
      </w:pPr>
      <w:r>
        <w:t>L’esthétique d’un élément s’entend comme étant l’aspect de ses faces visibles. Il faut donc toujours préciser la qualité visible souhaitée pour les deux faces de l’élément.</w:t>
      </w:r>
    </w:p>
    <w:p w14:paraId="03196B7D" w14:textId="77777777" w:rsidR="00DB2B68" w:rsidRDefault="00000000">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14:paraId="013D4D24" w14:textId="77777777" w:rsidR="00DB2B68" w:rsidRDefault="00DB2B68">
      <w:pPr>
        <w:jc w:val="both"/>
      </w:pPr>
    </w:p>
    <w:p w14:paraId="27C5106F" w14:textId="77777777" w:rsidR="00DB2B68" w:rsidRDefault="00000000">
      <w:pPr>
        <w:jc w:val="both"/>
      </w:pPr>
      <w:r>
        <w:t>Les qualités d’aspect ne sont actuellement pas encore normalisées. Généralement, les critères d’aspect pris en compte par les fabricants sont :</w:t>
      </w:r>
    </w:p>
    <w:p w14:paraId="4E143F32" w14:textId="77777777" w:rsidR="00DB2B68" w:rsidRDefault="00000000">
      <w:pPr>
        <w:jc w:val="both"/>
      </w:pPr>
      <w:r>
        <w:t xml:space="preserve"> - Quantité de nœuds ;</w:t>
      </w:r>
    </w:p>
    <w:p w14:paraId="79C935CB" w14:textId="77777777" w:rsidR="00DB2B68" w:rsidRDefault="00000000">
      <w:pPr>
        <w:jc w:val="both"/>
      </w:pPr>
      <w:r>
        <w:t xml:space="preserve"> - Type de nœuds (adhérents, non-adhérents, …) ;</w:t>
      </w:r>
    </w:p>
    <w:p w14:paraId="37219FFD" w14:textId="77777777" w:rsidR="00DB2B68" w:rsidRDefault="00000000">
      <w:pPr>
        <w:jc w:val="both"/>
      </w:pPr>
      <w:r>
        <w:t xml:space="preserve"> - bleuissement, échauffure ;</w:t>
      </w:r>
    </w:p>
    <w:p w14:paraId="20036E7A" w14:textId="77777777" w:rsidR="00DB2B68" w:rsidRDefault="00000000">
      <w:pPr>
        <w:jc w:val="both"/>
      </w:pPr>
      <w:r>
        <w:t xml:space="preserve"> - collage ou non des chants ;</w:t>
      </w:r>
    </w:p>
    <w:p w14:paraId="3EB1EF53" w14:textId="77777777" w:rsidR="00DB2B68" w:rsidRDefault="00000000">
      <w:pPr>
        <w:jc w:val="both"/>
      </w:pPr>
      <w:r>
        <w:t xml:space="preserve"> - état de surface (poncée/non-poncée) ;</w:t>
      </w:r>
    </w:p>
    <w:p w14:paraId="4B37150C" w14:textId="77777777" w:rsidR="00DB2B68" w:rsidRDefault="00000000">
      <w:pPr>
        <w:jc w:val="both"/>
      </w:pPr>
      <w:r>
        <w:t xml:space="preserve"> - dépassement de colle ;</w:t>
      </w:r>
    </w:p>
    <w:p w14:paraId="1B2F5BA8" w14:textId="77777777" w:rsidR="00DB2B68" w:rsidRDefault="00000000">
      <w:pPr>
        <w:jc w:val="both"/>
      </w:pPr>
      <w:r>
        <w:t xml:space="preserve"> - …</w:t>
      </w:r>
    </w:p>
    <w:p w14:paraId="02DBFDE6" w14:textId="77777777" w:rsidR="00DB2B68" w:rsidRDefault="00000000">
      <w:pPr>
        <w:jc w:val="both"/>
      </w:pPr>
      <w:r>
        <w:lastRenderedPageBreak/>
        <w:t>Des classes visuelles couramment utilisées sont définies ci-dessous. Elles tendent à être communément reconnues bien qu’elles ne soient pas normalisées.</w:t>
      </w:r>
    </w:p>
    <w:p w14:paraId="4CA80711" w14:textId="77777777" w:rsidR="00DB2B68" w:rsidRDefault="00000000">
      <w:pPr>
        <w:jc w:val="both"/>
      </w:pPr>
      <w:r>
        <w:rPr>
          <w:u w:val="single"/>
        </w:rPr>
        <w:t xml:space="preserve"> Non-visible :</w:t>
      </w:r>
    </w:p>
    <w:p w14:paraId="6523FEF4" w14:textId="77777777" w:rsidR="00DB2B68" w:rsidRDefault="00000000">
      <w:pPr>
        <w:jc w:val="both"/>
      </w:pPr>
      <w:r>
        <w:t>-Présence de nœuds sautés, de bords non jointifs, etc. sans altération des caractéristiques mécaniques.</w:t>
      </w:r>
    </w:p>
    <w:p w14:paraId="30F8B713" w14:textId="77777777" w:rsidR="00DB2B68" w:rsidRDefault="00000000">
      <w:pPr>
        <w:jc w:val="both"/>
      </w:pPr>
      <w:r>
        <w:rPr>
          <w:u w:val="single"/>
        </w:rPr>
        <w:t>Visible industrielle :</w:t>
      </w:r>
    </w:p>
    <w:p w14:paraId="509424F9" w14:textId="77777777" w:rsidR="00DB2B68" w:rsidRDefault="00000000">
      <w:pPr>
        <w:jc w:val="both"/>
      </w:pPr>
      <w:r>
        <w:t>-La qualité de bois de la surface correspond à un aspect B selon la norme [NBN EN 13017-1]. Selon l’orientation de la surface, les lamelles peuvent être aboutées selon les cas</w:t>
      </w:r>
    </w:p>
    <w:p w14:paraId="5E5B52D3" w14:textId="77777777" w:rsidR="00DB2B68" w:rsidRDefault="00000000">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14:paraId="708557D8" w14:textId="77777777" w:rsidR="00DB2B68" w:rsidRDefault="00000000">
      <w:pPr>
        <w:jc w:val="both"/>
      </w:pPr>
      <w:r>
        <w:t>-Avec une humidité de bois de 12% (+/-2%), la largeur maximale du joint est de 4mm. Le choix de la largeur des lamelles appartient au fabricant.</w:t>
      </w:r>
    </w:p>
    <w:p w14:paraId="4687E896" w14:textId="77777777" w:rsidR="00DB2B68" w:rsidRDefault="00000000">
      <w:pPr>
        <w:jc w:val="both"/>
      </w:pPr>
      <w:r>
        <w:rPr>
          <w:u w:val="single"/>
        </w:rPr>
        <w:t>Visible habitat :</w:t>
      </w:r>
    </w:p>
    <w:p w14:paraId="66F2AAB7" w14:textId="77777777" w:rsidR="00DB2B68" w:rsidRDefault="00000000">
      <w:pPr>
        <w:jc w:val="both"/>
      </w:pPr>
      <w:r>
        <w:t>-La qualité de bois de la surface correspond à un aspect AB selon la norme [NBN EN 13017-1],</w:t>
      </w:r>
    </w:p>
    <w:p w14:paraId="068C21B9" w14:textId="77777777" w:rsidR="00DB2B68" w:rsidRDefault="00000000">
      <w:pPr>
        <w:jc w:val="both"/>
      </w:pPr>
      <w:r>
        <w:t>-La surface est rabotée et polie,</w:t>
      </w:r>
    </w:p>
    <w:p w14:paraId="48F6779F" w14:textId="77777777" w:rsidR="00DB2B68" w:rsidRDefault="00000000">
      <w:pPr>
        <w:jc w:val="both"/>
      </w:pPr>
      <w:r>
        <w:t>- Avec une humidité de bois de 12% (+/-2%), la largeur maximale du joint est de 2mm,</w:t>
      </w:r>
    </w:p>
    <w:p w14:paraId="3257D831" w14:textId="77777777" w:rsidR="00DB2B68" w:rsidRDefault="00000000">
      <w:pPr>
        <w:jc w:val="both"/>
      </w:pPr>
      <w:r>
        <w:t>-Lors de la découpe, l’ensemble des jointures est chanfreiné au niveau des raccords de panneaux dans la largeur.</w:t>
      </w:r>
    </w:p>
    <w:p w14:paraId="6F0DA9F0" w14:textId="77777777" w:rsidR="00DB2B68" w:rsidRDefault="00DB2B68"/>
    <w:p w14:paraId="7A3D49BB" w14:textId="77777777" w:rsidR="00DB2B68" w:rsidRDefault="00000000">
      <w:pPr>
        <w:ind w:left="567"/>
        <w:jc w:val="both"/>
      </w:pPr>
      <w:r>
        <w:rPr>
          <w:b/>
        </w:rPr>
        <w:t>LVL</w:t>
      </w:r>
    </w:p>
    <w:p w14:paraId="1C427A5B" w14:textId="77777777" w:rsidR="00DB2B68" w:rsidRDefault="00000000">
      <w:pPr>
        <w:pStyle w:val="Author-eListParagraph"/>
        <w:numPr>
          <w:ilvl w:val="0"/>
          <w:numId w:val="814"/>
        </w:numPr>
      </w:pPr>
      <w:r>
        <w:rPr>
          <w:u w:val="single"/>
        </w:rPr>
        <w:t>Description</w:t>
      </w:r>
    </w:p>
    <w:p w14:paraId="3D5CAC6E" w14:textId="77777777" w:rsidR="00DB2B68" w:rsidRDefault="00000000">
      <w:pPr>
        <w:jc w:val="both"/>
      </w:pPr>
      <w:r>
        <w:t>Le LVL (Laminated Veneer Lumber, bois de placage stratifié ou lamibois) est un matériau à base de placages de bois avec les fibres du bois orientées majoritairement dans la même direction. Les placages ont une épaisseur maximale de 6mm.</w:t>
      </w:r>
    </w:p>
    <w:p w14:paraId="274FDAB8" w14:textId="77777777" w:rsidR="00DB2B68" w:rsidRDefault="00000000">
      <w:pPr>
        <w:pStyle w:val="Author-eListParagraph"/>
        <w:numPr>
          <w:ilvl w:val="0"/>
          <w:numId w:val="815"/>
        </w:numPr>
      </w:pPr>
      <w:r>
        <w:rPr>
          <w:u w:val="single"/>
        </w:rPr>
        <w:t>Normes</w:t>
      </w:r>
    </w:p>
    <w:p w14:paraId="3D8687C1" w14:textId="77777777" w:rsidR="00DB2B68" w:rsidRDefault="00000000">
      <w:pPr>
        <w:jc w:val="both"/>
      </w:pPr>
      <w:r>
        <w:t>Deux normes traitent directement du LVL en structure.</w:t>
      </w:r>
    </w:p>
    <w:p w14:paraId="6D12D8D1" w14:textId="77777777" w:rsidR="00DB2B68" w:rsidRDefault="00DB2B68">
      <w:pPr>
        <w:jc w:val="both"/>
      </w:pPr>
    </w:p>
    <w:p w14:paraId="0714C4BD" w14:textId="77777777" w:rsidR="00DB2B68" w:rsidRDefault="00000000">
      <w:pPr>
        <w:jc w:val="both"/>
      </w:pPr>
      <w:r>
        <w:t>La [NBN EN 14374] concerne les LVL utilisés en structure. Elle a le statut de norme harmonisée et sert de base au marquage CE des éléments.</w:t>
      </w:r>
    </w:p>
    <w:p w14:paraId="42CC2F0C" w14:textId="77777777" w:rsidR="00DB2B68" w:rsidRDefault="00DB2B68">
      <w:pPr>
        <w:jc w:val="both"/>
      </w:pPr>
    </w:p>
    <w:p w14:paraId="2E35B587" w14:textId="77777777" w:rsidR="00DB2B68" w:rsidRDefault="00000000">
      <w:pPr>
        <w:jc w:val="both"/>
      </w:pPr>
      <w:r>
        <w:t>La [NBN EN 14279+A1] concerne aussi le LVL mais n’est pas spécifique pour son usage en structure. Il est possible de marquer CE les panneaux en LVL sur base de la norme [NBN EN 13986+A1], qui se base elle-même sur la [NBN EN 14279+A1].</w:t>
      </w:r>
    </w:p>
    <w:p w14:paraId="5D81D189" w14:textId="77777777" w:rsidR="00DB2B68" w:rsidRDefault="00DB2B68">
      <w:pPr>
        <w:jc w:val="both"/>
      </w:pPr>
    </w:p>
    <w:p w14:paraId="58505846" w14:textId="77777777" w:rsidR="00DB2B68" w:rsidRDefault="00000000">
      <w:pPr>
        <w:jc w:val="both"/>
      </w:pPr>
      <w:r>
        <w:t>Les domaines d’application des deux normes se chevauchent.</w:t>
      </w:r>
    </w:p>
    <w:p w14:paraId="1D5757AA" w14:textId="77777777" w:rsidR="00DB2B68" w:rsidRDefault="00000000">
      <w:pPr>
        <w:pStyle w:val="Author-eListParagraph"/>
        <w:numPr>
          <w:ilvl w:val="0"/>
          <w:numId w:val="816"/>
        </w:numPr>
      </w:pPr>
      <w:r>
        <w:rPr>
          <w:u w:val="single"/>
        </w:rPr>
        <w:t>Types de LVL</w:t>
      </w:r>
    </w:p>
    <w:p w14:paraId="3ACACD41" w14:textId="77777777" w:rsidR="00DB2B68" w:rsidRDefault="00000000">
      <w:pPr>
        <w:jc w:val="both"/>
      </w:pPr>
      <w:r>
        <w:t>La norme [NBN EN 14374] classe les LVL en deux types, suivant l’orientation des placages :</w:t>
      </w:r>
    </w:p>
    <w:p w14:paraId="11310ECF" w14:textId="77777777" w:rsidR="00DB2B68" w:rsidRDefault="00000000">
      <w:pPr>
        <w:jc w:val="both"/>
      </w:pPr>
      <w:r>
        <w:t>- LVL « S » lorsque toutes les fibres sont orientées dans la direction longitudinale,</w:t>
      </w:r>
    </w:p>
    <w:p w14:paraId="2211C6A9" w14:textId="77777777" w:rsidR="00DB2B68" w:rsidRDefault="00000000">
      <w:pPr>
        <w:jc w:val="both"/>
      </w:pPr>
      <w:r>
        <w:t>- LVL « Q » lorsque environs 20% des fibres sont orientées dans la direction transversale, les 80% restantes étant orientées longitudinalement, ce qui permet entre autres au LVL Q d’être dimensionnellement stable tant longitudinalement que transversalement.</w:t>
      </w:r>
    </w:p>
    <w:p w14:paraId="1EFF025C" w14:textId="77777777" w:rsidR="00DB2B68" w:rsidRDefault="00000000">
      <w:pPr>
        <w:pStyle w:val="Author-eListParagraph"/>
        <w:numPr>
          <w:ilvl w:val="0"/>
          <w:numId w:val="817"/>
        </w:numPr>
      </w:pPr>
      <w:r>
        <w:rPr>
          <w:u w:val="single"/>
        </w:rPr>
        <w:t>Caractéristiques mécaniques</w:t>
      </w:r>
    </w:p>
    <w:p w14:paraId="380A4968" w14:textId="77777777" w:rsidR="00DB2B68" w:rsidRDefault="00000000">
      <w:pPr>
        <w:jc w:val="both"/>
      </w:pPr>
      <w:r>
        <w:lastRenderedPageBreak/>
        <w:t>Le fabricant du LVL déclare les valeurs de résistance et de rigidité caractéristiques correspondant au fractile à 5% d’exclusion inférieur.</w:t>
      </w:r>
    </w:p>
    <w:p w14:paraId="7DAEE748" w14:textId="77777777" w:rsidR="00DB2B68" w:rsidRDefault="00000000">
      <w:pPr>
        <w:pStyle w:val="Author-eListParagraph"/>
        <w:numPr>
          <w:ilvl w:val="0"/>
          <w:numId w:val="818"/>
        </w:numPr>
      </w:pPr>
      <w:r>
        <w:rPr>
          <w:u w:val="single"/>
        </w:rPr>
        <w:t>Durabilité du LVL</w:t>
      </w:r>
    </w:p>
    <w:p w14:paraId="39EBA074" w14:textId="77777777" w:rsidR="00DB2B68" w:rsidRDefault="00000000">
      <w:pPr>
        <w:jc w:val="both"/>
      </w:pPr>
      <w:r>
        <w:t>Le fabricant déclare la classe de durabilité du LVL.</w:t>
      </w:r>
    </w:p>
    <w:p w14:paraId="1F77602E" w14:textId="77777777" w:rsidR="00DB2B68" w:rsidRDefault="00000000">
      <w:pPr>
        <w:jc w:val="both"/>
      </w:pPr>
      <w:r>
        <w:t>La norme [NBN EN 14279+A1] définit trois LVL différents en fonction de la classe d’emploi maximale dans laquelle ils peuvent être utilisés :</w:t>
      </w:r>
    </w:p>
    <w:p w14:paraId="41B1769D" w14:textId="77777777" w:rsidR="00DB2B68" w:rsidRDefault="00000000">
      <w:pPr>
        <w:jc w:val="both"/>
      </w:pPr>
      <w:r>
        <w:t>- LVL/1 pour usage en classe d’emploi 1,</w:t>
      </w:r>
    </w:p>
    <w:p w14:paraId="50203DD3" w14:textId="77777777" w:rsidR="00DB2B68" w:rsidRDefault="00000000">
      <w:pPr>
        <w:jc w:val="both"/>
      </w:pPr>
      <w:r>
        <w:t>- LVL/2 pour usage en classe d’emploi 1 ou 2,</w:t>
      </w:r>
    </w:p>
    <w:p w14:paraId="7FF0AADB" w14:textId="77777777" w:rsidR="00DB2B68" w:rsidRDefault="00000000">
      <w:pPr>
        <w:jc w:val="both"/>
      </w:pPr>
      <w:r>
        <w:t>- LVL/3 pour usage en classe d’emploi 1, 2 ou 3.</w:t>
      </w:r>
    </w:p>
    <w:p w14:paraId="4ED78047" w14:textId="77777777" w:rsidR="00DB2B68" w:rsidRDefault="00000000">
      <w:pPr>
        <w:jc w:val="both"/>
      </w:pPr>
      <w:r>
        <w:t>L’utilisation des LVL n’est pas autorisée en classe d’emploi 4 ou 5.</w:t>
      </w:r>
    </w:p>
    <w:p w14:paraId="3C611336" w14:textId="77777777" w:rsidR="00DB2B68" w:rsidRDefault="00000000">
      <w:pPr>
        <w:pStyle w:val="Author-eListParagraph"/>
        <w:numPr>
          <w:ilvl w:val="0"/>
          <w:numId w:val="819"/>
        </w:numPr>
      </w:pPr>
      <w:r>
        <w:rPr>
          <w:u w:val="single"/>
        </w:rPr>
        <w:t>Prescriptions esthétiques</w:t>
      </w:r>
    </w:p>
    <w:p w14:paraId="732ADC46" w14:textId="77777777" w:rsidR="00DB2B68" w:rsidRDefault="00000000">
      <w:pPr>
        <w:jc w:val="both"/>
      </w:pPr>
      <w:r>
        <w:t>Les panneaux sont disponibles en deux qualités esthétiques : « poncés » et « non poncés ». La face d’un panneau LVL, même en qualité poncée, peut contenir des traces visibles de joint de colle brun foncé (au droit des scarfs = zone où un déroulage se termine et un suivant recommence). Afin de palier à ce problème, il est envisageable chez certains fournisseurs de demander de coller le dernier pli avec une colle claire. Cela doit alors être clairement prescrit au cahier spécial des charges.</w:t>
      </w:r>
    </w:p>
    <w:p w14:paraId="4E516B94" w14:textId="77777777" w:rsidR="00DB2B68" w:rsidRDefault="00DB2B68"/>
    <w:p w14:paraId="2498FA3D" w14:textId="77777777" w:rsidR="00DB2B68" w:rsidRDefault="00000000">
      <w:pPr>
        <w:ind w:left="567"/>
        <w:jc w:val="both"/>
      </w:pPr>
      <w:r>
        <w:rPr>
          <w:b/>
        </w:rPr>
        <w:t>LSL</w:t>
      </w:r>
    </w:p>
    <w:p w14:paraId="1BC4B819" w14:textId="77777777" w:rsidR="00DB2B68" w:rsidRDefault="00000000">
      <w:pPr>
        <w:pStyle w:val="Author-eListParagraph"/>
        <w:numPr>
          <w:ilvl w:val="0"/>
          <w:numId w:val="820"/>
        </w:numPr>
      </w:pPr>
      <w:r>
        <w:rPr>
          <w:u w:val="single"/>
        </w:rPr>
        <w:t>Description</w:t>
      </w:r>
    </w:p>
    <w:p w14:paraId="64D76AED" w14:textId="77777777" w:rsidR="00DB2B68" w:rsidRDefault="00000000">
      <w:pPr>
        <w:jc w:val="both"/>
      </w:pPr>
      <w:r>
        <w:t>Le LSL (Laminated Strand Lumber, bandes de bois stratifiées) est un matériau à base de bandes de placages de bois relativement étroites et courtes (environs 3x30x300mm) disposées à fils parallèles, encollées et pressées.</w:t>
      </w:r>
    </w:p>
    <w:p w14:paraId="372DE9C1" w14:textId="77777777" w:rsidR="00DB2B68" w:rsidRDefault="00000000">
      <w:pPr>
        <w:pStyle w:val="Author-eListParagraph"/>
        <w:numPr>
          <w:ilvl w:val="0"/>
          <w:numId w:val="821"/>
        </w:numPr>
      </w:pPr>
      <w:r>
        <w:rPr>
          <w:u w:val="single"/>
        </w:rPr>
        <w:t>Normes</w:t>
      </w:r>
    </w:p>
    <w:p w14:paraId="776D5AEA" w14:textId="77777777" w:rsidR="00DB2B68" w:rsidRDefault="00000000">
      <w:pPr>
        <w:jc w:val="both"/>
      </w:pPr>
      <w:r>
        <w:t>Il n’existe aucune norme européenne décrivant le LSL.</w:t>
      </w:r>
    </w:p>
    <w:p w14:paraId="3945BFFD" w14:textId="77777777" w:rsidR="00DB2B68" w:rsidRDefault="00000000">
      <w:pPr>
        <w:pStyle w:val="Author-eListParagraph"/>
        <w:numPr>
          <w:ilvl w:val="0"/>
          <w:numId w:val="822"/>
        </w:numPr>
      </w:pPr>
      <w:r>
        <w:rPr>
          <w:u w:val="single"/>
        </w:rPr>
        <w:t>Caractéristiques mécaniques</w:t>
      </w:r>
    </w:p>
    <w:p w14:paraId="43E325DA" w14:textId="77777777" w:rsidR="00DB2B68" w:rsidRDefault="00000000">
      <w:pPr>
        <w:jc w:val="both"/>
      </w:pPr>
      <w:r>
        <w:t>Le fabricant du LSL déclare les valeurs de résistance et de rigidité caractéristiques correspondant au fractile à 5% d’exclusion inférieur.</w:t>
      </w:r>
    </w:p>
    <w:p w14:paraId="7C2FE6F8" w14:textId="77777777" w:rsidR="00DB2B68" w:rsidRDefault="00000000">
      <w:pPr>
        <w:pStyle w:val="Author-eListParagraph"/>
        <w:numPr>
          <w:ilvl w:val="0"/>
          <w:numId w:val="823"/>
        </w:numPr>
      </w:pPr>
      <w:r>
        <w:rPr>
          <w:u w:val="single"/>
        </w:rPr>
        <w:t>Durabilité du LSL</w:t>
      </w:r>
    </w:p>
    <w:p w14:paraId="54BCC2EF" w14:textId="77777777" w:rsidR="00DB2B68" w:rsidRDefault="00000000">
      <w:pPr>
        <w:jc w:val="both"/>
      </w:pPr>
      <w:r>
        <w:t>Le fabricant déclare la classe de durabilité du LSL.</w:t>
      </w:r>
    </w:p>
    <w:p w14:paraId="688F3AFD" w14:textId="77777777" w:rsidR="00DB2B68" w:rsidRDefault="00DB2B68"/>
    <w:p w14:paraId="59D6F8E4" w14:textId="77777777" w:rsidR="00DB2B68" w:rsidRDefault="00000000">
      <w:pPr>
        <w:jc w:val="both"/>
      </w:pPr>
      <w:r>
        <w:rPr>
          <w:b/>
        </w:rPr>
        <w:t>        PSL</w:t>
      </w:r>
    </w:p>
    <w:p w14:paraId="27171BC5" w14:textId="77777777" w:rsidR="00DB2B68" w:rsidRDefault="00000000">
      <w:pPr>
        <w:pStyle w:val="Author-eListParagraph"/>
        <w:numPr>
          <w:ilvl w:val="0"/>
          <w:numId w:val="824"/>
        </w:numPr>
      </w:pPr>
      <w:r>
        <w:rPr>
          <w:u w:val="single"/>
        </w:rPr>
        <w:t>Description</w:t>
      </w:r>
    </w:p>
    <w:p w14:paraId="3C911F58" w14:textId="77777777" w:rsidR="00DB2B68" w:rsidRDefault="00000000">
      <w:pPr>
        <w:jc w:val="both"/>
      </w:pPr>
      <w:r>
        <w:t>Le PSL (Parralel Strand Lumber, bandes de bois parallèles) est un matériau à base de bandes de placages de bois relativement étroites et longues (jusqu’à 3x2400mm) disposées à fils parallèles, encollées et pressées.</w:t>
      </w:r>
    </w:p>
    <w:p w14:paraId="266C5773" w14:textId="77777777" w:rsidR="00DB2B68" w:rsidRDefault="00000000">
      <w:pPr>
        <w:pStyle w:val="Author-eListParagraph"/>
        <w:numPr>
          <w:ilvl w:val="0"/>
          <w:numId w:val="825"/>
        </w:numPr>
      </w:pPr>
      <w:r>
        <w:rPr>
          <w:u w:val="single"/>
        </w:rPr>
        <w:t>Normes</w:t>
      </w:r>
    </w:p>
    <w:p w14:paraId="2563A082" w14:textId="77777777" w:rsidR="00DB2B68" w:rsidRDefault="00000000">
      <w:pPr>
        <w:jc w:val="both"/>
      </w:pPr>
      <w:r>
        <w:t>Il n’existe aucune norme européenne décrivant le PSL.</w:t>
      </w:r>
    </w:p>
    <w:p w14:paraId="7A116ADF" w14:textId="77777777" w:rsidR="00DB2B68" w:rsidRDefault="00000000">
      <w:pPr>
        <w:pStyle w:val="Author-eListParagraph"/>
        <w:numPr>
          <w:ilvl w:val="0"/>
          <w:numId w:val="826"/>
        </w:numPr>
      </w:pPr>
      <w:r>
        <w:rPr>
          <w:u w:val="single"/>
        </w:rPr>
        <w:t>Caractéristiques mécaniques</w:t>
      </w:r>
    </w:p>
    <w:p w14:paraId="093DF071" w14:textId="77777777" w:rsidR="00DB2B68" w:rsidRDefault="00000000">
      <w:r>
        <w:t>Le fabricant du PSL déclare les valeurs de résistances et de rigidités caractéristiques correspondant au fractile à 5% d’exclusion inférieur.</w:t>
      </w:r>
    </w:p>
    <w:p w14:paraId="283DC33E" w14:textId="77777777" w:rsidR="00DB2B68" w:rsidRDefault="00000000">
      <w:pPr>
        <w:pStyle w:val="Author-eListParagraph"/>
        <w:numPr>
          <w:ilvl w:val="0"/>
          <w:numId w:val="827"/>
        </w:numPr>
      </w:pPr>
      <w:r>
        <w:rPr>
          <w:u w:val="single"/>
        </w:rPr>
        <w:t>Durabilité du PSL</w:t>
      </w:r>
    </w:p>
    <w:p w14:paraId="6477F118" w14:textId="77777777" w:rsidR="00DB2B68" w:rsidRDefault="00000000">
      <w:pPr>
        <w:jc w:val="both"/>
      </w:pPr>
      <w:r>
        <w:t>Le fabricant déclare la classe de durabilité du PSL.</w:t>
      </w:r>
    </w:p>
    <w:p w14:paraId="6869222C" w14:textId="77777777" w:rsidR="00DB2B68" w:rsidRDefault="00DB2B68">
      <w:pPr>
        <w:jc w:val="both"/>
      </w:pPr>
    </w:p>
    <w:p w14:paraId="2450E6E0" w14:textId="77777777" w:rsidR="00DB2B68" w:rsidRDefault="00DB2B68">
      <w:pPr>
        <w:jc w:val="both"/>
      </w:pPr>
    </w:p>
    <w:p w14:paraId="4EB5E0A3" w14:textId="77777777" w:rsidR="00DB2B68" w:rsidRDefault="00000000">
      <w:pPr>
        <w:ind w:left="567"/>
        <w:jc w:val="both"/>
      </w:pPr>
      <w:r>
        <w:rPr>
          <w:b/>
        </w:rPr>
        <w:t>PROFILES EN I A AME EN BOIS</w:t>
      </w:r>
    </w:p>
    <w:p w14:paraId="3277AF13" w14:textId="77777777" w:rsidR="00DB2B68" w:rsidRDefault="00000000">
      <w:pPr>
        <w:pStyle w:val="Author-eListParagraph"/>
        <w:numPr>
          <w:ilvl w:val="0"/>
          <w:numId w:val="828"/>
        </w:numPr>
      </w:pPr>
      <w:r>
        <w:rPr>
          <w:u w:val="single"/>
        </w:rPr>
        <w:t>Description</w:t>
      </w:r>
    </w:p>
    <w:p w14:paraId="348427EC" w14:textId="77777777" w:rsidR="00DB2B68" w:rsidRDefault="00000000">
      <w:pPr>
        <w:jc w:val="both"/>
      </w:pPr>
      <w:r>
        <w:t>Les profilés en I à âme en bois sont composés de deux ailes reliées par un panneau mince à base de bois.</w:t>
      </w:r>
    </w:p>
    <w:p w14:paraId="4CFC4F2B" w14:textId="77777777" w:rsidR="00DB2B68" w:rsidRDefault="00000000">
      <w:pPr>
        <w:pStyle w:val="Author-eListParagraph"/>
        <w:numPr>
          <w:ilvl w:val="0"/>
          <w:numId w:val="829"/>
        </w:numPr>
      </w:pPr>
      <w:r>
        <w:rPr>
          <w:u w:val="single"/>
        </w:rPr>
        <w:t>Normes</w:t>
      </w:r>
    </w:p>
    <w:p w14:paraId="0675F493" w14:textId="77777777" w:rsidR="00DB2B68" w:rsidRDefault="00000000">
      <w:pPr>
        <w:jc w:val="both"/>
      </w:pPr>
      <w:r>
        <w:t>Il n’existe aucune norme européenne décrivant les profilés en I à âme en bois. Les éléments qui composent le profilé sont couverts par des normes harmonisées.</w:t>
      </w:r>
    </w:p>
    <w:p w14:paraId="7634579B" w14:textId="77777777" w:rsidR="00DB2B68" w:rsidRDefault="00000000">
      <w:pPr>
        <w:pStyle w:val="Author-eListParagraph"/>
        <w:numPr>
          <w:ilvl w:val="0"/>
          <w:numId w:val="830"/>
        </w:numPr>
      </w:pPr>
      <w:r>
        <w:rPr>
          <w:u w:val="single"/>
        </w:rPr>
        <w:t>Compositions</w:t>
      </w:r>
    </w:p>
    <w:p w14:paraId="5111DBF4" w14:textId="77777777" w:rsidR="00DB2B68" w:rsidRDefault="00000000">
      <w:pPr>
        <w:jc w:val="both"/>
      </w:pPr>
      <w:r>
        <w:t xml:space="preserve">Les membrures sont généralement en bois massif aboutés ou en LVL. </w:t>
      </w:r>
    </w:p>
    <w:p w14:paraId="35300937" w14:textId="77777777" w:rsidR="00DB2B68" w:rsidRDefault="00000000">
      <w:pPr>
        <w:jc w:val="both"/>
      </w:pPr>
      <w:r>
        <w:t>L’âme est généralement réalisée par un panneau OSB ou un contreplaqué.</w:t>
      </w:r>
    </w:p>
    <w:p w14:paraId="0EDE5A33" w14:textId="77777777" w:rsidR="00DB2B68" w:rsidRDefault="00000000">
      <w:pPr>
        <w:jc w:val="both"/>
      </w:pPr>
      <w:r>
        <w:t>Les deux éléments sont assemblés par collage.</w:t>
      </w:r>
    </w:p>
    <w:p w14:paraId="03371A7E" w14:textId="77777777" w:rsidR="00DB2B68" w:rsidRDefault="00000000">
      <w:pPr>
        <w:pStyle w:val="Author-eListParagraph"/>
        <w:numPr>
          <w:ilvl w:val="0"/>
          <w:numId w:val="831"/>
        </w:numPr>
      </w:pPr>
      <w:r>
        <w:rPr>
          <w:u w:val="single"/>
        </w:rPr>
        <w:t>Caractéristiques mécaniques</w:t>
      </w:r>
    </w:p>
    <w:p w14:paraId="73FFFD95" w14:textId="77777777" w:rsidR="00DB2B68" w:rsidRDefault="00000000">
      <w:r>
        <w:t>Le fabricant des profilés déclare les valeurs de résistances et de rigidités caractéristiques correspondant au fractile à 5% d’exclusion inférieur.</w:t>
      </w:r>
    </w:p>
    <w:p w14:paraId="3EB0249C" w14:textId="77777777" w:rsidR="00DB2B68" w:rsidRDefault="00000000">
      <w:pPr>
        <w:pStyle w:val="Author-eListParagraph"/>
        <w:numPr>
          <w:ilvl w:val="0"/>
          <w:numId w:val="832"/>
        </w:numPr>
      </w:pPr>
      <w:r>
        <w:rPr>
          <w:u w:val="single"/>
        </w:rPr>
        <w:t>Durabilité</w:t>
      </w:r>
    </w:p>
    <w:p w14:paraId="0679393C" w14:textId="77777777" w:rsidR="00DB2B68" w:rsidRDefault="00000000">
      <w:pPr>
        <w:jc w:val="both"/>
      </w:pPr>
      <w:r>
        <w:t>Le fabricant déclare la classe d’emploi maximale dans laquelle le profilé peut être installé. Les membrures, l’âme et le joint de collage entre ceux-ci sont adapté à cette classe d’emploi.</w:t>
      </w:r>
    </w:p>
    <w:p w14:paraId="73956DFD" w14:textId="77777777" w:rsidR="00DB2B68" w:rsidRDefault="00DB2B68"/>
    <w:p w14:paraId="46A96FC8" w14:textId="77777777" w:rsidR="00DB2B68" w:rsidRDefault="00000000">
      <w:pPr>
        <w:ind w:left="567"/>
        <w:jc w:val="both"/>
      </w:pPr>
      <w:r>
        <w:rPr>
          <w:b/>
        </w:rPr>
        <w:t>PROFILES EN I A AME EN METAL</w:t>
      </w:r>
    </w:p>
    <w:p w14:paraId="6D3222A5" w14:textId="77777777" w:rsidR="00DB2B68" w:rsidRDefault="00000000">
      <w:pPr>
        <w:pStyle w:val="Author-eListParagraph"/>
        <w:numPr>
          <w:ilvl w:val="0"/>
          <w:numId w:val="833"/>
        </w:numPr>
      </w:pPr>
      <w:r>
        <w:rPr>
          <w:u w:val="single"/>
        </w:rPr>
        <w:t>Description</w:t>
      </w:r>
    </w:p>
    <w:p w14:paraId="37680FB9" w14:textId="77777777" w:rsidR="00DB2B68" w:rsidRDefault="00000000">
      <w:pPr>
        <w:jc w:val="both"/>
      </w:pPr>
      <w:r>
        <w:t>Les profilés en I à âme en métal sont composés de deux ailes reliées par une tôle métallique.</w:t>
      </w:r>
    </w:p>
    <w:p w14:paraId="2E3008BF" w14:textId="77777777" w:rsidR="00DB2B68" w:rsidRDefault="00000000">
      <w:pPr>
        <w:pStyle w:val="Author-eListParagraph"/>
        <w:numPr>
          <w:ilvl w:val="0"/>
          <w:numId w:val="834"/>
        </w:numPr>
      </w:pPr>
      <w:r>
        <w:rPr>
          <w:u w:val="single"/>
        </w:rPr>
        <w:t>Normes</w:t>
      </w:r>
    </w:p>
    <w:p w14:paraId="03CC4761" w14:textId="77777777" w:rsidR="00DB2B68" w:rsidRDefault="00000000">
      <w:pPr>
        <w:jc w:val="both"/>
      </w:pPr>
      <w:r>
        <w:t>Il n’existe aucune norme européenne décrivant les profilés en I à âme en métal.</w:t>
      </w:r>
    </w:p>
    <w:p w14:paraId="4EDB0C5C" w14:textId="77777777" w:rsidR="00DB2B68" w:rsidRDefault="00000000">
      <w:pPr>
        <w:pStyle w:val="Author-eListParagraph"/>
        <w:numPr>
          <w:ilvl w:val="0"/>
          <w:numId w:val="835"/>
        </w:numPr>
      </w:pPr>
      <w:r>
        <w:rPr>
          <w:u w:val="single"/>
        </w:rPr>
        <w:t>Compositions</w:t>
      </w:r>
    </w:p>
    <w:p w14:paraId="44760122" w14:textId="77777777" w:rsidR="00DB2B68" w:rsidRDefault="00000000">
      <w:pPr>
        <w:jc w:val="both"/>
      </w:pPr>
      <w:r>
        <w:t xml:space="preserve">Les ailes sont généralement en bois massif aboutés ou en LVL. </w:t>
      </w:r>
    </w:p>
    <w:p w14:paraId="7E165BC6" w14:textId="77777777" w:rsidR="00DB2B68" w:rsidRDefault="00000000">
      <w:pPr>
        <w:jc w:val="both"/>
      </w:pPr>
      <w:r>
        <w:t>L’âme est généralement réalisée tôle d’acier.</w:t>
      </w:r>
    </w:p>
    <w:p w14:paraId="3ACBC6BF" w14:textId="77777777" w:rsidR="00DB2B68" w:rsidRDefault="00000000">
      <w:pPr>
        <w:jc w:val="both"/>
      </w:pPr>
      <w:r>
        <w:t>Les deux éléments sont assemblés par collage.</w:t>
      </w:r>
    </w:p>
    <w:p w14:paraId="36946521" w14:textId="77777777" w:rsidR="00DB2B68" w:rsidRDefault="00000000">
      <w:pPr>
        <w:pStyle w:val="Author-eListParagraph"/>
        <w:numPr>
          <w:ilvl w:val="0"/>
          <w:numId w:val="836"/>
        </w:numPr>
      </w:pPr>
      <w:r>
        <w:rPr>
          <w:u w:val="single"/>
        </w:rPr>
        <w:t>Caractéristiques mécaniques</w:t>
      </w:r>
    </w:p>
    <w:p w14:paraId="75F8715C" w14:textId="77777777" w:rsidR="00DB2B68" w:rsidRDefault="00000000">
      <w:pPr>
        <w:jc w:val="both"/>
      </w:pPr>
      <w:r>
        <w:t>Le fabricant des profilés déclare les valeurs de résistances et de rigidités caractéristiques correspondant au fractile à 5% d’exclusion inférieur.</w:t>
      </w:r>
    </w:p>
    <w:p w14:paraId="5721D679" w14:textId="77777777" w:rsidR="00DB2B68" w:rsidRDefault="00000000">
      <w:pPr>
        <w:pStyle w:val="Author-eListParagraph"/>
        <w:numPr>
          <w:ilvl w:val="0"/>
          <w:numId w:val="837"/>
        </w:numPr>
      </w:pPr>
      <w:r>
        <w:rPr>
          <w:u w:val="single"/>
        </w:rPr>
        <w:t>Durabilité</w:t>
      </w:r>
    </w:p>
    <w:p w14:paraId="482DCA21" w14:textId="77777777" w:rsidR="00DB2B68" w:rsidRDefault="00000000">
      <w:pPr>
        <w:jc w:val="both"/>
      </w:pPr>
      <w:r>
        <w:t>Le fabricant déclare la classe d’emploi maximale dans laquelle le profilé peut être installé. Les ailes, l’âme et le joint de collage entre ceux-ci sont adapté à cette classe d’emploi.</w:t>
      </w:r>
    </w:p>
    <w:p w14:paraId="1FB03C97" w14:textId="77777777" w:rsidR="00DB2B68" w:rsidRDefault="00DB2B68"/>
    <w:p w14:paraId="47113636" w14:textId="77777777" w:rsidR="00DB2B68" w:rsidRDefault="00000000">
      <w:pPr>
        <w:ind w:left="567"/>
        <w:jc w:val="both"/>
      </w:pPr>
      <w:r>
        <w:rPr>
          <w:b/>
        </w:rPr>
        <w:t>PROFILES EN TREILLIS A MEMBRURES EN BOIS</w:t>
      </w:r>
    </w:p>
    <w:p w14:paraId="7A5988C9" w14:textId="77777777" w:rsidR="00DB2B68" w:rsidRDefault="00000000">
      <w:pPr>
        <w:pStyle w:val="Author-eListParagraph"/>
        <w:numPr>
          <w:ilvl w:val="0"/>
          <w:numId w:val="838"/>
        </w:numPr>
      </w:pPr>
      <w:r>
        <w:rPr>
          <w:u w:val="single"/>
        </w:rPr>
        <w:t>Description</w:t>
      </w:r>
    </w:p>
    <w:p w14:paraId="57E178AF" w14:textId="77777777" w:rsidR="00DB2B68" w:rsidRDefault="00000000">
      <w:pPr>
        <w:jc w:val="both"/>
      </w:pPr>
      <w:r>
        <w:t>Les profilés en treillis à membrures en bois sont composés de deux ailes reliées par des diagonales et des montants en bois.</w:t>
      </w:r>
    </w:p>
    <w:p w14:paraId="7FDFC08A" w14:textId="77777777" w:rsidR="00DB2B68" w:rsidRDefault="00000000">
      <w:pPr>
        <w:pStyle w:val="Author-eListParagraph"/>
        <w:numPr>
          <w:ilvl w:val="0"/>
          <w:numId w:val="839"/>
        </w:numPr>
      </w:pPr>
      <w:r>
        <w:rPr>
          <w:u w:val="single"/>
        </w:rPr>
        <w:t>Normes</w:t>
      </w:r>
    </w:p>
    <w:p w14:paraId="45EA6EB6" w14:textId="77777777" w:rsidR="00DB2B68" w:rsidRDefault="00000000">
      <w:pPr>
        <w:jc w:val="both"/>
      </w:pPr>
      <w:r>
        <w:t>Il n’existe aucune norme européenne décrivant les profilés en I à âme en bois. Les éléments qui composent le profilé sont couverts par des normes harmonisées.</w:t>
      </w:r>
    </w:p>
    <w:p w14:paraId="4DA60A44" w14:textId="77777777" w:rsidR="00DB2B68" w:rsidRDefault="00000000">
      <w:pPr>
        <w:pStyle w:val="Author-eListParagraph"/>
        <w:numPr>
          <w:ilvl w:val="0"/>
          <w:numId w:val="840"/>
        </w:numPr>
      </w:pPr>
      <w:r>
        <w:rPr>
          <w:u w:val="single"/>
        </w:rPr>
        <w:lastRenderedPageBreak/>
        <w:t>Compositions</w:t>
      </w:r>
    </w:p>
    <w:p w14:paraId="75E4BDD9" w14:textId="77777777" w:rsidR="00DB2B68" w:rsidRDefault="00000000">
      <w:pPr>
        <w:jc w:val="both"/>
      </w:pPr>
      <w:r>
        <w:t xml:space="preserve">Les ailes sont généralement en bois massif aboutés ou en LVL. </w:t>
      </w:r>
    </w:p>
    <w:p w14:paraId="6354244B" w14:textId="77777777" w:rsidR="00DB2B68" w:rsidRDefault="00000000">
      <w:pPr>
        <w:jc w:val="both"/>
      </w:pPr>
      <w:r>
        <w:t>Les diagonales et les montants sont généralement en bois massif.</w:t>
      </w:r>
    </w:p>
    <w:p w14:paraId="2E0131D5" w14:textId="77777777" w:rsidR="00DB2B68" w:rsidRDefault="00000000">
      <w:pPr>
        <w:jc w:val="both"/>
      </w:pPr>
      <w:r>
        <w:t>Les deux éléments sont assemblés par collage sur entures.</w:t>
      </w:r>
    </w:p>
    <w:p w14:paraId="7EE17105" w14:textId="77777777" w:rsidR="00DB2B68" w:rsidRDefault="00000000">
      <w:pPr>
        <w:pStyle w:val="Author-eListParagraph"/>
        <w:numPr>
          <w:ilvl w:val="0"/>
          <w:numId w:val="841"/>
        </w:numPr>
      </w:pPr>
      <w:r>
        <w:rPr>
          <w:u w:val="single"/>
        </w:rPr>
        <w:t>Caractéristiques mécaniques</w:t>
      </w:r>
    </w:p>
    <w:p w14:paraId="29B9D94F" w14:textId="77777777" w:rsidR="00DB2B68" w:rsidRDefault="00000000">
      <w:pPr>
        <w:jc w:val="both"/>
      </w:pPr>
      <w:r>
        <w:t>Le fabricant des profilés déclare les valeurs de résistances et de rigidités caractéristiques correspondant au fractile à 5% d’exclusion inférieur.</w:t>
      </w:r>
    </w:p>
    <w:p w14:paraId="59D2755A" w14:textId="77777777" w:rsidR="00DB2B68" w:rsidRDefault="00000000">
      <w:pPr>
        <w:pStyle w:val="Author-eListParagraph"/>
        <w:numPr>
          <w:ilvl w:val="0"/>
          <w:numId w:val="842"/>
        </w:numPr>
      </w:pPr>
      <w:r>
        <w:rPr>
          <w:u w:val="single"/>
        </w:rPr>
        <w:t>Durabilité</w:t>
      </w:r>
    </w:p>
    <w:p w14:paraId="79ECECBC" w14:textId="77777777" w:rsidR="00DB2B68" w:rsidRDefault="00000000">
      <w:pPr>
        <w:jc w:val="both"/>
      </w:pPr>
      <w:r>
        <w:t>Le fabricant déclare la classe d’emploi maximale dans laquelle le profilé peut être installé. Les ailes, les diagonales, les montants et le joint de collage entre ceux-ci sont adaptés à cette classe d’emploi.</w:t>
      </w:r>
    </w:p>
    <w:p w14:paraId="1142EFD8" w14:textId="77777777" w:rsidR="00DB2B68" w:rsidRDefault="00000000">
      <w:pPr>
        <w:ind w:left="567"/>
        <w:jc w:val="both"/>
      </w:pPr>
      <w:r>
        <w:rPr>
          <w:b/>
        </w:rPr>
        <w:t>PROFILES EN TREILLIS A DIAGONALES EN METAL</w:t>
      </w:r>
    </w:p>
    <w:p w14:paraId="4FF7FB92" w14:textId="77777777" w:rsidR="00DB2B68" w:rsidRDefault="00000000">
      <w:pPr>
        <w:pStyle w:val="Author-eListParagraph"/>
        <w:numPr>
          <w:ilvl w:val="0"/>
          <w:numId w:val="843"/>
        </w:numPr>
      </w:pPr>
      <w:r>
        <w:rPr>
          <w:u w:val="single"/>
        </w:rPr>
        <w:t>Description</w:t>
      </w:r>
    </w:p>
    <w:p w14:paraId="777B0287" w14:textId="77777777" w:rsidR="00DB2B68" w:rsidRDefault="00000000">
      <w:pPr>
        <w:jc w:val="both"/>
      </w:pPr>
      <w:r>
        <w:t>Les profilés en treillis à diagonales en métal sont composés de deux ailes reliées par des diagonales en métal.</w:t>
      </w:r>
    </w:p>
    <w:p w14:paraId="451CE3DD" w14:textId="77777777" w:rsidR="00DB2B68" w:rsidRDefault="00000000">
      <w:pPr>
        <w:pStyle w:val="Author-eListParagraph"/>
        <w:numPr>
          <w:ilvl w:val="0"/>
          <w:numId w:val="844"/>
        </w:numPr>
      </w:pPr>
      <w:r>
        <w:rPr>
          <w:u w:val="single"/>
        </w:rPr>
        <w:t>Normes</w:t>
      </w:r>
    </w:p>
    <w:p w14:paraId="005E61A4" w14:textId="77777777" w:rsidR="00DB2B68" w:rsidRDefault="00000000">
      <w:pPr>
        <w:jc w:val="both"/>
      </w:pPr>
      <w:r>
        <w:t>Il n’existe aucune norme européenne décrivant les profilés en I à âme en bois. Les éléments qui composent le profilé sont couverts par des normes harmonisées.</w:t>
      </w:r>
    </w:p>
    <w:p w14:paraId="3FD48793" w14:textId="77777777" w:rsidR="00DB2B68" w:rsidRDefault="00000000">
      <w:pPr>
        <w:pStyle w:val="Author-eListParagraph"/>
        <w:numPr>
          <w:ilvl w:val="0"/>
          <w:numId w:val="845"/>
        </w:numPr>
      </w:pPr>
      <w:r>
        <w:rPr>
          <w:u w:val="single"/>
        </w:rPr>
        <w:t>Compositions</w:t>
      </w:r>
    </w:p>
    <w:p w14:paraId="5761F8AE" w14:textId="77777777" w:rsidR="00DB2B68" w:rsidRDefault="00000000">
      <w:pPr>
        <w:jc w:val="both"/>
      </w:pPr>
      <w:r>
        <w:t xml:space="preserve">Les ailes sont généralement en bois massif aboutés ou en LVL. </w:t>
      </w:r>
    </w:p>
    <w:p w14:paraId="648E111D" w14:textId="77777777" w:rsidR="00DB2B68" w:rsidRDefault="00000000">
      <w:pPr>
        <w:jc w:val="both"/>
      </w:pPr>
      <w:r>
        <w:t>Les diagonales et les montants sont généralement en bois massif.</w:t>
      </w:r>
    </w:p>
    <w:p w14:paraId="39336093" w14:textId="77777777" w:rsidR="00DB2B68" w:rsidRDefault="00000000">
      <w:pPr>
        <w:jc w:val="both"/>
      </w:pPr>
      <w:r>
        <w:t>Les deux éléments sont généralement assemblés par plaques métalliques embouties.</w:t>
      </w:r>
    </w:p>
    <w:p w14:paraId="030CB57B" w14:textId="77777777" w:rsidR="00DB2B68" w:rsidRDefault="00000000">
      <w:pPr>
        <w:pStyle w:val="Author-eListParagraph"/>
        <w:numPr>
          <w:ilvl w:val="0"/>
          <w:numId w:val="846"/>
        </w:numPr>
      </w:pPr>
      <w:r>
        <w:rPr>
          <w:u w:val="single"/>
        </w:rPr>
        <w:t>Caractéristiques mécaniques</w:t>
      </w:r>
    </w:p>
    <w:p w14:paraId="199AED81" w14:textId="77777777" w:rsidR="00DB2B68" w:rsidRDefault="00000000">
      <w:pPr>
        <w:jc w:val="both"/>
      </w:pPr>
      <w:r>
        <w:t>Le fabricant des profilés déclare les valeurs de résistances et de rigidités caractéristiques correspondant au fractile à 5% d’exclusion inférieur.</w:t>
      </w:r>
    </w:p>
    <w:p w14:paraId="67961BB8" w14:textId="77777777" w:rsidR="00DB2B68" w:rsidRDefault="00000000">
      <w:pPr>
        <w:pStyle w:val="Author-eListParagraph"/>
        <w:numPr>
          <w:ilvl w:val="0"/>
          <w:numId w:val="847"/>
        </w:numPr>
      </w:pPr>
      <w:r>
        <w:rPr>
          <w:u w:val="single"/>
        </w:rPr>
        <w:t>Durabilité</w:t>
      </w:r>
    </w:p>
    <w:p w14:paraId="04B258FC" w14:textId="77777777" w:rsidR="00DB2B68" w:rsidRDefault="00000000">
      <w:pPr>
        <w:jc w:val="both"/>
      </w:pPr>
      <w:r>
        <w:t>Le fabricant déclare la classe d’emploi maximale dans laquelle le profilé peut être installé. Les ailes, les diagonales et les assemblages entre ceux-ci sont adaptés à cette classe d’emploi.</w:t>
      </w:r>
    </w:p>
    <w:p w14:paraId="490C67AE" w14:textId="77777777" w:rsidR="00DB2B68" w:rsidRDefault="00000000">
      <w:pPr>
        <w:ind w:left="750"/>
      </w:pPr>
      <w:r>
        <w:t> </w:t>
      </w:r>
    </w:p>
    <w:p w14:paraId="7BF25786" w14:textId="77777777" w:rsidR="00DB2B68" w:rsidRDefault="00000000">
      <w:pPr>
        <w:pStyle w:val="pheading"/>
      </w:pPr>
      <w:r>
        <w:t>EXÉCUTION / MISE EN ŒUVRE</w:t>
      </w:r>
    </w:p>
    <w:p w14:paraId="1B149D4D" w14:textId="77777777" w:rsidR="00DB2B68" w:rsidRDefault="00000000">
      <w:pPr>
        <w:jc w:val="both"/>
      </w:pPr>
      <w:r>
        <w:rPr>
          <w:rStyle w:val="headingChar"/>
        </w:rPr>
        <w:t>CALCULS</w:t>
      </w:r>
    </w:p>
    <w:p w14:paraId="00E362ED" w14:textId="77777777" w:rsidR="00DB2B68" w:rsidRDefault="00000000">
      <w:pPr>
        <w:jc w:val="both"/>
      </w:pPr>
      <w:r>
        <w:t xml:space="preserve">Le calcul de la structure en bois est à charge du </w:t>
      </w:r>
      <w:r>
        <w:rPr>
          <w:rStyle w:val="optioncarChar"/>
        </w:rPr>
        <w:t>maître d'ouvrage / de l'entrepreneur / du bureau d'étude </w:t>
      </w:r>
    </w:p>
    <w:p w14:paraId="2E56CA4F" w14:textId="77777777" w:rsidR="00DB2B68" w:rsidRDefault="00000000">
      <w:pPr>
        <w:jc w:val="both"/>
      </w:pPr>
      <w:r>
        <w:t>Les charges à prendre en compte sont détaillées dans les différentes parties de l'Eurocode 1 [NBN EN 1991 série] et les combinaisons de ces charges dans la [NBN EN 1990], complétés par leur annexe nationale.</w:t>
      </w:r>
    </w:p>
    <w:p w14:paraId="529BF29F" w14:textId="77777777" w:rsidR="00DB2B68" w:rsidRDefault="00000000">
      <w:pPr>
        <w:jc w:val="both"/>
      </w:pPr>
      <w:r>
        <w:t>Les flèches des éléments en bois sous l'action des charges sont limitées conformément à la [NBN B 03-003].</w:t>
      </w:r>
    </w:p>
    <w:p w14:paraId="43B78C66" w14:textId="77777777" w:rsidR="00DB2B68" w:rsidRDefault="00000000">
      <w:pPr>
        <w:jc w:val="both"/>
      </w:pPr>
      <w:r>
        <w:rPr>
          <w:rStyle w:val="headingChar"/>
        </w:rPr>
        <w:t>Livraison, STOCKAGE ET MONTAGE</w:t>
      </w:r>
    </w:p>
    <w:p w14:paraId="739203E9" w14:textId="77777777" w:rsidR="00DB2B68" w:rsidRDefault="00DB2B68">
      <w:pPr>
        <w:jc w:val="both"/>
      </w:pPr>
    </w:p>
    <w:p w14:paraId="43AD0033" w14:textId="77777777" w:rsidR="00DB2B68" w:rsidRDefault="00000000">
      <w:pPr>
        <w:jc w:val="both"/>
      </w:pPr>
      <w:r>
        <w:t>Les matériaux sont livrés sur chantier à un taux d’humidité conforme au cahier spécial des charges. Ils sont stockés sur le chantier de façon à être protégés contre les influences extérieures telles que le soleil, la pluie, le contact avec le sol, la végétation etc.</w:t>
      </w:r>
    </w:p>
    <w:p w14:paraId="5EED766C" w14:textId="77777777" w:rsidR="00DB2B68" w:rsidRDefault="00000000">
      <w:pPr>
        <w:jc w:val="both"/>
      </w:pPr>
      <w:r>
        <w:lastRenderedPageBreak/>
        <w:t>Il convient d’éviter les sur-contraintes pour les éléments au cours du transport, stockage et du montage. Dans le cas où la structure est chargée ou appuyée d’une manière différente, lors d’une de ces étapes, de celle qui est effective dans le bâtiment définitif, il convient de vérifier l’élément suivant les conditions temporaires comme un cas de charge, en incluant toutes les actions dynamiques potentielles. Les études et calculs liées à ces conditions temporaires sont à charge du soumissionnaire. Dans le cas d’ossatures structurales, par exemple d’arcs, portiques, il convient de porter une attention particulière afin d’éviter les distorsions pouvant survenir lors du levage à partir de la position horizontale jusqu’à la position verticale.</w:t>
      </w:r>
    </w:p>
    <w:p w14:paraId="56E4FB87" w14:textId="77777777" w:rsidR="00DB2B68" w:rsidRDefault="00000000">
      <w:pPr>
        <w:jc w:val="both"/>
      </w:pPr>
      <w:r>
        <w:t xml:space="preserve">Si la sensibilité de l’élément aux conditions climatiques le justifie, il peut s’avérer nécessaire de protéger les éléments à l’aide d’une bâche en toile, en matière plastique ou autre, tout en prêtant attention à bien ventiler les éléments. Le soumissionnaire fournit au maître d’ouvrage un dossier reprenant l’organisation du stockage et les principes de montage permettant de respecter les prescriptions du présent paragraphe. </w:t>
      </w:r>
    </w:p>
    <w:p w14:paraId="29925245" w14:textId="77777777" w:rsidR="00DB2B68" w:rsidRDefault="00000000">
      <w:pPr>
        <w:jc w:val="both"/>
      </w:pPr>
      <w:r>
        <w:t>Les mesures de protections sont spécifiées au titre 04.4.</w:t>
      </w:r>
    </w:p>
    <w:p w14:paraId="6D6AEDF1" w14:textId="77777777" w:rsidR="00DB2B68" w:rsidRDefault="00DB2B68">
      <w:pPr>
        <w:jc w:val="both"/>
      </w:pPr>
    </w:p>
    <w:p w14:paraId="3A371E54" w14:textId="77777777" w:rsidR="00DB2B68" w:rsidRDefault="00000000">
      <w:pPr>
        <w:jc w:val="both"/>
      </w:pPr>
      <w:r>
        <w:t>Durant toute la période allant de la livraison des éléments jusqu’à la réception définitive des travaux, l’entreprise veille à ce que ceux-ci ne soient pas exposés à des conditions plus sévères que celles pour lesquelles ils ont été conçus. Si toutefois cela devait arriver, l’entreprise prend les mesures pour rendre aux éléments toutes leurs caractéristiques d’origine, et notamment leur classe d’aspect s’ils sont visibles, leur résistance aux attaques biologique et leur teneur en humidité prescrite. Si cela s’avère impossible, les éléments endommagés sont remplacés aux frais de l’entreprise.</w:t>
      </w:r>
    </w:p>
    <w:p w14:paraId="6F934605" w14:textId="77777777" w:rsidR="00DB2B68" w:rsidRDefault="00000000">
      <w:pPr>
        <w:jc w:val="both"/>
      </w:pPr>
      <w:r>
        <w:rPr>
          <w:rStyle w:val="headingChar"/>
        </w:rPr>
        <w:t>ASSEMBLAGES</w:t>
      </w:r>
    </w:p>
    <w:p w14:paraId="7FF20EEB" w14:textId="77777777" w:rsidR="00DB2B68" w:rsidRDefault="00000000">
      <w:pPr>
        <w:jc w:val="both"/>
      </w:pPr>
      <w:r>
        <w:t xml:space="preserve">Les assemblages sont détaillés au titre </w:t>
      </w:r>
      <w:hyperlink w:anchor="585" w:history="1">
        <w:r>
          <w:rPr>
            <w:color w:val="0000EE"/>
          </w:rPr>
          <w:t>24.4</w:t>
        </w:r>
      </w:hyperlink>
      <w:r>
        <w:t xml:space="preserve">. </w:t>
      </w:r>
    </w:p>
    <w:p w14:paraId="04335D2A" w14:textId="77777777" w:rsidR="00DB2B68" w:rsidRDefault="00000000">
      <w:pPr>
        <w:jc w:val="both"/>
      </w:pPr>
      <w:r>
        <w:t>Lorsque le type d’assemblage n’est précisé ni au cahier spécial des charges ni dans les plans, le soumissionnaire se charge du choix de l’assemblage et de son dimensionnement. Il présente une note de calcul au maître d’ouvrage pour approbation. Les coûts correspondants sont compris dans l’article ou le poste des éléments à assembler.</w:t>
      </w:r>
    </w:p>
    <w:p w14:paraId="4189B740" w14:textId="77777777" w:rsidR="00DB2B68" w:rsidRDefault="00000000">
      <w:pPr>
        <w:jc w:val="both"/>
      </w:pPr>
      <w:r>
        <w:t>Un assemblage ou une connexion est qualifié de « technologique » lorsqu’il n’est pas structurel mais qu’il est nécessaire pour garantir le bon fonctionnement de la structure.</w:t>
      </w:r>
    </w:p>
    <w:p w14:paraId="5B47E56B" w14:textId="77777777" w:rsidR="00DB2B68" w:rsidRDefault="00000000">
      <w:pPr>
        <w:ind w:left="567"/>
      </w:pPr>
      <w:r>
        <w:rPr>
          <w:b/>
        </w:rPr>
        <w:t xml:space="preserve"> ASSEMBLAGES MÉCANIQUES </w:t>
      </w:r>
    </w:p>
    <w:p w14:paraId="70392B89" w14:textId="77777777" w:rsidR="00DB2B68" w:rsidRDefault="00000000">
      <w:pPr>
        <w:jc w:val="both"/>
      </w:pPr>
      <w:r>
        <w:t>Tous les assemblages mécaniques structuraux sont dimensionnés selon les principes de l’Eurocode 5 [NBN EN 1995-1-1] et de sa partie feu [NBN EN 1995-1-2].</w:t>
      </w:r>
    </w:p>
    <w:p w14:paraId="5C4815A9" w14:textId="77777777" w:rsidR="00DB2B68" w:rsidRDefault="00000000">
      <w:pPr>
        <w:jc w:val="both"/>
      </w:pPr>
      <w:r>
        <w:t>Les exigences de mises en œuvre dictées dans l’Eurocode 5, dans les autres normes européennes et/ou autres documents faisant référence (tel que NIT, STS ou équivalent) sont respectées, notamment en ce qui concerne la pénétration minimale dans la dernière pièce, le pré-perçage éventuel et les distances minimales à respecter.</w:t>
      </w:r>
    </w:p>
    <w:p w14:paraId="5473EE01" w14:textId="77777777" w:rsidR="00DB2B68" w:rsidRDefault="00000000">
      <w:pPr>
        <w:jc w:val="both"/>
      </w:pPr>
      <w:r>
        <w:t>Les défauts du bois dans la zone d’assemblage sont limités de telle sorte que la capacité résistante de l’assemblage ne soit pas réduite.</w:t>
      </w:r>
    </w:p>
    <w:p w14:paraId="7E7E6EA2" w14:textId="77777777" w:rsidR="00DB2B68" w:rsidRDefault="00000000">
      <w:pPr>
        <w:ind w:left="567"/>
      </w:pPr>
      <w:r>
        <w:br/>
      </w:r>
      <w:r>
        <w:rPr>
          <w:b/>
        </w:rPr>
        <w:t xml:space="preserve">ASSEMBLAGES COLLÉS </w:t>
      </w:r>
    </w:p>
    <w:p w14:paraId="536727A0" w14:textId="77777777" w:rsidR="00DB2B68" w:rsidRDefault="00000000">
      <w:pPr>
        <w:jc w:val="both"/>
      </w:pPr>
      <w:r>
        <w:t>Le type de colle utilisé est compatible avec la classe de service des éléments. Pour les assemblages structuraux, la colle utilisée répond à une des normes suivantes :</w:t>
      </w:r>
    </w:p>
    <w:p w14:paraId="3767F8D2" w14:textId="77777777" w:rsidR="00DB2B68" w:rsidRDefault="00000000">
      <w:pPr>
        <w:jc w:val="both"/>
      </w:pPr>
      <w:r>
        <w:t xml:space="preserve"> la [NBN EN 301], la [NBN EN 15425], la [NBN EN 16254:2013+A1] et la [NBN EN 12436] .</w:t>
      </w:r>
    </w:p>
    <w:p w14:paraId="2AC16602" w14:textId="77777777" w:rsidR="00DB2B68" w:rsidRDefault="00000000">
      <w:pPr>
        <w:jc w:val="both"/>
      </w:pPr>
      <w:r>
        <w:t>En plus des exigences de la norme correspondante, toutes les recommandations du fabricant de l’adhésif sont respectées, notamment en ce qui concerne le mixage, les conditions d’environnement, la préparation des surfaces de collage, la teneur en humidité des éléments, la pression de collage, la durée pendant laquelle celle-ci est appliquée ou tout autre facteur considéré comme d’importance pour une utilisation adéquate de l’adhésif.</w:t>
      </w:r>
    </w:p>
    <w:p w14:paraId="58732CC6" w14:textId="77777777" w:rsidR="00DB2B68" w:rsidRDefault="00000000">
      <w:pPr>
        <w:jc w:val="both"/>
      </w:pPr>
      <w:r>
        <w:lastRenderedPageBreak/>
        <w:t>Lorsque la résistance du joint de collage est une exigence pour les calculs aux états limites ultimes selon l’Eurocode 5 [NBN EN 1995 série], la fabrication des assemblages par collage est sujette à un contrôle qualité.</w:t>
      </w:r>
    </w:p>
    <w:p w14:paraId="55897DCC" w14:textId="77777777" w:rsidR="00DB2B68" w:rsidRDefault="00000000">
      <w:pPr>
        <w:jc w:val="both"/>
      </w:pPr>
      <w:r>
        <w:t>Tous les assemblages par collage sont réalisés dans un atelier où l’ambiance peut être maitrisée plus aisément.</w:t>
      </w:r>
    </w:p>
    <w:p w14:paraId="16ABDB18" w14:textId="77777777" w:rsidR="00DB2B68" w:rsidRDefault="00DB2B68">
      <w:pPr>
        <w:jc w:val="both"/>
      </w:pPr>
    </w:p>
    <w:p w14:paraId="5A00F558" w14:textId="77777777" w:rsidR="00DB2B68" w:rsidRDefault="00000000">
      <w:pPr>
        <w:jc w:val="both"/>
      </w:pPr>
      <w:r>
        <w:rPr>
          <w:rStyle w:val="headingChar"/>
        </w:rPr>
        <w:t>TOLERANCES DE MISE EN OEUVRE</w:t>
      </w:r>
    </w:p>
    <w:p w14:paraId="71D111B3" w14:textId="77777777" w:rsidR="00DB2B68" w:rsidRDefault="00DB2B68">
      <w:pPr>
        <w:jc w:val="both"/>
      </w:pPr>
    </w:p>
    <w:p w14:paraId="7CA0ECF8" w14:textId="77777777" w:rsidR="00DB2B68" w:rsidRDefault="00000000">
      <w:pPr>
        <w:jc w:val="both"/>
      </w:pPr>
      <w:r>
        <w:t xml:space="preserve">Sauf indication contraire au cahier spécial des charges, tous les bâtiments ou parties de bâtiments construits en bois doivent respecter les tolérances de mise en œuvre énoncées dans la [STS 31]. </w:t>
      </w:r>
    </w:p>
    <w:p w14:paraId="44AFEA7E" w14:textId="77777777" w:rsidR="00DB2B68" w:rsidRDefault="00000000">
      <w:pPr>
        <w:jc w:val="both"/>
      </w:pPr>
      <w:r>
        <w:t>Dans le cas d’un bâtiment bas (H&lt;10) en ossature bois, les tolérances de mise en œuvre listées dans la [STS 23-1] sont aussi être respectées.</w:t>
      </w:r>
    </w:p>
    <w:p w14:paraId="2BC3BC1E" w14:textId="77777777" w:rsidR="00DB2B68" w:rsidRDefault="00000000">
      <w:pPr>
        <w:jc w:val="both"/>
      </w:pPr>
      <w:r>
        <w:t>Dans le cas où aucune tolérance de mise en œuvre n'est prescrite dans les documents de référence européens (Eurocodes, normes EN) ou belge (NIT, STS), les exigences des DTU françaises sont d’application, et notamment les [NF DTU 31.1] et [NF DTU 31.2].</w:t>
      </w:r>
    </w:p>
    <w:p w14:paraId="0F14844C" w14:textId="77777777" w:rsidR="00DB2B68" w:rsidRDefault="00000000">
      <w:pPr>
        <w:pStyle w:val="pheading"/>
      </w:pPr>
      <w:r>
        <w:t>CONTRÔLES</w:t>
      </w:r>
    </w:p>
    <w:p w14:paraId="21241055" w14:textId="77777777" w:rsidR="00DB2B68" w:rsidRDefault="00000000">
      <w:pPr>
        <w:jc w:val="both"/>
      </w:pPr>
      <w:r>
        <w:t>Les éléments en bois sont livrés en conformité avec les Critères d'acceptabilité (02.42.1 Critères d'acceptabilité)</w:t>
      </w:r>
    </w:p>
    <w:p w14:paraId="7F93539C" w14:textId="77777777" w:rsidR="00DB2B68" w:rsidRDefault="00000000">
      <w:pPr>
        <w:jc w:val="both"/>
      </w:pPr>
      <w:r>
        <w:t>Dans le cas contraire, le maître de l’ouvrage se réserve le droit de faire procéder aux frais de l’entrepreneur à tous les contrôles nécessaires dans le cadre de la réception technique préalable suivant A4.62.1 Réception technique préalable.</w:t>
      </w:r>
    </w:p>
    <w:p w14:paraId="51FB737E" w14:textId="77777777" w:rsidR="00DB2B68" w:rsidRDefault="00000000">
      <w:pPr>
        <w:jc w:val="both"/>
      </w:pPr>
      <w:r>
        <w:rPr>
          <w:rStyle w:val="headingChar"/>
        </w:rPr>
        <w:t>Teneur En Humidité</w:t>
      </w:r>
    </w:p>
    <w:p w14:paraId="368A914D" w14:textId="77777777" w:rsidR="00DB2B68" w:rsidRDefault="00000000">
      <w:pPr>
        <w:jc w:val="both"/>
      </w:pPr>
      <w:r>
        <w:t>Le contrôle de la teneur en humidité se fait par lot. Sur un lot, un échantillonnage est effectué suivant les principes décrits dans la [NBN CEN/TS 12169], en excluant autant que possible les pièces des couches extérieures (dessus, fond, côtés).</w:t>
      </w:r>
    </w:p>
    <w:p w14:paraId="7CF4F95B" w14:textId="77777777" w:rsidR="00DB2B68" w:rsidRDefault="00000000">
      <w:pPr>
        <w:jc w:val="both"/>
      </w:pPr>
      <w:r>
        <w:t>La mesure de la teneur en humidité se fait conformément à l’article 03.41.1 Mesures d'humidité du présent cahier des charges type.</w:t>
      </w:r>
    </w:p>
    <w:p w14:paraId="5D0F15B6" w14:textId="77777777" w:rsidR="00DB2B68" w:rsidRDefault="00000000">
      <w:pPr>
        <w:ind w:left="750"/>
      </w:pPr>
      <w:r>
        <w:t> </w:t>
      </w:r>
    </w:p>
    <w:p w14:paraId="26C0D87C" w14:textId="77777777" w:rsidR="00DB2B68" w:rsidRDefault="00000000">
      <w:pPr>
        <w:pStyle w:val="pheading"/>
      </w:pPr>
      <w:r>
        <w:t>DOCUMENTS DE RÉFÉRENCE</w:t>
      </w:r>
    </w:p>
    <w:p w14:paraId="4F3DE011" w14:textId="77777777" w:rsidR="00DB2B68" w:rsidRDefault="00000000">
      <w:pPr>
        <w:pStyle w:val="pheading"/>
      </w:pPr>
      <w:r>
        <w:t>- Matériau</w:t>
      </w:r>
    </w:p>
    <w:p w14:paraId="13C9CFE9" w14:textId="77777777" w:rsidR="00DB2B68" w:rsidRDefault="00000000">
      <w:r>
        <w:t>[AR 1994-07-07, Arrêté royal fixant les normes de base en matière de prévention contre l'incendie et l'explosion, auxquelles les bâtiments nouveaux doivent satisfaire]</w:t>
      </w:r>
    </w:p>
    <w:p w14:paraId="4039C80E" w14:textId="77777777" w:rsidR="00DB2B68" w:rsidRDefault="00000000">
      <w:r>
        <w:t>[NBN CEN/TS 12169, Critères de vérification de la conformité d'un lot de bois scié]</w:t>
      </w:r>
    </w:p>
    <w:p w14:paraId="03BC9396" w14:textId="77777777" w:rsidR="00DB2B68" w:rsidRDefault="00000000">
      <w:r>
        <w:t>[NBN B 06-001, Mesurage dans le bâtiment - Méthodes de mesurage de quantités]</w:t>
      </w:r>
    </w:p>
    <w:p w14:paraId="74769471" w14:textId="77777777" w:rsidR="00DB2B68" w:rsidRDefault="00000000">
      <w:r>
        <w:t>[NBN B 16-520, Classement visuel du bois de structure à section rectangulaire]</w:t>
      </w:r>
    </w:p>
    <w:p w14:paraId="0429A0AD" w14:textId="77777777" w:rsidR="00DB2B68" w:rsidRDefault="00000000">
      <w:r>
        <w:t>[NBN EN 204, Classification des colles thermoplastiques pour bois à usages non structuraux]</w:t>
      </w:r>
    </w:p>
    <w:p w14:paraId="4C05B66F" w14:textId="77777777" w:rsidR="00DB2B68" w:rsidRDefault="00000000">
      <w:r>
        <w:t>[NBN EN 300, Panneaux de lamelles minces, longues et orientées (OSB) - Définitions, classification et exigences]</w:t>
      </w:r>
    </w:p>
    <w:p w14:paraId="123492E6" w14:textId="77777777" w:rsidR="00DB2B68" w:rsidRDefault="00000000">
      <w:r>
        <w:t>[NBN EN 301, Adhésifs de nature phénolique et aminoplaste, pour structures portantes en bois - Classification et exigences de performance]</w:t>
      </w:r>
    </w:p>
    <w:p w14:paraId="05F43B7A" w14:textId="77777777" w:rsidR="00DB2B68" w:rsidRDefault="00000000">
      <w:r>
        <w:t>[NBN EN 312, Panneaux de particules - Exigences]</w:t>
      </w:r>
    </w:p>
    <w:p w14:paraId="059A7A76" w14:textId="77777777" w:rsidR="00DB2B68" w:rsidRDefault="00000000">
      <w:r>
        <w:t>[NBN EN 313-1, Contreplaqué - Classification et terminologie - Partie 1: Classification]</w:t>
      </w:r>
    </w:p>
    <w:p w14:paraId="1258AAC1" w14:textId="77777777" w:rsidR="00DB2B68" w:rsidRDefault="00000000">
      <w:r>
        <w:t>[NBN EN 313-2, Contreplaqué - Classification et terminologie - Partie 2 : Terminologie]</w:t>
      </w:r>
    </w:p>
    <w:p w14:paraId="6E9B7631" w14:textId="77777777" w:rsidR="00DB2B68" w:rsidRDefault="00000000">
      <w:r>
        <w:t>[NBN EN 315, Contreplaqué - Tolérances sur dimensions]</w:t>
      </w:r>
    </w:p>
    <w:p w14:paraId="5D122BF6" w14:textId="77777777" w:rsidR="00DB2B68" w:rsidRDefault="00000000">
      <w:r>
        <w:lastRenderedPageBreak/>
        <w:t>[NBN EN 335, Durabilité du bois et des matériaux à base de bois - Classes d'emploi: définitions, application au bois massif et aux matériaux à base de bois]</w:t>
      </w:r>
    </w:p>
    <w:p w14:paraId="1D2D6771" w14:textId="77777777" w:rsidR="00DB2B68" w:rsidRDefault="00000000">
      <w:r>
        <w:t>[NBN EN 336, Bois de structure - Dimensions, écarts admissibles]</w:t>
      </w:r>
    </w:p>
    <w:p w14:paraId="71E6232E" w14:textId="77777777" w:rsidR="00DB2B68" w:rsidRDefault="00000000">
      <w:r>
        <w:t>[NBN EN 338, Bois de structure - Classes de résistance]</w:t>
      </w:r>
    </w:p>
    <w:p w14:paraId="24E08057" w14:textId="77777777" w:rsidR="00DB2B68" w:rsidRDefault="00000000">
      <w:r>
        <w:t>[NBN EN 350, Durabilité du bois et des matériaux dérivés du bois - Méthodes d'essai et de classification de la durabilité vis-à-vis des agents biologiques du bois et des matériaux dérivés du bois]</w:t>
      </w:r>
    </w:p>
    <w:p w14:paraId="53A86158" w14:textId="77777777" w:rsidR="00DB2B68" w:rsidRDefault="00000000">
      <w:r>
        <w:t>[NBN EN 351 série, Durabilité du bois et des matériaux dérivés du bois - Durabilité naturelle du bois massif]</w:t>
      </w:r>
    </w:p>
    <w:p w14:paraId="7DAB61B4" w14:textId="77777777" w:rsidR="00DB2B68" w:rsidRDefault="00000000">
      <w:r>
        <w:t>[NBN EN 384:2016+A2, Bois de structure - Détermination des valeurs caractéristiques des propriétés mécaniques et de la masse volumique]</w:t>
      </w:r>
    </w:p>
    <w:p w14:paraId="32D03672" w14:textId="77777777" w:rsidR="00DB2B68" w:rsidRDefault="00000000">
      <w:r>
        <w:t>[NBN EN 408+A1, Structures en bois - Bois de structure et bois lamellé-collé - Détermination de certaines propriétés physiques et mécaniques]</w:t>
      </w:r>
    </w:p>
    <w:p w14:paraId="78C57739" w14:textId="77777777" w:rsidR="00DB2B68" w:rsidRDefault="00000000">
      <w:r>
        <w:t>[NBN EN 460, Durabilité du bois et des matériaux dérivés du bois - Durabilité naturelle du bois massif - Guide d'exigences de durabilité du bois pour son utilisation selon les classes de risque]</w:t>
      </w:r>
    </w:p>
    <w:p w14:paraId="4A7BAE4E" w14:textId="77777777" w:rsidR="00DB2B68" w:rsidRDefault="00000000">
      <w:r>
        <w:t>[NBN EN 595, Structures en bois - Méthodes d'essai - Essais des fermes pour la détermination de la résistance et de la rigidité]</w:t>
      </w:r>
    </w:p>
    <w:p w14:paraId="05DAD60F" w14:textId="77777777" w:rsidR="00DB2B68" w:rsidRDefault="00000000">
      <w:r>
        <w:t>[NBN EN 622 série, Panneaux de fibres – Exigences]</w:t>
      </w:r>
    </w:p>
    <w:p w14:paraId="3752AA42" w14:textId="77777777" w:rsidR="00DB2B68" w:rsidRDefault="00000000">
      <w:r>
        <w:t>[NBN EN 635 série, Contreplaqué - Classification selon l'aspect des faces]</w:t>
      </w:r>
    </w:p>
    <w:p w14:paraId="795A7147" w14:textId="77777777" w:rsidR="00DB2B68" w:rsidRDefault="00000000">
      <w:r>
        <w:t>[NBN EN 636+A1, Contreplaqué - Exigences]</w:t>
      </w:r>
    </w:p>
    <w:p w14:paraId="1DB89FB0" w14:textId="77777777" w:rsidR="00DB2B68" w:rsidRDefault="00000000">
      <w:r>
        <w:t>[NBN EN 717-1, Panneaux à base de bois - Détermination du dégagement de formaldéhyde - Partie 1 : Emission de formaldéhyde par la méthode à la chambre]</w:t>
      </w:r>
    </w:p>
    <w:p w14:paraId="4ED2F62F" w14:textId="77777777" w:rsidR="00DB2B68" w:rsidRDefault="00000000">
      <w:r>
        <w:t>[NBN EN 844, Bois rond et bois scié - Terminologie]</w:t>
      </w:r>
    </w:p>
    <w:p w14:paraId="0E3B3B59" w14:textId="77777777" w:rsidR="00DB2B68" w:rsidRDefault="00000000">
      <w:r>
        <w:t>[NBN EN 912, Organes d'assemblage pour le bois - Spécifications des assembleurs pour bois]</w:t>
      </w:r>
    </w:p>
    <w:p w14:paraId="116089BF" w14:textId="77777777" w:rsidR="00DB2B68" w:rsidRDefault="00000000">
      <w:r>
        <w:t>[NBN EN 975-1, Bois sciés - Classement d'aspect des bois feuillus - Partie 1: Chêne et hêtre]</w:t>
      </w:r>
    </w:p>
    <w:p w14:paraId="3F9111A5" w14:textId="77777777" w:rsidR="00DB2B68" w:rsidRDefault="00000000">
      <w:r>
        <w:t>[NBN EN 1611-1, Bois sciés - Classement d'aspect des bois résineux - Partie 1: Epicéas, sapins, pins et Douglas Européens]</w:t>
      </w:r>
    </w:p>
    <w:p w14:paraId="3B5EB5B1" w14:textId="77777777" w:rsidR="00DB2B68" w:rsidRDefault="00000000">
      <w:r>
        <w:t>[NBN EN 1990, Eurocodes structuraux - Eurocodes: Bases de calcul des structures]</w:t>
      </w:r>
    </w:p>
    <w:p w14:paraId="3B6D1D78" w14:textId="77777777" w:rsidR="00DB2B68" w:rsidRDefault="00000000">
      <w:r>
        <w:t>[NBN EN 1991 série, Eurocode 1 : Actions sur les structures]</w:t>
      </w:r>
    </w:p>
    <w:p w14:paraId="64105A16" w14:textId="77777777" w:rsidR="00DB2B68" w:rsidRDefault="00000000">
      <w:r>
        <w:t>[NBN EN 1995 série, Eurocode 5: Conception et calcul des structures en bois]</w:t>
      </w:r>
    </w:p>
    <w:p w14:paraId="625CE17F" w14:textId="77777777" w:rsidR="00DB2B68" w:rsidRDefault="00000000">
      <w:r>
        <w:t>[NBN EN 12436, Colles pour structures portantes en bois - Colles caséine - Classification et exigences de performance]</w:t>
      </w:r>
    </w:p>
    <w:p w14:paraId="2043A75F" w14:textId="77777777" w:rsidR="00DB2B68" w:rsidRDefault="00000000">
      <w:r>
        <w:t>[NBN EN 12765, Classification des colles thermodurcissables pour bois à usages non structuraux]</w:t>
      </w:r>
    </w:p>
    <w:p w14:paraId="5E78A002" w14:textId="77777777" w:rsidR="00DB2B68" w:rsidRDefault="00000000">
      <w:r>
        <w:t>[NBN EN 13183-1, Teneur en humidité d'une pièce de bois scié - Partie 1: Détermination par la méthode par dessiccation]</w:t>
      </w:r>
    </w:p>
    <w:p w14:paraId="549F44EB" w14:textId="77777777" w:rsidR="00DB2B68" w:rsidRDefault="00000000">
      <w:r>
        <w:t>[NBN EN 13501 série, Classement au feu des produits et éléments de construction]</w:t>
      </w:r>
    </w:p>
    <w:p w14:paraId="7D23BD30" w14:textId="77777777" w:rsidR="00DB2B68" w:rsidRDefault="00000000">
      <w:r>
        <w:t>[NBN EN 13556, Bois ronds et bois sciés - Nomenclature des bois utilisés en Europe]</w:t>
      </w:r>
    </w:p>
    <w:p w14:paraId="5F1DE820" w14:textId="77777777" w:rsidR="00DB2B68" w:rsidRDefault="00000000">
      <w:r>
        <w:t>[NBN EN 14080, Structures en bois - Bois lamellé collé et bois massif reconstitué - Exigences]</w:t>
      </w:r>
    </w:p>
    <w:p w14:paraId="195F000D" w14:textId="77777777" w:rsidR="00DB2B68" w:rsidRDefault="00000000">
      <w:r>
        <w:t>[NBN EN 14081 série, Structures en bois - Bois de structure à section rectangulaire classé pour sa résistance]</w:t>
      </w:r>
    </w:p>
    <w:p w14:paraId="6C919FD4" w14:textId="77777777" w:rsidR="00DB2B68" w:rsidRDefault="00000000">
      <w:r>
        <w:t>[NBN EN 14250, Structure en bois - Exigences de produit relatives aux éléments de structures préfabriqués utilisant des connecteurs à plaque métallique emboutie]</w:t>
      </w:r>
    </w:p>
    <w:p w14:paraId="29AD6F32" w14:textId="77777777" w:rsidR="00DB2B68" w:rsidRDefault="00000000">
      <w:r>
        <w:t>[NBN EN 14251, Bois de structure rond - Méthodes d'essai]</w:t>
      </w:r>
    </w:p>
    <w:p w14:paraId="7D8F8948" w14:textId="77777777" w:rsidR="00DB2B68" w:rsidRDefault="00000000">
      <w:r>
        <w:t>[NBN EN 14279+A1, Lamibois (LVL) - Définitions, classification et spécifications]</w:t>
      </w:r>
    </w:p>
    <w:p w14:paraId="0692913C" w14:textId="77777777" w:rsidR="00DB2B68" w:rsidRDefault="00000000">
      <w:r>
        <w:lastRenderedPageBreak/>
        <w:t>[NBN EN 14298, Bois scié - Estimation de la qualité du séchage]</w:t>
      </w:r>
    </w:p>
    <w:p w14:paraId="3FDA6ADC" w14:textId="77777777" w:rsidR="00DB2B68" w:rsidRDefault="00000000">
      <w:r>
        <w:t>[NBN EN 14322, Panneaux à base de bois - Panneaux surfacés mélaminés pour usages intérieurs - Définition, exigences et classification]</w:t>
      </w:r>
    </w:p>
    <w:p w14:paraId="39425F60" w14:textId="77777777" w:rsidR="00DB2B68" w:rsidRDefault="00000000">
      <w:r>
        <w:t>[NBN EN 14358, Structures en bois - Détermination et vérification des valeurs caractéristiques]</w:t>
      </w:r>
    </w:p>
    <w:p w14:paraId="4251BD77" w14:textId="77777777" w:rsidR="00DB2B68" w:rsidRDefault="00000000">
      <w:r>
        <w:t>[NBN EN 14374, Structures en bois - LVL (Lamibois) - Exigences]</w:t>
      </w:r>
    </w:p>
    <w:p w14:paraId="54DE6508" w14:textId="77777777" w:rsidR="00DB2B68" w:rsidRDefault="00000000">
      <w:r>
        <w:t>[NBN EN 14545, Structures en bois - Connecteurs - Exigences]</w:t>
      </w:r>
    </w:p>
    <w:p w14:paraId="72D6C5D6" w14:textId="77777777" w:rsidR="00DB2B68" w:rsidRDefault="00000000">
      <w:r>
        <w:t>[NBN EN 14755, Panneaux de particules extrudés - Exigences]</w:t>
      </w:r>
    </w:p>
    <w:p w14:paraId="34708C18" w14:textId="77777777" w:rsidR="00DB2B68" w:rsidRDefault="00000000">
      <w:r>
        <w:t>[NBN EN 15425, Adhésifs - Adhésifs polyuréthane monocomposants (PUR) pour structures portantes en bois - Classification et exigences de performance]</w:t>
      </w:r>
    </w:p>
    <w:p w14:paraId="5CBB372E" w14:textId="77777777" w:rsidR="00DB2B68" w:rsidRDefault="00000000">
      <w:r>
        <w:t>[NBN EN 15497, Bois massif de structure à entures multiples - Exigences de performances et exigences minimales de fabrication]</w:t>
      </w:r>
    </w:p>
    <w:p w14:paraId="1540BDF9" w14:textId="77777777" w:rsidR="00DB2B68" w:rsidRDefault="00000000">
      <w:r>
        <w:t>[NBN EN 16254:2013+A1, Adhésifs - Isocyanate polymérisé en émulsion (EPI) pour structures portantes en bois - Classification et exigences de performance]</w:t>
      </w:r>
    </w:p>
    <w:p w14:paraId="6FC4C043" w14:textId="77777777" w:rsidR="00DB2B68" w:rsidRDefault="00000000">
      <w:r>
        <w:t>[NBN EN 16351, Structures en bois - Bois lamellé croisé - Exigences]</w:t>
      </w:r>
    </w:p>
    <w:p w14:paraId="6A10BD21" w14:textId="77777777" w:rsidR="00DB2B68" w:rsidRDefault="00000000">
      <w:r>
        <w:t>[NBN EN 13381-7, Méthodes d'essai pour déterminer la contribution à la résistance au feu des éléments de construction - Partie 7 : Protection appliquée aux éléments en bois]</w:t>
      </w:r>
    </w:p>
    <w:p w14:paraId="1F347F52" w14:textId="77777777" w:rsidR="00DB2B68" w:rsidRDefault="00000000">
      <w:r>
        <w:t>[ETAG 011, Poutres et colonnes composites légères à base de bois ]</w:t>
      </w:r>
    </w:p>
    <w:p w14:paraId="3C052895" w14:textId="77777777" w:rsidR="00DB2B68" w:rsidRDefault="00000000">
      <w:r>
        <w:t>[Règlement (UE) 305/2011, Règlement du Parlement européen et du Conseil établissant des conditions harmonisées de commercialisation pour les produits de construction et abrogeant la directive 89/106/CEE du Conseil]</w:t>
      </w:r>
    </w:p>
    <w:p w14:paraId="2CF2B405" w14:textId="77777777" w:rsidR="00DB2B68" w:rsidRDefault="00000000">
      <w:r>
        <w:t>[STS 04 série, Bois et panneaux à base de bois]</w:t>
      </w:r>
    </w:p>
    <w:p w14:paraId="75F10020" w14:textId="77777777" w:rsidR="00DB2B68" w:rsidRDefault="00000000">
      <w:r>
        <w:t>[STS 23, Structures en bois]</w:t>
      </w:r>
    </w:p>
    <w:p w14:paraId="399EC370" w14:textId="77777777" w:rsidR="00DB2B68" w:rsidRDefault="00000000">
      <w:r>
        <w:t>[STS 23-1, Constructions en ossature bois]</w:t>
      </w:r>
    </w:p>
    <w:p w14:paraId="1ABC6440" w14:textId="77777777" w:rsidR="00DB2B68" w:rsidRDefault="00000000">
      <w:r>
        <w:t>[STS 31, Charpenterie]</w:t>
      </w:r>
    </w:p>
    <w:p w14:paraId="485EA671" w14:textId="77777777" w:rsidR="00DB2B68" w:rsidRDefault="00000000">
      <w:r>
        <w:t>[CEN/TS 16368, Panneaux de particules légers - Spécifications]</w:t>
      </w:r>
    </w:p>
    <w:p w14:paraId="722429EB" w14:textId="77777777" w:rsidR="00DB2B68" w:rsidRDefault="00000000">
      <w:r>
        <w:t>[NBN EN 633, Panneaux de particules liées au ciment - Définition et classification]</w:t>
      </w:r>
    </w:p>
    <w:p w14:paraId="706919A6" w14:textId="77777777" w:rsidR="00DB2B68" w:rsidRDefault="00000000">
      <w:pPr>
        <w:pStyle w:val="pheading"/>
      </w:pPr>
      <w:r>
        <w:t>- Exécution</w:t>
      </w:r>
    </w:p>
    <w:p w14:paraId="0B09EA1F" w14:textId="77777777" w:rsidR="00DB2B68" w:rsidRDefault="00000000">
      <w:r>
        <w:t>[NBN B 03-003, Déformation des structures - Valeurs limites de déformation - Bâtiments]</w:t>
      </w:r>
    </w:p>
    <w:p w14:paraId="166761A2" w14:textId="77777777" w:rsidR="00DB2B68" w:rsidRDefault="00000000">
      <w:r>
        <w:t>[NBN EN 336, Bois de structure - Dimensions, écarts admissibles]</w:t>
      </w:r>
    </w:p>
    <w:p w14:paraId="17194A70" w14:textId="77777777" w:rsidR="00DB2B68" w:rsidRDefault="00000000">
      <w:r>
        <w:t>[NBN EN 14080, Structures en bois - Bois lamellé collé et bois massif reconstitué - Exigences]</w:t>
      </w:r>
    </w:p>
    <w:p w14:paraId="40496236" w14:textId="77777777" w:rsidR="00DB2B68" w:rsidRDefault="00000000">
      <w:r>
        <w:t>[NBN EN 1990, Eurocodes structuraux - Eurocodes: Bases de calcul des structures]</w:t>
      </w:r>
    </w:p>
    <w:p w14:paraId="5A497BF2" w14:textId="77777777" w:rsidR="00DB2B68" w:rsidRDefault="00000000">
      <w:r>
        <w:t>[NBN EN 1991 série, Eurocode 1 : Actions sur les structures]</w:t>
      </w:r>
    </w:p>
    <w:p w14:paraId="5024D3F2" w14:textId="77777777" w:rsidR="00DB2B68" w:rsidRDefault="00000000">
      <w:r>
        <w:t>[NBN EN 1995 série, Eurocode 5: Conception et calcul des structures en bois]</w:t>
      </w:r>
    </w:p>
    <w:p w14:paraId="2FE3CD5F" w14:textId="77777777" w:rsidR="00DB2B68" w:rsidRDefault="00000000">
      <w:r>
        <w:t>[NBN EN 14250, Structure en bois - Exigences de produit relatives aux éléments de structures préfabriqués utilisant des connecteurs à plaque métallique emboutie]</w:t>
      </w:r>
    </w:p>
    <w:p w14:paraId="514A82E9" w14:textId="77777777" w:rsidR="00DB2B68" w:rsidRDefault="00000000">
      <w:r>
        <w:t>[STS 23, Structures en bois]</w:t>
      </w:r>
    </w:p>
    <w:p w14:paraId="328D16D6" w14:textId="77777777" w:rsidR="00DB2B68" w:rsidRDefault="00000000">
      <w:r>
        <w:t>[STS 23:ad.1, Structures en bois : addendum et commentaires]</w:t>
      </w:r>
    </w:p>
    <w:p w14:paraId="69B1E2B0" w14:textId="77777777" w:rsidR="00DB2B68" w:rsidRDefault="00000000">
      <w:r>
        <w:t>[STS 31, Charpenterie]</w:t>
      </w:r>
    </w:p>
    <w:p w14:paraId="685256B2" w14:textId="77777777" w:rsidR="00DB2B68" w:rsidRDefault="00000000">
      <w:r>
        <w:t>[Buildwise Article Dossier (2011/4.06), Dimensionnement des charpentes en bois.]</w:t>
      </w:r>
    </w:p>
    <w:p w14:paraId="39D4E5EC" w14:textId="77777777" w:rsidR="00DB2B68" w:rsidRDefault="00000000">
      <w:pPr>
        <w:pStyle w:val="pheading"/>
      </w:pPr>
      <w:r>
        <w:t>AIDE</w:t>
      </w:r>
    </w:p>
    <w:p w14:paraId="378560DB" w14:textId="77777777" w:rsidR="00DB2B68" w:rsidRDefault="00000000">
      <w:pPr>
        <w:jc w:val="both"/>
      </w:pPr>
      <w:r>
        <w:rPr>
          <w:b/>
        </w:rPr>
        <w:t>MESURES DE PROTECTION DE CHANTIER</w:t>
      </w:r>
    </w:p>
    <w:p w14:paraId="12E18E66" w14:textId="77777777" w:rsidR="00DB2B68" w:rsidRDefault="00000000">
      <w:pPr>
        <w:jc w:val="both"/>
      </w:pPr>
      <w:r>
        <w:lastRenderedPageBreak/>
        <w:t>Il est vivement conseillé à l’auteur de projet de prévoir un poste lié aux mesures de protection contre les conditions climatiques des éléments sur chantier qui sont spécifiées au titre 04.4 Mesures de protection.</w:t>
      </w:r>
    </w:p>
    <w:p w14:paraId="7220948D" w14:textId="77777777" w:rsidR="00DB2B68" w:rsidRDefault="00000000">
      <w:pPr>
        <w:jc w:val="both"/>
      </w:pPr>
      <w:r>
        <w:rPr>
          <w:b/>
        </w:rPr>
        <w:t>CHOIX DE LA TENEUR EN HUMIDITE DES ELEMENTS A PRESCRIRE</w:t>
      </w:r>
    </w:p>
    <w:p w14:paraId="66EFD996" w14:textId="77777777" w:rsidR="00DB2B68" w:rsidRDefault="00DB2B68">
      <w:pPr>
        <w:jc w:val="both"/>
      </w:pPr>
    </w:p>
    <w:p w14:paraId="1A7B2CC8" w14:textId="77777777" w:rsidR="00DB2B68" w:rsidRDefault="00000000">
      <w:pPr>
        <w:jc w:val="both"/>
      </w:pPr>
      <w:r>
        <w:t xml:space="preserve">Le tableau ci-dessous permet de déterminer la teneur en humidité cible à prescrire pour certains éléments </w:t>
      </w:r>
      <w:r>
        <w:rPr>
          <w:u w:val="single"/>
        </w:rPr>
        <w:t>dans leurs conditions habituelles d’utilisation.</w:t>
      </w:r>
    </w:p>
    <w:tbl>
      <w:tblPr>
        <w:tblStyle w:val="Author-eTableGrid"/>
        <w:tblW w:w="9030" w:type="dxa"/>
        <w:tblLayout w:type="fixed"/>
        <w:tblLook w:val="04A0" w:firstRow="1" w:lastRow="0" w:firstColumn="1" w:lastColumn="0" w:noHBand="0" w:noVBand="1"/>
      </w:tblPr>
      <w:tblGrid>
        <w:gridCol w:w="3010"/>
        <w:gridCol w:w="3010"/>
        <w:gridCol w:w="3010"/>
      </w:tblGrid>
      <w:tr w:rsidR="00DB2B68" w14:paraId="4A890A12" w14:textId="77777777">
        <w:tc>
          <w:tcPr>
            <w:tcW w:w="3000" w:type="dxa"/>
            <w:shd w:val="clear" w:color="auto" w:fill="C0C0C0"/>
            <w:noWrap/>
          </w:tcPr>
          <w:p w14:paraId="0271AD9B" w14:textId="77777777" w:rsidR="00DB2B68" w:rsidRDefault="00000000">
            <w:pPr>
              <w:jc w:val="center"/>
            </w:pPr>
            <w:r>
              <w:rPr>
                <w:b/>
                <w:shd w:val="clear" w:color="auto" w:fill="C0C0C0"/>
              </w:rPr>
              <w:t>Application</w:t>
            </w:r>
          </w:p>
        </w:tc>
        <w:tc>
          <w:tcPr>
            <w:tcW w:w="3000" w:type="dxa"/>
            <w:shd w:val="clear" w:color="auto" w:fill="C0C0C0"/>
            <w:noWrap/>
          </w:tcPr>
          <w:p w14:paraId="5E1DC895" w14:textId="77777777" w:rsidR="00DB2B68" w:rsidRDefault="00000000">
            <w:pPr>
              <w:jc w:val="center"/>
            </w:pPr>
            <w:r>
              <w:rPr>
                <w:b/>
                <w:shd w:val="clear" w:color="auto" w:fill="C0C0C0"/>
              </w:rPr>
              <w:t>Classe d'emploi habituelle</w:t>
            </w:r>
          </w:p>
        </w:tc>
        <w:tc>
          <w:tcPr>
            <w:tcW w:w="3000" w:type="dxa"/>
            <w:shd w:val="clear" w:color="auto" w:fill="C0C0C0"/>
            <w:noWrap/>
          </w:tcPr>
          <w:p w14:paraId="37A4DB97" w14:textId="77777777" w:rsidR="00DB2B68" w:rsidRDefault="00000000">
            <w:pPr>
              <w:jc w:val="center"/>
            </w:pPr>
            <w:r>
              <w:rPr>
                <w:b/>
                <w:shd w:val="clear" w:color="auto" w:fill="C0C0C0"/>
              </w:rPr>
              <w:t>Teneur en humidité cible</w:t>
            </w:r>
          </w:p>
        </w:tc>
      </w:tr>
      <w:tr w:rsidR="00DB2B68" w14:paraId="7D800BDC" w14:textId="77777777">
        <w:tc>
          <w:tcPr>
            <w:tcW w:w="3000" w:type="dxa"/>
            <w:noWrap/>
          </w:tcPr>
          <w:p w14:paraId="065422B1" w14:textId="77777777" w:rsidR="00DB2B68" w:rsidRDefault="00000000">
            <w:r>
              <w:t>Charpente en bois massif</w:t>
            </w:r>
          </w:p>
        </w:tc>
        <w:tc>
          <w:tcPr>
            <w:tcW w:w="3000" w:type="dxa"/>
            <w:noWrap/>
          </w:tcPr>
          <w:p w14:paraId="64C3A515" w14:textId="77777777" w:rsidR="00DB2B68" w:rsidRDefault="00000000">
            <w:pPr>
              <w:jc w:val="center"/>
            </w:pPr>
            <w:r>
              <w:t>2 ou 3</w:t>
            </w:r>
          </w:p>
        </w:tc>
        <w:tc>
          <w:tcPr>
            <w:tcW w:w="3000" w:type="dxa"/>
            <w:noWrap/>
          </w:tcPr>
          <w:p w14:paraId="40A10D17" w14:textId="77777777" w:rsidR="00DB2B68" w:rsidRDefault="00000000">
            <w:pPr>
              <w:jc w:val="center"/>
            </w:pPr>
            <w:r>
              <w:t>18%</w:t>
            </w:r>
          </w:p>
        </w:tc>
      </w:tr>
      <w:tr w:rsidR="00DB2B68" w14:paraId="4360F440" w14:textId="77777777">
        <w:tc>
          <w:tcPr>
            <w:tcW w:w="3000" w:type="dxa"/>
            <w:noWrap/>
          </w:tcPr>
          <w:p w14:paraId="3453F554" w14:textId="77777777" w:rsidR="00DB2B68" w:rsidRDefault="00000000">
            <w:r>
              <w:t>Lamellé-collé</w:t>
            </w:r>
          </w:p>
        </w:tc>
        <w:tc>
          <w:tcPr>
            <w:tcW w:w="3000" w:type="dxa"/>
            <w:noWrap/>
          </w:tcPr>
          <w:p w14:paraId="13F75B7B" w14:textId="77777777" w:rsidR="00DB2B68" w:rsidRDefault="00000000">
            <w:pPr>
              <w:jc w:val="center"/>
            </w:pPr>
            <w:r>
              <w:t>1 ou 2</w:t>
            </w:r>
          </w:p>
        </w:tc>
        <w:tc>
          <w:tcPr>
            <w:tcW w:w="3000" w:type="dxa"/>
            <w:noWrap/>
          </w:tcPr>
          <w:p w14:paraId="137D277F" w14:textId="77777777" w:rsidR="00DB2B68" w:rsidRDefault="00000000">
            <w:pPr>
              <w:jc w:val="center"/>
            </w:pPr>
            <w:r>
              <w:t>12%</w:t>
            </w:r>
          </w:p>
        </w:tc>
      </w:tr>
      <w:tr w:rsidR="00DB2B68" w14:paraId="2FB5BCE7" w14:textId="77777777">
        <w:tc>
          <w:tcPr>
            <w:tcW w:w="3000" w:type="dxa"/>
            <w:noWrap/>
          </w:tcPr>
          <w:p w14:paraId="79870F2B" w14:textId="77777777" w:rsidR="00DB2B68" w:rsidRDefault="00000000">
            <w:r>
              <w:t>CLT</w:t>
            </w:r>
          </w:p>
        </w:tc>
        <w:tc>
          <w:tcPr>
            <w:tcW w:w="3000" w:type="dxa"/>
            <w:noWrap/>
          </w:tcPr>
          <w:p w14:paraId="4D5DCF3E" w14:textId="77777777" w:rsidR="00DB2B68" w:rsidRDefault="00000000">
            <w:pPr>
              <w:jc w:val="center"/>
            </w:pPr>
            <w:r>
              <w:t>1 ou 2</w:t>
            </w:r>
          </w:p>
        </w:tc>
        <w:tc>
          <w:tcPr>
            <w:tcW w:w="3000" w:type="dxa"/>
            <w:noWrap/>
          </w:tcPr>
          <w:p w14:paraId="22E469A6" w14:textId="77777777" w:rsidR="00DB2B68" w:rsidRDefault="00000000">
            <w:pPr>
              <w:jc w:val="center"/>
            </w:pPr>
            <w:r>
              <w:t>12%</w:t>
            </w:r>
          </w:p>
        </w:tc>
      </w:tr>
      <w:tr w:rsidR="00DB2B68" w14:paraId="5A96E759" w14:textId="77777777">
        <w:tc>
          <w:tcPr>
            <w:tcW w:w="3000" w:type="dxa"/>
            <w:noWrap/>
          </w:tcPr>
          <w:p w14:paraId="6A1CBB37" w14:textId="77777777" w:rsidR="00DB2B68" w:rsidRDefault="00000000">
            <w:r>
              <w:t>LVL</w:t>
            </w:r>
          </w:p>
        </w:tc>
        <w:tc>
          <w:tcPr>
            <w:tcW w:w="3000" w:type="dxa"/>
            <w:noWrap/>
          </w:tcPr>
          <w:p w14:paraId="6B4709E4" w14:textId="77777777" w:rsidR="00DB2B68" w:rsidRDefault="00000000">
            <w:pPr>
              <w:jc w:val="center"/>
            </w:pPr>
            <w:r>
              <w:t>1 ou 2</w:t>
            </w:r>
          </w:p>
        </w:tc>
        <w:tc>
          <w:tcPr>
            <w:tcW w:w="3000" w:type="dxa"/>
            <w:noWrap/>
          </w:tcPr>
          <w:p w14:paraId="1F5352A9" w14:textId="77777777" w:rsidR="00DB2B68" w:rsidRDefault="00000000">
            <w:pPr>
              <w:jc w:val="center"/>
            </w:pPr>
            <w:r>
              <w:t>12%</w:t>
            </w:r>
          </w:p>
        </w:tc>
      </w:tr>
      <w:tr w:rsidR="00DB2B68" w14:paraId="7B5AF074" w14:textId="77777777">
        <w:tc>
          <w:tcPr>
            <w:tcW w:w="3000" w:type="dxa"/>
            <w:noWrap/>
          </w:tcPr>
          <w:p w14:paraId="6A3625E2" w14:textId="77777777" w:rsidR="00DB2B68" w:rsidRDefault="00000000">
            <w:r>
              <w:t>Elément d'ossature bois</w:t>
            </w:r>
          </w:p>
        </w:tc>
        <w:tc>
          <w:tcPr>
            <w:tcW w:w="3000" w:type="dxa"/>
            <w:noWrap/>
          </w:tcPr>
          <w:p w14:paraId="3A58462A" w14:textId="77777777" w:rsidR="00DB2B68" w:rsidRDefault="00000000">
            <w:pPr>
              <w:jc w:val="center"/>
            </w:pPr>
            <w:r>
              <w:t>1 ou 2</w:t>
            </w:r>
          </w:p>
        </w:tc>
        <w:tc>
          <w:tcPr>
            <w:tcW w:w="3000" w:type="dxa"/>
            <w:noWrap/>
          </w:tcPr>
          <w:p w14:paraId="678884C9" w14:textId="77777777" w:rsidR="00DB2B68" w:rsidRDefault="00000000">
            <w:pPr>
              <w:jc w:val="center"/>
            </w:pPr>
            <w:r>
              <w:t>17%</w:t>
            </w:r>
          </w:p>
        </w:tc>
      </w:tr>
      <w:tr w:rsidR="00DB2B68" w14:paraId="2F1447AD" w14:textId="77777777">
        <w:tc>
          <w:tcPr>
            <w:tcW w:w="3000" w:type="dxa"/>
            <w:noWrap/>
          </w:tcPr>
          <w:p w14:paraId="6AC77F62" w14:textId="77777777" w:rsidR="00DB2B68" w:rsidRDefault="00000000">
            <w:r>
              <w:t>Charpente préfabriquée</w:t>
            </w:r>
          </w:p>
        </w:tc>
        <w:tc>
          <w:tcPr>
            <w:tcW w:w="3000" w:type="dxa"/>
            <w:noWrap/>
          </w:tcPr>
          <w:p w14:paraId="026ECC84" w14:textId="77777777" w:rsidR="00DB2B68" w:rsidRDefault="00000000">
            <w:pPr>
              <w:jc w:val="center"/>
            </w:pPr>
            <w:r>
              <w:t>2 ou 3</w:t>
            </w:r>
          </w:p>
        </w:tc>
        <w:tc>
          <w:tcPr>
            <w:tcW w:w="3000" w:type="dxa"/>
            <w:noWrap/>
          </w:tcPr>
          <w:p w14:paraId="6FA88572" w14:textId="77777777" w:rsidR="00DB2B68" w:rsidRDefault="00000000">
            <w:pPr>
              <w:jc w:val="center"/>
            </w:pPr>
            <w:r>
              <w:t>20%</w:t>
            </w:r>
          </w:p>
        </w:tc>
      </w:tr>
    </w:tbl>
    <w:p w14:paraId="380E7990" w14:textId="77777777" w:rsidR="00DB2B68" w:rsidRDefault="00000000">
      <w:pPr>
        <w:jc w:val="both"/>
      </w:pPr>
      <w:r>
        <w:t> </w:t>
      </w:r>
    </w:p>
    <w:p w14:paraId="1E5A4841" w14:textId="77777777" w:rsidR="00DB2B68" w:rsidRDefault="00000000">
      <w:pPr>
        <w:jc w:val="both"/>
      </w:pPr>
      <w:r>
        <w:t>Si l’élément n’est pas repris dans la liste ou si les conditions d’ambiance de l’élément sont particulières, il convient de réfléchir à la teneur en humidité à prescrire en fonction des paramètres suivants :</w:t>
      </w:r>
    </w:p>
    <w:p w14:paraId="0892AF46" w14:textId="77777777" w:rsidR="00DB2B68" w:rsidRDefault="00000000">
      <w:pPr>
        <w:pStyle w:val="Author-eListParagraph"/>
        <w:numPr>
          <w:ilvl w:val="0"/>
          <w:numId w:val="848"/>
        </w:numPr>
      </w:pPr>
      <w:r>
        <w:t>teneur en humidité d’équilibre moyenne dans l’ambiance,</w:t>
      </w:r>
    </w:p>
    <w:p w14:paraId="7E5AB2BE" w14:textId="77777777" w:rsidR="00DB2B68" w:rsidRDefault="00000000">
      <w:pPr>
        <w:pStyle w:val="Author-eListParagraph"/>
        <w:numPr>
          <w:ilvl w:val="0"/>
          <w:numId w:val="848"/>
        </w:numPr>
      </w:pPr>
      <w:r>
        <w:t>type de bois (essence, bois massifs, bois massifs collés, …),</w:t>
      </w:r>
    </w:p>
    <w:p w14:paraId="78882A91" w14:textId="77777777" w:rsidR="00DB2B68" w:rsidRDefault="00000000">
      <w:pPr>
        <w:pStyle w:val="Author-eListParagraph"/>
        <w:numPr>
          <w:ilvl w:val="0"/>
          <w:numId w:val="848"/>
        </w:numPr>
      </w:pPr>
      <w:r>
        <w:t>variation éventuelle des conditions d’ambiance (en fonction des saisons, de la finition du bois, de l’exposition, etc.),</w:t>
      </w:r>
    </w:p>
    <w:p w14:paraId="1AD5ED25" w14:textId="77777777" w:rsidR="00DB2B68" w:rsidRDefault="00000000">
      <w:pPr>
        <w:pStyle w:val="Author-eListParagraph"/>
        <w:numPr>
          <w:ilvl w:val="0"/>
          <w:numId w:val="848"/>
        </w:numPr>
      </w:pPr>
      <w:r>
        <w:t>éventuellement, période de mise en œuvre de l’élément.</w:t>
      </w:r>
      <w:r>
        <w:br/>
      </w:r>
    </w:p>
    <w:p w14:paraId="1BF770A5" w14:textId="77777777" w:rsidR="00DB2B68" w:rsidRDefault="00000000">
      <w:pPr>
        <w:jc w:val="both"/>
      </w:pPr>
      <w:r>
        <w:t>La teneur en humidité des éléments en bois varie en fonction de la saison et de l’exposition de l’élément aux conditions climatiques. Le tableau ci-dessous donne un ordre de grandeur de ces variations :</w:t>
      </w:r>
    </w:p>
    <w:tbl>
      <w:tblPr>
        <w:tblStyle w:val="Author-eTableGrid"/>
        <w:tblW w:w="9030" w:type="dxa"/>
        <w:tblLayout w:type="fixed"/>
        <w:tblLook w:val="04A0" w:firstRow="1" w:lastRow="0" w:firstColumn="1" w:lastColumn="0" w:noHBand="0" w:noVBand="1"/>
      </w:tblPr>
      <w:tblGrid>
        <w:gridCol w:w="4515"/>
        <w:gridCol w:w="4515"/>
      </w:tblGrid>
      <w:tr w:rsidR="00DB2B68" w14:paraId="59C1EE2D" w14:textId="77777777">
        <w:tc>
          <w:tcPr>
            <w:tcW w:w="4515" w:type="dxa"/>
            <w:shd w:val="clear" w:color="auto" w:fill="C0C0C0"/>
            <w:noWrap/>
          </w:tcPr>
          <w:p w14:paraId="7EA9395D" w14:textId="77777777" w:rsidR="00DB2B68" w:rsidRDefault="00000000">
            <w:pPr>
              <w:jc w:val="center"/>
            </w:pPr>
            <w:r>
              <w:rPr>
                <w:b/>
                <w:shd w:val="clear" w:color="auto" w:fill="C0C0C0"/>
              </w:rPr>
              <w:t>Classe d'emploi</w:t>
            </w:r>
          </w:p>
        </w:tc>
        <w:tc>
          <w:tcPr>
            <w:tcW w:w="4515" w:type="dxa"/>
            <w:shd w:val="clear" w:color="auto" w:fill="C0C0C0"/>
            <w:noWrap/>
          </w:tcPr>
          <w:p w14:paraId="3D0A934E" w14:textId="77777777" w:rsidR="00DB2B68" w:rsidRDefault="00000000">
            <w:pPr>
              <w:jc w:val="center"/>
            </w:pPr>
            <w:r>
              <w:rPr>
                <w:b/>
                <w:shd w:val="clear" w:color="auto" w:fill="C0C0C0"/>
              </w:rPr>
              <w:t>Variation potentielle</w:t>
            </w:r>
          </w:p>
        </w:tc>
      </w:tr>
      <w:tr w:rsidR="00DB2B68" w14:paraId="7B8C9171" w14:textId="77777777">
        <w:tc>
          <w:tcPr>
            <w:tcW w:w="4515" w:type="dxa"/>
            <w:noWrap/>
          </w:tcPr>
          <w:p w14:paraId="7FDB2230" w14:textId="77777777" w:rsidR="00DB2B68" w:rsidRDefault="00000000">
            <w:pPr>
              <w:jc w:val="center"/>
            </w:pPr>
            <w:r>
              <w:t>1</w:t>
            </w:r>
          </w:p>
        </w:tc>
        <w:tc>
          <w:tcPr>
            <w:tcW w:w="4515" w:type="dxa"/>
            <w:noWrap/>
          </w:tcPr>
          <w:p w14:paraId="14BB9695" w14:textId="77777777" w:rsidR="00DB2B68" w:rsidRDefault="00000000">
            <w:pPr>
              <w:jc w:val="center"/>
            </w:pPr>
            <w:r>
              <w:t>6% - 11%</w:t>
            </w:r>
          </w:p>
        </w:tc>
      </w:tr>
      <w:tr w:rsidR="00DB2B68" w14:paraId="74276FA9" w14:textId="77777777">
        <w:tc>
          <w:tcPr>
            <w:tcW w:w="4515" w:type="dxa"/>
            <w:noWrap/>
          </w:tcPr>
          <w:p w14:paraId="5AB4888C" w14:textId="77777777" w:rsidR="00DB2B68" w:rsidRDefault="00000000">
            <w:pPr>
              <w:jc w:val="center"/>
            </w:pPr>
            <w:r>
              <w:t>2</w:t>
            </w:r>
          </w:p>
        </w:tc>
        <w:tc>
          <w:tcPr>
            <w:tcW w:w="4515" w:type="dxa"/>
            <w:noWrap/>
          </w:tcPr>
          <w:p w14:paraId="5AE73D4C" w14:textId="77777777" w:rsidR="00DB2B68" w:rsidRDefault="00000000">
            <w:pPr>
              <w:jc w:val="center"/>
            </w:pPr>
            <w:r>
              <w:t>6% - 20%</w:t>
            </w:r>
          </w:p>
        </w:tc>
      </w:tr>
      <w:tr w:rsidR="00DB2B68" w14:paraId="4D727CA8" w14:textId="77777777">
        <w:tc>
          <w:tcPr>
            <w:tcW w:w="4515" w:type="dxa"/>
            <w:noWrap/>
          </w:tcPr>
          <w:p w14:paraId="27F3AB8B" w14:textId="77777777" w:rsidR="00DB2B68" w:rsidRDefault="00000000">
            <w:pPr>
              <w:jc w:val="center"/>
            </w:pPr>
            <w:r>
              <w:t>3</w:t>
            </w:r>
          </w:p>
        </w:tc>
        <w:tc>
          <w:tcPr>
            <w:tcW w:w="4515" w:type="dxa"/>
            <w:noWrap/>
          </w:tcPr>
          <w:p w14:paraId="4A08C4CB" w14:textId="77777777" w:rsidR="00DB2B68" w:rsidRDefault="00000000">
            <w:pPr>
              <w:jc w:val="center"/>
            </w:pPr>
            <w:r>
              <w:t>11% - 20%</w:t>
            </w:r>
          </w:p>
        </w:tc>
      </w:tr>
    </w:tbl>
    <w:p w14:paraId="3C251BDD" w14:textId="77777777" w:rsidR="00DB2B68" w:rsidRDefault="00DB2B68"/>
    <w:p w14:paraId="76AAB729" w14:textId="77777777" w:rsidR="00DB2B68" w:rsidRDefault="00000000">
      <w:pPr>
        <w:jc w:val="both"/>
      </w:pPr>
      <w:r>
        <w:t>Lorsque dans une section en bois massif les deux dimensions sont supérieures à 80mm, il est difficile de trouver des bois séchés artificiellement. Des mesures au niveau de la conception doivent être prévues afin d’éviter les problèmes de fissuration lors du séchage (entailles de retrait, etc.).</w:t>
      </w:r>
    </w:p>
    <w:p w14:paraId="0E41A3D9" w14:textId="77777777" w:rsidR="00DB2B68" w:rsidRDefault="00000000">
      <w:pPr>
        <w:jc w:val="both"/>
      </w:pPr>
      <w:r>
        <w:t>Le tableau suivant, provenant du volume 13 du traité de génie civil de l’école polytechnique fédérale de Lausanne, traitant de la construction bois permet d’estimer l’amplitude des variations de la teneur en humidité que les éléments subissent durant leur durée de vie.</w:t>
      </w:r>
    </w:p>
    <w:p w14:paraId="07376A5E" w14:textId="77777777" w:rsidR="00DB2B68" w:rsidRDefault="00000000">
      <w:pPr>
        <w:jc w:val="both"/>
      </w:pPr>
      <w:r>
        <w:rPr>
          <w:noProof/>
        </w:rPr>
        <w:lastRenderedPageBreak/>
        <w:drawing>
          <wp:inline distT="0" distB="0" distL="0" distR="0" wp14:anchorId="7311AEB2" wp14:editId="0867E5CB">
            <wp:extent cx="5715000" cy="4552950"/>
            <wp:effectExtent l="0" t="0" r="0" b="0"/>
            <wp:docPr id="747545481" name="tableau 2.18 section 24.jpg" descr="tableau 2.18 section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54" descr=" "/>
                    <pic:cNvPicPr>
                      <a:picLocks noChangeAspect="1" noChangeArrowheads="1"/>
                    </pic:cNvPicPr>
                  </pic:nvPicPr>
                  <pic:blipFill>
                    <a:blip r:embed="rId16"/>
                    <a:srcRect/>
                    <a:stretch>
                      <a:fillRect/>
                    </a:stretch>
                  </pic:blipFill>
                  <pic:spPr bwMode="auto">
                    <a:xfrm>
                      <a:off x="0" y="0"/>
                      <a:ext cx="5715000" cy="4552950"/>
                    </a:xfrm>
                    <a:prstGeom prst="rect">
                      <a:avLst/>
                    </a:prstGeom>
                  </pic:spPr>
                </pic:pic>
              </a:graphicData>
            </a:graphic>
          </wp:inline>
        </w:drawing>
      </w:r>
    </w:p>
    <w:p w14:paraId="73F843E7" w14:textId="77777777" w:rsidR="00DB2B68" w:rsidRDefault="00000000">
      <w:pPr>
        <w:pStyle w:val="Author-eSectionHeading3Numberless"/>
      </w:pPr>
      <w:bookmarkStart w:id="1554" w:name="_Toc220496551"/>
      <w:r>
        <w:t>24.1 Eléments de structures en bois CCTB 01.13</w:t>
      </w:r>
      <w:bookmarkEnd w:id="1554"/>
    </w:p>
    <w:p w14:paraId="1651F81F" w14:textId="77777777" w:rsidR="00DB2B68" w:rsidRDefault="00000000">
      <w:pPr>
        <w:pStyle w:val="pheading"/>
      </w:pPr>
      <w:bookmarkStart w:id="1555" w:name="594"/>
      <w:bookmarkEnd w:id="1555"/>
      <w:r>
        <w:t>DESCRIPTION</w:t>
      </w:r>
    </w:p>
    <w:p w14:paraId="61A872D5" w14:textId="77777777" w:rsidR="00DB2B68" w:rsidRDefault="00000000">
      <w:pPr>
        <w:pStyle w:val="pheading"/>
      </w:pPr>
      <w:r>
        <w:t>- Définition / Comprend</w:t>
      </w:r>
    </w:p>
    <w:p w14:paraId="164A50B7" w14:textId="77777777" w:rsidR="00DB2B68" w:rsidRDefault="00000000">
      <w:pPr>
        <w:jc w:val="both"/>
      </w:pPr>
      <w:r>
        <w:t>Dans cet élément sont repris les éléments individuels en bois ou à base de bois.</w:t>
      </w:r>
    </w:p>
    <w:p w14:paraId="3C072F35" w14:textId="77777777" w:rsidR="00DB2B68" w:rsidRDefault="00000000">
      <w:pPr>
        <w:jc w:val="both"/>
      </w:pPr>
      <w:r>
        <w:t>Les travaux comprennent notamment :</w:t>
      </w:r>
    </w:p>
    <w:p w14:paraId="7AAADCF7" w14:textId="77777777" w:rsidR="00DB2B68" w:rsidRDefault="00000000">
      <w:pPr>
        <w:pStyle w:val="Author-eListParagraph"/>
        <w:numPr>
          <w:ilvl w:val="0"/>
          <w:numId w:val="849"/>
        </w:numPr>
        <w:jc w:val="both"/>
      </w:pPr>
      <w:r>
        <w:t>les plans de fabrication</w:t>
      </w:r>
    </w:p>
    <w:p w14:paraId="07EBF256" w14:textId="77777777" w:rsidR="00DB2B68" w:rsidRDefault="00000000">
      <w:pPr>
        <w:pStyle w:val="Author-eListParagraph"/>
        <w:numPr>
          <w:ilvl w:val="0"/>
          <w:numId w:val="849"/>
        </w:numPr>
        <w:jc w:val="both"/>
      </w:pPr>
      <w:r>
        <w:t>la fabrication des éléments, leur séchage à la teneur en humidité prescrite et leur traitement éventuel ;</w:t>
      </w:r>
    </w:p>
    <w:p w14:paraId="01BC7170" w14:textId="77777777" w:rsidR="00DB2B68" w:rsidRDefault="00000000">
      <w:pPr>
        <w:pStyle w:val="Author-eListParagraph"/>
        <w:numPr>
          <w:ilvl w:val="0"/>
          <w:numId w:val="849"/>
        </w:numPr>
        <w:jc w:val="both"/>
      </w:pPr>
      <w:r>
        <w:t>la finition des surfaces prescrites ;</w:t>
      </w:r>
    </w:p>
    <w:p w14:paraId="35587EE6" w14:textId="77777777" w:rsidR="00DB2B68" w:rsidRDefault="00000000">
      <w:pPr>
        <w:pStyle w:val="Author-eListParagraph"/>
        <w:numPr>
          <w:ilvl w:val="0"/>
          <w:numId w:val="849"/>
        </w:numPr>
        <w:jc w:val="both"/>
      </w:pPr>
      <w:r>
        <w:t>la livraison des éléments jusqu’au chantier ;</w:t>
      </w:r>
    </w:p>
    <w:p w14:paraId="1F0913A7" w14:textId="77777777" w:rsidR="00DB2B68" w:rsidRDefault="00000000">
      <w:pPr>
        <w:pStyle w:val="Author-eListParagraph"/>
        <w:numPr>
          <w:ilvl w:val="0"/>
          <w:numId w:val="849"/>
        </w:numPr>
        <w:jc w:val="both"/>
      </w:pPr>
      <w:r>
        <w:t>le stockage éventuel des éléments sur le chantier de construction et les mesures de protection éventuellement nécessaires afin qu’ils conservent leurs propriétés durant le stockage ;</w:t>
      </w:r>
    </w:p>
    <w:p w14:paraId="3A43ACD5" w14:textId="77777777" w:rsidR="00DB2B68" w:rsidRDefault="00000000">
      <w:pPr>
        <w:pStyle w:val="Author-eListParagraph"/>
        <w:numPr>
          <w:ilvl w:val="0"/>
          <w:numId w:val="849"/>
        </w:numPr>
        <w:jc w:val="both"/>
      </w:pPr>
      <w:r>
        <w:t>l’installation des éléments dans leurs positions définitives et les mesures de protection éventuellement nécessaires afin qu’ils conservent leurs propriétés durant toute la phase chantier ;</w:t>
      </w:r>
    </w:p>
    <w:p w14:paraId="514A45F0" w14:textId="77777777" w:rsidR="00DB2B68" w:rsidRDefault="00000000">
      <w:pPr>
        <w:pStyle w:val="Author-eListParagraph"/>
        <w:numPr>
          <w:ilvl w:val="0"/>
          <w:numId w:val="849"/>
        </w:numPr>
        <w:jc w:val="both"/>
      </w:pPr>
      <w:r>
        <w:t xml:space="preserve">les moyens d’assemblage de l’élément à l’exception des moyens d’assemblage spécifiques qui sont prescrits dans l’élément </w:t>
      </w:r>
      <w:hyperlink w:anchor="585" w:history="1">
        <w:r>
          <w:rPr>
            <w:color w:val="0000EE"/>
          </w:rPr>
          <w:t>24.4 Assemblages</w:t>
        </w:r>
      </w:hyperlink>
      <w:r>
        <w:t>.</w:t>
      </w:r>
    </w:p>
    <w:p w14:paraId="2969EADF" w14:textId="77777777" w:rsidR="00DB2B68" w:rsidRDefault="00000000">
      <w:pPr>
        <w:pStyle w:val="pheading"/>
      </w:pPr>
      <w:r>
        <w:t>MATÉRIAUX</w:t>
      </w:r>
    </w:p>
    <w:p w14:paraId="5F6428F4" w14:textId="77777777" w:rsidR="00DB2B68" w:rsidRDefault="00000000">
      <w:r>
        <w:t>Les abréviations suivantes sont utilisées pour décrire les matériaux :</w:t>
      </w:r>
    </w:p>
    <w:tbl>
      <w:tblPr>
        <w:tblStyle w:val="Author-eTableGrid"/>
        <w:tblW w:w="9030" w:type="dxa"/>
        <w:tblLayout w:type="fixed"/>
        <w:tblLook w:val="04A0" w:firstRow="1" w:lastRow="0" w:firstColumn="1" w:lastColumn="0" w:noHBand="0" w:noVBand="1"/>
      </w:tblPr>
      <w:tblGrid>
        <w:gridCol w:w="4515"/>
        <w:gridCol w:w="4515"/>
      </w:tblGrid>
      <w:tr w:rsidR="00DB2B68" w14:paraId="0439ECF5" w14:textId="77777777">
        <w:tc>
          <w:tcPr>
            <w:tcW w:w="4515" w:type="dxa"/>
            <w:noWrap/>
          </w:tcPr>
          <w:p w14:paraId="2083FE78" w14:textId="77777777" w:rsidR="00DB2B68" w:rsidRDefault="00000000">
            <w:r>
              <w:t>BM</w:t>
            </w:r>
          </w:p>
        </w:tc>
        <w:tc>
          <w:tcPr>
            <w:tcW w:w="4515" w:type="dxa"/>
            <w:noWrap/>
          </w:tcPr>
          <w:p w14:paraId="02C615AB" w14:textId="77777777" w:rsidR="00DB2B68" w:rsidRDefault="00000000">
            <w:r>
              <w:t>Bois massif</w:t>
            </w:r>
          </w:p>
        </w:tc>
      </w:tr>
      <w:tr w:rsidR="00DB2B68" w14:paraId="2B8BB231" w14:textId="77777777">
        <w:tc>
          <w:tcPr>
            <w:tcW w:w="4515" w:type="dxa"/>
            <w:noWrap/>
          </w:tcPr>
          <w:p w14:paraId="3D443073" w14:textId="77777777" w:rsidR="00DB2B68" w:rsidRDefault="00000000">
            <w:r>
              <w:lastRenderedPageBreak/>
              <w:t>BLC</w:t>
            </w:r>
          </w:p>
        </w:tc>
        <w:tc>
          <w:tcPr>
            <w:tcW w:w="4515" w:type="dxa"/>
            <w:noWrap/>
          </w:tcPr>
          <w:p w14:paraId="7C037425" w14:textId="77777777" w:rsidR="00DB2B68" w:rsidRDefault="00000000">
            <w:r>
              <w:t>Bois lamellé-collé</w:t>
            </w:r>
          </w:p>
        </w:tc>
      </w:tr>
      <w:tr w:rsidR="00DB2B68" w14:paraId="3088A29C" w14:textId="77777777">
        <w:tc>
          <w:tcPr>
            <w:tcW w:w="4515" w:type="dxa"/>
            <w:noWrap/>
          </w:tcPr>
          <w:p w14:paraId="293FDA4B" w14:textId="77777777" w:rsidR="00DB2B68" w:rsidRDefault="00000000">
            <w:r>
              <w:t>BLC-B</w:t>
            </w:r>
          </w:p>
        </w:tc>
        <w:tc>
          <w:tcPr>
            <w:tcW w:w="4515" w:type="dxa"/>
            <w:noWrap/>
          </w:tcPr>
          <w:p w14:paraId="11A63695" w14:textId="77777777" w:rsidR="00DB2B68" w:rsidRDefault="00000000">
            <w:r>
              <w:t>Bois lamellé-collé en bloc</w:t>
            </w:r>
          </w:p>
        </w:tc>
      </w:tr>
      <w:tr w:rsidR="00DB2B68" w14:paraId="490E0784" w14:textId="77777777">
        <w:tc>
          <w:tcPr>
            <w:tcW w:w="4515" w:type="dxa"/>
            <w:noWrap/>
          </w:tcPr>
          <w:p w14:paraId="04D30228" w14:textId="77777777" w:rsidR="00DB2B68" w:rsidRDefault="00000000">
            <w:r>
              <w:t>CLT</w:t>
            </w:r>
          </w:p>
        </w:tc>
        <w:tc>
          <w:tcPr>
            <w:tcW w:w="4515" w:type="dxa"/>
            <w:noWrap/>
          </w:tcPr>
          <w:p w14:paraId="2E0676F3" w14:textId="77777777" w:rsidR="00DB2B68" w:rsidRDefault="00000000">
            <w:r>
              <w:t>CLT (bois lamellé-croisé)</w:t>
            </w:r>
          </w:p>
        </w:tc>
      </w:tr>
      <w:tr w:rsidR="00DB2B68" w14:paraId="42021E34" w14:textId="77777777">
        <w:tc>
          <w:tcPr>
            <w:tcW w:w="4515" w:type="dxa"/>
            <w:noWrap/>
          </w:tcPr>
          <w:p w14:paraId="3A43387B" w14:textId="77777777" w:rsidR="00DB2B68" w:rsidRDefault="00000000">
            <w:r>
              <w:t>LVL</w:t>
            </w:r>
          </w:p>
        </w:tc>
        <w:tc>
          <w:tcPr>
            <w:tcW w:w="4515" w:type="dxa"/>
            <w:noWrap/>
          </w:tcPr>
          <w:p w14:paraId="3FDAA53E" w14:textId="77777777" w:rsidR="00DB2B68" w:rsidRDefault="00000000">
            <w:r>
              <w:t>LVL (Lamibois)</w:t>
            </w:r>
          </w:p>
        </w:tc>
      </w:tr>
    </w:tbl>
    <w:p w14:paraId="664D9332" w14:textId="77777777" w:rsidR="00DB2B68" w:rsidRDefault="00000000">
      <w:r>
        <w:br/>
        <w:t xml:space="preserve">Les différents matériaux sont définis au </w:t>
      </w:r>
      <w:hyperlink w:anchor="89" w:history="1">
        <w:r>
          <w:rPr>
            <w:color w:val="0000EE"/>
          </w:rPr>
          <w:t>24 Superstructures en bois</w:t>
        </w:r>
      </w:hyperlink>
      <w:r>
        <w:t>.</w:t>
      </w:r>
    </w:p>
    <w:p w14:paraId="4914CAFE" w14:textId="77777777" w:rsidR="00DB2B68" w:rsidRDefault="00000000">
      <w:pPr>
        <w:pStyle w:val="Author-eSectionHeading4Numberless"/>
      </w:pPr>
      <w:bookmarkStart w:id="1556" w:name="_Toc220496552"/>
      <w:r>
        <w:t>24.11 Eléments d'assise en bois CCTB 01.04</w:t>
      </w:r>
      <w:bookmarkEnd w:id="1556"/>
    </w:p>
    <w:p w14:paraId="3DBC4658" w14:textId="77777777" w:rsidR="00DB2B68" w:rsidRDefault="00000000">
      <w:pPr>
        <w:pStyle w:val="Author-eSectionHeading5Numberless"/>
      </w:pPr>
      <w:bookmarkStart w:id="1557" w:name="621"/>
      <w:bookmarkStart w:id="1558" w:name="_Toc220496553"/>
      <w:bookmarkEnd w:id="1557"/>
      <w:r>
        <w:t>24.11.1 Lisses de pose CCTB 01.07</w:t>
      </w:r>
      <w:bookmarkEnd w:id="1558"/>
    </w:p>
    <w:p w14:paraId="7AE37029" w14:textId="77777777" w:rsidR="00DB2B68" w:rsidRDefault="00000000">
      <w:pPr>
        <w:pStyle w:val="Author-eSectionHeading6Numberless"/>
      </w:pPr>
      <w:bookmarkStart w:id="1559" w:name="_Toc220496554"/>
      <w:r>
        <w:t>24.11.1a Lisses de pose en bois massif CCTB 01.12</w:t>
      </w:r>
      <w:bookmarkEnd w:id="1559"/>
    </w:p>
    <w:p w14:paraId="0252DF11" w14:textId="77777777" w:rsidR="00DB2B68" w:rsidRDefault="00000000">
      <w:pPr>
        <w:pStyle w:val="pheading"/>
      </w:pPr>
      <w:bookmarkStart w:id="1560" w:name="592"/>
      <w:bookmarkEnd w:id="1560"/>
      <w:r>
        <w:t>DESCRIPTION</w:t>
      </w:r>
    </w:p>
    <w:p w14:paraId="4044408E" w14:textId="77777777" w:rsidR="00DB2B68" w:rsidRDefault="00000000">
      <w:pPr>
        <w:pStyle w:val="pheading"/>
      </w:pPr>
      <w:r>
        <w:t>- Définition / Comprend</w:t>
      </w:r>
    </w:p>
    <w:p w14:paraId="156D55F7" w14:textId="77777777" w:rsidR="00DB2B68" w:rsidRDefault="00000000">
      <w:pPr>
        <w:jc w:val="both"/>
      </w:pPr>
      <w:r>
        <w:t>Il s'agit d’éléments linéaires en bois ancrés dans une dalle en béton (dalle de fondation ou dalle d’étage) aux droits des futurs murs à dresser. Les lisses de pose permettent de passer de la précision du béton (de l’ordre du cm) à celle d’une structure en bois (de l’ordre du mm).</w:t>
      </w:r>
    </w:p>
    <w:p w14:paraId="1E87AF10" w14:textId="77777777" w:rsidR="00DB2B68" w:rsidRDefault="00000000">
      <w:pPr>
        <w:pStyle w:val="pheading"/>
      </w:pPr>
      <w:r>
        <w:t>MATÉRIAUX</w:t>
      </w:r>
    </w:p>
    <w:p w14:paraId="5653B37B" w14:textId="77777777" w:rsidR="00DB2B68" w:rsidRDefault="00000000">
      <w:pPr>
        <w:pStyle w:val="pheading"/>
      </w:pPr>
      <w:r>
        <w:t>- Caractéristiques générales</w:t>
      </w:r>
    </w:p>
    <w:p w14:paraId="64195823" w14:textId="77777777" w:rsidR="00DB2B68" w:rsidRDefault="00000000">
      <w:pPr>
        <w:jc w:val="both"/>
      </w:pPr>
      <w:r>
        <w:t xml:space="preserve">Classe de résistance : </w:t>
      </w:r>
      <w:r>
        <w:rPr>
          <w:rStyle w:val="optioncarChar"/>
        </w:rPr>
        <w:t xml:space="preserve">C18 </w:t>
      </w:r>
      <w:r>
        <w:t xml:space="preserve">(par défaut) </w:t>
      </w:r>
      <w:r>
        <w:rPr>
          <w:rStyle w:val="optioncarChar"/>
        </w:rPr>
        <w:t>/ D18 / C24 / D24 / ***</w:t>
      </w:r>
    </w:p>
    <w:p w14:paraId="3B572A7B" w14:textId="77777777" w:rsidR="00DB2B68" w:rsidRDefault="00000000">
      <w:pPr>
        <w:jc w:val="both"/>
      </w:pPr>
      <w:r>
        <w:t xml:space="preserve">Epaisseur : </w:t>
      </w:r>
      <w:r>
        <w:rPr>
          <w:rStyle w:val="optioncarChar"/>
        </w:rPr>
        <w:t xml:space="preserve">Voir plans </w:t>
      </w:r>
      <w:r>
        <w:t>(par défaut)</w:t>
      </w:r>
      <w:r>
        <w:rPr>
          <w:rStyle w:val="optioncarChar"/>
        </w:rPr>
        <w:t xml:space="preserve"> / ***</w:t>
      </w:r>
    </w:p>
    <w:p w14:paraId="1A057C83" w14:textId="77777777" w:rsidR="00DB2B68" w:rsidRDefault="00000000">
      <w:pPr>
        <w:jc w:val="both"/>
      </w:pPr>
      <w:r>
        <w:t xml:space="preserve">Largeur : </w:t>
      </w:r>
      <w:r>
        <w:rPr>
          <w:rStyle w:val="optioncarChar"/>
        </w:rPr>
        <w:t xml:space="preserve">Voir plans </w:t>
      </w:r>
      <w:r>
        <w:t>(par défaut)</w:t>
      </w:r>
      <w:r>
        <w:rPr>
          <w:rStyle w:val="optioncarChar"/>
        </w:rPr>
        <w:t xml:space="preserve"> / ***</w:t>
      </w:r>
    </w:p>
    <w:p w14:paraId="5F868089"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45FDE488" w14:textId="77777777" w:rsidR="00DB2B68" w:rsidRDefault="00000000">
      <w:pPr>
        <w:jc w:val="both"/>
      </w:pPr>
      <w:r>
        <w:t xml:space="preserve">Classe d’emploi : </w:t>
      </w:r>
      <w:r>
        <w:rPr>
          <w:rStyle w:val="optioncarChar"/>
        </w:rPr>
        <w:t xml:space="preserve">3 </w:t>
      </w:r>
      <w:r>
        <w:t xml:space="preserve">(par défaut) </w:t>
      </w:r>
      <w:r>
        <w:rPr>
          <w:rStyle w:val="optioncarChar"/>
        </w:rPr>
        <w:t>/ 4</w:t>
      </w:r>
    </w:p>
    <w:p w14:paraId="38350A4D" w14:textId="77777777" w:rsidR="00DB2B68" w:rsidRDefault="00000000">
      <w:pPr>
        <w:ind w:left="567"/>
        <w:jc w:val="both"/>
      </w:pPr>
      <w:r>
        <w:t>Par défaut, la lisse de pose est considérée en classe d’emploi 3. Si des conditions particulières et défavorables à la durabilité du bois risquent de se produire, la classe d’emploi 4 est considérée.</w:t>
      </w:r>
    </w:p>
    <w:p w14:paraId="65D8FE18" w14:textId="77777777" w:rsidR="00DB2B68" w:rsidRDefault="00000000">
      <w:pPr>
        <w:jc w:val="both"/>
      </w:pPr>
      <w:r>
        <w:t xml:space="preserve">La durabilité des lisses de pose, en fonction de leur classe d’emploi, est assurée de la manière suivante : </w:t>
      </w:r>
      <w:r>
        <w:rPr>
          <w:rStyle w:val="optioncarChar"/>
        </w:rPr>
        <w:t>bois hors aubier / traitement A2.1 / traitement A3</w:t>
      </w:r>
      <w:r>
        <w:t xml:space="preserve"> (par défaut) </w:t>
      </w:r>
      <w:r>
        <w:rPr>
          <w:rStyle w:val="optioncarChar"/>
        </w:rPr>
        <w:t>/ traitement A4 / ***</w:t>
      </w:r>
    </w:p>
    <w:p w14:paraId="5098BB8E" w14:textId="77777777" w:rsidR="00DB2B68" w:rsidRDefault="00000000">
      <w:pPr>
        <w:ind w:left="567"/>
        <w:jc w:val="both"/>
      </w:pPr>
      <w:r>
        <w:rPr>
          <w:b/>
          <w:i/>
        </w:rPr>
        <w:t>(Soit)</w:t>
      </w:r>
    </w:p>
    <w:p w14:paraId="0E601274" w14:textId="77777777" w:rsidR="00DB2B68" w:rsidRDefault="00000000">
      <w:pPr>
        <w:ind w:left="567"/>
        <w:jc w:val="both"/>
      </w:pPr>
      <w:r>
        <w:rPr>
          <w:rStyle w:val="soitChar"/>
          <w:u w:val="single"/>
        </w:rPr>
        <w:t>Bois hors aubier</w:t>
      </w:r>
    </w:p>
    <w:p w14:paraId="16B093C8" w14:textId="77777777" w:rsidR="00DB2B68" w:rsidRDefault="00000000">
      <w:pPr>
        <w:ind w:left="567"/>
        <w:jc w:val="both"/>
      </w:pPr>
      <w:r>
        <w:rPr>
          <w:rStyle w:val="soitChar"/>
        </w:rPr>
        <w:t>La durabilité naturelle de l’essence utilisée est suffisante.</w:t>
      </w:r>
    </w:p>
    <w:p w14:paraId="0F221682" w14:textId="77777777" w:rsidR="00DB2B68" w:rsidRDefault="00000000">
      <w:pPr>
        <w:ind w:left="567"/>
        <w:jc w:val="both"/>
      </w:pPr>
      <w:r>
        <w:rPr>
          <w:b/>
          <w:i/>
        </w:rPr>
        <w:t>(Soit)</w:t>
      </w:r>
    </w:p>
    <w:p w14:paraId="29C62B35" w14:textId="77777777" w:rsidR="00DB2B68" w:rsidRDefault="00000000">
      <w:pPr>
        <w:ind w:left="567"/>
        <w:jc w:val="both"/>
      </w:pPr>
      <w:r>
        <w:rPr>
          <w:rStyle w:val="soitChar"/>
          <w:u w:val="single"/>
        </w:rPr>
        <w:t>Traitement A2.1</w:t>
      </w:r>
    </w:p>
    <w:p w14:paraId="327449A6" w14:textId="77777777" w:rsidR="00DB2B68" w:rsidRDefault="00000000">
      <w:pPr>
        <w:ind w:left="567"/>
        <w:jc w:val="both"/>
      </w:pPr>
      <w:r>
        <w:rPr>
          <w:rStyle w:val="soitChar"/>
        </w:rPr>
        <w:t>Le bois est traité selon un procédé A2.1 décrit dans la [STS 04.3].</w:t>
      </w:r>
    </w:p>
    <w:p w14:paraId="323A4464" w14:textId="77777777" w:rsidR="00DB2B68" w:rsidRDefault="00000000">
      <w:pPr>
        <w:ind w:left="567"/>
        <w:jc w:val="both"/>
      </w:pPr>
      <w:r>
        <w:rPr>
          <w:b/>
          <w:i/>
        </w:rPr>
        <w:t>(Soit par défaut)</w:t>
      </w:r>
    </w:p>
    <w:p w14:paraId="005E7711" w14:textId="77777777" w:rsidR="00DB2B68" w:rsidRDefault="00000000">
      <w:pPr>
        <w:ind w:left="567"/>
        <w:jc w:val="both"/>
      </w:pPr>
      <w:r>
        <w:rPr>
          <w:rStyle w:val="soitChar"/>
          <w:u w:val="single"/>
        </w:rPr>
        <w:t>Traitement A3</w:t>
      </w:r>
    </w:p>
    <w:p w14:paraId="430A6645" w14:textId="77777777" w:rsidR="00DB2B68" w:rsidRDefault="00000000">
      <w:pPr>
        <w:ind w:left="567"/>
        <w:jc w:val="both"/>
      </w:pPr>
      <w:r>
        <w:rPr>
          <w:rStyle w:val="soitChar"/>
        </w:rPr>
        <w:t>Le bois est traité selon un procédé A3 décrit dans la [STS 04.3].</w:t>
      </w:r>
    </w:p>
    <w:p w14:paraId="01024D86" w14:textId="77777777" w:rsidR="00DB2B68" w:rsidRDefault="00000000">
      <w:pPr>
        <w:ind w:left="567"/>
        <w:jc w:val="both"/>
      </w:pPr>
      <w:r>
        <w:rPr>
          <w:b/>
          <w:i/>
        </w:rPr>
        <w:t>(Soit)</w:t>
      </w:r>
    </w:p>
    <w:p w14:paraId="5064B11F" w14:textId="77777777" w:rsidR="00DB2B68" w:rsidRDefault="00000000">
      <w:pPr>
        <w:ind w:left="567"/>
        <w:jc w:val="both"/>
      </w:pPr>
      <w:r>
        <w:rPr>
          <w:rStyle w:val="soitChar"/>
          <w:u w:val="single"/>
        </w:rPr>
        <w:t>Traitement A4</w:t>
      </w:r>
    </w:p>
    <w:p w14:paraId="41EBC8E1" w14:textId="77777777" w:rsidR="00DB2B68" w:rsidRDefault="00000000">
      <w:pPr>
        <w:ind w:left="567"/>
        <w:jc w:val="both"/>
      </w:pPr>
      <w:r>
        <w:rPr>
          <w:rStyle w:val="soitChar"/>
        </w:rPr>
        <w:t>Le bois est traité selon un procédé A4 décrit dans la [STS 04.3].</w:t>
      </w:r>
    </w:p>
    <w:p w14:paraId="0D864425" w14:textId="77777777" w:rsidR="00DB2B68" w:rsidRDefault="00000000">
      <w:pPr>
        <w:ind w:left="567"/>
        <w:jc w:val="both"/>
      </w:pPr>
      <w:r>
        <w:rPr>
          <w:b/>
          <w:i/>
        </w:rPr>
        <w:t>(Soit)</w:t>
      </w:r>
    </w:p>
    <w:p w14:paraId="72F10233" w14:textId="77777777" w:rsidR="00DB2B68" w:rsidRDefault="00000000">
      <w:pPr>
        <w:ind w:left="567"/>
        <w:jc w:val="both"/>
      </w:pPr>
      <w:r>
        <w:rPr>
          <w:rStyle w:val="optioncarChar"/>
        </w:rPr>
        <w:t> ***</w:t>
      </w:r>
    </w:p>
    <w:p w14:paraId="22EE58AA" w14:textId="77777777" w:rsidR="00DB2B68" w:rsidRDefault="00000000">
      <w:pPr>
        <w:jc w:val="both"/>
      </w:pPr>
      <w:r>
        <w:lastRenderedPageBreak/>
        <w:t xml:space="preserve">La résistance au feu des lisses de pose se résume à la capacité portante (R). Celle-ci est obtenue par </w:t>
      </w:r>
      <w:r>
        <w:rPr>
          <w:rStyle w:val="optioncarChar"/>
        </w:rPr>
        <w:t>dimensionnement au feu</w:t>
      </w:r>
      <w:r>
        <w:t xml:space="preserve"> (par défaut) </w:t>
      </w:r>
      <w:r>
        <w:rPr>
          <w:rStyle w:val="optioncarChar"/>
        </w:rPr>
        <w:t>/ protection physique / traitement / ***</w:t>
      </w:r>
    </w:p>
    <w:p w14:paraId="2CCC283B" w14:textId="77777777" w:rsidR="00DB2B68" w:rsidRDefault="00000000">
      <w:pPr>
        <w:ind w:left="567"/>
        <w:jc w:val="both"/>
      </w:pPr>
      <w:r>
        <w:rPr>
          <w:b/>
          <w:i/>
        </w:rPr>
        <w:t>(Soit par défaut)</w:t>
      </w:r>
    </w:p>
    <w:p w14:paraId="2F303B4C" w14:textId="77777777" w:rsidR="00DB2B68" w:rsidRDefault="00000000">
      <w:pPr>
        <w:ind w:left="567"/>
        <w:jc w:val="both"/>
      </w:pPr>
      <w:r>
        <w:rPr>
          <w:rStyle w:val="soitChar"/>
          <w:u w:val="single"/>
        </w:rPr>
        <w:t>Dimensionnement au feu</w:t>
      </w:r>
    </w:p>
    <w:p w14:paraId="685FA09C" w14:textId="77777777" w:rsidR="00DB2B68" w:rsidRDefault="00000000">
      <w:pPr>
        <w:ind w:left="567"/>
        <w:jc w:val="both"/>
      </w:pPr>
      <w:r>
        <w:rPr>
          <w:rStyle w:val="soitChar"/>
        </w:rPr>
        <w:t>Le dimensionnement au feu de la section est réalisé pour atteindre la capacité portante (R). Ce dimensionnement veille également à valider la capacité portante au niveau de l’assemblage.</w:t>
      </w:r>
    </w:p>
    <w:p w14:paraId="37A15DE2" w14:textId="77777777" w:rsidR="00DB2B68" w:rsidRDefault="00000000">
      <w:pPr>
        <w:ind w:left="567"/>
        <w:jc w:val="both"/>
      </w:pPr>
      <w:r>
        <w:rPr>
          <w:b/>
          <w:i/>
        </w:rPr>
        <w:t>(Soit)</w:t>
      </w:r>
    </w:p>
    <w:p w14:paraId="449B7F71" w14:textId="77777777" w:rsidR="00DB2B68" w:rsidRDefault="00000000">
      <w:pPr>
        <w:ind w:left="567"/>
        <w:jc w:val="both"/>
      </w:pPr>
      <w:r>
        <w:rPr>
          <w:rStyle w:val="soitChar"/>
          <w:u w:val="single"/>
        </w:rPr>
        <w:t>Protection physique</w:t>
      </w:r>
    </w:p>
    <w:p w14:paraId="1C74F1D0" w14:textId="77777777" w:rsidR="00DB2B68" w:rsidRDefault="00000000">
      <w:pPr>
        <w:ind w:left="567"/>
        <w:jc w:val="both"/>
      </w:pPr>
      <w:r>
        <w:rPr>
          <w:rStyle w:val="soitChar"/>
        </w:rPr>
        <w:t xml:space="preserve">Les protections sont de type </w:t>
      </w:r>
      <w:r>
        <w:rPr>
          <w:rStyle w:val="optioncarChar"/>
        </w:rPr>
        <w:t>plaques de plâtre </w:t>
      </w:r>
      <w:r>
        <w:t>(par défaut)</w:t>
      </w:r>
      <w:r>
        <w:rPr>
          <w:rStyle w:val="optioncarChar"/>
        </w:rPr>
        <w:t xml:space="preserve"> / ***</w:t>
      </w:r>
      <w:r>
        <w:rPr>
          <w:rStyle w:val="soitChar"/>
        </w:rPr>
        <w:t>. La validation de la solution de protection est conforme aux solutions types développées dans la norme [NBN EN 1995-1-2] ou validées suivant les procédures d’essais décrites dans la [NBN EN 13501-2].</w:t>
      </w:r>
    </w:p>
    <w:p w14:paraId="4D6D7148" w14:textId="77777777" w:rsidR="00DB2B68" w:rsidRDefault="00000000">
      <w:pPr>
        <w:ind w:left="567"/>
        <w:jc w:val="both"/>
      </w:pPr>
      <w:r>
        <w:rPr>
          <w:b/>
          <w:i/>
        </w:rPr>
        <w:t>(Soit)</w:t>
      </w:r>
    </w:p>
    <w:p w14:paraId="7A9FC440" w14:textId="77777777" w:rsidR="00DB2B68" w:rsidRDefault="00000000">
      <w:pPr>
        <w:ind w:left="567"/>
        <w:jc w:val="both"/>
      </w:pPr>
      <w:r>
        <w:rPr>
          <w:rStyle w:val="soitChar"/>
          <w:u w:val="single"/>
        </w:rPr>
        <w:t>Traitement</w:t>
      </w:r>
    </w:p>
    <w:p w14:paraId="5E38B712" w14:textId="77777777" w:rsidR="00DB2B68" w:rsidRDefault="00000000">
      <w:pPr>
        <w:ind w:left="567"/>
        <w:jc w:val="both"/>
      </w:pPr>
      <w:r>
        <w:rPr>
          <w:rStyle w:val="soitChar"/>
        </w:rPr>
        <w:t>Le traitement de protection du bois est validé par les essais décrits dans la [NBN EN 13501-2]. Cette protection par traitement est combinée à un dimensionnement au feu tenant compte de la vitesse de combustion réduite conférée par le traitement.</w:t>
      </w:r>
    </w:p>
    <w:p w14:paraId="40D41610" w14:textId="77777777" w:rsidR="00DB2B68" w:rsidRDefault="00000000">
      <w:pPr>
        <w:ind w:left="567"/>
        <w:jc w:val="both"/>
      </w:pPr>
      <w:r>
        <w:rPr>
          <w:b/>
          <w:i/>
        </w:rPr>
        <w:t>(Soit)</w:t>
      </w:r>
    </w:p>
    <w:p w14:paraId="235F4C90" w14:textId="77777777" w:rsidR="00DB2B68" w:rsidRDefault="00000000">
      <w:pPr>
        <w:ind w:left="567"/>
        <w:jc w:val="both"/>
      </w:pPr>
      <w:r>
        <w:rPr>
          <w:rStyle w:val="optioncarChar"/>
        </w:rPr>
        <w:t> ***</w:t>
      </w:r>
    </w:p>
    <w:p w14:paraId="1A09079B" w14:textId="77777777" w:rsidR="00DB2B68" w:rsidRDefault="00000000">
      <w:pPr>
        <w:pStyle w:val="pheading"/>
      </w:pPr>
      <w:r>
        <w:t>- Finitions</w:t>
      </w:r>
    </w:p>
    <w:p w14:paraId="6775903C" w14:textId="77777777" w:rsidR="00DB2B68" w:rsidRDefault="00000000">
      <w:r>
        <w:t xml:space="preserve">Les lisses basses sont </w:t>
      </w:r>
      <w:r>
        <w:rPr>
          <w:rStyle w:val="optioncarChar"/>
        </w:rPr>
        <w:t>rabotées</w:t>
      </w:r>
      <w:r>
        <w:t xml:space="preserve"> (par défaut) / </w:t>
      </w:r>
      <w:r>
        <w:rPr>
          <w:rStyle w:val="optioncarChar"/>
        </w:rPr>
        <w:t xml:space="preserve">brutes de sciage /  *** </w:t>
      </w:r>
      <w:r>
        <w:t xml:space="preserve">sur </w:t>
      </w:r>
      <w:r>
        <w:rPr>
          <w:rStyle w:val="optioncarChar"/>
        </w:rPr>
        <w:t xml:space="preserve">1 / 2 / 3 / 4 </w:t>
      </w:r>
      <w:r>
        <w:t>faces</w:t>
      </w:r>
    </w:p>
    <w:p w14:paraId="242B4037" w14:textId="77777777" w:rsidR="00DB2B68" w:rsidRDefault="00000000">
      <w:pPr>
        <w:pStyle w:val="pheading"/>
      </w:pPr>
      <w:r>
        <w:t>EXÉCUTION / MISE EN ŒUVRE</w:t>
      </w:r>
    </w:p>
    <w:p w14:paraId="2A4B3F78" w14:textId="77777777" w:rsidR="00DB2B68" w:rsidRDefault="00000000">
      <w:pPr>
        <w:pStyle w:val="pheading"/>
      </w:pPr>
      <w:r>
        <w:t>- Prescriptions générales</w:t>
      </w:r>
    </w:p>
    <w:p w14:paraId="23CEAEFE" w14:textId="77777777" w:rsidR="00DB2B68" w:rsidRDefault="00000000">
      <w:pPr>
        <w:jc w:val="both"/>
      </w:pPr>
      <w:r>
        <w:t>Une attention particulière est apportée à l’installation des lisses de pose, en particulier en ce qui concerne la fixation à la structure sous-jacente et les tolérances, notamment la planéité.</w:t>
      </w:r>
    </w:p>
    <w:p w14:paraId="4B1C1C4A" w14:textId="77777777" w:rsidR="00DB2B68" w:rsidRDefault="00000000">
      <w:pPr>
        <w:jc w:val="both"/>
      </w:pPr>
      <w:r>
        <w:t xml:space="preserve">L’ancrage des lisses de pose à la structure sous-jacente est réalisé par </w:t>
      </w:r>
      <w:r>
        <w:rPr>
          <w:rStyle w:val="optioncarChar"/>
        </w:rPr>
        <w:t>tire-fonds</w:t>
      </w:r>
      <w:r>
        <w:t> (par défaut)</w:t>
      </w:r>
      <w:r>
        <w:rPr>
          <w:rStyle w:val="optioncarChar"/>
        </w:rPr>
        <w:t xml:space="preserve"> / vis à bois / des ancrages chimiques / des ancrages mécaniques / *** .</w:t>
      </w:r>
    </w:p>
    <w:p w14:paraId="107630CE" w14:textId="77777777" w:rsidR="00DB2B68" w:rsidRDefault="00000000">
      <w:pPr>
        <w:ind w:left="567"/>
        <w:jc w:val="both"/>
      </w:pPr>
      <w:r>
        <w:rPr>
          <w:b/>
          <w:i/>
        </w:rPr>
        <w:t>(Soit)</w:t>
      </w:r>
    </w:p>
    <w:p w14:paraId="213B1439" w14:textId="77777777" w:rsidR="00DB2B68" w:rsidRDefault="00000000">
      <w:pPr>
        <w:ind w:left="567"/>
        <w:jc w:val="both"/>
      </w:pPr>
      <w:r>
        <w:rPr>
          <w:rStyle w:val="soitChar"/>
          <w:u w:val="single"/>
        </w:rPr>
        <w:t>Tire-fonds</w:t>
      </w:r>
    </w:p>
    <w:p w14:paraId="728389D3" w14:textId="77777777" w:rsidR="00DB2B68" w:rsidRDefault="00000000">
      <w:pPr>
        <w:ind w:left="567"/>
        <w:jc w:val="both"/>
      </w:pPr>
      <w:r>
        <w:rPr>
          <w:rStyle w:val="soitChar"/>
        </w:rPr>
        <w:t xml:space="preserve">Les tire-fonds sont décrits à l’article </w:t>
      </w:r>
      <w:hyperlink w:anchor="581" w:history="1">
        <w:r>
          <w:rPr>
            <w:rStyle w:val="soitChar"/>
            <w:color w:val="0000EE"/>
          </w:rPr>
          <w:t>24.42.1e Assemblages par tiges - tire-fonds</w:t>
        </w:r>
      </w:hyperlink>
      <w:r>
        <w:rPr>
          <w:rStyle w:val="soitChar"/>
        </w:rPr>
        <w:t>. Ils sont installés tous les </w:t>
      </w:r>
      <w:r>
        <w:rPr>
          <w:rStyle w:val="optioncarChar"/>
        </w:rPr>
        <w:t xml:space="preserve">voir note de calcul </w:t>
      </w:r>
      <w:r>
        <w:t xml:space="preserve">(par défaut) </w:t>
      </w:r>
      <w:r>
        <w:rPr>
          <w:rStyle w:val="optioncarChar"/>
        </w:rPr>
        <w:t>/ *** cm</w:t>
      </w:r>
      <w:r>
        <w:t>   </w:t>
      </w:r>
      <w:r>
        <w:rPr>
          <w:rStyle w:val="soitChar"/>
        </w:rPr>
        <w:t>avec un tirefond à chaque extrémité de chaque lisse de pose.</w:t>
      </w:r>
    </w:p>
    <w:p w14:paraId="3B4B498E" w14:textId="77777777" w:rsidR="00DB2B68" w:rsidRDefault="00000000">
      <w:pPr>
        <w:ind w:left="567"/>
        <w:jc w:val="both"/>
      </w:pPr>
      <w:r>
        <w:rPr>
          <w:b/>
          <w:i/>
        </w:rPr>
        <w:t>(Soit)</w:t>
      </w:r>
    </w:p>
    <w:p w14:paraId="5251A79F" w14:textId="77777777" w:rsidR="00DB2B68" w:rsidRDefault="00000000">
      <w:pPr>
        <w:ind w:left="567"/>
        <w:jc w:val="both"/>
      </w:pPr>
      <w:r>
        <w:rPr>
          <w:rStyle w:val="soitChar"/>
          <w:u w:val="single"/>
        </w:rPr>
        <w:t>Vis à bois</w:t>
      </w:r>
    </w:p>
    <w:p w14:paraId="21987334" w14:textId="77777777" w:rsidR="00DB2B68" w:rsidRDefault="00000000">
      <w:pPr>
        <w:ind w:left="567"/>
        <w:jc w:val="both"/>
      </w:pPr>
      <w:r>
        <w:rPr>
          <w:rStyle w:val="soitChar"/>
        </w:rPr>
        <w:t xml:space="preserve">Les vis à bois sont décrites à l’article </w:t>
      </w:r>
      <w:hyperlink w:anchor="582" w:history="1">
        <w:r>
          <w:rPr>
            <w:rStyle w:val="soitChar"/>
            <w:color w:val="0000EE"/>
          </w:rPr>
          <w:t>24.42.1d Assemblages par tiges - vis</w:t>
        </w:r>
      </w:hyperlink>
      <w:r>
        <w:rPr>
          <w:rStyle w:val="soitChar"/>
        </w:rPr>
        <w:t>. Elles sont installées tous les</w:t>
      </w:r>
      <w:r>
        <w:rPr>
          <w:rStyle w:val="optioncarChar"/>
        </w:rPr>
        <w:t xml:space="preserve"> voir note de calcul </w:t>
      </w:r>
      <w:r>
        <w:t xml:space="preserve">(par défaut) </w:t>
      </w:r>
      <w:r>
        <w:rPr>
          <w:rStyle w:val="optioncarChar"/>
        </w:rPr>
        <w:t>/ *** cm</w:t>
      </w:r>
      <w:r>
        <w:t>   </w:t>
      </w:r>
      <w:r>
        <w:rPr>
          <w:rStyle w:val="soitChar"/>
        </w:rPr>
        <w:t>avec une vis à bois à chaque extrémité de chaque lisse de pose.</w:t>
      </w:r>
    </w:p>
    <w:p w14:paraId="70884FB4" w14:textId="77777777" w:rsidR="00DB2B68" w:rsidRDefault="00000000">
      <w:pPr>
        <w:ind w:left="567"/>
        <w:jc w:val="both"/>
      </w:pPr>
      <w:r>
        <w:rPr>
          <w:b/>
          <w:i/>
        </w:rPr>
        <w:t> (Soit)</w:t>
      </w:r>
    </w:p>
    <w:p w14:paraId="3866A6F9" w14:textId="77777777" w:rsidR="00DB2B68" w:rsidRDefault="00000000">
      <w:pPr>
        <w:ind w:left="567"/>
        <w:jc w:val="both"/>
      </w:pPr>
      <w:r>
        <w:rPr>
          <w:rStyle w:val="soitChar"/>
          <w:u w:val="single"/>
        </w:rPr>
        <w:t>Ancrages chimiques</w:t>
      </w:r>
    </w:p>
    <w:p w14:paraId="55207E97" w14:textId="77777777" w:rsidR="00DB2B68" w:rsidRDefault="00000000">
      <w:pPr>
        <w:ind w:left="567"/>
        <w:jc w:val="both"/>
      </w:pPr>
      <w:r>
        <w:rPr>
          <w:rStyle w:val="soitChar"/>
        </w:rPr>
        <w:t xml:space="preserve">Les ancrages chimiques sont décrits à l’article </w:t>
      </w:r>
      <w:hyperlink w:anchor="583" w:history="1">
        <w:r>
          <w:rPr>
            <w:rStyle w:val="soitChar"/>
            <w:color w:val="0000EE"/>
          </w:rPr>
          <w:t>24.44.2a Ancrages chimiques pour structures en bois</w:t>
        </w:r>
      </w:hyperlink>
      <w:r>
        <w:rPr>
          <w:rStyle w:val="soitChar"/>
        </w:rPr>
        <w:t>. Ils sont installés tous les </w:t>
      </w:r>
      <w:r>
        <w:rPr>
          <w:rStyle w:val="optioncarChar"/>
        </w:rPr>
        <w:t>voir note de calcul </w:t>
      </w:r>
      <w:r>
        <w:t xml:space="preserve">(par défaut) </w:t>
      </w:r>
      <w:r>
        <w:rPr>
          <w:rStyle w:val="optioncarChar"/>
        </w:rPr>
        <w:t>/ *** cm</w:t>
      </w:r>
      <w:r>
        <w:t>  </w:t>
      </w:r>
      <w:r>
        <w:rPr>
          <w:rStyle w:val="soitChar"/>
        </w:rPr>
        <w:t>avec un ancrage chaque extrémité de chaque lisse de pose.</w:t>
      </w:r>
    </w:p>
    <w:p w14:paraId="5AA5426B" w14:textId="77777777" w:rsidR="00DB2B68" w:rsidRDefault="00000000">
      <w:pPr>
        <w:ind w:left="567"/>
        <w:jc w:val="both"/>
      </w:pPr>
      <w:r>
        <w:rPr>
          <w:b/>
          <w:i/>
        </w:rPr>
        <w:t> (Soit)</w:t>
      </w:r>
    </w:p>
    <w:p w14:paraId="10F1DB5D" w14:textId="77777777" w:rsidR="00DB2B68" w:rsidRDefault="00000000">
      <w:pPr>
        <w:ind w:left="567"/>
        <w:jc w:val="both"/>
      </w:pPr>
      <w:r>
        <w:rPr>
          <w:rStyle w:val="soitChar"/>
          <w:u w:val="single"/>
        </w:rPr>
        <w:t>Ancrages mécaniques</w:t>
      </w:r>
    </w:p>
    <w:p w14:paraId="2979461E" w14:textId="77777777" w:rsidR="00DB2B68" w:rsidRDefault="00000000">
      <w:pPr>
        <w:ind w:left="567"/>
        <w:jc w:val="both"/>
      </w:pPr>
      <w:r>
        <w:rPr>
          <w:rStyle w:val="soitChar"/>
        </w:rPr>
        <w:lastRenderedPageBreak/>
        <w:t xml:space="preserve">Les ancrages mécaniques sont décrits à l’article </w:t>
      </w:r>
      <w:hyperlink w:anchor="584" w:history="1">
        <w:r>
          <w:rPr>
            <w:rStyle w:val="soitChar"/>
            <w:color w:val="0000EE"/>
          </w:rPr>
          <w:t>24.44.1a Ancrages mécaniques pour structures en bois</w:t>
        </w:r>
      </w:hyperlink>
      <w:r>
        <w:rPr>
          <w:rStyle w:val="soitChar"/>
        </w:rPr>
        <w:t>. Ils sont installés tous lesles </w:t>
      </w:r>
      <w:r>
        <w:rPr>
          <w:rStyle w:val="optioncarChar"/>
        </w:rPr>
        <w:t>voir note de calcul </w:t>
      </w:r>
      <w:r>
        <w:t>(par défaut)</w:t>
      </w:r>
      <w:r>
        <w:rPr>
          <w:rStyle w:val="optioncarChar"/>
        </w:rPr>
        <w:t xml:space="preserve"> / *** cm</w:t>
      </w:r>
      <w:r>
        <w:t>  </w:t>
      </w:r>
      <w:r>
        <w:rPr>
          <w:rStyle w:val="soitChar"/>
        </w:rPr>
        <w:t>avec un ancrage chaque extrémité de chaque lisse de pose.</w:t>
      </w:r>
    </w:p>
    <w:p w14:paraId="2C83C3BE" w14:textId="77777777" w:rsidR="00DB2B68" w:rsidRDefault="00000000">
      <w:pPr>
        <w:ind w:left="567"/>
        <w:jc w:val="both"/>
      </w:pPr>
      <w:r>
        <w:rPr>
          <w:b/>
          <w:i/>
        </w:rPr>
        <w:t>(Soit)</w:t>
      </w:r>
    </w:p>
    <w:p w14:paraId="55F91781" w14:textId="77777777" w:rsidR="00DB2B68" w:rsidRDefault="00000000">
      <w:pPr>
        <w:ind w:left="567"/>
        <w:jc w:val="both"/>
      </w:pPr>
      <w:r>
        <w:rPr>
          <w:rStyle w:val="optioncarChar"/>
        </w:rPr>
        <w:t> ***</w:t>
      </w:r>
    </w:p>
    <w:p w14:paraId="500794A4" w14:textId="77777777" w:rsidR="00DB2B68" w:rsidRDefault="00000000">
      <w:pPr>
        <w:jc w:val="both"/>
      </w:pPr>
      <w:r>
        <w:t>Un mortier sans retrait est coulé sous toute la surface inférieure de la lisse de pose afin d’assurer une transmission des efforts continue entre le mur et la dalle.</w:t>
      </w:r>
    </w:p>
    <w:p w14:paraId="4DDE3D2E" w14:textId="77777777" w:rsidR="00DB2B68" w:rsidRDefault="00000000">
      <w:pPr>
        <w:jc w:val="both"/>
      </w:pPr>
      <w:r>
        <w:t>Le dispositif de coulage du mortier doit permettre le contrôle de son bon remplissage.</w:t>
      </w:r>
    </w:p>
    <w:p w14:paraId="61DDF33D" w14:textId="77777777" w:rsidR="00DB2B68" w:rsidRDefault="00000000">
      <w:pPr>
        <w:jc w:val="both"/>
      </w:pPr>
      <w:r>
        <w:t>Lorsque l’espace à remplir entre la dalle et la lisse de pose est plus élevé que 3 cm, le bureau d’études en est informé et une solution particulière doit être trouvée.</w:t>
      </w:r>
    </w:p>
    <w:p w14:paraId="1AC949B9" w14:textId="77777777" w:rsidR="00DB2B68" w:rsidRDefault="00000000">
      <w:pPr>
        <w:jc w:val="both"/>
      </w:pPr>
      <w:r>
        <w:t>Une lisse de pose travaille par définition en compression perpendiculaire aux fibres. Lorsque les efforts, ponctuels ou linéaires, sont trop élevés la lisse est interrompue.</w:t>
      </w:r>
    </w:p>
    <w:p w14:paraId="371DFA86" w14:textId="77777777" w:rsidR="00DB2B68" w:rsidRDefault="00000000">
      <w:pPr>
        <w:jc w:val="both"/>
      </w:pPr>
      <w:r>
        <w:t>La lisse de pose éloigne l’élément mur de la dalle. Cet écart créé une excentricité qui doit être prise en compte dans les moyens d’assemblage, pour la transmission des efforts horizontaux en pied de murs.</w:t>
      </w:r>
    </w:p>
    <w:p w14:paraId="1420C8FD" w14:textId="77777777" w:rsidR="00DB2B68" w:rsidRDefault="00000000">
      <w:pPr>
        <w:jc w:val="both"/>
      </w:pPr>
      <w:r>
        <w:t>Les tolérances d’installation des lisses de pose sont les suivantes :</w:t>
      </w:r>
    </w:p>
    <w:p w14:paraId="48CB5160" w14:textId="77777777" w:rsidR="00DB2B68" w:rsidRDefault="00000000">
      <w:pPr>
        <w:jc w:val="both"/>
      </w:pPr>
      <w:r>
        <w:t xml:space="preserve">Une membrane anticapillaire est disposée sous les lisses. Cette membrane est en </w:t>
      </w:r>
      <w:r>
        <w:rPr>
          <w:rStyle w:val="optioncarChar"/>
        </w:rPr>
        <w:t xml:space="preserve">EPDM </w:t>
      </w:r>
      <w:r>
        <w:t xml:space="preserve">(par défaut) </w:t>
      </w:r>
      <w:r>
        <w:rPr>
          <w:rStyle w:val="optioncarChar"/>
        </w:rPr>
        <w:t>/ feutre bitumé / ***</w:t>
      </w:r>
      <w:r>
        <w:t xml:space="preserve">, est d’une largeur de </w:t>
      </w:r>
      <w:r>
        <w:rPr>
          <w:rStyle w:val="optioncarChar"/>
        </w:rPr>
        <w:t>100 mm </w:t>
      </w:r>
      <w:r>
        <w:t>(par défaut)</w:t>
      </w:r>
      <w:r>
        <w:rPr>
          <w:rStyle w:val="optioncarChar"/>
        </w:rPr>
        <w:t xml:space="preserve"> / 250 mm / ***</w:t>
      </w:r>
      <w:r>
        <w:t>.</w:t>
      </w:r>
    </w:p>
    <w:p w14:paraId="3AFDA3F2" w14:textId="77777777" w:rsidR="00DB2B68" w:rsidRDefault="00000000">
      <w:pPr>
        <w:jc w:val="both"/>
      </w:pPr>
      <w:r>
        <w:t>Les lisses de poses sont situées au minimum 200mm plus haut que le terrain naturel.</w:t>
      </w:r>
    </w:p>
    <w:p w14:paraId="2F874D1D" w14:textId="77777777" w:rsidR="00DB2B68" w:rsidRDefault="00000000">
      <w:pPr>
        <w:jc w:val="both"/>
      </w:pPr>
      <w:r>
        <w:t xml:space="preserve">Dispositif permettant d’assurer l’étanchéité à l’air et/ou une coupure acoustique : </w:t>
      </w:r>
      <w:r>
        <w:rPr>
          <w:rStyle w:val="optioncarChar"/>
        </w:rPr>
        <w:t>ruban en mousse PUR </w:t>
      </w:r>
      <w:r>
        <w:t>(par défaut)</w:t>
      </w:r>
      <w:r>
        <w:rPr>
          <w:rStyle w:val="optioncarChar"/>
        </w:rPr>
        <w:t xml:space="preserve"> / ***</w:t>
      </w:r>
    </w:p>
    <w:p w14:paraId="74A60EF9" w14:textId="77777777" w:rsidR="00DB2B68" w:rsidRDefault="00000000">
      <w:pPr>
        <w:pStyle w:val="pheading"/>
      </w:pPr>
      <w:r>
        <w:t>MESURAGE</w:t>
      </w:r>
    </w:p>
    <w:p w14:paraId="21996490" w14:textId="77777777" w:rsidR="00DB2B68" w:rsidRDefault="00000000">
      <w:pPr>
        <w:pStyle w:val="pheading"/>
      </w:pPr>
      <w:r>
        <w:t>- unité de mesure:</w:t>
      </w:r>
    </w:p>
    <w:p w14:paraId="14B3B6C4" w14:textId="77777777" w:rsidR="00DB2B68" w:rsidRDefault="00000000">
      <w:r>
        <w:rPr>
          <w:rStyle w:val="optioncarChar"/>
        </w:rPr>
        <w:t xml:space="preserve">m³ </w:t>
      </w:r>
      <w:r>
        <w:t>(par défaut)</w:t>
      </w:r>
      <w:r>
        <w:rPr>
          <w:rStyle w:val="optioncarChar"/>
        </w:rPr>
        <w:t xml:space="preserve"> / m / pc</w:t>
      </w:r>
    </w:p>
    <w:p w14:paraId="4D77377F" w14:textId="77777777" w:rsidR="00DB2B68" w:rsidRDefault="00000000">
      <w:r>
        <w:rPr>
          <w:b/>
          <w:i/>
        </w:rPr>
        <w:t>(Soit par défaut)</w:t>
      </w:r>
    </w:p>
    <w:p w14:paraId="7198E91D" w14:textId="77777777" w:rsidR="00DB2B68" w:rsidRDefault="00000000">
      <w:r>
        <w:rPr>
          <w:rStyle w:val="soitChar"/>
        </w:rPr>
        <w:t>1.    m³ </w:t>
      </w:r>
    </w:p>
    <w:p w14:paraId="1233DF8B" w14:textId="77777777" w:rsidR="00DB2B68" w:rsidRDefault="00000000">
      <w:r>
        <w:rPr>
          <w:b/>
          <w:i/>
        </w:rPr>
        <w:t>(Soit)</w:t>
      </w:r>
    </w:p>
    <w:p w14:paraId="6B13A173" w14:textId="77777777" w:rsidR="00DB2B68" w:rsidRDefault="00000000">
      <w:r>
        <w:rPr>
          <w:rStyle w:val="soitChar"/>
        </w:rPr>
        <w:t>2.    m </w:t>
      </w:r>
    </w:p>
    <w:p w14:paraId="6B259D54" w14:textId="77777777" w:rsidR="00DB2B68" w:rsidRDefault="00000000">
      <w:r>
        <w:rPr>
          <w:b/>
          <w:i/>
        </w:rPr>
        <w:t>(Soit)</w:t>
      </w:r>
    </w:p>
    <w:p w14:paraId="1D1196BB" w14:textId="77777777" w:rsidR="00DB2B68" w:rsidRDefault="00000000">
      <w:r>
        <w:rPr>
          <w:rStyle w:val="soitChar"/>
        </w:rPr>
        <w:t>3.    pc</w:t>
      </w:r>
    </w:p>
    <w:p w14:paraId="46D0371C" w14:textId="77777777" w:rsidR="00DB2B68" w:rsidRDefault="00000000">
      <w:pPr>
        <w:pStyle w:val="pheading"/>
      </w:pPr>
      <w:r>
        <w:t>- code de mesurage:</w:t>
      </w:r>
    </w:p>
    <w:p w14:paraId="3CDF0956" w14:textId="77777777" w:rsidR="00DB2B68" w:rsidRDefault="00000000">
      <w:pPr>
        <w:jc w:val="both"/>
      </w:pPr>
      <w:r>
        <w:rPr>
          <w:rStyle w:val="optioncarChar"/>
        </w:rPr>
        <w:t xml:space="preserve"> Volume brut </w:t>
      </w:r>
      <w:r>
        <w:t xml:space="preserve">(par défaut) </w:t>
      </w:r>
      <w:r>
        <w:rPr>
          <w:rStyle w:val="optioncarChar"/>
        </w:rPr>
        <w:t>/ longueur brute / quantité nette</w:t>
      </w:r>
    </w:p>
    <w:p w14:paraId="5375EBC0" w14:textId="77777777" w:rsidR="00DB2B68" w:rsidRDefault="00000000">
      <w:pPr>
        <w:jc w:val="both"/>
      </w:pPr>
      <w:r>
        <w:rPr>
          <w:b/>
          <w:i/>
        </w:rPr>
        <w:t>(Soit par défaut)</w:t>
      </w:r>
    </w:p>
    <w:p w14:paraId="6DE217D6" w14:textId="77777777" w:rsidR="00DB2B68" w:rsidRDefault="00000000">
      <w:pPr>
        <w:jc w:val="both"/>
      </w:pPr>
      <w:r>
        <w:rPr>
          <w:rStyle w:val="soitChar"/>
        </w:rPr>
        <w:t>1.   </w:t>
      </w:r>
      <w:r>
        <w:rPr>
          <w:rStyle w:val="soitChar"/>
          <w:u w:val="single"/>
        </w:rPr>
        <w:t xml:space="preserve"> Volume brut :</w:t>
      </w:r>
    </w:p>
    <w:p w14:paraId="15B96CF3" w14:textId="77777777" w:rsidR="00DB2B68" w:rsidRDefault="00000000">
      <w:pPr>
        <w:jc w:val="both"/>
      </w:pPr>
      <w:r>
        <w:rPr>
          <w:rStyle w:val="soitChar"/>
        </w:rPr>
        <w:t>Le volume brut d’une lisse est calculé suivant le volume du plus petit parallélépipède rectangle pouvant inclure l’élément.</w:t>
      </w:r>
    </w:p>
    <w:p w14:paraId="059551AA" w14:textId="77777777" w:rsidR="00DB2B68" w:rsidRDefault="00000000">
      <w:pPr>
        <w:jc w:val="both"/>
      </w:pPr>
      <w:r>
        <w:rPr>
          <w:b/>
          <w:i/>
        </w:rPr>
        <w:t> (Soit)</w:t>
      </w:r>
    </w:p>
    <w:p w14:paraId="4C6AA0C0" w14:textId="77777777" w:rsidR="00DB2B68" w:rsidRDefault="00000000">
      <w:pPr>
        <w:jc w:val="both"/>
      </w:pPr>
      <w:r>
        <w:rPr>
          <w:rStyle w:val="soitChar"/>
        </w:rPr>
        <w:t>2.   </w:t>
      </w:r>
      <w:r>
        <w:rPr>
          <w:rStyle w:val="soitChar"/>
          <w:u w:val="single"/>
        </w:rPr>
        <w:t xml:space="preserve"> Longueur brute :</w:t>
      </w:r>
    </w:p>
    <w:p w14:paraId="31A5D638" w14:textId="77777777" w:rsidR="00DB2B68" w:rsidRDefault="00000000">
      <w:pPr>
        <w:jc w:val="both"/>
      </w:pPr>
      <w:r>
        <w:rPr>
          <w:rStyle w:val="soitChar"/>
        </w:rPr>
        <w:t>La longueur brute d’un élément est la cote maximale dans la direction longitudinale, longueur de bois utile pour l’assemblage comprise.</w:t>
      </w:r>
    </w:p>
    <w:p w14:paraId="4217EE79" w14:textId="77777777" w:rsidR="00DB2B68" w:rsidRDefault="00000000">
      <w:pPr>
        <w:jc w:val="both"/>
      </w:pPr>
      <w:r>
        <w:rPr>
          <w:rStyle w:val="soitChar"/>
        </w:rPr>
        <w:t>La longueur totale des lisses ayant la même section et les mêmes caractéristiques est comptabilisée.</w:t>
      </w:r>
    </w:p>
    <w:p w14:paraId="2B24606A" w14:textId="77777777" w:rsidR="00DB2B68" w:rsidRDefault="00000000">
      <w:pPr>
        <w:jc w:val="both"/>
      </w:pPr>
      <w:r>
        <w:rPr>
          <w:b/>
          <w:i/>
        </w:rPr>
        <w:t> (Soit)</w:t>
      </w:r>
    </w:p>
    <w:p w14:paraId="2D938EC9" w14:textId="77777777" w:rsidR="00DB2B68" w:rsidRDefault="00000000">
      <w:pPr>
        <w:jc w:val="both"/>
      </w:pPr>
      <w:r>
        <w:rPr>
          <w:rStyle w:val="soitChar"/>
        </w:rPr>
        <w:t>3.    </w:t>
      </w:r>
      <w:r>
        <w:rPr>
          <w:rStyle w:val="soitChar"/>
          <w:u w:val="single"/>
        </w:rPr>
        <w:t>Quantité nette :</w:t>
      </w:r>
    </w:p>
    <w:p w14:paraId="10D98B6A" w14:textId="77777777" w:rsidR="00DB2B68" w:rsidRDefault="00000000">
      <w:pPr>
        <w:jc w:val="both"/>
      </w:pPr>
      <w:r>
        <w:rPr>
          <w:rStyle w:val="soitChar"/>
        </w:rPr>
        <w:lastRenderedPageBreak/>
        <w:t>Le nombre de lisses ayant les mêmes dimensions et les mêmes caractéristiques est compatibilisé.</w:t>
      </w:r>
    </w:p>
    <w:p w14:paraId="04C6258C" w14:textId="77777777" w:rsidR="00DB2B68" w:rsidRDefault="00000000">
      <w:pPr>
        <w:pStyle w:val="pheading"/>
      </w:pPr>
      <w:r>
        <w:t>- nature du marché:</w:t>
      </w:r>
    </w:p>
    <w:p w14:paraId="409B1CA3" w14:textId="77777777" w:rsidR="00DB2B68" w:rsidRDefault="00000000">
      <w:r>
        <w:rPr>
          <w:rStyle w:val="optioncarChar"/>
        </w:rPr>
        <w:t xml:space="preserve">QF </w:t>
      </w:r>
      <w:r>
        <w:t xml:space="preserve">(par défaut) </w:t>
      </w:r>
      <w:r>
        <w:rPr>
          <w:rStyle w:val="optioncarChar"/>
        </w:rPr>
        <w:t>/ QP</w:t>
      </w:r>
    </w:p>
    <w:p w14:paraId="19A67C93" w14:textId="77777777" w:rsidR="00DB2B68" w:rsidRDefault="00000000">
      <w:r>
        <w:rPr>
          <w:b/>
          <w:i/>
        </w:rPr>
        <w:t>(Soit par défaut)</w:t>
      </w:r>
    </w:p>
    <w:p w14:paraId="2305C156" w14:textId="77777777" w:rsidR="00DB2B68" w:rsidRDefault="00000000">
      <w:r>
        <w:rPr>
          <w:rStyle w:val="soitChar"/>
        </w:rPr>
        <w:t>1.2.3      QF</w:t>
      </w:r>
    </w:p>
    <w:p w14:paraId="2ED6C0FB" w14:textId="77777777" w:rsidR="00DB2B68" w:rsidRDefault="00000000">
      <w:r>
        <w:rPr>
          <w:b/>
          <w:i/>
        </w:rPr>
        <w:t>(Soit)</w:t>
      </w:r>
    </w:p>
    <w:p w14:paraId="7FB6349F" w14:textId="77777777" w:rsidR="00DB2B68" w:rsidRDefault="00000000">
      <w:r>
        <w:rPr>
          <w:rStyle w:val="soitChar"/>
        </w:rPr>
        <w:t>1.2.3      QP</w:t>
      </w:r>
    </w:p>
    <w:p w14:paraId="0C0DB6FE" w14:textId="77777777" w:rsidR="00DB2B68" w:rsidRDefault="00000000">
      <w:pPr>
        <w:pStyle w:val="Author-eSectionHeading5Numberless"/>
      </w:pPr>
      <w:bookmarkStart w:id="1561" w:name="_Toc220496555"/>
      <w:r>
        <w:t>24.11.2 Sablières CCTB 01.07</w:t>
      </w:r>
      <w:bookmarkEnd w:id="1561"/>
    </w:p>
    <w:p w14:paraId="0531F23D" w14:textId="77777777" w:rsidR="00DB2B68" w:rsidRDefault="00000000">
      <w:pPr>
        <w:pStyle w:val="Author-eSectionHeading6Numberless"/>
      </w:pPr>
      <w:bookmarkStart w:id="1562" w:name="_Toc220496556"/>
      <w:r>
        <w:t>24.11.2a Sablières CCTB 01.12</w:t>
      </w:r>
      <w:bookmarkEnd w:id="1562"/>
    </w:p>
    <w:p w14:paraId="6826B7F8" w14:textId="77777777" w:rsidR="00DB2B68" w:rsidRDefault="00000000">
      <w:pPr>
        <w:pStyle w:val="pheading"/>
      </w:pPr>
      <w:bookmarkStart w:id="1563" w:name="605"/>
      <w:bookmarkEnd w:id="1563"/>
      <w:r>
        <w:t>DESCRIPTION</w:t>
      </w:r>
    </w:p>
    <w:p w14:paraId="306C8C92" w14:textId="77777777" w:rsidR="00DB2B68" w:rsidRDefault="00000000">
      <w:pPr>
        <w:pStyle w:val="pheading"/>
      </w:pPr>
      <w:r>
        <w:t>- Définition / Comprend</w:t>
      </w:r>
    </w:p>
    <w:p w14:paraId="4F5990F5" w14:textId="77777777" w:rsidR="00DB2B68" w:rsidRDefault="00000000">
      <w:pPr>
        <w:jc w:val="both"/>
      </w:pPr>
      <w:r>
        <w:t>Il s'agit d’une poutre placée horizontalement à la base des versants de la toiture, sur le mur de façade.</w:t>
      </w:r>
    </w:p>
    <w:p w14:paraId="3A1AF1A1" w14:textId="77777777" w:rsidR="00DB2B68" w:rsidRDefault="00000000">
      <w:pPr>
        <w:jc w:val="both"/>
      </w:pPr>
      <w:r>
        <w:t>Les travaux comprennent notamment :</w:t>
      </w:r>
    </w:p>
    <w:p w14:paraId="36B4732C" w14:textId="77777777" w:rsidR="00DB2B68" w:rsidRDefault="00000000">
      <w:pPr>
        <w:pStyle w:val="Author-eListParagraph"/>
        <w:numPr>
          <w:ilvl w:val="0"/>
          <w:numId w:val="850"/>
        </w:numPr>
        <w:jc w:val="both"/>
      </w:pPr>
      <w:r>
        <w:t>la fabrication des éléments, leur séchage à la teneur en humidité prescrite et leur traitement éventuel ;</w:t>
      </w:r>
    </w:p>
    <w:p w14:paraId="43B335FA" w14:textId="77777777" w:rsidR="00DB2B68" w:rsidRDefault="00000000">
      <w:pPr>
        <w:pStyle w:val="Author-eListParagraph"/>
        <w:numPr>
          <w:ilvl w:val="0"/>
          <w:numId w:val="850"/>
        </w:numPr>
        <w:jc w:val="both"/>
      </w:pPr>
      <w:r>
        <w:t>la finition des surfaces prescrites ;</w:t>
      </w:r>
    </w:p>
    <w:p w14:paraId="4D2A8D3D" w14:textId="77777777" w:rsidR="00DB2B68" w:rsidRDefault="00000000">
      <w:pPr>
        <w:pStyle w:val="Author-eListParagraph"/>
        <w:numPr>
          <w:ilvl w:val="0"/>
          <w:numId w:val="850"/>
        </w:numPr>
        <w:jc w:val="both"/>
      </w:pPr>
      <w:r>
        <w:t>la livraison des éléments jusqu’au chantier ;</w:t>
      </w:r>
    </w:p>
    <w:p w14:paraId="747939B2" w14:textId="77777777" w:rsidR="00DB2B68" w:rsidRDefault="00000000">
      <w:pPr>
        <w:pStyle w:val="Author-eListParagraph"/>
        <w:numPr>
          <w:ilvl w:val="0"/>
          <w:numId w:val="850"/>
        </w:numPr>
        <w:jc w:val="both"/>
      </w:pPr>
      <w:r>
        <w:t>le stockage éventuel des éléments sur le chantier de construction et les mesures de protection éventuellement nécessaires afin qu’ils conservent leurs propriétés durant le stockage ;</w:t>
      </w:r>
    </w:p>
    <w:p w14:paraId="69A74804" w14:textId="77777777" w:rsidR="00DB2B68" w:rsidRDefault="00000000">
      <w:pPr>
        <w:pStyle w:val="Author-eListParagraph"/>
        <w:numPr>
          <w:ilvl w:val="0"/>
          <w:numId w:val="850"/>
        </w:numPr>
        <w:jc w:val="both"/>
      </w:pPr>
      <w:r>
        <w:t>l’installation des éléments dans leurs positions définitives et les mesures de protection éventuellement nécessaires afin qu’ils conservent leurs propriétés durant toute la phase chantier ;</w:t>
      </w:r>
    </w:p>
    <w:p w14:paraId="5182A016" w14:textId="77777777" w:rsidR="00DB2B68" w:rsidRDefault="00000000">
      <w:pPr>
        <w:pStyle w:val="Author-eListParagraph"/>
        <w:numPr>
          <w:ilvl w:val="0"/>
          <w:numId w:val="850"/>
        </w:numPr>
        <w:jc w:val="both"/>
      </w:pPr>
      <w:r>
        <w:t xml:space="preserve">les moyens d’assemblage de l’élément à l’exception des moyens d’assemblage spécifiques qui sont prescrits dans l’élément </w:t>
      </w:r>
      <w:hyperlink w:anchor="585" w:history="1">
        <w:r>
          <w:rPr>
            <w:color w:val="0000EE"/>
          </w:rPr>
          <w:t>24.4 Assemblages</w:t>
        </w:r>
      </w:hyperlink>
      <w:r>
        <w:t>.</w:t>
      </w:r>
    </w:p>
    <w:p w14:paraId="1B4455A5" w14:textId="77777777" w:rsidR="00DB2B68" w:rsidRDefault="00000000">
      <w:pPr>
        <w:pStyle w:val="pheading"/>
      </w:pPr>
      <w:r>
        <w:t>MATÉRIAUX</w:t>
      </w:r>
    </w:p>
    <w:p w14:paraId="279652C4" w14:textId="77777777" w:rsidR="00DB2B68" w:rsidRDefault="00000000">
      <w:pPr>
        <w:pStyle w:val="pheading"/>
      </w:pPr>
      <w:r>
        <w:t>- Caractéristiques générales</w:t>
      </w:r>
    </w:p>
    <w:p w14:paraId="4CF1E90B" w14:textId="77777777" w:rsidR="00DB2B68" w:rsidRDefault="00000000">
      <w:pPr>
        <w:jc w:val="both"/>
      </w:pPr>
      <w:r>
        <w:t xml:space="preserve">Classe de résistance : </w:t>
      </w:r>
      <w:r>
        <w:rPr>
          <w:rStyle w:val="optioncarChar"/>
        </w:rPr>
        <w:t>C18</w:t>
      </w:r>
      <w:r>
        <w:t xml:space="preserve"> (par défaut) </w:t>
      </w:r>
      <w:r>
        <w:rPr>
          <w:rStyle w:val="optioncarChar"/>
        </w:rPr>
        <w:t>/ D18 / C24 / D24 / ***</w:t>
      </w:r>
    </w:p>
    <w:p w14:paraId="77861B8A" w14:textId="77777777" w:rsidR="00DB2B68" w:rsidRDefault="00000000">
      <w:pPr>
        <w:jc w:val="both"/>
      </w:pPr>
      <w:r>
        <w:t xml:space="preserve">Epaisseur : </w:t>
      </w:r>
      <w:r>
        <w:rPr>
          <w:rStyle w:val="optioncarChar"/>
        </w:rPr>
        <w:t>Voir plans</w:t>
      </w:r>
      <w:r>
        <w:t xml:space="preserve"> (par défaut) </w:t>
      </w:r>
      <w:r>
        <w:rPr>
          <w:rStyle w:val="optioncarChar"/>
        </w:rPr>
        <w:t>/ ***</w:t>
      </w:r>
    </w:p>
    <w:p w14:paraId="6EDB8773" w14:textId="77777777" w:rsidR="00DB2B68" w:rsidRDefault="00000000">
      <w:pPr>
        <w:jc w:val="both"/>
      </w:pPr>
      <w:r>
        <w:t xml:space="preserve">Largeur : </w:t>
      </w:r>
      <w:r>
        <w:rPr>
          <w:rStyle w:val="optioncarChar"/>
        </w:rPr>
        <w:t xml:space="preserve">Voir plans </w:t>
      </w:r>
      <w:r>
        <w:t xml:space="preserve">(par défaut) </w:t>
      </w:r>
      <w:r>
        <w:rPr>
          <w:rStyle w:val="optioncarChar"/>
        </w:rPr>
        <w:t>/ ***</w:t>
      </w:r>
    </w:p>
    <w:p w14:paraId="76E82C9A" w14:textId="77777777" w:rsidR="00DB2B68" w:rsidRDefault="00000000">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44040A74" w14:textId="77777777" w:rsidR="00DB2B68" w:rsidRDefault="00000000">
      <w:pPr>
        <w:jc w:val="both"/>
      </w:pPr>
      <w:r>
        <w:t>Classe d’emploi :</w:t>
      </w:r>
      <w:r>
        <w:rPr>
          <w:rStyle w:val="optioncarChar"/>
        </w:rPr>
        <w:t xml:space="preserve"> 2 / 3 </w:t>
      </w:r>
      <w:r>
        <w:t>(par défaut)</w:t>
      </w:r>
    </w:p>
    <w:p w14:paraId="6A11DD61" w14:textId="77777777" w:rsidR="00DB2B68" w:rsidRDefault="00000000">
      <w:pPr>
        <w:ind w:left="567"/>
        <w:jc w:val="both"/>
      </w:pPr>
      <w:r>
        <w:t>Par défaut, les sablières sont considérées en classe d’emploi 3 lorsqu’elles sont posées sur du béton ou des maçonneries et 2 si elles sont posées sur du bois.</w:t>
      </w:r>
    </w:p>
    <w:p w14:paraId="4A66B8E4" w14:textId="77777777" w:rsidR="00DB2B68" w:rsidRDefault="00000000">
      <w:pPr>
        <w:jc w:val="both"/>
      </w:pPr>
      <w:r>
        <w:t xml:space="preserve">La durabilité des sablières, en fonction de leur classe d’emploi, est assurée de la manière suivante : </w:t>
      </w:r>
      <w:r>
        <w:rPr>
          <w:rStyle w:val="optioncarChar"/>
        </w:rPr>
        <w:t>bois hors aubier / traitement A2.1 / traitement A3</w:t>
      </w:r>
      <w:r>
        <w:t xml:space="preserve"> (par défaut) </w:t>
      </w:r>
      <w:r>
        <w:rPr>
          <w:rStyle w:val="optioncarChar"/>
        </w:rPr>
        <w:t>/ ***</w:t>
      </w:r>
    </w:p>
    <w:p w14:paraId="61CFD6D2" w14:textId="77777777" w:rsidR="00DB2B68" w:rsidRDefault="00000000">
      <w:pPr>
        <w:ind w:left="567"/>
        <w:jc w:val="both"/>
      </w:pPr>
      <w:r>
        <w:rPr>
          <w:b/>
          <w:i/>
        </w:rPr>
        <w:t>(Soit)</w:t>
      </w:r>
    </w:p>
    <w:p w14:paraId="7D7127E0" w14:textId="77777777" w:rsidR="00DB2B68" w:rsidRDefault="00000000">
      <w:pPr>
        <w:ind w:left="567"/>
        <w:jc w:val="both"/>
      </w:pPr>
      <w:r>
        <w:rPr>
          <w:rStyle w:val="soitChar"/>
          <w:u w:val="single"/>
        </w:rPr>
        <w:t>Bois hors aubier</w:t>
      </w:r>
    </w:p>
    <w:p w14:paraId="7913CAA9" w14:textId="77777777" w:rsidR="00DB2B68" w:rsidRDefault="00000000">
      <w:pPr>
        <w:ind w:left="567"/>
        <w:jc w:val="both"/>
      </w:pPr>
      <w:r>
        <w:rPr>
          <w:rStyle w:val="soitChar"/>
        </w:rPr>
        <w:t>La durabilité naturelle de l’essence utilisée est suffisante pour la classe d’emploi envisagée.</w:t>
      </w:r>
    </w:p>
    <w:p w14:paraId="0752B334" w14:textId="77777777" w:rsidR="00DB2B68" w:rsidRDefault="00000000">
      <w:pPr>
        <w:ind w:left="567"/>
        <w:jc w:val="both"/>
      </w:pPr>
      <w:r>
        <w:rPr>
          <w:b/>
          <w:i/>
        </w:rPr>
        <w:t>(Soit)</w:t>
      </w:r>
    </w:p>
    <w:p w14:paraId="0AB18479" w14:textId="77777777" w:rsidR="00DB2B68" w:rsidRDefault="00000000">
      <w:pPr>
        <w:ind w:left="567"/>
        <w:jc w:val="both"/>
      </w:pPr>
      <w:r>
        <w:rPr>
          <w:rStyle w:val="soitChar"/>
          <w:u w:val="single"/>
        </w:rPr>
        <w:t>Traitement A2.1</w:t>
      </w:r>
    </w:p>
    <w:p w14:paraId="5733BA5F" w14:textId="77777777" w:rsidR="00DB2B68" w:rsidRDefault="00000000">
      <w:pPr>
        <w:ind w:left="567"/>
        <w:jc w:val="both"/>
      </w:pPr>
      <w:r>
        <w:rPr>
          <w:rStyle w:val="soitChar"/>
        </w:rPr>
        <w:lastRenderedPageBreak/>
        <w:t>Le bois est traité selon un procédé A2.1 décrit dans la [STS 04.3].</w:t>
      </w:r>
    </w:p>
    <w:p w14:paraId="7681B2FD" w14:textId="77777777" w:rsidR="00DB2B68" w:rsidRDefault="00000000">
      <w:pPr>
        <w:ind w:left="567"/>
        <w:jc w:val="both"/>
      </w:pPr>
      <w:r>
        <w:rPr>
          <w:b/>
          <w:i/>
        </w:rPr>
        <w:t> (Soit par défaut)</w:t>
      </w:r>
    </w:p>
    <w:p w14:paraId="68BC8400" w14:textId="77777777" w:rsidR="00DB2B68" w:rsidRDefault="00000000">
      <w:pPr>
        <w:ind w:left="567"/>
        <w:jc w:val="both"/>
      </w:pPr>
      <w:r>
        <w:rPr>
          <w:rStyle w:val="soitChar"/>
          <w:u w:val="single"/>
        </w:rPr>
        <w:t>Traitement A3</w:t>
      </w:r>
    </w:p>
    <w:p w14:paraId="2320EA04" w14:textId="77777777" w:rsidR="00DB2B68" w:rsidRDefault="00000000">
      <w:pPr>
        <w:ind w:left="567"/>
        <w:jc w:val="both"/>
      </w:pPr>
      <w:r>
        <w:rPr>
          <w:rStyle w:val="soitChar"/>
        </w:rPr>
        <w:t>Le bois est traité selon un procédé A3 décrit dans la [STS 04.3].</w:t>
      </w:r>
    </w:p>
    <w:p w14:paraId="40BE5227" w14:textId="77777777" w:rsidR="00DB2B68" w:rsidRDefault="00000000">
      <w:pPr>
        <w:ind w:left="567"/>
        <w:jc w:val="both"/>
      </w:pPr>
      <w:r>
        <w:rPr>
          <w:b/>
          <w:i/>
        </w:rPr>
        <w:t>(Soit)</w:t>
      </w:r>
    </w:p>
    <w:p w14:paraId="60626C92" w14:textId="77777777" w:rsidR="00DB2B68" w:rsidRDefault="00000000">
      <w:pPr>
        <w:ind w:left="567"/>
        <w:jc w:val="both"/>
      </w:pPr>
      <w:r>
        <w:rPr>
          <w:rStyle w:val="optioncarChar"/>
        </w:rPr>
        <w:t>***</w:t>
      </w:r>
    </w:p>
    <w:p w14:paraId="3AEC050A" w14:textId="77777777" w:rsidR="00DB2B68" w:rsidRDefault="00000000">
      <w:pPr>
        <w:jc w:val="both"/>
      </w:pPr>
      <w:r>
        <w:t xml:space="preserve">La résistance au feu des sablières se résume à la capacité portante (R). Celle-ci est obtenue par </w:t>
      </w:r>
      <w:r>
        <w:rPr>
          <w:rStyle w:val="optioncarChar"/>
        </w:rPr>
        <w:t>dimensionnement au feu</w:t>
      </w:r>
      <w:r>
        <w:t xml:space="preserve"> (par défaut)</w:t>
      </w:r>
      <w:r>
        <w:rPr>
          <w:rStyle w:val="optioncarChar"/>
        </w:rPr>
        <w:t xml:space="preserve"> / protection physique / traitement / ***</w:t>
      </w:r>
    </w:p>
    <w:p w14:paraId="0B8A2EF9" w14:textId="77777777" w:rsidR="00DB2B68" w:rsidRDefault="00000000">
      <w:pPr>
        <w:ind w:left="567"/>
        <w:jc w:val="both"/>
      </w:pPr>
      <w:r>
        <w:rPr>
          <w:b/>
          <w:i/>
        </w:rPr>
        <w:t>(Soit par défaut)</w:t>
      </w:r>
    </w:p>
    <w:p w14:paraId="4F38ADDE" w14:textId="77777777" w:rsidR="00DB2B68" w:rsidRDefault="00000000">
      <w:pPr>
        <w:ind w:left="567"/>
        <w:jc w:val="both"/>
      </w:pPr>
      <w:r>
        <w:rPr>
          <w:rStyle w:val="soitChar"/>
          <w:u w:val="single"/>
        </w:rPr>
        <w:t>Dimensionnement au feu</w:t>
      </w:r>
    </w:p>
    <w:p w14:paraId="4C730C51" w14:textId="77777777" w:rsidR="00DB2B68" w:rsidRDefault="00000000">
      <w:pPr>
        <w:ind w:left="567"/>
        <w:jc w:val="both"/>
      </w:pPr>
      <w:r>
        <w:rPr>
          <w:rStyle w:val="soitChar"/>
        </w:rPr>
        <w:t>Le dimensionnement au feu de la section est réalisé pour atteindre la capacité portante (R). Ce dimensionnement veille également à valider la capacité portante au niveau de l’assemblage.</w:t>
      </w:r>
    </w:p>
    <w:p w14:paraId="74AC6420" w14:textId="77777777" w:rsidR="00DB2B68" w:rsidRDefault="00000000">
      <w:pPr>
        <w:ind w:left="567"/>
        <w:jc w:val="both"/>
      </w:pPr>
      <w:r>
        <w:rPr>
          <w:b/>
          <w:i/>
        </w:rPr>
        <w:t>(Soit)</w:t>
      </w:r>
    </w:p>
    <w:p w14:paraId="148A24A0" w14:textId="77777777" w:rsidR="00DB2B68" w:rsidRDefault="00000000">
      <w:pPr>
        <w:ind w:left="567"/>
        <w:jc w:val="both"/>
      </w:pPr>
      <w:r>
        <w:rPr>
          <w:rStyle w:val="soitChar"/>
          <w:u w:val="single"/>
        </w:rPr>
        <w:t>Protection physique</w:t>
      </w:r>
    </w:p>
    <w:p w14:paraId="12ABD17D" w14:textId="77777777" w:rsidR="00DB2B68" w:rsidRDefault="00000000">
      <w:pPr>
        <w:ind w:left="567"/>
        <w:jc w:val="both"/>
      </w:pPr>
      <w:r>
        <w:rPr>
          <w:rStyle w:val="soitChar"/>
        </w:rPr>
        <w:t xml:space="preserve">Les protections sont de type </w:t>
      </w:r>
      <w:r>
        <w:rPr>
          <w:rStyle w:val="optioncarChar"/>
        </w:rPr>
        <w:t>plaques de plâtre </w:t>
      </w:r>
      <w:r>
        <w:t>(par défaut)</w:t>
      </w:r>
      <w:r>
        <w:rPr>
          <w:rStyle w:val="optioncarChar"/>
        </w:rPr>
        <w:t xml:space="preserve"> / ***</w:t>
      </w:r>
      <w:r>
        <w:rPr>
          <w:rStyle w:val="soitChar"/>
        </w:rPr>
        <w:t>. La validation de la solution de protection est conforme aux solutions types développées dans la norme [NBN EN 1995-1-2] ou validées suivant les procédures d’essais décrites dans la [NBN EN 13501-2].</w:t>
      </w:r>
    </w:p>
    <w:p w14:paraId="64906733" w14:textId="77777777" w:rsidR="00DB2B68" w:rsidRDefault="00000000">
      <w:pPr>
        <w:ind w:left="567"/>
        <w:jc w:val="both"/>
      </w:pPr>
      <w:r>
        <w:rPr>
          <w:b/>
          <w:i/>
        </w:rPr>
        <w:t>(Soit)</w:t>
      </w:r>
    </w:p>
    <w:p w14:paraId="12D3F19D" w14:textId="77777777" w:rsidR="00DB2B68" w:rsidRDefault="00000000">
      <w:pPr>
        <w:ind w:left="567"/>
        <w:jc w:val="both"/>
      </w:pPr>
      <w:r>
        <w:rPr>
          <w:rStyle w:val="soitChar"/>
          <w:u w:val="single"/>
        </w:rPr>
        <w:t>Traitement</w:t>
      </w:r>
    </w:p>
    <w:p w14:paraId="67E8BE98" w14:textId="77777777" w:rsidR="00DB2B68" w:rsidRDefault="00000000">
      <w:pPr>
        <w:ind w:left="567"/>
        <w:jc w:val="both"/>
      </w:pPr>
      <w:r>
        <w:rPr>
          <w:rStyle w:val="soitChar"/>
        </w:rPr>
        <w:t>Le traitement de protection du bois est validé par les essais décrits dans la [NBN EN 13501-2]. Cette protection par traitement est combinée à un dimensionnement au feu tenant compte de la vitesse de combustion réduite conférée par le traitement.</w:t>
      </w:r>
    </w:p>
    <w:p w14:paraId="66E4ADA6" w14:textId="77777777" w:rsidR="00DB2B68" w:rsidRDefault="00000000">
      <w:pPr>
        <w:ind w:left="567"/>
        <w:jc w:val="both"/>
      </w:pPr>
      <w:r>
        <w:rPr>
          <w:b/>
          <w:i/>
        </w:rPr>
        <w:t>(Soit)</w:t>
      </w:r>
    </w:p>
    <w:p w14:paraId="6DE6B0BD" w14:textId="77777777" w:rsidR="00DB2B68" w:rsidRDefault="00000000">
      <w:pPr>
        <w:ind w:left="567"/>
        <w:jc w:val="both"/>
      </w:pPr>
      <w:r>
        <w:rPr>
          <w:rStyle w:val="optioncarChar"/>
        </w:rPr>
        <w:t> ***</w:t>
      </w:r>
    </w:p>
    <w:p w14:paraId="46173108" w14:textId="77777777" w:rsidR="00DB2B68" w:rsidRDefault="00000000">
      <w:pPr>
        <w:jc w:val="both"/>
      </w:pPr>
      <w:r>
        <w:t>S’il existe des critères d’étanchéité au feu et d’isolation durant l’incendie (les critères EI),</w:t>
      </w:r>
    </w:p>
    <w:p w14:paraId="02C0C8D1" w14:textId="77777777" w:rsidR="00DB2B68" w:rsidRDefault="00000000">
      <w:pPr>
        <w:pStyle w:val="pheading"/>
      </w:pPr>
      <w:r>
        <w:t>- Finitions</w:t>
      </w:r>
    </w:p>
    <w:p w14:paraId="38E4A349" w14:textId="77777777" w:rsidR="00DB2B68" w:rsidRDefault="00000000">
      <w:r>
        <w:t xml:space="preserve">Les sablières sont </w:t>
      </w:r>
      <w:r>
        <w:rPr>
          <w:rStyle w:val="optioncarChar"/>
        </w:rPr>
        <w:t>rabotées</w:t>
      </w:r>
      <w:r>
        <w:t xml:space="preserve"> (par défaut)</w:t>
      </w:r>
      <w:r>
        <w:rPr>
          <w:rStyle w:val="optioncarChar"/>
        </w:rPr>
        <w:t xml:space="preserve"> / brutes de sciage / *** </w:t>
      </w:r>
      <w:r>
        <w:t>sur </w:t>
      </w:r>
      <w:r>
        <w:rPr>
          <w:rStyle w:val="optioncarChar"/>
        </w:rPr>
        <w:t>1 / 2 / 3 / 4 </w:t>
      </w:r>
      <w:r>
        <w:t>faces</w:t>
      </w:r>
    </w:p>
    <w:p w14:paraId="36590B8D" w14:textId="77777777" w:rsidR="00DB2B68" w:rsidRDefault="00000000">
      <w:pPr>
        <w:pStyle w:val="pheading"/>
      </w:pPr>
      <w:r>
        <w:t>EXÉCUTION / MISE EN ŒUVRE</w:t>
      </w:r>
    </w:p>
    <w:p w14:paraId="111CFD83" w14:textId="77777777" w:rsidR="00DB2B68" w:rsidRDefault="00000000">
      <w:pPr>
        <w:pStyle w:val="pheading"/>
      </w:pPr>
      <w:r>
        <w:t>- Prescriptions générales</w:t>
      </w:r>
    </w:p>
    <w:p w14:paraId="2036438A" w14:textId="77777777" w:rsidR="00DB2B68" w:rsidRDefault="00000000">
      <w:pPr>
        <w:jc w:val="both"/>
      </w:pPr>
      <w:r>
        <w:t>Une attention particulière est apportée à l’installation des sablières, en particulier en ce qui concerne la fixation à la structure sous-jacente et les tolérances, notamment la planéité.</w:t>
      </w:r>
    </w:p>
    <w:p w14:paraId="5CC9BA68" w14:textId="77777777" w:rsidR="00DB2B68" w:rsidRDefault="00000000">
      <w:pPr>
        <w:jc w:val="both"/>
      </w:pPr>
      <w:r>
        <w:t>L’ancrage des sablières à la structure sous-jacente est réalisé par </w:t>
      </w:r>
      <w:r>
        <w:rPr>
          <w:rStyle w:val="optioncarChar"/>
        </w:rPr>
        <w:t>tire-fonds / vis à bois / des ancrages chimiques / des ancrages mécaniques / ***</w:t>
      </w:r>
    </w:p>
    <w:p w14:paraId="4201073D" w14:textId="77777777" w:rsidR="00DB2B68" w:rsidRDefault="00000000">
      <w:pPr>
        <w:ind w:left="567"/>
        <w:jc w:val="both"/>
      </w:pPr>
      <w:r>
        <w:rPr>
          <w:b/>
          <w:i/>
        </w:rPr>
        <w:t>(Soit)</w:t>
      </w:r>
    </w:p>
    <w:p w14:paraId="3C7F98BC" w14:textId="77777777" w:rsidR="00DB2B68" w:rsidRDefault="00000000">
      <w:pPr>
        <w:ind w:left="567"/>
        <w:jc w:val="both"/>
      </w:pPr>
      <w:r>
        <w:rPr>
          <w:rStyle w:val="soitChar"/>
          <w:u w:val="single"/>
        </w:rPr>
        <w:t>Tire-fonds</w:t>
      </w:r>
      <w:r>
        <w:t> </w:t>
      </w:r>
    </w:p>
    <w:p w14:paraId="06133B84" w14:textId="77777777" w:rsidR="00DB2B68" w:rsidRDefault="00000000">
      <w:pPr>
        <w:ind w:left="567"/>
        <w:jc w:val="both"/>
      </w:pPr>
      <w:r>
        <w:rPr>
          <w:rStyle w:val="soitChar"/>
        </w:rPr>
        <w:t>Les tire-fonds sont décrits à l’article </w:t>
      </w:r>
      <w:hyperlink w:anchor="581" w:history="1">
        <w:r>
          <w:rPr>
            <w:rStyle w:val="soitChar"/>
            <w:color w:val="0000EE"/>
          </w:rPr>
          <w:t>24.42.1e Assemblages par tiges - tire-fonds</w:t>
        </w:r>
      </w:hyperlink>
      <w:r>
        <w:rPr>
          <w:rStyle w:val="soitChar"/>
        </w:rPr>
        <w:t>. Ils sont installés tous les</w:t>
      </w:r>
      <w:r>
        <w:t> </w:t>
      </w:r>
      <w:r>
        <w:rPr>
          <w:rStyle w:val="optioncarChar"/>
        </w:rPr>
        <w:t>voir note de calcul </w:t>
      </w:r>
      <w:r>
        <w:t>(par défaut) </w:t>
      </w:r>
      <w:r>
        <w:rPr>
          <w:rStyle w:val="optioncarChar"/>
        </w:rPr>
        <w:t>/ ***cm </w:t>
      </w:r>
      <w:r>
        <w:rPr>
          <w:rStyle w:val="soitChar"/>
        </w:rPr>
        <w:t>avec un tirefond à chaque extrémité de chaque sablière.</w:t>
      </w:r>
    </w:p>
    <w:p w14:paraId="2ADEFAEA" w14:textId="77777777" w:rsidR="00DB2B68" w:rsidRDefault="00000000">
      <w:pPr>
        <w:ind w:left="567"/>
        <w:jc w:val="both"/>
      </w:pPr>
      <w:r>
        <w:rPr>
          <w:b/>
          <w:i/>
        </w:rPr>
        <w:t>(Soit)</w:t>
      </w:r>
    </w:p>
    <w:p w14:paraId="474CB32E" w14:textId="77777777" w:rsidR="00DB2B68" w:rsidRDefault="00000000">
      <w:pPr>
        <w:ind w:left="567"/>
        <w:jc w:val="both"/>
      </w:pPr>
      <w:r>
        <w:rPr>
          <w:rStyle w:val="soitChar"/>
          <w:u w:val="single"/>
        </w:rPr>
        <w:t>Vis à bois</w:t>
      </w:r>
      <w:r>
        <w:t> </w:t>
      </w:r>
    </w:p>
    <w:p w14:paraId="6482D32F" w14:textId="77777777" w:rsidR="00DB2B68" w:rsidRDefault="00000000">
      <w:pPr>
        <w:ind w:left="567"/>
        <w:jc w:val="both"/>
      </w:pPr>
      <w:r>
        <w:rPr>
          <w:rStyle w:val="soitChar"/>
        </w:rPr>
        <w:t>Les vis à bois sont décrites à l’article </w:t>
      </w:r>
      <w:hyperlink w:anchor="582" w:history="1">
        <w:r>
          <w:rPr>
            <w:rStyle w:val="soitChar"/>
            <w:color w:val="0000EE"/>
          </w:rPr>
          <w:t>24.42.1d Assemblages par tiges - vis</w:t>
        </w:r>
      </w:hyperlink>
      <w:r>
        <w:rPr>
          <w:rStyle w:val="soitChar"/>
        </w:rPr>
        <w:t>. Elles sont installées tous les</w:t>
      </w:r>
      <w:r>
        <w:t> </w:t>
      </w:r>
      <w:r>
        <w:rPr>
          <w:rStyle w:val="optioncarChar"/>
        </w:rPr>
        <w:t>voir note de calcul </w:t>
      </w:r>
      <w:r>
        <w:t>(par défaut) </w:t>
      </w:r>
      <w:r>
        <w:rPr>
          <w:rStyle w:val="optioncarChar"/>
        </w:rPr>
        <w:t>/ *** cm </w:t>
      </w:r>
      <w:r>
        <w:rPr>
          <w:rStyle w:val="soitChar"/>
        </w:rPr>
        <w:t>avec une vis à bois à chaque extrémité de chaque sablière.</w:t>
      </w:r>
    </w:p>
    <w:p w14:paraId="09ECAC5C" w14:textId="77777777" w:rsidR="00DB2B68" w:rsidRDefault="00000000">
      <w:pPr>
        <w:ind w:left="567"/>
        <w:jc w:val="both"/>
      </w:pPr>
      <w:r>
        <w:rPr>
          <w:b/>
          <w:i/>
        </w:rPr>
        <w:lastRenderedPageBreak/>
        <w:t> (Soit)</w:t>
      </w:r>
    </w:p>
    <w:p w14:paraId="579D09AE" w14:textId="77777777" w:rsidR="00DB2B68" w:rsidRDefault="00000000">
      <w:pPr>
        <w:ind w:left="567"/>
        <w:jc w:val="both"/>
      </w:pPr>
      <w:r>
        <w:rPr>
          <w:rStyle w:val="soitChar"/>
          <w:u w:val="single"/>
        </w:rPr>
        <w:t>Ancrages chimiques</w:t>
      </w:r>
      <w:r>
        <w:t> </w:t>
      </w:r>
    </w:p>
    <w:p w14:paraId="3E894442" w14:textId="77777777" w:rsidR="00DB2B68" w:rsidRDefault="00000000">
      <w:pPr>
        <w:ind w:left="567"/>
        <w:jc w:val="both"/>
      </w:pPr>
      <w:r>
        <w:rPr>
          <w:rStyle w:val="soitChar"/>
        </w:rPr>
        <w:t xml:space="preserve">Les ancrages chimiques sont décrits à l’article </w:t>
      </w:r>
      <w:hyperlink w:anchor="583" w:history="1">
        <w:r>
          <w:rPr>
            <w:rStyle w:val="soitChar"/>
            <w:color w:val="0000EE"/>
          </w:rPr>
          <w:t>24.44.2a Ancrages chimiques pour structures en bois</w:t>
        </w:r>
      </w:hyperlink>
      <w:r>
        <w:rPr>
          <w:rStyle w:val="soitChar"/>
        </w:rPr>
        <w:t>. Ils sont installés tous les</w:t>
      </w:r>
      <w:r>
        <w:t> </w:t>
      </w:r>
      <w:r>
        <w:rPr>
          <w:rStyle w:val="optioncarChar"/>
        </w:rPr>
        <w:t>voir note de calcul </w:t>
      </w:r>
      <w:r>
        <w:t>(par défaut) </w:t>
      </w:r>
      <w:r>
        <w:rPr>
          <w:rStyle w:val="optioncarChar"/>
        </w:rPr>
        <w:t>/ *** cm </w:t>
      </w:r>
      <w:r>
        <w:rPr>
          <w:rStyle w:val="soitChar"/>
        </w:rPr>
        <w:t>avec un ancrage chaque extrémité de chaque sablière.</w:t>
      </w:r>
    </w:p>
    <w:p w14:paraId="330C6EF8" w14:textId="77777777" w:rsidR="00DB2B68" w:rsidRDefault="00000000">
      <w:pPr>
        <w:ind w:left="567"/>
        <w:jc w:val="both"/>
      </w:pPr>
      <w:r>
        <w:rPr>
          <w:b/>
          <w:i/>
        </w:rPr>
        <w:t> (Soit)</w:t>
      </w:r>
    </w:p>
    <w:p w14:paraId="7F09F582" w14:textId="77777777" w:rsidR="00DB2B68" w:rsidRDefault="00000000">
      <w:pPr>
        <w:ind w:left="567"/>
        <w:jc w:val="both"/>
      </w:pPr>
      <w:r>
        <w:rPr>
          <w:rStyle w:val="soitChar"/>
          <w:u w:val="single"/>
        </w:rPr>
        <w:t>Ancrages mécaniques</w:t>
      </w:r>
      <w:r>
        <w:t> </w:t>
      </w:r>
    </w:p>
    <w:p w14:paraId="3C1C7F20" w14:textId="77777777" w:rsidR="00DB2B68" w:rsidRDefault="00000000">
      <w:pPr>
        <w:ind w:left="567"/>
        <w:jc w:val="both"/>
      </w:pPr>
      <w:r>
        <w:rPr>
          <w:rStyle w:val="soitChar"/>
        </w:rPr>
        <w:t xml:space="preserve">Les ancrages mécaniques sont décrits à l’article </w:t>
      </w:r>
      <w:hyperlink w:anchor="584" w:history="1">
        <w:r>
          <w:rPr>
            <w:rStyle w:val="soitChar"/>
            <w:color w:val="0000EE"/>
          </w:rPr>
          <w:t>24.44.1a Ancrages mécaniques pour structures en bois</w:t>
        </w:r>
      </w:hyperlink>
      <w:r>
        <w:rPr>
          <w:rStyle w:val="soitChar"/>
        </w:rPr>
        <w:t>. Ils sont installés tous les</w:t>
      </w:r>
      <w:r>
        <w:t> </w:t>
      </w:r>
      <w:r>
        <w:rPr>
          <w:rStyle w:val="optioncarChar"/>
        </w:rPr>
        <w:t>voir note de calcul </w:t>
      </w:r>
      <w:r>
        <w:t>(par défaut)</w:t>
      </w:r>
      <w:r>
        <w:rPr>
          <w:rStyle w:val="optioncarChar"/>
        </w:rPr>
        <w:t> / *** cm</w:t>
      </w:r>
    </w:p>
    <w:p w14:paraId="2C45D50E" w14:textId="77777777" w:rsidR="00DB2B68" w:rsidRDefault="00000000">
      <w:pPr>
        <w:ind w:left="567"/>
        <w:jc w:val="both"/>
      </w:pPr>
      <w:r>
        <w:rPr>
          <w:rStyle w:val="optioncarChar"/>
        </w:rPr>
        <w:t> </w:t>
      </w:r>
    </w:p>
    <w:p w14:paraId="0E0B392E" w14:textId="77777777" w:rsidR="00DB2B68" w:rsidRDefault="00DB2B68"/>
    <w:p w14:paraId="5F9D4AF0" w14:textId="77777777" w:rsidR="00DB2B68" w:rsidRDefault="00000000">
      <w:pPr>
        <w:jc w:val="both"/>
      </w:pPr>
      <w:r>
        <w:t>Les tolérances d’installation des sablières sont les suivantes :</w:t>
      </w:r>
    </w:p>
    <w:p w14:paraId="3050BFFE" w14:textId="77777777" w:rsidR="00DB2B68" w:rsidRDefault="00000000">
      <w:r>
        <w:t xml:space="preserve">Lorsque la structure sous-jacente est en béton ou en maçonnerie, une membrane anticapillaire est disposée sous les sablières. Cette membrane est en </w:t>
      </w:r>
      <w:r>
        <w:rPr>
          <w:rStyle w:val="optioncarChar"/>
        </w:rPr>
        <w:t>EPDM</w:t>
      </w:r>
      <w:r>
        <w:t xml:space="preserve"> (par défaut)</w:t>
      </w:r>
      <w:r>
        <w:rPr>
          <w:rStyle w:val="optioncarChar"/>
        </w:rPr>
        <w:t xml:space="preserve"> / feutre bitumé / ***</w:t>
      </w:r>
      <w:r>
        <w:t xml:space="preserve">, est d’une largeur de </w:t>
      </w:r>
      <w:r>
        <w:rPr>
          <w:rStyle w:val="optioncarChar"/>
        </w:rPr>
        <w:t xml:space="preserve">100 mm </w:t>
      </w:r>
      <w:r>
        <w:t>(par défaut) </w:t>
      </w:r>
      <w:r>
        <w:rPr>
          <w:rStyle w:val="optioncarChar"/>
        </w:rPr>
        <w:t>/ 250 mm / ***</w:t>
      </w:r>
      <w:r>
        <w:t>.</w:t>
      </w:r>
    </w:p>
    <w:p w14:paraId="24E22ED8" w14:textId="77777777" w:rsidR="00DB2B68" w:rsidRDefault="00000000">
      <w:r>
        <w:t>Le coin supérieur côté extérieur des sablières peut être délardé pour permettre la fixation du chevron sur la sablière .</w:t>
      </w:r>
    </w:p>
    <w:p w14:paraId="142BD775" w14:textId="77777777" w:rsidR="00DB2B68" w:rsidRDefault="00000000">
      <w:pPr>
        <w:jc w:val="both"/>
      </w:pPr>
      <w:r>
        <w:t>Dispositif permettant d’assurer l’étanchéité à l’air et/ou une coupure acoustique : </w:t>
      </w:r>
      <w:r>
        <w:rPr>
          <w:rStyle w:val="optioncarChar"/>
        </w:rPr>
        <w:t xml:space="preserve">ruban en mousse PUR </w:t>
      </w:r>
      <w:r>
        <w:t>(par défaut) </w:t>
      </w:r>
      <w:r>
        <w:rPr>
          <w:rStyle w:val="optioncarChar"/>
        </w:rPr>
        <w:t>/ ***</w:t>
      </w:r>
      <w:r>
        <w:t xml:space="preserve"> .</w:t>
      </w:r>
    </w:p>
    <w:p w14:paraId="70F565D0" w14:textId="77777777" w:rsidR="00DB2B68" w:rsidRDefault="00000000">
      <w:pPr>
        <w:pStyle w:val="pheading"/>
      </w:pPr>
      <w:r>
        <w:t>MESURAGE</w:t>
      </w:r>
    </w:p>
    <w:p w14:paraId="114FD341" w14:textId="77777777" w:rsidR="00DB2B68" w:rsidRDefault="00000000">
      <w:pPr>
        <w:pStyle w:val="pheading"/>
      </w:pPr>
      <w:r>
        <w:t>- unité de mesure:</w:t>
      </w:r>
    </w:p>
    <w:p w14:paraId="3E680D4D" w14:textId="77777777" w:rsidR="00DB2B68" w:rsidRDefault="00000000">
      <w:r>
        <w:rPr>
          <w:rStyle w:val="optioncarChar"/>
        </w:rPr>
        <w:t>m³ </w:t>
      </w:r>
      <w:r>
        <w:t>(par défaut)</w:t>
      </w:r>
      <w:r>
        <w:rPr>
          <w:rStyle w:val="optioncarChar"/>
        </w:rPr>
        <w:t> / m / pc</w:t>
      </w:r>
    </w:p>
    <w:p w14:paraId="38D30EA7" w14:textId="77777777" w:rsidR="00DB2B68" w:rsidRDefault="00000000">
      <w:r>
        <w:rPr>
          <w:b/>
          <w:i/>
        </w:rPr>
        <w:t>(Soit par défaut)</w:t>
      </w:r>
    </w:p>
    <w:p w14:paraId="13E5E1AE" w14:textId="77777777" w:rsidR="00DB2B68" w:rsidRDefault="00000000">
      <w:r>
        <w:rPr>
          <w:rStyle w:val="soitChar"/>
        </w:rPr>
        <w:t>1.    m³ </w:t>
      </w:r>
    </w:p>
    <w:p w14:paraId="750F8ED9" w14:textId="77777777" w:rsidR="00DB2B68" w:rsidRDefault="00000000">
      <w:r>
        <w:rPr>
          <w:b/>
          <w:i/>
        </w:rPr>
        <w:t>(Soit)</w:t>
      </w:r>
    </w:p>
    <w:p w14:paraId="70E81556" w14:textId="77777777" w:rsidR="00DB2B68" w:rsidRDefault="00000000">
      <w:r>
        <w:rPr>
          <w:rStyle w:val="soitChar"/>
        </w:rPr>
        <w:t>2.    m </w:t>
      </w:r>
    </w:p>
    <w:p w14:paraId="128783D9" w14:textId="77777777" w:rsidR="00DB2B68" w:rsidRDefault="00000000">
      <w:r>
        <w:rPr>
          <w:b/>
          <w:i/>
        </w:rPr>
        <w:t>(Soit)</w:t>
      </w:r>
    </w:p>
    <w:p w14:paraId="73D9DC31" w14:textId="77777777" w:rsidR="00DB2B68" w:rsidRDefault="00000000">
      <w:r>
        <w:rPr>
          <w:rStyle w:val="soitChar"/>
        </w:rPr>
        <w:t>3.    pc</w:t>
      </w:r>
    </w:p>
    <w:p w14:paraId="07E14521" w14:textId="77777777" w:rsidR="00DB2B68" w:rsidRDefault="00000000">
      <w:pPr>
        <w:pStyle w:val="pheading"/>
      </w:pPr>
      <w:r>
        <w:t>- code de mesurage:</w:t>
      </w:r>
    </w:p>
    <w:p w14:paraId="6825CA3E" w14:textId="77777777" w:rsidR="00DB2B68" w:rsidRDefault="00000000">
      <w:pPr>
        <w:jc w:val="both"/>
      </w:pPr>
      <w:r>
        <w:rPr>
          <w:rStyle w:val="optioncarChar"/>
        </w:rPr>
        <w:t> Volume brut </w:t>
      </w:r>
      <w:r>
        <w:t>(par défaut) </w:t>
      </w:r>
      <w:r>
        <w:rPr>
          <w:rStyle w:val="optioncarChar"/>
        </w:rPr>
        <w:t>/ longueur brute / quantité nette</w:t>
      </w:r>
    </w:p>
    <w:p w14:paraId="0CCCA2C4" w14:textId="77777777" w:rsidR="00DB2B68" w:rsidRDefault="00000000">
      <w:pPr>
        <w:jc w:val="both"/>
      </w:pPr>
      <w:r>
        <w:rPr>
          <w:b/>
          <w:i/>
        </w:rPr>
        <w:t>(Soit par défaut)</w:t>
      </w:r>
    </w:p>
    <w:p w14:paraId="218CDE72" w14:textId="77777777" w:rsidR="00DB2B68" w:rsidRDefault="00000000">
      <w:pPr>
        <w:jc w:val="both"/>
      </w:pPr>
      <w:r>
        <w:rPr>
          <w:rStyle w:val="soitChar"/>
        </w:rPr>
        <w:t>1.   </w:t>
      </w:r>
      <w:r>
        <w:rPr>
          <w:rStyle w:val="soitChar"/>
          <w:u w:val="single"/>
        </w:rPr>
        <w:t> Volume brut :</w:t>
      </w:r>
    </w:p>
    <w:p w14:paraId="343E7975" w14:textId="77777777" w:rsidR="00DB2B68" w:rsidRDefault="00000000">
      <w:pPr>
        <w:jc w:val="both"/>
      </w:pPr>
      <w:r>
        <w:rPr>
          <w:rStyle w:val="soitChar"/>
        </w:rPr>
        <w:t>Le volume brut d’une sablière est calculé suivant le volume du plus petit parallélépipède rectangle pouvant inclure l’élément.</w:t>
      </w:r>
    </w:p>
    <w:p w14:paraId="5BC64043" w14:textId="77777777" w:rsidR="00DB2B68" w:rsidRDefault="00000000">
      <w:pPr>
        <w:jc w:val="both"/>
      </w:pPr>
      <w:r>
        <w:rPr>
          <w:b/>
          <w:i/>
        </w:rPr>
        <w:t> (Soit)</w:t>
      </w:r>
    </w:p>
    <w:p w14:paraId="5F9C4479" w14:textId="77777777" w:rsidR="00DB2B68" w:rsidRDefault="00000000">
      <w:pPr>
        <w:jc w:val="both"/>
      </w:pPr>
      <w:r>
        <w:rPr>
          <w:rStyle w:val="soitChar"/>
        </w:rPr>
        <w:t>2.   </w:t>
      </w:r>
      <w:r>
        <w:rPr>
          <w:rStyle w:val="soitChar"/>
          <w:u w:val="single"/>
        </w:rPr>
        <w:t> Longueur brute :</w:t>
      </w:r>
    </w:p>
    <w:p w14:paraId="08FBB2A6"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3B0131DE" w14:textId="77777777" w:rsidR="00DB2B68" w:rsidRDefault="00000000">
      <w:pPr>
        <w:jc w:val="both"/>
      </w:pPr>
      <w:r>
        <w:rPr>
          <w:rStyle w:val="soitChar"/>
        </w:rPr>
        <w:t>La longueur totale des sablières ayant la même section et les mêmes caractéristiques est comptabilisée.</w:t>
      </w:r>
    </w:p>
    <w:p w14:paraId="37E2E7E4" w14:textId="77777777" w:rsidR="00DB2B68" w:rsidRDefault="00000000">
      <w:pPr>
        <w:jc w:val="both"/>
      </w:pPr>
      <w:r>
        <w:rPr>
          <w:b/>
          <w:i/>
        </w:rPr>
        <w:t> (Soit)</w:t>
      </w:r>
    </w:p>
    <w:p w14:paraId="16E6F24B" w14:textId="77777777" w:rsidR="00DB2B68" w:rsidRDefault="00000000">
      <w:pPr>
        <w:jc w:val="both"/>
      </w:pPr>
      <w:r>
        <w:rPr>
          <w:rStyle w:val="soitChar"/>
        </w:rPr>
        <w:t>3.    </w:t>
      </w:r>
      <w:r>
        <w:rPr>
          <w:rStyle w:val="soitChar"/>
          <w:u w:val="single"/>
        </w:rPr>
        <w:t>Quantité nette :</w:t>
      </w:r>
    </w:p>
    <w:p w14:paraId="34E9E044" w14:textId="77777777" w:rsidR="00DB2B68" w:rsidRDefault="00000000">
      <w:pPr>
        <w:jc w:val="both"/>
      </w:pPr>
      <w:r>
        <w:rPr>
          <w:rStyle w:val="soitChar"/>
        </w:rPr>
        <w:lastRenderedPageBreak/>
        <w:t>Le nombre de sablières ayant les mêmes dimensions et les mêmes caractéristiques est compatibilisé.</w:t>
      </w:r>
    </w:p>
    <w:p w14:paraId="0B4D7350" w14:textId="77777777" w:rsidR="00DB2B68" w:rsidRDefault="00000000">
      <w:pPr>
        <w:pStyle w:val="pheading"/>
      </w:pPr>
      <w:r>
        <w:t>- nature du marché:</w:t>
      </w:r>
    </w:p>
    <w:p w14:paraId="354D790A" w14:textId="77777777" w:rsidR="00DB2B68" w:rsidRDefault="00000000">
      <w:r>
        <w:rPr>
          <w:rStyle w:val="optioncarChar"/>
        </w:rPr>
        <w:t>QF </w:t>
      </w:r>
      <w:r>
        <w:t>(par défaut) </w:t>
      </w:r>
      <w:r>
        <w:rPr>
          <w:rStyle w:val="optioncarChar"/>
        </w:rPr>
        <w:t>/ QP</w:t>
      </w:r>
    </w:p>
    <w:p w14:paraId="78293837" w14:textId="77777777" w:rsidR="00DB2B68" w:rsidRDefault="00000000">
      <w:r>
        <w:rPr>
          <w:b/>
          <w:i/>
        </w:rPr>
        <w:t>(Soit par défaut)</w:t>
      </w:r>
    </w:p>
    <w:p w14:paraId="605E9009" w14:textId="77777777" w:rsidR="00DB2B68" w:rsidRDefault="00000000">
      <w:r>
        <w:rPr>
          <w:rStyle w:val="soitChar"/>
        </w:rPr>
        <w:t>1.2.3      QF</w:t>
      </w:r>
    </w:p>
    <w:p w14:paraId="26C8A56D" w14:textId="77777777" w:rsidR="00DB2B68" w:rsidRDefault="00000000">
      <w:r>
        <w:rPr>
          <w:b/>
          <w:i/>
        </w:rPr>
        <w:t>(Soit)</w:t>
      </w:r>
    </w:p>
    <w:p w14:paraId="7A7F1F9C" w14:textId="77777777" w:rsidR="00DB2B68" w:rsidRDefault="00000000">
      <w:r>
        <w:rPr>
          <w:rStyle w:val="soitChar"/>
        </w:rPr>
        <w:t>1.2.3      QP</w:t>
      </w:r>
    </w:p>
    <w:p w14:paraId="79EC9BC7" w14:textId="77777777" w:rsidR="00DB2B68" w:rsidRDefault="00000000">
      <w:pPr>
        <w:pStyle w:val="Author-eSectionHeading4Numberless"/>
      </w:pPr>
      <w:bookmarkStart w:id="1564" w:name="_Toc220496557"/>
      <w:r>
        <w:t>24.12 Colonnes en bois CCTB 01.07</w:t>
      </w:r>
      <w:bookmarkEnd w:id="1564"/>
    </w:p>
    <w:p w14:paraId="05212818" w14:textId="77777777" w:rsidR="00DB2B68" w:rsidRDefault="00000000">
      <w:pPr>
        <w:pStyle w:val="pheading"/>
      </w:pPr>
      <w:bookmarkStart w:id="1565" w:name="627"/>
      <w:bookmarkEnd w:id="1565"/>
      <w:r>
        <w:t>DESCRIPTION</w:t>
      </w:r>
    </w:p>
    <w:p w14:paraId="640BCB80" w14:textId="77777777" w:rsidR="00DB2B68" w:rsidRDefault="00000000">
      <w:pPr>
        <w:pStyle w:val="pheading"/>
      </w:pPr>
      <w:r>
        <w:t>- Définition / Comprend</w:t>
      </w:r>
    </w:p>
    <w:p w14:paraId="338AE2D7" w14:textId="77777777" w:rsidR="00DB2B68" w:rsidRDefault="00000000">
      <w:pPr>
        <w:jc w:val="both"/>
      </w:pPr>
      <w:r>
        <w:t>Les colonnes en bois sont des éléments structuraux verticaux destinés à une descente de charges ponctuelles au niveau inférieur. Elles peuvent être constituées d’une ou plusieurs pièces assemblées.</w:t>
      </w:r>
    </w:p>
    <w:p w14:paraId="722D16D0" w14:textId="77777777" w:rsidR="00DB2B68" w:rsidRDefault="00000000">
      <w:pPr>
        <w:jc w:val="both"/>
      </w:pPr>
      <w:r>
        <w:t>Cet élément comprend notamment :</w:t>
      </w:r>
    </w:p>
    <w:p w14:paraId="46D1190E" w14:textId="77777777" w:rsidR="00DB2B68" w:rsidRDefault="00000000">
      <w:pPr>
        <w:pStyle w:val="Author-eListParagraph"/>
        <w:numPr>
          <w:ilvl w:val="0"/>
          <w:numId w:val="851"/>
        </w:numPr>
      </w:pPr>
      <w:r>
        <w:t>Les colonnes présentes dans les systèmes poteaux-poutres</w:t>
      </w:r>
    </w:p>
    <w:p w14:paraId="5EBB12B7" w14:textId="77777777" w:rsidR="00DB2B68" w:rsidRDefault="00000000">
      <w:pPr>
        <w:pStyle w:val="Author-eListParagraph"/>
        <w:numPr>
          <w:ilvl w:val="0"/>
          <w:numId w:val="851"/>
        </w:numPr>
      </w:pPr>
      <w:r>
        <w:t>Les colonnes insérées dans une paroi ossature bois.</w:t>
      </w:r>
    </w:p>
    <w:p w14:paraId="49C9CE25" w14:textId="77777777" w:rsidR="00DB2B68" w:rsidRDefault="00000000">
      <w:pPr>
        <w:jc w:val="both"/>
      </w:pPr>
      <w:r>
        <w:t>Et ne comprend pas :</w:t>
      </w:r>
    </w:p>
    <w:p w14:paraId="5DF64F36" w14:textId="77777777" w:rsidR="00DB2B68" w:rsidRDefault="00000000">
      <w:pPr>
        <w:pStyle w:val="Author-eListParagraph"/>
        <w:numPr>
          <w:ilvl w:val="0"/>
          <w:numId w:val="852"/>
        </w:numPr>
        <w:jc w:val="both"/>
      </w:pPr>
      <w:r>
        <w:t xml:space="preserve">Les montants individuels d’une paroi en ossature bois. Ceux-ci sont traités au </w:t>
      </w:r>
      <w:hyperlink w:anchor="404" w:history="1">
        <w:r>
          <w:rPr>
            <w:color w:val="0000EE"/>
          </w:rPr>
          <w:t>24.13 Poutres et barres en bois</w:t>
        </w:r>
      </w:hyperlink>
      <w:r>
        <w:t>.</w:t>
      </w:r>
    </w:p>
    <w:p w14:paraId="4D49A86D" w14:textId="77777777" w:rsidR="00DB2B68" w:rsidRDefault="00000000">
      <w:pPr>
        <w:pStyle w:val="Author-eListParagraph"/>
        <w:numPr>
          <w:ilvl w:val="0"/>
          <w:numId w:val="852"/>
        </w:numPr>
        <w:jc w:val="both"/>
      </w:pPr>
      <w:r>
        <w:t xml:space="preserve">Les jambes de forces, aisseliers, contrefiches, etc. Ceux-ci sont traités au </w:t>
      </w:r>
      <w:hyperlink w:anchor="404" w:history="1">
        <w:r>
          <w:rPr>
            <w:color w:val="0000EE"/>
          </w:rPr>
          <w:t>24.13 Poutres et barres en bois</w:t>
        </w:r>
      </w:hyperlink>
      <w:r>
        <w:t>.</w:t>
      </w:r>
    </w:p>
    <w:p w14:paraId="1DCF4753" w14:textId="77777777" w:rsidR="00DB2B68" w:rsidRDefault="00000000">
      <w:pPr>
        <w:pStyle w:val="pheading"/>
      </w:pPr>
      <w:r>
        <w:t>EXÉCUTION / MISE EN ŒUVRE</w:t>
      </w:r>
    </w:p>
    <w:p w14:paraId="33EFF9F1" w14:textId="77777777" w:rsidR="00DB2B68" w:rsidRDefault="00000000">
      <w:pPr>
        <w:jc w:val="both"/>
      </w:pPr>
      <w:r>
        <w:t>Lors du montage des colonnes en bois, un étançonnement provisoire est prévu pour assurer la stabilité de celles-ci. Si les colonnes sont visibles, les assemblages provisoires sont réalisés sans endommager l’état de surface des colonnes.</w:t>
      </w:r>
    </w:p>
    <w:p w14:paraId="185474A2" w14:textId="77777777" w:rsidR="00DB2B68" w:rsidRDefault="00000000">
      <w:pPr>
        <w:jc w:val="both"/>
      </w:pPr>
      <w:r>
        <w:t> </w:t>
      </w:r>
    </w:p>
    <w:p w14:paraId="7B0B3BC5" w14:textId="77777777" w:rsidR="00DB2B68" w:rsidRDefault="00000000">
      <w:pPr>
        <w:jc w:val="both"/>
      </w:pPr>
      <w:r>
        <w:t>Lorsque les colonnes sont posées sur des matériaux humides ou humidifiables, les assemblages sont conçus de façon à éviter l’absorption par capillarité.</w:t>
      </w:r>
    </w:p>
    <w:p w14:paraId="7900FB5C" w14:textId="77777777" w:rsidR="00DB2B68" w:rsidRDefault="00000000">
      <w:pPr>
        <w:jc w:val="both"/>
      </w:pPr>
      <w:r>
        <w:t>Si les colonnes sont situées à l’intérieur, une protection contre l’humidité est prévue (type membranes bitumineuses, EPDM ou équivalent) sous les colonnes pour éviter les remontées capillaires.</w:t>
      </w:r>
    </w:p>
    <w:p w14:paraId="35B7EFEF" w14:textId="77777777" w:rsidR="00DB2B68" w:rsidRDefault="00000000">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14:paraId="6C7C72DF" w14:textId="77777777" w:rsidR="00DB2B68" w:rsidRDefault="00000000">
      <w:pPr>
        <w:jc w:val="both"/>
      </w:pPr>
      <w:r>
        <w:t> </w:t>
      </w:r>
    </w:p>
    <w:p w14:paraId="7D4FC70D" w14:textId="77777777" w:rsidR="00DB2B68" w:rsidRDefault="00000000">
      <w:pPr>
        <w:jc w:val="both"/>
      </w:pPr>
      <w:r>
        <w:t>En cas de face apparente en situation définitive, le soumissionnaire prend toutes les dispositions afin de maintenir leur aspect esthétique tel qu’en sortie de production.</w:t>
      </w:r>
    </w:p>
    <w:p w14:paraId="7894293E" w14:textId="77777777" w:rsidR="00DB2B68" w:rsidRDefault="00000000">
      <w:pPr>
        <w:pStyle w:val="Author-eSectionHeading5Numberless"/>
      </w:pPr>
      <w:bookmarkStart w:id="1566" w:name="_Toc220496558"/>
      <w:r>
        <w:t>24.12.1 Colonnes en bois massif CCTB 01.07</w:t>
      </w:r>
      <w:bookmarkEnd w:id="1566"/>
    </w:p>
    <w:p w14:paraId="66FF2289" w14:textId="77777777" w:rsidR="00DB2B68" w:rsidRDefault="00000000">
      <w:pPr>
        <w:pStyle w:val="pheading"/>
      </w:pPr>
      <w:r>
        <w:t>DESCRIPTION</w:t>
      </w:r>
    </w:p>
    <w:p w14:paraId="64DCDB14" w14:textId="77777777" w:rsidR="00DB2B68" w:rsidRDefault="00000000">
      <w:pPr>
        <w:pStyle w:val="pheading"/>
      </w:pPr>
      <w:r>
        <w:t>- Définition / Comprend</w:t>
      </w:r>
    </w:p>
    <w:p w14:paraId="07CD6B08" w14:textId="77777777" w:rsidR="00DB2B68" w:rsidRDefault="00000000">
      <w:r>
        <w:t xml:space="preserve">Il s’agit des colonnes en bois massif. La notion de bois massif est expliquée au </w:t>
      </w:r>
      <w:hyperlink w:anchor="89" w:history="1">
        <w:r>
          <w:rPr>
            <w:color w:val="0000EE"/>
          </w:rPr>
          <w:t>24 Superstructures en bois</w:t>
        </w:r>
      </w:hyperlink>
      <w:r>
        <w:t>.</w:t>
      </w:r>
    </w:p>
    <w:p w14:paraId="6E8FC06F" w14:textId="77777777" w:rsidR="00DB2B68" w:rsidRDefault="00000000">
      <w:pPr>
        <w:pStyle w:val="pheading"/>
      </w:pPr>
      <w:r>
        <w:t>EXÉCUTION / MISE EN ŒUVRE</w:t>
      </w:r>
    </w:p>
    <w:p w14:paraId="1BD65AD0" w14:textId="77777777" w:rsidR="00DB2B68" w:rsidRDefault="00000000">
      <w:pPr>
        <w:jc w:val="both"/>
      </w:pPr>
      <w:r>
        <w:lastRenderedPageBreak/>
        <w:t>Dans le cas des colonnes en bois massif avec cœur, il existe un risque de fissuration traversante. Une analyse de risque de flambement est effectuée par un bureau d’études.</w:t>
      </w:r>
    </w:p>
    <w:p w14:paraId="0966940A" w14:textId="77777777" w:rsidR="00DB2B68" w:rsidRDefault="00000000">
      <w:pPr>
        <w:pStyle w:val="Author-eSectionHeading6Numberless"/>
      </w:pPr>
      <w:bookmarkStart w:id="1567" w:name="_Toc220496559"/>
      <w:r>
        <w:t>24.12.1a Colonnes en bois massif à section rectangulaire CCTB 01.11</w:t>
      </w:r>
      <w:bookmarkEnd w:id="1567"/>
    </w:p>
    <w:p w14:paraId="3F49F922" w14:textId="77777777" w:rsidR="00DB2B68" w:rsidRDefault="00000000">
      <w:pPr>
        <w:pStyle w:val="pheading"/>
      </w:pPr>
      <w:r>
        <w:t>DESCRIPTION</w:t>
      </w:r>
    </w:p>
    <w:p w14:paraId="13E75B5B" w14:textId="77777777" w:rsidR="00DB2B68" w:rsidRDefault="00000000">
      <w:pPr>
        <w:pStyle w:val="pheading"/>
      </w:pPr>
      <w:r>
        <w:t>- Définition / Comprend</w:t>
      </w:r>
    </w:p>
    <w:p w14:paraId="2DA868E8" w14:textId="77777777" w:rsidR="00DB2B68" w:rsidRDefault="00000000">
      <w:r>
        <w:t>Il s'agit de l’ensemble des colonnes en bois à section rectangulaire.</w:t>
      </w:r>
    </w:p>
    <w:p w14:paraId="30CD649F" w14:textId="77777777" w:rsidR="00DB2B68" w:rsidRDefault="00000000">
      <w:pPr>
        <w:pStyle w:val="pheading"/>
      </w:pPr>
      <w:r>
        <w:t>MATÉRIAUX</w:t>
      </w:r>
    </w:p>
    <w:p w14:paraId="529A0785" w14:textId="77777777" w:rsidR="00DB2B68" w:rsidRDefault="00000000">
      <w:pPr>
        <w:pStyle w:val="pheading"/>
      </w:pPr>
      <w:r>
        <w:t>- Caractéristiques générales</w:t>
      </w:r>
    </w:p>
    <w:p w14:paraId="7A1F5866" w14:textId="77777777" w:rsidR="00DB2B68" w:rsidRDefault="00000000">
      <w:pPr>
        <w:jc w:val="both"/>
      </w:pPr>
      <w:r>
        <w:t xml:space="preserve">Les colonnes en bois massif sont composées de </w:t>
      </w:r>
      <w:r>
        <w:rPr>
          <w:rStyle w:val="optioncarChar"/>
        </w:rPr>
        <w:t xml:space="preserve">1 </w:t>
      </w:r>
      <w:r>
        <w:t>(par défaut)</w:t>
      </w:r>
      <w:r>
        <w:rPr>
          <w:rStyle w:val="optioncarChar"/>
        </w:rPr>
        <w:t xml:space="preserve"> / 2 / ***</w:t>
      </w:r>
      <w:r>
        <w:t xml:space="preserve"> éléments.</w:t>
      </w:r>
    </w:p>
    <w:p w14:paraId="1F8F2E27" w14:textId="77777777" w:rsidR="00DB2B68" w:rsidRDefault="00000000">
      <w:pPr>
        <w:jc w:val="both"/>
      </w:pPr>
      <w:r>
        <w:t xml:space="preserve">Classe de résistance : </w:t>
      </w:r>
      <w:r>
        <w:rPr>
          <w:rStyle w:val="optioncarChar"/>
        </w:rPr>
        <w:t>C18</w:t>
      </w:r>
      <w:r>
        <w:t xml:space="preserve"> (par défaut)</w:t>
      </w:r>
      <w:r>
        <w:rPr>
          <w:rStyle w:val="optioncarChar"/>
        </w:rPr>
        <w:t> / D18 / C24 / D24 / C30 / D30 / ***</w:t>
      </w:r>
    </w:p>
    <w:p w14:paraId="52EA53A0" w14:textId="77777777" w:rsidR="00DB2B68" w:rsidRDefault="00000000">
      <w:pPr>
        <w:jc w:val="both"/>
      </w:pPr>
      <w:r>
        <w:t>Dimensions de la section :</w:t>
      </w:r>
      <w:r>
        <w:rPr>
          <w:rStyle w:val="optioncarChar"/>
        </w:rPr>
        <w:t xml:space="preserve"> Voir plans </w:t>
      </w:r>
      <w:r>
        <w:t xml:space="preserve">(par défaut) </w:t>
      </w:r>
      <w:r>
        <w:rPr>
          <w:rStyle w:val="optioncarChar"/>
        </w:rPr>
        <w:t>/ *** x *** mm²</w:t>
      </w:r>
    </w:p>
    <w:p w14:paraId="02970994"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77572E2E" w14:textId="77777777" w:rsidR="00DB2B68" w:rsidRDefault="00000000">
      <w:pPr>
        <w:jc w:val="both"/>
      </w:pPr>
      <w:r>
        <w:t xml:space="preserve">Classe d’emploi : </w:t>
      </w:r>
      <w:r>
        <w:rPr>
          <w:rStyle w:val="optioncarChar"/>
        </w:rPr>
        <w:t>1 / 2 / 3 / 4 / 5</w:t>
      </w:r>
    </w:p>
    <w:p w14:paraId="66939C7D" w14:textId="77777777" w:rsidR="00DB2B68" w:rsidRDefault="00000000">
      <w:pPr>
        <w:jc w:val="both"/>
      </w:pPr>
      <w:r>
        <w:t xml:space="preserve">La durabilité des colonnes,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A2.1 / ***</w:t>
      </w:r>
    </w:p>
    <w:p w14:paraId="47E7490B" w14:textId="77777777" w:rsidR="00DB2B68" w:rsidRDefault="00000000">
      <w:pPr>
        <w:pStyle w:val="pheading"/>
      </w:pPr>
      <w:r>
        <w:t>- Finitions</w:t>
      </w:r>
    </w:p>
    <w:p w14:paraId="0EE9F87A" w14:textId="77777777" w:rsidR="00DB2B68" w:rsidRDefault="00000000">
      <w:pPr>
        <w:jc w:val="both"/>
      </w:pPr>
      <w:r>
        <w:t>Les colonnes en bois massif à section rectangulaire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40EE0CC1" w14:textId="77777777" w:rsidR="00DB2B68" w:rsidRDefault="00000000">
      <w:pPr>
        <w:jc w:val="both"/>
      </w:pPr>
      <w:r>
        <w:t xml:space="preserve">Les arrêtes sont </w:t>
      </w:r>
      <w:r>
        <w:rPr>
          <w:rStyle w:val="optioncarChar"/>
        </w:rPr>
        <w:t>vives</w:t>
      </w:r>
      <w:r>
        <w:t xml:space="preserve"> (par défaut) </w:t>
      </w:r>
      <w:r>
        <w:rPr>
          <w:rStyle w:val="optioncarChar"/>
        </w:rPr>
        <w:t>/ chanfreinées / ***</w:t>
      </w:r>
    </w:p>
    <w:p w14:paraId="076C16F1" w14:textId="77777777" w:rsidR="00DB2B68" w:rsidRDefault="00000000">
      <w:pPr>
        <w:jc w:val="both"/>
      </w:pPr>
      <w:r>
        <w:t xml:space="preserve">Les colonnes en bois massif sont </w:t>
      </w:r>
      <w:r>
        <w:rPr>
          <w:rStyle w:val="optioncarChar"/>
        </w:rPr>
        <w:t>sans finitions</w:t>
      </w:r>
      <w:r>
        <w:t xml:space="preserve"> (par défaut)</w:t>
      </w:r>
      <w:r>
        <w:rPr>
          <w:rStyle w:val="optioncarChar"/>
        </w:rPr>
        <w:t xml:space="preserve"> / huilées / vernies / lasurées / peintes / ***</w:t>
      </w:r>
      <w:r>
        <w:t xml:space="preserve"> avant mise en œuvre.</w:t>
      </w:r>
    </w:p>
    <w:p w14:paraId="58B8D252" w14:textId="77777777" w:rsidR="00DB2B68" w:rsidRDefault="00000000">
      <w:pPr>
        <w:pStyle w:val="pheading"/>
      </w:pPr>
      <w:r>
        <w:t>- Prescriptions complémentaires</w:t>
      </w:r>
    </w:p>
    <w:p w14:paraId="45698B86" w14:textId="77777777" w:rsidR="00DB2B68" w:rsidRDefault="00000000">
      <w:pPr>
        <w:jc w:val="both"/>
      </w:pPr>
      <w:r>
        <w:rPr>
          <w:rStyle w:val="facultChar"/>
        </w:rPr>
        <w:t>Le classement d’aspect des colonnes en bois massif se fait selon la [NBN EN 1611-1] pour les essences résineuses européennes (épicéas, pins, sapins et douglas), selon la [NBN EN 975-1] pour le chêne et le hêtre et selon la [NBN EN 975-2] pour le peuplier.</w:t>
      </w:r>
    </w:p>
    <w:p w14:paraId="7D1A778E" w14:textId="77777777" w:rsidR="00DB2B68" w:rsidRDefault="00000000">
      <w:pPr>
        <w:jc w:val="both"/>
      </w:pPr>
      <w:r>
        <w:rPr>
          <w:rStyle w:val="facultChar"/>
        </w:rPr>
        <w:t>Le classement d’aspect doit être dissocié du classement mécanique. Des exigences sur le classement d’aspect peuvent influencer le classement mécanique ou le dimensionnement des pièces et donc la disponibilité.</w:t>
      </w:r>
    </w:p>
    <w:p w14:paraId="7B6987A8" w14:textId="77777777" w:rsidR="00DB2B68" w:rsidRDefault="00000000">
      <w:pPr>
        <w:jc w:val="both"/>
      </w:pPr>
      <w:r>
        <w:rPr>
          <w:rStyle w:val="facultChar"/>
          <w:u w:val="single"/>
        </w:rPr>
        <w:t>Classe d’aspect si essence résineuse :</w:t>
      </w:r>
    </w:p>
    <w:p w14:paraId="1A8628A7" w14:textId="77777777" w:rsidR="00DB2B68" w:rsidRDefault="00000000">
      <w:pPr>
        <w:jc w:val="both"/>
      </w:pPr>
      <w:r>
        <w:rPr>
          <w:rStyle w:val="facultChar"/>
        </w:rPr>
        <w:t>Classement sur 2 faces selon [NBN EN 1611-1] :</w:t>
      </w:r>
      <w:r>
        <w:rPr>
          <w:rStyle w:val="optioncarChar"/>
        </w:rPr>
        <w:t>G2-0 / G2-1 / G2-2 / G2-3 / G2-4 </w:t>
      </w:r>
    </w:p>
    <w:p w14:paraId="27D24272" w14:textId="77777777" w:rsidR="00DB2B68" w:rsidRDefault="00000000">
      <w:pPr>
        <w:jc w:val="both"/>
      </w:pPr>
      <w:r>
        <w:rPr>
          <w:rStyle w:val="facultChar"/>
        </w:rPr>
        <w:t>Classement sur 4 faces [NBN EN 1611-1] :</w:t>
      </w:r>
      <w:r>
        <w:rPr>
          <w:rStyle w:val="optioncarChar"/>
        </w:rPr>
        <w:t>G4-0 / G4-1 / G4-2 / G4-3 / G4-4</w:t>
      </w:r>
    </w:p>
    <w:p w14:paraId="484BD699" w14:textId="77777777" w:rsidR="00DB2B68" w:rsidRDefault="00000000">
      <w:pPr>
        <w:jc w:val="both"/>
      </w:pPr>
      <w:r>
        <w:rPr>
          <w:rStyle w:val="facultChar"/>
          <w:u w:val="single"/>
        </w:rPr>
        <w:t>Classe d’aspect si essence feuillue :</w:t>
      </w:r>
    </w:p>
    <w:p w14:paraId="2074747D" w14:textId="77777777" w:rsidR="00DB2B68" w:rsidRDefault="00000000">
      <w:pPr>
        <w:jc w:val="both"/>
      </w:pPr>
      <w:r>
        <w:rPr>
          <w:rStyle w:val="facultChar"/>
        </w:rPr>
        <w:t>Classement du chêne selon [NBN EN 975-1]:</w:t>
      </w:r>
      <w:r>
        <w:rPr>
          <w:rStyle w:val="optioncarChar"/>
        </w:rPr>
        <w:t>Q-P A / Q-P 1 / Q-P 2</w:t>
      </w:r>
    </w:p>
    <w:p w14:paraId="2EA5AF23" w14:textId="77777777" w:rsidR="00DB2B68" w:rsidRDefault="00000000">
      <w:pPr>
        <w:jc w:val="both"/>
      </w:pPr>
      <w:r>
        <w:rPr>
          <w:rStyle w:val="facultChar"/>
        </w:rPr>
        <w:t>Classement du hêtre selon [NBN EN 975-1] :</w:t>
      </w:r>
      <w:r>
        <w:rPr>
          <w:rStyle w:val="optioncarChar"/>
        </w:rPr>
        <w:t>F-D A / F-D 1 / F-D 2</w:t>
      </w:r>
    </w:p>
    <w:p w14:paraId="253C8F62" w14:textId="77777777" w:rsidR="00DB2B68" w:rsidRDefault="00000000">
      <w:pPr>
        <w:jc w:val="both"/>
      </w:pPr>
      <w:r>
        <w:rPr>
          <w:rStyle w:val="facultChar"/>
        </w:rPr>
        <w:t>Classement du peuplier selon [NBN EN 975-2] :</w:t>
      </w:r>
      <w:r>
        <w:rPr>
          <w:rStyle w:val="optioncarChar"/>
        </w:rPr>
        <w:t xml:space="preserve"> choix 1 / choix 2 / choix 3 / choix 4</w:t>
      </w:r>
    </w:p>
    <w:p w14:paraId="1F5568E3" w14:textId="77777777" w:rsidR="00DB2B68" w:rsidRDefault="00000000">
      <w:pPr>
        <w:pStyle w:val="pheading"/>
      </w:pPr>
      <w:r>
        <w:t>EXÉCUTION / MISE EN ŒUVRE</w:t>
      </w:r>
    </w:p>
    <w:p w14:paraId="2AA58E7A" w14:textId="77777777" w:rsidR="00DB2B68" w:rsidRDefault="00000000">
      <w:pPr>
        <w:pStyle w:val="pheading"/>
      </w:pPr>
      <w:r>
        <w:t>- Prescriptions générales</w:t>
      </w:r>
    </w:p>
    <w:p w14:paraId="2C57B923" w14:textId="77777777" w:rsidR="00DB2B68" w:rsidRDefault="00000000">
      <w:r>
        <w:t xml:space="preserve">Un dispositif casse-goutte est </w:t>
      </w:r>
      <w:r>
        <w:rPr>
          <w:rStyle w:val="optioncarChar"/>
        </w:rPr>
        <w:t xml:space="preserve">prévu </w:t>
      </w:r>
      <w:r>
        <w:t xml:space="preserve">(par défaut) </w:t>
      </w:r>
      <w:r>
        <w:rPr>
          <w:rStyle w:val="optioncarChar"/>
        </w:rPr>
        <w:t>/ ***</w:t>
      </w:r>
      <w:r>
        <w:t xml:space="preserve"> au pied des colonnes extérieures.</w:t>
      </w:r>
    </w:p>
    <w:p w14:paraId="3C662CE3" w14:textId="77777777" w:rsidR="00DB2B68" w:rsidRDefault="00000000">
      <w:pPr>
        <w:pStyle w:val="pheading"/>
      </w:pPr>
      <w:r>
        <w:t>DOCUMENTS DE RÉFÉRENCE COMPLÉMENTAIRES</w:t>
      </w:r>
    </w:p>
    <w:p w14:paraId="36D4CAA5" w14:textId="77777777" w:rsidR="00DB2B68" w:rsidRDefault="00000000">
      <w:pPr>
        <w:pStyle w:val="pheading"/>
      </w:pPr>
      <w:r>
        <w:t>- Matériau</w:t>
      </w:r>
    </w:p>
    <w:p w14:paraId="1C6EEF0A" w14:textId="77777777" w:rsidR="00DB2B68" w:rsidRDefault="00000000">
      <w:r>
        <w:lastRenderedPageBreak/>
        <w:t>[NBN EN 1611-1, Bois sciés - Classement d'aspect des bois résineux - Partie 1: Epicéas, sapins, pins et Douglas Européens]</w:t>
      </w:r>
    </w:p>
    <w:p w14:paraId="66D516F7" w14:textId="77777777" w:rsidR="00DB2B68" w:rsidRDefault="00000000">
      <w:r>
        <w:t>[NBN EN 975-1, Bois sciés - Classement d'aspect des bois feuillus - Partie 1: Chêne et hêtre]</w:t>
      </w:r>
    </w:p>
    <w:p w14:paraId="17DEF4C0" w14:textId="77777777" w:rsidR="00DB2B68" w:rsidRDefault="00000000">
      <w:r>
        <w:t>[NBN EN 975-2, Bois sciés - Classement d'aspect des bois feuillus - Partie 2: Peuplier]</w:t>
      </w:r>
    </w:p>
    <w:p w14:paraId="5F601641" w14:textId="77777777" w:rsidR="00DB2B68" w:rsidRDefault="00000000">
      <w:pPr>
        <w:pStyle w:val="pheading"/>
      </w:pPr>
      <w:r>
        <w:t>MESURAGE</w:t>
      </w:r>
    </w:p>
    <w:p w14:paraId="0442B7C6" w14:textId="77777777" w:rsidR="00DB2B68" w:rsidRDefault="00000000">
      <w:pPr>
        <w:pStyle w:val="pheading"/>
      </w:pPr>
      <w:r>
        <w:t>- unité de mesure:</w:t>
      </w:r>
    </w:p>
    <w:p w14:paraId="0E90D996" w14:textId="77777777" w:rsidR="00DB2B68" w:rsidRDefault="00000000">
      <w:r>
        <w:rPr>
          <w:rStyle w:val="optioncarChar"/>
        </w:rPr>
        <w:t>m³ </w:t>
      </w:r>
      <w:r>
        <w:t>(par défaut)</w:t>
      </w:r>
      <w:r>
        <w:rPr>
          <w:rStyle w:val="optioncarChar"/>
        </w:rPr>
        <w:t> / m / pc</w:t>
      </w:r>
    </w:p>
    <w:p w14:paraId="65F7FAE0" w14:textId="77777777" w:rsidR="00DB2B68" w:rsidRDefault="00000000">
      <w:r>
        <w:rPr>
          <w:b/>
          <w:i/>
        </w:rPr>
        <w:t>(Soit par défaut)</w:t>
      </w:r>
    </w:p>
    <w:p w14:paraId="756043BB" w14:textId="77777777" w:rsidR="00DB2B68" w:rsidRDefault="00000000">
      <w:r>
        <w:rPr>
          <w:rStyle w:val="soitChar"/>
        </w:rPr>
        <w:t>1.    m³ </w:t>
      </w:r>
    </w:p>
    <w:p w14:paraId="09134D68" w14:textId="77777777" w:rsidR="00DB2B68" w:rsidRDefault="00000000">
      <w:r>
        <w:rPr>
          <w:b/>
          <w:i/>
        </w:rPr>
        <w:t>(Soit)</w:t>
      </w:r>
    </w:p>
    <w:p w14:paraId="448D349F" w14:textId="77777777" w:rsidR="00DB2B68" w:rsidRDefault="00000000">
      <w:r>
        <w:rPr>
          <w:rStyle w:val="soitChar"/>
        </w:rPr>
        <w:t>2.    m </w:t>
      </w:r>
    </w:p>
    <w:p w14:paraId="7828872F" w14:textId="77777777" w:rsidR="00DB2B68" w:rsidRDefault="00000000">
      <w:r>
        <w:rPr>
          <w:b/>
          <w:i/>
        </w:rPr>
        <w:t>(Soit)</w:t>
      </w:r>
    </w:p>
    <w:p w14:paraId="45D70498" w14:textId="77777777" w:rsidR="00DB2B68" w:rsidRDefault="00000000">
      <w:r>
        <w:rPr>
          <w:rStyle w:val="soitChar"/>
        </w:rPr>
        <w:t>3.    pc</w:t>
      </w:r>
    </w:p>
    <w:p w14:paraId="64D8120F" w14:textId="77777777" w:rsidR="00DB2B68" w:rsidRDefault="00000000">
      <w:pPr>
        <w:pStyle w:val="pheading"/>
      </w:pPr>
      <w:r>
        <w:t>- code de mesurage:</w:t>
      </w:r>
    </w:p>
    <w:p w14:paraId="5039B74B" w14:textId="77777777" w:rsidR="00DB2B68" w:rsidRDefault="00000000">
      <w:pPr>
        <w:jc w:val="both"/>
      </w:pPr>
      <w:r>
        <w:rPr>
          <w:rStyle w:val="optioncarChar"/>
        </w:rPr>
        <w:t> Volume brut </w:t>
      </w:r>
      <w:r>
        <w:t>(par défaut) </w:t>
      </w:r>
      <w:r>
        <w:rPr>
          <w:rStyle w:val="optioncarChar"/>
        </w:rPr>
        <w:t>/ longueur brute / quantité nette</w:t>
      </w:r>
    </w:p>
    <w:p w14:paraId="51399D06" w14:textId="77777777" w:rsidR="00DB2B68" w:rsidRDefault="00000000">
      <w:pPr>
        <w:jc w:val="both"/>
      </w:pPr>
      <w:r>
        <w:rPr>
          <w:b/>
          <w:i/>
        </w:rPr>
        <w:t>(Soit par défaut)</w:t>
      </w:r>
    </w:p>
    <w:p w14:paraId="2A49D4C9" w14:textId="77777777" w:rsidR="00DB2B68" w:rsidRDefault="00000000">
      <w:pPr>
        <w:jc w:val="both"/>
      </w:pPr>
      <w:r>
        <w:rPr>
          <w:rStyle w:val="soitChar"/>
        </w:rPr>
        <w:t>1.   </w:t>
      </w:r>
      <w:r>
        <w:rPr>
          <w:rStyle w:val="soitChar"/>
          <w:u w:val="single"/>
        </w:rPr>
        <w:t> Volume brut :</w:t>
      </w:r>
    </w:p>
    <w:p w14:paraId="6D74E22E" w14:textId="77777777" w:rsidR="00DB2B68" w:rsidRDefault="00000000">
      <w:pPr>
        <w:jc w:val="both"/>
      </w:pPr>
      <w:r>
        <w:rPr>
          <w:rStyle w:val="soitChar"/>
        </w:rPr>
        <w:t>Le volume brut d’une colonne est calculé suivant le volume du plus petit parallélépipède rectangle pouvant inclure l’élément.</w:t>
      </w:r>
    </w:p>
    <w:p w14:paraId="381603A2" w14:textId="77777777" w:rsidR="00DB2B68" w:rsidRDefault="00000000">
      <w:pPr>
        <w:jc w:val="both"/>
      </w:pPr>
      <w:r>
        <w:rPr>
          <w:b/>
          <w:i/>
        </w:rPr>
        <w:t> (Soit)</w:t>
      </w:r>
    </w:p>
    <w:p w14:paraId="3F9640AF" w14:textId="77777777" w:rsidR="00DB2B68" w:rsidRDefault="00000000">
      <w:pPr>
        <w:jc w:val="both"/>
      </w:pPr>
      <w:r>
        <w:rPr>
          <w:rStyle w:val="soitChar"/>
        </w:rPr>
        <w:t>2.   </w:t>
      </w:r>
      <w:r>
        <w:rPr>
          <w:rStyle w:val="soitChar"/>
          <w:u w:val="single"/>
        </w:rPr>
        <w:t> Longueur brute :</w:t>
      </w:r>
    </w:p>
    <w:p w14:paraId="023C4375"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5CF496BA" w14:textId="77777777" w:rsidR="00DB2B68" w:rsidRDefault="00000000">
      <w:pPr>
        <w:jc w:val="both"/>
      </w:pPr>
      <w:r>
        <w:rPr>
          <w:rStyle w:val="soitChar"/>
        </w:rPr>
        <w:t>La longueur totale des colonnes ayant la même section et les mêmes caractéristiques est comptabilisée.</w:t>
      </w:r>
    </w:p>
    <w:p w14:paraId="2E473265" w14:textId="77777777" w:rsidR="00DB2B68" w:rsidRDefault="00000000">
      <w:pPr>
        <w:jc w:val="both"/>
      </w:pPr>
      <w:r>
        <w:rPr>
          <w:b/>
          <w:i/>
        </w:rPr>
        <w:t> (Soit)</w:t>
      </w:r>
    </w:p>
    <w:p w14:paraId="7C65087B" w14:textId="77777777" w:rsidR="00DB2B68" w:rsidRDefault="00000000">
      <w:pPr>
        <w:jc w:val="both"/>
      </w:pPr>
      <w:r>
        <w:rPr>
          <w:rStyle w:val="soitChar"/>
        </w:rPr>
        <w:t>3.    </w:t>
      </w:r>
      <w:r>
        <w:rPr>
          <w:rStyle w:val="soitChar"/>
          <w:u w:val="single"/>
        </w:rPr>
        <w:t>Quantité nette :</w:t>
      </w:r>
    </w:p>
    <w:p w14:paraId="4B0354F0" w14:textId="77777777" w:rsidR="00DB2B68" w:rsidRDefault="00000000">
      <w:pPr>
        <w:jc w:val="both"/>
      </w:pPr>
      <w:r>
        <w:rPr>
          <w:rStyle w:val="soitChar"/>
        </w:rPr>
        <w:t>Le nombre de colonnes ayant les mêmes dimensions et les mêmes caractéristiques est compatibilisé.</w:t>
      </w:r>
    </w:p>
    <w:p w14:paraId="59DE5793" w14:textId="77777777" w:rsidR="00DB2B68" w:rsidRDefault="00000000">
      <w:pPr>
        <w:pStyle w:val="pheading"/>
      </w:pPr>
      <w:r>
        <w:t>- nature du marché:</w:t>
      </w:r>
    </w:p>
    <w:p w14:paraId="41D27AD1" w14:textId="77777777" w:rsidR="00DB2B68" w:rsidRDefault="00000000">
      <w:r>
        <w:rPr>
          <w:rStyle w:val="optioncarChar"/>
        </w:rPr>
        <w:t>QF </w:t>
      </w:r>
      <w:r>
        <w:t>(par défaut) </w:t>
      </w:r>
      <w:r>
        <w:rPr>
          <w:rStyle w:val="optioncarChar"/>
        </w:rPr>
        <w:t>/ QP</w:t>
      </w:r>
    </w:p>
    <w:p w14:paraId="42BE8AA7" w14:textId="77777777" w:rsidR="00DB2B68" w:rsidRDefault="00000000">
      <w:r>
        <w:rPr>
          <w:b/>
          <w:i/>
        </w:rPr>
        <w:t>(Soit par défaut)</w:t>
      </w:r>
    </w:p>
    <w:p w14:paraId="22DA03A2" w14:textId="77777777" w:rsidR="00DB2B68" w:rsidRDefault="00000000">
      <w:r>
        <w:rPr>
          <w:rStyle w:val="soitChar"/>
        </w:rPr>
        <w:t>1.2.3      QF</w:t>
      </w:r>
    </w:p>
    <w:p w14:paraId="20CA24F6" w14:textId="77777777" w:rsidR="00DB2B68" w:rsidRDefault="00000000">
      <w:r>
        <w:rPr>
          <w:b/>
          <w:i/>
        </w:rPr>
        <w:t>(Soit)</w:t>
      </w:r>
    </w:p>
    <w:p w14:paraId="05F8B34F" w14:textId="77777777" w:rsidR="00DB2B68" w:rsidRDefault="00000000">
      <w:r>
        <w:rPr>
          <w:rStyle w:val="soitChar"/>
        </w:rPr>
        <w:t>1.2.3      QP</w:t>
      </w:r>
    </w:p>
    <w:p w14:paraId="31038B2F" w14:textId="77777777" w:rsidR="00DB2B68" w:rsidRDefault="00000000">
      <w:pPr>
        <w:pStyle w:val="pheading"/>
      </w:pPr>
      <w:r>
        <w:t>AIDE</w:t>
      </w:r>
    </w:p>
    <w:p w14:paraId="6FFF475D" w14:textId="77777777" w:rsidR="00DB2B68" w:rsidRDefault="00000000">
      <w:pPr>
        <w:jc w:val="both"/>
      </w:pPr>
      <w:r>
        <w:t>Le code suivant peut être utilisé pour la dénomination du poste :</w:t>
      </w:r>
    </w:p>
    <w:p w14:paraId="2F61AAF4" w14:textId="77777777" w:rsidR="00DB2B68" w:rsidRDefault="00000000">
      <w:pPr>
        <w:jc w:val="both"/>
      </w:pPr>
      <w:r>
        <w:t>BM 1 / 2 / 3 / 4 / 5</w:t>
      </w:r>
    </w:p>
    <w:p w14:paraId="50E82955" w14:textId="77777777" w:rsidR="00DB2B68" w:rsidRDefault="00000000">
      <w:pPr>
        <w:jc w:val="both"/>
      </w:pPr>
      <w:r>
        <w:t>Avec :</w:t>
      </w:r>
    </w:p>
    <w:p w14:paraId="758681C9" w14:textId="77777777" w:rsidR="00DB2B68" w:rsidRDefault="00000000">
      <w:pPr>
        <w:jc w:val="both"/>
      </w:pPr>
      <w:r>
        <w:t>BM pour bois massif</w:t>
      </w:r>
    </w:p>
    <w:p w14:paraId="442DE90A" w14:textId="77777777" w:rsidR="00DB2B68" w:rsidRDefault="00000000">
      <w:pPr>
        <w:jc w:val="both"/>
      </w:pPr>
      <w:r>
        <w:t>1 : la classe de résistance des colonnes</w:t>
      </w:r>
    </w:p>
    <w:p w14:paraId="30520990" w14:textId="77777777" w:rsidR="00DB2B68" w:rsidRDefault="00000000">
      <w:pPr>
        <w:jc w:val="both"/>
      </w:pPr>
      <w:r>
        <w:lastRenderedPageBreak/>
        <w:t>2 : la section</w:t>
      </w:r>
    </w:p>
    <w:p w14:paraId="5645A67D" w14:textId="77777777" w:rsidR="00DB2B68" w:rsidRDefault="00000000">
      <w:pPr>
        <w:jc w:val="both"/>
      </w:pPr>
      <w:r>
        <w:t>3 : l’essence de bois</w:t>
      </w:r>
    </w:p>
    <w:p w14:paraId="4910E6B2" w14:textId="77777777" w:rsidR="00DB2B68" w:rsidRDefault="00000000">
      <w:pPr>
        <w:jc w:val="both"/>
      </w:pPr>
      <w:r>
        <w:t>4 : la classe d’emploi des colonnes</w:t>
      </w:r>
    </w:p>
    <w:p w14:paraId="286F19FA" w14:textId="77777777" w:rsidR="00DB2B68" w:rsidRDefault="00000000">
      <w:pPr>
        <w:jc w:val="both"/>
      </w:pPr>
      <w:r>
        <w:t>5 : la méthode utilisée pour garantir la durabilité des colonnes</w:t>
      </w:r>
    </w:p>
    <w:p w14:paraId="49444118" w14:textId="77777777" w:rsidR="00DB2B68" w:rsidRDefault="00000000">
      <w:pPr>
        <w:jc w:val="both"/>
      </w:pPr>
      <w:r>
        <w:t>Ce qui donne, par exemple :</w:t>
      </w:r>
    </w:p>
    <w:p w14:paraId="5A82152D" w14:textId="77777777" w:rsidR="00DB2B68" w:rsidRDefault="00000000">
      <w:pPr>
        <w:jc w:val="both"/>
      </w:pPr>
      <w:r>
        <w:t>BM C18 / 175x225 / Douglas / 2 / sans aubier.</w:t>
      </w:r>
    </w:p>
    <w:p w14:paraId="4B7348EC" w14:textId="77777777" w:rsidR="00DB2B68" w:rsidRDefault="00000000">
      <w:pPr>
        <w:pStyle w:val="Author-eSectionHeading6Numberless"/>
      </w:pPr>
      <w:bookmarkStart w:id="1568" w:name="_Toc220496560"/>
      <w:r>
        <w:t>24.12.1b Colonnes en bois massif à section circulaire CCTB 01.11</w:t>
      </w:r>
      <w:bookmarkEnd w:id="1568"/>
    </w:p>
    <w:p w14:paraId="20C15CF4" w14:textId="77777777" w:rsidR="00DB2B68" w:rsidRDefault="00000000">
      <w:pPr>
        <w:pStyle w:val="pheading"/>
      </w:pPr>
      <w:r>
        <w:t>DESCRIPTION</w:t>
      </w:r>
    </w:p>
    <w:p w14:paraId="3517C09A" w14:textId="77777777" w:rsidR="00DB2B68" w:rsidRDefault="00000000">
      <w:pPr>
        <w:pStyle w:val="pheading"/>
      </w:pPr>
      <w:r>
        <w:t>- Définition / Comprend</w:t>
      </w:r>
    </w:p>
    <w:p w14:paraId="6B44A41E" w14:textId="77777777" w:rsidR="00DB2B68" w:rsidRDefault="00000000">
      <w:r>
        <w:t>Il s'agit de l’ensemble des colonnes en bois à section circulaire.</w:t>
      </w:r>
    </w:p>
    <w:p w14:paraId="4358FA60" w14:textId="77777777" w:rsidR="00DB2B68" w:rsidRDefault="00000000">
      <w:pPr>
        <w:pStyle w:val="pheading"/>
      </w:pPr>
      <w:r>
        <w:t>MATÉRIAUX</w:t>
      </w:r>
    </w:p>
    <w:p w14:paraId="478A08DF" w14:textId="77777777" w:rsidR="00DB2B68" w:rsidRDefault="00000000">
      <w:pPr>
        <w:pStyle w:val="pheading"/>
      </w:pPr>
      <w:r>
        <w:t>- Caractéristiques générales</w:t>
      </w:r>
    </w:p>
    <w:p w14:paraId="15831E3E" w14:textId="77777777" w:rsidR="00DB2B68" w:rsidRDefault="00000000">
      <w:pPr>
        <w:jc w:val="both"/>
      </w:pPr>
      <w:r>
        <w:t>A l’heure actuelle, il n’est pas possible de classer les bois ronds en termes de résistance selon les normes européennes. La norme [DIN 4074-2] est utilisée.</w:t>
      </w:r>
    </w:p>
    <w:p w14:paraId="622BF215" w14:textId="77777777" w:rsidR="00DB2B68" w:rsidRDefault="00000000">
      <w:pPr>
        <w:jc w:val="both"/>
      </w:pPr>
      <w:r>
        <w:t xml:space="preserve">Classe de résistance selon la [DIN 4074-2] : </w:t>
      </w:r>
      <w:r>
        <w:rPr>
          <w:rStyle w:val="optioncarChar"/>
        </w:rPr>
        <w:t>***</w:t>
      </w:r>
    </w:p>
    <w:p w14:paraId="4AF30D5C" w14:textId="77777777" w:rsidR="00DB2B68" w:rsidRDefault="00000000">
      <w:pPr>
        <w:jc w:val="both"/>
      </w:pPr>
      <w:r>
        <w:t xml:space="preserve">Conicité maximale des colonnes : </w:t>
      </w:r>
      <w:r>
        <w:rPr>
          <w:rStyle w:val="optioncarChar"/>
        </w:rPr>
        <w:t>non-autorisée </w:t>
      </w:r>
      <w:r>
        <w:t>(par défaut)</w:t>
      </w:r>
      <w:r>
        <w:rPr>
          <w:rStyle w:val="optioncarChar"/>
        </w:rPr>
        <w:t xml:space="preserve"> / 5mm/m / 10 mm/m / ***</w:t>
      </w:r>
    </w:p>
    <w:p w14:paraId="69545451" w14:textId="77777777" w:rsidR="00DB2B68" w:rsidRDefault="00000000">
      <w:pPr>
        <w:jc w:val="both"/>
      </w:pPr>
      <w:r>
        <w:t xml:space="preserve">Diamètre de la section : </w:t>
      </w:r>
      <w:r>
        <w:rPr>
          <w:rStyle w:val="optioncarChar"/>
        </w:rPr>
        <w:t xml:space="preserve">Voir plans </w:t>
      </w:r>
      <w:r>
        <w:t xml:space="preserve">(par défaut) </w:t>
      </w:r>
      <w:r>
        <w:rPr>
          <w:rStyle w:val="optioncarChar"/>
        </w:rPr>
        <w:t>/ *** mm</w:t>
      </w:r>
    </w:p>
    <w:p w14:paraId="633395B8" w14:textId="77777777" w:rsidR="00DB2B68" w:rsidRDefault="00000000">
      <w:pPr>
        <w:jc w:val="both"/>
      </w:pPr>
      <w:r>
        <w:t>Lorsqu’une conicité est autorisée, le diamètre prescrit est celui de la plus petite section.</w:t>
      </w:r>
    </w:p>
    <w:p w14:paraId="4D039C12"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1E872B6B" w14:textId="77777777" w:rsidR="00DB2B68" w:rsidRDefault="00000000">
      <w:pPr>
        <w:jc w:val="both"/>
      </w:pPr>
      <w:r>
        <w:t xml:space="preserve">Classe d’emploi : </w:t>
      </w:r>
      <w:r>
        <w:rPr>
          <w:rStyle w:val="optioncarChar"/>
        </w:rPr>
        <w:t>1 / 2 / 3 / 4 / 5</w:t>
      </w:r>
    </w:p>
    <w:p w14:paraId="42996949" w14:textId="77777777" w:rsidR="00DB2B68" w:rsidRDefault="00000000">
      <w:pPr>
        <w:jc w:val="both"/>
      </w:pPr>
      <w:r>
        <w:t xml:space="preserve">La durabilité de la colonne, en fonction de sa classe d’emploi, est assurée par la mesure suivante : </w:t>
      </w:r>
      <w:r>
        <w:rPr>
          <w:rStyle w:val="optioncarChar"/>
        </w:rPr>
        <w:t xml:space="preserve">aucune mesure n’est nécessaire / bois hors aubier </w:t>
      </w:r>
      <w:r>
        <w:t>(par défaut) </w:t>
      </w:r>
      <w:r>
        <w:rPr>
          <w:rStyle w:val="optioncarChar"/>
        </w:rPr>
        <w:t>/ traitement A1 / traitement A2.1 / traitement A3 / ***</w:t>
      </w:r>
    </w:p>
    <w:p w14:paraId="1268DEF4" w14:textId="77777777" w:rsidR="00DB2B68" w:rsidRDefault="00000000">
      <w:pPr>
        <w:pStyle w:val="pheading"/>
      </w:pPr>
      <w:r>
        <w:t>- Finitions</w:t>
      </w:r>
    </w:p>
    <w:p w14:paraId="5C3DEA6A" w14:textId="77777777" w:rsidR="00DB2B68" w:rsidRDefault="00000000">
      <w:pPr>
        <w:jc w:val="both"/>
      </w:pPr>
      <w:r>
        <w:t xml:space="preserve">Les colonnes en bois massif à section circulaire sont </w:t>
      </w:r>
      <w:r>
        <w:rPr>
          <w:rStyle w:val="optioncarChar"/>
        </w:rPr>
        <w:t>rabotées</w:t>
      </w:r>
      <w:r>
        <w:t xml:space="preserve"> (par défaut)</w:t>
      </w:r>
      <w:r>
        <w:rPr>
          <w:rStyle w:val="optioncarChar"/>
        </w:rPr>
        <w:t xml:space="preserve"> / brutes de sciage / poncées / ***</w:t>
      </w:r>
    </w:p>
    <w:p w14:paraId="4E56D20D" w14:textId="77777777" w:rsidR="00DB2B68" w:rsidRDefault="00000000">
      <w:pPr>
        <w:jc w:val="both"/>
      </w:pPr>
      <w:r>
        <w:t xml:space="preserve">Les colonnes en bois massif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73C52BFD" w14:textId="77777777" w:rsidR="00DB2B68" w:rsidRDefault="00000000">
      <w:pPr>
        <w:pStyle w:val="pheading"/>
      </w:pPr>
      <w:r>
        <w:t>EXÉCUTION / MISE EN ŒUVRE</w:t>
      </w:r>
    </w:p>
    <w:p w14:paraId="6E357EFF" w14:textId="77777777" w:rsidR="00DB2B68" w:rsidRDefault="00000000">
      <w:pPr>
        <w:pStyle w:val="pheading"/>
      </w:pPr>
      <w:r>
        <w:t>- Prescriptions générales</w:t>
      </w:r>
    </w:p>
    <w:p w14:paraId="1555E0AB" w14:textId="77777777" w:rsidR="00DB2B68" w:rsidRDefault="00000000">
      <w:r>
        <w:t xml:space="preserve">Un dispositif casse-goutte est </w:t>
      </w:r>
      <w:r>
        <w:rPr>
          <w:rStyle w:val="optioncarChar"/>
        </w:rPr>
        <w:t>prévu</w:t>
      </w:r>
      <w:r>
        <w:t xml:space="preserve"> (par défaut) </w:t>
      </w:r>
      <w:r>
        <w:rPr>
          <w:rStyle w:val="optioncarChar"/>
        </w:rPr>
        <w:t>/ ***</w:t>
      </w:r>
      <w:r>
        <w:t xml:space="preserve"> au pied des colonnes extérieures.</w:t>
      </w:r>
    </w:p>
    <w:p w14:paraId="1A98C67B" w14:textId="77777777" w:rsidR="00DB2B68" w:rsidRDefault="00000000">
      <w:pPr>
        <w:pStyle w:val="pheading"/>
      </w:pPr>
      <w:r>
        <w:t>MESURAGE</w:t>
      </w:r>
    </w:p>
    <w:p w14:paraId="720325A9" w14:textId="77777777" w:rsidR="00DB2B68" w:rsidRDefault="00000000">
      <w:pPr>
        <w:pStyle w:val="pheading"/>
      </w:pPr>
      <w:r>
        <w:t>- unité de mesure:</w:t>
      </w:r>
    </w:p>
    <w:p w14:paraId="7DC8C172" w14:textId="77777777" w:rsidR="00DB2B68" w:rsidRDefault="00000000">
      <w:r>
        <w:rPr>
          <w:rStyle w:val="optioncarChar"/>
        </w:rPr>
        <w:t>m³ </w:t>
      </w:r>
      <w:r>
        <w:t>(par défaut)</w:t>
      </w:r>
      <w:r>
        <w:rPr>
          <w:rStyle w:val="optioncarChar"/>
        </w:rPr>
        <w:t> / m / pc</w:t>
      </w:r>
    </w:p>
    <w:p w14:paraId="19B238C3" w14:textId="77777777" w:rsidR="00DB2B68" w:rsidRDefault="00000000">
      <w:r>
        <w:rPr>
          <w:b/>
          <w:i/>
        </w:rPr>
        <w:t>(Soit par défaut)</w:t>
      </w:r>
    </w:p>
    <w:p w14:paraId="65385E8A" w14:textId="77777777" w:rsidR="00DB2B68" w:rsidRDefault="00000000">
      <w:r>
        <w:rPr>
          <w:rStyle w:val="soitChar"/>
        </w:rPr>
        <w:t>1.    m³ </w:t>
      </w:r>
    </w:p>
    <w:p w14:paraId="3E8FBBD5" w14:textId="77777777" w:rsidR="00DB2B68" w:rsidRDefault="00000000">
      <w:r>
        <w:rPr>
          <w:b/>
          <w:i/>
        </w:rPr>
        <w:t>(Soit)</w:t>
      </w:r>
    </w:p>
    <w:p w14:paraId="2B25C335" w14:textId="77777777" w:rsidR="00DB2B68" w:rsidRDefault="00000000">
      <w:r>
        <w:rPr>
          <w:rStyle w:val="soitChar"/>
        </w:rPr>
        <w:t>2.    m </w:t>
      </w:r>
    </w:p>
    <w:p w14:paraId="62BE8026" w14:textId="77777777" w:rsidR="00DB2B68" w:rsidRDefault="00000000">
      <w:r>
        <w:rPr>
          <w:b/>
          <w:i/>
        </w:rPr>
        <w:t>(Soit)</w:t>
      </w:r>
    </w:p>
    <w:p w14:paraId="41471EFA" w14:textId="77777777" w:rsidR="00DB2B68" w:rsidRDefault="00000000">
      <w:r>
        <w:rPr>
          <w:rStyle w:val="soitChar"/>
        </w:rPr>
        <w:t>3.    pc</w:t>
      </w:r>
    </w:p>
    <w:p w14:paraId="607C293F" w14:textId="77777777" w:rsidR="00DB2B68" w:rsidRDefault="00000000">
      <w:pPr>
        <w:pStyle w:val="pheading"/>
      </w:pPr>
      <w:r>
        <w:lastRenderedPageBreak/>
        <w:t>- code de mesurage:</w:t>
      </w:r>
    </w:p>
    <w:p w14:paraId="16473A38" w14:textId="77777777" w:rsidR="00DB2B68" w:rsidRDefault="00000000">
      <w:pPr>
        <w:jc w:val="both"/>
      </w:pPr>
      <w:r>
        <w:rPr>
          <w:rStyle w:val="optioncarChar"/>
        </w:rPr>
        <w:t> Volume brut </w:t>
      </w:r>
      <w:r>
        <w:t>(par défaut) </w:t>
      </w:r>
      <w:r>
        <w:rPr>
          <w:rStyle w:val="optioncarChar"/>
        </w:rPr>
        <w:t>/ longueur brute / quantité nette</w:t>
      </w:r>
    </w:p>
    <w:p w14:paraId="45913223" w14:textId="77777777" w:rsidR="00DB2B68" w:rsidRDefault="00000000">
      <w:pPr>
        <w:jc w:val="both"/>
      </w:pPr>
      <w:r>
        <w:rPr>
          <w:b/>
          <w:i/>
        </w:rPr>
        <w:t>(Soit par défaut)</w:t>
      </w:r>
    </w:p>
    <w:p w14:paraId="6E3D409A" w14:textId="77777777" w:rsidR="00DB2B68" w:rsidRDefault="00000000">
      <w:pPr>
        <w:jc w:val="both"/>
      </w:pPr>
      <w:r>
        <w:rPr>
          <w:rStyle w:val="soitChar"/>
        </w:rPr>
        <w:t>1.   </w:t>
      </w:r>
      <w:r>
        <w:rPr>
          <w:rStyle w:val="soitChar"/>
          <w:u w:val="single"/>
        </w:rPr>
        <w:t> Volume brut :</w:t>
      </w:r>
    </w:p>
    <w:p w14:paraId="3EE4569F" w14:textId="77777777" w:rsidR="00DB2B68" w:rsidRDefault="00000000">
      <w:pPr>
        <w:jc w:val="both"/>
      </w:pPr>
      <w:r>
        <w:rPr>
          <w:rStyle w:val="soitChar"/>
        </w:rPr>
        <w:t>Le volume brut d’une colonne est calculé suivant le volume du plus petit parallélépipède rectangle pouvant inclure l’élément.</w:t>
      </w:r>
    </w:p>
    <w:p w14:paraId="58DBE335" w14:textId="77777777" w:rsidR="00DB2B68" w:rsidRDefault="00000000">
      <w:pPr>
        <w:jc w:val="both"/>
      </w:pPr>
      <w:r>
        <w:rPr>
          <w:b/>
          <w:i/>
        </w:rPr>
        <w:t> (Soit)</w:t>
      </w:r>
    </w:p>
    <w:p w14:paraId="06A8531B" w14:textId="77777777" w:rsidR="00DB2B68" w:rsidRDefault="00000000">
      <w:pPr>
        <w:jc w:val="both"/>
      </w:pPr>
      <w:r>
        <w:rPr>
          <w:rStyle w:val="soitChar"/>
        </w:rPr>
        <w:t>2.   </w:t>
      </w:r>
      <w:r>
        <w:rPr>
          <w:rStyle w:val="soitChar"/>
          <w:u w:val="single"/>
        </w:rPr>
        <w:t> Longueur brute :</w:t>
      </w:r>
    </w:p>
    <w:p w14:paraId="0288E70A"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59140EE6" w14:textId="77777777" w:rsidR="00DB2B68" w:rsidRDefault="00000000">
      <w:pPr>
        <w:jc w:val="both"/>
      </w:pPr>
      <w:r>
        <w:rPr>
          <w:rStyle w:val="soitChar"/>
        </w:rPr>
        <w:t>La longueur totale des colonnes ayant la même section et les mêmes caractéristiques est comptabilisée.</w:t>
      </w:r>
    </w:p>
    <w:p w14:paraId="718C6419" w14:textId="77777777" w:rsidR="00DB2B68" w:rsidRDefault="00000000">
      <w:pPr>
        <w:jc w:val="both"/>
      </w:pPr>
      <w:r>
        <w:rPr>
          <w:b/>
          <w:i/>
        </w:rPr>
        <w:t> (Soit)</w:t>
      </w:r>
    </w:p>
    <w:p w14:paraId="31E8FC0F" w14:textId="77777777" w:rsidR="00DB2B68" w:rsidRDefault="00000000">
      <w:pPr>
        <w:jc w:val="both"/>
      </w:pPr>
      <w:r>
        <w:rPr>
          <w:rStyle w:val="soitChar"/>
        </w:rPr>
        <w:t>3.    </w:t>
      </w:r>
      <w:r>
        <w:rPr>
          <w:rStyle w:val="soitChar"/>
          <w:u w:val="single"/>
        </w:rPr>
        <w:t>Quantité nette :</w:t>
      </w:r>
    </w:p>
    <w:p w14:paraId="521A915B" w14:textId="77777777" w:rsidR="00DB2B68" w:rsidRDefault="00000000">
      <w:pPr>
        <w:jc w:val="both"/>
      </w:pPr>
      <w:r>
        <w:rPr>
          <w:rStyle w:val="soitChar"/>
        </w:rPr>
        <w:t>Le nombre de colonnes ayant les mêmes dimensions et les mêmes caractéristiques est compatibilisé.</w:t>
      </w:r>
    </w:p>
    <w:p w14:paraId="60473BF4" w14:textId="77777777" w:rsidR="00DB2B68" w:rsidRDefault="00000000">
      <w:pPr>
        <w:pStyle w:val="pheading"/>
      </w:pPr>
      <w:r>
        <w:t>- nature du marché:</w:t>
      </w:r>
    </w:p>
    <w:p w14:paraId="27D3EF10" w14:textId="77777777" w:rsidR="00DB2B68" w:rsidRDefault="00000000">
      <w:r>
        <w:rPr>
          <w:rStyle w:val="optioncarChar"/>
        </w:rPr>
        <w:t>QF </w:t>
      </w:r>
      <w:r>
        <w:t>(par défaut) </w:t>
      </w:r>
      <w:r>
        <w:rPr>
          <w:rStyle w:val="optioncarChar"/>
        </w:rPr>
        <w:t>/ QP</w:t>
      </w:r>
    </w:p>
    <w:p w14:paraId="0886F01D" w14:textId="77777777" w:rsidR="00DB2B68" w:rsidRDefault="00000000">
      <w:r>
        <w:rPr>
          <w:b/>
          <w:i/>
        </w:rPr>
        <w:t>(Soit par défaut)</w:t>
      </w:r>
    </w:p>
    <w:p w14:paraId="3BB63DF6" w14:textId="77777777" w:rsidR="00DB2B68" w:rsidRDefault="00000000">
      <w:r>
        <w:rPr>
          <w:rStyle w:val="soitChar"/>
        </w:rPr>
        <w:t>1.2.3      QF</w:t>
      </w:r>
    </w:p>
    <w:p w14:paraId="5973CD66" w14:textId="77777777" w:rsidR="00DB2B68" w:rsidRDefault="00000000">
      <w:r>
        <w:rPr>
          <w:b/>
          <w:i/>
        </w:rPr>
        <w:t>(Soit)</w:t>
      </w:r>
    </w:p>
    <w:p w14:paraId="4A9BA363" w14:textId="77777777" w:rsidR="00DB2B68" w:rsidRDefault="00000000">
      <w:r>
        <w:rPr>
          <w:rStyle w:val="soitChar"/>
        </w:rPr>
        <w:t>1.2.3      QP</w:t>
      </w:r>
    </w:p>
    <w:p w14:paraId="4FD7E4EE" w14:textId="77777777" w:rsidR="00DB2B68" w:rsidRDefault="00000000">
      <w:pPr>
        <w:pStyle w:val="pheading"/>
      </w:pPr>
      <w:r>
        <w:t>AIDE</w:t>
      </w:r>
    </w:p>
    <w:p w14:paraId="287661BE" w14:textId="77777777" w:rsidR="00DB2B68" w:rsidRDefault="00000000">
      <w:pPr>
        <w:jc w:val="both"/>
      </w:pPr>
      <w:r>
        <w:t>Le code suivant peut être utilisé pour la dénomination du poste :</w:t>
      </w:r>
    </w:p>
    <w:p w14:paraId="60908359" w14:textId="77777777" w:rsidR="00DB2B68" w:rsidRDefault="00000000">
      <w:pPr>
        <w:jc w:val="both"/>
      </w:pPr>
      <w:r>
        <w:t>BM 1 / 2 / 3 / 4</w:t>
      </w:r>
    </w:p>
    <w:p w14:paraId="230BD88E" w14:textId="77777777" w:rsidR="00DB2B68" w:rsidRDefault="00000000">
      <w:pPr>
        <w:jc w:val="both"/>
      </w:pPr>
      <w:r>
        <w:t>Avec :</w:t>
      </w:r>
    </w:p>
    <w:p w14:paraId="187F96A8" w14:textId="77777777" w:rsidR="00DB2B68" w:rsidRDefault="00000000">
      <w:pPr>
        <w:jc w:val="both"/>
      </w:pPr>
      <w:r>
        <w:t>BM pour bois massif</w:t>
      </w:r>
    </w:p>
    <w:p w14:paraId="71C3610D" w14:textId="77777777" w:rsidR="00DB2B68" w:rsidRDefault="00000000">
      <w:pPr>
        <w:jc w:val="both"/>
      </w:pPr>
      <w:r>
        <w:t>1 : le diamètre</w:t>
      </w:r>
    </w:p>
    <w:p w14:paraId="6F6F2E80" w14:textId="77777777" w:rsidR="00DB2B68" w:rsidRDefault="00000000">
      <w:pPr>
        <w:jc w:val="both"/>
      </w:pPr>
      <w:r>
        <w:t>2 : l’essence de bois</w:t>
      </w:r>
    </w:p>
    <w:p w14:paraId="1757CB3B" w14:textId="77777777" w:rsidR="00DB2B68" w:rsidRDefault="00000000">
      <w:pPr>
        <w:jc w:val="both"/>
      </w:pPr>
      <w:r>
        <w:t>3 : la classe d’emploi de l’élément</w:t>
      </w:r>
    </w:p>
    <w:p w14:paraId="1E1C4B1C" w14:textId="77777777" w:rsidR="00DB2B68" w:rsidRDefault="00000000">
      <w:pPr>
        <w:jc w:val="both"/>
      </w:pPr>
      <w:r>
        <w:t>4 : la méthode utilisée pour garantir la durabilité de l’élément</w:t>
      </w:r>
    </w:p>
    <w:p w14:paraId="3E7A3F3F" w14:textId="77777777" w:rsidR="00DB2B68" w:rsidRDefault="00000000">
      <w:pPr>
        <w:jc w:val="both"/>
      </w:pPr>
      <w:r>
        <w:t> </w:t>
      </w:r>
    </w:p>
    <w:p w14:paraId="72D93810" w14:textId="77777777" w:rsidR="00DB2B68" w:rsidRDefault="00000000">
      <w:pPr>
        <w:jc w:val="both"/>
      </w:pPr>
      <w:r>
        <w:t>Ce qui donne, par exemple :</w:t>
      </w:r>
    </w:p>
    <w:p w14:paraId="1248B866" w14:textId="77777777" w:rsidR="00DB2B68" w:rsidRDefault="00000000">
      <w:pPr>
        <w:jc w:val="both"/>
      </w:pPr>
      <w:r>
        <w:t>BM 200 / Douglas / 2 / sans aubier</w:t>
      </w:r>
    </w:p>
    <w:p w14:paraId="0AD6DAD4" w14:textId="77777777" w:rsidR="00DB2B68" w:rsidRDefault="00000000">
      <w:pPr>
        <w:pStyle w:val="Author-eSectionHeading5Numberless"/>
      </w:pPr>
      <w:bookmarkStart w:id="1569" w:name="_Toc220496561"/>
      <w:r>
        <w:t>24.12.2 Colonnes en bois lamellé collé CCTB 01.07</w:t>
      </w:r>
      <w:bookmarkEnd w:id="1569"/>
    </w:p>
    <w:p w14:paraId="6F95AC36" w14:textId="77777777" w:rsidR="00DB2B68" w:rsidRDefault="00000000">
      <w:pPr>
        <w:pStyle w:val="pheading"/>
      </w:pPr>
      <w:r>
        <w:t>DESCRIPTION</w:t>
      </w:r>
    </w:p>
    <w:p w14:paraId="5BFC9278" w14:textId="77777777" w:rsidR="00DB2B68" w:rsidRDefault="00000000">
      <w:pPr>
        <w:pStyle w:val="pheading"/>
      </w:pPr>
      <w:r>
        <w:t>- Définition / Comprend</w:t>
      </w:r>
    </w:p>
    <w:p w14:paraId="038BF35E" w14:textId="77777777" w:rsidR="00DB2B68" w:rsidRDefault="00000000">
      <w:r>
        <w:t xml:space="preserve">Il s’agit des colonnes en bois lamellé collé. La notion de bois lamellé collé est expliquée au </w:t>
      </w:r>
      <w:hyperlink w:anchor="89" w:history="1">
        <w:r>
          <w:rPr>
            <w:color w:val="0000EE"/>
          </w:rPr>
          <w:t>24 Superstructures en bois</w:t>
        </w:r>
      </w:hyperlink>
      <w:r>
        <w:t>.</w:t>
      </w:r>
    </w:p>
    <w:p w14:paraId="2B041499" w14:textId="77777777" w:rsidR="00DB2B68" w:rsidRDefault="00000000">
      <w:pPr>
        <w:pStyle w:val="Author-eSectionHeading6Numberless"/>
      </w:pPr>
      <w:bookmarkStart w:id="1570" w:name="_Toc220496562"/>
      <w:r>
        <w:t>24.12.2a Colonnes en lamellé collé à inertie constante CCTB 01.11</w:t>
      </w:r>
      <w:bookmarkEnd w:id="1570"/>
    </w:p>
    <w:p w14:paraId="5696F4F1" w14:textId="77777777" w:rsidR="00DB2B68" w:rsidRDefault="00000000">
      <w:pPr>
        <w:pStyle w:val="pheading"/>
      </w:pPr>
      <w:r>
        <w:t>DESCRIPTION</w:t>
      </w:r>
    </w:p>
    <w:p w14:paraId="783FA6B3" w14:textId="77777777" w:rsidR="00DB2B68" w:rsidRDefault="00000000">
      <w:pPr>
        <w:pStyle w:val="pheading"/>
      </w:pPr>
      <w:r>
        <w:lastRenderedPageBreak/>
        <w:t>- Définition / Comprend</w:t>
      </w:r>
    </w:p>
    <w:p w14:paraId="3CEB2979" w14:textId="77777777" w:rsidR="00DB2B68" w:rsidRDefault="00000000">
      <w:r>
        <w:t>Il s'agit de l’ensemble des colonnes en bois lamellé collé à inertie constante.</w:t>
      </w:r>
    </w:p>
    <w:p w14:paraId="24A2D7F5" w14:textId="77777777" w:rsidR="00DB2B68" w:rsidRDefault="00000000">
      <w:pPr>
        <w:pStyle w:val="pheading"/>
      </w:pPr>
      <w:r>
        <w:t>MATÉRIAUX</w:t>
      </w:r>
    </w:p>
    <w:p w14:paraId="1643930B" w14:textId="77777777" w:rsidR="00DB2B68" w:rsidRDefault="00000000">
      <w:pPr>
        <w:pStyle w:val="pheading"/>
      </w:pPr>
      <w:r>
        <w:t>- Caractéristiques générales</w:t>
      </w:r>
    </w:p>
    <w:p w14:paraId="396CD9F3" w14:textId="77777777" w:rsidR="00DB2B68" w:rsidRDefault="00000000">
      <w:pPr>
        <w:jc w:val="both"/>
      </w:pPr>
      <w:r>
        <w:t xml:space="preserve">Classe de résistance : </w:t>
      </w:r>
      <w:r>
        <w:rPr>
          <w:rStyle w:val="optioncarChar"/>
        </w:rPr>
        <w:t>GL24h</w:t>
      </w:r>
      <w:r>
        <w:t> (par défaut)</w:t>
      </w:r>
      <w:r>
        <w:rPr>
          <w:rStyle w:val="optioncarChar"/>
        </w:rPr>
        <w:t xml:space="preserve"> / GL24c / GL28h / GL28c / ***</w:t>
      </w:r>
    </w:p>
    <w:p w14:paraId="1FF207A9" w14:textId="77777777" w:rsidR="00DB2B68" w:rsidRDefault="00000000">
      <w:pPr>
        <w:jc w:val="both"/>
      </w:pPr>
      <w:r>
        <w:t>Dimensions de la section :</w:t>
      </w:r>
      <w:r>
        <w:rPr>
          <w:rStyle w:val="optioncarChar"/>
        </w:rPr>
        <w:t xml:space="preserve"> Voir plans </w:t>
      </w:r>
      <w:r>
        <w:t>(par défaut)</w:t>
      </w:r>
      <w:r>
        <w:rPr>
          <w:rStyle w:val="optioncarChar"/>
        </w:rPr>
        <w:t xml:space="preserve"> / *** x *** mm²</w:t>
      </w:r>
    </w:p>
    <w:p w14:paraId="231CA3B5"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1CC10AE8" w14:textId="77777777" w:rsidR="00DB2B68" w:rsidRDefault="00000000">
      <w:pPr>
        <w:jc w:val="both"/>
      </w:pPr>
      <w:r>
        <w:t xml:space="preserve">Classe d’emploi : </w:t>
      </w:r>
      <w:r>
        <w:rPr>
          <w:rStyle w:val="optioncarChar"/>
        </w:rPr>
        <w:t>1 / 2 / 3 / 4 / 5</w:t>
      </w:r>
    </w:p>
    <w:p w14:paraId="34CC29F1" w14:textId="77777777" w:rsidR="00DB2B68"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1771DD38" w14:textId="77777777" w:rsidR="00DB2B68" w:rsidRDefault="00000000">
      <w:pPr>
        <w:jc w:val="both"/>
      </w:pPr>
      <w:r>
        <w:t xml:space="preserve">La durabilité des colonnes,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traitement A3 / ***</w:t>
      </w:r>
    </w:p>
    <w:p w14:paraId="06405895" w14:textId="77777777" w:rsidR="00DB2B68" w:rsidRDefault="00000000">
      <w:pPr>
        <w:pStyle w:val="pheading"/>
      </w:pPr>
      <w:r>
        <w:t>- Finitions</w:t>
      </w:r>
    </w:p>
    <w:p w14:paraId="6D92F82F" w14:textId="77777777" w:rsidR="00DB2B68" w:rsidRDefault="00000000">
      <w:r>
        <w:t xml:space="preserve">Les colonnes en bois lamellé collé sont </w:t>
      </w:r>
      <w:r>
        <w:rPr>
          <w:rStyle w:val="optioncarChar"/>
        </w:rPr>
        <w:t>rabotées</w:t>
      </w:r>
      <w:r>
        <w:t xml:space="preserve"> (par défaut)</w:t>
      </w:r>
      <w:r>
        <w:rPr>
          <w:rStyle w:val="optioncarChar"/>
        </w:rPr>
        <w:t xml:space="preserve"> /</w:t>
      </w:r>
      <w:r>
        <w:t> </w:t>
      </w:r>
      <w:r>
        <w:rPr>
          <w:rStyle w:val="optioncarChar"/>
        </w:rPr>
        <w:t>brutes de sciage / poncées / *** </w:t>
      </w:r>
      <w:r>
        <w:t>sur </w:t>
      </w:r>
      <w:r>
        <w:rPr>
          <w:rStyle w:val="optioncarChar"/>
        </w:rPr>
        <w:t>1 / 2 / 3 / 4 </w:t>
      </w:r>
      <w:r>
        <w:t>faces</w:t>
      </w:r>
    </w:p>
    <w:p w14:paraId="3A481BC9" w14:textId="77777777" w:rsidR="00DB2B68" w:rsidRDefault="00000000">
      <w:r>
        <w:t xml:space="preserve">Les arrêtes sont </w:t>
      </w:r>
      <w:r>
        <w:rPr>
          <w:rStyle w:val="optioncarChar"/>
        </w:rPr>
        <w:t>vives</w:t>
      </w:r>
      <w:r>
        <w:t xml:space="preserve"> (par défaut)</w:t>
      </w:r>
      <w:r>
        <w:rPr>
          <w:rStyle w:val="optioncarChar"/>
        </w:rPr>
        <w:t xml:space="preserve"> / chanfreinées / ***</w:t>
      </w:r>
    </w:p>
    <w:p w14:paraId="7B5EB978" w14:textId="77777777" w:rsidR="00DB2B68" w:rsidRDefault="00000000">
      <w:r>
        <w:t xml:space="preserve">Les colonnes en bois lamellé collé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7BFE2D6C" w14:textId="77777777" w:rsidR="00DB2B68" w:rsidRDefault="00000000">
      <w:pPr>
        <w:pStyle w:val="pheading"/>
      </w:pPr>
      <w:r>
        <w:t>- Prescriptions complémentaires</w:t>
      </w:r>
    </w:p>
    <w:p w14:paraId="612179C0" w14:textId="77777777" w:rsidR="00DB2B68" w:rsidRDefault="00000000">
      <w:r>
        <w:rPr>
          <w:rStyle w:val="facultChar"/>
        </w:rPr>
        <w:t>La qualité esthétique des colonnes en bois lamellé collé est</w:t>
      </w:r>
      <w:r>
        <w:t xml:space="preserve">  </w:t>
      </w:r>
      <w:r>
        <w:rPr>
          <w:rStyle w:val="optioncarChar"/>
        </w:rPr>
        <w:t>non-visible / visible industrielle / visible habitation</w:t>
      </w:r>
    </w:p>
    <w:p w14:paraId="5C489BC8" w14:textId="77777777" w:rsidR="00DB2B68" w:rsidRDefault="00000000">
      <w:pPr>
        <w:pStyle w:val="pheading"/>
      </w:pPr>
      <w:r>
        <w:t>EXÉCUTION / MISE EN ŒUVRE</w:t>
      </w:r>
    </w:p>
    <w:p w14:paraId="688D2A1C" w14:textId="77777777" w:rsidR="00DB2B68" w:rsidRDefault="00000000">
      <w:pPr>
        <w:pStyle w:val="pheading"/>
      </w:pPr>
      <w:r>
        <w:t>- Prescriptions générales</w:t>
      </w:r>
    </w:p>
    <w:p w14:paraId="0A9567F1" w14:textId="77777777" w:rsidR="00DB2B68" w:rsidRDefault="00000000">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en bois lamellé collé extérieures.</w:t>
      </w:r>
    </w:p>
    <w:p w14:paraId="20C12E04" w14:textId="77777777" w:rsidR="00DB2B68" w:rsidRDefault="00000000">
      <w:pPr>
        <w:pStyle w:val="pheading"/>
      </w:pPr>
      <w:r>
        <w:t>MESURAGE</w:t>
      </w:r>
    </w:p>
    <w:p w14:paraId="2E0F2266" w14:textId="77777777" w:rsidR="00DB2B68" w:rsidRDefault="00000000">
      <w:pPr>
        <w:pStyle w:val="pheading"/>
      </w:pPr>
      <w:r>
        <w:t>- unité de mesure:</w:t>
      </w:r>
    </w:p>
    <w:p w14:paraId="15A77FD2" w14:textId="77777777" w:rsidR="00DB2B68" w:rsidRDefault="00000000">
      <w:r>
        <w:rPr>
          <w:rStyle w:val="optioncarChar"/>
        </w:rPr>
        <w:t>m³ </w:t>
      </w:r>
      <w:r>
        <w:t>(par défaut)</w:t>
      </w:r>
      <w:r>
        <w:rPr>
          <w:rStyle w:val="optioncarChar"/>
        </w:rPr>
        <w:t> / m / pc</w:t>
      </w:r>
    </w:p>
    <w:p w14:paraId="55DF49D2" w14:textId="77777777" w:rsidR="00DB2B68" w:rsidRDefault="00000000">
      <w:r>
        <w:rPr>
          <w:b/>
          <w:i/>
        </w:rPr>
        <w:t>(Soit par défaut)</w:t>
      </w:r>
    </w:p>
    <w:p w14:paraId="721FCF68" w14:textId="77777777" w:rsidR="00DB2B68" w:rsidRDefault="00000000">
      <w:r>
        <w:rPr>
          <w:rStyle w:val="soitChar"/>
        </w:rPr>
        <w:t>1.    m³ </w:t>
      </w:r>
    </w:p>
    <w:p w14:paraId="4964CBFB" w14:textId="77777777" w:rsidR="00DB2B68" w:rsidRDefault="00000000">
      <w:r>
        <w:rPr>
          <w:b/>
          <w:i/>
        </w:rPr>
        <w:t>(Soit)</w:t>
      </w:r>
    </w:p>
    <w:p w14:paraId="3AF2381F" w14:textId="77777777" w:rsidR="00DB2B68" w:rsidRDefault="00000000">
      <w:r>
        <w:rPr>
          <w:rStyle w:val="soitChar"/>
        </w:rPr>
        <w:t>2.    m </w:t>
      </w:r>
    </w:p>
    <w:p w14:paraId="795FD23A" w14:textId="77777777" w:rsidR="00DB2B68" w:rsidRDefault="00000000">
      <w:r>
        <w:rPr>
          <w:b/>
          <w:i/>
        </w:rPr>
        <w:t>(Soit)</w:t>
      </w:r>
    </w:p>
    <w:p w14:paraId="6C10FA85" w14:textId="77777777" w:rsidR="00DB2B68" w:rsidRDefault="00000000">
      <w:r>
        <w:rPr>
          <w:rStyle w:val="soitChar"/>
        </w:rPr>
        <w:t>3.    pc</w:t>
      </w:r>
    </w:p>
    <w:p w14:paraId="6267BF78" w14:textId="77777777" w:rsidR="00DB2B68" w:rsidRDefault="00000000">
      <w:pPr>
        <w:pStyle w:val="pheading"/>
      </w:pPr>
      <w:r>
        <w:t>- code de mesurage:</w:t>
      </w:r>
    </w:p>
    <w:p w14:paraId="412941E0" w14:textId="77777777" w:rsidR="00DB2B68" w:rsidRDefault="00000000">
      <w:pPr>
        <w:jc w:val="both"/>
      </w:pPr>
      <w:r>
        <w:rPr>
          <w:rStyle w:val="optioncarChar"/>
        </w:rPr>
        <w:t> Volume brut </w:t>
      </w:r>
      <w:r>
        <w:t>(par défaut) </w:t>
      </w:r>
      <w:r>
        <w:rPr>
          <w:rStyle w:val="optioncarChar"/>
        </w:rPr>
        <w:t>/ longueur brute / quantité nette</w:t>
      </w:r>
    </w:p>
    <w:p w14:paraId="66D0FBB3" w14:textId="77777777" w:rsidR="00DB2B68" w:rsidRDefault="00000000">
      <w:pPr>
        <w:jc w:val="both"/>
      </w:pPr>
      <w:r>
        <w:rPr>
          <w:b/>
          <w:i/>
        </w:rPr>
        <w:t>(Soit par défaut)</w:t>
      </w:r>
    </w:p>
    <w:p w14:paraId="7A54ED3F" w14:textId="77777777" w:rsidR="00DB2B68" w:rsidRDefault="00000000">
      <w:pPr>
        <w:jc w:val="both"/>
      </w:pPr>
      <w:r>
        <w:rPr>
          <w:rStyle w:val="soitChar"/>
        </w:rPr>
        <w:t>1.   </w:t>
      </w:r>
      <w:r>
        <w:rPr>
          <w:rStyle w:val="soitChar"/>
          <w:u w:val="single"/>
        </w:rPr>
        <w:t> Volume brut :</w:t>
      </w:r>
    </w:p>
    <w:p w14:paraId="271E8752" w14:textId="77777777" w:rsidR="00DB2B68" w:rsidRDefault="00000000">
      <w:pPr>
        <w:jc w:val="both"/>
      </w:pPr>
      <w:r>
        <w:rPr>
          <w:rStyle w:val="soitChar"/>
        </w:rPr>
        <w:t>Le volume brut d’une colonne en bois lamellé collé est calculé suivant le volume du plus petit parallélépipède rectangle pouvant inclure l’élément.</w:t>
      </w:r>
    </w:p>
    <w:p w14:paraId="593A0AF6" w14:textId="77777777" w:rsidR="00DB2B68" w:rsidRDefault="00000000">
      <w:pPr>
        <w:jc w:val="both"/>
      </w:pPr>
      <w:r>
        <w:rPr>
          <w:b/>
          <w:i/>
        </w:rPr>
        <w:lastRenderedPageBreak/>
        <w:t> (Soit)</w:t>
      </w:r>
    </w:p>
    <w:p w14:paraId="22C365B9" w14:textId="77777777" w:rsidR="00DB2B68" w:rsidRDefault="00000000">
      <w:pPr>
        <w:jc w:val="both"/>
      </w:pPr>
      <w:r>
        <w:rPr>
          <w:rStyle w:val="soitChar"/>
        </w:rPr>
        <w:t>2.   </w:t>
      </w:r>
      <w:r>
        <w:rPr>
          <w:rStyle w:val="soitChar"/>
          <w:u w:val="single"/>
        </w:rPr>
        <w:t> Longueur brute :</w:t>
      </w:r>
    </w:p>
    <w:p w14:paraId="3D222254"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618BCC3A" w14:textId="77777777" w:rsidR="00DB2B68" w:rsidRDefault="00000000">
      <w:pPr>
        <w:jc w:val="both"/>
      </w:pPr>
      <w:r>
        <w:rPr>
          <w:rStyle w:val="soitChar"/>
        </w:rPr>
        <w:t>La longueur totale des colonnes en bois lamellé collé ayant la même section et les mêmes caractéristiques est comptabilisée.</w:t>
      </w:r>
    </w:p>
    <w:p w14:paraId="4B26B37F" w14:textId="77777777" w:rsidR="00DB2B68" w:rsidRDefault="00000000">
      <w:pPr>
        <w:jc w:val="both"/>
      </w:pPr>
      <w:r>
        <w:rPr>
          <w:b/>
          <w:i/>
        </w:rPr>
        <w:t> (Soit)</w:t>
      </w:r>
    </w:p>
    <w:p w14:paraId="26C0F497" w14:textId="77777777" w:rsidR="00DB2B68" w:rsidRDefault="00000000">
      <w:pPr>
        <w:jc w:val="both"/>
      </w:pPr>
      <w:r>
        <w:rPr>
          <w:rStyle w:val="soitChar"/>
        </w:rPr>
        <w:t>3.    </w:t>
      </w:r>
      <w:r>
        <w:rPr>
          <w:rStyle w:val="soitChar"/>
          <w:u w:val="single"/>
        </w:rPr>
        <w:t>Quantité nette :</w:t>
      </w:r>
    </w:p>
    <w:p w14:paraId="53741C72" w14:textId="77777777" w:rsidR="00DB2B68" w:rsidRDefault="00000000">
      <w:pPr>
        <w:jc w:val="both"/>
      </w:pPr>
      <w:r>
        <w:rPr>
          <w:rStyle w:val="soitChar"/>
        </w:rPr>
        <w:t>Le nombre de colonnes en bois lamellé collé ayant les mêmes dimensions et les mêmes caractéristiques est compatibilisé.</w:t>
      </w:r>
    </w:p>
    <w:p w14:paraId="28742838" w14:textId="77777777" w:rsidR="00DB2B68" w:rsidRDefault="00000000">
      <w:pPr>
        <w:pStyle w:val="pheading"/>
      </w:pPr>
      <w:r>
        <w:t>- nature du marché:</w:t>
      </w:r>
    </w:p>
    <w:p w14:paraId="0B37A7EA" w14:textId="77777777" w:rsidR="00DB2B68" w:rsidRDefault="00000000">
      <w:r>
        <w:rPr>
          <w:rStyle w:val="optioncarChar"/>
        </w:rPr>
        <w:t>QF </w:t>
      </w:r>
      <w:r>
        <w:t>(par défaut) </w:t>
      </w:r>
      <w:r>
        <w:rPr>
          <w:rStyle w:val="optioncarChar"/>
        </w:rPr>
        <w:t>/ QP</w:t>
      </w:r>
    </w:p>
    <w:p w14:paraId="71317EFE" w14:textId="77777777" w:rsidR="00DB2B68" w:rsidRDefault="00000000">
      <w:r>
        <w:rPr>
          <w:b/>
          <w:i/>
        </w:rPr>
        <w:t>(Soit par défaut)</w:t>
      </w:r>
    </w:p>
    <w:p w14:paraId="12E1BEF4" w14:textId="77777777" w:rsidR="00DB2B68" w:rsidRDefault="00000000">
      <w:r>
        <w:rPr>
          <w:rStyle w:val="soitChar"/>
        </w:rPr>
        <w:t>1.2.3      QF</w:t>
      </w:r>
    </w:p>
    <w:p w14:paraId="796740AC" w14:textId="77777777" w:rsidR="00DB2B68" w:rsidRDefault="00000000">
      <w:r>
        <w:rPr>
          <w:b/>
          <w:i/>
        </w:rPr>
        <w:t>(Soit)</w:t>
      </w:r>
    </w:p>
    <w:p w14:paraId="092902DE" w14:textId="77777777" w:rsidR="00DB2B68" w:rsidRDefault="00000000">
      <w:r>
        <w:rPr>
          <w:rStyle w:val="soitChar"/>
        </w:rPr>
        <w:t>1.2.3      QP</w:t>
      </w:r>
    </w:p>
    <w:p w14:paraId="055FC635" w14:textId="77777777" w:rsidR="00DB2B68" w:rsidRDefault="00000000">
      <w:pPr>
        <w:pStyle w:val="pheading"/>
      </w:pPr>
      <w:r>
        <w:t>AIDE</w:t>
      </w:r>
    </w:p>
    <w:p w14:paraId="4643A4A3" w14:textId="77777777" w:rsidR="00DB2B68" w:rsidRDefault="00000000">
      <w:pPr>
        <w:jc w:val="both"/>
      </w:pPr>
      <w:r>
        <w:t>Le code suivant peut être utilisé pour la dénomination du poste :</w:t>
      </w:r>
    </w:p>
    <w:p w14:paraId="2C0FE2B3" w14:textId="77777777" w:rsidR="00DB2B68" w:rsidRDefault="00000000">
      <w:pPr>
        <w:jc w:val="both"/>
      </w:pPr>
      <w:r>
        <w:t>BLC 1 / 2 / 3 / 4 / 5</w:t>
      </w:r>
    </w:p>
    <w:p w14:paraId="7878AC90" w14:textId="77777777" w:rsidR="00DB2B68" w:rsidRDefault="00000000">
      <w:pPr>
        <w:jc w:val="both"/>
      </w:pPr>
      <w:r>
        <w:t>Avec :</w:t>
      </w:r>
    </w:p>
    <w:p w14:paraId="488111B7" w14:textId="77777777" w:rsidR="00DB2B68" w:rsidRDefault="00000000">
      <w:pPr>
        <w:jc w:val="both"/>
      </w:pPr>
      <w:r>
        <w:t>BLC pour bois lamellé collé</w:t>
      </w:r>
    </w:p>
    <w:p w14:paraId="1A9167A2" w14:textId="77777777" w:rsidR="00DB2B68" w:rsidRDefault="00000000">
      <w:pPr>
        <w:jc w:val="both"/>
      </w:pPr>
      <w:r>
        <w:t>1 : la classe de résistance des colonnes</w:t>
      </w:r>
    </w:p>
    <w:p w14:paraId="574176A2" w14:textId="77777777" w:rsidR="00DB2B68" w:rsidRDefault="00000000">
      <w:pPr>
        <w:jc w:val="both"/>
      </w:pPr>
      <w:r>
        <w:t>2 : la section</w:t>
      </w:r>
    </w:p>
    <w:p w14:paraId="05711B51" w14:textId="77777777" w:rsidR="00DB2B68" w:rsidRDefault="00000000">
      <w:pPr>
        <w:jc w:val="both"/>
      </w:pPr>
      <w:r>
        <w:t>3 : l’essence de bois</w:t>
      </w:r>
    </w:p>
    <w:p w14:paraId="5F31AC92" w14:textId="77777777" w:rsidR="00DB2B68" w:rsidRDefault="00000000">
      <w:pPr>
        <w:jc w:val="both"/>
      </w:pPr>
      <w:r>
        <w:t>4 : la classe d’emploi des colonnes</w:t>
      </w:r>
    </w:p>
    <w:p w14:paraId="0FB63515" w14:textId="77777777" w:rsidR="00DB2B68" w:rsidRDefault="00000000">
      <w:pPr>
        <w:jc w:val="both"/>
      </w:pPr>
      <w:r>
        <w:t>5 : la méthode utilisée pour garantir la durabilité des colonnes</w:t>
      </w:r>
    </w:p>
    <w:p w14:paraId="5C1F2A83" w14:textId="77777777" w:rsidR="00DB2B68" w:rsidRDefault="00000000">
      <w:pPr>
        <w:jc w:val="both"/>
      </w:pPr>
      <w:r>
        <w:t>Ce qui donne, par exemple :</w:t>
      </w:r>
    </w:p>
    <w:p w14:paraId="32AED329" w14:textId="77777777" w:rsidR="00DB2B68" w:rsidRDefault="00000000">
      <w:pPr>
        <w:jc w:val="both"/>
      </w:pPr>
      <w:r>
        <w:t>BLC GL24c / 120x200 / épicéa / 2 / A2.2</w:t>
      </w:r>
    </w:p>
    <w:p w14:paraId="77E79120" w14:textId="77777777" w:rsidR="00DB2B68" w:rsidRDefault="00000000">
      <w:pPr>
        <w:pStyle w:val="Author-eSectionHeading6Numberless"/>
      </w:pPr>
      <w:bookmarkStart w:id="1571" w:name="_Toc220496563"/>
      <w:r>
        <w:t>24.12.2b Colonnes en bois lamellé collé à inertie variable CCTB 01.11</w:t>
      </w:r>
      <w:bookmarkEnd w:id="1571"/>
    </w:p>
    <w:p w14:paraId="09B77289" w14:textId="77777777" w:rsidR="00DB2B68" w:rsidRDefault="00000000">
      <w:pPr>
        <w:pStyle w:val="pheading"/>
      </w:pPr>
      <w:r>
        <w:t>DESCRIPTION</w:t>
      </w:r>
    </w:p>
    <w:p w14:paraId="5DB1B9A0" w14:textId="77777777" w:rsidR="00DB2B68" w:rsidRDefault="00000000">
      <w:pPr>
        <w:pStyle w:val="pheading"/>
      </w:pPr>
      <w:r>
        <w:t>- Définition / Comprend</w:t>
      </w:r>
    </w:p>
    <w:p w14:paraId="062B1063" w14:textId="77777777" w:rsidR="00DB2B68" w:rsidRDefault="00000000">
      <w:r>
        <w:t>Il s'agit de l’ensemble des colonnes en bois lamellé collé et à inertie variable.</w:t>
      </w:r>
    </w:p>
    <w:p w14:paraId="3D205099" w14:textId="77777777" w:rsidR="00DB2B68" w:rsidRDefault="00000000">
      <w:pPr>
        <w:pStyle w:val="pheading"/>
      </w:pPr>
      <w:r>
        <w:t>MATÉRIAUX</w:t>
      </w:r>
    </w:p>
    <w:p w14:paraId="1BC0E4FC" w14:textId="77777777" w:rsidR="00DB2B68" w:rsidRDefault="00000000">
      <w:pPr>
        <w:pStyle w:val="pheading"/>
      </w:pPr>
      <w:r>
        <w:t>- Caractéristiques générales</w:t>
      </w:r>
    </w:p>
    <w:p w14:paraId="521D647F" w14:textId="77777777" w:rsidR="00DB2B68" w:rsidRDefault="00000000">
      <w:pPr>
        <w:jc w:val="both"/>
      </w:pPr>
      <w:r>
        <w:t xml:space="preserve">Classe de résistance : </w:t>
      </w:r>
      <w:r>
        <w:rPr>
          <w:rStyle w:val="optioncarChar"/>
        </w:rPr>
        <w:t>GL24h </w:t>
      </w:r>
      <w:r>
        <w:t xml:space="preserve">(par défaut) </w:t>
      </w:r>
      <w:r>
        <w:rPr>
          <w:rStyle w:val="optioncarChar"/>
        </w:rPr>
        <w:t>/ GL24c / GL28h / GL28c / ***</w:t>
      </w:r>
    </w:p>
    <w:p w14:paraId="4CA54AE1" w14:textId="77777777" w:rsidR="00DB2B68" w:rsidRDefault="00000000">
      <w:pPr>
        <w:jc w:val="both"/>
      </w:pPr>
      <w:r>
        <w:t>La géométrie des colonnes est décrite dans les plans.</w:t>
      </w:r>
    </w:p>
    <w:p w14:paraId="7C368568"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52A8E7A8" w14:textId="77777777" w:rsidR="00DB2B68" w:rsidRDefault="00000000">
      <w:pPr>
        <w:jc w:val="both"/>
      </w:pPr>
      <w:r>
        <w:t xml:space="preserve">Classe d’emploi : </w:t>
      </w:r>
      <w:r>
        <w:rPr>
          <w:rStyle w:val="optioncarChar"/>
        </w:rPr>
        <w:t>1 / 2 / 3 / 4 / 5</w:t>
      </w:r>
    </w:p>
    <w:p w14:paraId="34CC020E" w14:textId="77777777" w:rsidR="00DB2B68"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1177ADC1" w14:textId="77777777" w:rsidR="00DB2B68" w:rsidRDefault="00000000">
      <w:pPr>
        <w:jc w:val="both"/>
      </w:pPr>
      <w:r>
        <w:lastRenderedPageBreak/>
        <w:t xml:space="preserve">La durabilité des colonnes en bois lamellé collé à inertie variable, en fonction de leur classe d’emploi, est assurée par la mesure suivante : </w:t>
      </w:r>
      <w:r>
        <w:rPr>
          <w:rStyle w:val="optioncarChar"/>
        </w:rPr>
        <w:t>aucune mesure n’est nécessaire / bois hors aubier</w:t>
      </w:r>
      <w:r>
        <w:t xml:space="preserve"> (par défaut)</w:t>
      </w:r>
      <w:r>
        <w:rPr>
          <w:rStyle w:val="optioncarChar"/>
        </w:rPr>
        <w:t> / traitement A1 / traitement A2.2 / traitement A3 / ***</w:t>
      </w:r>
    </w:p>
    <w:p w14:paraId="37517059" w14:textId="77777777" w:rsidR="00DB2B68" w:rsidRDefault="00000000">
      <w:pPr>
        <w:pStyle w:val="pheading"/>
      </w:pPr>
      <w:r>
        <w:t>- Finitions</w:t>
      </w:r>
    </w:p>
    <w:p w14:paraId="4A4FD8C1" w14:textId="77777777" w:rsidR="00DB2B68" w:rsidRDefault="00000000">
      <w:pPr>
        <w:jc w:val="both"/>
      </w:pPr>
      <w:r>
        <w:t xml:space="preserve">Les colonnes en bois lamellé collé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743B3675" w14:textId="77777777" w:rsidR="00DB2B68"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1EA5183F" w14:textId="77777777" w:rsidR="00DB2B68" w:rsidRDefault="00000000">
      <w:pPr>
        <w:jc w:val="both"/>
      </w:pPr>
      <w:r>
        <w:t xml:space="preserve">Les colonnes en bois lamellé collé sont </w:t>
      </w:r>
      <w:r>
        <w:rPr>
          <w:rStyle w:val="optioncarChar"/>
        </w:rPr>
        <w:t>sans finitions</w:t>
      </w:r>
      <w:r>
        <w:t xml:space="preserve"> (par défaut) </w:t>
      </w:r>
      <w:r>
        <w:rPr>
          <w:rStyle w:val="optioncarChar"/>
        </w:rPr>
        <w:t>/ huilées / vernies / lasurées / peintes / ***</w:t>
      </w:r>
      <w:r>
        <w:t xml:space="preserve"> avant mise en œuvre.</w:t>
      </w:r>
    </w:p>
    <w:p w14:paraId="3E9FF889" w14:textId="77777777" w:rsidR="00DB2B68" w:rsidRDefault="00000000">
      <w:pPr>
        <w:pStyle w:val="pheading"/>
      </w:pPr>
      <w:r>
        <w:t>- Prescriptions complémentaires</w:t>
      </w:r>
    </w:p>
    <w:p w14:paraId="1A0E7CD5" w14:textId="77777777" w:rsidR="00DB2B68" w:rsidRDefault="00000000">
      <w:r>
        <w:rPr>
          <w:rStyle w:val="facultChar"/>
        </w:rPr>
        <w:t>La qualité esthétique des colonnes est</w:t>
      </w:r>
      <w:r>
        <w:t xml:space="preserve">  </w:t>
      </w:r>
      <w:r>
        <w:rPr>
          <w:rStyle w:val="optioncarChar"/>
        </w:rPr>
        <w:t>non-visible / visible industrielle / visible habitation</w:t>
      </w:r>
    </w:p>
    <w:p w14:paraId="38D7C1C9" w14:textId="77777777" w:rsidR="00DB2B68" w:rsidRDefault="00000000">
      <w:pPr>
        <w:pStyle w:val="pheading"/>
      </w:pPr>
      <w:r>
        <w:t>EXÉCUTION / MISE EN ŒUVRE</w:t>
      </w:r>
    </w:p>
    <w:p w14:paraId="4831FDA8" w14:textId="77777777" w:rsidR="00DB2B68" w:rsidRDefault="00000000">
      <w:pPr>
        <w:pStyle w:val="pheading"/>
      </w:pPr>
      <w:r>
        <w:t>- Prescriptions générales</w:t>
      </w:r>
    </w:p>
    <w:p w14:paraId="40DCF45E" w14:textId="77777777" w:rsidR="00DB2B68" w:rsidRDefault="00000000">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779787EC" w14:textId="77777777" w:rsidR="00DB2B68" w:rsidRDefault="00000000">
      <w:pPr>
        <w:pStyle w:val="pheading"/>
      </w:pPr>
      <w:r>
        <w:t>MESURAGE</w:t>
      </w:r>
    </w:p>
    <w:p w14:paraId="0B465768" w14:textId="77777777" w:rsidR="00DB2B68" w:rsidRDefault="00000000">
      <w:pPr>
        <w:pStyle w:val="pheading"/>
      </w:pPr>
      <w:r>
        <w:t>- unité de mesure:</w:t>
      </w:r>
    </w:p>
    <w:p w14:paraId="2493EF33" w14:textId="77777777" w:rsidR="00DB2B68" w:rsidRDefault="00000000">
      <w:r>
        <w:rPr>
          <w:rStyle w:val="optioncarChar"/>
        </w:rPr>
        <w:t>m³ </w:t>
      </w:r>
      <w:r>
        <w:t>(par défaut)</w:t>
      </w:r>
      <w:r>
        <w:rPr>
          <w:rStyle w:val="optioncarChar"/>
        </w:rPr>
        <w:t> / m / pc</w:t>
      </w:r>
    </w:p>
    <w:p w14:paraId="5A4C36C4" w14:textId="77777777" w:rsidR="00DB2B68" w:rsidRDefault="00000000">
      <w:r>
        <w:rPr>
          <w:b/>
          <w:i/>
        </w:rPr>
        <w:t>(Soit par défaut)</w:t>
      </w:r>
    </w:p>
    <w:p w14:paraId="38DDE2BB" w14:textId="77777777" w:rsidR="00DB2B68" w:rsidRDefault="00000000">
      <w:r>
        <w:rPr>
          <w:rStyle w:val="soitChar"/>
        </w:rPr>
        <w:t>1.    m³ </w:t>
      </w:r>
    </w:p>
    <w:p w14:paraId="334FFE7F" w14:textId="77777777" w:rsidR="00DB2B68" w:rsidRDefault="00000000">
      <w:r>
        <w:rPr>
          <w:b/>
          <w:i/>
        </w:rPr>
        <w:t>(Soit)</w:t>
      </w:r>
    </w:p>
    <w:p w14:paraId="1EE30A75" w14:textId="77777777" w:rsidR="00DB2B68" w:rsidRDefault="00000000">
      <w:r>
        <w:rPr>
          <w:rStyle w:val="soitChar"/>
        </w:rPr>
        <w:t>2.    m </w:t>
      </w:r>
    </w:p>
    <w:p w14:paraId="0714E673" w14:textId="77777777" w:rsidR="00DB2B68" w:rsidRDefault="00000000">
      <w:r>
        <w:rPr>
          <w:b/>
          <w:i/>
        </w:rPr>
        <w:t>(Soit)</w:t>
      </w:r>
    </w:p>
    <w:p w14:paraId="47D9893E" w14:textId="77777777" w:rsidR="00DB2B68" w:rsidRDefault="00000000">
      <w:r>
        <w:rPr>
          <w:rStyle w:val="soitChar"/>
        </w:rPr>
        <w:t>3.    pc</w:t>
      </w:r>
    </w:p>
    <w:p w14:paraId="7F72E397" w14:textId="77777777" w:rsidR="00DB2B68" w:rsidRDefault="00000000">
      <w:pPr>
        <w:pStyle w:val="pheading"/>
      </w:pPr>
      <w:r>
        <w:t>- code de mesurage:</w:t>
      </w:r>
    </w:p>
    <w:p w14:paraId="7592106A" w14:textId="77777777" w:rsidR="00DB2B68" w:rsidRDefault="00000000">
      <w:pPr>
        <w:jc w:val="both"/>
      </w:pPr>
      <w:r>
        <w:rPr>
          <w:rStyle w:val="optioncarChar"/>
        </w:rPr>
        <w:t> Volume brut </w:t>
      </w:r>
      <w:r>
        <w:t>(par défaut) </w:t>
      </w:r>
      <w:r>
        <w:rPr>
          <w:rStyle w:val="optioncarChar"/>
        </w:rPr>
        <w:t>/ longueur brute / quantité nette</w:t>
      </w:r>
    </w:p>
    <w:p w14:paraId="7F8C9662" w14:textId="77777777" w:rsidR="00DB2B68" w:rsidRDefault="00000000">
      <w:pPr>
        <w:jc w:val="both"/>
      </w:pPr>
      <w:r>
        <w:rPr>
          <w:b/>
          <w:i/>
        </w:rPr>
        <w:t>(Soit par défaut)</w:t>
      </w:r>
    </w:p>
    <w:p w14:paraId="4F7232C0" w14:textId="77777777" w:rsidR="00DB2B68" w:rsidRDefault="00000000">
      <w:pPr>
        <w:jc w:val="both"/>
      </w:pPr>
      <w:r>
        <w:rPr>
          <w:rStyle w:val="soitChar"/>
        </w:rPr>
        <w:t>1.   </w:t>
      </w:r>
      <w:r>
        <w:rPr>
          <w:rStyle w:val="soitChar"/>
          <w:u w:val="single"/>
        </w:rPr>
        <w:t> Volume brut :</w:t>
      </w:r>
    </w:p>
    <w:p w14:paraId="6B11C10B" w14:textId="77777777" w:rsidR="00DB2B68" w:rsidRDefault="00000000">
      <w:pPr>
        <w:jc w:val="both"/>
      </w:pPr>
      <w:r>
        <w:rPr>
          <w:rStyle w:val="soitChar"/>
        </w:rPr>
        <w:t>Le volume brut d’une colonne en bois lamellé collé est calculé suivant le volume du plus petit parallélépipède rectangle pouvant inclure l’élément.</w:t>
      </w:r>
    </w:p>
    <w:p w14:paraId="2327C646" w14:textId="77777777" w:rsidR="00DB2B68" w:rsidRDefault="00000000">
      <w:pPr>
        <w:jc w:val="both"/>
      </w:pPr>
      <w:r>
        <w:rPr>
          <w:b/>
          <w:i/>
        </w:rPr>
        <w:t> (Soit)</w:t>
      </w:r>
    </w:p>
    <w:p w14:paraId="47EE27E6" w14:textId="77777777" w:rsidR="00DB2B68" w:rsidRDefault="00000000">
      <w:pPr>
        <w:jc w:val="both"/>
      </w:pPr>
      <w:r>
        <w:rPr>
          <w:rStyle w:val="soitChar"/>
        </w:rPr>
        <w:t>2.   </w:t>
      </w:r>
      <w:r>
        <w:rPr>
          <w:rStyle w:val="soitChar"/>
          <w:u w:val="single"/>
        </w:rPr>
        <w:t> Longueur brute :</w:t>
      </w:r>
    </w:p>
    <w:p w14:paraId="167D6C70"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64B5BBE8" w14:textId="77777777" w:rsidR="00DB2B68" w:rsidRDefault="00000000">
      <w:pPr>
        <w:jc w:val="both"/>
      </w:pPr>
      <w:r>
        <w:rPr>
          <w:rStyle w:val="soitChar"/>
        </w:rPr>
        <w:t>La longueur totale des colonnes en bois lamellé collé ayant la même section et les mêmes caractéristiques est comptabilisée.</w:t>
      </w:r>
    </w:p>
    <w:p w14:paraId="2AF6AE77" w14:textId="77777777" w:rsidR="00DB2B68" w:rsidRDefault="00000000">
      <w:pPr>
        <w:jc w:val="both"/>
      </w:pPr>
      <w:r>
        <w:rPr>
          <w:b/>
          <w:i/>
        </w:rPr>
        <w:t> (Soit)</w:t>
      </w:r>
    </w:p>
    <w:p w14:paraId="548FD662" w14:textId="77777777" w:rsidR="00DB2B68" w:rsidRDefault="00000000">
      <w:pPr>
        <w:jc w:val="both"/>
      </w:pPr>
      <w:r>
        <w:rPr>
          <w:rStyle w:val="soitChar"/>
        </w:rPr>
        <w:t>3.    </w:t>
      </w:r>
      <w:r>
        <w:rPr>
          <w:rStyle w:val="soitChar"/>
          <w:u w:val="single"/>
        </w:rPr>
        <w:t>Quantité nette :</w:t>
      </w:r>
    </w:p>
    <w:p w14:paraId="2D204E8F" w14:textId="77777777" w:rsidR="00DB2B68" w:rsidRDefault="00000000">
      <w:pPr>
        <w:jc w:val="both"/>
      </w:pPr>
      <w:r>
        <w:rPr>
          <w:rStyle w:val="soitChar"/>
        </w:rPr>
        <w:t>Le nombre de colonnes en bois lamellé collé ayant les mêmes dimensions et les mêmes caractéristiques est compatibilisé.</w:t>
      </w:r>
    </w:p>
    <w:p w14:paraId="4B729F70" w14:textId="77777777" w:rsidR="00DB2B68" w:rsidRDefault="00000000">
      <w:pPr>
        <w:pStyle w:val="pheading"/>
      </w:pPr>
      <w:r>
        <w:t>- nature du marché:</w:t>
      </w:r>
    </w:p>
    <w:p w14:paraId="075B5D37" w14:textId="77777777" w:rsidR="00DB2B68" w:rsidRDefault="00000000">
      <w:r>
        <w:rPr>
          <w:rStyle w:val="optioncarChar"/>
        </w:rPr>
        <w:t>QF </w:t>
      </w:r>
      <w:r>
        <w:t>(par défaut) </w:t>
      </w:r>
      <w:r>
        <w:rPr>
          <w:rStyle w:val="optioncarChar"/>
        </w:rPr>
        <w:t>/ QP</w:t>
      </w:r>
    </w:p>
    <w:p w14:paraId="5713AC12" w14:textId="77777777" w:rsidR="00DB2B68" w:rsidRDefault="00000000">
      <w:r>
        <w:rPr>
          <w:b/>
          <w:i/>
        </w:rPr>
        <w:lastRenderedPageBreak/>
        <w:t>(Soit par défaut)</w:t>
      </w:r>
    </w:p>
    <w:p w14:paraId="28BD0502" w14:textId="77777777" w:rsidR="00DB2B68" w:rsidRDefault="00000000">
      <w:r>
        <w:rPr>
          <w:rStyle w:val="soitChar"/>
        </w:rPr>
        <w:t>1.2.3      QF</w:t>
      </w:r>
    </w:p>
    <w:p w14:paraId="7675E8BA" w14:textId="77777777" w:rsidR="00DB2B68" w:rsidRDefault="00000000">
      <w:r>
        <w:rPr>
          <w:b/>
          <w:i/>
        </w:rPr>
        <w:t>(Soit)</w:t>
      </w:r>
    </w:p>
    <w:p w14:paraId="246E20F5" w14:textId="77777777" w:rsidR="00DB2B68" w:rsidRDefault="00000000">
      <w:r>
        <w:rPr>
          <w:rStyle w:val="soitChar"/>
        </w:rPr>
        <w:t>1.2.3      QP</w:t>
      </w:r>
    </w:p>
    <w:p w14:paraId="2FF3145F" w14:textId="77777777" w:rsidR="00DB2B68" w:rsidRDefault="00000000">
      <w:pPr>
        <w:pStyle w:val="pheading"/>
      </w:pPr>
      <w:r>
        <w:t>AIDE</w:t>
      </w:r>
    </w:p>
    <w:p w14:paraId="1B615149" w14:textId="77777777" w:rsidR="00DB2B68" w:rsidRDefault="00000000">
      <w:pPr>
        <w:jc w:val="both"/>
      </w:pPr>
      <w:r>
        <w:t>Le code suivant peut être utilisé pour la dénomination du poste :</w:t>
      </w:r>
    </w:p>
    <w:p w14:paraId="7F783003" w14:textId="77777777" w:rsidR="00DB2B68" w:rsidRDefault="00000000">
      <w:pPr>
        <w:jc w:val="both"/>
      </w:pPr>
      <w:r>
        <w:t>BLC 1 / 2 / 3 / 4 / 5</w:t>
      </w:r>
    </w:p>
    <w:p w14:paraId="40D6E2C5" w14:textId="77777777" w:rsidR="00DB2B68" w:rsidRDefault="00000000">
      <w:pPr>
        <w:jc w:val="both"/>
      </w:pPr>
      <w:r>
        <w:t>Avec :</w:t>
      </w:r>
    </w:p>
    <w:p w14:paraId="0EC666D4" w14:textId="77777777" w:rsidR="00DB2B68" w:rsidRDefault="00000000">
      <w:pPr>
        <w:jc w:val="both"/>
      </w:pPr>
      <w:r>
        <w:t>BLC pour bois lamellé collé</w:t>
      </w:r>
    </w:p>
    <w:p w14:paraId="6C637C86" w14:textId="77777777" w:rsidR="00DB2B68" w:rsidRDefault="00000000">
      <w:pPr>
        <w:jc w:val="both"/>
      </w:pPr>
      <w:r>
        <w:t>1 : la classe de résistance des colonnes</w:t>
      </w:r>
    </w:p>
    <w:p w14:paraId="3FAD12A5" w14:textId="77777777" w:rsidR="00DB2B68" w:rsidRDefault="00000000">
      <w:pPr>
        <w:jc w:val="both"/>
      </w:pPr>
      <w:r>
        <w:t>2 : la section – ici : variable</w:t>
      </w:r>
    </w:p>
    <w:p w14:paraId="6DB1286B" w14:textId="77777777" w:rsidR="00DB2B68" w:rsidRDefault="00000000">
      <w:pPr>
        <w:jc w:val="both"/>
      </w:pPr>
      <w:r>
        <w:t>3 : l’essence de bois</w:t>
      </w:r>
    </w:p>
    <w:p w14:paraId="406880F7" w14:textId="77777777" w:rsidR="00DB2B68" w:rsidRDefault="00000000">
      <w:pPr>
        <w:jc w:val="both"/>
      </w:pPr>
      <w:r>
        <w:t>4 : la classe d’emploi des colonnes</w:t>
      </w:r>
    </w:p>
    <w:p w14:paraId="04285362" w14:textId="77777777" w:rsidR="00DB2B68" w:rsidRDefault="00000000">
      <w:pPr>
        <w:jc w:val="both"/>
      </w:pPr>
      <w:r>
        <w:t>5 : la méthode utilisée pour garantir la durabilité des colonnes</w:t>
      </w:r>
    </w:p>
    <w:p w14:paraId="1A138D4D" w14:textId="77777777" w:rsidR="00DB2B68" w:rsidRDefault="00000000">
      <w:pPr>
        <w:jc w:val="both"/>
      </w:pPr>
      <w:r>
        <w:t>Ce qui donne, par exemple :</w:t>
      </w:r>
    </w:p>
    <w:p w14:paraId="7B208D60" w14:textId="77777777" w:rsidR="00DB2B68" w:rsidRDefault="00000000">
      <w:pPr>
        <w:jc w:val="both"/>
      </w:pPr>
      <w:r>
        <w:t>BLC GL24c / variable / épicéa / 2 / A2.2</w:t>
      </w:r>
    </w:p>
    <w:p w14:paraId="2ADC83E1" w14:textId="77777777" w:rsidR="00DB2B68" w:rsidRDefault="00000000">
      <w:pPr>
        <w:pStyle w:val="Author-eSectionHeading5Numberless"/>
      </w:pPr>
      <w:bookmarkStart w:id="1572" w:name="_Toc220496564"/>
      <w:r>
        <w:t>24.12.3 Colonnes en bois lamellé collé en bloc CCTB 01.07</w:t>
      </w:r>
      <w:bookmarkEnd w:id="1572"/>
    </w:p>
    <w:p w14:paraId="68BC06B5" w14:textId="77777777" w:rsidR="00DB2B68" w:rsidRDefault="00000000">
      <w:pPr>
        <w:pStyle w:val="pheading"/>
      </w:pPr>
      <w:r>
        <w:t>DESCRIPTION</w:t>
      </w:r>
    </w:p>
    <w:p w14:paraId="105A41E5" w14:textId="77777777" w:rsidR="00DB2B68" w:rsidRDefault="00000000">
      <w:pPr>
        <w:pStyle w:val="pheading"/>
      </w:pPr>
      <w:r>
        <w:t>- Définition / Comprend</w:t>
      </w:r>
    </w:p>
    <w:p w14:paraId="719EB67F" w14:textId="77777777" w:rsidR="00DB2B68" w:rsidRDefault="00000000">
      <w:pPr>
        <w:jc w:val="both"/>
      </w:pPr>
      <w:r>
        <w:t xml:space="preserve">Il s’agit des colonnes en bois lamellé collé en bloc. La notion de bois lamellé collé en bloc est expliquée au </w:t>
      </w:r>
      <w:hyperlink w:anchor="89" w:history="1">
        <w:r>
          <w:rPr>
            <w:color w:val="0000EE"/>
          </w:rPr>
          <w:t>24 Superstructures en bois</w:t>
        </w:r>
      </w:hyperlink>
      <w:r>
        <w:t>.</w:t>
      </w:r>
    </w:p>
    <w:p w14:paraId="70CC0AD6" w14:textId="77777777" w:rsidR="00DB2B68" w:rsidRDefault="00000000">
      <w:pPr>
        <w:pStyle w:val="Author-eSectionHeading6Numberless"/>
      </w:pPr>
      <w:bookmarkStart w:id="1573" w:name="_Toc220496565"/>
      <w:r>
        <w:t>24.12.3a Colonnes en lamellé collé en bloc à inertie constante CCTB 01.11</w:t>
      </w:r>
      <w:bookmarkEnd w:id="1573"/>
    </w:p>
    <w:p w14:paraId="5EC8B8BD" w14:textId="77777777" w:rsidR="00DB2B68" w:rsidRDefault="00000000">
      <w:pPr>
        <w:pStyle w:val="pheading"/>
      </w:pPr>
      <w:r>
        <w:t>DESCRIPTION</w:t>
      </w:r>
    </w:p>
    <w:p w14:paraId="55641462" w14:textId="77777777" w:rsidR="00DB2B68" w:rsidRDefault="00000000">
      <w:pPr>
        <w:pStyle w:val="pheading"/>
      </w:pPr>
      <w:r>
        <w:t>- Définition / Comprend</w:t>
      </w:r>
    </w:p>
    <w:p w14:paraId="7B6ED8C0" w14:textId="77777777" w:rsidR="00DB2B68" w:rsidRDefault="00000000">
      <w:r>
        <w:t>Il s'agit de l’ensemble des colonnes en bois lamellé collé à inertie constante.</w:t>
      </w:r>
    </w:p>
    <w:p w14:paraId="667E4631" w14:textId="77777777" w:rsidR="00DB2B68" w:rsidRDefault="00000000">
      <w:pPr>
        <w:pStyle w:val="pheading"/>
      </w:pPr>
      <w:r>
        <w:t>MATÉRIAUX</w:t>
      </w:r>
    </w:p>
    <w:p w14:paraId="1557BD2A" w14:textId="77777777" w:rsidR="00DB2B68" w:rsidRDefault="00000000">
      <w:pPr>
        <w:pStyle w:val="pheading"/>
      </w:pPr>
      <w:r>
        <w:t>- Caractéristiques générales</w:t>
      </w:r>
    </w:p>
    <w:p w14:paraId="6200B54B" w14:textId="77777777" w:rsidR="00DB2B68" w:rsidRDefault="00000000">
      <w:pPr>
        <w:jc w:val="both"/>
      </w:pPr>
      <w:r>
        <w:t xml:space="preserve">Classe de résistance : </w:t>
      </w:r>
      <w:r>
        <w:rPr>
          <w:rStyle w:val="optioncarChar"/>
        </w:rPr>
        <w:t>GL24h </w:t>
      </w:r>
      <w:r>
        <w:t>(par défaut)</w:t>
      </w:r>
      <w:r>
        <w:rPr>
          <w:rStyle w:val="optioncarChar"/>
        </w:rPr>
        <w:t xml:space="preserve"> / GL24c / GL28h / GL28c / ***</w:t>
      </w:r>
    </w:p>
    <w:p w14:paraId="5037F18F" w14:textId="77777777" w:rsidR="00DB2B68" w:rsidRDefault="00000000">
      <w:pPr>
        <w:jc w:val="both"/>
      </w:pPr>
      <w:r>
        <w:t xml:space="preserve">Dimensions de la section : </w:t>
      </w:r>
      <w:r>
        <w:rPr>
          <w:rStyle w:val="optioncarChar"/>
        </w:rPr>
        <w:t>Voir plans</w:t>
      </w:r>
      <w:r>
        <w:t xml:space="preserve"> (par défaut) </w:t>
      </w:r>
      <w:r>
        <w:rPr>
          <w:rStyle w:val="optioncarChar"/>
        </w:rPr>
        <w:t>/ *** x *** mm²</w:t>
      </w:r>
    </w:p>
    <w:p w14:paraId="0D3AE9B2" w14:textId="77777777" w:rsidR="00DB2B68" w:rsidRDefault="00000000">
      <w:pPr>
        <w:jc w:val="both"/>
      </w:pPr>
      <w:r>
        <w:t xml:space="preserve">Essence : </w:t>
      </w:r>
      <w:r>
        <w:rPr>
          <w:rStyle w:val="optioncarChar"/>
        </w:rPr>
        <w:t>Résineuse</w:t>
      </w:r>
      <w:r>
        <w:t xml:space="preserve"> (par défaut) </w:t>
      </w:r>
      <w:r>
        <w:rPr>
          <w:rStyle w:val="optioncarChar"/>
        </w:rPr>
        <w:t>/ feuillue / épicéa / douglas / chêne / hêtre / ***</w:t>
      </w:r>
    </w:p>
    <w:p w14:paraId="282416F9" w14:textId="77777777" w:rsidR="00DB2B68" w:rsidRDefault="00000000">
      <w:pPr>
        <w:jc w:val="both"/>
      </w:pPr>
      <w:r>
        <w:t xml:space="preserve">Classe d’emploi : </w:t>
      </w:r>
      <w:r>
        <w:rPr>
          <w:rStyle w:val="optioncarChar"/>
        </w:rPr>
        <w:t>1 / 2 / 3 / 4 / 5</w:t>
      </w:r>
    </w:p>
    <w:p w14:paraId="0B9228F9" w14:textId="77777777" w:rsidR="00DB2B68"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013A9C1F" w14:textId="77777777" w:rsidR="00DB2B68" w:rsidRDefault="00000000">
      <w:pPr>
        <w:jc w:val="both"/>
      </w:pPr>
      <w:r>
        <w:t xml:space="preserve">La durabilité des colonnes, en fonction de leur classe d’emploi, est assurée par la mesure suivante : </w:t>
      </w:r>
      <w:r>
        <w:rPr>
          <w:rStyle w:val="optioncarChar"/>
        </w:rPr>
        <w:t xml:space="preserve">aucune mesure n’est nécessaire / bois hors aubier </w:t>
      </w:r>
      <w:r>
        <w:t>(par défaut) </w:t>
      </w:r>
      <w:r>
        <w:rPr>
          <w:rStyle w:val="optioncarChar"/>
        </w:rPr>
        <w:t>/ traitement A1 / traitement A2.2 / traitement A3 / ***</w:t>
      </w:r>
    </w:p>
    <w:p w14:paraId="40840590" w14:textId="77777777" w:rsidR="00DB2B68" w:rsidRDefault="00000000">
      <w:pPr>
        <w:pStyle w:val="pheading"/>
      </w:pPr>
      <w:r>
        <w:t>- Finitions</w:t>
      </w:r>
    </w:p>
    <w:p w14:paraId="23D636EA" w14:textId="77777777" w:rsidR="00DB2B68" w:rsidRDefault="00000000">
      <w:pPr>
        <w:jc w:val="both"/>
      </w:pPr>
      <w:r>
        <w:t xml:space="preserve">Les colonnes en bois lamellé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6C056687" w14:textId="77777777" w:rsidR="00DB2B68"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263B39BD" w14:textId="77777777" w:rsidR="00DB2B68" w:rsidRDefault="00000000">
      <w:pPr>
        <w:jc w:val="both"/>
      </w:pPr>
      <w:r>
        <w:lastRenderedPageBreak/>
        <w:t xml:space="preserve">Les colonnes en bois lamellé collé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4922C254" w14:textId="77777777" w:rsidR="00DB2B68" w:rsidRDefault="00000000">
      <w:pPr>
        <w:pStyle w:val="pheading"/>
      </w:pPr>
      <w:r>
        <w:t>- Prescriptions complémentaires</w:t>
      </w:r>
    </w:p>
    <w:p w14:paraId="5585F2F8" w14:textId="77777777" w:rsidR="00DB2B68" w:rsidRDefault="00000000">
      <w:r>
        <w:rPr>
          <w:rStyle w:val="facultChar"/>
        </w:rPr>
        <w:t>La qualité esthétique des colonnes est</w:t>
      </w:r>
      <w:r>
        <w:t>  </w:t>
      </w:r>
      <w:r>
        <w:rPr>
          <w:rStyle w:val="optioncarChar"/>
        </w:rPr>
        <w:t>non-visible / visible industrielle / visible habitation</w:t>
      </w:r>
    </w:p>
    <w:p w14:paraId="0EC707DC" w14:textId="77777777" w:rsidR="00DB2B68" w:rsidRDefault="00000000">
      <w:pPr>
        <w:pStyle w:val="pheading"/>
      </w:pPr>
      <w:r>
        <w:t>EXÉCUTION / MISE EN ŒUVRE</w:t>
      </w:r>
    </w:p>
    <w:p w14:paraId="04854EC1" w14:textId="77777777" w:rsidR="00DB2B68" w:rsidRDefault="00000000">
      <w:pPr>
        <w:pStyle w:val="pheading"/>
      </w:pPr>
      <w:r>
        <w:t>- Prescriptions générales</w:t>
      </w:r>
    </w:p>
    <w:p w14:paraId="092AEEB3" w14:textId="77777777" w:rsidR="00DB2B68" w:rsidRDefault="00000000">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14:paraId="4F13FF6D" w14:textId="77777777" w:rsidR="00DB2B68" w:rsidRDefault="00000000">
      <w:pPr>
        <w:pStyle w:val="pheading"/>
      </w:pPr>
      <w:r>
        <w:t>MESURAGE</w:t>
      </w:r>
    </w:p>
    <w:p w14:paraId="4D3ACD7E" w14:textId="77777777" w:rsidR="00DB2B68" w:rsidRDefault="00000000">
      <w:pPr>
        <w:pStyle w:val="pheading"/>
      </w:pPr>
      <w:r>
        <w:t>- unité de mesure:</w:t>
      </w:r>
    </w:p>
    <w:p w14:paraId="63EA2CE5" w14:textId="77777777" w:rsidR="00DB2B68" w:rsidRDefault="00000000">
      <w:r>
        <w:rPr>
          <w:rStyle w:val="optioncarChar"/>
        </w:rPr>
        <w:t>m³ </w:t>
      </w:r>
      <w:r>
        <w:t>(par défaut)</w:t>
      </w:r>
      <w:r>
        <w:rPr>
          <w:rStyle w:val="optioncarChar"/>
        </w:rPr>
        <w:t> / m / pc</w:t>
      </w:r>
    </w:p>
    <w:p w14:paraId="29C92A07" w14:textId="77777777" w:rsidR="00DB2B68" w:rsidRDefault="00000000">
      <w:r>
        <w:rPr>
          <w:b/>
          <w:i/>
        </w:rPr>
        <w:t>(Soit par défaut)</w:t>
      </w:r>
    </w:p>
    <w:p w14:paraId="255E2A68" w14:textId="77777777" w:rsidR="00DB2B68" w:rsidRDefault="00000000">
      <w:r>
        <w:rPr>
          <w:rStyle w:val="soitChar"/>
        </w:rPr>
        <w:t>1.    m³ </w:t>
      </w:r>
    </w:p>
    <w:p w14:paraId="288DA5C9" w14:textId="77777777" w:rsidR="00DB2B68" w:rsidRDefault="00000000">
      <w:r>
        <w:rPr>
          <w:b/>
          <w:i/>
        </w:rPr>
        <w:t>(Soit)</w:t>
      </w:r>
    </w:p>
    <w:p w14:paraId="5D1DC6DE" w14:textId="77777777" w:rsidR="00DB2B68" w:rsidRDefault="00000000">
      <w:r>
        <w:rPr>
          <w:rStyle w:val="soitChar"/>
        </w:rPr>
        <w:t>2.    m </w:t>
      </w:r>
    </w:p>
    <w:p w14:paraId="5A630AFD" w14:textId="77777777" w:rsidR="00DB2B68" w:rsidRDefault="00000000">
      <w:r>
        <w:rPr>
          <w:b/>
          <w:i/>
        </w:rPr>
        <w:t>(Soit)</w:t>
      </w:r>
    </w:p>
    <w:p w14:paraId="24A96BAC" w14:textId="77777777" w:rsidR="00DB2B68" w:rsidRDefault="00000000">
      <w:r>
        <w:rPr>
          <w:rStyle w:val="soitChar"/>
        </w:rPr>
        <w:t>3.    pc</w:t>
      </w:r>
    </w:p>
    <w:p w14:paraId="12945E35" w14:textId="77777777" w:rsidR="00DB2B68" w:rsidRDefault="00000000">
      <w:pPr>
        <w:pStyle w:val="pheading"/>
      </w:pPr>
      <w:r>
        <w:t>- code de mesurage:</w:t>
      </w:r>
    </w:p>
    <w:p w14:paraId="60EEDDFC" w14:textId="77777777" w:rsidR="00DB2B68" w:rsidRDefault="00000000">
      <w:pPr>
        <w:jc w:val="both"/>
      </w:pPr>
      <w:r>
        <w:rPr>
          <w:rStyle w:val="optioncarChar"/>
        </w:rPr>
        <w:t> Volume brut </w:t>
      </w:r>
      <w:r>
        <w:t>(par défaut) </w:t>
      </w:r>
      <w:r>
        <w:rPr>
          <w:rStyle w:val="optioncarChar"/>
        </w:rPr>
        <w:t>/ longueur brute / quantité nette</w:t>
      </w:r>
    </w:p>
    <w:p w14:paraId="46C6F85E" w14:textId="77777777" w:rsidR="00DB2B68" w:rsidRDefault="00000000">
      <w:pPr>
        <w:jc w:val="both"/>
      </w:pPr>
      <w:r>
        <w:rPr>
          <w:b/>
          <w:i/>
        </w:rPr>
        <w:t>(Soit par défaut)</w:t>
      </w:r>
    </w:p>
    <w:p w14:paraId="5A331699" w14:textId="77777777" w:rsidR="00DB2B68" w:rsidRDefault="00000000">
      <w:pPr>
        <w:jc w:val="both"/>
      </w:pPr>
      <w:r>
        <w:rPr>
          <w:rStyle w:val="soitChar"/>
        </w:rPr>
        <w:t>1.   </w:t>
      </w:r>
      <w:r>
        <w:rPr>
          <w:rStyle w:val="soitChar"/>
          <w:u w:val="single"/>
        </w:rPr>
        <w:t> Volume brut :</w:t>
      </w:r>
    </w:p>
    <w:p w14:paraId="74F6CD5C" w14:textId="77777777" w:rsidR="00DB2B68" w:rsidRDefault="00000000">
      <w:pPr>
        <w:jc w:val="both"/>
      </w:pPr>
      <w:r>
        <w:rPr>
          <w:rStyle w:val="soitChar"/>
        </w:rPr>
        <w:t>Le volume brut d’une colonne est calculé suivant le volume du plus petit parallélépipède rectangle pouvant inclure l’élément.</w:t>
      </w:r>
    </w:p>
    <w:p w14:paraId="3B314433" w14:textId="77777777" w:rsidR="00DB2B68" w:rsidRDefault="00000000">
      <w:pPr>
        <w:jc w:val="both"/>
      </w:pPr>
      <w:r>
        <w:rPr>
          <w:b/>
          <w:i/>
        </w:rPr>
        <w:t> (Soit)</w:t>
      </w:r>
    </w:p>
    <w:p w14:paraId="6C122314" w14:textId="77777777" w:rsidR="00DB2B68" w:rsidRDefault="00000000">
      <w:pPr>
        <w:jc w:val="both"/>
      </w:pPr>
      <w:r>
        <w:rPr>
          <w:rStyle w:val="soitChar"/>
        </w:rPr>
        <w:t>2.   </w:t>
      </w:r>
      <w:r>
        <w:rPr>
          <w:rStyle w:val="soitChar"/>
          <w:u w:val="single"/>
        </w:rPr>
        <w:t> Longueur brute :</w:t>
      </w:r>
    </w:p>
    <w:p w14:paraId="0ED8AC35"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29531D23" w14:textId="77777777" w:rsidR="00DB2B68" w:rsidRDefault="00000000">
      <w:pPr>
        <w:jc w:val="both"/>
      </w:pPr>
      <w:r>
        <w:rPr>
          <w:rStyle w:val="soitChar"/>
        </w:rPr>
        <w:t>La longueur totale des colonnes ayant la même section et les mêmes caractéristiques est comptabilisée.</w:t>
      </w:r>
    </w:p>
    <w:p w14:paraId="74917DCF" w14:textId="77777777" w:rsidR="00DB2B68" w:rsidRDefault="00000000">
      <w:pPr>
        <w:jc w:val="both"/>
      </w:pPr>
      <w:r>
        <w:rPr>
          <w:b/>
          <w:i/>
        </w:rPr>
        <w:t> (Soit)</w:t>
      </w:r>
    </w:p>
    <w:p w14:paraId="0C9473F3" w14:textId="77777777" w:rsidR="00DB2B68" w:rsidRDefault="00000000">
      <w:pPr>
        <w:jc w:val="both"/>
      </w:pPr>
      <w:r>
        <w:rPr>
          <w:rStyle w:val="soitChar"/>
        </w:rPr>
        <w:t>3.    </w:t>
      </w:r>
      <w:r>
        <w:rPr>
          <w:rStyle w:val="soitChar"/>
          <w:u w:val="single"/>
        </w:rPr>
        <w:t>Quantité nette :</w:t>
      </w:r>
    </w:p>
    <w:p w14:paraId="3630ED98" w14:textId="77777777" w:rsidR="00DB2B68" w:rsidRDefault="00000000">
      <w:pPr>
        <w:jc w:val="both"/>
      </w:pPr>
      <w:r>
        <w:rPr>
          <w:rStyle w:val="soitChar"/>
        </w:rPr>
        <w:t>Le nombre de colonnes ayant les mêmes dimensions et les mêmes caractéristiques est compatibilisé.</w:t>
      </w:r>
    </w:p>
    <w:p w14:paraId="0E17C287" w14:textId="77777777" w:rsidR="00DB2B68" w:rsidRDefault="00000000">
      <w:pPr>
        <w:pStyle w:val="pheading"/>
      </w:pPr>
      <w:r>
        <w:t>- nature du marché:</w:t>
      </w:r>
    </w:p>
    <w:p w14:paraId="408E7482" w14:textId="77777777" w:rsidR="00DB2B68" w:rsidRDefault="00000000">
      <w:r>
        <w:rPr>
          <w:rStyle w:val="optioncarChar"/>
        </w:rPr>
        <w:t>QF </w:t>
      </w:r>
      <w:r>
        <w:t>(par défaut) </w:t>
      </w:r>
      <w:r>
        <w:rPr>
          <w:rStyle w:val="optioncarChar"/>
        </w:rPr>
        <w:t>/ QP</w:t>
      </w:r>
    </w:p>
    <w:p w14:paraId="3418734C" w14:textId="77777777" w:rsidR="00DB2B68" w:rsidRDefault="00000000">
      <w:r>
        <w:rPr>
          <w:b/>
          <w:i/>
        </w:rPr>
        <w:t>(Soit par défaut)</w:t>
      </w:r>
    </w:p>
    <w:p w14:paraId="290BFCCF" w14:textId="77777777" w:rsidR="00DB2B68" w:rsidRDefault="00000000">
      <w:r>
        <w:rPr>
          <w:rStyle w:val="soitChar"/>
        </w:rPr>
        <w:t>1.2.3      QF</w:t>
      </w:r>
    </w:p>
    <w:p w14:paraId="4BEE4EA4" w14:textId="77777777" w:rsidR="00DB2B68" w:rsidRDefault="00000000">
      <w:r>
        <w:rPr>
          <w:b/>
          <w:i/>
        </w:rPr>
        <w:t>(Soit)</w:t>
      </w:r>
    </w:p>
    <w:p w14:paraId="104BC153" w14:textId="77777777" w:rsidR="00DB2B68" w:rsidRDefault="00000000">
      <w:r>
        <w:rPr>
          <w:rStyle w:val="soitChar"/>
        </w:rPr>
        <w:t>1.2.3      QP</w:t>
      </w:r>
    </w:p>
    <w:p w14:paraId="4544352A" w14:textId="77777777" w:rsidR="00DB2B68" w:rsidRDefault="00000000">
      <w:pPr>
        <w:pStyle w:val="pheading"/>
      </w:pPr>
      <w:r>
        <w:t>AIDE</w:t>
      </w:r>
    </w:p>
    <w:p w14:paraId="64B865F2" w14:textId="77777777" w:rsidR="00DB2B68" w:rsidRDefault="00000000">
      <w:pPr>
        <w:jc w:val="both"/>
      </w:pPr>
      <w:r>
        <w:t>Le code suivant peut être utilisé pour la dénomination du poste :</w:t>
      </w:r>
    </w:p>
    <w:p w14:paraId="112BDF04" w14:textId="77777777" w:rsidR="00DB2B68" w:rsidRDefault="00000000">
      <w:pPr>
        <w:jc w:val="both"/>
      </w:pPr>
      <w:r>
        <w:t>BLC-B 1 / 2 / 3 / 4 / 5</w:t>
      </w:r>
    </w:p>
    <w:p w14:paraId="5B1757B8" w14:textId="77777777" w:rsidR="00DB2B68" w:rsidRDefault="00000000">
      <w:pPr>
        <w:jc w:val="both"/>
      </w:pPr>
      <w:r>
        <w:lastRenderedPageBreak/>
        <w:t>Avec :</w:t>
      </w:r>
    </w:p>
    <w:p w14:paraId="298D21AF" w14:textId="77777777" w:rsidR="00DB2B68" w:rsidRDefault="00000000">
      <w:pPr>
        <w:jc w:val="both"/>
      </w:pPr>
      <w:r>
        <w:t>BLC-B pour bois lamellé collé en bloc</w:t>
      </w:r>
    </w:p>
    <w:p w14:paraId="2652095F" w14:textId="77777777" w:rsidR="00DB2B68" w:rsidRDefault="00000000">
      <w:pPr>
        <w:jc w:val="both"/>
      </w:pPr>
      <w:r>
        <w:t>1 : la classe de résistance des colonnes</w:t>
      </w:r>
    </w:p>
    <w:p w14:paraId="343E5056" w14:textId="77777777" w:rsidR="00DB2B68" w:rsidRDefault="00000000">
      <w:pPr>
        <w:jc w:val="both"/>
      </w:pPr>
      <w:r>
        <w:t>2 : la section</w:t>
      </w:r>
    </w:p>
    <w:p w14:paraId="559CD061" w14:textId="77777777" w:rsidR="00DB2B68" w:rsidRDefault="00000000">
      <w:pPr>
        <w:jc w:val="both"/>
      </w:pPr>
      <w:r>
        <w:t>3 : l’essence de bois</w:t>
      </w:r>
    </w:p>
    <w:p w14:paraId="7BF2EA9B" w14:textId="77777777" w:rsidR="00DB2B68" w:rsidRDefault="00000000">
      <w:pPr>
        <w:jc w:val="both"/>
      </w:pPr>
      <w:r>
        <w:t>4 : la classe d’emploi des colonnes</w:t>
      </w:r>
    </w:p>
    <w:p w14:paraId="311F468D" w14:textId="77777777" w:rsidR="00DB2B68" w:rsidRDefault="00000000">
      <w:pPr>
        <w:jc w:val="both"/>
      </w:pPr>
      <w:r>
        <w:t>5 : la méthode utilisée pour garantir la durabilité des colonnes</w:t>
      </w:r>
    </w:p>
    <w:p w14:paraId="17E26E02" w14:textId="77777777" w:rsidR="00DB2B68" w:rsidRDefault="00000000">
      <w:pPr>
        <w:jc w:val="both"/>
      </w:pPr>
      <w:r>
        <w:t> </w:t>
      </w:r>
    </w:p>
    <w:p w14:paraId="64A313F2" w14:textId="77777777" w:rsidR="00DB2B68" w:rsidRDefault="00000000">
      <w:pPr>
        <w:jc w:val="both"/>
      </w:pPr>
      <w:r>
        <w:t>Ce qui donne, par exemple :</w:t>
      </w:r>
    </w:p>
    <w:p w14:paraId="5F412738" w14:textId="77777777" w:rsidR="00DB2B68" w:rsidRDefault="00000000">
      <w:pPr>
        <w:jc w:val="both"/>
      </w:pPr>
      <w:r>
        <w:t>BLC-B GL24c / 120x200 / épicéa / 2 / A2.2</w:t>
      </w:r>
    </w:p>
    <w:p w14:paraId="618A764B" w14:textId="77777777" w:rsidR="00DB2B68" w:rsidRDefault="00000000">
      <w:pPr>
        <w:pStyle w:val="Author-eSectionHeading6Numberless"/>
      </w:pPr>
      <w:bookmarkStart w:id="1574" w:name="_Toc220496566"/>
      <w:r>
        <w:t>24.12.3b Colonnes en bois lamellé collé en bloc à inertie variable CCTB 01.11</w:t>
      </w:r>
      <w:bookmarkEnd w:id="1574"/>
    </w:p>
    <w:p w14:paraId="17E90B1E" w14:textId="77777777" w:rsidR="00DB2B68" w:rsidRDefault="00000000">
      <w:pPr>
        <w:pStyle w:val="pheading"/>
      </w:pPr>
      <w:r>
        <w:t>DESCRIPTION</w:t>
      </w:r>
    </w:p>
    <w:p w14:paraId="625C38A4" w14:textId="77777777" w:rsidR="00DB2B68" w:rsidRDefault="00000000">
      <w:pPr>
        <w:pStyle w:val="pheading"/>
      </w:pPr>
      <w:r>
        <w:t>- Définition / Comprend</w:t>
      </w:r>
    </w:p>
    <w:p w14:paraId="06F5D502" w14:textId="77777777" w:rsidR="00DB2B68" w:rsidRDefault="00000000">
      <w:r>
        <w:t>Il s'agit de l’ensemble des colonnes en bois lamellé collé en bloc et à inertie variable.</w:t>
      </w:r>
    </w:p>
    <w:p w14:paraId="1FF950A5" w14:textId="77777777" w:rsidR="00DB2B68" w:rsidRDefault="00000000">
      <w:pPr>
        <w:pStyle w:val="pheading"/>
      </w:pPr>
      <w:r>
        <w:t>MATÉRIAUX</w:t>
      </w:r>
    </w:p>
    <w:p w14:paraId="3A979625" w14:textId="77777777" w:rsidR="00DB2B68" w:rsidRDefault="00000000">
      <w:pPr>
        <w:pStyle w:val="pheading"/>
      </w:pPr>
      <w:r>
        <w:t>- Caractéristiques générales</w:t>
      </w:r>
    </w:p>
    <w:p w14:paraId="6467D8DD" w14:textId="77777777" w:rsidR="00DB2B68" w:rsidRDefault="00000000">
      <w:pPr>
        <w:jc w:val="both"/>
      </w:pPr>
      <w:r>
        <w:t xml:space="preserve">Classe de résistance : </w:t>
      </w:r>
      <w:r>
        <w:rPr>
          <w:rStyle w:val="optioncarChar"/>
        </w:rPr>
        <w:t>GL24h </w:t>
      </w:r>
      <w:r>
        <w:t>(par défaut)</w:t>
      </w:r>
      <w:r>
        <w:rPr>
          <w:rStyle w:val="optioncarChar"/>
        </w:rPr>
        <w:t xml:space="preserve"> / GL24c / GL28h / GL28c / ***</w:t>
      </w:r>
    </w:p>
    <w:p w14:paraId="7EF784CD" w14:textId="77777777" w:rsidR="00DB2B68" w:rsidRDefault="00000000">
      <w:pPr>
        <w:jc w:val="both"/>
      </w:pPr>
      <w:r>
        <w:t>La géométrie des colonnes est décrite dans les plans.</w:t>
      </w:r>
    </w:p>
    <w:p w14:paraId="78AEA99A" w14:textId="77777777" w:rsidR="00DB2B68" w:rsidRDefault="00000000">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5FAD5FF8" w14:textId="77777777" w:rsidR="00DB2B68" w:rsidRDefault="00000000">
      <w:pPr>
        <w:jc w:val="both"/>
      </w:pPr>
      <w:r>
        <w:t>Classe d’emploi :</w:t>
      </w:r>
      <w:r>
        <w:rPr>
          <w:rStyle w:val="optioncarChar"/>
        </w:rPr>
        <w:t xml:space="preserve"> 1 / 2 / 3 / 4 / 5</w:t>
      </w:r>
    </w:p>
    <w:p w14:paraId="1947A402" w14:textId="77777777" w:rsidR="00DB2B68"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6C6B9E51" w14:textId="77777777" w:rsidR="00DB2B68" w:rsidRDefault="00000000">
      <w:pPr>
        <w:jc w:val="both"/>
      </w:pPr>
      <w:r>
        <w:t xml:space="preserve">La durabilité des colonnes,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A2.2 / traitement A3 / ***</w:t>
      </w:r>
    </w:p>
    <w:p w14:paraId="77A56F1A" w14:textId="77777777" w:rsidR="00DB2B68" w:rsidRDefault="00000000">
      <w:pPr>
        <w:pStyle w:val="pheading"/>
      </w:pPr>
      <w:r>
        <w:t>- Finitions</w:t>
      </w:r>
    </w:p>
    <w:p w14:paraId="20A42505" w14:textId="77777777" w:rsidR="00DB2B68" w:rsidRDefault="00000000">
      <w:pPr>
        <w:jc w:val="both"/>
      </w:pPr>
      <w:r>
        <w:t xml:space="preserve">Les colonnes en bois lamellé collé en bloc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542CEBEF" w14:textId="77777777" w:rsidR="00DB2B68" w:rsidRDefault="00000000">
      <w:pPr>
        <w:jc w:val="both"/>
      </w:pPr>
      <w:r>
        <w:t xml:space="preserve">Les arrêtes sont </w:t>
      </w:r>
      <w:r>
        <w:rPr>
          <w:rStyle w:val="optioncarChar"/>
        </w:rPr>
        <w:t>vives</w:t>
      </w:r>
      <w:r>
        <w:t xml:space="preserve"> (par défaut) </w:t>
      </w:r>
      <w:r>
        <w:rPr>
          <w:rStyle w:val="optioncarChar"/>
        </w:rPr>
        <w:t>/ chanfreinées / ***</w:t>
      </w:r>
    </w:p>
    <w:p w14:paraId="5A6415BA" w14:textId="77777777" w:rsidR="00DB2B68" w:rsidRDefault="00000000">
      <w:pPr>
        <w:jc w:val="both"/>
      </w:pPr>
      <w:r>
        <w:t xml:space="preserve">Les colonnes en bois lamellé collé en bloc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4CA25B9C" w14:textId="77777777" w:rsidR="00DB2B68" w:rsidRDefault="00000000">
      <w:pPr>
        <w:pStyle w:val="pheading"/>
      </w:pPr>
      <w:r>
        <w:t>- Prescriptions complémentaires</w:t>
      </w:r>
    </w:p>
    <w:p w14:paraId="0BA13DC0" w14:textId="77777777" w:rsidR="00DB2B68" w:rsidRDefault="00000000">
      <w:r>
        <w:rPr>
          <w:rStyle w:val="facultChar"/>
        </w:rPr>
        <w:t>La qualité esthétique des colonnes est</w:t>
      </w:r>
      <w:r>
        <w:t>  </w:t>
      </w:r>
      <w:r>
        <w:rPr>
          <w:rStyle w:val="optioncarChar"/>
        </w:rPr>
        <w:t>non-visible / visible industrielle / visible habitation</w:t>
      </w:r>
    </w:p>
    <w:p w14:paraId="43CAAC91" w14:textId="77777777" w:rsidR="00DB2B68" w:rsidRDefault="00000000">
      <w:pPr>
        <w:pStyle w:val="pheading"/>
      </w:pPr>
      <w:r>
        <w:t>EXÉCUTION / MISE EN ŒUVRE</w:t>
      </w:r>
    </w:p>
    <w:p w14:paraId="514B0AE5" w14:textId="77777777" w:rsidR="00DB2B68" w:rsidRDefault="00000000">
      <w:pPr>
        <w:pStyle w:val="pheading"/>
      </w:pPr>
      <w:r>
        <w:t>- Prescriptions générales</w:t>
      </w:r>
    </w:p>
    <w:p w14:paraId="46EDD353" w14:textId="77777777" w:rsidR="00DB2B68" w:rsidRDefault="00000000">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2CD0F2B7" w14:textId="77777777" w:rsidR="00DB2B68" w:rsidRDefault="00000000">
      <w:pPr>
        <w:pStyle w:val="pheading"/>
      </w:pPr>
      <w:r>
        <w:t>MESURAGE</w:t>
      </w:r>
    </w:p>
    <w:p w14:paraId="66FC2EF8" w14:textId="77777777" w:rsidR="00DB2B68" w:rsidRDefault="00000000">
      <w:pPr>
        <w:pStyle w:val="pheading"/>
      </w:pPr>
      <w:r>
        <w:t>- unité de mesure:</w:t>
      </w:r>
    </w:p>
    <w:p w14:paraId="73A2CDC9" w14:textId="77777777" w:rsidR="00DB2B68" w:rsidRDefault="00000000">
      <w:r>
        <w:rPr>
          <w:rStyle w:val="optioncarChar"/>
        </w:rPr>
        <w:t>m³ </w:t>
      </w:r>
      <w:r>
        <w:t>(par défaut)</w:t>
      </w:r>
      <w:r>
        <w:rPr>
          <w:rStyle w:val="optioncarChar"/>
        </w:rPr>
        <w:t> / m / pc</w:t>
      </w:r>
    </w:p>
    <w:p w14:paraId="47BD9539" w14:textId="77777777" w:rsidR="00DB2B68" w:rsidRDefault="00000000">
      <w:r>
        <w:rPr>
          <w:b/>
          <w:i/>
        </w:rPr>
        <w:t>(Soit par défaut)</w:t>
      </w:r>
    </w:p>
    <w:p w14:paraId="4F1299A0" w14:textId="77777777" w:rsidR="00DB2B68" w:rsidRDefault="00000000">
      <w:r>
        <w:rPr>
          <w:rStyle w:val="soitChar"/>
        </w:rPr>
        <w:lastRenderedPageBreak/>
        <w:t>1.    m³ </w:t>
      </w:r>
    </w:p>
    <w:p w14:paraId="179C7AE0" w14:textId="77777777" w:rsidR="00DB2B68" w:rsidRDefault="00000000">
      <w:r>
        <w:rPr>
          <w:b/>
          <w:i/>
        </w:rPr>
        <w:t>(Soit)</w:t>
      </w:r>
    </w:p>
    <w:p w14:paraId="69229E7E" w14:textId="77777777" w:rsidR="00DB2B68" w:rsidRDefault="00000000">
      <w:r>
        <w:rPr>
          <w:rStyle w:val="soitChar"/>
        </w:rPr>
        <w:t>2.    m </w:t>
      </w:r>
    </w:p>
    <w:p w14:paraId="70272DAC" w14:textId="77777777" w:rsidR="00DB2B68" w:rsidRDefault="00000000">
      <w:r>
        <w:rPr>
          <w:b/>
          <w:i/>
        </w:rPr>
        <w:t>(Soit)</w:t>
      </w:r>
    </w:p>
    <w:p w14:paraId="2A1020E3" w14:textId="77777777" w:rsidR="00DB2B68" w:rsidRDefault="00000000">
      <w:r>
        <w:rPr>
          <w:rStyle w:val="soitChar"/>
        </w:rPr>
        <w:t>3.    pc</w:t>
      </w:r>
    </w:p>
    <w:p w14:paraId="47CA729D" w14:textId="77777777" w:rsidR="00DB2B68" w:rsidRDefault="00000000">
      <w:pPr>
        <w:pStyle w:val="pheading"/>
      </w:pPr>
      <w:r>
        <w:t>- code de mesurage:</w:t>
      </w:r>
    </w:p>
    <w:p w14:paraId="3C9BDC2F" w14:textId="77777777" w:rsidR="00DB2B68" w:rsidRDefault="00000000">
      <w:pPr>
        <w:jc w:val="both"/>
      </w:pPr>
      <w:r>
        <w:rPr>
          <w:rStyle w:val="optioncarChar"/>
        </w:rPr>
        <w:t> Volume brut </w:t>
      </w:r>
      <w:r>
        <w:t>(par défaut) </w:t>
      </w:r>
      <w:r>
        <w:rPr>
          <w:rStyle w:val="optioncarChar"/>
        </w:rPr>
        <w:t>/ longueur brute / quantité nette</w:t>
      </w:r>
    </w:p>
    <w:p w14:paraId="425AC72C" w14:textId="77777777" w:rsidR="00DB2B68" w:rsidRDefault="00000000">
      <w:pPr>
        <w:jc w:val="both"/>
      </w:pPr>
      <w:r>
        <w:rPr>
          <w:b/>
          <w:i/>
        </w:rPr>
        <w:t>(Soit par défaut)</w:t>
      </w:r>
    </w:p>
    <w:p w14:paraId="2F97C37E" w14:textId="77777777" w:rsidR="00DB2B68" w:rsidRDefault="00000000">
      <w:pPr>
        <w:jc w:val="both"/>
      </w:pPr>
      <w:r>
        <w:rPr>
          <w:rStyle w:val="soitChar"/>
        </w:rPr>
        <w:t>1.   </w:t>
      </w:r>
      <w:r>
        <w:rPr>
          <w:rStyle w:val="soitChar"/>
          <w:u w:val="single"/>
        </w:rPr>
        <w:t> Volume brut :</w:t>
      </w:r>
    </w:p>
    <w:p w14:paraId="6C3390D0" w14:textId="77777777" w:rsidR="00DB2B68" w:rsidRDefault="00000000">
      <w:pPr>
        <w:jc w:val="both"/>
      </w:pPr>
      <w:r>
        <w:rPr>
          <w:rStyle w:val="soitChar"/>
        </w:rPr>
        <w:t>Le volume brut d’une colonne est calculé suivant le volume du plus petit parallélépipède rectangle pouvant inclure l’élément.</w:t>
      </w:r>
    </w:p>
    <w:p w14:paraId="114765D0" w14:textId="77777777" w:rsidR="00DB2B68" w:rsidRDefault="00000000">
      <w:pPr>
        <w:jc w:val="both"/>
      </w:pPr>
      <w:r>
        <w:rPr>
          <w:b/>
          <w:i/>
        </w:rPr>
        <w:t> (Soit)</w:t>
      </w:r>
    </w:p>
    <w:p w14:paraId="7B19A5EA" w14:textId="77777777" w:rsidR="00DB2B68" w:rsidRDefault="00000000">
      <w:pPr>
        <w:jc w:val="both"/>
      </w:pPr>
      <w:r>
        <w:rPr>
          <w:rStyle w:val="soitChar"/>
        </w:rPr>
        <w:t>2.   </w:t>
      </w:r>
      <w:r>
        <w:rPr>
          <w:rStyle w:val="soitChar"/>
          <w:u w:val="single"/>
        </w:rPr>
        <w:t> Longueur brute :</w:t>
      </w:r>
    </w:p>
    <w:p w14:paraId="21FEFB8B"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4E04CEF3" w14:textId="77777777" w:rsidR="00DB2B68" w:rsidRDefault="00000000">
      <w:pPr>
        <w:jc w:val="both"/>
      </w:pPr>
      <w:r>
        <w:rPr>
          <w:rStyle w:val="soitChar"/>
        </w:rPr>
        <w:t>La longueur totale des colonnes ayant la même section et les mêmes caractéristiques est comptabilisée.</w:t>
      </w:r>
    </w:p>
    <w:p w14:paraId="298416BF" w14:textId="77777777" w:rsidR="00DB2B68" w:rsidRDefault="00000000">
      <w:pPr>
        <w:jc w:val="both"/>
      </w:pPr>
      <w:r>
        <w:rPr>
          <w:b/>
          <w:i/>
        </w:rPr>
        <w:t> (Soit)</w:t>
      </w:r>
    </w:p>
    <w:p w14:paraId="4B696864" w14:textId="77777777" w:rsidR="00DB2B68" w:rsidRDefault="00000000">
      <w:pPr>
        <w:jc w:val="both"/>
      </w:pPr>
      <w:r>
        <w:rPr>
          <w:rStyle w:val="soitChar"/>
        </w:rPr>
        <w:t>3.    </w:t>
      </w:r>
      <w:r>
        <w:rPr>
          <w:rStyle w:val="soitChar"/>
          <w:u w:val="single"/>
        </w:rPr>
        <w:t>Quantité nette :</w:t>
      </w:r>
    </w:p>
    <w:p w14:paraId="25D6975A" w14:textId="77777777" w:rsidR="00DB2B68" w:rsidRDefault="00000000">
      <w:pPr>
        <w:jc w:val="both"/>
      </w:pPr>
      <w:r>
        <w:rPr>
          <w:rStyle w:val="soitChar"/>
        </w:rPr>
        <w:t>Le nombre de colonnes ayant les mêmes dimensions et les mêmes caractéristiques est compatibilisé.</w:t>
      </w:r>
    </w:p>
    <w:p w14:paraId="34791510" w14:textId="77777777" w:rsidR="00DB2B68" w:rsidRDefault="00000000">
      <w:pPr>
        <w:pStyle w:val="pheading"/>
      </w:pPr>
      <w:r>
        <w:t>- nature du marché:</w:t>
      </w:r>
    </w:p>
    <w:p w14:paraId="2429D796" w14:textId="77777777" w:rsidR="00DB2B68" w:rsidRDefault="00000000">
      <w:r>
        <w:rPr>
          <w:rStyle w:val="optioncarChar"/>
        </w:rPr>
        <w:t>QF </w:t>
      </w:r>
      <w:r>
        <w:t>(par défaut) </w:t>
      </w:r>
      <w:r>
        <w:rPr>
          <w:rStyle w:val="optioncarChar"/>
        </w:rPr>
        <w:t>/ QP</w:t>
      </w:r>
    </w:p>
    <w:p w14:paraId="744067FC" w14:textId="77777777" w:rsidR="00DB2B68" w:rsidRDefault="00000000">
      <w:r>
        <w:rPr>
          <w:b/>
          <w:i/>
        </w:rPr>
        <w:t>(Soit par défaut)</w:t>
      </w:r>
    </w:p>
    <w:p w14:paraId="65E22E39" w14:textId="77777777" w:rsidR="00DB2B68" w:rsidRDefault="00000000">
      <w:r>
        <w:rPr>
          <w:rStyle w:val="soitChar"/>
        </w:rPr>
        <w:t>1.2.3      QF</w:t>
      </w:r>
    </w:p>
    <w:p w14:paraId="31142E54" w14:textId="77777777" w:rsidR="00DB2B68" w:rsidRDefault="00000000">
      <w:r>
        <w:rPr>
          <w:b/>
          <w:i/>
        </w:rPr>
        <w:t>(Soit)</w:t>
      </w:r>
    </w:p>
    <w:p w14:paraId="6E421C63" w14:textId="77777777" w:rsidR="00DB2B68" w:rsidRDefault="00000000">
      <w:r>
        <w:rPr>
          <w:rStyle w:val="soitChar"/>
        </w:rPr>
        <w:t>1.2.3      QP</w:t>
      </w:r>
    </w:p>
    <w:p w14:paraId="7947F3ED" w14:textId="77777777" w:rsidR="00DB2B68" w:rsidRDefault="00000000">
      <w:pPr>
        <w:pStyle w:val="pheading"/>
      </w:pPr>
      <w:r>
        <w:t>AIDE</w:t>
      </w:r>
    </w:p>
    <w:p w14:paraId="5865D5F0" w14:textId="77777777" w:rsidR="00DB2B68" w:rsidRDefault="00000000">
      <w:pPr>
        <w:jc w:val="both"/>
      </w:pPr>
      <w:r>
        <w:t>Le code suivant peut être utilisé pour la dénomination du poste :</w:t>
      </w:r>
    </w:p>
    <w:p w14:paraId="55CD485B" w14:textId="77777777" w:rsidR="00DB2B68" w:rsidRDefault="00000000">
      <w:pPr>
        <w:jc w:val="both"/>
      </w:pPr>
      <w:r>
        <w:t>BLC-B 1 / 2 / 3 / 4 / 5</w:t>
      </w:r>
    </w:p>
    <w:p w14:paraId="3F5DA1AD" w14:textId="77777777" w:rsidR="00DB2B68" w:rsidRDefault="00000000">
      <w:pPr>
        <w:jc w:val="both"/>
      </w:pPr>
      <w:r>
        <w:t>Avec :</w:t>
      </w:r>
    </w:p>
    <w:p w14:paraId="061042CB" w14:textId="77777777" w:rsidR="00DB2B68" w:rsidRDefault="00000000">
      <w:pPr>
        <w:jc w:val="both"/>
      </w:pPr>
      <w:r>
        <w:t>BLC-B pour bois lamellé collé en bloc</w:t>
      </w:r>
    </w:p>
    <w:p w14:paraId="38DF0A29" w14:textId="77777777" w:rsidR="00DB2B68" w:rsidRDefault="00000000">
      <w:pPr>
        <w:jc w:val="both"/>
      </w:pPr>
      <w:r>
        <w:t>1 : la classe de résistance des colonnes</w:t>
      </w:r>
    </w:p>
    <w:p w14:paraId="5F95AB5F" w14:textId="77777777" w:rsidR="00DB2B68" w:rsidRDefault="00000000">
      <w:pPr>
        <w:jc w:val="both"/>
      </w:pPr>
      <w:r>
        <w:t>2 : la section – ici : variable</w:t>
      </w:r>
    </w:p>
    <w:p w14:paraId="0BDC4B9C" w14:textId="77777777" w:rsidR="00DB2B68" w:rsidRDefault="00000000">
      <w:pPr>
        <w:jc w:val="both"/>
      </w:pPr>
      <w:r>
        <w:t>3 : l’essence de bois</w:t>
      </w:r>
    </w:p>
    <w:p w14:paraId="1D4D48F6" w14:textId="77777777" w:rsidR="00DB2B68" w:rsidRDefault="00000000">
      <w:pPr>
        <w:jc w:val="both"/>
      </w:pPr>
      <w:r>
        <w:t>4 : la classe d’emploi des colonnes</w:t>
      </w:r>
    </w:p>
    <w:p w14:paraId="38F4BC11" w14:textId="77777777" w:rsidR="00DB2B68" w:rsidRDefault="00000000">
      <w:pPr>
        <w:jc w:val="both"/>
      </w:pPr>
      <w:r>
        <w:t>5 : la méthode utilisée pour garantir la durabilité des colonnes</w:t>
      </w:r>
    </w:p>
    <w:p w14:paraId="1FDFA295" w14:textId="77777777" w:rsidR="00DB2B68" w:rsidRDefault="00000000">
      <w:pPr>
        <w:jc w:val="both"/>
      </w:pPr>
      <w:r>
        <w:t> </w:t>
      </w:r>
    </w:p>
    <w:p w14:paraId="616CEFC4" w14:textId="77777777" w:rsidR="00DB2B68" w:rsidRDefault="00000000">
      <w:pPr>
        <w:jc w:val="both"/>
      </w:pPr>
      <w:r>
        <w:t>Ce qui donne, par exemple :</w:t>
      </w:r>
    </w:p>
    <w:p w14:paraId="2B37108A" w14:textId="77777777" w:rsidR="00DB2B68" w:rsidRDefault="00000000">
      <w:pPr>
        <w:jc w:val="both"/>
      </w:pPr>
      <w:r>
        <w:t>BLC-B GL24c / variable / épicéa / 2 / A2.2</w:t>
      </w:r>
    </w:p>
    <w:p w14:paraId="7A824BE8" w14:textId="77777777" w:rsidR="00DB2B68" w:rsidRDefault="00000000">
      <w:pPr>
        <w:pStyle w:val="Author-eSectionHeading5Numberless"/>
      </w:pPr>
      <w:bookmarkStart w:id="1575" w:name="_Toc220496567"/>
      <w:r>
        <w:t>24.12.4 Colonnes en LVL CCTB 01.13</w:t>
      </w:r>
      <w:bookmarkEnd w:id="1575"/>
    </w:p>
    <w:p w14:paraId="73A6F1F3" w14:textId="77777777" w:rsidR="00DB2B68" w:rsidRDefault="00000000">
      <w:pPr>
        <w:pStyle w:val="pheading"/>
      </w:pPr>
      <w:r>
        <w:lastRenderedPageBreak/>
        <w:t>DESCRIPTION</w:t>
      </w:r>
    </w:p>
    <w:p w14:paraId="669CDC0E" w14:textId="77777777" w:rsidR="00DB2B68" w:rsidRDefault="00000000">
      <w:pPr>
        <w:pStyle w:val="pheading"/>
      </w:pPr>
      <w:r>
        <w:t>- Définition / Comprend</w:t>
      </w:r>
    </w:p>
    <w:p w14:paraId="2AB2EAC4" w14:textId="77777777" w:rsidR="00DB2B68" w:rsidRDefault="00000000">
      <w:r>
        <w:t xml:space="preserve">Il s’agit des colonnes en LVL. La notion de LVL est expliquée au </w:t>
      </w:r>
      <w:hyperlink w:anchor="89" w:history="1">
        <w:r>
          <w:rPr>
            <w:color w:val="0000EE"/>
          </w:rPr>
          <w:t>24 Superstructures en bois</w:t>
        </w:r>
      </w:hyperlink>
      <w:r>
        <w:t>.</w:t>
      </w:r>
    </w:p>
    <w:p w14:paraId="2CE52756" w14:textId="77777777" w:rsidR="00DB2B68" w:rsidRDefault="00000000">
      <w:pPr>
        <w:pStyle w:val="pheading"/>
      </w:pPr>
      <w:r>
        <w:t>EXÉCUTION / MISE EN ŒUVRE</w:t>
      </w:r>
    </w:p>
    <w:p w14:paraId="6E22E8AE" w14:textId="77777777" w:rsidR="00DB2B68" w:rsidRDefault="00000000">
      <w:pPr>
        <w:jc w:val="both"/>
      </w:pPr>
      <w:r>
        <w:t>Lorsque les colonnes sont posées sur des matériaux humides ou humidifiables, les assemblages sont conçus de façon à éviter l’absorption par capillarité.</w:t>
      </w:r>
    </w:p>
    <w:p w14:paraId="4C453E44" w14:textId="77777777" w:rsidR="00DB2B68" w:rsidRDefault="00000000">
      <w:pPr>
        <w:jc w:val="both"/>
      </w:pPr>
      <w:r>
        <w:t>Si les colonnes sont situées à l’intérieur, une protection contre l’humidité est prévue (type membranes bitumineuses, EPDM ou équivalent) sous les colonnes pour éviter les remontées capillaires.</w:t>
      </w:r>
    </w:p>
    <w:p w14:paraId="177295A4" w14:textId="77777777" w:rsidR="00DB2B68" w:rsidRDefault="00000000">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14:paraId="21E36D60" w14:textId="77777777" w:rsidR="00DB2B68" w:rsidRDefault="00000000">
      <w:pPr>
        <w:pStyle w:val="Author-eSectionHeading6Numberless"/>
      </w:pPr>
      <w:bookmarkStart w:id="1576" w:name="_Toc220496568"/>
      <w:r>
        <w:t>24.12.4a Colonnes en LVL à inertie constante CCTB 01.11</w:t>
      </w:r>
      <w:bookmarkEnd w:id="1576"/>
    </w:p>
    <w:p w14:paraId="2CE7C994" w14:textId="77777777" w:rsidR="00DB2B68" w:rsidRDefault="00000000">
      <w:pPr>
        <w:pStyle w:val="pheading"/>
      </w:pPr>
      <w:r>
        <w:t>DESCRIPTION</w:t>
      </w:r>
    </w:p>
    <w:p w14:paraId="532CF41A" w14:textId="77777777" w:rsidR="00DB2B68" w:rsidRDefault="00000000">
      <w:pPr>
        <w:pStyle w:val="pheading"/>
      </w:pPr>
      <w:r>
        <w:t>- Définition / Comprend</w:t>
      </w:r>
    </w:p>
    <w:p w14:paraId="7E9D7244" w14:textId="77777777" w:rsidR="00DB2B68" w:rsidRDefault="00000000">
      <w:r>
        <w:t>Il s'agit de l’ensemble des colonnes en LVL et à inertie constante.</w:t>
      </w:r>
    </w:p>
    <w:p w14:paraId="79359F53" w14:textId="77777777" w:rsidR="00DB2B68" w:rsidRDefault="00000000">
      <w:pPr>
        <w:pStyle w:val="pheading"/>
      </w:pPr>
      <w:r>
        <w:t>MATÉRIAUX</w:t>
      </w:r>
    </w:p>
    <w:p w14:paraId="192E207A" w14:textId="77777777" w:rsidR="00DB2B68" w:rsidRDefault="00000000">
      <w:pPr>
        <w:pStyle w:val="pheading"/>
      </w:pPr>
      <w:r>
        <w:t>- Caractéristiques générales</w:t>
      </w:r>
    </w:p>
    <w:p w14:paraId="19A09C66" w14:textId="77777777" w:rsidR="00DB2B68" w:rsidRDefault="00000000">
      <w:pPr>
        <w:jc w:val="both"/>
      </w:pPr>
      <w:r>
        <w:t xml:space="preserve">Dimensions de la section : </w:t>
      </w:r>
      <w:r>
        <w:rPr>
          <w:rStyle w:val="optioncarChar"/>
        </w:rPr>
        <w:t xml:space="preserve">Voir plans </w:t>
      </w:r>
      <w:r>
        <w:t>(par défaut)</w:t>
      </w:r>
      <w:r>
        <w:rPr>
          <w:rStyle w:val="optioncarChar"/>
        </w:rPr>
        <w:t xml:space="preserve"> / *** x *** mm²</w:t>
      </w:r>
    </w:p>
    <w:p w14:paraId="419CB1BF" w14:textId="77777777" w:rsidR="00DB2B68" w:rsidRDefault="00000000">
      <w:pPr>
        <w:jc w:val="both"/>
      </w:pPr>
      <w:r>
        <w:t xml:space="preserve">Type de LVL : </w:t>
      </w:r>
      <w:r>
        <w:rPr>
          <w:rStyle w:val="optioncarChar"/>
        </w:rPr>
        <w:t xml:space="preserve">S </w:t>
      </w:r>
      <w:r>
        <w:t xml:space="preserve">(par défaut) </w:t>
      </w:r>
      <w:r>
        <w:rPr>
          <w:rStyle w:val="optioncarChar"/>
        </w:rPr>
        <w:t>/ Q</w:t>
      </w:r>
    </w:p>
    <w:p w14:paraId="335BCB2C" w14:textId="77777777" w:rsidR="00DB2B68" w:rsidRDefault="00000000">
      <w:pPr>
        <w:jc w:val="both"/>
      </w:pPr>
      <w:r>
        <w:t> </w:t>
      </w:r>
    </w:p>
    <w:p w14:paraId="638E2834" w14:textId="77777777" w:rsidR="00DB2B68" w:rsidRDefault="00000000">
      <w:pPr>
        <w:jc w:val="both"/>
      </w:pPr>
      <w:r>
        <w:t>Caractéristiques mécaniques :</w:t>
      </w:r>
    </w:p>
    <w:p w14:paraId="5FA94F32" w14:textId="77777777" w:rsidR="00DB2B68" w:rsidRDefault="00000000">
      <w:pPr>
        <w:pStyle w:val="Author-eListParagraph"/>
        <w:numPr>
          <w:ilvl w:val="0"/>
          <w:numId w:val="853"/>
        </w:numPr>
      </w:pPr>
      <w:r>
        <w:t>Résistance minimale en flexion à chant :</w:t>
      </w:r>
      <w:r>
        <w:rPr>
          <w:rStyle w:val="optioncarChar"/>
        </w:rPr>
        <w:t xml:space="preserve"> 40 MPa</w:t>
      </w:r>
      <w:r>
        <w:t xml:space="preserve"> (par défaut)</w:t>
      </w:r>
      <w:r>
        <w:rPr>
          <w:rStyle w:val="optioncarChar"/>
        </w:rPr>
        <w:t> / ***</w:t>
      </w:r>
    </w:p>
    <w:p w14:paraId="7D50181D" w14:textId="77777777" w:rsidR="00DB2B68" w:rsidRDefault="00000000">
      <w:pPr>
        <w:pStyle w:val="Author-eListParagraph"/>
        <w:numPr>
          <w:ilvl w:val="0"/>
          <w:numId w:val="853"/>
        </w:numPr>
      </w:pPr>
      <w:r>
        <w:t xml:space="preserve">Résistance minimale en flexion à plat : </w:t>
      </w:r>
      <w:r>
        <w:rPr>
          <w:rStyle w:val="optioncarChar"/>
        </w:rPr>
        <w:t>40 MPa </w:t>
      </w:r>
      <w:r>
        <w:t>(par défaut) </w:t>
      </w:r>
      <w:r>
        <w:rPr>
          <w:rStyle w:val="optioncarChar"/>
        </w:rPr>
        <w:t>/ ***</w:t>
      </w:r>
    </w:p>
    <w:p w14:paraId="04BA0068" w14:textId="77777777" w:rsidR="00DB2B68" w:rsidRDefault="00000000">
      <w:pPr>
        <w:pStyle w:val="Author-eListParagraph"/>
        <w:numPr>
          <w:ilvl w:val="0"/>
          <w:numId w:val="853"/>
        </w:numPr>
      </w:pPr>
      <w:r>
        <w:t xml:space="preserve">Résistance minimale en traction parallèle au fil du bois : </w:t>
      </w:r>
      <w:r>
        <w:rPr>
          <w:rStyle w:val="optioncarChar"/>
        </w:rPr>
        <w:t>30 MPa </w:t>
      </w:r>
      <w:r>
        <w:t>(par défaut)</w:t>
      </w:r>
      <w:r>
        <w:rPr>
          <w:rStyle w:val="optioncarChar"/>
        </w:rPr>
        <w:t xml:space="preserve"> / ***</w:t>
      </w:r>
    </w:p>
    <w:p w14:paraId="6EAE5099" w14:textId="77777777" w:rsidR="00DB2B68" w:rsidRDefault="00000000">
      <w:pPr>
        <w:pStyle w:val="Author-eListParagraph"/>
        <w:numPr>
          <w:ilvl w:val="0"/>
          <w:numId w:val="853"/>
        </w:numPr>
      </w:pPr>
      <w:r>
        <w:t xml:space="preserve">Résistance minimale en compression parallèle au fil du bois : </w:t>
      </w:r>
      <w:r>
        <w:rPr>
          <w:rStyle w:val="optioncarChar"/>
        </w:rPr>
        <w:t>30 MPa </w:t>
      </w:r>
      <w:r>
        <w:t>(par défaut)</w:t>
      </w:r>
      <w:r>
        <w:rPr>
          <w:rStyle w:val="optioncarChar"/>
        </w:rPr>
        <w:t xml:space="preserve"> / ***</w:t>
      </w:r>
    </w:p>
    <w:p w14:paraId="3056EDFA" w14:textId="77777777" w:rsidR="00DB2B68" w:rsidRDefault="00000000">
      <w:pPr>
        <w:pStyle w:val="Author-eListParagraph"/>
        <w:numPr>
          <w:ilvl w:val="0"/>
          <w:numId w:val="853"/>
        </w:numPr>
      </w:pPr>
      <w:r>
        <w:t>Résistance minimale en cisaillement à chant :</w:t>
      </w:r>
      <w:r>
        <w:rPr>
          <w:rStyle w:val="optioncarChar"/>
        </w:rPr>
        <w:t xml:space="preserve"> 5 MPa </w:t>
      </w:r>
      <w:r>
        <w:t>(par défaut)</w:t>
      </w:r>
      <w:r>
        <w:rPr>
          <w:rStyle w:val="optioncarChar"/>
        </w:rPr>
        <w:t xml:space="preserve"> / ***</w:t>
      </w:r>
    </w:p>
    <w:p w14:paraId="11F454FB" w14:textId="77777777" w:rsidR="00DB2B68" w:rsidRDefault="00000000">
      <w:pPr>
        <w:pStyle w:val="Author-eListParagraph"/>
        <w:numPr>
          <w:ilvl w:val="0"/>
          <w:numId w:val="853"/>
        </w:numPr>
      </w:pPr>
      <w:r>
        <w:t xml:space="preserve">Résistance minimale en cisaillement à plat : </w:t>
      </w:r>
      <w:r>
        <w:rPr>
          <w:rStyle w:val="optioncarChar"/>
        </w:rPr>
        <w:t>4 MPa </w:t>
      </w:r>
      <w:r>
        <w:t>(par défaut)</w:t>
      </w:r>
      <w:r>
        <w:rPr>
          <w:rStyle w:val="optioncarChar"/>
        </w:rPr>
        <w:t xml:space="preserve"> / ***</w:t>
      </w:r>
    </w:p>
    <w:p w14:paraId="656CEDC2" w14:textId="77777777" w:rsidR="00DB2B68" w:rsidRDefault="00000000">
      <w:pPr>
        <w:pStyle w:val="Author-eListParagraph"/>
        <w:numPr>
          <w:ilvl w:val="0"/>
          <w:numId w:val="853"/>
        </w:numPr>
      </w:pPr>
      <w:r>
        <w:t xml:space="preserve">Module d’élasticité minimum parallèle au fil du bois (au fractile 5%) : </w:t>
      </w:r>
      <w:r>
        <w:rPr>
          <w:rStyle w:val="optioncarChar"/>
        </w:rPr>
        <w:t>9 GPa </w:t>
      </w:r>
      <w:r>
        <w:t>(par défaut)</w:t>
      </w:r>
      <w:r>
        <w:rPr>
          <w:rStyle w:val="optioncarChar"/>
        </w:rPr>
        <w:t xml:space="preserve"> / ***</w:t>
      </w:r>
    </w:p>
    <w:p w14:paraId="1EEA1DBF" w14:textId="77777777" w:rsidR="00DB2B68" w:rsidRDefault="00000000">
      <w:pPr>
        <w:pStyle w:val="Author-eListParagraph"/>
        <w:numPr>
          <w:ilvl w:val="0"/>
          <w:numId w:val="853"/>
        </w:numPr>
      </w:pPr>
      <w:r>
        <w:t xml:space="preserve">Module de cisaillement à chant : </w:t>
      </w:r>
      <w:r>
        <w:rPr>
          <w:rStyle w:val="optioncarChar"/>
        </w:rPr>
        <w:t>600 MPa </w:t>
      </w:r>
      <w:r>
        <w:t>(par défaut)</w:t>
      </w:r>
      <w:r>
        <w:rPr>
          <w:rStyle w:val="optioncarChar"/>
        </w:rPr>
        <w:t xml:space="preserve"> / ***</w:t>
      </w:r>
    </w:p>
    <w:p w14:paraId="1683DBF1" w14:textId="77777777" w:rsidR="00DB2B68" w:rsidRDefault="00000000">
      <w:pPr>
        <w:pStyle w:val="Author-eListParagraph"/>
        <w:numPr>
          <w:ilvl w:val="0"/>
          <w:numId w:val="853"/>
        </w:numPr>
      </w:pPr>
      <w:r>
        <w:t>Module de cisaillement à plat :</w:t>
      </w:r>
      <w:r>
        <w:rPr>
          <w:rStyle w:val="optioncarChar"/>
        </w:rPr>
        <w:t xml:space="preserve"> 400 MPa </w:t>
      </w:r>
      <w:r>
        <w:t>(par défaut)</w:t>
      </w:r>
      <w:r>
        <w:rPr>
          <w:rStyle w:val="optioncarChar"/>
        </w:rPr>
        <w:t xml:space="preserve"> / ***</w:t>
      </w:r>
    </w:p>
    <w:p w14:paraId="5B995ED4" w14:textId="77777777" w:rsidR="00DB2B68" w:rsidRDefault="00000000">
      <w:pPr>
        <w:jc w:val="both"/>
      </w:pPr>
      <w:r>
        <w:t xml:space="preserve">Courbure des colonnes : </w:t>
      </w:r>
      <w:r>
        <w:rPr>
          <w:rStyle w:val="optioncarChar"/>
        </w:rPr>
        <w:t xml:space="preserve">aucune </w:t>
      </w:r>
      <w:r>
        <w:t>(par défaut)</w:t>
      </w:r>
      <w:r>
        <w:rPr>
          <w:rStyle w:val="optioncarChar"/>
        </w:rPr>
        <w:t xml:space="preserve"> / voir plan / ***</w:t>
      </w:r>
    </w:p>
    <w:p w14:paraId="25D7C049"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pin / douglas / bouleau / hêtre / ***</w:t>
      </w:r>
    </w:p>
    <w:p w14:paraId="60F87F1E" w14:textId="77777777" w:rsidR="00DB2B68" w:rsidRDefault="00000000">
      <w:pPr>
        <w:jc w:val="both"/>
      </w:pPr>
      <w:r>
        <w:t xml:space="preserve">Classe d’emploi : </w:t>
      </w:r>
      <w:r>
        <w:rPr>
          <w:rStyle w:val="optioncarChar"/>
        </w:rPr>
        <w:t>1 / 2 / 3</w:t>
      </w:r>
    </w:p>
    <w:p w14:paraId="3831907E" w14:textId="77777777" w:rsidR="00DB2B68" w:rsidRDefault="00000000">
      <w:pPr>
        <w:jc w:val="both"/>
      </w:pPr>
      <w:r>
        <w:t>La classe de durabilité minimale des colonnes en LVL est directement liée à la classe d’emploi.</w:t>
      </w:r>
    </w:p>
    <w:p w14:paraId="60810F82" w14:textId="77777777" w:rsidR="00DB2B68"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523CD0FB" w14:textId="77777777" w:rsidR="00DB2B68" w:rsidRDefault="00000000">
      <w:pPr>
        <w:jc w:val="both"/>
      </w:pPr>
      <w:r>
        <w:t xml:space="preserve">Classe d’émission de formaldéhyde : </w:t>
      </w:r>
      <w:r>
        <w:rPr>
          <w:rStyle w:val="optioncarChar"/>
        </w:rPr>
        <w:t>E1</w:t>
      </w:r>
      <w:r>
        <w:t xml:space="preserve"> (par défaut) </w:t>
      </w:r>
      <w:r>
        <w:rPr>
          <w:rStyle w:val="optioncarChar"/>
        </w:rPr>
        <w:t>/ E2</w:t>
      </w:r>
    </w:p>
    <w:p w14:paraId="022A1676" w14:textId="77777777" w:rsidR="00DB2B68" w:rsidRDefault="00000000">
      <w:pPr>
        <w:pStyle w:val="pheading"/>
      </w:pPr>
      <w:r>
        <w:t>- Finitions</w:t>
      </w:r>
    </w:p>
    <w:p w14:paraId="23AC6836" w14:textId="77777777" w:rsidR="00DB2B68" w:rsidRDefault="00000000">
      <w:pPr>
        <w:jc w:val="both"/>
      </w:pPr>
      <w:r>
        <w:t xml:space="preserve">Les colonnes en LVL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2826B411" w14:textId="77777777" w:rsidR="00DB2B68"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6FD6AF7D" w14:textId="77777777" w:rsidR="00DB2B68" w:rsidRDefault="00000000">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1A173AE9" w14:textId="77777777" w:rsidR="00DB2B68" w:rsidRDefault="00000000">
      <w:pPr>
        <w:pStyle w:val="pheading"/>
      </w:pPr>
      <w:r>
        <w:t>EXÉCUTION / MISE EN ŒUVRE</w:t>
      </w:r>
    </w:p>
    <w:p w14:paraId="083BB0B9" w14:textId="77777777" w:rsidR="00DB2B68" w:rsidRDefault="00000000">
      <w:pPr>
        <w:pStyle w:val="pheading"/>
      </w:pPr>
      <w:r>
        <w:lastRenderedPageBreak/>
        <w:t>- Prescriptions générales</w:t>
      </w:r>
    </w:p>
    <w:p w14:paraId="74F765E5" w14:textId="77777777" w:rsidR="00DB2B68" w:rsidRDefault="00000000">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520D0757" w14:textId="77777777" w:rsidR="00DB2B68" w:rsidRDefault="00000000">
      <w:pPr>
        <w:pStyle w:val="pheading"/>
      </w:pPr>
      <w:r>
        <w:t>MESURAGE</w:t>
      </w:r>
    </w:p>
    <w:p w14:paraId="58DF65E7" w14:textId="77777777" w:rsidR="00DB2B68" w:rsidRDefault="00000000">
      <w:pPr>
        <w:pStyle w:val="pheading"/>
      </w:pPr>
      <w:r>
        <w:t>- unité de mesure:</w:t>
      </w:r>
    </w:p>
    <w:p w14:paraId="0D552BD5" w14:textId="77777777" w:rsidR="00DB2B68" w:rsidRDefault="00000000">
      <w:r>
        <w:rPr>
          <w:rStyle w:val="optioncarChar"/>
        </w:rPr>
        <w:t>m³ </w:t>
      </w:r>
      <w:r>
        <w:t>(par défaut)</w:t>
      </w:r>
      <w:r>
        <w:rPr>
          <w:rStyle w:val="optioncarChar"/>
        </w:rPr>
        <w:t> / m / pc</w:t>
      </w:r>
    </w:p>
    <w:p w14:paraId="177F46D9" w14:textId="77777777" w:rsidR="00DB2B68" w:rsidRDefault="00000000">
      <w:r>
        <w:rPr>
          <w:b/>
          <w:i/>
        </w:rPr>
        <w:t>(Soit par défaut)</w:t>
      </w:r>
    </w:p>
    <w:p w14:paraId="08CDBCB7" w14:textId="77777777" w:rsidR="00DB2B68" w:rsidRDefault="00000000">
      <w:r>
        <w:rPr>
          <w:rStyle w:val="soitChar"/>
        </w:rPr>
        <w:t>1.    m³ </w:t>
      </w:r>
    </w:p>
    <w:p w14:paraId="57CD6FB4" w14:textId="77777777" w:rsidR="00DB2B68" w:rsidRDefault="00000000">
      <w:r>
        <w:rPr>
          <w:b/>
          <w:i/>
        </w:rPr>
        <w:t>(Soit)</w:t>
      </w:r>
    </w:p>
    <w:p w14:paraId="7F432135" w14:textId="77777777" w:rsidR="00DB2B68" w:rsidRDefault="00000000">
      <w:r>
        <w:rPr>
          <w:rStyle w:val="soitChar"/>
        </w:rPr>
        <w:t>2.    m </w:t>
      </w:r>
    </w:p>
    <w:p w14:paraId="4D5DDFC5" w14:textId="77777777" w:rsidR="00DB2B68" w:rsidRDefault="00000000">
      <w:r>
        <w:rPr>
          <w:b/>
          <w:i/>
        </w:rPr>
        <w:t>(Soit)</w:t>
      </w:r>
    </w:p>
    <w:p w14:paraId="255E699A" w14:textId="77777777" w:rsidR="00DB2B68" w:rsidRDefault="00000000">
      <w:r>
        <w:rPr>
          <w:rStyle w:val="soitChar"/>
        </w:rPr>
        <w:t>3.    pc</w:t>
      </w:r>
    </w:p>
    <w:p w14:paraId="3205F50A" w14:textId="77777777" w:rsidR="00DB2B68" w:rsidRDefault="00000000">
      <w:pPr>
        <w:pStyle w:val="pheading"/>
      </w:pPr>
      <w:r>
        <w:t>- code de mesurage:</w:t>
      </w:r>
    </w:p>
    <w:p w14:paraId="29964E09" w14:textId="77777777" w:rsidR="00DB2B68" w:rsidRDefault="00000000">
      <w:pPr>
        <w:jc w:val="both"/>
      </w:pPr>
      <w:r>
        <w:rPr>
          <w:rStyle w:val="optioncarChar"/>
        </w:rPr>
        <w:t> Volume brut </w:t>
      </w:r>
      <w:r>
        <w:t>(par défaut) </w:t>
      </w:r>
      <w:r>
        <w:rPr>
          <w:rStyle w:val="optioncarChar"/>
        </w:rPr>
        <w:t>/ longueur brute / quantité nette</w:t>
      </w:r>
    </w:p>
    <w:p w14:paraId="063C7B1A" w14:textId="77777777" w:rsidR="00DB2B68" w:rsidRDefault="00000000">
      <w:pPr>
        <w:jc w:val="both"/>
      </w:pPr>
      <w:r>
        <w:rPr>
          <w:b/>
          <w:i/>
        </w:rPr>
        <w:t>(Soit par défaut)</w:t>
      </w:r>
    </w:p>
    <w:p w14:paraId="594B4107" w14:textId="77777777" w:rsidR="00DB2B68" w:rsidRDefault="00000000">
      <w:pPr>
        <w:jc w:val="both"/>
      </w:pPr>
      <w:r>
        <w:rPr>
          <w:rStyle w:val="soitChar"/>
        </w:rPr>
        <w:t>1.   </w:t>
      </w:r>
      <w:r>
        <w:rPr>
          <w:rStyle w:val="soitChar"/>
          <w:u w:val="single"/>
        </w:rPr>
        <w:t> Volume brut :</w:t>
      </w:r>
    </w:p>
    <w:p w14:paraId="370A864E" w14:textId="77777777" w:rsidR="00DB2B68" w:rsidRDefault="00000000">
      <w:pPr>
        <w:jc w:val="both"/>
      </w:pPr>
      <w:r>
        <w:rPr>
          <w:rStyle w:val="soitChar"/>
        </w:rPr>
        <w:t>Le volume brut d’une colonne est calculé suivant l'épaisseur prescrite au cahier spécial des charges.</w:t>
      </w:r>
    </w:p>
    <w:p w14:paraId="29CF333B" w14:textId="77777777" w:rsidR="00DB2B68" w:rsidRDefault="00000000">
      <w:pPr>
        <w:jc w:val="both"/>
      </w:pPr>
      <w:r>
        <w:rPr>
          <w:b/>
          <w:i/>
        </w:rPr>
        <w:t> (Soit)</w:t>
      </w:r>
    </w:p>
    <w:p w14:paraId="0CED308F" w14:textId="77777777" w:rsidR="00DB2B68" w:rsidRDefault="00000000">
      <w:pPr>
        <w:jc w:val="both"/>
      </w:pPr>
      <w:r>
        <w:rPr>
          <w:rStyle w:val="soitChar"/>
        </w:rPr>
        <w:t>2.   </w:t>
      </w:r>
      <w:r>
        <w:rPr>
          <w:rStyle w:val="soitChar"/>
          <w:u w:val="single"/>
        </w:rPr>
        <w:t> Longueur brute :</w:t>
      </w:r>
    </w:p>
    <w:p w14:paraId="026C946D"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1A86CF19" w14:textId="77777777" w:rsidR="00DB2B68" w:rsidRDefault="00000000">
      <w:pPr>
        <w:jc w:val="both"/>
      </w:pPr>
      <w:r>
        <w:rPr>
          <w:rStyle w:val="soitChar"/>
        </w:rPr>
        <w:t>La longueur totale des colonnes ayant la même section et les mêmes caractéristiques est comptabilisée.</w:t>
      </w:r>
    </w:p>
    <w:p w14:paraId="40C3C016" w14:textId="77777777" w:rsidR="00DB2B68" w:rsidRDefault="00000000">
      <w:pPr>
        <w:jc w:val="both"/>
      </w:pPr>
      <w:r>
        <w:rPr>
          <w:b/>
          <w:i/>
        </w:rPr>
        <w:t> (Soit)</w:t>
      </w:r>
    </w:p>
    <w:p w14:paraId="30ACD9D8" w14:textId="77777777" w:rsidR="00DB2B68" w:rsidRDefault="00000000">
      <w:pPr>
        <w:jc w:val="both"/>
      </w:pPr>
      <w:r>
        <w:rPr>
          <w:rStyle w:val="soitChar"/>
        </w:rPr>
        <w:t>3.    </w:t>
      </w:r>
      <w:r>
        <w:rPr>
          <w:rStyle w:val="soitChar"/>
          <w:u w:val="single"/>
        </w:rPr>
        <w:t>Quantité nette :</w:t>
      </w:r>
    </w:p>
    <w:p w14:paraId="722E02BD" w14:textId="77777777" w:rsidR="00DB2B68" w:rsidRDefault="00000000">
      <w:pPr>
        <w:jc w:val="both"/>
      </w:pPr>
      <w:r>
        <w:rPr>
          <w:rStyle w:val="soitChar"/>
        </w:rPr>
        <w:t>Le nombre de colonnes ayant les mêmes dimensions et les mêmes caractéristiques est compatibilisé.</w:t>
      </w:r>
    </w:p>
    <w:p w14:paraId="6A2C139B" w14:textId="77777777" w:rsidR="00DB2B68" w:rsidRDefault="00000000">
      <w:pPr>
        <w:pStyle w:val="pheading"/>
      </w:pPr>
      <w:r>
        <w:t>- nature du marché:</w:t>
      </w:r>
    </w:p>
    <w:p w14:paraId="37F90065" w14:textId="77777777" w:rsidR="00DB2B68" w:rsidRDefault="00000000">
      <w:r>
        <w:rPr>
          <w:rStyle w:val="optioncarChar"/>
        </w:rPr>
        <w:t>QF </w:t>
      </w:r>
      <w:r>
        <w:t>(par défaut) </w:t>
      </w:r>
      <w:r>
        <w:rPr>
          <w:rStyle w:val="optioncarChar"/>
        </w:rPr>
        <w:t>/ QP</w:t>
      </w:r>
    </w:p>
    <w:p w14:paraId="6690E96C" w14:textId="77777777" w:rsidR="00DB2B68" w:rsidRDefault="00000000">
      <w:r>
        <w:rPr>
          <w:b/>
          <w:i/>
        </w:rPr>
        <w:t>(Soit par défaut)</w:t>
      </w:r>
    </w:p>
    <w:p w14:paraId="6057C00E" w14:textId="77777777" w:rsidR="00DB2B68" w:rsidRDefault="00000000">
      <w:r>
        <w:rPr>
          <w:rStyle w:val="soitChar"/>
        </w:rPr>
        <w:t>1.2.3      QF</w:t>
      </w:r>
    </w:p>
    <w:p w14:paraId="216FC18A" w14:textId="77777777" w:rsidR="00DB2B68" w:rsidRDefault="00000000">
      <w:r>
        <w:rPr>
          <w:b/>
          <w:i/>
        </w:rPr>
        <w:t>(Soit)</w:t>
      </w:r>
    </w:p>
    <w:p w14:paraId="5760868D" w14:textId="77777777" w:rsidR="00DB2B68" w:rsidRDefault="00000000">
      <w:r>
        <w:rPr>
          <w:rStyle w:val="soitChar"/>
        </w:rPr>
        <w:t>1.2.3      QP</w:t>
      </w:r>
    </w:p>
    <w:p w14:paraId="2D16AAA3" w14:textId="77777777" w:rsidR="00DB2B68" w:rsidRDefault="00000000">
      <w:pPr>
        <w:pStyle w:val="pheading"/>
      </w:pPr>
      <w:r>
        <w:t>AIDE</w:t>
      </w:r>
    </w:p>
    <w:p w14:paraId="599CF9C4" w14:textId="77777777" w:rsidR="00DB2B68" w:rsidRDefault="00000000">
      <w:pPr>
        <w:jc w:val="both"/>
      </w:pPr>
      <w:r>
        <w:t>Le code suivant peut être utilisé pour la dénomination du poste :</w:t>
      </w:r>
    </w:p>
    <w:p w14:paraId="7626CA23" w14:textId="77777777" w:rsidR="00DB2B68" w:rsidRDefault="00000000">
      <w:pPr>
        <w:jc w:val="both"/>
      </w:pPr>
      <w:r>
        <w:t>LVL 1 / 2 / 3 / 4 / 5</w:t>
      </w:r>
    </w:p>
    <w:p w14:paraId="49259D2C" w14:textId="77777777" w:rsidR="00DB2B68" w:rsidRDefault="00000000">
      <w:pPr>
        <w:jc w:val="both"/>
      </w:pPr>
      <w:r>
        <w:t>Avec :</w:t>
      </w:r>
    </w:p>
    <w:p w14:paraId="430B6F96" w14:textId="77777777" w:rsidR="00DB2B68" w:rsidRDefault="00000000">
      <w:pPr>
        <w:jc w:val="both"/>
      </w:pPr>
      <w:r>
        <w:t>LVL pour bois laminated veneer lumber</w:t>
      </w:r>
    </w:p>
    <w:p w14:paraId="28C495BA" w14:textId="77777777" w:rsidR="00DB2B68" w:rsidRDefault="00000000">
      <w:pPr>
        <w:jc w:val="both"/>
      </w:pPr>
      <w:r>
        <w:t>1 : Type de LVL</w:t>
      </w:r>
    </w:p>
    <w:p w14:paraId="18B0B7F2" w14:textId="77777777" w:rsidR="00DB2B68" w:rsidRDefault="00000000">
      <w:pPr>
        <w:jc w:val="both"/>
      </w:pPr>
      <w:r>
        <w:t>2 : section de la colonne</w:t>
      </w:r>
    </w:p>
    <w:p w14:paraId="4E8D7B4E" w14:textId="77777777" w:rsidR="00DB2B68" w:rsidRDefault="00000000">
      <w:pPr>
        <w:jc w:val="both"/>
      </w:pPr>
      <w:r>
        <w:t>3 : L’essence utilisée</w:t>
      </w:r>
    </w:p>
    <w:p w14:paraId="24C0489D" w14:textId="77777777" w:rsidR="00DB2B68" w:rsidRDefault="00000000">
      <w:pPr>
        <w:jc w:val="both"/>
      </w:pPr>
      <w:r>
        <w:t>4 : la classe d’emploi des colonnes</w:t>
      </w:r>
    </w:p>
    <w:p w14:paraId="7FAE6A60" w14:textId="77777777" w:rsidR="00DB2B68" w:rsidRDefault="00000000">
      <w:pPr>
        <w:jc w:val="both"/>
      </w:pPr>
      <w:r>
        <w:lastRenderedPageBreak/>
        <w:t>5 : la méthode utilisée pour garantir la durabilité des colonnes </w:t>
      </w:r>
    </w:p>
    <w:p w14:paraId="6133DFAE" w14:textId="77777777" w:rsidR="00DB2B68" w:rsidRDefault="00000000">
      <w:pPr>
        <w:jc w:val="both"/>
      </w:pPr>
      <w:r>
        <w:t>Ce qui donne, par exemple :</w:t>
      </w:r>
    </w:p>
    <w:p w14:paraId="1E190B54" w14:textId="77777777" w:rsidR="00DB2B68" w:rsidRDefault="00000000">
      <w:pPr>
        <w:jc w:val="both"/>
      </w:pPr>
      <w:r>
        <w:t>LVL S / 200 x 90 / épicéa / 2 / A2.2</w:t>
      </w:r>
    </w:p>
    <w:p w14:paraId="41D44552" w14:textId="77777777" w:rsidR="00DB2B68" w:rsidRDefault="00000000">
      <w:pPr>
        <w:pStyle w:val="Author-eSectionHeading6Numberless"/>
      </w:pPr>
      <w:bookmarkStart w:id="1577" w:name="_Toc220496569"/>
      <w:r>
        <w:t>24.12.4b Colonnes en LVL à inertie variable CCTB 01.11</w:t>
      </w:r>
      <w:bookmarkEnd w:id="1577"/>
    </w:p>
    <w:p w14:paraId="07743049" w14:textId="77777777" w:rsidR="00DB2B68" w:rsidRDefault="00000000">
      <w:pPr>
        <w:pStyle w:val="pheading"/>
      </w:pPr>
      <w:r>
        <w:t>DESCRIPTION</w:t>
      </w:r>
    </w:p>
    <w:p w14:paraId="0F6D1DAA" w14:textId="77777777" w:rsidR="00DB2B68" w:rsidRDefault="00000000">
      <w:pPr>
        <w:pStyle w:val="pheading"/>
      </w:pPr>
      <w:r>
        <w:t>- Définition / Comprend</w:t>
      </w:r>
    </w:p>
    <w:p w14:paraId="6817BEA0" w14:textId="77777777" w:rsidR="00DB2B68" w:rsidRDefault="00000000">
      <w:r>
        <w:t>Il s'agit de l’ensemble des colonnes en LVL et à inertie variable.</w:t>
      </w:r>
    </w:p>
    <w:p w14:paraId="71F8DEFB" w14:textId="77777777" w:rsidR="00DB2B68" w:rsidRDefault="00000000">
      <w:pPr>
        <w:pStyle w:val="pheading"/>
      </w:pPr>
      <w:r>
        <w:t>MATÉRIAUX</w:t>
      </w:r>
    </w:p>
    <w:p w14:paraId="738F41BC" w14:textId="77777777" w:rsidR="00DB2B68" w:rsidRDefault="00000000">
      <w:pPr>
        <w:pStyle w:val="pheading"/>
      </w:pPr>
      <w:r>
        <w:t>- Caractéristiques générales</w:t>
      </w:r>
    </w:p>
    <w:p w14:paraId="59D9C18E" w14:textId="77777777" w:rsidR="00DB2B68" w:rsidRDefault="00000000">
      <w:pPr>
        <w:jc w:val="both"/>
      </w:pPr>
      <w:r>
        <w:t xml:space="preserve">Type de LVL : </w:t>
      </w:r>
      <w:r>
        <w:rPr>
          <w:rStyle w:val="optioncarChar"/>
        </w:rPr>
        <w:t xml:space="preserve">S </w:t>
      </w:r>
      <w:r>
        <w:t xml:space="preserve">(par défaut) </w:t>
      </w:r>
      <w:r>
        <w:rPr>
          <w:rStyle w:val="optioncarChar"/>
        </w:rPr>
        <w:t>/ Q</w:t>
      </w:r>
    </w:p>
    <w:p w14:paraId="11E352F5" w14:textId="77777777" w:rsidR="00DB2B68" w:rsidRDefault="00000000">
      <w:pPr>
        <w:jc w:val="both"/>
      </w:pPr>
      <w:r>
        <w:t>Caractéristiques mécaniques :</w:t>
      </w:r>
    </w:p>
    <w:p w14:paraId="58F249D5" w14:textId="77777777" w:rsidR="00DB2B68" w:rsidRDefault="00000000">
      <w:pPr>
        <w:pStyle w:val="Author-eListParagraph"/>
        <w:numPr>
          <w:ilvl w:val="0"/>
          <w:numId w:val="854"/>
        </w:numPr>
      </w:pPr>
      <w:r>
        <w:t>Résistance minimale en flexion à chant :</w:t>
      </w:r>
      <w:r>
        <w:rPr>
          <w:rStyle w:val="optioncarChar"/>
        </w:rPr>
        <w:t> 40 MPa</w:t>
      </w:r>
      <w:r>
        <w:t> (par défaut)</w:t>
      </w:r>
      <w:r>
        <w:rPr>
          <w:rStyle w:val="optioncarChar"/>
        </w:rPr>
        <w:t> / ***</w:t>
      </w:r>
    </w:p>
    <w:p w14:paraId="62075F7F" w14:textId="77777777" w:rsidR="00DB2B68" w:rsidRDefault="00000000">
      <w:pPr>
        <w:pStyle w:val="Author-eListParagraph"/>
        <w:numPr>
          <w:ilvl w:val="0"/>
          <w:numId w:val="854"/>
        </w:numPr>
      </w:pPr>
      <w:r>
        <w:t>Résistance minimale en flexion à plat : </w:t>
      </w:r>
      <w:r>
        <w:rPr>
          <w:rStyle w:val="optioncarChar"/>
        </w:rPr>
        <w:t>40 MPa </w:t>
      </w:r>
      <w:r>
        <w:t>(par défaut) </w:t>
      </w:r>
      <w:r>
        <w:rPr>
          <w:rStyle w:val="optioncarChar"/>
        </w:rPr>
        <w:t>/ ***</w:t>
      </w:r>
    </w:p>
    <w:p w14:paraId="4FE77349" w14:textId="77777777" w:rsidR="00DB2B68" w:rsidRDefault="00000000">
      <w:pPr>
        <w:pStyle w:val="Author-eListParagraph"/>
        <w:numPr>
          <w:ilvl w:val="0"/>
          <w:numId w:val="854"/>
        </w:numPr>
      </w:pPr>
      <w:r>
        <w:t>Résistance minimale en traction parallèle au fil du bois : </w:t>
      </w:r>
      <w:r>
        <w:rPr>
          <w:rStyle w:val="optioncarChar"/>
        </w:rPr>
        <w:t>30 MPa </w:t>
      </w:r>
      <w:r>
        <w:t>(par défaut)</w:t>
      </w:r>
      <w:r>
        <w:rPr>
          <w:rStyle w:val="optioncarChar"/>
        </w:rPr>
        <w:t> / ***</w:t>
      </w:r>
    </w:p>
    <w:p w14:paraId="7D3EA3CA" w14:textId="77777777" w:rsidR="00DB2B68" w:rsidRDefault="00000000">
      <w:pPr>
        <w:pStyle w:val="Author-eListParagraph"/>
        <w:numPr>
          <w:ilvl w:val="0"/>
          <w:numId w:val="854"/>
        </w:numPr>
      </w:pPr>
      <w:r>
        <w:t>Résistance minimale en compression parallèle au fil du bois : </w:t>
      </w:r>
      <w:r>
        <w:rPr>
          <w:rStyle w:val="optioncarChar"/>
        </w:rPr>
        <w:t>30 MPa </w:t>
      </w:r>
      <w:r>
        <w:t>(par défaut)</w:t>
      </w:r>
      <w:r>
        <w:rPr>
          <w:rStyle w:val="optioncarChar"/>
        </w:rPr>
        <w:t> / ***</w:t>
      </w:r>
    </w:p>
    <w:p w14:paraId="671E6847" w14:textId="77777777" w:rsidR="00DB2B68" w:rsidRDefault="00000000">
      <w:pPr>
        <w:pStyle w:val="Author-eListParagraph"/>
        <w:numPr>
          <w:ilvl w:val="0"/>
          <w:numId w:val="854"/>
        </w:numPr>
      </w:pPr>
      <w:r>
        <w:t>Résistance minimale en cisaillement à chant :</w:t>
      </w:r>
      <w:r>
        <w:rPr>
          <w:rStyle w:val="optioncarChar"/>
        </w:rPr>
        <w:t> 5 MPa </w:t>
      </w:r>
      <w:r>
        <w:t>(par défaut)</w:t>
      </w:r>
      <w:r>
        <w:rPr>
          <w:rStyle w:val="optioncarChar"/>
        </w:rPr>
        <w:t> / ***</w:t>
      </w:r>
    </w:p>
    <w:p w14:paraId="14935B37" w14:textId="77777777" w:rsidR="00DB2B68" w:rsidRDefault="00000000">
      <w:pPr>
        <w:pStyle w:val="Author-eListParagraph"/>
        <w:numPr>
          <w:ilvl w:val="0"/>
          <w:numId w:val="854"/>
        </w:numPr>
      </w:pPr>
      <w:r>
        <w:t>Résistance minimale en cisaillement à plat : </w:t>
      </w:r>
      <w:r>
        <w:rPr>
          <w:rStyle w:val="optioncarChar"/>
        </w:rPr>
        <w:t>4 MPa </w:t>
      </w:r>
      <w:r>
        <w:t>(par défaut)</w:t>
      </w:r>
      <w:r>
        <w:rPr>
          <w:rStyle w:val="optioncarChar"/>
        </w:rPr>
        <w:t> / ***</w:t>
      </w:r>
    </w:p>
    <w:p w14:paraId="741F0446" w14:textId="77777777" w:rsidR="00DB2B68" w:rsidRDefault="00000000">
      <w:pPr>
        <w:pStyle w:val="Author-eListParagraph"/>
        <w:numPr>
          <w:ilvl w:val="0"/>
          <w:numId w:val="854"/>
        </w:numPr>
      </w:pPr>
      <w:r>
        <w:t>Module d’élasticité minimum parallèle au fil du bois (au fractile 5%) : </w:t>
      </w:r>
      <w:r>
        <w:rPr>
          <w:rStyle w:val="optioncarChar"/>
        </w:rPr>
        <w:t>9 GPa </w:t>
      </w:r>
      <w:r>
        <w:t>(par défaut)</w:t>
      </w:r>
      <w:r>
        <w:rPr>
          <w:rStyle w:val="optioncarChar"/>
        </w:rPr>
        <w:t> / ***</w:t>
      </w:r>
    </w:p>
    <w:p w14:paraId="64F3F394" w14:textId="77777777" w:rsidR="00DB2B68" w:rsidRDefault="00000000">
      <w:pPr>
        <w:pStyle w:val="Author-eListParagraph"/>
        <w:numPr>
          <w:ilvl w:val="0"/>
          <w:numId w:val="854"/>
        </w:numPr>
      </w:pPr>
      <w:r>
        <w:t>Module de cisaillement à chant : </w:t>
      </w:r>
      <w:r>
        <w:rPr>
          <w:rStyle w:val="optioncarChar"/>
        </w:rPr>
        <w:t>600 MPa </w:t>
      </w:r>
      <w:r>
        <w:t>(par défaut)</w:t>
      </w:r>
      <w:r>
        <w:rPr>
          <w:rStyle w:val="optioncarChar"/>
        </w:rPr>
        <w:t> / ***</w:t>
      </w:r>
    </w:p>
    <w:p w14:paraId="7DD4623B" w14:textId="77777777" w:rsidR="00DB2B68" w:rsidRDefault="00000000">
      <w:pPr>
        <w:pStyle w:val="Author-eListParagraph"/>
        <w:numPr>
          <w:ilvl w:val="0"/>
          <w:numId w:val="854"/>
        </w:numPr>
      </w:pPr>
      <w:r>
        <w:t>Module de cisaillement à plat :</w:t>
      </w:r>
      <w:r>
        <w:rPr>
          <w:rStyle w:val="optioncarChar"/>
        </w:rPr>
        <w:t> 400 MPa </w:t>
      </w:r>
      <w:r>
        <w:t>(par défaut)</w:t>
      </w:r>
      <w:r>
        <w:rPr>
          <w:rStyle w:val="optioncarChar"/>
        </w:rPr>
        <w:t> / ***</w:t>
      </w:r>
    </w:p>
    <w:p w14:paraId="57C98019" w14:textId="77777777" w:rsidR="00DB2B68" w:rsidRDefault="00000000">
      <w:pPr>
        <w:jc w:val="both"/>
      </w:pPr>
      <w:r>
        <w:t> La géométrie des colonnes est décrite dans les plans.</w:t>
      </w:r>
    </w:p>
    <w:p w14:paraId="684412ED" w14:textId="77777777" w:rsidR="00DB2B68" w:rsidRDefault="00000000">
      <w:pPr>
        <w:jc w:val="both"/>
      </w:pPr>
      <w:r>
        <w:t xml:space="preserve">Essence : </w:t>
      </w:r>
      <w:r>
        <w:rPr>
          <w:rStyle w:val="optioncarChar"/>
        </w:rPr>
        <w:t>Résineuse</w:t>
      </w:r>
      <w:r>
        <w:t xml:space="preserve"> (par défaut) </w:t>
      </w:r>
      <w:r>
        <w:rPr>
          <w:rStyle w:val="optioncarChar"/>
        </w:rPr>
        <w:t>/ feuillue / épicéa / douglas / hêtre / ***</w:t>
      </w:r>
    </w:p>
    <w:p w14:paraId="1696F1C1" w14:textId="77777777" w:rsidR="00DB2B68" w:rsidRDefault="00000000">
      <w:pPr>
        <w:jc w:val="both"/>
      </w:pPr>
      <w:r>
        <w:t>Section des colonnes :</w:t>
      </w:r>
      <w:r>
        <w:rPr>
          <w:rStyle w:val="optioncarChar"/>
        </w:rPr>
        <w:t xml:space="preserve"> ***</w:t>
      </w:r>
    </w:p>
    <w:p w14:paraId="37C542EB" w14:textId="77777777" w:rsidR="00DB2B68" w:rsidRDefault="00000000">
      <w:pPr>
        <w:jc w:val="both"/>
      </w:pPr>
      <w:r>
        <w:t>Classe d’emploi :</w:t>
      </w:r>
      <w:r>
        <w:rPr>
          <w:rStyle w:val="optioncarChar"/>
        </w:rPr>
        <w:t xml:space="preserve"> 1 / 2 / 3</w:t>
      </w:r>
    </w:p>
    <w:p w14:paraId="25A507FD" w14:textId="77777777" w:rsidR="00DB2B68" w:rsidRDefault="00000000">
      <w:pPr>
        <w:jc w:val="both"/>
      </w:pPr>
      <w:r>
        <w:t>La classe de durabilité minimale des colonnes en LVL est directement liée à la classe d’emploi.</w:t>
      </w:r>
    </w:p>
    <w:p w14:paraId="47304DDA" w14:textId="77777777" w:rsidR="00DB2B68"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23276EFA" w14:textId="77777777" w:rsidR="00DB2B68" w:rsidRDefault="00000000">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3AD92AF0" w14:textId="77777777" w:rsidR="00DB2B68" w:rsidRDefault="00000000">
      <w:pPr>
        <w:pStyle w:val="pheading"/>
      </w:pPr>
      <w:r>
        <w:t>- Finitions</w:t>
      </w:r>
    </w:p>
    <w:p w14:paraId="385102EB" w14:textId="77777777" w:rsidR="00DB2B68" w:rsidRDefault="00000000">
      <w:pPr>
        <w:jc w:val="both"/>
      </w:pPr>
      <w:r>
        <w:t xml:space="preserve">Les colonnes en LVL sont </w:t>
      </w:r>
      <w:r>
        <w:rPr>
          <w:rStyle w:val="optioncarChar"/>
        </w:rPr>
        <w:t>rabotées</w:t>
      </w:r>
      <w:r>
        <w:t xml:space="preserve"> (par défaut)</w:t>
      </w:r>
      <w:r>
        <w:rPr>
          <w:rStyle w:val="optioncarChar"/>
        </w:rPr>
        <w:t xml:space="preserve"> / poncées / ***</w:t>
      </w:r>
      <w:r>
        <w:t xml:space="preserve"> sur </w:t>
      </w:r>
      <w:r>
        <w:rPr>
          <w:rStyle w:val="optioncarChar"/>
        </w:rPr>
        <w:t>1 / 2</w:t>
      </w:r>
      <w:r>
        <w:t xml:space="preserve"> (par défaut) faces</w:t>
      </w:r>
    </w:p>
    <w:p w14:paraId="16E9C106" w14:textId="77777777" w:rsidR="00DB2B68" w:rsidRDefault="00000000">
      <w:pPr>
        <w:jc w:val="both"/>
      </w:pPr>
      <w:r>
        <w:t>Les arrêtes sont</w:t>
      </w:r>
      <w:r>
        <w:rPr>
          <w:rStyle w:val="optioncarChar"/>
        </w:rPr>
        <w:t xml:space="preserve"> vives </w:t>
      </w:r>
      <w:r>
        <w:t>(par défaut)</w:t>
      </w:r>
      <w:r>
        <w:rPr>
          <w:rStyle w:val="optioncarChar"/>
        </w:rPr>
        <w:t xml:space="preserve"> / chanfreinées / ***</w:t>
      </w:r>
    </w:p>
    <w:p w14:paraId="209EB9E1" w14:textId="77777777" w:rsidR="00DB2B68" w:rsidRDefault="00000000">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044DB725" w14:textId="77777777" w:rsidR="00DB2B68" w:rsidRDefault="00000000">
      <w:pPr>
        <w:pStyle w:val="pheading"/>
      </w:pPr>
      <w:r>
        <w:t>EXÉCUTION / MISE EN ŒUVRE</w:t>
      </w:r>
    </w:p>
    <w:p w14:paraId="3477C814" w14:textId="77777777" w:rsidR="00DB2B68" w:rsidRDefault="00000000">
      <w:pPr>
        <w:pStyle w:val="pheading"/>
      </w:pPr>
      <w:r>
        <w:t>- Prescriptions générales</w:t>
      </w:r>
    </w:p>
    <w:p w14:paraId="72438599" w14:textId="77777777" w:rsidR="00DB2B68" w:rsidRDefault="00000000">
      <w:r>
        <w:t xml:space="preserve">Un dispositif casse-goutte </w:t>
      </w:r>
      <w:r>
        <w:rPr>
          <w:rStyle w:val="optioncarChar"/>
        </w:rPr>
        <w:t>est prévu</w:t>
      </w:r>
      <w:r>
        <w:t xml:space="preserve"> (par défaut) </w:t>
      </w:r>
      <w:r>
        <w:rPr>
          <w:rStyle w:val="optioncarChar"/>
        </w:rPr>
        <w:t>/ ***</w:t>
      </w:r>
      <w:r>
        <w:t xml:space="preserve"> au pied des colonnes extérieures.</w:t>
      </w:r>
    </w:p>
    <w:p w14:paraId="236932B9" w14:textId="77777777" w:rsidR="00DB2B68" w:rsidRDefault="00000000">
      <w:pPr>
        <w:pStyle w:val="pheading"/>
      </w:pPr>
      <w:r>
        <w:t>MESURAGE</w:t>
      </w:r>
    </w:p>
    <w:p w14:paraId="15CBABAA" w14:textId="77777777" w:rsidR="00DB2B68" w:rsidRDefault="00000000">
      <w:pPr>
        <w:pStyle w:val="pheading"/>
      </w:pPr>
      <w:r>
        <w:t>- unité de mesure:</w:t>
      </w:r>
    </w:p>
    <w:p w14:paraId="41856509" w14:textId="77777777" w:rsidR="00DB2B68" w:rsidRDefault="00000000">
      <w:r>
        <w:rPr>
          <w:rStyle w:val="optioncarChar"/>
        </w:rPr>
        <w:t>m³ </w:t>
      </w:r>
      <w:r>
        <w:t>(par défaut)</w:t>
      </w:r>
      <w:r>
        <w:rPr>
          <w:rStyle w:val="optioncarChar"/>
        </w:rPr>
        <w:t> / m / pc</w:t>
      </w:r>
    </w:p>
    <w:p w14:paraId="3581E0AA" w14:textId="77777777" w:rsidR="00DB2B68" w:rsidRDefault="00000000">
      <w:r>
        <w:rPr>
          <w:b/>
          <w:i/>
        </w:rPr>
        <w:t>(Soit par défaut)</w:t>
      </w:r>
    </w:p>
    <w:p w14:paraId="52949DCB" w14:textId="77777777" w:rsidR="00DB2B68" w:rsidRDefault="00000000">
      <w:r>
        <w:rPr>
          <w:rStyle w:val="soitChar"/>
        </w:rPr>
        <w:t>1.    m³ </w:t>
      </w:r>
    </w:p>
    <w:p w14:paraId="2A764BE4" w14:textId="77777777" w:rsidR="00DB2B68" w:rsidRDefault="00000000">
      <w:r>
        <w:rPr>
          <w:b/>
          <w:i/>
        </w:rPr>
        <w:t>(Soit)</w:t>
      </w:r>
    </w:p>
    <w:p w14:paraId="174A26D3" w14:textId="77777777" w:rsidR="00DB2B68" w:rsidRDefault="00000000">
      <w:r>
        <w:rPr>
          <w:rStyle w:val="soitChar"/>
        </w:rPr>
        <w:lastRenderedPageBreak/>
        <w:t>2.    m </w:t>
      </w:r>
    </w:p>
    <w:p w14:paraId="12C01A96" w14:textId="77777777" w:rsidR="00DB2B68" w:rsidRDefault="00000000">
      <w:r>
        <w:rPr>
          <w:b/>
          <w:i/>
        </w:rPr>
        <w:t>(Soit)</w:t>
      </w:r>
    </w:p>
    <w:p w14:paraId="6EC8AD3A" w14:textId="77777777" w:rsidR="00DB2B68" w:rsidRDefault="00000000">
      <w:r>
        <w:rPr>
          <w:rStyle w:val="soitChar"/>
        </w:rPr>
        <w:t>3.    pc</w:t>
      </w:r>
    </w:p>
    <w:p w14:paraId="23AA87E1" w14:textId="77777777" w:rsidR="00DB2B68" w:rsidRDefault="00000000">
      <w:pPr>
        <w:pStyle w:val="pheading"/>
      </w:pPr>
      <w:r>
        <w:t>- code de mesurage:</w:t>
      </w:r>
    </w:p>
    <w:p w14:paraId="602B7550" w14:textId="77777777" w:rsidR="00DB2B68" w:rsidRDefault="00000000">
      <w:pPr>
        <w:jc w:val="both"/>
      </w:pPr>
      <w:r>
        <w:rPr>
          <w:rStyle w:val="optioncarChar"/>
        </w:rPr>
        <w:t> Volume brut </w:t>
      </w:r>
      <w:r>
        <w:t>(par défaut) </w:t>
      </w:r>
      <w:r>
        <w:rPr>
          <w:rStyle w:val="optioncarChar"/>
        </w:rPr>
        <w:t>/ longueur brute / quantité nette</w:t>
      </w:r>
    </w:p>
    <w:p w14:paraId="7E406F33" w14:textId="77777777" w:rsidR="00DB2B68" w:rsidRDefault="00000000">
      <w:pPr>
        <w:jc w:val="both"/>
      </w:pPr>
      <w:r>
        <w:rPr>
          <w:b/>
          <w:i/>
        </w:rPr>
        <w:t>(Soit par défaut)</w:t>
      </w:r>
    </w:p>
    <w:p w14:paraId="08F70260" w14:textId="77777777" w:rsidR="00DB2B68" w:rsidRDefault="00000000">
      <w:pPr>
        <w:jc w:val="both"/>
      </w:pPr>
      <w:r>
        <w:rPr>
          <w:rStyle w:val="soitChar"/>
        </w:rPr>
        <w:t>1.   </w:t>
      </w:r>
      <w:r>
        <w:rPr>
          <w:rStyle w:val="soitChar"/>
          <w:u w:val="single"/>
        </w:rPr>
        <w:t> Volume brut :</w:t>
      </w:r>
    </w:p>
    <w:p w14:paraId="0722C052" w14:textId="77777777" w:rsidR="00DB2B68" w:rsidRDefault="00000000">
      <w:pPr>
        <w:jc w:val="both"/>
      </w:pPr>
      <w:r>
        <w:rPr>
          <w:rStyle w:val="soitChar"/>
        </w:rPr>
        <w:t>Le volume brut d’une colonne est calculé suivant le volume du plus petit parallélépipède rectangle pouvant inclure l’élément.</w:t>
      </w:r>
    </w:p>
    <w:p w14:paraId="5B38BA0B" w14:textId="77777777" w:rsidR="00DB2B68" w:rsidRDefault="00000000">
      <w:pPr>
        <w:jc w:val="both"/>
      </w:pPr>
      <w:r>
        <w:rPr>
          <w:b/>
          <w:i/>
        </w:rPr>
        <w:t> (Soit)</w:t>
      </w:r>
    </w:p>
    <w:p w14:paraId="2A4610F0" w14:textId="77777777" w:rsidR="00DB2B68" w:rsidRDefault="00000000">
      <w:pPr>
        <w:jc w:val="both"/>
      </w:pPr>
      <w:r>
        <w:rPr>
          <w:rStyle w:val="soitChar"/>
        </w:rPr>
        <w:t>2.   </w:t>
      </w:r>
      <w:r>
        <w:rPr>
          <w:rStyle w:val="soitChar"/>
          <w:u w:val="single"/>
        </w:rPr>
        <w:t> Longueur brute :</w:t>
      </w:r>
    </w:p>
    <w:p w14:paraId="5D0491F7"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13609536" w14:textId="77777777" w:rsidR="00DB2B68" w:rsidRDefault="00000000">
      <w:pPr>
        <w:jc w:val="both"/>
      </w:pPr>
      <w:r>
        <w:rPr>
          <w:rStyle w:val="soitChar"/>
        </w:rPr>
        <w:t>La longueur totale des colonnes ayant la même section et les mêmes caractéristiques est comptabilisée.</w:t>
      </w:r>
    </w:p>
    <w:p w14:paraId="7B490258" w14:textId="77777777" w:rsidR="00DB2B68" w:rsidRDefault="00000000">
      <w:pPr>
        <w:jc w:val="both"/>
      </w:pPr>
      <w:r>
        <w:rPr>
          <w:b/>
          <w:i/>
        </w:rPr>
        <w:t> (Soit)</w:t>
      </w:r>
    </w:p>
    <w:p w14:paraId="3AEBDFFB" w14:textId="77777777" w:rsidR="00DB2B68" w:rsidRDefault="00000000">
      <w:pPr>
        <w:jc w:val="both"/>
      </w:pPr>
      <w:r>
        <w:rPr>
          <w:rStyle w:val="soitChar"/>
        </w:rPr>
        <w:t>3.    </w:t>
      </w:r>
      <w:r>
        <w:rPr>
          <w:rStyle w:val="soitChar"/>
          <w:u w:val="single"/>
        </w:rPr>
        <w:t>Quantité nette :</w:t>
      </w:r>
    </w:p>
    <w:p w14:paraId="05FC7D53" w14:textId="77777777" w:rsidR="00DB2B68" w:rsidRDefault="00000000">
      <w:pPr>
        <w:jc w:val="both"/>
      </w:pPr>
      <w:r>
        <w:rPr>
          <w:rStyle w:val="soitChar"/>
        </w:rPr>
        <w:t>Le nombre de colonnes ayant les mêmes dimensions et les mêmes caractéristiques est compatibilisé.</w:t>
      </w:r>
    </w:p>
    <w:p w14:paraId="42608429" w14:textId="77777777" w:rsidR="00DB2B68" w:rsidRDefault="00000000">
      <w:pPr>
        <w:pStyle w:val="pheading"/>
      </w:pPr>
      <w:r>
        <w:t>- nature du marché:</w:t>
      </w:r>
    </w:p>
    <w:p w14:paraId="0BBAFCC7" w14:textId="77777777" w:rsidR="00DB2B68" w:rsidRDefault="00000000">
      <w:r>
        <w:rPr>
          <w:rStyle w:val="optioncarChar"/>
        </w:rPr>
        <w:t>QF </w:t>
      </w:r>
      <w:r>
        <w:t>(par défaut) </w:t>
      </w:r>
      <w:r>
        <w:rPr>
          <w:rStyle w:val="optioncarChar"/>
        </w:rPr>
        <w:t>/ QP</w:t>
      </w:r>
    </w:p>
    <w:p w14:paraId="1F8016A4" w14:textId="77777777" w:rsidR="00DB2B68" w:rsidRDefault="00000000">
      <w:r>
        <w:rPr>
          <w:b/>
          <w:i/>
        </w:rPr>
        <w:t>(Soit par défaut)</w:t>
      </w:r>
    </w:p>
    <w:p w14:paraId="0FF15BD6" w14:textId="77777777" w:rsidR="00DB2B68" w:rsidRDefault="00000000">
      <w:r>
        <w:rPr>
          <w:rStyle w:val="soitChar"/>
        </w:rPr>
        <w:t>1.2.3      QF</w:t>
      </w:r>
    </w:p>
    <w:p w14:paraId="395CD472" w14:textId="77777777" w:rsidR="00DB2B68" w:rsidRDefault="00000000">
      <w:r>
        <w:rPr>
          <w:b/>
          <w:i/>
        </w:rPr>
        <w:t>(Soit)</w:t>
      </w:r>
    </w:p>
    <w:p w14:paraId="394ED9A1" w14:textId="77777777" w:rsidR="00DB2B68" w:rsidRDefault="00000000">
      <w:r>
        <w:rPr>
          <w:rStyle w:val="soitChar"/>
        </w:rPr>
        <w:t>1.2.3      QP</w:t>
      </w:r>
    </w:p>
    <w:p w14:paraId="20FFC284" w14:textId="77777777" w:rsidR="00DB2B68" w:rsidRDefault="00000000">
      <w:pPr>
        <w:pStyle w:val="pheading"/>
      </w:pPr>
      <w:r>
        <w:t>AIDE</w:t>
      </w:r>
    </w:p>
    <w:p w14:paraId="0ED6114E" w14:textId="77777777" w:rsidR="00DB2B68" w:rsidRDefault="00000000">
      <w:pPr>
        <w:jc w:val="both"/>
      </w:pPr>
      <w:r>
        <w:t>Le code suivant peut être utilisé pour la dénomination du poste :</w:t>
      </w:r>
    </w:p>
    <w:p w14:paraId="45629E86" w14:textId="77777777" w:rsidR="00DB2B68" w:rsidRDefault="00000000">
      <w:pPr>
        <w:jc w:val="both"/>
      </w:pPr>
      <w:r>
        <w:t>LVL 1 / 2 / 3 / 4 / 5</w:t>
      </w:r>
    </w:p>
    <w:p w14:paraId="73685591" w14:textId="77777777" w:rsidR="00DB2B68" w:rsidRDefault="00000000">
      <w:pPr>
        <w:jc w:val="both"/>
      </w:pPr>
      <w:r>
        <w:t>Avec :</w:t>
      </w:r>
    </w:p>
    <w:p w14:paraId="04A7822E" w14:textId="77777777" w:rsidR="00DB2B68" w:rsidRDefault="00000000">
      <w:pPr>
        <w:jc w:val="both"/>
      </w:pPr>
      <w:r>
        <w:t>LVL pour bois Laminated Veneer Lumber</w:t>
      </w:r>
    </w:p>
    <w:p w14:paraId="2939E4C5" w14:textId="77777777" w:rsidR="00DB2B68" w:rsidRDefault="00000000">
      <w:pPr>
        <w:jc w:val="both"/>
      </w:pPr>
      <w:r>
        <w:t>1 : Type de LVL</w:t>
      </w:r>
    </w:p>
    <w:p w14:paraId="2D0A2D0A" w14:textId="77777777" w:rsidR="00DB2B68" w:rsidRDefault="00000000">
      <w:pPr>
        <w:jc w:val="both"/>
      </w:pPr>
      <w:r>
        <w:t>2 : section de la colonne</w:t>
      </w:r>
    </w:p>
    <w:p w14:paraId="7A6E9971" w14:textId="77777777" w:rsidR="00DB2B68" w:rsidRDefault="00000000">
      <w:pPr>
        <w:jc w:val="both"/>
      </w:pPr>
      <w:r>
        <w:t>3 : L’essence utilisée</w:t>
      </w:r>
    </w:p>
    <w:p w14:paraId="000188D4" w14:textId="77777777" w:rsidR="00DB2B68" w:rsidRDefault="00000000">
      <w:pPr>
        <w:jc w:val="both"/>
      </w:pPr>
      <w:r>
        <w:t>4 : la classe d’emploi des colonnes</w:t>
      </w:r>
    </w:p>
    <w:p w14:paraId="55EADB65" w14:textId="77777777" w:rsidR="00DB2B68" w:rsidRDefault="00000000">
      <w:pPr>
        <w:jc w:val="both"/>
      </w:pPr>
      <w:r>
        <w:t>5 : la méthode utilisée pour garantir la durabilité des colonnes</w:t>
      </w:r>
    </w:p>
    <w:p w14:paraId="2DEF9C3E" w14:textId="77777777" w:rsidR="00DB2B68" w:rsidRDefault="00000000">
      <w:pPr>
        <w:jc w:val="both"/>
      </w:pPr>
      <w:r>
        <w:t>Ce qui donne, par exemple :</w:t>
      </w:r>
    </w:p>
    <w:p w14:paraId="5C49C319" w14:textId="77777777" w:rsidR="00DB2B68" w:rsidRDefault="00000000">
      <w:pPr>
        <w:jc w:val="both"/>
      </w:pPr>
      <w:r>
        <w:t>LVL S / voir plan / épicéa / 2 / A2.2</w:t>
      </w:r>
    </w:p>
    <w:p w14:paraId="14CE885A" w14:textId="77777777" w:rsidR="00DB2B68" w:rsidRDefault="00000000">
      <w:pPr>
        <w:pStyle w:val="Author-eSectionHeading5Numberless"/>
      </w:pPr>
      <w:bookmarkStart w:id="1578" w:name="_Toc220496570"/>
      <w:r>
        <w:t>24.12.5 Colonnes en LSL CCTB 01.07</w:t>
      </w:r>
      <w:bookmarkEnd w:id="1578"/>
    </w:p>
    <w:p w14:paraId="5251983F" w14:textId="77777777" w:rsidR="00DB2B68" w:rsidRDefault="00000000">
      <w:pPr>
        <w:pStyle w:val="pheading"/>
      </w:pPr>
      <w:r>
        <w:t>DESCRIPTION</w:t>
      </w:r>
    </w:p>
    <w:p w14:paraId="1F4A8187" w14:textId="77777777" w:rsidR="00DB2B68" w:rsidRDefault="00000000">
      <w:pPr>
        <w:pStyle w:val="pheading"/>
      </w:pPr>
      <w:r>
        <w:t>- Définition / Comprend</w:t>
      </w:r>
    </w:p>
    <w:p w14:paraId="0857ED51" w14:textId="77777777" w:rsidR="00DB2B68" w:rsidRDefault="00000000">
      <w:r>
        <w:t xml:space="preserve">Il s’agit des colonnes en LSL. La notion de LSL est expliquée au </w:t>
      </w:r>
      <w:hyperlink w:anchor="89" w:history="1">
        <w:r>
          <w:rPr>
            <w:color w:val="0000EE"/>
          </w:rPr>
          <w:t>24 Superstructures en bois</w:t>
        </w:r>
      </w:hyperlink>
      <w:r>
        <w:t>.</w:t>
      </w:r>
    </w:p>
    <w:p w14:paraId="3037E4AA" w14:textId="77777777" w:rsidR="00DB2B68" w:rsidRDefault="00000000">
      <w:pPr>
        <w:pStyle w:val="Author-eSectionHeading6Numberless"/>
      </w:pPr>
      <w:bookmarkStart w:id="1579" w:name="_Toc220496571"/>
      <w:r>
        <w:lastRenderedPageBreak/>
        <w:t>24.12.5a Colonnes en LSL à inertie constante CCTB 01.11</w:t>
      </w:r>
      <w:bookmarkEnd w:id="1579"/>
    </w:p>
    <w:p w14:paraId="6B4C15FD" w14:textId="77777777" w:rsidR="00DB2B68" w:rsidRDefault="00000000">
      <w:pPr>
        <w:pStyle w:val="pheading"/>
      </w:pPr>
      <w:r>
        <w:t>DESCRIPTION</w:t>
      </w:r>
    </w:p>
    <w:p w14:paraId="60F468A5" w14:textId="77777777" w:rsidR="00DB2B68" w:rsidRDefault="00000000">
      <w:pPr>
        <w:pStyle w:val="pheading"/>
      </w:pPr>
      <w:r>
        <w:t>- Définition / Comprend</w:t>
      </w:r>
    </w:p>
    <w:p w14:paraId="1B5F64C6" w14:textId="77777777" w:rsidR="00DB2B68" w:rsidRDefault="00000000">
      <w:r>
        <w:t>Il s'agit de l’ensemble des colonnes en LSL et à inertie constante.</w:t>
      </w:r>
    </w:p>
    <w:p w14:paraId="35A9C9CF" w14:textId="77777777" w:rsidR="00DB2B68" w:rsidRDefault="00000000">
      <w:pPr>
        <w:pStyle w:val="pheading"/>
      </w:pPr>
      <w:r>
        <w:t>MATÉRIAUX</w:t>
      </w:r>
    </w:p>
    <w:p w14:paraId="4DAFE7C9" w14:textId="77777777" w:rsidR="00DB2B68" w:rsidRDefault="00000000">
      <w:pPr>
        <w:pStyle w:val="pheading"/>
      </w:pPr>
      <w:r>
        <w:t>- Caractéristiques générales</w:t>
      </w:r>
    </w:p>
    <w:p w14:paraId="705BDED6" w14:textId="77777777" w:rsidR="00DB2B68" w:rsidRDefault="00000000">
      <w:pPr>
        <w:jc w:val="both"/>
      </w:pPr>
      <w:r>
        <w:t xml:space="preserve">Dimensions de la section : </w:t>
      </w:r>
      <w:r>
        <w:rPr>
          <w:rStyle w:val="optioncarChar"/>
        </w:rPr>
        <w:t>Voir plans</w:t>
      </w:r>
      <w:r>
        <w:t xml:space="preserve"> (par défaut)</w:t>
      </w:r>
      <w:r>
        <w:rPr>
          <w:rStyle w:val="optioncarChar"/>
        </w:rPr>
        <w:t xml:space="preserve"> / *** x *** mm²</w:t>
      </w:r>
    </w:p>
    <w:p w14:paraId="0F80A943" w14:textId="77777777" w:rsidR="00DB2B68" w:rsidRDefault="00000000">
      <w:pPr>
        <w:jc w:val="both"/>
      </w:pPr>
      <w:r>
        <w:t>Type de LSL :</w:t>
      </w:r>
      <w:r>
        <w:rPr>
          <w:rStyle w:val="optioncarChar"/>
        </w:rPr>
        <w:t xml:space="preserve"> S </w:t>
      </w:r>
      <w:r>
        <w:t>(par défaut)</w:t>
      </w:r>
      <w:r>
        <w:rPr>
          <w:rStyle w:val="optioncarChar"/>
        </w:rPr>
        <w:t xml:space="preserve"> / Q</w:t>
      </w:r>
    </w:p>
    <w:p w14:paraId="55EA2A02" w14:textId="77777777" w:rsidR="00DB2B68" w:rsidRDefault="00DB2B68">
      <w:pPr>
        <w:jc w:val="both"/>
      </w:pPr>
    </w:p>
    <w:p w14:paraId="135A712F" w14:textId="77777777" w:rsidR="00DB2B68" w:rsidRDefault="00000000">
      <w:pPr>
        <w:jc w:val="both"/>
      </w:pPr>
      <w:r>
        <w:t>Caractéristiques mécaniques :</w:t>
      </w:r>
    </w:p>
    <w:p w14:paraId="0FB4E57A" w14:textId="77777777" w:rsidR="00DB2B68" w:rsidRDefault="00000000">
      <w:pPr>
        <w:pStyle w:val="Author-eListParagraph"/>
        <w:numPr>
          <w:ilvl w:val="0"/>
          <w:numId w:val="855"/>
        </w:numPr>
      </w:pPr>
      <w:r>
        <w:t>Résistance minimale en flexion à chant :</w:t>
      </w:r>
      <w:r>
        <w:rPr>
          <w:rStyle w:val="optioncarChar"/>
        </w:rPr>
        <w:t> 40 MPa</w:t>
      </w:r>
      <w:r>
        <w:t> (par défaut)</w:t>
      </w:r>
      <w:r>
        <w:rPr>
          <w:rStyle w:val="optioncarChar"/>
        </w:rPr>
        <w:t> / ***</w:t>
      </w:r>
    </w:p>
    <w:p w14:paraId="29D44526" w14:textId="77777777" w:rsidR="00DB2B68" w:rsidRDefault="00000000">
      <w:pPr>
        <w:pStyle w:val="Author-eListParagraph"/>
        <w:numPr>
          <w:ilvl w:val="0"/>
          <w:numId w:val="855"/>
        </w:numPr>
      </w:pPr>
      <w:r>
        <w:t>Résistance minimale en flexion à plat : </w:t>
      </w:r>
      <w:r>
        <w:rPr>
          <w:rStyle w:val="optioncarChar"/>
        </w:rPr>
        <w:t>40 MPa </w:t>
      </w:r>
      <w:r>
        <w:t>(par défaut) </w:t>
      </w:r>
      <w:r>
        <w:rPr>
          <w:rStyle w:val="optioncarChar"/>
        </w:rPr>
        <w:t>/ ***</w:t>
      </w:r>
    </w:p>
    <w:p w14:paraId="4F6D95C0" w14:textId="77777777" w:rsidR="00DB2B68" w:rsidRDefault="00000000">
      <w:pPr>
        <w:pStyle w:val="Author-eListParagraph"/>
        <w:numPr>
          <w:ilvl w:val="0"/>
          <w:numId w:val="855"/>
        </w:numPr>
      </w:pPr>
      <w:r>
        <w:t>Résistance minimale en traction parallèle au fil du bois : </w:t>
      </w:r>
      <w:r>
        <w:rPr>
          <w:rStyle w:val="optioncarChar"/>
        </w:rPr>
        <w:t>30 MPa </w:t>
      </w:r>
      <w:r>
        <w:t>(par défaut)</w:t>
      </w:r>
      <w:r>
        <w:rPr>
          <w:rStyle w:val="optioncarChar"/>
        </w:rPr>
        <w:t> / ***</w:t>
      </w:r>
    </w:p>
    <w:p w14:paraId="3A16C383" w14:textId="77777777" w:rsidR="00DB2B68" w:rsidRDefault="00000000">
      <w:pPr>
        <w:pStyle w:val="Author-eListParagraph"/>
        <w:numPr>
          <w:ilvl w:val="0"/>
          <w:numId w:val="855"/>
        </w:numPr>
      </w:pPr>
      <w:r>
        <w:t>Résistance minimale en compression parallèle au fil du bois : </w:t>
      </w:r>
      <w:r>
        <w:rPr>
          <w:rStyle w:val="optioncarChar"/>
        </w:rPr>
        <w:t>30 MPa </w:t>
      </w:r>
      <w:r>
        <w:t>(par défaut)</w:t>
      </w:r>
      <w:r>
        <w:rPr>
          <w:rStyle w:val="optioncarChar"/>
        </w:rPr>
        <w:t> / ***</w:t>
      </w:r>
    </w:p>
    <w:p w14:paraId="16574D7D" w14:textId="77777777" w:rsidR="00DB2B68" w:rsidRDefault="00000000">
      <w:pPr>
        <w:pStyle w:val="Author-eListParagraph"/>
        <w:numPr>
          <w:ilvl w:val="0"/>
          <w:numId w:val="855"/>
        </w:numPr>
      </w:pPr>
      <w:r>
        <w:t>Résistance minimale en cisaillement à chant :</w:t>
      </w:r>
      <w:r>
        <w:rPr>
          <w:rStyle w:val="optioncarChar"/>
        </w:rPr>
        <w:t> 5 MPa </w:t>
      </w:r>
      <w:r>
        <w:t>(par défaut)</w:t>
      </w:r>
      <w:r>
        <w:rPr>
          <w:rStyle w:val="optioncarChar"/>
        </w:rPr>
        <w:t> / ***</w:t>
      </w:r>
    </w:p>
    <w:p w14:paraId="2E44602B" w14:textId="77777777" w:rsidR="00DB2B68" w:rsidRDefault="00000000">
      <w:pPr>
        <w:pStyle w:val="Author-eListParagraph"/>
        <w:numPr>
          <w:ilvl w:val="0"/>
          <w:numId w:val="855"/>
        </w:numPr>
      </w:pPr>
      <w:r>
        <w:t>Résistance minimale en cisaillement à plat : </w:t>
      </w:r>
      <w:r>
        <w:rPr>
          <w:rStyle w:val="optioncarChar"/>
        </w:rPr>
        <w:t>4 MPa </w:t>
      </w:r>
      <w:r>
        <w:t>(par défaut)</w:t>
      </w:r>
      <w:r>
        <w:rPr>
          <w:rStyle w:val="optioncarChar"/>
        </w:rPr>
        <w:t> / ***</w:t>
      </w:r>
    </w:p>
    <w:p w14:paraId="102A2E76" w14:textId="77777777" w:rsidR="00DB2B68" w:rsidRDefault="00000000">
      <w:pPr>
        <w:pStyle w:val="Author-eListParagraph"/>
        <w:numPr>
          <w:ilvl w:val="0"/>
          <w:numId w:val="855"/>
        </w:numPr>
      </w:pPr>
      <w:r>
        <w:t>Module d’élasticité minimum parallèle au fil du bois (au fractile 5%) : </w:t>
      </w:r>
      <w:r>
        <w:rPr>
          <w:rStyle w:val="optioncarChar"/>
        </w:rPr>
        <w:t>9 GPa </w:t>
      </w:r>
      <w:r>
        <w:t>(par défaut)</w:t>
      </w:r>
      <w:r>
        <w:rPr>
          <w:rStyle w:val="optioncarChar"/>
        </w:rPr>
        <w:t> / ***</w:t>
      </w:r>
    </w:p>
    <w:p w14:paraId="3D451A5E" w14:textId="77777777" w:rsidR="00DB2B68" w:rsidRDefault="00000000">
      <w:pPr>
        <w:pStyle w:val="Author-eListParagraph"/>
        <w:numPr>
          <w:ilvl w:val="0"/>
          <w:numId w:val="855"/>
        </w:numPr>
      </w:pPr>
      <w:r>
        <w:t>Module de cisaillement à chant : </w:t>
      </w:r>
      <w:r>
        <w:rPr>
          <w:rStyle w:val="optioncarChar"/>
        </w:rPr>
        <w:t>600 MPa </w:t>
      </w:r>
      <w:r>
        <w:t>(par défaut)</w:t>
      </w:r>
      <w:r>
        <w:rPr>
          <w:rStyle w:val="optioncarChar"/>
        </w:rPr>
        <w:t> / ***</w:t>
      </w:r>
    </w:p>
    <w:p w14:paraId="1F115627" w14:textId="77777777" w:rsidR="00DB2B68" w:rsidRDefault="00000000">
      <w:pPr>
        <w:pStyle w:val="Author-eListParagraph"/>
        <w:numPr>
          <w:ilvl w:val="0"/>
          <w:numId w:val="855"/>
        </w:numPr>
      </w:pPr>
      <w:r>
        <w:t>Module de cisaillement à plat :</w:t>
      </w:r>
      <w:r>
        <w:rPr>
          <w:rStyle w:val="optioncarChar"/>
        </w:rPr>
        <w:t> 400 MPa </w:t>
      </w:r>
      <w:r>
        <w:t>(par défaut)</w:t>
      </w:r>
      <w:r>
        <w:rPr>
          <w:rStyle w:val="optioncarChar"/>
        </w:rPr>
        <w:t> / ***</w:t>
      </w:r>
    </w:p>
    <w:p w14:paraId="7722CD03" w14:textId="77777777" w:rsidR="00DB2B68" w:rsidRDefault="00000000">
      <w:pPr>
        <w:jc w:val="both"/>
      </w:pPr>
      <w:r>
        <w:t>Courbure des colonnes :</w:t>
      </w:r>
      <w:r>
        <w:rPr>
          <w:rStyle w:val="optioncarChar"/>
        </w:rPr>
        <w:t xml:space="preserve"> aucune </w:t>
      </w:r>
      <w:r>
        <w:t>(par défaut)</w:t>
      </w:r>
      <w:r>
        <w:rPr>
          <w:rStyle w:val="optioncarChar"/>
        </w:rPr>
        <w:t xml:space="preserve"> / voir plan / ***</w:t>
      </w:r>
    </w:p>
    <w:p w14:paraId="0D1FEACC" w14:textId="77777777" w:rsidR="00DB2B68" w:rsidRDefault="00000000">
      <w:pPr>
        <w:jc w:val="both"/>
      </w:pPr>
      <w:r>
        <w:t xml:space="preserve">Essence : </w:t>
      </w:r>
      <w:r>
        <w:rPr>
          <w:rStyle w:val="optioncarChar"/>
        </w:rPr>
        <w:t xml:space="preserve">Résineuse </w:t>
      </w:r>
      <w:r>
        <w:t>(par défaut)</w:t>
      </w:r>
      <w:r>
        <w:rPr>
          <w:rStyle w:val="optioncarChar"/>
        </w:rPr>
        <w:t xml:space="preserve"> / feuillue / épicéa / douglas / hêtre / ***</w:t>
      </w:r>
    </w:p>
    <w:p w14:paraId="1C7F4D95" w14:textId="77777777" w:rsidR="00DB2B68" w:rsidRDefault="00000000">
      <w:pPr>
        <w:jc w:val="both"/>
      </w:pPr>
      <w:r>
        <w:t xml:space="preserve">Classe d’emploi : </w:t>
      </w:r>
      <w:r>
        <w:rPr>
          <w:rStyle w:val="optioncarChar"/>
        </w:rPr>
        <w:t>1 / 2 / 3</w:t>
      </w:r>
    </w:p>
    <w:p w14:paraId="5AD00CD1" w14:textId="77777777" w:rsidR="00DB2B68" w:rsidRDefault="00000000">
      <w:pPr>
        <w:jc w:val="both"/>
      </w:pPr>
      <w:r>
        <w:t>La classe de durabilité minimale des colonnes en LSL est directement liée à la classe d’emploi.</w:t>
      </w:r>
    </w:p>
    <w:p w14:paraId="7A8896E6" w14:textId="77777777" w:rsidR="00DB2B68" w:rsidRDefault="00000000">
      <w:pPr>
        <w:jc w:val="both"/>
      </w:pPr>
      <w:r>
        <w:t xml:space="preserve">Teneur en humidité cible à la livraison et à l’installation des éléments : </w:t>
      </w:r>
      <w:r>
        <w:rPr>
          <w:rStyle w:val="optioncarChar"/>
        </w:rPr>
        <w:t>12 %</w:t>
      </w:r>
      <w:r>
        <w:t xml:space="preserve"> (par défaut)</w:t>
      </w:r>
      <w:r>
        <w:rPr>
          <w:rStyle w:val="optioncarChar"/>
        </w:rPr>
        <w:t xml:space="preserve"> / 17 % / ***</w:t>
      </w:r>
    </w:p>
    <w:p w14:paraId="6511E1C0" w14:textId="77777777" w:rsidR="00DB2B68" w:rsidRDefault="00000000">
      <w:pPr>
        <w:jc w:val="both"/>
      </w:pPr>
      <w:r>
        <w:t xml:space="preserve">Classe d’émission de formaldéhyde : </w:t>
      </w:r>
      <w:r>
        <w:rPr>
          <w:rStyle w:val="optioncarChar"/>
        </w:rPr>
        <w:t>E1</w:t>
      </w:r>
      <w:r>
        <w:t xml:space="preserve"> (par défaut) </w:t>
      </w:r>
      <w:r>
        <w:rPr>
          <w:rStyle w:val="optioncarChar"/>
        </w:rPr>
        <w:t>/ E2</w:t>
      </w:r>
    </w:p>
    <w:p w14:paraId="7A0E67AD" w14:textId="77777777" w:rsidR="00DB2B68" w:rsidRDefault="00000000">
      <w:pPr>
        <w:pStyle w:val="pheading"/>
      </w:pPr>
      <w:r>
        <w:t>- Finitions</w:t>
      </w:r>
    </w:p>
    <w:p w14:paraId="15AC4B64" w14:textId="77777777" w:rsidR="00DB2B68" w:rsidRDefault="00000000">
      <w:pPr>
        <w:jc w:val="both"/>
      </w:pPr>
      <w:r>
        <w:t xml:space="preserve">Les colonnes en LSL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 </w:t>
      </w:r>
    </w:p>
    <w:p w14:paraId="0DD4F267" w14:textId="77777777" w:rsidR="00DB2B68"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3D64204D" w14:textId="77777777" w:rsidR="00DB2B68" w:rsidRDefault="00000000">
      <w:pPr>
        <w:jc w:val="both"/>
      </w:pPr>
      <w:r>
        <w:t xml:space="preserve">Les colonnes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4537FD5E" w14:textId="77777777" w:rsidR="00DB2B68" w:rsidRDefault="00000000">
      <w:pPr>
        <w:pStyle w:val="pheading"/>
      </w:pPr>
      <w:r>
        <w:t>EXÉCUTION / MISE EN ŒUVRE</w:t>
      </w:r>
    </w:p>
    <w:p w14:paraId="0FFFDF5C" w14:textId="77777777" w:rsidR="00DB2B68" w:rsidRDefault="00000000">
      <w:pPr>
        <w:pStyle w:val="pheading"/>
      </w:pPr>
      <w:r>
        <w:t>- Prescriptions générales</w:t>
      </w:r>
    </w:p>
    <w:p w14:paraId="66288896"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3C0CDD3A" w14:textId="77777777" w:rsidR="00DB2B68" w:rsidRDefault="00000000">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548FC1C7" w14:textId="77777777" w:rsidR="00DB2B68" w:rsidRDefault="00000000">
      <w:pPr>
        <w:pStyle w:val="pheading"/>
      </w:pPr>
      <w:r>
        <w:t>MESURAGE</w:t>
      </w:r>
    </w:p>
    <w:p w14:paraId="2A09C29D" w14:textId="77777777" w:rsidR="00DB2B68" w:rsidRDefault="00000000">
      <w:pPr>
        <w:pStyle w:val="pheading"/>
      </w:pPr>
      <w:r>
        <w:t>- unité de mesure:</w:t>
      </w:r>
    </w:p>
    <w:p w14:paraId="537BDA46" w14:textId="77777777" w:rsidR="00DB2B68" w:rsidRDefault="00000000">
      <w:r>
        <w:rPr>
          <w:rStyle w:val="optioncarChar"/>
        </w:rPr>
        <w:t>m³ </w:t>
      </w:r>
      <w:r>
        <w:t>(par défaut)</w:t>
      </w:r>
      <w:r>
        <w:rPr>
          <w:rStyle w:val="optioncarChar"/>
        </w:rPr>
        <w:t> / m / pc</w:t>
      </w:r>
    </w:p>
    <w:p w14:paraId="51719615" w14:textId="77777777" w:rsidR="00DB2B68" w:rsidRDefault="00000000">
      <w:r>
        <w:rPr>
          <w:b/>
          <w:i/>
        </w:rPr>
        <w:t>(Soit par défaut)</w:t>
      </w:r>
    </w:p>
    <w:p w14:paraId="0D9777A0" w14:textId="77777777" w:rsidR="00DB2B68" w:rsidRDefault="00000000">
      <w:r>
        <w:rPr>
          <w:rStyle w:val="soitChar"/>
        </w:rPr>
        <w:t>1.    m³ </w:t>
      </w:r>
    </w:p>
    <w:p w14:paraId="06D5005B" w14:textId="77777777" w:rsidR="00DB2B68" w:rsidRDefault="00000000">
      <w:r>
        <w:rPr>
          <w:b/>
          <w:i/>
        </w:rPr>
        <w:t>(Soit)</w:t>
      </w:r>
    </w:p>
    <w:p w14:paraId="347B649F" w14:textId="77777777" w:rsidR="00DB2B68" w:rsidRDefault="00000000">
      <w:r>
        <w:rPr>
          <w:rStyle w:val="soitChar"/>
        </w:rPr>
        <w:lastRenderedPageBreak/>
        <w:t>2.    m </w:t>
      </w:r>
    </w:p>
    <w:p w14:paraId="7CCFFF20" w14:textId="77777777" w:rsidR="00DB2B68" w:rsidRDefault="00000000">
      <w:r>
        <w:rPr>
          <w:b/>
          <w:i/>
        </w:rPr>
        <w:t>(Soit)</w:t>
      </w:r>
    </w:p>
    <w:p w14:paraId="527B66E2" w14:textId="77777777" w:rsidR="00DB2B68" w:rsidRDefault="00000000">
      <w:r>
        <w:rPr>
          <w:rStyle w:val="soitChar"/>
        </w:rPr>
        <w:t>3.    pc</w:t>
      </w:r>
    </w:p>
    <w:p w14:paraId="6326DA78" w14:textId="77777777" w:rsidR="00DB2B68" w:rsidRDefault="00000000">
      <w:pPr>
        <w:pStyle w:val="pheading"/>
      </w:pPr>
      <w:r>
        <w:t>- code de mesurage:</w:t>
      </w:r>
    </w:p>
    <w:p w14:paraId="64981CC9" w14:textId="77777777" w:rsidR="00DB2B68" w:rsidRDefault="00000000">
      <w:pPr>
        <w:jc w:val="both"/>
      </w:pPr>
      <w:r>
        <w:rPr>
          <w:rStyle w:val="optioncarChar"/>
        </w:rPr>
        <w:t> Volume brut </w:t>
      </w:r>
      <w:r>
        <w:t>(par défaut) </w:t>
      </w:r>
      <w:r>
        <w:rPr>
          <w:rStyle w:val="optioncarChar"/>
        </w:rPr>
        <w:t>/ longueur brute / quantité nette</w:t>
      </w:r>
    </w:p>
    <w:p w14:paraId="3A953A24" w14:textId="77777777" w:rsidR="00DB2B68" w:rsidRDefault="00000000">
      <w:pPr>
        <w:jc w:val="both"/>
      </w:pPr>
      <w:r>
        <w:rPr>
          <w:b/>
          <w:i/>
        </w:rPr>
        <w:t>(Soit par défaut)</w:t>
      </w:r>
    </w:p>
    <w:p w14:paraId="09E438DE" w14:textId="77777777" w:rsidR="00DB2B68" w:rsidRDefault="00000000">
      <w:pPr>
        <w:jc w:val="both"/>
      </w:pPr>
      <w:r>
        <w:rPr>
          <w:rStyle w:val="soitChar"/>
        </w:rPr>
        <w:t>1.   </w:t>
      </w:r>
      <w:r>
        <w:rPr>
          <w:rStyle w:val="soitChar"/>
          <w:u w:val="single"/>
        </w:rPr>
        <w:t> Volume brut :</w:t>
      </w:r>
    </w:p>
    <w:p w14:paraId="1366628F" w14:textId="77777777" w:rsidR="00DB2B68" w:rsidRDefault="00000000">
      <w:pPr>
        <w:jc w:val="both"/>
      </w:pPr>
      <w:r>
        <w:rPr>
          <w:rStyle w:val="soitChar"/>
        </w:rPr>
        <w:t>Le volume brut d’une colonne est calculé suivant l'épaisseur prescrite au cahier spécial des charges.</w:t>
      </w:r>
    </w:p>
    <w:p w14:paraId="59DFCD7B" w14:textId="77777777" w:rsidR="00DB2B68" w:rsidRDefault="00000000">
      <w:pPr>
        <w:jc w:val="both"/>
      </w:pPr>
      <w:r>
        <w:rPr>
          <w:b/>
          <w:i/>
        </w:rPr>
        <w:t> (Soit)</w:t>
      </w:r>
    </w:p>
    <w:p w14:paraId="79DAD719" w14:textId="77777777" w:rsidR="00DB2B68" w:rsidRDefault="00000000">
      <w:pPr>
        <w:jc w:val="both"/>
      </w:pPr>
      <w:r>
        <w:rPr>
          <w:rStyle w:val="soitChar"/>
        </w:rPr>
        <w:t>2.   </w:t>
      </w:r>
      <w:r>
        <w:rPr>
          <w:rStyle w:val="soitChar"/>
          <w:u w:val="single"/>
        </w:rPr>
        <w:t> Longueur brute :</w:t>
      </w:r>
    </w:p>
    <w:p w14:paraId="5B7ADE1B"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13A78DC0" w14:textId="77777777" w:rsidR="00DB2B68" w:rsidRDefault="00000000">
      <w:pPr>
        <w:jc w:val="both"/>
      </w:pPr>
      <w:r>
        <w:rPr>
          <w:rStyle w:val="soitChar"/>
        </w:rPr>
        <w:t>La longueur totale des colonnes ayant la même section et les mêmes caractéristiques est comptabilisée.</w:t>
      </w:r>
    </w:p>
    <w:p w14:paraId="1DF5AD5C" w14:textId="77777777" w:rsidR="00DB2B68" w:rsidRDefault="00000000">
      <w:pPr>
        <w:jc w:val="both"/>
      </w:pPr>
      <w:r>
        <w:rPr>
          <w:b/>
          <w:i/>
        </w:rPr>
        <w:t> (Soit)</w:t>
      </w:r>
    </w:p>
    <w:p w14:paraId="75085525" w14:textId="77777777" w:rsidR="00DB2B68" w:rsidRDefault="00000000">
      <w:pPr>
        <w:jc w:val="both"/>
      </w:pPr>
      <w:r>
        <w:rPr>
          <w:rStyle w:val="soitChar"/>
        </w:rPr>
        <w:t>3.    </w:t>
      </w:r>
      <w:r>
        <w:rPr>
          <w:rStyle w:val="soitChar"/>
          <w:u w:val="single"/>
        </w:rPr>
        <w:t>Quantité nette :</w:t>
      </w:r>
    </w:p>
    <w:p w14:paraId="5BB76B85" w14:textId="77777777" w:rsidR="00DB2B68" w:rsidRDefault="00000000">
      <w:pPr>
        <w:jc w:val="both"/>
      </w:pPr>
      <w:r>
        <w:rPr>
          <w:rStyle w:val="soitChar"/>
        </w:rPr>
        <w:t>Le nombre de colonnes ayant les mêmes dimensions et les mêmes caractéristiques est compatibilisé.</w:t>
      </w:r>
    </w:p>
    <w:p w14:paraId="26A4A98E" w14:textId="77777777" w:rsidR="00DB2B68" w:rsidRDefault="00000000">
      <w:pPr>
        <w:pStyle w:val="pheading"/>
      </w:pPr>
      <w:r>
        <w:t>- nature du marché:</w:t>
      </w:r>
    </w:p>
    <w:p w14:paraId="16097711" w14:textId="77777777" w:rsidR="00DB2B68" w:rsidRDefault="00000000">
      <w:r>
        <w:rPr>
          <w:rStyle w:val="optioncarChar"/>
        </w:rPr>
        <w:t>QF </w:t>
      </w:r>
      <w:r>
        <w:t>(par défaut) </w:t>
      </w:r>
      <w:r>
        <w:rPr>
          <w:rStyle w:val="optioncarChar"/>
        </w:rPr>
        <w:t>/ QP</w:t>
      </w:r>
    </w:p>
    <w:p w14:paraId="04298FC9" w14:textId="77777777" w:rsidR="00DB2B68" w:rsidRDefault="00000000">
      <w:r>
        <w:rPr>
          <w:b/>
          <w:i/>
        </w:rPr>
        <w:t>(Soit par défaut)</w:t>
      </w:r>
    </w:p>
    <w:p w14:paraId="497DC5DF" w14:textId="77777777" w:rsidR="00DB2B68" w:rsidRDefault="00000000">
      <w:r>
        <w:rPr>
          <w:rStyle w:val="soitChar"/>
        </w:rPr>
        <w:t>1.2.3      QF</w:t>
      </w:r>
    </w:p>
    <w:p w14:paraId="791CCA29" w14:textId="77777777" w:rsidR="00DB2B68" w:rsidRDefault="00000000">
      <w:r>
        <w:rPr>
          <w:b/>
          <w:i/>
        </w:rPr>
        <w:t>(Soit)</w:t>
      </w:r>
    </w:p>
    <w:p w14:paraId="6084720A" w14:textId="77777777" w:rsidR="00DB2B68" w:rsidRDefault="00000000">
      <w:r>
        <w:rPr>
          <w:rStyle w:val="soitChar"/>
        </w:rPr>
        <w:t>1.2.3      QP</w:t>
      </w:r>
    </w:p>
    <w:p w14:paraId="5417E03E" w14:textId="77777777" w:rsidR="00DB2B68" w:rsidRDefault="00000000">
      <w:pPr>
        <w:pStyle w:val="pheading"/>
      </w:pPr>
      <w:r>
        <w:t>AIDE</w:t>
      </w:r>
    </w:p>
    <w:p w14:paraId="330298F8" w14:textId="77777777" w:rsidR="00DB2B68" w:rsidRDefault="00000000">
      <w:pPr>
        <w:jc w:val="both"/>
      </w:pPr>
      <w:r>
        <w:t>Le code suivant peut être utilisé pour la dénomination du poste :</w:t>
      </w:r>
    </w:p>
    <w:p w14:paraId="05B331E5" w14:textId="77777777" w:rsidR="00DB2B68" w:rsidRDefault="00000000">
      <w:pPr>
        <w:jc w:val="both"/>
      </w:pPr>
      <w:r>
        <w:t>LSL 1 / 2 / 3 / 4 / 5</w:t>
      </w:r>
    </w:p>
    <w:p w14:paraId="468DE2D3" w14:textId="77777777" w:rsidR="00DB2B68" w:rsidRDefault="00000000">
      <w:pPr>
        <w:jc w:val="both"/>
      </w:pPr>
      <w:r>
        <w:t>Avec :</w:t>
      </w:r>
    </w:p>
    <w:p w14:paraId="4C43A12D" w14:textId="77777777" w:rsidR="00DB2B68" w:rsidRDefault="00000000">
      <w:pPr>
        <w:jc w:val="both"/>
      </w:pPr>
      <w:r>
        <w:t>LSL pour bois laminated veneer lumber</w:t>
      </w:r>
    </w:p>
    <w:p w14:paraId="598B2419" w14:textId="77777777" w:rsidR="00DB2B68" w:rsidRDefault="00000000">
      <w:pPr>
        <w:jc w:val="both"/>
      </w:pPr>
      <w:r>
        <w:t>1 : Type de LSL</w:t>
      </w:r>
    </w:p>
    <w:p w14:paraId="49F4AA60" w14:textId="77777777" w:rsidR="00DB2B68" w:rsidRDefault="00000000">
      <w:pPr>
        <w:jc w:val="both"/>
      </w:pPr>
      <w:r>
        <w:t>2 : section de la colonne</w:t>
      </w:r>
    </w:p>
    <w:p w14:paraId="4A38EFCE" w14:textId="77777777" w:rsidR="00DB2B68" w:rsidRDefault="00000000">
      <w:pPr>
        <w:jc w:val="both"/>
      </w:pPr>
      <w:r>
        <w:t>3 : L’essence utilisée</w:t>
      </w:r>
    </w:p>
    <w:p w14:paraId="05547DE4" w14:textId="77777777" w:rsidR="00DB2B68" w:rsidRDefault="00000000">
      <w:pPr>
        <w:jc w:val="both"/>
      </w:pPr>
      <w:r>
        <w:t>4 : la classe d’emploi des colonnes</w:t>
      </w:r>
    </w:p>
    <w:p w14:paraId="156E5552" w14:textId="77777777" w:rsidR="00DB2B68" w:rsidRDefault="00000000">
      <w:pPr>
        <w:jc w:val="both"/>
      </w:pPr>
      <w:r>
        <w:t>5 : la méthode utilisée pour garantir la durabilité des colonnes</w:t>
      </w:r>
    </w:p>
    <w:p w14:paraId="44CBD4D3" w14:textId="77777777" w:rsidR="00DB2B68" w:rsidRDefault="00000000">
      <w:pPr>
        <w:jc w:val="both"/>
      </w:pPr>
      <w:r>
        <w:t> </w:t>
      </w:r>
    </w:p>
    <w:p w14:paraId="5AB078AB" w14:textId="77777777" w:rsidR="00DB2B68" w:rsidRDefault="00000000">
      <w:pPr>
        <w:jc w:val="both"/>
      </w:pPr>
      <w:r>
        <w:t>Ce qui donne, par exemple :</w:t>
      </w:r>
    </w:p>
    <w:p w14:paraId="3F12260B" w14:textId="77777777" w:rsidR="00DB2B68" w:rsidRDefault="00000000">
      <w:pPr>
        <w:jc w:val="both"/>
      </w:pPr>
      <w:r>
        <w:t>LSL S / 200 x 90 / épicéa / 2 / A2.2</w:t>
      </w:r>
    </w:p>
    <w:p w14:paraId="364A3961" w14:textId="77777777" w:rsidR="00DB2B68" w:rsidRDefault="00000000">
      <w:pPr>
        <w:pStyle w:val="Author-eSectionHeading6Numberless"/>
      </w:pPr>
      <w:bookmarkStart w:id="1580" w:name="_Toc220496572"/>
      <w:r>
        <w:t>24.12.5b Colonnes en LSL à inertie variable CCTB 01.11</w:t>
      </w:r>
      <w:bookmarkEnd w:id="1580"/>
    </w:p>
    <w:p w14:paraId="58881FB8" w14:textId="77777777" w:rsidR="00DB2B68" w:rsidRDefault="00000000">
      <w:pPr>
        <w:pStyle w:val="pheading"/>
      </w:pPr>
      <w:r>
        <w:t>DESCRIPTION</w:t>
      </w:r>
    </w:p>
    <w:p w14:paraId="7935BBBE" w14:textId="77777777" w:rsidR="00DB2B68" w:rsidRDefault="00000000">
      <w:pPr>
        <w:pStyle w:val="pheading"/>
      </w:pPr>
      <w:r>
        <w:t>- Définition / Comprend</w:t>
      </w:r>
    </w:p>
    <w:p w14:paraId="1D70696D" w14:textId="77777777" w:rsidR="00DB2B68" w:rsidRDefault="00000000">
      <w:r>
        <w:t>Il s'agit de l’ensemble des colonnes en LSL et à inertie variable.</w:t>
      </w:r>
    </w:p>
    <w:p w14:paraId="7C8948BF" w14:textId="77777777" w:rsidR="00DB2B68" w:rsidRDefault="00000000">
      <w:pPr>
        <w:pStyle w:val="pheading"/>
      </w:pPr>
      <w:r>
        <w:lastRenderedPageBreak/>
        <w:t>MATÉRIAUX</w:t>
      </w:r>
    </w:p>
    <w:p w14:paraId="39B8B289" w14:textId="77777777" w:rsidR="00DB2B68" w:rsidRDefault="00000000">
      <w:pPr>
        <w:pStyle w:val="pheading"/>
      </w:pPr>
      <w:r>
        <w:t>- Caractéristiques générales</w:t>
      </w:r>
    </w:p>
    <w:p w14:paraId="7DA60204" w14:textId="77777777" w:rsidR="00DB2B68" w:rsidRDefault="00000000">
      <w:pPr>
        <w:jc w:val="both"/>
      </w:pPr>
      <w:r>
        <w:t>Type de LSL :</w:t>
      </w:r>
      <w:r>
        <w:rPr>
          <w:rStyle w:val="optioncarChar"/>
        </w:rPr>
        <w:t xml:space="preserve"> S </w:t>
      </w:r>
      <w:r>
        <w:t>(par défaut)</w:t>
      </w:r>
      <w:r>
        <w:rPr>
          <w:rStyle w:val="optioncarChar"/>
        </w:rPr>
        <w:t xml:space="preserve"> / Q</w:t>
      </w:r>
    </w:p>
    <w:p w14:paraId="64A841E5" w14:textId="77777777" w:rsidR="00DB2B68" w:rsidRDefault="00000000">
      <w:pPr>
        <w:jc w:val="both"/>
      </w:pPr>
      <w:r>
        <w:t>Caractéristiques mécaniques :</w:t>
      </w:r>
    </w:p>
    <w:p w14:paraId="25F4E481" w14:textId="77777777" w:rsidR="00DB2B68" w:rsidRDefault="00000000">
      <w:pPr>
        <w:pStyle w:val="Author-eListParagraph"/>
        <w:numPr>
          <w:ilvl w:val="0"/>
          <w:numId w:val="856"/>
        </w:numPr>
      </w:pPr>
      <w:r>
        <w:t>Résistance minimale en flexion à chant :</w:t>
      </w:r>
      <w:r>
        <w:rPr>
          <w:rStyle w:val="optioncarChar"/>
        </w:rPr>
        <w:t> 40 MPa</w:t>
      </w:r>
      <w:r>
        <w:t> (par défaut)</w:t>
      </w:r>
      <w:r>
        <w:rPr>
          <w:rStyle w:val="optioncarChar"/>
        </w:rPr>
        <w:t> / ***</w:t>
      </w:r>
    </w:p>
    <w:p w14:paraId="3EEEFB6F" w14:textId="77777777" w:rsidR="00DB2B68" w:rsidRDefault="00000000">
      <w:pPr>
        <w:pStyle w:val="Author-eListParagraph"/>
        <w:numPr>
          <w:ilvl w:val="0"/>
          <w:numId w:val="856"/>
        </w:numPr>
      </w:pPr>
      <w:r>
        <w:t>Résistance minimale en flexion à plat : </w:t>
      </w:r>
      <w:r>
        <w:rPr>
          <w:rStyle w:val="optioncarChar"/>
        </w:rPr>
        <w:t>40 MPa </w:t>
      </w:r>
      <w:r>
        <w:t>(par défaut) </w:t>
      </w:r>
      <w:r>
        <w:rPr>
          <w:rStyle w:val="optioncarChar"/>
        </w:rPr>
        <w:t>/ ***</w:t>
      </w:r>
    </w:p>
    <w:p w14:paraId="7130B19B" w14:textId="77777777" w:rsidR="00DB2B68" w:rsidRDefault="00000000">
      <w:pPr>
        <w:pStyle w:val="Author-eListParagraph"/>
        <w:numPr>
          <w:ilvl w:val="0"/>
          <w:numId w:val="856"/>
        </w:numPr>
      </w:pPr>
      <w:r>
        <w:t>Résistance minimale en traction parallèle au fil du bois : </w:t>
      </w:r>
      <w:r>
        <w:rPr>
          <w:rStyle w:val="optioncarChar"/>
        </w:rPr>
        <w:t>30 MPa </w:t>
      </w:r>
      <w:r>
        <w:t>(par défaut)</w:t>
      </w:r>
      <w:r>
        <w:rPr>
          <w:rStyle w:val="optioncarChar"/>
        </w:rPr>
        <w:t> / ***</w:t>
      </w:r>
    </w:p>
    <w:p w14:paraId="741A70CE" w14:textId="77777777" w:rsidR="00DB2B68" w:rsidRDefault="00000000">
      <w:pPr>
        <w:pStyle w:val="Author-eListParagraph"/>
        <w:numPr>
          <w:ilvl w:val="0"/>
          <w:numId w:val="856"/>
        </w:numPr>
      </w:pPr>
      <w:r>
        <w:t>Résistance minimale en compression parallèle au fil du bois : </w:t>
      </w:r>
      <w:r>
        <w:rPr>
          <w:rStyle w:val="optioncarChar"/>
        </w:rPr>
        <w:t>30 MPa </w:t>
      </w:r>
      <w:r>
        <w:t>(par défaut)</w:t>
      </w:r>
      <w:r>
        <w:rPr>
          <w:rStyle w:val="optioncarChar"/>
        </w:rPr>
        <w:t> / ***</w:t>
      </w:r>
    </w:p>
    <w:p w14:paraId="35668573" w14:textId="77777777" w:rsidR="00DB2B68" w:rsidRDefault="00000000">
      <w:pPr>
        <w:pStyle w:val="Author-eListParagraph"/>
        <w:numPr>
          <w:ilvl w:val="0"/>
          <w:numId w:val="856"/>
        </w:numPr>
      </w:pPr>
      <w:r>
        <w:t>Résistance minimale en cisaillement à chant :</w:t>
      </w:r>
      <w:r>
        <w:rPr>
          <w:rStyle w:val="optioncarChar"/>
        </w:rPr>
        <w:t> 5 MPa </w:t>
      </w:r>
      <w:r>
        <w:t>(par défaut)</w:t>
      </w:r>
      <w:r>
        <w:rPr>
          <w:rStyle w:val="optioncarChar"/>
        </w:rPr>
        <w:t> / ***</w:t>
      </w:r>
    </w:p>
    <w:p w14:paraId="391A54EF" w14:textId="77777777" w:rsidR="00DB2B68" w:rsidRDefault="00000000">
      <w:pPr>
        <w:pStyle w:val="Author-eListParagraph"/>
        <w:numPr>
          <w:ilvl w:val="0"/>
          <w:numId w:val="856"/>
        </w:numPr>
      </w:pPr>
      <w:r>
        <w:t>Résistance minimale en cisaillement à plat : </w:t>
      </w:r>
      <w:r>
        <w:rPr>
          <w:rStyle w:val="optioncarChar"/>
        </w:rPr>
        <w:t>4 MPa </w:t>
      </w:r>
      <w:r>
        <w:t>(par défaut)</w:t>
      </w:r>
      <w:r>
        <w:rPr>
          <w:rStyle w:val="optioncarChar"/>
        </w:rPr>
        <w:t> / ***</w:t>
      </w:r>
    </w:p>
    <w:p w14:paraId="42392B97" w14:textId="77777777" w:rsidR="00DB2B68" w:rsidRDefault="00000000">
      <w:pPr>
        <w:pStyle w:val="Author-eListParagraph"/>
        <w:numPr>
          <w:ilvl w:val="0"/>
          <w:numId w:val="856"/>
        </w:numPr>
      </w:pPr>
      <w:r>
        <w:t>Module d’élasticité minimum parallèle au fil du bois (au fractile 5%) : </w:t>
      </w:r>
      <w:r>
        <w:rPr>
          <w:rStyle w:val="optioncarChar"/>
        </w:rPr>
        <w:t>9 GPa </w:t>
      </w:r>
      <w:r>
        <w:t>(par défaut)</w:t>
      </w:r>
      <w:r>
        <w:rPr>
          <w:rStyle w:val="optioncarChar"/>
        </w:rPr>
        <w:t> / ***</w:t>
      </w:r>
    </w:p>
    <w:p w14:paraId="264A26BC" w14:textId="77777777" w:rsidR="00DB2B68" w:rsidRDefault="00000000">
      <w:pPr>
        <w:pStyle w:val="Author-eListParagraph"/>
        <w:numPr>
          <w:ilvl w:val="0"/>
          <w:numId w:val="856"/>
        </w:numPr>
      </w:pPr>
      <w:r>
        <w:t>Module de cisaillement à chant : </w:t>
      </w:r>
      <w:r>
        <w:rPr>
          <w:rStyle w:val="optioncarChar"/>
        </w:rPr>
        <w:t>600 MPa </w:t>
      </w:r>
      <w:r>
        <w:t>(par défaut)</w:t>
      </w:r>
      <w:r>
        <w:rPr>
          <w:rStyle w:val="optioncarChar"/>
        </w:rPr>
        <w:t> / ***</w:t>
      </w:r>
    </w:p>
    <w:p w14:paraId="05BCBCD6" w14:textId="77777777" w:rsidR="00DB2B68" w:rsidRDefault="00000000">
      <w:pPr>
        <w:pStyle w:val="Author-eListParagraph"/>
        <w:numPr>
          <w:ilvl w:val="0"/>
          <w:numId w:val="856"/>
        </w:numPr>
      </w:pPr>
      <w:r>
        <w:t>Module de cisaillement à plat :</w:t>
      </w:r>
      <w:r>
        <w:rPr>
          <w:rStyle w:val="optioncarChar"/>
        </w:rPr>
        <w:t> 400 MPa </w:t>
      </w:r>
      <w:r>
        <w:t>(par défaut)</w:t>
      </w:r>
      <w:r>
        <w:rPr>
          <w:rStyle w:val="optioncarChar"/>
        </w:rPr>
        <w:t> / ***</w:t>
      </w:r>
    </w:p>
    <w:p w14:paraId="34A51C9C" w14:textId="77777777" w:rsidR="00DB2B68" w:rsidRDefault="00000000">
      <w:pPr>
        <w:jc w:val="both"/>
      </w:pPr>
      <w:r>
        <w:t>La géométrie des colonnes est décrite dans les plans.</w:t>
      </w:r>
    </w:p>
    <w:p w14:paraId="3D474F5C" w14:textId="77777777" w:rsidR="00DB2B68" w:rsidRDefault="00000000">
      <w:pPr>
        <w:jc w:val="both"/>
      </w:pPr>
      <w:r>
        <w:t xml:space="preserve">Essence : </w:t>
      </w:r>
      <w:r>
        <w:rPr>
          <w:rStyle w:val="optioncarChar"/>
        </w:rPr>
        <w:t xml:space="preserve">Résineuse </w:t>
      </w:r>
      <w:r>
        <w:t>(par défaut)</w:t>
      </w:r>
      <w:r>
        <w:rPr>
          <w:rStyle w:val="optioncarChar"/>
        </w:rPr>
        <w:t xml:space="preserve"> / feuillue / épicéa / douglas / hêtre / ***</w:t>
      </w:r>
    </w:p>
    <w:p w14:paraId="73BC4938" w14:textId="77777777" w:rsidR="00DB2B68" w:rsidRDefault="00000000">
      <w:pPr>
        <w:jc w:val="both"/>
      </w:pPr>
      <w:r>
        <w:t>Section des colonnes :</w:t>
      </w:r>
      <w:r>
        <w:rPr>
          <w:rStyle w:val="optioncarChar"/>
        </w:rPr>
        <w:t xml:space="preserve"> ***</w:t>
      </w:r>
    </w:p>
    <w:p w14:paraId="1951F084" w14:textId="77777777" w:rsidR="00DB2B68" w:rsidRDefault="00000000">
      <w:pPr>
        <w:jc w:val="both"/>
      </w:pPr>
      <w:r>
        <w:t>Classe d’emploi :</w:t>
      </w:r>
      <w:r>
        <w:rPr>
          <w:rStyle w:val="optioncarChar"/>
        </w:rPr>
        <w:t xml:space="preserve"> 1 / 2 / 3</w:t>
      </w:r>
    </w:p>
    <w:p w14:paraId="7784C580" w14:textId="77777777" w:rsidR="00DB2B68" w:rsidRDefault="00000000">
      <w:pPr>
        <w:jc w:val="both"/>
      </w:pPr>
      <w:r>
        <w:t>La classe de durabilité minimale des colonnes en LSL est directement liée à la classe d’emploi.</w:t>
      </w:r>
    </w:p>
    <w:p w14:paraId="3B99BFA1" w14:textId="77777777" w:rsidR="00DB2B68" w:rsidRDefault="00000000">
      <w:pPr>
        <w:jc w:val="both"/>
      </w:pPr>
      <w:r>
        <w:t xml:space="preserve">Classe d’émission de formaldéhyde : </w:t>
      </w:r>
      <w:r>
        <w:rPr>
          <w:rStyle w:val="optioncarChar"/>
        </w:rPr>
        <w:t>E1</w:t>
      </w:r>
      <w:r>
        <w:t xml:space="preserve"> (par défaut)</w:t>
      </w:r>
      <w:r>
        <w:rPr>
          <w:rStyle w:val="optioncarChar"/>
        </w:rPr>
        <w:t xml:space="preserve"> / E2</w:t>
      </w:r>
    </w:p>
    <w:p w14:paraId="14594E58" w14:textId="77777777" w:rsidR="00DB2B68"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411F4B0E" w14:textId="77777777" w:rsidR="00DB2B68" w:rsidRDefault="00000000">
      <w:pPr>
        <w:pStyle w:val="pheading"/>
      </w:pPr>
      <w:r>
        <w:t>- Finitions</w:t>
      </w:r>
    </w:p>
    <w:p w14:paraId="688F1DB1" w14:textId="77777777" w:rsidR="00DB2B68" w:rsidRDefault="00000000">
      <w:pPr>
        <w:jc w:val="both"/>
      </w:pPr>
      <w:r>
        <w:t xml:space="preserve">Les colonnes en LSL sont </w:t>
      </w:r>
      <w:r>
        <w:rPr>
          <w:rStyle w:val="optioncarChar"/>
        </w:rPr>
        <w:t xml:space="preserve">rabotées </w:t>
      </w:r>
      <w:r>
        <w:t xml:space="preserve">(par défaut) </w:t>
      </w:r>
      <w:r>
        <w:rPr>
          <w:rStyle w:val="optioncarChar"/>
        </w:rPr>
        <w:t>/ poncées / ***</w:t>
      </w:r>
      <w:r>
        <w:t xml:space="preserve"> sur </w:t>
      </w:r>
      <w:r>
        <w:rPr>
          <w:rStyle w:val="optioncarChar"/>
        </w:rPr>
        <w:t>1 / 2</w:t>
      </w:r>
      <w:r>
        <w:t xml:space="preserve"> (par défaut) faces</w:t>
      </w:r>
    </w:p>
    <w:p w14:paraId="557305B0" w14:textId="77777777" w:rsidR="00DB2B68" w:rsidRDefault="00000000">
      <w:pPr>
        <w:jc w:val="both"/>
      </w:pPr>
      <w:r>
        <w:t>Les arrêtes sont</w:t>
      </w:r>
      <w:r>
        <w:rPr>
          <w:rStyle w:val="optioncarChar"/>
        </w:rPr>
        <w:t xml:space="preserve"> vives </w:t>
      </w:r>
      <w:r>
        <w:t>(par défaut)</w:t>
      </w:r>
      <w:r>
        <w:rPr>
          <w:rStyle w:val="optioncarChar"/>
        </w:rPr>
        <w:t xml:space="preserve"> / chanfreinées / ***</w:t>
      </w:r>
    </w:p>
    <w:p w14:paraId="38AE0A7A" w14:textId="77777777" w:rsidR="00DB2B68" w:rsidRDefault="00000000">
      <w:pPr>
        <w:jc w:val="both"/>
      </w:pPr>
      <w:r>
        <w:t xml:space="preserve">Les colonnes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07D4C67C" w14:textId="77777777" w:rsidR="00DB2B68" w:rsidRDefault="00000000">
      <w:pPr>
        <w:pStyle w:val="pheading"/>
      </w:pPr>
      <w:r>
        <w:t>EXÉCUTION / MISE EN ŒUVRE</w:t>
      </w:r>
    </w:p>
    <w:p w14:paraId="08CF4690" w14:textId="77777777" w:rsidR="00DB2B68" w:rsidRDefault="00000000">
      <w:pPr>
        <w:pStyle w:val="pheading"/>
      </w:pPr>
      <w:r>
        <w:t>- Prescriptions générales</w:t>
      </w:r>
    </w:p>
    <w:p w14:paraId="12D2A8AE"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369DCEB0" w14:textId="77777777" w:rsidR="00DB2B68" w:rsidRDefault="00000000">
      <w:pPr>
        <w:jc w:val="both"/>
      </w:pPr>
      <w:r>
        <w:t xml:space="preserve">Un dispositif casse-goutte </w:t>
      </w:r>
      <w:r>
        <w:rPr>
          <w:rStyle w:val="optioncarChar"/>
        </w:rPr>
        <w:t>est prévu</w:t>
      </w:r>
      <w:r>
        <w:t xml:space="preserve"> (par défaut)</w:t>
      </w:r>
      <w:r>
        <w:rPr>
          <w:rStyle w:val="optioncarChar"/>
        </w:rPr>
        <w:t xml:space="preserve"> / ***</w:t>
      </w:r>
      <w:r>
        <w:t xml:space="preserve"> au pied des colonnes extérieures.</w:t>
      </w:r>
    </w:p>
    <w:p w14:paraId="5F0F079C" w14:textId="77777777" w:rsidR="00DB2B68" w:rsidRDefault="00000000">
      <w:pPr>
        <w:pStyle w:val="pheading"/>
      </w:pPr>
      <w:r>
        <w:t>MESURAGE</w:t>
      </w:r>
    </w:p>
    <w:p w14:paraId="5EA3C50F" w14:textId="77777777" w:rsidR="00DB2B68" w:rsidRDefault="00000000">
      <w:pPr>
        <w:pStyle w:val="pheading"/>
      </w:pPr>
      <w:r>
        <w:t>- unité de mesure:</w:t>
      </w:r>
    </w:p>
    <w:p w14:paraId="4BCBC50A" w14:textId="77777777" w:rsidR="00DB2B68" w:rsidRDefault="00000000">
      <w:r>
        <w:rPr>
          <w:rStyle w:val="optioncarChar"/>
        </w:rPr>
        <w:t>m³ </w:t>
      </w:r>
      <w:r>
        <w:t>(par défaut)</w:t>
      </w:r>
      <w:r>
        <w:rPr>
          <w:rStyle w:val="optioncarChar"/>
        </w:rPr>
        <w:t> / m / pc</w:t>
      </w:r>
    </w:p>
    <w:p w14:paraId="6352DC62" w14:textId="77777777" w:rsidR="00DB2B68" w:rsidRDefault="00000000">
      <w:r>
        <w:rPr>
          <w:b/>
          <w:i/>
        </w:rPr>
        <w:t>(Soit par défaut)</w:t>
      </w:r>
    </w:p>
    <w:p w14:paraId="7CDD8DF0" w14:textId="77777777" w:rsidR="00DB2B68" w:rsidRDefault="00000000">
      <w:r>
        <w:rPr>
          <w:rStyle w:val="soitChar"/>
        </w:rPr>
        <w:t>1.    m³ </w:t>
      </w:r>
    </w:p>
    <w:p w14:paraId="5A9B376F" w14:textId="77777777" w:rsidR="00DB2B68" w:rsidRDefault="00000000">
      <w:r>
        <w:rPr>
          <w:b/>
          <w:i/>
        </w:rPr>
        <w:t>(Soit)</w:t>
      </w:r>
    </w:p>
    <w:p w14:paraId="0FAA71EC" w14:textId="77777777" w:rsidR="00DB2B68" w:rsidRDefault="00000000">
      <w:r>
        <w:rPr>
          <w:rStyle w:val="soitChar"/>
        </w:rPr>
        <w:t>2.    m </w:t>
      </w:r>
    </w:p>
    <w:p w14:paraId="18E120FC" w14:textId="77777777" w:rsidR="00DB2B68" w:rsidRDefault="00000000">
      <w:r>
        <w:rPr>
          <w:b/>
          <w:i/>
        </w:rPr>
        <w:t>(Soit)</w:t>
      </w:r>
    </w:p>
    <w:p w14:paraId="0FBB2A82" w14:textId="77777777" w:rsidR="00DB2B68" w:rsidRDefault="00000000">
      <w:r>
        <w:rPr>
          <w:rStyle w:val="soitChar"/>
        </w:rPr>
        <w:t>3.    pc</w:t>
      </w:r>
    </w:p>
    <w:p w14:paraId="1A5A713B" w14:textId="77777777" w:rsidR="00DB2B68" w:rsidRDefault="00000000">
      <w:pPr>
        <w:pStyle w:val="pheading"/>
      </w:pPr>
      <w:r>
        <w:t>- code de mesurage:</w:t>
      </w:r>
    </w:p>
    <w:p w14:paraId="1AB69A29" w14:textId="77777777" w:rsidR="00DB2B68" w:rsidRDefault="00000000">
      <w:pPr>
        <w:jc w:val="both"/>
      </w:pPr>
      <w:r>
        <w:rPr>
          <w:rStyle w:val="optioncarChar"/>
        </w:rPr>
        <w:t> Volume brut </w:t>
      </w:r>
      <w:r>
        <w:t>(par défaut) </w:t>
      </w:r>
      <w:r>
        <w:rPr>
          <w:rStyle w:val="optioncarChar"/>
        </w:rPr>
        <w:t>/ longueur brute / quantité nette</w:t>
      </w:r>
    </w:p>
    <w:p w14:paraId="6A44D36F" w14:textId="77777777" w:rsidR="00DB2B68" w:rsidRDefault="00000000">
      <w:pPr>
        <w:jc w:val="both"/>
      </w:pPr>
      <w:r>
        <w:rPr>
          <w:b/>
          <w:i/>
        </w:rPr>
        <w:lastRenderedPageBreak/>
        <w:t>(Soit par défaut)</w:t>
      </w:r>
    </w:p>
    <w:p w14:paraId="6D704088" w14:textId="77777777" w:rsidR="00DB2B68" w:rsidRDefault="00000000">
      <w:pPr>
        <w:jc w:val="both"/>
      </w:pPr>
      <w:r>
        <w:rPr>
          <w:rStyle w:val="soitChar"/>
        </w:rPr>
        <w:t>1.   </w:t>
      </w:r>
      <w:r>
        <w:rPr>
          <w:rStyle w:val="soitChar"/>
          <w:u w:val="single"/>
        </w:rPr>
        <w:t> Volume brut :</w:t>
      </w:r>
    </w:p>
    <w:p w14:paraId="0668A13D" w14:textId="77777777" w:rsidR="00DB2B68" w:rsidRDefault="00000000">
      <w:pPr>
        <w:jc w:val="both"/>
      </w:pPr>
      <w:r>
        <w:rPr>
          <w:rStyle w:val="soitChar"/>
        </w:rPr>
        <w:t>Le volume brut d’une colonne est calculé suivant le volume du plus petit parallélépipède rectangle pouvant inclure l’élément.</w:t>
      </w:r>
    </w:p>
    <w:p w14:paraId="76FE5023" w14:textId="77777777" w:rsidR="00DB2B68" w:rsidRDefault="00000000">
      <w:pPr>
        <w:jc w:val="both"/>
      </w:pPr>
      <w:r>
        <w:rPr>
          <w:b/>
          <w:i/>
        </w:rPr>
        <w:t> (Soit)</w:t>
      </w:r>
    </w:p>
    <w:p w14:paraId="15554AA6" w14:textId="77777777" w:rsidR="00DB2B68" w:rsidRDefault="00000000">
      <w:pPr>
        <w:jc w:val="both"/>
      </w:pPr>
      <w:r>
        <w:rPr>
          <w:rStyle w:val="soitChar"/>
        </w:rPr>
        <w:t>2.   </w:t>
      </w:r>
      <w:r>
        <w:rPr>
          <w:rStyle w:val="soitChar"/>
          <w:u w:val="single"/>
        </w:rPr>
        <w:t> Longueur brute :</w:t>
      </w:r>
    </w:p>
    <w:p w14:paraId="041D8691"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7BC02E5B" w14:textId="77777777" w:rsidR="00DB2B68" w:rsidRDefault="00000000">
      <w:pPr>
        <w:jc w:val="both"/>
      </w:pPr>
      <w:r>
        <w:rPr>
          <w:rStyle w:val="soitChar"/>
        </w:rPr>
        <w:t>La longueur totale des colonnes ayant la même section et les mêmes caractéristiques est comptabilisée.</w:t>
      </w:r>
    </w:p>
    <w:p w14:paraId="16BF566B" w14:textId="77777777" w:rsidR="00DB2B68" w:rsidRDefault="00000000">
      <w:pPr>
        <w:jc w:val="both"/>
      </w:pPr>
      <w:r>
        <w:rPr>
          <w:b/>
          <w:i/>
        </w:rPr>
        <w:t> (Soit)</w:t>
      </w:r>
    </w:p>
    <w:p w14:paraId="4562F600" w14:textId="77777777" w:rsidR="00DB2B68" w:rsidRDefault="00000000">
      <w:pPr>
        <w:jc w:val="both"/>
      </w:pPr>
      <w:r>
        <w:rPr>
          <w:rStyle w:val="soitChar"/>
        </w:rPr>
        <w:t>3.    </w:t>
      </w:r>
      <w:r>
        <w:rPr>
          <w:rStyle w:val="soitChar"/>
          <w:u w:val="single"/>
        </w:rPr>
        <w:t>Quantité nette :</w:t>
      </w:r>
    </w:p>
    <w:p w14:paraId="00844182" w14:textId="77777777" w:rsidR="00DB2B68" w:rsidRDefault="00000000">
      <w:pPr>
        <w:jc w:val="both"/>
      </w:pPr>
      <w:r>
        <w:rPr>
          <w:rStyle w:val="soitChar"/>
        </w:rPr>
        <w:t>Le nombre de colonnes ayant les mêmes dimensions et les mêmes caractéristiques est compatibilisé.</w:t>
      </w:r>
    </w:p>
    <w:p w14:paraId="6CD1D418" w14:textId="77777777" w:rsidR="00DB2B68" w:rsidRDefault="00000000">
      <w:pPr>
        <w:pStyle w:val="pheading"/>
      </w:pPr>
      <w:r>
        <w:t>- nature du marché:</w:t>
      </w:r>
    </w:p>
    <w:p w14:paraId="48C27B94" w14:textId="77777777" w:rsidR="00DB2B68" w:rsidRDefault="00000000">
      <w:r>
        <w:rPr>
          <w:rStyle w:val="optioncarChar"/>
        </w:rPr>
        <w:t>QF </w:t>
      </w:r>
      <w:r>
        <w:t>(par défaut) </w:t>
      </w:r>
      <w:r>
        <w:rPr>
          <w:rStyle w:val="optioncarChar"/>
        </w:rPr>
        <w:t>/ QP</w:t>
      </w:r>
    </w:p>
    <w:p w14:paraId="680BC07E" w14:textId="77777777" w:rsidR="00DB2B68" w:rsidRDefault="00000000">
      <w:r>
        <w:rPr>
          <w:b/>
          <w:i/>
        </w:rPr>
        <w:t>(Soit par défaut)</w:t>
      </w:r>
    </w:p>
    <w:p w14:paraId="25E498E9" w14:textId="77777777" w:rsidR="00DB2B68" w:rsidRDefault="00000000">
      <w:r>
        <w:rPr>
          <w:rStyle w:val="soitChar"/>
        </w:rPr>
        <w:t>1.2.3      QF</w:t>
      </w:r>
    </w:p>
    <w:p w14:paraId="4DCAF524" w14:textId="77777777" w:rsidR="00DB2B68" w:rsidRDefault="00000000">
      <w:r>
        <w:rPr>
          <w:b/>
          <w:i/>
        </w:rPr>
        <w:t>(Soit)</w:t>
      </w:r>
    </w:p>
    <w:p w14:paraId="7E2B3F64" w14:textId="77777777" w:rsidR="00DB2B68" w:rsidRDefault="00000000">
      <w:r>
        <w:rPr>
          <w:rStyle w:val="soitChar"/>
        </w:rPr>
        <w:t>1.2.3      QP</w:t>
      </w:r>
    </w:p>
    <w:p w14:paraId="5C2BCCF2" w14:textId="77777777" w:rsidR="00DB2B68" w:rsidRDefault="00000000">
      <w:pPr>
        <w:pStyle w:val="pheading"/>
      </w:pPr>
      <w:r>
        <w:t>AIDE</w:t>
      </w:r>
    </w:p>
    <w:p w14:paraId="1762563B" w14:textId="77777777" w:rsidR="00DB2B68" w:rsidRDefault="00000000">
      <w:pPr>
        <w:jc w:val="both"/>
      </w:pPr>
      <w:r>
        <w:t>Le code suivant peut être utilisé pour la dénomination du poste :</w:t>
      </w:r>
    </w:p>
    <w:p w14:paraId="3292C1A4" w14:textId="77777777" w:rsidR="00DB2B68" w:rsidRDefault="00000000">
      <w:pPr>
        <w:jc w:val="both"/>
      </w:pPr>
      <w:r>
        <w:t>LSL 1 / 2 / 3 / 4 / 5</w:t>
      </w:r>
    </w:p>
    <w:p w14:paraId="431B90DC" w14:textId="77777777" w:rsidR="00DB2B68" w:rsidRDefault="00000000">
      <w:pPr>
        <w:jc w:val="both"/>
      </w:pPr>
      <w:r>
        <w:t>Avec :</w:t>
      </w:r>
    </w:p>
    <w:p w14:paraId="1391316D" w14:textId="77777777" w:rsidR="00DB2B68" w:rsidRDefault="00000000">
      <w:pPr>
        <w:jc w:val="both"/>
      </w:pPr>
      <w:r>
        <w:t>LSL pour bois laminated veneer lumber</w:t>
      </w:r>
    </w:p>
    <w:p w14:paraId="4421CC7C" w14:textId="77777777" w:rsidR="00DB2B68" w:rsidRDefault="00000000">
      <w:pPr>
        <w:jc w:val="both"/>
      </w:pPr>
      <w:r>
        <w:t>1 : Type de LSL</w:t>
      </w:r>
    </w:p>
    <w:p w14:paraId="5FAE7920" w14:textId="77777777" w:rsidR="00DB2B68" w:rsidRDefault="00000000">
      <w:pPr>
        <w:jc w:val="both"/>
      </w:pPr>
      <w:r>
        <w:t>2 : section de la colonne</w:t>
      </w:r>
    </w:p>
    <w:p w14:paraId="4369B6C9" w14:textId="77777777" w:rsidR="00DB2B68" w:rsidRDefault="00000000">
      <w:pPr>
        <w:jc w:val="both"/>
      </w:pPr>
      <w:r>
        <w:t>3 : L’essence utilisée</w:t>
      </w:r>
    </w:p>
    <w:p w14:paraId="49962804" w14:textId="77777777" w:rsidR="00DB2B68" w:rsidRDefault="00000000">
      <w:pPr>
        <w:jc w:val="both"/>
      </w:pPr>
      <w:r>
        <w:t>4 : la classe d’emploi des colonnes</w:t>
      </w:r>
    </w:p>
    <w:p w14:paraId="208A09FB" w14:textId="77777777" w:rsidR="00DB2B68" w:rsidRDefault="00000000">
      <w:pPr>
        <w:jc w:val="both"/>
      </w:pPr>
      <w:r>
        <w:t>5 : la méthode utilisée pour garantir la durabilité des colonnes</w:t>
      </w:r>
    </w:p>
    <w:p w14:paraId="6AADA491" w14:textId="77777777" w:rsidR="00DB2B68" w:rsidRDefault="00000000">
      <w:pPr>
        <w:jc w:val="both"/>
      </w:pPr>
      <w:r>
        <w:t>Ce qui donne, par exemple :</w:t>
      </w:r>
    </w:p>
    <w:p w14:paraId="228F4C55" w14:textId="77777777" w:rsidR="00DB2B68" w:rsidRDefault="00000000">
      <w:pPr>
        <w:jc w:val="both"/>
      </w:pPr>
      <w:r>
        <w:t>LSL S / voir plan / épicéa / 2 / A2.2</w:t>
      </w:r>
    </w:p>
    <w:p w14:paraId="6E7023CE" w14:textId="77777777" w:rsidR="00DB2B68" w:rsidRDefault="00000000">
      <w:pPr>
        <w:pStyle w:val="Author-eSectionHeading5Numberless"/>
      </w:pPr>
      <w:bookmarkStart w:id="1581" w:name="_Toc220496573"/>
      <w:r>
        <w:t>24.12.6 Colonnes en PSL CCTB 01.07</w:t>
      </w:r>
      <w:bookmarkEnd w:id="1581"/>
    </w:p>
    <w:p w14:paraId="5F1A8840" w14:textId="77777777" w:rsidR="00DB2B68" w:rsidRDefault="00000000">
      <w:pPr>
        <w:pStyle w:val="pheading"/>
      </w:pPr>
      <w:r>
        <w:t>DESCRIPTION</w:t>
      </w:r>
    </w:p>
    <w:p w14:paraId="17E9E72E" w14:textId="77777777" w:rsidR="00DB2B68" w:rsidRDefault="00000000">
      <w:pPr>
        <w:pStyle w:val="pheading"/>
      </w:pPr>
      <w:r>
        <w:t>- Définition / Comprend</w:t>
      </w:r>
    </w:p>
    <w:p w14:paraId="035680B8" w14:textId="77777777" w:rsidR="00DB2B68" w:rsidRDefault="00000000">
      <w:r>
        <w:t xml:space="preserve">Il s’agit des colonnes en PSL. La notion de PSL est expliquée au </w:t>
      </w:r>
      <w:hyperlink w:anchor="89" w:history="1">
        <w:r>
          <w:rPr>
            <w:color w:val="0000EE"/>
          </w:rPr>
          <w:t>24 Superstructures en bois</w:t>
        </w:r>
      </w:hyperlink>
      <w:r>
        <w:t>.</w:t>
      </w:r>
    </w:p>
    <w:p w14:paraId="2894BE61" w14:textId="77777777" w:rsidR="00DB2B68" w:rsidRDefault="00000000">
      <w:pPr>
        <w:pStyle w:val="pheading"/>
      </w:pPr>
      <w:r>
        <w:t>EXÉCUTION / MISE EN ŒUVRE</w:t>
      </w:r>
    </w:p>
    <w:p w14:paraId="6D58572B" w14:textId="77777777" w:rsidR="00DB2B68" w:rsidRDefault="00000000">
      <w:pPr>
        <w:jc w:val="both"/>
      </w:pPr>
      <w:r>
        <w:t>Lorsque les colonnes sont posées sur des matériaux humides ou humidifiables, les assemblages sont conçus de façon à éviter l’absorption par capillarité.</w:t>
      </w:r>
    </w:p>
    <w:p w14:paraId="7114F4D8" w14:textId="77777777" w:rsidR="00DB2B68" w:rsidRDefault="00000000">
      <w:pPr>
        <w:jc w:val="both"/>
      </w:pPr>
      <w:r>
        <w:t>Si les colonnes sont situées à l’intérieur, une protection contre l’humidité est prévue (type membranes bitumineuses, EPDM ou équivalent) sous les colonnes pour éviter les remontées capillaires.</w:t>
      </w:r>
    </w:p>
    <w:p w14:paraId="4C01F5C8" w14:textId="77777777" w:rsidR="00DB2B68" w:rsidRDefault="00000000">
      <w:pPr>
        <w:jc w:val="both"/>
      </w:pPr>
      <w:r>
        <w:lastRenderedPageBreak/>
        <w:t>Lorsque les pieds de colonnes sont situés à l’extérieur, ils sont surélevés et des détails d’assemblages permettant la ventilation et évitant la stagnation d’eau sont prévus. Des casses-gouttes sont préconisés aux zones d’évacuation d’eau.</w:t>
      </w:r>
    </w:p>
    <w:p w14:paraId="023EE87B" w14:textId="77777777" w:rsidR="00DB2B68" w:rsidRDefault="00000000">
      <w:pPr>
        <w:pStyle w:val="Author-eSectionHeading6Numberless"/>
      </w:pPr>
      <w:bookmarkStart w:id="1582" w:name="_Toc220496574"/>
      <w:r>
        <w:t>24.12.6a Colonnes en PSL à inertie constante CCTB 01.11</w:t>
      </w:r>
      <w:bookmarkEnd w:id="1582"/>
    </w:p>
    <w:p w14:paraId="42695C99" w14:textId="77777777" w:rsidR="00DB2B68" w:rsidRDefault="00000000">
      <w:pPr>
        <w:pStyle w:val="pheading"/>
      </w:pPr>
      <w:r>
        <w:t>DESCRIPTION</w:t>
      </w:r>
    </w:p>
    <w:p w14:paraId="5F122FFA" w14:textId="77777777" w:rsidR="00DB2B68" w:rsidRDefault="00000000">
      <w:pPr>
        <w:pStyle w:val="pheading"/>
      </w:pPr>
      <w:r>
        <w:t>- Définition / Comprend</w:t>
      </w:r>
    </w:p>
    <w:p w14:paraId="57C764DB" w14:textId="77777777" w:rsidR="00DB2B68" w:rsidRDefault="00000000">
      <w:r>
        <w:t>Il s'agit de l’ensemble des colonnes en PSL et à inertie constante.</w:t>
      </w:r>
    </w:p>
    <w:p w14:paraId="17751A00" w14:textId="77777777" w:rsidR="00DB2B68" w:rsidRDefault="00000000">
      <w:pPr>
        <w:pStyle w:val="pheading"/>
      </w:pPr>
      <w:r>
        <w:t>MATÉRIAUX</w:t>
      </w:r>
    </w:p>
    <w:p w14:paraId="02732FD2" w14:textId="77777777" w:rsidR="00DB2B68" w:rsidRDefault="00000000">
      <w:pPr>
        <w:pStyle w:val="pheading"/>
      </w:pPr>
      <w:r>
        <w:t>- Caractéristiques générales</w:t>
      </w:r>
    </w:p>
    <w:p w14:paraId="17FE3926" w14:textId="77777777" w:rsidR="00DB2B68" w:rsidRDefault="00000000">
      <w:pPr>
        <w:jc w:val="both"/>
      </w:pPr>
      <w:r>
        <w:t xml:space="preserve">Dimensions de la section : </w:t>
      </w:r>
      <w:r>
        <w:rPr>
          <w:rStyle w:val="optioncarChar"/>
        </w:rPr>
        <w:t xml:space="preserve">Voir plans </w:t>
      </w:r>
      <w:r>
        <w:t>(par défaut)</w:t>
      </w:r>
      <w:r>
        <w:rPr>
          <w:rStyle w:val="optioncarChar"/>
        </w:rPr>
        <w:t xml:space="preserve"> / *** x *** mm²</w:t>
      </w:r>
    </w:p>
    <w:p w14:paraId="0EE32094" w14:textId="77777777" w:rsidR="00DB2B68" w:rsidRDefault="00000000">
      <w:pPr>
        <w:jc w:val="both"/>
      </w:pPr>
      <w:r>
        <w:t>Type de PSL :</w:t>
      </w:r>
      <w:r>
        <w:rPr>
          <w:rStyle w:val="optioncarChar"/>
        </w:rPr>
        <w:t xml:space="preserve"> S </w:t>
      </w:r>
      <w:r>
        <w:t>(par défaut)</w:t>
      </w:r>
      <w:r>
        <w:rPr>
          <w:rStyle w:val="optioncarChar"/>
        </w:rPr>
        <w:t xml:space="preserve"> / Q</w:t>
      </w:r>
    </w:p>
    <w:p w14:paraId="3A6599F8" w14:textId="77777777" w:rsidR="00DB2B68" w:rsidRDefault="00000000">
      <w:pPr>
        <w:jc w:val="both"/>
      </w:pPr>
      <w:r>
        <w:t>Caractéristiques mécaniques :</w:t>
      </w:r>
    </w:p>
    <w:p w14:paraId="66D08E84" w14:textId="77777777" w:rsidR="00DB2B68" w:rsidRDefault="00000000">
      <w:pPr>
        <w:pStyle w:val="Author-eListParagraph"/>
        <w:numPr>
          <w:ilvl w:val="0"/>
          <w:numId w:val="857"/>
        </w:numPr>
      </w:pPr>
      <w:r>
        <w:t>Résistance minimale en flexion à chant :</w:t>
      </w:r>
      <w:r>
        <w:rPr>
          <w:rStyle w:val="optioncarChar"/>
        </w:rPr>
        <w:t> 40 MPa</w:t>
      </w:r>
      <w:r>
        <w:t> (par défaut)</w:t>
      </w:r>
      <w:r>
        <w:rPr>
          <w:rStyle w:val="optioncarChar"/>
        </w:rPr>
        <w:t> / ***</w:t>
      </w:r>
    </w:p>
    <w:p w14:paraId="69F84C78" w14:textId="77777777" w:rsidR="00DB2B68" w:rsidRDefault="00000000">
      <w:pPr>
        <w:pStyle w:val="Author-eListParagraph"/>
        <w:numPr>
          <w:ilvl w:val="0"/>
          <w:numId w:val="857"/>
        </w:numPr>
      </w:pPr>
      <w:r>
        <w:t>Résistance minimale en flexion à plat : </w:t>
      </w:r>
      <w:r>
        <w:rPr>
          <w:rStyle w:val="optioncarChar"/>
        </w:rPr>
        <w:t>40 MPa </w:t>
      </w:r>
      <w:r>
        <w:t>(par défaut) </w:t>
      </w:r>
      <w:r>
        <w:rPr>
          <w:rStyle w:val="optioncarChar"/>
        </w:rPr>
        <w:t>/ ***</w:t>
      </w:r>
    </w:p>
    <w:p w14:paraId="759A94B9" w14:textId="77777777" w:rsidR="00DB2B68" w:rsidRDefault="00000000">
      <w:pPr>
        <w:pStyle w:val="Author-eListParagraph"/>
        <w:numPr>
          <w:ilvl w:val="0"/>
          <w:numId w:val="857"/>
        </w:numPr>
      </w:pPr>
      <w:r>
        <w:t>Résistance minimale en traction parallèle au fil du bois : </w:t>
      </w:r>
      <w:r>
        <w:rPr>
          <w:rStyle w:val="optioncarChar"/>
        </w:rPr>
        <w:t>30 MPa </w:t>
      </w:r>
      <w:r>
        <w:t>(par défaut)</w:t>
      </w:r>
      <w:r>
        <w:rPr>
          <w:rStyle w:val="optioncarChar"/>
        </w:rPr>
        <w:t> / ***</w:t>
      </w:r>
    </w:p>
    <w:p w14:paraId="46486415" w14:textId="77777777" w:rsidR="00DB2B68" w:rsidRDefault="00000000">
      <w:pPr>
        <w:pStyle w:val="Author-eListParagraph"/>
        <w:numPr>
          <w:ilvl w:val="0"/>
          <w:numId w:val="857"/>
        </w:numPr>
      </w:pPr>
      <w:r>
        <w:t>Résistance minimale en compression parallèle au fil du bois : </w:t>
      </w:r>
      <w:r>
        <w:rPr>
          <w:rStyle w:val="optioncarChar"/>
        </w:rPr>
        <w:t>30 MPa </w:t>
      </w:r>
      <w:r>
        <w:t>(par défaut)</w:t>
      </w:r>
      <w:r>
        <w:rPr>
          <w:rStyle w:val="optioncarChar"/>
        </w:rPr>
        <w:t> / ***</w:t>
      </w:r>
    </w:p>
    <w:p w14:paraId="6234629A" w14:textId="77777777" w:rsidR="00DB2B68" w:rsidRDefault="00000000">
      <w:pPr>
        <w:pStyle w:val="Author-eListParagraph"/>
        <w:numPr>
          <w:ilvl w:val="0"/>
          <w:numId w:val="857"/>
        </w:numPr>
      </w:pPr>
      <w:r>
        <w:t>Résistance minimale en cisaillement à chant :</w:t>
      </w:r>
      <w:r>
        <w:rPr>
          <w:rStyle w:val="optioncarChar"/>
        </w:rPr>
        <w:t> 5 MPa </w:t>
      </w:r>
      <w:r>
        <w:t>(par défaut)</w:t>
      </w:r>
      <w:r>
        <w:rPr>
          <w:rStyle w:val="optioncarChar"/>
        </w:rPr>
        <w:t> / ***</w:t>
      </w:r>
    </w:p>
    <w:p w14:paraId="0EB79A25" w14:textId="77777777" w:rsidR="00DB2B68" w:rsidRDefault="00000000">
      <w:pPr>
        <w:pStyle w:val="Author-eListParagraph"/>
        <w:numPr>
          <w:ilvl w:val="0"/>
          <w:numId w:val="857"/>
        </w:numPr>
      </w:pPr>
      <w:r>
        <w:t>Résistance minimale en cisaillement à plat : </w:t>
      </w:r>
      <w:r>
        <w:rPr>
          <w:rStyle w:val="optioncarChar"/>
        </w:rPr>
        <w:t>4 MPa </w:t>
      </w:r>
      <w:r>
        <w:t>(par défaut)</w:t>
      </w:r>
      <w:r>
        <w:rPr>
          <w:rStyle w:val="optioncarChar"/>
        </w:rPr>
        <w:t> / ***</w:t>
      </w:r>
    </w:p>
    <w:p w14:paraId="34A13C02" w14:textId="77777777" w:rsidR="00DB2B68" w:rsidRDefault="00000000">
      <w:pPr>
        <w:pStyle w:val="Author-eListParagraph"/>
        <w:numPr>
          <w:ilvl w:val="0"/>
          <w:numId w:val="857"/>
        </w:numPr>
      </w:pPr>
      <w:r>
        <w:t>Module d’élasticité minimum parallèle au fil du bois (au fractile 5%) : </w:t>
      </w:r>
      <w:r>
        <w:rPr>
          <w:rStyle w:val="optioncarChar"/>
        </w:rPr>
        <w:t>9 GPa </w:t>
      </w:r>
      <w:r>
        <w:t>(par défaut)</w:t>
      </w:r>
      <w:r>
        <w:rPr>
          <w:rStyle w:val="optioncarChar"/>
        </w:rPr>
        <w:t> / ***</w:t>
      </w:r>
    </w:p>
    <w:p w14:paraId="2887E5E8" w14:textId="77777777" w:rsidR="00DB2B68" w:rsidRDefault="00000000">
      <w:pPr>
        <w:pStyle w:val="Author-eListParagraph"/>
        <w:numPr>
          <w:ilvl w:val="0"/>
          <w:numId w:val="857"/>
        </w:numPr>
      </w:pPr>
      <w:r>
        <w:t>Module de cisaillement à chant : </w:t>
      </w:r>
      <w:r>
        <w:rPr>
          <w:rStyle w:val="optioncarChar"/>
        </w:rPr>
        <w:t>600 MPa </w:t>
      </w:r>
      <w:r>
        <w:t>(par défaut)</w:t>
      </w:r>
      <w:r>
        <w:rPr>
          <w:rStyle w:val="optioncarChar"/>
        </w:rPr>
        <w:t> / ***</w:t>
      </w:r>
    </w:p>
    <w:p w14:paraId="008BAC35" w14:textId="77777777" w:rsidR="00DB2B68" w:rsidRDefault="00000000">
      <w:pPr>
        <w:pStyle w:val="Author-eListParagraph"/>
        <w:numPr>
          <w:ilvl w:val="0"/>
          <w:numId w:val="857"/>
        </w:numPr>
      </w:pPr>
      <w:r>
        <w:t>Module de cisaillement à plat :</w:t>
      </w:r>
      <w:r>
        <w:rPr>
          <w:rStyle w:val="optioncarChar"/>
        </w:rPr>
        <w:t> 400 MPa </w:t>
      </w:r>
      <w:r>
        <w:t>(par défaut)</w:t>
      </w:r>
      <w:r>
        <w:rPr>
          <w:rStyle w:val="optioncarChar"/>
        </w:rPr>
        <w:t> / ***</w:t>
      </w:r>
    </w:p>
    <w:p w14:paraId="095A2634" w14:textId="77777777" w:rsidR="00DB2B68" w:rsidRDefault="00000000">
      <w:pPr>
        <w:jc w:val="both"/>
      </w:pPr>
      <w:r>
        <w:t> Courbure des colonnes :</w:t>
      </w:r>
      <w:r>
        <w:rPr>
          <w:rStyle w:val="optioncarChar"/>
        </w:rPr>
        <w:t xml:space="preserve"> aucune </w:t>
      </w:r>
      <w:r>
        <w:t xml:space="preserve">(par défaut) </w:t>
      </w:r>
      <w:r>
        <w:rPr>
          <w:rStyle w:val="optioncarChar"/>
        </w:rPr>
        <w:t>/ voir plan / ***</w:t>
      </w:r>
    </w:p>
    <w:p w14:paraId="62784E2A" w14:textId="77777777" w:rsidR="00DB2B68" w:rsidRDefault="00000000">
      <w:pPr>
        <w:jc w:val="both"/>
      </w:pPr>
      <w:r>
        <w:t xml:space="preserve">Essence : </w:t>
      </w:r>
      <w:r>
        <w:rPr>
          <w:rStyle w:val="optioncarChar"/>
        </w:rPr>
        <w:t xml:space="preserve">Résineuse </w:t>
      </w:r>
      <w:r>
        <w:t>(par défaut)</w:t>
      </w:r>
      <w:r>
        <w:rPr>
          <w:rStyle w:val="optioncarChar"/>
        </w:rPr>
        <w:t xml:space="preserve"> / feuillue / épicéa / douglas / hêtre / ***</w:t>
      </w:r>
    </w:p>
    <w:p w14:paraId="3C5B8C38" w14:textId="77777777" w:rsidR="00DB2B68" w:rsidRDefault="00000000">
      <w:pPr>
        <w:jc w:val="both"/>
      </w:pPr>
      <w:r>
        <w:t xml:space="preserve">Classe d’emploi : </w:t>
      </w:r>
      <w:r>
        <w:rPr>
          <w:rStyle w:val="optioncarChar"/>
        </w:rPr>
        <w:t>1 / 2 / 3</w:t>
      </w:r>
    </w:p>
    <w:p w14:paraId="1F1F122B" w14:textId="77777777" w:rsidR="00DB2B68" w:rsidRDefault="00000000">
      <w:pPr>
        <w:jc w:val="both"/>
      </w:pPr>
      <w:r>
        <w:t>La classe de durabilité minimale des colonnes en PSL est directement liée à la classe d’emploi.</w:t>
      </w:r>
    </w:p>
    <w:p w14:paraId="0608BC96" w14:textId="77777777" w:rsidR="00DB2B68" w:rsidRDefault="00000000">
      <w:pPr>
        <w:jc w:val="both"/>
      </w:pPr>
      <w:r>
        <w:t xml:space="preserve">Teneur en humidité cible à la livraison et à l’installation des éléments : </w:t>
      </w:r>
      <w:r>
        <w:rPr>
          <w:rStyle w:val="optioncarChar"/>
        </w:rPr>
        <w:t>12 %</w:t>
      </w:r>
      <w:r>
        <w:t xml:space="preserve"> (par défaut) </w:t>
      </w:r>
      <w:r>
        <w:rPr>
          <w:rStyle w:val="optioncarChar"/>
        </w:rPr>
        <w:t>/ 17 % / ***</w:t>
      </w:r>
    </w:p>
    <w:p w14:paraId="18378C7A" w14:textId="77777777" w:rsidR="00DB2B68"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2614F0D3" w14:textId="77777777" w:rsidR="00DB2B68" w:rsidRDefault="00000000">
      <w:pPr>
        <w:pStyle w:val="pheading"/>
      </w:pPr>
      <w:r>
        <w:t>- Finitions</w:t>
      </w:r>
    </w:p>
    <w:p w14:paraId="0C679397" w14:textId="77777777" w:rsidR="00DB2B68" w:rsidRDefault="00000000">
      <w:pPr>
        <w:jc w:val="both"/>
      </w:pPr>
      <w:r>
        <w:t xml:space="preserve">Les colonnes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7C95BF86" w14:textId="77777777" w:rsidR="00DB2B68"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17E17650" w14:textId="77777777" w:rsidR="00DB2B68" w:rsidRDefault="00000000">
      <w:pPr>
        <w:jc w:val="both"/>
      </w:pPr>
      <w:r>
        <w:t xml:space="preserve">Les colonnes en PSL sont </w:t>
      </w:r>
      <w:r>
        <w:rPr>
          <w:rStyle w:val="optioncarChar"/>
        </w:rPr>
        <w:t>sans finitions</w:t>
      </w:r>
      <w:r>
        <w:t xml:space="preserve"> (par défaut)</w:t>
      </w:r>
      <w:r>
        <w:rPr>
          <w:rStyle w:val="optioncarChar"/>
        </w:rPr>
        <w:t xml:space="preserve"> / huilées / vernies / lasurées / peintes / ***</w:t>
      </w:r>
      <w:r>
        <w:t xml:space="preserve"> avant mise en œuvre.</w:t>
      </w:r>
    </w:p>
    <w:p w14:paraId="3F848DA4" w14:textId="77777777" w:rsidR="00DB2B68" w:rsidRDefault="00000000">
      <w:pPr>
        <w:pStyle w:val="pheading"/>
      </w:pPr>
      <w:r>
        <w:t>EXÉCUTION / MISE EN ŒUVRE</w:t>
      </w:r>
    </w:p>
    <w:p w14:paraId="5B3A975B" w14:textId="77777777" w:rsidR="00DB2B68" w:rsidRDefault="00000000">
      <w:pPr>
        <w:pStyle w:val="pheading"/>
      </w:pPr>
      <w:r>
        <w:t>- Prescriptions générales</w:t>
      </w:r>
    </w:p>
    <w:p w14:paraId="71CD6289"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6F4A11DC" w14:textId="77777777" w:rsidR="00DB2B68" w:rsidRDefault="00000000">
      <w:pPr>
        <w:jc w:val="both"/>
      </w:pPr>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14:paraId="079C1AF0" w14:textId="77777777" w:rsidR="00DB2B68" w:rsidRDefault="00000000">
      <w:pPr>
        <w:pStyle w:val="pheading"/>
      </w:pPr>
      <w:r>
        <w:t>MESURAGE</w:t>
      </w:r>
    </w:p>
    <w:p w14:paraId="0AC21FF7" w14:textId="77777777" w:rsidR="00DB2B68" w:rsidRDefault="00000000">
      <w:pPr>
        <w:pStyle w:val="pheading"/>
      </w:pPr>
      <w:r>
        <w:t>- unité de mesure:</w:t>
      </w:r>
    </w:p>
    <w:p w14:paraId="5450F1BD" w14:textId="77777777" w:rsidR="00DB2B68" w:rsidRDefault="00000000">
      <w:r>
        <w:rPr>
          <w:rStyle w:val="optioncarChar"/>
        </w:rPr>
        <w:t>m³ </w:t>
      </w:r>
      <w:r>
        <w:t>(par défaut)</w:t>
      </w:r>
      <w:r>
        <w:rPr>
          <w:rStyle w:val="optioncarChar"/>
        </w:rPr>
        <w:t> / m / pc</w:t>
      </w:r>
    </w:p>
    <w:p w14:paraId="4056C38A" w14:textId="77777777" w:rsidR="00DB2B68" w:rsidRDefault="00000000">
      <w:r>
        <w:rPr>
          <w:b/>
          <w:i/>
        </w:rPr>
        <w:t>(Soit par défaut)</w:t>
      </w:r>
    </w:p>
    <w:p w14:paraId="5B9863D7" w14:textId="77777777" w:rsidR="00DB2B68" w:rsidRDefault="00000000">
      <w:r>
        <w:rPr>
          <w:rStyle w:val="soitChar"/>
        </w:rPr>
        <w:lastRenderedPageBreak/>
        <w:t>1.    m³ </w:t>
      </w:r>
    </w:p>
    <w:p w14:paraId="003B1FBA" w14:textId="77777777" w:rsidR="00DB2B68" w:rsidRDefault="00000000">
      <w:r>
        <w:rPr>
          <w:b/>
          <w:i/>
        </w:rPr>
        <w:t>(Soit)</w:t>
      </w:r>
    </w:p>
    <w:p w14:paraId="773CD645" w14:textId="77777777" w:rsidR="00DB2B68" w:rsidRDefault="00000000">
      <w:r>
        <w:rPr>
          <w:rStyle w:val="soitChar"/>
        </w:rPr>
        <w:t>2.    m </w:t>
      </w:r>
    </w:p>
    <w:p w14:paraId="73F4FBA4" w14:textId="77777777" w:rsidR="00DB2B68" w:rsidRDefault="00000000">
      <w:r>
        <w:rPr>
          <w:b/>
          <w:i/>
        </w:rPr>
        <w:t>(Soit)</w:t>
      </w:r>
    </w:p>
    <w:p w14:paraId="1866C46E" w14:textId="77777777" w:rsidR="00DB2B68" w:rsidRDefault="00000000">
      <w:r>
        <w:rPr>
          <w:rStyle w:val="soitChar"/>
        </w:rPr>
        <w:t>3.    pc</w:t>
      </w:r>
    </w:p>
    <w:p w14:paraId="398A818F" w14:textId="77777777" w:rsidR="00DB2B68" w:rsidRDefault="00000000">
      <w:pPr>
        <w:pStyle w:val="pheading"/>
      </w:pPr>
      <w:r>
        <w:t>- code de mesurage:</w:t>
      </w:r>
    </w:p>
    <w:p w14:paraId="11991D60" w14:textId="77777777" w:rsidR="00DB2B68" w:rsidRDefault="00000000">
      <w:pPr>
        <w:jc w:val="both"/>
      </w:pPr>
      <w:r>
        <w:rPr>
          <w:rStyle w:val="optioncarChar"/>
        </w:rPr>
        <w:t> Volume brut </w:t>
      </w:r>
      <w:r>
        <w:t>(par défaut) </w:t>
      </w:r>
      <w:r>
        <w:rPr>
          <w:rStyle w:val="optioncarChar"/>
        </w:rPr>
        <w:t>/ longueur brute / quantité nette</w:t>
      </w:r>
    </w:p>
    <w:p w14:paraId="3A0897DC" w14:textId="77777777" w:rsidR="00DB2B68" w:rsidRDefault="00000000">
      <w:pPr>
        <w:jc w:val="both"/>
      </w:pPr>
      <w:r>
        <w:rPr>
          <w:b/>
          <w:i/>
        </w:rPr>
        <w:t>(Soit par défaut)</w:t>
      </w:r>
    </w:p>
    <w:p w14:paraId="76B69E4C" w14:textId="77777777" w:rsidR="00DB2B68" w:rsidRDefault="00000000">
      <w:pPr>
        <w:jc w:val="both"/>
      </w:pPr>
      <w:r>
        <w:rPr>
          <w:rStyle w:val="soitChar"/>
        </w:rPr>
        <w:t>1.   </w:t>
      </w:r>
      <w:r>
        <w:rPr>
          <w:rStyle w:val="soitChar"/>
          <w:u w:val="single"/>
        </w:rPr>
        <w:t> Volume brut :</w:t>
      </w:r>
    </w:p>
    <w:p w14:paraId="56E3BF78" w14:textId="77777777" w:rsidR="00DB2B68" w:rsidRDefault="00000000">
      <w:pPr>
        <w:jc w:val="both"/>
      </w:pPr>
      <w:r>
        <w:rPr>
          <w:rStyle w:val="soitChar"/>
        </w:rPr>
        <w:t>Le volume brut d’une colonne est calculé suivant l'épaisseur prescrite au cahier spécial des charges.</w:t>
      </w:r>
    </w:p>
    <w:p w14:paraId="7A355427" w14:textId="77777777" w:rsidR="00DB2B68" w:rsidRDefault="00000000">
      <w:pPr>
        <w:jc w:val="both"/>
      </w:pPr>
      <w:r>
        <w:rPr>
          <w:b/>
          <w:i/>
        </w:rPr>
        <w:t> (Soit)</w:t>
      </w:r>
    </w:p>
    <w:p w14:paraId="6AEA5C25" w14:textId="77777777" w:rsidR="00DB2B68" w:rsidRDefault="00000000">
      <w:pPr>
        <w:jc w:val="both"/>
      </w:pPr>
      <w:r>
        <w:rPr>
          <w:rStyle w:val="soitChar"/>
        </w:rPr>
        <w:t>2.   </w:t>
      </w:r>
      <w:r>
        <w:rPr>
          <w:rStyle w:val="soitChar"/>
          <w:u w:val="single"/>
        </w:rPr>
        <w:t> Longueur brute :</w:t>
      </w:r>
    </w:p>
    <w:p w14:paraId="3BDDDA92"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4916F8DE" w14:textId="77777777" w:rsidR="00DB2B68" w:rsidRDefault="00000000">
      <w:pPr>
        <w:jc w:val="both"/>
      </w:pPr>
      <w:r>
        <w:rPr>
          <w:rStyle w:val="soitChar"/>
        </w:rPr>
        <w:t>La longueur totale des colonnes ayant la même section et les mêmes caractéristiques est comptabilisée.</w:t>
      </w:r>
    </w:p>
    <w:p w14:paraId="115630B9" w14:textId="77777777" w:rsidR="00DB2B68" w:rsidRDefault="00000000">
      <w:pPr>
        <w:jc w:val="both"/>
      </w:pPr>
      <w:r>
        <w:rPr>
          <w:b/>
          <w:i/>
        </w:rPr>
        <w:t> (Soit)</w:t>
      </w:r>
    </w:p>
    <w:p w14:paraId="3297D50B" w14:textId="77777777" w:rsidR="00DB2B68" w:rsidRDefault="00000000">
      <w:pPr>
        <w:jc w:val="both"/>
      </w:pPr>
      <w:r>
        <w:rPr>
          <w:rStyle w:val="soitChar"/>
        </w:rPr>
        <w:t>3.    </w:t>
      </w:r>
      <w:r>
        <w:rPr>
          <w:rStyle w:val="soitChar"/>
          <w:u w:val="single"/>
        </w:rPr>
        <w:t>Quantité nette :</w:t>
      </w:r>
    </w:p>
    <w:p w14:paraId="05D4C471" w14:textId="77777777" w:rsidR="00DB2B68" w:rsidRDefault="00000000">
      <w:pPr>
        <w:jc w:val="both"/>
      </w:pPr>
      <w:r>
        <w:rPr>
          <w:rStyle w:val="soitChar"/>
        </w:rPr>
        <w:t>Le nombre de colonnes ayant les mêmes dimensions et les mêmes caractéristiques est compatibilisé.</w:t>
      </w:r>
    </w:p>
    <w:p w14:paraId="4E80D46E" w14:textId="77777777" w:rsidR="00DB2B68" w:rsidRDefault="00000000">
      <w:pPr>
        <w:pStyle w:val="pheading"/>
      </w:pPr>
      <w:r>
        <w:t>- nature du marché:</w:t>
      </w:r>
    </w:p>
    <w:p w14:paraId="3F624E56" w14:textId="77777777" w:rsidR="00DB2B68" w:rsidRDefault="00000000">
      <w:r>
        <w:rPr>
          <w:rStyle w:val="optioncarChar"/>
        </w:rPr>
        <w:t>QF </w:t>
      </w:r>
      <w:r>
        <w:t>(par défaut) </w:t>
      </w:r>
      <w:r>
        <w:rPr>
          <w:rStyle w:val="optioncarChar"/>
        </w:rPr>
        <w:t>/ QP</w:t>
      </w:r>
    </w:p>
    <w:p w14:paraId="396412EF" w14:textId="77777777" w:rsidR="00DB2B68" w:rsidRDefault="00000000">
      <w:r>
        <w:rPr>
          <w:b/>
          <w:i/>
        </w:rPr>
        <w:t>(Soit par défaut)</w:t>
      </w:r>
    </w:p>
    <w:p w14:paraId="4F371E8F" w14:textId="77777777" w:rsidR="00DB2B68" w:rsidRDefault="00000000">
      <w:r>
        <w:rPr>
          <w:rStyle w:val="soitChar"/>
        </w:rPr>
        <w:t>1.2.3      QF</w:t>
      </w:r>
    </w:p>
    <w:p w14:paraId="109C3596" w14:textId="77777777" w:rsidR="00DB2B68" w:rsidRDefault="00000000">
      <w:r>
        <w:rPr>
          <w:b/>
          <w:i/>
        </w:rPr>
        <w:t>(Soit)</w:t>
      </w:r>
    </w:p>
    <w:p w14:paraId="53C0629B" w14:textId="77777777" w:rsidR="00DB2B68" w:rsidRDefault="00000000">
      <w:r>
        <w:rPr>
          <w:rStyle w:val="soitChar"/>
        </w:rPr>
        <w:t>1.2.3      QP</w:t>
      </w:r>
    </w:p>
    <w:p w14:paraId="1693A71B" w14:textId="77777777" w:rsidR="00DB2B68" w:rsidRDefault="00000000">
      <w:pPr>
        <w:pStyle w:val="pheading"/>
      </w:pPr>
      <w:r>
        <w:t>AIDE</w:t>
      </w:r>
    </w:p>
    <w:p w14:paraId="397E85A2" w14:textId="77777777" w:rsidR="00DB2B68" w:rsidRDefault="00000000">
      <w:pPr>
        <w:jc w:val="both"/>
      </w:pPr>
      <w:r>
        <w:t>Le code suivant peut être utilisé pour la dénomination du poste :</w:t>
      </w:r>
    </w:p>
    <w:p w14:paraId="45D974FD" w14:textId="77777777" w:rsidR="00DB2B68" w:rsidRDefault="00000000">
      <w:pPr>
        <w:jc w:val="both"/>
      </w:pPr>
      <w:r>
        <w:t>PSL 1 / 2 / 3 / 4 / 5</w:t>
      </w:r>
    </w:p>
    <w:p w14:paraId="4269DF48" w14:textId="77777777" w:rsidR="00DB2B68" w:rsidRDefault="00000000">
      <w:pPr>
        <w:jc w:val="both"/>
      </w:pPr>
      <w:r>
        <w:t>Avec :</w:t>
      </w:r>
    </w:p>
    <w:p w14:paraId="72A7B108" w14:textId="77777777" w:rsidR="00DB2B68" w:rsidRDefault="00000000">
      <w:pPr>
        <w:jc w:val="both"/>
      </w:pPr>
      <w:r>
        <w:t>PSL pour bois Parallel strand lumber</w:t>
      </w:r>
    </w:p>
    <w:p w14:paraId="263F84FB" w14:textId="77777777" w:rsidR="00DB2B68" w:rsidRDefault="00000000">
      <w:pPr>
        <w:jc w:val="both"/>
      </w:pPr>
      <w:r>
        <w:t>1 : Type de PSL</w:t>
      </w:r>
    </w:p>
    <w:p w14:paraId="6DDD5B6F" w14:textId="77777777" w:rsidR="00DB2B68" w:rsidRDefault="00000000">
      <w:pPr>
        <w:jc w:val="both"/>
      </w:pPr>
      <w:r>
        <w:t>2 : section de la colonne</w:t>
      </w:r>
    </w:p>
    <w:p w14:paraId="6009B1C0" w14:textId="77777777" w:rsidR="00DB2B68" w:rsidRDefault="00000000">
      <w:pPr>
        <w:jc w:val="both"/>
      </w:pPr>
      <w:r>
        <w:t>3 : L’essence utilisée</w:t>
      </w:r>
    </w:p>
    <w:p w14:paraId="6EF4F979" w14:textId="77777777" w:rsidR="00DB2B68" w:rsidRDefault="00000000">
      <w:pPr>
        <w:jc w:val="both"/>
      </w:pPr>
      <w:r>
        <w:t>4 : la classe d’emploi des colonnes</w:t>
      </w:r>
    </w:p>
    <w:p w14:paraId="47139848" w14:textId="77777777" w:rsidR="00DB2B68" w:rsidRDefault="00000000">
      <w:pPr>
        <w:jc w:val="both"/>
      </w:pPr>
      <w:r>
        <w:t>5 : la méthode utilisée pour garantir la durabilité des colonnes </w:t>
      </w:r>
    </w:p>
    <w:p w14:paraId="55C5EFC6" w14:textId="77777777" w:rsidR="00DB2B68" w:rsidRDefault="00DB2B68">
      <w:pPr>
        <w:jc w:val="both"/>
      </w:pPr>
    </w:p>
    <w:p w14:paraId="258C752B" w14:textId="77777777" w:rsidR="00DB2B68" w:rsidRDefault="00000000">
      <w:pPr>
        <w:jc w:val="both"/>
      </w:pPr>
      <w:r>
        <w:t>Ce qui donne, par exemple :</w:t>
      </w:r>
    </w:p>
    <w:p w14:paraId="1877BE3A" w14:textId="77777777" w:rsidR="00DB2B68" w:rsidRDefault="00000000">
      <w:pPr>
        <w:jc w:val="both"/>
      </w:pPr>
      <w:r>
        <w:t>PSL S / 200 x 90 / épicéa / 2 / A2.2</w:t>
      </w:r>
    </w:p>
    <w:p w14:paraId="44C9751C" w14:textId="77777777" w:rsidR="00DB2B68" w:rsidRDefault="00000000">
      <w:pPr>
        <w:pStyle w:val="Author-eSectionHeading6Numberless"/>
      </w:pPr>
      <w:bookmarkStart w:id="1583" w:name="_Toc220496575"/>
      <w:r>
        <w:t>24.12.6b Colonnes en PSL à inertie variable CCTB 01.11</w:t>
      </w:r>
      <w:bookmarkEnd w:id="1583"/>
    </w:p>
    <w:p w14:paraId="7F9E9C4B" w14:textId="77777777" w:rsidR="00DB2B68" w:rsidRDefault="00000000">
      <w:pPr>
        <w:pStyle w:val="pheading"/>
      </w:pPr>
      <w:r>
        <w:t>DESCRIPTION</w:t>
      </w:r>
    </w:p>
    <w:p w14:paraId="02DEE362" w14:textId="77777777" w:rsidR="00DB2B68" w:rsidRDefault="00000000">
      <w:pPr>
        <w:pStyle w:val="pheading"/>
      </w:pPr>
      <w:r>
        <w:lastRenderedPageBreak/>
        <w:t>- Définition / Comprend</w:t>
      </w:r>
    </w:p>
    <w:p w14:paraId="3BC5DD13" w14:textId="77777777" w:rsidR="00DB2B68" w:rsidRDefault="00000000">
      <w:r>
        <w:t>Il s'agit de l’ensemble des colonnes en PSL et à inertie variable.</w:t>
      </w:r>
    </w:p>
    <w:p w14:paraId="30BEFDC5" w14:textId="77777777" w:rsidR="00DB2B68" w:rsidRDefault="00000000">
      <w:pPr>
        <w:pStyle w:val="pheading"/>
      </w:pPr>
      <w:r>
        <w:t>MATÉRIAUX</w:t>
      </w:r>
    </w:p>
    <w:p w14:paraId="2A1A2D35" w14:textId="77777777" w:rsidR="00DB2B68" w:rsidRDefault="00000000">
      <w:pPr>
        <w:pStyle w:val="pheading"/>
      </w:pPr>
      <w:r>
        <w:t>- Caractéristiques générales</w:t>
      </w:r>
    </w:p>
    <w:p w14:paraId="49451E66" w14:textId="77777777" w:rsidR="00DB2B68" w:rsidRDefault="00000000">
      <w:pPr>
        <w:jc w:val="both"/>
      </w:pPr>
      <w:r>
        <w:t>Type de PSL :</w:t>
      </w:r>
      <w:r>
        <w:rPr>
          <w:rStyle w:val="optioncarChar"/>
        </w:rPr>
        <w:t xml:space="preserve"> S </w:t>
      </w:r>
      <w:r>
        <w:t>(par défaut)</w:t>
      </w:r>
      <w:r>
        <w:rPr>
          <w:rStyle w:val="optioncarChar"/>
        </w:rPr>
        <w:t xml:space="preserve"> / Q</w:t>
      </w:r>
    </w:p>
    <w:p w14:paraId="7BAC0837" w14:textId="77777777" w:rsidR="00DB2B68" w:rsidRDefault="00000000">
      <w:pPr>
        <w:jc w:val="both"/>
      </w:pPr>
      <w:r>
        <w:t>Caractéristiques mécaniques :</w:t>
      </w:r>
    </w:p>
    <w:p w14:paraId="11C42C08" w14:textId="77777777" w:rsidR="00DB2B68" w:rsidRDefault="00000000">
      <w:pPr>
        <w:pStyle w:val="Author-eListParagraph"/>
        <w:numPr>
          <w:ilvl w:val="0"/>
          <w:numId w:val="858"/>
        </w:numPr>
      </w:pPr>
      <w:r>
        <w:t>Résistance minimale en flexion à chant :</w:t>
      </w:r>
      <w:r>
        <w:rPr>
          <w:rStyle w:val="optioncarChar"/>
        </w:rPr>
        <w:t> 40 MPa</w:t>
      </w:r>
      <w:r>
        <w:t> (par défaut)</w:t>
      </w:r>
      <w:r>
        <w:rPr>
          <w:rStyle w:val="optioncarChar"/>
        </w:rPr>
        <w:t> / ***</w:t>
      </w:r>
    </w:p>
    <w:p w14:paraId="2DD9E0BC" w14:textId="77777777" w:rsidR="00DB2B68" w:rsidRDefault="00000000">
      <w:pPr>
        <w:pStyle w:val="Author-eListParagraph"/>
        <w:numPr>
          <w:ilvl w:val="0"/>
          <w:numId w:val="858"/>
        </w:numPr>
      </w:pPr>
      <w:r>
        <w:t>Résistance minimale en flexion à plat : </w:t>
      </w:r>
      <w:r>
        <w:rPr>
          <w:rStyle w:val="optioncarChar"/>
        </w:rPr>
        <w:t>40 MPa </w:t>
      </w:r>
      <w:r>
        <w:t>(par défaut) </w:t>
      </w:r>
      <w:r>
        <w:rPr>
          <w:rStyle w:val="optioncarChar"/>
        </w:rPr>
        <w:t>/ ***</w:t>
      </w:r>
    </w:p>
    <w:p w14:paraId="1A8F5E1F" w14:textId="77777777" w:rsidR="00DB2B68" w:rsidRDefault="00000000">
      <w:pPr>
        <w:pStyle w:val="Author-eListParagraph"/>
        <w:numPr>
          <w:ilvl w:val="0"/>
          <w:numId w:val="858"/>
        </w:numPr>
      </w:pPr>
      <w:r>
        <w:t>Résistance minimale en traction parallèle au fil du bois : </w:t>
      </w:r>
      <w:r>
        <w:rPr>
          <w:rStyle w:val="optioncarChar"/>
        </w:rPr>
        <w:t>30 MPa </w:t>
      </w:r>
      <w:r>
        <w:t>(par défaut)</w:t>
      </w:r>
      <w:r>
        <w:rPr>
          <w:rStyle w:val="optioncarChar"/>
        </w:rPr>
        <w:t> / ***</w:t>
      </w:r>
    </w:p>
    <w:p w14:paraId="091A8C3A" w14:textId="77777777" w:rsidR="00DB2B68" w:rsidRDefault="00000000">
      <w:pPr>
        <w:pStyle w:val="Author-eListParagraph"/>
        <w:numPr>
          <w:ilvl w:val="0"/>
          <w:numId w:val="858"/>
        </w:numPr>
      </w:pPr>
      <w:r>
        <w:t>Résistance minimale en compression parallèle au fil du bois : </w:t>
      </w:r>
      <w:r>
        <w:rPr>
          <w:rStyle w:val="optioncarChar"/>
        </w:rPr>
        <w:t>30 MPa </w:t>
      </w:r>
      <w:r>
        <w:t>(par défaut)</w:t>
      </w:r>
      <w:r>
        <w:rPr>
          <w:rStyle w:val="optioncarChar"/>
        </w:rPr>
        <w:t> / ***</w:t>
      </w:r>
    </w:p>
    <w:p w14:paraId="5A82530D" w14:textId="77777777" w:rsidR="00DB2B68" w:rsidRDefault="00000000">
      <w:pPr>
        <w:pStyle w:val="Author-eListParagraph"/>
        <w:numPr>
          <w:ilvl w:val="0"/>
          <w:numId w:val="858"/>
        </w:numPr>
      </w:pPr>
      <w:r>
        <w:t>Résistance minimale en cisaillement à chant :</w:t>
      </w:r>
      <w:r>
        <w:rPr>
          <w:rStyle w:val="optioncarChar"/>
        </w:rPr>
        <w:t> 5 MPa </w:t>
      </w:r>
      <w:r>
        <w:t>(par défaut)</w:t>
      </w:r>
      <w:r>
        <w:rPr>
          <w:rStyle w:val="optioncarChar"/>
        </w:rPr>
        <w:t> / ***</w:t>
      </w:r>
    </w:p>
    <w:p w14:paraId="54B90C96" w14:textId="77777777" w:rsidR="00DB2B68" w:rsidRDefault="00000000">
      <w:pPr>
        <w:pStyle w:val="Author-eListParagraph"/>
        <w:numPr>
          <w:ilvl w:val="0"/>
          <w:numId w:val="858"/>
        </w:numPr>
      </w:pPr>
      <w:r>
        <w:t>Résistance minimale en cisaillement à plat : </w:t>
      </w:r>
      <w:r>
        <w:rPr>
          <w:rStyle w:val="optioncarChar"/>
        </w:rPr>
        <w:t>4 MPa </w:t>
      </w:r>
      <w:r>
        <w:t>(par défaut)</w:t>
      </w:r>
      <w:r>
        <w:rPr>
          <w:rStyle w:val="optioncarChar"/>
        </w:rPr>
        <w:t> / ***</w:t>
      </w:r>
    </w:p>
    <w:p w14:paraId="5A24C1CA" w14:textId="77777777" w:rsidR="00DB2B68" w:rsidRDefault="00000000">
      <w:pPr>
        <w:pStyle w:val="Author-eListParagraph"/>
        <w:numPr>
          <w:ilvl w:val="0"/>
          <w:numId w:val="858"/>
        </w:numPr>
      </w:pPr>
      <w:r>
        <w:t>Module d’élasticité minimum parallèle au fil du bois (au fractile 5%) : </w:t>
      </w:r>
      <w:r>
        <w:rPr>
          <w:rStyle w:val="optioncarChar"/>
        </w:rPr>
        <w:t>9 GPa </w:t>
      </w:r>
      <w:r>
        <w:t>(par défaut)</w:t>
      </w:r>
      <w:r>
        <w:rPr>
          <w:rStyle w:val="optioncarChar"/>
        </w:rPr>
        <w:t> / ***</w:t>
      </w:r>
    </w:p>
    <w:p w14:paraId="4F2B406B" w14:textId="77777777" w:rsidR="00DB2B68" w:rsidRDefault="00000000">
      <w:pPr>
        <w:pStyle w:val="Author-eListParagraph"/>
        <w:numPr>
          <w:ilvl w:val="0"/>
          <w:numId w:val="858"/>
        </w:numPr>
      </w:pPr>
      <w:r>
        <w:t>Module de cisaillement à chant : </w:t>
      </w:r>
      <w:r>
        <w:rPr>
          <w:rStyle w:val="optioncarChar"/>
        </w:rPr>
        <w:t>600 MPa </w:t>
      </w:r>
      <w:r>
        <w:t>(par défaut)</w:t>
      </w:r>
      <w:r>
        <w:rPr>
          <w:rStyle w:val="optioncarChar"/>
        </w:rPr>
        <w:t> / ***</w:t>
      </w:r>
    </w:p>
    <w:p w14:paraId="49532123" w14:textId="77777777" w:rsidR="00DB2B68" w:rsidRDefault="00000000">
      <w:pPr>
        <w:pStyle w:val="Author-eListParagraph"/>
        <w:numPr>
          <w:ilvl w:val="0"/>
          <w:numId w:val="858"/>
        </w:numPr>
      </w:pPr>
      <w:r>
        <w:t>Module de cisaillement à plat :</w:t>
      </w:r>
      <w:r>
        <w:rPr>
          <w:rStyle w:val="optioncarChar"/>
        </w:rPr>
        <w:t> 400 MPa </w:t>
      </w:r>
      <w:r>
        <w:t>(par défaut)</w:t>
      </w:r>
      <w:r>
        <w:rPr>
          <w:rStyle w:val="optioncarChar"/>
        </w:rPr>
        <w:t> / ***</w:t>
      </w:r>
    </w:p>
    <w:p w14:paraId="152B1482" w14:textId="77777777" w:rsidR="00DB2B68" w:rsidRDefault="00000000">
      <w:pPr>
        <w:jc w:val="both"/>
      </w:pPr>
      <w:r>
        <w:t>La géométrie des colonnes est décrite dans les plans.</w:t>
      </w:r>
    </w:p>
    <w:p w14:paraId="30BE7C12" w14:textId="77777777" w:rsidR="00DB2B68" w:rsidRDefault="00000000">
      <w:pPr>
        <w:jc w:val="both"/>
      </w:pPr>
      <w:r>
        <w:t>Essence :</w:t>
      </w:r>
      <w:r>
        <w:rPr>
          <w:rStyle w:val="optioncarChar"/>
        </w:rPr>
        <w:t xml:space="preserve"> Résineuse</w:t>
      </w:r>
      <w:r>
        <w:t xml:space="preserve"> (par défaut)</w:t>
      </w:r>
      <w:r>
        <w:rPr>
          <w:rStyle w:val="optioncarChar"/>
        </w:rPr>
        <w:t xml:space="preserve"> / feuillue / épicéa / douglas / hêtre / ***</w:t>
      </w:r>
    </w:p>
    <w:p w14:paraId="16AA84E6" w14:textId="77777777" w:rsidR="00DB2B68" w:rsidRDefault="00000000">
      <w:pPr>
        <w:jc w:val="both"/>
      </w:pPr>
      <w:r>
        <w:t xml:space="preserve">Section des colonnes : </w:t>
      </w:r>
      <w:r>
        <w:rPr>
          <w:rStyle w:val="optioncarChar"/>
        </w:rPr>
        <w:t>***</w:t>
      </w:r>
    </w:p>
    <w:p w14:paraId="26B93489" w14:textId="77777777" w:rsidR="00DB2B68" w:rsidRDefault="00000000">
      <w:pPr>
        <w:jc w:val="both"/>
      </w:pPr>
      <w:r>
        <w:t>Classe d’emploi :</w:t>
      </w:r>
      <w:r>
        <w:rPr>
          <w:rStyle w:val="optioncarChar"/>
        </w:rPr>
        <w:t xml:space="preserve"> 1 / 2 / 3</w:t>
      </w:r>
    </w:p>
    <w:p w14:paraId="2A214277" w14:textId="77777777" w:rsidR="00DB2B68" w:rsidRDefault="00000000">
      <w:pPr>
        <w:jc w:val="both"/>
      </w:pPr>
      <w:r>
        <w:t>La classe de durabilité minimale des colonnes en PSL est directement liée à la classe d’emploi.</w:t>
      </w:r>
    </w:p>
    <w:p w14:paraId="58FF88C6" w14:textId="77777777" w:rsidR="00DB2B68" w:rsidRDefault="00000000">
      <w:pPr>
        <w:jc w:val="both"/>
      </w:pPr>
      <w:r>
        <w:t>Classe d’émission de formaldéhyde : </w:t>
      </w:r>
      <w:r>
        <w:rPr>
          <w:rStyle w:val="optioncarChar"/>
        </w:rPr>
        <w:t xml:space="preserve">E1 </w:t>
      </w:r>
      <w:r>
        <w:t xml:space="preserve">(par défaut) </w:t>
      </w:r>
      <w:r>
        <w:rPr>
          <w:rStyle w:val="optioncarChar"/>
        </w:rPr>
        <w:t>/ E2</w:t>
      </w:r>
    </w:p>
    <w:p w14:paraId="5E2F00F3" w14:textId="77777777" w:rsidR="00DB2B68"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4C444F21" w14:textId="77777777" w:rsidR="00DB2B68" w:rsidRDefault="00000000">
      <w:pPr>
        <w:pStyle w:val="pheading"/>
      </w:pPr>
      <w:r>
        <w:t>- Finitions</w:t>
      </w:r>
    </w:p>
    <w:p w14:paraId="739C918E" w14:textId="77777777" w:rsidR="00DB2B68" w:rsidRDefault="00000000">
      <w:pPr>
        <w:jc w:val="both"/>
      </w:pPr>
      <w:r>
        <w:t xml:space="preserve">Les colonnes en PSL sont </w:t>
      </w:r>
      <w:r>
        <w:rPr>
          <w:rStyle w:val="optioncarChar"/>
        </w:rPr>
        <w:t xml:space="preserve">rabotées </w:t>
      </w:r>
      <w:r>
        <w:t xml:space="preserve">(par défaut) </w:t>
      </w:r>
      <w:r>
        <w:rPr>
          <w:rStyle w:val="optioncarChar"/>
        </w:rPr>
        <w:t>/ poncées / ***</w:t>
      </w:r>
      <w:r>
        <w:t xml:space="preserve"> sur </w:t>
      </w:r>
      <w:r>
        <w:rPr>
          <w:rStyle w:val="optioncarChar"/>
        </w:rPr>
        <w:t>1 / 2</w:t>
      </w:r>
      <w:r>
        <w:t xml:space="preserve"> (par défaut) faces</w:t>
      </w:r>
    </w:p>
    <w:p w14:paraId="5888FC5B" w14:textId="77777777" w:rsidR="00DB2B68" w:rsidRDefault="00000000">
      <w:pPr>
        <w:jc w:val="both"/>
      </w:pPr>
      <w:r>
        <w:t>Les arrêtes sont</w:t>
      </w:r>
      <w:r>
        <w:rPr>
          <w:rStyle w:val="optioncarChar"/>
        </w:rPr>
        <w:t xml:space="preserve"> vives </w:t>
      </w:r>
      <w:r>
        <w:t>(par défaut)</w:t>
      </w:r>
      <w:r>
        <w:rPr>
          <w:rStyle w:val="optioncarChar"/>
        </w:rPr>
        <w:t xml:space="preserve"> / chanfreinées / ***</w:t>
      </w:r>
    </w:p>
    <w:p w14:paraId="1A460DFF" w14:textId="77777777" w:rsidR="00DB2B68" w:rsidRDefault="00000000">
      <w:pPr>
        <w:jc w:val="both"/>
      </w:pPr>
      <w:r>
        <w:t xml:space="preserve">Les colonnes en PSL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0C93A870" w14:textId="77777777" w:rsidR="00DB2B68" w:rsidRDefault="00000000">
      <w:pPr>
        <w:pStyle w:val="pheading"/>
      </w:pPr>
      <w:r>
        <w:t>EXÉCUTION / MISE EN ŒUVRE</w:t>
      </w:r>
    </w:p>
    <w:p w14:paraId="17B17807" w14:textId="77777777" w:rsidR="00DB2B68" w:rsidRDefault="00000000">
      <w:pPr>
        <w:pStyle w:val="pheading"/>
      </w:pPr>
      <w:r>
        <w:t>- Prescriptions générales</w:t>
      </w:r>
    </w:p>
    <w:p w14:paraId="0E5665E2"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238F5191" w14:textId="77777777" w:rsidR="00DB2B68" w:rsidRDefault="00000000">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4C38DF92" w14:textId="77777777" w:rsidR="00DB2B68" w:rsidRDefault="00000000">
      <w:pPr>
        <w:pStyle w:val="pheading"/>
      </w:pPr>
      <w:r>
        <w:t>MESURAGE</w:t>
      </w:r>
    </w:p>
    <w:p w14:paraId="3CE5D136" w14:textId="77777777" w:rsidR="00DB2B68" w:rsidRDefault="00000000">
      <w:pPr>
        <w:pStyle w:val="pheading"/>
      </w:pPr>
      <w:r>
        <w:t>- unité de mesure:</w:t>
      </w:r>
    </w:p>
    <w:p w14:paraId="5797D10B" w14:textId="77777777" w:rsidR="00DB2B68" w:rsidRDefault="00000000">
      <w:r>
        <w:rPr>
          <w:rStyle w:val="optioncarChar"/>
        </w:rPr>
        <w:t>m³ </w:t>
      </w:r>
      <w:r>
        <w:t>(par défaut)</w:t>
      </w:r>
      <w:r>
        <w:rPr>
          <w:rStyle w:val="optioncarChar"/>
        </w:rPr>
        <w:t> / m / pc</w:t>
      </w:r>
    </w:p>
    <w:p w14:paraId="763B7752" w14:textId="77777777" w:rsidR="00DB2B68" w:rsidRDefault="00000000">
      <w:r>
        <w:rPr>
          <w:b/>
          <w:i/>
        </w:rPr>
        <w:t>(Soit par défaut)</w:t>
      </w:r>
    </w:p>
    <w:p w14:paraId="625D8D4F" w14:textId="77777777" w:rsidR="00DB2B68" w:rsidRDefault="00000000">
      <w:r>
        <w:rPr>
          <w:rStyle w:val="soitChar"/>
        </w:rPr>
        <w:t>1.    m³ </w:t>
      </w:r>
    </w:p>
    <w:p w14:paraId="3A02E7BE" w14:textId="77777777" w:rsidR="00DB2B68" w:rsidRDefault="00000000">
      <w:r>
        <w:rPr>
          <w:b/>
          <w:i/>
        </w:rPr>
        <w:t>(Soit)</w:t>
      </w:r>
    </w:p>
    <w:p w14:paraId="1C8127E9" w14:textId="77777777" w:rsidR="00DB2B68" w:rsidRDefault="00000000">
      <w:r>
        <w:rPr>
          <w:rStyle w:val="soitChar"/>
        </w:rPr>
        <w:t>2.    m </w:t>
      </w:r>
    </w:p>
    <w:p w14:paraId="21E4DEDA" w14:textId="77777777" w:rsidR="00DB2B68" w:rsidRDefault="00000000">
      <w:r>
        <w:rPr>
          <w:b/>
          <w:i/>
        </w:rPr>
        <w:t>(Soit)</w:t>
      </w:r>
    </w:p>
    <w:p w14:paraId="6446166D" w14:textId="77777777" w:rsidR="00DB2B68" w:rsidRDefault="00000000">
      <w:r>
        <w:rPr>
          <w:rStyle w:val="soitChar"/>
        </w:rPr>
        <w:t>3.    pc</w:t>
      </w:r>
    </w:p>
    <w:p w14:paraId="6FD74D81" w14:textId="77777777" w:rsidR="00DB2B68" w:rsidRDefault="00000000">
      <w:pPr>
        <w:pStyle w:val="pheading"/>
      </w:pPr>
      <w:r>
        <w:lastRenderedPageBreak/>
        <w:t>- code de mesurage:</w:t>
      </w:r>
    </w:p>
    <w:p w14:paraId="31C53C02" w14:textId="77777777" w:rsidR="00DB2B68" w:rsidRDefault="00000000">
      <w:pPr>
        <w:jc w:val="both"/>
      </w:pPr>
      <w:r>
        <w:rPr>
          <w:rStyle w:val="optioncarChar"/>
        </w:rPr>
        <w:t> Volume brut </w:t>
      </w:r>
      <w:r>
        <w:t>(par défaut) </w:t>
      </w:r>
      <w:r>
        <w:rPr>
          <w:rStyle w:val="optioncarChar"/>
        </w:rPr>
        <w:t>/ longueur brute / quantité nette</w:t>
      </w:r>
    </w:p>
    <w:p w14:paraId="769BF329" w14:textId="77777777" w:rsidR="00DB2B68" w:rsidRDefault="00000000">
      <w:pPr>
        <w:jc w:val="both"/>
      </w:pPr>
      <w:r>
        <w:rPr>
          <w:b/>
          <w:i/>
        </w:rPr>
        <w:t>(Soit par défaut)</w:t>
      </w:r>
    </w:p>
    <w:p w14:paraId="57CC7550" w14:textId="77777777" w:rsidR="00DB2B68" w:rsidRDefault="00000000">
      <w:pPr>
        <w:jc w:val="both"/>
      </w:pPr>
      <w:r>
        <w:rPr>
          <w:rStyle w:val="soitChar"/>
        </w:rPr>
        <w:t>1.   </w:t>
      </w:r>
      <w:r>
        <w:rPr>
          <w:rStyle w:val="soitChar"/>
          <w:u w:val="single"/>
        </w:rPr>
        <w:t> Volume brut :</w:t>
      </w:r>
    </w:p>
    <w:p w14:paraId="59BD5CFF" w14:textId="77777777" w:rsidR="00DB2B68" w:rsidRDefault="00000000">
      <w:pPr>
        <w:jc w:val="both"/>
      </w:pPr>
      <w:r>
        <w:rPr>
          <w:rStyle w:val="soitChar"/>
        </w:rPr>
        <w:t>Le volume brut d’une colonne est calculé suivant le volume du plus petit parallélépipède rectangle pouvant inclure l’élément.</w:t>
      </w:r>
    </w:p>
    <w:p w14:paraId="50A581CC" w14:textId="77777777" w:rsidR="00DB2B68" w:rsidRDefault="00000000">
      <w:pPr>
        <w:jc w:val="both"/>
      </w:pPr>
      <w:r>
        <w:rPr>
          <w:b/>
          <w:i/>
        </w:rPr>
        <w:t> (Soit)</w:t>
      </w:r>
    </w:p>
    <w:p w14:paraId="78713CCF" w14:textId="77777777" w:rsidR="00DB2B68" w:rsidRDefault="00000000">
      <w:pPr>
        <w:jc w:val="both"/>
      </w:pPr>
      <w:r>
        <w:rPr>
          <w:rStyle w:val="soitChar"/>
        </w:rPr>
        <w:t>2.   </w:t>
      </w:r>
      <w:r>
        <w:rPr>
          <w:rStyle w:val="soitChar"/>
          <w:u w:val="single"/>
        </w:rPr>
        <w:t> Longueur brute :</w:t>
      </w:r>
    </w:p>
    <w:p w14:paraId="2B36B8E7"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6D603860" w14:textId="77777777" w:rsidR="00DB2B68" w:rsidRDefault="00000000">
      <w:pPr>
        <w:jc w:val="both"/>
      </w:pPr>
      <w:r>
        <w:rPr>
          <w:rStyle w:val="soitChar"/>
        </w:rPr>
        <w:t>La longueur totale des colonnes ayant la même section et les mêmes caractéristiques est comptabilisée.</w:t>
      </w:r>
    </w:p>
    <w:p w14:paraId="1F5FBF80" w14:textId="77777777" w:rsidR="00DB2B68" w:rsidRDefault="00000000">
      <w:pPr>
        <w:jc w:val="both"/>
      </w:pPr>
      <w:r>
        <w:rPr>
          <w:b/>
          <w:i/>
        </w:rPr>
        <w:t> (Soit)</w:t>
      </w:r>
    </w:p>
    <w:p w14:paraId="37425875" w14:textId="77777777" w:rsidR="00DB2B68" w:rsidRDefault="00000000">
      <w:pPr>
        <w:jc w:val="both"/>
      </w:pPr>
      <w:r>
        <w:rPr>
          <w:rStyle w:val="soitChar"/>
        </w:rPr>
        <w:t>3.    </w:t>
      </w:r>
      <w:r>
        <w:rPr>
          <w:rStyle w:val="soitChar"/>
          <w:u w:val="single"/>
        </w:rPr>
        <w:t>Quantité nette :</w:t>
      </w:r>
    </w:p>
    <w:p w14:paraId="07485ADF" w14:textId="77777777" w:rsidR="00DB2B68" w:rsidRDefault="00000000">
      <w:pPr>
        <w:jc w:val="both"/>
      </w:pPr>
      <w:r>
        <w:rPr>
          <w:rStyle w:val="soitChar"/>
        </w:rPr>
        <w:t>Le nombre de colonnes ayant les mêmes dimensions et les mêmes caractéristiques est compatibilisé.</w:t>
      </w:r>
    </w:p>
    <w:p w14:paraId="7DD2D2BB" w14:textId="77777777" w:rsidR="00DB2B68" w:rsidRDefault="00000000">
      <w:pPr>
        <w:pStyle w:val="pheading"/>
      </w:pPr>
      <w:r>
        <w:t>- nature du marché:</w:t>
      </w:r>
    </w:p>
    <w:p w14:paraId="1BEB5934" w14:textId="77777777" w:rsidR="00DB2B68" w:rsidRDefault="00000000">
      <w:r>
        <w:rPr>
          <w:rStyle w:val="optioncarChar"/>
        </w:rPr>
        <w:t>QF </w:t>
      </w:r>
      <w:r>
        <w:t>(par défaut)</w:t>
      </w:r>
      <w:r>
        <w:rPr>
          <w:rStyle w:val="optioncarChar"/>
        </w:rPr>
        <w:t> / QP</w:t>
      </w:r>
    </w:p>
    <w:p w14:paraId="2EC9F0BD" w14:textId="77777777" w:rsidR="00DB2B68" w:rsidRDefault="00000000">
      <w:r>
        <w:rPr>
          <w:b/>
          <w:i/>
        </w:rPr>
        <w:t>(Soit par défaut)</w:t>
      </w:r>
    </w:p>
    <w:p w14:paraId="14255C21" w14:textId="77777777" w:rsidR="00DB2B68" w:rsidRDefault="00000000">
      <w:r>
        <w:rPr>
          <w:rStyle w:val="soitChar"/>
        </w:rPr>
        <w:t>1.2.3      QF</w:t>
      </w:r>
    </w:p>
    <w:p w14:paraId="784C0CD1" w14:textId="77777777" w:rsidR="00DB2B68" w:rsidRDefault="00000000">
      <w:r>
        <w:rPr>
          <w:b/>
          <w:i/>
        </w:rPr>
        <w:t>(Soit)</w:t>
      </w:r>
    </w:p>
    <w:p w14:paraId="18949BEC" w14:textId="77777777" w:rsidR="00DB2B68" w:rsidRDefault="00000000">
      <w:r>
        <w:rPr>
          <w:rStyle w:val="soitChar"/>
        </w:rPr>
        <w:t>1.2.3      QP</w:t>
      </w:r>
    </w:p>
    <w:p w14:paraId="182E7917" w14:textId="77777777" w:rsidR="00DB2B68" w:rsidRDefault="00000000">
      <w:pPr>
        <w:pStyle w:val="pheading"/>
      </w:pPr>
      <w:r>
        <w:t>AIDE</w:t>
      </w:r>
    </w:p>
    <w:p w14:paraId="49E81E5A" w14:textId="77777777" w:rsidR="00DB2B68" w:rsidRDefault="00000000">
      <w:pPr>
        <w:jc w:val="both"/>
      </w:pPr>
      <w:r>
        <w:t>Le code suivant peut être utilisé pour la dénomination du poste :</w:t>
      </w:r>
    </w:p>
    <w:p w14:paraId="68E148F8" w14:textId="77777777" w:rsidR="00DB2B68" w:rsidRDefault="00000000">
      <w:pPr>
        <w:jc w:val="both"/>
      </w:pPr>
      <w:r>
        <w:t>PSL 1 / 2 / 3 / 4 / 5</w:t>
      </w:r>
    </w:p>
    <w:p w14:paraId="25B94FFA" w14:textId="77777777" w:rsidR="00DB2B68" w:rsidRDefault="00000000">
      <w:pPr>
        <w:jc w:val="both"/>
      </w:pPr>
      <w:r>
        <w:t>Avec :</w:t>
      </w:r>
    </w:p>
    <w:p w14:paraId="513DE34A" w14:textId="77777777" w:rsidR="00DB2B68" w:rsidRDefault="00000000">
      <w:pPr>
        <w:jc w:val="both"/>
      </w:pPr>
      <w:r>
        <w:t>PSL pour bois laminated veneer lumber</w:t>
      </w:r>
    </w:p>
    <w:p w14:paraId="4E4573EF" w14:textId="77777777" w:rsidR="00DB2B68" w:rsidRDefault="00000000">
      <w:pPr>
        <w:jc w:val="both"/>
      </w:pPr>
      <w:r>
        <w:t>1 : Type de PSL</w:t>
      </w:r>
    </w:p>
    <w:p w14:paraId="597D80CC" w14:textId="77777777" w:rsidR="00DB2B68" w:rsidRDefault="00000000">
      <w:pPr>
        <w:jc w:val="both"/>
      </w:pPr>
      <w:r>
        <w:t>2 : section de la colonne</w:t>
      </w:r>
    </w:p>
    <w:p w14:paraId="3EC2FE4E" w14:textId="77777777" w:rsidR="00DB2B68" w:rsidRDefault="00000000">
      <w:pPr>
        <w:jc w:val="both"/>
      </w:pPr>
      <w:r>
        <w:t>3 : L’essence utilisée</w:t>
      </w:r>
    </w:p>
    <w:p w14:paraId="59A2DB43" w14:textId="77777777" w:rsidR="00DB2B68" w:rsidRDefault="00000000">
      <w:pPr>
        <w:jc w:val="both"/>
      </w:pPr>
      <w:r>
        <w:t>4 : la classe d’emploi des colonnes</w:t>
      </w:r>
    </w:p>
    <w:p w14:paraId="57C28CE1" w14:textId="77777777" w:rsidR="00DB2B68" w:rsidRDefault="00000000">
      <w:pPr>
        <w:jc w:val="both"/>
      </w:pPr>
      <w:r>
        <w:t>5 : la méthode utilisée pour garantir la durabilité des colonnes</w:t>
      </w:r>
    </w:p>
    <w:p w14:paraId="5DA37106" w14:textId="77777777" w:rsidR="00DB2B68" w:rsidRDefault="00000000">
      <w:pPr>
        <w:jc w:val="both"/>
      </w:pPr>
      <w:r>
        <w:t> </w:t>
      </w:r>
    </w:p>
    <w:p w14:paraId="6233D27D" w14:textId="77777777" w:rsidR="00DB2B68" w:rsidRDefault="00000000">
      <w:pPr>
        <w:jc w:val="both"/>
      </w:pPr>
      <w:r>
        <w:t>Ce qui donne, par exemple :</w:t>
      </w:r>
    </w:p>
    <w:p w14:paraId="791EE10B" w14:textId="77777777" w:rsidR="00DB2B68" w:rsidRDefault="00000000">
      <w:pPr>
        <w:jc w:val="both"/>
      </w:pPr>
      <w:r>
        <w:t>PSL S / voir plan / épicéa / 2 / A2.2</w:t>
      </w:r>
    </w:p>
    <w:p w14:paraId="30AC68D2" w14:textId="77777777" w:rsidR="00DB2B68" w:rsidRDefault="00000000">
      <w:pPr>
        <w:pStyle w:val="Author-eSectionHeading5Numberless"/>
      </w:pPr>
      <w:bookmarkStart w:id="1584" w:name="_Toc220496576"/>
      <w:r>
        <w:t>24.12.7 Colonnes faites de produits manufacturés en bois CCTB 01.07</w:t>
      </w:r>
      <w:bookmarkEnd w:id="1584"/>
    </w:p>
    <w:p w14:paraId="613E03A6" w14:textId="77777777" w:rsidR="00DB2B68" w:rsidRDefault="00000000">
      <w:pPr>
        <w:pStyle w:val="Author-eSectionHeading6Numberless"/>
      </w:pPr>
      <w:bookmarkStart w:id="1585" w:name="_Toc220496577"/>
      <w:r>
        <w:t>24.12.7a Colonnes faites de profilés en I à âme en bois CCTB 01.07</w:t>
      </w:r>
      <w:bookmarkEnd w:id="1585"/>
    </w:p>
    <w:p w14:paraId="231EDC76" w14:textId="77777777" w:rsidR="00DB2B68" w:rsidRDefault="00000000">
      <w:pPr>
        <w:pStyle w:val="pheading"/>
      </w:pPr>
      <w:r>
        <w:t>MESURAGE</w:t>
      </w:r>
    </w:p>
    <w:p w14:paraId="71FC5695" w14:textId="77777777" w:rsidR="00DB2B68" w:rsidRDefault="00000000">
      <w:pPr>
        <w:pStyle w:val="pheading"/>
      </w:pPr>
      <w:r>
        <w:t>- unité de mesure:</w:t>
      </w:r>
    </w:p>
    <w:p w14:paraId="78928969" w14:textId="77777777" w:rsidR="00DB2B68" w:rsidRDefault="00000000">
      <w:r>
        <w:rPr>
          <w:rStyle w:val="optioncarChar"/>
        </w:rPr>
        <w:t xml:space="preserve">m </w:t>
      </w:r>
      <w:r>
        <w:t xml:space="preserve">(par défaut) </w:t>
      </w:r>
      <w:r>
        <w:rPr>
          <w:rStyle w:val="optioncarChar"/>
        </w:rPr>
        <w:t>/ pc</w:t>
      </w:r>
    </w:p>
    <w:p w14:paraId="28AE87F1" w14:textId="77777777" w:rsidR="00DB2B68" w:rsidRDefault="00000000">
      <w:r>
        <w:rPr>
          <w:b/>
          <w:i/>
        </w:rPr>
        <w:t>(Soit par défaut)</w:t>
      </w:r>
    </w:p>
    <w:p w14:paraId="4AA1F9B3" w14:textId="77777777" w:rsidR="00DB2B68" w:rsidRDefault="00000000">
      <w:r>
        <w:rPr>
          <w:rStyle w:val="soitChar"/>
        </w:rPr>
        <w:lastRenderedPageBreak/>
        <w:t>1.    m </w:t>
      </w:r>
    </w:p>
    <w:p w14:paraId="42F51700" w14:textId="77777777" w:rsidR="00DB2B68" w:rsidRDefault="00000000">
      <w:r>
        <w:rPr>
          <w:b/>
          <w:i/>
        </w:rPr>
        <w:t>(Soit)</w:t>
      </w:r>
    </w:p>
    <w:p w14:paraId="4F804612" w14:textId="77777777" w:rsidR="00DB2B68" w:rsidRDefault="00000000">
      <w:r>
        <w:rPr>
          <w:rStyle w:val="soitChar"/>
        </w:rPr>
        <w:t>2.    pc</w:t>
      </w:r>
    </w:p>
    <w:p w14:paraId="070D1009" w14:textId="77777777" w:rsidR="00DB2B68" w:rsidRDefault="00000000">
      <w:pPr>
        <w:pStyle w:val="pheading"/>
      </w:pPr>
      <w:r>
        <w:t>- code de mesurage:</w:t>
      </w:r>
    </w:p>
    <w:p w14:paraId="1B2CE78A" w14:textId="77777777" w:rsidR="00DB2B68" w:rsidRDefault="00000000">
      <w:pPr>
        <w:jc w:val="both"/>
      </w:pPr>
      <w:r>
        <w:rPr>
          <w:rStyle w:val="optioncarChar"/>
        </w:rPr>
        <w:t xml:space="preserve">Longueur brute </w:t>
      </w:r>
      <w:r>
        <w:t>(par défaut)</w:t>
      </w:r>
      <w:r>
        <w:rPr>
          <w:rStyle w:val="optioncarChar"/>
        </w:rPr>
        <w:t xml:space="preserve"> / Quantité nette</w:t>
      </w:r>
    </w:p>
    <w:p w14:paraId="24BB4A70" w14:textId="77777777" w:rsidR="00DB2B68" w:rsidRDefault="00000000">
      <w:pPr>
        <w:jc w:val="both"/>
      </w:pPr>
      <w:r>
        <w:rPr>
          <w:b/>
          <w:i/>
        </w:rPr>
        <w:t>(Soit par défaut)</w:t>
      </w:r>
    </w:p>
    <w:p w14:paraId="40237218" w14:textId="77777777" w:rsidR="00DB2B68" w:rsidRDefault="00000000">
      <w:pPr>
        <w:jc w:val="both"/>
      </w:pPr>
      <w:r>
        <w:rPr>
          <w:rStyle w:val="soitChar"/>
        </w:rPr>
        <w:t xml:space="preserve">1.    </w:t>
      </w:r>
      <w:r>
        <w:rPr>
          <w:rStyle w:val="soitChar"/>
          <w:u w:val="single"/>
        </w:rPr>
        <w:t>Longueur brute :</w:t>
      </w:r>
    </w:p>
    <w:p w14:paraId="2ADCE088" w14:textId="77777777" w:rsidR="00DB2B68" w:rsidRDefault="00000000">
      <w:pPr>
        <w:jc w:val="both"/>
      </w:pPr>
      <w:r>
        <w:rPr>
          <w:rStyle w:val="soitChar"/>
        </w:rPr>
        <w:t>La longueur brute d’un élément est la cote maximale dans la direction longitudinale, longueur de bois utile pour l’assemblage comprise.</w:t>
      </w:r>
    </w:p>
    <w:p w14:paraId="769E84C4" w14:textId="77777777" w:rsidR="00DB2B68" w:rsidRDefault="00000000">
      <w:pPr>
        <w:jc w:val="both"/>
      </w:pPr>
      <w:r>
        <w:rPr>
          <w:rStyle w:val="soitChar"/>
        </w:rPr>
        <w:t>La longueur totale des colonnes ayant la même section et les mêmes caractéristiques est comptabilisée.</w:t>
      </w:r>
    </w:p>
    <w:p w14:paraId="3A58385B" w14:textId="77777777" w:rsidR="00DB2B68" w:rsidRDefault="00000000">
      <w:pPr>
        <w:jc w:val="both"/>
      </w:pPr>
      <w:r>
        <w:rPr>
          <w:b/>
          <w:i/>
        </w:rPr>
        <w:t> (Soit)</w:t>
      </w:r>
    </w:p>
    <w:p w14:paraId="6576DD4A" w14:textId="77777777" w:rsidR="00DB2B68" w:rsidRDefault="00000000">
      <w:pPr>
        <w:jc w:val="both"/>
      </w:pPr>
      <w:r>
        <w:rPr>
          <w:rStyle w:val="soitChar"/>
        </w:rPr>
        <w:t xml:space="preserve">2.    </w:t>
      </w:r>
      <w:r>
        <w:rPr>
          <w:rStyle w:val="soitChar"/>
          <w:u w:val="single"/>
        </w:rPr>
        <w:t>Quantité nette :</w:t>
      </w:r>
    </w:p>
    <w:p w14:paraId="1C143EBF" w14:textId="77777777" w:rsidR="00DB2B68" w:rsidRDefault="00000000">
      <w:pPr>
        <w:jc w:val="both"/>
      </w:pPr>
      <w:r>
        <w:rPr>
          <w:rStyle w:val="soitChar"/>
        </w:rPr>
        <w:t>Le nombre de colonnes ayant les mêmes dimensions et les mêmes caractéristiques est compatibilisé.</w:t>
      </w:r>
    </w:p>
    <w:p w14:paraId="4FB7D737" w14:textId="77777777" w:rsidR="00DB2B68" w:rsidRDefault="00000000">
      <w:pPr>
        <w:pStyle w:val="pheading"/>
      </w:pPr>
      <w:r>
        <w:t>- nature du marché:</w:t>
      </w:r>
    </w:p>
    <w:p w14:paraId="5AC82ACD" w14:textId="77777777" w:rsidR="00DB2B68" w:rsidRDefault="00000000">
      <w:r>
        <w:rPr>
          <w:rStyle w:val="optioncarChar"/>
        </w:rPr>
        <w:t xml:space="preserve">QF </w:t>
      </w:r>
      <w:r>
        <w:t xml:space="preserve">(par défaut) </w:t>
      </w:r>
      <w:r>
        <w:rPr>
          <w:rStyle w:val="optioncarChar"/>
        </w:rPr>
        <w:t>/ QP</w:t>
      </w:r>
    </w:p>
    <w:p w14:paraId="4C1EE1CC" w14:textId="77777777" w:rsidR="00DB2B68" w:rsidRDefault="00000000">
      <w:r>
        <w:rPr>
          <w:b/>
          <w:i/>
        </w:rPr>
        <w:t>(Soit par défaut)</w:t>
      </w:r>
    </w:p>
    <w:p w14:paraId="57C93B74" w14:textId="77777777" w:rsidR="00DB2B68" w:rsidRDefault="00000000">
      <w:r>
        <w:rPr>
          <w:rStyle w:val="soitChar"/>
        </w:rPr>
        <w:t>1.2      QF</w:t>
      </w:r>
    </w:p>
    <w:p w14:paraId="5DFAC401" w14:textId="77777777" w:rsidR="00DB2B68" w:rsidRDefault="00000000">
      <w:r>
        <w:rPr>
          <w:b/>
          <w:i/>
        </w:rPr>
        <w:t>(Soit)</w:t>
      </w:r>
    </w:p>
    <w:p w14:paraId="783E45A8" w14:textId="77777777" w:rsidR="00DB2B68" w:rsidRDefault="00000000">
      <w:r>
        <w:rPr>
          <w:rStyle w:val="soitChar"/>
        </w:rPr>
        <w:t>1.2      QP</w:t>
      </w:r>
    </w:p>
    <w:p w14:paraId="0803426F" w14:textId="77777777" w:rsidR="00DB2B68" w:rsidRDefault="00000000">
      <w:pPr>
        <w:pStyle w:val="Author-eSectionHeading6Numberless"/>
      </w:pPr>
      <w:bookmarkStart w:id="1586" w:name="_Toc220496578"/>
      <w:r>
        <w:t>24.12.7b Colonnes faites de profilés en I à âme métallique CCTB 01.07</w:t>
      </w:r>
      <w:bookmarkEnd w:id="1586"/>
    </w:p>
    <w:p w14:paraId="00184E4E" w14:textId="77777777" w:rsidR="00DB2B68" w:rsidRDefault="00000000">
      <w:pPr>
        <w:pStyle w:val="pheading"/>
      </w:pPr>
      <w:r>
        <w:t>MESURAGE</w:t>
      </w:r>
    </w:p>
    <w:p w14:paraId="3F80BFBB" w14:textId="77777777" w:rsidR="00DB2B68" w:rsidRDefault="00000000">
      <w:pPr>
        <w:pStyle w:val="pheading"/>
      </w:pPr>
      <w:r>
        <w:t>- unité de mesure:</w:t>
      </w:r>
    </w:p>
    <w:p w14:paraId="49484805" w14:textId="77777777" w:rsidR="00DB2B68" w:rsidRDefault="00000000">
      <w:r>
        <w:rPr>
          <w:rStyle w:val="optioncarChar"/>
        </w:rPr>
        <w:t>m </w:t>
      </w:r>
      <w:r>
        <w:t>(par défaut) </w:t>
      </w:r>
      <w:r>
        <w:rPr>
          <w:rStyle w:val="optioncarChar"/>
        </w:rPr>
        <w:t>/ pc</w:t>
      </w:r>
    </w:p>
    <w:p w14:paraId="74FFBC2F" w14:textId="77777777" w:rsidR="00DB2B68" w:rsidRDefault="00000000">
      <w:r>
        <w:rPr>
          <w:b/>
          <w:i/>
        </w:rPr>
        <w:t>(Soit par défaut)</w:t>
      </w:r>
    </w:p>
    <w:p w14:paraId="11E34526" w14:textId="77777777" w:rsidR="00DB2B68" w:rsidRDefault="00000000">
      <w:r>
        <w:rPr>
          <w:rStyle w:val="soitChar"/>
        </w:rPr>
        <w:t>1.    m </w:t>
      </w:r>
    </w:p>
    <w:p w14:paraId="56E06FD6" w14:textId="77777777" w:rsidR="00DB2B68" w:rsidRDefault="00000000">
      <w:r>
        <w:rPr>
          <w:b/>
          <w:i/>
        </w:rPr>
        <w:t>(Soit)</w:t>
      </w:r>
    </w:p>
    <w:p w14:paraId="7B2F44F2" w14:textId="77777777" w:rsidR="00DB2B68" w:rsidRDefault="00000000">
      <w:r>
        <w:rPr>
          <w:rStyle w:val="soitChar"/>
        </w:rPr>
        <w:t>2.    pc</w:t>
      </w:r>
    </w:p>
    <w:p w14:paraId="5F7500CE" w14:textId="77777777" w:rsidR="00DB2B68" w:rsidRDefault="00000000">
      <w:pPr>
        <w:pStyle w:val="pheading"/>
      </w:pPr>
      <w:r>
        <w:t>- code de mesurage:</w:t>
      </w:r>
    </w:p>
    <w:p w14:paraId="26ACD9A5" w14:textId="77777777" w:rsidR="00DB2B68" w:rsidRDefault="00000000">
      <w:r>
        <w:rPr>
          <w:rStyle w:val="optioncarChar"/>
        </w:rPr>
        <w:t>Longueur brute</w:t>
      </w:r>
      <w:r>
        <w:t> (par défaut) </w:t>
      </w:r>
      <w:r>
        <w:rPr>
          <w:rStyle w:val="optioncarChar"/>
        </w:rPr>
        <w:t>/ Quantité nette</w:t>
      </w:r>
    </w:p>
    <w:p w14:paraId="50265D9E" w14:textId="77777777" w:rsidR="00DB2B68" w:rsidRDefault="00000000">
      <w:r>
        <w:rPr>
          <w:b/>
          <w:i/>
        </w:rPr>
        <w:t>(Soit par défaut)</w:t>
      </w:r>
    </w:p>
    <w:p w14:paraId="6AE24598" w14:textId="77777777" w:rsidR="00DB2B68" w:rsidRDefault="00000000">
      <w:r>
        <w:rPr>
          <w:rStyle w:val="soitChar"/>
        </w:rPr>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14:paraId="0594D833" w14:textId="77777777" w:rsidR="00DB2B68" w:rsidRDefault="00000000">
      <w:r>
        <w:rPr>
          <w:b/>
          <w:i/>
        </w:rPr>
        <w:t> (Soit)</w:t>
      </w:r>
    </w:p>
    <w:p w14:paraId="3A36D94B" w14:textId="77777777" w:rsidR="00DB2B68" w:rsidRDefault="00000000">
      <w:r>
        <w:rPr>
          <w:rStyle w:val="soitChar"/>
        </w:rPr>
        <w:t>2.   </w:t>
      </w:r>
      <w:r>
        <w:rPr>
          <w:rStyle w:val="soitChar"/>
          <w:u w:val="single"/>
        </w:rPr>
        <w:t> Quantité nette :</w:t>
      </w:r>
      <w:r>
        <w:br/>
      </w:r>
      <w:r>
        <w:rPr>
          <w:rStyle w:val="soitChar"/>
        </w:rPr>
        <w:t>Le nombre de colonnes ayant les mêmes dimensions et les mêmes caractéristiques est compatibilisé.</w:t>
      </w:r>
    </w:p>
    <w:p w14:paraId="653AF7FF" w14:textId="77777777" w:rsidR="00DB2B68" w:rsidRDefault="00000000">
      <w:pPr>
        <w:pStyle w:val="pheading"/>
      </w:pPr>
      <w:r>
        <w:t>- nature du marché:</w:t>
      </w:r>
    </w:p>
    <w:p w14:paraId="2248E51A" w14:textId="77777777" w:rsidR="00DB2B68" w:rsidRDefault="00000000">
      <w:r>
        <w:rPr>
          <w:rStyle w:val="optioncarChar"/>
        </w:rPr>
        <w:t>QF </w:t>
      </w:r>
      <w:r>
        <w:t>(par défaut) </w:t>
      </w:r>
      <w:r>
        <w:rPr>
          <w:rStyle w:val="optioncarChar"/>
        </w:rPr>
        <w:t>/ QP</w:t>
      </w:r>
    </w:p>
    <w:p w14:paraId="6189ECC3" w14:textId="77777777" w:rsidR="00DB2B68" w:rsidRDefault="00000000">
      <w:r>
        <w:rPr>
          <w:b/>
          <w:i/>
        </w:rPr>
        <w:lastRenderedPageBreak/>
        <w:t>(Soit par défaut)</w:t>
      </w:r>
    </w:p>
    <w:p w14:paraId="034CD846" w14:textId="77777777" w:rsidR="00DB2B68" w:rsidRDefault="00000000">
      <w:r>
        <w:rPr>
          <w:rStyle w:val="soitChar"/>
        </w:rPr>
        <w:t>1.2      QF</w:t>
      </w:r>
    </w:p>
    <w:p w14:paraId="3611AA54" w14:textId="77777777" w:rsidR="00DB2B68" w:rsidRDefault="00000000">
      <w:r>
        <w:rPr>
          <w:b/>
          <w:i/>
        </w:rPr>
        <w:t>(Soit)</w:t>
      </w:r>
    </w:p>
    <w:p w14:paraId="5EC03B7F" w14:textId="77777777" w:rsidR="00DB2B68" w:rsidRDefault="00000000">
      <w:r>
        <w:rPr>
          <w:rStyle w:val="soitChar"/>
        </w:rPr>
        <w:t>1.2      QP</w:t>
      </w:r>
    </w:p>
    <w:p w14:paraId="0FB765F5" w14:textId="77777777" w:rsidR="00DB2B68" w:rsidRDefault="00000000">
      <w:pPr>
        <w:pStyle w:val="Author-eSectionHeading6Numberless"/>
      </w:pPr>
      <w:bookmarkStart w:id="1587" w:name="_Toc220496579"/>
      <w:r>
        <w:t>24.12.7c Colonnes faites de treillis avec diagonales en bois CCTB 01.07</w:t>
      </w:r>
      <w:bookmarkEnd w:id="1587"/>
    </w:p>
    <w:p w14:paraId="09CF3449" w14:textId="77777777" w:rsidR="00DB2B68" w:rsidRDefault="00000000">
      <w:pPr>
        <w:pStyle w:val="pheading"/>
      </w:pPr>
      <w:r>
        <w:t>MESURAGE</w:t>
      </w:r>
    </w:p>
    <w:p w14:paraId="6D15848C" w14:textId="77777777" w:rsidR="00DB2B68" w:rsidRDefault="00000000">
      <w:pPr>
        <w:pStyle w:val="pheading"/>
      </w:pPr>
      <w:r>
        <w:t>- unité de mesure:</w:t>
      </w:r>
    </w:p>
    <w:p w14:paraId="6D8AD941" w14:textId="77777777" w:rsidR="00DB2B68" w:rsidRDefault="00000000">
      <w:r>
        <w:rPr>
          <w:rStyle w:val="optioncarChar"/>
        </w:rPr>
        <w:t>m </w:t>
      </w:r>
      <w:r>
        <w:t>(par défaut)</w:t>
      </w:r>
      <w:r>
        <w:rPr>
          <w:rStyle w:val="optioncarChar"/>
        </w:rPr>
        <w:t> / pc</w:t>
      </w:r>
    </w:p>
    <w:p w14:paraId="02BD901F" w14:textId="77777777" w:rsidR="00DB2B68" w:rsidRDefault="00000000">
      <w:r>
        <w:rPr>
          <w:b/>
          <w:i/>
        </w:rPr>
        <w:t>(Soit par défaut)</w:t>
      </w:r>
    </w:p>
    <w:p w14:paraId="3D4EB254" w14:textId="77777777" w:rsidR="00DB2B68" w:rsidRDefault="00000000">
      <w:r>
        <w:rPr>
          <w:rStyle w:val="soitChar"/>
        </w:rPr>
        <w:t>1.    m </w:t>
      </w:r>
    </w:p>
    <w:p w14:paraId="0F1C1BC9" w14:textId="77777777" w:rsidR="00DB2B68" w:rsidRDefault="00000000">
      <w:r>
        <w:rPr>
          <w:b/>
          <w:i/>
        </w:rPr>
        <w:t>(Soit)</w:t>
      </w:r>
    </w:p>
    <w:p w14:paraId="44629B47" w14:textId="77777777" w:rsidR="00DB2B68" w:rsidRDefault="00000000">
      <w:r>
        <w:rPr>
          <w:rStyle w:val="soitChar"/>
        </w:rPr>
        <w:t>2.    pc</w:t>
      </w:r>
    </w:p>
    <w:p w14:paraId="15EBC18C" w14:textId="77777777" w:rsidR="00DB2B68" w:rsidRDefault="00000000">
      <w:pPr>
        <w:pStyle w:val="pheading"/>
      </w:pPr>
      <w:r>
        <w:t>- code de mesurage:</w:t>
      </w:r>
    </w:p>
    <w:p w14:paraId="106CC7AB" w14:textId="77777777" w:rsidR="00DB2B68" w:rsidRDefault="00000000">
      <w:r>
        <w:rPr>
          <w:rStyle w:val="optioncarChar"/>
        </w:rPr>
        <w:t>Longueur brute </w:t>
      </w:r>
      <w:r>
        <w:t>(par défaut) </w:t>
      </w:r>
      <w:r>
        <w:rPr>
          <w:rStyle w:val="optioncarChar"/>
        </w:rPr>
        <w:t>/ Quantité nette</w:t>
      </w:r>
    </w:p>
    <w:p w14:paraId="38349A40" w14:textId="77777777" w:rsidR="00DB2B68" w:rsidRDefault="00000000">
      <w:r>
        <w:rPr>
          <w:b/>
          <w:i/>
        </w:rPr>
        <w:t>(Soit par défaut)</w:t>
      </w:r>
    </w:p>
    <w:p w14:paraId="550E6CC1" w14:textId="77777777" w:rsidR="00DB2B68" w:rsidRDefault="00000000">
      <w:r>
        <w:rPr>
          <w:rStyle w:val="soitChar"/>
        </w:rPr>
        <w:t>1.   </w:t>
      </w:r>
      <w:r>
        <w:rPr>
          <w:rStyle w:val="soitChar"/>
          <w:u w:val="single"/>
        </w:rPr>
        <w:t> 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14:paraId="256F0A59" w14:textId="77777777" w:rsidR="00DB2B68" w:rsidRDefault="00000000">
      <w:r>
        <w:rPr>
          <w:b/>
          <w:i/>
        </w:rPr>
        <w:t> (Soit)</w:t>
      </w:r>
    </w:p>
    <w:p w14:paraId="2FECB0D4" w14:textId="77777777" w:rsidR="00DB2B68" w:rsidRDefault="00000000">
      <w:r>
        <w:rPr>
          <w:rStyle w:val="soitChar"/>
        </w:rPr>
        <w:t xml:space="preserve">2.  </w:t>
      </w:r>
      <w:r>
        <w:rPr>
          <w:rStyle w:val="soitChar"/>
          <w:u w:val="single"/>
        </w:rPr>
        <w:t>  Quantité nette :</w:t>
      </w:r>
      <w:r>
        <w:br/>
      </w:r>
      <w:r>
        <w:rPr>
          <w:rStyle w:val="soitChar"/>
        </w:rPr>
        <w:t>Le nombre de colonnes ayant les mêmes dimensions et les mêmes caractéristiques est compatibilisé.</w:t>
      </w:r>
    </w:p>
    <w:p w14:paraId="26488D35" w14:textId="77777777" w:rsidR="00DB2B68" w:rsidRDefault="00000000">
      <w:pPr>
        <w:pStyle w:val="pheading"/>
      </w:pPr>
      <w:r>
        <w:t>- nature du marché:</w:t>
      </w:r>
    </w:p>
    <w:p w14:paraId="485DFC13" w14:textId="77777777" w:rsidR="00DB2B68" w:rsidRDefault="00000000">
      <w:r>
        <w:rPr>
          <w:rStyle w:val="optioncarChar"/>
        </w:rPr>
        <w:t>QF </w:t>
      </w:r>
      <w:r>
        <w:t>(par défaut) </w:t>
      </w:r>
      <w:r>
        <w:rPr>
          <w:rStyle w:val="optioncarChar"/>
        </w:rPr>
        <w:t>/ QP</w:t>
      </w:r>
    </w:p>
    <w:p w14:paraId="589C4C3A" w14:textId="77777777" w:rsidR="00DB2B68" w:rsidRDefault="00000000">
      <w:r>
        <w:rPr>
          <w:b/>
          <w:i/>
        </w:rPr>
        <w:t>(Soit par défaut)</w:t>
      </w:r>
    </w:p>
    <w:p w14:paraId="7F25396A" w14:textId="77777777" w:rsidR="00DB2B68" w:rsidRDefault="00000000">
      <w:r>
        <w:rPr>
          <w:rStyle w:val="soitChar"/>
        </w:rPr>
        <w:t>1.2      QF</w:t>
      </w:r>
    </w:p>
    <w:p w14:paraId="52188A5F" w14:textId="77777777" w:rsidR="00DB2B68" w:rsidRDefault="00000000">
      <w:r>
        <w:rPr>
          <w:b/>
          <w:i/>
        </w:rPr>
        <w:t>(Soit)</w:t>
      </w:r>
    </w:p>
    <w:p w14:paraId="128149E3" w14:textId="77777777" w:rsidR="00DB2B68" w:rsidRDefault="00000000">
      <w:r>
        <w:rPr>
          <w:rStyle w:val="soitChar"/>
        </w:rPr>
        <w:t>1.2      QP</w:t>
      </w:r>
    </w:p>
    <w:p w14:paraId="04FC481C" w14:textId="77777777" w:rsidR="00DB2B68" w:rsidRDefault="00000000">
      <w:pPr>
        <w:pStyle w:val="Author-eSectionHeading6Numberless"/>
      </w:pPr>
      <w:bookmarkStart w:id="1588" w:name="_Toc220496580"/>
      <w:r>
        <w:t>24.12.7d Colonnes faites de treillis avec diagonales en métal CCTB 01.07</w:t>
      </w:r>
      <w:bookmarkEnd w:id="1588"/>
    </w:p>
    <w:p w14:paraId="5D6707F4" w14:textId="77777777" w:rsidR="00DB2B68" w:rsidRDefault="00000000">
      <w:pPr>
        <w:pStyle w:val="pheading"/>
      </w:pPr>
      <w:r>
        <w:t>MESURAGE</w:t>
      </w:r>
    </w:p>
    <w:p w14:paraId="54A8F4CE" w14:textId="77777777" w:rsidR="00DB2B68" w:rsidRDefault="00000000">
      <w:pPr>
        <w:pStyle w:val="pheading"/>
      </w:pPr>
      <w:r>
        <w:t>- unité de mesure:</w:t>
      </w:r>
    </w:p>
    <w:p w14:paraId="70C46284" w14:textId="77777777" w:rsidR="00DB2B68" w:rsidRDefault="00000000">
      <w:r>
        <w:rPr>
          <w:rStyle w:val="optioncarChar"/>
        </w:rPr>
        <w:t>m </w:t>
      </w:r>
      <w:r>
        <w:t>(par défaut) </w:t>
      </w:r>
      <w:r>
        <w:rPr>
          <w:rStyle w:val="optioncarChar"/>
        </w:rPr>
        <w:t>/ pc</w:t>
      </w:r>
    </w:p>
    <w:p w14:paraId="3904606F" w14:textId="77777777" w:rsidR="00DB2B68" w:rsidRDefault="00000000">
      <w:r>
        <w:rPr>
          <w:b/>
          <w:i/>
        </w:rPr>
        <w:t>(Soit par défaut)</w:t>
      </w:r>
    </w:p>
    <w:p w14:paraId="77F44D2D" w14:textId="77777777" w:rsidR="00DB2B68" w:rsidRDefault="00000000">
      <w:r>
        <w:rPr>
          <w:rStyle w:val="soitChar"/>
        </w:rPr>
        <w:t>1.    m </w:t>
      </w:r>
    </w:p>
    <w:p w14:paraId="7241A2CB" w14:textId="77777777" w:rsidR="00DB2B68" w:rsidRDefault="00000000">
      <w:r>
        <w:rPr>
          <w:b/>
          <w:i/>
        </w:rPr>
        <w:t>(Soit)</w:t>
      </w:r>
    </w:p>
    <w:p w14:paraId="5B0F31DE" w14:textId="77777777" w:rsidR="00DB2B68" w:rsidRDefault="00000000">
      <w:r>
        <w:rPr>
          <w:rStyle w:val="soitChar"/>
        </w:rPr>
        <w:t>2.    pc</w:t>
      </w:r>
    </w:p>
    <w:p w14:paraId="70F8EFAE" w14:textId="77777777" w:rsidR="00DB2B68" w:rsidRDefault="00000000">
      <w:pPr>
        <w:pStyle w:val="pheading"/>
      </w:pPr>
      <w:r>
        <w:t>- code de mesurage:</w:t>
      </w:r>
    </w:p>
    <w:p w14:paraId="190FE4D8" w14:textId="77777777" w:rsidR="00DB2B68" w:rsidRDefault="00000000">
      <w:r>
        <w:rPr>
          <w:rStyle w:val="optioncarChar"/>
        </w:rPr>
        <w:t>Longueur brute </w:t>
      </w:r>
      <w:r>
        <w:t>(par défaut) </w:t>
      </w:r>
      <w:r>
        <w:rPr>
          <w:rStyle w:val="optioncarChar"/>
        </w:rPr>
        <w:t>/ Quantité nette</w:t>
      </w:r>
    </w:p>
    <w:p w14:paraId="11CAE50C" w14:textId="77777777" w:rsidR="00DB2B68" w:rsidRDefault="00000000">
      <w:r>
        <w:rPr>
          <w:b/>
          <w:i/>
        </w:rPr>
        <w:t>(Soit par défaut)</w:t>
      </w:r>
    </w:p>
    <w:p w14:paraId="2FC1C824" w14:textId="77777777" w:rsidR="00DB2B68" w:rsidRDefault="00000000">
      <w:r>
        <w:rPr>
          <w:rStyle w:val="soitChar"/>
        </w:rPr>
        <w:lastRenderedPageBreak/>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14:paraId="3827CB32" w14:textId="77777777" w:rsidR="00DB2B68" w:rsidRDefault="00000000">
      <w:r>
        <w:rPr>
          <w:b/>
          <w:i/>
        </w:rPr>
        <w:t> (Soit)</w:t>
      </w:r>
    </w:p>
    <w:p w14:paraId="69AB06E4" w14:textId="77777777" w:rsidR="00DB2B68" w:rsidRDefault="00000000">
      <w:r>
        <w:rPr>
          <w:rStyle w:val="soitChar"/>
        </w:rPr>
        <w:t>2.    </w:t>
      </w:r>
      <w:r>
        <w:rPr>
          <w:rStyle w:val="soitChar"/>
          <w:u w:val="single"/>
        </w:rPr>
        <w:t>Quantité nette :</w:t>
      </w:r>
      <w:r>
        <w:br/>
      </w:r>
      <w:r>
        <w:rPr>
          <w:rStyle w:val="soitChar"/>
        </w:rPr>
        <w:t>Le nombre de colonnes ayant les mêmes dimensions et les mêmes caractéristiques est compatibilisé.</w:t>
      </w:r>
    </w:p>
    <w:p w14:paraId="61344ED7" w14:textId="77777777" w:rsidR="00DB2B68" w:rsidRDefault="00000000">
      <w:pPr>
        <w:pStyle w:val="pheading"/>
      </w:pPr>
      <w:r>
        <w:t>- nature du marché:</w:t>
      </w:r>
    </w:p>
    <w:p w14:paraId="2EC16B2B" w14:textId="77777777" w:rsidR="00DB2B68" w:rsidRDefault="00000000">
      <w:r>
        <w:rPr>
          <w:rStyle w:val="optioncarChar"/>
        </w:rPr>
        <w:t>QF </w:t>
      </w:r>
      <w:r>
        <w:t>(par défaut) </w:t>
      </w:r>
      <w:r>
        <w:rPr>
          <w:rStyle w:val="optioncarChar"/>
        </w:rPr>
        <w:t>/ QP</w:t>
      </w:r>
    </w:p>
    <w:p w14:paraId="4D391B06" w14:textId="77777777" w:rsidR="00DB2B68" w:rsidRDefault="00000000">
      <w:r>
        <w:rPr>
          <w:b/>
          <w:i/>
        </w:rPr>
        <w:t>(Soit par défaut)</w:t>
      </w:r>
    </w:p>
    <w:p w14:paraId="22CE9D2F" w14:textId="77777777" w:rsidR="00DB2B68" w:rsidRDefault="00000000">
      <w:r>
        <w:rPr>
          <w:rStyle w:val="soitChar"/>
        </w:rPr>
        <w:t>1.2      QF</w:t>
      </w:r>
    </w:p>
    <w:p w14:paraId="6B70CC0B" w14:textId="77777777" w:rsidR="00DB2B68" w:rsidRDefault="00000000">
      <w:r>
        <w:rPr>
          <w:b/>
          <w:i/>
        </w:rPr>
        <w:t>(Soit)</w:t>
      </w:r>
    </w:p>
    <w:p w14:paraId="6150B622" w14:textId="77777777" w:rsidR="00DB2B68" w:rsidRDefault="00000000">
      <w:r>
        <w:rPr>
          <w:rStyle w:val="soitChar"/>
        </w:rPr>
        <w:t>1.2      QP</w:t>
      </w:r>
    </w:p>
    <w:p w14:paraId="7068252B" w14:textId="77777777" w:rsidR="00DB2B68" w:rsidRDefault="00000000">
      <w:pPr>
        <w:pStyle w:val="Author-eSectionHeading4Numberless"/>
      </w:pPr>
      <w:bookmarkStart w:id="1589" w:name="_Toc220496581"/>
      <w:r>
        <w:t>24.13 Poutres et barres en bois CCTB 01.07</w:t>
      </w:r>
      <w:bookmarkEnd w:id="1589"/>
    </w:p>
    <w:p w14:paraId="6666D542" w14:textId="77777777" w:rsidR="00DB2B68" w:rsidRDefault="00000000">
      <w:pPr>
        <w:pStyle w:val="pheading"/>
      </w:pPr>
      <w:bookmarkStart w:id="1590" w:name="404"/>
      <w:bookmarkEnd w:id="1590"/>
      <w:r>
        <w:t>DESCRIPTION</w:t>
      </w:r>
    </w:p>
    <w:p w14:paraId="121041E3" w14:textId="77777777" w:rsidR="00DB2B68" w:rsidRDefault="00000000">
      <w:pPr>
        <w:pStyle w:val="pheading"/>
      </w:pPr>
      <w:r>
        <w:t>- Définition / Comprend</w:t>
      </w:r>
    </w:p>
    <w:p w14:paraId="14BC4D13" w14:textId="77777777" w:rsidR="00DB2B68" w:rsidRDefault="00000000">
      <w:pPr>
        <w:jc w:val="both"/>
      </w:pPr>
      <w:r>
        <w:t>Les poutres et barres en bois sont des éléments structuraux horizontaux ou diagonaux destinés à transférer des charges. Elles peuvent être constituées d’une ou plusieurs pièces assemblées.</w:t>
      </w:r>
    </w:p>
    <w:p w14:paraId="16E5A0CE" w14:textId="77777777" w:rsidR="00DB2B68" w:rsidRDefault="00000000">
      <w:pPr>
        <w:jc w:val="both"/>
      </w:pPr>
      <w:r>
        <w:t>Cet élément comprend notamment :</w:t>
      </w:r>
    </w:p>
    <w:p w14:paraId="0256BC95" w14:textId="77777777" w:rsidR="00DB2B68" w:rsidRDefault="00000000">
      <w:pPr>
        <w:pStyle w:val="Author-eListParagraph"/>
        <w:numPr>
          <w:ilvl w:val="0"/>
          <w:numId w:val="859"/>
        </w:numPr>
      </w:pPr>
      <w:r>
        <w:t>Les montants individuels d’une paroi en ossature bois.</w:t>
      </w:r>
    </w:p>
    <w:p w14:paraId="548D4704" w14:textId="77777777" w:rsidR="00DB2B68" w:rsidRDefault="00000000">
      <w:pPr>
        <w:pStyle w:val="Author-eListParagraph"/>
        <w:numPr>
          <w:ilvl w:val="0"/>
          <w:numId w:val="859"/>
        </w:numPr>
      </w:pPr>
      <w:r>
        <w:t>Les éléments qui constituent une charpente de toiture traditionnelle, tel que faîtière, pannes, etc.</w:t>
      </w:r>
    </w:p>
    <w:p w14:paraId="4AEA48B6" w14:textId="77777777" w:rsidR="00DB2B68" w:rsidRDefault="00000000">
      <w:pPr>
        <w:pStyle w:val="Author-eListParagraph"/>
        <w:numPr>
          <w:ilvl w:val="0"/>
          <w:numId w:val="859"/>
        </w:numPr>
      </w:pPr>
      <w:r>
        <w:t>Les jambes de forces, aisseliers, contrefiches, etc.</w:t>
      </w:r>
    </w:p>
    <w:p w14:paraId="18F439F3" w14:textId="77777777" w:rsidR="00DB2B68" w:rsidRDefault="00000000">
      <w:pPr>
        <w:jc w:val="both"/>
      </w:pPr>
      <w:r>
        <w:t>Et ne comprend pas :</w:t>
      </w:r>
    </w:p>
    <w:p w14:paraId="6C5FCBDB" w14:textId="77777777" w:rsidR="00DB2B68" w:rsidRDefault="00000000">
      <w:pPr>
        <w:pStyle w:val="Author-eListParagraph"/>
        <w:numPr>
          <w:ilvl w:val="0"/>
          <w:numId w:val="860"/>
        </w:numPr>
        <w:jc w:val="both"/>
      </w:pPr>
      <w:r>
        <w:t>Les lisses de poses et les muralières. Ceux-ci sont traités au 24.11 24.43 Contreventements pour structures en bois.</w:t>
      </w:r>
    </w:p>
    <w:p w14:paraId="321C93AF" w14:textId="77777777" w:rsidR="00DB2B68" w:rsidRDefault="00000000">
      <w:pPr>
        <w:pStyle w:val="pheading"/>
      </w:pPr>
      <w:r>
        <w:t>EXÉCUTION / MISE EN ŒUVRE</w:t>
      </w:r>
    </w:p>
    <w:p w14:paraId="0D5A759F" w14:textId="77777777" w:rsidR="00DB2B68" w:rsidRDefault="00000000">
      <w:pPr>
        <w:jc w:val="both"/>
      </w:pPr>
      <w:r>
        <w:t>Lors du montage des poutres et barres en bois, un étançonnement provisoire est prévu pour assurer la stabilité de celles-ci. Si les poutres et barres sont visibles, les assemblages provisoires sont réalisés sans endommager l’état de surface des poutres et barres.</w:t>
      </w:r>
    </w:p>
    <w:p w14:paraId="625F0E74" w14:textId="77777777" w:rsidR="00DB2B68" w:rsidRDefault="00DB2B68">
      <w:pPr>
        <w:jc w:val="both"/>
      </w:pPr>
    </w:p>
    <w:p w14:paraId="73BA7318" w14:textId="77777777" w:rsidR="00DB2B68" w:rsidRDefault="00DB2B68">
      <w:pPr>
        <w:jc w:val="both"/>
      </w:pPr>
    </w:p>
    <w:p w14:paraId="52DE62B1" w14:textId="77777777" w:rsidR="00DB2B68" w:rsidRDefault="00000000">
      <w:pPr>
        <w:jc w:val="both"/>
      </w:pPr>
      <w:r>
        <w:t>Lorsque les poutres et barres sont posées sur des matériaux humides ou humidifiables, des mesures de protection sont prises pour empêcher l’absorption par capillarité.</w:t>
      </w:r>
    </w:p>
    <w:p w14:paraId="387D0D9F" w14:textId="77777777" w:rsidR="00DB2B68" w:rsidRDefault="00000000">
      <w:pPr>
        <w:pStyle w:val="Author-eSectionHeading5Numberless"/>
      </w:pPr>
      <w:bookmarkStart w:id="1591" w:name="_Toc220496582"/>
      <w:r>
        <w:t>24.13.1 Poutres et barres en bois massif CCTB 01.07</w:t>
      </w:r>
      <w:bookmarkEnd w:id="1591"/>
    </w:p>
    <w:p w14:paraId="30806720" w14:textId="77777777" w:rsidR="00DB2B68" w:rsidRDefault="00000000">
      <w:pPr>
        <w:pStyle w:val="pheading"/>
      </w:pPr>
      <w:r>
        <w:t>DESCRIPTION</w:t>
      </w:r>
    </w:p>
    <w:p w14:paraId="490112B6" w14:textId="77777777" w:rsidR="00DB2B68" w:rsidRDefault="00000000">
      <w:pPr>
        <w:pStyle w:val="pheading"/>
      </w:pPr>
      <w:r>
        <w:t>- Définition / Comprend</w:t>
      </w:r>
    </w:p>
    <w:p w14:paraId="4937B306" w14:textId="77777777" w:rsidR="00DB2B68" w:rsidRDefault="00000000">
      <w:r>
        <w:t xml:space="preserve">Il s’agit des poutres et barres en bois massif. La notion de bois massif est expliquée au </w:t>
      </w:r>
      <w:hyperlink w:anchor="89" w:history="1">
        <w:r>
          <w:rPr>
            <w:color w:val="0000EE"/>
          </w:rPr>
          <w:t>24 Superstructures en bois</w:t>
        </w:r>
      </w:hyperlink>
      <w:r>
        <w:t>.</w:t>
      </w:r>
    </w:p>
    <w:p w14:paraId="78DBBE06" w14:textId="77777777" w:rsidR="00DB2B68" w:rsidRDefault="00000000">
      <w:pPr>
        <w:pStyle w:val="pheading"/>
      </w:pPr>
      <w:r>
        <w:t>EXÉCUTION / MISE EN ŒUVRE</w:t>
      </w:r>
    </w:p>
    <w:p w14:paraId="2115EC02" w14:textId="77777777" w:rsidR="00DB2B68" w:rsidRDefault="00000000">
      <w:pPr>
        <w:jc w:val="both"/>
      </w:pPr>
      <w:r>
        <w:lastRenderedPageBreak/>
        <w:t>Dans le cas des poutres et barres en bois massif avec cœur, il existe un risque de fissuration traversante. Dans les cas d’élément horizontaux, des mesures sont prises pour éviter la stagnation d’eau en fond des. Ces méthodes peuvent être par exemple de pratiquer une entaille de retrait à un endroit choisis judicieusement dans le but d’éviter la fissuration de l’élément dans une zone critique.</w:t>
      </w:r>
    </w:p>
    <w:p w14:paraId="610BDE11" w14:textId="77777777" w:rsidR="00DB2B68" w:rsidRDefault="00000000">
      <w:pPr>
        <w:jc w:val="both"/>
      </w:pPr>
      <w:r>
        <w:t>Lorsqu’elles sont sollicitées en compression, une analyse de risque de flambement est effectuée par un bureau d’études.</w:t>
      </w:r>
    </w:p>
    <w:p w14:paraId="1F532E1C" w14:textId="77777777" w:rsidR="00DB2B68" w:rsidRDefault="00000000">
      <w:pPr>
        <w:pStyle w:val="Author-eSectionHeading6Numberless"/>
      </w:pPr>
      <w:bookmarkStart w:id="1592" w:name="_Toc220496583"/>
      <w:r>
        <w:t>24.13.1a Poutres et barres en bois massif à section rectangulaire CCTB 01.11</w:t>
      </w:r>
      <w:bookmarkEnd w:id="1592"/>
    </w:p>
    <w:p w14:paraId="551CAC48" w14:textId="77777777" w:rsidR="00DB2B68" w:rsidRDefault="00000000">
      <w:pPr>
        <w:pStyle w:val="pheading"/>
      </w:pPr>
      <w:bookmarkStart w:id="1593" w:name="588"/>
      <w:bookmarkEnd w:id="1593"/>
      <w:r>
        <w:t>DESCRIPTION</w:t>
      </w:r>
    </w:p>
    <w:p w14:paraId="480A2444" w14:textId="77777777" w:rsidR="00DB2B68" w:rsidRDefault="00000000">
      <w:pPr>
        <w:pStyle w:val="pheading"/>
      </w:pPr>
      <w:r>
        <w:t>- Définition / Comprend</w:t>
      </w:r>
    </w:p>
    <w:p w14:paraId="481E23F0" w14:textId="77777777" w:rsidR="00DB2B68" w:rsidRDefault="00000000">
      <w:r>
        <w:t>Il s'agit de l’ensemble des poutres et barres en bois à section rectangulaire.</w:t>
      </w:r>
    </w:p>
    <w:p w14:paraId="475582DB" w14:textId="77777777" w:rsidR="00DB2B68" w:rsidRDefault="00000000">
      <w:pPr>
        <w:pStyle w:val="pheading"/>
      </w:pPr>
      <w:r>
        <w:t>MATÉRIAUX</w:t>
      </w:r>
    </w:p>
    <w:p w14:paraId="3689EF24" w14:textId="77777777" w:rsidR="00DB2B68" w:rsidRDefault="00000000">
      <w:pPr>
        <w:pStyle w:val="pheading"/>
      </w:pPr>
      <w:r>
        <w:t>- Caractéristiques générales</w:t>
      </w:r>
    </w:p>
    <w:p w14:paraId="64A7FAEA" w14:textId="77777777" w:rsidR="00DB2B68" w:rsidRDefault="00000000">
      <w:pPr>
        <w:jc w:val="both"/>
      </w:pPr>
      <w:r>
        <w:t xml:space="preserve">Classe de résistance : </w:t>
      </w:r>
      <w:r>
        <w:rPr>
          <w:rStyle w:val="optioncarChar"/>
        </w:rPr>
        <w:t>C18 </w:t>
      </w:r>
      <w:r>
        <w:t>(par défaut)</w:t>
      </w:r>
      <w:r>
        <w:rPr>
          <w:rStyle w:val="optioncarChar"/>
        </w:rPr>
        <w:t xml:space="preserve"> / D18 / C24 / D24 / C30 / D30 / ***</w:t>
      </w:r>
    </w:p>
    <w:p w14:paraId="1B51BDC0" w14:textId="77777777" w:rsidR="00DB2B68" w:rsidRDefault="00000000">
      <w:pPr>
        <w:jc w:val="both"/>
      </w:pPr>
      <w:r>
        <w:t xml:space="preserve">Dimensions de la section : </w:t>
      </w:r>
      <w:r>
        <w:rPr>
          <w:rStyle w:val="optioncarChar"/>
        </w:rPr>
        <w:t xml:space="preserve">Voir plans </w:t>
      </w:r>
      <w:r>
        <w:t>(par défaut)</w:t>
      </w:r>
      <w:r>
        <w:rPr>
          <w:rStyle w:val="optioncarChar"/>
        </w:rPr>
        <w:t xml:space="preserve"> / *** x *** mm²</w:t>
      </w:r>
    </w:p>
    <w:p w14:paraId="29E920F4"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6FA1FEF0" w14:textId="77777777" w:rsidR="00DB2B68" w:rsidRDefault="00000000">
      <w:pPr>
        <w:jc w:val="both"/>
      </w:pPr>
      <w:r>
        <w:t>Classe d’emploi :</w:t>
      </w:r>
      <w:r>
        <w:rPr>
          <w:rStyle w:val="optioncarChar"/>
        </w:rPr>
        <w:t xml:space="preserve"> 1 / 2 / 3 / 4 / 5</w:t>
      </w:r>
    </w:p>
    <w:p w14:paraId="34BE3646" w14:textId="77777777" w:rsidR="00DB2B68"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A2.1 / ***</w:t>
      </w:r>
    </w:p>
    <w:p w14:paraId="0034E34A" w14:textId="77777777" w:rsidR="00DB2B68" w:rsidRDefault="00000000">
      <w:pPr>
        <w:pStyle w:val="pheading"/>
      </w:pPr>
      <w:r>
        <w:t>- Finitions</w:t>
      </w:r>
    </w:p>
    <w:p w14:paraId="080048C8" w14:textId="77777777" w:rsidR="00DB2B68" w:rsidRDefault="00000000">
      <w:pPr>
        <w:jc w:val="both"/>
      </w:pPr>
      <w:r>
        <w:t xml:space="preserve">Les poutres et barres en bois massif à section rectangulaire sont </w:t>
      </w:r>
      <w:r>
        <w:rPr>
          <w:rStyle w:val="optioncarChar"/>
        </w:rPr>
        <w:t>rabotées</w:t>
      </w:r>
      <w:r>
        <w:t xml:space="preserve"> (par défaut) </w:t>
      </w:r>
      <w:r>
        <w:rPr>
          <w:rStyle w:val="optioncarChar"/>
        </w:rPr>
        <w:t>/ brutes de sciage / poncées / ***</w:t>
      </w:r>
      <w:r>
        <w:t> sur </w:t>
      </w:r>
      <w:r>
        <w:rPr>
          <w:rStyle w:val="optioncarChar"/>
        </w:rPr>
        <w:t>1 / 2 / 3 / 4</w:t>
      </w:r>
      <w:r>
        <w:t> faces.</w:t>
      </w:r>
    </w:p>
    <w:p w14:paraId="0DF4CB4C" w14:textId="77777777" w:rsidR="00DB2B68" w:rsidRDefault="00000000">
      <w:pPr>
        <w:jc w:val="both"/>
      </w:pPr>
      <w:r>
        <w:t xml:space="preserve">Les arrêtes sont </w:t>
      </w:r>
      <w:r>
        <w:rPr>
          <w:rStyle w:val="optioncarChar"/>
        </w:rPr>
        <w:t>vives</w:t>
      </w:r>
      <w:r>
        <w:t xml:space="preserve"> (par défaut)</w:t>
      </w:r>
      <w:r>
        <w:rPr>
          <w:rStyle w:val="optioncarChar"/>
        </w:rPr>
        <w:t xml:space="preserve"> / chanfreinées / ***</w:t>
      </w:r>
    </w:p>
    <w:p w14:paraId="0327CBAA" w14:textId="77777777" w:rsidR="00DB2B68" w:rsidRDefault="00000000">
      <w:pPr>
        <w:jc w:val="both"/>
      </w:pPr>
      <w:r>
        <w:t xml:space="preserve">Les poutres et barres en bois massif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28BCF1AB" w14:textId="77777777" w:rsidR="00DB2B68" w:rsidRDefault="00000000">
      <w:pPr>
        <w:pStyle w:val="pheading"/>
      </w:pPr>
      <w:r>
        <w:t>- Prescriptions complémentaires</w:t>
      </w:r>
    </w:p>
    <w:p w14:paraId="738FF218" w14:textId="77777777" w:rsidR="00DB2B68" w:rsidRDefault="00000000">
      <w:pPr>
        <w:jc w:val="both"/>
      </w:pPr>
      <w:r>
        <w:rPr>
          <w:rStyle w:val="facultChar"/>
        </w:rPr>
        <w:t>Le classement d’aspect des poutres et barres en bois massif se fait selon la [NBN EN 1611-1] pour les essences résineuses européennes (épicéas, pins, sapins et douglas), selon la [NBN EN 975-1] pour le chêne et le hêtre et selon la [NBN EN 975-2] pour le peuplier.</w:t>
      </w:r>
    </w:p>
    <w:p w14:paraId="7447680E" w14:textId="77777777" w:rsidR="00DB2B68" w:rsidRDefault="00000000">
      <w:pPr>
        <w:jc w:val="both"/>
      </w:pPr>
      <w:r>
        <w:rPr>
          <w:rStyle w:val="facultChar"/>
        </w:rPr>
        <w:t>Le classement d’aspect doit être dissocié du classement mécanique. Des exigences sur le classement d’aspect peuvent influencer le classement mécanique ou le dimensionnement des pièces et donc la disponibilité.</w:t>
      </w:r>
    </w:p>
    <w:p w14:paraId="726FE7E1" w14:textId="77777777" w:rsidR="00DB2B68" w:rsidRDefault="00000000">
      <w:pPr>
        <w:jc w:val="both"/>
      </w:pPr>
      <w:r>
        <w:rPr>
          <w:rStyle w:val="facultChar"/>
          <w:u w:val="single"/>
        </w:rPr>
        <w:t>Classe d’aspect si essence résineuse :</w:t>
      </w:r>
    </w:p>
    <w:p w14:paraId="4A1F9A40" w14:textId="77777777" w:rsidR="00DB2B68" w:rsidRDefault="00000000">
      <w:pPr>
        <w:jc w:val="both"/>
      </w:pPr>
      <w:r>
        <w:rPr>
          <w:rStyle w:val="facultChar"/>
        </w:rPr>
        <w:t xml:space="preserve">Classement sur 2 faces selon [NBN EN 1611-1] : </w:t>
      </w:r>
      <w:r>
        <w:rPr>
          <w:rStyle w:val="optioncarChar"/>
        </w:rPr>
        <w:t>G2-0 / G2-1 / G2-2 / G2-3 / G2-4</w:t>
      </w:r>
    </w:p>
    <w:p w14:paraId="396D584D" w14:textId="77777777" w:rsidR="00DB2B68" w:rsidRDefault="00000000">
      <w:pPr>
        <w:jc w:val="both"/>
      </w:pPr>
      <w:r>
        <w:rPr>
          <w:rStyle w:val="facultChar"/>
        </w:rPr>
        <w:t xml:space="preserve">Classement sur 4 faces selon [NBN EN 1611-1] : </w:t>
      </w:r>
      <w:r>
        <w:rPr>
          <w:rStyle w:val="optioncarChar"/>
        </w:rPr>
        <w:t>G4-0 / G4-1 / G4-2 / G4-3 / G4-4</w:t>
      </w:r>
    </w:p>
    <w:p w14:paraId="32E14DA7" w14:textId="77777777" w:rsidR="00DB2B68" w:rsidRDefault="00000000">
      <w:pPr>
        <w:jc w:val="both"/>
      </w:pPr>
      <w:r>
        <w:rPr>
          <w:rStyle w:val="facultChar"/>
          <w:u w:val="single"/>
        </w:rPr>
        <w:t>Classe d’aspect si essence feuillue :</w:t>
      </w:r>
    </w:p>
    <w:p w14:paraId="086CC4AE" w14:textId="77777777" w:rsidR="00DB2B68" w:rsidRDefault="00000000">
      <w:pPr>
        <w:jc w:val="both"/>
      </w:pPr>
      <w:r>
        <w:rPr>
          <w:rStyle w:val="facultChar"/>
        </w:rPr>
        <w:t xml:space="preserve">Classement du chêne selon [NBN EN 975-1] : </w:t>
      </w:r>
      <w:r>
        <w:rPr>
          <w:rStyle w:val="optioncarChar"/>
        </w:rPr>
        <w:t>Q-P A / Q-P 1 / Q-P 2</w:t>
      </w:r>
    </w:p>
    <w:p w14:paraId="4FC205DA" w14:textId="77777777" w:rsidR="00DB2B68" w:rsidRDefault="00000000">
      <w:pPr>
        <w:jc w:val="both"/>
      </w:pPr>
      <w:r>
        <w:rPr>
          <w:rStyle w:val="facultChar"/>
        </w:rPr>
        <w:t xml:space="preserve">Classement du hêtre selon [NBN EN 975-1] : </w:t>
      </w:r>
      <w:r>
        <w:rPr>
          <w:rStyle w:val="optioncarChar"/>
        </w:rPr>
        <w:t>F-D A / F-D 1 / F-D 2</w:t>
      </w:r>
    </w:p>
    <w:p w14:paraId="61675057" w14:textId="77777777" w:rsidR="00DB2B68" w:rsidRDefault="00000000">
      <w:pPr>
        <w:jc w:val="both"/>
      </w:pPr>
      <w:r>
        <w:rPr>
          <w:rStyle w:val="facultChar"/>
        </w:rPr>
        <w:t xml:space="preserve">Classement du peuplier selon [NBN EN 975-2] : </w:t>
      </w:r>
      <w:r>
        <w:rPr>
          <w:rStyle w:val="optioncarChar"/>
        </w:rPr>
        <w:t>choix 1 / choix 2 / choix 3 / choix 4</w:t>
      </w:r>
    </w:p>
    <w:p w14:paraId="5381F2C5" w14:textId="77777777" w:rsidR="00DB2B68" w:rsidRDefault="00000000">
      <w:pPr>
        <w:pStyle w:val="pheading"/>
      </w:pPr>
      <w:r>
        <w:t>EXÉCUTION / MISE EN ŒUVRE</w:t>
      </w:r>
    </w:p>
    <w:p w14:paraId="3B4B4F40" w14:textId="77777777" w:rsidR="00DB2B68" w:rsidRDefault="00000000">
      <w:pPr>
        <w:pStyle w:val="pheading"/>
      </w:pPr>
      <w:r>
        <w:t>- Prescriptions générales</w:t>
      </w:r>
    </w:p>
    <w:p w14:paraId="532C225D" w14:textId="77777777" w:rsidR="00DB2B68" w:rsidRDefault="00000000">
      <w:r>
        <w:lastRenderedPageBreak/>
        <w:t xml:space="preserve">Une entaille de retrait </w:t>
      </w:r>
      <w:r>
        <w:rPr>
          <w:rStyle w:val="optioncarChar"/>
        </w:rPr>
        <w:t>est prévue </w:t>
      </w:r>
      <w:r>
        <w:t>(par défaut)</w:t>
      </w:r>
      <w:r>
        <w:rPr>
          <w:rStyle w:val="optioncarChar"/>
        </w:rPr>
        <w:t xml:space="preserve"> / ***</w:t>
      </w:r>
      <w:r>
        <w:t xml:space="preserve"> sur la face inférieure des poutres et barres en bois massif extérieures.</w:t>
      </w:r>
    </w:p>
    <w:p w14:paraId="5F2F3B00" w14:textId="77777777" w:rsidR="00DB2B68" w:rsidRDefault="00000000">
      <w:pPr>
        <w:pStyle w:val="pheading"/>
      </w:pPr>
      <w:r>
        <w:t>DOCUMENTS DE RÉFÉRENCE COMPLÉMENTAIRES</w:t>
      </w:r>
    </w:p>
    <w:p w14:paraId="31F75A73" w14:textId="77777777" w:rsidR="00DB2B68" w:rsidRDefault="00000000">
      <w:pPr>
        <w:pStyle w:val="pheading"/>
      </w:pPr>
      <w:r>
        <w:t>- Matériau</w:t>
      </w:r>
    </w:p>
    <w:p w14:paraId="7955B362" w14:textId="77777777" w:rsidR="00DB2B68" w:rsidRDefault="00000000">
      <w:r>
        <w:t>[NBN EN 1611-1, Bois sciés - Classement d'aspect des bois résineux - Partie 1: Epicéas, sapins, pins et Douglas Européens]</w:t>
      </w:r>
    </w:p>
    <w:p w14:paraId="67CFACFC" w14:textId="77777777" w:rsidR="00DB2B68" w:rsidRDefault="00000000">
      <w:r>
        <w:t>[NBN EN 975-1, Bois sciés - Classement d'aspect des bois feuillus - Partie 1: Chêne et hêtre]</w:t>
      </w:r>
    </w:p>
    <w:p w14:paraId="252C3F74" w14:textId="77777777" w:rsidR="00DB2B68" w:rsidRDefault="00000000">
      <w:r>
        <w:t>[NBN EN 975-2, Bois sciés - Classement d'aspect des bois feuillus - Partie 2: Peuplier]</w:t>
      </w:r>
    </w:p>
    <w:p w14:paraId="2D8AFAF1" w14:textId="77777777" w:rsidR="00DB2B68" w:rsidRDefault="00000000">
      <w:pPr>
        <w:pStyle w:val="pheading"/>
      </w:pPr>
      <w:r>
        <w:t>MESURAGE</w:t>
      </w:r>
    </w:p>
    <w:p w14:paraId="47C9B310" w14:textId="77777777" w:rsidR="00DB2B68" w:rsidRDefault="00000000">
      <w:pPr>
        <w:pStyle w:val="pheading"/>
      </w:pPr>
      <w:r>
        <w:t>- unité de mesure:</w:t>
      </w:r>
    </w:p>
    <w:p w14:paraId="1FE7398B" w14:textId="77777777" w:rsidR="00DB2B68" w:rsidRDefault="00000000">
      <w:r>
        <w:rPr>
          <w:rStyle w:val="optioncarChar"/>
        </w:rPr>
        <w:t xml:space="preserve">m³ </w:t>
      </w:r>
      <w:r>
        <w:t>(par défaut)</w:t>
      </w:r>
      <w:r>
        <w:rPr>
          <w:rStyle w:val="optioncarChar"/>
        </w:rPr>
        <w:t xml:space="preserve"> / m / pc</w:t>
      </w:r>
    </w:p>
    <w:p w14:paraId="04973CFA" w14:textId="77777777" w:rsidR="00DB2B68" w:rsidRDefault="00000000">
      <w:r>
        <w:rPr>
          <w:b/>
          <w:i/>
        </w:rPr>
        <w:t>(Soit par défaut)</w:t>
      </w:r>
    </w:p>
    <w:p w14:paraId="390AEE21" w14:textId="77777777" w:rsidR="00DB2B68" w:rsidRDefault="00000000">
      <w:r>
        <w:rPr>
          <w:rStyle w:val="soitChar"/>
        </w:rPr>
        <w:t>1.    m³ </w:t>
      </w:r>
    </w:p>
    <w:p w14:paraId="735E4160" w14:textId="77777777" w:rsidR="00DB2B68" w:rsidRDefault="00000000">
      <w:r>
        <w:rPr>
          <w:b/>
          <w:i/>
        </w:rPr>
        <w:t>(Soit)</w:t>
      </w:r>
    </w:p>
    <w:p w14:paraId="01FEF478" w14:textId="77777777" w:rsidR="00DB2B68" w:rsidRDefault="00000000">
      <w:r>
        <w:rPr>
          <w:rStyle w:val="soitChar"/>
        </w:rPr>
        <w:t>2.    m </w:t>
      </w:r>
    </w:p>
    <w:p w14:paraId="2CF544FC" w14:textId="77777777" w:rsidR="00DB2B68" w:rsidRDefault="00000000">
      <w:r>
        <w:rPr>
          <w:b/>
          <w:i/>
        </w:rPr>
        <w:t>(Soit)</w:t>
      </w:r>
    </w:p>
    <w:p w14:paraId="58644386" w14:textId="77777777" w:rsidR="00DB2B68" w:rsidRDefault="00000000">
      <w:r>
        <w:rPr>
          <w:rStyle w:val="soitChar"/>
        </w:rPr>
        <w:t>3.    pc</w:t>
      </w:r>
    </w:p>
    <w:p w14:paraId="197F6391" w14:textId="77777777" w:rsidR="00DB2B68" w:rsidRDefault="00000000">
      <w:pPr>
        <w:pStyle w:val="pheading"/>
      </w:pPr>
      <w:r>
        <w:t>- code de mesurage:</w:t>
      </w:r>
    </w:p>
    <w:p w14:paraId="471B7D21" w14:textId="77777777" w:rsidR="00DB2B68" w:rsidRDefault="00000000">
      <w:pPr>
        <w:jc w:val="both"/>
      </w:pPr>
      <w:r>
        <w:rPr>
          <w:rStyle w:val="optioncarChar"/>
        </w:rPr>
        <w:t xml:space="preserve"> Volume brut </w:t>
      </w:r>
      <w:r>
        <w:t>(par défaut)</w:t>
      </w:r>
      <w:r>
        <w:rPr>
          <w:rStyle w:val="optioncarChar"/>
        </w:rPr>
        <w:t xml:space="preserve"> / Longueur brute / Quantité nette</w:t>
      </w:r>
    </w:p>
    <w:p w14:paraId="049C3176" w14:textId="77777777" w:rsidR="00DB2B68" w:rsidRDefault="00000000">
      <w:pPr>
        <w:jc w:val="both"/>
      </w:pPr>
      <w:r>
        <w:rPr>
          <w:b/>
          <w:i/>
        </w:rPr>
        <w:t>(Soit par défaut)</w:t>
      </w:r>
    </w:p>
    <w:p w14:paraId="77222081" w14:textId="77777777" w:rsidR="00DB2B68" w:rsidRDefault="00000000">
      <w:pPr>
        <w:jc w:val="both"/>
      </w:pPr>
      <w:r>
        <w:rPr>
          <w:rStyle w:val="soitChar"/>
        </w:rPr>
        <w:t xml:space="preserve">1.    </w:t>
      </w:r>
      <w:r>
        <w:rPr>
          <w:rStyle w:val="soitChar"/>
          <w:u w:val="single"/>
        </w:rPr>
        <w:t>Volume brut :</w:t>
      </w:r>
    </w:p>
    <w:p w14:paraId="7345EE3F" w14:textId="77777777" w:rsidR="00DB2B68" w:rsidRDefault="00000000">
      <w:pPr>
        <w:jc w:val="both"/>
      </w:pPr>
      <w:r>
        <w:rPr>
          <w:rStyle w:val="soitChar"/>
        </w:rPr>
        <w:t>Le volume brut d’une poutre/barre est calculé suivant le volume du plus petit parallélépipède rectangle pouvant inclure l’élément.</w:t>
      </w:r>
    </w:p>
    <w:p w14:paraId="5CD1CA9D" w14:textId="77777777" w:rsidR="00DB2B68" w:rsidRDefault="00000000">
      <w:pPr>
        <w:jc w:val="both"/>
      </w:pPr>
      <w:r>
        <w:rPr>
          <w:b/>
          <w:i/>
        </w:rPr>
        <w:t> (Soit)</w:t>
      </w:r>
    </w:p>
    <w:p w14:paraId="7756E03E" w14:textId="77777777" w:rsidR="00DB2B68" w:rsidRDefault="00000000">
      <w:pPr>
        <w:jc w:val="both"/>
      </w:pPr>
      <w:r>
        <w:rPr>
          <w:rStyle w:val="soitChar"/>
        </w:rPr>
        <w:t>2.   </w:t>
      </w:r>
      <w:r>
        <w:rPr>
          <w:rStyle w:val="soitChar"/>
          <w:u w:val="single"/>
        </w:rPr>
        <w:t xml:space="preserve"> Longueur brute :</w:t>
      </w:r>
    </w:p>
    <w:p w14:paraId="5AE5AA5A" w14:textId="77777777" w:rsidR="00DB2B68" w:rsidRDefault="00000000">
      <w:pPr>
        <w:jc w:val="both"/>
      </w:pPr>
      <w:r>
        <w:rPr>
          <w:rStyle w:val="soitChar"/>
        </w:rPr>
        <w:t>La longueur brute d’un élément est la cote maximale dans la direction longitudinale, longueur de bois utile pour l’assemblage comprise.</w:t>
      </w:r>
    </w:p>
    <w:p w14:paraId="37C5140A" w14:textId="77777777" w:rsidR="00DB2B68" w:rsidRDefault="00000000">
      <w:pPr>
        <w:jc w:val="both"/>
      </w:pPr>
      <w:r>
        <w:rPr>
          <w:rStyle w:val="soitChar"/>
        </w:rPr>
        <w:t>La longueur totale des poutres et barres ayant la même section et les mêmes caractéristiques est comptabilisée.</w:t>
      </w:r>
    </w:p>
    <w:p w14:paraId="1E9E9934" w14:textId="77777777" w:rsidR="00DB2B68" w:rsidRDefault="00000000">
      <w:pPr>
        <w:jc w:val="both"/>
      </w:pPr>
      <w:r>
        <w:rPr>
          <w:b/>
          <w:i/>
        </w:rPr>
        <w:t> (Soit)</w:t>
      </w:r>
    </w:p>
    <w:p w14:paraId="45682400" w14:textId="77777777" w:rsidR="00DB2B68" w:rsidRDefault="00000000">
      <w:pPr>
        <w:jc w:val="both"/>
      </w:pPr>
      <w:r>
        <w:rPr>
          <w:rStyle w:val="soitChar"/>
        </w:rPr>
        <w:t>3.   </w:t>
      </w:r>
      <w:r>
        <w:rPr>
          <w:rStyle w:val="soitChar"/>
          <w:u w:val="single"/>
        </w:rPr>
        <w:t xml:space="preserve"> Quantité nette :</w:t>
      </w:r>
    </w:p>
    <w:p w14:paraId="4739F21C" w14:textId="77777777" w:rsidR="00DB2B68" w:rsidRDefault="00000000">
      <w:pPr>
        <w:jc w:val="both"/>
      </w:pPr>
      <w:r>
        <w:rPr>
          <w:rStyle w:val="soitChar"/>
        </w:rPr>
        <w:t>Le nombre de poutres et barres ayant les mêmes dimensions et les mêmes caractéristiques est compatibilisé.</w:t>
      </w:r>
    </w:p>
    <w:p w14:paraId="1509FB69" w14:textId="77777777" w:rsidR="00DB2B68" w:rsidRDefault="00000000">
      <w:pPr>
        <w:pStyle w:val="pheading"/>
      </w:pPr>
      <w:r>
        <w:t>- nature du marché:</w:t>
      </w:r>
    </w:p>
    <w:p w14:paraId="3AFE9973" w14:textId="77777777" w:rsidR="00DB2B68" w:rsidRDefault="00000000">
      <w:r>
        <w:rPr>
          <w:rStyle w:val="optioncarChar"/>
        </w:rPr>
        <w:t xml:space="preserve">QF </w:t>
      </w:r>
      <w:r>
        <w:t xml:space="preserve">(par défaut) </w:t>
      </w:r>
      <w:r>
        <w:rPr>
          <w:rStyle w:val="optioncarChar"/>
        </w:rPr>
        <w:t>/ QP</w:t>
      </w:r>
    </w:p>
    <w:p w14:paraId="5451B45B" w14:textId="77777777" w:rsidR="00DB2B68" w:rsidRDefault="00000000">
      <w:r>
        <w:rPr>
          <w:b/>
          <w:i/>
        </w:rPr>
        <w:t>(Soit par défaut)</w:t>
      </w:r>
    </w:p>
    <w:p w14:paraId="5D80F042" w14:textId="77777777" w:rsidR="00DB2B68" w:rsidRDefault="00000000">
      <w:r>
        <w:rPr>
          <w:rStyle w:val="soitChar"/>
        </w:rPr>
        <w:t>1.2.3     QF</w:t>
      </w:r>
    </w:p>
    <w:p w14:paraId="368DEEB7" w14:textId="77777777" w:rsidR="00DB2B68" w:rsidRDefault="00000000">
      <w:r>
        <w:rPr>
          <w:b/>
          <w:i/>
        </w:rPr>
        <w:t>(Soit)</w:t>
      </w:r>
    </w:p>
    <w:p w14:paraId="7E0BBB0B" w14:textId="77777777" w:rsidR="00DB2B68" w:rsidRDefault="00000000">
      <w:r>
        <w:rPr>
          <w:rStyle w:val="soitChar"/>
        </w:rPr>
        <w:t>1.2.3     QP</w:t>
      </w:r>
    </w:p>
    <w:p w14:paraId="231389A9" w14:textId="77777777" w:rsidR="00DB2B68" w:rsidRDefault="00000000">
      <w:pPr>
        <w:pStyle w:val="pheading"/>
      </w:pPr>
      <w:r>
        <w:t>AIDE</w:t>
      </w:r>
    </w:p>
    <w:p w14:paraId="3F94EB31" w14:textId="77777777" w:rsidR="00DB2B68" w:rsidRDefault="00000000">
      <w:pPr>
        <w:jc w:val="both"/>
      </w:pPr>
      <w:r>
        <w:t>Le code suivant peut être utilisé pour la dénomination du poste :</w:t>
      </w:r>
    </w:p>
    <w:p w14:paraId="4F0F85A0" w14:textId="77777777" w:rsidR="00DB2B68" w:rsidRDefault="00000000">
      <w:pPr>
        <w:jc w:val="both"/>
      </w:pPr>
      <w:r>
        <w:lastRenderedPageBreak/>
        <w:t>BM 1 / 2 / 3 / 4 / 5</w:t>
      </w:r>
    </w:p>
    <w:p w14:paraId="21862843" w14:textId="77777777" w:rsidR="00DB2B68" w:rsidRDefault="00000000">
      <w:pPr>
        <w:jc w:val="both"/>
      </w:pPr>
      <w:r>
        <w:t>Avec :</w:t>
      </w:r>
    </w:p>
    <w:p w14:paraId="32C363B7" w14:textId="77777777" w:rsidR="00DB2B68" w:rsidRDefault="00000000">
      <w:pPr>
        <w:jc w:val="both"/>
      </w:pPr>
      <w:r>
        <w:t>BM pour bois massif</w:t>
      </w:r>
    </w:p>
    <w:p w14:paraId="0CD52100" w14:textId="77777777" w:rsidR="00DB2B68" w:rsidRDefault="00000000">
      <w:pPr>
        <w:jc w:val="both"/>
      </w:pPr>
      <w:r>
        <w:t>1 : la classe de résistance des poutres et barres</w:t>
      </w:r>
    </w:p>
    <w:p w14:paraId="675FB558" w14:textId="77777777" w:rsidR="00DB2B68" w:rsidRDefault="00000000">
      <w:pPr>
        <w:jc w:val="both"/>
      </w:pPr>
      <w:r>
        <w:t>2 : la section</w:t>
      </w:r>
    </w:p>
    <w:p w14:paraId="5DBCE196" w14:textId="77777777" w:rsidR="00DB2B68" w:rsidRDefault="00000000">
      <w:pPr>
        <w:jc w:val="both"/>
      </w:pPr>
      <w:r>
        <w:t>3 : l’essence de bois</w:t>
      </w:r>
    </w:p>
    <w:p w14:paraId="3227118F" w14:textId="77777777" w:rsidR="00DB2B68" w:rsidRDefault="00000000">
      <w:pPr>
        <w:jc w:val="both"/>
      </w:pPr>
      <w:r>
        <w:t>4 : la classe d’emploi des poutres et barres</w:t>
      </w:r>
    </w:p>
    <w:p w14:paraId="1FD95B2A" w14:textId="77777777" w:rsidR="00DB2B68" w:rsidRDefault="00000000">
      <w:pPr>
        <w:jc w:val="both"/>
      </w:pPr>
      <w:r>
        <w:t>5 : la méthode utilisée pour garantir la durabilité des poutres et barres</w:t>
      </w:r>
    </w:p>
    <w:p w14:paraId="708B2748" w14:textId="77777777" w:rsidR="00DB2B68" w:rsidRDefault="00000000">
      <w:pPr>
        <w:jc w:val="both"/>
      </w:pPr>
      <w:r>
        <w:t>Ce qui donne, par exemple :</w:t>
      </w:r>
    </w:p>
    <w:p w14:paraId="256EEADF" w14:textId="77777777" w:rsidR="00DB2B68" w:rsidRDefault="00000000">
      <w:pPr>
        <w:jc w:val="both"/>
      </w:pPr>
      <w:r>
        <w:t>BM C18 / 175x225 / Douglas / 2 / sans aubier</w:t>
      </w:r>
    </w:p>
    <w:p w14:paraId="2B352E47" w14:textId="77777777" w:rsidR="00DB2B68" w:rsidRDefault="00000000">
      <w:pPr>
        <w:pStyle w:val="Author-eSectionHeading6Numberless"/>
      </w:pPr>
      <w:bookmarkStart w:id="1594" w:name="_Toc220496584"/>
      <w:r>
        <w:t>24.13.1b Poutres et barres en bois massif à section circulaire CCTB 01.11</w:t>
      </w:r>
      <w:bookmarkEnd w:id="1594"/>
    </w:p>
    <w:p w14:paraId="323D154A" w14:textId="77777777" w:rsidR="00DB2B68" w:rsidRDefault="00000000">
      <w:pPr>
        <w:pStyle w:val="pheading"/>
      </w:pPr>
      <w:r>
        <w:t>DESCRIPTION</w:t>
      </w:r>
    </w:p>
    <w:p w14:paraId="6C6673E6" w14:textId="77777777" w:rsidR="00DB2B68" w:rsidRDefault="00000000">
      <w:pPr>
        <w:pStyle w:val="pheading"/>
      </w:pPr>
      <w:r>
        <w:t>- Définition / Comprend</w:t>
      </w:r>
    </w:p>
    <w:p w14:paraId="31792B5A" w14:textId="77777777" w:rsidR="00DB2B68" w:rsidRDefault="00000000">
      <w:r>
        <w:t>Il s'agit de l’ensemble des poutres et barres en bois à section circulaire.</w:t>
      </w:r>
    </w:p>
    <w:p w14:paraId="1080EBA6" w14:textId="77777777" w:rsidR="00DB2B68" w:rsidRDefault="00000000">
      <w:pPr>
        <w:pStyle w:val="pheading"/>
      </w:pPr>
      <w:r>
        <w:t>MATÉRIAUX</w:t>
      </w:r>
    </w:p>
    <w:p w14:paraId="3CDCEB83" w14:textId="77777777" w:rsidR="00DB2B68" w:rsidRDefault="00000000">
      <w:pPr>
        <w:pStyle w:val="pheading"/>
      </w:pPr>
      <w:r>
        <w:t>- Caractéristiques générales</w:t>
      </w:r>
    </w:p>
    <w:p w14:paraId="0243E0E0" w14:textId="77777777" w:rsidR="00DB2B68" w:rsidRDefault="00000000">
      <w:pPr>
        <w:jc w:val="both"/>
      </w:pPr>
      <w:r>
        <w:t>A l’heure actuelle, il n’est pas possible de classer les bois ronds en termes de résistance.</w:t>
      </w:r>
    </w:p>
    <w:p w14:paraId="0116B484" w14:textId="77777777" w:rsidR="00DB2B68" w:rsidRDefault="00000000">
      <w:pPr>
        <w:jc w:val="both"/>
      </w:pPr>
      <w:r>
        <w:t xml:space="preserve">Conicité maximale des poutres et barres : </w:t>
      </w:r>
      <w:r>
        <w:rPr>
          <w:rStyle w:val="optioncarChar"/>
        </w:rPr>
        <w:t>non-autorisée </w:t>
      </w:r>
      <w:r>
        <w:t xml:space="preserve">(par défaut) </w:t>
      </w:r>
      <w:r>
        <w:rPr>
          <w:rStyle w:val="optioncarChar"/>
        </w:rPr>
        <w:t>/ 5mm/m / 10 mm/m / ***</w:t>
      </w:r>
    </w:p>
    <w:p w14:paraId="5F17D5D7" w14:textId="77777777" w:rsidR="00DB2B68" w:rsidRDefault="00000000">
      <w:pPr>
        <w:jc w:val="both"/>
      </w:pPr>
      <w:r>
        <w:t xml:space="preserve">Diamètre de la section : </w:t>
      </w:r>
      <w:r>
        <w:rPr>
          <w:rStyle w:val="optioncarChar"/>
        </w:rPr>
        <w:t>Voir plans</w:t>
      </w:r>
      <w:r>
        <w:t xml:space="preserve"> (par défaut)</w:t>
      </w:r>
      <w:r>
        <w:rPr>
          <w:rStyle w:val="optioncarChar"/>
        </w:rPr>
        <w:t xml:space="preserve"> / *** mm</w:t>
      </w:r>
    </w:p>
    <w:p w14:paraId="3073782F" w14:textId="77777777" w:rsidR="00DB2B68" w:rsidRDefault="00000000">
      <w:pPr>
        <w:jc w:val="both"/>
      </w:pPr>
      <w:r>
        <w:t>Lorsqu’une conicité est autorisée, le diamètre prescrit est celui de la plus petite section.</w:t>
      </w:r>
    </w:p>
    <w:p w14:paraId="58D67D10"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3788AE6C" w14:textId="77777777" w:rsidR="00DB2B68" w:rsidRDefault="00000000">
      <w:pPr>
        <w:jc w:val="both"/>
      </w:pPr>
      <w:r>
        <w:t xml:space="preserve">Classe d’emploi : </w:t>
      </w:r>
      <w:r>
        <w:rPr>
          <w:rStyle w:val="optioncarChar"/>
        </w:rPr>
        <w:t>1 / 2 / 3 / 4 / 5</w:t>
      </w:r>
    </w:p>
    <w:p w14:paraId="11983663" w14:textId="77777777" w:rsidR="00DB2B68" w:rsidRDefault="00000000">
      <w:pPr>
        <w:jc w:val="both"/>
      </w:pPr>
      <w:r>
        <w:t xml:space="preserve">La durabilité des éléments,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A2.1 / ***</w:t>
      </w:r>
    </w:p>
    <w:p w14:paraId="176B1C94" w14:textId="77777777" w:rsidR="00DB2B68" w:rsidRDefault="00000000">
      <w:pPr>
        <w:pStyle w:val="pheading"/>
      </w:pPr>
      <w:r>
        <w:t>- Finitions</w:t>
      </w:r>
    </w:p>
    <w:p w14:paraId="03341E7B" w14:textId="77777777" w:rsidR="00DB2B68" w:rsidRDefault="00000000">
      <w:pPr>
        <w:jc w:val="both"/>
      </w:pPr>
      <w:r>
        <w:t xml:space="preserve">Les poutres et barres en bois massif à section circulaire sont </w:t>
      </w:r>
      <w:r>
        <w:rPr>
          <w:rStyle w:val="optioncarChar"/>
        </w:rPr>
        <w:t xml:space="preserve">rabotées </w:t>
      </w:r>
      <w:r>
        <w:t>(par défaut)</w:t>
      </w:r>
      <w:r>
        <w:rPr>
          <w:rStyle w:val="optioncarChar"/>
        </w:rPr>
        <w:t xml:space="preserve"> / brutes de sciage / poncées / ***.</w:t>
      </w:r>
    </w:p>
    <w:p w14:paraId="0181F774" w14:textId="77777777" w:rsidR="00DB2B68" w:rsidRDefault="00000000">
      <w:pPr>
        <w:jc w:val="both"/>
      </w:pPr>
      <w:r>
        <w:t xml:space="preserve">Les poutres et barres en bois massif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71FEDB68" w14:textId="77777777" w:rsidR="00DB2B68" w:rsidRDefault="00000000">
      <w:pPr>
        <w:pStyle w:val="pheading"/>
      </w:pPr>
      <w:r>
        <w:t>EXÉCUTION / MISE EN ŒUVRE</w:t>
      </w:r>
    </w:p>
    <w:p w14:paraId="59341371" w14:textId="77777777" w:rsidR="00DB2B68" w:rsidRDefault="00000000">
      <w:pPr>
        <w:pStyle w:val="pheading"/>
      </w:pPr>
      <w:r>
        <w:t>- Prescriptions générales</w:t>
      </w:r>
    </w:p>
    <w:p w14:paraId="3DDACE03" w14:textId="77777777" w:rsidR="00DB2B68" w:rsidRDefault="00000000">
      <w:pPr>
        <w:jc w:val="both"/>
      </w:pPr>
      <w:r>
        <w:t xml:space="preserve">Une entaille de retrait </w:t>
      </w:r>
      <w:r>
        <w:rPr>
          <w:rStyle w:val="optioncarChar"/>
        </w:rPr>
        <w:t xml:space="preserve">est prévue </w:t>
      </w:r>
      <w:r>
        <w:t>(par défaut)</w:t>
      </w:r>
      <w:r>
        <w:rPr>
          <w:rStyle w:val="optioncarChar"/>
        </w:rPr>
        <w:t xml:space="preserve"> / ***</w:t>
      </w:r>
      <w:r>
        <w:t xml:space="preserve"> sur la face inférieure des poutres et barres en bois massif extérieures.</w:t>
      </w:r>
    </w:p>
    <w:p w14:paraId="0E1E1B84" w14:textId="77777777" w:rsidR="00DB2B68" w:rsidRDefault="00000000">
      <w:pPr>
        <w:pStyle w:val="pheading"/>
      </w:pPr>
      <w:r>
        <w:t>MESURAGE</w:t>
      </w:r>
    </w:p>
    <w:p w14:paraId="341242F0" w14:textId="77777777" w:rsidR="00DB2B68" w:rsidRDefault="00000000">
      <w:pPr>
        <w:pStyle w:val="pheading"/>
      </w:pPr>
      <w:r>
        <w:t>- unité de mesure:</w:t>
      </w:r>
    </w:p>
    <w:p w14:paraId="3B9EBC91" w14:textId="77777777" w:rsidR="00DB2B68" w:rsidRDefault="00000000">
      <w:r>
        <w:rPr>
          <w:rStyle w:val="optioncarChar"/>
        </w:rPr>
        <w:t>m³ </w:t>
      </w:r>
      <w:r>
        <w:t>(par défaut)</w:t>
      </w:r>
      <w:r>
        <w:rPr>
          <w:rStyle w:val="optioncarChar"/>
        </w:rPr>
        <w:t> / m / pc</w:t>
      </w:r>
    </w:p>
    <w:p w14:paraId="53B4D62C" w14:textId="77777777" w:rsidR="00DB2B68" w:rsidRDefault="00000000">
      <w:r>
        <w:rPr>
          <w:b/>
          <w:i/>
        </w:rPr>
        <w:t>(Soit par défaut)</w:t>
      </w:r>
    </w:p>
    <w:p w14:paraId="5B894B78" w14:textId="77777777" w:rsidR="00DB2B68" w:rsidRDefault="00000000">
      <w:r>
        <w:rPr>
          <w:rStyle w:val="soitChar"/>
        </w:rPr>
        <w:t>1.    m³ </w:t>
      </w:r>
    </w:p>
    <w:p w14:paraId="3D21339A" w14:textId="77777777" w:rsidR="00DB2B68" w:rsidRDefault="00000000">
      <w:r>
        <w:rPr>
          <w:b/>
          <w:i/>
        </w:rPr>
        <w:t>(Soit)</w:t>
      </w:r>
    </w:p>
    <w:p w14:paraId="3DC58232" w14:textId="77777777" w:rsidR="00DB2B68" w:rsidRDefault="00000000">
      <w:r>
        <w:rPr>
          <w:rStyle w:val="soitChar"/>
        </w:rPr>
        <w:t>2.    m </w:t>
      </w:r>
    </w:p>
    <w:p w14:paraId="5D209D8A" w14:textId="77777777" w:rsidR="00DB2B68" w:rsidRDefault="00000000">
      <w:r>
        <w:rPr>
          <w:b/>
          <w:i/>
        </w:rPr>
        <w:lastRenderedPageBreak/>
        <w:t>(Soit)</w:t>
      </w:r>
    </w:p>
    <w:p w14:paraId="4748AE1E" w14:textId="77777777" w:rsidR="00DB2B68" w:rsidRDefault="00000000">
      <w:r>
        <w:rPr>
          <w:rStyle w:val="soitChar"/>
        </w:rPr>
        <w:t>3.    pc</w:t>
      </w:r>
    </w:p>
    <w:p w14:paraId="4A4C9FD2" w14:textId="77777777" w:rsidR="00DB2B68" w:rsidRDefault="00000000">
      <w:pPr>
        <w:pStyle w:val="pheading"/>
      </w:pPr>
      <w:r>
        <w:t>- code de mesurage:</w:t>
      </w:r>
    </w:p>
    <w:p w14:paraId="789C1CD8" w14:textId="77777777" w:rsidR="00DB2B68" w:rsidRDefault="00000000">
      <w:pPr>
        <w:jc w:val="both"/>
      </w:pPr>
      <w:r>
        <w:rPr>
          <w:rStyle w:val="optioncarChar"/>
        </w:rPr>
        <w:t> Volume brut </w:t>
      </w:r>
      <w:r>
        <w:t>(par défaut)</w:t>
      </w:r>
      <w:r>
        <w:rPr>
          <w:rStyle w:val="optioncarChar"/>
        </w:rPr>
        <w:t> / Longueur brute / Quantité nette</w:t>
      </w:r>
    </w:p>
    <w:p w14:paraId="180B7758" w14:textId="77777777" w:rsidR="00DB2B68" w:rsidRDefault="00000000">
      <w:pPr>
        <w:jc w:val="both"/>
      </w:pPr>
      <w:r>
        <w:rPr>
          <w:b/>
          <w:i/>
        </w:rPr>
        <w:t>(Soit par défaut)</w:t>
      </w:r>
    </w:p>
    <w:p w14:paraId="0AEE1B9A" w14:textId="77777777" w:rsidR="00DB2B68" w:rsidRDefault="00000000">
      <w:pPr>
        <w:jc w:val="both"/>
      </w:pPr>
      <w:r>
        <w:rPr>
          <w:rStyle w:val="soitChar"/>
        </w:rPr>
        <w:t>1.    </w:t>
      </w:r>
      <w:r>
        <w:rPr>
          <w:rStyle w:val="soitChar"/>
          <w:u w:val="single"/>
        </w:rPr>
        <w:t>Volume brut :</w:t>
      </w:r>
    </w:p>
    <w:p w14:paraId="6BA591FF" w14:textId="77777777" w:rsidR="00DB2B68" w:rsidRDefault="00000000">
      <w:pPr>
        <w:jc w:val="both"/>
      </w:pPr>
      <w:r>
        <w:rPr>
          <w:rStyle w:val="soitChar"/>
        </w:rPr>
        <w:t>Le volume brut d’une poutre/barre est calculé suivant le volume du plus petit parallélépipède rectangle pouvant inclure l’élément.</w:t>
      </w:r>
    </w:p>
    <w:p w14:paraId="49DEE689" w14:textId="77777777" w:rsidR="00DB2B68" w:rsidRDefault="00000000">
      <w:pPr>
        <w:jc w:val="both"/>
      </w:pPr>
      <w:r>
        <w:rPr>
          <w:b/>
          <w:i/>
        </w:rPr>
        <w:t> (Soit)</w:t>
      </w:r>
    </w:p>
    <w:p w14:paraId="073EFC33" w14:textId="77777777" w:rsidR="00DB2B68" w:rsidRDefault="00000000">
      <w:pPr>
        <w:jc w:val="both"/>
      </w:pPr>
      <w:r>
        <w:rPr>
          <w:rStyle w:val="soitChar"/>
        </w:rPr>
        <w:t>2.   </w:t>
      </w:r>
      <w:r>
        <w:rPr>
          <w:rStyle w:val="soitChar"/>
          <w:u w:val="single"/>
        </w:rPr>
        <w:t> Longueur brute :</w:t>
      </w:r>
    </w:p>
    <w:p w14:paraId="165DEF9F" w14:textId="77777777" w:rsidR="00DB2B68" w:rsidRDefault="00000000">
      <w:pPr>
        <w:jc w:val="both"/>
      </w:pPr>
      <w:r>
        <w:rPr>
          <w:rStyle w:val="soitChar"/>
        </w:rPr>
        <w:t>La longueur brute d’un élément est la cote maximale dans la direction longitudinale, longueur de bois utile pour l’assemblage comprise.</w:t>
      </w:r>
      <w:r>
        <w:t> </w:t>
      </w:r>
    </w:p>
    <w:p w14:paraId="2CBE57FE" w14:textId="77777777" w:rsidR="00DB2B68" w:rsidRDefault="00000000">
      <w:pPr>
        <w:jc w:val="both"/>
      </w:pPr>
      <w:r>
        <w:rPr>
          <w:rStyle w:val="soitChar"/>
        </w:rPr>
        <w:t>La longueur totale des poutres et barres ayant la même section et les mêmes caractéristiques est comptabilisée.</w:t>
      </w:r>
    </w:p>
    <w:p w14:paraId="1D426BB7" w14:textId="77777777" w:rsidR="00DB2B68" w:rsidRDefault="00000000">
      <w:pPr>
        <w:jc w:val="both"/>
      </w:pPr>
      <w:r>
        <w:rPr>
          <w:b/>
          <w:i/>
        </w:rPr>
        <w:t> (Soit)</w:t>
      </w:r>
    </w:p>
    <w:p w14:paraId="182B070D" w14:textId="77777777" w:rsidR="00DB2B68" w:rsidRDefault="00000000">
      <w:pPr>
        <w:jc w:val="both"/>
      </w:pPr>
      <w:r>
        <w:rPr>
          <w:rStyle w:val="soitChar"/>
        </w:rPr>
        <w:t>3.   </w:t>
      </w:r>
      <w:r>
        <w:rPr>
          <w:rStyle w:val="soitChar"/>
          <w:u w:val="single"/>
        </w:rPr>
        <w:t> Quantité nette :</w:t>
      </w:r>
    </w:p>
    <w:p w14:paraId="45BA40B5" w14:textId="77777777" w:rsidR="00DB2B68" w:rsidRDefault="00000000">
      <w:pPr>
        <w:jc w:val="both"/>
      </w:pPr>
      <w:r>
        <w:rPr>
          <w:rStyle w:val="soitChar"/>
        </w:rPr>
        <w:t>Le nombre de poutres et barres ayant les mêmes dimensions et les mêmes caractéristiques est compatibilisé.</w:t>
      </w:r>
    </w:p>
    <w:p w14:paraId="1551486F" w14:textId="77777777" w:rsidR="00DB2B68" w:rsidRDefault="00000000">
      <w:pPr>
        <w:pStyle w:val="pheading"/>
      </w:pPr>
      <w:r>
        <w:t>- nature du marché:</w:t>
      </w:r>
    </w:p>
    <w:p w14:paraId="6A547448" w14:textId="77777777" w:rsidR="00DB2B68" w:rsidRDefault="00000000">
      <w:r>
        <w:rPr>
          <w:rStyle w:val="optioncarChar"/>
        </w:rPr>
        <w:t>QF </w:t>
      </w:r>
      <w:r>
        <w:t>(par défaut) </w:t>
      </w:r>
      <w:r>
        <w:rPr>
          <w:rStyle w:val="optioncarChar"/>
        </w:rPr>
        <w:t>/ QP</w:t>
      </w:r>
    </w:p>
    <w:p w14:paraId="44FDE392" w14:textId="77777777" w:rsidR="00DB2B68" w:rsidRDefault="00000000">
      <w:r>
        <w:rPr>
          <w:b/>
          <w:i/>
        </w:rPr>
        <w:t>(Soit par défaut)</w:t>
      </w:r>
    </w:p>
    <w:p w14:paraId="5B1023B7" w14:textId="77777777" w:rsidR="00DB2B68" w:rsidRDefault="00000000">
      <w:r>
        <w:rPr>
          <w:rStyle w:val="soitChar"/>
        </w:rPr>
        <w:t>1.2.3     QF</w:t>
      </w:r>
    </w:p>
    <w:p w14:paraId="15370EDB" w14:textId="77777777" w:rsidR="00DB2B68" w:rsidRDefault="00000000">
      <w:r>
        <w:rPr>
          <w:b/>
          <w:i/>
        </w:rPr>
        <w:t>(Soit)</w:t>
      </w:r>
    </w:p>
    <w:p w14:paraId="7C41A632" w14:textId="77777777" w:rsidR="00DB2B68" w:rsidRDefault="00000000">
      <w:r>
        <w:rPr>
          <w:rStyle w:val="soitChar"/>
        </w:rPr>
        <w:t>1.2.3     QP</w:t>
      </w:r>
    </w:p>
    <w:p w14:paraId="7D91C6AB" w14:textId="77777777" w:rsidR="00DB2B68" w:rsidRDefault="00000000">
      <w:pPr>
        <w:pStyle w:val="pheading"/>
      </w:pPr>
      <w:r>
        <w:t>AIDE</w:t>
      </w:r>
    </w:p>
    <w:p w14:paraId="5C7F8DB9" w14:textId="77777777" w:rsidR="00DB2B68" w:rsidRDefault="00000000">
      <w:pPr>
        <w:jc w:val="both"/>
      </w:pPr>
      <w:r>
        <w:t>Le code suivant peut être utilisé pour la dénomination du poste :</w:t>
      </w:r>
    </w:p>
    <w:p w14:paraId="246CD8F0" w14:textId="77777777" w:rsidR="00DB2B68" w:rsidRDefault="00000000">
      <w:pPr>
        <w:jc w:val="both"/>
      </w:pPr>
      <w:r>
        <w:t>BM 1 / 2 / 3 / 4</w:t>
      </w:r>
    </w:p>
    <w:p w14:paraId="7ECB23C9" w14:textId="77777777" w:rsidR="00DB2B68" w:rsidRDefault="00000000">
      <w:pPr>
        <w:jc w:val="both"/>
      </w:pPr>
      <w:r>
        <w:t>Avec :</w:t>
      </w:r>
    </w:p>
    <w:p w14:paraId="5228C37D" w14:textId="77777777" w:rsidR="00DB2B68" w:rsidRDefault="00000000">
      <w:pPr>
        <w:jc w:val="both"/>
      </w:pPr>
      <w:r>
        <w:t>BM pour bois massif</w:t>
      </w:r>
    </w:p>
    <w:p w14:paraId="00E07ACA" w14:textId="77777777" w:rsidR="00DB2B68" w:rsidRDefault="00000000">
      <w:pPr>
        <w:jc w:val="both"/>
      </w:pPr>
      <w:r>
        <w:t>1 : le diamètre</w:t>
      </w:r>
    </w:p>
    <w:p w14:paraId="3ED34BD5" w14:textId="77777777" w:rsidR="00DB2B68" w:rsidRDefault="00000000">
      <w:pPr>
        <w:jc w:val="both"/>
      </w:pPr>
      <w:r>
        <w:t>2 : l’essence de bois</w:t>
      </w:r>
    </w:p>
    <w:p w14:paraId="4B1109EA" w14:textId="77777777" w:rsidR="00DB2B68" w:rsidRDefault="00000000">
      <w:pPr>
        <w:jc w:val="both"/>
      </w:pPr>
      <w:r>
        <w:t>3 : la classe d’emploi de l’élément</w:t>
      </w:r>
    </w:p>
    <w:p w14:paraId="67B62BA6" w14:textId="77777777" w:rsidR="00DB2B68" w:rsidRDefault="00000000">
      <w:pPr>
        <w:jc w:val="both"/>
      </w:pPr>
      <w:r>
        <w:t>4 : la méthode utilisée pour garantir la durabilité de l’élément</w:t>
      </w:r>
    </w:p>
    <w:p w14:paraId="52B570BF" w14:textId="77777777" w:rsidR="00DB2B68" w:rsidRDefault="00000000">
      <w:pPr>
        <w:jc w:val="both"/>
      </w:pPr>
      <w:r>
        <w:t> </w:t>
      </w:r>
    </w:p>
    <w:p w14:paraId="15B32961" w14:textId="77777777" w:rsidR="00DB2B68" w:rsidRDefault="00000000">
      <w:pPr>
        <w:jc w:val="both"/>
      </w:pPr>
      <w:r>
        <w:t>Ce qui donne, par exemple :</w:t>
      </w:r>
    </w:p>
    <w:p w14:paraId="1547277D" w14:textId="77777777" w:rsidR="00DB2B68" w:rsidRDefault="00000000">
      <w:pPr>
        <w:jc w:val="both"/>
      </w:pPr>
      <w:r>
        <w:t>BM D200 / Douglas / 2 / sans aubier</w:t>
      </w:r>
    </w:p>
    <w:p w14:paraId="65C29131" w14:textId="77777777" w:rsidR="00DB2B68" w:rsidRDefault="00000000">
      <w:pPr>
        <w:pStyle w:val="Author-eSectionHeading5Numberless"/>
      </w:pPr>
      <w:bookmarkStart w:id="1595" w:name="_Toc220496585"/>
      <w:r>
        <w:t>24.13.2 Poutres et barres en bois lamellé collé CCTB 01.07</w:t>
      </w:r>
      <w:bookmarkEnd w:id="1595"/>
    </w:p>
    <w:p w14:paraId="7448FA23" w14:textId="77777777" w:rsidR="00DB2B68" w:rsidRDefault="00000000">
      <w:pPr>
        <w:pStyle w:val="pheading"/>
      </w:pPr>
      <w:r>
        <w:t>DESCRIPTION</w:t>
      </w:r>
    </w:p>
    <w:p w14:paraId="2EB0FBCA" w14:textId="77777777" w:rsidR="00DB2B68" w:rsidRDefault="00000000">
      <w:pPr>
        <w:pStyle w:val="pheading"/>
      </w:pPr>
      <w:r>
        <w:t>- Définition / Comprend</w:t>
      </w:r>
    </w:p>
    <w:p w14:paraId="56B83D96" w14:textId="77777777" w:rsidR="00DB2B68" w:rsidRDefault="00000000">
      <w:r>
        <w:lastRenderedPageBreak/>
        <w:t xml:space="preserve">Il s’agit des poutres et barres en bois lamellé collé. La notion de bois lamellé collé est expliquée au </w:t>
      </w:r>
      <w:hyperlink w:anchor="89" w:history="1">
        <w:r>
          <w:rPr>
            <w:color w:val="0000EE"/>
          </w:rPr>
          <w:t>24 Superstructures en bois</w:t>
        </w:r>
      </w:hyperlink>
      <w:r>
        <w:t>.</w:t>
      </w:r>
    </w:p>
    <w:p w14:paraId="751F8F16" w14:textId="77777777" w:rsidR="00DB2B68" w:rsidRDefault="00000000">
      <w:pPr>
        <w:pStyle w:val="Author-eSectionHeading6Numberless"/>
      </w:pPr>
      <w:bookmarkStart w:id="1596" w:name="_Toc220496586"/>
      <w:r>
        <w:t>24.13.2a Poutres et barres en lamellé-collé à inertie constante CCTB 01.11</w:t>
      </w:r>
      <w:bookmarkEnd w:id="1596"/>
    </w:p>
    <w:p w14:paraId="56C138E6" w14:textId="77777777" w:rsidR="00DB2B68" w:rsidRDefault="00000000">
      <w:pPr>
        <w:pStyle w:val="pheading"/>
      </w:pPr>
      <w:r>
        <w:t>DESCRIPTION</w:t>
      </w:r>
    </w:p>
    <w:p w14:paraId="4DB0BDC6" w14:textId="77777777" w:rsidR="00DB2B68" w:rsidRDefault="00000000">
      <w:pPr>
        <w:pStyle w:val="pheading"/>
      </w:pPr>
      <w:r>
        <w:t>- Définition / Comprend</w:t>
      </w:r>
    </w:p>
    <w:p w14:paraId="106D3631" w14:textId="77777777" w:rsidR="00DB2B68" w:rsidRDefault="00000000">
      <w:r>
        <w:t>Il s'agit de l’ensemble des poutres et barres en bois lamellé collé à inertie constante.</w:t>
      </w:r>
    </w:p>
    <w:p w14:paraId="48C4A06F" w14:textId="77777777" w:rsidR="00DB2B68" w:rsidRDefault="00000000">
      <w:pPr>
        <w:pStyle w:val="pheading"/>
      </w:pPr>
      <w:r>
        <w:t>MATÉRIAUX</w:t>
      </w:r>
    </w:p>
    <w:p w14:paraId="3A4BA9BA" w14:textId="77777777" w:rsidR="00DB2B68" w:rsidRDefault="00000000">
      <w:pPr>
        <w:pStyle w:val="pheading"/>
      </w:pPr>
      <w:r>
        <w:t>- Caractéristiques générales</w:t>
      </w:r>
    </w:p>
    <w:p w14:paraId="03BB1187" w14:textId="77777777" w:rsidR="00DB2B68" w:rsidRDefault="00000000">
      <w:pPr>
        <w:jc w:val="both"/>
      </w:pPr>
      <w:r>
        <w:t xml:space="preserve">Classe de résistance : </w:t>
      </w:r>
      <w:r>
        <w:rPr>
          <w:rStyle w:val="optioncarChar"/>
        </w:rPr>
        <w:t>GL24h </w:t>
      </w:r>
      <w:r>
        <w:t>(par défaut)</w:t>
      </w:r>
      <w:r>
        <w:rPr>
          <w:rStyle w:val="optioncarChar"/>
        </w:rPr>
        <w:t xml:space="preserve"> / GL24c / GL28h / GL28c / ***</w:t>
      </w:r>
    </w:p>
    <w:p w14:paraId="3A9C0A10" w14:textId="77777777" w:rsidR="00DB2B68" w:rsidRDefault="00000000">
      <w:pPr>
        <w:jc w:val="both"/>
      </w:pPr>
      <w:r>
        <w:t xml:space="preserve">Dimensions de la section : </w:t>
      </w:r>
      <w:r>
        <w:rPr>
          <w:rStyle w:val="optioncarChar"/>
        </w:rPr>
        <w:t xml:space="preserve">Voir plans </w:t>
      </w:r>
      <w:r>
        <w:t>(par défaut)</w:t>
      </w:r>
      <w:r>
        <w:rPr>
          <w:rStyle w:val="optioncarChar"/>
        </w:rPr>
        <w:t xml:space="preserve"> / *** x *** mm²</w:t>
      </w:r>
    </w:p>
    <w:p w14:paraId="0F3ACD20" w14:textId="77777777" w:rsidR="00DB2B68" w:rsidRDefault="00000000">
      <w:pPr>
        <w:jc w:val="both"/>
      </w:pPr>
      <w:r>
        <w:t>Essence :</w:t>
      </w:r>
      <w:r>
        <w:rPr>
          <w:rStyle w:val="optioncarChar"/>
        </w:rPr>
        <w:t xml:space="preserve"> Résineuse </w:t>
      </w:r>
      <w:r>
        <w:t>(par défaut)</w:t>
      </w:r>
      <w:r>
        <w:rPr>
          <w:rStyle w:val="optioncarChar"/>
        </w:rPr>
        <w:t xml:space="preserve"> / feuillue / épicéa / douglas / chêne / hêtre / ***</w:t>
      </w:r>
    </w:p>
    <w:p w14:paraId="5DDBF8C6" w14:textId="77777777" w:rsidR="00DB2B68" w:rsidRDefault="00000000">
      <w:pPr>
        <w:jc w:val="both"/>
      </w:pPr>
      <w:r>
        <w:t xml:space="preserve">Classe d’emploi : </w:t>
      </w:r>
      <w:r>
        <w:rPr>
          <w:rStyle w:val="optioncarChar"/>
        </w:rPr>
        <w:t>1 / 2 / 3 / 4 / 5</w:t>
      </w:r>
    </w:p>
    <w:p w14:paraId="5AE3ADF4" w14:textId="77777777" w:rsidR="00DB2B68" w:rsidRDefault="00000000">
      <w:pPr>
        <w:jc w:val="both"/>
      </w:pPr>
      <w:r>
        <w:t>Classe d’émission de formaldéhyde :</w:t>
      </w:r>
      <w:r>
        <w:rPr>
          <w:rStyle w:val="optioncarChar"/>
        </w:rPr>
        <w:t xml:space="preserve"> E1 </w:t>
      </w:r>
      <w:r>
        <w:t xml:space="preserve">(par défaut) </w:t>
      </w:r>
      <w:r>
        <w:rPr>
          <w:rStyle w:val="optioncarChar"/>
        </w:rPr>
        <w:t>/ E2</w:t>
      </w:r>
    </w:p>
    <w:p w14:paraId="6B95444D" w14:textId="77777777" w:rsidR="00DB2B68"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586A35EF" w14:textId="77777777" w:rsidR="00DB2B68" w:rsidRDefault="00000000">
      <w:pPr>
        <w:pStyle w:val="pheading"/>
      </w:pPr>
      <w:r>
        <w:t>- Finitions</w:t>
      </w:r>
    </w:p>
    <w:p w14:paraId="7DA3E451" w14:textId="77777777" w:rsidR="00DB2B68" w:rsidRDefault="00000000">
      <w:pPr>
        <w:jc w:val="both"/>
      </w:pPr>
      <w:r>
        <w:t>Les poutres et barres en bois lamellé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137AF71B" w14:textId="77777777" w:rsidR="00DB2B68"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6F668E10" w14:textId="77777777" w:rsidR="00DB2B68" w:rsidRDefault="00000000">
      <w:pPr>
        <w:jc w:val="both"/>
      </w:pPr>
      <w:r>
        <w:t xml:space="preserve">Les poutres et barres en bois lamellé collé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4C64F20D" w14:textId="77777777" w:rsidR="00DB2B68" w:rsidRDefault="00000000">
      <w:pPr>
        <w:pStyle w:val="pheading"/>
      </w:pPr>
      <w:r>
        <w:t>- Prescriptions complémentaires</w:t>
      </w:r>
    </w:p>
    <w:p w14:paraId="57A6A879" w14:textId="77777777" w:rsidR="00DB2B68" w:rsidRDefault="00000000">
      <w:pPr>
        <w:jc w:val="both"/>
      </w:pPr>
      <w:r>
        <w:rPr>
          <w:rStyle w:val="facultChar"/>
        </w:rPr>
        <w:t>La qualité esthétique des poutres et barres est</w:t>
      </w:r>
      <w:r>
        <w:t>  </w:t>
      </w:r>
      <w:r>
        <w:rPr>
          <w:rStyle w:val="optioncarChar"/>
        </w:rPr>
        <w:t>non-visible / visible industrielle / visible habitation</w:t>
      </w:r>
    </w:p>
    <w:p w14:paraId="2F9A1C4D" w14:textId="77777777" w:rsidR="00DB2B68" w:rsidRDefault="00000000">
      <w:pPr>
        <w:pStyle w:val="pheading"/>
      </w:pPr>
      <w:r>
        <w:t>MESURAGE</w:t>
      </w:r>
    </w:p>
    <w:p w14:paraId="463C707E" w14:textId="77777777" w:rsidR="00DB2B68" w:rsidRDefault="00000000">
      <w:pPr>
        <w:pStyle w:val="pheading"/>
      </w:pPr>
      <w:r>
        <w:t>- unité de mesure:</w:t>
      </w:r>
    </w:p>
    <w:p w14:paraId="17B4664C" w14:textId="77777777" w:rsidR="00DB2B68" w:rsidRDefault="00000000">
      <w:r>
        <w:rPr>
          <w:rStyle w:val="optioncarChar"/>
        </w:rPr>
        <w:t>m³ </w:t>
      </w:r>
      <w:r>
        <w:t>(par défaut)</w:t>
      </w:r>
      <w:r>
        <w:rPr>
          <w:rStyle w:val="optioncarChar"/>
        </w:rPr>
        <w:t> / m / pc</w:t>
      </w:r>
    </w:p>
    <w:p w14:paraId="7EC520E3" w14:textId="77777777" w:rsidR="00DB2B68" w:rsidRDefault="00000000">
      <w:r>
        <w:rPr>
          <w:b/>
          <w:i/>
        </w:rPr>
        <w:t>(Soit par défaut)</w:t>
      </w:r>
    </w:p>
    <w:p w14:paraId="6B8B95E7" w14:textId="77777777" w:rsidR="00DB2B68" w:rsidRDefault="00000000">
      <w:r>
        <w:rPr>
          <w:rStyle w:val="soitChar"/>
        </w:rPr>
        <w:t>1.    m³ </w:t>
      </w:r>
    </w:p>
    <w:p w14:paraId="6502BF6B" w14:textId="77777777" w:rsidR="00DB2B68" w:rsidRDefault="00000000">
      <w:r>
        <w:rPr>
          <w:b/>
          <w:i/>
        </w:rPr>
        <w:t>(Soit)</w:t>
      </w:r>
    </w:p>
    <w:p w14:paraId="3576597E" w14:textId="77777777" w:rsidR="00DB2B68" w:rsidRDefault="00000000">
      <w:r>
        <w:rPr>
          <w:rStyle w:val="soitChar"/>
        </w:rPr>
        <w:t>2.    m </w:t>
      </w:r>
    </w:p>
    <w:p w14:paraId="185406A6" w14:textId="77777777" w:rsidR="00DB2B68" w:rsidRDefault="00000000">
      <w:r>
        <w:rPr>
          <w:b/>
          <w:i/>
        </w:rPr>
        <w:t>(Soit)</w:t>
      </w:r>
    </w:p>
    <w:p w14:paraId="6A8FD9E8" w14:textId="77777777" w:rsidR="00DB2B68" w:rsidRDefault="00000000">
      <w:r>
        <w:rPr>
          <w:rStyle w:val="soitChar"/>
        </w:rPr>
        <w:t>3.    pc</w:t>
      </w:r>
    </w:p>
    <w:p w14:paraId="2BA77DB0" w14:textId="77777777" w:rsidR="00DB2B68" w:rsidRDefault="00000000">
      <w:pPr>
        <w:pStyle w:val="pheading"/>
      </w:pPr>
      <w:r>
        <w:t>- code de mesurage:</w:t>
      </w:r>
    </w:p>
    <w:p w14:paraId="538D8BB3" w14:textId="77777777" w:rsidR="00DB2B68" w:rsidRDefault="00000000">
      <w:r>
        <w:rPr>
          <w:rStyle w:val="optioncarChar"/>
        </w:rPr>
        <w:t> Volume brut </w:t>
      </w:r>
      <w:r>
        <w:t>(par défaut)</w:t>
      </w:r>
      <w:r>
        <w:rPr>
          <w:rStyle w:val="optioncarChar"/>
        </w:rPr>
        <w:t> / Longueur brute / Quantité nette</w:t>
      </w:r>
    </w:p>
    <w:p w14:paraId="783525CB" w14:textId="77777777" w:rsidR="00DB2B68" w:rsidRDefault="00000000">
      <w:r>
        <w:rPr>
          <w:b/>
          <w:i/>
        </w:rPr>
        <w:t>(Soit par défaut)</w:t>
      </w:r>
    </w:p>
    <w:p w14:paraId="29F7DFCC" w14:textId="77777777" w:rsidR="00DB2B68" w:rsidRDefault="00000000">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2551631D" w14:textId="77777777" w:rsidR="00DB2B68" w:rsidRDefault="00000000">
      <w:r>
        <w:rPr>
          <w:b/>
          <w:i/>
        </w:rPr>
        <w:t> (Soit)</w:t>
      </w:r>
    </w:p>
    <w:p w14:paraId="3E540662" w14:textId="77777777" w:rsidR="00DB2B68" w:rsidRDefault="00000000">
      <w:r>
        <w:rPr>
          <w:rStyle w:val="soitChar"/>
        </w:rPr>
        <w:lastRenderedPageBreak/>
        <w:t>2.    </w:t>
      </w:r>
      <w:r>
        <w:rPr>
          <w:rStyle w:val="soitChar"/>
          <w:u w:val="single"/>
        </w:rPr>
        <w:t>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14:paraId="3885B5F1" w14:textId="77777777" w:rsidR="00DB2B68" w:rsidRDefault="00000000">
      <w:r>
        <w:rPr>
          <w:b/>
          <w:i/>
        </w:rPr>
        <w:t> (Soit)</w:t>
      </w:r>
    </w:p>
    <w:p w14:paraId="7CA1BE4E" w14:textId="77777777" w:rsidR="00DB2B68" w:rsidRDefault="00000000">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14:paraId="640EBBC8" w14:textId="77777777" w:rsidR="00DB2B68" w:rsidRDefault="00000000">
      <w:pPr>
        <w:pStyle w:val="pheading"/>
      </w:pPr>
      <w:r>
        <w:t>- nature du marché:</w:t>
      </w:r>
    </w:p>
    <w:p w14:paraId="2446D4D4" w14:textId="77777777" w:rsidR="00DB2B68" w:rsidRDefault="00000000">
      <w:r>
        <w:rPr>
          <w:rStyle w:val="optioncarChar"/>
        </w:rPr>
        <w:t>QF</w:t>
      </w:r>
      <w:r>
        <w:t> (par défaut)</w:t>
      </w:r>
      <w:r>
        <w:rPr>
          <w:rStyle w:val="optioncarChar"/>
        </w:rPr>
        <w:t> / QP</w:t>
      </w:r>
    </w:p>
    <w:p w14:paraId="4C5F9571" w14:textId="77777777" w:rsidR="00DB2B68" w:rsidRDefault="00000000">
      <w:r>
        <w:rPr>
          <w:b/>
          <w:i/>
        </w:rPr>
        <w:t>(Soit par défaut)</w:t>
      </w:r>
    </w:p>
    <w:p w14:paraId="09F4F462" w14:textId="77777777" w:rsidR="00DB2B68" w:rsidRDefault="00000000">
      <w:r>
        <w:rPr>
          <w:rStyle w:val="soitChar"/>
        </w:rPr>
        <w:t>1.2.3     QF</w:t>
      </w:r>
    </w:p>
    <w:p w14:paraId="15500F66" w14:textId="77777777" w:rsidR="00DB2B68" w:rsidRDefault="00000000">
      <w:r>
        <w:rPr>
          <w:b/>
          <w:i/>
        </w:rPr>
        <w:t>(Soit)</w:t>
      </w:r>
    </w:p>
    <w:p w14:paraId="3B6B6D95" w14:textId="77777777" w:rsidR="00DB2B68" w:rsidRDefault="00000000">
      <w:r>
        <w:rPr>
          <w:rStyle w:val="soitChar"/>
        </w:rPr>
        <w:t>1.2.3     QP</w:t>
      </w:r>
    </w:p>
    <w:p w14:paraId="2357C971" w14:textId="77777777" w:rsidR="00DB2B68" w:rsidRDefault="00000000">
      <w:pPr>
        <w:pStyle w:val="pheading"/>
      </w:pPr>
      <w:r>
        <w:t>AIDE</w:t>
      </w:r>
    </w:p>
    <w:p w14:paraId="79D7C57F" w14:textId="77777777" w:rsidR="00DB2B68" w:rsidRDefault="00000000">
      <w:pPr>
        <w:jc w:val="both"/>
      </w:pPr>
      <w:r>
        <w:t>Le code suivant peut être utilisé pour la dénomination du poste :</w:t>
      </w:r>
    </w:p>
    <w:p w14:paraId="65C083FC" w14:textId="77777777" w:rsidR="00DB2B68" w:rsidRDefault="00000000">
      <w:pPr>
        <w:jc w:val="both"/>
      </w:pPr>
      <w:r>
        <w:t>BLC 1 / 2 / 3 / 4 / 5</w:t>
      </w:r>
    </w:p>
    <w:p w14:paraId="25943549" w14:textId="77777777" w:rsidR="00DB2B68" w:rsidRDefault="00000000">
      <w:pPr>
        <w:jc w:val="both"/>
      </w:pPr>
      <w:r>
        <w:t>Avec :</w:t>
      </w:r>
    </w:p>
    <w:p w14:paraId="41CD0A16" w14:textId="77777777" w:rsidR="00DB2B68" w:rsidRDefault="00000000">
      <w:pPr>
        <w:jc w:val="both"/>
      </w:pPr>
      <w:r>
        <w:t>BLC pour bois lamellé collé</w:t>
      </w:r>
    </w:p>
    <w:p w14:paraId="7208BC4A" w14:textId="77777777" w:rsidR="00DB2B68" w:rsidRDefault="00000000">
      <w:pPr>
        <w:jc w:val="both"/>
      </w:pPr>
      <w:r>
        <w:t>1 : la classe de résistance des poutres et barres</w:t>
      </w:r>
    </w:p>
    <w:p w14:paraId="542C5BF7" w14:textId="77777777" w:rsidR="00DB2B68" w:rsidRDefault="00000000">
      <w:pPr>
        <w:jc w:val="both"/>
      </w:pPr>
      <w:r>
        <w:t>2 : la section</w:t>
      </w:r>
    </w:p>
    <w:p w14:paraId="44D100F3" w14:textId="77777777" w:rsidR="00DB2B68" w:rsidRDefault="00000000">
      <w:pPr>
        <w:jc w:val="both"/>
      </w:pPr>
      <w:r>
        <w:t>3 : l’essence de bois</w:t>
      </w:r>
    </w:p>
    <w:p w14:paraId="211E4B89" w14:textId="77777777" w:rsidR="00DB2B68" w:rsidRDefault="00000000">
      <w:pPr>
        <w:jc w:val="both"/>
      </w:pPr>
      <w:r>
        <w:t>4 : la classe d’emploi des poutres et barres</w:t>
      </w:r>
    </w:p>
    <w:p w14:paraId="224497C5" w14:textId="77777777" w:rsidR="00DB2B68" w:rsidRDefault="00000000">
      <w:pPr>
        <w:jc w:val="both"/>
      </w:pPr>
      <w:r>
        <w:t>5 : la méthode utilisée pour garantir la durabilité des poutres et barres</w:t>
      </w:r>
    </w:p>
    <w:p w14:paraId="3C7F219B" w14:textId="77777777" w:rsidR="00DB2B68" w:rsidRDefault="00000000">
      <w:pPr>
        <w:jc w:val="both"/>
      </w:pPr>
      <w:r>
        <w:t> </w:t>
      </w:r>
    </w:p>
    <w:p w14:paraId="74390442" w14:textId="77777777" w:rsidR="00DB2B68" w:rsidRDefault="00000000">
      <w:pPr>
        <w:jc w:val="both"/>
      </w:pPr>
      <w:r>
        <w:t>Ce qui donne, par exemple :</w:t>
      </w:r>
    </w:p>
    <w:p w14:paraId="4A6546B8" w14:textId="77777777" w:rsidR="00DB2B68" w:rsidRDefault="00000000">
      <w:pPr>
        <w:jc w:val="both"/>
      </w:pPr>
      <w:r>
        <w:t>BLC GL24c / 120x200 / épicéa / 2 / A2.2</w:t>
      </w:r>
    </w:p>
    <w:p w14:paraId="2A56ECAB" w14:textId="77777777" w:rsidR="00DB2B68" w:rsidRDefault="00000000">
      <w:pPr>
        <w:pStyle w:val="Author-eSectionHeading6Numberless"/>
      </w:pPr>
      <w:bookmarkStart w:id="1597" w:name="_Toc220496587"/>
      <w:r>
        <w:t>24.13.2b Poutres et barres en lamellé-collé à inertie variable CCTB 01.11</w:t>
      </w:r>
      <w:bookmarkEnd w:id="1597"/>
    </w:p>
    <w:p w14:paraId="63C21E35" w14:textId="77777777" w:rsidR="00DB2B68" w:rsidRDefault="00000000">
      <w:pPr>
        <w:pStyle w:val="pheading"/>
      </w:pPr>
      <w:r>
        <w:t>DESCRIPTION</w:t>
      </w:r>
    </w:p>
    <w:p w14:paraId="290DB909" w14:textId="77777777" w:rsidR="00DB2B68" w:rsidRDefault="00000000">
      <w:pPr>
        <w:pStyle w:val="pheading"/>
      </w:pPr>
      <w:r>
        <w:t>- Définition / Comprend</w:t>
      </w:r>
    </w:p>
    <w:p w14:paraId="0E8069AF" w14:textId="77777777" w:rsidR="00DB2B68" w:rsidRDefault="00000000">
      <w:r>
        <w:t>Il s'agit de l’ensemble des poutres et barres en bois lamellé collé et à inertie variable.</w:t>
      </w:r>
    </w:p>
    <w:p w14:paraId="6F632920" w14:textId="77777777" w:rsidR="00DB2B68" w:rsidRDefault="00000000">
      <w:pPr>
        <w:pStyle w:val="pheading"/>
      </w:pPr>
      <w:r>
        <w:t>MATÉRIAUX</w:t>
      </w:r>
    </w:p>
    <w:p w14:paraId="4A2DA690" w14:textId="77777777" w:rsidR="00DB2B68" w:rsidRDefault="00000000">
      <w:pPr>
        <w:pStyle w:val="pheading"/>
      </w:pPr>
      <w:r>
        <w:t>- Caractéristiques générales</w:t>
      </w:r>
    </w:p>
    <w:p w14:paraId="545BB88E" w14:textId="77777777" w:rsidR="00DB2B68" w:rsidRDefault="00000000">
      <w:pPr>
        <w:jc w:val="both"/>
      </w:pPr>
      <w:r>
        <w:t xml:space="preserve">Classe de résistance : </w:t>
      </w:r>
      <w:r>
        <w:rPr>
          <w:rStyle w:val="optioncarChar"/>
        </w:rPr>
        <w:t>GL24h </w:t>
      </w:r>
      <w:r>
        <w:t xml:space="preserve">(par défaut) </w:t>
      </w:r>
      <w:r>
        <w:rPr>
          <w:rStyle w:val="optioncarChar"/>
        </w:rPr>
        <w:t>/ GL24c / GL28h / GL28c / ***</w:t>
      </w:r>
    </w:p>
    <w:p w14:paraId="5DC3FC0C" w14:textId="77777777" w:rsidR="00DB2B68" w:rsidRDefault="00000000">
      <w:pPr>
        <w:jc w:val="both"/>
      </w:pPr>
      <w:r>
        <w:t>La géométrie des poutres et barres est décrite dans les plans.</w:t>
      </w:r>
    </w:p>
    <w:p w14:paraId="42A937BE" w14:textId="77777777" w:rsidR="00DB2B68" w:rsidRDefault="00000000">
      <w:pPr>
        <w:jc w:val="both"/>
      </w:pPr>
      <w:r>
        <w:t xml:space="preserve">Essence : </w:t>
      </w:r>
      <w:r>
        <w:rPr>
          <w:rStyle w:val="optioncarChar"/>
        </w:rPr>
        <w:t>Résineuse (par défaut) / feuillue / épicéa / douglas / chêne / hêtre / ***</w:t>
      </w:r>
    </w:p>
    <w:p w14:paraId="70CC56A0" w14:textId="77777777" w:rsidR="00DB2B68" w:rsidRDefault="00000000">
      <w:pPr>
        <w:jc w:val="both"/>
      </w:pPr>
      <w:r>
        <w:t>Classe d’emploi :</w:t>
      </w:r>
      <w:r>
        <w:rPr>
          <w:rStyle w:val="optioncarChar"/>
        </w:rPr>
        <w:t xml:space="preserve"> 1 / 2 / 3 / 4 / 5</w:t>
      </w:r>
    </w:p>
    <w:p w14:paraId="6A2439D3" w14:textId="77777777" w:rsidR="00DB2B68" w:rsidRDefault="00000000">
      <w:pPr>
        <w:jc w:val="both"/>
      </w:pPr>
      <w:r>
        <w:t>Classe d’émission de formaldéhyde :</w:t>
      </w:r>
      <w:r>
        <w:rPr>
          <w:rStyle w:val="optioncarChar"/>
        </w:rPr>
        <w:t xml:space="preserve"> E1 </w:t>
      </w:r>
      <w:r>
        <w:t>(par défaut)</w:t>
      </w:r>
      <w:r>
        <w:rPr>
          <w:rStyle w:val="optioncarChar"/>
        </w:rPr>
        <w:t xml:space="preserve"> / E2</w:t>
      </w:r>
    </w:p>
    <w:p w14:paraId="0ACB3DAE" w14:textId="77777777" w:rsidR="00DB2B68" w:rsidRDefault="00000000">
      <w:pPr>
        <w:jc w:val="both"/>
      </w:pPr>
      <w:r>
        <w:lastRenderedPageBreak/>
        <w:t xml:space="preserve">La durabilité des poutres et barres,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w:t>
      </w:r>
    </w:p>
    <w:p w14:paraId="3209F083" w14:textId="77777777" w:rsidR="00DB2B68" w:rsidRDefault="00000000">
      <w:pPr>
        <w:pStyle w:val="pheading"/>
      </w:pPr>
      <w:r>
        <w:t>- Finitions</w:t>
      </w:r>
    </w:p>
    <w:p w14:paraId="425CA330" w14:textId="77777777" w:rsidR="00DB2B68" w:rsidRDefault="00000000">
      <w:pPr>
        <w:jc w:val="both"/>
      </w:pPr>
      <w:r>
        <w:t xml:space="preserve">Les poutres et barres en bois lamellé collé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76ED3ADB" w14:textId="77777777" w:rsidR="00DB2B68"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05F7DC46" w14:textId="77777777" w:rsidR="00DB2B68" w:rsidRDefault="00000000">
      <w:pPr>
        <w:jc w:val="both"/>
      </w:pPr>
      <w:r>
        <w:t xml:space="preserve">Les poutres et barres en bois lamellé collé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10CA0E86" w14:textId="77777777" w:rsidR="00DB2B68" w:rsidRDefault="00000000">
      <w:pPr>
        <w:pStyle w:val="pheading"/>
      </w:pPr>
      <w:r>
        <w:t>- Prescriptions complémentaires</w:t>
      </w:r>
    </w:p>
    <w:p w14:paraId="329BDAC9" w14:textId="77777777" w:rsidR="00DB2B68" w:rsidRDefault="00000000">
      <w:r>
        <w:rPr>
          <w:rStyle w:val="facultChar"/>
        </w:rPr>
        <w:t>La qualité esthétique des poutres et barres est</w:t>
      </w:r>
      <w:r>
        <w:t>  </w:t>
      </w:r>
      <w:r>
        <w:rPr>
          <w:rStyle w:val="optioncarChar"/>
        </w:rPr>
        <w:t>non-visible / visible industrielle / visible habitation</w:t>
      </w:r>
    </w:p>
    <w:p w14:paraId="20251C06" w14:textId="77777777" w:rsidR="00DB2B68" w:rsidRDefault="00000000">
      <w:pPr>
        <w:pStyle w:val="pheading"/>
      </w:pPr>
      <w:r>
        <w:t>MESURAGE</w:t>
      </w:r>
    </w:p>
    <w:p w14:paraId="4AB0E533" w14:textId="77777777" w:rsidR="00DB2B68" w:rsidRDefault="00000000">
      <w:pPr>
        <w:pStyle w:val="pheading"/>
      </w:pPr>
      <w:r>
        <w:t>- unité de mesure:</w:t>
      </w:r>
    </w:p>
    <w:p w14:paraId="7F55B941" w14:textId="77777777" w:rsidR="00DB2B68" w:rsidRDefault="00000000">
      <w:r>
        <w:rPr>
          <w:rStyle w:val="optioncarChar"/>
        </w:rPr>
        <w:t>m³ </w:t>
      </w:r>
      <w:r>
        <w:t>(par défaut)</w:t>
      </w:r>
      <w:r>
        <w:rPr>
          <w:rStyle w:val="optioncarChar"/>
        </w:rPr>
        <w:t> / m / pc</w:t>
      </w:r>
    </w:p>
    <w:p w14:paraId="16B0E9C1" w14:textId="77777777" w:rsidR="00DB2B68" w:rsidRDefault="00000000">
      <w:r>
        <w:rPr>
          <w:b/>
          <w:i/>
        </w:rPr>
        <w:t>(Soit par défaut)</w:t>
      </w:r>
    </w:p>
    <w:p w14:paraId="1C043D66" w14:textId="77777777" w:rsidR="00DB2B68" w:rsidRDefault="00000000">
      <w:r>
        <w:rPr>
          <w:rStyle w:val="soitChar"/>
        </w:rPr>
        <w:t>1.    m³ </w:t>
      </w:r>
    </w:p>
    <w:p w14:paraId="69B432F1" w14:textId="77777777" w:rsidR="00DB2B68" w:rsidRDefault="00000000">
      <w:r>
        <w:rPr>
          <w:b/>
          <w:i/>
        </w:rPr>
        <w:t>(Soit)</w:t>
      </w:r>
    </w:p>
    <w:p w14:paraId="41132CEE" w14:textId="77777777" w:rsidR="00DB2B68" w:rsidRDefault="00000000">
      <w:r>
        <w:rPr>
          <w:rStyle w:val="soitChar"/>
        </w:rPr>
        <w:t>2.    m </w:t>
      </w:r>
    </w:p>
    <w:p w14:paraId="17AF7716" w14:textId="77777777" w:rsidR="00DB2B68" w:rsidRDefault="00000000">
      <w:r>
        <w:rPr>
          <w:b/>
          <w:i/>
        </w:rPr>
        <w:t>(Soit)</w:t>
      </w:r>
    </w:p>
    <w:p w14:paraId="41784B8D" w14:textId="77777777" w:rsidR="00DB2B68" w:rsidRDefault="00000000">
      <w:r>
        <w:rPr>
          <w:rStyle w:val="soitChar"/>
        </w:rPr>
        <w:t>3.    pc</w:t>
      </w:r>
    </w:p>
    <w:p w14:paraId="3EF741C8" w14:textId="77777777" w:rsidR="00DB2B68" w:rsidRDefault="00000000">
      <w:pPr>
        <w:pStyle w:val="pheading"/>
      </w:pPr>
      <w:r>
        <w:t>- code de mesurage:</w:t>
      </w:r>
    </w:p>
    <w:p w14:paraId="2EA35C2A" w14:textId="77777777" w:rsidR="00DB2B68" w:rsidRDefault="00000000">
      <w:r>
        <w:rPr>
          <w:rStyle w:val="optioncarChar"/>
        </w:rPr>
        <w:t> Volume brut </w:t>
      </w:r>
      <w:r>
        <w:t>(par défaut) </w:t>
      </w:r>
      <w:r>
        <w:rPr>
          <w:rStyle w:val="optioncarChar"/>
        </w:rPr>
        <w:t>/ Longueur brute / Quantité nette</w:t>
      </w:r>
    </w:p>
    <w:p w14:paraId="4C138E2D" w14:textId="77777777" w:rsidR="00DB2B68" w:rsidRDefault="00000000">
      <w:r>
        <w:rPr>
          <w:b/>
          <w:i/>
        </w:rPr>
        <w:t>(Soit par défaut)</w:t>
      </w:r>
    </w:p>
    <w:p w14:paraId="254222CD" w14:textId="77777777" w:rsidR="00DB2B68" w:rsidRDefault="00000000">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753DCCC4" w14:textId="77777777" w:rsidR="00DB2B68" w:rsidRDefault="00000000">
      <w:r>
        <w:rPr>
          <w:b/>
          <w:i/>
        </w:rPr>
        <w:t> (Soit)</w:t>
      </w:r>
    </w:p>
    <w:p w14:paraId="5EE5612E" w14:textId="77777777" w:rsidR="00DB2B68" w:rsidRDefault="00000000">
      <w:r>
        <w:rPr>
          <w:rStyle w:val="soitChar"/>
        </w:rPr>
        <w:t>2.    </w:t>
      </w:r>
      <w:r>
        <w:rPr>
          <w:rStyle w:val="soitChar"/>
          <w:u w:val="single"/>
        </w:rPr>
        <w:t>Longueur brute :</w:t>
      </w:r>
      <w:r>
        <w:br/>
      </w:r>
      <w:r>
        <w:rPr>
          <w:rStyle w:val="soitChar"/>
        </w:rPr>
        <w:t>La longueur brute d’un élément est la cote maximale dans la direction longitudinale de la développée de l'élément, longueur de bois utile pour l’assemblage comprise. </w:t>
      </w:r>
      <w:r>
        <w:br/>
      </w:r>
      <w:r>
        <w:rPr>
          <w:rStyle w:val="soitChar"/>
        </w:rPr>
        <w:t>La longueur totale des poutres et barres ayant la même section et les mêmes caractéristiques est comptabilisée.</w:t>
      </w:r>
    </w:p>
    <w:p w14:paraId="20CE03CB" w14:textId="77777777" w:rsidR="00DB2B68" w:rsidRDefault="00000000">
      <w:r>
        <w:rPr>
          <w:b/>
          <w:i/>
        </w:rPr>
        <w:t> (Soit)</w:t>
      </w:r>
    </w:p>
    <w:p w14:paraId="1A7453AC" w14:textId="77777777" w:rsidR="00DB2B68" w:rsidRDefault="00000000">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14:paraId="7BBAA78D" w14:textId="77777777" w:rsidR="00DB2B68" w:rsidRDefault="00000000">
      <w:pPr>
        <w:pStyle w:val="pheading"/>
      </w:pPr>
      <w:r>
        <w:t>- nature du marché:</w:t>
      </w:r>
    </w:p>
    <w:p w14:paraId="42BAC3A9" w14:textId="77777777" w:rsidR="00DB2B68" w:rsidRDefault="00000000">
      <w:r>
        <w:rPr>
          <w:rStyle w:val="optioncarChar"/>
        </w:rPr>
        <w:t>QF</w:t>
      </w:r>
      <w:r>
        <w:t> (par défaut) </w:t>
      </w:r>
      <w:r>
        <w:rPr>
          <w:rStyle w:val="optioncarChar"/>
        </w:rPr>
        <w:t>/ QP</w:t>
      </w:r>
    </w:p>
    <w:p w14:paraId="11F0F28E" w14:textId="77777777" w:rsidR="00DB2B68" w:rsidRDefault="00000000">
      <w:r>
        <w:rPr>
          <w:b/>
          <w:i/>
        </w:rPr>
        <w:t>(Soit par défaut)</w:t>
      </w:r>
    </w:p>
    <w:p w14:paraId="6395E1FD" w14:textId="77777777" w:rsidR="00DB2B68" w:rsidRDefault="00000000">
      <w:r>
        <w:rPr>
          <w:rStyle w:val="soitChar"/>
        </w:rPr>
        <w:t>1.2.3     QF</w:t>
      </w:r>
    </w:p>
    <w:p w14:paraId="080B8DCA" w14:textId="77777777" w:rsidR="00DB2B68" w:rsidRDefault="00000000">
      <w:r>
        <w:rPr>
          <w:b/>
          <w:i/>
        </w:rPr>
        <w:t>(Soit)</w:t>
      </w:r>
    </w:p>
    <w:p w14:paraId="3E4B40EB" w14:textId="77777777" w:rsidR="00DB2B68" w:rsidRDefault="00000000">
      <w:r>
        <w:rPr>
          <w:rStyle w:val="soitChar"/>
        </w:rPr>
        <w:t>1.2.3     QP</w:t>
      </w:r>
    </w:p>
    <w:p w14:paraId="68065C99" w14:textId="77777777" w:rsidR="00DB2B68" w:rsidRDefault="00000000">
      <w:pPr>
        <w:pStyle w:val="pheading"/>
      </w:pPr>
      <w:r>
        <w:lastRenderedPageBreak/>
        <w:t>AIDE</w:t>
      </w:r>
    </w:p>
    <w:p w14:paraId="571B42A1" w14:textId="77777777" w:rsidR="00DB2B68" w:rsidRDefault="00000000">
      <w:pPr>
        <w:jc w:val="both"/>
      </w:pPr>
      <w:r>
        <w:t>Le code suivant peut être utilisé pour la dénomination du poste :</w:t>
      </w:r>
    </w:p>
    <w:p w14:paraId="4BD80DA7" w14:textId="77777777" w:rsidR="00DB2B68" w:rsidRDefault="00000000">
      <w:pPr>
        <w:jc w:val="both"/>
      </w:pPr>
      <w:r>
        <w:t>BLC 1 / 2 / 3 / 4 / 5</w:t>
      </w:r>
    </w:p>
    <w:p w14:paraId="3A90A07A" w14:textId="77777777" w:rsidR="00DB2B68" w:rsidRDefault="00000000">
      <w:pPr>
        <w:jc w:val="both"/>
      </w:pPr>
      <w:r>
        <w:t>Avec :</w:t>
      </w:r>
    </w:p>
    <w:p w14:paraId="596935DF" w14:textId="77777777" w:rsidR="00DB2B68" w:rsidRDefault="00000000">
      <w:pPr>
        <w:jc w:val="both"/>
      </w:pPr>
      <w:r>
        <w:t>BLC pour bois lamellé collé</w:t>
      </w:r>
    </w:p>
    <w:p w14:paraId="344485C7" w14:textId="77777777" w:rsidR="00DB2B68" w:rsidRDefault="00000000">
      <w:pPr>
        <w:jc w:val="both"/>
      </w:pPr>
      <w:r>
        <w:t>1 : la classe de résistance des poutres et barres</w:t>
      </w:r>
    </w:p>
    <w:p w14:paraId="43CCEDFF" w14:textId="77777777" w:rsidR="00DB2B68" w:rsidRDefault="00000000">
      <w:pPr>
        <w:jc w:val="both"/>
      </w:pPr>
      <w:r>
        <w:t>2 : la section – ici : variable</w:t>
      </w:r>
    </w:p>
    <w:p w14:paraId="27D32D26" w14:textId="77777777" w:rsidR="00DB2B68" w:rsidRDefault="00000000">
      <w:pPr>
        <w:jc w:val="both"/>
      </w:pPr>
      <w:r>
        <w:t>3 : l’essence de bois</w:t>
      </w:r>
    </w:p>
    <w:p w14:paraId="6B77D8A7" w14:textId="77777777" w:rsidR="00DB2B68" w:rsidRDefault="00000000">
      <w:pPr>
        <w:jc w:val="both"/>
      </w:pPr>
      <w:r>
        <w:t>4 : la classe d’emploi des poutres et barres</w:t>
      </w:r>
    </w:p>
    <w:p w14:paraId="6FBF744E" w14:textId="77777777" w:rsidR="00DB2B68" w:rsidRDefault="00000000">
      <w:pPr>
        <w:jc w:val="both"/>
      </w:pPr>
      <w:r>
        <w:t>5 : la méthode utilisée pour garantir la durabilité des poutres et barres</w:t>
      </w:r>
    </w:p>
    <w:p w14:paraId="1EDDB512" w14:textId="77777777" w:rsidR="00DB2B68" w:rsidRDefault="00000000">
      <w:pPr>
        <w:jc w:val="both"/>
      </w:pPr>
      <w:r>
        <w:t>Ce qui donne, par exemple :</w:t>
      </w:r>
    </w:p>
    <w:p w14:paraId="3A783A32" w14:textId="77777777" w:rsidR="00DB2B68" w:rsidRDefault="00000000">
      <w:pPr>
        <w:jc w:val="both"/>
      </w:pPr>
      <w:r>
        <w:t>BLC GL24c / variable / épicéa / 2 / A2.2</w:t>
      </w:r>
    </w:p>
    <w:p w14:paraId="315D7505" w14:textId="77777777" w:rsidR="00DB2B68" w:rsidRDefault="00000000">
      <w:pPr>
        <w:pStyle w:val="Author-eSectionHeading5Numberless"/>
      </w:pPr>
      <w:bookmarkStart w:id="1598" w:name="_Toc220496588"/>
      <w:r>
        <w:t>24.13.3 Poutres et barres en bois lamellé collé en bloc CCTB 01.07</w:t>
      </w:r>
      <w:bookmarkEnd w:id="1598"/>
    </w:p>
    <w:p w14:paraId="695F0706" w14:textId="77777777" w:rsidR="00DB2B68" w:rsidRDefault="00000000">
      <w:pPr>
        <w:pStyle w:val="pheading"/>
      </w:pPr>
      <w:r>
        <w:t>DESCRIPTION</w:t>
      </w:r>
    </w:p>
    <w:p w14:paraId="7D9D5295" w14:textId="77777777" w:rsidR="00DB2B68" w:rsidRDefault="00000000">
      <w:pPr>
        <w:pStyle w:val="pheading"/>
      </w:pPr>
      <w:r>
        <w:t>- Définition / Comprend</w:t>
      </w:r>
    </w:p>
    <w:p w14:paraId="1776236E" w14:textId="77777777" w:rsidR="00DB2B68" w:rsidRDefault="00000000">
      <w:r>
        <w:t xml:space="preserve">Il s’agit des poutres et barres en bois lamellé collé en bloc. La notion de bois lamellé collé bloc est expliquée au </w:t>
      </w:r>
      <w:hyperlink w:anchor="89" w:history="1">
        <w:r>
          <w:rPr>
            <w:color w:val="0000EE"/>
          </w:rPr>
          <w:t>24 Superstructures en bois</w:t>
        </w:r>
      </w:hyperlink>
      <w:r>
        <w:t>.</w:t>
      </w:r>
    </w:p>
    <w:p w14:paraId="2A39EBD5" w14:textId="77777777" w:rsidR="00DB2B68" w:rsidRDefault="00000000">
      <w:pPr>
        <w:pStyle w:val="Author-eSectionHeading6Numberless"/>
      </w:pPr>
      <w:bookmarkStart w:id="1599" w:name="_Toc220496589"/>
      <w:r>
        <w:t>24.13.3a Poutres et barres en bois lamellé collé en bloc à inertie constante CCTB 01.11</w:t>
      </w:r>
      <w:bookmarkEnd w:id="1599"/>
    </w:p>
    <w:p w14:paraId="0B191F0D" w14:textId="77777777" w:rsidR="00DB2B68" w:rsidRDefault="00000000">
      <w:pPr>
        <w:pStyle w:val="pheading"/>
      </w:pPr>
      <w:r>
        <w:t>DESCRIPTION</w:t>
      </w:r>
    </w:p>
    <w:p w14:paraId="5DC8F2F0" w14:textId="77777777" w:rsidR="00DB2B68" w:rsidRDefault="00000000">
      <w:pPr>
        <w:pStyle w:val="pheading"/>
      </w:pPr>
      <w:r>
        <w:t>- Définition / Comprend</w:t>
      </w:r>
    </w:p>
    <w:p w14:paraId="011CCA64" w14:textId="77777777" w:rsidR="00DB2B68" w:rsidRDefault="00000000">
      <w:r>
        <w:t>Il s'agit de l’ensemble des poutres et barres en bois lamellé collé en bloc à inertie constante.</w:t>
      </w:r>
    </w:p>
    <w:p w14:paraId="488D12B4" w14:textId="77777777" w:rsidR="00DB2B68" w:rsidRDefault="00000000">
      <w:pPr>
        <w:pStyle w:val="pheading"/>
      </w:pPr>
      <w:r>
        <w:t>MATÉRIAUX</w:t>
      </w:r>
    </w:p>
    <w:p w14:paraId="67135BF4" w14:textId="77777777" w:rsidR="00DB2B68" w:rsidRDefault="00000000">
      <w:pPr>
        <w:pStyle w:val="pheading"/>
      </w:pPr>
      <w:r>
        <w:t>- Caractéristiques générales</w:t>
      </w:r>
    </w:p>
    <w:p w14:paraId="6CBB9FC4" w14:textId="77777777" w:rsidR="00DB2B68" w:rsidRDefault="00000000">
      <w:pPr>
        <w:jc w:val="both"/>
      </w:pPr>
      <w:r>
        <w:t xml:space="preserve">Classe de résistance : </w:t>
      </w:r>
      <w:r>
        <w:rPr>
          <w:rStyle w:val="optioncarChar"/>
        </w:rPr>
        <w:t>GL24h</w:t>
      </w:r>
      <w:r>
        <w:t xml:space="preserve"> (par défaut)</w:t>
      </w:r>
      <w:r>
        <w:rPr>
          <w:rStyle w:val="optioncarChar"/>
        </w:rPr>
        <w:t> / GL24c / GL28h / GL28c / ***</w:t>
      </w:r>
    </w:p>
    <w:p w14:paraId="74ED1344" w14:textId="77777777" w:rsidR="00DB2B68" w:rsidRDefault="00000000">
      <w:pPr>
        <w:jc w:val="both"/>
      </w:pPr>
      <w:r>
        <w:t xml:space="preserve">Dimensions de la section : </w:t>
      </w:r>
      <w:r>
        <w:rPr>
          <w:rStyle w:val="optioncarChar"/>
        </w:rPr>
        <w:t xml:space="preserve">Voir plans </w:t>
      </w:r>
      <w:r>
        <w:t xml:space="preserve">(par défaut) </w:t>
      </w:r>
      <w:r>
        <w:rPr>
          <w:rStyle w:val="optioncarChar"/>
        </w:rPr>
        <w:t>/ *** x *** mm²</w:t>
      </w:r>
    </w:p>
    <w:p w14:paraId="46091BA7" w14:textId="77777777" w:rsidR="00DB2B68" w:rsidRDefault="00000000">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6676AA8F" w14:textId="77777777" w:rsidR="00DB2B68" w:rsidRDefault="00000000">
      <w:pPr>
        <w:jc w:val="both"/>
      </w:pPr>
      <w:r>
        <w:t xml:space="preserve">Classe d’emploi : </w:t>
      </w:r>
      <w:r>
        <w:rPr>
          <w:rStyle w:val="optioncarChar"/>
        </w:rPr>
        <w:t>1 / 2 / 3 / 4 / 5</w:t>
      </w:r>
    </w:p>
    <w:p w14:paraId="717A286E" w14:textId="77777777" w:rsidR="00DB2B68" w:rsidRDefault="00000000">
      <w:pPr>
        <w:jc w:val="both"/>
      </w:pPr>
      <w:r>
        <w:t>Classe d’émission de formaldéhyde :</w:t>
      </w:r>
      <w:r>
        <w:rPr>
          <w:rStyle w:val="optioncarChar"/>
        </w:rPr>
        <w:t xml:space="preserve"> E1 </w:t>
      </w:r>
      <w:r>
        <w:t xml:space="preserve">(par défaut) </w:t>
      </w:r>
      <w:r>
        <w:rPr>
          <w:rStyle w:val="optioncarChar"/>
        </w:rPr>
        <w:t>/ E2</w:t>
      </w:r>
    </w:p>
    <w:p w14:paraId="766E0728" w14:textId="77777777" w:rsidR="00DB2B68"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76158BD4" w14:textId="77777777" w:rsidR="00DB2B68" w:rsidRDefault="00000000">
      <w:pPr>
        <w:pStyle w:val="pheading"/>
      </w:pPr>
      <w:r>
        <w:t>- Finitions</w:t>
      </w:r>
    </w:p>
    <w:p w14:paraId="33A23F6C" w14:textId="77777777" w:rsidR="00DB2B68" w:rsidRDefault="00000000">
      <w:pPr>
        <w:jc w:val="both"/>
      </w:pPr>
      <w:r>
        <w:t xml:space="preserve">Les poutres et barres en bois 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w:t>
      </w:r>
      <w:r>
        <w:t> faces.</w:t>
      </w:r>
    </w:p>
    <w:p w14:paraId="7267F25D" w14:textId="77777777" w:rsidR="00DB2B68"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18C9DBB7" w14:textId="77777777" w:rsidR="00DB2B68" w:rsidRDefault="00000000">
      <w:pPr>
        <w:jc w:val="both"/>
      </w:pPr>
      <w:r>
        <w:t xml:space="preserve">Les poutres et barres en bois lamellé collé en bloc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12FEADC3" w14:textId="77777777" w:rsidR="00DB2B68" w:rsidRDefault="00000000">
      <w:pPr>
        <w:pStyle w:val="pheading"/>
      </w:pPr>
      <w:r>
        <w:t>- Prescriptions complémentaires</w:t>
      </w:r>
    </w:p>
    <w:p w14:paraId="4F5CC0BF" w14:textId="77777777" w:rsidR="00DB2B68" w:rsidRDefault="00000000">
      <w:r>
        <w:rPr>
          <w:rStyle w:val="facultChar"/>
        </w:rPr>
        <w:t>La qualité esthétique des poutres et barres est</w:t>
      </w:r>
      <w:r>
        <w:t xml:space="preserve">  </w:t>
      </w:r>
      <w:r>
        <w:rPr>
          <w:rStyle w:val="optioncarChar"/>
        </w:rPr>
        <w:t>non-visible / visible industrielle / visible habitation</w:t>
      </w:r>
    </w:p>
    <w:p w14:paraId="345B2DFD" w14:textId="77777777" w:rsidR="00DB2B68" w:rsidRDefault="00000000">
      <w:pPr>
        <w:pStyle w:val="pheading"/>
      </w:pPr>
      <w:r>
        <w:lastRenderedPageBreak/>
        <w:t>MESURAGE</w:t>
      </w:r>
    </w:p>
    <w:p w14:paraId="29000B25" w14:textId="77777777" w:rsidR="00DB2B68" w:rsidRDefault="00000000">
      <w:pPr>
        <w:pStyle w:val="pheading"/>
      </w:pPr>
      <w:r>
        <w:t>- unité de mesure:</w:t>
      </w:r>
    </w:p>
    <w:p w14:paraId="01B841D1" w14:textId="77777777" w:rsidR="00DB2B68" w:rsidRDefault="00000000">
      <w:r>
        <w:rPr>
          <w:rStyle w:val="optioncarChar"/>
        </w:rPr>
        <w:t>m³ </w:t>
      </w:r>
      <w:r>
        <w:t>(par défaut)</w:t>
      </w:r>
      <w:r>
        <w:rPr>
          <w:rStyle w:val="optioncarChar"/>
        </w:rPr>
        <w:t> / m / pc</w:t>
      </w:r>
    </w:p>
    <w:p w14:paraId="14C1AB52" w14:textId="77777777" w:rsidR="00DB2B68" w:rsidRDefault="00000000">
      <w:r>
        <w:rPr>
          <w:b/>
          <w:i/>
        </w:rPr>
        <w:t>(Soit par défaut)</w:t>
      </w:r>
    </w:p>
    <w:p w14:paraId="64D62BB3" w14:textId="77777777" w:rsidR="00DB2B68" w:rsidRDefault="00000000">
      <w:r>
        <w:rPr>
          <w:rStyle w:val="soitChar"/>
        </w:rPr>
        <w:t>1.    m³ </w:t>
      </w:r>
    </w:p>
    <w:p w14:paraId="07576ABE" w14:textId="77777777" w:rsidR="00DB2B68" w:rsidRDefault="00000000">
      <w:r>
        <w:rPr>
          <w:b/>
          <w:i/>
        </w:rPr>
        <w:t>(Soit)</w:t>
      </w:r>
    </w:p>
    <w:p w14:paraId="3FA6A00A" w14:textId="77777777" w:rsidR="00DB2B68" w:rsidRDefault="00000000">
      <w:r>
        <w:rPr>
          <w:rStyle w:val="soitChar"/>
        </w:rPr>
        <w:t>2.    m </w:t>
      </w:r>
    </w:p>
    <w:p w14:paraId="76566F21" w14:textId="77777777" w:rsidR="00DB2B68" w:rsidRDefault="00000000">
      <w:r>
        <w:rPr>
          <w:b/>
          <w:i/>
        </w:rPr>
        <w:t>(Soit)</w:t>
      </w:r>
    </w:p>
    <w:p w14:paraId="6CF23A79" w14:textId="77777777" w:rsidR="00DB2B68" w:rsidRDefault="00000000">
      <w:r>
        <w:rPr>
          <w:rStyle w:val="soitChar"/>
        </w:rPr>
        <w:t>3.    pc</w:t>
      </w:r>
    </w:p>
    <w:p w14:paraId="23BA2CF8" w14:textId="77777777" w:rsidR="00DB2B68" w:rsidRDefault="00000000">
      <w:pPr>
        <w:pStyle w:val="pheading"/>
      </w:pPr>
      <w:r>
        <w:t>- code de mesurage:</w:t>
      </w:r>
    </w:p>
    <w:p w14:paraId="385BE70F" w14:textId="77777777" w:rsidR="00DB2B68" w:rsidRDefault="00000000">
      <w:r>
        <w:rPr>
          <w:rStyle w:val="optioncarChar"/>
        </w:rPr>
        <w:t> Volume brut </w:t>
      </w:r>
      <w:r>
        <w:t>(par défaut) </w:t>
      </w:r>
      <w:r>
        <w:rPr>
          <w:rStyle w:val="optioncarChar"/>
        </w:rPr>
        <w:t>/ Longueur brute / Quantité nette</w:t>
      </w:r>
    </w:p>
    <w:p w14:paraId="38BBF06F" w14:textId="77777777" w:rsidR="00DB2B68" w:rsidRDefault="00000000">
      <w:r>
        <w:rPr>
          <w:b/>
          <w:i/>
        </w:rPr>
        <w:t>(Soit par défaut)</w:t>
      </w:r>
    </w:p>
    <w:p w14:paraId="1D039ED4" w14:textId="77777777" w:rsidR="00DB2B68" w:rsidRDefault="00000000">
      <w:r>
        <w:rPr>
          <w:rStyle w:val="soitChar"/>
        </w:rPr>
        <w:t xml:space="preserve">1.  </w:t>
      </w:r>
      <w:r>
        <w:rPr>
          <w:rStyle w:val="soitChar"/>
          <w:u w:val="single"/>
        </w:rPr>
        <w:t>  Volume brut :</w:t>
      </w:r>
      <w:r>
        <w:br/>
      </w:r>
      <w:r>
        <w:rPr>
          <w:rStyle w:val="soitChar"/>
        </w:rPr>
        <w:t>Le volume brut d’une poutre/barre est calculé suivant le volume du plus petit parallélépipède rectangle pouvant inclure l’élément.</w:t>
      </w:r>
    </w:p>
    <w:p w14:paraId="2EF0EFF3" w14:textId="77777777" w:rsidR="00DB2B68" w:rsidRDefault="00000000">
      <w:r>
        <w:rPr>
          <w:b/>
          <w:i/>
        </w:rPr>
        <w:t> (Soit)</w:t>
      </w:r>
    </w:p>
    <w:p w14:paraId="6C321B4F" w14:textId="77777777" w:rsidR="00DB2B68" w:rsidRDefault="00000000">
      <w:r>
        <w:rPr>
          <w:rStyle w:val="soitChar"/>
        </w:rPr>
        <w:t>2.   </w:t>
      </w:r>
      <w:r>
        <w:rPr>
          <w:rStyle w:val="soitChar"/>
          <w:u w:val="single"/>
        </w:rPr>
        <w:t> 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14:paraId="594EA454" w14:textId="77777777" w:rsidR="00DB2B68" w:rsidRDefault="00000000">
      <w:r>
        <w:rPr>
          <w:b/>
          <w:i/>
        </w:rPr>
        <w:t> (Soit)</w:t>
      </w:r>
    </w:p>
    <w:p w14:paraId="39030375" w14:textId="77777777" w:rsidR="00DB2B68" w:rsidRDefault="00000000">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14:paraId="43A86A48" w14:textId="77777777" w:rsidR="00DB2B68" w:rsidRDefault="00000000">
      <w:pPr>
        <w:pStyle w:val="pheading"/>
      </w:pPr>
      <w:r>
        <w:t>- nature du marché:</w:t>
      </w:r>
    </w:p>
    <w:p w14:paraId="2F0230A3" w14:textId="77777777" w:rsidR="00DB2B68" w:rsidRDefault="00000000">
      <w:r>
        <w:rPr>
          <w:rStyle w:val="optioncarChar"/>
        </w:rPr>
        <w:t>QF </w:t>
      </w:r>
      <w:r>
        <w:t>(par défaut) </w:t>
      </w:r>
      <w:r>
        <w:rPr>
          <w:rStyle w:val="optioncarChar"/>
        </w:rPr>
        <w:t>/ QP</w:t>
      </w:r>
    </w:p>
    <w:p w14:paraId="0210A6F3" w14:textId="77777777" w:rsidR="00DB2B68" w:rsidRDefault="00000000">
      <w:r>
        <w:rPr>
          <w:b/>
          <w:i/>
        </w:rPr>
        <w:t>(Soit par défaut)</w:t>
      </w:r>
    </w:p>
    <w:p w14:paraId="53E16190" w14:textId="77777777" w:rsidR="00DB2B68" w:rsidRDefault="00000000">
      <w:r>
        <w:rPr>
          <w:rStyle w:val="soitChar"/>
        </w:rPr>
        <w:t>1.2.3     QF</w:t>
      </w:r>
    </w:p>
    <w:p w14:paraId="0868AE61" w14:textId="77777777" w:rsidR="00DB2B68" w:rsidRDefault="00000000">
      <w:r>
        <w:rPr>
          <w:b/>
          <w:i/>
        </w:rPr>
        <w:t>(Soit)</w:t>
      </w:r>
    </w:p>
    <w:p w14:paraId="32F67A48" w14:textId="77777777" w:rsidR="00DB2B68" w:rsidRDefault="00000000">
      <w:r>
        <w:rPr>
          <w:rStyle w:val="soitChar"/>
        </w:rPr>
        <w:t>1.2.3     QP</w:t>
      </w:r>
    </w:p>
    <w:p w14:paraId="34BDFB17" w14:textId="77777777" w:rsidR="00DB2B68" w:rsidRDefault="00000000">
      <w:pPr>
        <w:pStyle w:val="pheading"/>
      </w:pPr>
      <w:r>
        <w:t>AIDE</w:t>
      </w:r>
    </w:p>
    <w:p w14:paraId="77568083" w14:textId="77777777" w:rsidR="00DB2B68" w:rsidRDefault="00000000">
      <w:pPr>
        <w:jc w:val="both"/>
      </w:pPr>
      <w:r>
        <w:t>Le code suivant peut être utilisé pour la dénomination du poste :</w:t>
      </w:r>
    </w:p>
    <w:p w14:paraId="4C8D15A7" w14:textId="77777777" w:rsidR="00DB2B68" w:rsidRDefault="00000000">
      <w:pPr>
        <w:jc w:val="both"/>
      </w:pPr>
      <w:r>
        <w:t>BLCb 1 / 2 / 3 / 4 / 5</w:t>
      </w:r>
    </w:p>
    <w:p w14:paraId="5B848F71" w14:textId="77777777" w:rsidR="00DB2B68" w:rsidRDefault="00000000">
      <w:pPr>
        <w:jc w:val="both"/>
      </w:pPr>
      <w:r>
        <w:t>Avec :</w:t>
      </w:r>
    </w:p>
    <w:p w14:paraId="077FD1D9" w14:textId="77777777" w:rsidR="00DB2B68" w:rsidRDefault="00000000">
      <w:pPr>
        <w:jc w:val="both"/>
      </w:pPr>
      <w:r>
        <w:t>BLCb pour bois lamellé collé en bloc</w:t>
      </w:r>
    </w:p>
    <w:p w14:paraId="4DA2259B" w14:textId="77777777" w:rsidR="00DB2B68" w:rsidRDefault="00000000">
      <w:pPr>
        <w:jc w:val="both"/>
      </w:pPr>
      <w:r>
        <w:t>1 : la classe de résistance des poutres et barres</w:t>
      </w:r>
    </w:p>
    <w:p w14:paraId="608998DA" w14:textId="77777777" w:rsidR="00DB2B68" w:rsidRDefault="00000000">
      <w:pPr>
        <w:jc w:val="both"/>
      </w:pPr>
      <w:r>
        <w:t>2 : la section</w:t>
      </w:r>
    </w:p>
    <w:p w14:paraId="19B9D277" w14:textId="77777777" w:rsidR="00DB2B68" w:rsidRDefault="00000000">
      <w:pPr>
        <w:jc w:val="both"/>
      </w:pPr>
      <w:r>
        <w:t>3 : l’essence de bois</w:t>
      </w:r>
    </w:p>
    <w:p w14:paraId="08CBEEF5" w14:textId="77777777" w:rsidR="00DB2B68" w:rsidRDefault="00000000">
      <w:pPr>
        <w:jc w:val="both"/>
      </w:pPr>
      <w:r>
        <w:t>4 : la classe d’emploi des poutres et barres</w:t>
      </w:r>
    </w:p>
    <w:p w14:paraId="129AEAAC" w14:textId="77777777" w:rsidR="00DB2B68" w:rsidRDefault="00000000">
      <w:pPr>
        <w:jc w:val="both"/>
      </w:pPr>
      <w:r>
        <w:t>5 : la méthode utilisée pour garantir la durabilité des poutres et barres</w:t>
      </w:r>
    </w:p>
    <w:p w14:paraId="5C298EC4" w14:textId="77777777" w:rsidR="00DB2B68" w:rsidRDefault="00000000">
      <w:pPr>
        <w:jc w:val="both"/>
      </w:pPr>
      <w:r>
        <w:lastRenderedPageBreak/>
        <w:t> </w:t>
      </w:r>
    </w:p>
    <w:p w14:paraId="4156DD94" w14:textId="77777777" w:rsidR="00DB2B68" w:rsidRDefault="00000000">
      <w:pPr>
        <w:jc w:val="both"/>
      </w:pPr>
      <w:r>
        <w:t>Ce qui donne, par exemple :</w:t>
      </w:r>
    </w:p>
    <w:p w14:paraId="3C7F5194" w14:textId="77777777" w:rsidR="00DB2B68" w:rsidRDefault="00000000">
      <w:pPr>
        <w:jc w:val="both"/>
      </w:pPr>
      <w:r>
        <w:t>BLCb GL24c / 120x200 / épicéa / 2 / A2.2</w:t>
      </w:r>
    </w:p>
    <w:p w14:paraId="7B697A4C" w14:textId="77777777" w:rsidR="00DB2B68" w:rsidRDefault="00000000">
      <w:pPr>
        <w:pStyle w:val="Author-eSectionHeading6Numberless"/>
      </w:pPr>
      <w:bookmarkStart w:id="1600" w:name="_Toc220496590"/>
      <w:r>
        <w:t>24.13.3b Poutres et barres en bois lamellé collé en bloc à inertie variable CCTB 01.11</w:t>
      </w:r>
      <w:bookmarkEnd w:id="1600"/>
    </w:p>
    <w:p w14:paraId="1885A628" w14:textId="77777777" w:rsidR="00DB2B68" w:rsidRDefault="00000000">
      <w:pPr>
        <w:pStyle w:val="pheading"/>
      </w:pPr>
      <w:r>
        <w:t>DESCRIPTION</w:t>
      </w:r>
    </w:p>
    <w:p w14:paraId="5A43F969" w14:textId="77777777" w:rsidR="00DB2B68" w:rsidRDefault="00000000">
      <w:pPr>
        <w:pStyle w:val="pheading"/>
      </w:pPr>
      <w:r>
        <w:t>- Définition / Comprend</w:t>
      </w:r>
    </w:p>
    <w:p w14:paraId="7CC429C7" w14:textId="77777777" w:rsidR="00DB2B68" w:rsidRDefault="00000000">
      <w:r>
        <w:t>Il s'agit de l’ensemble des poutres et barres en bois lamellé collé en bloc et à inertie variable.</w:t>
      </w:r>
    </w:p>
    <w:p w14:paraId="0C83A212" w14:textId="77777777" w:rsidR="00DB2B68" w:rsidRDefault="00000000">
      <w:pPr>
        <w:pStyle w:val="pheading"/>
      </w:pPr>
      <w:r>
        <w:t>MATÉRIAUX</w:t>
      </w:r>
    </w:p>
    <w:p w14:paraId="30ED39DF" w14:textId="77777777" w:rsidR="00DB2B68" w:rsidRDefault="00000000">
      <w:pPr>
        <w:pStyle w:val="pheading"/>
      </w:pPr>
      <w:r>
        <w:t>- Caractéristiques générales</w:t>
      </w:r>
    </w:p>
    <w:p w14:paraId="17D1F5BC" w14:textId="77777777" w:rsidR="00DB2B68" w:rsidRDefault="00000000">
      <w:pPr>
        <w:jc w:val="both"/>
      </w:pPr>
      <w:r>
        <w:t>Classe de résistance :</w:t>
      </w:r>
      <w:r>
        <w:rPr>
          <w:rStyle w:val="optioncarChar"/>
        </w:rPr>
        <w:t xml:space="preserve"> GL24h </w:t>
      </w:r>
      <w:r>
        <w:t>(par défaut)</w:t>
      </w:r>
      <w:r>
        <w:rPr>
          <w:rStyle w:val="optioncarChar"/>
        </w:rPr>
        <w:t xml:space="preserve"> / GL24c / GL28h / GL28c / ***</w:t>
      </w:r>
    </w:p>
    <w:p w14:paraId="6CCCD8FA" w14:textId="77777777" w:rsidR="00DB2B68" w:rsidRDefault="00000000">
      <w:pPr>
        <w:jc w:val="both"/>
      </w:pPr>
      <w:r>
        <w:t>La géométrie des poutres et barres est décrite dans les plans.</w:t>
      </w:r>
    </w:p>
    <w:p w14:paraId="09ACEB0E" w14:textId="77777777" w:rsidR="00DB2B68" w:rsidRDefault="00000000">
      <w:pPr>
        <w:jc w:val="both"/>
      </w:pPr>
      <w:r>
        <w:t xml:space="preserve">Essence : </w:t>
      </w:r>
      <w:r>
        <w:rPr>
          <w:rStyle w:val="optioncarChar"/>
        </w:rPr>
        <w:t>Résineuse</w:t>
      </w:r>
      <w:r>
        <w:t xml:space="preserve"> (par défaut)</w:t>
      </w:r>
      <w:r>
        <w:rPr>
          <w:rStyle w:val="optioncarChar"/>
        </w:rPr>
        <w:t xml:space="preserve"> / feuillue / épicéa / douglas / chêne / hêtre / ***</w:t>
      </w:r>
    </w:p>
    <w:p w14:paraId="49C231DB" w14:textId="77777777" w:rsidR="00DB2B68" w:rsidRDefault="00000000">
      <w:pPr>
        <w:jc w:val="both"/>
      </w:pPr>
      <w:r>
        <w:t xml:space="preserve">Classe d’emploi : </w:t>
      </w:r>
      <w:r>
        <w:rPr>
          <w:rStyle w:val="optioncarChar"/>
        </w:rPr>
        <w:t>1 / 2 / 3 / 4 / 5</w:t>
      </w:r>
    </w:p>
    <w:p w14:paraId="39FF7A1F" w14:textId="77777777" w:rsidR="00DB2B68" w:rsidRDefault="00000000">
      <w:pPr>
        <w:jc w:val="both"/>
      </w:pPr>
      <w:r>
        <w:t>Classe d’émission de formaldéhyde :</w:t>
      </w:r>
      <w:r>
        <w:rPr>
          <w:rStyle w:val="optioncarChar"/>
        </w:rPr>
        <w:t xml:space="preserve"> E1 </w:t>
      </w:r>
      <w:r>
        <w:t xml:space="preserve">(par défaut) </w:t>
      </w:r>
      <w:r>
        <w:rPr>
          <w:rStyle w:val="optioncarChar"/>
        </w:rPr>
        <w:t>/ E2</w:t>
      </w:r>
    </w:p>
    <w:p w14:paraId="18FCCFC1" w14:textId="77777777" w:rsidR="00DB2B68"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35BAE672" w14:textId="77777777" w:rsidR="00DB2B68" w:rsidRDefault="00000000">
      <w:pPr>
        <w:pStyle w:val="pheading"/>
      </w:pPr>
      <w:r>
        <w:t>- Finitions</w:t>
      </w:r>
    </w:p>
    <w:p w14:paraId="5E277A41" w14:textId="77777777" w:rsidR="00DB2B68" w:rsidRDefault="00000000">
      <w:pPr>
        <w:jc w:val="both"/>
      </w:pPr>
      <w:r>
        <w:t xml:space="preserve">Les poutres et barres en bois lamellé collé en bloc sont </w:t>
      </w:r>
      <w:r>
        <w:rPr>
          <w:rStyle w:val="optioncarChar"/>
        </w:rPr>
        <w:t>rabotées</w:t>
      </w:r>
      <w:r>
        <w:t xml:space="preserve"> (par défaut) </w:t>
      </w:r>
      <w:r>
        <w:rPr>
          <w:rStyle w:val="optioncarChar"/>
        </w:rPr>
        <w:t>/ brutes de sciage /  poncées / *** </w:t>
      </w:r>
      <w:r>
        <w:t>sur </w:t>
      </w:r>
      <w:r>
        <w:rPr>
          <w:rStyle w:val="optioncarChar"/>
        </w:rPr>
        <w:t>1 / 2 / 3 / 4 </w:t>
      </w:r>
      <w:r>
        <w:t>faces.</w:t>
      </w:r>
    </w:p>
    <w:p w14:paraId="2B89FD76" w14:textId="77777777" w:rsidR="00DB2B68" w:rsidRDefault="00000000">
      <w:pPr>
        <w:jc w:val="both"/>
      </w:pPr>
      <w:r>
        <w:t>Les arrêtes sont</w:t>
      </w:r>
      <w:r>
        <w:rPr>
          <w:rStyle w:val="optioncarChar"/>
        </w:rPr>
        <w:t xml:space="preserve"> vives </w:t>
      </w:r>
      <w:r>
        <w:t xml:space="preserve">(par défaut) </w:t>
      </w:r>
      <w:r>
        <w:rPr>
          <w:rStyle w:val="optioncarChar"/>
        </w:rPr>
        <w:t>/ chanfreinées / ***</w:t>
      </w:r>
    </w:p>
    <w:p w14:paraId="67CD5648" w14:textId="77777777" w:rsidR="00DB2B68" w:rsidRDefault="00000000">
      <w:pPr>
        <w:jc w:val="both"/>
      </w:pPr>
      <w:r>
        <w:t xml:space="preserve">Les poutres et barres en bois lamellé collé en bloc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4B73EDC2" w14:textId="77777777" w:rsidR="00DB2B68" w:rsidRDefault="00000000">
      <w:pPr>
        <w:pStyle w:val="pheading"/>
      </w:pPr>
      <w:r>
        <w:t>- Prescriptions complémentaires</w:t>
      </w:r>
    </w:p>
    <w:p w14:paraId="39751101" w14:textId="77777777" w:rsidR="00DB2B68" w:rsidRDefault="00000000">
      <w:r>
        <w:rPr>
          <w:rStyle w:val="facultChar"/>
        </w:rPr>
        <w:t>La qualité esthétique des poutres et barres est</w:t>
      </w:r>
      <w:r>
        <w:t>  </w:t>
      </w:r>
      <w:r>
        <w:rPr>
          <w:rStyle w:val="optioncarChar"/>
        </w:rPr>
        <w:t>non-visible / visible industrielle / visible habitation</w:t>
      </w:r>
    </w:p>
    <w:p w14:paraId="5B1A31EC" w14:textId="77777777" w:rsidR="00DB2B68" w:rsidRDefault="00000000">
      <w:pPr>
        <w:pStyle w:val="pheading"/>
      </w:pPr>
      <w:r>
        <w:t>MESURAGE</w:t>
      </w:r>
    </w:p>
    <w:p w14:paraId="16FA0D6B" w14:textId="77777777" w:rsidR="00DB2B68" w:rsidRDefault="00000000">
      <w:pPr>
        <w:pStyle w:val="pheading"/>
      </w:pPr>
      <w:r>
        <w:t>- unité de mesure:</w:t>
      </w:r>
    </w:p>
    <w:p w14:paraId="11E17DD1" w14:textId="77777777" w:rsidR="00DB2B68" w:rsidRDefault="00000000">
      <w:r>
        <w:rPr>
          <w:rStyle w:val="optioncarChar"/>
        </w:rPr>
        <w:t>m³ </w:t>
      </w:r>
      <w:r>
        <w:t>(par défaut)</w:t>
      </w:r>
      <w:r>
        <w:rPr>
          <w:rStyle w:val="optioncarChar"/>
        </w:rPr>
        <w:t> / m / pc</w:t>
      </w:r>
    </w:p>
    <w:p w14:paraId="12A47A65" w14:textId="77777777" w:rsidR="00DB2B68" w:rsidRDefault="00000000">
      <w:r>
        <w:rPr>
          <w:b/>
          <w:i/>
        </w:rPr>
        <w:t>(Soit par défaut)</w:t>
      </w:r>
    </w:p>
    <w:p w14:paraId="4AF82266" w14:textId="77777777" w:rsidR="00DB2B68" w:rsidRDefault="00000000">
      <w:r>
        <w:rPr>
          <w:rStyle w:val="soitChar"/>
        </w:rPr>
        <w:t>1.    m³ </w:t>
      </w:r>
    </w:p>
    <w:p w14:paraId="2C4C7541" w14:textId="77777777" w:rsidR="00DB2B68" w:rsidRDefault="00000000">
      <w:r>
        <w:rPr>
          <w:b/>
          <w:i/>
        </w:rPr>
        <w:t>(Soit)</w:t>
      </w:r>
    </w:p>
    <w:p w14:paraId="0C3AFC0F" w14:textId="77777777" w:rsidR="00DB2B68" w:rsidRDefault="00000000">
      <w:r>
        <w:rPr>
          <w:rStyle w:val="soitChar"/>
        </w:rPr>
        <w:t>2.    m </w:t>
      </w:r>
    </w:p>
    <w:p w14:paraId="4DE47CD4" w14:textId="77777777" w:rsidR="00DB2B68" w:rsidRDefault="00000000">
      <w:r>
        <w:rPr>
          <w:b/>
          <w:i/>
        </w:rPr>
        <w:t>(Soit)</w:t>
      </w:r>
    </w:p>
    <w:p w14:paraId="51959F64" w14:textId="77777777" w:rsidR="00DB2B68" w:rsidRDefault="00000000">
      <w:r>
        <w:rPr>
          <w:rStyle w:val="soitChar"/>
        </w:rPr>
        <w:t>3.    pc</w:t>
      </w:r>
    </w:p>
    <w:p w14:paraId="74109904" w14:textId="77777777" w:rsidR="00DB2B68" w:rsidRDefault="00000000">
      <w:pPr>
        <w:pStyle w:val="pheading"/>
      </w:pPr>
      <w:r>
        <w:t>- code de mesurage:</w:t>
      </w:r>
    </w:p>
    <w:p w14:paraId="3BCB188D" w14:textId="77777777" w:rsidR="00DB2B68" w:rsidRDefault="00000000">
      <w:pPr>
        <w:jc w:val="both"/>
      </w:pPr>
      <w:r>
        <w:rPr>
          <w:rStyle w:val="optioncarChar"/>
        </w:rPr>
        <w:t> Volume brut </w:t>
      </w:r>
      <w:r>
        <w:t>(par défaut) </w:t>
      </w:r>
      <w:r>
        <w:rPr>
          <w:rStyle w:val="optioncarChar"/>
        </w:rPr>
        <w:t>/ Longueur brute / Quantité nette</w:t>
      </w:r>
    </w:p>
    <w:p w14:paraId="7979BADA" w14:textId="77777777" w:rsidR="00DB2B68" w:rsidRDefault="00000000">
      <w:pPr>
        <w:jc w:val="both"/>
      </w:pPr>
      <w:r>
        <w:rPr>
          <w:b/>
          <w:i/>
        </w:rPr>
        <w:t>(Soit par défaut)</w:t>
      </w:r>
    </w:p>
    <w:p w14:paraId="4E023109" w14:textId="77777777" w:rsidR="00DB2B68" w:rsidRDefault="00000000">
      <w:pPr>
        <w:jc w:val="both"/>
      </w:pPr>
      <w:r>
        <w:rPr>
          <w:rStyle w:val="soitChar"/>
        </w:rPr>
        <w:t>1.    </w:t>
      </w:r>
      <w:r>
        <w:rPr>
          <w:rStyle w:val="soitChar"/>
          <w:u w:val="single"/>
        </w:rPr>
        <w:t>Volume brut :</w:t>
      </w:r>
    </w:p>
    <w:p w14:paraId="451FF937" w14:textId="77777777" w:rsidR="00DB2B68" w:rsidRDefault="00000000">
      <w:pPr>
        <w:jc w:val="both"/>
      </w:pPr>
      <w:r>
        <w:rPr>
          <w:rStyle w:val="soitChar"/>
        </w:rPr>
        <w:lastRenderedPageBreak/>
        <w:t>Le volume brut d’une poutre/barre est calculé suivant le volume du plus petit parallélépipède rectangle pouvant inclure l’élément.</w:t>
      </w:r>
    </w:p>
    <w:p w14:paraId="76A88FBD" w14:textId="77777777" w:rsidR="00DB2B68" w:rsidRDefault="00000000">
      <w:pPr>
        <w:jc w:val="both"/>
      </w:pPr>
      <w:r>
        <w:rPr>
          <w:b/>
          <w:i/>
        </w:rPr>
        <w:t> (Soit)</w:t>
      </w:r>
    </w:p>
    <w:p w14:paraId="3B9F40EB" w14:textId="77777777" w:rsidR="00DB2B68" w:rsidRDefault="00000000">
      <w:pPr>
        <w:jc w:val="both"/>
      </w:pPr>
      <w:r>
        <w:rPr>
          <w:rStyle w:val="soitChar"/>
        </w:rPr>
        <w:t>2.    </w:t>
      </w:r>
      <w:r>
        <w:rPr>
          <w:rStyle w:val="soitChar"/>
          <w:u w:val="single"/>
        </w:rPr>
        <w:t>Longueur brute :</w:t>
      </w:r>
    </w:p>
    <w:p w14:paraId="678A4991" w14:textId="77777777" w:rsidR="00DB2B68" w:rsidRDefault="00000000">
      <w:pPr>
        <w:jc w:val="both"/>
      </w:pPr>
      <w:r>
        <w:rPr>
          <w:rStyle w:val="soitChar"/>
        </w:rPr>
        <w:t>La longueur brute d’un élément est la cote maximale dans la direction longitudinale de la développée de l'élément, longueur de bois utile pour l’assemblage comprise. </w:t>
      </w:r>
    </w:p>
    <w:p w14:paraId="3F35237B" w14:textId="77777777" w:rsidR="00DB2B68" w:rsidRDefault="00000000">
      <w:pPr>
        <w:jc w:val="both"/>
      </w:pPr>
      <w:r>
        <w:rPr>
          <w:rStyle w:val="soitChar"/>
        </w:rPr>
        <w:t>La longueur totale des poutres et barres ayant la même section et les mêmes caractéristiques est comptabilisée.</w:t>
      </w:r>
    </w:p>
    <w:p w14:paraId="749EFD6C" w14:textId="77777777" w:rsidR="00DB2B68" w:rsidRDefault="00000000">
      <w:pPr>
        <w:jc w:val="both"/>
      </w:pPr>
      <w:r>
        <w:rPr>
          <w:b/>
          <w:i/>
        </w:rPr>
        <w:t> (Soit)</w:t>
      </w:r>
    </w:p>
    <w:p w14:paraId="126D0CFA" w14:textId="77777777" w:rsidR="00DB2B68" w:rsidRDefault="00000000">
      <w:pPr>
        <w:jc w:val="both"/>
      </w:pPr>
      <w:r>
        <w:rPr>
          <w:rStyle w:val="soitChar"/>
        </w:rPr>
        <w:t>3.   </w:t>
      </w:r>
      <w:r>
        <w:rPr>
          <w:rStyle w:val="soitChar"/>
          <w:u w:val="single"/>
        </w:rPr>
        <w:t> Quantité nette :</w:t>
      </w:r>
    </w:p>
    <w:p w14:paraId="7C97864B" w14:textId="77777777" w:rsidR="00DB2B68" w:rsidRDefault="00000000">
      <w:pPr>
        <w:jc w:val="both"/>
      </w:pPr>
      <w:r>
        <w:rPr>
          <w:rStyle w:val="soitChar"/>
        </w:rPr>
        <w:t>Le nombre de poutres et barres ayant les mêmes dimensions et les mêmes caractéristiques est compatibilisé.</w:t>
      </w:r>
    </w:p>
    <w:p w14:paraId="5C07E348" w14:textId="77777777" w:rsidR="00DB2B68" w:rsidRDefault="00000000">
      <w:pPr>
        <w:pStyle w:val="pheading"/>
      </w:pPr>
      <w:r>
        <w:t>- nature du marché:</w:t>
      </w:r>
    </w:p>
    <w:p w14:paraId="35A71AB2" w14:textId="77777777" w:rsidR="00DB2B68" w:rsidRDefault="00000000">
      <w:r>
        <w:rPr>
          <w:rStyle w:val="optioncarChar"/>
        </w:rPr>
        <w:t>QF</w:t>
      </w:r>
      <w:r>
        <w:t> (par défaut) </w:t>
      </w:r>
      <w:r>
        <w:rPr>
          <w:rStyle w:val="optioncarChar"/>
        </w:rPr>
        <w:t>/ QP</w:t>
      </w:r>
    </w:p>
    <w:p w14:paraId="66B7FAD3" w14:textId="77777777" w:rsidR="00DB2B68" w:rsidRDefault="00000000">
      <w:r>
        <w:rPr>
          <w:b/>
          <w:i/>
        </w:rPr>
        <w:t>(Soit par défaut)</w:t>
      </w:r>
    </w:p>
    <w:p w14:paraId="3B1E5A87" w14:textId="77777777" w:rsidR="00DB2B68" w:rsidRDefault="00000000">
      <w:r>
        <w:rPr>
          <w:rStyle w:val="soitChar"/>
        </w:rPr>
        <w:t>1.2.3     QF</w:t>
      </w:r>
    </w:p>
    <w:p w14:paraId="1683B9C6" w14:textId="77777777" w:rsidR="00DB2B68" w:rsidRDefault="00000000">
      <w:r>
        <w:rPr>
          <w:b/>
          <w:i/>
        </w:rPr>
        <w:t>(Soit)</w:t>
      </w:r>
    </w:p>
    <w:p w14:paraId="567A9468" w14:textId="77777777" w:rsidR="00DB2B68" w:rsidRDefault="00000000">
      <w:r>
        <w:rPr>
          <w:rStyle w:val="soitChar"/>
        </w:rPr>
        <w:t>1.2.3     QP</w:t>
      </w:r>
    </w:p>
    <w:p w14:paraId="379C2B74" w14:textId="77777777" w:rsidR="00DB2B68" w:rsidRDefault="00000000">
      <w:pPr>
        <w:pStyle w:val="pheading"/>
      </w:pPr>
      <w:r>
        <w:t>AIDE</w:t>
      </w:r>
    </w:p>
    <w:p w14:paraId="7D3BDA87" w14:textId="77777777" w:rsidR="00DB2B68" w:rsidRDefault="00000000">
      <w:pPr>
        <w:jc w:val="both"/>
      </w:pPr>
      <w:r>
        <w:t>Le code suivant peut être utilisé pour la dénomination du poste :</w:t>
      </w:r>
    </w:p>
    <w:p w14:paraId="7C3B61A1" w14:textId="77777777" w:rsidR="00DB2B68" w:rsidRDefault="00000000">
      <w:pPr>
        <w:jc w:val="both"/>
      </w:pPr>
      <w:r>
        <w:t>BLCb 1 / 2 / 3 / 4 / 5</w:t>
      </w:r>
    </w:p>
    <w:p w14:paraId="0D1D4F9C" w14:textId="77777777" w:rsidR="00DB2B68" w:rsidRDefault="00000000">
      <w:pPr>
        <w:jc w:val="both"/>
      </w:pPr>
      <w:r>
        <w:t>Avec :</w:t>
      </w:r>
    </w:p>
    <w:p w14:paraId="3883B95D" w14:textId="77777777" w:rsidR="00DB2B68" w:rsidRDefault="00000000">
      <w:pPr>
        <w:jc w:val="both"/>
      </w:pPr>
      <w:r>
        <w:t>BLCb pour bois lamellé collé en bloc</w:t>
      </w:r>
    </w:p>
    <w:p w14:paraId="306AE646" w14:textId="77777777" w:rsidR="00DB2B68" w:rsidRDefault="00000000">
      <w:pPr>
        <w:jc w:val="both"/>
      </w:pPr>
      <w:r>
        <w:t>1 : la classe de résistance des poutres et barres</w:t>
      </w:r>
    </w:p>
    <w:p w14:paraId="1010DBD5" w14:textId="77777777" w:rsidR="00DB2B68" w:rsidRDefault="00000000">
      <w:pPr>
        <w:jc w:val="both"/>
      </w:pPr>
      <w:r>
        <w:t>2 : la section – ici : variable, voir plan</w:t>
      </w:r>
    </w:p>
    <w:p w14:paraId="71CE2A08" w14:textId="77777777" w:rsidR="00DB2B68" w:rsidRDefault="00000000">
      <w:pPr>
        <w:jc w:val="both"/>
      </w:pPr>
      <w:r>
        <w:t>3 : l’essence de bois</w:t>
      </w:r>
    </w:p>
    <w:p w14:paraId="0D2F62D4" w14:textId="77777777" w:rsidR="00DB2B68" w:rsidRDefault="00000000">
      <w:pPr>
        <w:jc w:val="both"/>
      </w:pPr>
      <w:r>
        <w:t>4 : la classe d’emploi des poutres et barres</w:t>
      </w:r>
    </w:p>
    <w:p w14:paraId="6DEF2479" w14:textId="77777777" w:rsidR="00DB2B68" w:rsidRDefault="00000000">
      <w:pPr>
        <w:jc w:val="both"/>
      </w:pPr>
      <w:r>
        <w:t>5 : la méthode utilisée pour garantir la durabilité des poutres et barres</w:t>
      </w:r>
    </w:p>
    <w:p w14:paraId="0A571E69" w14:textId="77777777" w:rsidR="00DB2B68" w:rsidRDefault="00000000">
      <w:pPr>
        <w:jc w:val="both"/>
      </w:pPr>
      <w:r>
        <w:t> </w:t>
      </w:r>
    </w:p>
    <w:p w14:paraId="4B365DB6" w14:textId="77777777" w:rsidR="00DB2B68" w:rsidRDefault="00000000">
      <w:pPr>
        <w:jc w:val="both"/>
      </w:pPr>
      <w:r>
        <w:t>Ce qui donne, par exemple :</w:t>
      </w:r>
    </w:p>
    <w:p w14:paraId="7FB5F876" w14:textId="77777777" w:rsidR="00DB2B68" w:rsidRDefault="00000000">
      <w:pPr>
        <w:jc w:val="both"/>
      </w:pPr>
      <w:r>
        <w:t>BLC GL24c / variable, voir plan / épicéa / 2 / A2.2</w:t>
      </w:r>
    </w:p>
    <w:p w14:paraId="0309D5E9" w14:textId="77777777" w:rsidR="00DB2B68" w:rsidRDefault="00000000">
      <w:pPr>
        <w:pStyle w:val="Author-eSectionHeading5Numberless"/>
      </w:pPr>
      <w:bookmarkStart w:id="1601" w:name="_Toc220496591"/>
      <w:r>
        <w:t>24.13.4 Poutres et barres en CLT CCTB 01.13</w:t>
      </w:r>
      <w:bookmarkEnd w:id="1601"/>
    </w:p>
    <w:p w14:paraId="2B5FF5AE" w14:textId="77777777" w:rsidR="00DB2B68" w:rsidRDefault="00000000">
      <w:pPr>
        <w:pStyle w:val="pheading"/>
      </w:pPr>
      <w:r>
        <w:t>DESCRIPTION</w:t>
      </w:r>
    </w:p>
    <w:p w14:paraId="1B60EA3C" w14:textId="77777777" w:rsidR="00DB2B68" w:rsidRDefault="00000000">
      <w:pPr>
        <w:pStyle w:val="pheading"/>
      </w:pPr>
      <w:r>
        <w:t>- Définition / Comprend</w:t>
      </w:r>
    </w:p>
    <w:p w14:paraId="7006B7FE" w14:textId="77777777" w:rsidR="00DB2B68" w:rsidRDefault="00000000">
      <w:r>
        <w:t xml:space="preserve">Il s’agit des poutres et barres en CLT. La notion de CLT est expliquée au </w:t>
      </w:r>
      <w:hyperlink w:anchor="89" w:history="1">
        <w:r>
          <w:rPr>
            <w:color w:val="0000EE"/>
          </w:rPr>
          <w:t>24 Superstructures en bois</w:t>
        </w:r>
      </w:hyperlink>
      <w:r>
        <w:t>.</w:t>
      </w:r>
    </w:p>
    <w:p w14:paraId="4CCD6DF4" w14:textId="77777777" w:rsidR="00DB2B68" w:rsidRDefault="00000000">
      <w:pPr>
        <w:pStyle w:val="Author-eSectionHeading6Numberless"/>
      </w:pPr>
      <w:bookmarkStart w:id="1602" w:name="_Toc220496592"/>
      <w:r>
        <w:t>24.13.4a Poutres et barres en CLT à inertie constante CCTB 01.11</w:t>
      </w:r>
      <w:bookmarkEnd w:id="1602"/>
    </w:p>
    <w:p w14:paraId="00000C07" w14:textId="77777777" w:rsidR="00DB2B68" w:rsidRDefault="00000000">
      <w:pPr>
        <w:pStyle w:val="pheading"/>
      </w:pPr>
      <w:r>
        <w:t>DESCRIPTION</w:t>
      </w:r>
    </w:p>
    <w:p w14:paraId="1CDA089D" w14:textId="77777777" w:rsidR="00DB2B68" w:rsidRDefault="00000000">
      <w:pPr>
        <w:pStyle w:val="pheading"/>
      </w:pPr>
      <w:r>
        <w:t>- Définition / Comprend</w:t>
      </w:r>
    </w:p>
    <w:p w14:paraId="73893EFB" w14:textId="77777777" w:rsidR="00DB2B68" w:rsidRDefault="00000000">
      <w:r>
        <w:t>Il s'agit de l’ensemble des poutres et barres en CLT et à inertie constante.</w:t>
      </w:r>
    </w:p>
    <w:p w14:paraId="734229E7" w14:textId="77777777" w:rsidR="00DB2B68" w:rsidRDefault="00000000">
      <w:pPr>
        <w:pStyle w:val="pheading"/>
      </w:pPr>
      <w:r>
        <w:t>MATÉRIAUX</w:t>
      </w:r>
    </w:p>
    <w:p w14:paraId="4C4E7389" w14:textId="77777777" w:rsidR="00DB2B68" w:rsidRDefault="00000000">
      <w:pPr>
        <w:pStyle w:val="pheading"/>
      </w:pPr>
      <w:r>
        <w:lastRenderedPageBreak/>
        <w:t>- Caractéristiques générales</w:t>
      </w:r>
    </w:p>
    <w:p w14:paraId="78B328E8" w14:textId="77777777" w:rsidR="00DB2B68" w:rsidRDefault="00000000">
      <w:pPr>
        <w:jc w:val="both"/>
      </w:pPr>
      <w:r>
        <w:t xml:space="preserve">Classe de résistance des lamelles : </w:t>
      </w:r>
      <w:r>
        <w:rPr>
          <w:rStyle w:val="optioncarChar"/>
        </w:rPr>
        <w:t>C18 </w:t>
      </w:r>
      <w:r>
        <w:t>(par défaut)</w:t>
      </w:r>
      <w:r>
        <w:rPr>
          <w:rStyle w:val="optioncarChar"/>
        </w:rPr>
        <w:t xml:space="preserve"> / C24 / ***</w:t>
      </w:r>
    </w:p>
    <w:p w14:paraId="0C3539D4" w14:textId="77777777" w:rsidR="00DB2B68" w:rsidRDefault="00000000">
      <w:pPr>
        <w:jc w:val="both"/>
      </w:pPr>
      <w:r>
        <w:t>Dimensions de la section :</w:t>
      </w:r>
      <w:r>
        <w:rPr>
          <w:rStyle w:val="optioncarChar"/>
        </w:rPr>
        <w:t xml:space="preserve"> Voir plans</w:t>
      </w:r>
      <w:r>
        <w:t xml:space="preserve"> (par défaut)</w:t>
      </w:r>
      <w:r>
        <w:rPr>
          <w:rStyle w:val="optioncarChar"/>
        </w:rPr>
        <w:t xml:space="preserve"> / *** x *** mm²</w:t>
      </w:r>
    </w:p>
    <w:p w14:paraId="70F84311" w14:textId="77777777" w:rsidR="00DB2B68" w:rsidRDefault="00000000">
      <w:pPr>
        <w:jc w:val="both"/>
      </w:pPr>
      <w:r>
        <w:t>Composition du CLT :</w:t>
      </w:r>
    </w:p>
    <w:p w14:paraId="7F31E732" w14:textId="77777777" w:rsidR="00DB2B68" w:rsidRDefault="00000000">
      <w:pPr>
        <w:jc w:val="both"/>
      </w:pPr>
      <w:r>
        <w:t xml:space="preserve">            Nombre de plis : </w:t>
      </w:r>
      <w:r>
        <w:rPr>
          <w:rStyle w:val="optioncarChar"/>
        </w:rPr>
        <w:t xml:space="preserve">3 </w:t>
      </w:r>
      <w:r>
        <w:t>(par défaut) </w:t>
      </w:r>
      <w:r>
        <w:rPr>
          <w:rStyle w:val="optioncarChar"/>
        </w:rPr>
        <w:t>/ 5 / ***</w:t>
      </w:r>
    </w:p>
    <w:p w14:paraId="387F6B77" w14:textId="77777777" w:rsidR="00DB2B68" w:rsidRDefault="00000000">
      <w:pPr>
        <w:ind w:left="567"/>
        <w:jc w:val="both"/>
      </w:pPr>
      <w:r>
        <w:t>Les épaisseurs de poutres et barres et les configurations de plis ne sont pas standardisées entre les différents fabricants. L’épaisseur réelle, proposée par le soumissionnaire, peut donc varier par rapport à l’épaisseur reprise au cahier spécial des charges, pour autant que les propriétés (la rigidité EI dans les deux directions) de la solution proposée soient égales ou supérieures à celles de la situation initiale. L’épaisseur proposée fait l’objet d’une demande d’approbation au maître d’ouvrage. En cas d’avis favorable, le maître d’ouvrage précise au soumissionnaire comment intégrer les modifications dans ses plans de fabrication. En aucun cas la modification de l’épaisseur ni ses conséquences (modification des plans, etc.) ne fait l’objet d’une demande de supplément par le soumissionnaire.</w:t>
      </w:r>
    </w:p>
    <w:p w14:paraId="0B4A8947"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4581227D" w14:textId="77777777" w:rsidR="00DB2B68" w:rsidRDefault="00000000">
      <w:pPr>
        <w:jc w:val="both"/>
      </w:pPr>
      <w:r>
        <w:t xml:space="preserve">Classe d’emploi : </w:t>
      </w:r>
      <w:r>
        <w:rPr>
          <w:rStyle w:val="optioncarChar"/>
        </w:rPr>
        <w:t>1 / 2 / 3 / 4 / 5</w:t>
      </w:r>
    </w:p>
    <w:p w14:paraId="0614EA02" w14:textId="77777777" w:rsidR="00DB2B68"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6B6204F9" w14:textId="77777777" w:rsidR="00DB2B68"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A2.2 / ***</w:t>
      </w:r>
    </w:p>
    <w:p w14:paraId="2A65B1C7" w14:textId="77777777" w:rsidR="00DB2B68" w:rsidRDefault="00000000">
      <w:pPr>
        <w:pStyle w:val="pheading"/>
      </w:pPr>
      <w:r>
        <w:t>- Finitions</w:t>
      </w:r>
    </w:p>
    <w:p w14:paraId="1A61F9BC" w14:textId="77777777" w:rsidR="00DB2B68" w:rsidRDefault="00000000">
      <w:pPr>
        <w:jc w:val="both"/>
      </w:pPr>
      <w:r>
        <w:t xml:space="preserve">Les poutres et barres en CLT sont </w:t>
      </w:r>
      <w:r>
        <w:rPr>
          <w:rStyle w:val="optioncarChar"/>
        </w:rPr>
        <w:t>rabotées</w:t>
      </w:r>
      <w:r>
        <w:t xml:space="preserve"> (par défaut)</w:t>
      </w:r>
      <w:r>
        <w:rPr>
          <w:rStyle w:val="optioncarChar"/>
        </w:rPr>
        <w:t xml:space="preserve"> / brutes de sciage / poncées / *** </w:t>
      </w:r>
      <w:r>
        <w:t>sur </w:t>
      </w:r>
      <w:r>
        <w:rPr>
          <w:rStyle w:val="optioncarChar"/>
        </w:rPr>
        <w:t>1 / 2 / 3 / 4</w:t>
      </w:r>
      <w:r>
        <w:t> faces.</w:t>
      </w:r>
    </w:p>
    <w:p w14:paraId="3BB65DFD" w14:textId="77777777" w:rsidR="00DB2B68"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5E4091B1" w14:textId="77777777" w:rsidR="00DB2B68" w:rsidRDefault="00000000">
      <w:pPr>
        <w:jc w:val="both"/>
      </w:pPr>
      <w:r>
        <w:t xml:space="preserve">Les poutres et barres en CLT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6E222AE2" w14:textId="77777777" w:rsidR="00DB2B68" w:rsidRDefault="00000000">
      <w:pPr>
        <w:pStyle w:val="pheading"/>
      </w:pPr>
      <w:r>
        <w:t>- Prescriptions complémentaires</w:t>
      </w:r>
    </w:p>
    <w:p w14:paraId="2FD41C69" w14:textId="77777777" w:rsidR="00DB2B68" w:rsidRDefault="00000000">
      <w:pPr>
        <w:jc w:val="both"/>
      </w:pPr>
      <w:r>
        <w:rPr>
          <w:rStyle w:val="facultChar"/>
        </w:rPr>
        <w:t xml:space="preserve">La qualité esthétique des poutres et barres est </w:t>
      </w:r>
      <w:r>
        <w:rPr>
          <w:rStyle w:val="optioncarChar"/>
        </w:rPr>
        <w:t>non-visible / visible industrielle / visible habitation</w:t>
      </w:r>
    </w:p>
    <w:p w14:paraId="7752A8CE" w14:textId="77777777" w:rsidR="00DB2B68" w:rsidRDefault="00000000">
      <w:pPr>
        <w:jc w:val="both"/>
      </w:pPr>
      <w:r>
        <w:rPr>
          <w:rStyle w:val="facultChar"/>
        </w:rPr>
        <w:t xml:space="preserve">Les qualités esthétiques sont définies au </w:t>
      </w:r>
      <w:hyperlink w:anchor="89" w:history="1">
        <w:r>
          <w:rPr>
            <w:rStyle w:val="facultChar"/>
            <w:color w:val="0000EE"/>
          </w:rPr>
          <w:t>24 Superstructures en bois</w:t>
        </w:r>
      </w:hyperlink>
    </w:p>
    <w:p w14:paraId="3922DDAC" w14:textId="77777777" w:rsidR="00DB2B68" w:rsidRDefault="00000000">
      <w:pPr>
        <w:pStyle w:val="pheading"/>
      </w:pPr>
      <w:r>
        <w:t>EXÉCUTION / MISE EN ŒUVRE</w:t>
      </w:r>
    </w:p>
    <w:p w14:paraId="099EECA0" w14:textId="77777777" w:rsidR="00DB2B68" w:rsidRDefault="00000000">
      <w:pPr>
        <w:pStyle w:val="pheading"/>
      </w:pPr>
      <w:r>
        <w:t>- Prescriptions générales</w:t>
      </w:r>
    </w:p>
    <w:p w14:paraId="30E86123" w14:textId="77777777" w:rsidR="00DB2B68" w:rsidRDefault="00000000">
      <w:pPr>
        <w:jc w:val="both"/>
      </w:pPr>
      <w:r>
        <w:t>L’orientation du fil des couches extérieures indiqués sur les plans doit être scrupuleusement respecté. En cas d’information manquante, incomplète, de contradiction et de manque de clarté, le soumissionnaire s’adresse au maître d’ouvrage qui lui indique l’orientation qui doit être mise en œuvre.</w:t>
      </w:r>
    </w:p>
    <w:p w14:paraId="5DE3393B"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71176B24" w14:textId="77777777" w:rsidR="00DB2B68" w:rsidRDefault="00000000">
      <w:pPr>
        <w:pStyle w:val="pheading"/>
      </w:pPr>
      <w:r>
        <w:t>MESURAGE</w:t>
      </w:r>
    </w:p>
    <w:p w14:paraId="2A7634B2" w14:textId="77777777" w:rsidR="00DB2B68" w:rsidRDefault="00000000">
      <w:pPr>
        <w:pStyle w:val="pheading"/>
      </w:pPr>
      <w:r>
        <w:t>- unité de mesure:</w:t>
      </w:r>
    </w:p>
    <w:p w14:paraId="13D06ACE" w14:textId="77777777" w:rsidR="00DB2B68" w:rsidRDefault="00000000">
      <w:r>
        <w:rPr>
          <w:rStyle w:val="optioncarChar"/>
        </w:rPr>
        <w:t>m³ </w:t>
      </w:r>
      <w:r>
        <w:t>(par défaut)</w:t>
      </w:r>
      <w:r>
        <w:rPr>
          <w:rStyle w:val="optioncarChar"/>
        </w:rPr>
        <w:t> / m / pc</w:t>
      </w:r>
    </w:p>
    <w:p w14:paraId="3D9E2805" w14:textId="77777777" w:rsidR="00DB2B68" w:rsidRDefault="00000000">
      <w:r>
        <w:rPr>
          <w:b/>
          <w:i/>
        </w:rPr>
        <w:t>(Soit par défaut)</w:t>
      </w:r>
    </w:p>
    <w:p w14:paraId="777210B8" w14:textId="77777777" w:rsidR="00DB2B68" w:rsidRDefault="00000000">
      <w:r>
        <w:rPr>
          <w:rStyle w:val="soitChar"/>
        </w:rPr>
        <w:t>1.    m³ </w:t>
      </w:r>
    </w:p>
    <w:p w14:paraId="6DF858EE" w14:textId="77777777" w:rsidR="00DB2B68" w:rsidRDefault="00000000">
      <w:r>
        <w:rPr>
          <w:b/>
          <w:i/>
        </w:rPr>
        <w:t>(Soit)</w:t>
      </w:r>
    </w:p>
    <w:p w14:paraId="6B78867D" w14:textId="77777777" w:rsidR="00DB2B68" w:rsidRDefault="00000000">
      <w:r>
        <w:rPr>
          <w:rStyle w:val="soitChar"/>
        </w:rPr>
        <w:lastRenderedPageBreak/>
        <w:t>2.    m </w:t>
      </w:r>
    </w:p>
    <w:p w14:paraId="09CC5622" w14:textId="77777777" w:rsidR="00DB2B68" w:rsidRDefault="00000000">
      <w:r>
        <w:rPr>
          <w:b/>
          <w:i/>
        </w:rPr>
        <w:t>(Soit)</w:t>
      </w:r>
    </w:p>
    <w:p w14:paraId="7F111F67" w14:textId="77777777" w:rsidR="00DB2B68" w:rsidRDefault="00000000">
      <w:r>
        <w:rPr>
          <w:rStyle w:val="soitChar"/>
        </w:rPr>
        <w:t>3.    pc</w:t>
      </w:r>
    </w:p>
    <w:p w14:paraId="4EEEB671" w14:textId="77777777" w:rsidR="00DB2B68" w:rsidRDefault="00000000">
      <w:pPr>
        <w:pStyle w:val="pheading"/>
      </w:pPr>
      <w:r>
        <w:t>- code de mesurage:</w:t>
      </w:r>
    </w:p>
    <w:p w14:paraId="36D9E8FD" w14:textId="77777777" w:rsidR="00DB2B68" w:rsidRDefault="00000000">
      <w:r>
        <w:rPr>
          <w:rStyle w:val="optioncarChar"/>
        </w:rPr>
        <w:t> Volume brut </w:t>
      </w:r>
      <w:r>
        <w:t>(par défaut) </w:t>
      </w:r>
      <w:r>
        <w:rPr>
          <w:rStyle w:val="optioncarChar"/>
        </w:rPr>
        <w:t>/ Longueur brute / Quantité nette</w:t>
      </w:r>
    </w:p>
    <w:p w14:paraId="60CC06E1" w14:textId="77777777" w:rsidR="00DB2B68" w:rsidRDefault="00000000">
      <w:r>
        <w:rPr>
          <w:b/>
          <w:i/>
        </w:rPr>
        <w:t>(Soit par défaut)</w:t>
      </w:r>
    </w:p>
    <w:p w14:paraId="0E30BED5" w14:textId="77777777" w:rsidR="00DB2B68" w:rsidRDefault="00000000">
      <w:r>
        <w:rPr>
          <w:rStyle w:val="soitChar"/>
        </w:rPr>
        <w:t>1.    </w:t>
      </w:r>
      <w:r>
        <w:rPr>
          <w:rStyle w:val="soitChar"/>
          <w:u w:val="single"/>
        </w:rPr>
        <w:t>Volume brut :</w:t>
      </w:r>
      <w:r>
        <w:br/>
      </w:r>
      <w:r>
        <w:rPr>
          <w:rStyle w:val="soitChar"/>
        </w:rPr>
        <w:t>Le volume brut d’une poutre/barre est calculé suivant l'épaisseur prescrite au cahier spécial des charges.</w:t>
      </w:r>
    </w:p>
    <w:p w14:paraId="7F15A3BA" w14:textId="77777777" w:rsidR="00DB2B68" w:rsidRDefault="00000000">
      <w:r>
        <w:rPr>
          <w:b/>
          <w:i/>
        </w:rPr>
        <w:t> (Soit)</w:t>
      </w:r>
    </w:p>
    <w:p w14:paraId="7C37192B" w14:textId="77777777" w:rsidR="00DB2B68" w:rsidRDefault="00000000">
      <w:r>
        <w:rPr>
          <w:rStyle w:val="soitChar"/>
        </w:rPr>
        <w:t>2.    </w:t>
      </w:r>
      <w:r>
        <w:rPr>
          <w:rStyle w:val="soitChar"/>
          <w:u w:val="single"/>
        </w:rPr>
        <w:t>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14:paraId="68CD7789" w14:textId="77777777" w:rsidR="00DB2B68" w:rsidRDefault="00000000">
      <w:r>
        <w:rPr>
          <w:b/>
          <w:i/>
        </w:rPr>
        <w:t> (Soit)</w:t>
      </w:r>
    </w:p>
    <w:p w14:paraId="2D6FB8C8" w14:textId="77777777" w:rsidR="00DB2B68" w:rsidRDefault="00000000">
      <w:r>
        <w:rPr>
          <w:rStyle w:val="soitChar"/>
        </w:rPr>
        <w:t xml:space="preserve">3.  </w:t>
      </w:r>
      <w:r>
        <w:rPr>
          <w:rStyle w:val="soitChar"/>
          <w:u w:val="single"/>
        </w:rPr>
        <w:t>  Quantité nette :</w:t>
      </w:r>
      <w:r>
        <w:br/>
      </w:r>
      <w:r>
        <w:rPr>
          <w:rStyle w:val="soitChar"/>
        </w:rPr>
        <w:t>Le nombre de poutres et barres ayant les mêmes dimensions et les mêmes caractéristiques est compatibilisé.</w:t>
      </w:r>
    </w:p>
    <w:p w14:paraId="3210ADB8" w14:textId="77777777" w:rsidR="00DB2B68" w:rsidRDefault="00000000">
      <w:pPr>
        <w:pStyle w:val="pheading"/>
      </w:pPr>
      <w:r>
        <w:t>- nature du marché:</w:t>
      </w:r>
    </w:p>
    <w:p w14:paraId="44E5363F" w14:textId="77777777" w:rsidR="00DB2B68" w:rsidRDefault="00000000">
      <w:r>
        <w:rPr>
          <w:rStyle w:val="optioncarChar"/>
        </w:rPr>
        <w:t>QF</w:t>
      </w:r>
      <w:r>
        <w:t> (par défaut)</w:t>
      </w:r>
      <w:r>
        <w:rPr>
          <w:rStyle w:val="optioncarChar"/>
        </w:rPr>
        <w:t> / QP</w:t>
      </w:r>
    </w:p>
    <w:p w14:paraId="285EF6E4" w14:textId="77777777" w:rsidR="00DB2B68" w:rsidRDefault="00000000">
      <w:r>
        <w:rPr>
          <w:b/>
          <w:i/>
        </w:rPr>
        <w:t>(Soit par défaut)</w:t>
      </w:r>
    </w:p>
    <w:p w14:paraId="5E3240CC" w14:textId="77777777" w:rsidR="00DB2B68" w:rsidRDefault="00000000">
      <w:r>
        <w:rPr>
          <w:rStyle w:val="soitChar"/>
        </w:rPr>
        <w:t>1.2.3     QF</w:t>
      </w:r>
    </w:p>
    <w:p w14:paraId="48ECC63F" w14:textId="77777777" w:rsidR="00DB2B68" w:rsidRDefault="00000000">
      <w:r>
        <w:rPr>
          <w:b/>
          <w:i/>
        </w:rPr>
        <w:t>(Soit)</w:t>
      </w:r>
    </w:p>
    <w:p w14:paraId="3E7E4D8E" w14:textId="77777777" w:rsidR="00DB2B68" w:rsidRDefault="00000000">
      <w:r>
        <w:rPr>
          <w:rStyle w:val="soitChar"/>
        </w:rPr>
        <w:t>1.2.3     QP</w:t>
      </w:r>
    </w:p>
    <w:p w14:paraId="0E72254B" w14:textId="77777777" w:rsidR="00DB2B68" w:rsidRDefault="00000000">
      <w:pPr>
        <w:pStyle w:val="pheading"/>
      </w:pPr>
      <w:r>
        <w:t>AIDE</w:t>
      </w:r>
    </w:p>
    <w:p w14:paraId="4C0D6684" w14:textId="77777777" w:rsidR="00DB2B68" w:rsidRDefault="00000000">
      <w:pPr>
        <w:jc w:val="both"/>
      </w:pPr>
      <w:r>
        <w:t>Le code suivant peut être utilisé pour la dénomination du poste :</w:t>
      </w:r>
    </w:p>
    <w:p w14:paraId="3922BF9A" w14:textId="77777777" w:rsidR="00DB2B68" w:rsidRDefault="00000000">
      <w:pPr>
        <w:jc w:val="both"/>
      </w:pPr>
      <w:r>
        <w:t>CLT 1 / 2 / 3 / 4 / 5</w:t>
      </w:r>
    </w:p>
    <w:p w14:paraId="051D5522" w14:textId="77777777" w:rsidR="00DB2B68" w:rsidRDefault="00000000">
      <w:pPr>
        <w:jc w:val="both"/>
      </w:pPr>
      <w:r>
        <w:t>Avec :</w:t>
      </w:r>
    </w:p>
    <w:p w14:paraId="5157B931" w14:textId="77777777" w:rsidR="00DB2B68" w:rsidRDefault="00000000">
      <w:pPr>
        <w:jc w:val="both"/>
      </w:pPr>
      <w:r>
        <w:t>CLT pour bois lamellé collé en bloc</w:t>
      </w:r>
    </w:p>
    <w:p w14:paraId="2D685D5A" w14:textId="77777777" w:rsidR="00DB2B68" w:rsidRDefault="00000000">
      <w:pPr>
        <w:jc w:val="both"/>
      </w:pPr>
      <w:r>
        <w:t>1 : section et nombre de plis</w:t>
      </w:r>
    </w:p>
    <w:p w14:paraId="17D2034A" w14:textId="77777777" w:rsidR="00DB2B68" w:rsidRDefault="00000000">
      <w:pPr>
        <w:jc w:val="both"/>
      </w:pPr>
      <w:r>
        <w:t>2 : qualité esthétique</w:t>
      </w:r>
    </w:p>
    <w:p w14:paraId="6ED4ED32" w14:textId="77777777" w:rsidR="00DB2B68" w:rsidRDefault="00000000">
      <w:pPr>
        <w:jc w:val="both"/>
      </w:pPr>
      <w:r>
        <w:t>3 : L’essence utilisée</w:t>
      </w:r>
    </w:p>
    <w:p w14:paraId="799C83A8" w14:textId="77777777" w:rsidR="00DB2B68" w:rsidRDefault="00000000">
      <w:pPr>
        <w:jc w:val="both"/>
      </w:pPr>
      <w:r>
        <w:t>4 : la classe d’emploi des poutres et barres</w:t>
      </w:r>
    </w:p>
    <w:p w14:paraId="0473C4D6" w14:textId="77777777" w:rsidR="00DB2B68" w:rsidRDefault="00000000">
      <w:pPr>
        <w:jc w:val="both"/>
      </w:pPr>
      <w:r>
        <w:t>5 : la méthode utilisée pour garantir la durabilité des poutres et barres</w:t>
      </w:r>
    </w:p>
    <w:p w14:paraId="68530282" w14:textId="77777777" w:rsidR="00DB2B68" w:rsidRDefault="00000000">
      <w:pPr>
        <w:jc w:val="both"/>
      </w:pPr>
      <w:r>
        <w:t>Ce qui donne, par exemple :</w:t>
      </w:r>
    </w:p>
    <w:p w14:paraId="53941AFA" w14:textId="77777777" w:rsidR="00DB2B68" w:rsidRDefault="00000000">
      <w:pPr>
        <w:jc w:val="both"/>
      </w:pPr>
      <w:r>
        <w:t>CLT 150x80-5s / non-visible / épicéa / 2 / A2.2</w:t>
      </w:r>
    </w:p>
    <w:p w14:paraId="73DBDC48" w14:textId="77777777" w:rsidR="00DB2B68" w:rsidRDefault="00000000">
      <w:pPr>
        <w:pStyle w:val="Author-eSectionHeading6Numberless"/>
      </w:pPr>
      <w:bookmarkStart w:id="1603" w:name="_Toc220496593"/>
      <w:r>
        <w:t>24.13.4b Poutres et barres en CLT à inertie variable CCTB 01.11</w:t>
      </w:r>
      <w:bookmarkEnd w:id="1603"/>
    </w:p>
    <w:p w14:paraId="549EB2D6" w14:textId="77777777" w:rsidR="00DB2B68" w:rsidRDefault="00000000">
      <w:pPr>
        <w:pStyle w:val="pheading"/>
      </w:pPr>
      <w:r>
        <w:t>DESCRIPTION</w:t>
      </w:r>
    </w:p>
    <w:p w14:paraId="673F9F2C" w14:textId="77777777" w:rsidR="00DB2B68" w:rsidRDefault="00000000">
      <w:pPr>
        <w:pStyle w:val="pheading"/>
      </w:pPr>
      <w:r>
        <w:t>- Définition / Comprend</w:t>
      </w:r>
    </w:p>
    <w:p w14:paraId="0ECA3640" w14:textId="77777777" w:rsidR="00DB2B68" w:rsidRDefault="00000000">
      <w:r>
        <w:t>Il s'agit de l’ensemble des poutres et barres en CLT et à inertie variable.</w:t>
      </w:r>
    </w:p>
    <w:p w14:paraId="7E8FF1DD" w14:textId="77777777" w:rsidR="00DB2B68" w:rsidRDefault="00000000">
      <w:pPr>
        <w:pStyle w:val="pheading"/>
      </w:pPr>
      <w:r>
        <w:lastRenderedPageBreak/>
        <w:t>MATÉRIAUX</w:t>
      </w:r>
    </w:p>
    <w:p w14:paraId="733EA976" w14:textId="77777777" w:rsidR="00DB2B68" w:rsidRDefault="00000000">
      <w:pPr>
        <w:pStyle w:val="pheading"/>
      </w:pPr>
      <w:r>
        <w:t>- Caractéristiques générales</w:t>
      </w:r>
    </w:p>
    <w:p w14:paraId="45F80F93" w14:textId="77777777" w:rsidR="00DB2B68" w:rsidRDefault="00000000">
      <w:pPr>
        <w:jc w:val="both"/>
      </w:pPr>
      <w:r>
        <w:t xml:space="preserve">Classe de résistance des lamelles : </w:t>
      </w:r>
      <w:r>
        <w:rPr>
          <w:rStyle w:val="optioncarChar"/>
        </w:rPr>
        <w:t>C18</w:t>
      </w:r>
      <w:r>
        <w:t xml:space="preserve"> (par défaut) </w:t>
      </w:r>
      <w:r>
        <w:rPr>
          <w:rStyle w:val="optioncarChar"/>
        </w:rPr>
        <w:t>/ C24 / ***</w:t>
      </w:r>
    </w:p>
    <w:p w14:paraId="587A500B" w14:textId="77777777" w:rsidR="00DB2B68" w:rsidRDefault="00000000">
      <w:pPr>
        <w:jc w:val="both"/>
      </w:pPr>
      <w:r>
        <w:t>La géométrie des poutres et barres en CLT à inertie variable est décrite dans les plans.</w:t>
      </w:r>
    </w:p>
    <w:p w14:paraId="675DA76F" w14:textId="77777777" w:rsidR="00DB2B68" w:rsidRDefault="00000000">
      <w:pPr>
        <w:jc w:val="both"/>
      </w:pPr>
      <w:r>
        <w:t>Essence :</w:t>
      </w:r>
      <w:r>
        <w:rPr>
          <w:rStyle w:val="optioncarChar"/>
        </w:rPr>
        <w:t xml:space="preserve"> Résineuse </w:t>
      </w:r>
      <w:r>
        <w:t xml:space="preserve">(par défaut) </w:t>
      </w:r>
      <w:r>
        <w:rPr>
          <w:rStyle w:val="optioncarChar"/>
        </w:rPr>
        <w:t>/ feuillue / épicéa / douglas / chêne / hêtre / ***</w:t>
      </w:r>
    </w:p>
    <w:p w14:paraId="0EED4DAE" w14:textId="77777777" w:rsidR="00DB2B68" w:rsidRDefault="00000000">
      <w:pPr>
        <w:jc w:val="both"/>
      </w:pPr>
      <w:r>
        <w:t>Composition du CLT :</w:t>
      </w:r>
    </w:p>
    <w:p w14:paraId="40C9C575" w14:textId="77777777" w:rsidR="00DB2B68" w:rsidRDefault="00000000">
      <w:pPr>
        <w:jc w:val="both"/>
      </w:pPr>
      <w:r>
        <w:t xml:space="preserve">            Epaisseur : </w:t>
      </w:r>
      <w:r>
        <w:rPr>
          <w:rStyle w:val="optioncarChar"/>
        </w:rPr>
        <w:t>***</w:t>
      </w:r>
    </w:p>
    <w:p w14:paraId="17A8EAA7" w14:textId="77777777" w:rsidR="00DB2B68" w:rsidRDefault="00000000">
      <w:pPr>
        <w:jc w:val="both"/>
      </w:pPr>
      <w:r>
        <w:t xml:space="preserve">            Nombre de plis : </w:t>
      </w:r>
      <w:r>
        <w:rPr>
          <w:rStyle w:val="optioncarChar"/>
        </w:rPr>
        <w:t>3</w:t>
      </w:r>
      <w:r>
        <w:t> (par défaut)</w:t>
      </w:r>
      <w:r>
        <w:rPr>
          <w:rStyle w:val="optioncarChar"/>
        </w:rPr>
        <w:t xml:space="preserve"> / 5 / ***</w:t>
      </w:r>
    </w:p>
    <w:p w14:paraId="463ED7A4" w14:textId="77777777" w:rsidR="00DB2B68" w:rsidRDefault="00000000">
      <w:pPr>
        <w:ind w:left="567"/>
        <w:jc w:val="both"/>
      </w:pPr>
      <w:r>
        <w:t>Les épaisseurs de poutres et barres et les configurations de plis ne sont pas standardisées entre les différents fabricants. L’épaisseur réelle, proposée par le soumissionnaire, peut donc varier par rapport à l’épaisseur reprise au cahier spécial des charges, pour autant que les propriétés (la rigidité EI dans les deux directions) de la solution proposée soient égales ou supérieures à celles de la situation initiale. L’épaisseur proposée fait l’objet d’une demande d’approbation au maître d’ouvrage. En cas d’avis favorable, le maître d’ouvrage précise au soumissionnaire comment intégrer les modifications dans ses plans de fabrication. En aucun cas la modification de l’épaisseur ni ses conséquences (modification des plans, etc.) ne fait l’objet d’une demande de supplément par le soumissionnaire.</w:t>
      </w:r>
    </w:p>
    <w:p w14:paraId="73E399A6" w14:textId="77777777" w:rsidR="00DB2B68" w:rsidRDefault="00000000">
      <w:pPr>
        <w:jc w:val="both"/>
      </w:pPr>
      <w:r>
        <w:t xml:space="preserve">Classe d’emploi : </w:t>
      </w:r>
      <w:r>
        <w:rPr>
          <w:rStyle w:val="optioncarChar"/>
        </w:rPr>
        <w:t>1 / 2 / 3 / 4 / 5</w:t>
      </w:r>
    </w:p>
    <w:p w14:paraId="7D8A64CB" w14:textId="77777777" w:rsidR="00DB2B68" w:rsidRDefault="00000000">
      <w:pPr>
        <w:jc w:val="both"/>
      </w:pPr>
      <w:r>
        <w:t>Classe d’émission de formaldéhyde :</w:t>
      </w:r>
      <w:r>
        <w:rPr>
          <w:rStyle w:val="optioncarChar"/>
        </w:rPr>
        <w:t xml:space="preserve"> E1 </w:t>
      </w:r>
      <w:r>
        <w:t>(par défaut)</w:t>
      </w:r>
      <w:r>
        <w:rPr>
          <w:rStyle w:val="optioncarChar"/>
        </w:rPr>
        <w:t xml:space="preserve"> / E2</w:t>
      </w:r>
    </w:p>
    <w:p w14:paraId="4149CABD" w14:textId="77777777" w:rsidR="00DB2B68" w:rsidRDefault="00000000">
      <w:pPr>
        <w:jc w:val="both"/>
      </w:pPr>
      <w:r>
        <w:t xml:space="preserve">La durabilité des poutres et barres, en fonction de leur classe d’emploi, est assurée par la mesure suivante : </w:t>
      </w:r>
      <w:r>
        <w:rPr>
          <w:rStyle w:val="optioncarChar"/>
        </w:rPr>
        <w:t xml:space="preserve">aucune mesure n’est nécessaire / bois hors aubier </w:t>
      </w:r>
      <w:r>
        <w:t>(par défaut) </w:t>
      </w:r>
      <w:r>
        <w:rPr>
          <w:rStyle w:val="optioncarChar"/>
        </w:rPr>
        <w:t>/ traitement A1 / traitement A2.2 / ***</w:t>
      </w:r>
    </w:p>
    <w:p w14:paraId="46F38C67" w14:textId="77777777" w:rsidR="00DB2B68" w:rsidRDefault="00000000">
      <w:pPr>
        <w:pStyle w:val="pheading"/>
      </w:pPr>
      <w:r>
        <w:t>- Finitions</w:t>
      </w:r>
    </w:p>
    <w:p w14:paraId="085E19CC" w14:textId="77777777" w:rsidR="00DB2B68" w:rsidRDefault="00000000">
      <w:pPr>
        <w:jc w:val="both"/>
      </w:pPr>
      <w:r>
        <w:t>Les poutres et barres en bois 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1D105A70" w14:textId="77777777" w:rsidR="00DB2B68"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176A3E6D" w14:textId="77777777" w:rsidR="00DB2B68" w:rsidRDefault="00000000">
      <w:pPr>
        <w:jc w:val="both"/>
      </w:pPr>
      <w:r>
        <w:t xml:space="preserve">Les poutres et barres en bois lamellé collé en bloc sont </w:t>
      </w:r>
      <w:r>
        <w:rPr>
          <w:rStyle w:val="optioncarChar"/>
        </w:rPr>
        <w:t>sans finitions</w:t>
      </w:r>
      <w:r>
        <w:t xml:space="preserve"> (par défaut) </w:t>
      </w:r>
      <w:r>
        <w:rPr>
          <w:rStyle w:val="optioncarChar"/>
        </w:rPr>
        <w:t>/ huilées / vernies / lasurées / peintes / ***</w:t>
      </w:r>
      <w:r>
        <w:t xml:space="preserve"> avant mise en œuvre.</w:t>
      </w:r>
    </w:p>
    <w:p w14:paraId="61E996DD" w14:textId="77777777" w:rsidR="00DB2B68" w:rsidRDefault="00000000">
      <w:pPr>
        <w:pStyle w:val="pheading"/>
      </w:pPr>
      <w:r>
        <w:t>- Prescriptions complémentaires</w:t>
      </w:r>
    </w:p>
    <w:p w14:paraId="594D9020" w14:textId="77777777" w:rsidR="00DB2B68" w:rsidRDefault="00000000">
      <w:pPr>
        <w:jc w:val="both"/>
      </w:pPr>
      <w:r>
        <w:rPr>
          <w:rStyle w:val="facultChar"/>
        </w:rPr>
        <w:t xml:space="preserve">La qualité esthétique des poutres et barres est </w:t>
      </w:r>
      <w:r>
        <w:rPr>
          <w:rStyle w:val="optioncarChar"/>
        </w:rPr>
        <w:t>non-visible / visible industrielle / visible habitation</w:t>
      </w:r>
    </w:p>
    <w:p w14:paraId="0F9EEE6D" w14:textId="77777777" w:rsidR="00DB2B68" w:rsidRDefault="00000000">
      <w:pPr>
        <w:jc w:val="both"/>
      </w:pPr>
      <w:r>
        <w:rPr>
          <w:rStyle w:val="facultChar"/>
        </w:rPr>
        <w:t xml:space="preserve">Les définitions des différentes qualités esthétiques se trouvent au </w:t>
      </w:r>
      <w:hyperlink w:anchor="89" w:history="1">
        <w:r>
          <w:rPr>
            <w:rStyle w:val="facultChar"/>
            <w:color w:val="0000EE"/>
          </w:rPr>
          <w:t>24 Superstructures en bois</w:t>
        </w:r>
      </w:hyperlink>
    </w:p>
    <w:p w14:paraId="5F2D740F" w14:textId="77777777" w:rsidR="00DB2B68" w:rsidRDefault="00000000">
      <w:pPr>
        <w:pStyle w:val="pheading"/>
      </w:pPr>
      <w:r>
        <w:t>EXÉCUTION / MISE EN ŒUVRE</w:t>
      </w:r>
    </w:p>
    <w:p w14:paraId="6DCA4095" w14:textId="77777777" w:rsidR="00DB2B68" w:rsidRDefault="00000000">
      <w:pPr>
        <w:pStyle w:val="pheading"/>
      </w:pPr>
      <w:r>
        <w:t>- Prescriptions générales</w:t>
      </w:r>
    </w:p>
    <w:p w14:paraId="031C8BDE" w14:textId="77777777" w:rsidR="00DB2B68" w:rsidRDefault="00000000">
      <w:pPr>
        <w:jc w:val="both"/>
      </w:pPr>
      <w:r>
        <w:t>L’orientation du fil des couches extérieures indiqués sur les plans doit être scrupuleusement respecté. En cas d’information manquante, incomplète, de contradiction et de manque de clarté, le soumissionnaire s’adresse au maître d’ouvrage qui lui indique l’orientation qui doit être mise en œuvre.</w:t>
      </w:r>
    </w:p>
    <w:p w14:paraId="792E8150"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0823C6B7" w14:textId="77777777" w:rsidR="00DB2B68" w:rsidRDefault="00000000">
      <w:pPr>
        <w:pStyle w:val="pheading"/>
      </w:pPr>
      <w:r>
        <w:t>MESURAGE</w:t>
      </w:r>
    </w:p>
    <w:p w14:paraId="5F8B0D35" w14:textId="77777777" w:rsidR="00DB2B68" w:rsidRDefault="00000000">
      <w:pPr>
        <w:pStyle w:val="pheading"/>
      </w:pPr>
      <w:r>
        <w:t>- unité de mesure:</w:t>
      </w:r>
    </w:p>
    <w:p w14:paraId="748682F7" w14:textId="77777777" w:rsidR="00DB2B68" w:rsidRDefault="00000000">
      <w:r>
        <w:rPr>
          <w:rStyle w:val="optioncarChar"/>
        </w:rPr>
        <w:t>m³ </w:t>
      </w:r>
      <w:r>
        <w:t>(par défaut)</w:t>
      </w:r>
      <w:r>
        <w:rPr>
          <w:rStyle w:val="optioncarChar"/>
        </w:rPr>
        <w:t> / m / pc</w:t>
      </w:r>
    </w:p>
    <w:p w14:paraId="675B4054" w14:textId="77777777" w:rsidR="00DB2B68" w:rsidRDefault="00000000">
      <w:r>
        <w:rPr>
          <w:b/>
          <w:i/>
        </w:rPr>
        <w:t>(Soit par défaut)</w:t>
      </w:r>
    </w:p>
    <w:p w14:paraId="32BFC76F" w14:textId="77777777" w:rsidR="00DB2B68" w:rsidRDefault="00000000">
      <w:r>
        <w:rPr>
          <w:rStyle w:val="soitChar"/>
        </w:rPr>
        <w:lastRenderedPageBreak/>
        <w:t>1.    m³ </w:t>
      </w:r>
    </w:p>
    <w:p w14:paraId="0252BCE7" w14:textId="77777777" w:rsidR="00DB2B68" w:rsidRDefault="00000000">
      <w:r>
        <w:rPr>
          <w:b/>
          <w:i/>
        </w:rPr>
        <w:t>(Soit)</w:t>
      </w:r>
    </w:p>
    <w:p w14:paraId="3B2599A6" w14:textId="77777777" w:rsidR="00DB2B68" w:rsidRDefault="00000000">
      <w:r>
        <w:rPr>
          <w:rStyle w:val="soitChar"/>
        </w:rPr>
        <w:t>2.    m </w:t>
      </w:r>
    </w:p>
    <w:p w14:paraId="2C8443D5" w14:textId="77777777" w:rsidR="00DB2B68" w:rsidRDefault="00000000">
      <w:r>
        <w:rPr>
          <w:b/>
          <w:i/>
        </w:rPr>
        <w:t>(Soit)</w:t>
      </w:r>
    </w:p>
    <w:p w14:paraId="692B1AA4" w14:textId="77777777" w:rsidR="00DB2B68" w:rsidRDefault="00000000">
      <w:r>
        <w:rPr>
          <w:rStyle w:val="soitChar"/>
        </w:rPr>
        <w:t>3.    pc</w:t>
      </w:r>
    </w:p>
    <w:p w14:paraId="35AA04BB" w14:textId="77777777" w:rsidR="00DB2B68" w:rsidRDefault="00000000">
      <w:pPr>
        <w:pStyle w:val="pheading"/>
      </w:pPr>
      <w:r>
        <w:t>- code de mesurage:</w:t>
      </w:r>
    </w:p>
    <w:p w14:paraId="56845D23" w14:textId="77777777" w:rsidR="00DB2B68" w:rsidRDefault="00000000">
      <w:r>
        <w:rPr>
          <w:rStyle w:val="optioncarChar"/>
        </w:rPr>
        <w:t> Volume brut </w:t>
      </w:r>
      <w:r>
        <w:t>(par défaut) </w:t>
      </w:r>
      <w:r>
        <w:rPr>
          <w:rStyle w:val="optioncarChar"/>
        </w:rPr>
        <w:t>/ Longueur brute / Quantité nette</w:t>
      </w:r>
    </w:p>
    <w:p w14:paraId="2EF5F470" w14:textId="77777777" w:rsidR="00DB2B68" w:rsidRDefault="00000000">
      <w:r>
        <w:rPr>
          <w:b/>
          <w:i/>
        </w:rPr>
        <w:t>(Soit par défaut)</w:t>
      </w:r>
    </w:p>
    <w:p w14:paraId="2CAF35AB" w14:textId="77777777" w:rsidR="00DB2B68" w:rsidRDefault="00000000">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58AAB7D0" w14:textId="77777777" w:rsidR="00DB2B68" w:rsidRDefault="00000000">
      <w:r>
        <w:rPr>
          <w:b/>
          <w:i/>
        </w:rPr>
        <w:t> (Soit)</w:t>
      </w:r>
    </w:p>
    <w:p w14:paraId="285A8679" w14:textId="77777777" w:rsidR="00DB2B68" w:rsidRDefault="00000000">
      <w:r>
        <w:rPr>
          <w:rStyle w:val="soitChar"/>
        </w:rPr>
        <w:t>2.    </w:t>
      </w:r>
      <w:r>
        <w:rPr>
          <w:rStyle w:val="soitChar"/>
          <w:u w:val="single"/>
        </w:rPr>
        <w:t>Longueur brute :</w:t>
      </w:r>
      <w:r>
        <w:br/>
      </w:r>
      <w:r>
        <w:rPr>
          <w:rStyle w:val="soitChar"/>
        </w:rPr>
        <w:t>La longueur brute d’un élément est la cote maximale dans la direction longitudinale de la développée de l'élément, longueur de bois utile pour l’assemblage comprise. </w:t>
      </w:r>
      <w:r>
        <w:br/>
      </w:r>
      <w:r>
        <w:rPr>
          <w:rStyle w:val="soitChar"/>
        </w:rPr>
        <w:t>La longueur totale des poutres et barres ayant la même section et les mêmes caractéristiques est comptabilisée.</w:t>
      </w:r>
    </w:p>
    <w:p w14:paraId="33E5969E" w14:textId="77777777" w:rsidR="00DB2B68" w:rsidRDefault="00000000">
      <w:r>
        <w:rPr>
          <w:b/>
          <w:i/>
        </w:rPr>
        <w:t> (Soit)</w:t>
      </w:r>
    </w:p>
    <w:p w14:paraId="09CFE9E4" w14:textId="77777777" w:rsidR="00DB2B68" w:rsidRDefault="00000000">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14:paraId="084C960A" w14:textId="77777777" w:rsidR="00DB2B68" w:rsidRDefault="00000000">
      <w:pPr>
        <w:pStyle w:val="pheading"/>
      </w:pPr>
      <w:r>
        <w:t>- nature du marché:</w:t>
      </w:r>
    </w:p>
    <w:p w14:paraId="7D24B8AC" w14:textId="77777777" w:rsidR="00DB2B68" w:rsidRDefault="00000000">
      <w:r>
        <w:rPr>
          <w:rStyle w:val="optioncarChar"/>
        </w:rPr>
        <w:t>QF </w:t>
      </w:r>
      <w:r>
        <w:t>(par défaut) </w:t>
      </w:r>
      <w:r>
        <w:rPr>
          <w:rStyle w:val="optioncarChar"/>
        </w:rPr>
        <w:t>/ QP</w:t>
      </w:r>
    </w:p>
    <w:p w14:paraId="04CDA3C9" w14:textId="77777777" w:rsidR="00DB2B68" w:rsidRDefault="00000000">
      <w:r>
        <w:rPr>
          <w:b/>
          <w:i/>
        </w:rPr>
        <w:t>(Soit par défaut)</w:t>
      </w:r>
    </w:p>
    <w:p w14:paraId="60110EE3" w14:textId="77777777" w:rsidR="00DB2B68" w:rsidRDefault="00000000">
      <w:r>
        <w:rPr>
          <w:rStyle w:val="soitChar"/>
        </w:rPr>
        <w:t>1.2.3     QF</w:t>
      </w:r>
    </w:p>
    <w:p w14:paraId="09751580" w14:textId="77777777" w:rsidR="00DB2B68" w:rsidRDefault="00000000">
      <w:r>
        <w:rPr>
          <w:b/>
          <w:i/>
        </w:rPr>
        <w:t>(Soit)</w:t>
      </w:r>
    </w:p>
    <w:p w14:paraId="6BC68CB7" w14:textId="77777777" w:rsidR="00DB2B68" w:rsidRDefault="00000000">
      <w:r>
        <w:rPr>
          <w:rStyle w:val="soitChar"/>
        </w:rPr>
        <w:t>1.2.3     QP</w:t>
      </w:r>
    </w:p>
    <w:p w14:paraId="3B1131AE" w14:textId="77777777" w:rsidR="00DB2B68" w:rsidRDefault="00000000">
      <w:pPr>
        <w:pStyle w:val="pheading"/>
      </w:pPr>
      <w:r>
        <w:t>AIDE</w:t>
      </w:r>
    </w:p>
    <w:p w14:paraId="1DABBAF4" w14:textId="77777777" w:rsidR="00DB2B68" w:rsidRDefault="00000000">
      <w:pPr>
        <w:jc w:val="both"/>
      </w:pPr>
      <w:r>
        <w:t>Le code suivant peut être utilisé pour la dénomination du poste :</w:t>
      </w:r>
    </w:p>
    <w:p w14:paraId="602FD4D7" w14:textId="77777777" w:rsidR="00DB2B68" w:rsidRDefault="00000000">
      <w:pPr>
        <w:jc w:val="both"/>
      </w:pPr>
      <w:r>
        <w:t>CLT 1 / 2 / 3 / 4 / 5</w:t>
      </w:r>
    </w:p>
    <w:p w14:paraId="260530C5" w14:textId="77777777" w:rsidR="00DB2B68" w:rsidRDefault="00000000">
      <w:pPr>
        <w:jc w:val="both"/>
      </w:pPr>
      <w:r>
        <w:t>Avec :</w:t>
      </w:r>
    </w:p>
    <w:p w14:paraId="302CC84A" w14:textId="77777777" w:rsidR="00DB2B68" w:rsidRDefault="00000000">
      <w:pPr>
        <w:jc w:val="both"/>
      </w:pPr>
      <w:r>
        <w:t>CLT pour bois lamellé collé en bloc</w:t>
      </w:r>
    </w:p>
    <w:p w14:paraId="410C86BD" w14:textId="77777777" w:rsidR="00DB2B68" w:rsidRDefault="00000000">
      <w:pPr>
        <w:jc w:val="both"/>
      </w:pPr>
      <w:r>
        <w:t>1 : nombre de plis</w:t>
      </w:r>
    </w:p>
    <w:p w14:paraId="1899E1EB" w14:textId="77777777" w:rsidR="00DB2B68" w:rsidRDefault="00000000">
      <w:pPr>
        <w:jc w:val="both"/>
      </w:pPr>
      <w:r>
        <w:t>2 : qualité esthétique</w:t>
      </w:r>
    </w:p>
    <w:p w14:paraId="627CC55E" w14:textId="77777777" w:rsidR="00DB2B68" w:rsidRDefault="00000000">
      <w:pPr>
        <w:jc w:val="both"/>
      </w:pPr>
      <w:r>
        <w:t>3 : L’essence utilisée</w:t>
      </w:r>
    </w:p>
    <w:p w14:paraId="67AC8E8C" w14:textId="77777777" w:rsidR="00DB2B68" w:rsidRDefault="00000000">
      <w:pPr>
        <w:jc w:val="both"/>
      </w:pPr>
      <w:r>
        <w:t>4 : la classe d’emploi des poutres et barres</w:t>
      </w:r>
    </w:p>
    <w:p w14:paraId="61E5842C" w14:textId="77777777" w:rsidR="00DB2B68" w:rsidRDefault="00000000">
      <w:pPr>
        <w:jc w:val="both"/>
      </w:pPr>
      <w:r>
        <w:t>5 : la méthode utilisée pour garantir la durabilité des poutres et barres</w:t>
      </w:r>
    </w:p>
    <w:p w14:paraId="3D0C7ABB" w14:textId="77777777" w:rsidR="00DB2B68" w:rsidRDefault="00000000">
      <w:pPr>
        <w:jc w:val="both"/>
      </w:pPr>
      <w:r>
        <w:t>Ce qui donne, par exemple :</w:t>
      </w:r>
    </w:p>
    <w:p w14:paraId="22CD1D3F" w14:textId="77777777" w:rsidR="00DB2B68" w:rsidRDefault="00000000">
      <w:pPr>
        <w:jc w:val="both"/>
      </w:pPr>
      <w:r>
        <w:t>CLT 5s / non-visible / épicéa / 2 / A2.2</w:t>
      </w:r>
    </w:p>
    <w:p w14:paraId="31E7AE0A" w14:textId="77777777" w:rsidR="00DB2B68" w:rsidRDefault="00000000">
      <w:pPr>
        <w:pStyle w:val="Author-eSectionHeading5Numberless"/>
      </w:pPr>
      <w:bookmarkStart w:id="1604" w:name="_Toc220496594"/>
      <w:r>
        <w:t>24.13.5 Poutres et barres en LVL CCTB 01.07</w:t>
      </w:r>
      <w:bookmarkEnd w:id="1604"/>
    </w:p>
    <w:p w14:paraId="200C794C" w14:textId="77777777" w:rsidR="00DB2B68" w:rsidRDefault="00000000">
      <w:pPr>
        <w:pStyle w:val="pheading"/>
      </w:pPr>
      <w:r>
        <w:t>DESCRIPTION</w:t>
      </w:r>
    </w:p>
    <w:p w14:paraId="19960CE9" w14:textId="77777777" w:rsidR="00DB2B68" w:rsidRDefault="00000000">
      <w:pPr>
        <w:pStyle w:val="pheading"/>
      </w:pPr>
      <w:r>
        <w:lastRenderedPageBreak/>
        <w:t>- Définition / Comprend</w:t>
      </w:r>
    </w:p>
    <w:p w14:paraId="2C7A183E" w14:textId="77777777" w:rsidR="00DB2B68" w:rsidRDefault="00000000">
      <w:r>
        <w:t xml:space="preserve">Il s’agit des poutres et barres en LVL. La notion de LVL est expliquée au </w:t>
      </w:r>
      <w:hyperlink w:anchor="89" w:history="1">
        <w:r>
          <w:rPr>
            <w:color w:val="0000EE"/>
          </w:rPr>
          <w:t>24 Superstructures en bois</w:t>
        </w:r>
      </w:hyperlink>
      <w:r>
        <w:t>.</w:t>
      </w:r>
    </w:p>
    <w:p w14:paraId="6300D4F1" w14:textId="77777777" w:rsidR="00DB2B68" w:rsidRDefault="00000000">
      <w:pPr>
        <w:pStyle w:val="Author-eSectionHeading6Numberless"/>
      </w:pPr>
      <w:bookmarkStart w:id="1605" w:name="_Toc220496595"/>
      <w:r>
        <w:t>24.13.5a Poutres et barres en LVL à inertie constante CCTB 01.11</w:t>
      </w:r>
      <w:bookmarkEnd w:id="1605"/>
    </w:p>
    <w:p w14:paraId="31F61A43" w14:textId="77777777" w:rsidR="00DB2B68" w:rsidRDefault="00000000">
      <w:pPr>
        <w:pStyle w:val="pheading"/>
      </w:pPr>
      <w:r>
        <w:t>DESCRIPTION</w:t>
      </w:r>
    </w:p>
    <w:p w14:paraId="495A47B8" w14:textId="77777777" w:rsidR="00DB2B68" w:rsidRDefault="00000000">
      <w:pPr>
        <w:pStyle w:val="pheading"/>
      </w:pPr>
      <w:r>
        <w:t>- Définition / Comprend</w:t>
      </w:r>
    </w:p>
    <w:p w14:paraId="277E2D58" w14:textId="77777777" w:rsidR="00DB2B68" w:rsidRDefault="00000000">
      <w:r>
        <w:t>Il s'agit de l’ensemble des poutres et barres en LVL et à inertie constante.</w:t>
      </w:r>
    </w:p>
    <w:p w14:paraId="2E9E5818" w14:textId="77777777" w:rsidR="00DB2B68" w:rsidRDefault="00000000">
      <w:pPr>
        <w:pStyle w:val="pheading"/>
      </w:pPr>
      <w:r>
        <w:t>MATÉRIAUX</w:t>
      </w:r>
    </w:p>
    <w:p w14:paraId="0BA6635E" w14:textId="77777777" w:rsidR="00DB2B68" w:rsidRDefault="00000000">
      <w:pPr>
        <w:pStyle w:val="pheading"/>
      </w:pPr>
      <w:r>
        <w:t>- Caractéristiques générales</w:t>
      </w:r>
    </w:p>
    <w:p w14:paraId="093ECE0A" w14:textId="77777777" w:rsidR="00DB2B68" w:rsidRDefault="00000000">
      <w:pPr>
        <w:jc w:val="both"/>
      </w:pPr>
      <w:r>
        <w:t>Dimensions de la section :</w:t>
      </w:r>
      <w:r>
        <w:rPr>
          <w:rStyle w:val="optioncarChar"/>
        </w:rPr>
        <w:t xml:space="preserve"> Voir plans </w:t>
      </w:r>
      <w:r>
        <w:t xml:space="preserve">(par défaut) </w:t>
      </w:r>
      <w:r>
        <w:rPr>
          <w:rStyle w:val="optioncarChar"/>
        </w:rPr>
        <w:t>/ *** x *** mm²</w:t>
      </w:r>
    </w:p>
    <w:p w14:paraId="497314A6" w14:textId="77777777" w:rsidR="00DB2B68" w:rsidRDefault="00000000">
      <w:pPr>
        <w:jc w:val="both"/>
      </w:pPr>
      <w:r>
        <w:t xml:space="preserve">Type de LVL : </w:t>
      </w:r>
      <w:r>
        <w:rPr>
          <w:rStyle w:val="optioncarChar"/>
        </w:rPr>
        <w:t>S</w:t>
      </w:r>
      <w:r>
        <w:t xml:space="preserve"> (par défaut) </w:t>
      </w:r>
      <w:r>
        <w:rPr>
          <w:rStyle w:val="optioncarChar"/>
        </w:rPr>
        <w:t>/ Q</w:t>
      </w:r>
    </w:p>
    <w:p w14:paraId="5EEBF4ED" w14:textId="77777777" w:rsidR="00DB2B68" w:rsidRDefault="00000000">
      <w:pPr>
        <w:jc w:val="both"/>
      </w:pPr>
      <w:r>
        <w:t>Caractéristiques mécaniques :</w:t>
      </w:r>
    </w:p>
    <w:p w14:paraId="1D201306" w14:textId="77777777" w:rsidR="00DB2B68" w:rsidRDefault="00000000">
      <w:pPr>
        <w:pStyle w:val="Author-eListParagraph"/>
        <w:numPr>
          <w:ilvl w:val="0"/>
          <w:numId w:val="861"/>
        </w:numPr>
      </w:pPr>
      <w:r>
        <w:t>Résistance minimale en flexion à chant :</w:t>
      </w:r>
      <w:r>
        <w:rPr>
          <w:rStyle w:val="optioncarChar"/>
        </w:rPr>
        <w:t> 40 MPa</w:t>
      </w:r>
      <w:r>
        <w:t> (par défaut)</w:t>
      </w:r>
      <w:r>
        <w:rPr>
          <w:rStyle w:val="optioncarChar"/>
        </w:rPr>
        <w:t> / ***</w:t>
      </w:r>
    </w:p>
    <w:p w14:paraId="7286885F" w14:textId="77777777" w:rsidR="00DB2B68" w:rsidRDefault="00000000">
      <w:pPr>
        <w:pStyle w:val="Author-eListParagraph"/>
        <w:numPr>
          <w:ilvl w:val="0"/>
          <w:numId w:val="861"/>
        </w:numPr>
      </w:pPr>
      <w:r>
        <w:t>Résistance minimale en flexion à plat : </w:t>
      </w:r>
      <w:r>
        <w:rPr>
          <w:rStyle w:val="optioncarChar"/>
        </w:rPr>
        <w:t>40 MPa </w:t>
      </w:r>
      <w:r>
        <w:t>(par défaut) </w:t>
      </w:r>
      <w:r>
        <w:rPr>
          <w:rStyle w:val="optioncarChar"/>
        </w:rPr>
        <w:t>/ ***</w:t>
      </w:r>
    </w:p>
    <w:p w14:paraId="2E2A9162" w14:textId="77777777" w:rsidR="00DB2B68" w:rsidRDefault="00000000">
      <w:pPr>
        <w:pStyle w:val="Author-eListParagraph"/>
        <w:numPr>
          <w:ilvl w:val="0"/>
          <w:numId w:val="861"/>
        </w:numPr>
      </w:pPr>
      <w:r>
        <w:t>Résistance minimale en traction parallèle au fil du bois : </w:t>
      </w:r>
      <w:r>
        <w:rPr>
          <w:rStyle w:val="optioncarChar"/>
        </w:rPr>
        <w:t>30 MPa </w:t>
      </w:r>
      <w:r>
        <w:t>(par défaut)</w:t>
      </w:r>
      <w:r>
        <w:rPr>
          <w:rStyle w:val="optioncarChar"/>
        </w:rPr>
        <w:t> / ***</w:t>
      </w:r>
    </w:p>
    <w:p w14:paraId="32183398" w14:textId="77777777" w:rsidR="00DB2B68" w:rsidRDefault="00000000">
      <w:pPr>
        <w:pStyle w:val="Author-eListParagraph"/>
        <w:numPr>
          <w:ilvl w:val="0"/>
          <w:numId w:val="861"/>
        </w:numPr>
      </w:pPr>
      <w:r>
        <w:t>Résistance minimale en compression parallèle au fil du bois : </w:t>
      </w:r>
      <w:r>
        <w:rPr>
          <w:rStyle w:val="optioncarChar"/>
        </w:rPr>
        <w:t>30 MPa </w:t>
      </w:r>
      <w:r>
        <w:t>(par défaut)</w:t>
      </w:r>
      <w:r>
        <w:rPr>
          <w:rStyle w:val="optioncarChar"/>
        </w:rPr>
        <w:t> / ***</w:t>
      </w:r>
    </w:p>
    <w:p w14:paraId="658023A3" w14:textId="77777777" w:rsidR="00DB2B68" w:rsidRDefault="00000000">
      <w:pPr>
        <w:pStyle w:val="Author-eListParagraph"/>
        <w:numPr>
          <w:ilvl w:val="0"/>
          <w:numId w:val="861"/>
        </w:numPr>
      </w:pPr>
      <w:r>
        <w:t>Résistance minimale en cisaillement à chant :</w:t>
      </w:r>
      <w:r>
        <w:rPr>
          <w:rStyle w:val="optioncarChar"/>
        </w:rPr>
        <w:t> 5 MPa </w:t>
      </w:r>
      <w:r>
        <w:t>(par défaut)</w:t>
      </w:r>
      <w:r>
        <w:rPr>
          <w:rStyle w:val="optioncarChar"/>
        </w:rPr>
        <w:t> / ***</w:t>
      </w:r>
    </w:p>
    <w:p w14:paraId="7FE400BF" w14:textId="77777777" w:rsidR="00DB2B68" w:rsidRDefault="00000000">
      <w:pPr>
        <w:pStyle w:val="Author-eListParagraph"/>
        <w:numPr>
          <w:ilvl w:val="0"/>
          <w:numId w:val="861"/>
        </w:numPr>
      </w:pPr>
      <w:r>
        <w:t>Résistance minimale en cisaillement à plat : </w:t>
      </w:r>
      <w:r>
        <w:rPr>
          <w:rStyle w:val="optioncarChar"/>
        </w:rPr>
        <w:t>4 MPa </w:t>
      </w:r>
      <w:r>
        <w:t>(par défaut)</w:t>
      </w:r>
      <w:r>
        <w:rPr>
          <w:rStyle w:val="optioncarChar"/>
        </w:rPr>
        <w:t> / ***</w:t>
      </w:r>
    </w:p>
    <w:p w14:paraId="68FDAC1A" w14:textId="77777777" w:rsidR="00DB2B68" w:rsidRDefault="00000000">
      <w:pPr>
        <w:pStyle w:val="Author-eListParagraph"/>
        <w:numPr>
          <w:ilvl w:val="0"/>
          <w:numId w:val="861"/>
        </w:numPr>
      </w:pPr>
      <w:r>
        <w:t>Module d’élasticité minimum parallèle au fil du bois (au fractile 5%) : </w:t>
      </w:r>
      <w:r>
        <w:rPr>
          <w:rStyle w:val="optioncarChar"/>
        </w:rPr>
        <w:t>9 GPa </w:t>
      </w:r>
      <w:r>
        <w:t>(par défaut)</w:t>
      </w:r>
      <w:r>
        <w:rPr>
          <w:rStyle w:val="optioncarChar"/>
        </w:rPr>
        <w:t> / ***</w:t>
      </w:r>
    </w:p>
    <w:p w14:paraId="66C04014" w14:textId="77777777" w:rsidR="00DB2B68" w:rsidRDefault="00000000">
      <w:pPr>
        <w:pStyle w:val="Author-eListParagraph"/>
        <w:numPr>
          <w:ilvl w:val="0"/>
          <w:numId w:val="861"/>
        </w:numPr>
      </w:pPr>
      <w:r>
        <w:t>Module de cisaillement à chant : </w:t>
      </w:r>
      <w:r>
        <w:rPr>
          <w:rStyle w:val="optioncarChar"/>
        </w:rPr>
        <w:t>600 MPa </w:t>
      </w:r>
      <w:r>
        <w:t>(par défaut)</w:t>
      </w:r>
      <w:r>
        <w:rPr>
          <w:rStyle w:val="optioncarChar"/>
        </w:rPr>
        <w:t> / ***</w:t>
      </w:r>
    </w:p>
    <w:p w14:paraId="786728E9" w14:textId="77777777" w:rsidR="00DB2B68" w:rsidRDefault="00000000">
      <w:pPr>
        <w:pStyle w:val="Author-eListParagraph"/>
        <w:numPr>
          <w:ilvl w:val="0"/>
          <w:numId w:val="861"/>
        </w:numPr>
      </w:pPr>
      <w:r>
        <w:t>Module de cisaillement à plat :</w:t>
      </w:r>
      <w:r>
        <w:rPr>
          <w:rStyle w:val="optioncarChar"/>
        </w:rPr>
        <w:t> 400 MPa </w:t>
      </w:r>
      <w:r>
        <w:t>(par défaut)</w:t>
      </w:r>
      <w:r>
        <w:rPr>
          <w:rStyle w:val="optioncarChar"/>
        </w:rPr>
        <w:t> / ***</w:t>
      </w:r>
    </w:p>
    <w:p w14:paraId="28997732" w14:textId="77777777" w:rsidR="00DB2B68" w:rsidRDefault="00000000">
      <w:pPr>
        <w:jc w:val="both"/>
      </w:pPr>
      <w:r>
        <w:t xml:space="preserve">Courbure des poutres et barres : </w:t>
      </w:r>
      <w:r>
        <w:rPr>
          <w:rStyle w:val="optioncarChar"/>
        </w:rPr>
        <w:t>aucune</w:t>
      </w:r>
      <w:r>
        <w:t xml:space="preserve"> (par défaut) </w:t>
      </w:r>
      <w:r>
        <w:rPr>
          <w:rStyle w:val="optioncarChar"/>
        </w:rPr>
        <w:t>/ voir plan / ***</w:t>
      </w:r>
    </w:p>
    <w:p w14:paraId="227E7914"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hêtre / ***</w:t>
      </w:r>
    </w:p>
    <w:p w14:paraId="68F7CBC8" w14:textId="77777777" w:rsidR="00DB2B68" w:rsidRDefault="00000000">
      <w:pPr>
        <w:jc w:val="both"/>
      </w:pPr>
      <w:r>
        <w:t xml:space="preserve">Classe d’emploi : </w:t>
      </w:r>
      <w:r>
        <w:rPr>
          <w:rStyle w:val="optioncarChar"/>
        </w:rPr>
        <w:t>1 / 2 / 3</w:t>
      </w:r>
    </w:p>
    <w:p w14:paraId="0551977E" w14:textId="77777777" w:rsidR="00DB2B68" w:rsidRDefault="00000000">
      <w:pPr>
        <w:jc w:val="both"/>
      </w:pPr>
      <w:r>
        <w:t>Le fournisseur de la poutre/barre en LVL déclare la classe d’emploi maximale dans laquelle l’élément peut être mis en œuvre. Celle-ci est au minimum égale à la classe d’emploi prescrite.</w:t>
      </w:r>
    </w:p>
    <w:p w14:paraId="262D7C77" w14:textId="77777777" w:rsidR="00DB2B68"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3A0CA3D8" w14:textId="77777777" w:rsidR="00DB2B68"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11F65B4E" w14:textId="77777777" w:rsidR="00DB2B68" w:rsidRDefault="00000000">
      <w:pPr>
        <w:pStyle w:val="pheading"/>
      </w:pPr>
      <w:r>
        <w:t>- Finitions</w:t>
      </w:r>
    </w:p>
    <w:p w14:paraId="33197DE7" w14:textId="77777777" w:rsidR="00DB2B68" w:rsidRDefault="00000000">
      <w:pPr>
        <w:jc w:val="both"/>
      </w:pPr>
      <w:r>
        <w:t xml:space="preserve">Les poutres et barres en LVL sont </w:t>
      </w:r>
      <w:r>
        <w:rPr>
          <w:rStyle w:val="optioncarChar"/>
        </w:rPr>
        <w:t xml:space="preserve">non-poncées </w:t>
      </w:r>
      <w:r>
        <w:t xml:space="preserve">(par défaut) </w:t>
      </w:r>
      <w:r>
        <w:rPr>
          <w:rStyle w:val="optioncarChar"/>
        </w:rPr>
        <w:t>/ poncées / ***</w:t>
      </w:r>
      <w:r>
        <w:t xml:space="preserve"> sur </w:t>
      </w:r>
      <w:r>
        <w:rPr>
          <w:rStyle w:val="optioncarChar"/>
        </w:rPr>
        <w:t>1 / 2 / 3 / 4</w:t>
      </w:r>
      <w:r>
        <w:t xml:space="preserve"> faces</w:t>
      </w:r>
    </w:p>
    <w:p w14:paraId="73FFD417" w14:textId="77777777" w:rsidR="00DB2B68"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38787A01" w14:textId="77777777" w:rsidR="00DB2B68" w:rsidRDefault="00000000">
      <w:pPr>
        <w:jc w:val="both"/>
      </w:pPr>
      <w:r>
        <w:t xml:space="preserve">Les 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00ED57C0" w14:textId="77777777" w:rsidR="00DB2B68" w:rsidRDefault="00000000">
      <w:pPr>
        <w:pStyle w:val="pheading"/>
      </w:pPr>
      <w:r>
        <w:t>EXÉCUTION / MISE EN ŒUVRE</w:t>
      </w:r>
    </w:p>
    <w:p w14:paraId="2C4C1CFE" w14:textId="77777777" w:rsidR="00DB2B68" w:rsidRDefault="00000000">
      <w:pPr>
        <w:pStyle w:val="pheading"/>
      </w:pPr>
      <w:r>
        <w:t>- Prescriptions générales</w:t>
      </w:r>
    </w:p>
    <w:p w14:paraId="7F01179C"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67F3B11F" w14:textId="77777777" w:rsidR="00DB2B68" w:rsidRDefault="00000000">
      <w:pPr>
        <w:pStyle w:val="pheading"/>
      </w:pPr>
      <w:r>
        <w:t>MESURAGE</w:t>
      </w:r>
    </w:p>
    <w:p w14:paraId="0ADED4A5" w14:textId="77777777" w:rsidR="00DB2B68" w:rsidRDefault="00000000">
      <w:pPr>
        <w:pStyle w:val="pheading"/>
      </w:pPr>
      <w:r>
        <w:t>- unité de mesure:</w:t>
      </w:r>
    </w:p>
    <w:p w14:paraId="21908460" w14:textId="77777777" w:rsidR="00DB2B68" w:rsidRDefault="00000000">
      <w:r>
        <w:rPr>
          <w:rStyle w:val="optioncarChar"/>
        </w:rPr>
        <w:t>m³ </w:t>
      </w:r>
      <w:r>
        <w:t>(par défaut)</w:t>
      </w:r>
      <w:r>
        <w:rPr>
          <w:rStyle w:val="optioncarChar"/>
        </w:rPr>
        <w:t> / m / pc</w:t>
      </w:r>
    </w:p>
    <w:p w14:paraId="403326D3" w14:textId="77777777" w:rsidR="00DB2B68" w:rsidRDefault="00000000">
      <w:r>
        <w:rPr>
          <w:b/>
          <w:i/>
        </w:rPr>
        <w:t>(Soit par défaut)</w:t>
      </w:r>
    </w:p>
    <w:p w14:paraId="05653F3A" w14:textId="77777777" w:rsidR="00DB2B68" w:rsidRDefault="00000000">
      <w:r>
        <w:rPr>
          <w:rStyle w:val="soitChar"/>
        </w:rPr>
        <w:t>1.    m³ </w:t>
      </w:r>
    </w:p>
    <w:p w14:paraId="18374DFE" w14:textId="77777777" w:rsidR="00DB2B68" w:rsidRDefault="00000000">
      <w:r>
        <w:rPr>
          <w:b/>
          <w:i/>
        </w:rPr>
        <w:lastRenderedPageBreak/>
        <w:t>(Soit)</w:t>
      </w:r>
    </w:p>
    <w:p w14:paraId="1CB7CC69" w14:textId="77777777" w:rsidR="00DB2B68" w:rsidRDefault="00000000">
      <w:r>
        <w:rPr>
          <w:rStyle w:val="soitChar"/>
        </w:rPr>
        <w:t>2.    m </w:t>
      </w:r>
    </w:p>
    <w:p w14:paraId="5229A864" w14:textId="77777777" w:rsidR="00DB2B68" w:rsidRDefault="00000000">
      <w:r>
        <w:rPr>
          <w:b/>
          <w:i/>
        </w:rPr>
        <w:t>(Soit)</w:t>
      </w:r>
    </w:p>
    <w:p w14:paraId="232DF2C6" w14:textId="77777777" w:rsidR="00DB2B68" w:rsidRDefault="00000000">
      <w:r>
        <w:rPr>
          <w:rStyle w:val="soitChar"/>
        </w:rPr>
        <w:t>3.    pc</w:t>
      </w:r>
    </w:p>
    <w:p w14:paraId="34C765BB" w14:textId="77777777" w:rsidR="00DB2B68" w:rsidRDefault="00000000">
      <w:pPr>
        <w:pStyle w:val="pheading"/>
      </w:pPr>
      <w:r>
        <w:t>- code de mesurage:</w:t>
      </w:r>
    </w:p>
    <w:p w14:paraId="60967B91" w14:textId="77777777" w:rsidR="00DB2B68" w:rsidRDefault="00000000">
      <w:pPr>
        <w:jc w:val="both"/>
      </w:pPr>
      <w:r>
        <w:rPr>
          <w:rStyle w:val="optioncarChar"/>
        </w:rPr>
        <w:t> Volume brut</w:t>
      </w:r>
      <w:r>
        <w:t> (par défaut) </w:t>
      </w:r>
      <w:r>
        <w:rPr>
          <w:rStyle w:val="optioncarChar"/>
        </w:rPr>
        <w:t>/ Longueur brute / Quantité nette</w:t>
      </w:r>
    </w:p>
    <w:p w14:paraId="080F5234" w14:textId="77777777" w:rsidR="00DB2B68" w:rsidRDefault="00000000">
      <w:pPr>
        <w:jc w:val="both"/>
      </w:pPr>
      <w:r>
        <w:rPr>
          <w:b/>
          <w:i/>
        </w:rPr>
        <w:t>(Soit par défaut)</w:t>
      </w:r>
    </w:p>
    <w:p w14:paraId="4ED15747" w14:textId="77777777" w:rsidR="00DB2B68" w:rsidRDefault="00000000">
      <w:pPr>
        <w:jc w:val="both"/>
      </w:pPr>
      <w:r>
        <w:rPr>
          <w:rStyle w:val="soitChar"/>
        </w:rPr>
        <w:t>1.   </w:t>
      </w:r>
      <w:r>
        <w:rPr>
          <w:rStyle w:val="soitChar"/>
          <w:u w:val="single"/>
        </w:rPr>
        <w:t> Volume brut :</w:t>
      </w:r>
    </w:p>
    <w:p w14:paraId="500E1615" w14:textId="77777777" w:rsidR="00DB2B68" w:rsidRDefault="00000000">
      <w:pPr>
        <w:jc w:val="both"/>
      </w:pPr>
      <w:r>
        <w:rPr>
          <w:rStyle w:val="soitChar"/>
        </w:rPr>
        <w:t>Le volume brut d’une poutre/barre est calculé suivant l'épaisseur prescrite au cahier spécial des charges.</w:t>
      </w:r>
    </w:p>
    <w:p w14:paraId="477214EC" w14:textId="77777777" w:rsidR="00DB2B68" w:rsidRDefault="00000000">
      <w:pPr>
        <w:jc w:val="both"/>
      </w:pPr>
      <w:r>
        <w:rPr>
          <w:b/>
          <w:i/>
        </w:rPr>
        <w:t> (Soit)</w:t>
      </w:r>
    </w:p>
    <w:p w14:paraId="7E996DC8" w14:textId="77777777" w:rsidR="00DB2B68" w:rsidRDefault="00000000">
      <w:pPr>
        <w:jc w:val="both"/>
      </w:pPr>
      <w:r>
        <w:rPr>
          <w:rStyle w:val="soitChar"/>
        </w:rPr>
        <w:t>2.    </w:t>
      </w:r>
      <w:r>
        <w:rPr>
          <w:rStyle w:val="soitChar"/>
          <w:u w:val="single"/>
        </w:rPr>
        <w:t>Longueur brute :</w:t>
      </w:r>
    </w:p>
    <w:p w14:paraId="5F159FDE" w14:textId="77777777" w:rsidR="00DB2B68" w:rsidRDefault="00000000">
      <w:pPr>
        <w:jc w:val="both"/>
      </w:pPr>
      <w:r>
        <w:rPr>
          <w:rStyle w:val="soitChar"/>
        </w:rPr>
        <w:t>La longueur brute d’un élément est la cote maximale dans la direction longitudinale, longueur de bois utile pour l’assemblage comprise. </w:t>
      </w:r>
    </w:p>
    <w:p w14:paraId="5BA2FE8F" w14:textId="77777777" w:rsidR="00DB2B68" w:rsidRDefault="00000000">
      <w:pPr>
        <w:jc w:val="both"/>
      </w:pPr>
      <w:r>
        <w:rPr>
          <w:rStyle w:val="soitChar"/>
        </w:rPr>
        <w:t>La longueur totale des poutres et barres ayant la même section et les mêmes caractéristiques est comptabilisée.</w:t>
      </w:r>
    </w:p>
    <w:p w14:paraId="170C97E8" w14:textId="77777777" w:rsidR="00DB2B68" w:rsidRDefault="00000000">
      <w:pPr>
        <w:jc w:val="both"/>
      </w:pPr>
      <w:r>
        <w:rPr>
          <w:b/>
          <w:i/>
        </w:rPr>
        <w:t> (Soit)</w:t>
      </w:r>
    </w:p>
    <w:p w14:paraId="592C5E98" w14:textId="77777777" w:rsidR="00DB2B68" w:rsidRDefault="00000000">
      <w:pPr>
        <w:jc w:val="both"/>
      </w:pPr>
      <w:r>
        <w:rPr>
          <w:rStyle w:val="soitChar"/>
        </w:rPr>
        <w:t>3.    </w:t>
      </w:r>
      <w:r>
        <w:rPr>
          <w:rStyle w:val="soitChar"/>
          <w:u w:val="single"/>
        </w:rPr>
        <w:t>Quantité nette :</w:t>
      </w:r>
    </w:p>
    <w:p w14:paraId="1635D9B8" w14:textId="77777777" w:rsidR="00DB2B68" w:rsidRDefault="00000000">
      <w:pPr>
        <w:jc w:val="both"/>
      </w:pPr>
      <w:r>
        <w:rPr>
          <w:rStyle w:val="soitChar"/>
        </w:rPr>
        <w:t>Le nombre de poutres et barres ayant les mêmes dimensions et les mêmes caractéristiques est compatibilisé.</w:t>
      </w:r>
    </w:p>
    <w:p w14:paraId="2AEE1BEC" w14:textId="77777777" w:rsidR="00DB2B68" w:rsidRDefault="00000000">
      <w:pPr>
        <w:pStyle w:val="pheading"/>
      </w:pPr>
      <w:r>
        <w:t>- nature du marché:</w:t>
      </w:r>
    </w:p>
    <w:p w14:paraId="0BB1E96E" w14:textId="77777777" w:rsidR="00DB2B68" w:rsidRDefault="00000000">
      <w:r>
        <w:rPr>
          <w:rStyle w:val="optioncarChar"/>
        </w:rPr>
        <w:t>QF</w:t>
      </w:r>
      <w:r>
        <w:t> (par défaut)</w:t>
      </w:r>
      <w:r>
        <w:rPr>
          <w:rStyle w:val="optioncarChar"/>
        </w:rPr>
        <w:t> / QP</w:t>
      </w:r>
    </w:p>
    <w:p w14:paraId="4354D962" w14:textId="77777777" w:rsidR="00DB2B68" w:rsidRDefault="00000000">
      <w:r>
        <w:rPr>
          <w:b/>
          <w:i/>
        </w:rPr>
        <w:t>(Soit par défaut)</w:t>
      </w:r>
    </w:p>
    <w:p w14:paraId="292455D3" w14:textId="77777777" w:rsidR="00DB2B68" w:rsidRDefault="00000000">
      <w:r>
        <w:rPr>
          <w:rStyle w:val="soitChar"/>
        </w:rPr>
        <w:t>1.2.3     QF</w:t>
      </w:r>
    </w:p>
    <w:p w14:paraId="71FD5598" w14:textId="77777777" w:rsidR="00DB2B68" w:rsidRDefault="00000000">
      <w:r>
        <w:rPr>
          <w:b/>
          <w:i/>
        </w:rPr>
        <w:t>(Soit)</w:t>
      </w:r>
    </w:p>
    <w:p w14:paraId="1EC98F2C" w14:textId="77777777" w:rsidR="00DB2B68" w:rsidRDefault="00000000">
      <w:r>
        <w:rPr>
          <w:rStyle w:val="soitChar"/>
        </w:rPr>
        <w:t>1.2.3     QP</w:t>
      </w:r>
    </w:p>
    <w:p w14:paraId="358654A4" w14:textId="77777777" w:rsidR="00DB2B68" w:rsidRDefault="00000000">
      <w:pPr>
        <w:pStyle w:val="pheading"/>
      </w:pPr>
      <w:r>
        <w:t>AIDE</w:t>
      </w:r>
    </w:p>
    <w:p w14:paraId="7D69E041" w14:textId="77777777" w:rsidR="00DB2B68" w:rsidRDefault="00000000">
      <w:pPr>
        <w:jc w:val="both"/>
      </w:pPr>
      <w:r>
        <w:t>Le code suivant peut être utilisé pour la dénomination du poste :</w:t>
      </w:r>
    </w:p>
    <w:p w14:paraId="61CD2528" w14:textId="77777777" w:rsidR="00DB2B68" w:rsidRDefault="00000000">
      <w:pPr>
        <w:jc w:val="both"/>
      </w:pPr>
      <w:r>
        <w:t>LVL 1 / 2 / 3 / 4 / 5</w:t>
      </w:r>
    </w:p>
    <w:p w14:paraId="16176000" w14:textId="77777777" w:rsidR="00DB2B68" w:rsidRDefault="00000000">
      <w:pPr>
        <w:jc w:val="both"/>
      </w:pPr>
      <w:r>
        <w:t>Avec :</w:t>
      </w:r>
    </w:p>
    <w:p w14:paraId="19CAAC21" w14:textId="77777777" w:rsidR="00DB2B68" w:rsidRDefault="00000000">
      <w:pPr>
        <w:jc w:val="both"/>
      </w:pPr>
      <w:r>
        <w:t>LVL pour bois laminated veneer lumber</w:t>
      </w:r>
    </w:p>
    <w:p w14:paraId="0F3A3672" w14:textId="77777777" w:rsidR="00DB2B68" w:rsidRDefault="00000000">
      <w:pPr>
        <w:jc w:val="both"/>
      </w:pPr>
      <w:r>
        <w:t>1 : Type de LVL</w:t>
      </w:r>
    </w:p>
    <w:p w14:paraId="47477FB1" w14:textId="77777777" w:rsidR="00DB2B68" w:rsidRDefault="00000000">
      <w:pPr>
        <w:jc w:val="both"/>
      </w:pPr>
      <w:r>
        <w:t>2 : section</w:t>
      </w:r>
    </w:p>
    <w:p w14:paraId="1CFA7FB2" w14:textId="77777777" w:rsidR="00DB2B68" w:rsidRDefault="00000000">
      <w:pPr>
        <w:jc w:val="both"/>
      </w:pPr>
      <w:r>
        <w:t>3 : L’essence utilisée</w:t>
      </w:r>
    </w:p>
    <w:p w14:paraId="510193B3" w14:textId="77777777" w:rsidR="00DB2B68" w:rsidRDefault="00000000">
      <w:pPr>
        <w:jc w:val="both"/>
      </w:pPr>
      <w:r>
        <w:t>4 : la classe d’emploi des poutres et barres</w:t>
      </w:r>
    </w:p>
    <w:p w14:paraId="448C112B" w14:textId="77777777" w:rsidR="00DB2B68" w:rsidRDefault="00000000">
      <w:pPr>
        <w:jc w:val="both"/>
      </w:pPr>
      <w:r>
        <w:t>5 : la méthode utilisée pour garantir la durabilité des poutres et barres</w:t>
      </w:r>
    </w:p>
    <w:p w14:paraId="4C7B81FA" w14:textId="77777777" w:rsidR="00DB2B68" w:rsidRDefault="00000000">
      <w:pPr>
        <w:jc w:val="both"/>
      </w:pPr>
      <w:r>
        <w:t>Ce qui donne, par exemple :</w:t>
      </w:r>
    </w:p>
    <w:p w14:paraId="3936281E" w14:textId="77777777" w:rsidR="00DB2B68" w:rsidRDefault="00000000">
      <w:pPr>
        <w:jc w:val="both"/>
      </w:pPr>
      <w:r>
        <w:t>LVL S / 200 x 90 / épicéa / 2 / A2.2</w:t>
      </w:r>
    </w:p>
    <w:p w14:paraId="6DADC7A2" w14:textId="77777777" w:rsidR="00DB2B68" w:rsidRDefault="00000000">
      <w:pPr>
        <w:pStyle w:val="Author-eSectionHeading6Numberless"/>
      </w:pPr>
      <w:bookmarkStart w:id="1606" w:name="_Toc220496596"/>
      <w:r>
        <w:t>24.13.5b Poutres et barres en LVL à inertie variable CCTB 01.11</w:t>
      </w:r>
      <w:bookmarkEnd w:id="1606"/>
    </w:p>
    <w:p w14:paraId="3ED08FA8" w14:textId="77777777" w:rsidR="00DB2B68" w:rsidRDefault="00000000">
      <w:pPr>
        <w:pStyle w:val="pheading"/>
      </w:pPr>
      <w:r>
        <w:t>DESCRIPTION</w:t>
      </w:r>
    </w:p>
    <w:p w14:paraId="6223F8F8" w14:textId="77777777" w:rsidR="00DB2B68" w:rsidRDefault="00000000">
      <w:pPr>
        <w:pStyle w:val="pheading"/>
      </w:pPr>
      <w:r>
        <w:lastRenderedPageBreak/>
        <w:t>- Définition / Comprend</w:t>
      </w:r>
    </w:p>
    <w:p w14:paraId="1913333D" w14:textId="77777777" w:rsidR="00DB2B68" w:rsidRDefault="00000000">
      <w:r>
        <w:t>Il s'agit de l’ensemble des poutres et barres en LVL et à inertie variable.</w:t>
      </w:r>
    </w:p>
    <w:p w14:paraId="10A16947" w14:textId="77777777" w:rsidR="00DB2B68" w:rsidRDefault="00000000">
      <w:pPr>
        <w:pStyle w:val="pheading"/>
      </w:pPr>
      <w:r>
        <w:t>MATÉRIAUX</w:t>
      </w:r>
    </w:p>
    <w:p w14:paraId="1B509286" w14:textId="77777777" w:rsidR="00DB2B68" w:rsidRDefault="00000000">
      <w:pPr>
        <w:pStyle w:val="pheading"/>
      </w:pPr>
      <w:r>
        <w:t>- Caractéristiques générales</w:t>
      </w:r>
    </w:p>
    <w:p w14:paraId="7D11EE53" w14:textId="77777777" w:rsidR="00DB2B68" w:rsidRDefault="00000000">
      <w:pPr>
        <w:jc w:val="both"/>
      </w:pPr>
      <w:r>
        <w:t xml:space="preserve">Type de LVL : </w:t>
      </w:r>
      <w:r>
        <w:rPr>
          <w:rStyle w:val="optioncarChar"/>
        </w:rPr>
        <w:t xml:space="preserve">S </w:t>
      </w:r>
      <w:r>
        <w:t>(par défaut)</w:t>
      </w:r>
      <w:r>
        <w:rPr>
          <w:rStyle w:val="optioncarChar"/>
        </w:rPr>
        <w:t xml:space="preserve"> / Q</w:t>
      </w:r>
    </w:p>
    <w:p w14:paraId="33F0E994" w14:textId="77777777" w:rsidR="00DB2B68" w:rsidRDefault="00000000">
      <w:pPr>
        <w:jc w:val="both"/>
      </w:pPr>
      <w:r>
        <w:t>Caractéristiques mécaniques :</w:t>
      </w:r>
    </w:p>
    <w:p w14:paraId="3C3D9D52" w14:textId="77777777" w:rsidR="00DB2B68" w:rsidRDefault="00000000">
      <w:pPr>
        <w:pStyle w:val="Author-eListParagraph"/>
        <w:numPr>
          <w:ilvl w:val="0"/>
          <w:numId w:val="862"/>
        </w:numPr>
      </w:pPr>
      <w:r>
        <w:t>Résistance minimale en flexion à chant :</w:t>
      </w:r>
      <w:r>
        <w:rPr>
          <w:rStyle w:val="optioncarChar"/>
        </w:rPr>
        <w:t> 40 MPa</w:t>
      </w:r>
      <w:r>
        <w:t> (par défaut)</w:t>
      </w:r>
      <w:r>
        <w:rPr>
          <w:rStyle w:val="optioncarChar"/>
        </w:rPr>
        <w:t> / ***</w:t>
      </w:r>
    </w:p>
    <w:p w14:paraId="22C9225D" w14:textId="77777777" w:rsidR="00DB2B68" w:rsidRDefault="00000000">
      <w:pPr>
        <w:pStyle w:val="Author-eListParagraph"/>
        <w:numPr>
          <w:ilvl w:val="0"/>
          <w:numId w:val="862"/>
        </w:numPr>
      </w:pPr>
      <w:r>
        <w:t>Résistance minimale en flexion à plat : </w:t>
      </w:r>
      <w:r>
        <w:rPr>
          <w:rStyle w:val="optioncarChar"/>
        </w:rPr>
        <w:t>40 MPa </w:t>
      </w:r>
      <w:r>
        <w:t>(par défaut) </w:t>
      </w:r>
      <w:r>
        <w:rPr>
          <w:rStyle w:val="optioncarChar"/>
        </w:rPr>
        <w:t>/ ***</w:t>
      </w:r>
    </w:p>
    <w:p w14:paraId="19381FE1" w14:textId="77777777" w:rsidR="00DB2B68" w:rsidRDefault="00000000">
      <w:pPr>
        <w:pStyle w:val="Author-eListParagraph"/>
        <w:numPr>
          <w:ilvl w:val="0"/>
          <w:numId w:val="862"/>
        </w:numPr>
      </w:pPr>
      <w:r>
        <w:t>Résistance minimale en traction parallèle au fil du bois : </w:t>
      </w:r>
      <w:r>
        <w:rPr>
          <w:rStyle w:val="optioncarChar"/>
        </w:rPr>
        <w:t>30 MPa </w:t>
      </w:r>
      <w:r>
        <w:t>(par défaut)</w:t>
      </w:r>
      <w:r>
        <w:rPr>
          <w:rStyle w:val="optioncarChar"/>
        </w:rPr>
        <w:t> / ***</w:t>
      </w:r>
    </w:p>
    <w:p w14:paraId="192BC944" w14:textId="77777777" w:rsidR="00DB2B68" w:rsidRDefault="00000000">
      <w:pPr>
        <w:pStyle w:val="Author-eListParagraph"/>
        <w:numPr>
          <w:ilvl w:val="0"/>
          <w:numId w:val="862"/>
        </w:numPr>
      </w:pPr>
      <w:r>
        <w:t>Résistance minimale en compression parallèle au fil du bois : </w:t>
      </w:r>
      <w:r>
        <w:rPr>
          <w:rStyle w:val="optioncarChar"/>
        </w:rPr>
        <w:t>30 MPa </w:t>
      </w:r>
      <w:r>
        <w:t>(par défaut)</w:t>
      </w:r>
      <w:r>
        <w:rPr>
          <w:rStyle w:val="optioncarChar"/>
        </w:rPr>
        <w:t> / ***</w:t>
      </w:r>
    </w:p>
    <w:p w14:paraId="3FD4F6F7" w14:textId="77777777" w:rsidR="00DB2B68" w:rsidRDefault="00000000">
      <w:pPr>
        <w:pStyle w:val="Author-eListParagraph"/>
        <w:numPr>
          <w:ilvl w:val="0"/>
          <w:numId w:val="862"/>
        </w:numPr>
      </w:pPr>
      <w:r>
        <w:t>Résistance minimale en cisaillement à chant :</w:t>
      </w:r>
      <w:r>
        <w:rPr>
          <w:rStyle w:val="optioncarChar"/>
        </w:rPr>
        <w:t> 5 MPa </w:t>
      </w:r>
      <w:r>
        <w:t>(par défaut)</w:t>
      </w:r>
      <w:r>
        <w:rPr>
          <w:rStyle w:val="optioncarChar"/>
        </w:rPr>
        <w:t> / ***</w:t>
      </w:r>
    </w:p>
    <w:p w14:paraId="68134396" w14:textId="77777777" w:rsidR="00DB2B68" w:rsidRDefault="00000000">
      <w:pPr>
        <w:pStyle w:val="Author-eListParagraph"/>
        <w:numPr>
          <w:ilvl w:val="0"/>
          <w:numId w:val="862"/>
        </w:numPr>
      </w:pPr>
      <w:r>
        <w:t>Résistance minimale en cisaillement à plat : </w:t>
      </w:r>
      <w:r>
        <w:rPr>
          <w:rStyle w:val="optioncarChar"/>
        </w:rPr>
        <w:t>4 MPa </w:t>
      </w:r>
      <w:r>
        <w:t>(par défaut)</w:t>
      </w:r>
      <w:r>
        <w:rPr>
          <w:rStyle w:val="optioncarChar"/>
        </w:rPr>
        <w:t> / ***</w:t>
      </w:r>
    </w:p>
    <w:p w14:paraId="4614B3DF" w14:textId="77777777" w:rsidR="00DB2B68" w:rsidRDefault="00000000">
      <w:pPr>
        <w:pStyle w:val="Author-eListParagraph"/>
        <w:numPr>
          <w:ilvl w:val="0"/>
          <w:numId w:val="862"/>
        </w:numPr>
      </w:pPr>
      <w:r>
        <w:t>Module d’élasticité minimum parallèle au fil du bois (au fractile 5%) : </w:t>
      </w:r>
      <w:r>
        <w:rPr>
          <w:rStyle w:val="optioncarChar"/>
        </w:rPr>
        <w:t>9 GPa </w:t>
      </w:r>
      <w:r>
        <w:t>(par défaut)</w:t>
      </w:r>
      <w:r>
        <w:rPr>
          <w:rStyle w:val="optioncarChar"/>
        </w:rPr>
        <w:t> / ***</w:t>
      </w:r>
    </w:p>
    <w:p w14:paraId="23455ECF" w14:textId="77777777" w:rsidR="00DB2B68" w:rsidRDefault="00000000">
      <w:pPr>
        <w:pStyle w:val="Author-eListParagraph"/>
        <w:numPr>
          <w:ilvl w:val="0"/>
          <w:numId w:val="862"/>
        </w:numPr>
      </w:pPr>
      <w:r>
        <w:t>Module de cisaillement à chant : </w:t>
      </w:r>
      <w:r>
        <w:rPr>
          <w:rStyle w:val="optioncarChar"/>
        </w:rPr>
        <w:t>600 MPa </w:t>
      </w:r>
      <w:r>
        <w:t>(par défaut)</w:t>
      </w:r>
      <w:r>
        <w:rPr>
          <w:rStyle w:val="optioncarChar"/>
        </w:rPr>
        <w:t> / ***</w:t>
      </w:r>
    </w:p>
    <w:p w14:paraId="3752FB26" w14:textId="77777777" w:rsidR="00DB2B68" w:rsidRDefault="00000000">
      <w:pPr>
        <w:pStyle w:val="Author-eListParagraph"/>
        <w:numPr>
          <w:ilvl w:val="0"/>
          <w:numId w:val="862"/>
        </w:numPr>
      </w:pPr>
      <w:r>
        <w:t>Module de cisaillement à plat :</w:t>
      </w:r>
      <w:r>
        <w:rPr>
          <w:rStyle w:val="optioncarChar"/>
        </w:rPr>
        <w:t> 400 MPa </w:t>
      </w:r>
      <w:r>
        <w:t>(par défaut)</w:t>
      </w:r>
      <w:r>
        <w:rPr>
          <w:rStyle w:val="optioncarChar"/>
        </w:rPr>
        <w:t> / ***</w:t>
      </w:r>
    </w:p>
    <w:p w14:paraId="0579B361" w14:textId="77777777" w:rsidR="00DB2B68" w:rsidRDefault="00000000">
      <w:pPr>
        <w:jc w:val="both"/>
      </w:pPr>
      <w:r>
        <w:t>La géométrie des poutres et barres est décrite dans les plans.</w:t>
      </w:r>
    </w:p>
    <w:p w14:paraId="28E34A29" w14:textId="77777777" w:rsidR="00DB2B68" w:rsidRDefault="00000000">
      <w:pPr>
        <w:jc w:val="both"/>
      </w:pPr>
      <w:r>
        <w:t xml:space="preserve">Essence : </w:t>
      </w:r>
      <w:r>
        <w:rPr>
          <w:rStyle w:val="optioncarChar"/>
        </w:rPr>
        <w:t xml:space="preserve">Résineuse </w:t>
      </w:r>
      <w:r>
        <w:t>(par défaut)</w:t>
      </w:r>
      <w:r>
        <w:rPr>
          <w:rStyle w:val="optioncarChar"/>
        </w:rPr>
        <w:t xml:space="preserve"> / feuillue / épicéa / douglas / hêtre / ***</w:t>
      </w:r>
    </w:p>
    <w:p w14:paraId="32A0CA08" w14:textId="77777777" w:rsidR="00DB2B68" w:rsidRDefault="00000000">
      <w:pPr>
        <w:jc w:val="both"/>
      </w:pPr>
      <w:r>
        <w:t xml:space="preserve">Classe d’emploi : </w:t>
      </w:r>
      <w:r>
        <w:rPr>
          <w:rStyle w:val="optioncarChar"/>
        </w:rPr>
        <w:t>1 / 2 / 3</w:t>
      </w:r>
    </w:p>
    <w:p w14:paraId="5D736527" w14:textId="77777777" w:rsidR="00DB2B68" w:rsidRDefault="00000000">
      <w:pPr>
        <w:jc w:val="both"/>
      </w:pPr>
      <w:r>
        <w:t>Le fournisseur de la poutre/barre en LVL déclare la classe d’emploi maximale dans laquelle l’élément peut être mis en œuvre. Celle-ci est au minimum égale à la classe d’emploi prescrite.</w:t>
      </w:r>
    </w:p>
    <w:p w14:paraId="2EFC779D" w14:textId="77777777" w:rsidR="00DB2B68"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268591D6" w14:textId="77777777" w:rsidR="00DB2B68" w:rsidRDefault="00000000">
      <w:pPr>
        <w:jc w:val="both"/>
      </w:pPr>
      <w:r>
        <w:t xml:space="preserve">Teneur en humidité cible à la livraison et à l’installation des éléments : </w:t>
      </w:r>
      <w:r>
        <w:rPr>
          <w:rStyle w:val="optioncarChar"/>
        </w:rPr>
        <w:t>12 %</w:t>
      </w:r>
      <w:r>
        <w:t xml:space="preserve"> (par défaut)</w:t>
      </w:r>
      <w:r>
        <w:rPr>
          <w:rStyle w:val="optioncarChar"/>
        </w:rPr>
        <w:t xml:space="preserve"> / 17 % / ***</w:t>
      </w:r>
    </w:p>
    <w:p w14:paraId="6D388360" w14:textId="77777777" w:rsidR="00DB2B68" w:rsidRDefault="00000000">
      <w:pPr>
        <w:pStyle w:val="pheading"/>
      </w:pPr>
      <w:r>
        <w:t>- Finitions</w:t>
      </w:r>
    </w:p>
    <w:p w14:paraId="2C14E267" w14:textId="77777777" w:rsidR="00DB2B68" w:rsidRDefault="00000000">
      <w:pPr>
        <w:jc w:val="both"/>
      </w:pPr>
      <w:r>
        <w:t xml:space="preserve">Les poutres et barres en LVL sont </w:t>
      </w:r>
      <w:r>
        <w:rPr>
          <w:rStyle w:val="optioncarChar"/>
        </w:rPr>
        <w:t>non-poncées</w:t>
      </w:r>
      <w:r>
        <w:t xml:space="preserve"> (par défaut)</w:t>
      </w:r>
      <w:r>
        <w:rPr>
          <w:rStyle w:val="optioncarChar"/>
        </w:rPr>
        <w:t xml:space="preserve"> / poncées / ***</w:t>
      </w:r>
      <w:r>
        <w:t xml:space="preserve"> sur </w:t>
      </w:r>
      <w:r>
        <w:rPr>
          <w:rStyle w:val="optioncarChar"/>
        </w:rPr>
        <w:t>1 / 2</w:t>
      </w:r>
      <w:r>
        <w:t xml:space="preserve"> (par défaut) faces</w:t>
      </w:r>
    </w:p>
    <w:p w14:paraId="383E4BE1" w14:textId="77777777" w:rsidR="00DB2B68"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48F1D4FF" w14:textId="77777777" w:rsidR="00DB2B68" w:rsidRDefault="00000000">
      <w:pPr>
        <w:jc w:val="both"/>
      </w:pPr>
      <w:r>
        <w:t xml:space="preserve">Les 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008527D0" w14:textId="77777777" w:rsidR="00DB2B68" w:rsidRDefault="00000000">
      <w:pPr>
        <w:pStyle w:val="pheading"/>
      </w:pPr>
      <w:r>
        <w:t>EXÉCUTION / MISE EN ŒUVRE</w:t>
      </w:r>
    </w:p>
    <w:p w14:paraId="0F54FCA1" w14:textId="77777777" w:rsidR="00DB2B68" w:rsidRDefault="00000000">
      <w:pPr>
        <w:pStyle w:val="pheading"/>
      </w:pPr>
      <w:r>
        <w:t>- Prescriptions générales</w:t>
      </w:r>
    </w:p>
    <w:p w14:paraId="4A6C6A74"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3C3CD1CC" w14:textId="77777777" w:rsidR="00DB2B68" w:rsidRDefault="00000000">
      <w:pPr>
        <w:pStyle w:val="pheading"/>
      </w:pPr>
      <w:r>
        <w:t>MESURAGE</w:t>
      </w:r>
    </w:p>
    <w:p w14:paraId="0449659E" w14:textId="77777777" w:rsidR="00DB2B68" w:rsidRDefault="00000000">
      <w:pPr>
        <w:pStyle w:val="pheading"/>
      </w:pPr>
      <w:r>
        <w:t>- unité de mesure:</w:t>
      </w:r>
    </w:p>
    <w:p w14:paraId="0ECBFE19" w14:textId="77777777" w:rsidR="00DB2B68" w:rsidRDefault="00000000">
      <w:r>
        <w:rPr>
          <w:rStyle w:val="optioncarChar"/>
        </w:rPr>
        <w:t>m³ </w:t>
      </w:r>
      <w:r>
        <w:t>(par défaut)</w:t>
      </w:r>
      <w:r>
        <w:rPr>
          <w:rStyle w:val="optioncarChar"/>
        </w:rPr>
        <w:t> / m / pc</w:t>
      </w:r>
    </w:p>
    <w:p w14:paraId="42DFB230" w14:textId="77777777" w:rsidR="00DB2B68" w:rsidRDefault="00000000">
      <w:r>
        <w:rPr>
          <w:b/>
          <w:i/>
        </w:rPr>
        <w:t>(Soit par défaut)</w:t>
      </w:r>
    </w:p>
    <w:p w14:paraId="1AC3C29E" w14:textId="77777777" w:rsidR="00DB2B68" w:rsidRDefault="00000000">
      <w:r>
        <w:rPr>
          <w:rStyle w:val="soitChar"/>
        </w:rPr>
        <w:t>1.    m³ </w:t>
      </w:r>
    </w:p>
    <w:p w14:paraId="630DDF71" w14:textId="77777777" w:rsidR="00DB2B68" w:rsidRDefault="00000000">
      <w:r>
        <w:rPr>
          <w:b/>
          <w:i/>
        </w:rPr>
        <w:t>(Soit)</w:t>
      </w:r>
    </w:p>
    <w:p w14:paraId="2641ED29" w14:textId="77777777" w:rsidR="00DB2B68" w:rsidRDefault="00000000">
      <w:r>
        <w:rPr>
          <w:rStyle w:val="soitChar"/>
        </w:rPr>
        <w:t>2.    m </w:t>
      </w:r>
    </w:p>
    <w:p w14:paraId="4A340214" w14:textId="77777777" w:rsidR="00DB2B68" w:rsidRDefault="00000000">
      <w:r>
        <w:rPr>
          <w:b/>
          <w:i/>
        </w:rPr>
        <w:t>(Soit)</w:t>
      </w:r>
    </w:p>
    <w:p w14:paraId="48409E58" w14:textId="77777777" w:rsidR="00DB2B68" w:rsidRDefault="00000000">
      <w:r>
        <w:rPr>
          <w:rStyle w:val="soitChar"/>
        </w:rPr>
        <w:t>3.    pc</w:t>
      </w:r>
    </w:p>
    <w:p w14:paraId="72077114" w14:textId="77777777" w:rsidR="00DB2B68" w:rsidRDefault="00000000">
      <w:pPr>
        <w:pStyle w:val="pheading"/>
      </w:pPr>
      <w:r>
        <w:t>- code de mesurage:</w:t>
      </w:r>
    </w:p>
    <w:p w14:paraId="228A07AD" w14:textId="77777777" w:rsidR="00DB2B68" w:rsidRDefault="00000000">
      <w:pPr>
        <w:jc w:val="both"/>
      </w:pPr>
      <w:r>
        <w:rPr>
          <w:rStyle w:val="optioncarChar"/>
        </w:rPr>
        <w:lastRenderedPageBreak/>
        <w:t> Volume brut</w:t>
      </w:r>
      <w:r>
        <w:t> (par défaut)</w:t>
      </w:r>
      <w:r>
        <w:rPr>
          <w:rStyle w:val="optioncarChar"/>
        </w:rPr>
        <w:t> / Longueur brute / Quantité nette</w:t>
      </w:r>
    </w:p>
    <w:p w14:paraId="2455319F" w14:textId="77777777" w:rsidR="00DB2B68" w:rsidRDefault="00000000">
      <w:pPr>
        <w:jc w:val="both"/>
      </w:pPr>
      <w:r>
        <w:rPr>
          <w:b/>
          <w:i/>
        </w:rPr>
        <w:t>(Soit par défaut)</w:t>
      </w:r>
    </w:p>
    <w:p w14:paraId="735D55F5" w14:textId="77777777" w:rsidR="00DB2B68" w:rsidRDefault="00000000">
      <w:pPr>
        <w:jc w:val="both"/>
      </w:pPr>
      <w:r>
        <w:rPr>
          <w:rStyle w:val="soitChar"/>
        </w:rPr>
        <w:t>1.    </w:t>
      </w:r>
      <w:r>
        <w:rPr>
          <w:rStyle w:val="soitChar"/>
          <w:u w:val="single"/>
        </w:rPr>
        <w:t>Volume brut :</w:t>
      </w:r>
    </w:p>
    <w:p w14:paraId="5EB796DB" w14:textId="77777777" w:rsidR="00DB2B68" w:rsidRDefault="00000000">
      <w:pPr>
        <w:jc w:val="both"/>
      </w:pPr>
      <w:r>
        <w:rPr>
          <w:rStyle w:val="soitChar"/>
        </w:rPr>
        <w:t>Le volume brut d’une poutre/barre est calculé suivant le volume du plus petit parallélépipède rectangle pouvant inclure l’élément.</w:t>
      </w:r>
    </w:p>
    <w:p w14:paraId="44233D54" w14:textId="77777777" w:rsidR="00DB2B68" w:rsidRDefault="00000000">
      <w:pPr>
        <w:jc w:val="both"/>
      </w:pPr>
      <w:r>
        <w:rPr>
          <w:b/>
          <w:i/>
        </w:rPr>
        <w:t> (Soit)</w:t>
      </w:r>
    </w:p>
    <w:p w14:paraId="16F49D54" w14:textId="77777777" w:rsidR="00DB2B68" w:rsidRDefault="00000000">
      <w:pPr>
        <w:jc w:val="both"/>
      </w:pPr>
      <w:r>
        <w:rPr>
          <w:rStyle w:val="soitChar"/>
        </w:rPr>
        <w:t>2.    </w:t>
      </w:r>
      <w:r>
        <w:rPr>
          <w:rStyle w:val="soitChar"/>
          <w:u w:val="single"/>
        </w:rPr>
        <w:t>Longueur brute :</w:t>
      </w:r>
    </w:p>
    <w:p w14:paraId="414462E0" w14:textId="77777777" w:rsidR="00DB2B68" w:rsidRDefault="00000000">
      <w:pPr>
        <w:jc w:val="both"/>
      </w:pPr>
      <w:r>
        <w:rPr>
          <w:rStyle w:val="soitChar"/>
        </w:rPr>
        <w:t>La longueur brute d’un élément est la cote maximale dans la direction longitudinale de la développée de l'élément, longueur de bois utile pour l’assemblage comprise. </w:t>
      </w:r>
    </w:p>
    <w:p w14:paraId="77921086" w14:textId="77777777" w:rsidR="00DB2B68" w:rsidRDefault="00000000">
      <w:pPr>
        <w:jc w:val="both"/>
      </w:pPr>
      <w:r>
        <w:rPr>
          <w:rStyle w:val="soitChar"/>
        </w:rPr>
        <w:t>La longueur totale des poutres et barres ayant la même section et les mêmes caractéristiques est comptabilisée.</w:t>
      </w:r>
    </w:p>
    <w:p w14:paraId="3990ED20" w14:textId="77777777" w:rsidR="00DB2B68" w:rsidRDefault="00000000">
      <w:pPr>
        <w:jc w:val="both"/>
      </w:pPr>
      <w:r>
        <w:rPr>
          <w:b/>
          <w:i/>
        </w:rPr>
        <w:t> (Soit)</w:t>
      </w:r>
    </w:p>
    <w:p w14:paraId="07E5B5A0" w14:textId="77777777" w:rsidR="00DB2B68" w:rsidRDefault="00000000">
      <w:pPr>
        <w:jc w:val="both"/>
      </w:pPr>
      <w:r>
        <w:rPr>
          <w:rStyle w:val="soitChar"/>
        </w:rPr>
        <w:t>3.    </w:t>
      </w:r>
      <w:r>
        <w:rPr>
          <w:rStyle w:val="soitChar"/>
          <w:u w:val="single"/>
        </w:rPr>
        <w:t>Quantité nette :</w:t>
      </w:r>
    </w:p>
    <w:p w14:paraId="12757C2A" w14:textId="77777777" w:rsidR="00DB2B68" w:rsidRDefault="00000000">
      <w:pPr>
        <w:jc w:val="both"/>
      </w:pPr>
      <w:r>
        <w:rPr>
          <w:rStyle w:val="soitChar"/>
        </w:rPr>
        <w:t>Le nombre de poutres et barres ayant les mêmes dimensions et les mêmes caractéristiques est compatibilisé.</w:t>
      </w:r>
    </w:p>
    <w:p w14:paraId="40292436" w14:textId="77777777" w:rsidR="00DB2B68" w:rsidRDefault="00000000">
      <w:pPr>
        <w:pStyle w:val="pheading"/>
      </w:pPr>
      <w:r>
        <w:t>- nature du marché:</w:t>
      </w:r>
    </w:p>
    <w:p w14:paraId="055EF400" w14:textId="77777777" w:rsidR="00DB2B68" w:rsidRDefault="00000000">
      <w:r>
        <w:rPr>
          <w:rStyle w:val="optioncarChar"/>
        </w:rPr>
        <w:t>QF </w:t>
      </w:r>
      <w:r>
        <w:t>(par défaut) </w:t>
      </w:r>
      <w:r>
        <w:rPr>
          <w:rStyle w:val="optioncarChar"/>
        </w:rPr>
        <w:t>/ QP</w:t>
      </w:r>
    </w:p>
    <w:p w14:paraId="26C3694F" w14:textId="77777777" w:rsidR="00DB2B68" w:rsidRDefault="00000000">
      <w:r>
        <w:rPr>
          <w:b/>
          <w:i/>
        </w:rPr>
        <w:t>(Soit par défaut)</w:t>
      </w:r>
    </w:p>
    <w:p w14:paraId="31ABD637" w14:textId="77777777" w:rsidR="00DB2B68" w:rsidRDefault="00000000">
      <w:r>
        <w:rPr>
          <w:rStyle w:val="soitChar"/>
        </w:rPr>
        <w:t>1.2.3     QF</w:t>
      </w:r>
    </w:p>
    <w:p w14:paraId="2845BFA4" w14:textId="77777777" w:rsidR="00DB2B68" w:rsidRDefault="00000000">
      <w:r>
        <w:rPr>
          <w:b/>
          <w:i/>
        </w:rPr>
        <w:t>(Soit)</w:t>
      </w:r>
    </w:p>
    <w:p w14:paraId="16D5D13F" w14:textId="77777777" w:rsidR="00DB2B68" w:rsidRDefault="00000000">
      <w:r>
        <w:rPr>
          <w:rStyle w:val="soitChar"/>
        </w:rPr>
        <w:t>1.2.3     QP</w:t>
      </w:r>
    </w:p>
    <w:p w14:paraId="23C9091F" w14:textId="77777777" w:rsidR="00DB2B68" w:rsidRDefault="00000000">
      <w:pPr>
        <w:pStyle w:val="pheading"/>
      </w:pPr>
      <w:r>
        <w:t>AIDE</w:t>
      </w:r>
    </w:p>
    <w:p w14:paraId="726FBCAE" w14:textId="77777777" w:rsidR="00DB2B68" w:rsidRDefault="00000000">
      <w:r>
        <w:t>Le code suivant peut être utilisé pour la dénomination du poste :</w:t>
      </w:r>
    </w:p>
    <w:p w14:paraId="43A657EC" w14:textId="77777777" w:rsidR="00DB2B68" w:rsidRDefault="00000000">
      <w:r>
        <w:t>LVL 1 / 2 / 3 / 4 / 5</w:t>
      </w:r>
    </w:p>
    <w:p w14:paraId="5F87C430" w14:textId="77777777" w:rsidR="00DB2B68" w:rsidRDefault="00000000">
      <w:r>
        <w:t>Avec :</w:t>
      </w:r>
    </w:p>
    <w:p w14:paraId="767E3BE7" w14:textId="77777777" w:rsidR="00DB2B68" w:rsidRDefault="00000000">
      <w:r>
        <w:t>LVL pour bois laminated veneer lumber</w:t>
      </w:r>
    </w:p>
    <w:p w14:paraId="63CCFE48" w14:textId="77777777" w:rsidR="00DB2B68" w:rsidRDefault="00000000">
      <w:r>
        <w:t>1 : Type de LVL</w:t>
      </w:r>
      <w:r>
        <w:br/>
        <w:t>2 : section de la colonne</w:t>
      </w:r>
      <w:r>
        <w:br/>
        <w:t>3 : L’essence utilisée</w:t>
      </w:r>
      <w:r>
        <w:br/>
        <w:t>4 : la classe d’emploi des poutres et barres</w:t>
      </w:r>
      <w:r>
        <w:br/>
        <w:t>5 : la méthode utilisée pour garantir la durabilité des poutres et barres</w:t>
      </w:r>
      <w:r>
        <w:br/>
        <w:t> </w:t>
      </w:r>
    </w:p>
    <w:p w14:paraId="4A44099D" w14:textId="77777777" w:rsidR="00DB2B68" w:rsidRDefault="00000000">
      <w:r>
        <w:t>Ce qui donne, par exemple :</w:t>
      </w:r>
    </w:p>
    <w:p w14:paraId="2F31B6BC" w14:textId="77777777" w:rsidR="00DB2B68" w:rsidRDefault="00000000">
      <w:r>
        <w:t>LVL S / voir plan / épicéa / 2 / A2.2</w:t>
      </w:r>
    </w:p>
    <w:p w14:paraId="213C16F3" w14:textId="77777777" w:rsidR="00DB2B68" w:rsidRDefault="00000000">
      <w:pPr>
        <w:pStyle w:val="Author-eSectionHeading5Numberless"/>
      </w:pPr>
      <w:bookmarkStart w:id="1607" w:name="_Toc220496597"/>
      <w:r>
        <w:t>24.13.6 Poutres et barres en LSL CCTB 01.07</w:t>
      </w:r>
      <w:bookmarkEnd w:id="1607"/>
    </w:p>
    <w:p w14:paraId="19493B27" w14:textId="77777777" w:rsidR="00DB2B68" w:rsidRDefault="00000000">
      <w:pPr>
        <w:pStyle w:val="pheading"/>
      </w:pPr>
      <w:r>
        <w:t>DESCRIPTION</w:t>
      </w:r>
    </w:p>
    <w:p w14:paraId="296EF699" w14:textId="77777777" w:rsidR="00DB2B68" w:rsidRDefault="00000000">
      <w:pPr>
        <w:pStyle w:val="pheading"/>
      </w:pPr>
      <w:r>
        <w:t>- Définition / Comprend</w:t>
      </w:r>
    </w:p>
    <w:p w14:paraId="20F72499" w14:textId="77777777" w:rsidR="00DB2B68" w:rsidRDefault="00000000">
      <w:r>
        <w:t xml:space="preserve">Il s’agit des poutres et barres en LSL. La notion de LSL est expliquée au </w:t>
      </w:r>
      <w:hyperlink w:anchor="89" w:history="1">
        <w:r>
          <w:rPr>
            <w:color w:val="0000EE"/>
          </w:rPr>
          <w:t>24 Superstructures en bois</w:t>
        </w:r>
      </w:hyperlink>
      <w:r>
        <w:t>.</w:t>
      </w:r>
    </w:p>
    <w:p w14:paraId="4443D354" w14:textId="77777777" w:rsidR="00DB2B68" w:rsidRDefault="00000000">
      <w:pPr>
        <w:pStyle w:val="pheading"/>
      </w:pPr>
      <w:r>
        <w:t>- Remarques importantes</w:t>
      </w:r>
    </w:p>
    <w:p w14:paraId="790F1DDF" w14:textId="77777777" w:rsidR="00DB2B68" w:rsidRDefault="00000000">
      <w:pPr>
        <w:jc w:val="both"/>
      </w:pPr>
      <w:r>
        <w:t>Aucune norme harmonisée n’existe pour le LSL. Les performances prescrites au cahier spécial des charges sont garanties par le fournisseur de l’élément et sont prouvées par une certification acceptée ou des tests effectuées par un laboratoire accrédité.</w:t>
      </w:r>
    </w:p>
    <w:p w14:paraId="53F9E47A" w14:textId="77777777" w:rsidR="00DB2B68" w:rsidRDefault="00000000">
      <w:pPr>
        <w:pStyle w:val="Author-eSectionHeading6Numberless"/>
      </w:pPr>
      <w:bookmarkStart w:id="1608" w:name="_Toc220496598"/>
      <w:r>
        <w:lastRenderedPageBreak/>
        <w:t>24.13.6a Poutres et barres en LSL à inertie constante CCTB 01.11</w:t>
      </w:r>
      <w:bookmarkEnd w:id="1608"/>
    </w:p>
    <w:p w14:paraId="34BF0EE3" w14:textId="77777777" w:rsidR="00DB2B68" w:rsidRDefault="00000000">
      <w:pPr>
        <w:pStyle w:val="pheading"/>
      </w:pPr>
      <w:r>
        <w:t>DESCRIPTION</w:t>
      </w:r>
    </w:p>
    <w:p w14:paraId="20AAE9E4" w14:textId="77777777" w:rsidR="00DB2B68" w:rsidRDefault="00000000">
      <w:pPr>
        <w:pStyle w:val="pheading"/>
      </w:pPr>
      <w:r>
        <w:t>- Définition / Comprend</w:t>
      </w:r>
    </w:p>
    <w:p w14:paraId="57DB97FC" w14:textId="77777777" w:rsidR="00DB2B68" w:rsidRDefault="00000000">
      <w:r>
        <w:t>Il s'agit de l’ensemble des poutres et barres en LSL et à inertie constante.</w:t>
      </w:r>
    </w:p>
    <w:p w14:paraId="1E627551" w14:textId="77777777" w:rsidR="00DB2B68" w:rsidRDefault="00000000">
      <w:pPr>
        <w:pStyle w:val="pheading"/>
      </w:pPr>
      <w:r>
        <w:t>MATÉRIAUX</w:t>
      </w:r>
    </w:p>
    <w:p w14:paraId="423B64F0" w14:textId="77777777" w:rsidR="00DB2B68" w:rsidRDefault="00000000">
      <w:pPr>
        <w:pStyle w:val="pheading"/>
      </w:pPr>
      <w:r>
        <w:t>- Caractéristiques générales</w:t>
      </w:r>
    </w:p>
    <w:p w14:paraId="7B9C3415" w14:textId="77777777" w:rsidR="00DB2B68" w:rsidRDefault="00000000">
      <w:pPr>
        <w:jc w:val="both"/>
      </w:pPr>
      <w:r>
        <w:t xml:space="preserve">Dimensions de la section : </w:t>
      </w:r>
      <w:r>
        <w:rPr>
          <w:rStyle w:val="optioncarChar"/>
        </w:rPr>
        <w:t xml:space="preserve">Voir plans </w:t>
      </w:r>
      <w:r>
        <w:t xml:space="preserve">(par défaut) </w:t>
      </w:r>
      <w:r>
        <w:rPr>
          <w:rStyle w:val="optioncarChar"/>
        </w:rPr>
        <w:t>/ *** x *** mm²</w:t>
      </w:r>
    </w:p>
    <w:p w14:paraId="32871539" w14:textId="77777777" w:rsidR="00DB2B68" w:rsidRDefault="00000000">
      <w:pPr>
        <w:jc w:val="both"/>
      </w:pPr>
      <w:r>
        <w:t>Caractéristiques mécaniques :</w:t>
      </w:r>
    </w:p>
    <w:p w14:paraId="0345EE79" w14:textId="77777777" w:rsidR="00DB2B68" w:rsidRDefault="00000000">
      <w:pPr>
        <w:pStyle w:val="Author-eListParagraph"/>
        <w:numPr>
          <w:ilvl w:val="0"/>
          <w:numId w:val="863"/>
        </w:numPr>
      </w:pPr>
      <w:r>
        <w:t>Résistance minimale en flexion à chant :</w:t>
      </w:r>
      <w:r>
        <w:rPr>
          <w:rStyle w:val="optioncarChar"/>
        </w:rPr>
        <w:t> 40 MPa</w:t>
      </w:r>
      <w:r>
        <w:t> (par défaut)</w:t>
      </w:r>
      <w:r>
        <w:rPr>
          <w:rStyle w:val="optioncarChar"/>
        </w:rPr>
        <w:t> / ***</w:t>
      </w:r>
    </w:p>
    <w:p w14:paraId="2CDA455D" w14:textId="77777777" w:rsidR="00DB2B68" w:rsidRDefault="00000000">
      <w:pPr>
        <w:pStyle w:val="Author-eListParagraph"/>
        <w:numPr>
          <w:ilvl w:val="0"/>
          <w:numId w:val="863"/>
        </w:numPr>
      </w:pPr>
      <w:r>
        <w:t>Résistance minimale en flexion à plat : </w:t>
      </w:r>
      <w:r>
        <w:rPr>
          <w:rStyle w:val="optioncarChar"/>
        </w:rPr>
        <w:t>40 MPa </w:t>
      </w:r>
      <w:r>
        <w:t>(par défaut) </w:t>
      </w:r>
      <w:r>
        <w:rPr>
          <w:rStyle w:val="optioncarChar"/>
        </w:rPr>
        <w:t>/ ***</w:t>
      </w:r>
    </w:p>
    <w:p w14:paraId="4CA3DD79" w14:textId="77777777" w:rsidR="00DB2B68" w:rsidRDefault="00000000">
      <w:pPr>
        <w:pStyle w:val="Author-eListParagraph"/>
        <w:numPr>
          <w:ilvl w:val="0"/>
          <w:numId w:val="863"/>
        </w:numPr>
      </w:pPr>
      <w:r>
        <w:t>Résistance minimale en traction parallèle au fil du bois : </w:t>
      </w:r>
      <w:r>
        <w:rPr>
          <w:rStyle w:val="optioncarChar"/>
        </w:rPr>
        <w:t>30 MPa </w:t>
      </w:r>
      <w:r>
        <w:t>(par défaut)</w:t>
      </w:r>
      <w:r>
        <w:rPr>
          <w:rStyle w:val="optioncarChar"/>
        </w:rPr>
        <w:t> / ***</w:t>
      </w:r>
    </w:p>
    <w:p w14:paraId="45744FE3" w14:textId="77777777" w:rsidR="00DB2B68" w:rsidRDefault="00000000">
      <w:pPr>
        <w:pStyle w:val="Author-eListParagraph"/>
        <w:numPr>
          <w:ilvl w:val="0"/>
          <w:numId w:val="863"/>
        </w:numPr>
      </w:pPr>
      <w:r>
        <w:t>Résistance minimale en compression parallèle au fil du bois : </w:t>
      </w:r>
      <w:r>
        <w:rPr>
          <w:rStyle w:val="optioncarChar"/>
        </w:rPr>
        <w:t>30 MPa </w:t>
      </w:r>
      <w:r>
        <w:t>(par défaut)</w:t>
      </w:r>
      <w:r>
        <w:rPr>
          <w:rStyle w:val="optioncarChar"/>
        </w:rPr>
        <w:t> / ***</w:t>
      </w:r>
    </w:p>
    <w:p w14:paraId="1A2984A5" w14:textId="77777777" w:rsidR="00DB2B68" w:rsidRDefault="00000000">
      <w:pPr>
        <w:pStyle w:val="Author-eListParagraph"/>
        <w:numPr>
          <w:ilvl w:val="0"/>
          <w:numId w:val="863"/>
        </w:numPr>
      </w:pPr>
      <w:r>
        <w:t>Résistance minimale en cisaillement à chant :</w:t>
      </w:r>
      <w:r>
        <w:rPr>
          <w:rStyle w:val="optioncarChar"/>
        </w:rPr>
        <w:t> 5 MPa </w:t>
      </w:r>
      <w:r>
        <w:t>(par défaut)</w:t>
      </w:r>
      <w:r>
        <w:rPr>
          <w:rStyle w:val="optioncarChar"/>
        </w:rPr>
        <w:t> / ***</w:t>
      </w:r>
    </w:p>
    <w:p w14:paraId="45D264DD" w14:textId="77777777" w:rsidR="00DB2B68" w:rsidRDefault="00000000">
      <w:pPr>
        <w:pStyle w:val="Author-eListParagraph"/>
        <w:numPr>
          <w:ilvl w:val="0"/>
          <w:numId w:val="863"/>
        </w:numPr>
      </w:pPr>
      <w:r>
        <w:t>Résistance minimale en cisaillement à plat : </w:t>
      </w:r>
      <w:r>
        <w:rPr>
          <w:rStyle w:val="optioncarChar"/>
        </w:rPr>
        <w:t>4 MPa </w:t>
      </w:r>
      <w:r>
        <w:t>(par défaut)</w:t>
      </w:r>
      <w:r>
        <w:rPr>
          <w:rStyle w:val="optioncarChar"/>
        </w:rPr>
        <w:t> / ***</w:t>
      </w:r>
    </w:p>
    <w:p w14:paraId="33745198" w14:textId="77777777" w:rsidR="00DB2B68" w:rsidRDefault="00000000">
      <w:pPr>
        <w:pStyle w:val="Author-eListParagraph"/>
        <w:numPr>
          <w:ilvl w:val="0"/>
          <w:numId w:val="863"/>
        </w:numPr>
      </w:pPr>
      <w:r>
        <w:t>Module d’élasticité minimum parallèle au fil du bois (au fractile 5%) : </w:t>
      </w:r>
      <w:r>
        <w:rPr>
          <w:rStyle w:val="optioncarChar"/>
        </w:rPr>
        <w:t>9 GPa </w:t>
      </w:r>
      <w:r>
        <w:t>(par défaut)</w:t>
      </w:r>
      <w:r>
        <w:rPr>
          <w:rStyle w:val="optioncarChar"/>
        </w:rPr>
        <w:t> / ***</w:t>
      </w:r>
    </w:p>
    <w:p w14:paraId="106B0FDC" w14:textId="77777777" w:rsidR="00DB2B68" w:rsidRDefault="00000000">
      <w:pPr>
        <w:pStyle w:val="Author-eListParagraph"/>
        <w:numPr>
          <w:ilvl w:val="0"/>
          <w:numId w:val="863"/>
        </w:numPr>
      </w:pPr>
      <w:r>
        <w:t>Module de cisaillement à chant : </w:t>
      </w:r>
      <w:r>
        <w:rPr>
          <w:rStyle w:val="optioncarChar"/>
        </w:rPr>
        <w:t>600 MPa </w:t>
      </w:r>
      <w:r>
        <w:t>(par défaut)</w:t>
      </w:r>
      <w:r>
        <w:rPr>
          <w:rStyle w:val="optioncarChar"/>
        </w:rPr>
        <w:t> / ***</w:t>
      </w:r>
    </w:p>
    <w:p w14:paraId="764C2404" w14:textId="77777777" w:rsidR="00DB2B68" w:rsidRDefault="00000000">
      <w:pPr>
        <w:pStyle w:val="Author-eListParagraph"/>
        <w:numPr>
          <w:ilvl w:val="0"/>
          <w:numId w:val="863"/>
        </w:numPr>
      </w:pPr>
      <w:r>
        <w:t>Module de cisaillement à plat :</w:t>
      </w:r>
      <w:r>
        <w:rPr>
          <w:rStyle w:val="optioncarChar"/>
        </w:rPr>
        <w:t> 400 MPa </w:t>
      </w:r>
      <w:r>
        <w:t>(par défaut)</w:t>
      </w:r>
      <w:r>
        <w:rPr>
          <w:rStyle w:val="optioncarChar"/>
        </w:rPr>
        <w:t> / ***</w:t>
      </w:r>
    </w:p>
    <w:p w14:paraId="620E9706" w14:textId="77777777" w:rsidR="00DB2B68" w:rsidRDefault="00000000">
      <w:pPr>
        <w:jc w:val="both"/>
      </w:pPr>
      <w:r>
        <w:t>Courbure des poutres et barres :</w:t>
      </w:r>
      <w:r>
        <w:rPr>
          <w:rStyle w:val="optioncarChar"/>
        </w:rPr>
        <w:t xml:space="preserve"> aucune</w:t>
      </w:r>
      <w:r>
        <w:t xml:space="preserve"> (par défaut) </w:t>
      </w:r>
      <w:r>
        <w:rPr>
          <w:rStyle w:val="optioncarChar"/>
        </w:rPr>
        <w:t>/ voir plan / ***</w:t>
      </w:r>
    </w:p>
    <w:p w14:paraId="64C4BED5" w14:textId="77777777" w:rsidR="00DB2B68" w:rsidRDefault="00000000">
      <w:pPr>
        <w:jc w:val="both"/>
      </w:pPr>
      <w:r>
        <w:t>Essence :</w:t>
      </w:r>
      <w:r>
        <w:rPr>
          <w:rStyle w:val="optioncarChar"/>
        </w:rPr>
        <w:t xml:space="preserve"> Résineuse </w:t>
      </w:r>
      <w:r>
        <w:t xml:space="preserve">(par défaut) </w:t>
      </w:r>
      <w:r>
        <w:rPr>
          <w:rStyle w:val="optioncarChar"/>
        </w:rPr>
        <w:t>/ feuillue / épicéa / douglas / hêtre / ***</w:t>
      </w:r>
    </w:p>
    <w:p w14:paraId="6AD9E2AB" w14:textId="77777777" w:rsidR="00DB2B68" w:rsidRDefault="00000000">
      <w:pPr>
        <w:jc w:val="both"/>
      </w:pPr>
      <w:r>
        <w:t>Classe d’emploi :</w:t>
      </w:r>
      <w:r>
        <w:rPr>
          <w:rStyle w:val="optioncarChar"/>
        </w:rPr>
        <w:t xml:space="preserve"> 1 / 2 / 3</w:t>
      </w:r>
    </w:p>
    <w:p w14:paraId="43D9AC89" w14:textId="77777777" w:rsidR="00DB2B68" w:rsidRDefault="00000000">
      <w:pPr>
        <w:jc w:val="both"/>
      </w:pPr>
      <w:r>
        <w:t>Le fabricant de l’élément déclare la classe d’emploi maximale dans laquelle celui-ci peut être mis en œuvre. Celle-ci sera au minimum celle prescrite au cahier spécial des charges.</w:t>
      </w:r>
    </w:p>
    <w:p w14:paraId="10BCEBB3" w14:textId="77777777" w:rsidR="00DB2B68"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3AAAE308" w14:textId="77777777" w:rsidR="00DB2B68"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48D47BCD" w14:textId="77777777" w:rsidR="00DB2B68" w:rsidRDefault="00000000">
      <w:pPr>
        <w:pStyle w:val="pheading"/>
      </w:pPr>
      <w:r>
        <w:t>- Finitions</w:t>
      </w:r>
    </w:p>
    <w:p w14:paraId="1A9E55C5" w14:textId="77777777" w:rsidR="00DB2B68" w:rsidRDefault="00000000">
      <w:pPr>
        <w:jc w:val="both"/>
      </w:pPr>
      <w:r>
        <w:t xml:space="preserve">Les poutres et barres en LSL sont </w:t>
      </w:r>
      <w:r>
        <w:rPr>
          <w:rStyle w:val="optioncarChar"/>
        </w:rPr>
        <w:t>non-poncées</w:t>
      </w:r>
      <w:r>
        <w:t xml:space="preserve"> (par défaut)</w:t>
      </w:r>
      <w:r>
        <w:rPr>
          <w:rStyle w:val="optioncarChar"/>
        </w:rPr>
        <w:t xml:space="preserve"> / poncées / ***</w:t>
      </w:r>
      <w:r>
        <w:t xml:space="preserve"> sur </w:t>
      </w:r>
      <w:r>
        <w:rPr>
          <w:rStyle w:val="optioncarChar"/>
        </w:rPr>
        <w:t>1 / 2 / 3 / 4</w:t>
      </w:r>
      <w:r>
        <w:t xml:space="preserve"> faces</w:t>
      </w:r>
    </w:p>
    <w:p w14:paraId="474D286E" w14:textId="77777777" w:rsidR="00DB2B68" w:rsidRDefault="00000000">
      <w:pPr>
        <w:jc w:val="both"/>
      </w:pPr>
      <w:r>
        <w:t>Les arrêtes sont</w:t>
      </w:r>
      <w:r>
        <w:rPr>
          <w:rStyle w:val="optioncarChar"/>
        </w:rPr>
        <w:t xml:space="preserve"> vives </w:t>
      </w:r>
      <w:r>
        <w:t xml:space="preserve">(par défaut) </w:t>
      </w:r>
      <w:r>
        <w:rPr>
          <w:rStyle w:val="optioncarChar"/>
        </w:rPr>
        <w:t>/ chanfreinées / ***</w:t>
      </w:r>
    </w:p>
    <w:p w14:paraId="7614D0D6" w14:textId="77777777" w:rsidR="00DB2B68" w:rsidRDefault="00000000">
      <w:pPr>
        <w:jc w:val="both"/>
      </w:pPr>
      <w:r>
        <w:t xml:space="preserve">Les poutres et barres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179C8985" w14:textId="77777777" w:rsidR="00DB2B68" w:rsidRDefault="00000000">
      <w:pPr>
        <w:pStyle w:val="pheading"/>
      </w:pPr>
      <w:r>
        <w:t>EXÉCUTION / MISE EN ŒUVRE</w:t>
      </w:r>
    </w:p>
    <w:p w14:paraId="6B547CD2" w14:textId="77777777" w:rsidR="00DB2B68" w:rsidRDefault="00000000">
      <w:pPr>
        <w:pStyle w:val="pheading"/>
      </w:pPr>
      <w:r>
        <w:t>- Prescriptions générales</w:t>
      </w:r>
    </w:p>
    <w:p w14:paraId="23456566"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384FBD1E" w14:textId="77777777" w:rsidR="00DB2B68" w:rsidRDefault="00000000">
      <w:pPr>
        <w:pStyle w:val="pheading"/>
      </w:pPr>
      <w:r>
        <w:t>MESURAGE</w:t>
      </w:r>
    </w:p>
    <w:p w14:paraId="6616F12D" w14:textId="77777777" w:rsidR="00DB2B68" w:rsidRDefault="00000000">
      <w:pPr>
        <w:pStyle w:val="pheading"/>
      </w:pPr>
      <w:r>
        <w:t>- unité de mesure:</w:t>
      </w:r>
    </w:p>
    <w:p w14:paraId="192F3DEA" w14:textId="77777777" w:rsidR="00DB2B68" w:rsidRDefault="00000000">
      <w:r>
        <w:rPr>
          <w:rStyle w:val="optioncarChar"/>
        </w:rPr>
        <w:t>m³ </w:t>
      </w:r>
      <w:r>
        <w:t>(par défaut)</w:t>
      </w:r>
      <w:r>
        <w:rPr>
          <w:rStyle w:val="optioncarChar"/>
        </w:rPr>
        <w:t> / m / pc</w:t>
      </w:r>
    </w:p>
    <w:p w14:paraId="4467096F" w14:textId="77777777" w:rsidR="00DB2B68" w:rsidRDefault="00000000">
      <w:r>
        <w:rPr>
          <w:b/>
          <w:i/>
        </w:rPr>
        <w:t>(Soit par défaut)</w:t>
      </w:r>
    </w:p>
    <w:p w14:paraId="3FE1AF7B" w14:textId="77777777" w:rsidR="00DB2B68" w:rsidRDefault="00000000">
      <w:r>
        <w:rPr>
          <w:rStyle w:val="soitChar"/>
        </w:rPr>
        <w:t>1.    m³ </w:t>
      </w:r>
    </w:p>
    <w:p w14:paraId="5015D873" w14:textId="77777777" w:rsidR="00DB2B68" w:rsidRDefault="00000000">
      <w:r>
        <w:rPr>
          <w:b/>
          <w:i/>
        </w:rPr>
        <w:t>(Soit)</w:t>
      </w:r>
    </w:p>
    <w:p w14:paraId="711D9AA7" w14:textId="77777777" w:rsidR="00DB2B68" w:rsidRDefault="00000000">
      <w:r>
        <w:rPr>
          <w:rStyle w:val="soitChar"/>
        </w:rPr>
        <w:t>2.    m </w:t>
      </w:r>
    </w:p>
    <w:p w14:paraId="17C2E192" w14:textId="77777777" w:rsidR="00DB2B68" w:rsidRDefault="00000000">
      <w:r>
        <w:rPr>
          <w:b/>
          <w:i/>
        </w:rPr>
        <w:t>(Soit)</w:t>
      </w:r>
    </w:p>
    <w:p w14:paraId="2A545CE8" w14:textId="77777777" w:rsidR="00DB2B68" w:rsidRDefault="00000000">
      <w:r>
        <w:rPr>
          <w:rStyle w:val="soitChar"/>
        </w:rPr>
        <w:lastRenderedPageBreak/>
        <w:t>3.    pc</w:t>
      </w:r>
    </w:p>
    <w:p w14:paraId="017CF2F9" w14:textId="77777777" w:rsidR="00DB2B68" w:rsidRDefault="00000000">
      <w:pPr>
        <w:pStyle w:val="pheading"/>
      </w:pPr>
      <w:r>
        <w:t>- code de mesurage:</w:t>
      </w:r>
    </w:p>
    <w:p w14:paraId="3181E0E5" w14:textId="77777777" w:rsidR="00DB2B68" w:rsidRDefault="00000000">
      <w:pPr>
        <w:jc w:val="both"/>
      </w:pPr>
      <w:r>
        <w:rPr>
          <w:rStyle w:val="optioncarChar"/>
        </w:rPr>
        <w:t> Volume brut </w:t>
      </w:r>
      <w:r>
        <w:t>(par défaut) </w:t>
      </w:r>
      <w:r>
        <w:rPr>
          <w:rStyle w:val="optioncarChar"/>
        </w:rPr>
        <w:t>/ Longueur brute / Quantité nette</w:t>
      </w:r>
    </w:p>
    <w:p w14:paraId="5E9D9200" w14:textId="77777777" w:rsidR="00DB2B68" w:rsidRDefault="00000000">
      <w:pPr>
        <w:jc w:val="both"/>
      </w:pPr>
      <w:r>
        <w:rPr>
          <w:b/>
          <w:i/>
        </w:rPr>
        <w:t>(Soit par défaut)</w:t>
      </w:r>
    </w:p>
    <w:p w14:paraId="5DF6E30D" w14:textId="77777777" w:rsidR="00DB2B68" w:rsidRDefault="00000000">
      <w:pPr>
        <w:jc w:val="both"/>
      </w:pPr>
      <w:r>
        <w:rPr>
          <w:rStyle w:val="soitChar"/>
        </w:rPr>
        <w:t>1.   </w:t>
      </w:r>
      <w:r>
        <w:rPr>
          <w:rStyle w:val="soitChar"/>
          <w:u w:val="single"/>
        </w:rPr>
        <w:t> Volume brut :</w:t>
      </w:r>
    </w:p>
    <w:p w14:paraId="6371522C" w14:textId="77777777" w:rsidR="00DB2B68" w:rsidRDefault="00000000">
      <w:pPr>
        <w:jc w:val="both"/>
      </w:pPr>
      <w:r>
        <w:rPr>
          <w:rStyle w:val="soitChar"/>
        </w:rPr>
        <w:t>Le volume brut d’une poutre/barre est calculé suivant l'épaisseur prescrite au cahier spécial des charges.</w:t>
      </w:r>
    </w:p>
    <w:p w14:paraId="0D6A43C5" w14:textId="77777777" w:rsidR="00DB2B68" w:rsidRDefault="00000000">
      <w:pPr>
        <w:jc w:val="both"/>
      </w:pPr>
      <w:r>
        <w:rPr>
          <w:b/>
          <w:i/>
        </w:rPr>
        <w:t> (Soit)</w:t>
      </w:r>
    </w:p>
    <w:p w14:paraId="40B6919E" w14:textId="77777777" w:rsidR="00DB2B68" w:rsidRDefault="00000000">
      <w:pPr>
        <w:jc w:val="both"/>
      </w:pPr>
      <w:r>
        <w:rPr>
          <w:rStyle w:val="soitChar"/>
        </w:rPr>
        <w:t>2.    </w:t>
      </w:r>
      <w:r>
        <w:rPr>
          <w:rStyle w:val="soitChar"/>
          <w:u w:val="single"/>
        </w:rPr>
        <w:t>Longueur brute :</w:t>
      </w:r>
    </w:p>
    <w:p w14:paraId="36FD24F4" w14:textId="77777777" w:rsidR="00DB2B68" w:rsidRDefault="00000000">
      <w:pPr>
        <w:jc w:val="both"/>
      </w:pPr>
      <w:r>
        <w:rPr>
          <w:rStyle w:val="soitChar"/>
        </w:rPr>
        <w:t>La longueur brute d’un élément est la cote maximale dans la direction longitudinale, longueur de bois utile pour l’assemblage comprise. </w:t>
      </w:r>
    </w:p>
    <w:p w14:paraId="287F7437" w14:textId="77777777" w:rsidR="00DB2B68" w:rsidRDefault="00000000">
      <w:pPr>
        <w:jc w:val="both"/>
      </w:pPr>
      <w:r>
        <w:rPr>
          <w:rStyle w:val="soitChar"/>
        </w:rPr>
        <w:t>La longueur totale des poutres et barres ayant la même section et les mêmes caractéristiques est comptabilisée.</w:t>
      </w:r>
    </w:p>
    <w:p w14:paraId="3C9A3813" w14:textId="77777777" w:rsidR="00DB2B68" w:rsidRDefault="00000000">
      <w:pPr>
        <w:jc w:val="both"/>
      </w:pPr>
      <w:r>
        <w:rPr>
          <w:b/>
          <w:i/>
        </w:rPr>
        <w:t> (Soit)</w:t>
      </w:r>
    </w:p>
    <w:p w14:paraId="0365FF6E" w14:textId="77777777" w:rsidR="00DB2B68" w:rsidRDefault="00000000">
      <w:pPr>
        <w:jc w:val="both"/>
      </w:pPr>
      <w:r>
        <w:rPr>
          <w:rStyle w:val="soitChar"/>
        </w:rPr>
        <w:t>3.    </w:t>
      </w:r>
      <w:r>
        <w:rPr>
          <w:rStyle w:val="soitChar"/>
          <w:u w:val="single"/>
        </w:rPr>
        <w:t>Quantité nette :</w:t>
      </w:r>
    </w:p>
    <w:p w14:paraId="7B04E038" w14:textId="77777777" w:rsidR="00DB2B68" w:rsidRDefault="00000000">
      <w:pPr>
        <w:jc w:val="both"/>
      </w:pPr>
      <w:r>
        <w:rPr>
          <w:rStyle w:val="soitChar"/>
        </w:rPr>
        <w:t>Le nombre de poutres et barres ayant les mêmes dimensions et les mêmes caractéristiques est compatibilisé.</w:t>
      </w:r>
    </w:p>
    <w:p w14:paraId="051ACC91" w14:textId="77777777" w:rsidR="00DB2B68" w:rsidRDefault="00000000">
      <w:pPr>
        <w:pStyle w:val="pheading"/>
      </w:pPr>
      <w:r>
        <w:t>- nature du marché:</w:t>
      </w:r>
    </w:p>
    <w:p w14:paraId="702692D7" w14:textId="77777777" w:rsidR="00DB2B68" w:rsidRDefault="00000000">
      <w:r>
        <w:rPr>
          <w:rStyle w:val="optioncarChar"/>
        </w:rPr>
        <w:t>QF </w:t>
      </w:r>
      <w:r>
        <w:t>(par défaut)</w:t>
      </w:r>
      <w:r>
        <w:rPr>
          <w:rStyle w:val="optioncarChar"/>
        </w:rPr>
        <w:t> / QP</w:t>
      </w:r>
    </w:p>
    <w:p w14:paraId="12DC3CD7" w14:textId="77777777" w:rsidR="00DB2B68" w:rsidRDefault="00000000">
      <w:r>
        <w:rPr>
          <w:b/>
          <w:i/>
        </w:rPr>
        <w:t>(Soit par défaut)</w:t>
      </w:r>
    </w:p>
    <w:p w14:paraId="2616CBF7" w14:textId="77777777" w:rsidR="00DB2B68" w:rsidRDefault="00000000">
      <w:r>
        <w:rPr>
          <w:rStyle w:val="soitChar"/>
        </w:rPr>
        <w:t>1.2.3     QF</w:t>
      </w:r>
    </w:p>
    <w:p w14:paraId="539B7DA0" w14:textId="77777777" w:rsidR="00DB2B68" w:rsidRDefault="00000000">
      <w:r>
        <w:rPr>
          <w:b/>
          <w:i/>
        </w:rPr>
        <w:t>(Soit)</w:t>
      </w:r>
    </w:p>
    <w:p w14:paraId="0F2F3420" w14:textId="77777777" w:rsidR="00DB2B68" w:rsidRDefault="00000000">
      <w:r>
        <w:rPr>
          <w:rStyle w:val="soitChar"/>
        </w:rPr>
        <w:t>1.2.3     QP</w:t>
      </w:r>
    </w:p>
    <w:p w14:paraId="20EF70AA" w14:textId="77777777" w:rsidR="00DB2B68" w:rsidRDefault="00000000">
      <w:pPr>
        <w:pStyle w:val="pheading"/>
      </w:pPr>
      <w:r>
        <w:t>AIDE</w:t>
      </w:r>
    </w:p>
    <w:p w14:paraId="1CC1F6B6" w14:textId="77777777" w:rsidR="00DB2B68" w:rsidRDefault="00000000">
      <w:pPr>
        <w:jc w:val="both"/>
      </w:pPr>
      <w:r>
        <w:t>Le code suivant peut être utilisé pour la dénomination du poste :</w:t>
      </w:r>
    </w:p>
    <w:p w14:paraId="58226C7F" w14:textId="77777777" w:rsidR="00DB2B68" w:rsidRDefault="00000000">
      <w:pPr>
        <w:jc w:val="both"/>
      </w:pPr>
      <w:r>
        <w:t>LSL 1 / 2 / 3 / 4 / 5</w:t>
      </w:r>
    </w:p>
    <w:p w14:paraId="3BA92FCF" w14:textId="77777777" w:rsidR="00DB2B68" w:rsidRDefault="00000000">
      <w:pPr>
        <w:jc w:val="both"/>
      </w:pPr>
      <w:r>
        <w:t>Avec :</w:t>
      </w:r>
    </w:p>
    <w:p w14:paraId="649BF2B6" w14:textId="77777777" w:rsidR="00DB2B68" w:rsidRDefault="00000000">
      <w:pPr>
        <w:jc w:val="both"/>
      </w:pPr>
      <w:r>
        <w:t>LSL pour bois laminated veneer lumber</w:t>
      </w:r>
    </w:p>
    <w:p w14:paraId="4DBB1A24" w14:textId="77777777" w:rsidR="00DB2B68" w:rsidRDefault="00000000">
      <w:pPr>
        <w:jc w:val="both"/>
      </w:pPr>
      <w:r>
        <w:t>1 : Type de LSL</w:t>
      </w:r>
    </w:p>
    <w:p w14:paraId="1DE6B1BE" w14:textId="77777777" w:rsidR="00DB2B68" w:rsidRDefault="00000000">
      <w:pPr>
        <w:jc w:val="both"/>
      </w:pPr>
      <w:r>
        <w:t>2 : section de la colonne</w:t>
      </w:r>
    </w:p>
    <w:p w14:paraId="363D979F" w14:textId="77777777" w:rsidR="00DB2B68" w:rsidRDefault="00000000">
      <w:pPr>
        <w:jc w:val="both"/>
      </w:pPr>
      <w:r>
        <w:t>3 : L’essence utilisée</w:t>
      </w:r>
    </w:p>
    <w:p w14:paraId="73EE812E" w14:textId="77777777" w:rsidR="00DB2B68" w:rsidRDefault="00000000">
      <w:pPr>
        <w:jc w:val="both"/>
      </w:pPr>
      <w:r>
        <w:t>4 : la classe d’emploi des poutres et barres</w:t>
      </w:r>
    </w:p>
    <w:p w14:paraId="1FDEBA6C" w14:textId="77777777" w:rsidR="00DB2B68" w:rsidRDefault="00000000">
      <w:pPr>
        <w:jc w:val="both"/>
      </w:pPr>
      <w:r>
        <w:t>5 : la méthode utilisée pour garantir la durabilité des poutres et barres</w:t>
      </w:r>
    </w:p>
    <w:p w14:paraId="3EA28CB0" w14:textId="77777777" w:rsidR="00DB2B68" w:rsidRDefault="00000000">
      <w:pPr>
        <w:jc w:val="both"/>
      </w:pPr>
      <w:r>
        <w:t> </w:t>
      </w:r>
    </w:p>
    <w:p w14:paraId="7CFC1267" w14:textId="77777777" w:rsidR="00DB2B68" w:rsidRDefault="00000000">
      <w:pPr>
        <w:jc w:val="both"/>
      </w:pPr>
      <w:r>
        <w:t>Ce qui donne, par exemple :</w:t>
      </w:r>
    </w:p>
    <w:p w14:paraId="6D5AEAC8" w14:textId="77777777" w:rsidR="00DB2B68" w:rsidRDefault="00000000">
      <w:pPr>
        <w:jc w:val="both"/>
      </w:pPr>
      <w:r>
        <w:t>LSL S / 200 x 90 / épicéa / 2 / A2.2</w:t>
      </w:r>
    </w:p>
    <w:p w14:paraId="53EDF41D" w14:textId="77777777" w:rsidR="00DB2B68" w:rsidRDefault="00000000">
      <w:pPr>
        <w:pStyle w:val="Author-eSectionHeading6Numberless"/>
      </w:pPr>
      <w:bookmarkStart w:id="1609" w:name="_Toc220496599"/>
      <w:r>
        <w:t>24.13.6b Poutres et barres en LSL à inertie variable CCTB 01.11</w:t>
      </w:r>
      <w:bookmarkEnd w:id="1609"/>
    </w:p>
    <w:p w14:paraId="6ABAE74E" w14:textId="77777777" w:rsidR="00DB2B68" w:rsidRDefault="00000000">
      <w:pPr>
        <w:pStyle w:val="pheading"/>
      </w:pPr>
      <w:r>
        <w:t>DESCRIPTION</w:t>
      </w:r>
    </w:p>
    <w:p w14:paraId="1F489552" w14:textId="77777777" w:rsidR="00DB2B68" w:rsidRDefault="00000000">
      <w:pPr>
        <w:pStyle w:val="pheading"/>
      </w:pPr>
      <w:r>
        <w:t>- Définition / Comprend</w:t>
      </w:r>
    </w:p>
    <w:p w14:paraId="3E95398A" w14:textId="77777777" w:rsidR="00DB2B68" w:rsidRDefault="00000000">
      <w:r>
        <w:t>Il s'agit de l’ensemble des poutres et barres en LSL et à inertie variable.</w:t>
      </w:r>
    </w:p>
    <w:p w14:paraId="7DCD394C" w14:textId="77777777" w:rsidR="00DB2B68" w:rsidRDefault="00000000">
      <w:pPr>
        <w:pStyle w:val="pheading"/>
      </w:pPr>
      <w:r>
        <w:lastRenderedPageBreak/>
        <w:t>MATÉRIAUX</w:t>
      </w:r>
    </w:p>
    <w:p w14:paraId="451C1477" w14:textId="77777777" w:rsidR="00DB2B68" w:rsidRDefault="00000000">
      <w:pPr>
        <w:pStyle w:val="pheading"/>
      </w:pPr>
      <w:r>
        <w:t>- Caractéristiques générales</w:t>
      </w:r>
    </w:p>
    <w:p w14:paraId="6149FCCF" w14:textId="77777777" w:rsidR="00DB2B68" w:rsidRDefault="00000000">
      <w:pPr>
        <w:jc w:val="both"/>
      </w:pPr>
      <w:r>
        <w:t>Caractéristiques mécaniques :</w:t>
      </w:r>
    </w:p>
    <w:p w14:paraId="6E747A65" w14:textId="77777777" w:rsidR="00DB2B68" w:rsidRDefault="00000000">
      <w:pPr>
        <w:pStyle w:val="Author-eListParagraph"/>
        <w:numPr>
          <w:ilvl w:val="0"/>
          <w:numId w:val="864"/>
        </w:numPr>
      </w:pPr>
      <w:r>
        <w:t>Résistance minimale en flexion à chant :</w:t>
      </w:r>
      <w:r>
        <w:rPr>
          <w:rStyle w:val="optioncarChar"/>
        </w:rPr>
        <w:t> 40 MPa</w:t>
      </w:r>
      <w:r>
        <w:t> (par défaut)</w:t>
      </w:r>
      <w:r>
        <w:rPr>
          <w:rStyle w:val="optioncarChar"/>
        </w:rPr>
        <w:t> / ***</w:t>
      </w:r>
    </w:p>
    <w:p w14:paraId="058875CC" w14:textId="77777777" w:rsidR="00DB2B68" w:rsidRDefault="00000000">
      <w:pPr>
        <w:pStyle w:val="Author-eListParagraph"/>
        <w:numPr>
          <w:ilvl w:val="0"/>
          <w:numId w:val="864"/>
        </w:numPr>
      </w:pPr>
      <w:r>
        <w:t>Résistance minimale en flexion à plat : </w:t>
      </w:r>
      <w:r>
        <w:rPr>
          <w:rStyle w:val="optioncarChar"/>
        </w:rPr>
        <w:t>40 MPa </w:t>
      </w:r>
      <w:r>
        <w:t>(par défaut) </w:t>
      </w:r>
      <w:r>
        <w:rPr>
          <w:rStyle w:val="optioncarChar"/>
        </w:rPr>
        <w:t>/ ***</w:t>
      </w:r>
    </w:p>
    <w:p w14:paraId="5F1BC562" w14:textId="77777777" w:rsidR="00DB2B68" w:rsidRDefault="00000000">
      <w:pPr>
        <w:pStyle w:val="Author-eListParagraph"/>
        <w:numPr>
          <w:ilvl w:val="0"/>
          <w:numId w:val="864"/>
        </w:numPr>
      </w:pPr>
      <w:r>
        <w:t>Résistance minimale en traction parallèle au fil du bois : </w:t>
      </w:r>
      <w:r>
        <w:rPr>
          <w:rStyle w:val="optioncarChar"/>
        </w:rPr>
        <w:t>30 MPa </w:t>
      </w:r>
      <w:r>
        <w:t>(par défaut)</w:t>
      </w:r>
      <w:r>
        <w:rPr>
          <w:rStyle w:val="optioncarChar"/>
        </w:rPr>
        <w:t> / ***</w:t>
      </w:r>
    </w:p>
    <w:p w14:paraId="47703C3C" w14:textId="77777777" w:rsidR="00DB2B68" w:rsidRDefault="00000000">
      <w:pPr>
        <w:pStyle w:val="Author-eListParagraph"/>
        <w:numPr>
          <w:ilvl w:val="0"/>
          <w:numId w:val="864"/>
        </w:numPr>
      </w:pPr>
      <w:r>
        <w:t>Résistance minimale en compression parallèle au fil du bois : </w:t>
      </w:r>
      <w:r>
        <w:rPr>
          <w:rStyle w:val="optioncarChar"/>
        </w:rPr>
        <w:t>30 MPa </w:t>
      </w:r>
      <w:r>
        <w:t>(par défaut)</w:t>
      </w:r>
      <w:r>
        <w:rPr>
          <w:rStyle w:val="optioncarChar"/>
        </w:rPr>
        <w:t> / ***</w:t>
      </w:r>
    </w:p>
    <w:p w14:paraId="37C39866" w14:textId="77777777" w:rsidR="00DB2B68" w:rsidRDefault="00000000">
      <w:pPr>
        <w:pStyle w:val="Author-eListParagraph"/>
        <w:numPr>
          <w:ilvl w:val="0"/>
          <w:numId w:val="864"/>
        </w:numPr>
      </w:pPr>
      <w:r>
        <w:t>Résistance minimale en cisaillement à chant :</w:t>
      </w:r>
      <w:r>
        <w:rPr>
          <w:rStyle w:val="optioncarChar"/>
        </w:rPr>
        <w:t> 5 MPa </w:t>
      </w:r>
      <w:r>
        <w:t>(par défaut)</w:t>
      </w:r>
      <w:r>
        <w:rPr>
          <w:rStyle w:val="optioncarChar"/>
        </w:rPr>
        <w:t> / ***</w:t>
      </w:r>
    </w:p>
    <w:p w14:paraId="65BA4949" w14:textId="77777777" w:rsidR="00DB2B68" w:rsidRDefault="00000000">
      <w:pPr>
        <w:pStyle w:val="Author-eListParagraph"/>
        <w:numPr>
          <w:ilvl w:val="0"/>
          <w:numId w:val="864"/>
        </w:numPr>
      </w:pPr>
      <w:r>
        <w:t>Résistance minimale en cisaillement à plat : </w:t>
      </w:r>
      <w:r>
        <w:rPr>
          <w:rStyle w:val="optioncarChar"/>
        </w:rPr>
        <w:t>4 MPa </w:t>
      </w:r>
      <w:r>
        <w:t>(par défaut)</w:t>
      </w:r>
      <w:r>
        <w:rPr>
          <w:rStyle w:val="optioncarChar"/>
        </w:rPr>
        <w:t> / ***</w:t>
      </w:r>
    </w:p>
    <w:p w14:paraId="369A5341" w14:textId="77777777" w:rsidR="00DB2B68" w:rsidRDefault="00000000">
      <w:pPr>
        <w:pStyle w:val="Author-eListParagraph"/>
        <w:numPr>
          <w:ilvl w:val="0"/>
          <w:numId w:val="864"/>
        </w:numPr>
      </w:pPr>
      <w:r>
        <w:t>Module d’élasticité minimum parallèle au fil du bois (au fractile 5%) : </w:t>
      </w:r>
      <w:r>
        <w:rPr>
          <w:rStyle w:val="optioncarChar"/>
        </w:rPr>
        <w:t>9 GPa </w:t>
      </w:r>
      <w:r>
        <w:t>(par défaut)</w:t>
      </w:r>
      <w:r>
        <w:rPr>
          <w:rStyle w:val="optioncarChar"/>
        </w:rPr>
        <w:t> / ***</w:t>
      </w:r>
    </w:p>
    <w:p w14:paraId="5978C75E" w14:textId="77777777" w:rsidR="00DB2B68" w:rsidRDefault="00000000">
      <w:pPr>
        <w:pStyle w:val="Author-eListParagraph"/>
        <w:numPr>
          <w:ilvl w:val="0"/>
          <w:numId w:val="864"/>
        </w:numPr>
      </w:pPr>
      <w:r>
        <w:t>Module de cisaillement à chant : </w:t>
      </w:r>
      <w:r>
        <w:rPr>
          <w:rStyle w:val="optioncarChar"/>
        </w:rPr>
        <w:t>600 MPa </w:t>
      </w:r>
      <w:r>
        <w:t>(par défaut)</w:t>
      </w:r>
      <w:r>
        <w:rPr>
          <w:rStyle w:val="optioncarChar"/>
        </w:rPr>
        <w:t> / ***</w:t>
      </w:r>
    </w:p>
    <w:p w14:paraId="09854A6D" w14:textId="77777777" w:rsidR="00DB2B68" w:rsidRDefault="00000000">
      <w:pPr>
        <w:pStyle w:val="Author-eListParagraph"/>
        <w:numPr>
          <w:ilvl w:val="0"/>
          <w:numId w:val="864"/>
        </w:numPr>
      </w:pPr>
      <w:r>
        <w:t>Module de cisaillement à plat :</w:t>
      </w:r>
      <w:r>
        <w:rPr>
          <w:rStyle w:val="optioncarChar"/>
        </w:rPr>
        <w:t> 400 MPa </w:t>
      </w:r>
      <w:r>
        <w:t>(par défaut)</w:t>
      </w:r>
      <w:r>
        <w:rPr>
          <w:rStyle w:val="optioncarChar"/>
        </w:rPr>
        <w:t> / ***</w:t>
      </w:r>
    </w:p>
    <w:p w14:paraId="5984F2F1" w14:textId="77777777" w:rsidR="00DB2B68" w:rsidRDefault="00000000">
      <w:pPr>
        <w:jc w:val="both"/>
      </w:pPr>
      <w:r>
        <w:t>La géométrie des poutres et barres est décrite dans les plans.</w:t>
      </w:r>
    </w:p>
    <w:p w14:paraId="5C68DBFE"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hêtre / ***</w:t>
      </w:r>
    </w:p>
    <w:p w14:paraId="3DCC9450" w14:textId="77777777" w:rsidR="00DB2B68" w:rsidRDefault="00000000">
      <w:pPr>
        <w:jc w:val="both"/>
      </w:pPr>
      <w:r>
        <w:t>Classe d’emploi :</w:t>
      </w:r>
      <w:r>
        <w:rPr>
          <w:rStyle w:val="optioncarChar"/>
        </w:rPr>
        <w:t>1 / 2 / 3</w:t>
      </w:r>
    </w:p>
    <w:p w14:paraId="6C629042" w14:textId="77777777" w:rsidR="00DB2B68" w:rsidRDefault="00000000">
      <w:pPr>
        <w:jc w:val="both"/>
      </w:pPr>
      <w:r>
        <w:t>Le fabricant de l’élément déclare la classe d’emploi maximale dans laquelle celui-ci peut être mis en œuvre. Celle-ci est au minimum celle prescrite au cahier spécial des charges.</w:t>
      </w:r>
    </w:p>
    <w:p w14:paraId="1C4533F5" w14:textId="77777777" w:rsidR="00DB2B68" w:rsidRDefault="00000000">
      <w:pPr>
        <w:jc w:val="both"/>
      </w:pPr>
      <w:r>
        <w:t>Classe d’émission de formaldéhyde :</w:t>
      </w:r>
      <w:r>
        <w:rPr>
          <w:rStyle w:val="optioncarChar"/>
        </w:rPr>
        <w:t xml:space="preserve"> E1 </w:t>
      </w:r>
      <w:r>
        <w:t xml:space="preserve">(par défaut) </w:t>
      </w:r>
      <w:r>
        <w:rPr>
          <w:rStyle w:val="optioncarChar"/>
        </w:rPr>
        <w:t>/ E2</w:t>
      </w:r>
    </w:p>
    <w:p w14:paraId="25E6FAC6" w14:textId="77777777" w:rsidR="00DB2B68" w:rsidRDefault="00000000">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292F3D52" w14:textId="77777777" w:rsidR="00DB2B68" w:rsidRDefault="00000000">
      <w:pPr>
        <w:pStyle w:val="pheading"/>
      </w:pPr>
      <w:r>
        <w:t>- Finitions</w:t>
      </w:r>
    </w:p>
    <w:p w14:paraId="14503FE5" w14:textId="77777777" w:rsidR="00DB2B68" w:rsidRDefault="00000000">
      <w:pPr>
        <w:jc w:val="both"/>
      </w:pPr>
      <w:r>
        <w:t xml:space="preserve">Les poutres et barres en LSL sont </w:t>
      </w:r>
      <w:r>
        <w:rPr>
          <w:rStyle w:val="optioncarChar"/>
        </w:rPr>
        <w:t>non-poncées</w:t>
      </w:r>
      <w:r>
        <w:t xml:space="preserve"> (par défaut) </w:t>
      </w:r>
      <w:r>
        <w:rPr>
          <w:rStyle w:val="optioncarChar"/>
        </w:rPr>
        <w:t>/ poncées / ***</w:t>
      </w:r>
      <w:r>
        <w:t xml:space="preserve"> sur </w:t>
      </w:r>
      <w:r>
        <w:rPr>
          <w:rStyle w:val="optioncarChar"/>
        </w:rPr>
        <w:t>1 / 2</w:t>
      </w:r>
      <w:r>
        <w:t xml:space="preserve"> (par défaut) faces</w:t>
      </w:r>
    </w:p>
    <w:p w14:paraId="65AFE425" w14:textId="77777777" w:rsidR="00DB2B68"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27D042E0" w14:textId="77777777" w:rsidR="00DB2B68" w:rsidRDefault="00000000">
      <w:pPr>
        <w:jc w:val="both"/>
      </w:pPr>
      <w:r>
        <w:t xml:space="preserve">Les poutres et barres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7BA24045" w14:textId="77777777" w:rsidR="00DB2B68" w:rsidRDefault="00000000">
      <w:pPr>
        <w:pStyle w:val="pheading"/>
      </w:pPr>
      <w:r>
        <w:t>EXÉCUTION / MISE EN ŒUVRE</w:t>
      </w:r>
    </w:p>
    <w:p w14:paraId="1A88A06A" w14:textId="77777777" w:rsidR="00DB2B68" w:rsidRDefault="00000000">
      <w:pPr>
        <w:pStyle w:val="pheading"/>
      </w:pPr>
      <w:r>
        <w:t>- Prescriptions générales</w:t>
      </w:r>
    </w:p>
    <w:p w14:paraId="067EB40A"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45CD9995" w14:textId="77777777" w:rsidR="00DB2B68" w:rsidRDefault="00000000">
      <w:pPr>
        <w:pStyle w:val="pheading"/>
      </w:pPr>
      <w:r>
        <w:t>MESURAGE</w:t>
      </w:r>
    </w:p>
    <w:p w14:paraId="7B89BA93" w14:textId="77777777" w:rsidR="00DB2B68" w:rsidRDefault="00000000">
      <w:pPr>
        <w:pStyle w:val="pheading"/>
      </w:pPr>
      <w:r>
        <w:t>- unité de mesure:</w:t>
      </w:r>
    </w:p>
    <w:p w14:paraId="6DC7843F" w14:textId="77777777" w:rsidR="00DB2B68" w:rsidRDefault="00000000">
      <w:r>
        <w:rPr>
          <w:rStyle w:val="optioncarChar"/>
        </w:rPr>
        <w:t>m³ </w:t>
      </w:r>
      <w:r>
        <w:t>(par défaut) </w:t>
      </w:r>
      <w:r>
        <w:rPr>
          <w:rStyle w:val="optioncarChar"/>
        </w:rPr>
        <w:t>/ m / pc</w:t>
      </w:r>
    </w:p>
    <w:p w14:paraId="1A2965FE" w14:textId="77777777" w:rsidR="00DB2B68" w:rsidRDefault="00000000">
      <w:r>
        <w:rPr>
          <w:b/>
          <w:i/>
        </w:rPr>
        <w:t>(Soit par défaut)</w:t>
      </w:r>
    </w:p>
    <w:p w14:paraId="413A738D" w14:textId="77777777" w:rsidR="00DB2B68" w:rsidRDefault="00000000">
      <w:r>
        <w:rPr>
          <w:rStyle w:val="soitChar"/>
        </w:rPr>
        <w:t>1.    m³ </w:t>
      </w:r>
    </w:p>
    <w:p w14:paraId="7A6FBD7D" w14:textId="77777777" w:rsidR="00DB2B68" w:rsidRDefault="00000000">
      <w:r>
        <w:rPr>
          <w:b/>
          <w:i/>
        </w:rPr>
        <w:t>(Soit)</w:t>
      </w:r>
    </w:p>
    <w:p w14:paraId="2BC55960" w14:textId="77777777" w:rsidR="00DB2B68" w:rsidRDefault="00000000">
      <w:r>
        <w:rPr>
          <w:rStyle w:val="soitChar"/>
        </w:rPr>
        <w:t>2.    m </w:t>
      </w:r>
    </w:p>
    <w:p w14:paraId="4D02802E" w14:textId="77777777" w:rsidR="00DB2B68" w:rsidRDefault="00000000">
      <w:r>
        <w:rPr>
          <w:b/>
          <w:i/>
        </w:rPr>
        <w:t>(Soit)</w:t>
      </w:r>
    </w:p>
    <w:p w14:paraId="73FC4969" w14:textId="77777777" w:rsidR="00DB2B68" w:rsidRDefault="00000000">
      <w:r>
        <w:rPr>
          <w:rStyle w:val="soitChar"/>
        </w:rPr>
        <w:t>3.    pc</w:t>
      </w:r>
    </w:p>
    <w:p w14:paraId="30994625" w14:textId="77777777" w:rsidR="00DB2B68" w:rsidRDefault="00000000">
      <w:pPr>
        <w:pStyle w:val="pheading"/>
      </w:pPr>
      <w:r>
        <w:t>- code de mesurage:</w:t>
      </w:r>
    </w:p>
    <w:p w14:paraId="0324BCCE" w14:textId="77777777" w:rsidR="00DB2B68" w:rsidRDefault="00000000">
      <w:pPr>
        <w:jc w:val="both"/>
      </w:pPr>
      <w:r>
        <w:rPr>
          <w:rStyle w:val="optioncarChar"/>
        </w:rPr>
        <w:t> Volume brut</w:t>
      </w:r>
      <w:r>
        <w:t> (par défaut) </w:t>
      </w:r>
      <w:r>
        <w:rPr>
          <w:rStyle w:val="optioncarChar"/>
        </w:rPr>
        <w:t>/ Longueur brute / Quantité nette</w:t>
      </w:r>
    </w:p>
    <w:p w14:paraId="336BE9A0" w14:textId="77777777" w:rsidR="00DB2B68" w:rsidRDefault="00000000">
      <w:pPr>
        <w:jc w:val="both"/>
      </w:pPr>
      <w:r>
        <w:rPr>
          <w:b/>
          <w:i/>
        </w:rPr>
        <w:t>(Soit par défaut)</w:t>
      </w:r>
    </w:p>
    <w:p w14:paraId="4DEE8135" w14:textId="77777777" w:rsidR="00DB2B68" w:rsidRDefault="00000000">
      <w:pPr>
        <w:jc w:val="both"/>
      </w:pPr>
      <w:r>
        <w:rPr>
          <w:rStyle w:val="soitChar"/>
        </w:rPr>
        <w:t>1.   </w:t>
      </w:r>
      <w:r>
        <w:rPr>
          <w:rStyle w:val="soitChar"/>
          <w:u w:val="single"/>
        </w:rPr>
        <w:t> Volume brut :</w:t>
      </w:r>
    </w:p>
    <w:p w14:paraId="51DFB62E" w14:textId="77777777" w:rsidR="00DB2B68" w:rsidRDefault="00000000">
      <w:pPr>
        <w:jc w:val="both"/>
      </w:pPr>
      <w:r>
        <w:rPr>
          <w:rStyle w:val="soitChar"/>
        </w:rPr>
        <w:lastRenderedPageBreak/>
        <w:t>Le volume brut d’une poutre/barre est calculé suivant le volume du plus petit parallélépipède rectangle pouvant inclure l’élément.</w:t>
      </w:r>
    </w:p>
    <w:p w14:paraId="0E5CDA15" w14:textId="77777777" w:rsidR="00DB2B68" w:rsidRDefault="00000000">
      <w:pPr>
        <w:jc w:val="both"/>
      </w:pPr>
      <w:r>
        <w:rPr>
          <w:b/>
          <w:i/>
        </w:rPr>
        <w:t> (Soit)</w:t>
      </w:r>
    </w:p>
    <w:p w14:paraId="1B27032A" w14:textId="77777777" w:rsidR="00DB2B68" w:rsidRDefault="00000000">
      <w:pPr>
        <w:jc w:val="both"/>
      </w:pPr>
      <w:r>
        <w:rPr>
          <w:rStyle w:val="soitChar"/>
        </w:rPr>
        <w:t>2.   </w:t>
      </w:r>
      <w:r>
        <w:rPr>
          <w:rStyle w:val="soitChar"/>
          <w:u w:val="single"/>
        </w:rPr>
        <w:t> Longueur brute :</w:t>
      </w:r>
    </w:p>
    <w:p w14:paraId="42B12A30" w14:textId="77777777" w:rsidR="00DB2B68" w:rsidRDefault="00000000">
      <w:pPr>
        <w:jc w:val="both"/>
      </w:pPr>
      <w:r>
        <w:rPr>
          <w:rStyle w:val="soitChar"/>
        </w:rPr>
        <w:t>La longueur brute d’un élément est la cote maximale dans la direction longitudinale de la développée de l'élément, longueur de bois utile pour l’assemblage comprise. </w:t>
      </w:r>
    </w:p>
    <w:p w14:paraId="21AC5BAA" w14:textId="77777777" w:rsidR="00DB2B68" w:rsidRDefault="00000000">
      <w:pPr>
        <w:jc w:val="both"/>
      </w:pPr>
      <w:r>
        <w:rPr>
          <w:rStyle w:val="soitChar"/>
        </w:rPr>
        <w:t>La longueur totale des poutres et barres ayant la même section et les mêmes caractéristiques est comptabilisée.</w:t>
      </w:r>
    </w:p>
    <w:p w14:paraId="6C4555A2" w14:textId="77777777" w:rsidR="00DB2B68" w:rsidRDefault="00000000">
      <w:pPr>
        <w:jc w:val="both"/>
      </w:pPr>
      <w:r>
        <w:rPr>
          <w:b/>
          <w:i/>
        </w:rPr>
        <w:t> (Soit)</w:t>
      </w:r>
    </w:p>
    <w:p w14:paraId="3AF30FA1" w14:textId="77777777" w:rsidR="00DB2B68" w:rsidRDefault="00000000">
      <w:pPr>
        <w:jc w:val="both"/>
      </w:pPr>
      <w:r>
        <w:rPr>
          <w:rStyle w:val="soitChar"/>
        </w:rPr>
        <w:t>3.    </w:t>
      </w:r>
      <w:r>
        <w:rPr>
          <w:rStyle w:val="soitChar"/>
          <w:u w:val="single"/>
        </w:rPr>
        <w:t>Quantité nette :</w:t>
      </w:r>
    </w:p>
    <w:p w14:paraId="19AB5CFF" w14:textId="77777777" w:rsidR="00DB2B68" w:rsidRDefault="00000000">
      <w:pPr>
        <w:jc w:val="both"/>
      </w:pPr>
      <w:r>
        <w:rPr>
          <w:rStyle w:val="soitChar"/>
        </w:rPr>
        <w:t>Le nombre de poutres et barres ayant les mêmes dimensions et les mêmes caractéristiques est compatibilisé.</w:t>
      </w:r>
    </w:p>
    <w:p w14:paraId="5E1B5D61" w14:textId="77777777" w:rsidR="00DB2B68" w:rsidRDefault="00000000">
      <w:pPr>
        <w:pStyle w:val="pheading"/>
      </w:pPr>
      <w:r>
        <w:t>- nature du marché:</w:t>
      </w:r>
    </w:p>
    <w:p w14:paraId="5ADA3BA9" w14:textId="77777777" w:rsidR="00DB2B68" w:rsidRDefault="00000000">
      <w:r>
        <w:rPr>
          <w:rStyle w:val="optioncarChar"/>
        </w:rPr>
        <w:t>QF</w:t>
      </w:r>
      <w:r>
        <w:t> (par défaut)</w:t>
      </w:r>
      <w:r>
        <w:rPr>
          <w:rStyle w:val="optioncarChar"/>
        </w:rPr>
        <w:t> / QP</w:t>
      </w:r>
    </w:p>
    <w:p w14:paraId="012FB20B" w14:textId="77777777" w:rsidR="00DB2B68" w:rsidRDefault="00000000">
      <w:r>
        <w:rPr>
          <w:b/>
          <w:i/>
        </w:rPr>
        <w:t>(Soit par défaut)</w:t>
      </w:r>
    </w:p>
    <w:p w14:paraId="1DCDF5D6" w14:textId="77777777" w:rsidR="00DB2B68" w:rsidRDefault="00000000">
      <w:r>
        <w:rPr>
          <w:rStyle w:val="soitChar"/>
        </w:rPr>
        <w:t>1.2.3     QF</w:t>
      </w:r>
    </w:p>
    <w:p w14:paraId="015CE22C" w14:textId="77777777" w:rsidR="00DB2B68" w:rsidRDefault="00000000">
      <w:r>
        <w:rPr>
          <w:b/>
          <w:i/>
        </w:rPr>
        <w:t>(Soit)</w:t>
      </w:r>
    </w:p>
    <w:p w14:paraId="635D5F47" w14:textId="77777777" w:rsidR="00DB2B68" w:rsidRDefault="00000000">
      <w:r>
        <w:rPr>
          <w:rStyle w:val="soitChar"/>
        </w:rPr>
        <w:t>1.2.3     QP</w:t>
      </w:r>
    </w:p>
    <w:p w14:paraId="101D0C36" w14:textId="77777777" w:rsidR="00DB2B68" w:rsidRDefault="00000000">
      <w:pPr>
        <w:pStyle w:val="pheading"/>
      </w:pPr>
      <w:r>
        <w:t>AIDE</w:t>
      </w:r>
    </w:p>
    <w:p w14:paraId="456A400B" w14:textId="77777777" w:rsidR="00DB2B68" w:rsidRDefault="00000000">
      <w:pPr>
        <w:jc w:val="both"/>
      </w:pPr>
      <w:r>
        <w:t>Le code suivant peut être utilisé pour la dénomination du poste :</w:t>
      </w:r>
    </w:p>
    <w:p w14:paraId="1827CA54" w14:textId="77777777" w:rsidR="00DB2B68" w:rsidRDefault="00000000">
      <w:pPr>
        <w:jc w:val="both"/>
      </w:pPr>
      <w:r>
        <w:t>LSL 1 / 2 / 3 / 4 / 5</w:t>
      </w:r>
    </w:p>
    <w:p w14:paraId="4989B44F" w14:textId="77777777" w:rsidR="00DB2B68" w:rsidRDefault="00000000">
      <w:pPr>
        <w:jc w:val="both"/>
      </w:pPr>
      <w:r>
        <w:t>Avec :</w:t>
      </w:r>
    </w:p>
    <w:p w14:paraId="42D71297" w14:textId="77777777" w:rsidR="00DB2B68" w:rsidRDefault="00000000">
      <w:pPr>
        <w:jc w:val="both"/>
      </w:pPr>
      <w:r>
        <w:t>LSL pour bois laminated veneer lumber</w:t>
      </w:r>
    </w:p>
    <w:p w14:paraId="4FF1072B" w14:textId="77777777" w:rsidR="00DB2B68" w:rsidRDefault="00000000">
      <w:pPr>
        <w:jc w:val="both"/>
      </w:pPr>
      <w:r>
        <w:t>1 : Type de LSL</w:t>
      </w:r>
    </w:p>
    <w:p w14:paraId="6CACCE11" w14:textId="77777777" w:rsidR="00DB2B68" w:rsidRDefault="00000000">
      <w:pPr>
        <w:jc w:val="both"/>
      </w:pPr>
      <w:r>
        <w:t>2 : section de la colonne</w:t>
      </w:r>
    </w:p>
    <w:p w14:paraId="3C6A4D06" w14:textId="77777777" w:rsidR="00DB2B68" w:rsidRDefault="00000000">
      <w:pPr>
        <w:jc w:val="both"/>
      </w:pPr>
      <w:r>
        <w:t>3 : L’essence utilisée</w:t>
      </w:r>
    </w:p>
    <w:p w14:paraId="5519B9EB" w14:textId="77777777" w:rsidR="00DB2B68" w:rsidRDefault="00000000">
      <w:pPr>
        <w:jc w:val="both"/>
      </w:pPr>
      <w:r>
        <w:t>4 : la classe d’emploi des poutres et barres</w:t>
      </w:r>
    </w:p>
    <w:p w14:paraId="56FE44EF" w14:textId="77777777" w:rsidR="00DB2B68" w:rsidRDefault="00000000">
      <w:pPr>
        <w:jc w:val="both"/>
      </w:pPr>
      <w:r>
        <w:t>5 : la méthode utilisée pour garantir la durabilité des poutres et barres</w:t>
      </w:r>
    </w:p>
    <w:p w14:paraId="73A7797C" w14:textId="77777777" w:rsidR="00DB2B68" w:rsidRDefault="00000000">
      <w:pPr>
        <w:jc w:val="both"/>
      </w:pPr>
      <w:r>
        <w:t> </w:t>
      </w:r>
    </w:p>
    <w:p w14:paraId="7AEC8321" w14:textId="77777777" w:rsidR="00DB2B68" w:rsidRDefault="00000000">
      <w:pPr>
        <w:jc w:val="both"/>
      </w:pPr>
      <w:r>
        <w:t>Ce qui donne, par exemple :</w:t>
      </w:r>
    </w:p>
    <w:p w14:paraId="5E6F7735" w14:textId="77777777" w:rsidR="00DB2B68" w:rsidRDefault="00000000">
      <w:pPr>
        <w:jc w:val="both"/>
      </w:pPr>
      <w:r>
        <w:t>LSL S / voir plan / épicéa / 2 / A2.2</w:t>
      </w:r>
    </w:p>
    <w:p w14:paraId="753D0D95" w14:textId="77777777" w:rsidR="00DB2B68" w:rsidRDefault="00000000">
      <w:pPr>
        <w:pStyle w:val="Author-eSectionHeading5Numberless"/>
      </w:pPr>
      <w:bookmarkStart w:id="1610" w:name="_Toc220496600"/>
      <w:r>
        <w:t>24.13.7 Poutres et barres en PSL CCTB 01.07</w:t>
      </w:r>
      <w:bookmarkEnd w:id="1610"/>
    </w:p>
    <w:p w14:paraId="423F0B75" w14:textId="77777777" w:rsidR="00DB2B68" w:rsidRDefault="00000000">
      <w:pPr>
        <w:pStyle w:val="pheading"/>
      </w:pPr>
      <w:r>
        <w:t>DESCRIPTION</w:t>
      </w:r>
    </w:p>
    <w:p w14:paraId="07A76AF0" w14:textId="77777777" w:rsidR="00DB2B68" w:rsidRDefault="00000000">
      <w:pPr>
        <w:pStyle w:val="pheading"/>
      </w:pPr>
      <w:r>
        <w:t>- Définition / Comprend</w:t>
      </w:r>
    </w:p>
    <w:p w14:paraId="3CBE2E16" w14:textId="77777777" w:rsidR="00DB2B68" w:rsidRDefault="00000000">
      <w:r>
        <w:t xml:space="preserve">Il s’agit des poutres et barres en PSL. La notion de PSL est expliquée au </w:t>
      </w:r>
      <w:hyperlink w:anchor="89" w:history="1">
        <w:r>
          <w:rPr>
            <w:color w:val="0000EE"/>
          </w:rPr>
          <w:t>24 Superstructures en bois</w:t>
        </w:r>
      </w:hyperlink>
      <w:r>
        <w:t>.</w:t>
      </w:r>
    </w:p>
    <w:p w14:paraId="66FAE4F8" w14:textId="77777777" w:rsidR="00DB2B68" w:rsidRDefault="00000000">
      <w:pPr>
        <w:pStyle w:val="Author-eSectionHeading6Numberless"/>
      </w:pPr>
      <w:bookmarkStart w:id="1611" w:name="_Toc220496601"/>
      <w:r>
        <w:t>24.13.7a Poutres et barres en PSL à inertie constante CCTB 01.11</w:t>
      </w:r>
      <w:bookmarkEnd w:id="1611"/>
    </w:p>
    <w:p w14:paraId="422EFC46" w14:textId="77777777" w:rsidR="00DB2B68" w:rsidRDefault="00000000">
      <w:pPr>
        <w:pStyle w:val="pheading"/>
      </w:pPr>
      <w:r>
        <w:t>DESCRIPTION</w:t>
      </w:r>
    </w:p>
    <w:p w14:paraId="1F90DEC6" w14:textId="77777777" w:rsidR="00DB2B68" w:rsidRDefault="00000000">
      <w:pPr>
        <w:pStyle w:val="pheading"/>
      </w:pPr>
      <w:r>
        <w:t>- Définition / Comprend</w:t>
      </w:r>
    </w:p>
    <w:p w14:paraId="13BF2780" w14:textId="77777777" w:rsidR="00DB2B68" w:rsidRDefault="00000000">
      <w:r>
        <w:t>Il s'agit de l’ensemble des poutres et barres en PSL et à inertie constante.</w:t>
      </w:r>
    </w:p>
    <w:p w14:paraId="275B1D9D" w14:textId="77777777" w:rsidR="00DB2B68" w:rsidRDefault="00000000">
      <w:pPr>
        <w:pStyle w:val="pheading"/>
      </w:pPr>
      <w:r>
        <w:t>MATÉRIAUX</w:t>
      </w:r>
    </w:p>
    <w:p w14:paraId="6D8BC7C8" w14:textId="77777777" w:rsidR="00DB2B68" w:rsidRDefault="00000000">
      <w:pPr>
        <w:pStyle w:val="pheading"/>
      </w:pPr>
      <w:r>
        <w:lastRenderedPageBreak/>
        <w:t>- Caractéristiques générales</w:t>
      </w:r>
    </w:p>
    <w:p w14:paraId="267C22E4" w14:textId="77777777" w:rsidR="00DB2B68" w:rsidRDefault="00000000">
      <w:pPr>
        <w:jc w:val="both"/>
      </w:pPr>
      <w:r>
        <w:t xml:space="preserve">Dimensions de la section : </w:t>
      </w:r>
      <w:r>
        <w:rPr>
          <w:rStyle w:val="optioncarChar"/>
        </w:rPr>
        <w:t>Voir plans</w:t>
      </w:r>
      <w:r>
        <w:t xml:space="preserve"> (par défaut) </w:t>
      </w:r>
      <w:r>
        <w:rPr>
          <w:rStyle w:val="optioncarChar"/>
        </w:rPr>
        <w:t>/ *** x *** mm²</w:t>
      </w:r>
    </w:p>
    <w:p w14:paraId="03535993" w14:textId="77777777" w:rsidR="00DB2B68" w:rsidRDefault="00000000">
      <w:pPr>
        <w:jc w:val="both"/>
      </w:pPr>
      <w:r>
        <w:t>Caractéristiques mécaniques :</w:t>
      </w:r>
    </w:p>
    <w:p w14:paraId="2FA02097" w14:textId="77777777" w:rsidR="00DB2B68" w:rsidRDefault="00000000">
      <w:pPr>
        <w:pStyle w:val="Author-eListParagraph"/>
        <w:numPr>
          <w:ilvl w:val="0"/>
          <w:numId w:val="865"/>
        </w:numPr>
      </w:pPr>
      <w:r>
        <w:t>Résistance minimale en flexion à chant :</w:t>
      </w:r>
      <w:r>
        <w:rPr>
          <w:rStyle w:val="optioncarChar"/>
        </w:rPr>
        <w:t> 40 MPa</w:t>
      </w:r>
      <w:r>
        <w:t> (par défaut)</w:t>
      </w:r>
      <w:r>
        <w:rPr>
          <w:rStyle w:val="optioncarChar"/>
        </w:rPr>
        <w:t> / ***</w:t>
      </w:r>
    </w:p>
    <w:p w14:paraId="2D0EFF93" w14:textId="77777777" w:rsidR="00DB2B68" w:rsidRDefault="00000000">
      <w:pPr>
        <w:pStyle w:val="Author-eListParagraph"/>
        <w:numPr>
          <w:ilvl w:val="0"/>
          <w:numId w:val="865"/>
        </w:numPr>
      </w:pPr>
      <w:r>
        <w:t>Résistance minimale en flexion à plat : </w:t>
      </w:r>
      <w:r>
        <w:rPr>
          <w:rStyle w:val="optioncarChar"/>
        </w:rPr>
        <w:t>40 MPa </w:t>
      </w:r>
      <w:r>
        <w:t>(par défaut) </w:t>
      </w:r>
      <w:r>
        <w:rPr>
          <w:rStyle w:val="optioncarChar"/>
        </w:rPr>
        <w:t>/ ***</w:t>
      </w:r>
    </w:p>
    <w:p w14:paraId="336F7628" w14:textId="77777777" w:rsidR="00DB2B68" w:rsidRDefault="00000000">
      <w:pPr>
        <w:pStyle w:val="Author-eListParagraph"/>
        <w:numPr>
          <w:ilvl w:val="0"/>
          <w:numId w:val="865"/>
        </w:numPr>
      </w:pPr>
      <w:r>
        <w:t>Résistance minimale en traction parallèle au fil du bois : </w:t>
      </w:r>
      <w:r>
        <w:rPr>
          <w:rStyle w:val="optioncarChar"/>
        </w:rPr>
        <w:t>30 MPa </w:t>
      </w:r>
      <w:r>
        <w:t>(par défaut)</w:t>
      </w:r>
      <w:r>
        <w:rPr>
          <w:rStyle w:val="optioncarChar"/>
        </w:rPr>
        <w:t> / ***</w:t>
      </w:r>
    </w:p>
    <w:p w14:paraId="5614A882" w14:textId="77777777" w:rsidR="00DB2B68" w:rsidRDefault="00000000">
      <w:pPr>
        <w:pStyle w:val="Author-eListParagraph"/>
        <w:numPr>
          <w:ilvl w:val="0"/>
          <w:numId w:val="865"/>
        </w:numPr>
      </w:pPr>
      <w:r>
        <w:t>Résistance minimale en compression parallèle au fil du bois : </w:t>
      </w:r>
      <w:r>
        <w:rPr>
          <w:rStyle w:val="optioncarChar"/>
        </w:rPr>
        <w:t>30 MPa </w:t>
      </w:r>
      <w:r>
        <w:t>(par défaut)</w:t>
      </w:r>
      <w:r>
        <w:rPr>
          <w:rStyle w:val="optioncarChar"/>
        </w:rPr>
        <w:t> / ***</w:t>
      </w:r>
    </w:p>
    <w:p w14:paraId="7191641B" w14:textId="77777777" w:rsidR="00DB2B68" w:rsidRDefault="00000000">
      <w:pPr>
        <w:pStyle w:val="Author-eListParagraph"/>
        <w:numPr>
          <w:ilvl w:val="0"/>
          <w:numId w:val="865"/>
        </w:numPr>
      </w:pPr>
      <w:r>
        <w:t>Résistance minimale en cisaillement à chant :</w:t>
      </w:r>
      <w:r>
        <w:rPr>
          <w:rStyle w:val="optioncarChar"/>
        </w:rPr>
        <w:t> 5 MPa </w:t>
      </w:r>
      <w:r>
        <w:t>(par défaut)</w:t>
      </w:r>
      <w:r>
        <w:rPr>
          <w:rStyle w:val="optioncarChar"/>
        </w:rPr>
        <w:t> / ***</w:t>
      </w:r>
    </w:p>
    <w:p w14:paraId="71BA5AB0" w14:textId="77777777" w:rsidR="00DB2B68" w:rsidRDefault="00000000">
      <w:pPr>
        <w:pStyle w:val="Author-eListParagraph"/>
        <w:numPr>
          <w:ilvl w:val="0"/>
          <w:numId w:val="865"/>
        </w:numPr>
      </w:pPr>
      <w:r>
        <w:t>Résistance minimale en cisaillement à plat : </w:t>
      </w:r>
      <w:r>
        <w:rPr>
          <w:rStyle w:val="optioncarChar"/>
        </w:rPr>
        <w:t>4 MPa </w:t>
      </w:r>
      <w:r>
        <w:t>(par défaut)</w:t>
      </w:r>
      <w:r>
        <w:rPr>
          <w:rStyle w:val="optioncarChar"/>
        </w:rPr>
        <w:t> / ***</w:t>
      </w:r>
    </w:p>
    <w:p w14:paraId="15360DF2" w14:textId="77777777" w:rsidR="00DB2B68" w:rsidRDefault="00000000">
      <w:pPr>
        <w:pStyle w:val="Author-eListParagraph"/>
        <w:numPr>
          <w:ilvl w:val="0"/>
          <w:numId w:val="865"/>
        </w:numPr>
      </w:pPr>
      <w:r>
        <w:t>Module d’élasticité minimum parallèle au fil du bois (au fractile 5%) : </w:t>
      </w:r>
      <w:r>
        <w:rPr>
          <w:rStyle w:val="optioncarChar"/>
        </w:rPr>
        <w:t>9 GPa </w:t>
      </w:r>
      <w:r>
        <w:t>(par défaut)</w:t>
      </w:r>
      <w:r>
        <w:rPr>
          <w:rStyle w:val="optioncarChar"/>
        </w:rPr>
        <w:t> / ***</w:t>
      </w:r>
    </w:p>
    <w:p w14:paraId="55C1C811" w14:textId="77777777" w:rsidR="00DB2B68" w:rsidRDefault="00000000">
      <w:pPr>
        <w:pStyle w:val="Author-eListParagraph"/>
        <w:numPr>
          <w:ilvl w:val="0"/>
          <w:numId w:val="865"/>
        </w:numPr>
      </w:pPr>
      <w:r>
        <w:t>Module de cisaillement à chant : </w:t>
      </w:r>
      <w:r>
        <w:rPr>
          <w:rStyle w:val="optioncarChar"/>
        </w:rPr>
        <w:t>600 MPa </w:t>
      </w:r>
      <w:r>
        <w:t>(par défaut)</w:t>
      </w:r>
      <w:r>
        <w:rPr>
          <w:rStyle w:val="optioncarChar"/>
        </w:rPr>
        <w:t> / ***</w:t>
      </w:r>
    </w:p>
    <w:p w14:paraId="06251523" w14:textId="77777777" w:rsidR="00DB2B68" w:rsidRDefault="00000000">
      <w:pPr>
        <w:pStyle w:val="Author-eListParagraph"/>
        <w:numPr>
          <w:ilvl w:val="0"/>
          <w:numId w:val="865"/>
        </w:numPr>
      </w:pPr>
      <w:r>
        <w:t>Module de cisaillement à plat :</w:t>
      </w:r>
      <w:r>
        <w:rPr>
          <w:rStyle w:val="optioncarChar"/>
        </w:rPr>
        <w:t> 400 MPa </w:t>
      </w:r>
      <w:r>
        <w:t>(par défaut)</w:t>
      </w:r>
      <w:r>
        <w:rPr>
          <w:rStyle w:val="optioncarChar"/>
        </w:rPr>
        <w:t> / ***</w:t>
      </w:r>
    </w:p>
    <w:p w14:paraId="57A894D6" w14:textId="77777777" w:rsidR="00DB2B68" w:rsidRDefault="00000000">
      <w:pPr>
        <w:jc w:val="both"/>
      </w:pPr>
      <w:r>
        <w:t xml:space="preserve">Courbure des poutres et barres : </w:t>
      </w:r>
      <w:r>
        <w:rPr>
          <w:rStyle w:val="optioncarChar"/>
        </w:rPr>
        <w:t>aucune (</w:t>
      </w:r>
      <w:r>
        <w:t xml:space="preserve">par défaut) </w:t>
      </w:r>
      <w:r>
        <w:rPr>
          <w:rStyle w:val="optioncarChar"/>
        </w:rPr>
        <w:t>/ voir plan / ***</w:t>
      </w:r>
    </w:p>
    <w:p w14:paraId="7962CDA0" w14:textId="77777777" w:rsidR="00DB2B68" w:rsidRDefault="00000000">
      <w:pPr>
        <w:jc w:val="both"/>
      </w:pPr>
      <w:r>
        <w:t xml:space="preserve">Essence : </w:t>
      </w:r>
      <w:r>
        <w:rPr>
          <w:rStyle w:val="optioncarChar"/>
        </w:rPr>
        <w:t xml:space="preserve">Résineuse </w:t>
      </w:r>
      <w:r>
        <w:t xml:space="preserve">(par défaut) </w:t>
      </w:r>
      <w:r>
        <w:rPr>
          <w:rStyle w:val="optioncarChar"/>
        </w:rPr>
        <w:t>/ feuillue / épicéa / douglas / hêtre / ***</w:t>
      </w:r>
    </w:p>
    <w:p w14:paraId="5E7764F1" w14:textId="77777777" w:rsidR="00DB2B68" w:rsidRDefault="00000000">
      <w:pPr>
        <w:jc w:val="both"/>
      </w:pPr>
      <w:r>
        <w:t>Classe d’emploi :</w:t>
      </w:r>
      <w:r>
        <w:rPr>
          <w:rStyle w:val="optioncarChar"/>
        </w:rPr>
        <w:t xml:space="preserve"> 1 / 2 / 3</w:t>
      </w:r>
    </w:p>
    <w:p w14:paraId="25684818" w14:textId="77777777" w:rsidR="00DB2B68" w:rsidRDefault="00000000">
      <w:pPr>
        <w:jc w:val="both"/>
      </w:pPr>
      <w:r>
        <w:t>Le fabricant de l’élément déclare la classe d’emploi maximale dans laquelle celui-ci peut être mis en œuvre. Celle-ci est au minimum celle prescrite au cahier spécial des charges.</w:t>
      </w:r>
    </w:p>
    <w:p w14:paraId="2CA292B1" w14:textId="77777777" w:rsidR="00DB2B68" w:rsidRDefault="00000000">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73E25F33" w14:textId="77777777" w:rsidR="00DB2B68" w:rsidRDefault="00000000">
      <w:pPr>
        <w:jc w:val="both"/>
      </w:pPr>
      <w:r>
        <w:t xml:space="preserve">Classe d’émission de formaldéhyde : </w:t>
      </w:r>
      <w:r>
        <w:rPr>
          <w:rStyle w:val="optioncarChar"/>
        </w:rPr>
        <w:t>E1</w:t>
      </w:r>
      <w:r>
        <w:t xml:space="preserve"> (par défaut)</w:t>
      </w:r>
      <w:r>
        <w:rPr>
          <w:rStyle w:val="optioncarChar"/>
        </w:rPr>
        <w:t xml:space="preserve"> / E2</w:t>
      </w:r>
    </w:p>
    <w:p w14:paraId="4E6B0BA2" w14:textId="77777777" w:rsidR="00DB2B68" w:rsidRDefault="00000000">
      <w:pPr>
        <w:pStyle w:val="pheading"/>
      </w:pPr>
      <w:r>
        <w:t>- Finitions</w:t>
      </w:r>
    </w:p>
    <w:p w14:paraId="7BAA1319" w14:textId="77777777" w:rsidR="00DB2B68" w:rsidRDefault="00000000">
      <w:pPr>
        <w:jc w:val="both"/>
      </w:pPr>
      <w:r>
        <w:t xml:space="preserve">Les poutres et barres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46ABB0B3" w14:textId="77777777" w:rsidR="00DB2B68" w:rsidRDefault="00000000">
      <w:pPr>
        <w:jc w:val="both"/>
      </w:pPr>
      <w:r>
        <w:t>Les arrêtes sont</w:t>
      </w:r>
      <w:r>
        <w:rPr>
          <w:rStyle w:val="optioncarChar"/>
        </w:rPr>
        <w:t xml:space="preserve"> vives</w:t>
      </w:r>
      <w:r>
        <w:t xml:space="preserve"> (par défaut) </w:t>
      </w:r>
      <w:r>
        <w:rPr>
          <w:rStyle w:val="optioncarChar"/>
        </w:rPr>
        <w:t>/ chanfreinées / ***</w:t>
      </w:r>
    </w:p>
    <w:p w14:paraId="43A69E5D" w14:textId="77777777" w:rsidR="00DB2B68" w:rsidRDefault="00000000">
      <w:pPr>
        <w:jc w:val="both"/>
      </w:pPr>
      <w:r>
        <w:t xml:space="preserve">Les poutres et barres en PSL sont </w:t>
      </w:r>
      <w:r>
        <w:rPr>
          <w:rStyle w:val="optioncarChar"/>
        </w:rPr>
        <w:t>sans finitions</w:t>
      </w:r>
      <w:r>
        <w:t xml:space="preserve"> (par défaut) </w:t>
      </w:r>
      <w:r>
        <w:rPr>
          <w:rStyle w:val="optioncarChar"/>
        </w:rPr>
        <w:t>/ huilées / vernies / lasurées / peintes / ***</w:t>
      </w:r>
      <w:r>
        <w:t xml:space="preserve"> avant mise en œuvre.</w:t>
      </w:r>
    </w:p>
    <w:p w14:paraId="6A163FBB" w14:textId="77777777" w:rsidR="00DB2B68" w:rsidRDefault="00000000">
      <w:pPr>
        <w:pStyle w:val="pheading"/>
      </w:pPr>
      <w:r>
        <w:t>EXÉCUTION / MISE EN ŒUVRE</w:t>
      </w:r>
    </w:p>
    <w:p w14:paraId="7297E2FD" w14:textId="77777777" w:rsidR="00DB2B68" w:rsidRDefault="00000000">
      <w:pPr>
        <w:pStyle w:val="pheading"/>
      </w:pPr>
      <w:r>
        <w:t>- Prescriptions générales</w:t>
      </w:r>
    </w:p>
    <w:p w14:paraId="47EBFFFE"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43C88552" w14:textId="77777777" w:rsidR="00DB2B68" w:rsidRDefault="00000000">
      <w:pPr>
        <w:pStyle w:val="pheading"/>
      </w:pPr>
      <w:r>
        <w:t>MESURAGE</w:t>
      </w:r>
    </w:p>
    <w:p w14:paraId="7EAF70A7" w14:textId="77777777" w:rsidR="00DB2B68" w:rsidRDefault="00000000">
      <w:pPr>
        <w:pStyle w:val="pheading"/>
      </w:pPr>
      <w:r>
        <w:t>- unité de mesure:</w:t>
      </w:r>
    </w:p>
    <w:p w14:paraId="2B81BD04" w14:textId="77777777" w:rsidR="00DB2B68" w:rsidRDefault="00000000">
      <w:r>
        <w:rPr>
          <w:rStyle w:val="optioncarChar"/>
        </w:rPr>
        <w:t>m³ </w:t>
      </w:r>
      <w:r>
        <w:t>(par défaut)</w:t>
      </w:r>
      <w:r>
        <w:rPr>
          <w:rStyle w:val="optioncarChar"/>
        </w:rPr>
        <w:t> / m / pc</w:t>
      </w:r>
    </w:p>
    <w:p w14:paraId="2B3D1028" w14:textId="77777777" w:rsidR="00DB2B68" w:rsidRDefault="00000000">
      <w:r>
        <w:rPr>
          <w:b/>
          <w:i/>
        </w:rPr>
        <w:t>(Soit par défaut)</w:t>
      </w:r>
    </w:p>
    <w:p w14:paraId="60A18FDE" w14:textId="77777777" w:rsidR="00DB2B68" w:rsidRDefault="00000000">
      <w:r>
        <w:rPr>
          <w:rStyle w:val="soitChar"/>
        </w:rPr>
        <w:t>1.    m³ </w:t>
      </w:r>
    </w:p>
    <w:p w14:paraId="31192079" w14:textId="77777777" w:rsidR="00DB2B68" w:rsidRDefault="00000000">
      <w:r>
        <w:rPr>
          <w:b/>
          <w:i/>
        </w:rPr>
        <w:t>(Soit)</w:t>
      </w:r>
    </w:p>
    <w:p w14:paraId="2BFFA038" w14:textId="77777777" w:rsidR="00DB2B68" w:rsidRDefault="00000000">
      <w:r>
        <w:rPr>
          <w:rStyle w:val="soitChar"/>
        </w:rPr>
        <w:t>2.    m </w:t>
      </w:r>
    </w:p>
    <w:p w14:paraId="08B24B28" w14:textId="77777777" w:rsidR="00DB2B68" w:rsidRDefault="00000000">
      <w:r>
        <w:rPr>
          <w:b/>
          <w:i/>
        </w:rPr>
        <w:t>(Soit)</w:t>
      </w:r>
    </w:p>
    <w:p w14:paraId="3AF9E398" w14:textId="77777777" w:rsidR="00DB2B68" w:rsidRDefault="00000000">
      <w:r>
        <w:rPr>
          <w:rStyle w:val="soitChar"/>
        </w:rPr>
        <w:t>3.    pc</w:t>
      </w:r>
    </w:p>
    <w:p w14:paraId="1F9D228D" w14:textId="77777777" w:rsidR="00DB2B68" w:rsidRDefault="00000000">
      <w:pPr>
        <w:pStyle w:val="pheading"/>
      </w:pPr>
      <w:r>
        <w:t>- code de mesurage:</w:t>
      </w:r>
    </w:p>
    <w:p w14:paraId="6A433703" w14:textId="77777777" w:rsidR="00DB2B68" w:rsidRDefault="00000000">
      <w:pPr>
        <w:jc w:val="both"/>
      </w:pPr>
      <w:r>
        <w:rPr>
          <w:rStyle w:val="optioncarChar"/>
        </w:rPr>
        <w:t> Volume brut </w:t>
      </w:r>
      <w:r>
        <w:t>(par défaut) </w:t>
      </w:r>
      <w:r>
        <w:rPr>
          <w:rStyle w:val="optioncarChar"/>
        </w:rPr>
        <w:t>/ Longueur brute / Quantité nette</w:t>
      </w:r>
    </w:p>
    <w:p w14:paraId="2FA26C58" w14:textId="77777777" w:rsidR="00DB2B68" w:rsidRDefault="00000000">
      <w:pPr>
        <w:jc w:val="both"/>
      </w:pPr>
      <w:r>
        <w:rPr>
          <w:b/>
          <w:i/>
        </w:rPr>
        <w:t>(Soit par défaut)</w:t>
      </w:r>
    </w:p>
    <w:p w14:paraId="05234849" w14:textId="77777777" w:rsidR="00DB2B68" w:rsidRDefault="00000000">
      <w:pPr>
        <w:jc w:val="both"/>
      </w:pPr>
      <w:r>
        <w:rPr>
          <w:rStyle w:val="soitChar"/>
        </w:rPr>
        <w:t>1.    </w:t>
      </w:r>
      <w:r>
        <w:rPr>
          <w:rStyle w:val="soitChar"/>
          <w:u w:val="single"/>
        </w:rPr>
        <w:t>Volume brut :</w:t>
      </w:r>
    </w:p>
    <w:p w14:paraId="3598C39B" w14:textId="77777777" w:rsidR="00DB2B68" w:rsidRDefault="00000000">
      <w:pPr>
        <w:jc w:val="both"/>
      </w:pPr>
      <w:r>
        <w:rPr>
          <w:rStyle w:val="soitChar"/>
        </w:rPr>
        <w:lastRenderedPageBreak/>
        <w:t>Le volume brut d’une poutre/barre est calculé suivant le volume du plus petit parallélépipède rectangle pouvant inclure l’élément.</w:t>
      </w:r>
    </w:p>
    <w:p w14:paraId="4094D5CB" w14:textId="77777777" w:rsidR="00DB2B68" w:rsidRDefault="00000000">
      <w:pPr>
        <w:jc w:val="both"/>
      </w:pPr>
      <w:r>
        <w:rPr>
          <w:b/>
          <w:i/>
        </w:rPr>
        <w:t> (Soit)</w:t>
      </w:r>
    </w:p>
    <w:p w14:paraId="28DAA756" w14:textId="77777777" w:rsidR="00DB2B68" w:rsidRDefault="00000000">
      <w:pPr>
        <w:jc w:val="both"/>
      </w:pPr>
      <w:r>
        <w:rPr>
          <w:rStyle w:val="soitChar"/>
        </w:rPr>
        <w:t>2.    </w:t>
      </w:r>
      <w:r>
        <w:rPr>
          <w:rStyle w:val="soitChar"/>
          <w:u w:val="single"/>
        </w:rPr>
        <w:t>Longueur brute :</w:t>
      </w:r>
    </w:p>
    <w:p w14:paraId="675258DE" w14:textId="77777777" w:rsidR="00DB2B68" w:rsidRDefault="00000000">
      <w:pPr>
        <w:jc w:val="both"/>
      </w:pPr>
      <w:r>
        <w:rPr>
          <w:rStyle w:val="soitChar"/>
        </w:rPr>
        <w:t>La longueur brute d’un élément est la cote maximale dans la direction longitudinale, longueur de bois utile pour l’assemblage comprise. </w:t>
      </w:r>
    </w:p>
    <w:p w14:paraId="5D28398D" w14:textId="77777777" w:rsidR="00DB2B68" w:rsidRDefault="00000000">
      <w:pPr>
        <w:jc w:val="both"/>
      </w:pPr>
      <w:r>
        <w:rPr>
          <w:rStyle w:val="soitChar"/>
        </w:rPr>
        <w:t>La longueur totale des poutres et barres ayant la même section et les mêmes caractéristiques est comptabilisée.</w:t>
      </w:r>
    </w:p>
    <w:p w14:paraId="6B34CE8E" w14:textId="77777777" w:rsidR="00DB2B68" w:rsidRDefault="00000000">
      <w:pPr>
        <w:jc w:val="both"/>
      </w:pPr>
      <w:r>
        <w:rPr>
          <w:b/>
          <w:i/>
        </w:rPr>
        <w:t> (Soit)</w:t>
      </w:r>
    </w:p>
    <w:p w14:paraId="63E512D9" w14:textId="77777777" w:rsidR="00DB2B68" w:rsidRDefault="00000000">
      <w:pPr>
        <w:jc w:val="both"/>
      </w:pPr>
      <w:r>
        <w:rPr>
          <w:rStyle w:val="soitChar"/>
        </w:rPr>
        <w:t>3.    </w:t>
      </w:r>
      <w:r>
        <w:rPr>
          <w:rStyle w:val="soitChar"/>
          <w:u w:val="single"/>
        </w:rPr>
        <w:t>Quantité nette :</w:t>
      </w:r>
    </w:p>
    <w:p w14:paraId="6610F302" w14:textId="77777777" w:rsidR="00DB2B68" w:rsidRDefault="00000000">
      <w:pPr>
        <w:jc w:val="both"/>
      </w:pPr>
      <w:r>
        <w:rPr>
          <w:rStyle w:val="soitChar"/>
        </w:rPr>
        <w:t>Le nombre de poutres et barres ayant les mêmes dimensions et les mêmes caractéristiques est compatibilisé.</w:t>
      </w:r>
    </w:p>
    <w:p w14:paraId="33478E4F" w14:textId="77777777" w:rsidR="00DB2B68" w:rsidRDefault="00000000">
      <w:pPr>
        <w:pStyle w:val="pheading"/>
      </w:pPr>
      <w:r>
        <w:t>- nature du marché:</w:t>
      </w:r>
    </w:p>
    <w:p w14:paraId="5B2B4CD5" w14:textId="77777777" w:rsidR="00DB2B68" w:rsidRDefault="00000000">
      <w:r>
        <w:rPr>
          <w:rStyle w:val="optioncarChar"/>
        </w:rPr>
        <w:t>QF</w:t>
      </w:r>
      <w:r>
        <w:t> (par défaut) </w:t>
      </w:r>
      <w:r>
        <w:rPr>
          <w:rStyle w:val="optioncarChar"/>
        </w:rPr>
        <w:t>/ QP</w:t>
      </w:r>
    </w:p>
    <w:p w14:paraId="272F62F1" w14:textId="77777777" w:rsidR="00DB2B68" w:rsidRDefault="00000000">
      <w:r>
        <w:rPr>
          <w:b/>
          <w:i/>
        </w:rPr>
        <w:t>(Soit par défaut)</w:t>
      </w:r>
    </w:p>
    <w:p w14:paraId="5FF3900A" w14:textId="77777777" w:rsidR="00DB2B68" w:rsidRDefault="00000000">
      <w:r>
        <w:rPr>
          <w:rStyle w:val="soitChar"/>
        </w:rPr>
        <w:t>1.2.3     QF</w:t>
      </w:r>
    </w:p>
    <w:p w14:paraId="1DE9BD55" w14:textId="77777777" w:rsidR="00DB2B68" w:rsidRDefault="00000000">
      <w:r>
        <w:rPr>
          <w:b/>
          <w:i/>
        </w:rPr>
        <w:t>(Soit)</w:t>
      </w:r>
    </w:p>
    <w:p w14:paraId="2B11165C" w14:textId="77777777" w:rsidR="00DB2B68" w:rsidRDefault="00000000">
      <w:r>
        <w:rPr>
          <w:rStyle w:val="soitChar"/>
        </w:rPr>
        <w:t>1.2.3     QP</w:t>
      </w:r>
    </w:p>
    <w:p w14:paraId="49938EE7" w14:textId="77777777" w:rsidR="00DB2B68" w:rsidRDefault="00000000">
      <w:pPr>
        <w:pStyle w:val="pheading"/>
      </w:pPr>
      <w:r>
        <w:t>AIDE</w:t>
      </w:r>
    </w:p>
    <w:p w14:paraId="3CDE18B2" w14:textId="77777777" w:rsidR="00DB2B68" w:rsidRDefault="00000000">
      <w:pPr>
        <w:jc w:val="both"/>
      </w:pPr>
      <w:r>
        <w:t>Le code suivant peut être utilisé pour la dénomination du poste :</w:t>
      </w:r>
    </w:p>
    <w:p w14:paraId="2F664A45" w14:textId="77777777" w:rsidR="00DB2B68" w:rsidRDefault="00000000">
      <w:pPr>
        <w:jc w:val="both"/>
      </w:pPr>
      <w:r>
        <w:t>PSL 1 / 2 / 3 / 4 </w:t>
      </w:r>
    </w:p>
    <w:p w14:paraId="023BF83C" w14:textId="77777777" w:rsidR="00DB2B68" w:rsidRDefault="00000000">
      <w:pPr>
        <w:jc w:val="both"/>
      </w:pPr>
      <w:r>
        <w:t>Avec :</w:t>
      </w:r>
    </w:p>
    <w:p w14:paraId="51AECDFE" w14:textId="77777777" w:rsidR="00DB2B68" w:rsidRDefault="00000000">
      <w:pPr>
        <w:jc w:val="both"/>
      </w:pPr>
      <w:r>
        <w:t>PSL pour bois laminated veneer lumber</w:t>
      </w:r>
    </w:p>
    <w:p w14:paraId="3A216BF5" w14:textId="77777777" w:rsidR="00DB2B68" w:rsidRDefault="00000000">
      <w:pPr>
        <w:jc w:val="both"/>
      </w:pPr>
      <w:r>
        <w:t>1 : section de la colonne</w:t>
      </w:r>
    </w:p>
    <w:p w14:paraId="2F3768F3" w14:textId="77777777" w:rsidR="00DB2B68" w:rsidRDefault="00000000">
      <w:pPr>
        <w:jc w:val="both"/>
      </w:pPr>
      <w:r>
        <w:t>2 : L’essence utilisée</w:t>
      </w:r>
    </w:p>
    <w:p w14:paraId="7BC20F09" w14:textId="77777777" w:rsidR="00DB2B68" w:rsidRDefault="00000000">
      <w:pPr>
        <w:jc w:val="both"/>
      </w:pPr>
      <w:r>
        <w:t>3 : la classe d’emploi des poutres et barres</w:t>
      </w:r>
    </w:p>
    <w:p w14:paraId="5EC7C786" w14:textId="77777777" w:rsidR="00DB2B68" w:rsidRDefault="00000000">
      <w:pPr>
        <w:jc w:val="both"/>
      </w:pPr>
      <w:r>
        <w:t>4 : la méthode utilisée pour garantir la durabilité des poutres et barres</w:t>
      </w:r>
    </w:p>
    <w:p w14:paraId="313E583E" w14:textId="77777777" w:rsidR="00DB2B68" w:rsidRDefault="00000000">
      <w:pPr>
        <w:jc w:val="both"/>
      </w:pPr>
      <w:r>
        <w:t> </w:t>
      </w:r>
    </w:p>
    <w:p w14:paraId="3FCBFFF7" w14:textId="77777777" w:rsidR="00DB2B68" w:rsidRDefault="00000000">
      <w:pPr>
        <w:jc w:val="both"/>
      </w:pPr>
      <w:r>
        <w:t>Ce qui donne, par exemple :</w:t>
      </w:r>
    </w:p>
    <w:p w14:paraId="10277E7A" w14:textId="77777777" w:rsidR="00DB2B68" w:rsidRDefault="00000000">
      <w:pPr>
        <w:jc w:val="both"/>
      </w:pPr>
      <w:r>
        <w:t>PSL 200 x 90 / épicéa / 2 / A2.2</w:t>
      </w:r>
    </w:p>
    <w:p w14:paraId="562BB655" w14:textId="77777777" w:rsidR="00DB2B68" w:rsidRDefault="00000000">
      <w:pPr>
        <w:pStyle w:val="Author-eSectionHeading6Numberless"/>
      </w:pPr>
      <w:bookmarkStart w:id="1612" w:name="_Toc220496602"/>
      <w:r>
        <w:t>24.13.7b Poutres et barres en PSL à inertie variable CCTB 01.11</w:t>
      </w:r>
      <w:bookmarkEnd w:id="1612"/>
    </w:p>
    <w:p w14:paraId="65FEB491" w14:textId="77777777" w:rsidR="00DB2B68" w:rsidRDefault="00000000">
      <w:pPr>
        <w:pStyle w:val="pheading"/>
      </w:pPr>
      <w:r>
        <w:t>DESCRIPTION</w:t>
      </w:r>
    </w:p>
    <w:p w14:paraId="776208C5" w14:textId="77777777" w:rsidR="00DB2B68" w:rsidRDefault="00000000">
      <w:pPr>
        <w:pStyle w:val="pheading"/>
      </w:pPr>
      <w:r>
        <w:t>- Définition / Comprend</w:t>
      </w:r>
    </w:p>
    <w:p w14:paraId="06F77591" w14:textId="77777777" w:rsidR="00DB2B68" w:rsidRDefault="00000000">
      <w:r>
        <w:t>Il s'agit de l’ensemble des poutres et barres en PSL et à inertie variable.</w:t>
      </w:r>
    </w:p>
    <w:p w14:paraId="5E65E2DD" w14:textId="77777777" w:rsidR="00DB2B68" w:rsidRDefault="00000000">
      <w:pPr>
        <w:pStyle w:val="pheading"/>
      </w:pPr>
      <w:r>
        <w:t>MATÉRIAUX</w:t>
      </w:r>
    </w:p>
    <w:p w14:paraId="05BD120E" w14:textId="77777777" w:rsidR="00DB2B68" w:rsidRDefault="00000000">
      <w:pPr>
        <w:pStyle w:val="pheading"/>
      </w:pPr>
      <w:r>
        <w:t>- Caractéristiques générales</w:t>
      </w:r>
    </w:p>
    <w:p w14:paraId="416A476D" w14:textId="77777777" w:rsidR="00DB2B68" w:rsidRDefault="00000000">
      <w:pPr>
        <w:jc w:val="both"/>
      </w:pPr>
      <w:r>
        <w:t>Caractéristiques mécaniques :</w:t>
      </w:r>
    </w:p>
    <w:p w14:paraId="2542FE1C" w14:textId="77777777" w:rsidR="00DB2B68" w:rsidRDefault="00000000">
      <w:pPr>
        <w:pStyle w:val="Author-eListParagraph"/>
        <w:numPr>
          <w:ilvl w:val="0"/>
          <w:numId w:val="866"/>
        </w:numPr>
      </w:pPr>
      <w:r>
        <w:t>Résistance minimale en flexion à chant :</w:t>
      </w:r>
      <w:r>
        <w:rPr>
          <w:rStyle w:val="optioncarChar"/>
        </w:rPr>
        <w:t> 40 MPa</w:t>
      </w:r>
      <w:r>
        <w:t> (par défaut)</w:t>
      </w:r>
      <w:r>
        <w:rPr>
          <w:rStyle w:val="optioncarChar"/>
        </w:rPr>
        <w:t> / ***</w:t>
      </w:r>
    </w:p>
    <w:p w14:paraId="161B4606" w14:textId="77777777" w:rsidR="00DB2B68" w:rsidRDefault="00000000">
      <w:pPr>
        <w:pStyle w:val="Author-eListParagraph"/>
        <w:numPr>
          <w:ilvl w:val="0"/>
          <w:numId w:val="866"/>
        </w:numPr>
      </w:pPr>
      <w:r>
        <w:t>Résistance minimale en flexion à plat : </w:t>
      </w:r>
      <w:r>
        <w:rPr>
          <w:rStyle w:val="optioncarChar"/>
        </w:rPr>
        <w:t>40 MPa </w:t>
      </w:r>
      <w:r>
        <w:t>(par défaut) </w:t>
      </w:r>
      <w:r>
        <w:rPr>
          <w:rStyle w:val="optioncarChar"/>
        </w:rPr>
        <w:t>/ ***</w:t>
      </w:r>
    </w:p>
    <w:p w14:paraId="2F5A2375" w14:textId="77777777" w:rsidR="00DB2B68" w:rsidRDefault="00000000">
      <w:pPr>
        <w:pStyle w:val="Author-eListParagraph"/>
        <w:numPr>
          <w:ilvl w:val="0"/>
          <w:numId w:val="866"/>
        </w:numPr>
      </w:pPr>
      <w:r>
        <w:t>Résistance minimale en traction parallèle au fil du bois : </w:t>
      </w:r>
      <w:r>
        <w:rPr>
          <w:rStyle w:val="optioncarChar"/>
        </w:rPr>
        <w:t>30 MPa </w:t>
      </w:r>
      <w:r>
        <w:t>(par défaut)</w:t>
      </w:r>
      <w:r>
        <w:rPr>
          <w:rStyle w:val="optioncarChar"/>
        </w:rPr>
        <w:t> / ***</w:t>
      </w:r>
    </w:p>
    <w:p w14:paraId="300EF9B9" w14:textId="77777777" w:rsidR="00DB2B68" w:rsidRDefault="00000000">
      <w:pPr>
        <w:pStyle w:val="Author-eListParagraph"/>
        <w:numPr>
          <w:ilvl w:val="0"/>
          <w:numId w:val="866"/>
        </w:numPr>
      </w:pPr>
      <w:r>
        <w:t>Résistance minimale en compression parallèle au fil du bois : </w:t>
      </w:r>
      <w:r>
        <w:rPr>
          <w:rStyle w:val="optioncarChar"/>
        </w:rPr>
        <w:t>30 MPa </w:t>
      </w:r>
      <w:r>
        <w:t>(par défaut)</w:t>
      </w:r>
      <w:r>
        <w:rPr>
          <w:rStyle w:val="optioncarChar"/>
        </w:rPr>
        <w:t> / ***</w:t>
      </w:r>
    </w:p>
    <w:p w14:paraId="498F0D37" w14:textId="77777777" w:rsidR="00DB2B68" w:rsidRDefault="00000000">
      <w:pPr>
        <w:pStyle w:val="Author-eListParagraph"/>
        <w:numPr>
          <w:ilvl w:val="0"/>
          <w:numId w:val="866"/>
        </w:numPr>
      </w:pPr>
      <w:r>
        <w:lastRenderedPageBreak/>
        <w:t>Résistance minimale en cisaillement à chant :</w:t>
      </w:r>
      <w:r>
        <w:rPr>
          <w:rStyle w:val="optioncarChar"/>
        </w:rPr>
        <w:t> 5 MPa </w:t>
      </w:r>
      <w:r>
        <w:t>(par défaut)</w:t>
      </w:r>
      <w:r>
        <w:rPr>
          <w:rStyle w:val="optioncarChar"/>
        </w:rPr>
        <w:t> / ***</w:t>
      </w:r>
    </w:p>
    <w:p w14:paraId="0FFADD1C" w14:textId="77777777" w:rsidR="00DB2B68" w:rsidRDefault="00000000">
      <w:pPr>
        <w:pStyle w:val="Author-eListParagraph"/>
        <w:numPr>
          <w:ilvl w:val="0"/>
          <w:numId w:val="866"/>
        </w:numPr>
      </w:pPr>
      <w:r>
        <w:t>Résistance minimale en cisaillement à plat : </w:t>
      </w:r>
      <w:r>
        <w:rPr>
          <w:rStyle w:val="optioncarChar"/>
        </w:rPr>
        <w:t>4 MPa </w:t>
      </w:r>
      <w:r>
        <w:t>(par défaut)</w:t>
      </w:r>
      <w:r>
        <w:rPr>
          <w:rStyle w:val="optioncarChar"/>
        </w:rPr>
        <w:t> / ***</w:t>
      </w:r>
    </w:p>
    <w:p w14:paraId="260144C1" w14:textId="77777777" w:rsidR="00DB2B68" w:rsidRDefault="00000000">
      <w:pPr>
        <w:pStyle w:val="Author-eListParagraph"/>
        <w:numPr>
          <w:ilvl w:val="0"/>
          <w:numId w:val="866"/>
        </w:numPr>
      </w:pPr>
      <w:r>
        <w:t>Module d’élasticité minimum parallèle au fil du bois (au fractile 5%) : </w:t>
      </w:r>
      <w:r>
        <w:rPr>
          <w:rStyle w:val="optioncarChar"/>
        </w:rPr>
        <w:t>9 GPa </w:t>
      </w:r>
      <w:r>
        <w:t>(par défaut)</w:t>
      </w:r>
      <w:r>
        <w:rPr>
          <w:rStyle w:val="optioncarChar"/>
        </w:rPr>
        <w:t> / ***</w:t>
      </w:r>
    </w:p>
    <w:p w14:paraId="19B761D4" w14:textId="77777777" w:rsidR="00DB2B68" w:rsidRDefault="00000000">
      <w:pPr>
        <w:pStyle w:val="Author-eListParagraph"/>
        <w:numPr>
          <w:ilvl w:val="0"/>
          <w:numId w:val="866"/>
        </w:numPr>
      </w:pPr>
      <w:r>
        <w:t>Module de cisaillement à chant : </w:t>
      </w:r>
      <w:r>
        <w:rPr>
          <w:rStyle w:val="optioncarChar"/>
        </w:rPr>
        <w:t>600 MPa </w:t>
      </w:r>
      <w:r>
        <w:t>(par défaut)</w:t>
      </w:r>
      <w:r>
        <w:rPr>
          <w:rStyle w:val="optioncarChar"/>
        </w:rPr>
        <w:t> / ***</w:t>
      </w:r>
    </w:p>
    <w:p w14:paraId="2B30C0F5" w14:textId="77777777" w:rsidR="00DB2B68" w:rsidRDefault="00000000">
      <w:pPr>
        <w:pStyle w:val="Author-eListParagraph"/>
        <w:numPr>
          <w:ilvl w:val="0"/>
          <w:numId w:val="866"/>
        </w:numPr>
      </w:pPr>
      <w:r>
        <w:t>Module de cisaillement à plat :</w:t>
      </w:r>
      <w:r>
        <w:rPr>
          <w:rStyle w:val="optioncarChar"/>
        </w:rPr>
        <w:t> 400 MPa </w:t>
      </w:r>
      <w:r>
        <w:t>(par défaut)</w:t>
      </w:r>
      <w:r>
        <w:rPr>
          <w:rStyle w:val="optioncarChar"/>
        </w:rPr>
        <w:t> / ***</w:t>
      </w:r>
    </w:p>
    <w:p w14:paraId="086740AA" w14:textId="77777777" w:rsidR="00DB2B68" w:rsidRDefault="00000000">
      <w:pPr>
        <w:jc w:val="both"/>
      </w:pPr>
      <w:r>
        <w:t>La géométrie des poutres et barres est décrite dans les plans.</w:t>
      </w:r>
    </w:p>
    <w:p w14:paraId="7C285C12" w14:textId="77777777" w:rsidR="00DB2B68" w:rsidRDefault="00000000">
      <w:pPr>
        <w:jc w:val="both"/>
      </w:pPr>
      <w:r>
        <w:t xml:space="preserve">Essence : </w:t>
      </w:r>
      <w:r>
        <w:rPr>
          <w:rStyle w:val="optioncarChar"/>
        </w:rPr>
        <w:t>Résineuse</w:t>
      </w:r>
      <w:r>
        <w:t xml:space="preserve"> (par défaut)</w:t>
      </w:r>
      <w:r>
        <w:rPr>
          <w:rStyle w:val="optioncarChar"/>
        </w:rPr>
        <w:t xml:space="preserve"> / feuillue / épicéa / douglas / hêtre / ***</w:t>
      </w:r>
    </w:p>
    <w:p w14:paraId="33612616" w14:textId="77777777" w:rsidR="00DB2B68" w:rsidRDefault="00000000">
      <w:pPr>
        <w:jc w:val="both"/>
      </w:pPr>
      <w:r>
        <w:t xml:space="preserve">Classe d’emploi : </w:t>
      </w:r>
      <w:r>
        <w:rPr>
          <w:rStyle w:val="optioncarChar"/>
        </w:rPr>
        <w:t>1 / 2 / 3</w:t>
      </w:r>
    </w:p>
    <w:p w14:paraId="30FEE419" w14:textId="77777777" w:rsidR="00DB2B68" w:rsidRDefault="00000000">
      <w:pPr>
        <w:jc w:val="both"/>
      </w:pPr>
      <w:r>
        <w:t>Le fabricant de l’élément déclare la classe d’emploi maximale dans laquelle celui-ci peut être mis en œuvre. Celle-ci est au minimum celle prescrite au cahier spécial des charges.</w:t>
      </w:r>
    </w:p>
    <w:p w14:paraId="3D815F36" w14:textId="77777777" w:rsidR="00DB2B68"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272E6313" w14:textId="77777777" w:rsidR="00DB2B68"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399B9C2E" w14:textId="77777777" w:rsidR="00DB2B68" w:rsidRDefault="00000000">
      <w:pPr>
        <w:pStyle w:val="pheading"/>
      </w:pPr>
      <w:r>
        <w:t>- Finitions</w:t>
      </w:r>
    </w:p>
    <w:p w14:paraId="21C3671B" w14:textId="77777777" w:rsidR="00DB2B68" w:rsidRDefault="00000000">
      <w:pPr>
        <w:jc w:val="both"/>
      </w:pPr>
      <w:r>
        <w:t>Les poutres et barres en PSL sont</w:t>
      </w:r>
      <w:r>
        <w:rPr>
          <w:rStyle w:val="optioncarChar"/>
        </w:rPr>
        <w:t xml:space="preserve"> rabotées </w:t>
      </w:r>
      <w:r>
        <w:t>(par défaut)</w:t>
      </w:r>
      <w:r>
        <w:rPr>
          <w:rStyle w:val="optioncarChar"/>
        </w:rPr>
        <w:t xml:space="preserve"> / poncées / ***</w:t>
      </w:r>
      <w:r>
        <w:t xml:space="preserve"> sur </w:t>
      </w:r>
      <w:r>
        <w:rPr>
          <w:rStyle w:val="optioncarChar"/>
        </w:rPr>
        <w:t>1 / 2</w:t>
      </w:r>
      <w:r>
        <w:t xml:space="preserve"> (par défaut) faces</w:t>
      </w:r>
    </w:p>
    <w:p w14:paraId="60573AD8" w14:textId="77777777" w:rsidR="00DB2B68" w:rsidRDefault="00000000">
      <w:pPr>
        <w:jc w:val="both"/>
      </w:pPr>
      <w:r>
        <w:t>Les arrêtes sont</w:t>
      </w:r>
      <w:r>
        <w:rPr>
          <w:rStyle w:val="optioncarChar"/>
        </w:rPr>
        <w:t xml:space="preserve"> vives</w:t>
      </w:r>
      <w:r>
        <w:t xml:space="preserve"> (par défaut)</w:t>
      </w:r>
      <w:r>
        <w:rPr>
          <w:rStyle w:val="optioncarChar"/>
        </w:rPr>
        <w:t xml:space="preserve"> / chanfreinées / ***</w:t>
      </w:r>
    </w:p>
    <w:p w14:paraId="0D79479D" w14:textId="77777777" w:rsidR="00DB2B68" w:rsidRDefault="00000000">
      <w:pPr>
        <w:jc w:val="both"/>
      </w:pPr>
      <w:r>
        <w:t xml:space="preserve">Les poutres et barres en PSL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00BD0F08" w14:textId="77777777" w:rsidR="00DB2B68" w:rsidRDefault="00000000">
      <w:pPr>
        <w:pStyle w:val="pheading"/>
      </w:pPr>
      <w:r>
        <w:t>EXÉCUTION / MISE EN ŒUVRE</w:t>
      </w:r>
    </w:p>
    <w:p w14:paraId="6FF653D6" w14:textId="77777777" w:rsidR="00DB2B68" w:rsidRDefault="00000000">
      <w:pPr>
        <w:pStyle w:val="pheading"/>
      </w:pPr>
      <w:r>
        <w:t>- Prescriptions générales</w:t>
      </w:r>
    </w:p>
    <w:p w14:paraId="57FB1FD8" w14:textId="77777777" w:rsidR="00DB2B68" w:rsidRDefault="00000000">
      <w:pPr>
        <w:jc w:val="both"/>
      </w:pPr>
      <w:r>
        <w:t>En cas de face apparente en situation définitive, le soumissionnaire prend toutes les dispositions afin de garantir la conservation esthétique de ces faces telles qu’obtenues en sortie d’usine.</w:t>
      </w:r>
    </w:p>
    <w:p w14:paraId="58018473" w14:textId="77777777" w:rsidR="00DB2B68" w:rsidRDefault="00000000">
      <w:pPr>
        <w:pStyle w:val="pheading"/>
      </w:pPr>
      <w:r>
        <w:t>MESURAGE</w:t>
      </w:r>
    </w:p>
    <w:p w14:paraId="4D430798" w14:textId="77777777" w:rsidR="00DB2B68" w:rsidRDefault="00000000">
      <w:pPr>
        <w:pStyle w:val="pheading"/>
      </w:pPr>
      <w:r>
        <w:t>- unité de mesure:</w:t>
      </w:r>
    </w:p>
    <w:p w14:paraId="1F872790" w14:textId="77777777" w:rsidR="00DB2B68" w:rsidRDefault="00000000">
      <w:r>
        <w:rPr>
          <w:rStyle w:val="optioncarChar"/>
        </w:rPr>
        <w:t>m³ </w:t>
      </w:r>
      <w:r>
        <w:t>(par défaut)</w:t>
      </w:r>
      <w:r>
        <w:rPr>
          <w:rStyle w:val="optioncarChar"/>
        </w:rPr>
        <w:t> / m / pc</w:t>
      </w:r>
    </w:p>
    <w:p w14:paraId="1F0594E2" w14:textId="77777777" w:rsidR="00DB2B68" w:rsidRDefault="00000000">
      <w:r>
        <w:rPr>
          <w:b/>
          <w:i/>
        </w:rPr>
        <w:t>(Soit par défaut)</w:t>
      </w:r>
    </w:p>
    <w:p w14:paraId="342D6636" w14:textId="77777777" w:rsidR="00DB2B68" w:rsidRDefault="00000000">
      <w:r>
        <w:rPr>
          <w:rStyle w:val="soitChar"/>
        </w:rPr>
        <w:t>1.    m³ </w:t>
      </w:r>
    </w:p>
    <w:p w14:paraId="4CB703BA" w14:textId="77777777" w:rsidR="00DB2B68" w:rsidRDefault="00000000">
      <w:r>
        <w:rPr>
          <w:b/>
          <w:i/>
        </w:rPr>
        <w:t>(Soit)</w:t>
      </w:r>
    </w:p>
    <w:p w14:paraId="2416D5CE" w14:textId="77777777" w:rsidR="00DB2B68" w:rsidRDefault="00000000">
      <w:r>
        <w:rPr>
          <w:rStyle w:val="soitChar"/>
        </w:rPr>
        <w:t>2.    m </w:t>
      </w:r>
    </w:p>
    <w:p w14:paraId="1B151482" w14:textId="77777777" w:rsidR="00DB2B68" w:rsidRDefault="00000000">
      <w:r>
        <w:rPr>
          <w:b/>
          <w:i/>
        </w:rPr>
        <w:t>(Soit)</w:t>
      </w:r>
    </w:p>
    <w:p w14:paraId="12C07C72" w14:textId="77777777" w:rsidR="00DB2B68" w:rsidRDefault="00000000">
      <w:r>
        <w:rPr>
          <w:rStyle w:val="soitChar"/>
        </w:rPr>
        <w:t>3.    pc</w:t>
      </w:r>
    </w:p>
    <w:p w14:paraId="7D72E43F" w14:textId="77777777" w:rsidR="00DB2B68" w:rsidRDefault="00000000">
      <w:pPr>
        <w:pStyle w:val="pheading"/>
      </w:pPr>
      <w:r>
        <w:t>- code de mesurage:</w:t>
      </w:r>
    </w:p>
    <w:p w14:paraId="3BAB45FD" w14:textId="77777777" w:rsidR="00DB2B68" w:rsidRDefault="00000000">
      <w:pPr>
        <w:jc w:val="both"/>
      </w:pPr>
      <w:r>
        <w:rPr>
          <w:rStyle w:val="optioncarChar"/>
        </w:rPr>
        <w:t> Volume brut </w:t>
      </w:r>
      <w:r>
        <w:t>(par défaut)</w:t>
      </w:r>
      <w:r>
        <w:rPr>
          <w:rStyle w:val="optioncarChar"/>
        </w:rPr>
        <w:t> / Longueur brute / Quantité nette</w:t>
      </w:r>
    </w:p>
    <w:p w14:paraId="34A8D38D" w14:textId="77777777" w:rsidR="00DB2B68" w:rsidRDefault="00000000">
      <w:pPr>
        <w:jc w:val="both"/>
      </w:pPr>
      <w:r>
        <w:rPr>
          <w:b/>
          <w:i/>
        </w:rPr>
        <w:t>(Soit par défaut)</w:t>
      </w:r>
    </w:p>
    <w:p w14:paraId="4BC89D7E" w14:textId="77777777" w:rsidR="00DB2B68" w:rsidRDefault="00000000">
      <w:pPr>
        <w:jc w:val="both"/>
      </w:pPr>
      <w:r>
        <w:rPr>
          <w:rStyle w:val="soitChar"/>
        </w:rPr>
        <w:t>1.   </w:t>
      </w:r>
      <w:r>
        <w:rPr>
          <w:rStyle w:val="soitChar"/>
          <w:u w:val="single"/>
        </w:rPr>
        <w:t> Volume brut :</w:t>
      </w:r>
    </w:p>
    <w:p w14:paraId="6A4EB95F" w14:textId="77777777" w:rsidR="00DB2B68" w:rsidRDefault="00000000">
      <w:pPr>
        <w:jc w:val="both"/>
      </w:pPr>
      <w:r>
        <w:rPr>
          <w:rStyle w:val="soitChar"/>
        </w:rPr>
        <w:t>Le volume brut d’une poutre/barre est calculé suivant le volume du plus petit parallélépipède rectangle pouvant inclure l’élément.</w:t>
      </w:r>
    </w:p>
    <w:p w14:paraId="692A601B" w14:textId="77777777" w:rsidR="00DB2B68" w:rsidRDefault="00000000">
      <w:pPr>
        <w:jc w:val="both"/>
      </w:pPr>
      <w:r>
        <w:rPr>
          <w:b/>
          <w:i/>
        </w:rPr>
        <w:t> (Soit)</w:t>
      </w:r>
    </w:p>
    <w:p w14:paraId="19B5C98C" w14:textId="77777777" w:rsidR="00DB2B68" w:rsidRDefault="00000000">
      <w:pPr>
        <w:jc w:val="both"/>
      </w:pPr>
      <w:r>
        <w:rPr>
          <w:rStyle w:val="soitChar"/>
        </w:rPr>
        <w:t>2.   </w:t>
      </w:r>
      <w:r>
        <w:rPr>
          <w:rStyle w:val="soitChar"/>
          <w:u w:val="single"/>
        </w:rPr>
        <w:t> Longueur brute :</w:t>
      </w:r>
    </w:p>
    <w:p w14:paraId="6E01BC40" w14:textId="77777777" w:rsidR="00DB2B68" w:rsidRDefault="00000000">
      <w:pPr>
        <w:jc w:val="both"/>
      </w:pPr>
      <w:r>
        <w:rPr>
          <w:rStyle w:val="soitChar"/>
        </w:rPr>
        <w:t>La longueur brute d’un élément est la cote maximale dans la direction longitudinale de la développée de l'élément, longueur de bois utile pour l’assemblage comprise. </w:t>
      </w:r>
    </w:p>
    <w:p w14:paraId="539FCC86" w14:textId="77777777" w:rsidR="00DB2B68" w:rsidRDefault="00000000">
      <w:pPr>
        <w:jc w:val="both"/>
      </w:pPr>
      <w:r>
        <w:rPr>
          <w:rStyle w:val="soitChar"/>
        </w:rPr>
        <w:t>La longueur totale des poutres et barres ayant la même section et les mêmes caractéristiques est comptabilisée.</w:t>
      </w:r>
    </w:p>
    <w:p w14:paraId="34761276" w14:textId="77777777" w:rsidR="00DB2B68" w:rsidRDefault="00000000">
      <w:pPr>
        <w:jc w:val="both"/>
      </w:pPr>
      <w:r>
        <w:rPr>
          <w:b/>
          <w:i/>
        </w:rPr>
        <w:lastRenderedPageBreak/>
        <w:t> (Soit)</w:t>
      </w:r>
    </w:p>
    <w:p w14:paraId="30AF1448" w14:textId="77777777" w:rsidR="00DB2B68" w:rsidRDefault="00000000">
      <w:pPr>
        <w:jc w:val="both"/>
      </w:pPr>
      <w:r>
        <w:rPr>
          <w:rStyle w:val="soitChar"/>
        </w:rPr>
        <w:t>3.    </w:t>
      </w:r>
      <w:r>
        <w:rPr>
          <w:rStyle w:val="soitChar"/>
          <w:u w:val="single"/>
        </w:rPr>
        <w:t>Quantité nette :</w:t>
      </w:r>
    </w:p>
    <w:p w14:paraId="47A9D8B6" w14:textId="77777777" w:rsidR="00DB2B68" w:rsidRDefault="00000000">
      <w:pPr>
        <w:jc w:val="both"/>
      </w:pPr>
      <w:r>
        <w:rPr>
          <w:rStyle w:val="soitChar"/>
        </w:rPr>
        <w:t>Le nombre de poutres et barres ayant les mêmes dimensions et les mêmes caractéristiques est compatibilisé.</w:t>
      </w:r>
    </w:p>
    <w:p w14:paraId="59EB8DB1" w14:textId="77777777" w:rsidR="00DB2B68" w:rsidRDefault="00000000">
      <w:pPr>
        <w:pStyle w:val="pheading"/>
      </w:pPr>
      <w:r>
        <w:t>- nature du marché:</w:t>
      </w:r>
    </w:p>
    <w:p w14:paraId="3CA79565" w14:textId="77777777" w:rsidR="00DB2B68" w:rsidRDefault="00000000">
      <w:r>
        <w:rPr>
          <w:rStyle w:val="optioncarChar"/>
        </w:rPr>
        <w:t>QF</w:t>
      </w:r>
      <w:r>
        <w:t> (par défaut) </w:t>
      </w:r>
      <w:r>
        <w:rPr>
          <w:rStyle w:val="optioncarChar"/>
        </w:rPr>
        <w:t>/ QP</w:t>
      </w:r>
    </w:p>
    <w:p w14:paraId="041B1238" w14:textId="77777777" w:rsidR="00DB2B68" w:rsidRDefault="00000000">
      <w:r>
        <w:rPr>
          <w:b/>
          <w:i/>
        </w:rPr>
        <w:t>(Soit par défaut)</w:t>
      </w:r>
    </w:p>
    <w:p w14:paraId="1D96AF9C" w14:textId="77777777" w:rsidR="00DB2B68" w:rsidRDefault="00000000">
      <w:r>
        <w:rPr>
          <w:rStyle w:val="soitChar"/>
        </w:rPr>
        <w:t>1.2.3     QF</w:t>
      </w:r>
    </w:p>
    <w:p w14:paraId="38DBAF2A" w14:textId="77777777" w:rsidR="00DB2B68" w:rsidRDefault="00000000">
      <w:r>
        <w:rPr>
          <w:b/>
          <w:i/>
        </w:rPr>
        <w:t>(Soit)</w:t>
      </w:r>
    </w:p>
    <w:p w14:paraId="5EDBC0A3" w14:textId="77777777" w:rsidR="00DB2B68" w:rsidRDefault="00000000">
      <w:r>
        <w:rPr>
          <w:rStyle w:val="soitChar"/>
        </w:rPr>
        <w:t>1.2.3     QP</w:t>
      </w:r>
    </w:p>
    <w:p w14:paraId="2F7A1A03" w14:textId="77777777" w:rsidR="00DB2B68" w:rsidRDefault="00000000">
      <w:pPr>
        <w:pStyle w:val="pheading"/>
      </w:pPr>
      <w:r>
        <w:t>AIDE</w:t>
      </w:r>
    </w:p>
    <w:p w14:paraId="7A44B509" w14:textId="77777777" w:rsidR="00DB2B68" w:rsidRDefault="00000000">
      <w:pPr>
        <w:jc w:val="both"/>
      </w:pPr>
      <w:r>
        <w:t>Le code suivant peut être utilisé pour la dénomination du poste :</w:t>
      </w:r>
    </w:p>
    <w:p w14:paraId="38E21334" w14:textId="77777777" w:rsidR="00DB2B68" w:rsidRDefault="00000000">
      <w:pPr>
        <w:jc w:val="both"/>
      </w:pPr>
      <w:r>
        <w:t>PSL 1 / 2 / 3 / 4 </w:t>
      </w:r>
    </w:p>
    <w:p w14:paraId="54079253" w14:textId="77777777" w:rsidR="00DB2B68" w:rsidRDefault="00000000">
      <w:pPr>
        <w:jc w:val="both"/>
      </w:pPr>
      <w:r>
        <w:t>Avec :</w:t>
      </w:r>
    </w:p>
    <w:p w14:paraId="41854B3A" w14:textId="77777777" w:rsidR="00DB2B68" w:rsidRDefault="00000000">
      <w:pPr>
        <w:jc w:val="both"/>
      </w:pPr>
      <w:r>
        <w:t>PSL pour bois laminated veneer lumber</w:t>
      </w:r>
    </w:p>
    <w:p w14:paraId="31A3B814" w14:textId="77777777" w:rsidR="00DB2B68" w:rsidRDefault="00000000">
      <w:pPr>
        <w:jc w:val="both"/>
      </w:pPr>
      <w:r>
        <w:t>1 : section de la colonne</w:t>
      </w:r>
    </w:p>
    <w:p w14:paraId="70D9A018" w14:textId="77777777" w:rsidR="00DB2B68" w:rsidRDefault="00000000">
      <w:pPr>
        <w:jc w:val="both"/>
      </w:pPr>
      <w:r>
        <w:t>2 : L’essence utilisée</w:t>
      </w:r>
    </w:p>
    <w:p w14:paraId="67DFA7D6" w14:textId="77777777" w:rsidR="00DB2B68" w:rsidRDefault="00000000">
      <w:pPr>
        <w:jc w:val="both"/>
      </w:pPr>
      <w:r>
        <w:t>3 : la classe d’emploi des poutres et barres</w:t>
      </w:r>
    </w:p>
    <w:p w14:paraId="0A36A4F9" w14:textId="77777777" w:rsidR="00DB2B68" w:rsidRDefault="00000000">
      <w:pPr>
        <w:jc w:val="both"/>
      </w:pPr>
      <w:r>
        <w:t>4 : la méthode utilisée pour garantir la durabilité des poutres et barres</w:t>
      </w:r>
    </w:p>
    <w:p w14:paraId="6D638AF8" w14:textId="77777777" w:rsidR="00DB2B68" w:rsidRDefault="00000000">
      <w:pPr>
        <w:jc w:val="both"/>
      </w:pPr>
      <w:r>
        <w:t> </w:t>
      </w:r>
    </w:p>
    <w:p w14:paraId="1ED733DF" w14:textId="77777777" w:rsidR="00DB2B68" w:rsidRDefault="00000000">
      <w:pPr>
        <w:jc w:val="both"/>
      </w:pPr>
      <w:r>
        <w:t>Ce qui donne, par exemple :</w:t>
      </w:r>
    </w:p>
    <w:p w14:paraId="40EDBB84" w14:textId="77777777" w:rsidR="00DB2B68" w:rsidRDefault="00000000">
      <w:pPr>
        <w:jc w:val="both"/>
      </w:pPr>
      <w:r>
        <w:t>PSL voir plan / épicéa / 2 / A2.2</w:t>
      </w:r>
    </w:p>
    <w:p w14:paraId="7B3F980F" w14:textId="77777777" w:rsidR="00DB2B68" w:rsidRDefault="00000000">
      <w:pPr>
        <w:pStyle w:val="Author-eSectionHeading5Numberless"/>
      </w:pPr>
      <w:bookmarkStart w:id="1613" w:name="_Toc220496603"/>
      <w:r>
        <w:t>24.13.8 Poutres et barres faites de produits manufacturés en bois CCTB 01.07</w:t>
      </w:r>
      <w:bookmarkEnd w:id="1613"/>
    </w:p>
    <w:p w14:paraId="51B960DF" w14:textId="77777777" w:rsidR="00DB2B68" w:rsidRDefault="00000000">
      <w:pPr>
        <w:pStyle w:val="Author-eSectionHeading6Numberless"/>
      </w:pPr>
      <w:bookmarkStart w:id="1614" w:name="_Toc220496604"/>
      <w:r>
        <w:t>24.13.8a Poutres et barres faites de profilés en I à âme en bois CCTB 01.07</w:t>
      </w:r>
      <w:bookmarkEnd w:id="1614"/>
    </w:p>
    <w:p w14:paraId="4FC63ABB" w14:textId="77777777" w:rsidR="00DB2B68" w:rsidRDefault="00000000">
      <w:pPr>
        <w:pStyle w:val="pheading"/>
      </w:pPr>
      <w:r>
        <w:t>MESURAGE</w:t>
      </w:r>
    </w:p>
    <w:p w14:paraId="02C7EB1C" w14:textId="77777777" w:rsidR="00DB2B68" w:rsidRDefault="00000000">
      <w:pPr>
        <w:pStyle w:val="pheading"/>
      </w:pPr>
      <w:r>
        <w:t>- unité de mesure:</w:t>
      </w:r>
    </w:p>
    <w:p w14:paraId="4A93361C" w14:textId="77777777" w:rsidR="00DB2B68" w:rsidRDefault="00000000">
      <w:r>
        <w:rPr>
          <w:rStyle w:val="optioncarChar"/>
        </w:rPr>
        <w:t xml:space="preserve">m </w:t>
      </w:r>
      <w:r>
        <w:t>(par défaut)</w:t>
      </w:r>
      <w:r>
        <w:rPr>
          <w:rStyle w:val="optioncarChar"/>
        </w:rPr>
        <w:t xml:space="preserve"> / pc</w:t>
      </w:r>
    </w:p>
    <w:p w14:paraId="0C8FBF12" w14:textId="77777777" w:rsidR="00DB2B68" w:rsidRDefault="00000000">
      <w:r>
        <w:rPr>
          <w:b/>
          <w:i/>
        </w:rPr>
        <w:t>(Soit par défaut)</w:t>
      </w:r>
    </w:p>
    <w:p w14:paraId="01A1D96E" w14:textId="77777777" w:rsidR="00DB2B68" w:rsidRDefault="00000000">
      <w:r>
        <w:rPr>
          <w:rStyle w:val="soitChar"/>
        </w:rPr>
        <w:t>1.    m </w:t>
      </w:r>
    </w:p>
    <w:p w14:paraId="391EF3CE" w14:textId="77777777" w:rsidR="00DB2B68" w:rsidRDefault="00000000">
      <w:r>
        <w:rPr>
          <w:b/>
          <w:i/>
        </w:rPr>
        <w:t>(Soit)</w:t>
      </w:r>
    </w:p>
    <w:p w14:paraId="737BEB11" w14:textId="77777777" w:rsidR="00DB2B68" w:rsidRDefault="00000000">
      <w:r>
        <w:rPr>
          <w:rStyle w:val="soitChar"/>
        </w:rPr>
        <w:t>2.    pc</w:t>
      </w:r>
    </w:p>
    <w:p w14:paraId="73F5F08C" w14:textId="77777777" w:rsidR="00DB2B68" w:rsidRDefault="00000000">
      <w:pPr>
        <w:pStyle w:val="pheading"/>
      </w:pPr>
      <w:r>
        <w:t>- code de mesurage:</w:t>
      </w:r>
    </w:p>
    <w:p w14:paraId="3D1A10FD" w14:textId="77777777" w:rsidR="00DB2B68" w:rsidRDefault="00000000">
      <w:pPr>
        <w:jc w:val="both"/>
      </w:pPr>
      <w:r>
        <w:rPr>
          <w:rStyle w:val="optioncarChar"/>
        </w:rPr>
        <w:t xml:space="preserve">Longueur brute </w:t>
      </w:r>
      <w:r>
        <w:t>(par défaut)</w:t>
      </w:r>
      <w:r>
        <w:rPr>
          <w:rStyle w:val="optioncarChar"/>
        </w:rPr>
        <w:t xml:space="preserve"> / Quantité nette</w:t>
      </w:r>
    </w:p>
    <w:p w14:paraId="2C0A8391" w14:textId="77777777" w:rsidR="00DB2B68" w:rsidRDefault="00000000">
      <w:pPr>
        <w:jc w:val="both"/>
      </w:pPr>
      <w:r>
        <w:rPr>
          <w:b/>
          <w:i/>
        </w:rPr>
        <w:t>(Soit par défaut)</w:t>
      </w:r>
    </w:p>
    <w:p w14:paraId="2A661A5C" w14:textId="77777777" w:rsidR="00DB2B68" w:rsidRDefault="00000000">
      <w:pPr>
        <w:jc w:val="both"/>
      </w:pPr>
      <w:r>
        <w:rPr>
          <w:rStyle w:val="soitChar"/>
        </w:rPr>
        <w:t xml:space="preserve">1.    </w:t>
      </w:r>
      <w:r>
        <w:rPr>
          <w:rStyle w:val="soitChar"/>
          <w:u w:val="single"/>
        </w:rPr>
        <w:t>Longueur brute :</w:t>
      </w:r>
    </w:p>
    <w:p w14:paraId="2A0DF63E" w14:textId="77777777" w:rsidR="00DB2B68" w:rsidRDefault="00000000">
      <w:pPr>
        <w:jc w:val="both"/>
      </w:pPr>
      <w:r>
        <w:rPr>
          <w:rStyle w:val="soitChar"/>
        </w:rPr>
        <w:t>La longueur brute d’un élément est la cote maximale dans la direction longitudinale, longueur de bois utile pour l’assemblage comprise.</w:t>
      </w:r>
    </w:p>
    <w:p w14:paraId="74AC728D" w14:textId="77777777" w:rsidR="00DB2B68" w:rsidRDefault="00000000">
      <w:pPr>
        <w:jc w:val="both"/>
      </w:pPr>
      <w:r>
        <w:rPr>
          <w:rStyle w:val="soitChar"/>
        </w:rPr>
        <w:t>La longueur totale des poutres et barres ayant la même section et les mêmes caractéristiques est comptabilisée.</w:t>
      </w:r>
    </w:p>
    <w:p w14:paraId="16B376BF" w14:textId="77777777" w:rsidR="00DB2B68" w:rsidRDefault="00000000">
      <w:pPr>
        <w:jc w:val="both"/>
      </w:pPr>
      <w:r>
        <w:rPr>
          <w:b/>
          <w:i/>
        </w:rPr>
        <w:lastRenderedPageBreak/>
        <w:t> (Soit)</w:t>
      </w:r>
    </w:p>
    <w:p w14:paraId="7DDF4A09" w14:textId="77777777" w:rsidR="00DB2B68" w:rsidRDefault="00000000">
      <w:pPr>
        <w:jc w:val="both"/>
      </w:pPr>
      <w:r>
        <w:rPr>
          <w:rStyle w:val="soitChar"/>
        </w:rPr>
        <w:t>2.   </w:t>
      </w:r>
      <w:r>
        <w:rPr>
          <w:rStyle w:val="soitChar"/>
          <w:u w:val="single"/>
        </w:rPr>
        <w:t xml:space="preserve"> Quantité nette :</w:t>
      </w:r>
    </w:p>
    <w:p w14:paraId="7A283480" w14:textId="77777777" w:rsidR="00DB2B68" w:rsidRDefault="00000000">
      <w:pPr>
        <w:jc w:val="both"/>
      </w:pPr>
      <w:r>
        <w:rPr>
          <w:rStyle w:val="soitChar"/>
        </w:rPr>
        <w:t>Le nombre de poutres et barres ayant les mêmes dimensions et les mêmes caractéristiques est compatibilisé.</w:t>
      </w:r>
    </w:p>
    <w:p w14:paraId="73730ECE" w14:textId="77777777" w:rsidR="00DB2B68" w:rsidRDefault="00000000">
      <w:pPr>
        <w:pStyle w:val="pheading"/>
      </w:pPr>
      <w:r>
        <w:t>- nature du marché:</w:t>
      </w:r>
    </w:p>
    <w:p w14:paraId="200BDBDD" w14:textId="77777777" w:rsidR="00DB2B68" w:rsidRDefault="00000000">
      <w:r>
        <w:rPr>
          <w:rStyle w:val="optioncarChar"/>
        </w:rPr>
        <w:t xml:space="preserve">QF </w:t>
      </w:r>
      <w:r>
        <w:t xml:space="preserve">(par défaut) </w:t>
      </w:r>
      <w:r>
        <w:rPr>
          <w:rStyle w:val="optioncarChar"/>
        </w:rPr>
        <w:t>/ QP</w:t>
      </w:r>
    </w:p>
    <w:p w14:paraId="01FE7DD6" w14:textId="77777777" w:rsidR="00DB2B68" w:rsidRDefault="00000000">
      <w:r>
        <w:rPr>
          <w:b/>
          <w:i/>
        </w:rPr>
        <w:t>(Soit par défaut)</w:t>
      </w:r>
    </w:p>
    <w:p w14:paraId="1B2E3856" w14:textId="77777777" w:rsidR="00DB2B68" w:rsidRDefault="00000000">
      <w:r>
        <w:rPr>
          <w:rStyle w:val="soitChar"/>
        </w:rPr>
        <w:t>1.     QF</w:t>
      </w:r>
    </w:p>
    <w:p w14:paraId="5733FA8F" w14:textId="77777777" w:rsidR="00DB2B68" w:rsidRDefault="00000000">
      <w:r>
        <w:rPr>
          <w:b/>
          <w:i/>
        </w:rPr>
        <w:t>(Soit)</w:t>
      </w:r>
    </w:p>
    <w:p w14:paraId="00201D17" w14:textId="77777777" w:rsidR="00DB2B68" w:rsidRDefault="00000000">
      <w:r>
        <w:rPr>
          <w:rStyle w:val="soitChar"/>
        </w:rPr>
        <w:t>2.     QP</w:t>
      </w:r>
    </w:p>
    <w:p w14:paraId="6B08A65D" w14:textId="77777777" w:rsidR="00DB2B68" w:rsidRDefault="00000000">
      <w:pPr>
        <w:pStyle w:val="Author-eSectionHeading6Numberless"/>
      </w:pPr>
      <w:bookmarkStart w:id="1615" w:name="_Toc220496605"/>
      <w:r>
        <w:t>24.13.8b Poutres et barres faites de profilés en I à âmes en métal CCTB 01.07</w:t>
      </w:r>
      <w:bookmarkEnd w:id="1615"/>
    </w:p>
    <w:p w14:paraId="45E321AA" w14:textId="77777777" w:rsidR="00DB2B68" w:rsidRDefault="00000000">
      <w:pPr>
        <w:pStyle w:val="pheading"/>
      </w:pPr>
      <w:r>
        <w:t>MESURAGE</w:t>
      </w:r>
    </w:p>
    <w:p w14:paraId="358F63EE" w14:textId="77777777" w:rsidR="00DB2B68" w:rsidRDefault="00000000">
      <w:pPr>
        <w:pStyle w:val="pheading"/>
      </w:pPr>
      <w:r>
        <w:t>- unité de mesure:</w:t>
      </w:r>
    </w:p>
    <w:p w14:paraId="58F96DE3" w14:textId="77777777" w:rsidR="00DB2B68" w:rsidRDefault="00000000">
      <w:r>
        <w:rPr>
          <w:rStyle w:val="optioncarChar"/>
        </w:rPr>
        <w:t>m </w:t>
      </w:r>
      <w:r>
        <w:t>(par défaut) </w:t>
      </w:r>
      <w:r>
        <w:rPr>
          <w:rStyle w:val="optioncarChar"/>
        </w:rPr>
        <w:t>/ pc</w:t>
      </w:r>
    </w:p>
    <w:p w14:paraId="73F981CA" w14:textId="77777777" w:rsidR="00DB2B68" w:rsidRDefault="00000000">
      <w:r>
        <w:rPr>
          <w:b/>
          <w:i/>
        </w:rPr>
        <w:t>(Soit par défaut)</w:t>
      </w:r>
    </w:p>
    <w:p w14:paraId="45F52AE7" w14:textId="77777777" w:rsidR="00DB2B68" w:rsidRDefault="00000000">
      <w:r>
        <w:rPr>
          <w:rStyle w:val="soitChar"/>
        </w:rPr>
        <w:t>1.    m </w:t>
      </w:r>
    </w:p>
    <w:p w14:paraId="697BB7F5" w14:textId="77777777" w:rsidR="00DB2B68" w:rsidRDefault="00000000">
      <w:r>
        <w:rPr>
          <w:b/>
          <w:i/>
        </w:rPr>
        <w:t>(Soit)</w:t>
      </w:r>
    </w:p>
    <w:p w14:paraId="4A4D1C40" w14:textId="77777777" w:rsidR="00DB2B68" w:rsidRDefault="00000000">
      <w:r>
        <w:rPr>
          <w:rStyle w:val="soitChar"/>
        </w:rPr>
        <w:t>2.    pc</w:t>
      </w:r>
    </w:p>
    <w:p w14:paraId="0B41B2D2" w14:textId="77777777" w:rsidR="00DB2B68" w:rsidRDefault="00000000">
      <w:pPr>
        <w:pStyle w:val="pheading"/>
      </w:pPr>
      <w:r>
        <w:t>- code de mesurage:</w:t>
      </w:r>
    </w:p>
    <w:p w14:paraId="7275E785" w14:textId="77777777" w:rsidR="00DB2B68" w:rsidRDefault="00000000">
      <w:pPr>
        <w:jc w:val="both"/>
      </w:pPr>
      <w:r>
        <w:rPr>
          <w:rStyle w:val="optioncarChar"/>
        </w:rPr>
        <w:t>Longueur brute</w:t>
      </w:r>
      <w:r>
        <w:t> (par défaut) </w:t>
      </w:r>
      <w:r>
        <w:rPr>
          <w:rStyle w:val="optioncarChar"/>
        </w:rPr>
        <w:t>/ Quantité nette</w:t>
      </w:r>
    </w:p>
    <w:p w14:paraId="303FD33A" w14:textId="77777777" w:rsidR="00DB2B68" w:rsidRDefault="00000000">
      <w:pPr>
        <w:jc w:val="both"/>
      </w:pPr>
      <w:r>
        <w:rPr>
          <w:b/>
          <w:i/>
        </w:rPr>
        <w:t>(Soit par défaut)</w:t>
      </w:r>
    </w:p>
    <w:p w14:paraId="1B971FEE" w14:textId="77777777" w:rsidR="00DB2B68" w:rsidRDefault="00000000">
      <w:pPr>
        <w:jc w:val="both"/>
      </w:pPr>
      <w:r>
        <w:rPr>
          <w:rStyle w:val="soitChar"/>
        </w:rPr>
        <w:t>1.   </w:t>
      </w:r>
      <w:r>
        <w:rPr>
          <w:rStyle w:val="soitChar"/>
          <w:u w:val="single"/>
        </w:rPr>
        <w:t> Longueur brute :</w:t>
      </w:r>
    </w:p>
    <w:p w14:paraId="0FB0A85C" w14:textId="77777777" w:rsidR="00DB2B68" w:rsidRDefault="00000000">
      <w:pPr>
        <w:jc w:val="both"/>
      </w:pPr>
      <w:r>
        <w:rPr>
          <w:rStyle w:val="soitChar"/>
        </w:rPr>
        <w:t>La longueur brute d’un élément est la cote maximale dans la direction longitudinale, longueur de bois utile pour l’assemblage comprise.</w:t>
      </w:r>
    </w:p>
    <w:p w14:paraId="07377C0F" w14:textId="77777777" w:rsidR="00DB2B68" w:rsidRDefault="00000000">
      <w:pPr>
        <w:jc w:val="both"/>
      </w:pPr>
      <w:r>
        <w:rPr>
          <w:rStyle w:val="soitChar"/>
        </w:rPr>
        <w:t>La longueur totale des poutres et barres ayant la même section et les mêmes caractéristiques est comptabilisée.</w:t>
      </w:r>
    </w:p>
    <w:p w14:paraId="769F0C7C" w14:textId="77777777" w:rsidR="00DB2B68" w:rsidRDefault="00000000">
      <w:pPr>
        <w:jc w:val="both"/>
      </w:pPr>
      <w:r>
        <w:rPr>
          <w:b/>
          <w:i/>
        </w:rPr>
        <w:t> (Soit)</w:t>
      </w:r>
    </w:p>
    <w:p w14:paraId="4EAEE45C" w14:textId="77777777" w:rsidR="00DB2B68" w:rsidRDefault="00000000">
      <w:pPr>
        <w:jc w:val="both"/>
      </w:pPr>
      <w:r>
        <w:rPr>
          <w:rStyle w:val="soitChar"/>
        </w:rPr>
        <w:t>2.    </w:t>
      </w:r>
      <w:r>
        <w:rPr>
          <w:rStyle w:val="soitChar"/>
          <w:u w:val="single"/>
        </w:rPr>
        <w:t>Quantité nette :</w:t>
      </w:r>
    </w:p>
    <w:p w14:paraId="267B8C3E" w14:textId="77777777" w:rsidR="00DB2B68" w:rsidRDefault="00000000">
      <w:pPr>
        <w:jc w:val="both"/>
      </w:pPr>
      <w:r>
        <w:rPr>
          <w:rStyle w:val="soitChar"/>
        </w:rPr>
        <w:t>Le nombre de poutres et barres ayant les mêmes dimensions et les mêmes caractéristiques est compatibilisé.</w:t>
      </w:r>
    </w:p>
    <w:p w14:paraId="6CBFF2CC" w14:textId="77777777" w:rsidR="00DB2B68" w:rsidRDefault="00000000">
      <w:pPr>
        <w:pStyle w:val="pheading"/>
      </w:pPr>
      <w:r>
        <w:t>- nature du marché:</w:t>
      </w:r>
    </w:p>
    <w:p w14:paraId="1AD278DE" w14:textId="77777777" w:rsidR="00DB2B68" w:rsidRDefault="00000000">
      <w:r>
        <w:rPr>
          <w:rStyle w:val="optioncarChar"/>
        </w:rPr>
        <w:t>QF </w:t>
      </w:r>
      <w:r>
        <w:t>(par défaut)</w:t>
      </w:r>
      <w:r>
        <w:rPr>
          <w:rStyle w:val="optioncarChar"/>
        </w:rPr>
        <w:t> / QP</w:t>
      </w:r>
    </w:p>
    <w:p w14:paraId="1773A0C3" w14:textId="77777777" w:rsidR="00DB2B68" w:rsidRDefault="00000000">
      <w:r>
        <w:rPr>
          <w:b/>
          <w:i/>
        </w:rPr>
        <w:t>(Soit par défaut)</w:t>
      </w:r>
    </w:p>
    <w:p w14:paraId="49EB1096" w14:textId="77777777" w:rsidR="00DB2B68" w:rsidRDefault="00000000">
      <w:r>
        <w:rPr>
          <w:rStyle w:val="soitChar"/>
        </w:rPr>
        <w:t>1.     QF</w:t>
      </w:r>
    </w:p>
    <w:p w14:paraId="59E829BA" w14:textId="77777777" w:rsidR="00DB2B68" w:rsidRDefault="00000000">
      <w:r>
        <w:rPr>
          <w:b/>
          <w:i/>
        </w:rPr>
        <w:t>(Soit)</w:t>
      </w:r>
    </w:p>
    <w:p w14:paraId="3A95993D" w14:textId="77777777" w:rsidR="00DB2B68" w:rsidRDefault="00000000">
      <w:r>
        <w:rPr>
          <w:rStyle w:val="soitChar"/>
        </w:rPr>
        <w:t>2.     QP</w:t>
      </w:r>
    </w:p>
    <w:p w14:paraId="18249CBE" w14:textId="77777777" w:rsidR="00DB2B68" w:rsidRDefault="00000000">
      <w:pPr>
        <w:pStyle w:val="Author-eSectionHeading6Numberless"/>
      </w:pPr>
      <w:bookmarkStart w:id="1616" w:name="_Toc220496606"/>
      <w:r>
        <w:t>24.13.8c Poutres et barres faites de profilés en treillis à diagonales en bois CCTB 01.07</w:t>
      </w:r>
      <w:bookmarkEnd w:id="1616"/>
    </w:p>
    <w:p w14:paraId="4F9DE7DC" w14:textId="77777777" w:rsidR="00DB2B68" w:rsidRDefault="00000000">
      <w:pPr>
        <w:pStyle w:val="pheading"/>
      </w:pPr>
      <w:r>
        <w:t>MESURAGE</w:t>
      </w:r>
    </w:p>
    <w:p w14:paraId="77D4BDA8" w14:textId="77777777" w:rsidR="00DB2B68" w:rsidRDefault="00000000">
      <w:pPr>
        <w:pStyle w:val="pheading"/>
      </w:pPr>
      <w:r>
        <w:t>- unité de mesure:</w:t>
      </w:r>
    </w:p>
    <w:p w14:paraId="377CD4F6" w14:textId="77777777" w:rsidR="00DB2B68" w:rsidRDefault="00000000">
      <w:r>
        <w:rPr>
          <w:rStyle w:val="optioncarChar"/>
        </w:rPr>
        <w:lastRenderedPageBreak/>
        <w:t>m </w:t>
      </w:r>
      <w:r>
        <w:t>(par défaut) </w:t>
      </w:r>
      <w:r>
        <w:rPr>
          <w:rStyle w:val="optioncarChar"/>
        </w:rPr>
        <w:t>/ pc</w:t>
      </w:r>
    </w:p>
    <w:p w14:paraId="4B02AFD1" w14:textId="77777777" w:rsidR="00DB2B68" w:rsidRDefault="00000000">
      <w:r>
        <w:rPr>
          <w:b/>
          <w:i/>
        </w:rPr>
        <w:t>(Soit par défaut)</w:t>
      </w:r>
    </w:p>
    <w:p w14:paraId="411FC595" w14:textId="77777777" w:rsidR="00DB2B68" w:rsidRDefault="00000000">
      <w:r>
        <w:rPr>
          <w:rStyle w:val="soitChar"/>
        </w:rPr>
        <w:t>1.    m </w:t>
      </w:r>
    </w:p>
    <w:p w14:paraId="7AEBCB1A" w14:textId="77777777" w:rsidR="00DB2B68" w:rsidRDefault="00000000">
      <w:r>
        <w:rPr>
          <w:b/>
          <w:i/>
        </w:rPr>
        <w:t>(Soit)</w:t>
      </w:r>
    </w:p>
    <w:p w14:paraId="42DBACD1" w14:textId="77777777" w:rsidR="00DB2B68" w:rsidRDefault="00000000">
      <w:r>
        <w:rPr>
          <w:rStyle w:val="soitChar"/>
        </w:rPr>
        <w:t>2.    pc</w:t>
      </w:r>
    </w:p>
    <w:p w14:paraId="008197E2" w14:textId="77777777" w:rsidR="00DB2B68" w:rsidRDefault="00000000">
      <w:pPr>
        <w:pStyle w:val="pheading"/>
      </w:pPr>
      <w:r>
        <w:t>- code de mesurage:</w:t>
      </w:r>
    </w:p>
    <w:p w14:paraId="06AC774C" w14:textId="77777777" w:rsidR="00DB2B68" w:rsidRDefault="00000000">
      <w:pPr>
        <w:jc w:val="both"/>
      </w:pPr>
      <w:r>
        <w:rPr>
          <w:rStyle w:val="optioncarChar"/>
        </w:rPr>
        <w:t>Longueur brute </w:t>
      </w:r>
      <w:r>
        <w:t>(par défaut)</w:t>
      </w:r>
      <w:r>
        <w:rPr>
          <w:rStyle w:val="optioncarChar"/>
        </w:rPr>
        <w:t> / Quantité nette</w:t>
      </w:r>
    </w:p>
    <w:p w14:paraId="216948F2" w14:textId="77777777" w:rsidR="00DB2B68" w:rsidRDefault="00000000">
      <w:pPr>
        <w:jc w:val="both"/>
      </w:pPr>
      <w:r>
        <w:rPr>
          <w:b/>
          <w:i/>
        </w:rPr>
        <w:t>(Soit par défaut)</w:t>
      </w:r>
    </w:p>
    <w:p w14:paraId="5F2042F1" w14:textId="77777777" w:rsidR="00DB2B68" w:rsidRDefault="00000000">
      <w:pPr>
        <w:jc w:val="both"/>
      </w:pPr>
      <w:r>
        <w:rPr>
          <w:rStyle w:val="soitChar"/>
        </w:rPr>
        <w:t>1.    </w:t>
      </w:r>
      <w:r>
        <w:rPr>
          <w:rStyle w:val="soitChar"/>
          <w:u w:val="single"/>
        </w:rPr>
        <w:t>Longueur brute :</w:t>
      </w:r>
    </w:p>
    <w:p w14:paraId="73B503A2" w14:textId="77777777" w:rsidR="00DB2B68" w:rsidRDefault="00000000">
      <w:pPr>
        <w:jc w:val="both"/>
      </w:pPr>
      <w:r>
        <w:rPr>
          <w:rStyle w:val="soitChar"/>
        </w:rPr>
        <w:t>La longueur brute d’un élément est la cote maximale dans la direction longitudinale, longueur de bois utile pour l’assemblage comprise.</w:t>
      </w:r>
    </w:p>
    <w:p w14:paraId="02594B8D" w14:textId="77777777" w:rsidR="00DB2B68" w:rsidRDefault="00000000">
      <w:pPr>
        <w:jc w:val="both"/>
      </w:pPr>
      <w:r>
        <w:rPr>
          <w:rStyle w:val="soitChar"/>
        </w:rPr>
        <w:t>La longueur totale des poutres et barres ayant la même section et les mêmes caractéristiques est comptabilisée.</w:t>
      </w:r>
    </w:p>
    <w:p w14:paraId="36B410B4" w14:textId="77777777" w:rsidR="00DB2B68" w:rsidRDefault="00000000">
      <w:pPr>
        <w:jc w:val="both"/>
      </w:pPr>
      <w:r>
        <w:rPr>
          <w:b/>
          <w:i/>
        </w:rPr>
        <w:t> (Soit)</w:t>
      </w:r>
    </w:p>
    <w:p w14:paraId="34F190E0" w14:textId="77777777" w:rsidR="00DB2B68" w:rsidRDefault="00000000">
      <w:pPr>
        <w:jc w:val="both"/>
      </w:pPr>
      <w:r>
        <w:rPr>
          <w:rStyle w:val="soitChar"/>
        </w:rPr>
        <w:t>2.    </w:t>
      </w:r>
      <w:r>
        <w:rPr>
          <w:rStyle w:val="soitChar"/>
          <w:u w:val="single"/>
        </w:rPr>
        <w:t>Quantité nette :</w:t>
      </w:r>
    </w:p>
    <w:p w14:paraId="324FB6CB" w14:textId="77777777" w:rsidR="00DB2B68" w:rsidRDefault="00000000">
      <w:pPr>
        <w:jc w:val="both"/>
      </w:pPr>
      <w:r>
        <w:rPr>
          <w:rStyle w:val="soitChar"/>
        </w:rPr>
        <w:t>Le nombre de poutres et barres ayant les mêmes dimensions et les mêmes caractéristiques est compatibilisé.</w:t>
      </w:r>
    </w:p>
    <w:p w14:paraId="37246649" w14:textId="77777777" w:rsidR="00DB2B68" w:rsidRDefault="00000000">
      <w:pPr>
        <w:pStyle w:val="pheading"/>
      </w:pPr>
      <w:r>
        <w:t>- nature du marché:</w:t>
      </w:r>
    </w:p>
    <w:p w14:paraId="0A74BE83" w14:textId="77777777" w:rsidR="00DB2B68" w:rsidRDefault="00000000">
      <w:r>
        <w:rPr>
          <w:rStyle w:val="optioncarChar"/>
        </w:rPr>
        <w:t>QF</w:t>
      </w:r>
      <w:r>
        <w:t> (par défaut)</w:t>
      </w:r>
      <w:r>
        <w:rPr>
          <w:rStyle w:val="optioncarChar"/>
        </w:rPr>
        <w:t> / QP</w:t>
      </w:r>
    </w:p>
    <w:p w14:paraId="3BBD5FB6" w14:textId="77777777" w:rsidR="00DB2B68" w:rsidRDefault="00000000">
      <w:r>
        <w:rPr>
          <w:b/>
          <w:i/>
        </w:rPr>
        <w:t>(Soit par défaut)</w:t>
      </w:r>
    </w:p>
    <w:p w14:paraId="6B0DA4D4" w14:textId="77777777" w:rsidR="00DB2B68" w:rsidRDefault="00000000">
      <w:r>
        <w:rPr>
          <w:rStyle w:val="soitChar"/>
        </w:rPr>
        <w:t>1.     QF</w:t>
      </w:r>
    </w:p>
    <w:p w14:paraId="05793F72" w14:textId="77777777" w:rsidR="00DB2B68" w:rsidRDefault="00000000">
      <w:r>
        <w:rPr>
          <w:b/>
          <w:i/>
        </w:rPr>
        <w:t>(Soit)</w:t>
      </w:r>
    </w:p>
    <w:p w14:paraId="1783B795" w14:textId="77777777" w:rsidR="00DB2B68" w:rsidRDefault="00000000">
      <w:r>
        <w:rPr>
          <w:rStyle w:val="soitChar"/>
        </w:rPr>
        <w:t>2.     QP</w:t>
      </w:r>
    </w:p>
    <w:p w14:paraId="33268754" w14:textId="77777777" w:rsidR="00DB2B68" w:rsidRDefault="00000000">
      <w:pPr>
        <w:pStyle w:val="Author-eSectionHeading6Numberless"/>
      </w:pPr>
      <w:bookmarkStart w:id="1617" w:name="_Toc220496607"/>
      <w:r>
        <w:t>24.13.8d Poutres et barres faites de profilés en treillis à diagonales métalliques CCTB 01.07</w:t>
      </w:r>
      <w:bookmarkEnd w:id="1617"/>
    </w:p>
    <w:p w14:paraId="68225DD5" w14:textId="77777777" w:rsidR="00DB2B68" w:rsidRDefault="00000000">
      <w:pPr>
        <w:pStyle w:val="pheading"/>
      </w:pPr>
      <w:r>
        <w:t>MESURAGE</w:t>
      </w:r>
    </w:p>
    <w:p w14:paraId="097696B0" w14:textId="77777777" w:rsidR="00DB2B68" w:rsidRDefault="00000000">
      <w:pPr>
        <w:pStyle w:val="pheading"/>
      </w:pPr>
      <w:r>
        <w:t>- unité de mesure:</w:t>
      </w:r>
    </w:p>
    <w:p w14:paraId="257F9D67" w14:textId="77777777" w:rsidR="00DB2B68" w:rsidRDefault="00000000">
      <w:r>
        <w:rPr>
          <w:rStyle w:val="optioncarChar"/>
        </w:rPr>
        <w:t>m </w:t>
      </w:r>
      <w:r>
        <w:t>(par défaut) </w:t>
      </w:r>
      <w:r>
        <w:rPr>
          <w:rStyle w:val="optioncarChar"/>
        </w:rPr>
        <w:t>/ pc</w:t>
      </w:r>
    </w:p>
    <w:p w14:paraId="2BC64C7D" w14:textId="77777777" w:rsidR="00DB2B68" w:rsidRDefault="00000000">
      <w:r>
        <w:rPr>
          <w:b/>
          <w:i/>
        </w:rPr>
        <w:t>(Soit par défaut)</w:t>
      </w:r>
    </w:p>
    <w:p w14:paraId="7171299B" w14:textId="77777777" w:rsidR="00DB2B68" w:rsidRDefault="00000000">
      <w:r>
        <w:rPr>
          <w:rStyle w:val="soitChar"/>
        </w:rPr>
        <w:t>1.    m </w:t>
      </w:r>
    </w:p>
    <w:p w14:paraId="1D56031E" w14:textId="77777777" w:rsidR="00DB2B68" w:rsidRDefault="00000000">
      <w:r>
        <w:rPr>
          <w:b/>
          <w:i/>
        </w:rPr>
        <w:t>(Soit)</w:t>
      </w:r>
    </w:p>
    <w:p w14:paraId="07C24748" w14:textId="77777777" w:rsidR="00DB2B68" w:rsidRDefault="00000000">
      <w:r>
        <w:rPr>
          <w:rStyle w:val="soitChar"/>
        </w:rPr>
        <w:t>2.    pc</w:t>
      </w:r>
    </w:p>
    <w:p w14:paraId="43353D2B" w14:textId="77777777" w:rsidR="00DB2B68" w:rsidRDefault="00000000">
      <w:pPr>
        <w:pStyle w:val="pheading"/>
      </w:pPr>
      <w:r>
        <w:t>- code de mesurage:</w:t>
      </w:r>
    </w:p>
    <w:p w14:paraId="6C78744F" w14:textId="77777777" w:rsidR="00DB2B68" w:rsidRDefault="00000000">
      <w:pPr>
        <w:jc w:val="both"/>
      </w:pPr>
      <w:r>
        <w:rPr>
          <w:rStyle w:val="optioncarChar"/>
        </w:rPr>
        <w:t>Longueur brute </w:t>
      </w:r>
      <w:r>
        <w:t>(par défaut) </w:t>
      </w:r>
      <w:r>
        <w:rPr>
          <w:rStyle w:val="optioncarChar"/>
        </w:rPr>
        <w:t>/ Quantité nette</w:t>
      </w:r>
    </w:p>
    <w:p w14:paraId="6412E4CC" w14:textId="77777777" w:rsidR="00DB2B68" w:rsidRDefault="00000000">
      <w:pPr>
        <w:jc w:val="both"/>
      </w:pPr>
      <w:r>
        <w:rPr>
          <w:b/>
          <w:i/>
        </w:rPr>
        <w:t>(Soit par défaut)</w:t>
      </w:r>
    </w:p>
    <w:p w14:paraId="43E047BE" w14:textId="77777777" w:rsidR="00DB2B68" w:rsidRDefault="00000000">
      <w:pPr>
        <w:jc w:val="both"/>
      </w:pPr>
      <w:r>
        <w:rPr>
          <w:rStyle w:val="soitChar"/>
        </w:rPr>
        <w:t>1.   </w:t>
      </w:r>
      <w:r>
        <w:rPr>
          <w:rStyle w:val="soitChar"/>
          <w:u w:val="single"/>
        </w:rPr>
        <w:t> Longueur brute :</w:t>
      </w:r>
    </w:p>
    <w:p w14:paraId="0E2D1181" w14:textId="77777777" w:rsidR="00DB2B68" w:rsidRDefault="00000000">
      <w:pPr>
        <w:jc w:val="both"/>
      </w:pPr>
      <w:r>
        <w:rPr>
          <w:rStyle w:val="soitChar"/>
        </w:rPr>
        <w:t>La longueur brute d’un élément est la cote maximale dans la direction longitudinale, longueur de bois utile pour l’assemblage comprise.</w:t>
      </w:r>
    </w:p>
    <w:p w14:paraId="72052E4B" w14:textId="77777777" w:rsidR="00DB2B68" w:rsidRDefault="00000000">
      <w:pPr>
        <w:jc w:val="both"/>
      </w:pPr>
      <w:r>
        <w:rPr>
          <w:rStyle w:val="soitChar"/>
        </w:rPr>
        <w:t>La longueur totale des poutres et barres ayant la même section et les mêmes caractéristiques est comptabilisée.</w:t>
      </w:r>
    </w:p>
    <w:p w14:paraId="4BCDE86F" w14:textId="77777777" w:rsidR="00DB2B68" w:rsidRDefault="00000000">
      <w:pPr>
        <w:jc w:val="both"/>
      </w:pPr>
      <w:r>
        <w:rPr>
          <w:b/>
          <w:i/>
        </w:rPr>
        <w:t> (Soit)</w:t>
      </w:r>
    </w:p>
    <w:p w14:paraId="355AC776" w14:textId="77777777" w:rsidR="00DB2B68" w:rsidRDefault="00000000">
      <w:pPr>
        <w:jc w:val="both"/>
      </w:pPr>
      <w:r>
        <w:rPr>
          <w:rStyle w:val="soitChar"/>
        </w:rPr>
        <w:lastRenderedPageBreak/>
        <w:t>2.    </w:t>
      </w:r>
      <w:r>
        <w:rPr>
          <w:rStyle w:val="soitChar"/>
          <w:u w:val="single"/>
        </w:rPr>
        <w:t>Quantité nette :</w:t>
      </w:r>
    </w:p>
    <w:p w14:paraId="76A2CB3C" w14:textId="77777777" w:rsidR="00DB2B68" w:rsidRDefault="00000000">
      <w:pPr>
        <w:jc w:val="both"/>
      </w:pPr>
      <w:r>
        <w:rPr>
          <w:rStyle w:val="soitChar"/>
        </w:rPr>
        <w:t>Le nombre de poutres et barres ayant les mêmes dimensions et les mêmes caractéristiques est compatibilisé.</w:t>
      </w:r>
    </w:p>
    <w:p w14:paraId="5E5BC70A" w14:textId="77777777" w:rsidR="00DB2B68" w:rsidRDefault="00000000">
      <w:pPr>
        <w:pStyle w:val="pheading"/>
      </w:pPr>
      <w:r>
        <w:t>- nature du marché:</w:t>
      </w:r>
    </w:p>
    <w:p w14:paraId="01EFA96C" w14:textId="77777777" w:rsidR="00DB2B68" w:rsidRDefault="00000000">
      <w:r>
        <w:rPr>
          <w:rStyle w:val="optioncarChar"/>
        </w:rPr>
        <w:t>QF</w:t>
      </w:r>
      <w:r>
        <w:t> (par défaut)</w:t>
      </w:r>
      <w:r>
        <w:rPr>
          <w:rStyle w:val="optioncarChar"/>
        </w:rPr>
        <w:t> / QP</w:t>
      </w:r>
    </w:p>
    <w:p w14:paraId="62433F17" w14:textId="77777777" w:rsidR="00DB2B68" w:rsidRDefault="00000000">
      <w:r>
        <w:rPr>
          <w:b/>
          <w:i/>
        </w:rPr>
        <w:t>(Soit par défaut)</w:t>
      </w:r>
    </w:p>
    <w:p w14:paraId="48D851AA" w14:textId="77777777" w:rsidR="00DB2B68" w:rsidRDefault="00000000">
      <w:r>
        <w:rPr>
          <w:rStyle w:val="soitChar"/>
        </w:rPr>
        <w:t>1.     QF</w:t>
      </w:r>
    </w:p>
    <w:p w14:paraId="2DC1BE5A" w14:textId="77777777" w:rsidR="00DB2B68" w:rsidRDefault="00000000">
      <w:r>
        <w:rPr>
          <w:b/>
          <w:i/>
        </w:rPr>
        <w:t>(Soit)</w:t>
      </w:r>
    </w:p>
    <w:p w14:paraId="7CB04321" w14:textId="77777777" w:rsidR="00DB2B68" w:rsidRDefault="00000000">
      <w:r>
        <w:rPr>
          <w:rStyle w:val="soitChar"/>
        </w:rPr>
        <w:t>2.     QP</w:t>
      </w:r>
    </w:p>
    <w:p w14:paraId="110C5149" w14:textId="77777777" w:rsidR="00DB2B68" w:rsidRDefault="00000000">
      <w:pPr>
        <w:pStyle w:val="Author-eSectionHeading4Numberless"/>
      </w:pPr>
      <w:bookmarkStart w:id="1618" w:name="_Toc220496608"/>
      <w:r>
        <w:t>24.14 Planchers en bois CCTB 01.11</w:t>
      </w:r>
      <w:bookmarkEnd w:id="1618"/>
    </w:p>
    <w:p w14:paraId="20972095" w14:textId="77777777" w:rsidR="00DB2B68" w:rsidRDefault="00000000">
      <w:pPr>
        <w:pStyle w:val="pheading"/>
      </w:pPr>
      <w:r>
        <w:t>MATÉRIAUX</w:t>
      </w:r>
    </w:p>
    <w:p w14:paraId="60C9BD68" w14:textId="77777777" w:rsidR="00DB2B68" w:rsidRDefault="00000000">
      <w:pPr>
        <w:jc w:val="both"/>
      </w:pPr>
      <w:r>
        <w:rPr>
          <w:b/>
          <w:u w:val="single"/>
        </w:rPr>
        <w:t>Sécurité en cas d’incendie</w:t>
      </w:r>
    </w:p>
    <w:p w14:paraId="36743159" w14:textId="77777777" w:rsidR="00DB2B68" w:rsidRDefault="00000000">
      <w:pPr>
        <w:jc w:val="both"/>
      </w:pPr>
      <w:r>
        <w:t>Les exigences de réaction au feu et de résistance au feu des planchers en bois sont conformes aux lois, réglementations (fédérales, communautaires, régionales, communales) et dispositions administratives, applicables à l’utilisation finale.</w:t>
      </w:r>
    </w:p>
    <w:p w14:paraId="2295F2C2" w14:textId="77777777" w:rsidR="00DB2B68" w:rsidRDefault="00000000">
      <w:pPr>
        <w:jc w:val="both"/>
      </w:pPr>
      <w:r>
        <w:t>Note : Certaines dispositions réglementaires contiennent d’autres exigences que celles relatives à la résistance ou la réaction au feu.</w:t>
      </w:r>
    </w:p>
    <w:p w14:paraId="6D8EC4A1" w14:textId="77777777" w:rsidR="00DB2B68" w:rsidRDefault="00000000">
      <w:pPr>
        <w:pStyle w:val="Author-eListParagraph"/>
        <w:numPr>
          <w:ilvl w:val="0"/>
          <w:numId w:val="867"/>
        </w:numPr>
      </w:pPr>
      <w:r>
        <w:rPr>
          <w:b/>
        </w:rPr>
        <w:t>La réaction au feu</w:t>
      </w:r>
    </w:p>
    <w:p w14:paraId="191A519F" w14:textId="77777777" w:rsidR="00DB2B68" w:rsidRDefault="00000000">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14:paraId="21BA016D" w14:textId="77777777" w:rsidR="00DB2B68" w:rsidRDefault="00000000">
      <w:pPr>
        <w:jc w:val="both"/>
      </w:pPr>
      <w:r>
        <w:t>La classe de performance de réaction au feu du bois de structure (incluant le classement supplémentaire relatif à la production de fumée et aux gouttelettes/particules enflammées, s’il y a lieu) doit être déterminée conformément à la [NBN EN 14081-1:2016+A1] et déclarée conformément à la [NBN EN 13501-1]. La performance de réaction au feu des couches en panneaux à base de bois est déterminée conformément à la [NBN EN 13986+A1]. </w:t>
      </w:r>
    </w:p>
    <w:p w14:paraId="77D58311" w14:textId="77777777" w:rsidR="00DB2B68" w:rsidRDefault="0000000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17" w:history="1">
        <w:r>
          <w:rPr>
            <w:color w:val="0000EE"/>
          </w:rPr>
          <w:t>www.besafe.be</w:t>
        </w:r>
      </w:hyperlink>
      <w:r>
        <w:t>) et le site de l’Antenne-Normes Prévention incendie de Buildwise (</w:t>
      </w:r>
      <w:hyperlink r:id="rId18" w:history="1">
        <w:r>
          <w:rPr>
            <w:color w:val="0000EE"/>
          </w:rPr>
          <w:t>www.normes.be/feu</w:t>
        </w:r>
      </w:hyperlink>
      <w:r>
        <w:t>) peuvent être consultés.</w:t>
      </w:r>
    </w:p>
    <w:p w14:paraId="55122686" w14:textId="77777777" w:rsidR="00DB2B68" w:rsidRDefault="00000000">
      <w:pPr>
        <w:jc w:val="both"/>
      </w:pPr>
      <w:r>
        <w:t>Notes :</w:t>
      </w:r>
    </w:p>
    <w:p w14:paraId="345CCC8E" w14:textId="77777777" w:rsidR="00DB2B68" w:rsidRDefault="00000000">
      <w:pPr>
        <w:pStyle w:val="Author-eListParagraph"/>
        <w:numPr>
          <w:ilvl w:val="0"/>
          <w:numId w:val="868"/>
        </w:numPr>
      </w:pPr>
      <w:r>
        <w:t>Lorsque des exigences sont reprises dans les règlements officiels nationaux, régionaux ou autres, elles sont rendues obligatoires (= loi)</w:t>
      </w:r>
    </w:p>
    <w:p w14:paraId="6720304F" w14:textId="77777777" w:rsidR="00DB2B68" w:rsidRDefault="00000000">
      <w:pPr>
        <w:pStyle w:val="Author-eListParagraph"/>
        <w:numPr>
          <w:ilvl w:val="0"/>
          <w:numId w:val="868"/>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14:paraId="58EA46E6" w14:textId="77777777" w:rsidR="00DB2B68" w:rsidRDefault="00000000">
      <w:pPr>
        <w:jc w:val="both"/>
      </w:pPr>
      <w:r>
        <w:rPr>
          <w:i/>
        </w:rPr>
        <w:t>Pour améliorer la classe de réaction au feu, un traitement ignifuge peut être appliqué. L’entrepreneur informe le maître d’ouvrage de l’entretien nécessaire à exécuter pour assurer la performance du matériau.</w:t>
      </w:r>
    </w:p>
    <w:p w14:paraId="2EAEDD97" w14:textId="77777777" w:rsidR="00DB2B68" w:rsidRDefault="00000000">
      <w:pPr>
        <w:pStyle w:val="Author-eListParagraph"/>
        <w:numPr>
          <w:ilvl w:val="0"/>
          <w:numId w:val="869"/>
        </w:numPr>
      </w:pPr>
      <w:r>
        <w:rPr>
          <w:b/>
        </w:rPr>
        <w:t>La résistance au feu</w:t>
      </w:r>
    </w:p>
    <w:p w14:paraId="0577C340" w14:textId="77777777" w:rsidR="00DB2B68" w:rsidRDefault="00000000">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5E8A161C" w14:textId="77777777" w:rsidR="00DB2B68" w:rsidRDefault="00000000">
      <w:pPr>
        <w:jc w:val="both"/>
      </w:pPr>
      <w:r>
        <w:lastRenderedPageBreak/>
        <w:t>La référence principale est la [NBN EN 13501-2]. La performance doit être attestée suivant les modalités spécifiées dans l’arrêté royal.</w:t>
      </w:r>
    </w:p>
    <w:p w14:paraId="727F2249" w14:textId="77777777" w:rsidR="00DB2B68" w:rsidRDefault="00000000">
      <w:pPr>
        <w:jc w:val="both"/>
      </w:pPr>
      <w:r>
        <w:t>La résistance au feu est soit soumise à essai et déclarée conformément à la [NBN EN 13501-2] ou déterminée par calcul selon la [NBN EN 1995-1-2].</w:t>
      </w:r>
    </w:p>
    <w:p w14:paraId="12533CDD" w14:textId="77777777" w:rsidR="00DB2B68" w:rsidRDefault="00000000">
      <w:pPr>
        <w:jc w:val="both"/>
      </w:pPr>
      <w:r>
        <w:rPr>
          <w:b/>
          <w:u w:val="single"/>
        </w:rPr>
        <w:t>L’étanchéité à l’air</w:t>
      </w:r>
    </w:p>
    <w:p w14:paraId="1E52A4F5" w14:textId="77777777" w:rsidR="00DB2B68" w:rsidRDefault="00000000">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14:paraId="638F0718" w14:textId="77777777" w:rsidR="00DB2B68" w:rsidRDefault="00000000">
      <w:pPr>
        <w:jc w:val="both"/>
      </w:pPr>
      <w:r>
        <w:rPr>
          <w:b/>
          <w:u w:val="single"/>
        </w:rPr>
        <w:t>Durabilité</w:t>
      </w:r>
    </w:p>
    <w:p w14:paraId="0110177D" w14:textId="77777777" w:rsidR="00DB2B68" w:rsidRDefault="00000000">
      <w:pPr>
        <w:jc w:val="both"/>
      </w:pPr>
      <w:r>
        <w:t>La durabilité biologique des éléments de planchers en bois est garantie par :</w:t>
      </w:r>
    </w:p>
    <w:p w14:paraId="6161BBDF" w14:textId="77777777" w:rsidR="00DB2B68" w:rsidRDefault="00000000">
      <w:pPr>
        <w:pStyle w:val="Author-eListParagraph"/>
        <w:numPr>
          <w:ilvl w:val="0"/>
          <w:numId w:val="870"/>
        </w:numPr>
      </w:pPr>
      <w:r>
        <w:t>Soit par sa durabilité naturelle donnée conformément à la [NBN EN 350-2], Cette classe inclut la présence d’aubier.</w:t>
      </w:r>
    </w:p>
    <w:p w14:paraId="7D715352" w14:textId="77777777" w:rsidR="00DB2B68" w:rsidRDefault="00000000">
      <w:pPr>
        <w:pStyle w:val="Author-eListParagraph"/>
        <w:numPr>
          <w:ilvl w:val="0"/>
          <w:numId w:val="870"/>
        </w:numPr>
      </w:pPr>
      <w:r>
        <w:t>Soit par traitement de préservation. Le traitement de préservation utilisé est conforme à la [NBN EN 15228]. Le traitement est appliqué sur chaque lame ou sur la paroi complète.</w:t>
      </w:r>
    </w:p>
    <w:p w14:paraId="7F965903" w14:textId="77777777" w:rsidR="00DB2B68" w:rsidRDefault="00000000">
      <w:pPr>
        <w:jc w:val="both"/>
      </w:pPr>
      <w:r>
        <w:t>La durabilité des éléments de plancher à base de bois est déterminée conformément à la [NBN EN 13986+A1].</w:t>
      </w:r>
    </w:p>
    <w:p w14:paraId="45E1BB68" w14:textId="77777777" w:rsidR="00DB2B68" w:rsidRDefault="00000000">
      <w:pPr>
        <w:ind w:left="750"/>
      </w:pPr>
      <w:r>
        <w:t> </w:t>
      </w:r>
    </w:p>
    <w:p w14:paraId="7FDF4D3C" w14:textId="77777777" w:rsidR="00DB2B68" w:rsidRDefault="00000000">
      <w:pPr>
        <w:pStyle w:val="Author-eSectionHeading5Numberless"/>
      </w:pPr>
      <w:bookmarkStart w:id="1619" w:name="_Toc220496609"/>
      <w:r>
        <w:t>24.14.1 Planchers en CLT CCTB 01.11</w:t>
      </w:r>
      <w:bookmarkEnd w:id="1619"/>
    </w:p>
    <w:p w14:paraId="34A2E970" w14:textId="77777777" w:rsidR="00DB2B68" w:rsidRDefault="00000000">
      <w:pPr>
        <w:pStyle w:val="pheading"/>
      </w:pPr>
      <w:r>
        <w:t>DESCRIPTION</w:t>
      </w:r>
    </w:p>
    <w:p w14:paraId="68E2443A" w14:textId="77777777" w:rsidR="00DB2B68" w:rsidRDefault="00000000">
      <w:pPr>
        <w:pStyle w:val="pheading"/>
      </w:pPr>
      <w:r>
        <w:t>- Définition / Comprend</w:t>
      </w:r>
    </w:p>
    <w:p w14:paraId="4B605D68" w14:textId="77777777" w:rsidR="00DB2B68" w:rsidRDefault="00000000">
      <w:pPr>
        <w:jc w:val="both"/>
      </w:pPr>
      <w:r>
        <w:t>Il s’agit de la fourniture et la pose de tous les éléments constitués de panneaux lamellés croisés en bois ou à base de bois constituant les systèmes de construction CLT portants et non portants, y compris toutes les pièces qui en font intrinsèquement partie (permettant notamment la pose des panneaux).</w:t>
      </w:r>
    </w:p>
    <w:p w14:paraId="4AEC2DAE" w14:textId="77777777" w:rsidR="00DB2B68" w:rsidRDefault="00000000">
      <w:pPr>
        <w:jc w:val="both"/>
      </w:pPr>
      <w:r>
        <w:t>Les panneaux sont composés de plusieurs plis (couches) des lamelles bois. Chaque couche est croisée avec un angle variant de 45 à 90°. Certains plis peuvent être composés de panneaux en bois ou à base de bois. </w:t>
      </w:r>
    </w:p>
    <w:p w14:paraId="61A15050" w14:textId="77777777" w:rsidR="00DB2B68" w:rsidRDefault="00000000">
      <w:pPr>
        <w:jc w:val="both"/>
      </w:pPr>
      <w:r>
        <w:t>On distingue les panneaux CLT par leurs méthodes d’assemblage des plis (lamelles).</w:t>
      </w:r>
    </w:p>
    <w:p w14:paraId="049300AE" w14:textId="77777777" w:rsidR="00DB2B68" w:rsidRDefault="00000000">
      <w:pPr>
        <w:pStyle w:val="pheading"/>
      </w:pPr>
      <w:r>
        <w:t>- Remarques importantes</w:t>
      </w:r>
    </w:p>
    <w:p w14:paraId="168DD11B" w14:textId="77777777" w:rsidR="00DB2B68" w:rsidRDefault="00000000">
      <w:pPr>
        <w:jc w:val="both"/>
      </w:pPr>
      <w:r>
        <w:t>Seuls les panneaux lamellés croisés collés en résineux ou peuplier disposent d’un marquage de produit.</w:t>
      </w:r>
    </w:p>
    <w:p w14:paraId="599BADA2" w14:textId="77777777" w:rsidR="00DB2B68" w:rsidRDefault="00000000">
      <w:pPr>
        <w:pStyle w:val="pheading"/>
      </w:pPr>
      <w:r>
        <w:t>MATÉRIAUX</w:t>
      </w:r>
    </w:p>
    <w:p w14:paraId="4460FBDD" w14:textId="77777777" w:rsidR="00DB2B68" w:rsidRDefault="00000000">
      <w:pPr>
        <w:jc w:val="both"/>
      </w:pPr>
      <w:r>
        <w:t>Les lames composant les panneaux sont définies conformément aux exigences de la [NBN EN 14081-1:2016+A1].</w:t>
      </w:r>
    </w:p>
    <w:p w14:paraId="57AB2939" w14:textId="77777777" w:rsidR="00DB2B68" w:rsidRDefault="00000000">
      <w:pPr>
        <w:jc w:val="both"/>
      </w:pPr>
      <w:r>
        <w:t>Les panneaux de particules composant les panneaux CLT sont définis conformément à la [NBN EN 312].</w:t>
      </w:r>
    </w:p>
    <w:p w14:paraId="5C5944AD" w14:textId="77777777" w:rsidR="00DB2B68" w:rsidRDefault="00000000">
      <w:pPr>
        <w:jc w:val="both"/>
      </w:pPr>
      <w:r>
        <w:t>Les panneaux de contreplaqué composant les panneaux CLT sont définis conformément à la [NBN EN 636+A1].</w:t>
      </w:r>
    </w:p>
    <w:p w14:paraId="67AC79EF" w14:textId="77777777" w:rsidR="00DB2B68" w:rsidRDefault="00000000">
      <w:pPr>
        <w:jc w:val="both"/>
      </w:pPr>
      <w:r>
        <w:t>Les panneaux de fibres composant les panneaux CLT sont définis conformément à la [NBN EN 622-5].</w:t>
      </w:r>
    </w:p>
    <w:p w14:paraId="5ECEC4E7" w14:textId="77777777" w:rsidR="00DB2B68" w:rsidRDefault="00000000">
      <w:pPr>
        <w:jc w:val="both"/>
      </w:pPr>
      <w:r>
        <w:t>Les panneaux d’OSB composant les panneaux CLT sont définis conformément à la [NBN EN 300].</w:t>
      </w:r>
    </w:p>
    <w:p w14:paraId="3D64AE28" w14:textId="77777777" w:rsidR="00DB2B68" w:rsidRDefault="00000000">
      <w:pPr>
        <w:jc w:val="both"/>
      </w:pPr>
      <w:r>
        <w:t>Les exigences des lames de bois sont déterminées sur base de contrôles visuels conformément à la [NBN EN 338] ou par essais de type initiaux conformément aux [NBN EN 14081-2:2018+A1] et [NBN EN 14081-3].</w:t>
      </w:r>
    </w:p>
    <w:p w14:paraId="5A79FF02" w14:textId="77777777" w:rsidR="00DB2B68" w:rsidRDefault="00000000">
      <w:pPr>
        <w:jc w:val="both"/>
      </w:pPr>
      <w:r>
        <w:t>Chaque pli (couche)- de lames de bois dans les panneaux CLT est constitué de lamelles d'une seule classe de résistance</w:t>
      </w:r>
    </w:p>
    <w:p w14:paraId="1538DEB3" w14:textId="77777777" w:rsidR="00DB2B68" w:rsidRDefault="00000000">
      <w:pPr>
        <w:jc w:val="both"/>
      </w:pPr>
      <w:r>
        <w:rPr>
          <w:b/>
          <w:u w:val="single"/>
        </w:rPr>
        <w:lastRenderedPageBreak/>
        <w:t>L’esthétique</w:t>
      </w:r>
    </w:p>
    <w:p w14:paraId="41C42CE1" w14:textId="77777777" w:rsidR="00DB2B68" w:rsidRDefault="00000000">
      <w:pPr>
        <w:jc w:val="both"/>
      </w:pPr>
      <w:r>
        <w:t>L’esthétique d’un élément s’entend comme étant l’aspect de ses faces visibles. Il faut donc toujours préciser la qualité visible souhaitée pour les deux faces de l’élément.</w:t>
      </w:r>
    </w:p>
    <w:p w14:paraId="1DFA81E4" w14:textId="77777777" w:rsidR="00DB2B68" w:rsidRDefault="00000000">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14:paraId="2E55CC9D" w14:textId="77777777" w:rsidR="00DB2B68" w:rsidRDefault="00000000">
      <w:pPr>
        <w:jc w:val="both"/>
      </w:pPr>
      <w:r>
        <w:t>Les critères d’aspect pris en compte par les fabricants sont :</w:t>
      </w:r>
    </w:p>
    <w:p w14:paraId="2C977323" w14:textId="77777777" w:rsidR="00DB2B68" w:rsidRDefault="00000000">
      <w:pPr>
        <w:pStyle w:val="Author-eListParagraph"/>
        <w:numPr>
          <w:ilvl w:val="0"/>
          <w:numId w:val="871"/>
        </w:numPr>
      </w:pPr>
      <w:r>
        <w:t>Quantité de nœuds ;</w:t>
      </w:r>
    </w:p>
    <w:p w14:paraId="4928BFDC" w14:textId="77777777" w:rsidR="00DB2B68" w:rsidRDefault="00000000">
      <w:pPr>
        <w:pStyle w:val="Author-eListParagraph"/>
        <w:numPr>
          <w:ilvl w:val="0"/>
          <w:numId w:val="871"/>
        </w:numPr>
      </w:pPr>
      <w:r>
        <w:t>Type de nœuds (adhérents, non-adhérents, …) ;</w:t>
      </w:r>
    </w:p>
    <w:p w14:paraId="3B5532F7" w14:textId="77777777" w:rsidR="00DB2B68" w:rsidRDefault="00000000">
      <w:pPr>
        <w:pStyle w:val="Author-eListParagraph"/>
        <w:numPr>
          <w:ilvl w:val="0"/>
          <w:numId w:val="871"/>
        </w:numPr>
      </w:pPr>
      <w:r>
        <w:t>Bleuissement, échauffure ;</w:t>
      </w:r>
    </w:p>
    <w:p w14:paraId="4E90F19D" w14:textId="77777777" w:rsidR="00DB2B68" w:rsidRDefault="00000000">
      <w:pPr>
        <w:pStyle w:val="Author-eListParagraph"/>
        <w:numPr>
          <w:ilvl w:val="0"/>
          <w:numId w:val="871"/>
        </w:numPr>
      </w:pPr>
      <w:r>
        <w:t>Collage ou non des chants ;</w:t>
      </w:r>
    </w:p>
    <w:p w14:paraId="2992039B" w14:textId="77777777" w:rsidR="00DB2B68" w:rsidRDefault="00000000">
      <w:pPr>
        <w:pStyle w:val="Author-eListParagraph"/>
        <w:numPr>
          <w:ilvl w:val="0"/>
          <w:numId w:val="871"/>
        </w:numPr>
      </w:pPr>
      <w:r>
        <w:t>Etat de surface (poncée/non-poncée) ;</w:t>
      </w:r>
    </w:p>
    <w:p w14:paraId="61A1168A" w14:textId="77777777" w:rsidR="00DB2B68" w:rsidRDefault="00000000">
      <w:pPr>
        <w:pStyle w:val="Author-eListParagraph"/>
        <w:numPr>
          <w:ilvl w:val="0"/>
          <w:numId w:val="871"/>
        </w:numPr>
      </w:pPr>
      <w:r>
        <w:t>Dépassement de colle ;</w:t>
      </w:r>
    </w:p>
    <w:p w14:paraId="7BEAA60A" w14:textId="77777777" w:rsidR="00DB2B68" w:rsidRDefault="00000000">
      <w:pPr>
        <w:pStyle w:val="Author-eListParagraph"/>
        <w:numPr>
          <w:ilvl w:val="0"/>
          <w:numId w:val="871"/>
        </w:numPr>
      </w:pPr>
      <w:r>
        <w:t>…</w:t>
      </w:r>
    </w:p>
    <w:p w14:paraId="73F0BBC6" w14:textId="77777777" w:rsidR="00DB2B68" w:rsidRDefault="00000000">
      <w:pPr>
        <w:jc w:val="both"/>
      </w:pPr>
      <w:r>
        <w:t>Des classes visuelles couramment utilisées sont définies ci-dessous.</w:t>
      </w:r>
    </w:p>
    <w:p w14:paraId="75609BBA" w14:textId="77777777" w:rsidR="00DB2B68" w:rsidRDefault="00000000">
      <w:pPr>
        <w:jc w:val="both"/>
      </w:pPr>
      <w:r>
        <w:rPr>
          <w:u w:val="single"/>
        </w:rPr>
        <w:t>Non-visible</w:t>
      </w:r>
    </w:p>
    <w:p w14:paraId="16433811" w14:textId="77777777" w:rsidR="00DB2B68" w:rsidRDefault="00000000">
      <w:pPr>
        <w:jc w:val="both"/>
      </w:pPr>
      <w:r>
        <w:t>Présence de nœuds sautés, de bords non jointifs, etc. sans altération des caractéristiques mécaniques.</w:t>
      </w:r>
    </w:p>
    <w:p w14:paraId="2BCAA3A4" w14:textId="77777777" w:rsidR="00DB2B68" w:rsidRDefault="00000000">
      <w:pPr>
        <w:jc w:val="both"/>
      </w:pPr>
      <w:r>
        <w:t>Les critères suivants sont respectés :</w:t>
      </w:r>
    </w:p>
    <w:p w14:paraId="17F49EA7" w14:textId="77777777" w:rsidR="00DB2B68" w:rsidRDefault="00000000">
      <w:pPr>
        <w:pStyle w:val="Author-eListParagraph"/>
        <w:numPr>
          <w:ilvl w:val="0"/>
          <w:numId w:val="872"/>
        </w:numPr>
      </w:pPr>
      <w:r>
        <w:t>Joints ouverts ≤3mm</w:t>
      </w:r>
    </w:p>
    <w:p w14:paraId="1E771881" w14:textId="77777777" w:rsidR="00DB2B68" w:rsidRDefault="00000000">
      <w:pPr>
        <w:pStyle w:val="Author-eListParagraph"/>
        <w:numPr>
          <w:ilvl w:val="0"/>
          <w:numId w:val="872"/>
        </w:numPr>
      </w:pPr>
      <w:r>
        <w:t>Bleuissement, poche de résine admis</w:t>
      </w:r>
    </w:p>
    <w:p w14:paraId="59F3CA4E" w14:textId="77777777" w:rsidR="00DB2B68" w:rsidRDefault="00000000">
      <w:pPr>
        <w:pStyle w:val="Author-eListParagraph"/>
        <w:numPr>
          <w:ilvl w:val="0"/>
          <w:numId w:val="872"/>
        </w:numPr>
      </w:pPr>
      <w:r>
        <w:t>Gerces admises</w:t>
      </w:r>
    </w:p>
    <w:p w14:paraId="78A4EA13" w14:textId="77777777" w:rsidR="00DB2B68" w:rsidRDefault="00000000">
      <w:pPr>
        <w:pStyle w:val="Author-eListParagraph"/>
        <w:numPr>
          <w:ilvl w:val="0"/>
          <w:numId w:val="872"/>
        </w:numPr>
      </w:pPr>
      <w:r>
        <w:t>Nœuds sains, noirs admis</w:t>
      </w:r>
    </w:p>
    <w:p w14:paraId="69B4CFA3" w14:textId="77777777" w:rsidR="00DB2B68" w:rsidRDefault="00000000">
      <w:pPr>
        <w:pStyle w:val="Author-eListParagraph"/>
        <w:numPr>
          <w:ilvl w:val="0"/>
          <w:numId w:val="872"/>
        </w:numPr>
      </w:pPr>
      <w:r>
        <w:t>Lames ayant fait l’objet d’attaque d’insecte avant composition de panneau non admis</w:t>
      </w:r>
    </w:p>
    <w:p w14:paraId="588EA06A" w14:textId="77777777" w:rsidR="00DB2B68" w:rsidRDefault="00000000">
      <w:pPr>
        <w:pStyle w:val="Author-eListParagraph"/>
        <w:numPr>
          <w:ilvl w:val="0"/>
          <w:numId w:val="872"/>
        </w:numPr>
      </w:pPr>
      <w:r>
        <w:t>Flaches ≤ 2 x 50 cm admis</w:t>
      </w:r>
    </w:p>
    <w:p w14:paraId="72ACFA8A" w14:textId="77777777" w:rsidR="00DB2B68" w:rsidRDefault="00000000">
      <w:pPr>
        <w:jc w:val="both"/>
      </w:pPr>
      <w:r>
        <w:rPr>
          <w:u w:val="single"/>
        </w:rPr>
        <w:t>Visible industrielle</w:t>
      </w:r>
    </w:p>
    <w:p w14:paraId="71147FE2" w14:textId="77777777" w:rsidR="00DB2B68" w:rsidRDefault="00000000">
      <w:pPr>
        <w:jc w:val="both"/>
      </w:pPr>
      <w:r>
        <w:t>La qualité de bois de la surface correspond à un aspect B selon la [NBN EN 13017-1]. Selon l’orientation de la surface, les lamelles peuvent être aboutées selon les cas.</w:t>
      </w:r>
    </w:p>
    <w:p w14:paraId="3A7AF5C4" w14:textId="77777777" w:rsidR="00DB2B68" w:rsidRDefault="00000000">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14:paraId="1A333300" w14:textId="77777777" w:rsidR="00DB2B68" w:rsidRDefault="00000000">
      <w:pPr>
        <w:jc w:val="both"/>
      </w:pPr>
      <w:r>
        <w:t>Avec une humidité de bois de 12% (+/-2%), la largeur maximale du joint est de 4mm. Le choix de la largeur des lamelles appartient au fabricant.</w:t>
      </w:r>
    </w:p>
    <w:p w14:paraId="393855D3" w14:textId="77777777" w:rsidR="00DB2B68" w:rsidRDefault="00000000">
      <w:pPr>
        <w:jc w:val="both"/>
      </w:pPr>
      <w:r>
        <w:t>Les critères suivants sont respectés :</w:t>
      </w:r>
    </w:p>
    <w:p w14:paraId="41415CCA" w14:textId="77777777" w:rsidR="00DB2B68" w:rsidRDefault="00000000">
      <w:pPr>
        <w:pStyle w:val="Author-eListParagraph"/>
        <w:numPr>
          <w:ilvl w:val="0"/>
          <w:numId w:val="873"/>
        </w:numPr>
      </w:pPr>
      <w:r>
        <w:t>Joints ouverts ≤2mm</w:t>
      </w:r>
    </w:p>
    <w:p w14:paraId="039182C2" w14:textId="77777777" w:rsidR="00DB2B68" w:rsidRDefault="00000000">
      <w:pPr>
        <w:pStyle w:val="Author-eListParagraph"/>
        <w:numPr>
          <w:ilvl w:val="0"/>
          <w:numId w:val="873"/>
        </w:numPr>
      </w:pPr>
      <w:r>
        <w:t>Léger bleuissement</w:t>
      </w:r>
    </w:p>
    <w:p w14:paraId="005209FF" w14:textId="77777777" w:rsidR="00DB2B68" w:rsidRDefault="00000000">
      <w:pPr>
        <w:pStyle w:val="Author-eListParagraph"/>
        <w:numPr>
          <w:ilvl w:val="0"/>
          <w:numId w:val="873"/>
        </w:numPr>
      </w:pPr>
      <w:r>
        <w:t>Poches de résine max 10x 90mm</w:t>
      </w:r>
    </w:p>
    <w:p w14:paraId="665633FB" w14:textId="77777777" w:rsidR="00DB2B68" w:rsidRDefault="00000000">
      <w:pPr>
        <w:pStyle w:val="Author-eListParagraph"/>
        <w:numPr>
          <w:ilvl w:val="0"/>
          <w:numId w:val="873"/>
        </w:numPr>
      </w:pPr>
      <w:r>
        <w:t>Gerces admises</w:t>
      </w:r>
    </w:p>
    <w:p w14:paraId="141514CE" w14:textId="77777777" w:rsidR="00DB2B68" w:rsidRDefault="00000000">
      <w:pPr>
        <w:pStyle w:val="Author-eListParagraph"/>
        <w:numPr>
          <w:ilvl w:val="0"/>
          <w:numId w:val="873"/>
        </w:numPr>
      </w:pPr>
      <w:r>
        <w:t>Nœuds sains admis nœuds noirs ≤ 3 cm admis</w:t>
      </w:r>
    </w:p>
    <w:p w14:paraId="07CBE4ED" w14:textId="77777777" w:rsidR="00DB2B68" w:rsidRDefault="00000000">
      <w:pPr>
        <w:pStyle w:val="Author-eListParagraph"/>
        <w:numPr>
          <w:ilvl w:val="0"/>
          <w:numId w:val="873"/>
        </w:numPr>
      </w:pPr>
      <w:r>
        <w:t>Lames ayant fait l’objet d’attaque d’insecte avant composition de panneau non admis</w:t>
      </w:r>
    </w:p>
    <w:p w14:paraId="341A1384" w14:textId="77777777" w:rsidR="00DB2B68" w:rsidRDefault="00000000">
      <w:pPr>
        <w:pStyle w:val="Author-eListParagraph"/>
        <w:numPr>
          <w:ilvl w:val="0"/>
          <w:numId w:val="873"/>
        </w:numPr>
      </w:pPr>
      <w:r>
        <w:t>Flaches non admises</w:t>
      </w:r>
    </w:p>
    <w:p w14:paraId="676B8A5D" w14:textId="77777777" w:rsidR="00DB2B68" w:rsidRDefault="00000000">
      <w:pPr>
        <w:jc w:val="both"/>
      </w:pPr>
      <w:r>
        <w:rPr>
          <w:u w:val="single"/>
        </w:rPr>
        <w:t>Visible habitat (visible cat. A au sens [NBN EN 1991 série])</w:t>
      </w:r>
    </w:p>
    <w:p w14:paraId="23A802B4" w14:textId="77777777" w:rsidR="00DB2B68" w:rsidRDefault="00000000">
      <w:pPr>
        <w:jc w:val="both"/>
      </w:pPr>
      <w:r>
        <w:t>La qualité de bois de la surface correspond à un aspect AB selon la [NBN EN 13017-1] ou [NBN EN 13017-2].</w:t>
      </w:r>
    </w:p>
    <w:p w14:paraId="7F7C82F6" w14:textId="77777777" w:rsidR="00DB2B68" w:rsidRDefault="00000000">
      <w:pPr>
        <w:jc w:val="both"/>
      </w:pPr>
      <w:r>
        <w:t>La surface est rabotée et polie.</w:t>
      </w:r>
    </w:p>
    <w:p w14:paraId="66B913D2" w14:textId="77777777" w:rsidR="00DB2B68" w:rsidRDefault="00000000">
      <w:pPr>
        <w:jc w:val="both"/>
      </w:pPr>
      <w:r>
        <w:t>Avec une humidité de bois de 12% (+/-2%), la largeur maximale du joint est de 2mm.</w:t>
      </w:r>
    </w:p>
    <w:p w14:paraId="653A5440" w14:textId="77777777" w:rsidR="00DB2B68" w:rsidRDefault="00000000">
      <w:pPr>
        <w:jc w:val="both"/>
      </w:pPr>
      <w:r>
        <w:lastRenderedPageBreak/>
        <w:t>Lors de la découpe, l’ensemble des jointures est chanfreiné au niveau des raccords de panneaux dans la largeur.</w:t>
      </w:r>
    </w:p>
    <w:p w14:paraId="09BF09D9" w14:textId="77777777" w:rsidR="00DB2B68" w:rsidRDefault="00000000">
      <w:pPr>
        <w:jc w:val="both"/>
      </w:pPr>
      <w:r>
        <w:t>Les critères suivants sont respectés</w:t>
      </w:r>
    </w:p>
    <w:p w14:paraId="00E98135" w14:textId="77777777" w:rsidR="00DB2B68" w:rsidRDefault="00000000">
      <w:pPr>
        <w:pStyle w:val="Author-eListParagraph"/>
        <w:numPr>
          <w:ilvl w:val="0"/>
          <w:numId w:val="874"/>
        </w:numPr>
      </w:pPr>
      <w:r>
        <w:t>Joints ouverts ≤1mm</w:t>
      </w:r>
    </w:p>
    <w:p w14:paraId="190E8AA6" w14:textId="77777777" w:rsidR="00DB2B68" w:rsidRDefault="00000000">
      <w:pPr>
        <w:pStyle w:val="Author-eListParagraph"/>
        <w:numPr>
          <w:ilvl w:val="0"/>
          <w:numId w:val="874"/>
        </w:numPr>
      </w:pPr>
      <w:r>
        <w:t>Pas de bleuissement</w:t>
      </w:r>
    </w:p>
    <w:p w14:paraId="5DE9C537" w14:textId="77777777" w:rsidR="00DB2B68" w:rsidRDefault="00000000">
      <w:pPr>
        <w:pStyle w:val="Author-eListParagraph"/>
        <w:numPr>
          <w:ilvl w:val="0"/>
          <w:numId w:val="874"/>
        </w:numPr>
      </w:pPr>
      <w:r>
        <w:t>Gerces, cœurs-Moelles isolées admises</w:t>
      </w:r>
    </w:p>
    <w:p w14:paraId="6C3FBC30" w14:textId="77777777" w:rsidR="00DB2B68" w:rsidRDefault="00000000">
      <w:pPr>
        <w:pStyle w:val="Author-eListParagraph"/>
        <w:numPr>
          <w:ilvl w:val="0"/>
          <w:numId w:val="874"/>
        </w:numPr>
      </w:pPr>
      <w:r>
        <w:t>Pas d’accumulation de poches de résine max 5x50 mm</w:t>
      </w:r>
    </w:p>
    <w:p w14:paraId="6423607E" w14:textId="77777777" w:rsidR="00DB2B68" w:rsidRDefault="00000000">
      <w:pPr>
        <w:pStyle w:val="Author-eListParagraph"/>
        <w:numPr>
          <w:ilvl w:val="0"/>
          <w:numId w:val="874"/>
        </w:numPr>
      </w:pPr>
      <w:r>
        <w:t>Lames ayant fait l’objet d’attaque d’insecte avant ou après composition de panneau non admis</w:t>
      </w:r>
    </w:p>
    <w:p w14:paraId="3C39A0B5" w14:textId="77777777" w:rsidR="00DB2B68" w:rsidRDefault="00000000">
      <w:pPr>
        <w:pStyle w:val="Author-eListParagraph"/>
        <w:numPr>
          <w:ilvl w:val="0"/>
          <w:numId w:val="874"/>
        </w:numPr>
      </w:pPr>
      <w:r>
        <w:t>Nœuds sains admis</w:t>
      </w:r>
    </w:p>
    <w:p w14:paraId="09D71EEB" w14:textId="77777777" w:rsidR="00DB2B68" w:rsidRDefault="00000000">
      <w:pPr>
        <w:pStyle w:val="Author-eListParagraph"/>
        <w:numPr>
          <w:ilvl w:val="0"/>
          <w:numId w:val="874"/>
        </w:numPr>
      </w:pPr>
      <w:r>
        <w:t>Nœuds noirs ≤ 1.5 cm ; admis</w:t>
      </w:r>
    </w:p>
    <w:p w14:paraId="1CC9C4B6" w14:textId="77777777" w:rsidR="00DB2B68" w:rsidRDefault="00000000">
      <w:pPr>
        <w:pStyle w:val="Author-eListParagraph"/>
        <w:numPr>
          <w:ilvl w:val="0"/>
          <w:numId w:val="874"/>
        </w:numPr>
      </w:pPr>
      <w:r>
        <w:t>Flaches non admises</w:t>
      </w:r>
    </w:p>
    <w:p w14:paraId="038C3B75" w14:textId="77777777" w:rsidR="00DB2B68" w:rsidRDefault="00000000">
      <w:pPr>
        <w:pStyle w:val="pheading"/>
      </w:pPr>
      <w:r>
        <w:t>EXÉCUTION / MISE EN ŒUVRE</w:t>
      </w:r>
    </w:p>
    <w:p w14:paraId="35D1B9F7" w14:textId="77777777" w:rsidR="00DB2B68" w:rsidRDefault="00000000">
      <w:pPr>
        <w:jc w:val="both"/>
      </w:pPr>
      <w:r>
        <w:t>La teneur en humidité du bois est mesurée conformément à l’annexe D de la [NBN EN 16351] lors de la fabrication. Sur chantier, la teneur en humidité est mesurée conformément à l’article 03.41.1b Mesures du taux d'humidité dans le bois est comprise entre 10 et 15 %.</w:t>
      </w:r>
    </w:p>
    <w:p w14:paraId="49D816FD" w14:textId="77777777" w:rsidR="00DB2B68" w:rsidRDefault="00000000">
      <w:pPr>
        <w:jc w:val="both"/>
      </w:pPr>
      <w:r>
        <w:t>En ce qui concerne le gros œuvre, les dimensions indiquées sur les plans et dans le métré sont celles du gros œuvre tel qu'il doit être exécuté et sont donc purement indicatives. L'entrepreneur est tenu de prendre lui-même les mesures sur le chantier avant de procéder à la manutention et au placement des éléments.</w:t>
      </w:r>
    </w:p>
    <w:p w14:paraId="01F6D516" w14:textId="77777777" w:rsidR="00DB2B68" w:rsidRDefault="00000000">
      <w:pPr>
        <w:jc w:val="both"/>
      </w:pPr>
      <w:r>
        <w:t>L’entrepreneur fournit au moins 7 jours avant livraison un document relatif à la sécurité lors de la mise en œuvre en tenant compte du stockage éventuel, la manutention, les dispositifs provisoires de stabilité des panneaux ainsi que les autres dispositions nécessaires.</w:t>
      </w:r>
    </w:p>
    <w:p w14:paraId="7559530E" w14:textId="77777777" w:rsidR="00DB2B68" w:rsidRDefault="00000000">
      <w:pPr>
        <w:jc w:val="both"/>
      </w:pPr>
      <w:r>
        <w:rPr>
          <w:b/>
        </w:rPr>
        <w:t>Livraison - Entreposage</w:t>
      </w:r>
    </w:p>
    <w:p w14:paraId="7ED4246A" w14:textId="77777777" w:rsidR="00DB2B68" w:rsidRDefault="00000000">
      <w:pPr>
        <w:pStyle w:val="Author-eListParagraph"/>
        <w:numPr>
          <w:ilvl w:val="0"/>
          <w:numId w:val="875"/>
        </w:numPr>
      </w:pPr>
      <w:r>
        <w:t>Les panneaux CLT ainsi que leurs accessoires doivent être transportés dans des circonstances qui protègent les matériaux de toute dégradation et tout contact avec l’eau. Ils sont soigneusement amarrés. L'entreposage sur le chantier doit être limité au minimum et surtout ne pas excéder une semaine. Les éléments sont stockés et transportés verticalement ou horizontalement, protégés et espacés les uns des autres (ventilés).</w:t>
      </w:r>
    </w:p>
    <w:p w14:paraId="2B85EFAB" w14:textId="77777777" w:rsidR="00DB2B68" w:rsidRDefault="00000000">
      <w:pPr>
        <w:pStyle w:val="Author-eListParagraph"/>
        <w:numPr>
          <w:ilvl w:val="0"/>
          <w:numId w:val="875"/>
        </w:numPr>
      </w:pPr>
      <w:r>
        <w:t>Les protections éventuelles appliquées sur les profils ne peuvent pas être enlevées avant autorisation écrite de l’auteur de projet.</w:t>
      </w:r>
    </w:p>
    <w:p w14:paraId="4C484205" w14:textId="77777777" w:rsidR="00DB2B68" w:rsidRDefault="00000000">
      <w:pPr>
        <w:jc w:val="both"/>
      </w:pPr>
      <w:r>
        <w:rPr>
          <w:b/>
        </w:rPr>
        <w:t>Jonction avec les autres éléments du gros œuvre</w:t>
      </w:r>
    </w:p>
    <w:p w14:paraId="0B199DED" w14:textId="77777777" w:rsidR="00DB2B68" w:rsidRDefault="00000000">
      <w:pPr>
        <w:jc w:val="both"/>
      </w:pPr>
      <w:r>
        <w:t>Les possibilités présentées par le gros œuvre pour les dispositifs de fixation des panneaux CLT doivent faire l’objet d’indications précises.</w:t>
      </w:r>
    </w:p>
    <w:p w14:paraId="70CC33FC" w14:textId="77777777" w:rsidR="00DB2B68" w:rsidRDefault="00000000">
      <w:pPr>
        <w:jc w:val="both"/>
      </w:pPr>
      <w:r>
        <w:t>La transmission des charges des panneaux CLT sur le gros œuvre est à communiquer avant bétonnage pour un dimensionnement et un positionnement correct des armatures de bord.</w:t>
      </w:r>
    </w:p>
    <w:p w14:paraId="64F32ECD" w14:textId="77777777" w:rsidR="00DB2B68" w:rsidRDefault="00000000">
      <w:pPr>
        <w:jc w:val="both"/>
      </w:pPr>
      <w:r>
        <w:t>Si tel n'est pas le cas, les dispositifs de fixations sont adaptés aux dispositifs mis en place lors du bétonnage.</w:t>
      </w:r>
    </w:p>
    <w:p w14:paraId="605749CF" w14:textId="77777777" w:rsidR="00DB2B68" w:rsidRDefault="00000000">
      <w:pPr>
        <w:jc w:val="both"/>
      </w:pPr>
      <w:r>
        <w:t>Les axes d'implantation et les tolérances sur ces dispositifs doivent être coordonnés entre les différents intervenants à un stade précoce.</w:t>
      </w:r>
    </w:p>
    <w:p w14:paraId="0FB77427" w14:textId="77777777" w:rsidR="00DB2B68" w:rsidRDefault="00000000">
      <w:pPr>
        <w:jc w:val="both"/>
      </w:pPr>
      <w:r>
        <w:t>Le cas échéant, les mouvements que les panneaux CLT doivent pouvoir accepter sont déterminés en fonction des déformations que le gros œuvre peut subir sous l’effet de chacune des sollicitations prévisibles auxquelles il est soumis.</w:t>
      </w:r>
    </w:p>
    <w:p w14:paraId="0BEFA981" w14:textId="77777777" w:rsidR="00DB2B68" w:rsidRDefault="00000000">
      <w:pPr>
        <w:jc w:val="both"/>
      </w:pPr>
      <w:r>
        <w:t>Les actions, leurs combinaisons, les caractéristiques de conception des matériaux et les critères d'états limites sont conformes à la [NBN EN 1991 série].</w:t>
      </w:r>
    </w:p>
    <w:p w14:paraId="04466939" w14:textId="77777777" w:rsidR="00DB2B68" w:rsidRDefault="00000000">
      <w:pPr>
        <w:jc w:val="both"/>
      </w:pPr>
      <w:r>
        <w:t>Les dispositifs d’ancrages des panneaux CLT font l’objet d’une note de calcul spécifique si la charge à reprendre dépasse les 2 kN.</w:t>
      </w:r>
    </w:p>
    <w:p w14:paraId="1C3F5B65" w14:textId="77777777" w:rsidR="00DB2B68" w:rsidRDefault="00000000">
      <w:pPr>
        <w:jc w:val="both"/>
      </w:pPr>
      <w:r>
        <w:lastRenderedPageBreak/>
        <w:t>Lors des phases de montages, les panneaux sont maintenus par jambes de forces ou tous dispositifs dont la fixation n’altère pas la qualité de finition des panneaux.</w:t>
      </w:r>
    </w:p>
    <w:p w14:paraId="45A1E132" w14:textId="77777777" w:rsidR="00DB2B68" w:rsidRDefault="00000000">
      <w:pPr>
        <w:pStyle w:val="pheading"/>
      </w:pPr>
      <w:r>
        <w:t>CONTRÔLES</w:t>
      </w:r>
    </w:p>
    <w:p w14:paraId="6E491B25" w14:textId="77777777" w:rsidR="00DB2B68" w:rsidRDefault="00000000">
      <w:pPr>
        <w:jc w:val="both"/>
      </w:pPr>
      <w:r>
        <w:t>Les panneaux CLT ou leurs composants sont soumis à contrôle visuels avant la pose. Ceux qui sont endommagés de même que ceux qui présentent des déformations anormales ou seraient endommagés par des conditions de stockage inappropriées ne peuvent pas être mis en œuvre.</w:t>
      </w:r>
    </w:p>
    <w:p w14:paraId="05A34E6F" w14:textId="77777777" w:rsidR="00DB2B68" w:rsidRDefault="00000000">
      <w:pPr>
        <w:jc w:val="both"/>
      </w:pPr>
      <w:r>
        <w:t>Les documents relatifs au marquage CE (ou déclaration d’aptitude du matériau) ou aux performances exigées dans le cahier spécial des charges doivent être préalablement remis à l'architecte.</w:t>
      </w:r>
    </w:p>
    <w:p w14:paraId="6504B2B1" w14:textId="77777777" w:rsidR="00DB2B68" w:rsidRDefault="00000000">
      <w:pPr>
        <w:jc w:val="both"/>
      </w:pPr>
      <w:r>
        <w:rPr>
          <w:b/>
        </w:rPr>
        <w:t>Essais</w:t>
      </w:r>
    </w:p>
    <w:p w14:paraId="00481D40" w14:textId="77777777" w:rsidR="00DB2B68" w:rsidRDefault="00000000">
      <w:pPr>
        <w:jc w:val="both"/>
      </w:pPr>
      <w:r>
        <w:t>Si le marquage du produit (déclaration d’aptitude du matériau) ne spécifie pas les performances requises, des essais sont systématiquement exigés. Si les panneaux CLT ne satisfont pas aux essais, l’auteur de projet est en droit d'imposer une nouvelle série d'essais jusqu’à obtention des performances requises.</w:t>
      </w:r>
    </w:p>
    <w:p w14:paraId="6996D7C5" w14:textId="77777777" w:rsidR="00DB2B68" w:rsidRDefault="00000000">
      <w:pPr>
        <w:jc w:val="both"/>
      </w:pPr>
      <w:r>
        <w:t>Les essais sont exécutés par un laboratoire indépendant. </w:t>
      </w:r>
    </w:p>
    <w:p w14:paraId="5AE09142" w14:textId="77777777" w:rsidR="00DB2B68" w:rsidRDefault="00000000">
      <w:pPr>
        <w:jc w:val="both"/>
      </w:pPr>
      <w:r>
        <w:rPr>
          <w:b/>
        </w:rPr>
        <w:t>Tolérances</w:t>
      </w:r>
    </w:p>
    <w:p w14:paraId="74318064" w14:textId="77777777" w:rsidR="00DB2B68" w:rsidRDefault="00000000">
      <w:pPr>
        <w:jc w:val="both"/>
      </w:pPr>
      <w:r>
        <w:t xml:space="preserve">Les tolérances de la section </w:t>
      </w:r>
      <w:hyperlink w:anchor="89" w:history="1">
        <w:r>
          <w:rPr>
            <w:color w:val="0000EE"/>
          </w:rPr>
          <w:t>24 Superstructures en bois</w:t>
        </w:r>
      </w:hyperlink>
      <w:r>
        <w:t xml:space="preserve"> s’appliquent aux panneaux CLT.</w:t>
      </w:r>
    </w:p>
    <w:p w14:paraId="2A17805A" w14:textId="77777777" w:rsidR="00DB2B68" w:rsidRDefault="00000000">
      <w:pPr>
        <w:pStyle w:val="pheading"/>
      </w:pPr>
      <w:r>
        <w:t>DOCUMENTS DE RÉFÉRENCE</w:t>
      </w:r>
    </w:p>
    <w:p w14:paraId="62A3D8A1" w14:textId="77777777" w:rsidR="00DB2B68" w:rsidRDefault="00000000">
      <w:pPr>
        <w:pStyle w:val="pheading"/>
      </w:pPr>
      <w:r>
        <w:t>- Matériau</w:t>
      </w:r>
    </w:p>
    <w:p w14:paraId="42BA93D2" w14:textId="77777777" w:rsidR="00DB2B68" w:rsidRDefault="00000000">
      <w:r>
        <w:t>[NBN EN 300, Panneaux de lamelles minces, longues et orientées (OSB) - Définitions, classification et exigences]</w:t>
      </w:r>
    </w:p>
    <w:p w14:paraId="0AC5B862" w14:textId="77777777" w:rsidR="00DB2B68" w:rsidRDefault="00000000">
      <w:r>
        <w:t>[NBN EN 312, Panneaux de particules - Exigences]</w:t>
      </w:r>
    </w:p>
    <w:p w14:paraId="5E3F39F4" w14:textId="77777777" w:rsidR="00DB2B68" w:rsidRDefault="00000000">
      <w:r>
        <w:t>[NBN EN 338, Bois de structure - Classes de résistance]</w:t>
      </w:r>
    </w:p>
    <w:p w14:paraId="3A9F21E1" w14:textId="77777777" w:rsidR="00DB2B68" w:rsidRDefault="00000000">
      <w:r>
        <w:t>[NBN EN 622-5, Panneaux de fibres - Exigences - Partie 5 : Exigences pour panneaux obtenus par procédé à sec (MDF)]</w:t>
      </w:r>
    </w:p>
    <w:p w14:paraId="05E37F39" w14:textId="77777777" w:rsidR="00DB2B68" w:rsidRDefault="00000000">
      <w:r>
        <w:t>[NBN EN 636+A1, Contreplaqué - Exigences]</w:t>
      </w:r>
    </w:p>
    <w:p w14:paraId="03944FF4" w14:textId="77777777" w:rsidR="00DB2B68" w:rsidRDefault="00000000">
      <w:r>
        <w:t>[NBN EN 1991 série, Eurocode 1 : Actions sur les structures]</w:t>
      </w:r>
    </w:p>
    <w:p w14:paraId="6BCBF77D" w14:textId="77777777" w:rsidR="00DB2B68" w:rsidRDefault="00000000">
      <w:r>
        <w:t>[NBN EN 1995 série, Eurocode 5: Conception et calcul des structures en bois]</w:t>
      </w:r>
    </w:p>
    <w:p w14:paraId="0AE26AED" w14:textId="77777777" w:rsidR="00DB2B68" w:rsidRDefault="00000000">
      <w:r>
        <w:t>[NBN EN 12114, Performance thermique de bâtiments - Perméabilité à l'air des composants et parois de bâtiments - Méthode d'essai en laboratoire]</w:t>
      </w:r>
    </w:p>
    <w:p w14:paraId="2B2CCAF5" w14:textId="77777777" w:rsidR="00DB2B68" w:rsidRDefault="00000000">
      <w:r>
        <w:t>[NBN EN 13017-1, Bois panneautés - Classification selon l'aspect des faces - Partie 1 : Bois résineux]</w:t>
      </w:r>
    </w:p>
    <w:p w14:paraId="7072F011" w14:textId="77777777" w:rsidR="00DB2B68" w:rsidRDefault="00000000">
      <w:r>
        <w:t>[NBN EN 13017-2, Bois panneautés - Classification selon l'aspect des faces -Partie 2: Bois feuillus]</w:t>
      </w:r>
    </w:p>
    <w:p w14:paraId="0470BEEE" w14:textId="77777777" w:rsidR="00DB2B68" w:rsidRDefault="00000000">
      <w:r>
        <w:t>[NBN EN 13501-1, Classement au feu des produits et éléments de construction - Partie 1: Classement à partir des données d'essais de réaction au feu]</w:t>
      </w:r>
    </w:p>
    <w:p w14:paraId="74596296"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24280230" w14:textId="77777777" w:rsidR="00DB2B68" w:rsidRDefault="00000000">
      <w:r>
        <w:t>[NBN EN 13986+A1, Panneaux à base de bois destinés à la construction - Caractéristiques, évaluation de conformité et marquage]</w:t>
      </w:r>
    </w:p>
    <w:p w14:paraId="2DE8C248" w14:textId="77777777" w:rsidR="00DB2B68" w:rsidRDefault="00000000">
      <w:r>
        <w:t>[NBN EN 14081-1:2016+A1, Structures en bois - Bois de structure à section rectangulaire classé pour sa résistance - Partie 1 : Exigences générales]</w:t>
      </w:r>
    </w:p>
    <w:p w14:paraId="55720BA3" w14:textId="77777777" w:rsidR="00DB2B68" w:rsidRDefault="00000000">
      <w:r>
        <w:t>[NBN EN 14081-2:2018+A1, Structures en bois - Bois de structure à section rectangulaire classé pour sa résistance - Partie 2 : Classement mécanique par machine; exigences supplémentaires concernant les essais de type]</w:t>
      </w:r>
    </w:p>
    <w:p w14:paraId="133550FF" w14:textId="77777777" w:rsidR="00DB2B68" w:rsidRDefault="00000000">
      <w:r>
        <w:lastRenderedPageBreak/>
        <w:t>[NBN EN 14081-3, Structures en bois - Bois de structure à section rectangulaire classé pour sa résistance - Partie 3: Classement mécanique - Exigences complémentaires relatives au contrôle de la production en usine]</w:t>
      </w:r>
    </w:p>
    <w:p w14:paraId="7F7105DF" w14:textId="77777777" w:rsidR="00DB2B68" w:rsidRDefault="00000000">
      <w:r>
        <w:t>[NBN EN 15228, Bois de structure - Bois de structure traité avec un produit de préservation contre les attaques biologiques]</w:t>
      </w:r>
    </w:p>
    <w:p w14:paraId="2DFB47E7" w14:textId="77777777" w:rsidR="00DB2B68" w:rsidRDefault="00000000">
      <w:r>
        <w:t>[NBN EN 16351, Structures en bois - Bois lamellé croisé - Exigences]</w:t>
      </w:r>
    </w:p>
    <w:p w14:paraId="1C02478E" w14:textId="77777777" w:rsidR="00DB2B68" w:rsidRDefault="00000000">
      <w:r>
        <w:t>[AR 1994-07-07, Arrêté royal fixant les normes de base en matière de prévention contre l'incendie et l'explosion, auxquelles les bâtiments nouveaux doivent satisfaire]</w:t>
      </w:r>
    </w:p>
    <w:p w14:paraId="1E7FD5E0" w14:textId="77777777" w:rsidR="00DB2B68" w:rsidRDefault="00000000">
      <w:pPr>
        <w:pStyle w:val="Author-eSectionHeading6Numberless"/>
      </w:pPr>
      <w:bookmarkStart w:id="1620" w:name="_Toc220496610"/>
      <w:r>
        <w:t>24.14.1a Planchers massifs en CLT collés CCTB 01.11</w:t>
      </w:r>
      <w:bookmarkEnd w:id="1620"/>
    </w:p>
    <w:p w14:paraId="293CAA33" w14:textId="77777777" w:rsidR="00DB2B68" w:rsidRDefault="00000000">
      <w:pPr>
        <w:pStyle w:val="pheading"/>
      </w:pPr>
      <w:r>
        <w:t>DESCRIPTION</w:t>
      </w:r>
    </w:p>
    <w:p w14:paraId="175A265E" w14:textId="77777777" w:rsidR="00DB2B68" w:rsidRDefault="00000000">
      <w:pPr>
        <w:pStyle w:val="pheading"/>
      </w:pPr>
      <w:r>
        <w:t>- Définition / Comprend</w:t>
      </w:r>
    </w:p>
    <w:p w14:paraId="787EB4B1" w14:textId="77777777" w:rsidR="00DB2B68" w:rsidRDefault="00000000">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2FE6F49F" w14:textId="77777777" w:rsidR="00DB2B68" w:rsidRDefault="00000000">
      <w:pPr>
        <w:jc w:val="both"/>
      </w:pPr>
      <w:r>
        <w:t>Les panneaux s’appliquant aux classes de service 1 ou 2 (selon la [NBN EN 1995-1-1]) constitués d’au moins 3 couches d’essences résineuses ou en peuplier dont les couches ont une épaisseur entre 6 et 47 mm et d’épaisseur totale jusqu’à 500 mm sont couverts par la norme produit [NBN EN 16351].</w:t>
      </w:r>
    </w:p>
    <w:p w14:paraId="4A43373A" w14:textId="77777777" w:rsidR="00DB2B68" w:rsidRDefault="00000000">
      <w:pPr>
        <w:pStyle w:val="pheading"/>
      </w:pPr>
      <w:r>
        <w:t>- Localisation</w:t>
      </w:r>
    </w:p>
    <w:p w14:paraId="0FAA8025" w14:textId="77777777" w:rsidR="00DB2B68" w:rsidRDefault="00000000">
      <w:r>
        <w:t xml:space="preserve">Localisation des travaux : </w:t>
      </w:r>
      <w:r>
        <w:rPr>
          <w:rStyle w:val="optioncarChar"/>
        </w:rPr>
        <w:t>***</w:t>
      </w:r>
      <w:r>
        <w:t>.</w:t>
      </w:r>
    </w:p>
    <w:p w14:paraId="1B02B747" w14:textId="77777777" w:rsidR="00DB2B68" w:rsidRDefault="00000000">
      <w:r>
        <w:t>Voir plans et métrés détaillés.</w:t>
      </w:r>
    </w:p>
    <w:p w14:paraId="523DDC3C" w14:textId="77777777" w:rsidR="00DB2B68" w:rsidRDefault="00000000">
      <w:pPr>
        <w:pStyle w:val="pheading"/>
      </w:pPr>
      <w:r>
        <w:t>MATÉRIAUX</w:t>
      </w:r>
    </w:p>
    <w:p w14:paraId="2A36C18A" w14:textId="77777777" w:rsidR="00DB2B68" w:rsidRDefault="00000000">
      <w:pPr>
        <w:pStyle w:val="pheading"/>
      </w:pPr>
      <w:r>
        <w:t>- Caractéristiques générales</w:t>
      </w:r>
    </w:p>
    <w:p w14:paraId="11AB9983" w14:textId="77777777" w:rsidR="00DB2B68" w:rsidRDefault="00000000">
      <w:pPr>
        <w:jc w:val="both"/>
      </w:pPr>
      <w:r>
        <w:t xml:space="preserve">Épaisseur totale du panneau CLT : </w:t>
      </w:r>
      <w:r>
        <w:rPr>
          <w:rStyle w:val="optioncarChar"/>
        </w:rPr>
        <w:t>***</w:t>
      </w:r>
      <w:r>
        <w:t xml:space="preserve"> mm.</w:t>
      </w:r>
    </w:p>
    <w:p w14:paraId="7F2CE9EA" w14:textId="77777777" w:rsidR="00DB2B68" w:rsidRDefault="0000000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Mélèzes (Larix spp) / Peupliers (Populus spp) / Pin maritime (Pinus pinaster, PNPN) / Hêtre / ***</w:t>
      </w:r>
      <w:r>
        <w:t>.</w:t>
      </w:r>
    </w:p>
    <w:p w14:paraId="7916A01A" w14:textId="77777777" w:rsidR="00DB2B68" w:rsidRDefault="00000000">
      <w:pPr>
        <w:jc w:val="both"/>
      </w:pPr>
      <w:r>
        <w:t xml:space="preserve">Classe de résistance : </w:t>
      </w:r>
      <w:r>
        <w:rPr>
          <w:rStyle w:val="optioncarChar"/>
        </w:rPr>
        <w:t>C18 </w:t>
      </w:r>
      <w:r>
        <w:t>(par défaut)</w:t>
      </w:r>
      <w:r>
        <w:rPr>
          <w:rStyle w:val="optioncarChar"/>
        </w:rPr>
        <w:t xml:space="preserve"> / D18 / C24 / D24 / C30 / D30 / ***</w:t>
      </w:r>
    </w:p>
    <w:p w14:paraId="74090D70" w14:textId="77777777" w:rsidR="00DB2B68" w:rsidRDefault="00000000">
      <w:pPr>
        <w:jc w:val="both"/>
      </w:pPr>
      <w:r>
        <w:t xml:space="preserve">Les panneaux sont composés de </w:t>
      </w:r>
      <w:r>
        <w:rPr>
          <w:rStyle w:val="optioncarChar"/>
        </w:rPr>
        <w:t>3 / 5</w:t>
      </w:r>
      <w:r>
        <w:t xml:space="preserve"> (par défaut)</w:t>
      </w:r>
      <w:r>
        <w:rPr>
          <w:rStyle w:val="optioncarChar"/>
        </w:rPr>
        <w:t xml:space="preserve"> / 7 / *** </w:t>
      </w:r>
      <w:r>
        <w:t>couches (plis). Les couches sont composées</w:t>
      </w:r>
      <w:r>
        <w:rPr>
          <w:rStyle w:val="optioncarChar"/>
        </w:rPr>
        <w:t xml:space="preserve"> 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p>
    <w:p w14:paraId="1A55759B" w14:textId="77777777" w:rsidR="00DB2B68" w:rsidRDefault="00000000">
      <w:pPr>
        <w:jc w:val="both"/>
      </w:pPr>
      <w:r>
        <w:t xml:space="preserve">L’épaisseur des lames </w:t>
      </w:r>
      <w:r>
        <w:rPr>
          <w:rStyle w:val="optioncarChar"/>
        </w:rPr>
        <w:t>est</w:t>
      </w:r>
      <w:r>
        <w:t xml:space="preserve"> (par défaut)</w:t>
      </w:r>
      <w:r>
        <w:rPr>
          <w:rStyle w:val="optioncarChar"/>
        </w:rPr>
        <w:t xml:space="preserve"> / n’est pas</w:t>
      </w:r>
      <w:r>
        <w:t xml:space="preserve"> constante sur tous les plis. La composition des épaisseurs des plis est: </w:t>
      </w:r>
      <w:r>
        <w:rPr>
          <w:rStyle w:val="optioncarChar"/>
        </w:rPr>
        <w:t xml:space="preserve">30-30-30 / 30-40-30 / 40/-40-40 / 20-20-20-20-20 </w:t>
      </w:r>
      <w:r>
        <w:t xml:space="preserve">(par défaut) </w:t>
      </w:r>
      <w:r>
        <w:rPr>
          <w:rStyle w:val="optioncarChar"/>
        </w:rPr>
        <w:t>/  20-30-20-30 / 40-20-20-20-40 / ***</w:t>
      </w:r>
      <w:r>
        <w:t xml:space="preserve"> mm</w:t>
      </w:r>
    </w:p>
    <w:p w14:paraId="5B8D6EC8" w14:textId="77777777" w:rsidR="00DB2B68" w:rsidRDefault="00000000">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14:paraId="5BDFE6B1" w14:textId="77777777" w:rsidR="00DB2B68" w:rsidRDefault="00000000">
      <w:pPr>
        <w:jc w:val="both"/>
      </w:pPr>
      <w:r>
        <w:t xml:space="preserve">La réaction au feu est de classe </w:t>
      </w:r>
      <w:r>
        <w:rPr>
          <w:rStyle w:val="optioncarChar"/>
        </w:rPr>
        <w:t xml:space="preserve">D-s2, d0 </w:t>
      </w:r>
      <w:r>
        <w:t xml:space="preserve">(par défaut) </w:t>
      </w:r>
      <w:r>
        <w:rPr>
          <w:rStyle w:val="optioncarChar"/>
        </w:rPr>
        <w:t>/ ***.</w:t>
      </w:r>
    </w:p>
    <w:p w14:paraId="37A1EDB1" w14:textId="77777777" w:rsidR="00DB2B68" w:rsidRDefault="00000000">
      <w:pPr>
        <w:jc w:val="both"/>
      </w:pPr>
      <w:r>
        <w:t>La résistance au feu déclarée de la paroi:</w:t>
      </w:r>
      <w:r>
        <w:rPr>
          <w:rStyle w:val="optioncarChar"/>
        </w:rPr>
        <w:t xml:space="preserve"> pas d’exigences </w:t>
      </w:r>
      <w:r>
        <w:t xml:space="preserve">(par défaut) </w:t>
      </w:r>
      <w:r>
        <w:rPr>
          <w:rStyle w:val="optioncarChar"/>
        </w:rPr>
        <w:t>/ REI 30 / EI30 / REI 60 / EI 60 / ***.</w:t>
      </w:r>
    </w:p>
    <w:p w14:paraId="5A286D86" w14:textId="77777777" w:rsidR="00DB2B68" w:rsidRDefault="00000000">
      <w:pPr>
        <w:jc w:val="both"/>
      </w:pPr>
      <w:r>
        <w:t>L’étanchéité à l’air est Q</w:t>
      </w:r>
      <w:r>
        <w:rPr>
          <w:vertAlign w:val="subscript"/>
        </w:rPr>
        <w:t>50</w:t>
      </w:r>
      <w:r>
        <w:t xml:space="preserve"> ≤ </w:t>
      </w:r>
      <w:r>
        <w:rPr>
          <w:rStyle w:val="optioncarChar"/>
        </w:rPr>
        <w:t>0.1</w:t>
      </w:r>
      <w:r>
        <w:t xml:space="preserve"> (par défaut)</w:t>
      </w:r>
      <w:r>
        <w:rPr>
          <w:rStyle w:val="optioncarChar"/>
        </w:rPr>
        <w:t xml:space="preserve"> / 0.2 / ***</w:t>
      </w:r>
      <w:r>
        <w:t xml:space="preserve"> m³/hm².</w:t>
      </w:r>
    </w:p>
    <w:p w14:paraId="5BFE9FCB" w14:textId="77777777" w:rsidR="00DB2B68"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52452116" w14:textId="77777777" w:rsidR="00DB2B68" w:rsidRDefault="00000000">
      <w:pPr>
        <w:jc w:val="both"/>
      </w:pPr>
      <w:r>
        <w:lastRenderedPageBreak/>
        <w:t>Le coefficient de résistance à la diffusion de vapeur d’eau – valeur μ pour un taux d’humidité du bois de 11 % (selon [NBN EN 12086]): </w:t>
      </w:r>
      <w:r>
        <w:rPr>
          <w:rStyle w:val="optioncarChar"/>
        </w:rPr>
        <w:t xml:space="preserve">≥ 50 </w:t>
      </w:r>
      <w:r>
        <w:t xml:space="preserve">(par défaut) </w:t>
      </w:r>
      <w:r>
        <w:rPr>
          <w:rStyle w:val="optioncarChar"/>
        </w:rPr>
        <w:t>/ ≥ 30  / ≤ 100 / ***.</w:t>
      </w:r>
    </w:p>
    <w:p w14:paraId="411329E0" w14:textId="77777777" w:rsidR="00DB2B68" w:rsidRDefault="00000000">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traitement A2.2 / bois modifié thermiquement / bois hors aubier / ***.</w:t>
      </w:r>
    </w:p>
    <w:p w14:paraId="173A4AE6" w14:textId="77777777" w:rsidR="00DB2B68" w:rsidRDefault="00000000">
      <w:pPr>
        <w:jc w:val="both"/>
      </w:pPr>
      <w:r>
        <w:t> </w:t>
      </w:r>
    </w:p>
    <w:p w14:paraId="325808D6" w14:textId="77777777" w:rsidR="00DB2B68" w:rsidRDefault="00000000">
      <w:pPr>
        <w:jc w:val="both"/>
      </w:pPr>
      <w:r>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14:paraId="7657C4D1" w14:textId="77777777" w:rsidR="00DB2B68" w:rsidRDefault="00000000">
      <w:pPr>
        <w:ind w:left="567"/>
        <w:jc w:val="both"/>
      </w:pPr>
      <w:r>
        <w:rPr>
          <w:b/>
          <w:i/>
        </w:rPr>
        <w:t>(Soit par défaut)</w:t>
      </w:r>
    </w:p>
    <w:p w14:paraId="20268648" w14:textId="77777777" w:rsidR="00DB2B68" w:rsidRDefault="00000000">
      <w:pPr>
        <w:ind w:left="567"/>
        <w:jc w:val="both"/>
      </w:pPr>
      <w:r>
        <w:rPr>
          <w:rStyle w:val="soitChar"/>
          <w:u w:val="single"/>
        </w:rPr>
        <w:t>Les spécifications du fabricant</w:t>
      </w:r>
    </w:p>
    <w:p w14:paraId="00FA317B" w14:textId="77777777" w:rsidR="00DB2B68" w:rsidRDefault="00000000">
      <w:pPr>
        <w:ind w:left="567"/>
        <w:jc w:val="both"/>
      </w:pPr>
      <w:r>
        <w:rPr>
          <w:b/>
          <w:i/>
        </w:rPr>
        <w:t>(Soit)</w:t>
      </w:r>
    </w:p>
    <w:p w14:paraId="1948ED70" w14:textId="77777777" w:rsidR="00DB2B68"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1DC9AC8B" w14:textId="77777777" w:rsidR="00DB2B68" w:rsidRDefault="00000000">
      <w:pPr>
        <w:ind w:left="567"/>
        <w:jc w:val="both"/>
      </w:pPr>
      <w:r>
        <w:rPr>
          <w:b/>
          <w:i/>
        </w:rPr>
        <w:t>(Soit)</w:t>
      </w:r>
    </w:p>
    <w:p w14:paraId="5CED2114" w14:textId="77777777" w:rsidR="00DB2B68" w:rsidRDefault="00000000">
      <w:pPr>
        <w:ind w:left="567"/>
        <w:jc w:val="both"/>
      </w:pPr>
      <w:r>
        <w:rPr>
          <w:rStyle w:val="soitChar"/>
          <w:u w:val="single"/>
        </w:rPr>
        <w:t>MF, MUF, PRF, UF</w:t>
      </w:r>
      <w:r>
        <w:rPr>
          <w:rStyle w:val="soitChar"/>
        </w:rPr>
        <w:t xml:space="preserve"> : Les caractéristiques des collages des adhésifs de nature phénolique et aminoplaste sont déterminées conformément à la [NBN EN 302-6] et satisfont aux exigences conformes à la [NBN EN 301]. </w:t>
      </w:r>
    </w:p>
    <w:p w14:paraId="101AF6E4" w14:textId="77777777" w:rsidR="00DB2B68" w:rsidRDefault="00000000">
      <w:pPr>
        <w:ind w:left="567"/>
        <w:jc w:val="both"/>
      </w:pPr>
      <w:r>
        <w:rPr>
          <w:b/>
          <w:i/>
        </w:rPr>
        <w:t>(Soit)</w:t>
      </w:r>
    </w:p>
    <w:p w14:paraId="757E32EF" w14:textId="77777777" w:rsidR="00DB2B68"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0574FE2D" w14:textId="77777777" w:rsidR="00DB2B68" w:rsidRDefault="00000000">
      <w:pPr>
        <w:jc w:val="both"/>
      </w:pPr>
      <w:r>
        <w:t> </w:t>
      </w:r>
    </w:p>
    <w:p w14:paraId="7447C7DB" w14:textId="77777777" w:rsidR="00DB2B68" w:rsidRDefault="00000000">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00CB0FA7" w14:textId="77777777" w:rsidR="00DB2B68"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09242D26" w14:textId="77777777" w:rsidR="00DB2B68" w:rsidRDefault="00000000">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14:paraId="4BE4B61D" w14:textId="77777777" w:rsidR="00DB2B68" w:rsidRDefault="00000000">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14:paraId="202B5B6E" w14:textId="77777777" w:rsidR="00DB2B68" w:rsidRDefault="00000000">
      <w:pPr>
        <w:jc w:val="both"/>
      </w:pPr>
      <w:r>
        <w:t>La résistance du collage des aboutages est conforme à la [NBN EN 16351] annexe B et est vérifiée par essais de flexion conformes à la [NBN EN 16351] §5.2</w:t>
      </w:r>
    </w:p>
    <w:p w14:paraId="3A5F4182" w14:textId="77777777" w:rsidR="00DB2B68" w:rsidRDefault="00000000">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7360FB0E" w14:textId="77777777" w:rsidR="00DB2B68" w:rsidRDefault="00000000">
      <w:pPr>
        <w:pStyle w:val="pheading"/>
      </w:pPr>
      <w:r>
        <w:t>- Finitions</w:t>
      </w:r>
    </w:p>
    <w:p w14:paraId="6A8C3854" w14:textId="77777777" w:rsidR="00DB2B68" w:rsidRDefault="00000000">
      <w:pPr>
        <w:jc w:val="both"/>
      </w:pPr>
      <w:r>
        <w:t xml:space="preserve">Exigences d’aspect : </w:t>
      </w:r>
      <w:r>
        <w:rPr>
          <w:rStyle w:val="optioncarChar"/>
        </w:rPr>
        <w:t xml:space="preserve">non-visible  /  visible industriel  /  visible habitat sur 1 </w:t>
      </w:r>
      <w:r>
        <w:t>(par défaut)</w:t>
      </w:r>
      <w:r>
        <w:rPr>
          <w:rStyle w:val="optioncarChar"/>
        </w:rPr>
        <w:t xml:space="preserve"> / 2 face(s) / ***.</w:t>
      </w:r>
    </w:p>
    <w:p w14:paraId="2059CC41" w14:textId="77777777" w:rsidR="00DB2B68"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2FFD9602" w14:textId="77777777" w:rsidR="00DB2B68" w:rsidRDefault="00000000">
      <w:pPr>
        <w:pStyle w:val="pheading"/>
      </w:pPr>
      <w:r>
        <w:t>- Prescriptions complémentaires</w:t>
      </w:r>
    </w:p>
    <w:p w14:paraId="2E708DA4" w14:textId="77777777" w:rsidR="00DB2B68" w:rsidRDefault="00000000">
      <w:r>
        <w:rPr>
          <w:rStyle w:val="facultChar"/>
        </w:rPr>
        <w:t>Capacité thermique :</w:t>
      </w:r>
      <w:r>
        <w:t>  </w:t>
      </w:r>
      <w:r>
        <w:rPr>
          <w:rStyle w:val="optioncarChar"/>
        </w:rPr>
        <w:t>&gt; 2</w:t>
      </w:r>
      <w:r>
        <w:t xml:space="preserve"> (par défaut)</w:t>
      </w:r>
      <w:r>
        <w:rPr>
          <w:rStyle w:val="optioncarChar"/>
        </w:rPr>
        <w:t xml:space="preserve"> / *** </w:t>
      </w:r>
      <w:r>
        <w:rPr>
          <w:rStyle w:val="facultChar"/>
        </w:rPr>
        <w:t>kJ/kg.K</w:t>
      </w:r>
    </w:p>
    <w:p w14:paraId="2EF687EC" w14:textId="77777777" w:rsidR="00DB2B68" w:rsidRDefault="00000000">
      <w:pPr>
        <w:pStyle w:val="pheading"/>
      </w:pPr>
      <w:r>
        <w:t>EXÉCUTION / MISE EN ŒUVRE</w:t>
      </w:r>
    </w:p>
    <w:p w14:paraId="42C93D2E" w14:textId="77777777" w:rsidR="00DB2B68" w:rsidRDefault="00000000">
      <w:pPr>
        <w:pStyle w:val="pheading"/>
      </w:pPr>
      <w:r>
        <w:t>- Prescriptions générales</w:t>
      </w:r>
    </w:p>
    <w:p w14:paraId="3D3CDC63" w14:textId="77777777" w:rsidR="00DB2B68" w:rsidRDefault="00000000">
      <w:pPr>
        <w:jc w:val="both"/>
      </w:pPr>
      <w:r>
        <w:lastRenderedPageBreak/>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62DF912A" w14:textId="77777777" w:rsidR="00DB2B68" w:rsidRDefault="00000000">
      <w:pPr>
        <w:jc w:val="both"/>
      </w:pPr>
      <w:r>
        <w:t xml:space="preserve">L’étanchéité à l’air est assurée </w:t>
      </w:r>
      <w:r>
        <w:rPr>
          <w:rStyle w:val="optioncarChar"/>
        </w:rPr>
        <w:t xml:space="preserve">par membrane continue / par bandes d’étanchéité aux jonctions de panneaux </w:t>
      </w:r>
      <w:r>
        <w:t>(par défaut)</w:t>
      </w:r>
      <w:r>
        <w:rPr>
          <w:rStyle w:val="optioncarChar"/>
        </w:rPr>
        <w:t xml:space="preserve"> / par joints d’étanchéité dans l’épaisseur des panneaux</w:t>
      </w:r>
      <w:r>
        <w:t>. </w:t>
      </w:r>
    </w:p>
    <w:p w14:paraId="35D0D1DF" w14:textId="77777777" w:rsidR="00DB2B68" w:rsidRDefault="00000000">
      <w:pPr>
        <w:jc w:val="both"/>
      </w:pPr>
      <w:r>
        <w:rPr>
          <w:b/>
          <w:i/>
        </w:rPr>
        <w:t>Assemblage Plancher sur Mur</w:t>
      </w:r>
    </w:p>
    <w:p w14:paraId="27103B25" w14:textId="77777777" w:rsidR="00DB2B68" w:rsidRDefault="00000000">
      <w:pPr>
        <w:jc w:val="both"/>
      </w:pPr>
      <w:r>
        <w:t xml:space="preserve">Le plancher CLT est assemblé par </w:t>
      </w:r>
      <w:r>
        <w:rPr>
          <w:rStyle w:val="optioncarChar"/>
        </w:rPr>
        <w:t xml:space="preserve">pose sur le mur porteur </w:t>
      </w:r>
      <w:r>
        <w:t>(par défaut)</w:t>
      </w:r>
      <w:r>
        <w:rPr>
          <w:rStyle w:val="optioncarChar"/>
        </w:rPr>
        <w:t xml:space="preserve"> / dispositifs d’ancrage ponctuels sur le gros œuvre existant / pose sur traverse portante appliquée sur parois / ***.</w:t>
      </w:r>
    </w:p>
    <w:p w14:paraId="34B9B9D5" w14:textId="77777777" w:rsidR="00DB2B68" w:rsidRDefault="00000000">
      <w:pPr>
        <w:ind w:left="567"/>
        <w:jc w:val="both"/>
      </w:pPr>
      <w:r>
        <w:rPr>
          <w:b/>
          <w:i/>
        </w:rPr>
        <w:t>(Soit par défaut)</w:t>
      </w:r>
    </w:p>
    <w:p w14:paraId="541AED7B" w14:textId="77777777" w:rsidR="00DB2B68" w:rsidRDefault="00000000">
      <w:pPr>
        <w:ind w:left="567"/>
        <w:jc w:val="both"/>
      </w:pPr>
      <w:r>
        <w:rPr>
          <w:rStyle w:val="soitChar"/>
          <w:u w:val="single"/>
        </w:rPr>
        <w:t>Pose sur Mur porteur :</w:t>
      </w:r>
      <w:r>
        <w:rPr>
          <w:rStyle w:val="soitChar"/>
        </w:rPr>
        <w:t xml:space="preserve"> Après pose du plancher en CLT, l’assemblage est effectué par</w:t>
      </w:r>
      <w:r>
        <w:t>  </w:t>
      </w:r>
      <w:r>
        <w:rPr>
          <w:rStyle w:val="optioncarChar"/>
        </w:rPr>
        <w:t xml:space="preserve">tire-fond et appliquée sur le pli central intérieur du panneau à assembler ou par fixations inclines </w:t>
      </w:r>
      <w:r>
        <w:t>(par défaut)</w:t>
      </w:r>
      <w:r>
        <w:rPr>
          <w:rStyle w:val="optioncarChar"/>
        </w:rPr>
        <w:t xml:space="preserve"> / plats métallique / ***</w:t>
      </w:r>
      <w:r>
        <w:t xml:space="preserve">. </w:t>
      </w:r>
      <w:r>
        <w:rPr>
          <w:rStyle w:val="soitChar"/>
        </w:rPr>
        <w:t>Le nombre de fixations et les sections répondent au dimensionnement selon la [NBN EN 1995 série].</w:t>
      </w:r>
    </w:p>
    <w:p w14:paraId="28155E01" w14:textId="77777777" w:rsidR="00DB2B68" w:rsidRDefault="0000000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décente de charge suivant [NBN EN 1991 série]. </w:t>
      </w:r>
    </w:p>
    <w:p w14:paraId="56C4096E" w14:textId="77777777" w:rsidR="00DB2B68" w:rsidRDefault="00000000">
      <w:pPr>
        <w:ind w:left="567"/>
        <w:jc w:val="both"/>
      </w:pPr>
      <w:r>
        <w:rPr>
          <w:b/>
          <w:i/>
        </w:rPr>
        <w:t>(Soit)</w:t>
      </w:r>
    </w:p>
    <w:p w14:paraId="39AA9C39" w14:textId="77777777" w:rsidR="00DB2B68" w:rsidRDefault="00000000">
      <w:pPr>
        <w:ind w:left="567"/>
        <w:jc w:val="both"/>
      </w:pPr>
      <w:r>
        <w:rPr>
          <w:rStyle w:val="soitChar"/>
          <w:u w:val="single"/>
        </w:rPr>
        <w:t>Dispositifs d’ancrage ponctuels :</w:t>
      </w:r>
      <w:r>
        <w:rPr>
          <w:rStyle w:val="soitChar"/>
        </w:rPr>
        <w:t xml:space="preserve"> Les dispositifs de fixation sont des</w:t>
      </w:r>
      <w:r>
        <w:t xml:space="preserve">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t>.  </w:t>
      </w:r>
      <w:r>
        <w:rPr>
          <w:rStyle w:val="soitChar"/>
        </w:rPr>
        <w:t>Les dispositifs d’ancrages reprennent le panneaux CLT par tire-fond (par défaut) / tige filetée à une distance supérieure à </w:t>
      </w:r>
      <w:r>
        <w:rPr>
          <w:rStyle w:val="optioncarChar"/>
        </w:rPr>
        <w:t>50</w:t>
      </w:r>
      <w:r>
        <w:t xml:space="preserve"> (par défaut)</w:t>
      </w:r>
      <w:r>
        <w:rPr>
          <w:rStyle w:val="optioncarChar"/>
        </w:rPr>
        <w:t xml:space="preserve"> / *** </w:t>
      </w:r>
      <w:r>
        <w:rPr>
          <w:rStyle w:val="soitChar"/>
        </w:rPr>
        <w:t>mm de bord du panneau. </w:t>
      </w:r>
    </w:p>
    <w:p w14:paraId="613819B0" w14:textId="77777777" w:rsidR="00DB2B68" w:rsidRDefault="00000000">
      <w:pPr>
        <w:ind w:left="567"/>
        <w:jc w:val="both"/>
      </w:pPr>
      <w:r>
        <w:rPr>
          <w:rStyle w:val="soitChar"/>
        </w:rPr>
        <w:t>L’assemblage </w:t>
      </w:r>
      <w:r>
        <w:rPr>
          <w:rStyle w:val="optioncarChar"/>
        </w:rPr>
        <w:t xml:space="preserve">est </w:t>
      </w:r>
      <w:r>
        <w:t>(par défaut)</w:t>
      </w:r>
      <w:r>
        <w:rPr>
          <w:rStyle w:val="optioncarChar"/>
        </w:rPr>
        <w:t xml:space="preserve"> / n’est pas </w:t>
      </w:r>
      <w:r>
        <w:rPr>
          <w:rStyle w:val="soitChar"/>
        </w:rPr>
        <w:t>réalisé via un produit résilient. Le choix du produit résilient est effectué sur base du calcul de descente de charge suivant [NBN EN 1991 série].</w:t>
      </w:r>
    </w:p>
    <w:p w14:paraId="403E4CC1" w14:textId="77777777" w:rsidR="00DB2B68" w:rsidRDefault="00000000">
      <w:pPr>
        <w:ind w:left="567"/>
        <w:jc w:val="both"/>
      </w:pPr>
      <w:r>
        <w:rPr>
          <w:b/>
          <w:i/>
        </w:rPr>
        <w:t>(Soit)</w:t>
      </w:r>
    </w:p>
    <w:p w14:paraId="31135D75" w14:textId="77777777" w:rsidR="00DB2B68" w:rsidRDefault="00000000">
      <w:pPr>
        <w:ind w:left="567"/>
        <w:jc w:val="both"/>
      </w:pPr>
      <w:r>
        <w:rPr>
          <w:rStyle w:val="soitChar"/>
          <w:u w:val="single"/>
        </w:rPr>
        <w:t>Pose sur traverse :</w:t>
      </w:r>
      <w:r>
        <w:rPr>
          <w:rStyle w:val="soitChar"/>
        </w:rPr>
        <w:t xml:space="preserve"> La traverse est composée d’une poutre en</w:t>
      </w:r>
      <w:r>
        <w:t xml:space="preserve">  </w:t>
      </w:r>
      <w:r>
        <w:rPr>
          <w:rStyle w:val="optioncarChar"/>
        </w:rPr>
        <w:t>bois</w:t>
      </w:r>
      <w:r>
        <w:t xml:space="preserve"> (par défaut)</w:t>
      </w:r>
      <w:r>
        <w:rPr>
          <w:rStyle w:val="optioncarChar"/>
        </w:rPr>
        <w:t xml:space="preserve"> / acier / ***. </w:t>
      </w:r>
      <w:r>
        <w:rPr>
          <w:rStyle w:val="soitChar"/>
        </w:rPr>
        <w:t>La poutre est fixée sur le mur porteur par l’intermédiaire de </w:t>
      </w:r>
      <w:r>
        <w:rPr>
          <w:rStyle w:val="optioncarChar"/>
        </w:rPr>
        <w:t xml:space="preserve">chevilles métalliques </w:t>
      </w:r>
      <w:r>
        <w:t>(par défaut)</w:t>
      </w:r>
      <w:r>
        <w:rPr>
          <w:rStyle w:val="optioncarChar"/>
        </w:rPr>
        <w:t xml:space="preserve"> / tiges filetées / équerres de fixation / ***</w:t>
      </w:r>
      <w:r>
        <w:t xml:space="preserve">. </w:t>
      </w:r>
      <w:r>
        <w:rPr>
          <w:rStyle w:val="soitChar"/>
        </w:rPr>
        <w:t xml:space="preserve">La poutre en bois est décrite dans l’article </w:t>
      </w:r>
      <w:hyperlink w:anchor="588" w:history="1">
        <w:r>
          <w:rPr>
            <w:rStyle w:val="soitChar"/>
            <w:color w:val="0000EE"/>
          </w:rPr>
          <w:t>24.13.1a Poutres et barres en bois massif à section rectangulaire</w:t>
        </w:r>
      </w:hyperlink>
      <w:r>
        <w:rPr>
          <w:rStyle w:val="soitChar"/>
        </w:rPr>
        <w:t xml:space="preserve">. La poutre en acier est décrite dans le sous-titre </w:t>
      </w:r>
      <w:hyperlink w:anchor="589" w:history="1">
        <w:r>
          <w:rPr>
            <w:rStyle w:val="soitChar"/>
            <w:color w:val="0000EE"/>
          </w:rPr>
          <w:t>23.11 Poutres métalliques</w:t>
        </w:r>
      </w:hyperlink>
      <w:r>
        <w:rPr>
          <w:rStyle w:val="soitChar"/>
        </w:rPr>
        <w:t>.</w:t>
      </w:r>
    </w:p>
    <w:p w14:paraId="4EF52712" w14:textId="77777777" w:rsidR="00DB2B68" w:rsidRDefault="00000000">
      <w:pPr>
        <w:ind w:left="567"/>
        <w:jc w:val="both"/>
      </w:pPr>
      <w:r>
        <w:rPr>
          <w:rStyle w:val="soitChar"/>
        </w:rPr>
        <w:t>La dalle est fixée sur la poutre par l’intermédiaire de </w:t>
      </w:r>
      <w:r>
        <w:rPr>
          <w:rStyle w:val="optioncarChar"/>
        </w:rPr>
        <w:t xml:space="preserve">chevilles métalliques </w:t>
      </w:r>
      <w:r>
        <w:t xml:space="preserve">(par défaut) </w:t>
      </w:r>
      <w:r>
        <w:rPr>
          <w:rStyle w:val="optioncarChar"/>
        </w:rPr>
        <w:t>/ tiges filetées / équerres de fixation / ***.</w:t>
      </w:r>
    </w:p>
    <w:p w14:paraId="2DE8C803" w14:textId="77777777" w:rsidR="00DB2B68" w:rsidRDefault="00000000">
      <w:pPr>
        <w:ind w:left="567"/>
        <w:jc w:val="both"/>
      </w:pPr>
      <w:r>
        <w:rPr>
          <w:b/>
          <w:i/>
        </w:rPr>
        <w:t>(Soit)</w:t>
      </w:r>
    </w:p>
    <w:p w14:paraId="564DF933" w14:textId="77777777" w:rsidR="00DB2B68" w:rsidRDefault="00000000">
      <w:pPr>
        <w:ind w:left="567"/>
        <w:jc w:val="both"/>
      </w:pPr>
      <w:r>
        <w:rPr>
          <w:rStyle w:val="optioncarChar"/>
        </w:rPr>
        <w:t>***</w:t>
      </w:r>
      <w:r>
        <w:t> </w:t>
      </w:r>
    </w:p>
    <w:p w14:paraId="085DF8C4" w14:textId="77777777" w:rsidR="00DB2B68" w:rsidRDefault="00DB2B68"/>
    <w:p w14:paraId="181D2583" w14:textId="77777777" w:rsidR="00DB2B68" w:rsidRDefault="0000000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3134CFCF" w14:textId="77777777" w:rsidR="00DB2B68" w:rsidRDefault="00000000">
      <w:pPr>
        <w:jc w:val="both"/>
      </w:pPr>
      <w:r>
        <w:t xml:space="preserve">Les fixations, pointes ou vis, des panneaux sont effectuées sur </w:t>
      </w:r>
      <w:r>
        <w:rPr>
          <w:rStyle w:val="optioncarChar"/>
        </w:rPr>
        <w:t>2 / 3</w:t>
      </w:r>
      <w:r>
        <w:t xml:space="preserve"> (par défaut) </w:t>
      </w:r>
      <w:r>
        <w:rPr>
          <w:rStyle w:val="optioncarChar"/>
        </w:rPr>
        <w:t>/ ***</w:t>
      </w:r>
      <w:r>
        <w:t xml:space="preserve"> de l’épaisseur du panneau.</w:t>
      </w:r>
    </w:p>
    <w:p w14:paraId="5214FB09" w14:textId="77777777" w:rsidR="00DB2B68" w:rsidRDefault="00000000">
      <w:pPr>
        <w:jc w:val="both"/>
      </w:pPr>
      <w:r>
        <w:t xml:space="preserve">Les dispositifs d’ancrage sont décrits dans les éléments du </w:t>
      </w:r>
      <w:hyperlink w:anchor="585" w:history="1">
        <w:r>
          <w:rPr>
            <w:color w:val="0000EE"/>
          </w:rPr>
          <w:t>24.4 Assemblages</w:t>
        </w:r>
      </w:hyperlink>
      <w:r>
        <w:t>.</w:t>
      </w:r>
    </w:p>
    <w:p w14:paraId="09EF6303" w14:textId="77777777" w:rsidR="00DB2B68" w:rsidRDefault="00000000">
      <w:pPr>
        <w:pStyle w:val="pheading"/>
      </w:pPr>
      <w:r>
        <w:t>DOCUMENTS DE RÉFÉRENCE COMPLÉMENTAIRES</w:t>
      </w:r>
    </w:p>
    <w:p w14:paraId="3FB61C4B" w14:textId="77777777" w:rsidR="00DB2B68" w:rsidRDefault="00000000">
      <w:pPr>
        <w:pStyle w:val="pheading"/>
      </w:pPr>
      <w:r>
        <w:t>- Matériau</w:t>
      </w:r>
    </w:p>
    <w:p w14:paraId="4868378C" w14:textId="77777777" w:rsidR="00DB2B68" w:rsidRDefault="00000000">
      <w:r>
        <w:t>[NBN EN 301, Adhésifs de nature phénolique et aminoplaste, pour structures portantes en bois - Classification et exigences de performance]</w:t>
      </w:r>
    </w:p>
    <w:p w14:paraId="6127C894" w14:textId="77777777" w:rsidR="00DB2B68" w:rsidRDefault="00000000">
      <w:r>
        <w:t>[NBN EN 302-2, Adhésifs pour structures portantes en bois - Méthodes d'essais - Partie 2 : Détermination de la résistance à la délamination]</w:t>
      </w:r>
    </w:p>
    <w:p w14:paraId="4E46C3FC" w14:textId="77777777" w:rsidR="00DB2B68" w:rsidRDefault="00000000">
      <w:r>
        <w:t>[NBN EN 408+A1, Structures en bois - Bois de structure et bois lamellé-collé - Détermination de certaines propriétés physiques et mécaniques]</w:t>
      </w:r>
    </w:p>
    <w:p w14:paraId="0BD97BCF" w14:textId="77777777" w:rsidR="00DB2B68" w:rsidRDefault="00000000">
      <w:r>
        <w:t>[NBN EN 1991 série, Eurocode 1 : Actions sur les structures]</w:t>
      </w:r>
    </w:p>
    <w:p w14:paraId="316F5ED6" w14:textId="77777777" w:rsidR="00DB2B68" w:rsidRDefault="00000000">
      <w:r>
        <w:lastRenderedPageBreak/>
        <w:t>[NBN EN 1995 série, Eurocode 5: Conception et calcul des structures en bois]</w:t>
      </w:r>
    </w:p>
    <w:p w14:paraId="1895F8C8"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C75DD9B" w14:textId="77777777" w:rsidR="00DB2B68" w:rsidRDefault="00000000">
      <w:r>
        <w:t>[NBN EN 13556, Bois ronds et bois sciés - Nomenclature des bois utilisés en Europe]</w:t>
      </w:r>
    </w:p>
    <w:p w14:paraId="60C3720D" w14:textId="77777777" w:rsidR="00DB2B68" w:rsidRDefault="00000000">
      <w:r>
        <w:t>[NBN EN 14358, Structures en bois - Détermination et vérification des valeurs caractéristiques]</w:t>
      </w:r>
    </w:p>
    <w:p w14:paraId="44FB4865" w14:textId="77777777" w:rsidR="00DB2B68" w:rsidRDefault="00000000">
      <w:r>
        <w:t>[NBN EN 15425, Adhésifs - Adhésifs polyuréthane monocomposants (PUR) pour structures portantes en bois - Classification et exigences de performance]</w:t>
      </w:r>
    </w:p>
    <w:p w14:paraId="77152534" w14:textId="77777777" w:rsidR="00DB2B68" w:rsidRDefault="00000000">
      <w:r>
        <w:t>[NBN EN 16351, Structures en bois - Bois lamellé croisé - Exigences]</w:t>
      </w:r>
    </w:p>
    <w:p w14:paraId="014125EB" w14:textId="77777777" w:rsidR="00DB2B68" w:rsidRDefault="00000000">
      <w:pPr>
        <w:pStyle w:val="pheading"/>
      </w:pPr>
      <w:r>
        <w:t>MESURAGE</w:t>
      </w:r>
    </w:p>
    <w:p w14:paraId="3B585CBF" w14:textId="77777777" w:rsidR="00DB2B68" w:rsidRDefault="00000000">
      <w:pPr>
        <w:pStyle w:val="pheading"/>
      </w:pPr>
      <w:r>
        <w:t>- unité de mesure:</w:t>
      </w:r>
    </w:p>
    <w:p w14:paraId="47EAE3F4" w14:textId="77777777" w:rsidR="00DB2B68" w:rsidRDefault="00000000">
      <w:r>
        <w:rPr>
          <w:rStyle w:val="optioncarChar"/>
        </w:rPr>
        <w:t>m² </w:t>
      </w:r>
      <w:r>
        <w:t xml:space="preserve">(par défaut) </w:t>
      </w:r>
      <w:r>
        <w:rPr>
          <w:rStyle w:val="optioncarChar"/>
        </w:rPr>
        <w:t>/ m³</w:t>
      </w:r>
    </w:p>
    <w:p w14:paraId="1937E168" w14:textId="77777777" w:rsidR="00DB2B68" w:rsidRDefault="00000000">
      <w:r>
        <w:rPr>
          <w:b/>
          <w:i/>
        </w:rPr>
        <w:t>(Soit par défaut)</w:t>
      </w:r>
    </w:p>
    <w:p w14:paraId="0FCF1D7D" w14:textId="77777777" w:rsidR="00DB2B68" w:rsidRDefault="00000000">
      <w:r>
        <w:rPr>
          <w:rStyle w:val="soitChar"/>
        </w:rPr>
        <w:t>1. m²</w:t>
      </w:r>
    </w:p>
    <w:p w14:paraId="17AAFB8F" w14:textId="77777777" w:rsidR="00DB2B68" w:rsidRDefault="00000000">
      <w:r>
        <w:rPr>
          <w:b/>
          <w:i/>
        </w:rPr>
        <w:t>(Soit)</w:t>
      </w:r>
    </w:p>
    <w:p w14:paraId="15816ACD" w14:textId="77777777" w:rsidR="00DB2B68" w:rsidRDefault="00000000">
      <w:r>
        <w:rPr>
          <w:rStyle w:val="soitChar"/>
        </w:rPr>
        <w:t>2. m³</w:t>
      </w:r>
    </w:p>
    <w:p w14:paraId="20EB09C0" w14:textId="77777777" w:rsidR="00DB2B68" w:rsidRDefault="00000000">
      <w:pPr>
        <w:pStyle w:val="pheading"/>
      </w:pPr>
      <w:r>
        <w:t>- code de mesurage:</w:t>
      </w:r>
    </w:p>
    <w:p w14:paraId="73E1C4F7" w14:textId="77777777" w:rsidR="00DB2B68" w:rsidRDefault="00000000">
      <w:pPr>
        <w:jc w:val="both"/>
      </w:pPr>
      <w:r>
        <w:rPr>
          <w:rStyle w:val="optioncarChar"/>
        </w:rPr>
        <w:t xml:space="preserve">Surface nette </w:t>
      </w:r>
      <w:r>
        <w:t xml:space="preserve">(par défaut) </w:t>
      </w:r>
      <w:r>
        <w:rPr>
          <w:rStyle w:val="optioncarChar"/>
        </w:rPr>
        <w:t>/ Volume net</w:t>
      </w:r>
    </w:p>
    <w:p w14:paraId="374E3D1B" w14:textId="77777777" w:rsidR="00DB2B68" w:rsidRDefault="00000000">
      <w:pPr>
        <w:jc w:val="both"/>
      </w:pPr>
      <w:r>
        <w:rPr>
          <w:b/>
          <w:i/>
        </w:rPr>
        <w:t>(Soit par défaut)</w:t>
      </w:r>
    </w:p>
    <w:p w14:paraId="4F8AF492" w14:textId="77777777" w:rsidR="00DB2B68" w:rsidRDefault="00000000">
      <w:pPr>
        <w:jc w:val="both"/>
      </w:pPr>
      <w:r>
        <w:rPr>
          <w:rStyle w:val="soitChar"/>
          <w:b/>
        </w:rPr>
        <w:t>1.</w:t>
      </w:r>
      <w:r>
        <w:rPr>
          <w:rStyle w:val="soitChar"/>
          <w:u w:val="single"/>
        </w:rPr>
        <w:t xml:space="preserve"> Surface nette </w:t>
      </w:r>
      <w:r>
        <w:rPr>
          <w:rStyle w:val="soitChar"/>
        </w:rPr>
        <w:t xml:space="preserve"> à mettre en œuvre. Les réservations inférieures à 2 m² ne sont pas déduites. Distinction faite suivant l'épaisseur.</w:t>
      </w:r>
    </w:p>
    <w:p w14:paraId="20D574FC" w14:textId="77777777" w:rsidR="00DB2B68" w:rsidRDefault="00000000">
      <w:pPr>
        <w:jc w:val="both"/>
      </w:pPr>
      <w:r>
        <w:rPr>
          <w:b/>
          <w:i/>
        </w:rPr>
        <w:t>(Soit)</w:t>
      </w:r>
    </w:p>
    <w:p w14:paraId="37F5A943" w14:textId="77777777" w:rsidR="00DB2B68" w:rsidRDefault="00000000">
      <w:pPr>
        <w:jc w:val="both"/>
      </w:pPr>
      <w:r>
        <w:rPr>
          <w:rStyle w:val="soitChar"/>
          <w:b/>
        </w:rPr>
        <w:t>2.</w:t>
      </w:r>
      <w:r>
        <w:rPr>
          <w:rStyle w:val="soitChar"/>
          <w:u w:val="single"/>
        </w:rPr>
        <w:t xml:space="preserve"> Volume net </w:t>
      </w:r>
      <w:r>
        <w:rPr>
          <w:rStyle w:val="soitChar"/>
        </w:rPr>
        <w:t xml:space="preserve"> à mettre en œuvre. Les ouvertures supérieures à 2 m² multipliées par l’épaisseur à réaliser sont déduites. Distinction faite suivant l’épaisseur. </w:t>
      </w:r>
    </w:p>
    <w:p w14:paraId="666B2E47" w14:textId="77777777" w:rsidR="00DB2B68" w:rsidRDefault="00000000">
      <w:pPr>
        <w:pStyle w:val="pheading"/>
      </w:pPr>
      <w:r>
        <w:t>- nature du marché:</w:t>
      </w:r>
    </w:p>
    <w:p w14:paraId="38DB49D0" w14:textId="77777777" w:rsidR="00DB2B68" w:rsidRDefault="00000000">
      <w:r>
        <w:t>QF</w:t>
      </w:r>
    </w:p>
    <w:p w14:paraId="4FAB793E" w14:textId="77777777" w:rsidR="00DB2B68" w:rsidRDefault="00000000">
      <w:pPr>
        <w:pStyle w:val="Author-eSectionHeading6Numberless"/>
      </w:pPr>
      <w:bookmarkStart w:id="1621" w:name="_Toc220496611"/>
      <w:r>
        <w:t>24.14.1b Planchers massifs en CLT cloués collés CCTB 01.11</w:t>
      </w:r>
      <w:bookmarkEnd w:id="1621"/>
    </w:p>
    <w:p w14:paraId="005720B6" w14:textId="77777777" w:rsidR="00DB2B68" w:rsidRDefault="00000000">
      <w:pPr>
        <w:pStyle w:val="pheading"/>
      </w:pPr>
      <w:bookmarkStart w:id="1622" w:name="590"/>
      <w:bookmarkEnd w:id="1622"/>
      <w:r>
        <w:t>DESCRIPTION</w:t>
      </w:r>
    </w:p>
    <w:p w14:paraId="298E89C9" w14:textId="77777777" w:rsidR="00DB2B68" w:rsidRDefault="00000000">
      <w:pPr>
        <w:pStyle w:val="pheading"/>
      </w:pPr>
      <w:r>
        <w:t>- Définition / Comprend</w:t>
      </w:r>
    </w:p>
    <w:p w14:paraId="5C48A92E" w14:textId="77777777" w:rsidR="00DB2B68" w:rsidRDefault="00000000">
      <w:pPr>
        <w:jc w:val="both"/>
      </w:pPr>
      <w:r>
        <w:t>Il s’agit de la fourniture et la pose de tous les éléments constitués de panneaux lamellés croisés cloués collés en bois ou à base de bois constituant les systèmes de construction CLT portants et non portants quel que soit le type d’aboutage, y compris toutes les pièces qui en font intrinsèquement partie (notamment les dispositifs d’assemblage).</w:t>
      </w:r>
    </w:p>
    <w:p w14:paraId="6A8F24AC" w14:textId="77777777" w:rsidR="00DB2B68" w:rsidRDefault="00000000">
      <w:pPr>
        <w:pStyle w:val="pheading"/>
      </w:pPr>
      <w:r>
        <w:t>- Localisation</w:t>
      </w:r>
    </w:p>
    <w:p w14:paraId="107EC7F5" w14:textId="77777777" w:rsidR="00DB2B68" w:rsidRDefault="00000000">
      <w:r>
        <w:t xml:space="preserve">Localisation des travaux : </w:t>
      </w:r>
      <w:r>
        <w:rPr>
          <w:rStyle w:val="optioncarChar"/>
        </w:rPr>
        <w:t>***</w:t>
      </w:r>
      <w:r>
        <w:t>.</w:t>
      </w:r>
    </w:p>
    <w:p w14:paraId="6AC9C3F0" w14:textId="77777777" w:rsidR="00DB2B68" w:rsidRDefault="00000000">
      <w:r>
        <w:t>Voir plans et métrés détaillés.</w:t>
      </w:r>
    </w:p>
    <w:p w14:paraId="596EC865" w14:textId="77777777" w:rsidR="00DB2B68" w:rsidRDefault="00000000">
      <w:pPr>
        <w:pStyle w:val="pheading"/>
      </w:pPr>
      <w:r>
        <w:t>MATÉRIAUX</w:t>
      </w:r>
    </w:p>
    <w:p w14:paraId="0A0AAE6D" w14:textId="77777777" w:rsidR="00DB2B68" w:rsidRDefault="00000000">
      <w:pPr>
        <w:pStyle w:val="pheading"/>
      </w:pPr>
      <w:r>
        <w:t>- Caractéristiques générales</w:t>
      </w:r>
    </w:p>
    <w:p w14:paraId="56D23602" w14:textId="77777777" w:rsidR="00DB2B68" w:rsidRDefault="00000000">
      <w:pPr>
        <w:jc w:val="both"/>
      </w:pPr>
      <w:r>
        <w:t>Épaisseur totale du panneau CLT : </w:t>
      </w:r>
      <w:r>
        <w:rPr>
          <w:rStyle w:val="optioncarChar"/>
        </w:rPr>
        <w:t>***</w:t>
      </w:r>
      <w:r>
        <w:t> mm.</w:t>
      </w:r>
    </w:p>
    <w:p w14:paraId="596EBD39" w14:textId="77777777" w:rsidR="00DB2B68" w:rsidRDefault="00000000">
      <w:pPr>
        <w:jc w:val="both"/>
      </w:pPr>
      <w:r>
        <w:t>Les essences de bois composant les lames du panneau sont définies conformément à la [NBN EN 13556] : </w:t>
      </w:r>
      <w:r>
        <w:rPr>
          <w:rStyle w:val="optioncarChar"/>
        </w:rPr>
        <w:t>Épicéa (Picea abies, PCAB) </w:t>
      </w:r>
      <w:r>
        <w:t>(par défaut)</w:t>
      </w:r>
      <w:r>
        <w:rPr>
          <w:rStyle w:val="optioncarChar"/>
        </w:rPr>
        <w:t xml:space="preserve"> / Sapin (Abies alba, ABAL) / Pin sylvestre (Pinus </w:t>
      </w:r>
      <w:r>
        <w:rPr>
          <w:rStyle w:val="optioncarChar"/>
        </w:rPr>
        <w:lastRenderedPageBreak/>
        <w:t>sylvestris, PNSY) / Douglas (Pseudotsuga menziesii, PSMN) / Mélèzes (Larix spp) / Peupliers (Populus spp) / Pin maritime (Pinus pinaster, PNPN) / Hêtre / ***</w:t>
      </w:r>
      <w:r>
        <w:t>.</w:t>
      </w:r>
    </w:p>
    <w:p w14:paraId="085E0D06" w14:textId="77777777" w:rsidR="00DB2B68" w:rsidRDefault="00000000">
      <w:pPr>
        <w:jc w:val="both"/>
      </w:pPr>
      <w:r>
        <w:t>Classe de résistance : </w:t>
      </w:r>
      <w:r>
        <w:rPr>
          <w:rStyle w:val="optioncarChar"/>
        </w:rPr>
        <w:t>C18 </w:t>
      </w:r>
      <w:r>
        <w:t>(par défaut) </w:t>
      </w:r>
      <w:r>
        <w:rPr>
          <w:rStyle w:val="optioncarChar"/>
        </w:rPr>
        <w:t>/ D18 / C24 / D24 / C30 / D30 / ***</w:t>
      </w:r>
    </w:p>
    <w:p w14:paraId="1B266670" w14:textId="77777777" w:rsidR="00DB2B68" w:rsidRDefault="00000000">
      <w:pPr>
        <w:jc w:val="both"/>
      </w:pPr>
      <w:r>
        <w:t>Les panneaux sont composés de </w:t>
      </w:r>
      <w:r>
        <w:rPr>
          <w:rStyle w:val="optioncarChar"/>
        </w:rPr>
        <w:t>3 / 5</w:t>
      </w:r>
      <w:r>
        <w:t> (par défaut)</w:t>
      </w:r>
      <w:r>
        <w:rPr>
          <w:rStyle w:val="optioncarChar"/>
        </w:rPr>
        <w:t> / 7 / *** </w:t>
      </w:r>
      <w:r>
        <w:t>couches (plis). Les couches sont composées</w:t>
      </w:r>
      <w:r>
        <w:rPr>
          <w:rStyle w:val="optioncarChar"/>
        </w:rPr>
        <w:t> de lames de bois de même essence et de même classe de résistance</w:t>
      </w:r>
      <w:r>
        <w:t> (par défaut)</w:t>
      </w:r>
      <w:r>
        <w:rPr>
          <w:rStyle w:val="optioncarChar"/>
        </w:rPr>
        <w:t> / de couches intérieures en épicéa C 16 / de lames en bois sur les couches extérieures et panneaux de type MDF (classe MDFLA) en plis centraux / ***.</w:t>
      </w:r>
    </w:p>
    <w:p w14:paraId="2B34A690" w14:textId="77777777" w:rsidR="00DB2B68" w:rsidRDefault="00000000">
      <w:pPr>
        <w:jc w:val="both"/>
      </w:pPr>
      <w:r>
        <w:t>L’épaisseur des lames </w:t>
      </w:r>
      <w:r>
        <w:rPr>
          <w:rStyle w:val="optioncarChar"/>
        </w:rPr>
        <w:t>est</w:t>
      </w:r>
      <w:r>
        <w:t> (par défaut)</w:t>
      </w:r>
      <w:r>
        <w:rPr>
          <w:rStyle w:val="optioncarChar"/>
        </w:rPr>
        <w:t> / n’est pas</w:t>
      </w:r>
      <w:r>
        <w:t> constante sur tous les plis. La composition des épaisseurs des plis est: </w:t>
      </w:r>
      <w:r>
        <w:rPr>
          <w:rStyle w:val="optioncarChar"/>
        </w:rPr>
        <w:t>30-30-30 / 30-40-30 / 40/-40-40 / 20-20-20-20-20 </w:t>
      </w:r>
      <w:r>
        <w:t>(par défaut) </w:t>
      </w:r>
      <w:r>
        <w:rPr>
          <w:rStyle w:val="optioncarChar"/>
        </w:rPr>
        <w:t>/  20-30-20-30 / 40-20-20-20-40 / ***</w:t>
      </w:r>
      <w:r>
        <w:t> mm</w:t>
      </w:r>
    </w:p>
    <w:p w14:paraId="1DE6ADEB" w14:textId="77777777" w:rsidR="00DB2B68" w:rsidRDefault="00000000">
      <w:pPr>
        <w:jc w:val="both"/>
      </w:pPr>
      <w:r>
        <w:t>Les lames </w:t>
      </w:r>
      <w:r>
        <w:rPr>
          <w:rStyle w:val="optioncarChar"/>
        </w:rPr>
        <w:t>ne sont pas </w:t>
      </w:r>
      <w:r>
        <w:t>(par défaut)</w:t>
      </w:r>
      <w:r>
        <w:rPr>
          <w:rStyle w:val="optioncarChar"/>
        </w:rPr>
        <w:t> / sont</w:t>
      </w:r>
      <w:r>
        <w:t> munies de fente (rainures) de soulagement.</w:t>
      </w:r>
    </w:p>
    <w:p w14:paraId="35AACE6A" w14:textId="77777777" w:rsidR="00DB2B68" w:rsidRDefault="00000000">
      <w:pPr>
        <w:jc w:val="both"/>
      </w:pPr>
      <w:r>
        <w:t>La réaction au feu est de classe </w:t>
      </w:r>
      <w:r>
        <w:rPr>
          <w:rStyle w:val="optioncarChar"/>
        </w:rPr>
        <w:t>D-s2, d0 </w:t>
      </w:r>
      <w:r>
        <w:t>(par défaut) </w:t>
      </w:r>
      <w:r>
        <w:rPr>
          <w:rStyle w:val="optioncarChar"/>
        </w:rPr>
        <w:t>/ ***.</w:t>
      </w:r>
    </w:p>
    <w:p w14:paraId="74BD7B44" w14:textId="77777777" w:rsidR="00DB2B68" w:rsidRDefault="00000000">
      <w:pPr>
        <w:jc w:val="both"/>
      </w:pPr>
      <w:r>
        <w:t>La résistance au feu déclarée de la paroi:</w:t>
      </w:r>
      <w:r>
        <w:rPr>
          <w:rStyle w:val="optioncarChar"/>
        </w:rPr>
        <w:t> pas d’exigences </w:t>
      </w:r>
      <w:r>
        <w:t>(par défaut) </w:t>
      </w:r>
      <w:r>
        <w:rPr>
          <w:rStyle w:val="optioncarChar"/>
        </w:rPr>
        <w:t>/ REI 30 / EI30 / REI 60 / EI 60 / ***.</w:t>
      </w:r>
    </w:p>
    <w:p w14:paraId="242ED9D7" w14:textId="77777777" w:rsidR="00DB2B68" w:rsidRDefault="00000000">
      <w:pPr>
        <w:jc w:val="both"/>
      </w:pPr>
      <w:r>
        <w:t>L’étanchéité à l’air est Q</w:t>
      </w:r>
      <w:r>
        <w:rPr>
          <w:vertAlign w:val="subscript"/>
        </w:rPr>
        <w:t>50</w:t>
      </w:r>
      <w:r>
        <w:t> ≤ </w:t>
      </w:r>
      <w:r>
        <w:rPr>
          <w:rStyle w:val="optioncarChar"/>
        </w:rPr>
        <w:t>0.1</w:t>
      </w:r>
      <w:r>
        <w:t> (par défaut)</w:t>
      </w:r>
      <w:r>
        <w:rPr>
          <w:rStyle w:val="optioncarChar"/>
        </w:rPr>
        <w:t> / 0.2 / ***</w:t>
      </w:r>
      <w:r>
        <w:t> m³/hm².</w:t>
      </w:r>
    </w:p>
    <w:p w14:paraId="3467C394" w14:textId="77777777" w:rsidR="00DB2B68"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0BC6E0A2" w14:textId="77777777" w:rsidR="00DB2B68" w:rsidRDefault="00000000">
      <w:pPr>
        <w:jc w:val="both"/>
      </w:pPr>
      <w:r>
        <w:t>Le coefficient de résistance à la diffusion de vapeur d’eau – valeur μ pour un taux d’humidité du bois de 11 % (selon [NBN EN 12086]): </w:t>
      </w:r>
      <w:r>
        <w:rPr>
          <w:rStyle w:val="optioncarChar"/>
        </w:rPr>
        <w:t>≥ 50 </w:t>
      </w:r>
      <w:r>
        <w:t>(par défaut) </w:t>
      </w:r>
      <w:r>
        <w:rPr>
          <w:rStyle w:val="optioncarChar"/>
        </w:rPr>
        <w:t>/ ≥ 30  / ≤ 100 / ***.</w:t>
      </w:r>
    </w:p>
    <w:p w14:paraId="67A44E7D" w14:textId="77777777" w:rsidR="00DB2B68" w:rsidRDefault="00000000">
      <w:pPr>
        <w:jc w:val="both"/>
      </w:pPr>
      <w:r>
        <w:t>La durabilité des panneaux en fonction de leur classe d’emploi, est assurée par la mesure suivante : </w:t>
      </w:r>
      <w:r>
        <w:rPr>
          <w:rStyle w:val="optioncarChar"/>
        </w:rPr>
        <w:t>traitement A1</w:t>
      </w:r>
      <w:r>
        <w:t> (par défaut)</w:t>
      </w:r>
      <w:r>
        <w:rPr>
          <w:rStyle w:val="optioncarChar"/>
        </w:rPr>
        <w:t> / traitement A2.2 / bois modifié thermiquement / bois hors aubier / ***.</w:t>
      </w:r>
    </w:p>
    <w:p w14:paraId="2563EE9F" w14:textId="77777777" w:rsidR="00DB2B68" w:rsidRDefault="00000000">
      <w:pPr>
        <w:jc w:val="both"/>
      </w:pPr>
      <w:r>
        <w:t> </w:t>
      </w:r>
    </w:p>
    <w:p w14:paraId="05C6221B" w14:textId="77777777" w:rsidR="00DB2B68" w:rsidRDefault="00000000">
      <w:pPr>
        <w:jc w:val="both"/>
      </w:pPr>
      <w:r>
        <w:t>Le collage des plis est assuré par </w:t>
      </w:r>
      <w:r>
        <w:rPr>
          <w:rStyle w:val="optioncarChar"/>
        </w:rPr>
        <w:t>les spécifications du fabricant </w:t>
      </w:r>
      <w:r>
        <w:t>(par défaut)</w:t>
      </w:r>
      <w:r>
        <w:rPr>
          <w:rStyle w:val="optioncarChar"/>
        </w:rPr>
        <w:t> / adhésifs polyuréthane monocomposants durcissant à l'humidité (PUR) / adhésifs de nature phénolique et aminoplaste (par exemple MF, MUF, PRF, UF) / adhésifs à base d'isocyanate et de polymère en émulsion (EPI).</w:t>
      </w:r>
    </w:p>
    <w:p w14:paraId="1D171F35" w14:textId="77777777" w:rsidR="00DB2B68" w:rsidRDefault="00000000">
      <w:pPr>
        <w:ind w:left="567"/>
        <w:jc w:val="both"/>
      </w:pPr>
      <w:r>
        <w:rPr>
          <w:b/>
          <w:i/>
        </w:rPr>
        <w:t>(Soit par défaut)</w:t>
      </w:r>
    </w:p>
    <w:p w14:paraId="1B14ECFA" w14:textId="77777777" w:rsidR="00DB2B68" w:rsidRDefault="00000000">
      <w:pPr>
        <w:ind w:left="567"/>
        <w:jc w:val="both"/>
      </w:pPr>
      <w:r>
        <w:rPr>
          <w:rStyle w:val="soitChar"/>
          <w:u w:val="single"/>
        </w:rPr>
        <w:t>Les spécifications du fabricant</w:t>
      </w:r>
    </w:p>
    <w:p w14:paraId="0CD3F98E" w14:textId="77777777" w:rsidR="00DB2B68" w:rsidRDefault="00000000">
      <w:pPr>
        <w:ind w:left="567"/>
        <w:jc w:val="both"/>
      </w:pPr>
      <w:r>
        <w:rPr>
          <w:b/>
          <w:i/>
        </w:rPr>
        <w:t>(Soit)</w:t>
      </w:r>
    </w:p>
    <w:p w14:paraId="3B19820C" w14:textId="77777777" w:rsidR="00DB2B68"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5C9EC872" w14:textId="77777777" w:rsidR="00DB2B68" w:rsidRDefault="00000000">
      <w:pPr>
        <w:ind w:left="567"/>
        <w:jc w:val="both"/>
      </w:pPr>
      <w:r>
        <w:rPr>
          <w:b/>
          <w:i/>
        </w:rPr>
        <w:t>(Soit)</w:t>
      </w:r>
    </w:p>
    <w:p w14:paraId="527C9F32" w14:textId="77777777" w:rsidR="00DB2B68" w:rsidRDefault="0000000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w:t>
      </w:r>
    </w:p>
    <w:p w14:paraId="11F41C94" w14:textId="77777777" w:rsidR="00DB2B68" w:rsidRDefault="00000000">
      <w:pPr>
        <w:ind w:left="567"/>
        <w:jc w:val="both"/>
      </w:pPr>
      <w:r>
        <w:rPr>
          <w:b/>
          <w:i/>
        </w:rPr>
        <w:t>(Soit)</w:t>
      </w:r>
    </w:p>
    <w:p w14:paraId="5CF92451" w14:textId="77777777" w:rsidR="00DB2B68"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5CF32D5D" w14:textId="77777777" w:rsidR="00DB2B68" w:rsidRDefault="00000000">
      <w:pPr>
        <w:jc w:val="both"/>
      </w:pPr>
      <w:r>
        <w:t> </w:t>
      </w:r>
    </w:p>
    <w:p w14:paraId="78201EE0" w14:textId="77777777" w:rsidR="00DB2B68" w:rsidRDefault="00000000">
      <w:pPr>
        <w:jc w:val="both"/>
      </w:pPr>
      <w:r>
        <w:t xml:space="preserve">L’assemblage des plis est réalisé par </w:t>
      </w:r>
      <w:r>
        <w:rPr>
          <w:rStyle w:val="optioncarChar"/>
        </w:rPr>
        <w:t>clous en aluminium</w:t>
      </w:r>
      <w:r>
        <w:t xml:space="preserve"> (par défaut)</w:t>
      </w:r>
      <w:r>
        <w:rPr>
          <w:rStyle w:val="optioncarChar"/>
        </w:rPr>
        <w:t xml:space="preserve"> / acier / ***</w:t>
      </w:r>
      <w:r>
        <w:t xml:space="preserve">. Le nombre de fixation est de min </w:t>
      </w:r>
      <w:r>
        <w:rPr>
          <w:rStyle w:val="optioncarChar"/>
        </w:rPr>
        <w:t xml:space="preserve">60 </w:t>
      </w:r>
      <w:r>
        <w:t>(par défaut)</w:t>
      </w:r>
      <w:r>
        <w:rPr>
          <w:rStyle w:val="optioncarChar"/>
        </w:rPr>
        <w:t xml:space="preserve"> / ***</w:t>
      </w:r>
      <w:r>
        <w:t xml:space="preserve"> clous par m² par pli.</w:t>
      </w:r>
    </w:p>
    <w:p w14:paraId="034D6C44" w14:textId="77777777" w:rsidR="00DB2B68" w:rsidRDefault="00000000">
      <w:pPr>
        <w:jc w:val="both"/>
      </w:pPr>
      <w:r>
        <w:t>En l’absence de méthode de calcul de stabilité harmonisée sur ce produit, les performances mécaniques sont déterminées par essais pour répondre aux exigences déterminées dans l’étude de stabilité.</w:t>
      </w:r>
    </w:p>
    <w:p w14:paraId="4C3F2DF7" w14:textId="77777777" w:rsidR="00DB2B68" w:rsidRDefault="00000000">
      <w:pPr>
        <w:jc w:val="both"/>
      </w:pPr>
      <w:r>
        <w:lastRenderedPageBreak/>
        <w:t>Pour une application de plancher, le rapport comprend les essais de flexion selon les deux directions du plan du panneau, de cisaillement ainsi que les modules de glissement.</w:t>
      </w:r>
    </w:p>
    <w:p w14:paraId="2ED33E97" w14:textId="77777777" w:rsidR="00DB2B68"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7914F9DF" w14:textId="77777777" w:rsidR="00DB2B68"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34C2EA1B" w14:textId="77777777" w:rsidR="00DB2B68" w:rsidRDefault="00000000">
      <w:pPr>
        <w:jc w:val="both"/>
      </w:pPr>
      <w:r>
        <w:t>Les rainures et chant des lamelles </w:t>
      </w:r>
      <w:r>
        <w:rPr>
          <w:rStyle w:val="optioncarChar"/>
        </w:rPr>
        <w:t>ne sont pas </w:t>
      </w:r>
      <w:r>
        <w:t>(par défaut)</w:t>
      </w:r>
      <w:r>
        <w:rPr>
          <w:rStyle w:val="optioncarChar"/>
        </w:rPr>
        <w:t> / sont</w:t>
      </w:r>
      <w:r>
        <w:t> collées.</w:t>
      </w:r>
    </w:p>
    <w:p w14:paraId="349BDEA8" w14:textId="77777777" w:rsidR="00DB2B68" w:rsidRDefault="00000000">
      <w:pPr>
        <w:jc w:val="both"/>
      </w:pPr>
      <w:r>
        <w:t>Un jeu de </w:t>
      </w:r>
      <w:r>
        <w:rPr>
          <w:rStyle w:val="optioncarChar"/>
        </w:rPr>
        <w:t>0</w:t>
      </w:r>
      <w:r>
        <w:t> (par défaut)</w:t>
      </w:r>
      <w:r>
        <w:rPr>
          <w:rStyle w:val="optioncarChar"/>
        </w:rPr>
        <w:t> / 2 / 5 / ***</w:t>
      </w:r>
      <w:r>
        <w:t> mm est réservé entre les lamelles.</w:t>
      </w:r>
    </w:p>
    <w:p w14:paraId="5AB9AC7F" w14:textId="77777777" w:rsidR="00DB2B68" w:rsidRDefault="00000000">
      <w:pPr>
        <w:jc w:val="both"/>
      </w:pPr>
      <w:r>
        <w:t>La résistance du collage des aboutages est conforme à la [NBN EN 16351] annexe B et est vérifiée par essais de flexion conformes à la [NBN EN 16351] §5.2</w:t>
      </w:r>
    </w:p>
    <w:p w14:paraId="201B5955" w14:textId="77777777" w:rsidR="00DB2B68"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543ED982" w14:textId="77777777" w:rsidR="00DB2B68" w:rsidRDefault="00000000">
      <w:pPr>
        <w:pStyle w:val="pheading"/>
      </w:pPr>
      <w:r>
        <w:t>- Finitions</w:t>
      </w:r>
    </w:p>
    <w:p w14:paraId="0A2B42F2" w14:textId="77777777" w:rsidR="00DB2B68" w:rsidRDefault="00000000">
      <w:pPr>
        <w:jc w:val="both"/>
      </w:pPr>
      <w:r>
        <w:t xml:space="preserve">Exigences d’aspect : </w:t>
      </w:r>
      <w:r>
        <w:rPr>
          <w:rStyle w:val="optioncarChar"/>
        </w:rPr>
        <w:t>non-visible / visible industriel / visible habitat sur 1 face.</w:t>
      </w:r>
    </w:p>
    <w:p w14:paraId="38B3F4EA" w14:textId="77777777" w:rsidR="00DB2B68"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6AC774EB" w14:textId="77777777" w:rsidR="00DB2B68" w:rsidRDefault="00000000">
      <w:pPr>
        <w:pStyle w:val="pheading"/>
      </w:pPr>
      <w:r>
        <w:t>- Prescriptions complémentaires</w:t>
      </w:r>
    </w:p>
    <w:p w14:paraId="00DD5941" w14:textId="77777777" w:rsidR="00DB2B68" w:rsidRDefault="00000000">
      <w:r>
        <w:rPr>
          <w:rStyle w:val="facultChar"/>
        </w:rPr>
        <w:t>Capacité thermique :</w:t>
      </w:r>
      <w:r>
        <w:t xml:space="preserve">  </w:t>
      </w:r>
      <w:r>
        <w:rPr>
          <w:rStyle w:val="optioncarChar"/>
        </w:rPr>
        <w:t xml:space="preserve">&gt; 2 </w:t>
      </w:r>
      <w:r>
        <w:t>(par défaut)</w:t>
      </w:r>
      <w:r>
        <w:rPr>
          <w:rStyle w:val="optioncarChar"/>
        </w:rPr>
        <w:t xml:space="preserve"> / ***</w:t>
      </w:r>
      <w:r>
        <w:t>  </w:t>
      </w:r>
      <w:r>
        <w:rPr>
          <w:rStyle w:val="facultChar"/>
        </w:rPr>
        <w:t>kJ/kg.K</w:t>
      </w:r>
    </w:p>
    <w:p w14:paraId="46B5CC15" w14:textId="77777777" w:rsidR="00DB2B68" w:rsidRDefault="00000000">
      <w:pPr>
        <w:pStyle w:val="pheading"/>
      </w:pPr>
      <w:r>
        <w:t>EXÉCUTION / MISE EN ŒUVRE</w:t>
      </w:r>
    </w:p>
    <w:p w14:paraId="476327AF" w14:textId="77777777" w:rsidR="00DB2B68" w:rsidRDefault="00000000">
      <w:pPr>
        <w:pStyle w:val="pheading"/>
      </w:pPr>
      <w:r>
        <w:t>- Prescriptions générales</w:t>
      </w:r>
    </w:p>
    <w:p w14:paraId="41F632A6" w14:textId="77777777" w:rsidR="00DB2B68"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1D01EE7C" w14:textId="77777777" w:rsidR="00DB2B68" w:rsidRDefault="00000000">
      <w:pPr>
        <w:jc w:val="both"/>
      </w:pPr>
      <w:r>
        <w:t xml:space="preserve">L’étanchéité à l’air est assurée par </w:t>
      </w:r>
      <w:r>
        <w:rPr>
          <w:rStyle w:val="optioncarChar"/>
        </w:rPr>
        <w:t>membrane continue / par bandes d’étanchéité aux jonctions de panneaux</w:t>
      </w:r>
      <w:r>
        <w:t xml:space="preserve"> (par défaut)</w:t>
      </w:r>
      <w:r>
        <w:rPr>
          <w:rStyle w:val="optioncarChar"/>
        </w:rPr>
        <w:t xml:space="preserve"> / par joints d’étanchéité dans l’épaisseur des panneaux</w:t>
      </w:r>
      <w:r>
        <w:t>.</w:t>
      </w:r>
    </w:p>
    <w:p w14:paraId="6E26DF44" w14:textId="77777777" w:rsidR="00DB2B68" w:rsidRDefault="00000000">
      <w:pPr>
        <w:jc w:val="both"/>
      </w:pPr>
      <w:r>
        <w:rPr>
          <w:b/>
          <w:i/>
        </w:rPr>
        <w:t>Assemblage Plancher sur Mur</w:t>
      </w:r>
    </w:p>
    <w:p w14:paraId="645013D6" w14:textId="77777777" w:rsidR="00DB2B68" w:rsidRDefault="00000000">
      <w:pPr>
        <w:jc w:val="both"/>
      </w:pPr>
      <w:r>
        <w:t xml:space="preserve">L’angle entre deux panneaux CLT est assemblé </w:t>
      </w:r>
      <w:r>
        <w:rPr>
          <w:rStyle w:val="optioncarChar"/>
        </w:rPr>
        <w:t>par pose sur le mur porteur</w:t>
      </w:r>
      <w:r>
        <w:t xml:space="preserve"> (par défaut)</w:t>
      </w:r>
      <w:r>
        <w:rPr>
          <w:rStyle w:val="optioncarChar"/>
        </w:rPr>
        <w:t xml:space="preserve"> / par dispositifs d’ancrage ponctuels sur le gros œuvre existant / pose sur traverse portante appliquée sur parois / ***.</w:t>
      </w:r>
    </w:p>
    <w:p w14:paraId="6F15D460" w14:textId="77777777" w:rsidR="00DB2B68" w:rsidRDefault="00000000">
      <w:pPr>
        <w:ind w:left="567"/>
        <w:jc w:val="both"/>
      </w:pPr>
      <w:r>
        <w:rPr>
          <w:b/>
          <w:i/>
        </w:rPr>
        <w:t>(Soit par défaut)</w:t>
      </w:r>
    </w:p>
    <w:p w14:paraId="33816CB3" w14:textId="77777777" w:rsidR="00DB2B68" w:rsidRDefault="00000000">
      <w:pPr>
        <w:ind w:left="567"/>
        <w:jc w:val="both"/>
      </w:pPr>
      <w:r>
        <w:rPr>
          <w:rStyle w:val="soitChar"/>
          <w:u w:val="single"/>
        </w:rPr>
        <w:t>Pose sur Mur porteur :</w:t>
      </w:r>
      <w:r>
        <w:rPr>
          <w:rStyle w:val="soitChar"/>
        </w:rPr>
        <w:t xml:space="preserve"> Après pose du plancher en CLT, l’assemblage est effectué </w:t>
      </w:r>
      <w:r>
        <w:rPr>
          <w:rStyle w:val="optioncarChar"/>
        </w:rPr>
        <w:t xml:space="preserve">par tire-fond et appliqué sur le pli central intérieur du panneau à assembler ou par fixations inclinées </w:t>
      </w:r>
      <w:r>
        <w:t>(par défaut)</w:t>
      </w:r>
      <w:r>
        <w:rPr>
          <w:rStyle w:val="optioncarChar"/>
        </w:rPr>
        <w:t xml:space="preserve"> / plats métallique / ***</w:t>
      </w:r>
      <w:r>
        <w:rPr>
          <w:rStyle w:val="soitChar"/>
        </w:rPr>
        <w:t>. Le nombre de fixations et les sections répondent au dimensionnement selon la [NBN EN 1995 série].</w:t>
      </w:r>
    </w:p>
    <w:p w14:paraId="0733D264" w14:textId="77777777" w:rsidR="00DB2B68" w:rsidRDefault="0000000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14:paraId="6A1B051E" w14:textId="77777777" w:rsidR="00DB2B68" w:rsidRDefault="00000000">
      <w:pPr>
        <w:ind w:left="567"/>
        <w:jc w:val="both"/>
      </w:pPr>
      <w:r>
        <w:rPr>
          <w:b/>
          <w:i/>
        </w:rPr>
        <w:t>(Soit)</w:t>
      </w:r>
    </w:p>
    <w:p w14:paraId="29A031FB" w14:textId="77777777" w:rsidR="00DB2B68" w:rsidRDefault="0000000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 </w:t>
      </w:r>
      <w:r>
        <w:rPr>
          <w:rStyle w:val="soitChar"/>
        </w:rPr>
        <w:t>à une distance supérieure à</w:t>
      </w:r>
      <w:r>
        <w:rPr>
          <w:rStyle w:val="optioncarChar"/>
        </w:rPr>
        <w:t xml:space="preserve"> 50 </w:t>
      </w:r>
      <w:r>
        <w:t xml:space="preserve">(par défaut) </w:t>
      </w:r>
      <w:r>
        <w:rPr>
          <w:rStyle w:val="optioncarChar"/>
        </w:rPr>
        <w:t>/ ***</w:t>
      </w:r>
      <w:r>
        <w:rPr>
          <w:rStyle w:val="soitChar"/>
        </w:rPr>
        <w:t xml:space="preserve"> mm du bord du panneau. </w:t>
      </w:r>
    </w:p>
    <w:p w14:paraId="01AA3B1C" w14:textId="77777777" w:rsidR="00DB2B68" w:rsidRDefault="00000000">
      <w:pPr>
        <w:ind w:left="567"/>
        <w:jc w:val="both"/>
      </w:pPr>
      <w:r>
        <w:rPr>
          <w:rStyle w:val="soitChar"/>
        </w:rPr>
        <w:t xml:space="preserve">L’assemblage </w:t>
      </w:r>
      <w:r>
        <w:rPr>
          <w:rStyle w:val="optioncarChar"/>
        </w:rPr>
        <w:t>est</w:t>
      </w:r>
      <w:r>
        <w:t xml:space="preserve"> (par défaut) </w:t>
      </w:r>
      <w:r>
        <w:rPr>
          <w:rStyle w:val="optioncarChar"/>
        </w:rPr>
        <w:t>/ n’est pas</w:t>
      </w:r>
      <w:r>
        <w:rPr>
          <w:rStyle w:val="soitChar"/>
        </w:rPr>
        <w:t xml:space="preserve"> réalisé via un produit résilient. Le choix du produit résilient est effectué sur base du calcul de descente de charge suivant [NBN EN 1991 série].</w:t>
      </w:r>
    </w:p>
    <w:p w14:paraId="7AAA5B3D" w14:textId="77777777" w:rsidR="00DB2B68" w:rsidRDefault="00000000">
      <w:pPr>
        <w:ind w:left="567"/>
        <w:jc w:val="both"/>
      </w:pPr>
      <w:r>
        <w:rPr>
          <w:b/>
          <w:i/>
        </w:rPr>
        <w:t>(Soit)</w:t>
      </w:r>
    </w:p>
    <w:p w14:paraId="747B2A98" w14:textId="77777777" w:rsidR="00DB2B68" w:rsidRDefault="00000000">
      <w:pPr>
        <w:ind w:left="567"/>
        <w:jc w:val="both"/>
      </w:pPr>
      <w:r>
        <w:rPr>
          <w:rStyle w:val="soitChar"/>
          <w:u w:val="single"/>
        </w:rPr>
        <w:lastRenderedPageBreak/>
        <w:t>Pose sur traverse :</w:t>
      </w:r>
      <w:r>
        <w:rPr>
          <w:rStyle w:val="soitChar"/>
        </w:rPr>
        <w:t xml:space="preserve"> La traverse est composée d’une poutre en </w:t>
      </w:r>
      <w:r>
        <w:rPr>
          <w:rStyle w:val="optioncarChar"/>
        </w:rPr>
        <w:t>bois</w:t>
      </w:r>
      <w:r>
        <w:t xml:space="preserve"> (par défaut) </w:t>
      </w:r>
      <w:r>
        <w:rPr>
          <w:rStyle w:val="optioncarChar"/>
        </w:rPr>
        <w:t>/ acier / ***.</w:t>
      </w:r>
      <w:r>
        <w:rPr>
          <w:rStyle w:val="soitChar"/>
        </w:rPr>
        <w:t xml:space="preserve"> La poutre est fixée sur le mur porteur par l’intermédiaire de </w:t>
      </w:r>
      <w:r>
        <w:rPr>
          <w:rStyle w:val="optioncarChar"/>
        </w:rPr>
        <w:t>chevilles métalliques</w:t>
      </w:r>
      <w:r>
        <w:t xml:space="preserve"> (par défaut)</w:t>
      </w:r>
      <w:r>
        <w:rPr>
          <w:rStyle w:val="optioncarChar"/>
        </w:rPr>
        <w:t xml:space="preserve"> / tiges filetées / équerres de fixation / ***</w:t>
      </w:r>
      <w:r>
        <w:rPr>
          <w:rStyle w:val="soitChar"/>
        </w:rPr>
        <w:t xml:space="preserve">. La poutre en bois est décrite dans l’article </w:t>
      </w:r>
      <w:hyperlink w:anchor="588" w:history="1">
        <w:r>
          <w:rPr>
            <w:rStyle w:val="soitChar"/>
            <w:color w:val="0000EE"/>
          </w:rPr>
          <w:t>24.13.1a Poutres et barres en bois massif à section rectangulaire</w:t>
        </w:r>
      </w:hyperlink>
      <w:r>
        <w:rPr>
          <w:rStyle w:val="soitChar"/>
        </w:rPr>
        <w:t xml:space="preserve">.  La poutre en acier est décrite dans le sous-titre </w:t>
      </w:r>
      <w:hyperlink w:anchor="589" w:history="1">
        <w:r>
          <w:rPr>
            <w:rStyle w:val="soitChar"/>
            <w:color w:val="0000EE"/>
          </w:rPr>
          <w:t>23.11 Poutres métalliques</w:t>
        </w:r>
      </w:hyperlink>
      <w:r>
        <w:rPr>
          <w:rStyle w:val="soitChar"/>
        </w:rPr>
        <w:t>.</w:t>
      </w:r>
    </w:p>
    <w:p w14:paraId="341E0321" w14:textId="77777777" w:rsidR="00DB2B68" w:rsidRDefault="00000000">
      <w:pPr>
        <w:ind w:left="567"/>
        <w:jc w:val="both"/>
      </w:pPr>
      <w:r>
        <w:rPr>
          <w:rStyle w:val="soitChar"/>
        </w:rPr>
        <w:t xml:space="preserve">La dalle est fixée sur la poutre par l’intermédiaire de </w:t>
      </w:r>
      <w:r>
        <w:rPr>
          <w:rStyle w:val="optioncarChar"/>
        </w:rPr>
        <w:t xml:space="preserve">chevilles métalliques </w:t>
      </w:r>
      <w:r>
        <w:t>(par défaut)</w:t>
      </w:r>
      <w:r>
        <w:rPr>
          <w:rStyle w:val="optioncarChar"/>
        </w:rPr>
        <w:t xml:space="preserve"> / tiges filetées / équerres de fixation / ***.</w:t>
      </w:r>
    </w:p>
    <w:p w14:paraId="7E6AD0D7" w14:textId="77777777" w:rsidR="00DB2B68" w:rsidRDefault="00000000">
      <w:pPr>
        <w:ind w:left="567"/>
        <w:jc w:val="both"/>
      </w:pPr>
      <w:r>
        <w:rPr>
          <w:b/>
          <w:i/>
        </w:rPr>
        <w:t>(Soit)</w:t>
      </w:r>
    </w:p>
    <w:p w14:paraId="62DACFB9" w14:textId="77777777" w:rsidR="00DB2B68" w:rsidRDefault="00000000">
      <w:pPr>
        <w:ind w:left="567"/>
        <w:jc w:val="both"/>
      </w:pPr>
      <w:r>
        <w:rPr>
          <w:rStyle w:val="optioncarChar"/>
        </w:rPr>
        <w:t>***</w:t>
      </w:r>
    </w:p>
    <w:p w14:paraId="7F5FE3B7" w14:textId="77777777" w:rsidR="00DB2B68" w:rsidRDefault="00000000">
      <w:pPr>
        <w:ind w:left="567"/>
        <w:jc w:val="both"/>
      </w:pPr>
      <w:r>
        <w:t> </w:t>
      </w:r>
    </w:p>
    <w:p w14:paraId="1CAFD8D2" w14:textId="77777777" w:rsidR="00DB2B68" w:rsidRDefault="00000000">
      <w:pPr>
        <w:jc w:val="both"/>
      </w:pPr>
      <w:r>
        <w:t xml:space="preserve">La continuité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14:paraId="211DB526" w14:textId="77777777" w:rsidR="00DB2B68" w:rsidRDefault="00000000">
      <w:pPr>
        <w:jc w:val="both"/>
      </w:pPr>
      <w:r>
        <w:t xml:space="preserve">Les fixations, pointes ou vis, des panneaux sont effectuées sur </w:t>
      </w:r>
      <w:r>
        <w:rPr>
          <w:rStyle w:val="optioncarChar"/>
        </w:rPr>
        <w:t>2/3</w:t>
      </w:r>
      <w:r>
        <w:t xml:space="preserve"> (par défaut)</w:t>
      </w:r>
      <w:r>
        <w:rPr>
          <w:rStyle w:val="optioncarChar"/>
        </w:rPr>
        <w:t xml:space="preserve"> / ***</w:t>
      </w:r>
      <w:r>
        <w:t xml:space="preserve"> de l’épaisseur du panneau.</w:t>
      </w:r>
    </w:p>
    <w:p w14:paraId="0BBB49E0" w14:textId="77777777" w:rsidR="00DB2B68" w:rsidRDefault="00000000">
      <w:pPr>
        <w:jc w:val="both"/>
      </w:pPr>
      <w:r>
        <w:t xml:space="preserve">Les dispositifs d’ancrage sont décrits dans les éléments du </w:t>
      </w:r>
      <w:hyperlink w:anchor="585" w:history="1">
        <w:r>
          <w:rPr>
            <w:color w:val="0000EE"/>
          </w:rPr>
          <w:t>24.4 Assemblages</w:t>
        </w:r>
      </w:hyperlink>
      <w:r>
        <w:t>.</w:t>
      </w:r>
    </w:p>
    <w:p w14:paraId="2B0DCC66" w14:textId="77777777" w:rsidR="00DB2B68" w:rsidRDefault="00000000">
      <w:pPr>
        <w:pStyle w:val="pheading"/>
      </w:pPr>
      <w:r>
        <w:t>DOCUMENTS DE RÉFÉRENCE COMPLÉMENTAIRES</w:t>
      </w:r>
    </w:p>
    <w:p w14:paraId="4B673D78" w14:textId="77777777" w:rsidR="00DB2B68" w:rsidRDefault="00000000">
      <w:pPr>
        <w:pStyle w:val="pheading"/>
      </w:pPr>
      <w:r>
        <w:t>- Matériau</w:t>
      </w:r>
    </w:p>
    <w:p w14:paraId="52AE0B52" w14:textId="77777777" w:rsidR="00DB2B68" w:rsidRDefault="00000000">
      <w:r>
        <w:t>[NBN EN 301, Adhésifs de nature phénolique et aminoplaste, pour structures portantes en bois - Classification et exigences de performance]</w:t>
      </w:r>
    </w:p>
    <w:p w14:paraId="79F523C0" w14:textId="77777777" w:rsidR="00DB2B68" w:rsidRDefault="00000000">
      <w:r>
        <w:t>[NBN EN 302-2, Adhésifs pour structures portantes en bois - Méthodes d'essais - Partie 2 : Détermination de la résistance à la délamination]</w:t>
      </w:r>
    </w:p>
    <w:p w14:paraId="4C696A38" w14:textId="77777777" w:rsidR="00DB2B68" w:rsidRDefault="00000000">
      <w:r>
        <w:t>[NBN EN 408+A1, Structures en bois - Bois de structure et bois lamellé-collé - Détermination de certaines propriétés physiques et mécaniques]</w:t>
      </w:r>
    </w:p>
    <w:p w14:paraId="031CCEB9" w14:textId="77777777" w:rsidR="00DB2B68" w:rsidRDefault="00000000">
      <w:r>
        <w:t>[NBN EN 1991 série, Eurocode 1 : Actions sur les structures]</w:t>
      </w:r>
    </w:p>
    <w:p w14:paraId="033343A9" w14:textId="77777777" w:rsidR="00DB2B68" w:rsidRDefault="00000000">
      <w:r>
        <w:t>[NBN EN 1995 série, Eurocode 5: Conception et calcul des structures en bois]</w:t>
      </w:r>
    </w:p>
    <w:p w14:paraId="60B76391"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67392DA" w14:textId="77777777" w:rsidR="00DB2B68" w:rsidRDefault="00000000">
      <w:r>
        <w:t>[NBN EN 13556, Bois ronds et bois sciés - Nomenclature des bois utilisés en Europe]</w:t>
      </w:r>
    </w:p>
    <w:p w14:paraId="4AD59DF2" w14:textId="77777777" w:rsidR="00DB2B68" w:rsidRDefault="00000000">
      <w:r>
        <w:t>[NBN EN 14358, Structures en bois - Détermination et vérification des valeurs caractéristiques]</w:t>
      </w:r>
    </w:p>
    <w:p w14:paraId="0019245C" w14:textId="77777777" w:rsidR="00DB2B68" w:rsidRDefault="00000000">
      <w:r>
        <w:t>[NBN EN 15425, Adhésifs - Adhésifs polyuréthane monocomposants (PUR) pour structures portantes en bois - Classification et exigences de performance]</w:t>
      </w:r>
    </w:p>
    <w:p w14:paraId="5F948FEC" w14:textId="77777777" w:rsidR="00DB2B68" w:rsidRDefault="00000000">
      <w:r>
        <w:t>[NBN EN 16351, Structures en bois - Bois lamellé croisé - Exigences]</w:t>
      </w:r>
    </w:p>
    <w:p w14:paraId="61623AE8" w14:textId="77777777" w:rsidR="00DB2B68" w:rsidRDefault="00000000">
      <w:pPr>
        <w:pStyle w:val="pheading"/>
      </w:pPr>
      <w:r>
        <w:t>MESURAGE</w:t>
      </w:r>
    </w:p>
    <w:p w14:paraId="107ACC85" w14:textId="77777777" w:rsidR="00DB2B68" w:rsidRDefault="00000000">
      <w:pPr>
        <w:pStyle w:val="pheading"/>
      </w:pPr>
      <w:r>
        <w:t>- unité de mesure:</w:t>
      </w:r>
    </w:p>
    <w:p w14:paraId="5204D5EB" w14:textId="77777777" w:rsidR="00DB2B68" w:rsidRDefault="00000000">
      <w:r>
        <w:rPr>
          <w:rStyle w:val="optioncarChar"/>
        </w:rPr>
        <w:t>m² </w:t>
      </w:r>
      <w:r>
        <w:t xml:space="preserve">(par défaut) </w:t>
      </w:r>
      <w:r>
        <w:rPr>
          <w:rStyle w:val="optioncarChar"/>
        </w:rPr>
        <w:t>/ m³</w:t>
      </w:r>
    </w:p>
    <w:p w14:paraId="1E8F7CC7" w14:textId="77777777" w:rsidR="00DB2B68" w:rsidRDefault="00000000">
      <w:r>
        <w:rPr>
          <w:b/>
          <w:i/>
        </w:rPr>
        <w:t>(Soit par défaut)</w:t>
      </w:r>
    </w:p>
    <w:p w14:paraId="01B2A10F" w14:textId="77777777" w:rsidR="00DB2B68" w:rsidRDefault="00000000">
      <w:r>
        <w:rPr>
          <w:rStyle w:val="soitChar"/>
        </w:rPr>
        <w:t>1. m²</w:t>
      </w:r>
    </w:p>
    <w:p w14:paraId="3CD969DB" w14:textId="77777777" w:rsidR="00DB2B68" w:rsidRDefault="00000000">
      <w:r>
        <w:rPr>
          <w:b/>
          <w:i/>
        </w:rPr>
        <w:t>(Soit)</w:t>
      </w:r>
    </w:p>
    <w:p w14:paraId="7BBED33E" w14:textId="77777777" w:rsidR="00DB2B68" w:rsidRDefault="00000000">
      <w:r>
        <w:rPr>
          <w:rStyle w:val="soitChar"/>
        </w:rPr>
        <w:t>2. m³</w:t>
      </w:r>
    </w:p>
    <w:p w14:paraId="62BAFCD0" w14:textId="77777777" w:rsidR="00DB2B68" w:rsidRDefault="00000000">
      <w:pPr>
        <w:pStyle w:val="pheading"/>
      </w:pPr>
      <w:r>
        <w:t>- code de mesurage:</w:t>
      </w:r>
    </w:p>
    <w:p w14:paraId="3A81AB2D" w14:textId="77777777" w:rsidR="00DB2B68" w:rsidRDefault="00000000">
      <w:pPr>
        <w:jc w:val="both"/>
      </w:pPr>
      <w:r>
        <w:rPr>
          <w:rStyle w:val="optioncarChar"/>
        </w:rPr>
        <w:t xml:space="preserve">Surface nette </w:t>
      </w:r>
      <w:r>
        <w:t>(par défaut)</w:t>
      </w:r>
      <w:r>
        <w:rPr>
          <w:rStyle w:val="optioncarChar"/>
        </w:rPr>
        <w:t xml:space="preserve"> / Volume net</w:t>
      </w:r>
    </w:p>
    <w:p w14:paraId="1B90C19B" w14:textId="77777777" w:rsidR="00DB2B68" w:rsidRDefault="00000000">
      <w:pPr>
        <w:jc w:val="both"/>
      </w:pPr>
      <w:r>
        <w:rPr>
          <w:b/>
          <w:i/>
        </w:rPr>
        <w:t>(Soit par défaut)</w:t>
      </w:r>
    </w:p>
    <w:p w14:paraId="1B600C23" w14:textId="77777777" w:rsidR="00DB2B68" w:rsidRDefault="00000000">
      <w:pPr>
        <w:jc w:val="both"/>
      </w:pPr>
      <w:r>
        <w:rPr>
          <w:rStyle w:val="soitChar"/>
        </w:rPr>
        <w:lastRenderedPageBreak/>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4EBE505D" w14:textId="77777777" w:rsidR="00DB2B68" w:rsidRDefault="00000000">
      <w:pPr>
        <w:jc w:val="both"/>
      </w:pPr>
      <w:r>
        <w:rPr>
          <w:b/>
          <w:i/>
        </w:rPr>
        <w:t>(Soit)</w:t>
      </w:r>
    </w:p>
    <w:p w14:paraId="761DDBB8" w14:textId="77777777" w:rsidR="00DB2B68"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72831D2C" w14:textId="77777777" w:rsidR="00DB2B68" w:rsidRDefault="00000000">
      <w:pPr>
        <w:pStyle w:val="pheading"/>
      </w:pPr>
      <w:r>
        <w:t>- nature du marché:</w:t>
      </w:r>
    </w:p>
    <w:p w14:paraId="2B032097" w14:textId="77777777" w:rsidR="00DB2B68" w:rsidRDefault="00000000">
      <w:r>
        <w:t>QF</w:t>
      </w:r>
    </w:p>
    <w:p w14:paraId="32060138" w14:textId="77777777" w:rsidR="00DB2B68" w:rsidRDefault="00000000">
      <w:pPr>
        <w:pStyle w:val="Author-eSectionHeading6Numberless"/>
      </w:pPr>
      <w:bookmarkStart w:id="1623" w:name="_Toc220496612"/>
      <w:r>
        <w:t>24.14.1c Planchers massifs en CLT chevillés CCTB 01.11</w:t>
      </w:r>
      <w:bookmarkEnd w:id="1623"/>
    </w:p>
    <w:p w14:paraId="2B699C4F" w14:textId="77777777" w:rsidR="00DB2B68" w:rsidRDefault="00000000">
      <w:pPr>
        <w:pStyle w:val="pheading"/>
      </w:pPr>
      <w:r>
        <w:t>DESCRIPTION</w:t>
      </w:r>
    </w:p>
    <w:p w14:paraId="0D9E49CF" w14:textId="77777777" w:rsidR="00DB2B68" w:rsidRDefault="00000000">
      <w:pPr>
        <w:pStyle w:val="pheading"/>
      </w:pPr>
      <w:r>
        <w:t>- Définition / Comprend</w:t>
      </w:r>
    </w:p>
    <w:p w14:paraId="0C824C24" w14:textId="77777777" w:rsidR="00DB2B68" w:rsidRDefault="00000000">
      <w:pPr>
        <w:jc w:val="both"/>
      </w:pPr>
      <w:r>
        <w:t>Il s’agit de la fourniture et la pose de tous les éléments constitués de panneaux lamellés croisés chevillés en bois ou à base de bois constituant les systèmes de construction CLT portants et non portants y compris toutes les pièces qui en font intrinsèquement partie (notamment les dispositifs d’assemblage).</w:t>
      </w:r>
    </w:p>
    <w:p w14:paraId="7DAFAE8E" w14:textId="77777777" w:rsidR="00DB2B68" w:rsidRDefault="00000000">
      <w:pPr>
        <w:jc w:val="both"/>
      </w:pPr>
      <w:r>
        <w:t xml:space="preserve"> Les panneaux CLT chevillés ne contiennent pas de colle. Les panneaux CLT chevillés collés sont couverts par l’article </w:t>
      </w:r>
      <w:hyperlink w:anchor="590" w:history="1">
        <w:r>
          <w:rPr>
            <w:color w:val="0000EE"/>
          </w:rPr>
          <w:t>24.14.1b Planchers massifs en CLT cloués collés</w:t>
        </w:r>
      </w:hyperlink>
      <w:r>
        <w:t>.</w:t>
      </w:r>
    </w:p>
    <w:p w14:paraId="57C8879A" w14:textId="77777777" w:rsidR="00DB2B68" w:rsidRDefault="00000000">
      <w:pPr>
        <w:pStyle w:val="pheading"/>
      </w:pPr>
      <w:r>
        <w:t>- Localisation</w:t>
      </w:r>
    </w:p>
    <w:p w14:paraId="43070F43" w14:textId="77777777" w:rsidR="00DB2B68" w:rsidRDefault="00000000">
      <w:r>
        <w:t xml:space="preserve">Localisation des travaux : </w:t>
      </w:r>
      <w:r>
        <w:rPr>
          <w:rStyle w:val="optioncarChar"/>
        </w:rPr>
        <w:t>***</w:t>
      </w:r>
      <w:r>
        <w:t>.</w:t>
      </w:r>
    </w:p>
    <w:p w14:paraId="00E161E6" w14:textId="77777777" w:rsidR="00DB2B68" w:rsidRDefault="00000000">
      <w:r>
        <w:t>Voir plans et métrés détaillés.</w:t>
      </w:r>
    </w:p>
    <w:p w14:paraId="61755EE3" w14:textId="77777777" w:rsidR="00DB2B68" w:rsidRDefault="00000000">
      <w:pPr>
        <w:pStyle w:val="pheading"/>
      </w:pPr>
      <w:r>
        <w:t>MATÉRIAUX</w:t>
      </w:r>
    </w:p>
    <w:p w14:paraId="6EC61C5B" w14:textId="77777777" w:rsidR="00DB2B68" w:rsidRDefault="00000000">
      <w:pPr>
        <w:pStyle w:val="pheading"/>
      </w:pPr>
      <w:r>
        <w:t>- Caractéristiques générales</w:t>
      </w:r>
    </w:p>
    <w:p w14:paraId="413AB7F5" w14:textId="77777777" w:rsidR="00DB2B68" w:rsidRDefault="00000000">
      <w:pPr>
        <w:jc w:val="both"/>
      </w:pPr>
      <w:r>
        <w:t xml:space="preserve">Épaisseur totale du panneau CLT  chevillé : </w:t>
      </w:r>
      <w:r>
        <w:rPr>
          <w:rStyle w:val="optioncarChar"/>
        </w:rPr>
        <w:t>***</w:t>
      </w:r>
      <w:r>
        <w:t xml:space="preserve"> mm.</w:t>
      </w:r>
    </w:p>
    <w:p w14:paraId="04B0173C" w14:textId="77777777" w:rsidR="00DB2B68" w:rsidRDefault="0000000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r>
        <w:t xml:space="preserve"> .</w:t>
      </w:r>
    </w:p>
    <w:p w14:paraId="72781B7B" w14:textId="77777777" w:rsidR="00DB2B68" w:rsidRDefault="00000000">
      <w:pPr>
        <w:jc w:val="both"/>
      </w:pPr>
      <w:r>
        <w:t xml:space="preserve">Classe de résistance : </w:t>
      </w:r>
      <w:r>
        <w:rPr>
          <w:rStyle w:val="optioncarChar"/>
        </w:rPr>
        <w:t xml:space="preserve">C18 </w:t>
      </w:r>
      <w:r>
        <w:t>(par défaut) </w:t>
      </w:r>
      <w:r>
        <w:rPr>
          <w:rStyle w:val="optioncarChar"/>
        </w:rPr>
        <w:t>/ D18 / C24 / D24 / C30 / D30 / ***</w:t>
      </w:r>
    </w:p>
    <w:p w14:paraId="04C330DA" w14:textId="77777777" w:rsidR="00DB2B68" w:rsidRDefault="00000000">
      <w:pPr>
        <w:jc w:val="both"/>
      </w:pPr>
      <w:r>
        <w:t xml:space="preserve">Les panneaux sont composés de </w:t>
      </w:r>
      <w:r>
        <w:rPr>
          <w:rStyle w:val="optioncarChar"/>
        </w:rPr>
        <w:t>3 / 5</w:t>
      </w:r>
      <w:r>
        <w:t xml:space="preserve"> (par défaut)</w:t>
      </w:r>
      <w:r>
        <w:rPr>
          <w:rStyle w:val="optioncarChar"/>
        </w:rPr>
        <w:t xml:space="preserve"> / 7 / ***</w:t>
      </w:r>
      <w:r>
        <w:t xml:space="preserve"> couches (plis). Les couches 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 (classe MDFLA)  en plis centraux / ***.</w:t>
      </w:r>
    </w:p>
    <w:p w14:paraId="4F35D5B7" w14:textId="77777777" w:rsidR="00DB2B68" w:rsidRDefault="00000000">
      <w:pPr>
        <w:jc w:val="both"/>
      </w:pPr>
      <w:r>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w:t>
      </w:r>
      <w:r>
        <w:rPr>
          <w:rStyle w:val="optioncarChar"/>
        </w:rPr>
        <w:t xml:space="preserve">22-40-22 / 30-30-30 / 30-40-30 </w:t>
      </w:r>
      <w:r>
        <w:t>(par défaut)</w:t>
      </w:r>
      <w:r>
        <w:rPr>
          <w:rStyle w:val="optioncarChar"/>
        </w:rPr>
        <w:t xml:space="preserve"> / 40-40-40 / 22-30-22-30 / 40-22-22-22-40 / ***</w:t>
      </w:r>
      <w:r>
        <w:t xml:space="preserve"> mm.</w:t>
      </w:r>
    </w:p>
    <w:p w14:paraId="5F54A1FF" w14:textId="77777777" w:rsidR="00DB2B68" w:rsidRDefault="00000000">
      <w:pPr>
        <w:jc w:val="both"/>
      </w:pPr>
      <w:r>
        <w:t xml:space="preserve">Les lames </w:t>
      </w:r>
      <w:r>
        <w:rPr>
          <w:rStyle w:val="optioncarChar"/>
        </w:rPr>
        <w:t xml:space="preserve">ne sont pas </w:t>
      </w:r>
      <w:r>
        <w:t xml:space="preserve">(par défaut) </w:t>
      </w:r>
      <w:r>
        <w:rPr>
          <w:rStyle w:val="optioncarChar"/>
        </w:rPr>
        <w:t>/ sont munies</w:t>
      </w:r>
      <w:r>
        <w:t xml:space="preserve"> de fente (rainures) de soulagement.</w:t>
      </w:r>
    </w:p>
    <w:p w14:paraId="4CD7AFA5" w14:textId="77777777" w:rsidR="00DB2B68" w:rsidRDefault="00000000">
      <w:pPr>
        <w:jc w:val="both"/>
      </w:pPr>
      <w:r>
        <w:t xml:space="preserve">Les chevilles ont une tête </w:t>
      </w:r>
      <w:r>
        <w:rPr>
          <w:rStyle w:val="optioncarChar"/>
        </w:rPr>
        <w:t>ronde</w:t>
      </w:r>
      <w:r>
        <w:t xml:space="preserve"> (par défaut)</w:t>
      </w:r>
      <w:r>
        <w:rPr>
          <w:rStyle w:val="optioncarChar"/>
        </w:rPr>
        <w:t xml:space="preserve"> / carrée / octogonale / ***.</w:t>
      </w:r>
    </w:p>
    <w:p w14:paraId="097A1806" w14:textId="77777777" w:rsidR="00DB2B68" w:rsidRDefault="00000000">
      <w:pPr>
        <w:jc w:val="both"/>
      </w:pPr>
      <w:r>
        <w:t xml:space="preserve">La section est de </w:t>
      </w:r>
      <w:r>
        <w:rPr>
          <w:rStyle w:val="optioncarChar"/>
        </w:rPr>
        <w:t>diamètre 18 mm</w:t>
      </w:r>
      <w:r>
        <w:t xml:space="preserve"> (par défaut)</w:t>
      </w:r>
      <w:r>
        <w:rPr>
          <w:rStyle w:val="optioncarChar"/>
        </w:rPr>
        <w:t xml:space="preserve"> / 20 mm de côté / ***</w:t>
      </w:r>
      <w:r>
        <w:t>.</w:t>
      </w:r>
    </w:p>
    <w:p w14:paraId="2BF851CF" w14:textId="77777777" w:rsidR="00DB2B68" w:rsidRDefault="00000000">
      <w:pPr>
        <w:jc w:val="both"/>
      </w:pPr>
      <w:r>
        <w:t>Les panneaux CLT chevillés sont assemblés lorsque les chevilles ont un taux d’humidité du bois inférieure à 6% .</w:t>
      </w:r>
    </w:p>
    <w:p w14:paraId="70672B71" w14:textId="77777777" w:rsidR="00DB2B68" w:rsidRDefault="00000000">
      <w:pPr>
        <w:jc w:val="both"/>
      </w:pPr>
      <w:r>
        <w:t xml:space="preserve">La réaction au feu est de classe </w:t>
      </w:r>
      <w:r>
        <w:rPr>
          <w:rStyle w:val="optioncarChar"/>
        </w:rPr>
        <w:t>D-s2, d0</w:t>
      </w:r>
      <w:r>
        <w:t xml:space="preserve"> (par défaut) </w:t>
      </w:r>
      <w:r>
        <w:rPr>
          <w:rStyle w:val="optioncarChar"/>
        </w:rPr>
        <w:t>/ ***.</w:t>
      </w:r>
    </w:p>
    <w:p w14:paraId="40FA8590" w14:textId="77777777" w:rsidR="00DB2B68" w:rsidRDefault="00000000">
      <w:pPr>
        <w:jc w:val="both"/>
      </w:pPr>
      <w:r>
        <w:t xml:space="preserve">La résistance au feu déclarée de la paroi: </w:t>
      </w:r>
      <w:r>
        <w:rPr>
          <w:rStyle w:val="optioncarChar"/>
        </w:rPr>
        <w:t xml:space="preserve">pas d’exigences </w:t>
      </w:r>
      <w:r>
        <w:t>(par défaut)</w:t>
      </w:r>
      <w:r>
        <w:rPr>
          <w:rStyle w:val="optioncarChar"/>
        </w:rPr>
        <w:t xml:space="preserve"> REI 30 / EI30 / REI 60 / EI 60 / ***.</w:t>
      </w:r>
    </w:p>
    <w:p w14:paraId="65E2B45C" w14:textId="77777777" w:rsidR="00DB2B68" w:rsidRDefault="00000000">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452E1F76" w14:textId="77777777" w:rsidR="00DB2B68" w:rsidRDefault="00000000">
      <w:pPr>
        <w:jc w:val="both"/>
      </w:pPr>
      <w:r>
        <w:lastRenderedPageBreak/>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1579DD3E" w14:textId="77777777" w:rsidR="00DB2B68" w:rsidRDefault="00000000">
      <w:pPr>
        <w:jc w:val="both"/>
      </w:pPr>
      <w:r>
        <w:t>Le coefficient de résistance à la diffusion de vapeur d’eau – valeur μ pour un taux d’humidité du bois de 11 % (selon [NBN EN 12086]): </w:t>
      </w:r>
      <w:r>
        <w:rPr>
          <w:rStyle w:val="optioncarChar"/>
        </w:rPr>
        <w:t xml:space="preserve">≥ 50 </w:t>
      </w:r>
      <w:r>
        <w:t>(par défaut)</w:t>
      </w:r>
      <w:r>
        <w:rPr>
          <w:rStyle w:val="optioncarChar"/>
        </w:rPr>
        <w:t xml:space="preserve"> / ≥ 30  / ≤ 100 / ***.</w:t>
      </w:r>
    </w:p>
    <w:p w14:paraId="7F295229" w14:textId="77777777" w:rsidR="00DB2B68" w:rsidRDefault="00000000">
      <w:pPr>
        <w:jc w:val="both"/>
      </w:pPr>
      <w:r>
        <w:t xml:space="preserve">La durabilité des panneaux en fonction de leur classe d’emploi, est assurée par la mesure suivante : </w:t>
      </w:r>
      <w:r>
        <w:rPr>
          <w:rStyle w:val="optioncarChar"/>
        </w:rPr>
        <w:t xml:space="preserve">traitement A1 </w:t>
      </w:r>
      <w:r>
        <w:t>(par défaut)</w:t>
      </w:r>
      <w:r>
        <w:rPr>
          <w:rStyle w:val="optioncarChar"/>
        </w:rPr>
        <w:t xml:space="preserve"> / traitement A2.2 / bois modifié thermiquement / bois hors aubier / ***</w:t>
      </w:r>
    </w:p>
    <w:p w14:paraId="6F41E966" w14:textId="77777777" w:rsidR="00DB2B68" w:rsidRDefault="00000000">
      <w:pPr>
        <w:jc w:val="both"/>
      </w:pPr>
      <w:r>
        <w:t xml:space="preserve">Le nombre de fixation est de min </w:t>
      </w:r>
      <w:r>
        <w:rPr>
          <w:rStyle w:val="optioncarChar"/>
        </w:rPr>
        <w:t xml:space="preserve">60 </w:t>
      </w:r>
      <w:r>
        <w:t>(par défaut)</w:t>
      </w:r>
      <w:r>
        <w:rPr>
          <w:rStyle w:val="optioncarChar"/>
        </w:rPr>
        <w:t xml:space="preserve"> / ***</w:t>
      </w:r>
      <w:r>
        <w:t xml:space="preserve"> chevilles par m².</w:t>
      </w:r>
    </w:p>
    <w:p w14:paraId="4EA3EDA8" w14:textId="77777777" w:rsidR="00DB2B68" w:rsidRDefault="00000000">
      <w:pPr>
        <w:jc w:val="both"/>
      </w:pPr>
      <w:r>
        <w:t>En l’absence de méthode de calcul de stabilité harmonisée sur ce produit, les performances mécaniques sont déterminées par essais pour répondre aux exigences déterminées dans l’étude de stabilité.</w:t>
      </w:r>
    </w:p>
    <w:p w14:paraId="01E12CC3" w14:textId="77777777" w:rsidR="00DB2B68" w:rsidRDefault="00000000">
      <w:pPr>
        <w:jc w:val="both"/>
      </w:pPr>
      <w:r>
        <w:t>Pour une application de plancher, le rapport comprend les essais de flexion selon les deux directions du plan du panneau, de cisaillement ainsi que les modules de glissement.</w:t>
      </w:r>
    </w:p>
    <w:p w14:paraId="367EE971" w14:textId="77777777" w:rsidR="00DB2B68"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3DCE5B29" w14:textId="77777777" w:rsidR="00DB2B68" w:rsidRDefault="00000000">
      <w:pPr>
        <w:jc w:val="both"/>
      </w:pPr>
      <w:r>
        <w:t xml:space="preserve">Un jeu de </w:t>
      </w:r>
      <w:r>
        <w:rPr>
          <w:rStyle w:val="optioncarChar"/>
        </w:rPr>
        <w:t xml:space="preserve">0 </w:t>
      </w:r>
      <w:r>
        <w:t>(par défaut)</w:t>
      </w:r>
      <w:r>
        <w:rPr>
          <w:rStyle w:val="optioncarChar"/>
        </w:rPr>
        <w:t xml:space="preserve"> / 2 / 5 / ***</w:t>
      </w:r>
      <w:r>
        <w:t xml:space="preserve"> mm est réservé entre les lamelles</w:t>
      </w:r>
    </w:p>
    <w:p w14:paraId="308C0CD6" w14:textId="77777777" w:rsidR="00DB2B68" w:rsidRDefault="00000000">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07D53886" w14:textId="77777777" w:rsidR="00DB2B68" w:rsidRDefault="00000000">
      <w:pPr>
        <w:pStyle w:val="pheading"/>
      </w:pPr>
      <w:r>
        <w:t>- Finitions</w:t>
      </w:r>
    </w:p>
    <w:p w14:paraId="19E62ACC" w14:textId="77777777" w:rsidR="00DB2B68" w:rsidRDefault="00000000">
      <w:pPr>
        <w:jc w:val="both"/>
      </w:pPr>
      <w:r>
        <w:t xml:space="preserve">Exigences d’aspect : </w:t>
      </w:r>
      <w:r>
        <w:rPr>
          <w:rStyle w:val="optioncarChar"/>
        </w:rPr>
        <w:t>non-visible / visible industriel / visible habitat sur 1 face</w:t>
      </w:r>
      <w:r>
        <w:t> </w:t>
      </w:r>
    </w:p>
    <w:p w14:paraId="2E049DD7" w14:textId="77777777" w:rsidR="00DB2B68"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022810C2" w14:textId="77777777" w:rsidR="00DB2B68" w:rsidRDefault="00000000">
      <w:pPr>
        <w:pStyle w:val="pheading"/>
      </w:pPr>
      <w:r>
        <w:t>- Prescriptions complémentaires</w:t>
      </w:r>
    </w:p>
    <w:p w14:paraId="5617992C" w14:textId="77777777" w:rsidR="00DB2B68" w:rsidRDefault="00000000">
      <w:r>
        <w:rPr>
          <w:rStyle w:val="facultChar"/>
        </w:rPr>
        <w:t>Capacité thermique :</w:t>
      </w:r>
      <w:r>
        <w:rPr>
          <w:rStyle w:val="optioncarChar"/>
        </w:rPr>
        <w:t xml:space="preserve">supérieure à 2 </w:t>
      </w:r>
      <w:r>
        <w:t>(par défaut)</w:t>
      </w:r>
      <w:r>
        <w:rPr>
          <w:rStyle w:val="optioncarChar"/>
        </w:rPr>
        <w:t xml:space="preserve"> / ***</w:t>
      </w:r>
      <w:r>
        <w:rPr>
          <w:rStyle w:val="facultChar"/>
        </w:rPr>
        <w:t>kJ/kg.K</w:t>
      </w:r>
    </w:p>
    <w:p w14:paraId="625C1DC1" w14:textId="77777777" w:rsidR="00DB2B68" w:rsidRDefault="00000000">
      <w:pPr>
        <w:pStyle w:val="pheading"/>
      </w:pPr>
      <w:r>
        <w:t>EXÉCUTION / MISE EN ŒUVRE</w:t>
      </w:r>
    </w:p>
    <w:p w14:paraId="02EE4DC2" w14:textId="77777777" w:rsidR="00DB2B68" w:rsidRDefault="00000000">
      <w:pPr>
        <w:pStyle w:val="pheading"/>
      </w:pPr>
      <w:r>
        <w:t>- Prescriptions générales</w:t>
      </w:r>
    </w:p>
    <w:p w14:paraId="0B29BA63" w14:textId="77777777" w:rsidR="00DB2B68"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5AE01034" w14:textId="77777777" w:rsidR="00DB2B68" w:rsidRDefault="00000000">
      <w:pPr>
        <w:jc w:val="both"/>
      </w:pPr>
      <w:r>
        <w:t xml:space="preserve">L’étanchéité à l’air est assurée par </w:t>
      </w:r>
      <w:r>
        <w:rPr>
          <w:rStyle w:val="optioncarChar"/>
        </w:rPr>
        <w:t xml:space="preserve">membrane continue / par bandes d’étanchéité aux jonctions de panneaux </w:t>
      </w:r>
      <w:r>
        <w:t xml:space="preserve">(par défaut) </w:t>
      </w:r>
      <w:r>
        <w:rPr>
          <w:rStyle w:val="optioncarChar"/>
        </w:rPr>
        <w:t>/ par joints d’étanchéité dans l’épaisseur des panneaux</w:t>
      </w:r>
      <w:r>
        <w:t>.</w:t>
      </w:r>
    </w:p>
    <w:p w14:paraId="60DA7A1D" w14:textId="77777777" w:rsidR="00DB2B68" w:rsidRDefault="00000000">
      <w:pPr>
        <w:jc w:val="both"/>
      </w:pPr>
      <w:r>
        <w:rPr>
          <w:b/>
          <w:i/>
        </w:rPr>
        <w:t>Assemblage Plancher sur Mur</w:t>
      </w:r>
    </w:p>
    <w:p w14:paraId="388B9648" w14:textId="77777777" w:rsidR="00DB2B68" w:rsidRDefault="00000000">
      <w:pPr>
        <w:jc w:val="both"/>
      </w:pPr>
      <w:r>
        <w:t xml:space="preserve">L’angle entre deux panneaux CLT est assemblé </w:t>
      </w:r>
      <w:r>
        <w:rPr>
          <w:rStyle w:val="optioncarChar"/>
        </w:rPr>
        <w:t xml:space="preserve">par pose sur le mur porteur </w:t>
      </w:r>
      <w:r>
        <w:t>(par défaut)</w:t>
      </w:r>
      <w:r>
        <w:rPr>
          <w:rStyle w:val="optioncarChar"/>
        </w:rPr>
        <w:t xml:space="preserve"> / par dispositifs d’ancrage ponctuels sur le gros œuvre existant / par pose sur traverse portante appliquée sur parois / ***.</w:t>
      </w:r>
    </w:p>
    <w:p w14:paraId="5E1129A3" w14:textId="77777777" w:rsidR="00DB2B68" w:rsidRDefault="00000000">
      <w:pPr>
        <w:ind w:left="567"/>
        <w:jc w:val="both"/>
      </w:pPr>
      <w:r>
        <w:rPr>
          <w:b/>
          <w:i/>
        </w:rPr>
        <w:t>(Soit par défaut)</w:t>
      </w:r>
    </w:p>
    <w:p w14:paraId="5377381E" w14:textId="77777777" w:rsidR="00DB2B68" w:rsidRDefault="00000000">
      <w:pPr>
        <w:ind w:left="567"/>
        <w:jc w:val="both"/>
      </w:pPr>
      <w:r>
        <w:rPr>
          <w:rStyle w:val="soitChar"/>
          <w:u w:val="single"/>
        </w:rPr>
        <w:t>Pose sur mur porteur</w:t>
      </w:r>
      <w:r>
        <w:rPr>
          <w:rStyle w:val="soitChar"/>
        </w:rPr>
        <w:t xml:space="preserve"> :  Après pose du plancher en CLT, l’assemblage est effectué </w:t>
      </w:r>
      <w:r>
        <w:rPr>
          <w:rStyle w:val="optioncarChar"/>
        </w:rPr>
        <w:t>par tire-fond et appliqué sur le pli central intérieur du panneau à assembler ou par fixations inclinées</w:t>
      </w:r>
      <w:r>
        <w:t xml:space="preserve"> (par défaut)</w:t>
      </w:r>
      <w:r>
        <w:rPr>
          <w:rStyle w:val="optioncarChar"/>
        </w:rPr>
        <w:t xml:space="preserve"> / plats métallique / ***</w:t>
      </w:r>
      <w:r>
        <w:rPr>
          <w:rStyle w:val="soitChar"/>
        </w:rPr>
        <w:t>. Le nombre de fixations et les sections répondent au dimensionnement selon la [NBN EN 1995 série].</w:t>
      </w:r>
    </w:p>
    <w:p w14:paraId="1FB0B1F0" w14:textId="77777777" w:rsidR="00DB2B68" w:rsidRDefault="0000000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14:paraId="58A71243" w14:textId="77777777" w:rsidR="00DB2B68" w:rsidRDefault="00000000">
      <w:pPr>
        <w:ind w:left="567"/>
        <w:jc w:val="both"/>
      </w:pPr>
      <w:r>
        <w:t> </w:t>
      </w:r>
      <w:r>
        <w:rPr>
          <w:b/>
          <w:i/>
        </w:rPr>
        <w:t>(Soit)</w:t>
      </w:r>
    </w:p>
    <w:p w14:paraId="1C747885" w14:textId="77777777" w:rsidR="00DB2B68" w:rsidRDefault="00000000">
      <w:pPr>
        <w:ind w:left="567"/>
        <w:jc w:val="both"/>
      </w:pPr>
      <w:r>
        <w:rPr>
          <w:rStyle w:val="soitChar"/>
          <w:u w:val="single"/>
        </w:rPr>
        <w:t>Dispositifs d’ancrage ponctuels</w:t>
      </w:r>
      <w:r>
        <w:rPr>
          <w:rStyle w:val="soitChar"/>
        </w:rPr>
        <w:t xml:space="preserve"> : Les dispositifs de fixation sont des </w:t>
      </w:r>
      <w:r>
        <w:rPr>
          <w:rStyle w:val="optioncarChar"/>
        </w:rPr>
        <w:t xml:space="preserve">connecteurs acoustiques </w:t>
      </w:r>
      <w:r>
        <w:t>(par défaut)</w:t>
      </w:r>
      <w:r>
        <w:rPr>
          <w:rStyle w:val="optioncarChar"/>
        </w:rPr>
        <w:t xml:space="preserve"> / équerres métalliques / plats métalliques / connecteurs de cisaillement et traction / </w:t>
      </w:r>
      <w:r>
        <w:rPr>
          <w:rStyle w:val="optioncarChar"/>
        </w:rPr>
        <w:lastRenderedPageBreak/>
        <w:t>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du bord du panneau. </w:t>
      </w:r>
    </w:p>
    <w:p w14:paraId="3B405A89" w14:textId="77777777" w:rsidR="00DB2B68" w:rsidRDefault="00000000">
      <w:pPr>
        <w:ind w:left="567"/>
        <w:jc w:val="both"/>
      </w:pPr>
      <w:r>
        <w:rPr>
          <w:rStyle w:val="soitChar"/>
        </w:rPr>
        <w:t xml:space="preserve">L’assemblage </w:t>
      </w:r>
      <w:r>
        <w:rPr>
          <w:rStyle w:val="optioncarChar"/>
        </w:rPr>
        <w:t xml:space="preserve">est </w:t>
      </w:r>
      <w:r>
        <w:t>(par défaut)</w:t>
      </w:r>
      <w:r>
        <w:rPr>
          <w:rStyle w:val="optioncarChar"/>
        </w:rPr>
        <w:t xml:space="preserve"> / n’est pas</w:t>
      </w:r>
      <w:r>
        <w:rPr>
          <w:rStyle w:val="soitChar"/>
        </w:rPr>
        <w:t xml:space="preserve"> réalisé via un produit résilient. Le choix du produit résilient est effectué sur base du calcul de  descente de charge suivant [NBN EN 1991 série].</w:t>
      </w:r>
    </w:p>
    <w:p w14:paraId="2EDE19E7" w14:textId="77777777" w:rsidR="00DB2B68" w:rsidRDefault="00000000">
      <w:pPr>
        <w:ind w:left="567"/>
        <w:jc w:val="both"/>
      </w:pPr>
      <w:r>
        <w:t> </w:t>
      </w:r>
      <w:r>
        <w:rPr>
          <w:b/>
          <w:i/>
        </w:rPr>
        <w:t>(Soit)</w:t>
      </w:r>
    </w:p>
    <w:p w14:paraId="19948E7C" w14:textId="77777777" w:rsidR="00DB2B68" w:rsidRDefault="00000000">
      <w:pPr>
        <w:ind w:left="567"/>
        <w:jc w:val="both"/>
      </w:pPr>
      <w:r>
        <w:rPr>
          <w:rStyle w:val="soitChar"/>
          <w:u w:val="single"/>
        </w:rPr>
        <w:t>Pose sur traverse</w:t>
      </w:r>
      <w:r>
        <w:rPr>
          <w:rStyle w:val="soitChar"/>
        </w:rPr>
        <w:t xml:space="preserve"> : La traverse est composée d’une poutre en </w:t>
      </w:r>
      <w:r>
        <w:rPr>
          <w:rStyle w:val="optioncarChar"/>
        </w:rPr>
        <w:t xml:space="preserve">bois </w:t>
      </w:r>
      <w:r>
        <w:t>(par défaut)</w:t>
      </w:r>
      <w:r>
        <w:rPr>
          <w:rStyle w:val="optioncarChar"/>
        </w:rPr>
        <w:t xml:space="preserve"> / acier / ***</w:t>
      </w:r>
      <w:r>
        <w:rPr>
          <w:rStyle w:val="soitChar"/>
        </w:rPr>
        <w:t xml:space="preserve">. La poutre est fixée sur le mur porteur par l’intermédiaire de </w:t>
      </w:r>
      <w:r>
        <w:rPr>
          <w:rStyle w:val="optioncarChar"/>
        </w:rPr>
        <w:t xml:space="preserve">chevilles métalliques </w:t>
      </w:r>
      <w:r>
        <w:t>(par défaut)</w:t>
      </w:r>
      <w:r>
        <w:rPr>
          <w:rStyle w:val="optioncarChar"/>
        </w:rPr>
        <w:t xml:space="preserve"> / tiges filetées / équerres de fixation / ***.</w:t>
      </w:r>
      <w:r>
        <w:rPr>
          <w:rStyle w:val="soitChar"/>
        </w:rPr>
        <w:t xml:space="preserve"> La poutre en bois est décrite dans l’article </w:t>
      </w:r>
      <w:hyperlink w:anchor="588" w:history="1">
        <w:r>
          <w:rPr>
            <w:rStyle w:val="soitChar"/>
            <w:color w:val="0000EE"/>
          </w:rPr>
          <w:t>24.13.1a Poutres et barres en bois massif à section rectangulaire</w:t>
        </w:r>
      </w:hyperlink>
      <w:r>
        <w:rPr>
          <w:rStyle w:val="soitChar"/>
        </w:rPr>
        <w:t xml:space="preserve"> .  La poutre en acier est décrite dans le sous-titre </w:t>
      </w:r>
      <w:hyperlink w:anchor="589" w:history="1">
        <w:r>
          <w:rPr>
            <w:rStyle w:val="soitChar"/>
            <w:color w:val="0000EE"/>
          </w:rPr>
          <w:t>23.11 Poutres métalliques</w:t>
        </w:r>
      </w:hyperlink>
      <w:r>
        <w:rPr>
          <w:rStyle w:val="soitChar"/>
        </w:rPr>
        <w:t>.</w:t>
      </w:r>
    </w:p>
    <w:p w14:paraId="732ADD2C" w14:textId="77777777" w:rsidR="00DB2B68" w:rsidRDefault="00000000">
      <w:pPr>
        <w:ind w:left="567"/>
        <w:jc w:val="both"/>
      </w:pPr>
      <w:r>
        <w:rPr>
          <w:rStyle w:val="soitChar"/>
        </w:rPr>
        <w:t xml:space="preserve">La dalle est fixée sur la poutre par l’intermédiaire de </w:t>
      </w:r>
      <w:r>
        <w:rPr>
          <w:rStyle w:val="optioncarChar"/>
        </w:rPr>
        <w:t xml:space="preserve">chevilles métalliques </w:t>
      </w:r>
      <w:r>
        <w:t>(par défaut)</w:t>
      </w:r>
      <w:r>
        <w:rPr>
          <w:rStyle w:val="optioncarChar"/>
        </w:rPr>
        <w:t xml:space="preserve"> / tiges filetées / équerres de fixation / ***.</w:t>
      </w:r>
    </w:p>
    <w:p w14:paraId="4E73CEAE" w14:textId="77777777" w:rsidR="00DB2B68" w:rsidRDefault="00000000">
      <w:pPr>
        <w:ind w:left="567"/>
        <w:jc w:val="both"/>
      </w:pPr>
      <w:r>
        <w:rPr>
          <w:b/>
          <w:i/>
        </w:rPr>
        <w:t>(Soit)</w:t>
      </w:r>
    </w:p>
    <w:p w14:paraId="4BCCC00D" w14:textId="77777777" w:rsidR="00DB2B68" w:rsidRDefault="00000000">
      <w:pPr>
        <w:ind w:left="567"/>
        <w:jc w:val="both"/>
      </w:pPr>
      <w:r>
        <w:rPr>
          <w:rStyle w:val="optioncarChar"/>
        </w:rPr>
        <w:t>***</w:t>
      </w:r>
    </w:p>
    <w:p w14:paraId="08F0A092" w14:textId="77777777" w:rsidR="00DB2B68" w:rsidRDefault="00000000">
      <w:pPr>
        <w:jc w:val="both"/>
      </w:pPr>
      <w:r>
        <w:t> </w:t>
      </w:r>
    </w:p>
    <w:p w14:paraId="124CBF75" w14:textId="77777777" w:rsidR="00DB2B68" w:rsidRDefault="0000000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2559AABF" w14:textId="77777777" w:rsidR="00DB2B68" w:rsidRDefault="0000000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7BF8208C" w14:textId="77777777" w:rsidR="00DB2B68" w:rsidRDefault="00000000">
      <w:pPr>
        <w:jc w:val="both"/>
      </w:pPr>
      <w:r>
        <w:t xml:space="preserve">Les dispositifs d’ancrages sont décrits dans les éléments du </w:t>
      </w:r>
      <w:hyperlink w:anchor="585" w:history="1">
        <w:r>
          <w:rPr>
            <w:color w:val="0000EE"/>
          </w:rPr>
          <w:t>24.4 Assemblages</w:t>
        </w:r>
      </w:hyperlink>
      <w:r>
        <w:t>.</w:t>
      </w:r>
    </w:p>
    <w:p w14:paraId="79059FC7" w14:textId="77777777" w:rsidR="00DB2B68" w:rsidRDefault="00000000">
      <w:pPr>
        <w:pStyle w:val="pheading"/>
      </w:pPr>
      <w:r>
        <w:t>DOCUMENTS DE RÉFÉRENCE COMPLÉMENTAIRES</w:t>
      </w:r>
    </w:p>
    <w:p w14:paraId="67CF9E7C" w14:textId="77777777" w:rsidR="00DB2B68" w:rsidRDefault="00000000">
      <w:pPr>
        <w:pStyle w:val="pheading"/>
      </w:pPr>
      <w:r>
        <w:t>- Matériau</w:t>
      </w:r>
    </w:p>
    <w:p w14:paraId="22FFEB5E" w14:textId="77777777" w:rsidR="00DB2B68" w:rsidRDefault="00000000">
      <w:r>
        <w:t>[NBN EN 408+A1, Structures en bois - Bois de structure et bois lamellé-collé - Détermination de certaines propriétés physiques et mécaniques] </w:t>
      </w:r>
    </w:p>
    <w:p w14:paraId="4EF53357" w14:textId="77777777" w:rsidR="00DB2B68" w:rsidRDefault="00000000">
      <w:r>
        <w:t>[NBN EN 594, Structures en bois - Méthodes d'essai - Essai de raideur et résistance au contreventement des murs à ossature en bois]</w:t>
      </w:r>
    </w:p>
    <w:p w14:paraId="2FBF614E" w14:textId="77777777" w:rsidR="00DB2B68" w:rsidRDefault="00000000">
      <w:r>
        <w:t>[NBN EN 1991 série, Eurocode 1 : Actions sur les structures]</w:t>
      </w:r>
    </w:p>
    <w:p w14:paraId="5C04B8DD" w14:textId="77777777" w:rsidR="00DB2B68" w:rsidRDefault="00000000">
      <w:r>
        <w:t>[NBN EN 1995 série, Eurocode 5: Conception et calcul des structures en bois]</w:t>
      </w:r>
    </w:p>
    <w:p w14:paraId="3C34D3B9"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51AB2717" w14:textId="77777777" w:rsidR="00DB2B68" w:rsidRDefault="00000000">
      <w:r>
        <w:t>[NBN EN 13556, Bois ronds et bois sciés - Nomenclature des bois utilisés en Europe]</w:t>
      </w:r>
    </w:p>
    <w:p w14:paraId="2E0770C1" w14:textId="77777777" w:rsidR="00DB2B68" w:rsidRDefault="00000000">
      <w:r>
        <w:t>[NBN EN 14358, Structures en bois - Détermination et vérification des valeurs caractéristiques]</w:t>
      </w:r>
    </w:p>
    <w:p w14:paraId="6E7D55F5" w14:textId="77777777" w:rsidR="00DB2B68" w:rsidRDefault="00000000">
      <w:r>
        <w:t>[NBN EN 16351, Structures en bois - Bois lamellé croisé - Exigences]</w:t>
      </w:r>
    </w:p>
    <w:p w14:paraId="59577A89" w14:textId="77777777" w:rsidR="00DB2B68" w:rsidRDefault="00000000">
      <w:pPr>
        <w:pStyle w:val="pheading"/>
      </w:pPr>
      <w:r>
        <w:t>MESURAGE</w:t>
      </w:r>
    </w:p>
    <w:p w14:paraId="0C04AE38" w14:textId="77777777" w:rsidR="00DB2B68" w:rsidRDefault="00000000">
      <w:pPr>
        <w:pStyle w:val="pheading"/>
      </w:pPr>
      <w:r>
        <w:t>- unité de mesure:</w:t>
      </w:r>
    </w:p>
    <w:p w14:paraId="2A9C42A8" w14:textId="77777777" w:rsidR="00DB2B68" w:rsidRDefault="00000000">
      <w:r>
        <w:rPr>
          <w:rStyle w:val="optioncarChar"/>
        </w:rPr>
        <w:t>m² </w:t>
      </w:r>
      <w:r>
        <w:t xml:space="preserve">(par défaut) </w:t>
      </w:r>
      <w:r>
        <w:rPr>
          <w:rStyle w:val="optioncarChar"/>
        </w:rPr>
        <w:t>/ m³</w:t>
      </w:r>
    </w:p>
    <w:p w14:paraId="47B5F63B" w14:textId="77777777" w:rsidR="00DB2B68" w:rsidRDefault="00000000">
      <w:r>
        <w:rPr>
          <w:b/>
          <w:i/>
        </w:rPr>
        <w:t>(Soit par défaut)</w:t>
      </w:r>
    </w:p>
    <w:p w14:paraId="2AB40F0D" w14:textId="77777777" w:rsidR="00DB2B68" w:rsidRDefault="00000000">
      <w:r>
        <w:rPr>
          <w:rStyle w:val="soitChar"/>
        </w:rPr>
        <w:t>1. m²</w:t>
      </w:r>
    </w:p>
    <w:p w14:paraId="58B2227D" w14:textId="77777777" w:rsidR="00DB2B68" w:rsidRDefault="00000000">
      <w:r>
        <w:rPr>
          <w:b/>
          <w:i/>
        </w:rPr>
        <w:t>(Soit)</w:t>
      </w:r>
    </w:p>
    <w:p w14:paraId="44E1FB2A" w14:textId="77777777" w:rsidR="00DB2B68" w:rsidRDefault="00000000">
      <w:r>
        <w:rPr>
          <w:rStyle w:val="soitChar"/>
        </w:rPr>
        <w:t>2. m³</w:t>
      </w:r>
    </w:p>
    <w:p w14:paraId="2C6D475C" w14:textId="77777777" w:rsidR="00DB2B68" w:rsidRDefault="00000000">
      <w:pPr>
        <w:pStyle w:val="pheading"/>
      </w:pPr>
      <w:r>
        <w:t>- code de mesurage:</w:t>
      </w:r>
    </w:p>
    <w:p w14:paraId="77576ABC" w14:textId="77777777" w:rsidR="00DB2B68" w:rsidRDefault="00000000">
      <w:pPr>
        <w:jc w:val="both"/>
      </w:pPr>
      <w:r>
        <w:rPr>
          <w:rStyle w:val="optioncarChar"/>
        </w:rPr>
        <w:t xml:space="preserve">Surface nette </w:t>
      </w:r>
      <w:r>
        <w:t xml:space="preserve">(par défaut) </w:t>
      </w:r>
      <w:r>
        <w:rPr>
          <w:rStyle w:val="optioncarChar"/>
        </w:rPr>
        <w:t>/ Volume net</w:t>
      </w:r>
    </w:p>
    <w:p w14:paraId="6FA6B816" w14:textId="77777777" w:rsidR="00DB2B68" w:rsidRDefault="00000000">
      <w:pPr>
        <w:jc w:val="both"/>
      </w:pPr>
      <w:r>
        <w:rPr>
          <w:b/>
          <w:i/>
        </w:rPr>
        <w:lastRenderedPageBreak/>
        <w:t>(Soit par défaut)</w:t>
      </w:r>
    </w:p>
    <w:p w14:paraId="69F125B1" w14:textId="77777777" w:rsidR="00DB2B68"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633FE153" w14:textId="77777777" w:rsidR="00DB2B68" w:rsidRDefault="00000000">
      <w:pPr>
        <w:jc w:val="both"/>
      </w:pPr>
      <w:r>
        <w:rPr>
          <w:b/>
          <w:i/>
        </w:rPr>
        <w:t>(Soit)</w:t>
      </w:r>
    </w:p>
    <w:p w14:paraId="24B407D1" w14:textId="77777777" w:rsidR="00DB2B68"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299CAE86" w14:textId="77777777" w:rsidR="00DB2B68" w:rsidRDefault="00DB2B68"/>
    <w:p w14:paraId="7AE01D19" w14:textId="77777777" w:rsidR="00DB2B68" w:rsidRDefault="00000000">
      <w:pPr>
        <w:pStyle w:val="pheading"/>
      </w:pPr>
      <w:r>
        <w:t>- nature du marché:</w:t>
      </w:r>
    </w:p>
    <w:p w14:paraId="02C940CC" w14:textId="77777777" w:rsidR="00DB2B68" w:rsidRDefault="00000000">
      <w:r>
        <w:t>QF</w:t>
      </w:r>
    </w:p>
    <w:p w14:paraId="7DC77732" w14:textId="77777777" w:rsidR="00DB2B68" w:rsidRDefault="00000000">
      <w:pPr>
        <w:pStyle w:val="Author-eSectionHeading5Numberless"/>
      </w:pPr>
      <w:bookmarkStart w:id="1624" w:name="_Toc220496613"/>
      <w:r>
        <w:t>24.14.2 Planchers en LVL CCTB 01.10</w:t>
      </w:r>
      <w:bookmarkEnd w:id="1624"/>
    </w:p>
    <w:p w14:paraId="6834B5FF" w14:textId="77777777" w:rsidR="00DB2B68" w:rsidRDefault="00000000">
      <w:pPr>
        <w:pStyle w:val="Author-eSectionHeading6Numberless"/>
      </w:pPr>
      <w:bookmarkStart w:id="1625" w:name="_Toc220496614"/>
      <w:r>
        <w:t>24.14.2a Planchers en LVL CCTB 01.11</w:t>
      </w:r>
      <w:bookmarkEnd w:id="1625"/>
    </w:p>
    <w:p w14:paraId="4936D9B8" w14:textId="77777777" w:rsidR="00DB2B68" w:rsidRDefault="00000000">
      <w:pPr>
        <w:pStyle w:val="pheading"/>
      </w:pPr>
      <w:r>
        <w:t>DESCRIPTION</w:t>
      </w:r>
    </w:p>
    <w:p w14:paraId="584B38C4" w14:textId="77777777" w:rsidR="00DB2B68" w:rsidRDefault="00000000">
      <w:pPr>
        <w:pStyle w:val="pheading"/>
      </w:pPr>
      <w:r>
        <w:t>- Définition / Comprend</w:t>
      </w:r>
    </w:p>
    <w:p w14:paraId="58CD97A2" w14:textId="77777777" w:rsidR="00DB2B68" w:rsidRDefault="00000000">
      <w:r>
        <w:t>Il s'agit de panneaux monolithiques fait de LVL et utilisés en plancher.</w:t>
      </w:r>
    </w:p>
    <w:p w14:paraId="623F1949" w14:textId="77777777" w:rsidR="00DB2B68" w:rsidRDefault="00000000">
      <w:r>
        <w:t xml:space="preserve">Le matériau LVL est défini dans au </w:t>
      </w:r>
      <w:hyperlink w:anchor="89" w:history="1">
        <w:r>
          <w:rPr>
            <w:color w:val="0000EE"/>
          </w:rPr>
          <w:t>24 Superstructures en bois</w:t>
        </w:r>
      </w:hyperlink>
    </w:p>
    <w:p w14:paraId="29B9F3E4" w14:textId="77777777" w:rsidR="00DB2B68" w:rsidRDefault="00000000">
      <w:pPr>
        <w:pStyle w:val="pheading"/>
      </w:pPr>
      <w:r>
        <w:t>MATÉRIAUX</w:t>
      </w:r>
    </w:p>
    <w:p w14:paraId="5DCE3AA8" w14:textId="77777777" w:rsidR="00DB2B68" w:rsidRDefault="00000000">
      <w:pPr>
        <w:pStyle w:val="pheading"/>
      </w:pPr>
      <w:r>
        <w:t>- Caractéristiques générales</w:t>
      </w:r>
    </w:p>
    <w:p w14:paraId="4BAD2E26" w14:textId="77777777" w:rsidR="00DB2B68" w:rsidRDefault="00000000">
      <w:r>
        <w:t xml:space="preserve">Classe d’emploi : </w:t>
      </w:r>
      <w:r>
        <w:rPr>
          <w:rStyle w:val="optioncarChar"/>
        </w:rPr>
        <w:t xml:space="preserve">1 </w:t>
      </w:r>
      <w:r>
        <w:t xml:space="preserve">(par défaut) </w:t>
      </w:r>
      <w:r>
        <w:rPr>
          <w:rStyle w:val="optioncarChar"/>
        </w:rPr>
        <w:t>/ 2 / ***</w:t>
      </w:r>
    </w:p>
    <w:p w14:paraId="4DD04FF4" w14:textId="77777777" w:rsidR="00DB2B68" w:rsidRDefault="00000000">
      <w:r>
        <w:t>Teneur en humidité cible maximale des panneaux de LVL :</w:t>
      </w:r>
      <w:r>
        <w:rPr>
          <w:rStyle w:val="optioncarChar"/>
        </w:rPr>
        <w:t xml:space="preserve"> 12 % </w:t>
      </w:r>
      <w:r>
        <w:t>(par défaut)</w:t>
      </w:r>
      <w:r>
        <w:rPr>
          <w:rStyle w:val="optioncarChar"/>
        </w:rPr>
        <w:t xml:space="preserve"> / ***</w:t>
      </w:r>
    </w:p>
    <w:p w14:paraId="4B982FE9" w14:textId="77777777" w:rsidR="00DB2B68" w:rsidRDefault="00000000">
      <w:r>
        <w:t xml:space="preserve">Durabilité des LVL : </w:t>
      </w:r>
      <w:r>
        <w:rPr>
          <w:rStyle w:val="optioncarChar"/>
        </w:rPr>
        <w:t>LVL/1</w:t>
      </w:r>
      <w:r>
        <w:t xml:space="preserve"> (par défaut) </w:t>
      </w:r>
      <w:r>
        <w:rPr>
          <w:rStyle w:val="optioncarChar"/>
        </w:rPr>
        <w:t>/ LVL/2 / LVL/3</w:t>
      </w:r>
    </w:p>
    <w:p w14:paraId="2872E98B" w14:textId="77777777" w:rsidR="00DB2B68" w:rsidRDefault="00000000">
      <w:r>
        <w:t xml:space="preserve">Essence des bois : </w:t>
      </w:r>
      <w:r>
        <w:rPr>
          <w:rStyle w:val="optioncarChar"/>
        </w:rPr>
        <w:t>résineuse</w:t>
      </w:r>
      <w:r>
        <w:t xml:space="preserve"> (par défaut)</w:t>
      </w:r>
      <w:r>
        <w:rPr>
          <w:rStyle w:val="optioncarChar"/>
        </w:rPr>
        <w:t xml:space="preserve"> / feuillue / épicéa / douglas / bouleau / peuplier / ***</w:t>
      </w:r>
    </w:p>
    <w:p w14:paraId="5B76428D" w14:textId="77777777" w:rsidR="00DB2B68" w:rsidRDefault="00000000">
      <w:r>
        <w:t xml:space="preserve">Type de LVL : </w:t>
      </w:r>
      <w:r>
        <w:rPr>
          <w:rStyle w:val="optioncarChar"/>
        </w:rPr>
        <w:t xml:space="preserve">LVL Q </w:t>
      </w:r>
      <w:r>
        <w:t xml:space="preserve">(par défaut) </w:t>
      </w:r>
      <w:r>
        <w:rPr>
          <w:rStyle w:val="optioncarChar"/>
        </w:rPr>
        <w:t>/ LVL S </w:t>
      </w:r>
    </w:p>
    <w:p w14:paraId="62E3F8E2" w14:textId="77777777" w:rsidR="00DB2B68" w:rsidRDefault="00000000">
      <w:r>
        <w:t xml:space="preserve">Épaisseur du panneau : </w:t>
      </w:r>
      <w:r>
        <w:rPr>
          <w:rStyle w:val="optioncarChar"/>
        </w:rPr>
        <w:t>25</w:t>
      </w:r>
      <w:r>
        <w:t xml:space="preserve"> (par défaut)</w:t>
      </w:r>
      <w:r>
        <w:rPr>
          <w:rStyle w:val="optioncarChar"/>
        </w:rPr>
        <w:t> / 30 / 40 / 50 / 60 / 75 / ***</w:t>
      </w:r>
    </w:p>
    <w:p w14:paraId="5ECFD1E3" w14:textId="77777777" w:rsidR="00DB2B68" w:rsidRDefault="00000000">
      <w:r>
        <w:t xml:space="preserve">Surface des planchers : </w:t>
      </w:r>
      <w:r>
        <w:rPr>
          <w:rStyle w:val="optioncarChar"/>
        </w:rPr>
        <w:t xml:space="preserve">voir plan </w:t>
      </w:r>
      <w:r>
        <w:t xml:space="preserve">(par défaut) </w:t>
      </w:r>
      <w:r>
        <w:rPr>
          <w:rStyle w:val="optioncarChar"/>
        </w:rPr>
        <w:t>/ ***</w:t>
      </w:r>
    </w:p>
    <w:p w14:paraId="65B3DEDC" w14:textId="77777777" w:rsidR="00DB2B68" w:rsidRDefault="00000000">
      <w:r>
        <w:t>Caractéristiques mécaniques :</w:t>
      </w:r>
    </w:p>
    <w:p w14:paraId="40797F41" w14:textId="77777777" w:rsidR="00DB2B68" w:rsidRDefault="00000000">
      <w:pPr>
        <w:pStyle w:val="Author-eListParagraph"/>
        <w:numPr>
          <w:ilvl w:val="0"/>
          <w:numId w:val="876"/>
        </w:numPr>
        <w:jc w:val="both"/>
      </w:pPr>
      <w:r>
        <w:t xml:space="preserve">Résistance minimale en flexion à plat, fil parallèle : </w:t>
      </w:r>
      <w:r>
        <w:rPr>
          <w:rStyle w:val="optioncarChar"/>
        </w:rPr>
        <w:t>32 MPa </w:t>
      </w:r>
      <w:r>
        <w:t>(par défaut)</w:t>
      </w:r>
      <w:r>
        <w:rPr>
          <w:rStyle w:val="optioncarChar"/>
        </w:rPr>
        <w:t xml:space="preserve"> / 36 MPa / ***</w:t>
      </w:r>
    </w:p>
    <w:p w14:paraId="1013B895" w14:textId="77777777" w:rsidR="00DB2B68" w:rsidRDefault="00000000">
      <w:pPr>
        <w:pStyle w:val="Author-eListParagraph"/>
        <w:numPr>
          <w:ilvl w:val="0"/>
          <w:numId w:val="876"/>
        </w:numPr>
        <w:jc w:val="both"/>
      </w:pPr>
      <w:r>
        <w:t>Résistance minimale en traction parallèle au fil du bois :</w:t>
      </w:r>
      <w:r>
        <w:rPr>
          <w:rStyle w:val="optioncarChar"/>
        </w:rPr>
        <w:t xml:space="preserve"> 18 MPa </w:t>
      </w:r>
      <w:r>
        <w:t>(par défaut)</w:t>
      </w:r>
      <w:r>
        <w:rPr>
          <w:rStyle w:val="optioncarChar"/>
        </w:rPr>
        <w:t xml:space="preserve"> / ***</w:t>
      </w:r>
    </w:p>
    <w:p w14:paraId="5F9CE90B" w14:textId="77777777" w:rsidR="00DB2B68" w:rsidRDefault="00000000">
      <w:pPr>
        <w:pStyle w:val="Author-eListParagraph"/>
        <w:numPr>
          <w:ilvl w:val="0"/>
          <w:numId w:val="876"/>
        </w:numPr>
        <w:jc w:val="both"/>
      </w:pPr>
      <w:r>
        <w:t xml:space="preserve">Résistance minimale en compression parallèle au fil du bois : </w:t>
      </w:r>
      <w:r>
        <w:rPr>
          <w:rStyle w:val="optioncarChar"/>
        </w:rPr>
        <w:t>30 MPa</w:t>
      </w:r>
      <w:r>
        <w:t> (par défaut)</w:t>
      </w:r>
      <w:r>
        <w:rPr>
          <w:rStyle w:val="optioncarChar"/>
        </w:rPr>
        <w:t xml:space="preserve"> / ***</w:t>
      </w:r>
    </w:p>
    <w:p w14:paraId="21A53EB0" w14:textId="77777777" w:rsidR="00DB2B68" w:rsidRDefault="00000000">
      <w:pPr>
        <w:pStyle w:val="Author-eListParagraph"/>
        <w:numPr>
          <w:ilvl w:val="0"/>
          <w:numId w:val="876"/>
        </w:numPr>
        <w:jc w:val="both"/>
      </w:pPr>
      <w:r>
        <w:t xml:space="preserve">Résistance minimale en cisaillement à plat : </w:t>
      </w:r>
      <w:r>
        <w:rPr>
          <w:rStyle w:val="optioncarChar"/>
        </w:rPr>
        <w:t>2 MPa </w:t>
      </w:r>
      <w:r>
        <w:t>(par défaut)</w:t>
      </w:r>
      <w:r>
        <w:rPr>
          <w:rStyle w:val="optioncarChar"/>
        </w:rPr>
        <w:t xml:space="preserve"> / ***</w:t>
      </w:r>
    </w:p>
    <w:p w14:paraId="5B62AACC" w14:textId="77777777" w:rsidR="00DB2B68" w:rsidRDefault="00000000">
      <w:pPr>
        <w:pStyle w:val="Author-eListParagraph"/>
        <w:numPr>
          <w:ilvl w:val="0"/>
          <w:numId w:val="876"/>
        </w:numPr>
        <w:jc w:val="both"/>
      </w:pPr>
      <w:r>
        <w:t xml:space="preserve">Module d’élasticité minimum parallèle au fil du bois (au fractile 5%) : </w:t>
      </w:r>
      <w:r>
        <w:rPr>
          <w:rStyle w:val="optioncarChar"/>
        </w:rPr>
        <w:t>9 GPa</w:t>
      </w:r>
      <w:r>
        <w:t> (par défaut)</w:t>
      </w:r>
      <w:r>
        <w:rPr>
          <w:rStyle w:val="optioncarChar"/>
        </w:rPr>
        <w:t xml:space="preserve"> / ***</w:t>
      </w:r>
    </w:p>
    <w:p w14:paraId="733F2B2C" w14:textId="77777777" w:rsidR="00DB2B68" w:rsidRDefault="00000000">
      <w:pPr>
        <w:pStyle w:val="Author-eListParagraph"/>
        <w:numPr>
          <w:ilvl w:val="0"/>
          <w:numId w:val="876"/>
        </w:numPr>
        <w:jc w:val="both"/>
      </w:pPr>
      <w:r>
        <w:t xml:space="preserve">Module de cisaillement à plat : </w:t>
      </w:r>
      <w:r>
        <w:rPr>
          <w:rStyle w:val="optioncarChar"/>
        </w:rPr>
        <w:t>130 MPa </w:t>
      </w:r>
      <w:r>
        <w:t xml:space="preserve">(par défaut) </w:t>
      </w:r>
      <w:r>
        <w:rPr>
          <w:rStyle w:val="optioncarChar"/>
        </w:rPr>
        <w:t>/ ***</w:t>
      </w:r>
    </w:p>
    <w:p w14:paraId="596839BC" w14:textId="77777777" w:rsidR="00DB2B68" w:rsidRDefault="00000000">
      <w:r>
        <w:t xml:space="preserve">Exigences d’aspect : </w:t>
      </w:r>
      <w:r>
        <w:rPr>
          <w:rStyle w:val="optioncarChar"/>
        </w:rPr>
        <w:t>non-visible</w:t>
      </w:r>
      <w:r>
        <w:t xml:space="preserve"> (par défaut)</w:t>
      </w:r>
      <w:r>
        <w:rPr>
          <w:rStyle w:val="optioncarChar"/>
        </w:rPr>
        <w:t xml:space="preserve"> / visible industriel / visible habitat</w:t>
      </w:r>
      <w:r>
        <w:t xml:space="preserve"> sur </w:t>
      </w:r>
      <w:r>
        <w:rPr>
          <w:rStyle w:val="optioncarChar"/>
        </w:rPr>
        <w:t>1</w:t>
      </w:r>
      <w:r>
        <w:t xml:space="preserve"> (par défaut)</w:t>
      </w:r>
      <w:r>
        <w:rPr>
          <w:rStyle w:val="optioncarChar"/>
        </w:rPr>
        <w:t xml:space="preserve"> / 2</w:t>
      </w:r>
      <w:r>
        <w:t xml:space="preserve"> face(s)</w:t>
      </w:r>
    </w:p>
    <w:p w14:paraId="0E7BB9CA" w14:textId="77777777" w:rsidR="00DB2B68" w:rsidRDefault="00000000">
      <w:r>
        <w:t xml:space="preserve">Classe d’émission de formaldéhyde : </w:t>
      </w:r>
      <w:r>
        <w:rPr>
          <w:rStyle w:val="optioncarChar"/>
        </w:rPr>
        <w:t xml:space="preserve">E1 </w:t>
      </w:r>
      <w:r>
        <w:t xml:space="preserve">(par défaut) </w:t>
      </w:r>
      <w:r>
        <w:rPr>
          <w:rStyle w:val="optioncarChar"/>
        </w:rPr>
        <w:t>/ E2</w:t>
      </w:r>
    </w:p>
    <w:p w14:paraId="3B9341B7" w14:textId="77777777" w:rsidR="00DB2B68" w:rsidRDefault="00000000">
      <w:pPr>
        <w:pStyle w:val="pheading"/>
      </w:pPr>
      <w:r>
        <w:t>MESURAGE</w:t>
      </w:r>
    </w:p>
    <w:p w14:paraId="1B4CE053" w14:textId="77777777" w:rsidR="00DB2B68" w:rsidRDefault="00000000">
      <w:pPr>
        <w:pStyle w:val="pheading"/>
      </w:pPr>
      <w:r>
        <w:t>- unité de mesure:</w:t>
      </w:r>
    </w:p>
    <w:p w14:paraId="6F4697A2" w14:textId="77777777" w:rsidR="00DB2B68" w:rsidRDefault="00000000">
      <w:r>
        <w:rPr>
          <w:rStyle w:val="optioncarChar"/>
        </w:rPr>
        <w:t>m³</w:t>
      </w:r>
      <w:r>
        <w:t xml:space="preserve"> (par défaut)</w:t>
      </w:r>
      <w:r>
        <w:rPr>
          <w:rStyle w:val="optioncarChar"/>
        </w:rPr>
        <w:t xml:space="preserve"> / m³</w:t>
      </w:r>
    </w:p>
    <w:p w14:paraId="023406A2" w14:textId="77777777" w:rsidR="00DB2B68" w:rsidRDefault="00000000">
      <w:r>
        <w:rPr>
          <w:b/>
          <w:i/>
        </w:rPr>
        <w:t>(Soit par défaut)</w:t>
      </w:r>
    </w:p>
    <w:p w14:paraId="20EF342B" w14:textId="77777777" w:rsidR="00DB2B68" w:rsidRDefault="00000000">
      <w:r>
        <w:rPr>
          <w:rStyle w:val="soitChar"/>
        </w:rPr>
        <w:t>1. m³</w:t>
      </w:r>
    </w:p>
    <w:p w14:paraId="13B11BC2" w14:textId="77777777" w:rsidR="00DB2B68" w:rsidRDefault="00000000">
      <w:r>
        <w:rPr>
          <w:b/>
          <w:i/>
        </w:rPr>
        <w:t>(Soit)</w:t>
      </w:r>
    </w:p>
    <w:p w14:paraId="0C82AC8F" w14:textId="77777777" w:rsidR="00DB2B68" w:rsidRDefault="00000000">
      <w:r>
        <w:rPr>
          <w:rStyle w:val="soitChar"/>
        </w:rPr>
        <w:lastRenderedPageBreak/>
        <w:t>2. m²</w:t>
      </w:r>
    </w:p>
    <w:p w14:paraId="0C229D94" w14:textId="77777777" w:rsidR="00DB2B68" w:rsidRDefault="00000000">
      <w:pPr>
        <w:pStyle w:val="pheading"/>
      </w:pPr>
      <w:r>
        <w:t>- code de mesurage:</w:t>
      </w:r>
    </w:p>
    <w:p w14:paraId="2703F003" w14:textId="77777777" w:rsidR="00DB2B68" w:rsidRDefault="00000000">
      <w:pPr>
        <w:jc w:val="both"/>
      </w:pPr>
      <w:r>
        <w:rPr>
          <w:rStyle w:val="optioncarChar"/>
        </w:rPr>
        <w:t> Volume brut </w:t>
      </w:r>
      <w:r>
        <w:t>(par défaut) </w:t>
      </w:r>
      <w:r>
        <w:rPr>
          <w:rStyle w:val="optioncarChar"/>
        </w:rPr>
        <w:t>/ Surface nette</w:t>
      </w:r>
    </w:p>
    <w:p w14:paraId="5D1B743C" w14:textId="77777777" w:rsidR="00DB2B68" w:rsidRDefault="00000000">
      <w:pPr>
        <w:jc w:val="both"/>
      </w:pPr>
      <w:r>
        <w:rPr>
          <w:b/>
          <w:i/>
        </w:rPr>
        <w:t>(Soit par défaut)</w:t>
      </w:r>
    </w:p>
    <w:p w14:paraId="01471724" w14:textId="77777777" w:rsidR="00DB2B68" w:rsidRDefault="00000000">
      <w:pPr>
        <w:jc w:val="both"/>
      </w:pPr>
      <w:r>
        <w:rPr>
          <w:rStyle w:val="soitChar"/>
        </w:rPr>
        <w:t>1.    </w:t>
      </w:r>
      <w:r>
        <w:rPr>
          <w:rStyle w:val="soitChar"/>
          <w:u w:val="single"/>
        </w:rPr>
        <w:t>Volume brut :</w:t>
      </w:r>
      <w:r>
        <w:t>   </w:t>
      </w:r>
    </w:p>
    <w:p w14:paraId="1F4F5E6D" w14:textId="77777777" w:rsidR="00DB2B68" w:rsidRDefault="00000000">
      <w:pPr>
        <w:jc w:val="both"/>
      </w:pPr>
      <w:r>
        <w:rPr>
          <w:rStyle w:val="soitChar"/>
        </w:rPr>
        <w:t>Le volume brut d'un plancher est calculé suivant le volume du plus petit parallélépipède rectangle pouvant inclure l’élément.</w:t>
      </w:r>
    </w:p>
    <w:p w14:paraId="42E644BB" w14:textId="77777777" w:rsidR="00DB2B68" w:rsidRDefault="00000000">
      <w:pPr>
        <w:jc w:val="both"/>
      </w:pPr>
      <w:r>
        <w:rPr>
          <w:b/>
          <w:i/>
        </w:rPr>
        <w:t>(Soit)</w:t>
      </w:r>
    </w:p>
    <w:p w14:paraId="16E783B4" w14:textId="77777777" w:rsidR="00DB2B68" w:rsidRDefault="00000000">
      <w:pPr>
        <w:jc w:val="both"/>
      </w:pPr>
      <w:r>
        <w:rPr>
          <w:rStyle w:val="soitChar"/>
        </w:rPr>
        <w:t>2. </w:t>
      </w:r>
      <w:r>
        <w:rPr>
          <w:rStyle w:val="soitChar"/>
          <w:u w:val="single"/>
        </w:rPr>
        <w:t>Surface nette:</w:t>
      </w:r>
      <w:r>
        <w:t> </w:t>
      </w:r>
    </w:p>
    <w:p w14:paraId="4AB45061" w14:textId="77777777" w:rsidR="00DB2B68" w:rsidRDefault="00000000">
      <w:pPr>
        <w:jc w:val="both"/>
      </w:pPr>
      <w:r>
        <w:rPr>
          <w:rStyle w:val="soitChar"/>
        </w:rPr>
        <w:t>La surface nette des planchers ayant la même épaisseur et les mêmes caractéristiques est calculée. Les ouvertures inférieures à 0,5m² ne sont pas déduites.</w:t>
      </w:r>
    </w:p>
    <w:p w14:paraId="027C77BA" w14:textId="77777777" w:rsidR="00DB2B68" w:rsidRDefault="00000000">
      <w:pPr>
        <w:pStyle w:val="pheading"/>
      </w:pPr>
      <w:r>
        <w:t>- nature du marché:</w:t>
      </w:r>
    </w:p>
    <w:p w14:paraId="7C09CFEA" w14:textId="77777777" w:rsidR="00DB2B68" w:rsidRDefault="00000000">
      <w:r>
        <w:rPr>
          <w:rStyle w:val="optioncarChar"/>
        </w:rPr>
        <w:t xml:space="preserve">QF </w:t>
      </w:r>
      <w:r>
        <w:t xml:space="preserve">(par défaut) </w:t>
      </w:r>
      <w:r>
        <w:rPr>
          <w:rStyle w:val="optioncarChar"/>
        </w:rPr>
        <w:t>/ QP</w:t>
      </w:r>
    </w:p>
    <w:p w14:paraId="1F7A50CD" w14:textId="77777777" w:rsidR="00DB2B68" w:rsidRDefault="00000000">
      <w:r>
        <w:rPr>
          <w:b/>
          <w:i/>
        </w:rPr>
        <w:t>(Soit par défaut)</w:t>
      </w:r>
    </w:p>
    <w:p w14:paraId="327A9E91" w14:textId="77777777" w:rsidR="00DB2B68" w:rsidRDefault="00000000">
      <w:r>
        <w:rPr>
          <w:rStyle w:val="soitChar"/>
        </w:rPr>
        <w:t>1.2.     QF</w:t>
      </w:r>
    </w:p>
    <w:p w14:paraId="2521EF34" w14:textId="77777777" w:rsidR="00DB2B68" w:rsidRDefault="00000000">
      <w:r>
        <w:rPr>
          <w:b/>
          <w:i/>
        </w:rPr>
        <w:t>(Soit)</w:t>
      </w:r>
    </w:p>
    <w:p w14:paraId="21E25F28" w14:textId="77777777" w:rsidR="00DB2B68" w:rsidRDefault="00000000">
      <w:r>
        <w:rPr>
          <w:rStyle w:val="soitChar"/>
        </w:rPr>
        <w:t>1.2.     QP</w:t>
      </w:r>
    </w:p>
    <w:p w14:paraId="04693D07" w14:textId="77777777" w:rsidR="00DB2B68" w:rsidRDefault="00000000">
      <w:pPr>
        <w:pStyle w:val="pheading"/>
      </w:pPr>
      <w:r>
        <w:t>AIDE</w:t>
      </w:r>
    </w:p>
    <w:p w14:paraId="5456F18F" w14:textId="77777777" w:rsidR="00DB2B68" w:rsidRDefault="00000000">
      <w:pPr>
        <w:jc w:val="both"/>
      </w:pPr>
      <w:r>
        <w:t>Le code suivant peut être utilisé pour la dénomination du poste :</w:t>
      </w:r>
    </w:p>
    <w:p w14:paraId="267DE7BF" w14:textId="77777777" w:rsidR="00DB2B68" w:rsidRDefault="00000000">
      <w:pPr>
        <w:jc w:val="both"/>
      </w:pPr>
      <w:r>
        <w:t>LVL 1 / 2 / 3 / 4 / 5</w:t>
      </w:r>
    </w:p>
    <w:p w14:paraId="47305A56" w14:textId="77777777" w:rsidR="00DB2B68" w:rsidRDefault="00000000">
      <w:pPr>
        <w:jc w:val="both"/>
      </w:pPr>
      <w:r>
        <w:t>Avec :</w:t>
      </w:r>
    </w:p>
    <w:p w14:paraId="250667D1" w14:textId="77777777" w:rsidR="00DB2B68" w:rsidRDefault="00000000">
      <w:pPr>
        <w:jc w:val="both"/>
      </w:pPr>
      <w:r>
        <w:t>LVL pour bois laminated veneer lumber</w:t>
      </w:r>
    </w:p>
    <w:p w14:paraId="01C976D9" w14:textId="77777777" w:rsidR="00DB2B68" w:rsidRDefault="00000000">
      <w:pPr>
        <w:jc w:val="both"/>
      </w:pPr>
      <w:r>
        <w:t>1 : Type de LVL</w:t>
      </w:r>
    </w:p>
    <w:p w14:paraId="28E125F8" w14:textId="77777777" w:rsidR="00DB2B68" w:rsidRDefault="00000000">
      <w:pPr>
        <w:jc w:val="both"/>
      </w:pPr>
      <w:r>
        <w:t>2 : épaisseur du plancher</w:t>
      </w:r>
    </w:p>
    <w:p w14:paraId="607A6B58" w14:textId="77777777" w:rsidR="00DB2B68" w:rsidRDefault="00000000">
      <w:pPr>
        <w:jc w:val="both"/>
      </w:pPr>
      <w:r>
        <w:t>3 : exigence d’aspect (+ nombre de face)</w:t>
      </w:r>
    </w:p>
    <w:p w14:paraId="5374EE0D" w14:textId="77777777" w:rsidR="00DB2B68" w:rsidRDefault="00000000">
      <w:pPr>
        <w:jc w:val="both"/>
      </w:pPr>
      <w:r>
        <w:t>4 : la classe d’emploi des planchers</w:t>
      </w:r>
    </w:p>
    <w:p w14:paraId="47DD55D1" w14:textId="77777777" w:rsidR="00DB2B68" w:rsidRDefault="00000000">
      <w:pPr>
        <w:jc w:val="both"/>
      </w:pPr>
      <w:r>
        <w:t>5 : la méthode utilisée pour garantir la durabilité des planchers</w:t>
      </w:r>
    </w:p>
    <w:p w14:paraId="11321EC0" w14:textId="77777777" w:rsidR="00DB2B68" w:rsidRDefault="00DB2B68">
      <w:pPr>
        <w:jc w:val="both"/>
      </w:pPr>
    </w:p>
    <w:p w14:paraId="4AD26DD6" w14:textId="77777777" w:rsidR="00DB2B68" w:rsidRDefault="00000000">
      <w:pPr>
        <w:jc w:val="both"/>
      </w:pPr>
      <w:r>
        <w:t>Ce qui donne par exemple:</w:t>
      </w:r>
    </w:p>
    <w:p w14:paraId="05CC8C87" w14:textId="77777777" w:rsidR="00DB2B68" w:rsidRDefault="00000000">
      <w:pPr>
        <w:jc w:val="both"/>
      </w:pPr>
      <w:r>
        <w:t>LVL S / 45 / Poncé – 1 face / 1 / naturelle</w:t>
      </w:r>
    </w:p>
    <w:p w14:paraId="1337CC18" w14:textId="77777777" w:rsidR="00DB2B68" w:rsidRDefault="00000000">
      <w:pPr>
        <w:pStyle w:val="Author-eSectionHeading4Numberless"/>
      </w:pPr>
      <w:bookmarkStart w:id="1626" w:name="_Toc220496615"/>
      <w:r>
        <w:t>24.15 Voiles en bois CCTB 01.11</w:t>
      </w:r>
      <w:bookmarkEnd w:id="1626"/>
    </w:p>
    <w:p w14:paraId="5E9D7F45" w14:textId="77777777" w:rsidR="00DB2B68" w:rsidRDefault="00000000">
      <w:pPr>
        <w:pStyle w:val="pheading"/>
      </w:pPr>
      <w:r>
        <w:t>DESCRIPTION</w:t>
      </w:r>
    </w:p>
    <w:p w14:paraId="5B287001" w14:textId="77777777" w:rsidR="00DB2B68" w:rsidRDefault="00000000">
      <w:pPr>
        <w:pStyle w:val="pheading"/>
      </w:pPr>
      <w:r>
        <w:t>- Définition / Comprend</w:t>
      </w:r>
    </w:p>
    <w:p w14:paraId="395DAC75" w14:textId="77777777" w:rsidR="00DB2B68" w:rsidRDefault="00000000">
      <w:pPr>
        <w:jc w:val="both"/>
      </w:pPr>
      <w:r>
        <w:t>Il s’agit d’un élément massif de structure dont une des dimensions est largement inférieure aux deux autres. Un voile s’étend sur un plan vertical et supporte des charges principalement verticales et horizontales parallèles à son plan.</w:t>
      </w:r>
    </w:p>
    <w:p w14:paraId="59ADD307" w14:textId="77777777" w:rsidR="00DB2B68" w:rsidRDefault="00000000">
      <w:pPr>
        <w:jc w:val="both"/>
      </w:pPr>
      <w:r>
        <w:t>Les voiles servent aussi régulièrement comme élément de contreventement et/ou comme élément de maintien entre eux.</w:t>
      </w:r>
    </w:p>
    <w:p w14:paraId="7C859B2A" w14:textId="77777777" w:rsidR="00DB2B68" w:rsidRDefault="00000000">
      <w:pPr>
        <w:pStyle w:val="pheading"/>
      </w:pPr>
      <w:r>
        <w:t>MATÉRIAUX</w:t>
      </w:r>
    </w:p>
    <w:p w14:paraId="2C9EA27B" w14:textId="77777777" w:rsidR="00DB2B68" w:rsidRDefault="00000000">
      <w:pPr>
        <w:jc w:val="both"/>
      </w:pPr>
      <w:r>
        <w:rPr>
          <w:b/>
          <w:u w:val="single"/>
        </w:rPr>
        <w:t>Sécurité en cas d’incendie</w:t>
      </w:r>
    </w:p>
    <w:p w14:paraId="5CCC04D9" w14:textId="77777777" w:rsidR="00DB2B68" w:rsidRDefault="00000000">
      <w:pPr>
        <w:jc w:val="both"/>
      </w:pPr>
      <w:r>
        <w:lastRenderedPageBreak/>
        <w:t>Les exigences de réaction au feu et de résistance au feu des voiles en bois sont conformes aux lois, réglementations (fédérales, communautaires, régionales, communales) et dispositions administratives, applicables à l’utilisation finale.</w:t>
      </w:r>
    </w:p>
    <w:p w14:paraId="19E2F391" w14:textId="77777777" w:rsidR="00DB2B68" w:rsidRDefault="00000000">
      <w:pPr>
        <w:jc w:val="both"/>
      </w:pPr>
      <w:r>
        <w:t>Note : Certaines dispositions réglementaires contiennent d’autres exigences que celles relatives à la résistance ou la réaction au feu.</w:t>
      </w:r>
    </w:p>
    <w:p w14:paraId="32A6C962" w14:textId="77777777" w:rsidR="00DB2B68" w:rsidRDefault="00000000">
      <w:pPr>
        <w:pStyle w:val="Author-eListParagraph"/>
        <w:numPr>
          <w:ilvl w:val="0"/>
          <w:numId w:val="877"/>
        </w:numPr>
      </w:pPr>
      <w:r>
        <w:rPr>
          <w:b/>
        </w:rPr>
        <w:t>La réaction au feu</w:t>
      </w:r>
    </w:p>
    <w:p w14:paraId="438887EC" w14:textId="77777777" w:rsidR="00DB2B68" w:rsidRDefault="00000000">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14:paraId="67D341F9" w14:textId="77777777" w:rsidR="00DB2B68" w:rsidRDefault="00000000">
      <w:pPr>
        <w:jc w:val="both"/>
      </w:pPr>
      <w:r>
        <w:t>La classe de performance de réaction au feu du bois de structure (incluant le classement supplémentaire relatif à la production de fumée et aux gouttelettes/particules enflammées, s’il y a lieu) doit être déterminée conformément à la [NBN EN 14081-1:2016+A1] et déclarée conformément à la [NBN EN 13501-1]. La performance de réaction au feu des couches en panneaux à base de bois est déterminée conformément à la [NBN EN 13986+A1]. </w:t>
      </w:r>
    </w:p>
    <w:p w14:paraId="2E96D41C" w14:textId="77777777" w:rsidR="00DB2B68" w:rsidRDefault="0000000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19" w:history="1">
        <w:r>
          <w:rPr>
            <w:color w:val="0000EE"/>
          </w:rPr>
          <w:t>www.besafe.be</w:t>
        </w:r>
      </w:hyperlink>
      <w:r>
        <w:t>) et le site de l’Antenne-Normes Prévention incendie de Buildwise (</w:t>
      </w:r>
      <w:hyperlink r:id="rId20" w:history="1">
        <w:r>
          <w:rPr>
            <w:color w:val="0000EE"/>
          </w:rPr>
          <w:t>www.normes.be/feu</w:t>
        </w:r>
      </w:hyperlink>
      <w:r>
        <w:t>) peuvent être consultés.</w:t>
      </w:r>
    </w:p>
    <w:p w14:paraId="6B540A2A" w14:textId="77777777" w:rsidR="00DB2B68" w:rsidRDefault="00000000">
      <w:pPr>
        <w:jc w:val="both"/>
      </w:pPr>
      <w:r>
        <w:t>Notes :</w:t>
      </w:r>
    </w:p>
    <w:p w14:paraId="1216DEDA" w14:textId="77777777" w:rsidR="00DB2B68" w:rsidRDefault="00000000">
      <w:pPr>
        <w:pStyle w:val="Author-eListParagraph"/>
        <w:numPr>
          <w:ilvl w:val="0"/>
          <w:numId w:val="878"/>
        </w:numPr>
      </w:pPr>
      <w:r>
        <w:t>Lorsque des exigences sont reprises dans les règlements officiels nationaux, régionaux ou autres, elles sont rendues obligatoires (= loi)</w:t>
      </w:r>
    </w:p>
    <w:p w14:paraId="127012C3" w14:textId="77777777" w:rsidR="00DB2B68" w:rsidRDefault="00000000">
      <w:pPr>
        <w:pStyle w:val="Author-eListParagraph"/>
        <w:numPr>
          <w:ilvl w:val="0"/>
          <w:numId w:val="878"/>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14:paraId="708C73D7" w14:textId="77777777" w:rsidR="00DB2B68" w:rsidRDefault="00000000">
      <w:pPr>
        <w:jc w:val="both"/>
      </w:pPr>
      <w:r>
        <w:rPr>
          <w:i/>
        </w:rPr>
        <w:t>Pour améliorer la classe de réaction au feu, un traitement ignifuge peut être appliqué. L’entrepreneur informe le maître d’ouvrage de l’entretien nécessaire à exécuter pour assurer la performance du matériau.</w:t>
      </w:r>
    </w:p>
    <w:p w14:paraId="5744F75D" w14:textId="77777777" w:rsidR="00DB2B68" w:rsidRDefault="00000000">
      <w:pPr>
        <w:pStyle w:val="Author-eListParagraph"/>
        <w:numPr>
          <w:ilvl w:val="0"/>
          <w:numId w:val="879"/>
        </w:numPr>
      </w:pPr>
      <w:r>
        <w:rPr>
          <w:b/>
        </w:rPr>
        <w:t>La résistance au feu</w:t>
      </w:r>
    </w:p>
    <w:p w14:paraId="0BD29928" w14:textId="77777777" w:rsidR="00DB2B68" w:rsidRDefault="00000000">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294A5C5D" w14:textId="77777777" w:rsidR="00DB2B68" w:rsidRDefault="00000000">
      <w:pPr>
        <w:jc w:val="both"/>
      </w:pPr>
      <w:r>
        <w:t>La référence principale est la [NBN EN 13501-2]. La performance doit être attestée suivant les modalités spécifiées dans l’arrêté royal.</w:t>
      </w:r>
    </w:p>
    <w:p w14:paraId="24C6248B" w14:textId="77777777" w:rsidR="00DB2B68" w:rsidRDefault="00000000">
      <w:pPr>
        <w:jc w:val="both"/>
      </w:pPr>
      <w:r>
        <w:t>La résistance au feu est soit soumise à essai et déclarée conformément à la [NBN EN 13501-2] ou déterminée par calcul selon la [NBN EN 1995-1-2].</w:t>
      </w:r>
    </w:p>
    <w:p w14:paraId="6074AA48" w14:textId="77777777" w:rsidR="00DB2B68" w:rsidRDefault="00000000">
      <w:pPr>
        <w:jc w:val="both"/>
      </w:pPr>
      <w:r>
        <w:t> </w:t>
      </w:r>
    </w:p>
    <w:p w14:paraId="76B5786D" w14:textId="77777777" w:rsidR="00DB2B68" w:rsidRDefault="00000000">
      <w:pPr>
        <w:jc w:val="both"/>
      </w:pPr>
      <w:r>
        <w:rPr>
          <w:b/>
          <w:u w:val="single"/>
        </w:rPr>
        <w:t>L’étanchéité à l’air</w:t>
      </w:r>
    </w:p>
    <w:p w14:paraId="2AD9D97F" w14:textId="77777777" w:rsidR="00DB2B68" w:rsidRDefault="00000000">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14:paraId="0279A632" w14:textId="77777777" w:rsidR="00DB2B68" w:rsidRDefault="00000000">
      <w:pPr>
        <w:jc w:val="both"/>
      </w:pPr>
      <w:r>
        <w:t> </w:t>
      </w:r>
    </w:p>
    <w:p w14:paraId="0FE98377" w14:textId="77777777" w:rsidR="00DB2B68" w:rsidRDefault="00000000">
      <w:pPr>
        <w:jc w:val="both"/>
      </w:pPr>
      <w:r>
        <w:rPr>
          <w:b/>
          <w:u w:val="single"/>
        </w:rPr>
        <w:t>Durabilité</w:t>
      </w:r>
    </w:p>
    <w:p w14:paraId="0C6521A9" w14:textId="77777777" w:rsidR="00DB2B68" w:rsidRDefault="00000000">
      <w:pPr>
        <w:jc w:val="both"/>
      </w:pPr>
      <w:r>
        <w:t>La durabilité biologique des éléments de voiles en bois est garantie par :</w:t>
      </w:r>
    </w:p>
    <w:p w14:paraId="1EC90812" w14:textId="77777777" w:rsidR="00DB2B68" w:rsidRDefault="00000000">
      <w:pPr>
        <w:pStyle w:val="Author-eListParagraph"/>
        <w:numPr>
          <w:ilvl w:val="0"/>
          <w:numId w:val="880"/>
        </w:numPr>
      </w:pPr>
      <w:r>
        <w:t>Soit par sa durabilité naturelle donnée conformément à la [NBN EN 350-2]. Cette classe inclut la présence d’aubier</w:t>
      </w:r>
    </w:p>
    <w:p w14:paraId="21474C72" w14:textId="77777777" w:rsidR="00DB2B68" w:rsidRDefault="00000000">
      <w:pPr>
        <w:pStyle w:val="Author-eListParagraph"/>
        <w:numPr>
          <w:ilvl w:val="0"/>
          <w:numId w:val="880"/>
        </w:numPr>
      </w:pPr>
      <w:r>
        <w:lastRenderedPageBreak/>
        <w:t>Soit par traitement de préservation. Le traitement de préservation utilisé est conforme à la [NBN EN 15228]. Le traitement est appliqué sur chaque lame ou sur la paroi complète.</w:t>
      </w:r>
    </w:p>
    <w:p w14:paraId="474C63D7" w14:textId="77777777" w:rsidR="00DB2B68" w:rsidRDefault="00000000">
      <w:pPr>
        <w:jc w:val="both"/>
      </w:pPr>
      <w:r>
        <w:t>La durabilité des éléments de voiles à base de bois est déterminée conformément à la [NBN EN 13986+A1].</w:t>
      </w:r>
    </w:p>
    <w:p w14:paraId="589F124F" w14:textId="77777777" w:rsidR="00DB2B68" w:rsidRDefault="00000000">
      <w:pPr>
        <w:ind w:left="750"/>
      </w:pPr>
      <w:r>
        <w:t> </w:t>
      </w:r>
    </w:p>
    <w:p w14:paraId="698E4D6B" w14:textId="77777777" w:rsidR="00DB2B68" w:rsidRDefault="00000000">
      <w:pPr>
        <w:pStyle w:val="pheading"/>
      </w:pPr>
      <w:r>
        <w:t>EXÉCUTION / MISE EN ŒUVRE</w:t>
      </w:r>
    </w:p>
    <w:p w14:paraId="133CF138" w14:textId="77777777" w:rsidR="00DB2B68" w:rsidRDefault="00000000">
      <w:pPr>
        <w:jc w:val="both"/>
      </w:pPr>
      <w:r>
        <w:t>Lors du montage des voiles en bois, un étançonnement provisoire est prévu pour assurer la stabilité de ceux-ci. Si une face des voiles est visible, les assemblages provisoires sont réalisés sans endommager l’état de surface de celle-ci.</w:t>
      </w:r>
    </w:p>
    <w:p w14:paraId="23FEA1AD" w14:textId="77777777" w:rsidR="00DB2B68" w:rsidRDefault="00000000">
      <w:pPr>
        <w:pStyle w:val="Author-eSectionHeading5Numberless"/>
      </w:pPr>
      <w:bookmarkStart w:id="1627" w:name="_Toc220496616"/>
      <w:r>
        <w:t>24.15.1 Voiles en CLT CCTB 01.11</w:t>
      </w:r>
      <w:bookmarkEnd w:id="1627"/>
    </w:p>
    <w:p w14:paraId="7A8D2364" w14:textId="77777777" w:rsidR="00DB2B68" w:rsidRDefault="00000000">
      <w:pPr>
        <w:pStyle w:val="pheading"/>
      </w:pPr>
      <w:r>
        <w:t>DESCRIPTION</w:t>
      </w:r>
    </w:p>
    <w:p w14:paraId="1393A05A" w14:textId="77777777" w:rsidR="00DB2B68" w:rsidRDefault="00000000">
      <w:pPr>
        <w:pStyle w:val="pheading"/>
      </w:pPr>
      <w:r>
        <w:t>- Définition / Comprend</w:t>
      </w:r>
    </w:p>
    <w:p w14:paraId="217B5B43" w14:textId="77777777" w:rsidR="00DB2B68" w:rsidRDefault="00000000">
      <w:pPr>
        <w:jc w:val="both"/>
      </w:pPr>
      <w:r>
        <w:t>Il s’agit de la fourniture et la pose de tous les éléments constitués de panneaux lamellés croisés en bois ou à base de bois constituant les systèmes de construction CLT portants et non portants, y compris toutes les pièces qui en font intrinsèquement partie (permettant notamment la pose des panneaux).</w:t>
      </w:r>
    </w:p>
    <w:p w14:paraId="1468E685" w14:textId="77777777" w:rsidR="00DB2B68" w:rsidRDefault="00000000">
      <w:pPr>
        <w:jc w:val="both"/>
      </w:pPr>
      <w:r>
        <w:t>Les panneaux sont composés de plusieurs plis (couches) des lamelles bois. Chaque couche est croisée avec un angle variant de 45 à 90°. Certains plis peuvent être composés de panneaux en bois ou à base de bois. </w:t>
      </w:r>
    </w:p>
    <w:p w14:paraId="1760333E" w14:textId="77777777" w:rsidR="00DB2B68" w:rsidRDefault="00000000">
      <w:pPr>
        <w:jc w:val="both"/>
      </w:pPr>
      <w:r>
        <w:t>On distingue les panneaux CLT par leurs méthodes d’assemblage des plis (lamelles).</w:t>
      </w:r>
    </w:p>
    <w:p w14:paraId="609A8A78" w14:textId="77777777" w:rsidR="00DB2B68" w:rsidRDefault="00000000">
      <w:pPr>
        <w:pStyle w:val="pheading"/>
      </w:pPr>
      <w:r>
        <w:t>- Remarques importantes</w:t>
      </w:r>
    </w:p>
    <w:p w14:paraId="23BEF93C" w14:textId="77777777" w:rsidR="00DB2B68" w:rsidRDefault="00000000">
      <w:pPr>
        <w:jc w:val="both"/>
      </w:pPr>
      <w:r>
        <w:t>Seuls les panneaux lamellés croisés collés en résineux ou peuplier disposent d’un marquage de produit.</w:t>
      </w:r>
    </w:p>
    <w:p w14:paraId="706C2BE4" w14:textId="77777777" w:rsidR="00DB2B68" w:rsidRDefault="00000000">
      <w:pPr>
        <w:pStyle w:val="pheading"/>
      </w:pPr>
      <w:r>
        <w:t>MATÉRIAUX</w:t>
      </w:r>
    </w:p>
    <w:p w14:paraId="00DCB368" w14:textId="77777777" w:rsidR="00DB2B68" w:rsidRDefault="00000000">
      <w:pPr>
        <w:jc w:val="both"/>
      </w:pPr>
      <w:r>
        <w:t>Les lames composant les panneaux sont définies conformément aux exigences de la [NBN EN 14081-1:2016+A1].</w:t>
      </w:r>
    </w:p>
    <w:p w14:paraId="2DDB4DB6" w14:textId="77777777" w:rsidR="00DB2B68" w:rsidRDefault="00000000">
      <w:pPr>
        <w:jc w:val="both"/>
      </w:pPr>
      <w:r>
        <w:t>Les panneaux de particules composant les panneaux CLT sont définis conformément à la [NBN EN 312].</w:t>
      </w:r>
    </w:p>
    <w:p w14:paraId="51410A0C" w14:textId="77777777" w:rsidR="00DB2B68" w:rsidRDefault="00000000">
      <w:pPr>
        <w:jc w:val="both"/>
      </w:pPr>
      <w:r>
        <w:t>Les panneaux de contreplaqué composant les panneaux CLT sont définis conformément à la [NBN EN 636+A1].</w:t>
      </w:r>
    </w:p>
    <w:p w14:paraId="472B45EA" w14:textId="77777777" w:rsidR="00DB2B68" w:rsidRDefault="00000000">
      <w:pPr>
        <w:jc w:val="both"/>
      </w:pPr>
      <w:r>
        <w:t>Les panneaux de fibres composant les panneaux CLT sont définis conformément à la [NBN EN 622-5].</w:t>
      </w:r>
    </w:p>
    <w:p w14:paraId="6225F22E" w14:textId="77777777" w:rsidR="00DB2B68" w:rsidRDefault="00000000">
      <w:pPr>
        <w:jc w:val="both"/>
      </w:pPr>
      <w:r>
        <w:t>Les panneaux d’OSB composant les panneaux CLT sont définis conformément à la [NBN EN 300].</w:t>
      </w:r>
    </w:p>
    <w:p w14:paraId="64C8B62F" w14:textId="77777777" w:rsidR="00DB2B68" w:rsidRDefault="00000000">
      <w:pPr>
        <w:jc w:val="both"/>
      </w:pPr>
      <w:r>
        <w:t>Les exigences des lames de bois sont déterminées sur base de contrôles visuels conformément à la [NBN EN 338] ou par essais de type initiaux conformément aux [NBN EN 14081-2:2018+A1] et [NBN EN 14081-3].</w:t>
      </w:r>
    </w:p>
    <w:p w14:paraId="0302235C" w14:textId="77777777" w:rsidR="00DB2B68" w:rsidRDefault="00000000">
      <w:pPr>
        <w:jc w:val="both"/>
      </w:pPr>
      <w:r>
        <w:t>Chaque pli (couche)- de lames de bois dans les panneaux CLT est constitué de lamelles d'une seule classe de résistance.</w:t>
      </w:r>
    </w:p>
    <w:p w14:paraId="041344AF" w14:textId="77777777" w:rsidR="00DB2B68" w:rsidRDefault="00000000">
      <w:pPr>
        <w:jc w:val="both"/>
      </w:pPr>
      <w:r>
        <w:rPr>
          <w:b/>
          <w:u w:val="single"/>
        </w:rPr>
        <w:t>Sécurité en cas d’incendie</w:t>
      </w:r>
    </w:p>
    <w:p w14:paraId="723EB342" w14:textId="77777777" w:rsidR="00DB2B68" w:rsidRDefault="00000000">
      <w:pPr>
        <w:jc w:val="both"/>
      </w:pPr>
      <w:r>
        <w:t>Les exigences de réaction au feu et de résistance au feu des parois CLT sont conformes aux lois, réglementations (fédérales, communautaires, régionales, communales) et dispositions administratives, applicables à l’utilisation finale.</w:t>
      </w:r>
    </w:p>
    <w:p w14:paraId="6A6FD8F6" w14:textId="77777777" w:rsidR="00DB2B68" w:rsidRDefault="00000000">
      <w:pPr>
        <w:jc w:val="both"/>
      </w:pPr>
      <w:r>
        <w:t>Note : Certaines dispositions réglementaires contiennent d’autres exigences que celles relatives à la résistance ou la réaction au feu.</w:t>
      </w:r>
    </w:p>
    <w:p w14:paraId="5FE338F2" w14:textId="77777777" w:rsidR="00DB2B68" w:rsidRDefault="00000000">
      <w:pPr>
        <w:pStyle w:val="Author-eListParagraph"/>
        <w:numPr>
          <w:ilvl w:val="0"/>
          <w:numId w:val="881"/>
        </w:numPr>
      </w:pPr>
      <w:r>
        <w:rPr>
          <w:b/>
        </w:rPr>
        <w:lastRenderedPageBreak/>
        <w:t>La réaction au feu</w:t>
      </w:r>
    </w:p>
    <w:p w14:paraId="2B0C851D" w14:textId="77777777" w:rsidR="00DB2B68" w:rsidRDefault="00000000">
      <w:pPr>
        <w:jc w:val="both"/>
      </w:pPr>
      <w:r>
        <w:t>Selon l'[AR 1994-07-07], les revêtements de façades doivent présenter les classes de réaction au feu suivantes conformément à la [NBN EN 13501-1] en fonction de l’accessibilité et de la hauteur du bâtiment.</w:t>
      </w:r>
    </w:p>
    <w:p w14:paraId="1A5B8447" w14:textId="77777777" w:rsidR="00DB2B68" w:rsidRDefault="00000000">
      <w:pPr>
        <w:jc w:val="both"/>
      </w:pPr>
      <w:r>
        <w:t>La performance doit être attestée suivant les modalités spécifiées dans l’arrêté royal.</w:t>
      </w:r>
    </w:p>
    <w:p w14:paraId="43EE49FF" w14:textId="77777777" w:rsidR="00DB2B68" w:rsidRDefault="00000000">
      <w:pPr>
        <w:jc w:val="both"/>
      </w:pPr>
      <w:r>
        <w:t>Un maximum de 5% de la surface visible des façades n’est pas soumis à cette exigence.</w:t>
      </w:r>
    </w:p>
    <w:p w14:paraId="279989F0" w14:textId="77777777" w:rsidR="00DB2B68" w:rsidRDefault="00000000">
      <w:pPr>
        <w:jc w:val="both"/>
      </w:pPr>
      <w:r>
        <w:t> </w:t>
      </w:r>
    </w:p>
    <w:p w14:paraId="484D8EE8" w14:textId="77777777" w:rsidR="00DB2B68" w:rsidRDefault="00000000">
      <w:pPr>
        <w:jc w:val="both"/>
      </w:pPr>
      <w:r>
        <w:rPr>
          <w:b/>
          <w:u w:val="single"/>
        </w:rPr>
        <w:t>L’esthétique</w:t>
      </w:r>
    </w:p>
    <w:p w14:paraId="62704880" w14:textId="77777777" w:rsidR="00DB2B68" w:rsidRDefault="00000000">
      <w:pPr>
        <w:jc w:val="both"/>
      </w:pPr>
      <w:r>
        <w:t>L’esthétique d’un élément s’entend comme étant l’aspect de ses faces visibles. Il faut donc toujours préciser la qualité visible souhaitée pour les deux faces de l’élément.</w:t>
      </w:r>
    </w:p>
    <w:p w14:paraId="089A37C3" w14:textId="77777777" w:rsidR="00DB2B68" w:rsidRDefault="00000000">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14:paraId="1F59DE7A" w14:textId="77777777" w:rsidR="00DB2B68" w:rsidRDefault="00000000">
      <w:pPr>
        <w:jc w:val="both"/>
      </w:pPr>
      <w:r>
        <w:t>Les qualités d’aspect ne sont actuellement pas encore normalisées. Les critères d’aspect pris en compte par les fabricants sont :</w:t>
      </w:r>
    </w:p>
    <w:p w14:paraId="55B8AF5B" w14:textId="77777777" w:rsidR="00DB2B68" w:rsidRDefault="00000000">
      <w:pPr>
        <w:pStyle w:val="Author-eListParagraph"/>
        <w:numPr>
          <w:ilvl w:val="0"/>
          <w:numId w:val="882"/>
        </w:numPr>
      </w:pPr>
      <w:r>
        <w:t> Quantité de nœuds ;</w:t>
      </w:r>
    </w:p>
    <w:p w14:paraId="292C2960" w14:textId="77777777" w:rsidR="00DB2B68" w:rsidRDefault="00000000">
      <w:pPr>
        <w:pStyle w:val="Author-eListParagraph"/>
        <w:numPr>
          <w:ilvl w:val="0"/>
          <w:numId w:val="882"/>
        </w:numPr>
      </w:pPr>
      <w:r>
        <w:t> Type de nœuds (adhérents, non-adhérents, …) ;</w:t>
      </w:r>
    </w:p>
    <w:p w14:paraId="1E3C1042" w14:textId="77777777" w:rsidR="00DB2B68" w:rsidRDefault="00000000">
      <w:pPr>
        <w:pStyle w:val="Author-eListParagraph"/>
        <w:numPr>
          <w:ilvl w:val="0"/>
          <w:numId w:val="882"/>
        </w:numPr>
      </w:pPr>
      <w:r>
        <w:t> Bleuissement, échauffure ;</w:t>
      </w:r>
    </w:p>
    <w:p w14:paraId="0148794A" w14:textId="77777777" w:rsidR="00DB2B68" w:rsidRDefault="00000000">
      <w:pPr>
        <w:pStyle w:val="Author-eListParagraph"/>
        <w:numPr>
          <w:ilvl w:val="0"/>
          <w:numId w:val="882"/>
        </w:numPr>
      </w:pPr>
      <w:r>
        <w:t> Collage ou non des chants ;</w:t>
      </w:r>
    </w:p>
    <w:p w14:paraId="5461C008" w14:textId="77777777" w:rsidR="00DB2B68" w:rsidRDefault="00000000">
      <w:pPr>
        <w:pStyle w:val="Author-eListParagraph"/>
        <w:numPr>
          <w:ilvl w:val="0"/>
          <w:numId w:val="882"/>
        </w:numPr>
      </w:pPr>
      <w:r>
        <w:t> Etat de surface (poncée/non-poncée) ;</w:t>
      </w:r>
    </w:p>
    <w:p w14:paraId="4510DCEE" w14:textId="77777777" w:rsidR="00DB2B68" w:rsidRDefault="00000000">
      <w:pPr>
        <w:pStyle w:val="Author-eListParagraph"/>
        <w:numPr>
          <w:ilvl w:val="0"/>
          <w:numId w:val="882"/>
        </w:numPr>
      </w:pPr>
      <w:r>
        <w:t> Dépassement de colle ;</w:t>
      </w:r>
    </w:p>
    <w:p w14:paraId="32F87C97" w14:textId="77777777" w:rsidR="00DB2B68" w:rsidRDefault="00000000">
      <w:pPr>
        <w:pStyle w:val="Author-eListParagraph"/>
        <w:numPr>
          <w:ilvl w:val="0"/>
          <w:numId w:val="882"/>
        </w:numPr>
      </w:pPr>
      <w:r>
        <w:t> …</w:t>
      </w:r>
    </w:p>
    <w:p w14:paraId="01D07670" w14:textId="77777777" w:rsidR="00DB2B68" w:rsidRDefault="00000000">
      <w:pPr>
        <w:jc w:val="both"/>
      </w:pPr>
      <w:r>
        <w:t>Des classes visuelles couramment utilisées sont définies ci-dessous.</w:t>
      </w:r>
    </w:p>
    <w:p w14:paraId="355C6867" w14:textId="77777777" w:rsidR="00DB2B68" w:rsidRDefault="00000000">
      <w:pPr>
        <w:jc w:val="both"/>
      </w:pPr>
      <w:r>
        <w:rPr>
          <w:u w:val="single"/>
        </w:rPr>
        <w:t>Non-visible :</w:t>
      </w:r>
    </w:p>
    <w:p w14:paraId="351DF65C" w14:textId="77777777" w:rsidR="00DB2B68" w:rsidRDefault="00000000">
      <w:pPr>
        <w:jc w:val="both"/>
      </w:pPr>
      <w:r>
        <w:t>Présence de nœuds sautés, de bords non jointifs, etc. sans altération des caractéristiques mécaniques.</w:t>
      </w:r>
    </w:p>
    <w:p w14:paraId="59810814" w14:textId="77777777" w:rsidR="00DB2B68" w:rsidRDefault="00000000">
      <w:pPr>
        <w:jc w:val="both"/>
      </w:pPr>
      <w:r>
        <w:t>Les critères suivants sont respectés :</w:t>
      </w:r>
    </w:p>
    <w:p w14:paraId="461FCD3E" w14:textId="77777777" w:rsidR="00DB2B68" w:rsidRDefault="00000000">
      <w:pPr>
        <w:pStyle w:val="Author-eListParagraph"/>
        <w:numPr>
          <w:ilvl w:val="0"/>
          <w:numId w:val="883"/>
        </w:numPr>
      </w:pPr>
      <w:r>
        <w:t>Joints ouverts ≤3mm</w:t>
      </w:r>
    </w:p>
    <w:p w14:paraId="4D11A587" w14:textId="77777777" w:rsidR="00DB2B68" w:rsidRDefault="00000000">
      <w:pPr>
        <w:pStyle w:val="Author-eListParagraph"/>
        <w:numPr>
          <w:ilvl w:val="0"/>
          <w:numId w:val="883"/>
        </w:numPr>
      </w:pPr>
      <w:r>
        <w:t>Bleuissement, poche de résine admis</w:t>
      </w:r>
    </w:p>
    <w:p w14:paraId="39081C5C" w14:textId="77777777" w:rsidR="00DB2B68" w:rsidRDefault="00000000">
      <w:pPr>
        <w:pStyle w:val="Author-eListParagraph"/>
        <w:numPr>
          <w:ilvl w:val="0"/>
          <w:numId w:val="883"/>
        </w:numPr>
      </w:pPr>
      <w:r>
        <w:t>Gerces admises</w:t>
      </w:r>
    </w:p>
    <w:p w14:paraId="0734D9FB" w14:textId="77777777" w:rsidR="00DB2B68" w:rsidRDefault="00000000">
      <w:pPr>
        <w:pStyle w:val="Author-eListParagraph"/>
        <w:numPr>
          <w:ilvl w:val="0"/>
          <w:numId w:val="883"/>
        </w:numPr>
      </w:pPr>
      <w:r>
        <w:t>Nœuds sains, noirs admis</w:t>
      </w:r>
    </w:p>
    <w:p w14:paraId="119B1C85" w14:textId="77777777" w:rsidR="00DB2B68" w:rsidRDefault="00000000">
      <w:pPr>
        <w:pStyle w:val="Author-eListParagraph"/>
        <w:numPr>
          <w:ilvl w:val="0"/>
          <w:numId w:val="883"/>
        </w:numPr>
      </w:pPr>
      <w:r>
        <w:t>Lames ayant fait l’objet d’attaque d’insecte avant composition de panneau non admis</w:t>
      </w:r>
    </w:p>
    <w:p w14:paraId="06A1E5D9" w14:textId="77777777" w:rsidR="00DB2B68" w:rsidRDefault="00000000">
      <w:pPr>
        <w:pStyle w:val="Author-eListParagraph"/>
        <w:numPr>
          <w:ilvl w:val="0"/>
          <w:numId w:val="883"/>
        </w:numPr>
      </w:pPr>
      <w:r>
        <w:t>Flaches ≤ 2 x 50 cm admis</w:t>
      </w:r>
    </w:p>
    <w:p w14:paraId="0BFB6CE8" w14:textId="77777777" w:rsidR="00DB2B68" w:rsidRDefault="00000000">
      <w:pPr>
        <w:jc w:val="both"/>
      </w:pPr>
      <w:r>
        <w:rPr>
          <w:u w:val="single"/>
        </w:rPr>
        <w:t>Visible industrielle :</w:t>
      </w:r>
    </w:p>
    <w:p w14:paraId="478DC72A" w14:textId="77777777" w:rsidR="00DB2B68" w:rsidRDefault="00000000">
      <w:pPr>
        <w:jc w:val="both"/>
      </w:pPr>
      <w:r>
        <w:t>La qualité de bois de la surface correspond à un aspect B selon la [NBN EN 13017-1]. Selon l’orientation de la surface, les lamelles peuvent être aboutées selon les cas</w:t>
      </w:r>
    </w:p>
    <w:p w14:paraId="251E69A8" w14:textId="77777777" w:rsidR="00DB2B68" w:rsidRDefault="00000000">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14:paraId="1AC80BE1" w14:textId="77777777" w:rsidR="00DB2B68" w:rsidRDefault="00000000">
      <w:pPr>
        <w:jc w:val="both"/>
      </w:pPr>
      <w:r>
        <w:t>Avec une humidité de bois de 12% (+/-2%), la largeur maximale du joint est de 4mm. Le choix de la largeur des lamelles appartient au fabricant.</w:t>
      </w:r>
    </w:p>
    <w:p w14:paraId="077C72E9" w14:textId="77777777" w:rsidR="00DB2B68" w:rsidRDefault="00000000">
      <w:pPr>
        <w:jc w:val="both"/>
      </w:pPr>
      <w:r>
        <w:t>Les critères suivants sont respectés :</w:t>
      </w:r>
    </w:p>
    <w:p w14:paraId="4C5102A6" w14:textId="77777777" w:rsidR="00DB2B68" w:rsidRDefault="00000000">
      <w:pPr>
        <w:pStyle w:val="Author-eListParagraph"/>
        <w:numPr>
          <w:ilvl w:val="0"/>
          <w:numId w:val="884"/>
        </w:numPr>
      </w:pPr>
      <w:r>
        <w:t>Joints ouverts ≤2mm</w:t>
      </w:r>
    </w:p>
    <w:p w14:paraId="5ADF885F" w14:textId="77777777" w:rsidR="00DB2B68" w:rsidRDefault="00000000">
      <w:pPr>
        <w:pStyle w:val="Author-eListParagraph"/>
        <w:numPr>
          <w:ilvl w:val="0"/>
          <w:numId w:val="884"/>
        </w:numPr>
      </w:pPr>
      <w:r>
        <w:t>Léger bleuissement</w:t>
      </w:r>
    </w:p>
    <w:p w14:paraId="4C7F9E32" w14:textId="77777777" w:rsidR="00DB2B68" w:rsidRDefault="00000000">
      <w:pPr>
        <w:pStyle w:val="Author-eListParagraph"/>
        <w:numPr>
          <w:ilvl w:val="0"/>
          <w:numId w:val="884"/>
        </w:numPr>
      </w:pPr>
      <w:r>
        <w:t>Poches de résine max 10x 90mm</w:t>
      </w:r>
    </w:p>
    <w:p w14:paraId="56E4BD67" w14:textId="77777777" w:rsidR="00DB2B68" w:rsidRDefault="00000000">
      <w:pPr>
        <w:pStyle w:val="Author-eListParagraph"/>
        <w:numPr>
          <w:ilvl w:val="0"/>
          <w:numId w:val="884"/>
        </w:numPr>
      </w:pPr>
      <w:r>
        <w:t>Gerces admises</w:t>
      </w:r>
    </w:p>
    <w:p w14:paraId="2042FF12" w14:textId="77777777" w:rsidR="00DB2B68" w:rsidRDefault="00000000">
      <w:pPr>
        <w:pStyle w:val="Author-eListParagraph"/>
        <w:numPr>
          <w:ilvl w:val="0"/>
          <w:numId w:val="884"/>
        </w:numPr>
      </w:pPr>
      <w:r>
        <w:t>Nœuds sains admis nœuds noirs ≤ 3 cm admis</w:t>
      </w:r>
    </w:p>
    <w:p w14:paraId="45402989" w14:textId="77777777" w:rsidR="00DB2B68" w:rsidRDefault="00000000">
      <w:pPr>
        <w:pStyle w:val="Author-eListParagraph"/>
        <w:numPr>
          <w:ilvl w:val="0"/>
          <w:numId w:val="884"/>
        </w:numPr>
      </w:pPr>
      <w:r>
        <w:lastRenderedPageBreak/>
        <w:t>Lames ayant fait l’objet d’attaque d’insecte avant composition de panneau non admis</w:t>
      </w:r>
    </w:p>
    <w:p w14:paraId="498637FF" w14:textId="77777777" w:rsidR="00DB2B68" w:rsidRDefault="00000000">
      <w:pPr>
        <w:pStyle w:val="Author-eListParagraph"/>
        <w:numPr>
          <w:ilvl w:val="0"/>
          <w:numId w:val="884"/>
        </w:numPr>
      </w:pPr>
      <w:r>
        <w:t>Flaches non admises</w:t>
      </w:r>
    </w:p>
    <w:p w14:paraId="3D1F1990" w14:textId="77777777" w:rsidR="00DB2B68" w:rsidRDefault="00000000">
      <w:pPr>
        <w:jc w:val="both"/>
      </w:pPr>
      <w:r>
        <w:rPr>
          <w:u w:val="single"/>
        </w:rPr>
        <w:t>Visible habitat (visible cat. A au sens [NBN EN 1991 série]):</w:t>
      </w:r>
    </w:p>
    <w:p w14:paraId="6D2480AD" w14:textId="77777777" w:rsidR="00DB2B68" w:rsidRDefault="00000000">
      <w:pPr>
        <w:jc w:val="both"/>
      </w:pPr>
      <w:r>
        <w:t>La qualité de bois de la surface correspond à un aspect AB selon la [NBN EN 13017-1] ou [NBN EN 13017-2].</w:t>
      </w:r>
    </w:p>
    <w:p w14:paraId="2C69651C" w14:textId="77777777" w:rsidR="00DB2B68" w:rsidRDefault="00000000">
      <w:pPr>
        <w:jc w:val="both"/>
      </w:pPr>
      <w:r>
        <w:t>La surface est rabotée et polie.</w:t>
      </w:r>
    </w:p>
    <w:p w14:paraId="6258AB2D" w14:textId="77777777" w:rsidR="00DB2B68" w:rsidRDefault="00000000">
      <w:pPr>
        <w:jc w:val="both"/>
      </w:pPr>
      <w:r>
        <w:t>Avec une humidité de bois de 12% (+/-2%), la largeur maximale du joint est de 2mm.</w:t>
      </w:r>
    </w:p>
    <w:p w14:paraId="7EABCC8A" w14:textId="77777777" w:rsidR="00DB2B68" w:rsidRDefault="00000000">
      <w:pPr>
        <w:jc w:val="both"/>
      </w:pPr>
      <w:r>
        <w:t>Lors de la découpe, l’ensemble des jointures est chanfreiné au niveau des raccords de panneaux dans la largeur.</w:t>
      </w:r>
    </w:p>
    <w:p w14:paraId="1FD2B941" w14:textId="77777777" w:rsidR="00DB2B68" w:rsidRDefault="00000000">
      <w:pPr>
        <w:jc w:val="both"/>
      </w:pPr>
      <w:r>
        <w:t>Les critères suivants sont respectés</w:t>
      </w:r>
    </w:p>
    <w:p w14:paraId="7219B479" w14:textId="77777777" w:rsidR="00DB2B68" w:rsidRDefault="00000000">
      <w:pPr>
        <w:pStyle w:val="Author-eListParagraph"/>
        <w:numPr>
          <w:ilvl w:val="0"/>
          <w:numId w:val="885"/>
        </w:numPr>
      </w:pPr>
      <w:r>
        <w:t>Joints ouverts ≤1mm</w:t>
      </w:r>
    </w:p>
    <w:p w14:paraId="5F2D7932" w14:textId="77777777" w:rsidR="00DB2B68" w:rsidRDefault="00000000">
      <w:pPr>
        <w:pStyle w:val="Author-eListParagraph"/>
        <w:numPr>
          <w:ilvl w:val="0"/>
          <w:numId w:val="885"/>
        </w:numPr>
      </w:pPr>
      <w:r>
        <w:t>Pas de bleuissement</w:t>
      </w:r>
    </w:p>
    <w:p w14:paraId="6E8F5B16" w14:textId="77777777" w:rsidR="00DB2B68" w:rsidRDefault="00000000">
      <w:pPr>
        <w:pStyle w:val="Author-eListParagraph"/>
        <w:numPr>
          <w:ilvl w:val="0"/>
          <w:numId w:val="885"/>
        </w:numPr>
      </w:pPr>
      <w:r>
        <w:t>Gerces, cœurs-Moelles isolées admises</w:t>
      </w:r>
    </w:p>
    <w:p w14:paraId="0CA658BA" w14:textId="77777777" w:rsidR="00DB2B68" w:rsidRDefault="00000000">
      <w:pPr>
        <w:pStyle w:val="Author-eListParagraph"/>
        <w:numPr>
          <w:ilvl w:val="0"/>
          <w:numId w:val="885"/>
        </w:numPr>
      </w:pPr>
      <w:r>
        <w:t>Pas d’accumulation de poches de résine max 5x50 mm</w:t>
      </w:r>
    </w:p>
    <w:p w14:paraId="64A68340" w14:textId="77777777" w:rsidR="00DB2B68" w:rsidRDefault="00000000">
      <w:pPr>
        <w:pStyle w:val="Author-eListParagraph"/>
        <w:numPr>
          <w:ilvl w:val="0"/>
          <w:numId w:val="885"/>
        </w:numPr>
      </w:pPr>
      <w:r>
        <w:t>Lames ayant fait l’objet d’attaque d’insecte avant ou après composition de panneau non admis</w:t>
      </w:r>
    </w:p>
    <w:p w14:paraId="63062A7B" w14:textId="77777777" w:rsidR="00DB2B68" w:rsidRDefault="00000000">
      <w:pPr>
        <w:pStyle w:val="Author-eListParagraph"/>
        <w:numPr>
          <w:ilvl w:val="0"/>
          <w:numId w:val="885"/>
        </w:numPr>
      </w:pPr>
      <w:r>
        <w:t>Nœuds sains admis</w:t>
      </w:r>
    </w:p>
    <w:p w14:paraId="7E9890AA" w14:textId="77777777" w:rsidR="00DB2B68" w:rsidRDefault="00000000">
      <w:pPr>
        <w:pStyle w:val="Author-eListParagraph"/>
        <w:numPr>
          <w:ilvl w:val="0"/>
          <w:numId w:val="885"/>
        </w:numPr>
      </w:pPr>
      <w:r>
        <w:t>Nœuds noirs ≤ 1.5 cm ; admis</w:t>
      </w:r>
    </w:p>
    <w:p w14:paraId="3DF2BDBF" w14:textId="77777777" w:rsidR="00DB2B68" w:rsidRDefault="00000000">
      <w:pPr>
        <w:pStyle w:val="Author-eListParagraph"/>
        <w:numPr>
          <w:ilvl w:val="0"/>
          <w:numId w:val="885"/>
        </w:numPr>
      </w:pPr>
      <w:r>
        <w:t>Flaches non admises</w:t>
      </w:r>
    </w:p>
    <w:p w14:paraId="2466291F" w14:textId="77777777" w:rsidR="00DB2B68" w:rsidRDefault="00DB2B68"/>
    <w:p w14:paraId="7E4450D7" w14:textId="77777777" w:rsidR="00DB2B68" w:rsidRDefault="00000000">
      <w:pPr>
        <w:pStyle w:val="pheading"/>
      </w:pPr>
      <w:r>
        <w:t>EXÉCUTION / MISE EN ŒUVRE</w:t>
      </w:r>
    </w:p>
    <w:p w14:paraId="1DDE4C5B" w14:textId="77777777" w:rsidR="00DB2B68" w:rsidRDefault="00000000">
      <w:pPr>
        <w:jc w:val="both"/>
      </w:pPr>
      <w:r>
        <w:t>La teneur en humidité du bois est mesurée conformément à l’annexe D de la [NBN EN 16351] lors de la fabrication. Sur chantier, la teneur en humidité est mesurée conformément à l’article 03.41.1b Mesures du taux d'humidité dans le bois est comprise entre 10 et 15 %.</w:t>
      </w:r>
    </w:p>
    <w:p w14:paraId="74240976" w14:textId="77777777" w:rsidR="00DB2B68" w:rsidRDefault="00000000">
      <w:pPr>
        <w:pStyle w:val="Author-eListParagraph"/>
        <w:numPr>
          <w:ilvl w:val="0"/>
          <w:numId w:val="886"/>
        </w:numPr>
      </w:pPr>
      <w:r>
        <w:t>En ce qui concerne le gros œuvre, les dimensions indiquées sur les plans et dans le métré sont celles du gros œuvre tel qu'il doit être exécuté et sont donc purement indicatives. L'entrepreneur est tenu de prendre lui-même les mesures sur le chantier avant de procéder à la manutention et au placement des éléments.</w:t>
      </w:r>
    </w:p>
    <w:p w14:paraId="258BDBDF" w14:textId="77777777" w:rsidR="00DB2B68" w:rsidRDefault="00000000">
      <w:pPr>
        <w:pStyle w:val="Author-eListParagraph"/>
        <w:numPr>
          <w:ilvl w:val="0"/>
          <w:numId w:val="886"/>
        </w:numPr>
      </w:pPr>
      <w:r>
        <w:t>L’entrepreneur fournit au moins 7 jours avant livraison un document relatif à la sécurité lors de la mise en œuvre en tenant compte du stockage éventuel, la manutention, les dispositifs provisoires de stabilité des panneaux ainsi que les autres dispositions nécessaires. </w:t>
      </w:r>
      <w:r>
        <w:br/>
      </w:r>
    </w:p>
    <w:p w14:paraId="017EB1FD" w14:textId="77777777" w:rsidR="00DB2B68" w:rsidRDefault="00000000">
      <w:pPr>
        <w:jc w:val="both"/>
      </w:pPr>
      <w:r>
        <w:rPr>
          <w:b/>
          <w:u w:val="single"/>
        </w:rPr>
        <w:t>Livraison - Entreposage</w:t>
      </w:r>
    </w:p>
    <w:p w14:paraId="747EDE52" w14:textId="77777777" w:rsidR="00DB2B68" w:rsidRDefault="00000000">
      <w:pPr>
        <w:pStyle w:val="Author-eListParagraph"/>
        <w:numPr>
          <w:ilvl w:val="0"/>
          <w:numId w:val="887"/>
        </w:numPr>
      </w:pPr>
      <w:r>
        <w:t>Les panneaux CLT ainsi que leurs accessoires doivent être transportés dans des circonstances qui protègent les matériaux de toute dégradation et tout contact avec l’eau. Ils sont soigneusement amarrés. L'entreposage sur le chantier doit être limité au minimum et surtout ne pas excéder une semaine. Les éléments sont stockés et transportés verticalement ou horizontalement, protégés et espacés les uns des autres (ventilés).</w:t>
      </w:r>
    </w:p>
    <w:p w14:paraId="4223DE76" w14:textId="77777777" w:rsidR="00DB2B68" w:rsidRDefault="00000000">
      <w:pPr>
        <w:pStyle w:val="Author-eListParagraph"/>
        <w:numPr>
          <w:ilvl w:val="0"/>
          <w:numId w:val="887"/>
        </w:numPr>
      </w:pPr>
      <w:r>
        <w:t>Les protections éventuelles appliquées sur les profils ne peuvent pas être enlevées avant autorisation écrite de l’auteur de projet.</w:t>
      </w:r>
      <w:r>
        <w:br/>
      </w:r>
    </w:p>
    <w:p w14:paraId="751A1ED2" w14:textId="77777777" w:rsidR="00DB2B68" w:rsidRDefault="00000000">
      <w:pPr>
        <w:jc w:val="both"/>
      </w:pPr>
      <w:r>
        <w:rPr>
          <w:b/>
          <w:u w:val="single"/>
        </w:rPr>
        <w:t>Jonction avec les autres éléments du gros œuvre</w:t>
      </w:r>
    </w:p>
    <w:p w14:paraId="061D42D9" w14:textId="77777777" w:rsidR="00DB2B68" w:rsidRDefault="00000000">
      <w:pPr>
        <w:jc w:val="both"/>
      </w:pPr>
      <w:r>
        <w:t>Les possibilités présentées par le gros œuvre pour les dispositifs de fixation des panneaux CLT doivent faire l’objet d’indications précises.</w:t>
      </w:r>
    </w:p>
    <w:p w14:paraId="2B9A2951" w14:textId="77777777" w:rsidR="00DB2B68" w:rsidRDefault="00000000">
      <w:pPr>
        <w:jc w:val="both"/>
      </w:pPr>
      <w:r>
        <w:t>La transmission des charges des panneaux CLT sur le gros œuvre est à communiquer avant bétonnage pour un dimensionnement et un positionnement correct des armatures de bord.</w:t>
      </w:r>
    </w:p>
    <w:p w14:paraId="542FE1E4" w14:textId="77777777" w:rsidR="00DB2B68" w:rsidRDefault="00000000">
      <w:pPr>
        <w:jc w:val="both"/>
      </w:pPr>
      <w:r>
        <w:t>Si tel n'est pas le cas, les dispositifs de fixations sont adaptés aux dispositifs mis en place lors du bétonnage.</w:t>
      </w:r>
    </w:p>
    <w:p w14:paraId="4BF9BD05" w14:textId="77777777" w:rsidR="00DB2B68" w:rsidRDefault="00000000">
      <w:pPr>
        <w:jc w:val="both"/>
      </w:pPr>
      <w:r>
        <w:lastRenderedPageBreak/>
        <w:t>Les axes d'implantation et les tolérances sur ces dispositifs doivent être coordonnés entre les différents intervenants à un stade précoce.</w:t>
      </w:r>
    </w:p>
    <w:p w14:paraId="46D556D0" w14:textId="77777777" w:rsidR="00DB2B68" w:rsidRDefault="00000000">
      <w:pPr>
        <w:jc w:val="both"/>
      </w:pPr>
      <w:r>
        <w:t>Le cas échéant, les mouvements que les panneaux CLT doivent pouvoir accepter sont déterminés en fonction des déformations que le gros œuvre peut subir sous l’effet de chacune des sollicitations prévisibles auxquelles il est soumis.</w:t>
      </w:r>
    </w:p>
    <w:p w14:paraId="017035EB" w14:textId="77777777" w:rsidR="00DB2B68" w:rsidRDefault="00000000">
      <w:pPr>
        <w:jc w:val="both"/>
      </w:pPr>
      <w:r>
        <w:t>Les actions, leurs combinaisons, les caractéristiques de conception des matériaux et les critères d'états limites sont conformes aux normes [NBN EN 1991 série].</w:t>
      </w:r>
    </w:p>
    <w:p w14:paraId="48D12F5E" w14:textId="77777777" w:rsidR="00DB2B68" w:rsidRDefault="00000000">
      <w:pPr>
        <w:jc w:val="both"/>
      </w:pPr>
      <w:r>
        <w:t>Les dispositifs d’ancrages des panneaux CLT font l’objet d’une note de calcul spécifique si la charge à reprendre dépasse les 2 kN.</w:t>
      </w:r>
    </w:p>
    <w:p w14:paraId="1C130F6E" w14:textId="77777777" w:rsidR="00DB2B68" w:rsidRDefault="00000000">
      <w:pPr>
        <w:jc w:val="both"/>
      </w:pPr>
      <w:r>
        <w:t> </w:t>
      </w:r>
    </w:p>
    <w:p w14:paraId="2243AB94" w14:textId="77777777" w:rsidR="00DB2B68" w:rsidRDefault="00000000">
      <w:pPr>
        <w:jc w:val="both"/>
      </w:pPr>
      <w:r>
        <w:t>Lors des phases de montages, les panneaux sont maintenus par jambes de forces ou tous dispositifs dont la fixation n’altère pas la qualité de finition des panneaux.</w:t>
      </w:r>
    </w:p>
    <w:p w14:paraId="191A2496" w14:textId="77777777" w:rsidR="00DB2B68" w:rsidRDefault="00000000">
      <w:pPr>
        <w:pStyle w:val="pheading"/>
      </w:pPr>
      <w:r>
        <w:t>CONTRÔLES</w:t>
      </w:r>
    </w:p>
    <w:p w14:paraId="1AFA3D7A" w14:textId="77777777" w:rsidR="00DB2B68" w:rsidRDefault="00000000">
      <w:pPr>
        <w:jc w:val="both"/>
      </w:pPr>
      <w:r>
        <w:t>Les panneaux CLT ou leurs composants sont soumis à contrôle visuels avant la pose. Ceux qui sont endommagés de même que ceux qui présentent des déformations anormales ou sont endommagés par des conditions de stockage inappropriées ne peuvent pas être mis en œuvre.</w:t>
      </w:r>
    </w:p>
    <w:p w14:paraId="0D152087" w14:textId="77777777" w:rsidR="00DB2B68" w:rsidRDefault="00000000">
      <w:pPr>
        <w:jc w:val="both"/>
      </w:pPr>
      <w:r>
        <w:t>Les documents relatifs au marquage CE (ou déclaration d’aptitude du matériau) ou aux performances exigées dans le cahier spécial des charges doivent être préalablement remis à l'architecte.</w:t>
      </w:r>
    </w:p>
    <w:p w14:paraId="7E8D9F26" w14:textId="77777777" w:rsidR="00DB2B68" w:rsidRDefault="00000000">
      <w:pPr>
        <w:jc w:val="both"/>
      </w:pPr>
      <w:r>
        <w:t> </w:t>
      </w:r>
      <w:r>
        <w:rPr>
          <w:b/>
          <w:u w:val="single"/>
        </w:rPr>
        <w:t>Essais</w:t>
      </w:r>
    </w:p>
    <w:p w14:paraId="1A1F7948" w14:textId="77777777" w:rsidR="00DB2B68" w:rsidRDefault="00000000">
      <w:pPr>
        <w:pStyle w:val="Author-eListParagraph"/>
        <w:numPr>
          <w:ilvl w:val="0"/>
          <w:numId w:val="888"/>
        </w:numPr>
        <w:jc w:val="both"/>
      </w:pPr>
      <w:r>
        <w:t>Si le marquage du produit (déclaration d’aptitude du matériau) ne spécifie pas les performances requises, des essais sont systématiquement exigés. Si les panneaux CLT ne satisfont pas aux essais, l’auteur de projet est en droit d'imposer une nouvelle série d'essais jusqu’à obtention des performances requises.</w:t>
      </w:r>
    </w:p>
    <w:p w14:paraId="447C7807" w14:textId="77777777" w:rsidR="00DB2B68" w:rsidRDefault="00000000">
      <w:pPr>
        <w:pStyle w:val="Author-eListParagraph"/>
        <w:numPr>
          <w:ilvl w:val="0"/>
          <w:numId w:val="888"/>
        </w:numPr>
        <w:jc w:val="both"/>
      </w:pPr>
      <w:r>
        <w:t>Les essais sont exécutés par un laboratoire indépendant. </w:t>
      </w:r>
    </w:p>
    <w:p w14:paraId="76157935" w14:textId="77777777" w:rsidR="00DB2B68" w:rsidRDefault="00000000">
      <w:pPr>
        <w:jc w:val="both"/>
      </w:pPr>
      <w:r>
        <w:rPr>
          <w:b/>
          <w:u w:val="single"/>
        </w:rPr>
        <w:t>Tolérances</w:t>
      </w:r>
    </w:p>
    <w:p w14:paraId="30D7F033" w14:textId="77777777" w:rsidR="00DB2B68" w:rsidRDefault="00000000">
      <w:pPr>
        <w:jc w:val="both"/>
      </w:pPr>
      <w:r>
        <w:t xml:space="preserve">Les tolérances de la section </w:t>
      </w:r>
      <w:hyperlink w:anchor="89" w:history="1">
        <w:r>
          <w:rPr>
            <w:color w:val="0000EE"/>
          </w:rPr>
          <w:t>24 Superstructures en bois</w:t>
        </w:r>
      </w:hyperlink>
      <w:r>
        <w:t xml:space="preserve"> s’appliquent aux panneaux CLT.</w:t>
      </w:r>
    </w:p>
    <w:p w14:paraId="67269770" w14:textId="77777777" w:rsidR="00DB2B68" w:rsidRDefault="00000000">
      <w:pPr>
        <w:pStyle w:val="pheading"/>
      </w:pPr>
      <w:r>
        <w:t>DOCUMENTS DE RÉFÉRENCE</w:t>
      </w:r>
    </w:p>
    <w:p w14:paraId="4E8C8565" w14:textId="77777777" w:rsidR="00DB2B68" w:rsidRDefault="00000000">
      <w:pPr>
        <w:pStyle w:val="pheading"/>
      </w:pPr>
      <w:r>
        <w:t>- Matériau</w:t>
      </w:r>
    </w:p>
    <w:p w14:paraId="7FE64822" w14:textId="77777777" w:rsidR="00DB2B68" w:rsidRDefault="00000000">
      <w:r>
        <w:t>[NBN EN 300, Panneaux de lamelles minces, longues et orientées (OSB) - Définitions, classification et exigences]</w:t>
      </w:r>
    </w:p>
    <w:p w14:paraId="406A3564" w14:textId="77777777" w:rsidR="00DB2B68" w:rsidRDefault="00000000">
      <w:r>
        <w:t>[NBN EN 312, Panneaux de particules - Exigences]</w:t>
      </w:r>
    </w:p>
    <w:p w14:paraId="458F0CAD" w14:textId="77777777" w:rsidR="00DB2B68" w:rsidRDefault="00000000">
      <w:r>
        <w:t>[NBN EN 338, Bois de structure - Classes de résistance]</w:t>
      </w:r>
    </w:p>
    <w:p w14:paraId="1BE63067" w14:textId="77777777" w:rsidR="00DB2B68" w:rsidRDefault="00000000">
      <w:r>
        <w:t>[NBN EN 622-5, Panneaux de fibres - Exigences - Partie 5 : Exigences pour panneaux obtenus par procédé à sec (MDF)]</w:t>
      </w:r>
    </w:p>
    <w:p w14:paraId="68DB93F1" w14:textId="77777777" w:rsidR="00DB2B68" w:rsidRDefault="00000000">
      <w:r>
        <w:t>[NBN EN 636+A1, Contreplaqué - Exigences]</w:t>
      </w:r>
    </w:p>
    <w:p w14:paraId="4AC76B0D" w14:textId="77777777" w:rsidR="00DB2B68" w:rsidRDefault="00000000">
      <w:r>
        <w:t>[NBN EN 1991 série, Eurocode 1 : Actions sur les structures]</w:t>
      </w:r>
    </w:p>
    <w:p w14:paraId="5F62BE24" w14:textId="77777777" w:rsidR="00DB2B68" w:rsidRDefault="00000000">
      <w:r>
        <w:t>[NBN EN 1995 série, Eurocode 5: Conception et calcul des structures en bois]</w:t>
      </w:r>
    </w:p>
    <w:p w14:paraId="6A2564E9" w14:textId="77777777" w:rsidR="00DB2B68" w:rsidRDefault="00000000">
      <w:r>
        <w:t>[NBN EN 12114, Performance thermique de bâtiments - Perméabilité à l'air des composants et parois de bâtiments - Méthode d'essai en laboratoire]</w:t>
      </w:r>
    </w:p>
    <w:p w14:paraId="379D25D2" w14:textId="77777777" w:rsidR="00DB2B68" w:rsidRDefault="00000000">
      <w:r>
        <w:t>[NBN EN 13017-1, Bois panneautés - Classification selon l'aspect des faces - Partie 1 : Bois résineux]</w:t>
      </w:r>
    </w:p>
    <w:p w14:paraId="22C0C7B3" w14:textId="77777777" w:rsidR="00DB2B68" w:rsidRDefault="00000000">
      <w:r>
        <w:t>[NBN EN 13017-2, Bois panneautés - Classification selon l'aspect des faces -Partie 2: Bois feuillus]</w:t>
      </w:r>
    </w:p>
    <w:p w14:paraId="58B9F2C5" w14:textId="77777777" w:rsidR="00DB2B68" w:rsidRDefault="00000000">
      <w:r>
        <w:t>[NBN EN 13501-1, Classement au feu des produits et éléments de construction - Partie 1: Classement à partir des données d'essais de réaction au feu]</w:t>
      </w:r>
    </w:p>
    <w:p w14:paraId="70A35A1D" w14:textId="77777777" w:rsidR="00DB2B68" w:rsidRDefault="00000000">
      <w:r>
        <w:lastRenderedPageBreak/>
        <w:t>[NBN EN 13501-2, Classement au feu des produits et éléments de construction - Partie 2 : Classement à partir des données d’essais de résistance au feu et/ou de contrôle des fumées à l’exclusion des produits utilisés dans les systèmes de ventilation ]</w:t>
      </w:r>
    </w:p>
    <w:p w14:paraId="45C4EF9D" w14:textId="77777777" w:rsidR="00DB2B68" w:rsidRDefault="00000000">
      <w:r>
        <w:t>[NBN EN 13986+A1, Panneaux à base de bois destinés à la construction - Caractéristiques, évaluation de conformité et marquage] </w:t>
      </w:r>
    </w:p>
    <w:p w14:paraId="2F293539" w14:textId="77777777" w:rsidR="00DB2B68" w:rsidRDefault="00000000">
      <w:r>
        <w:t>[NBN EN 14081-1:2016+A1, Structures en bois - Bois de structure à section rectangulaire classé pour sa résistance - Partie 1 : Exigences générales]</w:t>
      </w:r>
    </w:p>
    <w:p w14:paraId="5AEBA7B8" w14:textId="77777777" w:rsidR="00DB2B68" w:rsidRDefault="00000000">
      <w:r>
        <w:t>[NBN EN 14081-2:2018+A1, Structures en bois - Bois de structure à section rectangulaire classé pour sa résistance - Partie 2 : Classement mécanique par machine; exigences supplémentaires concernant les essais de type]</w:t>
      </w:r>
    </w:p>
    <w:p w14:paraId="1D8E19C8" w14:textId="77777777" w:rsidR="00DB2B68" w:rsidRDefault="00000000">
      <w:r>
        <w:t>[NBN EN 14081-3, Structures en bois - Bois de structure à section rectangulaire classé pour sa résistance - Partie 3: Classement mécanique - Exigences complémentaires relatives au contrôle de la production en usine]</w:t>
      </w:r>
    </w:p>
    <w:p w14:paraId="6F7FE29F" w14:textId="77777777" w:rsidR="00DB2B68" w:rsidRDefault="00000000">
      <w:r>
        <w:t>[NBN EN 15228, Bois de structure - Bois de structure traité avec un produit de préservation contre les attaques biologiques]</w:t>
      </w:r>
    </w:p>
    <w:p w14:paraId="1825ED38" w14:textId="77777777" w:rsidR="00DB2B68" w:rsidRDefault="00000000">
      <w:r>
        <w:t>[NBN EN 16351, Structures en bois - Bois lamellé croisé - Exigences]</w:t>
      </w:r>
    </w:p>
    <w:p w14:paraId="020A2FC6" w14:textId="77777777" w:rsidR="00DB2B68" w:rsidRDefault="00000000">
      <w:r>
        <w:t>[AR 1994-07-07, Arrêté royal fixant les normes de base en matière de prévention contre l'incendie et l'explosion, auxquelles les bâtiments nouveaux doivent satisfaire]</w:t>
      </w:r>
    </w:p>
    <w:p w14:paraId="5BD77BC5" w14:textId="77777777" w:rsidR="00DB2B68" w:rsidRDefault="00000000">
      <w:pPr>
        <w:pStyle w:val="Author-eSectionHeading6Numberless"/>
      </w:pPr>
      <w:bookmarkStart w:id="1628" w:name="_Toc220496617"/>
      <w:r>
        <w:t>24.15.1a Voiles massifs en CLT collés CCTB 01.11</w:t>
      </w:r>
      <w:bookmarkEnd w:id="1628"/>
    </w:p>
    <w:p w14:paraId="74B42149" w14:textId="77777777" w:rsidR="00DB2B68" w:rsidRDefault="00000000">
      <w:pPr>
        <w:pStyle w:val="pheading"/>
      </w:pPr>
      <w:r>
        <w:t>DESCRIPTION</w:t>
      </w:r>
    </w:p>
    <w:p w14:paraId="3D6DF3DE" w14:textId="77777777" w:rsidR="00DB2B68" w:rsidRDefault="00000000">
      <w:pPr>
        <w:pStyle w:val="pheading"/>
      </w:pPr>
      <w:r>
        <w:t>- Définition / Comprend</w:t>
      </w:r>
    </w:p>
    <w:p w14:paraId="3E315959" w14:textId="77777777" w:rsidR="00DB2B68" w:rsidRDefault="00000000">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063D9309" w14:textId="77777777" w:rsidR="00DB2B68" w:rsidRDefault="00000000">
      <w:pPr>
        <w:jc w:val="both"/>
      </w:pPr>
      <w:r>
        <w:t>Les panneaux s’appliquant aux classes de service 1 ou 2 (selon la [NBN EN 1995-1-1]) constitués d’au moins 3 couches d’essences résineuses ou en peuplier dont les couches ont une épaisseur nominale entre 6 et 47 mm et d’épaisseur totale jusqu’à 500 mm sont couverts par la norme  produit [NBN EN 16351].</w:t>
      </w:r>
    </w:p>
    <w:p w14:paraId="033E82BC" w14:textId="77777777" w:rsidR="00DB2B68" w:rsidRDefault="00000000">
      <w:pPr>
        <w:pStyle w:val="pheading"/>
      </w:pPr>
      <w:r>
        <w:t>- Localisation</w:t>
      </w:r>
    </w:p>
    <w:p w14:paraId="102A1E32" w14:textId="77777777" w:rsidR="00DB2B68" w:rsidRDefault="00000000">
      <w:r>
        <w:t xml:space="preserve">Localisation des travaux : </w:t>
      </w:r>
      <w:r>
        <w:rPr>
          <w:rStyle w:val="optioncarChar"/>
        </w:rPr>
        <w:t>***</w:t>
      </w:r>
      <w:r>
        <w:t>.</w:t>
      </w:r>
    </w:p>
    <w:p w14:paraId="3AD52AF9" w14:textId="77777777" w:rsidR="00DB2B68" w:rsidRDefault="00000000">
      <w:r>
        <w:t>Voir plans et métrés détaillés.</w:t>
      </w:r>
    </w:p>
    <w:p w14:paraId="1EDE75E4" w14:textId="77777777" w:rsidR="00DB2B68" w:rsidRDefault="00000000">
      <w:pPr>
        <w:pStyle w:val="pheading"/>
      </w:pPr>
      <w:r>
        <w:t>MATÉRIAUX</w:t>
      </w:r>
    </w:p>
    <w:p w14:paraId="575D60BA" w14:textId="77777777" w:rsidR="00DB2B68" w:rsidRDefault="00000000">
      <w:pPr>
        <w:pStyle w:val="pheading"/>
      </w:pPr>
      <w:r>
        <w:t>- Caractéristiques générales</w:t>
      </w:r>
    </w:p>
    <w:p w14:paraId="3454A28D" w14:textId="77777777" w:rsidR="00DB2B68" w:rsidRDefault="00000000">
      <w:pPr>
        <w:jc w:val="both"/>
      </w:pPr>
      <w:r>
        <w:t xml:space="preserve">Épaisseur totale du panneau CLT : </w:t>
      </w:r>
      <w:r>
        <w:rPr>
          <w:rStyle w:val="optioncarChar"/>
        </w:rPr>
        <w:t>***</w:t>
      </w:r>
      <w:r>
        <w:t xml:space="preserve"> mm.</w:t>
      </w:r>
    </w:p>
    <w:p w14:paraId="2DECD30A" w14:textId="77777777" w:rsidR="00DB2B68" w:rsidRDefault="0000000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p>
    <w:p w14:paraId="7168FBF9" w14:textId="77777777" w:rsidR="00DB2B68" w:rsidRDefault="00000000">
      <w:pPr>
        <w:jc w:val="both"/>
      </w:pPr>
      <w:r>
        <w:t>Classe de résistance :</w:t>
      </w:r>
      <w:r>
        <w:rPr>
          <w:rStyle w:val="optioncarChar"/>
        </w:rPr>
        <w:t xml:space="preserve"> C18 </w:t>
      </w:r>
      <w:r>
        <w:t>(par défaut)</w:t>
      </w:r>
      <w:r>
        <w:rPr>
          <w:rStyle w:val="optioncarChar"/>
        </w:rPr>
        <w:t xml:space="preserve"> / D18 / C24 / D24 / C30 / D30 / ***.</w:t>
      </w:r>
    </w:p>
    <w:p w14:paraId="63977B63" w14:textId="77777777" w:rsidR="00DB2B68" w:rsidRDefault="00000000">
      <w:pPr>
        <w:jc w:val="both"/>
      </w:pPr>
      <w:r>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 (classe MDFLA) en plis centraux / ***.</w:t>
      </w:r>
    </w:p>
    <w:p w14:paraId="45656F96" w14:textId="77777777" w:rsidR="00DB2B68" w:rsidRDefault="00000000">
      <w:pPr>
        <w:jc w:val="both"/>
      </w:pPr>
      <w:r>
        <w:lastRenderedPageBreak/>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 </w:t>
      </w:r>
      <w:r>
        <w:rPr>
          <w:rStyle w:val="optioncarChar"/>
        </w:rPr>
        <w:t xml:space="preserve">20-20-20 / 20-40-20 / 30-30-30 / 30-40-30 / 40/-40-40 / 20-20-20-20-20 </w:t>
      </w:r>
      <w:r>
        <w:t>(par défaut)</w:t>
      </w:r>
      <w:r>
        <w:rPr>
          <w:rStyle w:val="optioncarChar"/>
        </w:rPr>
        <w:t xml:space="preserve"> /  20-30-20-30 / 40-20-20-20-40 / ***</w:t>
      </w:r>
      <w:r>
        <w:t xml:space="preserve"> mm.</w:t>
      </w:r>
    </w:p>
    <w:p w14:paraId="5F76B98A" w14:textId="77777777" w:rsidR="00DB2B68" w:rsidRDefault="00000000">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14:paraId="68B8BA1F" w14:textId="77777777" w:rsidR="00DB2B68" w:rsidRDefault="00000000">
      <w:pPr>
        <w:jc w:val="both"/>
      </w:pPr>
      <w:r>
        <w:t xml:space="preserve">La réaction au feu est de classe </w:t>
      </w:r>
      <w:r>
        <w:rPr>
          <w:rStyle w:val="optioncarChar"/>
        </w:rPr>
        <w:t>D-s2, d0</w:t>
      </w:r>
      <w:r>
        <w:t xml:space="preserve"> (par défaut)</w:t>
      </w:r>
      <w:r>
        <w:rPr>
          <w:rStyle w:val="optioncarChar"/>
        </w:rPr>
        <w:t xml:space="preserve"> / ***.</w:t>
      </w:r>
    </w:p>
    <w:p w14:paraId="11C9330C" w14:textId="77777777" w:rsidR="00DB2B68" w:rsidRDefault="00000000">
      <w:pPr>
        <w:jc w:val="both"/>
      </w:pPr>
      <w:r>
        <w:t xml:space="preserve">La résistance au feu déclarée de la paroi : </w:t>
      </w:r>
      <w:r>
        <w:rPr>
          <w:rStyle w:val="optioncarChar"/>
        </w:rPr>
        <w:t xml:space="preserve">pas d’exigences </w:t>
      </w:r>
      <w:r>
        <w:t xml:space="preserve">(par défaut) </w:t>
      </w:r>
      <w:r>
        <w:rPr>
          <w:rStyle w:val="optioncarChar"/>
        </w:rPr>
        <w:t>/ REI 30 / EI30 / REI 60 / EI 60 / ***.</w:t>
      </w:r>
    </w:p>
    <w:p w14:paraId="6EB80988" w14:textId="77777777" w:rsidR="00DB2B68" w:rsidRDefault="00000000">
      <w:pPr>
        <w:jc w:val="both"/>
      </w:pPr>
      <w:r>
        <w:t>L’étanchéité à l’air 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14:paraId="25528CC3" w14:textId="77777777" w:rsidR="00DB2B68"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6AEECD1C" w14:textId="77777777" w:rsidR="00DB2B68" w:rsidRDefault="00000000">
      <w:pPr>
        <w:jc w:val="both"/>
      </w:pPr>
      <w:r>
        <w:t>Le coefficient de résistance à la diffusion de vapeur d’eau – valeur μ pour un taux d’humidité du bois de 11 % (selon [NBN EN 12086]) : </w:t>
      </w:r>
      <w:r>
        <w:rPr>
          <w:rStyle w:val="optioncarChar"/>
        </w:rPr>
        <w:t xml:space="preserve">≥ 50 </w:t>
      </w:r>
      <w:r>
        <w:t>(par défaut)</w:t>
      </w:r>
      <w:r>
        <w:rPr>
          <w:rStyle w:val="optioncarChar"/>
        </w:rPr>
        <w:t xml:space="preserve"> / ≥ 30  / ≤ 100 / ***</w:t>
      </w:r>
      <w:r>
        <w:t>.</w:t>
      </w:r>
    </w:p>
    <w:p w14:paraId="663F94D2" w14:textId="77777777" w:rsidR="00DB2B68" w:rsidRDefault="00000000">
      <w:pPr>
        <w:jc w:val="both"/>
      </w:pPr>
      <w:r>
        <w:t xml:space="preserve">La durabilité des panneaux en fonction de leur classe d’emploi, est assurée par la mesure suivante : </w:t>
      </w:r>
      <w:r>
        <w:rPr>
          <w:rStyle w:val="optioncarChar"/>
        </w:rPr>
        <w:t>traitement A1</w:t>
      </w:r>
      <w:r>
        <w:t xml:space="preserve"> (par défaut) </w:t>
      </w:r>
      <w:r>
        <w:rPr>
          <w:rStyle w:val="optioncarChar"/>
        </w:rPr>
        <w:t>/ traitement A2.2 / bois modifié thermiquement / bois hors aubier / ***</w:t>
      </w:r>
      <w:r>
        <w:t>.</w:t>
      </w:r>
    </w:p>
    <w:p w14:paraId="303D1AA0" w14:textId="77777777" w:rsidR="00DB2B68" w:rsidRDefault="00000000">
      <w:pPr>
        <w:jc w:val="both"/>
      </w:pPr>
      <w:r>
        <w:t> </w:t>
      </w:r>
    </w:p>
    <w:p w14:paraId="333339E7" w14:textId="77777777" w:rsidR="00DB2B68" w:rsidRDefault="00000000">
      <w:pPr>
        <w:jc w:val="both"/>
      </w:pPr>
      <w:r>
        <w:t xml:space="preserve">Le collage des plis est assuré par </w:t>
      </w:r>
      <w:r>
        <w:rPr>
          <w:rStyle w:val="optioncarChar"/>
        </w:rPr>
        <w:t xml:space="preserve">les spécifications du fabricant </w:t>
      </w:r>
      <w:r>
        <w:t xml:space="preserve">(par défaut) </w:t>
      </w:r>
      <w:r>
        <w:rPr>
          <w:rStyle w:val="optioncarChar"/>
        </w:rPr>
        <w:t>adhésifs polyuréthane monocomposants durcissant à l'humidité (PUR) / adhésifs de nature phénolique et aminoplaste (par exemple MF, MUF, PRF, UF) / adhésifs à base d'isocyanate et de polymère en émulsion (EPI).</w:t>
      </w:r>
    </w:p>
    <w:p w14:paraId="4F411B39" w14:textId="77777777" w:rsidR="00DB2B68" w:rsidRDefault="00000000">
      <w:pPr>
        <w:ind w:left="567"/>
        <w:jc w:val="both"/>
      </w:pPr>
      <w:r>
        <w:rPr>
          <w:b/>
          <w:i/>
        </w:rPr>
        <w:t>(Soit par défaut)</w:t>
      </w:r>
    </w:p>
    <w:p w14:paraId="0FBE3E6A" w14:textId="77777777" w:rsidR="00DB2B68" w:rsidRDefault="00000000">
      <w:pPr>
        <w:ind w:left="567"/>
        <w:jc w:val="both"/>
      </w:pPr>
      <w:r>
        <w:rPr>
          <w:rStyle w:val="soitChar"/>
          <w:u w:val="single"/>
        </w:rPr>
        <w:t>Les spécifications du fabricant</w:t>
      </w:r>
    </w:p>
    <w:p w14:paraId="106D20C8" w14:textId="77777777" w:rsidR="00DB2B68" w:rsidRDefault="00000000">
      <w:pPr>
        <w:ind w:left="567"/>
        <w:jc w:val="both"/>
      </w:pPr>
      <w:r>
        <w:rPr>
          <w:b/>
          <w:i/>
        </w:rPr>
        <w:t>(Soit)</w:t>
      </w:r>
    </w:p>
    <w:p w14:paraId="458F5BF1" w14:textId="77777777" w:rsidR="00DB2B68"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27C70ABD" w14:textId="77777777" w:rsidR="00DB2B68" w:rsidRDefault="00000000">
      <w:pPr>
        <w:ind w:left="567"/>
        <w:jc w:val="both"/>
      </w:pPr>
      <w:r>
        <w:rPr>
          <w:b/>
          <w:i/>
        </w:rPr>
        <w:t>(Soit)</w:t>
      </w:r>
    </w:p>
    <w:p w14:paraId="19F3B480" w14:textId="77777777" w:rsidR="00DB2B68" w:rsidRDefault="0000000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 </w:t>
      </w:r>
    </w:p>
    <w:p w14:paraId="3560630D" w14:textId="77777777" w:rsidR="00DB2B68" w:rsidRDefault="00000000">
      <w:pPr>
        <w:ind w:left="567"/>
        <w:jc w:val="both"/>
      </w:pPr>
      <w:r>
        <w:rPr>
          <w:b/>
          <w:i/>
        </w:rPr>
        <w:t>(Soit)</w:t>
      </w:r>
    </w:p>
    <w:p w14:paraId="4DC4A750" w14:textId="77777777" w:rsidR="00DB2B68"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0C538DBE" w14:textId="77777777" w:rsidR="00DB2B68" w:rsidRDefault="00000000">
      <w:pPr>
        <w:jc w:val="both"/>
      </w:pPr>
      <w:r>
        <w:t> </w:t>
      </w:r>
    </w:p>
    <w:p w14:paraId="7C717827" w14:textId="77777777" w:rsidR="00DB2B68" w:rsidRDefault="00000000">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281B70F9" w14:textId="77777777" w:rsidR="00DB2B68"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3FC9BD39" w14:textId="77777777" w:rsidR="00DB2B68" w:rsidRDefault="00000000">
      <w:pPr>
        <w:jc w:val="both"/>
      </w:pPr>
      <w:r>
        <w:t> </w:t>
      </w:r>
    </w:p>
    <w:p w14:paraId="396D1976" w14:textId="77777777" w:rsidR="00DB2B68" w:rsidRDefault="00000000">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14:paraId="297690F8" w14:textId="77777777" w:rsidR="00DB2B68" w:rsidRDefault="00000000">
      <w:pPr>
        <w:jc w:val="both"/>
      </w:pPr>
      <w:r>
        <w:t xml:space="preserve">Un jeu de </w:t>
      </w:r>
      <w:r>
        <w:rPr>
          <w:rStyle w:val="optioncarChar"/>
        </w:rPr>
        <w:t xml:space="preserve">0 </w:t>
      </w:r>
      <w:r>
        <w:t xml:space="preserve">(par défaut) </w:t>
      </w:r>
      <w:r>
        <w:rPr>
          <w:rStyle w:val="optioncarChar"/>
        </w:rPr>
        <w:t>/ 2 / 5 / *** mm</w:t>
      </w:r>
      <w:r>
        <w:t xml:space="preserve"> est réservé entre les lamelles.</w:t>
      </w:r>
    </w:p>
    <w:p w14:paraId="44A45069" w14:textId="77777777" w:rsidR="00DB2B68" w:rsidRDefault="00000000">
      <w:pPr>
        <w:jc w:val="both"/>
      </w:pPr>
      <w:r>
        <w:t>La résistance du collage des aboutages est conforme à la [NBN EN 16351] annexe B et est vérifiée par essais de flexion conformes à la [NBN EN 16351] §5.2.</w:t>
      </w:r>
    </w:p>
    <w:p w14:paraId="6EADAF92" w14:textId="77777777" w:rsidR="00DB2B68" w:rsidRDefault="00000000">
      <w:pPr>
        <w:jc w:val="both"/>
      </w:pPr>
      <w:r>
        <w:lastRenderedPageBreak/>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183575AB" w14:textId="77777777" w:rsidR="00DB2B68" w:rsidRDefault="00000000">
      <w:pPr>
        <w:pStyle w:val="pheading"/>
      </w:pPr>
      <w:r>
        <w:t>- Finitions</w:t>
      </w:r>
    </w:p>
    <w:p w14:paraId="55EFDDE3" w14:textId="77777777" w:rsidR="00DB2B68" w:rsidRDefault="00000000">
      <w:pPr>
        <w:jc w:val="both"/>
      </w:pPr>
      <w:r>
        <w:t xml:space="preserve">Exigences d’aspect : </w:t>
      </w:r>
      <w:r>
        <w:rPr>
          <w:rStyle w:val="optioncarChar"/>
        </w:rPr>
        <w:t>non-visible  /  visible industriel  /  visible habitat</w:t>
      </w:r>
      <w:r>
        <w:t> </w:t>
      </w:r>
      <w:r>
        <w:rPr>
          <w:rStyle w:val="optioncarChar"/>
        </w:rPr>
        <w:t>sur</w:t>
      </w:r>
      <w:r>
        <w:t> </w:t>
      </w:r>
      <w:r>
        <w:rPr>
          <w:rStyle w:val="optioncarChar"/>
        </w:rPr>
        <w:t xml:space="preserve">1 </w:t>
      </w:r>
      <w:r>
        <w:t>(par défaut)</w:t>
      </w:r>
      <w:r>
        <w:rPr>
          <w:rStyle w:val="optioncarChar"/>
        </w:rPr>
        <w:t xml:space="preserve"> / 2 face(s) / ***</w:t>
      </w:r>
      <w:r>
        <w:t>.</w:t>
      </w:r>
    </w:p>
    <w:p w14:paraId="6E203337" w14:textId="77777777" w:rsidR="00DB2B68"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6459B871" w14:textId="77777777" w:rsidR="00DB2B68" w:rsidRDefault="00000000">
      <w:pPr>
        <w:pStyle w:val="pheading"/>
      </w:pPr>
      <w:r>
        <w:t>- Prescriptions complémentaires</w:t>
      </w:r>
    </w:p>
    <w:p w14:paraId="6105C3CE" w14:textId="77777777" w:rsidR="00DB2B68" w:rsidRDefault="00000000">
      <w:r>
        <w:rPr>
          <w:rStyle w:val="facultChar"/>
        </w:rPr>
        <w:t>Capacité thermique :</w:t>
      </w:r>
      <w:r>
        <w:rPr>
          <w:rStyle w:val="optioncarChar"/>
        </w:rPr>
        <w:t xml:space="preserve">&gt; 2 </w:t>
      </w:r>
      <w:r>
        <w:t xml:space="preserve">(par défaut) </w:t>
      </w:r>
      <w:r>
        <w:rPr>
          <w:rStyle w:val="optioncarChar"/>
        </w:rPr>
        <w:t>/ ***</w:t>
      </w:r>
      <w:r>
        <w:rPr>
          <w:rStyle w:val="facultChar"/>
        </w:rPr>
        <w:t>kJ/kg.K</w:t>
      </w:r>
    </w:p>
    <w:p w14:paraId="3535A03C" w14:textId="77777777" w:rsidR="00DB2B68" w:rsidRDefault="00000000">
      <w:pPr>
        <w:pStyle w:val="pheading"/>
      </w:pPr>
      <w:r>
        <w:t>EXÉCUTION / MISE EN ŒUVRE</w:t>
      </w:r>
    </w:p>
    <w:p w14:paraId="6550F4F0" w14:textId="77777777" w:rsidR="00DB2B68" w:rsidRDefault="00000000">
      <w:pPr>
        <w:pStyle w:val="pheading"/>
      </w:pPr>
      <w:r>
        <w:t>- Prescriptions générales</w:t>
      </w:r>
    </w:p>
    <w:p w14:paraId="6DD17E8A" w14:textId="77777777" w:rsidR="00DB2B68"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18F06ECB" w14:textId="77777777" w:rsidR="00DB2B68" w:rsidRDefault="0000000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p>
    <w:p w14:paraId="5AD7228F" w14:textId="77777777" w:rsidR="00DB2B68" w:rsidRDefault="00000000">
      <w:pPr>
        <w:jc w:val="both"/>
      </w:pPr>
      <w:r>
        <w:rPr>
          <w:b/>
          <w:i/>
        </w:rPr>
        <w:t>Fixation en pied de mur</w:t>
      </w:r>
    </w:p>
    <w:p w14:paraId="0A55A65D" w14:textId="77777777" w:rsidR="00DB2B68" w:rsidRDefault="00000000">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p>
    <w:p w14:paraId="12DBEC2B" w14:textId="77777777" w:rsidR="00DB2B68" w:rsidRDefault="00000000">
      <w:pPr>
        <w:ind w:left="567"/>
        <w:jc w:val="both"/>
      </w:pPr>
      <w:r>
        <w:rPr>
          <w:b/>
          <w:i/>
        </w:rPr>
        <w:t>(Soit par défaut)</w:t>
      </w:r>
    </w:p>
    <w:p w14:paraId="19FFF1CF" w14:textId="77777777" w:rsidR="00DB2B68" w:rsidRDefault="00000000">
      <w:pPr>
        <w:ind w:left="567"/>
        <w:jc w:val="both"/>
      </w:pPr>
      <w:r>
        <w:rPr>
          <w:rStyle w:val="soitChar"/>
          <w:u w:val="single"/>
        </w:rPr>
        <w:t>La lisse basse</w:t>
      </w:r>
      <w:r>
        <w:rPr>
          <w:rStyle w:val="soitChar"/>
        </w:rPr>
        <w:t xml:space="preserve"> est fixée par </w:t>
      </w:r>
      <w:r>
        <w:rPr>
          <w:rStyle w:val="optioncarChar"/>
        </w:rPr>
        <w:t>chevilles métalliques</w:t>
      </w:r>
      <w:r>
        <w:t xml:space="preserve">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592" w:history="1">
        <w:r>
          <w:rPr>
            <w:rStyle w:val="soitChar"/>
            <w:color w:val="0000EE"/>
          </w:rPr>
          <w:t>24.11.1a Lisses de pose en bois massif</w:t>
        </w:r>
      </w:hyperlink>
      <w:r>
        <w:rPr>
          <w:rStyle w:val="soitChar"/>
        </w:rPr>
        <w:t xml:space="preserve"> .</w:t>
      </w:r>
    </w:p>
    <w:p w14:paraId="0AEC50EB" w14:textId="77777777" w:rsidR="00DB2B68" w:rsidRDefault="00000000">
      <w:pPr>
        <w:ind w:left="567"/>
        <w:jc w:val="both"/>
      </w:pPr>
      <w:r>
        <w:rPr>
          <w:b/>
          <w:i/>
        </w:rPr>
        <w:t>(Soit)</w:t>
      </w:r>
    </w:p>
    <w:p w14:paraId="26E8FC1F" w14:textId="77777777" w:rsidR="00DB2B68" w:rsidRDefault="00000000">
      <w:pPr>
        <w:ind w:left="567"/>
        <w:jc w:val="both"/>
      </w:pPr>
      <w:r>
        <w:rPr>
          <w:rStyle w:val="soitChar"/>
          <w:u w:val="single"/>
        </w:rPr>
        <w:t>Dispositifs d’ancrage ponctuels</w:t>
      </w:r>
      <w:r>
        <w:rPr>
          <w:rStyle w:val="soitChar"/>
        </w:rPr>
        <w:t> : Les dispositifs de fixation sont des</w:t>
      </w:r>
      <w:r>
        <w:rPr>
          <w:rStyle w:val="optioncarChar"/>
        </w:rPr>
        <w:t xml:space="preserve"> 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de bord du panneau.</w:t>
      </w:r>
      <w:r>
        <w:t> </w:t>
      </w:r>
    </w:p>
    <w:p w14:paraId="531D064E" w14:textId="77777777" w:rsidR="00DB2B68" w:rsidRDefault="00000000">
      <w:pPr>
        <w:ind w:left="567"/>
        <w:jc w:val="both"/>
      </w:pPr>
      <w:r>
        <w:rPr>
          <w:b/>
          <w:i/>
        </w:rPr>
        <w:t>(Soit)</w:t>
      </w:r>
    </w:p>
    <w:p w14:paraId="1B87BE66" w14:textId="77777777" w:rsidR="00DB2B68" w:rsidRDefault="00000000">
      <w:pPr>
        <w:ind w:left="567"/>
        <w:jc w:val="both"/>
      </w:pPr>
      <w:r>
        <w:rPr>
          <w:rStyle w:val="optioncarChar"/>
        </w:rPr>
        <w:t>***</w:t>
      </w:r>
    </w:p>
    <w:p w14:paraId="419FFD49" w14:textId="77777777" w:rsidR="00DB2B68" w:rsidRDefault="00DB2B68">
      <w:pPr>
        <w:ind w:left="567"/>
        <w:jc w:val="both"/>
      </w:pPr>
    </w:p>
    <w:p w14:paraId="31C4B622" w14:textId="77777777" w:rsidR="00DB2B68" w:rsidRDefault="00000000">
      <w:pPr>
        <w:jc w:val="both"/>
      </w:pPr>
      <w:r>
        <w:t xml:space="preserve">L’assemblage de pied de paroi est muni d’une bande d’arase en </w:t>
      </w:r>
      <w:r>
        <w:rPr>
          <w:rStyle w:val="optioncarChar"/>
        </w:rPr>
        <w:t>membrane élastomère</w:t>
      </w:r>
      <w:r>
        <w:t xml:space="preserve"> (par défaut)</w:t>
      </w:r>
      <w:r>
        <w:rPr>
          <w:rStyle w:val="optioncarChar"/>
        </w:rPr>
        <w:t xml:space="preserve"> / membrane bitumineuse / membrane à base butyle / membrane polypropylène / ***.</w:t>
      </w:r>
    </w:p>
    <w:p w14:paraId="628BFD4F" w14:textId="77777777" w:rsidR="00DB2B68" w:rsidRDefault="00000000">
      <w:pPr>
        <w:jc w:val="both"/>
      </w:pPr>
      <w:r>
        <w:t> </w:t>
      </w:r>
    </w:p>
    <w:p w14:paraId="2F819A10" w14:textId="77777777" w:rsidR="00DB2B68" w:rsidRDefault="00000000">
      <w:pPr>
        <w:jc w:val="both"/>
      </w:pPr>
      <w:r>
        <w:rPr>
          <w:b/>
          <w:i/>
        </w:rPr>
        <w:t>Fixation entre panneaux de même plan</w:t>
      </w:r>
    </w:p>
    <w:p w14:paraId="1A0033E7" w14:textId="77777777" w:rsidR="00DB2B68" w:rsidRDefault="00000000">
      <w:pPr>
        <w:jc w:val="both"/>
      </w:pPr>
      <w:r>
        <w:t xml:space="preserve">L’assemblage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14:paraId="14D3E177" w14:textId="77777777" w:rsidR="00DB2B68" w:rsidRDefault="00000000">
      <w:pPr>
        <w:jc w:val="both"/>
      </w:pPr>
      <w:r>
        <w:rPr>
          <w:b/>
          <w:i/>
        </w:rPr>
        <w:t>Assemblage d’angles</w:t>
      </w:r>
    </w:p>
    <w:p w14:paraId="1F7D3CB8" w14:textId="77777777" w:rsidR="00DB2B68" w:rsidRDefault="00000000">
      <w:pPr>
        <w:jc w:val="both"/>
      </w:pPr>
      <w:r>
        <w:t xml:space="preserve">L’angle entre deux panneaux CLT est assemblé </w:t>
      </w:r>
      <w:r>
        <w:rPr>
          <w:rStyle w:val="optioncarChar"/>
        </w:rPr>
        <w:t>par l’intermédiaire de vis traversantes</w:t>
      </w:r>
      <w:r>
        <w:t xml:space="preserve"> (par défaut)</w:t>
      </w:r>
      <w:r>
        <w:rPr>
          <w:rStyle w:val="optioncarChar"/>
        </w:rPr>
        <w:t xml:space="preserve"> / par dispositifs d’ancrage ponctuels sur le gros œuvre existant / ***.</w:t>
      </w:r>
    </w:p>
    <w:p w14:paraId="228F11F2" w14:textId="77777777" w:rsidR="00DB2B68" w:rsidRDefault="00000000">
      <w:pPr>
        <w:ind w:left="567"/>
        <w:jc w:val="both"/>
      </w:pPr>
      <w:r>
        <w:rPr>
          <w:b/>
          <w:i/>
        </w:rPr>
        <w:t>(Soit par défaut)</w:t>
      </w:r>
    </w:p>
    <w:p w14:paraId="65B0461B" w14:textId="77777777" w:rsidR="00DB2B68" w:rsidRDefault="00000000">
      <w:pPr>
        <w:ind w:left="567"/>
        <w:jc w:val="both"/>
      </w:pPr>
      <w:r>
        <w:rPr>
          <w:rStyle w:val="soitChar"/>
          <w:u w:val="single"/>
        </w:rPr>
        <w:t>Vis traversante :</w:t>
      </w:r>
      <w:r>
        <w:rPr>
          <w:rStyle w:val="soitChar"/>
        </w:rPr>
        <w:t xml:space="preserve"> La fixation de type tire-fond et appliquée sur le pli central intérieur du panneau à assembler ou par fixations inclinées. Le nombre de fixations et les sections répondent au dimensionnement selon la [NBN EN 1995 série].</w:t>
      </w:r>
    </w:p>
    <w:p w14:paraId="367E67CE" w14:textId="77777777" w:rsidR="00DB2B68" w:rsidRDefault="00000000">
      <w:pPr>
        <w:ind w:left="567"/>
        <w:jc w:val="both"/>
      </w:pPr>
      <w:r>
        <w:rPr>
          <w:b/>
          <w:i/>
        </w:rPr>
        <w:t>(Soit)</w:t>
      </w:r>
    </w:p>
    <w:p w14:paraId="2A611631" w14:textId="77777777" w:rsidR="00DB2B68" w:rsidRDefault="00000000">
      <w:pPr>
        <w:ind w:left="567"/>
        <w:jc w:val="both"/>
      </w:pPr>
      <w:r>
        <w:rPr>
          <w:rStyle w:val="soitChar"/>
          <w:u w:val="single"/>
        </w:rPr>
        <w:lastRenderedPageBreak/>
        <w:t xml:space="preserve">Dispositifs d’ancrage ponctuels : </w:t>
      </w:r>
      <w:r>
        <w:rPr>
          <w:rStyle w:val="soitChar"/>
        </w:rPr>
        <w:t xml:space="preserve">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mm de bord du panneau. </w:t>
      </w:r>
    </w:p>
    <w:p w14:paraId="699D0CCC" w14:textId="77777777" w:rsidR="00DB2B68" w:rsidRDefault="00000000">
      <w:pPr>
        <w:ind w:left="567"/>
        <w:jc w:val="both"/>
      </w:pPr>
      <w:r>
        <w:rPr>
          <w:b/>
          <w:i/>
        </w:rPr>
        <w:t>(Soit)</w:t>
      </w:r>
    </w:p>
    <w:p w14:paraId="4900D463" w14:textId="77777777" w:rsidR="00DB2B68" w:rsidRDefault="00000000">
      <w:pPr>
        <w:ind w:left="567"/>
        <w:jc w:val="both"/>
      </w:pPr>
      <w:r>
        <w:rPr>
          <w:rStyle w:val="optioncarChar"/>
        </w:rPr>
        <w:t>***</w:t>
      </w:r>
    </w:p>
    <w:p w14:paraId="3FE0B17B" w14:textId="77777777" w:rsidR="00DB2B68" w:rsidRDefault="00000000">
      <w:pPr>
        <w:jc w:val="both"/>
      </w:pPr>
      <w:r>
        <w:t> </w:t>
      </w:r>
    </w:p>
    <w:p w14:paraId="2A059B85" w14:textId="77777777" w:rsidR="00DB2B68" w:rsidRDefault="0000000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342BFD02" w14:textId="77777777" w:rsidR="00DB2B68" w:rsidRDefault="00000000">
      <w:pPr>
        <w:jc w:val="both"/>
      </w:pPr>
      <w:r>
        <w:t>Les fixations, pointes ou vis, des panneaux sont effectuées sur</w:t>
      </w:r>
      <w:r>
        <w:rPr>
          <w:rStyle w:val="optioncarChar"/>
        </w:rPr>
        <w:t xml:space="preserve"> 2/3 </w:t>
      </w:r>
      <w:r>
        <w:t>(par défaut)</w:t>
      </w:r>
      <w:r>
        <w:rPr>
          <w:rStyle w:val="optioncarChar"/>
        </w:rPr>
        <w:t xml:space="preserve"> / ***</w:t>
      </w:r>
      <w:r>
        <w:t xml:space="preserve"> de l’épaisseur du panneau.</w:t>
      </w:r>
    </w:p>
    <w:p w14:paraId="1695F857" w14:textId="77777777" w:rsidR="00DB2B68" w:rsidRDefault="00000000">
      <w:pPr>
        <w:jc w:val="both"/>
      </w:pPr>
      <w:r>
        <w:t xml:space="preserve">Les dispositifs d’ancrage sont décrits dans les éléments du </w:t>
      </w:r>
      <w:hyperlink w:anchor="585" w:history="1">
        <w:r>
          <w:rPr>
            <w:color w:val="0000EE"/>
          </w:rPr>
          <w:t>24.4 Assemblages</w:t>
        </w:r>
      </w:hyperlink>
      <w:r>
        <w:t>.</w:t>
      </w:r>
    </w:p>
    <w:p w14:paraId="1264E771" w14:textId="77777777" w:rsidR="00DB2B68" w:rsidRDefault="00000000">
      <w:pPr>
        <w:pStyle w:val="pheading"/>
      </w:pPr>
      <w:r>
        <w:t>DOCUMENTS DE RÉFÉRENCE COMPLÉMENTAIRES</w:t>
      </w:r>
    </w:p>
    <w:p w14:paraId="440F989E" w14:textId="77777777" w:rsidR="00DB2B68" w:rsidRDefault="00000000">
      <w:pPr>
        <w:pStyle w:val="pheading"/>
      </w:pPr>
      <w:r>
        <w:t>- Matériau</w:t>
      </w:r>
    </w:p>
    <w:p w14:paraId="255EB294" w14:textId="77777777" w:rsidR="00DB2B68" w:rsidRDefault="00000000">
      <w:r>
        <w:t>[NBN EN 301, Adhésifs de nature phénolique et aminoplaste, pour structures portantes en bois - Classification et exigences de performance]</w:t>
      </w:r>
    </w:p>
    <w:p w14:paraId="3CF58EB0" w14:textId="77777777" w:rsidR="00DB2B68" w:rsidRDefault="00000000">
      <w:r>
        <w:t>[NBN EN 302-2, Adhésifs pour structures portantes en bois - Méthodes d'essais - Partie 2 : Détermination de la résistance à la délamination]</w:t>
      </w:r>
    </w:p>
    <w:p w14:paraId="336FD53F" w14:textId="77777777" w:rsidR="00DB2B68" w:rsidRDefault="00000000">
      <w:r>
        <w:t>[NBN EN 408+A1, Structures en bois - Bois de structure et bois lamellé-collé - Détermination de certaines propriétés physiques et mécaniques]</w:t>
      </w:r>
    </w:p>
    <w:p w14:paraId="6454AD86" w14:textId="77777777" w:rsidR="00DB2B68" w:rsidRDefault="00000000">
      <w:r>
        <w:t>[NBN EN 1991 série, Eurocode 1 : Actions sur les structures]</w:t>
      </w:r>
    </w:p>
    <w:p w14:paraId="1F91CD24" w14:textId="77777777" w:rsidR="00DB2B68" w:rsidRDefault="00000000">
      <w:r>
        <w:t>[NBN EN 1995 série, Eurocode 5: Conception et calcul des structures en bois]</w:t>
      </w:r>
    </w:p>
    <w:p w14:paraId="3777A14A"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03736B1A" w14:textId="77777777" w:rsidR="00DB2B68" w:rsidRDefault="00000000">
      <w:r>
        <w:t>[NBN EN 13556, Bois ronds et bois sciés - Nomenclature des bois utilisés en Europe]</w:t>
      </w:r>
    </w:p>
    <w:p w14:paraId="7DE08867" w14:textId="77777777" w:rsidR="00DB2B68" w:rsidRDefault="00000000">
      <w:r>
        <w:t>[NBN EN 14358, Structures en bois - Détermination et vérification des valeurs caractéristiques]</w:t>
      </w:r>
    </w:p>
    <w:p w14:paraId="29DDCDF5" w14:textId="77777777" w:rsidR="00DB2B68" w:rsidRDefault="00000000">
      <w:r>
        <w:t>[NBN EN 15425, Adhésifs - Adhésifs polyuréthane monocomposants (PUR) pour structures portantes en bois - Classification et exigences de performance]</w:t>
      </w:r>
    </w:p>
    <w:p w14:paraId="3D32F144" w14:textId="77777777" w:rsidR="00DB2B68" w:rsidRDefault="00000000">
      <w:r>
        <w:t>[NBN EN 16351, Structures en bois - Bois lamellé croisé - Exigences] </w:t>
      </w:r>
    </w:p>
    <w:p w14:paraId="665E9F8F" w14:textId="77777777" w:rsidR="00DB2B68" w:rsidRDefault="00000000">
      <w:pPr>
        <w:pStyle w:val="pheading"/>
      </w:pPr>
      <w:r>
        <w:t>MESURAGE</w:t>
      </w:r>
    </w:p>
    <w:p w14:paraId="571C1354" w14:textId="77777777" w:rsidR="00DB2B68" w:rsidRDefault="00000000">
      <w:pPr>
        <w:pStyle w:val="pheading"/>
      </w:pPr>
      <w:r>
        <w:t>- unité de mesure:</w:t>
      </w:r>
    </w:p>
    <w:p w14:paraId="6B1E6A4F" w14:textId="77777777" w:rsidR="00DB2B68" w:rsidRDefault="00000000">
      <w:r>
        <w:rPr>
          <w:rStyle w:val="optioncarChar"/>
        </w:rPr>
        <w:t>m² </w:t>
      </w:r>
      <w:r>
        <w:t>(par défaut)</w:t>
      </w:r>
      <w:r>
        <w:rPr>
          <w:rStyle w:val="optioncarChar"/>
        </w:rPr>
        <w:t xml:space="preserve"> / m³ </w:t>
      </w:r>
    </w:p>
    <w:p w14:paraId="08E14F04" w14:textId="77777777" w:rsidR="00DB2B68" w:rsidRDefault="00000000">
      <w:r>
        <w:rPr>
          <w:b/>
          <w:i/>
        </w:rPr>
        <w:t>(Soit par défaut)</w:t>
      </w:r>
    </w:p>
    <w:p w14:paraId="46A0F8BC" w14:textId="77777777" w:rsidR="00DB2B68" w:rsidRDefault="00000000">
      <w:r>
        <w:rPr>
          <w:rStyle w:val="soitChar"/>
        </w:rPr>
        <w:t>1.     m²</w:t>
      </w:r>
    </w:p>
    <w:p w14:paraId="28732B8D" w14:textId="77777777" w:rsidR="00DB2B68" w:rsidRDefault="00000000">
      <w:r>
        <w:rPr>
          <w:b/>
          <w:i/>
        </w:rPr>
        <w:t>(Soit)</w:t>
      </w:r>
    </w:p>
    <w:p w14:paraId="655A7F3C" w14:textId="77777777" w:rsidR="00DB2B68" w:rsidRDefault="00000000">
      <w:r>
        <w:rPr>
          <w:rStyle w:val="soitChar"/>
        </w:rPr>
        <w:t>2.     m³</w:t>
      </w:r>
    </w:p>
    <w:p w14:paraId="5BD017C8" w14:textId="77777777" w:rsidR="00DB2B68" w:rsidRDefault="00000000">
      <w:pPr>
        <w:pStyle w:val="pheading"/>
      </w:pPr>
      <w:r>
        <w:t>- code de mesurage:</w:t>
      </w:r>
    </w:p>
    <w:p w14:paraId="592D3E94" w14:textId="77777777" w:rsidR="00DB2B68" w:rsidRDefault="00000000">
      <w:pPr>
        <w:jc w:val="both"/>
      </w:pPr>
      <w:r>
        <w:rPr>
          <w:rStyle w:val="optioncarChar"/>
        </w:rPr>
        <w:t xml:space="preserve">Surface nette </w:t>
      </w:r>
      <w:r>
        <w:t xml:space="preserve">(par défaut) </w:t>
      </w:r>
      <w:r>
        <w:rPr>
          <w:rStyle w:val="optioncarChar"/>
        </w:rPr>
        <w:t>/ Volume net</w:t>
      </w:r>
    </w:p>
    <w:p w14:paraId="37C69553" w14:textId="77777777" w:rsidR="00DB2B68" w:rsidRDefault="00000000">
      <w:pPr>
        <w:jc w:val="both"/>
      </w:pPr>
      <w:r>
        <w:rPr>
          <w:b/>
          <w:i/>
        </w:rPr>
        <w:t>(Soit par défaut)</w:t>
      </w:r>
    </w:p>
    <w:p w14:paraId="585B57A9" w14:textId="77777777" w:rsidR="00DB2B68"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433EC550" w14:textId="77777777" w:rsidR="00DB2B68" w:rsidRDefault="00000000">
      <w:pPr>
        <w:jc w:val="both"/>
      </w:pPr>
      <w:r>
        <w:rPr>
          <w:b/>
          <w:i/>
        </w:rPr>
        <w:t>(Soit)</w:t>
      </w:r>
    </w:p>
    <w:p w14:paraId="5A245C83" w14:textId="77777777" w:rsidR="00DB2B68" w:rsidRDefault="00000000">
      <w:pPr>
        <w:jc w:val="both"/>
      </w:pPr>
      <w:r>
        <w:rPr>
          <w:rStyle w:val="soitChar"/>
        </w:rPr>
        <w:lastRenderedPageBreak/>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3FFDEE3F" w14:textId="77777777" w:rsidR="00DB2B68" w:rsidRDefault="00000000">
      <w:pPr>
        <w:pStyle w:val="pheading"/>
      </w:pPr>
      <w:r>
        <w:t>- nature du marché:</w:t>
      </w:r>
    </w:p>
    <w:p w14:paraId="0BA9CCDE" w14:textId="77777777" w:rsidR="00DB2B68" w:rsidRDefault="00000000">
      <w:r>
        <w:t>QF</w:t>
      </w:r>
    </w:p>
    <w:p w14:paraId="0C251C4B" w14:textId="77777777" w:rsidR="00DB2B68" w:rsidRDefault="00000000">
      <w:pPr>
        <w:pStyle w:val="Author-eSectionHeading6Numberless"/>
      </w:pPr>
      <w:bookmarkStart w:id="1629" w:name="_Toc220496618"/>
      <w:r>
        <w:t>24.15.1b Voiles massifs en CLT cloués CCTB 01.12</w:t>
      </w:r>
      <w:bookmarkEnd w:id="1629"/>
    </w:p>
    <w:p w14:paraId="06BB3334" w14:textId="77777777" w:rsidR="00DB2B68" w:rsidRDefault="00000000">
      <w:pPr>
        <w:pStyle w:val="pheading"/>
      </w:pPr>
      <w:r>
        <w:t>DESCRIPTION</w:t>
      </w:r>
    </w:p>
    <w:p w14:paraId="56A81014" w14:textId="77777777" w:rsidR="00DB2B68" w:rsidRDefault="00000000">
      <w:pPr>
        <w:pStyle w:val="pheading"/>
      </w:pPr>
      <w:r>
        <w:t>- Définition / Comprend</w:t>
      </w:r>
    </w:p>
    <w:p w14:paraId="087DC655" w14:textId="77777777" w:rsidR="00DB2B68" w:rsidRDefault="00000000">
      <w:pPr>
        <w:jc w:val="both"/>
      </w:pPr>
      <w:r>
        <w:t>Il s’agit de la fourniture et la pose de tous les éléments constitués de panneaux lamellés croisés cloués en bois ou à base de bois constituant les systèmes de construction CLT portants et non portants y compris toutes les pièces qui en font intrinsèquement partie (notamment les dispositifs d’assemblage).</w:t>
      </w:r>
    </w:p>
    <w:p w14:paraId="5C2E500B" w14:textId="77777777" w:rsidR="00DB2B68" w:rsidRDefault="00000000">
      <w:pPr>
        <w:pStyle w:val="pheading"/>
      </w:pPr>
      <w:r>
        <w:t>- Localisation</w:t>
      </w:r>
    </w:p>
    <w:p w14:paraId="77C1936E" w14:textId="77777777" w:rsidR="00DB2B68" w:rsidRDefault="00000000">
      <w:r>
        <w:t>Localisation des travaux :</w:t>
      </w:r>
      <w:r>
        <w:rPr>
          <w:rStyle w:val="optioncarChar"/>
        </w:rPr>
        <w:t xml:space="preserve"> ***</w:t>
      </w:r>
      <w:r>
        <w:t>.</w:t>
      </w:r>
    </w:p>
    <w:p w14:paraId="5841D035" w14:textId="77777777" w:rsidR="00DB2B68" w:rsidRDefault="00000000">
      <w:r>
        <w:t>Voir plans et métrés détaillés.</w:t>
      </w:r>
    </w:p>
    <w:p w14:paraId="6FDD54CC" w14:textId="77777777" w:rsidR="00DB2B68" w:rsidRDefault="00000000">
      <w:pPr>
        <w:pStyle w:val="pheading"/>
      </w:pPr>
      <w:r>
        <w:t>MATÉRIAUX</w:t>
      </w:r>
    </w:p>
    <w:p w14:paraId="190B0442" w14:textId="77777777" w:rsidR="00DB2B68" w:rsidRDefault="00000000">
      <w:pPr>
        <w:pStyle w:val="pheading"/>
      </w:pPr>
      <w:r>
        <w:t>- Caractéristiques générales</w:t>
      </w:r>
    </w:p>
    <w:p w14:paraId="56AF0C0D" w14:textId="77777777" w:rsidR="00DB2B68" w:rsidRDefault="00000000">
      <w:pPr>
        <w:jc w:val="both"/>
      </w:pPr>
      <w:r>
        <w:t>Épaisseur totale du panneau CLT cloué : </w:t>
      </w:r>
      <w:r>
        <w:rPr>
          <w:rStyle w:val="optioncarChar"/>
        </w:rPr>
        <w:t>***</w:t>
      </w:r>
      <w:r>
        <w:t> mm.</w:t>
      </w:r>
    </w:p>
    <w:p w14:paraId="146E31C8" w14:textId="77777777" w:rsidR="00DB2B68" w:rsidRDefault="0000000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62787E13" w14:textId="77777777" w:rsidR="00DB2B68" w:rsidRDefault="00000000">
      <w:pPr>
        <w:jc w:val="both"/>
      </w:pPr>
      <w:r>
        <w:t>Classe de résistance :</w:t>
      </w:r>
      <w:r>
        <w:rPr>
          <w:rStyle w:val="optioncarChar"/>
        </w:rPr>
        <w:t> C18 </w:t>
      </w:r>
      <w:r>
        <w:t>(par défaut)</w:t>
      </w:r>
      <w:r>
        <w:rPr>
          <w:rStyle w:val="optioncarChar"/>
        </w:rPr>
        <w:t xml:space="preserve"> / D18 / C24 / D24 / C30 / D30 / ***.</w:t>
      </w:r>
    </w:p>
    <w:p w14:paraId="4389967D" w14:textId="77777777" w:rsidR="00DB2B68" w:rsidRDefault="0000000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14:paraId="105F0F5B" w14:textId="77777777" w:rsidR="00DB2B68" w:rsidRDefault="00000000">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22-22-22 / 22-40-22 / 30-30-30 / 30-40-30 / 40/-40-40 / 22-22-22-22-22 </w:t>
      </w:r>
      <w:r>
        <w:t>(par défaut)</w:t>
      </w:r>
      <w:r>
        <w:rPr>
          <w:rStyle w:val="optioncarChar"/>
        </w:rPr>
        <w:t> /  22-30-22-30 / 40-22-22-22-40 / ***</w:t>
      </w:r>
      <w:r>
        <w:t> mm.</w:t>
      </w:r>
    </w:p>
    <w:p w14:paraId="29DCD6A6" w14:textId="77777777" w:rsidR="00DB2B68" w:rsidRDefault="00000000">
      <w:pPr>
        <w:jc w:val="both"/>
      </w:pPr>
      <w:r>
        <w:t>Les lames </w:t>
      </w:r>
      <w:r>
        <w:rPr>
          <w:rStyle w:val="optioncarChar"/>
        </w:rPr>
        <w:t xml:space="preserve">sont </w:t>
      </w:r>
      <w:r>
        <w:t>(par défaut)</w:t>
      </w:r>
      <w:r>
        <w:rPr>
          <w:rStyle w:val="optioncarChar"/>
        </w:rPr>
        <w:t> / ne sont pas</w:t>
      </w:r>
      <w:r>
        <w:t> munies de fente (rainures) de soulagement.</w:t>
      </w:r>
    </w:p>
    <w:p w14:paraId="182367D0" w14:textId="77777777" w:rsidR="00DB2B68" w:rsidRDefault="00000000">
      <w:pPr>
        <w:jc w:val="both"/>
      </w:pPr>
      <w:r>
        <w:t>La réaction au feu est de classe </w:t>
      </w:r>
      <w:r>
        <w:rPr>
          <w:rStyle w:val="optioncarChar"/>
        </w:rPr>
        <w:t>D-s2, d0</w:t>
      </w:r>
      <w:r>
        <w:t> (par défaut)</w:t>
      </w:r>
      <w:r>
        <w:rPr>
          <w:rStyle w:val="optioncarChar"/>
        </w:rPr>
        <w:t> / ***.</w:t>
      </w:r>
    </w:p>
    <w:p w14:paraId="2152514F" w14:textId="77777777" w:rsidR="00DB2B68" w:rsidRDefault="00000000">
      <w:pPr>
        <w:jc w:val="both"/>
      </w:pPr>
      <w:r>
        <w:t>La résistance au feu déclarée de la paroi : </w:t>
      </w:r>
      <w:r>
        <w:rPr>
          <w:rStyle w:val="optioncarChar"/>
        </w:rPr>
        <w:t>pas d’exigences </w:t>
      </w:r>
      <w:r>
        <w:t>(par défaut) </w:t>
      </w:r>
      <w:r>
        <w:rPr>
          <w:rStyle w:val="optioncarChar"/>
        </w:rPr>
        <w:t>/ REI 30 / EI30 / REI 60 / EI 60 / ***.</w:t>
      </w:r>
    </w:p>
    <w:p w14:paraId="6E0606C2" w14:textId="77777777" w:rsidR="00DB2B68" w:rsidRDefault="00000000">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783E301E" w14:textId="77777777" w:rsidR="00DB2B68"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04C8E19E" w14:textId="77777777" w:rsidR="00DB2B68" w:rsidRDefault="00000000">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29842179" w14:textId="77777777" w:rsidR="00DB2B68" w:rsidRDefault="00000000">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14:paraId="4D04E5D7" w14:textId="77777777" w:rsidR="00DB2B68" w:rsidRDefault="00000000">
      <w:pPr>
        <w:jc w:val="both"/>
      </w:pPr>
      <w:r>
        <w:t xml:space="preserve">L’assemblage des plis est réalisé par </w:t>
      </w:r>
      <w:r>
        <w:rPr>
          <w:rStyle w:val="optioncarChar"/>
        </w:rPr>
        <w:t>clous en aluminium</w:t>
      </w:r>
      <w:r>
        <w:t xml:space="preserve"> (par défaut) </w:t>
      </w:r>
      <w:r>
        <w:rPr>
          <w:rStyle w:val="optioncarChar"/>
        </w:rPr>
        <w:t>/ acier / ***</w:t>
      </w:r>
      <w:r>
        <w:t xml:space="preserve">. Le nombre de fixations est de min </w:t>
      </w:r>
      <w:r>
        <w:rPr>
          <w:rStyle w:val="optioncarChar"/>
        </w:rPr>
        <w:t xml:space="preserve">60 </w:t>
      </w:r>
      <w:r>
        <w:t>(par défaut)</w:t>
      </w:r>
      <w:r>
        <w:rPr>
          <w:rStyle w:val="optioncarChar"/>
        </w:rPr>
        <w:t xml:space="preserve"> / ***</w:t>
      </w:r>
      <w:r>
        <w:t xml:space="preserve"> clous par m² par pli.</w:t>
      </w:r>
    </w:p>
    <w:p w14:paraId="4FF23C80" w14:textId="77777777" w:rsidR="00DB2B68" w:rsidRDefault="00000000">
      <w:pPr>
        <w:jc w:val="both"/>
      </w:pPr>
      <w:r>
        <w:lastRenderedPageBreak/>
        <w:t>En l’absence de méthode de calcul de stabilité harmonisée sur ce produit, les performances mécaniques sont déterminées par essais pour répondre aux exigences déterminées dans l’étude de stabilité.</w:t>
      </w:r>
    </w:p>
    <w:p w14:paraId="1B07DAB6" w14:textId="77777777" w:rsidR="00DB2B68" w:rsidRDefault="00000000">
      <w:pPr>
        <w:jc w:val="both"/>
      </w:pPr>
      <w:r>
        <w:t>Pour une application de plancher, le rapport comprend les essais de flexion selon les deux directions du plan du panneau, de cisaillement ainsi que les modules de glissement.</w:t>
      </w:r>
    </w:p>
    <w:p w14:paraId="175E344A" w14:textId="77777777" w:rsidR="00DB2B68"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1408A8E4" w14:textId="77777777" w:rsidR="00DB2B68" w:rsidRDefault="00000000">
      <w:pPr>
        <w:jc w:val="both"/>
      </w:pPr>
      <w:r>
        <w:t>Un jeu de </w:t>
      </w:r>
      <w:r>
        <w:rPr>
          <w:rStyle w:val="optioncarChar"/>
        </w:rPr>
        <w:t>0 </w:t>
      </w:r>
      <w:r>
        <w:t>(par défaut) </w:t>
      </w:r>
      <w:r>
        <w:rPr>
          <w:rStyle w:val="optioncarChar"/>
        </w:rPr>
        <w:t>/ 2 / 5 / *** mm</w:t>
      </w:r>
      <w:r>
        <w:t> est réservé entre les lamelles.</w:t>
      </w:r>
    </w:p>
    <w:p w14:paraId="2B43FA89" w14:textId="77777777" w:rsidR="00DB2B68"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69EF2D16" w14:textId="77777777" w:rsidR="00DB2B68" w:rsidRDefault="00000000">
      <w:pPr>
        <w:pStyle w:val="pheading"/>
      </w:pPr>
      <w:r>
        <w:t>- Finitions</w:t>
      </w:r>
    </w:p>
    <w:p w14:paraId="17A1A499" w14:textId="77777777" w:rsidR="00DB2B68" w:rsidRDefault="00000000">
      <w:pPr>
        <w:jc w:val="both"/>
      </w:pPr>
      <w:r>
        <w:t>Exigences d’aspect : </w:t>
      </w:r>
      <w:r>
        <w:rPr>
          <w:rStyle w:val="optioncarChar"/>
        </w:rPr>
        <w:t>non-visible / visible industriel</w:t>
      </w:r>
      <w:r>
        <w:t xml:space="preserve"> (par défaut) </w:t>
      </w:r>
      <w:r>
        <w:rPr>
          <w:rStyle w:val="optioncarChar"/>
        </w:rPr>
        <w:t>/ visible habitat sur 1 face.</w:t>
      </w:r>
    </w:p>
    <w:p w14:paraId="2F3441DF" w14:textId="77777777" w:rsidR="00DB2B68" w:rsidRDefault="00000000">
      <w:pPr>
        <w:jc w:val="both"/>
      </w:pPr>
      <w:r>
        <w:t>Les panneaux </w:t>
      </w:r>
      <w:r>
        <w:rPr>
          <w:rStyle w:val="optioncarChar"/>
        </w:rPr>
        <w:t>sont / ne sont pas</w:t>
      </w:r>
      <w:r>
        <w:t> (par défaut) munis de gaines (rainures) techniques et blochets intégrés non traversantes.</w:t>
      </w:r>
    </w:p>
    <w:p w14:paraId="02CFDC03" w14:textId="77777777" w:rsidR="00DB2B68" w:rsidRDefault="00000000">
      <w:pPr>
        <w:pStyle w:val="pheading"/>
      </w:pPr>
      <w:r>
        <w:t>- Prescriptions complémentaires</w:t>
      </w:r>
    </w:p>
    <w:p w14:paraId="7B3803F4" w14:textId="77777777" w:rsidR="00DB2B68" w:rsidRDefault="00000000">
      <w:r>
        <w:rPr>
          <w:rStyle w:val="facultChar"/>
        </w:rPr>
        <w:t>Capacité thermique :</w:t>
      </w:r>
      <w:r>
        <w:t>   </w:t>
      </w:r>
      <w:r>
        <w:rPr>
          <w:rStyle w:val="optioncarChar"/>
        </w:rPr>
        <w:t>&gt; 2</w:t>
      </w:r>
      <w:r>
        <w:t xml:space="preserve"> (par défaut)</w:t>
      </w:r>
      <w:r>
        <w:rPr>
          <w:rStyle w:val="optioncarChar"/>
        </w:rPr>
        <w:t xml:space="preserve"> / ***</w:t>
      </w:r>
      <w:r>
        <w:t>  </w:t>
      </w:r>
      <w:r>
        <w:rPr>
          <w:rStyle w:val="facultChar"/>
        </w:rPr>
        <w:t>kJ/kg.K</w:t>
      </w:r>
    </w:p>
    <w:p w14:paraId="2EFC8F92" w14:textId="77777777" w:rsidR="00DB2B68" w:rsidRDefault="00000000">
      <w:pPr>
        <w:pStyle w:val="pheading"/>
      </w:pPr>
      <w:r>
        <w:t>EXÉCUTION / MISE EN ŒUVRE</w:t>
      </w:r>
    </w:p>
    <w:p w14:paraId="2A1C9C0C" w14:textId="77777777" w:rsidR="00DB2B68" w:rsidRDefault="00000000">
      <w:pPr>
        <w:pStyle w:val="pheading"/>
      </w:pPr>
      <w:r>
        <w:t>- Prescriptions générales</w:t>
      </w:r>
    </w:p>
    <w:p w14:paraId="269B4131" w14:textId="77777777" w:rsidR="00DB2B68"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2D20BD8F" w14:textId="77777777" w:rsidR="00DB2B68"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5C14D8BC" w14:textId="77777777" w:rsidR="00DB2B68" w:rsidRDefault="00000000">
      <w:pPr>
        <w:jc w:val="both"/>
      </w:pPr>
      <w:r>
        <w:t> </w:t>
      </w:r>
    </w:p>
    <w:p w14:paraId="26CB9092" w14:textId="77777777" w:rsidR="00DB2B68" w:rsidRDefault="00000000">
      <w:pPr>
        <w:jc w:val="both"/>
      </w:pPr>
      <w:r>
        <w:rPr>
          <w:b/>
          <w:i/>
        </w:rPr>
        <w:t>Fixation en pied de mur</w:t>
      </w:r>
    </w:p>
    <w:p w14:paraId="6A75F692" w14:textId="77777777" w:rsidR="00DB2B68" w:rsidRDefault="00000000">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4A812E75" w14:textId="77777777" w:rsidR="00DB2B68" w:rsidRDefault="00000000">
      <w:pPr>
        <w:ind w:left="567"/>
        <w:jc w:val="both"/>
      </w:pPr>
      <w:r>
        <w:rPr>
          <w:b/>
          <w:i/>
        </w:rPr>
        <w:t>(Soit par défaut)</w:t>
      </w:r>
    </w:p>
    <w:p w14:paraId="58E01C2A" w14:textId="77777777" w:rsidR="00DB2B68" w:rsidRDefault="00000000">
      <w:pPr>
        <w:ind w:left="567"/>
        <w:jc w:val="both"/>
      </w:pPr>
      <w:r>
        <w:rPr>
          <w:rStyle w:val="soitChar"/>
          <w:u w:val="single"/>
        </w:rPr>
        <w:t>La lisse basse</w:t>
      </w:r>
      <w:r>
        <w:rPr>
          <w:rStyle w:val="soitChar"/>
        </w:rPr>
        <w:t xml:space="preserve"> est fixée par </w:t>
      </w:r>
      <w:r>
        <w:rPr>
          <w:rStyle w:val="optioncarChar"/>
        </w:rPr>
        <w:t>chevilles métalliques</w:t>
      </w:r>
      <w:r>
        <w:t>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592" w:history="1">
        <w:r>
          <w:rPr>
            <w:rStyle w:val="soitChar"/>
            <w:color w:val="0000EE"/>
          </w:rPr>
          <w:t>24.11.1a Lisses de pose en bois massif</w:t>
        </w:r>
      </w:hyperlink>
      <w:r>
        <w:rPr>
          <w:rStyle w:val="soitChar"/>
        </w:rPr>
        <w:t>.</w:t>
      </w:r>
    </w:p>
    <w:p w14:paraId="28A5530C" w14:textId="77777777" w:rsidR="00DB2B68" w:rsidRDefault="00000000">
      <w:pPr>
        <w:ind w:left="567"/>
        <w:jc w:val="both"/>
      </w:pPr>
      <w:r>
        <w:rPr>
          <w:b/>
          <w:i/>
        </w:rPr>
        <w:t>(Soit)</w:t>
      </w:r>
    </w:p>
    <w:p w14:paraId="696FBA64" w14:textId="77777777" w:rsidR="00DB2B68" w:rsidRDefault="00000000">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50</w:t>
      </w:r>
      <w:r>
        <w:t> (par défaut)</w:t>
      </w:r>
      <w:r>
        <w:rPr>
          <w:rStyle w:val="optioncarChar"/>
        </w:rPr>
        <w:t> / ***</w:t>
      </w:r>
      <w:r>
        <w:rPr>
          <w:rStyle w:val="soitChar"/>
        </w:rPr>
        <w:t> mm du bord du panneau.</w:t>
      </w:r>
      <w:r>
        <w:t> </w:t>
      </w:r>
    </w:p>
    <w:p w14:paraId="7E4E6FA8" w14:textId="77777777" w:rsidR="00DB2B68" w:rsidRDefault="00000000">
      <w:pPr>
        <w:ind w:left="567"/>
        <w:jc w:val="both"/>
      </w:pPr>
      <w:r>
        <w:rPr>
          <w:b/>
          <w:i/>
        </w:rPr>
        <w:t>(Soit)</w:t>
      </w:r>
    </w:p>
    <w:p w14:paraId="221E7E5D" w14:textId="77777777" w:rsidR="00DB2B68" w:rsidRDefault="00000000">
      <w:pPr>
        <w:ind w:left="567"/>
        <w:jc w:val="both"/>
      </w:pPr>
      <w:r>
        <w:rPr>
          <w:rStyle w:val="optioncarChar"/>
        </w:rPr>
        <w:t>***</w:t>
      </w:r>
    </w:p>
    <w:p w14:paraId="06E272DB" w14:textId="77777777" w:rsidR="00DB2B68" w:rsidRDefault="00DB2B68">
      <w:pPr>
        <w:ind w:left="567"/>
        <w:jc w:val="both"/>
      </w:pPr>
    </w:p>
    <w:p w14:paraId="385CF075" w14:textId="77777777" w:rsidR="00DB2B68" w:rsidRDefault="00000000">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60819B7C" w14:textId="77777777" w:rsidR="00DB2B68" w:rsidRDefault="00000000">
      <w:pPr>
        <w:jc w:val="both"/>
      </w:pPr>
      <w:r>
        <w:rPr>
          <w:b/>
          <w:i/>
        </w:rPr>
        <w:t>Fixation entre panneaux de même plan</w:t>
      </w:r>
    </w:p>
    <w:p w14:paraId="6736BBDC" w14:textId="77777777" w:rsidR="00DB2B68" w:rsidRDefault="00000000">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14:paraId="39D1E2A1" w14:textId="77777777" w:rsidR="00DB2B68" w:rsidRDefault="00000000">
      <w:pPr>
        <w:jc w:val="both"/>
      </w:pPr>
      <w:r>
        <w:rPr>
          <w:b/>
          <w:i/>
        </w:rPr>
        <w:lastRenderedPageBreak/>
        <w:t>Assemblage d’angles</w:t>
      </w:r>
    </w:p>
    <w:p w14:paraId="43F0100E" w14:textId="77777777" w:rsidR="00DB2B68" w:rsidRDefault="00000000">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14:paraId="6BA4D38F" w14:textId="77777777" w:rsidR="00DB2B68" w:rsidRDefault="00000000">
      <w:pPr>
        <w:ind w:left="567"/>
        <w:jc w:val="both"/>
      </w:pPr>
      <w:r>
        <w:rPr>
          <w:b/>
          <w:i/>
        </w:rPr>
        <w:t>(Soit par défaut)</w:t>
      </w:r>
    </w:p>
    <w:p w14:paraId="2D54F310" w14:textId="77777777" w:rsidR="00DB2B68" w:rsidRDefault="00000000">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14:paraId="2EFD65AF" w14:textId="77777777" w:rsidR="00DB2B68" w:rsidRDefault="00000000">
      <w:pPr>
        <w:ind w:left="567"/>
        <w:jc w:val="both"/>
      </w:pPr>
      <w:r>
        <w:rPr>
          <w:b/>
          <w:i/>
        </w:rPr>
        <w:t>(Soit)</w:t>
      </w:r>
    </w:p>
    <w:p w14:paraId="4A32BF3E" w14:textId="77777777" w:rsidR="00DB2B68" w:rsidRDefault="00000000">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50 </w:t>
      </w:r>
      <w:r>
        <w:t>(par défaut) </w:t>
      </w:r>
      <w:r>
        <w:rPr>
          <w:rStyle w:val="optioncarChar"/>
        </w:rPr>
        <w:t>/ ***</w:t>
      </w:r>
      <w:r>
        <w:rPr>
          <w:rStyle w:val="soitChar"/>
        </w:rPr>
        <w:t> mm du bord du panneau. </w:t>
      </w:r>
    </w:p>
    <w:p w14:paraId="17DF911B" w14:textId="77777777" w:rsidR="00DB2B68" w:rsidRDefault="00000000">
      <w:pPr>
        <w:ind w:left="567"/>
        <w:jc w:val="both"/>
      </w:pPr>
      <w:r>
        <w:rPr>
          <w:b/>
          <w:i/>
        </w:rPr>
        <w:t>(Soit)</w:t>
      </w:r>
    </w:p>
    <w:p w14:paraId="76CE7BA4" w14:textId="77777777" w:rsidR="00DB2B68" w:rsidRDefault="00000000">
      <w:pPr>
        <w:ind w:left="567"/>
        <w:jc w:val="both"/>
      </w:pPr>
      <w:r>
        <w:rPr>
          <w:rStyle w:val="optioncarChar"/>
        </w:rPr>
        <w:t>***</w:t>
      </w:r>
    </w:p>
    <w:p w14:paraId="6A6A43AD" w14:textId="77777777" w:rsidR="00DB2B68" w:rsidRDefault="00000000">
      <w:pPr>
        <w:jc w:val="both"/>
      </w:pPr>
      <w:r>
        <w:t> </w:t>
      </w:r>
    </w:p>
    <w:p w14:paraId="09B342DB" w14:textId="77777777" w:rsidR="00DB2B68" w:rsidRDefault="00000000">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14:paraId="3D187A77" w14:textId="77777777" w:rsidR="00DB2B68" w:rsidRDefault="00000000">
      <w:pPr>
        <w:jc w:val="both"/>
      </w:pPr>
      <w:r>
        <w:t>Les fixations, pointes ou vis, des panneaux sont effectuées sur</w:t>
      </w:r>
      <w:r>
        <w:rPr>
          <w:rStyle w:val="optioncarChar"/>
        </w:rPr>
        <w:t> 2/3 </w:t>
      </w:r>
      <w:r>
        <w:t>(par défaut)</w:t>
      </w:r>
      <w:r>
        <w:rPr>
          <w:rStyle w:val="optioncarChar"/>
        </w:rPr>
        <w:t> / ***</w:t>
      </w:r>
      <w:r>
        <w:t> de l’épaisseur du panneau.</w:t>
      </w:r>
    </w:p>
    <w:p w14:paraId="6F1EF5D4" w14:textId="77777777" w:rsidR="00DB2B68" w:rsidRDefault="00000000">
      <w:pPr>
        <w:jc w:val="both"/>
      </w:pPr>
      <w:r>
        <w:t>Les dispositifs d’ancrage sont décrits dans les éléments du </w:t>
      </w:r>
      <w:hyperlink w:anchor="585" w:history="1">
        <w:r>
          <w:rPr>
            <w:color w:val="0000EE"/>
          </w:rPr>
          <w:t>24.4 Assemblages</w:t>
        </w:r>
      </w:hyperlink>
      <w:r>
        <w:t>.</w:t>
      </w:r>
    </w:p>
    <w:p w14:paraId="11C9B49D" w14:textId="77777777" w:rsidR="00DB2B68" w:rsidRDefault="00000000">
      <w:pPr>
        <w:pStyle w:val="pheading"/>
      </w:pPr>
      <w:r>
        <w:t>DOCUMENTS DE RÉFÉRENCE COMPLÉMENTAIRES</w:t>
      </w:r>
    </w:p>
    <w:p w14:paraId="0222A269" w14:textId="77777777" w:rsidR="00DB2B68" w:rsidRDefault="00000000">
      <w:pPr>
        <w:pStyle w:val="pheading"/>
      </w:pPr>
      <w:r>
        <w:t>- Matériau</w:t>
      </w:r>
    </w:p>
    <w:p w14:paraId="05BD528A" w14:textId="77777777" w:rsidR="00DB2B68" w:rsidRDefault="00000000">
      <w:r>
        <w:t>[NBN EN 408+A1, Structures en bois - Bois de structure et bois lamellé-collé - Détermination de certaines propriétés physiques et mécaniques] </w:t>
      </w:r>
    </w:p>
    <w:p w14:paraId="4B143B0C" w14:textId="77777777" w:rsidR="00DB2B68" w:rsidRDefault="00000000">
      <w:r>
        <w:t>[NBN EN 594, Structures en bois - Méthodes d'essai - Essai de raideur et résistance au contreventement des murs à ossature en bois]</w:t>
      </w:r>
    </w:p>
    <w:p w14:paraId="622A0DB2" w14:textId="77777777" w:rsidR="00DB2B68" w:rsidRDefault="00000000">
      <w:r>
        <w:t>[NBN EN 1991 série, Eurocode 1 : Actions sur les structures]</w:t>
      </w:r>
    </w:p>
    <w:p w14:paraId="025C4820" w14:textId="77777777" w:rsidR="00DB2B68" w:rsidRDefault="00000000">
      <w:r>
        <w:t>[NBN EN 1995 série, Eurocode 5: Conception et calcul des structures en bois]</w:t>
      </w:r>
    </w:p>
    <w:p w14:paraId="29479AAA"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3B053797" w14:textId="77777777" w:rsidR="00DB2B68" w:rsidRDefault="00000000">
      <w:r>
        <w:t>[NBN EN 13556, Bois ronds et bois sciés - Nomenclature des bois utilisés en Europe]</w:t>
      </w:r>
    </w:p>
    <w:p w14:paraId="52325F71" w14:textId="77777777" w:rsidR="00DB2B68" w:rsidRDefault="00000000">
      <w:r>
        <w:t>[NBN EN 14358, Structures en bois - Détermination et vérification des valeurs caractéristiques]</w:t>
      </w:r>
    </w:p>
    <w:p w14:paraId="718445BE" w14:textId="77777777" w:rsidR="00DB2B68" w:rsidRDefault="00000000">
      <w:r>
        <w:t>[NBN EN 16351, Structures en bois - Bois lamellé croisé - Exigences]</w:t>
      </w:r>
    </w:p>
    <w:p w14:paraId="7A74861A" w14:textId="77777777" w:rsidR="00DB2B68" w:rsidRDefault="00000000">
      <w:pPr>
        <w:pStyle w:val="pheading"/>
      </w:pPr>
      <w:r>
        <w:t>MESURAGE</w:t>
      </w:r>
    </w:p>
    <w:p w14:paraId="63498BDA" w14:textId="77777777" w:rsidR="00DB2B68" w:rsidRDefault="00000000">
      <w:pPr>
        <w:pStyle w:val="pheading"/>
      </w:pPr>
      <w:r>
        <w:t>- unité de mesure:</w:t>
      </w:r>
    </w:p>
    <w:p w14:paraId="17872681" w14:textId="77777777" w:rsidR="00DB2B68" w:rsidRDefault="00000000">
      <w:r>
        <w:rPr>
          <w:rStyle w:val="optioncarChar"/>
        </w:rPr>
        <w:t>m² </w:t>
      </w:r>
      <w:r>
        <w:t>(par défaut)</w:t>
      </w:r>
      <w:r>
        <w:rPr>
          <w:rStyle w:val="optioncarChar"/>
        </w:rPr>
        <w:t xml:space="preserve"> / m³ </w:t>
      </w:r>
    </w:p>
    <w:p w14:paraId="36DCE374" w14:textId="77777777" w:rsidR="00DB2B68" w:rsidRDefault="00000000">
      <w:r>
        <w:rPr>
          <w:b/>
          <w:i/>
        </w:rPr>
        <w:t>(Soit par défaut)</w:t>
      </w:r>
    </w:p>
    <w:p w14:paraId="530EA2A5" w14:textId="77777777" w:rsidR="00DB2B68" w:rsidRDefault="00000000">
      <w:r>
        <w:rPr>
          <w:rStyle w:val="soitChar"/>
        </w:rPr>
        <w:t>1.     m²</w:t>
      </w:r>
    </w:p>
    <w:p w14:paraId="7382750C" w14:textId="77777777" w:rsidR="00DB2B68" w:rsidRDefault="00000000">
      <w:r>
        <w:rPr>
          <w:b/>
          <w:i/>
        </w:rPr>
        <w:t>(Soit)</w:t>
      </w:r>
    </w:p>
    <w:p w14:paraId="6ED136C8" w14:textId="77777777" w:rsidR="00DB2B68" w:rsidRDefault="00000000">
      <w:r>
        <w:rPr>
          <w:rStyle w:val="soitChar"/>
        </w:rPr>
        <w:t>2.     m³</w:t>
      </w:r>
    </w:p>
    <w:p w14:paraId="6B2F865F" w14:textId="77777777" w:rsidR="00DB2B68" w:rsidRDefault="00000000">
      <w:pPr>
        <w:pStyle w:val="pheading"/>
      </w:pPr>
      <w:r>
        <w:t>- code de mesurage:</w:t>
      </w:r>
    </w:p>
    <w:p w14:paraId="1942E41F" w14:textId="77777777" w:rsidR="00DB2B68" w:rsidRDefault="00000000">
      <w:pPr>
        <w:jc w:val="both"/>
      </w:pPr>
      <w:r>
        <w:rPr>
          <w:rStyle w:val="optioncarChar"/>
        </w:rPr>
        <w:t xml:space="preserve">Surface nette </w:t>
      </w:r>
      <w:r>
        <w:t>(par défaut)</w:t>
      </w:r>
      <w:r>
        <w:rPr>
          <w:rStyle w:val="optioncarChar"/>
        </w:rPr>
        <w:t xml:space="preserve"> / Volume net</w:t>
      </w:r>
    </w:p>
    <w:p w14:paraId="36364B9C" w14:textId="77777777" w:rsidR="00DB2B68" w:rsidRDefault="00000000">
      <w:pPr>
        <w:jc w:val="both"/>
      </w:pPr>
      <w:r>
        <w:rPr>
          <w:b/>
          <w:i/>
        </w:rPr>
        <w:lastRenderedPageBreak/>
        <w:t>(Soit par défaut)</w:t>
      </w:r>
    </w:p>
    <w:p w14:paraId="5BFF6B0C" w14:textId="77777777" w:rsidR="00DB2B68" w:rsidRDefault="00000000">
      <w:pPr>
        <w:jc w:val="both"/>
      </w:pPr>
      <w:r>
        <w:rPr>
          <w:rStyle w:val="soitChar"/>
        </w:rPr>
        <w:t xml:space="preserve">1. </w:t>
      </w:r>
      <w:r>
        <w:rPr>
          <w:rStyle w:val="soitChar"/>
          <w:u w:val="single"/>
        </w:rPr>
        <w:t>Surface nette</w:t>
      </w:r>
      <w:r>
        <w:rPr>
          <w:rStyle w:val="soitChar"/>
        </w:rPr>
        <w:t> à mettre en œuvre. Les réservations inférieures à 2 m² ne sont pas déduites. Distinction faite suivant l'épaisseur.</w:t>
      </w:r>
    </w:p>
    <w:p w14:paraId="70BAA138" w14:textId="77777777" w:rsidR="00DB2B68" w:rsidRDefault="00000000">
      <w:pPr>
        <w:jc w:val="both"/>
      </w:pPr>
      <w:r>
        <w:rPr>
          <w:b/>
          <w:i/>
        </w:rPr>
        <w:t>(Soit)</w:t>
      </w:r>
    </w:p>
    <w:p w14:paraId="42C7D6D5" w14:textId="77777777" w:rsidR="00DB2B68" w:rsidRDefault="00000000">
      <w:pPr>
        <w:jc w:val="both"/>
      </w:pPr>
      <w:r>
        <w:rPr>
          <w:rStyle w:val="soitChar"/>
        </w:rPr>
        <w:t xml:space="preserve">2. </w:t>
      </w:r>
      <w:r>
        <w:rPr>
          <w:rStyle w:val="soitChar"/>
          <w:u w:val="single"/>
        </w:rPr>
        <w:t>Volume net</w:t>
      </w:r>
      <w:r>
        <w:rPr>
          <w:rStyle w:val="soitChar"/>
        </w:rPr>
        <w:t> à mettre en œuvre. Les ouvertures supérieures à 2m² multipliées par l'épaisseur à réaliser sont déduites. Distinction faite suivant l'épaisseur.</w:t>
      </w:r>
    </w:p>
    <w:p w14:paraId="07897C07" w14:textId="77777777" w:rsidR="00DB2B68" w:rsidRDefault="00000000">
      <w:pPr>
        <w:pStyle w:val="pheading"/>
      </w:pPr>
      <w:r>
        <w:t>- nature du marché:</w:t>
      </w:r>
    </w:p>
    <w:p w14:paraId="4067D96E" w14:textId="77777777" w:rsidR="00DB2B68" w:rsidRDefault="00000000">
      <w:r>
        <w:t>QF </w:t>
      </w:r>
    </w:p>
    <w:p w14:paraId="6B0D3656" w14:textId="77777777" w:rsidR="00DB2B68" w:rsidRDefault="00000000">
      <w:pPr>
        <w:pStyle w:val="Author-eSectionHeading6Numberless"/>
      </w:pPr>
      <w:bookmarkStart w:id="1630" w:name="_Toc220496619"/>
      <w:r>
        <w:t>24.15.1c Voiles massifs en CLT cloués collés CCTB 01.11</w:t>
      </w:r>
      <w:bookmarkEnd w:id="1630"/>
    </w:p>
    <w:p w14:paraId="74EA783A" w14:textId="77777777" w:rsidR="00DB2B68" w:rsidRDefault="00000000">
      <w:pPr>
        <w:pStyle w:val="pheading"/>
      </w:pPr>
      <w:bookmarkStart w:id="1631" w:name="593"/>
      <w:bookmarkEnd w:id="1631"/>
      <w:r>
        <w:t>DESCRIPTION</w:t>
      </w:r>
    </w:p>
    <w:p w14:paraId="621333FE" w14:textId="77777777" w:rsidR="00DB2B68" w:rsidRDefault="00000000">
      <w:pPr>
        <w:pStyle w:val="pheading"/>
      </w:pPr>
      <w:r>
        <w:t>- Définition / Comprend</w:t>
      </w:r>
    </w:p>
    <w:p w14:paraId="15BE78E8" w14:textId="77777777" w:rsidR="00DB2B68" w:rsidRDefault="00000000">
      <w:pPr>
        <w:jc w:val="both"/>
      </w:pPr>
      <w:r>
        <w:t>Il s’agit de la fourniture et la pose de tous les éléments constitués de panneaux lamellés croisés cloués collés en bois ou à base de bois constituant les systèmes de construction CLT portants et non portants quel que soit le type d’aboutage, y compris toutes les pièces qui en font intrinsèquement partie (notamment les dispositifs d’assemblage).</w:t>
      </w:r>
    </w:p>
    <w:p w14:paraId="473129C2" w14:textId="77777777" w:rsidR="00DB2B68" w:rsidRDefault="00000000">
      <w:pPr>
        <w:pStyle w:val="pheading"/>
      </w:pPr>
      <w:r>
        <w:t>- Localisation</w:t>
      </w:r>
    </w:p>
    <w:p w14:paraId="441BCA46" w14:textId="77777777" w:rsidR="00DB2B68" w:rsidRDefault="00000000">
      <w:r>
        <w:t xml:space="preserve">Localisation des travaux : </w:t>
      </w:r>
      <w:r>
        <w:rPr>
          <w:rStyle w:val="optioncarChar"/>
        </w:rPr>
        <w:t>***</w:t>
      </w:r>
      <w:r>
        <w:t>.</w:t>
      </w:r>
    </w:p>
    <w:p w14:paraId="792BAE40" w14:textId="77777777" w:rsidR="00DB2B68" w:rsidRDefault="00000000">
      <w:r>
        <w:t>Voir plans et métrés détaillés.</w:t>
      </w:r>
    </w:p>
    <w:p w14:paraId="1BC8D0C0" w14:textId="77777777" w:rsidR="00DB2B68" w:rsidRDefault="00000000">
      <w:pPr>
        <w:pStyle w:val="pheading"/>
      </w:pPr>
      <w:r>
        <w:t>MATÉRIAUX</w:t>
      </w:r>
    </w:p>
    <w:p w14:paraId="01FD2733" w14:textId="77777777" w:rsidR="00DB2B68" w:rsidRDefault="00000000">
      <w:pPr>
        <w:pStyle w:val="pheading"/>
      </w:pPr>
      <w:r>
        <w:t>- Caractéristiques générales</w:t>
      </w:r>
    </w:p>
    <w:p w14:paraId="67D59402" w14:textId="77777777" w:rsidR="00DB2B68" w:rsidRDefault="00000000">
      <w:pPr>
        <w:jc w:val="both"/>
      </w:pPr>
      <w:r>
        <w:t>Épaisseur totale du panneau CLT : </w:t>
      </w:r>
      <w:r>
        <w:rPr>
          <w:rStyle w:val="optioncarChar"/>
        </w:rPr>
        <w:t>***</w:t>
      </w:r>
      <w:r>
        <w:t> mm.</w:t>
      </w:r>
    </w:p>
    <w:p w14:paraId="079C11AF" w14:textId="77777777" w:rsidR="00DB2B68" w:rsidRDefault="0000000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095F21D9" w14:textId="77777777" w:rsidR="00DB2B68" w:rsidRDefault="00000000">
      <w:pPr>
        <w:jc w:val="both"/>
      </w:pPr>
      <w:r>
        <w:t>Classe de résistance :</w:t>
      </w:r>
      <w:r>
        <w:rPr>
          <w:rStyle w:val="optioncarChar"/>
        </w:rPr>
        <w:t> C18 </w:t>
      </w:r>
      <w:r>
        <w:t>(par défaut)</w:t>
      </w:r>
      <w:r>
        <w:rPr>
          <w:rStyle w:val="optioncarChar"/>
        </w:rPr>
        <w:t xml:space="preserve"> / D18 / C24 / D24 / C30 / D30 / ***.</w:t>
      </w:r>
    </w:p>
    <w:p w14:paraId="21A228F2" w14:textId="77777777" w:rsidR="00DB2B68" w:rsidRDefault="0000000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14:paraId="65099EB5" w14:textId="77777777" w:rsidR="00DB2B68" w:rsidRDefault="00000000">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20-20-20 / 20-40-20 / 30-30-30 / 30-40-30 / 40/-40-40 / 20-20-20-20-20 </w:t>
      </w:r>
      <w:r>
        <w:t>(par défaut)</w:t>
      </w:r>
      <w:r>
        <w:rPr>
          <w:rStyle w:val="optioncarChar"/>
        </w:rPr>
        <w:t> /  20-30-20-30 / 40-20-20-20-40 / ***</w:t>
      </w:r>
      <w:r>
        <w:t> mm.</w:t>
      </w:r>
    </w:p>
    <w:p w14:paraId="3D1A7AF1" w14:textId="77777777" w:rsidR="00DB2B68" w:rsidRDefault="00000000">
      <w:pPr>
        <w:jc w:val="both"/>
      </w:pPr>
      <w:r>
        <w:t>Les lames </w:t>
      </w:r>
      <w:r>
        <w:rPr>
          <w:rStyle w:val="optioncarChar"/>
        </w:rPr>
        <w:t>ne sont pas </w:t>
      </w:r>
      <w:r>
        <w:t>(par défaut)</w:t>
      </w:r>
      <w:r>
        <w:rPr>
          <w:rStyle w:val="optioncarChar"/>
        </w:rPr>
        <w:t> / sont</w:t>
      </w:r>
      <w:r>
        <w:t> munies de fente (rainures) de soulagement.</w:t>
      </w:r>
    </w:p>
    <w:p w14:paraId="3BEB4CB0" w14:textId="77777777" w:rsidR="00DB2B68" w:rsidRDefault="00000000">
      <w:pPr>
        <w:jc w:val="both"/>
      </w:pPr>
      <w:r>
        <w:t>La réaction au feu est de classe </w:t>
      </w:r>
      <w:r>
        <w:rPr>
          <w:rStyle w:val="optioncarChar"/>
        </w:rPr>
        <w:t>D-s2, d0</w:t>
      </w:r>
      <w:r>
        <w:t> (par défaut)</w:t>
      </w:r>
      <w:r>
        <w:rPr>
          <w:rStyle w:val="optioncarChar"/>
        </w:rPr>
        <w:t> / ***.</w:t>
      </w:r>
    </w:p>
    <w:p w14:paraId="4CE9CD4F" w14:textId="77777777" w:rsidR="00DB2B68" w:rsidRDefault="00000000">
      <w:pPr>
        <w:jc w:val="both"/>
      </w:pPr>
      <w:r>
        <w:t>La résistance au feu déclarée de la paroi : </w:t>
      </w:r>
      <w:r>
        <w:rPr>
          <w:rStyle w:val="optioncarChar"/>
        </w:rPr>
        <w:t>pas d’exigences </w:t>
      </w:r>
      <w:r>
        <w:t>(par défaut) </w:t>
      </w:r>
      <w:r>
        <w:rPr>
          <w:rStyle w:val="optioncarChar"/>
        </w:rPr>
        <w:t>/ REI 30 / EI30 / REI 60 / EI 60 / ***.</w:t>
      </w:r>
    </w:p>
    <w:p w14:paraId="40763394" w14:textId="77777777" w:rsidR="00DB2B68" w:rsidRDefault="00000000">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11A5937A" w14:textId="77777777" w:rsidR="00DB2B68"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18177994" w14:textId="77777777" w:rsidR="00DB2B68" w:rsidRDefault="00000000">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579FD677" w14:textId="77777777" w:rsidR="00DB2B68" w:rsidRDefault="00000000">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14:paraId="29F379CF" w14:textId="77777777" w:rsidR="00DB2B68" w:rsidRDefault="00000000">
      <w:pPr>
        <w:jc w:val="both"/>
      </w:pPr>
      <w:r>
        <w:lastRenderedPageBreak/>
        <w:t> </w:t>
      </w:r>
    </w:p>
    <w:p w14:paraId="7C94C739" w14:textId="77777777" w:rsidR="00DB2B68" w:rsidRDefault="00000000">
      <w:pPr>
        <w:jc w:val="both"/>
      </w:pPr>
      <w:r>
        <w:t>Le collage des plis est assuré par </w:t>
      </w:r>
      <w:r>
        <w:rPr>
          <w:rStyle w:val="optioncarChar"/>
        </w:rPr>
        <w:t>les spécifications du fabricant </w:t>
      </w:r>
      <w:r>
        <w:t>(par défaut) </w:t>
      </w:r>
      <w:r>
        <w:rPr>
          <w:rStyle w:val="optioncarChar"/>
        </w:rPr>
        <w:t>adhésifs polyuréthane monocomposants durcissant à l'humidité (PUR) / adhésifs de nature phénolique et aminoplaste (par exemple MF, MUF, PRF, UF) / adhésifs à base d'isocyanate et de polymère en émulsion (EPI).</w:t>
      </w:r>
    </w:p>
    <w:p w14:paraId="72ABCB6B" w14:textId="77777777" w:rsidR="00DB2B68" w:rsidRDefault="00000000">
      <w:pPr>
        <w:ind w:left="567"/>
        <w:jc w:val="both"/>
      </w:pPr>
      <w:r>
        <w:rPr>
          <w:b/>
          <w:i/>
        </w:rPr>
        <w:t>(Soit par défaut)</w:t>
      </w:r>
    </w:p>
    <w:p w14:paraId="43A7AF7F" w14:textId="77777777" w:rsidR="00DB2B68" w:rsidRDefault="00000000">
      <w:pPr>
        <w:ind w:left="567"/>
        <w:jc w:val="both"/>
      </w:pPr>
      <w:r>
        <w:rPr>
          <w:rStyle w:val="soitChar"/>
          <w:u w:val="single"/>
        </w:rPr>
        <w:t>Les spécifications du fabricant</w:t>
      </w:r>
    </w:p>
    <w:p w14:paraId="13047D12" w14:textId="77777777" w:rsidR="00DB2B68" w:rsidRDefault="00000000">
      <w:pPr>
        <w:ind w:left="567"/>
        <w:jc w:val="both"/>
      </w:pPr>
      <w:r>
        <w:rPr>
          <w:b/>
          <w:i/>
        </w:rPr>
        <w:t>(Soit)</w:t>
      </w:r>
    </w:p>
    <w:p w14:paraId="2E3EDE87" w14:textId="77777777" w:rsidR="00DB2B68"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3CEBA35B" w14:textId="77777777" w:rsidR="00DB2B68" w:rsidRDefault="00000000">
      <w:pPr>
        <w:ind w:left="567"/>
        <w:jc w:val="both"/>
      </w:pPr>
      <w:r>
        <w:rPr>
          <w:b/>
          <w:i/>
        </w:rPr>
        <w:t>(Soit)</w:t>
      </w:r>
    </w:p>
    <w:p w14:paraId="36E6AA62" w14:textId="77777777" w:rsidR="00DB2B68" w:rsidRDefault="0000000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 </w:t>
      </w:r>
    </w:p>
    <w:p w14:paraId="4A2340A7" w14:textId="77777777" w:rsidR="00DB2B68" w:rsidRDefault="00000000">
      <w:pPr>
        <w:ind w:left="567"/>
        <w:jc w:val="both"/>
      </w:pPr>
      <w:r>
        <w:rPr>
          <w:b/>
          <w:i/>
        </w:rPr>
        <w:t>(Soit)</w:t>
      </w:r>
    </w:p>
    <w:p w14:paraId="45741258" w14:textId="77777777" w:rsidR="00DB2B68"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10F0A558" w14:textId="77777777" w:rsidR="00DB2B68" w:rsidRDefault="00000000">
      <w:pPr>
        <w:jc w:val="both"/>
      </w:pPr>
      <w:r>
        <w:t> </w:t>
      </w:r>
    </w:p>
    <w:p w14:paraId="7B03DF9B" w14:textId="77777777" w:rsidR="00DB2B68" w:rsidRDefault="00000000">
      <w:pPr>
        <w:jc w:val="both"/>
      </w:pPr>
      <w:r>
        <w:t xml:space="preserve">L’assemblage des plis est réalisé par </w:t>
      </w:r>
      <w:r>
        <w:rPr>
          <w:rStyle w:val="optioncarChar"/>
        </w:rPr>
        <w:t xml:space="preserve">clous en aluminium </w:t>
      </w:r>
      <w:r>
        <w:t>(par défaut)</w:t>
      </w:r>
      <w:r>
        <w:rPr>
          <w:rStyle w:val="optioncarChar"/>
        </w:rPr>
        <w:t xml:space="preserve"> / acier / ***</w:t>
      </w:r>
      <w:r>
        <w:t xml:space="preserve">. Le nombre de fixation est de min </w:t>
      </w:r>
      <w:r>
        <w:rPr>
          <w:rStyle w:val="optioncarChar"/>
        </w:rPr>
        <w:t xml:space="preserve">60 </w:t>
      </w:r>
      <w:r>
        <w:t xml:space="preserve">(par défaut) </w:t>
      </w:r>
      <w:r>
        <w:rPr>
          <w:rStyle w:val="optioncarChar"/>
        </w:rPr>
        <w:t>/ ***</w:t>
      </w:r>
      <w:r>
        <w:t xml:space="preserve"> clous par m² par pli.</w:t>
      </w:r>
    </w:p>
    <w:p w14:paraId="5EA637D1" w14:textId="77777777" w:rsidR="00DB2B68" w:rsidRDefault="00000000">
      <w:pPr>
        <w:jc w:val="both"/>
      </w:pPr>
      <w:r>
        <w:t>En l’absence de méthode de calcul de stabilité harmonisée sur ce produit, les performances mécaniques sont déterminées par essais pour répondre aux exigences déterminées dans l’étude de stabilité.</w:t>
      </w:r>
    </w:p>
    <w:p w14:paraId="29B8262B" w14:textId="77777777" w:rsidR="00DB2B68" w:rsidRDefault="00000000">
      <w:pPr>
        <w:jc w:val="both"/>
      </w:pPr>
      <w:r>
        <w:t>Pour une application de plancher, le rapport comprend les essais de flexion selon les deux directions du plan du panneau, de cisaillement ainsi que les modules de glissement.</w:t>
      </w:r>
    </w:p>
    <w:p w14:paraId="189CFFEA" w14:textId="77777777" w:rsidR="00DB2B68"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5A1261A3" w14:textId="77777777" w:rsidR="00DB2B68"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0E389BCF" w14:textId="77777777" w:rsidR="00DB2B68" w:rsidRDefault="00000000">
      <w:pPr>
        <w:jc w:val="both"/>
      </w:pPr>
      <w:r>
        <w:t>Les rainures et chant des lamelles </w:t>
      </w:r>
      <w:r>
        <w:rPr>
          <w:rStyle w:val="optioncarChar"/>
        </w:rPr>
        <w:t>ne sont pas </w:t>
      </w:r>
      <w:r>
        <w:t>(par défaut)</w:t>
      </w:r>
      <w:r>
        <w:rPr>
          <w:rStyle w:val="optioncarChar"/>
        </w:rPr>
        <w:t> / sont</w:t>
      </w:r>
      <w:r>
        <w:t> collées.</w:t>
      </w:r>
    </w:p>
    <w:p w14:paraId="2CBE15C3" w14:textId="77777777" w:rsidR="00DB2B68" w:rsidRDefault="00000000">
      <w:pPr>
        <w:jc w:val="both"/>
      </w:pPr>
      <w:r>
        <w:t>Un jeu de </w:t>
      </w:r>
      <w:r>
        <w:rPr>
          <w:rStyle w:val="optioncarChar"/>
        </w:rPr>
        <w:t>0 </w:t>
      </w:r>
      <w:r>
        <w:t>(par défaut) </w:t>
      </w:r>
      <w:r>
        <w:rPr>
          <w:rStyle w:val="optioncarChar"/>
        </w:rPr>
        <w:t>/ 2 / 5 / *** mm</w:t>
      </w:r>
      <w:r>
        <w:t> est réservé entre les lamelles.</w:t>
      </w:r>
    </w:p>
    <w:p w14:paraId="1355B136" w14:textId="77777777" w:rsidR="00DB2B68" w:rsidRDefault="00000000">
      <w:pPr>
        <w:jc w:val="both"/>
      </w:pPr>
      <w:r>
        <w:t>La résistance du collage des aboutages est conforme à la [NBN EN 16351] annexe A et est vérifiée par essais de flexion conformes à la [NBN EN 16351] §5.2.</w:t>
      </w:r>
    </w:p>
    <w:p w14:paraId="597C1026" w14:textId="77777777" w:rsidR="00DB2B68"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0784701A" w14:textId="77777777" w:rsidR="00DB2B68" w:rsidRDefault="00000000">
      <w:pPr>
        <w:pStyle w:val="pheading"/>
      </w:pPr>
      <w:r>
        <w:t>- Finitions</w:t>
      </w:r>
    </w:p>
    <w:p w14:paraId="7ECD574E" w14:textId="77777777" w:rsidR="00DB2B68" w:rsidRDefault="00000000">
      <w:pPr>
        <w:jc w:val="both"/>
      </w:pPr>
      <w:r>
        <w:t>Exigences d’aspect : </w:t>
      </w:r>
      <w:r>
        <w:rPr>
          <w:rStyle w:val="optioncarChar"/>
        </w:rPr>
        <w:t>non-visible / visible industriel </w:t>
      </w:r>
      <w:r>
        <w:t>(par défaut)</w:t>
      </w:r>
      <w:r>
        <w:rPr>
          <w:rStyle w:val="optioncarChar"/>
        </w:rPr>
        <w:t xml:space="preserve"> / visible habitat sur</w:t>
      </w:r>
      <w:r>
        <w:t> </w:t>
      </w:r>
      <w:r>
        <w:rPr>
          <w:rStyle w:val="optioncarChar"/>
        </w:rPr>
        <w:t>1 face.</w:t>
      </w:r>
    </w:p>
    <w:p w14:paraId="269B3E94" w14:textId="77777777" w:rsidR="00DB2B68" w:rsidRDefault="00000000">
      <w:pPr>
        <w:jc w:val="both"/>
      </w:pPr>
      <w:r>
        <w:t>Les panneaux </w:t>
      </w:r>
      <w:r>
        <w:rPr>
          <w:rStyle w:val="optioncarChar"/>
        </w:rPr>
        <w:t>sont / ne sont pas</w:t>
      </w:r>
      <w:r>
        <w:t> (par défaut) munis de gaines (rainures) techniques et blochets intégrés non traversantes.</w:t>
      </w:r>
    </w:p>
    <w:p w14:paraId="2CBC7554" w14:textId="77777777" w:rsidR="00DB2B68" w:rsidRDefault="00000000">
      <w:pPr>
        <w:pStyle w:val="pheading"/>
      </w:pPr>
      <w:r>
        <w:t>- Prescriptions complémentaires</w:t>
      </w:r>
    </w:p>
    <w:p w14:paraId="54EDEEE2" w14:textId="77777777" w:rsidR="00DB2B68" w:rsidRDefault="00000000">
      <w:r>
        <w:rPr>
          <w:rStyle w:val="facultChar"/>
        </w:rPr>
        <w:t>Capacité thermique</w:t>
      </w:r>
      <w:r>
        <w:t xml:space="preserve"> : </w:t>
      </w:r>
      <w:r>
        <w:rPr>
          <w:rStyle w:val="optioncarChar"/>
        </w:rPr>
        <w:t xml:space="preserve">&gt; 2 </w:t>
      </w:r>
      <w:r>
        <w:t>(par défaut)</w:t>
      </w:r>
      <w:r>
        <w:rPr>
          <w:rStyle w:val="optioncarChar"/>
        </w:rPr>
        <w:t xml:space="preserve"> / ***</w:t>
      </w:r>
      <w:r>
        <w:rPr>
          <w:rStyle w:val="facultChar"/>
        </w:rPr>
        <w:t>kJ/kg.K</w:t>
      </w:r>
    </w:p>
    <w:p w14:paraId="46F22600" w14:textId="77777777" w:rsidR="00DB2B68" w:rsidRDefault="00000000">
      <w:pPr>
        <w:pStyle w:val="pheading"/>
      </w:pPr>
      <w:r>
        <w:lastRenderedPageBreak/>
        <w:t>EXÉCUTION / MISE EN ŒUVRE</w:t>
      </w:r>
    </w:p>
    <w:p w14:paraId="52A895EE" w14:textId="77777777" w:rsidR="00DB2B68" w:rsidRDefault="00000000">
      <w:pPr>
        <w:pStyle w:val="pheading"/>
      </w:pPr>
      <w:r>
        <w:t>- Prescriptions générales</w:t>
      </w:r>
    </w:p>
    <w:p w14:paraId="288CB3B0" w14:textId="77777777" w:rsidR="00DB2B68"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38D633D1" w14:textId="77777777" w:rsidR="00DB2B68"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0C8E9A57" w14:textId="77777777" w:rsidR="00DB2B68" w:rsidRDefault="00000000">
      <w:pPr>
        <w:jc w:val="both"/>
      </w:pPr>
      <w:r>
        <w:rPr>
          <w:b/>
          <w:i/>
        </w:rPr>
        <w:t>Fixation en pied de mur</w:t>
      </w:r>
    </w:p>
    <w:p w14:paraId="55C3C509" w14:textId="77777777" w:rsidR="00DB2B68" w:rsidRDefault="00000000">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526AC468" w14:textId="77777777" w:rsidR="00DB2B68" w:rsidRDefault="00000000">
      <w:pPr>
        <w:ind w:left="567"/>
        <w:jc w:val="both"/>
      </w:pPr>
      <w:r>
        <w:rPr>
          <w:b/>
          <w:i/>
        </w:rPr>
        <w:t>(Soit par défaut)</w:t>
      </w:r>
    </w:p>
    <w:p w14:paraId="64FDB753" w14:textId="77777777" w:rsidR="00DB2B68" w:rsidRDefault="00000000">
      <w:pPr>
        <w:ind w:left="567"/>
        <w:jc w:val="both"/>
      </w:pPr>
      <w:r>
        <w:rPr>
          <w:rStyle w:val="soitChar"/>
          <w:u w:val="single"/>
        </w:rPr>
        <w:t>La lisse basse</w:t>
      </w:r>
      <w:r>
        <w:rPr>
          <w:rStyle w:val="soitChar"/>
        </w:rPr>
        <w:t> est fixée par </w:t>
      </w:r>
      <w:r>
        <w:rPr>
          <w:rStyle w:val="optioncarChar"/>
        </w:rPr>
        <w:t>chevilles métalliques</w:t>
      </w:r>
      <w:r>
        <w:t> (par défaut) </w:t>
      </w:r>
      <w:r>
        <w:rPr>
          <w:rStyle w:val="optioncarChar"/>
        </w:rPr>
        <w:t>/ vis spécifique béton / tiges filetées et ancrages chimiques / équerres de fixation / ***</w:t>
      </w:r>
      <w:r>
        <w:rPr>
          <w:rStyle w:val="soitChar"/>
        </w:rPr>
        <w:t>. La lisse basse ou lisse de pose est décrite dans l’article </w:t>
      </w:r>
      <w:hyperlink w:anchor="592" w:history="1">
        <w:r>
          <w:rPr>
            <w:rStyle w:val="soitChar"/>
            <w:color w:val="0000EE"/>
          </w:rPr>
          <w:t>24.11.1a Lisses de pose en bois massif</w:t>
        </w:r>
      </w:hyperlink>
      <w:r>
        <w:rPr>
          <w:rStyle w:val="soitChar"/>
        </w:rPr>
        <w:t> .</w:t>
      </w:r>
    </w:p>
    <w:p w14:paraId="746EDA6B" w14:textId="77777777" w:rsidR="00DB2B68" w:rsidRDefault="00000000">
      <w:pPr>
        <w:ind w:left="567"/>
        <w:jc w:val="both"/>
      </w:pPr>
      <w:r>
        <w:rPr>
          <w:b/>
          <w:i/>
        </w:rPr>
        <w:t>(Soit)</w:t>
      </w:r>
    </w:p>
    <w:p w14:paraId="5BBE30F5" w14:textId="77777777" w:rsidR="00DB2B68" w:rsidRDefault="00000000">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14:paraId="2A690B09" w14:textId="77777777" w:rsidR="00DB2B68" w:rsidRDefault="00000000">
      <w:pPr>
        <w:ind w:left="567"/>
        <w:jc w:val="both"/>
      </w:pPr>
      <w:r>
        <w:rPr>
          <w:b/>
          <w:i/>
        </w:rPr>
        <w:t>(Soit)</w:t>
      </w:r>
    </w:p>
    <w:p w14:paraId="1AD91E8E" w14:textId="77777777" w:rsidR="00DB2B68" w:rsidRDefault="00000000">
      <w:pPr>
        <w:ind w:left="567"/>
        <w:jc w:val="both"/>
      </w:pPr>
      <w:r>
        <w:rPr>
          <w:rStyle w:val="optioncarChar"/>
        </w:rPr>
        <w:t>***</w:t>
      </w:r>
    </w:p>
    <w:p w14:paraId="1675EF9A" w14:textId="77777777" w:rsidR="00DB2B68" w:rsidRDefault="00DB2B68">
      <w:pPr>
        <w:ind w:left="567"/>
        <w:jc w:val="both"/>
      </w:pPr>
    </w:p>
    <w:p w14:paraId="45759B65" w14:textId="77777777" w:rsidR="00DB2B68" w:rsidRDefault="00000000">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4BD75139" w14:textId="77777777" w:rsidR="00DB2B68" w:rsidRDefault="00000000">
      <w:pPr>
        <w:jc w:val="both"/>
      </w:pPr>
      <w:r>
        <w:t> </w:t>
      </w:r>
    </w:p>
    <w:p w14:paraId="1E53E840" w14:textId="77777777" w:rsidR="00DB2B68" w:rsidRDefault="00000000">
      <w:pPr>
        <w:jc w:val="both"/>
      </w:pPr>
      <w:r>
        <w:rPr>
          <w:b/>
          <w:i/>
        </w:rPr>
        <w:t>Fixation entre panneaux de même plan</w:t>
      </w:r>
    </w:p>
    <w:p w14:paraId="1401B259" w14:textId="77777777" w:rsidR="00DB2B68" w:rsidRDefault="00000000">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14:paraId="2023C4AB" w14:textId="77777777" w:rsidR="00DB2B68" w:rsidRDefault="00000000">
      <w:pPr>
        <w:jc w:val="both"/>
      </w:pPr>
      <w:r>
        <w:rPr>
          <w:b/>
          <w:i/>
        </w:rPr>
        <w:t>Assemblage d’angles</w:t>
      </w:r>
    </w:p>
    <w:p w14:paraId="173CA0C7" w14:textId="77777777" w:rsidR="00DB2B68" w:rsidRDefault="00000000">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14:paraId="0BF09ECE" w14:textId="77777777" w:rsidR="00DB2B68" w:rsidRDefault="00000000">
      <w:pPr>
        <w:ind w:left="567"/>
        <w:jc w:val="both"/>
      </w:pPr>
      <w:r>
        <w:rPr>
          <w:b/>
          <w:i/>
        </w:rPr>
        <w:t>(Soit par défaut)</w:t>
      </w:r>
    </w:p>
    <w:p w14:paraId="2908F444" w14:textId="77777777" w:rsidR="00DB2B68" w:rsidRDefault="00000000">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14:paraId="578FADB8" w14:textId="77777777" w:rsidR="00DB2B68" w:rsidRDefault="00000000">
      <w:pPr>
        <w:ind w:left="567"/>
        <w:jc w:val="both"/>
      </w:pPr>
      <w:r>
        <w:rPr>
          <w:b/>
          <w:i/>
        </w:rPr>
        <w:t>(Soit)</w:t>
      </w:r>
    </w:p>
    <w:p w14:paraId="3E083D97" w14:textId="77777777" w:rsidR="00DB2B68" w:rsidRDefault="00000000">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14:paraId="5D2FAA36" w14:textId="77777777" w:rsidR="00DB2B68" w:rsidRDefault="00000000">
      <w:pPr>
        <w:ind w:left="567"/>
        <w:jc w:val="both"/>
      </w:pPr>
      <w:r>
        <w:rPr>
          <w:b/>
          <w:i/>
        </w:rPr>
        <w:t>(Soit)</w:t>
      </w:r>
    </w:p>
    <w:p w14:paraId="08A1CA17" w14:textId="77777777" w:rsidR="00DB2B68" w:rsidRDefault="00000000">
      <w:pPr>
        <w:ind w:left="567"/>
        <w:jc w:val="both"/>
      </w:pPr>
      <w:r>
        <w:rPr>
          <w:rStyle w:val="optioncarChar"/>
        </w:rPr>
        <w:t>***</w:t>
      </w:r>
    </w:p>
    <w:p w14:paraId="41D27A1F" w14:textId="77777777" w:rsidR="00DB2B68" w:rsidRDefault="00000000">
      <w:pPr>
        <w:jc w:val="both"/>
      </w:pPr>
      <w:r>
        <w:t> </w:t>
      </w:r>
    </w:p>
    <w:p w14:paraId="42A3BFB8" w14:textId="77777777" w:rsidR="00DB2B68" w:rsidRDefault="00000000">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14:paraId="1EFEC220" w14:textId="77777777" w:rsidR="00DB2B68" w:rsidRDefault="00000000">
      <w:pPr>
        <w:jc w:val="both"/>
      </w:pPr>
      <w:r>
        <w:lastRenderedPageBreak/>
        <w:t>Les fixations, pointes ou vis, des panneaux sont effectuées sur</w:t>
      </w:r>
      <w:r>
        <w:rPr>
          <w:rStyle w:val="optioncarChar"/>
        </w:rPr>
        <w:t> 2/3 </w:t>
      </w:r>
      <w:r>
        <w:t>(par défaut)</w:t>
      </w:r>
      <w:r>
        <w:rPr>
          <w:rStyle w:val="optioncarChar"/>
        </w:rPr>
        <w:t> / ***</w:t>
      </w:r>
      <w:r>
        <w:t> de l’épaisseur du panneau.</w:t>
      </w:r>
    </w:p>
    <w:p w14:paraId="2E69F5A8" w14:textId="77777777" w:rsidR="00DB2B68" w:rsidRDefault="00000000">
      <w:pPr>
        <w:jc w:val="both"/>
      </w:pPr>
      <w:r>
        <w:t>Les dispositifs d’ancrage sont décrits dans les éléments du </w:t>
      </w:r>
      <w:hyperlink w:anchor="585" w:history="1">
        <w:r>
          <w:rPr>
            <w:color w:val="0000EE"/>
          </w:rPr>
          <w:t>24.4 Assemblages</w:t>
        </w:r>
      </w:hyperlink>
      <w:r>
        <w:t>.</w:t>
      </w:r>
    </w:p>
    <w:p w14:paraId="3201F211" w14:textId="77777777" w:rsidR="00DB2B68" w:rsidRDefault="00000000">
      <w:pPr>
        <w:pStyle w:val="pheading"/>
      </w:pPr>
      <w:r>
        <w:t>DOCUMENTS DE RÉFÉRENCE COMPLÉMENTAIRES</w:t>
      </w:r>
    </w:p>
    <w:p w14:paraId="0FB04D52" w14:textId="77777777" w:rsidR="00DB2B68" w:rsidRDefault="00000000">
      <w:pPr>
        <w:pStyle w:val="pheading"/>
      </w:pPr>
      <w:r>
        <w:t>- Matériau</w:t>
      </w:r>
    </w:p>
    <w:p w14:paraId="7992FFC7" w14:textId="77777777" w:rsidR="00DB2B68" w:rsidRDefault="00000000">
      <w:r>
        <w:t>[NBN EN 301, Adhésifs de nature phénolique et aminoplaste, pour structures portantes en bois - Classification et exigences de performance]</w:t>
      </w:r>
    </w:p>
    <w:p w14:paraId="176B6FF4" w14:textId="77777777" w:rsidR="00DB2B68" w:rsidRDefault="00000000">
      <w:r>
        <w:t>[NBN EN 302-2, Adhésifs pour structures portantes en bois - Méthodes d'essais - Partie 2 : Détermination de la résistance à la délamination]</w:t>
      </w:r>
    </w:p>
    <w:p w14:paraId="0FB2A475" w14:textId="77777777" w:rsidR="00DB2B68" w:rsidRDefault="00000000">
      <w:r>
        <w:t>[NBN EN 408+A1, Structures en bois - Bois de structure et bois lamellé-collé - Détermination de certaines propriétés physiques et mécaniques]</w:t>
      </w:r>
    </w:p>
    <w:p w14:paraId="535BD48D" w14:textId="77777777" w:rsidR="00DB2B68" w:rsidRDefault="00000000">
      <w:r>
        <w:t>[NBN EN 1991 série, Eurocode 1 : Actions sur les structures]</w:t>
      </w:r>
    </w:p>
    <w:p w14:paraId="04F5F9F8" w14:textId="77777777" w:rsidR="00DB2B68" w:rsidRDefault="00000000">
      <w:r>
        <w:t>[NBN EN 1995 série, Eurocode 5: Conception et calcul des structures en bois]</w:t>
      </w:r>
    </w:p>
    <w:p w14:paraId="6B836347"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2A847FDF" w14:textId="77777777" w:rsidR="00DB2B68" w:rsidRDefault="00000000">
      <w:r>
        <w:t>[NBN EN 13556, Bois ronds et bois sciés - Nomenclature des bois utilisés en Europe]</w:t>
      </w:r>
    </w:p>
    <w:p w14:paraId="382A6933" w14:textId="77777777" w:rsidR="00DB2B68" w:rsidRDefault="00000000">
      <w:r>
        <w:t>[NBN EN 14358, Structures en bois - Détermination et vérification des valeurs caractéristiques]</w:t>
      </w:r>
    </w:p>
    <w:p w14:paraId="4E12A58A" w14:textId="77777777" w:rsidR="00DB2B68" w:rsidRDefault="00000000">
      <w:r>
        <w:t>[NBN EN 15425, Adhésifs - Adhésifs polyuréthane monocomposants (PUR) pour structures portantes en bois - Classification et exigences de performance]</w:t>
      </w:r>
    </w:p>
    <w:p w14:paraId="3C657B12" w14:textId="77777777" w:rsidR="00DB2B68" w:rsidRDefault="00000000">
      <w:r>
        <w:t>[NBN EN 16351, Structures en bois - Bois lamellé croisé - Exigences] </w:t>
      </w:r>
    </w:p>
    <w:p w14:paraId="1C2F3683" w14:textId="77777777" w:rsidR="00DB2B68" w:rsidRDefault="00000000">
      <w:pPr>
        <w:pStyle w:val="pheading"/>
      </w:pPr>
      <w:r>
        <w:t>MESURAGE</w:t>
      </w:r>
    </w:p>
    <w:p w14:paraId="5A4AF251" w14:textId="77777777" w:rsidR="00DB2B68" w:rsidRDefault="00000000">
      <w:pPr>
        <w:pStyle w:val="pheading"/>
      </w:pPr>
      <w:r>
        <w:t>- unité de mesure:</w:t>
      </w:r>
    </w:p>
    <w:p w14:paraId="083EE625" w14:textId="77777777" w:rsidR="00DB2B68" w:rsidRDefault="00000000">
      <w:r>
        <w:rPr>
          <w:rStyle w:val="optioncarChar"/>
        </w:rPr>
        <w:t>m² </w:t>
      </w:r>
      <w:r>
        <w:t>(par défaut)</w:t>
      </w:r>
      <w:r>
        <w:rPr>
          <w:rStyle w:val="optioncarChar"/>
        </w:rPr>
        <w:t xml:space="preserve"> / m³</w:t>
      </w:r>
    </w:p>
    <w:p w14:paraId="700FCF50" w14:textId="77777777" w:rsidR="00DB2B68" w:rsidRDefault="00000000">
      <w:r>
        <w:rPr>
          <w:b/>
          <w:i/>
        </w:rPr>
        <w:t>(Soit par défaut)</w:t>
      </w:r>
    </w:p>
    <w:p w14:paraId="299120E8" w14:textId="77777777" w:rsidR="00DB2B68" w:rsidRDefault="00000000">
      <w:r>
        <w:rPr>
          <w:rStyle w:val="soitChar"/>
        </w:rPr>
        <w:t>1.     m²</w:t>
      </w:r>
    </w:p>
    <w:p w14:paraId="3FA82D09" w14:textId="77777777" w:rsidR="00DB2B68" w:rsidRDefault="00000000">
      <w:r>
        <w:rPr>
          <w:b/>
          <w:i/>
        </w:rPr>
        <w:t>(Soit)</w:t>
      </w:r>
    </w:p>
    <w:p w14:paraId="31D49A6C" w14:textId="77777777" w:rsidR="00DB2B68" w:rsidRDefault="00000000">
      <w:r>
        <w:rPr>
          <w:rStyle w:val="soitChar"/>
        </w:rPr>
        <w:t>2.     m³</w:t>
      </w:r>
    </w:p>
    <w:p w14:paraId="4434E724" w14:textId="77777777" w:rsidR="00DB2B68" w:rsidRDefault="00000000">
      <w:pPr>
        <w:pStyle w:val="pheading"/>
      </w:pPr>
      <w:r>
        <w:t>- code de mesurage:</w:t>
      </w:r>
    </w:p>
    <w:p w14:paraId="3C943BFA" w14:textId="77777777" w:rsidR="00DB2B68" w:rsidRDefault="00000000">
      <w:pPr>
        <w:jc w:val="both"/>
      </w:pPr>
      <w:r>
        <w:rPr>
          <w:rStyle w:val="optioncarChar"/>
        </w:rPr>
        <w:t>Surface nette </w:t>
      </w:r>
      <w:r>
        <w:t>(par défaut) </w:t>
      </w:r>
      <w:r>
        <w:rPr>
          <w:rStyle w:val="optioncarChar"/>
        </w:rPr>
        <w:t>/ Volume net</w:t>
      </w:r>
    </w:p>
    <w:p w14:paraId="1DCDAEE1" w14:textId="77777777" w:rsidR="00DB2B68" w:rsidRDefault="00000000">
      <w:pPr>
        <w:jc w:val="both"/>
      </w:pPr>
      <w:r>
        <w:rPr>
          <w:b/>
          <w:i/>
        </w:rPr>
        <w:t>(Soit par défaut)</w:t>
      </w:r>
    </w:p>
    <w:p w14:paraId="76BAA508" w14:textId="77777777" w:rsidR="00DB2B68" w:rsidRDefault="00000000">
      <w:pPr>
        <w:jc w:val="both"/>
      </w:pPr>
      <w:r>
        <w:rPr>
          <w:rStyle w:val="soitChar"/>
        </w:rPr>
        <w:t>1. </w:t>
      </w:r>
      <w:r>
        <w:rPr>
          <w:rStyle w:val="soitChar"/>
          <w:u w:val="single"/>
        </w:rPr>
        <w:t>Surface nette</w:t>
      </w:r>
      <w:r>
        <w:rPr>
          <w:rStyle w:val="soitChar"/>
        </w:rPr>
        <w:t> à mettre en œuvre. Les réservations inférieures à 2 m² ne sont pas déduites. Distinction faite suivant l'épaisseur.</w:t>
      </w:r>
    </w:p>
    <w:p w14:paraId="715A260E" w14:textId="77777777" w:rsidR="00DB2B68" w:rsidRDefault="00000000">
      <w:pPr>
        <w:jc w:val="both"/>
      </w:pPr>
      <w:r>
        <w:rPr>
          <w:b/>
          <w:i/>
        </w:rPr>
        <w:t>(Soit)</w:t>
      </w:r>
    </w:p>
    <w:p w14:paraId="2A72D48F" w14:textId="77777777" w:rsidR="00DB2B68" w:rsidRDefault="00000000">
      <w:pPr>
        <w:jc w:val="both"/>
      </w:pPr>
      <w:r>
        <w:rPr>
          <w:rStyle w:val="soitChar"/>
        </w:rPr>
        <w:t>2. </w:t>
      </w:r>
      <w:r>
        <w:rPr>
          <w:rStyle w:val="soitChar"/>
          <w:u w:val="single"/>
        </w:rPr>
        <w:t>Volume net</w:t>
      </w:r>
      <w:r>
        <w:rPr>
          <w:rStyle w:val="soitChar"/>
        </w:rPr>
        <w:t> à mettre en œuvre. Les ouvertures supérieures à 2 m² multipliées par l’épaisseur à réaliser sont déduites. Distinction faite suivant l’épaisseur.</w:t>
      </w:r>
    </w:p>
    <w:p w14:paraId="125133F7" w14:textId="77777777" w:rsidR="00DB2B68" w:rsidRDefault="00000000">
      <w:pPr>
        <w:pStyle w:val="pheading"/>
      </w:pPr>
      <w:r>
        <w:t>- nature du marché:</w:t>
      </w:r>
    </w:p>
    <w:p w14:paraId="50433F2E" w14:textId="77777777" w:rsidR="00DB2B68" w:rsidRDefault="00000000">
      <w:r>
        <w:t>QF</w:t>
      </w:r>
    </w:p>
    <w:p w14:paraId="3EDBA73F" w14:textId="77777777" w:rsidR="00DB2B68" w:rsidRDefault="00000000">
      <w:pPr>
        <w:pStyle w:val="Author-eSectionHeading6Numberless"/>
      </w:pPr>
      <w:bookmarkStart w:id="1632" w:name="_Toc220496620"/>
      <w:r>
        <w:t>24.15.1d Voiles massifs en CLT chevillés CCTB 01.12</w:t>
      </w:r>
      <w:bookmarkEnd w:id="1632"/>
    </w:p>
    <w:p w14:paraId="0BABE612" w14:textId="77777777" w:rsidR="00DB2B68" w:rsidRDefault="00000000">
      <w:pPr>
        <w:pStyle w:val="pheading"/>
      </w:pPr>
      <w:r>
        <w:t>DESCRIPTION</w:t>
      </w:r>
    </w:p>
    <w:p w14:paraId="5CA5ED45" w14:textId="77777777" w:rsidR="00DB2B68" w:rsidRDefault="00000000">
      <w:pPr>
        <w:pStyle w:val="pheading"/>
      </w:pPr>
      <w:r>
        <w:t>- Définition / Comprend</w:t>
      </w:r>
    </w:p>
    <w:p w14:paraId="648C5AC3" w14:textId="77777777" w:rsidR="00DB2B68" w:rsidRDefault="00000000">
      <w:pPr>
        <w:jc w:val="both"/>
      </w:pPr>
      <w:r>
        <w:lastRenderedPageBreak/>
        <w:t>Il s’agit de la fourniture et la pose de tous les éléments constitués de panneaux lamellés croisés chevillés en bois ou à base de bois constituant les systèmes de construction CLT portants et non portants y compris toutes les pièces qui en font intrinsèquement partie (notamment les dispositifs d’assemblage).</w:t>
      </w:r>
    </w:p>
    <w:p w14:paraId="7782DDDA" w14:textId="77777777" w:rsidR="00DB2B68" w:rsidRDefault="00000000">
      <w:pPr>
        <w:jc w:val="both"/>
      </w:pPr>
      <w:r>
        <w:t xml:space="preserve">Les panneaux CLT chevillés ne contiennent pas de colle. Les panneaux CLT chevillés collés sont couverts par l’article </w:t>
      </w:r>
      <w:hyperlink w:anchor="593" w:history="1">
        <w:r>
          <w:rPr>
            <w:color w:val="0000EE"/>
          </w:rPr>
          <w:t>24.15.1c Voiles massifs en CLT cloués collés</w:t>
        </w:r>
      </w:hyperlink>
      <w:r>
        <w:t>.</w:t>
      </w:r>
    </w:p>
    <w:p w14:paraId="7285ED6D" w14:textId="77777777" w:rsidR="00DB2B68" w:rsidRDefault="00000000">
      <w:pPr>
        <w:pStyle w:val="pheading"/>
      </w:pPr>
      <w:r>
        <w:t>- Localisation</w:t>
      </w:r>
    </w:p>
    <w:p w14:paraId="16F26AE8" w14:textId="77777777" w:rsidR="00DB2B68" w:rsidRDefault="00000000">
      <w:r>
        <w:t xml:space="preserve">Localisation des travaux : </w:t>
      </w:r>
      <w:r>
        <w:rPr>
          <w:rStyle w:val="optioncarChar"/>
        </w:rPr>
        <w:t>***</w:t>
      </w:r>
      <w:r>
        <w:t>.</w:t>
      </w:r>
    </w:p>
    <w:p w14:paraId="6CFC06F1" w14:textId="77777777" w:rsidR="00DB2B68" w:rsidRDefault="00000000">
      <w:r>
        <w:t>Voir plans et métrés détaillés.</w:t>
      </w:r>
    </w:p>
    <w:p w14:paraId="1BA34264" w14:textId="77777777" w:rsidR="00DB2B68" w:rsidRDefault="00000000">
      <w:pPr>
        <w:pStyle w:val="pheading"/>
      </w:pPr>
      <w:r>
        <w:t>MATÉRIAUX</w:t>
      </w:r>
    </w:p>
    <w:p w14:paraId="6136AD19" w14:textId="77777777" w:rsidR="00DB2B68" w:rsidRDefault="00000000">
      <w:pPr>
        <w:pStyle w:val="pheading"/>
      </w:pPr>
      <w:r>
        <w:t>- Caractéristiques générales</w:t>
      </w:r>
    </w:p>
    <w:p w14:paraId="099B8FD2" w14:textId="77777777" w:rsidR="00DB2B68" w:rsidRDefault="00000000">
      <w:pPr>
        <w:jc w:val="both"/>
      </w:pPr>
      <w:r>
        <w:t>Épaisseur totale du panneau CLT chevillé : </w:t>
      </w:r>
      <w:r>
        <w:rPr>
          <w:rStyle w:val="optioncarChar"/>
        </w:rPr>
        <w:t>***</w:t>
      </w:r>
      <w:r>
        <w:t> mm.</w:t>
      </w:r>
    </w:p>
    <w:p w14:paraId="2FE928CE" w14:textId="77777777" w:rsidR="00DB2B68" w:rsidRDefault="0000000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1ECF458C" w14:textId="77777777" w:rsidR="00DB2B68" w:rsidRDefault="00000000">
      <w:pPr>
        <w:jc w:val="both"/>
      </w:pPr>
      <w:r>
        <w:t>Classe de résistance :</w:t>
      </w:r>
      <w:r>
        <w:rPr>
          <w:rStyle w:val="optioncarChar"/>
        </w:rPr>
        <w:t> C18 </w:t>
      </w:r>
      <w:r>
        <w:t>(par défaut)</w:t>
      </w:r>
      <w:r>
        <w:rPr>
          <w:rStyle w:val="optioncarChar"/>
        </w:rPr>
        <w:t xml:space="preserve"> / D18 / C24 / D24 / C30 / D30 / ***.</w:t>
      </w:r>
    </w:p>
    <w:p w14:paraId="10ABD61E" w14:textId="77777777" w:rsidR="00DB2B68" w:rsidRDefault="0000000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14:paraId="2B41F09A" w14:textId="77777777" w:rsidR="00DB2B68" w:rsidRDefault="00000000">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22-22-22 / 22-40-22 / 30-30-30 / 30-40-30 / 40/-40-40 / 22-22-22-22-22 </w:t>
      </w:r>
      <w:r>
        <w:t>(par défaut)</w:t>
      </w:r>
      <w:r>
        <w:rPr>
          <w:rStyle w:val="optioncarChar"/>
        </w:rPr>
        <w:t> /  22-30-22-30 / 40-22-22-22-40 / ***</w:t>
      </w:r>
      <w:r>
        <w:t> mm.</w:t>
      </w:r>
    </w:p>
    <w:p w14:paraId="1BB80429" w14:textId="77777777" w:rsidR="00DB2B68" w:rsidRDefault="00000000">
      <w:pPr>
        <w:jc w:val="both"/>
      </w:pPr>
      <w:r>
        <w:t>Les lames </w:t>
      </w:r>
      <w:r>
        <w:rPr>
          <w:rStyle w:val="optioncarChar"/>
        </w:rPr>
        <w:t>ne sont pas </w:t>
      </w:r>
      <w:r>
        <w:t>(par défaut)</w:t>
      </w:r>
      <w:r>
        <w:rPr>
          <w:rStyle w:val="optioncarChar"/>
        </w:rPr>
        <w:t> / sont</w:t>
      </w:r>
      <w:r>
        <w:t> munies de fente (rainures) de soulagement.</w:t>
      </w:r>
    </w:p>
    <w:p w14:paraId="7D8465EB" w14:textId="77777777" w:rsidR="00DB2B68" w:rsidRDefault="00000000">
      <w:pPr>
        <w:jc w:val="both"/>
      </w:pPr>
      <w:r>
        <w:t xml:space="preserve">Les chevilles ont une tête </w:t>
      </w:r>
      <w:r>
        <w:rPr>
          <w:rStyle w:val="optioncarChar"/>
        </w:rPr>
        <w:t xml:space="preserve">ronde </w:t>
      </w:r>
      <w:r>
        <w:t>(par défaut)</w:t>
      </w:r>
      <w:r>
        <w:rPr>
          <w:rStyle w:val="optioncarChar"/>
        </w:rPr>
        <w:t xml:space="preserve"> / carrée / octogonale / ***.</w:t>
      </w:r>
    </w:p>
    <w:p w14:paraId="5B46DE15" w14:textId="77777777" w:rsidR="00DB2B68" w:rsidRDefault="00000000">
      <w:pPr>
        <w:jc w:val="both"/>
      </w:pPr>
      <w:r>
        <w:t xml:space="preserve">La section est de </w:t>
      </w:r>
      <w:r>
        <w:rPr>
          <w:rStyle w:val="optioncarChar"/>
        </w:rPr>
        <w:t>diamètre 18 mm</w:t>
      </w:r>
      <w:r>
        <w:t xml:space="preserve"> (par défaut)</w:t>
      </w:r>
      <w:r>
        <w:rPr>
          <w:rStyle w:val="optioncarChar"/>
        </w:rPr>
        <w:t xml:space="preserve"> / 20 mm de côté / ***.</w:t>
      </w:r>
    </w:p>
    <w:p w14:paraId="48C2B341" w14:textId="77777777" w:rsidR="00DB2B68" w:rsidRDefault="00000000">
      <w:pPr>
        <w:jc w:val="both"/>
      </w:pPr>
      <w:r>
        <w:t xml:space="preserve">Les essences de bois composant les lames du panneau sont définies conformément à la [NBN EN 13556] : </w:t>
      </w:r>
      <w:r>
        <w:rPr>
          <w:rStyle w:val="optioncarChar"/>
        </w:rPr>
        <w:t xml:space="preserve">Chêne </w:t>
      </w:r>
      <w:r>
        <w:t>(par défaut)</w:t>
      </w:r>
      <w:r>
        <w:rPr>
          <w:rStyle w:val="optioncarChar"/>
        </w:rPr>
        <w:t xml:space="preserve"> / Acacia / Robinier / Hêtre / Merisier / Mélèze d'Europe (Larix decidua, LADC) / ***</w:t>
      </w:r>
      <w:r>
        <w:t xml:space="preserve"> .</w:t>
      </w:r>
    </w:p>
    <w:p w14:paraId="7063A678" w14:textId="77777777" w:rsidR="00DB2B68" w:rsidRDefault="00000000">
      <w:pPr>
        <w:jc w:val="both"/>
      </w:pPr>
      <w:r>
        <w:t>Les panneaux CLT chevillés sont assemblés lorsque les chevilles ont un taux d’humidité du bois inférieure à 6% .</w:t>
      </w:r>
    </w:p>
    <w:p w14:paraId="39F62BFA" w14:textId="77777777" w:rsidR="00DB2B68" w:rsidRDefault="00000000">
      <w:pPr>
        <w:jc w:val="both"/>
      </w:pPr>
      <w:r>
        <w:t>La réaction au feu est de classe </w:t>
      </w:r>
      <w:r>
        <w:rPr>
          <w:rStyle w:val="optioncarChar"/>
        </w:rPr>
        <w:t>D-s2, d0</w:t>
      </w:r>
      <w:r>
        <w:t> (par défaut)</w:t>
      </w:r>
      <w:r>
        <w:rPr>
          <w:rStyle w:val="optioncarChar"/>
        </w:rPr>
        <w:t> / ***.</w:t>
      </w:r>
    </w:p>
    <w:p w14:paraId="3401DC54" w14:textId="77777777" w:rsidR="00DB2B68" w:rsidRDefault="00000000">
      <w:pPr>
        <w:jc w:val="both"/>
      </w:pPr>
      <w:r>
        <w:t>La résistance au feu déclarée de la paroi : </w:t>
      </w:r>
      <w:r>
        <w:rPr>
          <w:rStyle w:val="optioncarChar"/>
        </w:rPr>
        <w:t>pas d’exigences </w:t>
      </w:r>
      <w:r>
        <w:t>(par défaut) </w:t>
      </w:r>
      <w:r>
        <w:rPr>
          <w:rStyle w:val="optioncarChar"/>
        </w:rPr>
        <w:t>/ REI 30 / EI30 / REI 60 / EI 60 / ***.</w:t>
      </w:r>
    </w:p>
    <w:p w14:paraId="466E596F" w14:textId="77777777" w:rsidR="00DB2B68" w:rsidRDefault="00000000">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1269C5C7" w14:textId="77777777" w:rsidR="00DB2B68"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7ED51D95" w14:textId="77777777" w:rsidR="00DB2B68" w:rsidRDefault="00000000">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50DCE978" w14:textId="77777777" w:rsidR="00DB2B68" w:rsidRDefault="00000000">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14:paraId="45F582AD" w14:textId="77777777" w:rsidR="00DB2B68" w:rsidRDefault="00000000">
      <w:pPr>
        <w:jc w:val="both"/>
      </w:pPr>
      <w:r>
        <w:t xml:space="preserve">Le nombre de fixations est de min </w:t>
      </w:r>
      <w:r>
        <w:rPr>
          <w:rStyle w:val="optioncarChar"/>
        </w:rPr>
        <w:t xml:space="preserve">60 </w:t>
      </w:r>
      <w:r>
        <w:t>(par défaut)</w:t>
      </w:r>
      <w:r>
        <w:rPr>
          <w:rStyle w:val="optioncarChar"/>
        </w:rPr>
        <w:t xml:space="preserve"> / ***</w:t>
      </w:r>
      <w:r>
        <w:t xml:space="preserve"> chevilles par m².</w:t>
      </w:r>
    </w:p>
    <w:p w14:paraId="76A2F7C4" w14:textId="77777777" w:rsidR="00DB2B68" w:rsidRDefault="00000000">
      <w:pPr>
        <w:jc w:val="both"/>
      </w:pPr>
      <w:r>
        <w:lastRenderedPageBreak/>
        <w:t>En l’absence de méthode de calcul de stabilité harmonisée sur ce produit, les performances mécaniques sont déterminées par essais pour répondre aux exigences déterminées dans l’étude de stabilité.</w:t>
      </w:r>
    </w:p>
    <w:p w14:paraId="650820FF" w14:textId="77777777" w:rsidR="00DB2B68" w:rsidRDefault="00000000">
      <w:pPr>
        <w:jc w:val="both"/>
      </w:pPr>
      <w:r>
        <w:t>Pour une application de plancher, le rapport comprend les essais de flexion selon les deux directions du plan du panneau, de cisaillement ainsi que les modules de glissement.</w:t>
      </w:r>
    </w:p>
    <w:p w14:paraId="03E6CE27" w14:textId="77777777" w:rsidR="00DB2B68"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487F56C7" w14:textId="77777777" w:rsidR="00DB2B68" w:rsidRDefault="00000000">
      <w:pPr>
        <w:jc w:val="both"/>
      </w:pPr>
      <w:r>
        <w:t>Un jeu de </w:t>
      </w:r>
      <w:r>
        <w:rPr>
          <w:rStyle w:val="optioncarChar"/>
        </w:rPr>
        <w:t>0 </w:t>
      </w:r>
      <w:r>
        <w:t>(par défaut) </w:t>
      </w:r>
      <w:r>
        <w:rPr>
          <w:rStyle w:val="optioncarChar"/>
        </w:rPr>
        <w:t>/ 2 / 5 / *** mm</w:t>
      </w:r>
      <w:r>
        <w:t> est réservé entre les lamelles.</w:t>
      </w:r>
    </w:p>
    <w:p w14:paraId="5830FB5D" w14:textId="77777777" w:rsidR="00DB2B68"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6A280E47" w14:textId="77777777" w:rsidR="00DB2B68" w:rsidRDefault="00000000">
      <w:pPr>
        <w:pStyle w:val="pheading"/>
      </w:pPr>
      <w:r>
        <w:t>- Finitions</w:t>
      </w:r>
    </w:p>
    <w:p w14:paraId="1DB89E6D" w14:textId="77777777" w:rsidR="00DB2B68" w:rsidRDefault="00000000">
      <w:pPr>
        <w:jc w:val="both"/>
      </w:pPr>
      <w:r>
        <w:t>Exigences d’aspect : </w:t>
      </w:r>
      <w:r>
        <w:rPr>
          <w:rStyle w:val="optioncarChar"/>
        </w:rPr>
        <w:t>non-visible / visible industriel / visible habitat</w:t>
      </w:r>
      <w:r>
        <w:t> </w:t>
      </w:r>
      <w:r>
        <w:rPr>
          <w:rStyle w:val="optioncarChar"/>
        </w:rPr>
        <w:t>sur 1 face</w:t>
      </w:r>
      <w:r>
        <w:t>.</w:t>
      </w:r>
    </w:p>
    <w:p w14:paraId="4EA26CE6" w14:textId="77777777" w:rsidR="00DB2B68" w:rsidRDefault="00000000">
      <w:pPr>
        <w:jc w:val="both"/>
      </w:pPr>
      <w:r>
        <w:t>Les panneaux </w:t>
      </w:r>
      <w:r>
        <w:rPr>
          <w:rStyle w:val="optioncarChar"/>
        </w:rPr>
        <w:t>sont / ne sont pas</w:t>
      </w:r>
      <w:r>
        <w:t> (par défaut) munis de gaines (rainures) techniques et blochets intégrés non traversantes.</w:t>
      </w:r>
    </w:p>
    <w:p w14:paraId="4838A153" w14:textId="77777777" w:rsidR="00DB2B68" w:rsidRDefault="00000000">
      <w:pPr>
        <w:pStyle w:val="pheading"/>
      </w:pPr>
      <w:r>
        <w:t>- Prescriptions complémentaires</w:t>
      </w:r>
    </w:p>
    <w:p w14:paraId="3F91CAF7" w14:textId="77777777" w:rsidR="00DB2B68" w:rsidRDefault="00000000">
      <w:r>
        <w:rPr>
          <w:rStyle w:val="facultChar"/>
        </w:rPr>
        <w:t>Capacité thermique</w:t>
      </w:r>
      <w:r>
        <w:t xml:space="preserve"> : </w:t>
      </w:r>
      <w:r>
        <w:rPr>
          <w:rStyle w:val="optioncarChar"/>
        </w:rPr>
        <w:t xml:space="preserve">supérieure à 2 </w:t>
      </w:r>
      <w:r>
        <w:t xml:space="preserve">(par défaut) </w:t>
      </w:r>
      <w:r>
        <w:rPr>
          <w:rStyle w:val="optioncarChar"/>
        </w:rPr>
        <w:t>/ ***</w:t>
      </w:r>
      <w:r>
        <w:t>  </w:t>
      </w:r>
      <w:r>
        <w:rPr>
          <w:rStyle w:val="facultChar"/>
        </w:rPr>
        <w:t>kJ/kg.K</w:t>
      </w:r>
    </w:p>
    <w:p w14:paraId="57242917" w14:textId="77777777" w:rsidR="00DB2B68" w:rsidRDefault="00000000">
      <w:pPr>
        <w:pStyle w:val="pheading"/>
      </w:pPr>
      <w:r>
        <w:t>EXÉCUTION / MISE EN ŒUVRE</w:t>
      </w:r>
    </w:p>
    <w:p w14:paraId="21493C83" w14:textId="77777777" w:rsidR="00DB2B68" w:rsidRDefault="00000000">
      <w:pPr>
        <w:pStyle w:val="pheading"/>
      </w:pPr>
      <w:r>
        <w:t>- Prescriptions générales</w:t>
      </w:r>
    </w:p>
    <w:p w14:paraId="11A32950" w14:textId="77777777" w:rsidR="00DB2B68"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3B748C9F" w14:textId="77777777" w:rsidR="00DB2B68"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01439033" w14:textId="77777777" w:rsidR="00DB2B68" w:rsidRDefault="00000000">
      <w:pPr>
        <w:jc w:val="both"/>
      </w:pPr>
      <w:r>
        <w:t> </w:t>
      </w:r>
    </w:p>
    <w:p w14:paraId="17FF9F3D" w14:textId="77777777" w:rsidR="00DB2B68" w:rsidRDefault="00000000">
      <w:pPr>
        <w:jc w:val="both"/>
      </w:pPr>
      <w:r>
        <w:rPr>
          <w:b/>
          <w:i/>
        </w:rPr>
        <w:t>Fixation en pied de mur</w:t>
      </w:r>
    </w:p>
    <w:p w14:paraId="448CAF2B" w14:textId="77777777" w:rsidR="00DB2B68" w:rsidRDefault="00000000">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6428D8F3" w14:textId="77777777" w:rsidR="00DB2B68" w:rsidRDefault="00000000">
      <w:pPr>
        <w:ind w:left="567"/>
        <w:jc w:val="both"/>
      </w:pPr>
      <w:r>
        <w:rPr>
          <w:b/>
          <w:i/>
        </w:rPr>
        <w:t>(Soit par défaut)</w:t>
      </w:r>
    </w:p>
    <w:p w14:paraId="0E17E003" w14:textId="77777777" w:rsidR="00DB2B68" w:rsidRDefault="00000000">
      <w:pPr>
        <w:ind w:left="567"/>
        <w:jc w:val="both"/>
      </w:pPr>
      <w:r>
        <w:rPr>
          <w:rStyle w:val="soitChar"/>
          <w:u w:val="single"/>
        </w:rPr>
        <w:t>La lisse basse</w:t>
      </w:r>
      <w:r>
        <w:rPr>
          <w:rStyle w:val="soitChar"/>
        </w:rPr>
        <w:t> est fixée par </w:t>
      </w:r>
      <w:r>
        <w:t> </w:t>
      </w:r>
      <w:r>
        <w:rPr>
          <w:rStyle w:val="optioncarChar"/>
        </w:rPr>
        <w:t>chevilles métalliques</w:t>
      </w:r>
      <w:r>
        <w:t>  (par défaut) </w:t>
      </w:r>
      <w:r>
        <w:rPr>
          <w:rStyle w:val="optioncarChar"/>
        </w:rPr>
        <w:t>/ vis spécifique béton / tiges filetées et ancrages chimiques / équerres de fixation / ***</w:t>
      </w:r>
      <w:r>
        <w:rPr>
          <w:rStyle w:val="soitChar"/>
        </w:rPr>
        <w:t>. La lisse basse ou lisse de pose est décrite dans l’article </w:t>
      </w:r>
      <w:hyperlink w:anchor="592" w:history="1">
        <w:r>
          <w:rPr>
            <w:rStyle w:val="soitChar"/>
            <w:color w:val="0000EE"/>
          </w:rPr>
          <w:t>24.11.1a Lisses de pose en bois massif</w:t>
        </w:r>
      </w:hyperlink>
      <w:r>
        <w:rPr>
          <w:rStyle w:val="soitChar"/>
        </w:rPr>
        <w:t>.</w:t>
      </w:r>
    </w:p>
    <w:p w14:paraId="44F97EA0" w14:textId="77777777" w:rsidR="00DB2B68" w:rsidRDefault="00000000">
      <w:pPr>
        <w:ind w:left="567"/>
        <w:jc w:val="both"/>
      </w:pPr>
      <w:r>
        <w:rPr>
          <w:b/>
          <w:i/>
        </w:rPr>
        <w:t>(Soit)</w:t>
      </w:r>
    </w:p>
    <w:p w14:paraId="327B880F" w14:textId="77777777" w:rsidR="00DB2B68" w:rsidRDefault="00000000">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 </w:t>
      </w:r>
      <w:r>
        <w:rPr>
          <w:rStyle w:val="optioncarChar"/>
        </w:rPr>
        <w:t>/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14:paraId="481F6950" w14:textId="77777777" w:rsidR="00DB2B68" w:rsidRDefault="00000000">
      <w:pPr>
        <w:ind w:left="567"/>
        <w:jc w:val="both"/>
      </w:pPr>
      <w:r>
        <w:rPr>
          <w:b/>
          <w:i/>
        </w:rPr>
        <w:t>(Soit)</w:t>
      </w:r>
    </w:p>
    <w:p w14:paraId="7817EEF0" w14:textId="77777777" w:rsidR="00DB2B68" w:rsidRDefault="00000000">
      <w:pPr>
        <w:ind w:left="567"/>
        <w:jc w:val="both"/>
      </w:pPr>
      <w:r>
        <w:rPr>
          <w:rStyle w:val="optioncarChar"/>
        </w:rPr>
        <w:t>***</w:t>
      </w:r>
    </w:p>
    <w:p w14:paraId="493654F7" w14:textId="77777777" w:rsidR="00DB2B68" w:rsidRDefault="00DB2B68">
      <w:pPr>
        <w:ind w:left="567"/>
        <w:jc w:val="both"/>
      </w:pPr>
    </w:p>
    <w:p w14:paraId="4466513C" w14:textId="77777777" w:rsidR="00DB2B68" w:rsidRDefault="00000000">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24474BE8" w14:textId="77777777" w:rsidR="00DB2B68" w:rsidRDefault="00000000">
      <w:pPr>
        <w:jc w:val="both"/>
      </w:pPr>
      <w:r>
        <w:rPr>
          <w:b/>
          <w:i/>
        </w:rPr>
        <w:t>Fixation entre panneaux de même plan</w:t>
      </w:r>
    </w:p>
    <w:p w14:paraId="5E37C657" w14:textId="77777777" w:rsidR="00DB2B68" w:rsidRDefault="00000000">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14:paraId="1CC0E740" w14:textId="77777777" w:rsidR="00DB2B68" w:rsidRDefault="00000000">
      <w:pPr>
        <w:jc w:val="both"/>
      </w:pPr>
      <w:r>
        <w:rPr>
          <w:b/>
          <w:i/>
        </w:rPr>
        <w:lastRenderedPageBreak/>
        <w:t>Assemblage d’angles</w:t>
      </w:r>
    </w:p>
    <w:p w14:paraId="2F744E74" w14:textId="77777777" w:rsidR="00DB2B68" w:rsidRDefault="00000000">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14:paraId="1BF28791" w14:textId="77777777" w:rsidR="00DB2B68" w:rsidRDefault="00000000">
      <w:pPr>
        <w:ind w:left="567"/>
        <w:jc w:val="both"/>
      </w:pPr>
      <w:r>
        <w:rPr>
          <w:b/>
          <w:i/>
        </w:rPr>
        <w:t>(Soit par défaut)</w:t>
      </w:r>
    </w:p>
    <w:p w14:paraId="42478DD5" w14:textId="77777777" w:rsidR="00DB2B68" w:rsidRDefault="00000000">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14:paraId="4E18FB25" w14:textId="77777777" w:rsidR="00DB2B68" w:rsidRDefault="00000000">
      <w:pPr>
        <w:ind w:left="567"/>
        <w:jc w:val="both"/>
      </w:pPr>
      <w:r>
        <w:rPr>
          <w:b/>
          <w:i/>
        </w:rPr>
        <w:t>(Soit)</w:t>
      </w:r>
    </w:p>
    <w:p w14:paraId="2F67A152" w14:textId="77777777" w:rsidR="00DB2B68" w:rsidRDefault="00000000">
      <w:pPr>
        <w:ind w:left="567"/>
        <w:jc w:val="both"/>
      </w:pPr>
      <w:r>
        <w:rPr>
          <w:rStyle w:val="soitChar"/>
          <w:u w:val="single"/>
        </w:rPr>
        <w:t>Dispositifs d’ancrage ponctuels : </w:t>
      </w:r>
      <w:r>
        <w:rPr>
          <w:rStyle w:val="soitChar"/>
        </w:rPr>
        <w:t>Les dispositifs de fixation sont des </w:t>
      </w:r>
      <w:r>
        <w:t>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14:paraId="35A48954" w14:textId="77777777" w:rsidR="00DB2B68" w:rsidRDefault="00000000">
      <w:pPr>
        <w:ind w:left="567"/>
        <w:jc w:val="both"/>
      </w:pPr>
      <w:r>
        <w:rPr>
          <w:b/>
          <w:i/>
        </w:rPr>
        <w:t>(Soit)</w:t>
      </w:r>
    </w:p>
    <w:p w14:paraId="04351A62" w14:textId="77777777" w:rsidR="00DB2B68" w:rsidRDefault="00000000">
      <w:pPr>
        <w:ind w:left="567"/>
        <w:jc w:val="both"/>
      </w:pPr>
      <w:r>
        <w:rPr>
          <w:rStyle w:val="optioncarChar"/>
        </w:rPr>
        <w:t>***</w:t>
      </w:r>
    </w:p>
    <w:p w14:paraId="0441E44B" w14:textId="77777777" w:rsidR="00DB2B68" w:rsidRDefault="00000000">
      <w:pPr>
        <w:jc w:val="both"/>
      </w:pPr>
      <w:r>
        <w:t> </w:t>
      </w:r>
    </w:p>
    <w:p w14:paraId="6EDFB7AF" w14:textId="77777777" w:rsidR="00DB2B68" w:rsidRDefault="00000000">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14:paraId="17969562" w14:textId="77777777" w:rsidR="00DB2B68" w:rsidRDefault="00000000">
      <w:pPr>
        <w:jc w:val="both"/>
      </w:pPr>
      <w:r>
        <w:t>Les fixations, pointes ou vis, des panneaux sont effectuées sur</w:t>
      </w:r>
      <w:r>
        <w:rPr>
          <w:rStyle w:val="optioncarChar"/>
        </w:rPr>
        <w:t> 2/3 </w:t>
      </w:r>
      <w:r>
        <w:t>(par défaut)</w:t>
      </w:r>
      <w:r>
        <w:rPr>
          <w:rStyle w:val="optioncarChar"/>
        </w:rPr>
        <w:t> / ***</w:t>
      </w:r>
      <w:r>
        <w:t> de l’épaisseur du panneau.</w:t>
      </w:r>
    </w:p>
    <w:p w14:paraId="06ED9E28" w14:textId="77777777" w:rsidR="00DB2B68" w:rsidRDefault="00000000">
      <w:pPr>
        <w:jc w:val="both"/>
      </w:pPr>
      <w:r>
        <w:t>Les dispositifs d’ancrage sont décrits dans les éléments du </w:t>
      </w:r>
      <w:hyperlink w:anchor="585" w:history="1">
        <w:r>
          <w:rPr>
            <w:color w:val="0000EE"/>
          </w:rPr>
          <w:t>24.4 Assemblages</w:t>
        </w:r>
      </w:hyperlink>
      <w:r>
        <w:t>.</w:t>
      </w:r>
    </w:p>
    <w:p w14:paraId="64D917EE" w14:textId="77777777" w:rsidR="00DB2B68" w:rsidRDefault="00000000">
      <w:pPr>
        <w:pStyle w:val="pheading"/>
      </w:pPr>
      <w:r>
        <w:t>DOCUMENTS DE RÉFÉRENCE COMPLÉMENTAIRES</w:t>
      </w:r>
    </w:p>
    <w:p w14:paraId="7777F686" w14:textId="77777777" w:rsidR="00DB2B68" w:rsidRDefault="00000000">
      <w:pPr>
        <w:pStyle w:val="pheading"/>
      </w:pPr>
      <w:r>
        <w:t>- Matériau</w:t>
      </w:r>
    </w:p>
    <w:p w14:paraId="5039768E" w14:textId="77777777" w:rsidR="00DB2B68" w:rsidRDefault="00000000">
      <w:r>
        <w:t>[NBN EN 408+A1, Structures en bois - Bois de structure et bois lamellé-collé - Détermination de certaines propriétés physiques et mécaniques] </w:t>
      </w:r>
    </w:p>
    <w:p w14:paraId="4785F370" w14:textId="77777777" w:rsidR="00DB2B68" w:rsidRDefault="00000000">
      <w:r>
        <w:t>[NBN EN 594, Structures en bois - Méthodes d'essai - Essai de raideur et résistance au contreventement des murs à ossature en bois]</w:t>
      </w:r>
    </w:p>
    <w:p w14:paraId="78D8DEF5" w14:textId="77777777" w:rsidR="00DB2B68" w:rsidRDefault="00000000">
      <w:r>
        <w:t>[NBN EN 1991 série, Eurocode 1 : Actions sur les structures]</w:t>
      </w:r>
    </w:p>
    <w:p w14:paraId="32EE63F3" w14:textId="77777777" w:rsidR="00DB2B68" w:rsidRDefault="00000000">
      <w:r>
        <w:t>[NBN EN 1995 série, Eurocode 5: Conception et calcul des structures en bois]</w:t>
      </w:r>
    </w:p>
    <w:p w14:paraId="7E7D405C"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261AF685" w14:textId="77777777" w:rsidR="00DB2B68" w:rsidRDefault="00000000">
      <w:r>
        <w:t>[NBN EN 13556, Bois ronds et bois sciés - Nomenclature des bois utilisés en Europe]</w:t>
      </w:r>
    </w:p>
    <w:p w14:paraId="737011C6" w14:textId="77777777" w:rsidR="00DB2B68" w:rsidRDefault="00000000">
      <w:r>
        <w:t>[NBN EN 14358, Structures en bois - Détermination et vérification des valeurs caractéristiques]</w:t>
      </w:r>
    </w:p>
    <w:p w14:paraId="2D66C162" w14:textId="77777777" w:rsidR="00DB2B68" w:rsidRDefault="00000000">
      <w:r>
        <w:t>[NBN EN 16351, Structures en bois - Bois lamellé croisé - Exigences]</w:t>
      </w:r>
    </w:p>
    <w:p w14:paraId="5A15882B" w14:textId="77777777" w:rsidR="00DB2B68" w:rsidRDefault="00000000">
      <w:pPr>
        <w:pStyle w:val="pheading"/>
      </w:pPr>
      <w:r>
        <w:t>MESURAGE</w:t>
      </w:r>
    </w:p>
    <w:p w14:paraId="0715C2F9" w14:textId="77777777" w:rsidR="00DB2B68" w:rsidRDefault="00000000">
      <w:pPr>
        <w:pStyle w:val="pheading"/>
      </w:pPr>
      <w:r>
        <w:t>- unité de mesure:</w:t>
      </w:r>
    </w:p>
    <w:p w14:paraId="68E58CC4" w14:textId="77777777" w:rsidR="00DB2B68" w:rsidRDefault="00000000">
      <w:r>
        <w:rPr>
          <w:rStyle w:val="optioncarChar"/>
        </w:rPr>
        <w:t>m² </w:t>
      </w:r>
      <w:r>
        <w:t>(par défaut)</w:t>
      </w:r>
      <w:r>
        <w:rPr>
          <w:rStyle w:val="optioncarChar"/>
        </w:rPr>
        <w:t xml:space="preserve"> / m³ </w:t>
      </w:r>
    </w:p>
    <w:p w14:paraId="495631E4" w14:textId="77777777" w:rsidR="00DB2B68" w:rsidRDefault="00000000">
      <w:r>
        <w:rPr>
          <w:b/>
          <w:i/>
        </w:rPr>
        <w:t>(Soit par défaut)</w:t>
      </w:r>
    </w:p>
    <w:p w14:paraId="0AC4C6E2" w14:textId="77777777" w:rsidR="00DB2B68" w:rsidRDefault="00000000">
      <w:r>
        <w:rPr>
          <w:rStyle w:val="soitChar"/>
        </w:rPr>
        <w:t>1.     m²</w:t>
      </w:r>
    </w:p>
    <w:p w14:paraId="3A0E716B" w14:textId="77777777" w:rsidR="00DB2B68" w:rsidRDefault="00000000">
      <w:r>
        <w:rPr>
          <w:b/>
          <w:i/>
        </w:rPr>
        <w:t>(Soit)</w:t>
      </w:r>
    </w:p>
    <w:p w14:paraId="5721DAE1" w14:textId="77777777" w:rsidR="00DB2B68" w:rsidRDefault="00000000">
      <w:r>
        <w:rPr>
          <w:rStyle w:val="soitChar"/>
        </w:rPr>
        <w:t>2.     m³</w:t>
      </w:r>
    </w:p>
    <w:p w14:paraId="48D6CEBE" w14:textId="77777777" w:rsidR="00DB2B68" w:rsidRDefault="00000000">
      <w:pPr>
        <w:pStyle w:val="pheading"/>
      </w:pPr>
      <w:r>
        <w:t>- code de mesurage:</w:t>
      </w:r>
    </w:p>
    <w:p w14:paraId="73C6232A" w14:textId="77777777" w:rsidR="00DB2B68" w:rsidRDefault="00000000">
      <w:pPr>
        <w:jc w:val="both"/>
      </w:pPr>
      <w:r>
        <w:rPr>
          <w:rStyle w:val="optioncarChar"/>
        </w:rPr>
        <w:t>Surface nette </w:t>
      </w:r>
      <w:r>
        <w:t xml:space="preserve">(par défaut) </w:t>
      </w:r>
      <w:r>
        <w:rPr>
          <w:rStyle w:val="optioncarChar"/>
        </w:rPr>
        <w:t>/ Volume net </w:t>
      </w:r>
    </w:p>
    <w:p w14:paraId="134001CA" w14:textId="77777777" w:rsidR="00DB2B68" w:rsidRDefault="00000000">
      <w:pPr>
        <w:jc w:val="both"/>
      </w:pPr>
      <w:r>
        <w:rPr>
          <w:b/>
          <w:i/>
        </w:rPr>
        <w:lastRenderedPageBreak/>
        <w:t>(Soit par défaut)</w:t>
      </w:r>
    </w:p>
    <w:p w14:paraId="19915BDB" w14:textId="77777777" w:rsidR="00DB2B68" w:rsidRDefault="00000000">
      <w:pPr>
        <w:jc w:val="both"/>
      </w:pPr>
      <w:r>
        <w:rPr>
          <w:rStyle w:val="soitChar"/>
        </w:rPr>
        <w:t xml:space="preserve">1. </w:t>
      </w:r>
      <w:r>
        <w:rPr>
          <w:rStyle w:val="soitChar"/>
          <w:u w:val="single"/>
        </w:rPr>
        <w:t>Surface nette</w:t>
      </w:r>
      <w:r>
        <w:rPr>
          <w:rStyle w:val="soitChar"/>
        </w:rPr>
        <w:t> à mettre en œuvre. Les réservations inférieures à 2 m² ne sont pas déduites. Distinction faite suivant l'épaisseur.</w:t>
      </w:r>
    </w:p>
    <w:p w14:paraId="787DA03F" w14:textId="77777777" w:rsidR="00DB2B68" w:rsidRDefault="00000000">
      <w:pPr>
        <w:jc w:val="both"/>
      </w:pPr>
      <w:r>
        <w:rPr>
          <w:b/>
          <w:i/>
        </w:rPr>
        <w:t>(Soit)</w:t>
      </w:r>
    </w:p>
    <w:p w14:paraId="067979DD" w14:textId="77777777" w:rsidR="00DB2B68" w:rsidRDefault="00000000">
      <w:pPr>
        <w:jc w:val="both"/>
      </w:pPr>
      <w:r>
        <w:rPr>
          <w:rStyle w:val="soitChar"/>
        </w:rPr>
        <w:t xml:space="preserve">2. </w:t>
      </w:r>
      <w:r>
        <w:rPr>
          <w:rStyle w:val="soitChar"/>
          <w:u w:val="single"/>
        </w:rPr>
        <w:t>Volume net</w:t>
      </w:r>
      <w:r>
        <w:rPr>
          <w:rStyle w:val="soitChar"/>
        </w:rPr>
        <w:t> à mettre en œuvre. Les ouvertures supérieures à 2m² multipliées par l'épaisseur à réaliser sont déduites. Distinction faite suivant l'épaisseur.</w:t>
      </w:r>
    </w:p>
    <w:p w14:paraId="7D44D931" w14:textId="77777777" w:rsidR="00DB2B68" w:rsidRDefault="00000000">
      <w:pPr>
        <w:pStyle w:val="pheading"/>
      </w:pPr>
      <w:r>
        <w:t>- nature du marché:</w:t>
      </w:r>
    </w:p>
    <w:p w14:paraId="554D18B2" w14:textId="77777777" w:rsidR="00DB2B68" w:rsidRDefault="00000000">
      <w:r>
        <w:t>QF</w:t>
      </w:r>
    </w:p>
    <w:p w14:paraId="09B95416" w14:textId="77777777" w:rsidR="00DB2B68" w:rsidRDefault="00000000">
      <w:pPr>
        <w:pStyle w:val="Author-eSectionHeading5Numberless"/>
      </w:pPr>
      <w:bookmarkStart w:id="1633" w:name="_Toc220496621"/>
      <w:r>
        <w:t>24.15.2 Voiles en LVL CCTB 01.10</w:t>
      </w:r>
      <w:bookmarkEnd w:id="1633"/>
    </w:p>
    <w:p w14:paraId="25DB874B" w14:textId="77777777" w:rsidR="00DB2B68" w:rsidRDefault="00000000">
      <w:pPr>
        <w:pStyle w:val="Author-eSectionHeading6Numberless"/>
      </w:pPr>
      <w:bookmarkStart w:id="1634" w:name="_Toc220496622"/>
      <w:r>
        <w:t>24.15.2a Voiles en LVL CCTB 01.11</w:t>
      </w:r>
      <w:bookmarkEnd w:id="1634"/>
    </w:p>
    <w:p w14:paraId="71E1FDAB" w14:textId="77777777" w:rsidR="00DB2B68" w:rsidRDefault="00000000">
      <w:pPr>
        <w:pStyle w:val="pheading"/>
      </w:pPr>
      <w:r>
        <w:t>DESCRIPTION</w:t>
      </w:r>
    </w:p>
    <w:p w14:paraId="05CD7685" w14:textId="77777777" w:rsidR="00DB2B68" w:rsidRDefault="00000000">
      <w:pPr>
        <w:pStyle w:val="pheading"/>
      </w:pPr>
      <w:r>
        <w:t>- Définition / Comprend</w:t>
      </w:r>
    </w:p>
    <w:p w14:paraId="36488749" w14:textId="77777777" w:rsidR="00DB2B68" w:rsidRDefault="00000000">
      <w:r>
        <w:t>Il s'agit de panneaux autoportants fait de LVL et utilisés en voile.</w:t>
      </w:r>
    </w:p>
    <w:p w14:paraId="177AD37D" w14:textId="77777777" w:rsidR="00DB2B68" w:rsidRDefault="00000000">
      <w:r>
        <w:t xml:space="preserve">Le matériau LVL est défini dans </w:t>
      </w:r>
      <w:hyperlink w:anchor="89" w:history="1">
        <w:r>
          <w:rPr>
            <w:color w:val="0000EE"/>
          </w:rPr>
          <w:t>24 Superstructures en bois</w:t>
        </w:r>
      </w:hyperlink>
    </w:p>
    <w:p w14:paraId="5E101F53" w14:textId="77777777" w:rsidR="00DB2B68" w:rsidRDefault="00000000">
      <w:pPr>
        <w:pStyle w:val="pheading"/>
      </w:pPr>
      <w:r>
        <w:t>MATÉRIAUX</w:t>
      </w:r>
    </w:p>
    <w:p w14:paraId="2B8EA6D8" w14:textId="77777777" w:rsidR="00DB2B68" w:rsidRDefault="00000000">
      <w:pPr>
        <w:pStyle w:val="pheading"/>
      </w:pPr>
      <w:r>
        <w:t>- Caractéristiques générales</w:t>
      </w:r>
    </w:p>
    <w:p w14:paraId="1AA37155" w14:textId="77777777" w:rsidR="00DB2B68" w:rsidRDefault="00000000">
      <w:pPr>
        <w:jc w:val="both"/>
      </w:pPr>
      <w:r>
        <w:t>Classe d’emploi :</w:t>
      </w:r>
      <w:r>
        <w:rPr>
          <w:rStyle w:val="optioncarChar"/>
        </w:rPr>
        <w:t xml:space="preserve"> 1 </w:t>
      </w:r>
      <w:r>
        <w:t>(par défaut)</w:t>
      </w:r>
      <w:r>
        <w:rPr>
          <w:rStyle w:val="optioncarChar"/>
        </w:rPr>
        <w:t xml:space="preserve"> / 2 / ***</w:t>
      </w:r>
    </w:p>
    <w:p w14:paraId="0B3F7A96" w14:textId="77777777" w:rsidR="00DB2B68" w:rsidRDefault="00000000">
      <w:pPr>
        <w:jc w:val="both"/>
      </w:pPr>
      <w:r>
        <w:t>Teneur en humidité cible maximale des panneaux de LVL :</w:t>
      </w:r>
      <w:r>
        <w:rPr>
          <w:rStyle w:val="optioncarChar"/>
        </w:rPr>
        <w:t xml:space="preserve"> 12 % </w:t>
      </w:r>
      <w:r>
        <w:t xml:space="preserve">(par défaut) </w:t>
      </w:r>
      <w:r>
        <w:rPr>
          <w:rStyle w:val="optioncarChar"/>
        </w:rPr>
        <w:t>/ ***</w:t>
      </w:r>
    </w:p>
    <w:p w14:paraId="1D4E8285" w14:textId="77777777" w:rsidR="00DB2B68" w:rsidRDefault="00000000">
      <w:pPr>
        <w:jc w:val="both"/>
      </w:pPr>
      <w:r>
        <w:t>Durabilité des LVL :</w:t>
      </w:r>
      <w:r>
        <w:rPr>
          <w:rStyle w:val="optioncarChar"/>
        </w:rPr>
        <w:t xml:space="preserve"> LVL/1 </w:t>
      </w:r>
      <w:r>
        <w:t>(par défaut)</w:t>
      </w:r>
      <w:r>
        <w:rPr>
          <w:rStyle w:val="optioncarChar"/>
        </w:rPr>
        <w:t xml:space="preserve"> / LVL/2 / LVL/3</w:t>
      </w:r>
    </w:p>
    <w:p w14:paraId="67F1DA5E" w14:textId="77777777" w:rsidR="00DB2B68" w:rsidRDefault="00000000">
      <w:pPr>
        <w:jc w:val="both"/>
      </w:pPr>
      <w:r>
        <w:t xml:space="preserve">Essence des bois : </w:t>
      </w:r>
      <w:r>
        <w:rPr>
          <w:rStyle w:val="optioncarChar"/>
        </w:rPr>
        <w:t xml:space="preserve">résineuse </w:t>
      </w:r>
      <w:r>
        <w:t>(par défaut)</w:t>
      </w:r>
      <w:r>
        <w:rPr>
          <w:rStyle w:val="optioncarChar"/>
        </w:rPr>
        <w:t xml:space="preserve"> / feuillue / épicéa / pin / douglas / bouleau / peuplier / ***</w:t>
      </w:r>
    </w:p>
    <w:p w14:paraId="44532EE0" w14:textId="77777777" w:rsidR="00DB2B68" w:rsidRDefault="00000000">
      <w:pPr>
        <w:jc w:val="both"/>
      </w:pPr>
      <w:r>
        <w:t xml:space="preserve">Type de LVL : </w:t>
      </w:r>
      <w:r>
        <w:rPr>
          <w:rStyle w:val="optioncarChar"/>
        </w:rPr>
        <w:t xml:space="preserve">LVL Q </w:t>
      </w:r>
      <w:r>
        <w:t xml:space="preserve">(par défaut) </w:t>
      </w:r>
      <w:r>
        <w:rPr>
          <w:rStyle w:val="optioncarChar"/>
        </w:rPr>
        <w:t>/ LVL S </w:t>
      </w:r>
    </w:p>
    <w:p w14:paraId="463A2257" w14:textId="77777777" w:rsidR="00DB2B68" w:rsidRDefault="00000000">
      <w:pPr>
        <w:jc w:val="both"/>
      </w:pPr>
      <w:r>
        <w:t xml:space="preserve">Épaisseur du panneau : </w:t>
      </w:r>
      <w:r>
        <w:rPr>
          <w:rStyle w:val="optioncarChar"/>
        </w:rPr>
        <w:t>25 </w:t>
      </w:r>
      <w:r>
        <w:t xml:space="preserve">(par défaut) </w:t>
      </w:r>
      <w:r>
        <w:rPr>
          <w:rStyle w:val="optioncarChar"/>
        </w:rPr>
        <w:t>/ 30 / 40 / 50 / 60 / 75 / ***</w:t>
      </w:r>
    </w:p>
    <w:p w14:paraId="3F442AB6" w14:textId="77777777" w:rsidR="00DB2B68" w:rsidRDefault="00000000">
      <w:pPr>
        <w:jc w:val="both"/>
      </w:pPr>
      <w:r>
        <w:t xml:space="preserve">Surface des voiles : </w:t>
      </w:r>
      <w:r>
        <w:rPr>
          <w:rStyle w:val="optioncarChar"/>
        </w:rPr>
        <w:t xml:space="preserve">voir plan </w:t>
      </w:r>
      <w:r>
        <w:t xml:space="preserve">(par défaut) </w:t>
      </w:r>
      <w:r>
        <w:rPr>
          <w:rStyle w:val="optioncarChar"/>
        </w:rPr>
        <w:t>/ ***</w:t>
      </w:r>
    </w:p>
    <w:p w14:paraId="3527706B" w14:textId="77777777" w:rsidR="00DB2B68" w:rsidRDefault="00000000">
      <w:pPr>
        <w:jc w:val="both"/>
      </w:pPr>
      <w:r>
        <w:t>Caractéristiques mécaniques :</w:t>
      </w:r>
    </w:p>
    <w:p w14:paraId="45108CB7" w14:textId="77777777" w:rsidR="00DB2B68" w:rsidRDefault="00000000">
      <w:pPr>
        <w:pStyle w:val="Author-eListParagraph"/>
        <w:numPr>
          <w:ilvl w:val="0"/>
          <w:numId w:val="889"/>
        </w:numPr>
      </w:pPr>
      <w:r>
        <w:t>Résistance minimale en flexion à plat, fil parallèle : </w:t>
      </w:r>
      <w:r>
        <w:rPr>
          <w:rStyle w:val="optioncarChar"/>
        </w:rPr>
        <w:t>32 MPa </w:t>
      </w:r>
      <w:r>
        <w:t>(par défaut)</w:t>
      </w:r>
      <w:r>
        <w:rPr>
          <w:rStyle w:val="optioncarChar"/>
        </w:rPr>
        <w:t> / 36 MPa / ***</w:t>
      </w:r>
    </w:p>
    <w:p w14:paraId="26F32C23" w14:textId="77777777" w:rsidR="00DB2B68" w:rsidRDefault="00000000">
      <w:pPr>
        <w:pStyle w:val="Author-eListParagraph"/>
        <w:numPr>
          <w:ilvl w:val="0"/>
          <w:numId w:val="889"/>
        </w:numPr>
      </w:pPr>
      <w:r>
        <w:t>Résistance minimale en traction parallèle au fil du bois :</w:t>
      </w:r>
      <w:r>
        <w:rPr>
          <w:rStyle w:val="optioncarChar"/>
        </w:rPr>
        <w:t> 18 MPa </w:t>
      </w:r>
      <w:r>
        <w:t>(par défaut)</w:t>
      </w:r>
      <w:r>
        <w:rPr>
          <w:rStyle w:val="optioncarChar"/>
        </w:rPr>
        <w:t> / ***</w:t>
      </w:r>
    </w:p>
    <w:p w14:paraId="59F10485" w14:textId="77777777" w:rsidR="00DB2B68" w:rsidRDefault="00000000">
      <w:pPr>
        <w:pStyle w:val="Author-eListParagraph"/>
        <w:numPr>
          <w:ilvl w:val="0"/>
          <w:numId w:val="889"/>
        </w:numPr>
      </w:pPr>
      <w:r>
        <w:t>Résistance minimale en compression parallèle au fil du bois : </w:t>
      </w:r>
      <w:r>
        <w:rPr>
          <w:rStyle w:val="optioncarChar"/>
        </w:rPr>
        <w:t>30 MPa</w:t>
      </w:r>
      <w:r>
        <w:t> (par défaut)</w:t>
      </w:r>
      <w:r>
        <w:rPr>
          <w:rStyle w:val="optioncarChar"/>
        </w:rPr>
        <w:t> / ***</w:t>
      </w:r>
    </w:p>
    <w:p w14:paraId="0E4738F0" w14:textId="77777777" w:rsidR="00DB2B68" w:rsidRDefault="00000000">
      <w:pPr>
        <w:pStyle w:val="Author-eListParagraph"/>
        <w:numPr>
          <w:ilvl w:val="0"/>
          <w:numId w:val="889"/>
        </w:numPr>
      </w:pPr>
      <w:r>
        <w:t>Résistance minimale en cisaillement à plat : </w:t>
      </w:r>
      <w:r>
        <w:rPr>
          <w:rStyle w:val="optioncarChar"/>
        </w:rPr>
        <w:t>2 MPa </w:t>
      </w:r>
      <w:r>
        <w:t>(par défaut)</w:t>
      </w:r>
      <w:r>
        <w:rPr>
          <w:rStyle w:val="optioncarChar"/>
        </w:rPr>
        <w:t> / ***</w:t>
      </w:r>
    </w:p>
    <w:p w14:paraId="5D6001C3" w14:textId="77777777" w:rsidR="00DB2B68" w:rsidRDefault="00000000">
      <w:pPr>
        <w:pStyle w:val="Author-eListParagraph"/>
        <w:numPr>
          <w:ilvl w:val="0"/>
          <w:numId w:val="889"/>
        </w:numPr>
      </w:pPr>
      <w:r>
        <w:t>Module d’élasticité minimum parallèle au fil du bois (au fractile 5%) : </w:t>
      </w:r>
      <w:r>
        <w:rPr>
          <w:rStyle w:val="optioncarChar"/>
        </w:rPr>
        <w:t>9 GPa</w:t>
      </w:r>
      <w:r>
        <w:t> (par défaut)</w:t>
      </w:r>
      <w:r>
        <w:rPr>
          <w:rStyle w:val="optioncarChar"/>
        </w:rPr>
        <w:t> / ***</w:t>
      </w:r>
    </w:p>
    <w:p w14:paraId="473086FB" w14:textId="77777777" w:rsidR="00DB2B68" w:rsidRDefault="00000000">
      <w:pPr>
        <w:pStyle w:val="Author-eListParagraph"/>
        <w:numPr>
          <w:ilvl w:val="0"/>
          <w:numId w:val="889"/>
        </w:numPr>
      </w:pPr>
      <w:r>
        <w:t>Module de cisaillement à plat : </w:t>
      </w:r>
      <w:r>
        <w:rPr>
          <w:rStyle w:val="optioncarChar"/>
        </w:rPr>
        <w:t>130 MPa </w:t>
      </w:r>
      <w:r>
        <w:t>(par défaut) </w:t>
      </w:r>
      <w:r>
        <w:rPr>
          <w:rStyle w:val="optioncarChar"/>
        </w:rPr>
        <w:t>/ ***</w:t>
      </w:r>
    </w:p>
    <w:p w14:paraId="2BB72FAA" w14:textId="77777777" w:rsidR="00DB2B68"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2DAC567D" w14:textId="77777777" w:rsidR="00DB2B68" w:rsidRDefault="00000000">
      <w:pPr>
        <w:pStyle w:val="pheading"/>
      </w:pPr>
      <w:r>
        <w:t>- Finitions</w:t>
      </w:r>
    </w:p>
    <w:p w14:paraId="477EC90F" w14:textId="77777777" w:rsidR="00DB2B68" w:rsidRDefault="00000000">
      <w:r>
        <w:t xml:space="preserve">Finition de surface : </w:t>
      </w:r>
      <w:r>
        <w:rPr>
          <w:rStyle w:val="optioncarChar"/>
        </w:rPr>
        <w:t>non poncée</w:t>
      </w:r>
      <w:r>
        <w:t xml:space="preserve"> (par défaut)</w:t>
      </w:r>
      <w:r>
        <w:rPr>
          <w:rStyle w:val="optioncarChar"/>
        </w:rPr>
        <w:t xml:space="preserve"> / poncée </w:t>
      </w:r>
      <w:r>
        <w:t>sur </w:t>
      </w:r>
      <w:r>
        <w:rPr>
          <w:rStyle w:val="optioncarChar"/>
        </w:rPr>
        <w:t>1 / 2 </w:t>
      </w:r>
      <w:r>
        <w:t>faces.</w:t>
      </w:r>
    </w:p>
    <w:p w14:paraId="65F42182" w14:textId="77777777" w:rsidR="00DB2B68" w:rsidRDefault="00000000">
      <w:pPr>
        <w:pStyle w:val="pheading"/>
      </w:pPr>
      <w:r>
        <w:t>MESURAGE</w:t>
      </w:r>
    </w:p>
    <w:p w14:paraId="61B668FE" w14:textId="77777777" w:rsidR="00DB2B68" w:rsidRDefault="00000000">
      <w:pPr>
        <w:pStyle w:val="pheading"/>
      </w:pPr>
      <w:r>
        <w:t>- unité de mesure:</w:t>
      </w:r>
    </w:p>
    <w:p w14:paraId="2DE6C046" w14:textId="77777777" w:rsidR="00DB2B68" w:rsidRDefault="00000000">
      <w:r>
        <w:rPr>
          <w:rStyle w:val="optioncarChar"/>
        </w:rPr>
        <w:t>m³ </w:t>
      </w:r>
      <w:r>
        <w:t>(par défaut)</w:t>
      </w:r>
      <w:r>
        <w:rPr>
          <w:rStyle w:val="optioncarChar"/>
        </w:rPr>
        <w:t> / m² </w:t>
      </w:r>
    </w:p>
    <w:p w14:paraId="086B1BC5" w14:textId="77777777" w:rsidR="00DB2B68" w:rsidRDefault="00000000">
      <w:r>
        <w:rPr>
          <w:b/>
          <w:i/>
        </w:rPr>
        <w:t>(Soit par défaut)</w:t>
      </w:r>
    </w:p>
    <w:p w14:paraId="1014FBFB" w14:textId="77777777" w:rsidR="00DB2B68" w:rsidRDefault="00000000">
      <w:r>
        <w:rPr>
          <w:rStyle w:val="soitChar"/>
        </w:rPr>
        <w:t>1.     m³</w:t>
      </w:r>
    </w:p>
    <w:p w14:paraId="1013947E" w14:textId="77777777" w:rsidR="00DB2B68" w:rsidRDefault="00000000">
      <w:r>
        <w:rPr>
          <w:b/>
          <w:i/>
        </w:rPr>
        <w:t>(Soit)</w:t>
      </w:r>
    </w:p>
    <w:p w14:paraId="5A34641D" w14:textId="77777777" w:rsidR="00DB2B68" w:rsidRDefault="00000000">
      <w:r>
        <w:rPr>
          <w:rStyle w:val="soitChar"/>
        </w:rPr>
        <w:t>2.     m²</w:t>
      </w:r>
    </w:p>
    <w:p w14:paraId="26F18B2C" w14:textId="77777777" w:rsidR="00DB2B68" w:rsidRDefault="00000000">
      <w:pPr>
        <w:pStyle w:val="pheading"/>
      </w:pPr>
      <w:r>
        <w:lastRenderedPageBreak/>
        <w:t>- code de mesurage:</w:t>
      </w:r>
    </w:p>
    <w:p w14:paraId="1B74DA46" w14:textId="77777777" w:rsidR="00DB2B68" w:rsidRDefault="00000000">
      <w:r>
        <w:rPr>
          <w:rStyle w:val="optioncarChar"/>
        </w:rPr>
        <w:t> Volume net </w:t>
      </w:r>
      <w:r>
        <w:t>(par défaut) </w:t>
      </w:r>
      <w:r>
        <w:rPr>
          <w:rStyle w:val="optioncarChar"/>
        </w:rPr>
        <w:t>/ Surface nette </w:t>
      </w:r>
    </w:p>
    <w:p w14:paraId="6CE66740" w14:textId="77777777" w:rsidR="00DB2B68" w:rsidRDefault="00000000">
      <w:r>
        <w:rPr>
          <w:b/>
          <w:i/>
        </w:rPr>
        <w:t>(Soit par défaut)</w:t>
      </w:r>
    </w:p>
    <w:p w14:paraId="5E13E873" w14:textId="77777777" w:rsidR="00DB2B68" w:rsidRDefault="00000000">
      <w:r>
        <w:rPr>
          <w:rStyle w:val="soitChar"/>
        </w:rPr>
        <w:t>1</w:t>
      </w:r>
      <w:r>
        <w:rPr>
          <w:rStyle w:val="soitChar"/>
          <w:u w:val="single"/>
        </w:rPr>
        <w:t>. Volume net</w:t>
      </w:r>
      <w:r>
        <w:rPr>
          <w:rStyle w:val="soitChar"/>
        </w:rPr>
        <w:t> : le volume net des voiles ayant les mêmes caractéristiques est calculée. Les ouvertures dont la surface est inférieure à 0,5m² ne sont pas déduites.</w:t>
      </w:r>
    </w:p>
    <w:p w14:paraId="3CC97AB0" w14:textId="77777777" w:rsidR="00DB2B68" w:rsidRDefault="00000000">
      <w:r>
        <w:rPr>
          <w:b/>
          <w:i/>
        </w:rPr>
        <w:t>(Soit)</w:t>
      </w:r>
    </w:p>
    <w:p w14:paraId="187495E5" w14:textId="77777777" w:rsidR="00DB2B68" w:rsidRDefault="00000000">
      <w:r>
        <w:rPr>
          <w:rStyle w:val="soitChar"/>
        </w:rPr>
        <w:t>2. </w:t>
      </w:r>
      <w:r>
        <w:rPr>
          <w:rStyle w:val="soitChar"/>
          <w:u w:val="single"/>
        </w:rPr>
        <w:t>Surface nette</w:t>
      </w:r>
      <w:r>
        <w:rPr>
          <w:rStyle w:val="soitChar"/>
        </w:rPr>
        <w:t> : la surface des voiles ayant la même épaisseur et les mêmes caractéristiques est calculée. Les ouvertures inférieures à 0,5m² ne sont pas déduites.</w:t>
      </w:r>
    </w:p>
    <w:p w14:paraId="4BA73181" w14:textId="77777777" w:rsidR="00DB2B68" w:rsidRDefault="00000000">
      <w:pPr>
        <w:pStyle w:val="pheading"/>
      </w:pPr>
      <w:r>
        <w:t>- nature du marché:</w:t>
      </w:r>
    </w:p>
    <w:p w14:paraId="68230E5B" w14:textId="77777777" w:rsidR="00DB2B68" w:rsidRDefault="00000000">
      <w:r>
        <w:rPr>
          <w:rStyle w:val="optioncarChar"/>
        </w:rPr>
        <w:t>QF</w:t>
      </w:r>
      <w:r>
        <w:t> (par défaut)</w:t>
      </w:r>
      <w:r>
        <w:rPr>
          <w:rStyle w:val="optioncarChar"/>
        </w:rPr>
        <w:t> / QP</w:t>
      </w:r>
    </w:p>
    <w:p w14:paraId="23EAB9DD" w14:textId="77777777" w:rsidR="00DB2B68" w:rsidRDefault="00000000">
      <w:r>
        <w:rPr>
          <w:b/>
          <w:i/>
        </w:rPr>
        <w:t>(Soit par défaut)</w:t>
      </w:r>
    </w:p>
    <w:p w14:paraId="7EE90FF9" w14:textId="77777777" w:rsidR="00DB2B68" w:rsidRDefault="00000000">
      <w:r>
        <w:rPr>
          <w:rStyle w:val="soitChar"/>
        </w:rPr>
        <w:t>1.2     QF</w:t>
      </w:r>
    </w:p>
    <w:p w14:paraId="4E16C89B" w14:textId="77777777" w:rsidR="00DB2B68" w:rsidRDefault="00000000">
      <w:r>
        <w:rPr>
          <w:b/>
          <w:i/>
        </w:rPr>
        <w:t>(Soit)</w:t>
      </w:r>
    </w:p>
    <w:p w14:paraId="5B1AB39B" w14:textId="77777777" w:rsidR="00DB2B68" w:rsidRDefault="00000000">
      <w:r>
        <w:rPr>
          <w:rStyle w:val="soitChar"/>
        </w:rPr>
        <w:t>1.2     QP</w:t>
      </w:r>
    </w:p>
    <w:p w14:paraId="2A691E39" w14:textId="77777777" w:rsidR="00DB2B68" w:rsidRDefault="00000000">
      <w:pPr>
        <w:pStyle w:val="pheading"/>
      </w:pPr>
      <w:r>
        <w:t>AIDE</w:t>
      </w:r>
    </w:p>
    <w:p w14:paraId="1DB92D2D" w14:textId="77777777" w:rsidR="00DB2B68" w:rsidRDefault="00000000">
      <w:r>
        <w:t>Le code suivant peut être utilisé pour la dénomination du poste :</w:t>
      </w:r>
    </w:p>
    <w:p w14:paraId="6406E13A" w14:textId="77777777" w:rsidR="00DB2B68" w:rsidRDefault="00000000">
      <w:r>
        <w:t>LVL 1 / 2 / 3 / 4 / 5</w:t>
      </w:r>
    </w:p>
    <w:p w14:paraId="76FB4BA7" w14:textId="77777777" w:rsidR="00DB2B68" w:rsidRDefault="00000000">
      <w:r>
        <w:t>Avec :</w:t>
      </w:r>
    </w:p>
    <w:p w14:paraId="219240DA" w14:textId="77777777" w:rsidR="00DB2B68" w:rsidRDefault="00000000">
      <w:r>
        <w:t>1 : type de LVL (LVL S ou LVL Q)</w:t>
      </w:r>
      <w:r>
        <w:br/>
        <w:t>2 : épaisseur du panneau (en mm)</w:t>
      </w:r>
      <w:r>
        <w:br/>
        <w:t>3 : exigence d’aspect (+ nombre de face)</w:t>
      </w:r>
      <w:r>
        <w:br/>
        <w:t>4 : la classe d’emploi des voiles</w:t>
      </w:r>
      <w:r>
        <w:br/>
        <w:t>5 : la méthode utilisée pour garantir la durabilité des voiles</w:t>
      </w:r>
      <w:r>
        <w:br/>
        <w:t> </w:t>
      </w:r>
    </w:p>
    <w:p w14:paraId="02CEB65A" w14:textId="77777777" w:rsidR="00DB2B68" w:rsidRDefault="00000000">
      <w:r>
        <w:t>Ce qui donne, par exemple :</w:t>
      </w:r>
    </w:p>
    <w:p w14:paraId="4F36554A" w14:textId="77777777" w:rsidR="00DB2B68" w:rsidRDefault="00000000">
      <w:r>
        <w:t>LVL S / 45 / Poncé – 1 face / 1 / non-applicable</w:t>
      </w:r>
    </w:p>
    <w:p w14:paraId="7272D35F" w14:textId="77777777" w:rsidR="00DB2B68" w:rsidRDefault="00000000">
      <w:pPr>
        <w:pStyle w:val="Author-eSectionHeading4Numberless"/>
      </w:pPr>
      <w:bookmarkStart w:id="1635" w:name="_Toc220496623"/>
      <w:r>
        <w:t>24.16 Panneaux structuraux minces à base de bois CCTB 01.12</w:t>
      </w:r>
      <w:bookmarkEnd w:id="1635"/>
    </w:p>
    <w:p w14:paraId="3A23CC0A" w14:textId="77777777" w:rsidR="00DB2B68" w:rsidRDefault="00000000">
      <w:pPr>
        <w:pStyle w:val="pheading"/>
      </w:pPr>
      <w:r>
        <w:t>DESCRIPTION</w:t>
      </w:r>
    </w:p>
    <w:p w14:paraId="0A575E19" w14:textId="77777777" w:rsidR="00DB2B68" w:rsidRDefault="00000000">
      <w:pPr>
        <w:pStyle w:val="pheading"/>
      </w:pPr>
      <w:r>
        <w:t>- Définition / Comprend</w:t>
      </w:r>
    </w:p>
    <w:p w14:paraId="54C19CFA" w14:textId="77777777" w:rsidR="00DB2B68" w:rsidRDefault="00000000">
      <w:pPr>
        <w:jc w:val="both"/>
      </w:pPr>
      <w:r>
        <w:t>Il s’agit de panneaux dont l’épaisseur totale est &lt; 50 mm et qui sont fabriqués à partir d’éléments (plis, copeaux, fibres, …) qui ont eux-mêmes une épaisseur &lt; 3 mm.</w:t>
      </w:r>
    </w:p>
    <w:p w14:paraId="22B00FFE" w14:textId="77777777" w:rsidR="00DB2B68" w:rsidRDefault="00000000">
      <w:pPr>
        <w:pStyle w:val="pheading"/>
      </w:pPr>
      <w:r>
        <w:t>MATÉRIAUX</w:t>
      </w:r>
    </w:p>
    <w:p w14:paraId="57624FB3" w14:textId="77777777" w:rsidR="00DB2B68" w:rsidRDefault="00000000">
      <w:pPr>
        <w:jc w:val="both"/>
      </w:pPr>
      <w:r>
        <w:t>La classe d’émission de formaldéhyde E1 est quasiment généralisée chez les fabricants européens. Certains présentent une classe E0 qui ne correspond à aucune référence normative.</w:t>
      </w:r>
    </w:p>
    <w:p w14:paraId="71986A5B" w14:textId="77777777" w:rsidR="00DB2B68" w:rsidRDefault="00000000">
      <w:pPr>
        <w:pStyle w:val="pheading"/>
      </w:pPr>
      <w:r>
        <w:t>DOCUMENTS DE RÉFÉRENCE</w:t>
      </w:r>
    </w:p>
    <w:p w14:paraId="7F350736" w14:textId="77777777" w:rsidR="00DB2B68" w:rsidRDefault="00000000">
      <w:pPr>
        <w:pStyle w:val="pheading"/>
      </w:pPr>
      <w:r>
        <w:t>- Matériau</w:t>
      </w:r>
    </w:p>
    <w:p w14:paraId="3062A106" w14:textId="77777777" w:rsidR="00DB2B68" w:rsidRDefault="00000000">
      <w:r>
        <w:t>[NBN EN 300, Panneaux de lamelles minces, longues et orientées (OSB) - Définitions, classification et exigences]</w:t>
      </w:r>
    </w:p>
    <w:p w14:paraId="52C82724" w14:textId="77777777" w:rsidR="00DB2B68" w:rsidRDefault="00000000">
      <w:r>
        <w:t>[NBN EN 312, Panneaux de particules - Exigences]</w:t>
      </w:r>
    </w:p>
    <w:p w14:paraId="63926040" w14:textId="77777777" w:rsidR="00DB2B68" w:rsidRDefault="00000000">
      <w:r>
        <w:t>[NBN EN 314-2, Contreplaqué - Qualité du collage - Partie 2: Exigences]</w:t>
      </w:r>
    </w:p>
    <w:p w14:paraId="01835EBB" w14:textId="77777777" w:rsidR="00DB2B68" w:rsidRDefault="00000000">
      <w:r>
        <w:lastRenderedPageBreak/>
        <w:t>[NBN EN 622-5, Panneaux de fibres - Exigences - Partie 5 : Exigences pour panneaux obtenus par procédé à sec (MDF)]</w:t>
      </w:r>
    </w:p>
    <w:p w14:paraId="27D5D97E" w14:textId="77777777" w:rsidR="00DB2B68" w:rsidRDefault="00000000">
      <w:r>
        <w:t>[NBN EN 636+A1, Contreplaqué - Exigences]</w:t>
      </w:r>
    </w:p>
    <w:p w14:paraId="52057B09" w14:textId="77777777" w:rsidR="00DB2B68" w:rsidRDefault="00000000">
      <w:r>
        <w:t>[NBN EN 789, Structures en bois - Méthodes d'essai - Détermination des propriétés mécaniques des panneaux à base de bois]</w:t>
      </w:r>
    </w:p>
    <w:p w14:paraId="374DD975" w14:textId="77777777" w:rsidR="00DB2B68" w:rsidRDefault="00000000">
      <w:r>
        <w:t>[NBN EN 1058, Panneaux à base de bois - Détermination des valeurs caractéristiques correspondant au fractile à 5 % d'exclusion et des valeurs caractéristiques moyennes]</w:t>
      </w:r>
    </w:p>
    <w:p w14:paraId="409C1CBE" w14:textId="77777777" w:rsidR="00DB2B68" w:rsidRDefault="00000000">
      <w:r>
        <w:t>[NBN EN 12369 série, Panneaux à base de bois - Valeurs caractéristiques pour la conception des structures -]</w:t>
      </w:r>
    </w:p>
    <w:p w14:paraId="40078A8D" w14:textId="77777777" w:rsidR="00DB2B68" w:rsidRDefault="00000000">
      <w:r>
        <w:t>[NBN EN 12871, Panneaux à base de bois - Détermination des caractéristiques de performance des panneaux travaillants utilisés en planchers, toitures et murs]</w:t>
      </w:r>
    </w:p>
    <w:p w14:paraId="7C5B21C7" w14:textId="77777777" w:rsidR="00DB2B68" w:rsidRDefault="00000000">
      <w:r>
        <w:t>[NBN EN 13986+A1, Panneaux à base de bois destinés à la construction - Caractéristiques, évaluation de conformité et marquage]</w:t>
      </w:r>
    </w:p>
    <w:p w14:paraId="4F2BD856" w14:textId="77777777" w:rsidR="00DB2B68" w:rsidRDefault="00000000">
      <w:r>
        <w:t>[STS 04.4, Bois et panneaux à base de bois : panneaux dérivés du bois]</w:t>
      </w:r>
    </w:p>
    <w:p w14:paraId="60173D9F" w14:textId="77777777" w:rsidR="00DB2B68" w:rsidRDefault="00000000">
      <w:pPr>
        <w:pStyle w:val="Author-eSectionHeading5Numberless"/>
      </w:pPr>
      <w:bookmarkStart w:id="1636" w:name="_Toc220496624"/>
      <w:r>
        <w:t>24.16.1 Panneaux structuraux minces à base de bois CCTB 01.07</w:t>
      </w:r>
      <w:bookmarkEnd w:id="1636"/>
    </w:p>
    <w:p w14:paraId="76A3E98E" w14:textId="77777777" w:rsidR="00DB2B68" w:rsidRDefault="00000000">
      <w:pPr>
        <w:pStyle w:val="Author-eSectionHeading6Numberless"/>
      </w:pPr>
      <w:bookmarkStart w:id="1637" w:name="_Toc220496625"/>
      <w:r>
        <w:t>24.16.1a Panneaux contreplaqués (PW) CCTB 01.11</w:t>
      </w:r>
      <w:bookmarkEnd w:id="1637"/>
    </w:p>
    <w:p w14:paraId="0943E2E7" w14:textId="77777777" w:rsidR="00DB2B68" w:rsidRDefault="00000000">
      <w:pPr>
        <w:pStyle w:val="pheading"/>
      </w:pPr>
      <w:bookmarkStart w:id="1638" w:name="598"/>
      <w:bookmarkEnd w:id="1638"/>
      <w:r>
        <w:t>DESCRIPTION</w:t>
      </w:r>
    </w:p>
    <w:p w14:paraId="0C646434" w14:textId="77777777" w:rsidR="00DB2B68" w:rsidRDefault="00000000">
      <w:pPr>
        <w:pStyle w:val="pheading"/>
      </w:pPr>
      <w:r>
        <w:t>- Définition / Comprend</w:t>
      </w:r>
    </w:p>
    <w:p w14:paraId="0264DFC8" w14:textId="77777777" w:rsidR="00DB2B68" w:rsidRDefault="00000000">
      <w:pPr>
        <w:jc w:val="both"/>
      </w:pPr>
      <w:r>
        <w:t>Il s’agit de panneaux, plats ou moulés, composés d’un empilage de plis de bois à fils majoritairement croisés. La cohésion entre les couches de l’empilage est assurée par un liant organique.</w:t>
      </w:r>
    </w:p>
    <w:p w14:paraId="72E9BAAB" w14:textId="77777777" w:rsidR="00DB2B68" w:rsidRDefault="00000000">
      <w:pPr>
        <w:jc w:val="both"/>
      </w:pPr>
      <w:r>
        <w:rPr>
          <w:b/>
        </w:rPr>
        <w:t>Remarques importantes</w:t>
      </w:r>
    </w:p>
    <w:p w14:paraId="0BAB291D" w14:textId="77777777" w:rsidR="00DB2B68" w:rsidRDefault="00000000">
      <w:pPr>
        <w:jc w:val="both"/>
      </w:pPr>
      <w:r>
        <w:t>Les panneaux contreplaqués peuvent parfois être appelés plywood, ou encore multiplex.</w:t>
      </w:r>
    </w:p>
    <w:p w14:paraId="4054F2CF" w14:textId="77777777" w:rsidR="00DB2B68" w:rsidRDefault="00000000">
      <w:pPr>
        <w:pStyle w:val="pheading"/>
      </w:pPr>
      <w:r>
        <w:t>MATÉRIAUX</w:t>
      </w:r>
    </w:p>
    <w:p w14:paraId="15F3CEA9" w14:textId="77777777" w:rsidR="00DB2B68" w:rsidRDefault="00000000">
      <w:pPr>
        <w:pStyle w:val="pheading"/>
      </w:pPr>
      <w:r>
        <w:t>- Caractéristiques générales</w:t>
      </w:r>
    </w:p>
    <w:p w14:paraId="454BEC9B" w14:textId="77777777" w:rsidR="00DB2B68" w:rsidRDefault="00000000">
      <w:pPr>
        <w:jc w:val="both"/>
      </w:pPr>
      <w:r>
        <w:t xml:space="preserve">Classe d’emploi selon (selon [NBN EN 335]) : </w:t>
      </w:r>
      <w:r>
        <w:rPr>
          <w:rStyle w:val="optioncarChar"/>
        </w:rPr>
        <w:t>1 / 2 / 3</w:t>
      </w:r>
    </w:p>
    <w:p w14:paraId="0CC0CD87" w14:textId="77777777" w:rsidR="00DB2B68" w:rsidRDefault="00000000">
      <w:pPr>
        <w:ind w:left="567"/>
        <w:jc w:val="both"/>
      </w:pPr>
      <w:r>
        <w:rPr>
          <w:b/>
          <w:i/>
        </w:rPr>
        <w:t>(Soit)</w:t>
      </w:r>
    </w:p>
    <w:p w14:paraId="5B997800" w14:textId="77777777" w:rsidR="00DB2B68" w:rsidRDefault="00000000">
      <w:pPr>
        <w:ind w:left="567"/>
        <w:jc w:val="both"/>
      </w:pPr>
      <w:r>
        <w:rPr>
          <w:rStyle w:val="soitChar"/>
          <w:u w:val="single"/>
        </w:rPr>
        <w:t>Classe d’emploi 1</w:t>
      </w:r>
    </w:p>
    <w:p w14:paraId="299D8E8A" w14:textId="77777777" w:rsidR="00DB2B68" w:rsidRDefault="00000000">
      <w:pPr>
        <w:ind w:left="567"/>
        <w:jc w:val="both"/>
      </w:pPr>
      <w:r>
        <w:rPr>
          <w:rStyle w:val="soitChar"/>
        </w:rPr>
        <w:t>Un type de panneau utilisé en milieu sec est prévu.  La qualité du collage doit satisfaire aux exigences de la classe de collage 1 de la [NBN EN 314-2].</w:t>
      </w:r>
    </w:p>
    <w:p w14:paraId="1C72053F" w14:textId="77777777" w:rsidR="00DB2B68" w:rsidRDefault="00000000">
      <w:pPr>
        <w:ind w:left="567"/>
        <w:jc w:val="both"/>
      </w:pPr>
      <w:r>
        <w:rPr>
          <w:b/>
          <w:i/>
        </w:rPr>
        <w:t>(Soit)</w:t>
      </w:r>
    </w:p>
    <w:p w14:paraId="5D4015CE" w14:textId="77777777" w:rsidR="00DB2B68" w:rsidRDefault="00000000">
      <w:pPr>
        <w:ind w:left="567"/>
        <w:jc w:val="both"/>
      </w:pPr>
      <w:r>
        <w:rPr>
          <w:rStyle w:val="soitChar"/>
          <w:u w:val="single"/>
        </w:rPr>
        <w:t>Classe d’emploi 2</w:t>
      </w:r>
    </w:p>
    <w:p w14:paraId="7E916A75" w14:textId="77777777" w:rsidR="00DB2B68" w:rsidRDefault="00000000">
      <w:pPr>
        <w:ind w:left="567"/>
        <w:jc w:val="both"/>
      </w:pPr>
      <w:r>
        <w:rPr>
          <w:rStyle w:val="soitChar"/>
        </w:rPr>
        <w:t>Un type de panneau utilisé en milieu humide est prévu.  La qualité du collage doit satisfaire aux exigences de la classe de collage 2 de la [NBN EN 312].</w:t>
      </w:r>
    </w:p>
    <w:p w14:paraId="2BADF68D" w14:textId="77777777" w:rsidR="00DB2B68" w:rsidRDefault="00000000">
      <w:pPr>
        <w:ind w:left="567"/>
        <w:jc w:val="both"/>
      </w:pPr>
      <w:r>
        <w:rPr>
          <w:b/>
          <w:i/>
        </w:rPr>
        <w:t>(Soit)</w:t>
      </w:r>
    </w:p>
    <w:p w14:paraId="4BD8565D" w14:textId="77777777" w:rsidR="00DB2B68" w:rsidRDefault="00000000">
      <w:pPr>
        <w:ind w:left="567"/>
        <w:jc w:val="both"/>
      </w:pPr>
      <w:r>
        <w:rPr>
          <w:rStyle w:val="soitChar"/>
          <w:u w:val="single"/>
        </w:rPr>
        <w:t>Classe d’emploi 3</w:t>
      </w:r>
    </w:p>
    <w:p w14:paraId="45761124" w14:textId="77777777" w:rsidR="00DB2B68" w:rsidRDefault="00000000">
      <w:pPr>
        <w:ind w:left="567"/>
        <w:jc w:val="both"/>
      </w:pPr>
      <w:r>
        <w:rPr>
          <w:rStyle w:val="soitChar"/>
        </w:rPr>
        <w:t>Un type de panneau utilisé en milieu extérieur est prévu.  La qualité du collage doit satisfaire aux exigences de la classe de collage 3 de la [NBN EN 314-2]. Selon la [NBN EN 636+A1], la performance de la plupart des contreplaqués est compromise si un traitement de préservation adapté et/ou un revêtement de la surface et des chants n’est pas appliqué et si les panneaux ne sont pas mis en œuvre et entretenu correctement.</w:t>
      </w:r>
      <w:r>
        <w:t> </w:t>
      </w:r>
    </w:p>
    <w:p w14:paraId="5D7C665F" w14:textId="77777777" w:rsidR="00DB2B68" w:rsidRDefault="00000000">
      <w:pPr>
        <w:jc w:val="both"/>
      </w:pPr>
      <w:r>
        <w:t>Dimensions d’un panneau :</w:t>
      </w:r>
    </w:p>
    <w:p w14:paraId="0870319E" w14:textId="77777777" w:rsidR="00DB2B68" w:rsidRDefault="00000000">
      <w:pPr>
        <w:pStyle w:val="Author-eListParagraph"/>
        <w:numPr>
          <w:ilvl w:val="0"/>
          <w:numId w:val="890"/>
        </w:numPr>
      </w:pPr>
      <w:r>
        <w:t xml:space="preserve">épaisseur : </w:t>
      </w:r>
      <w:r>
        <w:rPr>
          <w:rStyle w:val="optioncarChar"/>
        </w:rPr>
        <w:t>***mm</w:t>
      </w:r>
      <w:r>
        <w:t xml:space="preserve"> (comprise entre 6 et 30 mm)</w:t>
      </w:r>
    </w:p>
    <w:p w14:paraId="532C2B7A" w14:textId="77777777" w:rsidR="00DB2B68" w:rsidRDefault="00000000">
      <w:pPr>
        <w:pStyle w:val="Author-eListParagraph"/>
        <w:numPr>
          <w:ilvl w:val="0"/>
          <w:numId w:val="890"/>
        </w:numPr>
      </w:pPr>
      <w:r>
        <w:t>largeur :  </w:t>
      </w:r>
      <w:r>
        <w:rPr>
          <w:rStyle w:val="optioncarChar"/>
        </w:rPr>
        <w:t xml:space="preserve">au choix du soumissionnaire </w:t>
      </w:r>
      <w:r>
        <w:t>(par défaut)</w:t>
      </w:r>
      <w:r>
        <w:rPr>
          <w:rStyle w:val="optioncarChar"/>
        </w:rPr>
        <w:t xml:space="preserve"> / 1,25 m / 1,53 m / ***</w:t>
      </w:r>
    </w:p>
    <w:p w14:paraId="608CC02F" w14:textId="77777777" w:rsidR="00DB2B68" w:rsidRDefault="00000000">
      <w:pPr>
        <w:pStyle w:val="Author-eListParagraph"/>
        <w:numPr>
          <w:ilvl w:val="0"/>
          <w:numId w:val="890"/>
        </w:numPr>
      </w:pPr>
      <w:r>
        <w:lastRenderedPageBreak/>
        <w:t>longueur :  </w:t>
      </w:r>
      <w:r>
        <w:rPr>
          <w:rStyle w:val="optioncarChar"/>
        </w:rPr>
        <w:t xml:space="preserve">au choix du soumissionnaire </w:t>
      </w:r>
      <w:r>
        <w:t xml:space="preserve">(par défaut) </w:t>
      </w:r>
      <w:r>
        <w:rPr>
          <w:rStyle w:val="optioncarChar"/>
        </w:rPr>
        <w:t>/ 2,50 m / 3,10 m / ***</w:t>
      </w:r>
    </w:p>
    <w:p w14:paraId="12B5B540" w14:textId="77777777" w:rsidR="00DB2B68" w:rsidRDefault="00000000">
      <w:pPr>
        <w:jc w:val="both"/>
      </w:pPr>
      <w:r>
        <w:t> </w:t>
      </w:r>
    </w:p>
    <w:p w14:paraId="5FF71A7C" w14:textId="77777777" w:rsidR="00DB2B68" w:rsidRDefault="00000000">
      <w:pPr>
        <w:jc w:val="both"/>
      </w:pPr>
      <w:r>
        <w:t xml:space="preserve">Classe de réaction au feu : </w:t>
      </w:r>
      <w:r>
        <w:rPr>
          <w:rStyle w:val="optioncarChar"/>
        </w:rPr>
        <w:t>D-s2,d0</w:t>
      </w:r>
      <w:r>
        <w:t xml:space="preserve"> (par défaut)</w:t>
      </w:r>
      <w:r>
        <w:rPr>
          <w:rStyle w:val="optioncarChar"/>
        </w:rPr>
        <w:t xml:space="preserve"> / D</w:t>
      </w:r>
      <w:r>
        <w:rPr>
          <w:rStyle w:val="optioncarChar"/>
          <w:vertAlign w:val="subscript"/>
        </w:rPr>
        <w:t>FL</w:t>
      </w:r>
      <w:r>
        <w:rPr>
          <w:rStyle w:val="optioncarChar"/>
        </w:rPr>
        <w:t>-s1 / ***</w:t>
      </w:r>
    </w:p>
    <w:p w14:paraId="25BFF6C4" w14:textId="77777777" w:rsidR="00DB2B68" w:rsidRDefault="00000000">
      <w:pPr>
        <w:jc w:val="both"/>
      </w:pPr>
      <w:r>
        <w:t>La classe D-s2,d0 est attribuée sans essais pour un panneau d’une épaisseur supérieure ou égale à 9 mm et d’une masse volumique supérieure ou égale à 400 kg/m³ pour autant que leur montage soit conforme à ce qui est décrit dans la [Décision 2003/43/CE]. Si une meilleure classe de réaction au feu est recherchée, les panneaux devront subir un traitement ignifuge. Il est alors nécessaire de prouver la compatibilité de ce traitement avec tout autre traitements et/ou collage prescrit.</w:t>
      </w:r>
    </w:p>
    <w:p w14:paraId="506A905F" w14:textId="77777777" w:rsidR="00DB2B68"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23317E2E" w14:textId="77777777" w:rsidR="00DB2B68" w:rsidRDefault="00000000">
      <w:pPr>
        <w:jc w:val="both"/>
      </w:pPr>
      <w:r>
        <w:t xml:space="preserve">Usinage des bords : </w:t>
      </w:r>
      <w:r>
        <w:rPr>
          <w:rStyle w:val="optioncarChar"/>
        </w:rPr>
        <w:t>droits / rainurés languetés </w:t>
      </w:r>
      <w:r>
        <w:t>(par défaut)</w:t>
      </w:r>
    </w:p>
    <w:p w14:paraId="3CC2733E" w14:textId="77777777" w:rsidR="00DB2B68" w:rsidRDefault="00000000">
      <w:pPr>
        <w:jc w:val="both"/>
      </w:pPr>
      <w:r>
        <w:t>La teneur en humidité des panneaux contreplaqués est inférieure à 12 %.</w:t>
      </w:r>
    </w:p>
    <w:p w14:paraId="0ACBE4C6" w14:textId="77777777" w:rsidR="00DB2B68" w:rsidRDefault="00000000">
      <w:pPr>
        <w:jc w:val="both"/>
      </w:pPr>
      <w:r>
        <w:t>Les tolérances sur la longueur, la largeur, l’épaisseur, la rectitude des bords et l’équerrage précisés dans la [NBN EN 315] sont suivies.</w:t>
      </w:r>
    </w:p>
    <w:p w14:paraId="4B142BD6" w14:textId="77777777" w:rsidR="00DB2B68" w:rsidRDefault="00000000">
      <w:pPr>
        <w:jc w:val="both"/>
      </w:pPr>
      <w:r>
        <w:t>Les valeurs caractéristiques de résistance, de masse volumique et de rigidité sont déterminées selon les [NBN EN 789] et [NBN EN 1058], ou selon la [NBN EN 14272] ou sont déduites conformément à la [NBN EN 12369-2].</w:t>
      </w:r>
    </w:p>
    <w:p w14:paraId="5FE29B83" w14:textId="77777777" w:rsidR="00DB2B68" w:rsidRDefault="00000000">
      <w:pPr>
        <w:jc w:val="both"/>
      </w:pPr>
      <w:r>
        <w:t>Les propriétés de conductivité thermique et de perméabilité à la vapeur d’eau sont déduites de la masse volumique dans la [NBN EN 13986+A1].</w:t>
      </w:r>
    </w:p>
    <w:p w14:paraId="1374EA93" w14:textId="77777777" w:rsidR="00DB2B68" w:rsidRDefault="00000000">
      <w:pPr>
        <w:jc w:val="both"/>
      </w:pPr>
      <w:r>
        <w:t xml:space="preserve">Classe minimale de résistance en flexion dans le sens de la longueur (selon [NBN EN 636+A1]) : </w:t>
      </w:r>
      <w:r>
        <w:rPr>
          <w:rStyle w:val="optioncarChar"/>
        </w:rPr>
        <w:t>F10 </w:t>
      </w:r>
      <w:r>
        <w:t>(par défaut)</w:t>
      </w:r>
      <w:r>
        <w:rPr>
          <w:rStyle w:val="optioncarChar"/>
        </w:rPr>
        <w:t xml:space="preserve"> / F15 / F20 / ***</w:t>
      </w:r>
    </w:p>
    <w:p w14:paraId="0757D828" w14:textId="77777777" w:rsidR="00DB2B68" w:rsidRDefault="00000000">
      <w:pPr>
        <w:jc w:val="both"/>
      </w:pPr>
      <w:r>
        <w:t>Classe minimale de résistance en flexion dans le sens de la largeur (selon [NBN EN 636+A1]) :</w:t>
      </w:r>
      <w:r>
        <w:rPr>
          <w:rStyle w:val="optioncarChar"/>
        </w:rPr>
        <w:t xml:space="preserve"> F10 </w:t>
      </w:r>
      <w:r>
        <w:t>(par défaut)</w:t>
      </w:r>
      <w:r>
        <w:rPr>
          <w:rStyle w:val="optioncarChar"/>
        </w:rPr>
        <w:t xml:space="preserve"> / F15 / F20 / ***</w:t>
      </w:r>
    </w:p>
    <w:p w14:paraId="500C2656" w14:textId="77777777" w:rsidR="00DB2B68" w:rsidRDefault="00000000">
      <w:pPr>
        <w:jc w:val="both"/>
      </w:pPr>
      <w:r>
        <w:t xml:space="preserve">Classe minimale de module en flexion dans le sens de la longueur (selon [NBN EN 636+A1]) : </w:t>
      </w:r>
      <w:r>
        <w:rPr>
          <w:rStyle w:val="optioncarChar"/>
        </w:rPr>
        <w:t>E10</w:t>
      </w:r>
      <w:r>
        <w:t> (par défaut)</w:t>
      </w:r>
      <w:r>
        <w:rPr>
          <w:rStyle w:val="optioncarChar"/>
        </w:rPr>
        <w:t xml:space="preserve"> / E15 / E20 / ***</w:t>
      </w:r>
    </w:p>
    <w:p w14:paraId="7D2786BB" w14:textId="77777777" w:rsidR="00DB2B68" w:rsidRDefault="00000000">
      <w:pPr>
        <w:jc w:val="both"/>
      </w:pPr>
      <w:r>
        <w:t xml:space="preserve">Classe minimale de module en flexion dans le sens de la largeur (selon [NBN EN 636+A1]) : </w:t>
      </w:r>
      <w:r>
        <w:rPr>
          <w:rStyle w:val="optioncarChar"/>
        </w:rPr>
        <w:t>E10 </w:t>
      </w:r>
      <w:r>
        <w:t>(par défaut)</w:t>
      </w:r>
      <w:r>
        <w:rPr>
          <w:rStyle w:val="optioncarChar"/>
        </w:rPr>
        <w:t xml:space="preserve"> / E15 / E20 / ***</w:t>
      </w:r>
    </w:p>
    <w:p w14:paraId="7068BDCD" w14:textId="77777777" w:rsidR="00DB2B68" w:rsidRDefault="00000000">
      <w:pPr>
        <w:ind w:left="750"/>
      </w:pPr>
      <w:r>
        <w:t> </w:t>
      </w:r>
    </w:p>
    <w:p w14:paraId="7D4643B3" w14:textId="77777777" w:rsidR="00DB2B68" w:rsidRDefault="00000000">
      <w:pPr>
        <w:pStyle w:val="pheading"/>
      </w:pPr>
      <w:r>
        <w:t>- Finitions</w:t>
      </w:r>
    </w:p>
    <w:p w14:paraId="0BA02F54" w14:textId="77777777" w:rsidR="00DB2B68" w:rsidRDefault="00000000">
      <w:r>
        <w:t>Les panneaux contreplaqués sont</w:t>
      </w:r>
      <w:r>
        <w:rPr>
          <w:rStyle w:val="optioncarChar"/>
        </w:rPr>
        <w:t xml:space="preserve"> non-poncés </w:t>
      </w:r>
      <w:r>
        <w:t>(par défaut)</w:t>
      </w:r>
      <w:r>
        <w:rPr>
          <w:rStyle w:val="optioncarChar"/>
        </w:rPr>
        <w:t xml:space="preserve"> / poncés.</w:t>
      </w:r>
    </w:p>
    <w:p w14:paraId="1B446264" w14:textId="77777777" w:rsidR="00DB2B68" w:rsidRDefault="00000000">
      <w:pPr>
        <w:pStyle w:val="pheading"/>
      </w:pPr>
      <w:r>
        <w:t>MESURAGE</w:t>
      </w:r>
    </w:p>
    <w:p w14:paraId="297F44A3" w14:textId="77777777" w:rsidR="00DB2B68" w:rsidRDefault="00000000">
      <w:pPr>
        <w:pStyle w:val="pheading"/>
      </w:pPr>
      <w:r>
        <w:t>- unité de mesure:</w:t>
      </w:r>
    </w:p>
    <w:p w14:paraId="1278DE6F" w14:textId="77777777" w:rsidR="00DB2B68" w:rsidRDefault="00000000">
      <w:r>
        <w:t>m²</w:t>
      </w:r>
    </w:p>
    <w:p w14:paraId="41FA0B29" w14:textId="77777777" w:rsidR="00DB2B68" w:rsidRDefault="00000000">
      <w:pPr>
        <w:pStyle w:val="pheading"/>
      </w:pPr>
      <w:r>
        <w:t>- code de mesurage:</w:t>
      </w:r>
    </w:p>
    <w:p w14:paraId="308AFEA2" w14:textId="77777777" w:rsidR="00DB2B68" w:rsidRDefault="00000000">
      <w:pPr>
        <w:jc w:val="both"/>
      </w:pPr>
      <w:r>
        <w:rPr>
          <w:u w:val="single"/>
        </w:rPr>
        <w:t>Surface nette:</w:t>
      </w:r>
    </w:p>
    <w:p w14:paraId="5F57656A" w14:textId="77777777" w:rsidR="00DB2B68" w:rsidRDefault="00000000">
      <w:pPr>
        <w:jc w:val="both"/>
      </w:pPr>
      <w:r>
        <w:t>La surface nette des panneaux ayant la même épaisseur et les mêmes caractéristiques est calculée. Les ouvertures inférieures à 0,5m² ne sont pas déduites.</w:t>
      </w:r>
    </w:p>
    <w:p w14:paraId="36DA882C" w14:textId="77777777" w:rsidR="00DB2B68" w:rsidRDefault="00000000">
      <w:pPr>
        <w:pStyle w:val="pheading"/>
      </w:pPr>
      <w:r>
        <w:t>- nature du marché:</w:t>
      </w:r>
    </w:p>
    <w:p w14:paraId="78A6D2B4" w14:textId="77777777" w:rsidR="00DB2B68" w:rsidRDefault="00000000">
      <w:r>
        <w:rPr>
          <w:rStyle w:val="optioncarChar"/>
        </w:rPr>
        <w:t xml:space="preserve">QF </w:t>
      </w:r>
      <w:r>
        <w:t xml:space="preserve">(par défaut) </w:t>
      </w:r>
      <w:r>
        <w:rPr>
          <w:rStyle w:val="optioncarChar"/>
        </w:rPr>
        <w:t>/ QP</w:t>
      </w:r>
    </w:p>
    <w:p w14:paraId="32EE319C" w14:textId="77777777" w:rsidR="00DB2B68" w:rsidRDefault="00000000">
      <w:pPr>
        <w:pStyle w:val="Author-eSectionHeading6Numberless"/>
      </w:pPr>
      <w:bookmarkStart w:id="1639" w:name="_Toc220496626"/>
      <w:r>
        <w:t>24.16.1b Panneaux OSB CCTB 01.11</w:t>
      </w:r>
      <w:bookmarkEnd w:id="1639"/>
    </w:p>
    <w:p w14:paraId="76F20F00" w14:textId="77777777" w:rsidR="00DB2B68" w:rsidRDefault="00000000">
      <w:pPr>
        <w:pStyle w:val="pheading"/>
      </w:pPr>
      <w:bookmarkStart w:id="1640" w:name="597"/>
      <w:bookmarkEnd w:id="1640"/>
      <w:r>
        <w:t>DESCRIPTION</w:t>
      </w:r>
    </w:p>
    <w:p w14:paraId="3F367154" w14:textId="77777777" w:rsidR="00DB2B68" w:rsidRDefault="00000000">
      <w:pPr>
        <w:pStyle w:val="pheading"/>
      </w:pPr>
      <w:r>
        <w:t>- Définition / Comprend</w:t>
      </w:r>
    </w:p>
    <w:p w14:paraId="26A686F3" w14:textId="77777777" w:rsidR="00DB2B68" w:rsidRDefault="00000000">
      <w:pPr>
        <w:jc w:val="both"/>
      </w:pPr>
      <w:r>
        <w:t xml:space="preserve">Il s’agit de panneaux constitués de lamelles de bois orientées et liées au moyen de colle. Les lamelles des couches extérieures sont orientées parallèlement à la longueur du panneau, tandis que </w:t>
      </w:r>
      <w:r>
        <w:lastRenderedPageBreak/>
        <w:t>celles de la couche intermédiaire sont orientées soit aléatoirement, soit perpendiculairement à la longueur du panneau.</w:t>
      </w:r>
    </w:p>
    <w:p w14:paraId="5D93CD2D" w14:textId="77777777" w:rsidR="00DB2B68" w:rsidRDefault="00000000">
      <w:pPr>
        <w:jc w:val="both"/>
      </w:pPr>
      <w:r>
        <w:rPr>
          <w:b/>
        </w:rPr>
        <w:t>Remarques importantes</w:t>
      </w:r>
    </w:p>
    <w:p w14:paraId="0A331A55" w14:textId="77777777" w:rsidR="00DB2B68" w:rsidRDefault="00000000">
      <w:pPr>
        <w:jc w:val="both"/>
      </w:pPr>
      <w:r>
        <w:t>La norme produit qui concerne les panneaux OSB est la [NBN EN 300].</w:t>
      </w:r>
    </w:p>
    <w:p w14:paraId="6585E054" w14:textId="77777777" w:rsidR="00DB2B68" w:rsidRDefault="00000000">
      <w:pPr>
        <w:jc w:val="both"/>
      </w:pPr>
      <w:r>
        <w:t>Les panneaux OSB portent un marquage CE selon la [NBN EN 13986+A1].</w:t>
      </w:r>
    </w:p>
    <w:p w14:paraId="5BFBF239" w14:textId="77777777" w:rsidR="00DB2B68" w:rsidRDefault="00000000">
      <w:pPr>
        <w:pStyle w:val="pheading"/>
      </w:pPr>
      <w:r>
        <w:t>MATÉRIAUX</w:t>
      </w:r>
    </w:p>
    <w:p w14:paraId="6B884A46" w14:textId="77777777" w:rsidR="00DB2B68" w:rsidRDefault="00000000">
      <w:pPr>
        <w:pStyle w:val="pheading"/>
      </w:pPr>
      <w:r>
        <w:t>- Caractéristiques générales</w:t>
      </w:r>
    </w:p>
    <w:p w14:paraId="669649E7" w14:textId="77777777" w:rsidR="00DB2B68" w:rsidRDefault="00000000">
      <w:pPr>
        <w:jc w:val="both"/>
      </w:pPr>
      <w:r>
        <w:t xml:space="preserve">Classe d’emploi selon (selon [NBN EN 335]) : </w:t>
      </w:r>
      <w:r>
        <w:rPr>
          <w:rStyle w:val="optioncarChar"/>
        </w:rPr>
        <w:t>1 / 2</w:t>
      </w:r>
    </w:p>
    <w:p w14:paraId="2E9E011B" w14:textId="77777777" w:rsidR="00DB2B68" w:rsidRDefault="00000000">
      <w:pPr>
        <w:jc w:val="both"/>
      </w:pPr>
      <w:r>
        <w:t>Les panneaux OSB ne sont pas adaptés à un usage en classe d’emploi supérieure à 2.</w:t>
      </w:r>
    </w:p>
    <w:p w14:paraId="7E9D28A5" w14:textId="77777777" w:rsidR="00DB2B68" w:rsidRDefault="00000000">
      <w:pPr>
        <w:jc w:val="both"/>
      </w:pPr>
      <w:r>
        <w:t xml:space="preserve">Type de panneau (selon [NBN EN 312]) : </w:t>
      </w:r>
      <w:r>
        <w:rPr>
          <w:rStyle w:val="optioncarChar"/>
        </w:rPr>
        <w:t>OSB 2 / OSB 3 / OSB 4</w:t>
      </w:r>
    </w:p>
    <w:p w14:paraId="6E2D38DA" w14:textId="77777777" w:rsidR="00DB2B68" w:rsidRDefault="00000000">
      <w:pPr>
        <w:jc w:val="both"/>
      </w:pPr>
      <w:r>
        <w:t>Les panneaux de type OSB 1 ne sont pas adaptés à un usage structurel. Les panneaux de type OSB2 ne peuvent être utilisés que dans la classe d’emploi 1.</w:t>
      </w:r>
    </w:p>
    <w:p w14:paraId="57EAE739" w14:textId="77777777" w:rsidR="00DB2B68" w:rsidRDefault="00000000">
      <w:pPr>
        <w:jc w:val="both"/>
      </w:pPr>
      <w:r>
        <w:t>Dimensions d’un panneau :</w:t>
      </w:r>
    </w:p>
    <w:p w14:paraId="69B5626D" w14:textId="77777777" w:rsidR="00DB2B68" w:rsidRDefault="00000000">
      <w:pPr>
        <w:pStyle w:val="Author-eListParagraph"/>
        <w:numPr>
          <w:ilvl w:val="0"/>
          <w:numId w:val="891"/>
        </w:numPr>
      </w:pPr>
      <w:r>
        <w:t xml:space="preserve">épaisseur : </w:t>
      </w:r>
      <w:r>
        <w:rPr>
          <w:rStyle w:val="optioncarChar"/>
        </w:rPr>
        <w:t>*** mm</w:t>
      </w:r>
      <w:r>
        <w:t xml:space="preserve"> (comprise entre 6 et 40mm)</w:t>
      </w:r>
    </w:p>
    <w:p w14:paraId="6E8DDEF0" w14:textId="77777777" w:rsidR="00DB2B68" w:rsidRDefault="00000000">
      <w:pPr>
        <w:pStyle w:val="Author-eListParagraph"/>
        <w:numPr>
          <w:ilvl w:val="0"/>
          <w:numId w:val="891"/>
        </w:numPr>
      </w:pPr>
      <w:r>
        <w:t xml:space="preserve">surface : </w:t>
      </w:r>
      <w:r>
        <w:rPr>
          <w:rStyle w:val="optioncarChar"/>
        </w:rPr>
        <w:t>244 x 122 cm²</w:t>
      </w:r>
      <w:r>
        <w:t xml:space="preserve"> (par défaut)</w:t>
      </w:r>
      <w:r>
        <w:rPr>
          <w:rStyle w:val="optioncarChar"/>
        </w:rPr>
        <w:t> / 250 x 125 cm² / 500 x 125 cm² / 500 x 250 cm² / ***</w:t>
      </w:r>
      <w:r>
        <w:br/>
      </w:r>
    </w:p>
    <w:p w14:paraId="53AE9A3E" w14:textId="77777777" w:rsidR="00DB2B68" w:rsidRDefault="00000000">
      <w:pPr>
        <w:jc w:val="both"/>
      </w:pPr>
      <w:r>
        <w:t xml:space="preserve">Classe de réaction au feu : </w:t>
      </w:r>
      <w:r>
        <w:rPr>
          <w:rStyle w:val="optioncarChar"/>
        </w:rPr>
        <w:t xml:space="preserve">D-s2,d0 </w:t>
      </w:r>
      <w:r>
        <w:t xml:space="preserve">(par défaut) </w:t>
      </w:r>
      <w:r>
        <w:rPr>
          <w:rStyle w:val="optioncarChar"/>
        </w:rPr>
        <w:t>/ D</w:t>
      </w:r>
      <w:r>
        <w:rPr>
          <w:rStyle w:val="optioncarChar"/>
          <w:vertAlign w:val="subscript"/>
        </w:rPr>
        <w:t>FL</w:t>
      </w:r>
      <w:r>
        <w:rPr>
          <w:rStyle w:val="optioncarChar"/>
        </w:rPr>
        <w:t>-s1 / ***</w:t>
      </w:r>
    </w:p>
    <w:p w14:paraId="6C601C81" w14:textId="77777777" w:rsidR="00DB2B68" w:rsidRDefault="00000000">
      <w:pPr>
        <w:jc w:val="both"/>
      </w:pPr>
      <w:r>
        <w:t>La classe D-s2,d0 est attribuée sans essais pour un panneau d’une épaisseur supérieure ou égale à 9mm et d’une masse volumique supérieure ou égale à 600kg/m³ pour autant que leur montage soit conforme à ce qui est décrit dans la norme [NBN EN 13986+A1]. Si une meilleure classe de réaction au feu est recherchée, les panneaux doivent subir un traitement ignifuge. Il est alors nécessaire de prouver la compatibilité de ce traitement avec tout autre traitements et/ou collage prescrit.</w:t>
      </w:r>
    </w:p>
    <w:p w14:paraId="3E3274DA" w14:textId="77777777" w:rsidR="00DB2B68"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30B9AFEE" w14:textId="77777777" w:rsidR="00DB2B68" w:rsidRDefault="00000000">
      <w:pPr>
        <w:jc w:val="both"/>
      </w:pPr>
      <w:r>
        <w:t xml:space="preserve">Usinage des bords : </w:t>
      </w:r>
      <w:r>
        <w:rPr>
          <w:rStyle w:val="optioncarChar"/>
        </w:rPr>
        <w:t>droits / rainurés languetés </w:t>
      </w:r>
      <w:r>
        <w:t>(par défaut)</w:t>
      </w:r>
    </w:p>
    <w:p w14:paraId="5E9F040B" w14:textId="77777777" w:rsidR="00DB2B68" w:rsidRDefault="00000000">
      <w:pPr>
        <w:jc w:val="both"/>
      </w:pPr>
      <w:r>
        <w:t>La teneur en humidité des panneaux OSB est inférieure à 12%.</w:t>
      </w:r>
    </w:p>
    <w:p w14:paraId="156AF7E2" w14:textId="77777777" w:rsidR="00DB2B68" w:rsidRDefault="00000000">
      <w:pPr>
        <w:jc w:val="both"/>
      </w:pPr>
      <w:r>
        <w:t>Les tolérances sur la longueur, la largeur, l’épaisseur et la rectitude des bords sont précisés à la [NBN EN 324-1] et la [NBN EN 324-2].</w:t>
      </w:r>
    </w:p>
    <w:p w14:paraId="43B4636E" w14:textId="77777777" w:rsidR="00DB2B68" w:rsidRDefault="00000000">
      <w:pPr>
        <w:pStyle w:val="pheading"/>
      </w:pPr>
      <w:r>
        <w:t>- Finitions</w:t>
      </w:r>
    </w:p>
    <w:p w14:paraId="7A5753FD" w14:textId="77777777" w:rsidR="00DB2B68" w:rsidRDefault="00000000">
      <w:r>
        <w:t xml:space="preserve">Les panneaux OSB sont </w:t>
      </w:r>
      <w:r>
        <w:rPr>
          <w:rStyle w:val="optioncarChar"/>
        </w:rPr>
        <w:t xml:space="preserve">non-poncés </w:t>
      </w:r>
      <w:r>
        <w:t>(par défaut) </w:t>
      </w:r>
      <w:r>
        <w:rPr>
          <w:rStyle w:val="optioncarChar"/>
        </w:rPr>
        <w:t>/ poncés</w:t>
      </w:r>
      <w:r>
        <w:t>.</w:t>
      </w:r>
    </w:p>
    <w:p w14:paraId="033E19BC" w14:textId="77777777" w:rsidR="00DB2B68" w:rsidRDefault="00000000">
      <w:pPr>
        <w:pStyle w:val="pheading"/>
      </w:pPr>
      <w:r>
        <w:t>MESURAGE</w:t>
      </w:r>
    </w:p>
    <w:p w14:paraId="006DE87D" w14:textId="77777777" w:rsidR="00DB2B68" w:rsidRDefault="00000000">
      <w:pPr>
        <w:pStyle w:val="pheading"/>
      </w:pPr>
      <w:r>
        <w:t>- unité de mesure:</w:t>
      </w:r>
    </w:p>
    <w:p w14:paraId="137CB6D1" w14:textId="77777777" w:rsidR="00DB2B68" w:rsidRDefault="00000000">
      <w:r>
        <w:t>m²</w:t>
      </w:r>
    </w:p>
    <w:p w14:paraId="327E2B44" w14:textId="77777777" w:rsidR="00DB2B68" w:rsidRDefault="00000000">
      <w:pPr>
        <w:pStyle w:val="pheading"/>
      </w:pPr>
      <w:r>
        <w:t>- code de mesurage:</w:t>
      </w:r>
    </w:p>
    <w:p w14:paraId="2D4E9106" w14:textId="77777777" w:rsidR="00DB2B68" w:rsidRDefault="00000000">
      <w:pPr>
        <w:jc w:val="both"/>
      </w:pPr>
      <w:r>
        <w:rPr>
          <w:u w:val="single"/>
        </w:rPr>
        <w:t>Surface nette:</w:t>
      </w:r>
    </w:p>
    <w:p w14:paraId="3A1E5D82" w14:textId="77777777" w:rsidR="00DB2B68" w:rsidRDefault="00000000">
      <w:pPr>
        <w:jc w:val="both"/>
      </w:pPr>
      <w:r>
        <w:t>La surface nette des panneaux ayant la même épaisseur et les mêmes caractéristiques est calculée. Les ouvertures inférieures à 0,5m² ne sont pas déduites.</w:t>
      </w:r>
    </w:p>
    <w:p w14:paraId="39F62542" w14:textId="77777777" w:rsidR="00DB2B68" w:rsidRDefault="00000000">
      <w:pPr>
        <w:pStyle w:val="pheading"/>
      </w:pPr>
      <w:r>
        <w:t>- nature du marché:</w:t>
      </w:r>
    </w:p>
    <w:p w14:paraId="3300376F" w14:textId="77777777" w:rsidR="00DB2B68" w:rsidRDefault="00000000">
      <w:r>
        <w:rPr>
          <w:rStyle w:val="optioncarChar"/>
        </w:rPr>
        <w:t xml:space="preserve">QF </w:t>
      </w:r>
      <w:r>
        <w:t xml:space="preserve">(par défaut) </w:t>
      </w:r>
      <w:r>
        <w:rPr>
          <w:rStyle w:val="optioncarChar"/>
        </w:rPr>
        <w:t>/ QP</w:t>
      </w:r>
    </w:p>
    <w:p w14:paraId="2A5B6ABA" w14:textId="77777777" w:rsidR="00DB2B68" w:rsidRDefault="00000000">
      <w:pPr>
        <w:pStyle w:val="pheading"/>
      </w:pPr>
      <w:r>
        <w:t>AIDE</w:t>
      </w:r>
    </w:p>
    <w:p w14:paraId="101A2D67" w14:textId="77777777" w:rsidR="00DB2B68" w:rsidRDefault="00000000">
      <w:pPr>
        <w:jc w:val="both"/>
      </w:pPr>
      <w:r>
        <w:t>Les propriétés de résistance, de rigidité, de durabilité, de masse volumique, de perméabilité à la vapeur d’eau et de conductivité thermique dépendent du type de panneau et de son épaisseur. Celles-ci sont définies dans les normes [NBN EN 12369 série] et [NBN EN 13986+A1].</w:t>
      </w:r>
    </w:p>
    <w:p w14:paraId="574C7500" w14:textId="77777777" w:rsidR="00DB2B68" w:rsidRDefault="00000000">
      <w:pPr>
        <w:pStyle w:val="Author-eSectionHeading6Numberless"/>
      </w:pPr>
      <w:bookmarkStart w:id="1641" w:name="_Toc220496627"/>
      <w:r>
        <w:lastRenderedPageBreak/>
        <w:t>24.16.1c Panneaux de particules (PB) CCTB 01.11</w:t>
      </w:r>
      <w:bookmarkEnd w:id="1641"/>
    </w:p>
    <w:p w14:paraId="2B315DC3" w14:textId="77777777" w:rsidR="00DB2B68" w:rsidRDefault="00000000">
      <w:pPr>
        <w:pStyle w:val="pheading"/>
      </w:pPr>
      <w:r>
        <w:t>DESCRIPTION</w:t>
      </w:r>
    </w:p>
    <w:p w14:paraId="1FE6D6BC" w14:textId="77777777" w:rsidR="00DB2B68" w:rsidRDefault="00000000">
      <w:pPr>
        <w:pStyle w:val="pheading"/>
      </w:pPr>
      <w:r>
        <w:t>- Définition / Comprend</w:t>
      </w:r>
    </w:p>
    <w:p w14:paraId="75C8BC6A" w14:textId="77777777" w:rsidR="00DB2B68" w:rsidRDefault="00000000">
      <w:pPr>
        <w:jc w:val="both"/>
      </w:pPr>
      <w:r>
        <w:t>Il s’agit de panneaux constitués de particules de bois, fabriqués sous pression et chaleur. Ces particules, avec éventuellement d’autres particules provenant d’un matériau lignocellulosique, sont liées au moyen de colle.</w:t>
      </w:r>
    </w:p>
    <w:p w14:paraId="30F131B5" w14:textId="77777777" w:rsidR="00DB2B68" w:rsidRDefault="00000000">
      <w:pPr>
        <w:jc w:val="both"/>
      </w:pPr>
      <w:r>
        <w:rPr>
          <w:b/>
        </w:rPr>
        <w:t>Remarques importantes</w:t>
      </w:r>
    </w:p>
    <w:p w14:paraId="300CC8B1" w14:textId="77777777" w:rsidR="00DB2B68" w:rsidRDefault="00000000">
      <w:pPr>
        <w:jc w:val="both"/>
      </w:pPr>
      <w:r>
        <w:t>La norme produit qui concerne les panneaux de particules est la [NBN EN 312].</w:t>
      </w:r>
    </w:p>
    <w:p w14:paraId="757C0344" w14:textId="77777777" w:rsidR="00DB2B68" w:rsidRDefault="00000000">
      <w:pPr>
        <w:jc w:val="both"/>
      </w:pPr>
      <w:r>
        <w:t>Les panneaux de particules portent un marquage CE selon la [NBN EN 13986+A1].</w:t>
      </w:r>
    </w:p>
    <w:p w14:paraId="31964728" w14:textId="77777777" w:rsidR="00DB2B68" w:rsidRDefault="00000000">
      <w:pPr>
        <w:pStyle w:val="pheading"/>
      </w:pPr>
      <w:r>
        <w:t>MATÉRIAUX</w:t>
      </w:r>
    </w:p>
    <w:p w14:paraId="6D34A252" w14:textId="77777777" w:rsidR="00DB2B68" w:rsidRDefault="00000000">
      <w:pPr>
        <w:pStyle w:val="pheading"/>
      </w:pPr>
      <w:r>
        <w:t>- Caractéristiques générales</w:t>
      </w:r>
    </w:p>
    <w:p w14:paraId="174406FF" w14:textId="77777777" w:rsidR="00DB2B68" w:rsidRDefault="00000000">
      <w:pPr>
        <w:jc w:val="both"/>
      </w:pPr>
      <w:r>
        <w:t xml:space="preserve">Classe d’emploi selon (selon [NBN EN 335]) : </w:t>
      </w:r>
      <w:r>
        <w:rPr>
          <w:rStyle w:val="optioncarChar"/>
        </w:rPr>
        <w:t>1 / 2</w:t>
      </w:r>
    </w:p>
    <w:p w14:paraId="27CD2AFF" w14:textId="77777777" w:rsidR="00DB2B68" w:rsidRDefault="00000000">
      <w:pPr>
        <w:jc w:val="both"/>
      </w:pPr>
      <w:r>
        <w:t>Les panneaux de particules ne sont pas adaptés un usage en classe d’emploi supérieure à 2.</w:t>
      </w:r>
    </w:p>
    <w:p w14:paraId="04F7419F" w14:textId="77777777" w:rsidR="00DB2B68" w:rsidRDefault="00000000">
      <w:pPr>
        <w:jc w:val="both"/>
      </w:pPr>
      <w:r>
        <w:t>Type de panneau (selon [NBN EN 312]) :</w:t>
      </w:r>
      <w:r>
        <w:rPr>
          <w:rStyle w:val="optioncarChar"/>
        </w:rPr>
        <w:t xml:space="preserve"> P1 / P2 / P3 / P4 / P5 / P6 / P7</w:t>
      </w:r>
    </w:p>
    <w:p w14:paraId="1C9D2118" w14:textId="77777777" w:rsidR="00DB2B68" w:rsidRDefault="00000000">
      <w:pPr>
        <w:jc w:val="both"/>
      </w:pPr>
      <w:r>
        <w:t>Les types P1, P2, P4 et P6 ne peuvent être utilisé que dans la classe d’emploi 1.</w:t>
      </w:r>
    </w:p>
    <w:p w14:paraId="530B4F43" w14:textId="77777777" w:rsidR="00DB2B68" w:rsidRDefault="00000000">
      <w:pPr>
        <w:jc w:val="both"/>
      </w:pPr>
      <w:r>
        <w:t>Dimensions d’un panneau :</w:t>
      </w:r>
    </w:p>
    <w:p w14:paraId="73ECAA5C" w14:textId="77777777" w:rsidR="00DB2B68" w:rsidRDefault="00000000">
      <w:pPr>
        <w:pStyle w:val="Author-eListParagraph"/>
        <w:numPr>
          <w:ilvl w:val="0"/>
          <w:numId w:val="892"/>
        </w:numPr>
      </w:pPr>
      <w:r>
        <w:t xml:space="preserve">épaisseur : </w:t>
      </w:r>
      <w:r>
        <w:rPr>
          <w:rStyle w:val="optioncarChar"/>
        </w:rPr>
        <w:t>*** mm</w:t>
      </w:r>
      <w:r>
        <w:t xml:space="preserve"> (comprise entre 6 et 38 mm)</w:t>
      </w:r>
    </w:p>
    <w:p w14:paraId="59507046" w14:textId="77777777" w:rsidR="00DB2B68" w:rsidRDefault="00000000">
      <w:pPr>
        <w:pStyle w:val="Author-eListParagraph"/>
        <w:numPr>
          <w:ilvl w:val="0"/>
          <w:numId w:val="892"/>
        </w:numPr>
      </w:pPr>
      <w:r>
        <w:t xml:space="preserve">largeur : </w:t>
      </w:r>
      <w:r>
        <w:rPr>
          <w:rStyle w:val="optioncarChar"/>
        </w:rPr>
        <w:t>60 cm / 90 cm / 120 cm / 185 cm / 210 cm / au choix de l’entrepreneur</w:t>
      </w:r>
      <w:r>
        <w:t xml:space="preserve"> (par défaut)</w:t>
      </w:r>
    </w:p>
    <w:p w14:paraId="7DF01A26" w14:textId="77777777" w:rsidR="00DB2B68" w:rsidRDefault="00000000">
      <w:pPr>
        <w:pStyle w:val="Author-eListParagraph"/>
        <w:numPr>
          <w:ilvl w:val="0"/>
          <w:numId w:val="892"/>
        </w:numPr>
      </w:pPr>
      <w:r>
        <w:t xml:space="preserve">longueur : </w:t>
      </w:r>
      <w:r>
        <w:rPr>
          <w:rStyle w:val="optioncarChar"/>
        </w:rPr>
        <w:t>*** mm / au choix de l’entrepreneur</w:t>
      </w:r>
      <w:r>
        <w:t xml:space="preserve"> (par défaut) (comprise entre 2,50 m et 6,10 m)</w:t>
      </w:r>
      <w:r>
        <w:br/>
      </w:r>
    </w:p>
    <w:p w14:paraId="7F281325" w14:textId="77777777" w:rsidR="00DB2B68" w:rsidRDefault="00000000">
      <w:pPr>
        <w:jc w:val="both"/>
      </w:pPr>
      <w:r>
        <w:t xml:space="preserve">Classe de réaction au feu : </w:t>
      </w:r>
      <w:r>
        <w:rPr>
          <w:rStyle w:val="optioncarChar"/>
        </w:rPr>
        <w:t xml:space="preserve">D-s2,d0 </w:t>
      </w:r>
      <w:r>
        <w:t>(par défaut)</w:t>
      </w:r>
      <w:r>
        <w:rPr>
          <w:rStyle w:val="optioncarChar"/>
        </w:rPr>
        <w:t xml:space="preserve"> / D</w:t>
      </w:r>
      <w:r>
        <w:rPr>
          <w:rStyle w:val="optioncarChar"/>
          <w:vertAlign w:val="subscript"/>
        </w:rPr>
        <w:t>FL</w:t>
      </w:r>
      <w:r>
        <w:rPr>
          <w:rStyle w:val="optioncarChar"/>
        </w:rPr>
        <w:t>-s1 / ***</w:t>
      </w:r>
    </w:p>
    <w:p w14:paraId="3F736FA6" w14:textId="77777777" w:rsidR="00DB2B68" w:rsidRDefault="00000000">
      <w:pPr>
        <w:jc w:val="both"/>
      </w:pPr>
      <w:r>
        <w:t>La classe D-s2,d0 (D</w:t>
      </w:r>
      <w:r>
        <w:rPr>
          <w:vertAlign w:val="subscript"/>
        </w:rPr>
        <w:t>FL</w:t>
      </w:r>
      <w:r>
        <w:t>-s1 si les panneaux sont utilisés en revêtement de sols) est attribuée sans essais pour un panneau d’une épaisseur supérieure ou égale à 9mm et d’une masse volumique supérieure ou égale à 600 kg/m³ pour autant que leur montage soit conforme à ce qui est décrit dans la [NBN EN 13986+A1]. Si une meilleure classe de réaction au feu est recherchée, les panneaux doivent subir un traitement ignifuge. Il est alors nécessaire de prouver la compatibilité de ce traitement avec tout autre traitements et/ou collage prescrit.</w:t>
      </w:r>
    </w:p>
    <w:p w14:paraId="4A8EFADC" w14:textId="77777777" w:rsidR="00DB2B68"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6A3AB5AB" w14:textId="77777777" w:rsidR="00DB2B68" w:rsidRDefault="00000000">
      <w:pPr>
        <w:jc w:val="both"/>
      </w:pPr>
      <w:r>
        <w:t xml:space="preserve">Usinage des bords : </w:t>
      </w:r>
      <w:r>
        <w:rPr>
          <w:rStyle w:val="optioncarChar"/>
        </w:rPr>
        <w:t>droits / rainurés languetés </w:t>
      </w:r>
      <w:r>
        <w:t>(par défaut)</w:t>
      </w:r>
    </w:p>
    <w:p w14:paraId="6958429A" w14:textId="77777777" w:rsidR="00DB2B68" w:rsidRDefault="00000000">
      <w:pPr>
        <w:jc w:val="both"/>
      </w:pPr>
      <w:r>
        <w:t>La teneur en humidité des panneaux de particules est comprise entre 5 % et 13 %.</w:t>
      </w:r>
    </w:p>
    <w:p w14:paraId="79FFF3D8" w14:textId="77777777" w:rsidR="00DB2B68" w:rsidRDefault="00000000">
      <w:pPr>
        <w:jc w:val="both"/>
      </w:pPr>
      <w:r>
        <w:t>Les tolérances sur la longueur, la largeur, l’épaisseur et la rectitude des bords sont précisés à la [NBN EN 324-1] et la [NBN EN 324-2].</w:t>
      </w:r>
    </w:p>
    <w:p w14:paraId="6B3AA6DE" w14:textId="77777777" w:rsidR="00DB2B68" w:rsidRDefault="00000000">
      <w:pPr>
        <w:pStyle w:val="pheading"/>
      </w:pPr>
      <w:r>
        <w:t>- Finitions</w:t>
      </w:r>
    </w:p>
    <w:p w14:paraId="44208729" w14:textId="77777777" w:rsidR="00DB2B68" w:rsidRDefault="00000000">
      <w:r>
        <w:t xml:space="preserve">Les panneaux sont </w:t>
      </w:r>
      <w:r>
        <w:rPr>
          <w:rStyle w:val="optioncarChar"/>
        </w:rPr>
        <w:t>non-poncés</w:t>
      </w:r>
      <w:r>
        <w:t> (par défaut)</w:t>
      </w:r>
      <w:r>
        <w:rPr>
          <w:rStyle w:val="optioncarChar"/>
        </w:rPr>
        <w:t xml:space="preserve"> / poncés</w:t>
      </w:r>
      <w:r>
        <w:t>.</w:t>
      </w:r>
    </w:p>
    <w:p w14:paraId="2EEE1B1E" w14:textId="77777777" w:rsidR="00DB2B68" w:rsidRDefault="00000000">
      <w:pPr>
        <w:pStyle w:val="pheading"/>
      </w:pPr>
      <w:r>
        <w:t>MESURAGE</w:t>
      </w:r>
    </w:p>
    <w:p w14:paraId="7F9324F6" w14:textId="77777777" w:rsidR="00DB2B68" w:rsidRDefault="00000000">
      <w:pPr>
        <w:pStyle w:val="pheading"/>
      </w:pPr>
      <w:r>
        <w:t>- unité de mesure:</w:t>
      </w:r>
    </w:p>
    <w:p w14:paraId="4AFDF41E" w14:textId="77777777" w:rsidR="00DB2B68" w:rsidRDefault="00000000">
      <w:r>
        <w:t>m²</w:t>
      </w:r>
    </w:p>
    <w:p w14:paraId="0B8AFB64" w14:textId="77777777" w:rsidR="00DB2B68" w:rsidRDefault="00000000">
      <w:pPr>
        <w:pStyle w:val="pheading"/>
      </w:pPr>
      <w:r>
        <w:t>- code de mesurage:</w:t>
      </w:r>
    </w:p>
    <w:p w14:paraId="6DDAF2A8" w14:textId="77777777" w:rsidR="00DB2B68" w:rsidRDefault="00000000">
      <w:r>
        <w:rPr>
          <w:u w:val="single"/>
        </w:rPr>
        <w:t>Surface nette:</w:t>
      </w:r>
      <w:r>
        <w:t> </w:t>
      </w:r>
      <w:r>
        <w:br/>
        <w:t>La surface nette des panneaux ayant la même épaisseur et les mêmes caractéristiques est calculée. Les ouvertures inférieures à 0,5m² ne sont pas déduites.</w:t>
      </w:r>
    </w:p>
    <w:p w14:paraId="039C143E" w14:textId="77777777" w:rsidR="00DB2B68" w:rsidRDefault="00000000">
      <w:pPr>
        <w:pStyle w:val="pheading"/>
      </w:pPr>
      <w:r>
        <w:t>- nature du marché:</w:t>
      </w:r>
    </w:p>
    <w:p w14:paraId="15C12FB8" w14:textId="77777777" w:rsidR="00DB2B68" w:rsidRDefault="00000000">
      <w:r>
        <w:rPr>
          <w:rStyle w:val="optioncarChar"/>
        </w:rPr>
        <w:lastRenderedPageBreak/>
        <w:t xml:space="preserve">QF </w:t>
      </w:r>
      <w:r>
        <w:t xml:space="preserve">(par défaut) </w:t>
      </w:r>
      <w:r>
        <w:rPr>
          <w:rStyle w:val="optioncarChar"/>
        </w:rPr>
        <w:t>/ QP</w:t>
      </w:r>
    </w:p>
    <w:p w14:paraId="2F506B3B" w14:textId="77777777" w:rsidR="00DB2B68" w:rsidRDefault="00000000">
      <w:pPr>
        <w:pStyle w:val="pheading"/>
      </w:pPr>
      <w:r>
        <w:t>AIDE</w:t>
      </w:r>
    </w:p>
    <w:p w14:paraId="3B2E718D" w14:textId="77777777" w:rsidR="00DB2B68" w:rsidRDefault="00000000">
      <w:pPr>
        <w:jc w:val="both"/>
      </w:pPr>
      <w:r>
        <w:t>Certains types de panneaux sont difficile à trouver, notamment les P1, P6 et P7.</w:t>
      </w:r>
    </w:p>
    <w:p w14:paraId="7FC7141F" w14:textId="77777777" w:rsidR="00DB2B68" w:rsidRDefault="00000000">
      <w:pPr>
        <w:jc w:val="both"/>
      </w:pPr>
      <w:r>
        <w:t>Les propriétés de résistance, de rigidité, de durabilité, de masse volumique, de perméabilité à la vapeur d’eau et de conductivité thermique dépendent du type de panneau et de son épaisseur. Celles-ci sont définies dans les normes [NBN EN 12369 série] et [NBN EN 13986+A1].</w:t>
      </w:r>
    </w:p>
    <w:p w14:paraId="135BEAAA" w14:textId="77777777" w:rsidR="00DB2B68" w:rsidRDefault="00000000">
      <w:pPr>
        <w:pStyle w:val="Author-eSectionHeading6Numberless"/>
      </w:pPr>
      <w:bookmarkStart w:id="1642" w:name="_Toc220496628"/>
      <w:r>
        <w:t>24.16.1d Panneaux MDF CCTB 01.11</w:t>
      </w:r>
      <w:bookmarkEnd w:id="1642"/>
    </w:p>
    <w:p w14:paraId="484649E8" w14:textId="77777777" w:rsidR="00DB2B68" w:rsidRDefault="00000000">
      <w:pPr>
        <w:pStyle w:val="pheading"/>
      </w:pPr>
      <w:bookmarkStart w:id="1643" w:name="596"/>
      <w:bookmarkEnd w:id="1643"/>
      <w:r>
        <w:t>DESCRIPTION</w:t>
      </w:r>
    </w:p>
    <w:p w14:paraId="4B8E346E" w14:textId="77777777" w:rsidR="00DB2B68" w:rsidRDefault="00000000">
      <w:pPr>
        <w:pStyle w:val="pheading"/>
      </w:pPr>
      <w:r>
        <w:t>- Définition / Comprend</w:t>
      </w:r>
    </w:p>
    <w:p w14:paraId="297E3010" w14:textId="77777777" w:rsidR="00DB2B68" w:rsidRDefault="00000000">
      <w:pPr>
        <w:jc w:val="both"/>
      </w:pPr>
      <w:r>
        <w:t>Il s’agit de panneaux de fibres de densité moyenne d’une épaisseur égale ou supérieure à 1,5 mm. Ils sont fabriqués à l’aide d’un liant synthétique, avec application de chaleur et de pression.</w:t>
      </w:r>
    </w:p>
    <w:p w14:paraId="69068FF4" w14:textId="77777777" w:rsidR="00DB2B68" w:rsidRDefault="00000000">
      <w:pPr>
        <w:jc w:val="both"/>
      </w:pPr>
      <w:r>
        <w:rPr>
          <w:b/>
        </w:rPr>
        <w:t>Remarques importantes</w:t>
      </w:r>
    </w:p>
    <w:p w14:paraId="3BCD820C" w14:textId="77777777" w:rsidR="00DB2B68" w:rsidRDefault="00000000">
      <w:pPr>
        <w:jc w:val="both"/>
      </w:pPr>
      <w:r>
        <w:t>La norme produit qui concerne les panneaux MDF est la [NBN EN 622-5].</w:t>
      </w:r>
    </w:p>
    <w:p w14:paraId="5602CA3E" w14:textId="77777777" w:rsidR="00DB2B68" w:rsidRDefault="00000000">
      <w:pPr>
        <w:jc w:val="both"/>
      </w:pPr>
      <w:r>
        <w:t>Les panneaux de particules portent un marquage CE selon la [NBN EN 13986+A1].</w:t>
      </w:r>
    </w:p>
    <w:p w14:paraId="44159C17" w14:textId="77777777" w:rsidR="00DB2B68" w:rsidRDefault="00000000">
      <w:pPr>
        <w:jc w:val="both"/>
      </w:pPr>
      <w:r>
        <w:t>Il existe deux méthodes de fabrication des panneaux de fibres : le procédé humide et le procédé à sec. Cependant les panneaux MDF structuraux sont toujours obtenus par le procédé à sec.</w:t>
      </w:r>
    </w:p>
    <w:p w14:paraId="0C1209F5" w14:textId="77777777" w:rsidR="00DB2B68" w:rsidRDefault="00000000">
      <w:pPr>
        <w:pStyle w:val="pheading"/>
      </w:pPr>
      <w:r>
        <w:t>MATÉRIAUX</w:t>
      </w:r>
    </w:p>
    <w:p w14:paraId="2B14A930" w14:textId="77777777" w:rsidR="00DB2B68" w:rsidRDefault="00000000">
      <w:pPr>
        <w:pStyle w:val="pheading"/>
      </w:pPr>
      <w:r>
        <w:t>- Caractéristiques générales</w:t>
      </w:r>
    </w:p>
    <w:p w14:paraId="52AB5E38" w14:textId="77777777" w:rsidR="00DB2B68" w:rsidRDefault="00000000">
      <w:pPr>
        <w:jc w:val="both"/>
      </w:pPr>
      <w:r>
        <w:t>Classe d’emploi selon (selon [NBN EN 335]) :</w:t>
      </w:r>
      <w:r>
        <w:rPr>
          <w:rStyle w:val="optioncarChar"/>
        </w:rPr>
        <w:t xml:space="preserve"> 1 / 2</w:t>
      </w:r>
    </w:p>
    <w:p w14:paraId="134A64A3" w14:textId="77777777" w:rsidR="00DB2B68" w:rsidRDefault="00000000">
      <w:pPr>
        <w:jc w:val="both"/>
      </w:pPr>
      <w:r>
        <w:t>Les panneaux MDF ne sont pas adaptés un usage en classe d’emploi supérieure à 2.</w:t>
      </w:r>
    </w:p>
    <w:p w14:paraId="28036FF9" w14:textId="77777777" w:rsidR="00DB2B68" w:rsidRDefault="00000000">
      <w:pPr>
        <w:jc w:val="both"/>
      </w:pPr>
      <w:r>
        <w:t xml:space="preserve">Type de panneau (selon [NBN EN 312]) : </w:t>
      </w:r>
      <w:r>
        <w:rPr>
          <w:rStyle w:val="optioncarChar"/>
        </w:rPr>
        <w:t>MDF LA / MDF-HLS</w:t>
      </w:r>
    </w:p>
    <w:p w14:paraId="26EB641F" w14:textId="77777777" w:rsidR="00DB2B68" w:rsidRDefault="00000000">
      <w:pPr>
        <w:jc w:val="both"/>
      </w:pPr>
      <w:r>
        <w:t>Le type MDF LA ne peut être mis en œuvre que dans la classe d’emploi 1.</w:t>
      </w:r>
    </w:p>
    <w:p w14:paraId="2F6CC9BC" w14:textId="77777777" w:rsidR="00DB2B68" w:rsidRDefault="00000000">
      <w:pPr>
        <w:jc w:val="both"/>
      </w:pPr>
      <w:r>
        <w:t>Dimensions d’un panneau :</w:t>
      </w:r>
    </w:p>
    <w:p w14:paraId="7B840E48" w14:textId="77777777" w:rsidR="00DB2B68" w:rsidRDefault="00000000">
      <w:pPr>
        <w:pStyle w:val="Author-eListParagraph"/>
        <w:numPr>
          <w:ilvl w:val="0"/>
          <w:numId w:val="893"/>
        </w:numPr>
      </w:pPr>
      <w:r>
        <w:t xml:space="preserve">épaisseur : </w:t>
      </w:r>
      <w:r>
        <w:rPr>
          <w:rStyle w:val="optioncarChar"/>
        </w:rPr>
        <w:t>*** mm</w:t>
      </w:r>
      <w:r>
        <w:t xml:space="preserve"> (comprise entre 1,5 et 40 mm)</w:t>
      </w:r>
    </w:p>
    <w:p w14:paraId="1424C9F5" w14:textId="77777777" w:rsidR="00DB2B68" w:rsidRDefault="00000000">
      <w:pPr>
        <w:pStyle w:val="Author-eListParagraph"/>
        <w:numPr>
          <w:ilvl w:val="0"/>
          <w:numId w:val="893"/>
        </w:numPr>
      </w:pPr>
      <w:r>
        <w:t xml:space="preserve">largeur : </w:t>
      </w:r>
      <w:r>
        <w:rPr>
          <w:rStyle w:val="optioncarChar"/>
        </w:rPr>
        <w:t xml:space="preserve">au choix de l’entrepreneur </w:t>
      </w:r>
      <w:r>
        <w:t>(par défaut)</w:t>
      </w:r>
      <w:r>
        <w:rPr>
          <w:rStyle w:val="optioncarChar"/>
        </w:rPr>
        <w:t xml:space="preserve"> / ***</w:t>
      </w:r>
    </w:p>
    <w:p w14:paraId="626481C3" w14:textId="77777777" w:rsidR="00DB2B68" w:rsidRDefault="00000000">
      <w:pPr>
        <w:pStyle w:val="Author-eListParagraph"/>
        <w:numPr>
          <w:ilvl w:val="0"/>
          <w:numId w:val="893"/>
        </w:numPr>
      </w:pPr>
      <w:r>
        <w:t xml:space="preserve">longueur : </w:t>
      </w:r>
      <w:r>
        <w:rPr>
          <w:rStyle w:val="optioncarChar"/>
        </w:rPr>
        <w:t>au choix de l’entrepreneur</w:t>
      </w:r>
      <w:r>
        <w:t xml:space="preserve"> (par défaut)</w:t>
      </w:r>
      <w:r>
        <w:rPr>
          <w:rStyle w:val="optioncarChar"/>
        </w:rPr>
        <w:t xml:space="preserve"> / ***</w:t>
      </w:r>
      <w:r>
        <w:br/>
      </w:r>
    </w:p>
    <w:p w14:paraId="44D2F3CD" w14:textId="77777777" w:rsidR="00DB2B68" w:rsidRDefault="00000000">
      <w:pPr>
        <w:jc w:val="both"/>
      </w:pPr>
      <w:r>
        <w:t xml:space="preserve">Classe de réaction au feu : </w:t>
      </w:r>
      <w:r>
        <w:rPr>
          <w:rStyle w:val="optioncarChar"/>
        </w:rPr>
        <w:t>D-s2,d0</w:t>
      </w:r>
      <w:r>
        <w:t xml:space="preserve"> (par défaut) </w:t>
      </w:r>
      <w:r>
        <w:rPr>
          <w:rStyle w:val="optioncarChar"/>
        </w:rPr>
        <w:t>/ D</w:t>
      </w:r>
      <w:r>
        <w:rPr>
          <w:rStyle w:val="optioncarChar"/>
          <w:vertAlign w:val="subscript"/>
        </w:rPr>
        <w:t>FL</w:t>
      </w:r>
      <w:r>
        <w:rPr>
          <w:rStyle w:val="optioncarChar"/>
        </w:rPr>
        <w:t>-s1 / ***</w:t>
      </w:r>
    </w:p>
    <w:p w14:paraId="6BDFD0C4" w14:textId="77777777" w:rsidR="00DB2B68" w:rsidRDefault="00000000">
      <w:pPr>
        <w:jc w:val="both"/>
      </w:pPr>
      <w:r>
        <w:t>La classe D-s2,d0 (D</w:t>
      </w:r>
      <w:r>
        <w:rPr>
          <w:vertAlign w:val="subscript"/>
        </w:rPr>
        <w:t>FL</w:t>
      </w:r>
      <w:r>
        <w:t>-s1 si les panneaux sont utilisés en revêtement de sols) est attribuée sans essais pour un panneau d’une épaisseur supérieure ou égale à 9 mm pour autant que leur montage soit conforme à ce qui est décrit dans la norme [NBN EN 13986+A1]. Si une meilleure classe de réaction au feu est recherchée, les panneaux doivent subir un traitement ignifuge. Il est alors nécessaire de prouver la compatibilité de ce traitement avec tout autre traitements et/ou collage prescrit.</w:t>
      </w:r>
    </w:p>
    <w:p w14:paraId="0458F27B" w14:textId="77777777" w:rsidR="00DB2B68" w:rsidRDefault="00000000">
      <w:pPr>
        <w:jc w:val="both"/>
      </w:pPr>
      <w:r>
        <w:t>Classe d’émission de formaldéhyde :</w:t>
      </w:r>
      <w:r>
        <w:rPr>
          <w:rStyle w:val="optioncarChar"/>
        </w:rPr>
        <w:t xml:space="preserve"> E1 </w:t>
      </w:r>
      <w:r>
        <w:t xml:space="preserve">(par défaut) </w:t>
      </w:r>
      <w:r>
        <w:rPr>
          <w:rStyle w:val="optioncarChar"/>
        </w:rPr>
        <w:t>/ E2</w:t>
      </w:r>
    </w:p>
    <w:p w14:paraId="635B1526" w14:textId="77777777" w:rsidR="00DB2B68" w:rsidRDefault="00000000">
      <w:pPr>
        <w:jc w:val="both"/>
      </w:pPr>
      <w:r>
        <w:t xml:space="preserve">Usinage des bords : </w:t>
      </w:r>
      <w:r>
        <w:rPr>
          <w:rStyle w:val="optioncarChar"/>
        </w:rPr>
        <w:t>droits / rainurés languetés</w:t>
      </w:r>
      <w:r>
        <w:t> (par défaut)</w:t>
      </w:r>
    </w:p>
    <w:p w14:paraId="3847430C" w14:textId="77777777" w:rsidR="00DB2B68" w:rsidRDefault="00000000">
      <w:pPr>
        <w:jc w:val="both"/>
      </w:pPr>
      <w:r>
        <w:t>La teneur en humidité des panneaux de fibres est comprise entre 4 % et 11 %. </w:t>
      </w:r>
    </w:p>
    <w:p w14:paraId="20E400F2" w14:textId="77777777" w:rsidR="00DB2B68" w:rsidRDefault="00000000">
      <w:pPr>
        <w:jc w:val="both"/>
      </w:pPr>
      <w:r>
        <w:t>Les tolérances sur la longueur, la largeur, l’épaisseur, l’équerrage et la rectitude des bords sont précisés à la [NBN EN 324-1] et la [NBN EN 324-2].</w:t>
      </w:r>
    </w:p>
    <w:p w14:paraId="660518BB" w14:textId="77777777" w:rsidR="00DB2B68" w:rsidRDefault="00000000">
      <w:pPr>
        <w:pStyle w:val="pheading"/>
      </w:pPr>
      <w:r>
        <w:t>- Finitions</w:t>
      </w:r>
    </w:p>
    <w:p w14:paraId="6C92AF73" w14:textId="77777777" w:rsidR="00DB2B68" w:rsidRDefault="00000000">
      <w:r>
        <w:t xml:space="preserve">Les panneaux sont </w:t>
      </w:r>
      <w:r>
        <w:rPr>
          <w:rStyle w:val="optioncarChar"/>
        </w:rPr>
        <w:t>non-poncés / poncés</w:t>
      </w:r>
      <w:r>
        <w:t>.</w:t>
      </w:r>
    </w:p>
    <w:p w14:paraId="5261AFBC" w14:textId="77777777" w:rsidR="00DB2B68" w:rsidRDefault="00000000">
      <w:pPr>
        <w:pStyle w:val="pheading"/>
      </w:pPr>
      <w:r>
        <w:t>MESURAGE</w:t>
      </w:r>
    </w:p>
    <w:p w14:paraId="089F9AF0" w14:textId="77777777" w:rsidR="00DB2B68" w:rsidRDefault="00000000">
      <w:pPr>
        <w:pStyle w:val="pheading"/>
      </w:pPr>
      <w:r>
        <w:lastRenderedPageBreak/>
        <w:t>- unité de mesure:</w:t>
      </w:r>
    </w:p>
    <w:p w14:paraId="6E07A248" w14:textId="77777777" w:rsidR="00DB2B68" w:rsidRDefault="00000000">
      <w:r>
        <w:t>m²</w:t>
      </w:r>
    </w:p>
    <w:p w14:paraId="35E98DBB" w14:textId="77777777" w:rsidR="00DB2B68" w:rsidRDefault="00000000">
      <w:pPr>
        <w:pStyle w:val="pheading"/>
      </w:pPr>
      <w:r>
        <w:t>- code de mesurage:</w:t>
      </w:r>
    </w:p>
    <w:p w14:paraId="5BEF1639" w14:textId="77777777" w:rsidR="00DB2B68" w:rsidRDefault="00000000">
      <w:r>
        <w:rPr>
          <w:u w:val="single"/>
        </w:rPr>
        <w:t>Surface nette:</w:t>
      </w:r>
      <w:r>
        <w:t> </w:t>
      </w:r>
      <w:r>
        <w:br/>
        <w:t>La surface nette des panneaux ayant la même épaisseur et les mêmes caractéristiques est calculée. Les ouvertures inférieures à 0,5m² ne sont pas déduites.</w:t>
      </w:r>
    </w:p>
    <w:p w14:paraId="7E3479FF" w14:textId="77777777" w:rsidR="00DB2B68" w:rsidRDefault="00000000">
      <w:pPr>
        <w:pStyle w:val="pheading"/>
      </w:pPr>
      <w:r>
        <w:t>- nature du marché:</w:t>
      </w:r>
    </w:p>
    <w:p w14:paraId="3E391E0D" w14:textId="77777777" w:rsidR="00DB2B68" w:rsidRDefault="00000000">
      <w:r>
        <w:rPr>
          <w:rStyle w:val="optioncarChar"/>
        </w:rPr>
        <w:t xml:space="preserve">QF </w:t>
      </w:r>
      <w:r>
        <w:t xml:space="preserve">(par défaut) </w:t>
      </w:r>
      <w:r>
        <w:rPr>
          <w:rStyle w:val="optioncarChar"/>
        </w:rPr>
        <w:t>/ QP</w:t>
      </w:r>
    </w:p>
    <w:p w14:paraId="3042C0A6" w14:textId="77777777" w:rsidR="00DB2B68" w:rsidRDefault="00000000">
      <w:pPr>
        <w:pStyle w:val="pheading"/>
      </w:pPr>
      <w:r>
        <w:t>AIDE</w:t>
      </w:r>
    </w:p>
    <w:p w14:paraId="0BE577AD" w14:textId="77777777" w:rsidR="00DB2B68" w:rsidRDefault="00000000">
      <w:pPr>
        <w:jc w:val="both"/>
      </w:pPr>
      <w:r>
        <w:t>Les valeurs caractéristiques de conductivité thermique, de perméabilité à la vapeur d’eau, masse volumique, rigidité et de résistances sont données dans la [NBN EN 12369-1] en fonction de l’épaisseur et du type de panneau. Si le panneau MDF atteint une teneur en humidité supérieure à 15% en service, un coefficient réducteur doit être appliqué.</w:t>
      </w:r>
    </w:p>
    <w:p w14:paraId="7D2CD361" w14:textId="77777777" w:rsidR="00DB2B68" w:rsidRDefault="00000000">
      <w:pPr>
        <w:pStyle w:val="Author-eSectionHeading4Numberless"/>
      </w:pPr>
      <w:bookmarkStart w:id="1644" w:name="_Toc220496629"/>
      <w:r>
        <w:t>24.17 Arcs en bois CCTB 01.07</w:t>
      </w:r>
      <w:bookmarkEnd w:id="1644"/>
    </w:p>
    <w:p w14:paraId="3BB61E89" w14:textId="77777777" w:rsidR="00DB2B68" w:rsidRDefault="00000000">
      <w:pPr>
        <w:pStyle w:val="pheading"/>
      </w:pPr>
      <w:r>
        <w:t>DESCRIPTION</w:t>
      </w:r>
    </w:p>
    <w:p w14:paraId="54BE2FA1" w14:textId="77777777" w:rsidR="00DB2B68" w:rsidRDefault="00000000">
      <w:pPr>
        <w:pStyle w:val="pheading"/>
      </w:pPr>
      <w:r>
        <w:t>- Définition / Comprend</w:t>
      </w:r>
    </w:p>
    <w:p w14:paraId="1F3626BB" w14:textId="77777777" w:rsidR="00DB2B68" w:rsidRDefault="00000000">
      <w:pPr>
        <w:jc w:val="both"/>
      </w:pPr>
      <w:r>
        <w:t>Il s’agit d’éléments de structure courbés et dont la longueur et largement supérieure aux deux autres dimensions.</w:t>
      </w:r>
    </w:p>
    <w:p w14:paraId="7B789558" w14:textId="77777777" w:rsidR="00DB2B68" w:rsidRDefault="00000000">
      <w:pPr>
        <w:pStyle w:val="Author-eSectionHeading5Numberless"/>
      </w:pPr>
      <w:bookmarkStart w:id="1645" w:name="_Toc220496630"/>
      <w:r>
        <w:t>24.17.1 Arcs en bois lamellé collé CCTB 01.10</w:t>
      </w:r>
      <w:bookmarkEnd w:id="1645"/>
    </w:p>
    <w:p w14:paraId="5C0640C3" w14:textId="77777777" w:rsidR="00DB2B68" w:rsidRDefault="00000000">
      <w:pPr>
        <w:pStyle w:val="Author-eSectionHeading6Numberless"/>
      </w:pPr>
      <w:bookmarkStart w:id="1646" w:name="_Toc220496631"/>
      <w:r>
        <w:t>24.17.1a Arcs en bois lamellé collé à simple courbure CCTB 01.11</w:t>
      </w:r>
      <w:bookmarkEnd w:id="1646"/>
    </w:p>
    <w:p w14:paraId="76EF52FA" w14:textId="77777777" w:rsidR="00DB2B68" w:rsidRDefault="00000000">
      <w:pPr>
        <w:pStyle w:val="pheading"/>
      </w:pPr>
      <w:r>
        <w:t>MATÉRIAUX</w:t>
      </w:r>
    </w:p>
    <w:p w14:paraId="564F2E5D" w14:textId="77777777" w:rsidR="00DB2B68" w:rsidRDefault="00000000">
      <w:pPr>
        <w:pStyle w:val="pheading"/>
      </w:pPr>
      <w:r>
        <w:t>- Caractéristiques générales</w:t>
      </w:r>
    </w:p>
    <w:p w14:paraId="36B29534" w14:textId="77777777" w:rsidR="00DB2B68" w:rsidRDefault="00000000">
      <w:pPr>
        <w:jc w:val="both"/>
      </w:pPr>
      <w:r>
        <w:t xml:space="preserve">Classe d’emploi : </w:t>
      </w:r>
      <w:r>
        <w:rPr>
          <w:rStyle w:val="optioncarChar"/>
        </w:rPr>
        <w:t xml:space="preserve">1 </w:t>
      </w:r>
      <w:r>
        <w:t>(par défaut)</w:t>
      </w:r>
      <w:r>
        <w:rPr>
          <w:rStyle w:val="optioncarChar"/>
        </w:rPr>
        <w:t xml:space="preserve"> / 2 / ***</w:t>
      </w:r>
    </w:p>
    <w:p w14:paraId="7C12C98C" w14:textId="77777777" w:rsidR="00DB2B68" w:rsidRDefault="00000000">
      <w:pPr>
        <w:jc w:val="both"/>
      </w:pPr>
      <w:r>
        <w:t xml:space="preserve">Teneur en humidité cible des arcs lamellé collé : </w:t>
      </w:r>
      <w:r>
        <w:rPr>
          <w:rStyle w:val="optioncarChar"/>
        </w:rPr>
        <w:t xml:space="preserve">12 % </w:t>
      </w:r>
      <w:r>
        <w:t>(par défaut)</w:t>
      </w:r>
      <w:r>
        <w:rPr>
          <w:rStyle w:val="optioncarChar"/>
        </w:rPr>
        <w:t xml:space="preserve"> / ***</w:t>
      </w:r>
    </w:p>
    <w:p w14:paraId="77CB0202" w14:textId="77777777" w:rsidR="00DB2B68" w:rsidRDefault="00000000">
      <w:pPr>
        <w:jc w:val="both"/>
      </w:pPr>
      <w:r>
        <w:t xml:space="preserve">Essence des bois : </w:t>
      </w:r>
      <w:r>
        <w:rPr>
          <w:rStyle w:val="optioncarChar"/>
        </w:rPr>
        <w:t>résineuse</w:t>
      </w:r>
      <w:r>
        <w:t xml:space="preserve"> (par défaut) /</w:t>
      </w:r>
      <w:r>
        <w:rPr>
          <w:rStyle w:val="optioncarChar"/>
        </w:rPr>
        <w:t xml:space="preserve"> épicéa / douglas / peuplier / ***</w:t>
      </w:r>
    </w:p>
    <w:p w14:paraId="4218F432" w14:textId="77777777" w:rsidR="00DB2B68" w:rsidRDefault="00000000">
      <w:pPr>
        <w:jc w:val="both"/>
      </w:pPr>
      <w:r>
        <w:t xml:space="preserve">La durabilité des arcs,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w:t>
      </w:r>
    </w:p>
    <w:p w14:paraId="525D0A8A" w14:textId="77777777" w:rsidR="00DB2B68" w:rsidRDefault="00000000">
      <w:pPr>
        <w:jc w:val="both"/>
      </w:pPr>
      <w:r>
        <w:t xml:space="preserve">Classe de résistance des arcs : </w:t>
      </w:r>
      <w:r>
        <w:rPr>
          <w:rStyle w:val="optioncarChar"/>
        </w:rPr>
        <w:t>GL24c / GL24h</w:t>
      </w:r>
      <w:r>
        <w:t xml:space="preserve"> (par défaut) </w:t>
      </w:r>
      <w:r>
        <w:rPr>
          <w:rStyle w:val="optioncarChar"/>
        </w:rPr>
        <w:t>/ GL28h / ***</w:t>
      </w:r>
    </w:p>
    <w:p w14:paraId="566A2AF2" w14:textId="77777777" w:rsidR="00DB2B68" w:rsidRDefault="00000000">
      <w:pPr>
        <w:jc w:val="both"/>
      </w:pPr>
      <w:r>
        <w:t xml:space="preserve">Section des arcs : </w:t>
      </w:r>
      <w:r>
        <w:rPr>
          <w:rStyle w:val="optioncarChar"/>
        </w:rPr>
        <w:t xml:space="preserve">voir plan </w:t>
      </w:r>
      <w:r>
        <w:t>(par défaut)</w:t>
      </w:r>
      <w:r>
        <w:rPr>
          <w:rStyle w:val="optioncarChar"/>
        </w:rPr>
        <w:t xml:space="preserve"> / ***</w:t>
      </w:r>
    </w:p>
    <w:p w14:paraId="41FE6573" w14:textId="77777777" w:rsidR="00DB2B68" w:rsidRDefault="00000000">
      <w:pPr>
        <w:jc w:val="both"/>
      </w:pPr>
      <w:r>
        <w:t xml:space="preserve">Courbure : </w:t>
      </w:r>
      <w:r>
        <w:rPr>
          <w:rStyle w:val="optioncarChar"/>
        </w:rPr>
        <w:t xml:space="preserve">voir plan </w:t>
      </w:r>
      <w:r>
        <w:t xml:space="preserve">(par défaut) </w:t>
      </w:r>
      <w:r>
        <w:rPr>
          <w:rStyle w:val="optioncarChar"/>
        </w:rPr>
        <w:t>/ ***</w:t>
      </w:r>
    </w:p>
    <w:p w14:paraId="5786B6F5" w14:textId="77777777" w:rsidR="00DB2B68" w:rsidRDefault="00000000">
      <w:pPr>
        <w:jc w:val="both"/>
      </w:pPr>
      <w:r>
        <w:t>Exigences d’aspect :</w:t>
      </w:r>
      <w:r>
        <w:rPr>
          <w:rStyle w:val="optioncarChar"/>
        </w:rPr>
        <w:t xml:space="preserve"> non-visible </w:t>
      </w:r>
      <w:r>
        <w:t xml:space="preserve">(par défaut) </w:t>
      </w:r>
      <w:r>
        <w:rPr>
          <w:rStyle w:val="optioncarChar"/>
        </w:rPr>
        <w:t>/ visible industriel / visible habitat</w:t>
      </w:r>
      <w:r>
        <w:t xml:space="preserve"> sur </w:t>
      </w:r>
      <w:r>
        <w:rPr>
          <w:rStyle w:val="optioncarChar"/>
        </w:rPr>
        <w:t xml:space="preserve">1 </w:t>
      </w:r>
      <w:r>
        <w:t xml:space="preserve">(par défaut) </w:t>
      </w:r>
      <w:r>
        <w:rPr>
          <w:rStyle w:val="optioncarChar"/>
        </w:rPr>
        <w:t>/ 2</w:t>
      </w:r>
      <w:r>
        <w:t xml:space="preserve"> face(s)</w:t>
      </w:r>
    </w:p>
    <w:p w14:paraId="6625A819" w14:textId="77777777" w:rsidR="00DB2B68"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4DAEB1C8" w14:textId="77777777" w:rsidR="00DB2B68" w:rsidRDefault="00000000">
      <w:pPr>
        <w:pStyle w:val="pheading"/>
      </w:pPr>
      <w:r>
        <w:t>EXÉCUTION / MISE EN ŒUVRE</w:t>
      </w:r>
    </w:p>
    <w:p w14:paraId="41E7124F" w14:textId="77777777" w:rsidR="00DB2B68" w:rsidRDefault="00000000">
      <w:pPr>
        <w:pStyle w:val="pheading"/>
      </w:pPr>
      <w:r>
        <w:t>- Prescriptions générales</w:t>
      </w:r>
    </w:p>
    <w:p w14:paraId="58B63392" w14:textId="77777777" w:rsidR="00DB2B68" w:rsidRDefault="00000000">
      <w:pPr>
        <w:jc w:val="both"/>
      </w:pPr>
      <w:r>
        <w:t>Le soumissionnaire fournit une description du principe constructif de montage qu’il compte mettre en œuvre.</w:t>
      </w:r>
    </w:p>
    <w:p w14:paraId="60E53DD5" w14:textId="77777777" w:rsidR="00DB2B68" w:rsidRDefault="00000000">
      <w:pPr>
        <w:pStyle w:val="pheading"/>
      </w:pPr>
      <w:r>
        <w:t>MESURAGE</w:t>
      </w:r>
    </w:p>
    <w:p w14:paraId="5581ED65" w14:textId="77777777" w:rsidR="00DB2B68" w:rsidRDefault="00000000">
      <w:pPr>
        <w:pStyle w:val="pheading"/>
      </w:pPr>
      <w:r>
        <w:t>- unité de mesure:</w:t>
      </w:r>
    </w:p>
    <w:p w14:paraId="747D0D6F" w14:textId="77777777" w:rsidR="00DB2B68" w:rsidRDefault="00000000">
      <w:r>
        <w:rPr>
          <w:rStyle w:val="optioncarChar"/>
        </w:rPr>
        <w:t xml:space="preserve">m </w:t>
      </w:r>
      <w:r>
        <w:t xml:space="preserve">(par défaut) </w:t>
      </w:r>
      <w:r>
        <w:rPr>
          <w:rStyle w:val="optioncarChar"/>
        </w:rPr>
        <w:t>/ m³</w:t>
      </w:r>
    </w:p>
    <w:p w14:paraId="7C79620B" w14:textId="77777777" w:rsidR="00DB2B68" w:rsidRDefault="00000000">
      <w:r>
        <w:rPr>
          <w:b/>
          <w:i/>
        </w:rPr>
        <w:lastRenderedPageBreak/>
        <w:t>(Soit par défaut)</w:t>
      </w:r>
    </w:p>
    <w:p w14:paraId="57B3309D" w14:textId="77777777" w:rsidR="00DB2B68" w:rsidRDefault="00000000">
      <w:r>
        <w:rPr>
          <w:rStyle w:val="soitChar"/>
        </w:rPr>
        <w:t>1.     m</w:t>
      </w:r>
    </w:p>
    <w:p w14:paraId="105CD12D" w14:textId="77777777" w:rsidR="00DB2B68" w:rsidRDefault="00000000">
      <w:r>
        <w:rPr>
          <w:b/>
          <w:i/>
        </w:rPr>
        <w:t>(Soit)</w:t>
      </w:r>
    </w:p>
    <w:p w14:paraId="53D17287" w14:textId="77777777" w:rsidR="00DB2B68" w:rsidRDefault="00000000">
      <w:r>
        <w:rPr>
          <w:rStyle w:val="soitChar"/>
        </w:rPr>
        <w:t>2.     m³</w:t>
      </w:r>
    </w:p>
    <w:p w14:paraId="25239450" w14:textId="77777777" w:rsidR="00DB2B68" w:rsidRDefault="00000000">
      <w:pPr>
        <w:pStyle w:val="pheading"/>
      </w:pPr>
      <w:r>
        <w:t>- code de mesurage:</w:t>
      </w:r>
    </w:p>
    <w:p w14:paraId="60FD90C9" w14:textId="77777777" w:rsidR="00DB2B68" w:rsidRDefault="00000000">
      <w:pPr>
        <w:jc w:val="both"/>
      </w:pPr>
      <w:r>
        <w:rPr>
          <w:rStyle w:val="optioncarChar"/>
        </w:rPr>
        <w:t xml:space="preserve">Longueur nette </w:t>
      </w:r>
      <w:r>
        <w:t xml:space="preserve">(par défaut) </w:t>
      </w:r>
      <w:r>
        <w:rPr>
          <w:rStyle w:val="optioncarChar"/>
        </w:rPr>
        <w:t>/ Volume net</w:t>
      </w:r>
    </w:p>
    <w:p w14:paraId="7AA8530C" w14:textId="77777777" w:rsidR="00DB2B68" w:rsidRDefault="00000000">
      <w:pPr>
        <w:jc w:val="both"/>
      </w:pPr>
      <w:r>
        <w:rPr>
          <w:b/>
          <w:i/>
        </w:rPr>
        <w:t>(Soit par défaut)</w:t>
      </w:r>
    </w:p>
    <w:p w14:paraId="2686E002" w14:textId="77777777" w:rsidR="00DB2B68" w:rsidRDefault="00000000">
      <w:pPr>
        <w:jc w:val="both"/>
      </w:pPr>
      <w:r>
        <w:rPr>
          <w:rStyle w:val="soitChar"/>
        </w:rPr>
        <w:t>1.   </w:t>
      </w:r>
      <w:r>
        <w:rPr>
          <w:rStyle w:val="soitChar"/>
          <w:u w:val="single"/>
        </w:rPr>
        <w:t>  Longueur nette :</w:t>
      </w:r>
      <w:r>
        <w:rPr>
          <w:rStyle w:val="soitChar"/>
        </w:rPr>
        <w:t xml:space="preserve"> la longueur nette développée des arcs ayant la même épaisseur et les mêmes caractéristiques est calculée, longueur d’assemblage comprise.</w:t>
      </w:r>
    </w:p>
    <w:p w14:paraId="1F4C6EE4" w14:textId="77777777" w:rsidR="00DB2B68" w:rsidRDefault="00000000">
      <w:pPr>
        <w:jc w:val="both"/>
      </w:pPr>
      <w:r>
        <w:rPr>
          <w:b/>
          <w:i/>
        </w:rPr>
        <w:t>(Soit)</w:t>
      </w:r>
    </w:p>
    <w:p w14:paraId="5246E337" w14:textId="77777777" w:rsidR="00DB2B68" w:rsidRDefault="00000000">
      <w:pPr>
        <w:jc w:val="both"/>
      </w:pPr>
      <w:r>
        <w:rPr>
          <w:rStyle w:val="soitChar"/>
        </w:rPr>
        <w:t xml:space="preserve">2.     </w:t>
      </w:r>
      <w:r>
        <w:rPr>
          <w:rStyle w:val="soitChar"/>
          <w:u w:val="single"/>
        </w:rPr>
        <w:t>Volume net </w:t>
      </w:r>
      <w:r>
        <w:rPr>
          <w:rStyle w:val="soitChar"/>
        </w:rPr>
        <w:t>: le volume net des arcs ayant les mêmes caractéristiques est calculée.</w:t>
      </w:r>
    </w:p>
    <w:p w14:paraId="04878C47" w14:textId="77777777" w:rsidR="00DB2B68" w:rsidRDefault="00000000">
      <w:pPr>
        <w:pStyle w:val="pheading"/>
      </w:pPr>
      <w:r>
        <w:t>- nature du marché:</w:t>
      </w:r>
    </w:p>
    <w:p w14:paraId="5F1D245B" w14:textId="77777777" w:rsidR="00DB2B68" w:rsidRDefault="00000000">
      <w:r>
        <w:rPr>
          <w:rStyle w:val="optioncarChar"/>
        </w:rPr>
        <w:t>QF</w:t>
      </w:r>
      <w:r>
        <w:t xml:space="preserve"> (par défaut) </w:t>
      </w:r>
      <w:r>
        <w:rPr>
          <w:rStyle w:val="optioncarChar"/>
        </w:rPr>
        <w:t>/ QP</w:t>
      </w:r>
    </w:p>
    <w:p w14:paraId="7C08A979" w14:textId="77777777" w:rsidR="00DB2B68" w:rsidRDefault="00000000">
      <w:r>
        <w:rPr>
          <w:b/>
          <w:i/>
        </w:rPr>
        <w:t>(Soit par défaut)</w:t>
      </w:r>
    </w:p>
    <w:p w14:paraId="735A6ECE" w14:textId="77777777" w:rsidR="00DB2B68" w:rsidRDefault="00000000">
      <w:r>
        <w:rPr>
          <w:rStyle w:val="soitChar"/>
        </w:rPr>
        <w:t>1.     QF</w:t>
      </w:r>
    </w:p>
    <w:p w14:paraId="6F59CBBF" w14:textId="77777777" w:rsidR="00DB2B68" w:rsidRDefault="00000000">
      <w:r>
        <w:rPr>
          <w:b/>
          <w:i/>
        </w:rPr>
        <w:t>(Soit)</w:t>
      </w:r>
    </w:p>
    <w:p w14:paraId="62EA426A" w14:textId="77777777" w:rsidR="00DB2B68" w:rsidRDefault="00000000">
      <w:r>
        <w:rPr>
          <w:rStyle w:val="soitChar"/>
        </w:rPr>
        <w:t>2.     QP</w:t>
      </w:r>
    </w:p>
    <w:p w14:paraId="5002C93A" w14:textId="77777777" w:rsidR="00DB2B68" w:rsidRDefault="00000000">
      <w:pPr>
        <w:pStyle w:val="Author-eSectionHeading6Numberless"/>
      </w:pPr>
      <w:bookmarkStart w:id="1647" w:name="_Toc220496632"/>
      <w:r>
        <w:t>24.17.1b Arcs en bois lamellé collé à double courbure CCTB 01.11</w:t>
      </w:r>
      <w:bookmarkEnd w:id="1647"/>
    </w:p>
    <w:p w14:paraId="15EEA56B" w14:textId="77777777" w:rsidR="00DB2B68" w:rsidRDefault="00000000">
      <w:pPr>
        <w:pStyle w:val="pheading"/>
      </w:pPr>
      <w:r>
        <w:t>MATÉRIAUX</w:t>
      </w:r>
    </w:p>
    <w:p w14:paraId="7F4CAA32" w14:textId="77777777" w:rsidR="00DB2B68" w:rsidRDefault="00000000">
      <w:pPr>
        <w:pStyle w:val="pheading"/>
      </w:pPr>
      <w:r>
        <w:t>- Caractéristiques générales</w:t>
      </w:r>
    </w:p>
    <w:p w14:paraId="3B2A4670" w14:textId="77777777" w:rsidR="00DB2B68" w:rsidRDefault="00000000">
      <w:pPr>
        <w:jc w:val="both"/>
      </w:pPr>
      <w:r>
        <w:t xml:space="preserve">Classe d’emploi : </w:t>
      </w:r>
      <w:r>
        <w:rPr>
          <w:rStyle w:val="optioncarChar"/>
        </w:rPr>
        <w:t xml:space="preserve">1 </w:t>
      </w:r>
      <w:r>
        <w:t>(par défaut)</w:t>
      </w:r>
      <w:r>
        <w:rPr>
          <w:rStyle w:val="optioncarChar"/>
        </w:rPr>
        <w:t xml:space="preserve"> / 2 / ***</w:t>
      </w:r>
    </w:p>
    <w:p w14:paraId="5FDCFD58" w14:textId="77777777" w:rsidR="00DB2B68" w:rsidRDefault="00000000">
      <w:pPr>
        <w:jc w:val="both"/>
      </w:pPr>
      <w:r>
        <w:t>Teneur en humidité cible des arcs lamellé collé :</w:t>
      </w:r>
      <w:r>
        <w:rPr>
          <w:rStyle w:val="optioncarChar"/>
        </w:rPr>
        <w:t xml:space="preserve"> 12 % </w:t>
      </w:r>
      <w:r>
        <w:t xml:space="preserve">(par défaut) </w:t>
      </w:r>
      <w:r>
        <w:rPr>
          <w:rStyle w:val="optioncarChar"/>
        </w:rPr>
        <w:t>/ ***</w:t>
      </w:r>
    </w:p>
    <w:p w14:paraId="3BEFFDD3" w14:textId="77777777" w:rsidR="00DB2B68" w:rsidRDefault="00000000">
      <w:pPr>
        <w:jc w:val="both"/>
      </w:pPr>
      <w:r>
        <w:t xml:space="preserve">Essence des bois : </w:t>
      </w:r>
      <w:r>
        <w:rPr>
          <w:rStyle w:val="optioncarChar"/>
        </w:rPr>
        <w:t xml:space="preserve">résineuse </w:t>
      </w:r>
      <w:r>
        <w:t xml:space="preserve">(par défaut) </w:t>
      </w:r>
      <w:r>
        <w:rPr>
          <w:rStyle w:val="optioncarChar"/>
        </w:rPr>
        <w:t>/ épicéa / douglas / peuplier / ***</w:t>
      </w:r>
    </w:p>
    <w:p w14:paraId="00E94DDD" w14:textId="77777777" w:rsidR="00DB2B68" w:rsidRDefault="00000000">
      <w:pPr>
        <w:jc w:val="both"/>
      </w:pPr>
      <w:r>
        <w:t xml:space="preserve">La durabilité des arcs, en fonction de leur classe d’emploi, est assurée par la mesure suivante : </w:t>
      </w:r>
      <w:r>
        <w:rPr>
          <w:rStyle w:val="optioncarChar"/>
        </w:rPr>
        <w:t>aucune mesure n’est nécessaire / bois hors aubier</w:t>
      </w:r>
      <w:r>
        <w:t xml:space="preserve"> (par défaut)</w:t>
      </w:r>
      <w:r>
        <w:rPr>
          <w:rStyle w:val="optioncarChar"/>
        </w:rPr>
        <w:t> / traitement A1 / traitement A2.2 / ***</w:t>
      </w:r>
    </w:p>
    <w:p w14:paraId="115CD255" w14:textId="77777777" w:rsidR="00DB2B68" w:rsidRDefault="00000000">
      <w:pPr>
        <w:jc w:val="both"/>
      </w:pPr>
      <w:r>
        <w:t xml:space="preserve">Classe de résistance des arcs : </w:t>
      </w:r>
      <w:r>
        <w:rPr>
          <w:rStyle w:val="optioncarChar"/>
        </w:rPr>
        <w:t xml:space="preserve">GL24c / GL24h </w:t>
      </w:r>
      <w:r>
        <w:t xml:space="preserve">(par défaut) </w:t>
      </w:r>
      <w:r>
        <w:rPr>
          <w:rStyle w:val="optioncarChar"/>
        </w:rPr>
        <w:t>/ GL28h / ***</w:t>
      </w:r>
    </w:p>
    <w:p w14:paraId="30FDBF74" w14:textId="77777777" w:rsidR="00DB2B68" w:rsidRDefault="00000000">
      <w:pPr>
        <w:jc w:val="both"/>
      </w:pPr>
      <w:r>
        <w:t xml:space="preserve">Section des arcs : </w:t>
      </w:r>
      <w:r>
        <w:rPr>
          <w:rStyle w:val="optioncarChar"/>
        </w:rPr>
        <w:t xml:space="preserve">voir plan </w:t>
      </w:r>
      <w:r>
        <w:t>(par défaut)</w:t>
      </w:r>
      <w:r>
        <w:rPr>
          <w:rStyle w:val="optioncarChar"/>
        </w:rPr>
        <w:t xml:space="preserve"> / ***</w:t>
      </w:r>
    </w:p>
    <w:p w14:paraId="11A68971" w14:textId="77777777" w:rsidR="00DB2B68" w:rsidRDefault="00000000">
      <w:pPr>
        <w:jc w:val="both"/>
      </w:pPr>
      <w:r>
        <w:t xml:space="preserve">Rayon de courbure : </w:t>
      </w:r>
      <w:r>
        <w:rPr>
          <w:rStyle w:val="optioncarChar"/>
        </w:rPr>
        <w:t>voir plan</w:t>
      </w:r>
      <w:r>
        <w:t xml:space="preserve"> (par défaut)</w:t>
      </w:r>
      <w:r>
        <w:rPr>
          <w:rStyle w:val="optioncarChar"/>
        </w:rPr>
        <w:t xml:space="preserve"> / ***</w:t>
      </w:r>
    </w:p>
    <w:p w14:paraId="3CF36A0A" w14:textId="77777777" w:rsidR="00DB2B68" w:rsidRDefault="00000000">
      <w:pPr>
        <w:jc w:val="both"/>
      </w:pPr>
      <w:r>
        <w:t xml:space="preserve">Exigences d’aspect : </w:t>
      </w:r>
      <w:r>
        <w:rPr>
          <w:rStyle w:val="optioncarChar"/>
        </w:rPr>
        <w:t xml:space="preserve">non-visible </w:t>
      </w:r>
      <w:r>
        <w:t>(par défaut)</w:t>
      </w:r>
      <w:r>
        <w:rPr>
          <w:rStyle w:val="optioncarChar"/>
        </w:rPr>
        <w:t xml:space="preserve"> / visible industriel / visible habitat</w:t>
      </w:r>
      <w:r>
        <w:t xml:space="preserve"> sur </w:t>
      </w:r>
      <w:r>
        <w:rPr>
          <w:rStyle w:val="optioncarChar"/>
        </w:rPr>
        <w:t xml:space="preserve">1 </w:t>
      </w:r>
      <w:r>
        <w:t>(par défaut)</w:t>
      </w:r>
      <w:r>
        <w:rPr>
          <w:rStyle w:val="optioncarChar"/>
        </w:rPr>
        <w:t xml:space="preserve"> / 2</w:t>
      </w:r>
      <w:r>
        <w:t xml:space="preserve"> face(s)</w:t>
      </w:r>
    </w:p>
    <w:p w14:paraId="6137C361" w14:textId="77777777" w:rsidR="00DB2B68" w:rsidRDefault="00000000">
      <w:pPr>
        <w:jc w:val="both"/>
      </w:pPr>
      <w:r>
        <w:t>Classe d’émission de formaldéhyde :</w:t>
      </w:r>
      <w:r>
        <w:rPr>
          <w:rStyle w:val="optioncarChar"/>
        </w:rPr>
        <w:t xml:space="preserve"> E1</w:t>
      </w:r>
      <w:r>
        <w:t xml:space="preserve"> (par défaut)</w:t>
      </w:r>
      <w:r>
        <w:rPr>
          <w:rStyle w:val="optioncarChar"/>
        </w:rPr>
        <w:t xml:space="preserve"> / E2</w:t>
      </w:r>
    </w:p>
    <w:p w14:paraId="334F5C2C" w14:textId="77777777" w:rsidR="00DB2B68" w:rsidRDefault="00000000">
      <w:pPr>
        <w:pStyle w:val="pheading"/>
      </w:pPr>
      <w:r>
        <w:t>EXÉCUTION / MISE EN ŒUVRE</w:t>
      </w:r>
    </w:p>
    <w:p w14:paraId="068FC819" w14:textId="77777777" w:rsidR="00DB2B68" w:rsidRDefault="00000000">
      <w:pPr>
        <w:pStyle w:val="pheading"/>
      </w:pPr>
      <w:r>
        <w:t>- Prescriptions générales</w:t>
      </w:r>
    </w:p>
    <w:p w14:paraId="54FC1ED4" w14:textId="77777777" w:rsidR="00DB2B68" w:rsidRDefault="00000000">
      <w:pPr>
        <w:jc w:val="both"/>
      </w:pPr>
      <w:r>
        <w:t>Le soumissionnaire fournit une description du principe constructif de montage qu’il compte mettre en œuvre.</w:t>
      </w:r>
    </w:p>
    <w:p w14:paraId="67378A3F" w14:textId="77777777" w:rsidR="00DB2B68" w:rsidRDefault="00000000">
      <w:pPr>
        <w:pStyle w:val="pheading"/>
      </w:pPr>
      <w:r>
        <w:t>MESURAGE</w:t>
      </w:r>
    </w:p>
    <w:p w14:paraId="58BF8DEB" w14:textId="77777777" w:rsidR="00DB2B68" w:rsidRDefault="00000000">
      <w:pPr>
        <w:pStyle w:val="pheading"/>
      </w:pPr>
      <w:r>
        <w:t>- unité de mesure:</w:t>
      </w:r>
    </w:p>
    <w:p w14:paraId="47B453F3" w14:textId="77777777" w:rsidR="00DB2B68" w:rsidRDefault="00000000">
      <w:r>
        <w:rPr>
          <w:rStyle w:val="optioncarChar"/>
        </w:rPr>
        <w:t xml:space="preserve">m </w:t>
      </w:r>
      <w:r>
        <w:t>(par défaut)</w:t>
      </w:r>
      <w:r>
        <w:rPr>
          <w:rStyle w:val="optioncarChar"/>
        </w:rPr>
        <w:t xml:space="preserve"> / m³</w:t>
      </w:r>
    </w:p>
    <w:p w14:paraId="6C057A79" w14:textId="77777777" w:rsidR="00DB2B68" w:rsidRDefault="00000000">
      <w:r>
        <w:rPr>
          <w:b/>
          <w:i/>
        </w:rPr>
        <w:t>(Soit par défaut)</w:t>
      </w:r>
    </w:p>
    <w:p w14:paraId="2938750F" w14:textId="77777777" w:rsidR="00DB2B68" w:rsidRDefault="00000000">
      <w:r>
        <w:rPr>
          <w:rStyle w:val="soitChar"/>
        </w:rPr>
        <w:t>1.     m</w:t>
      </w:r>
    </w:p>
    <w:p w14:paraId="75EF9916" w14:textId="77777777" w:rsidR="00DB2B68" w:rsidRDefault="00000000">
      <w:r>
        <w:rPr>
          <w:b/>
          <w:i/>
        </w:rPr>
        <w:lastRenderedPageBreak/>
        <w:t>(Soit)</w:t>
      </w:r>
    </w:p>
    <w:p w14:paraId="03D0DCA1" w14:textId="77777777" w:rsidR="00DB2B68" w:rsidRDefault="00000000">
      <w:r>
        <w:rPr>
          <w:rStyle w:val="soitChar"/>
        </w:rPr>
        <w:t>2.     m³</w:t>
      </w:r>
    </w:p>
    <w:p w14:paraId="7EACB4DF" w14:textId="77777777" w:rsidR="00DB2B68" w:rsidRDefault="00000000">
      <w:pPr>
        <w:pStyle w:val="pheading"/>
      </w:pPr>
      <w:r>
        <w:t>- code de mesurage:</w:t>
      </w:r>
    </w:p>
    <w:p w14:paraId="42A3CB8B" w14:textId="77777777" w:rsidR="00DB2B68" w:rsidRDefault="00000000">
      <w:pPr>
        <w:jc w:val="both"/>
      </w:pPr>
      <w:r>
        <w:rPr>
          <w:rStyle w:val="optioncarChar"/>
        </w:rPr>
        <w:t>Longueur nette</w:t>
      </w:r>
      <w:r>
        <w:t> (par défaut)</w:t>
      </w:r>
      <w:r>
        <w:rPr>
          <w:rStyle w:val="optioncarChar"/>
        </w:rPr>
        <w:t> / Volume net</w:t>
      </w:r>
    </w:p>
    <w:p w14:paraId="20C46924" w14:textId="77777777" w:rsidR="00DB2B68" w:rsidRDefault="00000000">
      <w:pPr>
        <w:jc w:val="both"/>
      </w:pPr>
      <w:r>
        <w:rPr>
          <w:b/>
          <w:i/>
        </w:rPr>
        <w:t>(Soit par défaut)</w:t>
      </w:r>
    </w:p>
    <w:p w14:paraId="2A025528" w14:textId="77777777" w:rsidR="00DB2B68" w:rsidRDefault="00000000">
      <w:pPr>
        <w:jc w:val="both"/>
      </w:pPr>
      <w:r>
        <w:rPr>
          <w:rStyle w:val="soitChar"/>
        </w:rPr>
        <w:t xml:space="preserve">1.     </w:t>
      </w:r>
      <w:r>
        <w:rPr>
          <w:rStyle w:val="soitChar"/>
          <w:u w:val="single"/>
        </w:rPr>
        <w:t>Longueur nette </w:t>
      </w:r>
      <w:r>
        <w:rPr>
          <w:rStyle w:val="soitChar"/>
        </w:rPr>
        <w:t>: la longueur nette développée des arcs ayant la même épaisseur et les mêmes caractéristiques est calculée, longueur d’assemblage comprise.</w:t>
      </w:r>
    </w:p>
    <w:p w14:paraId="3689B985" w14:textId="77777777" w:rsidR="00DB2B68" w:rsidRDefault="00000000">
      <w:pPr>
        <w:jc w:val="both"/>
      </w:pPr>
      <w:r>
        <w:rPr>
          <w:b/>
          <w:i/>
        </w:rPr>
        <w:t>(Soit)</w:t>
      </w:r>
    </w:p>
    <w:p w14:paraId="5C9F02EC" w14:textId="77777777" w:rsidR="00DB2B68" w:rsidRDefault="00000000">
      <w:pPr>
        <w:jc w:val="both"/>
      </w:pPr>
      <w:r>
        <w:rPr>
          <w:rStyle w:val="soitChar"/>
        </w:rPr>
        <w:t>2.     </w:t>
      </w:r>
      <w:r>
        <w:rPr>
          <w:rStyle w:val="soitChar"/>
          <w:u w:val="single"/>
        </w:rPr>
        <w:t>Volume net :</w:t>
      </w:r>
      <w:r>
        <w:rPr>
          <w:rStyle w:val="soitChar"/>
        </w:rPr>
        <w:t xml:space="preserve"> le volume net des arcs ayant les mêmes caractéristiques est calculée.</w:t>
      </w:r>
    </w:p>
    <w:p w14:paraId="5B400F3E" w14:textId="77777777" w:rsidR="00DB2B68" w:rsidRDefault="00000000">
      <w:pPr>
        <w:pStyle w:val="pheading"/>
      </w:pPr>
      <w:r>
        <w:t>- nature du marché:</w:t>
      </w:r>
    </w:p>
    <w:p w14:paraId="4395B2DC" w14:textId="77777777" w:rsidR="00DB2B68" w:rsidRDefault="00000000">
      <w:r>
        <w:rPr>
          <w:rStyle w:val="optioncarChar"/>
        </w:rPr>
        <w:t xml:space="preserve">QF </w:t>
      </w:r>
      <w:r>
        <w:t xml:space="preserve">(par défaut) </w:t>
      </w:r>
      <w:r>
        <w:rPr>
          <w:rStyle w:val="optioncarChar"/>
        </w:rPr>
        <w:t>/ QP</w:t>
      </w:r>
    </w:p>
    <w:p w14:paraId="60FB8CFE" w14:textId="77777777" w:rsidR="00DB2B68" w:rsidRDefault="00000000">
      <w:r>
        <w:rPr>
          <w:b/>
          <w:i/>
        </w:rPr>
        <w:t>(Soit par défaut)</w:t>
      </w:r>
    </w:p>
    <w:p w14:paraId="2D5CDBC5" w14:textId="77777777" w:rsidR="00DB2B68" w:rsidRDefault="00000000">
      <w:r>
        <w:rPr>
          <w:rStyle w:val="soitChar"/>
        </w:rPr>
        <w:t>1.     QF</w:t>
      </w:r>
    </w:p>
    <w:p w14:paraId="5E67D2D5" w14:textId="77777777" w:rsidR="00DB2B68" w:rsidRDefault="00000000">
      <w:r>
        <w:rPr>
          <w:b/>
          <w:i/>
        </w:rPr>
        <w:t>(Soit)</w:t>
      </w:r>
    </w:p>
    <w:p w14:paraId="50100D0B" w14:textId="77777777" w:rsidR="00DB2B68" w:rsidRDefault="00000000">
      <w:r>
        <w:rPr>
          <w:rStyle w:val="soitChar"/>
        </w:rPr>
        <w:t>2.     QP</w:t>
      </w:r>
    </w:p>
    <w:p w14:paraId="12D14CC5" w14:textId="77777777" w:rsidR="00DB2B68" w:rsidRDefault="00000000">
      <w:pPr>
        <w:pStyle w:val="Author-eSectionHeading3Numberless"/>
      </w:pPr>
      <w:bookmarkStart w:id="1648" w:name="_Toc220496633"/>
      <w:r>
        <w:t>24.2 Systèmes d'éléments en bois CCTB 01.07</w:t>
      </w:r>
      <w:bookmarkEnd w:id="1648"/>
    </w:p>
    <w:p w14:paraId="027AD904" w14:textId="77777777" w:rsidR="00DB2B68" w:rsidRDefault="00000000">
      <w:pPr>
        <w:pStyle w:val="Author-eSectionHeading4Numberless"/>
      </w:pPr>
      <w:bookmarkStart w:id="1649" w:name="_Toc220496634"/>
      <w:r>
        <w:t>24.21 Murs en bois CCTB 01.09</w:t>
      </w:r>
      <w:bookmarkEnd w:id="1649"/>
    </w:p>
    <w:p w14:paraId="3DE431D0" w14:textId="77777777" w:rsidR="00DB2B68" w:rsidRDefault="00000000">
      <w:pPr>
        <w:pStyle w:val="pheading"/>
      </w:pPr>
      <w:r>
        <w:t>DESCRIPTION</w:t>
      </w:r>
    </w:p>
    <w:p w14:paraId="7657DDB7" w14:textId="77777777" w:rsidR="00DB2B68" w:rsidRDefault="00000000">
      <w:pPr>
        <w:pStyle w:val="pheading"/>
      </w:pPr>
      <w:r>
        <w:t>- Définition / Comprend</w:t>
      </w:r>
    </w:p>
    <w:p w14:paraId="23E1AE91" w14:textId="77777777" w:rsidR="00DB2B68" w:rsidRDefault="00000000">
      <w:pPr>
        <w:jc w:val="both"/>
      </w:pPr>
      <w:r>
        <w:t>Il s’agit d’un système structural composé de plusieurs éléments parmi lesquels le bois est porteur. Une des dimensions est largement inférieure aux deux autres. Il s’étend sur un plan vertical et supporte des charges principalement verticales et horizontales parallèles à son plan.</w:t>
      </w:r>
    </w:p>
    <w:p w14:paraId="23F2B889" w14:textId="77777777" w:rsidR="00DB2B68" w:rsidRDefault="00000000">
      <w:pPr>
        <w:pStyle w:val="Author-eSectionHeading5Numberless"/>
      </w:pPr>
      <w:bookmarkStart w:id="1650" w:name="_Toc220496635"/>
      <w:r>
        <w:t>24.21.1 Murs en bois assemblés sur place CCTB 01.07</w:t>
      </w:r>
      <w:bookmarkEnd w:id="1650"/>
    </w:p>
    <w:p w14:paraId="319E1AAA" w14:textId="77777777" w:rsidR="00DB2B68" w:rsidRDefault="00000000">
      <w:pPr>
        <w:pStyle w:val="Author-eSectionHeading6Numberless"/>
      </w:pPr>
      <w:bookmarkStart w:id="1651" w:name="_Toc220496636"/>
      <w:r>
        <w:t>24.21.1a Murs ossatures bois assemblés sur place CCTB 01.07</w:t>
      </w:r>
      <w:bookmarkEnd w:id="1651"/>
    </w:p>
    <w:p w14:paraId="1971BCC2" w14:textId="77777777" w:rsidR="00DB2B68" w:rsidRDefault="00000000">
      <w:pPr>
        <w:pStyle w:val="pheading"/>
      </w:pPr>
      <w:r>
        <w:t>EXÉCUTION / MISE EN ŒUVRE</w:t>
      </w:r>
    </w:p>
    <w:p w14:paraId="3B631F84" w14:textId="77777777" w:rsidR="00DB2B68" w:rsidRDefault="00000000">
      <w:pPr>
        <w:pStyle w:val="pheading"/>
      </w:pPr>
      <w:r>
        <w:t>- Notes d’exécution complémentaires</w:t>
      </w:r>
    </w:p>
    <w:p w14:paraId="64BCD7E7" w14:textId="77777777" w:rsidR="00DB2B68" w:rsidRDefault="00DB2B68"/>
    <w:p w14:paraId="3BB3A7AA" w14:textId="77777777" w:rsidR="00DB2B68" w:rsidRDefault="00000000">
      <w:r>
        <w:br/>
      </w:r>
    </w:p>
    <w:p w14:paraId="7633EA10" w14:textId="77777777" w:rsidR="00DB2B68" w:rsidRDefault="00000000">
      <w:pPr>
        <w:pStyle w:val="Author-eSectionHeading6Numberless"/>
      </w:pPr>
      <w:bookmarkStart w:id="1652" w:name="_Toc220496637"/>
      <w:r>
        <w:t>24.21.1b Murs de façade ossatures bois assemblés sur place CCTB 01.07</w:t>
      </w:r>
      <w:bookmarkEnd w:id="1652"/>
    </w:p>
    <w:p w14:paraId="40A768B0" w14:textId="77777777" w:rsidR="00DB2B68" w:rsidRDefault="00000000">
      <w:pPr>
        <w:pStyle w:val="pheading"/>
      </w:pPr>
      <w:r>
        <w:t>EXÉCUTION / MISE EN ŒUVRE</w:t>
      </w:r>
    </w:p>
    <w:p w14:paraId="716811F5" w14:textId="77777777" w:rsidR="00DB2B68" w:rsidRDefault="00000000">
      <w:pPr>
        <w:pStyle w:val="pheading"/>
      </w:pPr>
      <w:r>
        <w:t>- Notes d’exécution complémentaires</w:t>
      </w:r>
    </w:p>
    <w:p w14:paraId="4085E508" w14:textId="77777777" w:rsidR="00DB2B68" w:rsidRDefault="00DB2B68"/>
    <w:p w14:paraId="6BB035A7" w14:textId="77777777" w:rsidR="00DB2B68" w:rsidRDefault="00000000">
      <w:r>
        <w:br/>
      </w:r>
    </w:p>
    <w:p w14:paraId="62072806" w14:textId="77777777" w:rsidR="00DB2B68" w:rsidRDefault="00000000">
      <w:pPr>
        <w:pStyle w:val="Author-eSectionHeading6Numberless"/>
      </w:pPr>
      <w:bookmarkStart w:id="1653" w:name="_Toc220496638"/>
      <w:r>
        <w:t>24.21.1c Murs en briques de bois empilées assemblés sur place CCTB 01.11</w:t>
      </w:r>
      <w:bookmarkEnd w:id="1653"/>
    </w:p>
    <w:p w14:paraId="47975ECC" w14:textId="77777777" w:rsidR="00DB2B68" w:rsidRDefault="00000000">
      <w:pPr>
        <w:pStyle w:val="pheading"/>
      </w:pPr>
      <w:r>
        <w:t>DESCRIPTION</w:t>
      </w:r>
    </w:p>
    <w:p w14:paraId="151C922D" w14:textId="77777777" w:rsidR="00DB2B68" w:rsidRDefault="00000000">
      <w:pPr>
        <w:pStyle w:val="pheading"/>
      </w:pPr>
      <w:r>
        <w:t>- Définition / Comprend</w:t>
      </w:r>
    </w:p>
    <w:p w14:paraId="04208891" w14:textId="77777777" w:rsidR="00DB2B68" w:rsidRDefault="00000000">
      <w:pPr>
        <w:jc w:val="both"/>
      </w:pPr>
      <w:r>
        <w:lastRenderedPageBreak/>
        <w:t>Il s’agit de la fourniture et la pose d’une maçonnerie en briques de bois massif pour réaliser un mur porteur ou non porteur.   </w:t>
      </w:r>
    </w:p>
    <w:p w14:paraId="6F23C956" w14:textId="77777777" w:rsidR="00DB2B68" w:rsidRDefault="00000000">
      <w:pPr>
        <w:jc w:val="both"/>
      </w:pPr>
      <w:r>
        <w:t>Le travail comprend notamment :</w:t>
      </w:r>
    </w:p>
    <w:p w14:paraId="4AEFDDF4" w14:textId="77777777" w:rsidR="00DB2B68" w:rsidRDefault="00000000">
      <w:pPr>
        <w:pStyle w:val="Author-eListParagraph"/>
        <w:numPr>
          <w:ilvl w:val="0"/>
          <w:numId w:val="894"/>
        </w:numPr>
        <w:jc w:val="both"/>
      </w:pPr>
      <w:r>
        <w:t>La fabrication, la livraison et la pose des briques de bois, y compris les engins de levage, tous les supports temporaires et travaux d’étayage.</w:t>
      </w:r>
    </w:p>
    <w:p w14:paraId="6F22C144" w14:textId="77777777" w:rsidR="00DB2B68" w:rsidRDefault="00000000">
      <w:pPr>
        <w:pStyle w:val="Author-eListParagraph"/>
        <w:numPr>
          <w:ilvl w:val="0"/>
          <w:numId w:val="894"/>
        </w:numPr>
        <w:jc w:val="both"/>
      </w:pPr>
      <w:r>
        <w:t>Les réservations prévues sur les plans.</w:t>
      </w:r>
    </w:p>
    <w:p w14:paraId="235D2F90" w14:textId="77777777" w:rsidR="00DB2B68" w:rsidRDefault="00000000">
      <w:pPr>
        <w:pStyle w:val="Author-eListParagraph"/>
        <w:numPr>
          <w:ilvl w:val="0"/>
          <w:numId w:val="894"/>
        </w:numPr>
        <w:jc w:val="both"/>
      </w:pPr>
      <w:r>
        <w:t>La finition des bords et travaux de réparation en cas d’endommagement.</w:t>
      </w:r>
    </w:p>
    <w:p w14:paraId="48F6637B" w14:textId="77777777" w:rsidR="00DB2B68" w:rsidRDefault="00000000">
      <w:pPr>
        <w:pStyle w:val="Author-eListParagraph"/>
        <w:numPr>
          <w:ilvl w:val="0"/>
          <w:numId w:val="894"/>
        </w:numPr>
        <w:jc w:val="both"/>
      </w:pPr>
      <w:r>
        <w:t>Le remplissage des joints de dilatation éventuels selon les directives du fournisseur.</w:t>
      </w:r>
    </w:p>
    <w:p w14:paraId="2F533A0E" w14:textId="77777777" w:rsidR="00DB2B68" w:rsidRDefault="00000000">
      <w:pPr>
        <w:pStyle w:val="Author-eListParagraph"/>
        <w:numPr>
          <w:ilvl w:val="0"/>
          <w:numId w:val="894"/>
        </w:numPr>
        <w:jc w:val="both"/>
      </w:pPr>
      <w:r>
        <w:t>Le contrôle de toutes les dimensions et l’adaptation des briques de bois aux dimensions réelles ;</w:t>
      </w:r>
    </w:p>
    <w:p w14:paraId="26E6F2CB" w14:textId="77777777" w:rsidR="00DB2B68" w:rsidRDefault="00000000">
      <w:pPr>
        <w:pStyle w:val="Author-eListParagraph"/>
        <w:numPr>
          <w:ilvl w:val="0"/>
          <w:numId w:val="894"/>
        </w:numPr>
        <w:jc w:val="both"/>
      </w:pPr>
      <w:r>
        <w:t>Tous les moyens de liaisonnement éventuels, aussi bien entre les briques de bois, qu’avec les éléments de support, de bord, … ;</w:t>
      </w:r>
    </w:p>
    <w:p w14:paraId="04FD2912" w14:textId="77777777" w:rsidR="00DB2B68" w:rsidRDefault="00000000">
      <w:pPr>
        <w:pStyle w:val="Author-eListParagraph"/>
        <w:numPr>
          <w:ilvl w:val="0"/>
          <w:numId w:val="894"/>
        </w:numPr>
        <w:jc w:val="both"/>
      </w:pPr>
      <w:r>
        <w:t>L’enlèvement de tous les accessoires, éléments de coffrage, supports, étais et le nettoyage des faces visibles</w:t>
      </w:r>
    </w:p>
    <w:p w14:paraId="7F1D4A69" w14:textId="77777777" w:rsidR="00DB2B68" w:rsidRDefault="00000000">
      <w:pPr>
        <w:pStyle w:val="Author-eListParagraph"/>
        <w:numPr>
          <w:ilvl w:val="0"/>
          <w:numId w:val="894"/>
        </w:numPr>
        <w:jc w:val="both"/>
      </w:pPr>
      <w:r>
        <w:t>Les ouvrages de protection des briques de bois contre la pluie, l’humidité et la condensation durant le transport et toute la durée du chantier</w:t>
      </w:r>
    </w:p>
    <w:p w14:paraId="21BCAB29" w14:textId="77777777" w:rsidR="00DB2B68" w:rsidRDefault="00000000">
      <w:pPr>
        <w:pStyle w:val="pheading"/>
      </w:pPr>
      <w:r>
        <w:t>- Localisation</w:t>
      </w:r>
    </w:p>
    <w:p w14:paraId="5DFF180A" w14:textId="77777777" w:rsidR="00DB2B68" w:rsidRDefault="00000000">
      <w:r>
        <w:t xml:space="preserve">Localisation des travaux : </w:t>
      </w:r>
      <w:r>
        <w:rPr>
          <w:rStyle w:val="optioncarChar"/>
        </w:rPr>
        <w:t>***</w:t>
      </w:r>
      <w:r>
        <w:t>.</w:t>
      </w:r>
    </w:p>
    <w:p w14:paraId="1E4A10CD" w14:textId="77777777" w:rsidR="00DB2B68" w:rsidRDefault="00000000">
      <w:r>
        <w:t>Voir plans et métrés détaillés.</w:t>
      </w:r>
    </w:p>
    <w:p w14:paraId="1A7341CC" w14:textId="77777777" w:rsidR="00DB2B68" w:rsidRDefault="00000000">
      <w:pPr>
        <w:pStyle w:val="pheading"/>
      </w:pPr>
      <w:r>
        <w:t>MATÉRIAUX</w:t>
      </w:r>
    </w:p>
    <w:p w14:paraId="52AFE0DC" w14:textId="77777777" w:rsidR="00DB2B68" w:rsidRDefault="00000000">
      <w:pPr>
        <w:pStyle w:val="pheading"/>
      </w:pPr>
      <w:r>
        <w:t>- Caractéristiques générales</w:t>
      </w:r>
    </w:p>
    <w:p w14:paraId="40524924" w14:textId="77777777" w:rsidR="00DB2B68" w:rsidRDefault="00000000">
      <w:pPr>
        <w:jc w:val="both"/>
      </w:pPr>
      <w:r>
        <w:t xml:space="preserve">Les essences de bois composant les briques de bois  sont définies conformément à la [NBN EN 13556] : </w:t>
      </w:r>
      <w:r>
        <w:rPr>
          <w:rStyle w:val="optioncarChar"/>
        </w:rPr>
        <w:t xml:space="preserve">Épicéa (Picea abies, PCAB) </w:t>
      </w:r>
      <w:r>
        <w:t xml:space="preserve">(par défaut) </w:t>
      </w:r>
      <w:r>
        <w:rPr>
          <w:rStyle w:val="optioncarChar"/>
        </w:rPr>
        <w:t>/ Sapin (Abies alba, ABAL) / Pin sylvestre (Pinus sylvestris, PNSY) / Douglas (Pseudotsuga menziesii, PSMN) / Mélèze (Larix spp) /Peuplier (Populus spp) / Pin maritime (Pinus pinaster, PNPN) / Hêtre / ***</w:t>
      </w:r>
      <w:r>
        <w:t xml:space="preserve"> .</w:t>
      </w:r>
    </w:p>
    <w:p w14:paraId="2FCCAF2A" w14:textId="77777777" w:rsidR="00DB2B68" w:rsidRDefault="00000000">
      <w:pPr>
        <w:jc w:val="both"/>
      </w:pPr>
      <w:r>
        <w:t xml:space="preserve">Classe de résistance : </w:t>
      </w:r>
      <w:r>
        <w:rPr>
          <w:rStyle w:val="optioncarChar"/>
        </w:rPr>
        <w:t>C18</w:t>
      </w:r>
      <w:r>
        <w:t> (par défaut)</w:t>
      </w:r>
      <w:r>
        <w:rPr>
          <w:rStyle w:val="optioncarChar"/>
        </w:rPr>
        <w:t xml:space="preserve"> / D18 / C24 / D24 / C30 / D30 / ***</w:t>
      </w:r>
    </w:p>
    <w:p w14:paraId="5A68A3DD" w14:textId="77777777" w:rsidR="00DB2B68" w:rsidRDefault="00000000">
      <w:pPr>
        <w:jc w:val="both"/>
      </w:pPr>
      <w:r>
        <w:t xml:space="preserve">Les briques sont composées de </w:t>
      </w:r>
      <w:r>
        <w:rPr>
          <w:rStyle w:val="optioncarChar"/>
        </w:rPr>
        <w:t>lames contre collées formant une brique pleine / lames contrecollées formant des briques creuses / ***</w:t>
      </w:r>
    </w:p>
    <w:p w14:paraId="7B634BAB" w14:textId="77777777" w:rsidR="00DB2B68" w:rsidRDefault="00000000">
      <w:pPr>
        <w:jc w:val="both"/>
      </w:pPr>
      <w:r>
        <w:t xml:space="preserve">Au moins </w:t>
      </w:r>
      <w:r>
        <w:rPr>
          <w:rStyle w:val="optioncarChar"/>
        </w:rPr>
        <w:t xml:space="preserve">40 </w:t>
      </w:r>
      <w:r>
        <w:t>(par défaut)</w:t>
      </w:r>
      <w:r>
        <w:rPr>
          <w:rStyle w:val="optioncarChar"/>
        </w:rPr>
        <w:t xml:space="preserve"> / ***</w:t>
      </w:r>
      <w:r>
        <w:t xml:space="preserve"> % des fibres sont verticales</w:t>
      </w:r>
    </w:p>
    <w:p w14:paraId="2B5ADF06" w14:textId="77777777" w:rsidR="00DB2B68" w:rsidRDefault="00000000">
      <w:pPr>
        <w:jc w:val="both"/>
      </w:pPr>
      <w:r>
        <w:rPr>
          <w:b/>
        </w:rPr>
        <w:t>Dimensions</w:t>
      </w:r>
    </w:p>
    <w:p w14:paraId="582AC56A" w14:textId="77777777" w:rsidR="00DB2B68" w:rsidRDefault="00000000">
      <w:pPr>
        <w:jc w:val="both"/>
      </w:pPr>
      <w:r>
        <w:t xml:space="preserve">Epaisseur mur porteur : </w:t>
      </w:r>
      <w:r>
        <w:rPr>
          <w:rStyle w:val="optioncarChar"/>
        </w:rPr>
        <w:t>180 </w:t>
      </w:r>
      <w:r>
        <w:t>(par défaut)</w:t>
      </w:r>
      <w:r>
        <w:rPr>
          <w:rStyle w:val="optioncarChar"/>
        </w:rPr>
        <w:t xml:space="preserve"> / 230 / ***</w:t>
      </w:r>
      <w:r>
        <w:t xml:space="preserve"> mm</w:t>
      </w:r>
    </w:p>
    <w:p w14:paraId="7BE46459" w14:textId="77777777" w:rsidR="00DB2B68" w:rsidRDefault="00000000">
      <w:pPr>
        <w:jc w:val="both"/>
      </w:pPr>
      <w:r>
        <w:t xml:space="preserve">Epaisseur mur non porteur : </w:t>
      </w:r>
      <w:r>
        <w:rPr>
          <w:rStyle w:val="optioncarChar"/>
        </w:rPr>
        <w:t xml:space="preserve">60 </w:t>
      </w:r>
      <w:r>
        <w:t>(par défaut) </w:t>
      </w:r>
      <w:r>
        <w:rPr>
          <w:rStyle w:val="optioncarChar"/>
        </w:rPr>
        <w:t>/ 90 / 140 / ***</w:t>
      </w:r>
      <w:r>
        <w:t xml:space="preserve"> mm</w:t>
      </w:r>
    </w:p>
    <w:p w14:paraId="03EA994E" w14:textId="77777777" w:rsidR="00DB2B68" w:rsidRDefault="00000000">
      <w:pPr>
        <w:jc w:val="both"/>
      </w:pPr>
      <w:r>
        <w:t xml:space="preserve">Longueur : </w:t>
      </w:r>
      <w:r>
        <w:rPr>
          <w:rStyle w:val="optioncarChar"/>
        </w:rPr>
        <w:t>300 </w:t>
      </w:r>
      <w:r>
        <w:t xml:space="preserve">(par défaut) </w:t>
      </w:r>
      <w:r>
        <w:rPr>
          <w:rStyle w:val="optioncarChar"/>
        </w:rPr>
        <w:t>/  450 / 600 / 800 / 1200 / ***</w:t>
      </w:r>
      <w:r>
        <w:t xml:space="preserve"> mm</w:t>
      </w:r>
    </w:p>
    <w:p w14:paraId="5A07F943" w14:textId="77777777" w:rsidR="00DB2B68" w:rsidRDefault="00000000">
      <w:pPr>
        <w:jc w:val="both"/>
      </w:pPr>
      <w:r>
        <w:t xml:space="preserve">Hauteur : </w:t>
      </w:r>
      <w:r>
        <w:rPr>
          <w:rStyle w:val="optioncarChar"/>
        </w:rPr>
        <w:t>85 </w:t>
      </w:r>
      <w:r>
        <w:t>(par défaut)</w:t>
      </w:r>
      <w:r>
        <w:rPr>
          <w:rStyle w:val="optioncarChar"/>
        </w:rPr>
        <w:t xml:space="preserve"> / 190 / 200 / ***</w:t>
      </w:r>
      <w:r>
        <w:t xml:space="preserve"> mm</w:t>
      </w:r>
    </w:p>
    <w:p w14:paraId="7EF25474" w14:textId="77777777" w:rsidR="00DB2B68" w:rsidRDefault="00000000">
      <w:pPr>
        <w:jc w:val="both"/>
      </w:pPr>
      <w:r>
        <w:t> </w:t>
      </w:r>
    </w:p>
    <w:p w14:paraId="319EF388" w14:textId="77777777" w:rsidR="00DB2B68" w:rsidRDefault="00000000">
      <w:pPr>
        <w:jc w:val="both"/>
      </w:pPr>
      <w:r>
        <w:t xml:space="preserve">Classe d’utilisation : </w:t>
      </w:r>
      <w:r>
        <w:rPr>
          <w:rStyle w:val="optioncarChar"/>
        </w:rPr>
        <w:t>Classe 1 </w:t>
      </w:r>
      <w:r>
        <w:t xml:space="preserve">(par défaut) </w:t>
      </w:r>
      <w:r>
        <w:rPr>
          <w:rStyle w:val="optioncarChar"/>
        </w:rPr>
        <w:t>/ Classe 2 / Classe 3</w:t>
      </w:r>
    </w:p>
    <w:p w14:paraId="39F178F4" w14:textId="77777777" w:rsidR="00DB2B68" w:rsidRDefault="00000000">
      <w:pPr>
        <w:jc w:val="both"/>
      </w:pPr>
      <w:r>
        <w:t xml:space="preserve">La réaction au feu est de classe </w:t>
      </w:r>
      <w:r>
        <w:rPr>
          <w:rStyle w:val="optioncarChar"/>
        </w:rPr>
        <w:t xml:space="preserve">D-s2, d0 </w:t>
      </w:r>
      <w:r>
        <w:t>(par défaut)</w:t>
      </w:r>
      <w:r>
        <w:rPr>
          <w:rStyle w:val="optioncarChar"/>
        </w:rPr>
        <w:t xml:space="preserve"> / ***</w:t>
      </w:r>
    </w:p>
    <w:p w14:paraId="7FBA0C97" w14:textId="77777777" w:rsidR="00DB2B68" w:rsidRDefault="00000000">
      <w:pPr>
        <w:jc w:val="both"/>
      </w:pPr>
      <w:r>
        <w:t xml:space="preserve">La résistance au feu déclarée de la paroi: </w:t>
      </w:r>
      <w:r>
        <w:rPr>
          <w:rStyle w:val="optioncarChar"/>
        </w:rPr>
        <w:t xml:space="preserve">pas d’exigences </w:t>
      </w:r>
      <w:r>
        <w:t>(par défaut)</w:t>
      </w:r>
      <w:r>
        <w:rPr>
          <w:rStyle w:val="optioncarChar"/>
        </w:rPr>
        <w:t xml:space="preserve"> / REI 30 / EI30 / REI 60 / EI 60 / ***.</w:t>
      </w:r>
    </w:p>
    <w:p w14:paraId="1F8208E6" w14:textId="77777777" w:rsidR="00DB2B68" w:rsidRDefault="00000000">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5A9C25C3" w14:textId="77777777" w:rsidR="00DB2B68"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33618B3F" w14:textId="77777777" w:rsidR="00DB2B68" w:rsidRDefault="00000000">
      <w:pPr>
        <w:jc w:val="both"/>
      </w:pPr>
      <w:r>
        <w:t>Le coefficient de résistance à la diffusion de vapeur d’eau – valeur μ pour un taux d’humidité du bois de 11 % (selon [NBN EN 12086]): </w:t>
      </w:r>
      <w:r>
        <w:rPr>
          <w:rStyle w:val="optioncarChar"/>
        </w:rPr>
        <w:t>≥ 50</w:t>
      </w:r>
      <w:r>
        <w:t xml:space="preserve"> (par défaut) </w:t>
      </w:r>
      <w:r>
        <w:rPr>
          <w:rStyle w:val="optioncarChar"/>
        </w:rPr>
        <w:t>/ ≥ 30  / ≤ 100 / ***.</w:t>
      </w:r>
    </w:p>
    <w:p w14:paraId="4027CED2" w14:textId="77777777" w:rsidR="00DB2B68" w:rsidRDefault="00000000">
      <w:pPr>
        <w:jc w:val="both"/>
      </w:pPr>
      <w:r>
        <w:lastRenderedPageBreak/>
        <w:t xml:space="preserve">La durabilité des éléments en fonction de leur classe d’emploi, est assurée par la mesure suivante : </w:t>
      </w:r>
      <w:r>
        <w:rPr>
          <w:rStyle w:val="optioncarChar"/>
        </w:rPr>
        <w:t xml:space="preserve">traitement A1 </w:t>
      </w:r>
      <w:r>
        <w:t xml:space="preserve">(par défaut) </w:t>
      </w:r>
      <w:r>
        <w:rPr>
          <w:rStyle w:val="optioncarChar"/>
        </w:rPr>
        <w:t>/ traitement A2.2 / bois modifié thermiquement / bois hors aubier / ***.</w:t>
      </w:r>
    </w:p>
    <w:p w14:paraId="52362D72" w14:textId="77777777" w:rsidR="00DB2B68" w:rsidRDefault="00000000">
      <w:pPr>
        <w:jc w:val="both"/>
      </w:pPr>
      <w:r>
        <w:t> </w:t>
      </w:r>
    </w:p>
    <w:p w14:paraId="037A627B" w14:textId="77777777" w:rsidR="00DB2B68" w:rsidRDefault="00000000">
      <w:pPr>
        <w:jc w:val="both"/>
      </w:pPr>
      <w:r>
        <w:t xml:space="preserve">Le collage des lames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14:paraId="0920CA06" w14:textId="77777777" w:rsidR="00DB2B68" w:rsidRDefault="00000000">
      <w:pPr>
        <w:ind w:left="567"/>
        <w:jc w:val="both"/>
      </w:pPr>
      <w:r>
        <w:rPr>
          <w:b/>
          <w:i/>
        </w:rPr>
        <w:t>(Soit par défaut)</w:t>
      </w:r>
    </w:p>
    <w:p w14:paraId="49F30AA4" w14:textId="77777777" w:rsidR="00DB2B68" w:rsidRDefault="00000000">
      <w:pPr>
        <w:ind w:left="567"/>
        <w:jc w:val="both"/>
      </w:pPr>
      <w:r>
        <w:rPr>
          <w:rStyle w:val="soitChar"/>
          <w:u w:val="single"/>
        </w:rPr>
        <w:t>Les spécifications du fabricant</w:t>
      </w:r>
    </w:p>
    <w:p w14:paraId="0BEC13D7" w14:textId="77777777" w:rsidR="00DB2B68" w:rsidRDefault="00000000">
      <w:pPr>
        <w:ind w:left="567"/>
        <w:jc w:val="both"/>
      </w:pPr>
      <w:r>
        <w:rPr>
          <w:b/>
          <w:i/>
        </w:rPr>
        <w:t>(Soit)</w:t>
      </w:r>
    </w:p>
    <w:p w14:paraId="7AC1E5E9" w14:textId="77777777" w:rsidR="00DB2B68" w:rsidRDefault="00000000">
      <w:pPr>
        <w:ind w:left="567"/>
        <w:jc w:val="both"/>
      </w:pPr>
      <w:r>
        <w:rPr>
          <w:rStyle w:val="soitChar"/>
          <w:u w:val="single"/>
        </w:rPr>
        <w:t>PUR</w:t>
      </w:r>
      <w:r>
        <w:rPr>
          <w:rStyle w:val="soitChar"/>
        </w:rPr>
        <w:t> :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7B9E0E6E" w14:textId="77777777" w:rsidR="00DB2B68" w:rsidRDefault="00000000">
      <w:pPr>
        <w:ind w:left="567"/>
        <w:jc w:val="both"/>
      </w:pPr>
      <w:r>
        <w:rPr>
          <w:b/>
          <w:i/>
        </w:rPr>
        <w:t>(Soit)</w:t>
      </w:r>
    </w:p>
    <w:p w14:paraId="799C9CA6" w14:textId="77777777" w:rsidR="00DB2B68" w:rsidRDefault="0000000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w:t>
      </w:r>
    </w:p>
    <w:p w14:paraId="083294E7" w14:textId="77777777" w:rsidR="00DB2B68" w:rsidRDefault="00000000">
      <w:pPr>
        <w:ind w:left="567"/>
        <w:jc w:val="both"/>
      </w:pPr>
      <w:r>
        <w:rPr>
          <w:b/>
          <w:i/>
        </w:rPr>
        <w:t>(Soit)</w:t>
      </w:r>
    </w:p>
    <w:p w14:paraId="17871A7E" w14:textId="77777777" w:rsidR="00DB2B68"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35100C92" w14:textId="77777777" w:rsidR="00DB2B68" w:rsidRDefault="00000000">
      <w:pPr>
        <w:pStyle w:val="pheading"/>
      </w:pPr>
      <w:r>
        <w:t>- Finitions</w:t>
      </w:r>
    </w:p>
    <w:p w14:paraId="43BF0ABD" w14:textId="77777777" w:rsidR="00DB2B68" w:rsidRDefault="00000000">
      <w:pPr>
        <w:jc w:val="both"/>
      </w:pPr>
      <w:r>
        <w:t xml:space="preserve">Exigences d’aspect : </w:t>
      </w:r>
      <w:r>
        <w:rPr>
          <w:rStyle w:val="optioncarChar"/>
        </w:rPr>
        <w:t>non-visible / visible industriel / visible habitat</w:t>
      </w:r>
      <w:r>
        <w:t xml:space="preserve"> sur </w:t>
      </w:r>
      <w:r>
        <w:rPr>
          <w:rStyle w:val="optioncarChar"/>
        </w:rPr>
        <w:t xml:space="preserve">1 </w:t>
      </w:r>
      <w:r>
        <w:t xml:space="preserve">(par défaut) </w:t>
      </w:r>
      <w:r>
        <w:rPr>
          <w:rStyle w:val="optioncarChar"/>
        </w:rPr>
        <w:t>/ 2 face(s) / ***.</w:t>
      </w:r>
    </w:p>
    <w:p w14:paraId="130BDC5D" w14:textId="77777777" w:rsidR="00DB2B68" w:rsidRDefault="00000000">
      <w:pPr>
        <w:jc w:val="both"/>
      </w:pPr>
      <w:r>
        <w:t xml:space="preserve">Les blocs </w:t>
      </w:r>
      <w:r>
        <w:rPr>
          <w:rStyle w:val="optioncarChar"/>
        </w:rPr>
        <w:t>sont / ne sont pas</w:t>
      </w:r>
      <w:r>
        <w:t xml:space="preserve"> (par défaut) munis de gaines (rainures) techniques et blochets intégrés non traversantes.</w:t>
      </w:r>
    </w:p>
    <w:p w14:paraId="49119E3F" w14:textId="77777777" w:rsidR="00DB2B68" w:rsidRDefault="00000000">
      <w:pPr>
        <w:pStyle w:val="pheading"/>
      </w:pPr>
      <w:r>
        <w:t>- Prescriptions complémentaires</w:t>
      </w:r>
    </w:p>
    <w:p w14:paraId="43F0B526" w14:textId="77777777" w:rsidR="00DB2B68" w:rsidRDefault="00000000">
      <w:r>
        <w:rPr>
          <w:rStyle w:val="facultChar"/>
        </w:rPr>
        <w:t>Capacité thermique</w:t>
      </w:r>
      <w:r>
        <w:t xml:space="preserve"> : </w:t>
      </w:r>
      <w:r>
        <w:rPr>
          <w:rStyle w:val="optioncarChar"/>
        </w:rPr>
        <w:t xml:space="preserve">&gt; 2 </w:t>
      </w:r>
      <w:r>
        <w:t xml:space="preserve">(par défaut) </w:t>
      </w:r>
      <w:r>
        <w:rPr>
          <w:rStyle w:val="optioncarChar"/>
        </w:rPr>
        <w:t>/ ***</w:t>
      </w:r>
      <w:r>
        <w:t xml:space="preserve">  </w:t>
      </w:r>
      <w:r>
        <w:rPr>
          <w:rStyle w:val="facultChar"/>
        </w:rPr>
        <w:t>kJ/kg.K</w:t>
      </w:r>
    </w:p>
    <w:p w14:paraId="0462399E" w14:textId="77777777" w:rsidR="00DB2B68" w:rsidRDefault="00000000">
      <w:pPr>
        <w:pStyle w:val="pheading"/>
      </w:pPr>
      <w:r>
        <w:t>EXÉCUTION / MISE EN ŒUVRE</w:t>
      </w:r>
    </w:p>
    <w:p w14:paraId="47490876" w14:textId="77777777" w:rsidR="00DB2B68" w:rsidRDefault="00000000">
      <w:pPr>
        <w:pStyle w:val="pheading"/>
      </w:pPr>
      <w:r>
        <w:t>- Prescriptions générales</w:t>
      </w:r>
    </w:p>
    <w:p w14:paraId="57D67B32" w14:textId="77777777" w:rsidR="00DB2B68" w:rsidRDefault="00000000">
      <w:pPr>
        <w:jc w:val="both"/>
      </w:pPr>
      <w:r>
        <w:t xml:space="preserve">Les briques sont assemblées par </w:t>
      </w:r>
      <w:r>
        <w:rPr>
          <w:rStyle w:val="optioncarChar"/>
        </w:rPr>
        <w:t>vis traversante verticale</w:t>
      </w:r>
      <w:r>
        <w:t xml:space="preserve"> (par défaut) </w:t>
      </w:r>
      <w:r>
        <w:rPr>
          <w:rStyle w:val="optioncarChar"/>
        </w:rPr>
        <w:t>/ clippage</w:t>
      </w:r>
      <w:r>
        <w:t>.</w:t>
      </w:r>
    </w:p>
    <w:p w14:paraId="5A410F52" w14:textId="77777777" w:rsidR="00DB2B68" w:rsidRDefault="00000000">
      <w:pPr>
        <w:jc w:val="both"/>
      </w:pPr>
      <w:r>
        <w:t xml:space="preserve">Les éléments exposés au climat extérieur comportent des dispositifs géométriques qui assurent une étanchéité à l’eau de </w:t>
      </w:r>
      <w:r>
        <w:rPr>
          <w:rStyle w:val="optioncarChar"/>
        </w:rPr>
        <w:t>450 </w:t>
      </w:r>
      <w:r>
        <w:t>(par défaut)</w:t>
      </w:r>
      <w:r>
        <w:rPr>
          <w:rStyle w:val="optioncarChar"/>
        </w:rPr>
        <w:t xml:space="preserve"> / 600 /1200</w:t>
      </w:r>
      <w:r>
        <w:t xml:space="preserve"> Pa suivant [NBN EN 12865].</w:t>
      </w:r>
    </w:p>
    <w:p w14:paraId="0CF594AF" w14:textId="77777777" w:rsidR="00DB2B68" w:rsidRDefault="00000000">
      <w:pPr>
        <w:jc w:val="both"/>
      </w:pPr>
      <w:r>
        <w:t xml:space="preserve">L’étanchéité à l’air est assurée par </w:t>
      </w:r>
      <w:r>
        <w:rPr>
          <w:rStyle w:val="optioncarChar"/>
        </w:rPr>
        <w:t xml:space="preserve">membrane continue </w:t>
      </w:r>
      <w:r>
        <w:t>(par défaut) </w:t>
      </w:r>
      <w:r>
        <w:rPr>
          <w:rStyle w:val="optioncarChar"/>
        </w:rPr>
        <w:t>/ mastic de resserrage entre les blocs / ***.</w:t>
      </w:r>
    </w:p>
    <w:p w14:paraId="4455B386" w14:textId="77777777" w:rsidR="00DB2B68" w:rsidRDefault="00000000">
      <w:pPr>
        <w:jc w:val="both"/>
      </w:pPr>
      <w:r>
        <w:rPr>
          <w:b/>
          <w:i/>
        </w:rPr>
        <w:t>Fixation en pied de mur</w:t>
      </w:r>
    </w:p>
    <w:p w14:paraId="26D4ED21" w14:textId="77777777" w:rsidR="00DB2B68" w:rsidRDefault="00000000">
      <w:pPr>
        <w:jc w:val="both"/>
      </w:pPr>
      <w:r>
        <w:t xml:space="preserve">Les blocs sont fixés </w:t>
      </w:r>
      <w:r>
        <w:rPr>
          <w:rStyle w:val="optioncarChar"/>
        </w:rPr>
        <w:t xml:space="preserve">par l’intermédiaire d’une lisse basse </w:t>
      </w:r>
      <w:r>
        <w:t>(par défaut)</w:t>
      </w:r>
      <w:r>
        <w:rPr>
          <w:rStyle w:val="optioncarChar"/>
        </w:rPr>
        <w:t xml:space="preserve"> / par dispositifs d’ancrage continu spécifiques / ***.</w:t>
      </w:r>
    </w:p>
    <w:p w14:paraId="5199CF79" w14:textId="77777777" w:rsidR="00DB2B68" w:rsidRDefault="00000000">
      <w:pPr>
        <w:ind w:left="567"/>
        <w:jc w:val="both"/>
      </w:pPr>
      <w:r>
        <w:rPr>
          <w:b/>
          <w:i/>
        </w:rPr>
        <w:t>(Soit par défaut)</w:t>
      </w:r>
    </w:p>
    <w:p w14:paraId="14B92F8C" w14:textId="77777777" w:rsidR="00DB2B68" w:rsidRDefault="00000000">
      <w:pPr>
        <w:ind w:left="567"/>
        <w:jc w:val="both"/>
      </w:pPr>
      <w:r>
        <w:rPr>
          <w:rStyle w:val="soitChar"/>
          <w:u w:val="single"/>
        </w:rPr>
        <w:t>La lisse basse</w:t>
      </w:r>
      <w:r>
        <w:rPr>
          <w:rStyle w:val="soitChar"/>
        </w:rPr>
        <w:t xml:space="preserve"> est fixée par </w:t>
      </w:r>
      <w:r>
        <w:rPr>
          <w:rStyle w:val="optioncarChar"/>
        </w:rPr>
        <w:t>cheville métallique (par défaut) / vis spécifique béton / tiges filetées et ancrages chimiques / équerres de fixation / ***</w:t>
      </w:r>
      <w:r>
        <w:rPr>
          <w:rStyle w:val="soitChar"/>
        </w:rPr>
        <w:t xml:space="preserve">. La lisse basse ou lisse de pose est décrite dans l’article </w:t>
      </w:r>
      <w:hyperlink w:anchor="592" w:history="1">
        <w:r>
          <w:rPr>
            <w:rStyle w:val="soitChar"/>
            <w:color w:val="0000EE"/>
          </w:rPr>
          <w:t>24.11.1a Lisses de pose en bois massif</w:t>
        </w:r>
      </w:hyperlink>
      <w:r>
        <w:rPr>
          <w:rStyle w:val="soitChar"/>
        </w:rPr>
        <w:t>.</w:t>
      </w:r>
    </w:p>
    <w:p w14:paraId="1F61D87E" w14:textId="77777777" w:rsidR="00DB2B68" w:rsidRDefault="00000000">
      <w:pPr>
        <w:ind w:left="567"/>
        <w:jc w:val="both"/>
      </w:pPr>
      <w:r>
        <w:rPr>
          <w:b/>
          <w:i/>
        </w:rPr>
        <w:t>(Soit)</w:t>
      </w:r>
    </w:p>
    <w:p w14:paraId="07BB09F5" w14:textId="77777777" w:rsidR="00DB2B68" w:rsidRDefault="00000000">
      <w:pPr>
        <w:ind w:left="567"/>
        <w:jc w:val="both"/>
      </w:pPr>
      <w:r>
        <w:rPr>
          <w:rStyle w:val="soitChar"/>
          <w:u w:val="single"/>
        </w:rPr>
        <w:lastRenderedPageBreak/>
        <w:t>Dispositifs d’ancrage continus</w:t>
      </w:r>
      <w:r>
        <w:rPr>
          <w:rStyle w:val="soitChar"/>
        </w:rPr>
        <w:t> : Les systèmes sont présentés à l’auteur de projet avant réalisation.</w:t>
      </w:r>
    </w:p>
    <w:p w14:paraId="2D79A79D" w14:textId="77777777" w:rsidR="00DB2B68" w:rsidRDefault="00000000">
      <w:pPr>
        <w:ind w:left="567"/>
        <w:jc w:val="both"/>
      </w:pPr>
      <w:r>
        <w:rPr>
          <w:b/>
          <w:i/>
        </w:rPr>
        <w:t>(Soit)</w:t>
      </w:r>
    </w:p>
    <w:p w14:paraId="2F2000F0" w14:textId="77777777" w:rsidR="00DB2B68" w:rsidRDefault="00000000">
      <w:pPr>
        <w:ind w:left="567"/>
        <w:jc w:val="both"/>
      </w:pPr>
      <w:r>
        <w:rPr>
          <w:rStyle w:val="optioncarChar"/>
        </w:rPr>
        <w:t>***</w:t>
      </w:r>
    </w:p>
    <w:p w14:paraId="79D0B4ED" w14:textId="77777777" w:rsidR="00DB2B68" w:rsidRDefault="00000000">
      <w:pPr>
        <w:jc w:val="both"/>
      </w:pPr>
      <w:r>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butyle / membrane polypropylène / ***.</w:t>
      </w:r>
    </w:p>
    <w:p w14:paraId="56B9DBB6" w14:textId="77777777" w:rsidR="00DB2B68" w:rsidRDefault="00000000">
      <w:pPr>
        <w:jc w:val="both"/>
      </w:pPr>
      <w:r>
        <w:rPr>
          <w:b/>
          <w:i/>
        </w:rPr>
        <w:t>Pose des rangs superposés</w:t>
      </w:r>
    </w:p>
    <w:p w14:paraId="332EB973" w14:textId="77777777" w:rsidR="00DB2B68" w:rsidRDefault="00000000">
      <w:pPr>
        <w:jc w:val="both"/>
      </w:pPr>
      <w:r>
        <w:t xml:space="preserve">Les rangs superposés sont assemblés en joints décalés de </w:t>
      </w:r>
      <w:r>
        <w:rPr>
          <w:rStyle w:val="optioncarChar"/>
        </w:rPr>
        <w:t xml:space="preserve">moitié </w:t>
      </w:r>
      <w:r>
        <w:t>(par défaut)</w:t>
      </w:r>
      <w:r>
        <w:rPr>
          <w:rStyle w:val="optioncarChar"/>
        </w:rPr>
        <w:t xml:space="preserve">  / ***</w:t>
      </w:r>
      <w:r>
        <w:t xml:space="preserve"> et assemblés par vissage.</w:t>
      </w:r>
    </w:p>
    <w:p w14:paraId="228D2C92" w14:textId="77777777" w:rsidR="00DB2B68" w:rsidRDefault="00000000">
      <w:pPr>
        <w:jc w:val="both"/>
      </w:pPr>
      <w:r>
        <w:rPr>
          <w:b/>
          <w:i/>
        </w:rPr>
        <w:t>Chaînages</w:t>
      </w:r>
    </w:p>
    <w:p w14:paraId="1CF3B4EF" w14:textId="77777777" w:rsidR="00DB2B68" w:rsidRDefault="00000000">
      <w:pPr>
        <w:jc w:val="both"/>
      </w:pPr>
      <w:r>
        <w:t>Les briques de bois d’angle sont disposées alternativement dans un sens et dans l’autre pour permettre des chaînages verticaux.</w:t>
      </w:r>
    </w:p>
    <w:p w14:paraId="4C70EAC6" w14:textId="77777777" w:rsidR="00DB2B68" w:rsidRDefault="00000000">
      <w:pPr>
        <w:jc w:val="both"/>
      </w:pPr>
      <w:r>
        <w:t>Au niveau des planchers et des toitures, les chaînages horizontaux sont réalisés sur le pourtour avec des madriers assemblés par vissage. Les planchers sont mis en œuvre par encastrement des solives dans le mur porteur ou par connecteur type sabots métalliques.</w:t>
      </w:r>
    </w:p>
    <w:p w14:paraId="22EB7F61" w14:textId="77777777" w:rsidR="00DB2B68" w:rsidRDefault="00000000">
      <w:pPr>
        <w:pStyle w:val="pheading"/>
      </w:pPr>
      <w:r>
        <w:t>MESURAGE</w:t>
      </w:r>
    </w:p>
    <w:p w14:paraId="3F8270B9" w14:textId="77777777" w:rsidR="00DB2B68" w:rsidRDefault="00000000">
      <w:pPr>
        <w:pStyle w:val="pheading"/>
      </w:pPr>
      <w:r>
        <w:t>- unité de mesure:</w:t>
      </w:r>
    </w:p>
    <w:p w14:paraId="0A2B43CD" w14:textId="77777777" w:rsidR="00DB2B68" w:rsidRDefault="00000000">
      <w:r>
        <w:rPr>
          <w:rStyle w:val="optioncarChar"/>
        </w:rPr>
        <w:t xml:space="preserve">m² </w:t>
      </w:r>
      <w:r>
        <w:t xml:space="preserve">(par défaut) </w:t>
      </w:r>
      <w:r>
        <w:rPr>
          <w:rStyle w:val="optioncarChar"/>
        </w:rPr>
        <w:t>/ m³</w:t>
      </w:r>
    </w:p>
    <w:p w14:paraId="38D4B3BD" w14:textId="77777777" w:rsidR="00DB2B68" w:rsidRDefault="00000000">
      <w:r>
        <w:rPr>
          <w:b/>
          <w:i/>
        </w:rPr>
        <w:t>(Soit par défaut)</w:t>
      </w:r>
    </w:p>
    <w:p w14:paraId="53003034" w14:textId="77777777" w:rsidR="00DB2B68" w:rsidRDefault="00000000">
      <w:r>
        <w:rPr>
          <w:rStyle w:val="soitChar"/>
        </w:rPr>
        <w:t>1.      m²</w:t>
      </w:r>
    </w:p>
    <w:p w14:paraId="49460CDD" w14:textId="77777777" w:rsidR="00DB2B68" w:rsidRDefault="00000000">
      <w:r>
        <w:rPr>
          <w:b/>
          <w:i/>
        </w:rPr>
        <w:t>(Soit)</w:t>
      </w:r>
    </w:p>
    <w:p w14:paraId="1F684930" w14:textId="77777777" w:rsidR="00DB2B68" w:rsidRDefault="00000000">
      <w:r>
        <w:rPr>
          <w:rStyle w:val="soitChar"/>
        </w:rPr>
        <w:t>2.     m³</w:t>
      </w:r>
    </w:p>
    <w:p w14:paraId="7ECC742D" w14:textId="77777777" w:rsidR="00DB2B68" w:rsidRDefault="00000000">
      <w:pPr>
        <w:pStyle w:val="pheading"/>
      </w:pPr>
      <w:r>
        <w:t>- code de mesurage:</w:t>
      </w:r>
    </w:p>
    <w:p w14:paraId="0491D5F7" w14:textId="77777777" w:rsidR="00DB2B68" w:rsidRDefault="00000000">
      <w:pPr>
        <w:jc w:val="both"/>
      </w:pPr>
      <w:r>
        <w:rPr>
          <w:rStyle w:val="optioncarChar"/>
        </w:rPr>
        <w:t>Surface nette</w:t>
      </w:r>
      <w:r>
        <w:t xml:space="preserve"> (par défaut) </w:t>
      </w:r>
      <w:r>
        <w:rPr>
          <w:rStyle w:val="optioncarChar"/>
        </w:rPr>
        <w:t>/ Volume net</w:t>
      </w:r>
    </w:p>
    <w:p w14:paraId="69CA22B2" w14:textId="77777777" w:rsidR="00DB2B68" w:rsidRDefault="00000000">
      <w:pPr>
        <w:jc w:val="both"/>
      </w:pPr>
      <w:r>
        <w:rPr>
          <w:b/>
          <w:i/>
        </w:rPr>
        <w:t>(Soit par défaut)</w:t>
      </w:r>
    </w:p>
    <w:p w14:paraId="0AA1E8D3" w14:textId="77777777" w:rsidR="00DB2B68"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006D982F" w14:textId="77777777" w:rsidR="00DB2B68" w:rsidRDefault="00000000">
      <w:pPr>
        <w:jc w:val="both"/>
      </w:pPr>
      <w:r>
        <w:rPr>
          <w:b/>
          <w:i/>
        </w:rPr>
        <w:t>(Soit)</w:t>
      </w:r>
    </w:p>
    <w:p w14:paraId="0773F907" w14:textId="77777777" w:rsidR="00DB2B68"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07252CA2" w14:textId="77777777" w:rsidR="00DB2B68" w:rsidRDefault="00000000">
      <w:pPr>
        <w:pStyle w:val="pheading"/>
      </w:pPr>
      <w:r>
        <w:t>- nature du marché:</w:t>
      </w:r>
    </w:p>
    <w:p w14:paraId="382DEC7A" w14:textId="77777777" w:rsidR="00DB2B68" w:rsidRDefault="00000000">
      <w:r>
        <w:t>QF</w:t>
      </w:r>
    </w:p>
    <w:p w14:paraId="54D5C731" w14:textId="77777777" w:rsidR="00DB2B68" w:rsidRDefault="00000000">
      <w:pPr>
        <w:pStyle w:val="Author-eSectionHeading6Numberless"/>
      </w:pPr>
      <w:bookmarkStart w:id="1654" w:name="_Toc220496639"/>
      <w:r>
        <w:t>24.21.1d Murs en bois empilés assemblés sur place CCTB 01.10</w:t>
      </w:r>
      <w:bookmarkEnd w:id="1654"/>
    </w:p>
    <w:p w14:paraId="2847943E" w14:textId="77777777" w:rsidR="00DB2B68" w:rsidRDefault="00000000">
      <w:pPr>
        <w:pStyle w:val="Author-eSectionHeading6Numberless"/>
      </w:pPr>
      <w:bookmarkStart w:id="1655" w:name="_Toc220496640"/>
      <w:r>
        <w:t>24.21.1e Murs en bois debout assemblés sur place CCTB 01.10</w:t>
      </w:r>
      <w:bookmarkEnd w:id="1655"/>
    </w:p>
    <w:p w14:paraId="5D0EE883" w14:textId="77777777" w:rsidR="00DB2B68" w:rsidRDefault="00000000">
      <w:pPr>
        <w:pStyle w:val="Author-eSectionHeading5Numberless"/>
      </w:pPr>
      <w:bookmarkStart w:id="1656" w:name="_Toc220496641"/>
      <w:r>
        <w:t>24.21.2 Murs en bois préfabriqués CCTB 01.07</w:t>
      </w:r>
      <w:bookmarkEnd w:id="1656"/>
    </w:p>
    <w:p w14:paraId="1FFAC933" w14:textId="77777777" w:rsidR="00DB2B68" w:rsidRDefault="00000000">
      <w:pPr>
        <w:pStyle w:val="Author-eSectionHeading6Numberless"/>
      </w:pPr>
      <w:bookmarkStart w:id="1657" w:name="_Toc220496642"/>
      <w:r>
        <w:t>24.21.2a Murs ossature bois préfabriqués CCTB 01.12</w:t>
      </w:r>
      <w:bookmarkEnd w:id="1657"/>
    </w:p>
    <w:p w14:paraId="73057AAC" w14:textId="77777777" w:rsidR="00DB2B68" w:rsidRDefault="00000000">
      <w:pPr>
        <w:pStyle w:val="pheading"/>
      </w:pPr>
      <w:r>
        <w:t>DESCRIPTION</w:t>
      </w:r>
    </w:p>
    <w:p w14:paraId="34400DD3" w14:textId="77777777" w:rsidR="00DB2B68" w:rsidRDefault="00000000">
      <w:pPr>
        <w:pStyle w:val="pheading"/>
      </w:pPr>
      <w:r>
        <w:t>- Définition / Comprend</w:t>
      </w:r>
    </w:p>
    <w:p w14:paraId="185F1C84" w14:textId="77777777" w:rsidR="00DB2B68" w:rsidRDefault="00000000">
      <w:pPr>
        <w:jc w:val="both"/>
      </w:pPr>
      <w:r>
        <w:t>Il s’agit de la fourniture et la pose de murs intérieurs ou extérieurs porteurs constitués d’une structure en bois, d'un ou deux panneaux et de tous les accessoires de fixation.</w:t>
      </w:r>
    </w:p>
    <w:p w14:paraId="13D5A4A9" w14:textId="77777777" w:rsidR="00DB2B68" w:rsidRDefault="00000000">
      <w:pPr>
        <w:jc w:val="both"/>
      </w:pPr>
      <w:r>
        <w:t>Le travail comprend notamment :</w:t>
      </w:r>
    </w:p>
    <w:p w14:paraId="061A9D6C" w14:textId="77777777" w:rsidR="00DB2B68" w:rsidRDefault="00000000">
      <w:pPr>
        <w:pStyle w:val="Author-eListParagraph"/>
        <w:numPr>
          <w:ilvl w:val="0"/>
          <w:numId w:val="895"/>
        </w:numPr>
        <w:jc w:val="both"/>
      </w:pPr>
      <w:r>
        <w:lastRenderedPageBreak/>
        <w:t>La préparation et nettoyage des supports sur lesquels les éléments sont posés;</w:t>
      </w:r>
    </w:p>
    <w:p w14:paraId="4615EA49" w14:textId="77777777" w:rsidR="00DB2B68" w:rsidRDefault="00000000">
      <w:pPr>
        <w:pStyle w:val="Author-eListParagraph"/>
        <w:numPr>
          <w:ilvl w:val="0"/>
          <w:numId w:val="895"/>
        </w:numPr>
        <w:jc w:val="both"/>
      </w:pPr>
      <w:r>
        <w:t>La fabrication, la livraison et la pose des parois, y compris les engins de levage, tous les supports temporaires et travaux d’étayage;</w:t>
      </w:r>
    </w:p>
    <w:p w14:paraId="51C9D93F" w14:textId="77777777" w:rsidR="00DB2B68" w:rsidRDefault="00000000">
      <w:pPr>
        <w:pStyle w:val="Author-eListParagraph"/>
        <w:numPr>
          <w:ilvl w:val="0"/>
          <w:numId w:val="895"/>
        </w:numPr>
        <w:jc w:val="both"/>
      </w:pPr>
      <w:r>
        <w:t>Les réservations prévues sur les plans;</w:t>
      </w:r>
    </w:p>
    <w:p w14:paraId="47A020D9" w14:textId="77777777" w:rsidR="00DB2B68" w:rsidRDefault="00000000">
      <w:pPr>
        <w:pStyle w:val="Author-eListParagraph"/>
        <w:numPr>
          <w:ilvl w:val="0"/>
          <w:numId w:val="895"/>
        </w:numPr>
        <w:jc w:val="both"/>
      </w:pPr>
      <w:r>
        <w:t>La finition des bords et travaux de réparation en cas d’endommagement;</w:t>
      </w:r>
    </w:p>
    <w:p w14:paraId="6519124D" w14:textId="77777777" w:rsidR="00DB2B68" w:rsidRDefault="00000000">
      <w:pPr>
        <w:pStyle w:val="Author-eListParagraph"/>
        <w:numPr>
          <w:ilvl w:val="0"/>
          <w:numId w:val="895"/>
        </w:numPr>
        <w:jc w:val="both"/>
      </w:pPr>
      <w:r>
        <w:t>Le remplissage des joints de dilatation éventuels selon les directives du fournisseur;</w:t>
      </w:r>
    </w:p>
    <w:p w14:paraId="0DDFFC47" w14:textId="77777777" w:rsidR="00DB2B68" w:rsidRDefault="00000000">
      <w:pPr>
        <w:pStyle w:val="Author-eListParagraph"/>
        <w:numPr>
          <w:ilvl w:val="0"/>
          <w:numId w:val="895"/>
        </w:numPr>
        <w:jc w:val="both"/>
      </w:pPr>
      <w:r>
        <w:t>Le contrôle de toutes les dimensions et l’adaptation des éléments à préfabriquer aux dimensions réelles;</w:t>
      </w:r>
    </w:p>
    <w:p w14:paraId="64DDDD46" w14:textId="77777777" w:rsidR="00DB2B68" w:rsidRDefault="00000000">
      <w:pPr>
        <w:pStyle w:val="Author-eListParagraph"/>
        <w:numPr>
          <w:ilvl w:val="0"/>
          <w:numId w:val="895"/>
        </w:numPr>
        <w:jc w:val="both"/>
      </w:pPr>
      <w:r>
        <w:t>Tous les moyens de liaisonnement éventuels, aussi bien entre les éléments préfabriqués, qu’avec les éléments de support, de bord, … ;</w:t>
      </w:r>
    </w:p>
    <w:p w14:paraId="2E7EAA16" w14:textId="77777777" w:rsidR="00DB2B68" w:rsidRDefault="00000000">
      <w:pPr>
        <w:pStyle w:val="Author-eListParagraph"/>
        <w:numPr>
          <w:ilvl w:val="0"/>
          <w:numId w:val="895"/>
        </w:numPr>
        <w:jc w:val="both"/>
      </w:pPr>
      <w:r>
        <w:t>L’éventuel pare-vapeur ou frein vapeur;</w:t>
      </w:r>
    </w:p>
    <w:p w14:paraId="4C4FD7CC" w14:textId="77777777" w:rsidR="00DB2B68" w:rsidRDefault="00000000">
      <w:pPr>
        <w:pStyle w:val="Author-eListParagraph"/>
        <w:numPr>
          <w:ilvl w:val="0"/>
          <w:numId w:val="895"/>
        </w:numPr>
        <w:jc w:val="both"/>
      </w:pPr>
      <w:r>
        <w:t>L’enlèvement de tous les accessoires, éléments de coffrage, supports, étais et le nettoyage des faces visibles;</w:t>
      </w:r>
    </w:p>
    <w:p w14:paraId="2E1683BA" w14:textId="77777777" w:rsidR="00DB2B68" w:rsidRDefault="00000000">
      <w:pPr>
        <w:pStyle w:val="Author-eListParagraph"/>
        <w:numPr>
          <w:ilvl w:val="0"/>
          <w:numId w:val="895"/>
        </w:numPr>
        <w:jc w:val="both"/>
      </w:pPr>
      <w:r>
        <w:t>Les ouvrages de protection des éléments contre la pluie, l’humidité et la condensation durant le transport et toute la durée du chantier.</w:t>
      </w:r>
    </w:p>
    <w:p w14:paraId="30C84F83" w14:textId="77777777" w:rsidR="00DB2B68" w:rsidRDefault="00000000">
      <w:pPr>
        <w:pStyle w:val="pheading"/>
      </w:pPr>
      <w:r>
        <w:t>- Localisation</w:t>
      </w:r>
    </w:p>
    <w:p w14:paraId="0F9F1F5F" w14:textId="77777777" w:rsidR="00DB2B68" w:rsidRDefault="00000000">
      <w:r>
        <w:t xml:space="preserve">Localisation des travaux : </w:t>
      </w:r>
      <w:r>
        <w:rPr>
          <w:rStyle w:val="optioncarChar"/>
        </w:rPr>
        <w:t>***</w:t>
      </w:r>
      <w:r>
        <w:t>.</w:t>
      </w:r>
    </w:p>
    <w:p w14:paraId="66833DA0" w14:textId="77777777" w:rsidR="00DB2B68" w:rsidRDefault="00000000">
      <w:r>
        <w:t>Voir plans et métrés détaillés.</w:t>
      </w:r>
    </w:p>
    <w:p w14:paraId="53E01338" w14:textId="77777777" w:rsidR="00DB2B68" w:rsidRDefault="00000000">
      <w:pPr>
        <w:pStyle w:val="pheading"/>
      </w:pPr>
      <w:r>
        <w:t>MATÉRIAUX</w:t>
      </w:r>
    </w:p>
    <w:p w14:paraId="564E1AFE" w14:textId="77777777" w:rsidR="00DB2B68" w:rsidRDefault="00000000">
      <w:pPr>
        <w:pStyle w:val="pheading"/>
      </w:pPr>
      <w:r>
        <w:t>- Caractéristiques générales</w:t>
      </w:r>
    </w:p>
    <w:p w14:paraId="0D6E5F56" w14:textId="77777777" w:rsidR="00DB2B68" w:rsidRDefault="00000000">
      <w:pPr>
        <w:jc w:val="both"/>
      </w:pPr>
      <w:r>
        <w:t>L’ensemble est un complexe réalisé en usine ou en atelier et comprend :</w:t>
      </w:r>
    </w:p>
    <w:p w14:paraId="5E4C30A5" w14:textId="77777777" w:rsidR="00DB2B68" w:rsidRDefault="00000000">
      <w:pPr>
        <w:jc w:val="both"/>
      </w:pPr>
      <w:r>
        <w:rPr>
          <w:b/>
        </w:rPr>
        <w:t>Structure</w:t>
      </w:r>
    </w:p>
    <w:p w14:paraId="2BF311F2" w14:textId="77777777" w:rsidR="00DB2B68" w:rsidRDefault="00000000">
      <w:pPr>
        <w:jc w:val="both"/>
      </w:pPr>
      <w:r>
        <w:t xml:space="preserve">Les cadres de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semelle des poutres en I) de </w:t>
      </w:r>
      <w:r>
        <w:rPr>
          <w:rStyle w:val="optioncarChar"/>
        </w:rPr>
        <w:t xml:space="preserve">38 / 45 </w:t>
      </w:r>
      <w:r>
        <w:t>(par défaut) </w:t>
      </w:r>
      <w:r>
        <w:rPr>
          <w:rStyle w:val="optioncarChar"/>
        </w:rPr>
        <w:t xml:space="preserve"> / 60 / ***</w:t>
      </w:r>
      <w:r>
        <w:t xml:space="preserve"> mm et d’une hauteur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14:paraId="270428E3" w14:textId="77777777" w:rsidR="00DB2B68" w:rsidRDefault="00000000">
      <w:pPr>
        <w:jc w:val="both"/>
      </w:pPr>
      <w:r>
        <w:t>Le bois massif répond aux spécifications de la [NBN EN 14081 série].</w:t>
      </w:r>
    </w:p>
    <w:p w14:paraId="65A15A3D" w14:textId="77777777" w:rsidR="00DB2B68" w:rsidRDefault="00000000">
      <w:pPr>
        <w:jc w:val="both"/>
      </w:pPr>
      <w:r>
        <w:t>Les bois massifs peuvent être aboutés. Les pièces constitutives du produit fini doivent être classées selon la  [NBN EN 14081 série] et les produits finis doivent être marqués selon la [NBN EN 15497].</w:t>
      </w:r>
    </w:p>
    <w:p w14:paraId="7A0FC4D3" w14:textId="77777777" w:rsidR="00DB2B68" w:rsidRDefault="00000000">
      <w:pPr>
        <w:jc w:val="both"/>
      </w:pPr>
      <w:r>
        <w:t>Les bois lamellé-collé doit répondre à la [NBN EN 14080].</w:t>
      </w:r>
    </w:p>
    <w:p w14:paraId="49FEDDB8" w14:textId="77777777" w:rsidR="00DB2B68" w:rsidRDefault="00000000">
      <w:pPr>
        <w:jc w:val="both"/>
      </w:pPr>
      <w:r>
        <w:t xml:space="preserve">La classe d’emploi d’un élément est déterminée suivant la [NBN EN 335] : </w:t>
      </w:r>
      <w:r>
        <w:rPr>
          <w:rStyle w:val="optioncarChar"/>
        </w:rPr>
        <w:t xml:space="preserve">classe 1 / classe 2 </w:t>
      </w:r>
      <w:r>
        <w:t>(par défaut)</w:t>
      </w:r>
      <w:r>
        <w:rPr>
          <w:rStyle w:val="optioncarChar"/>
        </w:rPr>
        <w:t xml:space="preserve"> / classe 3.</w:t>
      </w:r>
    </w:p>
    <w:p w14:paraId="518CBA7A" w14:textId="77777777" w:rsidR="00DB2B68" w:rsidRDefault="00000000">
      <w:pPr>
        <w:jc w:val="both"/>
      </w:pPr>
      <w:r>
        <w:t xml:space="preserve">La structure correspond en tout point au titre </w:t>
      </w:r>
      <w:hyperlink w:anchor="594" w:history="1">
        <w:r>
          <w:rPr>
            <w:color w:val="0000EE"/>
          </w:rPr>
          <w:t>24.1 Eléments de structures en bois</w:t>
        </w:r>
      </w:hyperlink>
      <w:r>
        <w:t xml:space="preserve"> et au sous-titre </w:t>
      </w:r>
      <w:hyperlink w:anchor="595" w:history="1">
        <w:r>
          <w:rPr>
            <w:color w:val="0000EE"/>
          </w:rPr>
          <w:t>24.42 Assemblages mécaniques</w:t>
        </w:r>
      </w:hyperlink>
      <w:r>
        <w:t>.</w:t>
      </w:r>
    </w:p>
    <w:p w14:paraId="1EDAC3F9" w14:textId="77777777" w:rsidR="00DB2B68" w:rsidRDefault="00000000">
      <w:pPr>
        <w:jc w:val="both"/>
      </w:pPr>
      <w:r>
        <w:rPr>
          <w:b/>
        </w:rPr>
        <w:t>Panneau extérieur</w:t>
      </w:r>
    </w:p>
    <w:p w14:paraId="499CDF47" w14:textId="77777777" w:rsidR="00DB2B68" w:rsidRDefault="00000000">
      <w:pPr>
        <w:jc w:val="both"/>
      </w:pPr>
      <w:r>
        <w:t xml:space="preserve">Les panneaux extérieurs sont </w:t>
      </w:r>
      <w:r>
        <w:rPr>
          <w:rStyle w:val="optioncarChar"/>
        </w:rPr>
        <w:t>vissés</w:t>
      </w:r>
      <w:r>
        <w:t xml:space="preserve"> (par défaut)</w:t>
      </w:r>
      <w:r>
        <w:rPr>
          <w:rStyle w:val="optioncarChar"/>
        </w:rPr>
        <w:t xml:space="preserve"> cloués / collés / ***</w:t>
      </w:r>
      <w:r>
        <w:t>.</w:t>
      </w:r>
    </w:p>
    <w:p w14:paraId="222E8CFF" w14:textId="77777777" w:rsidR="00DB2B68" w:rsidRDefault="00000000">
      <w:pPr>
        <w:jc w:val="both"/>
      </w:pPr>
      <w:r>
        <w:t>Le panneau est</w:t>
      </w:r>
      <w:r>
        <w:rPr>
          <w:rStyle w:val="optioncarChar"/>
        </w:rPr>
        <w:t xml:space="preserve"> rainuré languetté </w:t>
      </w:r>
      <w:r>
        <w:t>(par défaut)</w:t>
      </w:r>
      <w:r>
        <w:rPr>
          <w:rStyle w:val="optioncarChar"/>
        </w:rPr>
        <w:t xml:space="preserve"> / ***</w:t>
      </w:r>
      <w:r>
        <w:t>.</w:t>
      </w:r>
    </w:p>
    <w:p w14:paraId="6EE3E32F" w14:textId="77777777" w:rsidR="00DB2B68" w:rsidRDefault="00000000">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14:paraId="378F6608" w14:textId="77777777" w:rsidR="00DB2B68" w:rsidRDefault="00000000">
      <w:pPr>
        <w:jc w:val="both"/>
      </w:pPr>
      <w:r>
        <w:t xml:space="preserve">La perméabilité à la vapeur d’eau (Sd) est inférieure à  </w:t>
      </w:r>
      <w:r>
        <w:rPr>
          <w:rStyle w:val="optioncarChar"/>
        </w:rPr>
        <w:t xml:space="preserve">0,1m / 0,2m / définie par l’analyse de diffusion de vapeur d’eau de la paroi complète </w:t>
      </w:r>
      <w:r>
        <w:t>(par défaut)</w:t>
      </w:r>
      <w:r>
        <w:rPr>
          <w:rStyle w:val="optioncarChar"/>
        </w:rPr>
        <w:t xml:space="preserve"> / ***</w:t>
      </w:r>
      <w:r>
        <w:t>.</w:t>
      </w:r>
    </w:p>
    <w:p w14:paraId="134A0060" w14:textId="77777777" w:rsidR="00DB2B68" w:rsidRDefault="00000000">
      <w:pPr>
        <w:jc w:val="both"/>
      </w:pPr>
      <w:r>
        <w:t xml:space="preserve">Le panneau </w:t>
      </w:r>
      <w:r>
        <w:rPr>
          <w:rStyle w:val="optioncarChar"/>
        </w:rPr>
        <w:t>fait office / ne fait pas office</w:t>
      </w:r>
      <w:r>
        <w:t xml:space="preserve"> de pare-pluie.</w:t>
      </w:r>
    </w:p>
    <w:p w14:paraId="18FD1095" w14:textId="77777777" w:rsidR="00DB2B68" w:rsidRDefault="00000000">
      <w:pPr>
        <w:jc w:val="both"/>
      </w:pPr>
      <w:r>
        <w:t>Les panneaux sont constitués de</w:t>
      </w:r>
      <w:r>
        <w:rPr>
          <w:rStyle w:val="optioncarChar"/>
        </w:rPr>
        <w:t xml:space="preserve"> panneaux de fibre de bois </w:t>
      </w:r>
      <w:r>
        <w:t>(par défaut)</w:t>
      </w:r>
      <w:r>
        <w:rPr>
          <w:rStyle w:val="optioncarChar"/>
        </w:rPr>
        <w:t xml:space="preserve"> / OSB / panneaux multiplex bois / CLT / ***.</w:t>
      </w:r>
    </w:p>
    <w:p w14:paraId="3F71F653" w14:textId="77777777" w:rsidR="00DB2B68" w:rsidRDefault="00000000">
      <w:pPr>
        <w:ind w:left="567"/>
        <w:jc w:val="both"/>
      </w:pPr>
      <w:r>
        <w:rPr>
          <w:b/>
          <w:i/>
        </w:rPr>
        <w:t>(Soit par défaut)</w:t>
      </w:r>
    </w:p>
    <w:p w14:paraId="1203B1F6" w14:textId="77777777" w:rsidR="00DB2B68" w:rsidRDefault="00000000">
      <w:pPr>
        <w:ind w:left="567"/>
        <w:jc w:val="both"/>
      </w:pPr>
      <w:r>
        <w:rPr>
          <w:rStyle w:val="soitChar"/>
          <w:u w:val="single"/>
        </w:rPr>
        <w:lastRenderedPageBreak/>
        <w:t>Panneau de fibre de bois</w:t>
      </w:r>
    </w:p>
    <w:p w14:paraId="32CEDBBF" w14:textId="77777777" w:rsidR="00DB2B68" w:rsidRDefault="00000000">
      <w:pPr>
        <w:ind w:left="567"/>
        <w:jc w:val="both"/>
      </w:pPr>
      <w:r>
        <w:rPr>
          <w:rStyle w:val="soitChar"/>
        </w:rPr>
        <w:t xml:space="preserve">Pour le descriptif, voir l’article </w:t>
      </w:r>
      <w:hyperlink w:anchor="596" w:history="1">
        <w:r>
          <w:rPr>
            <w:rStyle w:val="soitChar"/>
            <w:color w:val="0000EE"/>
          </w:rPr>
          <w:t>24.16.1d Panneaux MDF</w:t>
        </w:r>
      </w:hyperlink>
      <w:r>
        <w:rPr>
          <w:rStyle w:val="soitChar"/>
        </w:rPr>
        <w:t>.</w:t>
      </w:r>
    </w:p>
    <w:p w14:paraId="44D0FCC3" w14:textId="77777777" w:rsidR="00DB2B68" w:rsidRDefault="00000000">
      <w:pPr>
        <w:ind w:left="567"/>
        <w:jc w:val="both"/>
      </w:pPr>
      <w:r>
        <w:rPr>
          <w:rStyle w:val="soitChar"/>
        </w:rPr>
        <w:t xml:space="preserve">Les panneaux ont une épaisseur de </w:t>
      </w:r>
      <w:r>
        <w:rPr>
          <w:rStyle w:val="optioncarChar"/>
        </w:rPr>
        <w:t>12 / 20</w:t>
      </w:r>
      <w:r>
        <w:t xml:space="preserve"> (par défaut)</w:t>
      </w:r>
      <w:r>
        <w:rPr>
          <w:rStyle w:val="optioncarChar"/>
        </w:rPr>
        <w:t xml:space="preserve"> / ***</w:t>
      </w:r>
      <w:r>
        <w:rPr>
          <w:rStyle w:val="soitChar"/>
        </w:rPr>
        <w:t xml:space="preserve"> mm.</w:t>
      </w:r>
    </w:p>
    <w:p w14:paraId="207D9E88" w14:textId="77777777" w:rsidR="00DB2B68" w:rsidRDefault="00000000">
      <w:pPr>
        <w:ind w:left="567"/>
        <w:jc w:val="both"/>
      </w:pPr>
      <w:r>
        <w:rPr>
          <w:rStyle w:val="soitChar"/>
        </w:rPr>
        <w:t>Les panneaux sont de type </w:t>
      </w:r>
      <w:r>
        <w:rPr>
          <w:rStyle w:val="optioncarChar"/>
        </w:rPr>
        <w:t xml:space="preserve"> MDF LA </w:t>
      </w:r>
      <w:r>
        <w:t xml:space="preserve">(par défaut) </w:t>
      </w:r>
      <w:r>
        <w:rPr>
          <w:rStyle w:val="optioncarChar"/>
        </w:rPr>
        <w:t>/ MDF-HLS</w:t>
      </w:r>
      <w:r>
        <w:rPr>
          <w:rStyle w:val="soitChar"/>
        </w:rPr>
        <w:t>.</w:t>
      </w:r>
    </w:p>
    <w:p w14:paraId="0E378B25" w14:textId="77777777" w:rsidR="00DB2B68" w:rsidRDefault="00000000">
      <w:pPr>
        <w:ind w:left="567"/>
        <w:jc w:val="both"/>
      </w:pPr>
      <w:r>
        <w:rPr>
          <w:rStyle w:val="soitChar"/>
        </w:rPr>
        <w:t>Les panneaux répondent à la [NBN EN 13986+A1] et aux exigences de [NBN EN 622 série].</w:t>
      </w:r>
    </w:p>
    <w:p w14:paraId="03E1C5B7" w14:textId="77777777" w:rsidR="00DB2B68" w:rsidRDefault="00000000">
      <w:pPr>
        <w:ind w:left="567"/>
        <w:jc w:val="both"/>
      </w:pPr>
      <w:r>
        <w:rPr>
          <w:b/>
          <w:i/>
        </w:rPr>
        <w:t>(Soit)</w:t>
      </w:r>
    </w:p>
    <w:p w14:paraId="076AA499" w14:textId="77777777" w:rsidR="00DB2B68" w:rsidRDefault="00000000">
      <w:pPr>
        <w:ind w:left="567"/>
        <w:jc w:val="both"/>
      </w:pPr>
      <w:r>
        <w:rPr>
          <w:rStyle w:val="soitChar"/>
          <w:u w:val="single"/>
        </w:rPr>
        <w:t>Osb</w:t>
      </w:r>
    </w:p>
    <w:p w14:paraId="21392E04" w14:textId="77777777" w:rsidR="00DB2B68" w:rsidRDefault="00000000">
      <w:pPr>
        <w:ind w:left="567"/>
        <w:jc w:val="both"/>
      </w:pPr>
      <w:r>
        <w:rPr>
          <w:rStyle w:val="soitChar"/>
        </w:rPr>
        <w:t xml:space="preserve">Pour le descriptif, voir l’article </w:t>
      </w:r>
      <w:hyperlink w:anchor="597" w:history="1">
        <w:r>
          <w:rPr>
            <w:rStyle w:val="soitChar"/>
            <w:color w:val="0000EE"/>
          </w:rPr>
          <w:t>24.16.1b Panneaux OSB</w:t>
        </w:r>
      </w:hyperlink>
      <w:r>
        <w:rPr>
          <w:rStyle w:val="soitChar"/>
        </w:rPr>
        <w:t>.</w:t>
      </w:r>
    </w:p>
    <w:p w14:paraId="29A71E48" w14:textId="77777777" w:rsidR="00DB2B68" w:rsidRDefault="00000000">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 xml:space="preserve"> mm.</w:t>
      </w:r>
    </w:p>
    <w:p w14:paraId="0B4166EF" w14:textId="77777777" w:rsidR="00DB2B68" w:rsidRDefault="00000000">
      <w:pPr>
        <w:ind w:left="567"/>
        <w:jc w:val="both"/>
      </w:pPr>
      <w:r>
        <w:rPr>
          <w:rStyle w:val="soitChar"/>
        </w:rPr>
        <w:t xml:space="preserve">Les panneaux sont de type </w:t>
      </w:r>
      <w:r>
        <w:rPr>
          <w:rStyle w:val="optioncarChar"/>
        </w:rPr>
        <w:t xml:space="preserve">2 / 3 </w:t>
      </w:r>
      <w:r>
        <w:t>(par défaut)</w:t>
      </w:r>
      <w:r>
        <w:rPr>
          <w:rStyle w:val="optioncarChar"/>
        </w:rPr>
        <w:t xml:space="preserve"> / 4</w:t>
      </w:r>
      <w:r>
        <w:rPr>
          <w:rStyle w:val="soitChar"/>
        </w:rPr>
        <w:t>.</w:t>
      </w:r>
    </w:p>
    <w:p w14:paraId="671689D5" w14:textId="77777777" w:rsidR="00DB2B68" w:rsidRDefault="00000000">
      <w:pPr>
        <w:ind w:left="567"/>
        <w:jc w:val="both"/>
      </w:pPr>
      <w:r>
        <w:rPr>
          <w:rStyle w:val="soitChar"/>
        </w:rPr>
        <w:t xml:space="preserve">Les panneaux sont </w:t>
      </w:r>
      <w:r>
        <w:rPr>
          <w:rStyle w:val="optioncarChar"/>
        </w:rPr>
        <w:t>à bord droit / rainurés languettés</w:t>
      </w:r>
      <w:r>
        <w:t xml:space="preserve"> (par défaut)</w:t>
      </w:r>
      <w:r>
        <w:rPr>
          <w:rStyle w:val="soitChar"/>
        </w:rPr>
        <w:t>.</w:t>
      </w:r>
    </w:p>
    <w:p w14:paraId="66B29442" w14:textId="77777777" w:rsidR="00DB2B68" w:rsidRDefault="00000000">
      <w:pPr>
        <w:ind w:left="567"/>
        <w:jc w:val="both"/>
      </w:pPr>
      <w:r>
        <w:rPr>
          <w:rStyle w:val="soitChar"/>
        </w:rPr>
        <w:t>Les panneaux répondent à la [NBN EN 300] et à la [NBN EN 13986+A1].</w:t>
      </w:r>
    </w:p>
    <w:p w14:paraId="6BEE86AF" w14:textId="77777777" w:rsidR="00DB2B68" w:rsidRDefault="00000000">
      <w:pPr>
        <w:ind w:left="567"/>
        <w:jc w:val="both"/>
      </w:pPr>
      <w:r>
        <w:rPr>
          <w:b/>
          <w:i/>
        </w:rPr>
        <w:t>(Soit)</w:t>
      </w:r>
    </w:p>
    <w:p w14:paraId="38B1D831" w14:textId="77777777" w:rsidR="00DB2B68" w:rsidRDefault="00000000">
      <w:pPr>
        <w:ind w:left="567"/>
        <w:jc w:val="both"/>
      </w:pPr>
      <w:r>
        <w:rPr>
          <w:rStyle w:val="soitChar"/>
          <w:u w:val="single"/>
        </w:rPr>
        <w:t>Panneaux multiplex bois</w:t>
      </w:r>
    </w:p>
    <w:p w14:paraId="19BFA9F1" w14:textId="77777777" w:rsidR="00DB2B68" w:rsidRDefault="00000000">
      <w:pPr>
        <w:ind w:left="567"/>
        <w:jc w:val="both"/>
      </w:pPr>
      <w:r>
        <w:rPr>
          <w:rStyle w:val="soitChar"/>
        </w:rPr>
        <w:t xml:space="preserve">Pour le descriptif, voir l’article </w:t>
      </w:r>
      <w:hyperlink w:anchor="598" w:history="1">
        <w:r>
          <w:rPr>
            <w:rStyle w:val="soitChar"/>
            <w:color w:val="0000EE"/>
          </w:rPr>
          <w:t>24.16.1a Panneaux contreplaqués (PW)</w:t>
        </w:r>
      </w:hyperlink>
      <w:r>
        <w:rPr>
          <w:rStyle w:val="soitChar"/>
        </w:rPr>
        <w:t>.</w:t>
      </w:r>
    </w:p>
    <w:p w14:paraId="68E749BB" w14:textId="77777777" w:rsidR="00DB2B68" w:rsidRDefault="00000000">
      <w:pPr>
        <w:ind w:left="567"/>
        <w:jc w:val="both"/>
      </w:pPr>
      <w:r>
        <w:rPr>
          <w:rStyle w:val="soitChar"/>
        </w:rPr>
        <w:t xml:space="preserve">Le multiplex est en bois </w:t>
      </w:r>
      <w:r>
        <w:rPr>
          <w:rStyle w:val="optioncarChar"/>
        </w:rPr>
        <w:t>feuillus / résineux</w:t>
      </w:r>
      <w:r>
        <w:rPr>
          <w:rStyle w:val="soitChar"/>
        </w:rPr>
        <w:t>.</w:t>
      </w:r>
    </w:p>
    <w:p w14:paraId="0C047A35" w14:textId="77777777" w:rsidR="00DB2B68" w:rsidRDefault="00000000">
      <w:pPr>
        <w:ind w:left="567"/>
        <w:jc w:val="both"/>
      </w:pPr>
      <w:r>
        <w:rPr>
          <w:rStyle w:val="soitChar"/>
        </w:rPr>
        <w:t xml:space="preserve">Les panneaux ont une épaisseur de </w:t>
      </w:r>
      <w:r>
        <w:rPr>
          <w:rStyle w:val="optioncarChar"/>
        </w:rPr>
        <w:t>14 / 16</w:t>
      </w:r>
      <w:r>
        <w:t xml:space="preserve"> (par défaut)</w:t>
      </w:r>
      <w:r>
        <w:rPr>
          <w:rStyle w:val="optioncarChar"/>
        </w:rPr>
        <w:t xml:space="preserve"> / 19 / 21 / 27 / ***</w:t>
      </w:r>
      <w:r>
        <w:rPr>
          <w:rStyle w:val="soitChar"/>
        </w:rPr>
        <w:t xml:space="preserve"> mm.</w:t>
      </w:r>
    </w:p>
    <w:p w14:paraId="22D0EC9E" w14:textId="77777777" w:rsidR="00DB2B68" w:rsidRDefault="00000000">
      <w:pPr>
        <w:ind w:left="567"/>
        <w:jc w:val="both"/>
      </w:pPr>
      <w:r>
        <w:rPr>
          <w:rStyle w:val="soitChar"/>
        </w:rPr>
        <w:t>Les panneaux sont </w:t>
      </w:r>
      <w:r>
        <w:rPr>
          <w:rStyle w:val="optioncarChar"/>
        </w:rPr>
        <w:t>à bord droit / rainurés languettés</w:t>
      </w:r>
      <w:r>
        <w:t xml:space="preserve"> (par défaut)</w:t>
      </w:r>
      <w:r>
        <w:rPr>
          <w:rStyle w:val="soitChar"/>
        </w:rPr>
        <w:t>.</w:t>
      </w:r>
    </w:p>
    <w:p w14:paraId="44122711" w14:textId="77777777" w:rsidR="00DB2B68" w:rsidRDefault="00000000">
      <w:pPr>
        <w:ind w:left="567"/>
        <w:jc w:val="both"/>
      </w:pPr>
      <w:r>
        <w:rPr>
          <w:b/>
          <w:i/>
        </w:rPr>
        <w:t>(Soit)</w:t>
      </w:r>
    </w:p>
    <w:p w14:paraId="07717D76" w14:textId="77777777" w:rsidR="00DB2B68" w:rsidRDefault="00000000">
      <w:pPr>
        <w:ind w:left="567"/>
        <w:jc w:val="both"/>
      </w:pPr>
      <w:r>
        <w:rPr>
          <w:rStyle w:val="soitChar"/>
          <w:u w:val="single"/>
        </w:rPr>
        <w:t>CLT</w:t>
      </w:r>
    </w:p>
    <w:p w14:paraId="27E6D9E1" w14:textId="77777777" w:rsidR="00DB2B68" w:rsidRDefault="00000000">
      <w:pPr>
        <w:ind w:left="567"/>
        <w:jc w:val="both"/>
      </w:pPr>
      <w:r>
        <w:rPr>
          <w:rStyle w:val="soitChar"/>
        </w:rPr>
        <w:t>Les panneaux répondent à la [NBN EN 16351].</w:t>
      </w:r>
    </w:p>
    <w:p w14:paraId="5E41678D" w14:textId="77777777" w:rsidR="00DB2B68" w:rsidRDefault="00000000">
      <w:pPr>
        <w:ind w:left="567"/>
        <w:jc w:val="both"/>
      </w:pPr>
      <w:r>
        <w:rPr>
          <w:rStyle w:val="soitChar"/>
        </w:rPr>
        <w:t xml:space="preserve">Les panneaux ont une épaisseur de </w:t>
      </w:r>
      <w:r>
        <w:rPr>
          <w:rStyle w:val="optioncarChar"/>
        </w:rPr>
        <w:t xml:space="preserve">60 </w:t>
      </w:r>
      <w:r>
        <w:t>(par défaut)</w:t>
      </w:r>
      <w:r>
        <w:rPr>
          <w:rStyle w:val="optioncarChar"/>
        </w:rPr>
        <w:t xml:space="preserve"> / ***</w:t>
      </w:r>
      <w:r>
        <w:rPr>
          <w:rStyle w:val="soitChar"/>
        </w:rPr>
        <w:t xml:space="preserve"> mm.</w:t>
      </w:r>
    </w:p>
    <w:p w14:paraId="0E2E6BC2" w14:textId="77777777" w:rsidR="00DB2B68" w:rsidRDefault="00000000">
      <w:pPr>
        <w:ind w:left="567"/>
        <w:jc w:val="both"/>
      </w:pPr>
      <w:r>
        <w:rPr>
          <w:rStyle w:val="soitChar"/>
        </w:rPr>
        <w:t xml:space="preserve">Les panneaux sont de qualité </w:t>
      </w:r>
      <w:r>
        <w:rPr>
          <w:rStyle w:val="optioncarChar"/>
        </w:rPr>
        <w:t>non visible</w:t>
      </w:r>
      <w:r>
        <w:t xml:space="preserve"> (par défaut)</w:t>
      </w:r>
      <w:r>
        <w:rPr>
          <w:rStyle w:val="optioncarChar"/>
        </w:rPr>
        <w:t xml:space="preserve"> / visible industrielle / visible habitat</w:t>
      </w:r>
      <w:r>
        <w:rPr>
          <w:rStyle w:val="soitChar"/>
        </w:rPr>
        <w:t>.</w:t>
      </w:r>
    </w:p>
    <w:p w14:paraId="25E8BBA8" w14:textId="77777777" w:rsidR="00DB2B68" w:rsidRDefault="00000000">
      <w:pPr>
        <w:ind w:left="567"/>
        <w:jc w:val="both"/>
      </w:pPr>
      <w:r>
        <w:rPr>
          <w:b/>
          <w:i/>
        </w:rPr>
        <w:t>(Soit)</w:t>
      </w:r>
    </w:p>
    <w:p w14:paraId="6C73EF20" w14:textId="77777777" w:rsidR="00DB2B68" w:rsidRDefault="00000000">
      <w:pPr>
        <w:ind w:left="567"/>
        <w:jc w:val="both"/>
      </w:pPr>
      <w:r>
        <w:rPr>
          <w:rStyle w:val="optioncarChar"/>
        </w:rPr>
        <w:t>***</w:t>
      </w:r>
    </w:p>
    <w:p w14:paraId="36A98953" w14:textId="77777777" w:rsidR="00DB2B68" w:rsidRDefault="00000000">
      <w:pPr>
        <w:jc w:val="both"/>
      </w:pPr>
      <w:r>
        <w:t> </w:t>
      </w:r>
    </w:p>
    <w:p w14:paraId="210601CE" w14:textId="77777777" w:rsidR="00DB2B68" w:rsidRDefault="00000000">
      <w:pPr>
        <w:jc w:val="both"/>
      </w:pPr>
      <w:r>
        <w:t xml:space="preserve">Le panneau extérieur est </w:t>
      </w:r>
      <w:r>
        <w:rPr>
          <w:rStyle w:val="optioncarChar"/>
        </w:rPr>
        <w:t xml:space="preserve">non contreventant </w:t>
      </w:r>
      <w:r>
        <w:t>(par défaut)</w:t>
      </w:r>
      <w:r>
        <w:rPr>
          <w:rStyle w:val="optioncarChar"/>
        </w:rPr>
        <w:t xml:space="preserve"> / contreventant</w:t>
      </w:r>
      <w:r>
        <w:t>.</w:t>
      </w:r>
    </w:p>
    <w:p w14:paraId="7E800EB4" w14:textId="77777777" w:rsidR="00DB2B68" w:rsidRDefault="00000000">
      <w:pPr>
        <w:ind w:left="567"/>
      </w:pPr>
      <w:r>
        <w:rPr>
          <w:b/>
          <w:i/>
        </w:rPr>
        <w:t>(Soit par défaut)</w:t>
      </w:r>
    </w:p>
    <w:p w14:paraId="11C10B8D" w14:textId="77777777" w:rsidR="00DB2B68" w:rsidRDefault="00000000">
      <w:pPr>
        <w:ind w:left="567"/>
      </w:pPr>
      <w:r>
        <w:rPr>
          <w:rStyle w:val="soitChar"/>
          <w:u w:val="single"/>
        </w:rPr>
        <w:t>Non-contreventant</w:t>
      </w:r>
      <w:r>
        <w:br/>
      </w:r>
      <w:r>
        <w:rPr>
          <w:rStyle w:val="soitChar"/>
        </w:rPr>
        <w:t xml:space="preserve">Résistance en flexion ≥ </w:t>
      </w:r>
      <w:r>
        <w:rPr>
          <w:rStyle w:val="optioncarChar"/>
        </w:rPr>
        <w:t xml:space="preserve">12 / 14 </w:t>
      </w:r>
      <w:r>
        <w:t xml:space="preserve">(par défaut) </w:t>
      </w:r>
      <w:r>
        <w:rPr>
          <w:rStyle w:val="optioncarChar"/>
        </w:rPr>
        <w:t>/ 16 / ***</w:t>
      </w:r>
      <w:r>
        <w:rPr>
          <w:rStyle w:val="soitChar"/>
        </w:rPr>
        <w:t xml:space="preserve"> N/mm² suivant [NBN EN 310].</w:t>
      </w:r>
    </w:p>
    <w:p w14:paraId="35E4D2F3" w14:textId="77777777" w:rsidR="00DB2B68" w:rsidRDefault="00000000">
      <w:pPr>
        <w:ind w:left="567"/>
        <w:jc w:val="both"/>
      </w:pPr>
      <w:r>
        <w:rPr>
          <w:b/>
          <w:i/>
        </w:rPr>
        <w:t>(Soit)</w:t>
      </w:r>
    </w:p>
    <w:p w14:paraId="267D8CFF" w14:textId="77777777" w:rsidR="00DB2B68" w:rsidRDefault="00000000">
      <w:pPr>
        <w:ind w:left="567"/>
        <w:jc w:val="both"/>
      </w:pPr>
      <w:r>
        <w:rPr>
          <w:rStyle w:val="soitChar"/>
          <w:u w:val="single"/>
        </w:rPr>
        <w:t>Contreventant</w:t>
      </w:r>
    </w:p>
    <w:p w14:paraId="3996C883" w14:textId="77777777" w:rsidR="00DB2B68" w:rsidRDefault="00000000">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 xml:space="preserve"> N/mm² suivant [NBN EN 310].</w:t>
      </w:r>
    </w:p>
    <w:p w14:paraId="68971411" w14:textId="77777777" w:rsidR="00DB2B68" w:rsidRDefault="00000000">
      <w:pPr>
        <w:ind w:left="567"/>
        <w:jc w:val="both"/>
      </w:pPr>
      <w:r>
        <w:rPr>
          <w:rStyle w:val="soitChar"/>
        </w:rPr>
        <w:t xml:space="preserve">Module d’élasticité en flexion ≥ </w:t>
      </w:r>
      <w:r>
        <w:rPr>
          <w:rStyle w:val="optioncarChar"/>
        </w:rPr>
        <w:t xml:space="preserve">1600 / 1800 </w:t>
      </w:r>
      <w:r>
        <w:t xml:space="preserve">(par défaut) </w:t>
      </w:r>
      <w:r>
        <w:rPr>
          <w:rStyle w:val="optioncarChar"/>
        </w:rPr>
        <w:t>/ 2000 / ***</w:t>
      </w:r>
      <w:r>
        <w:rPr>
          <w:rStyle w:val="soitChar"/>
        </w:rPr>
        <w:t xml:space="preserve"> N/mm² suivant [NBN EN 310].</w:t>
      </w:r>
    </w:p>
    <w:p w14:paraId="06E9BF26" w14:textId="77777777" w:rsidR="00DB2B68" w:rsidRDefault="00000000">
      <w:pPr>
        <w:ind w:left="567"/>
        <w:jc w:val="both"/>
      </w:pPr>
      <w:r>
        <w:rPr>
          <w:rStyle w:val="soitChar"/>
        </w:rPr>
        <w:t xml:space="preserve">Traction perpendiculaire aux faces ≥ </w:t>
      </w:r>
      <w:r>
        <w:rPr>
          <w:rStyle w:val="optioncarChar"/>
        </w:rPr>
        <w:t>0.30 / 0.35</w:t>
      </w:r>
      <w:r>
        <w:t xml:space="preserve"> (par défaut)</w:t>
      </w:r>
      <w:r>
        <w:rPr>
          <w:rStyle w:val="optioncarChar"/>
        </w:rPr>
        <w:t xml:space="preserve"> / 0.4 / ***</w:t>
      </w:r>
      <w:r>
        <w:rPr>
          <w:rStyle w:val="soitChar"/>
        </w:rPr>
        <w:t xml:space="preserve"> N/mm² suivant [NBN EN 319].</w:t>
      </w:r>
    </w:p>
    <w:p w14:paraId="5056C8A8" w14:textId="77777777" w:rsidR="00DB2B68" w:rsidRDefault="00DB2B68"/>
    <w:p w14:paraId="2C5CA32F" w14:textId="77777777" w:rsidR="00DB2B68" w:rsidRDefault="00000000">
      <w:pPr>
        <w:jc w:val="both"/>
      </w:pPr>
      <w:r>
        <w:t xml:space="preserve">Les panneaux intérieurs sont </w:t>
      </w:r>
      <w:r>
        <w:rPr>
          <w:rStyle w:val="optioncarChar"/>
        </w:rPr>
        <w:t xml:space="preserve">vissés </w:t>
      </w:r>
      <w:r>
        <w:t>(par défaut)</w:t>
      </w:r>
      <w:r>
        <w:rPr>
          <w:rStyle w:val="optioncarChar"/>
        </w:rPr>
        <w:t xml:space="preserve"> cloués / collés / ***.</w:t>
      </w:r>
    </w:p>
    <w:p w14:paraId="78ED06DB" w14:textId="77777777" w:rsidR="00DB2B68" w:rsidRDefault="00000000">
      <w:pPr>
        <w:jc w:val="both"/>
      </w:pPr>
      <w:r>
        <w:t xml:space="preserve">Le panneau est </w:t>
      </w:r>
      <w:r>
        <w:rPr>
          <w:rStyle w:val="optioncarChar"/>
        </w:rPr>
        <w:t>rainuré languetté </w:t>
      </w:r>
      <w:r>
        <w:t>(par défaut)</w:t>
      </w:r>
      <w:r>
        <w:rPr>
          <w:rStyle w:val="optioncarChar"/>
        </w:rPr>
        <w:t xml:space="preserve"> / ***.</w:t>
      </w:r>
    </w:p>
    <w:p w14:paraId="382CF605" w14:textId="77777777" w:rsidR="00DB2B68" w:rsidRDefault="00000000">
      <w:pPr>
        <w:jc w:val="both"/>
      </w:pPr>
      <w:r>
        <w:lastRenderedPageBreak/>
        <w:t xml:space="preserve">Conductivité thermique ≤ </w:t>
      </w:r>
      <w:r>
        <w:rPr>
          <w:rStyle w:val="optioncarChar"/>
        </w:rPr>
        <w:t>0.08 / 0.090 / 0.1 / ***</w:t>
      </w:r>
      <w:r>
        <w:t> (par défaut) W/(m.K) suivant [NBN EN 13986+A1] ou [NBN EN 13171+A1].</w:t>
      </w:r>
    </w:p>
    <w:p w14:paraId="2FE6FE66" w14:textId="77777777" w:rsidR="00DB2B68" w:rsidRDefault="00000000">
      <w:pPr>
        <w:jc w:val="both"/>
      </w:pPr>
      <w:r>
        <w:t xml:space="preserve">La perméabilité à la vapeur d’eau (Sd) est supérieure à  </w:t>
      </w:r>
      <w:r>
        <w:rPr>
          <w:rStyle w:val="optioncarChar"/>
        </w:rPr>
        <w:t xml:space="preserve">0,5 m / 1 m  / définie par l’analyse de diffusion de vapeur d’eau de la paroi complète </w:t>
      </w:r>
      <w:r>
        <w:t>(par défaut)</w:t>
      </w:r>
      <w:r>
        <w:rPr>
          <w:rStyle w:val="optioncarChar"/>
        </w:rPr>
        <w:t xml:space="preserve"> / ***</w:t>
      </w:r>
      <w:r>
        <w:t>.</w:t>
      </w:r>
    </w:p>
    <w:p w14:paraId="4BBA6E10" w14:textId="77777777" w:rsidR="00DB2B68" w:rsidRDefault="00000000">
      <w:pPr>
        <w:jc w:val="both"/>
      </w:pPr>
      <w:r>
        <w:t>Si l’étanchéité à la vapeur d’eau et à l’air n’est pas assurée par le panneau, une membrane pare-vapeur ou frein vapeur est mise en œuvre pour satisfaire à l’analyse de diffusion de vapeur d’eau. </w:t>
      </w:r>
    </w:p>
    <w:p w14:paraId="4A1D41F1" w14:textId="77777777" w:rsidR="00DB2B68" w:rsidRDefault="00000000">
      <w:pPr>
        <w:jc w:val="both"/>
      </w:pPr>
      <w:r>
        <w:t xml:space="preserve">Les panneaux sont constitués de </w:t>
      </w:r>
      <w:r>
        <w:rPr>
          <w:rStyle w:val="optioncarChar"/>
        </w:rPr>
        <w:t xml:space="preserve">OSB </w:t>
      </w:r>
      <w:r>
        <w:t xml:space="preserve">(par défaut) </w:t>
      </w:r>
      <w:r>
        <w:rPr>
          <w:rStyle w:val="optioncarChar"/>
        </w:rPr>
        <w:t xml:space="preserve">/ panneaux de fibre de bois / </w:t>
      </w:r>
      <w:r>
        <w:t> </w:t>
      </w:r>
      <w:r>
        <w:rPr>
          <w:rStyle w:val="optioncarChar"/>
        </w:rPr>
        <w:t>/ panneaux multiplex bois / CLT / ***.</w:t>
      </w:r>
    </w:p>
    <w:p w14:paraId="5F778421" w14:textId="77777777" w:rsidR="00DB2B68" w:rsidRDefault="00000000">
      <w:pPr>
        <w:ind w:left="567"/>
      </w:pPr>
      <w:r>
        <w:rPr>
          <w:b/>
          <w:i/>
        </w:rPr>
        <w:t>(Soit par défaut)</w:t>
      </w:r>
    </w:p>
    <w:p w14:paraId="0714CE11" w14:textId="77777777" w:rsidR="00DB2B68" w:rsidRDefault="00000000">
      <w:pPr>
        <w:ind w:left="567"/>
      </w:pPr>
      <w:r>
        <w:rPr>
          <w:rStyle w:val="soitChar"/>
          <w:u w:val="single"/>
        </w:rPr>
        <w:t>Osb</w:t>
      </w:r>
      <w:r>
        <w:br/>
      </w:r>
      <w:r>
        <w:rPr>
          <w:rStyle w:val="soitChar"/>
        </w:rPr>
        <w:t>Pour le descriptif, voir l’article </w:t>
      </w:r>
      <w:hyperlink w:anchor="597" w:history="1">
        <w:r>
          <w:rPr>
            <w:rStyle w:val="soitChar"/>
            <w:color w:val="0000EE"/>
          </w:rPr>
          <w:t>24.16.1b Panneaux OSB</w:t>
        </w:r>
      </w:hyperlink>
      <w:r>
        <w:rPr>
          <w:rStyle w:val="soitChar"/>
        </w:rPr>
        <w:t>.</w:t>
      </w:r>
      <w:r>
        <w:t> </w:t>
      </w:r>
      <w:r>
        <w:br/>
      </w:r>
      <w:r>
        <w:rPr>
          <w:rStyle w:val="soitChar"/>
        </w:rPr>
        <w:t>Les panneaux ont une épaisseur de </w:t>
      </w:r>
      <w:r>
        <w:rPr>
          <w:rStyle w:val="optioncarChar"/>
        </w:rPr>
        <w:t>15 / 18 </w:t>
      </w:r>
      <w:r>
        <w:t>(par défaut)</w:t>
      </w:r>
      <w:r>
        <w:rPr>
          <w:rStyle w:val="optioncarChar"/>
        </w:rPr>
        <w:t> / ***</w:t>
      </w:r>
      <w:r>
        <w:rPr>
          <w:rStyle w:val="soitChar"/>
        </w:rPr>
        <w:t> mm.</w:t>
      </w:r>
      <w:r>
        <w:br/>
      </w:r>
      <w:r>
        <w:rPr>
          <w:rStyle w:val="soitChar"/>
        </w:rPr>
        <w:t>Les panneaux sont de type </w:t>
      </w:r>
      <w:r>
        <w:rPr>
          <w:rStyle w:val="optioncarChar"/>
        </w:rPr>
        <w:t>2 / 3 </w:t>
      </w:r>
      <w:r>
        <w:t>(par défaut)</w:t>
      </w:r>
      <w:r>
        <w:rPr>
          <w:rStyle w:val="optioncarChar"/>
        </w:rPr>
        <w:t> / 4</w:t>
      </w:r>
      <w:r>
        <w:rPr>
          <w:rStyle w:val="soitChar"/>
        </w:rPr>
        <w:t>.</w:t>
      </w:r>
      <w:r>
        <w:br/>
      </w:r>
      <w:r>
        <w:rPr>
          <w:rStyle w:val="soitChar"/>
        </w:rPr>
        <w:t>Les panneaux répondent à la [NBN EN 300] et à la [NBN EN 13986+A1].</w:t>
      </w:r>
    </w:p>
    <w:p w14:paraId="4432211E" w14:textId="77777777" w:rsidR="00DB2B68" w:rsidRDefault="00000000">
      <w:pPr>
        <w:ind w:left="567"/>
        <w:jc w:val="both"/>
      </w:pPr>
      <w:r>
        <w:rPr>
          <w:b/>
          <w:i/>
        </w:rPr>
        <w:t>(Soit)</w:t>
      </w:r>
    </w:p>
    <w:p w14:paraId="522D458D" w14:textId="77777777" w:rsidR="00DB2B68" w:rsidRDefault="00000000">
      <w:pPr>
        <w:ind w:left="567"/>
        <w:jc w:val="both"/>
      </w:pPr>
      <w:r>
        <w:rPr>
          <w:rStyle w:val="soitChar"/>
          <w:u w:val="single"/>
        </w:rPr>
        <w:t>Panneau de fibre de bois</w:t>
      </w:r>
    </w:p>
    <w:p w14:paraId="2DD22145" w14:textId="77777777" w:rsidR="00DB2B68" w:rsidRDefault="00000000">
      <w:pPr>
        <w:ind w:left="567"/>
        <w:jc w:val="both"/>
      </w:pPr>
      <w:r>
        <w:rPr>
          <w:rStyle w:val="soitChar"/>
        </w:rPr>
        <w:t>Pour le descriptif, voir l’article </w:t>
      </w:r>
      <w:hyperlink w:anchor="596" w:history="1">
        <w:r>
          <w:rPr>
            <w:rStyle w:val="soitChar"/>
            <w:color w:val="0000EE"/>
          </w:rPr>
          <w:t>24.16.1d Panneaux MDF</w:t>
        </w:r>
      </w:hyperlink>
      <w:r>
        <w:rPr>
          <w:rStyle w:val="soitChar"/>
        </w:rPr>
        <w:t>.</w:t>
      </w:r>
      <w:r>
        <w:t> </w:t>
      </w:r>
    </w:p>
    <w:p w14:paraId="71530EE2" w14:textId="77777777" w:rsidR="00DB2B68" w:rsidRDefault="00000000">
      <w:pPr>
        <w:ind w:left="567"/>
        <w:jc w:val="both"/>
      </w:pPr>
      <w:r>
        <w:rPr>
          <w:rStyle w:val="soitChar"/>
        </w:rPr>
        <w:t>Les panneaux ont une épaisseur de </w:t>
      </w:r>
      <w:r>
        <w:rPr>
          <w:rStyle w:val="optioncarChar"/>
        </w:rPr>
        <w:t>12 / 20</w:t>
      </w:r>
      <w:r>
        <w:t> (par défaut)</w:t>
      </w:r>
      <w:r>
        <w:rPr>
          <w:rStyle w:val="optioncarChar"/>
        </w:rPr>
        <w:t> / ***</w:t>
      </w:r>
      <w:r>
        <w:rPr>
          <w:rStyle w:val="soitChar"/>
        </w:rPr>
        <w:t> mm.</w:t>
      </w:r>
    </w:p>
    <w:p w14:paraId="1A6EE47F" w14:textId="77777777" w:rsidR="00DB2B68" w:rsidRDefault="00000000">
      <w:pPr>
        <w:ind w:left="567"/>
        <w:jc w:val="both"/>
      </w:pPr>
      <w:r>
        <w:rPr>
          <w:rStyle w:val="soitChar"/>
        </w:rPr>
        <w:t>Les panneaux sont de type </w:t>
      </w:r>
      <w:r>
        <w:rPr>
          <w:rStyle w:val="optioncarChar"/>
        </w:rPr>
        <w:t> MDF LA </w:t>
      </w:r>
      <w:r>
        <w:t>(par défaut) </w:t>
      </w:r>
      <w:r>
        <w:rPr>
          <w:rStyle w:val="optioncarChar"/>
        </w:rPr>
        <w:t>/ MDF-HLS</w:t>
      </w:r>
      <w:r>
        <w:rPr>
          <w:rStyle w:val="soitChar"/>
        </w:rPr>
        <w:t>.</w:t>
      </w:r>
    </w:p>
    <w:p w14:paraId="2B40A14C" w14:textId="77777777" w:rsidR="00DB2B68" w:rsidRDefault="00000000">
      <w:pPr>
        <w:ind w:left="567"/>
        <w:jc w:val="both"/>
      </w:pPr>
      <w:r>
        <w:rPr>
          <w:rStyle w:val="soitChar"/>
        </w:rPr>
        <w:t>Les panneaux répondent à la [NBN EN 13986+A1] et aux exigences de [NBN EN 622 série].</w:t>
      </w:r>
    </w:p>
    <w:p w14:paraId="6978AD2F" w14:textId="77777777" w:rsidR="00DB2B68" w:rsidRDefault="00000000">
      <w:pPr>
        <w:ind w:left="567"/>
        <w:jc w:val="both"/>
      </w:pPr>
      <w:r>
        <w:rPr>
          <w:b/>
          <w:i/>
        </w:rPr>
        <w:t>(Soit)</w:t>
      </w:r>
    </w:p>
    <w:p w14:paraId="5598D657" w14:textId="77777777" w:rsidR="00DB2B68" w:rsidRDefault="00000000">
      <w:pPr>
        <w:ind w:left="567"/>
        <w:jc w:val="both"/>
      </w:pPr>
      <w:r>
        <w:rPr>
          <w:rStyle w:val="soitChar"/>
          <w:u w:val="single"/>
        </w:rPr>
        <w:t>Panneaux multiplex bois</w:t>
      </w:r>
    </w:p>
    <w:p w14:paraId="6363A185" w14:textId="77777777" w:rsidR="00DB2B68" w:rsidRDefault="00000000">
      <w:pPr>
        <w:ind w:left="567"/>
        <w:jc w:val="both"/>
      </w:pPr>
      <w:r>
        <w:rPr>
          <w:rStyle w:val="soitChar"/>
        </w:rPr>
        <w:t>Pour le descriptif, voir l’article </w:t>
      </w:r>
      <w:hyperlink w:anchor="598" w:history="1">
        <w:r>
          <w:rPr>
            <w:rStyle w:val="soitChar"/>
            <w:color w:val="0000EE"/>
          </w:rPr>
          <w:t>24.16.1a Panneaux contreplaqués (PW)</w:t>
        </w:r>
      </w:hyperlink>
      <w:r>
        <w:rPr>
          <w:rStyle w:val="soitChar"/>
        </w:rPr>
        <w:t>.</w:t>
      </w:r>
      <w:r>
        <w:t> </w:t>
      </w:r>
    </w:p>
    <w:p w14:paraId="003843F6" w14:textId="77777777" w:rsidR="00DB2B68" w:rsidRDefault="00000000">
      <w:pPr>
        <w:ind w:left="567"/>
        <w:jc w:val="both"/>
      </w:pPr>
      <w:r>
        <w:rPr>
          <w:rStyle w:val="soitChar"/>
        </w:rPr>
        <w:t>Le multiplex est en bois </w:t>
      </w:r>
      <w:r>
        <w:rPr>
          <w:rStyle w:val="optioncarChar"/>
        </w:rPr>
        <w:t>feuillus / résineux</w:t>
      </w:r>
      <w:r>
        <w:t> </w:t>
      </w:r>
      <w:r>
        <w:rPr>
          <w:rStyle w:val="soitChar"/>
        </w:rPr>
        <w:t>.</w:t>
      </w:r>
      <w:r>
        <w:t> </w:t>
      </w:r>
    </w:p>
    <w:p w14:paraId="0993E347" w14:textId="77777777" w:rsidR="00DB2B68" w:rsidRDefault="00000000">
      <w:pPr>
        <w:ind w:left="567"/>
        <w:jc w:val="both"/>
      </w:pPr>
      <w:r>
        <w:rPr>
          <w:rStyle w:val="soitChar"/>
        </w:rPr>
        <w:t>Les panneaux ont une épaisseur de </w:t>
      </w:r>
      <w:r>
        <w:rPr>
          <w:rStyle w:val="optioncarChar"/>
        </w:rPr>
        <w:t>14 / 16</w:t>
      </w:r>
      <w:r>
        <w:t> (par défaut)</w:t>
      </w:r>
      <w:r>
        <w:rPr>
          <w:rStyle w:val="optioncarChar"/>
        </w:rPr>
        <w:t> / 19 / 21 / 27 / ***</w:t>
      </w:r>
      <w:r>
        <w:rPr>
          <w:rStyle w:val="soitChar"/>
        </w:rPr>
        <w:t> mm.</w:t>
      </w:r>
    </w:p>
    <w:p w14:paraId="0982C309" w14:textId="77777777" w:rsidR="00DB2B68" w:rsidRDefault="00000000">
      <w:pPr>
        <w:ind w:left="567"/>
        <w:jc w:val="both"/>
      </w:pPr>
      <w:r>
        <w:rPr>
          <w:b/>
          <w:i/>
        </w:rPr>
        <w:t>(Soit)</w:t>
      </w:r>
    </w:p>
    <w:p w14:paraId="7880E083" w14:textId="77777777" w:rsidR="00DB2B68" w:rsidRDefault="00000000">
      <w:pPr>
        <w:ind w:left="567"/>
        <w:jc w:val="both"/>
      </w:pPr>
      <w:r>
        <w:rPr>
          <w:rStyle w:val="soitChar"/>
          <w:u w:val="single"/>
        </w:rPr>
        <w:t>CLT</w:t>
      </w:r>
    </w:p>
    <w:p w14:paraId="0331F1A4" w14:textId="77777777" w:rsidR="00DB2B68" w:rsidRDefault="00000000">
      <w:pPr>
        <w:ind w:left="567"/>
        <w:jc w:val="both"/>
      </w:pPr>
      <w:r>
        <w:rPr>
          <w:rStyle w:val="soitChar"/>
        </w:rPr>
        <w:t>Les panneaux répondent à la [NBN EN 16351].</w:t>
      </w:r>
      <w:r>
        <w:t> </w:t>
      </w:r>
    </w:p>
    <w:p w14:paraId="2E0FCA51" w14:textId="77777777" w:rsidR="00DB2B68" w:rsidRDefault="0000000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2ED13F93" w14:textId="77777777" w:rsidR="00DB2B68" w:rsidRDefault="00000000">
      <w:pPr>
        <w:ind w:left="567"/>
        <w:jc w:val="both"/>
      </w:pPr>
      <w:r>
        <w:rPr>
          <w:rStyle w:val="soitChar"/>
        </w:rPr>
        <w:t>Les panneaux sont de qualité </w:t>
      </w:r>
      <w:r>
        <w:rPr>
          <w:rStyle w:val="optioncarChar"/>
        </w:rPr>
        <w:t>non visible</w:t>
      </w:r>
      <w:r>
        <w:t> (par défaut)</w:t>
      </w:r>
      <w:r>
        <w:rPr>
          <w:rStyle w:val="optioncarChar"/>
        </w:rPr>
        <w:t> / visible industrielle / visible habitat</w:t>
      </w:r>
      <w:r>
        <w:rPr>
          <w:rStyle w:val="soitChar"/>
        </w:rPr>
        <w:t>.</w:t>
      </w:r>
    </w:p>
    <w:p w14:paraId="2C80B316" w14:textId="77777777" w:rsidR="00DB2B68" w:rsidRDefault="00000000">
      <w:pPr>
        <w:ind w:left="567"/>
        <w:jc w:val="both"/>
      </w:pPr>
      <w:r>
        <w:rPr>
          <w:b/>
          <w:i/>
        </w:rPr>
        <w:t>(Soit)</w:t>
      </w:r>
    </w:p>
    <w:p w14:paraId="60630DCF" w14:textId="77777777" w:rsidR="00DB2B68" w:rsidRDefault="00000000">
      <w:pPr>
        <w:ind w:left="567"/>
        <w:jc w:val="both"/>
      </w:pPr>
      <w:r>
        <w:rPr>
          <w:rStyle w:val="optioncarChar"/>
        </w:rPr>
        <w:t>***</w:t>
      </w:r>
      <w:r>
        <w:t> </w:t>
      </w:r>
    </w:p>
    <w:p w14:paraId="5315AE97" w14:textId="77777777" w:rsidR="00DB2B68" w:rsidRDefault="00000000">
      <w:pPr>
        <w:jc w:val="both"/>
      </w:pPr>
      <w:r>
        <w:t xml:space="preserve">Le panneau intérieur est </w:t>
      </w:r>
      <w:r>
        <w:rPr>
          <w:rStyle w:val="optioncarChar"/>
        </w:rPr>
        <w:t xml:space="preserve">contreventant </w:t>
      </w:r>
      <w:r>
        <w:t>(par défaut)</w:t>
      </w:r>
      <w:r>
        <w:rPr>
          <w:rStyle w:val="optioncarChar"/>
        </w:rPr>
        <w:t xml:space="preserve"> / non contreventant.</w:t>
      </w:r>
    </w:p>
    <w:p w14:paraId="01D7C262" w14:textId="77777777" w:rsidR="00DB2B68" w:rsidRDefault="00000000">
      <w:pPr>
        <w:ind w:left="567"/>
        <w:jc w:val="both"/>
      </w:pPr>
      <w:r>
        <w:rPr>
          <w:b/>
          <w:i/>
        </w:rPr>
        <w:t>(Soit par défaut)</w:t>
      </w:r>
    </w:p>
    <w:p w14:paraId="4D48CFD1" w14:textId="77777777" w:rsidR="00DB2B68" w:rsidRDefault="00000000">
      <w:pPr>
        <w:ind w:left="567"/>
        <w:jc w:val="both"/>
      </w:pPr>
      <w:r>
        <w:rPr>
          <w:rStyle w:val="soitChar"/>
          <w:u w:val="single"/>
        </w:rPr>
        <w:t>Contreventant</w:t>
      </w:r>
    </w:p>
    <w:p w14:paraId="7D5950D4" w14:textId="77777777" w:rsidR="00DB2B68" w:rsidRDefault="00000000">
      <w:pPr>
        <w:ind w:left="567"/>
        <w:jc w:val="both"/>
      </w:pPr>
      <w:r>
        <w:rPr>
          <w:rStyle w:val="soitChar"/>
        </w:rPr>
        <w:t xml:space="preserve">Résistance en flexion ≥ </w:t>
      </w:r>
      <w:r>
        <w:rPr>
          <w:rStyle w:val="optioncarChar"/>
        </w:rPr>
        <w:t>12 / 14</w:t>
      </w:r>
      <w:r>
        <w:t xml:space="preserve"> (par défaut)</w:t>
      </w:r>
      <w:r>
        <w:rPr>
          <w:rStyle w:val="optioncarChar"/>
        </w:rPr>
        <w:t xml:space="preserve"> / 16 / ***</w:t>
      </w:r>
      <w:r>
        <w:rPr>
          <w:rStyle w:val="soitChar"/>
        </w:rPr>
        <w:t>N/mm² suivant [NBN EN 310] </w:t>
      </w:r>
    </w:p>
    <w:p w14:paraId="667EC5EE" w14:textId="77777777" w:rsidR="00DB2B68" w:rsidRDefault="00000000">
      <w:pPr>
        <w:ind w:left="567"/>
        <w:jc w:val="both"/>
      </w:pPr>
      <w:r>
        <w:rPr>
          <w:rStyle w:val="soitChar"/>
        </w:rPr>
        <w:t xml:space="preserve">Module d’élasticité en flexion ≥ </w:t>
      </w:r>
      <w:r>
        <w:rPr>
          <w:rStyle w:val="optioncarChar"/>
        </w:rPr>
        <w:t xml:space="preserve">1600 / 1800 </w:t>
      </w:r>
      <w:r>
        <w:t>(par défaut)</w:t>
      </w:r>
      <w:r>
        <w:rPr>
          <w:rStyle w:val="optioncarChar"/>
        </w:rPr>
        <w:t xml:space="preserve"> / 2000 / ***</w:t>
      </w:r>
      <w:r>
        <w:rPr>
          <w:rStyle w:val="soitChar"/>
        </w:rPr>
        <w:t xml:space="preserve"> N/mm² suivant [NBN EN 310].</w:t>
      </w:r>
    </w:p>
    <w:p w14:paraId="287C317A" w14:textId="77777777" w:rsidR="00DB2B68" w:rsidRDefault="00000000">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14:paraId="3F82CC05" w14:textId="77777777" w:rsidR="00DB2B68" w:rsidRDefault="00000000">
      <w:pPr>
        <w:ind w:left="567"/>
        <w:jc w:val="both"/>
      </w:pPr>
      <w:r>
        <w:rPr>
          <w:b/>
          <w:i/>
        </w:rPr>
        <w:t>(Soit)</w:t>
      </w:r>
    </w:p>
    <w:p w14:paraId="17D9A639" w14:textId="77777777" w:rsidR="00DB2B68" w:rsidRDefault="00000000">
      <w:pPr>
        <w:ind w:left="567"/>
        <w:jc w:val="both"/>
      </w:pPr>
      <w:r>
        <w:rPr>
          <w:rStyle w:val="soitChar"/>
          <w:u w:val="single"/>
        </w:rPr>
        <w:t>Non-contreventant</w:t>
      </w:r>
    </w:p>
    <w:p w14:paraId="13CA9A59" w14:textId="77777777" w:rsidR="00DB2B68" w:rsidRDefault="00000000">
      <w:pPr>
        <w:ind w:left="567"/>
        <w:jc w:val="both"/>
      </w:pPr>
      <w:r>
        <w:rPr>
          <w:rStyle w:val="soitChar"/>
        </w:rPr>
        <w:t xml:space="preserve">Résistance en flexion ≥ </w:t>
      </w:r>
      <w:r>
        <w:rPr>
          <w:rStyle w:val="optioncarChar"/>
        </w:rPr>
        <w:t xml:space="preserve">12 / 14 </w:t>
      </w:r>
      <w:r>
        <w:t>(par défaut)</w:t>
      </w:r>
      <w:r>
        <w:rPr>
          <w:rStyle w:val="optioncarChar"/>
        </w:rPr>
        <w:t xml:space="preserve"> / 16 / ***</w:t>
      </w:r>
      <w:r>
        <w:rPr>
          <w:rStyle w:val="soitChar"/>
        </w:rPr>
        <w:t xml:space="preserve"> N/mm² suivant [NBN EN 310] </w:t>
      </w:r>
      <w:r>
        <w:t> </w:t>
      </w:r>
    </w:p>
    <w:p w14:paraId="5E90004D" w14:textId="77777777" w:rsidR="00DB2B68" w:rsidRDefault="00000000">
      <w:pPr>
        <w:jc w:val="both"/>
      </w:pPr>
      <w:r>
        <w:lastRenderedPageBreak/>
        <w:t xml:space="preserve">Le caisson </w:t>
      </w:r>
      <w:r>
        <w:rPr>
          <w:rStyle w:val="optioncarChar"/>
        </w:rPr>
        <w:t>est / n’est pas</w:t>
      </w:r>
      <w:r>
        <w:t xml:space="preserve"> (par défaut) muni d’une gaine technique d’une épaisseur de </w:t>
      </w:r>
      <w:r>
        <w:rPr>
          <w:rStyle w:val="optioncarChar"/>
        </w:rPr>
        <w:t>60 / ***</w:t>
      </w:r>
      <w:r>
        <w:t xml:space="preserve"> mm </w:t>
      </w:r>
    </w:p>
    <w:p w14:paraId="55687E1C" w14:textId="77777777" w:rsidR="00DB2B68" w:rsidRDefault="00000000">
      <w:pPr>
        <w:jc w:val="both"/>
      </w:pPr>
      <w:r>
        <w:rPr>
          <w:b/>
        </w:rPr>
        <w:t>Plaque de parement intérieur</w:t>
      </w:r>
    </w:p>
    <w:p w14:paraId="24BAE6D8" w14:textId="77777777" w:rsidR="00DB2B68" w:rsidRDefault="00000000">
      <w:pPr>
        <w:jc w:val="both"/>
      </w:pPr>
      <w:r>
        <w:t xml:space="preserve">Les faces sont constituées de </w:t>
      </w:r>
      <w:r>
        <w:rPr>
          <w:rStyle w:val="optioncarChar"/>
        </w:rPr>
        <w:t xml:space="preserve">plaques de plâtre </w:t>
      </w:r>
      <w:r>
        <w:t>(par défaut)</w:t>
      </w:r>
      <w:r>
        <w:rPr>
          <w:rStyle w:val="optioncarChar"/>
        </w:rPr>
        <w:t xml:space="preserve"> / de panneau multiplex bois / d’un panneau OSB / ***.</w:t>
      </w:r>
    </w:p>
    <w:p w14:paraId="3136AACF" w14:textId="77777777" w:rsidR="00DB2B68" w:rsidRDefault="00000000">
      <w:pPr>
        <w:ind w:left="567"/>
        <w:jc w:val="both"/>
      </w:pPr>
      <w:r>
        <w:rPr>
          <w:b/>
          <w:i/>
        </w:rPr>
        <w:t>(Soit par défaut)</w:t>
      </w:r>
    </w:p>
    <w:p w14:paraId="1943A5D6" w14:textId="77777777" w:rsidR="00DB2B68" w:rsidRDefault="00000000">
      <w:pPr>
        <w:ind w:left="567"/>
        <w:jc w:val="both"/>
      </w:pPr>
      <w:r>
        <w:rPr>
          <w:rStyle w:val="soitChar"/>
          <w:u w:val="single"/>
        </w:rPr>
        <w:t>Plaques de plâtre</w:t>
      </w:r>
    </w:p>
    <w:p w14:paraId="533DC607" w14:textId="77777777" w:rsidR="00DB2B68" w:rsidRDefault="00000000">
      <w:pPr>
        <w:ind w:left="567"/>
        <w:jc w:val="both"/>
      </w:pPr>
      <w:r>
        <w:rPr>
          <w:rStyle w:val="soitChar"/>
        </w:rPr>
        <w:t>Plaques de plâtre renforcées de fibres de cellulose dans la masse.</w:t>
      </w:r>
    </w:p>
    <w:p w14:paraId="03E2D8BB" w14:textId="77777777" w:rsidR="00DB2B68" w:rsidRDefault="00000000">
      <w:pPr>
        <w:ind w:left="567"/>
        <w:jc w:val="both"/>
      </w:pPr>
      <w:r>
        <w:rPr>
          <w:rStyle w:val="soitChar"/>
        </w:rPr>
        <w:t xml:space="preserve">La masse volumique de la plaque de plâtre est  ≥ à </w:t>
      </w:r>
      <w:r>
        <w:rPr>
          <w:rStyle w:val="optioncarChar"/>
        </w:rPr>
        <w:t xml:space="preserve">1200 </w:t>
      </w:r>
      <w:r>
        <w:t>(par défaut) </w:t>
      </w:r>
      <w:r>
        <w:rPr>
          <w:rStyle w:val="optioncarChar"/>
        </w:rPr>
        <w:t>/ 1400</w:t>
      </w:r>
      <w:r>
        <w:rPr>
          <w:rStyle w:val="soitChar"/>
        </w:rPr>
        <w:t>kg/m³.</w:t>
      </w:r>
    </w:p>
    <w:p w14:paraId="30A13DC6" w14:textId="77777777" w:rsidR="00DB2B68" w:rsidRDefault="00000000">
      <w:pPr>
        <w:ind w:left="567"/>
        <w:jc w:val="both"/>
      </w:pPr>
      <w:r>
        <w:rPr>
          <w:rStyle w:val="soitChar"/>
        </w:rPr>
        <w:t xml:space="preserve">L’épaisseur des plaques est de </w:t>
      </w:r>
      <w:r>
        <w:rPr>
          <w:rStyle w:val="optioncarChar"/>
        </w:rPr>
        <w:t>12,5 </w:t>
      </w:r>
      <w:r>
        <w:t xml:space="preserve"> (par défaut)</w:t>
      </w:r>
      <w:r>
        <w:rPr>
          <w:rStyle w:val="optioncarChar"/>
        </w:rPr>
        <w:t xml:space="preserve"> / 15</w:t>
      </w:r>
      <w:r>
        <w:rPr>
          <w:rStyle w:val="soitChar"/>
        </w:rPr>
        <w:t xml:space="preserve"> mm.</w:t>
      </w:r>
    </w:p>
    <w:p w14:paraId="34CBA57B" w14:textId="77777777" w:rsidR="00DB2B68" w:rsidRDefault="00000000">
      <w:pPr>
        <w:ind w:left="567"/>
        <w:jc w:val="both"/>
      </w:pPr>
      <w:r>
        <w:rPr>
          <w:b/>
          <w:i/>
        </w:rPr>
        <w:t>(Soit)</w:t>
      </w:r>
    </w:p>
    <w:p w14:paraId="03981D47" w14:textId="77777777" w:rsidR="00DB2B68" w:rsidRDefault="00000000">
      <w:pPr>
        <w:ind w:left="567"/>
        <w:jc w:val="both"/>
      </w:pPr>
      <w:r>
        <w:rPr>
          <w:rStyle w:val="soitChar"/>
          <w:u w:val="single"/>
        </w:rPr>
        <w:t>Multiplex bois</w:t>
      </w:r>
    </w:p>
    <w:p w14:paraId="7DA7EC1B" w14:textId="77777777" w:rsidR="00DB2B68" w:rsidRDefault="00000000">
      <w:pPr>
        <w:ind w:left="567"/>
        <w:jc w:val="both"/>
      </w:pPr>
      <w:r>
        <w:rPr>
          <w:rStyle w:val="soitChar"/>
        </w:rPr>
        <w:t xml:space="preserve">Le multiplex est en bois </w:t>
      </w:r>
      <w:r>
        <w:rPr>
          <w:rStyle w:val="optioncarChar"/>
        </w:rPr>
        <w:t>feuillus / résineux.</w:t>
      </w:r>
    </w:p>
    <w:p w14:paraId="2E19B44E" w14:textId="77777777" w:rsidR="00DB2B68" w:rsidRDefault="00000000">
      <w:pPr>
        <w:ind w:left="567"/>
        <w:jc w:val="both"/>
      </w:pPr>
      <w:r>
        <w:rPr>
          <w:rStyle w:val="soitChar"/>
        </w:rPr>
        <w:t xml:space="preserve">Les panneaux ont une épaisseur de </w:t>
      </w:r>
      <w:r>
        <w:rPr>
          <w:rStyle w:val="optioncarChar"/>
        </w:rPr>
        <w:t>14 / 16</w:t>
      </w:r>
      <w:r>
        <w:t xml:space="preserve"> (par défaut)</w:t>
      </w:r>
      <w:r>
        <w:rPr>
          <w:rStyle w:val="optioncarChar"/>
        </w:rPr>
        <w:t xml:space="preserve"> / 19 / 21 / 27 / ***</w:t>
      </w:r>
      <w:r>
        <w:rPr>
          <w:rStyle w:val="soitChar"/>
        </w:rPr>
        <w:t xml:space="preserve"> mm.</w:t>
      </w:r>
    </w:p>
    <w:p w14:paraId="2B26EEC7" w14:textId="77777777" w:rsidR="00DB2B68" w:rsidRDefault="00000000">
      <w:pPr>
        <w:ind w:left="567"/>
        <w:jc w:val="both"/>
      </w:pPr>
      <w:r>
        <w:rPr>
          <w:rStyle w:val="soitChar"/>
        </w:rPr>
        <w:t>Les panneaux sont </w:t>
      </w:r>
      <w:r>
        <w:rPr>
          <w:rStyle w:val="optioncarChar"/>
        </w:rPr>
        <w:t>à bord droit / rainurés languettés </w:t>
      </w:r>
      <w:r>
        <w:t>(par défaut).</w:t>
      </w:r>
    </w:p>
    <w:p w14:paraId="0FA304FD" w14:textId="77777777" w:rsidR="00DB2B68" w:rsidRDefault="00000000">
      <w:pPr>
        <w:ind w:left="567"/>
        <w:jc w:val="both"/>
      </w:pPr>
      <w:r>
        <w:rPr>
          <w:b/>
          <w:i/>
        </w:rPr>
        <w:t>(Soit)</w:t>
      </w:r>
    </w:p>
    <w:p w14:paraId="7C031654" w14:textId="77777777" w:rsidR="00DB2B68" w:rsidRDefault="00000000">
      <w:pPr>
        <w:ind w:left="567"/>
        <w:jc w:val="both"/>
      </w:pPr>
      <w:r>
        <w:rPr>
          <w:rStyle w:val="soitChar"/>
          <w:u w:val="single"/>
        </w:rPr>
        <w:t>Osb</w:t>
      </w:r>
    </w:p>
    <w:p w14:paraId="1D7C8C1B" w14:textId="77777777" w:rsidR="00DB2B68" w:rsidRDefault="00000000">
      <w:pPr>
        <w:ind w:left="567"/>
        <w:jc w:val="both"/>
      </w:pPr>
      <w:r>
        <w:rPr>
          <w:rStyle w:val="soitChar"/>
        </w:rPr>
        <w:t xml:space="preserve">Pour le descriptif voir l’article </w:t>
      </w:r>
      <w:hyperlink w:anchor="597" w:history="1">
        <w:r>
          <w:rPr>
            <w:rStyle w:val="soitChar"/>
            <w:color w:val="0000EE"/>
          </w:rPr>
          <w:t>24.16.1b Panneaux OSB</w:t>
        </w:r>
      </w:hyperlink>
    </w:p>
    <w:p w14:paraId="4E179763" w14:textId="77777777" w:rsidR="00DB2B68" w:rsidRDefault="00000000">
      <w:pPr>
        <w:ind w:left="567"/>
        <w:jc w:val="both"/>
      </w:pPr>
      <w:r>
        <w:rPr>
          <w:rStyle w:val="soitChar"/>
        </w:rPr>
        <w:t>Les panneaux sont </w:t>
      </w:r>
      <w:r>
        <w:rPr>
          <w:rStyle w:val="optioncarChar"/>
        </w:rPr>
        <w:t>à bord droit / rainurés languettés</w:t>
      </w:r>
      <w:r>
        <w:t xml:space="preserve"> (par défaut).</w:t>
      </w:r>
    </w:p>
    <w:p w14:paraId="7A1797EA" w14:textId="77777777" w:rsidR="00DB2B68" w:rsidRDefault="00000000">
      <w:pPr>
        <w:ind w:left="567"/>
        <w:jc w:val="both"/>
      </w:pPr>
      <w:r>
        <w:rPr>
          <w:rStyle w:val="soitChar"/>
        </w:rPr>
        <w:t>Les panneaux répondent à la [NBN EN 300] et à la [NBN EN 13986+A1].</w:t>
      </w:r>
    </w:p>
    <w:p w14:paraId="762BDBDF" w14:textId="77777777" w:rsidR="00DB2B68" w:rsidRDefault="00000000">
      <w:pPr>
        <w:ind w:left="567"/>
        <w:jc w:val="both"/>
      </w:pPr>
      <w:r>
        <w:rPr>
          <w:b/>
          <w:i/>
        </w:rPr>
        <w:t>(Soit)</w:t>
      </w:r>
    </w:p>
    <w:p w14:paraId="0B9F018F" w14:textId="77777777" w:rsidR="00DB2B68" w:rsidRDefault="00000000">
      <w:pPr>
        <w:ind w:left="567"/>
        <w:jc w:val="both"/>
      </w:pPr>
      <w:r>
        <w:rPr>
          <w:rStyle w:val="optioncarChar"/>
        </w:rPr>
        <w:t>***</w:t>
      </w:r>
    </w:p>
    <w:p w14:paraId="6E0B950D" w14:textId="77777777" w:rsidR="00DB2B68" w:rsidRDefault="00DB2B68">
      <w:pPr>
        <w:ind w:left="567"/>
        <w:jc w:val="both"/>
      </w:pPr>
    </w:p>
    <w:p w14:paraId="4D620636" w14:textId="77777777" w:rsidR="00DB2B68" w:rsidRDefault="00000000">
      <w:pPr>
        <w:jc w:val="both"/>
      </w:pPr>
      <w:r>
        <w:t xml:space="preserve">La réaction au feu est de classe </w:t>
      </w:r>
      <w:r>
        <w:rPr>
          <w:rStyle w:val="optioncarChar"/>
        </w:rPr>
        <w:t xml:space="preserve">D-s2, d0 </w:t>
      </w:r>
      <w:r>
        <w:t>(par défaut)</w:t>
      </w:r>
      <w:r>
        <w:rPr>
          <w:rStyle w:val="optioncarChar"/>
        </w:rPr>
        <w:t xml:space="preserve"> / ***.</w:t>
      </w:r>
    </w:p>
    <w:p w14:paraId="44953470" w14:textId="77777777" w:rsidR="00DB2B68" w:rsidRDefault="00000000">
      <w:pPr>
        <w:pStyle w:val="pheading"/>
      </w:pPr>
      <w:r>
        <w:t>- Finitions</w:t>
      </w:r>
    </w:p>
    <w:p w14:paraId="2B0978F7" w14:textId="77777777" w:rsidR="00DB2B68" w:rsidRDefault="00000000">
      <w:r>
        <w:t>La plaque de parement intérieur est peinte ou recouverte d’un enduit intérieur.</w:t>
      </w:r>
    </w:p>
    <w:p w14:paraId="25727220" w14:textId="77777777" w:rsidR="00DB2B68" w:rsidRDefault="00000000">
      <w:r>
        <w:t>La peinture (8 T8 Travaux de peinture / Traitements de surface) ou finition (5 T5 Fermetures / Finitions intérieures) éventuelles sont comprises dans un autre article.</w:t>
      </w:r>
    </w:p>
    <w:p w14:paraId="3290F9A9" w14:textId="77777777" w:rsidR="00DB2B68" w:rsidRDefault="00000000">
      <w:pPr>
        <w:pStyle w:val="pheading"/>
      </w:pPr>
      <w:r>
        <w:t>- Prescriptions complémentaires</w:t>
      </w:r>
    </w:p>
    <w:p w14:paraId="7EC69F88" w14:textId="77777777" w:rsidR="00DB2B68" w:rsidRDefault="00000000">
      <w:pPr>
        <w:jc w:val="both"/>
      </w:pPr>
      <w:r>
        <w:t xml:space="preserve">La résistance au feu déclarée de la paroi : </w:t>
      </w:r>
      <w:r>
        <w:rPr>
          <w:rStyle w:val="optioncarChar"/>
        </w:rPr>
        <w:t xml:space="preserve">pas d’exigences </w:t>
      </w:r>
      <w:r>
        <w:t>(par défaut)</w:t>
      </w:r>
      <w:r>
        <w:rPr>
          <w:rStyle w:val="optioncarChar"/>
        </w:rPr>
        <w:t xml:space="preserve"> / REI 30 / EI30 / REI 60 / EI 60 / ***.</w:t>
      </w:r>
    </w:p>
    <w:p w14:paraId="24E32E20" w14:textId="77777777" w:rsidR="00DB2B68" w:rsidRDefault="00000000">
      <w:pPr>
        <w:jc w:val="both"/>
      </w:pPr>
      <w:r>
        <w:t xml:space="preserve">En matière de qualité de l’air l’élément préfabriqué </w:t>
      </w:r>
      <w:r>
        <w:rPr>
          <w:rStyle w:val="optioncarChar"/>
        </w:rPr>
        <w:t xml:space="preserve">répond à l’[AR 2014-05-08] établissant les niveaux seuils pour les émissions dans l’environnement intérieur de produits de construction pour certains usages prévus / au label EMICODE EC 1+ / au label EMICODE EC 1 </w:t>
      </w:r>
      <w:r>
        <w:t>(par défaut)</w:t>
      </w:r>
      <w:r>
        <w:rPr>
          <w:rStyle w:val="optioncarChar"/>
        </w:rPr>
        <w:t xml:space="preserve"> / au label EMICODE EC 2 / ***.</w:t>
      </w:r>
    </w:p>
    <w:p w14:paraId="3A6D5612" w14:textId="77777777" w:rsidR="00DB2B68" w:rsidRDefault="00000000">
      <w:pPr>
        <w:pStyle w:val="pheading"/>
      </w:pPr>
      <w:r>
        <w:t>EXÉCUTION / MISE EN ŒUVRE</w:t>
      </w:r>
    </w:p>
    <w:p w14:paraId="0F8BBF38" w14:textId="77777777" w:rsidR="00DB2B68" w:rsidRDefault="00000000">
      <w:pPr>
        <w:pStyle w:val="pheading"/>
      </w:pPr>
      <w:r>
        <w:t>- Prescriptions générales</w:t>
      </w:r>
    </w:p>
    <w:p w14:paraId="7F33702D" w14:textId="77777777" w:rsidR="00DB2B68" w:rsidRDefault="00000000">
      <w:pPr>
        <w:jc w:val="both"/>
      </w:pPr>
      <w:r>
        <w:t>Les sections de l’ossature préfabriquée et les modes de jonctions de ces parois font l’objet d’une validation par un bureau d’ingénieur.</w:t>
      </w:r>
    </w:p>
    <w:p w14:paraId="73636E53" w14:textId="77777777" w:rsidR="00DB2B68" w:rsidRDefault="00000000">
      <w:pPr>
        <w:jc w:val="both"/>
      </w:pPr>
      <w:r>
        <w:t>Tous les assemblages mécaniques structuraux sont dimensionnés selon les principes de l’Eurocode 5 [NBN EN 1995-1-1].</w:t>
      </w:r>
    </w:p>
    <w:p w14:paraId="488C4948" w14:textId="77777777" w:rsidR="00DB2B68" w:rsidRDefault="00000000">
      <w:pPr>
        <w:jc w:val="both"/>
      </w:pPr>
      <w:r>
        <w:t>Sauf indication contraire, tous les bâtiments ou parties de bâtiments construits en bois doivent respecter les tolérances de mise en œuvre énoncées dans la [STS 23-1].</w:t>
      </w:r>
    </w:p>
    <w:p w14:paraId="48E434FC" w14:textId="77777777" w:rsidR="00DB2B68" w:rsidRDefault="00000000">
      <w:pPr>
        <w:jc w:val="both"/>
      </w:pPr>
      <w:r>
        <w:lastRenderedPageBreak/>
        <w:t>Dans le cas d’un bâtiment bas (H&lt;10) en ossature bois, les tolérances de mise en œuvre listées dans la [STS 23-1] doivent aussi être respectées.</w:t>
      </w:r>
    </w:p>
    <w:p w14:paraId="75D17B9D" w14:textId="77777777" w:rsidR="00DB2B68" w:rsidRDefault="00000000">
      <w:pPr>
        <w:jc w:val="both"/>
      </w:pPr>
      <w:r>
        <w:t>Les faces de la cloison sont protégées pour permettre le transport de l’élément préfabriqué.</w:t>
      </w:r>
    </w:p>
    <w:p w14:paraId="00802E99" w14:textId="77777777" w:rsidR="00DB2B68" w:rsidRDefault="00000000">
      <w:pPr>
        <w:jc w:val="both"/>
      </w:pPr>
      <w:r>
        <w:rPr>
          <w:b/>
        </w:rPr>
        <w:t>Pare-vapeur – frein vapeur</w:t>
      </w:r>
    </w:p>
    <w:p w14:paraId="50886119" w14:textId="77777777" w:rsidR="00DB2B68" w:rsidRDefault="00000000">
      <w:pPr>
        <w:jc w:val="both"/>
      </w:pPr>
      <w:r>
        <w:t>La continuité d’étanchéité est assurée par</w:t>
      </w:r>
      <w:r>
        <w:rPr>
          <w:rStyle w:val="optioncarChar"/>
        </w:rPr>
        <w:t xml:space="preserve"> bandes adhésives </w:t>
      </w:r>
      <w:r>
        <w:t>(par défaut)</w:t>
      </w:r>
      <w:r>
        <w:rPr>
          <w:rStyle w:val="optioncarChar"/>
        </w:rPr>
        <w:t xml:space="preserve"> / mousse comprimée / mastics de resserrage / préformé d’étanchéité / ***.</w:t>
      </w:r>
    </w:p>
    <w:p w14:paraId="1B01DACC" w14:textId="77777777" w:rsidR="00DB2B68" w:rsidRDefault="00000000">
      <w:pPr>
        <w:jc w:val="both"/>
      </w:pPr>
      <w:r>
        <w:t>Pour le descriptif des bandes adhésive, voir article 32.23.1c Bandes adhésives d'étanchéité à l'air et à la vapeur en polyéthylène</w:t>
      </w:r>
    </w:p>
    <w:p w14:paraId="31337377" w14:textId="77777777" w:rsidR="00DB2B68" w:rsidRDefault="00000000">
      <w:pPr>
        <w:jc w:val="both"/>
      </w:pPr>
      <w:r>
        <w:rPr>
          <w:b/>
        </w:rPr>
        <w:t>Assemblages</w:t>
      </w:r>
    </w:p>
    <w:p w14:paraId="1DE16E48" w14:textId="77777777" w:rsidR="00DB2B68" w:rsidRDefault="00000000">
      <w:pPr>
        <w:jc w:val="both"/>
      </w:pPr>
      <w:r>
        <w:t xml:space="preserve">Les organes d’assemblage sont conformes aux prescriptions de la [NBN EN 14592]. L’entraxe des organes d’assemblage est de </w:t>
      </w:r>
      <w:r>
        <w:rPr>
          <w:rStyle w:val="optioncarChar"/>
        </w:rPr>
        <w:t>30 / 60</w:t>
      </w:r>
      <w:r>
        <w:t xml:space="preserve"> (par défaut)</w:t>
      </w:r>
      <w:r>
        <w:rPr>
          <w:rStyle w:val="optioncarChar"/>
        </w:rPr>
        <w:t xml:space="preserve"> / ***</w:t>
      </w:r>
      <w:r>
        <w:t xml:space="preserve"> cm</w:t>
      </w:r>
    </w:p>
    <w:p w14:paraId="6C506FA9" w14:textId="77777777" w:rsidR="00DB2B68" w:rsidRDefault="0000000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r>
        <w:t>.</w:t>
      </w:r>
    </w:p>
    <w:p w14:paraId="64D88660" w14:textId="77777777" w:rsidR="00DB2B68" w:rsidRDefault="00000000">
      <w:pPr>
        <w:jc w:val="both"/>
      </w:pPr>
      <w:r>
        <w:rPr>
          <w:b/>
        </w:rPr>
        <w:t xml:space="preserve"> Fixation en pied de mur </w:t>
      </w:r>
    </w:p>
    <w:p w14:paraId="61A804F0" w14:textId="77777777" w:rsidR="00DB2B68" w:rsidRDefault="00000000">
      <w:pPr>
        <w:jc w:val="both"/>
      </w:pPr>
      <w:r>
        <w:t xml:space="preserve">Le caisson est fixé </w:t>
      </w:r>
      <w:r>
        <w:rPr>
          <w:rStyle w:val="optioncarChar"/>
        </w:rPr>
        <w:t xml:space="preserve">par l’intermédiaire d’une lisse basse </w:t>
      </w:r>
      <w:r>
        <w:t>(par défaut)</w:t>
      </w:r>
      <w:r>
        <w:rPr>
          <w:rStyle w:val="optioncarChar"/>
        </w:rPr>
        <w:t xml:space="preserve"> / par dispositifs d’ancrage ponctuels sur le gros œuvre existant / ***.</w:t>
      </w:r>
    </w:p>
    <w:p w14:paraId="05D252E4" w14:textId="77777777" w:rsidR="00DB2B68" w:rsidRDefault="00000000">
      <w:pPr>
        <w:ind w:left="567"/>
        <w:jc w:val="both"/>
      </w:pPr>
      <w:r>
        <w:rPr>
          <w:b/>
          <w:i/>
        </w:rPr>
        <w:t>(Soit par défaut)</w:t>
      </w:r>
    </w:p>
    <w:p w14:paraId="70C2B749" w14:textId="77777777" w:rsidR="00DB2B68" w:rsidRDefault="00000000">
      <w:pPr>
        <w:ind w:left="567"/>
        <w:jc w:val="both"/>
      </w:pPr>
      <w:r>
        <w:rPr>
          <w:rStyle w:val="soitChar"/>
          <w:u w:val="single"/>
        </w:rPr>
        <w:t>La lisse basse</w:t>
      </w:r>
      <w:r>
        <w:rPr>
          <w:rStyle w:val="soitChar"/>
        </w:rPr>
        <w:t xml:space="preserve"> est fixée par </w:t>
      </w:r>
      <w:r>
        <w:rPr>
          <w:rStyle w:val="optioncarChar"/>
        </w:rPr>
        <w:t xml:space="preserve">cheville métallique </w:t>
      </w:r>
      <w:r>
        <w:t>(par défaut)</w:t>
      </w:r>
      <w:r>
        <w:rPr>
          <w:rStyle w:val="optioncarChar"/>
        </w:rPr>
        <w:t xml:space="preserve"> / vis spécifique béton / tiges filetées et ancrages chimiques / équerres de fixation / ***</w:t>
      </w:r>
      <w:r>
        <w:rPr>
          <w:rStyle w:val="soitChar"/>
        </w:rPr>
        <w:t xml:space="preserve">. La lisse basse ou lisse de pose est décrite dans l’article </w:t>
      </w:r>
      <w:hyperlink w:anchor="592" w:history="1">
        <w:r>
          <w:rPr>
            <w:rStyle w:val="soitChar"/>
            <w:color w:val="0000EE"/>
          </w:rPr>
          <w:t>24.11.1a Lisses de pose en bois massif</w:t>
        </w:r>
      </w:hyperlink>
      <w:r>
        <w:rPr>
          <w:rStyle w:val="soitChar"/>
        </w:rPr>
        <w:t>.</w:t>
      </w:r>
    </w:p>
    <w:p w14:paraId="78FE7024" w14:textId="77777777" w:rsidR="00DB2B68" w:rsidRDefault="00000000">
      <w:pPr>
        <w:ind w:left="567"/>
        <w:jc w:val="both"/>
      </w:pPr>
      <w:r>
        <w:rPr>
          <w:b/>
          <w:i/>
        </w:rPr>
        <w:t>(Soit)</w:t>
      </w:r>
    </w:p>
    <w:p w14:paraId="54210266" w14:textId="77777777" w:rsidR="00DB2B68" w:rsidRDefault="0000000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tire-fond (par défaut) / tige filetée</w:t>
      </w:r>
      <w:r>
        <w:t>  </w:t>
      </w:r>
      <w:r>
        <w:rPr>
          <w:rStyle w:val="soitChar"/>
        </w:rPr>
        <w:t xml:space="preserve">à une distance supérieure à </w:t>
      </w:r>
      <w:r>
        <w:rPr>
          <w:rStyle w:val="optioncarChar"/>
        </w:rPr>
        <w:t xml:space="preserve">50 </w:t>
      </w:r>
      <w:r>
        <w:t xml:space="preserve">(par défaut) </w:t>
      </w:r>
      <w:r>
        <w:rPr>
          <w:rStyle w:val="optioncarChar"/>
        </w:rPr>
        <w:t>/ ***</w:t>
      </w:r>
      <w:r>
        <w:rPr>
          <w:rStyle w:val="soitChar"/>
        </w:rPr>
        <w:t xml:space="preserve"> mm de bord du caisson. </w:t>
      </w:r>
    </w:p>
    <w:p w14:paraId="1165DD7F" w14:textId="77777777" w:rsidR="00DB2B68" w:rsidRDefault="00000000">
      <w:pPr>
        <w:ind w:left="567"/>
        <w:jc w:val="both"/>
      </w:pPr>
      <w:r>
        <w:rPr>
          <w:b/>
          <w:i/>
        </w:rPr>
        <w:t>(Soit)</w:t>
      </w:r>
    </w:p>
    <w:p w14:paraId="0BEF0DD5" w14:textId="77777777" w:rsidR="00DB2B68" w:rsidRDefault="00000000">
      <w:pPr>
        <w:ind w:left="567"/>
        <w:jc w:val="both"/>
      </w:pPr>
      <w:r>
        <w:rPr>
          <w:rStyle w:val="optioncarChar"/>
        </w:rPr>
        <w:t>***</w:t>
      </w:r>
    </w:p>
    <w:p w14:paraId="6CF25CCC" w14:textId="77777777" w:rsidR="00DB2B68" w:rsidRDefault="00000000">
      <w:pPr>
        <w:jc w:val="both"/>
      </w:pPr>
      <w:r>
        <w:t xml:space="preserve">L’assemblage de pied de paroi est muni d’une bande d’arase en </w:t>
      </w:r>
      <w:r>
        <w:rPr>
          <w:rStyle w:val="optioncarChar"/>
        </w:rPr>
        <w:t xml:space="preserve">membrane élastomère </w:t>
      </w:r>
      <w:r>
        <w:t xml:space="preserve">(par défaut) </w:t>
      </w:r>
      <w:r>
        <w:rPr>
          <w:rStyle w:val="optioncarChar"/>
        </w:rPr>
        <w:t>/ membrane bitumineuse / membrane à base butyle / membrane polypropylène / ***.</w:t>
      </w:r>
    </w:p>
    <w:p w14:paraId="28DEF5B2" w14:textId="77777777" w:rsidR="00DB2B68" w:rsidRDefault="00000000">
      <w:pPr>
        <w:jc w:val="both"/>
      </w:pPr>
      <w:r>
        <w:rPr>
          <w:b/>
        </w:rPr>
        <w:t>Fixation entre caissons de même plan</w:t>
      </w:r>
    </w:p>
    <w:p w14:paraId="0C84839C" w14:textId="77777777" w:rsidR="00DB2B68" w:rsidRDefault="00000000">
      <w:pPr>
        <w:jc w:val="both"/>
      </w:pPr>
      <w:r>
        <w:t xml:space="preserve">L’assemblage est réalisé par </w:t>
      </w:r>
      <w:r>
        <w:rPr>
          <w:rStyle w:val="optioncarChar"/>
        </w:rPr>
        <w:t xml:space="preserve">tire-fond </w:t>
      </w:r>
      <w:r>
        <w:t>(par défaut)</w:t>
      </w:r>
      <w:r>
        <w:rPr>
          <w:rStyle w:val="optioncarChar"/>
        </w:rPr>
        <w:t xml:space="preserve">  / plats métallique / profilés collaborant / ***.</w:t>
      </w:r>
    </w:p>
    <w:p w14:paraId="52B9B842" w14:textId="77777777" w:rsidR="00DB2B68" w:rsidRDefault="00000000">
      <w:pPr>
        <w:jc w:val="both"/>
      </w:pPr>
      <w:r>
        <w:rPr>
          <w:b/>
        </w:rPr>
        <w:t>Assemblage d’angles</w:t>
      </w:r>
    </w:p>
    <w:p w14:paraId="39DEABD8" w14:textId="77777777" w:rsidR="00DB2B68" w:rsidRDefault="00000000">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gros œuvre existant / ***.</w:t>
      </w:r>
    </w:p>
    <w:p w14:paraId="2E735E94" w14:textId="77777777" w:rsidR="00DB2B68" w:rsidRDefault="00000000">
      <w:pPr>
        <w:ind w:left="567"/>
        <w:jc w:val="both"/>
      </w:pPr>
      <w:r>
        <w:rPr>
          <w:b/>
          <w:i/>
        </w:rPr>
        <w:t>(Soit par défaut)</w:t>
      </w:r>
    </w:p>
    <w:p w14:paraId="1B0016D4" w14:textId="77777777" w:rsidR="00DB2B68" w:rsidRDefault="00000000">
      <w:pPr>
        <w:ind w:left="567"/>
        <w:jc w:val="both"/>
      </w:pPr>
      <w:r>
        <w:rPr>
          <w:rStyle w:val="soitChar"/>
          <w:u w:val="single"/>
        </w:rPr>
        <w:t>Vis traversante</w:t>
      </w:r>
      <w:r>
        <w:rPr>
          <w:rStyle w:val="soitChar"/>
        </w:rPr>
        <w:t xml:space="preserve"> : La fixation de type tire-fond est appliquée sur le montant intérieur du caisson à assembler ou par fixations inclinées. Le nombre de fixations et les sections répondent au dimensionnement selon la [NBN EN 1995 série].</w:t>
      </w:r>
    </w:p>
    <w:p w14:paraId="6D788C4B" w14:textId="77777777" w:rsidR="00DB2B68" w:rsidRDefault="00000000">
      <w:pPr>
        <w:ind w:left="567"/>
        <w:jc w:val="both"/>
      </w:pPr>
      <w:r>
        <w:rPr>
          <w:b/>
          <w:i/>
        </w:rPr>
        <w:t>(Soit)</w:t>
      </w:r>
    </w:p>
    <w:p w14:paraId="44AB0BD0" w14:textId="77777777" w:rsidR="00DB2B68" w:rsidRDefault="00000000">
      <w:pPr>
        <w:ind w:left="567"/>
        <w:jc w:val="both"/>
      </w:pPr>
      <w:r>
        <w:rPr>
          <w:rStyle w:val="soitChar"/>
          <w:u w:val="single"/>
        </w:rPr>
        <w:t>Dispositifs d’ancrage ponctuels</w:t>
      </w:r>
      <w:r>
        <w:rPr>
          <w:rStyle w:val="soitChar"/>
        </w:rPr>
        <w:t xml:space="preserve"> : Les dispositifs de fixation sont des </w:t>
      </w:r>
      <w:r>
        <w:rPr>
          <w:rStyle w:val="optioncarChar"/>
        </w:rPr>
        <w:t>équerres métalliques</w:t>
      </w:r>
      <w:r>
        <w:t xml:space="preserve"> (par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 xml:space="preserve">tire-fond </w:t>
      </w:r>
      <w:r>
        <w:t xml:space="preserve">(par défaut) </w:t>
      </w:r>
      <w:r>
        <w:rPr>
          <w:rStyle w:val="optioncarChar"/>
        </w:rPr>
        <w:t>/ tige filetée</w:t>
      </w:r>
      <w:r>
        <w:t>  </w:t>
      </w:r>
      <w:r>
        <w:rPr>
          <w:rStyle w:val="soitChar"/>
        </w:rPr>
        <w:t xml:space="preserve">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14:paraId="70F0FA0F" w14:textId="77777777" w:rsidR="00DB2B68" w:rsidRDefault="00000000">
      <w:pPr>
        <w:ind w:left="567"/>
        <w:jc w:val="both"/>
      </w:pPr>
      <w:r>
        <w:rPr>
          <w:b/>
          <w:i/>
        </w:rPr>
        <w:t>(Soit)</w:t>
      </w:r>
    </w:p>
    <w:p w14:paraId="67B606EF" w14:textId="77777777" w:rsidR="00DB2B68" w:rsidRDefault="00000000">
      <w:pPr>
        <w:ind w:left="567"/>
        <w:jc w:val="both"/>
      </w:pPr>
      <w:r>
        <w:rPr>
          <w:rStyle w:val="optioncarChar"/>
        </w:rPr>
        <w:t>***</w:t>
      </w:r>
    </w:p>
    <w:p w14:paraId="4D34F7D5" w14:textId="77777777" w:rsidR="00DB2B68" w:rsidRDefault="00000000">
      <w:pPr>
        <w:jc w:val="both"/>
      </w:pPr>
      <w:r>
        <w:lastRenderedPageBreak/>
        <w:t> </w:t>
      </w:r>
    </w:p>
    <w:p w14:paraId="04148DA2" w14:textId="77777777" w:rsidR="00DB2B68" w:rsidRDefault="0000000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238A3EDE" w14:textId="77777777" w:rsidR="00DB2B68" w:rsidRDefault="00000000">
      <w:pPr>
        <w:jc w:val="both"/>
      </w:pPr>
      <w:r>
        <w:t xml:space="preserve">Les dispositifs d’ancrage sont décrits dans les éléments du </w:t>
      </w:r>
      <w:hyperlink w:anchor="585" w:history="1">
        <w:r>
          <w:rPr>
            <w:color w:val="0000EE"/>
          </w:rPr>
          <w:t>24.4 Assemblages</w:t>
        </w:r>
      </w:hyperlink>
      <w:r>
        <w:t xml:space="preserve"> mais la fourniture et la pose sont comprises dans le présent travail.</w:t>
      </w:r>
    </w:p>
    <w:p w14:paraId="099A9B46" w14:textId="77777777" w:rsidR="00DB2B68" w:rsidRDefault="00DB2B68"/>
    <w:p w14:paraId="0B4390FE" w14:textId="77777777" w:rsidR="00DB2B68" w:rsidRDefault="00000000">
      <w:pPr>
        <w:jc w:val="both"/>
      </w:pPr>
      <w:r>
        <w:rPr>
          <w:b/>
        </w:rPr>
        <w:t>Travaux préalables :  HVAC - Sanitaires - Electricité</w:t>
      </w:r>
    </w:p>
    <w:p w14:paraId="3A1E1B78" w14:textId="77777777" w:rsidR="00DB2B68" w:rsidRDefault="00000000">
      <w:pPr>
        <w:jc w:val="both"/>
      </w:pPr>
      <w:r>
        <w:t xml:space="preserve">Les travaux comprennent dans la réalisation de la paroi le forage et le défonçage (fraisage) et éléments nécessaires aux travaux des installations HVAC, sanitaires et électriques : </w:t>
      </w:r>
      <w:r>
        <w:rPr>
          <w:rStyle w:val="optioncarChar"/>
        </w:rPr>
        <w:t xml:space="preserve">non </w:t>
      </w:r>
      <w:r>
        <w:t xml:space="preserve">(par défaut) </w:t>
      </w:r>
      <w:r>
        <w:rPr>
          <w:rStyle w:val="optioncarChar"/>
        </w:rPr>
        <w:t>/ oui</w:t>
      </w:r>
    </w:p>
    <w:p w14:paraId="3010911A" w14:textId="77777777" w:rsidR="00DB2B68" w:rsidRDefault="00000000">
      <w:pPr>
        <w:ind w:left="567"/>
        <w:jc w:val="both"/>
      </w:pPr>
      <w:r>
        <w:rPr>
          <w:b/>
          <w:i/>
        </w:rPr>
        <w:t>(Soit par défaut)</w:t>
      </w:r>
    </w:p>
    <w:p w14:paraId="069B695E" w14:textId="77777777" w:rsidR="00DB2B68" w:rsidRDefault="00000000">
      <w:pPr>
        <w:ind w:left="567"/>
        <w:jc w:val="both"/>
      </w:pPr>
      <w:r>
        <w:rPr>
          <w:rStyle w:val="soitChar"/>
          <w:u w:val="single"/>
        </w:rPr>
        <w:t>Non :</w:t>
      </w:r>
      <w:r>
        <w:rPr>
          <w:rStyle w:val="soitChar"/>
        </w:rPr>
        <w:t xml:space="preserve"> Les travaux ne comprennent aucun élément en préfabrication en vue de la réalisation des travaux HVAC, sanitaires et électriques. Les travaux s’y référant sont décrits dans le 6 T6 HVAC - sanitaires et 7 T7 Electricité et sont réalisés a posteriori.</w:t>
      </w:r>
    </w:p>
    <w:p w14:paraId="1325E33D" w14:textId="77777777" w:rsidR="00DB2B68" w:rsidRDefault="00000000">
      <w:pPr>
        <w:ind w:left="567"/>
        <w:jc w:val="both"/>
      </w:pPr>
      <w:r>
        <w:rPr>
          <w:b/>
          <w:i/>
        </w:rPr>
        <w:t>(Soit)</w:t>
      </w:r>
    </w:p>
    <w:p w14:paraId="2F8B5575" w14:textId="77777777" w:rsidR="00DB2B68" w:rsidRDefault="00000000">
      <w:pPr>
        <w:ind w:left="567"/>
        <w:jc w:val="both"/>
      </w:pPr>
      <w:r>
        <w:rPr>
          <w:rStyle w:val="soitChar"/>
          <w:u w:val="single"/>
        </w:rPr>
        <w:t>Oui :</w:t>
      </w:r>
      <w:r>
        <w:rPr>
          <w:rStyle w:val="soitChar"/>
        </w:rPr>
        <w:t xml:space="preserve"> Les travaux comprennent dans la réalisation de la paroi, en préfabrication, le forage et le défonçage (fraisage) et éléments nécessaires aux travaux des installations HVAC, sanitaires et électriques. Les travaux s’y référant sont décrits dans le 6 T6 HVAC - sanitaires et 7 T7 Electricité.  </w:t>
      </w:r>
    </w:p>
    <w:p w14:paraId="0F5A291F" w14:textId="77777777" w:rsidR="00DB2B68" w:rsidRDefault="00000000">
      <w:pPr>
        <w:pStyle w:val="pheading"/>
      </w:pPr>
      <w:r>
        <w:t>- Notes d’exécution complémentaires</w:t>
      </w:r>
    </w:p>
    <w:p w14:paraId="10E845E8" w14:textId="77777777" w:rsidR="00DB2B68" w:rsidRDefault="00000000">
      <w:pPr>
        <w:jc w:val="both"/>
      </w:pPr>
      <w:r>
        <w:rPr>
          <w:rStyle w:val="facultChar"/>
        </w:rPr>
        <w:t>Tous les assemblages mécaniques structuraux sont dimensionnés selon les principes de l’Eurocode 5 [NBN EN 1995-1-1] et de sa partie feu [NBN EN 1995-1-2].</w:t>
      </w:r>
    </w:p>
    <w:p w14:paraId="39CE9F3C" w14:textId="77777777" w:rsidR="00DB2B68" w:rsidRDefault="00000000">
      <w:pPr>
        <w:pStyle w:val="pheading"/>
      </w:pPr>
      <w:r>
        <w:t>CONTRÔLES PARTICULIERS</w:t>
      </w:r>
    </w:p>
    <w:p w14:paraId="46BFA55A" w14:textId="77777777" w:rsidR="00DB2B68" w:rsidRDefault="00000000">
      <w:pPr>
        <w:jc w:val="both"/>
      </w:pPr>
      <w:r>
        <w:t>Le contrôle de la qualité du séchage d’un lot de bois scié se fait selon la [NBN EN 14298].</w:t>
      </w:r>
    </w:p>
    <w:p w14:paraId="41373E65" w14:textId="77777777" w:rsidR="00DB2B68" w:rsidRDefault="00000000">
      <w:pPr>
        <w:pStyle w:val="pheading"/>
      </w:pPr>
      <w:r>
        <w:t>DOCUMENTS DE RÉFÉRENCE COMPLÉMENTAIRES</w:t>
      </w:r>
    </w:p>
    <w:p w14:paraId="7F617437" w14:textId="77777777" w:rsidR="00DB2B68" w:rsidRDefault="00000000">
      <w:pPr>
        <w:pStyle w:val="pheading"/>
      </w:pPr>
      <w:r>
        <w:t>- Matériau</w:t>
      </w:r>
    </w:p>
    <w:p w14:paraId="58B465C7" w14:textId="77777777" w:rsidR="00DB2B68" w:rsidRDefault="00000000">
      <w:r>
        <w:t>[NBN EN 14081 série, Structures en bois - Bois de structure à section rectangulaire classé pour sa résistance]</w:t>
      </w:r>
    </w:p>
    <w:p w14:paraId="1BB1709E" w14:textId="77777777" w:rsidR="00DB2B68" w:rsidRDefault="00000000">
      <w:r>
        <w:t>[NBN EN 15497, Bois massif de structure à entures multiples - Exigences de performances et exigences minimales de fabrication]</w:t>
      </w:r>
    </w:p>
    <w:p w14:paraId="013A1167" w14:textId="77777777" w:rsidR="00DB2B68" w:rsidRDefault="00000000">
      <w:r>
        <w:t>[NBN EN 14080, Structures en bois - Bois lamellé collé et bois massif reconstitué - Exigences]</w:t>
      </w:r>
    </w:p>
    <w:p w14:paraId="2BBA5225" w14:textId="77777777" w:rsidR="00DB2B68" w:rsidRDefault="00000000">
      <w:r>
        <w:t>[NBN EN 335, Durabilité du bois et des matériaux à base de bois - Classes d'emploi: définitions, application au bois massif et aux matériaux à base de bois]</w:t>
      </w:r>
    </w:p>
    <w:p w14:paraId="25EE11FD"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934CCE6" w14:textId="77777777" w:rsidR="00DB2B68" w:rsidRDefault="00000000">
      <w:r>
        <w:t>[NBN EN 13171+A1, Produits isolants thermiques pour le bâtiment - Produits manufacturés en fibres de bois (WF) - Spécification]</w:t>
      </w:r>
    </w:p>
    <w:p w14:paraId="39A5554E" w14:textId="77777777" w:rsidR="00DB2B68" w:rsidRDefault="00000000">
      <w:r>
        <w:t>[NBN EN 13986+A1, Panneaux à base de bois destinés à la construction - Caractéristiques, évaluation de conformité et marquage]</w:t>
      </w:r>
    </w:p>
    <w:p w14:paraId="16C666E8" w14:textId="77777777" w:rsidR="00DB2B68" w:rsidRDefault="00000000">
      <w:r>
        <w:t>[NBN EN 12086, Produits isolants thermiques destinés aux applications du bâtiment - Détermination des propriétés de transmission de la vapeur d'eau]</w:t>
      </w:r>
    </w:p>
    <w:p w14:paraId="54669664" w14:textId="77777777" w:rsidR="00DB2B68" w:rsidRDefault="00000000">
      <w:r>
        <w:t>[NBN EN 310, Panneaux à base de bois - Détermination du module d'élasticité en flexion et de la résistance à la flexion]</w:t>
      </w:r>
    </w:p>
    <w:p w14:paraId="7EA4586F" w14:textId="77777777" w:rsidR="00DB2B68" w:rsidRDefault="00000000">
      <w:r>
        <w:t>[NBN EN 312, Panneaux de particules - Exigences]</w:t>
      </w:r>
    </w:p>
    <w:p w14:paraId="01E19FED" w14:textId="77777777" w:rsidR="00DB2B68" w:rsidRDefault="00000000">
      <w:r>
        <w:lastRenderedPageBreak/>
        <w:t>[NBN EN 319, Panneaux de particules et panneaux de fibres - Détermination de la résistance à la traction perpendiculaire aux faces du panneau]</w:t>
      </w:r>
    </w:p>
    <w:p w14:paraId="47C0F57A" w14:textId="77777777" w:rsidR="00DB2B68" w:rsidRDefault="00000000">
      <w:r>
        <w:t>[NBN EN ISO 10456, Matériaux et produits pour le bâtiment - Propriétés hygrothermiques - Valeurs utiles tabulées et procédures pour la détermination des valeurs thermiques déclarées et utiles (ISO 10456:2007)) (+AC:2009)]</w:t>
      </w:r>
    </w:p>
    <w:p w14:paraId="509633DF" w14:textId="77777777" w:rsidR="00DB2B68" w:rsidRDefault="00000000">
      <w:r>
        <w:t>[NBN EN 335, Durabilité du bois et des matériaux à base de bois - Classes d'emploi: définitions, application au bois massif et aux matériaux à base de bois] </w:t>
      </w:r>
    </w:p>
    <w:p w14:paraId="2D50C7BB"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F0B22FC"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949CD0D" w14:textId="77777777" w:rsidR="00DB2B68" w:rsidRDefault="00000000">
      <w:pPr>
        <w:pStyle w:val="pheading"/>
      </w:pPr>
      <w:r>
        <w:t>- Exécution</w:t>
      </w:r>
    </w:p>
    <w:p w14:paraId="5F4C4BB4" w14:textId="77777777" w:rsidR="00DB2B68" w:rsidRDefault="00000000">
      <w:r>
        <w:t>[NBN EN 1995 série, Eurocode 5: Conception et calcul des structures en bois]</w:t>
      </w:r>
    </w:p>
    <w:p w14:paraId="0D012C62" w14:textId="77777777" w:rsidR="00DB2B68" w:rsidRDefault="00000000">
      <w:r>
        <w:t>[STS 31, Charpenterie]</w:t>
      </w:r>
    </w:p>
    <w:p w14:paraId="011065FA" w14:textId="77777777" w:rsidR="00DB2B68" w:rsidRDefault="00000000">
      <w:r>
        <w:t>[STS 23-1, Constructions en ossature bois]</w:t>
      </w:r>
    </w:p>
    <w:p w14:paraId="6D24C809" w14:textId="77777777" w:rsidR="00DB2B68" w:rsidRDefault="00000000">
      <w:r>
        <w:t>[NBN EN 14298, Bois scié - Estimation de la qualité du séchage]</w:t>
      </w:r>
    </w:p>
    <w:p w14:paraId="371B0585" w14:textId="77777777" w:rsidR="00DB2B68" w:rsidRDefault="00000000">
      <w:pPr>
        <w:pStyle w:val="pheading"/>
      </w:pPr>
      <w:r>
        <w:t>MESURAGE</w:t>
      </w:r>
    </w:p>
    <w:p w14:paraId="22AF9543" w14:textId="77777777" w:rsidR="00DB2B68" w:rsidRDefault="00000000">
      <w:pPr>
        <w:pStyle w:val="pheading"/>
      </w:pPr>
      <w:r>
        <w:t>- unité de mesure:</w:t>
      </w:r>
    </w:p>
    <w:p w14:paraId="44FDEBEE" w14:textId="77777777" w:rsidR="00DB2B68" w:rsidRDefault="00000000">
      <w:r>
        <w:rPr>
          <w:rStyle w:val="optioncarChar"/>
        </w:rPr>
        <w:t xml:space="preserve">m² </w:t>
      </w:r>
      <w:r>
        <w:t xml:space="preserve">(par défaut) </w:t>
      </w:r>
      <w:r>
        <w:rPr>
          <w:rStyle w:val="optioncarChar"/>
        </w:rPr>
        <w:t>/ m³</w:t>
      </w:r>
    </w:p>
    <w:p w14:paraId="5C50D2F7" w14:textId="77777777" w:rsidR="00DB2B68" w:rsidRDefault="00000000">
      <w:r>
        <w:rPr>
          <w:b/>
          <w:i/>
        </w:rPr>
        <w:t>(Soit par défaut)</w:t>
      </w:r>
    </w:p>
    <w:p w14:paraId="23BA2ED7" w14:textId="77777777" w:rsidR="00DB2B68" w:rsidRDefault="00000000">
      <w:r>
        <w:rPr>
          <w:rStyle w:val="soitChar"/>
        </w:rPr>
        <w:t>1. m²</w:t>
      </w:r>
    </w:p>
    <w:p w14:paraId="38A3B12B" w14:textId="77777777" w:rsidR="00DB2B68" w:rsidRDefault="00000000">
      <w:r>
        <w:rPr>
          <w:b/>
          <w:i/>
        </w:rPr>
        <w:t>(Soit)</w:t>
      </w:r>
    </w:p>
    <w:p w14:paraId="7AD087E6" w14:textId="77777777" w:rsidR="00DB2B68" w:rsidRDefault="00000000">
      <w:r>
        <w:rPr>
          <w:rStyle w:val="soitChar"/>
        </w:rPr>
        <w:t>2. m³</w:t>
      </w:r>
    </w:p>
    <w:p w14:paraId="2CFA751F" w14:textId="77777777" w:rsidR="00DB2B68" w:rsidRDefault="00000000">
      <w:pPr>
        <w:pStyle w:val="pheading"/>
      </w:pPr>
      <w:r>
        <w:t>- code de mesurage:</w:t>
      </w:r>
    </w:p>
    <w:p w14:paraId="1F6BF5C3" w14:textId="77777777" w:rsidR="00DB2B68" w:rsidRDefault="00000000">
      <w:pPr>
        <w:jc w:val="both"/>
      </w:pPr>
      <w:r>
        <w:rPr>
          <w:rStyle w:val="optioncarChar"/>
        </w:rPr>
        <w:t xml:space="preserve">Surface nette </w:t>
      </w:r>
      <w:r>
        <w:t>(par défaut)</w:t>
      </w:r>
      <w:r>
        <w:rPr>
          <w:rStyle w:val="optioncarChar"/>
        </w:rPr>
        <w:t xml:space="preserve"> / Volume net</w:t>
      </w:r>
    </w:p>
    <w:p w14:paraId="0BC008F8" w14:textId="77777777" w:rsidR="00DB2B68" w:rsidRDefault="00000000">
      <w:pPr>
        <w:jc w:val="both"/>
      </w:pPr>
      <w:r>
        <w:rPr>
          <w:b/>
          <w:i/>
        </w:rPr>
        <w:t>(Soit par défaut)</w:t>
      </w:r>
    </w:p>
    <w:p w14:paraId="6124BE60" w14:textId="77777777" w:rsidR="00DB2B68" w:rsidRDefault="00000000">
      <w:pPr>
        <w:jc w:val="both"/>
      </w:pPr>
      <w:r>
        <w:rPr>
          <w:rStyle w:val="soitChar"/>
        </w:rPr>
        <w:t xml:space="preserve">1. </w:t>
      </w:r>
      <w:r>
        <w:rPr>
          <w:rStyle w:val="soitChar"/>
          <w:u w:val="single"/>
        </w:rPr>
        <w:t>Surface nette</w:t>
      </w:r>
      <w:r>
        <w:rPr>
          <w:rStyle w:val="soitChar"/>
        </w:rPr>
        <w:t xml:space="preserve"> : Longueur x Largeur de la paroi selon les plans. Déduction faite des vides de plus de 0.5 m².</w:t>
      </w:r>
    </w:p>
    <w:p w14:paraId="59A85020" w14:textId="77777777" w:rsidR="00DB2B68" w:rsidRDefault="00000000">
      <w:pPr>
        <w:jc w:val="both"/>
      </w:pPr>
      <w:r>
        <w:rPr>
          <w:b/>
          <w:i/>
        </w:rPr>
        <w:t>(Soit)</w:t>
      </w:r>
    </w:p>
    <w:p w14:paraId="2916C101" w14:textId="77777777" w:rsidR="00DB2B68" w:rsidRDefault="00000000">
      <w:pPr>
        <w:jc w:val="both"/>
      </w:pPr>
      <w:r>
        <w:rPr>
          <w:rStyle w:val="soitChar"/>
        </w:rPr>
        <w:t xml:space="preserve">2. </w:t>
      </w:r>
      <w:r>
        <w:rPr>
          <w:rStyle w:val="soitChar"/>
          <w:u w:val="single"/>
        </w:rPr>
        <w:t>Volume net</w:t>
      </w:r>
      <w:r>
        <w:rPr>
          <w:rStyle w:val="soitChar"/>
        </w:rPr>
        <w:t xml:space="preserve"> : Volume net des parois selon les plans. Il n’est pas fait de déduction de volume pour les réservations, écarteurs, etc. si ce volume est inférieur à 0,05 m³.</w:t>
      </w:r>
    </w:p>
    <w:p w14:paraId="68F713FC" w14:textId="77777777" w:rsidR="00DB2B68" w:rsidRDefault="00000000">
      <w:pPr>
        <w:pStyle w:val="pheading"/>
      </w:pPr>
      <w:r>
        <w:t>- nature du marché:</w:t>
      </w:r>
    </w:p>
    <w:p w14:paraId="69C69578" w14:textId="77777777" w:rsidR="00DB2B68" w:rsidRDefault="00000000">
      <w:r>
        <w:rPr>
          <w:rStyle w:val="optioncarChar"/>
        </w:rPr>
        <w:t xml:space="preserve">QF </w:t>
      </w:r>
      <w:r>
        <w:t xml:space="preserve">(par défaut) </w:t>
      </w:r>
      <w:r>
        <w:rPr>
          <w:rStyle w:val="optioncarChar"/>
        </w:rPr>
        <w:t>/ QP</w:t>
      </w:r>
    </w:p>
    <w:p w14:paraId="0260FE28" w14:textId="77777777" w:rsidR="00DB2B68" w:rsidRDefault="00000000">
      <w:r>
        <w:rPr>
          <w:b/>
          <w:i/>
        </w:rPr>
        <w:t>(Soit par défaut)</w:t>
      </w:r>
    </w:p>
    <w:p w14:paraId="5E02E4AD" w14:textId="77777777" w:rsidR="00DB2B68" w:rsidRDefault="00000000">
      <w:r>
        <w:rPr>
          <w:rStyle w:val="soitChar"/>
        </w:rPr>
        <w:t>1. 2. QF</w:t>
      </w:r>
    </w:p>
    <w:p w14:paraId="300B97C5" w14:textId="77777777" w:rsidR="00DB2B68" w:rsidRDefault="00000000">
      <w:r>
        <w:rPr>
          <w:b/>
          <w:i/>
        </w:rPr>
        <w:t>(Soit)</w:t>
      </w:r>
    </w:p>
    <w:p w14:paraId="47CA1FA8" w14:textId="77777777" w:rsidR="00DB2B68" w:rsidRDefault="00000000">
      <w:r>
        <w:rPr>
          <w:rStyle w:val="soitChar"/>
        </w:rPr>
        <w:t>1. 2. QP   </w:t>
      </w:r>
    </w:p>
    <w:p w14:paraId="302D47A0" w14:textId="77777777" w:rsidR="00DB2B68" w:rsidRDefault="00000000">
      <w:pPr>
        <w:pStyle w:val="Author-eSectionHeading6Numberless"/>
      </w:pPr>
      <w:bookmarkStart w:id="1658" w:name="_Toc220496643"/>
      <w:r>
        <w:t>24.21.2b Murs en CLT préfabriqués CCTB 01.12</w:t>
      </w:r>
      <w:bookmarkEnd w:id="1658"/>
    </w:p>
    <w:p w14:paraId="54218590" w14:textId="77777777" w:rsidR="00DB2B68" w:rsidRDefault="00000000">
      <w:pPr>
        <w:pStyle w:val="pheading"/>
      </w:pPr>
      <w:r>
        <w:t>DESCRIPTION</w:t>
      </w:r>
    </w:p>
    <w:p w14:paraId="250DC73F" w14:textId="77777777" w:rsidR="00DB2B68" w:rsidRDefault="00000000">
      <w:pPr>
        <w:pStyle w:val="pheading"/>
      </w:pPr>
      <w:r>
        <w:t>- Définition / Comprend</w:t>
      </w:r>
    </w:p>
    <w:p w14:paraId="1CA17EE0" w14:textId="77777777" w:rsidR="00DB2B68" w:rsidRDefault="00000000">
      <w:pPr>
        <w:jc w:val="both"/>
      </w:pPr>
      <w:r>
        <w:lastRenderedPageBreak/>
        <w:t xml:space="preserve">Il s’agit de la fourniture et la pose de tous les murs </w:t>
      </w:r>
      <w:r>
        <w:rPr>
          <w:rStyle w:val="optioncarChar"/>
        </w:rPr>
        <w:t>porteurs / non porteurs</w:t>
      </w:r>
      <w:r>
        <w:t>   constitués de panneaux lamellés croisés collés en bois ou à base de bois constituant les systèmes de construction CLT ("Cross Laminated Timber") portants et non portants quel que soit le type d’aboutage, y compris toutes les pièces qui en font intrinsèquement partie (comprenant notamment les dispositifs d’assemblage).</w:t>
      </w:r>
    </w:p>
    <w:p w14:paraId="7A8D19AF" w14:textId="77777777" w:rsidR="00DB2B68" w:rsidRDefault="00000000">
      <w:pPr>
        <w:jc w:val="both"/>
      </w:pPr>
      <w:r>
        <w:t>Le travail comprend notamment :</w:t>
      </w:r>
    </w:p>
    <w:p w14:paraId="121F4544" w14:textId="77777777" w:rsidR="00DB2B68" w:rsidRDefault="00000000">
      <w:pPr>
        <w:pStyle w:val="Author-eListParagraph"/>
        <w:numPr>
          <w:ilvl w:val="0"/>
          <w:numId w:val="896"/>
        </w:numPr>
        <w:jc w:val="both"/>
      </w:pPr>
      <w:r>
        <w:t>La préparation et le nettoyage des supports sur lesquels les éléments sont posés ;</w:t>
      </w:r>
    </w:p>
    <w:p w14:paraId="54B0EA63" w14:textId="77777777" w:rsidR="00DB2B68" w:rsidRDefault="00000000">
      <w:pPr>
        <w:pStyle w:val="Author-eListParagraph"/>
        <w:numPr>
          <w:ilvl w:val="0"/>
          <w:numId w:val="896"/>
        </w:numPr>
        <w:jc w:val="both"/>
      </w:pPr>
      <w:r>
        <w:t>La fabrication, la livraison et la pose des parois, y compris les engins de levage, tous les supports temporaires et travaux d’étayage ;</w:t>
      </w:r>
    </w:p>
    <w:p w14:paraId="221CCA02" w14:textId="77777777" w:rsidR="00DB2B68" w:rsidRDefault="00000000">
      <w:pPr>
        <w:pStyle w:val="Author-eListParagraph"/>
        <w:numPr>
          <w:ilvl w:val="0"/>
          <w:numId w:val="896"/>
        </w:numPr>
        <w:jc w:val="both"/>
      </w:pPr>
      <w:r>
        <w:t>Les réservations prévues sur les plans ;</w:t>
      </w:r>
    </w:p>
    <w:p w14:paraId="457E73BC" w14:textId="77777777" w:rsidR="00DB2B68" w:rsidRDefault="00000000">
      <w:pPr>
        <w:pStyle w:val="Author-eListParagraph"/>
        <w:numPr>
          <w:ilvl w:val="0"/>
          <w:numId w:val="896"/>
        </w:numPr>
        <w:jc w:val="both"/>
      </w:pPr>
      <w:r>
        <w:t>La finition des bords et travaux de réparation en cas d’endommagement ;</w:t>
      </w:r>
    </w:p>
    <w:p w14:paraId="1F2AD84D" w14:textId="77777777" w:rsidR="00DB2B68" w:rsidRDefault="00000000">
      <w:pPr>
        <w:pStyle w:val="Author-eListParagraph"/>
        <w:numPr>
          <w:ilvl w:val="0"/>
          <w:numId w:val="896"/>
        </w:numPr>
        <w:jc w:val="both"/>
      </w:pPr>
      <w:r>
        <w:t>Le remplissage des joints de dilatation éventuels selon les directives du fournisseur;</w:t>
      </w:r>
    </w:p>
    <w:p w14:paraId="49B8D61E" w14:textId="77777777" w:rsidR="00DB2B68" w:rsidRDefault="00000000">
      <w:pPr>
        <w:pStyle w:val="Author-eListParagraph"/>
        <w:numPr>
          <w:ilvl w:val="0"/>
          <w:numId w:val="896"/>
        </w:numPr>
        <w:jc w:val="both"/>
      </w:pPr>
      <w:r>
        <w:t>Le contrôle de toutes les dimensions et l’adaptation des éléments à préfabriquer aux dimensions réelles ;</w:t>
      </w:r>
    </w:p>
    <w:p w14:paraId="52FB1610" w14:textId="77777777" w:rsidR="00DB2B68" w:rsidRDefault="00000000">
      <w:pPr>
        <w:pStyle w:val="Author-eListParagraph"/>
        <w:numPr>
          <w:ilvl w:val="0"/>
          <w:numId w:val="896"/>
        </w:numPr>
        <w:jc w:val="both"/>
      </w:pPr>
      <w:r>
        <w:t>Tous les moyens de liaisonnement éventuels, aussi bien entre les éléments préfabriqués, qu’avec les éléments de support, de bord, … ;</w:t>
      </w:r>
    </w:p>
    <w:p w14:paraId="058A4380" w14:textId="77777777" w:rsidR="00DB2B68" w:rsidRDefault="00000000">
      <w:pPr>
        <w:pStyle w:val="Author-eListParagraph"/>
        <w:numPr>
          <w:ilvl w:val="0"/>
          <w:numId w:val="896"/>
        </w:numPr>
        <w:jc w:val="both"/>
      </w:pPr>
      <w:r>
        <w:t>L’enlèvement de tous les accessoires, éléments de coffrage, supports, étais et le nettoyage des faces visibles.</w:t>
      </w:r>
    </w:p>
    <w:p w14:paraId="244C3741" w14:textId="77777777" w:rsidR="00DB2B68" w:rsidRDefault="00000000">
      <w:pPr>
        <w:jc w:val="both"/>
      </w:pPr>
      <w:r>
        <w:t xml:space="preserve">Les dispositifs permettant d’assurer l’étanchéité à l’air et à la vapeur d’eau sont décrits et comptés aux </w:t>
      </w:r>
      <w:hyperlink w:anchor="479" w:history="1">
        <w:r>
          <w:rPr>
            <w:color w:val="0000EE"/>
          </w:rPr>
          <w:t>26 Etanchéisation et isolation</w:t>
        </w:r>
      </w:hyperlink>
      <w:r>
        <w:t xml:space="preserve"> et suivants.</w:t>
      </w:r>
    </w:p>
    <w:p w14:paraId="1AF08378" w14:textId="77777777" w:rsidR="00DB2B68" w:rsidRDefault="00000000">
      <w:pPr>
        <w:pStyle w:val="pheading"/>
      </w:pPr>
      <w:r>
        <w:t>MATÉRIAUX</w:t>
      </w:r>
    </w:p>
    <w:p w14:paraId="17F057AE" w14:textId="77777777" w:rsidR="00DB2B68" w:rsidRDefault="00000000">
      <w:pPr>
        <w:pStyle w:val="pheading"/>
      </w:pPr>
      <w:r>
        <w:t>- Caractéristiques générales</w:t>
      </w:r>
    </w:p>
    <w:p w14:paraId="7A6073D1" w14:textId="77777777" w:rsidR="00DB2B68" w:rsidRDefault="00000000">
      <w:pPr>
        <w:jc w:val="both"/>
      </w:pPr>
      <w:r>
        <w:rPr>
          <w:b/>
        </w:rPr>
        <w:t>Généralités :</w:t>
      </w:r>
    </w:p>
    <w:p w14:paraId="61480F50" w14:textId="77777777" w:rsidR="00DB2B68" w:rsidRDefault="00000000">
      <w:pPr>
        <w:jc w:val="both"/>
      </w:pPr>
      <w:r>
        <w:t xml:space="preserve">Les panneaux sont constitués de trois à onze couches de lamelles de bois épaisseur ≥ 17 millimètres d’épaisseur juxtaposées et collées entre elles. </w:t>
      </w:r>
    </w:p>
    <w:p w14:paraId="2480499B" w14:textId="77777777" w:rsidR="00DB2B68" w:rsidRDefault="00000000">
      <w:pPr>
        <w:jc w:val="both"/>
      </w:pPr>
      <w:r>
        <w:t xml:space="preserve"> Les couches, également appelées ‘plis’, se croisent suivant un angle de 90° et sont, elles aussi, collées les unes aux autres.</w:t>
      </w:r>
    </w:p>
    <w:p w14:paraId="6894751B" w14:textId="77777777" w:rsidR="00DB2B68" w:rsidRDefault="00000000">
      <w:pPr>
        <w:jc w:val="both"/>
      </w:pPr>
      <w:r>
        <w:t>Les panneaux répondent aux classes de service 1 ou 2 selon la [NBN EN 1995-1-1].</w:t>
      </w:r>
    </w:p>
    <w:p w14:paraId="225D76AF" w14:textId="77777777" w:rsidR="00DB2B68" w:rsidRDefault="00000000">
      <w:pPr>
        <w:jc w:val="both"/>
      </w:pPr>
      <w:r>
        <w:t>Les panneaux sont couverts par la norme produit [NBN EN 16351].</w:t>
      </w:r>
    </w:p>
    <w:p w14:paraId="769EE44C" w14:textId="77777777" w:rsidR="00DB2B68" w:rsidRDefault="00000000">
      <w:pPr>
        <w:jc w:val="both"/>
      </w:pPr>
      <w:r>
        <w:rPr>
          <w:b/>
        </w:rPr>
        <w:t>Caractéristiques :</w:t>
      </w:r>
    </w:p>
    <w:p w14:paraId="48A937D0" w14:textId="77777777" w:rsidR="00DB2B68" w:rsidRDefault="00000000">
      <w:pPr>
        <w:jc w:val="both"/>
      </w:pPr>
      <w:r>
        <w:t xml:space="preserve">Épaisseur totale du panneau CLT : </w:t>
      </w:r>
      <w:r>
        <w:rPr>
          <w:rStyle w:val="optioncarChar"/>
        </w:rPr>
        <w:t>***</w:t>
      </w:r>
      <w:r>
        <w:t xml:space="preserve"> mm.</w:t>
      </w:r>
    </w:p>
    <w:p w14:paraId="1ECEF850" w14:textId="77777777" w:rsidR="00DB2B68" w:rsidRDefault="0000000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r>
        <w:t xml:space="preserve"> .</w:t>
      </w:r>
    </w:p>
    <w:p w14:paraId="0518CF10" w14:textId="77777777" w:rsidR="00DB2B68" w:rsidRDefault="00000000">
      <w:pPr>
        <w:jc w:val="both"/>
      </w:pPr>
      <w:r>
        <w:t xml:space="preserve">Classe de résistance : </w:t>
      </w:r>
      <w:r>
        <w:rPr>
          <w:rStyle w:val="optioncarChar"/>
        </w:rPr>
        <w:t>C18 / D18 / C24</w:t>
      </w:r>
      <w:r>
        <w:t xml:space="preserve"> (par défaut)</w:t>
      </w:r>
      <w:r>
        <w:rPr>
          <w:rStyle w:val="optioncarChar"/>
        </w:rPr>
        <w:t xml:space="preserve"> / D24 / C30 / D30 / ***</w:t>
      </w:r>
      <w:r>
        <w:t>.</w:t>
      </w:r>
    </w:p>
    <w:p w14:paraId="23CC3C8E" w14:textId="77777777" w:rsidR="00DB2B68" w:rsidRDefault="00000000">
      <w:pPr>
        <w:jc w:val="both"/>
      </w:pPr>
      <w:r>
        <w:t>Les couches sont composées </w:t>
      </w:r>
      <w:r>
        <w:rPr>
          <w:rStyle w:val="optioncarChar"/>
        </w:rPr>
        <w:t>de lames de bois de même essence et de même classe de résistance</w:t>
      </w:r>
      <w:r>
        <w:t> (par défaut)</w:t>
      </w:r>
      <w:r>
        <w:rPr>
          <w:rStyle w:val="optioncarChar"/>
        </w:rPr>
        <w:t> / ***</w:t>
      </w:r>
      <w:r>
        <w:t>.</w:t>
      </w:r>
    </w:p>
    <w:p w14:paraId="6D3BDFB6" w14:textId="77777777" w:rsidR="00DB2B68" w:rsidRDefault="00000000">
      <w:pPr>
        <w:jc w:val="both"/>
      </w:pPr>
      <w:r>
        <w:t xml:space="preserve">Les panneaux sont composés de </w:t>
      </w:r>
      <w:r>
        <w:rPr>
          <w:rStyle w:val="optioncarChar"/>
        </w:rPr>
        <w:t xml:space="preserve">3 / 5 </w:t>
      </w:r>
      <w:r>
        <w:t>(par défaut)</w:t>
      </w:r>
      <w:r>
        <w:rPr>
          <w:rStyle w:val="optioncarChar"/>
        </w:rPr>
        <w:t xml:space="preserve"> / 7 / ***</w:t>
      </w:r>
      <w:r>
        <w:t xml:space="preserve"> couches (plis). </w:t>
      </w:r>
    </w:p>
    <w:p w14:paraId="2D0237F0" w14:textId="77777777" w:rsidR="00DB2B68" w:rsidRDefault="00000000">
      <w:pPr>
        <w:jc w:val="both"/>
      </w:pPr>
      <w:r>
        <w:t xml:space="preserve">Epaisseur des différents plis : </w:t>
      </w:r>
      <w:r>
        <w:rPr>
          <w:rStyle w:val="optioncarChar"/>
        </w:rPr>
        <w:t xml:space="preserve">30-30-30 / 30-40-30 / 40-40-40 / 20-20-20-20-20 </w:t>
      </w:r>
      <w:r>
        <w:t>(par défaut)</w:t>
      </w:r>
      <w:r>
        <w:rPr>
          <w:rStyle w:val="optioncarChar"/>
        </w:rPr>
        <w:t xml:space="preserve"> / 20-30-20-30 / 40-20-20-20-40 / ***</w:t>
      </w:r>
      <w:r>
        <w:t xml:space="preserve"> mm.</w:t>
      </w:r>
    </w:p>
    <w:p w14:paraId="4928BE8A" w14:textId="77777777" w:rsidR="00DB2B68" w:rsidRDefault="00000000">
      <w:pPr>
        <w:jc w:val="both"/>
      </w:pPr>
      <w:r>
        <w:t xml:space="preserve">Les lames </w:t>
      </w:r>
      <w:r>
        <w:rPr>
          <w:rStyle w:val="optioncarChar"/>
        </w:rPr>
        <w:t xml:space="preserve">ne sont pas </w:t>
      </w:r>
      <w:r>
        <w:t>(par défaut)</w:t>
      </w:r>
      <w:r>
        <w:rPr>
          <w:rStyle w:val="optioncarChar"/>
        </w:rPr>
        <w:t xml:space="preserve"> /sont</w:t>
      </w:r>
      <w:r>
        <w:t xml:space="preserve"> munies de fente (rainures) de soulagement afin de réduire le tuilage et la fissuration.</w:t>
      </w:r>
    </w:p>
    <w:p w14:paraId="3B22917E" w14:textId="77777777" w:rsidR="00DB2B68" w:rsidRDefault="00000000">
      <w:pPr>
        <w:jc w:val="both"/>
      </w:pPr>
      <w:r>
        <w:t xml:space="preserve">La réaction au feu est de classe </w:t>
      </w:r>
      <w:r>
        <w:rPr>
          <w:rStyle w:val="optioncarChar"/>
        </w:rPr>
        <w:t>D-s2, d0</w:t>
      </w:r>
      <w:r>
        <w:t xml:space="preserve"> (par défaut)</w:t>
      </w:r>
      <w:r>
        <w:rPr>
          <w:rStyle w:val="optioncarChar"/>
        </w:rPr>
        <w:t xml:space="preserve"> / ***.</w:t>
      </w:r>
    </w:p>
    <w:p w14:paraId="3834750D" w14:textId="77777777" w:rsidR="00DB2B68" w:rsidRDefault="00000000">
      <w:pPr>
        <w:jc w:val="both"/>
      </w:pPr>
      <w:r>
        <w:t xml:space="preserve">La résistance au feu déclarée de la paroi: </w:t>
      </w:r>
      <w:r>
        <w:rPr>
          <w:rStyle w:val="optioncarChar"/>
        </w:rPr>
        <w:t xml:space="preserve">pas d’exigences </w:t>
      </w:r>
      <w:r>
        <w:t xml:space="preserve">(par défaut) </w:t>
      </w:r>
      <w:r>
        <w:rPr>
          <w:rStyle w:val="optioncarChar"/>
        </w:rPr>
        <w:t>/ REI 30 / EI30 / REI 60 / EI 60 / ***.</w:t>
      </w:r>
    </w:p>
    <w:p w14:paraId="4F7B4B3D" w14:textId="77777777" w:rsidR="00DB2B68" w:rsidRDefault="00000000">
      <w:pPr>
        <w:jc w:val="both"/>
      </w:pPr>
      <w:r>
        <w:lastRenderedPageBreak/>
        <w:t>L’étanchéité à l’air des panneaux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480242FE" w14:textId="77777777" w:rsidR="00DB2B68"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19D0F054" w14:textId="77777777" w:rsidR="00DB2B68" w:rsidRDefault="00000000">
      <w:pPr>
        <w:jc w:val="both"/>
      </w:pPr>
      <w:r>
        <w:t>Le coefficient de résistance à la diffusion de vapeur d’eau – valeur μ pour un taux d’humidité du bois de 11 % (selon [NBN EN 12086]): </w:t>
      </w:r>
      <w:r>
        <w:rPr>
          <w:rStyle w:val="optioncarChar"/>
        </w:rPr>
        <w:t>≥ 50</w:t>
      </w:r>
      <w:r>
        <w:t xml:space="preserve"> (par défaut) </w:t>
      </w:r>
      <w:r>
        <w:rPr>
          <w:rStyle w:val="optioncarChar"/>
        </w:rPr>
        <w:t>/ ≥ 30  / ≤ 100 / ***</w:t>
      </w:r>
      <w:r>
        <w:t>.</w:t>
      </w:r>
    </w:p>
    <w:p w14:paraId="7FA08920" w14:textId="77777777" w:rsidR="00DB2B68" w:rsidRDefault="00000000">
      <w:pPr>
        <w:jc w:val="both"/>
      </w:pPr>
      <w:r>
        <w:t xml:space="preserve">Classe d’emploi : </w:t>
      </w:r>
      <w:r>
        <w:rPr>
          <w:rStyle w:val="optioncarChar"/>
        </w:rPr>
        <w:t xml:space="preserve">1 / 2 </w:t>
      </w:r>
      <w:r>
        <w:t>(par défaut)</w:t>
      </w:r>
      <w:r>
        <w:rPr>
          <w:rStyle w:val="optioncarChar"/>
        </w:rPr>
        <w:t xml:space="preserve"> / ***</w:t>
      </w:r>
      <w:r>
        <w:t>, selon [STS 04 série] et [NBN EN 335].</w:t>
      </w:r>
    </w:p>
    <w:p w14:paraId="4CB97CD2" w14:textId="77777777" w:rsidR="00DB2B68" w:rsidRDefault="00000000">
      <w:pPr>
        <w:jc w:val="both"/>
      </w:pPr>
      <w:r>
        <w:t xml:space="preserve">Les bois subissent un traitement préventif (procédé) : </w:t>
      </w:r>
      <w:r>
        <w:rPr>
          <w:rStyle w:val="optioncarChar"/>
        </w:rPr>
        <w:t xml:space="preserve">A / A2 </w:t>
      </w:r>
      <w:r>
        <w:t>(par défaut)</w:t>
      </w:r>
      <w:r>
        <w:rPr>
          <w:rStyle w:val="optioncarChar"/>
        </w:rPr>
        <w:t xml:space="preserve"> / ***</w:t>
      </w:r>
      <w:r>
        <w:t>, selon [STS 04 série] et en fonction la classe d’emploi indiquée ci-avant.</w:t>
      </w:r>
    </w:p>
    <w:p w14:paraId="02F66939" w14:textId="77777777" w:rsidR="00DB2B68" w:rsidRDefault="00000000">
      <w:pPr>
        <w:jc w:val="both"/>
      </w:pPr>
      <w:r>
        <w:t xml:space="preserve">Le collage des plis est assuré </w:t>
      </w:r>
      <w:r>
        <w:rPr>
          <w:rStyle w:val="optioncarChar"/>
        </w:rPr>
        <w:t xml:space="preserve">par 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r>
        <w:t>.</w:t>
      </w:r>
    </w:p>
    <w:p w14:paraId="422F5685" w14:textId="77777777" w:rsidR="00DB2B68" w:rsidRDefault="00000000">
      <w:pPr>
        <w:jc w:val="both"/>
      </w:pPr>
      <w:r>
        <w:rPr>
          <w:b/>
        </w:rPr>
        <w:t>(soit par défaut)</w:t>
      </w:r>
    </w:p>
    <w:p w14:paraId="2D17099B" w14:textId="77777777" w:rsidR="00DB2B68" w:rsidRDefault="00000000">
      <w:pPr>
        <w:jc w:val="both"/>
      </w:pPr>
      <w:r>
        <w:rPr>
          <w:rStyle w:val="soitChar"/>
          <w:u w:val="single"/>
        </w:rPr>
        <w:t>Les spécifications du fabricant</w:t>
      </w:r>
    </w:p>
    <w:p w14:paraId="67D84F41" w14:textId="77777777" w:rsidR="00DB2B68" w:rsidRDefault="00000000">
      <w:pPr>
        <w:jc w:val="both"/>
      </w:pPr>
      <w:r>
        <w:rPr>
          <w:b/>
        </w:rPr>
        <w:t>(soit)</w:t>
      </w:r>
    </w:p>
    <w:p w14:paraId="7065698B" w14:textId="77777777" w:rsidR="00DB2B68" w:rsidRDefault="00000000">
      <w:pPr>
        <w:jc w:val="both"/>
      </w:pPr>
      <w:r>
        <w:rPr>
          <w:u w:val="single"/>
        </w:rPr>
        <w:t>PUR :</w:t>
      </w:r>
      <w:r>
        <w:rPr>
          <w:color w:val="33CCCC"/>
        </w:rPr>
        <w:t xml:space="preserve"> Les adhésifs polyuréthane monocomposants durcissant à l’humidité satisfont aux exigences de la </w:t>
      </w:r>
      <w:r>
        <w:t>[NBN EN 15425]</w:t>
      </w:r>
      <w:r>
        <w:rPr>
          <w:color w:val="33CCCC"/>
        </w:rPr>
        <w:t xml:space="preserve"> et la </w:t>
      </w:r>
      <w:r>
        <w:t>[NBN EN 302-2]</w:t>
      </w:r>
      <w:r>
        <w:rPr>
          <w:color w:val="33CCCC"/>
        </w:rPr>
        <w:t xml:space="preserve">. Pour les adhésifs polyuréthane monocomposants durcissant à l'humidité devant être utilisés dans des aboutages à entures multiples dans du bois de mélèze, l'essai de délamination conformément à la </w:t>
      </w:r>
      <w:r>
        <w:t>[NBN EN 302-2]</w:t>
      </w:r>
      <w:r>
        <w:rPr>
          <w:color w:val="33CCCC"/>
        </w:rPr>
        <w:t xml:space="preserve"> peut être remplacé par des essais conformément à la </w:t>
      </w:r>
      <w:r>
        <w:t>[NBN EN 301]</w:t>
      </w:r>
      <w:r>
        <w:rPr>
          <w:color w:val="33CCCC"/>
        </w:rPr>
        <w:t>.</w:t>
      </w:r>
    </w:p>
    <w:p w14:paraId="7D8F0024" w14:textId="77777777" w:rsidR="00DB2B68" w:rsidRDefault="00000000">
      <w:pPr>
        <w:jc w:val="both"/>
      </w:pPr>
      <w:r>
        <w:rPr>
          <w:b/>
        </w:rPr>
        <w:t>(soit)</w:t>
      </w:r>
    </w:p>
    <w:p w14:paraId="72054EA6" w14:textId="77777777" w:rsidR="00DB2B68" w:rsidRDefault="00000000">
      <w:pPr>
        <w:jc w:val="both"/>
      </w:pPr>
      <w:r>
        <w:rPr>
          <w:rStyle w:val="soitChar"/>
          <w:u w:val="single"/>
        </w:rPr>
        <w:t>MF, MUF, PRF, UF :</w:t>
      </w:r>
      <w:r>
        <w:rPr>
          <w:rStyle w:val="soitChar"/>
        </w:rPr>
        <w:t xml:space="preserve"> Les caractéristiques des collages des adhésifs de nature phénolique et aminoplaste sont déterminées conformément à la [NBN EN 302-6] et satisfont aux exigences conformes à la [NBN EN 301]. </w:t>
      </w:r>
    </w:p>
    <w:p w14:paraId="50A733F5" w14:textId="77777777" w:rsidR="00DB2B68" w:rsidRDefault="00000000">
      <w:pPr>
        <w:jc w:val="both"/>
      </w:pPr>
      <w:r>
        <w:rPr>
          <w:b/>
        </w:rPr>
        <w:t>(soit)</w:t>
      </w:r>
    </w:p>
    <w:p w14:paraId="39812F5F" w14:textId="77777777" w:rsidR="00DB2B68" w:rsidRDefault="00000000">
      <w:pPr>
        <w:jc w:val="both"/>
      </w:pPr>
      <w:r>
        <w:rPr>
          <w:rStyle w:val="soitChar"/>
          <w:u w:val="single"/>
        </w:rPr>
        <w:t>EPI :</w:t>
      </w:r>
      <w:r>
        <w:rPr>
          <w:rStyle w:val="soitChar"/>
        </w:rPr>
        <w:t xml:space="preserve"> Les adhésifs à base d’isocyanate et de polymère en émulsion satisfont aux exigences de la [NBN EN 15425].</w:t>
      </w:r>
      <w:r>
        <w:t> </w:t>
      </w:r>
    </w:p>
    <w:p w14:paraId="2C032289" w14:textId="77777777" w:rsidR="00DB2B68" w:rsidRDefault="00000000">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0F509F24" w14:textId="77777777" w:rsidR="00DB2B68"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22F5D27D" w14:textId="77777777" w:rsidR="00DB2B68" w:rsidRDefault="00000000">
      <w:pPr>
        <w:jc w:val="both"/>
      </w:pPr>
      <w:r>
        <w:t xml:space="preserve">Le chant des lamelles </w:t>
      </w:r>
      <w:r>
        <w:rPr>
          <w:rStyle w:val="optioncarChar"/>
        </w:rPr>
        <w:t xml:space="preserve">ne sont pas </w:t>
      </w:r>
      <w:r>
        <w:t xml:space="preserve">(par défaut) </w:t>
      </w:r>
      <w:r>
        <w:rPr>
          <w:rStyle w:val="optioncarChar"/>
        </w:rPr>
        <w:t>/ sont</w:t>
      </w:r>
      <w:r>
        <w:t xml:space="preserve"> collées.</w:t>
      </w:r>
    </w:p>
    <w:p w14:paraId="4B98D7E8" w14:textId="77777777" w:rsidR="00DB2B68" w:rsidRDefault="00000000">
      <w:pPr>
        <w:jc w:val="both"/>
      </w:pPr>
      <w:r>
        <w:t xml:space="preserve">Un jeu de </w:t>
      </w:r>
      <w:r>
        <w:rPr>
          <w:rStyle w:val="optioncarChar"/>
        </w:rPr>
        <w:t>0</w:t>
      </w:r>
      <w:r>
        <w:t xml:space="preserve"> (par défaut) </w:t>
      </w:r>
      <w:r>
        <w:rPr>
          <w:rStyle w:val="optioncarChar"/>
        </w:rPr>
        <w:t>/ 2 / 5 / ***</w:t>
      </w:r>
      <w:r>
        <w:t xml:space="preserve"> mm est réservé entre les lamelles.</w:t>
      </w:r>
    </w:p>
    <w:p w14:paraId="419FB899" w14:textId="77777777" w:rsidR="00DB2B68" w:rsidRDefault="00000000">
      <w:pPr>
        <w:jc w:val="both"/>
      </w:pPr>
      <w:r>
        <w:t>La résistance du collage des aboutages est conforme à la [NBN EN 16351] annexe B et est vérifiée par essais de flexion conformes à la [NBN EN 16351] §5.2</w:t>
      </w:r>
    </w:p>
    <w:p w14:paraId="27798CD7" w14:textId="77777777" w:rsidR="00DB2B68" w:rsidRDefault="00000000">
      <w:pPr>
        <w:jc w:val="both"/>
      </w:pPr>
      <w:r>
        <w:t xml:space="preserve">Le dégagement de formaldéhyde est déclaré conformément la [NBN EN 16351] §4.6 et de classe </w:t>
      </w:r>
      <w:r>
        <w:rPr>
          <w:rStyle w:val="optioncarChar"/>
        </w:rPr>
        <w:t>E1</w:t>
      </w:r>
      <w:r>
        <w:t xml:space="preserve"> (par défaut)</w:t>
      </w:r>
      <w:r>
        <w:rPr>
          <w:rStyle w:val="optioncarChar"/>
        </w:rPr>
        <w:t xml:space="preserve"> / E2</w:t>
      </w:r>
      <w:r>
        <w:t>.</w:t>
      </w:r>
    </w:p>
    <w:p w14:paraId="7D1CE3FA" w14:textId="77777777" w:rsidR="00DB2B68" w:rsidRDefault="00000000">
      <w:pPr>
        <w:jc w:val="both"/>
      </w:pPr>
      <w:r>
        <w:rPr>
          <w:b/>
        </w:rPr>
        <w:t>Divers :</w:t>
      </w:r>
    </w:p>
    <w:p w14:paraId="5862DFC9" w14:textId="77777777" w:rsidR="00DB2B68" w:rsidRDefault="00000000">
      <w:pPr>
        <w:jc w:val="both"/>
      </w:pPr>
      <w:r>
        <w:t xml:space="preserve">Capacité thermique :  &gt; </w:t>
      </w:r>
      <w:r>
        <w:rPr>
          <w:rStyle w:val="optioncarChar"/>
        </w:rPr>
        <w:t xml:space="preserve">1,5 </w:t>
      </w:r>
      <w:r>
        <w:t>(par défaut)</w:t>
      </w:r>
      <w:r>
        <w:rPr>
          <w:rStyle w:val="optioncarChar"/>
        </w:rPr>
        <w:t> / 1,6 / ***</w:t>
      </w:r>
      <w:r>
        <w:t xml:space="preserve"> kJ/kg.K</w:t>
      </w:r>
    </w:p>
    <w:p w14:paraId="6430067F" w14:textId="77777777" w:rsidR="00DB2B68" w:rsidRDefault="00000000">
      <w:pPr>
        <w:jc w:val="both"/>
      </w:pPr>
      <w:r>
        <w:t xml:space="preserve">Les panneaux </w:t>
      </w:r>
      <w:r>
        <w:rPr>
          <w:rStyle w:val="optioncarChar"/>
        </w:rPr>
        <w:t>ne sont pas </w:t>
      </w:r>
      <w:r>
        <w:t>(par défaut)</w:t>
      </w:r>
      <w:r>
        <w:rPr>
          <w:rStyle w:val="optioncarChar"/>
        </w:rPr>
        <w:t xml:space="preserve"> / sont</w:t>
      </w:r>
      <w:r>
        <w:t xml:space="preserve"> munis de gaines (rainures) techniques et d’emplacements pour blochets intégrés non traversantes.</w:t>
      </w:r>
    </w:p>
    <w:p w14:paraId="2176263B" w14:textId="77777777" w:rsidR="00DB2B68" w:rsidRDefault="00000000">
      <w:pPr>
        <w:pStyle w:val="pheading"/>
      </w:pPr>
      <w:r>
        <w:t>- Finitions</w:t>
      </w:r>
    </w:p>
    <w:p w14:paraId="4CA57515" w14:textId="77777777" w:rsidR="00DB2B68" w:rsidRDefault="00000000">
      <w:pPr>
        <w:jc w:val="both"/>
      </w:pPr>
      <w:r>
        <w:t>Exigences d’aspect :</w:t>
      </w:r>
      <w:r>
        <w:rPr>
          <w:rStyle w:val="optioncarChar"/>
        </w:rPr>
        <w:t xml:space="preserve"> non-visible  /  visible industriel  /  visible habitat</w:t>
      </w:r>
      <w:r>
        <w:t> </w:t>
      </w:r>
      <w:r>
        <w:rPr>
          <w:rStyle w:val="optioncarChar"/>
        </w:rPr>
        <w:t xml:space="preserve">sur 1 </w:t>
      </w:r>
      <w:r>
        <w:t>(par défaut)</w:t>
      </w:r>
      <w:r>
        <w:rPr>
          <w:rStyle w:val="optioncarChar"/>
        </w:rPr>
        <w:t xml:space="preserve"> / 2 face(s) / ***</w:t>
      </w:r>
      <w:r>
        <w:t>.</w:t>
      </w:r>
    </w:p>
    <w:p w14:paraId="028983B2" w14:textId="77777777" w:rsidR="00DB2B68" w:rsidRDefault="00000000">
      <w:pPr>
        <w:jc w:val="both"/>
      </w:pPr>
      <w:r>
        <w:lastRenderedPageBreak/>
        <w:t xml:space="preserve">Les panneaux sont destinés à recevoir un traitement de finition de type peinture : </w:t>
      </w:r>
      <w:r>
        <w:rPr>
          <w:rStyle w:val="optioncarChar"/>
        </w:rPr>
        <w:t>non</w:t>
      </w:r>
      <w:r>
        <w:t xml:space="preserve"> (par défaut) </w:t>
      </w:r>
      <w:r>
        <w:rPr>
          <w:rStyle w:val="optioncarChar"/>
        </w:rPr>
        <w:t>/ oui</w:t>
      </w:r>
    </w:p>
    <w:p w14:paraId="708DE7B4" w14:textId="77777777" w:rsidR="00DB2B68" w:rsidRDefault="00000000">
      <w:pPr>
        <w:jc w:val="both"/>
      </w:pPr>
      <w:r>
        <w:rPr>
          <w:b/>
        </w:rPr>
        <w:t>(soit par défaut)</w:t>
      </w:r>
    </w:p>
    <w:p w14:paraId="0EFECC66" w14:textId="77777777" w:rsidR="00DB2B68" w:rsidRDefault="00000000">
      <w:pPr>
        <w:jc w:val="both"/>
      </w:pPr>
      <w:r>
        <w:rPr>
          <w:rStyle w:val="soitChar"/>
          <w:u w:val="single"/>
        </w:rPr>
        <w:t>Non :</w:t>
      </w:r>
    </w:p>
    <w:p w14:paraId="5FF40DBD" w14:textId="77777777" w:rsidR="00DB2B68" w:rsidRDefault="00000000">
      <w:pPr>
        <w:jc w:val="both"/>
      </w:pPr>
      <w:r>
        <w:rPr>
          <w:rStyle w:val="soitChar"/>
        </w:rPr>
        <w:t>Aucun traitement de finition n’est prévu.</w:t>
      </w:r>
    </w:p>
    <w:p w14:paraId="30BFFDB4" w14:textId="77777777" w:rsidR="00DB2B68" w:rsidRDefault="00000000">
      <w:pPr>
        <w:jc w:val="both"/>
      </w:pPr>
      <w:r>
        <w:rPr>
          <w:b/>
        </w:rPr>
        <w:t>(soit)</w:t>
      </w:r>
    </w:p>
    <w:p w14:paraId="5074A766" w14:textId="77777777" w:rsidR="00DB2B68" w:rsidRDefault="00000000">
      <w:pPr>
        <w:jc w:val="both"/>
      </w:pPr>
      <w:r>
        <w:rPr>
          <w:rStyle w:val="soitChar"/>
          <w:u w:val="single"/>
        </w:rPr>
        <w:t>Oui :</w:t>
      </w:r>
    </w:p>
    <w:p w14:paraId="2646D90F" w14:textId="77777777" w:rsidR="00DB2B68" w:rsidRDefault="00000000">
      <w:pPr>
        <w:jc w:val="both"/>
      </w:pPr>
      <w:r>
        <w:rPr>
          <w:rStyle w:val="soitChar"/>
        </w:rPr>
        <w:t xml:space="preserve">Un traitement de finition est réalisé sur les faces : </w:t>
      </w:r>
      <w:r>
        <w:rPr>
          <w:rStyle w:val="optioncarChar"/>
        </w:rPr>
        <w:t>intérieures</w:t>
      </w:r>
      <w:r>
        <w:t xml:space="preserve"> (par défaut)</w:t>
      </w:r>
      <w:r>
        <w:rPr>
          <w:rStyle w:val="optioncarChar"/>
        </w:rPr>
        <w:t xml:space="preserve"> / extérieures / intérieures et extérieures / indiquées aux plans / ***</w:t>
      </w:r>
    </w:p>
    <w:p w14:paraId="0701E899" w14:textId="77777777" w:rsidR="00DB2B68" w:rsidRDefault="00000000">
      <w:pPr>
        <w:jc w:val="both"/>
      </w:pPr>
      <w:r>
        <w:rPr>
          <w:rStyle w:val="soitChar"/>
        </w:rPr>
        <w:t xml:space="preserve">La finition est de type </w:t>
      </w:r>
      <w:r>
        <w:rPr>
          <w:rStyle w:val="optioncarChar"/>
        </w:rPr>
        <w:t xml:space="preserve">huile </w:t>
      </w:r>
      <w:r>
        <w:t xml:space="preserve">(par défaut) </w:t>
      </w:r>
      <w:r>
        <w:rPr>
          <w:rStyle w:val="optioncarChar"/>
        </w:rPr>
        <w:t>/ vernis / lasure / ***</w:t>
      </w:r>
    </w:p>
    <w:p w14:paraId="6F44E861" w14:textId="77777777" w:rsidR="00DB2B68" w:rsidRDefault="00000000">
      <w:pPr>
        <w:jc w:val="both"/>
      </w:pPr>
      <w:r>
        <w:rPr>
          <w:rStyle w:val="soitChar"/>
        </w:rPr>
        <w:t>Ce traitement est décrit et compté aux 81.2 Peintures intérieures sur subjectiles en bois et dérivés du bois (feuillus, résineux, bois exotiques, panneaux) et suivants.</w:t>
      </w:r>
    </w:p>
    <w:p w14:paraId="4193D749" w14:textId="77777777" w:rsidR="00DB2B68" w:rsidRDefault="00000000">
      <w:pPr>
        <w:pStyle w:val="pheading"/>
      </w:pPr>
      <w:r>
        <w:t>EXÉCUTION / MISE EN ŒUVRE</w:t>
      </w:r>
    </w:p>
    <w:p w14:paraId="5FB6E3B5" w14:textId="77777777" w:rsidR="00DB2B68" w:rsidRDefault="00000000">
      <w:pPr>
        <w:pStyle w:val="pheading"/>
      </w:pPr>
      <w:r>
        <w:t>- Prescriptions générales</w:t>
      </w:r>
    </w:p>
    <w:p w14:paraId="064A8EF1" w14:textId="77777777" w:rsidR="00DB2B68" w:rsidRDefault="00000000">
      <w:pPr>
        <w:jc w:val="both"/>
      </w:pPr>
      <w:r>
        <w:t xml:space="preserve">Les organes d’assemblage sont conformes aux prescriptions de la [NBN EN 14592]. L’entraxe des organes d’assemblage est de </w:t>
      </w:r>
      <w:r>
        <w:rPr>
          <w:rStyle w:val="optioncarChar"/>
        </w:rPr>
        <w:t xml:space="preserve">30 / 60 </w:t>
      </w:r>
      <w:r>
        <w:t xml:space="preserve">(par défaut) </w:t>
      </w:r>
      <w:r>
        <w:rPr>
          <w:rStyle w:val="optioncarChar"/>
        </w:rPr>
        <w:t>/ ***</w:t>
      </w:r>
      <w:r>
        <w:t xml:space="preserve"> cm.</w:t>
      </w:r>
    </w:p>
    <w:p w14:paraId="755A7483" w14:textId="77777777" w:rsidR="00DB2B68" w:rsidRDefault="00000000">
      <w:pPr>
        <w:jc w:val="both"/>
      </w:pPr>
      <w:r>
        <w:rPr>
          <w:b/>
        </w:rPr>
        <w:t>Fixation en pied de mur :</w:t>
      </w:r>
    </w:p>
    <w:p w14:paraId="2A34B1F0" w14:textId="77777777" w:rsidR="00DB2B68" w:rsidRDefault="00000000">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r>
        <w:t>.</w:t>
      </w:r>
    </w:p>
    <w:p w14:paraId="429B10D7" w14:textId="77777777" w:rsidR="00DB2B68" w:rsidRDefault="00000000">
      <w:pPr>
        <w:jc w:val="both"/>
      </w:pPr>
      <w:r>
        <w:rPr>
          <w:b/>
        </w:rPr>
        <w:t>(soit par défaut)</w:t>
      </w:r>
    </w:p>
    <w:p w14:paraId="51E1DAFA" w14:textId="77777777" w:rsidR="00DB2B68" w:rsidRDefault="00000000">
      <w:pPr>
        <w:jc w:val="both"/>
      </w:pPr>
      <w:r>
        <w:rPr>
          <w:rStyle w:val="soitChar"/>
          <w:u w:val="single"/>
        </w:rPr>
        <w:t>La lisse basse</w:t>
      </w:r>
      <w:r>
        <w:rPr>
          <w:rStyle w:val="soitChar"/>
        </w:rPr>
        <w:t xml:space="preserve"> est fixée par </w:t>
      </w:r>
      <w:r>
        <w:rPr>
          <w:rStyle w:val="optioncarChar"/>
        </w:rPr>
        <w:t xml:space="preserve">cheville métallique </w:t>
      </w:r>
      <w:r>
        <w:t xml:space="preserve">(par défaut) </w:t>
      </w:r>
      <w:r>
        <w:rPr>
          <w:rStyle w:val="optioncarChar"/>
        </w:rPr>
        <w:t>/ vis spécifique béton / tiges filetées et ancrages chimiques / équerres de fixation / ***</w:t>
      </w:r>
      <w:r>
        <w:rPr>
          <w:rStyle w:val="soitChar"/>
        </w:rPr>
        <w:t>.</w:t>
      </w:r>
    </w:p>
    <w:p w14:paraId="609A7E9D" w14:textId="77777777" w:rsidR="00DB2B68" w:rsidRDefault="00000000">
      <w:pPr>
        <w:jc w:val="both"/>
      </w:pPr>
      <w:r>
        <w:rPr>
          <w:rStyle w:val="soitChar"/>
        </w:rPr>
        <w:t xml:space="preserve"> La lisse basse permet d’éviter le poinçonnement des isolants rigides (béton cellulaire, blocs silico-calcaires, verre cellulaire) posés entre les panneaux et leur support.</w:t>
      </w:r>
    </w:p>
    <w:p w14:paraId="21F8260D" w14:textId="77777777" w:rsidR="00DB2B68" w:rsidRDefault="00000000">
      <w:pPr>
        <w:jc w:val="both"/>
      </w:pPr>
      <w:r>
        <w:rPr>
          <w:rStyle w:val="soitChar"/>
        </w:rPr>
        <w:t xml:space="preserve">La lisse basse ou lisse de pose est décrite dans l’article </w:t>
      </w:r>
      <w:hyperlink w:anchor="592" w:history="1">
        <w:r>
          <w:rPr>
            <w:rStyle w:val="soitChar"/>
            <w:color w:val="0000EE"/>
          </w:rPr>
          <w:t>24.11.1a Lisses de pose en bois massif</w:t>
        </w:r>
      </w:hyperlink>
      <w:r>
        <w:rPr>
          <w:rStyle w:val="soitChar"/>
        </w:rPr>
        <w:t>.(1)</w:t>
      </w:r>
    </w:p>
    <w:p w14:paraId="47D89278" w14:textId="77777777" w:rsidR="00DB2B68" w:rsidRDefault="00000000">
      <w:pPr>
        <w:jc w:val="both"/>
      </w:pPr>
      <w:r>
        <w:rPr>
          <w:b/>
        </w:rPr>
        <w:t>(soit)</w:t>
      </w:r>
    </w:p>
    <w:p w14:paraId="5A77E5F3" w14:textId="77777777" w:rsidR="00DB2B68" w:rsidRDefault="00000000">
      <w:pPr>
        <w:jc w:val="both"/>
      </w:pPr>
      <w:r>
        <w:rPr>
          <w:rStyle w:val="soitChar"/>
          <w:u w:val="single"/>
        </w:rPr>
        <w:t>Dispositifs d’ancrage ponctuels</w:t>
      </w:r>
      <w:r>
        <w:rPr>
          <w:rStyle w:val="soitChar"/>
        </w:rPr>
        <w:t> : Les dispositifs de fixation sont des</w:t>
      </w:r>
      <w:r>
        <w:rPr>
          <w:rStyle w:val="optioncarChar"/>
        </w:rPr>
        <w:t xml:space="preserve"> équerres métalliques</w:t>
      </w:r>
      <w:r>
        <w:t xml:space="preserve"> (par défaut)</w:t>
      </w:r>
      <w:r>
        <w:rPr>
          <w:rStyle w:val="optioncarChar"/>
        </w:rPr>
        <w:t xml:space="preserve"> / connecteurs acoustiques / plats métalliques / connecteurs de cisaillement et traction / sabots d’angles / ***.</w:t>
      </w:r>
      <w:r>
        <w:rPr>
          <w:rStyle w:val="soitChar"/>
        </w:rPr>
        <w:t> </w:t>
      </w:r>
    </w:p>
    <w:p w14:paraId="44BD8BBF" w14:textId="77777777" w:rsidR="00DB2B68" w:rsidRDefault="00000000">
      <w:pPr>
        <w:jc w:val="both"/>
      </w:pPr>
      <w:r>
        <w:rPr>
          <w:rStyle w:val="soitChar"/>
        </w:rPr>
        <w:t xml:space="preserve">Les dispositifs d’ancrages reprennent le panneaux CLT par </w:t>
      </w:r>
      <w:r>
        <w:rPr>
          <w:rStyle w:val="optioncarChar"/>
        </w:rPr>
        <w:t>tire-fond</w:t>
      </w:r>
      <w:r>
        <w:t xml:space="preserve"> (par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panneau.</w:t>
      </w:r>
      <w:r>
        <w:t> </w:t>
      </w:r>
    </w:p>
    <w:p w14:paraId="36A6EA84" w14:textId="77777777" w:rsidR="00DB2B68" w:rsidRDefault="00000000">
      <w:pPr>
        <w:jc w:val="both"/>
      </w:pPr>
      <w:r>
        <w:rPr>
          <w:b/>
        </w:rPr>
        <w:t>(soit)</w:t>
      </w:r>
    </w:p>
    <w:p w14:paraId="3C7F9269" w14:textId="77777777" w:rsidR="00DB2B68" w:rsidRDefault="00000000">
      <w:pPr>
        <w:jc w:val="both"/>
      </w:pPr>
      <w:r>
        <w:rPr>
          <w:rStyle w:val="optioncarChar"/>
        </w:rPr>
        <w:t>***</w:t>
      </w:r>
    </w:p>
    <w:p w14:paraId="0520926D" w14:textId="77777777" w:rsidR="00DB2B68" w:rsidRDefault="00000000">
      <w:pPr>
        <w:jc w:val="both"/>
      </w:pPr>
      <w:r>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butyle / membrane polypropylène / ***</w:t>
      </w:r>
      <w:r>
        <w:t>.</w:t>
      </w:r>
    </w:p>
    <w:p w14:paraId="4D9E0FA0" w14:textId="77777777" w:rsidR="00DB2B68" w:rsidRDefault="00000000">
      <w:pPr>
        <w:jc w:val="both"/>
      </w:pPr>
      <w:r>
        <w:rPr>
          <w:b/>
        </w:rPr>
        <w:t>Niveau du sol extérieur fini :</w:t>
      </w:r>
    </w:p>
    <w:p w14:paraId="43CA5786" w14:textId="77777777" w:rsidR="00DB2B68" w:rsidRDefault="00000000">
      <w:pPr>
        <w:jc w:val="both"/>
      </w:pPr>
      <w:r>
        <w:t xml:space="preserve">La lisse basse ou la partie basse des panneaux CLT est située à une distance ≥ </w:t>
      </w:r>
      <w:r>
        <w:rPr>
          <w:rStyle w:val="optioncarChar"/>
        </w:rPr>
        <w:t>20</w:t>
      </w:r>
      <w:r>
        <w:t xml:space="preserve"> (par défaut)</w:t>
      </w:r>
      <w:r>
        <w:rPr>
          <w:rStyle w:val="optioncarChar"/>
        </w:rPr>
        <w:t xml:space="preserve"> / ***</w:t>
      </w:r>
      <w:r>
        <w:t xml:space="preserve"> cm au-dessus du sol extérieur fini.</w:t>
      </w:r>
    </w:p>
    <w:p w14:paraId="448C86D2" w14:textId="77777777" w:rsidR="00DB2B68" w:rsidRDefault="00000000">
      <w:pPr>
        <w:jc w:val="both"/>
      </w:pPr>
      <w:r>
        <w:t>Ce niveau de sécurité peut être réduit, sans toutefois être inférieur à 12 cm, si les conditions suivantes sont rencontrées :</w:t>
      </w:r>
    </w:p>
    <w:p w14:paraId="5E1D09A4" w14:textId="77777777" w:rsidR="00DB2B68" w:rsidRDefault="00000000">
      <w:pPr>
        <w:pStyle w:val="Author-eListParagraph"/>
        <w:numPr>
          <w:ilvl w:val="0"/>
          <w:numId w:val="897"/>
        </w:numPr>
        <w:jc w:val="both"/>
      </w:pPr>
      <w:r>
        <w:t>Une étanchéité continue de la paroi est assurée au moyen d’une membrane EPDM ou bitumineuse jusqu’à une hauteur de 30 cm au-dessus du niveau fini extérieur. Cette membrane et ses joints sont entièrement collés et soudés au-dessus du niveau extérieur.</w:t>
      </w:r>
    </w:p>
    <w:p w14:paraId="1B07D33D" w14:textId="77777777" w:rsidR="00DB2B68" w:rsidRDefault="00000000">
      <w:pPr>
        <w:pStyle w:val="Author-eListParagraph"/>
        <w:numPr>
          <w:ilvl w:val="0"/>
          <w:numId w:val="897"/>
        </w:numPr>
        <w:jc w:val="both"/>
      </w:pPr>
      <w:r>
        <w:t>La membrane d’arase est recouverte par la membrane extérieure.</w:t>
      </w:r>
    </w:p>
    <w:p w14:paraId="163F8BE7" w14:textId="77777777" w:rsidR="00DB2B68" w:rsidRDefault="00000000">
      <w:pPr>
        <w:pStyle w:val="Author-eListParagraph"/>
        <w:numPr>
          <w:ilvl w:val="0"/>
          <w:numId w:val="897"/>
        </w:numPr>
        <w:jc w:val="both"/>
      </w:pPr>
      <w:r>
        <w:lastRenderedPageBreak/>
        <w:t>La membrane d’arase remonte sur 10 cm sur la face intérieure des panneaux.</w:t>
      </w:r>
    </w:p>
    <w:p w14:paraId="1EE6CE00" w14:textId="77777777" w:rsidR="00DB2B68" w:rsidRDefault="00000000">
      <w:pPr>
        <w:pStyle w:val="Author-eListParagraph"/>
        <w:numPr>
          <w:ilvl w:val="0"/>
          <w:numId w:val="897"/>
        </w:numPr>
        <w:jc w:val="both"/>
      </w:pPr>
      <w:r>
        <w:t>Les panneaux CLT sont fixés par l’intérieur au moyen de fixations de qualité Fe/Zn 25c au minimum (selon les exigences de la norme [NBN EN 1995-1-1]).</w:t>
      </w:r>
    </w:p>
    <w:p w14:paraId="17798881" w14:textId="77777777" w:rsidR="00DB2B68" w:rsidRDefault="00000000">
      <w:pPr>
        <w:pStyle w:val="Author-eListParagraph"/>
        <w:numPr>
          <w:ilvl w:val="0"/>
          <w:numId w:val="897"/>
        </w:numPr>
        <w:jc w:val="both"/>
      </w:pPr>
      <w:r>
        <w:t>Le positionnement des grilles de drainage délimite le sol extérieur fini.</w:t>
      </w:r>
    </w:p>
    <w:p w14:paraId="2C7680AD" w14:textId="77777777" w:rsidR="00DB2B68" w:rsidRDefault="00000000">
      <w:pPr>
        <w:pStyle w:val="Author-eListParagraph"/>
        <w:numPr>
          <w:ilvl w:val="0"/>
          <w:numId w:val="897"/>
        </w:numPr>
        <w:jc w:val="both"/>
      </w:pPr>
      <w:r>
        <w:t>Le drainage de la fondation soit relié à une évacuation.</w:t>
      </w:r>
    </w:p>
    <w:p w14:paraId="59332F15" w14:textId="77777777" w:rsidR="00DB2B68" w:rsidRDefault="00000000">
      <w:pPr>
        <w:pStyle w:val="Author-eListParagraph"/>
        <w:numPr>
          <w:ilvl w:val="0"/>
          <w:numId w:val="897"/>
        </w:numPr>
        <w:jc w:val="both"/>
      </w:pPr>
      <w:r>
        <w:t>Le système de drainage est entretenu régulièrement.</w:t>
      </w:r>
    </w:p>
    <w:p w14:paraId="1BA22859" w14:textId="77777777" w:rsidR="00DB2B68" w:rsidRDefault="00000000">
      <w:pPr>
        <w:jc w:val="both"/>
      </w:pPr>
      <w:r>
        <w:rPr>
          <w:b/>
        </w:rPr>
        <w:t>Fixation entre panneaux de même plan :</w:t>
      </w:r>
    </w:p>
    <w:p w14:paraId="36F2B181" w14:textId="77777777" w:rsidR="00DB2B68" w:rsidRDefault="00000000">
      <w:pPr>
        <w:jc w:val="both"/>
      </w:pPr>
      <w:r>
        <w:t xml:space="preserve">L’assemblage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14:paraId="17906D2B" w14:textId="77777777" w:rsidR="00DB2B68" w:rsidRDefault="00000000">
      <w:pPr>
        <w:jc w:val="both"/>
      </w:pPr>
      <w:r>
        <w:rPr>
          <w:b/>
        </w:rPr>
        <w:t>Assemblage d’angles :</w:t>
      </w:r>
    </w:p>
    <w:p w14:paraId="1AB8D327" w14:textId="77777777" w:rsidR="00DB2B68" w:rsidRDefault="00000000">
      <w:pPr>
        <w:jc w:val="both"/>
      </w:pPr>
      <w:r>
        <w:t xml:space="preserve">L’angle entre deux panneaux CLT est assemblé </w:t>
      </w:r>
      <w:r>
        <w:rPr>
          <w:rStyle w:val="optioncarChar"/>
        </w:rPr>
        <w:t xml:space="preserve">par l’intermédiaire de vis traversantes </w:t>
      </w:r>
      <w:r>
        <w:t xml:space="preserve">(par défaut) </w:t>
      </w:r>
      <w:r>
        <w:rPr>
          <w:rStyle w:val="optioncarChar"/>
        </w:rPr>
        <w:t>/ par dispositifs d’ancrage ponctuels sur le gros œuvre existant / ***</w:t>
      </w:r>
      <w:r>
        <w:t>.</w:t>
      </w:r>
    </w:p>
    <w:p w14:paraId="3F89526A" w14:textId="77777777" w:rsidR="00DB2B68" w:rsidRDefault="00000000">
      <w:pPr>
        <w:jc w:val="both"/>
      </w:pPr>
      <w:r>
        <w:rPr>
          <w:b/>
        </w:rPr>
        <w:t>(soit par défaut)</w:t>
      </w:r>
    </w:p>
    <w:p w14:paraId="122B7EC8" w14:textId="77777777" w:rsidR="00DB2B68" w:rsidRDefault="00000000">
      <w:pPr>
        <w:jc w:val="both"/>
      </w:pPr>
      <w:r>
        <w:rPr>
          <w:rStyle w:val="soitChar"/>
          <w:u w:val="single"/>
        </w:rPr>
        <w:t xml:space="preserve">Vis traversante : </w:t>
      </w:r>
      <w:r>
        <w:rPr>
          <w:color w:val="33CCCC"/>
        </w:rPr>
        <w:t xml:space="preserve"> La fixation de type tire-fond et appliquée sur le pli central intérieur du panneau à assembler ou par fixations inclinées. Le nombre de fixations et les sections répondent au dimensionnement selon la </w:t>
      </w:r>
      <w:r>
        <w:t>[NBN EN 1995 série]</w:t>
      </w:r>
      <w:r>
        <w:rPr>
          <w:color w:val="33CCCC"/>
        </w:rPr>
        <w:t>.</w:t>
      </w:r>
    </w:p>
    <w:p w14:paraId="29AB8311" w14:textId="77777777" w:rsidR="00DB2B68" w:rsidRDefault="00000000">
      <w:pPr>
        <w:jc w:val="both"/>
      </w:pPr>
      <w:r>
        <w:rPr>
          <w:b/>
        </w:rPr>
        <w:t>(soit)</w:t>
      </w:r>
    </w:p>
    <w:p w14:paraId="33CFF6CC" w14:textId="77777777" w:rsidR="00DB2B68" w:rsidRDefault="00000000">
      <w:pPr>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connecteurs de cisaillement et traction / sabots d’angles / ***</w:t>
      </w:r>
      <w:r>
        <w:rPr>
          <w:rStyle w:val="soitChar"/>
        </w:rPr>
        <w:t xml:space="preserve">. </w:t>
      </w:r>
    </w:p>
    <w:p w14:paraId="4C3BBEDC" w14:textId="77777777" w:rsidR="00DB2B68" w:rsidRDefault="00000000">
      <w:pPr>
        <w:jc w:val="both"/>
      </w:pPr>
      <w:r>
        <w:rPr>
          <w:rStyle w:val="soitChar"/>
        </w:rPr>
        <w:t xml:space="preserve">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mm de bord du panneau.</w:t>
      </w:r>
      <w:r>
        <w:t> </w:t>
      </w:r>
    </w:p>
    <w:p w14:paraId="2B15D417" w14:textId="77777777" w:rsidR="00DB2B68" w:rsidRDefault="00000000">
      <w:pPr>
        <w:jc w:val="both"/>
      </w:pPr>
      <w:r>
        <w:rPr>
          <w:b/>
        </w:rPr>
        <w:t>(soit)</w:t>
      </w:r>
    </w:p>
    <w:p w14:paraId="7F764BD8" w14:textId="77777777" w:rsidR="00DB2B68" w:rsidRDefault="00000000">
      <w:pPr>
        <w:jc w:val="both"/>
      </w:pPr>
      <w:r>
        <w:rPr>
          <w:rStyle w:val="optioncarChar"/>
        </w:rPr>
        <w:t>***</w:t>
      </w:r>
      <w:r>
        <w:t> </w:t>
      </w:r>
    </w:p>
    <w:p w14:paraId="7848A755" w14:textId="77777777" w:rsidR="00DB2B68" w:rsidRDefault="0000000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1648707A" w14:textId="77777777" w:rsidR="00DB2B68" w:rsidRDefault="0000000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740FB0E3" w14:textId="77777777" w:rsidR="00DB2B68" w:rsidRDefault="00000000">
      <w:pPr>
        <w:jc w:val="both"/>
      </w:pPr>
      <w:r>
        <w:t xml:space="preserve">Les dispositifs d’ancrage sont décrits dans les éléments du </w:t>
      </w:r>
      <w:hyperlink w:anchor="585" w:history="1">
        <w:r>
          <w:rPr>
            <w:color w:val="0000EE"/>
          </w:rPr>
          <w:t>24.4 Assemblages</w:t>
        </w:r>
      </w:hyperlink>
      <w:r>
        <w:t>.</w:t>
      </w:r>
    </w:p>
    <w:p w14:paraId="1901F9FD" w14:textId="77777777" w:rsidR="00DB2B68" w:rsidRDefault="00000000">
      <w:pPr>
        <w:jc w:val="both"/>
      </w:pPr>
      <w:r>
        <w:rPr>
          <w:b/>
        </w:rPr>
        <w:t>Travaux préalables :  HVAC - Sanitaires - Electricité :</w:t>
      </w:r>
    </w:p>
    <w:p w14:paraId="7BE02CC2" w14:textId="77777777" w:rsidR="00DB2B68" w:rsidRDefault="0000000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6222041D" w14:textId="77777777" w:rsidR="00DB2B68" w:rsidRDefault="00000000">
      <w:pPr>
        <w:jc w:val="both"/>
      </w:pPr>
      <w:r>
        <w:rPr>
          <w:b/>
        </w:rPr>
        <w:t>(soit par défaut)</w:t>
      </w:r>
    </w:p>
    <w:p w14:paraId="4E04AD44" w14:textId="77777777" w:rsidR="00DB2B68" w:rsidRDefault="00000000">
      <w:pPr>
        <w:jc w:val="both"/>
      </w:pPr>
      <w:r>
        <w:rPr>
          <w:rStyle w:val="soitChar"/>
          <w:u w:val="single"/>
        </w:rPr>
        <w:t>Non :</w:t>
      </w:r>
      <w:r>
        <w:rPr>
          <w:rStyle w:val="soitChar"/>
        </w:rPr>
        <w:t> </w:t>
      </w:r>
      <w:r>
        <w:rPr>
          <w:color w:val="33CCCC"/>
        </w:rPr>
        <w:t>Les travaux ne comprennent aucun élément en préfabrication en vue de la réalisation des travaux HVAC, sanitaires et électriques. Les travaux s’y référant sont décrits dans le </w:t>
      </w:r>
      <w:r>
        <w:t>6 T6 HVAC - sanitaires</w:t>
      </w:r>
      <w:r>
        <w:rPr>
          <w:color w:val="33CCCC"/>
        </w:rPr>
        <w:t> et </w:t>
      </w:r>
      <w:r>
        <w:t>7 T7 Electricité</w:t>
      </w:r>
      <w:r>
        <w:rPr>
          <w:color w:val="33CCCC"/>
        </w:rPr>
        <w:t> et sont réalisés a posteriori.</w:t>
      </w:r>
    </w:p>
    <w:p w14:paraId="2477F6A7" w14:textId="77777777" w:rsidR="00DB2B68" w:rsidRDefault="00000000">
      <w:pPr>
        <w:jc w:val="both"/>
      </w:pPr>
      <w:r>
        <w:rPr>
          <w:b/>
        </w:rPr>
        <w:t>(soit)</w:t>
      </w:r>
    </w:p>
    <w:p w14:paraId="293E1C31" w14:textId="77777777" w:rsidR="00DB2B68" w:rsidRDefault="00000000">
      <w:pPr>
        <w:jc w:val="both"/>
      </w:pPr>
      <w:r>
        <w:rPr>
          <w:rStyle w:val="soitChar"/>
          <w:u w:val="single"/>
        </w:rPr>
        <w:t>Oui :</w:t>
      </w:r>
      <w:r>
        <w:rPr>
          <w:rStyle w:val="soitChar"/>
        </w:rPr>
        <w:t> </w:t>
      </w:r>
      <w:r>
        <w:rPr>
          <w:color w:val="33CCCC"/>
        </w:rPr>
        <w:t>Les travaux comprennent dans la réalisation de la paroi, en préfabrication, le forage et le défonçage (fraisage) et éléments nécessaires aux travaux des installations HVAC, sanitaires et électriques. Les travaux s’y référant sont décrits dans le </w:t>
      </w:r>
      <w:r>
        <w:t>6 T6 HVAC - sanitaires</w:t>
      </w:r>
      <w:r>
        <w:rPr>
          <w:color w:val="33CCCC"/>
        </w:rPr>
        <w:t> et </w:t>
      </w:r>
      <w:r>
        <w:t>7 T7 Electricité</w:t>
      </w:r>
      <w:r>
        <w:rPr>
          <w:color w:val="33CCCC"/>
        </w:rPr>
        <w:t>.  </w:t>
      </w:r>
    </w:p>
    <w:p w14:paraId="4ECC4E21" w14:textId="77777777" w:rsidR="00DB2B68" w:rsidRDefault="00000000">
      <w:pPr>
        <w:jc w:val="both"/>
      </w:pPr>
      <w:r>
        <w:rPr>
          <w:b/>
        </w:rPr>
        <w:t>Etanchéité à l’air :</w:t>
      </w:r>
    </w:p>
    <w:p w14:paraId="0EDE2906" w14:textId="77777777" w:rsidR="00DB2B68" w:rsidRDefault="00000000">
      <w:pPr>
        <w:jc w:val="both"/>
      </w:pPr>
      <w:r>
        <w:t xml:space="preserve">L’étanchéité à l’air est assurée par : </w:t>
      </w:r>
      <w:r>
        <w:rPr>
          <w:rStyle w:val="optioncarChar"/>
        </w:rPr>
        <w:t>des bandes d’étanchéité aux jonctions de panneaux </w:t>
      </w:r>
      <w:r>
        <w:t>(par défaut)</w:t>
      </w:r>
      <w:r>
        <w:rPr>
          <w:rStyle w:val="optioncarChar"/>
        </w:rPr>
        <w:t> / une membrane continue  / des joints d’étanchéité dans l’épaisseur des panneaux.</w:t>
      </w:r>
    </w:p>
    <w:p w14:paraId="7BD88745" w14:textId="77777777" w:rsidR="00DB2B68" w:rsidRDefault="00000000">
      <w:pPr>
        <w:jc w:val="both"/>
      </w:pPr>
      <w:r>
        <w:lastRenderedPageBreak/>
        <w:t>Sauf disposition particulière dans le CSC et hormis pour les joints d’étanchéité dans l’épaisseur des panneaux, la membrane ou les bandes d’étanchéités sont appliquées sur les faces extérieures des panneaux.</w:t>
      </w:r>
    </w:p>
    <w:p w14:paraId="3CCA55D5" w14:textId="77777777" w:rsidR="00DB2B68" w:rsidRDefault="00000000">
      <w:pPr>
        <w:jc w:val="both"/>
      </w:pPr>
      <w:r>
        <w:t>Dans le cas de panneaux trois plis, soit il est fait usage d’une membrane continue, soit une étanchéité à l’air complémentaire est mise en œuvre.</w:t>
      </w:r>
    </w:p>
    <w:p w14:paraId="394B9848" w14:textId="77777777" w:rsidR="00DB2B68" w:rsidRDefault="00000000">
      <w:pPr>
        <w:jc w:val="both"/>
      </w:pPr>
      <w:r>
        <w:t xml:space="preserve"> Cette étanchéité complémentaire peut être placée à l’extérieur des panneaux CLT, pour autant qu’une couche d’isolation thermique d’épaisseur suffisante soit placée sur la face extérieure des panneaux (la règle de base veut que la résistance thermique de l’isolation soit ≥ aux 2/3 de celle de toute la paroi).</w:t>
      </w:r>
    </w:p>
    <w:p w14:paraId="241DDC12" w14:textId="77777777" w:rsidR="00DB2B68" w:rsidRDefault="00000000">
      <w:pPr>
        <w:jc w:val="both"/>
      </w:pPr>
      <w:r>
        <w:rPr>
          <w:b/>
        </w:rPr>
        <w:t>Etanchéité à la vapeur d’eau :</w:t>
      </w:r>
    </w:p>
    <w:p w14:paraId="2890772E" w14:textId="77777777" w:rsidR="00DB2B68" w:rsidRDefault="00000000">
      <w:pPr>
        <w:jc w:val="both"/>
      </w:pPr>
      <w:r>
        <w:t xml:space="preserve">Le concepteur de la paroi en panneaux CLT veille au comportement hygrothermique de celle-ci en fonction des caractéristiques du projet et en tenant compte : </w:t>
      </w:r>
      <w:r>
        <w:rPr>
          <w:rStyle w:val="optioncarChar"/>
        </w:rPr>
        <w:t xml:space="preserve">d’un facteur μ sécuritaire compris entre 18 et 50 </w:t>
      </w:r>
      <w:r>
        <w:t>(par défaut)</w:t>
      </w:r>
      <w:r>
        <w:rPr>
          <w:rStyle w:val="optioncarChar"/>
        </w:rPr>
        <w:t xml:space="preserve"> / du facteur de résistance à la diffusion de vapeur d’eau μ déclaré par le fabricant.</w:t>
      </w:r>
    </w:p>
    <w:p w14:paraId="4938F4FB" w14:textId="77777777" w:rsidR="00DB2B68" w:rsidRDefault="00000000">
      <w:pPr>
        <w:pStyle w:val="pheading"/>
      </w:pPr>
      <w:r>
        <w:t>DOCUMENTS DE RÉFÉRENCE COMPLÉMENTAIRES</w:t>
      </w:r>
    </w:p>
    <w:p w14:paraId="291B0FC9" w14:textId="77777777" w:rsidR="00DB2B68" w:rsidRDefault="00000000">
      <w:pPr>
        <w:pStyle w:val="pheading"/>
      </w:pPr>
      <w:r>
        <w:t>- Matériau</w:t>
      </w:r>
    </w:p>
    <w:p w14:paraId="0E395A41" w14:textId="77777777" w:rsidR="00DB2B68" w:rsidRDefault="00000000">
      <w:r>
        <w:t>[NBN EN 301, Adhésifs de nature phénolique et aminoplaste, pour structures portantes en bois - Classification et exigences de performance]</w:t>
      </w:r>
    </w:p>
    <w:p w14:paraId="494826FC" w14:textId="77777777" w:rsidR="00DB2B68" w:rsidRDefault="00000000">
      <w:r>
        <w:t>[NBN EN 302-2, Adhésifs pour structures portantes en bois - Méthodes d'essais - Partie 2 : Détermination de la résistance à la délamination]</w:t>
      </w:r>
    </w:p>
    <w:p w14:paraId="700C744D" w14:textId="77777777" w:rsidR="00DB2B68" w:rsidRDefault="00000000">
      <w:r>
        <w:t>[NBN EN 408+A1, Structures en bois - Bois de structure et bois lamellé-collé - Détermination de certaines propriétés physiques et mécaniques]</w:t>
      </w:r>
    </w:p>
    <w:p w14:paraId="28D69740" w14:textId="77777777" w:rsidR="00DB2B68" w:rsidRDefault="00000000">
      <w:r>
        <w:t>[NBN EN 1991 série, Eurocode 1 : Actions sur les structures]</w:t>
      </w:r>
    </w:p>
    <w:p w14:paraId="4B752DAB" w14:textId="77777777" w:rsidR="00DB2B68" w:rsidRDefault="00000000">
      <w:r>
        <w:t>[NBN EN 1995 série, Eurocode 5: Conception et calcul des structures en bois]</w:t>
      </w:r>
    </w:p>
    <w:p w14:paraId="6965D488"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02975654" w14:textId="77777777" w:rsidR="00DB2B68" w:rsidRDefault="00000000">
      <w:r>
        <w:t>[NBN EN 13556, Bois ronds et bois sciés - Nomenclature des bois utilisés en Europe]</w:t>
      </w:r>
    </w:p>
    <w:p w14:paraId="02D77DBB" w14:textId="77777777" w:rsidR="00DB2B68" w:rsidRDefault="00000000">
      <w:r>
        <w:t>[NBN EN 14358, Structures en bois - Détermination et vérification des valeurs caractéristiques]</w:t>
      </w:r>
    </w:p>
    <w:p w14:paraId="1FFF1EAB" w14:textId="77777777" w:rsidR="00DB2B68" w:rsidRDefault="00000000">
      <w:r>
        <w:t>[NBN EN 15425, Adhésifs - Adhésifs polyuréthane monocomposants (PUR) pour structures portantes en bois - Classification et exigences de performance]</w:t>
      </w:r>
    </w:p>
    <w:p w14:paraId="19484549" w14:textId="77777777" w:rsidR="00DB2B68" w:rsidRDefault="00000000">
      <w:r>
        <w:t>[NBN EN 16351, Structures en bois - Bois lamellé croisé - Exigences] </w:t>
      </w:r>
    </w:p>
    <w:p w14:paraId="0496B214" w14:textId="77777777" w:rsidR="00DB2B68" w:rsidRDefault="00000000">
      <w:r>
        <w:t>[NBN EN 335, Durabilité du bois et des matériaux à base de bois - Classes d'emploi: définitions, application au bois massif et aux matériaux à base de bois]</w:t>
      </w:r>
    </w:p>
    <w:p w14:paraId="243A515B" w14:textId="77777777" w:rsidR="00DB2B68" w:rsidRDefault="00000000">
      <w:r>
        <w:t>[STS 04 série, Bois et panneaux à base de bois]</w:t>
      </w:r>
    </w:p>
    <w:p w14:paraId="6C4FCA5A" w14:textId="77777777" w:rsidR="00DB2B68" w:rsidRDefault="00000000">
      <w:pPr>
        <w:pStyle w:val="pheading"/>
      </w:pPr>
      <w:r>
        <w:t>MESURAGE</w:t>
      </w:r>
    </w:p>
    <w:p w14:paraId="4C12C4AC" w14:textId="77777777" w:rsidR="00DB2B68" w:rsidRDefault="00000000">
      <w:pPr>
        <w:pStyle w:val="pheading"/>
      </w:pPr>
      <w:r>
        <w:t>- unité de mesure:</w:t>
      </w:r>
    </w:p>
    <w:p w14:paraId="070FDC92" w14:textId="77777777" w:rsidR="00DB2B68" w:rsidRDefault="00000000">
      <w:r>
        <w:rPr>
          <w:rStyle w:val="optioncarChar"/>
        </w:rPr>
        <w:t>m²</w:t>
      </w:r>
      <w:r>
        <w:t xml:space="preserve"> (par défaut)</w:t>
      </w:r>
      <w:r>
        <w:rPr>
          <w:rStyle w:val="optioncarChar"/>
        </w:rPr>
        <w:t xml:space="preserve"> / m³</w:t>
      </w:r>
    </w:p>
    <w:p w14:paraId="068D779A" w14:textId="77777777" w:rsidR="00DB2B68" w:rsidRDefault="00000000">
      <w:r>
        <w:rPr>
          <w:b/>
        </w:rPr>
        <w:t>(soit par défaut)</w:t>
      </w:r>
      <w:r>
        <w:br/>
      </w:r>
      <w:r>
        <w:rPr>
          <w:rStyle w:val="soitChar"/>
        </w:rPr>
        <w:t>1. m²</w:t>
      </w:r>
      <w:r>
        <w:br/>
      </w:r>
      <w:r>
        <w:rPr>
          <w:b/>
        </w:rPr>
        <w:t>(soit)</w:t>
      </w:r>
      <w:r>
        <w:br/>
      </w:r>
      <w:r>
        <w:rPr>
          <w:rStyle w:val="soitChar"/>
        </w:rPr>
        <w:t>2. m³</w:t>
      </w:r>
    </w:p>
    <w:p w14:paraId="7C320903" w14:textId="77777777" w:rsidR="00DB2B68" w:rsidRDefault="00000000">
      <w:pPr>
        <w:pStyle w:val="pheading"/>
      </w:pPr>
      <w:r>
        <w:t>- code de mesurage:</w:t>
      </w:r>
    </w:p>
    <w:p w14:paraId="2690AF87" w14:textId="77777777" w:rsidR="00DB2B68" w:rsidRDefault="00000000">
      <w:pPr>
        <w:jc w:val="both"/>
      </w:pPr>
      <w:r>
        <w:rPr>
          <w:rStyle w:val="optioncarChar"/>
        </w:rPr>
        <w:t xml:space="preserve">Surface nette </w:t>
      </w:r>
      <w:r>
        <w:t>(par défaut)</w:t>
      </w:r>
      <w:r>
        <w:rPr>
          <w:rStyle w:val="optioncarChar"/>
        </w:rPr>
        <w:t xml:space="preserve"> / Volume net</w:t>
      </w:r>
    </w:p>
    <w:p w14:paraId="17AA9634" w14:textId="77777777" w:rsidR="00DB2B68" w:rsidRDefault="00000000">
      <w:pPr>
        <w:jc w:val="both"/>
      </w:pPr>
      <w:r>
        <w:rPr>
          <w:b/>
        </w:rPr>
        <w:t>(soit par défaut)</w:t>
      </w:r>
    </w:p>
    <w:p w14:paraId="0650F94C" w14:textId="77777777" w:rsidR="00DB2B68" w:rsidRDefault="00000000">
      <w:pPr>
        <w:jc w:val="both"/>
      </w:pPr>
      <w:r>
        <w:rPr>
          <w:rStyle w:val="soitChar"/>
        </w:rPr>
        <w:lastRenderedPageBreak/>
        <w:t xml:space="preserve">1. </w:t>
      </w:r>
      <w:r>
        <w:rPr>
          <w:rStyle w:val="soitChar"/>
          <w:u w:val="single"/>
        </w:rPr>
        <w:t>Surface nette</w:t>
      </w:r>
      <w:r>
        <w:rPr>
          <w:rStyle w:val="soitChar"/>
        </w:rPr>
        <w:t xml:space="preserve"> à mettre en œuvre. Les réservations &lt; 2 m² ne sont pas déduites. Distinction faite suivant l'épaisseur.</w:t>
      </w:r>
    </w:p>
    <w:p w14:paraId="6B78991F" w14:textId="77777777" w:rsidR="00DB2B68" w:rsidRDefault="00000000">
      <w:pPr>
        <w:jc w:val="both"/>
      </w:pPr>
      <w:r>
        <w:rPr>
          <w:b/>
        </w:rPr>
        <w:t>(soit)</w:t>
      </w:r>
    </w:p>
    <w:p w14:paraId="0C97232A" w14:textId="77777777" w:rsidR="00DB2B68" w:rsidRDefault="00000000">
      <w:pPr>
        <w:jc w:val="both"/>
      </w:pPr>
      <w:r>
        <w:rPr>
          <w:color w:val="33CCCC"/>
        </w:rPr>
        <w:t xml:space="preserve">2. </w:t>
      </w:r>
      <w:r>
        <w:rPr>
          <w:rStyle w:val="soitChar"/>
          <w:u w:val="single"/>
        </w:rPr>
        <w:t xml:space="preserve">Volume net </w:t>
      </w:r>
      <w:r>
        <w:rPr>
          <w:color w:val="33CCCC"/>
        </w:rPr>
        <w:t xml:space="preserve"> à mettre en œuvre. Les ouvertures S &gt; 2 m² multipliées par l’épaisseur à réaliser sont déduites. Distinction faite suivant l’épaisseur.</w:t>
      </w:r>
    </w:p>
    <w:p w14:paraId="1D2CC120" w14:textId="77777777" w:rsidR="00DB2B68" w:rsidRDefault="00000000">
      <w:pPr>
        <w:pStyle w:val="pheading"/>
      </w:pPr>
      <w:r>
        <w:t>- nature du marché:</w:t>
      </w:r>
    </w:p>
    <w:p w14:paraId="58F9AB4F" w14:textId="77777777" w:rsidR="00DB2B68" w:rsidRDefault="00000000">
      <w:r>
        <w:rPr>
          <w:rStyle w:val="optioncarChar"/>
        </w:rPr>
        <w:t xml:space="preserve">QF </w:t>
      </w:r>
      <w:r>
        <w:t xml:space="preserve">(par défaut) </w:t>
      </w:r>
      <w:r>
        <w:rPr>
          <w:rStyle w:val="optioncarChar"/>
        </w:rPr>
        <w:t>/ QP</w:t>
      </w:r>
    </w:p>
    <w:p w14:paraId="7D2DE8DC" w14:textId="77777777" w:rsidR="00DB2B68" w:rsidRDefault="00000000">
      <w:r>
        <w:rPr>
          <w:b/>
        </w:rPr>
        <w:t>(soit par défaut)</w:t>
      </w:r>
      <w:r>
        <w:br/>
      </w:r>
      <w:r>
        <w:rPr>
          <w:rStyle w:val="soitChar"/>
        </w:rPr>
        <w:t>1. 2. QF</w:t>
      </w:r>
      <w:r>
        <w:br/>
      </w:r>
      <w:r>
        <w:rPr>
          <w:b/>
        </w:rPr>
        <w:t>(soit)</w:t>
      </w:r>
      <w:r>
        <w:br/>
      </w:r>
      <w:r>
        <w:rPr>
          <w:rStyle w:val="soitChar"/>
        </w:rPr>
        <w:t>1. 2. QP</w:t>
      </w:r>
    </w:p>
    <w:p w14:paraId="654B4717" w14:textId="77777777" w:rsidR="00DB2B68" w:rsidRDefault="00000000">
      <w:pPr>
        <w:pStyle w:val="pheading"/>
      </w:pPr>
      <w:r>
        <w:t>AIDE</w:t>
      </w:r>
    </w:p>
    <w:p w14:paraId="13F33146" w14:textId="77777777" w:rsidR="00DB2B68" w:rsidRDefault="00000000">
      <w:pPr>
        <w:jc w:val="both"/>
      </w:pPr>
      <w:r>
        <w:t>(1) Il existe des lisses de section L ou T permettant une liaison plus aisée avec les panneaux.</w:t>
      </w:r>
    </w:p>
    <w:p w14:paraId="73B5FDD4" w14:textId="77777777" w:rsidR="00DB2B68" w:rsidRDefault="00000000">
      <w:pPr>
        <w:pStyle w:val="Author-eSectionHeading5Numberless"/>
      </w:pPr>
      <w:bookmarkStart w:id="1659" w:name="_Toc220496644"/>
      <w:r>
        <w:t>24.21.3 Murs en bois en caissons préfabriqués CCTB 01.10</w:t>
      </w:r>
      <w:bookmarkEnd w:id="1659"/>
    </w:p>
    <w:p w14:paraId="27D79F16" w14:textId="77777777" w:rsidR="00DB2B68" w:rsidRDefault="00000000">
      <w:pPr>
        <w:pStyle w:val="Author-eSectionHeading6Numberless"/>
      </w:pPr>
      <w:bookmarkStart w:id="1660" w:name="_Toc220496645"/>
      <w:r>
        <w:t>24.21.3a Murs en bois en caissons préfabriqués remplis d'isolant CCTB 01.12</w:t>
      </w:r>
      <w:bookmarkEnd w:id="1660"/>
    </w:p>
    <w:p w14:paraId="15FEC638" w14:textId="77777777" w:rsidR="00DB2B68" w:rsidRDefault="00000000">
      <w:pPr>
        <w:pStyle w:val="pheading"/>
      </w:pPr>
      <w:r>
        <w:t>DESCRIPTION</w:t>
      </w:r>
    </w:p>
    <w:p w14:paraId="6A0700CC" w14:textId="77777777" w:rsidR="00DB2B68" w:rsidRDefault="00000000">
      <w:pPr>
        <w:pStyle w:val="pheading"/>
      </w:pPr>
      <w:r>
        <w:t>- Définition / Comprend</w:t>
      </w:r>
    </w:p>
    <w:p w14:paraId="29B683A1" w14:textId="77777777" w:rsidR="00DB2B68" w:rsidRDefault="00000000">
      <w:pPr>
        <w:jc w:val="both"/>
      </w:pPr>
      <w:r>
        <w:t>Il s’agit de la fourniture et la pose de murs porteurs ou non constitués de caissons  préfabriqués en bois remplis d’isolant.</w:t>
      </w:r>
    </w:p>
    <w:p w14:paraId="59E47215" w14:textId="77777777" w:rsidR="00DB2B68" w:rsidRDefault="00000000">
      <w:pPr>
        <w:jc w:val="both"/>
      </w:pPr>
      <w:r>
        <w:t>Le travail comprend notamment :</w:t>
      </w:r>
    </w:p>
    <w:p w14:paraId="2BF96B1E" w14:textId="77777777" w:rsidR="00DB2B68" w:rsidRDefault="00000000">
      <w:pPr>
        <w:pStyle w:val="Author-eListParagraph"/>
        <w:numPr>
          <w:ilvl w:val="0"/>
          <w:numId w:val="898"/>
        </w:numPr>
        <w:jc w:val="both"/>
      </w:pPr>
      <w:r>
        <w:t>La préparation et nettoyage des supports sur lesquels les éléments sont posés;</w:t>
      </w:r>
    </w:p>
    <w:p w14:paraId="1A8F2F6C" w14:textId="77777777" w:rsidR="00DB2B68" w:rsidRDefault="00000000">
      <w:pPr>
        <w:pStyle w:val="Author-eListParagraph"/>
        <w:numPr>
          <w:ilvl w:val="0"/>
          <w:numId w:val="898"/>
        </w:numPr>
        <w:jc w:val="both"/>
      </w:pPr>
      <w:r>
        <w:t>La fabrication, la livraison et la pose des parois, y compris les engins de levage, tous les supports temporaires et travaux d’étayage;</w:t>
      </w:r>
    </w:p>
    <w:p w14:paraId="021B0DB1" w14:textId="77777777" w:rsidR="00DB2B68" w:rsidRDefault="00000000">
      <w:pPr>
        <w:pStyle w:val="Author-eListParagraph"/>
        <w:numPr>
          <w:ilvl w:val="0"/>
          <w:numId w:val="898"/>
        </w:numPr>
        <w:jc w:val="both"/>
      </w:pPr>
      <w:r>
        <w:t>Les réservations prévues sur les plans;</w:t>
      </w:r>
    </w:p>
    <w:p w14:paraId="62E8EF67" w14:textId="77777777" w:rsidR="00DB2B68" w:rsidRDefault="00000000">
      <w:pPr>
        <w:pStyle w:val="Author-eListParagraph"/>
        <w:numPr>
          <w:ilvl w:val="0"/>
          <w:numId w:val="898"/>
        </w:numPr>
        <w:jc w:val="both"/>
      </w:pPr>
      <w:r>
        <w:t>La finition des bords et travaux de réparation en cas d’endommagement;</w:t>
      </w:r>
    </w:p>
    <w:p w14:paraId="1D3533CA" w14:textId="77777777" w:rsidR="00DB2B68" w:rsidRDefault="00000000">
      <w:pPr>
        <w:pStyle w:val="Author-eListParagraph"/>
        <w:numPr>
          <w:ilvl w:val="0"/>
          <w:numId w:val="898"/>
        </w:numPr>
        <w:jc w:val="both"/>
      </w:pPr>
      <w:r>
        <w:t>Le remplissage des joints de dilatation éventuels selon les directives du fournisseur;</w:t>
      </w:r>
    </w:p>
    <w:p w14:paraId="1D10900C" w14:textId="77777777" w:rsidR="00DB2B68" w:rsidRDefault="00000000">
      <w:pPr>
        <w:pStyle w:val="Author-eListParagraph"/>
        <w:numPr>
          <w:ilvl w:val="0"/>
          <w:numId w:val="898"/>
        </w:numPr>
        <w:jc w:val="both"/>
      </w:pPr>
      <w:r>
        <w:t>Le contrôle de toutes les dimensions et l’adaptation des éléments à préfabriquer aux dimensions réelles ;</w:t>
      </w:r>
    </w:p>
    <w:p w14:paraId="1F72D0A9" w14:textId="77777777" w:rsidR="00DB2B68" w:rsidRDefault="00000000">
      <w:pPr>
        <w:pStyle w:val="Author-eListParagraph"/>
        <w:numPr>
          <w:ilvl w:val="0"/>
          <w:numId w:val="898"/>
        </w:numPr>
        <w:jc w:val="both"/>
      </w:pPr>
      <w:r>
        <w:t>Tous les moyens de liaisonnement éventuels, aussi bien entre les éléments préfabriqués, qu’avec les éléments de support, de bord, … ;</w:t>
      </w:r>
    </w:p>
    <w:p w14:paraId="12BBB4FF" w14:textId="77777777" w:rsidR="00DB2B68" w:rsidRDefault="00000000">
      <w:pPr>
        <w:pStyle w:val="Author-eListParagraph"/>
        <w:numPr>
          <w:ilvl w:val="0"/>
          <w:numId w:val="898"/>
        </w:numPr>
        <w:jc w:val="both"/>
      </w:pPr>
      <w:r>
        <w:t>L’éventuel pare-vapeur ou frein vapeur ;</w:t>
      </w:r>
    </w:p>
    <w:p w14:paraId="461B46B2" w14:textId="77777777" w:rsidR="00DB2B68" w:rsidRDefault="00000000">
      <w:pPr>
        <w:pStyle w:val="Author-eListParagraph"/>
        <w:numPr>
          <w:ilvl w:val="0"/>
          <w:numId w:val="898"/>
        </w:numPr>
        <w:jc w:val="both"/>
      </w:pPr>
      <w:r>
        <w:t>L’enlèvement de tous les accessoires, éléments de coffrage, supports, étais et le nettoyage des faces visibles;    </w:t>
      </w:r>
    </w:p>
    <w:p w14:paraId="1F73ED03" w14:textId="77777777" w:rsidR="00DB2B68" w:rsidRDefault="00000000">
      <w:pPr>
        <w:pStyle w:val="Author-eListParagraph"/>
        <w:numPr>
          <w:ilvl w:val="0"/>
          <w:numId w:val="898"/>
        </w:numPr>
        <w:jc w:val="both"/>
      </w:pPr>
      <w:r>
        <w:t>Les ouvrages de protection des caissons contre la pluie, l’humidité et la condensation durant le transport et toute la durée du chantier.</w:t>
      </w:r>
    </w:p>
    <w:p w14:paraId="3D585778" w14:textId="77777777" w:rsidR="00DB2B68" w:rsidRDefault="00000000">
      <w:pPr>
        <w:pStyle w:val="pheading"/>
      </w:pPr>
      <w:r>
        <w:t>- Localisation</w:t>
      </w:r>
    </w:p>
    <w:p w14:paraId="01206619" w14:textId="77777777" w:rsidR="00DB2B68" w:rsidRDefault="00000000">
      <w:r>
        <w:t xml:space="preserve">Localisation des travaux : </w:t>
      </w:r>
      <w:r>
        <w:rPr>
          <w:rStyle w:val="optioncarChar"/>
        </w:rPr>
        <w:t>***</w:t>
      </w:r>
      <w:r>
        <w:t>.</w:t>
      </w:r>
    </w:p>
    <w:p w14:paraId="52F975D8" w14:textId="77777777" w:rsidR="00DB2B68" w:rsidRDefault="00000000">
      <w:r>
        <w:t>Voir plans et métrés détaillés.</w:t>
      </w:r>
    </w:p>
    <w:p w14:paraId="472AB21E" w14:textId="77777777" w:rsidR="00DB2B68" w:rsidRDefault="00000000">
      <w:pPr>
        <w:pStyle w:val="pheading"/>
      </w:pPr>
      <w:r>
        <w:t>MATÉRIAUX</w:t>
      </w:r>
    </w:p>
    <w:p w14:paraId="4BFFF540" w14:textId="77777777" w:rsidR="00DB2B68" w:rsidRDefault="00000000">
      <w:pPr>
        <w:pStyle w:val="pheading"/>
      </w:pPr>
      <w:r>
        <w:t>- Caractéristiques générales</w:t>
      </w:r>
    </w:p>
    <w:p w14:paraId="3570759D" w14:textId="77777777" w:rsidR="00DB2B68" w:rsidRDefault="00000000">
      <w:pPr>
        <w:jc w:val="both"/>
      </w:pPr>
      <w:r>
        <w:t>L’ensemble est un complexe réalisé en usine ou en atelier et comprend :</w:t>
      </w:r>
    </w:p>
    <w:p w14:paraId="365CC7F3" w14:textId="77777777" w:rsidR="00DB2B68" w:rsidRDefault="00000000">
      <w:pPr>
        <w:jc w:val="both"/>
      </w:pPr>
      <w:r>
        <w:rPr>
          <w:b/>
        </w:rPr>
        <w:t>Structure</w:t>
      </w:r>
    </w:p>
    <w:p w14:paraId="206F8CCC" w14:textId="77777777" w:rsidR="00DB2B68" w:rsidRDefault="00000000">
      <w:pPr>
        <w:jc w:val="both"/>
      </w:pPr>
      <w:r>
        <w:t xml:space="preserve">Les cadres de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semelle </w:t>
      </w:r>
      <w:r>
        <w:lastRenderedPageBreak/>
        <w:t xml:space="preserve">des poutres en I) de </w:t>
      </w:r>
      <w:r>
        <w:rPr>
          <w:rStyle w:val="optioncarChar"/>
        </w:rPr>
        <w:t xml:space="preserve">38 / 45 </w:t>
      </w:r>
      <w:r>
        <w:t>(par défaut)</w:t>
      </w:r>
      <w:r>
        <w:rPr>
          <w:rStyle w:val="optioncarChar"/>
        </w:rPr>
        <w:t xml:space="preserve">  / 60 / ***</w:t>
      </w:r>
      <w:r>
        <w:t xml:space="preserve"> mm et d’une hauteur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14:paraId="72792794" w14:textId="77777777" w:rsidR="00DB2B68" w:rsidRDefault="00000000">
      <w:pPr>
        <w:jc w:val="both"/>
      </w:pPr>
      <w:r>
        <w:t>Le bois massif répond aux spécifications de la [NBN EN 14081 série].</w:t>
      </w:r>
    </w:p>
    <w:p w14:paraId="2CF03ED2" w14:textId="77777777" w:rsidR="00DB2B68" w:rsidRDefault="00000000">
      <w:pPr>
        <w:jc w:val="both"/>
      </w:pPr>
      <w:r>
        <w:t>Les bois massifs peuvent être aboutés. Les pièces constitutives du produit fini doivent être classées selon la  [NBN EN 14081 série] et les produits finis doivent être marqués selon la [NBN EN 15497].</w:t>
      </w:r>
    </w:p>
    <w:p w14:paraId="17A6C10E" w14:textId="77777777" w:rsidR="00DB2B68" w:rsidRDefault="00000000">
      <w:pPr>
        <w:jc w:val="both"/>
      </w:pPr>
      <w:r>
        <w:t>Les bois lamellé-collé doit répondre à la [NBN EN 14080].</w:t>
      </w:r>
    </w:p>
    <w:p w14:paraId="7348E37D" w14:textId="77777777" w:rsidR="00DB2B68" w:rsidRDefault="00000000">
      <w:pPr>
        <w:jc w:val="both"/>
      </w:pPr>
      <w:r>
        <w:t xml:space="preserve">La classe d’emploi d’un élément est déterminée suivant la [NBN EN 335] : </w:t>
      </w:r>
      <w:r>
        <w:rPr>
          <w:rStyle w:val="optioncarChar"/>
        </w:rPr>
        <w:t xml:space="preserve">classe 1 / classe 2 </w:t>
      </w:r>
      <w:r>
        <w:t xml:space="preserve">(par défaut) </w:t>
      </w:r>
      <w:r>
        <w:rPr>
          <w:rStyle w:val="optioncarChar"/>
        </w:rPr>
        <w:t>/ classe 3.</w:t>
      </w:r>
    </w:p>
    <w:p w14:paraId="4E4C3576" w14:textId="77777777" w:rsidR="00DB2B68" w:rsidRDefault="00000000">
      <w:pPr>
        <w:jc w:val="both"/>
      </w:pPr>
      <w:r>
        <w:t xml:space="preserve">La structure correspond en tout point au titre </w:t>
      </w:r>
      <w:hyperlink w:anchor="594" w:history="1">
        <w:r>
          <w:rPr>
            <w:color w:val="0000EE"/>
          </w:rPr>
          <w:t>24.1 Eléments de structures en bois</w:t>
        </w:r>
      </w:hyperlink>
      <w:r>
        <w:t xml:space="preserve"> et au sous-titre </w:t>
      </w:r>
      <w:hyperlink w:anchor="595" w:history="1">
        <w:r>
          <w:rPr>
            <w:color w:val="0000EE"/>
          </w:rPr>
          <w:t>24.42 Assemblages mécaniques</w:t>
        </w:r>
      </w:hyperlink>
      <w:r>
        <w:t>. </w:t>
      </w:r>
    </w:p>
    <w:p w14:paraId="5CABBDDE" w14:textId="77777777" w:rsidR="00DB2B68" w:rsidRDefault="00000000">
      <w:pPr>
        <w:jc w:val="both"/>
      </w:pPr>
      <w:r>
        <w:rPr>
          <w:b/>
        </w:rPr>
        <w:t>Panneau extérieur</w:t>
      </w:r>
    </w:p>
    <w:p w14:paraId="439FCADC" w14:textId="77777777" w:rsidR="00DB2B68" w:rsidRDefault="00000000">
      <w:pPr>
        <w:jc w:val="both"/>
      </w:pPr>
      <w:r>
        <w:t xml:space="preserve">Les panneaux extérieurs sont </w:t>
      </w:r>
      <w:r>
        <w:rPr>
          <w:rStyle w:val="optioncarChar"/>
        </w:rPr>
        <w:t xml:space="preserve">vissés </w:t>
      </w:r>
      <w:r>
        <w:t>(par défaut)</w:t>
      </w:r>
      <w:r>
        <w:rPr>
          <w:rStyle w:val="optioncarChar"/>
        </w:rPr>
        <w:t xml:space="preserve"> / cloués / collés / ***.</w:t>
      </w:r>
    </w:p>
    <w:p w14:paraId="64363243" w14:textId="77777777" w:rsidR="00DB2B68" w:rsidRDefault="00000000">
      <w:pPr>
        <w:jc w:val="both"/>
      </w:pPr>
      <w:r>
        <w:t xml:space="preserve">Le panneau est </w:t>
      </w:r>
      <w:r>
        <w:rPr>
          <w:rStyle w:val="optioncarChar"/>
        </w:rPr>
        <w:t>rainuré languetté / ***</w:t>
      </w:r>
      <w:r>
        <w:t>.</w:t>
      </w:r>
    </w:p>
    <w:p w14:paraId="0E33141A" w14:textId="77777777" w:rsidR="00DB2B68" w:rsidRDefault="00000000">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14:paraId="5896E22A" w14:textId="77777777" w:rsidR="00DB2B68" w:rsidRDefault="00000000">
      <w:pPr>
        <w:jc w:val="both"/>
      </w:pPr>
      <w:r>
        <w:t xml:space="preserve">La perméabilité à la vapeur d’eau (Sd) est inférieure à  </w:t>
      </w:r>
      <w:r>
        <w:rPr>
          <w:rStyle w:val="optioncarChar"/>
        </w:rPr>
        <w:t>0,1m  / 0,2m  / définie par l’analyse de diffusion de vapeur d’eau de la paroi complète</w:t>
      </w:r>
      <w:r>
        <w:t xml:space="preserve"> (par défaut)</w:t>
      </w:r>
      <w:r>
        <w:rPr>
          <w:rStyle w:val="optioncarChar"/>
        </w:rPr>
        <w:t xml:space="preserve"> / ***</w:t>
      </w:r>
      <w:r>
        <w:t>.</w:t>
      </w:r>
    </w:p>
    <w:p w14:paraId="2F6F525B" w14:textId="77777777" w:rsidR="00DB2B68" w:rsidRDefault="00000000">
      <w:pPr>
        <w:jc w:val="both"/>
      </w:pPr>
      <w:r>
        <w:t xml:space="preserve">Le panneau </w:t>
      </w:r>
      <w:r>
        <w:rPr>
          <w:rStyle w:val="optioncarChar"/>
        </w:rPr>
        <w:t>fait office / ne fait pas office</w:t>
      </w:r>
      <w:r>
        <w:t xml:space="preserve"> de pare-pluie. </w:t>
      </w:r>
    </w:p>
    <w:p w14:paraId="5CB73284" w14:textId="77777777" w:rsidR="00DB2B68" w:rsidRDefault="00000000">
      <w:pPr>
        <w:jc w:val="both"/>
      </w:pPr>
      <w:r>
        <w:t>Les panneaux sont constitués de panneaux</w:t>
      </w:r>
      <w:r>
        <w:rPr>
          <w:rStyle w:val="optioncarChar"/>
        </w:rPr>
        <w:t xml:space="preserve"> de fibre de bois </w:t>
      </w:r>
      <w:r>
        <w:t xml:space="preserve">(par défaut) </w:t>
      </w:r>
      <w:r>
        <w:rPr>
          <w:rStyle w:val="optioncarChar"/>
        </w:rPr>
        <w:t>/ OSB / multiplex bois / CLT / ***.</w:t>
      </w:r>
    </w:p>
    <w:p w14:paraId="7B19DA66" w14:textId="77777777" w:rsidR="00DB2B68" w:rsidRDefault="00000000">
      <w:pPr>
        <w:ind w:left="567"/>
        <w:jc w:val="both"/>
      </w:pPr>
      <w:r>
        <w:rPr>
          <w:b/>
          <w:i/>
        </w:rPr>
        <w:t>(Soit par défaut)</w:t>
      </w:r>
    </w:p>
    <w:p w14:paraId="29DC8333" w14:textId="77777777" w:rsidR="00DB2B68" w:rsidRDefault="00000000">
      <w:pPr>
        <w:ind w:left="567"/>
        <w:jc w:val="both"/>
      </w:pPr>
      <w:r>
        <w:rPr>
          <w:rStyle w:val="soitChar"/>
          <w:u w:val="single"/>
        </w:rPr>
        <w:t xml:space="preserve">Panneau de fibre de bois </w:t>
      </w:r>
    </w:p>
    <w:p w14:paraId="0BA21705" w14:textId="77777777" w:rsidR="00DB2B68" w:rsidRDefault="00000000">
      <w:pPr>
        <w:ind w:left="567"/>
        <w:jc w:val="both"/>
      </w:pPr>
      <w:r>
        <w:rPr>
          <w:rStyle w:val="soitChar"/>
        </w:rPr>
        <w:t xml:space="preserve">Pour le descriptif, voir l’article </w:t>
      </w:r>
      <w:hyperlink w:anchor="596" w:history="1">
        <w:r>
          <w:rPr>
            <w:rStyle w:val="soitChar"/>
            <w:color w:val="0000EE"/>
          </w:rPr>
          <w:t>24.16.1d Panneaux MDF</w:t>
        </w:r>
      </w:hyperlink>
      <w:r>
        <w:rPr>
          <w:rStyle w:val="soitChar"/>
        </w:rPr>
        <w:t>.</w:t>
      </w:r>
    </w:p>
    <w:p w14:paraId="6459C5F9" w14:textId="77777777" w:rsidR="00DB2B68" w:rsidRDefault="00000000">
      <w:pPr>
        <w:ind w:left="567"/>
        <w:jc w:val="both"/>
      </w:pPr>
      <w:r>
        <w:rPr>
          <w:rStyle w:val="soitChar"/>
        </w:rPr>
        <w:t xml:space="preserve">Les panneaux ont une épaisseur de </w:t>
      </w:r>
      <w:r>
        <w:rPr>
          <w:rStyle w:val="optioncarChar"/>
        </w:rPr>
        <w:t>12 / 20</w:t>
      </w:r>
      <w:r>
        <w:t xml:space="preserve"> (par défaut) </w:t>
      </w:r>
      <w:r>
        <w:rPr>
          <w:rStyle w:val="optioncarChar"/>
        </w:rPr>
        <w:t>/ ***</w:t>
      </w:r>
      <w:r>
        <w:rPr>
          <w:rStyle w:val="soitChar"/>
        </w:rPr>
        <w:t xml:space="preserve"> mm.</w:t>
      </w:r>
    </w:p>
    <w:p w14:paraId="630CD345" w14:textId="77777777" w:rsidR="00DB2B68" w:rsidRDefault="00000000">
      <w:pPr>
        <w:ind w:left="567"/>
        <w:jc w:val="both"/>
      </w:pPr>
      <w:r>
        <w:rPr>
          <w:rStyle w:val="soitChar"/>
        </w:rPr>
        <w:t>Les panneaux sont de type </w:t>
      </w:r>
      <w:r>
        <w:rPr>
          <w:rStyle w:val="optioncarChar"/>
        </w:rPr>
        <w:t>MDF LA</w:t>
      </w:r>
      <w:r>
        <w:t xml:space="preserve"> (par défaut) </w:t>
      </w:r>
      <w:r>
        <w:rPr>
          <w:rStyle w:val="optioncarChar"/>
        </w:rPr>
        <w:t>/ MDF-HLS</w:t>
      </w:r>
      <w:r>
        <w:rPr>
          <w:rStyle w:val="soitChar"/>
        </w:rPr>
        <w:t>.</w:t>
      </w:r>
    </w:p>
    <w:p w14:paraId="7E11FAE5" w14:textId="77777777" w:rsidR="00DB2B68" w:rsidRDefault="00000000">
      <w:pPr>
        <w:ind w:left="567"/>
        <w:jc w:val="both"/>
      </w:pPr>
      <w:r>
        <w:rPr>
          <w:rStyle w:val="soitChar"/>
        </w:rPr>
        <w:t>Les panneaux répondent à la [NBN EN 13986+A1] et aux exigences de [NBN EN 622 série].</w:t>
      </w:r>
    </w:p>
    <w:p w14:paraId="12D31490" w14:textId="77777777" w:rsidR="00DB2B68" w:rsidRDefault="00000000">
      <w:pPr>
        <w:ind w:left="567"/>
        <w:jc w:val="both"/>
      </w:pPr>
      <w:r>
        <w:rPr>
          <w:b/>
          <w:i/>
        </w:rPr>
        <w:t>(Soit)</w:t>
      </w:r>
    </w:p>
    <w:p w14:paraId="46C8850B" w14:textId="77777777" w:rsidR="00DB2B68" w:rsidRDefault="00000000">
      <w:pPr>
        <w:ind w:left="567"/>
        <w:jc w:val="both"/>
      </w:pPr>
      <w:r>
        <w:rPr>
          <w:rStyle w:val="soitChar"/>
          <w:u w:val="single"/>
        </w:rPr>
        <w:t xml:space="preserve">Osb </w:t>
      </w:r>
    </w:p>
    <w:p w14:paraId="15A4E1B2" w14:textId="77777777" w:rsidR="00DB2B68" w:rsidRDefault="00000000">
      <w:pPr>
        <w:ind w:left="567"/>
        <w:jc w:val="both"/>
      </w:pPr>
      <w:r>
        <w:rPr>
          <w:rStyle w:val="soitChar"/>
        </w:rPr>
        <w:t xml:space="preserve">Pour le descriptif, voir l’article </w:t>
      </w:r>
      <w:hyperlink w:anchor="597" w:history="1">
        <w:r>
          <w:rPr>
            <w:rStyle w:val="soitChar"/>
            <w:color w:val="0000EE"/>
          </w:rPr>
          <w:t>24.16.1b Panneaux OSB</w:t>
        </w:r>
      </w:hyperlink>
      <w:r>
        <w:rPr>
          <w:rStyle w:val="soitChar"/>
        </w:rPr>
        <w:t>.</w:t>
      </w:r>
    </w:p>
    <w:p w14:paraId="71733650" w14:textId="77777777" w:rsidR="00DB2B68" w:rsidRDefault="00000000">
      <w:pPr>
        <w:ind w:left="567"/>
        <w:jc w:val="both"/>
      </w:pPr>
      <w:r>
        <w:rPr>
          <w:rStyle w:val="soitChar"/>
        </w:rPr>
        <w:t xml:space="preserve">Les panneaux ont une épaisseur de </w:t>
      </w:r>
      <w:r>
        <w:rPr>
          <w:rStyle w:val="optioncarChar"/>
        </w:rPr>
        <w:t>15 / 18</w:t>
      </w:r>
      <w:r>
        <w:t xml:space="preserve"> (par défaut) </w:t>
      </w:r>
      <w:r>
        <w:rPr>
          <w:rStyle w:val="optioncarChar"/>
        </w:rPr>
        <w:t>/ ***</w:t>
      </w:r>
      <w:r>
        <w:rPr>
          <w:rStyle w:val="soitChar"/>
        </w:rPr>
        <w:t xml:space="preserve"> mm.</w:t>
      </w:r>
    </w:p>
    <w:p w14:paraId="6BF7944B" w14:textId="77777777" w:rsidR="00DB2B68" w:rsidRDefault="00000000">
      <w:pPr>
        <w:ind w:left="567"/>
        <w:jc w:val="both"/>
      </w:pPr>
      <w:r>
        <w:rPr>
          <w:rStyle w:val="soitChar"/>
        </w:rPr>
        <w:t xml:space="preserve">Les panneaux sont de type </w:t>
      </w:r>
      <w:r>
        <w:rPr>
          <w:rStyle w:val="optioncarChar"/>
        </w:rPr>
        <w:t xml:space="preserve">2 / 3 </w:t>
      </w:r>
      <w:r>
        <w:t xml:space="preserve">(par défaut) </w:t>
      </w:r>
      <w:r>
        <w:rPr>
          <w:rStyle w:val="optioncarChar"/>
        </w:rPr>
        <w:t>/ 4.</w:t>
      </w:r>
    </w:p>
    <w:p w14:paraId="1400FD8E" w14:textId="77777777" w:rsidR="00DB2B68" w:rsidRDefault="00000000">
      <w:pPr>
        <w:ind w:left="567"/>
        <w:jc w:val="both"/>
      </w:pPr>
      <w:r>
        <w:rPr>
          <w:rStyle w:val="soitChar"/>
        </w:rPr>
        <w:t xml:space="preserve">Les panneaux sont </w:t>
      </w:r>
      <w:r>
        <w:rPr>
          <w:rStyle w:val="optioncarChar"/>
        </w:rPr>
        <w:t>à bord droit / rainurés languettés</w:t>
      </w:r>
      <w:r>
        <w:t xml:space="preserve"> (par défaut). </w:t>
      </w:r>
    </w:p>
    <w:p w14:paraId="050BF141" w14:textId="77777777" w:rsidR="00DB2B68" w:rsidRDefault="00000000">
      <w:pPr>
        <w:ind w:left="567"/>
        <w:jc w:val="both"/>
      </w:pPr>
      <w:r>
        <w:rPr>
          <w:rStyle w:val="soitChar"/>
        </w:rPr>
        <w:t>Les panneaux répondent à la [NBN EN 300] et à la [NBN EN 13986+A1].</w:t>
      </w:r>
    </w:p>
    <w:p w14:paraId="3632F4B9" w14:textId="77777777" w:rsidR="00DB2B68" w:rsidRDefault="00000000">
      <w:pPr>
        <w:ind w:left="567"/>
        <w:jc w:val="both"/>
      </w:pPr>
      <w:r>
        <w:rPr>
          <w:b/>
          <w:i/>
        </w:rPr>
        <w:t>(Soit)</w:t>
      </w:r>
    </w:p>
    <w:p w14:paraId="5BE33A31" w14:textId="77777777" w:rsidR="00DB2B68" w:rsidRDefault="00000000">
      <w:pPr>
        <w:ind w:left="567"/>
        <w:jc w:val="both"/>
      </w:pPr>
      <w:r>
        <w:rPr>
          <w:rStyle w:val="soitChar"/>
          <w:u w:val="single"/>
        </w:rPr>
        <w:t xml:space="preserve">Panneau multiplex bois </w:t>
      </w:r>
    </w:p>
    <w:p w14:paraId="373C539A" w14:textId="77777777" w:rsidR="00DB2B68" w:rsidRDefault="00000000">
      <w:pPr>
        <w:ind w:left="567"/>
        <w:jc w:val="both"/>
      </w:pPr>
      <w:r>
        <w:rPr>
          <w:rStyle w:val="soitChar"/>
        </w:rPr>
        <w:t xml:space="preserve">Pour le descriptif, voir l’article </w:t>
      </w:r>
      <w:hyperlink w:anchor="598" w:history="1">
        <w:r>
          <w:rPr>
            <w:rStyle w:val="soitChar"/>
            <w:color w:val="0000EE"/>
          </w:rPr>
          <w:t>24.16.1a Panneaux contreplaqués (PW)</w:t>
        </w:r>
      </w:hyperlink>
      <w:r>
        <w:rPr>
          <w:rStyle w:val="soitChar"/>
        </w:rPr>
        <w:t>.</w:t>
      </w:r>
    </w:p>
    <w:p w14:paraId="206000B5" w14:textId="77777777" w:rsidR="00DB2B68" w:rsidRDefault="00000000">
      <w:pPr>
        <w:ind w:left="567"/>
        <w:jc w:val="both"/>
      </w:pPr>
      <w:r>
        <w:rPr>
          <w:rStyle w:val="soitChar"/>
        </w:rPr>
        <w:t xml:space="preserve">Le multiplex est en bois </w:t>
      </w:r>
      <w:r>
        <w:rPr>
          <w:rStyle w:val="optioncarChar"/>
        </w:rPr>
        <w:t xml:space="preserve">feuillus / résineux. </w:t>
      </w:r>
    </w:p>
    <w:p w14:paraId="1E07D75A" w14:textId="77777777" w:rsidR="00DB2B68" w:rsidRDefault="00000000">
      <w:pPr>
        <w:ind w:left="567"/>
        <w:jc w:val="both"/>
      </w:pPr>
      <w:r>
        <w:rPr>
          <w:rStyle w:val="soitChar"/>
        </w:rPr>
        <w:t xml:space="preserve">Les panneaux ont une épaisseur de </w:t>
      </w:r>
      <w:r>
        <w:rPr>
          <w:rStyle w:val="optioncarChar"/>
        </w:rPr>
        <w:t xml:space="preserve">14 / 16 </w:t>
      </w:r>
      <w:r>
        <w:t xml:space="preserve">(par défaut) </w:t>
      </w:r>
      <w:r>
        <w:rPr>
          <w:rStyle w:val="optioncarChar"/>
        </w:rPr>
        <w:t>/ 19 / 21 / 27 / ***</w:t>
      </w:r>
      <w:r>
        <w:rPr>
          <w:rStyle w:val="soitChar"/>
        </w:rPr>
        <w:t>mm.</w:t>
      </w:r>
    </w:p>
    <w:p w14:paraId="2DDD68FE" w14:textId="77777777" w:rsidR="00DB2B68"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2211B530" w14:textId="77777777" w:rsidR="00DB2B68" w:rsidRDefault="00000000">
      <w:pPr>
        <w:ind w:left="567"/>
        <w:jc w:val="both"/>
      </w:pPr>
      <w:r>
        <w:rPr>
          <w:b/>
          <w:i/>
        </w:rPr>
        <w:t>(Soit)</w:t>
      </w:r>
    </w:p>
    <w:p w14:paraId="1C60AEE8" w14:textId="77777777" w:rsidR="00DB2B68" w:rsidRDefault="00000000">
      <w:pPr>
        <w:ind w:left="567"/>
        <w:jc w:val="both"/>
      </w:pPr>
      <w:r>
        <w:rPr>
          <w:rStyle w:val="soitChar"/>
          <w:u w:val="single"/>
        </w:rPr>
        <w:t xml:space="preserve">CLT </w:t>
      </w:r>
    </w:p>
    <w:p w14:paraId="4422C429" w14:textId="77777777" w:rsidR="00DB2B68" w:rsidRDefault="00000000">
      <w:pPr>
        <w:ind w:left="567"/>
        <w:jc w:val="both"/>
      </w:pPr>
      <w:r>
        <w:rPr>
          <w:rStyle w:val="soitChar"/>
        </w:rPr>
        <w:lastRenderedPageBreak/>
        <w:t>Les panneaux répondent à la [NBN EN 16351].</w:t>
      </w:r>
    </w:p>
    <w:p w14:paraId="04CC367C" w14:textId="77777777" w:rsidR="00DB2B68" w:rsidRDefault="00000000">
      <w:pPr>
        <w:ind w:left="567"/>
        <w:jc w:val="both"/>
      </w:pPr>
      <w:r>
        <w:rPr>
          <w:rStyle w:val="soitChar"/>
        </w:rPr>
        <w:t xml:space="preserve">les panneaux ont une épaisseur de </w:t>
      </w:r>
      <w:r>
        <w:rPr>
          <w:rStyle w:val="optioncarChar"/>
        </w:rPr>
        <w:t xml:space="preserve">60 </w:t>
      </w:r>
      <w:r>
        <w:t>(par défaut)</w:t>
      </w:r>
      <w:r>
        <w:rPr>
          <w:rStyle w:val="optioncarChar"/>
        </w:rPr>
        <w:t xml:space="preserve"> / ***</w:t>
      </w:r>
      <w:r>
        <w:rPr>
          <w:rStyle w:val="soitChar"/>
        </w:rPr>
        <w:t xml:space="preserve"> mm.</w:t>
      </w:r>
    </w:p>
    <w:p w14:paraId="2952E181" w14:textId="77777777" w:rsidR="00DB2B68" w:rsidRDefault="00000000">
      <w:pPr>
        <w:ind w:left="567"/>
        <w:jc w:val="both"/>
      </w:pPr>
      <w:r>
        <w:rPr>
          <w:rStyle w:val="soitChar"/>
        </w:rPr>
        <w:t xml:space="preserve">Les panneaux sont de qualité </w:t>
      </w:r>
      <w:r>
        <w:rPr>
          <w:rStyle w:val="optioncarChar"/>
        </w:rPr>
        <w:t xml:space="preserve">non visible </w:t>
      </w:r>
      <w:r>
        <w:t>(par défaut)</w:t>
      </w:r>
      <w:r>
        <w:rPr>
          <w:rStyle w:val="optioncarChar"/>
        </w:rPr>
        <w:t xml:space="preserve"> / visible industrielle / visible habitat.</w:t>
      </w:r>
    </w:p>
    <w:p w14:paraId="6BA1DD04" w14:textId="77777777" w:rsidR="00DB2B68" w:rsidRDefault="00000000">
      <w:pPr>
        <w:ind w:left="567"/>
        <w:jc w:val="both"/>
      </w:pPr>
      <w:r>
        <w:rPr>
          <w:b/>
          <w:i/>
        </w:rPr>
        <w:t>(Soit)</w:t>
      </w:r>
    </w:p>
    <w:p w14:paraId="3BA8C369" w14:textId="77777777" w:rsidR="00DB2B68" w:rsidRDefault="00000000">
      <w:pPr>
        <w:ind w:left="567"/>
        <w:jc w:val="both"/>
      </w:pPr>
      <w:r>
        <w:rPr>
          <w:rStyle w:val="optioncarChar"/>
        </w:rPr>
        <w:t>***</w:t>
      </w:r>
    </w:p>
    <w:p w14:paraId="545D6EC8" w14:textId="77777777" w:rsidR="00DB2B68" w:rsidRDefault="00000000">
      <w:pPr>
        <w:jc w:val="both"/>
      </w:pPr>
      <w:r>
        <w:t xml:space="preserve"> Le panneau extérieur est </w:t>
      </w:r>
      <w:r>
        <w:rPr>
          <w:rStyle w:val="optioncarChar"/>
        </w:rPr>
        <w:t>contreventant / non contreventant</w:t>
      </w:r>
      <w:r>
        <w:t xml:space="preserve"> (par défaut).</w:t>
      </w:r>
    </w:p>
    <w:p w14:paraId="1F6FCE1E" w14:textId="77777777" w:rsidR="00DB2B68" w:rsidRDefault="00000000">
      <w:pPr>
        <w:ind w:left="567"/>
        <w:jc w:val="both"/>
      </w:pPr>
      <w:r>
        <w:rPr>
          <w:b/>
          <w:i/>
        </w:rPr>
        <w:t>(Soit)</w:t>
      </w:r>
    </w:p>
    <w:p w14:paraId="1F43181D" w14:textId="77777777" w:rsidR="00DB2B68" w:rsidRDefault="00000000">
      <w:pPr>
        <w:ind w:left="567"/>
        <w:jc w:val="both"/>
      </w:pPr>
      <w:r>
        <w:rPr>
          <w:rStyle w:val="soitChar"/>
          <w:u w:val="single"/>
        </w:rPr>
        <w:t>Contreventant</w:t>
      </w:r>
    </w:p>
    <w:p w14:paraId="6C00C163" w14:textId="77777777" w:rsidR="00DB2B68" w:rsidRDefault="00000000">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N/mm² suivant [NBN EN 310].</w:t>
      </w:r>
    </w:p>
    <w:p w14:paraId="7407DD49" w14:textId="77777777" w:rsidR="00DB2B68" w:rsidRDefault="00000000">
      <w:pPr>
        <w:ind w:left="567"/>
        <w:jc w:val="both"/>
      </w:pPr>
      <w:r>
        <w:rPr>
          <w:rStyle w:val="soitChar"/>
        </w:rPr>
        <w:t xml:space="preserve">Module d’élasticité en flexion ≥ </w:t>
      </w:r>
      <w:r>
        <w:rPr>
          <w:rStyle w:val="optioncarChar"/>
        </w:rPr>
        <w:t xml:space="preserve">1600 / 1800 </w:t>
      </w:r>
      <w:r>
        <w:t xml:space="preserve">(par défaut) </w:t>
      </w:r>
      <w:r>
        <w:rPr>
          <w:rStyle w:val="optioncarChar"/>
        </w:rPr>
        <w:t>/ 2000 / ***</w:t>
      </w:r>
      <w:r>
        <w:rPr>
          <w:rStyle w:val="soitChar"/>
        </w:rPr>
        <w:t xml:space="preserve"> N/mm² suivant [NBN EN 310].</w:t>
      </w:r>
    </w:p>
    <w:p w14:paraId="6CC13021" w14:textId="77777777" w:rsidR="00DB2B68" w:rsidRDefault="00000000">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14:paraId="4A605082" w14:textId="77777777" w:rsidR="00DB2B68" w:rsidRDefault="00000000">
      <w:pPr>
        <w:ind w:left="567"/>
        <w:jc w:val="both"/>
      </w:pPr>
      <w:r>
        <w:rPr>
          <w:b/>
          <w:i/>
        </w:rPr>
        <w:t>(Soit par défaut)</w:t>
      </w:r>
    </w:p>
    <w:p w14:paraId="6BFD6211" w14:textId="77777777" w:rsidR="00DB2B68" w:rsidRDefault="00000000">
      <w:pPr>
        <w:ind w:left="567"/>
        <w:jc w:val="both"/>
      </w:pPr>
      <w:r>
        <w:rPr>
          <w:rStyle w:val="soitChar"/>
          <w:u w:val="single"/>
        </w:rPr>
        <w:t>Non-contreventant</w:t>
      </w:r>
    </w:p>
    <w:p w14:paraId="72A81405" w14:textId="77777777" w:rsidR="00DB2B68" w:rsidRDefault="00000000">
      <w:pPr>
        <w:ind w:left="567"/>
        <w:jc w:val="both"/>
      </w:pPr>
      <w:r>
        <w:rPr>
          <w:rStyle w:val="soitChar"/>
        </w:rPr>
        <w:t xml:space="preserve">Résistance en flexion ≥ </w:t>
      </w:r>
      <w:r>
        <w:rPr>
          <w:rStyle w:val="optioncarChar"/>
        </w:rPr>
        <w:t xml:space="preserve">12 / 14 </w:t>
      </w:r>
      <w:r>
        <w:t>(par défaut)</w:t>
      </w:r>
      <w:r>
        <w:rPr>
          <w:rStyle w:val="optioncarChar"/>
        </w:rPr>
        <w:t xml:space="preserve"> / 16 / ***</w:t>
      </w:r>
      <w:r>
        <w:rPr>
          <w:rStyle w:val="soitChar"/>
        </w:rPr>
        <w:t xml:space="preserve"> N/mm² suivant [NBN EN 310].</w:t>
      </w:r>
      <w:r>
        <w:t> </w:t>
      </w:r>
    </w:p>
    <w:p w14:paraId="3514E8BF" w14:textId="77777777" w:rsidR="00DB2B68" w:rsidRDefault="00000000">
      <w:pPr>
        <w:jc w:val="both"/>
      </w:pPr>
      <w:r>
        <w:rPr>
          <w:b/>
        </w:rPr>
        <w:t>Remplissage isolant</w:t>
      </w:r>
    </w:p>
    <w:p w14:paraId="7E31B4A2" w14:textId="77777777" w:rsidR="00DB2B68" w:rsidRDefault="00000000">
      <w:pPr>
        <w:jc w:val="both"/>
      </w:pPr>
      <w:r>
        <w:t xml:space="preserve">Remplissage en </w:t>
      </w:r>
      <w:r>
        <w:rPr>
          <w:rStyle w:val="optioncarChar"/>
        </w:rPr>
        <w:t xml:space="preserve">cellulose / laine de bois </w:t>
      </w:r>
      <w:r>
        <w:t>(par défaut)</w:t>
      </w:r>
      <w:r>
        <w:rPr>
          <w:rStyle w:val="optioncarChar"/>
        </w:rPr>
        <w:t xml:space="preserve"> / laine de roche / laine de verre / ***</w:t>
      </w:r>
      <w:r>
        <w:t xml:space="preserve"> de l’ossature.</w:t>
      </w:r>
    </w:p>
    <w:p w14:paraId="53EBB578" w14:textId="77777777" w:rsidR="00DB2B68" w:rsidRDefault="00000000">
      <w:pPr>
        <w:jc w:val="both"/>
      </w:pPr>
      <w:r>
        <w:t xml:space="preserve">Masse volumique ≥ </w:t>
      </w:r>
      <w:r>
        <w:rPr>
          <w:rStyle w:val="optioncarChar"/>
        </w:rPr>
        <w:t xml:space="preserve">15 (laine de verre)  / 25 (laine de roche) / 48 (laine de bois et cellulose)  </w:t>
      </w:r>
      <w:r>
        <w:t xml:space="preserve">(par défaut) </w:t>
      </w:r>
      <w:r>
        <w:rPr>
          <w:rStyle w:val="optioncarChar"/>
        </w:rPr>
        <w:t>/ ***</w:t>
      </w:r>
      <w:r>
        <w:t xml:space="preserve"> kg/m³</w:t>
      </w:r>
    </w:p>
    <w:p w14:paraId="149D97EF" w14:textId="77777777" w:rsidR="00DB2B68" w:rsidRDefault="00000000">
      <w:pPr>
        <w:jc w:val="both"/>
      </w:pPr>
      <w:r>
        <w:t xml:space="preserve">Conductivité thermique ≤ </w:t>
      </w:r>
      <w:r>
        <w:rPr>
          <w:rStyle w:val="optioncarChar"/>
        </w:rPr>
        <w:t xml:space="preserve">0.040 / 0.044 </w:t>
      </w:r>
      <w:r>
        <w:t>(par défaut)</w:t>
      </w:r>
      <w:r>
        <w:rPr>
          <w:rStyle w:val="optioncarChar"/>
        </w:rPr>
        <w:t> / 0.048 / 0.06 / *** </w:t>
      </w:r>
      <w:r>
        <w:t xml:space="preserve"> W/(m.K) suivant la [NBN EN 12667] ou [NBN EN ISO 10456]. </w:t>
      </w:r>
    </w:p>
    <w:p w14:paraId="7CDA6F68" w14:textId="77777777" w:rsidR="00DB2B68" w:rsidRDefault="00000000">
      <w:pPr>
        <w:jc w:val="both"/>
      </w:pPr>
      <w:r>
        <w:rPr>
          <w:b/>
        </w:rPr>
        <w:t>Panneau intérieur</w:t>
      </w:r>
    </w:p>
    <w:p w14:paraId="62F0E2D6" w14:textId="77777777" w:rsidR="00DB2B68" w:rsidRDefault="00000000">
      <w:pPr>
        <w:jc w:val="both"/>
      </w:pPr>
      <w:r>
        <w:t xml:space="preserve">Les panneaux intérieurs sont </w:t>
      </w:r>
      <w:r>
        <w:rPr>
          <w:rStyle w:val="optioncarChar"/>
        </w:rPr>
        <w:t xml:space="preserve">vissés </w:t>
      </w:r>
      <w:r>
        <w:t xml:space="preserve">(par défaut) </w:t>
      </w:r>
      <w:r>
        <w:rPr>
          <w:rStyle w:val="optioncarChar"/>
        </w:rPr>
        <w:t>cloués / collés / ***.</w:t>
      </w:r>
    </w:p>
    <w:p w14:paraId="4E3B27E6" w14:textId="77777777" w:rsidR="00DB2B68" w:rsidRDefault="00000000">
      <w:pPr>
        <w:jc w:val="both"/>
      </w:pPr>
      <w:r>
        <w:t xml:space="preserve">Le panneau est </w:t>
      </w:r>
      <w:r>
        <w:rPr>
          <w:rStyle w:val="optioncarChar"/>
        </w:rPr>
        <w:t>rainuré languetté </w:t>
      </w:r>
      <w:r>
        <w:t>(par défaut)</w:t>
      </w:r>
      <w:r>
        <w:rPr>
          <w:rStyle w:val="optioncarChar"/>
        </w:rPr>
        <w:t xml:space="preserve"> / ***</w:t>
      </w:r>
      <w:r>
        <w:t>.</w:t>
      </w:r>
    </w:p>
    <w:p w14:paraId="4E767B92" w14:textId="77777777" w:rsidR="00DB2B68" w:rsidRDefault="00000000">
      <w:pPr>
        <w:jc w:val="both"/>
      </w:pPr>
      <w:r>
        <w:t xml:space="preserve">Conductivité thermique ≤ </w:t>
      </w:r>
      <w:r>
        <w:rPr>
          <w:rStyle w:val="optioncarChar"/>
        </w:rPr>
        <w:t>0.08 / 0.090 / 0.1 / ***</w:t>
      </w:r>
      <w:r>
        <w:t> (par défaut) W/(m.K) suivant [NBN EN 13986+A1] ou [NBN EN 13171+A1].</w:t>
      </w:r>
    </w:p>
    <w:p w14:paraId="326F61C9" w14:textId="77777777" w:rsidR="00DB2B68" w:rsidRDefault="00000000">
      <w:pPr>
        <w:jc w:val="both"/>
      </w:pPr>
      <w:r>
        <w:t xml:space="preserve">La perméabilité à la vapeur d’eau (Sd) est supérieure à  </w:t>
      </w:r>
      <w:r>
        <w:rPr>
          <w:rStyle w:val="optioncarChar"/>
        </w:rPr>
        <w:t xml:space="preserve">0,5m / 1m  / définie par l’analyse de diffusion de vapeur d’eau de la paroi complète </w:t>
      </w:r>
      <w:r>
        <w:t>(par défaut)</w:t>
      </w:r>
      <w:r>
        <w:rPr>
          <w:rStyle w:val="optioncarChar"/>
        </w:rPr>
        <w:t xml:space="preserve"> / ***</w:t>
      </w:r>
      <w:r>
        <w:t>.</w:t>
      </w:r>
    </w:p>
    <w:p w14:paraId="76073C60" w14:textId="77777777" w:rsidR="00DB2B68" w:rsidRDefault="00000000">
      <w:pPr>
        <w:jc w:val="both"/>
      </w:pPr>
      <w:r>
        <w:t>Si l’étanchéité à la vapeur d’eau et à l’air n’est pas assurée par le panneau, une membrane pare-vapeur ou frein vapeur est mise en œuvre pour satisfaire à l’analyse de diffusion de vapeur d’eau. </w:t>
      </w:r>
    </w:p>
    <w:p w14:paraId="0EA41F59" w14:textId="77777777" w:rsidR="00DB2B68" w:rsidRDefault="00000000">
      <w:pPr>
        <w:jc w:val="both"/>
      </w:pPr>
      <w:r>
        <w:t xml:space="preserve">Les panneaux sont constitués de panneaux </w:t>
      </w:r>
      <w:r>
        <w:rPr>
          <w:rStyle w:val="optioncarChar"/>
        </w:rPr>
        <w:t xml:space="preserve">de fibre de bois / OSB </w:t>
      </w:r>
      <w:r>
        <w:t>(par défaut)</w:t>
      </w:r>
      <w:r>
        <w:rPr>
          <w:rStyle w:val="optioncarChar"/>
        </w:rPr>
        <w:t xml:space="preserve"> / multiplex bois / CLT / ***.</w:t>
      </w:r>
    </w:p>
    <w:p w14:paraId="49533F2C" w14:textId="77777777" w:rsidR="00DB2B68" w:rsidRDefault="00000000">
      <w:pPr>
        <w:ind w:left="567"/>
      </w:pPr>
      <w:r>
        <w:rPr>
          <w:b/>
          <w:i/>
        </w:rPr>
        <w:t>(Soit par défaut)</w:t>
      </w:r>
    </w:p>
    <w:p w14:paraId="19AB4A69" w14:textId="77777777" w:rsidR="00DB2B68" w:rsidRDefault="00000000">
      <w:pPr>
        <w:ind w:left="567"/>
      </w:pPr>
      <w:r>
        <w:rPr>
          <w:rStyle w:val="soitChar"/>
          <w:u w:val="single"/>
        </w:rPr>
        <w:t xml:space="preserve">Osb  </w:t>
      </w:r>
      <w:r>
        <w:br/>
      </w:r>
      <w:r>
        <w:rPr>
          <w:rStyle w:val="soitChar"/>
        </w:rPr>
        <w:t>Pour le descriptif, voir l’article </w:t>
      </w:r>
      <w:hyperlink w:anchor="597" w:history="1">
        <w:r>
          <w:rPr>
            <w:rStyle w:val="soitChar"/>
            <w:color w:val="0000EE"/>
          </w:rPr>
          <w:t>24.16.1b Panneaux OSB</w:t>
        </w:r>
      </w:hyperlink>
      <w:r>
        <w:rPr>
          <w:rStyle w:val="soitChar"/>
        </w:rPr>
        <w:t>.</w:t>
      </w:r>
      <w:r>
        <w:t> </w:t>
      </w:r>
      <w:r>
        <w:br/>
      </w:r>
      <w:r>
        <w:rPr>
          <w:rStyle w:val="soitChar"/>
        </w:rPr>
        <w:t>Les panneaux ont une épaisseur de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la [NBN EN 13986+A1].</w:t>
      </w:r>
    </w:p>
    <w:p w14:paraId="5B52664D" w14:textId="77777777" w:rsidR="00DB2B68" w:rsidRDefault="00000000">
      <w:pPr>
        <w:ind w:left="567"/>
        <w:jc w:val="both"/>
      </w:pPr>
      <w:r>
        <w:rPr>
          <w:b/>
          <w:i/>
        </w:rPr>
        <w:t>(Soit)</w:t>
      </w:r>
    </w:p>
    <w:p w14:paraId="032B6EBE" w14:textId="77777777" w:rsidR="00DB2B68" w:rsidRDefault="00000000">
      <w:pPr>
        <w:ind w:left="567"/>
        <w:jc w:val="both"/>
      </w:pPr>
      <w:r>
        <w:rPr>
          <w:rStyle w:val="soitChar"/>
          <w:u w:val="single"/>
        </w:rPr>
        <w:t>Panneau de fibre de bois</w:t>
      </w:r>
      <w:r>
        <w:t> </w:t>
      </w:r>
    </w:p>
    <w:p w14:paraId="34442F8A" w14:textId="77777777" w:rsidR="00DB2B68" w:rsidRDefault="00000000">
      <w:pPr>
        <w:ind w:left="567"/>
        <w:jc w:val="both"/>
      </w:pPr>
      <w:r>
        <w:rPr>
          <w:rStyle w:val="soitChar"/>
        </w:rPr>
        <w:t>Pour le descriptif, voir l’article </w:t>
      </w:r>
      <w:hyperlink w:anchor="596" w:history="1">
        <w:r>
          <w:rPr>
            <w:rStyle w:val="soitChar"/>
            <w:color w:val="0000EE"/>
          </w:rPr>
          <w:t>24.16.1d Panneaux MDF</w:t>
        </w:r>
      </w:hyperlink>
      <w:r>
        <w:rPr>
          <w:rStyle w:val="soitChar"/>
        </w:rPr>
        <w:t>.</w:t>
      </w:r>
      <w:r>
        <w:t> </w:t>
      </w:r>
    </w:p>
    <w:p w14:paraId="36E083AC" w14:textId="77777777" w:rsidR="00DB2B68" w:rsidRDefault="00000000">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5E28335A" w14:textId="77777777" w:rsidR="00DB2B68" w:rsidRDefault="00000000">
      <w:pPr>
        <w:ind w:left="567"/>
        <w:jc w:val="both"/>
      </w:pPr>
      <w:r>
        <w:rPr>
          <w:rStyle w:val="soitChar"/>
        </w:rPr>
        <w:lastRenderedPageBreak/>
        <w:t>Les panneaux sont de type </w:t>
      </w:r>
      <w:r>
        <w:rPr>
          <w:rStyle w:val="optioncarChar"/>
        </w:rPr>
        <w:t>MDF LA</w:t>
      </w:r>
      <w:r>
        <w:t> (par défaut) </w:t>
      </w:r>
      <w:r>
        <w:rPr>
          <w:rStyle w:val="optioncarChar"/>
        </w:rPr>
        <w:t>/ MDF-HLS</w:t>
      </w:r>
      <w:r>
        <w:rPr>
          <w:rStyle w:val="soitChar"/>
        </w:rPr>
        <w:t>.</w:t>
      </w:r>
    </w:p>
    <w:p w14:paraId="4746E3AE" w14:textId="77777777" w:rsidR="00DB2B68" w:rsidRDefault="00000000">
      <w:pPr>
        <w:ind w:left="567"/>
        <w:jc w:val="both"/>
      </w:pPr>
      <w:r>
        <w:rPr>
          <w:rStyle w:val="soitChar"/>
        </w:rPr>
        <w:t>Les panneaux répondent à la [NBN EN 13986+A1] et aux exigences de [NBN EN 622 série].</w:t>
      </w:r>
    </w:p>
    <w:p w14:paraId="059957D7" w14:textId="77777777" w:rsidR="00DB2B68" w:rsidRDefault="00000000">
      <w:pPr>
        <w:ind w:left="567"/>
        <w:jc w:val="both"/>
      </w:pPr>
      <w:r>
        <w:rPr>
          <w:b/>
          <w:i/>
        </w:rPr>
        <w:t>(Soit)</w:t>
      </w:r>
    </w:p>
    <w:p w14:paraId="66CB8D79" w14:textId="77777777" w:rsidR="00DB2B68" w:rsidRDefault="00000000">
      <w:pPr>
        <w:ind w:left="567"/>
        <w:jc w:val="both"/>
      </w:pPr>
      <w:r>
        <w:rPr>
          <w:rStyle w:val="soitChar"/>
          <w:u w:val="single"/>
        </w:rPr>
        <w:t>Panneau multiplex bois </w:t>
      </w:r>
    </w:p>
    <w:p w14:paraId="29FF47E8" w14:textId="77777777" w:rsidR="00DB2B68" w:rsidRDefault="00000000">
      <w:pPr>
        <w:ind w:left="567"/>
        <w:jc w:val="both"/>
      </w:pPr>
      <w:r>
        <w:rPr>
          <w:rStyle w:val="soitChar"/>
        </w:rPr>
        <w:t>Pour le descriptif, voir l’article </w:t>
      </w:r>
      <w:hyperlink w:anchor="598" w:history="1">
        <w:r>
          <w:rPr>
            <w:rStyle w:val="soitChar"/>
            <w:color w:val="0000EE"/>
          </w:rPr>
          <w:t>24.16.1a Panneaux contreplaqués (PW)</w:t>
        </w:r>
      </w:hyperlink>
      <w:r>
        <w:rPr>
          <w:rStyle w:val="soitChar"/>
        </w:rPr>
        <w:t>.</w:t>
      </w:r>
      <w:r>
        <w:t> </w:t>
      </w:r>
    </w:p>
    <w:p w14:paraId="417646CE" w14:textId="77777777" w:rsidR="00DB2B68" w:rsidRDefault="00000000">
      <w:pPr>
        <w:ind w:left="567"/>
        <w:jc w:val="both"/>
      </w:pPr>
      <w:r>
        <w:rPr>
          <w:rStyle w:val="soitChar"/>
        </w:rPr>
        <w:t>Le multiplex est en bois </w:t>
      </w:r>
      <w:r>
        <w:rPr>
          <w:rStyle w:val="optioncarChar"/>
        </w:rPr>
        <w:t>feuillus / résineux. </w:t>
      </w:r>
    </w:p>
    <w:p w14:paraId="71871729" w14:textId="77777777" w:rsidR="00DB2B68" w:rsidRDefault="00000000">
      <w:pPr>
        <w:ind w:left="567"/>
        <w:jc w:val="both"/>
      </w:pPr>
      <w:r>
        <w:rPr>
          <w:rStyle w:val="soitChar"/>
        </w:rPr>
        <w:t>Les panneaux ont une épaisseur de </w:t>
      </w:r>
      <w:r>
        <w:rPr>
          <w:rStyle w:val="optioncarChar"/>
        </w:rPr>
        <w:t>14 / 16 </w:t>
      </w:r>
      <w:r>
        <w:t>(par défaut) </w:t>
      </w:r>
      <w:r>
        <w:rPr>
          <w:rStyle w:val="optioncarChar"/>
        </w:rPr>
        <w:t>/ 19 / 21 / 27 / *** </w:t>
      </w:r>
      <w:r>
        <w:rPr>
          <w:rStyle w:val="soitChar"/>
        </w:rPr>
        <w:t>mm.</w:t>
      </w:r>
    </w:p>
    <w:p w14:paraId="6690874A" w14:textId="77777777" w:rsidR="00DB2B68" w:rsidRDefault="00000000">
      <w:pPr>
        <w:ind w:left="567"/>
        <w:jc w:val="both"/>
      </w:pPr>
      <w:r>
        <w:rPr>
          <w:b/>
          <w:i/>
        </w:rPr>
        <w:t>(Soit)</w:t>
      </w:r>
    </w:p>
    <w:p w14:paraId="51A3046A" w14:textId="77777777" w:rsidR="00DB2B68" w:rsidRDefault="00000000">
      <w:pPr>
        <w:ind w:left="567"/>
        <w:jc w:val="both"/>
      </w:pPr>
      <w:r>
        <w:rPr>
          <w:rStyle w:val="soitChar"/>
          <w:u w:val="single"/>
        </w:rPr>
        <w:t>CLT </w:t>
      </w:r>
    </w:p>
    <w:p w14:paraId="75ED2AE0" w14:textId="77777777" w:rsidR="00DB2B68" w:rsidRDefault="00000000">
      <w:pPr>
        <w:ind w:left="567"/>
        <w:jc w:val="both"/>
      </w:pPr>
      <w:r>
        <w:rPr>
          <w:rStyle w:val="soitChar"/>
        </w:rPr>
        <w:t>Les panneaux répondent à la [NBN EN 16351].</w:t>
      </w:r>
      <w:r>
        <w:t> </w:t>
      </w:r>
    </w:p>
    <w:p w14:paraId="2692C172" w14:textId="77777777" w:rsidR="00DB2B68" w:rsidRDefault="0000000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671405CF" w14:textId="77777777" w:rsidR="00DB2B68" w:rsidRDefault="0000000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062FB669" w14:textId="77777777" w:rsidR="00DB2B68" w:rsidRDefault="00000000">
      <w:pPr>
        <w:ind w:left="567"/>
        <w:jc w:val="both"/>
      </w:pPr>
      <w:r>
        <w:rPr>
          <w:b/>
          <w:i/>
        </w:rPr>
        <w:t>(Soit)</w:t>
      </w:r>
    </w:p>
    <w:p w14:paraId="6F75964F" w14:textId="77777777" w:rsidR="00DB2B68" w:rsidRDefault="00000000">
      <w:pPr>
        <w:ind w:left="567"/>
        <w:jc w:val="both"/>
      </w:pPr>
      <w:r>
        <w:rPr>
          <w:rStyle w:val="optioncarChar"/>
        </w:rPr>
        <w:t>***</w:t>
      </w:r>
      <w:r>
        <w:t> </w:t>
      </w:r>
    </w:p>
    <w:p w14:paraId="0D144F6F" w14:textId="77777777" w:rsidR="00DB2B68" w:rsidRDefault="00000000">
      <w:pPr>
        <w:jc w:val="both"/>
      </w:pPr>
      <w:r>
        <w:t xml:space="preserve">Le panneau intérieur est </w:t>
      </w:r>
      <w:r>
        <w:rPr>
          <w:rStyle w:val="optioncarChar"/>
        </w:rPr>
        <w:t xml:space="preserve">contreventant </w:t>
      </w:r>
      <w:r>
        <w:t xml:space="preserve">(par défaut) </w:t>
      </w:r>
      <w:r>
        <w:rPr>
          <w:rStyle w:val="optioncarChar"/>
        </w:rPr>
        <w:t>/ non contreventant.</w:t>
      </w:r>
    </w:p>
    <w:p w14:paraId="5F381D2E" w14:textId="77777777" w:rsidR="00DB2B68" w:rsidRDefault="00000000">
      <w:pPr>
        <w:ind w:left="567"/>
        <w:jc w:val="both"/>
      </w:pPr>
      <w:r>
        <w:rPr>
          <w:b/>
          <w:i/>
        </w:rPr>
        <w:t>(Soit par défaut)</w:t>
      </w:r>
    </w:p>
    <w:p w14:paraId="06C44EF9" w14:textId="77777777" w:rsidR="00DB2B68" w:rsidRDefault="00000000">
      <w:pPr>
        <w:ind w:left="567"/>
        <w:jc w:val="both"/>
      </w:pPr>
      <w:r>
        <w:rPr>
          <w:rStyle w:val="soitChar"/>
          <w:u w:val="single"/>
        </w:rPr>
        <w:t>Contreventant</w:t>
      </w:r>
    </w:p>
    <w:p w14:paraId="34165118" w14:textId="77777777" w:rsidR="00DB2B68" w:rsidRDefault="00000000">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 </w:t>
      </w:r>
      <w:r>
        <w:t> </w:t>
      </w:r>
    </w:p>
    <w:p w14:paraId="5731C6C1" w14:textId="77777777" w:rsidR="00DB2B68" w:rsidRDefault="00000000">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2BA2CD6E" w14:textId="77777777" w:rsidR="00DB2B68" w:rsidRDefault="00000000">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1FAFBD58" w14:textId="77777777" w:rsidR="00DB2B68" w:rsidRDefault="00000000">
      <w:pPr>
        <w:ind w:left="567"/>
        <w:jc w:val="both"/>
      </w:pPr>
      <w:r>
        <w:rPr>
          <w:b/>
          <w:i/>
        </w:rPr>
        <w:t>(Soit)</w:t>
      </w:r>
    </w:p>
    <w:p w14:paraId="33FF9E47" w14:textId="77777777" w:rsidR="00DB2B68" w:rsidRDefault="00000000">
      <w:pPr>
        <w:ind w:left="567"/>
        <w:jc w:val="both"/>
      </w:pPr>
      <w:r>
        <w:rPr>
          <w:rStyle w:val="soitChar"/>
          <w:u w:val="single"/>
        </w:rPr>
        <w:t>Non-contreventant</w:t>
      </w:r>
    </w:p>
    <w:p w14:paraId="7067E44E" w14:textId="77777777" w:rsidR="00DB2B68" w:rsidRDefault="00000000">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5CAE6E5C" w14:textId="77777777" w:rsidR="00DB2B68" w:rsidRDefault="00000000">
      <w:pPr>
        <w:jc w:val="both"/>
      </w:pPr>
      <w:r>
        <w:t xml:space="preserve">Le caisson </w:t>
      </w:r>
      <w:r>
        <w:rPr>
          <w:rStyle w:val="optioncarChar"/>
        </w:rPr>
        <w:t>est / n’est pas</w:t>
      </w:r>
      <w:r>
        <w:t xml:space="preserve"> (par défaut) muni d’une gaine technique d’une épaisseur de </w:t>
      </w:r>
      <w:r>
        <w:rPr>
          <w:rStyle w:val="optioncarChar"/>
        </w:rPr>
        <w:t xml:space="preserve">60 </w:t>
      </w:r>
      <w:r>
        <w:t>(par défaut) </w:t>
      </w:r>
      <w:r>
        <w:rPr>
          <w:rStyle w:val="optioncarChar"/>
        </w:rPr>
        <w:t>/ ***</w:t>
      </w:r>
      <w:r>
        <w:t xml:space="preserve"> mm </w:t>
      </w:r>
    </w:p>
    <w:p w14:paraId="2ACC9A29" w14:textId="77777777" w:rsidR="00DB2B68" w:rsidRDefault="00000000">
      <w:pPr>
        <w:jc w:val="both"/>
      </w:pPr>
      <w:r>
        <w:rPr>
          <w:b/>
        </w:rPr>
        <w:t>Plaque de parement intérieur</w:t>
      </w:r>
    </w:p>
    <w:p w14:paraId="0642EF77" w14:textId="77777777" w:rsidR="00DB2B68" w:rsidRDefault="00000000">
      <w:pPr>
        <w:jc w:val="both"/>
      </w:pPr>
      <w:r>
        <w:t xml:space="preserve">Les faces sont constituées de </w:t>
      </w:r>
      <w:r>
        <w:rPr>
          <w:rStyle w:val="optioncarChar"/>
        </w:rPr>
        <w:t xml:space="preserve">plaques de plâtre </w:t>
      </w:r>
      <w:r>
        <w:t>(par défaut)</w:t>
      </w:r>
      <w:r>
        <w:rPr>
          <w:rStyle w:val="optioncarChar"/>
        </w:rPr>
        <w:t xml:space="preserve"> / de panneau multiplex bois / d’un panneau OSB / ***.</w:t>
      </w:r>
    </w:p>
    <w:p w14:paraId="50E9502B" w14:textId="77777777" w:rsidR="00DB2B68" w:rsidRDefault="00000000">
      <w:pPr>
        <w:ind w:left="567"/>
        <w:jc w:val="both"/>
      </w:pPr>
      <w:r>
        <w:rPr>
          <w:b/>
          <w:i/>
        </w:rPr>
        <w:t>(Soit par défaut)</w:t>
      </w:r>
    </w:p>
    <w:p w14:paraId="21B55458" w14:textId="77777777" w:rsidR="00DB2B68" w:rsidRDefault="00000000">
      <w:pPr>
        <w:ind w:left="567"/>
        <w:jc w:val="both"/>
      </w:pPr>
      <w:r>
        <w:rPr>
          <w:rStyle w:val="soitChar"/>
          <w:u w:val="single"/>
        </w:rPr>
        <w:t>Plaques de plâtre</w:t>
      </w:r>
    </w:p>
    <w:p w14:paraId="44717BD3" w14:textId="77777777" w:rsidR="00DB2B68" w:rsidRDefault="00000000">
      <w:pPr>
        <w:ind w:left="567"/>
        <w:jc w:val="both"/>
      </w:pPr>
      <w:r>
        <w:rPr>
          <w:rStyle w:val="soitChar"/>
        </w:rPr>
        <w:t>Plaques de plâtre renforcées de fibres de cellulose dans la masse.</w:t>
      </w:r>
    </w:p>
    <w:p w14:paraId="50A82EE9" w14:textId="77777777" w:rsidR="00DB2B68" w:rsidRDefault="00000000">
      <w:pPr>
        <w:ind w:left="567"/>
        <w:jc w:val="both"/>
      </w:pPr>
      <w:r>
        <w:rPr>
          <w:rStyle w:val="soitChar"/>
        </w:rPr>
        <w:t xml:space="preserve">La masse volumique de la plaque de plâtre est  ≥ à </w:t>
      </w:r>
      <w:r>
        <w:rPr>
          <w:rStyle w:val="optioncarChar"/>
        </w:rPr>
        <w:t xml:space="preserve">1200 </w:t>
      </w:r>
      <w:r>
        <w:t>(par défaut)</w:t>
      </w:r>
      <w:r>
        <w:rPr>
          <w:rStyle w:val="optioncarChar"/>
        </w:rPr>
        <w:t xml:space="preserve">  / 1400</w:t>
      </w:r>
      <w:r>
        <w:rPr>
          <w:rStyle w:val="soitChar"/>
        </w:rPr>
        <w:t xml:space="preserve"> kg/m³.</w:t>
      </w:r>
    </w:p>
    <w:p w14:paraId="5F1C71A4" w14:textId="77777777" w:rsidR="00DB2B68" w:rsidRDefault="00000000">
      <w:pPr>
        <w:ind w:left="567"/>
        <w:jc w:val="both"/>
      </w:pPr>
      <w:r>
        <w:rPr>
          <w:rStyle w:val="soitChar"/>
        </w:rPr>
        <w:t xml:space="preserve">L’épaisseur des plaques est de </w:t>
      </w:r>
      <w:r>
        <w:rPr>
          <w:rStyle w:val="optioncarChar"/>
        </w:rPr>
        <w:t>12,5</w:t>
      </w:r>
      <w:r>
        <w:t xml:space="preserve">  (par défaut) </w:t>
      </w:r>
      <w:r>
        <w:rPr>
          <w:rStyle w:val="optioncarChar"/>
        </w:rPr>
        <w:t>/ 15</w:t>
      </w:r>
      <w:r>
        <w:t>  </w:t>
      </w:r>
      <w:r>
        <w:rPr>
          <w:rStyle w:val="soitChar"/>
        </w:rPr>
        <w:t>mm.</w:t>
      </w:r>
    </w:p>
    <w:p w14:paraId="614087FA" w14:textId="77777777" w:rsidR="00DB2B68" w:rsidRDefault="00000000">
      <w:pPr>
        <w:ind w:left="567"/>
        <w:jc w:val="both"/>
      </w:pPr>
      <w:r>
        <w:rPr>
          <w:b/>
          <w:i/>
        </w:rPr>
        <w:t>(Soit)</w:t>
      </w:r>
    </w:p>
    <w:p w14:paraId="03AD7524" w14:textId="77777777" w:rsidR="00DB2B68" w:rsidRDefault="00000000">
      <w:pPr>
        <w:ind w:left="567"/>
        <w:jc w:val="both"/>
      </w:pPr>
      <w:r>
        <w:rPr>
          <w:rStyle w:val="soitChar"/>
          <w:u w:val="single"/>
        </w:rPr>
        <w:t>Panneau multiplex bois </w:t>
      </w:r>
    </w:p>
    <w:p w14:paraId="30738819" w14:textId="77777777" w:rsidR="00DB2B68" w:rsidRDefault="00000000">
      <w:pPr>
        <w:ind w:left="567"/>
        <w:jc w:val="both"/>
      </w:pPr>
      <w:r>
        <w:rPr>
          <w:rStyle w:val="soitChar"/>
        </w:rPr>
        <w:t>Le multiplex est en bois </w:t>
      </w:r>
      <w:r>
        <w:rPr>
          <w:rStyle w:val="optioncarChar"/>
        </w:rPr>
        <w:t>feuillus / résineux. </w:t>
      </w:r>
    </w:p>
    <w:p w14:paraId="5B38EC64" w14:textId="77777777" w:rsidR="00DB2B68" w:rsidRDefault="00000000">
      <w:pPr>
        <w:ind w:left="567"/>
        <w:jc w:val="both"/>
      </w:pPr>
      <w:r>
        <w:rPr>
          <w:rStyle w:val="soitChar"/>
        </w:rPr>
        <w:t>Les panneaux ont une épaisseur de </w:t>
      </w:r>
      <w:r>
        <w:rPr>
          <w:rStyle w:val="optioncarChar"/>
        </w:rPr>
        <w:t>14 / 16 </w:t>
      </w:r>
      <w:r>
        <w:t>(par défaut) </w:t>
      </w:r>
      <w:r>
        <w:rPr>
          <w:rStyle w:val="optioncarChar"/>
        </w:rPr>
        <w:t>/ 19 / 21 / 27 / ***</w:t>
      </w:r>
      <w:r>
        <w:t>  </w:t>
      </w:r>
      <w:r>
        <w:rPr>
          <w:rStyle w:val="soitChar"/>
        </w:rPr>
        <w:t>mm.</w:t>
      </w:r>
    </w:p>
    <w:p w14:paraId="31D192D8" w14:textId="77777777" w:rsidR="00DB2B68"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4FFB2C21" w14:textId="77777777" w:rsidR="00DB2B68" w:rsidRDefault="00000000">
      <w:pPr>
        <w:ind w:left="567"/>
        <w:jc w:val="both"/>
      </w:pPr>
      <w:r>
        <w:rPr>
          <w:b/>
          <w:i/>
        </w:rPr>
        <w:t>(Soit)</w:t>
      </w:r>
    </w:p>
    <w:p w14:paraId="71D8C8A6" w14:textId="77777777" w:rsidR="00DB2B68" w:rsidRDefault="00000000">
      <w:pPr>
        <w:ind w:left="567"/>
        <w:jc w:val="both"/>
      </w:pPr>
      <w:r>
        <w:rPr>
          <w:rStyle w:val="soitChar"/>
          <w:u w:val="single"/>
        </w:rPr>
        <w:lastRenderedPageBreak/>
        <w:t>Osb</w:t>
      </w:r>
    </w:p>
    <w:p w14:paraId="24968044" w14:textId="77777777" w:rsidR="00DB2B68" w:rsidRDefault="00000000">
      <w:pPr>
        <w:ind w:left="567"/>
        <w:jc w:val="both"/>
      </w:pPr>
      <w:r>
        <w:rPr>
          <w:rStyle w:val="soitChar"/>
        </w:rPr>
        <w:t xml:space="preserve">Pour le descriptif, voir l’article </w:t>
      </w:r>
      <w:hyperlink w:anchor="597" w:history="1">
        <w:r>
          <w:rPr>
            <w:rStyle w:val="soitChar"/>
            <w:color w:val="0000EE"/>
          </w:rPr>
          <w:t>24.16.1b Panneaux OSB</w:t>
        </w:r>
      </w:hyperlink>
    </w:p>
    <w:p w14:paraId="3CC38333" w14:textId="77777777" w:rsidR="00DB2B68" w:rsidRDefault="00000000">
      <w:pPr>
        <w:ind w:left="567"/>
        <w:jc w:val="both"/>
      </w:pPr>
      <w:r>
        <w:rPr>
          <w:rStyle w:val="soitChar"/>
        </w:rPr>
        <w:t xml:space="preserve">Les panneaux sont </w:t>
      </w:r>
      <w:r>
        <w:rPr>
          <w:rStyle w:val="optioncarChar"/>
        </w:rPr>
        <w:t xml:space="preserve">à bord droit / rainurés languettés </w:t>
      </w:r>
      <w:r>
        <w:t>(par défaut).</w:t>
      </w:r>
    </w:p>
    <w:p w14:paraId="338D14D8" w14:textId="77777777" w:rsidR="00DB2B68" w:rsidRDefault="00000000">
      <w:pPr>
        <w:ind w:left="567"/>
        <w:jc w:val="both"/>
      </w:pPr>
      <w:r>
        <w:rPr>
          <w:rStyle w:val="soitChar"/>
        </w:rPr>
        <w:t>Les panneaux répondent à la [NBN EN 300] et à la [NBN EN 13986+A1].</w:t>
      </w:r>
    </w:p>
    <w:p w14:paraId="466569BA" w14:textId="77777777" w:rsidR="00DB2B68" w:rsidRDefault="00000000">
      <w:pPr>
        <w:ind w:left="567"/>
        <w:jc w:val="both"/>
      </w:pPr>
      <w:r>
        <w:rPr>
          <w:b/>
          <w:i/>
        </w:rPr>
        <w:t>(Soit)</w:t>
      </w:r>
    </w:p>
    <w:p w14:paraId="3B95D472" w14:textId="77777777" w:rsidR="00DB2B68" w:rsidRDefault="00000000">
      <w:pPr>
        <w:ind w:left="567"/>
        <w:jc w:val="both"/>
      </w:pPr>
      <w:r>
        <w:rPr>
          <w:rStyle w:val="optioncarChar"/>
        </w:rPr>
        <w:t>***</w:t>
      </w:r>
    </w:p>
    <w:p w14:paraId="7E03E503" w14:textId="77777777" w:rsidR="00DB2B68" w:rsidRDefault="00000000">
      <w:pPr>
        <w:jc w:val="both"/>
      </w:pPr>
      <w:r>
        <w:t xml:space="preserve">La réaction au feu est de classe </w:t>
      </w:r>
      <w:r>
        <w:rPr>
          <w:rStyle w:val="optioncarChar"/>
        </w:rPr>
        <w:t xml:space="preserve">D-s2, d0 </w:t>
      </w:r>
      <w:r>
        <w:t>(par défaut)</w:t>
      </w:r>
      <w:r>
        <w:rPr>
          <w:rStyle w:val="optioncarChar"/>
        </w:rPr>
        <w:t xml:space="preserve"> / ***.</w:t>
      </w:r>
    </w:p>
    <w:p w14:paraId="7675AEDB" w14:textId="77777777" w:rsidR="00DB2B68" w:rsidRDefault="00000000">
      <w:pPr>
        <w:pStyle w:val="pheading"/>
      </w:pPr>
      <w:r>
        <w:t>- Finitions</w:t>
      </w:r>
    </w:p>
    <w:p w14:paraId="1BC1F0AF" w14:textId="77777777" w:rsidR="00DB2B68" w:rsidRDefault="00000000">
      <w:pPr>
        <w:jc w:val="both"/>
      </w:pPr>
      <w:r>
        <w:t>La plaque de parement intérieur est peinte ou recouverte d’un enduit intérieur.</w:t>
      </w:r>
    </w:p>
    <w:p w14:paraId="7A3B3D6A" w14:textId="77777777" w:rsidR="00DB2B68" w:rsidRDefault="00000000">
      <w:pPr>
        <w:jc w:val="both"/>
      </w:pPr>
      <w:r>
        <w:t>La peinture (8 T8 Travaux de peinture / Traitements de surface) ou finition (5 T5 Fermetures / Finitions intérieures) éventuelles sont comprises dans un autre article.</w:t>
      </w:r>
    </w:p>
    <w:p w14:paraId="4DB01586" w14:textId="77777777" w:rsidR="00DB2B68" w:rsidRDefault="00000000">
      <w:pPr>
        <w:pStyle w:val="pheading"/>
      </w:pPr>
      <w:r>
        <w:t>- Prescriptions complémentaires</w:t>
      </w:r>
    </w:p>
    <w:p w14:paraId="7736A5FF" w14:textId="77777777" w:rsidR="00DB2B68" w:rsidRDefault="00000000">
      <w:pPr>
        <w:jc w:val="both"/>
      </w:pPr>
      <w:r>
        <w:rPr>
          <w:rStyle w:val="facultChar"/>
        </w:rPr>
        <w:t>La résistance au feu déclarée de la paroi</w:t>
      </w:r>
      <w:r>
        <w:t xml:space="preserve"> : </w:t>
      </w:r>
      <w:r>
        <w:rPr>
          <w:rStyle w:val="optioncarChar"/>
        </w:rPr>
        <w:t xml:space="preserve">pas d’exigences </w:t>
      </w:r>
      <w:r>
        <w:t>(par défaut)</w:t>
      </w:r>
      <w:r>
        <w:rPr>
          <w:rStyle w:val="optioncarChar"/>
        </w:rPr>
        <w:t xml:space="preserve"> / REI 30 / EI30 / REI 60 / EI 60 / ***.</w:t>
      </w:r>
    </w:p>
    <w:p w14:paraId="068B0C32" w14:textId="77777777" w:rsidR="00DB2B68" w:rsidRDefault="00000000">
      <w:pPr>
        <w:jc w:val="both"/>
      </w:pPr>
      <w:r>
        <w:rPr>
          <w:rStyle w:val="facultChar"/>
        </w:rPr>
        <w:t xml:space="preserve">En matière de qualité de l’air l’élément préfabriqué répond </w:t>
      </w:r>
      <w:r>
        <w:rPr>
          <w:rStyle w:val="optioncarChar"/>
        </w:rPr>
        <w:t xml:space="preserve">à l’[AR 2014-05-08] établissant les niveaux seuils pour les émissions dans l’environnement intérieur de produits de construction pour certains usages prévus / au label EMICODE EC 1+ / au label EMICODE EC 1 </w:t>
      </w:r>
      <w:r>
        <w:t>(par défaut)</w:t>
      </w:r>
      <w:r>
        <w:rPr>
          <w:rStyle w:val="optioncarChar"/>
        </w:rPr>
        <w:t xml:space="preserve"> / au label EMICODE EC 2 / ***</w:t>
      </w:r>
      <w:r>
        <w:rPr>
          <w:rStyle w:val="facultChar"/>
        </w:rPr>
        <w:t>.</w:t>
      </w:r>
    </w:p>
    <w:p w14:paraId="1F5F84A7" w14:textId="77777777" w:rsidR="00DB2B68" w:rsidRDefault="00000000">
      <w:pPr>
        <w:pStyle w:val="pheading"/>
      </w:pPr>
      <w:r>
        <w:t>EXÉCUTION / MISE EN ŒUVRE</w:t>
      </w:r>
    </w:p>
    <w:p w14:paraId="2E70ADC5" w14:textId="77777777" w:rsidR="00DB2B68" w:rsidRDefault="00000000">
      <w:pPr>
        <w:pStyle w:val="pheading"/>
      </w:pPr>
      <w:r>
        <w:t>- Prescriptions générales</w:t>
      </w:r>
    </w:p>
    <w:p w14:paraId="33C733C3" w14:textId="77777777" w:rsidR="00DB2B68" w:rsidRDefault="00000000">
      <w:pPr>
        <w:jc w:val="both"/>
      </w:pPr>
      <w:r>
        <w:t>Les sections de l’ossature préfabriquée et les modes de jonctions de ces parois font l’objet d’une validation par un bureau d’ingénieur.</w:t>
      </w:r>
    </w:p>
    <w:p w14:paraId="7C198778" w14:textId="77777777" w:rsidR="00DB2B68" w:rsidRDefault="00000000">
      <w:pPr>
        <w:jc w:val="both"/>
      </w:pPr>
      <w:r>
        <w:t>Tous les assemblages mécaniques structuraux sont dimensionnés selon les principes de l’Eurocode 5 [NBN EN 1995-1-1].</w:t>
      </w:r>
    </w:p>
    <w:p w14:paraId="7A6EF94E" w14:textId="77777777" w:rsidR="00DB2B68" w:rsidRDefault="00000000">
      <w:pPr>
        <w:jc w:val="both"/>
      </w:pPr>
      <w:r>
        <w:t>Sauf indication contraire, tous les bâtiments ou parties de bâtiments construits en bois doivent respecter les tolérances de mise en œuvre énoncées dans la [STS 23-1].</w:t>
      </w:r>
    </w:p>
    <w:p w14:paraId="0E5F2923" w14:textId="77777777" w:rsidR="00DB2B68" w:rsidRDefault="00000000">
      <w:pPr>
        <w:jc w:val="both"/>
      </w:pPr>
      <w:r>
        <w:t>Dans le cas d’un bâtiment bas (H&lt;10) en ossature bois, les tolérances de mise en œuvre listées dans la [STS 23-1] doivent aussi être respectées.</w:t>
      </w:r>
    </w:p>
    <w:p w14:paraId="73B9EAAB" w14:textId="77777777" w:rsidR="00DB2B68" w:rsidRDefault="00000000">
      <w:pPr>
        <w:jc w:val="both"/>
      </w:pPr>
      <w:r>
        <w:t>Les faces de la cloison sont protégées pour permettre le transport de l’élément préfabriqué.</w:t>
      </w:r>
    </w:p>
    <w:p w14:paraId="3E6CA2D9" w14:textId="77777777" w:rsidR="00DB2B68" w:rsidRDefault="00000000">
      <w:pPr>
        <w:jc w:val="both"/>
      </w:pPr>
      <w:r>
        <w:rPr>
          <w:b/>
        </w:rPr>
        <w:t>Pare-vapeur – frein vapeur</w:t>
      </w:r>
    </w:p>
    <w:p w14:paraId="68B03B11" w14:textId="77777777" w:rsidR="00DB2B68" w:rsidRDefault="00000000">
      <w:pPr>
        <w:jc w:val="both"/>
      </w:pPr>
      <w:r>
        <w:t xml:space="preserve">La continuité d’étanchéité est assurée par </w:t>
      </w:r>
      <w:r>
        <w:rPr>
          <w:rStyle w:val="optioncarChar"/>
        </w:rPr>
        <w:t xml:space="preserve">bandes adhésives </w:t>
      </w:r>
      <w:r>
        <w:t>(par défaut)</w:t>
      </w:r>
      <w:r>
        <w:rPr>
          <w:rStyle w:val="optioncarChar"/>
        </w:rPr>
        <w:t xml:space="preserve"> / mousse comprimée / mastics de resserrage / préformé d’étanchéité / ***</w:t>
      </w:r>
      <w:r>
        <w:t>.</w:t>
      </w:r>
    </w:p>
    <w:p w14:paraId="4BD6EC04" w14:textId="77777777" w:rsidR="00DB2B68" w:rsidRDefault="00000000">
      <w:pPr>
        <w:jc w:val="both"/>
      </w:pPr>
      <w:r>
        <w:t>Pour le descriptif des bandes adhésive, voir article 32.23.1c Bandes adhésives d'étanchéité à l'air et à la vapeur en polyéthylène.</w:t>
      </w:r>
    </w:p>
    <w:p w14:paraId="0F29446D" w14:textId="77777777" w:rsidR="00DB2B68" w:rsidRDefault="00000000">
      <w:pPr>
        <w:jc w:val="both"/>
      </w:pPr>
      <w:r>
        <w:rPr>
          <w:b/>
        </w:rPr>
        <w:t>Assemblages</w:t>
      </w:r>
    </w:p>
    <w:p w14:paraId="3D32BD73" w14:textId="77777777" w:rsidR="00DB2B68"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5E9AB2ED" w14:textId="77777777" w:rsidR="00DB2B68" w:rsidRDefault="0000000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r>
        <w:t>.</w:t>
      </w:r>
    </w:p>
    <w:p w14:paraId="6FCF193E" w14:textId="77777777" w:rsidR="00DB2B68" w:rsidRDefault="00000000">
      <w:pPr>
        <w:jc w:val="both"/>
      </w:pPr>
      <w:r>
        <w:rPr>
          <w:b/>
        </w:rPr>
        <w:t>Fixation en pied de mur</w:t>
      </w:r>
    </w:p>
    <w:p w14:paraId="770855FB" w14:textId="77777777" w:rsidR="00DB2B68" w:rsidRDefault="00000000">
      <w:pPr>
        <w:jc w:val="both"/>
      </w:pPr>
      <w:r>
        <w:t xml:space="preserve">Le caisson est fixé </w:t>
      </w:r>
      <w:r>
        <w:rPr>
          <w:rStyle w:val="optioncarChar"/>
        </w:rPr>
        <w:t xml:space="preserve">par l’intermédiaire d’une lisse basse </w:t>
      </w:r>
      <w:r>
        <w:t>(par défaut) </w:t>
      </w:r>
      <w:r>
        <w:rPr>
          <w:rStyle w:val="optioncarChar"/>
        </w:rPr>
        <w:t>/ par dispositifs d’ancrage ponctuels sur le gros œuvre existant / ***</w:t>
      </w:r>
      <w:r>
        <w:t>.</w:t>
      </w:r>
    </w:p>
    <w:p w14:paraId="15D78522" w14:textId="77777777" w:rsidR="00DB2B68" w:rsidRDefault="00000000">
      <w:pPr>
        <w:ind w:left="567"/>
        <w:jc w:val="both"/>
      </w:pPr>
      <w:r>
        <w:rPr>
          <w:b/>
          <w:i/>
        </w:rPr>
        <w:t>(Soit par défaut)</w:t>
      </w:r>
    </w:p>
    <w:p w14:paraId="081B2213" w14:textId="77777777" w:rsidR="00DB2B68" w:rsidRDefault="00000000">
      <w:pPr>
        <w:ind w:left="567"/>
        <w:jc w:val="both"/>
      </w:pPr>
      <w:r>
        <w:rPr>
          <w:rStyle w:val="soitChar"/>
          <w:u w:val="single"/>
        </w:rPr>
        <w:lastRenderedPageBreak/>
        <w:t>La lisse basse</w:t>
      </w:r>
      <w:r>
        <w:rPr>
          <w:rStyle w:val="soitChar"/>
        </w:rPr>
        <w:t xml:space="preserve"> est fixée par </w:t>
      </w:r>
      <w:r>
        <w:rPr>
          <w:rStyle w:val="optioncarChar"/>
        </w:rPr>
        <w:t>cheville métallique</w:t>
      </w:r>
      <w:r>
        <w:t xml:space="preserve"> (par défaut)</w:t>
      </w:r>
      <w:r>
        <w:rPr>
          <w:rStyle w:val="optioncarChar"/>
        </w:rPr>
        <w:t xml:space="preserve"> / vis spécifique béton / tiges filetées et ancrages chimiques / équerres de fixation / ***.</w:t>
      </w:r>
      <w:r>
        <w:rPr>
          <w:rStyle w:val="soitChar"/>
        </w:rPr>
        <w:t xml:space="preserve"> La lisse basse ou lisse de pose est décrite dans l’article </w:t>
      </w:r>
      <w:hyperlink w:anchor="592" w:history="1">
        <w:r>
          <w:rPr>
            <w:rStyle w:val="soitChar"/>
            <w:color w:val="0000EE"/>
          </w:rPr>
          <w:t>24.11.1a Lisses de pose en bois massif</w:t>
        </w:r>
      </w:hyperlink>
      <w:r>
        <w:rPr>
          <w:rStyle w:val="soitChar"/>
        </w:rPr>
        <w:t>.</w:t>
      </w:r>
    </w:p>
    <w:p w14:paraId="13F6F9A3" w14:textId="77777777" w:rsidR="00DB2B68" w:rsidRDefault="00000000">
      <w:pPr>
        <w:ind w:left="567"/>
        <w:jc w:val="both"/>
      </w:pPr>
      <w:r>
        <w:rPr>
          <w:b/>
          <w:i/>
        </w:rPr>
        <w:t>(Soit)</w:t>
      </w:r>
    </w:p>
    <w:p w14:paraId="04D3A7AD" w14:textId="77777777" w:rsidR="00DB2B68" w:rsidRDefault="00000000">
      <w:pPr>
        <w:ind w:left="567"/>
        <w:jc w:val="both"/>
      </w:pPr>
      <w:r>
        <w:rPr>
          <w:rStyle w:val="soitChar"/>
          <w:u w:val="single"/>
        </w:rPr>
        <w:t>Dispositifs d’ancrage ponctuels </w:t>
      </w:r>
      <w:r>
        <w:rPr>
          <w:rStyle w:val="soitChar"/>
        </w:rPr>
        <w:t xml:space="preserve">: Les dispositifs de fixation sont des </w:t>
      </w:r>
      <w:r>
        <w:rPr>
          <w:rStyle w:val="optioncarChar"/>
        </w:rPr>
        <w:t>équerres métalliques</w:t>
      </w:r>
      <w:r>
        <w:t xml:space="preserve"> (par défaut)</w:t>
      </w:r>
      <w:r>
        <w:rPr>
          <w:rStyle w:val="optioncarChar"/>
        </w:rPr>
        <w:t xml:space="preserve"> / connecteurs acoustiques / plats métalliques / connecteurs de cisaillement et traction / sabots d’angles / ***</w:t>
      </w:r>
      <w:r>
        <w:rPr>
          <w:rStyle w:val="soitChar"/>
        </w:rPr>
        <w:t xml:space="preserve">.  Les dispositifs d’ancrages reprennent le caisson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mm de bord du caisson. </w:t>
      </w:r>
    </w:p>
    <w:p w14:paraId="46D459EF" w14:textId="77777777" w:rsidR="00DB2B68" w:rsidRDefault="00000000">
      <w:pPr>
        <w:ind w:left="567"/>
        <w:jc w:val="both"/>
      </w:pPr>
      <w:r>
        <w:rPr>
          <w:b/>
          <w:i/>
        </w:rPr>
        <w:t>(Soit)</w:t>
      </w:r>
    </w:p>
    <w:p w14:paraId="5B8B079B" w14:textId="77777777" w:rsidR="00DB2B68" w:rsidRDefault="00000000">
      <w:pPr>
        <w:ind w:left="567"/>
        <w:jc w:val="both"/>
      </w:pPr>
      <w:r>
        <w:rPr>
          <w:rStyle w:val="optioncarChar"/>
        </w:rPr>
        <w:t>***</w:t>
      </w:r>
    </w:p>
    <w:p w14:paraId="7FAFA0B8" w14:textId="77777777" w:rsidR="00DB2B68" w:rsidRDefault="00DB2B68">
      <w:pPr>
        <w:ind w:left="567"/>
        <w:jc w:val="both"/>
      </w:pPr>
    </w:p>
    <w:p w14:paraId="0FB5A3C4" w14:textId="77777777" w:rsidR="00DB2B68" w:rsidRDefault="00000000">
      <w:pPr>
        <w:jc w:val="both"/>
      </w:pPr>
      <w:r>
        <w:t xml:space="preserve">L’assemblage de pied de paroi est muni d’une </w:t>
      </w:r>
      <w:r>
        <w:rPr>
          <w:rStyle w:val="optioncarChar"/>
        </w:rPr>
        <w:t>bande d’arase en membrane élastomère</w:t>
      </w:r>
      <w:r>
        <w:t xml:space="preserve"> (par défaut)</w:t>
      </w:r>
      <w:r>
        <w:rPr>
          <w:rStyle w:val="optioncarChar"/>
        </w:rPr>
        <w:t xml:space="preserve"> / membrane bitumineuse / membrane à base butyle / membrane polypropylène / ***</w:t>
      </w:r>
      <w:r>
        <w:t>.</w:t>
      </w:r>
    </w:p>
    <w:p w14:paraId="46583F7D" w14:textId="77777777" w:rsidR="00DB2B68" w:rsidRDefault="00000000">
      <w:pPr>
        <w:jc w:val="both"/>
      </w:pPr>
      <w:r>
        <w:rPr>
          <w:b/>
        </w:rPr>
        <w:t>Fixation entre caissons de même plan</w:t>
      </w:r>
    </w:p>
    <w:p w14:paraId="42887B79" w14:textId="77777777" w:rsidR="00DB2B68" w:rsidRDefault="00000000">
      <w:pPr>
        <w:jc w:val="both"/>
      </w:pPr>
      <w:r>
        <w:t>L’assemblage est réalisé par</w:t>
      </w:r>
      <w:r>
        <w:rPr>
          <w:rStyle w:val="optioncarChar"/>
        </w:rPr>
        <w:t xml:space="preserve"> tire-fond </w:t>
      </w:r>
      <w:r>
        <w:t>(par défaut)</w:t>
      </w:r>
      <w:r>
        <w:rPr>
          <w:rStyle w:val="optioncarChar"/>
        </w:rPr>
        <w:t> / plats métallique / profilés collaborant / ***.</w:t>
      </w:r>
    </w:p>
    <w:p w14:paraId="08F59B5D" w14:textId="77777777" w:rsidR="00DB2B68" w:rsidRDefault="00000000">
      <w:pPr>
        <w:jc w:val="both"/>
      </w:pPr>
      <w:r>
        <w:rPr>
          <w:b/>
        </w:rPr>
        <w:t>Assemblage d’angles</w:t>
      </w:r>
    </w:p>
    <w:p w14:paraId="5156006C" w14:textId="77777777" w:rsidR="00DB2B68" w:rsidRDefault="00000000">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gros œuvre existant / ***</w:t>
      </w:r>
      <w:r>
        <w:t>.</w:t>
      </w:r>
    </w:p>
    <w:p w14:paraId="6B5B0D91" w14:textId="77777777" w:rsidR="00DB2B68" w:rsidRDefault="00000000">
      <w:pPr>
        <w:ind w:left="567"/>
        <w:jc w:val="both"/>
      </w:pPr>
      <w:r>
        <w:rPr>
          <w:b/>
          <w:i/>
        </w:rPr>
        <w:t>(Soit par défaut)</w:t>
      </w:r>
    </w:p>
    <w:p w14:paraId="1F2467D1" w14:textId="77777777" w:rsidR="00DB2B68" w:rsidRDefault="00000000">
      <w:pPr>
        <w:ind w:left="567"/>
        <w:jc w:val="both"/>
      </w:pPr>
      <w:r>
        <w:rPr>
          <w:rStyle w:val="soitChar"/>
          <w:u w:val="single"/>
        </w:rPr>
        <w:t>Vis traversante :</w:t>
      </w:r>
      <w:r>
        <w:rPr>
          <w:rStyle w:val="soitChar"/>
        </w:rPr>
        <w:t xml:space="preserve"> La fixation de type tire-fond est appliquée sur le montant intérieur du caisson à assembler ou par fixations inclinées. Le nombre de fixations et les sections répondent au dimensionnement selon la [NBN EN 1995 série].</w:t>
      </w:r>
    </w:p>
    <w:p w14:paraId="52AF8561" w14:textId="77777777" w:rsidR="00DB2B68" w:rsidRDefault="00000000">
      <w:pPr>
        <w:ind w:left="567"/>
        <w:jc w:val="both"/>
      </w:pPr>
      <w:r>
        <w:rPr>
          <w:b/>
          <w:i/>
        </w:rPr>
        <w:t>(Soit)</w:t>
      </w:r>
    </w:p>
    <w:p w14:paraId="329CCCE1" w14:textId="77777777" w:rsidR="00DB2B68" w:rsidRDefault="00000000">
      <w:pPr>
        <w:ind w:left="567"/>
        <w:jc w:val="both"/>
      </w:pPr>
      <w:r>
        <w:rPr>
          <w:rStyle w:val="soitChar"/>
          <w:u w:val="single"/>
        </w:rPr>
        <w:t>Dispositifs d’ancrage ponctuels</w:t>
      </w:r>
      <w:r>
        <w:rPr>
          <w:rStyle w:val="soitChar"/>
        </w:rPr>
        <w:t xml:space="preserve"> : 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tire-fond</w:t>
      </w:r>
      <w:r>
        <w:t xml:space="preserve"> (par défaut) </w:t>
      </w:r>
      <w:r>
        <w:rPr>
          <w:rStyle w:val="optioncarChar"/>
        </w:rPr>
        <w:t>/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14:paraId="446CAA21" w14:textId="77777777" w:rsidR="00DB2B68" w:rsidRDefault="00000000">
      <w:pPr>
        <w:ind w:left="567"/>
        <w:jc w:val="both"/>
      </w:pPr>
      <w:r>
        <w:rPr>
          <w:b/>
          <w:i/>
        </w:rPr>
        <w:t>(Soit)</w:t>
      </w:r>
    </w:p>
    <w:p w14:paraId="17C79E64" w14:textId="77777777" w:rsidR="00DB2B68" w:rsidRDefault="00000000">
      <w:pPr>
        <w:ind w:left="567"/>
        <w:jc w:val="both"/>
      </w:pPr>
      <w:r>
        <w:rPr>
          <w:rStyle w:val="optioncarChar"/>
        </w:rPr>
        <w:t>***</w:t>
      </w:r>
    </w:p>
    <w:p w14:paraId="6014131B" w14:textId="77777777" w:rsidR="00DB2B68" w:rsidRDefault="00000000">
      <w:pPr>
        <w:jc w:val="both"/>
      </w:pPr>
      <w:r>
        <w:t> </w:t>
      </w:r>
    </w:p>
    <w:p w14:paraId="7D2DD629" w14:textId="77777777" w:rsidR="00DB2B68" w:rsidRDefault="00000000">
      <w:pPr>
        <w:jc w:val="both"/>
      </w:pPr>
      <w:r>
        <w:t xml:space="preserve">Les fixations, pointes ou vis, des panneaux sont effectuées sur </w:t>
      </w:r>
      <w:r>
        <w:rPr>
          <w:rStyle w:val="optioncarChar"/>
        </w:rPr>
        <w:t>2/3</w:t>
      </w:r>
      <w:r>
        <w:t xml:space="preserve"> (par défaut) </w:t>
      </w:r>
      <w:r>
        <w:rPr>
          <w:rStyle w:val="optioncarChar"/>
        </w:rPr>
        <w:t>/ ***</w:t>
      </w:r>
      <w:r>
        <w:t xml:space="preserve"> de l’épaisseur du panneau.</w:t>
      </w:r>
    </w:p>
    <w:p w14:paraId="627DDD8D" w14:textId="77777777" w:rsidR="00DB2B68" w:rsidRDefault="00000000">
      <w:pPr>
        <w:jc w:val="both"/>
      </w:pPr>
      <w:r>
        <w:t xml:space="preserve">Les dispositifs d’ancrage sont décrits dans les éléments du </w:t>
      </w:r>
      <w:hyperlink w:anchor="585" w:history="1">
        <w:r>
          <w:rPr>
            <w:color w:val="0000EE"/>
          </w:rPr>
          <w:t>24.4 Assemblages</w:t>
        </w:r>
      </w:hyperlink>
      <w:r>
        <w:t xml:space="preserve"> mais la fourniture et la pose sont comprises dans le présent travail.</w:t>
      </w:r>
    </w:p>
    <w:p w14:paraId="11A95167" w14:textId="77777777" w:rsidR="00DB2B68" w:rsidRDefault="00DB2B68"/>
    <w:p w14:paraId="27A49477" w14:textId="77777777" w:rsidR="00DB2B68" w:rsidRDefault="00000000">
      <w:pPr>
        <w:jc w:val="both"/>
      </w:pPr>
      <w:r>
        <w:rPr>
          <w:b/>
        </w:rPr>
        <w:t>Travaux préalables :  HVAC - Sanitaires - Electricité</w:t>
      </w:r>
    </w:p>
    <w:p w14:paraId="6FE06DF9" w14:textId="77777777" w:rsidR="00DB2B68" w:rsidRDefault="0000000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0FE7D402" w14:textId="77777777" w:rsidR="00DB2B68" w:rsidRDefault="00000000">
      <w:pPr>
        <w:ind w:left="567"/>
        <w:jc w:val="both"/>
      </w:pPr>
      <w:r>
        <w:rPr>
          <w:b/>
          <w:i/>
        </w:rPr>
        <w:t>(Soit par défaut)</w:t>
      </w:r>
    </w:p>
    <w:p w14:paraId="4BBD0F97" w14:textId="77777777" w:rsidR="00DB2B68" w:rsidRDefault="0000000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6 T6 HVAC - sanitaires et 7 T7 Electricité et sont réalisés a posteriori.</w:t>
      </w:r>
    </w:p>
    <w:p w14:paraId="2F0BFCE8" w14:textId="77777777" w:rsidR="00DB2B68" w:rsidRDefault="00000000">
      <w:pPr>
        <w:ind w:left="567"/>
        <w:jc w:val="both"/>
      </w:pPr>
      <w:r>
        <w:rPr>
          <w:b/>
          <w:i/>
        </w:rPr>
        <w:t>(Soit)</w:t>
      </w:r>
    </w:p>
    <w:p w14:paraId="79F21D14" w14:textId="77777777" w:rsidR="00DB2B68" w:rsidRDefault="00000000">
      <w:pPr>
        <w:ind w:left="567"/>
        <w:jc w:val="both"/>
      </w:pPr>
      <w:r>
        <w:rPr>
          <w:rStyle w:val="soitChar"/>
          <w:u w:val="single"/>
        </w:rPr>
        <w:lastRenderedPageBreak/>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6 T6 HVAC - sanitaires et 7 T7 Electricité.  </w:t>
      </w:r>
    </w:p>
    <w:p w14:paraId="58528F6F" w14:textId="77777777" w:rsidR="00DB2B68" w:rsidRDefault="00000000">
      <w:pPr>
        <w:pStyle w:val="pheading"/>
      </w:pPr>
      <w:r>
        <w:t>- Notes d’exécution complémentaires</w:t>
      </w:r>
    </w:p>
    <w:p w14:paraId="7255893C" w14:textId="77777777" w:rsidR="00DB2B68" w:rsidRDefault="00000000">
      <w:pPr>
        <w:jc w:val="both"/>
      </w:pPr>
      <w:r>
        <w:rPr>
          <w:rStyle w:val="facultChar"/>
        </w:rPr>
        <w:t>Tous les assemblages mécaniques structuraux sont dimensionnés selon les principes de l’Eurocode 5 [NBN EN 1995-1-1] et de sa partie feu [NBN EN 1995-1-2].</w:t>
      </w:r>
    </w:p>
    <w:p w14:paraId="567EC2EC" w14:textId="77777777" w:rsidR="00DB2B68" w:rsidRDefault="00000000">
      <w:pPr>
        <w:pStyle w:val="pheading"/>
      </w:pPr>
      <w:r>
        <w:t>CONTRÔLES PARTICULIERS</w:t>
      </w:r>
    </w:p>
    <w:p w14:paraId="5808C8F3" w14:textId="77777777" w:rsidR="00DB2B68" w:rsidRDefault="00000000">
      <w:r>
        <w:t>Le contrôle de la qualité du séchage d’un lot de bois scié se fait selon la [NBN EN 14298].</w:t>
      </w:r>
    </w:p>
    <w:p w14:paraId="6411FDB9" w14:textId="77777777" w:rsidR="00DB2B68" w:rsidRDefault="00000000">
      <w:pPr>
        <w:pStyle w:val="pheading"/>
      </w:pPr>
      <w:r>
        <w:t>DOCUMENTS DE RÉFÉRENCE COMPLÉMENTAIRES</w:t>
      </w:r>
    </w:p>
    <w:p w14:paraId="213F8E2E" w14:textId="77777777" w:rsidR="00DB2B68" w:rsidRDefault="00000000">
      <w:pPr>
        <w:pStyle w:val="pheading"/>
      </w:pPr>
      <w:r>
        <w:t>- Matériau</w:t>
      </w:r>
    </w:p>
    <w:p w14:paraId="1E3E4ABD" w14:textId="77777777" w:rsidR="00DB2B68" w:rsidRDefault="00000000">
      <w:r>
        <w:t>[NBN EN 14081 série, Structures en bois - Bois de structure à section rectangulaire classé pour sa résistance]</w:t>
      </w:r>
    </w:p>
    <w:p w14:paraId="56C5E7D6" w14:textId="77777777" w:rsidR="00DB2B68" w:rsidRDefault="00000000">
      <w:r>
        <w:t>[NBN EN 15497, Bois massif de structure à entures multiples - Exigences de performances et exigences minimales de fabrication]</w:t>
      </w:r>
    </w:p>
    <w:p w14:paraId="015BD8E8" w14:textId="77777777" w:rsidR="00DB2B68" w:rsidRDefault="00000000">
      <w:r>
        <w:t>[NBN EN 14080, Structures en bois - Bois lamellé collé et bois massif reconstitué - Exigences]</w:t>
      </w:r>
    </w:p>
    <w:p w14:paraId="3B9CFFCB" w14:textId="77777777" w:rsidR="00DB2B68" w:rsidRDefault="00000000">
      <w:r>
        <w:t>[NBN EN 335, Durabilité du bois et des matériaux à base de bois - Classes d'emploi: définitions, application au bois massif et aux matériaux à base de bois]</w:t>
      </w:r>
    </w:p>
    <w:p w14:paraId="110DDB7A"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BA99642" w14:textId="77777777" w:rsidR="00DB2B68" w:rsidRDefault="00000000">
      <w:r>
        <w:t>[NBN EN 13171+A1, Produits isolants thermiques pour le bâtiment - Produits manufacturés en fibres de bois (WF) - Spécification]</w:t>
      </w:r>
    </w:p>
    <w:p w14:paraId="13F651FF" w14:textId="77777777" w:rsidR="00DB2B68" w:rsidRDefault="00000000">
      <w:r>
        <w:t>[NBN EN 13986+A1, Panneaux à base de bois destinés à la construction - Caractéristiques, évaluation de conformité et marquage]</w:t>
      </w:r>
    </w:p>
    <w:p w14:paraId="6BB46C51" w14:textId="77777777" w:rsidR="00DB2B68" w:rsidRDefault="00000000">
      <w:r>
        <w:t>[NBN EN 12086, Produits isolants thermiques destinés aux applications du bâtiment - Détermination des propriétés de transmission de la vapeur d'eau]</w:t>
      </w:r>
    </w:p>
    <w:p w14:paraId="03AC409D" w14:textId="77777777" w:rsidR="00DB2B68" w:rsidRDefault="00000000">
      <w:r>
        <w:t>[NBN EN 310, Panneaux à base de bois - Détermination du module d'élasticité en flexion et de la résistance à la flexion]</w:t>
      </w:r>
    </w:p>
    <w:p w14:paraId="02376AC8" w14:textId="77777777" w:rsidR="00DB2B68" w:rsidRDefault="00000000">
      <w:r>
        <w:t>[NBN EN 312, Panneaux de particules - Exigences]</w:t>
      </w:r>
    </w:p>
    <w:p w14:paraId="2308206C" w14:textId="77777777" w:rsidR="00DB2B68" w:rsidRDefault="00000000">
      <w:r>
        <w:t>[NBN EN 319, Panneaux de particules et panneaux de fibres - Détermination de la résistance à la traction perpendiculaire aux faces du panneau]</w:t>
      </w:r>
    </w:p>
    <w:p w14:paraId="09D097B2" w14:textId="77777777" w:rsidR="00DB2B68" w:rsidRDefault="00000000">
      <w:r>
        <w:t>[NBN EN ISO 10456, Matériaux et produits pour le bâtiment - Propriétés hygrothermiques - Valeurs utiles tabulées et procédures pour la détermination des valeurs thermiques déclarées et utiles (ISO 10456:2007)) (+AC:2009)]</w:t>
      </w:r>
    </w:p>
    <w:p w14:paraId="22584495" w14:textId="77777777" w:rsidR="00DB2B68" w:rsidRDefault="00000000">
      <w:r>
        <w:t>[NBN EN 335, Durabilité du bois et des matériaux à base de bois - Classes d'emploi: définitions, application au bois massif et aux matériaux à base de bois]</w:t>
      </w:r>
    </w:p>
    <w:p w14:paraId="2F4BD575"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0B48AE5E" w14:textId="77777777" w:rsidR="00DB2B68" w:rsidRDefault="00000000">
      <w:pPr>
        <w:pStyle w:val="pheading"/>
      </w:pPr>
      <w:r>
        <w:t>- Exécution</w:t>
      </w:r>
    </w:p>
    <w:p w14:paraId="7E55FCD9" w14:textId="77777777" w:rsidR="00DB2B68" w:rsidRDefault="00000000">
      <w:r>
        <w:t>[NBN EN 1995 série, Eurocode 5: Conception et calcul des structures en bois]</w:t>
      </w:r>
    </w:p>
    <w:p w14:paraId="43D21395" w14:textId="77777777" w:rsidR="00DB2B68" w:rsidRDefault="00000000">
      <w:r>
        <w:t>[STS 31, Charpenterie]</w:t>
      </w:r>
    </w:p>
    <w:p w14:paraId="6D46139E" w14:textId="77777777" w:rsidR="00DB2B68" w:rsidRDefault="00000000">
      <w:r>
        <w:t>[STS 23-1, Constructions en ossature bois]</w:t>
      </w:r>
    </w:p>
    <w:p w14:paraId="346B8218" w14:textId="77777777" w:rsidR="00DB2B68" w:rsidRDefault="00000000">
      <w:r>
        <w:t>[NBN EN 14298, Bois scié - Estimation de la qualité du séchage]</w:t>
      </w:r>
    </w:p>
    <w:p w14:paraId="1B6AA990" w14:textId="77777777" w:rsidR="00DB2B68" w:rsidRDefault="00000000">
      <w:pPr>
        <w:pStyle w:val="pheading"/>
      </w:pPr>
      <w:r>
        <w:lastRenderedPageBreak/>
        <w:t>MESURAGE</w:t>
      </w:r>
    </w:p>
    <w:p w14:paraId="65F7C0CB" w14:textId="77777777" w:rsidR="00DB2B68" w:rsidRDefault="00000000">
      <w:pPr>
        <w:pStyle w:val="pheading"/>
      </w:pPr>
      <w:r>
        <w:t>- unité de mesure:</w:t>
      </w:r>
    </w:p>
    <w:p w14:paraId="6CAC1086" w14:textId="77777777" w:rsidR="00DB2B68" w:rsidRDefault="00000000">
      <w:r>
        <w:rPr>
          <w:rStyle w:val="optioncarChar"/>
        </w:rPr>
        <w:t xml:space="preserve">m² </w:t>
      </w:r>
      <w:r>
        <w:t>(par défaut)</w:t>
      </w:r>
      <w:r>
        <w:rPr>
          <w:rStyle w:val="optioncarChar"/>
        </w:rPr>
        <w:t xml:space="preserve"> / m³</w:t>
      </w:r>
    </w:p>
    <w:p w14:paraId="2002CA49" w14:textId="77777777" w:rsidR="00DB2B68" w:rsidRDefault="00000000">
      <w:r>
        <w:rPr>
          <w:b/>
          <w:i/>
        </w:rPr>
        <w:t>(Soit par défaut)</w:t>
      </w:r>
    </w:p>
    <w:p w14:paraId="261711B0" w14:textId="77777777" w:rsidR="00DB2B68" w:rsidRDefault="00000000">
      <w:r>
        <w:rPr>
          <w:rStyle w:val="soitChar"/>
        </w:rPr>
        <w:t>1. m²</w:t>
      </w:r>
    </w:p>
    <w:p w14:paraId="5E0E4522" w14:textId="77777777" w:rsidR="00DB2B68" w:rsidRDefault="00000000">
      <w:r>
        <w:rPr>
          <w:b/>
          <w:i/>
        </w:rPr>
        <w:t>(Soit)</w:t>
      </w:r>
    </w:p>
    <w:p w14:paraId="647F0C08" w14:textId="77777777" w:rsidR="00DB2B68" w:rsidRDefault="00000000">
      <w:r>
        <w:rPr>
          <w:rStyle w:val="soitChar"/>
        </w:rPr>
        <w:t>2. m³</w:t>
      </w:r>
    </w:p>
    <w:p w14:paraId="78FD7136" w14:textId="77777777" w:rsidR="00DB2B68" w:rsidRDefault="00000000">
      <w:pPr>
        <w:pStyle w:val="pheading"/>
      </w:pPr>
      <w:r>
        <w:t>- code de mesurage:</w:t>
      </w:r>
    </w:p>
    <w:p w14:paraId="2DED0A72" w14:textId="77777777" w:rsidR="00DB2B68" w:rsidRDefault="00000000">
      <w:pPr>
        <w:jc w:val="both"/>
      </w:pPr>
      <w:r>
        <w:rPr>
          <w:rStyle w:val="optioncarChar"/>
        </w:rPr>
        <w:t xml:space="preserve">Surface nette </w:t>
      </w:r>
      <w:r>
        <w:t>(par défaut)</w:t>
      </w:r>
      <w:r>
        <w:rPr>
          <w:rStyle w:val="optioncarChar"/>
        </w:rPr>
        <w:t xml:space="preserve"> / Volume net</w:t>
      </w:r>
    </w:p>
    <w:p w14:paraId="79B68B8E" w14:textId="77777777" w:rsidR="00DB2B68" w:rsidRDefault="00000000">
      <w:pPr>
        <w:jc w:val="both"/>
      </w:pPr>
      <w:r>
        <w:rPr>
          <w:b/>
          <w:i/>
        </w:rPr>
        <w:t>(Soit par défaut)</w:t>
      </w:r>
    </w:p>
    <w:p w14:paraId="6B14C61D" w14:textId="77777777" w:rsidR="00DB2B68" w:rsidRDefault="00000000">
      <w:pPr>
        <w:jc w:val="both"/>
      </w:pPr>
      <w:r>
        <w:rPr>
          <w:rStyle w:val="soitChar"/>
        </w:rPr>
        <w:t xml:space="preserve">1. </w:t>
      </w:r>
      <w:r>
        <w:rPr>
          <w:rStyle w:val="soitChar"/>
          <w:u w:val="single"/>
        </w:rPr>
        <w:t>Surface nette</w:t>
      </w:r>
      <w:r>
        <w:rPr>
          <w:rStyle w:val="soitChar"/>
        </w:rPr>
        <w:t xml:space="preserve"> : Longueur x Largeur de la paroi selon les plans. Déduction faite des vides de plus de 0.5 m².</w:t>
      </w:r>
    </w:p>
    <w:p w14:paraId="1701265F" w14:textId="77777777" w:rsidR="00DB2B68" w:rsidRDefault="00000000">
      <w:pPr>
        <w:jc w:val="both"/>
      </w:pPr>
      <w:r>
        <w:rPr>
          <w:b/>
          <w:i/>
        </w:rPr>
        <w:t>(Soit)</w:t>
      </w:r>
    </w:p>
    <w:p w14:paraId="2229CA47" w14:textId="77777777" w:rsidR="00DB2B68" w:rsidRDefault="00000000">
      <w:pPr>
        <w:jc w:val="both"/>
      </w:pPr>
      <w:r>
        <w:rPr>
          <w:rStyle w:val="soitChar"/>
        </w:rPr>
        <w:t xml:space="preserve">2. </w:t>
      </w:r>
      <w:r>
        <w:rPr>
          <w:rStyle w:val="soitChar"/>
          <w:u w:val="single"/>
        </w:rPr>
        <w:t>Volume net</w:t>
      </w:r>
      <w:r>
        <w:rPr>
          <w:rStyle w:val="soitChar"/>
        </w:rPr>
        <w:t xml:space="preserve"> : Volume net des parois selon les plans. Il n’est pas fait de déduction de volume pour les réservations, écarteurs, etc. si ce volume est inférieur à 0,05 m³.</w:t>
      </w:r>
    </w:p>
    <w:p w14:paraId="3841CF60" w14:textId="77777777" w:rsidR="00DB2B68" w:rsidRDefault="00000000">
      <w:pPr>
        <w:pStyle w:val="pheading"/>
      </w:pPr>
      <w:r>
        <w:t>- nature du marché:</w:t>
      </w:r>
    </w:p>
    <w:p w14:paraId="4FBD5796" w14:textId="77777777" w:rsidR="00DB2B68" w:rsidRDefault="00000000">
      <w:r>
        <w:rPr>
          <w:rStyle w:val="optioncarChar"/>
        </w:rPr>
        <w:t>QF</w:t>
      </w:r>
      <w:r>
        <w:t xml:space="preserve"> (par défaut)</w:t>
      </w:r>
      <w:r>
        <w:rPr>
          <w:rStyle w:val="optioncarChar"/>
        </w:rPr>
        <w:t xml:space="preserve"> / QP</w:t>
      </w:r>
    </w:p>
    <w:p w14:paraId="2DD5FACC" w14:textId="77777777" w:rsidR="00DB2B68" w:rsidRDefault="00000000">
      <w:r>
        <w:rPr>
          <w:b/>
          <w:i/>
        </w:rPr>
        <w:t>(Soit par défaut)</w:t>
      </w:r>
    </w:p>
    <w:p w14:paraId="05032DC5" w14:textId="77777777" w:rsidR="00DB2B68" w:rsidRDefault="00000000">
      <w:r>
        <w:rPr>
          <w:rStyle w:val="soitChar"/>
        </w:rPr>
        <w:t>1. 2. QF</w:t>
      </w:r>
    </w:p>
    <w:p w14:paraId="65FF80E2" w14:textId="77777777" w:rsidR="00DB2B68" w:rsidRDefault="00000000">
      <w:r>
        <w:rPr>
          <w:b/>
          <w:i/>
        </w:rPr>
        <w:t>(Soit)</w:t>
      </w:r>
    </w:p>
    <w:p w14:paraId="16003F49" w14:textId="77777777" w:rsidR="00DB2B68" w:rsidRDefault="00000000">
      <w:r>
        <w:rPr>
          <w:rStyle w:val="soitChar"/>
        </w:rPr>
        <w:t>1. 2. QP   </w:t>
      </w:r>
    </w:p>
    <w:p w14:paraId="22889D8D" w14:textId="77777777" w:rsidR="00DB2B68" w:rsidRDefault="00000000">
      <w:pPr>
        <w:pStyle w:val="Author-eSectionHeading6Numberless"/>
      </w:pPr>
      <w:bookmarkStart w:id="1661" w:name="_Toc220496646"/>
      <w:r>
        <w:t>24.21.3b Murs en bois en caissons préfabriqués remplis de paille CCTB 01.11</w:t>
      </w:r>
      <w:bookmarkEnd w:id="1661"/>
    </w:p>
    <w:p w14:paraId="6E10EF61" w14:textId="77777777" w:rsidR="00DB2B68" w:rsidRDefault="00000000">
      <w:pPr>
        <w:pStyle w:val="pheading"/>
      </w:pPr>
      <w:r>
        <w:t>DESCRIPTION</w:t>
      </w:r>
    </w:p>
    <w:p w14:paraId="1ABC4F2E" w14:textId="77777777" w:rsidR="00DB2B68" w:rsidRDefault="00000000">
      <w:pPr>
        <w:pStyle w:val="pheading"/>
      </w:pPr>
      <w:r>
        <w:t>- Définition / Comprend</w:t>
      </w:r>
    </w:p>
    <w:p w14:paraId="453663C3" w14:textId="77777777" w:rsidR="00DB2B68" w:rsidRDefault="00000000">
      <w:pPr>
        <w:jc w:val="both"/>
      </w:pPr>
      <w:r>
        <w:t>Il s’agit de la fourniture et la pose de murs porteurs ou  non constitués de caissons préfabriqués en bois remplis de paille.</w:t>
      </w:r>
    </w:p>
    <w:p w14:paraId="529E17B1" w14:textId="77777777" w:rsidR="00DB2B68" w:rsidRDefault="00000000">
      <w:pPr>
        <w:jc w:val="both"/>
      </w:pPr>
      <w:r>
        <w:t>Le travail comprend notamment :</w:t>
      </w:r>
    </w:p>
    <w:p w14:paraId="15FFB1B4" w14:textId="77777777" w:rsidR="00DB2B68" w:rsidRDefault="00000000">
      <w:pPr>
        <w:pStyle w:val="Author-eListParagraph"/>
        <w:numPr>
          <w:ilvl w:val="0"/>
          <w:numId w:val="899"/>
        </w:numPr>
        <w:jc w:val="both"/>
      </w:pPr>
      <w:r>
        <w:t>La réception des supports sur lesquels les éléments sont posés selon les tolérances dimensionnelles de la [STS 23-1] Constructions en ossature bois;</w:t>
      </w:r>
    </w:p>
    <w:p w14:paraId="0D50F60C" w14:textId="77777777" w:rsidR="00DB2B68" w:rsidRDefault="00000000">
      <w:pPr>
        <w:pStyle w:val="Author-eListParagraph"/>
        <w:numPr>
          <w:ilvl w:val="0"/>
          <w:numId w:val="899"/>
        </w:numPr>
        <w:jc w:val="both"/>
      </w:pPr>
      <w:r>
        <w:t>La préparation et nettoyage des supports;</w:t>
      </w:r>
    </w:p>
    <w:p w14:paraId="75FBF1EA" w14:textId="77777777" w:rsidR="00DB2B68" w:rsidRDefault="00000000">
      <w:pPr>
        <w:pStyle w:val="Author-eListParagraph"/>
        <w:numPr>
          <w:ilvl w:val="0"/>
          <w:numId w:val="899"/>
        </w:numPr>
        <w:jc w:val="both"/>
      </w:pPr>
      <w:r>
        <w:t>La fabrication, la livraison et la pose des parois, y compris les engins de levage, tous les supports temporaires et travaux d’étayage;</w:t>
      </w:r>
    </w:p>
    <w:p w14:paraId="5D7C89C1" w14:textId="77777777" w:rsidR="00DB2B68" w:rsidRDefault="00000000">
      <w:pPr>
        <w:pStyle w:val="Author-eListParagraph"/>
        <w:numPr>
          <w:ilvl w:val="0"/>
          <w:numId w:val="899"/>
        </w:numPr>
        <w:jc w:val="both"/>
      </w:pPr>
      <w:r>
        <w:t>Les réservations prévues sur les plans;</w:t>
      </w:r>
    </w:p>
    <w:p w14:paraId="0DBD92C0" w14:textId="77777777" w:rsidR="00DB2B68" w:rsidRDefault="00000000">
      <w:pPr>
        <w:pStyle w:val="Author-eListParagraph"/>
        <w:numPr>
          <w:ilvl w:val="0"/>
          <w:numId w:val="899"/>
        </w:numPr>
        <w:jc w:val="both"/>
      </w:pPr>
      <w:r>
        <w:t>La finition des bords et travaux de réparation en cas d’endommagement;</w:t>
      </w:r>
    </w:p>
    <w:p w14:paraId="3CB376DD" w14:textId="77777777" w:rsidR="00DB2B68" w:rsidRDefault="00000000">
      <w:pPr>
        <w:pStyle w:val="Author-eListParagraph"/>
        <w:numPr>
          <w:ilvl w:val="0"/>
          <w:numId w:val="899"/>
        </w:numPr>
        <w:jc w:val="both"/>
      </w:pPr>
      <w:r>
        <w:t>Le remplissage des joints de dilatation éventuels selon les directives du fournisseur;</w:t>
      </w:r>
    </w:p>
    <w:p w14:paraId="4BE3CF15" w14:textId="77777777" w:rsidR="00DB2B68" w:rsidRDefault="00000000">
      <w:pPr>
        <w:pStyle w:val="Author-eListParagraph"/>
        <w:numPr>
          <w:ilvl w:val="0"/>
          <w:numId w:val="899"/>
        </w:numPr>
        <w:jc w:val="both"/>
      </w:pPr>
      <w:r>
        <w:t>Le contrôle de toutes les dimensions et l’adaptation des éléments à préfabriquer aux dimensions réelles ;</w:t>
      </w:r>
    </w:p>
    <w:p w14:paraId="7D8C2773" w14:textId="77777777" w:rsidR="00DB2B68" w:rsidRDefault="00000000">
      <w:pPr>
        <w:pStyle w:val="Author-eListParagraph"/>
        <w:numPr>
          <w:ilvl w:val="0"/>
          <w:numId w:val="899"/>
        </w:numPr>
        <w:jc w:val="both"/>
      </w:pPr>
      <w:r>
        <w:t>Tous les moyens de liaisonnement éventuels, aussi bien entre les éléments préfabriqués, qu’avec les éléments de support, de bord, … ;</w:t>
      </w:r>
    </w:p>
    <w:p w14:paraId="04D26A48" w14:textId="77777777" w:rsidR="00DB2B68" w:rsidRDefault="00000000">
      <w:pPr>
        <w:pStyle w:val="Author-eListParagraph"/>
        <w:numPr>
          <w:ilvl w:val="0"/>
          <w:numId w:val="899"/>
        </w:numPr>
        <w:jc w:val="both"/>
      </w:pPr>
      <w:r>
        <w:t>L’enlèvement de tous les accessoires, éléments de coffrage, supports, étais et le nettoyage des faces visibles;</w:t>
      </w:r>
    </w:p>
    <w:p w14:paraId="1743F73E" w14:textId="77777777" w:rsidR="00DB2B68" w:rsidRDefault="00000000">
      <w:pPr>
        <w:pStyle w:val="Author-eListParagraph"/>
        <w:numPr>
          <w:ilvl w:val="0"/>
          <w:numId w:val="899"/>
        </w:numPr>
        <w:jc w:val="both"/>
      </w:pPr>
      <w:r>
        <w:t>L’éventuel pare-vapeur ou frein vapeur ;</w:t>
      </w:r>
    </w:p>
    <w:p w14:paraId="2570CA03" w14:textId="77777777" w:rsidR="00DB2B68" w:rsidRDefault="00000000">
      <w:pPr>
        <w:pStyle w:val="Author-eListParagraph"/>
        <w:numPr>
          <w:ilvl w:val="0"/>
          <w:numId w:val="899"/>
        </w:numPr>
        <w:jc w:val="both"/>
      </w:pPr>
      <w:r>
        <w:t>Les ouvrages de protection des caissons contre la pluie, l’humidité et la condensation durant le transport et toute la durée du chantier.</w:t>
      </w:r>
    </w:p>
    <w:p w14:paraId="73028950" w14:textId="77777777" w:rsidR="00DB2B68" w:rsidRDefault="00000000">
      <w:pPr>
        <w:pStyle w:val="pheading"/>
      </w:pPr>
      <w:r>
        <w:lastRenderedPageBreak/>
        <w:t>- Localisation</w:t>
      </w:r>
    </w:p>
    <w:p w14:paraId="435AB30E" w14:textId="77777777" w:rsidR="00DB2B68" w:rsidRDefault="00000000">
      <w:r>
        <w:t>Localisation des travaux :</w:t>
      </w:r>
      <w:r>
        <w:rPr>
          <w:rStyle w:val="optioncarChar"/>
        </w:rPr>
        <w:t xml:space="preserve"> ***</w:t>
      </w:r>
      <w:r>
        <w:t>.</w:t>
      </w:r>
    </w:p>
    <w:p w14:paraId="0993F6A2" w14:textId="77777777" w:rsidR="00DB2B68" w:rsidRDefault="00000000">
      <w:r>
        <w:t>Voir plans et métrés détaillés.</w:t>
      </w:r>
    </w:p>
    <w:p w14:paraId="0C695077" w14:textId="77777777" w:rsidR="00DB2B68" w:rsidRDefault="00000000">
      <w:pPr>
        <w:pStyle w:val="pheading"/>
      </w:pPr>
      <w:r>
        <w:t>MATÉRIAUX</w:t>
      </w:r>
    </w:p>
    <w:p w14:paraId="3F408DC4" w14:textId="77777777" w:rsidR="00DB2B68" w:rsidRDefault="00000000">
      <w:pPr>
        <w:pStyle w:val="pheading"/>
      </w:pPr>
      <w:r>
        <w:t>- Caractéristiques générales</w:t>
      </w:r>
    </w:p>
    <w:p w14:paraId="2A8B7C4F" w14:textId="77777777" w:rsidR="00DB2B68" w:rsidRDefault="00000000">
      <w:pPr>
        <w:jc w:val="both"/>
      </w:pPr>
      <w:r>
        <w:t>L’ensemble est un complexe réalisé en usine ou en atelier et comprend :</w:t>
      </w:r>
    </w:p>
    <w:p w14:paraId="442CAFF3" w14:textId="77777777" w:rsidR="00DB2B68" w:rsidRDefault="00000000">
      <w:pPr>
        <w:jc w:val="both"/>
      </w:pPr>
      <w:r>
        <w:rPr>
          <w:b/>
        </w:rPr>
        <w:t>Structure</w:t>
      </w:r>
    </w:p>
    <w:p w14:paraId="0166E189" w14:textId="77777777" w:rsidR="00DB2B68" w:rsidRDefault="00000000">
      <w:pPr>
        <w:jc w:val="both"/>
      </w:pPr>
      <w:r>
        <w:t>Les cadres de structure sont constitués de </w:t>
      </w:r>
      <w:r>
        <w:rPr>
          <w:rStyle w:val="optioncarChar"/>
        </w:rPr>
        <w:t>bois massif </w:t>
      </w:r>
      <w:r>
        <w:t>(par défaut)</w:t>
      </w:r>
      <w:r>
        <w:rPr>
          <w:rStyle w:val="optioncarChar"/>
        </w:rPr>
        <w:t> / poutres en I avec âme en panneau OSB / bois abouté / lamellé-collé / ***</w:t>
      </w:r>
      <w:r>
        <w:t> d’une épaisseur (et par extension largeur de semelle des poutres en I) de </w:t>
      </w:r>
      <w:r>
        <w:rPr>
          <w:rStyle w:val="optioncarChar"/>
        </w:rPr>
        <w:t>38 / 45 </w:t>
      </w:r>
      <w:r>
        <w:t>(par défaut)</w:t>
      </w:r>
      <w:r>
        <w:rPr>
          <w:rStyle w:val="optioncarChar"/>
        </w:rPr>
        <w:t>  / 60 / ***</w:t>
      </w:r>
      <w:r>
        <w:t> mm et d’une hauteur de  </w:t>
      </w:r>
      <w:r>
        <w:rPr>
          <w:rStyle w:val="optioncarChar"/>
        </w:rPr>
        <w:t>140 / 175 </w:t>
      </w:r>
      <w:r>
        <w:t>(par défaut)</w:t>
      </w:r>
      <w:r>
        <w:rPr>
          <w:rStyle w:val="optioncarChar"/>
        </w:rPr>
        <w:t> / 180 / 200 / 220 / 240 / 260 / 280 / ***</w:t>
      </w:r>
      <w:r>
        <w:t> mm ayant une classe de résistance minimum </w:t>
      </w:r>
      <w:r>
        <w:rPr>
          <w:rStyle w:val="optioncarChar"/>
        </w:rPr>
        <w:t>C16 / C18 </w:t>
      </w:r>
      <w:r>
        <w:t>(par défaut)</w:t>
      </w:r>
      <w:r>
        <w:rPr>
          <w:rStyle w:val="optioncarChar"/>
        </w:rPr>
        <w:t> / C24 / ***.</w:t>
      </w:r>
    </w:p>
    <w:p w14:paraId="62E6F998" w14:textId="77777777" w:rsidR="00DB2B68" w:rsidRDefault="00000000">
      <w:pPr>
        <w:jc w:val="both"/>
      </w:pPr>
      <w:r>
        <w:t>Le bois massif répond aux spécifications de la [NBN EN 14081 série].</w:t>
      </w:r>
    </w:p>
    <w:p w14:paraId="5202183B" w14:textId="77777777" w:rsidR="00DB2B68" w:rsidRDefault="00000000">
      <w:pPr>
        <w:jc w:val="both"/>
      </w:pPr>
      <w:r>
        <w:t>Les bois massifs peuvent être aboutés. Les pièces constitutives du produit fini doivent être classées selon la  [NBN EN 14081 série] et les produits finis doivent être marqués selon la [NBN EN 15497].</w:t>
      </w:r>
    </w:p>
    <w:p w14:paraId="356876D6" w14:textId="77777777" w:rsidR="00DB2B68" w:rsidRDefault="00000000">
      <w:pPr>
        <w:jc w:val="both"/>
      </w:pPr>
      <w:r>
        <w:t>Les bois lamellé-collé doit répondre à la [NBN EN 14080].</w:t>
      </w:r>
    </w:p>
    <w:p w14:paraId="03A3BCB3" w14:textId="77777777" w:rsidR="00DB2B68" w:rsidRDefault="00000000">
      <w:pPr>
        <w:jc w:val="both"/>
      </w:pPr>
      <w:r>
        <w:t>La classe d’emploi d’un élément est déterminée suivant la [NBN EN 335] : </w:t>
      </w:r>
      <w:r>
        <w:rPr>
          <w:rStyle w:val="optioncarChar"/>
        </w:rPr>
        <w:t>classe 1 / classe 2 </w:t>
      </w:r>
      <w:r>
        <w:t>(par défaut) </w:t>
      </w:r>
      <w:r>
        <w:rPr>
          <w:rStyle w:val="optioncarChar"/>
        </w:rPr>
        <w:t>/ classe 3.</w:t>
      </w:r>
    </w:p>
    <w:p w14:paraId="3B8AC10C" w14:textId="77777777" w:rsidR="00DB2B68" w:rsidRDefault="00000000">
      <w:pPr>
        <w:jc w:val="both"/>
      </w:pPr>
      <w:r>
        <w:t>La structure correspond en tout point au titre </w:t>
      </w:r>
      <w:hyperlink w:anchor="594" w:history="1">
        <w:r>
          <w:rPr>
            <w:color w:val="0000EE"/>
          </w:rPr>
          <w:t>24.1 Eléments de structures en bois</w:t>
        </w:r>
      </w:hyperlink>
      <w:r>
        <w:t> et au sous-titre </w:t>
      </w:r>
      <w:hyperlink w:anchor="595" w:history="1">
        <w:r>
          <w:rPr>
            <w:color w:val="0000EE"/>
          </w:rPr>
          <w:t>24.42 Assemblages mécaniques</w:t>
        </w:r>
      </w:hyperlink>
      <w:r>
        <w:t>. </w:t>
      </w:r>
    </w:p>
    <w:p w14:paraId="551CAEAB" w14:textId="77777777" w:rsidR="00DB2B68" w:rsidRDefault="00000000">
      <w:pPr>
        <w:jc w:val="both"/>
      </w:pPr>
      <w:r>
        <w:rPr>
          <w:b/>
        </w:rPr>
        <w:t>Panneau extérieur</w:t>
      </w:r>
    </w:p>
    <w:p w14:paraId="4865B0A2" w14:textId="77777777" w:rsidR="00DB2B68" w:rsidRDefault="00000000">
      <w:pPr>
        <w:jc w:val="both"/>
      </w:pPr>
      <w:r>
        <w:t>Les panneaux extérieurs sont </w:t>
      </w:r>
      <w:r>
        <w:rPr>
          <w:rStyle w:val="optioncarChar"/>
        </w:rPr>
        <w:t>vissés </w:t>
      </w:r>
      <w:r>
        <w:t>(par défaut)</w:t>
      </w:r>
      <w:r>
        <w:rPr>
          <w:rStyle w:val="optioncarChar"/>
        </w:rPr>
        <w:t> / cloués / collés / ***.</w:t>
      </w:r>
    </w:p>
    <w:p w14:paraId="003620E1" w14:textId="77777777" w:rsidR="00DB2B68" w:rsidRDefault="00000000">
      <w:pPr>
        <w:jc w:val="both"/>
      </w:pPr>
      <w:r>
        <w:t>Le panneau est </w:t>
      </w:r>
      <w:r>
        <w:rPr>
          <w:rStyle w:val="optioncarChar"/>
        </w:rPr>
        <w:t>rainuré languetté / ***</w:t>
      </w:r>
      <w:r>
        <w:t>.</w:t>
      </w:r>
    </w:p>
    <w:p w14:paraId="37980C0A" w14:textId="77777777" w:rsidR="00DB2B68" w:rsidRDefault="00000000">
      <w:pPr>
        <w:jc w:val="both"/>
      </w:pPr>
      <w:r>
        <w:t>Conductivité thermique ≤ </w:t>
      </w:r>
      <w:r>
        <w:rPr>
          <w:rStyle w:val="optioncarChar"/>
        </w:rPr>
        <w:t>0.08 / 0.090 / 0.1 </w:t>
      </w:r>
      <w:r>
        <w:t>(par défaut)</w:t>
      </w:r>
      <w:r>
        <w:rPr>
          <w:rStyle w:val="optioncarChar"/>
        </w:rPr>
        <w:t> / *** </w:t>
      </w:r>
      <w:r>
        <w:t>W/(m.K) suivant [NBN EN 13986+A1] ou [NBN EN 13171+A1].</w:t>
      </w:r>
    </w:p>
    <w:p w14:paraId="5F12AD3B" w14:textId="77777777" w:rsidR="00DB2B68" w:rsidRDefault="00000000">
      <w:pPr>
        <w:jc w:val="both"/>
      </w:pPr>
      <w:r>
        <w:t>La perméabilité à la vapeur d’eau (Sd) est inférieure à  </w:t>
      </w:r>
      <w:r>
        <w:rPr>
          <w:rStyle w:val="optioncarChar"/>
        </w:rPr>
        <w:t>0,1m  / 0,2m  / définie par l’analyse de diffusion de vapeur d’eau de la paroi complète</w:t>
      </w:r>
      <w:r>
        <w:t> (par défaut)</w:t>
      </w:r>
      <w:r>
        <w:rPr>
          <w:rStyle w:val="optioncarChar"/>
        </w:rPr>
        <w:t> / ***</w:t>
      </w:r>
      <w:r>
        <w:t>.</w:t>
      </w:r>
    </w:p>
    <w:p w14:paraId="6A8C913D" w14:textId="77777777" w:rsidR="00DB2B68" w:rsidRDefault="00000000">
      <w:pPr>
        <w:jc w:val="both"/>
      </w:pPr>
      <w:r>
        <w:t>Le panneau </w:t>
      </w:r>
      <w:r>
        <w:rPr>
          <w:rStyle w:val="optioncarChar"/>
        </w:rPr>
        <w:t>fait office / ne fait pas office</w:t>
      </w:r>
      <w:r>
        <w:t> de pare-pluie. </w:t>
      </w:r>
    </w:p>
    <w:p w14:paraId="2DACC513" w14:textId="77777777" w:rsidR="00DB2B68" w:rsidRDefault="00000000">
      <w:pPr>
        <w:jc w:val="both"/>
      </w:pPr>
      <w:r>
        <w:t>Les panneaux sont constitués de panneaux</w:t>
      </w:r>
      <w:r>
        <w:rPr>
          <w:rStyle w:val="optioncarChar"/>
        </w:rPr>
        <w:t> de fibre de bois </w:t>
      </w:r>
      <w:r>
        <w:t>(par défaut) </w:t>
      </w:r>
      <w:r>
        <w:rPr>
          <w:rStyle w:val="optioncarChar"/>
        </w:rPr>
        <w:t>/ OSB / multiplex bois / CLT / ***.</w:t>
      </w:r>
    </w:p>
    <w:p w14:paraId="581143AA" w14:textId="77777777" w:rsidR="00DB2B68" w:rsidRDefault="00000000">
      <w:pPr>
        <w:ind w:left="567"/>
        <w:jc w:val="both"/>
      </w:pPr>
      <w:r>
        <w:rPr>
          <w:b/>
          <w:i/>
        </w:rPr>
        <w:t>(Soit par défaut)</w:t>
      </w:r>
    </w:p>
    <w:p w14:paraId="295DC1D4" w14:textId="77777777" w:rsidR="00DB2B68" w:rsidRDefault="00000000">
      <w:pPr>
        <w:ind w:left="567"/>
        <w:jc w:val="both"/>
      </w:pPr>
      <w:r>
        <w:rPr>
          <w:rStyle w:val="soitChar"/>
          <w:u w:val="single"/>
        </w:rPr>
        <w:t>Panneau de fibre de bois </w:t>
      </w:r>
    </w:p>
    <w:p w14:paraId="0CE1992B" w14:textId="77777777" w:rsidR="00DB2B68" w:rsidRDefault="00000000">
      <w:pPr>
        <w:ind w:left="567"/>
        <w:jc w:val="both"/>
      </w:pPr>
      <w:r>
        <w:rPr>
          <w:rStyle w:val="soitChar"/>
        </w:rPr>
        <w:t>Pour le descriptif, voir l’article </w:t>
      </w:r>
      <w:hyperlink w:anchor="596" w:history="1">
        <w:r>
          <w:rPr>
            <w:rStyle w:val="soitChar"/>
            <w:color w:val="0000EE"/>
          </w:rPr>
          <w:t>24.16.1d Panneaux MDF</w:t>
        </w:r>
      </w:hyperlink>
      <w:r>
        <w:rPr>
          <w:rStyle w:val="soitChar"/>
        </w:rPr>
        <w:t>.</w:t>
      </w:r>
      <w:r>
        <w:t> </w:t>
      </w:r>
    </w:p>
    <w:p w14:paraId="45BDAE1C" w14:textId="77777777" w:rsidR="00DB2B68" w:rsidRDefault="00000000">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18CD3773" w14:textId="77777777" w:rsidR="00DB2B68" w:rsidRDefault="0000000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13D4F100" w14:textId="77777777" w:rsidR="00DB2B68" w:rsidRDefault="00000000">
      <w:pPr>
        <w:ind w:left="567"/>
        <w:jc w:val="both"/>
      </w:pPr>
      <w:r>
        <w:rPr>
          <w:rStyle w:val="soitChar"/>
        </w:rPr>
        <w:t>Les panneaux répondent à la [NBN EN 13986+A1] et aux exigences de [NBN EN 622 série].</w:t>
      </w:r>
    </w:p>
    <w:p w14:paraId="6B2E45A5" w14:textId="77777777" w:rsidR="00DB2B68" w:rsidRDefault="00000000">
      <w:pPr>
        <w:ind w:left="567"/>
        <w:jc w:val="both"/>
      </w:pPr>
      <w:r>
        <w:rPr>
          <w:b/>
          <w:i/>
        </w:rPr>
        <w:t>(Soit)</w:t>
      </w:r>
    </w:p>
    <w:p w14:paraId="6932B111" w14:textId="77777777" w:rsidR="00DB2B68" w:rsidRDefault="00000000">
      <w:pPr>
        <w:ind w:left="567"/>
        <w:jc w:val="both"/>
      </w:pPr>
      <w:r>
        <w:rPr>
          <w:rStyle w:val="soitChar"/>
          <w:u w:val="single"/>
        </w:rPr>
        <w:t>Osb </w:t>
      </w:r>
    </w:p>
    <w:p w14:paraId="58BFC931" w14:textId="77777777" w:rsidR="00DB2B68" w:rsidRDefault="00000000">
      <w:pPr>
        <w:ind w:left="567"/>
        <w:jc w:val="both"/>
      </w:pPr>
      <w:r>
        <w:rPr>
          <w:rStyle w:val="soitChar"/>
        </w:rPr>
        <w:t>Pour le descriptif, voir l’article </w:t>
      </w:r>
      <w:hyperlink w:anchor="597" w:history="1">
        <w:r>
          <w:rPr>
            <w:rStyle w:val="soitChar"/>
            <w:color w:val="0000EE"/>
          </w:rPr>
          <w:t>24.16.1b Panneaux OSB</w:t>
        </w:r>
      </w:hyperlink>
      <w:r>
        <w:rPr>
          <w:rStyle w:val="soitChar"/>
        </w:rPr>
        <w:t>.</w:t>
      </w:r>
      <w:r>
        <w:t> </w:t>
      </w:r>
    </w:p>
    <w:p w14:paraId="50964BD8" w14:textId="77777777" w:rsidR="00DB2B68" w:rsidRDefault="00000000">
      <w:pPr>
        <w:ind w:left="567"/>
        <w:jc w:val="both"/>
      </w:pPr>
      <w:r>
        <w:rPr>
          <w:rStyle w:val="soitChar"/>
        </w:rPr>
        <w:t>Les panneaux ont une épaisseur de </w:t>
      </w:r>
      <w:r>
        <w:rPr>
          <w:rStyle w:val="optioncarChar"/>
        </w:rPr>
        <w:t>15 / 18</w:t>
      </w:r>
      <w:r>
        <w:t> (par défaut) </w:t>
      </w:r>
      <w:r>
        <w:rPr>
          <w:rStyle w:val="optioncarChar"/>
        </w:rPr>
        <w:t>/ ***</w:t>
      </w:r>
      <w:r>
        <w:rPr>
          <w:rStyle w:val="soitChar"/>
        </w:rPr>
        <w:t> mm.</w:t>
      </w:r>
    </w:p>
    <w:p w14:paraId="30E87EA7" w14:textId="77777777" w:rsidR="00DB2B68" w:rsidRDefault="00000000">
      <w:pPr>
        <w:ind w:left="567"/>
        <w:jc w:val="both"/>
      </w:pPr>
      <w:r>
        <w:rPr>
          <w:rStyle w:val="soitChar"/>
        </w:rPr>
        <w:t>Les panneaux sont de type </w:t>
      </w:r>
      <w:r>
        <w:rPr>
          <w:rStyle w:val="optioncarChar"/>
        </w:rPr>
        <w:t>2 / 3 </w:t>
      </w:r>
      <w:r>
        <w:t>(par défaut) </w:t>
      </w:r>
      <w:r>
        <w:rPr>
          <w:rStyle w:val="optioncarChar"/>
        </w:rPr>
        <w:t>/ 4.</w:t>
      </w:r>
    </w:p>
    <w:p w14:paraId="624F96B2" w14:textId="77777777" w:rsidR="00DB2B68" w:rsidRDefault="00000000">
      <w:pPr>
        <w:ind w:left="567"/>
        <w:jc w:val="both"/>
      </w:pPr>
      <w:r>
        <w:rPr>
          <w:rStyle w:val="soitChar"/>
        </w:rPr>
        <w:t>Les panneaux sont </w:t>
      </w:r>
      <w:r>
        <w:rPr>
          <w:rStyle w:val="optioncarChar"/>
        </w:rPr>
        <w:t>à bord droit / rainurés languettés</w:t>
      </w:r>
      <w:r>
        <w:t> (par défaut). </w:t>
      </w:r>
    </w:p>
    <w:p w14:paraId="22551630" w14:textId="77777777" w:rsidR="00DB2B68" w:rsidRDefault="00000000">
      <w:pPr>
        <w:ind w:left="567"/>
        <w:jc w:val="both"/>
      </w:pPr>
      <w:r>
        <w:rPr>
          <w:rStyle w:val="soitChar"/>
        </w:rPr>
        <w:lastRenderedPageBreak/>
        <w:t>Les panneaux répondent à la [NBN EN 300] et à la [NBN EN 13986+A1].</w:t>
      </w:r>
    </w:p>
    <w:p w14:paraId="3540FC04" w14:textId="77777777" w:rsidR="00DB2B68" w:rsidRDefault="00000000">
      <w:pPr>
        <w:ind w:left="567"/>
        <w:jc w:val="both"/>
      </w:pPr>
      <w:r>
        <w:rPr>
          <w:b/>
          <w:i/>
        </w:rPr>
        <w:t>(Soit)</w:t>
      </w:r>
    </w:p>
    <w:p w14:paraId="1910F15C" w14:textId="77777777" w:rsidR="00DB2B68" w:rsidRDefault="00000000">
      <w:pPr>
        <w:ind w:left="567"/>
        <w:jc w:val="both"/>
      </w:pPr>
      <w:r>
        <w:rPr>
          <w:rStyle w:val="soitChar"/>
          <w:u w:val="single"/>
        </w:rPr>
        <w:t>Panneau multiplex bois </w:t>
      </w:r>
    </w:p>
    <w:p w14:paraId="3A0809F9" w14:textId="77777777" w:rsidR="00DB2B68" w:rsidRDefault="00000000">
      <w:pPr>
        <w:ind w:left="567"/>
        <w:jc w:val="both"/>
      </w:pPr>
      <w:r>
        <w:rPr>
          <w:rStyle w:val="soitChar"/>
        </w:rPr>
        <w:t>Pour le descriptif, voir l’article </w:t>
      </w:r>
      <w:hyperlink w:anchor="598" w:history="1">
        <w:r>
          <w:rPr>
            <w:rStyle w:val="soitChar"/>
            <w:color w:val="0000EE"/>
          </w:rPr>
          <w:t>24.16.1a Panneaux contreplaqués (PW)</w:t>
        </w:r>
      </w:hyperlink>
      <w:r>
        <w:rPr>
          <w:rStyle w:val="soitChar"/>
        </w:rPr>
        <w:t>.</w:t>
      </w:r>
      <w:r>
        <w:t> </w:t>
      </w:r>
    </w:p>
    <w:p w14:paraId="61736E18" w14:textId="77777777" w:rsidR="00DB2B68" w:rsidRDefault="00000000">
      <w:pPr>
        <w:ind w:left="567"/>
        <w:jc w:val="both"/>
      </w:pPr>
      <w:r>
        <w:rPr>
          <w:rStyle w:val="soitChar"/>
        </w:rPr>
        <w:t>Le multiplex est en bois </w:t>
      </w:r>
      <w:r>
        <w:rPr>
          <w:rStyle w:val="optioncarChar"/>
        </w:rPr>
        <w:t>feuillus / résineux. </w:t>
      </w:r>
    </w:p>
    <w:p w14:paraId="24538A5A" w14:textId="77777777" w:rsidR="00DB2B68" w:rsidRDefault="00000000">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14:paraId="33EF6D4C" w14:textId="77777777" w:rsidR="00DB2B68"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0340C4D8" w14:textId="77777777" w:rsidR="00DB2B68" w:rsidRDefault="00000000">
      <w:pPr>
        <w:ind w:left="567"/>
        <w:jc w:val="both"/>
      </w:pPr>
      <w:r>
        <w:rPr>
          <w:b/>
          <w:i/>
        </w:rPr>
        <w:t>(Soit)</w:t>
      </w:r>
    </w:p>
    <w:p w14:paraId="66CC49D7" w14:textId="77777777" w:rsidR="00DB2B68" w:rsidRDefault="00000000">
      <w:pPr>
        <w:ind w:left="567"/>
        <w:jc w:val="both"/>
      </w:pPr>
      <w:r>
        <w:rPr>
          <w:rStyle w:val="soitChar"/>
          <w:u w:val="single"/>
        </w:rPr>
        <w:t>CLT </w:t>
      </w:r>
    </w:p>
    <w:p w14:paraId="46399FDD" w14:textId="77777777" w:rsidR="00DB2B68" w:rsidRDefault="00000000">
      <w:pPr>
        <w:ind w:left="567"/>
        <w:jc w:val="both"/>
      </w:pPr>
      <w:r>
        <w:rPr>
          <w:rStyle w:val="soitChar"/>
        </w:rPr>
        <w:t>Les panneaux répondent à la [NBN EN 16351].</w:t>
      </w:r>
      <w:r>
        <w:t> </w:t>
      </w:r>
    </w:p>
    <w:p w14:paraId="2BB6BB33" w14:textId="77777777" w:rsidR="00DB2B68" w:rsidRDefault="0000000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1C386C2C" w14:textId="77777777" w:rsidR="00DB2B68" w:rsidRDefault="0000000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3B9A82E4" w14:textId="77777777" w:rsidR="00DB2B68" w:rsidRDefault="00000000">
      <w:pPr>
        <w:ind w:left="567"/>
        <w:jc w:val="both"/>
      </w:pPr>
      <w:r>
        <w:rPr>
          <w:b/>
          <w:i/>
        </w:rPr>
        <w:t>(Soit)</w:t>
      </w:r>
    </w:p>
    <w:p w14:paraId="319C336E" w14:textId="77777777" w:rsidR="00DB2B68" w:rsidRDefault="00000000">
      <w:pPr>
        <w:ind w:left="567"/>
        <w:jc w:val="both"/>
      </w:pPr>
      <w:r>
        <w:rPr>
          <w:rStyle w:val="optioncarChar"/>
        </w:rPr>
        <w:t>***</w:t>
      </w:r>
      <w:r>
        <w:t> </w:t>
      </w:r>
    </w:p>
    <w:p w14:paraId="506DCB31" w14:textId="77777777" w:rsidR="00DB2B68" w:rsidRDefault="00000000">
      <w:pPr>
        <w:jc w:val="both"/>
      </w:pPr>
      <w:r>
        <w:t>Le panneau extérieur est </w:t>
      </w:r>
      <w:r>
        <w:rPr>
          <w:rStyle w:val="optioncarChar"/>
        </w:rPr>
        <w:t>contreventant / non contreventant</w:t>
      </w:r>
      <w:r>
        <w:t> (par défaut).</w:t>
      </w:r>
    </w:p>
    <w:p w14:paraId="1F18F48A" w14:textId="77777777" w:rsidR="00DB2B68" w:rsidRDefault="00000000">
      <w:pPr>
        <w:ind w:left="567"/>
        <w:jc w:val="both"/>
      </w:pPr>
      <w:r>
        <w:rPr>
          <w:b/>
          <w:i/>
        </w:rPr>
        <w:t>(Soit)</w:t>
      </w:r>
    </w:p>
    <w:p w14:paraId="1B6A0E87" w14:textId="77777777" w:rsidR="00DB2B68" w:rsidRDefault="00000000">
      <w:pPr>
        <w:ind w:left="567"/>
        <w:jc w:val="both"/>
      </w:pPr>
      <w:r>
        <w:rPr>
          <w:rStyle w:val="soitChar"/>
          <w:u w:val="single"/>
        </w:rPr>
        <w:t>Contreventant</w:t>
      </w:r>
    </w:p>
    <w:p w14:paraId="4EBC13F4" w14:textId="77777777" w:rsidR="00DB2B68" w:rsidRDefault="00000000">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w:t>
      </w:r>
    </w:p>
    <w:p w14:paraId="20565959" w14:textId="77777777" w:rsidR="00DB2B68" w:rsidRDefault="00000000">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2BAE7FC7" w14:textId="77777777" w:rsidR="00DB2B68" w:rsidRDefault="00000000">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6068C3F7" w14:textId="77777777" w:rsidR="00DB2B68" w:rsidRDefault="00000000">
      <w:pPr>
        <w:ind w:left="567"/>
        <w:jc w:val="both"/>
      </w:pPr>
      <w:r>
        <w:rPr>
          <w:b/>
          <w:i/>
        </w:rPr>
        <w:t>(Soit par défaut)</w:t>
      </w:r>
    </w:p>
    <w:p w14:paraId="2E32D04B" w14:textId="77777777" w:rsidR="00DB2B68" w:rsidRDefault="00000000">
      <w:pPr>
        <w:ind w:left="567"/>
        <w:jc w:val="both"/>
      </w:pPr>
      <w:r>
        <w:rPr>
          <w:rStyle w:val="soitChar"/>
          <w:u w:val="single"/>
        </w:rPr>
        <w:t>Non-contreventant</w:t>
      </w:r>
    </w:p>
    <w:p w14:paraId="6E6DA6DC" w14:textId="77777777" w:rsidR="00DB2B68" w:rsidRDefault="00000000">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7FA7290C" w14:textId="77777777" w:rsidR="00DB2B68" w:rsidRDefault="00000000">
      <w:pPr>
        <w:jc w:val="both"/>
      </w:pPr>
      <w:r>
        <w:rPr>
          <w:b/>
        </w:rPr>
        <w:t>Remplissage paille</w:t>
      </w:r>
    </w:p>
    <w:p w14:paraId="4ADEBD8D" w14:textId="77777777" w:rsidR="00DB2B68" w:rsidRDefault="00000000">
      <w:pPr>
        <w:jc w:val="both"/>
      </w:pPr>
      <w:r>
        <w:t xml:space="preserve">Remplissage </w:t>
      </w:r>
      <w:r>
        <w:rPr>
          <w:rStyle w:val="optioncarChar"/>
        </w:rPr>
        <w:t>en vrac / par botte</w:t>
      </w:r>
      <w:r>
        <w:t xml:space="preserve"> (par défaut) de paille de l’ossature.</w:t>
      </w:r>
    </w:p>
    <w:p w14:paraId="5E1A9E5E" w14:textId="77777777" w:rsidR="00DB2B68" w:rsidRDefault="00000000">
      <w:pPr>
        <w:jc w:val="both"/>
      </w:pPr>
      <w:r>
        <w:t xml:space="preserve">Epaisseur </w:t>
      </w:r>
      <w:r>
        <w:rPr>
          <w:rStyle w:val="optioncarChar"/>
        </w:rPr>
        <w:t>345 / 370 / 460</w:t>
      </w:r>
      <w:r>
        <w:t xml:space="preserve"> (par défaut)</w:t>
      </w:r>
      <w:r>
        <w:rPr>
          <w:rStyle w:val="optioncarChar"/>
        </w:rPr>
        <w:t xml:space="preserve"> / 470 / ***</w:t>
      </w:r>
      <w:r>
        <w:t xml:space="preserve"> mm.</w:t>
      </w:r>
    </w:p>
    <w:p w14:paraId="3E3A5550" w14:textId="77777777" w:rsidR="00DB2B68" w:rsidRDefault="00000000">
      <w:pPr>
        <w:jc w:val="both"/>
      </w:pPr>
      <w:r>
        <w:t xml:space="preserve">Largeur </w:t>
      </w:r>
      <w:r>
        <w:rPr>
          <w:rStyle w:val="optioncarChar"/>
        </w:rPr>
        <w:t xml:space="preserve">345 </w:t>
      </w:r>
      <w:r>
        <w:t xml:space="preserve">(par défaut) </w:t>
      </w:r>
      <w:r>
        <w:rPr>
          <w:rStyle w:val="optioncarChar"/>
        </w:rPr>
        <w:t>/ 370 / 460 / 470 / ***</w:t>
      </w:r>
      <w:r>
        <w:t xml:space="preserve"> mm.</w:t>
      </w:r>
    </w:p>
    <w:p w14:paraId="5EE7BDBF" w14:textId="77777777" w:rsidR="00DB2B68" w:rsidRDefault="00000000">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14:paraId="7B672080" w14:textId="77777777" w:rsidR="00DB2B68" w:rsidRDefault="00000000">
      <w:pPr>
        <w:jc w:val="both"/>
      </w:pPr>
      <w:r>
        <w:t xml:space="preserve">Conductivité thermique ≤ </w:t>
      </w:r>
      <w:r>
        <w:rPr>
          <w:rStyle w:val="optioncarChar"/>
        </w:rPr>
        <w:t xml:space="preserve">0.048 / 0.06 / 0.08 / 0.090 </w:t>
      </w:r>
      <w:r>
        <w:t xml:space="preserve">(par défaut) </w:t>
      </w:r>
      <w:r>
        <w:rPr>
          <w:rStyle w:val="optioncarChar"/>
        </w:rPr>
        <w:t>/ 0.1 </w:t>
      </w:r>
      <w:r>
        <w:t>W/(m.K) suivant la norme [EN 12667].</w:t>
      </w:r>
    </w:p>
    <w:p w14:paraId="3E56BFB8" w14:textId="77777777" w:rsidR="00DB2B68" w:rsidRDefault="00000000">
      <w:pPr>
        <w:jc w:val="both"/>
      </w:pPr>
      <w:r>
        <w:t>Humidité relative &lt; 20% sur masse sèche.</w:t>
      </w:r>
    </w:p>
    <w:p w14:paraId="2105BB01" w14:textId="77777777" w:rsidR="00DB2B68" w:rsidRDefault="00000000">
      <w:pPr>
        <w:jc w:val="both"/>
      </w:pPr>
      <w:r>
        <w:t>Absence totale de traces et d’odeurs d’humidité et de moisissure.</w:t>
      </w:r>
    </w:p>
    <w:p w14:paraId="73E3E1F0" w14:textId="77777777" w:rsidR="00DB2B68" w:rsidRDefault="00000000">
      <w:pPr>
        <w:jc w:val="both"/>
      </w:pPr>
      <w:r>
        <w:t>Ballots composés de paille non déchiquetée (longueurs des brins &gt; 150 mm, idéalement 300-450 mm).</w:t>
      </w:r>
    </w:p>
    <w:p w14:paraId="085FA675" w14:textId="77777777" w:rsidR="00DB2B68" w:rsidRDefault="00000000">
      <w:pPr>
        <w:jc w:val="both"/>
      </w:pPr>
      <w:r>
        <w:t>Déformation des bottes &lt; 10% sur la longueur, la largeur et la hauteur.</w:t>
      </w:r>
    </w:p>
    <w:p w14:paraId="58818A21" w14:textId="77777777" w:rsidR="00DB2B68" w:rsidRDefault="00000000">
      <w:pPr>
        <w:jc w:val="both"/>
      </w:pPr>
      <w:r>
        <w:t>Compression de la botte assurée par au moins 2 liens de ficelle type 350 ou équivalent en résistance. Les nœuds ne doivent pas glisser.</w:t>
      </w:r>
    </w:p>
    <w:p w14:paraId="7C9CF398" w14:textId="77777777" w:rsidR="00DB2B68" w:rsidRDefault="00000000">
      <w:pPr>
        <w:jc w:val="both"/>
      </w:pPr>
      <w:r>
        <w:t>Aucun espace vide entre ballots. Les creux doivent être comblés avec de la paille fortement compressée ou un isolant semi-rigide biosourcé.</w:t>
      </w:r>
    </w:p>
    <w:p w14:paraId="2C3A05BB" w14:textId="77777777" w:rsidR="00DB2B68" w:rsidRDefault="00000000">
      <w:pPr>
        <w:jc w:val="both"/>
      </w:pPr>
      <w:r>
        <w:t xml:space="preserve">La paille </w:t>
      </w:r>
      <w:r>
        <w:rPr>
          <w:rStyle w:val="optioncarChar"/>
        </w:rPr>
        <w:t>peut / ne peut</w:t>
      </w:r>
      <w:r>
        <w:t xml:space="preserve"> (par défaut) pas contenir des pesticides</w:t>
      </w:r>
    </w:p>
    <w:p w14:paraId="48FAA5FC" w14:textId="77777777" w:rsidR="00DB2B68" w:rsidRDefault="00000000">
      <w:pPr>
        <w:jc w:val="both"/>
      </w:pPr>
      <w:r>
        <w:rPr>
          <w:b/>
        </w:rPr>
        <w:lastRenderedPageBreak/>
        <w:t>Finition intérieure</w:t>
      </w:r>
    </w:p>
    <w:p w14:paraId="52BE8039" w14:textId="77777777" w:rsidR="00DB2B68" w:rsidRDefault="00000000">
      <w:pPr>
        <w:jc w:val="both"/>
      </w:pPr>
      <w:r>
        <w:t xml:space="preserve">La finition intérieure formant le caisson est en </w:t>
      </w:r>
      <w:r>
        <w:rPr>
          <w:rStyle w:val="optioncarChar"/>
        </w:rPr>
        <w:t xml:space="preserve">multiplex bois </w:t>
      </w:r>
      <w:r>
        <w:t>(par défaut)</w:t>
      </w:r>
      <w:r>
        <w:rPr>
          <w:rStyle w:val="optioncarChar"/>
        </w:rPr>
        <w:t xml:space="preserve"> / osb / enduit à l’argile / ***.</w:t>
      </w:r>
    </w:p>
    <w:p w14:paraId="7149F614" w14:textId="77777777" w:rsidR="00DB2B68" w:rsidRDefault="00000000">
      <w:pPr>
        <w:ind w:left="567"/>
        <w:jc w:val="both"/>
      </w:pPr>
      <w:r>
        <w:rPr>
          <w:b/>
          <w:i/>
        </w:rPr>
        <w:t>(Soit par défaut)</w:t>
      </w:r>
    </w:p>
    <w:p w14:paraId="3D724245" w14:textId="77777777" w:rsidR="00DB2B68" w:rsidRDefault="00000000">
      <w:pPr>
        <w:ind w:left="567"/>
        <w:jc w:val="both"/>
      </w:pPr>
      <w:r>
        <w:rPr>
          <w:rStyle w:val="soitChar"/>
          <w:u w:val="single"/>
        </w:rPr>
        <w:t>Panneau multiplex bois</w:t>
      </w:r>
    </w:p>
    <w:p w14:paraId="63652536" w14:textId="77777777" w:rsidR="00DB2B68" w:rsidRDefault="00000000">
      <w:pPr>
        <w:ind w:left="567"/>
        <w:jc w:val="both"/>
      </w:pPr>
      <w:r>
        <w:rPr>
          <w:rStyle w:val="soitChar"/>
        </w:rPr>
        <w:t xml:space="preserve">Le multiplex est en bois </w:t>
      </w:r>
      <w:r>
        <w:rPr>
          <w:rStyle w:val="optioncarChar"/>
        </w:rPr>
        <w:t>feuillus / résineux</w:t>
      </w:r>
      <w:r>
        <w:rPr>
          <w:rStyle w:val="soitChar"/>
        </w:rPr>
        <w:t>.</w:t>
      </w:r>
    </w:p>
    <w:p w14:paraId="3A5161C8" w14:textId="77777777" w:rsidR="00DB2B68" w:rsidRDefault="00000000">
      <w:pPr>
        <w:ind w:left="567"/>
        <w:jc w:val="both"/>
      </w:pPr>
      <w:r>
        <w:rPr>
          <w:rStyle w:val="soitChar"/>
        </w:rPr>
        <w:t xml:space="preserve">Les panneaux ont une épaisseur de </w:t>
      </w:r>
      <w:r>
        <w:rPr>
          <w:rStyle w:val="optioncarChar"/>
        </w:rPr>
        <w:t xml:space="preserve">14 / 16 </w:t>
      </w:r>
      <w:r>
        <w:t>(par défaut)</w:t>
      </w:r>
      <w:r>
        <w:rPr>
          <w:rStyle w:val="optioncarChar"/>
        </w:rPr>
        <w:t xml:space="preserve"> / 19 / 21 / 27 / ***</w:t>
      </w:r>
      <w:r>
        <w:rPr>
          <w:rStyle w:val="soitChar"/>
        </w:rPr>
        <w:t xml:space="preserve"> mm.</w:t>
      </w:r>
    </w:p>
    <w:p w14:paraId="5F211557" w14:textId="77777777" w:rsidR="00DB2B68" w:rsidRDefault="00000000">
      <w:pPr>
        <w:ind w:left="567"/>
        <w:jc w:val="both"/>
      </w:pPr>
      <w:r>
        <w:rPr>
          <w:rStyle w:val="soitChar"/>
        </w:rPr>
        <w:t xml:space="preserve">Les panneaux sont </w:t>
      </w:r>
      <w:r>
        <w:rPr>
          <w:rStyle w:val="optioncarChar"/>
        </w:rPr>
        <w:t xml:space="preserve">à bord droit / rainurés et languettés </w:t>
      </w:r>
      <w:r>
        <w:t>(par défaut).</w:t>
      </w:r>
    </w:p>
    <w:p w14:paraId="133C82B9" w14:textId="77777777" w:rsidR="00DB2B68" w:rsidRDefault="00000000">
      <w:pPr>
        <w:ind w:left="567"/>
        <w:jc w:val="both"/>
      </w:pPr>
      <w:r>
        <w:rPr>
          <w:b/>
          <w:i/>
        </w:rPr>
        <w:t>(Soit)</w:t>
      </w:r>
    </w:p>
    <w:p w14:paraId="136FBE10" w14:textId="77777777" w:rsidR="00DB2B68" w:rsidRDefault="00000000">
      <w:pPr>
        <w:ind w:left="567"/>
        <w:jc w:val="both"/>
      </w:pPr>
      <w:r>
        <w:rPr>
          <w:rStyle w:val="soitChar"/>
          <w:u w:val="single"/>
        </w:rPr>
        <w:t>Osb</w:t>
      </w:r>
    </w:p>
    <w:p w14:paraId="40DB30E6" w14:textId="77777777" w:rsidR="00DB2B68" w:rsidRDefault="00000000">
      <w:pPr>
        <w:ind w:left="567"/>
        <w:jc w:val="both"/>
      </w:pPr>
      <w:r>
        <w:rPr>
          <w:rStyle w:val="soitChar"/>
        </w:rPr>
        <w:t xml:space="preserve">Pour le descriptif, voir l’article </w:t>
      </w:r>
      <w:hyperlink w:anchor="597" w:history="1">
        <w:r>
          <w:rPr>
            <w:rStyle w:val="soitChar"/>
            <w:color w:val="0000EE"/>
          </w:rPr>
          <w:t>24.16.1b Panneaux OSB</w:t>
        </w:r>
      </w:hyperlink>
    </w:p>
    <w:p w14:paraId="33EFAD2A" w14:textId="77777777" w:rsidR="00DB2B68" w:rsidRDefault="00000000">
      <w:pPr>
        <w:ind w:left="567"/>
        <w:jc w:val="both"/>
      </w:pPr>
      <w:r>
        <w:rPr>
          <w:rStyle w:val="soitChar"/>
        </w:rPr>
        <w:t>Les panneaux sont</w:t>
      </w:r>
      <w:r>
        <w:rPr>
          <w:rStyle w:val="optioncarChar"/>
        </w:rPr>
        <w:t xml:space="preserve"> à bord droit / rainurés languettés </w:t>
      </w:r>
      <w:r>
        <w:t>(par défaut).</w:t>
      </w:r>
    </w:p>
    <w:p w14:paraId="0CD2F449" w14:textId="77777777" w:rsidR="00DB2B68" w:rsidRDefault="00000000">
      <w:pPr>
        <w:ind w:left="567"/>
        <w:jc w:val="both"/>
      </w:pPr>
      <w:r>
        <w:rPr>
          <w:rStyle w:val="soitChar"/>
        </w:rPr>
        <w:t>Les panneaux répondent à la [NBN EN 300] et à la [NBN EN 13986+A1].</w:t>
      </w:r>
    </w:p>
    <w:p w14:paraId="13F247B3" w14:textId="77777777" w:rsidR="00DB2B68" w:rsidRDefault="00000000">
      <w:pPr>
        <w:ind w:left="567"/>
        <w:jc w:val="both"/>
      </w:pPr>
      <w:r>
        <w:rPr>
          <w:b/>
          <w:i/>
        </w:rPr>
        <w:t>(Soit)</w:t>
      </w:r>
    </w:p>
    <w:p w14:paraId="50B553D3" w14:textId="77777777" w:rsidR="00DB2B68" w:rsidRDefault="00000000">
      <w:pPr>
        <w:ind w:left="567"/>
        <w:jc w:val="both"/>
      </w:pPr>
      <w:r>
        <w:rPr>
          <w:rStyle w:val="soitChar"/>
          <w:u w:val="single"/>
        </w:rPr>
        <w:t>Enduit à l’argile</w:t>
      </w:r>
    </w:p>
    <w:p w14:paraId="575DAF86" w14:textId="77777777" w:rsidR="00DB2B68" w:rsidRDefault="00000000">
      <w:pPr>
        <w:ind w:left="567"/>
        <w:jc w:val="both"/>
      </w:pPr>
      <w:r>
        <w:rPr>
          <w:rStyle w:val="soitChar"/>
        </w:rPr>
        <w:t xml:space="preserve">L’enduit intérieur est constitué d’une couche de corps en argile de minimum </w:t>
      </w:r>
      <w:r>
        <w:rPr>
          <w:rStyle w:val="optioncarChar"/>
        </w:rPr>
        <w:t xml:space="preserve">3 </w:t>
      </w:r>
      <w:r>
        <w:t>(par défaut)</w:t>
      </w:r>
      <w:r>
        <w:rPr>
          <w:rStyle w:val="optioncarChar"/>
        </w:rPr>
        <w:t xml:space="preserve"> / 4 / 5 / ***</w:t>
      </w:r>
      <w:r>
        <w:rPr>
          <w:rStyle w:val="soitChar"/>
        </w:rPr>
        <w:t xml:space="preserve"> cm d’argile non lissé exécutée sur chantier.</w:t>
      </w:r>
    </w:p>
    <w:p w14:paraId="40239AC5" w14:textId="77777777" w:rsidR="00DB2B68" w:rsidRDefault="00000000">
      <w:pPr>
        <w:ind w:left="567"/>
        <w:jc w:val="both"/>
      </w:pPr>
      <w:r>
        <w:rPr>
          <w:rStyle w:val="soitChar"/>
        </w:rPr>
        <w:t xml:space="preserve">La masse volumique de l’enduit est de minimum </w:t>
      </w:r>
      <w:r>
        <w:rPr>
          <w:rStyle w:val="optioncarChar"/>
        </w:rPr>
        <w:t>1800 / 2000 / 2200</w:t>
      </w:r>
      <w:r>
        <w:t xml:space="preserve"> (par défaut)</w:t>
      </w:r>
      <w:r>
        <w:rPr>
          <w:rStyle w:val="soitChar"/>
        </w:rPr>
        <w:t xml:space="preserve"> kg/m³</w:t>
      </w:r>
    </w:p>
    <w:p w14:paraId="30F55168" w14:textId="77777777" w:rsidR="00DB2B68" w:rsidRDefault="00000000">
      <w:pPr>
        <w:ind w:left="567"/>
        <w:jc w:val="both"/>
      </w:pPr>
      <w:r>
        <w:rPr>
          <w:rStyle w:val="soitChar"/>
        </w:rPr>
        <w:t>L’enduit de corps respectera la [NIT 284] (Enduits intérieurs) pour les critères de réception des supports.</w:t>
      </w:r>
    </w:p>
    <w:p w14:paraId="4E40D474" w14:textId="77777777" w:rsidR="00DB2B68" w:rsidRDefault="00000000">
      <w:pPr>
        <w:ind w:left="567"/>
        <w:jc w:val="both"/>
      </w:pPr>
      <w:r>
        <w:rPr>
          <w:rStyle w:val="soitChar"/>
        </w:rPr>
        <w:t>Voir 51.56.1a Enduits à base d'argile.</w:t>
      </w:r>
    </w:p>
    <w:p w14:paraId="28233F88" w14:textId="77777777" w:rsidR="00DB2B68" w:rsidRDefault="00000000">
      <w:pPr>
        <w:ind w:left="567"/>
        <w:jc w:val="both"/>
      </w:pPr>
      <w:r>
        <w:rPr>
          <w:b/>
          <w:i/>
        </w:rPr>
        <w:t>(Soit)</w:t>
      </w:r>
    </w:p>
    <w:p w14:paraId="6B4912A1" w14:textId="77777777" w:rsidR="00DB2B68" w:rsidRDefault="00000000">
      <w:pPr>
        <w:ind w:left="567"/>
        <w:jc w:val="both"/>
      </w:pPr>
      <w:r>
        <w:rPr>
          <w:rStyle w:val="optioncarChar"/>
        </w:rPr>
        <w:t>***</w:t>
      </w:r>
    </w:p>
    <w:p w14:paraId="6D5C9C9A" w14:textId="77777777" w:rsidR="00DB2B68" w:rsidRDefault="00000000">
      <w:pPr>
        <w:jc w:val="both"/>
      </w:pPr>
      <w:r>
        <w:t xml:space="preserve">La réaction au feu est de classe </w:t>
      </w:r>
      <w:r>
        <w:rPr>
          <w:rStyle w:val="optioncarChar"/>
        </w:rPr>
        <w:t xml:space="preserve">D-s2, d0 </w:t>
      </w:r>
      <w:r>
        <w:t>(par défaut)</w:t>
      </w:r>
      <w:r>
        <w:rPr>
          <w:rStyle w:val="optioncarChar"/>
        </w:rPr>
        <w:t xml:space="preserve"> / ***.</w:t>
      </w:r>
    </w:p>
    <w:p w14:paraId="14F0B25D" w14:textId="77777777" w:rsidR="00DB2B68" w:rsidRDefault="00000000">
      <w:pPr>
        <w:pStyle w:val="pheading"/>
      </w:pPr>
      <w:r>
        <w:t>- Finitions</w:t>
      </w:r>
    </w:p>
    <w:p w14:paraId="70F75B58" w14:textId="77777777" w:rsidR="00DB2B68" w:rsidRDefault="00000000">
      <w:pPr>
        <w:jc w:val="both"/>
      </w:pPr>
      <w:r>
        <w:t xml:space="preserve">Le panneau intérieur </w:t>
      </w:r>
      <w:r>
        <w:rPr>
          <w:rStyle w:val="optioncarChar"/>
        </w:rPr>
        <w:t>reste visible sans défaut</w:t>
      </w:r>
      <w:r>
        <w:t xml:space="preserve"> (par défaut) </w:t>
      </w:r>
      <w:r>
        <w:rPr>
          <w:rStyle w:val="optioncarChar"/>
        </w:rPr>
        <w:t>/ est peint / est recouvert d’une plaque de plâtre / ***</w:t>
      </w:r>
      <w:r>
        <w:t>.</w:t>
      </w:r>
    </w:p>
    <w:p w14:paraId="5C783CB2" w14:textId="77777777" w:rsidR="00DB2B68" w:rsidRDefault="00000000">
      <w:pPr>
        <w:jc w:val="both"/>
      </w:pPr>
      <w:r>
        <w:t>La peinture ou les plaques de plâtre éventuelles sont comprises dans un autre article.</w:t>
      </w:r>
    </w:p>
    <w:p w14:paraId="0BBD7114" w14:textId="77777777" w:rsidR="00DB2B68" w:rsidRDefault="00000000">
      <w:pPr>
        <w:jc w:val="both"/>
      </w:pPr>
      <w:r>
        <w:t>L’enduit de finition en argile ne fait pas partie de cet article.</w:t>
      </w:r>
    </w:p>
    <w:p w14:paraId="7DA7BBC4" w14:textId="77777777" w:rsidR="00DB2B68" w:rsidRDefault="00000000">
      <w:pPr>
        <w:pStyle w:val="pheading"/>
      </w:pPr>
      <w:r>
        <w:t>- Prescriptions complémentaires</w:t>
      </w:r>
    </w:p>
    <w:p w14:paraId="26DB548D" w14:textId="77777777" w:rsidR="00DB2B68" w:rsidRDefault="00000000">
      <w:pPr>
        <w:jc w:val="both"/>
      </w:pPr>
      <w:r>
        <w:rPr>
          <w:rStyle w:val="facultChar"/>
        </w:rPr>
        <w:t>La résistance au feu déclarée de la paroi</w:t>
      </w:r>
      <w:r>
        <w:t> : </w:t>
      </w:r>
      <w:r>
        <w:rPr>
          <w:rStyle w:val="optioncarChar"/>
        </w:rPr>
        <w:t>pas d’exigences </w:t>
      </w:r>
      <w:r>
        <w:t>(par défaut)</w:t>
      </w:r>
      <w:r>
        <w:rPr>
          <w:rStyle w:val="optioncarChar"/>
        </w:rPr>
        <w:t> / REI 30 / EI30 / REI 60 / EI 60 / ***.</w:t>
      </w:r>
    </w:p>
    <w:p w14:paraId="474772EC" w14:textId="77777777" w:rsidR="00DB2B68" w:rsidRDefault="00000000">
      <w:pPr>
        <w:jc w:val="both"/>
      </w:pPr>
      <w:r>
        <w:rPr>
          <w:rStyle w:val="facultChar"/>
        </w:rPr>
        <w:t>En matière de qualité de l’air l’élément préfabriqué répond </w:t>
      </w:r>
      <w:r>
        <w:rPr>
          <w:rStyle w:val="optioncarChar"/>
        </w:rPr>
        <w:t>à l’[AR 2014-05-08] établissant les niveaux seuils pour les émissions dans l’environnement intérieur de produits de construction pour certains usages prévus / au label EMICODE EC 1+ / au label EMICODE EC 1 </w:t>
      </w:r>
      <w:r>
        <w:t>(par défaut)</w:t>
      </w:r>
      <w:r>
        <w:rPr>
          <w:rStyle w:val="optioncarChar"/>
        </w:rPr>
        <w:t> / au label EMICODE EC 2 / ***</w:t>
      </w:r>
      <w:r>
        <w:rPr>
          <w:rStyle w:val="facultChar"/>
        </w:rPr>
        <w:t>.</w:t>
      </w:r>
    </w:p>
    <w:p w14:paraId="1B10AF70" w14:textId="77777777" w:rsidR="00DB2B68" w:rsidRDefault="00000000">
      <w:pPr>
        <w:pStyle w:val="pheading"/>
      </w:pPr>
      <w:r>
        <w:t>EXÉCUTION / MISE EN ŒUVRE</w:t>
      </w:r>
    </w:p>
    <w:p w14:paraId="6A271E26" w14:textId="77777777" w:rsidR="00DB2B68" w:rsidRDefault="00000000">
      <w:pPr>
        <w:pStyle w:val="pheading"/>
      </w:pPr>
      <w:r>
        <w:t>- Prescriptions générales</w:t>
      </w:r>
    </w:p>
    <w:p w14:paraId="79BC7610" w14:textId="77777777" w:rsidR="00DB2B68" w:rsidRDefault="00000000">
      <w:pPr>
        <w:jc w:val="both"/>
      </w:pPr>
      <w:r>
        <w:t>Les sections de l’ossature préfabriquée et les modes de jonctions de ces parois font l’objet d’une validation par un bureau d’ingénieur.</w:t>
      </w:r>
    </w:p>
    <w:p w14:paraId="4E0A30FC" w14:textId="77777777" w:rsidR="00DB2B68" w:rsidRDefault="00000000">
      <w:pPr>
        <w:jc w:val="both"/>
      </w:pPr>
      <w:r>
        <w:t>Tous les assemblages mécaniques structuraux sont dimensionnés selon les principes de l’Eurocode 5 [NBN EN 1995-1-1].</w:t>
      </w:r>
    </w:p>
    <w:p w14:paraId="7806000C" w14:textId="77777777" w:rsidR="00DB2B68" w:rsidRDefault="00000000">
      <w:pPr>
        <w:jc w:val="both"/>
      </w:pPr>
      <w:r>
        <w:lastRenderedPageBreak/>
        <w:t>Sauf indication contraire, tous les bâtiments ou parties de bâtiments construits en bois doivent respecter les tolérances de mise en œuvre énoncées dans la [STS 23-1].</w:t>
      </w:r>
    </w:p>
    <w:p w14:paraId="193CB7A9" w14:textId="77777777" w:rsidR="00DB2B68" w:rsidRDefault="00000000">
      <w:pPr>
        <w:jc w:val="both"/>
      </w:pPr>
      <w:r>
        <w:t>Dans le cas d’un bâtiment bas (H&lt;10) en ossature bois, les tolérances de mise en œuvre listées dans la [STS 23-1] doivent aussi être respectées.</w:t>
      </w:r>
    </w:p>
    <w:p w14:paraId="495E8611" w14:textId="77777777" w:rsidR="00DB2B68" w:rsidRDefault="00000000">
      <w:pPr>
        <w:jc w:val="both"/>
      </w:pPr>
      <w:r>
        <w:t>Les faces de la cloison sont protégées pour permettre le transport de l’élément préfabriqué.</w:t>
      </w:r>
    </w:p>
    <w:p w14:paraId="4A4A1271" w14:textId="77777777" w:rsidR="00DB2B68" w:rsidRDefault="00000000">
      <w:pPr>
        <w:jc w:val="both"/>
      </w:pPr>
      <w:r>
        <w:rPr>
          <w:b/>
        </w:rPr>
        <w:t>Pare-vapeur – frein vapeur</w:t>
      </w:r>
    </w:p>
    <w:p w14:paraId="16B251D8" w14:textId="77777777" w:rsidR="00DB2B68" w:rsidRDefault="00000000">
      <w:pPr>
        <w:jc w:val="both"/>
      </w:pPr>
      <w:r>
        <w:t>La continuité d’étanchéité est assurée par </w:t>
      </w:r>
      <w:r>
        <w:rPr>
          <w:rStyle w:val="optioncarChar"/>
        </w:rPr>
        <w:t>bandes adhésives </w:t>
      </w:r>
      <w:r>
        <w:t>(par défaut)</w:t>
      </w:r>
      <w:r>
        <w:rPr>
          <w:rStyle w:val="optioncarChar"/>
        </w:rPr>
        <w:t> / mousse comprimée / mastics de resserrage / préformé d’étanchéité / ***</w:t>
      </w:r>
      <w:r>
        <w:t>.</w:t>
      </w:r>
    </w:p>
    <w:p w14:paraId="51FA884F" w14:textId="77777777" w:rsidR="00DB2B68" w:rsidRDefault="00000000">
      <w:pPr>
        <w:jc w:val="both"/>
      </w:pPr>
      <w:r>
        <w:t>Pour le descriptif des bandes adhésive, voir article 32.23.1c Bandes adhésives d'étanchéité à l'air et à la vapeur en polyéthylène.</w:t>
      </w:r>
    </w:p>
    <w:p w14:paraId="134C2B6C" w14:textId="77777777" w:rsidR="00DB2B68" w:rsidRDefault="00000000">
      <w:pPr>
        <w:jc w:val="both"/>
      </w:pPr>
      <w:r>
        <w:rPr>
          <w:b/>
        </w:rPr>
        <w:t>Assemblages</w:t>
      </w:r>
    </w:p>
    <w:p w14:paraId="6C2A9736" w14:textId="77777777" w:rsidR="00DB2B68"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38F7EFAC" w14:textId="77777777" w:rsidR="00DB2B68"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r>
        <w:t>.</w:t>
      </w:r>
    </w:p>
    <w:p w14:paraId="1AB27978" w14:textId="77777777" w:rsidR="00DB2B68" w:rsidRDefault="00000000">
      <w:pPr>
        <w:jc w:val="both"/>
      </w:pPr>
      <w:r>
        <w:rPr>
          <w:b/>
        </w:rPr>
        <w:t>Fixation en pied de mur</w:t>
      </w:r>
    </w:p>
    <w:p w14:paraId="4BEABE38" w14:textId="77777777" w:rsidR="00DB2B68" w:rsidRDefault="00000000">
      <w:pPr>
        <w:jc w:val="both"/>
      </w:pPr>
      <w:r>
        <w:t>Le caisson est fixé </w:t>
      </w:r>
      <w:r>
        <w:rPr>
          <w:rStyle w:val="optioncarChar"/>
        </w:rPr>
        <w:t>par l’intermédiaire d’une lisse basse </w:t>
      </w:r>
      <w:r>
        <w:t>(par défaut) </w:t>
      </w:r>
      <w:r>
        <w:rPr>
          <w:rStyle w:val="optioncarChar"/>
        </w:rPr>
        <w:t>/ par dispositifs d’ancrage ponctuels sur le gros œuvre existant / ***</w:t>
      </w:r>
      <w:r>
        <w:t>.</w:t>
      </w:r>
    </w:p>
    <w:p w14:paraId="07904B14" w14:textId="77777777" w:rsidR="00DB2B68" w:rsidRDefault="00000000">
      <w:pPr>
        <w:ind w:left="567"/>
        <w:jc w:val="both"/>
      </w:pPr>
      <w:r>
        <w:rPr>
          <w:b/>
          <w:i/>
        </w:rPr>
        <w:t>(Soit par défaut)</w:t>
      </w:r>
    </w:p>
    <w:p w14:paraId="459D04D9" w14:textId="77777777" w:rsidR="00DB2B68" w:rsidRDefault="00000000">
      <w:pPr>
        <w:ind w:left="567"/>
        <w:jc w:val="both"/>
      </w:pPr>
      <w:r>
        <w:rPr>
          <w:rStyle w:val="soitChar"/>
          <w:u w:val="single"/>
        </w:rPr>
        <w:t>La lisse basse</w:t>
      </w:r>
      <w:r>
        <w:rPr>
          <w:rStyle w:val="soitChar"/>
        </w:rPr>
        <w:t> est fixée par </w:t>
      </w:r>
      <w:r>
        <w:rPr>
          <w:rStyle w:val="optioncarChar"/>
        </w:rPr>
        <w:t>cheville métallique</w:t>
      </w:r>
      <w:r>
        <w:t> (par défaut)</w:t>
      </w:r>
      <w:r>
        <w:rPr>
          <w:rStyle w:val="optioncarChar"/>
        </w:rPr>
        <w:t> / vis spécifique béton / tiges filetées et ancrages chimiques / équerres de fixation / ***.</w:t>
      </w:r>
      <w:r>
        <w:rPr>
          <w:rStyle w:val="soitChar"/>
        </w:rPr>
        <w:t> La lisse basse ou lisse de pose est décrite dans l’article </w:t>
      </w:r>
      <w:hyperlink w:anchor="592" w:history="1">
        <w:r>
          <w:rPr>
            <w:rStyle w:val="soitChar"/>
            <w:color w:val="0000EE"/>
          </w:rPr>
          <w:t>24.11.1a Lisses de pose en bois massif</w:t>
        </w:r>
      </w:hyperlink>
      <w:r>
        <w:rPr>
          <w:rStyle w:val="soitChar"/>
        </w:rPr>
        <w:t>.</w:t>
      </w:r>
    </w:p>
    <w:p w14:paraId="33CFD6B8" w14:textId="77777777" w:rsidR="00DB2B68" w:rsidRDefault="00000000">
      <w:pPr>
        <w:ind w:left="567"/>
        <w:jc w:val="both"/>
      </w:pPr>
      <w:r>
        <w:rPr>
          <w:b/>
          <w:i/>
        </w:rPr>
        <w:t>(Soit)</w:t>
      </w:r>
    </w:p>
    <w:p w14:paraId="476D1B2C" w14:textId="77777777" w:rsidR="00DB2B68" w:rsidRDefault="00000000">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 connecteurs acoustiques / plats métalliques / connecteurs de cisaillement et traction / sabots d’angles /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mm de bord du caisson. </w:t>
      </w:r>
    </w:p>
    <w:p w14:paraId="3FB84804" w14:textId="77777777" w:rsidR="00DB2B68" w:rsidRDefault="00000000">
      <w:pPr>
        <w:ind w:left="567"/>
        <w:jc w:val="both"/>
      </w:pPr>
      <w:r>
        <w:rPr>
          <w:b/>
          <w:i/>
        </w:rPr>
        <w:t>(Soit)</w:t>
      </w:r>
    </w:p>
    <w:p w14:paraId="1BAFA3E9" w14:textId="77777777" w:rsidR="00DB2B68" w:rsidRDefault="00000000">
      <w:pPr>
        <w:ind w:left="567"/>
        <w:jc w:val="both"/>
      </w:pPr>
      <w:r>
        <w:rPr>
          <w:rStyle w:val="optioncarChar"/>
        </w:rPr>
        <w:t>***</w:t>
      </w:r>
    </w:p>
    <w:p w14:paraId="3C2FEF0C" w14:textId="77777777" w:rsidR="00DB2B68" w:rsidRDefault="00DB2B68">
      <w:pPr>
        <w:ind w:left="567"/>
        <w:jc w:val="both"/>
      </w:pPr>
    </w:p>
    <w:p w14:paraId="15F26B31" w14:textId="77777777" w:rsidR="00DB2B68" w:rsidRDefault="00000000">
      <w:pPr>
        <w:jc w:val="both"/>
      </w:pPr>
      <w:r>
        <w:t>L’assemblage de pied de paroi est muni d’une </w:t>
      </w:r>
      <w:r>
        <w:rPr>
          <w:rStyle w:val="optioncarChar"/>
        </w:rPr>
        <w:t>bande d’arase en membrane élastomère</w:t>
      </w:r>
      <w:r>
        <w:t> (par défaut)</w:t>
      </w:r>
      <w:r>
        <w:rPr>
          <w:rStyle w:val="optioncarChar"/>
        </w:rPr>
        <w:t> / membrane bitumineuse / membrane à base butyle / membrane polypropylène / ***</w:t>
      </w:r>
      <w:r>
        <w:t>.</w:t>
      </w:r>
    </w:p>
    <w:p w14:paraId="1006E363" w14:textId="77777777" w:rsidR="00DB2B68" w:rsidRDefault="00000000">
      <w:pPr>
        <w:jc w:val="both"/>
      </w:pPr>
      <w:r>
        <w:rPr>
          <w:b/>
        </w:rPr>
        <w:t>Fixation entre caissons de même plan</w:t>
      </w:r>
    </w:p>
    <w:p w14:paraId="734E035C" w14:textId="77777777" w:rsidR="00DB2B68" w:rsidRDefault="00000000">
      <w:pPr>
        <w:jc w:val="both"/>
      </w:pPr>
      <w:r>
        <w:t>L’assemblage est réalisé par</w:t>
      </w:r>
      <w:r>
        <w:rPr>
          <w:rStyle w:val="optioncarChar"/>
        </w:rPr>
        <w:t> tire-fond </w:t>
      </w:r>
      <w:r>
        <w:t>(par défaut)</w:t>
      </w:r>
      <w:r>
        <w:rPr>
          <w:rStyle w:val="optioncarChar"/>
        </w:rPr>
        <w:t> / plats métallique / profilés collaborant / ***.</w:t>
      </w:r>
    </w:p>
    <w:p w14:paraId="12E3DBAF" w14:textId="77777777" w:rsidR="00DB2B68" w:rsidRDefault="00000000">
      <w:pPr>
        <w:jc w:val="both"/>
      </w:pPr>
      <w:r>
        <w:rPr>
          <w:b/>
        </w:rPr>
        <w:t>Assemblage d’angles</w:t>
      </w:r>
    </w:p>
    <w:p w14:paraId="4A6F7468" w14:textId="77777777" w:rsidR="00DB2B68" w:rsidRDefault="00000000">
      <w:pPr>
        <w:jc w:val="both"/>
      </w:pPr>
      <w:r>
        <w:t>L’angle entre deux caissons est assemblé </w:t>
      </w:r>
      <w:r>
        <w:rPr>
          <w:rStyle w:val="optioncarChar"/>
        </w:rPr>
        <w:t>par l’intermédiaire de vis traversantes </w:t>
      </w:r>
      <w:r>
        <w:t>(par défaut)</w:t>
      </w:r>
      <w:r>
        <w:rPr>
          <w:rStyle w:val="optioncarChar"/>
        </w:rPr>
        <w:t> / par dispositifs d’ancrage ponctuels sur le gros œuvre existant / ***</w:t>
      </w:r>
      <w:r>
        <w:t>.</w:t>
      </w:r>
    </w:p>
    <w:p w14:paraId="30D19D96" w14:textId="77777777" w:rsidR="00DB2B68" w:rsidRDefault="00000000">
      <w:pPr>
        <w:ind w:left="567"/>
        <w:jc w:val="both"/>
      </w:pPr>
      <w:r>
        <w:rPr>
          <w:b/>
          <w:i/>
        </w:rPr>
        <w:t>(Soit par défaut)</w:t>
      </w:r>
    </w:p>
    <w:p w14:paraId="74975B3B" w14:textId="77777777" w:rsidR="00DB2B68" w:rsidRDefault="00000000">
      <w:pPr>
        <w:ind w:left="567"/>
        <w:jc w:val="both"/>
      </w:pPr>
      <w:r>
        <w:rPr>
          <w:rStyle w:val="soitChar"/>
          <w:u w:val="single"/>
        </w:rPr>
        <w:t>Vis traversante :</w:t>
      </w:r>
      <w:r>
        <w:rPr>
          <w:rStyle w:val="soitChar"/>
        </w:rPr>
        <w:t> La fixation de type tire-fond est appliquée sur le montant intérieur du caisson à assembler ou par fixations inclinées. Le nombre de fixations et les sections répondent au dimensionnement selon la [NBN EN 1995 série].</w:t>
      </w:r>
    </w:p>
    <w:p w14:paraId="6D93DB2B" w14:textId="77777777" w:rsidR="00DB2B68" w:rsidRDefault="00000000">
      <w:pPr>
        <w:ind w:left="567"/>
        <w:jc w:val="both"/>
      </w:pPr>
      <w:r>
        <w:rPr>
          <w:b/>
          <w:i/>
        </w:rPr>
        <w:t>(Soit)</w:t>
      </w:r>
    </w:p>
    <w:p w14:paraId="5C4C00D2" w14:textId="77777777" w:rsidR="00DB2B68" w:rsidRDefault="00000000">
      <w:pPr>
        <w:ind w:left="567"/>
        <w:jc w:val="both"/>
      </w:pPr>
      <w:r>
        <w:rPr>
          <w:rStyle w:val="soitChar"/>
          <w:u w:val="single"/>
        </w:rPr>
        <w:t>Dispositifs d’ancrage ponctuels</w:t>
      </w:r>
      <w:r>
        <w:rPr>
          <w:rStyle w:val="soitChar"/>
        </w:rPr>
        <w:t> : Les dispositifs de fixation sont des </w:t>
      </w:r>
      <w:r>
        <w:rPr>
          <w:rStyle w:val="optioncarChar"/>
        </w:rPr>
        <w:t>équerres métalliques </w:t>
      </w:r>
      <w:r>
        <w:t>(par défaut) </w:t>
      </w:r>
      <w:r>
        <w:rPr>
          <w:rStyle w:val="optioncarChar"/>
        </w:rPr>
        <w:t xml:space="preserve">/ connecteurs acoustiques / plats métalliques / connecteurs de cisaillement et traction / </w:t>
      </w:r>
      <w:r>
        <w:rPr>
          <w:rStyle w:val="optioncarChar"/>
        </w:rPr>
        <w:lastRenderedPageBreak/>
        <w:t>sabots d’angles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distance supérieure à </w:t>
      </w:r>
      <w:r>
        <w:rPr>
          <w:rStyle w:val="optioncarChar"/>
        </w:rPr>
        <w:t>50 </w:t>
      </w:r>
      <w:r>
        <w:t>(par défaut)</w:t>
      </w:r>
      <w:r>
        <w:rPr>
          <w:rStyle w:val="optioncarChar"/>
        </w:rPr>
        <w:t> / ***</w:t>
      </w:r>
      <w:r>
        <w:rPr>
          <w:rStyle w:val="soitChar"/>
        </w:rPr>
        <w:t> mm de bord du caisson. </w:t>
      </w:r>
    </w:p>
    <w:p w14:paraId="6AC87066" w14:textId="77777777" w:rsidR="00DB2B68" w:rsidRDefault="00000000">
      <w:pPr>
        <w:ind w:left="567"/>
        <w:jc w:val="both"/>
      </w:pPr>
      <w:r>
        <w:rPr>
          <w:b/>
          <w:i/>
        </w:rPr>
        <w:t>(Soit)</w:t>
      </w:r>
    </w:p>
    <w:p w14:paraId="268CD96A" w14:textId="77777777" w:rsidR="00DB2B68" w:rsidRDefault="00000000">
      <w:pPr>
        <w:ind w:left="567"/>
        <w:jc w:val="both"/>
      </w:pPr>
      <w:r>
        <w:rPr>
          <w:rStyle w:val="optioncarChar"/>
        </w:rPr>
        <w:t>***</w:t>
      </w:r>
      <w:r>
        <w:t> </w:t>
      </w:r>
    </w:p>
    <w:p w14:paraId="047D81C4" w14:textId="77777777" w:rsidR="00DB2B68" w:rsidRDefault="00000000">
      <w:pPr>
        <w:jc w:val="both"/>
      </w:pPr>
      <w:r>
        <w:t>Les fixations, pointes ou vis, des panneaux sont effectuées sur </w:t>
      </w:r>
      <w:r>
        <w:rPr>
          <w:rStyle w:val="optioncarChar"/>
        </w:rPr>
        <w:t>2/3</w:t>
      </w:r>
      <w:r>
        <w:t> (par défaut) </w:t>
      </w:r>
      <w:r>
        <w:rPr>
          <w:rStyle w:val="optioncarChar"/>
        </w:rPr>
        <w:t>/ ***</w:t>
      </w:r>
      <w:r>
        <w:t> de l’épaisseur du panneau.</w:t>
      </w:r>
    </w:p>
    <w:p w14:paraId="5DE7EFE7" w14:textId="77777777" w:rsidR="00DB2B68" w:rsidRDefault="00000000">
      <w:pPr>
        <w:jc w:val="both"/>
      </w:pPr>
      <w:r>
        <w:t>Les dispositifs d’ancrage sont décrits dans les éléments du </w:t>
      </w:r>
      <w:hyperlink w:anchor="585" w:history="1">
        <w:r>
          <w:rPr>
            <w:color w:val="0000EE"/>
          </w:rPr>
          <w:t>24.4 Assemblages</w:t>
        </w:r>
      </w:hyperlink>
      <w:r>
        <w:t> mais la fourniture et la pose sont comprises dans le présent travail.</w:t>
      </w:r>
    </w:p>
    <w:p w14:paraId="25EB577F" w14:textId="77777777" w:rsidR="00DB2B68" w:rsidRDefault="00000000">
      <w:pPr>
        <w:jc w:val="both"/>
      </w:pPr>
      <w:r>
        <w:rPr>
          <w:b/>
        </w:rPr>
        <w:t>Travaux préalables :  HVAC - Sanitaires - Electricité</w:t>
      </w:r>
    </w:p>
    <w:p w14:paraId="5088702A" w14:textId="77777777" w:rsidR="00DB2B68" w:rsidRDefault="0000000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1D43CA9C" w14:textId="77777777" w:rsidR="00DB2B68" w:rsidRDefault="00000000">
      <w:pPr>
        <w:ind w:left="567"/>
        <w:jc w:val="both"/>
      </w:pPr>
      <w:r>
        <w:rPr>
          <w:b/>
          <w:i/>
        </w:rPr>
        <w:t>(Soit par défaut)</w:t>
      </w:r>
    </w:p>
    <w:p w14:paraId="4CC083DC" w14:textId="77777777" w:rsidR="00DB2B68" w:rsidRDefault="0000000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6 T6 HVAC - sanitaires et 7 T7 Electricité et sont réalisés a posteriori.</w:t>
      </w:r>
    </w:p>
    <w:p w14:paraId="108F69D0" w14:textId="77777777" w:rsidR="00DB2B68" w:rsidRDefault="00000000">
      <w:pPr>
        <w:ind w:left="567"/>
        <w:jc w:val="both"/>
      </w:pPr>
      <w:r>
        <w:rPr>
          <w:b/>
          <w:i/>
        </w:rPr>
        <w:t>(Soit)</w:t>
      </w:r>
    </w:p>
    <w:p w14:paraId="68DB10B3" w14:textId="77777777" w:rsidR="00DB2B68" w:rsidRDefault="00000000">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6 T6 HVAC - sanitaires et 7 T7 Electricité.  </w:t>
      </w:r>
    </w:p>
    <w:p w14:paraId="371C8F73" w14:textId="77777777" w:rsidR="00DB2B68" w:rsidRDefault="00000000">
      <w:pPr>
        <w:pStyle w:val="pheading"/>
      </w:pPr>
      <w:r>
        <w:t>- Notes d’exécution complémentaires</w:t>
      </w:r>
    </w:p>
    <w:p w14:paraId="5DB8023F" w14:textId="77777777" w:rsidR="00DB2B68" w:rsidRDefault="00000000">
      <w:r>
        <w:t>Tous les assemblages mécaniques structuraux sont dimensionnés selon les principes de l’Eurocode 5 [NBN EN 1995-1-1] et de sa partie feu [NBN EN 1995-1-2].</w:t>
      </w:r>
    </w:p>
    <w:p w14:paraId="773B120F" w14:textId="77777777" w:rsidR="00DB2B68" w:rsidRDefault="00000000">
      <w:pPr>
        <w:pStyle w:val="pheading"/>
      </w:pPr>
      <w:r>
        <w:t>CONTRÔLES PARTICULIERS</w:t>
      </w:r>
    </w:p>
    <w:p w14:paraId="3030CE39" w14:textId="77777777" w:rsidR="00DB2B68" w:rsidRDefault="00000000">
      <w:pPr>
        <w:jc w:val="both"/>
      </w:pPr>
      <w:r>
        <w:t>Le contrôle de la qualité du séchage d’un lot de bois scié se fait selon la [NBN EN 14298].</w:t>
      </w:r>
    </w:p>
    <w:p w14:paraId="5B643573" w14:textId="77777777" w:rsidR="00DB2B68" w:rsidRDefault="00000000">
      <w:pPr>
        <w:jc w:val="both"/>
      </w:pPr>
      <w:r>
        <w:t>La paille fait l’objet d’un auto-contrôle par l’entreprise en charge de la pose des ballots et des parois selon la procédure des [Moniteur Paille] ou tout autre organisme professionnel de la construction en paille.</w:t>
      </w:r>
    </w:p>
    <w:p w14:paraId="2E636754" w14:textId="77777777" w:rsidR="00DB2B68" w:rsidRDefault="00000000">
      <w:pPr>
        <w:pStyle w:val="pheading"/>
      </w:pPr>
      <w:r>
        <w:t>DOCUMENTS DE RÉFÉRENCE COMPLÉMENTAIRES</w:t>
      </w:r>
    </w:p>
    <w:p w14:paraId="367FC03B" w14:textId="77777777" w:rsidR="00DB2B68" w:rsidRDefault="00000000">
      <w:pPr>
        <w:pStyle w:val="pheading"/>
      </w:pPr>
      <w:r>
        <w:t>- Matériau</w:t>
      </w:r>
    </w:p>
    <w:p w14:paraId="5DFE728B" w14:textId="77777777" w:rsidR="00DB2B68" w:rsidRDefault="00000000">
      <w:r>
        <w:t>[NBN EN 14081 série, Structures en bois - Bois de structure à section rectangulaire classé pour sa résistance]</w:t>
      </w:r>
    </w:p>
    <w:p w14:paraId="057D39E8" w14:textId="77777777" w:rsidR="00DB2B68" w:rsidRDefault="00000000">
      <w:r>
        <w:t>[NBN EN 15497, Bois massif de structure à entures multiples - Exigences de performances et exigences minimales de fabrication]</w:t>
      </w:r>
    </w:p>
    <w:p w14:paraId="302332FA" w14:textId="77777777" w:rsidR="00DB2B68" w:rsidRDefault="00000000">
      <w:r>
        <w:t>[NBN EN 14080, Structures en bois - Bois lamellé collé et bois massif reconstitué - Exigences]</w:t>
      </w:r>
    </w:p>
    <w:p w14:paraId="5167756A" w14:textId="77777777" w:rsidR="00DB2B68" w:rsidRDefault="00000000">
      <w:r>
        <w:t>[NBN EN 335, Durabilité du bois et des matériaux à base de bois - Classes d'emploi: définitions, application au bois massif et aux matériaux à base de bois]</w:t>
      </w:r>
    </w:p>
    <w:p w14:paraId="0910401F" w14:textId="77777777" w:rsidR="00DB2B68" w:rsidRDefault="00000000">
      <w:r>
        <w:t>[NBN EN 13171+A1, Produits isolants thermiques pour le bâtiment - Produits manufacturés en fibres de bois (WF) - Spécification]</w:t>
      </w:r>
    </w:p>
    <w:p w14:paraId="4F78AC38" w14:textId="77777777" w:rsidR="00DB2B68" w:rsidRDefault="00000000">
      <w:r>
        <w:t>[NBN EN 12086, Produits isolants thermiques destinés aux applications du bâtiment - Détermination des propriétés de transmission de la vapeur d'eau]</w:t>
      </w:r>
    </w:p>
    <w:p w14:paraId="6373BAB5" w14:textId="77777777" w:rsidR="00DB2B68" w:rsidRDefault="00000000">
      <w:r>
        <w:t>[NBN EN 310, Panneaux à base de bois - Détermination du module d'élasticité en flexion et de la résistance à la flexion]</w:t>
      </w:r>
    </w:p>
    <w:p w14:paraId="69CE8DD7" w14:textId="77777777" w:rsidR="00DB2B68" w:rsidRDefault="00000000">
      <w:r>
        <w:lastRenderedPageBreak/>
        <w:t>[NBN EN 319, Panneaux de particules et panneaux de fibres - Détermination de la résistance à la traction perpendiculaire aux faces du panneau]</w:t>
      </w:r>
    </w:p>
    <w:p w14:paraId="34245403"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0B7C7EF"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557E1BA7" w14:textId="77777777" w:rsidR="00DB2B68" w:rsidRDefault="00000000">
      <w:r>
        <w:t>[AR 2014-05-08, Arrêté royal établissant les niveaux seuils pour les émissions dans l'environnement intérieur de produits de construction pour certains usages prévus]</w:t>
      </w:r>
    </w:p>
    <w:p w14:paraId="61F7AB02" w14:textId="77777777" w:rsidR="00DB2B68" w:rsidRDefault="00000000">
      <w:r>
        <w:t>[Moniteur Paille, Règles professionnelles de construction en paille - Remplissage isolant et support d’enduit – Règles CP 2012 révisées]</w:t>
      </w:r>
    </w:p>
    <w:p w14:paraId="756867A8" w14:textId="77777777" w:rsidR="00DB2B68" w:rsidRDefault="00000000">
      <w:pPr>
        <w:pStyle w:val="pheading"/>
      </w:pPr>
      <w:r>
        <w:t>- Exécution</w:t>
      </w:r>
    </w:p>
    <w:p w14:paraId="415D8281" w14:textId="77777777" w:rsidR="00DB2B68" w:rsidRDefault="00000000">
      <w:r>
        <w:t>[NBN EN 1995 série, Eurocode 5: Conception et calcul des structures en bois]</w:t>
      </w:r>
    </w:p>
    <w:p w14:paraId="3B646D0C" w14:textId="77777777" w:rsidR="00DB2B68" w:rsidRDefault="00000000">
      <w:r>
        <w:t>[STS 31, Charpenterie]</w:t>
      </w:r>
    </w:p>
    <w:p w14:paraId="16B84B90" w14:textId="77777777" w:rsidR="00DB2B68" w:rsidRDefault="00000000">
      <w:r>
        <w:t>[STS 23-1, Constructions en ossature bois]</w:t>
      </w:r>
    </w:p>
    <w:p w14:paraId="3737A3DC" w14:textId="77777777" w:rsidR="00DB2B68" w:rsidRDefault="00000000">
      <w:r>
        <w:t>[NBN EN 14298, Bois scié - Estimation de la qualité du séchage]</w:t>
      </w:r>
    </w:p>
    <w:p w14:paraId="6C9612E0" w14:textId="77777777" w:rsidR="00DB2B68" w:rsidRDefault="00000000">
      <w:r>
        <w:t>[Moniteur Paille, Règles professionnelles de construction en paille - Remplissage isolant et support d’enduit – Règles CP 2012 révisées]</w:t>
      </w:r>
    </w:p>
    <w:p w14:paraId="545F010D" w14:textId="77777777" w:rsidR="00DB2B68" w:rsidRDefault="00000000">
      <w:pPr>
        <w:pStyle w:val="pheading"/>
      </w:pPr>
      <w:r>
        <w:t>MESURAGE</w:t>
      </w:r>
    </w:p>
    <w:p w14:paraId="5BB83C4B" w14:textId="77777777" w:rsidR="00DB2B68" w:rsidRDefault="00000000">
      <w:pPr>
        <w:pStyle w:val="pheading"/>
      </w:pPr>
      <w:r>
        <w:t>- unité de mesure:</w:t>
      </w:r>
    </w:p>
    <w:p w14:paraId="45EDEAA7" w14:textId="77777777" w:rsidR="00DB2B68" w:rsidRDefault="00000000">
      <w:r>
        <w:rPr>
          <w:rStyle w:val="optioncarChar"/>
        </w:rPr>
        <w:t>m² </w:t>
      </w:r>
      <w:r>
        <w:t>(par défaut)</w:t>
      </w:r>
      <w:r>
        <w:rPr>
          <w:rStyle w:val="optioncarChar"/>
        </w:rPr>
        <w:t> / m³</w:t>
      </w:r>
    </w:p>
    <w:p w14:paraId="534FE79A" w14:textId="77777777" w:rsidR="00DB2B68" w:rsidRDefault="00000000">
      <w:r>
        <w:rPr>
          <w:b/>
          <w:i/>
        </w:rPr>
        <w:t>(Soit par défaut)</w:t>
      </w:r>
    </w:p>
    <w:p w14:paraId="3B74DE1B" w14:textId="77777777" w:rsidR="00DB2B68" w:rsidRDefault="00000000">
      <w:r>
        <w:rPr>
          <w:rStyle w:val="soitChar"/>
        </w:rPr>
        <w:t>1. m²</w:t>
      </w:r>
    </w:p>
    <w:p w14:paraId="0D797F83" w14:textId="77777777" w:rsidR="00DB2B68" w:rsidRDefault="00000000">
      <w:r>
        <w:rPr>
          <w:b/>
          <w:i/>
        </w:rPr>
        <w:t>(Soit)</w:t>
      </w:r>
    </w:p>
    <w:p w14:paraId="091D85EE" w14:textId="77777777" w:rsidR="00DB2B68" w:rsidRDefault="00000000">
      <w:r>
        <w:rPr>
          <w:rStyle w:val="soitChar"/>
        </w:rPr>
        <w:t>2. m³</w:t>
      </w:r>
    </w:p>
    <w:p w14:paraId="4CA7BDEC" w14:textId="77777777" w:rsidR="00DB2B68" w:rsidRDefault="00000000">
      <w:pPr>
        <w:pStyle w:val="pheading"/>
      </w:pPr>
      <w:r>
        <w:t>- code de mesurage:</w:t>
      </w:r>
    </w:p>
    <w:p w14:paraId="5A2DE4FE" w14:textId="77777777" w:rsidR="00DB2B68" w:rsidRDefault="00000000">
      <w:pPr>
        <w:jc w:val="both"/>
      </w:pPr>
      <w:r>
        <w:rPr>
          <w:rStyle w:val="optioncarChar"/>
        </w:rPr>
        <w:t>Surface nette </w:t>
      </w:r>
      <w:r>
        <w:t>(par défaut)</w:t>
      </w:r>
      <w:r>
        <w:rPr>
          <w:rStyle w:val="optioncarChar"/>
        </w:rPr>
        <w:t> / Volume net</w:t>
      </w:r>
    </w:p>
    <w:p w14:paraId="2DB6D172" w14:textId="77777777" w:rsidR="00DB2B68" w:rsidRDefault="00000000">
      <w:pPr>
        <w:jc w:val="both"/>
      </w:pPr>
      <w:r>
        <w:rPr>
          <w:b/>
          <w:i/>
        </w:rPr>
        <w:t>(Soit par défaut)</w:t>
      </w:r>
    </w:p>
    <w:p w14:paraId="598DCED7" w14:textId="77777777" w:rsidR="00DB2B68" w:rsidRDefault="00000000">
      <w:pPr>
        <w:jc w:val="both"/>
      </w:pPr>
      <w:r>
        <w:rPr>
          <w:rStyle w:val="soitChar"/>
        </w:rPr>
        <w:t>1. </w:t>
      </w:r>
      <w:r>
        <w:rPr>
          <w:rStyle w:val="soitChar"/>
          <w:u w:val="single"/>
        </w:rPr>
        <w:t>Surface nette</w:t>
      </w:r>
      <w:r>
        <w:rPr>
          <w:rStyle w:val="soitChar"/>
        </w:rPr>
        <w:t> : Longueur x Largeur de la paroi selon les plans. Déduction faite des vides de plus de 0.5 m².</w:t>
      </w:r>
    </w:p>
    <w:p w14:paraId="3044F270" w14:textId="77777777" w:rsidR="00DB2B68" w:rsidRDefault="00000000">
      <w:pPr>
        <w:jc w:val="both"/>
      </w:pPr>
      <w:r>
        <w:rPr>
          <w:b/>
          <w:i/>
        </w:rPr>
        <w:t>(Soit)</w:t>
      </w:r>
    </w:p>
    <w:p w14:paraId="60156E7B" w14:textId="77777777" w:rsidR="00DB2B68" w:rsidRDefault="00000000">
      <w:pPr>
        <w:jc w:val="both"/>
      </w:pPr>
      <w:r>
        <w:rPr>
          <w:rStyle w:val="soitChar"/>
        </w:rPr>
        <w:t>2. </w:t>
      </w:r>
      <w:r>
        <w:rPr>
          <w:rStyle w:val="soitChar"/>
          <w:u w:val="single"/>
        </w:rPr>
        <w:t>Volume net</w:t>
      </w:r>
      <w:r>
        <w:rPr>
          <w:rStyle w:val="soitChar"/>
        </w:rPr>
        <w:t> : Volume net des parois selon les plans. Il n’est pas fait de déduction de volume pour les réservations, écarteurs, etc. si ce volume est inférieur à 0,05 m³.</w:t>
      </w:r>
    </w:p>
    <w:p w14:paraId="313C3C93" w14:textId="77777777" w:rsidR="00DB2B68" w:rsidRDefault="00000000">
      <w:pPr>
        <w:pStyle w:val="pheading"/>
      </w:pPr>
      <w:r>
        <w:t>- nature du marché:</w:t>
      </w:r>
    </w:p>
    <w:p w14:paraId="6EECAFB6" w14:textId="77777777" w:rsidR="00DB2B68" w:rsidRDefault="00000000">
      <w:r>
        <w:rPr>
          <w:rStyle w:val="optioncarChar"/>
        </w:rPr>
        <w:t>QF</w:t>
      </w:r>
      <w:r>
        <w:t> (par défaut)</w:t>
      </w:r>
      <w:r>
        <w:rPr>
          <w:rStyle w:val="optioncarChar"/>
        </w:rPr>
        <w:t> / QP</w:t>
      </w:r>
    </w:p>
    <w:p w14:paraId="091DD0EE" w14:textId="77777777" w:rsidR="00DB2B68" w:rsidRDefault="00000000">
      <w:r>
        <w:rPr>
          <w:b/>
          <w:i/>
        </w:rPr>
        <w:t>(Soit par défaut)</w:t>
      </w:r>
    </w:p>
    <w:p w14:paraId="57E4FF05" w14:textId="77777777" w:rsidR="00DB2B68" w:rsidRDefault="00000000">
      <w:r>
        <w:rPr>
          <w:rStyle w:val="soitChar"/>
        </w:rPr>
        <w:t>1. 2. QF</w:t>
      </w:r>
    </w:p>
    <w:p w14:paraId="07184460" w14:textId="77777777" w:rsidR="00DB2B68" w:rsidRDefault="00000000">
      <w:r>
        <w:rPr>
          <w:b/>
          <w:i/>
        </w:rPr>
        <w:t>(Soit)</w:t>
      </w:r>
    </w:p>
    <w:p w14:paraId="4903DD62" w14:textId="77777777" w:rsidR="00DB2B68" w:rsidRDefault="00000000">
      <w:r>
        <w:rPr>
          <w:rStyle w:val="soitChar"/>
        </w:rPr>
        <w:t>1. 2. QP   </w:t>
      </w:r>
    </w:p>
    <w:p w14:paraId="3450CF85" w14:textId="77777777" w:rsidR="00DB2B68" w:rsidRDefault="00000000">
      <w:pPr>
        <w:pStyle w:val="Author-eSectionHeading6Numberless"/>
      </w:pPr>
      <w:bookmarkStart w:id="1662" w:name="_Toc220496647"/>
      <w:r>
        <w:t>24.21.3c Murs en bois en caissons préfabriqués intégrant des galets d'argile CCTB 01.12</w:t>
      </w:r>
      <w:bookmarkEnd w:id="1662"/>
    </w:p>
    <w:p w14:paraId="1B35EFC5" w14:textId="77777777" w:rsidR="00DB2B68" w:rsidRDefault="00000000">
      <w:pPr>
        <w:pStyle w:val="pheading"/>
      </w:pPr>
      <w:r>
        <w:lastRenderedPageBreak/>
        <w:t>DESCRIPTION</w:t>
      </w:r>
    </w:p>
    <w:p w14:paraId="7F3C12DB" w14:textId="77777777" w:rsidR="00DB2B68" w:rsidRDefault="00000000">
      <w:pPr>
        <w:pStyle w:val="pheading"/>
      </w:pPr>
      <w:r>
        <w:t>- Définition / Comprend</w:t>
      </w:r>
    </w:p>
    <w:p w14:paraId="3EAC67E6" w14:textId="77777777" w:rsidR="00DB2B68" w:rsidRDefault="00000000">
      <w:pPr>
        <w:jc w:val="both"/>
      </w:pPr>
      <w:r>
        <w:t>Il s’agit de la fourniture et la pose de murs porteurs ou non constitués de caissons préfabriqués en bois remplis de galets d’argile.</w:t>
      </w:r>
    </w:p>
    <w:p w14:paraId="771AC4A2" w14:textId="77777777" w:rsidR="00DB2B68" w:rsidRDefault="00000000">
      <w:pPr>
        <w:jc w:val="both"/>
      </w:pPr>
      <w:r>
        <w:t>Le travail comprend notamment :</w:t>
      </w:r>
    </w:p>
    <w:p w14:paraId="58F67223" w14:textId="77777777" w:rsidR="00DB2B68" w:rsidRDefault="00000000">
      <w:pPr>
        <w:pStyle w:val="Author-eListParagraph"/>
        <w:numPr>
          <w:ilvl w:val="0"/>
          <w:numId w:val="900"/>
        </w:numPr>
        <w:jc w:val="both"/>
      </w:pPr>
      <w:r>
        <w:t>La préparation et nettoyage des supports sur lesquels les éléments sont posés;</w:t>
      </w:r>
    </w:p>
    <w:p w14:paraId="01858927" w14:textId="77777777" w:rsidR="00DB2B68" w:rsidRDefault="00000000">
      <w:pPr>
        <w:pStyle w:val="Author-eListParagraph"/>
        <w:numPr>
          <w:ilvl w:val="0"/>
          <w:numId w:val="900"/>
        </w:numPr>
        <w:jc w:val="both"/>
      </w:pPr>
      <w:r>
        <w:t>La fabrication, la livraison et la pose des parois, y compris les engins de levage, tous les supports temporaires et travaux d’étayage;</w:t>
      </w:r>
    </w:p>
    <w:p w14:paraId="7AEB47E0" w14:textId="77777777" w:rsidR="00DB2B68" w:rsidRDefault="00000000">
      <w:pPr>
        <w:pStyle w:val="Author-eListParagraph"/>
        <w:numPr>
          <w:ilvl w:val="0"/>
          <w:numId w:val="900"/>
        </w:numPr>
        <w:jc w:val="both"/>
      </w:pPr>
      <w:r>
        <w:t>Les réservations prévues sur les plans;</w:t>
      </w:r>
    </w:p>
    <w:p w14:paraId="2F314ABF" w14:textId="77777777" w:rsidR="00DB2B68" w:rsidRDefault="00000000">
      <w:pPr>
        <w:pStyle w:val="Author-eListParagraph"/>
        <w:numPr>
          <w:ilvl w:val="0"/>
          <w:numId w:val="900"/>
        </w:numPr>
        <w:jc w:val="both"/>
      </w:pPr>
      <w:r>
        <w:t>La finition des bords et travaux de réparation en cas d’endommagement;</w:t>
      </w:r>
    </w:p>
    <w:p w14:paraId="110D55D6" w14:textId="77777777" w:rsidR="00DB2B68" w:rsidRDefault="00000000">
      <w:pPr>
        <w:pStyle w:val="Author-eListParagraph"/>
        <w:numPr>
          <w:ilvl w:val="0"/>
          <w:numId w:val="900"/>
        </w:numPr>
        <w:jc w:val="both"/>
      </w:pPr>
      <w:r>
        <w:t>Le remplissage des joints de dilatation éventuels selon les directives du fournisseur.</w:t>
      </w:r>
    </w:p>
    <w:p w14:paraId="47A29B0E" w14:textId="77777777" w:rsidR="00DB2B68" w:rsidRDefault="00000000">
      <w:pPr>
        <w:pStyle w:val="Author-eListParagraph"/>
        <w:numPr>
          <w:ilvl w:val="0"/>
          <w:numId w:val="900"/>
        </w:numPr>
        <w:jc w:val="both"/>
      </w:pPr>
      <w:r>
        <w:t>Le contrôle de toutes les dimensions et l’adaptation des éléments à préfabriquer aux dimensions réelles ;</w:t>
      </w:r>
    </w:p>
    <w:p w14:paraId="44233749" w14:textId="77777777" w:rsidR="00DB2B68" w:rsidRDefault="00000000">
      <w:pPr>
        <w:pStyle w:val="Author-eListParagraph"/>
        <w:numPr>
          <w:ilvl w:val="0"/>
          <w:numId w:val="900"/>
        </w:numPr>
        <w:jc w:val="both"/>
      </w:pPr>
      <w:r>
        <w:t>Tous les moyens de liaisonnement éventuels, aussi bien entre les éléments préfabriqués, qu’avec les éléments de support, de bord, … ;</w:t>
      </w:r>
    </w:p>
    <w:p w14:paraId="160CC523" w14:textId="77777777" w:rsidR="00DB2B68" w:rsidRDefault="00000000">
      <w:pPr>
        <w:pStyle w:val="Author-eListParagraph"/>
        <w:numPr>
          <w:ilvl w:val="0"/>
          <w:numId w:val="900"/>
        </w:numPr>
        <w:jc w:val="both"/>
      </w:pPr>
      <w:r>
        <w:t>L’éventuel pare-vapeur ou frein vapeur ;</w:t>
      </w:r>
    </w:p>
    <w:p w14:paraId="02F38C7C" w14:textId="77777777" w:rsidR="00DB2B68" w:rsidRDefault="00000000">
      <w:pPr>
        <w:pStyle w:val="Author-eListParagraph"/>
        <w:numPr>
          <w:ilvl w:val="0"/>
          <w:numId w:val="900"/>
        </w:numPr>
        <w:jc w:val="both"/>
      </w:pPr>
      <w:r>
        <w:t>L’enlèvement de tous les accessoires, éléments de coffrage, supports, étais et le nettoyage des faces visibles;</w:t>
      </w:r>
    </w:p>
    <w:p w14:paraId="5461306F" w14:textId="77777777" w:rsidR="00DB2B68" w:rsidRDefault="00000000">
      <w:pPr>
        <w:pStyle w:val="Author-eListParagraph"/>
        <w:numPr>
          <w:ilvl w:val="0"/>
          <w:numId w:val="900"/>
        </w:numPr>
        <w:jc w:val="both"/>
      </w:pPr>
      <w:r>
        <w:t>Les ouvrages de protection des caissons contre la pluie, l’humidité et la condensation durant le transport et toute la durée du chantier.</w:t>
      </w:r>
    </w:p>
    <w:p w14:paraId="2F8C05CB" w14:textId="77777777" w:rsidR="00DB2B68" w:rsidRDefault="00000000">
      <w:pPr>
        <w:pStyle w:val="pheading"/>
      </w:pPr>
      <w:r>
        <w:t>- Localisation</w:t>
      </w:r>
    </w:p>
    <w:p w14:paraId="29C703B4" w14:textId="77777777" w:rsidR="00DB2B68" w:rsidRDefault="00000000">
      <w:r>
        <w:t xml:space="preserve">Localisation des travaux : </w:t>
      </w:r>
      <w:r>
        <w:rPr>
          <w:rStyle w:val="optioncarChar"/>
        </w:rPr>
        <w:t>***</w:t>
      </w:r>
      <w:r>
        <w:t>.</w:t>
      </w:r>
    </w:p>
    <w:p w14:paraId="52E5EAC1" w14:textId="77777777" w:rsidR="00DB2B68" w:rsidRDefault="00000000">
      <w:r>
        <w:t>Voir plans et métrés détaillés.</w:t>
      </w:r>
    </w:p>
    <w:p w14:paraId="596BCA33" w14:textId="77777777" w:rsidR="00DB2B68" w:rsidRDefault="00000000">
      <w:pPr>
        <w:pStyle w:val="pheading"/>
      </w:pPr>
      <w:r>
        <w:t>MATÉRIAUX</w:t>
      </w:r>
    </w:p>
    <w:p w14:paraId="1738E96F" w14:textId="77777777" w:rsidR="00DB2B68" w:rsidRDefault="00000000">
      <w:pPr>
        <w:pStyle w:val="pheading"/>
      </w:pPr>
      <w:r>
        <w:t>- Caractéristiques générales</w:t>
      </w:r>
    </w:p>
    <w:p w14:paraId="7D60182B" w14:textId="77777777" w:rsidR="00DB2B68" w:rsidRDefault="00000000">
      <w:pPr>
        <w:jc w:val="both"/>
      </w:pPr>
      <w:r>
        <w:t>L’ensemble est un complexe réalisé en usine ou en atelier et comprend :</w:t>
      </w:r>
    </w:p>
    <w:p w14:paraId="6A8C2972" w14:textId="77777777" w:rsidR="00DB2B68" w:rsidRDefault="00000000">
      <w:pPr>
        <w:jc w:val="both"/>
      </w:pPr>
      <w:r>
        <w:rPr>
          <w:b/>
        </w:rPr>
        <w:t>Structure</w:t>
      </w:r>
    </w:p>
    <w:p w14:paraId="1E1EF620" w14:textId="77777777" w:rsidR="00DB2B68" w:rsidRDefault="00000000">
      <w:pPr>
        <w:jc w:val="both"/>
      </w:pPr>
      <w:r>
        <w:t>Les cadres de structure sont constitués de </w:t>
      </w:r>
      <w:r>
        <w:rPr>
          <w:rStyle w:val="optioncarChar"/>
        </w:rPr>
        <w:t>bois massif </w:t>
      </w:r>
      <w:r>
        <w:t>(par défaut)</w:t>
      </w:r>
      <w:r>
        <w:rPr>
          <w:rStyle w:val="optioncarChar"/>
        </w:rPr>
        <w:t> / poutres en I avec âme en panneau OSB / bois abouté / lamellé-collé / ***</w:t>
      </w:r>
      <w:r>
        <w:t> d’une épaisseur (et par extension largeur de semelle des poutres en I) de </w:t>
      </w:r>
      <w:r>
        <w:rPr>
          <w:rStyle w:val="optioncarChar"/>
        </w:rPr>
        <w:t>38 / 45 </w:t>
      </w:r>
      <w:r>
        <w:t>(par défaut)</w:t>
      </w:r>
      <w:r>
        <w:rPr>
          <w:rStyle w:val="optioncarChar"/>
        </w:rPr>
        <w:t>  / 60 / ***</w:t>
      </w:r>
      <w:r>
        <w:t> mm et d’une hauteur de  </w:t>
      </w:r>
      <w:r>
        <w:rPr>
          <w:rStyle w:val="optioncarChar"/>
        </w:rPr>
        <w:t>140 / 175 </w:t>
      </w:r>
      <w:r>
        <w:t>(par défaut)</w:t>
      </w:r>
      <w:r>
        <w:rPr>
          <w:rStyle w:val="optioncarChar"/>
        </w:rPr>
        <w:t> / 180 / 200 / 220 / 240 / 260 / 280 / ***</w:t>
      </w:r>
      <w:r>
        <w:t> mm ayant une classe de résistance minimum </w:t>
      </w:r>
      <w:r>
        <w:rPr>
          <w:rStyle w:val="optioncarChar"/>
        </w:rPr>
        <w:t>C16 / C18 </w:t>
      </w:r>
      <w:r>
        <w:t>(par défaut)</w:t>
      </w:r>
      <w:r>
        <w:rPr>
          <w:rStyle w:val="optioncarChar"/>
        </w:rPr>
        <w:t> / C24 / ***.</w:t>
      </w:r>
    </w:p>
    <w:p w14:paraId="24D4D8D5" w14:textId="77777777" w:rsidR="00DB2B68" w:rsidRDefault="00000000">
      <w:pPr>
        <w:jc w:val="both"/>
      </w:pPr>
      <w:r>
        <w:t>Le bois massif répond aux spécifications de la [NBN EN 14081 série].</w:t>
      </w:r>
    </w:p>
    <w:p w14:paraId="148F277E" w14:textId="77777777" w:rsidR="00DB2B68" w:rsidRDefault="00000000">
      <w:pPr>
        <w:jc w:val="both"/>
      </w:pPr>
      <w:r>
        <w:t>Les bois massifs peuvent être aboutés. Les pièces constitutives du produit fini doivent être classées selon la  [NBN EN 14081 série] et les produits finis doivent être marqués selon la [NBN EN 15497].</w:t>
      </w:r>
    </w:p>
    <w:p w14:paraId="52EAC485" w14:textId="77777777" w:rsidR="00DB2B68" w:rsidRDefault="00000000">
      <w:pPr>
        <w:jc w:val="both"/>
      </w:pPr>
      <w:r>
        <w:t>Les bois lamellé-collé doit répondre à la [NBN EN 14080].</w:t>
      </w:r>
    </w:p>
    <w:p w14:paraId="1382018E" w14:textId="77777777" w:rsidR="00DB2B68" w:rsidRDefault="00000000">
      <w:pPr>
        <w:jc w:val="both"/>
      </w:pPr>
      <w:r>
        <w:t>La classe d’emploi d’un élément est déterminée suivant la [NBN EN 335] : </w:t>
      </w:r>
      <w:r>
        <w:rPr>
          <w:rStyle w:val="optioncarChar"/>
        </w:rPr>
        <w:t>classe 1 / classe 2 </w:t>
      </w:r>
      <w:r>
        <w:t>(par défaut) </w:t>
      </w:r>
      <w:r>
        <w:rPr>
          <w:rStyle w:val="optioncarChar"/>
        </w:rPr>
        <w:t>/ classe 3.</w:t>
      </w:r>
    </w:p>
    <w:p w14:paraId="7D8252E3" w14:textId="77777777" w:rsidR="00DB2B68" w:rsidRDefault="00000000">
      <w:pPr>
        <w:jc w:val="both"/>
      </w:pPr>
      <w:r>
        <w:t>La structure correspond en tout point au titre </w:t>
      </w:r>
      <w:hyperlink w:anchor="594" w:history="1">
        <w:r>
          <w:rPr>
            <w:color w:val="0000EE"/>
          </w:rPr>
          <w:t>24.1 Eléments de structures en bois</w:t>
        </w:r>
      </w:hyperlink>
      <w:r>
        <w:t> et au sous-titre </w:t>
      </w:r>
      <w:hyperlink w:anchor="595" w:history="1">
        <w:r>
          <w:rPr>
            <w:color w:val="0000EE"/>
          </w:rPr>
          <w:t>24.42 Assemblages mécaniques</w:t>
        </w:r>
      </w:hyperlink>
      <w:r>
        <w:t>. </w:t>
      </w:r>
    </w:p>
    <w:p w14:paraId="0BB2D869" w14:textId="77777777" w:rsidR="00DB2B68" w:rsidRDefault="00000000">
      <w:pPr>
        <w:jc w:val="both"/>
      </w:pPr>
      <w:r>
        <w:rPr>
          <w:b/>
        </w:rPr>
        <w:t>Panneau extérieur</w:t>
      </w:r>
    </w:p>
    <w:p w14:paraId="6724F70E" w14:textId="77777777" w:rsidR="00DB2B68" w:rsidRDefault="00000000">
      <w:pPr>
        <w:jc w:val="both"/>
      </w:pPr>
      <w:r>
        <w:t>Les panneaux extérieurs sont </w:t>
      </w:r>
      <w:r>
        <w:rPr>
          <w:rStyle w:val="optioncarChar"/>
        </w:rPr>
        <w:t>vissés </w:t>
      </w:r>
      <w:r>
        <w:t>(par défaut)</w:t>
      </w:r>
      <w:r>
        <w:rPr>
          <w:rStyle w:val="optioncarChar"/>
        </w:rPr>
        <w:t> / cloués / collés / ***.</w:t>
      </w:r>
    </w:p>
    <w:p w14:paraId="1026B5CC" w14:textId="77777777" w:rsidR="00DB2B68" w:rsidRDefault="00000000">
      <w:pPr>
        <w:jc w:val="both"/>
      </w:pPr>
      <w:r>
        <w:t>Le panneau est </w:t>
      </w:r>
      <w:r>
        <w:rPr>
          <w:rStyle w:val="optioncarChar"/>
        </w:rPr>
        <w:t>rainuré languetté </w:t>
      </w:r>
      <w:r>
        <w:t>(par défaut)</w:t>
      </w:r>
      <w:r>
        <w:rPr>
          <w:rStyle w:val="optioncarChar"/>
        </w:rPr>
        <w:t xml:space="preserve"> / ***</w:t>
      </w:r>
      <w:r>
        <w:t>.</w:t>
      </w:r>
    </w:p>
    <w:p w14:paraId="38190131" w14:textId="77777777" w:rsidR="00DB2B68" w:rsidRDefault="00000000">
      <w:pPr>
        <w:jc w:val="both"/>
      </w:pPr>
      <w:r>
        <w:t>Conductivité thermique ≤ </w:t>
      </w:r>
      <w:r>
        <w:rPr>
          <w:rStyle w:val="optioncarChar"/>
        </w:rPr>
        <w:t>0.08 / 0.090 / 0.1 </w:t>
      </w:r>
      <w:r>
        <w:t>(par défaut)</w:t>
      </w:r>
      <w:r>
        <w:rPr>
          <w:rStyle w:val="optioncarChar"/>
        </w:rPr>
        <w:t> / *** </w:t>
      </w:r>
      <w:r>
        <w:t>W/(m.K) suivant [NBN EN 13986+A1] ou [NBN EN 13171+A1].</w:t>
      </w:r>
    </w:p>
    <w:p w14:paraId="324F837A" w14:textId="77777777" w:rsidR="00DB2B68" w:rsidRDefault="00000000">
      <w:pPr>
        <w:jc w:val="both"/>
      </w:pPr>
      <w:r>
        <w:lastRenderedPageBreak/>
        <w:t>La perméabilité à la vapeur d’eau (Sd) est inférieure à  </w:t>
      </w:r>
      <w:r>
        <w:rPr>
          <w:rStyle w:val="optioncarChar"/>
        </w:rPr>
        <w:t>0,1m  / 0,2m  / définie par l’analyse de diffusion de vapeur d’eau de la paroi complète</w:t>
      </w:r>
      <w:r>
        <w:t> (par défaut)</w:t>
      </w:r>
      <w:r>
        <w:rPr>
          <w:rStyle w:val="optioncarChar"/>
        </w:rPr>
        <w:t> / ***</w:t>
      </w:r>
      <w:r>
        <w:t>.</w:t>
      </w:r>
    </w:p>
    <w:p w14:paraId="2F73AE85" w14:textId="77777777" w:rsidR="00DB2B68" w:rsidRDefault="00000000">
      <w:pPr>
        <w:jc w:val="both"/>
      </w:pPr>
      <w:r>
        <w:t>Le panneau </w:t>
      </w:r>
      <w:r>
        <w:rPr>
          <w:rStyle w:val="optioncarChar"/>
        </w:rPr>
        <w:t>fait office / ne fait pas office</w:t>
      </w:r>
      <w:r>
        <w:t> de pare-pluie. </w:t>
      </w:r>
    </w:p>
    <w:p w14:paraId="03FAFDEF" w14:textId="77777777" w:rsidR="00DB2B68" w:rsidRDefault="00000000">
      <w:pPr>
        <w:jc w:val="both"/>
      </w:pPr>
      <w:r>
        <w:t>Les panneaux sont constitués de panneaux</w:t>
      </w:r>
      <w:r>
        <w:rPr>
          <w:rStyle w:val="optioncarChar"/>
        </w:rPr>
        <w:t> de fibre de bois </w:t>
      </w:r>
      <w:r>
        <w:t>(par défaut) </w:t>
      </w:r>
      <w:r>
        <w:rPr>
          <w:rStyle w:val="optioncarChar"/>
        </w:rPr>
        <w:t>/ OSB / multiplex bois / CLT / ***.</w:t>
      </w:r>
    </w:p>
    <w:p w14:paraId="4EEC7697" w14:textId="77777777" w:rsidR="00DB2B68" w:rsidRDefault="00000000">
      <w:pPr>
        <w:ind w:left="567"/>
        <w:jc w:val="both"/>
      </w:pPr>
      <w:r>
        <w:rPr>
          <w:b/>
          <w:i/>
        </w:rPr>
        <w:t>(Soit par défaut)</w:t>
      </w:r>
    </w:p>
    <w:p w14:paraId="608E649B" w14:textId="77777777" w:rsidR="00DB2B68" w:rsidRDefault="00000000">
      <w:pPr>
        <w:ind w:left="567"/>
        <w:jc w:val="both"/>
      </w:pPr>
      <w:r>
        <w:rPr>
          <w:rStyle w:val="soitChar"/>
          <w:u w:val="single"/>
        </w:rPr>
        <w:t>Panneau de fibre de bois </w:t>
      </w:r>
    </w:p>
    <w:p w14:paraId="51B681C6" w14:textId="77777777" w:rsidR="00DB2B68" w:rsidRDefault="00000000">
      <w:pPr>
        <w:ind w:left="567"/>
        <w:jc w:val="both"/>
      </w:pPr>
      <w:r>
        <w:rPr>
          <w:rStyle w:val="soitChar"/>
        </w:rPr>
        <w:t>Pour le descriptif, voir l’article </w:t>
      </w:r>
      <w:hyperlink w:anchor="596" w:history="1">
        <w:r>
          <w:rPr>
            <w:rStyle w:val="soitChar"/>
            <w:color w:val="0000EE"/>
          </w:rPr>
          <w:t>24.16.1d Panneaux MDF</w:t>
        </w:r>
      </w:hyperlink>
      <w:r>
        <w:rPr>
          <w:rStyle w:val="soitChar"/>
        </w:rPr>
        <w:t>.</w:t>
      </w:r>
      <w:r>
        <w:t> </w:t>
      </w:r>
    </w:p>
    <w:p w14:paraId="619D5F3F" w14:textId="77777777" w:rsidR="00DB2B68" w:rsidRDefault="00000000">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6D5BD750" w14:textId="77777777" w:rsidR="00DB2B68" w:rsidRDefault="0000000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776019AF" w14:textId="77777777" w:rsidR="00DB2B68" w:rsidRDefault="00000000">
      <w:pPr>
        <w:ind w:left="567"/>
        <w:jc w:val="both"/>
      </w:pPr>
      <w:r>
        <w:rPr>
          <w:rStyle w:val="soitChar"/>
        </w:rPr>
        <w:t>Les panneaux répondent à la [NBN EN 13986+A1] et aux exigences de [NBN EN 622 série].</w:t>
      </w:r>
    </w:p>
    <w:p w14:paraId="3CC65811" w14:textId="77777777" w:rsidR="00DB2B68" w:rsidRDefault="00000000">
      <w:pPr>
        <w:ind w:left="567"/>
        <w:jc w:val="both"/>
      </w:pPr>
      <w:r>
        <w:rPr>
          <w:b/>
          <w:i/>
        </w:rPr>
        <w:t>(Soit)</w:t>
      </w:r>
    </w:p>
    <w:p w14:paraId="202D6A01" w14:textId="77777777" w:rsidR="00DB2B68" w:rsidRDefault="00000000">
      <w:pPr>
        <w:ind w:left="567"/>
        <w:jc w:val="both"/>
      </w:pPr>
      <w:r>
        <w:rPr>
          <w:rStyle w:val="soitChar"/>
          <w:u w:val="single"/>
        </w:rPr>
        <w:t>Osb </w:t>
      </w:r>
    </w:p>
    <w:p w14:paraId="09487C70" w14:textId="77777777" w:rsidR="00DB2B68" w:rsidRDefault="00000000">
      <w:pPr>
        <w:ind w:left="567"/>
        <w:jc w:val="both"/>
      </w:pPr>
      <w:r>
        <w:rPr>
          <w:rStyle w:val="soitChar"/>
        </w:rPr>
        <w:t>Pour le descriptif, voir l’article </w:t>
      </w:r>
      <w:hyperlink w:anchor="597" w:history="1">
        <w:r>
          <w:rPr>
            <w:rStyle w:val="soitChar"/>
            <w:color w:val="0000EE"/>
          </w:rPr>
          <w:t>24.16.1b Panneaux OSB</w:t>
        </w:r>
      </w:hyperlink>
      <w:r>
        <w:rPr>
          <w:rStyle w:val="soitChar"/>
        </w:rPr>
        <w:t>.</w:t>
      </w:r>
      <w:r>
        <w:t> </w:t>
      </w:r>
    </w:p>
    <w:p w14:paraId="3CDA8085" w14:textId="77777777" w:rsidR="00DB2B68" w:rsidRDefault="00000000">
      <w:pPr>
        <w:ind w:left="567"/>
        <w:jc w:val="both"/>
      </w:pPr>
      <w:r>
        <w:rPr>
          <w:rStyle w:val="soitChar"/>
        </w:rPr>
        <w:t>Les panneaux ont une épaisseur de </w:t>
      </w:r>
      <w:r>
        <w:rPr>
          <w:rStyle w:val="optioncarChar"/>
        </w:rPr>
        <w:t>15 / 18</w:t>
      </w:r>
      <w:r>
        <w:t> (par défaut) </w:t>
      </w:r>
      <w:r>
        <w:rPr>
          <w:rStyle w:val="optioncarChar"/>
        </w:rPr>
        <w:t>/ ***</w:t>
      </w:r>
      <w:r>
        <w:rPr>
          <w:rStyle w:val="soitChar"/>
        </w:rPr>
        <w:t> mm.</w:t>
      </w:r>
    </w:p>
    <w:p w14:paraId="2581521F" w14:textId="77777777" w:rsidR="00DB2B68" w:rsidRDefault="00000000">
      <w:pPr>
        <w:ind w:left="567"/>
        <w:jc w:val="both"/>
      </w:pPr>
      <w:r>
        <w:rPr>
          <w:rStyle w:val="soitChar"/>
        </w:rPr>
        <w:t>Les panneaux sont de type </w:t>
      </w:r>
      <w:r>
        <w:rPr>
          <w:rStyle w:val="optioncarChar"/>
        </w:rPr>
        <w:t>2 / 3 </w:t>
      </w:r>
      <w:r>
        <w:t>(par défaut) </w:t>
      </w:r>
      <w:r>
        <w:rPr>
          <w:rStyle w:val="optioncarChar"/>
        </w:rPr>
        <w:t>/ 4.</w:t>
      </w:r>
    </w:p>
    <w:p w14:paraId="6D384700" w14:textId="77777777" w:rsidR="00DB2B68" w:rsidRDefault="00000000">
      <w:pPr>
        <w:ind w:left="567"/>
        <w:jc w:val="both"/>
      </w:pPr>
      <w:r>
        <w:rPr>
          <w:rStyle w:val="soitChar"/>
        </w:rPr>
        <w:t>Les panneaux sont </w:t>
      </w:r>
      <w:r>
        <w:rPr>
          <w:rStyle w:val="optioncarChar"/>
        </w:rPr>
        <w:t>à bord droit / rainurés languettés</w:t>
      </w:r>
      <w:r>
        <w:t> (par défaut). </w:t>
      </w:r>
    </w:p>
    <w:p w14:paraId="2308BFBE" w14:textId="77777777" w:rsidR="00DB2B68" w:rsidRDefault="00000000">
      <w:pPr>
        <w:ind w:left="567"/>
        <w:jc w:val="both"/>
      </w:pPr>
      <w:r>
        <w:rPr>
          <w:rStyle w:val="soitChar"/>
        </w:rPr>
        <w:t>Les panneaux répondent à la [NBN EN 300] et à la [NBN EN 13986+A1].</w:t>
      </w:r>
    </w:p>
    <w:p w14:paraId="21B08F80" w14:textId="77777777" w:rsidR="00DB2B68" w:rsidRDefault="00000000">
      <w:pPr>
        <w:ind w:left="567"/>
        <w:jc w:val="both"/>
      </w:pPr>
      <w:r>
        <w:rPr>
          <w:b/>
          <w:i/>
        </w:rPr>
        <w:t>(Soit)</w:t>
      </w:r>
    </w:p>
    <w:p w14:paraId="0D7DF32D" w14:textId="77777777" w:rsidR="00DB2B68" w:rsidRDefault="00000000">
      <w:pPr>
        <w:ind w:left="567"/>
        <w:jc w:val="both"/>
      </w:pPr>
      <w:r>
        <w:rPr>
          <w:rStyle w:val="soitChar"/>
          <w:u w:val="single"/>
        </w:rPr>
        <w:t>Panneau multiplex bois </w:t>
      </w:r>
    </w:p>
    <w:p w14:paraId="33E6B860" w14:textId="77777777" w:rsidR="00DB2B68" w:rsidRDefault="00000000">
      <w:pPr>
        <w:ind w:left="567"/>
        <w:jc w:val="both"/>
      </w:pPr>
      <w:r>
        <w:rPr>
          <w:rStyle w:val="soitChar"/>
        </w:rPr>
        <w:t>Pour le descriptif, voir l’article </w:t>
      </w:r>
      <w:hyperlink w:anchor="598" w:history="1">
        <w:r>
          <w:rPr>
            <w:rStyle w:val="soitChar"/>
            <w:color w:val="0000EE"/>
          </w:rPr>
          <w:t>24.16.1a Panneaux contreplaqués (PW)</w:t>
        </w:r>
      </w:hyperlink>
      <w:r>
        <w:rPr>
          <w:rStyle w:val="soitChar"/>
        </w:rPr>
        <w:t>.</w:t>
      </w:r>
      <w:r>
        <w:t> </w:t>
      </w:r>
    </w:p>
    <w:p w14:paraId="353C091A" w14:textId="77777777" w:rsidR="00DB2B68" w:rsidRDefault="00000000">
      <w:pPr>
        <w:ind w:left="567"/>
        <w:jc w:val="both"/>
      </w:pPr>
      <w:r>
        <w:rPr>
          <w:rStyle w:val="soitChar"/>
        </w:rPr>
        <w:t>Le multiplex est en bois </w:t>
      </w:r>
      <w:r>
        <w:rPr>
          <w:rStyle w:val="optioncarChar"/>
        </w:rPr>
        <w:t>feuillus / résineux. </w:t>
      </w:r>
    </w:p>
    <w:p w14:paraId="5B35F632" w14:textId="77777777" w:rsidR="00DB2B68" w:rsidRDefault="00000000">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14:paraId="4032CE81" w14:textId="77777777" w:rsidR="00DB2B68"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78290BBE" w14:textId="77777777" w:rsidR="00DB2B68" w:rsidRDefault="00000000">
      <w:pPr>
        <w:ind w:left="567"/>
        <w:jc w:val="both"/>
      </w:pPr>
      <w:r>
        <w:rPr>
          <w:b/>
          <w:i/>
        </w:rPr>
        <w:t>(Soit)</w:t>
      </w:r>
    </w:p>
    <w:p w14:paraId="59B472E8" w14:textId="77777777" w:rsidR="00DB2B68" w:rsidRDefault="00000000">
      <w:pPr>
        <w:ind w:left="567"/>
        <w:jc w:val="both"/>
      </w:pPr>
      <w:r>
        <w:rPr>
          <w:rStyle w:val="soitChar"/>
          <w:u w:val="single"/>
        </w:rPr>
        <w:t>CLT </w:t>
      </w:r>
    </w:p>
    <w:p w14:paraId="7AA903EC" w14:textId="77777777" w:rsidR="00DB2B68" w:rsidRDefault="00000000">
      <w:pPr>
        <w:ind w:left="567"/>
        <w:jc w:val="both"/>
      </w:pPr>
      <w:r>
        <w:rPr>
          <w:rStyle w:val="soitChar"/>
        </w:rPr>
        <w:t>Les panneaux répondent à la [NBN EN 16351].</w:t>
      </w:r>
      <w:r>
        <w:t> </w:t>
      </w:r>
    </w:p>
    <w:p w14:paraId="4108662D" w14:textId="77777777" w:rsidR="00DB2B68" w:rsidRDefault="0000000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7A44A67C" w14:textId="77777777" w:rsidR="00DB2B68" w:rsidRDefault="0000000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36B3D098" w14:textId="77777777" w:rsidR="00DB2B68" w:rsidRDefault="00000000">
      <w:pPr>
        <w:ind w:left="567"/>
        <w:jc w:val="both"/>
      </w:pPr>
      <w:r>
        <w:rPr>
          <w:b/>
          <w:i/>
        </w:rPr>
        <w:t>(Soit)</w:t>
      </w:r>
    </w:p>
    <w:p w14:paraId="2B562047" w14:textId="77777777" w:rsidR="00DB2B68" w:rsidRDefault="00000000">
      <w:pPr>
        <w:ind w:left="567"/>
        <w:jc w:val="both"/>
      </w:pPr>
      <w:r>
        <w:rPr>
          <w:rStyle w:val="optioncarChar"/>
        </w:rPr>
        <w:t>***</w:t>
      </w:r>
      <w:r>
        <w:t> </w:t>
      </w:r>
    </w:p>
    <w:p w14:paraId="2220FB18" w14:textId="77777777" w:rsidR="00DB2B68" w:rsidRDefault="00000000">
      <w:pPr>
        <w:jc w:val="both"/>
      </w:pPr>
      <w:r>
        <w:t>Le panneau extérieur est </w:t>
      </w:r>
      <w:r>
        <w:rPr>
          <w:rStyle w:val="optioncarChar"/>
        </w:rPr>
        <w:t>contreventant / non contreventant</w:t>
      </w:r>
      <w:r>
        <w:t> (par défaut).</w:t>
      </w:r>
    </w:p>
    <w:p w14:paraId="664D7D24" w14:textId="77777777" w:rsidR="00DB2B68" w:rsidRDefault="00000000">
      <w:pPr>
        <w:ind w:left="567"/>
        <w:jc w:val="both"/>
      </w:pPr>
      <w:r>
        <w:rPr>
          <w:b/>
          <w:i/>
        </w:rPr>
        <w:t>(Soit)</w:t>
      </w:r>
    </w:p>
    <w:p w14:paraId="45C6BB79" w14:textId="77777777" w:rsidR="00DB2B68" w:rsidRDefault="00000000">
      <w:pPr>
        <w:ind w:left="567"/>
        <w:jc w:val="both"/>
      </w:pPr>
      <w:r>
        <w:rPr>
          <w:rStyle w:val="soitChar"/>
          <w:u w:val="single"/>
        </w:rPr>
        <w:t>Contreventant</w:t>
      </w:r>
    </w:p>
    <w:p w14:paraId="7412F249" w14:textId="77777777" w:rsidR="00DB2B68" w:rsidRDefault="00000000">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w:t>
      </w:r>
    </w:p>
    <w:p w14:paraId="15E5D8DA" w14:textId="77777777" w:rsidR="00DB2B68" w:rsidRDefault="00000000">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2DBCE043" w14:textId="77777777" w:rsidR="00DB2B68" w:rsidRDefault="00000000">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41F4459A" w14:textId="77777777" w:rsidR="00DB2B68" w:rsidRDefault="00000000">
      <w:pPr>
        <w:ind w:left="567"/>
        <w:jc w:val="both"/>
      </w:pPr>
      <w:r>
        <w:rPr>
          <w:b/>
          <w:i/>
        </w:rPr>
        <w:t>(Soit par défaut)</w:t>
      </w:r>
    </w:p>
    <w:p w14:paraId="531F07ED" w14:textId="77777777" w:rsidR="00DB2B68" w:rsidRDefault="00000000">
      <w:pPr>
        <w:ind w:left="567"/>
        <w:jc w:val="both"/>
      </w:pPr>
      <w:r>
        <w:rPr>
          <w:rStyle w:val="soitChar"/>
          <w:u w:val="single"/>
        </w:rPr>
        <w:t>Non-contreventant</w:t>
      </w:r>
    </w:p>
    <w:p w14:paraId="687FE6E9" w14:textId="77777777" w:rsidR="00DB2B68" w:rsidRDefault="00000000">
      <w:pPr>
        <w:ind w:left="567"/>
        <w:jc w:val="both"/>
      </w:pPr>
      <w:r>
        <w:rPr>
          <w:rStyle w:val="soitChar"/>
        </w:rPr>
        <w:lastRenderedPageBreak/>
        <w:t>Résistance en flexion ≥ </w:t>
      </w:r>
      <w:r>
        <w:rPr>
          <w:rStyle w:val="optioncarChar"/>
        </w:rPr>
        <w:t>12 / 14 </w:t>
      </w:r>
      <w:r>
        <w:t>(par défaut)</w:t>
      </w:r>
      <w:r>
        <w:rPr>
          <w:rStyle w:val="optioncarChar"/>
        </w:rPr>
        <w:t> / 16 / ***</w:t>
      </w:r>
      <w:r>
        <w:rPr>
          <w:rStyle w:val="soitChar"/>
        </w:rPr>
        <w:t> N/mm² suivant [NBN EN 310].</w:t>
      </w:r>
      <w:r>
        <w:t> </w:t>
      </w:r>
    </w:p>
    <w:p w14:paraId="0DCA745B" w14:textId="77777777" w:rsidR="00DB2B68" w:rsidRDefault="00000000">
      <w:pPr>
        <w:jc w:val="both"/>
      </w:pPr>
      <w:r>
        <w:rPr>
          <w:b/>
        </w:rPr>
        <w:t>Remplissage isolant</w:t>
      </w:r>
    </w:p>
    <w:p w14:paraId="2ADE7644" w14:textId="77777777" w:rsidR="00DB2B68" w:rsidRDefault="00000000">
      <w:pPr>
        <w:jc w:val="both"/>
      </w:pPr>
      <w:r>
        <w:t>Remplissage en </w:t>
      </w:r>
      <w:r>
        <w:rPr>
          <w:rStyle w:val="optioncarChar"/>
        </w:rPr>
        <w:t>cellulose / laine de bois </w:t>
      </w:r>
      <w:r>
        <w:t>(par défaut)</w:t>
      </w:r>
      <w:r>
        <w:rPr>
          <w:rStyle w:val="optioncarChar"/>
        </w:rPr>
        <w:t> / laine de roche / laine de verre / ***</w:t>
      </w:r>
      <w:r>
        <w:t> de l’ossature.</w:t>
      </w:r>
    </w:p>
    <w:p w14:paraId="336BD2D0" w14:textId="77777777" w:rsidR="00DB2B68" w:rsidRDefault="00000000">
      <w:pPr>
        <w:jc w:val="both"/>
      </w:pPr>
      <w:r>
        <w:t>Masse volumique ≥ </w:t>
      </w:r>
      <w:r>
        <w:rPr>
          <w:rStyle w:val="optioncarChar"/>
        </w:rPr>
        <w:t>15 (laine de verre)  / 25 (laine de roche) / 48 (laine de bois et cellulose)  </w:t>
      </w:r>
      <w:r>
        <w:t>(par défaut) </w:t>
      </w:r>
      <w:r>
        <w:rPr>
          <w:rStyle w:val="optioncarChar"/>
        </w:rPr>
        <w:t>/ ***</w:t>
      </w:r>
      <w:r>
        <w:t> kg/m³</w:t>
      </w:r>
    </w:p>
    <w:p w14:paraId="4A8353AC" w14:textId="77777777" w:rsidR="00DB2B68" w:rsidRDefault="00000000">
      <w:pPr>
        <w:jc w:val="both"/>
      </w:pPr>
      <w:r>
        <w:t>Conductivité thermique ≤ </w:t>
      </w:r>
      <w:r>
        <w:rPr>
          <w:rStyle w:val="optioncarChar"/>
        </w:rPr>
        <w:t>0.040 / 0.044 </w:t>
      </w:r>
      <w:r>
        <w:t>(par défaut)</w:t>
      </w:r>
      <w:r>
        <w:rPr>
          <w:rStyle w:val="optioncarChar"/>
        </w:rPr>
        <w:t> / 0.048 / 0.06 / *** </w:t>
      </w:r>
      <w:r>
        <w:t> W/(m.K) suivant la [NBN EN 12667] ou [NBN EN ISO 10456]. </w:t>
      </w:r>
    </w:p>
    <w:p w14:paraId="2B2DCCB8" w14:textId="77777777" w:rsidR="00DB2B68" w:rsidRDefault="00000000">
      <w:pPr>
        <w:jc w:val="both"/>
      </w:pPr>
      <w:r>
        <w:rPr>
          <w:b/>
        </w:rPr>
        <w:t>Panneau intérieur</w:t>
      </w:r>
    </w:p>
    <w:p w14:paraId="17138384" w14:textId="77777777" w:rsidR="00DB2B68" w:rsidRDefault="00000000">
      <w:pPr>
        <w:jc w:val="both"/>
      </w:pPr>
      <w:r>
        <w:t>Les panneaux intérieurs sont </w:t>
      </w:r>
      <w:r>
        <w:rPr>
          <w:rStyle w:val="optioncarChar"/>
        </w:rPr>
        <w:t>vissés </w:t>
      </w:r>
      <w:r>
        <w:t>(par défaut) </w:t>
      </w:r>
      <w:r>
        <w:rPr>
          <w:rStyle w:val="optioncarChar"/>
        </w:rPr>
        <w:t>cloués / collés / ***.</w:t>
      </w:r>
    </w:p>
    <w:p w14:paraId="62A91C2B" w14:textId="77777777" w:rsidR="00DB2B68" w:rsidRDefault="00000000">
      <w:pPr>
        <w:jc w:val="both"/>
      </w:pPr>
      <w:r>
        <w:t>Le panneau est </w:t>
      </w:r>
      <w:r>
        <w:rPr>
          <w:rStyle w:val="optioncarChar"/>
        </w:rPr>
        <w:t xml:space="preserve">rainuré languetté </w:t>
      </w:r>
      <w:r>
        <w:t>(par défaut) </w:t>
      </w:r>
      <w:r>
        <w:rPr>
          <w:rStyle w:val="optioncarChar"/>
        </w:rPr>
        <w:t>/ ***</w:t>
      </w:r>
      <w:r>
        <w:t>.</w:t>
      </w:r>
    </w:p>
    <w:p w14:paraId="0CAA86D3" w14:textId="77777777" w:rsidR="00DB2B68" w:rsidRDefault="00000000">
      <w:pPr>
        <w:jc w:val="both"/>
      </w:pPr>
      <w:r>
        <w:t>Conductivité thermique ≤ </w:t>
      </w:r>
      <w:r>
        <w:rPr>
          <w:rStyle w:val="optioncarChar"/>
        </w:rPr>
        <w:t>0.08 / 0.090 / 0.1/ ***</w:t>
      </w:r>
      <w:r>
        <w:t> (par défaut) W/(m.K) suivant [NBN EN 13986+A1] ou [NBN EN 13171+A1].</w:t>
      </w:r>
    </w:p>
    <w:p w14:paraId="05030108" w14:textId="77777777" w:rsidR="00DB2B68" w:rsidRDefault="00000000">
      <w:pPr>
        <w:jc w:val="both"/>
      </w:pPr>
      <w:r>
        <w:t>La perméabilité à la vapeur d’eau (Sd) est supérieure à  </w:t>
      </w:r>
      <w:r>
        <w:rPr>
          <w:rStyle w:val="optioncarChar"/>
        </w:rPr>
        <w:t>0,5m / 1m  / définie par l’analyse de diffusion de vapeur d’eau de la paroi complète </w:t>
      </w:r>
      <w:r>
        <w:t>(par défaut)</w:t>
      </w:r>
      <w:r>
        <w:rPr>
          <w:rStyle w:val="optioncarChar"/>
        </w:rPr>
        <w:t> / ***</w:t>
      </w:r>
      <w:r>
        <w:t>.</w:t>
      </w:r>
    </w:p>
    <w:p w14:paraId="5F4B421B" w14:textId="77777777" w:rsidR="00DB2B68" w:rsidRDefault="00000000">
      <w:pPr>
        <w:jc w:val="both"/>
      </w:pPr>
      <w:r>
        <w:t>Si l’étanchéité à la vapeur d’eau et à l’air n’est pas assurée par le panneau, une membrane pare-vapeur ou frein vapeur est mise en œuvre pour satisfaire à l’analyse de diffusion de vapeur d’eau. </w:t>
      </w:r>
    </w:p>
    <w:p w14:paraId="6533FA78" w14:textId="77777777" w:rsidR="00DB2B68" w:rsidRDefault="00000000">
      <w:pPr>
        <w:jc w:val="both"/>
      </w:pPr>
      <w:r>
        <w:t xml:space="preserve">Les panneaux sont constitués de panneaux </w:t>
      </w:r>
      <w:r>
        <w:rPr>
          <w:rStyle w:val="optioncarChar"/>
        </w:rPr>
        <w:t>de fibre de bois / OSB </w:t>
      </w:r>
      <w:r>
        <w:t>(par défaut)</w:t>
      </w:r>
      <w:r>
        <w:rPr>
          <w:rStyle w:val="optioncarChar"/>
        </w:rPr>
        <w:t> / multiplex bois / CLT / ***.</w:t>
      </w:r>
    </w:p>
    <w:p w14:paraId="161CC6AE" w14:textId="77777777" w:rsidR="00DB2B68" w:rsidRDefault="00000000">
      <w:pPr>
        <w:ind w:left="567"/>
      </w:pPr>
      <w:r>
        <w:rPr>
          <w:b/>
          <w:i/>
        </w:rPr>
        <w:t>(Soit par défaut)</w:t>
      </w:r>
    </w:p>
    <w:p w14:paraId="68FEC911" w14:textId="77777777" w:rsidR="00DB2B68" w:rsidRDefault="00000000">
      <w:pPr>
        <w:ind w:left="567"/>
      </w:pPr>
      <w:r>
        <w:rPr>
          <w:rStyle w:val="soitChar"/>
          <w:u w:val="single"/>
        </w:rPr>
        <w:t>Osb  </w:t>
      </w:r>
      <w:r>
        <w:br/>
      </w:r>
      <w:r>
        <w:rPr>
          <w:rStyle w:val="soitChar"/>
        </w:rPr>
        <w:t>Pour le descriptif, voir l’article </w:t>
      </w:r>
      <w:hyperlink w:anchor="597" w:history="1">
        <w:r>
          <w:rPr>
            <w:rStyle w:val="soitChar"/>
            <w:color w:val="0000EE"/>
          </w:rPr>
          <w:t>24.16.1b Panneaux OSB</w:t>
        </w:r>
      </w:hyperlink>
      <w:r>
        <w:rPr>
          <w:rStyle w:val="soitChar"/>
        </w:rPr>
        <w:t>.</w:t>
      </w:r>
      <w:r>
        <w:t>   </w:t>
      </w:r>
      <w:r>
        <w:br/>
      </w:r>
      <w:r>
        <w:rPr>
          <w:rStyle w:val="soitChar"/>
        </w:rPr>
        <w:t>Les panneaux ont une épaisseur de </w:t>
      </w:r>
      <w:r>
        <w:t>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la [NBN EN 13986+A1].</w:t>
      </w:r>
    </w:p>
    <w:p w14:paraId="11747270" w14:textId="77777777" w:rsidR="00DB2B68" w:rsidRDefault="00000000">
      <w:pPr>
        <w:ind w:left="567"/>
        <w:jc w:val="both"/>
      </w:pPr>
      <w:r>
        <w:rPr>
          <w:b/>
          <w:i/>
        </w:rPr>
        <w:t>(Soit)</w:t>
      </w:r>
    </w:p>
    <w:p w14:paraId="3B56DD53" w14:textId="77777777" w:rsidR="00DB2B68" w:rsidRDefault="00000000">
      <w:pPr>
        <w:ind w:left="567"/>
        <w:jc w:val="both"/>
      </w:pPr>
      <w:r>
        <w:rPr>
          <w:rStyle w:val="soitChar"/>
          <w:u w:val="single"/>
        </w:rPr>
        <w:t>Panneau de fibre de bois</w:t>
      </w:r>
      <w:r>
        <w:t>  </w:t>
      </w:r>
    </w:p>
    <w:p w14:paraId="0E757A32" w14:textId="77777777" w:rsidR="00DB2B68" w:rsidRDefault="00000000">
      <w:pPr>
        <w:ind w:left="567"/>
        <w:jc w:val="both"/>
      </w:pPr>
      <w:r>
        <w:rPr>
          <w:rStyle w:val="soitChar"/>
        </w:rPr>
        <w:t>Pour le descriptif, voir l’article </w:t>
      </w:r>
      <w:hyperlink w:anchor="596" w:history="1">
        <w:r>
          <w:rPr>
            <w:rStyle w:val="soitChar"/>
            <w:color w:val="0000EE"/>
          </w:rPr>
          <w:t>24.16.1d Panneaux MDF</w:t>
        </w:r>
      </w:hyperlink>
      <w:r>
        <w:rPr>
          <w:rStyle w:val="soitChar"/>
        </w:rPr>
        <w:t>.</w:t>
      </w:r>
      <w:r>
        <w:t>   </w:t>
      </w:r>
    </w:p>
    <w:p w14:paraId="4BDD76C0" w14:textId="77777777" w:rsidR="00DB2B68" w:rsidRDefault="00000000">
      <w:pPr>
        <w:ind w:left="567"/>
        <w:jc w:val="both"/>
      </w:pPr>
      <w:r>
        <w:rPr>
          <w:rStyle w:val="soitChar"/>
        </w:rPr>
        <w:t>Les panneaux ont une épaisseur de </w:t>
      </w:r>
      <w:r>
        <w:t> </w:t>
      </w:r>
      <w:r>
        <w:rPr>
          <w:rStyle w:val="optioncarChar"/>
        </w:rPr>
        <w:t>12 / 20</w:t>
      </w:r>
      <w:r>
        <w:t>  (par défaut) </w:t>
      </w:r>
      <w:r>
        <w:rPr>
          <w:rStyle w:val="optioncarChar"/>
        </w:rPr>
        <w:t>/ ***</w:t>
      </w:r>
      <w:r>
        <w:rPr>
          <w:rStyle w:val="soitChar"/>
        </w:rPr>
        <w:t> mm.</w:t>
      </w:r>
    </w:p>
    <w:p w14:paraId="0A21927F" w14:textId="77777777" w:rsidR="00DB2B68" w:rsidRDefault="0000000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44FDD772" w14:textId="77777777" w:rsidR="00DB2B68" w:rsidRDefault="00000000">
      <w:pPr>
        <w:ind w:left="567"/>
        <w:jc w:val="both"/>
      </w:pPr>
      <w:r>
        <w:rPr>
          <w:rStyle w:val="soitChar"/>
        </w:rPr>
        <w:t>Les panneaux répondent à la [NBN EN 13986+A1] et aux exigences de [NBN EN 622 série].</w:t>
      </w:r>
    </w:p>
    <w:p w14:paraId="593F0AED" w14:textId="77777777" w:rsidR="00DB2B68" w:rsidRDefault="00000000">
      <w:pPr>
        <w:ind w:left="567"/>
        <w:jc w:val="both"/>
      </w:pPr>
      <w:r>
        <w:rPr>
          <w:b/>
          <w:i/>
        </w:rPr>
        <w:t>(Soit)</w:t>
      </w:r>
    </w:p>
    <w:p w14:paraId="6293101F" w14:textId="77777777" w:rsidR="00DB2B68" w:rsidRDefault="00000000">
      <w:pPr>
        <w:ind w:left="567"/>
        <w:jc w:val="both"/>
      </w:pPr>
      <w:r>
        <w:rPr>
          <w:rStyle w:val="soitChar"/>
          <w:u w:val="single"/>
        </w:rPr>
        <w:t>Panneau multiplex bois </w:t>
      </w:r>
      <w:r>
        <w:t> </w:t>
      </w:r>
    </w:p>
    <w:p w14:paraId="3EDE4FED" w14:textId="77777777" w:rsidR="00DB2B68" w:rsidRDefault="00000000">
      <w:pPr>
        <w:ind w:left="567"/>
        <w:jc w:val="both"/>
      </w:pPr>
      <w:r>
        <w:rPr>
          <w:rStyle w:val="soitChar"/>
        </w:rPr>
        <w:t>Pour le descriptif, voir l’article </w:t>
      </w:r>
      <w:hyperlink w:anchor="598" w:history="1">
        <w:r>
          <w:rPr>
            <w:rStyle w:val="soitChar"/>
            <w:color w:val="0000EE"/>
          </w:rPr>
          <w:t>24.16.1a Panneaux contreplaqués (PW)</w:t>
        </w:r>
      </w:hyperlink>
      <w:r>
        <w:rPr>
          <w:rStyle w:val="soitChar"/>
        </w:rPr>
        <w:t>.</w:t>
      </w:r>
      <w:r>
        <w:t>   </w:t>
      </w:r>
    </w:p>
    <w:p w14:paraId="71AD08B1" w14:textId="77777777" w:rsidR="00DB2B68" w:rsidRDefault="00000000">
      <w:pPr>
        <w:ind w:left="567"/>
        <w:jc w:val="both"/>
      </w:pPr>
      <w:r>
        <w:rPr>
          <w:rStyle w:val="soitChar"/>
        </w:rPr>
        <w:t>Le multiplex est en bois </w:t>
      </w:r>
      <w:r>
        <w:t> </w:t>
      </w:r>
      <w:r>
        <w:rPr>
          <w:rStyle w:val="optioncarChar"/>
        </w:rPr>
        <w:t>feuillus / résineux. </w:t>
      </w:r>
      <w:r>
        <w:t> </w:t>
      </w:r>
    </w:p>
    <w:p w14:paraId="16336717" w14:textId="77777777" w:rsidR="00DB2B68" w:rsidRDefault="00000000">
      <w:pPr>
        <w:ind w:left="567"/>
        <w:jc w:val="both"/>
      </w:pPr>
      <w:r>
        <w:rPr>
          <w:rStyle w:val="soitChar"/>
        </w:rPr>
        <w:t>Les panneaux ont une épaisseur de </w:t>
      </w:r>
      <w:r>
        <w:t> </w:t>
      </w:r>
      <w:r>
        <w:rPr>
          <w:rStyle w:val="optioncarChar"/>
        </w:rPr>
        <w:t>14 / 16 </w:t>
      </w:r>
      <w:r>
        <w:t>(par défaut) </w:t>
      </w:r>
      <w:r>
        <w:rPr>
          <w:rStyle w:val="optioncarChar"/>
        </w:rPr>
        <w:t>/ 19 / 21 / 27 / *** </w:t>
      </w:r>
      <w:r>
        <w:rPr>
          <w:rStyle w:val="soitChar"/>
        </w:rPr>
        <w:t>mm.</w:t>
      </w:r>
    </w:p>
    <w:p w14:paraId="4D068957" w14:textId="77777777" w:rsidR="00DB2B68" w:rsidRDefault="00000000">
      <w:pPr>
        <w:ind w:left="567"/>
        <w:jc w:val="both"/>
      </w:pPr>
      <w:r>
        <w:rPr>
          <w:b/>
          <w:i/>
        </w:rPr>
        <w:t>(Soit)</w:t>
      </w:r>
    </w:p>
    <w:p w14:paraId="0ECF99FD" w14:textId="77777777" w:rsidR="00DB2B68" w:rsidRDefault="00000000">
      <w:pPr>
        <w:ind w:left="567"/>
        <w:jc w:val="both"/>
      </w:pPr>
      <w:r>
        <w:rPr>
          <w:rStyle w:val="soitChar"/>
          <w:u w:val="single"/>
        </w:rPr>
        <w:t>CLT </w:t>
      </w:r>
      <w:r>
        <w:t> </w:t>
      </w:r>
    </w:p>
    <w:p w14:paraId="4D53280C" w14:textId="77777777" w:rsidR="00DB2B68" w:rsidRDefault="00000000">
      <w:pPr>
        <w:ind w:left="567"/>
        <w:jc w:val="both"/>
      </w:pPr>
      <w:r>
        <w:rPr>
          <w:rStyle w:val="soitChar"/>
        </w:rPr>
        <w:t>Les panneaux répondent à la [NBN EN 16351].</w:t>
      </w:r>
      <w:r>
        <w:t>   </w:t>
      </w:r>
    </w:p>
    <w:p w14:paraId="0A34237D" w14:textId="77777777" w:rsidR="00DB2B68" w:rsidRDefault="00000000">
      <w:pPr>
        <w:ind w:left="567"/>
        <w:jc w:val="both"/>
      </w:pPr>
      <w:r>
        <w:rPr>
          <w:rStyle w:val="soitChar"/>
        </w:rPr>
        <w:t>Les panneaux ont une épaisseur de </w:t>
      </w:r>
      <w:r>
        <w:t> </w:t>
      </w:r>
      <w:r>
        <w:rPr>
          <w:rStyle w:val="optioncarChar"/>
        </w:rPr>
        <w:t>60 </w:t>
      </w:r>
      <w:r>
        <w:t>(par défaut)</w:t>
      </w:r>
      <w:r>
        <w:rPr>
          <w:rStyle w:val="optioncarChar"/>
        </w:rPr>
        <w:t> / ***</w:t>
      </w:r>
      <w:r>
        <w:rPr>
          <w:rStyle w:val="soitChar"/>
        </w:rPr>
        <w:t> mm.</w:t>
      </w:r>
    </w:p>
    <w:p w14:paraId="0D421EB2" w14:textId="77777777" w:rsidR="00DB2B68" w:rsidRDefault="0000000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3CA0538D" w14:textId="77777777" w:rsidR="00DB2B68" w:rsidRDefault="00000000">
      <w:pPr>
        <w:ind w:left="567"/>
        <w:jc w:val="both"/>
      </w:pPr>
      <w:r>
        <w:rPr>
          <w:b/>
          <w:i/>
        </w:rPr>
        <w:t>(Soit)</w:t>
      </w:r>
    </w:p>
    <w:p w14:paraId="6DB22D99" w14:textId="77777777" w:rsidR="00DB2B68" w:rsidRDefault="00000000">
      <w:pPr>
        <w:ind w:left="567"/>
        <w:jc w:val="both"/>
      </w:pPr>
      <w:r>
        <w:rPr>
          <w:rStyle w:val="optioncarChar"/>
        </w:rPr>
        <w:t>***</w:t>
      </w:r>
      <w:r>
        <w:t> </w:t>
      </w:r>
    </w:p>
    <w:p w14:paraId="678C3D91" w14:textId="77777777" w:rsidR="00DB2B68" w:rsidRDefault="00000000">
      <w:pPr>
        <w:jc w:val="both"/>
      </w:pPr>
      <w:r>
        <w:lastRenderedPageBreak/>
        <w:t>Le panneau intérieur est </w:t>
      </w:r>
      <w:r>
        <w:rPr>
          <w:rStyle w:val="optioncarChar"/>
        </w:rPr>
        <w:t>contreventant </w:t>
      </w:r>
      <w:r>
        <w:t>(par défaut) </w:t>
      </w:r>
      <w:r>
        <w:rPr>
          <w:rStyle w:val="optioncarChar"/>
        </w:rPr>
        <w:t>/ non contreventant.</w:t>
      </w:r>
    </w:p>
    <w:p w14:paraId="0A22CE9A" w14:textId="77777777" w:rsidR="00DB2B68" w:rsidRDefault="00000000">
      <w:pPr>
        <w:ind w:left="567"/>
        <w:jc w:val="both"/>
      </w:pPr>
      <w:r>
        <w:rPr>
          <w:b/>
          <w:i/>
        </w:rPr>
        <w:t>(Soit par défaut)</w:t>
      </w:r>
    </w:p>
    <w:p w14:paraId="745CA523" w14:textId="77777777" w:rsidR="00DB2B68" w:rsidRDefault="00000000">
      <w:pPr>
        <w:ind w:left="567"/>
        <w:jc w:val="both"/>
      </w:pPr>
      <w:r>
        <w:rPr>
          <w:rStyle w:val="soitChar"/>
          <w:u w:val="single"/>
        </w:rPr>
        <w:t>Contreventant</w:t>
      </w:r>
    </w:p>
    <w:p w14:paraId="21381C96" w14:textId="77777777" w:rsidR="00DB2B68" w:rsidRDefault="00000000">
      <w:pPr>
        <w:ind w:left="567"/>
        <w:jc w:val="both"/>
      </w:pPr>
      <w:r>
        <w:rPr>
          <w:rStyle w:val="soitChar"/>
        </w:rPr>
        <w:t>Résistance en flexion ≥ </w:t>
      </w:r>
      <w:r>
        <w:t> </w:t>
      </w:r>
      <w:r>
        <w:rPr>
          <w:rStyle w:val="optioncarChar"/>
        </w:rPr>
        <w:t>12 / 14</w:t>
      </w:r>
      <w:r>
        <w:t>  (par défaut)  </w:t>
      </w:r>
      <w:r>
        <w:rPr>
          <w:rStyle w:val="optioncarChar"/>
        </w:rPr>
        <w:t>/ 16 / ***</w:t>
      </w:r>
      <w:r>
        <w:t> </w:t>
      </w:r>
      <w:r>
        <w:rPr>
          <w:rStyle w:val="soitChar"/>
        </w:rPr>
        <w:t>N/mm² suivant [NBN EN 310].</w:t>
      </w:r>
      <w:r>
        <w:t> </w:t>
      </w:r>
    </w:p>
    <w:p w14:paraId="00AD7D7D" w14:textId="77777777" w:rsidR="00DB2B68" w:rsidRDefault="00000000">
      <w:pPr>
        <w:ind w:left="567"/>
        <w:jc w:val="both"/>
      </w:pPr>
      <w:r>
        <w:rPr>
          <w:rStyle w:val="soitChar"/>
        </w:rPr>
        <w:t>Module d’élasticité en flexion ≥ </w:t>
      </w:r>
      <w:r>
        <w:t> </w:t>
      </w:r>
      <w:r>
        <w:rPr>
          <w:rStyle w:val="optioncarChar"/>
        </w:rPr>
        <w:t>1600 / 1800 </w:t>
      </w:r>
      <w:r>
        <w:t> (par défaut)  </w:t>
      </w:r>
      <w:r>
        <w:rPr>
          <w:rStyle w:val="optioncarChar"/>
        </w:rPr>
        <w:t>/ 2000 / ***</w:t>
      </w:r>
      <w:r>
        <w:t> </w:t>
      </w:r>
      <w:r>
        <w:rPr>
          <w:rStyle w:val="soitChar"/>
        </w:rPr>
        <w:t> N/mm² suivant [NBN EN 310].</w:t>
      </w:r>
      <w:r>
        <w:t> </w:t>
      </w:r>
    </w:p>
    <w:p w14:paraId="1AB3D378" w14:textId="77777777" w:rsidR="00DB2B68" w:rsidRDefault="00000000">
      <w:pPr>
        <w:ind w:left="567"/>
        <w:jc w:val="both"/>
      </w:pPr>
      <w:r>
        <w:rPr>
          <w:rStyle w:val="soitChar"/>
        </w:rPr>
        <w:t>Traction perpendiculaire aux faces ≥ </w:t>
      </w:r>
      <w:r>
        <w:t> </w:t>
      </w:r>
      <w:r>
        <w:rPr>
          <w:rStyle w:val="optioncarChar"/>
        </w:rPr>
        <w:t>0.30 / 0.35 </w:t>
      </w:r>
      <w:r>
        <w:t> (par défaut) </w:t>
      </w:r>
      <w:r>
        <w:rPr>
          <w:rStyle w:val="optioncarChar"/>
        </w:rPr>
        <w:t> / 0.4 / ***</w:t>
      </w:r>
      <w:r>
        <w:t> </w:t>
      </w:r>
      <w:r>
        <w:rPr>
          <w:rStyle w:val="soitChar"/>
        </w:rPr>
        <w:t> N/mm² suivant [NBN EN 319].</w:t>
      </w:r>
    </w:p>
    <w:p w14:paraId="7FC458C4" w14:textId="77777777" w:rsidR="00DB2B68" w:rsidRDefault="00000000">
      <w:pPr>
        <w:ind w:left="567"/>
        <w:jc w:val="both"/>
      </w:pPr>
      <w:r>
        <w:rPr>
          <w:b/>
          <w:i/>
        </w:rPr>
        <w:t>(Soit)</w:t>
      </w:r>
    </w:p>
    <w:p w14:paraId="2A8E490F" w14:textId="77777777" w:rsidR="00DB2B68" w:rsidRDefault="00000000">
      <w:pPr>
        <w:ind w:left="567"/>
        <w:jc w:val="both"/>
      </w:pPr>
      <w:r>
        <w:rPr>
          <w:rStyle w:val="soitChar"/>
          <w:u w:val="single"/>
        </w:rPr>
        <w:t>Non-contreventant</w:t>
      </w:r>
    </w:p>
    <w:p w14:paraId="2F958B42" w14:textId="77777777" w:rsidR="00DB2B68" w:rsidRDefault="00000000">
      <w:pPr>
        <w:ind w:left="567"/>
        <w:jc w:val="both"/>
      </w:pPr>
      <w:r>
        <w:rPr>
          <w:rStyle w:val="soitChar"/>
        </w:rPr>
        <w:t>Résistance en flexion ≥ </w:t>
      </w:r>
      <w:r>
        <w:t> </w:t>
      </w:r>
      <w:r>
        <w:rPr>
          <w:rStyle w:val="optioncarChar"/>
        </w:rPr>
        <w:t>12 / 14 </w:t>
      </w:r>
      <w:r>
        <w:t> (par défaut) </w:t>
      </w:r>
      <w:r>
        <w:rPr>
          <w:rStyle w:val="optioncarChar"/>
        </w:rPr>
        <w:t> / 16 / ***</w:t>
      </w:r>
      <w:r>
        <w:t> </w:t>
      </w:r>
      <w:r>
        <w:rPr>
          <w:rStyle w:val="soitChar"/>
        </w:rPr>
        <w:t> N/mm² suivant [NBN EN 310]</w:t>
      </w:r>
      <w:r>
        <w:t> </w:t>
      </w:r>
    </w:p>
    <w:p w14:paraId="170C2F68" w14:textId="77777777" w:rsidR="00DB2B68" w:rsidRDefault="00000000">
      <w:pPr>
        <w:jc w:val="both"/>
      </w:pPr>
      <w:r>
        <w:t>Le caisson </w:t>
      </w:r>
      <w:r>
        <w:rPr>
          <w:rStyle w:val="optioncarChar"/>
        </w:rPr>
        <w:t>est / n’est pas</w:t>
      </w:r>
      <w:r>
        <w:t> (par défaut) muni d’une gaine technique d’une épaisseur de </w:t>
      </w:r>
      <w:r>
        <w:rPr>
          <w:rStyle w:val="optioncarChar"/>
        </w:rPr>
        <w:t>60 / ***</w:t>
      </w:r>
      <w:r>
        <w:t> mm.</w:t>
      </w:r>
    </w:p>
    <w:p w14:paraId="498366BF" w14:textId="77777777" w:rsidR="00DB2B68" w:rsidRDefault="00000000">
      <w:pPr>
        <w:jc w:val="both"/>
      </w:pPr>
      <w:r>
        <w:rPr>
          <w:b/>
        </w:rPr>
        <w:t>Remplissage en galets de terre crue</w:t>
      </w:r>
    </w:p>
    <w:p w14:paraId="51098F8B" w14:textId="77777777" w:rsidR="00DB2B68" w:rsidRDefault="00000000">
      <w:pPr>
        <w:jc w:val="both"/>
      </w:pPr>
      <w:r>
        <w:t>Le remplissage du vide technique est réalisé à l’aide de galets de terre crue.</w:t>
      </w:r>
    </w:p>
    <w:p w14:paraId="76D49F62" w14:textId="77777777" w:rsidR="00DB2B68" w:rsidRDefault="00000000">
      <w:pPr>
        <w:jc w:val="both"/>
      </w:pPr>
      <w:r>
        <w:t xml:space="preserve">Les galets de terres sont disposés dans le vide technique créé par la pose d’un chevron de +/- </w:t>
      </w:r>
      <w:r>
        <w:rPr>
          <w:rStyle w:val="optioncarChar"/>
        </w:rPr>
        <w:t xml:space="preserve">30 / 40 / 50 </w:t>
      </w:r>
      <w:r>
        <w:t>(par défaut)</w:t>
      </w:r>
      <w:r>
        <w:rPr>
          <w:rStyle w:val="optioncarChar"/>
        </w:rPr>
        <w:t xml:space="preserve"> / 60 / ***</w:t>
      </w:r>
      <w:r>
        <w:t xml:space="preserve">  mm en atelier. Les galets sont composés d’argile, de sable, de chaux et d’adjuvants éventuels.</w:t>
      </w:r>
    </w:p>
    <w:p w14:paraId="55F37547" w14:textId="77777777" w:rsidR="00DB2B68" w:rsidRDefault="00000000">
      <w:pPr>
        <w:jc w:val="both"/>
      </w:pPr>
      <w:r>
        <w:t xml:space="preserve">Ils se présentent sous la forme d’un galet cylindrique de +/-  </w:t>
      </w:r>
      <w:r>
        <w:rPr>
          <w:rStyle w:val="optioncarChar"/>
        </w:rPr>
        <w:t xml:space="preserve">5 / 8 / 12 </w:t>
      </w:r>
      <w:r>
        <w:t>(par défaut)</w:t>
      </w:r>
      <w:r>
        <w:rPr>
          <w:rStyle w:val="optioncarChar"/>
        </w:rPr>
        <w:t xml:space="preserve"> / 14 /  ***</w:t>
      </w:r>
      <w:r>
        <w:t xml:space="preserve"> cm de diamètre et de +/- </w:t>
      </w:r>
      <w:r>
        <w:rPr>
          <w:rStyle w:val="optioncarChar"/>
        </w:rPr>
        <w:t xml:space="preserve">30 / 40 / 50 </w:t>
      </w:r>
      <w:r>
        <w:t xml:space="preserve">(par défaut) </w:t>
      </w:r>
      <w:r>
        <w:rPr>
          <w:rStyle w:val="optioncarChar"/>
        </w:rPr>
        <w:t>/ 60 / ***</w:t>
      </w:r>
      <w:r>
        <w:t>  mm d’épaisseur +/- 2 mm.</w:t>
      </w:r>
    </w:p>
    <w:p w14:paraId="77E6F63D" w14:textId="77777777" w:rsidR="00DB2B68" w:rsidRDefault="00000000">
      <w:pPr>
        <w:jc w:val="both"/>
      </w:pPr>
      <w:r>
        <w:t xml:space="preserve">La masse volumique minimale des galets est de </w:t>
      </w:r>
      <w:r>
        <w:rPr>
          <w:rStyle w:val="optioncarChar"/>
        </w:rPr>
        <w:t>1500 / 1800</w:t>
      </w:r>
      <w:r>
        <w:t xml:space="preserve"> (par défaut)</w:t>
      </w:r>
      <w:r>
        <w:rPr>
          <w:rStyle w:val="optioncarChar"/>
        </w:rPr>
        <w:t xml:space="preserve"> / ***</w:t>
      </w:r>
      <w:r>
        <w:t xml:space="preserve"> kg/m³.</w:t>
      </w:r>
    </w:p>
    <w:p w14:paraId="72816D01" w14:textId="77777777" w:rsidR="00DB2B68" w:rsidRDefault="00000000">
      <w:pPr>
        <w:jc w:val="both"/>
      </w:pPr>
      <w:r>
        <w:rPr>
          <w:b/>
        </w:rPr>
        <w:t>Plaque de parement intérieur</w:t>
      </w:r>
    </w:p>
    <w:p w14:paraId="6A3FC076" w14:textId="77777777" w:rsidR="00DB2B68" w:rsidRDefault="00000000">
      <w:pPr>
        <w:jc w:val="both"/>
      </w:pPr>
      <w:r>
        <w:t>Les faces sont constituées de </w:t>
      </w:r>
      <w:r>
        <w:rPr>
          <w:rStyle w:val="optioncarChar"/>
        </w:rPr>
        <w:t>plaques de plâtre </w:t>
      </w:r>
      <w:r>
        <w:t>(par défaut)</w:t>
      </w:r>
      <w:r>
        <w:rPr>
          <w:rStyle w:val="optioncarChar"/>
        </w:rPr>
        <w:t> / de panneaux multiplex bois / d’un panneau OSB / ***.</w:t>
      </w:r>
    </w:p>
    <w:p w14:paraId="2AC76DDF" w14:textId="77777777" w:rsidR="00DB2B68" w:rsidRDefault="00000000">
      <w:pPr>
        <w:ind w:left="567"/>
        <w:jc w:val="both"/>
      </w:pPr>
      <w:r>
        <w:rPr>
          <w:b/>
          <w:i/>
        </w:rPr>
        <w:t>(Soit par défaut)</w:t>
      </w:r>
    </w:p>
    <w:p w14:paraId="3FCED948" w14:textId="77777777" w:rsidR="00DB2B68" w:rsidRDefault="00000000">
      <w:pPr>
        <w:ind w:left="567"/>
        <w:jc w:val="both"/>
      </w:pPr>
      <w:r>
        <w:rPr>
          <w:rStyle w:val="soitChar"/>
          <w:u w:val="single"/>
        </w:rPr>
        <w:t>Plaques de plâtre</w:t>
      </w:r>
    </w:p>
    <w:p w14:paraId="7D726DC1" w14:textId="77777777" w:rsidR="00DB2B68" w:rsidRDefault="00000000">
      <w:pPr>
        <w:ind w:left="567"/>
        <w:jc w:val="both"/>
      </w:pPr>
      <w:r>
        <w:rPr>
          <w:rStyle w:val="soitChar"/>
        </w:rPr>
        <w:t>Plaques de plâtre renforcées de fibres de cellulose dans la masse.</w:t>
      </w:r>
      <w:r>
        <w:t> </w:t>
      </w:r>
    </w:p>
    <w:p w14:paraId="29E973B6" w14:textId="77777777" w:rsidR="00DB2B68" w:rsidRDefault="00000000">
      <w:pPr>
        <w:ind w:left="567"/>
        <w:jc w:val="both"/>
      </w:pPr>
      <w:r>
        <w:rPr>
          <w:rStyle w:val="soitChar"/>
        </w:rPr>
        <w:t>La masse volumique de la plaque de plâtre est  ≥ à </w:t>
      </w:r>
      <w:r>
        <w:rPr>
          <w:rStyle w:val="optioncarChar"/>
        </w:rPr>
        <w:t>1200 </w:t>
      </w:r>
      <w:r>
        <w:t>(par défaut)</w:t>
      </w:r>
      <w:r>
        <w:rPr>
          <w:rStyle w:val="optioncarChar"/>
        </w:rPr>
        <w:t>  / 1400</w:t>
      </w:r>
      <w:r>
        <w:rPr>
          <w:rStyle w:val="soitChar"/>
        </w:rPr>
        <w:t> kg/m³.</w:t>
      </w:r>
    </w:p>
    <w:p w14:paraId="7C08C47C" w14:textId="77777777" w:rsidR="00DB2B68" w:rsidRDefault="00000000">
      <w:pPr>
        <w:ind w:left="567"/>
        <w:jc w:val="both"/>
      </w:pPr>
      <w:r>
        <w:rPr>
          <w:rStyle w:val="soitChar"/>
        </w:rPr>
        <w:t>L’épaisseur des plaques est de </w:t>
      </w:r>
      <w:r>
        <w:rPr>
          <w:rStyle w:val="optioncarChar"/>
        </w:rPr>
        <w:t>12,5</w:t>
      </w:r>
      <w:r>
        <w:t>  (par défaut) </w:t>
      </w:r>
      <w:r>
        <w:rPr>
          <w:rStyle w:val="optioncarChar"/>
        </w:rPr>
        <w:t>/ 15</w:t>
      </w:r>
      <w:r>
        <w:t>  </w:t>
      </w:r>
      <w:r>
        <w:rPr>
          <w:rStyle w:val="soitChar"/>
        </w:rPr>
        <w:t>mm.</w:t>
      </w:r>
    </w:p>
    <w:p w14:paraId="7766D22A" w14:textId="77777777" w:rsidR="00DB2B68" w:rsidRDefault="00000000">
      <w:pPr>
        <w:ind w:left="567"/>
        <w:jc w:val="both"/>
      </w:pPr>
      <w:r>
        <w:rPr>
          <w:b/>
          <w:i/>
        </w:rPr>
        <w:t>(Soit)</w:t>
      </w:r>
    </w:p>
    <w:p w14:paraId="3E997EAF" w14:textId="77777777" w:rsidR="00DB2B68" w:rsidRDefault="00000000">
      <w:pPr>
        <w:ind w:left="567"/>
        <w:jc w:val="both"/>
      </w:pPr>
      <w:r>
        <w:rPr>
          <w:rStyle w:val="soitChar"/>
          <w:u w:val="single"/>
        </w:rPr>
        <w:t>Panneau multiplex bois </w:t>
      </w:r>
      <w:r>
        <w:t> </w:t>
      </w:r>
    </w:p>
    <w:p w14:paraId="219DC8EE" w14:textId="77777777" w:rsidR="00DB2B68" w:rsidRDefault="00000000">
      <w:pPr>
        <w:ind w:left="567"/>
        <w:jc w:val="both"/>
      </w:pPr>
      <w:r>
        <w:rPr>
          <w:rStyle w:val="soitChar"/>
        </w:rPr>
        <w:t>Le multiplex est en bois </w:t>
      </w:r>
      <w:r>
        <w:t> </w:t>
      </w:r>
      <w:r>
        <w:rPr>
          <w:rStyle w:val="optioncarChar"/>
        </w:rPr>
        <w:t>feuillus / résineux. </w:t>
      </w:r>
      <w:r>
        <w:t> </w:t>
      </w:r>
    </w:p>
    <w:p w14:paraId="3D3225A2" w14:textId="77777777" w:rsidR="00DB2B68" w:rsidRDefault="00000000">
      <w:pPr>
        <w:ind w:left="567"/>
        <w:jc w:val="both"/>
      </w:pPr>
      <w:r>
        <w:rPr>
          <w:rStyle w:val="soitChar"/>
        </w:rPr>
        <w:t>Les panneaux ont une épaisseur de </w:t>
      </w:r>
      <w:r>
        <w:t> </w:t>
      </w:r>
      <w:r>
        <w:rPr>
          <w:rStyle w:val="optioncarChar"/>
        </w:rPr>
        <w:t>14 / 16 </w:t>
      </w:r>
      <w:r>
        <w:t> (par défaut)  </w:t>
      </w:r>
      <w:r>
        <w:rPr>
          <w:rStyle w:val="optioncarChar"/>
        </w:rPr>
        <w:t>/ 19 / 21 / 27 / ***</w:t>
      </w:r>
      <w:r>
        <w:t>  </w:t>
      </w:r>
      <w:r>
        <w:rPr>
          <w:rStyle w:val="soitChar"/>
        </w:rPr>
        <w:t>mm.</w:t>
      </w:r>
    </w:p>
    <w:p w14:paraId="47DA8328" w14:textId="77777777" w:rsidR="00DB2B68"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24E65E10" w14:textId="77777777" w:rsidR="00DB2B68" w:rsidRDefault="00000000">
      <w:pPr>
        <w:ind w:left="567"/>
        <w:jc w:val="both"/>
      </w:pPr>
      <w:r>
        <w:rPr>
          <w:b/>
          <w:i/>
        </w:rPr>
        <w:t>(Soit)</w:t>
      </w:r>
    </w:p>
    <w:p w14:paraId="34B35F0F" w14:textId="77777777" w:rsidR="00DB2B68" w:rsidRDefault="00000000">
      <w:pPr>
        <w:ind w:left="567"/>
        <w:jc w:val="both"/>
      </w:pPr>
      <w:r>
        <w:rPr>
          <w:rStyle w:val="soitChar"/>
          <w:u w:val="single"/>
        </w:rPr>
        <w:t>Osb</w:t>
      </w:r>
    </w:p>
    <w:p w14:paraId="605294B8" w14:textId="77777777" w:rsidR="00DB2B68" w:rsidRDefault="00000000">
      <w:pPr>
        <w:ind w:left="567"/>
        <w:jc w:val="both"/>
      </w:pPr>
      <w:r>
        <w:rPr>
          <w:rStyle w:val="soitChar"/>
        </w:rPr>
        <w:t>Pour le descriptif, voir l’article </w:t>
      </w:r>
      <w:hyperlink w:anchor="597" w:history="1">
        <w:r>
          <w:rPr>
            <w:rStyle w:val="soitChar"/>
            <w:color w:val="0000EE"/>
          </w:rPr>
          <w:t>24.16.1b Panneaux OSB</w:t>
        </w:r>
      </w:hyperlink>
      <w:r>
        <w:t> </w:t>
      </w:r>
    </w:p>
    <w:p w14:paraId="5B20419D" w14:textId="77777777" w:rsidR="00DB2B68" w:rsidRDefault="00000000">
      <w:pPr>
        <w:ind w:left="567"/>
        <w:jc w:val="both"/>
      </w:pPr>
      <w:r>
        <w:rPr>
          <w:rStyle w:val="soitChar"/>
        </w:rPr>
        <w:t>Les panneaux sont </w:t>
      </w:r>
      <w:r>
        <w:rPr>
          <w:rStyle w:val="optioncarChar"/>
        </w:rPr>
        <w:t>à bord droit / rainurés languettés </w:t>
      </w:r>
      <w:r>
        <w:t>(par défaut).</w:t>
      </w:r>
    </w:p>
    <w:p w14:paraId="7F821E04" w14:textId="77777777" w:rsidR="00DB2B68" w:rsidRDefault="00000000">
      <w:pPr>
        <w:ind w:left="567"/>
        <w:jc w:val="both"/>
      </w:pPr>
      <w:r>
        <w:rPr>
          <w:rStyle w:val="soitChar"/>
        </w:rPr>
        <w:t>Les panneaux répondent à la [NBN EN 300] et à la [NBN EN 13986+A1].</w:t>
      </w:r>
    </w:p>
    <w:p w14:paraId="3DC67491" w14:textId="77777777" w:rsidR="00DB2B68" w:rsidRDefault="00000000">
      <w:pPr>
        <w:ind w:left="567"/>
        <w:jc w:val="both"/>
      </w:pPr>
      <w:r>
        <w:rPr>
          <w:b/>
          <w:i/>
        </w:rPr>
        <w:t>(Soit)</w:t>
      </w:r>
    </w:p>
    <w:p w14:paraId="0172B4EC" w14:textId="77777777" w:rsidR="00DB2B68" w:rsidRDefault="00000000">
      <w:pPr>
        <w:ind w:left="567"/>
        <w:jc w:val="both"/>
      </w:pPr>
      <w:r>
        <w:rPr>
          <w:rStyle w:val="optioncarChar"/>
        </w:rPr>
        <w:t>***</w:t>
      </w:r>
    </w:p>
    <w:p w14:paraId="289377D6" w14:textId="77777777" w:rsidR="00DB2B68" w:rsidRDefault="00000000">
      <w:pPr>
        <w:jc w:val="both"/>
      </w:pPr>
      <w:r>
        <w:t>La réaction au feu est de classe </w:t>
      </w:r>
      <w:r>
        <w:rPr>
          <w:rStyle w:val="optioncarChar"/>
        </w:rPr>
        <w:t>D-s2, d0 </w:t>
      </w:r>
      <w:r>
        <w:t>(par défaut)</w:t>
      </w:r>
      <w:r>
        <w:rPr>
          <w:rStyle w:val="optioncarChar"/>
        </w:rPr>
        <w:t> / ***.</w:t>
      </w:r>
    </w:p>
    <w:p w14:paraId="3C6905C4" w14:textId="77777777" w:rsidR="00DB2B68" w:rsidRDefault="00000000">
      <w:pPr>
        <w:pStyle w:val="pheading"/>
      </w:pPr>
      <w:r>
        <w:lastRenderedPageBreak/>
        <w:t>- Finitions</w:t>
      </w:r>
    </w:p>
    <w:p w14:paraId="240EF7F3" w14:textId="77777777" w:rsidR="00DB2B68" w:rsidRDefault="00000000">
      <w:pPr>
        <w:jc w:val="both"/>
      </w:pPr>
      <w:r>
        <w:t>La plaque de parement intérieur est peinte ou recouverte d’un enduit intérieur.</w:t>
      </w:r>
    </w:p>
    <w:p w14:paraId="6D4AE8DC" w14:textId="77777777" w:rsidR="00DB2B68" w:rsidRDefault="00000000">
      <w:pPr>
        <w:jc w:val="both"/>
      </w:pPr>
      <w:r>
        <w:t>La peinture (8 T8 Travaux de peinture / Traitements de surface) ou finition (5 T5 Fermetures / Finitions intérieures) éventuelles sont comprises dans un autre article.</w:t>
      </w:r>
    </w:p>
    <w:p w14:paraId="6DD439FA" w14:textId="77777777" w:rsidR="00DB2B68" w:rsidRDefault="00000000">
      <w:pPr>
        <w:pStyle w:val="pheading"/>
      </w:pPr>
      <w:r>
        <w:t>- Prescriptions complémentaires</w:t>
      </w:r>
    </w:p>
    <w:p w14:paraId="01C127FB" w14:textId="77777777" w:rsidR="00DB2B68" w:rsidRDefault="00000000">
      <w:pPr>
        <w:jc w:val="both"/>
      </w:pPr>
      <w:r>
        <w:rPr>
          <w:rStyle w:val="facultChar"/>
        </w:rPr>
        <w:t>La résistance au feu déclarée de la paroi</w:t>
      </w:r>
      <w:r>
        <w:t> : </w:t>
      </w:r>
      <w:r>
        <w:rPr>
          <w:rStyle w:val="optioncarChar"/>
        </w:rPr>
        <w:t>pas d’exigences </w:t>
      </w:r>
      <w:r>
        <w:t>(par défaut)</w:t>
      </w:r>
      <w:r>
        <w:rPr>
          <w:rStyle w:val="optioncarChar"/>
        </w:rPr>
        <w:t> / REI 30 / EI30 / REI 60 / EI 60 / ***.</w:t>
      </w:r>
    </w:p>
    <w:p w14:paraId="6A277AE8" w14:textId="77777777" w:rsidR="00DB2B68" w:rsidRDefault="00000000">
      <w:pPr>
        <w:jc w:val="both"/>
      </w:pPr>
      <w:r>
        <w:rPr>
          <w:rStyle w:val="facultChar"/>
        </w:rPr>
        <w:t>En matière de qualité de l’air l’élément préfabriqué répond </w:t>
      </w:r>
      <w:r>
        <w:rPr>
          <w:rStyle w:val="optioncarChar"/>
        </w:rPr>
        <w:t>à l’[AR 2014-05-08] établissant les niveaux seuils pour les émissions dans l’environnement intérieur de produits de construction pour certains usages prévus / au label EMICODE EC 1+ / au label EMICODE EC 1 </w:t>
      </w:r>
      <w:r>
        <w:t>(par défaut)</w:t>
      </w:r>
      <w:r>
        <w:rPr>
          <w:rStyle w:val="optioncarChar"/>
        </w:rPr>
        <w:t> / au label EMICODE EC 2 / ***</w:t>
      </w:r>
      <w:r>
        <w:rPr>
          <w:rStyle w:val="facultChar"/>
        </w:rPr>
        <w:t>.</w:t>
      </w:r>
    </w:p>
    <w:p w14:paraId="07A3155E" w14:textId="77777777" w:rsidR="00DB2B68" w:rsidRDefault="00000000">
      <w:pPr>
        <w:pStyle w:val="pheading"/>
      </w:pPr>
      <w:r>
        <w:t>EXÉCUTION / MISE EN ŒUVRE</w:t>
      </w:r>
    </w:p>
    <w:p w14:paraId="16775DAA" w14:textId="77777777" w:rsidR="00DB2B68" w:rsidRDefault="00000000">
      <w:pPr>
        <w:pStyle w:val="pheading"/>
      </w:pPr>
      <w:r>
        <w:t>- Prescriptions générales</w:t>
      </w:r>
    </w:p>
    <w:p w14:paraId="7C51042B" w14:textId="77777777" w:rsidR="00DB2B68" w:rsidRDefault="00000000">
      <w:pPr>
        <w:jc w:val="both"/>
      </w:pPr>
      <w:r>
        <w:t>Les sections de l’ossature préfabriquée et les modes de jonctions de ces parois font l’objet d’une validation par un bureau d’ingénieur.</w:t>
      </w:r>
    </w:p>
    <w:p w14:paraId="4B19D56A" w14:textId="77777777" w:rsidR="00DB2B68" w:rsidRDefault="00000000">
      <w:pPr>
        <w:jc w:val="both"/>
      </w:pPr>
      <w:r>
        <w:t>Tous les assemblages mécaniques structuraux sont dimensionnés selon les principes de l’Eurocode 5 [NBN EN 1995-1-1].</w:t>
      </w:r>
    </w:p>
    <w:p w14:paraId="391D1DA6" w14:textId="77777777" w:rsidR="00DB2B68" w:rsidRDefault="00000000">
      <w:pPr>
        <w:jc w:val="both"/>
      </w:pPr>
      <w:r>
        <w:t>Sauf indication contraire, tous les bâtiments ou parties de bâtiments construits en bois doivent respecter les tolérances de mise en œuvre énoncées dans la [STS 23-1].</w:t>
      </w:r>
    </w:p>
    <w:p w14:paraId="2D07307D" w14:textId="77777777" w:rsidR="00DB2B68" w:rsidRDefault="00000000">
      <w:pPr>
        <w:jc w:val="both"/>
      </w:pPr>
      <w:r>
        <w:t>Dans le cas d’un bâtiment bas (H&lt;10) en ossature bois, les tolérances de mise en œuvre listées dans la [STS 23-1] doivent aussi être respectées.</w:t>
      </w:r>
    </w:p>
    <w:p w14:paraId="07DBF452" w14:textId="77777777" w:rsidR="00DB2B68" w:rsidRDefault="00000000">
      <w:pPr>
        <w:jc w:val="both"/>
      </w:pPr>
      <w:r>
        <w:t>Les faces de la cloison sont protégées pour permettre le transport de l’élément préfabriqué.</w:t>
      </w:r>
    </w:p>
    <w:p w14:paraId="1C389727" w14:textId="77777777" w:rsidR="00DB2B68" w:rsidRDefault="00000000">
      <w:pPr>
        <w:jc w:val="both"/>
      </w:pPr>
      <w:r>
        <w:rPr>
          <w:b/>
        </w:rPr>
        <w:t>Pare-vapeur – frein vapeur</w:t>
      </w:r>
    </w:p>
    <w:p w14:paraId="420B70D6" w14:textId="77777777" w:rsidR="00DB2B68" w:rsidRDefault="00000000">
      <w:pPr>
        <w:jc w:val="both"/>
      </w:pPr>
      <w:r>
        <w:t>La continuité d’étanchéité est assurée par </w:t>
      </w:r>
      <w:r>
        <w:rPr>
          <w:rStyle w:val="optioncarChar"/>
        </w:rPr>
        <w:t>bandes adhésives </w:t>
      </w:r>
      <w:r>
        <w:t>(par défaut)</w:t>
      </w:r>
      <w:r>
        <w:rPr>
          <w:rStyle w:val="optioncarChar"/>
        </w:rPr>
        <w:t> / mousse comprimée / mastics de resserrage / préformé d’étanchéité / ***</w:t>
      </w:r>
      <w:r>
        <w:t>.</w:t>
      </w:r>
    </w:p>
    <w:p w14:paraId="4BF48806" w14:textId="77777777" w:rsidR="00DB2B68" w:rsidRDefault="00000000">
      <w:pPr>
        <w:jc w:val="both"/>
      </w:pPr>
      <w:r>
        <w:t>Pour le descriptif des bandes adhésive, voir article 32.23.1c Bandes adhésives d'étanchéité à l'air et à la vapeur en polyéthylène.</w:t>
      </w:r>
    </w:p>
    <w:p w14:paraId="7F13368D" w14:textId="77777777" w:rsidR="00DB2B68" w:rsidRDefault="00000000">
      <w:pPr>
        <w:jc w:val="both"/>
      </w:pPr>
      <w:r>
        <w:rPr>
          <w:b/>
        </w:rPr>
        <w:t>Assemblages</w:t>
      </w:r>
    </w:p>
    <w:p w14:paraId="1F20C067" w14:textId="77777777" w:rsidR="00DB2B68"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4681E897" w14:textId="77777777" w:rsidR="00DB2B68"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r>
        <w:t>.</w:t>
      </w:r>
    </w:p>
    <w:p w14:paraId="00C4B30A" w14:textId="77777777" w:rsidR="00DB2B68" w:rsidRDefault="00000000">
      <w:pPr>
        <w:jc w:val="both"/>
      </w:pPr>
      <w:r>
        <w:rPr>
          <w:b/>
        </w:rPr>
        <w:t>Fixation en pied de mur</w:t>
      </w:r>
    </w:p>
    <w:p w14:paraId="1515335E" w14:textId="77777777" w:rsidR="00DB2B68" w:rsidRDefault="00000000">
      <w:pPr>
        <w:jc w:val="both"/>
      </w:pPr>
      <w:r>
        <w:t>Le caisson est fixé </w:t>
      </w:r>
      <w:r>
        <w:rPr>
          <w:rStyle w:val="optioncarChar"/>
        </w:rPr>
        <w:t>par l’intermédiaire d’une lisse basse </w:t>
      </w:r>
      <w:r>
        <w:t>(par défaut) </w:t>
      </w:r>
      <w:r>
        <w:rPr>
          <w:rStyle w:val="optioncarChar"/>
        </w:rPr>
        <w:t>/ par dispositifs d’ancrage ponctuels sur le gros œuvre existant / ***</w:t>
      </w:r>
      <w:r>
        <w:t>.</w:t>
      </w:r>
    </w:p>
    <w:p w14:paraId="6960617B" w14:textId="77777777" w:rsidR="00DB2B68" w:rsidRDefault="00000000">
      <w:pPr>
        <w:ind w:left="567"/>
        <w:jc w:val="both"/>
      </w:pPr>
      <w:r>
        <w:rPr>
          <w:b/>
          <w:i/>
        </w:rPr>
        <w:t>(Soit par défaut)</w:t>
      </w:r>
    </w:p>
    <w:p w14:paraId="3188AA34" w14:textId="77777777" w:rsidR="00DB2B68" w:rsidRDefault="00000000">
      <w:pPr>
        <w:ind w:left="567"/>
        <w:jc w:val="both"/>
      </w:pPr>
      <w:r>
        <w:rPr>
          <w:rStyle w:val="soitChar"/>
          <w:u w:val="single"/>
        </w:rPr>
        <w:t>La lisse basse</w:t>
      </w:r>
      <w:r>
        <w:rPr>
          <w:rStyle w:val="soitChar"/>
        </w:rPr>
        <w:t> est fixée par </w:t>
      </w:r>
      <w:r>
        <w:rPr>
          <w:rStyle w:val="optioncarChar"/>
        </w:rPr>
        <w:t>cheville métallique</w:t>
      </w:r>
      <w:r>
        <w:t> (par défaut)</w:t>
      </w:r>
      <w:r>
        <w:rPr>
          <w:rStyle w:val="optioncarChar"/>
        </w:rPr>
        <w:t> / vis spécifique béton / tiges filetées et ancrages chimiques / équerres de fixation / ***.</w:t>
      </w:r>
      <w:r>
        <w:rPr>
          <w:rStyle w:val="soitChar"/>
        </w:rPr>
        <w:t> La lisse basse ou lisse de pose est décrite dans l’article </w:t>
      </w:r>
      <w:hyperlink w:anchor="592" w:history="1">
        <w:r>
          <w:rPr>
            <w:rStyle w:val="soitChar"/>
            <w:color w:val="0000EE"/>
          </w:rPr>
          <w:t>24.11.1a Lisses de pose en bois massif</w:t>
        </w:r>
      </w:hyperlink>
      <w:r>
        <w:rPr>
          <w:rStyle w:val="soitChar"/>
        </w:rPr>
        <w:t>.</w:t>
      </w:r>
    </w:p>
    <w:p w14:paraId="62F64815" w14:textId="77777777" w:rsidR="00DB2B68" w:rsidRDefault="00000000">
      <w:pPr>
        <w:ind w:left="567"/>
        <w:jc w:val="both"/>
      </w:pPr>
      <w:r>
        <w:rPr>
          <w:b/>
          <w:i/>
        </w:rPr>
        <w:t>(Soit)</w:t>
      </w:r>
    </w:p>
    <w:p w14:paraId="1D383A81" w14:textId="77777777" w:rsidR="00DB2B68" w:rsidRDefault="00000000">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 connecteurs acoustiques / plats métalliques / connecteurs de cisaillement et traction / sabots d’angles /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mm de bord du caisson. </w:t>
      </w:r>
    </w:p>
    <w:p w14:paraId="1129176C" w14:textId="77777777" w:rsidR="00DB2B68" w:rsidRDefault="00000000">
      <w:pPr>
        <w:ind w:left="567"/>
        <w:jc w:val="both"/>
      </w:pPr>
      <w:r>
        <w:rPr>
          <w:b/>
          <w:i/>
        </w:rPr>
        <w:t>(Soit)</w:t>
      </w:r>
    </w:p>
    <w:p w14:paraId="70743252" w14:textId="77777777" w:rsidR="00DB2B68" w:rsidRDefault="00000000">
      <w:pPr>
        <w:ind w:left="567"/>
        <w:jc w:val="both"/>
      </w:pPr>
      <w:r>
        <w:rPr>
          <w:rStyle w:val="optioncarChar"/>
        </w:rPr>
        <w:lastRenderedPageBreak/>
        <w:t>***</w:t>
      </w:r>
    </w:p>
    <w:p w14:paraId="34BB5473" w14:textId="77777777" w:rsidR="00DB2B68" w:rsidRDefault="00DB2B68">
      <w:pPr>
        <w:ind w:left="567"/>
        <w:jc w:val="both"/>
      </w:pPr>
    </w:p>
    <w:p w14:paraId="11A37F8B" w14:textId="77777777" w:rsidR="00DB2B68" w:rsidRDefault="00000000">
      <w:pPr>
        <w:jc w:val="both"/>
      </w:pPr>
      <w:r>
        <w:t>L’assemblage de pied de paroi est muni d’une </w:t>
      </w:r>
      <w:r>
        <w:rPr>
          <w:rStyle w:val="optioncarChar"/>
        </w:rPr>
        <w:t>bande d’arase en membrane élastomère</w:t>
      </w:r>
      <w:r>
        <w:t> (par défaut)</w:t>
      </w:r>
      <w:r>
        <w:rPr>
          <w:rStyle w:val="optioncarChar"/>
        </w:rPr>
        <w:t> / membrane bitumineuse / membrane à base butyle / membrane polypropylène / ***</w:t>
      </w:r>
      <w:r>
        <w:t>.</w:t>
      </w:r>
    </w:p>
    <w:p w14:paraId="4860C113" w14:textId="77777777" w:rsidR="00DB2B68" w:rsidRDefault="00000000">
      <w:pPr>
        <w:jc w:val="both"/>
      </w:pPr>
      <w:r>
        <w:rPr>
          <w:b/>
        </w:rPr>
        <w:t>Fixation entre caissons de même plan</w:t>
      </w:r>
    </w:p>
    <w:p w14:paraId="42DBDDFA" w14:textId="77777777" w:rsidR="00DB2B68" w:rsidRDefault="00000000">
      <w:pPr>
        <w:jc w:val="both"/>
      </w:pPr>
      <w:r>
        <w:t>L’assemblage est réalisé par</w:t>
      </w:r>
      <w:r>
        <w:rPr>
          <w:rStyle w:val="optioncarChar"/>
        </w:rPr>
        <w:t> tire-fond </w:t>
      </w:r>
      <w:r>
        <w:t>(par défaut)</w:t>
      </w:r>
      <w:r>
        <w:rPr>
          <w:rStyle w:val="optioncarChar"/>
        </w:rPr>
        <w:t> / plats métallique / profilés collaborant / ***.</w:t>
      </w:r>
    </w:p>
    <w:p w14:paraId="07DFA521" w14:textId="77777777" w:rsidR="00DB2B68" w:rsidRDefault="00000000">
      <w:pPr>
        <w:jc w:val="both"/>
      </w:pPr>
      <w:r>
        <w:rPr>
          <w:b/>
        </w:rPr>
        <w:t>Assemblage d’angles</w:t>
      </w:r>
    </w:p>
    <w:p w14:paraId="29CE8648" w14:textId="77777777" w:rsidR="00DB2B68" w:rsidRDefault="00000000">
      <w:pPr>
        <w:jc w:val="both"/>
      </w:pPr>
      <w:r>
        <w:t>L’angle entre deux caissons est assemblé </w:t>
      </w:r>
      <w:r>
        <w:rPr>
          <w:rStyle w:val="optioncarChar"/>
        </w:rPr>
        <w:t>par l’intermédiaire de vis traversantes </w:t>
      </w:r>
      <w:r>
        <w:t>(par défaut)</w:t>
      </w:r>
      <w:r>
        <w:rPr>
          <w:rStyle w:val="optioncarChar"/>
        </w:rPr>
        <w:t> / par dispositifs d’ancrage ponctuels sur le gros œuvre existant / ***</w:t>
      </w:r>
      <w:r>
        <w:t>.</w:t>
      </w:r>
    </w:p>
    <w:p w14:paraId="730240D5" w14:textId="77777777" w:rsidR="00DB2B68" w:rsidRDefault="00000000">
      <w:pPr>
        <w:ind w:left="567"/>
        <w:jc w:val="both"/>
      </w:pPr>
      <w:r>
        <w:rPr>
          <w:b/>
          <w:i/>
        </w:rPr>
        <w:t>(Soit par défaut)</w:t>
      </w:r>
    </w:p>
    <w:p w14:paraId="387E32ED" w14:textId="77777777" w:rsidR="00DB2B68" w:rsidRDefault="00000000">
      <w:pPr>
        <w:ind w:left="567"/>
        <w:jc w:val="both"/>
      </w:pPr>
      <w:r>
        <w:rPr>
          <w:rStyle w:val="soitChar"/>
          <w:u w:val="single"/>
        </w:rPr>
        <w:t>Vis traversante :</w:t>
      </w:r>
      <w:r>
        <w:rPr>
          <w:rStyle w:val="soitChar"/>
        </w:rPr>
        <w:t> La fixation de type tire-fond est appliquée sur le montant intérieur du caisson à assembler ou par fixations inclinées. Le nombre de fixations et les sections répondent au dimensionnement selon la [NBN EN 1995 série].</w:t>
      </w:r>
    </w:p>
    <w:p w14:paraId="5C747833" w14:textId="77777777" w:rsidR="00DB2B68" w:rsidRDefault="00000000">
      <w:pPr>
        <w:ind w:left="567"/>
        <w:jc w:val="both"/>
      </w:pPr>
      <w:r>
        <w:rPr>
          <w:b/>
          <w:i/>
        </w:rPr>
        <w:t>(Soit)</w:t>
      </w:r>
    </w:p>
    <w:p w14:paraId="7B342F04" w14:textId="77777777" w:rsidR="00DB2B68" w:rsidRDefault="00000000">
      <w:pPr>
        <w:ind w:left="567"/>
        <w:jc w:val="both"/>
      </w:pPr>
      <w:r>
        <w:rPr>
          <w:rStyle w:val="soitChar"/>
          <w:u w:val="single"/>
        </w:rPr>
        <w:t>Dispositifs d’ancrage ponctuels</w:t>
      </w:r>
      <w:r>
        <w:rPr>
          <w:rStyle w:val="soitChar"/>
        </w:rPr>
        <w:t> : 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distance supérieure à </w:t>
      </w:r>
      <w:r>
        <w:rPr>
          <w:rStyle w:val="optioncarChar"/>
        </w:rPr>
        <w:t>50 </w:t>
      </w:r>
      <w:r>
        <w:t>(par défaut)</w:t>
      </w:r>
      <w:r>
        <w:rPr>
          <w:rStyle w:val="optioncarChar"/>
        </w:rPr>
        <w:t> / ***</w:t>
      </w:r>
      <w:r>
        <w:rPr>
          <w:rStyle w:val="soitChar"/>
        </w:rPr>
        <w:t> mm de bord du caisson. </w:t>
      </w:r>
    </w:p>
    <w:p w14:paraId="1BFC9B46" w14:textId="77777777" w:rsidR="00DB2B68" w:rsidRDefault="00000000">
      <w:pPr>
        <w:ind w:left="567"/>
        <w:jc w:val="both"/>
      </w:pPr>
      <w:r>
        <w:rPr>
          <w:b/>
          <w:i/>
        </w:rPr>
        <w:t>(Soit)</w:t>
      </w:r>
    </w:p>
    <w:p w14:paraId="44DD98C8" w14:textId="77777777" w:rsidR="00DB2B68" w:rsidRDefault="00000000">
      <w:pPr>
        <w:ind w:left="567"/>
        <w:jc w:val="both"/>
      </w:pPr>
      <w:r>
        <w:rPr>
          <w:rStyle w:val="optioncarChar"/>
        </w:rPr>
        <w:t>***</w:t>
      </w:r>
    </w:p>
    <w:p w14:paraId="043B0E05" w14:textId="77777777" w:rsidR="00DB2B68" w:rsidRDefault="00000000">
      <w:pPr>
        <w:jc w:val="both"/>
      </w:pPr>
      <w:r>
        <w:t> </w:t>
      </w:r>
    </w:p>
    <w:p w14:paraId="689595BA" w14:textId="77777777" w:rsidR="00DB2B68" w:rsidRDefault="00000000">
      <w:pPr>
        <w:jc w:val="both"/>
      </w:pPr>
      <w:r>
        <w:t>Les fixations, pointes ou vis, des panneaux sont effectuées sur </w:t>
      </w:r>
      <w:r>
        <w:rPr>
          <w:rStyle w:val="optioncarChar"/>
        </w:rPr>
        <w:t>2/3</w:t>
      </w:r>
      <w:r>
        <w:t> (par défaut) </w:t>
      </w:r>
      <w:r>
        <w:rPr>
          <w:rStyle w:val="optioncarChar"/>
        </w:rPr>
        <w:t>/ ***</w:t>
      </w:r>
      <w:r>
        <w:t> de l’épaisseur du panneau.</w:t>
      </w:r>
    </w:p>
    <w:p w14:paraId="4D9DFE73" w14:textId="77777777" w:rsidR="00DB2B68" w:rsidRDefault="00000000">
      <w:pPr>
        <w:jc w:val="both"/>
      </w:pPr>
      <w:r>
        <w:t>Les dispositifs d’ancrage sont décrits dans les éléments du </w:t>
      </w:r>
      <w:hyperlink w:anchor="585" w:history="1">
        <w:r>
          <w:rPr>
            <w:color w:val="0000EE"/>
          </w:rPr>
          <w:t>24.4 Assemblages</w:t>
        </w:r>
      </w:hyperlink>
      <w:r>
        <w:t> mais la fourniture et la pose sont comprises dans le présent travail.</w:t>
      </w:r>
    </w:p>
    <w:p w14:paraId="4137619C" w14:textId="77777777" w:rsidR="00DB2B68" w:rsidRDefault="00DB2B68"/>
    <w:p w14:paraId="04A883BA" w14:textId="77777777" w:rsidR="00DB2B68" w:rsidRDefault="00000000">
      <w:pPr>
        <w:jc w:val="both"/>
      </w:pPr>
      <w:r>
        <w:rPr>
          <w:b/>
        </w:rPr>
        <w:t>Travaux préalables :  HVAC - Sanitaires - Electricité</w:t>
      </w:r>
    </w:p>
    <w:p w14:paraId="4FD2392E" w14:textId="77777777" w:rsidR="00DB2B68" w:rsidRDefault="0000000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4EE885E8" w14:textId="77777777" w:rsidR="00DB2B68" w:rsidRDefault="00000000">
      <w:pPr>
        <w:ind w:left="567"/>
        <w:jc w:val="both"/>
      </w:pPr>
      <w:r>
        <w:rPr>
          <w:b/>
          <w:i/>
        </w:rPr>
        <w:t>(Soit par défaut)</w:t>
      </w:r>
    </w:p>
    <w:p w14:paraId="4965FA36" w14:textId="77777777" w:rsidR="00DB2B68" w:rsidRDefault="0000000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6 T6 HVAC - sanitaires et 7 T7 Electricité et sont réalisés a posteriori.</w:t>
      </w:r>
    </w:p>
    <w:p w14:paraId="683CB6CB" w14:textId="77777777" w:rsidR="00DB2B68" w:rsidRDefault="00000000">
      <w:pPr>
        <w:ind w:left="567"/>
        <w:jc w:val="both"/>
      </w:pPr>
      <w:r>
        <w:rPr>
          <w:b/>
          <w:i/>
        </w:rPr>
        <w:t>(Soit)</w:t>
      </w:r>
    </w:p>
    <w:p w14:paraId="7C3D6707" w14:textId="77777777" w:rsidR="00DB2B68" w:rsidRDefault="00000000">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6 T6 HVAC - sanitaires et 7 T7 Electricité.  </w:t>
      </w:r>
    </w:p>
    <w:p w14:paraId="5AA67D37" w14:textId="77777777" w:rsidR="00DB2B68" w:rsidRDefault="00000000">
      <w:pPr>
        <w:pStyle w:val="pheading"/>
      </w:pPr>
      <w:r>
        <w:t>- Notes d’exécution complémentaires</w:t>
      </w:r>
    </w:p>
    <w:p w14:paraId="401E829E" w14:textId="77777777" w:rsidR="00DB2B68" w:rsidRDefault="00000000">
      <w:pPr>
        <w:jc w:val="both"/>
      </w:pPr>
      <w:r>
        <w:t>Tous les assemblages mécaniques structuraux sont dimensionnés selon les principes de l’Eurocode 5 [NBN EN 1995-1-1] et de sa partie feu [NBN EN 1995-1-2].</w:t>
      </w:r>
    </w:p>
    <w:p w14:paraId="6D85C6DB" w14:textId="77777777" w:rsidR="00DB2B68" w:rsidRDefault="00000000">
      <w:pPr>
        <w:pStyle w:val="pheading"/>
      </w:pPr>
      <w:r>
        <w:t>CONTRÔLES PARTICULIERS</w:t>
      </w:r>
    </w:p>
    <w:p w14:paraId="402AA922" w14:textId="77777777" w:rsidR="00DB2B68" w:rsidRDefault="00000000">
      <w:pPr>
        <w:jc w:val="both"/>
      </w:pPr>
      <w:r>
        <w:t>Le contrôle de la qualité du séchage d’un lot de bois scié se fait selon la [NBN EN 14298].</w:t>
      </w:r>
    </w:p>
    <w:p w14:paraId="3FA754A5" w14:textId="77777777" w:rsidR="00DB2B68" w:rsidRDefault="00000000">
      <w:pPr>
        <w:pStyle w:val="pheading"/>
      </w:pPr>
      <w:r>
        <w:lastRenderedPageBreak/>
        <w:t>DOCUMENTS DE RÉFÉRENCE COMPLÉMENTAIRES</w:t>
      </w:r>
    </w:p>
    <w:p w14:paraId="116708DF" w14:textId="77777777" w:rsidR="00DB2B68" w:rsidRDefault="00000000">
      <w:pPr>
        <w:pStyle w:val="pheading"/>
      </w:pPr>
      <w:r>
        <w:t>- Matériau</w:t>
      </w:r>
    </w:p>
    <w:p w14:paraId="38CC1F11" w14:textId="77777777" w:rsidR="00DB2B68" w:rsidRDefault="00000000">
      <w:r>
        <w:t>[NBN EN 14081 série, Structures en bois - Bois de structure à section rectangulaire classé pour sa résistance]</w:t>
      </w:r>
    </w:p>
    <w:p w14:paraId="09D090AB" w14:textId="77777777" w:rsidR="00DB2B68" w:rsidRDefault="00000000">
      <w:r>
        <w:t>[NBN EN 15497, Bois massif de structure à entures multiples - Exigences de performances et exigences minimales de fabrication]</w:t>
      </w:r>
    </w:p>
    <w:p w14:paraId="214A9A28" w14:textId="77777777" w:rsidR="00DB2B68" w:rsidRDefault="00000000">
      <w:r>
        <w:t>[NBN EN 14080, Structures en bois - Bois lamellé collé et bois massif reconstitué - Exigences]</w:t>
      </w:r>
    </w:p>
    <w:p w14:paraId="4608C68D" w14:textId="77777777" w:rsidR="00DB2B68" w:rsidRDefault="00000000">
      <w:r>
        <w:t>[NBN EN 335, Durabilité du bois et des matériaux à base de bois - Classes d'emploi: définitions, application au bois massif et aux matériaux à base de bois]</w:t>
      </w:r>
    </w:p>
    <w:p w14:paraId="59B5D6C7"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FFD7C0B" w14:textId="77777777" w:rsidR="00DB2B68" w:rsidRDefault="00000000">
      <w:r>
        <w:t>[NBN EN 13171+A1, Produits isolants thermiques pour le bâtiment - Produits manufacturés en fibres de bois (WF) - Spécification]</w:t>
      </w:r>
    </w:p>
    <w:p w14:paraId="2A8C6D1E" w14:textId="77777777" w:rsidR="00DB2B68" w:rsidRDefault="00000000">
      <w:r>
        <w:t>[NBN EN 13986+A1, Panneaux à base de bois destinés à la construction - Caractéristiques, évaluation de conformité et marquage]</w:t>
      </w:r>
    </w:p>
    <w:p w14:paraId="6842D76F" w14:textId="77777777" w:rsidR="00DB2B68" w:rsidRDefault="00000000">
      <w:r>
        <w:t>[NBN EN 12086, Produits isolants thermiques destinés aux applications du bâtiment - Détermination des propriétés de transmission de la vapeur d'eau]</w:t>
      </w:r>
    </w:p>
    <w:p w14:paraId="674FBEB9" w14:textId="77777777" w:rsidR="00DB2B68" w:rsidRDefault="00000000">
      <w:r>
        <w:t>[NBN EN 310, Panneaux à base de bois - Détermination du module d'élasticité en flexion et de la résistance à la flexion]</w:t>
      </w:r>
    </w:p>
    <w:p w14:paraId="7954B3A4" w14:textId="77777777" w:rsidR="00DB2B68" w:rsidRDefault="00000000">
      <w:r>
        <w:t>[NBN EN 312, Panneaux de particules - Exigences]</w:t>
      </w:r>
    </w:p>
    <w:p w14:paraId="417CA51F" w14:textId="77777777" w:rsidR="00DB2B68" w:rsidRDefault="00000000">
      <w:r>
        <w:t>[NBN EN 319, Panneaux de particules et panneaux de fibres - Détermination de la résistance à la traction perpendiculaire aux faces du panneau]</w:t>
      </w:r>
    </w:p>
    <w:p w14:paraId="65D76A8E" w14:textId="77777777" w:rsidR="00DB2B68" w:rsidRDefault="00000000">
      <w:r>
        <w:t>[NBN EN ISO 10456, Matériaux et produits pour le bâtiment - Propriétés hygrothermiques - Valeurs utiles tabulées et procédures pour la détermination des valeurs thermiques déclarées et utiles (ISO 10456:2007)) (+AC:2009)]</w:t>
      </w:r>
    </w:p>
    <w:p w14:paraId="141FB0B1" w14:textId="77777777" w:rsidR="00DB2B68" w:rsidRDefault="00000000">
      <w:r>
        <w:t>[NBN EN 335, Durabilité du bois et des matériaux à base de bois - Classes d'emploi: définitions, application au bois massif et aux matériaux à base de bois]</w:t>
      </w:r>
    </w:p>
    <w:p w14:paraId="1ECA2762"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4C558D1A" w14:textId="77777777" w:rsidR="00DB2B68" w:rsidRDefault="00000000">
      <w:pPr>
        <w:pStyle w:val="pheading"/>
      </w:pPr>
      <w:r>
        <w:t>- Exécution</w:t>
      </w:r>
    </w:p>
    <w:p w14:paraId="0913089F" w14:textId="77777777" w:rsidR="00DB2B68" w:rsidRDefault="00000000">
      <w:r>
        <w:t>[NBN EN 1995 série, Eurocode 5: Conception et calcul des structures en bois]</w:t>
      </w:r>
    </w:p>
    <w:p w14:paraId="3A3E7E00" w14:textId="77777777" w:rsidR="00DB2B68" w:rsidRDefault="00000000">
      <w:r>
        <w:t>[STS 31, Charpenterie]</w:t>
      </w:r>
    </w:p>
    <w:p w14:paraId="0A748F5C" w14:textId="77777777" w:rsidR="00DB2B68" w:rsidRDefault="00000000">
      <w:r>
        <w:t>[STS 23-1, Constructions en ossature bois]</w:t>
      </w:r>
    </w:p>
    <w:p w14:paraId="34AC693B" w14:textId="77777777" w:rsidR="00DB2B68" w:rsidRDefault="00000000">
      <w:r>
        <w:t>[NBN EN 14298, Bois scié - Estimation de la qualité du séchage]</w:t>
      </w:r>
    </w:p>
    <w:p w14:paraId="554DC7BC" w14:textId="77777777" w:rsidR="00DB2B68" w:rsidRDefault="00000000">
      <w:pPr>
        <w:pStyle w:val="pheading"/>
      </w:pPr>
      <w:r>
        <w:t>MESURAGE</w:t>
      </w:r>
    </w:p>
    <w:p w14:paraId="23F46631" w14:textId="77777777" w:rsidR="00DB2B68" w:rsidRDefault="00000000">
      <w:pPr>
        <w:pStyle w:val="pheading"/>
      </w:pPr>
      <w:r>
        <w:t>- unité de mesure:</w:t>
      </w:r>
    </w:p>
    <w:p w14:paraId="7201390B" w14:textId="77777777" w:rsidR="00DB2B68" w:rsidRDefault="00000000">
      <w:r>
        <w:rPr>
          <w:rStyle w:val="optioncarChar"/>
        </w:rPr>
        <w:t>m² </w:t>
      </w:r>
      <w:r>
        <w:t>(par défaut)</w:t>
      </w:r>
      <w:r>
        <w:rPr>
          <w:rStyle w:val="optioncarChar"/>
        </w:rPr>
        <w:t> / m³</w:t>
      </w:r>
    </w:p>
    <w:p w14:paraId="33F653A2" w14:textId="77777777" w:rsidR="00DB2B68" w:rsidRDefault="00000000">
      <w:r>
        <w:rPr>
          <w:b/>
          <w:i/>
        </w:rPr>
        <w:t>(Soit par défaut)</w:t>
      </w:r>
    </w:p>
    <w:p w14:paraId="0BF3326A" w14:textId="77777777" w:rsidR="00DB2B68" w:rsidRDefault="00000000">
      <w:r>
        <w:rPr>
          <w:rStyle w:val="soitChar"/>
        </w:rPr>
        <w:t>1. m²</w:t>
      </w:r>
    </w:p>
    <w:p w14:paraId="0BE1C7B4" w14:textId="77777777" w:rsidR="00DB2B68" w:rsidRDefault="00000000">
      <w:r>
        <w:rPr>
          <w:b/>
          <w:i/>
        </w:rPr>
        <w:t>(Soit)</w:t>
      </w:r>
    </w:p>
    <w:p w14:paraId="6FB70AE5" w14:textId="77777777" w:rsidR="00DB2B68" w:rsidRDefault="00000000">
      <w:r>
        <w:rPr>
          <w:rStyle w:val="soitChar"/>
        </w:rPr>
        <w:t>2. m³</w:t>
      </w:r>
    </w:p>
    <w:p w14:paraId="5C29F078" w14:textId="77777777" w:rsidR="00DB2B68" w:rsidRDefault="00000000">
      <w:pPr>
        <w:pStyle w:val="pheading"/>
      </w:pPr>
      <w:r>
        <w:lastRenderedPageBreak/>
        <w:t>- code de mesurage:</w:t>
      </w:r>
    </w:p>
    <w:p w14:paraId="4FFB2068" w14:textId="77777777" w:rsidR="00DB2B68" w:rsidRDefault="00000000">
      <w:pPr>
        <w:jc w:val="both"/>
      </w:pPr>
      <w:r>
        <w:rPr>
          <w:rStyle w:val="optioncarChar"/>
        </w:rPr>
        <w:t>Surface nette </w:t>
      </w:r>
      <w:r>
        <w:t>(par défaut)</w:t>
      </w:r>
      <w:r>
        <w:rPr>
          <w:rStyle w:val="optioncarChar"/>
        </w:rPr>
        <w:t> / Volume net</w:t>
      </w:r>
    </w:p>
    <w:p w14:paraId="70171670" w14:textId="77777777" w:rsidR="00DB2B68" w:rsidRDefault="00000000">
      <w:pPr>
        <w:jc w:val="both"/>
      </w:pPr>
      <w:r>
        <w:rPr>
          <w:b/>
          <w:i/>
        </w:rPr>
        <w:t>(Soit par défaut)</w:t>
      </w:r>
    </w:p>
    <w:p w14:paraId="40C4ACAA" w14:textId="77777777" w:rsidR="00DB2B68" w:rsidRDefault="00000000">
      <w:pPr>
        <w:jc w:val="both"/>
      </w:pPr>
      <w:r>
        <w:rPr>
          <w:rStyle w:val="soitChar"/>
        </w:rPr>
        <w:t>1. </w:t>
      </w:r>
      <w:r>
        <w:rPr>
          <w:rStyle w:val="soitChar"/>
          <w:u w:val="single"/>
        </w:rPr>
        <w:t>Surface nette</w:t>
      </w:r>
      <w:r>
        <w:rPr>
          <w:rStyle w:val="soitChar"/>
        </w:rPr>
        <w:t> : Longueur x Largeur de la paroi selon les plans. Déduction faite des vides de plus de 0.5 m².</w:t>
      </w:r>
    </w:p>
    <w:p w14:paraId="5420D7D7" w14:textId="77777777" w:rsidR="00DB2B68" w:rsidRDefault="00000000">
      <w:pPr>
        <w:jc w:val="both"/>
      </w:pPr>
      <w:r>
        <w:rPr>
          <w:b/>
          <w:i/>
        </w:rPr>
        <w:t>(Soit)</w:t>
      </w:r>
    </w:p>
    <w:p w14:paraId="0B052408" w14:textId="77777777" w:rsidR="00DB2B68" w:rsidRDefault="00000000">
      <w:pPr>
        <w:jc w:val="both"/>
      </w:pPr>
      <w:r>
        <w:rPr>
          <w:rStyle w:val="soitChar"/>
        </w:rPr>
        <w:t>2. </w:t>
      </w:r>
      <w:r>
        <w:rPr>
          <w:rStyle w:val="soitChar"/>
          <w:u w:val="single"/>
        </w:rPr>
        <w:t>Volume net</w:t>
      </w:r>
      <w:r>
        <w:rPr>
          <w:rStyle w:val="soitChar"/>
        </w:rPr>
        <w:t> : Volume net des parois selon les plans. Il n’est pas fait de déduction de volume pour les réservations, écarteurs, etc. si ce volume est inférieur à 0,05 m³.</w:t>
      </w:r>
    </w:p>
    <w:p w14:paraId="5F4400F9" w14:textId="77777777" w:rsidR="00DB2B68" w:rsidRDefault="00000000">
      <w:pPr>
        <w:pStyle w:val="pheading"/>
      </w:pPr>
      <w:r>
        <w:t>- nature du marché:</w:t>
      </w:r>
    </w:p>
    <w:p w14:paraId="4EE647E4" w14:textId="77777777" w:rsidR="00DB2B68" w:rsidRDefault="00000000">
      <w:r>
        <w:rPr>
          <w:rStyle w:val="optioncarChar"/>
        </w:rPr>
        <w:t>QF</w:t>
      </w:r>
      <w:r>
        <w:t> (par défaut)</w:t>
      </w:r>
      <w:r>
        <w:rPr>
          <w:rStyle w:val="optioncarChar"/>
        </w:rPr>
        <w:t> / QP</w:t>
      </w:r>
    </w:p>
    <w:p w14:paraId="7360E432" w14:textId="77777777" w:rsidR="00DB2B68" w:rsidRDefault="00000000">
      <w:r>
        <w:rPr>
          <w:b/>
          <w:i/>
        </w:rPr>
        <w:t>(Soit par défaut)</w:t>
      </w:r>
    </w:p>
    <w:p w14:paraId="671F415B" w14:textId="77777777" w:rsidR="00DB2B68" w:rsidRDefault="00000000">
      <w:r>
        <w:rPr>
          <w:rStyle w:val="soitChar"/>
        </w:rPr>
        <w:t>1. 2. QF</w:t>
      </w:r>
    </w:p>
    <w:p w14:paraId="351B2F2E" w14:textId="77777777" w:rsidR="00DB2B68" w:rsidRDefault="00000000">
      <w:r>
        <w:rPr>
          <w:b/>
          <w:i/>
        </w:rPr>
        <w:t>(Soit)</w:t>
      </w:r>
    </w:p>
    <w:p w14:paraId="6EEDB97F" w14:textId="77777777" w:rsidR="00DB2B68" w:rsidRDefault="00000000">
      <w:r>
        <w:rPr>
          <w:rStyle w:val="soitChar"/>
        </w:rPr>
        <w:t>1. 2. QP   </w:t>
      </w:r>
    </w:p>
    <w:p w14:paraId="30F22969" w14:textId="77777777" w:rsidR="00DB2B68" w:rsidRDefault="00000000">
      <w:pPr>
        <w:pStyle w:val="Author-eSectionHeading4Numberless"/>
      </w:pPr>
      <w:bookmarkStart w:id="1663" w:name="_Toc220496648"/>
      <w:r>
        <w:t>24.22 Planchers en bois CCTB 01.11</w:t>
      </w:r>
      <w:bookmarkEnd w:id="1663"/>
    </w:p>
    <w:p w14:paraId="552B66C0" w14:textId="77777777" w:rsidR="00DB2B68" w:rsidRDefault="00000000">
      <w:pPr>
        <w:pStyle w:val="pheading"/>
      </w:pPr>
      <w:r>
        <w:t>EXÉCUTION / MISE EN ŒUVRE</w:t>
      </w:r>
    </w:p>
    <w:p w14:paraId="7D11CA22" w14:textId="77777777" w:rsidR="00DB2B68" w:rsidRDefault="00000000">
      <w:pPr>
        <w:jc w:val="both"/>
      </w:pPr>
      <w:r>
        <w:rPr>
          <w:b/>
        </w:rPr>
        <w:t>Pare-vapeur/frein-vapeur et étanchéité à l’air</w:t>
      </w:r>
    </w:p>
    <w:p w14:paraId="2E847A41" w14:textId="77777777" w:rsidR="00DB2B68" w:rsidRDefault="00000000">
      <w:pPr>
        <w:jc w:val="both"/>
      </w:pPr>
      <w:r>
        <w:t>L’entrepreneur veille à placer une membrane d’étanchéité à l’air entre les murs de façade et les planchers, conformément à la [NIT 255], suffisamment large pour dépasser de l’épaisseur du plancher et permettre le raccordement aisé aux étanchéités à l’air des murs.</w:t>
      </w:r>
    </w:p>
    <w:p w14:paraId="2B52EBDA" w14:textId="77777777" w:rsidR="00DB2B68" w:rsidRDefault="00000000">
      <w:pPr>
        <w:jc w:val="both"/>
      </w:pPr>
      <w:r>
        <w:t>Le pare-vapeur/freine-vapeur et l’étanchéité à l’air sont décrits au titre 32.2 Etanchéisation aux matières gazeuses et articles qui en découlent, mais leur fourniture et leur pose sont comprises dans le présent travail en cas d’application. </w:t>
      </w:r>
    </w:p>
    <w:p w14:paraId="272ED4AD" w14:textId="77777777" w:rsidR="00DB2B68" w:rsidRDefault="00000000">
      <w:pPr>
        <w:jc w:val="both"/>
      </w:pPr>
      <w:r>
        <w:rPr>
          <w:b/>
        </w:rPr>
        <w:t>Préparation des techniques spéciales : HVAC - Sanitaires - Electricité</w:t>
      </w:r>
    </w:p>
    <w:p w14:paraId="4AA1B974" w14:textId="77777777" w:rsidR="00DB2B68" w:rsidRDefault="00000000">
      <w:pPr>
        <w:jc w:val="both"/>
      </w:pPr>
      <w:r>
        <w:t>Les travaux comprennent éventuellement (voir dans les articles) la préparation dans les planchers de forages, défonçage (fraisage), etc., et la pose de fourreaux d’attente nécessaires aux travaux des installations HVAC, sanitaires et électriques. L’entrepreneur veille à consulter et se coordonner avec les entrepreneurs des 6 T6 HVAC - sanitaires et 7 T7 Electricité.</w:t>
      </w:r>
    </w:p>
    <w:p w14:paraId="3954715B" w14:textId="77777777" w:rsidR="00DB2B68" w:rsidRDefault="00000000">
      <w:pPr>
        <w:pStyle w:val="pheading"/>
      </w:pPr>
      <w:r>
        <w:t>DOCUMENTS DE RÉFÉRENCE</w:t>
      </w:r>
    </w:p>
    <w:p w14:paraId="778D7E35" w14:textId="77777777" w:rsidR="00DB2B68" w:rsidRDefault="00000000">
      <w:pPr>
        <w:pStyle w:val="pheading"/>
      </w:pPr>
      <w:r>
        <w:t>- Matériau</w:t>
      </w:r>
    </w:p>
    <w:p w14:paraId="0A2FA268" w14:textId="77777777" w:rsidR="00DB2B68" w:rsidRDefault="00000000">
      <w:r>
        <w:t>[NBN EN 1991-1-4, Eurocode 1 : Actions sur les structures - Partie 1-4 : Actions générales - Actions du vent (+ AC:2010)]</w:t>
      </w:r>
    </w:p>
    <w:p w14:paraId="607619AA" w14:textId="77777777" w:rsidR="00DB2B68" w:rsidRDefault="00000000">
      <w:r>
        <w:t>[NBN EN 1991-1-4 ANB, Eurocode 1 : Actions sur les structures - Partie 1-4 : Actions générales - Actions du vent - Annexe nationale]</w:t>
      </w:r>
    </w:p>
    <w:p w14:paraId="2DC37D34" w14:textId="77777777" w:rsidR="00DB2B68" w:rsidRDefault="00000000">
      <w:r>
        <w:t>[NBN EN 1991-1-4/A1, Eurocode 1: Actions sur les structures - Partie 1-4 : Actions générales - Actions du vent]</w:t>
      </w:r>
    </w:p>
    <w:p w14:paraId="3FA703B1" w14:textId="77777777" w:rsidR="00DB2B68" w:rsidRDefault="00000000">
      <w:r>
        <w:t>[NBN B 03-003, Déformation des structures - Valeurs limites de déformation - Bâtiments]</w:t>
      </w:r>
    </w:p>
    <w:p w14:paraId="054561F0" w14:textId="77777777" w:rsidR="00DB2B68" w:rsidRDefault="00000000">
      <w:r>
        <w:t>[NBN EN 314-2, Contreplaqué - Qualité du collage - Partie 2: Exigences]</w:t>
      </w:r>
    </w:p>
    <w:p w14:paraId="51CAF659" w14:textId="77777777" w:rsidR="00DB2B68" w:rsidRDefault="00000000">
      <w:r>
        <w:t>[NBN EN ISO 12460-5, Panneaux à base de bois - Détermination du dégagement de formaldéhyde - Partie 5 : Méthode d'extraction (dite méthode au perforateur) (ISO 12460-5:2015)]</w:t>
      </w:r>
    </w:p>
    <w:p w14:paraId="72599D14" w14:textId="77777777" w:rsidR="00DB2B68" w:rsidRDefault="00000000">
      <w:r>
        <w:t>[NBN EN 310, Panneaux à base de bois - Détermination du module d'élasticité en flexion et de la résistance à la flexion]</w:t>
      </w:r>
    </w:p>
    <w:p w14:paraId="72EC05EB" w14:textId="77777777" w:rsidR="00DB2B68" w:rsidRDefault="00000000">
      <w:r>
        <w:lastRenderedPageBreak/>
        <w:t>[NBN EN 319, Panneaux de particules et panneaux de fibres - Détermination de la résistance à la traction perpendiculaire aux faces du panneau]</w:t>
      </w:r>
    </w:p>
    <w:p w14:paraId="63ABF9BC"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7989AC1" w14:textId="77777777" w:rsidR="00DB2B68" w:rsidRDefault="00000000">
      <w:r>
        <w:t>[NBN EN ISO 10456, Matériaux et produits pour le bâtiment - Propriétés hygrothermiques - Valeurs utiles tabulées et procédures pour la détermination des valeurs thermiques déclarées et utiles (ISO 10456:2007)) (+AC:2009)]</w:t>
      </w:r>
    </w:p>
    <w:p w14:paraId="1475C8D0" w14:textId="77777777" w:rsidR="00DB2B68" w:rsidRDefault="00000000">
      <w:r>
        <w:t>[NBN EN 13501-1, Classement au feu des produits et éléments de construction - Partie 1: Classement à partir des données d'essais de réaction au feu]</w:t>
      </w:r>
    </w:p>
    <w:p w14:paraId="05A5A038"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E0030DA" w14:textId="77777777" w:rsidR="00DB2B68" w:rsidRDefault="00000000">
      <w:r>
        <w:t>[AM 2013-05-17, Arrêté ministériel relatif à l’utilisation des Eurocodes comme méthodes de calcul pour l’évaluation de la résistance au feu d’éléments de construction] </w:t>
      </w:r>
    </w:p>
    <w:p w14:paraId="285EF0FD" w14:textId="77777777" w:rsidR="00DB2B68" w:rsidRDefault="00000000">
      <w:pPr>
        <w:pStyle w:val="pheading"/>
      </w:pPr>
      <w:r>
        <w:t>- Exécution</w:t>
      </w:r>
    </w:p>
    <w:p w14:paraId="5D4FF2EC" w14:textId="77777777" w:rsidR="00DB2B68" w:rsidRDefault="00000000">
      <w:r>
        <w:t>[NBN EN 1991-1-4, Eurocode 1 : Actions sur les structures - Partie 1-4 : Actions générales - Actions du vent (+ AC:2010)]</w:t>
      </w:r>
    </w:p>
    <w:p w14:paraId="5F273FD8" w14:textId="77777777" w:rsidR="00DB2B68" w:rsidRDefault="00000000">
      <w:r>
        <w:t>[NBN EN 1991-1-4 ANB, Eurocode 1 : Actions sur les structures - Partie 1-4 : Actions générales - Actions du vent - Annexe nationale]</w:t>
      </w:r>
    </w:p>
    <w:p w14:paraId="7FC921D3" w14:textId="77777777" w:rsidR="00DB2B68" w:rsidRDefault="00000000">
      <w:r>
        <w:t>[NBN EN 1991-1-4/A1, Eurocode 1: Actions sur les structures - Partie 1-4 : Actions générales - Actions du vent]</w:t>
      </w:r>
    </w:p>
    <w:p w14:paraId="62238C1E" w14:textId="77777777" w:rsidR="00DB2B68" w:rsidRDefault="00000000">
      <w:r>
        <w:t>[NBN B 03-003, Déformation des structures - Valeurs limites de déformation - Bâtiments]</w:t>
      </w:r>
    </w:p>
    <w:p w14:paraId="08C34D78" w14:textId="77777777" w:rsidR="00DB2B68" w:rsidRDefault="00000000">
      <w:r>
        <w:t>[NIT 255, L'étanchéité à l'air des bâtiments]</w:t>
      </w:r>
    </w:p>
    <w:p w14:paraId="477F9DA8" w14:textId="77777777" w:rsidR="00DB2B68" w:rsidRDefault="00000000">
      <w:r>
        <w:t>[NBN EN 14592, Structures en bois - Eléments de fixation de type tige - Exigences]</w:t>
      </w:r>
    </w:p>
    <w:p w14:paraId="05CFFE31" w14:textId="77777777" w:rsidR="00DB2B68" w:rsidRDefault="00000000">
      <w:pPr>
        <w:pStyle w:val="Author-eSectionHeading5Numberless"/>
      </w:pPr>
      <w:bookmarkStart w:id="1664" w:name="_Toc220496649"/>
      <w:r>
        <w:t>24.22.1 Planchers en bois assemblés sur place CCTB 01.07</w:t>
      </w:r>
      <w:bookmarkEnd w:id="1664"/>
    </w:p>
    <w:p w14:paraId="17574E35" w14:textId="77777777" w:rsidR="00DB2B68" w:rsidRDefault="00000000">
      <w:pPr>
        <w:pStyle w:val="Author-eSectionHeading6Numberless"/>
      </w:pPr>
      <w:bookmarkStart w:id="1665" w:name="_Toc220496650"/>
      <w:r>
        <w:t>24.22.1a Planchers ossature bois assemblés sur place CCTB 01.07</w:t>
      </w:r>
      <w:bookmarkEnd w:id="1665"/>
    </w:p>
    <w:p w14:paraId="0B6007C5" w14:textId="77777777" w:rsidR="00DB2B68" w:rsidRDefault="00000000">
      <w:pPr>
        <w:pStyle w:val="Author-eSectionHeading6Numberless"/>
      </w:pPr>
      <w:bookmarkStart w:id="1666" w:name="_Toc220496651"/>
      <w:r>
        <w:t>24.22.1b Solives revêtues d'un platelage assemblées sur place CCTB 01.07</w:t>
      </w:r>
      <w:bookmarkEnd w:id="1666"/>
    </w:p>
    <w:p w14:paraId="7E16D319" w14:textId="77777777" w:rsidR="00DB2B68" w:rsidRDefault="00000000">
      <w:pPr>
        <w:pStyle w:val="Author-eSectionHeading6Numberless"/>
      </w:pPr>
      <w:bookmarkStart w:id="1667" w:name="_Toc220496652"/>
      <w:r>
        <w:t>24.22.1c Planchers mixtes bois-béton assemblés sur place CCTB 01.11</w:t>
      </w:r>
      <w:bookmarkEnd w:id="1667"/>
    </w:p>
    <w:p w14:paraId="4CAD71AC" w14:textId="77777777" w:rsidR="00DB2B68" w:rsidRDefault="00000000">
      <w:pPr>
        <w:pStyle w:val="pheading"/>
      </w:pPr>
      <w:r>
        <w:t>DESCRIPTION</w:t>
      </w:r>
    </w:p>
    <w:p w14:paraId="34EEBC9C" w14:textId="77777777" w:rsidR="00DB2B68" w:rsidRDefault="00000000">
      <w:pPr>
        <w:pStyle w:val="pheading"/>
      </w:pPr>
      <w:r>
        <w:t>- Définition / Comprend</w:t>
      </w:r>
    </w:p>
    <w:p w14:paraId="45C68071" w14:textId="77777777" w:rsidR="00DB2B68" w:rsidRDefault="00000000">
      <w:pPr>
        <w:jc w:val="both"/>
      </w:pPr>
      <w:r>
        <w:t>Il s’agit de la fourniture et la pose de planchers porteurs intérieurs composés au minimum de poutres en bois, de connecteurs et de planchers en béton. Ces éléments participant à la stabilité et la résistance du plancher.</w:t>
      </w:r>
    </w:p>
    <w:p w14:paraId="6B3A4BBC" w14:textId="77777777" w:rsidR="00DB2B68" w:rsidRDefault="00000000">
      <w:pPr>
        <w:jc w:val="both"/>
      </w:pPr>
      <w:r>
        <w:t>Le travail comprend notamment :</w:t>
      </w:r>
    </w:p>
    <w:p w14:paraId="36785F96" w14:textId="77777777" w:rsidR="00DB2B68" w:rsidRDefault="00000000">
      <w:pPr>
        <w:pStyle w:val="Author-eListParagraph"/>
        <w:numPr>
          <w:ilvl w:val="0"/>
          <w:numId w:val="901"/>
        </w:numPr>
        <w:jc w:val="both"/>
      </w:pPr>
      <w:r>
        <w:t>La préparation et nettoyage des points d’appuis;</w:t>
      </w:r>
    </w:p>
    <w:p w14:paraId="42F7D3BC" w14:textId="77777777" w:rsidR="00DB2B68" w:rsidRDefault="00000000">
      <w:pPr>
        <w:pStyle w:val="Author-eListParagraph"/>
        <w:numPr>
          <w:ilvl w:val="0"/>
          <w:numId w:val="901"/>
        </w:numPr>
        <w:jc w:val="both"/>
      </w:pPr>
      <w:r>
        <w:t>La fabrication, la livraison et la pose des éléments porteurs en bois;</w:t>
      </w:r>
    </w:p>
    <w:p w14:paraId="3882AFC2" w14:textId="77777777" w:rsidR="00DB2B68" w:rsidRDefault="00000000">
      <w:pPr>
        <w:pStyle w:val="Author-eListParagraph"/>
        <w:numPr>
          <w:ilvl w:val="0"/>
          <w:numId w:val="901"/>
        </w:numPr>
        <w:jc w:val="both"/>
      </w:pPr>
      <w:r>
        <w:t>La fixation et l’installation des connecteurs sur les poutres en bois;</w:t>
      </w:r>
    </w:p>
    <w:p w14:paraId="089D84DD" w14:textId="77777777" w:rsidR="00DB2B68" w:rsidRDefault="00000000">
      <w:pPr>
        <w:pStyle w:val="Author-eListParagraph"/>
        <w:numPr>
          <w:ilvl w:val="0"/>
          <w:numId w:val="901"/>
        </w:numPr>
        <w:jc w:val="both"/>
      </w:pPr>
      <w:r>
        <w:t>La pose des panneaux éventuels;</w:t>
      </w:r>
    </w:p>
    <w:p w14:paraId="1DFECE88" w14:textId="77777777" w:rsidR="00DB2B68" w:rsidRDefault="00000000">
      <w:pPr>
        <w:pStyle w:val="Author-eListParagraph"/>
        <w:numPr>
          <w:ilvl w:val="0"/>
          <w:numId w:val="901"/>
        </w:numPr>
        <w:jc w:val="both"/>
      </w:pPr>
      <w:r>
        <w:t>L’étançonnement de la structure;</w:t>
      </w:r>
    </w:p>
    <w:p w14:paraId="5345EC61" w14:textId="77777777" w:rsidR="00DB2B68" w:rsidRDefault="00000000">
      <w:pPr>
        <w:pStyle w:val="Author-eListParagraph"/>
        <w:numPr>
          <w:ilvl w:val="0"/>
          <w:numId w:val="901"/>
        </w:numPr>
        <w:jc w:val="both"/>
      </w:pPr>
      <w:r>
        <w:t>Le bétonnage du plancher;</w:t>
      </w:r>
    </w:p>
    <w:p w14:paraId="3C8A2F30" w14:textId="77777777" w:rsidR="00DB2B68" w:rsidRDefault="00000000">
      <w:pPr>
        <w:pStyle w:val="Author-eListParagraph"/>
        <w:numPr>
          <w:ilvl w:val="0"/>
          <w:numId w:val="901"/>
        </w:numPr>
        <w:jc w:val="both"/>
      </w:pPr>
      <w:r>
        <w:t>La pose et le démontage de la structure provisoire nécessaire au montage;</w:t>
      </w:r>
    </w:p>
    <w:p w14:paraId="1C411823" w14:textId="77777777" w:rsidR="00DB2B68" w:rsidRDefault="00000000">
      <w:pPr>
        <w:pStyle w:val="Author-eListParagraph"/>
        <w:numPr>
          <w:ilvl w:val="0"/>
          <w:numId w:val="901"/>
        </w:numPr>
        <w:jc w:val="both"/>
      </w:pPr>
      <w:r>
        <w:t>La protection des surfaces;</w:t>
      </w:r>
    </w:p>
    <w:p w14:paraId="0847A613" w14:textId="77777777" w:rsidR="00DB2B68" w:rsidRDefault="00000000">
      <w:pPr>
        <w:pStyle w:val="Author-eListParagraph"/>
        <w:numPr>
          <w:ilvl w:val="0"/>
          <w:numId w:val="901"/>
        </w:numPr>
        <w:jc w:val="both"/>
      </w:pPr>
      <w:r>
        <w:t>Les réservations prévues sur les plans;</w:t>
      </w:r>
    </w:p>
    <w:p w14:paraId="3FBAD296" w14:textId="77777777" w:rsidR="00DB2B68" w:rsidRDefault="00000000">
      <w:pPr>
        <w:pStyle w:val="Author-eListParagraph"/>
        <w:numPr>
          <w:ilvl w:val="0"/>
          <w:numId w:val="901"/>
        </w:numPr>
        <w:jc w:val="both"/>
      </w:pPr>
      <w:r>
        <w:t>La finition des bords et travaux de réparation en cas d’endommagement;</w:t>
      </w:r>
    </w:p>
    <w:p w14:paraId="7D2D9A5B" w14:textId="77777777" w:rsidR="00DB2B68" w:rsidRDefault="00000000">
      <w:pPr>
        <w:pStyle w:val="Author-eListParagraph"/>
        <w:numPr>
          <w:ilvl w:val="0"/>
          <w:numId w:val="901"/>
        </w:numPr>
        <w:jc w:val="both"/>
      </w:pPr>
      <w:r>
        <w:lastRenderedPageBreak/>
        <w:t>Le contrôle de toutes les dimensions et l’adaptation des éléments à préfabriquer aux dimensions réelles ;</w:t>
      </w:r>
    </w:p>
    <w:p w14:paraId="59879B67" w14:textId="77777777" w:rsidR="00DB2B68" w:rsidRDefault="00000000">
      <w:pPr>
        <w:pStyle w:val="Author-eListParagraph"/>
        <w:numPr>
          <w:ilvl w:val="0"/>
          <w:numId w:val="901"/>
        </w:numPr>
        <w:jc w:val="both"/>
      </w:pPr>
      <w:r>
        <w:t>Tous les moyens de liaisonnement éventuels, aussi bien entre les éléments préfabriqués, qu’avec les éléments de support, de bord, … ;</w:t>
      </w:r>
    </w:p>
    <w:p w14:paraId="4261B27B" w14:textId="77777777" w:rsidR="00DB2B68" w:rsidRDefault="00000000">
      <w:pPr>
        <w:pStyle w:val="Author-eListParagraph"/>
        <w:numPr>
          <w:ilvl w:val="0"/>
          <w:numId w:val="901"/>
        </w:numPr>
        <w:jc w:val="both"/>
      </w:pPr>
      <w:r>
        <w:t>L’enlèvement de tous les accessoires, éléments de coffrage, supports, étais et le nettoyage des faces visibles.</w:t>
      </w:r>
    </w:p>
    <w:p w14:paraId="39090063" w14:textId="77777777" w:rsidR="00DB2B68" w:rsidRDefault="00000000">
      <w:pPr>
        <w:pStyle w:val="pheading"/>
      </w:pPr>
      <w:r>
        <w:t>- Localisation</w:t>
      </w:r>
    </w:p>
    <w:p w14:paraId="2960986E" w14:textId="77777777" w:rsidR="00DB2B68" w:rsidRDefault="00000000">
      <w:r>
        <w:t xml:space="preserve">Localisation des travaux : </w:t>
      </w:r>
      <w:r>
        <w:rPr>
          <w:rStyle w:val="optioncarChar"/>
        </w:rPr>
        <w:t>***</w:t>
      </w:r>
      <w:r>
        <w:t>.</w:t>
      </w:r>
    </w:p>
    <w:p w14:paraId="79C46BDB" w14:textId="77777777" w:rsidR="00DB2B68" w:rsidRDefault="00000000">
      <w:r>
        <w:t>Voir plans et métrés détaillés.</w:t>
      </w:r>
    </w:p>
    <w:p w14:paraId="7F6A9DBA" w14:textId="77777777" w:rsidR="00DB2B68" w:rsidRDefault="00000000">
      <w:pPr>
        <w:pStyle w:val="pheading"/>
      </w:pPr>
      <w:r>
        <w:t>MATÉRIAUX</w:t>
      </w:r>
    </w:p>
    <w:p w14:paraId="3831DB70" w14:textId="77777777" w:rsidR="00DB2B68" w:rsidRDefault="00000000">
      <w:pPr>
        <w:pStyle w:val="pheading"/>
      </w:pPr>
      <w:r>
        <w:t>- Caractéristiques générales</w:t>
      </w:r>
    </w:p>
    <w:p w14:paraId="6BBC1CB2" w14:textId="77777777" w:rsidR="00DB2B68" w:rsidRDefault="00000000">
      <w:pPr>
        <w:jc w:val="both"/>
      </w:pPr>
      <w:r>
        <w:t>L’ensemble est un complexe réalisé en usine ou en atelier et comprend les éléments suivants:</w:t>
      </w:r>
    </w:p>
    <w:p w14:paraId="2AA5BDAB" w14:textId="77777777" w:rsidR="00DB2B68" w:rsidRDefault="00000000">
      <w:pPr>
        <w:jc w:val="both"/>
      </w:pPr>
      <w:r>
        <w:rPr>
          <w:b/>
        </w:rPr>
        <w:t>Poutre en bois</w:t>
      </w:r>
    </w:p>
    <w:p w14:paraId="336A1D44" w14:textId="77777777" w:rsidR="00DB2B68" w:rsidRDefault="00000000">
      <w:pPr>
        <w:jc w:val="both"/>
      </w:pPr>
      <w:r>
        <w:t xml:space="preserve">Les poutres porteuses de structure sont constituées de </w:t>
      </w:r>
      <w:r>
        <w:rPr>
          <w:rStyle w:val="optioncarChar"/>
        </w:rPr>
        <w:t xml:space="preserve">bois massif </w:t>
      </w:r>
      <w:r>
        <w:t>(par défaut) </w:t>
      </w:r>
      <w:r>
        <w:rPr>
          <w:rStyle w:val="optioncarChar"/>
        </w:rPr>
        <w:t>/ bois abouté / lamellé-collé /  LVL / ***</w:t>
      </w:r>
      <w:r>
        <w:t xml:space="preserve"> de </w:t>
      </w:r>
      <w:r>
        <w:rPr>
          <w:rStyle w:val="optioncarChar"/>
        </w:rPr>
        <w:t xml:space="preserve">55 / 65 / 80 </w:t>
      </w:r>
      <w:r>
        <w:t>(par défaut)</w:t>
      </w:r>
      <w:r>
        <w:rPr>
          <w:rStyle w:val="optioncarChar"/>
        </w:rPr>
        <w:t xml:space="preserve"> / ***</w:t>
      </w:r>
      <w:r>
        <w:t xml:space="preserve"> mm x </w:t>
      </w:r>
      <w:r>
        <w:rPr>
          <w:rStyle w:val="optioncarChar"/>
        </w:rPr>
        <w:t xml:space="preserve">170 </w:t>
      </w:r>
      <w:r>
        <w:t>(par défaut)</w:t>
      </w:r>
      <w:r>
        <w:rPr>
          <w:rStyle w:val="optioncarChar"/>
        </w:rPr>
        <w:t xml:space="preserve"> /  ***</w:t>
      </w:r>
      <w:r>
        <w:t xml:space="preserve"> mm ayant une classe de résistance minimum </w:t>
      </w:r>
      <w:r>
        <w:rPr>
          <w:rStyle w:val="optioncarChar"/>
        </w:rPr>
        <w:t xml:space="preserve">C18 </w:t>
      </w:r>
      <w:r>
        <w:t>(par défaut)</w:t>
      </w:r>
      <w:r>
        <w:rPr>
          <w:rStyle w:val="optioncarChar"/>
        </w:rPr>
        <w:t xml:space="preserve"> / C24 / ***</w:t>
      </w:r>
      <w:r>
        <w:t xml:space="preserve"> ou équivalente.</w:t>
      </w:r>
    </w:p>
    <w:p w14:paraId="08F192DF" w14:textId="77777777" w:rsidR="00DB2B68" w:rsidRDefault="00000000">
      <w:pPr>
        <w:jc w:val="both"/>
      </w:pPr>
      <w:r>
        <w:t>Le bois massif répond aux spécifications de la [NBN EN 14081 série].</w:t>
      </w:r>
    </w:p>
    <w:p w14:paraId="369C2E55" w14:textId="77777777" w:rsidR="00DB2B68" w:rsidRDefault="00000000">
      <w:pPr>
        <w:jc w:val="both"/>
      </w:pPr>
      <w:r>
        <w:t>Les bois massifs peuvent être aboutés. Les pièces constitutives du produit fini doivent être classées selon la [NBN EN 14081 série] et les produits finis doivent être marqués selon la [NBN EN 15497].</w:t>
      </w:r>
    </w:p>
    <w:p w14:paraId="20AA4AFF" w14:textId="77777777" w:rsidR="00DB2B68" w:rsidRDefault="00000000">
      <w:pPr>
        <w:jc w:val="both"/>
      </w:pPr>
      <w:r>
        <w:t>Les bois lamellé-collé doit répondre à la [NBN EN 14080].</w:t>
      </w:r>
    </w:p>
    <w:p w14:paraId="400BE37E" w14:textId="77777777" w:rsidR="00DB2B68" w:rsidRDefault="00000000">
      <w:pPr>
        <w:jc w:val="both"/>
      </w:pPr>
      <w:r>
        <w:t xml:space="preserve">La classe d’emploi d’un élément est déterminée suivant la [NBN EN 335] : </w:t>
      </w:r>
      <w:r>
        <w:rPr>
          <w:rStyle w:val="optioncarChar"/>
        </w:rPr>
        <w:t xml:space="preserve">classe 1 / classe 2 </w:t>
      </w:r>
      <w:r>
        <w:t xml:space="preserve">(par défaut) </w:t>
      </w:r>
      <w:r>
        <w:rPr>
          <w:rStyle w:val="optioncarChar"/>
        </w:rPr>
        <w:t>/ classe 3</w:t>
      </w:r>
      <w:r>
        <w:t>.</w:t>
      </w:r>
    </w:p>
    <w:p w14:paraId="23231DDC" w14:textId="77777777" w:rsidR="00DB2B68" w:rsidRDefault="00000000">
      <w:pPr>
        <w:jc w:val="both"/>
      </w:pPr>
      <w:r>
        <w:rPr>
          <w:noProof/>
        </w:rPr>
        <w:drawing>
          <wp:inline distT="0" distB="0" distL="0" distR="0" wp14:anchorId="14E74B6E" wp14:editId="084574A9">
            <wp:extent cx="5715000" cy="2571750"/>
            <wp:effectExtent l="0" t="0" r="0" b="0"/>
            <wp:docPr id="8" name="24.22.1c CCTB 01.09 GT Bois.png" descr="24.22.1c CCTB 01.09 GT B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336" descr=" "/>
                    <pic:cNvPicPr>
                      <a:picLocks noChangeAspect="1" noChangeArrowheads="1"/>
                    </pic:cNvPicPr>
                  </pic:nvPicPr>
                  <pic:blipFill>
                    <a:blip r:embed="rId21"/>
                    <a:srcRect/>
                    <a:stretch>
                      <a:fillRect/>
                    </a:stretch>
                  </pic:blipFill>
                  <pic:spPr bwMode="auto">
                    <a:xfrm>
                      <a:off x="0" y="0"/>
                      <a:ext cx="5715000" cy="2571750"/>
                    </a:xfrm>
                    <a:prstGeom prst="rect">
                      <a:avLst/>
                    </a:prstGeom>
                  </pic:spPr>
                </pic:pic>
              </a:graphicData>
            </a:graphic>
          </wp:inline>
        </w:drawing>
      </w:r>
    </w:p>
    <w:p w14:paraId="153D4688" w14:textId="77777777" w:rsidR="00DB2B68" w:rsidRDefault="00000000">
      <w:pPr>
        <w:jc w:val="both"/>
      </w:pPr>
      <w:r>
        <w:t>La structure correspond en tout point au titre </w:t>
      </w:r>
      <w:hyperlink w:anchor="594" w:history="1">
        <w:r>
          <w:rPr>
            <w:color w:val="0000EE"/>
          </w:rPr>
          <w:t>24.1 Eléments de structures en bois</w:t>
        </w:r>
      </w:hyperlink>
      <w:r>
        <w:t xml:space="preserve"> et au sous-titre </w:t>
      </w:r>
      <w:hyperlink w:anchor="595" w:history="1">
        <w:r>
          <w:rPr>
            <w:color w:val="0000EE"/>
          </w:rPr>
          <w:t>24.42 Assemblages mécaniques</w:t>
        </w:r>
      </w:hyperlink>
      <w:r>
        <w:t>. </w:t>
      </w:r>
    </w:p>
    <w:p w14:paraId="6AC79F6D" w14:textId="77777777" w:rsidR="00DB2B68" w:rsidRDefault="00000000">
      <w:pPr>
        <w:jc w:val="both"/>
      </w:pPr>
      <w:r>
        <w:rPr>
          <w:b/>
        </w:rPr>
        <w:t>Panneaux de coffrage</w:t>
      </w:r>
    </w:p>
    <w:p w14:paraId="073C1881" w14:textId="77777777" w:rsidR="00DB2B68" w:rsidRDefault="00000000">
      <w:pPr>
        <w:jc w:val="both"/>
      </w:pPr>
      <w:r>
        <w:t xml:space="preserve">Les panneaux de coffrage sont </w:t>
      </w:r>
      <w:r>
        <w:rPr>
          <w:rStyle w:val="optioncarChar"/>
        </w:rPr>
        <w:t>non collaborant</w:t>
      </w:r>
      <w:r>
        <w:t xml:space="preserve"> (par défaut) </w:t>
      </w:r>
      <w:r>
        <w:rPr>
          <w:rStyle w:val="optioncarChar"/>
        </w:rPr>
        <w:t>/ collaborant / amovibles / ***.</w:t>
      </w:r>
    </w:p>
    <w:p w14:paraId="2784C2BD" w14:textId="77777777" w:rsidR="00DB2B68" w:rsidRDefault="00000000">
      <w:pPr>
        <w:jc w:val="both"/>
      </w:pPr>
      <w:r>
        <w:t xml:space="preserve">Les panneaux sont </w:t>
      </w:r>
      <w:r>
        <w:rPr>
          <w:rStyle w:val="optioncarChar"/>
        </w:rPr>
        <w:t xml:space="preserve">vissés </w:t>
      </w:r>
      <w:r>
        <w:t>(par défaut)</w:t>
      </w:r>
      <w:r>
        <w:rPr>
          <w:rStyle w:val="optioncarChar"/>
        </w:rPr>
        <w:t xml:space="preserve"> cloués / collés / ***.</w:t>
      </w:r>
    </w:p>
    <w:p w14:paraId="2B2F9724" w14:textId="77777777" w:rsidR="00DB2B68" w:rsidRDefault="00000000">
      <w:pPr>
        <w:jc w:val="both"/>
      </w:pPr>
      <w:r>
        <w:t xml:space="preserve">Les panneaux sont constitués de panneaux </w:t>
      </w:r>
      <w:r>
        <w:rPr>
          <w:rStyle w:val="optioncarChar"/>
        </w:rPr>
        <w:t xml:space="preserve">OSB </w:t>
      </w:r>
      <w:r>
        <w:t>(par défaut)</w:t>
      </w:r>
      <w:r>
        <w:rPr>
          <w:rStyle w:val="optioncarChar"/>
        </w:rPr>
        <w:t xml:space="preserve"> / mutiplex bois / CLT / ***.</w:t>
      </w:r>
    </w:p>
    <w:p w14:paraId="5BC608AF" w14:textId="77777777" w:rsidR="00DB2B68" w:rsidRDefault="00000000">
      <w:pPr>
        <w:ind w:left="567"/>
        <w:jc w:val="both"/>
      </w:pPr>
      <w:r>
        <w:rPr>
          <w:b/>
          <w:i/>
        </w:rPr>
        <w:t>(Soit par défaut)</w:t>
      </w:r>
    </w:p>
    <w:p w14:paraId="5747FBC9" w14:textId="77777777" w:rsidR="00DB2B68" w:rsidRDefault="00000000">
      <w:pPr>
        <w:ind w:left="567"/>
        <w:jc w:val="both"/>
      </w:pPr>
      <w:r>
        <w:rPr>
          <w:rStyle w:val="soitChar"/>
          <w:u w:val="single"/>
        </w:rPr>
        <w:t>Osb</w:t>
      </w:r>
    </w:p>
    <w:p w14:paraId="7F934288" w14:textId="77777777" w:rsidR="00DB2B68" w:rsidRDefault="00000000">
      <w:pPr>
        <w:ind w:left="567"/>
        <w:jc w:val="both"/>
      </w:pPr>
      <w:r>
        <w:rPr>
          <w:rStyle w:val="soitChar"/>
        </w:rPr>
        <w:lastRenderedPageBreak/>
        <w:t xml:space="preserve">Pour le descriptif, voir l’article </w:t>
      </w:r>
      <w:hyperlink w:anchor="597" w:history="1">
        <w:r>
          <w:rPr>
            <w:rStyle w:val="soitChar"/>
            <w:color w:val="0000EE"/>
          </w:rPr>
          <w:t>24.16.1b Panneaux OSB</w:t>
        </w:r>
      </w:hyperlink>
      <w:r>
        <w:rPr>
          <w:rStyle w:val="soitChar"/>
        </w:rPr>
        <w:t>.</w:t>
      </w:r>
    </w:p>
    <w:p w14:paraId="4F6C468E" w14:textId="77777777" w:rsidR="00DB2B68" w:rsidRDefault="00000000">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mm.</w:t>
      </w:r>
    </w:p>
    <w:p w14:paraId="07DB85D7" w14:textId="77777777" w:rsidR="00DB2B68" w:rsidRDefault="00000000">
      <w:pPr>
        <w:ind w:left="567"/>
        <w:jc w:val="both"/>
      </w:pPr>
      <w:r>
        <w:rPr>
          <w:rStyle w:val="soitChar"/>
        </w:rPr>
        <w:t xml:space="preserve">Les panneaux sont de type </w:t>
      </w:r>
      <w:r>
        <w:rPr>
          <w:rStyle w:val="optioncarChar"/>
        </w:rPr>
        <w:t>2 / 3</w:t>
      </w:r>
      <w:r>
        <w:t xml:space="preserve"> (par défaut)</w:t>
      </w:r>
      <w:r>
        <w:rPr>
          <w:rStyle w:val="optioncarChar"/>
        </w:rPr>
        <w:t xml:space="preserve"> / 4</w:t>
      </w:r>
      <w:r>
        <w:rPr>
          <w:rStyle w:val="soitChar"/>
        </w:rPr>
        <w:t>.</w:t>
      </w:r>
    </w:p>
    <w:p w14:paraId="0BAA2AD4" w14:textId="77777777" w:rsidR="00DB2B68" w:rsidRDefault="00000000">
      <w:pPr>
        <w:ind w:left="567"/>
        <w:jc w:val="both"/>
      </w:pPr>
      <w:r>
        <w:rPr>
          <w:rStyle w:val="soitChar"/>
        </w:rPr>
        <w:t xml:space="preserve">Les panneaux sont </w:t>
      </w:r>
      <w:r>
        <w:rPr>
          <w:rStyle w:val="optioncarChar"/>
        </w:rPr>
        <w:t>à bord droit / rainurés languettés </w:t>
      </w:r>
      <w:r>
        <w:t xml:space="preserve">(par défaut). </w:t>
      </w:r>
    </w:p>
    <w:p w14:paraId="1A39B074" w14:textId="77777777" w:rsidR="00DB2B68" w:rsidRDefault="00000000">
      <w:pPr>
        <w:ind w:left="567"/>
        <w:jc w:val="both"/>
      </w:pPr>
      <w:r>
        <w:rPr>
          <w:rStyle w:val="soitChar"/>
        </w:rPr>
        <w:t>Les panneaux répondent à la [NBN EN 300] et à la [NBN EN 13986+A1].</w:t>
      </w:r>
    </w:p>
    <w:p w14:paraId="323316C7" w14:textId="77777777" w:rsidR="00DB2B68" w:rsidRDefault="00000000">
      <w:pPr>
        <w:ind w:left="567"/>
        <w:jc w:val="both"/>
      </w:pPr>
      <w:r>
        <w:rPr>
          <w:b/>
          <w:i/>
        </w:rPr>
        <w:t>(Soit)</w:t>
      </w:r>
    </w:p>
    <w:p w14:paraId="6CFD9274" w14:textId="77777777" w:rsidR="00DB2B68" w:rsidRDefault="00000000">
      <w:pPr>
        <w:ind w:left="567"/>
        <w:jc w:val="both"/>
      </w:pPr>
      <w:r>
        <w:rPr>
          <w:rStyle w:val="soitChar"/>
          <w:u w:val="single"/>
        </w:rPr>
        <w:t>Multiplex bois</w:t>
      </w:r>
    </w:p>
    <w:p w14:paraId="56E854E4" w14:textId="77777777" w:rsidR="00DB2B68" w:rsidRDefault="00000000">
      <w:pPr>
        <w:ind w:left="567"/>
        <w:jc w:val="both"/>
      </w:pPr>
      <w:r>
        <w:rPr>
          <w:rStyle w:val="soitChar"/>
        </w:rPr>
        <w:t xml:space="preserve">Pour le descriptif, voir l’article </w:t>
      </w:r>
      <w:hyperlink w:anchor="598" w:history="1">
        <w:r>
          <w:rPr>
            <w:rStyle w:val="soitChar"/>
            <w:color w:val="0000EE"/>
          </w:rPr>
          <w:t>24.16.1a Panneaux contreplaqués (PW)</w:t>
        </w:r>
      </w:hyperlink>
      <w:r>
        <w:rPr>
          <w:rStyle w:val="soitChar"/>
        </w:rPr>
        <w:t>.</w:t>
      </w:r>
    </w:p>
    <w:p w14:paraId="2A0D8645" w14:textId="77777777" w:rsidR="00DB2B68" w:rsidRDefault="00000000">
      <w:pPr>
        <w:ind w:left="567"/>
        <w:jc w:val="both"/>
      </w:pPr>
      <w:r>
        <w:rPr>
          <w:rStyle w:val="soitChar"/>
        </w:rPr>
        <w:t xml:space="preserve">Le multiplex est en bois </w:t>
      </w:r>
      <w:r>
        <w:rPr>
          <w:rStyle w:val="optioncarChar"/>
        </w:rPr>
        <w:t xml:space="preserve">feuillus / résineux. </w:t>
      </w:r>
    </w:p>
    <w:p w14:paraId="63E4DDEE" w14:textId="77777777" w:rsidR="00DB2B68" w:rsidRDefault="00000000">
      <w:pPr>
        <w:ind w:left="567"/>
        <w:jc w:val="both"/>
      </w:pPr>
      <w:r>
        <w:rPr>
          <w:rStyle w:val="soitChar"/>
        </w:rPr>
        <w:t xml:space="preserve">Les panneaux ont une épaisseur de </w:t>
      </w:r>
      <w:r>
        <w:rPr>
          <w:rStyle w:val="optioncarChar"/>
        </w:rPr>
        <w:t xml:space="preserve">14 / 16 </w:t>
      </w:r>
      <w:r>
        <w:t xml:space="preserve">(par défaut) </w:t>
      </w:r>
      <w:r>
        <w:rPr>
          <w:rStyle w:val="optioncarChar"/>
        </w:rPr>
        <w:t>/ 19 / 21 / 27 / ***</w:t>
      </w:r>
      <w:r>
        <w:rPr>
          <w:rStyle w:val="soitChar"/>
        </w:rPr>
        <w:t xml:space="preserve"> mm</w:t>
      </w:r>
    </w:p>
    <w:p w14:paraId="5E22DDA2" w14:textId="77777777" w:rsidR="00DB2B68" w:rsidRDefault="00000000">
      <w:pPr>
        <w:ind w:left="567"/>
        <w:jc w:val="both"/>
      </w:pPr>
      <w:r>
        <w:rPr>
          <w:rStyle w:val="soitChar"/>
        </w:rPr>
        <w:t xml:space="preserve">Les panneaux sont à </w:t>
      </w:r>
      <w:r>
        <w:rPr>
          <w:rStyle w:val="optioncarChar"/>
        </w:rPr>
        <w:t xml:space="preserve">bord droit / rainurés languettés </w:t>
      </w:r>
      <w:r>
        <w:t>(par défaut).</w:t>
      </w:r>
    </w:p>
    <w:p w14:paraId="7A9D7873" w14:textId="77777777" w:rsidR="00DB2B68" w:rsidRDefault="00000000">
      <w:pPr>
        <w:ind w:left="567"/>
        <w:jc w:val="both"/>
      </w:pPr>
      <w:r>
        <w:rPr>
          <w:b/>
          <w:i/>
        </w:rPr>
        <w:t>(Soit)</w:t>
      </w:r>
    </w:p>
    <w:p w14:paraId="0622C380" w14:textId="77777777" w:rsidR="00DB2B68" w:rsidRDefault="00000000">
      <w:pPr>
        <w:ind w:left="567"/>
        <w:jc w:val="both"/>
      </w:pPr>
      <w:r>
        <w:rPr>
          <w:rStyle w:val="soitChar"/>
          <w:u w:val="single"/>
        </w:rPr>
        <w:t>CLT</w:t>
      </w:r>
    </w:p>
    <w:p w14:paraId="7EB2B261" w14:textId="77777777" w:rsidR="00DB2B68" w:rsidRDefault="00000000">
      <w:pPr>
        <w:ind w:left="567"/>
        <w:jc w:val="both"/>
      </w:pPr>
      <w:r>
        <w:rPr>
          <w:rStyle w:val="soitChar"/>
        </w:rPr>
        <w:t>Les panneaux répondent à la [NBN EN 16351].</w:t>
      </w:r>
    </w:p>
    <w:p w14:paraId="28722BE0" w14:textId="77777777" w:rsidR="00DB2B68" w:rsidRDefault="00000000">
      <w:pPr>
        <w:ind w:left="567"/>
        <w:jc w:val="both"/>
      </w:pPr>
      <w:r>
        <w:rPr>
          <w:rStyle w:val="soitChar"/>
        </w:rPr>
        <w:t xml:space="preserve">Les panneaux ont une épaisseur de </w:t>
      </w:r>
      <w:r>
        <w:rPr>
          <w:rStyle w:val="optioncarChar"/>
        </w:rPr>
        <w:t xml:space="preserve">60 </w:t>
      </w:r>
      <w:r>
        <w:t xml:space="preserve">(par défaut) </w:t>
      </w:r>
      <w:r>
        <w:rPr>
          <w:rStyle w:val="optioncarChar"/>
        </w:rPr>
        <w:t>/ ***</w:t>
      </w:r>
      <w:r>
        <w:rPr>
          <w:rStyle w:val="soitChar"/>
        </w:rPr>
        <w:t xml:space="preserve"> mm.</w:t>
      </w:r>
    </w:p>
    <w:p w14:paraId="3F09F4EF" w14:textId="77777777" w:rsidR="00DB2B68" w:rsidRDefault="00000000">
      <w:pPr>
        <w:ind w:left="567"/>
        <w:jc w:val="both"/>
      </w:pPr>
      <w:r>
        <w:rPr>
          <w:rStyle w:val="soitChar"/>
        </w:rPr>
        <w:t xml:space="preserve">Les panneaux sont de qualité </w:t>
      </w:r>
      <w:r>
        <w:rPr>
          <w:rStyle w:val="optioncarChar"/>
        </w:rPr>
        <w:t>non visible</w:t>
      </w:r>
      <w:r>
        <w:t xml:space="preserve"> (par défaut) </w:t>
      </w:r>
      <w:r>
        <w:rPr>
          <w:rStyle w:val="optioncarChar"/>
        </w:rPr>
        <w:t>/ visible industrielle / visible habitat.</w:t>
      </w:r>
    </w:p>
    <w:p w14:paraId="7C065661" w14:textId="77777777" w:rsidR="00DB2B68" w:rsidRDefault="00000000">
      <w:pPr>
        <w:ind w:left="567"/>
        <w:jc w:val="both"/>
      </w:pPr>
      <w:r>
        <w:rPr>
          <w:b/>
          <w:i/>
        </w:rPr>
        <w:t>(Soit)</w:t>
      </w:r>
    </w:p>
    <w:p w14:paraId="1A2CB41D" w14:textId="77777777" w:rsidR="00DB2B68" w:rsidRDefault="00000000">
      <w:pPr>
        <w:ind w:left="567"/>
        <w:jc w:val="both"/>
      </w:pPr>
      <w:r>
        <w:rPr>
          <w:rStyle w:val="optioncarChar"/>
        </w:rPr>
        <w:t>***</w:t>
      </w:r>
    </w:p>
    <w:p w14:paraId="40066D2A" w14:textId="77777777" w:rsidR="00DB2B68" w:rsidRDefault="00000000">
      <w:pPr>
        <w:jc w:val="both"/>
      </w:pPr>
      <w:r>
        <w:rPr>
          <w:b/>
        </w:rPr>
        <w:t>Les connecteurs</w:t>
      </w:r>
    </w:p>
    <w:p w14:paraId="5196B9AD" w14:textId="77777777" w:rsidR="00DB2B68" w:rsidRDefault="00000000">
      <w:pPr>
        <w:jc w:val="both"/>
      </w:pPr>
      <w:r>
        <w:t xml:space="preserve">Les connecteurs sont composés de </w:t>
      </w:r>
      <w:r>
        <w:rPr>
          <w:rStyle w:val="optioncarChar"/>
        </w:rPr>
        <w:t xml:space="preserve">tire-fond </w:t>
      </w:r>
      <w:r>
        <w:t>(par défaut)</w:t>
      </w:r>
      <w:r>
        <w:rPr>
          <w:rStyle w:val="optioncarChar"/>
        </w:rPr>
        <w:t xml:space="preserve"> / armature acier amovibles / crampons / ***</w:t>
      </w:r>
      <w:r>
        <w:t>.</w:t>
      </w:r>
    </w:p>
    <w:p w14:paraId="1E5DFE63" w14:textId="77777777" w:rsidR="00DB2B68" w:rsidRDefault="00000000">
      <w:pPr>
        <w:jc w:val="both"/>
      </w:pPr>
      <w:r>
        <w:t xml:space="preserve">Le diamètre des sections des connecteurs est de </w:t>
      </w:r>
      <w:r>
        <w:rPr>
          <w:rStyle w:val="optioncarChar"/>
        </w:rPr>
        <w:t>10</w:t>
      </w:r>
      <w:r>
        <w:t xml:space="preserve"> (par défaut)</w:t>
      </w:r>
      <w:r>
        <w:rPr>
          <w:rStyle w:val="optioncarChar"/>
        </w:rPr>
        <w:t xml:space="preserve"> 12 / ***</w:t>
      </w:r>
      <w:r>
        <w:t xml:space="preserve"> mm. </w:t>
      </w:r>
    </w:p>
    <w:p w14:paraId="16F4DBF5" w14:textId="77777777" w:rsidR="00DB2B68" w:rsidRDefault="00000000">
      <w:pPr>
        <w:jc w:val="both"/>
      </w:pPr>
      <w:r>
        <w:rPr>
          <w:b/>
        </w:rPr>
        <w:t>Le béton</w:t>
      </w:r>
    </w:p>
    <w:p w14:paraId="4AA6FE20" w14:textId="77777777" w:rsidR="00DB2B68" w:rsidRDefault="00000000">
      <w:pPr>
        <w:jc w:val="both"/>
      </w:pPr>
      <w:r>
        <w:t xml:space="preserve">Le béton a une épaisseur de </w:t>
      </w:r>
      <w:r>
        <w:rPr>
          <w:rStyle w:val="optioncarChar"/>
        </w:rPr>
        <w:t xml:space="preserve">40 </w:t>
      </w:r>
      <w:r>
        <w:t xml:space="preserve">(par défaut) </w:t>
      </w:r>
      <w:r>
        <w:rPr>
          <w:rStyle w:val="optioncarChar"/>
        </w:rPr>
        <w:t>/ 60 / ***</w:t>
      </w:r>
      <w:r>
        <w:t xml:space="preserve"> mm.</w:t>
      </w:r>
    </w:p>
    <w:p w14:paraId="036FED57" w14:textId="77777777" w:rsidR="00DB2B68" w:rsidRDefault="00000000">
      <w:pPr>
        <w:jc w:val="both"/>
      </w:pPr>
      <w:r>
        <w:t xml:space="preserve">La dalle est de type </w:t>
      </w:r>
      <w:r>
        <w:rPr>
          <w:rStyle w:val="optioncarChar"/>
        </w:rPr>
        <w:t>béton normal</w:t>
      </w:r>
      <w:r>
        <w:t xml:space="preserve"> (par défaut) </w:t>
      </w:r>
      <w:r>
        <w:rPr>
          <w:rStyle w:val="optioncarChar"/>
        </w:rPr>
        <w:t>/ béton allégé / anhydrite / ***</w:t>
      </w:r>
      <w:r>
        <w:t>.</w:t>
      </w:r>
    </w:p>
    <w:p w14:paraId="77F0E2AB" w14:textId="77777777" w:rsidR="00DB2B68" w:rsidRDefault="00000000">
      <w:pPr>
        <w:ind w:left="567"/>
        <w:jc w:val="both"/>
      </w:pPr>
      <w:r>
        <w:rPr>
          <w:b/>
          <w:i/>
        </w:rPr>
        <w:t>(Soit par défaut)</w:t>
      </w:r>
    </w:p>
    <w:p w14:paraId="6F349F92" w14:textId="77777777" w:rsidR="00DB2B68" w:rsidRDefault="00000000">
      <w:pPr>
        <w:ind w:left="567"/>
        <w:jc w:val="both"/>
      </w:pPr>
      <w:r>
        <w:rPr>
          <w:rStyle w:val="soitChar"/>
          <w:u w:val="single"/>
        </w:rPr>
        <w:t>Béton normal</w:t>
      </w:r>
    </w:p>
    <w:p w14:paraId="50DAA225" w14:textId="77777777" w:rsidR="00DB2B68" w:rsidRDefault="00000000">
      <w:pPr>
        <w:ind w:left="567"/>
        <w:jc w:val="both"/>
      </w:pPr>
      <w:r>
        <w:rPr>
          <w:rStyle w:val="soitChar"/>
        </w:rPr>
        <w:t xml:space="preserve">La masse volumique du béton est de </w:t>
      </w:r>
      <w:r>
        <w:rPr>
          <w:rStyle w:val="optioncarChar"/>
        </w:rPr>
        <w:t xml:space="preserve">2300 </w:t>
      </w:r>
      <w:r>
        <w:t>(par défaut)</w:t>
      </w:r>
      <w:r>
        <w:rPr>
          <w:rStyle w:val="optioncarChar"/>
        </w:rPr>
        <w:t xml:space="preserve"> / ***</w:t>
      </w:r>
      <w:r>
        <w:rPr>
          <w:rStyle w:val="soitChar"/>
        </w:rPr>
        <w:t>  kg/m³.</w:t>
      </w:r>
    </w:p>
    <w:p w14:paraId="6E8B33E4" w14:textId="77777777" w:rsidR="00DB2B68" w:rsidRDefault="00000000">
      <w:pPr>
        <w:ind w:left="567"/>
        <w:jc w:val="both"/>
      </w:pPr>
      <w:r>
        <w:rPr>
          <w:rStyle w:val="soitChar"/>
        </w:rPr>
        <w:t xml:space="preserve">Le béton est de type </w:t>
      </w:r>
      <w:r>
        <w:rPr>
          <w:rStyle w:val="optioncarChar"/>
        </w:rPr>
        <w:t xml:space="preserve">C25/30 </w:t>
      </w:r>
      <w:r>
        <w:t xml:space="preserve">(par défaut) </w:t>
      </w:r>
      <w:r>
        <w:rPr>
          <w:rStyle w:val="optioncarChar"/>
        </w:rPr>
        <w:t>/ ***.</w:t>
      </w:r>
    </w:p>
    <w:p w14:paraId="6D52927C" w14:textId="77777777" w:rsidR="00DB2B68" w:rsidRDefault="00000000">
      <w:pPr>
        <w:ind w:left="567"/>
        <w:jc w:val="both"/>
      </w:pPr>
      <w:r>
        <w:rPr>
          <w:b/>
          <w:i/>
        </w:rPr>
        <w:t>(Soit)</w:t>
      </w:r>
    </w:p>
    <w:p w14:paraId="13CA852D" w14:textId="77777777" w:rsidR="00DB2B68" w:rsidRDefault="00000000">
      <w:pPr>
        <w:ind w:left="567"/>
        <w:jc w:val="both"/>
      </w:pPr>
      <w:r>
        <w:rPr>
          <w:rStyle w:val="soitChar"/>
          <w:u w:val="single"/>
        </w:rPr>
        <w:t>Béton allégé</w:t>
      </w:r>
    </w:p>
    <w:p w14:paraId="5B63D900" w14:textId="77777777" w:rsidR="00DB2B68" w:rsidRDefault="00000000">
      <w:pPr>
        <w:ind w:left="567"/>
        <w:jc w:val="both"/>
      </w:pPr>
      <w:r>
        <w:rPr>
          <w:rStyle w:val="soitChar"/>
        </w:rPr>
        <w:t xml:space="preserve">La masse volumique du béton allégé est de </w:t>
      </w:r>
      <w:r>
        <w:rPr>
          <w:rStyle w:val="optioncarChar"/>
        </w:rPr>
        <w:t xml:space="preserve">1600 </w:t>
      </w:r>
      <w:r>
        <w:t>(par défaut)</w:t>
      </w:r>
      <w:r>
        <w:rPr>
          <w:rStyle w:val="optioncarChar"/>
        </w:rPr>
        <w:t xml:space="preserve"> / ***</w:t>
      </w:r>
      <w:r>
        <w:rPr>
          <w:rStyle w:val="soitChar"/>
        </w:rPr>
        <w:t>  kg/m³.</w:t>
      </w:r>
    </w:p>
    <w:p w14:paraId="2088C40C" w14:textId="77777777" w:rsidR="00DB2B68" w:rsidRDefault="00000000">
      <w:pPr>
        <w:ind w:left="567"/>
        <w:jc w:val="both"/>
      </w:pPr>
      <w:r>
        <w:rPr>
          <w:rStyle w:val="soitChar"/>
        </w:rPr>
        <w:t xml:space="preserve">Le béton est de type </w:t>
      </w:r>
      <w:r>
        <w:rPr>
          <w:rStyle w:val="optioncarChar"/>
        </w:rPr>
        <w:t xml:space="preserve">LC16/18 </w:t>
      </w:r>
      <w:r>
        <w:t xml:space="preserve">(par défaut) </w:t>
      </w:r>
      <w:r>
        <w:rPr>
          <w:rStyle w:val="optioncarChar"/>
        </w:rPr>
        <w:t>/ ***</w:t>
      </w:r>
      <w:r>
        <w:rPr>
          <w:rStyle w:val="soitChar"/>
        </w:rPr>
        <w:t>.</w:t>
      </w:r>
    </w:p>
    <w:p w14:paraId="39D5BB2E" w14:textId="77777777" w:rsidR="00DB2B68" w:rsidRDefault="00000000">
      <w:pPr>
        <w:ind w:left="567"/>
        <w:jc w:val="both"/>
      </w:pPr>
      <w:r>
        <w:rPr>
          <w:b/>
          <w:i/>
        </w:rPr>
        <w:t>(Soit)</w:t>
      </w:r>
    </w:p>
    <w:p w14:paraId="577A9DBD" w14:textId="77777777" w:rsidR="00DB2B68" w:rsidRDefault="00000000">
      <w:pPr>
        <w:ind w:left="567"/>
        <w:jc w:val="both"/>
      </w:pPr>
      <w:r>
        <w:rPr>
          <w:rStyle w:val="soitChar"/>
          <w:u w:val="single"/>
        </w:rPr>
        <w:t>Anhydrite</w:t>
      </w:r>
    </w:p>
    <w:p w14:paraId="1602472F" w14:textId="77777777" w:rsidR="00DB2B68" w:rsidRDefault="00000000">
      <w:pPr>
        <w:ind w:left="567"/>
        <w:jc w:val="both"/>
      </w:pPr>
      <w:r>
        <w:rPr>
          <w:rStyle w:val="soitChar"/>
        </w:rPr>
        <w:t xml:space="preserve">La masse volumique du béton anhydrite est de </w:t>
      </w:r>
      <w:r>
        <w:rPr>
          <w:rStyle w:val="optioncarChar"/>
        </w:rPr>
        <w:t xml:space="preserve">2100 </w:t>
      </w:r>
      <w:r>
        <w:t>(par défaut)</w:t>
      </w:r>
      <w:r>
        <w:rPr>
          <w:rStyle w:val="optioncarChar"/>
        </w:rPr>
        <w:t xml:space="preserve"> / ***</w:t>
      </w:r>
      <w:r>
        <w:rPr>
          <w:rStyle w:val="soitChar"/>
        </w:rPr>
        <w:t>  kg/m³.</w:t>
      </w:r>
    </w:p>
    <w:p w14:paraId="7071A2A6" w14:textId="77777777" w:rsidR="00DB2B68" w:rsidRDefault="00000000">
      <w:pPr>
        <w:ind w:left="567"/>
        <w:jc w:val="both"/>
      </w:pPr>
      <w:r>
        <w:rPr>
          <w:b/>
          <w:i/>
        </w:rPr>
        <w:t>(Soit)</w:t>
      </w:r>
    </w:p>
    <w:p w14:paraId="5279AC92" w14:textId="77777777" w:rsidR="00DB2B68" w:rsidRDefault="00000000">
      <w:pPr>
        <w:ind w:left="567"/>
        <w:jc w:val="both"/>
      </w:pPr>
      <w:r>
        <w:rPr>
          <w:rStyle w:val="optioncarChar"/>
        </w:rPr>
        <w:t>***</w:t>
      </w:r>
    </w:p>
    <w:p w14:paraId="20DE3708" w14:textId="77777777" w:rsidR="00DB2B68" w:rsidRDefault="00000000">
      <w:pPr>
        <w:pStyle w:val="pheading"/>
      </w:pPr>
      <w:r>
        <w:t>- Finitions</w:t>
      </w:r>
    </w:p>
    <w:p w14:paraId="07F1E728" w14:textId="77777777" w:rsidR="00DB2B68" w:rsidRDefault="00000000">
      <w:pPr>
        <w:jc w:val="both"/>
      </w:pPr>
      <w:r>
        <w:t>La couche de finition ne fait pas partie de cet article.</w:t>
      </w:r>
    </w:p>
    <w:p w14:paraId="663D9450" w14:textId="77777777" w:rsidR="00DB2B68" w:rsidRDefault="00000000">
      <w:pPr>
        <w:pStyle w:val="pheading"/>
      </w:pPr>
      <w:r>
        <w:t>EXÉCUTION / MISE EN ŒUVRE</w:t>
      </w:r>
    </w:p>
    <w:p w14:paraId="636FB666" w14:textId="77777777" w:rsidR="00DB2B68" w:rsidRDefault="00000000">
      <w:pPr>
        <w:pStyle w:val="pheading"/>
      </w:pPr>
      <w:r>
        <w:lastRenderedPageBreak/>
        <w:t>- Prescriptions générales</w:t>
      </w:r>
    </w:p>
    <w:p w14:paraId="4FB55220" w14:textId="77777777" w:rsidR="00DB2B68" w:rsidRDefault="00000000">
      <w:pPr>
        <w:jc w:val="both"/>
      </w:pPr>
      <w:r>
        <w:t>Les sections de l’ossature préfabriquée et les modes de jonctions de ces éléments font l’objet d’une validation par un bureau d’ingénieur externe.</w:t>
      </w:r>
    </w:p>
    <w:p w14:paraId="7A1C851D" w14:textId="77777777" w:rsidR="00DB2B68" w:rsidRDefault="00000000">
      <w:pPr>
        <w:jc w:val="both"/>
      </w:pPr>
      <w:r>
        <w:t>Tous les assemblages mécaniques structuraux sont dimensionnés selon les principes de l’Eurocode 5 [NBN EN 1995-1-1].</w:t>
      </w:r>
    </w:p>
    <w:p w14:paraId="332BB487" w14:textId="77777777" w:rsidR="00DB2B68" w:rsidRDefault="00000000">
      <w:pPr>
        <w:jc w:val="both"/>
      </w:pPr>
      <w:r>
        <w:t>Sauf indication contraire, tous les bâtiments ou parties de bâtiments construits en bois doivent respecter les tolérances de mise en œuvre énoncées dans la [STS 23-1].</w:t>
      </w:r>
    </w:p>
    <w:p w14:paraId="2EB976C9" w14:textId="77777777" w:rsidR="00DB2B68" w:rsidRDefault="00000000">
      <w:pPr>
        <w:jc w:val="both"/>
      </w:pPr>
      <w:r>
        <w:t>Dans le cas d’un bâtiment bas (H&lt;10) en ossature bois, les tolérances de mise en œuvre listées dans la [STS 23-1] doivent aussi être respectées.</w:t>
      </w:r>
    </w:p>
    <w:p w14:paraId="1C0ECB66" w14:textId="77777777" w:rsidR="00DB2B68" w:rsidRDefault="00000000">
      <w:pPr>
        <w:jc w:val="both"/>
      </w:pPr>
      <w:r>
        <w:t xml:space="preserve">Une membrane complémentaire </w:t>
      </w:r>
      <w:r>
        <w:rPr>
          <w:rStyle w:val="optioncarChar"/>
        </w:rPr>
        <w:t xml:space="preserve">est </w:t>
      </w:r>
      <w:r>
        <w:t>(par défaut)</w:t>
      </w:r>
      <w:r>
        <w:rPr>
          <w:rStyle w:val="optioncarChar"/>
        </w:rPr>
        <w:t xml:space="preserve"> / n’est pas</w:t>
      </w:r>
      <w:r>
        <w:t xml:space="preserve"> positionnée sur le panneau de coffrage.</w:t>
      </w:r>
    </w:p>
    <w:p w14:paraId="7E9DBB61" w14:textId="77777777" w:rsidR="00DB2B68" w:rsidRDefault="00000000">
      <w:pPr>
        <w:jc w:val="both"/>
      </w:pPr>
      <w:r>
        <w:t xml:space="preserve">Cette membrane est de type </w:t>
      </w:r>
      <w:r>
        <w:rPr>
          <w:rStyle w:val="optioncarChar"/>
        </w:rPr>
        <w:t>PE</w:t>
      </w:r>
      <w:r>
        <w:t xml:space="preserve"> (par défaut)</w:t>
      </w:r>
      <w:r>
        <w:rPr>
          <w:rStyle w:val="optioncarChar"/>
        </w:rPr>
        <w:t xml:space="preserve"> / pvc / bitumineuse / ***.</w:t>
      </w:r>
    </w:p>
    <w:p w14:paraId="042A6257" w14:textId="77777777" w:rsidR="00DB2B68" w:rsidRDefault="00000000">
      <w:pPr>
        <w:pStyle w:val="pheading"/>
      </w:pPr>
      <w:r>
        <w:t>- Notes d’exécution complémentaires</w:t>
      </w:r>
    </w:p>
    <w:p w14:paraId="690B5EDF" w14:textId="77777777" w:rsidR="00DB2B68" w:rsidRDefault="00000000">
      <w:pPr>
        <w:jc w:val="both"/>
      </w:pPr>
      <w:r>
        <w:rPr>
          <w:rStyle w:val="facultChar"/>
        </w:rPr>
        <w:t>Tous les assemblages mécaniques structuraux sont dimensionnés selon les principes de l’Eurocode 5 [NBN EN 1995-1-1] et de sa partie feu [NBN EN 1995-1-2].</w:t>
      </w:r>
    </w:p>
    <w:p w14:paraId="744384D9" w14:textId="77777777" w:rsidR="00DB2B68" w:rsidRDefault="00000000">
      <w:pPr>
        <w:pStyle w:val="pheading"/>
      </w:pPr>
      <w:r>
        <w:t>CONTRÔLES PARTICULIERS</w:t>
      </w:r>
    </w:p>
    <w:p w14:paraId="5D4C71FD" w14:textId="77777777" w:rsidR="00DB2B68" w:rsidRDefault="00000000">
      <w:pPr>
        <w:jc w:val="both"/>
      </w:pPr>
      <w:r>
        <w:t>Le contrôle de la qualité du séchage d’un lot de bois scié se fait selon la [NBN EN 14298].</w:t>
      </w:r>
    </w:p>
    <w:p w14:paraId="58BDEC2C" w14:textId="77777777" w:rsidR="00DB2B68" w:rsidRDefault="00000000">
      <w:pPr>
        <w:pStyle w:val="pheading"/>
      </w:pPr>
      <w:r>
        <w:t>DOCUMENTS DE RÉFÉRENCE COMPLÉMENTAIRES</w:t>
      </w:r>
    </w:p>
    <w:p w14:paraId="091A3818" w14:textId="77777777" w:rsidR="00DB2B68" w:rsidRDefault="00000000">
      <w:pPr>
        <w:pStyle w:val="pheading"/>
      </w:pPr>
      <w:r>
        <w:t>- Matériau</w:t>
      </w:r>
    </w:p>
    <w:p w14:paraId="4DE6979B" w14:textId="77777777" w:rsidR="00DB2B68" w:rsidRDefault="00000000">
      <w:r>
        <w:t>[NBN EN 14081 série, Structures en bois - Bois de structure à section rectangulaire classé pour sa résistance]</w:t>
      </w:r>
    </w:p>
    <w:p w14:paraId="2252F991" w14:textId="77777777" w:rsidR="00DB2B68" w:rsidRDefault="00000000">
      <w:r>
        <w:t>[NBN EN 15497, Bois massif de structure à entures multiples - Exigences de performances et exigences minimales de fabrication]</w:t>
      </w:r>
    </w:p>
    <w:p w14:paraId="643CE480" w14:textId="77777777" w:rsidR="00DB2B68" w:rsidRDefault="00000000">
      <w:r>
        <w:t>[NBN EN 14080, Structures en bois - Bois lamellé collé et bois massif reconstitué - Exigences]</w:t>
      </w:r>
    </w:p>
    <w:p w14:paraId="0F16DE84" w14:textId="77777777" w:rsidR="00DB2B68" w:rsidRDefault="00000000">
      <w:r>
        <w:t>[NBN EN 335, Durabilité du bois et des matériaux à base de bois - Classes d'emploi: définitions, application au bois massif et aux matériaux à base de bois]</w:t>
      </w:r>
    </w:p>
    <w:p w14:paraId="7B632386"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556C703" w14:textId="77777777" w:rsidR="00DB2B68" w:rsidRDefault="00000000">
      <w:r>
        <w:t>[NBN EN ISO 10456, Matériaux et produits pour le bâtiment - Propriétés hygrothermiques - Valeurs utiles tabulées et procédures pour la détermination des valeurs thermiques déclarées et utiles (ISO 10456:2007)) (+AC:2009)]</w:t>
      </w:r>
    </w:p>
    <w:p w14:paraId="0D1D9755" w14:textId="77777777" w:rsidR="00DB2B68" w:rsidRDefault="00000000">
      <w:r>
        <w:t>[NBN EN 300, Panneaux de lamelles minces, longues et orientées (OSB) - Définitions, classification et exigences]</w:t>
      </w:r>
    </w:p>
    <w:p w14:paraId="4343582B" w14:textId="77777777" w:rsidR="00DB2B68" w:rsidRDefault="00000000">
      <w:r>
        <w:t>[NBN EN 13986+A1, Panneaux à base de bois destinés à la construction - Caractéristiques, évaluation de conformité et marquage]</w:t>
      </w:r>
    </w:p>
    <w:p w14:paraId="099A3D9F" w14:textId="77777777" w:rsidR="00DB2B68" w:rsidRDefault="00000000">
      <w:r>
        <w:t>[NBN EN 16351, Structures en bois - Bois lamellé croisé - Exigences]</w:t>
      </w:r>
    </w:p>
    <w:p w14:paraId="7D3AA19F" w14:textId="77777777" w:rsidR="00DB2B68" w:rsidRDefault="00000000">
      <w:r>
        <w:t>[AR 2014-05-08, Arrêté royal établissant les niveaux seuils pour les émissions dans l'environnement intérieur de produits de construction pour certains usages prévus]</w:t>
      </w:r>
    </w:p>
    <w:p w14:paraId="4D575F0D" w14:textId="77777777" w:rsidR="00DB2B68" w:rsidRDefault="00000000">
      <w:pPr>
        <w:pStyle w:val="pheading"/>
      </w:pPr>
      <w:r>
        <w:t>- Exécution</w:t>
      </w:r>
    </w:p>
    <w:p w14:paraId="2BE64D2A" w14:textId="77777777" w:rsidR="00DB2B68" w:rsidRDefault="00000000">
      <w:r>
        <w:t>[NBN EN 1995 série, Eurocode 5: Conception et calcul des structures en bois]</w:t>
      </w:r>
    </w:p>
    <w:p w14:paraId="3D2B1D20" w14:textId="77777777" w:rsidR="00DB2B68" w:rsidRDefault="00000000">
      <w:r>
        <w:t>[STS 31, Charpenterie]</w:t>
      </w:r>
    </w:p>
    <w:p w14:paraId="3A091870" w14:textId="77777777" w:rsidR="00DB2B68" w:rsidRDefault="00000000">
      <w:r>
        <w:t>[STS 23-1, Constructions en ossature bois]</w:t>
      </w:r>
    </w:p>
    <w:p w14:paraId="09FB42EE" w14:textId="77777777" w:rsidR="00DB2B68" w:rsidRDefault="00000000">
      <w:r>
        <w:t>[NBN EN 14298, Bois scié - Estimation de la qualité du séchage]</w:t>
      </w:r>
    </w:p>
    <w:p w14:paraId="07434775" w14:textId="77777777" w:rsidR="00DB2B68" w:rsidRDefault="00000000">
      <w:pPr>
        <w:pStyle w:val="pheading"/>
      </w:pPr>
      <w:r>
        <w:lastRenderedPageBreak/>
        <w:t>MESURAGE</w:t>
      </w:r>
    </w:p>
    <w:p w14:paraId="3B190050" w14:textId="77777777" w:rsidR="00DB2B68" w:rsidRDefault="00000000">
      <w:pPr>
        <w:pStyle w:val="pheading"/>
      </w:pPr>
      <w:r>
        <w:t>- unité de mesure:</w:t>
      </w:r>
    </w:p>
    <w:p w14:paraId="492DC85D" w14:textId="77777777" w:rsidR="00DB2B68" w:rsidRDefault="00000000">
      <w:r>
        <w:t>m²</w:t>
      </w:r>
    </w:p>
    <w:p w14:paraId="7C6C86AD" w14:textId="77777777" w:rsidR="00DB2B68" w:rsidRDefault="00000000">
      <w:pPr>
        <w:pStyle w:val="pheading"/>
      </w:pPr>
      <w:r>
        <w:t>- code de mesurage:</w:t>
      </w:r>
    </w:p>
    <w:p w14:paraId="6A779474" w14:textId="77777777" w:rsidR="00DB2B68" w:rsidRDefault="00000000">
      <w:pPr>
        <w:jc w:val="both"/>
      </w:pPr>
      <w:r>
        <w:rPr>
          <w:u w:val="single"/>
        </w:rPr>
        <w:t>Surface nette</w:t>
      </w:r>
      <w:r>
        <w:t xml:space="preserve"> : Longueur x Largeur de la paroi selon les plans. Déduction faite des vides de plus de 0.5 m².</w:t>
      </w:r>
    </w:p>
    <w:p w14:paraId="08871EDB" w14:textId="77777777" w:rsidR="00DB2B68" w:rsidRDefault="00000000">
      <w:pPr>
        <w:pStyle w:val="pheading"/>
      </w:pPr>
      <w:r>
        <w:t>- nature du marché:</w:t>
      </w:r>
    </w:p>
    <w:p w14:paraId="42B75C93" w14:textId="77777777" w:rsidR="00DB2B68" w:rsidRDefault="00000000">
      <w:r>
        <w:rPr>
          <w:rStyle w:val="optioncarChar"/>
        </w:rPr>
        <w:t xml:space="preserve">QF </w:t>
      </w:r>
      <w:r>
        <w:t>(par défaut)</w:t>
      </w:r>
      <w:r>
        <w:rPr>
          <w:rStyle w:val="optioncarChar"/>
        </w:rPr>
        <w:t xml:space="preserve"> / QP</w:t>
      </w:r>
    </w:p>
    <w:p w14:paraId="0F6742E8" w14:textId="77777777" w:rsidR="00DB2B68" w:rsidRDefault="00000000">
      <w:r>
        <w:rPr>
          <w:b/>
          <w:i/>
        </w:rPr>
        <w:t>(Soit par défaut)</w:t>
      </w:r>
    </w:p>
    <w:p w14:paraId="077E670C" w14:textId="77777777" w:rsidR="00DB2B68" w:rsidRDefault="00000000">
      <w:r>
        <w:rPr>
          <w:rStyle w:val="soitChar"/>
        </w:rPr>
        <w:t>1. QF</w:t>
      </w:r>
    </w:p>
    <w:p w14:paraId="1743E3A5" w14:textId="77777777" w:rsidR="00DB2B68" w:rsidRDefault="00000000">
      <w:r>
        <w:rPr>
          <w:b/>
          <w:i/>
        </w:rPr>
        <w:t>(Soit)</w:t>
      </w:r>
    </w:p>
    <w:p w14:paraId="2280F1D5" w14:textId="77777777" w:rsidR="00DB2B68" w:rsidRDefault="00000000">
      <w:r>
        <w:rPr>
          <w:rStyle w:val="soitChar"/>
        </w:rPr>
        <w:t>2. QP   </w:t>
      </w:r>
    </w:p>
    <w:p w14:paraId="47CA3765" w14:textId="77777777" w:rsidR="00DB2B68" w:rsidRDefault="00000000">
      <w:pPr>
        <w:pStyle w:val="pheading"/>
      </w:pPr>
      <w:r>
        <w:t>AIDE</w:t>
      </w:r>
    </w:p>
    <w:p w14:paraId="33BBEE51" w14:textId="77777777" w:rsidR="00DB2B68" w:rsidRDefault="00000000">
      <w:pPr>
        <w:jc w:val="both"/>
      </w:pPr>
      <w:r>
        <w:t>Ce genre de procédé peut être utilisé dans la rénovation de planchers existants en conservant les poutres et les planchers, moyennant la bonne conformité des matériaux réutilisés.</w:t>
      </w:r>
    </w:p>
    <w:p w14:paraId="4BB25DFC" w14:textId="77777777" w:rsidR="00DB2B68" w:rsidRDefault="00000000">
      <w:pPr>
        <w:pStyle w:val="Author-eSectionHeading5Numberless"/>
      </w:pPr>
      <w:bookmarkStart w:id="1668" w:name="_Toc220496653"/>
      <w:r>
        <w:t>24.22.2 Planchers en bois préfabriqués CCTB 01.11</w:t>
      </w:r>
      <w:bookmarkEnd w:id="1668"/>
    </w:p>
    <w:p w14:paraId="14CC6E1B" w14:textId="77777777" w:rsidR="00DB2B68" w:rsidRDefault="00000000">
      <w:pPr>
        <w:pStyle w:val="pheading"/>
      </w:pPr>
      <w:bookmarkStart w:id="1669" w:name="603"/>
      <w:bookmarkEnd w:id="1669"/>
      <w:r>
        <w:t>DESCRIPTION</w:t>
      </w:r>
    </w:p>
    <w:p w14:paraId="01A8C852" w14:textId="77777777" w:rsidR="00DB2B68" w:rsidRDefault="00000000">
      <w:pPr>
        <w:pStyle w:val="pheading"/>
      </w:pPr>
      <w:r>
        <w:t>- Définition / Comprend</w:t>
      </w:r>
    </w:p>
    <w:p w14:paraId="4319A258" w14:textId="77777777" w:rsidR="00DB2B68" w:rsidRDefault="00000000">
      <w:r>
        <w:t>Le travail comprend notamment :</w:t>
      </w:r>
    </w:p>
    <w:p w14:paraId="4975D86B" w14:textId="77777777" w:rsidR="00DB2B68" w:rsidRDefault="00000000">
      <w:pPr>
        <w:pStyle w:val="Author-eListParagraph"/>
        <w:numPr>
          <w:ilvl w:val="0"/>
          <w:numId w:val="902"/>
        </w:numPr>
        <w:jc w:val="both"/>
      </w:pPr>
      <w:r>
        <w:t>Le relevé sur place des dimensions exactes ;</w:t>
      </w:r>
    </w:p>
    <w:p w14:paraId="48FC6CFE" w14:textId="77777777" w:rsidR="00DB2B68" w:rsidRDefault="00000000">
      <w:pPr>
        <w:pStyle w:val="Author-eListParagraph"/>
        <w:numPr>
          <w:ilvl w:val="0"/>
          <w:numId w:val="902"/>
        </w:numPr>
        <w:jc w:val="both"/>
      </w:pPr>
      <w:r>
        <w:t>Le contrôle, la préparation et le nettoyage des supports sur lesquels les éléments sont posés ;</w:t>
      </w:r>
    </w:p>
    <w:p w14:paraId="16EE2A3D" w14:textId="77777777" w:rsidR="00DB2B68" w:rsidRDefault="00000000">
      <w:pPr>
        <w:pStyle w:val="Author-eListParagraph"/>
        <w:numPr>
          <w:ilvl w:val="0"/>
          <w:numId w:val="902"/>
        </w:numPr>
        <w:jc w:val="both"/>
      </w:pPr>
      <w:r>
        <w:t>Les réservations prévues sur les plans ;</w:t>
      </w:r>
    </w:p>
    <w:p w14:paraId="49D71118" w14:textId="77777777" w:rsidR="00DB2B68" w:rsidRDefault="00000000">
      <w:pPr>
        <w:pStyle w:val="Author-eListParagraph"/>
        <w:numPr>
          <w:ilvl w:val="0"/>
          <w:numId w:val="902"/>
        </w:numPr>
        <w:jc w:val="both"/>
      </w:pPr>
      <w:r>
        <w:t>Les études de stabilités et d’exécution réalisées par le fabricant sur base des informations, indicatives, reprises sur les plans et le présent élément ;</w:t>
      </w:r>
    </w:p>
    <w:p w14:paraId="5AB7A2A1" w14:textId="77777777" w:rsidR="00DB2B68" w:rsidRDefault="00000000">
      <w:pPr>
        <w:pStyle w:val="Author-eListParagraph"/>
        <w:numPr>
          <w:ilvl w:val="0"/>
          <w:numId w:val="902"/>
        </w:numPr>
        <w:jc w:val="both"/>
      </w:pPr>
      <w:r>
        <w:t>La fabrication sur mesure, le transport et la mise en œuvre de tous les éléments, y compris les engins de levage, tous les supports temporaires et travaux d’étayage, tous les moyens de fixation et/ou de pose, etc. ;</w:t>
      </w:r>
    </w:p>
    <w:p w14:paraId="51E6DD51" w14:textId="77777777" w:rsidR="00DB2B68" w:rsidRDefault="00000000">
      <w:pPr>
        <w:pStyle w:val="Author-eListParagraph"/>
        <w:numPr>
          <w:ilvl w:val="0"/>
          <w:numId w:val="902"/>
        </w:numPr>
        <w:jc w:val="both"/>
      </w:pPr>
      <w:r>
        <w:t>L'exécution des assemblages et des éventuelles jonctions avec la structure de construction ;</w:t>
      </w:r>
    </w:p>
    <w:p w14:paraId="20C55CAC" w14:textId="77777777" w:rsidR="00DB2B68" w:rsidRDefault="00000000">
      <w:pPr>
        <w:pStyle w:val="Author-eListParagraph"/>
        <w:numPr>
          <w:ilvl w:val="0"/>
          <w:numId w:val="902"/>
        </w:numPr>
        <w:jc w:val="both"/>
      </w:pPr>
      <w:r>
        <w:t>Tous les moyens de liaisonnement éventuels, aussi bien entre les éléments préfabriqués, qu’avec les éléments de support, de bord, etc. ;</w:t>
      </w:r>
    </w:p>
    <w:p w14:paraId="4E80E9B5" w14:textId="77777777" w:rsidR="00DB2B68" w:rsidRDefault="00000000">
      <w:pPr>
        <w:pStyle w:val="Author-eListParagraph"/>
        <w:numPr>
          <w:ilvl w:val="0"/>
          <w:numId w:val="902"/>
        </w:numPr>
        <w:jc w:val="both"/>
      </w:pPr>
      <w:r>
        <w:t>L’enlèvement de tous les accessoires, supports, étais et le nettoyage des faces visibles ;</w:t>
      </w:r>
    </w:p>
    <w:p w14:paraId="42929993" w14:textId="77777777" w:rsidR="00DB2B68" w:rsidRDefault="00000000">
      <w:pPr>
        <w:pStyle w:val="Author-eListParagraph"/>
        <w:numPr>
          <w:ilvl w:val="0"/>
          <w:numId w:val="902"/>
        </w:numPr>
        <w:jc w:val="both"/>
      </w:pPr>
      <w:r>
        <w:t>Les mesures nécessaires, après la mise en œuvre, en vue de la protection des éléments contre toute dégradation et salissement pendant toute la durée des travaux ;</w:t>
      </w:r>
    </w:p>
    <w:p w14:paraId="0D1A678F" w14:textId="77777777" w:rsidR="00DB2B68" w:rsidRDefault="00000000">
      <w:pPr>
        <w:pStyle w:val="Author-eListParagraph"/>
        <w:numPr>
          <w:ilvl w:val="0"/>
          <w:numId w:val="902"/>
        </w:numPr>
        <w:jc w:val="both"/>
      </w:pPr>
      <w:r>
        <w:t>L’enlèvement des protections pour la réception provisoire.</w:t>
      </w:r>
    </w:p>
    <w:p w14:paraId="4903938B" w14:textId="77777777" w:rsidR="00DB2B68" w:rsidRDefault="00000000">
      <w:pPr>
        <w:pStyle w:val="pheading"/>
      </w:pPr>
      <w:r>
        <w:t>DOCUMENTS DE RÉFÉRENCE</w:t>
      </w:r>
    </w:p>
    <w:p w14:paraId="294016FC" w14:textId="77777777" w:rsidR="00DB2B68" w:rsidRDefault="00000000">
      <w:pPr>
        <w:pStyle w:val="pheading"/>
      </w:pPr>
      <w:r>
        <w:t>- Exécution</w:t>
      </w:r>
    </w:p>
    <w:p w14:paraId="1ABE9312" w14:textId="77777777" w:rsidR="00DB2B68" w:rsidRDefault="00000000">
      <w:pPr>
        <w:jc w:val="both"/>
      </w:pPr>
      <w:r>
        <w:rPr>
          <w:b/>
        </w:rPr>
        <w:t>Etude</w:t>
      </w:r>
    </w:p>
    <w:p w14:paraId="1C1CE4FF" w14:textId="77777777" w:rsidR="00DB2B68" w:rsidRDefault="00000000">
      <w:pPr>
        <w:jc w:val="both"/>
      </w:pPr>
      <w:r>
        <w:t>Le cahier spécial des charges doit mentionner les modalités d'entreprise en ce qui concerne l'étude de stabilité et les détails (voir dans les articles) : </w:t>
      </w:r>
    </w:p>
    <w:p w14:paraId="1B89BABE" w14:textId="77777777" w:rsidR="00DB2B68" w:rsidRDefault="00000000">
      <w:pPr>
        <w:jc w:val="both"/>
      </w:pPr>
      <w:r>
        <w:rPr>
          <w:u w:val="single"/>
        </w:rPr>
        <w:t>Etude à charge du maître de l'ouvrage :</w:t>
      </w:r>
    </w:p>
    <w:p w14:paraId="0DCDD608" w14:textId="77777777" w:rsidR="00DB2B68" w:rsidRDefault="00000000">
      <w:pPr>
        <w:jc w:val="both"/>
      </w:pPr>
      <w:r>
        <w:t xml:space="preserve"> Les éléments de structure en bois sont exécutés conformément aux documents de travail annexés au dossier d'adjudication (plans, cahiers des charges, bordereaux, dessins de détail).</w:t>
      </w:r>
    </w:p>
    <w:p w14:paraId="2C989D91" w14:textId="77777777" w:rsidR="00DB2B68" w:rsidRDefault="00000000">
      <w:pPr>
        <w:jc w:val="both"/>
      </w:pPr>
      <w:r>
        <w:rPr>
          <w:u w:val="single"/>
        </w:rPr>
        <w:lastRenderedPageBreak/>
        <w:t>Etude à charge de l'entrepreneur :</w:t>
      </w:r>
    </w:p>
    <w:p w14:paraId="75E1810A" w14:textId="77777777" w:rsidR="00DB2B68" w:rsidRDefault="00000000">
      <w:pPr>
        <w:jc w:val="both"/>
      </w:pPr>
      <w:r>
        <w:t xml:space="preserve"> Les frais pour la réalisation de l'étude des éléments de construction en bois sont compris dans le prix de l'entreprise. Les dessins d'exécution établis par l'ingénieur, que l'entrepreneur a chargé de l'étude de stabilité, sont soumis à l'approbation de la direction des travaux avant le début des travaux et au plus tard deux mois après l'attribution des travaux. Ils sont établis conformément aux indications données dans les documents d'adjudication (plans, cahiers des charges, bordereaux, etc.).</w:t>
      </w:r>
    </w:p>
    <w:p w14:paraId="672053C4" w14:textId="77777777" w:rsidR="00DB2B68" w:rsidRDefault="00000000">
      <w:pPr>
        <w:jc w:val="both"/>
      </w:pPr>
      <w:r>
        <w:rPr>
          <w:u w:val="single"/>
        </w:rPr>
        <w:t>Etude à charge du maître de l’ouvrage à l’exception des assemblages :</w:t>
      </w:r>
    </w:p>
    <w:p w14:paraId="5E3A7F36" w14:textId="77777777" w:rsidR="00DB2B68" w:rsidRDefault="00000000">
      <w:pPr>
        <w:jc w:val="both"/>
      </w:pPr>
      <w:r>
        <w:t xml:space="preserve"> Les éléments de structure en bois sont exécutés conformément aux documents de travail annexés au dossier d'adjudication (plans, cahiers des charges, bordereaux, dessins de détail). Ces documents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14:paraId="052F21DF" w14:textId="77777777" w:rsidR="00DB2B68" w:rsidRDefault="00000000">
      <w:pPr>
        <w:jc w:val="both"/>
      </w:pPr>
      <w:r>
        <w:rPr>
          <w:b/>
        </w:rPr>
        <w:t>Méthode de calcul</w:t>
      </w:r>
    </w:p>
    <w:p w14:paraId="7C332706" w14:textId="77777777" w:rsidR="00DB2B68" w:rsidRDefault="00000000">
      <w:pPr>
        <w:jc w:val="both"/>
      </w:pPr>
      <w:r>
        <w:t>Les calculs sont exécutés conformément aux Eurocodes et en particulier conformément aux différentes parties de l'Eurocodes 5 [NBN EN 1995 série] et les [STS 23-1], [STS 23:ad.1], [STS 23:ad.2], [STS 31+ 32].</w:t>
      </w:r>
    </w:p>
    <w:p w14:paraId="516D082A" w14:textId="77777777" w:rsidR="00DB2B68" w:rsidRDefault="00000000">
      <w:pPr>
        <w:jc w:val="both"/>
      </w:pPr>
      <w:r>
        <w:t>Les sollicitations à prendre en compte sont détaillées dans les différentes parties de l'Eurocode 1 [NBN EN 1991 série].</w:t>
      </w:r>
    </w:p>
    <w:p w14:paraId="5EDF1E2E" w14:textId="77777777" w:rsidR="00DB2B68" w:rsidRDefault="00000000">
      <w:pPr>
        <w:jc w:val="both"/>
      </w:pPr>
      <w:r>
        <w:t>L'entrepreneur est tenu de contrôler les dimensions sur place et de vérifier si les planchers peuvent être exécutés selon les plans soumis. Il y a lieu de tenir compte de la hauteur libre requise par rapport au niveau du sol. Lorsque cela s'avère impossible, il en avertit l'auteur de projet ou le bureau d’étude le jour dans les plus brefs délais.</w:t>
      </w:r>
    </w:p>
    <w:p w14:paraId="3095AC45" w14:textId="77777777" w:rsidR="00DB2B68" w:rsidRDefault="00000000">
      <w:pPr>
        <w:jc w:val="both"/>
      </w:pPr>
      <w:r>
        <w:t>Les sections de l’ossature préfabriquée, les modes de jonctions aux parois, les plans de pose et les calculs sont toujours établis et signés par un ingénieur en stabilité diplômé, attaché au fournisseur, et ce, aux frais de l'entrepreneur.</w:t>
      </w:r>
    </w:p>
    <w:p w14:paraId="78FE9992" w14:textId="77777777" w:rsidR="00DB2B68" w:rsidRDefault="00000000">
      <w:pPr>
        <w:jc w:val="both"/>
      </w:pPr>
      <w:r>
        <w:t>L’entrepreneur soumet pour approbation les plans de fabrication, d’exécution et de montage au maître d’ouvrage et à l’auteur de projet avant d’en entamer la réalisation.</w:t>
      </w:r>
    </w:p>
    <w:p w14:paraId="5A567351" w14:textId="77777777" w:rsidR="00DB2B68" w:rsidRDefault="00000000">
      <w:pPr>
        <w:jc w:val="both"/>
      </w:pPr>
      <w:r>
        <w:t>Tous les bâtiments ou parties de bâtiments construits en bois respectent les tolérances de mise en œuvre énoncées dans la [STS 23-1].</w:t>
      </w:r>
    </w:p>
    <w:p w14:paraId="4192DF3D" w14:textId="77777777" w:rsidR="00DB2B68" w:rsidRDefault="00000000">
      <w:pPr>
        <w:jc w:val="both"/>
      </w:pPr>
      <w:r>
        <w:t>Les planchers préfabriqués sont manutentionnés, stockés et mis en œuvre en respectant la documentation technique accompagnant le produit.</w:t>
      </w:r>
    </w:p>
    <w:p w14:paraId="3A8B07D1" w14:textId="77777777" w:rsidR="00DB2B68" w:rsidRDefault="00000000">
      <w:pPr>
        <w:jc w:val="both"/>
      </w:pPr>
      <w:r>
        <w:t>Les faces visibles des planchers sont protégées pour le transport et durant toute la mise en œuvre.</w:t>
      </w:r>
    </w:p>
    <w:p w14:paraId="02B7C2E8" w14:textId="77777777" w:rsidR="00DB2B68" w:rsidRDefault="00000000">
      <w:pPr>
        <w:jc w:val="both"/>
      </w:pPr>
      <w:r>
        <w:rPr>
          <w:b/>
        </w:rPr>
        <w:t>Pose sur des muralières en bois</w:t>
      </w:r>
    </w:p>
    <w:p w14:paraId="5EBCF9EC" w14:textId="77777777" w:rsidR="00DB2B68" w:rsidRDefault="00000000">
      <w:pPr>
        <w:jc w:val="both"/>
      </w:pPr>
      <w:r>
        <w:t>Les planchers sont posés sur des muralières en bois solidement ancrées à l’intérieur du nu des murs porteurs et de façades, et y sont ancrés. </w:t>
      </w:r>
    </w:p>
    <w:p w14:paraId="12CCC30F" w14:textId="77777777" w:rsidR="00DB2B68" w:rsidRDefault="00000000">
      <w:pPr>
        <w:jc w:val="both"/>
      </w:pPr>
      <w:r>
        <w:rPr>
          <w:b/>
        </w:rPr>
        <w:t>Pose au travers de muralières intégrées aux planchers</w:t>
      </w:r>
    </w:p>
    <w:p w14:paraId="5463C547" w14:textId="77777777" w:rsidR="00DB2B68" w:rsidRDefault="00000000">
      <w:pPr>
        <w:jc w:val="both"/>
      </w:pPr>
      <w:r>
        <w:t>Un gîtage périphérique est intégré aux planchers préfabriqués. Il fait office de muralières et les planchers sont fixés aux murs à travers celles-ci. </w:t>
      </w:r>
    </w:p>
    <w:p w14:paraId="129422CA" w14:textId="77777777" w:rsidR="00DB2B68" w:rsidRDefault="00000000">
      <w:pPr>
        <w:jc w:val="both"/>
      </w:pPr>
      <w:r>
        <w:rPr>
          <w:b/>
        </w:rPr>
        <w:t>Pose sur/dans des profilés métalliques</w:t>
      </w:r>
    </w:p>
    <w:p w14:paraId="58076BBC" w14:textId="77777777" w:rsidR="00DB2B68" w:rsidRDefault="00000000">
      <w:pPr>
        <w:jc w:val="both"/>
      </w:pPr>
      <w:r>
        <w:t>Les hourdis sont posés sur/dans des profilés métalliques (cornières L, U, etc.) solidement ancrés à l’intérieur du nu des murs porteurs et de façades.</w:t>
      </w:r>
    </w:p>
    <w:p w14:paraId="2FBCE8A9" w14:textId="77777777" w:rsidR="00DB2B68" w:rsidRDefault="00000000">
      <w:pPr>
        <w:jc w:val="both"/>
      </w:pPr>
      <w:r>
        <w:t>Les extrémités des planchers sont usinées pour s’insérer et s’appuyer sur ces profilés qui sont destinés à être apparents ou cachés (précisé dans les articles). </w:t>
      </w:r>
    </w:p>
    <w:p w14:paraId="7D365B4E" w14:textId="77777777" w:rsidR="00DB2B68" w:rsidRDefault="00000000">
      <w:pPr>
        <w:jc w:val="both"/>
      </w:pPr>
      <w:r>
        <w:rPr>
          <w:b/>
        </w:rPr>
        <w:t>Pose sur les têtes des murs</w:t>
      </w:r>
    </w:p>
    <w:p w14:paraId="2959BD38" w14:textId="77777777" w:rsidR="00DB2B68" w:rsidRDefault="00000000">
      <w:pPr>
        <w:jc w:val="both"/>
      </w:pPr>
      <w:r>
        <w:t>Les planchers sont posés sur les têtes des murs porteurs et de façades, et y sont ancrés. </w:t>
      </w:r>
    </w:p>
    <w:p w14:paraId="72BCC6D0" w14:textId="77777777" w:rsidR="00DB2B68" w:rsidRDefault="00000000">
      <w:pPr>
        <w:jc w:val="both"/>
      </w:pPr>
      <w:r>
        <w:lastRenderedPageBreak/>
        <w:t>Les éventuelles muralières ou profilés métalliques périphériques pour la pose sont compris dans le présent travail.</w:t>
      </w:r>
    </w:p>
    <w:p w14:paraId="4F23FF9D" w14:textId="77777777" w:rsidR="00DB2B68" w:rsidRDefault="00000000">
      <w:pPr>
        <w:pStyle w:val="Author-eSectionHeading6Numberless"/>
      </w:pPr>
      <w:bookmarkStart w:id="1670" w:name="_Toc220496654"/>
      <w:r>
        <w:t>24.22.2a Planchers ossature bois préfabriqués CCTB 01.12</w:t>
      </w:r>
      <w:bookmarkEnd w:id="1670"/>
    </w:p>
    <w:p w14:paraId="33121329" w14:textId="77777777" w:rsidR="00DB2B68" w:rsidRDefault="00000000">
      <w:pPr>
        <w:pStyle w:val="pheading"/>
      </w:pPr>
      <w:r>
        <w:t>DESCRIPTION</w:t>
      </w:r>
    </w:p>
    <w:p w14:paraId="5775DFAA" w14:textId="77777777" w:rsidR="00DB2B68" w:rsidRDefault="00000000">
      <w:pPr>
        <w:pStyle w:val="pheading"/>
      </w:pPr>
      <w:r>
        <w:t>- Définition / Comprend</w:t>
      </w:r>
    </w:p>
    <w:p w14:paraId="60125971" w14:textId="77777777" w:rsidR="00DB2B68" w:rsidRDefault="00000000">
      <w:pPr>
        <w:jc w:val="both"/>
      </w:pPr>
      <w:r>
        <w:t>Il s'agit de la fourniture et la pose de planchers intérieurs préfabriqués en atelier, constitués d’une structure en bois, de panneaux d’habillage en bois et de tous les accessoires de fixation.</w:t>
      </w:r>
    </w:p>
    <w:p w14:paraId="3AFE3857" w14:textId="77777777" w:rsidR="00DB2B68" w:rsidRDefault="00000000">
      <w:pPr>
        <w:pStyle w:val="pheading"/>
      </w:pPr>
      <w:r>
        <w:t>MATÉRIAUX</w:t>
      </w:r>
    </w:p>
    <w:p w14:paraId="45C437D9" w14:textId="77777777" w:rsidR="00DB2B68" w:rsidRDefault="00000000">
      <w:pPr>
        <w:pStyle w:val="pheading"/>
      </w:pPr>
      <w:r>
        <w:t>- Caractéristiques générales</w:t>
      </w:r>
    </w:p>
    <w:p w14:paraId="139F5C4C" w14:textId="77777777" w:rsidR="00DB2B68" w:rsidRDefault="00000000">
      <w:pPr>
        <w:pStyle w:val="Author-eListParagraph"/>
        <w:numPr>
          <w:ilvl w:val="0"/>
          <w:numId w:val="903"/>
        </w:numPr>
      </w:pPr>
      <w:r>
        <w:t xml:space="preserve">Classe d’emploi/de risque, suivant la [NBN EN 335] : </w:t>
      </w:r>
      <w:r>
        <w:rPr>
          <w:rStyle w:val="optioncarChar"/>
        </w:rPr>
        <w:t xml:space="preserve">1 / 2 </w:t>
      </w:r>
      <w:r>
        <w:t xml:space="preserve">(par défaut) </w:t>
      </w:r>
      <w:r>
        <w:rPr>
          <w:rStyle w:val="optioncarChar"/>
        </w:rPr>
        <w:t>/ 3</w:t>
      </w:r>
    </w:p>
    <w:p w14:paraId="63A488A1" w14:textId="77777777" w:rsidR="00DB2B68" w:rsidRDefault="00000000">
      <w:pPr>
        <w:pStyle w:val="Author-eListParagraph"/>
        <w:numPr>
          <w:ilvl w:val="0"/>
          <w:numId w:val="903"/>
        </w:numPr>
      </w:pPr>
      <w:r>
        <w:t xml:space="preserve">Hauteur totale disponible pour le plancher : ≤ </w:t>
      </w:r>
      <w:r>
        <w:rPr>
          <w:rStyle w:val="optioncarChar"/>
        </w:rPr>
        <w:t xml:space="preserve">selon les indications sur les plans </w:t>
      </w:r>
      <w:r>
        <w:t xml:space="preserve">(par défaut) </w:t>
      </w:r>
      <w:r>
        <w:rPr>
          <w:rStyle w:val="optioncarChar"/>
        </w:rPr>
        <w:t xml:space="preserve">/ 120 / 140 /160 / 180 / 200 / 220 / 280 / 310 / 350 / 450 / 500 / 550 / 650 </w:t>
      </w:r>
      <w:r>
        <w:t>mm, tolérance ± 10 mm</w:t>
      </w:r>
    </w:p>
    <w:p w14:paraId="3A1A6B18" w14:textId="77777777" w:rsidR="00DB2B68" w:rsidRDefault="00000000">
      <w:pPr>
        <w:pStyle w:val="Author-eListParagraph"/>
        <w:numPr>
          <w:ilvl w:val="0"/>
          <w:numId w:val="903"/>
        </w:numPr>
      </w:pPr>
      <w:r>
        <w:t>Portée : ≤</w:t>
      </w:r>
      <w:r>
        <w:rPr>
          <w:rStyle w:val="optioncarChar"/>
        </w:rPr>
        <w:t xml:space="preserve"> selon les indications sur les plans </w:t>
      </w:r>
      <w:r>
        <w:t>(par défaut)</w:t>
      </w:r>
      <w:r>
        <w:rPr>
          <w:rStyle w:val="optioncarChar"/>
        </w:rPr>
        <w:t xml:space="preserve"> / 4 / 5 / 6 </w:t>
      </w:r>
      <w:r>
        <w:t>(par défaut)</w:t>
      </w:r>
      <w:r>
        <w:rPr>
          <w:rStyle w:val="optioncarChar"/>
        </w:rPr>
        <w:t xml:space="preserve"> / 7 / 8 / 9</w:t>
      </w:r>
      <w:r>
        <w:t xml:space="preserve"> m</w:t>
      </w:r>
    </w:p>
    <w:p w14:paraId="228B530F" w14:textId="77777777" w:rsidR="00DB2B68" w:rsidRDefault="00000000">
      <w:pPr>
        <w:pStyle w:val="Author-eListParagraph"/>
        <w:numPr>
          <w:ilvl w:val="0"/>
          <w:numId w:val="903"/>
        </w:numPr>
      </w:pPr>
      <w:r>
        <w:t xml:space="preserve">Les planchers sont calculés pour une charge d’exploitation, suivant l’Eurocode [NBN EN 1991-1-4], [NBN EN 1991-1-4 ANB], [NBN EN 1991-1-4/A1] : </w:t>
      </w:r>
      <w:r>
        <w:rPr>
          <w:rStyle w:val="optioncarChar"/>
        </w:rPr>
        <w:t xml:space="preserve">selon l’affectation des locaux sur les plans </w:t>
      </w:r>
      <w:r>
        <w:t>(par défaut)</w:t>
      </w:r>
      <w:r>
        <w:rPr>
          <w:rStyle w:val="optioncarChar"/>
        </w:rPr>
        <w:t xml:space="preserve"> / 2 / 3 / 4 / 5</w:t>
      </w:r>
      <w:r>
        <w:t xml:space="preserve"> kN/m²</w:t>
      </w:r>
    </w:p>
    <w:p w14:paraId="55FE2A09" w14:textId="77777777" w:rsidR="00DB2B68" w:rsidRDefault="00000000">
      <w:pPr>
        <w:pStyle w:val="Author-eListParagraph"/>
        <w:numPr>
          <w:ilvl w:val="0"/>
          <w:numId w:val="903"/>
        </w:numPr>
      </w:pPr>
      <w:r>
        <w:t xml:space="preserve">Le critère de flèche, suivant la [NBN B 03-003] est de : </w:t>
      </w:r>
      <w:r>
        <w:rPr>
          <w:rStyle w:val="optioncarChar"/>
        </w:rPr>
        <w:t>L/500</w:t>
      </w:r>
      <w:r>
        <w:t xml:space="preserve"> (par défaut)</w:t>
      </w:r>
      <w:r>
        <w:rPr>
          <w:rStyle w:val="optioncarChar"/>
        </w:rPr>
        <w:t xml:space="preserve"> / L/450 / L/300 / L/250 / ***</w:t>
      </w:r>
    </w:p>
    <w:p w14:paraId="129F6EF8" w14:textId="77777777" w:rsidR="00DB2B68" w:rsidRDefault="00000000">
      <w:pPr>
        <w:pStyle w:val="Author-eListParagraph"/>
        <w:numPr>
          <w:ilvl w:val="0"/>
          <w:numId w:val="903"/>
        </w:numPr>
      </w:pPr>
      <w:r>
        <w:t>Classe de réaction au feu, selon la [NBN EN 13501-1] : D-s1, d0</w:t>
      </w:r>
    </w:p>
    <w:p w14:paraId="0970CF74" w14:textId="77777777" w:rsidR="00DB2B68" w:rsidRDefault="00000000">
      <w:pPr>
        <w:jc w:val="both"/>
      </w:pPr>
      <w:r>
        <w:rPr>
          <w:b/>
        </w:rPr>
        <w:t>Structures portantes</w:t>
      </w:r>
    </w:p>
    <w:p w14:paraId="47D340D3" w14:textId="77777777" w:rsidR="00DB2B68" w:rsidRDefault="00000000">
      <w:pPr>
        <w:jc w:val="both"/>
      </w:pPr>
      <w:r>
        <w:t>La structure portante est constituée d’un gîtage/solivage en bois :</w:t>
      </w:r>
    </w:p>
    <w:p w14:paraId="0E6AB486" w14:textId="77777777" w:rsidR="00DB2B68" w:rsidRDefault="00000000">
      <w:pPr>
        <w:pStyle w:val="Author-eListParagraph"/>
        <w:numPr>
          <w:ilvl w:val="0"/>
          <w:numId w:val="904"/>
        </w:numPr>
      </w:pPr>
      <w:r>
        <w:t xml:space="preserve">Gamme de produits du bois : </w:t>
      </w:r>
      <w:r>
        <w:rPr>
          <w:rStyle w:val="optioncarChar"/>
        </w:rPr>
        <w:t>massif </w:t>
      </w:r>
      <w:r>
        <w:t>(par défaut)</w:t>
      </w:r>
      <w:r>
        <w:rPr>
          <w:rStyle w:val="optioncarChar"/>
        </w:rPr>
        <w:t xml:space="preserve"> / massif abouté / lamellé-collé / poutres en I avec âme en bois / poutres en I avec âme en métal / poutre treillis en bois / poutre treillis à diagonales en métal / LVL / ***</w:t>
      </w:r>
    </w:p>
    <w:p w14:paraId="2E9C324D" w14:textId="77777777" w:rsidR="00DB2B68" w:rsidRDefault="00000000">
      <w:pPr>
        <w:pStyle w:val="Author-eListParagraph"/>
        <w:numPr>
          <w:ilvl w:val="0"/>
          <w:numId w:val="904"/>
        </w:numPr>
      </w:pPr>
      <w:r>
        <w:t xml:space="preserve">Essence de bois :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39428199" w14:textId="77777777" w:rsidR="00DB2B68" w:rsidRDefault="00000000">
      <w:pPr>
        <w:pStyle w:val="Author-eListParagraph"/>
        <w:numPr>
          <w:ilvl w:val="0"/>
          <w:numId w:val="904"/>
        </w:numPr>
      </w:pPr>
      <w:r>
        <w:t xml:space="preserve">Classe de résistance ≥ </w:t>
      </w:r>
      <w:r>
        <w:rPr>
          <w:rStyle w:val="optioncarChar"/>
        </w:rPr>
        <w:t>suivant l’étude</w:t>
      </w:r>
      <w:r>
        <w:t xml:space="preserve"> (par défaut)</w:t>
      </w:r>
      <w:r>
        <w:rPr>
          <w:rStyle w:val="optioncarChar"/>
        </w:rPr>
        <w:t xml:space="preserve"> / C16 / C18 / C24</w:t>
      </w:r>
    </w:p>
    <w:p w14:paraId="4772AB50" w14:textId="77777777" w:rsidR="00DB2B68" w:rsidRDefault="00000000">
      <w:pPr>
        <w:pStyle w:val="Author-eListParagraph"/>
        <w:numPr>
          <w:ilvl w:val="0"/>
          <w:numId w:val="904"/>
        </w:numPr>
      </w:pPr>
      <w:r>
        <w:t xml:space="preserve">Largeur/épaisseur : </w:t>
      </w:r>
      <w:r>
        <w:rPr>
          <w:rStyle w:val="optioncarChar"/>
        </w:rPr>
        <w:t>suivant l’étude</w:t>
      </w:r>
      <w:r>
        <w:t xml:space="preserve"> (par défaut)</w:t>
      </w:r>
      <w:r>
        <w:rPr>
          <w:rStyle w:val="optioncarChar"/>
        </w:rPr>
        <w:t xml:space="preserve"> / 32 / 38 / 45 / 63 / 75 / 100 </w:t>
      </w:r>
      <w:r>
        <w:t>mm, tolérance ± 5 mm</w:t>
      </w:r>
    </w:p>
    <w:p w14:paraId="15230903" w14:textId="77777777" w:rsidR="00DB2B68" w:rsidRDefault="00000000">
      <w:pPr>
        <w:jc w:val="both"/>
      </w:pPr>
      <w:r>
        <w:rPr>
          <w:b/>
        </w:rPr>
        <w:t>Panneautage supérieur</w:t>
      </w:r>
    </w:p>
    <w:p w14:paraId="7C1D6F9C" w14:textId="77777777" w:rsidR="00DB2B68" w:rsidRDefault="00000000">
      <w:pPr>
        <w:jc w:val="both"/>
      </w:pPr>
      <w:r>
        <w:t xml:space="preserve">Présence de panneaux/platelage supérieurs : </w:t>
      </w:r>
      <w:r>
        <w:rPr>
          <w:rStyle w:val="optioncarChar"/>
        </w:rPr>
        <w:t xml:space="preserve">oui </w:t>
      </w:r>
      <w:r>
        <w:t xml:space="preserve">(par défaut) </w:t>
      </w:r>
      <w:r>
        <w:rPr>
          <w:rStyle w:val="optioncarChar"/>
        </w:rPr>
        <w:t>/ non </w:t>
      </w:r>
    </w:p>
    <w:p w14:paraId="104FA45E" w14:textId="77777777" w:rsidR="00DB2B68" w:rsidRDefault="00000000">
      <w:pPr>
        <w:jc w:val="both"/>
      </w:pPr>
      <w:r>
        <w:t>Dans le cas où la face supérieure de la structure du plancher est habillée avec des panneaux/planches en bois :</w:t>
      </w:r>
    </w:p>
    <w:p w14:paraId="5A6164D1" w14:textId="77777777" w:rsidR="00DB2B68" w:rsidRDefault="00000000">
      <w:pPr>
        <w:pStyle w:val="Author-eListParagraph"/>
        <w:numPr>
          <w:ilvl w:val="0"/>
          <w:numId w:val="905"/>
        </w:numPr>
      </w:pPr>
      <w:r>
        <w:t xml:space="preserve">Type d’habillage : </w:t>
      </w:r>
      <w:r>
        <w:rPr>
          <w:rStyle w:val="optioncarChar"/>
        </w:rPr>
        <w:t xml:space="preserve">bois massif </w:t>
      </w:r>
      <w:r>
        <w:t>(par défaut)</w:t>
      </w:r>
      <w:r>
        <w:rPr>
          <w:rStyle w:val="optioncarChar"/>
        </w:rPr>
        <w:t xml:space="preserve"> / LVL / panneaux de contreplaqué / panneaux OSB / panneaux MDF</w:t>
      </w:r>
    </w:p>
    <w:p w14:paraId="65658861" w14:textId="77777777" w:rsidR="00DB2B68" w:rsidRDefault="00000000">
      <w:pPr>
        <w:ind w:left="567"/>
        <w:jc w:val="both"/>
      </w:pPr>
      <w:r>
        <w:rPr>
          <w:b/>
        </w:rPr>
        <w:t>(soit par défaut)</w:t>
      </w:r>
    </w:p>
    <w:p w14:paraId="032DE502" w14:textId="77777777" w:rsidR="00DB2B68" w:rsidRDefault="00000000">
      <w:pPr>
        <w:ind w:left="567"/>
        <w:jc w:val="both"/>
      </w:pPr>
      <w:r>
        <w:rPr>
          <w:rStyle w:val="soitChar"/>
          <w:u w:val="single"/>
        </w:rPr>
        <w:t>Bois massif :</w:t>
      </w:r>
    </w:p>
    <w:p w14:paraId="12B72332" w14:textId="77777777" w:rsidR="00DB2B68" w:rsidRDefault="00000000">
      <w:pPr>
        <w:pStyle w:val="Author-eListParagraph"/>
        <w:numPr>
          <w:ilvl w:val="0"/>
          <w:numId w:val="906"/>
        </w:numPr>
        <w:jc w:val="both"/>
      </w:pPr>
      <w:r>
        <w:rPr>
          <w:rStyle w:val="soitChar"/>
        </w:rPr>
        <w:t>Essence de bois :</w:t>
      </w:r>
      <w:r>
        <w:rPr>
          <w:rStyle w:val="optioncarChar"/>
        </w:rPr>
        <w:t xml:space="preserve">au choix de l’entrepreneur, à soumettre à l’approbation de l’architecte et du maître de l’ouvrage </w:t>
      </w:r>
      <w:r>
        <w:t xml:space="preserve">(par défaut) </w:t>
      </w:r>
      <w:r>
        <w:rPr>
          <w:rStyle w:val="optioncarChar"/>
        </w:rPr>
        <w:t>/ sapin / épicéa / pin sylvestre (sapin rouge du Nord - SRN) / mélèze / douglas / pin d’Oregon / chêne / hêtre / châtaignier / ***</w:t>
      </w:r>
    </w:p>
    <w:p w14:paraId="16CDE1C0" w14:textId="77777777" w:rsidR="00DB2B68" w:rsidRDefault="00000000">
      <w:pPr>
        <w:pStyle w:val="Author-eListParagraph"/>
        <w:numPr>
          <w:ilvl w:val="0"/>
          <w:numId w:val="906"/>
        </w:numPr>
        <w:jc w:val="both"/>
      </w:pPr>
      <w:r>
        <w:rPr>
          <w:rStyle w:val="soitChar"/>
        </w:rPr>
        <w:t>Epaisseur des planches ≥</w:t>
      </w:r>
      <w:r>
        <w:rPr>
          <w:rStyle w:val="optioncarChar"/>
        </w:rPr>
        <w:t>suivant l’étude</w:t>
      </w:r>
      <w:r>
        <w:t xml:space="preserve"> (par défaut)</w:t>
      </w:r>
      <w:r>
        <w:rPr>
          <w:rStyle w:val="optioncarChar"/>
        </w:rPr>
        <w:t xml:space="preserve"> / 18 / 20 / 25 / 30 / 35 / 40 / 45 </w:t>
      </w:r>
      <w:r>
        <w:rPr>
          <w:rStyle w:val="soitChar"/>
        </w:rPr>
        <w:t>mm</w:t>
      </w:r>
    </w:p>
    <w:p w14:paraId="735A5026" w14:textId="77777777" w:rsidR="00DB2B68" w:rsidRDefault="00000000">
      <w:pPr>
        <w:pStyle w:val="Author-eListParagraph"/>
        <w:numPr>
          <w:ilvl w:val="0"/>
          <w:numId w:val="906"/>
        </w:numPr>
        <w:jc w:val="both"/>
      </w:pPr>
      <w:r>
        <w:rPr>
          <w:rStyle w:val="soitChar"/>
        </w:rPr>
        <w:t>Largeur des planches :</w:t>
      </w:r>
      <w:r>
        <w:rPr>
          <w:rStyle w:val="optioncarChar"/>
        </w:rPr>
        <w:t xml:space="preserve">120 / 140 / 160 </w:t>
      </w:r>
      <w:r>
        <w:t>(par défaut)</w:t>
      </w:r>
      <w:r>
        <w:rPr>
          <w:rStyle w:val="optioncarChar"/>
        </w:rPr>
        <w:t xml:space="preserve"> / 180 / 200 </w:t>
      </w:r>
      <w:r>
        <w:rPr>
          <w:rStyle w:val="soitChar"/>
        </w:rPr>
        <w:t>mm</w:t>
      </w:r>
    </w:p>
    <w:p w14:paraId="6AC1B3FE" w14:textId="77777777" w:rsidR="00DB2B68" w:rsidRDefault="00000000">
      <w:pPr>
        <w:ind w:left="567"/>
        <w:jc w:val="both"/>
      </w:pPr>
      <w:r>
        <w:rPr>
          <w:b/>
        </w:rPr>
        <w:t>(soit)</w:t>
      </w:r>
    </w:p>
    <w:p w14:paraId="24231096" w14:textId="77777777" w:rsidR="00DB2B68" w:rsidRDefault="00000000">
      <w:pPr>
        <w:ind w:left="567"/>
        <w:jc w:val="both"/>
      </w:pPr>
      <w:r>
        <w:rPr>
          <w:rStyle w:val="soitChar"/>
          <w:u w:val="single"/>
        </w:rPr>
        <w:t>LVL :</w:t>
      </w:r>
    </w:p>
    <w:p w14:paraId="704000E3" w14:textId="77777777" w:rsidR="00DB2B68" w:rsidRDefault="00000000">
      <w:pPr>
        <w:pStyle w:val="Author-eListParagraph"/>
        <w:numPr>
          <w:ilvl w:val="0"/>
          <w:numId w:val="907"/>
        </w:numPr>
        <w:jc w:val="both"/>
      </w:pPr>
      <w:r>
        <w:rPr>
          <w:rStyle w:val="soitChar"/>
        </w:rPr>
        <w:lastRenderedPageBreak/>
        <w:t>Classe de collage, selon la [NBN EN 314-2] :</w:t>
      </w:r>
      <w:r>
        <w:rPr>
          <w:rStyle w:val="optioncarChar"/>
        </w:rPr>
        <w:t xml:space="preserve">1 (int.) / 2 (ext. à l’abri) </w:t>
      </w:r>
      <w:r>
        <w:t>(par défaut)</w:t>
      </w:r>
      <w:r>
        <w:rPr>
          <w:rStyle w:val="optioncarChar"/>
        </w:rPr>
        <w:t xml:space="preserve"> / 3 (ext.)</w:t>
      </w:r>
    </w:p>
    <w:p w14:paraId="626EFFB8" w14:textId="77777777" w:rsidR="00DB2B68" w:rsidRDefault="00000000">
      <w:pPr>
        <w:pStyle w:val="Author-eListParagraph"/>
        <w:numPr>
          <w:ilvl w:val="0"/>
          <w:numId w:val="907"/>
        </w:numPr>
        <w:jc w:val="both"/>
      </w:pPr>
      <w:r>
        <w:rPr>
          <w:rStyle w:val="soitChar"/>
        </w:rPr>
        <w:t>Classe d’émission de formaldéhyde, selon la [NBN EN ISO 12460-5]:</w:t>
      </w:r>
      <w:r>
        <w:rPr>
          <w:rStyle w:val="optioncarChar"/>
        </w:rPr>
        <w:t xml:space="preserve">E1 </w:t>
      </w:r>
      <w:r>
        <w:t>(par défaut)</w:t>
      </w:r>
      <w:r>
        <w:rPr>
          <w:rStyle w:val="optioncarChar"/>
        </w:rPr>
        <w:t xml:space="preserve"> / E2</w:t>
      </w:r>
    </w:p>
    <w:p w14:paraId="57552E67" w14:textId="77777777" w:rsidR="00DB2B68" w:rsidRDefault="00000000">
      <w:pPr>
        <w:pStyle w:val="Author-eListParagraph"/>
        <w:numPr>
          <w:ilvl w:val="0"/>
          <w:numId w:val="907"/>
        </w:numPr>
        <w:jc w:val="both"/>
      </w:pPr>
      <w:r>
        <w:rPr>
          <w:rStyle w:val="soitChar"/>
        </w:rPr>
        <w:t>Essence de bois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79E20938" w14:textId="77777777" w:rsidR="00DB2B68" w:rsidRDefault="00000000">
      <w:pPr>
        <w:pStyle w:val="Author-eListParagraph"/>
        <w:numPr>
          <w:ilvl w:val="0"/>
          <w:numId w:val="907"/>
        </w:numPr>
        <w:jc w:val="both"/>
      </w:pPr>
      <w:r>
        <w:rPr>
          <w:rStyle w:val="soitChar"/>
        </w:rPr>
        <w:t>Epaisseur des panneaux, en mm :</w:t>
      </w:r>
      <w:r>
        <w:rPr>
          <w:rStyle w:val="optioncarChar"/>
        </w:rPr>
        <w:t>suivant l’étude</w:t>
      </w:r>
      <w:r>
        <w:t xml:space="preserve"> (par défaut) </w:t>
      </w:r>
      <w:r>
        <w:rPr>
          <w:rStyle w:val="optioncarChar"/>
        </w:rPr>
        <w:t>/ 27 / 32 / 37 / 42 / 47 / 52</w:t>
      </w:r>
    </w:p>
    <w:p w14:paraId="6F88A772" w14:textId="77777777" w:rsidR="00DB2B68" w:rsidRDefault="00000000">
      <w:pPr>
        <w:ind w:left="567"/>
        <w:jc w:val="both"/>
      </w:pPr>
      <w:r>
        <w:rPr>
          <w:b/>
        </w:rPr>
        <w:t>(soit)</w:t>
      </w:r>
    </w:p>
    <w:p w14:paraId="688CB53A" w14:textId="77777777" w:rsidR="00DB2B68" w:rsidRDefault="00000000">
      <w:pPr>
        <w:ind w:left="567"/>
        <w:jc w:val="both"/>
      </w:pPr>
      <w:r>
        <w:rPr>
          <w:rStyle w:val="soitChar"/>
          <w:u w:val="single"/>
        </w:rPr>
        <w:t>Panneaux de contreplaqué :</w:t>
      </w:r>
    </w:p>
    <w:p w14:paraId="791152CD" w14:textId="77777777" w:rsidR="00DB2B68" w:rsidRDefault="00000000">
      <w:pPr>
        <w:pStyle w:val="Author-eListParagraph"/>
        <w:numPr>
          <w:ilvl w:val="0"/>
          <w:numId w:val="908"/>
        </w:numPr>
        <w:jc w:val="both"/>
      </w:pPr>
      <w:r>
        <w:rPr>
          <w:rStyle w:val="soitChar"/>
        </w:rPr>
        <w:t>Classe de collage, selon la [NBN EN 314-2] :</w:t>
      </w:r>
      <w:r>
        <w:rPr>
          <w:rStyle w:val="optioncarChar"/>
        </w:rPr>
        <w:t>1 (int.) / 2 (ext. à l’abri)</w:t>
      </w:r>
      <w:r>
        <w:t xml:space="preserve"> (par défaut)</w:t>
      </w:r>
      <w:r>
        <w:rPr>
          <w:rStyle w:val="optioncarChar"/>
        </w:rPr>
        <w:t xml:space="preserve"> / 3 (ext.)</w:t>
      </w:r>
    </w:p>
    <w:p w14:paraId="28A26F6C" w14:textId="77777777" w:rsidR="00DB2B68" w:rsidRDefault="00000000">
      <w:pPr>
        <w:pStyle w:val="Author-eListParagraph"/>
        <w:numPr>
          <w:ilvl w:val="0"/>
          <w:numId w:val="908"/>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7A9939E7" w14:textId="77777777" w:rsidR="00DB2B68" w:rsidRDefault="00000000">
      <w:pPr>
        <w:pStyle w:val="Author-eListParagraph"/>
        <w:numPr>
          <w:ilvl w:val="0"/>
          <w:numId w:val="908"/>
        </w:numPr>
        <w:jc w:val="both"/>
      </w:pPr>
      <w:r>
        <w:rPr>
          <w:rStyle w:val="soitChar"/>
        </w:rPr>
        <w:t>Essence :</w:t>
      </w:r>
      <w:r>
        <w:rPr>
          <w:rStyle w:val="optioncarChar"/>
        </w:rPr>
        <w:t xml:space="preserve">au choix de l’entrepreneur, à soumettre à l’approbation de l’architecte et du maître de l’ouvrage </w:t>
      </w:r>
      <w:r>
        <w:t>(par défaut)</w:t>
      </w:r>
      <w:r>
        <w:rPr>
          <w:rStyle w:val="optioncarChar"/>
        </w:rPr>
        <w:t xml:space="preserve"> / okoumé / Oregon / dark red méranti / bouleau / ***</w:t>
      </w:r>
    </w:p>
    <w:p w14:paraId="634F518C" w14:textId="77777777" w:rsidR="00DB2B68" w:rsidRDefault="00000000">
      <w:pPr>
        <w:pStyle w:val="Author-eListParagraph"/>
        <w:numPr>
          <w:ilvl w:val="0"/>
          <w:numId w:val="908"/>
        </w:numPr>
        <w:jc w:val="both"/>
      </w:pPr>
      <w:r>
        <w:rPr>
          <w:rStyle w:val="soitChar"/>
        </w:rPr>
        <w:t>Epaisseur des panneaux, en mm :</w:t>
      </w:r>
      <w:r>
        <w:rPr>
          <w:rStyle w:val="optioncarChar"/>
        </w:rPr>
        <w:t xml:space="preserve">suivant l’étude </w:t>
      </w:r>
      <w:r>
        <w:t>(par défaut)</w:t>
      </w:r>
      <w:r>
        <w:rPr>
          <w:rStyle w:val="optioncarChar"/>
        </w:rPr>
        <w:t xml:space="preserve"> / 18 / 20 / 22 / 25 / 30</w:t>
      </w:r>
    </w:p>
    <w:p w14:paraId="74F840CC" w14:textId="77777777" w:rsidR="00DB2B68" w:rsidRDefault="00000000">
      <w:pPr>
        <w:ind w:left="567"/>
        <w:jc w:val="both"/>
      </w:pPr>
      <w:r>
        <w:rPr>
          <w:b/>
        </w:rPr>
        <w:t>(soit)</w:t>
      </w:r>
    </w:p>
    <w:p w14:paraId="72DAC340" w14:textId="77777777" w:rsidR="00DB2B68" w:rsidRDefault="00000000">
      <w:pPr>
        <w:ind w:left="567"/>
        <w:jc w:val="both"/>
      </w:pPr>
      <w:r>
        <w:rPr>
          <w:rStyle w:val="soitChar"/>
          <w:u w:val="single"/>
        </w:rPr>
        <w:t>Panneaux OSB :</w:t>
      </w:r>
    </w:p>
    <w:p w14:paraId="4D8152E1" w14:textId="77777777" w:rsidR="00DB2B68" w:rsidRDefault="00000000">
      <w:pPr>
        <w:pStyle w:val="Author-eListParagraph"/>
        <w:numPr>
          <w:ilvl w:val="0"/>
          <w:numId w:val="909"/>
        </w:numPr>
        <w:jc w:val="both"/>
      </w:pPr>
      <w:r>
        <w:rPr>
          <w:rStyle w:val="soitChar"/>
        </w:rPr>
        <w:t>Type de panneau OSB, selon la [NBN EN 312] :</w:t>
      </w:r>
      <w:r>
        <w:rPr>
          <w:rStyle w:val="optioncarChar"/>
        </w:rPr>
        <w:t>2 / 3</w:t>
      </w:r>
      <w:r>
        <w:t xml:space="preserve"> (par défaut)</w:t>
      </w:r>
      <w:r>
        <w:rPr>
          <w:rStyle w:val="optioncarChar"/>
        </w:rPr>
        <w:t xml:space="preserve"> / 4</w:t>
      </w:r>
    </w:p>
    <w:p w14:paraId="7555597A" w14:textId="77777777" w:rsidR="00DB2B68" w:rsidRDefault="00000000">
      <w:pPr>
        <w:pStyle w:val="Author-eListParagraph"/>
        <w:numPr>
          <w:ilvl w:val="0"/>
          <w:numId w:val="909"/>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6656920E" w14:textId="77777777" w:rsidR="00DB2B68" w:rsidRDefault="00000000">
      <w:pPr>
        <w:pStyle w:val="Author-eListParagraph"/>
        <w:numPr>
          <w:ilvl w:val="0"/>
          <w:numId w:val="909"/>
        </w:numPr>
        <w:jc w:val="both"/>
      </w:pPr>
      <w:r>
        <w:rPr>
          <w:rStyle w:val="soitChar"/>
        </w:rPr>
        <w:t>Epaisseur des panneaux, en mm :</w:t>
      </w:r>
      <w:r>
        <w:rPr>
          <w:rStyle w:val="optioncarChar"/>
        </w:rPr>
        <w:t xml:space="preserve">suivant l’étude </w:t>
      </w:r>
      <w:r>
        <w:t>(par défaut)</w:t>
      </w:r>
      <w:r>
        <w:rPr>
          <w:rStyle w:val="optioncarChar"/>
        </w:rPr>
        <w:t xml:space="preserve"> / 18 / 22</w:t>
      </w:r>
    </w:p>
    <w:p w14:paraId="222E234A" w14:textId="77777777" w:rsidR="00DB2B68" w:rsidRDefault="00000000">
      <w:pPr>
        <w:ind w:left="567"/>
        <w:jc w:val="both"/>
      </w:pPr>
      <w:r>
        <w:rPr>
          <w:b/>
        </w:rPr>
        <w:t>(soit)</w:t>
      </w:r>
    </w:p>
    <w:p w14:paraId="5F0C9F8E" w14:textId="77777777" w:rsidR="00DB2B68" w:rsidRDefault="00000000">
      <w:pPr>
        <w:ind w:left="567"/>
        <w:jc w:val="both"/>
      </w:pPr>
      <w:r>
        <w:rPr>
          <w:rStyle w:val="soitChar"/>
          <w:u w:val="single"/>
        </w:rPr>
        <w:t>Panneaux MDF :</w:t>
      </w:r>
    </w:p>
    <w:p w14:paraId="0251E3FB" w14:textId="77777777" w:rsidR="00DB2B68" w:rsidRDefault="00000000">
      <w:pPr>
        <w:pStyle w:val="Author-eListParagraph"/>
        <w:numPr>
          <w:ilvl w:val="0"/>
          <w:numId w:val="910"/>
        </w:numPr>
        <w:jc w:val="both"/>
      </w:pPr>
      <w:r>
        <w:rPr>
          <w:rStyle w:val="soitChar"/>
        </w:rPr>
        <w:t>Classe d’émission de formaldéhyde, selon la [NBN EN ISO 12460-5] :</w:t>
      </w:r>
      <w:r>
        <w:rPr>
          <w:rStyle w:val="optioncarChar"/>
        </w:rPr>
        <w:t xml:space="preserve"> E1 </w:t>
      </w:r>
      <w:r>
        <w:t>(par défaut)</w:t>
      </w:r>
      <w:r>
        <w:rPr>
          <w:rStyle w:val="optioncarChar"/>
        </w:rPr>
        <w:t xml:space="preserve"> / E2</w:t>
      </w:r>
    </w:p>
    <w:p w14:paraId="1AA3BC0C" w14:textId="77777777" w:rsidR="00DB2B68" w:rsidRDefault="00000000">
      <w:pPr>
        <w:pStyle w:val="Author-eListParagraph"/>
        <w:numPr>
          <w:ilvl w:val="0"/>
          <w:numId w:val="910"/>
        </w:numPr>
        <w:jc w:val="both"/>
      </w:pPr>
      <w:r>
        <w:rPr>
          <w:rStyle w:val="soitChar"/>
        </w:rPr>
        <w:t>Type de panneau, selon [NBN EN 312] :</w:t>
      </w:r>
      <w:r>
        <w:t> </w:t>
      </w:r>
      <w:r>
        <w:rPr>
          <w:rStyle w:val="optioncarChar"/>
        </w:rPr>
        <w:t xml:space="preserve">MDF-HLS </w:t>
      </w:r>
      <w:r>
        <w:t xml:space="preserve">(par défaut) </w:t>
      </w:r>
      <w:r>
        <w:rPr>
          <w:rStyle w:val="optioncarChar"/>
        </w:rPr>
        <w:t>/ MDF LA</w:t>
      </w:r>
    </w:p>
    <w:p w14:paraId="1671E41E" w14:textId="77777777" w:rsidR="00DB2B68" w:rsidRDefault="00000000">
      <w:pPr>
        <w:pStyle w:val="Author-eListParagraph"/>
        <w:numPr>
          <w:ilvl w:val="0"/>
          <w:numId w:val="910"/>
        </w:numPr>
        <w:jc w:val="both"/>
      </w:pPr>
      <w:r>
        <w:rPr>
          <w:rStyle w:val="soitChar"/>
        </w:rPr>
        <w:t>Epaisseur des panneaux :</w:t>
      </w:r>
      <w:r>
        <w:rPr>
          <w:rStyle w:val="optioncarChar"/>
        </w:rPr>
        <w:t xml:space="preserve">suivant l’étude </w:t>
      </w:r>
      <w:r>
        <w:t>(par défaut)</w:t>
      </w:r>
      <w:r>
        <w:rPr>
          <w:rStyle w:val="optioncarChar"/>
        </w:rPr>
        <w:t xml:space="preserve"> / 18 / 22 / 25 / 30 / 38</w:t>
      </w:r>
      <w:r>
        <w:rPr>
          <w:rStyle w:val="soitChar"/>
        </w:rPr>
        <w:t xml:space="preserve"> mm</w:t>
      </w:r>
    </w:p>
    <w:p w14:paraId="2A490F84" w14:textId="77777777" w:rsidR="00DB2B68" w:rsidRDefault="00000000">
      <w:pPr>
        <w:pStyle w:val="Author-eListParagraph"/>
        <w:numPr>
          <w:ilvl w:val="0"/>
          <w:numId w:val="910"/>
        </w:numPr>
        <w:jc w:val="both"/>
      </w:pPr>
      <w:r>
        <w:rPr>
          <w:rStyle w:val="soitChar"/>
        </w:rPr>
        <w:t>Teinte des panneaux, dans la masse :</w:t>
      </w:r>
      <w:r>
        <w:rPr>
          <w:rStyle w:val="optioncarChar"/>
        </w:rPr>
        <w:t xml:space="preserve">naturel </w:t>
      </w:r>
      <w:r>
        <w:t>(par défaut)</w:t>
      </w:r>
      <w:r>
        <w:rPr>
          <w:rStyle w:val="optioncarChar"/>
        </w:rPr>
        <w:t xml:space="preserve"> / noir / rouge (ignifugé)</w:t>
      </w:r>
    </w:p>
    <w:p w14:paraId="4FE512C5" w14:textId="77777777" w:rsidR="00DB2B68" w:rsidRDefault="00DB2B68"/>
    <w:p w14:paraId="220DE4E9" w14:textId="77777777" w:rsidR="00DB2B68" w:rsidRDefault="00000000">
      <w:pPr>
        <w:pStyle w:val="Author-eListParagraph"/>
        <w:numPr>
          <w:ilvl w:val="0"/>
          <w:numId w:val="911"/>
        </w:numPr>
      </w:pPr>
      <w:r>
        <w:t xml:space="preserve">Finition des bords : </w:t>
      </w:r>
      <w:r>
        <w:rPr>
          <w:rStyle w:val="optioncarChar"/>
        </w:rPr>
        <w:t>droits</w:t>
      </w:r>
      <w:r>
        <w:t xml:space="preserve"> (par défaut) </w:t>
      </w:r>
      <w:r>
        <w:rPr>
          <w:rStyle w:val="optioncarChar"/>
        </w:rPr>
        <w:t>/ droits adoucis / droits chanfreinés / rainurés et languetés sur les quatre côtés / à mi-bois</w:t>
      </w:r>
    </w:p>
    <w:p w14:paraId="0A139437" w14:textId="77777777" w:rsidR="00DB2B68" w:rsidRDefault="00000000">
      <w:pPr>
        <w:pStyle w:val="Author-eListParagraph"/>
        <w:numPr>
          <w:ilvl w:val="0"/>
          <w:numId w:val="911"/>
        </w:numPr>
      </w:pPr>
      <w:r>
        <w:t xml:space="preserve">Finition de la face supérieure : </w:t>
      </w:r>
      <w:r>
        <w:rPr>
          <w:rStyle w:val="optioncarChar"/>
        </w:rPr>
        <w:t xml:space="preserve">non poncée </w:t>
      </w:r>
      <w:r>
        <w:t>(par défaut)</w:t>
      </w:r>
      <w:r>
        <w:rPr>
          <w:rStyle w:val="optioncarChar"/>
        </w:rPr>
        <w:t xml:space="preserve"> / poncée (vue)</w:t>
      </w:r>
    </w:p>
    <w:p w14:paraId="2C29C618" w14:textId="77777777" w:rsidR="00DB2B68" w:rsidRDefault="00000000">
      <w:pPr>
        <w:pStyle w:val="Author-eListParagraph"/>
        <w:numPr>
          <w:ilvl w:val="0"/>
          <w:numId w:val="911"/>
        </w:numPr>
      </w:pPr>
      <w:r>
        <w:t xml:space="preserve">Finition de la face inférieure : </w:t>
      </w:r>
      <w:r>
        <w:rPr>
          <w:rStyle w:val="optioncarChar"/>
        </w:rPr>
        <w:t xml:space="preserve">non poncée </w:t>
      </w:r>
      <w:r>
        <w:t xml:space="preserve">(par défaut) </w:t>
      </w:r>
      <w:r>
        <w:rPr>
          <w:rStyle w:val="optioncarChar"/>
        </w:rPr>
        <w:t>/ poncée (vue)</w:t>
      </w:r>
    </w:p>
    <w:p w14:paraId="59A13E77" w14:textId="77777777" w:rsidR="00DB2B68" w:rsidRDefault="00000000">
      <w:pPr>
        <w:pStyle w:val="Author-eListParagraph"/>
        <w:numPr>
          <w:ilvl w:val="0"/>
          <w:numId w:val="911"/>
        </w:numPr>
      </w:pPr>
      <w:r>
        <w:t>Les panneaux sont : </w:t>
      </w:r>
      <w:r>
        <w:rPr>
          <w:rStyle w:val="optioncarChar"/>
        </w:rPr>
        <w:t xml:space="preserve">contreventant </w:t>
      </w:r>
      <w:r>
        <w:t>(par défaut)</w:t>
      </w:r>
      <w:r>
        <w:rPr>
          <w:rStyle w:val="optioncarChar"/>
        </w:rPr>
        <w:t xml:space="preserve"> / non contreventant </w:t>
      </w:r>
    </w:p>
    <w:p w14:paraId="19E63A78" w14:textId="77777777" w:rsidR="00DB2B68" w:rsidRDefault="00000000">
      <w:pPr>
        <w:ind w:left="567"/>
        <w:jc w:val="both"/>
      </w:pPr>
      <w:r>
        <w:rPr>
          <w:b/>
        </w:rPr>
        <w:t>(soit par défaut)</w:t>
      </w:r>
    </w:p>
    <w:p w14:paraId="305DBBE7" w14:textId="77777777" w:rsidR="00DB2B68" w:rsidRDefault="00000000">
      <w:pPr>
        <w:ind w:left="567"/>
        <w:jc w:val="both"/>
      </w:pPr>
      <w:r>
        <w:rPr>
          <w:rStyle w:val="soitChar"/>
          <w:u w:val="single"/>
        </w:rPr>
        <w:t>Contreventant :</w:t>
      </w:r>
    </w:p>
    <w:p w14:paraId="16FE4A23" w14:textId="77777777" w:rsidR="00DB2B68" w:rsidRDefault="00000000">
      <w:pPr>
        <w:pStyle w:val="Author-eListParagraph"/>
        <w:numPr>
          <w:ilvl w:val="0"/>
          <w:numId w:val="912"/>
        </w:numPr>
        <w:jc w:val="both"/>
      </w:pPr>
      <w:r>
        <w:rPr>
          <w:rStyle w:val="soitChar"/>
        </w:rPr>
        <w:t>Résistance en flexion, selon la [NBN EN 310] ≥</w:t>
      </w:r>
      <w:r>
        <w:rPr>
          <w:rStyle w:val="optioncarChar"/>
        </w:rPr>
        <w:t xml:space="preserve"> suivant l’étude </w:t>
      </w:r>
      <w:r>
        <w:t>(par défaut)</w:t>
      </w:r>
      <w:r>
        <w:rPr>
          <w:rStyle w:val="optioncarChar"/>
        </w:rPr>
        <w:t xml:space="preserve"> / 12 / 14 / 16 / 35 / 40 / 50 </w:t>
      </w:r>
      <w:r>
        <w:rPr>
          <w:rStyle w:val="soitChar"/>
        </w:rPr>
        <w:t>N/mm²</w:t>
      </w:r>
    </w:p>
    <w:p w14:paraId="346EE38D" w14:textId="77777777" w:rsidR="00DB2B68" w:rsidRDefault="00000000">
      <w:pPr>
        <w:pStyle w:val="Author-eListParagraph"/>
        <w:numPr>
          <w:ilvl w:val="0"/>
          <w:numId w:val="912"/>
        </w:numPr>
        <w:jc w:val="both"/>
      </w:pPr>
      <w:r>
        <w:rPr>
          <w:rStyle w:val="soitChar"/>
        </w:rPr>
        <w:t>Module d’élasticité en flexion, selon la [NBN EN 310] ≥</w:t>
      </w:r>
      <w:r>
        <w:t> </w:t>
      </w:r>
      <w:r>
        <w:rPr>
          <w:rStyle w:val="optioncarChar"/>
        </w:rPr>
        <w:t xml:space="preserve">suivant l’étude </w:t>
      </w:r>
      <w:r>
        <w:t>(par défaut)</w:t>
      </w:r>
      <w:r>
        <w:rPr>
          <w:rStyle w:val="optioncarChar"/>
        </w:rPr>
        <w:t xml:space="preserve"> / 4000 / 6000 / 8000 </w:t>
      </w:r>
      <w:r>
        <w:rPr>
          <w:rStyle w:val="soitChar"/>
        </w:rPr>
        <w:t>N/mm²</w:t>
      </w:r>
    </w:p>
    <w:p w14:paraId="1D1C72F7" w14:textId="77777777" w:rsidR="00DB2B68" w:rsidRDefault="00000000">
      <w:pPr>
        <w:pStyle w:val="Author-eListParagraph"/>
        <w:numPr>
          <w:ilvl w:val="0"/>
          <w:numId w:val="912"/>
        </w:numPr>
        <w:jc w:val="both"/>
      </w:pPr>
      <w:r>
        <w:rPr>
          <w:rStyle w:val="soitChar"/>
        </w:rPr>
        <w:t>Traction perpendiculaire aux faces, selon la [NBN EN 319] ≥</w:t>
      </w:r>
      <w:r>
        <w:t> </w:t>
      </w:r>
      <w:r>
        <w:rPr>
          <w:rStyle w:val="optioncarChar"/>
        </w:rPr>
        <w:t>suivant l’étude</w:t>
      </w:r>
      <w:r>
        <w:t xml:space="preserve"> (par défaut) </w:t>
      </w:r>
      <w:r>
        <w:rPr>
          <w:rStyle w:val="optioncarChar"/>
        </w:rPr>
        <w:t xml:space="preserve">/ 0,30 / 0,35 / 0,4 </w:t>
      </w:r>
      <w:r>
        <w:rPr>
          <w:rStyle w:val="soitChar"/>
        </w:rPr>
        <w:t>N/mm²</w:t>
      </w:r>
    </w:p>
    <w:p w14:paraId="67731FEE" w14:textId="77777777" w:rsidR="00DB2B68" w:rsidRDefault="00000000">
      <w:pPr>
        <w:ind w:left="567"/>
        <w:jc w:val="both"/>
      </w:pPr>
      <w:r>
        <w:rPr>
          <w:b/>
        </w:rPr>
        <w:t>(soit)</w:t>
      </w:r>
    </w:p>
    <w:p w14:paraId="469CE220" w14:textId="77777777" w:rsidR="00DB2B68" w:rsidRDefault="00000000">
      <w:pPr>
        <w:ind w:left="567"/>
        <w:jc w:val="both"/>
      </w:pPr>
      <w:r>
        <w:rPr>
          <w:rStyle w:val="soitChar"/>
          <w:u w:val="single"/>
        </w:rPr>
        <w:t>Non-contreventant :</w:t>
      </w:r>
    </w:p>
    <w:p w14:paraId="0B9BB859" w14:textId="77777777" w:rsidR="00DB2B68" w:rsidRDefault="00000000">
      <w:pPr>
        <w:pStyle w:val="Author-eListParagraph"/>
        <w:numPr>
          <w:ilvl w:val="0"/>
          <w:numId w:val="913"/>
        </w:numPr>
        <w:jc w:val="both"/>
      </w:pPr>
      <w:r>
        <w:rPr>
          <w:rStyle w:val="soitChar"/>
        </w:rPr>
        <w:t>Résistance en flexion, selon la [NBN EN 310], pose à plat en N/mm² ≥</w:t>
      </w:r>
      <w:r>
        <w:rPr>
          <w:rStyle w:val="optioncarChar"/>
        </w:rPr>
        <w:t xml:space="preserve">suivant l’étude </w:t>
      </w:r>
      <w:r>
        <w:t>(par défaut)</w:t>
      </w:r>
      <w:r>
        <w:rPr>
          <w:rStyle w:val="optioncarChar"/>
        </w:rPr>
        <w:t xml:space="preserve"> / 12 / 14 / 16</w:t>
      </w:r>
    </w:p>
    <w:p w14:paraId="6FFBF630" w14:textId="77777777" w:rsidR="00DB2B68" w:rsidRDefault="00000000">
      <w:pPr>
        <w:jc w:val="both"/>
      </w:pPr>
      <w:r>
        <w:rPr>
          <w:b/>
        </w:rPr>
        <w:t>Panneautage inférieur</w:t>
      </w:r>
    </w:p>
    <w:p w14:paraId="302070B2" w14:textId="77777777" w:rsidR="00DB2B68" w:rsidRDefault="00000000">
      <w:pPr>
        <w:jc w:val="both"/>
      </w:pPr>
      <w:r>
        <w:t xml:space="preserve">Présence de panneaux/planches inférieurs : </w:t>
      </w:r>
      <w:r>
        <w:rPr>
          <w:rStyle w:val="optioncarChar"/>
        </w:rPr>
        <w:t xml:space="preserve">non </w:t>
      </w:r>
      <w:r>
        <w:t>(par défaut)</w:t>
      </w:r>
      <w:r>
        <w:rPr>
          <w:rStyle w:val="optioncarChar"/>
        </w:rPr>
        <w:t xml:space="preserve"> / oui</w:t>
      </w:r>
    </w:p>
    <w:p w14:paraId="67902DCF" w14:textId="77777777" w:rsidR="00DB2B68" w:rsidRDefault="00000000">
      <w:pPr>
        <w:jc w:val="both"/>
      </w:pPr>
      <w:r>
        <w:t>Dans le cas où la face inférieure de la structure du plancher est habillée de panneaux/planches en bois :</w:t>
      </w:r>
    </w:p>
    <w:p w14:paraId="213A538A" w14:textId="77777777" w:rsidR="00DB2B68" w:rsidRDefault="00000000">
      <w:pPr>
        <w:pStyle w:val="Author-eListParagraph"/>
        <w:numPr>
          <w:ilvl w:val="0"/>
          <w:numId w:val="914"/>
        </w:numPr>
      </w:pPr>
      <w:r>
        <w:lastRenderedPageBreak/>
        <w:t>Type d’habillage :</w:t>
      </w:r>
      <w:r>
        <w:rPr>
          <w:rStyle w:val="optioncarChar"/>
        </w:rPr>
        <w:t xml:space="preserve"> bois massif</w:t>
      </w:r>
      <w:r>
        <w:t xml:space="preserve"> (par défaut) </w:t>
      </w:r>
      <w:r>
        <w:rPr>
          <w:rStyle w:val="optioncarChar"/>
        </w:rPr>
        <w:t>/ LVL / panneaux de contreplaqué / panneaux OSB / panneaux MDF</w:t>
      </w:r>
    </w:p>
    <w:p w14:paraId="55A399D7" w14:textId="77777777" w:rsidR="00DB2B68" w:rsidRDefault="00000000">
      <w:pPr>
        <w:ind w:left="567"/>
        <w:jc w:val="both"/>
      </w:pPr>
      <w:r>
        <w:rPr>
          <w:b/>
        </w:rPr>
        <w:t>(soit par défaut)</w:t>
      </w:r>
    </w:p>
    <w:p w14:paraId="0051BC9A" w14:textId="77777777" w:rsidR="00DB2B68" w:rsidRDefault="00000000">
      <w:pPr>
        <w:ind w:left="567"/>
        <w:jc w:val="both"/>
      </w:pPr>
      <w:r>
        <w:rPr>
          <w:rStyle w:val="soitChar"/>
          <w:u w:val="single"/>
        </w:rPr>
        <w:t>Bois massif :</w:t>
      </w:r>
    </w:p>
    <w:p w14:paraId="5ABD1E36" w14:textId="77777777" w:rsidR="00DB2B68" w:rsidRDefault="00000000">
      <w:pPr>
        <w:pStyle w:val="Author-eListParagraph"/>
        <w:numPr>
          <w:ilvl w:val="0"/>
          <w:numId w:val="915"/>
        </w:numPr>
        <w:jc w:val="both"/>
      </w:pPr>
      <w:r>
        <w:rPr>
          <w:rStyle w:val="soitChar"/>
        </w:rPr>
        <w:t>Essence de bois</w:t>
      </w:r>
      <w:r>
        <w:t xml:space="preserve"> :</w:t>
      </w:r>
      <w:r>
        <w:rPr>
          <w:rStyle w:val="optioncarChar"/>
        </w:rPr>
        <w:t xml:space="preserve"> au choix de l’entrepreneur, à soumettre à l’approbation de l’architecte et du maître de l’ouvrage</w:t>
      </w:r>
      <w:r>
        <w:t xml:space="preserve"> (par défaut)</w:t>
      </w:r>
      <w:r>
        <w:rPr>
          <w:rStyle w:val="optioncarChar"/>
        </w:rPr>
        <w:t xml:space="preserve"> / sapin / épicéa / pin sylvestre (sapin rouge du Nord - SRN) / mélèze / douglas / pin d’Oregon / chêne / hêtre / châtaignier / ***</w:t>
      </w:r>
    </w:p>
    <w:p w14:paraId="243CD549" w14:textId="77777777" w:rsidR="00DB2B68" w:rsidRDefault="00000000">
      <w:pPr>
        <w:pStyle w:val="Author-eListParagraph"/>
        <w:numPr>
          <w:ilvl w:val="0"/>
          <w:numId w:val="915"/>
        </w:numPr>
        <w:jc w:val="both"/>
      </w:pPr>
      <w:r>
        <w:rPr>
          <w:rStyle w:val="soitChar"/>
        </w:rPr>
        <w:t>Epaisseur du platelage ≥</w:t>
      </w:r>
      <w:r>
        <w:rPr>
          <w:rStyle w:val="optioncarChar"/>
        </w:rPr>
        <w:t xml:space="preserve">suivant l’étude </w:t>
      </w:r>
      <w:r>
        <w:t>(par défaut)</w:t>
      </w:r>
      <w:r>
        <w:rPr>
          <w:rStyle w:val="optioncarChar"/>
        </w:rPr>
        <w:t xml:space="preserve"> / 18 / 20 / 25 / 30 / 35 / 40 / 45 </w:t>
      </w:r>
      <w:r>
        <w:rPr>
          <w:rStyle w:val="soitChar"/>
        </w:rPr>
        <w:t>mm</w:t>
      </w:r>
    </w:p>
    <w:p w14:paraId="4CCF2750" w14:textId="77777777" w:rsidR="00DB2B68" w:rsidRDefault="00000000">
      <w:pPr>
        <w:pStyle w:val="Author-eListParagraph"/>
        <w:numPr>
          <w:ilvl w:val="0"/>
          <w:numId w:val="915"/>
        </w:numPr>
        <w:jc w:val="both"/>
      </w:pPr>
      <w:r>
        <w:rPr>
          <w:rStyle w:val="soitChar"/>
        </w:rPr>
        <w:t>Largeur des planches :</w:t>
      </w:r>
      <w:r>
        <w:rPr>
          <w:rStyle w:val="optioncarChar"/>
        </w:rPr>
        <w:t xml:space="preserve">120 / 140 / 160 </w:t>
      </w:r>
      <w:r>
        <w:t>(par défaut)</w:t>
      </w:r>
      <w:r>
        <w:rPr>
          <w:rStyle w:val="optioncarChar"/>
        </w:rPr>
        <w:t xml:space="preserve"> / 180 / 200 </w:t>
      </w:r>
      <w:r>
        <w:rPr>
          <w:rStyle w:val="soitChar"/>
        </w:rPr>
        <w:t>mm</w:t>
      </w:r>
    </w:p>
    <w:p w14:paraId="42240114" w14:textId="77777777" w:rsidR="00DB2B68" w:rsidRDefault="00000000">
      <w:pPr>
        <w:ind w:left="567"/>
        <w:jc w:val="both"/>
      </w:pPr>
      <w:r>
        <w:rPr>
          <w:b/>
        </w:rPr>
        <w:t>(soit)</w:t>
      </w:r>
    </w:p>
    <w:p w14:paraId="7A4A2E02" w14:textId="77777777" w:rsidR="00DB2B68" w:rsidRDefault="00000000">
      <w:pPr>
        <w:ind w:left="567"/>
        <w:jc w:val="both"/>
      </w:pPr>
      <w:r>
        <w:rPr>
          <w:rStyle w:val="soitChar"/>
          <w:u w:val="single"/>
        </w:rPr>
        <w:t>LVL :</w:t>
      </w:r>
    </w:p>
    <w:p w14:paraId="0AD40974" w14:textId="77777777" w:rsidR="00DB2B68" w:rsidRDefault="00000000">
      <w:pPr>
        <w:pStyle w:val="Author-eListParagraph"/>
        <w:numPr>
          <w:ilvl w:val="0"/>
          <w:numId w:val="916"/>
        </w:numPr>
        <w:jc w:val="both"/>
      </w:pPr>
      <w:r>
        <w:rPr>
          <w:rStyle w:val="soitChar"/>
        </w:rPr>
        <w:t>Classe de collage, selon la [NBN EN 314-2] :</w:t>
      </w:r>
      <w:r>
        <w:rPr>
          <w:rStyle w:val="optioncarChar"/>
        </w:rPr>
        <w:t xml:space="preserve">1 (int.) / 2 (ext. à l’abri) </w:t>
      </w:r>
      <w:r>
        <w:t>(par défaut)</w:t>
      </w:r>
      <w:r>
        <w:rPr>
          <w:rStyle w:val="optioncarChar"/>
        </w:rPr>
        <w:t xml:space="preserve"> / 3 (ext.)</w:t>
      </w:r>
    </w:p>
    <w:p w14:paraId="037B4B09" w14:textId="77777777" w:rsidR="00DB2B68" w:rsidRDefault="00000000">
      <w:pPr>
        <w:pStyle w:val="Author-eListParagraph"/>
        <w:numPr>
          <w:ilvl w:val="0"/>
          <w:numId w:val="916"/>
        </w:numPr>
        <w:jc w:val="both"/>
      </w:pPr>
      <w:r>
        <w:rPr>
          <w:rStyle w:val="soitChar"/>
        </w:rPr>
        <w:t>Classe d’émission de formaldéhyde, selon la [NBN EN ISO 12460-5] :</w:t>
      </w:r>
      <w:r>
        <w:rPr>
          <w:rStyle w:val="optioncarChar"/>
        </w:rPr>
        <w:t xml:space="preserve"> E1</w:t>
      </w:r>
      <w:r>
        <w:t xml:space="preserve"> (par défaut) </w:t>
      </w:r>
      <w:r>
        <w:rPr>
          <w:rStyle w:val="optioncarChar"/>
        </w:rPr>
        <w:t>/ E2</w:t>
      </w:r>
    </w:p>
    <w:p w14:paraId="2BFA4BF9" w14:textId="77777777" w:rsidR="00DB2B68" w:rsidRDefault="00000000">
      <w:pPr>
        <w:pStyle w:val="Author-eListParagraph"/>
        <w:numPr>
          <w:ilvl w:val="0"/>
          <w:numId w:val="916"/>
        </w:numPr>
        <w:jc w:val="both"/>
      </w:pPr>
      <w:r>
        <w:rPr>
          <w:rStyle w:val="soitChar"/>
        </w:rPr>
        <w:t>Essence de bois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3C414FAC" w14:textId="77777777" w:rsidR="00DB2B68" w:rsidRDefault="00000000">
      <w:pPr>
        <w:pStyle w:val="Author-eListParagraph"/>
        <w:numPr>
          <w:ilvl w:val="0"/>
          <w:numId w:val="916"/>
        </w:numPr>
        <w:jc w:val="both"/>
      </w:pPr>
      <w:r>
        <w:rPr>
          <w:rStyle w:val="soitChar"/>
        </w:rPr>
        <w:t>Epaisseur des panneaux :</w:t>
      </w:r>
      <w:r>
        <w:rPr>
          <w:rStyle w:val="optioncarChar"/>
        </w:rPr>
        <w:t xml:space="preserve">suivant l’étude </w:t>
      </w:r>
      <w:r>
        <w:t>(par défaut)</w:t>
      </w:r>
      <w:r>
        <w:rPr>
          <w:rStyle w:val="optioncarChar"/>
        </w:rPr>
        <w:t xml:space="preserve"> / 27 / 32 / 37 / 42 / 47 / 52 </w:t>
      </w:r>
      <w:r>
        <w:rPr>
          <w:rStyle w:val="soitChar"/>
        </w:rPr>
        <w:t>mm</w:t>
      </w:r>
    </w:p>
    <w:p w14:paraId="309A4683" w14:textId="77777777" w:rsidR="00DB2B68" w:rsidRDefault="00000000">
      <w:pPr>
        <w:ind w:left="567"/>
        <w:jc w:val="both"/>
      </w:pPr>
      <w:r>
        <w:rPr>
          <w:b/>
        </w:rPr>
        <w:t>(soit)</w:t>
      </w:r>
    </w:p>
    <w:p w14:paraId="298FDEF1" w14:textId="77777777" w:rsidR="00DB2B68" w:rsidRDefault="00000000">
      <w:pPr>
        <w:ind w:left="567"/>
        <w:jc w:val="both"/>
      </w:pPr>
      <w:r>
        <w:rPr>
          <w:rStyle w:val="soitChar"/>
          <w:u w:val="single"/>
        </w:rPr>
        <w:t>Panneaux de contreplaqué :</w:t>
      </w:r>
    </w:p>
    <w:p w14:paraId="0F6884BE" w14:textId="77777777" w:rsidR="00DB2B68" w:rsidRDefault="00000000">
      <w:pPr>
        <w:pStyle w:val="Author-eListParagraph"/>
        <w:numPr>
          <w:ilvl w:val="0"/>
          <w:numId w:val="917"/>
        </w:numPr>
        <w:jc w:val="both"/>
      </w:pPr>
      <w:r>
        <w:rPr>
          <w:rStyle w:val="soitChar"/>
        </w:rPr>
        <w:t>Classe de collage, selon la [NBN EN 314-2] :</w:t>
      </w:r>
      <w:r>
        <w:rPr>
          <w:rStyle w:val="optioncarChar"/>
        </w:rPr>
        <w:t>1 (int.) / 2 (ext. à l’abri) (par défaut) / 3 (ext.)</w:t>
      </w:r>
    </w:p>
    <w:p w14:paraId="37B9218D" w14:textId="77777777" w:rsidR="00DB2B68" w:rsidRDefault="00000000">
      <w:pPr>
        <w:pStyle w:val="Author-eListParagraph"/>
        <w:numPr>
          <w:ilvl w:val="0"/>
          <w:numId w:val="917"/>
        </w:numPr>
        <w:jc w:val="both"/>
      </w:pPr>
      <w:r>
        <w:rPr>
          <w:rStyle w:val="soitChar"/>
        </w:rPr>
        <w:t>Classe d’émission de formaldéhyde, selon la [NBN EN ISO 12460-5] :</w:t>
      </w:r>
      <w:r>
        <w:rPr>
          <w:rStyle w:val="optioncarChar"/>
        </w:rPr>
        <w:t>E1</w:t>
      </w:r>
      <w:r>
        <w:t xml:space="preserve"> (par défaut)</w:t>
      </w:r>
      <w:r>
        <w:rPr>
          <w:rStyle w:val="optioncarChar"/>
        </w:rPr>
        <w:t xml:space="preserve"> / E2</w:t>
      </w:r>
    </w:p>
    <w:p w14:paraId="5448DE5C" w14:textId="77777777" w:rsidR="00DB2B68" w:rsidRDefault="00000000">
      <w:pPr>
        <w:pStyle w:val="Author-eListParagraph"/>
        <w:numPr>
          <w:ilvl w:val="0"/>
          <w:numId w:val="917"/>
        </w:numPr>
        <w:jc w:val="both"/>
      </w:pPr>
      <w:r>
        <w:rPr>
          <w:rStyle w:val="soitChar"/>
        </w:rPr>
        <w:t>Essence :</w:t>
      </w:r>
      <w:r>
        <w:rPr>
          <w:rStyle w:val="optioncarChar"/>
        </w:rPr>
        <w:t xml:space="preserve">au choix de l’entrepreneur, à soumettre à l’approbation de l’architecte et du maître de l’ouvrage </w:t>
      </w:r>
      <w:r>
        <w:t>(par défaut)</w:t>
      </w:r>
      <w:r>
        <w:rPr>
          <w:rStyle w:val="optioncarChar"/>
        </w:rPr>
        <w:t xml:space="preserve"> / okoumé / okoumé nautique / oregon / western red cedar / dark red méranti / bouleau / ***</w:t>
      </w:r>
    </w:p>
    <w:p w14:paraId="0A875BD9" w14:textId="77777777" w:rsidR="00DB2B68" w:rsidRDefault="00000000">
      <w:pPr>
        <w:pStyle w:val="Author-eListParagraph"/>
        <w:numPr>
          <w:ilvl w:val="0"/>
          <w:numId w:val="917"/>
        </w:numPr>
        <w:jc w:val="both"/>
      </w:pPr>
      <w:r>
        <w:rPr>
          <w:rStyle w:val="soitChar"/>
        </w:rPr>
        <w:t>Epaisseur des panneaux</w:t>
      </w:r>
      <w:r>
        <w:t xml:space="preserve"> :</w:t>
      </w:r>
      <w:r>
        <w:rPr>
          <w:rStyle w:val="optioncarChar"/>
        </w:rPr>
        <w:t xml:space="preserve"> suivant l’étude </w:t>
      </w:r>
      <w:r>
        <w:t xml:space="preserve">(par défaut) </w:t>
      </w:r>
      <w:r>
        <w:rPr>
          <w:rStyle w:val="optioncarChar"/>
        </w:rPr>
        <w:t xml:space="preserve">/ 18 / 20 / 22 / 25 / 30 </w:t>
      </w:r>
      <w:r>
        <w:rPr>
          <w:rStyle w:val="soitChar"/>
        </w:rPr>
        <w:t>mm</w:t>
      </w:r>
    </w:p>
    <w:p w14:paraId="05DB40F1" w14:textId="77777777" w:rsidR="00DB2B68" w:rsidRDefault="00000000">
      <w:pPr>
        <w:ind w:left="567"/>
      </w:pPr>
      <w:r>
        <w:rPr>
          <w:b/>
        </w:rPr>
        <w:t>(soit)</w:t>
      </w:r>
      <w:r>
        <w:br/>
      </w:r>
      <w:r>
        <w:rPr>
          <w:rStyle w:val="soitChar"/>
          <w:u w:val="single"/>
        </w:rPr>
        <w:t>Panneaux OSB :</w:t>
      </w:r>
    </w:p>
    <w:p w14:paraId="47571E5D" w14:textId="77777777" w:rsidR="00DB2B68" w:rsidRDefault="00000000">
      <w:pPr>
        <w:pStyle w:val="Author-eListParagraph"/>
        <w:numPr>
          <w:ilvl w:val="0"/>
          <w:numId w:val="918"/>
        </w:numPr>
        <w:jc w:val="both"/>
      </w:pPr>
      <w:r>
        <w:rPr>
          <w:rStyle w:val="soitChar"/>
        </w:rPr>
        <w:t>Type de panneau OSB, selon la [NBN EN 312] :</w:t>
      </w:r>
      <w:r>
        <w:rPr>
          <w:rStyle w:val="optioncarChar"/>
        </w:rPr>
        <w:t>2 / 3 (par défaut) / 4</w:t>
      </w:r>
    </w:p>
    <w:p w14:paraId="7434B431" w14:textId="77777777" w:rsidR="00DB2B68" w:rsidRDefault="00000000">
      <w:pPr>
        <w:pStyle w:val="Author-eListParagraph"/>
        <w:numPr>
          <w:ilvl w:val="0"/>
          <w:numId w:val="918"/>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24F1B6E9" w14:textId="77777777" w:rsidR="00DB2B68" w:rsidRDefault="00000000">
      <w:pPr>
        <w:pStyle w:val="Author-eListParagraph"/>
        <w:numPr>
          <w:ilvl w:val="0"/>
          <w:numId w:val="918"/>
        </w:numPr>
        <w:jc w:val="both"/>
      </w:pPr>
      <w:r>
        <w:rPr>
          <w:rStyle w:val="soitChar"/>
        </w:rPr>
        <w:t>Epaisseur des panneaux :</w:t>
      </w:r>
      <w:r>
        <w:rPr>
          <w:rStyle w:val="optioncarChar"/>
        </w:rPr>
        <w:t xml:space="preserve">suivant l’étude </w:t>
      </w:r>
      <w:r>
        <w:t xml:space="preserve">(par défaut) </w:t>
      </w:r>
      <w:r>
        <w:rPr>
          <w:rStyle w:val="optioncarChar"/>
        </w:rPr>
        <w:t>/ 18 / 22 mm</w:t>
      </w:r>
    </w:p>
    <w:p w14:paraId="6802CCE7" w14:textId="77777777" w:rsidR="00DB2B68" w:rsidRDefault="00000000">
      <w:pPr>
        <w:ind w:left="567"/>
        <w:jc w:val="both"/>
      </w:pPr>
      <w:r>
        <w:rPr>
          <w:b/>
        </w:rPr>
        <w:t>(soit)</w:t>
      </w:r>
    </w:p>
    <w:p w14:paraId="4E7BA5F7" w14:textId="77777777" w:rsidR="00DB2B68" w:rsidRDefault="00000000">
      <w:pPr>
        <w:ind w:left="567"/>
        <w:jc w:val="both"/>
      </w:pPr>
      <w:r>
        <w:rPr>
          <w:rStyle w:val="soitChar"/>
          <w:u w:val="single"/>
        </w:rPr>
        <w:t>Panneaux MDF :</w:t>
      </w:r>
    </w:p>
    <w:p w14:paraId="789ACBB8" w14:textId="77777777" w:rsidR="00DB2B68" w:rsidRDefault="00000000">
      <w:pPr>
        <w:pStyle w:val="Author-eListParagraph"/>
        <w:numPr>
          <w:ilvl w:val="0"/>
          <w:numId w:val="919"/>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65864DA0" w14:textId="77777777" w:rsidR="00DB2B68" w:rsidRDefault="00000000">
      <w:pPr>
        <w:pStyle w:val="Author-eListParagraph"/>
        <w:numPr>
          <w:ilvl w:val="0"/>
          <w:numId w:val="919"/>
        </w:numPr>
        <w:jc w:val="both"/>
      </w:pPr>
      <w:r>
        <w:rPr>
          <w:rStyle w:val="soitChar"/>
        </w:rPr>
        <w:t>Type de panneau, selon [NBN EN 312] :</w:t>
      </w:r>
      <w:r>
        <w:t xml:space="preserve">  </w:t>
      </w:r>
      <w:r>
        <w:rPr>
          <w:rStyle w:val="optioncarChar"/>
        </w:rPr>
        <w:t xml:space="preserve">MDF-HLS </w:t>
      </w:r>
      <w:r>
        <w:t>(par défaut)</w:t>
      </w:r>
      <w:r>
        <w:rPr>
          <w:rStyle w:val="optioncarChar"/>
        </w:rPr>
        <w:t xml:space="preserve"> / MDF LA</w:t>
      </w:r>
    </w:p>
    <w:p w14:paraId="6C5CCFA9" w14:textId="77777777" w:rsidR="00DB2B68" w:rsidRDefault="00000000">
      <w:pPr>
        <w:pStyle w:val="Author-eListParagraph"/>
        <w:numPr>
          <w:ilvl w:val="0"/>
          <w:numId w:val="919"/>
        </w:numPr>
        <w:jc w:val="both"/>
      </w:pPr>
      <w:r>
        <w:rPr>
          <w:rStyle w:val="soitChar"/>
        </w:rPr>
        <w:t>Epaisseur des panneaux :</w:t>
      </w:r>
      <w:r>
        <w:rPr>
          <w:rStyle w:val="optioncarChar"/>
        </w:rPr>
        <w:t xml:space="preserve">suivant l’étude </w:t>
      </w:r>
      <w:r>
        <w:t>(par défaut)</w:t>
      </w:r>
      <w:r>
        <w:rPr>
          <w:rStyle w:val="optioncarChar"/>
        </w:rPr>
        <w:t xml:space="preserve"> / 18 / 22 / 25 / 30 / 38 </w:t>
      </w:r>
      <w:r>
        <w:rPr>
          <w:rStyle w:val="soitChar"/>
        </w:rPr>
        <w:t>mm</w:t>
      </w:r>
    </w:p>
    <w:p w14:paraId="3F976CBF" w14:textId="77777777" w:rsidR="00DB2B68" w:rsidRDefault="00000000">
      <w:pPr>
        <w:pStyle w:val="Author-eListParagraph"/>
        <w:numPr>
          <w:ilvl w:val="0"/>
          <w:numId w:val="919"/>
        </w:numPr>
        <w:jc w:val="both"/>
      </w:pPr>
      <w:r>
        <w:rPr>
          <w:rStyle w:val="soitChar"/>
        </w:rPr>
        <w:t>Teinte des panneaux, dans la masse :</w:t>
      </w:r>
      <w:r>
        <w:rPr>
          <w:rStyle w:val="optioncarChar"/>
        </w:rPr>
        <w:t xml:space="preserve">naturel </w:t>
      </w:r>
      <w:r>
        <w:t>(par défaut)</w:t>
      </w:r>
      <w:r>
        <w:rPr>
          <w:rStyle w:val="optioncarChar"/>
        </w:rPr>
        <w:t xml:space="preserve"> / noir / rouge (ignifugé)</w:t>
      </w:r>
    </w:p>
    <w:p w14:paraId="2F33BA06" w14:textId="77777777" w:rsidR="00DB2B68" w:rsidRDefault="00DB2B68"/>
    <w:p w14:paraId="6E743B76" w14:textId="77777777" w:rsidR="00DB2B68" w:rsidRDefault="00000000">
      <w:pPr>
        <w:pStyle w:val="Author-eListParagraph"/>
        <w:numPr>
          <w:ilvl w:val="0"/>
          <w:numId w:val="920"/>
        </w:numPr>
      </w:pPr>
      <w:r>
        <w:t xml:space="preserve">Finition des bords : </w:t>
      </w:r>
      <w:r>
        <w:rPr>
          <w:rStyle w:val="optioncarChar"/>
        </w:rPr>
        <w:t>droits</w:t>
      </w:r>
      <w:r>
        <w:t xml:space="preserve"> (par défaut)</w:t>
      </w:r>
      <w:r>
        <w:rPr>
          <w:rStyle w:val="optioncarChar"/>
        </w:rPr>
        <w:t xml:space="preserve"> / droits adoucis / droits chanfreinés / rainurés et languetés sur les quatre côtés / à mi-bois</w:t>
      </w:r>
    </w:p>
    <w:p w14:paraId="7C1A2269" w14:textId="77777777" w:rsidR="00DB2B68" w:rsidRDefault="00000000">
      <w:pPr>
        <w:pStyle w:val="Author-eListParagraph"/>
        <w:numPr>
          <w:ilvl w:val="0"/>
          <w:numId w:val="920"/>
        </w:numPr>
      </w:pPr>
      <w:r>
        <w:t xml:space="preserve">Finition de la face supérieure : </w:t>
      </w:r>
      <w:r>
        <w:rPr>
          <w:rStyle w:val="optioncarChar"/>
        </w:rPr>
        <w:t>non poncée</w:t>
      </w:r>
      <w:r>
        <w:t xml:space="preserve"> (par défaut)</w:t>
      </w:r>
      <w:r>
        <w:rPr>
          <w:rStyle w:val="optioncarChar"/>
        </w:rPr>
        <w:t xml:space="preserve"> / poncée (vue)</w:t>
      </w:r>
    </w:p>
    <w:p w14:paraId="11A722CA" w14:textId="77777777" w:rsidR="00DB2B68" w:rsidRDefault="00000000">
      <w:pPr>
        <w:pStyle w:val="Author-eListParagraph"/>
        <w:numPr>
          <w:ilvl w:val="0"/>
          <w:numId w:val="920"/>
        </w:numPr>
      </w:pPr>
      <w:r>
        <w:t xml:space="preserve">Finition de la face inférieure : </w:t>
      </w:r>
      <w:r>
        <w:rPr>
          <w:rStyle w:val="optioncarChar"/>
        </w:rPr>
        <w:t xml:space="preserve">non poncée </w:t>
      </w:r>
      <w:r>
        <w:t>(par défaut)</w:t>
      </w:r>
      <w:r>
        <w:rPr>
          <w:rStyle w:val="optioncarChar"/>
        </w:rPr>
        <w:t xml:space="preserve"> / poncée (vue)</w:t>
      </w:r>
    </w:p>
    <w:p w14:paraId="53EE509C" w14:textId="77777777" w:rsidR="00DB2B68" w:rsidRDefault="00000000">
      <w:pPr>
        <w:pStyle w:val="Author-eListParagraph"/>
        <w:numPr>
          <w:ilvl w:val="0"/>
          <w:numId w:val="920"/>
        </w:numPr>
      </w:pPr>
      <w:r>
        <w:t xml:space="preserve">Les panneaux sont </w:t>
      </w:r>
      <w:r>
        <w:rPr>
          <w:rStyle w:val="optioncarChar"/>
        </w:rPr>
        <w:t>contreventant</w:t>
      </w:r>
      <w:r>
        <w:t xml:space="preserve"> (par défaut)</w:t>
      </w:r>
      <w:r>
        <w:rPr>
          <w:rStyle w:val="optioncarChar"/>
        </w:rPr>
        <w:t> / non contreventant</w:t>
      </w:r>
    </w:p>
    <w:p w14:paraId="78975778" w14:textId="77777777" w:rsidR="00DB2B68" w:rsidRDefault="00000000">
      <w:pPr>
        <w:ind w:left="567"/>
        <w:jc w:val="both"/>
      </w:pPr>
      <w:r>
        <w:rPr>
          <w:b/>
        </w:rPr>
        <w:t>(soit par défaut)</w:t>
      </w:r>
    </w:p>
    <w:p w14:paraId="61039EE3" w14:textId="77777777" w:rsidR="00DB2B68" w:rsidRDefault="00000000">
      <w:pPr>
        <w:ind w:left="567"/>
        <w:jc w:val="both"/>
      </w:pPr>
      <w:r>
        <w:rPr>
          <w:rStyle w:val="soitChar"/>
          <w:u w:val="single"/>
        </w:rPr>
        <w:t>Contreventant :</w:t>
      </w:r>
    </w:p>
    <w:p w14:paraId="62F353E3" w14:textId="77777777" w:rsidR="00DB2B68" w:rsidRDefault="00000000">
      <w:pPr>
        <w:pStyle w:val="Author-eListParagraph"/>
        <w:numPr>
          <w:ilvl w:val="0"/>
          <w:numId w:val="921"/>
        </w:numPr>
      </w:pPr>
      <w:r>
        <w:rPr>
          <w:rStyle w:val="soitChar"/>
        </w:rPr>
        <w:t>Résistance en flexion, selon la [NBN EN 310]  ≥</w:t>
      </w:r>
      <w:r>
        <w:rPr>
          <w:rStyle w:val="optioncarChar"/>
        </w:rPr>
        <w:t xml:space="preserve"> suivant l’étude </w:t>
      </w:r>
      <w:r>
        <w:t>(par défaut)</w:t>
      </w:r>
      <w:r>
        <w:rPr>
          <w:rStyle w:val="optioncarChar"/>
        </w:rPr>
        <w:t xml:space="preserve"> / 12 / 14 /16 / 35 / 40 / 50 </w:t>
      </w:r>
      <w:r>
        <w:rPr>
          <w:rStyle w:val="soitChar"/>
        </w:rPr>
        <w:t>N/mm²</w:t>
      </w:r>
    </w:p>
    <w:p w14:paraId="2BE61B1C" w14:textId="77777777" w:rsidR="00DB2B68" w:rsidRDefault="00000000">
      <w:pPr>
        <w:pStyle w:val="Author-eListParagraph"/>
        <w:numPr>
          <w:ilvl w:val="0"/>
          <w:numId w:val="921"/>
        </w:numPr>
      </w:pPr>
      <w:r>
        <w:rPr>
          <w:rStyle w:val="soitChar"/>
        </w:rPr>
        <w:lastRenderedPageBreak/>
        <w:t>Module d’élasticité en flexion, selon la [NBN EN 310]  ≥</w:t>
      </w:r>
      <w:r>
        <w:t> </w:t>
      </w:r>
      <w:r>
        <w:rPr>
          <w:rStyle w:val="optioncarChar"/>
        </w:rPr>
        <w:t>suivant l’étude</w:t>
      </w:r>
      <w:r>
        <w:t xml:space="preserve"> (par défaut)</w:t>
      </w:r>
      <w:r>
        <w:rPr>
          <w:rStyle w:val="optioncarChar"/>
        </w:rPr>
        <w:t xml:space="preserve"> / 4000 / 6000 / 8000 </w:t>
      </w:r>
      <w:r>
        <w:rPr>
          <w:rStyle w:val="soitChar"/>
        </w:rPr>
        <w:t>N/mm²</w:t>
      </w:r>
    </w:p>
    <w:p w14:paraId="35AACD60" w14:textId="77777777" w:rsidR="00DB2B68" w:rsidRDefault="00000000">
      <w:pPr>
        <w:pStyle w:val="Author-eListParagraph"/>
        <w:numPr>
          <w:ilvl w:val="0"/>
          <w:numId w:val="921"/>
        </w:numPr>
      </w:pPr>
      <w:r>
        <w:rPr>
          <w:rStyle w:val="soitChar"/>
        </w:rPr>
        <w:t>Traction perpendiculaire aux faces, selon la [NBN EN 319]  ≥</w:t>
      </w:r>
      <w:r>
        <w:t> </w:t>
      </w:r>
      <w:r>
        <w:rPr>
          <w:rStyle w:val="optioncarChar"/>
        </w:rPr>
        <w:t xml:space="preserve">suivant l’étude </w:t>
      </w:r>
      <w:r>
        <w:t>(par défaut)</w:t>
      </w:r>
      <w:r>
        <w:rPr>
          <w:rStyle w:val="optioncarChar"/>
        </w:rPr>
        <w:t xml:space="preserve"> / 0,30 / 0,35 / 0,4 </w:t>
      </w:r>
      <w:r>
        <w:rPr>
          <w:rStyle w:val="soitChar"/>
        </w:rPr>
        <w:t>N/mm²</w:t>
      </w:r>
    </w:p>
    <w:p w14:paraId="7495AB4C" w14:textId="77777777" w:rsidR="00DB2B68" w:rsidRDefault="00000000">
      <w:pPr>
        <w:ind w:left="567"/>
        <w:jc w:val="both"/>
      </w:pPr>
      <w:r>
        <w:rPr>
          <w:b/>
        </w:rPr>
        <w:t>(soit)</w:t>
      </w:r>
    </w:p>
    <w:p w14:paraId="2CD97121" w14:textId="77777777" w:rsidR="00DB2B68" w:rsidRDefault="00000000">
      <w:pPr>
        <w:ind w:left="567"/>
        <w:jc w:val="both"/>
      </w:pPr>
      <w:r>
        <w:rPr>
          <w:rStyle w:val="soitChar"/>
          <w:u w:val="single"/>
        </w:rPr>
        <w:t>Non-contreventant :</w:t>
      </w:r>
    </w:p>
    <w:p w14:paraId="2CD5D5D5" w14:textId="77777777" w:rsidR="00DB2B68" w:rsidRDefault="00000000">
      <w:pPr>
        <w:pStyle w:val="Author-eListParagraph"/>
        <w:numPr>
          <w:ilvl w:val="0"/>
          <w:numId w:val="922"/>
        </w:numPr>
      </w:pPr>
      <w:r>
        <w:rPr>
          <w:rStyle w:val="soitChar"/>
        </w:rPr>
        <w:t>Résistance en flexion, selon la [NBN EN 310], pose à plat  ≥</w:t>
      </w:r>
      <w:r>
        <w:rPr>
          <w:rStyle w:val="optioncarChar"/>
        </w:rPr>
        <w:t xml:space="preserve">suivant l’étude </w:t>
      </w:r>
      <w:r>
        <w:t>(par défaut)</w:t>
      </w:r>
      <w:r>
        <w:rPr>
          <w:rStyle w:val="optioncarChar"/>
        </w:rPr>
        <w:t xml:space="preserve"> / 12 / 14 / 16</w:t>
      </w:r>
      <w:r>
        <w:t xml:space="preserve"> N/mm²</w:t>
      </w:r>
    </w:p>
    <w:p w14:paraId="227913DD" w14:textId="77777777" w:rsidR="00DB2B68" w:rsidRDefault="00000000">
      <w:pPr>
        <w:jc w:val="both"/>
      </w:pPr>
      <w:r>
        <w:rPr>
          <w:b/>
        </w:rPr>
        <w:t>Résistance au feu</w:t>
      </w:r>
    </w:p>
    <w:p w14:paraId="19FBC3B4" w14:textId="77777777" w:rsidR="00DB2B68" w:rsidRDefault="00000000">
      <w:pPr>
        <w:jc w:val="both"/>
      </w:pPr>
      <w:r>
        <w:t xml:space="preserve">Le plancher présente également une résistance au feu, selon la [NBN EN 13501-2] : </w:t>
      </w:r>
      <w:r>
        <w:rPr>
          <w:rStyle w:val="optioncarChar"/>
        </w:rPr>
        <w:t>pas d’application / REI30</w:t>
      </w:r>
      <w:r>
        <w:t xml:space="preserve"> (par défaut) </w:t>
      </w:r>
      <w:r>
        <w:rPr>
          <w:rStyle w:val="optioncarChar"/>
        </w:rPr>
        <w:t>/ REI60 / REI 90 / REI 120</w:t>
      </w:r>
    </w:p>
    <w:p w14:paraId="6A8F8FA1" w14:textId="77777777" w:rsidR="00DB2B68" w:rsidRDefault="00000000">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 travail) </w:t>
      </w:r>
      <w:r>
        <w:t>du bois.</w:t>
      </w:r>
    </w:p>
    <w:p w14:paraId="2085F905" w14:textId="77777777" w:rsidR="00DB2B68" w:rsidRDefault="00000000">
      <w:pPr>
        <w:pStyle w:val="pheading"/>
      </w:pPr>
      <w:r>
        <w:t>- Finitions</w:t>
      </w:r>
    </w:p>
    <w:p w14:paraId="4EAEED03" w14:textId="77777777" w:rsidR="00DB2B68" w:rsidRDefault="00000000">
      <w:pPr>
        <w:jc w:val="both"/>
      </w:pPr>
      <w:r>
        <w:rPr>
          <w:b/>
        </w:rPr>
        <w:t>Préservation du bois </w:t>
      </w:r>
    </w:p>
    <w:p w14:paraId="27C76EC6" w14:textId="77777777" w:rsidR="00DB2B68" w:rsidRDefault="00000000">
      <w:pPr>
        <w:jc w:val="both"/>
      </w:pPr>
      <w:r>
        <w:t xml:space="preserve">Voir </w:t>
      </w:r>
      <w:hyperlink w:anchor="602" w:history="1">
        <w:r>
          <w:rPr>
            <w:color w:val="0000EE"/>
          </w:rPr>
          <w:t>24.7 Traitements, protection et finition des bois</w:t>
        </w:r>
      </w:hyperlink>
    </w:p>
    <w:p w14:paraId="28F15DE0" w14:textId="77777777" w:rsidR="00DB2B68" w:rsidRDefault="00000000">
      <w:pPr>
        <w:jc w:val="both"/>
      </w:pPr>
      <w:r>
        <w:rPr>
          <w:b/>
        </w:rPr>
        <w:t>Traitement de finition du bois en atelier</w:t>
      </w:r>
    </w:p>
    <w:p w14:paraId="4EAB19D7" w14:textId="77777777" w:rsidR="00DB2B68" w:rsidRDefault="00000000">
      <w:pPr>
        <w:jc w:val="both"/>
      </w:pPr>
      <w:r>
        <w:t xml:space="preserve">Finition des parties visibles du bois : </w:t>
      </w:r>
      <w:r>
        <w:rPr>
          <w:rStyle w:val="optioncarChar"/>
        </w:rPr>
        <w:t xml:space="preserve">pas de finition </w:t>
      </w:r>
      <w:r>
        <w:t>(par défaut)</w:t>
      </w:r>
      <w:r>
        <w:rPr>
          <w:rStyle w:val="optioncarChar"/>
        </w:rPr>
        <w:t xml:space="preserve"> / application d’une finition</w:t>
      </w:r>
    </w:p>
    <w:p w14:paraId="150B212E" w14:textId="77777777" w:rsidR="00DB2B68" w:rsidRDefault="00000000">
      <w:pPr>
        <w:jc w:val="both"/>
      </w:pPr>
      <w:r>
        <w:t>Dans le cas de l’application d’une finition sur le bois, toutes les parties apparentes sont préparées et traitées selon les prescriptions du 81.2 Peintures intérieures sur subjectiles en bois et dérivés du bois (feuillus, résineux, bois exotiques, panneaux) ou du 82.2 Peintures extérieures sur subjectiles en bois et dérivés du bois (feuillus, résineux, bois exotiques, panneaux) et articles qui en découlent.</w:t>
      </w:r>
    </w:p>
    <w:p w14:paraId="67048D8B" w14:textId="77777777" w:rsidR="00DB2B68" w:rsidRDefault="00000000">
      <w:pPr>
        <w:jc w:val="both"/>
      </w:pPr>
      <w:r>
        <w:t>Le traitement de finition est compris par défaut dans le poste, sauf contre-indication dans le cahier spécial des charges aux articles concernés ci-dessus. </w:t>
      </w:r>
    </w:p>
    <w:p w14:paraId="34B6F14D" w14:textId="77777777" w:rsidR="00DB2B68" w:rsidRDefault="00000000">
      <w:pPr>
        <w:jc w:val="both"/>
      </w:pPr>
      <w:r>
        <w:t>Dans le cas de l’application d’une finition sur le bois prévue dans le présent travail :</w:t>
      </w:r>
    </w:p>
    <w:p w14:paraId="6953EEB6" w14:textId="77777777" w:rsidR="00DB2B68" w:rsidRDefault="00000000">
      <w:pPr>
        <w:pStyle w:val="Author-eListParagraph"/>
        <w:numPr>
          <w:ilvl w:val="0"/>
          <w:numId w:val="923"/>
        </w:numPr>
        <w:jc w:val="both"/>
      </w:pPr>
      <w:r>
        <w:t xml:space="preserve">Type de traitement : </w:t>
      </w:r>
      <w:r>
        <w:rPr>
          <w:rStyle w:val="optioncarChar"/>
        </w:rPr>
        <w:t xml:space="preserve">anti UV </w:t>
      </w:r>
      <w:r>
        <w:t>(par défaut)</w:t>
      </w:r>
      <w:r>
        <w:rPr>
          <w:rStyle w:val="optioncarChar"/>
        </w:rPr>
        <w:t xml:space="preserve"> / verni / peinture / lasure / huile / céruse</w:t>
      </w:r>
    </w:p>
    <w:p w14:paraId="53F9B0DB" w14:textId="77777777" w:rsidR="00DB2B68" w:rsidRDefault="00000000">
      <w:pPr>
        <w:pStyle w:val="Author-eListParagraph"/>
        <w:numPr>
          <w:ilvl w:val="0"/>
          <w:numId w:val="923"/>
        </w:numPr>
        <w:jc w:val="both"/>
      </w:pPr>
      <w:r>
        <w:t xml:space="preserve">Teinte : </w:t>
      </w:r>
      <w:r>
        <w:rPr>
          <w:rStyle w:val="optioncarChar"/>
        </w:rPr>
        <w:t xml:space="preserve">transparent </w:t>
      </w:r>
      <w:r>
        <w:t>(par défaut)</w:t>
      </w:r>
      <w:r>
        <w:rPr>
          <w:rStyle w:val="optioncarChar"/>
        </w:rPr>
        <w:t xml:space="preserve"> / pigmenté blanchâtre / blanc / RAL : ***</w:t>
      </w:r>
    </w:p>
    <w:p w14:paraId="2D029B40" w14:textId="77777777" w:rsidR="00DB2B68" w:rsidRDefault="00000000">
      <w:pPr>
        <w:pStyle w:val="pheading"/>
      </w:pPr>
      <w:r>
        <w:t>EXÉCUTION / MISE EN ŒUVRE</w:t>
      </w:r>
    </w:p>
    <w:p w14:paraId="580AA9FC" w14:textId="77777777" w:rsidR="00DB2B68" w:rsidRDefault="00000000">
      <w:pPr>
        <w:pStyle w:val="pheading"/>
      </w:pPr>
      <w:r>
        <w:t>- Prescriptions générales</w:t>
      </w:r>
    </w:p>
    <w:p w14:paraId="2C280A2E" w14:textId="77777777" w:rsidR="00DB2B68" w:rsidRDefault="00000000">
      <w:pPr>
        <w:jc w:val="both"/>
      </w:pPr>
      <w:r>
        <w:rPr>
          <w:b/>
        </w:rPr>
        <w:t>Etude</w:t>
      </w:r>
    </w:p>
    <w:p w14:paraId="171B5431" w14:textId="77777777" w:rsidR="00DB2B68" w:rsidRDefault="00000000">
      <w:pPr>
        <w:jc w:val="both"/>
      </w:pPr>
      <w:r>
        <w:t xml:space="preserve">Choix, conformément aux prescriptions du </w:t>
      </w:r>
      <w:hyperlink w:anchor="603" w:history="1">
        <w:r>
          <w:rPr>
            <w:color w:val="0000EE"/>
          </w:rP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w:t>
      </w:r>
    </w:p>
    <w:p w14:paraId="0E79883D" w14:textId="77777777" w:rsidR="00DB2B68" w:rsidRDefault="00000000">
      <w:pPr>
        <w:jc w:val="both"/>
      </w:pPr>
      <w:r>
        <w:rPr>
          <w:b/>
        </w:rPr>
        <w:t>Mise en œuvre</w:t>
      </w:r>
    </w:p>
    <w:p w14:paraId="676C349F" w14:textId="77777777" w:rsidR="00DB2B68" w:rsidRDefault="00000000">
      <w:pPr>
        <w:jc w:val="both"/>
      </w:pPr>
      <w:r>
        <w:t xml:space="preserve">Les planchers préfabriqués sont posés : </w:t>
      </w:r>
      <w:r>
        <w:rPr>
          <w:rStyle w:val="optioncarChar"/>
        </w:rPr>
        <w:t xml:space="preserve">à l’intérieur du nu des murs porteurs et de façades </w:t>
      </w:r>
      <w:r>
        <w:t>(par défaut)</w:t>
      </w:r>
      <w:r>
        <w:rPr>
          <w:rStyle w:val="optioncarChar"/>
        </w:rPr>
        <w:t xml:space="preserve"> / sur les têtes des murs porteurs et de façades</w:t>
      </w:r>
    </w:p>
    <w:p w14:paraId="3D2B94E6" w14:textId="77777777" w:rsidR="00DB2B68" w:rsidRDefault="00000000">
      <w:pPr>
        <w:jc w:val="both"/>
      </w:pPr>
      <w:r>
        <w:t xml:space="preserve">Les planchers sont posés conformément aux prescriptions du </w:t>
      </w:r>
      <w:hyperlink w:anchor="603" w:history="1">
        <w:r>
          <w:rPr>
            <w:color w:val="0000EE"/>
          </w:rPr>
          <w:t>24.22.2 Planchers en bois préfabriqués</w:t>
        </w:r>
      </w:hyperlink>
      <w:r>
        <w:t xml:space="preserve"> : </w:t>
      </w:r>
      <w:r>
        <w:rPr>
          <w:rStyle w:val="optioncarChar"/>
        </w:rPr>
        <w:t xml:space="preserve">sur des muralières en bois </w:t>
      </w:r>
      <w:r>
        <w:t>(par défaut)</w:t>
      </w:r>
      <w:r>
        <w:rPr>
          <w:rStyle w:val="optioncarChar"/>
        </w:rPr>
        <w:t xml:space="preserve"> / au travers de muralières intégrées aux planchers / sur des profilés métalliques apparents / dans des profilés métalliques cachés / sur les têtes des murs</w:t>
      </w:r>
    </w:p>
    <w:p w14:paraId="4BFC0CED" w14:textId="77777777" w:rsidR="00DB2B68" w:rsidRDefault="00000000">
      <w:pPr>
        <w:jc w:val="both"/>
      </w:pPr>
      <w:r>
        <w:rPr>
          <w:b/>
        </w:rPr>
        <w:t>Pose sur les têtes des murs</w:t>
      </w:r>
    </w:p>
    <w:p w14:paraId="1F88C3FB" w14:textId="77777777" w:rsidR="00DB2B68" w:rsidRDefault="00000000">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5CD32C87" w14:textId="77777777" w:rsidR="00DB2B68" w:rsidRDefault="00000000">
      <w:pPr>
        <w:jc w:val="both"/>
      </w:pPr>
      <w:r>
        <w:lastRenderedPageBreak/>
        <w:t xml:space="preserve">Les assemblages sont pensés en prenant en compte que la structure portante est : </w:t>
      </w:r>
      <w:r>
        <w:rPr>
          <w:rStyle w:val="optioncarChar"/>
        </w:rPr>
        <w:t xml:space="preserve">cachée </w:t>
      </w:r>
      <w:r>
        <w:t>(par défaut)</w:t>
      </w:r>
      <w:r>
        <w:rPr>
          <w:rStyle w:val="optioncarChar"/>
        </w:rPr>
        <w:t xml:space="preserve"> / visible (importance de l’esthétique) ; proposition à soumettre à l’approbation de l’architecte et du maître de l’ouvrage</w:t>
      </w:r>
    </w:p>
    <w:p w14:paraId="2C6027A9" w14:textId="77777777" w:rsidR="00DB2B68" w:rsidRDefault="00000000">
      <w:pPr>
        <w:jc w:val="both"/>
      </w:pPr>
      <w:r>
        <w:t xml:space="preserve">Les panneaux supérieurs sont : </w:t>
      </w:r>
      <w:r>
        <w:rPr>
          <w:rStyle w:val="optioncarChar"/>
        </w:rPr>
        <w:t>pas de panneaux supérieurs / vissés </w:t>
      </w:r>
      <w:r>
        <w:t>(par défaut)</w:t>
      </w:r>
      <w:r>
        <w:rPr>
          <w:rStyle w:val="optioncarChar"/>
        </w:rPr>
        <w:t> / cloués / collés</w:t>
      </w:r>
    </w:p>
    <w:p w14:paraId="7FDE5874" w14:textId="77777777" w:rsidR="00DB2B68" w:rsidRDefault="00000000">
      <w:pPr>
        <w:jc w:val="both"/>
      </w:pPr>
      <w:r>
        <w:t xml:space="preserve">Les panneaux inférieurs sont : </w:t>
      </w:r>
      <w:r>
        <w:rPr>
          <w:rStyle w:val="optioncarChar"/>
        </w:rPr>
        <w:t>pas de panneaux inférieurs</w:t>
      </w:r>
      <w:r>
        <w:t xml:space="preserve"> (par défaut)</w:t>
      </w:r>
      <w:r>
        <w:rPr>
          <w:rStyle w:val="optioncarChar"/>
        </w:rPr>
        <w:t> / vissés / cloués / collés</w:t>
      </w:r>
    </w:p>
    <w:p w14:paraId="0FF46716" w14:textId="77777777" w:rsidR="00DB2B68" w:rsidRDefault="00000000">
      <w:pPr>
        <w:jc w:val="both"/>
      </w:pPr>
      <w:r>
        <w:rPr>
          <w:b/>
        </w:rPr>
        <w:t>Pare-vapeur/frein-vapeur et étanchéité à l’air</w:t>
      </w:r>
    </w:p>
    <w:p w14:paraId="2E235DBB" w14:textId="77777777" w:rsidR="00DB2B68" w:rsidRDefault="00000000">
      <w:pPr>
        <w:jc w:val="both"/>
      </w:pPr>
      <w:r>
        <w:t xml:space="preserve">Un pare-vapeur/frein-vapeur continu est placé entre la structure portante et les panneaux supérieurs (cas des planchers de sol) et déborde de 50 cm sur tout le pourtour pour assurer les jonctions : </w:t>
      </w:r>
      <w:r>
        <w:rPr>
          <w:rStyle w:val="optioncarChar"/>
        </w:rPr>
        <w:t>non / oui</w:t>
      </w:r>
    </w:p>
    <w:p w14:paraId="1DCFA541" w14:textId="77777777" w:rsidR="00DB2B68" w:rsidRDefault="00000000">
      <w:pPr>
        <w:jc w:val="both"/>
      </w:pPr>
      <w:r>
        <w:t xml:space="preserve">Un pare-vapeur/frein-vapeur continu est placé entre la structure portante et les panneaux inférieurs (cas des plafonds de combles) et déborde de 50 cm sur tout le pourtour pour assurer les jonctions : </w:t>
      </w:r>
      <w:r>
        <w:rPr>
          <w:rStyle w:val="optioncarChar"/>
        </w:rPr>
        <w:t>non / oui</w:t>
      </w:r>
    </w:p>
    <w:p w14:paraId="42036BAE" w14:textId="77777777" w:rsidR="00DB2B68" w:rsidRDefault="00000000">
      <w:pPr>
        <w:jc w:val="both"/>
      </w:pPr>
      <w:r>
        <w:t xml:space="preserve">L’étanchéité à l’air entre panneaux est assurée : </w:t>
      </w:r>
      <w:r>
        <w:rPr>
          <w:rStyle w:val="optioncarChar"/>
        </w:rPr>
        <w:t xml:space="preserve">pas d’application </w:t>
      </w:r>
      <w:r>
        <w:t xml:space="preserve">(par défaut) </w:t>
      </w:r>
      <w:r>
        <w:rPr>
          <w:rStyle w:val="optioncarChar"/>
        </w:rPr>
        <w:t>/ par bandes d’étanchéité aux jonctions des panneaux / par joints d’étanchéité dans l’épaisseur des panneaux</w:t>
      </w:r>
      <w:r>
        <w:t>.</w:t>
      </w:r>
    </w:p>
    <w:p w14:paraId="1846CD7A" w14:textId="77777777" w:rsidR="00DB2B68" w:rsidRDefault="00000000">
      <w:pPr>
        <w:jc w:val="both"/>
      </w:pPr>
      <w:r>
        <w:rPr>
          <w:b/>
        </w:rPr>
        <w:t>Préparation des techniques spéciales : HVAC - Sanitaires - Electricité</w:t>
      </w:r>
    </w:p>
    <w:p w14:paraId="6F457DEF" w14:textId="77777777" w:rsidR="00DB2B68"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3" w:history="1">
        <w:r>
          <w:rPr>
            <w:color w:val="0000EE"/>
          </w:rPr>
          <w:t>24.22.2 Planchers en bois préfabriqués</w:t>
        </w:r>
      </w:hyperlink>
      <w:r>
        <w:t xml:space="preserve"> : </w:t>
      </w:r>
      <w:r>
        <w:rPr>
          <w:rStyle w:val="optioncarChar"/>
        </w:rPr>
        <w:t>non </w:t>
      </w:r>
      <w:r>
        <w:t>(par défaut) </w:t>
      </w:r>
      <w:r>
        <w:rPr>
          <w:rStyle w:val="optioncarChar"/>
        </w:rPr>
        <w:t>/ oui</w:t>
      </w:r>
    </w:p>
    <w:p w14:paraId="57FD3801" w14:textId="77777777" w:rsidR="00DB2B68" w:rsidRDefault="00000000">
      <w:pPr>
        <w:pStyle w:val="pheading"/>
      </w:pPr>
      <w:r>
        <w:t>MESURAGE</w:t>
      </w:r>
    </w:p>
    <w:p w14:paraId="285A53B5" w14:textId="77777777" w:rsidR="00DB2B68" w:rsidRDefault="00000000">
      <w:pPr>
        <w:pStyle w:val="pheading"/>
      </w:pPr>
      <w:r>
        <w:t>- unité de mesure:</w:t>
      </w:r>
    </w:p>
    <w:p w14:paraId="2C4A1C53" w14:textId="77777777" w:rsidR="00DB2B68" w:rsidRDefault="00000000">
      <w:r>
        <w:t>1.2. m²</w:t>
      </w:r>
    </w:p>
    <w:p w14:paraId="322D6043" w14:textId="77777777" w:rsidR="00DB2B68" w:rsidRDefault="00000000">
      <w:pPr>
        <w:pStyle w:val="pheading"/>
      </w:pPr>
      <w:r>
        <w:t>- code de mesurage:</w:t>
      </w:r>
    </w:p>
    <w:p w14:paraId="11D2C874" w14:textId="77777777" w:rsidR="00DB2B68" w:rsidRDefault="00000000">
      <w:pPr>
        <w:jc w:val="both"/>
      </w:pPr>
      <w:r>
        <w:rPr>
          <w:rStyle w:val="optioncarChar"/>
        </w:rPr>
        <w:t>Surface nette</w:t>
      </w:r>
      <w:r>
        <w:t xml:space="preserve"> (par défaut)</w:t>
      </w:r>
      <w:r>
        <w:rPr>
          <w:rStyle w:val="optioncarChar"/>
        </w:rPr>
        <w:t xml:space="preserve"> / Surface utile</w:t>
      </w:r>
    </w:p>
    <w:p w14:paraId="5E60C302" w14:textId="77777777" w:rsidR="00DB2B68" w:rsidRDefault="00000000">
      <w:pPr>
        <w:jc w:val="both"/>
      </w:pPr>
      <w:r>
        <w:rPr>
          <w:b/>
        </w:rPr>
        <w:t>(soit par défaut)</w:t>
      </w:r>
    </w:p>
    <w:p w14:paraId="41261EC2" w14:textId="77777777" w:rsidR="00DB2B68" w:rsidRDefault="00000000">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6E76DC0E" w14:textId="77777777" w:rsidR="00DB2B68" w:rsidRDefault="00000000">
      <w:pPr>
        <w:jc w:val="both"/>
      </w:pPr>
      <w:r>
        <w:rPr>
          <w:b/>
        </w:rPr>
        <w:t>(soit)</w:t>
      </w:r>
    </w:p>
    <w:p w14:paraId="60E4EE49" w14:textId="77777777" w:rsidR="00DB2B68"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49964142" w14:textId="77777777" w:rsidR="00DB2B68" w:rsidRDefault="00000000">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 et/ou pénétrant dans les murs intérieurs sont comptées avec le plancher sur toute l'épaisseur du mur et sont, par conséquent, déduites des murs intérieurs. Les vides, percements et feuillures supérieures à 0,5 m² sont déduits.</w:t>
      </w:r>
    </w:p>
    <w:p w14:paraId="2452598B" w14:textId="77777777" w:rsidR="00DB2B68" w:rsidRDefault="00000000">
      <w:pPr>
        <w:pStyle w:val="pheading"/>
      </w:pPr>
      <w:r>
        <w:t>- nature du marché:</w:t>
      </w:r>
    </w:p>
    <w:p w14:paraId="0641F7CD" w14:textId="77777777" w:rsidR="00DB2B68" w:rsidRDefault="00000000">
      <w:r>
        <w:t>1.2. QF</w:t>
      </w:r>
    </w:p>
    <w:p w14:paraId="2BCC1FD5" w14:textId="77777777" w:rsidR="00DB2B68" w:rsidRDefault="00000000">
      <w:pPr>
        <w:pStyle w:val="Author-eSectionHeading6Numberless"/>
      </w:pPr>
      <w:bookmarkStart w:id="1671" w:name="_Toc220496655"/>
      <w:r>
        <w:t>24.22.2b Planchers en hourdis bois préfabriqués CCTB 01.11</w:t>
      </w:r>
      <w:bookmarkEnd w:id="1671"/>
    </w:p>
    <w:p w14:paraId="50EDF63C" w14:textId="77777777" w:rsidR="00DB2B68" w:rsidRDefault="00000000">
      <w:pPr>
        <w:pStyle w:val="pheading"/>
      </w:pPr>
      <w:r>
        <w:t>DESCRIPTION</w:t>
      </w:r>
    </w:p>
    <w:p w14:paraId="540C3D0E" w14:textId="77777777" w:rsidR="00DB2B68" w:rsidRDefault="00000000">
      <w:pPr>
        <w:pStyle w:val="pheading"/>
      </w:pPr>
      <w:r>
        <w:t>- Définition / Comprend</w:t>
      </w:r>
    </w:p>
    <w:p w14:paraId="748F1315" w14:textId="77777777" w:rsidR="00DB2B68" w:rsidRDefault="00000000">
      <w:pPr>
        <w:jc w:val="both"/>
      </w:pPr>
      <w:r>
        <w:t>Il s'agit de la fourniture et la pose de planchers intérieurs préfabriqués en atelier, en forme de hourdis alvéolés (en référence à la forme des éléments équivalents en béton) et de tous les accessoires de fixation.</w:t>
      </w:r>
    </w:p>
    <w:p w14:paraId="2FDBF408" w14:textId="77777777" w:rsidR="00DB2B68" w:rsidRDefault="00000000">
      <w:pPr>
        <w:pStyle w:val="pheading"/>
      </w:pPr>
      <w:r>
        <w:t>MATÉRIAUX</w:t>
      </w:r>
    </w:p>
    <w:p w14:paraId="242DA3DC" w14:textId="77777777" w:rsidR="00DB2B68" w:rsidRDefault="00000000">
      <w:pPr>
        <w:pStyle w:val="pheading"/>
      </w:pPr>
      <w:r>
        <w:t>- Caractéristiques générales</w:t>
      </w:r>
    </w:p>
    <w:p w14:paraId="05F3F74E" w14:textId="77777777" w:rsidR="00DB2B68" w:rsidRDefault="00000000">
      <w:pPr>
        <w:pStyle w:val="Author-eListParagraph"/>
        <w:numPr>
          <w:ilvl w:val="0"/>
          <w:numId w:val="924"/>
        </w:numPr>
        <w:jc w:val="both"/>
      </w:pPr>
      <w:r>
        <w:lastRenderedPageBreak/>
        <w:t xml:space="preserve">Classe d’emploi/de risque, suivant la [NBN EN 335] : </w:t>
      </w:r>
      <w:r>
        <w:rPr>
          <w:rStyle w:val="optioncarChar"/>
        </w:rPr>
        <w:t xml:space="preserve">1 / 2 </w:t>
      </w:r>
      <w:r>
        <w:t>(par défaut)</w:t>
      </w:r>
      <w:r>
        <w:rPr>
          <w:rStyle w:val="optioncarChar"/>
        </w:rPr>
        <w:t xml:space="preserve"> / 3</w:t>
      </w:r>
    </w:p>
    <w:p w14:paraId="7B6330A4" w14:textId="77777777" w:rsidR="00DB2B68" w:rsidRDefault="00000000">
      <w:pPr>
        <w:pStyle w:val="Author-eListParagraph"/>
        <w:numPr>
          <w:ilvl w:val="0"/>
          <w:numId w:val="924"/>
        </w:numPr>
        <w:jc w:val="both"/>
      </w:pPr>
      <w:r>
        <w:t xml:space="preserve">Hauteur totale disponible pour le plancher ≤ </w:t>
      </w:r>
      <w:r>
        <w:rPr>
          <w:rStyle w:val="optioncarChar"/>
        </w:rPr>
        <w:t xml:space="preserve">selon les indications sur les plans </w:t>
      </w:r>
      <w:r>
        <w:t xml:space="preserve">(par défaut) </w:t>
      </w:r>
      <w:r>
        <w:rPr>
          <w:rStyle w:val="optioncarChar"/>
        </w:rPr>
        <w:t xml:space="preserve">/ 145 / 170 / 200 / 220 / 250 / 275 / 300 / 335 / 350 / 375 / 400 / 415 / 435 </w:t>
      </w:r>
      <w:r>
        <w:t>mm, tolérance ± 10 mm</w:t>
      </w:r>
    </w:p>
    <w:p w14:paraId="274E0475" w14:textId="77777777" w:rsidR="00DB2B68" w:rsidRDefault="00000000">
      <w:pPr>
        <w:pStyle w:val="Author-eListParagraph"/>
        <w:numPr>
          <w:ilvl w:val="0"/>
          <w:numId w:val="924"/>
        </w:numPr>
        <w:jc w:val="both"/>
      </w:pPr>
      <w:r>
        <w:t xml:space="preserve">Portée ≤ </w:t>
      </w:r>
      <w:r>
        <w:rPr>
          <w:rStyle w:val="optioncarChar"/>
        </w:rPr>
        <w:t xml:space="preserve">selon les indications sur les plans </w:t>
      </w:r>
      <w:r>
        <w:t>(par défaut)</w:t>
      </w:r>
      <w:r>
        <w:rPr>
          <w:rStyle w:val="optioncarChar"/>
        </w:rPr>
        <w:t xml:space="preserve"> / 4 / 5 / 6</w:t>
      </w:r>
      <w:r>
        <w:t> </w:t>
      </w:r>
      <w:r>
        <w:rPr>
          <w:rStyle w:val="optioncarChar"/>
        </w:rPr>
        <w:t xml:space="preserve">/ 7 / 8 / 9 </w:t>
      </w:r>
      <w:r>
        <w:t>m</w:t>
      </w:r>
    </w:p>
    <w:p w14:paraId="770DC029" w14:textId="77777777" w:rsidR="00DB2B68" w:rsidRDefault="00000000">
      <w:pPr>
        <w:pStyle w:val="Author-eListParagraph"/>
        <w:numPr>
          <w:ilvl w:val="0"/>
          <w:numId w:val="924"/>
        </w:numPr>
        <w:jc w:val="both"/>
      </w:pPr>
      <w:r>
        <w:t xml:space="preserve">Les planchers sont calculés pour une charge d’exploitation, suivant l’Eurocode [NBN EN 1991-1-4], [NBN EN 1991-1-4 ANB], [NBN EN 1991-1-4/A1]: </w:t>
      </w:r>
      <w:r>
        <w:rPr>
          <w:rStyle w:val="optioncarChar"/>
        </w:rPr>
        <w:t xml:space="preserve">selon l’affectation des locaux sur les plans </w:t>
      </w:r>
      <w:r>
        <w:t>(par défaut)</w:t>
      </w:r>
      <w:r>
        <w:rPr>
          <w:rStyle w:val="optioncarChar"/>
        </w:rPr>
        <w:t xml:space="preserve"> / 2 / 3 / 4 / 5</w:t>
      </w:r>
      <w:r>
        <w:t> kN/m²</w:t>
      </w:r>
    </w:p>
    <w:p w14:paraId="6591E5EB" w14:textId="77777777" w:rsidR="00DB2B68" w:rsidRDefault="00000000">
      <w:pPr>
        <w:pStyle w:val="Author-eListParagraph"/>
        <w:numPr>
          <w:ilvl w:val="0"/>
          <w:numId w:val="924"/>
        </w:numPr>
        <w:jc w:val="both"/>
      </w:pPr>
      <w:r>
        <w:t xml:space="preserve">Le critère de flèche, suivant la [NBN B 03-003] est de : </w:t>
      </w:r>
      <w:r>
        <w:rPr>
          <w:rStyle w:val="optioncarChar"/>
        </w:rPr>
        <w:t xml:space="preserve">L/500 </w:t>
      </w:r>
      <w:r>
        <w:t>(par défaut)</w:t>
      </w:r>
      <w:r>
        <w:rPr>
          <w:rStyle w:val="optioncarChar"/>
        </w:rPr>
        <w:t xml:space="preserve"> / L/450 / L/300 / L/250</w:t>
      </w:r>
    </w:p>
    <w:p w14:paraId="292E607C" w14:textId="77777777" w:rsidR="00DB2B68" w:rsidRDefault="00000000">
      <w:pPr>
        <w:pStyle w:val="Author-eListParagraph"/>
        <w:numPr>
          <w:ilvl w:val="0"/>
          <w:numId w:val="924"/>
        </w:numPr>
        <w:jc w:val="both"/>
      </w:pPr>
      <w:r>
        <w:t>Classe de réaction au feu, selon la [NBN EN 13501-1] : D-s1, d0</w:t>
      </w:r>
    </w:p>
    <w:p w14:paraId="73382F0A" w14:textId="77777777" w:rsidR="00DB2B68" w:rsidRDefault="00000000">
      <w:pPr>
        <w:jc w:val="both"/>
      </w:pPr>
      <w:r>
        <w:rPr>
          <w:b/>
        </w:rPr>
        <w:t>Caractéristique des hourdis</w:t>
      </w:r>
    </w:p>
    <w:p w14:paraId="4D71831A" w14:textId="77777777" w:rsidR="00DB2B68" w:rsidRDefault="00000000">
      <w:pPr>
        <w:jc w:val="both"/>
      </w:pPr>
      <w:r>
        <w:t>Eléments nervurés en bois lamellé-croisé composé d’une face inférieure éventuellement visible et d’un panneautage structurel de sous face, de membrures porteuses formant des alvéoles et d’une face supérieure.</w:t>
      </w:r>
    </w:p>
    <w:p w14:paraId="16BF48A6" w14:textId="77777777" w:rsidR="00DB2B68" w:rsidRDefault="00000000">
      <w:pPr>
        <w:pStyle w:val="Author-eListParagraph"/>
        <w:numPr>
          <w:ilvl w:val="0"/>
          <w:numId w:val="925"/>
        </w:numPr>
        <w:jc w:val="both"/>
      </w:pPr>
      <w:r>
        <w:t>Essence de bois : mixte épicéa, pin ou sapin</w:t>
      </w:r>
    </w:p>
    <w:p w14:paraId="4352D7BB" w14:textId="77777777" w:rsidR="00DB2B68" w:rsidRDefault="00000000">
      <w:pPr>
        <w:pStyle w:val="Author-eListParagraph"/>
        <w:numPr>
          <w:ilvl w:val="0"/>
          <w:numId w:val="925"/>
        </w:numPr>
        <w:jc w:val="both"/>
      </w:pPr>
      <w:r>
        <w:t>Collage à la colle polyuréthane</w:t>
      </w:r>
    </w:p>
    <w:p w14:paraId="5C2AE917" w14:textId="77777777" w:rsidR="00DB2B68" w:rsidRDefault="00000000">
      <w:pPr>
        <w:pStyle w:val="Author-eListParagraph"/>
        <w:numPr>
          <w:ilvl w:val="0"/>
          <w:numId w:val="925"/>
        </w:numPr>
        <w:jc w:val="both"/>
      </w:pPr>
      <w:r>
        <w:t>Largeur des éléments : 60 cm, tolérance ± 3 cm</w:t>
      </w:r>
    </w:p>
    <w:p w14:paraId="753CEE1F" w14:textId="77777777" w:rsidR="00DB2B68" w:rsidRDefault="00000000">
      <w:pPr>
        <w:pStyle w:val="Author-eListParagraph"/>
        <w:numPr>
          <w:ilvl w:val="0"/>
          <w:numId w:val="925"/>
        </w:numPr>
        <w:jc w:val="both"/>
      </w:pPr>
      <w:r>
        <w:t>Jonctions latérales des éléments de panneautage de sous-face : rainurés languetés</w:t>
      </w:r>
    </w:p>
    <w:p w14:paraId="3D880224" w14:textId="77777777" w:rsidR="00DB2B68" w:rsidRDefault="00000000">
      <w:pPr>
        <w:pStyle w:val="Author-eListParagraph"/>
        <w:numPr>
          <w:ilvl w:val="0"/>
          <w:numId w:val="925"/>
        </w:numPr>
        <w:jc w:val="both"/>
      </w:pPr>
      <w:r>
        <w:t>Les extrémités frontales sont fermées sur toute la hauteur, avec des planches de rive d’épaisseur ≥ 8 mm</w:t>
      </w:r>
    </w:p>
    <w:p w14:paraId="25C6E1B1" w14:textId="77777777" w:rsidR="00DB2B68" w:rsidRDefault="00000000">
      <w:pPr>
        <w:pStyle w:val="Author-eListParagraph"/>
        <w:numPr>
          <w:ilvl w:val="0"/>
          <w:numId w:val="925"/>
        </w:numPr>
        <w:jc w:val="both"/>
      </w:pPr>
      <w:r>
        <w:t>Humidité du bois entre 7 et 11%</w:t>
      </w:r>
    </w:p>
    <w:p w14:paraId="59CD0922" w14:textId="77777777" w:rsidR="00DB2B68" w:rsidRDefault="00000000">
      <w:pPr>
        <w:pStyle w:val="Author-eListParagraph"/>
        <w:numPr>
          <w:ilvl w:val="0"/>
          <w:numId w:val="925"/>
        </w:numPr>
        <w:jc w:val="both"/>
      </w:pPr>
      <w:r>
        <w:t xml:space="preserve">Possibilité de poser des éléments dans la longueur des alvéoles, d’une largeur ≤ </w:t>
      </w:r>
      <w:r>
        <w:rPr>
          <w:rStyle w:val="optioncarChar"/>
        </w:rPr>
        <w:t>100 / ***</w:t>
      </w:r>
      <w:r>
        <w:t xml:space="preserve"> mm</w:t>
      </w:r>
    </w:p>
    <w:p w14:paraId="29E44248" w14:textId="77777777" w:rsidR="00DB2B68" w:rsidRDefault="00000000">
      <w:pPr>
        <w:pStyle w:val="Author-eListParagraph"/>
        <w:numPr>
          <w:ilvl w:val="0"/>
          <w:numId w:val="925"/>
        </w:numPr>
        <w:jc w:val="both"/>
      </w:pPr>
      <w:r>
        <w:t xml:space="preserve">Possibilité de poser des éléments transversalement, d’une épaisseur ≤ 24 mm : </w:t>
      </w:r>
      <w:r>
        <w:rPr>
          <w:rStyle w:val="optioncarChar"/>
        </w:rPr>
        <w:t xml:space="preserve">non </w:t>
      </w:r>
      <w:r>
        <w:t>(par défaut)</w:t>
      </w:r>
      <w:r>
        <w:rPr>
          <w:rStyle w:val="optioncarChar"/>
        </w:rPr>
        <w:t xml:space="preserve"> / oui</w:t>
      </w:r>
    </w:p>
    <w:p w14:paraId="34CF9155" w14:textId="77777777" w:rsidR="00DB2B68" w:rsidRDefault="00000000">
      <w:pPr>
        <w:pStyle w:val="Author-eListParagraph"/>
        <w:numPr>
          <w:ilvl w:val="0"/>
          <w:numId w:val="925"/>
        </w:numPr>
        <w:jc w:val="both"/>
      </w:pPr>
      <w:r>
        <w:t xml:space="preserve">La face supérieure des éléments est : </w:t>
      </w:r>
      <w:r>
        <w:rPr>
          <w:rStyle w:val="optioncarChar"/>
        </w:rPr>
        <w:t>ouverte</w:t>
      </w:r>
      <w:r>
        <w:t xml:space="preserve"> (par défaut) </w:t>
      </w:r>
      <w:r>
        <w:rPr>
          <w:rStyle w:val="optioncarChar"/>
        </w:rPr>
        <w:t>/ fermée</w:t>
      </w:r>
    </w:p>
    <w:p w14:paraId="1A07472B" w14:textId="77777777" w:rsidR="00DB2B68" w:rsidRDefault="00000000">
      <w:pPr>
        <w:jc w:val="both"/>
      </w:pPr>
      <w:r>
        <w:rPr>
          <w:b/>
        </w:rPr>
        <w:t>Lestage</w:t>
      </w:r>
    </w:p>
    <w:p w14:paraId="2441F592" w14:textId="77777777" w:rsidR="00DB2B68" w:rsidRDefault="00000000">
      <w:pPr>
        <w:jc w:val="both"/>
      </w:pPr>
      <w:r>
        <w:t xml:space="preserve">Réalisation d’un lestage inséré dans les cellules des caissons : </w:t>
      </w:r>
      <w:r>
        <w:rPr>
          <w:rStyle w:val="optioncarChar"/>
        </w:rPr>
        <w:t xml:space="preserve">non </w:t>
      </w:r>
      <w:r>
        <w:t>(par défaut)</w:t>
      </w:r>
      <w:r>
        <w:rPr>
          <w:rStyle w:val="optioncarChar"/>
        </w:rPr>
        <w:t xml:space="preserve"> / oui</w:t>
      </w:r>
    </w:p>
    <w:p w14:paraId="11769751" w14:textId="77777777" w:rsidR="00DB2B68" w:rsidRDefault="00000000">
      <w:pPr>
        <w:jc w:val="both"/>
      </w:pPr>
      <w:r>
        <w:rPr>
          <w:u w:val="single"/>
        </w:rPr>
        <w:t>Dans le cas où un lestage est prévu :</w:t>
      </w:r>
    </w:p>
    <w:p w14:paraId="0D97B786" w14:textId="77777777" w:rsidR="00DB2B68" w:rsidRDefault="00000000">
      <w:pPr>
        <w:pStyle w:val="Author-eListParagraph"/>
        <w:numPr>
          <w:ilvl w:val="0"/>
          <w:numId w:val="926"/>
        </w:numPr>
      </w:pPr>
      <w:r>
        <w:t xml:space="preserve">Masse de lestage : </w:t>
      </w:r>
      <w:r>
        <w:rPr>
          <w:rStyle w:val="optioncarChar"/>
        </w:rPr>
        <w:t xml:space="preserve">50 / 75 </w:t>
      </w:r>
      <w:r>
        <w:t>(par défaut)</w:t>
      </w:r>
      <w:r>
        <w:rPr>
          <w:rStyle w:val="optioncarChar"/>
        </w:rPr>
        <w:t xml:space="preserve"> / 90 </w:t>
      </w:r>
      <w:r>
        <w:t>kg/m² </w:t>
      </w:r>
    </w:p>
    <w:p w14:paraId="106852E5" w14:textId="77777777" w:rsidR="00DB2B68" w:rsidRDefault="00000000">
      <w:pPr>
        <w:pStyle w:val="Author-eListParagraph"/>
        <w:numPr>
          <w:ilvl w:val="0"/>
          <w:numId w:val="926"/>
        </w:numPr>
      </w:pPr>
      <w:r>
        <w:t xml:space="preserve">Caractéristiques du granulat : </w:t>
      </w:r>
    </w:p>
    <w:p w14:paraId="0D40CC0C" w14:textId="77777777" w:rsidR="00DB2B68" w:rsidRDefault="00000000">
      <w:pPr>
        <w:pStyle w:val="Author-eListParagraph"/>
        <w:numPr>
          <w:ilvl w:val="1"/>
          <w:numId w:val="927"/>
        </w:numPr>
        <w:jc w:val="both"/>
      </w:pPr>
      <w:r>
        <w:t>Humidité ≤ 5%</w:t>
      </w:r>
    </w:p>
    <w:p w14:paraId="09E0AC53" w14:textId="77777777" w:rsidR="00DB2B68" w:rsidRDefault="00000000">
      <w:pPr>
        <w:pStyle w:val="Author-eListParagraph"/>
        <w:numPr>
          <w:ilvl w:val="1"/>
          <w:numId w:val="927"/>
        </w:numPr>
        <w:jc w:val="both"/>
      </w:pPr>
      <w:r>
        <w:t>Granulométrie ≤ 8mm</w:t>
      </w:r>
    </w:p>
    <w:p w14:paraId="0B3F95F7" w14:textId="77777777" w:rsidR="00DB2B68" w:rsidRDefault="00000000">
      <w:pPr>
        <w:pStyle w:val="Author-eListParagraph"/>
        <w:numPr>
          <w:ilvl w:val="1"/>
          <w:numId w:val="927"/>
        </w:numPr>
        <w:jc w:val="both"/>
      </w:pPr>
      <w:r>
        <w:t xml:space="preserve">Nature du granulat : </w:t>
      </w:r>
      <w:r>
        <w:rPr>
          <w:rStyle w:val="optioncarChar"/>
        </w:rPr>
        <w:t>calcaire </w:t>
      </w:r>
      <w:r>
        <w:t>(par défaut)</w:t>
      </w:r>
      <w:r>
        <w:rPr>
          <w:rStyle w:val="optioncarChar"/>
        </w:rPr>
        <w:t xml:space="preserve"> / argile expansée</w:t>
      </w:r>
    </w:p>
    <w:p w14:paraId="2168E5D8" w14:textId="77777777" w:rsidR="00DB2B68" w:rsidRDefault="00000000">
      <w:pPr>
        <w:pStyle w:val="Author-eListParagraph"/>
        <w:numPr>
          <w:ilvl w:val="1"/>
          <w:numId w:val="927"/>
        </w:numPr>
        <w:jc w:val="both"/>
      </w:pPr>
      <w:r>
        <w:t xml:space="preserve">Masse volumique apparente ≤ </w:t>
      </w:r>
      <w:r>
        <w:rPr>
          <w:rStyle w:val="optioncarChar"/>
        </w:rPr>
        <w:t>750 / 1000 / 1400</w:t>
      </w:r>
      <w:r>
        <w:t xml:space="preserve"> (par défaut) kg/m³</w:t>
      </w:r>
    </w:p>
    <w:p w14:paraId="50466363" w14:textId="77777777" w:rsidR="00DB2B68" w:rsidRDefault="00000000">
      <w:pPr>
        <w:jc w:val="both"/>
      </w:pPr>
      <w:r>
        <w:rPr>
          <w:b/>
        </w:rPr>
        <w:t>Absorption acoustique</w:t>
      </w:r>
    </w:p>
    <w:p w14:paraId="375FB797" w14:textId="77777777" w:rsidR="00DB2B68" w:rsidRDefault="00000000">
      <w:pPr>
        <w:jc w:val="both"/>
      </w:pPr>
      <w:r>
        <w:t xml:space="preserve">La face inférieure présente des ouvertures pour l’absorption acoustique : </w:t>
      </w:r>
      <w:r>
        <w:rPr>
          <w:rStyle w:val="optioncarChar"/>
        </w:rPr>
        <w:t xml:space="preserve">non </w:t>
      </w:r>
      <w:r>
        <w:t xml:space="preserve">(par défaut) </w:t>
      </w:r>
      <w:r>
        <w:rPr>
          <w:rStyle w:val="optioncarChar"/>
        </w:rPr>
        <w:t>/ oui</w:t>
      </w:r>
    </w:p>
    <w:p w14:paraId="6E12E189" w14:textId="77777777" w:rsidR="00DB2B68" w:rsidRDefault="00000000">
      <w:pPr>
        <w:jc w:val="both"/>
      </w:pPr>
      <w:r>
        <w:t>Dans le cas où un absorbeur acoustique est prévu, celui-ci est placé entre la sous-face structurelle et la finition.</w:t>
      </w:r>
    </w:p>
    <w:p w14:paraId="6563421F" w14:textId="77777777" w:rsidR="00DB2B68" w:rsidRDefault="00000000">
      <w:pPr>
        <w:pStyle w:val="Author-eListParagraph"/>
        <w:numPr>
          <w:ilvl w:val="0"/>
          <w:numId w:val="928"/>
        </w:numPr>
        <w:jc w:val="both"/>
      </w:pPr>
      <w:r>
        <w:t>Matériau :</w:t>
      </w:r>
      <w:r>
        <w:rPr>
          <w:rStyle w:val="optioncarChar"/>
        </w:rPr>
        <w:t xml:space="preserve"> fibre de bois </w:t>
      </w:r>
      <w:r>
        <w:t>(par défaut)</w:t>
      </w:r>
      <w:r>
        <w:rPr>
          <w:rStyle w:val="optioncarChar"/>
        </w:rPr>
        <w:t xml:space="preserve"> / ***</w:t>
      </w:r>
    </w:p>
    <w:p w14:paraId="2BEC9B1F" w14:textId="77777777" w:rsidR="00DB2B68" w:rsidRDefault="00000000">
      <w:pPr>
        <w:pStyle w:val="Author-eListParagraph"/>
        <w:numPr>
          <w:ilvl w:val="0"/>
          <w:numId w:val="928"/>
        </w:numPr>
        <w:jc w:val="both"/>
      </w:pPr>
      <w:r>
        <w:t xml:space="preserve">Masse volumique de l’absorbeur  ≤ </w:t>
      </w:r>
      <w:r>
        <w:rPr>
          <w:rStyle w:val="optioncarChar"/>
        </w:rPr>
        <w:t xml:space="preserve">110 </w:t>
      </w:r>
      <w:r>
        <w:t xml:space="preserve">(par défaut) </w:t>
      </w:r>
      <w:r>
        <w:rPr>
          <w:rStyle w:val="optioncarChar"/>
        </w:rPr>
        <w:t>/ *** </w:t>
      </w:r>
      <w:r>
        <w:t>kg/m³</w:t>
      </w:r>
    </w:p>
    <w:p w14:paraId="2F07B168" w14:textId="77777777" w:rsidR="00DB2B68" w:rsidRDefault="00000000">
      <w:pPr>
        <w:pStyle w:val="Author-eListParagraph"/>
        <w:numPr>
          <w:ilvl w:val="0"/>
          <w:numId w:val="928"/>
        </w:numPr>
        <w:jc w:val="both"/>
      </w:pPr>
      <w:r>
        <w:t xml:space="preserve">Epaisseur de l’absorbeur ≥ </w:t>
      </w:r>
      <w:r>
        <w:rPr>
          <w:rStyle w:val="optioncarChar"/>
        </w:rPr>
        <w:t xml:space="preserve">20 / 22 </w:t>
      </w:r>
      <w:r>
        <w:t>(par défaut)</w:t>
      </w:r>
      <w:r>
        <w:rPr>
          <w:rStyle w:val="optioncarChar"/>
        </w:rPr>
        <w:t xml:space="preserve"> / 26 / 40</w:t>
      </w:r>
      <w:r>
        <w:t xml:space="preserve"> mm</w:t>
      </w:r>
    </w:p>
    <w:p w14:paraId="552D9EA6" w14:textId="77777777" w:rsidR="00DB2B68" w:rsidRDefault="00000000">
      <w:pPr>
        <w:pStyle w:val="Author-eListParagraph"/>
        <w:numPr>
          <w:ilvl w:val="0"/>
          <w:numId w:val="928"/>
        </w:numPr>
        <w:jc w:val="both"/>
      </w:pPr>
      <w:r>
        <w:t xml:space="preserve">Forme des ouvertures : </w:t>
      </w:r>
      <w:r>
        <w:rPr>
          <w:rStyle w:val="optioncarChar"/>
        </w:rPr>
        <w:t xml:space="preserve">rondes </w:t>
      </w:r>
      <w:r>
        <w:t xml:space="preserve">(par défaut) </w:t>
      </w:r>
      <w:r>
        <w:rPr>
          <w:rStyle w:val="optioncarChar"/>
        </w:rPr>
        <w:t>/ rainures / ***</w:t>
      </w:r>
    </w:p>
    <w:p w14:paraId="522C252A" w14:textId="77777777" w:rsidR="00DB2B68" w:rsidRDefault="00000000">
      <w:pPr>
        <w:pStyle w:val="Author-eListParagraph"/>
        <w:numPr>
          <w:ilvl w:val="0"/>
          <w:numId w:val="928"/>
        </w:numPr>
        <w:jc w:val="both"/>
      </w:pPr>
      <w:r>
        <w:t xml:space="preserve">Caractéristiques des ouvertures : </w:t>
      </w:r>
      <w:r>
        <w:rPr>
          <w:rStyle w:val="optioncarChar"/>
        </w:rPr>
        <w:t xml:space="preserve">à soumettre sur chantier à l'approbation à l'architecte et au maître de l'ouvrage en fonction du nuancier du fabricant </w:t>
      </w:r>
      <w:r>
        <w:t xml:space="preserve">(par défaut) </w:t>
      </w:r>
      <w:r>
        <w:rPr>
          <w:rStyle w:val="optioncarChar"/>
        </w:rPr>
        <w:t>/ ***</w:t>
      </w:r>
    </w:p>
    <w:p w14:paraId="029A9474" w14:textId="77777777" w:rsidR="00DB2B68" w:rsidRDefault="00000000">
      <w:pPr>
        <w:pStyle w:val="Author-eListParagraph"/>
        <w:numPr>
          <w:ilvl w:val="0"/>
          <w:numId w:val="928"/>
        </w:numPr>
        <w:jc w:val="both"/>
      </w:pPr>
      <w:r>
        <w:t>Coefficient d’absorption pondéré, suivant la norme [NBN EN ISO 11654], αw ≥ </w:t>
      </w:r>
      <w:r>
        <w:rPr>
          <w:rStyle w:val="optioncarChar"/>
        </w:rPr>
        <w:t>0,4 / 0,5</w:t>
      </w:r>
      <w:r>
        <w:t xml:space="preserve"> (par défaut)</w:t>
      </w:r>
      <w:r>
        <w:rPr>
          <w:rStyle w:val="optioncarChar"/>
        </w:rPr>
        <w:t xml:space="preserve"> / 0,6 / 0,7 / 0,8 / 0,9</w:t>
      </w:r>
    </w:p>
    <w:p w14:paraId="7F3DD198" w14:textId="77777777" w:rsidR="00DB2B68" w:rsidRDefault="00000000">
      <w:pPr>
        <w:jc w:val="both"/>
      </w:pPr>
      <w:r>
        <w:rPr>
          <w:b/>
        </w:rPr>
        <w:t>Résistance au feu</w:t>
      </w:r>
    </w:p>
    <w:p w14:paraId="019EC1EA" w14:textId="77777777" w:rsidR="00DB2B68" w:rsidRDefault="00000000">
      <w:pPr>
        <w:jc w:val="both"/>
      </w:pPr>
      <w:r>
        <w:lastRenderedPageBreak/>
        <w:t xml:space="preserve">Le plancher présente également une résistance au feu, selon la [NBN EN 13501-2] : </w:t>
      </w:r>
      <w:r>
        <w:rPr>
          <w:rStyle w:val="optioncarChar"/>
        </w:rPr>
        <w:t xml:space="preserve">pas d’application / REI30 </w:t>
      </w:r>
      <w:r>
        <w:t>(par défaut)</w:t>
      </w:r>
      <w:r>
        <w:rPr>
          <w:rStyle w:val="optioncarChar"/>
        </w:rPr>
        <w:t xml:space="preserve"> / REI60 / REI 90 / REI 120</w:t>
      </w:r>
    </w:p>
    <w:p w14:paraId="4281E4A1" w14:textId="77777777" w:rsidR="00DB2B68" w:rsidRDefault="00000000">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 travail)</w:t>
      </w:r>
      <w:r>
        <w:t xml:space="preserve"> du bois.</w:t>
      </w:r>
    </w:p>
    <w:p w14:paraId="0C2CDE4B" w14:textId="77777777" w:rsidR="00DB2B68" w:rsidRDefault="00000000">
      <w:pPr>
        <w:pStyle w:val="pheading"/>
      </w:pPr>
      <w:r>
        <w:t>- Finitions</w:t>
      </w:r>
    </w:p>
    <w:p w14:paraId="30588E1B" w14:textId="77777777" w:rsidR="00DB2B68" w:rsidRDefault="00000000">
      <w:pPr>
        <w:jc w:val="both"/>
      </w:pPr>
      <w:r>
        <w:rPr>
          <w:b/>
        </w:rPr>
        <w:t>Sous-face apparente</w:t>
      </w:r>
    </w:p>
    <w:p w14:paraId="505077C0" w14:textId="77777777" w:rsidR="00DB2B68" w:rsidRDefault="00000000">
      <w:pPr>
        <w:jc w:val="both"/>
      </w:pPr>
      <w:r>
        <w:t xml:space="preserve">Sous-face apparente : </w:t>
      </w:r>
      <w:r>
        <w:rPr>
          <w:rStyle w:val="optioncarChar"/>
        </w:rPr>
        <w:t>fermée</w:t>
      </w:r>
      <w:r>
        <w:t xml:space="preserve"> (par défaut) </w:t>
      </w:r>
      <w:r>
        <w:rPr>
          <w:rStyle w:val="optioncarChar"/>
        </w:rPr>
        <w:t>/ ouverte / pas d’application</w:t>
      </w:r>
    </w:p>
    <w:p w14:paraId="3A0EE7B4" w14:textId="77777777" w:rsidR="00DB2B68" w:rsidRDefault="00000000">
      <w:pPr>
        <w:jc w:val="both"/>
      </w:pPr>
      <w:r>
        <w:rPr>
          <w:b/>
        </w:rPr>
        <w:t>(soit par défaut)</w:t>
      </w:r>
    </w:p>
    <w:p w14:paraId="68DBADE5" w14:textId="77777777" w:rsidR="00DB2B68" w:rsidRDefault="00000000">
      <w:pPr>
        <w:jc w:val="both"/>
      </w:pPr>
      <w:r>
        <w:rPr>
          <w:rStyle w:val="soitChar"/>
          <w:u w:val="single"/>
        </w:rPr>
        <w:t>Fermée :</w:t>
      </w:r>
    </w:p>
    <w:p w14:paraId="4EAB0B4C" w14:textId="77777777" w:rsidR="00DB2B68" w:rsidRDefault="00000000">
      <w:pPr>
        <w:jc w:val="both"/>
      </w:pPr>
      <w:r>
        <w:rPr>
          <w:rStyle w:val="soitChar"/>
        </w:rPr>
        <w:t>Face apparente visible en panneaux fermés de bois naturel</w:t>
      </w:r>
    </w:p>
    <w:p w14:paraId="12DD4C09" w14:textId="77777777" w:rsidR="00DB2B68" w:rsidRDefault="00000000">
      <w:pPr>
        <w:pStyle w:val="Author-eListParagraph"/>
        <w:numPr>
          <w:ilvl w:val="0"/>
          <w:numId w:val="929"/>
        </w:numPr>
      </w:pPr>
      <w:r>
        <w:rPr>
          <w:rStyle w:val="soitChar"/>
        </w:rPr>
        <w:t xml:space="preserve">Finition du bois : </w:t>
      </w:r>
      <w:r>
        <w:rPr>
          <w:rStyle w:val="optioncarChar"/>
        </w:rPr>
        <w:t xml:space="preserve">brossé </w:t>
      </w:r>
      <w:r>
        <w:t>(par défaut)</w:t>
      </w:r>
      <w:r>
        <w:rPr>
          <w:rStyle w:val="optioncarChar"/>
        </w:rPr>
        <w:t xml:space="preserve"> / ponçage lisse</w:t>
      </w:r>
    </w:p>
    <w:p w14:paraId="4EBABE8D" w14:textId="77777777" w:rsidR="00DB2B68" w:rsidRDefault="00000000">
      <w:pPr>
        <w:pStyle w:val="Author-eListParagraph"/>
        <w:numPr>
          <w:ilvl w:val="0"/>
          <w:numId w:val="929"/>
        </w:numPr>
      </w:pPr>
      <w:r>
        <w:rPr>
          <w:rStyle w:val="soitChar"/>
        </w:rPr>
        <w:t>Essence de bois, sans nœuds :</w:t>
      </w:r>
      <w:r>
        <w:rPr>
          <w:rStyle w:val="optioncarChar"/>
        </w:rPr>
        <w:t xml:space="preserve">sapin blanc </w:t>
      </w:r>
      <w:r>
        <w:t>(par défaut)</w:t>
      </w:r>
      <w:r>
        <w:rPr>
          <w:rStyle w:val="optioncarChar"/>
        </w:rPr>
        <w:t xml:space="preserve"> / oregon (sapin douglas) / épicéa / mélèze / chêne / ***</w:t>
      </w:r>
    </w:p>
    <w:p w14:paraId="6D2CF36C" w14:textId="77777777" w:rsidR="00DB2B68" w:rsidRDefault="00000000">
      <w:pPr>
        <w:pStyle w:val="Author-eListParagraph"/>
        <w:numPr>
          <w:ilvl w:val="0"/>
          <w:numId w:val="929"/>
        </w:numPr>
      </w:pPr>
      <w:r>
        <w:rPr>
          <w:rStyle w:val="soitChar"/>
        </w:rPr>
        <w:t>Jointures des bords :</w:t>
      </w:r>
      <w:r>
        <w:rPr>
          <w:rStyle w:val="optioncarChar"/>
        </w:rPr>
        <w:t xml:space="preserve"> droit </w:t>
      </w:r>
      <w:r>
        <w:t xml:space="preserve">(par défaut) </w:t>
      </w:r>
      <w:r>
        <w:rPr>
          <w:rStyle w:val="optioncarChar"/>
        </w:rPr>
        <w:t>/ en V (chanfreiné) / rainuré (4mm) / ***</w:t>
      </w:r>
    </w:p>
    <w:p w14:paraId="70836C05" w14:textId="77777777" w:rsidR="00DB2B68" w:rsidRDefault="00000000">
      <w:pPr>
        <w:jc w:val="both"/>
      </w:pPr>
      <w:r>
        <w:rPr>
          <w:b/>
        </w:rPr>
        <w:t>(soit)</w:t>
      </w:r>
    </w:p>
    <w:p w14:paraId="7CD3EA55" w14:textId="77777777" w:rsidR="00DB2B68" w:rsidRDefault="00000000">
      <w:pPr>
        <w:jc w:val="both"/>
      </w:pPr>
      <w:r>
        <w:rPr>
          <w:rStyle w:val="soitChar"/>
          <w:u w:val="single"/>
        </w:rPr>
        <w:t xml:space="preserve">Ouverte : </w:t>
      </w:r>
    </w:p>
    <w:p w14:paraId="68D1BC15" w14:textId="77777777" w:rsidR="00DB2B68" w:rsidRDefault="00000000">
      <w:pPr>
        <w:jc w:val="both"/>
      </w:pPr>
      <w:r>
        <w:rPr>
          <w:rStyle w:val="soitChar"/>
        </w:rPr>
        <w:t xml:space="preserve"> Face apparente ouverte en planches ajourées de bois naturel.</w:t>
      </w:r>
    </w:p>
    <w:p w14:paraId="51295F8C" w14:textId="77777777" w:rsidR="00DB2B68" w:rsidRDefault="00000000">
      <w:pPr>
        <w:pStyle w:val="Author-eListParagraph"/>
        <w:numPr>
          <w:ilvl w:val="0"/>
          <w:numId w:val="930"/>
        </w:numPr>
      </w:pPr>
      <w:r>
        <w:rPr>
          <w:rStyle w:val="soitChar"/>
        </w:rPr>
        <w:t>Essence de bois, sans nœuds :</w:t>
      </w:r>
      <w:r>
        <w:rPr>
          <w:rStyle w:val="optioncarChar"/>
        </w:rPr>
        <w:t xml:space="preserve">sapin blanc </w:t>
      </w:r>
      <w:r>
        <w:t>(par défaut)</w:t>
      </w:r>
      <w:r>
        <w:rPr>
          <w:rStyle w:val="optioncarChar"/>
        </w:rPr>
        <w:t xml:space="preserve"> / oregon (sapin douglas) / épicéa / pin / mélèze / érable / hêtre / bouleau / chêne / frêne / cerisier / noyer / peuplier</w:t>
      </w:r>
    </w:p>
    <w:p w14:paraId="3B43699B" w14:textId="77777777" w:rsidR="00DB2B68" w:rsidRDefault="00000000">
      <w:pPr>
        <w:pStyle w:val="Author-eListParagraph"/>
        <w:numPr>
          <w:ilvl w:val="0"/>
          <w:numId w:val="930"/>
        </w:numPr>
      </w:pPr>
      <w:r>
        <w:rPr>
          <w:rStyle w:val="soitChar"/>
        </w:rPr>
        <w:t>Largeur du lattage-largeur du joint :</w:t>
      </w:r>
      <w:r>
        <w:rPr>
          <w:rStyle w:val="optioncarChar"/>
        </w:rPr>
        <w:t>12-4 / 18-6 / 20-4</w:t>
      </w:r>
      <w:r>
        <w:t xml:space="preserve"> (par défaut) </w:t>
      </w:r>
      <w:r>
        <w:rPr>
          <w:rStyle w:val="optioncarChar"/>
        </w:rPr>
        <w:t>/ 23-8 / 12 et 25-4 / 18 et 38-6 / 54-8 / 105-20 / 95-30</w:t>
      </w:r>
      <w:r>
        <w:t xml:space="preserve"> mm</w:t>
      </w:r>
    </w:p>
    <w:p w14:paraId="243740CB" w14:textId="77777777" w:rsidR="00DB2B68" w:rsidRDefault="00000000">
      <w:pPr>
        <w:jc w:val="both"/>
      </w:pPr>
      <w:r>
        <w:rPr>
          <w:b/>
        </w:rPr>
        <w:t>(soit)</w:t>
      </w:r>
    </w:p>
    <w:p w14:paraId="76BD6B48" w14:textId="77777777" w:rsidR="00DB2B68" w:rsidRDefault="00000000">
      <w:pPr>
        <w:jc w:val="both"/>
      </w:pPr>
      <w:r>
        <w:rPr>
          <w:rStyle w:val="soitChar"/>
          <w:u w:val="single"/>
        </w:rPr>
        <w:t xml:space="preserve">Pas d’application : </w:t>
      </w:r>
    </w:p>
    <w:p w14:paraId="5BC9AA8E" w14:textId="77777777" w:rsidR="00DB2B68" w:rsidRDefault="00000000">
      <w:pPr>
        <w:jc w:val="both"/>
      </w:pPr>
      <w:r>
        <w:rPr>
          <w:rStyle w:val="soitChar"/>
        </w:rPr>
        <w:t xml:space="preserve"> La sous-face n’est pas destinée à être apparente.</w:t>
      </w:r>
    </w:p>
    <w:p w14:paraId="62A0FE19" w14:textId="77777777" w:rsidR="00DB2B68" w:rsidRDefault="00000000">
      <w:pPr>
        <w:jc w:val="both"/>
      </w:pPr>
      <w:r>
        <w:rPr>
          <w:b/>
        </w:rPr>
        <w:t>Traitement de finition du bois de la sous-face en atelier</w:t>
      </w:r>
    </w:p>
    <w:p w14:paraId="5540F03A" w14:textId="77777777" w:rsidR="00DB2B68" w:rsidRDefault="00000000">
      <w:pPr>
        <w:jc w:val="both"/>
      </w:pPr>
      <w:r>
        <w:t xml:space="preserve">Traitement de finition des parties visibles du bois : </w:t>
      </w:r>
      <w:r>
        <w:rPr>
          <w:rStyle w:val="optioncarChar"/>
        </w:rPr>
        <w:t xml:space="preserve">pas de finition </w:t>
      </w:r>
      <w:r>
        <w:t>(par défaut)</w:t>
      </w:r>
      <w:r>
        <w:rPr>
          <w:rStyle w:val="optioncarChar"/>
        </w:rPr>
        <w:t xml:space="preserve"> / application d'une finition</w:t>
      </w:r>
    </w:p>
    <w:p w14:paraId="374CD788" w14:textId="77777777" w:rsidR="00DB2B68" w:rsidRDefault="00000000">
      <w:pPr>
        <w:jc w:val="both"/>
      </w:pPr>
      <w:r>
        <w:rPr>
          <w:u w:val="single"/>
        </w:rPr>
        <w:t>Dans le cas de l’application d’une finition sur le bois prévue dans le présent travail :</w:t>
      </w:r>
    </w:p>
    <w:p w14:paraId="19F55CEB" w14:textId="77777777" w:rsidR="00DB2B68" w:rsidRDefault="00000000">
      <w:pPr>
        <w:pStyle w:val="Author-eListParagraph"/>
        <w:numPr>
          <w:ilvl w:val="0"/>
          <w:numId w:val="931"/>
        </w:numPr>
      </w:pPr>
      <w:r>
        <w:t xml:space="preserve">Type de traitement : </w:t>
      </w:r>
      <w:r>
        <w:rPr>
          <w:rStyle w:val="optioncarChar"/>
        </w:rPr>
        <w:t>anti UV</w:t>
      </w:r>
      <w:r>
        <w:t xml:space="preserve"> (par défaut)</w:t>
      </w:r>
      <w:r>
        <w:rPr>
          <w:rStyle w:val="optioncarChar"/>
        </w:rPr>
        <w:t xml:space="preserve"> / verni / huile / peinture / lasure / céruse</w:t>
      </w:r>
    </w:p>
    <w:p w14:paraId="74FA550C" w14:textId="77777777" w:rsidR="00DB2B68" w:rsidRDefault="00000000">
      <w:pPr>
        <w:pStyle w:val="Author-eListParagraph"/>
        <w:numPr>
          <w:ilvl w:val="0"/>
          <w:numId w:val="931"/>
        </w:numPr>
      </w:pPr>
      <w:r>
        <w:t>Teinte :</w:t>
      </w:r>
      <w:r>
        <w:rPr>
          <w:rStyle w:val="optioncarChar"/>
        </w:rPr>
        <w:t xml:space="preserve"> transparent </w:t>
      </w:r>
      <w:r>
        <w:t xml:space="preserve">(par défaut) </w:t>
      </w:r>
      <w:r>
        <w:rPr>
          <w:rStyle w:val="optioncarChar"/>
        </w:rPr>
        <w:t>/ pigmenté blanchâtre / blanc / RAL : ***</w:t>
      </w:r>
    </w:p>
    <w:p w14:paraId="429D979C" w14:textId="77777777" w:rsidR="00DB2B68" w:rsidRDefault="00000000">
      <w:pPr>
        <w:pStyle w:val="pheading"/>
      </w:pPr>
      <w:r>
        <w:t>EXÉCUTION / MISE EN ŒUVRE</w:t>
      </w:r>
    </w:p>
    <w:p w14:paraId="32CE0507" w14:textId="77777777" w:rsidR="00DB2B68" w:rsidRDefault="00000000">
      <w:pPr>
        <w:pStyle w:val="pheading"/>
      </w:pPr>
      <w:r>
        <w:t>- Prescriptions générales</w:t>
      </w:r>
    </w:p>
    <w:p w14:paraId="24A3B0B7" w14:textId="77777777" w:rsidR="00DB2B68" w:rsidRDefault="00000000">
      <w:pPr>
        <w:jc w:val="both"/>
      </w:pPr>
      <w:r>
        <w:rPr>
          <w:b/>
        </w:rPr>
        <w:t>Etude</w:t>
      </w:r>
    </w:p>
    <w:p w14:paraId="36BF27C9" w14:textId="77777777" w:rsidR="00DB2B68" w:rsidRDefault="00000000">
      <w:pPr>
        <w:jc w:val="both"/>
      </w:pPr>
      <w:r>
        <w:t xml:space="preserve">Choix opéré, conformément aux prescriptions du </w:t>
      </w:r>
      <w:hyperlink w:anchor="603" w:history="1">
        <w:r>
          <w:rPr>
            <w:color w:val="0000EE"/>
          </w:rP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w:t>
      </w:r>
    </w:p>
    <w:p w14:paraId="5E66128C" w14:textId="77777777" w:rsidR="00DB2B68" w:rsidRDefault="00000000">
      <w:pPr>
        <w:jc w:val="both"/>
      </w:pPr>
      <w:r>
        <w:rPr>
          <w:b/>
        </w:rPr>
        <w:t>Mise en oeuvre</w:t>
      </w:r>
    </w:p>
    <w:p w14:paraId="0CE27E79" w14:textId="77777777" w:rsidR="00DB2B68" w:rsidRDefault="00000000">
      <w:pPr>
        <w:jc w:val="both"/>
      </w:pPr>
      <w:r>
        <w:t xml:space="preserve">Les planchers sont posés conformément aux prescriptions du </w:t>
      </w:r>
      <w:hyperlink w:anchor="603" w:history="1">
        <w:r>
          <w:rPr>
            <w:color w:val="0000EE"/>
          </w:rPr>
          <w:t>24.22.2 Planchers en bois préfabriqués</w:t>
        </w:r>
      </w:hyperlink>
      <w:r>
        <w:t xml:space="preserve"> : </w:t>
      </w:r>
      <w:r>
        <w:rPr>
          <w:rStyle w:val="optioncarChar"/>
        </w:rPr>
        <w:t xml:space="preserve">sur des muralières en bois </w:t>
      </w:r>
      <w:r>
        <w:t>(par défaut)</w:t>
      </w:r>
      <w:r>
        <w:rPr>
          <w:rStyle w:val="optioncarChar"/>
        </w:rPr>
        <w:t xml:space="preserve"> / sur des profilés métalliques apparents / dans des profilés métalliques cachés / sur les têtes des murs </w:t>
      </w:r>
    </w:p>
    <w:p w14:paraId="681A93DD" w14:textId="77777777" w:rsidR="00DB2B68" w:rsidRDefault="00000000">
      <w:pPr>
        <w:jc w:val="both"/>
      </w:pPr>
      <w:r>
        <w:t xml:space="preserve">Pose sur les éventuelles poutres intermédiaires : </w:t>
      </w:r>
      <w:r>
        <w:rPr>
          <w:rStyle w:val="optioncarChar"/>
        </w:rPr>
        <w:t xml:space="preserve">en les intégrant pour qu’elles soient non apparentes </w:t>
      </w:r>
      <w:r>
        <w:t xml:space="preserve">(par défaut) </w:t>
      </w:r>
      <w:r>
        <w:rPr>
          <w:rStyle w:val="optioncarChar"/>
        </w:rPr>
        <w:t>/ sur les poutres </w:t>
      </w:r>
    </w:p>
    <w:p w14:paraId="5EA7700E" w14:textId="77777777" w:rsidR="00DB2B68" w:rsidRDefault="00000000">
      <w:pPr>
        <w:jc w:val="both"/>
      </w:pPr>
      <w:r>
        <w:t>Les hourdis sont couplés longitudinalement avec des planches posées horizontalement d’épaisseur ≥ 26 mm, vissées ou agrafées suivant l’étude d’exécution.</w:t>
      </w:r>
    </w:p>
    <w:p w14:paraId="5882C311" w14:textId="77777777" w:rsidR="00DB2B68" w:rsidRDefault="00000000">
      <w:pPr>
        <w:jc w:val="both"/>
      </w:pPr>
      <w:r>
        <w:rPr>
          <w:b/>
        </w:rPr>
        <w:lastRenderedPageBreak/>
        <w:t>Etanchéité à l’air</w:t>
      </w:r>
    </w:p>
    <w:p w14:paraId="2B82584A" w14:textId="77777777" w:rsidR="00DB2B68" w:rsidRDefault="00000000">
      <w:pPr>
        <w:jc w:val="both"/>
      </w:pPr>
      <w:r>
        <w:t xml:space="preserve">L’étanchéité à l’air entre hourdis est assurée : </w:t>
      </w:r>
      <w:r>
        <w:rPr>
          <w:rStyle w:val="optioncarChar"/>
        </w:rPr>
        <w:t>pas d’application</w:t>
      </w:r>
      <w:r>
        <w:t xml:space="preserve"> (par défaut)</w:t>
      </w:r>
      <w:r>
        <w:rPr>
          <w:rStyle w:val="optioncarChar"/>
        </w:rPr>
        <w:t xml:space="preserve"> / par bandes d’étanchéité aux jonctions des hourdis / par joints d’étanchéité dans l’épaisseur des hourdis</w:t>
      </w:r>
      <w:r>
        <w:t>. </w:t>
      </w:r>
    </w:p>
    <w:p w14:paraId="4281E50D" w14:textId="77777777" w:rsidR="00DB2B68" w:rsidRDefault="00000000">
      <w:pPr>
        <w:jc w:val="both"/>
      </w:pPr>
      <w:r>
        <w:rPr>
          <w:b/>
        </w:rPr>
        <w:t>Préparation des techniques spéciales : HVAC - Sanitaires - Electricité</w:t>
      </w:r>
    </w:p>
    <w:p w14:paraId="0C3CF938" w14:textId="77777777" w:rsidR="00DB2B68"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3" w:history="1">
        <w:r>
          <w:rPr>
            <w:color w:val="0000EE"/>
          </w:rPr>
          <w:t>24.22.2 Planchers en bois préfabriqués</w:t>
        </w:r>
      </w:hyperlink>
      <w:r>
        <w:t xml:space="preserve"> : </w:t>
      </w:r>
      <w:r>
        <w:rPr>
          <w:rStyle w:val="optioncarChar"/>
        </w:rPr>
        <w:t>non</w:t>
      </w:r>
      <w:r>
        <w:t> (par défaut)</w:t>
      </w:r>
      <w:r>
        <w:rPr>
          <w:rStyle w:val="optioncarChar"/>
        </w:rPr>
        <w:t> / oui</w:t>
      </w:r>
    </w:p>
    <w:p w14:paraId="1A31967D" w14:textId="77777777" w:rsidR="00DB2B68" w:rsidRDefault="00000000">
      <w:pPr>
        <w:jc w:val="both"/>
      </w:pPr>
      <w:r>
        <w:rPr>
          <w:b/>
        </w:rPr>
        <w:t>Panneaux supérieurs de répartition des charges</w:t>
      </w:r>
    </w:p>
    <w:p w14:paraId="7B66F546" w14:textId="77777777" w:rsidR="00DB2B68" w:rsidRDefault="00000000">
      <w:pPr>
        <w:jc w:val="both"/>
      </w:pPr>
      <w:r>
        <w:t>Des panneaux en bois de répartition des charges rainurés-languetés sur les 4 faces sont posés sur la face supérieure des hourdis. Leur épaisseur est ≥ 15mm.</w:t>
      </w:r>
    </w:p>
    <w:p w14:paraId="37DC83A7" w14:textId="77777777" w:rsidR="00DB2B68" w:rsidRDefault="00000000">
      <w:pPr>
        <w:pStyle w:val="pheading"/>
      </w:pPr>
      <w:r>
        <w:t>DOCUMENTS DE RÉFÉRENCE COMPLÉMENTAIRES</w:t>
      </w:r>
    </w:p>
    <w:p w14:paraId="21B37603" w14:textId="77777777" w:rsidR="00DB2B68" w:rsidRDefault="00000000">
      <w:pPr>
        <w:pStyle w:val="pheading"/>
      </w:pPr>
      <w:r>
        <w:t>- Matériau</w:t>
      </w:r>
    </w:p>
    <w:p w14:paraId="7CC30A7B" w14:textId="77777777" w:rsidR="00DB2B68" w:rsidRDefault="00000000">
      <w:r>
        <w:t>[NBN EN ISO 11654, Acoustique - Absorbants pour l'utilisation dans les bâtiments - Evaluation de l'absorption acoustique (ISO 11654:1997)]</w:t>
      </w:r>
    </w:p>
    <w:p w14:paraId="61761621" w14:textId="77777777" w:rsidR="00DB2B68" w:rsidRDefault="00000000">
      <w:pPr>
        <w:pStyle w:val="pheading"/>
      </w:pPr>
      <w:r>
        <w:t>MESURAGE</w:t>
      </w:r>
    </w:p>
    <w:p w14:paraId="0A3BDD2A" w14:textId="77777777" w:rsidR="00DB2B68" w:rsidRDefault="00000000">
      <w:pPr>
        <w:pStyle w:val="pheading"/>
      </w:pPr>
      <w:r>
        <w:t>- unité de mesure:</w:t>
      </w:r>
    </w:p>
    <w:p w14:paraId="35A03A53" w14:textId="77777777" w:rsidR="00DB2B68" w:rsidRDefault="00000000">
      <w:r>
        <w:t>1.2. m²</w:t>
      </w:r>
    </w:p>
    <w:p w14:paraId="5EEA401E" w14:textId="77777777" w:rsidR="00DB2B68" w:rsidRDefault="00000000">
      <w:pPr>
        <w:pStyle w:val="pheading"/>
      </w:pPr>
      <w:r>
        <w:t>- code de mesurage:</w:t>
      </w:r>
    </w:p>
    <w:p w14:paraId="5BAAA10E" w14:textId="77777777" w:rsidR="00DB2B68" w:rsidRDefault="00000000">
      <w:pPr>
        <w:jc w:val="both"/>
      </w:pPr>
      <w:r>
        <w:rPr>
          <w:rStyle w:val="optioncarChar"/>
        </w:rPr>
        <w:t>Surface nette</w:t>
      </w:r>
      <w:r>
        <w:t xml:space="preserve"> (par défaut) </w:t>
      </w:r>
      <w:r>
        <w:rPr>
          <w:rStyle w:val="optioncarChar"/>
        </w:rPr>
        <w:t>/ Surface utile</w:t>
      </w:r>
    </w:p>
    <w:p w14:paraId="3BF16DFA" w14:textId="77777777" w:rsidR="00DB2B68" w:rsidRDefault="00000000">
      <w:pPr>
        <w:jc w:val="both"/>
      </w:pPr>
      <w:r>
        <w:rPr>
          <w:b/>
        </w:rPr>
        <w:t>(soit par défaut)</w:t>
      </w:r>
    </w:p>
    <w:p w14:paraId="3814EC22" w14:textId="77777777" w:rsidR="00DB2B68" w:rsidRDefault="00000000">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15B3A5CD" w14:textId="77777777" w:rsidR="00DB2B68" w:rsidRDefault="00000000">
      <w:pPr>
        <w:jc w:val="both"/>
      </w:pPr>
      <w:r>
        <w:rPr>
          <w:b/>
        </w:rPr>
        <w:t>(soit)</w:t>
      </w:r>
    </w:p>
    <w:p w14:paraId="27EC6DF5" w14:textId="77777777" w:rsidR="00DB2B68"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34432A98" w14:textId="77777777" w:rsidR="00DB2B68" w:rsidRDefault="00000000">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couvrantes et/ou pénétrantes dans les murs intérieurs sont comptées avec le plancher sur toute l'épaisseur du mur et sont, par conséquent, déduites des murs intérieurs. Les vides, percements et feuillures supérieures à 0,5 m² sont déduits.</w:t>
      </w:r>
    </w:p>
    <w:p w14:paraId="0FC5D3DA" w14:textId="77777777" w:rsidR="00DB2B68" w:rsidRDefault="00000000">
      <w:pPr>
        <w:pStyle w:val="pheading"/>
      </w:pPr>
      <w:r>
        <w:t>- nature du marché:</w:t>
      </w:r>
    </w:p>
    <w:p w14:paraId="335D0260" w14:textId="77777777" w:rsidR="00DB2B68" w:rsidRDefault="00000000">
      <w:r>
        <w:t>1.2. QF</w:t>
      </w:r>
    </w:p>
    <w:p w14:paraId="1230EEDA" w14:textId="77777777" w:rsidR="00DB2B68" w:rsidRDefault="00000000">
      <w:pPr>
        <w:pStyle w:val="Author-eSectionHeading6Numberless"/>
      </w:pPr>
      <w:bookmarkStart w:id="1672" w:name="_Toc220496656"/>
      <w:r>
        <w:t>24.22.2c Planchers en hourdis fait de planches sur chants préfabriqués CCTB 01.12</w:t>
      </w:r>
      <w:bookmarkEnd w:id="1672"/>
    </w:p>
    <w:p w14:paraId="7A47C9BA" w14:textId="77777777" w:rsidR="00DB2B68" w:rsidRDefault="00000000">
      <w:pPr>
        <w:pStyle w:val="pheading"/>
      </w:pPr>
      <w:r>
        <w:t>DESCRIPTION</w:t>
      </w:r>
    </w:p>
    <w:p w14:paraId="2F12EF0A" w14:textId="77777777" w:rsidR="00DB2B68" w:rsidRDefault="00000000">
      <w:pPr>
        <w:pStyle w:val="pheading"/>
      </w:pPr>
      <w:r>
        <w:t>- Définition / Comprend</w:t>
      </w:r>
    </w:p>
    <w:p w14:paraId="04691FE3" w14:textId="77777777" w:rsidR="00DB2B68" w:rsidRDefault="00000000">
      <w:pPr>
        <w:jc w:val="both"/>
      </w:pPr>
      <w:r>
        <w:t>Il s'agit de la fourniture et la pose de planchers intérieurs en hourdis fait de planches sur chant en bois massif, préfabriqués en atelier. Y compris tous les accessoires de fixation.</w:t>
      </w:r>
    </w:p>
    <w:p w14:paraId="4FF9055B" w14:textId="77777777" w:rsidR="00DB2B68" w:rsidRDefault="00000000">
      <w:pPr>
        <w:pStyle w:val="pheading"/>
      </w:pPr>
      <w:r>
        <w:t>MATÉRIAUX</w:t>
      </w:r>
    </w:p>
    <w:p w14:paraId="1F4F4F40" w14:textId="77777777" w:rsidR="00DB2B68" w:rsidRDefault="00000000">
      <w:pPr>
        <w:pStyle w:val="pheading"/>
      </w:pPr>
      <w:r>
        <w:t>- Caractéristiques générales</w:t>
      </w:r>
    </w:p>
    <w:p w14:paraId="409FFFE6" w14:textId="77777777" w:rsidR="00DB2B68" w:rsidRDefault="00000000">
      <w:pPr>
        <w:pStyle w:val="Author-eListParagraph"/>
        <w:numPr>
          <w:ilvl w:val="0"/>
          <w:numId w:val="932"/>
        </w:numPr>
        <w:jc w:val="both"/>
      </w:pPr>
      <w:r>
        <w:t xml:space="preserve">Classe de service, suivant la [NBN EN 1995-1-1] : </w:t>
      </w:r>
      <w:r>
        <w:rPr>
          <w:rStyle w:val="optioncarChar"/>
        </w:rPr>
        <w:t>1 / 2</w:t>
      </w:r>
      <w:r>
        <w:t xml:space="preserve"> (par défaut)</w:t>
      </w:r>
    </w:p>
    <w:p w14:paraId="5528F67E" w14:textId="77777777" w:rsidR="00DB2B68" w:rsidRDefault="00000000">
      <w:pPr>
        <w:pStyle w:val="Author-eListParagraph"/>
        <w:numPr>
          <w:ilvl w:val="0"/>
          <w:numId w:val="932"/>
        </w:numPr>
        <w:jc w:val="both"/>
      </w:pPr>
      <w:r>
        <w:t xml:space="preserve">Hauteur disponible pour les hourdis ≤ </w:t>
      </w:r>
      <w:r>
        <w:rPr>
          <w:rStyle w:val="optioncarChar"/>
        </w:rPr>
        <w:t>selon les indications sur les plans</w:t>
      </w:r>
      <w:r>
        <w:t xml:space="preserve"> (par défaut) </w:t>
      </w:r>
      <w:r>
        <w:rPr>
          <w:rStyle w:val="optioncarChar"/>
        </w:rPr>
        <w:t>/ ***</w:t>
      </w:r>
      <w:r>
        <w:t xml:space="preserve"> mm, tolérance ± 10 mm</w:t>
      </w:r>
    </w:p>
    <w:p w14:paraId="1F8514BF" w14:textId="77777777" w:rsidR="00DB2B68" w:rsidRDefault="00000000">
      <w:pPr>
        <w:pStyle w:val="Author-eListParagraph"/>
        <w:numPr>
          <w:ilvl w:val="0"/>
          <w:numId w:val="932"/>
        </w:numPr>
        <w:jc w:val="both"/>
      </w:pPr>
      <w:r>
        <w:t xml:space="preserve">Portée ≤ </w:t>
      </w:r>
      <w:r>
        <w:rPr>
          <w:rStyle w:val="optioncarChar"/>
        </w:rPr>
        <w:t>selon les indications sur les plans</w:t>
      </w:r>
      <w:r>
        <w:t xml:space="preserve"> (par défaut) </w:t>
      </w:r>
      <w:r>
        <w:rPr>
          <w:rStyle w:val="optioncarChar"/>
        </w:rPr>
        <w:t>/ ***</w:t>
      </w:r>
      <w:r>
        <w:t xml:space="preserve"> m, tolérance ± 100 mm</w:t>
      </w:r>
    </w:p>
    <w:p w14:paraId="4F79961D" w14:textId="77777777" w:rsidR="00DB2B68" w:rsidRDefault="00000000">
      <w:pPr>
        <w:pStyle w:val="Author-eListParagraph"/>
        <w:numPr>
          <w:ilvl w:val="0"/>
          <w:numId w:val="932"/>
        </w:numPr>
        <w:jc w:val="both"/>
      </w:pPr>
      <w:r>
        <w:lastRenderedPageBreak/>
        <w:t xml:space="preserve">Les planchers sont calculés avec une charge d’exploitation,  suivant l’Eurocode [NBN EN 1991-1-4], [NBN EN 1991-1-4 ANB], [NBN EN 1991-1-4/A1] : </w:t>
      </w:r>
      <w:r>
        <w:rPr>
          <w:rStyle w:val="optioncarChar"/>
        </w:rPr>
        <w:t>selon l’affectation des locaux sur les plans</w:t>
      </w:r>
      <w:r>
        <w:t xml:space="preserve"> (par défaut) </w:t>
      </w:r>
      <w:r>
        <w:rPr>
          <w:rStyle w:val="optioncarChar"/>
        </w:rPr>
        <w:t>/ 2 / 3 / 4 / 5</w:t>
      </w:r>
      <w:r>
        <w:t> kN/m²</w:t>
      </w:r>
    </w:p>
    <w:p w14:paraId="0680AF41" w14:textId="77777777" w:rsidR="00DB2B68" w:rsidRDefault="00000000">
      <w:pPr>
        <w:pStyle w:val="Author-eListParagraph"/>
        <w:numPr>
          <w:ilvl w:val="0"/>
          <w:numId w:val="932"/>
        </w:numPr>
        <w:jc w:val="both"/>
      </w:pPr>
      <w:r>
        <w:t xml:space="preserve">Le critère de flèche, suivant la [NBN B 03-003] est de : </w:t>
      </w:r>
      <w:r>
        <w:rPr>
          <w:rStyle w:val="optioncarChar"/>
        </w:rPr>
        <w:t>L/500</w:t>
      </w:r>
      <w:r>
        <w:t xml:space="preserve"> (par défaut)</w:t>
      </w:r>
      <w:r>
        <w:rPr>
          <w:rStyle w:val="optioncarChar"/>
        </w:rPr>
        <w:t xml:space="preserve"> / L/450 / L/300 / L/250</w:t>
      </w:r>
    </w:p>
    <w:p w14:paraId="11D0067D" w14:textId="77777777" w:rsidR="00DB2B68" w:rsidRDefault="00000000">
      <w:pPr>
        <w:pStyle w:val="Author-eListParagraph"/>
        <w:numPr>
          <w:ilvl w:val="0"/>
          <w:numId w:val="932"/>
        </w:numPr>
        <w:jc w:val="both"/>
      </w:pPr>
      <w:r>
        <w:t>Classe de réaction au feu, selon la [NBN EN 13501-1] : D-s1, d0</w:t>
      </w:r>
    </w:p>
    <w:p w14:paraId="7495B3E3" w14:textId="77777777" w:rsidR="00DB2B68" w:rsidRDefault="00000000">
      <w:pPr>
        <w:jc w:val="both"/>
      </w:pPr>
      <w:r>
        <w:rPr>
          <w:b/>
        </w:rPr>
        <w:t>Matériau</w:t>
      </w:r>
    </w:p>
    <w:p w14:paraId="2E22FA6F" w14:textId="77777777" w:rsidR="00DB2B68" w:rsidRDefault="00000000">
      <w:pPr>
        <w:pStyle w:val="Author-eListParagraph"/>
        <w:numPr>
          <w:ilvl w:val="0"/>
          <w:numId w:val="933"/>
        </w:numPr>
      </w:pPr>
      <w:r>
        <w:t>Planches en bois massif résineux.</w:t>
      </w:r>
    </w:p>
    <w:p w14:paraId="0EEE4E9E" w14:textId="77777777" w:rsidR="00DB2B68" w:rsidRDefault="00000000">
      <w:pPr>
        <w:pStyle w:val="Author-eListParagraph"/>
        <w:numPr>
          <w:ilvl w:val="0"/>
          <w:numId w:val="933"/>
        </w:numPr>
      </w:pPr>
      <w:r>
        <w:t xml:space="preserve">Essence de bois : </w:t>
      </w:r>
      <w:r>
        <w:rPr>
          <w:rStyle w:val="optioncarChar"/>
        </w:rPr>
        <w:t xml:space="preserve">au choix de l’entrepreneur, à soumettre à l’approbation de l’architecte et du maître de l’ouvrage </w:t>
      </w:r>
      <w:r>
        <w:t>(par défaut)</w:t>
      </w:r>
      <w:r>
        <w:rPr>
          <w:rStyle w:val="optioncarChar"/>
        </w:rPr>
        <w:t xml:space="preserve"> / épicéa / douglas / mélèze / ***</w:t>
      </w:r>
    </w:p>
    <w:p w14:paraId="674AB227" w14:textId="77777777" w:rsidR="00DB2B68" w:rsidRDefault="00000000">
      <w:pPr>
        <w:pStyle w:val="Author-eListParagraph"/>
        <w:numPr>
          <w:ilvl w:val="0"/>
          <w:numId w:val="933"/>
        </w:numPr>
      </w:pPr>
      <w:r>
        <w:t xml:space="preserve">Planches aboutées autorisées : </w:t>
      </w:r>
      <w:r>
        <w:rPr>
          <w:rStyle w:val="optioncarChar"/>
        </w:rPr>
        <w:t xml:space="preserve">oui </w:t>
      </w:r>
      <w:r>
        <w:t>(par défaut)</w:t>
      </w:r>
      <w:r>
        <w:rPr>
          <w:rStyle w:val="optioncarChar"/>
        </w:rPr>
        <w:t xml:space="preserve"> / non</w:t>
      </w:r>
    </w:p>
    <w:p w14:paraId="37A16932" w14:textId="77777777" w:rsidR="00DB2B68" w:rsidRDefault="00000000">
      <w:pPr>
        <w:pStyle w:val="Author-eListParagraph"/>
        <w:numPr>
          <w:ilvl w:val="0"/>
          <w:numId w:val="933"/>
        </w:numPr>
      </w:pPr>
      <w:r>
        <w:t>Taux d’humidité du bois ≤ 15%</w:t>
      </w:r>
    </w:p>
    <w:p w14:paraId="464D73A3" w14:textId="77777777" w:rsidR="00DB2B68" w:rsidRDefault="00000000">
      <w:pPr>
        <w:pStyle w:val="Author-eListParagraph"/>
        <w:numPr>
          <w:ilvl w:val="0"/>
          <w:numId w:val="933"/>
        </w:numPr>
      </w:pPr>
      <w:r>
        <w:t xml:space="preserve">Classe de résistance ≥ </w:t>
      </w:r>
      <w:r>
        <w:rPr>
          <w:rStyle w:val="optioncarChar"/>
        </w:rPr>
        <w:t xml:space="preserve">C24 </w:t>
      </w:r>
      <w:r>
        <w:t>(par défaut)</w:t>
      </w:r>
      <w:r>
        <w:rPr>
          <w:rStyle w:val="optioncarChar"/>
        </w:rPr>
        <w:t xml:space="preserve"> / C28 / C30</w:t>
      </w:r>
    </w:p>
    <w:p w14:paraId="245A1134" w14:textId="77777777" w:rsidR="00DB2B68" w:rsidRDefault="00000000">
      <w:pPr>
        <w:pStyle w:val="Author-eListParagraph"/>
        <w:numPr>
          <w:ilvl w:val="0"/>
          <w:numId w:val="933"/>
        </w:numPr>
      </w:pPr>
      <w:r>
        <w:t>Assemblage des planches formant les hourdis :</w:t>
      </w:r>
      <w:r>
        <w:rPr>
          <w:rStyle w:val="optioncarChar"/>
        </w:rPr>
        <w:t xml:space="preserve"> collé au polyuréthane (PU) </w:t>
      </w:r>
      <w:r>
        <w:t xml:space="preserve">(par défaut) </w:t>
      </w:r>
      <w:r>
        <w:rPr>
          <w:rStyle w:val="optioncarChar"/>
        </w:rPr>
        <w:t>/ cloué / chevillé</w:t>
      </w:r>
    </w:p>
    <w:p w14:paraId="2E52BB54" w14:textId="77777777" w:rsidR="00DB2B68" w:rsidRDefault="00000000">
      <w:pPr>
        <w:pStyle w:val="Author-eListParagraph"/>
        <w:numPr>
          <w:ilvl w:val="0"/>
          <w:numId w:val="933"/>
        </w:numPr>
      </w:pPr>
      <w:r>
        <w:t xml:space="preserve">Largeur des hourdis ≤ </w:t>
      </w:r>
      <w:r>
        <w:rPr>
          <w:rStyle w:val="optioncarChar"/>
        </w:rPr>
        <w:t>500</w:t>
      </w:r>
      <w:r>
        <w:t xml:space="preserve"> (par défaut)</w:t>
      </w:r>
      <w:r>
        <w:rPr>
          <w:rStyle w:val="optioncarChar"/>
        </w:rPr>
        <w:t xml:space="preserve"> / 1000 </w:t>
      </w:r>
      <w:r>
        <w:t>mm, tolérance ± 20 mm.</w:t>
      </w:r>
    </w:p>
    <w:p w14:paraId="36E94B46" w14:textId="77777777" w:rsidR="00DB2B68" w:rsidRDefault="00000000">
      <w:pPr>
        <w:pStyle w:val="Author-eListParagraph"/>
        <w:numPr>
          <w:ilvl w:val="0"/>
          <w:numId w:val="933"/>
        </w:numPr>
      </w:pPr>
      <w:r>
        <w:t>Classe de réaction au feu, selon la [NBN EN 13501-1] : D-s1, d0</w:t>
      </w:r>
    </w:p>
    <w:p w14:paraId="2EF99A64" w14:textId="77777777" w:rsidR="00DB2B68" w:rsidRDefault="00000000">
      <w:pPr>
        <w:pStyle w:val="Author-eListParagraph"/>
        <w:numPr>
          <w:ilvl w:val="0"/>
          <w:numId w:val="933"/>
        </w:numPr>
      </w:pPr>
      <w:r>
        <w:t xml:space="preserve">Jonctions latérales entre hourdis : </w:t>
      </w:r>
      <w:r>
        <w:rPr>
          <w:rStyle w:val="optioncarChar"/>
        </w:rPr>
        <w:t>rainuré-langueté</w:t>
      </w:r>
      <w:r>
        <w:t xml:space="preserve"> (par défaut)</w:t>
      </w:r>
      <w:r>
        <w:rPr>
          <w:rStyle w:val="optioncarChar"/>
        </w:rPr>
        <w:t xml:space="preserve"> / droit / rainuré-fausse languette / chevillé</w:t>
      </w:r>
    </w:p>
    <w:p w14:paraId="38A4BFA0" w14:textId="77777777" w:rsidR="00DB2B68" w:rsidRDefault="00000000">
      <w:pPr>
        <w:pStyle w:val="Author-eListParagraph"/>
        <w:numPr>
          <w:ilvl w:val="0"/>
          <w:numId w:val="933"/>
        </w:numPr>
      </w:pPr>
      <w:r>
        <w:t xml:space="preserve">Finition de la face inférieure : </w:t>
      </w:r>
      <w:r>
        <w:rPr>
          <w:rStyle w:val="optioncarChar"/>
        </w:rPr>
        <w:t>poncée (vue)</w:t>
      </w:r>
      <w:r>
        <w:t xml:space="preserve"> (par défaut) </w:t>
      </w:r>
      <w:r>
        <w:rPr>
          <w:rStyle w:val="optioncarChar"/>
        </w:rPr>
        <w:t>/ brossée (vue) / rabotée (non vue)</w:t>
      </w:r>
    </w:p>
    <w:p w14:paraId="23583A0A" w14:textId="77777777" w:rsidR="00DB2B68" w:rsidRDefault="00000000">
      <w:pPr>
        <w:pStyle w:val="Author-eListParagraph"/>
        <w:numPr>
          <w:ilvl w:val="0"/>
          <w:numId w:val="933"/>
        </w:numPr>
      </w:pPr>
      <w:r>
        <w:t xml:space="preserve">Finition de la face supérieure : </w:t>
      </w:r>
      <w:r>
        <w:rPr>
          <w:rStyle w:val="optioncarChar"/>
        </w:rPr>
        <w:t xml:space="preserve">rabotée (non vue) </w:t>
      </w:r>
      <w:r>
        <w:t>(par défaut)</w:t>
      </w:r>
      <w:r>
        <w:rPr>
          <w:rStyle w:val="optioncarChar"/>
        </w:rPr>
        <w:t xml:space="preserve"> / poncée (vue) / brossée (vue)</w:t>
      </w:r>
    </w:p>
    <w:p w14:paraId="0AB74E1B" w14:textId="77777777" w:rsidR="00DB2B68" w:rsidRDefault="00000000">
      <w:pPr>
        <w:pStyle w:val="Author-eListParagraph"/>
        <w:numPr>
          <w:ilvl w:val="0"/>
          <w:numId w:val="933"/>
        </w:numPr>
      </w:pPr>
      <w:r>
        <w:t xml:space="preserve">Profilage acoustique face inférieure : </w:t>
      </w:r>
      <w:r>
        <w:rPr>
          <w:rStyle w:val="optioncarChar"/>
        </w:rPr>
        <w:t>non</w:t>
      </w:r>
      <w:r>
        <w:t xml:space="preserve"> (par défaut)</w:t>
      </w:r>
      <w:r>
        <w:rPr>
          <w:rStyle w:val="optioncarChar"/>
        </w:rPr>
        <w:t xml:space="preserve"> / fraisage de rainures / hauteurs de planches différentes</w:t>
      </w:r>
      <w:r>
        <w:t>.</w:t>
      </w:r>
    </w:p>
    <w:p w14:paraId="353C0553" w14:textId="77777777" w:rsidR="00DB2B68" w:rsidRDefault="00000000">
      <w:pPr>
        <w:ind w:left="567"/>
        <w:jc w:val="both"/>
      </w:pPr>
      <w:r>
        <w:rPr>
          <w:b/>
        </w:rPr>
        <w:t>(soit par défaut)</w:t>
      </w:r>
    </w:p>
    <w:p w14:paraId="5AA51EBD" w14:textId="77777777" w:rsidR="00DB2B68" w:rsidRDefault="00000000">
      <w:pPr>
        <w:ind w:left="567"/>
        <w:jc w:val="both"/>
      </w:pPr>
      <w:r>
        <w:rPr>
          <w:rStyle w:val="soitChar"/>
          <w:u w:val="single"/>
        </w:rPr>
        <w:t xml:space="preserve">Non : </w:t>
      </w:r>
    </w:p>
    <w:p w14:paraId="0B990D7C" w14:textId="77777777" w:rsidR="00DB2B68" w:rsidRDefault="00000000">
      <w:pPr>
        <w:ind w:left="567"/>
        <w:jc w:val="both"/>
      </w:pPr>
      <w:r>
        <w:rPr>
          <w:rStyle w:val="soitChar"/>
        </w:rPr>
        <w:t xml:space="preserve"> Pas de profilage acoustique de la face inférieure.</w:t>
      </w:r>
    </w:p>
    <w:p w14:paraId="09A6F2D7" w14:textId="77777777" w:rsidR="00DB2B68" w:rsidRDefault="00000000">
      <w:pPr>
        <w:ind w:left="567"/>
        <w:jc w:val="both"/>
      </w:pPr>
      <w:r>
        <w:rPr>
          <w:b/>
        </w:rPr>
        <w:t>(soit)</w:t>
      </w:r>
    </w:p>
    <w:p w14:paraId="64BEDCB3" w14:textId="77777777" w:rsidR="00DB2B68" w:rsidRDefault="00000000">
      <w:pPr>
        <w:ind w:left="567"/>
        <w:jc w:val="both"/>
      </w:pPr>
      <w:r>
        <w:rPr>
          <w:rStyle w:val="soitChar"/>
          <w:u w:val="single"/>
        </w:rPr>
        <w:t>Fraisage de rainures</w:t>
      </w:r>
      <w:r>
        <w:rPr>
          <w:rStyle w:val="soitChar"/>
        </w:rPr>
        <w:t> dans l’axe de jonction des planches.</w:t>
      </w:r>
    </w:p>
    <w:p w14:paraId="09259A85" w14:textId="77777777" w:rsidR="00DB2B68" w:rsidRDefault="00000000">
      <w:pPr>
        <w:pStyle w:val="Author-eListParagraph"/>
        <w:numPr>
          <w:ilvl w:val="0"/>
          <w:numId w:val="934"/>
        </w:numPr>
      </w:pPr>
      <w:r>
        <w:rPr>
          <w:rStyle w:val="soitChar"/>
        </w:rPr>
        <w:t>Largeur de rainure :</w:t>
      </w:r>
      <w:r>
        <w:rPr>
          <w:rStyle w:val="optioncarChar"/>
        </w:rPr>
        <w:t xml:space="preserve">5 mm </w:t>
      </w:r>
      <w:r>
        <w:t>(par défaut)</w:t>
      </w:r>
      <w:r>
        <w:rPr>
          <w:rStyle w:val="optioncarChar"/>
        </w:rPr>
        <w:t xml:space="preserve"> / ***</w:t>
      </w:r>
    </w:p>
    <w:p w14:paraId="02A58B7B" w14:textId="77777777" w:rsidR="00DB2B68" w:rsidRDefault="00000000">
      <w:pPr>
        <w:pStyle w:val="Author-eListParagraph"/>
        <w:numPr>
          <w:ilvl w:val="0"/>
          <w:numId w:val="934"/>
        </w:numPr>
      </w:pPr>
      <w:r>
        <w:rPr>
          <w:rStyle w:val="soitChar"/>
        </w:rPr>
        <w:t>Profondeur de rainure :</w:t>
      </w:r>
      <w:r>
        <w:rPr>
          <w:rStyle w:val="optioncarChar"/>
        </w:rPr>
        <w:t xml:space="preserve">11 mm </w:t>
      </w:r>
      <w:r>
        <w:t>(par défaut)</w:t>
      </w:r>
      <w:r>
        <w:rPr>
          <w:rStyle w:val="optioncarChar"/>
        </w:rPr>
        <w:t xml:space="preserve"> / ***</w:t>
      </w:r>
    </w:p>
    <w:p w14:paraId="23E492C6" w14:textId="77777777" w:rsidR="00DB2B68" w:rsidRDefault="00000000">
      <w:pPr>
        <w:ind w:left="567"/>
        <w:jc w:val="both"/>
      </w:pPr>
      <w:r>
        <w:rPr>
          <w:b/>
        </w:rPr>
        <w:t>(soit)</w:t>
      </w:r>
    </w:p>
    <w:p w14:paraId="12DF8C67" w14:textId="77777777" w:rsidR="00DB2B68" w:rsidRDefault="00000000">
      <w:pPr>
        <w:ind w:left="567"/>
        <w:jc w:val="both"/>
      </w:pPr>
      <w:r>
        <w:rPr>
          <w:rStyle w:val="soitChar"/>
          <w:u w:val="single"/>
        </w:rPr>
        <w:t xml:space="preserve">Hauteurs de planches différentes : </w:t>
      </w:r>
    </w:p>
    <w:p w14:paraId="251A0710" w14:textId="77777777" w:rsidR="00DB2B68" w:rsidRDefault="00000000">
      <w:pPr>
        <w:ind w:left="567"/>
        <w:jc w:val="both"/>
      </w:pPr>
      <w:r>
        <w:rPr>
          <w:rStyle w:val="soitChar"/>
        </w:rPr>
        <w:t>Alternance de planches de hauteurs différentes.</w:t>
      </w:r>
    </w:p>
    <w:p w14:paraId="728DBAC4" w14:textId="77777777" w:rsidR="00DB2B68" w:rsidRDefault="00000000">
      <w:pPr>
        <w:pStyle w:val="Author-eListParagraph"/>
        <w:numPr>
          <w:ilvl w:val="0"/>
          <w:numId w:val="935"/>
        </w:numPr>
      </w:pPr>
      <w:r>
        <w:rPr>
          <w:rStyle w:val="soitChar"/>
        </w:rPr>
        <w:t>Différence de hauteur entre planches :</w:t>
      </w:r>
      <w:r>
        <w:rPr>
          <w:rStyle w:val="optioncarChar"/>
        </w:rPr>
        <w:t xml:space="preserve"> 40 mm </w:t>
      </w:r>
      <w:r>
        <w:t>(par défaut)</w:t>
      </w:r>
      <w:r>
        <w:rPr>
          <w:rStyle w:val="optioncarChar"/>
        </w:rPr>
        <w:t xml:space="preserve"> / ***</w:t>
      </w:r>
    </w:p>
    <w:p w14:paraId="4242D5C2" w14:textId="77777777" w:rsidR="00DB2B68" w:rsidRDefault="00000000">
      <w:pPr>
        <w:pStyle w:val="Author-eListParagraph"/>
        <w:numPr>
          <w:ilvl w:val="0"/>
          <w:numId w:val="935"/>
        </w:numPr>
      </w:pPr>
      <w:r>
        <w:rPr>
          <w:rStyle w:val="soitChar"/>
        </w:rPr>
        <w:t>Largeur de planches :</w:t>
      </w:r>
      <w:r>
        <w:rPr>
          <w:rStyle w:val="optioncarChar"/>
        </w:rPr>
        <w:t xml:space="preserve"> 40 mm</w:t>
      </w:r>
      <w:r>
        <w:t xml:space="preserve"> (par défaut) </w:t>
      </w:r>
      <w:r>
        <w:rPr>
          <w:rStyle w:val="optioncarChar"/>
        </w:rPr>
        <w:t>/ ***</w:t>
      </w:r>
    </w:p>
    <w:p w14:paraId="190F4454" w14:textId="77777777" w:rsidR="00DB2B68" w:rsidRDefault="00000000">
      <w:pPr>
        <w:jc w:val="both"/>
      </w:pPr>
      <w:r>
        <w:rPr>
          <w:b/>
        </w:rPr>
        <w:t>Résistance au feu</w:t>
      </w:r>
    </w:p>
    <w:p w14:paraId="79BCFD9D" w14:textId="77777777" w:rsidR="00DB2B68" w:rsidRDefault="00000000">
      <w:pPr>
        <w:jc w:val="both"/>
      </w:pPr>
      <w:r>
        <w:t xml:space="preserve">Le plancher présente une résistance au feu, selon la [NBN EN 13501-2] : </w:t>
      </w:r>
      <w:r>
        <w:rPr>
          <w:rStyle w:val="optioncarChar"/>
        </w:rPr>
        <w:t xml:space="preserve">pas d’application / REI30 </w:t>
      </w:r>
      <w:r>
        <w:t xml:space="preserve">(par défaut) </w:t>
      </w:r>
      <w:r>
        <w:rPr>
          <w:rStyle w:val="optioncarChar"/>
        </w:rPr>
        <w:t>/ REI60 / REI 90 / REI 120</w:t>
      </w:r>
    </w:p>
    <w:p w14:paraId="625A6B97" w14:textId="77777777" w:rsidR="00DB2B68" w:rsidRDefault="00000000">
      <w:pPr>
        <w:jc w:val="both"/>
      </w:pPr>
      <w:r>
        <w:t>En cas de résistance au feu obligatoire, celle-ci est atteinte :</w:t>
      </w:r>
      <w:r>
        <w:rPr>
          <w:rStyle w:val="optioncarChar"/>
        </w:rPr>
        <w:t xml:space="preserve"> sans traitement particulier</w:t>
      </w:r>
      <w:r>
        <w:t xml:space="preserve"> (par défaut) </w:t>
      </w:r>
      <w:r>
        <w:rPr>
          <w:rStyle w:val="optioncarChar"/>
        </w:rPr>
        <w:t xml:space="preserve">/ par traitement ignifuge (compris dans le travail) </w:t>
      </w:r>
      <w:r>
        <w:t>du bois.</w:t>
      </w:r>
    </w:p>
    <w:p w14:paraId="41DE6DED" w14:textId="77777777" w:rsidR="00DB2B68" w:rsidRDefault="00000000">
      <w:pPr>
        <w:pStyle w:val="pheading"/>
      </w:pPr>
      <w:r>
        <w:t>- Finitions</w:t>
      </w:r>
    </w:p>
    <w:p w14:paraId="0D2BF06C" w14:textId="77777777" w:rsidR="00DB2B68" w:rsidRDefault="00000000">
      <w:pPr>
        <w:jc w:val="both"/>
      </w:pPr>
      <w:r>
        <w:rPr>
          <w:b/>
        </w:rPr>
        <w:t>Traitement de finition du bois en atelier</w:t>
      </w:r>
    </w:p>
    <w:p w14:paraId="69B3121C" w14:textId="77777777" w:rsidR="00DB2B68" w:rsidRDefault="00000000">
      <w:pPr>
        <w:jc w:val="both"/>
      </w:pPr>
      <w:r>
        <w:t xml:space="preserve">Traitement de finition des parties visibles du bois : </w:t>
      </w:r>
      <w:r>
        <w:rPr>
          <w:rStyle w:val="optioncarChar"/>
        </w:rPr>
        <w:t xml:space="preserve">pas de finition </w:t>
      </w:r>
      <w:r>
        <w:t>(par défaut)</w:t>
      </w:r>
      <w:r>
        <w:rPr>
          <w:rStyle w:val="optioncarChar"/>
        </w:rPr>
        <w:t xml:space="preserve"> / application d'une finition.</w:t>
      </w:r>
    </w:p>
    <w:p w14:paraId="15CAA2D4" w14:textId="77777777" w:rsidR="00DB2B68" w:rsidRDefault="00000000">
      <w:pPr>
        <w:jc w:val="both"/>
      </w:pPr>
      <w:r>
        <w:rPr>
          <w:u w:val="single"/>
        </w:rPr>
        <w:t>Dans le cas de l’application d’une finition sur le bois prévue dans le présent travail :</w:t>
      </w:r>
    </w:p>
    <w:p w14:paraId="19D54CA6" w14:textId="77777777" w:rsidR="00DB2B68" w:rsidRDefault="00000000">
      <w:pPr>
        <w:pStyle w:val="Author-eListParagraph"/>
        <w:numPr>
          <w:ilvl w:val="0"/>
          <w:numId w:val="936"/>
        </w:numPr>
        <w:jc w:val="both"/>
      </w:pPr>
      <w:r>
        <w:t xml:space="preserve">Type de traitement : </w:t>
      </w:r>
      <w:r>
        <w:rPr>
          <w:rStyle w:val="optioncarChar"/>
        </w:rPr>
        <w:t>anti UV</w:t>
      </w:r>
      <w:r>
        <w:t xml:space="preserve"> (par défaut)</w:t>
      </w:r>
      <w:r>
        <w:rPr>
          <w:rStyle w:val="optioncarChar"/>
        </w:rPr>
        <w:t xml:space="preserve"> / lasure / verni / peinture / huile / céruse</w:t>
      </w:r>
    </w:p>
    <w:p w14:paraId="26EA4789" w14:textId="77777777" w:rsidR="00DB2B68" w:rsidRDefault="00000000">
      <w:pPr>
        <w:pStyle w:val="Author-eListParagraph"/>
        <w:numPr>
          <w:ilvl w:val="0"/>
          <w:numId w:val="936"/>
        </w:numPr>
        <w:jc w:val="both"/>
      </w:pPr>
      <w:r>
        <w:lastRenderedPageBreak/>
        <w:t xml:space="preserve">Teinte : </w:t>
      </w:r>
      <w:r>
        <w:rPr>
          <w:rStyle w:val="optioncarChar"/>
        </w:rPr>
        <w:t xml:space="preserve">transparent </w:t>
      </w:r>
      <w:r>
        <w:t>(par défaut)</w:t>
      </w:r>
      <w:r>
        <w:rPr>
          <w:rStyle w:val="optioncarChar"/>
        </w:rPr>
        <w:t xml:space="preserve"> / blanchâtre / grisâtre / rougeâtre / verdâtre / bleuté / transparent / blanc / RAL : ***</w:t>
      </w:r>
    </w:p>
    <w:p w14:paraId="04C71456" w14:textId="77777777" w:rsidR="00DB2B68" w:rsidRDefault="00000000">
      <w:pPr>
        <w:pStyle w:val="pheading"/>
      </w:pPr>
      <w:r>
        <w:t>EXÉCUTION / MISE EN ŒUVRE</w:t>
      </w:r>
    </w:p>
    <w:p w14:paraId="6463D83E" w14:textId="77777777" w:rsidR="00DB2B68" w:rsidRDefault="00000000">
      <w:pPr>
        <w:pStyle w:val="pheading"/>
      </w:pPr>
      <w:r>
        <w:t>- Prescriptions générales</w:t>
      </w:r>
    </w:p>
    <w:p w14:paraId="656BBAC8" w14:textId="77777777" w:rsidR="00DB2B68" w:rsidRDefault="00000000">
      <w:pPr>
        <w:jc w:val="both"/>
      </w:pPr>
      <w:r>
        <w:rPr>
          <w:b/>
        </w:rPr>
        <w:t>Etude</w:t>
      </w:r>
    </w:p>
    <w:p w14:paraId="70E978F3" w14:textId="77777777" w:rsidR="00DB2B68" w:rsidRDefault="00000000">
      <w:pPr>
        <w:jc w:val="both"/>
      </w:pPr>
      <w:r>
        <w:t xml:space="preserve">Choix, conformément aux prescriptions du </w:t>
      </w:r>
      <w:hyperlink w:anchor="603" w:history="1">
        <w:r>
          <w:rPr>
            <w:color w:val="0000EE"/>
          </w:rPr>
          <w:t>24.22.2 Planchers en bois préfabriqués</w:t>
        </w:r>
      </w:hyperlink>
      <w:r>
        <w:t xml:space="preserve"> :  </w:t>
      </w:r>
      <w:r>
        <w:rPr>
          <w:rStyle w:val="optioncarChar"/>
        </w:rPr>
        <w:t>étude à charge de l'entrepreneur</w:t>
      </w:r>
      <w:r>
        <w:t xml:space="preserve"> (par défaut)</w:t>
      </w:r>
      <w:r>
        <w:rPr>
          <w:rStyle w:val="optioncarChar"/>
        </w:rPr>
        <w:t> / étude à charge du maître de l'ouvrage / étude à charge du maître de l’ouvrage à l’exception des assemblages / *** </w:t>
      </w:r>
    </w:p>
    <w:p w14:paraId="47D1EA81" w14:textId="77777777" w:rsidR="00DB2B68" w:rsidRDefault="00000000">
      <w:pPr>
        <w:jc w:val="both"/>
      </w:pPr>
      <w:r>
        <w:rPr>
          <w:b/>
        </w:rPr>
        <w:t>Mise en œuvre</w:t>
      </w:r>
    </w:p>
    <w:p w14:paraId="5B1E23D0" w14:textId="77777777" w:rsidR="00DB2B68" w:rsidRDefault="00000000">
      <w:pPr>
        <w:jc w:val="both"/>
      </w:pPr>
      <w:r>
        <w:t xml:space="preserve">Les planchers sont posés conformément aux prescriptions du </w:t>
      </w:r>
      <w:hyperlink w:anchor="603" w:history="1">
        <w:r>
          <w:rPr>
            <w:color w:val="0000EE"/>
          </w:rPr>
          <w:t>24.22.2 Planchers en bois préfabriqués</w:t>
        </w:r>
      </w:hyperlink>
      <w:r>
        <w:t xml:space="preserve"> : </w:t>
      </w:r>
      <w:r>
        <w:rPr>
          <w:rStyle w:val="optioncarChar"/>
        </w:rPr>
        <w:t>sur des muralières en bois</w:t>
      </w:r>
      <w:r>
        <w:t xml:space="preserve"> (par défaut) </w:t>
      </w:r>
      <w:r>
        <w:rPr>
          <w:rStyle w:val="optioncarChar"/>
        </w:rPr>
        <w:t>/ sur des profilés métalliques apparents / dans des profilés métalliques cachés / sur les têtes des murs</w:t>
      </w:r>
    </w:p>
    <w:p w14:paraId="2E50D14F" w14:textId="77777777" w:rsidR="00DB2B68" w:rsidRDefault="00000000">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6D7A8901" w14:textId="77777777" w:rsidR="00DB2B68" w:rsidRDefault="00000000">
      <w:pPr>
        <w:jc w:val="both"/>
      </w:pPr>
      <w:r>
        <w:rPr>
          <w:b/>
        </w:rPr>
        <w:t>Etanchéité à l’air</w:t>
      </w:r>
    </w:p>
    <w:p w14:paraId="10E6EC3E" w14:textId="77777777" w:rsidR="00DB2B68" w:rsidRDefault="00000000">
      <w:pPr>
        <w:jc w:val="both"/>
      </w:pPr>
      <w:r>
        <w:t xml:space="preserve">L’étanchéité à l’air entre éléments est assurée : </w:t>
      </w:r>
      <w:r>
        <w:rPr>
          <w:rStyle w:val="optioncarChar"/>
        </w:rPr>
        <w:t xml:space="preserve">pas d’application </w:t>
      </w:r>
      <w:r>
        <w:t>(par défaut)</w:t>
      </w:r>
      <w:r>
        <w:rPr>
          <w:rStyle w:val="optioncarChar"/>
        </w:rPr>
        <w:t xml:space="preserve"> / par bandes d’étanchéité dans l’épaisseur des éléments. </w:t>
      </w:r>
    </w:p>
    <w:p w14:paraId="0601CA30" w14:textId="77777777" w:rsidR="00DB2B68" w:rsidRDefault="00000000">
      <w:pPr>
        <w:jc w:val="both"/>
      </w:pPr>
      <w:r>
        <w:rPr>
          <w:b/>
        </w:rPr>
        <w:t>Préparation des techniques spéciales :  HVAC - Sanitaires - Electricité</w:t>
      </w:r>
    </w:p>
    <w:p w14:paraId="0DB647BE" w14:textId="77777777" w:rsidR="00DB2B68"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3" w:history="1">
        <w:r>
          <w:rPr>
            <w:color w:val="0000EE"/>
          </w:rPr>
          <w:t>24.22.2 Planchers en bois préfabriqués</w:t>
        </w:r>
      </w:hyperlink>
      <w:r>
        <w:t xml:space="preserve"> : </w:t>
      </w:r>
      <w:r>
        <w:rPr>
          <w:rStyle w:val="optioncarChar"/>
        </w:rPr>
        <w:t>non</w:t>
      </w:r>
      <w:r>
        <w:t> (par défaut) </w:t>
      </w:r>
      <w:r>
        <w:rPr>
          <w:rStyle w:val="optioncarChar"/>
        </w:rPr>
        <w:t>/ oui</w:t>
      </w:r>
    </w:p>
    <w:p w14:paraId="24EAEF42" w14:textId="77777777" w:rsidR="00DB2B68" w:rsidRDefault="00000000">
      <w:pPr>
        <w:pStyle w:val="pheading"/>
      </w:pPr>
      <w:r>
        <w:t>MESURAGE</w:t>
      </w:r>
    </w:p>
    <w:p w14:paraId="63E98965" w14:textId="77777777" w:rsidR="00DB2B68" w:rsidRDefault="00000000">
      <w:pPr>
        <w:pStyle w:val="pheading"/>
      </w:pPr>
      <w:r>
        <w:t>- unité de mesure:</w:t>
      </w:r>
    </w:p>
    <w:p w14:paraId="1148E067" w14:textId="77777777" w:rsidR="00DB2B68" w:rsidRDefault="00000000">
      <w:r>
        <w:t>1.2. m²</w:t>
      </w:r>
    </w:p>
    <w:p w14:paraId="33D59ACC" w14:textId="77777777" w:rsidR="00DB2B68" w:rsidRDefault="00000000">
      <w:pPr>
        <w:pStyle w:val="pheading"/>
      </w:pPr>
      <w:r>
        <w:t>- code de mesurage:</w:t>
      </w:r>
    </w:p>
    <w:p w14:paraId="24A0539C" w14:textId="77777777" w:rsidR="00DB2B68" w:rsidRDefault="00000000">
      <w:pPr>
        <w:jc w:val="both"/>
      </w:pPr>
      <w:r>
        <w:rPr>
          <w:rStyle w:val="optioncarChar"/>
        </w:rPr>
        <w:t xml:space="preserve">Surface nette </w:t>
      </w:r>
      <w:r>
        <w:t xml:space="preserve">(par défaut) </w:t>
      </w:r>
      <w:r>
        <w:rPr>
          <w:rStyle w:val="optioncarChar"/>
        </w:rPr>
        <w:t>/ Surface utile</w:t>
      </w:r>
    </w:p>
    <w:p w14:paraId="35B456CC" w14:textId="77777777" w:rsidR="00DB2B68" w:rsidRDefault="00000000">
      <w:pPr>
        <w:jc w:val="both"/>
      </w:pPr>
      <w:r>
        <w:rPr>
          <w:b/>
        </w:rPr>
        <w:t>(soit par défaut)</w:t>
      </w:r>
    </w:p>
    <w:p w14:paraId="6272A2C1" w14:textId="77777777" w:rsidR="00DB2B68" w:rsidRDefault="00000000">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62DAAD5D" w14:textId="77777777" w:rsidR="00DB2B68" w:rsidRDefault="00000000">
      <w:pPr>
        <w:jc w:val="both"/>
      </w:pPr>
      <w:r>
        <w:rPr>
          <w:b/>
        </w:rPr>
        <w:t>(soit)</w:t>
      </w:r>
    </w:p>
    <w:p w14:paraId="7A39AE29" w14:textId="77777777" w:rsidR="00DB2B68"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11DB51E2" w14:textId="77777777" w:rsidR="00DB2B68" w:rsidRDefault="00000000">
      <w:pPr>
        <w:jc w:val="both"/>
      </w:pPr>
      <w:r>
        <w:rPr>
          <w:rStyle w:val="soitChar"/>
        </w:rPr>
        <w:t>La surface utile est mesurée entre le nu intérieur des murs extérieurs. Il ressort de cette convention que les parties du plancher qui reposent dans les murs extérieurs ne sont pas comptées. Cependant, les parties couvrant et/ou pénétrant dans les murs intérieurs sont comptées avec le plancher sur toute l'épaisseur du mur et sont, par conséquent, déduites des murs intérieurs. Les vides, percements et feuillures supérieurs à 0,5 m² sont déduits.</w:t>
      </w:r>
    </w:p>
    <w:p w14:paraId="25E10FAA" w14:textId="77777777" w:rsidR="00DB2B68" w:rsidRDefault="00000000">
      <w:pPr>
        <w:pStyle w:val="pheading"/>
      </w:pPr>
      <w:r>
        <w:t>- nature du marché:</w:t>
      </w:r>
    </w:p>
    <w:p w14:paraId="4622A7F3" w14:textId="77777777" w:rsidR="00DB2B68" w:rsidRDefault="00000000">
      <w:r>
        <w:t>1.2. QF</w:t>
      </w:r>
    </w:p>
    <w:p w14:paraId="3A920226" w14:textId="77777777" w:rsidR="00DB2B68" w:rsidRDefault="00000000">
      <w:pPr>
        <w:pStyle w:val="Author-eSectionHeading6Numberless"/>
      </w:pPr>
      <w:bookmarkStart w:id="1673" w:name="_Toc220496657"/>
      <w:r>
        <w:t>24.22.2d Planchers préfabriqués en lamellés collés à plat  CCTB 01.10</w:t>
      </w:r>
      <w:bookmarkEnd w:id="1673"/>
    </w:p>
    <w:p w14:paraId="0E6942BA" w14:textId="77777777" w:rsidR="00DB2B68" w:rsidRDefault="00000000">
      <w:pPr>
        <w:pStyle w:val="Author-eSectionHeading6Numberless"/>
      </w:pPr>
      <w:bookmarkStart w:id="1674" w:name="_Toc220496658"/>
      <w:r>
        <w:t>24.22.2e Planchers à caissons faits de planches préfabriqués CCTB 01.11</w:t>
      </w:r>
      <w:bookmarkEnd w:id="1674"/>
    </w:p>
    <w:p w14:paraId="773181A7" w14:textId="77777777" w:rsidR="00DB2B68" w:rsidRDefault="00000000">
      <w:pPr>
        <w:pStyle w:val="pheading"/>
      </w:pPr>
      <w:r>
        <w:t>DESCRIPTION</w:t>
      </w:r>
    </w:p>
    <w:p w14:paraId="4147EAB0" w14:textId="77777777" w:rsidR="00DB2B68" w:rsidRDefault="00000000">
      <w:pPr>
        <w:pStyle w:val="pheading"/>
      </w:pPr>
      <w:r>
        <w:t>- Définition / Comprend</w:t>
      </w:r>
    </w:p>
    <w:p w14:paraId="7F034810" w14:textId="77777777" w:rsidR="00DB2B68" w:rsidRDefault="00000000">
      <w:pPr>
        <w:jc w:val="both"/>
      </w:pPr>
      <w:r>
        <w:lastRenderedPageBreak/>
        <w:t>Il s'agit de la fourniture et la pose de planchers intérieurs porteurs à caissons constitués de planches en bois massif, préfabriqués en atelier, remplis éventuellement d’isolant ou de lestage. Y compris tous les accessoires de fixation.</w:t>
      </w:r>
    </w:p>
    <w:p w14:paraId="3BF07DC2" w14:textId="77777777" w:rsidR="00DB2B68" w:rsidRDefault="00000000">
      <w:pPr>
        <w:pStyle w:val="pheading"/>
      </w:pPr>
      <w:r>
        <w:t>MATÉRIAUX</w:t>
      </w:r>
    </w:p>
    <w:p w14:paraId="14153D57" w14:textId="77777777" w:rsidR="00DB2B68" w:rsidRDefault="00000000">
      <w:pPr>
        <w:pStyle w:val="pheading"/>
      </w:pPr>
      <w:r>
        <w:t>- Caractéristiques générales</w:t>
      </w:r>
    </w:p>
    <w:p w14:paraId="0DDEFF7C" w14:textId="77777777" w:rsidR="00DB2B68" w:rsidRDefault="00000000">
      <w:pPr>
        <w:pStyle w:val="Author-eListParagraph"/>
        <w:numPr>
          <w:ilvl w:val="0"/>
          <w:numId w:val="937"/>
        </w:numPr>
        <w:jc w:val="both"/>
      </w:pPr>
      <w:r>
        <w:t xml:space="preserve">Classe de service, suivant la [NBN EN 1995-1-1] : </w:t>
      </w:r>
      <w:r>
        <w:rPr>
          <w:rStyle w:val="optioncarChar"/>
        </w:rPr>
        <w:t>1 / 2</w:t>
      </w:r>
      <w:r>
        <w:t xml:space="preserve"> (par défaut)</w:t>
      </w:r>
    </w:p>
    <w:p w14:paraId="3EFBF976" w14:textId="77777777" w:rsidR="00DB2B68" w:rsidRDefault="00000000">
      <w:pPr>
        <w:pStyle w:val="Author-eListParagraph"/>
        <w:numPr>
          <w:ilvl w:val="0"/>
          <w:numId w:val="937"/>
        </w:numPr>
        <w:jc w:val="both"/>
      </w:pPr>
      <w:r>
        <w:t xml:space="preserve">Hauteur disponible pour les caissons : ≤ </w:t>
      </w:r>
      <w:r>
        <w:rPr>
          <w:rStyle w:val="optioncarChar"/>
        </w:rPr>
        <w:t>selon les indications sur les plans</w:t>
      </w:r>
      <w:r>
        <w:t xml:space="preserve"> (par défaut)</w:t>
      </w:r>
      <w:r>
        <w:rPr>
          <w:rStyle w:val="optioncarChar"/>
        </w:rPr>
        <w:t xml:space="preserve"> / ***</w:t>
      </w:r>
      <w:r>
        <w:t xml:space="preserve"> mm, tolérance ± 10 mm</w:t>
      </w:r>
    </w:p>
    <w:p w14:paraId="639DED4C" w14:textId="77777777" w:rsidR="00DB2B68" w:rsidRDefault="00000000">
      <w:pPr>
        <w:pStyle w:val="Author-eListParagraph"/>
        <w:numPr>
          <w:ilvl w:val="0"/>
          <w:numId w:val="937"/>
        </w:numPr>
        <w:jc w:val="both"/>
      </w:pPr>
      <w:r>
        <w:t xml:space="preserve">Portée : ≤ </w:t>
      </w:r>
      <w:r>
        <w:rPr>
          <w:rStyle w:val="optioncarChar"/>
        </w:rPr>
        <w:t xml:space="preserve">selon les indications sur les plans </w:t>
      </w:r>
      <w:r>
        <w:t>(par défaut)</w:t>
      </w:r>
      <w:r>
        <w:rPr>
          <w:rStyle w:val="optioncarChar"/>
        </w:rPr>
        <w:t xml:space="preserve"> / ***</w:t>
      </w:r>
      <w:r>
        <w:t xml:space="preserve"> m, tolérance ± 100 mm</w:t>
      </w:r>
    </w:p>
    <w:p w14:paraId="3CA556C0" w14:textId="77777777" w:rsidR="00DB2B68" w:rsidRDefault="00000000">
      <w:pPr>
        <w:pStyle w:val="Author-eListParagraph"/>
        <w:numPr>
          <w:ilvl w:val="0"/>
          <w:numId w:val="937"/>
        </w:numPr>
        <w:jc w:val="both"/>
      </w:pPr>
      <w:r>
        <w:t xml:space="preserve">Les planchers sont calculés avec une charge d’exploitation,  suivant l’Eurocode [NBN EN 1991-1-4], [NBN EN 1991-1-4 ANB], [NBN EN 1991-1-4/A1] : </w:t>
      </w:r>
      <w:r>
        <w:rPr>
          <w:rStyle w:val="optioncarChar"/>
        </w:rPr>
        <w:t xml:space="preserve">selon l’affectation des locaux sur les plans </w:t>
      </w:r>
      <w:r>
        <w:t>(par défaut)</w:t>
      </w:r>
      <w:r>
        <w:rPr>
          <w:rStyle w:val="optioncarChar"/>
        </w:rPr>
        <w:t xml:space="preserve"> / 2 / 3 / 4 /</w:t>
      </w:r>
      <w:r>
        <w:t xml:space="preserve"> 5 kN/m² </w:t>
      </w:r>
    </w:p>
    <w:p w14:paraId="2DFDCAEF" w14:textId="77777777" w:rsidR="00DB2B68" w:rsidRDefault="00000000">
      <w:pPr>
        <w:pStyle w:val="Author-eListParagraph"/>
        <w:numPr>
          <w:ilvl w:val="0"/>
          <w:numId w:val="937"/>
        </w:numPr>
        <w:jc w:val="both"/>
      </w:pPr>
      <w:r>
        <w:t xml:space="preserve">Le critère de flèche, suivant la [NBN B 03-003] est de : </w:t>
      </w:r>
      <w:r>
        <w:rPr>
          <w:rStyle w:val="optioncarChar"/>
        </w:rPr>
        <w:t>L/500</w:t>
      </w:r>
      <w:r>
        <w:t xml:space="preserve"> (par défaut)</w:t>
      </w:r>
      <w:r>
        <w:rPr>
          <w:rStyle w:val="optioncarChar"/>
        </w:rPr>
        <w:t xml:space="preserve"> / L/450 / L/300 / L/250</w:t>
      </w:r>
    </w:p>
    <w:p w14:paraId="7C5EFBBA" w14:textId="77777777" w:rsidR="00DB2B68" w:rsidRDefault="00000000">
      <w:pPr>
        <w:jc w:val="both"/>
      </w:pPr>
      <w:r>
        <w:rPr>
          <w:b/>
        </w:rPr>
        <w:t>Matériau</w:t>
      </w:r>
    </w:p>
    <w:p w14:paraId="62EC04A8" w14:textId="77777777" w:rsidR="00DB2B68" w:rsidRDefault="00000000">
      <w:pPr>
        <w:jc w:val="both"/>
      </w:pPr>
      <w:r>
        <w:t>Planchers à caissons composés de planches en bois massif résineux fabriqués industriellement.</w:t>
      </w:r>
    </w:p>
    <w:p w14:paraId="137B8510" w14:textId="77777777" w:rsidR="00DB2B68" w:rsidRDefault="00000000">
      <w:pPr>
        <w:jc w:val="both"/>
      </w:pPr>
      <w:r>
        <w:t>Le caisson est composé au minimum de nervures verticales et d’une face inférieure.</w:t>
      </w:r>
    </w:p>
    <w:p w14:paraId="04AC7D19" w14:textId="77777777" w:rsidR="00DB2B68" w:rsidRDefault="00000000">
      <w:pPr>
        <w:jc w:val="both"/>
      </w:pPr>
      <w:r>
        <w:t xml:space="preserve">Présence d’une face supérieure : </w:t>
      </w:r>
      <w:r>
        <w:rPr>
          <w:rStyle w:val="optioncarChar"/>
        </w:rPr>
        <w:t>oui</w:t>
      </w:r>
      <w:r>
        <w:t xml:space="preserve"> (par défaut)</w:t>
      </w:r>
      <w:r>
        <w:rPr>
          <w:rStyle w:val="optioncarChar"/>
        </w:rPr>
        <w:t xml:space="preserve"> / non</w:t>
      </w:r>
    </w:p>
    <w:p w14:paraId="6847EA17" w14:textId="77777777" w:rsidR="00DB2B68" w:rsidRDefault="00000000">
      <w:pPr>
        <w:jc w:val="both"/>
      </w:pPr>
      <w:r>
        <w:t>Les faces sont assemblées par collage rigide sur toute la longueur des nervures. Entre les nervures, des raidisseurs (des entretoises) destinés à la stabilisation sont disposés à intervalles réguliers ≤ 1,2 m. </w:t>
      </w:r>
    </w:p>
    <w:p w14:paraId="29EC7589" w14:textId="77777777" w:rsidR="00DB2B68" w:rsidRDefault="00000000">
      <w:pPr>
        <w:jc w:val="both"/>
      </w:pPr>
      <w:r>
        <w:t>Les planches des faces sont reliées dans le sens de la longueur par aboutements collés.</w:t>
      </w:r>
    </w:p>
    <w:p w14:paraId="6F65C1F0" w14:textId="77777777" w:rsidR="00DB2B68" w:rsidRDefault="00DB2B68">
      <w:pPr>
        <w:jc w:val="both"/>
      </w:pPr>
    </w:p>
    <w:p w14:paraId="2DCE04BB" w14:textId="77777777" w:rsidR="00DB2B68" w:rsidRDefault="00000000">
      <w:pPr>
        <w:jc w:val="both"/>
      </w:pPr>
      <w:r>
        <w:rPr>
          <w:u w:val="single"/>
        </w:rPr>
        <w:t>Caractéristiques</w:t>
      </w:r>
    </w:p>
    <w:p w14:paraId="53984D2E" w14:textId="77777777" w:rsidR="00DB2B68" w:rsidRDefault="00000000">
      <w:pPr>
        <w:pStyle w:val="Author-eListParagraph"/>
        <w:numPr>
          <w:ilvl w:val="0"/>
          <w:numId w:val="938"/>
        </w:numPr>
      </w:pPr>
      <w:r>
        <w:t xml:space="preserve">Essence de bois : </w:t>
      </w:r>
      <w:r>
        <w:rPr>
          <w:rStyle w:val="optioncarChar"/>
        </w:rPr>
        <w:t>au choix de l’entrepreneur, à soumettre à l’approbation de l’architecte et du maître de l’ouvrage</w:t>
      </w:r>
      <w:r>
        <w:t xml:space="preserve"> (par défaut)</w:t>
      </w:r>
      <w:r>
        <w:rPr>
          <w:rStyle w:val="optioncarChar"/>
        </w:rPr>
        <w:t xml:space="preserve"> / épicéa / sapin / pin sylvestre (sapin rouge du Nord - SRN) / mélèze / douglas / pin d’Oregon / ***</w:t>
      </w:r>
    </w:p>
    <w:p w14:paraId="14D5AFFC" w14:textId="77777777" w:rsidR="00DB2B68" w:rsidRDefault="00000000">
      <w:pPr>
        <w:pStyle w:val="Author-eListParagraph"/>
        <w:numPr>
          <w:ilvl w:val="0"/>
          <w:numId w:val="938"/>
        </w:numPr>
      </w:pPr>
      <w:r>
        <w:t xml:space="preserve">Classe de résistance : ≥ </w:t>
      </w:r>
      <w:r>
        <w:rPr>
          <w:rStyle w:val="optioncarChar"/>
        </w:rPr>
        <w:t>suivant l’étude</w:t>
      </w:r>
      <w:r>
        <w:t xml:space="preserve"> (par défaut)</w:t>
      </w:r>
      <w:r>
        <w:rPr>
          <w:rStyle w:val="optioncarChar"/>
        </w:rPr>
        <w:t xml:space="preserve"> / C16 / C18 / C24</w:t>
      </w:r>
    </w:p>
    <w:p w14:paraId="64CD1AF4" w14:textId="77777777" w:rsidR="00DB2B68" w:rsidRDefault="00000000">
      <w:pPr>
        <w:pStyle w:val="Author-eListParagraph"/>
        <w:numPr>
          <w:ilvl w:val="0"/>
          <w:numId w:val="938"/>
        </w:numPr>
      </w:pPr>
      <w:r>
        <w:t xml:space="preserve">Largeur des éléments : ≤ </w:t>
      </w:r>
      <w:r>
        <w:rPr>
          <w:rStyle w:val="optioncarChar"/>
        </w:rPr>
        <w:t xml:space="preserve">au choix de l’entrepreneur </w:t>
      </w:r>
      <w:r>
        <w:t>(par défaut)</w:t>
      </w:r>
      <w:r>
        <w:rPr>
          <w:rStyle w:val="optioncarChar"/>
        </w:rPr>
        <w:t xml:space="preserve"> / 20 / 60 / 100</w:t>
      </w:r>
      <w:r>
        <w:t xml:space="preserve"> cm, tolérance ± 2 cm.</w:t>
      </w:r>
    </w:p>
    <w:p w14:paraId="2B8FFCA0" w14:textId="77777777" w:rsidR="00DB2B68" w:rsidRDefault="00000000">
      <w:pPr>
        <w:pStyle w:val="Author-eListParagraph"/>
        <w:numPr>
          <w:ilvl w:val="0"/>
          <w:numId w:val="938"/>
        </w:numPr>
      </w:pPr>
      <w:r>
        <w:t>Classe de réaction au feu, selon la [NBN EN 13501-1] : D-s1, d0</w:t>
      </w:r>
    </w:p>
    <w:p w14:paraId="4DDB54E0" w14:textId="77777777" w:rsidR="00DB2B68" w:rsidRDefault="00000000">
      <w:pPr>
        <w:pStyle w:val="Author-eListParagraph"/>
        <w:numPr>
          <w:ilvl w:val="0"/>
          <w:numId w:val="938"/>
        </w:numPr>
      </w:pPr>
      <w:r>
        <w:t>Nature du collage : adhésifs polyuréthane monocomposant durcissant à l'humidité (PUR) :</w:t>
      </w:r>
      <w:r>
        <w:br/>
        <w:t>Les adhésifs polyuréthane monocomposant durcissant à l’humidité satisfont aux exigences de la [NBN EN 15425] et [NBN EN 302-2]. Pour les adhésifs polyuréthane monocomposant durcissant à l'humidité devant être utilisés dans des aboutages à entures multiples, l'essai de délamination conformément à la [NBN EN 302-2] peut être remplacé par des essais conformément à la [NBN EN 301].</w:t>
      </w:r>
    </w:p>
    <w:p w14:paraId="7253EB8A" w14:textId="77777777" w:rsidR="00DB2B68" w:rsidRDefault="00000000">
      <w:pPr>
        <w:pStyle w:val="Author-eListParagraph"/>
        <w:numPr>
          <w:ilvl w:val="0"/>
          <w:numId w:val="938"/>
        </w:numPr>
      </w:pPr>
      <w:r>
        <w:t>Classe d’émission de formaldéhyde, selon la [NBN EN ISO 12460-5] : E1</w:t>
      </w:r>
    </w:p>
    <w:p w14:paraId="188008FE" w14:textId="77777777" w:rsidR="00DB2B68" w:rsidRDefault="00000000">
      <w:pPr>
        <w:pStyle w:val="Author-eListParagraph"/>
        <w:numPr>
          <w:ilvl w:val="0"/>
          <w:numId w:val="938"/>
        </w:numPr>
      </w:pPr>
      <w:r>
        <w:t>Les nœuds des planches sont collés avant tout rabotage.</w:t>
      </w:r>
    </w:p>
    <w:p w14:paraId="02E5B57E" w14:textId="77777777" w:rsidR="00DB2B68" w:rsidRDefault="00000000">
      <w:pPr>
        <w:pStyle w:val="Author-eListParagraph"/>
        <w:numPr>
          <w:ilvl w:val="0"/>
          <w:numId w:val="938"/>
        </w:numPr>
      </w:pPr>
      <w:r>
        <w:t>Assemblage latéral entre caissons : rainuré-langueté</w:t>
      </w:r>
    </w:p>
    <w:p w14:paraId="4170659C" w14:textId="77777777" w:rsidR="00DB2B68" w:rsidRDefault="00000000">
      <w:pPr>
        <w:pStyle w:val="Author-eListParagraph"/>
        <w:numPr>
          <w:ilvl w:val="0"/>
          <w:numId w:val="938"/>
        </w:numPr>
      </w:pPr>
      <w:r>
        <w:t>Finition des bords : droits</w:t>
      </w:r>
    </w:p>
    <w:p w14:paraId="0FF6EC6A" w14:textId="77777777" w:rsidR="00DB2B68" w:rsidRDefault="00000000">
      <w:pPr>
        <w:pStyle w:val="Author-eListParagraph"/>
        <w:numPr>
          <w:ilvl w:val="0"/>
          <w:numId w:val="938"/>
        </w:numPr>
      </w:pPr>
      <w:r>
        <w:t xml:space="preserve">Finition de la face inférieure : </w:t>
      </w:r>
      <w:r>
        <w:rPr>
          <w:rStyle w:val="optioncarChar"/>
        </w:rPr>
        <w:t>poncée (vue)</w:t>
      </w:r>
      <w:r>
        <w:t xml:space="preserve"> (par défaut)</w:t>
      </w:r>
      <w:r>
        <w:rPr>
          <w:rStyle w:val="optioncarChar"/>
        </w:rPr>
        <w:t xml:space="preserve"> / rabotée</w:t>
      </w:r>
    </w:p>
    <w:p w14:paraId="0ED867B7" w14:textId="77777777" w:rsidR="00DB2B68" w:rsidRDefault="00000000">
      <w:pPr>
        <w:pStyle w:val="Author-eListParagraph"/>
        <w:numPr>
          <w:ilvl w:val="0"/>
          <w:numId w:val="938"/>
        </w:numPr>
      </w:pPr>
      <w:r>
        <w:t xml:space="preserve">Finition de la face supérieure : </w:t>
      </w:r>
      <w:r>
        <w:rPr>
          <w:rStyle w:val="optioncarChar"/>
        </w:rPr>
        <w:t>poncée (vue)</w:t>
      </w:r>
      <w:r>
        <w:t xml:space="preserve"> (par défaut) </w:t>
      </w:r>
      <w:r>
        <w:rPr>
          <w:rStyle w:val="optioncarChar"/>
        </w:rPr>
        <w:t>/ brossée (vue) / rabotée /pas de face supérieure</w:t>
      </w:r>
    </w:p>
    <w:p w14:paraId="1F0F9CB7" w14:textId="77777777" w:rsidR="00DB2B68" w:rsidRDefault="00000000">
      <w:pPr>
        <w:jc w:val="both"/>
      </w:pPr>
      <w:r>
        <w:rPr>
          <w:b/>
        </w:rPr>
        <w:t>Lestage</w:t>
      </w:r>
    </w:p>
    <w:p w14:paraId="34FBEC07" w14:textId="77777777" w:rsidR="00DB2B68" w:rsidRDefault="00000000">
      <w:pPr>
        <w:jc w:val="both"/>
      </w:pPr>
      <w:r>
        <w:t xml:space="preserve">Réalisation d’un lestage inséré dans les cellules des caissons : </w:t>
      </w:r>
      <w:r>
        <w:rPr>
          <w:rStyle w:val="optioncarChar"/>
        </w:rPr>
        <w:t>non</w:t>
      </w:r>
      <w:r>
        <w:t xml:space="preserve"> (par défaut)</w:t>
      </w:r>
      <w:r>
        <w:rPr>
          <w:rStyle w:val="optioncarChar"/>
        </w:rPr>
        <w:t xml:space="preserve"> / briques de béton / granulat</w:t>
      </w:r>
    </w:p>
    <w:p w14:paraId="3F9A9053" w14:textId="77777777" w:rsidR="00DB2B68" w:rsidRDefault="00000000">
      <w:pPr>
        <w:jc w:val="both"/>
      </w:pPr>
      <w:r>
        <w:rPr>
          <w:b/>
        </w:rPr>
        <w:t>(soit par défaut)</w:t>
      </w:r>
    </w:p>
    <w:p w14:paraId="279F9A71" w14:textId="77777777" w:rsidR="00DB2B68" w:rsidRDefault="00000000">
      <w:pPr>
        <w:jc w:val="both"/>
      </w:pPr>
      <w:r>
        <w:rPr>
          <w:rStyle w:val="soitChar"/>
          <w:u w:val="single"/>
        </w:rPr>
        <w:lastRenderedPageBreak/>
        <w:t>Non :</w:t>
      </w:r>
      <w:r>
        <w:rPr>
          <w:rStyle w:val="soitChar"/>
        </w:rPr>
        <w:t xml:space="preserve"> pas de lestage.</w:t>
      </w:r>
    </w:p>
    <w:p w14:paraId="30F4B62C" w14:textId="77777777" w:rsidR="00DB2B68" w:rsidRDefault="00000000">
      <w:pPr>
        <w:jc w:val="both"/>
      </w:pPr>
      <w:r>
        <w:rPr>
          <w:b/>
        </w:rPr>
        <w:t>(soit)</w:t>
      </w:r>
    </w:p>
    <w:p w14:paraId="36FD76A6" w14:textId="77777777" w:rsidR="00DB2B68" w:rsidRDefault="00000000">
      <w:pPr>
        <w:jc w:val="both"/>
      </w:pPr>
      <w:r>
        <w:rPr>
          <w:rStyle w:val="soitChar"/>
          <w:u w:val="single"/>
        </w:rPr>
        <w:t>Briques de béton :</w:t>
      </w:r>
    </w:p>
    <w:p w14:paraId="34BD8EC7" w14:textId="77777777" w:rsidR="00DB2B68" w:rsidRDefault="00000000">
      <w:pPr>
        <w:jc w:val="both"/>
      </w:pPr>
      <w:r>
        <w:rPr>
          <w:rStyle w:val="soitChar"/>
        </w:rPr>
        <w:t xml:space="preserve"> Une couche d’isolant en fibre de bois de 2 cm d’épaisseur est placée dans le fond des nervures. Des briques de béton sont posées sur cette couche.</w:t>
      </w:r>
    </w:p>
    <w:p w14:paraId="671B4547" w14:textId="77777777" w:rsidR="00DB2B68" w:rsidRDefault="00000000">
      <w:pPr>
        <w:pStyle w:val="Author-eListParagraph"/>
        <w:numPr>
          <w:ilvl w:val="0"/>
          <w:numId w:val="939"/>
        </w:numPr>
      </w:pPr>
      <w:r>
        <w:rPr>
          <w:rStyle w:val="soitChar"/>
        </w:rPr>
        <w:t>Masse volumique des briques béton ≥ 2200 kg/m³ </w:t>
      </w:r>
    </w:p>
    <w:p w14:paraId="1C3D9E98" w14:textId="77777777" w:rsidR="00DB2B68" w:rsidRDefault="00000000">
      <w:pPr>
        <w:pStyle w:val="Author-eListParagraph"/>
        <w:numPr>
          <w:ilvl w:val="0"/>
          <w:numId w:val="939"/>
        </w:numPr>
      </w:pPr>
      <w:r>
        <w:rPr>
          <w:rStyle w:val="soitChar"/>
        </w:rPr>
        <w:t xml:space="preserve">Masse de lestage : </w:t>
      </w:r>
      <w:r>
        <w:rPr>
          <w:rStyle w:val="optioncarChar"/>
        </w:rPr>
        <w:t xml:space="preserve">50 / 75 </w:t>
      </w:r>
      <w:r>
        <w:t>(par défaut)</w:t>
      </w:r>
      <w:r>
        <w:rPr>
          <w:rStyle w:val="optioncarChar"/>
        </w:rPr>
        <w:t xml:space="preserve"> / 90 </w:t>
      </w:r>
      <w:r>
        <w:rPr>
          <w:rStyle w:val="soitChar"/>
        </w:rPr>
        <w:t>kg/m²</w:t>
      </w:r>
    </w:p>
    <w:p w14:paraId="02F9F2FB" w14:textId="77777777" w:rsidR="00DB2B68" w:rsidRDefault="00000000">
      <w:pPr>
        <w:jc w:val="both"/>
      </w:pPr>
      <w:r>
        <w:rPr>
          <w:b/>
        </w:rPr>
        <w:t>(soit)</w:t>
      </w:r>
    </w:p>
    <w:p w14:paraId="49EB3EC8" w14:textId="77777777" w:rsidR="00DB2B68" w:rsidRDefault="00000000">
      <w:pPr>
        <w:jc w:val="both"/>
      </w:pPr>
      <w:r>
        <w:rPr>
          <w:rStyle w:val="soitChar"/>
          <w:u w:val="single"/>
        </w:rPr>
        <w:t>Granulat :</w:t>
      </w:r>
    </w:p>
    <w:p w14:paraId="60D44FF4" w14:textId="77777777" w:rsidR="00DB2B68" w:rsidRDefault="00000000">
      <w:pPr>
        <w:jc w:val="both"/>
      </w:pPr>
      <w:r>
        <w:rPr>
          <w:rStyle w:val="soitChar"/>
        </w:rPr>
        <w:t>Les cavités sont lestées avec du granulat séché.</w:t>
      </w:r>
    </w:p>
    <w:p w14:paraId="4C0C378E" w14:textId="77777777" w:rsidR="00DB2B68" w:rsidRDefault="00000000">
      <w:pPr>
        <w:pStyle w:val="Author-eListParagraph"/>
        <w:numPr>
          <w:ilvl w:val="0"/>
          <w:numId w:val="940"/>
        </w:numPr>
      </w:pPr>
      <w:r>
        <w:rPr>
          <w:rStyle w:val="soitChar"/>
        </w:rPr>
        <w:t>Granulométrie ≤ 4mm</w:t>
      </w:r>
    </w:p>
    <w:p w14:paraId="0BBC1C5B" w14:textId="77777777" w:rsidR="00DB2B68" w:rsidRDefault="00000000">
      <w:pPr>
        <w:pStyle w:val="Author-eListParagraph"/>
        <w:numPr>
          <w:ilvl w:val="0"/>
          <w:numId w:val="940"/>
        </w:numPr>
      </w:pPr>
      <w:r>
        <w:rPr>
          <w:rStyle w:val="soitChar"/>
        </w:rPr>
        <w:t xml:space="preserve">Nature du granulat : </w:t>
      </w:r>
      <w:r>
        <w:rPr>
          <w:rStyle w:val="optioncarChar"/>
        </w:rPr>
        <w:t>calcaire </w:t>
      </w:r>
      <w:r>
        <w:t>(par défaut)</w:t>
      </w:r>
      <w:r>
        <w:rPr>
          <w:rStyle w:val="optioncarChar"/>
        </w:rPr>
        <w:t xml:space="preserve"> / argile expansée</w:t>
      </w:r>
    </w:p>
    <w:p w14:paraId="4A987366" w14:textId="77777777" w:rsidR="00DB2B68" w:rsidRDefault="00000000">
      <w:pPr>
        <w:pStyle w:val="Author-eListParagraph"/>
        <w:numPr>
          <w:ilvl w:val="0"/>
          <w:numId w:val="940"/>
        </w:numPr>
      </w:pPr>
      <w:r>
        <w:rPr>
          <w:rStyle w:val="soitChar"/>
        </w:rPr>
        <w:t xml:space="preserve">Masse volumique apparente des granulats : ≤ </w:t>
      </w:r>
      <w:r>
        <w:rPr>
          <w:rStyle w:val="optioncarChar"/>
        </w:rPr>
        <w:t>750 / 1000 / 1500</w:t>
      </w:r>
      <w:r>
        <w:t xml:space="preserve"> (par défaut) </w:t>
      </w:r>
      <w:r>
        <w:rPr>
          <w:rStyle w:val="soitChar"/>
        </w:rPr>
        <w:t>kg/m³</w:t>
      </w:r>
    </w:p>
    <w:p w14:paraId="558FED90" w14:textId="77777777" w:rsidR="00DB2B68" w:rsidRDefault="00000000">
      <w:pPr>
        <w:pStyle w:val="Author-eListParagraph"/>
        <w:numPr>
          <w:ilvl w:val="0"/>
          <w:numId w:val="940"/>
        </w:numPr>
      </w:pPr>
      <w:r>
        <w:rPr>
          <w:rStyle w:val="soitChar"/>
        </w:rPr>
        <w:t xml:space="preserve">Masse de lestage : </w:t>
      </w:r>
      <w:r>
        <w:rPr>
          <w:rStyle w:val="optioncarChar"/>
        </w:rPr>
        <w:t xml:space="preserve">50 / 75 </w:t>
      </w:r>
      <w:r>
        <w:t>(par défaut)</w:t>
      </w:r>
      <w:r>
        <w:rPr>
          <w:rStyle w:val="optioncarChar"/>
        </w:rPr>
        <w:t xml:space="preserve"> / 90 </w:t>
      </w:r>
      <w:r>
        <w:rPr>
          <w:rStyle w:val="soitChar"/>
        </w:rPr>
        <w:t>kg/m²</w:t>
      </w:r>
    </w:p>
    <w:p w14:paraId="0D99A188" w14:textId="77777777" w:rsidR="00DB2B68" w:rsidRDefault="00000000">
      <w:pPr>
        <w:jc w:val="both"/>
      </w:pPr>
      <w:r>
        <w:rPr>
          <w:b/>
        </w:rPr>
        <w:t>Absorption acoustique</w:t>
      </w:r>
    </w:p>
    <w:p w14:paraId="59D68751" w14:textId="77777777" w:rsidR="00DB2B68" w:rsidRDefault="00000000">
      <w:pPr>
        <w:jc w:val="both"/>
      </w:pPr>
      <w:r>
        <w:t xml:space="preserve">La face inférieure présente des ouvertures pour l’absorption acoustique : </w:t>
      </w:r>
      <w:r>
        <w:rPr>
          <w:rStyle w:val="optioncarChar"/>
        </w:rPr>
        <w:t>non</w:t>
      </w:r>
      <w:r>
        <w:t xml:space="preserve"> (par défaut)</w:t>
      </w:r>
      <w:r>
        <w:rPr>
          <w:rStyle w:val="optioncarChar"/>
        </w:rPr>
        <w:t xml:space="preserve"> / oui</w:t>
      </w:r>
    </w:p>
    <w:p w14:paraId="16120F03" w14:textId="77777777" w:rsidR="00DB2B68" w:rsidRDefault="00000000">
      <w:pPr>
        <w:jc w:val="both"/>
      </w:pPr>
      <w:r>
        <w:t>Dans le cas où un absorbeur acoustique est prévu, la face inférieure présente des ouvertures d’absorption acoustique. Une couche d’absorbeur est placée au-dessus de la face inférieure.</w:t>
      </w:r>
    </w:p>
    <w:p w14:paraId="4DD69EBC" w14:textId="77777777" w:rsidR="00DB2B68" w:rsidRDefault="00000000">
      <w:pPr>
        <w:pStyle w:val="Author-eListParagraph"/>
        <w:numPr>
          <w:ilvl w:val="0"/>
          <w:numId w:val="941"/>
        </w:numPr>
      </w:pPr>
      <w:r>
        <w:t xml:space="preserve">Matériau : </w:t>
      </w:r>
      <w:r>
        <w:rPr>
          <w:rStyle w:val="optioncarChar"/>
        </w:rPr>
        <w:t>fibre de bois</w:t>
      </w:r>
      <w:r>
        <w:t xml:space="preserve"> (par défaut)</w:t>
      </w:r>
      <w:r>
        <w:rPr>
          <w:rStyle w:val="optioncarChar"/>
        </w:rPr>
        <w:t xml:space="preserve"> / ***</w:t>
      </w:r>
    </w:p>
    <w:p w14:paraId="3D94786D" w14:textId="77777777" w:rsidR="00DB2B68" w:rsidRDefault="00000000">
      <w:pPr>
        <w:pStyle w:val="Author-eListParagraph"/>
        <w:numPr>
          <w:ilvl w:val="0"/>
          <w:numId w:val="941"/>
        </w:numPr>
      </w:pPr>
      <w:r>
        <w:t xml:space="preserve">Masse volumique de l’absorbeur : ≤ </w:t>
      </w:r>
      <w:r>
        <w:rPr>
          <w:rStyle w:val="optioncarChar"/>
        </w:rPr>
        <w:t>110</w:t>
      </w:r>
      <w:r>
        <w:t xml:space="preserve"> (par défaut)</w:t>
      </w:r>
      <w:r>
        <w:rPr>
          <w:rStyle w:val="optioncarChar"/>
        </w:rPr>
        <w:t xml:space="preserve"> / ***</w:t>
      </w:r>
      <w:r>
        <w:t> kg/m³</w:t>
      </w:r>
    </w:p>
    <w:p w14:paraId="03DCB72E" w14:textId="77777777" w:rsidR="00DB2B68" w:rsidRDefault="00000000">
      <w:pPr>
        <w:pStyle w:val="Author-eListParagraph"/>
        <w:numPr>
          <w:ilvl w:val="0"/>
          <w:numId w:val="941"/>
        </w:numPr>
      </w:pPr>
      <w:r>
        <w:t xml:space="preserve">Epaisseur de l’absorbeur :  ≥ </w:t>
      </w:r>
      <w:r>
        <w:rPr>
          <w:rStyle w:val="optioncarChar"/>
        </w:rPr>
        <w:t>20 / 22 / 26 / 40</w:t>
      </w:r>
      <w:r>
        <w:t xml:space="preserve"> (par défaut) mm</w:t>
      </w:r>
    </w:p>
    <w:p w14:paraId="456C216C" w14:textId="77777777" w:rsidR="00DB2B68" w:rsidRDefault="00000000">
      <w:pPr>
        <w:pStyle w:val="Author-eListParagraph"/>
        <w:numPr>
          <w:ilvl w:val="0"/>
          <w:numId w:val="941"/>
        </w:numPr>
      </w:pPr>
      <w:r>
        <w:t xml:space="preserve">Forme des ouvertures : </w:t>
      </w:r>
      <w:r>
        <w:rPr>
          <w:rStyle w:val="optioncarChar"/>
        </w:rPr>
        <w:t xml:space="preserve">rondes </w:t>
      </w:r>
      <w:r>
        <w:t>(par défaut)</w:t>
      </w:r>
      <w:r>
        <w:rPr>
          <w:rStyle w:val="optioncarChar"/>
        </w:rPr>
        <w:t xml:space="preserve"> / rainures </w:t>
      </w:r>
    </w:p>
    <w:p w14:paraId="604B1189" w14:textId="77777777" w:rsidR="00DB2B68" w:rsidRDefault="00000000">
      <w:pPr>
        <w:pStyle w:val="Author-eListParagraph"/>
        <w:numPr>
          <w:ilvl w:val="0"/>
          <w:numId w:val="941"/>
        </w:numPr>
      </w:pPr>
      <w:r>
        <w:t xml:space="preserve">Caractéristiques des ouvertures : </w:t>
      </w:r>
      <w:r>
        <w:rPr>
          <w:rStyle w:val="optioncarChar"/>
        </w:rPr>
        <w:t>à soumettre sur chantier à l'approbation à l'architecte et au maître de l'ouvrage en fonction du nuancier du fabricant</w:t>
      </w:r>
      <w:r>
        <w:t xml:space="preserve"> (par défaut)</w:t>
      </w:r>
      <w:r>
        <w:rPr>
          <w:rStyle w:val="optioncarChar"/>
        </w:rPr>
        <w:t xml:space="preserve"> / ***</w:t>
      </w:r>
    </w:p>
    <w:p w14:paraId="3AECA4CA" w14:textId="77777777" w:rsidR="00DB2B68" w:rsidRDefault="00000000">
      <w:pPr>
        <w:pStyle w:val="Author-eListParagraph"/>
        <w:numPr>
          <w:ilvl w:val="0"/>
          <w:numId w:val="941"/>
        </w:numPr>
      </w:pPr>
      <w:r>
        <w:t>Coefficient d’absorption pondéré, suivant la norme [NBN EN ISO 11654], αw ≥ </w:t>
      </w:r>
      <w:r>
        <w:rPr>
          <w:rStyle w:val="optioncarChar"/>
        </w:rPr>
        <w:t xml:space="preserve">0,4 / 0,5 </w:t>
      </w:r>
      <w:r>
        <w:t xml:space="preserve">(par défaut) </w:t>
      </w:r>
      <w:r>
        <w:rPr>
          <w:rStyle w:val="optioncarChar"/>
        </w:rPr>
        <w:t>/ 0,6 / 0,7 / 0,8 / 0,9</w:t>
      </w:r>
    </w:p>
    <w:p w14:paraId="237AA211" w14:textId="77777777" w:rsidR="00DB2B68" w:rsidRDefault="00000000">
      <w:pPr>
        <w:jc w:val="both"/>
      </w:pPr>
      <w:r>
        <w:rPr>
          <w:b/>
        </w:rPr>
        <w:t>Isolation thermique</w:t>
      </w:r>
    </w:p>
    <w:p w14:paraId="32A820FF" w14:textId="77777777" w:rsidR="00DB2B68" w:rsidRDefault="00000000">
      <w:pPr>
        <w:jc w:val="both"/>
      </w:pPr>
      <w:r>
        <w:t xml:space="preserve">De l’isolant thermique est placé à l’intérieur des caissons : </w:t>
      </w:r>
      <w:r>
        <w:rPr>
          <w:rStyle w:val="optioncarChar"/>
        </w:rPr>
        <w:t>non</w:t>
      </w:r>
      <w:r>
        <w:t xml:space="preserve"> (par défaut)</w:t>
      </w:r>
      <w:r>
        <w:rPr>
          <w:rStyle w:val="optioncarChar"/>
        </w:rPr>
        <w:t xml:space="preserve"> / oui</w:t>
      </w:r>
    </w:p>
    <w:p w14:paraId="7706A0AA" w14:textId="77777777" w:rsidR="00DB2B68" w:rsidRDefault="00000000">
      <w:pPr>
        <w:jc w:val="both"/>
      </w:pPr>
      <w:r>
        <w:t>Dans le cas où un isolant thermique est prévu, celui-ci est placé à l’intérieur des caissons, dans toute leur épaisseur :</w:t>
      </w:r>
    </w:p>
    <w:p w14:paraId="544E8547" w14:textId="77777777" w:rsidR="00DB2B68" w:rsidRDefault="00000000">
      <w:pPr>
        <w:pStyle w:val="Author-eListParagraph"/>
        <w:numPr>
          <w:ilvl w:val="0"/>
          <w:numId w:val="942"/>
        </w:numPr>
      </w:pPr>
      <w:r>
        <w:t xml:space="preserve">Nature de l’isolant : </w:t>
      </w:r>
      <w:r>
        <w:rPr>
          <w:rStyle w:val="optioncarChar"/>
        </w:rPr>
        <w:t>laine de bois</w:t>
      </w:r>
      <w:r>
        <w:t> (par défaut)</w:t>
      </w:r>
      <w:r>
        <w:rPr>
          <w:rStyle w:val="optioncarChar"/>
        </w:rPr>
        <w:t> / laine de verre / ***</w:t>
      </w:r>
    </w:p>
    <w:p w14:paraId="635BE7CE" w14:textId="77777777" w:rsidR="00DB2B68" w:rsidRDefault="00000000">
      <w:pPr>
        <w:pStyle w:val="Author-eListParagraph"/>
        <w:numPr>
          <w:ilvl w:val="0"/>
          <w:numId w:val="942"/>
        </w:numPr>
      </w:pPr>
      <w:r>
        <w:t>Conductivité thermique lambda, suivant la [NBN EN 12667] ou [NBN EN ISO 10456] : ≤ </w:t>
      </w:r>
      <w:r>
        <w:rPr>
          <w:rStyle w:val="optioncarChar"/>
        </w:rPr>
        <w:t xml:space="preserve">0,040 </w:t>
      </w:r>
      <w:r>
        <w:t>(par défaut)</w:t>
      </w:r>
      <w:r>
        <w:rPr>
          <w:rStyle w:val="optioncarChar"/>
        </w:rPr>
        <w:t xml:space="preserve"> / 0,035</w:t>
      </w:r>
      <w:r>
        <w:t> W/(m.K) </w:t>
      </w:r>
    </w:p>
    <w:p w14:paraId="57D8C312" w14:textId="77777777" w:rsidR="00DB2B68" w:rsidRDefault="00000000">
      <w:pPr>
        <w:jc w:val="both"/>
      </w:pPr>
      <w:r>
        <w:rPr>
          <w:b/>
        </w:rPr>
        <w:t>Résistance au feu</w:t>
      </w:r>
    </w:p>
    <w:p w14:paraId="31C05F55" w14:textId="77777777" w:rsidR="00DB2B68" w:rsidRDefault="00000000">
      <w:pPr>
        <w:jc w:val="both"/>
      </w:pPr>
      <w:r>
        <w:t xml:space="preserve">Le plancher présente une résistance au feu, selon la [NBN EN 13501-2] : </w:t>
      </w:r>
      <w:r>
        <w:rPr>
          <w:rStyle w:val="optioncarChar"/>
        </w:rPr>
        <w:t xml:space="preserve">pas d’application / REI30 </w:t>
      </w:r>
      <w:r>
        <w:t>(par défaut)</w:t>
      </w:r>
      <w:r>
        <w:rPr>
          <w:rStyle w:val="optioncarChar"/>
        </w:rPr>
        <w:t xml:space="preserve"> / REI60 / REI 90 / REI 120</w:t>
      </w:r>
    </w:p>
    <w:p w14:paraId="3C1618E5" w14:textId="77777777" w:rsidR="00DB2B68" w:rsidRDefault="00000000">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 travail)</w:t>
      </w:r>
      <w:r>
        <w:t xml:space="preserve"> du bois.</w:t>
      </w:r>
    </w:p>
    <w:p w14:paraId="36C5DAF0" w14:textId="77777777" w:rsidR="00DB2B68" w:rsidRDefault="00000000">
      <w:pPr>
        <w:pStyle w:val="pheading"/>
      </w:pPr>
      <w:r>
        <w:t>- Finitions</w:t>
      </w:r>
    </w:p>
    <w:p w14:paraId="5F6D098B" w14:textId="77777777" w:rsidR="00DB2B68" w:rsidRDefault="00000000">
      <w:pPr>
        <w:jc w:val="both"/>
      </w:pPr>
      <w:r>
        <w:rPr>
          <w:b/>
        </w:rPr>
        <w:t>Traitement de finition du bois en atelier</w:t>
      </w:r>
    </w:p>
    <w:p w14:paraId="751409F6" w14:textId="77777777" w:rsidR="00DB2B68" w:rsidRDefault="00000000">
      <w:pPr>
        <w:jc w:val="both"/>
      </w:pPr>
      <w:r>
        <w:t xml:space="preserve">Traitement des parties visibles du bois : </w:t>
      </w:r>
      <w:r>
        <w:rPr>
          <w:rStyle w:val="optioncarChar"/>
        </w:rPr>
        <w:t>pas de finition</w:t>
      </w:r>
      <w:r>
        <w:t xml:space="preserve"> (par défaut)</w:t>
      </w:r>
      <w:r>
        <w:rPr>
          <w:rStyle w:val="optioncarChar"/>
        </w:rPr>
        <w:t xml:space="preserve"> / application d’une finition</w:t>
      </w:r>
    </w:p>
    <w:p w14:paraId="1CCF14DC" w14:textId="77777777" w:rsidR="00DB2B68" w:rsidRDefault="00000000">
      <w:pPr>
        <w:jc w:val="both"/>
      </w:pPr>
      <w:r>
        <w:rPr>
          <w:u w:val="single"/>
        </w:rPr>
        <w:t>Dans le cas de l’application d’une finition sur le bois prévue dans le présent travail :</w:t>
      </w:r>
    </w:p>
    <w:p w14:paraId="4F600460" w14:textId="77777777" w:rsidR="00DB2B68" w:rsidRDefault="00000000">
      <w:pPr>
        <w:pStyle w:val="Author-eListParagraph"/>
        <w:numPr>
          <w:ilvl w:val="0"/>
          <w:numId w:val="943"/>
        </w:numPr>
        <w:jc w:val="both"/>
      </w:pPr>
      <w:r>
        <w:t xml:space="preserve">Type de traitement : </w:t>
      </w:r>
      <w:r>
        <w:rPr>
          <w:rStyle w:val="optioncarChar"/>
        </w:rPr>
        <w:t>anti UV</w:t>
      </w:r>
      <w:r>
        <w:t xml:space="preserve"> (par défaut)</w:t>
      </w:r>
      <w:r>
        <w:rPr>
          <w:rStyle w:val="optioncarChar"/>
        </w:rPr>
        <w:t xml:space="preserve"> / lasure / verni / peinture / huile / céruse</w:t>
      </w:r>
    </w:p>
    <w:p w14:paraId="3194C984" w14:textId="77777777" w:rsidR="00DB2B68" w:rsidRDefault="00000000">
      <w:pPr>
        <w:pStyle w:val="Author-eListParagraph"/>
        <w:numPr>
          <w:ilvl w:val="0"/>
          <w:numId w:val="943"/>
        </w:numPr>
        <w:jc w:val="both"/>
      </w:pPr>
      <w:r>
        <w:t xml:space="preserve">Teinte : </w:t>
      </w:r>
      <w:r>
        <w:rPr>
          <w:rStyle w:val="optioncarChar"/>
        </w:rPr>
        <w:t>transparent</w:t>
      </w:r>
      <w:r>
        <w:t xml:space="preserve"> (par défaut)</w:t>
      </w:r>
      <w:r>
        <w:rPr>
          <w:rStyle w:val="optioncarChar"/>
        </w:rPr>
        <w:t xml:space="preserve"> / pigmenté blanchâtre / transparent / blanc / RAL : ***</w:t>
      </w:r>
    </w:p>
    <w:p w14:paraId="3403A359" w14:textId="77777777" w:rsidR="00DB2B68" w:rsidRDefault="00000000">
      <w:pPr>
        <w:pStyle w:val="pheading"/>
      </w:pPr>
      <w:r>
        <w:lastRenderedPageBreak/>
        <w:t>EXÉCUTION / MISE EN ŒUVRE</w:t>
      </w:r>
    </w:p>
    <w:p w14:paraId="0A9E515F" w14:textId="77777777" w:rsidR="00DB2B68" w:rsidRDefault="00000000">
      <w:pPr>
        <w:pStyle w:val="pheading"/>
      </w:pPr>
      <w:r>
        <w:t>- Prescriptions générales</w:t>
      </w:r>
    </w:p>
    <w:p w14:paraId="76A45A49" w14:textId="77777777" w:rsidR="00DB2B68" w:rsidRDefault="00000000">
      <w:pPr>
        <w:jc w:val="both"/>
      </w:pPr>
      <w:r>
        <w:rPr>
          <w:b/>
        </w:rPr>
        <w:t>Etude</w:t>
      </w:r>
    </w:p>
    <w:p w14:paraId="1A28AC3E" w14:textId="77777777" w:rsidR="00DB2B68" w:rsidRDefault="00000000">
      <w:pPr>
        <w:jc w:val="both"/>
      </w:pPr>
      <w:r>
        <w:t xml:space="preserve">Choix opéré, conformément aux prescriptions du </w:t>
      </w:r>
      <w:hyperlink w:anchor="603" w:history="1">
        <w:r>
          <w:rPr>
            <w:color w:val="0000EE"/>
          </w:rP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 </w:t>
      </w:r>
    </w:p>
    <w:p w14:paraId="2564749B" w14:textId="77777777" w:rsidR="00DB2B68" w:rsidRDefault="00000000">
      <w:pPr>
        <w:jc w:val="both"/>
      </w:pPr>
      <w:r>
        <w:rPr>
          <w:b/>
        </w:rPr>
        <w:t>Mise en œuvre</w:t>
      </w:r>
    </w:p>
    <w:p w14:paraId="19DA2CFC" w14:textId="77777777" w:rsidR="00DB2B68" w:rsidRDefault="00000000">
      <w:pPr>
        <w:jc w:val="both"/>
      </w:pPr>
      <w:r>
        <w:t xml:space="preserve">Les planchers sont posés conformément aux prescriptions du </w:t>
      </w:r>
      <w:hyperlink w:anchor="603" w:history="1">
        <w:r>
          <w:rPr>
            <w:color w:val="0000EE"/>
          </w:rPr>
          <w:t>24.22.2 Planchers en bois préfabriqués</w:t>
        </w:r>
      </w:hyperlink>
      <w:r>
        <w:t xml:space="preserve"> : </w:t>
      </w:r>
      <w:r>
        <w:rPr>
          <w:rStyle w:val="optioncarChar"/>
        </w:rPr>
        <w:t>sur des muralières en bois</w:t>
      </w:r>
      <w:r>
        <w:t xml:space="preserve"> (par défaut)</w:t>
      </w:r>
      <w:r>
        <w:rPr>
          <w:rStyle w:val="optioncarChar"/>
        </w:rPr>
        <w:t xml:space="preserve"> / sur des profilés métalliques apparents / dans des profilés métalliques cachés / sur les têtes des murs</w:t>
      </w:r>
    </w:p>
    <w:p w14:paraId="61FC8EBF" w14:textId="77777777" w:rsidR="00DB2B68" w:rsidRDefault="00000000">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30FD0F01" w14:textId="77777777" w:rsidR="00DB2B68" w:rsidRDefault="00000000">
      <w:pPr>
        <w:jc w:val="both"/>
      </w:pPr>
      <w:r>
        <w:rPr>
          <w:b/>
        </w:rPr>
        <w:t>Pare-vapeur/Frein-vapeur et étanchéité à l’air</w:t>
      </w:r>
    </w:p>
    <w:p w14:paraId="77355621" w14:textId="77777777" w:rsidR="00DB2B68" w:rsidRDefault="00000000">
      <w:pPr>
        <w:jc w:val="both"/>
      </w:pPr>
      <w:r>
        <w:t>La vérification du bon fonctionnement contre les migrations d’humidité est réalisée par un bureau d’étude au moyen d’un logiciel de simulation dynamique. Cette simulation est comprise dans l’étude.</w:t>
      </w:r>
    </w:p>
    <w:p w14:paraId="543615BD" w14:textId="77777777" w:rsidR="00DB2B68" w:rsidRDefault="00000000">
      <w:pPr>
        <w:jc w:val="both"/>
      </w:pPr>
      <w:r>
        <w:t xml:space="preserve">L’étanchéité à l’air entre caissons est assurée : </w:t>
      </w:r>
      <w:r>
        <w:rPr>
          <w:rStyle w:val="optioncarChar"/>
        </w:rPr>
        <w:t xml:space="preserve">pas d’application </w:t>
      </w:r>
      <w:r>
        <w:t>(par défaut)</w:t>
      </w:r>
      <w:r>
        <w:rPr>
          <w:rStyle w:val="optioncarChar"/>
        </w:rPr>
        <w:t xml:space="preserve"> / par bandes d’étanchéité dans l’épaisseur des panneaux.</w:t>
      </w:r>
    </w:p>
    <w:p w14:paraId="39ECE746" w14:textId="77777777" w:rsidR="00DB2B68" w:rsidRDefault="00000000">
      <w:pPr>
        <w:jc w:val="both"/>
      </w:pPr>
      <w:r>
        <w:t>Des remplisseurs de joint sont placés sous les languettes au droit des parois, pour fermer les vides. </w:t>
      </w:r>
    </w:p>
    <w:p w14:paraId="50714CAF" w14:textId="77777777" w:rsidR="00DB2B68" w:rsidRDefault="00000000">
      <w:pPr>
        <w:jc w:val="both"/>
      </w:pPr>
      <w:r>
        <w:rPr>
          <w:b/>
        </w:rPr>
        <w:t>Préparation des techniques spéciales : HVAC - Sanitaires - Electricité</w:t>
      </w:r>
    </w:p>
    <w:p w14:paraId="2597B0C4" w14:textId="77777777" w:rsidR="00DB2B68"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3" w:history="1">
        <w:r>
          <w:rPr>
            <w:color w:val="0000EE"/>
          </w:rPr>
          <w:t>24.22.2 Planchers en bois préfabriqués</w:t>
        </w:r>
      </w:hyperlink>
      <w:r>
        <w:t xml:space="preserve"> : </w:t>
      </w:r>
      <w:r>
        <w:rPr>
          <w:rStyle w:val="optioncarChar"/>
        </w:rPr>
        <w:t>non </w:t>
      </w:r>
      <w:r>
        <w:t>(par défaut)</w:t>
      </w:r>
      <w:r>
        <w:rPr>
          <w:rStyle w:val="optioncarChar"/>
        </w:rPr>
        <w:t> / oui</w:t>
      </w:r>
    </w:p>
    <w:p w14:paraId="476504DA" w14:textId="77777777" w:rsidR="00DB2B68" w:rsidRDefault="00000000">
      <w:pPr>
        <w:pStyle w:val="pheading"/>
      </w:pPr>
      <w:r>
        <w:t>DOCUMENTS DE RÉFÉRENCE COMPLÉMENTAIRES</w:t>
      </w:r>
    </w:p>
    <w:p w14:paraId="0977FB23" w14:textId="77777777" w:rsidR="00DB2B68" w:rsidRDefault="00000000">
      <w:pPr>
        <w:pStyle w:val="pheading"/>
      </w:pPr>
      <w:r>
        <w:t>- Matériau</w:t>
      </w:r>
    </w:p>
    <w:p w14:paraId="5AEA1C52" w14:textId="77777777" w:rsidR="00DB2B68" w:rsidRDefault="00000000">
      <w:r>
        <w:t>[NBN EN 15425, Adhésifs - Adhésifs polyuréthane monocomposants (PUR) pour structures portantes en bois - Classification et exigences de performance]</w:t>
      </w:r>
    </w:p>
    <w:p w14:paraId="624D4EE1" w14:textId="77777777" w:rsidR="00DB2B68" w:rsidRDefault="00000000">
      <w:r>
        <w:t>[NBN EN 302-2, Adhésifs pour structures portantes en bois - Méthodes d'essais - Partie 2 : Détermination de la résistance à la délamination]</w:t>
      </w:r>
    </w:p>
    <w:p w14:paraId="4AD7E674" w14:textId="77777777" w:rsidR="00DB2B68" w:rsidRDefault="00000000">
      <w:r>
        <w:t>[NBN EN 301, Adhésifs de nature phénolique et aminoplaste, pour structures portantes en bois - Classification et exigences de performance]</w:t>
      </w:r>
    </w:p>
    <w:p w14:paraId="57B0CC60" w14:textId="77777777" w:rsidR="00DB2B68" w:rsidRDefault="00000000">
      <w:r>
        <w:t>[NBN EN ISO 11654, Acoustique - Absorbants pour l'utilisation dans les bâtiments - Evaluation de l'absorption acoustique (ISO 11654:1997)]</w:t>
      </w:r>
    </w:p>
    <w:p w14:paraId="349D6FB8"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16D3AE74" w14:textId="77777777" w:rsidR="00DB2B68" w:rsidRDefault="00000000">
      <w:r>
        <w:t>[NBN EN ISO 10456, Matériaux et produits pour le bâtiment - Propriétés hygrothermiques - Valeurs utiles tabulées et procédures pour la détermination des valeurs thermiques déclarées et utiles (ISO 10456:2007)) (+AC:2009)]</w:t>
      </w:r>
    </w:p>
    <w:p w14:paraId="51D84BFE" w14:textId="77777777" w:rsidR="00DB2B68" w:rsidRDefault="00000000">
      <w:pPr>
        <w:pStyle w:val="pheading"/>
      </w:pPr>
      <w:r>
        <w:t>MESURAGE</w:t>
      </w:r>
    </w:p>
    <w:p w14:paraId="71E81D6C" w14:textId="77777777" w:rsidR="00DB2B68" w:rsidRDefault="00000000">
      <w:pPr>
        <w:pStyle w:val="pheading"/>
      </w:pPr>
      <w:r>
        <w:t>- unité de mesure:</w:t>
      </w:r>
    </w:p>
    <w:p w14:paraId="70BDA361" w14:textId="77777777" w:rsidR="00DB2B68" w:rsidRDefault="00000000">
      <w:r>
        <w:t>1.2. m²</w:t>
      </w:r>
    </w:p>
    <w:p w14:paraId="3631B6DA" w14:textId="77777777" w:rsidR="00DB2B68" w:rsidRDefault="00000000">
      <w:pPr>
        <w:pStyle w:val="pheading"/>
      </w:pPr>
      <w:r>
        <w:t>- code de mesurage:</w:t>
      </w:r>
    </w:p>
    <w:p w14:paraId="2C40915A" w14:textId="77777777" w:rsidR="00DB2B68" w:rsidRDefault="00000000">
      <w:pPr>
        <w:jc w:val="both"/>
      </w:pPr>
      <w:r>
        <w:rPr>
          <w:rStyle w:val="optioncarChar"/>
        </w:rPr>
        <w:t>Surface nette</w:t>
      </w:r>
      <w:r>
        <w:t xml:space="preserve"> (par défaut)</w:t>
      </w:r>
      <w:r>
        <w:rPr>
          <w:rStyle w:val="optioncarChar"/>
        </w:rPr>
        <w:t xml:space="preserve"> / Surface utile</w:t>
      </w:r>
    </w:p>
    <w:p w14:paraId="44150076" w14:textId="77777777" w:rsidR="00DB2B68" w:rsidRDefault="00000000">
      <w:pPr>
        <w:jc w:val="both"/>
      </w:pPr>
      <w:r>
        <w:rPr>
          <w:b/>
        </w:rPr>
        <w:t>(soit par défaut)</w:t>
      </w:r>
    </w:p>
    <w:p w14:paraId="74BF95BE" w14:textId="77777777" w:rsidR="00DB2B68" w:rsidRDefault="00000000">
      <w:pPr>
        <w:jc w:val="both"/>
      </w:pPr>
      <w:r>
        <w:rPr>
          <w:rStyle w:val="soitChar"/>
        </w:rPr>
        <w:lastRenderedPageBreak/>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74E082EC" w14:textId="77777777" w:rsidR="00DB2B68" w:rsidRDefault="00000000">
      <w:pPr>
        <w:jc w:val="both"/>
      </w:pPr>
      <w:r>
        <w:rPr>
          <w:b/>
        </w:rPr>
        <w:t>(soit)</w:t>
      </w:r>
    </w:p>
    <w:p w14:paraId="640B7CF6" w14:textId="77777777" w:rsidR="00DB2B68"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27C5D27E" w14:textId="77777777" w:rsidR="00DB2B68" w:rsidRDefault="00000000">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 et/ou pénétrant dans les murs intérieurs sont comptées avec le plancher sur toute l'épaisseur du mur et sont, par conséquent, déduites des murs intérieurs. Les vides, et percements supérieurs à 0,5 m² sont déduits.</w:t>
      </w:r>
    </w:p>
    <w:p w14:paraId="6B28FF8A" w14:textId="77777777" w:rsidR="00DB2B68" w:rsidRDefault="00000000">
      <w:pPr>
        <w:pStyle w:val="pheading"/>
      </w:pPr>
      <w:r>
        <w:t>- nature du marché:</w:t>
      </w:r>
    </w:p>
    <w:p w14:paraId="1EE0542F" w14:textId="77777777" w:rsidR="00DB2B68" w:rsidRDefault="00000000">
      <w:r>
        <w:t>1.2. QF</w:t>
      </w:r>
    </w:p>
    <w:p w14:paraId="1F0A5D14" w14:textId="77777777" w:rsidR="00DB2B68" w:rsidRDefault="00000000">
      <w:pPr>
        <w:pStyle w:val="Author-eSectionHeading6Numberless"/>
      </w:pPr>
      <w:bookmarkStart w:id="1675" w:name="_Toc220496659"/>
      <w:r>
        <w:t>24.22.2f Planchers à caissons faits de LVL préfabriqués CCTB 01.07</w:t>
      </w:r>
      <w:bookmarkEnd w:id="1675"/>
    </w:p>
    <w:p w14:paraId="6BA17F1C" w14:textId="77777777" w:rsidR="00DB2B68" w:rsidRDefault="00000000">
      <w:pPr>
        <w:pStyle w:val="Author-eSectionHeading6Numberless"/>
      </w:pPr>
      <w:bookmarkStart w:id="1676" w:name="_Toc220496660"/>
      <w:r>
        <w:t>24.22.2g Planchers en CLT nervuré préfabriqués  CCTB 01.07</w:t>
      </w:r>
      <w:bookmarkEnd w:id="1676"/>
    </w:p>
    <w:p w14:paraId="2D9653E1" w14:textId="77777777" w:rsidR="00DB2B68" w:rsidRDefault="00000000">
      <w:pPr>
        <w:pStyle w:val="Author-eSectionHeading6Numberless"/>
      </w:pPr>
      <w:bookmarkStart w:id="1677" w:name="_Toc220496661"/>
      <w:r>
        <w:t>24.22.2h Planchers mixtes bois-béton préfabriqués CCTB 01.10</w:t>
      </w:r>
      <w:bookmarkEnd w:id="1677"/>
    </w:p>
    <w:p w14:paraId="7B1C9834" w14:textId="77777777" w:rsidR="00DB2B68" w:rsidRDefault="00000000">
      <w:pPr>
        <w:pStyle w:val="Author-eSectionHeading4Numberless"/>
      </w:pPr>
      <w:bookmarkStart w:id="1678" w:name="_Toc220496662"/>
      <w:r>
        <w:t>24.23 Systèmes de toiture en bois CCTB 01.11</w:t>
      </w:r>
      <w:bookmarkEnd w:id="1678"/>
    </w:p>
    <w:p w14:paraId="13080F4F" w14:textId="77777777" w:rsidR="00DB2B68" w:rsidRDefault="00000000">
      <w:pPr>
        <w:pStyle w:val="pheading"/>
      </w:pPr>
      <w:bookmarkStart w:id="1679" w:name="618"/>
      <w:bookmarkEnd w:id="1679"/>
      <w:r>
        <w:t>EXÉCUTION / MISE EN ŒUVRE</w:t>
      </w:r>
    </w:p>
    <w:p w14:paraId="37400C76" w14:textId="77777777" w:rsidR="00DB2B68" w:rsidRDefault="00000000">
      <w:pPr>
        <w:jc w:val="both"/>
      </w:pPr>
      <w:r>
        <w:rPr>
          <w:b/>
        </w:rPr>
        <w:t>Préparation des techniques spéciales : HVAC - Sanitaires - Electricité</w:t>
      </w:r>
    </w:p>
    <w:p w14:paraId="2F2ADEA3" w14:textId="77777777" w:rsidR="00DB2B68" w:rsidRDefault="00000000">
      <w:pPr>
        <w:jc w:val="both"/>
      </w:pPr>
      <w:r>
        <w:t>Les travaux comprennent éventuellement (voir dans les articles) la préparation dans les planchers de forages, défonçage (fraisage), etc., et la pose de fourreaux d’attente nécessaires aux travaux des installations HVAC, sanitaires et électriques. L’entrepreneur veille à consulter et se coordonner avec les entrepreneurs des tomes  6 T6 HVAC - sanitaires  et 7 T7 Electricité. </w:t>
      </w:r>
    </w:p>
    <w:p w14:paraId="1AABEFE7" w14:textId="77777777" w:rsidR="00DB2B68" w:rsidRDefault="00000000">
      <w:pPr>
        <w:pStyle w:val="Author-eSectionHeading5Numberless"/>
      </w:pPr>
      <w:bookmarkStart w:id="1680" w:name="_Toc220496663"/>
      <w:r>
        <w:t>24.23.1 Systèmes de toiture en bois assemblés sur place CCTB 01.07</w:t>
      </w:r>
      <w:bookmarkEnd w:id="1680"/>
    </w:p>
    <w:p w14:paraId="511F3ED8" w14:textId="77777777" w:rsidR="00DB2B68" w:rsidRDefault="00000000">
      <w:pPr>
        <w:pStyle w:val="Author-eSectionHeading6Numberless"/>
      </w:pPr>
      <w:bookmarkStart w:id="1681" w:name="_Toc220496664"/>
      <w:r>
        <w:t>24.23.1a Systèmes de toiture ossatures bois assemblés sur place CCTB 01.07</w:t>
      </w:r>
      <w:bookmarkEnd w:id="1681"/>
    </w:p>
    <w:p w14:paraId="36BABAB6" w14:textId="77777777" w:rsidR="00DB2B68" w:rsidRDefault="00000000">
      <w:pPr>
        <w:pStyle w:val="pheading"/>
      </w:pPr>
      <w:r>
        <w:t>EXÉCUTION / MISE EN ŒUVRE</w:t>
      </w:r>
    </w:p>
    <w:p w14:paraId="3499B494" w14:textId="77777777" w:rsidR="00DB2B68" w:rsidRDefault="00000000">
      <w:pPr>
        <w:pStyle w:val="pheading"/>
      </w:pPr>
      <w:r>
        <w:t>- Notes d’exécution complémentaires</w:t>
      </w:r>
    </w:p>
    <w:p w14:paraId="07B17127" w14:textId="77777777" w:rsidR="00DB2B68" w:rsidRDefault="00DB2B68"/>
    <w:p w14:paraId="3D4EA169" w14:textId="77777777" w:rsidR="00DB2B68" w:rsidRDefault="00000000">
      <w:r>
        <w:br/>
      </w:r>
    </w:p>
    <w:p w14:paraId="0C93147C" w14:textId="77777777" w:rsidR="00DB2B68" w:rsidRDefault="00000000">
      <w:pPr>
        <w:pStyle w:val="Author-eSectionHeading5Numberless"/>
      </w:pPr>
      <w:bookmarkStart w:id="1682" w:name="_Toc220496665"/>
      <w:r>
        <w:t>24.23.2 Systèmes de toiture en bois préfabriqués CCTB 01.07</w:t>
      </w:r>
      <w:bookmarkEnd w:id="1682"/>
    </w:p>
    <w:p w14:paraId="01859CA3" w14:textId="77777777" w:rsidR="00DB2B68" w:rsidRDefault="00000000">
      <w:pPr>
        <w:pStyle w:val="Author-eSectionHeading6Numberless"/>
      </w:pPr>
      <w:bookmarkStart w:id="1683" w:name="_Toc220496666"/>
      <w:r>
        <w:t>24.23.2a Systèmes de toiture ossature bois préfabriqués CCTB 01.07</w:t>
      </w:r>
      <w:bookmarkEnd w:id="1683"/>
    </w:p>
    <w:p w14:paraId="7DD6C68B" w14:textId="77777777" w:rsidR="00DB2B68" w:rsidRDefault="00000000">
      <w:pPr>
        <w:pStyle w:val="Author-eSectionHeading6Numberless"/>
      </w:pPr>
      <w:bookmarkStart w:id="1684" w:name="_Toc220496667"/>
      <w:r>
        <w:t>24.23.2b Systèmes de toiture en CLT préfabriqués collés CCTB 01.11</w:t>
      </w:r>
      <w:bookmarkEnd w:id="1684"/>
    </w:p>
    <w:p w14:paraId="338BBE94" w14:textId="77777777" w:rsidR="00DB2B68" w:rsidRDefault="00000000">
      <w:pPr>
        <w:pStyle w:val="pheading"/>
      </w:pPr>
      <w:r>
        <w:t>DESCRIPTION</w:t>
      </w:r>
    </w:p>
    <w:p w14:paraId="131B115B" w14:textId="77777777" w:rsidR="00DB2B68" w:rsidRDefault="00000000">
      <w:pPr>
        <w:pStyle w:val="pheading"/>
      </w:pPr>
      <w:r>
        <w:t>- Définition / Comprend</w:t>
      </w:r>
    </w:p>
    <w:p w14:paraId="10757E84" w14:textId="77777777" w:rsidR="00DB2B68" w:rsidRDefault="00000000">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0683591C" w14:textId="77777777" w:rsidR="00DB2B68" w:rsidRDefault="00000000">
      <w:pPr>
        <w:jc w:val="both"/>
      </w:pPr>
      <w:r>
        <w:t>Les panneaux s’appliquant aux classes de service 1 ou 2 (selon la [NBN EN 1995-1-1]) constitués d’au moins 3 couches d’essences résineuses ou en peuplier dont les couches ont une épaisseur nominale entre 6 et 47 mm et d’épaisseur totale jusqu’à 500 mm sont couverts par la norme  produit [NBN EN 16351].</w:t>
      </w:r>
    </w:p>
    <w:p w14:paraId="77FE41C3" w14:textId="77777777" w:rsidR="00DB2B68" w:rsidRDefault="00000000">
      <w:pPr>
        <w:pStyle w:val="pheading"/>
      </w:pPr>
      <w:r>
        <w:lastRenderedPageBreak/>
        <w:t>- Localisation</w:t>
      </w:r>
    </w:p>
    <w:p w14:paraId="702DD7B0" w14:textId="77777777" w:rsidR="00DB2B68" w:rsidRDefault="00000000">
      <w:r>
        <w:t xml:space="preserve">Localisation des travaux : </w:t>
      </w:r>
      <w:r>
        <w:rPr>
          <w:rStyle w:val="optioncarChar"/>
        </w:rPr>
        <w:t>***</w:t>
      </w:r>
      <w:r>
        <w:t>.</w:t>
      </w:r>
    </w:p>
    <w:p w14:paraId="29B872E6" w14:textId="77777777" w:rsidR="00DB2B68" w:rsidRDefault="00000000">
      <w:r>
        <w:t>Voir plans et métrés détaillés.</w:t>
      </w:r>
    </w:p>
    <w:p w14:paraId="241CB40E" w14:textId="77777777" w:rsidR="00DB2B68" w:rsidRDefault="00000000">
      <w:pPr>
        <w:pStyle w:val="pheading"/>
      </w:pPr>
      <w:r>
        <w:t>MATÉRIAUX</w:t>
      </w:r>
    </w:p>
    <w:p w14:paraId="7C343009" w14:textId="77777777" w:rsidR="00DB2B68" w:rsidRDefault="00000000">
      <w:pPr>
        <w:pStyle w:val="pheading"/>
      </w:pPr>
      <w:r>
        <w:t>- Caractéristiques générales</w:t>
      </w:r>
    </w:p>
    <w:p w14:paraId="7923B6E3" w14:textId="77777777" w:rsidR="00DB2B68" w:rsidRDefault="00000000">
      <w:pPr>
        <w:jc w:val="both"/>
      </w:pPr>
      <w:r>
        <w:t xml:space="preserve">Épaisseur totale du panneau CLT : </w:t>
      </w:r>
      <w:r>
        <w:rPr>
          <w:rStyle w:val="optioncarChar"/>
        </w:rPr>
        <w:t>***</w:t>
      </w:r>
      <w:r>
        <w:t xml:space="preserve"> mm.</w:t>
      </w:r>
    </w:p>
    <w:p w14:paraId="6A2C18C6" w14:textId="77777777" w:rsidR="00DB2B68" w:rsidRDefault="00000000">
      <w:pPr>
        <w:jc w:val="both"/>
      </w:pPr>
      <w:r>
        <w:t xml:space="preserve">Les essences de bois composant les lames des panneaux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Mélèzes (Larix spp) / Peupliers (Populus spp) / Pin maritime (Pinus pinaster, PNPN) / Hêtre / ***</w:t>
      </w:r>
      <w:r>
        <w:t>.</w:t>
      </w:r>
    </w:p>
    <w:p w14:paraId="38BF5CF1" w14:textId="77777777" w:rsidR="00DB2B68" w:rsidRDefault="00000000">
      <w:pPr>
        <w:jc w:val="both"/>
      </w:pPr>
      <w:r>
        <w:t xml:space="preserve">Classe de résistance : </w:t>
      </w:r>
      <w:r>
        <w:rPr>
          <w:rStyle w:val="optioncarChar"/>
        </w:rPr>
        <w:t>C18</w:t>
      </w:r>
      <w:r>
        <w:t> (par défaut)</w:t>
      </w:r>
      <w:r>
        <w:rPr>
          <w:rStyle w:val="optioncarChar"/>
        </w:rPr>
        <w:t xml:space="preserve"> / D18 / C24 / D24 / C30 / D30 / ***</w:t>
      </w:r>
      <w:r>
        <w:t>.</w:t>
      </w:r>
    </w:p>
    <w:p w14:paraId="205D4A71" w14:textId="77777777" w:rsidR="00DB2B68" w:rsidRDefault="00000000">
      <w:pPr>
        <w:jc w:val="both"/>
      </w:pPr>
      <w:r>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p>
    <w:p w14:paraId="35FD9011" w14:textId="77777777" w:rsidR="00DB2B68" w:rsidRDefault="00000000">
      <w:pPr>
        <w:jc w:val="both"/>
      </w:pPr>
      <w:r>
        <w:t xml:space="preserve">L’épaisseur des lames </w:t>
      </w:r>
      <w:r>
        <w:rPr>
          <w:rStyle w:val="optioncarChar"/>
        </w:rPr>
        <w:t>est</w:t>
      </w:r>
      <w:r>
        <w:t xml:space="preserve"> (par défaut) </w:t>
      </w:r>
      <w:r>
        <w:rPr>
          <w:rStyle w:val="optioncarChar"/>
        </w:rPr>
        <w:t>/ n’est pas</w:t>
      </w:r>
      <w:r>
        <w:t xml:space="preserve"> constante sur tous les plis. La composition des épaisseurs des plis est: </w:t>
      </w:r>
      <w:r>
        <w:rPr>
          <w:rStyle w:val="optioncarChar"/>
        </w:rPr>
        <w:t xml:space="preserve">30-30-30 / 30-40-30 / 40-40-40 / 20-20-20-20-20 </w:t>
      </w:r>
      <w:r>
        <w:t>(par défaut)</w:t>
      </w:r>
      <w:r>
        <w:rPr>
          <w:rStyle w:val="optioncarChar"/>
        </w:rPr>
        <w:t xml:space="preserve"> /  20-30-20-30 / 40-20-20-20-40 / ***</w:t>
      </w:r>
      <w:r>
        <w:t xml:space="preserve"> mm.</w:t>
      </w:r>
    </w:p>
    <w:p w14:paraId="5B8CACCC" w14:textId="77777777" w:rsidR="00DB2B68" w:rsidRDefault="00000000">
      <w:pPr>
        <w:jc w:val="both"/>
      </w:pPr>
      <w:r>
        <w:t xml:space="preserve">Les lames </w:t>
      </w:r>
      <w:r>
        <w:rPr>
          <w:rStyle w:val="optioncarChar"/>
        </w:rPr>
        <w:t xml:space="preserve">ne sont pas </w:t>
      </w:r>
      <w:r>
        <w:t>(par défaut)</w:t>
      </w:r>
      <w:r>
        <w:rPr>
          <w:rStyle w:val="optioncarChar"/>
        </w:rPr>
        <w:t xml:space="preserve"> /sont</w:t>
      </w:r>
      <w:r>
        <w:t xml:space="preserve"> munies de fente (rainures) de soulagement.</w:t>
      </w:r>
    </w:p>
    <w:p w14:paraId="3ECDF908" w14:textId="77777777" w:rsidR="00DB2B68" w:rsidRDefault="00000000">
      <w:pPr>
        <w:jc w:val="both"/>
      </w:pPr>
      <w:r>
        <w:t xml:space="preserve">La réaction au feu est de classe </w:t>
      </w:r>
      <w:r>
        <w:rPr>
          <w:rStyle w:val="optioncarChar"/>
        </w:rPr>
        <w:t xml:space="preserve">D-s2, d0 </w:t>
      </w:r>
      <w:r>
        <w:t>(par défaut)</w:t>
      </w:r>
      <w:r>
        <w:rPr>
          <w:rStyle w:val="optioncarChar"/>
        </w:rPr>
        <w:t xml:space="preserve"> / ***</w:t>
      </w:r>
      <w:r>
        <w:t>.</w:t>
      </w:r>
    </w:p>
    <w:p w14:paraId="7ED78976" w14:textId="77777777" w:rsidR="00DB2B68" w:rsidRDefault="00000000">
      <w:pPr>
        <w:jc w:val="both"/>
      </w:pPr>
      <w:r>
        <w:t xml:space="preserve">La résistance au feu déclarée de la paroi: </w:t>
      </w:r>
      <w:r>
        <w:rPr>
          <w:rStyle w:val="optioncarChar"/>
        </w:rPr>
        <w:t>pas d’exigences</w:t>
      </w:r>
      <w:r>
        <w:t xml:space="preserve"> (par défaut) </w:t>
      </w:r>
      <w:r>
        <w:rPr>
          <w:rStyle w:val="optioncarChar"/>
        </w:rPr>
        <w:t>/ REI 30 / EI30 / REI 60 / EI 60 / ***.</w:t>
      </w:r>
    </w:p>
    <w:p w14:paraId="2DC160BD" w14:textId="77777777" w:rsidR="00DB2B68" w:rsidRDefault="00000000">
      <w:pPr>
        <w:jc w:val="both"/>
      </w:pPr>
      <w:r>
        <w:t>L’étanchéité à l’air 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14:paraId="6EA909A6" w14:textId="77777777" w:rsidR="00DB2B68"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65E42116" w14:textId="77777777" w:rsidR="00DB2B68" w:rsidRDefault="00000000">
      <w:pPr>
        <w:jc w:val="both"/>
      </w:pPr>
      <w:r>
        <w:t>Le coefficient de résistance à la diffusion de vapeur d’eau – valeur μ pour un taux d’humidité du bois de 11 % (selon [NBN EN 12086]) : </w:t>
      </w:r>
      <w:r>
        <w:rPr>
          <w:rStyle w:val="optioncarChar"/>
        </w:rPr>
        <w:t>≥ 50</w:t>
      </w:r>
      <w:r>
        <w:t xml:space="preserve"> (par défaut) </w:t>
      </w:r>
      <w:r>
        <w:rPr>
          <w:rStyle w:val="optioncarChar"/>
        </w:rPr>
        <w:t>/ ≥ 30  / ≤ 100 / ***</w:t>
      </w:r>
      <w:r>
        <w:t>.</w:t>
      </w:r>
    </w:p>
    <w:p w14:paraId="7BD62586" w14:textId="77777777" w:rsidR="00DB2B68" w:rsidRDefault="00000000">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traitement A2.2 / bois modifié thermiquement / bois hors aubier / ***</w:t>
      </w:r>
      <w:r>
        <w:t>.</w:t>
      </w:r>
    </w:p>
    <w:p w14:paraId="616A9265" w14:textId="77777777" w:rsidR="00DB2B68" w:rsidRDefault="00000000">
      <w:pPr>
        <w:jc w:val="both"/>
      </w:pPr>
      <w:r>
        <w:t> </w:t>
      </w:r>
    </w:p>
    <w:p w14:paraId="507F0B53" w14:textId="77777777" w:rsidR="00DB2B68" w:rsidRDefault="00000000">
      <w:pPr>
        <w:jc w:val="both"/>
      </w:pPr>
      <w:r>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14:paraId="34E258CD" w14:textId="77777777" w:rsidR="00DB2B68" w:rsidRDefault="00000000">
      <w:pPr>
        <w:ind w:left="567"/>
        <w:jc w:val="both"/>
      </w:pPr>
      <w:r>
        <w:rPr>
          <w:b/>
          <w:i/>
        </w:rPr>
        <w:t>(Soit par défaut)</w:t>
      </w:r>
    </w:p>
    <w:p w14:paraId="6A758EA8" w14:textId="77777777" w:rsidR="00DB2B68" w:rsidRDefault="00000000">
      <w:pPr>
        <w:ind w:left="567"/>
        <w:jc w:val="both"/>
      </w:pPr>
      <w:r>
        <w:rPr>
          <w:rStyle w:val="soitChar"/>
          <w:u w:val="single"/>
        </w:rPr>
        <w:t>Les spécifications du fabricant</w:t>
      </w:r>
    </w:p>
    <w:p w14:paraId="3AEEA93C" w14:textId="77777777" w:rsidR="00DB2B68" w:rsidRDefault="00000000">
      <w:pPr>
        <w:ind w:left="567"/>
        <w:jc w:val="both"/>
      </w:pPr>
      <w:r>
        <w:rPr>
          <w:b/>
          <w:i/>
        </w:rPr>
        <w:t>(Soit)</w:t>
      </w:r>
    </w:p>
    <w:p w14:paraId="70DF3358" w14:textId="77777777" w:rsidR="00DB2B68" w:rsidRDefault="00000000">
      <w:pPr>
        <w:ind w:left="567"/>
        <w:jc w:val="both"/>
      </w:pPr>
      <w:r>
        <w:rPr>
          <w:rStyle w:val="soitChar"/>
          <w:u w:val="single"/>
        </w:rPr>
        <w:t>PUR :</w:t>
      </w:r>
      <w:r>
        <w:rPr>
          <w:rStyle w:val="soitChar"/>
        </w:rPr>
        <w:t xml:space="preserve">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3DC19AEC" w14:textId="77777777" w:rsidR="00DB2B68" w:rsidRDefault="00000000">
      <w:pPr>
        <w:ind w:left="567"/>
        <w:jc w:val="both"/>
      </w:pPr>
      <w:r>
        <w:rPr>
          <w:b/>
          <w:i/>
        </w:rPr>
        <w:t>(Soit)</w:t>
      </w:r>
    </w:p>
    <w:p w14:paraId="47613590" w14:textId="77777777" w:rsidR="00DB2B68" w:rsidRDefault="00000000">
      <w:pPr>
        <w:ind w:left="567"/>
        <w:jc w:val="both"/>
      </w:pPr>
      <w:r>
        <w:rPr>
          <w:rStyle w:val="soitChar"/>
          <w:u w:val="single"/>
        </w:rPr>
        <w:t>MF, MUF, PRF, UF :</w:t>
      </w:r>
      <w:r>
        <w:rPr>
          <w:rStyle w:val="soitChar"/>
        </w:rPr>
        <w:t xml:space="preserve"> Les caractéristiques des collages des adhésifs de nature phénolique et aminoplaste sont déterminées conformément à la [NBN EN 302-6] et satisfont aux exigences conformes à la [NBN EN 301].</w:t>
      </w:r>
    </w:p>
    <w:p w14:paraId="7750A961" w14:textId="77777777" w:rsidR="00DB2B68" w:rsidRDefault="00000000">
      <w:pPr>
        <w:ind w:left="567"/>
        <w:jc w:val="both"/>
      </w:pPr>
      <w:r>
        <w:rPr>
          <w:b/>
          <w:i/>
        </w:rPr>
        <w:lastRenderedPageBreak/>
        <w:t>(Soit)</w:t>
      </w:r>
    </w:p>
    <w:p w14:paraId="6C7EE6CC" w14:textId="77777777" w:rsidR="00DB2B68" w:rsidRDefault="00000000">
      <w:pPr>
        <w:ind w:left="567"/>
        <w:jc w:val="both"/>
      </w:pPr>
      <w:r>
        <w:rPr>
          <w:rStyle w:val="soitChar"/>
          <w:u w:val="single"/>
        </w:rPr>
        <w:t>EPI :</w:t>
      </w:r>
      <w:r>
        <w:rPr>
          <w:rStyle w:val="soitChar"/>
        </w:rPr>
        <w:t xml:space="preserve"> Les adhésifs à base d’isocyanate et de polymère en émulsion satisfont aux exigences de la [NBN EN 15425].</w:t>
      </w:r>
    </w:p>
    <w:p w14:paraId="5B6903FD" w14:textId="77777777" w:rsidR="00DB2B68" w:rsidRDefault="00000000">
      <w:pPr>
        <w:jc w:val="both"/>
      </w:pPr>
      <w:r>
        <w:t> </w:t>
      </w:r>
    </w:p>
    <w:p w14:paraId="66CADFB1" w14:textId="77777777" w:rsidR="00DB2B68" w:rsidRDefault="00000000">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0FF480E4" w14:textId="77777777" w:rsidR="00DB2B68"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32015A69" w14:textId="77777777" w:rsidR="00DB2B68" w:rsidRDefault="00000000">
      <w:pPr>
        <w:jc w:val="both"/>
      </w:pPr>
      <w:r>
        <w:t xml:space="preserve">Les rainures et chant des lamelles </w:t>
      </w:r>
      <w:r>
        <w:rPr>
          <w:rStyle w:val="optioncarChar"/>
        </w:rPr>
        <w:t>ne sont pas</w:t>
      </w:r>
      <w:r>
        <w:t xml:space="preserve"> (par défaut) </w:t>
      </w:r>
      <w:r>
        <w:rPr>
          <w:rStyle w:val="optioncarChar"/>
        </w:rPr>
        <w:t>/ sont</w:t>
      </w:r>
      <w:r>
        <w:t xml:space="preserve"> collées.</w:t>
      </w:r>
    </w:p>
    <w:p w14:paraId="78F62EBB" w14:textId="77777777" w:rsidR="00DB2B68" w:rsidRDefault="00000000">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14:paraId="176BABCE" w14:textId="77777777" w:rsidR="00DB2B68" w:rsidRDefault="00000000">
      <w:pPr>
        <w:jc w:val="both"/>
      </w:pPr>
      <w:r>
        <w:t>La résistance du collage des aboutages est conforme à la [NBN EN 16351] annexe B et est vérifiée par essais de flexion conformes à la [NBN EN 16351] §5.2.</w:t>
      </w:r>
    </w:p>
    <w:p w14:paraId="18AAB8A8" w14:textId="77777777" w:rsidR="00DB2B68" w:rsidRDefault="00000000">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687ACF0F" w14:textId="77777777" w:rsidR="00DB2B68" w:rsidRDefault="00000000">
      <w:pPr>
        <w:pStyle w:val="pheading"/>
      </w:pPr>
      <w:r>
        <w:t>- Finitions</w:t>
      </w:r>
    </w:p>
    <w:p w14:paraId="4A665DF9" w14:textId="77777777" w:rsidR="00DB2B68" w:rsidRDefault="00000000">
      <w:pPr>
        <w:jc w:val="both"/>
      </w:pPr>
      <w:r>
        <w:t xml:space="preserve">Exigences d’aspect : </w:t>
      </w:r>
      <w:r>
        <w:rPr>
          <w:rStyle w:val="optioncarChar"/>
        </w:rPr>
        <w:t xml:space="preserve">non-visible / visible industriel / visible habitat sur 1 </w:t>
      </w:r>
      <w:r>
        <w:t>(par défaut)</w:t>
      </w:r>
      <w:r>
        <w:rPr>
          <w:rStyle w:val="optioncarChar"/>
        </w:rPr>
        <w:t xml:space="preserve"> / 2 face(s) / ***</w:t>
      </w:r>
      <w:r>
        <w:t>.</w:t>
      </w:r>
    </w:p>
    <w:p w14:paraId="542FE608" w14:textId="77777777" w:rsidR="00DB2B68"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4C98B32C" w14:textId="77777777" w:rsidR="00DB2B68" w:rsidRDefault="00000000">
      <w:pPr>
        <w:pStyle w:val="pheading"/>
      </w:pPr>
      <w:r>
        <w:t>- Prescriptions complémentaires</w:t>
      </w:r>
    </w:p>
    <w:p w14:paraId="191E78E7" w14:textId="77777777" w:rsidR="00DB2B68" w:rsidRDefault="00000000">
      <w:r>
        <w:rPr>
          <w:rStyle w:val="facultChar"/>
        </w:rPr>
        <w:t>Capacité thermique</w:t>
      </w:r>
      <w:r>
        <w:t xml:space="preserve"> :   </w:t>
      </w:r>
      <w:r>
        <w:rPr>
          <w:rStyle w:val="optioncarChar"/>
        </w:rPr>
        <w:t>&gt; 2</w:t>
      </w:r>
      <w:r>
        <w:t xml:space="preserve"> (par défaut)</w:t>
      </w:r>
      <w:r>
        <w:rPr>
          <w:rStyle w:val="optioncarChar"/>
        </w:rPr>
        <w:t xml:space="preserve"> / ***</w:t>
      </w:r>
      <w:r>
        <w:t xml:space="preserve">   </w:t>
      </w:r>
      <w:r>
        <w:rPr>
          <w:rStyle w:val="facultChar"/>
        </w:rPr>
        <w:t>kJ/kg.K</w:t>
      </w:r>
    </w:p>
    <w:p w14:paraId="4110E832" w14:textId="77777777" w:rsidR="00DB2B68" w:rsidRDefault="00000000">
      <w:pPr>
        <w:pStyle w:val="pheading"/>
      </w:pPr>
      <w:r>
        <w:t>EXÉCUTION / MISE EN ŒUVRE</w:t>
      </w:r>
    </w:p>
    <w:p w14:paraId="40A89B6F" w14:textId="77777777" w:rsidR="00DB2B68" w:rsidRDefault="00000000">
      <w:pPr>
        <w:pStyle w:val="pheading"/>
      </w:pPr>
      <w:r>
        <w:t>- Prescriptions générales</w:t>
      </w:r>
    </w:p>
    <w:p w14:paraId="1F5FBFED" w14:textId="77777777" w:rsidR="00DB2B68"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3752AF54" w14:textId="77777777" w:rsidR="00DB2B68" w:rsidRDefault="0000000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p>
    <w:p w14:paraId="7A1D073F" w14:textId="77777777" w:rsidR="00DB2B68" w:rsidRDefault="00000000">
      <w:pPr>
        <w:jc w:val="both"/>
      </w:pPr>
      <w:r>
        <w:t> </w:t>
      </w:r>
    </w:p>
    <w:p w14:paraId="46AC0501" w14:textId="77777777" w:rsidR="00DB2B68" w:rsidRDefault="00000000">
      <w:pPr>
        <w:jc w:val="both"/>
      </w:pPr>
      <w:r>
        <w:rPr>
          <w:b/>
        </w:rPr>
        <w:t>Fixation en pied de toiture</w:t>
      </w:r>
    </w:p>
    <w:p w14:paraId="5048E0C9" w14:textId="77777777" w:rsidR="00DB2B68" w:rsidRDefault="00000000">
      <w:pPr>
        <w:jc w:val="both"/>
      </w:pPr>
      <w:r>
        <w:t xml:space="preserve">Le panneau CLT est fixé </w:t>
      </w:r>
      <w:r>
        <w:rPr>
          <w:rStyle w:val="optioncarChar"/>
        </w:rPr>
        <w:t xml:space="preserve">par l’intermédiaire d’une sablière </w:t>
      </w:r>
      <w:r>
        <w:t>(par défaut)</w:t>
      </w:r>
      <w:r>
        <w:rPr>
          <w:rStyle w:val="optioncarChar"/>
        </w:rPr>
        <w:t xml:space="preserve"> / par dispositifs d’ancrage ponctuels sur le gros œuvre existant / ***.</w:t>
      </w:r>
    </w:p>
    <w:p w14:paraId="16E46EAA" w14:textId="77777777" w:rsidR="00DB2B68" w:rsidRDefault="00000000">
      <w:pPr>
        <w:ind w:left="567"/>
        <w:jc w:val="both"/>
      </w:pPr>
      <w:r>
        <w:rPr>
          <w:b/>
          <w:i/>
        </w:rPr>
        <w:t>(Soit par défaut)</w:t>
      </w:r>
    </w:p>
    <w:p w14:paraId="54763BF5" w14:textId="77777777" w:rsidR="00DB2B68" w:rsidRDefault="00000000">
      <w:pPr>
        <w:ind w:left="567"/>
        <w:jc w:val="both"/>
      </w:pPr>
      <w:r>
        <w:rPr>
          <w:rStyle w:val="soitChar"/>
          <w:u w:val="single"/>
        </w:rPr>
        <w:t>Sablière :</w:t>
      </w:r>
      <w:r>
        <w:rPr>
          <w:rStyle w:val="soitChar"/>
        </w:rPr>
        <w:t xml:space="preserve"> La sablière est fixée par tire-fond sur le mur porteur et appliquée sur le pli central intérieur du panneau à assembler ou par fixations inclinées. Le nombre de fixations et les sections répondent au dimensionnement selon la [NBN EN 1995 série]. La sablière est décrite dans l’article </w:t>
      </w:r>
      <w:hyperlink w:anchor="605" w:history="1">
        <w:r>
          <w:rPr>
            <w:rStyle w:val="soitChar"/>
            <w:color w:val="0000EE"/>
          </w:rPr>
          <w:t>24.11.2a Sablières</w:t>
        </w:r>
      </w:hyperlink>
      <w:r>
        <w:rPr>
          <w:rStyle w:val="soitChar"/>
        </w:rPr>
        <w:t>.</w:t>
      </w:r>
    </w:p>
    <w:p w14:paraId="56E71BCA" w14:textId="77777777" w:rsidR="00DB2B68" w:rsidRDefault="00000000">
      <w:pPr>
        <w:ind w:left="567"/>
        <w:jc w:val="both"/>
      </w:pPr>
      <w:r>
        <w:rPr>
          <w:rStyle w:val="soitChar"/>
        </w:rPr>
        <w:t xml:space="preserve">L’assemblage de panneau de toiture est effectué par </w:t>
      </w:r>
      <w:r>
        <w:rPr>
          <w:rStyle w:val="optioncarChar"/>
        </w:rPr>
        <w:t xml:space="preserve">tire-fond et appliqué sur le pli central intérieur du panneau à assembler ou par fixations inclinées </w:t>
      </w:r>
      <w:r>
        <w:t>(par défaut)</w:t>
      </w:r>
      <w:r>
        <w:rPr>
          <w:rStyle w:val="optioncarChar"/>
        </w:rPr>
        <w:t xml:space="preserve"> / plats métalliques / ***</w:t>
      </w:r>
      <w:r>
        <w:rPr>
          <w:rStyle w:val="soitChar"/>
        </w:rPr>
        <w:t>. Le nombre de fixations et les sections répondent au dimensionnement selon la [NBN EN 1995 série].</w:t>
      </w:r>
    </w:p>
    <w:p w14:paraId="7B2202E6" w14:textId="77777777" w:rsidR="00DB2B68" w:rsidRDefault="0000000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14:paraId="62D62EAF" w14:textId="77777777" w:rsidR="00DB2B68" w:rsidRDefault="00000000">
      <w:pPr>
        <w:ind w:left="567"/>
        <w:jc w:val="both"/>
      </w:pPr>
      <w:r>
        <w:rPr>
          <w:b/>
          <w:i/>
        </w:rPr>
        <w:t>(Soit)</w:t>
      </w:r>
    </w:p>
    <w:p w14:paraId="4DC9D69A" w14:textId="77777777" w:rsidR="00DB2B68" w:rsidRDefault="00000000">
      <w:pPr>
        <w:ind w:left="567"/>
        <w:jc w:val="both"/>
      </w:pPr>
      <w:r>
        <w:rPr>
          <w:rStyle w:val="soitChar"/>
          <w:u w:val="single"/>
        </w:rPr>
        <w:lastRenderedPageBreak/>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les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panneau. </w:t>
      </w:r>
    </w:p>
    <w:p w14:paraId="533AA26B" w14:textId="77777777" w:rsidR="00DB2B68" w:rsidRDefault="00000000">
      <w:pPr>
        <w:ind w:left="567"/>
        <w:jc w:val="both"/>
      </w:pPr>
      <w:r>
        <w:rPr>
          <w:b/>
          <w:i/>
        </w:rPr>
        <w:t>(Soit)</w:t>
      </w:r>
    </w:p>
    <w:p w14:paraId="0B75BFDC" w14:textId="77777777" w:rsidR="00DB2B68" w:rsidRDefault="00000000">
      <w:pPr>
        <w:ind w:left="567"/>
        <w:jc w:val="both"/>
      </w:pPr>
      <w:r>
        <w:rPr>
          <w:rStyle w:val="optioncarChar"/>
        </w:rPr>
        <w:t>***</w:t>
      </w:r>
    </w:p>
    <w:p w14:paraId="3F4E1E5C" w14:textId="77777777" w:rsidR="00DB2B68" w:rsidRDefault="00000000">
      <w:pPr>
        <w:jc w:val="both"/>
      </w:pPr>
      <w:r>
        <w:t> </w:t>
      </w:r>
    </w:p>
    <w:p w14:paraId="32EF752E" w14:textId="77777777" w:rsidR="00DB2B68" w:rsidRDefault="00000000">
      <w:pPr>
        <w:jc w:val="both"/>
      </w:pPr>
      <w:r>
        <w:t xml:space="preserve">La continuité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14:paraId="276F43AC" w14:textId="77777777" w:rsidR="00DB2B68" w:rsidRDefault="0000000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7283EEC7" w14:textId="77777777" w:rsidR="00DB2B68" w:rsidRDefault="00000000">
      <w:pPr>
        <w:jc w:val="both"/>
      </w:pPr>
      <w:r>
        <w:t xml:space="preserve">Les dispositifs d’ancrage sont décrits dans les éléments du </w:t>
      </w:r>
      <w:hyperlink w:anchor="585" w:history="1">
        <w:r>
          <w:rPr>
            <w:color w:val="0000EE"/>
          </w:rPr>
          <w:t>24.4 Assemblages</w:t>
        </w:r>
      </w:hyperlink>
      <w:r>
        <w:t>.</w:t>
      </w:r>
    </w:p>
    <w:p w14:paraId="4A6C4B91" w14:textId="77777777" w:rsidR="00DB2B68" w:rsidRDefault="00000000">
      <w:pPr>
        <w:pStyle w:val="pheading"/>
      </w:pPr>
      <w:r>
        <w:t>DOCUMENTS DE RÉFÉRENCE COMPLÉMENTAIRES</w:t>
      </w:r>
    </w:p>
    <w:p w14:paraId="379BDC82" w14:textId="77777777" w:rsidR="00DB2B68" w:rsidRDefault="00000000">
      <w:pPr>
        <w:pStyle w:val="pheading"/>
      </w:pPr>
      <w:r>
        <w:t>- Matériau</w:t>
      </w:r>
    </w:p>
    <w:p w14:paraId="7167311A" w14:textId="77777777" w:rsidR="00DB2B68" w:rsidRDefault="00000000">
      <w:r>
        <w:t>[NBN EN 301, Adhésifs de nature phénolique et aminoplaste, pour structures portantes en bois - Classification et exigences de performance]</w:t>
      </w:r>
    </w:p>
    <w:p w14:paraId="1ED3B665" w14:textId="77777777" w:rsidR="00DB2B68" w:rsidRDefault="00000000">
      <w:r>
        <w:t>[NBN EN 302-2, Adhésifs pour structures portantes en bois - Méthodes d'essais - Partie 2 : Détermination de la résistance à la délamination]</w:t>
      </w:r>
    </w:p>
    <w:p w14:paraId="3B091596" w14:textId="77777777" w:rsidR="00DB2B68" w:rsidRDefault="00000000">
      <w:r>
        <w:t>[NBN EN 408+A1, Structures en bois - Bois de structure et bois lamellé-collé - Détermination de certaines propriétés physiques et mécaniques]</w:t>
      </w:r>
    </w:p>
    <w:p w14:paraId="668DED9D" w14:textId="77777777" w:rsidR="00DB2B68" w:rsidRDefault="00000000">
      <w:r>
        <w:t>[NBN EN 1991 série, Eurocode 1 : Actions sur les structures]</w:t>
      </w:r>
    </w:p>
    <w:p w14:paraId="6DE17CDE" w14:textId="77777777" w:rsidR="00DB2B68" w:rsidRDefault="00000000">
      <w:r>
        <w:t>[NBN EN 1995 série, Eurocode 5: Conception et calcul des structures en bois]</w:t>
      </w:r>
    </w:p>
    <w:p w14:paraId="7E8052DF"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1BF82987" w14:textId="77777777" w:rsidR="00DB2B68" w:rsidRDefault="00000000">
      <w:r>
        <w:t>[NBN EN 13556, Bois ronds et bois sciés - Nomenclature des bois utilisés en Europe]</w:t>
      </w:r>
    </w:p>
    <w:p w14:paraId="1A5DE4E8" w14:textId="77777777" w:rsidR="00DB2B68" w:rsidRDefault="00000000">
      <w:r>
        <w:t>[NBN EN 14358, Structures en bois - Détermination et vérification des valeurs caractéristiques]</w:t>
      </w:r>
    </w:p>
    <w:p w14:paraId="1F2348FD" w14:textId="77777777" w:rsidR="00DB2B68" w:rsidRDefault="00000000">
      <w:r>
        <w:t>[NBN EN 15425, Adhésifs - Adhésifs polyuréthane monocomposants (PUR) pour structures portantes en bois - Classification et exigences de performance]</w:t>
      </w:r>
    </w:p>
    <w:p w14:paraId="27B3C7EF" w14:textId="77777777" w:rsidR="00DB2B68" w:rsidRDefault="00000000">
      <w:r>
        <w:t>[NBN EN 16351, Structures en bois - Bois lamellé croisé - Exigences] </w:t>
      </w:r>
    </w:p>
    <w:p w14:paraId="3709F43E" w14:textId="77777777" w:rsidR="00DB2B68" w:rsidRDefault="00000000">
      <w:pPr>
        <w:pStyle w:val="pheading"/>
      </w:pPr>
      <w:r>
        <w:t>MESURAGE</w:t>
      </w:r>
    </w:p>
    <w:p w14:paraId="13EBAEE4" w14:textId="77777777" w:rsidR="00DB2B68" w:rsidRDefault="00000000">
      <w:pPr>
        <w:pStyle w:val="pheading"/>
      </w:pPr>
      <w:r>
        <w:t>- unité de mesure:</w:t>
      </w:r>
    </w:p>
    <w:p w14:paraId="53A1156D" w14:textId="77777777" w:rsidR="00DB2B68" w:rsidRDefault="00000000">
      <w:r>
        <w:rPr>
          <w:rStyle w:val="optioncarChar"/>
        </w:rPr>
        <w:t>m²</w:t>
      </w:r>
      <w:r>
        <w:t xml:space="preserve"> (par défaut)</w:t>
      </w:r>
      <w:r>
        <w:rPr>
          <w:rStyle w:val="optioncarChar"/>
        </w:rPr>
        <w:t xml:space="preserve"> / m³</w:t>
      </w:r>
    </w:p>
    <w:p w14:paraId="65BFE411" w14:textId="77777777" w:rsidR="00DB2B68" w:rsidRDefault="00000000">
      <w:r>
        <w:rPr>
          <w:b/>
          <w:i/>
        </w:rPr>
        <w:t>(Soit par défaut)</w:t>
      </w:r>
    </w:p>
    <w:p w14:paraId="0D9D487B" w14:textId="77777777" w:rsidR="00DB2B68" w:rsidRDefault="00000000">
      <w:r>
        <w:rPr>
          <w:rStyle w:val="soitChar"/>
        </w:rPr>
        <w:t>1.  m²</w:t>
      </w:r>
    </w:p>
    <w:p w14:paraId="65F2442A" w14:textId="77777777" w:rsidR="00DB2B68" w:rsidRDefault="00000000">
      <w:r>
        <w:rPr>
          <w:b/>
          <w:i/>
        </w:rPr>
        <w:t>(Soit)</w:t>
      </w:r>
    </w:p>
    <w:p w14:paraId="1A2DE2EA" w14:textId="77777777" w:rsidR="00DB2B68" w:rsidRDefault="00000000">
      <w:r>
        <w:rPr>
          <w:rStyle w:val="soitChar"/>
        </w:rPr>
        <w:t>2.  m³</w:t>
      </w:r>
    </w:p>
    <w:p w14:paraId="6D66F4CF" w14:textId="77777777" w:rsidR="00DB2B68" w:rsidRDefault="00000000">
      <w:pPr>
        <w:pStyle w:val="pheading"/>
      </w:pPr>
      <w:r>
        <w:t>- code de mesurage:</w:t>
      </w:r>
    </w:p>
    <w:p w14:paraId="21CAA62F" w14:textId="77777777" w:rsidR="00DB2B68" w:rsidRDefault="00000000">
      <w:pPr>
        <w:jc w:val="both"/>
      </w:pPr>
      <w:r>
        <w:rPr>
          <w:rStyle w:val="optioncarChar"/>
        </w:rPr>
        <w:t xml:space="preserve">Surface nette </w:t>
      </w:r>
      <w:r>
        <w:t xml:space="preserve">(par défaut) </w:t>
      </w:r>
      <w:r>
        <w:rPr>
          <w:rStyle w:val="optioncarChar"/>
        </w:rPr>
        <w:t>/ volume net</w:t>
      </w:r>
    </w:p>
    <w:p w14:paraId="76560BA6" w14:textId="77777777" w:rsidR="00DB2B68" w:rsidRDefault="00000000">
      <w:pPr>
        <w:jc w:val="both"/>
      </w:pPr>
      <w:r>
        <w:rPr>
          <w:b/>
          <w:i/>
        </w:rPr>
        <w:t>(Soit par défaut)</w:t>
      </w:r>
    </w:p>
    <w:p w14:paraId="5E09D072" w14:textId="77777777" w:rsidR="00DB2B68"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398E8A0B" w14:textId="77777777" w:rsidR="00DB2B68" w:rsidRDefault="00000000">
      <w:pPr>
        <w:jc w:val="both"/>
      </w:pPr>
      <w:r>
        <w:rPr>
          <w:b/>
          <w:i/>
        </w:rPr>
        <w:lastRenderedPageBreak/>
        <w:t>(Soit)</w:t>
      </w:r>
    </w:p>
    <w:p w14:paraId="2C529FAA" w14:textId="77777777" w:rsidR="00DB2B68" w:rsidRDefault="00000000">
      <w:pPr>
        <w:jc w:val="both"/>
      </w:pPr>
      <w:r>
        <w:rPr>
          <w:rStyle w:val="soitChar"/>
        </w:rPr>
        <w:t xml:space="preserve"> 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78C40429" w14:textId="77777777" w:rsidR="00DB2B68" w:rsidRDefault="00000000">
      <w:pPr>
        <w:pStyle w:val="pheading"/>
      </w:pPr>
      <w:r>
        <w:t>- nature du marché:</w:t>
      </w:r>
    </w:p>
    <w:p w14:paraId="12E09D12" w14:textId="77777777" w:rsidR="00DB2B68" w:rsidRDefault="00000000">
      <w:r>
        <w:t>QF</w:t>
      </w:r>
    </w:p>
    <w:p w14:paraId="4DF67EE6" w14:textId="77777777" w:rsidR="00DB2B68" w:rsidRDefault="00000000">
      <w:pPr>
        <w:pStyle w:val="Author-eSectionHeading6Numberless"/>
      </w:pPr>
      <w:bookmarkStart w:id="1685" w:name="_Toc220496668"/>
      <w:r>
        <w:t>24.23.2c Systèmes de toiture en CLT préfabriqués cloués-collés CCTB 01.11</w:t>
      </w:r>
      <w:bookmarkEnd w:id="1685"/>
    </w:p>
    <w:p w14:paraId="046F22B6" w14:textId="77777777" w:rsidR="00DB2B68" w:rsidRDefault="00000000">
      <w:pPr>
        <w:pStyle w:val="pheading"/>
      </w:pPr>
      <w:r>
        <w:t>DESCRIPTION</w:t>
      </w:r>
    </w:p>
    <w:p w14:paraId="36935BD6" w14:textId="77777777" w:rsidR="00DB2B68" w:rsidRDefault="00000000">
      <w:pPr>
        <w:pStyle w:val="pheading"/>
      </w:pPr>
      <w:r>
        <w:t>- Définition / Comprend</w:t>
      </w:r>
    </w:p>
    <w:p w14:paraId="4E36F1AA" w14:textId="77777777" w:rsidR="00DB2B68" w:rsidRDefault="00000000">
      <w:pPr>
        <w:jc w:val="both"/>
      </w:pPr>
      <w:r>
        <w:t>Il s’agit de la fourniture et la pose de tous les éléments constitués de panneaux lamellés croisés cloués-collés en bois ou à base de bois constituant les systèmes de construction CLT portants et non portants quel que soit le type d’aboutage, y compris toutes les pièces qui en font intrinsèquement partie (comprenant notamment les dispositifs d’assemblage).</w:t>
      </w:r>
    </w:p>
    <w:p w14:paraId="2CE1E731" w14:textId="77777777" w:rsidR="00DB2B68" w:rsidRDefault="00000000">
      <w:pPr>
        <w:jc w:val="both"/>
      </w:pPr>
      <w:r>
        <w:t>Les panneaux s’appliquant aux classes de service 1 ou 2 (selon la [NBN EN 1995-1-1]) constitués d’au moins 3 couches d’essences résineuses ou en peuplier dont les couches ont une épaisseur nominale entre 6 et 47 mm et d’épaisseur totale jusqu’à 500 mm sont couverts par la norme  produit [NBN EN 16351].</w:t>
      </w:r>
    </w:p>
    <w:p w14:paraId="716F13DF" w14:textId="77777777" w:rsidR="00DB2B68" w:rsidRDefault="00000000">
      <w:pPr>
        <w:pStyle w:val="pheading"/>
      </w:pPr>
      <w:r>
        <w:t>- Localisation</w:t>
      </w:r>
    </w:p>
    <w:p w14:paraId="4D5A4061" w14:textId="77777777" w:rsidR="00DB2B68" w:rsidRDefault="00000000">
      <w:r>
        <w:t xml:space="preserve">Localisation des travaux : </w:t>
      </w:r>
      <w:r>
        <w:rPr>
          <w:rStyle w:val="optioncarChar"/>
        </w:rPr>
        <w:t>***</w:t>
      </w:r>
      <w:r>
        <w:t>.</w:t>
      </w:r>
    </w:p>
    <w:p w14:paraId="1A64B882" w14:textId="77777777" w:rsidR="00DB2B68" w:rsidRDefault="00000000">
      <w:r>
        <w:t>Voir plans et métrés détaillés.</w:t>
      </w:r>
    </w:p>
    <w:p w14:paraId="250722F4" w14:textId="77777777" w:rsidR="00DB2B68" w:rsidRDefault="00000000">
      <w:pPr>
        <w:pStyle w:val="pheading"/>
      </w:pPr>
      <w:r>
        <w:t>MATÉRIAUX</w:t>
      </w:r>
    </w:p>
    <w:p w14:paraId="1DD4A84F" w14:textId="77777777" w:rsidR="00DB2B68" w:rsidRDefault="00000000">
      <w:pPr>
        <w:pStyle w:val="pheading"/>
      </w:pPr>
      <w:r>
        <w:t>- Caractéristiques générales</w:t>
      </w:r>
    </w:p>
    <w:p w14:paraId="0249A4FC" w14:textId="77777777" w:rsidR="00DB2B68" w:rsidRDefault="00000000">
      <w:pPr>
        <w:jc w:val="both"/>
      </w:pPr>
      <w:r>
        <w:t>Épaisseur totale du panneau CLT : </w:t>
      </w:r>
      <w:r>
        <w:rPr>
          <w:rStyle w:val="optioncarChar"/>
        </w:rPr>
        <w:t>***</w:t>
      </w:r>
      <w:r>
        <w:t> mm.</w:t>
      </w:r>
    </w:p>
    <w:p w14:paraId="5E4B198F" w14:textId="77777777" w:rsidR="00DB2B68" w:rsidRDefault="00000000">
      <w:pPr>
        <w:jc w:val="both"/>
      </w:pPr>
      <w:r>
        <w:t>Les essences de bois composant les lames des panneaux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Mélèzes (Larix spp) / Peupliers (Populus spp) / Pin maritime (Pinus pinaster, PNPN) / Hêtre / ***</w:t>
      </w:r>
      <w:r>
        <w:t>.</w:t>
      </w:r>
    </w:p>
    <w:p w14:paraId="02205DC5" w14:textId="77777777" w:rsidR="00DB2B68" w:rsidRDefault="00000000">
      <w:pPr>
        <w:jc w:val="both"/>
      </w:pPr>
      <w:r>
        <w:t>Classe de résistance : </w:t>
      </w:r>
      <w:r>
        <w:rPr>
          <w:rStyle w:val="optioncarChar"/>
        </w:rPr>
        <w:t>C18 </w:t>
      </w:r>
      <w:r>
        <w:t>(par défaut)</w:t>
      </w:r>
      <w:r>
        <w:rPr>
          <w:rStyle w:val="optioncarChar"/>
        </w:rPr>
        <w:t xml:space="preserve"> / D18 / C24 / D24 / C30 / D30 / ***</w:t>
      </w:r>
      <w:r>
        <w:t>.</w:t>
      </w:r>
    </w:p>
    <w:p w14:paraId="2EB9F861" w14:textId="77777777" w:rsidR="00DB2B68" w:rsidRDefault="0000000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w:t>
      </w:r>
      <w:r>
        <w:t> (par défaut)</w:t>
      </w:r>
      <w:r>
        <w:rPr>
          <w:rStyle w:val="optioncarChar"/>
        </w:rPr>
        <w:t> / de couches intérieures en épicéa C 16 / de lames en bois sur les couches extérieures et panneaux de type MDF (classe MDFLA) en plis centraux / ***.</w:t>
      </w:r>
    </w:p>
    <w:p w14:paraId="2F7A625B" w14:textId="77777777" w:rsidR="00DB2B68" w:rsidRDefault="00000000">
      <w:pPr>
        <w:jc w:val="both"/>
      </w:pPr>
      <w:r>
        <w:t>L’épaisseur des lames </w:t>
      </w:r>
      <w:r>
        <w:rPr>
          <w:rStyle w:val="optioncarChar"/>
        </w:rPr>
        <w:t>est</w:t>
      </w:r>
      <w:r>
        <w:t> (par défaut) </w:t>
      </w:r>
      <w:r>
        <w:rPr>
          <w:rStyle w:val="optioncarChar"/>
        </w:rPr>
        <w:t>/ n’est pas</w:t>
      </w:r>
      <w:r>
        <w:t> constante sur tous les plis. La composition des épaisseurs des plis est: </w:t>
      </w:r>
      <w:r>
        <w:rPr>
          <w:rStyle w:val="optioncarChar"/>
        </w:rPr>
        <w:t>30-30-30 / 30-40-30 / 40-40-40 / 20-20-20-20-20 </w:t>
      </w:r>
      <w:r>
        <w:t>(par défaut)</w:t>
      </w:r>
      <w:r>
        <w:rPr>
          <w:rStyle w:val="optioncarChar"/>
        </w:rPr>
        <w:t> /  20-30-20-30 / 40-20-20-20-40 / ***</w:t>
      </w:r>
      <w:r>
        <w:t> mm.</w:t>
      </w:r>
    </w:p>
    <w:p w14:paraId="051C019F" w14:textId="77777777" w:rsidR="00DB2B68" w:rsidRDefault="00000000">
      <w:pPr>
        <w:jc w:val="both"/>
      </w:pPr>
      <w:r>
        <w:t>Les lames </w:t>
      </w:r>
      <w:r>
        <w:rPr>
          <w:rStyle w:val="optioncarChar"/>
        </w:rPr>
        <w:t>ne sont pas </w:t>
      </w:r>
      <w:r>
        <w:t>(par défaut)</w:t>
      </w:r>
      <w:r>
        <w:rPr>
          <w:rStyle w:val="optioncarChar"/>
        </w:rPr>
        <w:t> /sont</w:t>
      </w:r>
      <w:r>
        <w:t> munies de fente (rainures) de soulagement.</w:t>
      </w:r>
    </w:p>
    <w:p w14:paraId="1E76EBF5" w14:textId="77777777" w:rsidR="00DB2B68" w:rsidRDefault="00000000">
      <w:pPr>
        <w:jc w:val="both"/>
      </w:pPr>
      <w:r>
        <w:t>La réaction au feu est de classe </w:t>
      </w:r>
      <w:r>
        <w:rPr>
          <w:rStyle w:val="optioncarChar"/>
        </w:rPr>
        <w:t>D-s2, d0 </w:t>
      </w:r>
      <w:r>
        <w:t>(par défaut)</w:t>
      </w:r>
      <w:r>
        <w:rPr>
          <w:rStyle w:val="optioncarChar"/>
        </w:rPr>
        <w:t> / ***</w:t>
      </w:r>
      <w:r>
        <w:t>.</w:t>
      </w:r>
    </w:p>
    <w:p w14:paraId="5346DC83" w14:textId="77777777" w:rsidR="00DB2B68" w:rsidRDefault="00000000">
      <w:pPr>
        <w:jc w:val="both"/>
      </w:pPr>
      <w:r>
        <w:t>La résistance au feu déclarée de la paroi: </w:t>
      </w:r>
      <w:r>
        <w:rPr>
          <w:rStyle w:val="optioncarChar"/>
        </w:rPr>
        <w:t>pas d’exigences</w:t>
      </w:r>
      <w:r>
        <w:t> (par défaut) </w:t>
      </w:r>
      <w:r>
        <w:rPr>
          <w:rStyle w:val="optioncarChar"/>
        </w:rPr>
        <w:t>/ REI 30 / EI30 / REI 60 / EI 60 / ***.</w:t>
      </w:r>
    </w:p>
    <w:p w14:paraId="60866481" w14:textId="77777777" w:rsidR="00DB2B68" w:rsidRDefault="00000000">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1ECA9DAE" w14:textId="77777777" w:rsidR="00DB2B68"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5E0FD681" w14:textId="77777777" w:rsidR="00DB2B68" w:rsidRDefault="00000000">
      <w:pPr>
        <w:jc w:val="both"/>
      </w:pPr>
      <w:r>
        <w:t>Le coefficient de résistance à la diffusion de vapeur d’eau – valeur μ pour un taux d’humidité du bois de 11 % (selon [NBN EN 12086]) : </w:t>
      </w:r>
      <w:r>
        <w:rPr>
          <w:rStyle w:val="optioncarChar"/>
        </w:rPr>
        <w:t>≥ 50</w:t>
      </w:r>
      <w:r>
        <w:t> (par défaut) </w:t>
      </w:r>
      <w:r>
        <w:rPr>
          <w:rStyle w:val="optioncarChar"/>
        </w:rPr>
        <w:t>/ ≥ 30  / ≤ 100 / ***</w:t>
      </w:r>
      <w:r>
        <w:t>.</w:t>
      </w:r>
    </w:p>
    <w:p w14:paraId="20A4F8D8" w14:textId="77777777" w:rsidR="00DB2B68" w:rsidRDefault="00000000">
      <w:pPr>
        <w:jc w:val="both"/>
      </w:pPr>
      <w:r>
        <w:lastRenderedPageBreak/>
        <w:t>La durabilité des panneaux en fonction de leur classe d’emploi, est assurée par la mesure suivante : </w:t>
      </w:r>
      <w:r>
        <w:rPr>
          <w:rStyle w:val="optioncarChar"/>
        </w:rPr>
        <w:t>traitement A1</w:t>
      </w:r>
      <w:r>
        <w:t> (par défaut)</w:t>
      </w:r>
      <w:r>
        <w:rPr>
          <w:rStyle w:val="optioncarChar"/>
        </w:rPr>
        <w:t> / traitement A2.2 / bois modifié thermiquement / bois hors aubier / ***</w:t>
      </w:r>
      <w:r>
        <w:t>.</w:t>
      </w:r>
    </w:p>
    <w:p w14:paraId="73EB321C" w14:textId="77777777" w:rsidR="00DB2B68" w:rsidRDefault="00000000">
      <w:pPr>
        <w:jc w:val="both"/>
      </w:pPr>
      <w:r>
        <w:t> </w:t>
      </w:r>
    </w:p>
    <w:p w14:paraId="20EE4C7E" w14:textId="77777777" w:rsidR="00DB2B68" w:rsidRDefault="00000000">
      <w:pPr>
        <w:jc w:val="both"/>
      </w:pPr>
      <w:r>
        <w:t>Le collage des plis est assuré par </w:t>
      </w:r>
      <w:r>
        <w:rPr>
          <w:rStyle w:val="optioncarChar"/>
        </w:rPr>
        <w:t>les spécifications du fabricant </w:t>
      </w:r>
      <w:r>
        <w:t>(par défaut)</w:t>
      </w:r>
      <w:r>
        <w:rPr>
          <w:rStyle w:val="optioncarChar"/>
        </w:rPr>
        <w:t> / adhésifs polyuréthane monocomposants durcissant à l'humidité (PUR) / adhésifs de nature phénolique et aminoplaste (par exemple MF, MUF, PRF, UF) / adhésifs à base d'isocyanate et de polymère en émulsion (EPI).</w:t>
      </w:r>
    </w:p>
    <w:p w14:paraId="70F93C09" w14:textId="77777777" w:rsidR="00DB2B68" w:rsidRDefault="00000000">
      <w:pPr>
        <w:ind w:left="567"/>
        <w:jc w:val="both"/>
      </w:pPr>
      <w:r>
        <w:rPr>
          <w:b/>
          <w:i/>
        </w:rPr>
        <w:t>(Soit par défaut)</w:t>
      </w:r>
    </w:p>
    <w:p w14:paraId="2481234D" w14:textId="77777777" w:rsidR="00DB2B68" w:rsidRDefault="00000000">
      <w:pPr>
        <w:ind w:left="567"/>
        <w:jc w:val="both"/>
      </w:pPr>
      <w:r>
        <w:rPr>
          <w:rStyle w:val="soitChar"/>
          <w:u w:val="single"/>
        </w:rPr>
        <w:t>Les spécifications du fabricant</w:t>
      </w:r>
    </w:p>
    <w:p w14:paraId="09340888" w14:textId="77777777" w:rsidR="00DB2B68" w:rsidRDefault="00000000">
      <w:pPr>
        <w:ind w:left="567"/>
        <w:jc w:val="both"/>
      </w:pPr>
      <w:r>
        <w:rPr>
          <w:b/>
          <w:i/>
        </w:rPr>
        <w:t>(Soit)</w:t>
      </w:r>
    </w:p>
    <w:p w14:paraId="2C380ECB" w14:textId="77777777" w:rsidR="00DB2B68"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7D9C3CDC" w14:textId="77777777" w:rsidR="00DB2B68" w:rsidRDefault="00000000">
      <w:pPr>
        <w:ind w:left="567"/>
        <w:jc w:val="both"/>
      </w:pPr>
      <w:r>
        <w:rPr>
          <w:b/>
          <w:i/>
        </w:rPr>
        <w:t>(Soit)</w:t>
      </w:r>
    </w:p>
    <w:p w14:paraId="6DD7D02F" w14:textId="77777777" w:rsidR="00DB2B68" w:rsidRDefault="00000000">
      <w:pPr>
        <w:ind w:left="567"/>
        <w:jc w:val="both"/>
      </w:pPr>
      <w:r>
        <w:rPr>
          <w:rStyle w:val="soitChar"/>
          <w:u w:val="single"/>
        </w:rPr>
        <w:t>MF, MUF, PRF, UF :</w:t>
      </w:r>
      <w:r>
        <w:rPr>
          <w:rStyle w:val="soitChar"/>
        </w:rPr>
        <w:t> Les caractéristiques des collages des adhésifs de nature phénolique et aminoplaste sont déterminées conformément à la [NBN EN 302-6] et satisfont aux exigences conformes à la [NBN EN 301].</w:t>
      </w:r>
    </w:p>
    <w:p w14:paraId="0B5A9C7B" w14:textId="77777777" w:rsidR="00DB2B68" w:rsidRDefault="00000000">
      <w:pPr>
        <w:ind w:left="567"/>
        <w:jc w:val="both"/>
      </w:pPr>
      <w:r>
        <w:rPr>
          <w:b/>
          <w:i/>
        </w:rPr>
        <w:t>(Soit)</w:t>
      </w:r>
    </w:p>
    <w:p w14:paraId="2E31C279" w14:textId="77777777" w:rsidR="00DB2B68"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45FE60BE" w14:textId="77777777" w:rsidR="00DB2B68" w:rsidRDefault="00000000">
      <w:pPr>
        <w:jc w:val="both"/>
      </w:pPr>
      <w:r>
        <w:t> </w:t>
      </w:r>
    </w:p>
    <w:p w14:paraId="4AD2291F" w14:textId="77777777" w:rsidR="00DB2B68" w:rsidRDefault="00000000">
      <w:pPr>
        <w:jc w:val="both"/>
      </w:pPr>
      <w:r>
        <w:t xml:space="preserve">L’assemblage des plis est réalisé par </w:t>
      </w:r>
      <w:r>
        <w:rPr>
          <w:rStyle w:val="optioncarChar"/>
        </w:rPr>
        <w:t xml:space="preserve">clous en aluminium </w:t>
      </w:r>
      <w:r>
        <w:t>(par défaut)</w:t>
      </w:r>
      <w:r>
        <w:rPr>
          <w:rStyle w:val="optioncarChar"/>
        </w:rPr>
        <w:t xml:space="preserve"> / acier/ ***</w:t>
      </w:r>
      <w:r>
        <w:t xml:space="preserve">. Le nombre de fixation est de min </w:t>
      </w:r>
      <w:r>
        <w:rPr>
          <w:rStyle w:val="optioncarChar"/>
        </w:rPr>
        <w:t xml:space="preserve">60 </w:t>
      </w:r>
      <w:r>
        <w:t>(par défaut)</w:t>
      </w:r>
      <w:r>
        <w:rPr>
          <w:rStyle w:val="optioncarChar"/>
        </w:rPr>
        <w:t xml:space="preserve"> / ***</w:t>
      </w:r>
      <w:r>
        <w:t xml:space="preserve"> clous par m² par pli.</w:t>
      </w:r>
    </w:p>
    <w:p w14:paraId="7B806AC4" w14:textId="77777777" w:rsidR="00DB2B68" w:rsidRDefault="00000000">
      <w:pPr>
        <w:jc w:val="both"/>
      </w:pPr>
      <w:r>
        <w:t>En l’absence de méthode de calcul de stabilité harmonisée sur ce produit, les performances mécaniques sont déterminées par essais pour répondre aux exigences déterminées dans l’étude de stabilité.</w:t>
      </w:r>
    </w:p>
    <w:p w14:paraId="088CDF9C" w14:textId="77777777" w:rsidR="00DB2B68"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1F6B27A2" w14:textId="77777777" w:rsidR="00DB2B68" w:rsidRDefault="00000000">
      <w:pPr>
        <w:jc w:val="both"/>
      </w:pPr>
      <w:r>
        <w:t>Les rainures et chant des lamelles </w:t>
      </w:r>
      <w:r>
        <w:rPr>
          <w:rStyle w:val="optioncarChar"/>
        </w:rPr>
        <w:t>ne sont pas</w:t>
      </w:r>
      <w:r>
        <w:t> (par défaut) </w:t>
      </w:r>
      <w:r>
        <w:rPr>
          <w:rStyle w:val="optioncarChar"/>
        </w:rPr>
        <w:t>/ sont</w:t>
      </w:r>
      <w:r>
        <w:t> collées.</w:t>
      </w:r>
    </w:p>
    <w:p w14:paraId="6CDC4206" w14:textId="77777777" w:rsidR="00DB2B68" w:rsidRDefault="00000000">
      <w:pPr>
        <w:jc w:val="both"/>
      </w:pPr>
      <w:r>
        <w:t>Un jeu de </w:t>
      </w:r>
      <w:r>
        <w:rPr>
          <w:rStyle w:val="optioncarChar"/>
        </w:rPr>
        <w:t>0</w:t>
      </w:r>
      <w:r>
        <w:t> (par défaut)</w:t>
      </w:r>
      <w:r>
        <w:rPr>
          <w:rStyle w:val="optioncarChar"/>
        </w:rPr>
        <w:t> / 2 / 5 / ***</w:t>
      </w:r>
      <w:r>
        <w:t> mm est réservé entre les lamelles.</w:t>
      </w:r>
    </w:p>
    <w:p w14:paraId="58DDC7A8" w14:textId="77777777" w:rsidR="00DB2B68" w:rsidRDefault="00000000">
      <w:pPr>
        <w:jc w:val="both"/>
      </w:pPr>
      <w:r>
        <w:t>La résistance du collage des aboutages est conforme à la [NBN EN 16351] annexe B et est vérifiée par essais de flexion conformes à la [NBN EN 16351] §5.2.</w:t>
      </w:r>
    </w:p>
    <w:p w14:paraId="4F414C06" w14:textId="77777777" w:rsidR="00DB2B68"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170E73C6" w14:textId="77777777" w:rsidR="00DB2B68" w:rsidRDefault="00000000">
      <w:pPr>
        <w:pStyle w:val="pheading"/>
      </w:pPr>
      <w:r>
        <w:t>- Finitions</w:t>
      </w:r>
    </w:p>
    <w:p w14:paraId="207C347F" w14:textId="77777777" w:rsidR="00DB2B68" w:rsidRDefault="00000000">
      <w:pPr>
        <w:jc w:val="both"/>
      </w:pPr>
      <w:r>
        <w:t xml:space="preserve">Exigences d’aspect : </w:t>
      </w:r>
      <w:r>
        <w:rPr>
          <w:rStyle w:val="optioncarChar"/>
        </w:rPr>
        <w:t>non-visible / visible industriel / visible habitat</w:t>
      </w:r>
      <w:r>
        <w:t xml:space="preserve"> sur </w:t>
      </w:r>
      <w:r>
        <w:rPr>
          <w:rStyle w:val="optioncarChar"/>
        </w:rPr>
        <w:t>1</w:t>
      </w:r>
      <w:r>
        <w:t xml:space="preserve"> (par défaut)</w:t>
      </w:r>
      <w:r>
        <w:rPr>
          <w:rStyle w:val="optioncarChar"/>
        </w:rPr>
        <w:t xml:space="preserve"> / 2 face(s) / ***</w:t>
      </w:r>
      <w:r>
        <w:t>.</w:t>
      </w:r>
    </w:p>
    <w:p w14:paraId="57F69D24" w14:textId="77777777" w:rsidR="00DB2B68"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2AF73FFA" w14:textId="77777777" w:rsidR="00DB2B68" w:rsidRDefault="00000000">
      <w:pPr>
        <w:pStyle w:val="pheading"/>
      </w:pPr>
      <w:r>
        <w:t>- Prescriptions complémentaires</w:t>
      </w:r>
    </w:p>
    <w:p w14:paraId="6A5E21C0" w14:textId="77777777" w:rsidR="00DB2B68" w:rsidRDefault="00000000">
      <w:r>
        <w:rPr>
          <w:rStyle w:val="facultChar"/>
        </w:rPr>
        <w:t>Capacité thermique :</w:t>
      </w:r>
      <w:r>
        <w:t xml:space="preserve">  </w:t>
      </w:r>
      <w:r>
        <w:rPr>
          <w:rStyle w:val="optioncarChar"/>
        </w:rPr>
        <w:t xml:space="preserve">&gt; 2 </w:t>
      </w:r>
      <w:r>
        <w:t>(par défaut)</w:t>
      </w:r>
      <w:r>
        <w:rPr>
          <w:rStyle w:val="optioncarChar"/>
        </w:rPr>
        <w:t xml:space="preserve"> / ***</w:t>
      </w:r>
      <w:r>
        <w:t xml:space="preserve">  </w:t>
      </w:r>
      <w:r>
        <w:rPr>
          <w:rStyle w:val="facultChar"/>
        </w:rPr>
        <w:t>kJ/kg.K</w:t>
      </w:r>
    </w:p>
    <w:p w14:paraId="3841AAFA" w14:textId="77777777" w:rsidR="00DB2B68" w:rsidRDefault="00000000">
      <w:pPr>
        <w:pStyle w:val="pheading"/>
      </w:pPr>
      <w:r>
        <w:t>EXÉCUTION / MISE EN ŒUVRE</w:t>
      </w:r>
    </w:p>
    <w:p w14:paraId="4A4905B2" w14:textId="77777777" w:rsidR="00DB2B68" w:rsidRDefault="00000000">
      <w:pPr>
        <w:pStyle w:val="pheading"/>
      </w:pPr>
      <w:r>
        <w:t>- Prescriptions générales</w:t>
      </w:r>
    </w:p>
    <w:p w14:paraId="6E6C6570" w14:textId="77777777" w:rsidR="00DB2B68" w:rsidRDefault="00000000">
      <w:pPr>
        <w:jc w:val="both"/>
      </w:pPr>
      <w:r>
        <w:lastRenderedPageBreak/>
        <w:t>Les organes d’assemblage sont conformes aux prescriptions de la [NBN EN 14592]. L’entraxe des organes d’assemblage est de </w:t>
      </w:r>
      <w:r>
        <w:rPr>
          <w:rStyle w:val="optioncarChar"/>
        </w:rPr>
        <w:t>30 / 60 </w:t>
      </w:r>
      <w:r>
        <w:t>(par défaut)</w:t>
      </w:r>
      <w:r>
        <w:rPr>
          <w:rStyle w:val="optioncarChar"/>
        </w:rPr>
        <w:t> / ***</w:t>
      </w:r>
      <w:r>
        <w:t> cm.</w:t>
      </w:r>
    </w:p>
    <w:p w14:paraId="4F7C697B" w14:textId="77777777" w:rsidR="00DB2B68"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72E76DD2" w14:textId="77777777" w:rsidR="00DB2B68" w:rsidRDefault="00000000">
      <w:pPr>
        <w:jc w:val="both"/>
      </w:pPr>
      <w:r>
        <w:t> </w:t>
      </w:r>
    </w:p>
    <w:p w14:paraId="336CFED6" w14:textId="77777777" w:rsidR="00DB2B68" w:rsidRDefault="00000000">
      <w:pPr>
        <w:jc w:val="both"/>
      </w:pPr>
      <w:r>
        <w:rPr>
          <w:b/>
        </w:rPr>
        <w:t>Fixation en pied de toiture</w:t>
      </w:r>
    </w:p>
    <w:p w14:paraId="777920CB" w14:textId="77777777" w:rsidR="00DB2B68" w:rsidRDefault="00000000">
      <w:pPr>
        <w:jc w:val="both"/>
      </w:pPr>
      <w:r>
        <w:t>Le panneau CLT est fixé </w:t>
      </w:r>
      <w:r>
        <w:rPr>
          <w:rStyle w:val="optioncarChar"/>
        </w:rPr>
        <w:t>par l’intermédiaire d’une sablière </w:t>
      </w:r>
      <w:r>
        <w:t>(par défaut)</w:t>
      </w:r>
      <w:r>
        <w:rPr>
          <w:rStyle w:val="optioncarChar"/>
        </w:rPr>
        <w:t> / par dispositifs d’ancrage ponctuels sur le gros œuvre existant / ***.</w:t>
      </w:r>
    </w:p>
    <w:p w14:paraId="7CEC0FC4" w14:textId="77777777" w:rsidR="00DB2B68" w:rsidRDefault="00000000">
      <w:pPr>
        <w:ind w:left="567"/>
        <w:jc w:val="both"/>
      </w:pPr>
      <w:r>
        <w:rPr>
          <w:b/>
          <w:i/>
        </w:rPr>
        <w:t>(Soit par défaut)</w:t>
      </w:r>
    </w:p>
    <w:p w14:paraId="0725D482" w14:textId="77777777" w:rsidR="00DB2B68" w:rsidRDefault="00000000">
      <w:pPr>
        <w:ind w:left="567"/>
        <w:jc w:val="both"/>
      </w:pPr>
      <w:r>
        <w:rPr>
          <w:rStyle w:val="soitChar"/>
          <w:u w:val="single"/>
        </w:rPr>
        <w:t>Sablière :</w:t>
      </w:r>
      <w:r>
        <w:rPr>
          <w:rStyle w:val="soitChar"/>
        </w:rPr>
        <w:t> La sablière est fixée par tire-fond sur le mur porteur et appliquée sur le pli central intérieur du panneau à assembler ou par fixations inclinées. Le nombre de fixations et les sections répondent au dimensionnement selon la [NBN EN 1995 série]. La sablière est décrite dans l’article </w:t>
      </w:r>
      <w:hyperlink w:anchor="605" w:history="1">
        <w:r>
          <w:rPr>
            <w:rStyle w:val="soitChar"/>
            <w:color w:val="0000EE"/>
          </w:rPr>
          <w:t>24.11.2a Sablières</w:t>
        </w:r>
      </w:hyperlink>
      <w:r>
        <w:rPr>
          <w:rStyle w:val="soitChar"/>
        </w:rPr>
        <w:t>.</w:t>
      </w:r>
      <w:r>
        <w:t> </w:t>
      </w:r>
    </w:p>
    <w:p w14:paraId="51562DE8" w14:textId="77777777" w:rsidR="00DB2B68" w:rsidRDefault="00000000">
      <w:pPr>
        <w:ind w:left="567"/>
        <w:jc w:val="both"/>
      </w:pPr>
      <w:r>
        <w:rPr>
          <w:rStyle w:val="soitChar"/>
        </w:rPr>
        <w:t>L’assemblage de panneau de toiture est effectué par </w:t>
      </w:r>
      <w:r>
        <w:rPr>
          <w:rStyle w:val="optioncarChar"/>
        </w:rPr>
        <w:t>tire-fond et appliqué sur le pli central intérieur du panneau à assembler ou par fixations inclinées </w:t>
      </w:r>
      <w:r>
        <w:t>(par défaut)</w:t>
      </w:r>
      <w:r>
        <w:rPr>
          <w:rStyle w:val="optioncarChar"/>
        </w:rPr>
        <w:t> / plats métalliques / ***</w:t>
      </w:r>
      <w:r>
        <w:rPr>
          <w:rStyle w:val="soitChar"/>
        </w:rPr>
        <w:t>. Le nombre de fixations et les sections répondent au dimensionnement selon la [NBN EN 1995 série].</w:t>
      </w:r>
    </w:p>
    <w:p w14:paraId="722BFD56" w14:textId="77777777" w:rsidR="00DB2B68" w:rsidRDefault="00000000">
      <w:pPr>
        <w:ind w:left="567"/>
        <w:jc w:val="both"/>
      </w:pPr>
      <w:r>
        <w:rPr>
          <w:rStyle w:val="soitChar"/>
        </w:rPr>
        <w:t>L’assemblage </w:t>
      </w:r>
      <w:r>
        <w:rPr>
          <w:rStyle w:val="optioncarChar"/>
        </w:rPr>
        <w:t>est / n’est pas</w:t>
      </w:r>
      <w:r>
        <w:t> (par défaut)</w:t>
      </w:r>
      <w:r>
        <w:rPr>
          <w:rStyle w:val="soitChar"/>
        </w:rPr>
        <w:t> réalisé via un produit résilient. Le choix du produit résilient est effectué sur base du calcul de descente de charge suivant [NBN EN 1991 série].</w:t>
      </w:r>
    </w:p>
    <w:p w14:paraId="1CA2C734" w14:textId="77777777" w:rsidR="00DB2B68" w:rsidRDefault="00000000">
      <w:pPr>
        <w:ind w:left="567"/>
        <w:jc w:val="both"/>
      </w:pPr>
      <w:r>
        <w:rPr>
          <w:b/>
          <w:i/>
        </w:rPr>
        <w:t>(Soit)</w:t>
      </w:r>
    </w:p>
    <w:p w14:paraId="2BC0CC37" w14:textId="77777777" w:rsidR="00DB2B68" w:rsidRDefault="00000000">
      <w:pPr>
        <w:ind w:left="567"/>
        <w:jc w:val="both"/>
      </w:pPr>
      <w:r>
        <w:rPr>
          <w:rStyle w:val="soitChar"/>
          <w:u w:val="single"/>
        </w:rPr>
        <w:t>Dispositifs d’ancrage ponctuels :</w:t>
      </w:r>
      <w:r>
        <w:rPr>
          <w:rStyle w:val="soitChar"/>
        </w:rPr>
        <w:t> Les dispositifs de fixation sont des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les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w:t>
      </w:r>
      <w:r>
        <w:rPr>
          <w:rStyle w:val="optioncarChar"/>
        </w:rPr>
        <w:t> / ***</w:t>
      </w:r>
      <w:r>
        <w:rPr>
          <w:rStyle w:val="soitChar"/>
        </w:rPr>
        <w:t> mm de bord du panneau. </w:t>
      </w:r>
    </w:p>
    <w:p w14:paraId="1E6727E9" w14:textId="77777777" w:rsidR="00DB2B68" w:rsidRDefault="00000000">
      <w:pPr>
        <w:ind w:left="567"/>
        <w:jc w:val="both"/>
      </w:pPr>
      <w:r>
        <w:rPr>
          <w:b/>
          <w:i/>
        </w:rPr>
        <w:t>(Soit)</w:t>
      </w:r>
    </w:p>
    <w:p w14:paraId="7672C585" w14:textId="77777777" w:rsidR="00DB2B68" w:rsidRDefault="00000000">
      <w:pPr>
        <w:ind w:left="567"/>
        <w:jc w:val="both"/>
      </w:pPr>
      <w:r>
        <w:rPr>
          <w:rStyle w:val="optioncarChar"/>
        </w:rPr>
        <w:t>***</w:t>
      </w:r>
    </w:p>
    <w:p w14:paraId="2C108225" w14:textId="77777777" w:rsidR="00DB2B68" w:rsidRDefault="00000000">
      <w:pPr>
        <w:jc w:val="both"/>
      </w:pPr>
      <w:r>
        <w:t> </w:t>
      </w:r>
    </w:p>
    <w:p w14:paraId="105D7E9D" w14:textId="77777777" w:rsidR="00DB2B68" w:rsidRDefault="00000000">
      <w:pPr>
        <w:jc w:val="both"/>
      </w:pPr>
      <w:r>
        <w:t>La continuité d’étanchéité est assurée par </w:t>
      </w:r>
      <w:r>
        <w:rPr>
          <w:rStyle w:val="optioncarChar"/>
        </w:rPr>
        <w:t>tapes adhésifs</w:t>
      </w:r>
      <w:r>
        <w:t> (par défaut)</w:t>
      </w:r>
      <w:r>
        <w:rPr>
          <w:rStyle w:val="optioncarChar"/>
        </w:rPr>
        <w:t> / mousse comprimée / mastics de resserrage / préformé d’étanchéité / ***.</w:t>
      </w:r>
    </w:p>
    <w:p w14:paraId="6DCF1736" w14:textId="77777777" w:rsidR="00DB2B68" w:rsidRDefault="00000000">
      <w:pPr>
        <w:jc w:val="both"/>
      </w:pPr>
      <w:r>
        <w:t>Les fixations, pointes ou vis, des panneaux sont effectuées sur </w:t>
      </w:r>
      <w:r>
        <w:rPr>
          <w:rStyle w:val="optioncarChar"/>
        </w:rPr>
        <w:t>2/3 </w:t>
      </w:r>
      <w:r>
        <w:t>(par défaut)</w:t>
      </w:r>
      <w:r>
        <w:rPr>
          <w:rStyle w:val="optioncarChar"/>
        </w:rPr>
        <w:t> / ***</w:t>
      </w:r>
      <w:r>
        <w:t> de l’épaisseur du panneau.</w:t>
      </w:r>
    </w:p>
    <w:p w14:paraId="3CBA6C14" w14:textId="77777777" w:rsidR="00DB2B68" w:rsidRDefault="00000000">
      <w:pPr>
        <w:jc w:val="both"/>
      </w:pPr>
      <w:r>
        <w:t>Les dispositifs d’ancrage sont décrits dans les éléments du </w:t>
      </w:r>
      <w:hyperlink w:anchor="585" w:history="1">
        <w:r>
          <w:rPr>
            <w:color w:val="0000EE"/>
          </w:rPr>
          <w:t>24.4 Assemblages</w:t>
        </w:r>
      </w:hyperlink>
      <w:r>
        <w:t>.</w:t>
      </w:r>
    </w:p>
    <w:p w14:paraId="56D0FFAD" w14:textId="77777777" w:rsidR="00DB2B68" w:rsidRDefault="00000000">
      <w:pPr>
        <w:pStyle w:val="pheading"/>
      </w:pPr>
      <w:r>
        <w:t>DOCUMENTS DE RÉFÉRENCE COMPLÉMENTAIRES</w:t>
      </w:r>
    </w:p>
    <w:p w14:paraId="2AED6378" w14:textId="77777777" w:rsidR="00DB2B68" w:rsidRDefault="00000000">
      <w:pPr>
        <w:pStyle w:val="pheading"/>
      </w:pPr>
      <w:r>
        <w:t>- Matériau</w:t>
      </w:r>
    </w:p>
    <w:p w14:paraId="700DC157" w14:textId="77777777" w:rsidR="00DB2B68" w:rsidRDefault="00000000">
      <w:r>
        <w:t>[NBN EN 301, Adhésifs de nature phénolique et aminoplaste, pour structures portantes en bois - Classification et exigences de performance]</w:t>
      </w:r>
    </w:p>
    <w:p w14:paraId="5ABF2323" w14:textId="77777777" w:rsidR="00DB2B68" w:rsidRDefault="00000000">
      <w:r>
        <w:t>[NBN EN 302-2, Adhésifs pour structures portantes en bois - Méthodes d'essais - Partie 2 : Détermination de la résistance à la délamination]</w:t>
      </w:r>
    </w:p>
    <w:p w14:paraId="71B3CB5B" w14:textId="77777777" w:rsidR="00DB2B68" w:rsidRDefault="00000000">
      <w:r>
        <w:t>[NBN EN 408+A1, Structures en bois - Bois de structure et bois lamellé-collé - Détermination de certaines propriétés physiques et mécaniques]</w:t>
      </w:r>
    </w:p>
    <w:p w14:paraId="198D5381" w14:textId="77777777" w:rsidR="00DB2B68" w:rsidRDefault="00000000">
      <w:r>
        <w:t>[NBN EN 1991 série, Eurocode 1 : Actions sur les structures]</w:t>
      </w:r>
    </w:p>
    <w:p w14:paraId="5DC92FA3" w14:textId="77777777" w:rsidR="00DB2B68" w:rsidRDefault="00000000">
      <w:r>
        <w:t>[NBN EN 1995 série, Eurocode 5: Conception et calcul des structures en bois]</w:t>
      </w:r>
    </w:p>
    <w:p w14:paraId="0A356DC3"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3EC09ABF" w14:textId="77777777" w:rsidR="00DB2B68" w:rsidRDefault="00000000">
      <w:r>
        <w:lastRenderedPageBreak/>
        <w:t>[NBN EN 13556, Bois ronds et bois sciés - Nomenclature des bois utilisés en Europe]</w:t>
      </w:r>
    </w:p>
    <w:p w14:paraId="7DFD611B" w14:textId="77777777" w:rsidR="00DB2B68" w:rsidRDefault="00000000">
      <w:r>
        <w:t>[NBN EN 14358, Structures en bois - Détermination et vérification des valeurs caractéristiques]</w:t>
      </w:r>
    </w:p>
    <w:p w14:paraId="7C835333" w14:textId="77777777" w:rsidR="00DB2B68" w:rsidRDefault="00000000">
      <w:r>
        <w:t>[NBN EN 15425, Adhésifs - Adhésifs polyuréthane monocomposants (PUR) pour structures portantes en bois - Classification et exigences de performance]</w:t>
      </w:r>
    </w:p>
    <w:p w14:paraId="551BB83F" w14:textId="77777777" w:rsidR="00DB2B68" w:rsidRDefault="00000000">
      <w:r>
        <w:t>[NBN EN 16351, Structures en bois - Bois lamellé croisé - Exigences] </w:t>
      </w:r>
    </w:p>
    <w:p w14:paraId="2378384F" w14:textId="77777777" w:rsidR="00DB2B68" w:rsidRDefault="00000000">
      <w:pPr>
        <w:pStyle w:val="pheading"/>
      </w:pPr>
      <w:r>
        <w:t>MESURAGE</w:t>
      </w:r>
    </w:p>
    <w:p w14:paraId="5614E5FF" w14:textId="77777777" w:rsidR="00DB2B68" w:rsidRDefault="00000000">
      <w:pPr>
        <w:pStyle w:val="pheading"/>
      </w:pPr>
      <w:r>
        <w:t>- unité de mesure:</w:t>
      </w:r>
    </w:p>
    <w:p w14:paraId="7AC8436C" w14:textId="77777777" w:rsidR="00DB2B68" w:rsidRDefault="00000000">
      <w:r>
        <w:rPr>
          <w:rStyle w:val="optioncarChar"/>
        </w:rPr>
        <w:t>m²</w:t>
      </w:r>
      <w:r>
        <w:t xml:space="preserve"> (par défaut) </w:t>
      </w:r>
      <w:r>
        <w:rPr>
          <w:rStyle w:val="optioncarChar"/>
        </w:rPr>
        <w:t>/ m³</w:t>
      </w:r>
    </w:p>
    <w:p w14:paraId="6FCF73A1" w14:textId="77777777" w:rsidR="00DB2B68" w:rsidRDefault="00000000">
      <w:r>
        <w:rPr>
          <w:b/>
          <w:i/>
        </w:rPr>
        <w:t>(Soit par défaut)</w:t>
      </w:r>
    </w:p>
    <w:p w14:paraId="0493C8D3" w14:textId="77777777" w:rsidR="00DB2B68" w:rsidRDefault="00000000">
      <w:r>
        <w:rPr>
          <w:rStyle w:val="soitChar"/>
        </w:rPr>
        <w:t>1. m²</w:t>
      </w:r>
    </w:p>
    <w:p w14:paraId="348BF855" w14:textId="77777777" w:rsidR="00DB2B68" w:rsidRDefault="00000000">
      <w:r>
        <w:rPr>
          <w:b/>
          <w:i/>
        </w:rPr>
        <w:t>(Soit)</w:t>
      </w:r>
    </w:p>
    <w:p w14:paraId="78C298C3" w14:textId="77777777" w:rsidR="00DB2B68" w:rsidRDefault="00000000">
      <w:r>
        <w:rPr>
          <w:rStyle w:val="soitChar"/>
        </w:rPr>
        <w:t>2. m³</w:t>
      </w:r>
    </w:p>
    <w:p w14:paraId="5C6B6068" w14:textId="77777777" w:rsidR="00DB2B68" w:rsidRDefault="00000000">
      <w:pPr>
        <w:pStyle w:val="pheading"/>
      </w:pPr>
      <w:r>
        <w:t>- code de mesurage:</w:t>
      </w:r>
    </w:p>
    <w:p w14:paraId="1E5E6175" w14:textId="77777777" w:rsidR="00DB2B68" w:rsidRDefault="00000000">
      <w:pPr>
        <w:jc w:val="both"/>
      </w:pPr>
      <w:r>
        <w:rPr>
          <w:rStyle w:val="optioncarChar"/>
        </w:rPr>
        <w:t xml:space="preserve">Surface nette </w:t>
      </w:r>
      <w:r>
        <w:t>(par défaut)</w:t>
      </w:r>
      <w:r>
        <w:rPr>
          <w:rStyle w:val="optioncarChar"/>
        </w:rPr>
        <w:t xml:space="preserve"> / Volume net</w:t>
      </w:r>
    </w:p>
    <w:p w14:paraId="25CD79A8" w14:textId="77777777" w:rsidR="00DB2B68" w:rsidRDefault="00000000">
      <w:pPr>
        <w:jc w:val="both"/>
      </w:pPr>
      <w:r>
        <w:rPr>
          <w:b/>
          <w:i/>
        </w:rPr>
        <w:t>(Soit par défaut)</w:t>
      </w:r>
    </w:p>
    <w:p w14:paraId="56C0E5B1" w14:textId="77777777" w:rsidR="00DB2B68"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413891F7" w14:textId="77777777" w:rsidR="00DB2B68" w:rsidRDefault="00000000">
      <w:pPr>
        <w:jc w:val="both"/>
      </w:pPr>
      <w:r>
        <w:rPr>
          <w:b/>
          <w:i/>
        </w:rPr>
        <w:t>(Soit)</w:t>
      </w:r>
    </w:p>
    <w:p w14:paraId="32448254" w14:textId="77777777" w:rsidR="00DB2B68"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0948A2F1" w14:textId="77777777" w:rsidR="00DB2B68" w:rsidRDefault="00000000">
      <w:pPr>
        <w:pStyle w:val="pheading"/>
      </w:pPr>
      <w:r>
        <w:t>- nature du marché:</w:t>
      </w:r>
    </w:p>
    <w:p w14:paraId="429FA389" w14:textId="77777777" w:rsidR="00DB2B68" w:rsidRDefault="00000000">
      <w:r>
        <w:t>QF</w:t>
      </w:r>
    </w:p>
    <w:p w14:paraId="01518A27" w14:textId="77777777" w:rsidR="00DB2B68" w:rsidRDefault="00000000">
      <w:pPr>
        <w:pStyle w:val="Author-eSectionHeading5Numberless"/>
      </w:pPr>
      <w:bookmarkStart w:id="1686" w:name="_Toc220496669"/>
      <w:r>
        <w:t>24.23.3 Systèmes de toiture en bois à base de caissons CCTB 01.11</w:t>
      </w:r>
      <w:bookmarkEnd w:id="1686"/>
    </w:p>
    <w:p w14:paraId="302DA34E" w14:textId="77777777" w:rsidR="00DB2B68" w:rsidRDefault="00000000">
      <w:pPr>
        <w:pStyle w:val="pheading"/>
      </w:pPr>
      <w:r>
        <w:t>DESCRIPTION</w:t>
      </w:r>
    </w:p>
    <w:p w14:paraId="61DEB676" w14:textId="77777777" w:rsidR="00DB2B68" w:rsidRDefault="00000000">
      <w:pPr>
        <w:pStyle w:val="pheading"/>
      </w:pPr>
      <w:r>
        <w:t>- Définition / Comprend</w:t>
      </w:r>
    </w:p>
    <w:p w14:paraId="380AAB04" w14:textId="77777777" w:rsidR="00DB2B68" w:rsidRDefault="00000000">
      <w:pPr>
        <w:jc w:val="both"/>
      </w:pPr>
      <w:r>
        <w:t>Il s'agit de la fourniture et la pose de systèmes de toiture en bois à base de caissons, préfabriqués en atelier, remplis éventuellement d’isolant. Y compris tous les accessoires de fixation.</w:t>
      </w:r>
    </w:p>
    <w:p w14:paraId="0C4F8808" w14:textId="77777777" w:rsidR="00DB2B68" w:rsidRDefault="00000000">
      <w:pPr>
        <w:jc w:val="both"/>
      </w:pPr>
      <w:r>
        <w:t>Le travail comprend notamment :</w:t>
      </w:r>
    </w:p>
    <w:p w14:paraId="62224AA2" w14:textId="77777777" w:rsidR="00DB2B68" w:rsidRDefault="00000000">
      <w:pPr>
        <w:pStyle w:val="Author-eListParagraph"/>
        <w:numPr>
          <w:ilvl w:val="0"/>
          <w:numId w:val="944"/>
        </w:numPr>
        <w:jc w:val="both"/>
      </w:pPr>
      <w:r>
        <w:t>Le relevé sur place des dimensions exactes ;</w:t>
      </w:r>
    </w:p>
    <w:p w14:paraId="58961DBD" w14:textId="77777777" w:rsidR="00DB2B68" w:rsidRDefault="00000000">
      <w:pPr>
        <w:pStyle w:val="Author-eListParagraph"/>
        <w:numPr>
          <w:ilvl w:val="0"/>
          <w:numId w:val="944"/>
        </w:numPr>
        <w:jc w:val="both"/>
      </w:pPr>
      <w:r>
        <w:t>Le contrôle, la préparation et le nettoyage des supports sur lesquels les éléments seront posés ;</w:t>
      </w:r>
    </w:p>
    <w:p w14:paraId="11FFC34A" w14:textId="77777777" w:rsidR="00DB2B68" w:rsidRDefault="00000000">
      <w:pPr>
        <w:pStyle w:val="Author-eListParagraph"/>
        <w:numPr>
          <w:ilvl w:val="0"/>
          <w:numId w:val="944"/>
        </w:numPr>
        <w:jc w:val="both"/>
      </w:pPr>
      <w:r>
        <w:t>Les réservations prévues sur les plans ;</w:t>
      </w:r>
    </w:p>
    <w:p w14:paraId="1BF3A961" w14:textId="77777777" w:rsidR="00DB2B68" w:rsidRDefault="00000000">
      <w:pPr>
        <w:pStyle w:val="Author-eListParagraph"/>
        <w:numPr>
          <w:ilvl w:val="0"/>
          <w:numId w:val="944"/>
        </w:numPr>
        <w:jc w:val="both"/>
      </w:pPr>
      <w:r>
        <w:t>Les études de stabilité et d’exécution réalisées par le fabricant sur base des informations, indicatives, reprises sur les plans et les descriptions dans les articles ;</w:t>
      </w:r>
    </w:p>
    <w:p w14:paraId="6DB5AA41" w14:textId="77777777" w:rsidR="00DB2B68" w:rsidRDefault="00000000">
      <w:pPr>
        <w:pStyle w:val="Author-eListParagraph"/>
        <w:numPr>
          <w:ilvl w:val="0"/>
          <w:numId w:val="944"/>
        </w:numPr>
        <w:jc w:val="both"/>
      </w:pPr>
      <w:r>
        <w:t>La fabrication sur mesure, le transport et la mise en œuvre de tous les éléments, y compris les engins de levage, tous les supports temporaires et travaux d’étayage, tous les moyens de fixation et/ou de pose, etc. ;</w:t>
      </w:r>
    </w:p>
    <w:p w14:paraId="6D516C68" w14:textId="77777777" w:rsidR="00DB2B68" w:rsidRDefault="00000000">
      <w:pPr>
        <w:pStyle w:val="Author-eListParagraph"/>
        <w:numPr>
          <w:ilvl w:val="0"/>
          <w:numId w:val="944"/>
        </w:numPr>
        <w:jc w:val="both"/>
      </w:pPr>
      <w:r>
        <w:t>L'exécution des assemblages et des éventuelles jonctions avec la structure de construction ;</w:t>
      </w:r>
    </w:p>
    <w:p w14:paraId="67B8C817" w14:textId="77777777" w:rsidR="00DB2B68" w:rsidRDefault="00000000">
      <w:pPr>
        <w:pStyle w:val="Author-eListParagraph"/>
        <w:numPr>
          <w:ilvl w:val="0"/>
          <w:numId w:val="944"/>
        </w:numPr>
        <w:jc w:val="both"/>
      </w:pPr>
      <w:r>
        <w:t>Tous les moyens de liaisonnement éventuels, aussi bien entre les éléments préfabriqués, qu’avec les éléments de support, de bord, etc. ;</w:t>
      </w:r>
    </w:p>
    <w:p w14:paraId="36E1135E" w14:textId="77777777" w:rsidR="00DB2B68" w:rsidRDefault="00000000">
      <w:pPr>
        <w:pStyle w:val="Author-eListParagraph"/>
        <w:numPr>
          <w:ilvl w:val="0"/>
          <w:numId w:val="944"/>
        </w:numPr>
        <w:jc w:val="both"/>
      </w:pPr>
      <w:r>
        <w:t>L’enlèvement de tous les accessoires, supports, étais et le nettoyage des faces visibles ;</w:t>
      </w:r>
    </w:p>
    <w:p w14:paraId="73B0BE09" w14:textId="77777777" w:rsidR="00DB2B68" w:rsidRDefault="00000000">
      <w:pPr>
        <w:pStyle w:val="Author-eListParagraph"/>
        <w:numPr>
          <w:ilvl w:val="0"/>
          <w:numId w:val="944"/>
        </w:numPr>
        <w:jc w:val="both"/>
      </w:pPr>
      <w:r>
        <w:t>Les mesures nécessaires, après la mise en œuvre, en vue de la protection des éléments contre toute dégradation et salissement pendant toute la durée des travaux ;</w:t>
      </w:r>
    </w:p>
    <w:p w14:paraId="5E7744A5" w14:textId="77777777" w:rsidR="00DB2B68" w:rsidRDefault="00000000">
      <w:pPr>
        <w:pStyle w:val="Author-eListParagraph"/>
        <w:numPr>
          <w:ilvl w:val="0"/>
          <w:numId w:val="944"/>
        </w:numPr>
        <w:jc w:val="both"/>
      </w:pPr>
      <w:r>
        <w:t>L’enlèvement des protections pour la réception provisoire.</w:t>
      </w:r>
    </w:p>
    <w:p w14:paraId="20916501" w14:textId="77777777" w:rsidR="00DB2B68" w:rsidRDefault="00000000">
      <w:pPr>
        <w:pStyle w:val="pheading"/>
      </w:pPr>
      <w:r>
        <w:lastRenderedPageBreak/>
        <w:t>EXÉCUTION / MISE EN ŒUVRE</w:t>
      </w:r>
    </w:p>
    <w:p w14:paraId="04DCA2E5" w14:textId="77777777" w:rsidR="00DB2B68" w:rsidRDefault="00000000">
      <w:pPr>
        <w:jc w:val="both"/>
      </w:pPr>
      <w:r>
        <w:rPr>
          <w:b/>
        </w:rPr>
        <w:t>Etude</w:t>
      </w:r>
    </w:p>
    <w:p w14:paraId="1F61E244" w14:textId="77777777" w:rsidR="00DB2B68" w:rsidRDefault="00000000">
      <w:pPr>
        <w:jc w:val="both"/>
      </w:pPr>
      <w:r>
        <w:t>Le cahier spécial des charges doit mentionner les modalités d'entreprise en ce qui concerne l'étude de stabilité et les détails (voir dans les articles) :</w:t>
      </w:r>
    </w:p>
    <w:p w14:paraId="09321197" w14:textId="77777777" w:rsidR="00DB2B68" w:rsidRDefault="00000000">
      <w:pPr>
        <w:jc w:val="both"/>
      </w:pPr>
      <w:r>
        <w:rPr>
          <w:u w:val="single"/>
        </w:rPr>
        <w:t>Etude à charge du maître de l'ouvrage :</w:t>
      </w:r>
    </w:p>
    <w:p w14:paraId="60D97AE3" w14:textId="77777777" w:rsidR="00DB2B68" w:rsidRDefault="00000000">
      <w:pPr>
        <w:jc w:val="both"/>
      </w:pPr>
      <w:r>
        <w:t xml:space="preserve"> Les éléments de structure en bois sont exécutés conformément aux documents de travail annexés au dossier d'adjudication (plans, cahiers des charges, bordereaux, dessins de détail).</w:t>
      </w:r>
    </w:p>
    <w:p w14:paraId="124C36AD" w14:textId="77777777" w:rsidR="00DB2B68" w:rsidRDefault="00000000">
      <w:pPr>
        <w:jc w:val="both"/>
      </w:pPr>
      <w:r>
        <w:rPr>
          <w:u w:val="single"/>
        </w:rPr>
        <w:t>Etude à charge de l'entrepreneur :</w:t>
      </w:r>
    </w:p>
    <w:p w14:paraId="10DA4705" w14:textId="77777777" w:rsidR="00DB2B68" w:rsidRDefault="00000000">
      <w:pPr>
        <w:jc w:val="both"/>
      </w:pPr>
      <w:r>
        <w:t xml:space="preserve"> Les frais pour la réalisation de l'étude des éléments de construction en bois sont compris dans le prix de l'entreprise. Les dessins d'exécution établis par l'ingénieur, que l'entrepreneur a chargé de l'étude de stabilité, sont soumis à l'approbation de la direction des travaux avant le début des travaux et au plus tard deux mois après l'attribution des travaux. Ils sont établis conformément aux indications données dans les documents d'adjudication (plans, cahiers des charges, bordereaux, etc.).</w:t>
      </w:r>
    </w:p>
    <w:p w14:paraId="20E338D3" w14:textId="77777777" w:rsidR="00DB2B68" w:rsidRDefault="00000000">
      <w:pPr>
        <w:jc w:val="both"/>
      </w:pPr>
      <w:r>
        <w:rPr>
          <w:u w:val="single"/>
        </w:rPr>
        <w:t>Etude à charge du maître de l’ouvrage à l’exception des assemblages :</w:t>
      </w:r>
    </w:p>
    <w:p w14:paraId="4807BE5C" w14:textId="77777777" w:rsidR="00DB2B68" w:rsidRDefault="00000000">
      <w:pPr>
        <w:jc w:val="both"/>
      </w:pPr>
      <w:r>
        <w:t xml:space="preserve"> Les éléments de structure en bois sont exécutés conformément aux documents de travail annexés au dossier d'adjudication (plans, cahiers des charges, bordereaux, dessins de détail). Ces documents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14:paraId="6C1EA2BD" w14:textId="77777777" w:rsidR="00DB2B68" w:rsidRDefault="00000000">
      <w:pPr>
        <w:jc w:val="both"/>
      </w:pPr>
      <w:r>
        <w:rPr>
          <w:b/>
        </w:rPr>
        <w:t>Méthode de calcul</w:t>
      </w:r>
    </w:p>
    <w:p w14:paraId="6E562C43" w14:textId="77777777" w:rsidR="00DB2B68" w:rsidRDefault="00000000">
      <w:pPr>
        <w:jc w:val="both"/>
      </w:pPr>
      <w:r>
        <w:t>Les calculs sont exécutés conformément aux Eurocodes et en particulier conformément aux différentes parties de l'Eurocodes 5 [NBN EN 1995 série] et la [STS 23-1], [STS 23:ad.1], [STS 23:ad.2], [STS 31+ 32].</w:t>
      </w:r>
    </w:p>
    <w:p w14:paraId="7AECED10" w14:textId="77777777" w:rsidR="00DB2B68" w:rsidRDefault="00000000">
      <w:pPr>
        <w:jc w:val="both"/>
      </w:pPr>
      <w:r>
        <w:t>Les sollicitations à prendre en compte sont détaillées dans les différentes parties de l'Eurocode 1 [NBN EN 1991 série]. </w:t>
      </w:r>
    </w:p>
    <w:p w14:paraId="6E4F8036" w14:textId="77777777" w:rsidR="00DB2B68" w:rsidRDefault="00000000">
      <w:pPr>
        <w:jc w:val="both"/>
      </w:pPr>
      <w:r>
        <w:t>L'entrepreneur est tenu de contrôler les dimensions sur place et de vérifier si les systèmes de toiture préfabriqués peuvent être exécutés selon les plans soumis. Lorsque cela s'avère impossible, il en avertit l'auteur de projet ou le bureau d’étude le jour dans les plus brefs délais.</w:t>
      </w:r>
    </w:p>
    <w:p w14:paraId="7AF68C21" w14:textId="77777777" w:rsidR="00DB2B68" w:rsidRDefault="00000000">
      <w:pPr>
        <w:jc w:val="both"/>
      </w:pPr>
      <w:r>
        <w:t>Les sections de l’ossature préfabriquée, les modes de jonctions aux parois, les plans de pose et les calculs sont toujours établis et signés par un ingénieur en stabilité diplômé, attaché au fournisseur, et ce, aux frais de l'entrepreneur.</w:t>
      </w:r>
    </w:p>
    <w:p w14:paraId="5F6AB936" w14:textId="77777777" w:rsidR="00DB2B68" w:rsidRDefault="00000000">
      <w:pPr>
        <w:jc w:val="both"/>
      </w:pPr>
      <w:r>
        <w:t>L’entrepreneur soumet pour approbation les plans de fabrication, d’exécution et de montage au maître d’ouvrage et à l’auteur de projet avant d’en entamer la réalisation.</w:t>
      </w:r>
    </w:p>
    <w:p w14:paraId="1C5023C3" w14:textId="77777777" w:rsidR="00DB2B68" w:rsidRDefault="00000000">
      <w:pPr>
        <w:jc w:val="both"/>
      </w:pPr>
      <w:r>
        <w:t>Tous les bâtiments ou parties de bâtiments construits en bois respectent les tolérances de mise en œuvre énoncées dans la [STS 23-1].</w:t>
      </w:r>
    </w:p>
    <w:p w14:paraId="4978ACD5" w14:textId="77777777" w:rsidR="00DB2B68" w:rsidRDefault="00000000">
      <w:pPr>
        <w:jc w:val="both"/>
      </w:pPr>
      <w:r>
        <w:rPr>
          <w:b/>
        </w:rPr>
        <w:t>Mise en œuvre</w:t>
      </w:r>
    </w:p>
    <w:p w14:paraId="358B3BAD" w14:textId="77777777" w:rsidR="00DB2B68" w:rsidRDefault="00000000">
      <w:pPr>
        <w:jc w:val="both"/>
      </w:pPr>
      <w:r>
        <w:t>Les systèmes de toiture préfabriqués sont manutentionnés, stockés et mis en œuvre en respectant la documentation technique accompagnant le produit. </w:t>
      </w:r>
    </w:p>
    <w:p w14:paraId="397D1C96" w14:textId="77777777" w:rsidR="00DB2B68" w:rsidRDefault="00000000">
      <w:pPr>
        <w:jc w:val="both"/>
      </w:pPr>
      <w:r>
        <w:t>Les faces visibles sont protégées pour le transport et durant toute la mise en œuvre</w:t>
      </w:r>
    </w:p>
    <w:p w14:paraId="0FBE7DF0" w14:textId="77777777" w:rsidR="00DB2B68" w:rsidRDefault="00000000">
      <w:pPr>
        <w:jc w:val="both"/>
      </w:pPr>
      <w:r>
        <w:rPr>
          <w:b/>
        </w:rPr>
        <w:t>Fixations et assemblages</w:t>
      </w:r>
    </w:p>
    <w:p w14:paraId="19F212B1" w14:textId="77777777" w:rsidR="00DB2B68" w:rsidRDefault="00000000">
      <w:pPr>
        <w:jc w:val="both"/>
      </w:pPr>
      <w:r>
        <w:t>Les dispositifs d’ancrage sont décrits au titre du  </w:t>
      </w:r>
      <w:hyperlink w:anchor="585" w:history="1">
        <w:r>
          <w:rPr>
            <w:color w:val="0000EE"/>
          </w:rPr>
          <w:t>24.4 Assemblages</w:t>
        </w:r>
      </w:hyperlink>
      <w:r>
        <w:t>s et articles qui en découlent, mais la fourniture et la pose sont comprises dans le présent travail.</w:t>
      </w:r>
    </w:p>
    <w:p w14:paraId="76C3D41C" w14:textId="77777777" w:rsidR="00DB2B68" w:rsidRDefault="00000000">
      <w:pPr>
        <w:jc w:val="both"/>
      </w:pPr>
      <w:r>
        <w:t>Tous les assemblages mécaniques structuraux sont dimensionnés selon les principes de l’Eurocode [NBN EN 1995-1-1].</w:t>
      </w:r>
    </w:p>
    <w:p w14:paraId="51AD1EC5" w14:textId="77777777" w:rsidR="00DB2B68" w:rsidRDefault="00000000">
      <w:pPr>
        <w:jc w:val="both"/>
      </w:pPr>
      <w:r>
        <w:t>Les organes d’assemblage sont conformes aux prescriptions de la [NBN EN 14592].</w:t>
      </w:r>
    </w:p>
    <w:p w14:paraId="79825B48" w14:textId="77777777" w:rsidR="00DB2B68" w:rsidRDefault="00000000">
      <w:pPr>
        <w:jc w:val="both"/>
      </w:pPr>
      <w:r>
        <w:rPr>
          <w:b/>
        </w:rPr>
        <w:lastRenderedPageBreak/>
        <w:t>Pare-vapeur/Freine-vapeur et étanchéité à l’air</w:t>
      </w:r>
    </w:p>
    <w:p w14:paraId="18F4D2B1" w14:textId="77777777" w:rsidR="00DB2B68" w:rsidRDefault="00000000">
      <w:pPr>
        <w:jc w:val="both"/>
      </w:pPr>
      <w:r>
        <w:t>L’entrepreneur veille à assurer la parfaite étanchéité à l’air entre les caissons et aux différentes jonctions avec les murs, conformément à la [NIT 255].</w:t>
      </w:r>
    </w:p>
    <w:p w14:paraId="03439BC2" w14:textId="77777777" w:rsidR="00DB2B68" w:rsidRDefault="00000000">
      <w:pPr>
        <w:jc w:val="both"/>
      </w:pPr>
      <w:r>
        <w:t>Le pare-vapeur/frein-vapeur et l’étanchéité à l’air sont décrits au 32.2 Etanchéisation aux matières gazeuses et articles qui en découlent, mais leur fourniture et leur pose sont comprises dans le travail en cas d’application dans les articles.</w:t>
      </w:r>
    </w:p>
    <w:p w14:paraId="53BB1194" w14:textId="77777777" w:rsidR="00DB2B68" w:rsidRDefault="00000000">
      <w:pPr>
        <w:pStyle w:val="pheading"/>
      </w:pPr>
      <w:r>
        <w:t>DOCUMENTS DE RÉFÉRENCE</w:t>
      </w:r>
    </w:p>
    <w:p w14:paraId="4A9E4C22" w14:textId="77777777" w:rsidR="00DB2B68" w:rsidRDefault="00000000">
      <w:pPr>
        <w:pStyle w:val="pheading"/>
      </w:pPr>
      <w:r>
        <w:t>- Matériau</w:t>
      </w:r>
    </w:p>
    <w:p w14:paraId="35DB9E60" w14:textId="77777777" w:rsidR="00DB2B68" w:rsidRDefault="00000000">
      <w:r>
        <w:t>[NBN EN 1991 série, Eurocode 1 : Actions sur les structures]</w:t>
      </w:r>
    </w:p>
    <w:p w14:paraId="4557A38A" w14:textId="77777777" w:rsidR="00DB2B68" w:rsidRDefault="00000000">
      <w:r>
        <w:t>[NBN B 03-003, Déformation des structures - Valeurs limites de déformation - Bâtiments]</w:t>
      </w:r>
    </w:p>
    <w:p w14:paraId="4E29B6BB" w14:textId="77777777" w:rsidR="00DB2B68" w:rsidRDefault="00000000">
      <w:r>
        <w:t>[NBN EN ISO 12460-5, Panneaux à base de bois - Détermination du dégagement de formaldéhyde - Partie 5 : Méthode d'extraction (dite méthode au perforateur) (ISO 12460-5:2015)]</w:t>
      </w:r>
    </w:p>
    <w:p w14:paraId="3153F65B" w14:textId="77777777" w:rsidR="00DB2B68" w:rsidRDefault="00000000">
      <w:pPr>
        <w:pStyle w:val="pheading"/>
      </w:pPr>
      <w:r>
        <w:t>- Exécution</w:t>
      </w:r>
    </w:p>
    <w:p w14:paraId="7D1ED367" w14:textId="77777777" w:rsidR="00DB2B68" w:rsidRDefault="00000000">
      <w:r>
        <w:t>[NBN EN 1991 série, Eurocode 1 : Actions sur les structures]</w:t>
      </w:r>
    </w:p>
    <w:p w14:paraId="22A10829" w14:textId="77777777" w:rsidR="00DB2B68" w:rsidRDefault="00000000">
      <w:r>
        <w:t>[NBN B 03-003, Déformation des structures - Valeurs limites de déformation - Bâtiments]</w:t>
      </w:r>
    </w:p>
    <w:p w14:paraId="16C2DC8C" w14:textId="77777777" w:rsidR="00DB2B68" w:rsidRDefault="00000000">
      <w:r>
        <w:t>[NIT 255, L'étanchéité à l'air des bâtiments]</w:t>
      </w:r>
    </w:p>
    <w:p w14:paraId="4C939D8E" w14:textId="77777777" w:rsidR="00DB2B68" w:rsidRDefault="00000000">
      <w:r>
        <w:t>[NBN EN 14592, Structures en bois - Eléments de fixation de type tige - Exigences]</w:t>
      </w:r>
    </w:p>
    <w:p w14:paraId="5610415A" w14:textId="77777777" w:rsidR="00DB2B68" w:rsidRDefault="00000000">
      <w:pPr>
        <w:pStyle w:val="Author-eSectionHeading6Numberless"/>
      </w:pPr>
      <w:bookmarkStart w:id="1687" w:name="_Toc220496670"/>
      <w:r>
        <w:t>24.23.3a Systèmes de toiture en bois à base de caissons faits de planches CCTB 01.11</w:t>
      </w:r>
      <w:bookmarkEnd w:id="1687"/>
    </w:p>
    <w:p w14:paraId="48A801B2" w14:textId="77777777" w:rsidR="00DB2B68" w:rsidRDefault="00000000">
      <w:pPr>
        <w:pStyle w:val="pheading"/>
      </w:pPr>
      <w:r>
        <w:t>DESCRIPTION</w:t>
      </w:r>
    </w:p>
    <w:p w14:paraId="7055E7FF" w14:textId="77777777" w:rsidR="00DB2B68" w:rsidRDefault="00000000">
      <w:pPr>
        <w:pStyle w:val="pheading"/>
      </w:pPr>
      <w:r>
        <w:t>- Définition / Comprend</w:t>
      </w:r>
    </w:p>
    <w:p w14:paraId="2AB215C7" w14:textId="77777777" w:rsidR="00DB2B68" w:rsidRDefault="00000000">
      <w:pPr>
        <w:jc w:val="both"/>
      </w:pPr>
      <w:r>
        <w:t>Il s'agit de la fourniture et la pose de systèmes de toiture en bois à base de caissons faits de planches en bois massif, préfabriqués en atelier, remplis éventuellement d’isolant. Y compris tous les accessoires de fixation.</w:t>
      </w:r>
    </w:p>
    <w:p w14:paraId="0CFA3BC1" w14:textId="77777777" w:rsidR="00DB2B68" w:rsidRDefault="00000000">
      <w:pPr>
        <w:pStyle w:val="pheading"/>
      </w:pPr>
      <w:r>
        <w:t>MATÉRIAUX</w:t>
      </w:r>
    </w:p>
    <w:p w14:paraId="76D30106" w14:textId="77777777" w:rsidR="00DB2B68" w:rsidRDefault="00000000">
      <w:pPr>
        <w:pStyle w:val="pheading"/>
      </w:pPr>
      <w:r>
        <w:t>- Caractéristiques générales</w:t>
      </w:r>
    </w:p>
    <w:p w14:paraId="17DB3FF0" w14:textId="77777777" w:rsidR="00DB2B68" w:rsidRDefault="00000000">
      <w:pPr>
        <w:pStyle w:val="Author-eListParagraph"/>
        <w:numPr>
          <w:ilvl w:val="0"/>
          <w:numId w:val="945"/>
        </w:numPr>
        <w:jc w:val="both"/>
      </w:pPr>
      <w:r>
        <w:t xml:space="preserve">Classe de service, suivant la [NBN EN 1995-1-1] : </w:t>
      </w:r>
      <w:r>
        <w:rPr>
          <w:rStyle w:val="optioncarChar"/>
        </w:rPr>
        <w:t>1 / 2</w:t>
      </w:r>
      <w:r>
        <w:t xml:space="preserve"> (par défaut)</w:t>
      </w:r>
    </w:p>
    <w:p w14:paraId="51309E4C" w14:textId="77777777" w:rsidR="00DB2B68" w:rsidRDefault="00000000">
      <w:pPr>
        <w:pStyle w:val="Author-eListParagraph"/>
        <w:numPr>
          <w:ilvl w:val="0"/>
          <w:numId w:val="945"/>
        </w:numPr>
        <w:jc w:val="both"/>
      </w:pPr>
      <w:r>
        <w:t xml:space="preserve">Hauteur disponible pour les caissons : ≤ </w:t>
      </w:r>
      <w:r>
        <w:rPr>
          <w:rStyle w:val="optioncarChar"/>
        </w:rPr>
        <w:t xml:space="preserve">selon les indications sur les plans </w:t>
      </w:r>
      <w:r>
        <w:t>(par défaut)</w:t>
      </w:r>
      <w:r>
        <w:rPr>
          <w:rStyle w:val="optioncarChar"/>
        </w:rPr>
        <w:t xml:space="preserve"> / ***</w:t>
      </w:r>
      <w:r>
        <w:t xml:space="preserve"> mm, tolérance ± 10 mm</w:t>
      </w:r>
    </w:p>
    <w:p w14:paraId="5135A7B8" w14:textId="77777777" w:rsidR="00DB2B68" w:rsidRDefault="00000000">
      <w:pPr>
        <w:pStyle w:val="Author-eListParagraph"/>
        <w:numPr>
          <w:ilvl w:val="0"/>
          <w:numId w:val="945"/>
        </w:numPr>
        <w:jc w:val="both"/>
      </w:pPr>
      <w:r>
        <w:t xml:space="preserve">Portée : ≤ </w:t>
      </w:r>
      <w:r>
        <w:rPr>
          <w:rStyle w:val="optioncarChar"/>
        </w:rPr>
        <w:t xml:space="preserve">selon les indications sur les plans </w:t>
      </w:r>
      <w:r>
        <w:t>(par défaut)</w:t>
      </w:r>
      <w:r>
        <w:rPr>
          <w:rStyle w:val="optioncarChar"/>
        </w:rPr>
        <w:t xml:space="preserve"> / ***</w:t>
      </w:r>
      <w:r>
        <w:t xml:space="preserve"> m, tolérance ± 100 mm</w:t>
      </w:r>
    </w:p>
    <w:p w14:paraId="12701D15" w14:textId="77777777" w:rsidR="00DB2B68" w:rsidRDefault="00000000">
      <w:pPr>
        <w:pStyle w:val="Author-eListParagraph"/>
        <w:numPr>
          <w:ilvl w:val="0"/>
          <w:numId w:val="945"/>
        </w:numPr>
        <w:jc w:val="both"/>
      </w:pPr>
      <w:r>
        <w:t>Les caissons sont calculés pour des charges suivant l’Eurocode [NBN EN 1991-1-4], [NBN EN 1991-1-4 ANB], [NBN EN 1991-1-4/A1].</w:t>
      </w:r>
    </w:p>
    <w:p w14:paraId="72185CEF" w14:textId="77777777" w:rsidR="00DB2B68" w:rsidRDefault="00000000">
      <w:pPr>
        <w:pStyle w:val="Author-eListParagraph"/>
        <w:numPr>
          <w:ilvl w:val="0"/>
          <w:numId w:val="945"/>
        </w:numPr>
        <w:jc w:val="both"/>
      </w:pPr>
      <w:r>
        <w:t xml:space="preserve">Le critère de flèche, suivant la [NBN B 03-003] est de : </w:t>
      </w:r>
      <w:r>
        <w:rPr>
          <w:rStyle w:val="optioncarChar"/>
        </w:rPr>
        <w:t xml:space="preserve">L/500 / L/450 / L/350 </w:t>
      </w:r>
      <w:r>
        <w:t>(par défaut)</w:t>
      </w:r>
      <w:r>
        <w:rPr>
          <w:rStyle w:val="optioncarChar"/>
        </w:rPr>
        <w:t xml:space="preserve"> / L/250 </w:t>
      </w:r>
    </w:p>
    <w:p w14:paraId="2BB22068" w14:textId="77777777" w:rsidR="00DB2B68" w:rsidRDefault="00000000">
      <w:pPr>
        <w:jc w:val="both"/>
      </w:pPr>
      <w:r>
        <w:rPr>
          <w:b/>
        </w:rPr>
        <w:t>Matériau</w:t>
      </w:r>
    </w:p>
    <w:p w14:paraId="6B91F8B1" w14:textId="77777777" w:rsidR="00DB2B68" w:rsidRDefault="00000000">
      <w:pPr>
        <w:jc w:val="both"/>
      </w:pPr>
      <w:r>
        <w:t>Les caissons sont composés de planches en bois massif résineux fabriqués industriellement.</w:t>
      </w:r>
    </w:p>
    <w:p w14:paraId="59FE8002" w14:textId="77777777" w:rsidR="00DB2B68" w:rsidRDefault="00000000">
      <w:pPr>
        <w:jc w:val="both"/>
      </w:pPr>
      <w:r>
        <w:t>Le caisson est composé au minimum de nervures verticales et d’une face inférieure.</w:t>
      </w:r>
    </w:p>
    <w:p w14:paraId="1381A12C" w14:textId="77777777" w:rsidR="00DB2B68" w:rsidRDefault="00000000">
      <w:pPr>
        <w:jc w:val="both"/>
      </w:pPr>
      <w:r>
        <w:t xml:space="preserve">Présence d’une face supérieure : </w:t>
      </w:r>
      <w:r>
        <w:rPr>
          <w:rStyle w:val="optioncarChar"/>
        </w:rPr>
        <w:t xml:space="preserve">oui </w:t>
      </w:r>
      <w:r>
        <w:t>(par défaut)</w:t>
      </w:r>
      <w:r>
        <w:rPr>
          <w:rStyle w:val="optioncarChar"/>
        </w:rPr>
        <w:t xml:space="preserve"> / non</w:t>
      </w:r>
    </w:p>
    <w:p w14:paraId="6F10E3A8" w14:textId="77777777" w:rsidR="00DB2B68" w:rsidRDefault="00000000">
      <w:pPr>
        <w:jc w:val="both"/>
      </w:pPr>
      <w:r>
        <w:t>Les faces sont assemblées par collage rigide sur toute la longueur des nervures. Entre les nervures, des raidisseurs (des entretoises) destinés à la stabilisation sont disposés à intervalles réguliers ≤ 1,2 m. </w:t>
      </w:r>
    </w:p>
    <w:p w14:paraId="75FA9997" w14:textId="77777777" w:rsidR="00DB2B68" w:rsidRDefault="00000000">
      <w:pPr>
        <w:jc w:val="both"/>
      </w:pPr>
      <w:r>
        <w:t>Les planches des faces sont reliées dans le sens de la longueur par aboutements collés. </w:t>
      </w:r>
    </w:p>
    <w:p w14:paraId="29E335E9" w14:textId="77777777" w:rsidR="00DB2B68" w:rsidRDefault="00000000">
      <w:pPr>
        <w:jc w:val="both"/>
      </w:pPr>
      <w:r>
        <w:rPr>
          <w:u w:val="single"/>
        </w:rPr>
        <w:t>Caractéristiques</w:t>
      </w:r>
    </w:p>
    <w:p w14:paraId="0C97EF75" w14:textId="77777777" w:rsidR="00DB2B68" w:rsidRDefault="00000000">
      <w:pPr>
        <w:pStyle w:val="Author-eListParagraph"/>
        <w:numPr>
          <w:ilvl w:val="0"/>
          <w:numId w:val="946"/>
        </w:numPr>
      </w:pPr>
      <w:r>
        <w:lastRenderedPageBreak/>
        <w:t xml:space="preserve">Essence de bois : </w:t>
      </w:r>
      <w:r>
        <w:rPr>
          <w:rStyle w:val="optioncarChar"/>
        </w:rPr>
        <w:t xml:space="preserve">au choix du fabricant, à soumettre à l’approbation de l’Architecte et du Maître de l’Ouvrage </w:t>
      </w:r>
      <w:r>
        <w:t>(par défaut)</w:t>
      </w:r>
      <w:r>
        <w:rPr>
          <w:rStyle w:val="optioncarChar"/>
        </w:rPr>
        <w:t xml:space="preserve"> / épicéa / sapin / pin sylvestre (sapin rouge du Nord - SRN) / mélèze / douglas / pin d’Oregon / ***</w:t>
      </w:r>
    </w:p>
    <w:p w14:paraId="3BCA1DBE" w14:textId="77777777" w:rsidR="00DB2B68" w:rsidRDefault="00000000">
      <w:pPr>
        <w:pStyle w:val="Author-eListParagraph"/>
        <w:numPr>
          <w:ilvl w:val="0"/>
          <w:numId w:val="946"/>
        </w:numPr>
      </w:pPr>
      <w:r>
        <w:t xml:space="preserve">Classe de résistance ≥ </w:t>
      </w:r>
      <w:r>
        <w:rPr>
          <w:rStyle w:val="optioncarChar"/>
        </w:rPr>
        <w:t xml:space="preserve">suivant l’étude </w:t>
      </w:r>
      <w:r>
        <w:t>(par défaut)</w:t>
      </w:r>
      <w:r>
        <w:rPr>
          <w:rStyle w:val="optioncarChar"/>
        </w:rPr>
        <w:t xml:space="preserve"> / C16 / C18 / C24</w:t>
      </w:r>
    </w:p>
    <w:p w14:paraId="53E3CB61" w14:textId="77777777" w:rsidR="00DB2B68" w:rsidRDefault="00000000">
      <w:pPr>
        <w:pStyle w:val="Author-eListParagraph"/>
        <w:numPr>
          <w:ilvl w:val="0"/>
          <w:numId w:val="946"/>
        </w:numPr>
      </w:pPr>
      <w:r>
        <w:t xml:space="preserve">Largeur des éléments : ≤ </w:t>
      </w:r>
      <w:r>
        <w:rPr>
          <w:rStyle w:val="optioncarChar"/>
        </w:rPr>
        <w:t>au choix de l’entrepreneur</w:t>
      </w:r>
      <w:r>
        <w:t xml:space="preserve"> (par défaut)</w:t>
      </w:r>
      <w:r>
        <w:rPr>
          <w:rStyle w:val="optioncarChar"/>
        </w:rPr>
        <w:t xml:space="preserve"> / 20 / 60 / 100</w:t>
      </w:r>
      <w:r>
        <w:t xml:space="preserve"> cm, tolérance ± 2 cm.</w:t>
      </w:r>
    </w:p>
    <w:p w14:paraId="64FE1B68" w14:textId="77777777" w:rsidR="00DB2B68" w:rsidRDefault="00000000">
      <w:pPr>
        <w:pStyle w:val="Author-eListParagraph"/>
        <w:numPr>
          <w:ilvl w:val="0"/>
          <w:numId w:val="946"/>
        </w:numPr>
      </w:pPr>
      <w:r>
        <w:t>Classe de réaction au feu, selon la [NBN EN 13501-1] : D-s1, d0</w:t>
      </w:r>
    </w:p>
    <w:p w14:paraId="036E5674" w14:textId="77777777" w:rsidR="00DB2B68" w:rsidRDefault="00000000">
      <w:pPr>
        <w:pStyle w:val="Author-eListParagraph"/>
        <w:numPr>
          <w:ilvl w:val="0"/>
          <w:numId w:val="946"/>
        </w:numPr>
      </w:pPr>
      <w:r>
        <w:t>Nature du collage :  adhésifs polyuréthane monocomposant durcissant à l'humidité (PUR) :</w:t>
      </w:r>
      <w:r>
        <w:br/>
        <w:t>Les adhésifs polyuréthane monocomposant durcissant à l’humidité satisfont aux exigences de la [NBN EN 15425] et [NBN EN 302-2]. Pour les adhésifs polyuréthane monocomposant durcissant à l'humidité devant être utilisés dans des aboutages à entures multiples, l'essai de délamination conformément à la [NBN EN 302-2] peut être remplacé par des essais conformément à la [NBN EN 301].</w:t>
      </w:r>
    </w:p>
    <w:p w14:paraId="3AF7424F" w14:textId="77777777" w:rsidR="00DB2B68" w:rsidRDefault="00000000">
      <w:pPr>
        <w:pStyle w:val="Author-eListParagraph"/>
        <w:numPr>
          <w:ilvl w:val="0"/>
          <w:numId w:val="946"/>
        </w:numPr>
      </w:pPr>
      <w:r>
        <w:t>Classe d’émission de formaldéhyde, selon la [NBN EN ISO 12460-5] : E1</w:t>
      </w:r>
    </w:p>
    <w:p w14:paraId="3AB7A3F2" w14:textId="77777777" w:rsidR="00DB2B68" w:rsidRDefault="00000000">
      <w:pPr>
        <w:pStyle w:val="Author-eListParagraph"/>
        <w:numPr>
          <w:ilvl w:val="0"/>
          <w:numId w:val="946"/>
        </w:numPr>
      </w:pPr>
      <w:r>
        <w:t>Les nœuds des planches sont collés avant tout rabotage.</w:t>
      </w:r>
    </w:p>
    <w:p w14:paraId="32194D30" w14:textId="77777777" w:rsidR="00DB2B68" w:rsidRDefault="00000000">
      <w:pPr>
        <w:pStyle w:val="Author-eListParagraph"/>
        <w:numPr>
          <w:ilvl w:val="0"/>
          <w:numId w:val="946"/>
        </w:numPr>
      </w:pPr>
      <w:r>
        <w:t>Assemblage latéral entre caissons : rainuré-langueté</w:t>
      </w:r>
    </w:p>
    <w:p w14:paraId="0FB2EEDA" w14:textId="77777777" w:rsidR="00DB2B68" w:rsidRDefault="00000000">
      <w:pPr>
        <w:pStyle w:val="Author-eListParagraph"/>
        <w:numPr>
          <w:ilvl w:val="0"/>
          <w:numId w:val="946"/>
        </w:numPr>
      </w:pPr>
      <w:r>
        <w:t>Finition des bords : droits</w:t>
      </w:r>
    </w:p>
    <w:p w14:paraId="5E81CE73" w14:textId="77777777" w:rsidR="00DB2B68" w:rsidRDefault="00000000">
      <w:pPr>
        <w:pStyle w:val="Author-eListParagraph"/>
        <w:numPr>
          <w:ilvl w:val="0"/>
          <w:numId w:val="946"/>
        </w:numPr>
      </w:pPr>
      <w:r>
        <w:t xml:space="preserve">Finition de la face inférieure : </w:t>
      </w:r>
      <w:r>
        <w:rPr>
          <w:rStyle w:val="optioncarChar"/>
        </w:rPr>
        <w:t xml:space="preserve">poncée (vue) </w:t>
      </w:r>
      <w:r>
        <w:t>(par défaut)</w:t>
      </w:r>
      <w:r>
        <w:rPr>
          <w:rStyle w:val="optioncarChar"/>
        </w:rPr>
        <w:t xml:space="preserve"> / rabotée</w:t>
      </w:r>
    </w:p>
    <w:p w14:paraId="34DA06E4" w14:textId="77777777" w:rsidR="00DB2B68" w:rsidRDefault="00000000">
      <w:pPr>
        <w:pStyle w:val="Author-eListParagraph"/>
        <w:numPr>
          <w:ilvl w:val="0"/>
          <w:numId w:val="946"/>
        </w:numPr>
      </w:pPr>
      <w:r>
        <w:t>Finition de la face supérieure :  </w:t>
      </w:r>
      <w:r>
        <w:rPr>
          <w:rStyle w:val="optioncarChar"/>
        </w:rPr>
        <w:t>rabotée</w:t>
      </w:r>
      <w:r>
        <w:t xml:space="preserve"> (par défaut)</w:t>
      </w:r>
      <w:r>
        <w:rPr>
          <w:rStyle w:val="optioncarChar"/>
        </w:rPr>
        <w:t xml:space="preserve"> / pas de face supérieure</w:t>
      </w:r>
    </w:p>
    <w:p w14:paraId="2B472EFF" w14:textId="77777777" w:rsidR="00DB2B68" w:rsidRDefault="00000000">
      <w:pPr>
        <w:jc w:val="both"/>
      </w:pPr>
      <w:r>
        <w:rPr>
          <w:b/>
        </w:rPr>
        <w:t>Absorption acoustique</w:t>
      </w:r>
    </w:p>
    <w:p w14:paraId="64E2C221" w14:textId="77777777" w:rsidR="00DB2B68" w:rsidRDefault="00000000">
      <w:pPr>
        <w:jc w:val="both"/>
      </w:pPr>
      <w:r>
        <w:t>La face inférieure présente des ouvertures pour l’absorption acoustique :</w:t>
      </w:r>
      <w:r>
        <w:rPr>
          <w:rStyle w:val="optioncarChar"/>
        </w:rPr>
        <w:t xml:space="preserve"> non </w:t>
      </w:r>
      <w:r>
        <w:t>(par défaut)</w:t>
      </w:r>
      <w:r>
        <w:rPr>
          <w:rStyle w:val="optioncarChar"/>
        </w:rPr>
        <w:t xml:space="preserve"> / oui </w:t>
      </w:r>
    </w:p>
    <w:p w14:paraId="6A3E4F7E" w14:textId="77777777" w:rsidR="00DB2B68" w:rsidRDefault="00000000">
      <w:pPr>
        <w:jc w:val="both"/>
      </w:pPr>
      <w:r>
        <w:t>Dans le cas où un absorbeur acoustique est prévu, la face inférieure présente des ouvertures d’absorption acoustique. Une couche d’absorbeur est placée au-dessus de la face inférieure.</w:t>
      </w:r>
    </w:p>
    <w:p w14:paraId="737C7700" w14:textId="77777777" w:rsidR="00DB2B68" w:rsidRDefault="00000000">
      <w:pPr>
        <w:pStyle w:val="Author-eListParagraph"/>
        <w:numPr>
          <w:ilvl w:val="0"/>
          <w:numId w:val="947"/>
        </w:numPr>
      </w:pPr>
      <w:r>
        <w:t xml:space="preserve">Matériau : </w:t>
      </w:r>
      <w:r>
        <w:rPr>
          <w:rStyle w:val="optioncarChar"/>
        </w:rPr>
        <w:t xml:space="preserve">fibre de bois </w:t>
      </w:r>
      <w:r>
        <w:t>(par défaut)</w:t>
      </w:r>
      <w:r>
        <w:rPr>
          <w:rStyle w:val="optioncarChar"/>
        </w:rPr>
        <w:t xml:space="preserve"> / ***</w:t>
      </w:r>
    </w:p>
    <w:p w14:paraId="08EE403A" w14:textId="77777777" w:rsidR="00DB2B68" w:rsidRDefault="00000000">
      <w:pPr>
        <w:pStyle w:val="Author-eListParagraph"/>
        <w:numPr>
          <w:ilvl w:val="0"/>
          <w:numId w:val="947"/>
        </w:numPr>
      </w:pPr>
      <w:r>
        <w:t xml:space="preserve">Masse volumique de l’absorbeur :  ≤ </w:t>
      </w:r>
      <w:r>
        <w:rPr>
          <w:rStyle w:val="optioncarChar"/>
        </w:rPr>
        <w:t>110 (par défaut) / ***</w:t>
      </w:r>
      <w:r>
        <w:t> kg/m³</w:t>
      </w:r>
    </w:p>
    <w:p w14:paraId="3722A30C" w14:textId="77777777" w:rsidR="00DB2B68" w:rsidRDefault="00000000">
      <w:pPr>
        <w:pStyle w:val="Author-eListParagraph"/>
        <w:numPr>
          <w:ilvl w:val="0"/>
          <w:numId w:val="947"/>
        </w:numPr>
      </w:pPr>
      <w:r>
        <w:t xml:space="preserve">Epaisseur de l’absorbeur : ≥ </w:t>
      </w:r>
      <w:r>
        <w:rPr>
          <w:rStyle w:val="optioncarChar"/>
        </w:rPr>
        <w:t>20 / 22 / 26 / 40</w:t>
      </w:r>
      <w:r>
        <w:t xml:space="preserve"> (par défaut) mm</w:t>
      </w:r>
    </w:p>
    <w:p w14:paraId="46D5E31E" w14:textId="77777777" w:rsidR="00DB2B68" w:rsidRDefault="00000000">
      <w:pPr>
        <w:pStyle w:val="Author-eListParagraph"/>
        <w:numPr>
          <w:ilvl w:val="0"/>
          <w:numId w:val="947"/>
        </w:numPr>
      </w:pPr>
      <w:r>
        <w:t xml:space="preserve">Forme des ouvertures : </w:t>
      </w:r>
      <w:r>
        <w:rPr>
          <w:rStyle w:val="optioncarChar"/>
        </w:rPr>
        <w:t>rondes</w:t>
      </w:r>
      <w:r>
        <w:t xml:space="preserve"> (par défaut)</w:t>
      </w:r>
      <w:r>
        <w:rPr>
          <w:rStyle w:val="optioncarChar"/>
        </w:rPr>
        <w:t xml:space="preserve"> / rainures </w:t>
      </w:r>
    </w:p>
    <w:p w14:paraId="1676D4FC" w14:textId="77777777" w:rsidR="00DB2B68" w:rsidRDefault="00000000">
      <w:pPr>
        <w:pStyle w:val="Author-eListParagraph"/>
        <w:numPr>
          <w:ilvl w:val="0"/>
          <w:numId w:val="947"/>
        </w:numPr>
      </w:pPr>
      <w:r>
        <w:t xml:space="preserve">Caractéristiques des ouvertures : </w:t>
      </w:r>
      <w:r>
        <w:rPr>
          <w:rStyle w:val="optioncarChar"/>
        </w:rPr>
        <w:t xml:space="preserve">à soumettre sur chantier à l'approbation à l'architecte et au maître de l'ouvrage en fonction du nuancier du fabricant </w:t>
      </w:r>
      <w:r>
        <w:t>(par défaut)</w:t>
      </w:r>
      <w:r>
        <w:rPr>
          <w:rStyle w:val="optioncarChar"/>
        </w:rPr>
        <w:t xml:space="preserve"> / ***</w:t>
      </w:r>
    </w:p>
    <w:p w14:paraId="67D58E47" w14:textId="77777777" w:rsidR="00DB2B68" w:rsidRDefault="00000000">
      <w:pPr>
        <w:pStyle w:val="Author-eListParagraph"/>
        <w:numPr>
          <w:ilvl w:val="0"/>
          <w:numId w:val="947"/>
        </w:numPr>
      </w:pPr>
      <w:r>
        <w:t>Coefficient d’absorption pondéré, suivant la norme [NBN EN ISO 11654], αw ≥ </w:t>
      </w:r>
      <w:r>
        <w:rPr>
          <w:rStyle w:val="optioncarChar"/>
        </w:rPr>
        <w:t>0,4 / 0,5</w:t>
      </w:r>
      <w:r>
        <w:t xml:space="preserve"> (par défaut)</w:t>
      </w:r>
      <w:r>
        <w:rPr>
          <w:rStyle w:val="optioncarChar"/>
        </w:rPr>
        <w:t xml:space="preserve"> / 0,6 / 0,7 / 0,8 / 0,9</w:t>
      </w:r>
    </w:p>
    <w:p w14:paraId="06C0259E" w14:textId="77777777" w:rsidR="00DB2B68" w:rsidRDefault="00000000">
      <w:pPr>
        <w:jc w:val="both"/>
      </w:pPr>
      <w:r>
        <w:rPr>
          <w:b/>
        </w:rPr>
        <w:t>Isolation thermique</w:t>
      </w:r>
    </w:p>
    <w:p w14:paraId="146FE07D" w14:textId="77777777" w:rsidR="00DB2B68" w:rsidRDefault="00000000">
      <w:pPr>
        <w:jc w:val="both"/>
      </w:pPr>
      <w:r>
        <w:t xml:space="preserve">De l’isolant thermique est placé à l’intérieur des caissons : </w:t>
      </w:r>
      <w:r>
        <w:rPr>
          <w:rStyle w:val="optioncarChar"/>
        </w:rPr>
        <w:t>non</w:t>
      </w:r>
      <w:r>
        <w:t xml:space="preserve"> (par défaut)</w:t>
      </w:r>
      <w:r>
        <w:rPr>
          <w:rStyle w:val="optioncarChar"/>
        </w:rPr>
        <w:t xml:space="preserve"> / oui</w:t>
      </w:r>
    </w:p>
    <w:p w14:paraId="2303D6D5" w14:textId="77777777" w:rsidR="00DB2B68" w:rsidRDefault="00000000">
      <w:pPr>
        <w:jc w:val="both"/>
      </w:pPr>
      <w:r>
        <w:t>Dans le cas où un isolant thermique est prévu, celui-ci est placé à l’intérieur des caissons, dans toute leur épaisseur :</w:t>
      </w:r>
    </w:p>
    <w:p w14:paraId="65555E6D" w14:textId="77777777" w:rsidR="00DB2B68" w:rsidRDefault="00000000">
      <w:pPr>
        <w:pStyle w:val="Author-eListParagraph"/>
        <w:numPr>
          <w:ilvl w:val="0"/>
          <w:numId w:val="948"/>
        </w:numPr>
      </w:pPr>
      <w:r>
        <w:t>Nature de l’isolant :</w:t>
      </w:r>
      <w:r>
        <w:rPr>
          <w:rStyle w:val="optioncarChar"/>
        </w:rPr>
        <w:t xml:space="preserve"> laine de bois</w:t>
      </w:r>
      <w:r>
        <w:t> (par défaut)</w:t>
      </w:r>
      <w:r>
        <w:rPr>
          <w:rStyle w:val="optioncarChar"/>
        </w:rPr>
        <w:t> / laine de verre / ***</w:t>
      </w:r>
    </w:p>
    <w:p w14:paraId="17146C84" w14:textId="77777777" w:rsidR="00DB2B68" w:rsidRDefault="00000000">
      <w:pPr>
        <w:pStyle w:val="Author-eListParagraph"/>
        <w:numPr>
          <w:ilvl w:val="0"/>
          <w:numId w:val="948"/>
        </w:numPr>
      </w:pPr>
      <w:r>
        <w:t>Conductivité thermique lambda, suivant la [NBN EN 12667] ou [NBN EN ISO 10456] : ≤ </w:t>
      </w:r>
      <w:r>
        <w:rPr>
          <w:rStyle w:val="optioncarChar"/>
        </w:rPr>
        <w:t xml:space="preserve">0,040 </w:t>
      </w:r>
      <w:r>
        <w:t>(par défaut)</w:t>
      </w:r>
      <w:r>
        <w:rPr>
          <w:rStyle w:val="optioncarChar"/>
        </w:rPr>
        <w:t xml:space="preserve"> / 0,035 </w:t>
      </w:r>
      <w:r>
        <w:t>W/(m.K)</w:t>
      </w:r>
    </w:p>
    <w:p w14:paraId="0593D388" w14:textId="77777777" w:rsidR="00DB2B68" w:rsidRDefault="00000000">
      <w:pPr>
        <w:jc w:val="both"/>
      </w:pPr>
      <w:r>
        <w:rPr>
          <w:b/>
        </w:rPr>
        <w:t>Résistance au feu</w:t>
      </w:r>
    </w:p>
    <w:p w14:paraId="1326B823" w14:textId="77777777" w:rsidR="00DB2B68" w:rsidRDefault="00000000">
      <w:pPr>
        <w:jc w:val="both"/>
      </w:pPr>
      <w:r>
        <w:t xml:space="preserve">Le système de toiture présente une résistance au feu, selon la [NBN EN 13501-2] : </w:t>
      </w:r>
      <w:r>
        <w:rPr>
          <w:rStyle w:val="optioncarChar"/>
        </w:rPr>
        <w:t xml:space="preserve">pas d’application / REI30 </w:t>
      </w:r>
      <w:r>
        <w:t>(par défaut)</w:t>
      </w:r>
      <w:r>
        <w:rPr>
          <w:rStyle w:val="optioncarChar"/>
        </w:rPr>
        <w:t xml:space="preserve"> / REI60 / REI 90 / REI 120</w:t>
      </w:r>
    </w:p>
    <w:p w14:paraId="4F72E53D" w14:textId="77777777" w:rsidR="00DB2B68" w:rsidRDefault="00000000">
      <w:pPr>
        <w:jc w:val="both"/>
      </w:pPr>
      <w:r>
        <w:t xml:space="preserve">En cas de résistance au feu obligatoire, celle-ci est atteinte : </w:t>
      </w:r>
      <w:r>
        <w:rPr>
          <w:rStyle w:val="optioncarChar"/>
        </w:rPr>
        <w:t xml:space="preserve">sans traitement particulier </w:t>
      </w:r>
      <w:r>
        <w:t>(par défaut</w:t>
      </w:r>
      <w:r>
        <w:rPr>
          <w:rStyle w:val="optioncarChar"/>
        </w:rPr>
        <w:t>) / par traitement ignifuge (compris dans le travail)</w:t>
      </w:r>
      <w:r>
        <w:t xml:space="preserve"> du bois. </w:t>
      </w:r>
    </w:p>
    <w:p w14:paraId="05D13CCA" w14:textId="77777777" w:rsidR="00DB2B68" w:rsidRDefault="00000000">
      <w:pPr>
        <w:pStyle w:val="pheading"/>
      </w:pPr>
      <w:r>
        <w:t>- Finitions</w:t>
      </w:r>
    </w:p>
    <w:p w14:paraId="4715CCE0" w14:textId="77777777" w:rsidR="00DB2B68" w:rsidRDefault="00000000">
      <w:pPr>
        <w:jc w:val="both"/>
      </w:pPr>
      <w:r>
        <w:rPr>
          <w:b/>
        </w:rPr>
        <w:t>Traitement de finition du bois en atelier</w:t>
      </w:r>
    </w:p>
    <w:p w14:paraId="2A618FC2" w14:textId="77777777" w:rsidR="00DB2B68" w:rsidRDefault="00000000">
      <w:pPr>
        <w:jc w:val="both"/>
      </w:pPr>
      <w:r>
        <w:t xml:space="preserve">Traitement des parties visibles du bois : </w:t>
      </w:r>
      <w:r>
        <w:rPr>
          <w:rStyle w:val="optioncarChar"/>
        </w:rPr>
        <w:t xml:space="preserve">pas de finition </w:t>
      </w:r>
      <w:r>
        <w:t xml:space="preserve">(par défaut) / </w:t>
      </w:r>
      <w:r>
        <w:rPr>
          <w:rStyle w:val="optioncarChar"/>
        </w:rPr>
        <w:t>application d’une finition</w:t>
      </w:r>
    </w:p>
    <w:p w14:paraId="7BD4CBE8" w14:textId="77777777" w:rsidR="00DB2B68" w:rsidRDefault="00000000">
      <w:pPr>
        <w:jc w:val="both"/>
      </w:pPr>
      <w:r>
        <w:rPr>
          <w:u w:val="single"/>
        </w:rPr>
        <w:t>Dans le cas de l’application d’une finition sur le bois prévue dans le présent travail :</w:t>
      </w:r>
    </w:p>
    <w:p w14:paraId="2D9F7998" w14:textId="77777777" w:rsidR="00DB2B68" w:rsidRDefault="00000000">
      <w:pPr>
        <w:pStyle w:val="Author-eListParagraph"/>
        <w:numPr>
          <w:ilvl w:val="0"/>
          <w:numId w:val="949"/>
        </w:numPr>
        <w:jc w:val="both"/>
      </w:pPr>
      <w:r>
        <w:t xml:space="preserve">Type de traitement : </w:t>
      </w:r>
      <w:r>
        <w:rPr>
          <w:rStyle w:val="optioncarChar"/>
        </w:rPr>
        <w:t xml:space="preserve">anti UV </w:t>
      </w:r>
      <w:r>
        <w:t>(par défaut)</w:t>
      </w:r>
      <w:r>
        <w:rPr>
          <w:rStyle w:val="optioncarChar"/>
        </w:rPr>
        <w:t xml:space="preserve"> / lasure / verni / peinture / huile / céruse</w:t>
      </w:r>
    </w:p>
    <w:p w14:paraId="5A088EDD" w14:textId="77777777" w:rsidR="00DB2B68" w:rsidRDefault="00000000">
      <w:pPr>
        <w:pStyle w:val="Author-eListParagraph"/>
        <w:numPr>
          <w:ilvl w:val="0"/>
          <w:numId w:val="949"/>
        </w:numPr>
        <w:jc w:val="both"/>
      </w:pPr>
      <w:r>
        <w:lastRenderedPageBreak/>
        <w:t>Teinte :</w:t>
      </w:r>
      <w:r>
        <w:rPr>
          <w:rStyle w:val="optioncarChar"/>
        </w:rPr>
        <w:t xml:space="preserve"> transparent</w:t>
      </w:r>
      <w:r>
        <w:t xml:space="preserve"> (par défaut)</w:t>
      </w:r>
      <w:r>
        <w:rPr>
          <w:rStyle w:val="optioncarChar"/>
        </w:rPr>
        <w:t xml:space="preserve"> / pigmenté blanchâtre / transparent / blanc / RAL : ***</w:t>
      </w:r>
    </w:p>
    <w:p w14:paraId="155D9B8A" w14:textId="77777777" w:rsidR="00DB2B68" w:rsidRDefault="00000000">
      <w:pPr>
        <w:pStyle w:val="pheading"/>
      </w:pPr>
      <w:r>
        <w:t>EXÉCUTION / MISE EN ŒUVRE</w:t>
      </w:r>
    </w:p>
    <w:p w14:paraId="4324BC26" w14:textId="77777777" w:rsidR="00DB2B68" w:rsidRDefault="00000000">
      <w:pPr>
        <w:pStyle w:val="pheading"/>
      </w:pPr>
      <w:r>
        <w:t>- Prescriptions générales</w:t>
      </w:r>
    </w:p>
    <w:p w14:paraId="7352CE6D" w14:textId="77777777" w:rsidR="00DB2B68" w:rsidRDefault="00000000">
      <w:pPr>
        <w:jc w:val="both"/>
      </w:pPr>
      <w:r>
        <w:rPr>
          <w:b/>
        </w:rPr>
        <w:t>Etude</w:t>
      </w:r>
    </w:p>
    <w:p w14:paraId="4AC61685" w14:textId="77777777" w:rsidR="00DB2B68" w:rsidRDefault="00000000">
      <w:pPr>
        <w:jc w:val="both"/>
      </w:pPr>
      <w:r>
        <w:t xml:space="preserve">Choix opéré, conformément aux prescriptions du </w:t>
      </w:r>
      <w:hyperlink w:anchor="603" w:history="1">
        <w:r>
          <w:rPr>
            <w:color w:val="0000EE"/>
          </w:rP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w:t>
      </w:r>
    </w:p>
    <w:p w14:paraId="2C5ACDF3" w14:textId="77777777" w:rsidR="00DB2B68" w:rsidRDefault="00000000">
      <w:pPr>
        <w:jc w:val="both"/>
      </w:pPr>
      <w:r>
        <w:rPr>
          <w:b/>
        </w:rPr>
        <w:t>Pare-vapeur/Frein-vapeur et étanchéité à l’air</w:t>
      </w:r>
    </w:p>
    <w:p w14:paraId="329BB0C1" w14:textId="77777777" w:rsidR="00DB2B68" w:rsidRDefault="00000000">
      <w:pPr>
        <w:jc w:val="both"/>
      </w:pPr>
      <w:r>
        <w:t>La vérification du bon fonctionnement contre les migrations d’humidité est réalisée par un bureau d’étude au moyen d’un logiciel de simulation dynamique. Cette simulation est comprise dans l’étude. </w:t>
      </w:r>
    </w:p>
    <w:p w14:paraId="19D8AEE9" w14:textId="77777777" w:rsidR="00DB2B68" w:rsidRDefault="00000000">
      <w:pPr>
        <w:jc w:val="both"/>
      </w:pPr>
      <w:r>
        <w:t>L’étanchéité à l’air entre caissons est assurée par des bandes d’étanchéité dans l’épaisseur des panneaux. </w:t>
      </w:r>
    </w:p>
    <w:p w14:paraId="28BAEF79" w14:textId="77777777" w:rsidR="00DB2B68" w:rsidRDefault="00000000">
      <w:pPr>
        <w:jc w:val="both"/>
      </w:pPr>
      <w:r>
        <w:t>Des remplisseurs de joint sont placés sous les languettes au droit des parois, pour fermer les vides. </w:t>
      </w:r>
    </w:p>
    <w:p w14:paraId="2681ABBB" w14:textId="77777777" w:rsidR="00DB2B68" w:rsidRDefault="00000000">
      <w:pPr>
        <w:jc w:val="both"/>
      </w:pPr>
      <w:r>
        <w:rPr>
          <w:b/>
        </w:rPr>
        <w:t>Préparation des techniques spéciales : HVAC - Sanitaires - Electricité</w:t>
      </w:r>
    </w:p>
    <w:p w14:paraId="57A5F64E" w14:textId="77777777" w:rsidR="00DB2B68"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3" w:history="1">
        <w:r>
          <w:rPr>
            <w:color w:val="0000EE"/>
          </w:rPr>
          <w:t>24.22.2 Planchers en bois préfabriqués</w:t>
        </w:r>
      </w:hyperlink>
      <w:r>
        <w:t> : </w:t>
      </w:r>
      <w:r>
        <w:rPr>
          <w:rStyle w:val="optioncarChar"/>
        </w:rPr>
        <w:t>non </w:t>
      </w:r>
      <w:r>
        <w:t>(par défaut)</w:t>
      </w:r>
      <w:r>
        <w:rPr>
          <w:rStyle w:val="optioncarChar"/>
        </w:rPr>
        <w:t> / oui</w:t>
      </w:r>
    </w:p>
    <w:p w14:paraId="14E6F238" w14:textId="77777777" w:rsidR="00DB2B68" w:rsidRDefault="00000000">
      <w:pPr>
        <w:pStyle w:val="pheading"/>
      </w:pPr>
      <w:r>
        <w:t>DOCUMENTS DE RÉFÉRENCE COMPLÉMENTAIRES</w:t>
      </w:r>
    </w:p>
    <w:p w14:paraId="7AE706B0" w14:textId="77777777" w:rsidR="00DB2B68" w:rsidRDefault="00000000">
      <w:pPr>
        <w:pStyle w:val="pheading"/>
      </w:pPr>
      <w:r>
        <w:t>- Matériau</w:t>
      </w:r>
    </w:p>
    <w:p w14:paraId="0BF87E8F" w14:textId="77777777" w:rsidR="00DB2B68" w:rsidRDefault="00000000">
      <w:r>
        <w:t>[NBN EN 15425, Adhésifs - Adhésifs polyuréthane monocomposants (PUR) pour structures portantes en bois - Classification et exigences de performance]</w:t>
      </w:r>
    </w:p>
    <w:p w14:paraId="571BE7B9" w14:textId="77777777" w:rsidR="00DB2B68" w:rsidRDefault="00000000">
      <w:r>
        <w:t>[NBN EN 302-2, Adhésifs pour structures portantes en bois - Méthodes d'essais - Partie 2 : Détermination de la résistance à la délamination]</w:t>
      </w:r>
    </w:p>
    <w:p w14:paraId="649591C0" w14:textId="77777777" w:rsidR="00DB2B68" w:rsidRDefault="00000000">
      <w:r>
        <w:t>[NBN EN 301, Adhésifs de nature phénolique et aminoplaste, pour structures portantes en bois - Classification et exigences de performance]</w:t>
      </w:r>
    </w:p>
    <w:p w14:paraId="59056204" w14:textId="77777777" w:rsidR="00DB2B68" w:rsidRDefault="00000000">
      <w:r>
        <w:t>[NBN EN ISO 11654, Acoustique - Absorbants pour l'utilisation dans les bâtiments - Evaluation de l'absorption acoustique (ISO 11654:1997)]</w:t>
      </w:r>
    </w:p>
    <w:p w14:paraId="3E8E298A"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EDC7729" w14:textId="77777777" w:rsidR="00DB2B68" w:rsidRDefault="00000000">
      <w:r>
        <w:t>[NBN EN ISO 10456, Matériaux et produits pour le bâtiment - Propriétés hygrothermiques - Valeurs utiles tabulées et procédures pour la détermination des valeurs thermiques déclarées et utiles (ISO 10456:2007)) (+AC:2009)]</w:t>
      </w:r>
    </w:p>
    <w:p w14:paraId="1AD44C8B" w14:textId="77777777" w:rsidR="00DB2B68" w:rsidRDefault="00000000">
      <w:pPr>
        <w:pStyle w:val="pheading"/>
      </w:pPr>
      <w:r>
        <w:t>MESURAGE</w:t>
      </w:r>
    </w:p>
    <w:p w14:paraId="5D8932A8" w14:textId="77777777" w:rsidR="00DB2B68" w:rsidRDefault="00000000">
      <w:pPr>
        <w:pStyle w:val="pheading"/>
      </w:pPr>
      <w:r>
        <w:t>- unité de mesure:</w:t>
      </w:r>
    </w:p>
    <w:p w14:paraId="73693FC7" w14:textId="77777777" w:rsidR="00DB2B68" w:rsidRDefault="00000000">
      <w:r>
        <w:t>1.2. m²</w:t>
      </w:r>
    </w:p>
    <w:p w14:paraId="27C0B2F3" w14:textId="77777777" w:rsidR="00DB2B68" w:rsidRDefault="00000000">
      <w:pPr>
        <w:pStyle w:val="pheading"/>
      </w:pPr>
      <w:r>
        <w:t>- code de mesurage:</w:t>
      </w:r>
    </w:p>
    <w:p w14:paraId="269DDF48" w14:textId="77777777" w:rsidR="00DB2B68" w:rsidRDefault="00000000">
      <w:pPr>
        <w:jc w:val="both"/>
      </w:pPr>
      <w:r>
        <w:rPr>
          <w:rStyle w:val="optioncarChar"/>
        </w:rPr>
        <w:t xml:space="preserve">Surface nette </w:t>
      </w:r>
      <w:r>
        <w:t>(par défaut)</w:t>
      </w:r>
      <w:r>
        <w:rPr>
          <w:rStyle w:val="optioncarChar"/>
        </w:rPr>
        <w:t xml:space="preserve"> / Surface utile</w:t>
      </w:r>
    </w:p>
    <w:p w14:paraId="118BA02E" w14:textId="77777777" w:rsidR="00DB2B68" w:rsidRDefault="00000000">
      <w:pPr>
        <w:jc w:val="both"/>
      </w:pPr>
      <w:r>
        <w:rPr>
          <w:b/>
        </w:rPr>
        <w:t>(soit par défaut)</w:t>
      </w:r>
    </w:p>
    <w:p w14:paraId="348CC214" w14:textId="77777777" w:rsidR="00DB2B68" w:rsidRDefault="00000000">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16FE4A0B" w14:textId="77777777" w:rsidR="00DB2B68" w:rsidRDefault="00000000">
      <w:pPr>
        <w:jc w:val="both"/>
      </w:pPr>
      <w:r>
        <w:rPr>
          <w:b/>
        </w:rPr>
        <w:t>(soit)</w:t>
      </w:r>
    </w:p>
    <w:p w14:paraId="346B3421" w14:textId="77777777" w:rsidR="00DB2B68"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0FBBAF4E" w14:textId="77777777" w:rsidR="00DB2B68" w:rsidRDefault="00000000">
      <w:pPr>
        <w:jc w:val="both"/>
      </w:pPr>
      <w:r>
        <w:rPr>
          <w:rStyle w:val="soitChar"/>
        </w:rPr>
        <w:lastRenderedPageBreak/>
        <w:t>La surface utile est mesurée entre le nu intérieur des murs extérieurs. Il ressort de cette convention que les parties du plancher qui reposent dans les murs extérieurs ne sont pas comptées. Par contre, les parties couvrant et/ou pénétrant dans les murs intérieurs sont comptées avec le plancher sur toute l'épaisseur du mur et sont, par conséquent, déduites des murs intérieurs. Les vides, et percements supérieures à 0,5 m² sont déduits.</w:t>
      </w:r>
    </w:p>
    <w:p w14:paraId="2E410A98" w14:textId="77777777" w:rsidR="00DB2B68" w:rsidRDefault="00000000">
      <w:pPr>
        <w:pStyle w:val="pheading"/>
      </w:pPr>
      <w:r>
        <w:t>- nature du marché:</w:t>
      </w:r>
    </w:p>
    <w:p w14:paraId="10403918" w14:textId="77777777" w:rsidR="00DB2B68" w:rsidRDefault="00000000">
      <w:r>
        <w:t>1.2. QF</w:t>
      </w:r>
    </w:p>
    <w:p w14:paraId="0ADB1953" w14:textId="77777777" w:rsidR="00DB2B68" w:rsidRDefault="00000000">
      <w:pPr>
        <w:pStyle w:val="Author-eSectionHeading6Numberless"/>
      </w:pPr>
      <w:bookmarkStart w:id="1688" w:name="_Toc220496671"/>
      <w:r>
        <w:t>24.23.3b Systèmes de toiture en bois à base de caissons faits de LVL CCTB 01.10</w:t>
      </w:r>
      <w:bookmarkEnd w:id="1688"/>
    </w:p>
    <w:p w14:paraId="12674332" w14:textId="77777777" w:rsidR="00DB2B68" w:rsidRDefault="00000000">
      <w:pPr>
        <w:pStyle w:val="Author-eSectionHeading4Numberless"/>
      </w:pPr>
      <w:bookmarkStart w:id="1689" w:name="_Toc220496672"/>
      <w:r>
        <w:t>24.24 Charpentes en bois CCTB 01.13</w:t>
      </w:r>
      <w:bookmarkEnd w:id="1689"/>
    </w:p>
    <w:p w14:paraId="1E8997ED" w14:textId="77777777" w:rsidR="00DB2B68" w:rsidRDefault="00000000">
      <w:pPr>
        <w:pStyle w:val="pheading"/>
      </w:pPr>
      <w:bookmarkStart w:id="1690" w:name="608"/>
      <w:bookmarkEnd w:id="1690"/>
      <w:r>
        <w:t>DESCRIPTION</w:t>
      </w:r>
    </w:p>
    <w:p w14:paraId="1F9632DF" w14:textId="77777777" w:rsidR="00DB2B68" w:rsidRDefault="00000000">
      <w:pPr>
        <w:pStyle w:val="pheading"/>
      </w:pPr>
      <w:r>
        <w:t>- Définition / Comprend</w:t>
      </w:r>
    </w:p>
    <w:p w14:paraId="602A4B55" w14:textId="77777777" w:rsidR="00DB2B68" w:rsidRDefault="00000000">
      <w:pPr>
        <w:jc w:val="both"/>
      </w:pPr>
      <w:r>
        <w:t>Il s’agit de la fourniture (hors matériaux récupérés du même site) et la pose de tous les éléments constituant les charpentes en bois, y compris toutes les pièces assurant la liaison mécanique entre éléments de bois qui en font intrinsèquement partie.</w:t>
      </w:r>
    </w:p>
    <w:p w14:paraId="5198F02B" w14:textId="77777777" w:rsidR="00DB2B68" w:rsidRDefault="00000000">
      <w:pPr>
        <w:jc w:val="both"/>
      </w:pPr>
      <w:r>
        <w:t xml:space="preserve">Il est convenu que tout ce qui est sous la sous-toiture relève du </w:t>
      </w:r>
      <w:hyperlink w:anchor="41" w:history="1">
        <w:r>
          <w:rPr>
            <w:color w:val="0000EE"/>
          </w:rPr>
          <w:t>2 T2 Superstructures</w:t>
        </w:r>
      </w:hyperlink>
      <w:r>
        <w:t>, tandis que la sous-toiture et tout ce qui est au-dessus est décrit dans le 3 T3 Travaux de toiture.</w:t>
      </w:r>
    </w:p>
    <w:p w14:paraId="734277DC" w14:textId="77777777" w:rsidR="00DB2B68" w:rsidRDefault="00000000">
      <w:pPr>
        <w:jc w:val="both"/>
      </w:pPr>
      <w:r>
        <w:t>Il existe quelques exceptions à cette règle générale :</w:t>
      </w:r>
    </w:p>
    <w:p w14:paraId="57FD35BF" w14:textId="77777777" w:rsidR="00DB2B68" w:rsidRDefault="00000000">
      <w:pPr>
        <w:pStyle w:val="Author-eListParagraph"/>
        <w:numPr>
          <w:ilvl w:val="0"/>
          <w:numId w:val="950"/>
        </w:numPr>
      </w:pPr>
      <w:r>
        <w:t xml:space="preserve">Le descriptif général du bois est repris dans le </w:t>
      </w:r>
      <w:hyperlink w:anchor="41" w:history="1">
        <w:r>
          <w:rPr>
            <w:color w:val="0000EE"/>
          </w:rPr>
          <w:t>2 T2 Superstructures</w:t>
        </w:r>
      </w:hyperlink>
      <w:r>
        <w:t>, y compris pour les contre-lattages, lattages, liteaux, …;</w:t>
      </w:r>
    </w:p>
    <w:p w14:paraId="2803BFEC" w14:textId="77777777" w:rsidR="00DB2B68" w:rsidRDefault="00000000">
      <w:pPr>
        <w:pStyle w:val="Author-eListParagraph"/>
        <w:numPr>
          <w:ilvl w:val="0"/>
          <w:numId w:val="950"/>
        </w:numPr>
      </w:pPr>
      <w:r>
        <w:t>Les choix liés aux contre-lattes, lattes, … sont définis dans le 3 T3 Travaux de toiture;</w:t>
      </w:r>
    </w:p>
    <w:p w14:paraId="32E68AEA" w14:textId="77777777" w:rsidR="00DB2B68" w:rsidRDefault="00000000">
      <w:pPr>
        <w:pStyle w:val="Author-eListParagraph"/>
        <w:numPr>
          <w:ilvl w:val="0"/>
          <w:numId w:val="950"/>
        </w:numPr>
      </w:pPr>
      <w:r>
        <w:t>Les panneaux isolants autoportants sont repris dans le 3 T3 Travaux de toiture.</w:t>
      </w:r>
    </w:p>
    <w:p w14:paraId="516C061A" w14:textId="77777777" w:rsidR="00DB2B68" w:rsidRDefault="00000000">
      <w:pPr>
        <w:pStyle w:val="pheading"/>
      </w:pPr>
      <w:r>
        <w:t>- Remarques importantes</w:t>
      </w:r>
    </w:p>
    <w:p w14:paraId="3832FE25" w14:textId="77777777" w:rsidR="00DB2B68" w:rsidRDefault="00000000">
      <w:pPr>
        <w:jc w:val="both"/>
      </w:pPr>
      <w:r>
        <w:t>Les éventuels travaux de démolition de la charpente existante sont compris dans un élément séparé (voir 06 Travaux de stabilisation et de déconstruction.)</w:t>
      </w:r>
    </w:p>
    <w:p w14:paraId="174C9E19" w14:textId="77777777" w:rsidR="00DB2B68" w:rsidRDefault="00000000">
      <w:pPr>
        <w:pStyle w:val="pheading"/>
      </w:pPr>
      <w:r>
        <w:t>MATÉRIAUX</w:t>
      </w:r>
    </w:p>
    <w:p w14:paraId="7159D196" w14:textId="77777777" w:rsidR="00DB2B68" w:rsidRDefault="00000000">
      <w:pPr>
        <w:jc w:val="both"/>
      </w:pPr>
      <w:r>
        <w:t>La terminologie des charpentes se rapporte aux définitions du [Buildwise Métré 2.13]</w:t>
      </w:r>
    </w:p>
    <w:p w14:paraId="1DCA63A7" w14:textId="77777777" w:rsidR="00DB2B68" w:rsidRDefault="00000000">
      <w:pPr>
        <w:jc w:val="both"/>
      </w:pPr>
      <w:r>
        <w:rPr>
          <w:noProof/>
        </w:rPr>
        <w:drawing>
          <wp:inline distT="0" distB="0" distL="0" distR="0" wp14:anchorId="6B99259F" wp14:editId="6D4547BC">
            <wp:extent cx="5715000" cy="3352800"/>
            <wp:effectExtent l="0" t="0" r="0" b="0"/>
            <wp:docPr id="9" name="24.24 GT Bois image 1.png" descr="24.24 GT Bois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338" descr=" "/>
                    <pic:cNvPicPr>
                      <a:picLocks noChangeAspect="1" noChangeArrowheads="1"/>
                    </pic:cNvPicPr>
                  </pic:nvPicPr>
                  <pic:blipFill>
                    <a:blip r:embed="rId22"/>
                    <a:srcRect/>
                    <a:stretch>
                      <a:fillRect/>
                    </a:stretch>
                  </pic:blipFill>
                  <pic:spPr bwMode="auto">
                    <a:xfrm>
                      <a:off x="0" y="0"/>
                      <a:ext cx="5715000" cy="3352800"/>
                    </a:xfrm>
                    <a:prstGeom prst="rect">
                      <a:avLst/>
                    </a:prstGeom>
                  </pic:spPr>
                </pic:pic>
              </a:graphicData>
            </a:graphic>
          </wp:inline>
        </w:drawing>
      </w:r>
    </w:p>
    <w:p w14:paraId="785DB064" w14:textId="77777777" w:rsidR="00DB2B68" w:rsidRDefault="00000000">
      <w:pPr>
        <w:jc w:val="both"/>
      </w:pPr>
      <w:r>
        <w:rPr>
          <w:b/>
        </w:rPr>
        <w:lastRenderedPageBreak/>
        <w:t>Charpente traditionnelle</w:t>
      </w:r>
    </w:p>
    <w:p w14:paraId="3D44EB68" w14:textId="77777777" w:rsidR="00DB2B68" w:rsidRDefault="00000000">
      <w:pPr>
        <w:jc w:val="both"/>
      </w:pPr>
      <w:r>
        <w:rPr>
          <w:i/>
        </w:rPr>
        <w:t>Légende :</w:t>
      </w:r>
    </w:p>
    <w:p w14:paraId="1807D105" w14:textId="77777777" w:rsidR="00DB2B68" w:rsidRDefault="00000000">
      <w:pPr>
        <w:jc w:val="both"/>
      </w:pPr>
      <w:r>
        <w:t xml:space="preserve">1. faîtière (voir élément </w:t>
      </w:r>
      <w:hyperlink w:anchor="404" w:history="1">
        <w:r>
          <w:rPr>
            <w:color w:val="0000EE"/>
          </w:rPr>
          <w:t>24.13 Poutres et barres en bois</w:t>
        </w:r>
      </w:hyperlink>
      <w:r>
        <w:t>)</w:t>
      </w:r>
    </w:p>
    <w:p w14:paraId="7EEA774B" w14:textId="77777777" w:rsidR="00DB2B68" w:rsidRDefault="00000000">
      <w:pPr>
        <w:jc w:val="both"/>
      </w:pPr>
      <w:r>
        <w:t>2. chevrons (voir élément </w:t>
      </w:r>
      <w:hyperlink w:anchor="404" w:history="1">
        <w:r>
          <w:rPr>
            <w:color w:val="0000EE"/>
          </w:rPr>
          <w:t>24.13 Poutres et barres en bois</w:t>
        </w:r>
      </w:hyperlink>
      <w:r>
        <w:t>)</w:t>
      </w:r>
    </w:p>
    <w:p w14:paraId="03EF6738" w14:textId="77777777" w:rsidR="00DB2B68" w:rsidRDefault="00000000">
      <w:pPr>
        <w:jc w:val="both"/>
      </w:pPr>
      <w:r>
        <w:t>3. échantignolle (voir élément </w:t>
      </w:r>
      <w:hyperlink w:anchor="404" w:history="1">
        <w:r>
          <w:rPr>
            <w:color w:val="0000EE"/>
          </w:rPr>
          <w:t>24.13 Poutres et barres en bois</w:t>
        </w:r>
      </w:hyperlink>
      <w:r>
        <w:t>)</w:t>
      </w:r>
    </w:p>
    <w:p w14:paraId="12578346" w14:textId="77777777" w:rsidR="00DB2B68" w:rsidRDefault="00000000">
      <w:pPr>
        <w:jc w:val="both"/>
      </w:pPr>
      <w:r>
        <w:t>4. panne (voir élément </w:t>
      </w:r>
      <w:hyperlink w:anchor="404" w:history="1">
        <w:r>
          <w:rPr>
            <w:color w:val="0000EE"/>
          </w:rPr>
          <w:t>24.13 Poutres et barres en bois</w:t>
        </w:r>
      </w:hyperlink>
      <w:r>
        <w:t>)</w:t>
      </w:r>
    </w:p>
    <w:p w14:paraId="4253C32F" w14:textId="77777777" w:rsidR="00DB2B68" w:rsidRDefault="00000000">
      <w:pPr>
        <w:jc w:val="both"/>
      </w:pPr>
      <w:r>
        <w:t>5. poinçon (voir élément </w:t>
      </w:r>
      <w:hyperlink w:anchor="404" w:history="1">
        <w:r>
          <w:rPr>
            <w:color w:val="0000EE"/>
          </w:rPr>
          <w:t>24.13 Poutres et barres en bois</w:t>
        </w:r>
      </w:hyperlink>
      <w:r>
        <w:t>)</w:t>
      </w:r>
    </w:p>
    <w:p w14:paraId="2273C91A" w14:textId="77777777" w:rsidR="00DB2B68" w:rsidRDefault="00000000">
      <w:pPr>
        <w:jc w:val="both"/>
      </w:pPr>
      <w:r>
        <w:t>6. arbalétrier (voir élément </w:t>
      </w:r>
      <w:hyperlink w:anchor="404" w:history="1">
        <w:r>
          <w:rPr>
            <w:color w:val="0000EE"/>
          </w:rPr>
          <w:t>24.13 Poutres et barres en bois</w:t>
        </w:r>
      </w:hyperlink>
      <w:r>
        <w:t>)</w:t>
      </w:r>
    </w:p>
    <w:p w14:paraId="4EF6BAEB" w14:textId="77777777" w:rsidR="00DB2B68" w:rsidRDefault="00000000">
      <w:pPr>
        <w:jc w:val="both"/>
      </w:pPr>
      <w:r>
        <w:t>7. entrait (voir élément </w:t>
      </w:r>
      <w:hyperlink w:anchor="404" w:history="1">
        <w:r>
          <w:rPr>
            <w:color w:val="0000EE"/>
          </w:rPr>
          <w:t>24.13 Poutres et barres en bois</w:t>
        </w:r>
      </w:hyperlink>
      <w:r>
        <w:t>)</w:t>
      </w:r>
    </w:p>
    <w:p w14:paraId="6A6DA65B" w14:textId="77777777" w:rsidR="00DB2B68" w:rsidRDefault="00000000">
      <w:pPr>
        <w:jc w:val="both"/>
      </w:pPr>
      <w:r>
        <w:t>8. contre-fiche (voir élément </w:t>
      </w:r>
      <w:hyperlink w:anchor="404" w:history="1">
        <w:r>
          <w:rPr>
            <w:color w:val="0000EE"/>
          </w:rPr>
          <w:t>24.13 Poutres et barres en bois</w:t>
        </w:r>
      </w:hyperlink>
      <w:r>
        <w:t>)</w:t>
      </w:r>
    </w:p>
    <w:p w14:paraId="0B93DADC" w14:textId="77777777" w:rsidR="00DB2B68" w:rsidRDefault="00000000">
      <w:pPr>
        <w:jc w:val="both"/>
      </w:pPr>
      <w:r>
        <w:t>9. jambe de force ou arbalétrier inférieur (voir élément </w:t>
      </w:r>
      <w:hyperlink w:anchor="404" w:history="1">
        <w:r>
          <w:rPr>
            <w:color w:val="0000EE"/>
          </w:rPr>
          <w:t>24.13 Poutres et barres en bois</w:t>
        </w:r>
      </w:hyperlink>
      <w:r>
        <w:t>)</w:t>
      </w:r>
    </w:p>
    <w:p w14:paraId="423FEFAE" w14:textId="77777777" w:rsidR="00DB2B68" w:rsidRDefault="00000000">
      <w:pPr>
        <w:jc w:val="both"/>
      </w:pPr>
      <w:r>
        <w:t>10. faux entrait (voir élément </w:t>
      </w:r>
      <w:hyperlink w:anchor="404" w:history="1">
        <w:r>
          <w:rPr>
            <w:color w:val="0000EE"/>
          </w:rPr>
          <w:t>24.13 Poutres et barres en bois</w:t>
        </w:r>
      </w:hyperlink>
      <w:r>
        <w:t>)</w:t>
      </w:r>
    </w:p>
    <w:p w14:paraId="29DAC42C" w14:textId="77777777" w:rsidR="00DB2B68" w:rsidRDefault="00000000">
      <w:pPr>
        <w:jc w:val="both"/>
      </w:pPr>
      <w:r>
        <w:t xml:space="preserve">11. semelle (voir élément </w:t>
      </w:r>
      <w:hyperlink w:anchor="621" w:history="1">
        <w:r>
          <w:rPr>
            <w:color w:val="0000EE"/>
          </w:rPr>
          <w:t>24.11 Eléments d'assise en bois</w:t>
        </w:r>
      </w:hyperlink>
      <w:r>
        <w:t>)</w:t>
      </w:r>
    </w:p>
    <w:p w14:paraId="48A49D48" w14:textId="77777777" w:rsidR="00DB2B68" w:rsidRDefault="00000000">
      <w:pPr>
        <w:jc w:val="both"/>
      </w:pPr>
      <w:r>
        <w:t xml:space="preserve">12. sablière (voir élément </w:t>
      </w:r>
      <w:hyperlink w:anchor="621" w:history="1">
        <w:r>
          <w:rPr>
            <w:color w:val="0000EE"/>
          </w:rPr>
          <w:t>24.11 Eléments d'assise en bois</w:t>
        </w:r>
      </w:hyperlink>
      <w:r>
        <w:t>)</w:t>
      </w:r>
    </w:p>
    <w:p w14:paraId="6E32B011" w14:textId="77777777" w:rsidR="00DB2B68" w:rsidRDefault="00000000">
      <w:pPr>
        <w:jc w:val="both"/>
      </w:pPr>
      <w:r>
        <w:rPr>
          <w:noProof/>
        </w:rPr>
        <w:drawing>
          <wp:inline distT="0" distB="0" distL="0" distR="0" wp14:anchorId="15DDE49F" wp14:editId="7C985BD5">
            <wp:extent cx="4791075" cy="3390900"/>
            <wp:effectExtent l="0" t="0" r="0" b="0"/>
            <wp:docPr id="10" name="24.24 GT bois image 4.jpg" descr="24.24 GT bois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349" descr=" "/>
                    <pic:cNvPicPr>
                      <a:picLocks noChangeAspect="1" noChangeArrowheads="1"/>
                    </pic:cNvPicPr>
                  </pic:nvPicPr>
                  <pic:blipFill>
                    <a:blip r:embed="rId23"/>
                    <a:srcRect/>
                    <a:stretch>
                      <a:fillRect/>
                    </a:stretch>
                  </pic:blipFill>
                  <pic:spPr bwMode="auto">
                    <a:xfrm>
                      <a:off x="0" y="0"/>
                      <a:ext cx="4791075" cy="3390900"/>
                    </a:xfrm>
                    <a:prstGeom prst="rect">
                      <a:avLst/>
                    </a:prstGeom>
                  </pic:spPr>
                </pic:pic>
              </a:graphicData>
            </a:graphic>
          </wp:inline>
        </w:drawing>
      </w:r>
    </w:p>
    <w:p w14:paraId="29995F02" w14:textId="77777777" w:rsidR="00DB2B68" w:rsidRDefault="00000000">
      <w:pPr>
        <w:jc w:val="both"/>
      </w:pPr>
      <w:r>
        <w:rPr>
          <w:b/>
        </w:rPr>
        <w:t>Charpente traditionnelle</w:t>
      </w:r>
    </w:p>
    <w:p w14:paraId="7BDE99AD" w14:textId="77777777" w:rsidR="00DB2B68" w:rsidRDefault="00000000">
      <w:pPr>
        <w:jc w:val="both"/>
      </w:pPr>
      <w:r>
        <w:rPr>
          <w:i/>
        </w:rPr>
        <w:t>Légende :</w:t>
      </w:r>
    </w:p>
    <w:p w14:paraId="25BA8CC4" w14:textId="77777777" w:rsidR="00DB2B68" w:rsidRDefault="00000000">
      <w:pPr>
        <w:jc w:val="both"/>
      </w:pPr>
      <w:r>
        <w:t xml:space="preserve">1. arbalétrier supérieur (voir élément </w:t>
      </w:r>
      <w:hyperlink w:anchor="404" w:history="1">
        <w:r>
          <w:rPr>
            <w:color w:val="0000EE"/>
          </w:rPr>
          <w:t>24.13 Poutres et barres en bois</w:t>
        </w:r>
      </w:hyperlink>
      <w:r>
        <w:t>)</w:t>
      </w:r>
    </w:p>
    <w:p w14:paraId="00B70C0E" w14:textId="77777777" w:rsidR="00DB2B68" w:rsidRDefault="00000000">
      <w:pPr>
        <w:jc w:val="both"/>
      </w:pPr>
      <w:r>
        <w:t>2. poinçon retroussé (voir élément </w:t>
      </w:r>
      <w:hyperlink w:anchor="404" w:history="1">
        <w:r>
          <w:rPr>
            <w:color w:val="0000EE"/>
          </w:rPr>
          <w:t>24.13 Poutres et barres en bois</w:t>
        </w:r>
      </w:hyperlink>
      <w:r>
        <w:t>)</w:t>
      </w:r>
    </w:p>
    <w:p w14:paraId="09562831" w14:textId="77777777" w:rsidR="00DB2B68" w:rsidRDefault="00000000">
      <w:pPr>
        <w:jc w:val="both"/>
      </w:pPr>
      <w:r>
        <w:t>3. panne de brisis (voir élément </w:t>
      </w:r>
      <w:hyperlink w:anchor="404" w:history="1">
        <w:r>
          <w:rPr>
            <w:color w:val="0000EE"/>
          </w:rPr>
          <w:t>24.13 Poutres et barres en bois</w:t>
        </w:r>
      </w:hyperlink>
      <w:r>
        <w:t>)</w:t>
      </w:r>
    </w:p>
    <w:p w14:paraId="49508EA2" w14:textId="77777777" w:rsidR="00DB2B68" w:rsidRDefault="00000000">
      <w:pPr>
        <w:jc w:val="both"/>
      </w:pPr>
      <w:r>
        <w:t>4. aisselier (voir élément </w:t>
      </w:r>
      <w:hyperlink w:anchor="404" w:history="1">
        <w:r>
          <w:rPr>
            <w:color w:val="0000EE"/>
          </w:rPr>
          <w:t>24.13 Poutres et barres en bois</w:t>
        </w:r>
      </w:hyperlink>
      <w:r>
        <w:t>)</w:t>
      </w:r>
    </w:p>
    <w:p w14:paraId="327CAFFC" w14:textId="77777777" w:rsidR="00DB2B68" w:rsidRDefault="00000000">
      <w:pPr>
        <w:jc w:val="both"/>
      </w:pPr>
      <w:r>
        <w:t>5. tasseau (voir élément </w:t>
      </w:r>
      <w:hyperlink w:anchor="404" w:history="1">
        <w:r>
          <w:rPr>
            <w:color w:val="0000EE"/>
          </w:rPr>
          <w:t>24.13 Poutres et barres en bois</w:t>
        </w:r>
      </w:hyperlink>
      <w:r>
        <w:t>)</w:t>
      </w:r>
    </w:p>
    <w:p w14:paraId="74783182" w14:textId="77777777" w:rsidR="00DB2B68" w:rsidRDefault="00000000">
      <w:pPr>
        <w:jc w:val="both"/>
      </w:pPr>
      <w:r>
        <w:t>6. arbalétrier inférieur (voir élément </w:t>
      </w:r>
      <w:hyperlink w:anchor="404" w:history="1">
        <w:r>
          <w:rPr>
            <w:color w:val="0000EE"/>
          </w:rPr>
          <w:t>24.13 Poutres et barres en bois</w:t>
        </w:r>
      </w:hyperlink>
      <w:r>
        <w:t>)</w:t>
      </w:r>
    </w:p>
    <w:p w14:paraId="421035B2" w14:textId="77777777" w:rsidR="00DB2B68" w:rsidRDefault="00000000">
      <w:pPr>
        <w:jc w:val="both"/>
      </w:pPr>
      <w:r>
        <w:t>7. faux-entrait (voir élément </w:t>
      </w:r>
      <w:hyperlink w:anchor="404" w:history="1">
        <w:r>
          <w:rPr>
            <w:color w:val="0000EE"/>
          </w:rPr>
          <w:t>24.13 Poutres et barres en bois</w:t>
        </w:r>
      </w:hyperlink>
      <w:r>
        <w:t>)</w:t>
      </w:r>
    </w:p>
    <w:p w14:paraId="02E8D60B" w14:textId="77777777" w:rsidR="00DB2B68" w:rsidRDefault="00000000">
      <w:pPr>
        <w:jc w:val="both"/>
      </w:pPr>
      <w:r>
        <w:t>8. panne (voir élément </w:t>
      </w:r>
      <w:hyperlink w:anchor="404" w:history="1">
        <w:r>
          <w:rPr>
            <w:color w:val="0000EE"/>
          </w:rPr>
          <w:t>24.13 Poutres et barres en bois</w:t>
        </w:r>
      </w:hyperlink>
      <w:r>
        <w:t>)</w:t>
      </w:r>
    </w:p>
    <w:p w14:paraId="39681872" w14:textId="77777777" w:rsidR="00DB2B68" w:rsidRDefault="00000000">
      <w:pPr>
        <w:jc w:val="both"/>
      </w:pPr>
      <w:r>
        <w:lastRenderedPageBreak/>
        <w:t>9. écharpe ou contre-fiche (voir élément </w:t>
      </w:r>
      <w:hyperlink w:anchor="404" w:history="1">
        <w:r>
          <w:rPr>
            <w:color w:val="0000EE"/>
          </w:rPr>
          <w:t>24.13 Poutres et barres en bois</w:t>
        </w:r>
      </w:hyperlink>
      <w:r>
        <w:t>)</w:t>
      </w:r>
    </w:p>
    <w:p w14:paraId="697EACF3" w14:textId="77777777" w:rsidR="00DB2B68" w:rsidRDefault="00000000">
      <w:pPr>
        <w:jc w:val="both"/>
      </w:pPr>
      <w:r>
        <w:t>10. échantignolle (voir élément </w:t>
      </w:r>
      <w:hyperlink w:anchor="404" w:history="1">
        <w:r>
          <w:rPr>
            <w:color w:val="0000EE"/>
          </w:rPr>
          <w:t>24.13 Poutres et barres en bois</w:t>
        </w:r>
      </w:hyperlink>
      <w:r>
        <w:t>)</w:t>
      </w:r>
    </w:p>
    <w:p w14:paraId="3BBDC776" w14:textId="77777777" w:rsidR="00DB2B68" w:rsidRDefault="00000000">
      <w:pPr>
        <w:jc w:val="both"/>
      </w:pPr>
      <w:r>
        <w:rPr>
          <w:noProof/>
        </w:rPr>
        <w:drawing>
          <wp:inline distT="0" distB="0" distL="0" distR="0" wp14:anchorId="7C0803CB" wp14:editId="5A86880B">
            <wp:extent cx="5715000" cy="3086100"/>
            <wp:effectExtent l="0" t="0" r="0" b="0"/>
            <wp:docPr id="11" name="24.24 GT Bois image 3.png" descr="24.24 GT Bois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340" descr=" "/>
                    <pic:cNvPicPr>
                      <a:picLocks noChangeAspect="1" noChangeArrowheads="1"/>
                    </pic:cNvPicPr>
                  </pic:nvPicPr>
                  <pic:blipFill>
                    <a:blip r:embed="rId24"/>
                    <a:srcRect/>
                    <a:stretch>
                      <a:fillRect/>
                    </a:stretch>
                  </pic:blipFill>
                  <pic:spPr bwMode="auto">
                    <a:xfrm>
                      <a:off x="0" y="0"/>
                      <a:ext cx="5715000" cy="3086100"/>
                    </a:xfrm>
                    <a:prstGeom prst="rect">
                      <a:avLst/>
                    </a:prstGeom>
                  </pic:spPr>
                </pic:pic>
              </a:graphicData>
            </a:graphic>
          </wp:inline>
        </w:drawing>
      </w:r>
    </w:p>
    <w:p w14:paraId="7A99C3E5" w14:textId="77777777" w:rsidR="00DB2B68" w:rsidRDefault="00000000">
      <w:pPr>
        <w:jc w:val="both"/>
      </w:pPr>
      <w:r>
        <w:rPr>
          <w:b/>
        </w:rPr>
        <w:t>Charpente traditionnelle</w:t>
      </w:r>
    </w:p>
    <w:p w14:paraId="77FD13B6" w14:textId="77777777" w:rsidR="00DB2B68" w:rsidRDefault="00000000">
      <w:pPr>
        <w:jc w:val="both"/>
      </w:pPr>
      <w:r>
        <w:rPr>
          <w:i/>
        </w:rPr>
        <w:t>Légende :</w:t>
      </w:r>
    </w:p>
    <w:p w14:paraId="42EA2022" w14:textId="77777777" w:rsidR="00DB2B68" w:rsidRDefault="00000000">
      <w:pPr>
        <w:jc w:val="both"/>
      </w:pPr>
      <w:r>
        <w:t xml:space="preserve">1. gousset (voir élément </w:t>
      </w:r>
      <w:hyperlink w:anchor="404" w:history="1">
        <w:r>
          <w:rPr>
            <w:color w:val="0000EE"/>
          </w:rPr>
          <w:t>24.13 Poutres et barres en bois</w:t>
        </w:r>
      </w:hyperlink>
      <w:r>
        <w:t>)</w:t>
      </w:r>
    </w:p>
    <w:p w14:paraId="2ADF8B4C" w14:textId="77777777" w:rsidR="00DB2B68" w:rsidRDefault="00000000">
      <w:pPr>
        <w:jc w:val="both"/>
      </w:pPr>
      <w:r>
        <w:t>2. poinçon (voir élément </w:t>
      </w:r>
      <w:hyperlink w:anchor="404" w:history="1">
        <w:r>
          <w:rPr>
            <w:color w:val="0000EE"/>
          </w:rPr>
          <w:t>24.13 Poutres et barres en bois</w:t>
        </w:r>
      </w:hyperlink>
      <w:r>
        <w:t>)</w:t>
      </w:r>
    </w:p>
    <w:p w14:paraId="5CEFBF5F" w14:textId="77777777" w:rsidR="00DB2B68" w:rsidRDefault="00000000">
      <w:pPr>
        <w:jc w:val="both"/>
      </w:pPr>
      <w:r>
        <w:t>3. entrait secondaire (voir élément </w:t>
      </w:r>
      <w:hyperlink w:anchor="404" w:history="1">
        <w:r>
          <w:rPr>
            <w:color w:val="0000EE"/>
          </w:rPr>
          <w:t>24.13 Poutres et barres en bois</w:t>
        </w:r>
      </w:hyperlink>
      <w:r>
        <w:t>)</w:t>
      </w:r>
    </w:p>
    <w:p w14:paraId="748D7467" w14:textId="77777777" w:rsidR="00DB2B68" w:rsidRDefault="00000000">
      <w:pPr>
        <w:jc w:val="both"/>
      </w:pPr>
      <w:r>
        <w:t>4. arbalétrier (voir élément </w:t>
      </w:r>
      <w:hyperlink w:anchor="404" w:history="1">
        <w:r>
          <w:rPr>
            <w:color w:val="0000EE"/>
          </w:rPr>
          <w:t>24.13 Poutres et barres en bois</w:t>
        </w:r>
      </w:hyperlink>
      <w:r>
        <w:t>)</w:t>
      </w:r>
    </w:p>
    <w:p w14:paraId="71B78BE6" w14:textId="77777777" w:rsidR="00DB2B68" w:rsidRDefault="00000000">
      <w:pPr>
        <w:jc w:val="both"/>
      </w:pPr>
      <w:r>
        <w:t>5. entrait (voir élément </w:t>
      </w:r>
      <w:hyperlink w:anchor="404" w:history="1">
        <w:r>
          <w:rPr>
            <w:color w:val="0000EE"/>
          </w:rPr>
          <w:t>24.13 Poutres et barres en bois</w:t>
        </w:r>
      </w:hyperlink>
      <w:r>
        <w:t>)</w:t>
      </w:r>
    </w:p>
    <w:p w14:paraId="297EF9C1" w14:textId="77777777" w:rsidR="00DB2B68" w:rsidRDefault="00000000">
      <w:pPr>
        <w:jc w:val="both"/>
      </w:pPr>
      <w:r>
        <w:t>6. poteau (voir élément </w:t>
      </w:r>
      <w:hyperlink w:anchor="404" w:history="1">
        <w:r>
          <w:rPr>
            <w:color w:val="0000EE"/>
          </w:rPr>
          <w:t>24.13 Poutres et barres en bois</w:t>
        </w:r>
      </w:hyperlink>
      <w:r>
        <w:t>)</w:t>
      </w:r>
    </w:p>
    <w:p w14:paraId="07403D0E" w14:textId="77777777" w:rsidR="00DB2B68" w:rsidRDefault="00000000">
      <w:pPr>
        <w:jc w:val="both"/>
      </w:pPr>
      <w:r>
        <w:t>7. contre-fiche (voir élément </w:t>
      </w:r>
      <w:hyperlink w:anchor="404" w:history="1">
        <w:r>
          <w:rPr>
            <w:color w:val="0000EE"/>
          </w:rPr>
          <w:t>24.13 Poutres et barres en bois</w:t>
        </w:r>
      </w:hyperlink>
      <w:r>
        <w:t>)</w:t>
      </w:r>
    </w:p>
    <w:p w14:paraId="4672F0B1" w14:textId="77777777" w:rsidR="00DB2B68" w:rsidRDefault="00000000">
      <w:pPr>
        <w:jc w:val="both"/>
      </w:pPr>
      <w:r>
        <w:t>8. faux-entrait (voir élément </w:t>
      </w:r>
      <w:hyperlink w:anchor="404" w:history="1">
        <w:r>
          <w:rPr>
            <w:color w:val="0000EE"/>
          </w:rPr>
          <w:t>24.13 Poutres et barres en bois</w:t>
        </w:r>
      </w:hyperlink>
      <w:r>
        <w:t>)</w:t>
      </w:r>
    </w:p>
    <w:p w14:paraId="42888F64" w14:textId="77777777" w:rsidR="00DB2B68" w:rsidRDefault="00000000">
      <w:pPr>
        <w:jc w:val="both"/>
      </w:pPr>
      <w:r>
        <w:t xml:space="preserve">9. semelle (si ponctuel) ou lisse de pose (si continu) (voir élément </w:t>
      </w:r>
      <w:hyperlink w:anchor="621" w:history="1">
        <w:r>
          <w:rPr>
            <w:color w:val="0000EE"/>
          </w:rPr>
          <w:t>24.11 Eléments d'assise en bois</w:t>
        </w:r>
      </w:hyperlink>
      <w:r>
        <w:t>)</w:t>
      </w:r>
    </w:p>
    <w:p w14:paraId="0BF1C80C" w14:textId="77777777" w:rsidR="00DB2B68" w:rsidRDefault="00000000">
      <w:pPr>
        <w:jc w:val="both"/>
      </w:pPr>
      <w:r>
        <w:t>10. sablière (voir élément </w:t>
      </w:r>
      <w:hyperlink w:anchor="621" w:history="1">
        <w:r>
          <w:rPr>
            <w:color w:val="0000EE"/>
          </w:rPr>
          <w:t>24.11 Eléments d'assise en bois</w:t>
        </w:r>
      </w:hyperlink>
      <w:r>
        <w:t>)</w:t>
      </w:r>
    </w:p>
    <w:p w14:paraId="55942A3B" w14:textId="77777777" w:rsidR="00DB2B68" w:rsidRDefault="00000000">
      <w:pPr>
        <w:jc w:val="both"/>
      </w:pPr>
      <w:r>
        <w:t> </w:t>
      </w:r>
    </w:p>
    <w:p w14:paraId="30250A47" w14:textId="77777777" w:rsidR="00DB2B68" w:rsidRDefault="00000000">
      <w:r>
        <w:t>Les échelles de corniches sont reprises dans les éléments 31.33 Eléments de support particuliers en bois</w:t>
      </w:r>
    </w:p>
    <w:p w14:paraId="18080E67" w14:textId="77777777" w:rsidR="00DB2B68" w:rsidRDefault="00000000">
      <w:pPr>
        <w:jc w:val="both"/>
      </w:pPr>
      <w:r>
        <w:rPr>
          <w:b/>
          <w:u w:val="single"/>
        </w:rPr>
        <w:t>Tolérance pour les éléments neufs</w:t>
      </w:r>
    </w:p>
    <w:p w14:paraId="081D3946" w14:textId="77777777" w:rsidR="00DB2B68" w:rsidRDefault="00000000">
      <w:pPr>
        <w:jc w:val="both"/>
      </w:pPr>
      <w:r>
        <w:t>Le plan indique les dimensions nominales des pièces de bois à utiliser. Ces dimensions sont indiquées par une relation a/b où a indique l’épaisseur et b la largeur conformément aux normes [NBN 219-02, Bois sciés - Bois résineux de Belgique - Dimensions nominales], [NBN 219-03, Bois sciés - Bois résineux importés du Nord - Dimensions nominales] et [NBN EN 1313-1] ainsi que [NBN EN 1313-2] pour les bois sciés.</w:t>
      </w:r>
    </w:p>
    <w:p w14:paraId="642ADA37" w14:textId="77777777" w:rsidR="00DB2B68" w:rsidRDefault="00000000">
      <w:pPr>
        <w:jc w:val="both"/>
      </w:pPr>
      <w:r>
        <w:t>Les classes de tolérance des bois de structure de section massive sont définies dans la [NBN EN 336] (les mesures sont effectuées à 20% d’humidité en masse).</w:t>
      </w:r>
    </w:p>
    <w:p w14:paraId="5B025B20" w14:textId="77777777" w:rsidR="00DB2B68" w:rsidRDefault="00000000">
      <w:pPr>
        <w:pStyle w:val="Author-eListParagraph"/>
        <w:numPr>
          <w:ilvl w:val="0"/>
          <w:numId w:val="951"/>
        </w:numPr>
        <w:jc w:val="both"/>
      </w:pPr>
      <w:r>
        <w:t>Classe 1: pour les sections ≤ 100 mm : (-1;+3) mm et pour les sections &gt;100 mm : (-2;+4) mm</w:t>
      </w:r>
    </w:p>
    <w:p w14:paraId="046ED117" w14:textId="77777777" w:rsidR="00DB2B68" w:rsidRDefault="00DB2B68">
      <w:pPr>
        <w:pStyle w:val="Author-eListParagraph"/>
        <w:numPr>
          <w:ilvl w:val="0"/>
          <w:numId w:val="951"/>
        </w:numPr>
        <w:jc w:val="both"/>
      </w:pPr>
    </w:p>
    <w:p w14:paraId="2A581980" w14:textId="77777777" w:rsidR="00DB2B68" w:rsidRDefault="00000000">
      <w:pPr>
        <w:pStyle w:val="Author-eListParagraph"/>
        <w:numPr>
          <w:ilvl w:val="0"/>
          <w:numId w:val="951"/>
        </w:numPr>
        <w:jc w:val="both"/>
      </w:pPr>
      <w:r>
        <w:lastRenderedPageBreak/>
        <w:t>Classe 2: pour les sections ≤ 100 mm : (-1;+1) mm et pour les sections &gt;100 mm : (-1,5;+1,5) mm</w:t>
      </w:r>
    </w:p>
    <w:p w14:paraId="10D71B8B" w14:textId="77777777" w:rsidR="00DB2B68" w:rsidRDefault="00000000">
      <w:pPr>
        <w:jc w:val="both"/>
      </w:pPr>
      <w:r>
        <w:t>Le niveau de tolérance est fixé en fonction du niveau de finition exigé par le maître d’ouvrage.</w:t>
      </w:r>
    </w:p>
    <w:p w14:paraId="27486762" w14:textId="77777777" w:rsidR="00DB2B68" w:rsidRDefault="00000000">
      <w:pPr>
        <w:jc w:val="both"/>
      </w:pPr>
      <w:r>
        <w:t>Les classes de tolérance des bois de structure de sections lamellées collées sont définies dans la norme [NBN EN 14080] (les mesures sont effectuées à 12% d’humidité du bois).</w:t>
      </w:r>
    </w:p>
    <w:p w14:paraId="1FB2E3CF" w14:textId="77777777" w:rsidR="00DB2B68" w:rsidRDefault="00000000">
      <w:pPr>
        <w:jc w:val="both"/>
      </w:pPr>
      <w:r>
        <w:t>Les écarts admissibles des sections transversales sont :</w:t>
      </w:r>
    </w:p>
    <w:p w14:paraId="2CDA416F" w14:textId="77777777" w:rsidR="00DB2B68" w:rsidRDefault="00000000">
      <w:pPr>
        <w:pStyle w:val="Author-eListParagraph"/>
        <w:numPr>
          <w:ilvl w:val="0"/>
          <w:numId w:val="952"/>
        </w:numPr>
      </w:pPr>
      <w:r>
        <w:t>Largeur de la section : (-2;+2) mm</w:t>
      </w:r>
    </w:p>
    <w:p w14:paraId="4C0D12DE" w14:textId="77777777" w:rsidR="00DB2B68" w:rsidRDefault="00000000">
      <w:pPr>
        <w:pStyle w:val="Author-eListParagraph"/>
        <w:numPr>
          <w:ilvl w:val="0"/>
          <w:numId w:val="952"/>
        </w:numPr>
      </w:pPr>
      <w:r>
        <w:t>Hauteur de la section :</w:t>
      </w:r>
    </w:p>
    <w:p w14:paraId="2C99BCCB" w14:textId="77777777" w:rsidR="00DB2B68" w:rsidRDefault="00000000">
      <w:pPr>
        <w:ind w:left="1701"/>
        <w:jc w:val="both"/>
      </w:pPr>
      <w:r>
        <w:t>≤ 400 mm : (-2;+3) mm</w:t>
      </w:r>
    </w:p>
    <w:p w14:paraId="20EC9209" w14:textId="77777777" w:rsidR="00DB2B68" w:rsidRDefault="00000000">
      <w:pPr>
        <w:ind w:left="1701"/>
        <w:jc w:val="both"/>
      </w:pPr>
      <w:r>
        <w:t>&gt; 400 mm : (-0,5;+1) %</w:t>
      </w:r>
    </w:p>
    <w:p w14:paraId="2EAB3864" w14:textId="77777777" w:rsidR="00DB2B68" w:rsidRDefault="00000000">
      <w:pPr>
        <w:pStyle w:val="Author-eListParagraph"/>
        <w:numPr>
          <w:ilvl w:val="0"/>
          <w:numId w:val="953"/>
        </w:numPr>
      </w:pPr>
      <w:r>
        <w:t>Longueur :  ≤ 2,0 m : (-2;+2) mm</w:t>
      </w:r>
    </w:p>
    <w:p w14:paraId="799F14FD" w14:textId="77777777" w:rsidR="00DB2B68" w:rsidRDefault="00000000">
      <w:pPr>
        <w:ind w:left="1701"/>
        <w:jc w:val="both"/>
      </w:pPr>
      <w:r>
        <w:t>2,0 &lt; l ≤ 20 m : (-0,1;+0,1) %</w:t>
      </w:r>
    </w:p>
    <w:p w14:paraId="66F524BF" w14:textId="77777777" w:rsidR="00DB2B68" w:rsidRDefault="00000000">
      <w:pPr>
        <w:ind w:left="1701"/>
        <w:jc w:val="both"/>
      </w:pPr>
      <w:r>
        <w:t>&gt; 20 m : (-20;+20) mm</w:t>
      </w:r>
    </w:p>
    <w:p w14:paraId="658F9085" w14:textId="77777777" w:rsidR="00DB2B68" w:rsidRDefault="00000000">
      <w:pPr>
        <w:jc w:val="both"/>
      </w:pPr>
      <w:r>
        <w:t>Tous les éléments satisfont à la classe de tolérance 2 de la [NBN EN 336] et à la [NBN EN 1313 série].</w:t>
      </w:r>
    </w:p>
    <w:p w14:paraId="4FA8360D" w14:textId="77777777" w:rsidR="00DB2B68" w:rsidRDefault="00000000">
      <w:pPr>
        <w:jc w:val="both"/>
      </w:pPr>
      <w:r>
        <w:t>Pour les produits en bois lamellé collé, les exigences précisées dans la [NBN EN 14080] sont d’application.</w:t>
      </w:r>
    </w:p>
    <w:p w14:paraId="032E749B" w14:textId="77777777" w:rsidR="00DB2B68" w:rsidRDefault="00000000">
      <w:pPr>
        <w:jc w:val="both"/>
      </w:pPr>
      <w:r>
        <w:rPr>
          <w:b/>
          <w:u w:val="single"/>
        </w:rPr>
        <w:t>Tolérance pour les éléments de réemploi</w:t>
      </w:r>
    </w:p>
    <w:p w14:paraId="283C16A8" w14:textId="77777777" w:rsidR="00DB2B68" w:rsidRDefault="00000000">
      <w:pPr>
        <w:jc w:val="both"/>
      </w:pPr>
      <w:r>
        <w:t>Les tolérances pour les éléments de réemploi en bois massif ne s’appliquent pas aux éléments individuels mais au plan de toiture et des sols de combles mis en œuvre.</w:t>
      </w:r>
    </w:p>
    <w:p w14:paraId="243DF54A" w14:textId="77777777" w:rsidR="00DB2B68" w:rsidRDefault="00000000">
      <w:pPr>
        <w:jc w:val="both"/>
      </w:pPr>
      <w:r>
        <w:t>Pour les éléments composites et lamellés collés, les tolérances des matériaux neufs sont d’application. </w:t>
      </w:r>
    </w:p>
    <w:p w14:paraId="77F7E295" w14:textId="77777777" w:rsidR="00DB2B68" w:rsidRDefault="00000000">
      <w:pPr>
        <w:jc w:val="both"/>
      </w:pPr>
      <w:r>
        <w:rPr>
          <w:b/>
          <w:u w:val="single"/>
        </w:rPr>
        <w:t>Résistance</w:t>
      </w:r>
    </w:p>
    <w:p w14:paraId="7BBC7200" w14:textId="77777777" w:rsidR="00DB2B68" w:rsidRDefault="00000000">
      <w:pPr>
        <w:jc w:val="both"/>
      </w:pPr>
      <w:r>
        <w:t>Les éléments de charpentes sont calculés conformément à la norme [NBN EN 1995-1-1]. Il y a lieu de vérifier qu’aucun des états limites à considérer n’est dépassé. Toutes les situations du projet, y compris dans les phases de construction, et tous les cas de charges à prévoir pour les constructions sont pris en compte.</w:t>
      </w:r>
    </w:p>
    <w:p w14:paraId="076E5E38" w14:textId="77777777" w:rsidR="00DB2B68" w:rsidRDefault="00000000">
      <w:pPr>
        <w:ind w:left="567"/>
        <w:jc w:val="both"/>
      </w:pPr>
      <w:r>
        <w:t>Il convient donc de contrôler si, aux états limites ultimes, la résistance des pièces de bois et des assemblages n’est pas franchie et si, aux états limites de service, leurs déformations relatives n’excèdent pas les critères fixés par la [NBN EN 1995-1-1] ou tout autre exigence supplémentaire donnée dans ce cahier des charges.  Les actions sont déterminées conformément à l’Eurocode 1 [NBN EN 1991 série] et les combinaisons des charges sont effectuées conformément à la [NBN EN 1990].</w:t>
      </w:r>
    </w:p>
    <w:p w14:paraId="30213355" w14:textId="77777777" w:rsidR="00DB2B68" w:rsidRDefault="00000000">
      <w:pPr>
        <w:jc w:val="both"/>
      </w:pPr>
      <w:r>
        <w:t>La qualité mécanique des bois est conforme aux hypothèses de calcul. Pour les éléments de réemploi, cette conformité est justifiée sur base de la [NBN B 16-520] ou la [NBN EN 14081 série] ou un autre procédé à valider par le maître d’ouvrage sur base des critères d’acceptabilité du chapitre 02.42.1 Critères d'acceptabilité. </w:t>
      </w:r>
    </w:p>
    <w:p w14:paraId="04BB0512" w14:textId="77777777" w:rsidR="00DB2B68" w:rsidRDefault="00000000">
      <w:pPr>
        <w:jc w:val="both"/>
      </w:pPr>
      <w:r>
        <w:rPr>
          <w:b/>
          <w:u w:val="single"/>
        </w:rPr>
        <w:t>Essence &amp; Qualité du bois </w:t>
      </w:r>
    </w:p>
    <w:p w14:paraId="15BE3811" w14:textId="77777777" w:rsidR="00DB2B68" w:rsidRDefault="00000000">
      <w:pPr>
        <w:jc w:val="both"/>
      </w:pPr>
      <w:r>
        <w:t>Le bois mis en œuvre est sain et conforme aux prescriptions du cahier des charges. Il est de qualité définie dans la [NBN EN 14081 série]. Il convient à tout point de vue pour l'application qui lui est destinée.</w:t>
      </w:r>
    </w:p>
    <w:p w14:paraId="3D79A451" w14:textId="77777777" w:rsidR="00DB2B68" w:rsidRDefault="00000000">
      <w:pPr>
        <w:jc w:val="both"/>
      </w:pPr>
      <w:r>
        <w:t>Le bois des éléments de charpentes préfabriquées ou assemblées sur place, livré sur chantier est suffisamment sec, conformément aux [STS 04.1] et à la [NBN EN 14250] : son humidité au moment de la mise en œuvre est &lt; 22 %. Le bois est stocké dans un endroit couvert et ventilé, isolé du sol et protégé de l’humidité.</w:t>
      </w:r>
    </w:p>
    <w:p w14:paraId="7EA17D7B" w14:textId="77777777" w:rsidR="00DB2B68" w:rsidRDefault="00000000">
      <w:pPr>
        <w:jc w:val="both"/>
      </w:pPr>
      <w:r>
        <w:t>Les normes [NBN EN 1313-1] et [NBN EN 1313-2] spécifient les dimensions préférentielles et écarts-admissibles pour les bois sciés résineux et feuillus.</w:t>
      </w:r>
    </w:p>
    <w:p w14:paraId="1457D185" w14:textId="77777777" w:rsidR="00DB2B68" w:rsidRDefault="00000000">
      <w:pPr>
        <w:jc w:val="both"/>
      </w:pPr>
      <w:r>
        <w:lastRenderedPageBreak/>
        <w:t>Les pièces en bois lamellé collé sont conformes aux prescriptions de la norme [NBN EN 14080]. Les pièces en bois abouté satisfont à la norme [NBN EN 335]. Elles répondent à l’exigence complémentaire de traitement contre les insectes et les champignons par un procédé conforme aux [STS 04 série] et adapté à la classe d’emploi.</w:t>
      </w:r>
    </w:p>
    <w:p w14:paraId="080D9C48" w14:textId="77777777" w:rsidR="00DB2B68" w:rsidRDefault="00000000">
      <w:pPr>
        <w:jc w:val="both"/>
      </w:pPr>
      <w:r>
        <w:t>Pour les éléments de réemploi, le traitement initial n’est considéré que s’il dispose d’une déclaration d’aptitude à l'utilisation suivant les prescriptions de l'élément 02.42.1 Critères d'acceptabilité. Si les éléments ne disposent pas de cette déclaration, un traitement par badigeonnage, aspersion ou trempage est effectué pour les bois dont la classe de durabilité n’est pas suffisante, suivant qu’ils sont réutilisés in situ ou non.</w:t>
      </w:r>
    </w:p>
    <w:p w14:paraId="0D313C25" w14:textId="77777777" w:rsidR="00DB2B68" w:rsidRDefault="00000000">
      <w:pPr>
        <w:jc w:val="both"/>
      </w:pPr>
      <w:r>
        <w:rPr>
          <w:b/>
          <w:u w:val="single"/>
        </w:rPr>
        <w:t>Les connecteurs métalliques</w:t>
      </w:r>
    </w:p>
    <w:p w14:paraId="34DCFD95" w14:textId="77777777" w:rsidR="00DB2B68" w:rsidRDefault="00000000">
      <w:pPr>
        <w:jc w:val="both"/>
      </w:pPr>
      <w:r>
        <w:t>Les pièces et les plaques en acier reçoivent un traitement de protection contre la corrosion adapté à la classe de service, ou sont exécutées en acier inoxydable. La protection minimale énoncée dans la [NBN EN 1995-1-1] est résumée dans le tableau ci-dessous.</w:t>
      </w:r>
    </w:p>
    <w:tbl>
      <w:tblPr>
        <w:tblStyle w:val="Author-eTableGrid"/>
        <w:tblW w:w="9060" w:type="dxa"/>
        <w:tblLayout w:type="fixed"/>
        <w:tblLook w:val="04A0" w:firstRow="1" w:lastRow="0" w:firstColumn="1" w:lastColumn="0" w:noHBand="0" w:noVBand="1"/>
      </w:tblPr>
      <w:tblGrid>
        <w:gridCol w:w="5124"/>
        <w:gridCol w:w="1312"/>
        <w:gridCol w:w="1312"/>
        <w:gridCol w:w="1312"/>
      </w:tblGrid>
      <w:tr w:rsidR="00DB2B68" w14:paraId="61A31F37" w14:textId="77777777">
        <w:tc>
          <w:tcPr>
            <w:tcW w:w="5100" w:type="dxa"/>
            <w:noWrap/>
          </w:tcPr>
          <w:p w14:paraId="1CF90211" w14:textId="77777777" w:rsidR="00DB2B68" w:rsidRDefault="00000000">
            <w:r>
              <w:rPr>
                <w:b/>
              </w:rPr>
              <w:t>Classes de service</w:t>
            </w:r>
          </w:p>
        </w:tc>
        <w:tc>
          <w:tcPr>
            <w:tcW w:w="1305" w:type="dxa"/>
            <w:noWrap/>
          </w:tcPr>
          <w:p w14:paraId="17D0FDDA" w14:textId="77777777" w:rsidR="00DB2B68" w:rsidRDefault="00000000">
            <w:r>
              <w:rPr>
                <w:b/>
              </w:rPr>
              <w:t>1</w:t>
            </w:r>
          </w:p>
        </w:tc>
        <w:tc>
          <w:tcPr>
            <w:tcW w:w="1305" w:type="dxa"/>
            <w:noWrap/>
          </w:tcPr>
          <w:p w14:paraId="47A74619" w14:textId="77777777" w:rsidR="00DB2B68" w:rsidRDefault="00000000">
            <w:r>
              <w:rPr>
                <w:b/>
              </w:rPr>
              <w:t>2</w:t>
            </w:r>
          </w:p>
        </w:tc>
        <w:tc>
          <w:tcPr>
            <w:tcW w:w="1305" w:type="dxa"/>
            <w:noWrap/>
          </w:tcPr>
          <w:p w14:paraId="773905DE" w14:textId="77777777" w:rsidR="00DB2B68" w:rsidRDefault="00000000">
            <w:r>
              <w:rPr>
                <w:b/>
              </w:rPr>
              <w:t>3</w:t>
            </w:r>
          </w:p>
        </w:tc>
      </w:tr>
      <w:tr w:rsidR="00DB2B68" w14:paraId="137DF322" w14:textId="77777777">
        <w:tc>
          <w:tcPr>
            <w:tcW w:w="5100" w:type="dxa"/>
            <w:noWrap/>
          </w:tcPr>
          <w:p w14:paraId="49F16DB3" w14:textId="77777777" w:rsidR="00DB2B68" w:rsidRDefault="00000000">
            <w:r>
              <w:t>Clous et vis d’un diamètre ≤ 4 mm</w:t>
            </w:r>
          </w:p>
        </w:tc>
        <w:tc>
          <w:tcPr>
            <w:tcW w:w="1305" w:type="dxa"/>
            <w:noWrap/>
          </w:tcPr>
          <w:p w14:paraId="4E0A5B5F" w14:textId="77777777" w:rsidR="00DB2B68" w:rsidRDefault="00000000">
            <w:r>
              <w:t>néant</w:t>
            </w:r>
          </w:p>
        </w:tc>
        <w:tc>
          <w:tcPr>
            <w:tcW w:w="1305" w:type="dxa"/>
            <w:noWrap/>
          </w:tcPr>
          <w:p w14:paraId="7E602233" w14:textId="77777777" w:rsidR="00DB2B68" w:rsidRDefault="00000000">
            <w:r>
              <w:t>Fe/Zn 12 c</w:t>
            </w:r>
            <w:r>
              <w:rPr>
                <w:vertAlign w:val="superscript"/>
              </w:rPr>
              <w:t>a</w:t>
            </w:r>
          </w:p>
        </w:tc>
        <w:tc>
          <w:tcPr>
            <w:tcW w:w="1305" w:type="dxa"/>
            <w:noWrap/>
          </w:tcPr>
          <w:p w14:paraId="490D04CC" w14:textId="77777777" w:rsidR="00DB2B68" w:rsidRDefault="00000000">
            <w:r>
              <w:t>Fe/Zn 25 c</w:t>
            </w:r>
            <w:r>
              <w:rPr>
                <w:vertAlign w:val="superscript"/>
              </w:rPr>
              <w:t>a</w:t>
            </w:r>
          </w:p>
        </w:tc>
      </w:tr>
      <w:tr w:rsidR="00DB2B68" w14:paraId="29C7A505" w14:textId="77777777">
        <w:tc>
          <w:tcPr>
            <w:tcW w:w="5100" w:type="dxa"/>
            <w:noWrap/>
          </w:tcPr>
          <w:p w14:paraId="61E51DD7" w14:textId="77777777" w:rsidR="00DB2B68" w:rsidRDefault="00000000">
            <w:r>
              <w:t>Boulons, goujons, clous et vis d’un diamètre &gt;4 mm</w:t>
            </w:r>
          </w:p>
        </w:tc>
        <w:tc>
          <w:tcPr>
            <w:tcW w:w="1305" w:type="dxa"/>
            <w:noWrap/>
          </w:tcPr>
          <w:p w14:paraId="2DB6ADAE" w14:textId="77777777" w:rsidR="00DB2B68" w:rsidRDefault="00000000">
            <w:r>
              <w:t>néant</w:t>
            </w:r>
          </w:p>
        </w:tc>
        <w:tc>
          <w:tcPr>
            <w:tcW w:w="1305" w:type="dxa"/>
            <w:noWrap/>
          </w:tcPr>
          <w:p w14:paraId="5431A741" w14:textId="77777777" w:rsidR="00DB2B68" w:rsidRDefault="00000000">
            <w:r>
              <w:t>néant</w:t>
            </w:r>
          </w:p>
        </w:tc>
        <w:tc>
          <w:tcPr>
            <w:tcW w:w="1305" w:type="dxa"/>
            <w:noWrap/>
          </w:tcPr>
          <w:p w14:paraId="0FEA478D" w14:textId="77777777" w:rsidR="00DB2B68" w:rsidRDefault="00000000">
            <w:r>
              <w:t>Fe/Zn 25 c</w:t>
            </w:r>
            <w:r>
              <w:rPr>
                <w:vertAlign w:val="superscript"/>
              </w:rPr>
              <w:t>a</w:t>
            </w:r>
          </w:p>
        </w:tc>
      </w:tr>
      <w:tr w:rsidR="00DB2B68" w14:paraId="3778D014" w14:textId="77777777">
        <w:tc>
          <w:tcPr>
            <w:tcW w:w="5100" w:type="dxa"/>
            <w:noWrap/>
          </w:tcPr>
          <w:p w14:paraId="6B127E84" w14:textId="77777777" w:rsidR="00DB2B68" w:rsidRDefault="00000000">
            <w:r>
              <w:t>Agrafes</w:t>
            </w:r>
          </w:p>
        </w:tc>
        <w:tc>
          <w:tcPr>
            <w:tcW w:w="1305" w:type="dxa"/>
            <w:noWrap/>
          </w:tcPr>
          <w:p w14:paraId="3F8C75A7" w14:textId="77777777" w:rsidR="00DB2B68" w:rsidRDefault="00000000">
            <w:r>
              <w:t>Fe/Zn 12 c</w:t>
            </w:r>
            <w:r>
              <w:rPr>
                <w:vertAlign w:val="superscript"/>
              </w:rPr>
              <w:t>a</w:t>
            </w:r>
          </w:p>
        </w:tc>
        <w:tc>
          <w:tcPr>
            <w:tcW w:w="1305" w:type="dxa"/>
            <w:noWrap/>
          </w:tcPr>
          <w:p w14:paraId="0A8A707F" w14:textId="77777777" w:rsidR="00DB2B68" w:rsidRDefault="00000000">
            <w:r>
              <w:t>Fe/Zn 12 c</w:t>
            </w:r>
            <w:r>
              <w:rPr>
                <w:vertAlign w:val="superscript"/>
              </w:rPr>
              <w:t>a</w:t>
            </w:r>
          </w:p>
        </w:tc>
        <w:tc>
          <w:tcPr>
            <w:tcW w:w="1305" w:type="dxa"/>
            <w:noWrap/>
          </w:tcPr>
          <w:p w14:paraId="7C0A7008" w14:textId="77777777" w:rsidR="00DB2B68" w:rsidRDefault="00000000">
            <w:r>
              <w:t>Inox</w:t>
            </w:r>
          </w:p>
        </w:tc>
      </w:tr>
      <w:tr w:rsidR="00DB2B68" w14:paraId="29413B10" w14:textId="77777777">
        <w:tc>
          <w:tcPr>
            <w:tcW w:w="5100" w:type="dxa"/>
            <w:noWrap/>
          </w:tcPr>
          <w:p w14:paraId="30D35BC5" w14:textId="77777777" w:rsidR="00DB2B68" w:rsidRDefault="00000000">
            <w:r>
              <w:t>Plaques perforées et plaques d’acier d’une épaisseur ≤3 mm</w:t>
            </w:r>
          </w:p>
        </w:tc>
        <w:tc>
          <w:tcPr>
            <w:tcW w:w="1305" w:type="dxa"/>
            <w:noWrap/>
          </w:tcPr>
          <w:p w14:paraId="37745980" w14:textId="77777777" w:rsidR="00DB2B68" w:rsidRDefault="00000000">
            <w:r>
              <w:t>Fe/Zn 12 c</w:t>
            </w:r>
            <w:r>
              <w:rPr>
                <w:vertAlign w:val="superscript"/>
              </w:rPr>
              <w:t>a</w:t>
            </w:r>
          </w:p>
        </w:tc>
        <w:tc>
          <w:tcPr>
            <w:tcW w:w="1305" w:type="dxa"/>
            <w:noWrap/>
          </w:tcPr>
          <w:p w14:paraId="059A618A" w14:textId="77777777" w:rsidR="00DB2B68" w:rsidRDefault="00000000">
            <w:r>
              <w:t>Fe/Zn 12 c</w:t>
            </w:r>
            <w:r>
              <w:rPr>
                <w:vertAlign w:val="superscript"/>
              </w:rPr>
              <w:t>a</w:t>
            </w:r>
          </w:p>
        </w:tc>
        <w:tc>
          <w:tcPr>
            <w:tcW w:w="1305" w:type="dxa"/>
            <w:noWrap/>
          </w:tcPr>
          <w:p w14:paraId="0E9C9D0A" w14:textId="77777777" w:rsidR="00DB2B68" w:rsidRDefault="00000000">
            <w:r>
              <w:t>Inox</w:t>
            </w:r>
          </w:p>
        </w:tc>
      </w:tr>
      <w:tr w:rsidR="00DB2B68" w14:paraId="7855823C" w14:textId="77777777">
        <w:tc>
          <w:tcPr>
            <w:tcW w:w="5100" w:type="dxa"/>
            <w:noWrap/>
          </w:tcPr>
          <w:p w14:paraId="468391A7" w14:textId="77777777" w:rsidR="00DB2B68" w:rsidRDefault="00000000">
            <w:r>
              <w:t>Plaques d’acier d’une épaisseur de 3 à 5 mm</w:t>
            </w:r>
          </w:p>
        </w:tc>
        <w:tc>
          <w:tcPr>
            <w:tcW w:w="1305" w:type="dxa"/>
            <w:noWrap/>
          </w:tcPr>
          <w:p w14:paraId="4077A064" w14:textId="77777777" w:rsidR="00DB2B68" w:rsidRDefault="00000000">
            <w:r>
              <w:t>néant</w:t>
            </w:r>
          </w:p>
        </w:tc>
        <w:tc>
          <w:tcPr>
            <w:tcW w:w="1305" w:type="dxa"/>
            <w:noWrap/>
          </w:tcPr>
          <w:p w14:paraId="4850E54F" w14:textId="77777777" w:rsidR="00DB2B68" w:rsidRDefault="00000000">
            <w:r>
              <w:t>Fe/Zn 12 c</w:t>
            </w:r>
            <w:r>
              <w:rPr>
                <w:vertAlign w:val="superscript"/>
              </w:rPr>
              <w:t>a</w:t>
            </w:r>
          </w:p>
        </w:tc>
        <w:tc>
          <w:tcPr>
            <w:tcW w:w="1305" w:type="dxa"/>
            <w:noWrap/>
          </w:tcPr>
          <w:p w14:paraId="6279DE64" w14:textId="77777777" w:rsidR="00DB2B68" w:rsidRDefault="00000000">
            <w:r>
              <w:t>Fe/Zn 25 c</w:t>
            </w:r>
            <w:r>
              <w:rPr>
                <w:vertAlign w:val="superscript"/>
              </w:rPr>
              <w:t>a</w:t>
            </w:r>
          </w:p>
        </w:tc>
      </w:tr>
      <w:tr w:rsidR="00DB2B68" w14:paraId="4790F870" w14:textId="77777777">
        <w:tc>
          <w:tcPr>
            <w:tcW w:w="5100" w:type="dxa"/>
            <w:noWrap/>
          </w:tcPr>
          <w:p w14:paraId="037224D2" w14:textId="77777777" w:rsidR="00DB2B68" w:rsidRDefault="00000000">
            <w:r>
              <w:t>Plaques d’acier d’une épaisseur de &gt; 5 mm</w:t>
            </w:r>
          </w:p>
        </w:tc>
        <w:tc>
          <w:tcPr>
            <w:tcW w:w="1305" w:type="dxa"/>
            <w:noWrap/>
          </w:tcPr>
          <w:p w14:paraId="4CFB4ADB" w14:textId="77777777" w:rsidR="00DB2B68" w:rsidRDefault="00000000">
            <w:r>
              <w:t>néant</w:t>
            </w:r>
          </w:p>
        </w:tc>
        <w:tc>
          <w:tcPr>
            <w:tcW w:w="1305" w:type="dxa"/>
            <w:noWrap/>
          </w:tcPr>
          <w:p w14:paraId="5F7380BC" w14:textId="77777777" w:rsidR="00DB2B68" w:rsidRDefault="00000000">
            <w:r>
              <w:t>néant</w:t>
            </w:r>
          </w:p>
        </w:tc>
        <w:tc>
          <w:tcPr>
            <w:tcW w:w="1305" w:type="dxa"/>
            <w:noWrap/>
          </w:tcPr>
          <w:p w14:paraId="6D1E8995" w14:textId="77777777" w:rsidR="00DB2B68" w:rsidRDefault="00000000">
            <w:r>
              <w:t>Fe/Zn 25 c</w:t>
            </w:r>
            <w:r>
              <w:rPr>
                <w:vertAlign w:val="superscript"/>
              </w:rPr>
              <w:t>a</w:t>
            </w:r>
          </w:p>
        </w:tc>
      </w:tr>
      <w:tr w:rsidR="00DB2B68" w14:paraId="1B209B9D" w14:textId="77777777">
        <w:tc>
          <w:tcPr>
            <w:tcW w:w="9015" w:type="dxa"/>
            <w:gridSpan w:val="4"/>
            <w:noWrap/>
          </w:tcPr>
          <w:p w14:paraId="1F97BC54" w14:textId="77777777" w:rsidR="00DB2B68" w:rsidRDefault="00000000">
            <w:r>
              <w:t>Lors du zingage à chaud, le Z275 remplace le Fe/Zn 12 c,</w:t>
            </w:r>
          </w:p>
        </w:tc>
      </w:tr>
    </w:tbl>
    <w:p w14:paraId="4CFE993F" w14:textId="77777777" w:rsidR="00DB2B68" w:rsidRDefault="00000000">
      <w:pPr>
        <w:jc w:val="both"/>
      </w:pPr>
      <w:r>
        <w:rPr>
          <w:u w:val="single"/>
        </w:rPr>
        <w:t>Les agrafes :</w:t>
      </w:r>
      <w:r>
        <w:t> Les exigences en matière de dimensions, tolérances et matériau relèvent de la [NBN EN 14592]. Le dos de l’agrafe présente une longueur &gt; 6 x Ø. Les valeurs de calcul de la résistance au cisaillement sont conformes à la [NBN EN 1995-1-1]. Les règles relatives aux assemblages réalisés à l’aide de pointes sont d’application pour les agrafes. Ces dernières sont considérées comme deux pointes d’un diamètre égal à la patte de l’agrafe, pour autant que l’angle formé par le dos et le sens des fibres sous le dos soit &gt; 30 °. Si cette condition n’est pas vérifiée, la résistance transversale doit être réduite d’un facteur 0,7.</w:t>
      </w:r>
    </w:p>
    <w:p w14:paraId="5E49DD1A" w14:textId="77777777" w:rsidR="00DB2B68" w:rsidRDefault="00000000">
      <w:pPr>
        <w:pStyle w:val="Author-eListParagraph"/>
        <w:numPr>
          <w:ilvl w:val="0"/>
          <w:numId w:val="954"/>
        </w:numPr>
        <w:jc w:val="both"/>
      </w:pPr>
      <w:r>
        <w:rPr>
          <w:u w:val="single"/>
        </w:rPr>
        <w:t>Les boulons :</w:t>
      </w:r>
      <w:r>
        <w:t> Les boulons utilisés sont en acier laminé de qualité 4.6 au minimum. Les dimensions relèvent de la [NBN EN 14592]. 12 mm ≤ Ø ≤ 30 mm. Les boulons sont montés avec des rondelles d’un Ø ≥ D = 3 *Ø (Ø = le diamètre de la tige filetée du boulon) ou avec des plaquettes carrées de côté a = 3 * Ø. L’épaisseur de ces plaquettes de répartition ≥ 0,3 *Ø . Les distances minimales entre les boulons d’une même file, entre files et entre boulons et extrémités de la pièce de bois sont indiquées dans la norme [NBN EN 1995-1-1]. Le diamètre des trous ne peut dépasser que d’un mm celui du boulon. Dans une plaque d’acier, le diamètre des trous prévus pour les boulons ne peut pas être supérieur de plus de 2 mm ou de 0,1 d à celui des boulons (la plus grande des deux valeurs).</w:t>
      </w:r>
    </w:p>
    <w:p w14:paraId="52B418C5" w14:textId="77777777" w:rsidR="00DB2B68" w:rsidRDefault="00000000">
      <w:pPr>
        <w:pStyle w:val="Author-eListParagraph"/>
        <w:numPr>
          <w:ilvl w:val="0"/>
          <w:numId w:val="955"/>
        </w:numPr>
        <w:jc w:val="both"/>
      </w:pPr>
      <w:r>
        <w:rPr>
          <w:u w:val="single"/>
        </w:rPr>
        <w:t>Les goujons :</w:t>
      </w:r>
      <w:r>
        <w:t xml:space="preserve"> Les goujons sont en acier laminé, conformément aux prescriptions des normes [NBN EN 10025 série] ou [NBN EN 10149 série]. Ils présentent une qualité d’acier S235 au minimum, suivant la [NBN EN 10025 série], et une élasticité (A80) de 16% au moins. La [NBN EN 14592] définit dimensions et tolérances, limitées à –0/+0,1 mm. 6 mm ≤ Ø ≤ 30 mm. Ces goujons ne présentent ni tête ni filetage, mais leurs extrémités sont légèrement biseautées. Ils présentent une longueur égale à l’épaisseur totale des pièces de bois à assembler. Les goujons sont insérés par force dans des trous forés au préalable et dont le diamètre ne dépasse pas le leur. Si des plaques d’acier sont utilisées, le diamètre de leur trou n’est pas supérieur de plus d’un mm à celui du goujon. Tout assemblage par goujons comporte au moins 4 goujons, qui sont complétés par des boulons afin de résister à l’influence d’efforts secondaires qui s’exercent dans l’axe du goujon. Les distances entre goujons et par rapport aux extrémités de la pièce de bois sont indiquées dans la [NBN EN </w:t>
      </w:r>
      <w:r>
        <w:lastRenderedPageBreak/>
        <w:t>1995-1-1]. Les calculs de résistance au cisaillement s’effectuent de la même manière que pour les boulons, mais les valeurs σ et p pour des efforts parallèles aux fibres du bois sont :  </w:t>
      </w:r>
    </w:p>
    <w:p w14:paraId="62270DBD" w14:textId="77777777" w:rsidR="00DB2B68" w:rsidRDefault="00000000">
      <w:pPr>
        <w:pStyle w:val="Author-eListParagraph"/>
        <w:numPr>
          <w:ilvl w:val="0"/>
          <w:numId w:val="956"/>
        </w:numPr>
      </w:pPr>
      <w:r>
        <w:t xml:space="preserve">Pour les résineux         </w:t>
      </w:r>
    </w:p>
    <w:p w14:paraId="0F46F324" w14:textId="77777777" w:rsidR="00DB2B68" w:rsidRDefault="00000000">
      <w:pPr>
        <w:pStyle w:val="Author-eListParagraph"/>
        <w:numPr>
          <w:ilvl w:val="1"/>
          <w:numId w:val="957"/>
        </w:numPr>
      </w:pPr>
      <w:r>
        <w:t>Cisaillement simple pièce centrale : σ = 4 N/mm²;  p=23 N/mm²</w:t>
      </w:r>
    </w:p>
    <w:p w14:paraId="2FEA59A3" w14:textId="77777777" w:rsidR="00DB2B68" w:rsidRDefault="00000000">
      <w:pPr>
        <w:pStyle w:val="Author-eListParagraph"/>
        <w:numPr>
          <w:ilvl w:val="1"/>
          <w:numId w:val="957"/>
        </w:numPr>
      </w:pPr>
      <w:r>
        <w:t>Cisaillement simple pièce latérale :  σ = 5.5 N/mm²;  p=33 N/mm²</w:t>
      </w:r>
    </w:p>
    <w:p w14:paraId="4C7D8679" w14:textId="77777777" w:rsidR="00DB2B68" w:rsidRDefault="00000000">
      <w:pPr>
        <w:pStyle w:val="Author-eListParagraph"/>
        <w:numPr>
          <w:ilvl w:val="1"/>
          <w:numId w:val="957"/>
        </w:numPr>
      </w:pPr>
      <w:r>
        <w:t>Cisaillement double pièce centrale :  σ = 8.5 N/mm²;  p=51 N/mm²</w:t>
      </w:r>
    </w:p>
    <w:p w14:paraId="069CBC02" w14:textId="77777777" w:rsidR="00DB2B68" w:rsidRDefault="00000000">
      <w:pPr>
        <w:pStyle w:val="Author-eListParagraph"/>
        <w:numPr>
          <w:ilvl w:val="0"/>
          <w:numId w:val="956"/>
        </w:numPr>
      </w:pPr>
      <w:r>
        <w:t>Pour les feuillus:</w:t>
      </w:r>
    </w:p>
    <w:p w14:paraId="45E5495B" w14:textId="77777777" w:rsidR="00DB2B68" w:rsidRDefault="00000000">
      <w:pPr>
        <w:pStyle w:val="Author-eListParagraph"/>
        <w:numPr>
          <w:ilvl w:val="1"/>
          <w:numId w:val="958"/>
        </w:numPr>
      </w:pPr>
      <w:r>
        <w:t>Cisaillement simple pièce centrale : σ = 5 N/mm²;  p=27 N/mm²</w:t>
      </w:r>
    </w:p>
    <w:p w14:paraId="083BFD7B" w14:textId="77777777" w:rsidR="00DB2B68" w:rsidRDefault="00000000">
      <w:pPr>
        <w:pStyle w:val="Author-eListParagraph"/>
        <w:numPr>
          <w:ilvl w:val="1"/>
          <w:numId w:val="958"/>
        </w:numPr>
      </w:pPr>
      <w:r>
        <w:t>Cisaillement simple Pièce latérale :  σ = 6.5 N/mm²;  p=39 N/mm²</w:t>
      </w:r>
    </w:p>
    <w:p w14:paraId="00780DDC" w14:textId="77777777" w:rsidR="00DB2B68" w:rsidRDefault="00000000">
      <w:pPr>
        <w:pStyle w:val="Author-eListParagraph"/>
        <w:numPr>
          <w:ilvl w:val="1"/>
          <w:numId w:val="958"/>
        </w:numPr>
      </w:pPr>
      <w:r>
        <w:t>Cisaillement double pièce centrale :  σ = 10 N/mm²;  p=60 N/mm²</w:t>
      </w:r>
    </w:p>
    <w:p w14:paraId="18B870EA" w14:textId="77777777" w:rsidR="00DB2B68" w:rsidRDefault="00000000">
      <w:pPr>
        <w:ind w:left="567"/>
        <w:jc w:val="both"/>
      </w:pPr>
      <w:r>
        <w:t>Si la direction de l’effort forme un angle α avec les fibres du bois, un facteur de correction k est appliqué. k=1-α/360 où α représente l’angle entre la direction de l’effort et les fibres (α ≤ 90°). L’effort que peut reprendre une file de n goujons équivaut à l’effort unitaire multiplié par leur nombre.</w:t>
      </w:r>
    </w:p>
    <w:p w14:paraId="76D07921" w14:textId="77777777" w:rsidR="00DB2B68" w:rsidRDefault="00000000">
      <w:pPr>
        <w:pStyle w:val="Author-eListParagraph"/>
        <w:numPr>
          <w:ilvl w:val="0"/>
          <w:numId w:val="959"/>
        </w:numPr>
      </w:pPr>
      <w:r>
        <w:rPr>
          <w:u w:val="single"/>
        </w:rPr>
        <w:t>Les vis et tirefonds : </w:t>
      </w:r>
      <w:r>
        <w:t> Les vis satisfont aux prescriptions de la [NBN EN 14592]. Le diamètre extérieur de la partie profilée mesure de 2,4 mm minimum à 24 mm maximum. Vis et tirefonds d’un Ø &gt; 6 mm sont insérés dans des trous préforés d’un Ø = 0,7 * d sur la longueur du filetage et égal à d sur la longueur de la partie non filetée (fût). Toutes les prescriptions relatives aux vis exposées dans les paragraphes suivants s’appliquent également aux tirefonds. Les distances minimales entre les vis d’une même file et entre les vis et les extrémités de la pièce de bois sont indiquées dans la [NBN EN 1995-1-1]. Les assemblages vissés sont des assemblages simples. Pour une combinaison d’actions de cas A, l’effort admissible (N) dans le sens des fibres du bois se calcule comme suit, pour autant que la longueur de fixation s soit supérieure à 8d : Fa= 4.a.d (≤ 17 d²) où: a = l’épaisseur de la pièce de bois à visser en mm d = le diamètre du fût de la vis en mm. Pour les cas de charges B et C, la valeur obtenue est respectivement multipliée par un facteur 1,15 et 1,5. Si dans l’assemblage considéré, la direction de l’effort forme un angle α avec les fibres du bois et si le Ø de la vis est &gt; 10 mm, un facteur de correction k est appliqué. Ce dernier est égal à 1-α/360, où α représente l’angle entre le sens des fibres et la direction de l’effort (0 &lt; α ≤ 90°). Pour des longueurs de fixation comprises entre 4d &lt; s &lt; 8d, les valeurs de résistance sont obtenues par interpolation linéaire de la résistance pour s = 8 * d. Toutefois, pour des longueurs de fixation inférieures à 4 * d, la résistance n’est plus prise en compte. Un assemblage vissé comporte deux vis au minimum. L’effort repris par une file de n vis est égal à la valeur unitaire multipliée par le nombre efficace de vis n</w:t>
      </w:r>
      <w:r>
        <w:rPr>
          <w:vertAlign w:val="subscript"/>
        </w:rPr>
        <w:t>eff</w:t>
      </w:r>
      <w:r>
        <w:t>. Si n &lt; 10, n</w:t>
      </w:r>
      <w:r>
        <w:rPr>
          <w:vertAlign w:val="subscript"/>
        </w:rPr>
        <w:t>eff</w:t>
      </w:r>
      <w:r>
        <w:t xml:space="preserve"> = 10 si n &gt; 10, n</w:t>
      </w:r>
      <w:r>
        <w:rPr>
          <w:vertAlign w:val="subscript"/>
        </w:rPr>
        <w:t>eff</w:t>
      </w:r>
      <w:r>
        <w:t xml:space="preserve"> = 10 + 2/3(n-10). Si des goussets métalliques sont utilisés, la contrainte limite sur le bois peut être multipliée par 1,25, de telle sorte que la formule devient: Fa = 1,25 *17 * d²</w:t>
      </w:r>
    </w:p>
    <w:p w14:paraId="36C3CE34" w14:textId="77777777" w:rsidR="00DB2B68" w:rsidRDefault="00000000">
      <w:pPr>
        <w:ind w:left="567"/>
      </w:pPr>
      <w:r>
        <w:t>Pour les vis sollicitées axialement, la résistance à l’arrachement des vis s’entend pour du bois sec et est indépendante de l’humidité du bois au moment du vissage. La résistance admissible à l’arrachement en N par mm de longueur utile s</w:t>
      </w:r>
      <w:r>
        <w:rPr>
          <w:vertAlign w:val="subscript"/>
        </w:rPr>
        <w:t>g</w:t>
      </w:r>
      <w:r>
        <w:t xml:space="preserve"> de la partie filetée s’exprime comme suit : Fa = 3 * s</w:t>
      </w:r>
      <w:r>
        <w:rPr>
          <w:vertAlign w:val="subscript"/>
        </w:rPr>
        <w:t>g</w:t>
      </w:r>
      <w:r>
        <w:t xml:space="preserve"> .d où : d = le Ø de la partie filetée en mm, s</w:t>
      </w:r>
      <w:r>
        <w:rPr>
          <w:vertAlign w:val="subscript"/>
        </w:rPr>
        <w:t>g</w:t>
      </w:r>
      <w:r>
        <w:t xml:space="preserve"> = la profondeur de vissage de la partie filetée en mm. </w:t>
      </w:r>
    </w:p>
    <w:p w14:paraId="10CA6FA5" w14:textId="77777777" w:rsidR="00DB2B68" w:rsidRDefault="00000000">
      <w:pPr>
        <w:pStyle w:val="Author-eListParagraph"/>
        <w:numPr>
          <w:ilvl w:val="0"/>
          <w:numId w:val="960"/>
        </w:numPr>
      </w:pPr>
      <w:r>
        <w:rPr>
          <w:u w:val="single"/>
        </w:rPr>
        <w:t>Crampons, anneaux simples ou double face et boulons :</w:t>
      </w:r>
      <w:r>
        <w:t xml:space="preserve"> Les caractéristiques relatives au matériau et aux dimensions relèvent de la [NBN EN 912]. Les anneaux appartiennent aux types A ou B et les crampons, aux types C, D ou E. Les anneaux double face sont placés dans une gorge fraisée au préalable dans les pièces de bois à assembler. Ce fraisage doit s’effectuer à l’aide d’un outil spécial afin d’éviter tout jeu entre l’anneau et le bois. La pénétration des dents du crampon dans le bois s’obtient par le serrage d’un boulon, muni de plaquettes de répartition de grandes dimensions, et passé à travers l’axe du crampon. Les crampons à double denture munis de dents sur leurs deux faces sont destinés aux assemblages bois sur bois. Ils sont percés en leur centre pour permettre le passage du boulon qui n’entre toutefois pas en contact avec le crampon. Crampon à simple denture : Les crampons munis de dents sur une seule de leurs faces sont principalement utilisés pour des assemblages bois / métal, mais peuvent également être employés par paire, pour former un </w:t>
      </w:r>
      <w:r>
        <w:lastRenderedPageBreak/>
        <w:t>joint entre deux pièces de bois. Ils présentent en leur centre une ouverture aux bords renforcés qui entrent en contact avec le boulon. Boulons de serrage : afin d’assurer la pénétration des dents dans le bois, le crampon doit recevoir une pression indirecte, par l’intermédiaire du boulon de serrage.</w:t>
      </w:r>
    </w:p>
    <w:p w14:paraId="4129BCBF" w14:textId="77777777" w:rsidR="00DB2B68" w:rsidRDefault="00000000">
      <w:pPr>
        <w:pStyle w:val="Author-eListParagraph"/>
        <w:numPr>
          <w:ilvl w:val="0"/>
          <w:numId w:val="961"/>
        </w:numPr>
      </w:pPr>
      <w:r>
        <w:rPr>
          <w:u w:val="single"/>
        </w:rPr>
        <w:t> Les connecteurs à plaque métallique emboutie</w:t>
      </w:r>
      <w:r>
        <w:t> sont conformes à la [NBN EN 14545]. Les assemblages utilisant des connecteurs à plaque métallique emboutie sont réservés aux constructions qui subissent principalement une charge statique. Si l’humidité du bois est &gt; 22 % en service, le facteur kmod de classe de service 3 s’applique aux connecteurs. Les connecteurs assemblés par soudure doivent couvrir au minimum 2/3 de la hauteur de pointe h.</w:t>
      </w:r>
    </w:p>
    <w:p w14:paraId="793AC0E0" w14:textId="77777777" w:rsidR="00DB2B68" w:rsidRDefault="00000000">
      <w:pPr>
        <w:pStyle w:val="Author-eListParagraph"/>
        <w:numPr>
          <w:ilvl w:val="0"/>
          <w:numId w:val="962"/>
        </w:numPr>
      </w:pPr>
      <w:r>
        <w:rPr>
          <w:u w:val="single"/>
        </w:rPr>
        <w:t>Les colles</w:t>
      </w:r>
      <w:r>
        <w:t> sont de type structurel et répondent aux prescriptions de la [NBN EN 301] pour les colles UF, MUF et RF. Les colles PU satisfont aux exigences de la [NBN EN 15425]. Elles sont de préférence appliquées en usine. Etant donné que les assemblages collés présentent en général une résistance supérieure à celle du bois, les calculs visent à limiter la tension de cisaillement dans le bois. </w:t>
      </w:r>
    </w:p>
    <w:p w14:paraId="5E065B3E" w14:textId="77777777" w:rsidR="00DB2B68" w:rsidRDefault="00000000">
      <w:pPr>
        <w:jc w:val="both"/>
      </w:pPr>
      <w:r>
        <w:t>Les connecteurs métalliques de réemploi sont acceptés sur base d’une note de calcul justifiée.</w:t>
      </w:r>
    </w:p>
    <w:p w14:paraId="34E73BC1" w14:textId="77777777" w:rsidR="00DB2B68" w:rsidRDefault="00000000">
      <w:pPr>
        <w:jc w:val="both"/>
      </w:pPr>
      <w:r>
        <w:rPr>
          <w:b/>
          <w:u w:val="single"/>
        </w:rPr>
        <w:t>Fermes et fermettes</w:t>
      </w:r>
    </w:p>
    <w:p w14:paraId="25EC39F9" w14:textId="77777777" w:rsidR="00DB2B68" w:rsidRDefault="00000000">
      <w:pPr>
        <w:jc w:val="both"/>
      </w:pPr>
      <w:r>
        <w:t>Les fermes et fermettes industrialisées répondent aux prescriptions de la [NBN EN 14250]. Elles sont traitées contre les insectes et les champignons par un procédé décrit dans les [STS 04 série] et choisi en fonction de la classe d’emploi, conformément à la [NBN EN 335]. </w:t>
      </w:r>
    </w:p>
    <w:p w14:paraId="7278DDA5" w14:textId="77777777" w:rsidR="00DB2B68" w:rsidRDefault="00000000">
      <w:pPr>
        <w:pStyle w:val="pheading"/>
      </w:pPr>
      <w:r>
        <w:t>EXÉCUTION / MISE EN ŒUVRE</w:t>
      </w:r>
    </w:p>
    <w:p w14:paraId="21DBFB21" w14:textId="77777777" w:rsidR="00DB2B68" w:rsidRDefault="00000000">
      <w:pPr>
        <w:jc w:val="both"/>
      </w:pPr>
      <w:r>
        <w:t>La mise en œuvre et les tolérances de placement sont conformes aux [STS 31].</w:t>
      </w:r>
    </w:p>
    <w:p w14:paraId="0F3DE1F4" w14:textId="77777777" w:rsidR="00DB2B68" w:rsidRDefault="00000000">
      <w:pPr>
        <w:jc w:val="both"/>
      </w:pPr>
      <w:r>
        <w:t>Si le bois se trouve en contact direct avec les maçonneries, béton et mortier, il reçoit un traitement de préservation adapté avec la classe d’emploi 3 (selon [NBN EN 335]).</w:t>
      </w:r>
    </w:p>
    <w:p w14:paraId="5412139F" w14:textId="77777777" w:rsidR="00DB2B68" w:rsidRDefault="00000000">
      <w:pPr>
        <w:jc w:val="both"/>
      </w:pPr>
      <w:r>
        <w:t>L’entreposage et la manutention des éléments de charpenteries sont effectués sans engendrer de déformation ni d’exposition à l’eau liquide. Que les éléments soient entreposés verticalement ou horizontalement, ils doivent être suffisamment soutenus afin de ne subir ni dommage ni déformation. Les éléments de charpentes sont protégés des intempéries et ventilés. En outre, il faut éviter tout contact des éléments avec le sol ou la végétation.</w:t>
      </w:r>
    </w:p>
    <w:p w14:paraId="5487ADA0" w14:textId="77777777" w:rsidR="00DB2B68" w:rsidRDefault="00000000">
      <w:pPr>
        <w:jc w:val="both"/>
      </w:pPr>
      <w:r>
        <w:t>Les charpentes sont fixées dans les sablières ou dans le gros œuvre afin de reprendre les efforts du poids de la toiture et des surcharges telles que la neige, charge d’exploitation, ..., les efforts horizontaux et verticaux dus au vent.</w:t>
      </w:r>
    </w:p>
    <w:p w14:paraId="741CBE6B" w14:textId="77777777" w:rsidR="00DB2B68" w:rsidRDefault="00000000">
      <w:pPr>
        <w:pStyle w:val="pheading"/>
      </w:pPr>
      <w:r>
        <w:t>DOCUMENTS DE RÉFÉRENCE</w:t>
      </w:r>
    </w:p>
    <w:p w14:paraId="0DC21346" w14:textId="77777777" w:rsidR="00DB2B68" w:rsidRDefault="00000000">
      <w:pPr>
        <w:pStyle w:val="pheading"/>
      </w:pPr>
      <w:r>
        <w:t>- Matériau</w:t>
      </w:r>
    </w:p>
    <w:p w14:paraId="696A1668" w14:textId="77777777" w:rsidR="00DB2B68" w:rsidRDefault="00000000">
      <w:r>
        <w:t>[NIT 127, Ecarts admissibles sur les dimensions]</w:t>
      </w:r>
    </w:p>
    <w:p w14:paraId="25EA738B" w14:textId="77777777" w:rsidR="00DB2B68" w:rsidRDefault="00000000">
      <w:r>
        <w:t>[Buildwise Métré 2.13, Charpente en bois]</w:t>
      </w:r>
    </w:p>
    <w:p w14:paraId="2E5F5438" w14:textId="77777777" w:rsidR="00DB2B68" w:rsidRDefault="00000000">
      <w:r>
        <w:t>[NBN EN 336, Bois de structure - Dimensions, écarts admissibles]</w:t>
      </w:r>
    </w:p>
    <w:p w14:paraId="1A2EAF14" w14:textId="77777777" w:rsidR="00DB2B68" w:rsidRDefault="00000000">
      <w:r>
        <w:t>[NBN 219-02, Bois sciés - Bois résineux de Belgique - Dimensions nominales]</w:t>
      </w:r>
    </w:p>
    <w:p w14:paraId="0BFF57BA" w14:textId="77777777" w:rsidR="00DB2B68" w:rsidRDefault="00000000">
      <w:r>
        <w:t>[NBN 219-03, Bois sciés - Bois résineux importés du Nord - Dimensions nominales]</w:t>
      </w:r>
    </w:p>
    <w:p w14:paraId="5DD53CA8" w14:textId="77777777" w:rsidR="00DB2B68" w:rsidRDefault="00000000">
      <w:r>
        <w:t>[NBN EN 1313-1, Bois ronds et bois sciés - Ecarts admissibles et dimensions préférentielles - Partie 1 : Bois sciés résineux]</w:t>
      </w:r>
    </w:p>
    <w:p w14:paraId="5884DAD0" w14:textId="77777777" w:rsidR="00DB2B68" w:rsidRDefault="00000000">
      <w:r>
        <w:t>[NBN EN 1313-2, Bois ronds et bois sciés - Ecarts admissibles et dimensions préférentielles - Partie 2: Bois sciés feuillus]</w:t>
      </w:r>
    </w:p>
    <w:p w14:paraId="7BCB38F9" w14:textId="77777777" w:rsidR="00DB2B68" w:rsidRDefault="00000000">
      <w:r>
        <w:t>[NBN EN 14080, Structures en bois - Bois lamellé collé et bois massif reconstitué - Exigences]</w:t>
      </w:r>
    </w:p>
    <w:p w14:paraId="3E559960" w14:textId="77777777" w:rsidR="00DB2B68" w:rsidRDefault="00000000">
      <w:r>
        <w:t>[NBN EN 1995-1-1, Eurocode 5: Conception et calcul des structures en bois - Partie 1-1 : Généralités - Règles communes et règles pour les bâtiments (+AC:2006)]</w:t>
      </w:r>
    </w:p>
    <w:p w14:paraId="74E9C785" w14:textId="77777777" w:rsidR="00DB2B68" w:rsidRDefault="00000000">
      <w:r>
        <w:t>[NBN EN 1991 série, Eurocode 1 : Actions sur les structures]</w:t>
      </w:r>
    </w:p>
    <w:p w14:paraId="47983CBE" w14:textId="77777777" w:rsidR="00DB2B68" w:rsidRDefault="00000000">
      <w:r>
        <w:lastRenderedPageBreak/>
        <w:t>[NBN EN 1990, Eurocodes structuraux - Eurocodes: Bases de calcul des structures]</w:t>
      </w:r>
    </w:p>
    <w:p w14:paraId="365F0F94" w14:textId="77777777" w:rsidR="00DB2B68" w:rsidRDefault="00000000">
      <w:r>
        <w:t>[NBN EN 14081-1:2016+A1, Structures en bois - Bois de structure à section rectangulaire classé pour sa résistance - Partie 1 : Exigences générales]</w:t>
      </w:r>
    </w:p>
    <w:p w14:paraId="77E57056" w14:textId="77777777" w:rsidR="00DB2B68" w:rsidRDefault="00000000">
      <w:r>
        <w:t>[STS 04.1, Bois et panneaux à base de bois : bois de structure]</w:t>
      </w:r>
    </w:p>
    <w:p w14:paraId="38138FB3" w14:textId="77777777" w:rsidR="00DB2B68" w:rsidRDefault="00000000">
      <w:r>
        <w:t>[NBN EN 14592, Structures en bois - Eléments de fixation de type tige - Exigences]  </w:t>
      </w:r>
    </w:p>
    <w:p w14:paraId="617C94A0" w14:textId="77777777" w:rsidR="00DB2B68" w:rsidRDefault="00000000">
      <w:r>
        <w:t>[NBN EN 10025 série, Produits laminés à chaud en aciers de construction] </w:t>
      </w:r>
    </w:p>
    <w:p w14:paraId="035EACB9" w14:textId="77777777" w:rsidR="00DB2B68" w:rsidRDefault="00000000">
      <w:r>
        <w:t>[NBN EN 10149 série, Produits plats laminés à chaud en aciers à haute limite d'élasticité pour formage à froid]</w:t>
      </w:r>
    </w:p>
    <w:p w14:paraId="6214EC94" w14:textId="77777777" w:rsidR="00DB2B68" w:rsidRDefault="00000000">
      <w:r>
        <w:t>[NBN EN 912, Organes d'assemblage pour le bois - Spécifications des assembleurs pour bois] </w:t>
      </w:r>
    </w:p>
    <w:p w14:paraId="57C4CC85" w14:textId="77777777" w:rsidR="00DB2B68" w:rsidRDefault="00000000">
      <w:r>
        <w:t>[NBN EN 14545, Structures en bois - Connecteurs - Exigences]</w:t>
      </w:r>
    </w:p>
    <w:p w14:paraId="33E6F397" w14:textId="77777777" w:rsidR="00DB2B68" w:rsidRDefault="00000000">
      <w:r>
        <w:t>[NBN EN 301, Adhésifs de nature phénolique et aminoplaste, pour structures portantes en bois - Classification et exigences de performance]</w:t>
      </w:r>
    </w:p>
    <w:p w14:paraId="3E1BC990" w14:textId="77777777" w:rsidR="00DB2B68" w:rsidRDefault="00000000">
      <w:r>
        <w:t>[NBN EN 15425, Adhésifs - Adhésifs polyuréthane monocomposants (PUR) pour structures portantes en bois - Classification et exigences de performance]</w:t>
      </w:r>
    </w:p>
    <w:p w14:paraId="4B106DC2" w14:textId="77777777" w:rsidR="00DB2B68" w:rsidRDefault="00000000">
      <w:r>
        <w:t>[NBN EN 14250, Structure en bois - Exigences de produit relatives aux éléments de structures préfabriqués utilisant des connecteurs à plaque métallique emboutie]</w:t>
      </w:r>
    </w:p>
    <w:p w14:paraId="504F7A27" w14:textId="77777777" w:rsidR="00DB2B68" w:rsidRDefault="00000000">
      <w:r>
        <w:t>[NBN EN 335, Durabilité du bois et des matériaux à base de bois - Classes d'emploi: définitions, application au bois massif et aux matériaux à base de bois]</w:t>
      </w:r>
    </w:p>
    <w:p w14:paraId="140DF95F" w14:textId="77777777" w:rsidR="00DB2B68" w:rsidRDefault="00000000">
      <w:r>
        <w:t>[STS 23, Structures en bois]</w:t>
      </w:r>
    </w:p>
    <w:p w14:paraId="772464C2" w14:textId="77777777" w:rsidR="00DB2B68" w:rsidRDefault="00000000">
      <w:pPr>
        <w:pStyle w:val="Author-eSectionHeading5Numberless"/>
      </w:pPr>
      <w:bookmarkStart w:id="1691" w:name="_Toc220496673"/>
      <w:r>
        <w:t>24.24.1 Charpentes en bois assemblées sur place CCTB 01.04</w:t>
      </w:r>
      <w:bookmarkEnd w:id="1691"/>
    </w:p>
    <w:p w14:paraId="4A3A6FF8" w14:textId="77777777" w:rsidR="00DB2B68" w:rsidRDefault="00000000">
      <w:pPr>
        <w:pStyle w:val="Author-eSectionHeading6Numberless"/>
      </w:pPr>
      <w:bookmarkStart w:id="1692" w:name="_Toc220496674"/>
      <w:r>
        <w:t>24.24.1a Charpentes planes en bois assemblées sur place CCTB 01.11</w:t>
      </w:r>
      <w:bookmarkEnd w:id="1692"/>
    </w:p>
    <w:p w14:paraId="3EE662EC" w14:textId="77777777" w:rsidR="00DB2B68" w:rsidRDefault="00000000">
      <w:pPr>
        <w:pStyle w:val="pheading"/>
      </w:pPr>
      <w:r>
        <w:t>DESCRIPTION</w:t>
      </w:r>
    </w:p>
    <w:p w14:paraId="276DCBCE" w14:textId="77777777" w:rsidR="00DB2B68" w:rsidRDefault="00000000">
      <w:pPr>
        <w:pStyle w:val="pheading"/>
      </w:pPr>
      <w:r>
        <w:t>- Définition / Comprend</w:t>
      </w:r>
    </w:p>
    <w:p w14:paraId="3A307008" w14:textId="77777777" w:rsidR="00DB2B68" w:rsidRDefault="00000000">
      <w:pPr>
        <w:jc w:val="both"/>
      </w:pPr>
      <w:r>
        <w:t>Il s’agit de la fourniture (hors matériaux récupérés du même site) et la pose des éléments de charpente en bois assemblés sur place.</w:t>
      </w:r>
    </w:p>
    <w:p w14:paraId="6F46C6B5" w14:textId="77777777" w:rsidR="00DB2B68" w:rsidRDefault="00000000">
      <w:pPr>
        <w:jc w:val="both"/>
      </w:pPr>
      <w:r>
        <w:t>Les travaux comprennent notamment :</w:t>
      </w:r>
    </w:p>
    <w:p w14:paraId="09420BDD" w14:textId="77777777" w:rsidR="00DB2B68" w:rsidRDefault="00000000">
      <w:pPr>
        <w:pStyle w:val="Author-eListParagraph"/>
        <w:numPr>
          <w:ilvl w:val="0"/>
          <w:numId w:val="963"/>
        </w:numPr>
        <w:jc w:val="both"/>
      </w:pPr>
      <w:r>
        <w:t>La fourniture des documents reprenant les caractéristiques de résistance de la charpente et l’étude d’exécution ;</w:t>
      </w:r>
    </w:p>
    <w:p w14:paraId="45CDC55F" w14:textId="77777777" w:rsidR="00DB2B68" w:rsidRDefault="00000000">
      <w:pPr>
        <w:pStyle w:val="Author-eListParagraph"/>
        <w:numPr>
          <w:ilvl w:val="0"/>
          <w:numId w:val="963"/>
        </w:numPr>
        <w:jc w:val="both"/>
      </w:pPr>
      <w:r>
        <w:t>Les installations de signalisation et de sécurité pour la pose des charpentes ;</w:t>
      </w:r>
    </w:p>
    <w:p w14:paraId="0219AE2C" w14:textId="77777777" w:rsidR="00DB2B68" w:rsidRDefault="00000000">
      <w:pPr>
        <w:pStyle w:val="Author-eListParagraph"/>
        <w:numPr>
          <w:ilvl w:val="0"/>
          <w:numId w:val="963"/>
        </w:numPr>
        <w:jc w:val="both"/>
      </w:pPr>
      <w:r>
        <w:t>La fourniture (hors matériaux récupérés du même site), la manutention, l’assemblage et la pose des éléments de charpente en bois ;</w:t>
      </w:r>
    </w:p>
    <w:p w14:paraId="2E3B8D9A" w14:textId="77777777" w:rsidR="00DB2B68" w:rsidRDefault="00000000">
      <w:pPr>
        <w:pStyle w:val="Author-eListParagraph"/>
        <w:numPr>
          <w:ilvl w:val="0"/>
          <w:numId w:val="963"/>
        </w:numPr>
        <w:jc w:val="both"/>
      </w:pPr>
      <w:r>
        <w:t>La liaison mécanique (ancrages et ferrures) des éléments au gros œuvre ;</w:t>
      </w:r>
    </w:p>
    <w:p w14:paraId="3DB40897" w14:textId="77777777" w:rsidR="00DB2B68" w:rsidRDefault="00000000">
      <w:pPr>
        <w:pStyle w:val="Author-eListParagraph"/>
        <w:numPr>
          <w:ilvl w:val="0"/>
          <w:numId w:val="963"/>
        </w:numPr>
        <w:jc w:val="both"/>
      </w:pPr>
      <w:r>
        <w:t>L’étançonnage et le contreventement provisoire des éléments de charpente ;</w:t>
      </w:r>
    </w:p>
    <w:p w14:paraId="3EBA69D0" w14:textId="77777777" w:rsidR="00DB2B68" w:rsidRDefault="00000000">
      <w:pPr>
        <w:pStyle w:val="Author-eListParagraph"/>
        <w:numPr>
          <w:ilvl w:val="0"/>
          <w:numId w:val="963"/>
        </w:numPr>
        <w:jc w:val="both"/>
      </w:pPr>
      <w:r>
        <w:t>Le traitement de préservation des éléments découpés ;</w:t>
      </w:r>
    </w:p>
    <w:p w14:paraId="107A2C0E" w14:textId="77777777" w:rsidR="00DB2B68" w:rsidRDefault="00000000">
      <w:pPr>
        <w:pStyle w:val="Author-eListParagraph"/>
        <w:numPr>
          <w:ilvl w:val="0"/>
          <w:numId w:val="963"/>
        </w:numPr>
        <w:jc w:val="both"/>
      </w:pPr>
      <w:r>
        <w:t>La protection éventuelle de l’ensemble de la charpente ;</w:t>
      </w:r>
    </w:p>
    <w:p w14:paraId="39F8C03F" w14:textId="77777777" w:rsidR="00DB2B68" w:rsidRDefault="00000000">
      <w:pPr>
        <w:pStyle w:val="Author-eListParagraph"/>
        <w:numPr>
          <w:ilvl w:val="0"/>
          <w:numId w:val="963"/>
        </w:numPr>
        <w:jc w:val="both"/>
      </w:pPr>
      <w:r>
        <w:t>La fourniture des documents relatifs au dossier d’intervention ultérieur concernant la charpente et les dispositifs de raccords dans la charpente pour équipement de sécurité.</w:t>
      </w:r>
    </w:p>
    <w:p w14:paraId="16F3FC58" w14:textId="77777777" w:rsidR="00DB2B68" w:rsidRDefault="00000000">
      <w:pPr>
        <w:pStyle w:val="pheading"/>
      </w:pPr>
      <w:r>
        <w:t>MATÉRIAUX</w:t>
      </w:r>
    </w:p>
    <w:p w14:paraId="29246C13" w14:textId="77777777" w:rsidR="00DB2B68" w:rsidRDefault="00000000">
      <w:pPr>
        <w:pStyle w:val="pheading"/>
      </w:pPr>
      <w:r>
        <w:t>- Caractéristiques générales</w:t>
      </w:r>
    </w:p>
    <w:p w14:paraId="7552DFE7" w14:textId="77777777" w:rsidR="00DB2B68" w:rsidRDefault="00000000">
      <w:pPr>
        <w:jc w:val="both"/>
      </w:pPr>
      <w:r>
        <w:t xml:space="preserve">Les éléments utilisés sont en </w:t>
      </w:r>
      <w:r>
        <w:rPr>
          <w:rStyle w:val="optioncarChar"/>
        </w:rPr>
        <w:t xml:space="preserve">bois massif résineux </w:t>
      </w:r>
      <w:r>
        <w:t xml:space="preserve">(par défaut) </w:t>
      </w:r>
      <w:r>
        <w:rPr>
          <w:rStyle w:val="optioncarChar"/>
        </w:rPr>
        <w:t>/ en bois massif feuillu / en lamellé collé / ***.</w:t>
      </w:r>
    </w:p>
    <w:p w14:paraId="07649A4E" w14:textId="77777777" w:rsidR="00DB2B68" w:rsidRDefault="00000000">
      <w:pPr>
        <w:ind w:left="567"/>
        <w:jc w:val="both"/>
      </w:pPr>
      <w:r>
        <w:rPr>
          <w:b/>
          <w:i/>
        </w:rPr>
        <w:t>(Soit par défaut) </w:t>
      </w:r>
    </w:p>
    <w:p w14:paraId="39805FB4" w14:textId="77777777" w:rsidR="00DB2B68" w:rsidRDefault="00000000">
      <w:pPr>
        <w:ind w:left="567"/>
        <w:jc w:val="both"/>
      </w:pPr>
      <w:r>
        <w:rPr>
          <w:rStyle w:val="soitChar"/>
          <w:u w:val="single"/>
        </w:rPr>
        <w:t>Bois massif résineux</w:t>
      </w:r>
      <w:r>
        <w:rPr>
          <w:rStyle w:val="soitChar"/>
        </w:rPr>
        <w:t xml:space="preserve"> : Les éléments sont en </w:t>
      </w:r>
      <w:r>
        <w:rPr>
          <w:rStyle w:val="optioncarChar"/>
        </w:rPr>
        <w:t>Epicéa </w:t>
      </w:r>
      <w:r>
        <w:t>(par défaut) </w:t>
      </w:r>
      <w:r>
        <w:rPr>
          <w:rStyle w:val="optioncarChar"/>
        </w:rPr>
        <w:t>/ Douglas / Mélèze / ***</w:t>
      </w:r>
      <w:r>
        <w:rPr>
          <w:rStyle w:val="soitChar"/>
        </w:rPr>
        <w:t> . Tous les bois fournis par le présent lot sont secs (humidité maximale de mise en œuvre 20 %).</w:t>
      </w:r>
    </w:p>
    <w:p w14:paraId="0CE44D2B" w14:textId="77777777" w:rsidR="00DB2B68" w:rsidRDefault="00000000">
      <w:pPr>
        <w:ind w:left="567"/>
        <w:jc w:val="both"/>
      </w:pPr>
      <w:r>
        <w:rPr>
          <w:b/>
          <w:i/>
        </w:rPr>
        <w:lastRenderedPageBreak/>
        <w:t>(Soit) </w:t>
      </w:r>
    </w:p>
    <w:p w14:paraId="2D7116C1" w14:textId="77777777" w:rsidR="00DB2B68" w:rsidRDefault="00000000">
      <w:pPr>
        <w:ind w:left="567"/>
        <w:jc w:val="both"/>
      </w:pPr>
      <w:r>
        <w:rPr>
          <w:rStyle w:val="soitChar"/>
          <w:u w:val="single"/>
        </w:rPr>
        <w:t>Bois massif feuillu :</w:t>
      </w:r>
      <w:r>
        <w:rPr>
          <w:rStyle w:val="soitChar"/>
        </w:rPr>
        <w:t> Les éléments sont en </w:t>
      </w:r>
      <w:r>
        <w:rPr>
          <w:rStyle w:val="optioncarChar"/>
        </w:rPr>
        <w:t>Chêne </w:t>
      </w:r>
      <w:r>
        <w:t>(par défaut)</w:t>
      </w:r>
      <w:r>
        <w:rPr>
          <w:rStyle w:val="optioncarChar"/>
        </w:rPr>
        <w:t> / Hêtre / ***.</w:t>
      </w:r>
      <w:r>
        <w:rPr>
          <w:rStyle w:val="soitChar"/>
        </w:rPr>
        <w:t>  Tous les bois fournis par le présent lot sont secs (humidité maximale de mise en œuvre 20 %).</w:t>
      </w:r>
    </w:p>
    <w:p w14:paraId="6682C36D" w14:textId="77777777" w:rsidR="00DB2B68" w:rsidRDefault="00000000">
      <w:pPr>
        <w:ind w:left="567"/>
        <w:jc w:val="both"/>
      </w:pPr>
      <w:r>
        <w:rPr>
          <w:b/>
          <w:i/>
        </w:rPr>
        <w:t>(Soit) </w:t>
      </w:r>
    </w:p>
    <w:p w14:paraId="41901A38" w14:textId="77777777" w:rsidR="00DB2B68" w:rsidRDefault="00000000">
      <w:pPr>
        <w:ind w:left="567"/>
        <w:jc w:val="both"/>
      </w:pPr>
      <w:r>
        <w:rPr>
          <w:rStyle w:val="soitChar"/>
          <w:u w:val="single"/>
        </w:rPr>
        <w:t>Lamellé collé</w:t>
      </w:r>
      <w:r>
        <w:rPr>
          <w:rStyle w:val="soitChar"/>
        </w:rPr>
        <w:t xml:space="preserve"> : Les bois lamellés collés mis en œuvre sont en </w:t>
      </w:r>
      <w:r>
        <w:rPr>
          <w:rStyle w:val="optioncarChar"/>
        </w:rPr>
        <w:t xml:space="preserve">Epicéa </w:t>
      </w:r>
      <w:r>
        <w:t>(par défaut)</w:t>
      </w:r>
      <w:r>
        <w:rPr>
          <w:rStyle w:val="optioncarChar"/>
        </w:rPr>
        <w:t xml:space="preserve"> / Pin sylvestre / ***</w:t>
      </w:r>
      <w:r>
        <w:rPr>
          <w:rStyle w:val="soitChar"/>
        </w:rPr>
        <w:t>. Tous les bois fournis par le présent lot sont secs (humidité maximale de mise en œuvre 15 %).</w:t>
      </w:r>
    </w:p>
    <w:p w14:paraId="504AA637" w14:textId="77777777" w:rsidR="00DB2B68" w:rsidRDefault="00000000">
      <w:pPr>
        <w:ind w:left="567"/>
        <w:jc w:val="both"/>
      </w:pPr>
      <w:r>
        <w:rPr>
          <w:b/>
          <w:i/>
        </w:rPr>
        <w:t>(Soit) </w:t>
      </w:r>
    </w:p>
    <w:p w14:paraId="5AD77DF2" w14:textId="77777777" w:rsidR="00DB2B68" w:rsidRDefault="00000000">
      <w:pPr>
        <w:ind w:left="567"/>
        <w:jc w:val="both"/>
      </w:pPr>
      <w:r>
        <w:rPr>
          <w:rStyle w:val="optioncarChar"/>
        </w:rPr>
        <w:t>***</w:t>
      </w:r>
    </w:p>
    <w:p w14:paraId="18079152" w14:textId="77777777" w:rsidR="00DB2B68" w:rsidRDefault="00000000">
      <w:pPr>
        <w:jc w:val="both"/>
      </w:pPr>
      <w:r>
        <w:t xml:space="preserve">Les éléments de charpente sont  </w:t>
      </w:r>
      <w:r>
        <w:rPr>
          <w:rStyle w:val="optioncarChar"/>
        </w:rPr>
        <w:t xml:space="preserve">neufs </w:t>
      </w:r>
      <w:r>
        <w:t>(par défaut)</w:t>
      </w:r>
      <w:r>
        <w:rPr>
          <w:rStyle w:val="optioncarChar"/>
        </w:rPr>
        <w:t xml:space="preserve"> / de réemploi</w:t>
      </w:r>
      <w:r>
        <w:t>.</w:t>
      </w:r>
    </w:p>
    <w:p w14:paraId="755EB98C" w14:textId="77777777" w:rsidR="00DB2B68" w:rsidRDefault="00000000">
      <w:pPr>
        <w:ind w:left="567"/>
        <w:jc w:val="both"/>
      </w:pPr>
      <w:r>
        <w:rPr>
          <w:b/>
          <w:i/>
        </w:rPr>
        <w:t>(Soit par défaut)</w:t>
      </w:r>
    </w:p>
    <w:p w14:paraId="4E0129FE" w14:textId="77777777" w:rsidR="00DB2B68" w:rsidRDefault="00000000">
      <w:pPr>
        <w:ind w:left="567"/>
        <w:jc w:val="both"/>
      </w:pPr>
      <w:r>
        <w:rPr>
          <w:rStyle w:val="soitChar"/>
          <w:u w:val="single"/>
        </w:rPr>
        <w:t>Neufs :</w:t>
      </w:r>
    </w:p>
    <w:p w14:paraId="1DB4D21D" w14:textId="77777777" w:rsidR="00DB2B68" w:rsidRDefault="00000000">
      <w:pPr>
        <w:ind w:left="567"/>
        <w:jc w:val="both"/>
      </w:pPr>
      <w:r>
        <w:rPr>
          <w:rStyle w:val="soitChar"/>
        </w:rPr>
        <w:t xml:space="preserve">La résistance mécanique pour les bois massifs résineux est de classe </w:t>
      </w:r>
      <w:r>
        <w:rPr>
          <w:rStyle w:val="optioncarChar"/>
        </w:rPr>
        <w:t xml:space="preserve">conforme à la note de calcul </w:t>
      </w:r>
      <w:r>
        <w:t xml:space="preserve">(par défaut) </w:t>
      </w:r>
      <w:r>
        <w:rPr>
          <w:rStyle w:val="optioncarChar"/>
        </w:rPr>
        <w:t>/ C18 /  C24/ C30  / ***</w:t>
      </w:r>
      <w:r>
        <w:rPr>
          <w:rStyle w:val="soitChar"/>
        </w:rPr>
        <w:t>  (classes C suivant  la [NBN EN 14081 série] pour les sections rectangulaires)</w:t>
      </w:r>
    </w:p>
    <w:p w14:paraId="3CED5809" w14:textId="77777777" w:rsidR="00DB2B68" w:rsidRDefault="00000000">
      <w:pPr>
        <w:ind w:left="567"/>
        <w:jc w:val="both"/>
      </w:pPr>
      <w:r>
        <w:rPr>
          <w:rStyle w:val="soitChar"/>
        </w:rPr>
        <w:t xml:space="preserve">La résistance mécanique pour les bois massifs feuillus est de classe </w:t>
      </w:r>
      <w:r>
        <w:rPr>
          <w:rStyle w:val="optioncarChar"/>
        </w:rPr>
        <w:t xml:space="preserve">conforme à la note de calcul </w:t>
      </w:r>
      <w:r>
        <w:t>(par défaut)</w:t>
      </w:r>
      <w:r>
        <w:rPr>
          <w:rStyle w:val="optioncarChar"/>
        </w:rPr>
        <w:t xml:space="preserve"> /D18 / / D24 / D 30  / ***</w:t>
      </w:r>
      <w:r>
        <w:rPr>
          <w:rStyle w:val="soitChar"/>
        </w:rPr>
        <w:t>  (classes D suivant la [NBN EN 14081 série] pour les sections rectangulaires)</w:t>
      </w:r>
    </w:p>
    <w:p w14:paraId="78571F44" w14:textId="77777777" w:rsidR="00DB2B68" w:rsidRDefault="00000000">
      <w:pPr>
        <w:ind w:left="567"/>
        <w:jc w:val="both"/>
      </w:pPr>
      <w:r>
        <w:rPr>
          <w:rStyle w:val="soitChar"/>
        </w:rPr>
        <w:t xml:space="preserve">La résistance mécanique pour les bois lamellés collés est de classe </w:t>
      </w:r>
      <w:r>
        <w:rPr>
          <w:rStyle w:val="optioncarChar"/>
        </w:rPr>
        <w:t xml:space="preserve">conforme à la note de calcul </w:t>
      </w:r>
      <w:r>
        <w:t>(par défaut)</w:t>
      </w:r>
      <w:r>
        <w:rPr>
          <w:rStyle w:val="optioncarChar"/>
        </w:rPr>
        <w:t xml:space="preserve"> / GL24h / ***</w:t>
      </w:r>
      <w:r>
        <w:rPr>
          <w:rStyle w:val="soitChar"/>
        </w:rPr>
        <w:t xml:space="preserve"> suivant  la [NBN EN 14080] et la [NBN EN 408+A1].</w:t>
      </w:r>
    </w:p>
    <w:p w14:paraId="41577747" w14:textId="77777777" w:rsidR="00DB2B68" w:rsidRDefault="00000000">
      <w:pPr>
        <w:ind w:left="567"/>
        <w:jc w:val="both"/>
      </w:pPr>
      <w:r>
        <w:rPr>
          <w:rStyle w:val="soitChar"/>
        </w:rPr>
        <w:t>Les classes de résistance des éléments de charpente répondent aux hypothèses du calcul de résistance.</w:t>
      </w:r>
    </w:p>
    <w:p w14:paraId="5387B722" w14:textId="77777777" w:rsidR="00DB2B68" w:rsidRDefault="00000000">
      <w:pPr>
        <w:ind w:left="567"/>
        <w:jc w:val="both"/>
      </w:pPr>
      <w:r>
        <w:rPr>
          <w:b/>
          <w:i/>
        </w:rPr>
        <w:t>(Soit)</w:t>
      </w:r>
    </w:p>
    <w:p w14:paraId="1889731D" w14:textId="77777777" w:rsidR="00DB2B68" w:rsidRDefault="00000000">
      <w:pPr>
        <w:ind w:left="567"/>
        <w:jc w:val="both"/>
      </w:pPr>
      <w:r>
        <w:rPr>
          <w:rStyle w:val="soitChar"/>
          <w:u w:val="single"/>
        </w:rPr>
        <w:t>Réemploi :</w:t>
      </w:r>
    </w:p>
    <w:p w14:paraId="6C11D841" w14:textId="77777777" w:rsidR="00DB2B68" w:rsidRDefault="00000000">
      <w:pPr>
        <w:ind w:left="567"/>
        <w:jc w:val="both"/>
      </w:pPr>
      <w:r>
        <w:rPr>
          <w:rStyle w:val="soitChar"/>
        </w:rPr>
        <w:t xml:space="preserve">Il s’agit d’éléments de charpente issus </w:t>
      </w:r>
      <w:r>
        <w:rPr>
          <w:rStyle w:val="optioncarChar"/>
        </w:rPr>
        <w:t xml:space="preserve">du démontage de charpente </w:t>
      </w:r>
      <w:r>
        <w:t>(par défaut)</w:t>
      </w:r>
      <w:r>
        <w:rPr>
          <w:rStyle w:val="optioncarChar"/>
        </w:rPr>
        <w:t>  / ***.</w:t>
      </w:r>
    </w:p>
    <w:p w14:paraId="03A222B6" w14:textId="77777777" w:rsidR="00DB2B68" w:rsidRDefault="00000000">
      <w:pPr>
        <w:ind w:left="567"/>
        <w:jc w:val="both"/>
      </w:pPr>
      <w:r>
        <w:rPr>
          <w:rStyle w:val="soitChar"/>
        </w:rPr>
        <w:t xml:space="preserve">La qualité mécanique des bois est  conforme aux hypothèses de calcul. Cette conformité est justifiée sur base de </w:t>
      </w:r>
      <w:r>
        <w:rPr>
          <w:rStyle w:val="optioncarChar"/>
        </w:rPr>
        <w:t>la [NBN EN 14081 série] </w:t>
      </w:r>
      <w:r>
        <w:t>(par défaut)</w:t>
      </w:r>
      <w:r>
        <w:rPr>
          <w:rStyle w:val="optioncarChar"/>
        </w:rPr>
        <w:t xml:space="preserve"> / la [NBN B 16-520] / ***.</w:t>
      </w:r>
    </w:p>
    <w:p w14:paraId="7E1A6592" w14:textId="77777777" w:rsidR="00DB2B68" w:rsidRDefault="00000000">
      <w:pPr>
        <w:ind w:left="567"/>
        <w:jc w:val="both"/>
      </w:pPr>
      <w:r>
        <w:rPr>
          <w:rStyle w:val="soitChar"/>
        </w:rPr>
        <w:t>Tout procédé de justification des qualités mécaniques est validé par le maître d’ouvrage sur base des critères d’acceptabilité du chapitre 02.42.1 Critères d'acceptabilité.  </w:t>
      </w:r>
    </w:p>
    <w:p w14:paraId="55B7A0DA" w14:textId="77777777" w:rsidR="00DB2B68" w:rsidRDefault="00000000">
      <w:pPr>
        <w:ind w:left="567"/>
        <w:jc w:val="both"/>
      </w:pPr>
      <w:r>
        <w:rPr>
          <w:rStyle w:val="soitChar"/>
        </w:rPr>
        <w:t xml:space="preserve">Si ces éléments font l’objet d’un renforcement celui-ci est détaillé par l’élément </w:t>
      </w:r>
      <w:hyperlink w:anchor="606" w:history="1">
        <w:r>
          <w:rPr>
            <w:rStyle w:val="soitChar"/>
            <w:color w:val="0000EE"/>
          </w:rPr>
          <w:t>24.84 Réparation structurale / Renforcement</w:t>
        </w:r>
      </w:hyperlink>
    </w:p>
    <w:p w14:paraId="00A2AD21" w14:textId="77777777" w:rsidR="00DB2B68" w:rsidRDefault="00000000">
      <w:pPr>
        <w:ind w:left="567"/>
        <w:jc w:val="both"/>
      </w:pPr>
      <w:r>
        <w:rPr>
          <w:rStyle w:val="soitChar"/>
        </w:rPr>
        <w:t xml:space="preserve">Si ces éléments sont reconditionnés, adaptés, le processus est détaillé dans l’élément celui-ci est détaillé par l’élément </w:t>
      </w:r>
      <w:hyperlink w:anchor="607" w:history="1">
        <w:r>
          <w:rPr>
            <w:rStyle w:val="soitChar"/>
            <w:color w:val="0000EE"/>
          </w:rPr>
          <w:t>24.85 Adaptation</w:t>
        </w:r>
      </w:hyperlink>
      <w:r>
        <w:rPr>
          <w:rStyle w:val="soitChar"/>
        </w:rPr>
        <w:t>.</w:t>
      </w:r>
      <w:r>
        <w:t>    </w:t>
      </w:r>
    </w:p>
    <w:p w14:paraId="7BD88DF9" w14:textId="77777777" w:rsidR="00DB2B68" w:rsidRDefault="00DB2B68"/>
    <w:p w14:paraId="3DCB7222" w14:textId="77777777" w:rsidR="00DB2B68" w:rsidRDefault="00000000">
      <w:pPr>
        <w:jc w:val="both"/>
      </w:pPr>
      <w:r>
        <w:t>La forme de la charpente est de type charpente telle que définie dans le [Dicobat] : </w:t>
      </w:r>
      <w:r>
        <w:rPr>
          <w:rStyle w:val="optioncarChar"/>
        </w:rPr>
        <w:t xml:space="preserve">suivant plan </w:t>
      </w:r>
      <w:r>
        <w:t>(par défaut)</w:t>
      </w:r>
      <w:r>
        <w:rPr>
          <w:rStyle w:val="optioncarChar"/>
        </w:rPr>
        <w:t xml:space="preserve"> / à ferme simple triangulaire/ à entraits / à ferme à faux entrait / à ferme à la Mansart / à ferme à gousset / à ferme à entraits retroussés / à pannes reposant sur murs porteurs / ***.</w:t>
      </w:r>
    </w:p>
    <w:p w14:paraId="40E65E4A" w14:textId="77777777" w:rsidR="00DB2B68" w:rsidRDefault="00000000">
      <w:pPr>
        <w:jc w:val="both"/>
      </w:pPr>
      <w:r>
        <w:t>La charpente est conforme aux plans détaillés fournis par le maitre d’ouvrage.</w:t>
      </w:r>
    </w:p>
    <w:p w14:paraId="60BC11DA" w14:textId="77777777" w:rsidR="00DB2B68" w:rsidRDefault="00000000">
      <w:pPr>
        <w:jc w:val="both"/>
      </w:pPr>
      <w:r>
        <w:t>Les dimensions des sections de bois des éléments de charpentes permettent de répondre aux exigences de résistance mécanique conforme à la [STS 31], aux [NBN EN 1991 série] et [NBN EN 1995 série] ainsi qu’aux exigences  de résistance au feu définies dans cet article.</w:t>
      </w:r>
    </w:p>
    <w:p w14:paraId="2A05B149" w14:textId="77777777" w:rsidR="00DB2B68" w:rsidRDefault="00000000">
      <w:pPr>
        <w:jc w:val="both"/>
      </w:pPr>
      <w:r>
        <w:t xml:space="preserve">La note de calcul est fournie </w:t>
      </w:r>
      <w:r>
        <w:rPr>
          <w:rStyle w:val="optioncarChar"/>
        </w:rPr>
        <w:t xml:space="preserve">par le maitre d’ouvrage / par l’entreprise en charge du lot </w:t>
      </w:r>
      <w:r>
        <w:t>(par défaut)</w:t>
      </w:r>
      <w:r>
        <w:rPr>
          <w:rStyle w:val="optioncarChar"/>
        </w:rPr>
        <w:t xml:space="preserve"> / ***.</w:t>
      </w:r>
    </w:p>
    <w:p w14:paraId="376F163C" w14:textId="77777777" w:rsidR="00DB2B68" w:rsidRDefault="00000000">
      <w:pPr>
        <w:spacing w:before="240" w:after="240" w:line="0" w:lineRule="atLeast"/>
        <w:jc w:val="both"/>
      </w:pPr>
      <w:r>
        <w:t>Toute adaptation des sections afin de remplir les exigences thermiques ou autres sont proposées au maître d’œuvre avant exécution.</w:t>
      </w:r>
    </w:p>
    <w:p w14:paraId="3BB4D809" w14:textId="77777777" w:rsidR="00DB2B68" w:rsidRDefault="00000000">
      <w:pPr>
        <w:jc w:val="both"/>
      </w:pPr>
      <w:r>
        <w:lastRenderedPageBreak/>
        <w:t xml:space="preserve">La pose de la faîtière est reprise en encoche sur le poinçon. Les composants sont définis dans l’élément </w:t>
      </w:r>
      <w:hyperlink w:anchor="608" w:history="1">
        <w:r>
          <w:rPr>
            <w:color w:val="0000EE"/>
          </w:rPr>
          <w:t>24.24 Charpentes en bois</w:t>
        </w:r>
      </w:hyperlink>
      <w:r>
        <w:t>.</w:t>
      </w:r>
    </w:p>
    <w:p w14:paraId="23D09BC0" w14:textId="77777777" w:rsidR="00DB2B68" w:rsidRDefault="00DB2B68"/>
    <w:p w14:paraId="14F3DD5C" w14:textId="77777777" w:rsidR="00DB2B68" w:rsidRDefault="00000000">
      <w:pPr>
        <w:jc w:val="both"/>
      </w:pPr>
      <w:r>
        <w:rPr>
          <w:b/>
        </w:rPr>
        <w:t>Les fermes</w:t>
      </w:r>
      <w:r>
        <w:t xml:space="preserve"> sont composées </w:t>
      </w:r>
      <w:r>
        <w:rPr>
          <w:rStyle w:val="optioncarChar"/>
        </w:rPr>
        <w:t>d’un seul élément</w:t>
      </w:r>
      <w:r>
        <w:t xml:space="preserve"> (par défaut)</w:t>
      </w:r>
      <w:r>
        <w:rPr>
          <w:rStyle w:val="optioncarChar"/>
        </w:rPr>
        <w:t xml:space="preserve"> / de plusieurs éléments</w:t>
      </w:r>
      <w:r>
        <w:t xml:space="preserve">. Les dimensions des fermes sont </w:t>
      </w:r>
      <w:r>
        <w:rPr>
          <w:rStyle w:val="optioncarChar"/>
        </w:rPr>
        <w:t xml:space="preserve">conformes au calcul de dimensionnement </w:t>
      </w:r>
      <w:r>
        <w:t>(par défaut)</w:t>
      </w:r>
      <w:r>
        <w:rPr>
          <w:rStyle w:val="optioncarChar"/>
        </w:rPr>
        <w:t xml:space="preserve"> / *** x *** mm.</w:t>
      </w:r>
    </w:p>
    <w:p w14:paraId="6A7FC645" w14:textId="77777777" w:rsidR="00DB2B68" w:rsidRDefault="00000000">
      <w:pPr>
        <w:jc w:val="both"/>
      </w:pPr>
      <w:r>
        <w:rPr>
          <w:b/>
        </w:rPr>
        <w:t>Les arbalétriers</w:t>
      </w:r>
      <w:r>
        <w:t xml:space="preserve"> supérieurs et inférieurs (jambes de force) ont les dimensions : </w:t>
      </w:r>
      <w:r>
        <w:rPr>
          <w:rStyle w:val="optioncarChar"/>
        </w:rPr>
        <w:t>conformes au calcul de dimensionnement</w:t>
      </w:r>
      <w:r>
        <w:t xml:space="preserve"> (par défaut) </w:t>
      </w:r>
      <w:r>
        <w:rPr>
          <w:rStyle w:val="optioncarChar"/>
        </w:rPr>
        <w:t>/ *** x *** mm.</w:t>
      </w:r>
    </w:p>
    <w:p w14:paraId="42E63994" w14:textId="77777777" w:rsidR="00DB2B68" w:rsidRDefault="00000000">
      <w:pPr>
        <w:jc w:val="both"/>
      </w:pPr>
      <w:r>
        <w:rPr>
          <w:b/>
        </w:rPr>
        <w:t>L’entrait</w:t>
      </w:r>
      <w:r>
        <w:t xml:space="preserve"> a les dimensions : </w:t>
      </w:r>
      <w:r>
        <w:rPr>
          <w:rStyle w:val="optioncarChar"/>
        </w:rPr>
        <w:t>conformes au calcul de dimensionnement</w:t>
      </w:r>
      <w:r>
        <w:t> (par défaut) </w:t>
      </w:r>
      <w:r>
        <w:rPr>
          <w:rStyle w:val="optioncarChar"/>
        </w:rPr>
        <w:t>/ *** x *** mm.</w:t>
      </w:r>
    </w:p>
    <w:p w14:paraId="153BCDEB" w14:textId="77777777" w:rsidR="00DB2B68" w:rsidRDefault="00000000">
      <w:pPr>
        <w:jc w:val="both"/>
      </w:pPr>
      <w:r>
        <w:rPr>
          <w:b/>
        </w:rPr>
        <w:t>Le faux-entrait</w:t>
      </w:r>
      <w:r>
        <w:t xml:space="preserve"> a les dimensions : </w:t>
      </w:r>
      <w:r>
        <w:rPr>
          <w:rStyle w:val="optioncarChar"/>
        </w:rPr>
        <w:t>conformes au calcul de dimensionnement</w:t>
      </w:r>
      <w:r>
        <w:t> (par défaut) </w:t>
      </w:r>
      <w:r>
        <w:rPr>
          <w:rStyle w:val="optioncarChar"/>
        </w:rPr>
        <w:t>/ *** x *** mm.</w:t>
      </w:r>
    </w:p>
    <w:p w14:paraId="32575A1B" w14:textId="77777777" w:rsidR="00DB2B68" w:rsidRDefault="00000000">
      <w:pPr>
        <w:jc w:val="both"/>
      </w:pPr>
      <w:r>
        <w:rPr>
          <w:b/>
        </w:rPr>
        <w:t>L’entrait secondaire</w:t>
      </w:r>
      <w:r>
        <w:t xml:space="preserve"> a les dimensions : </w:t>
      </w:r>
      <w:r>
        <w:rPr>
          <w:rStyle w:val="optioncarChar"/>
        </w:rPr>
        <w:t>conformes au calcul de dimensionnement</w:t>
      </w:r>
      <w:r>
        <w:t> (par défaut) </w:t>
      </w:r>
      <w:r>
        <w:rPr>
          <w:rStyle w:val="optioncarChar"/>
        </w:rPr>
        <w:t>/ *** x *** mm.</w:t>
      </w:r>
    </w:p>
    <w:p w14:paraId="5C289E51" w14:textId="77777777" w:rsidR="00DB2B68" w:rsidRDefault="00000000">
      <w:pPr>
        <w:jc w:val="both"/>
      </w:pPr>
      <w:r>
        <w:rPr>
          <w:b/>
        </w:rPr>
        <w:t>Le poinçon ou poinçon retroussé</w:t>
      </w:r>
      <w:r>
        <w:t xml:space="preserve"> a les dimensions : </w:t>
      </w:r>
      <w:r>
        <w:rPr>
          <w:rStyle w:val="optioncarChar"/>
        </w:rPr>
        <w:t>conformes au calcul de dimensionnement</w:t>
      </w:r>
      <w:r>
        <w:t> (par défaut) </w:t>
      </w:r>
      <w:r>
        <w:rPr>
          <w:rStyle w:val="optioncarChar"/>
        </w:rPr>
        <w:t>/ *** x *** mm. </w:t>
      </w:r>
      <w:r>
        <w:t xml:space="preserve">Le poinçon </w:t>
      </w:r>
      <w:r>
        <w:rPr>
          <w:rStyle w:val="optioncarChar"/>
        </w:rPr>
        <w:t>est / n’est pas</w:t>
      </w:r>
      <w:r>
        <w:t xml:space="preserve"> prolongé pour reprendre la poutre faîtière.</w:t>
      </w:r>
    </w:p>
    <w:p w14:paraId="1D4E6178" w14:textId="77777777" w:rsidR="00DB2B68" w:rsidRDefault="00000000">
      <w:pPr>
        <w:jc w:val="both"/>
      </w:pPr>
      <w:r>
        <w:rPr>
          <w:b/>
        </w:rPr>
        <w:t>Les échantignoles</w:t>
      </w:r>
      <w:r>
        <w:t xml:space="preserve"> ont les dimensions : </w:t>
      </w:r>
      <w:r>
        <w:rPr>
          <w:rStyle w:val="optioncarChar"/>
        </w:rPr>
        <w:t>conformes au calcul de dimensionnement </w:t>
      </w:r>
      <w:r>
        <w:t>(par défaut) </w:t>
      </w:r>
      <w:r>
        <w:rPr>
          <w:rStyle w:val="optioncarChar"/>
        </w:rPr>
        <w:t>/ *** x *** mm. </w:t>
      </w:r>
    </w:p>
    <w:p w14:paraId="62FDFC7A" w14:textId="77777777" w:rsidR="00DB2B68" w:rsidRDefault="00000000">
      <w:pPr>
        <w:jc w:val="both"/>
      </w:pPr>
      <w:r>
        <w:rPr>
          <w:b/>
        </w:rPr>
        <w:t>Les pannes et les faitières</w:t>
      </w:r>
      <w:r>
        <w:t xml:space="preserve"> ont les dimensions : </w:t>
      </w:r>
      <w:r>
        <w:rPr>
          <w:rStyle w:val="optioncarChar"/>
        </w:rPr>
        <w:t>conformes au calcul de dimensionnement</w:t>
      </w:r>
      <w:r>
        <w:t> (par défaut) </w:t>
      </w:r>
      <w:r>
        <w:rPr>
          <w:rStyle w:val="optioncarChar"/>
        </w:rPr>
        <w:t>/ *** x *** mm. </w:t>
      </w:r>
      <w:r>
        <w:t xml:space="preserve">Les pannes sont liées aux fermes ou arbalétriers </w:t>
      </w:r>
      <w:r>
        <w:rPr>
          <w:rStyle w:val="optioncarChar"/>
        </w:rPr>
        <w:t xml:space="preserve">directement </w:t>
      </w:r>
      <w:r>
        <w:t>(par défaut)</w:t>
      </w:r>
      <w:r>
        <w:rPr>
          <w:rStyle w:val="optioncarChar"/>
        </w:rPr>
        <w:t xml:space="preserve"> / à l’aide d’échantignolles / ***</w:t>
      </w:r>
      <w:r>
        <w:t>.</w:t>
      </w:r>
    </w:p>
    <w:p w14:paraId="44CBC3E3" w14:textId="77777777" w:rsidR="00DB2B68" w:rsidRDefault="00000000">
      <w:pPr>
        <w:jc w:val="both"/>
      </w:pPr>
      <w:r>
        <w:rPr>
          <w:b/>
        </w:rPr>
        <w:t>Les pannes à brisis</w:t>
      </w:r>
      <w:r>
        <w:t xml:space="preserve"> ont les dimensions : </w:t>
      </w:r>
      <w:r>
        <w:rPr>
          <w:rStyle w:val="optioncarChar"/>
        </w:rPr>
        <w:t>conformes au calcul de dimensionnement</w:t>
      </w:r>
      <w:r>
        <w:t> (par défaut) </w:t>
      </w:r>
      <w:r>
        <w:rPr>
          <w:rStyle w:val="optioncarChar"/>
        </w:rPr>
        <w:t>/ *** x *** mm.</w:t>
      </w:r>
    </w:p>
    <w:p w14:paraId="5826C710" w14:textId="77777777" w:rsidR="00DB2B68" w:rsidRDefault="00000000">
      <w:pPr>
        <w:jc w:val="both"/>
      </w:pPr>
      <w:r>
        <w:rPr>
          <w:b/>
        </w:rPr>
        <w:t>Les chevrons</w:t>
      </w:r>
      <w:r>
        <w:t xml:space="preserve"> ont les dimensions : </w:t>
      </w:r>
      <w:r>
        <w:rPr>
          <w:rStyle w:val="optioncarChar"/>
        </w:rPr>
        <w:t>conformes au calcul de dimensionnement</w:t>
      </w:r>
      <w:r>
        <w:t> (par défaut) </w:t>
      </w:r>
      <w:r>
        <w:rPr>
          <w:rStyle w:val="optioncarChar"/>
        </w:rPr>
        <w:t>/ *** x *** mm.</w:t>
      </w:r>
    </w:p>
    <w:p w14:paraId="62AF845B" w14:textId="77777777" w:rsidR="00DB2B68" w:rsidRDefault="00000000">
      <w:pPr>
        <w:jc w:val="both"/>
      </w:pPr>
      <w:r>
        <w:rPr>
          <w:b/>
        </w:rPr>
        <w:t>Les contre-fiches</w:t>
      </w:r>
      <w:r>
        <w:t xml:space="preserve"> (écharpes) ont les dimensions : </w:t>
      </w:r>
      <w:r>
        <w:rPr>
          <w:rStyle w:val="optioncarChar"/>
        </w:rPr>
        <w:t>conformes au calcul de dimensionnement</w:t>
      </w:r>
      <w:r>
        <w:t> (par défaut) </w:t>
      </w:r>
      <w:r>
        <w:rPr>
          <w:rStyle w:val="optioncarChar"/>
        </w:rPr>
        <w:t>/ *** x *** mm.</w:t>
      </w:r>
    </w:p>
    <w:p w14:paraId="02758535" w14:textId="77777777" w:rsidR="00DB2B68" w:rsidRDefault="00000000">
      <w:pPr>
        <w:jc w:val="both"/>
      </w:pPr>
      <w:r>
        <w:rPr>
          <w:b/>
        </w:rPr>
        <w:t>Les aisseliers</w:t>
      </w:r>
      <w:r>
        <w:t xml:space="preserve"> ont les dimensions : </w:t>
      </w:r>
      <w:r>
        <w:rPr>
          <w:rStyle w:val="optioncarChar"/>
        </w:rPr>
        <w:t>conformes au calcul de dimensionnement</w:t>
      </w:r>
      <w:r>
        <w:t> (par défaut) </w:t>
      </w:r>
      <w:r>
        <w:rPr>
          <w:rStyle w:val="optioncarChar"/>
        </w:rPr>
        <w:t>/ *** x *** mm.</w:t>
      </w:r>
    </w:p>
    <w:p w14:paraId="7183F62D" w14:textId="77777777" w:rsidR="00DB2B68" w:rsidRDefault="00000000">
      <w:pPr>
        <w:jc w:val="both"/>
      </w:pPr>
      <w:r>
        <w:rPr>
          <w:b/>
        </w:rPr>
        <w:t>Les tasseaux</w:t>
      </w:r>
      <w:r>
        <w:t xml:space="preserve"> ont les dimensions : </w:t>
      </w:r>
      <w:r>
        <w:rPr>
          <w:rStyle w:val="optioncarChar"/>
        </w:rPr>
        <w:t>conformes au calcul de dimensionnement</w:t>
      </w:r>
      <w:r>
        <w:t> (par défaut) </w:t>
      </w:r>
      <w:r>
        <w:rPr>
          <w:rStyle w:val="optioncarChar"/>
        </w:rPr>
        <w:t>/ *** x *** mm.</w:t>
      </w:r>
    </w:p>
    <w:p w14:paraId="6E8817D4" w14:textId="77777777" w:rsidR="00DB2B68" w:rsidRDefault="00000000">
      <w:pPr>
        <w:jc w:val="both"/>
      </w:pPr>
      <w:r>
        <w:rPr>
          <w:b/>
        </w:rPr>
        <w:t>Le gousset</w:t>
      </w:r>
      <w:r>
        <w:t xml:space="preserve"> est composé de </w:t>
      </w:r>
      <w:r>
        <w:rPr>
          <w:rStyle w:val="optioncarChar"/>
        </w:rPr>
        <w:t xml:space="preserve">bois </w:t>
      </w:r>
      <w:r>
        <w:t>(par défaut) </w:t>
      </w:r>
      <w:r>
        <w:rPr>
          <w:rStyle w:val="optioncarChar"/>
        </w:rPr>
        <w:t>/ acier galvanisé / fonte / ***</w:t>
      </w:r>
      <w:r>
        <w:t xml:space="preserve"> et a les dimensions : </w:t>
      </w:r>
      <w:r>
        <w:rPr>
          <w:rStyle w:val="optioncarChar"/>
        </w:rPr>
        <w:t>conformes au calcul de dimensionnement</w:t>
      </w:r>
      <w:r>
        <w:t> (par défaut) </w:t>
      </w:r>
      <w:r>
        <w:rPr>
          <w:rStyle w:val="optioncarChar"/>
        </w:rPr>
        <w:t>/ *** x *** mm.</w:t>
      </w:r>
    </w:p>
    <w:p w14:paraId="76071E1E" w14:textId="77777777" w:rsidR="00DB2B68" w:rsidRDefault="00000000">
      <w:pPr>
        <w:jc w:val="both"/>
      </w:pPr>
      <w:r>
        <w:rPr>
          <w:b/>
        </w:rPr>
        <w:t>Les poteaux</w:t>
      </w:r>
      <w:r>
        <w:t xml:space="preserve"> ont les dimensions : </w:t>
      </w:r>
      <w:r>
        <w:rPr>
          <w:rStyle w:val="optioncarChar"/>
        </w:rPr>
        <w:t>conformes au calcul de dimensionnement</w:t>
      </w:r>
      <w:r>
        <w:t> (par défaut) </w:t>
      </w:r>
      <w:r>
        <w:rPr>
          <w:rStyle w:val="optioncarChar"/>
        </w:rPr>
        <w:t>/ *** x *** mm.</w:t>
      </w:r>
    </w:p>
    <w:p w14:paraId="0A1B59B7" w14:textId="77777777" w:rsidR="00DB2B68" w:rsidRDefault="00000000">
      <w:pPr>
        <w:jc w:val="both"/>
      </w:pPr>
      <w:r>
        <w:rPr>
          <w:b/>
        </w:rPr>
        <w:t>Les semelles et sablières</w:t>
      </w:r>
      <w:r>
        <w:t xml:space="preserve"> ont les dimensions : </w:t>
      </w:r>
      <w:r>
        <w:rPr>
          <w:rStyle w:val="optioncarChar"/>
        </w:rPr>
        <w:t>conformes au calcul de dimensionnement </w:t>
      </w:r>
      <w:r>
        <w:t>(par défaut)</w:t>
      </w:r>
      <w:r>
        <w:rPr>
          <w:rStyle w:val="optioncarChar"/>
        </w:rPr>
        <w:t> / *** x *** mm. </w:t>
      </w:r>
      <w:r>
        <w:t>Les semelles et sablières sont liées au mur ou au plancher</w:t>
      </w:r>
      <w:r>
        <w:rPr>
          <w:rStyle w:val="optioncarChar"/>
        </w:rPr>
        <w:t xml:space="preserve"> directement </w:t>
      </w:r>
      <w:r>
        <w:t xml:space="preserve">(par défaut) </w:t>
      </w:r>
      <w:r>
        <w:rPr>
          <w:rStyle w:val="optioncarChar"/>
        </w:rPr>
        <w:t>/ à l’aide de feuillards métalliques / ***.</w:t>
      </w:r>
    </w:p>
    <w:p w14:paraId="564D7BD9" w14:textId="77777777" w:rsidR="00DB2B68" w:rsidRDefault="00000000">
      <w:pPr>
        <w:jc w:val="both"/>
      </w:pPr>
      <w:r>
        <w:rPr>
          <w:b/>
          <w:u w:val="single"/>
        </w:rPr>
        <w:t>Assemblages :</w:t>
      </w:r>
    </w:p>
    <w:p w14:paraId="759520C6" w14:textId="77777777" w:rsidR="00DB2B68" w:rsidRDefault="00000000">
      <w:pPr>
        <w:jc w:val="both"/>
      </w:pPr>
      <w:r>
        <w:t xml:space="preserve">Les assemblages sont réalisés par </w:t>
      </w:r>
      <w:r>
        <w:rPr>
          <w:rStyle w:val="optioncarChar"/>
        </w:rPr>
        <w:t>embrèvement</w:t>
      </w:r>
      <w:r>
        <w:t xml:space="preserve"> (par défaut)</w:t>
      </w:r>
      <w:r>
        <w:rPr>
          <w:rStyle w:val="optioncarChar"/>
        </w:rPr>
        <w:t xml:space="preserve"> / tenon mortaise / trait de Jupiter / assemblage à recouvrement à mi-bois / coupe nette et ferrure / doublage des entraits et autres éléments intermédiaires / ***.</w:t>
      </w:r>
    </w:p>
    <w:p w14:paraId="7517502D" w14:textId="77777777" w:rsidR="00DB2B68" w:rsidRDefault="00000000">
      <w:pPr>
        <w:ind w:left="567"/>
        <w:jc w:val="both"/>
      </w:pPr>
      <w:r>
        <w:rPr>
          <w:b/>
          <w:i/>
        </w:rPr>
        <w:t>(Soit par défaut) </w:t>
      </w:r>
    </w:p>
    <w:p w14:paraId="1A6BBF1E" w14:textId="77777777" w:rsidR="00DB2B68" w:rsidRDefault="00000000">
      <w:pPr>
        <w:ind w:left="567"/>
        <w:jc w:val="both"/>
      </w:pPr>
      <w:r>
        <w:rPr>
          <w:rStyle w:val="soitChar"/>
          <w:u w:val="single"/>
        </w:rPr>
        <w:t>Embrèvement :</w:t>
      </w:r>
      <w:r>
        <w:rPr>
          <w:rStyle w:val="soitChar"/>
        </w:rPr>
        <w:t xml:space="preserve"> Les assemblages sont réalisés par embrèvement </w:t>
      </w:r>
      <w:r>
        <w:rPr>
          <w:rStyle w:val="optioncarChar"/>
        </w:rPr>
        <w:t>simple</w:t>
      </w:r>
      <w:r>
        <w:t xml:space="preserve"> (par défaut) </w:t>
      </w:r>
      <w:r>
        <w:rPr>
          <w:rStyle w:val="optioncarChar"/>
        </w:rPr>
        <w:t>/ double / arrière / ***</w:t>
      </w:r>
      <w:r>
        <w:rPr>
          <w:rStyle w:val="soitChar"/>
        </w:rPr>
        <w:t xml:space="preserve">, les caractéristiques des embrèvements sont décrites dans l’article </w:t>
      </w:r>
      <w:hyperlink w:anchor="609" w:history="1">
        <w:r>
          <w:rPr>
            <w:rStyle w:val="soitChar"/>
            <w:color w:val="0000EE"/>
          </w:rPr>
          <w:t>24.41.1a Assemblages traditionnels (bois/bois) - embrèvements</w:t>
        </w:r>
      </w:hyperlink>
      <w:r>
        <w:rPr>
          <w:rStyle w:val="soitChar"/>
        </w:rPr>
        <w:t>.$</w:t>
      </w:r>
    </w:p>
    <w:p w14:paraId="328FA39D" w14:textId="77777777" w:rsidR="00DB2B68" w:rsidRDefault="00000000">
      <w:pPr>
        <w:ind w:left="567"/>
        <w:jc w:val="both"/>
      </w:pPr>
      <w:r>
        <w:rPr>
          <w:b/>
          <w:i/>
        </w:rPr>
        <w:t>(Soit) </w:t>
      </w:r>
    </w:p>
    <w:p w14:paraId="4B847CF9" w14:textId="77777777" w:rsidR="00DB2B68" w:rsidRDefault="00000000">
      <w:pPr>
        <w:ind w:left="567"/>
        <w:jc w:val="both"/>
      </w:pPr>
      <w:r>
        <w:rPr>
          <w:rStyle w:val="soitChar"/>
          <w:u w:val="single"/>
        </w:rPr>
        <w:lastRenderedPageBreak/>
        <w:t>Tenon mortaise :</w:t>
      </w:r>
      <w:r>
        <w:rPr>
          <w:rStyle w:val="soitChar"/>
        </w:rPr>
        <w:t xml:space="preserve"> Les éléments sont en </w:t>
      </w:r>
      <w:r>
        <w:rPr>
          <w:rStyle w:val="optioncarChar"/>
        </w:rPr>
        <w:t xml:space="preserve">simple central </w:t>
      </w:r>
      <w:r>
        <w:t>(par défaut)</w:t>
      </w:r>
      <w:r>
        <w:rPr>
          <w:rStyle w:val="optioncarChar"/>
        </w:rPr>
        <w:t xml:space="preserve"> / à mi-bois / double  / ***</w:t>
      </w:r>
      <w:r>
        <w:rPr>
          <w:rStyle w:val="soitChar"/>
        </w:rPr>
        <w:t xml:space="preserve"> de profondeur  </w:t>
      </w:r>
      <w:r>
        <w:rPr>
          <w:rStyle w:val="optioncarChar"/>
        </w:rPr>
        <w:t>80 mm</w:t>
      </w:r>
      <w:r>
        <w:t xml:space="preserve"> (par défaut) </w:t>
      </w:r>
      <w:r>
        <w:rPr>
          <w:rStyle w:val="optioncarChar"/>
        </w:rPr>
        <w:t>/ 40 mm / ***</w:t>
      </w:r>
      <w:r>
        <w:rPr>
          <w:rStyle w:val="soitChar"/>
        </w:rPr>
        <w:t xml:space="preserve">. Les caractéristiques des tenons-mortaise sont décrites dans l’article </w:t>
      </w:r>
      <w:hyperlink w:anchor="610" w:history="1">
        <w:r>
          <w:rPr>
            <w:rStyle w:val="soitChar"/>
            <w:color w:val="0000EE"/>
          </w:rPr>
          <w:t>24.41.1b Assemblages traditionnels (bois/bois) - tenons et mortaises</w:t>
        </w:r>
      </w:hyperlink>
      <w:r>
        <w:rPr>
          <w:rStyle w:val="soitChar"/>
        </w:rPr>
        <w:t>.</w:t>
      </w:r>
    </w:p>
    <w:p w14:paraId="34BB4C7A" w14:textId="77777777" w:rsidR="00DB2B68" w:rsidRDefault="00000000">
      <w:pPr>
        <w:ind w:left="567"/>
        <w:jc w:val="both"/>
      </w:pPr>
      <w:r>
        <w:rPr>
          <w:b/>
          <w:i/>
        </w:rPr>
        <w:t>(Soit) </w:t>
      </w:r>
    </w:p>
    <w:p w14:paraId="1071AD01" w14:textId="77777777" w:rsidR="00DB2B68" w:rsidRDefault="00000000">
      <w:pPr>
        <w:ind w:left="567"/>
        <w:jc w:val="both"/>
      </w:pPr>
      <w:r>
        <w:rPr>
          <w:rStyle w:val="soitChar"/>
          <w:u w:val="single"/>
        </w:rPr>
        <w:t>Trait de Jupiter :</w:t>
      </w:r>
      <w:r>
        <w:rPr>
          <w:rStyle w:val="soitChar"/>
        </w:rPr>
        <w:t xml:space="preserve"> La longueur de l’assemblage est comprise entre 3 et 3,5 fois la hauteur des éléments à assembler. Les caractéristiques des traits de Jupiter sont décrites dans l’article </w:t>
      </w:r>
      <w:hyperlink w:anchor="611" w:history="1">
        <w:r>
          <w:rPr>
            <w:rStyle w:val="soitChar"/>
            <w:color w:val="0000EE"/>
          </w:rPr>
          <w:t>24.41.1d Assemblages traditionnels (bois/bois) - traits de Jupiter</w:t>
        </w:r>
      </w:hyperlink>
      <w:r>
        <w:rPr>
          <w:rStyle w:val="soitChar"/>
        </w:rPr>
        <w:t>.</w:t>
      </w:r>
    </w:p>
    <w:p w14:paraId="7406BA2E" w14:textId="77777777" w:rsidR="00DB2B68" w:rsidRDefault="00000000">
      <w:pPr>
        <w:ind w:left="567"/>
        <w:jc w:val="both"/>
      </w:pPr>
      <w:r>
        <w:rPr>
          <w:b/>
          <w:i/>
        </w:rPr>
        <w:t>(Soit) </w:t>
      </w:r>
    </w:p>
    <w:p w14:paraId="4121671B" w14:textId="77777777" w:rsidR="00DB2B68" w:rsidRDefault="00000000">
      <w:pPr>
        <w:ind w:left="567"/>
        <w:jc w:val="both"/>
      </w:pPr>
      <w:r>
        <w:rPr>
          <w:rStyle w:val="soitChar"/>
          <w:u w:val="single"/>
        </w:rPr>
        <w:t>Assemblage à recouvrement à mi-bois :</w:t>
      </w:r>
      <w:r>
        <w:rPr>
          <w:rStyle w:val="soitChar"/>
        </w:rPr>
        <w:t xml:space="preserve"> Les éléments sont défoncés à mi-épaisseur sur une longueur de l’assemblage de </w:t>
      </w:r>
      <w:r>
        <w:rPr>
          <w:rStyle w:val="optioncarChar"/>
        </w:rPr>
        <w:t xml:space="preserve">min 80 </w:t>
      </w:r>
      <w:r>
        <w:t xml:space="preserve">(par défaut) </w:t>
      </w:r>
      <w:r>
        <w:rPr>
          <w:rStyle w:val="optioncarChar"/>
        </w:rPr>
        <w:t>/ ***</w:t>
      </w:r>
      <w:r>
        <w:rPr>
          <w:rStyle w:val="soitChar"/>
        </w:rPr>
        <w:t xml:space="preserve"> mm.</w:t>
      </w:r>
    </w:p>
    <w:p w14:paraId="397D3BF8" w14:textId="77777777" w:rsidR="00DB2B68" w:rsidRDefault="00000000">
      <w:pPr>
        <w:ind w:left="567"/>
        <w:jc w:val="both"/>
      </w:pPr>
      <w:r>
        <w:rPr>
          <w:b/>
          <w:i/>
        </w:rPr>
        <w:t>(Soit) </w:t>
      </w:r>
    </w:p>
    <w:p w14:paraId="147265AC" w14:textId="77777777" w:rsidR="00DB2B68" w:rsidRDefault="00000000">
      <w:pPr>
        <w:ind w:left="567"/>
        <w:jc w:val="both"/>
      </w:pPr>
      <w:r>
        <w:rPr>
          <w:rStyle w:val="soitChar"/>
          <w:u w:val="single"/>
        </w:rPr>
        <w:t>Coupe nette et ferrure :</w:t>
      </w:r>
      <w:r>
        <w:rPr>
          <w:rStyle w:val="soitChar"/>
        </w:rPr>
        <w:t xml:space="preserve"> sur base de l’extrémité du profilé. Les éléments </w:t>
      </w:r>
      <w:r>
        <w:rPr>
          <w:rStyle w:val="optioncarChar"/>
        </w:rPr>
        <w:t>sont / ne sont pas</w:t>
      </w:r>
      <w:r>
        <w:rPr>
          <w:rStyle w:val="soitChar"/>
        </w:rPr>
        <w:t xml:space="preserve"> défoncés pour recevoir les ferrures.</w:t>
      </w:r>
    </w:p>
    <w:p w14:paraId="03B34364" w14:textId="77777777" w:rsidR="00DB2B68" w:rsidRDefault="00000000">
      <w:pPr>
        <w:ind w:left="567"/>
        <w:jc w:val="both"/>
      </w:pPr>
      <w:r>
        <w:rPr>
          <w:b/>
          <w:i/>
        </w:rPr>
        <w:t>(Soit) </w:t>
      </w:r>
    </w:p>
    <w:p w14:paraId="0F2D06E2" w14:textId="77777777" w:rsidR="00DB2B68" w:rsidRDefault="00000000">
      <w:pPr>
        <w:ind w:left="567"/>
        <w:jc w:val="both"/>
      </w:pPr>
      <w:r>
        <w:rPr>
          <w:rStyle w:val="soitChar"/>
          <w:u w:val="single"/>
        </w:rPr>
        <w:t>Doublage des entraits et autres éléments intermédiaires :</w:t>
      </w:r>
      <w:r>
        <w:rPr>
          <w:rStyle w:val="soitChar"/>
        </w:rPr>
        <w:t xml:space="preserve"> Les entraits, contre-fiches, jambes,... sont doublés de part et d’autre des éléments à assemblés. </w:t>
      </w:r>
      <w:r>
        <w:t>  </w:t>
      </w:r>
    </w:p>
    <w:p w14:paraId="4D6DBE61" w14:textId="77777777" w:rsidR="00DB2B68" w:rsidRDefault="00000000">
      <w:pPr>
        <w:ind w:left="567"/>
        <w:jc w:val="both"/>
      </w:pPr>
      <w:r>
        <w:rPr>
          <w:b/>
          <w:i/>
        </w:rPr>
        <w:t>(Soit) </w:t>
      </w:r>
    </w:p>
    <w:p w14:paraId="062D6483" w14:textId="77777777" w:rsidR="00DB2B68" w:rsidRDefault="00000000">
      <w:pPr>
        <w:ind w:left="567"/>
        <w:jc w:val="both"/>
      </w:pPr>
      <w:r>
        <w:rPr>
          <w:rStyle w:val="optioncarChar"/>
        </w:rPr>
        <w:t>***</w:t>
      </w:r>
    </w:p>
    <w:p w14:paraId="16759DD4" w14:textId="77777777" w:rsidR="00DB2B68" w:rsidRDefault="00DB2B68">
      <w:pPr>
        <w:ind w:left="567"/>
        <w:jc w:val="both"/>
      </w:pPr>
    </w:p>
    <w:p w14:paraId="3934963F" w14:textId="77777777" w:rsidR="00DB2B68" w:rsidRDefault="00000000">
      <w:pPr>
        <w:jc w:val="both"/>
      </w:pPr>
      <w:r>
        <w:t xml:space="preserve">Les assemblages sont maintenus par </w:t>
      </w:r>
      <w:r>
        <w:rPr>
          <w:rStyle w:val="optioncarChar"/>
        </w:rPr>
        <w:t xml:space="preserve">agrafes </w:t>
      </w:r>
      <w:r>
        <w:t>(par défaut)</w:t>
      </w:r>
      <w:r>
        <w:rPr>
          <w:rStyle w:val="optioncarChar"/>
        </w:rPr>
        <w:t xml:space="preserve"> / boulons / goujons / vis ou tirefond / crampons / anneaux et boulons / connecteurs à plaque métallique / ferrures / collage / ***</w:t>
      </w:r>
    </w:p>
    <w:p w14:paraId="3174CCA0" w14:textId="77777777" w:rsidR="00DB2B68" w:rsidRDefault="00000000">
      <w:pPr>
        <w:ind w:left="567"/>
        <w:jc w:val="both"/>
      </w:pPr>
      <w:r>
        <w:rPr>
          <w:b/>
          <w:i/>
        </w:rPr>
        <w:t>(Soit par défaut) </w:t>
      </w:r>
    </w:p>
    <w:p w14:paraId="68DAD284" w14:textId="77777777" w:rsidR="00DB2B68" w:rsidRDefault="00000000">
      <w:pPr>
        <w:ind w:left="567"/>
        <w:jc w:val="both"/>
      </w:pPr>
      <w:r>
        <w:rPr>
          <w:rStyle w:val="soitChar"/>
          <w:u w:val="single"/>
        </w:rPr>
        <w:t>Agrafes ou pointes annelées :</w:t>
      </w:r>
      <w:r>
        <w:rPr>
          <w:rStyle w:val="soitChar"/>
        </w:rPr>
        <w:t xml:space="preserve"> Les agrafes sont </w:t>
      </w:r>
      <w:r>
        <w:rPr>
          <w:rStyle w:val="optioncarChar"/>
        </w:rPr>
        <w:t xml:space="preserve">définies dans le calcul de dimensionnement </w:t>
      </w:r>
      <w:r>
        <w:t>(par défaut)</w:t>
      </w:r>
      <w:r>
        <w:rPr>
          <w:rStyle w:val="optioncarChar"/>
        </w:rPr>
        <w:t xml:space="preserve"> / minimum de 10 pointes annelées de diamètre 4.0 mm / minimum de *** de diamètre *** mm ***</w:t>
      </w:r>
      <w:r>
        <w:rPr>
          <w:rStyle w:val="soitChar"/>
        </w:rPr>
        <w:t xml:space="preserve"> et sont réalisées en </w:t>
      </w:r>
      <w:r>
        <w:rPr>
          <w:rStyle w:val="optioncarChar"/>
        </w:rPr>
        <w:t xml:space="preserve">acier galvanisé </w:t>
      </w:r>
      <w:r>
        <w:t xml:space="preserve">(par défaut) </w:t>
      </w:r>
      <w:r>
        <w:rPr>
          <w:rStyle w:val="optioncarChar"/>
        </w:rPr>
        <w:t>/ ***</w:t>
      </w:r>
      <w:r>
        <w:rPr>
          <w:rStyle w:val="soitChar"/>
        </w:rPr>
        <w:t>.</w:t>
      </w:r>
    </w:p>
    <w:p w14:paraId="2DCAFB3B" w14:textId="77777777" w:rsidR="00DB2B68" w:rsidRDefault="00000000">
      <w:pPr>
        <w:ind w:left="567"/>
        <w:jc w:val="both"/>
      </w:pPr>
      <w:r>
        <w:rPr>
          <w:b/>
          <w:i/>
        </w:rPr>
        <w:t>(Soit) </w:t>
      </w:r>
    </w:p>
    <w:p w14:paraId="5F14C1C6" w14:textId="77777777" w:rsidR="00DB2B68" w:rsidRDefault="00000000">
      <w:pPr>
        <w:ind w:left="567"/>
        <w:jc w:val="both"/>
      </w:pPr>
      <w:r>
        <w:rPr>
          <w:rStyle w:val="soitChar"/>
          <w:u w:val="single"/>
        </w:rPr>
        <w:t>Boulons :</w:t>
      </w:r>
      <w:r>
        <w:rPr>
          <w:rStyle w:val="soitChar"/>
        </w:rPr>
        <w:t xml:space="preserve"> Les boulons sont </w:t>
      </w:r>
      <w:r>
        <w:rPr>
          <w:rStyle w:val="optioncarChar"/>
        </w:rPr>
        <w:t xml:space="preserve">définis dans le calcul de dimensionnement </w:t>
      </w:r>
      <w:r>
        <w:t>(par défaut)</w:t>
      </w:r>
      <w:r>
        <w:rPr>
          <w:rStyle w:val="optioncarChar"/>
        </w:rPr>
        <w:t xml:space="preserve"> / minimum de 2 boulons de section M14 / minimum de ***</w:t>
      </w:r>
      <w:r>
        <w:rPr>
          <w:rStyle w:val="soitChar"/>
        </w:rPr>
        <w:t xml:space="preserve">, et réalisés en </w:t>
      </w:r>
      <w:r>
        <w:rPr>
          <w:rStyle w:val="optioncarChar"/>
        </w:rPr>
        <w:t>acier galvanisé</w:t>
      </w:r>
      <w:r>
        <w:t xml:space="preserve"> (par défaut)</w:t>
      </w:r>
      <w:r>
        <w:rPr>
          <w:rStyle w:val="optioncarChar"/>
        </w:rPr>
        <w:t xml:space="preserve"> / inox / ***.</w:t>
      </w:r>
    </w:p>
    <w:p w14:paraId="3A5AC3BD" w14:textId="77777777" w:rsidR="00DB2B68" w:rsidRDefault="00000000">
      <w:pPr>
        <w:ind w:left="567"/>
        <w:jc w:val="both"/>
      </w:pPr>
      <w:r>
        <w:rPr>
          <w:b/>
          <w:i/>
        </w:rPr>
        <w:t>(Soit) </w:t>
      </w:r>
    </w:p>
    <w:p w14:paraId="4713F856" w14:textId="77777777" w:rsidR="00DB2B68" w:rsidRDefault="00000000">
      <w:pPr>
        <w:ind w:left="567"/>
        <w:jc w:val="both"/>
      </w:pPr>
      <w:r>
        <w:rPr>
          <w:rStyle w:val="soitChar"/>
          <w:u w:val="single"/>
        </w:rPr>
        <w:t>Goujons :</w:t>
      </w:r>
      <w:r>
        <w:rPr>
          <w:rStyle w:val="soitChar"/>
        </w:rPr>
        <w:t xml:space="preserve"> Les goujons sont </w:t>
      </w:r>
      <w:r>
        <w:rPr>
          <w:rStyle w:val="optioncarChar"/>
        </w:rPr>
        <w:t xml:space="preserve">définis dans le calcul de dimensionnement </w:t>
      </w:r>
      <w:r>
        <w:t xml:space="preserve">(par défaut) </w:t>
      </w:r>
      <w:r>
        <w:rPr>
          <w:rStyle w:val="optioncarChar"/>
        </w:rPr>
        <w:t>/ minimum de ***</w:t>
      </w:r>
      <w:r>
        <w:rPr>
          <w:rStyle w:val="soitChar"/>
        </w:rPr>
        <w:t xml:space="preserve">, et d’un diamètre minimum de </w:t>
      </w:r>
      <w:r>
        <w:rPr>
          <w:rStyle w:val="optioncarChar"/>
        </w:rPr>
        <w:t>*** mm</w:t>
      </w:r>
      <w:r>
        <w:rPr>
          <w:rStyle w:val="soitChar"/>
        </w:rPr>
        <w:t>.  Les goujons sont en</w:t>
      </w:r>
      <w:r>
        <w:rPr>
          <w:rStyle w:val="optioncarChar"/>
        </w:rPr>
        <w:t xml:space="preserve"> métal galvanisé / inox / hêtre / ***</w:t>
      </w:r>
      <w:r>
        <w:rPr>
          <w:rStyle w:val="soitChar"/>
        </w:rPr>
        <w:t>.</w:t>
      </w:r>
    </w:p>
    <w:p w14:paraId="642ACA71" w14:textId="77777777" w:rsidR="00DB2B68" w:rsidRDefault="00000000">
      <w:pPr>
        <w:ind w:left="567"/>
        <w:jc w:val="both"/>
      </w:pPr>
      <w:r>
        <w:rPr>
          <w:b/>
          <w:i/>
        </w:rPr>
        <w:t>(Soit) </w:t>
      </w:r>
    </w:p>
    <w:p w14:paraId="58A52AAA" w14:textId="77777777" w:rsidR="00DB2B68" w:rsidRDefault="00000000">
      <w:pPr>
        <w:ind w:left="567"/>
        <w:jc w:val="both"/>
      </w:pPr>
      <w:r>
        <w:rPr>
          <w:rStyle w:val="soitChar"/>
          <w:u w:val="single"/>
        </w:rPr>
        <w:t>Vis ou tirefonds :</w:t>
      </w:r>
      <w:r>
        <w:rPr>
          <w:rStyle w:val="soitChar"/>
        </w:rPr>
        <w:t xml:space="preserve"> Les vis ou tirefonds sont </w:t>
      </w:r>
      <w:r>
        <w:rPr>
          <w:rStyle w:val="optioncarChar"/>
        </w:rPr>
        <w:t xml:space="preserve">définis dans le calcul de dimensionnement </w:t>
      </w:r>
      <w:r>
        <w:t>(par défaut)</w:t>
      </w:r>
      <w:r>
        <w:rPr>
          <w:rStyle w:val="optioncarChar"/>
        </w:rPr>
        <w:t xml:space="preserve"> /minimum de type ***.</w:t>
      </w:r>
      <w:r>
        <w:rPr>
          <w:rStyle w:val="soitChar"/>
        </w:rPr>
        <w:t xml:space="preserve"> Ils sont en</w:t>
      </w:r>
      <w:r>
        <w:rPr>
          <w:rStyle w:val="optioncarChar"/>
        </w:rPr>
        <w:t xml:space="preserve"> métal galvanisé / inox / ***</w:t>
      </w:r>
      <w:r>
        <w:rPr>
          <w:rStyle w:val="soitChar"/>
        </w:rPr>
        <w:t>.</w:t>
      </w:r>
    </w:p>
    <w:p w14:paraId="53629EE3" w14:textId="77777777" w:rsidR="00DB2B68" w:rsidRDefault="00000000">
      <w:pPr>
        <w:ind w:left="567"/>
        <w:jc w:val="both"/>
      </w:pPr>
      <w:r>
        <w:rPr>
          <w:b/>
          <w:i/>
        </w:rPr>
        <w:t>(Soit)</w:t>
      </w:r>
      <w:r>
        <w:t> </w:t>
      </w:r>
    </w:p>
    <w:p w14:paraId="09765039" w14:textId="77777777" w:rsidR="00DB2B68" w:rsidRDefault="00000000">
      <w:pPr>
        <w:ind w:left="567"/>
        <w:jc w:val="both"/>
      </w:pPr>
      <w:r>
        <w:rPr>
          <w:rStyle w:val="soitChar"/>
          <w:u w:val="single"/>
        </w:rPr>
        <w:t>Crampons :</w:t>
      </w:r>
      <w:r>
        <w:rPr>
          <w:rStyle w:val="soitChar"/>
        </w:rPr>
        <w:t xml:space="preserve"> Les crampons sont de type: </w:t>
      </w:r>
      <w:r>
        <w:rPr>
          <w:rStyle w:val="optioncarChar"/>
        </w:rPr>
        <w:t>C1</w:t>
      </w:r>
      <w:r>
        <w:t> (par défaut)</w:t>
      </w:r>
      <w:r>
        <w:rPr>
          <w:rStyle w:val="optioncarChar"/>
        </w:rPr>
        <w:t xml:space="preserve"> / C2 / C3 / C4 / C5 / C6 / C7 / C8 / C9 / C10 / C11</w:t>
      </w:r>
      <w:r>
        <w:rPr>
          <w:rStyle w:val="soitChar"/>
        </w:rPr>
        <w:t xml:space="preserve">. Ils sont réalisés en </w:t>
      </w:r>
      <w:r>
        <w:rPr>
          <w:rStyle w:val="optioncarChar"/>
        </w:rPr>
        <w:t>métal galvanisé / inox / ***</w:t>
      </w:r>
      <w:r>
        <w:rPr>
          <w:rStyle w:val="soitChar"/>
        </w:rPr>
        <w:t xml:space="preserve">. Les caractéristiques des crampons sont décrites dans l’article </w:t>
      </w:r>
      <w:hyperlink w:anchor="612" w:history="1">
        <w:r>
          <w:rPr>
            <w:rStyle w:val="soitChar"/>
            <w:color w:val="0000EE"/>
          </w:rPr>
          <w:t>24.42.2b Connecteurs de surface - crampons</w:t>
        </w:r>
      </w:hyperlink>
      <w:r>
        <w:rPr>
          <w:rStyle w:val="soitChar"/>
        </w:rPr>
        <w:t>.</w:t>
      </w:r>
    </w:p>
    <w:p w14:paraId="1AF04173" w14:textId="77777777" w:rsidR="00DB2B68" w:rsidRDefault="00000000">
      <w:pPr>
        <w:ind w:left="567"/>
        <w:jc w:val="both"/>
      </w:pPr>
      <w:r>
        <w:rPr>
          <w:b/>
          <w:i/>
        </w:rPr>
        <w:t>(Soit) </w:t>
      </w:r>
    </w:p>
    <w:p w14:paraId="0E0B88BC" w14:textId="77777777" w:rsidR="00DB2B68" w:rsidRDefault="00000000">
      <w:pPr>
        <w:ind w:left="567"/>
        <w:jc w:val="both"/>
      </w:pPr>
      <w:r>
        <w:rPr>
          <w:rStyle w:val="soitChar"/>
          <w:u w:val="single"/>
        </w:rPr>
        <w:t>Anneaux et boulons :</w:t>
      </w:r>
      <w:r>
        <w:rPr>
          <w:rStyle w:val="soitChar"/>
        </w:rPr>
        <w:t xml:space="preserve"> Les anneaux sont </w:t>
      </w:r>
      <w:r>
        <w:rPr>
          <w:rStyle w:val="optioncarChar"/>
        </w:rPr>
        <w:t>simples / doubles</w:t>
      </w:r>
      <w:r>
        <w:rPr>
          <w:rStyle w:val="soitChar"/>
        </w:rPr>
        <w:t xml:space="preserve"> et de type: </w:t>
      </w:r>
      <w:r>
        <w:rPr>
          <w:rStyle w:val="optioncarChar"/>
        </w:rPr>
        <w:t>A1</w:t>
      </w:r>
      <w:r>
        <w:t> (par défaut)</w:t>
      </w:r>
      <w:r>
        <w:rPr>
          <w:rStyle w:val="optioncarChar"/>
        </w:rPr>
        <w:t xml:space="preserve"> / A2 / A3 / A4 / A5 / A6 / B1 / B2 / B3 / B4</w:t>
      </w:r>
      <w:r>
        <w:rPr>
          <w:rStyle w:val="soitChar"/>
        </w:rPr>
        <w:t xml:space="preserve">. Ils sont réalisés en </w:t>
      </w:r>
      <w:r>
        <w:rPr>
          <w:rStyle w:val="optioncarChar"/>
        </w:rPr>
        <w:t>métal galvanisé (par défaut) / inox / ***</w:t>
      </w:r>
      <w:r>
        <w:rPr>
          <w:rStyle w:val="soitChar"/>
        </w:rPr>
        <w:t xml:space="preserve">. Les caractéristiques des anneaux sont décrites dans l’article </w:t>
      </w:r>
      <w:hyperlink w:anchor="613" w:history="1">
        <w:r>
          <w:rPr>
            <w:rStyle w:val="soitChar"/>
            <w:color w:val="0000EE"/>
          </w:rPr>
          <w:t>24.42.2a Connecteurs de surface - anneaux</w:t>
        </w:r>
      </w:hyperlink>
      <w:r>
        <w:rPr>
          <w:rStyle w:val="soitChar"/>
        </w:rPr>
        <w:t>.</w:t>
      </w:r>
    </w:p>
    <w:p w14:paraId="6B89515C" w14:textId="77777777" w:rsidR="00DB2B68" w:rsidRDefault="00000000">
      <w:pPr>
        <w:ind w:left="567"/>
        <w:jc w:val="both"/>
      </w:pPr>
      <w:r>
        <w:rPr>
          <w:b/>
          <w:i/>
        </w:rPr>
        <w:t>(Soit) </w:t>
      </w:r>
    </w:p>
    <w:p w14:paraId="0E03380D" w14:textId="77777777" w:rsidR="00DB2B68" w:rsidRDefault="00000000">
      <w:pPr>
        <w:ind w:left="567"/>
        <w:jc w:val="both"/>
      </w:pPr>
      <w:r>
        <w:rPr>
          <w:rStyle w:val="soitChar"/>
          <w:u w:val="single"/>
        </w:rPr>
        <w:lastRenderedPageBreak/>
        <w:t>Connecteurs à plaque métallique :</w:t>
      </w:r>
      <w:r>
        <w:rPr>
          <w:rStyle w:val="soitChar"/>
        </w:rPr>
        <w:t xml:space="preserve"> L’épaisseur de la tôle d’acier : </w:t>
      </w:r>
      <w:r>
        <w:rPr>
          <w:rStyle w:val="optioncarChar"/>
        </w:rPr>
        <w:t xml:space="preserve">1 mm </w:t>
      </w:r>
      <w:r>
        <w:t>(par défaut)</w:t>
      </w:r>
      <w:r>
        <w:rPr>
          <w:rStyle w:val="optioncarChar"/>
        </w:rPr>
        <w:t xml:space="preserve"> / 1,5mm / 2mm / 2,5mm / ***</w:t>
      </w:r>
      <w:r>
        <w:rPr>
          <w:rStyle w:val="soitChar"/>
        </w:rPr>
        <w:t xml:space="preserve">. Les dimensions de la plaque (longueur x largeur) sont : </w:t>
      </w:r>
      <w:r>
        <w:rPr>
          <w:rStyle w:val="optioncarChar"/>
        </w:rPr>
        <w:t>***</w:t>
      </w:r>
      <w:r>
        <w:rPr>
          <w:rStyle w:val="soitChar"/>
        </w:rPr>
        <w:t xml:space="preserve"> x </w:t>
      </w:r>
      <w:r>
        <w:rPr>
          <w:rStyle w:val="optioncarChar"/>
        </w:rPr>
        <w:t>***</w:t>
      </w:r>
      <w:r>
        <w:rPr>
          <w:rStyle w:val="soitChar"/>
        </w:rPr>
        <w:t xml:space="preserve"> mm. Le matériau constituant les plaques dentées : </w:t>
      </w:r>
      <w:r>
        <w:rPr>
          <w:rStyle w:val="optioncarChar"/>
        </w:rPr>
        <w:t>S250GD</w:t>
      </w:r>
      <w:r>
        <w:t xml:space="preserve"> (par défaut) </w:t>
      </w:r>
      <w:r>
        <w:rPr>
          <w:rStyle w:val="optioncarChar"/>
        </w:rPr>
        <w:t>/ 1.4401 / 1.4404 / ***</w:t>
      </w:r>
      <w:r>
        <w:rPr>
          <w:rStyle w:val="soitChar"/>
        </w:rPr>
        <w:t xml:space="preserve">. Ils sont réalisés en </w:t>
      </w:r>
      <w:r>
        <w:rPr>
          <w:rStyle w:val="optioncarChar"/>
        </w:rPr>
        <w:t>métal galvanisé</w:t>
      </w:r>
      <w:r>
        <w:t xml:space="preserve"> (par défaut)</w:t>
      </w:r>
      <w:r>
        <w:rPr>
          <w:rStyle w:val="optioncarChar"/>
        </w:rPr>
        <w:t> / inox / ***</w:t>
      </w:r>
      <w:r>
        <w:rPr>
          <w:rStyle w:val="soitChar"/>
        </w:rPr>
        <w:t xml:space="preserve">. Les caractéristiques des plaques dentées sont décrites dans l’article </w:t>
      </w:r>
      <w:hyperlink w:anchor="614" w:history="1">
        <w:r>
          <w:rPr>
            <w:rStyle w:val="soitChar"/>
            <w:color w:val="0000EE"/>
          </w:rPr>
          <w:t>24.42.2c Connecteurs de surface - plaques dentées</w:t>
        </w:r>
      </w:hyperlink>
    </w:p>
    <w:p w14:paraId="2C8A077E" w14:textId="77777777" w:rsidR="00DB2B68" w:rsidRDefault="00000000">
      <w:pPr>
        <w:ind w:left="567"/>
        <w:jc w:val="both"/>
      </w:pPr>
      <w:r>
        <w:rPr>
          <w:b/>
          <w:i/>
        </w:rPr>
        <w:t>(Soit) </w:t>
      </w:r>
    </w:p>
    <w:p w14:paraId="464E2C2A" w14:textId="77777777" w:rsidR="00DB2B68" w:rsidRDefault="00000000">
      <w:pPr>
        <w:ind w:left="567"/>
        <w:jc w:val="both"/>
      </w:pPr>
      <w:r>
        <w:rPr>
          <w:rStyle w:val="soitChar"/>
          <w:u w:val="single"/>
        </w:rPr>
        <w:t>Ferrures :</w:t>
      </w:r>
      <w:r>
        <w:rPr>
          <w:rStyle w:val="soitChar"/>
        </w:rPr>
        <w:t xml:space="preserve"> Les ferrures standardisées sont décrites dans l’article </w:t>
      </w:r>
      <w:hyperlink w:anchor="615" w:history="1">
        <w:r>
          <w:rPr>
            <w:rStyle w:val="soitChar"/>
            <w:color w:val="0000EE"/>
          </w:rPr>
          <w:t>24.42.3b Systèmes de connexion - ferrures standardisées</w:t>
        </w:r>
      </w:hyperlink>
      <w:r>
        <w:rPr>
          <w:rStyle w:val="soitChar"/>
        </w:rPr>
        <w:t xml:space="preserve">, les autres ferrures mécano-soudées sont décrites dans l’article </w:t>
      </w:r>
      <w:hyperlink w:anchor="616" w:history="1">
        <w:r>
          <w:rPr>
            <w:rStyle w:val="soitChar"/>
            <w:color w:val="0000EE"/>
          </w:rPr>
          <w:t>24.42.3c Systèmes de connexion - ferrures mécano-soudées</w:t>
        </w:r>
      </w:hyperlink>
      <w:r>
        <w:rPr>
          <w:rStyle w:val="soitChar"/>
        </w:rPr>
        <w:t>.</w:t>
      </w:r>
    </w:p>
    <w:p w14:paraId="4001145C" w14:textId="77777777" w:rsidR="00DB2B68" w:rsidRDefault="00000000">
      <w:pPr>
        <w:ind w:left="567"/>
        <w:jc w:val="both"/>
      </w:pPr>
      <w:r>
        <w:rPr>
          <w:b/>
          <w:i/>
        </w:rPr>
        <w:t>(Soit) </w:t>
      </w:r>
    </w:p>
    <w:p w14:paraId="0476E3BE" w14:textId="77777777" w:rsidR="00DB2B68" w:rsidRDefault="00000000">
      <w:pPr>
        <w:ind w:left="567"/>
        <w:jc w:val="both"/>
      </w:pPr>
      <w:r>
        <w:rPr>
          <w:rStyle w:val="soitChar"/>
          <w:u w:val="single"/>
        </w:rPr>
        <w:t>Collage :</w:t>
      </w:r>
      <w:r>
        <w:rPr>
          <w:rStyle w:val="soitChar"/>
        </w:rPr>
        <w:t xml:space="preserve"> Les collages sont définis selon les assemblages dans les éléments </w:t>
      </w:r>
      <w:hyperlink w:anchor="617" w:history="1">
        <w:r>
          <w:rPr>
            <w:rStyle w:val="soitChar"/>
            <w:color w:val="0000EE"/>
          </w:rPr>
          <w:t>24.43.1 Assemblages collés</w:t>
        </w:r>
      </w:hyperlink>
      <w:r>
        <w:rPr>
          <w:rStyle w:val="soitChar"/>
        </w:rPr>
        <w:t xml:space="preserve"> et suivants.</w:t>
      </w:r>
    </w:p>
    <w:p w14:paraId="600BAD17" w14:textId="77777777" w:rsidR="00DB2B68" w:rsidRDefault="00000000">
      <w:pPr>
        <w:ind w:left="567"/>
        <w:jc w:val="both"/>
      </w:pPr>
      <w:r>
        <w:rPr>
          <w:b/>
          <w:i/>
        </w:rPr>
        <w:t>(Soit) </w:t>
      </w:r>
    </w:p>
    <w:p w14:paraId="3AFC269E" w14:textId="77777777" w:rsidR="00DB2B68" w:rsidRDefault="00000000">
      <w:pPr>
        <w:ind w:left="567"/>
        <w:jc w:val="both"/>
      </w:pPr>
      <w:r>
        <w:rPr>
          <w:rStyle w:val="optioncarChar"/>
        </w:rPr>
        <w:t>***</w:t>
      </w:r>
    </w:p>
    <w:p w14:paraId="76625E60" w14:textId="77777777" w:rsidR="00DB2B68" w:rsidRDefault="00000000">
      <w:pPr>
        <w:jc w:val="both"/>
      </w:pPr>
      <w:r>
        <w:t> </w:t>
      </w:r>
    </w:p>
    <w:p w14:paraId="36CB870E" w14:textId="77777777" w:rsidR="00DB2B68" w:rsidRDefault="00000000">
      <w:pPr>
        <w:jc w:val="both"/>
      </w:pPr>
      <w:r>
        <w:t xml:space="preserve">Ces dispositifs complémentaires d’assemblages sont dimensionnés pour reprendre les sollicitations appliquées à l’assemblage et sont conformes à l’élément </w:t>
      </w:r>
      <w:hyperlink w:anchor="608" w:history="1">
        <w:r>
          <w:rPr>
            <w:color w:val="0000EE"/>
          </w:rPr>
          <w:t>24.24 Charpentes en bois</w:t>
        </w:r>
      </w:hyperlink>
      <w:r>
        <w:t>.</w:t>
      </w:r>
    </w:p>
    <w:p w14:paraId="3908F96E" w14:textId="77777777" w:rsidR="00DB2B68" w:rsidRDefault="00000000">
      <w:pPr>
        <w:jc w:val="both"/>
      </w:pPr>
      <w:r>
        <w:rPr>
          <w:b/>
          <w:u w:val="single"/>
        </w:rPr>
        <w:t>Résistance et réaction au feu :</w:t>
      </w:r>
    </w:p>
    <w:p w14:paraId="2855C688" w14:textId="77777777" w:rsidR="00DB2B68" w:rsidRDefault="00000000">
      <w:pPr>
        <w:jc w:val="both"/>
      </w:pPr>
      <w:r>
        <w:t xml:space="preserve">La résistance au feu calculée conformément à la [NBN EN 1995-1-2] (définissant la vitesse de combustion) est de type </w:t>
      </w:r>
      <w:r>
        <w:rPr>
          <w:rStyle w:val="optioncarChar"/>
        </w:rPr>
        <w:t>R30 </w:t>
      </w:r>
      <w:r>
        <w:t>(par défaut)</w:t>
      </w:r>
      <w:r>
        <w:rPr>
          <w:rStyle w:val="optioncarChar"/>
        </w:rPr>
        <w:t xml:space="preserve"> / R60 / ***.</w:t>
      </w:r>
    </w:p>
    <w:p w14:paraId="7DAE1383" w14:textId="77777777" w:rsidR="00DB2B68" w:rsidRDefault="00000000">
      <w:pPr>
        <w:jc w:val="both"/>
      </w:pPr>
      <w:r>
        <w:t xml:space="preserve">La réaction au feu définie conformément à la [NBN EN 13501-1] est de type </w:t>
      </w:r>
      <w:r>
        <w:rPr>
          <w:rStyle w:val="optioncarChar"/>
        </w:rPr>
        <w:t>A1 / A2 / B / C / D</w:t>
      </w:r>
      <w:r>
        <w:t xml:space="preserve"> (par défaut) </w:t>
      </w:r>
      <w:r>
        <w:rPr>
          <w:rStyle w:val="optioncarChar"/>
        </w:rPr>
        <w:t>/ E / F</w:t>
      </w:r>
    </w:p>
    <w:p w14:paraId="1A2F8D11" w14:textId="77777777" w:rsidR="00DB2B68" w:rsidRDefault="00000000">
      <w:pPr>
        <w:pStyle w:val="pheading"/>
      </w:pPr>
      <w:r>
        <w:t>- Finitions</w:t>
      </w:r>
    </w:p>
    <w:p w14:paraId="2D437E0C" w14:textId="77777777" w:rsidR="00DB2B68" w:rsidRDefault="00000000">
      <w:pPr>
        <w:jc w:val="both"/>
      </w:pPr>
      <w:r>
        <w:t>Les éléments industrialisés de charpente ont une durabilité </w:t>
      </w:r>
    </w:p>
    <w:p w14:paraId="11476708" w14:textId="77777777" w:rsidR="00DB2B68" w:rsidRDefault="00000000">
      <w:pPr>
        <w:pStyle w:val="Author-eListParagraph"/>
        <w:numPr>
          <w:ilvl w:val="0"/>
          <w:numId w:val="964"/>
        </w:numPr>
      </w:pPr>
      <w:r>
        <w:t>naturelle conformément à la [NBN EN 350]</w:t>
      </w:r>
    </w:p>
    <w:p w14:paraId="7B485B1F" w14:textId="77777777" w:rsidR="00DB2B68" w:rsidRDefault="00000000">
      <w:pPr>
        <w:pStyle w:val="Author-eListParagraph"/>
        <w:numPr>
          <w:ilvl w:val="0"/>
          <w:numId w:val="964"/>
        </w:numPr>
      </w:pPr>
      <w:r>
        <w:t>ou conférée par un traitement</w:t>
      </w:r>
    </w:p>
    <w:p w14:paraId="21DC9D77" w14:textId="77777777" w:rsidR="00DB2B68" w:rsidRDefault="00000000">
      <w:pPr>
        <w:jc w:val="both"/>
      </w:pPr>
      <w:r>
        <w:t xml:space="preserve">pour répondre au moins à la classe d’emploi </w:t>
      </w:r>
      <w:r>
        <w:rPr>
          <w:rStyle w:val="optioncarChar"/>
        </w:rPr>
        <w:t xml:space="preserve">1 / 2 </w:t>
      </w:r>
      <w:r>
        <w:t>(par défaut)</w:t>
      </w:r>
      <w:r>
        <w:rPr>
          <w:rStyle w:val="optioncarChar"/>
        </w:rPr>
        <w:t xml:space="preserve"> / 3 / 4 / 5</w:t>
      </w:r>
      <w:r>
        <w:t xml:space="preserve"> de la  [NBN EN 335].</w:t>
      </w:r>
    </w:p>
    <w:p w14:paraId="2791929B" w14:textId="77777777" w:rsidR="00DB2B68" w:rsidRDefault="00000000">
      <w:pPr>
        <w:jc w:val="both"/>
      </w:pPr>
      <w:r>
        <w:t>Les bois de structure ayant subi un traitement de protection par imprégnation, trempage, aspersion ou badigeonnage (produit et procédé) satisfont à la fois :</w:t>
      </w:r>
    </w:p>
    <w:p w14:paraId="16B21CE0" w14:textId="77777777" w:rsidR="00DB2B68" w:rsidRDefault="00000000">
      <w:pPr>
        <w:pStyle w:val="Author-eListParagraph"/>
        <w:numPr>
          <w:ilvl w:val="0"/>
          <w:numId w:val="965"/>
        </w:numPr>
      </w:pPr>
      <w:r>
        <w:t>à la [NBN EN 15228] et</w:t>
      </w:r>
    </w:p>
    <w:p w14:paraId="4A0A8BAD" w14:textId="77777777" w:rsidR="00DB2B68" w:rsidRDefault="00000000">
      <w:pPr>
        <w:pStyle w:val="Author-eListParagraph"/>
        <w:numPr>
          <w:ilvl w:val="0"/>
          <w:numId w:val="965"/>
        </w:numPr>
      </w:pPr>
      <w:r>
        <w:t>à la [NBN EN 351 série] ou à la [STS 04 série].</w:t>
      </w:r>
    </w:p>
    <w:p w14:paraId="119D3E92" w14:textId="77777777" w:rsidR="00DB2B68" w:rsidRDefault="00000000">
      <w:pPr>
        <w:jc w:val="both"/>
      </w:pPr>
      <w:r>
        <w:t>Les autres types de traitement répondent à des exigences similaires.</w:t>
      </w:r>
    </w:p>
    <w:p w14:paraId="58762EE5" w14:textId="77777777" w:rsidR="00DB2B68" w:rsidRDefault="00000000">
      <w:pPr>
        <w:jc w:val="both"/>
      </w:pPr>
      <w:r>
        <w:t>Le bois traité est accompagné d’un certificat émanant d’un organisme accrédité ou notifié.</w:t>
      </w:r>
    </w:p>
    <w:p w14:paraId="48F1E873" w14:textId="77777777" w:rsidR="00DB2B68" w:rsidRDefault="00000000">
      <w:pPr>
        <w:jc w:val="both"/>
      </w:pPr>
      <w:r>
        <w:t xml:space="preserve">Les bois massifs non visibles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quatre</w:t>
      </w:r>
      <w:r>
        <w:t xml:space="preserve"> (par défaut)</w:t>
      </w:r>
      <w:r>
        <w:rPr>
          <w:rStyle w:val="optioncarChar"/>
        </w:rPr>
        <w:t xml:space="preserve"> / ***</w:t>
      </w:r>
      <w:r>
        <w:t xml:space="preserve"> faces.</w:t>
      </w:r>
    </w:p>
    <w:p w14:paraId="036F54C7" w14:textId="77777777" w:rsidR="00DB2B68" w:rsidRDefault="00000000">
      <w:pPr>
        <w:jc w:val="both"/>
      </w:pPr>
      <w:r>
        <w:t xml:space="preserve">Les coupes et entailles présentent une face nette et lisse. Tous les bois destinés à rester apparents après pose reçoivent un vernis type </w:t>
      </w:r>
      <w:r>
        <w:rPr>
          <w:rStyle w:val="optioncarChar"/>
        </w:rPr>
        <w:t>***</w:t>
      </w:r>
      <w:r>
        <w:t xml:space="preserve"> – Teinte</w:t>
      </w:r>
      <w:r>
        <w:rPr>
          <w:rStyle w:val="optioncarChar"/>
        </w:rPr>
        <w:t xml:space="preserve"> ***</w:t>
      </w:r>
      <w:r>
        <w:t xml:space="preserve">. Application en deux couches en usine avant pose sur chantier à raison de </w:t>
      </w:r>
      <w:r>
        <w:rPr>
          <w:rStyle w:val="optioncarChar"/>
        </w:rPr>
        <w:t>15 / ***</w:t>
      </w:r>
      <w:r>
        <w:t xml:space="preserve"> m²/l. Inclus toutes retouches après pose et réglage des éléments sur chantier.</w:t>
      </w:r>
    </w:p>
    <w:p w14:paraId="61141754" w14:textId="77777777" w:rsidR="00DB2B68" w:rsidRDefault="00000000">
      <w:pPr>
        <w:pStyle w:val="pheading"/>
      </w:pPr>
      <w:r>
        <w:t>EXÉCUTION / MISE EN ŒUVRE</w:t>
      </w:r>
    </w:p>
    <w:p w14:paraId="5ACFE4D4" w14:textId="77777777" w:rsidR="00DB2B68" w:rsidRDefault="00000000">
      <w:pPr>
        <w:pStyle w:val="pheading"/>
      </w:pPr>
      <w:r>
        <w:t>- Prescriptions générales</w:t>
      </w:r>
    </w:p>
    <w:p w14:paraId="748A87C2" w14:textId="77777777" w:rsidR="00DB2B68" w:rsidRDefault="00000000">
      <w:pPr>
        <w:jc w:val="both"/>
      </w:pPr>
      <w:r>
        <w:t>Le fabricant (l’entrepreneur) soumet pour approbation les plans de fabrication, d’exécution et de montage au maître d’ouvrage et à l’auteur de projet avant d’en entamer la réalisation.</w:t>
      </w:r>
    </w:p>
    <w:p w14:paraId="01870927" w14:textId="77777777" w:rsidR="00DB2B68" w:rsidRDefault="00000000">
      <w:pPr>
        <w:jc w:val="both"/>
      </w:pPr>
      <w:r>
        <w:t>Tous les ouvrages prévus et décrits sont exécutés suivant les alignements, formes et dimensions prévus sur les plans.</w:t>
      </w:r>
    </w:p>
    <w:p w14:paraId="3476D165" w14:textId="77777777" w:rsidR="00DB2B68" w:rsidRDefault="00000000">
      <w:pPr>
        <w:jc w:val="both"/>
      </w:pPr>
      <w:r>
        <w:lastRenderedPageBreak/>
        <w:t>La mise en œuvre est conforme à la [STS 31].</w:t>
      </w:r>
    </w:p>
    <w:p w14:paraId="4D4BDA52" w14:textId="77777777" w:rsidR="00DB2B68" w:rsidRDefault="00000000">
      <w:pPr>
        <w:jc w:val="both"/>
      </w:pPr>
      <w:r>
        <w:t xml:space="preserve">La charpente est ancrée au gros-œuvre de façon à éviter tout déplacement causé par les actions auxquelles elle est soumise. Le dimensionnement des ancrages est déterminé par calcul ou par essais. </w:t>
      </w:r>
    </w:p>
    <w:p w14:paraId="72035DD4" w14:textId="77777777" w:rsidR="00DB2B68" w:rsidRDefault="00000000">
      <w:pPr>
        <w:jc w:val="both"/>
      </w:pPr>
      <w:r>
        <w:t xml:space="preserve"> Les organes d’ancrage sont composés de </w:t>
      </w:r>
      <w:r>
        <w:rPr>
          <w:rStyle w:val="optioncarChar"/>
        </w:rPr>
        <w:t>sabots</w:t>
      </w:r>
      <w:r>
        <w:t xml:space="preserve"> (par défaut)</w:t>
      </w:r>
      <w:r>
        <w:rPr>
          <w:rStyle w:val="optioncarChar"/>
        </w:rPr>
        <w:t> / équerres / feuillard / boulons / vis ou tire-fond / ***</w:t>
      </w:r>
      <w:r>
        <w:t>. Si la liaison au gros œuvre s’effectue par l’intermédiaire d’une sablière, celle-ci est fixée au moins tous les 1,5 m.</w:t>
      </w:r>
    </w:p>
    <w:p w14:paraId="0633950A" w14:textId="77777777" w:rsidR="00DB2B68" w:rsidRDefault="00000000">
      <w:pPr>
        <w:jc w:val="both"/>
      </w:pPr>
      <w:r>
        <w:t>Les pièces de chaînage sont alignées, mais un décalage égal à l’épaisseur de leur section est permis, afin de faciliter leur clouage.</w:t>
      </w:r>
    </w:p>
    <w:p w14:paraId="03E96067" w14:textId="77777777" w:rsidR="00DB2B68" w:rsidRDefault="00000000">
      <w:pPr>
        <w:jc w:val="both"/>
      </w:pPr>
      <w:r>
        <w:t>Lors du montage et jusqu’au moment de la pose du contreventement ou des aisseliers, un contreventement provisoire est installé.</w:t>
      </w:r>
    </w:p>
    <w:p w14:paraId="2B23F2A3" w14:textId="77777777" w:rsidR="00DB2B68" w:rsidRDefault="00000000">
      <w:pPr>
        <w:jc w:val="both"/>
      </w:pPr>
      <w:r>
        <w:t>Certains lots relevant des autres éléments de toiture sont réalisés avant, pendant ou après le montage de la charpente. L’entrepreneur en tient compte dans la planification de ses travaux et prend les mesures nécessaires au bon déroulement de ceux-ci en concertation avec l’auteur du projet, le coordinateur de chantier ou le maitre d’ouvrage. L'entrepreneur se reporte aux prescriptions communes pour connaître les tâches incombant à son lot. L'entrepreneur notamment, installe, gère et démonte la fourniture pendant la durée du chantier de ses propres installations de chantier et ragréer les parements dans lesquels les ancrages sont positionnés.</w:t>
      </w:r>
    </w:p>
    <w:p w14:paraId="1D2018EE" w14:textId="77777777" w:rsidR="00DB2B68" w:rsidRDefault="00000000">
      <w:pPr>
        <w:pStyle w:val="pheading"/>
      </w:pPr>
      <w:r>
        <w:t>DOCUMENTS DE RÉFÉRENCE COMPLÉMENTAIRES</w:t>
      </w:r>
    </w:p>
    <w:p w14:paraId="73692166" w14:textId="77777777" w:rsidR="00DB2B68" w:rsidRDefault="00000000">
      <w:pPr>
        <w:pStyle w:val="pheading"/>
      </w:pPr>
      <w:r>
        <w:t>- Matériau</w:t>
      </w:r>
    </w:p>
    <w:p w14:paraId="23333613" w14:textId="77777777" w:rsidR="00DB2B68" w:rsidRDefault="00000000">
      <w:r>
        <w:t>[NBN EN 14081-1:2016+A1, Structures en bois - Bois de structure à section rectangulaire classé pour sa résistance - Partie 1 : Exigences générales]</w:t>
      </w:r>
    </w:p>
    <w:p w14:paraId="7EAE3FA7" w14:textId="77777777" w:rsidR="00DB2B68" w:rsidRDefault="00000000">
      <w:r>
        <w:t>[STS 04 série, Bois et panneaux à base de bois]</w:t>
      </w:r>
    </w:p>
    <w:p w14:paraId="7DCCF82E" w14:textId="77777777" w:rsidR="00DB2B68" w:rsidRDefault="00000000">
      <w:r>
        <w:t>[STS 31, Charpenterie]</w:t>
      </w:r>
    </w:p>
    <w:p w14:paraId="3B59E922" w14:textId="77777777" w:rsidR="00DB2B68" w:rsidRDefault="00000000">
      <w:r>
        <w:t>[NBN EN 1991 série, Eurocode 1 : Actions sur les structures]</w:t>
      </w:r>
    </w:p>
    <w:p w14:paraId="035190E7" w14:textId="77777777" w:rsidR="00DB2B68" w:rsidRDefault="00000000">
      <w:r>
        <w:t>[NBN EN 1995 série, Eurocode 5: Conception et calcul des structures en bois]</w:t>
      </w:r>
    </w:p>
    <w:p w14:paraId="6B308F55" w14:textId="77777777" w:rsidR="00DB2B68" w:rsidRDefault="00000000">
      <w:r>
        <w:t>[NBN EN 13501-1, Classement au feu des produits et éléments de construction - Partie 1: Classement à partir des données d'essais de réaction au feu]</w:t>
      </w:r>
    </w:p>
    <w:p w14:paraId="40F7B089" w14:textId="77777777" w:rsidR="00DB2B68" w:rsidRDefault="00000000">
      <w:r>
        <w:t>[NBN EN 335, Durabilité du bois et des matériaux à base de bois - Classes d'emploi: définitions, application au bois massif et aux matériaux à base de bois]</w:t>
      </w:r>
    </w:p>
    <w:p w14:paraId="793C3D86" w14:textId="77777777" w:rsidR="00DB2B68" w:rsidRDefault="00000000">
      <w:r>
        <w:t>[STS 23, Structures en bois]</w:t>
      </w:r>
    </w:p>
    <w:p w14:paraId="17114202" w14:textId="77777777" w:rsidR="00DB2B68" w:rsidRDefault="00000000">
      <w:pPr>
        <w:pStyle w:val="pheading"/>
      </w:pPr>
      <w:r>
        <w:t>- Exécution</w:t>
      </w:r>
    </w:p>
    <w:p w14:paraId="0C1DF1D0" w14:textId="77777777" w:rsidR="00DB2B68" w:rsidRDefault="00000000">
      <w:r>
        <w:t>[NBN EN 350, Durabilité du bois et des matériaux dérivés du bois - Méthodes d'essai et de classification de la durabilité vis-à-vis des agents biologiques du bois et des matériaux dérivés du bois]</w:t>
      </w:r>
    </w:p>
    <w:p w14:paraId="73D27D0B" w14:textId="77777777" w:rsidR="00DB2B68" w:rsidRDefault="00000000">
      <w:r>
        <w:t>[NBN EN 335, Durabilité du bois et des matériaux à base de bois - Classes d'emploi: définitions, application au bois massif et aux matériaux à base de bois]</w:t>
      </w:r>
    </w:p>
    <w:p w14:paraId="6D140FF2" w14:textId="77777777" w:rsidR="00DB2B68" w:rsidRDefault="00000000">
      <w:pPr>
        <w:pStyle w:val="pheading"/>
      </w:pPr>
      <w:r>
        <w:t>MESURAGE</w:t>
      </w:r>
    </w:p>
    <w:p w14:paraId="35B4A7FB" w14:textId="77777777" w:rsidR="00DB2B68" w:rsidRDefault="00000000">
      <w:pPr>
        <w:pStyle w:val="pheading"/>
      </w:pPr>
      <w:r>
        <w:t>- unité de mesure:</w:t>
      </w:r>
    </w:p>
    <w:p w14:paraId="6E9D25C4" w14:textId="77777777" w:rsidR="00DB2B68" w:rsidRDefault="00000000">
      <w:r>
        <w:rPr>
          <w:rStyle w:val="optioncarChar"/>
        </w:rPr>
        <w:t>m³</w:t>
      </w:r>
      <w:r>
        <w:t xml:space="preserve"> (par défaut) </w:t>
      </w:r>
      <w:r>
        <w:rPr>
          <w:rStyle w:val="optioncarChar"/>
        </w:rPr>
        <w:t>/ pc</w:t>
      </w:r>
    </w:p>
    <w:p w14:paraId="1DBECB63" w14:textId="77777777" w:rsidR="00DB2B68" w:rsidRDefault="00000000">
      <w:r>
        <w:rPr>
          <w:b/>
          <w:i/>
        </w:rPr>
        <w:t>(Soit par défaut)</w:t>
      </w:r>
    </w:p>
    <w:p w14:paraId="3B8D601E" w14:textId="77777777" w:rsidR="00DB2B68" w:rsidRDefault="00000000">
      <w:r>
        <w:rPr>
          <w:rStyle w:val="soitChar"/>
        </w:rPr>
        <w:t>1. m³</w:t>
      </w:r>
    </w:p>
    <w:p w14:paraId="39AD3FDB" w14:textId="77777777" w:rsidR="00DB2B68" w:rsidRDefault="00000000">
      <w:r>
        <w:rPr>
          <w:b/>
          <w:i/>
        </w:rPr>
        <w:t>(Soit)</w:t>
      </w:r>
    </w:p>
    <w:p w14:paraId="4677900C" w14:textId="77777777" w:rsidR="00DB2B68" w:rsidRDefault="00000000">
      <w:r>
        <w:rPr>
          <w:rStyle w:val="soitChar"/>
        </w:rPr>
        <w:t>2. pc</w:t>
      </w:r>
    </w:p>
    <w:p w14:paraId="73DDEDE1" w14:textId="77777777" w:rsidR="00DB2B68" w:rsidRDefault="00000000">
      <w:pPr>
        <w:pStyle w:val="pheading"/>
      </w:pPr>
      <w:r>
        <w:lastRenderedPageBreak/>
        <w:t>- code de mesurage:</w:t>
      </w:r>
    </w:p>
    <w:p w14:paraId="23FBC28E" w14:textId="77777777" w:rsidR="00DB2B68" w:rsidRDefault="00000000">
      <w:pPr>
        <w:jc w:val="both"/>
      </w:pPr>
      <w:r>
        <w:t>Distinction faite suivant le type et nature de charpente (neuve et/ou de réemploi). S’il s’agit de réemploi, distinguer : avec ou sans fourniture.</w:t>
      </w:r>
    </w:p>
    <w:p w14:paraId="0C639822" w14:textId="77777777" w:rsidR="00DB2B68" w:rsidRDefault="00000000">
      <w:r>
        <w:rPr>
          <w:rStyle w:val="optioncarChar"/>
        </w:rPr>
        <w:t xml:space="preserve">Volume net </w:t>
      </w:r>
      <w:r>
        <w:t>(par défaut)</w:t>
      </w:r>
      <w:r>
        <w:rPr>
          <w:rStyle w:val="optioncarChar"/>
        </w:rPr>
        <w:t xml:space="preserve"> / Quantité nette</w:t>
      </w:r>
    </w:p>
    <w:p w14:paraId="63CFFBF5" w14:textId="77777777" w:rsidR="00DB2B68" w:rsidRDefault="00000000">
      <w:r>
        <w:rPr>
          <w:b/>
          <w:i/>
        </w:rPr>
        <w:t>(Soit par défaut)</w:t>
      </w:r>
    </w:p>
    <w:p w14:paraId="3D01DB44" w14:textId="77777777" w:rsidR="00DB2B68" w:rsidRDefault="00000000">
      <w:r>
        <w:rPr>
          <w:rStyle w:val="soitChar"/>
          <w:u w:val="single"/>
        </w:rPr>
        <w:t>1. Volume net</w:t>
      </w:r>
      <w:r>
        <w:rPr>
          <w:rStyle w:val="soitChar"/>
        </w:rPr>
        <w:t xml:space="preserve"> de bois à mettre en œuvre.</w:t>
      </w:r>
    </w:p>
    <w:p w14:paraId="0B45A3D0" w14:textId="77777777" w:rsidR="00DB2B68" w:rsidRDefault="00000000">
      <w:r>
        <w:rPr>
          <w:b/>
          <w:i/>
        </w:rPr>
        <w:t>(Soit)</w:t>
      </w:r>
    </w:p>
    <w:p w14:paraId="09AA0974" w14:textId="77777777" w:rsidR="00DB2B68" w:rsidRDefault="00000000">
      <w:r>
        <w:rPr>
          <w:rStyle w:val="soitChar"/>
          <w:u w:val="single"/>
        </w:rPr>
        <w:t>2. Quantité nette</w:t>
      </w:r>
      <w:r>
        <w:rPr>
          <w:rStyle w:val="soitChar"/>
        </w:rPr>
        <w:t xml:space="preserve"> détaillée et ventilée selon le type et les dimensions.</w:t>
      </w:r>
    </w:p>
    <w:p w14:paraId="5B396508" w14:textId="77777777" w:rsidR="00DB2B68" w:rsidRDefault="00000000">
      <w:pPr>
        <w:pStyle w:val="pheading"/>
      </w:pPr>
      <w:r>
        <w:t>- nature du marché:</w:t>
      </w:r>
    </w:p>
    <w:p w14:paraId="43E5BF18" w14:textId="77777777" w:rsidR="00DB2B68" w:rsidRDefault="00000000">
      <w:r>
        <w:t>QF</w:t>
      </w:r>
    </w:p>
    <w:p w14:paraId="5FE0D7BB" w14:textId="77777777" w:rsidR="00DB2B68" w:rsidRDefault="00000000">
      <w:pPr>
        <w:pStyle w:val="Author-eSectionHeading6Numberless"/>
      </w:pPr>
      <w:bookmarkStart w:id="1693" w:name="_Toc220496675"/>
      <w:r>
        <w:t>24.24.1b Charpentes tridimensionnelles en bois assemblées sur place CCTB 01.09</w:t>
      </w:r>
      <w:bookmarkEnd w:id="1693"/>
    </w:p>
    <w:p w14:paraId="4FC0FCDF" w14:textId="77777777" w:rsidR="00DB2B68" w:rsidRDefault="00000000">
      <w:pPr>
        <w:pStyle w:val="pheading"/>
      </w:pPr>
      <w:r>
        <w:t>MESURAGE</w:t>
      </w:r>
    </w:p>
    <w:p w14:paraId="39B1CBFB" w14:textId="77777777" w:rsidR="00DB2B68" w:rsidRDefault="00000000">
      <w:pPr>
        <w:pStyle w:val="pheading"/>
      </w:pPr>
      <w:r>
        <w:t>- unité de mesure:</w:t>
      </w:r>
    </w:p>
    <w:p w14:paraId="74EB3545" w14:textId="77777777" w:rsidR="00DB2B68" w:rsidRDefault="00DB2B68"/>
    <w:p w14:paraId="7E679724" w14:textId="77777777" w:rsidR="00DB2B68" w:rsidRDefault="00000000">
      <w:pPr>
        <w:pStyle w:val="pheading"/>
      </w:pPr>
      <w:r>
        <w:t>- nature du marché:</w:t>
      </w:r>
    </w:p>
    <w:p w14:paraId="671E42AD" w14:textId="77777777" w:rsidR="00DB2B68" w:rsidRDefault="00DB2B68"/>
    <w:p w14:paraId="0EF0D7C5" w14:textId="77777777" w:rsidR="00DB2B68" w:rsidRDefault="00000000">
      <w:pPr>
        <w:pStyle w:val="Author-eSectionHeading5Numberless"/>
      </w:pPr>
      <w:bookmarkStart w:id="1694" w:name="_Toc220496676"/>
      <w:r>
        <w:t>24.24.2 Charpentes en bois préfabriquées CCTB 01.04</w:t>
      </w:r>
      <w:bookmarkEnd w:id="1694"/>
    </w:p>
    <w:p w14:paraId="489249C7" w14:textId="77777777" w:rsidR="00DB2B68" w:rsidRDefault="00000000">
      <w:pPr>
        <w:pStyle w:val="Author-eSectionHeading6Numberless"/>
      </w:pPr>
      <w:bookmarkStart w:id="1695" w:name="_Toc220496677"/>
      <w:r>
        <w:t>24.24.2a Fermettes préfabriquées à partir de planches et de connecteurs à plaques CCTB 01.11</w:t>
      </w:r>
      <w:bookmarkEnd w:id="1695"/>
    </w:p>
    <w:p w14:paraId="2F252D63" w14:textId="77777777" w:rsidR="00DB2B68" w:rsidRDefault="00000000">
      <w:pPr>
        <w:pStyle w:val="pheading"/>
      </w:pPr>
      <w:r>
        <w:t>DESCRIPTION</w:t>
      </w:r>
    </w:p>
    <w:p w14:paraId="404AFD7D" w14:textId="77777777" w:rsidR="00DB2B68" w:rsidRDefault="00000000">
      <w:pPr>
        <w:pStyle w:val="pheading"/>
      </w:pPr>
      <w:r>
        <w:t>- Définition / Comprend</w:t>
      </w:r>
    </w:p>
    <w:p w14:paraId="17EB8C0A" w14:textId="77777777" w:rsidR="00DB2B68" w:rsidRDefault="00000000">
      <w:pPr>
        <w:jc w:val="both"/>
      </w:pPr>
      <w:r>
        <w:t>Il s’agit de la fourniture et la pose des éléments de charpente préfabriquée en bois.</w:t>
      </w:r>
    </w:p>
    <w:p w14:paraId="42681720" w14:textId="77777777" w:rsidR="00DB2B68" w:rsidRDefault="00000000">
      <w:pPr>
        <w:jc w:val="both"/>
      </w:pPr>
      <w:r>
        <w:t>Les travaux comprennent notamment :</w:t>
      </w:r>
    </w:p>
    <w:p w14:paraId="2E4C0902" w14:textId="77777777" w:rsidR="00DB2B68" w:rsidRDefault="00000000">
      <w:pPr>
        <w:pStyle w:val="Author-eListParagraph"/>
        <w:numPr>
          <w:ilvl w:val="0"/>
          <w:numId w:val="966"/>
        </w:numPr>
      </w:pPr>
      <w:r>
        <w:t>La fourniture des documents reprenant les caractéristiques de résistance de la charpente préfabriquée et étude d’exécution;</w:t>
      </w:r>
    </w:p>
    <w:p w14:paraId="36025829" w14:textId="77777777" w:rsidR="00DB2B68" w:rsidRDefault="00000000">
      <w:pPr>
        <w:pStyle w:val="Author-eListParagraph"/>
        <w:numPr>
          <w:ilvl w:val="0"/>
          <w:numId w:val="966"/>
        </w:numPr>
      </w:pPr>
      <w:r>
        <w:t>Les installations de signalisation et de sécurité pour la pose des charpentes préfabriquées;</w:t>
      </w:r>
    </w:p>
    <w:p w14:paraId="12FCECD9" w14:textId="77777777" w:rsidR="00DB2B68" w:rsidRDefault="00000000">
      <w:pPr>
        <w:pStyle w:val="Author-eListParagraph"/>
        <w:numPr>
          <w:ilvl w:val="0"/>
          <w:numId w:val="966"/>
        </w:numPr>
      </w:pPr>
      <w:r>
        <w:t>La livraison, manutention, l’assemblage, le calage et la pose des préfabriquées en bois;</w:t>
      </w:r>
    </w:p>
    <w:p w14:paraId="0C16ED0B" w14:textId="77777777" w:rsidR="00DB2B68" w:rsidRDefault="00000000">
      <w:pPr>
        <w:pStyle w:val="Author-eListParagraph"/>
        <w:numPr>
          <w:ilvl w:val="0"/>
          <w:numId w:val="966"/>
        </w:numPr>
      </w:pPr>
      <w:r>
        <w:t>La liaison mécanique (ancrages et ferrures) des charpentes préfabriquées aux gros-œuvre;</w:t>
      </w:r>
    </w:p>
    <w:p w14:paraId="669078EA" w14:textId="77777777" w:rsidR="00DB2B68" w:rsidRDefault="00000000">
      <w:pPr>
        <w:pStyle w:val="Author-eListParagraph"/>
        <w:numPr>
          <w:ilvl w:val="0"/>
          <w:numId w:val="966"/>
        </w:numPr>
      </w:pPr>
      <w:r>
        <w:t>L’étançonnement et le contreventement provisoire des éléments de charpente préfabriquée;</w:t>
      </w:r>
    </w:p>
    <w:p w14:paraId="4F7B9282" w14:textId="77777777" w:rsidR="00DB2B68" w:rsidRDefault="00000000">
      <w:pPr>
        <w:pStyle w:val="Author-eListParagraph"/>
        <w:numPr>
          <w:ilvl w:val="0"/>
          <w:numId w:val="966"/>
        </w:numPr>
      </w:pPr>
      <w:r>
        <w:t>Le traitement de préservation des éléments découpés;</w:t>
      </w:r>
    </w:p>
    <w:p w14:paraId="52B05579" w14:textId="77777777" w:rsidR="00DB2B68" w:rsidRDefault="00000000">
      <w:pPr>
        <w:pStyle w:val="Author-eListParagraph"/>
        <w:numPr>
          <w:ilvl w:val="0"/>
          <w:numId w:val="966"/>
        </w:numPr>
      </w:pPr>
      <w:r>
        <w:t>La protection éventuelle de l’ensemble de la charpente;</w:t>
      </w:r>
    </w:p>
    <w:p w14:paraId="51CBF167" w14:textId="77777777" w:rsidR="00DB2B68" w:rsidRDefault="00000000">
      <w:pPr>
        <w:pStyle w:val="Author-eListParagraph"/>
        <w:numPr>
          <w:ilvl w:val="0"/>
          <w:numId w:val="966"/>
        </w:numPr>
      </w:pPr>
      <w:r>
        <w:t>La fourniture des documents relatifs au dossier d’intervention ultérieur concernant la charpente et les dispositifs de raccords dans la charpente pour équipement de sécurité.</w:t>
      </w:r>
    </w:p>
    <w:p w14:paraId="17F8CC38" w14:textId="77777777" w:rsidR="00DB2B68" w:rsidRDefault="00000000">
      <w:pPr>
        <w:pStyle w:val="pheading"/>
      </w:pPr>
      <w:r>
        <w:t>- Localisation</w:t>
      </w:r>
    </w:p>
    <w:p w14:paraId="3EBF44FA" w14:textId="77777777" w:rsidR="00DB2B68" w:rsidRDefault="00000000">
      <w:pPr>
        <w:jc w:val="both"/>
      </w:pPr>
      <w:r>
        <w:t xml:space="preserve">Localisation des charpentes préfabriquées : </w:t>
      </w:r>
      <w:r>
        <w:rPr>
          <w:rStyle w:val="optioncarChar"/>
        </w:rPr>
        <w:t>***</w:t>
      </w:r>
      <w:r>
        <w:t>.</w:t>
      </w:r>
    </w:p>
    <w:p w14:paraId="4AC61358" w14:textId="77777777" w:rsidR="00DB2B68" w:rsidRDefault="00000000">
      <w:pPr>
        <w:jc w:val="both"/>
      </w:pPr>
      <w:r>
        <w:t>Voir plans et métrés détaillés.</w:t>
      </w:r>
    </w:p>
    <w:p w14:paraId="2BE0FFB8" w14:textId="77777777" w:rsidR="00DB2B68" w:rsidRDefault="00000000">
      <w:pPr>
        <w:pStyle w:val="pheading"/>
      </w:pPr>
      <w:r>
        <w:t>MATÉRIAUX</w:t>
      </w:r>
    </w:p>
    <w:p w14:paraId="71BF0D22" w14:textId="77777777" w:rsidR="00DB2B68" w:rsidRDefault="00000000">
      <w:pPr>
        <w:pStyle w:val="pheading"/>
      </w:pPr>
      <w:r>
        <w:t>- Caractéristiques générales</w:t>
      </w:r>
    </w:p>
    <w:p w14:paraId="4967C2A5" w14:textId="77777777" w:rsidR="00DB2B68" w:rsidRDefault="00000000">
      <w:pPr>
        <w:jc w:val="both"/>
      </w:pPr>
      <w:r>
        <w:t>Les fermes (ou fermettes) préfabriquées répondent aux spécifications de la [NBN EN 14250].</w:t>
      </w:r>
    </w:p>
    <w:p w14:paraId="2CA2FFFF" w14:textId="77777777" w:rsidR="00DB2B68" w:rsidRDefault="00000000">
      <w:pPr>
        <w:jc w:val="both"/>
      </w:pPr>
      <w:r>
        <w:t xml:space="preserve">Les tolérances dimensionnelles de l’élément de structure sont au minimum conformes à la classe de tolérance </w:t>
      </w:r>
      <w:r>
        <w:rPr>
          <w:rStyle w:val="optioncarChar"/>
        </w:rPr>
        <w:t>2</w:t>
      </w:r>
      <w:r>
        <w:t xml:space="preserve"> (par défaut)</w:t>
      </w:r>
      <w:r>
        <w:rPr>
          <w:rStyle w:val="optioncarChar"/>
        </w:rPr>
        <w:t xml:space="preserve"> / ***</w:t>
      </w:r>
      <w:r>
        <w:t xml:space="preserve"> indiquée dans la [NBN EN 336].</w:t>
      </w:r>
    </w:p>
    <w:p w14:paraId="04439B21" w14:textId="77777777" w:rsidR="00DB2B68" w:rsidRDefault="00000000">
      <w:pPr>
        <w:jc w:val="both"/>
      </w:pPr>
      <w:r>
        <w:lastRenderedPageBreak/>
        <w:t>Les dimensions du bois ne sont pas inférieures à :</w:t>
      </w:r>
    </w:p>
    <w:p w14:paraId="30A2EB06" w14:textId="77777777" w:rsidR="00DB2B68" w:rsidRDefault="00000000">
      <w:pPr>
        <w:pStyle w:val="Author-eListParagraph"/>
        <w:numPr>
          <w:ilvl w:val="0"/>
          <w:numId w:val="967"/>
        </w:numPr>
      </w:pPr>
      <w:r>
        <w:t>Epaisseur (largeur), pour tous les éléments : 35 mm ;</w:t>
      </w:r>
    </w:p>
    <w:p w14:paraId="751F1B32" w14:textId="77777777" w:rsidR="00DB2B68" w:rsidRDefault="00000000">
      <w:pPr>
        <w:pStyle w:val="Author-eListParagraph"/>
        <w:numPr>
          <w:ilvl w:val="0"/>
          <w:numId w:val="967"/>
        </w:numPr>
      </w:pPr>
      <w:r>
        <w:t>Hauteur, pour les éléments externes (arbalétrier-entrait) : 68 mm ;</w:t>
      </w:r>
    </w:p>
    <w:p w14:paraId="45633B15" w14:textId="77777777" w:rsidR="00DB2B68" w:rsidRDefault="00000000">
      <w:pPr>
        <w:pStyle w:val="Author-eListParagraph"/>
        <w:numPr>
          <w:ilvl w:val="0"/>
          <w:numId w:val="967"/>
        </w:numPr>
      </w:pPr>
      <w:r>
        <w:t>Hauteur, pour les éléments intérieurs (âme ou diagonale) : 58 mm.</w:t>
      </w:r>
    </w:p>
    <w:p w14:paraId="0ADE8074" w14:textId="77777777" w:rsidR="00DB2B68" w:rsidRDefault="00000000">
      <w:pPr>
        <w:jc w:val="both"/>
      </w:pPr>
      <w:r>
        <w:t>L’épaisseur effective de la rive extérieure de tout arbalétrier-entrait ne doit pas être inférieure à 35 mm.</w:t>
      </w:r>
    </w:p>
    <w:p w14:paraId="14F2A43B" w14:textId="77777777" w:rsidR="00DB2B68" w:rsidRDefault="00000000">
      <w:pPr>
        <w:jc w:val="both"/>
      </w:pPr>
      <w:r>
        <w:t xml:space="preserve">Les  éléments utilisés sont en </w:t>
      </w:r>
      <w:r>
        <w:rPr>
          <w:rStyle w:val="optioncarChar"/>
        </w:rPr>
        <w:t>bois massif résineux</w:t>
      </w:r>
      <w:r>
        <w:t xml:space="preserve"> (par défaut)</w:t>
      </w:r>
      <w:r>
        <w:rPr>
          <w:rStyle w:val="optioncarChar"/>
        </w:rPr>
        <w:t xml:space="preserve"> / en bois massif feuillu / ***</w:t>
      </w:r>
      <w:r>
        <w:t>.</w:t>
      </w:r>
    </w:p>
    <w:p w14:paraId="3B9326DA" w14:textId="77777777" w:rsidR="00DB2B68" w:rsidRDefault="00000000">
      <w:pPr>
        <w:ind w:left="567"/>
        <w:jc w:val="both"/>
      </w:pPr>
      <w:r>
        <w:rPr>
          <w:b/>
          <w:i/>
        </w:rPr>
        <w:t>(Soit par défaut) </w:t>
      </w:r>
    </w:p>
    <w:p w14:paraId="1746549C" w14:textId="77777777" w:rsidR="00DB2B68" w:rsidRDefault="00000000">
      <w:pPr>
        <w:ind w:left="567"/>
        <w:jc w:val="both"/>
      </w:pPr>
      <w:r>
        <w:rPr>
          <w:rStyle w:val="soitChar"/>
          <w:u w:val="single"/>
        </w:rPr>
        <w:t>Bois massif résineux :</w:t>
      </w:r>
      <w:r>
        <w:rPr>
          <w:rStyle w:val="soitChar"/>
        </w:rPr>
        <w:t xml:space="preserve"> Les éléments sont en </w:t>
      </w:r>
      <w:r>
        <w:rPr>
          <w:rStyle w:val="optioncarChar"/>
        </w:rPr>
        <w:t xml:space="preserve">Epicéa </w:t>
      </w:r>
      <w:r>
        <w:t>(par défaut)</w:t>
      </w:r>
      <w:r>
        <w:rPr>
          <w:rStyle w:val="optioncarChar"/>
        </w:rPr>
        <w:t xml:space="preserve"> / Douglas / Mélèze / ***</w:t>
      </w:r>
      <w:r>
        <w:rPr>
          <w:rStyle w:val="soitChar"/>
        </w:rPr>
        <w:t xml:space="preserve"> de classe mécanique </w:t>
      </w:r>
      <w:r>
        <w:rPr>
          <w:rStyle w:val="optioncarChar"/>
        </w:rPr>
        <w:t>C18 </w:t>
      </w:r>
      <w:r>
        <w:t>(par défaut)</w:t>
      </w:r>
      <w:r>
        <w:rPr>
          <w:rStyle w:val="optioncarChar"/>
        </w:rPr>
        <w:t xml:space="preserve"> / ***</w:t>
      </w:r>
      <w:r>
        <w:rPr>
          <w:rStyle w:val="soitChar"/>
        </w:rPr>
        <w:t>définie par la [NBN EN 14081-1:2016+A1]. Ils sont exempts de défauts (nœuds non adhérents, roulures, gerçures, etc.) et ne sont pas altérés (échauffure, pourriture, etc.…). Tous les bois fournis par le présent lot sont neufs et secs (humidité maximale de mise en œuvre 20 %).</w:t>
      </w:r>
    </w:p>
    <w:p w14:paraId="0028AF3B" w14:textId="77777777" w:rsidR="00DB2B68" w:rsidRDefault="00000000">
      <w:pPr>
        <w:ind w:left="567"/>
        <w:jc w:val="both"/>
      </w:pPr>
      <w:r>
        <w:rPr>
          <w:b/>
          <w:i/>
        </w:rPr>
        <w:t>(Soit) </w:t>
      </w:r>
    </w:p>
    <w:p w14:paraId="33D713A5" w14:textId="77777777" w:rsidR="00DB2B68" w:rsidRDefault="00000000">
      <w:pPr>
        <w:ind w:left="567"/>
        <w:jc w:val="both"/>
      </w:pPr>
      <w:r>
        <w:rPr>
          <w:rStyle w:val="soitChar"/>
          <w:u w:val="single"/>
        </w:rPr>
        <w:t>Bois massif feuillu :</w:t>
      </w:r>
      <w:r>
        <w:rPr>
          <w:rStyle w:val="soitChar"/>
        </w:rPr>
        <w:t xml:space="preserve"> Les éléments sont en </w:t>
      </w:r>
      <w:r>
        <w:rPr>
          <w:rStyle w:val="optioncarChar"/>
        </w:rPr>
        <w:t xml:space="preserve">Chêne </w:t>
      </w:r>
      <w:r>
        <w:t xml:space="preserve">(par défaut) </w:t>
      </w:r>
      <w:r>
        <w:rPr>
          <w:rStyle w:val="optioncarChar"/>
        </w:rPr>
        <w:t>/ Hêtre / ***</w:t>
      </w:r>
      <w:r>
        <w:rPr>
          <w:rStyle w:val="soitChar"/>
        </w:rPr>
        <w:t xml:space="preserve"> de classe mécanique </w:t>
      </w:r>
      <w:r>
        <w:rPr>
          <w:rStyle w:val="optioncarChar"/>
        </w:rPr>
        <w:t>D30 / ***</w:t>
      </w:r>
      <w:r>
        <w:rPr>
          <w:rStyle w:val="soitChar"/>
        </w:rPr>
        <w:t>. Ils sont exempts de défauts (nœuds non adhérents, roulures, gerçures, etc.) et ne sont pas altérés (échauffure, pourriture, etc.…). Tous les bois fournis par le présent lot sont neufs et secs (humidité maximale de mise en œuvre 20 %).</w:t>
      </w:r>
    </w:p>
    <w:p w14:paraId="5D197709" w14:textId="77777777" w:rsidR="00DB2B68" w:rsidRDefault="00000000">
      <w:pPr>
        <w:ind w:left="567"/>
        <w:jc w:val="both"/>
      </w:pPr>
      <w:r>
        <w:rPr>
          <w:b/>
          <w:i/>
        </w:rPr>
        <w:t>(Soit) </w:t>
      </w:r>
    </w:p>
    <w:p w14:paraId="34F8712E" w14:textId="77777777" w:rsidR="00DB2B68" w:rsidRDefault="00000000">
      <w:pPr>
        <w:ind w:left="567"/>
        <w:jc w:val="both"/>
      </w:pPr>
      <w:r>
        <w:rPr>
          <w:rStyle w:val="optioncarChar"/>
        </w:rPr>
        <w:t>***</w:t>
      </w:r>
    </w:p>
    <w:p w14:paraId="3A1AD48B" w14:textId="77777777" w:rsidR="00DB2B68" w:rsidRDefault="00DB2B68">
      <w:pPr>
        <w:ind w:left="567"/>
        <w:jc w:val="both"/>
      </w:pPr>
    </w:p>
    <w:p w14:paraId="3258A260" w14:textId="77777777" w:rsidR="00DB2B68" w:rsidRDefault="00000000">
      <w:pPr>
        <w:jc w:val="both"/>
      </w:pPr>
      <w:r>
        <w:t xml:space="preserve">La forme de la charpente définies dans la [NF DTU 31.3] est de type </w:t>
      </w:r>
      <w:r>
        <w:rPr>
          <w:rStyle w:val="optioncarChar"/>
        </w:rPr>
        <w:t>fermette en E / fermette en W / fermette en M / fermette monopente / fermette à faux entrait / fermette à entrait retroussé</w:t>
      </w:r>
      <w:r>
        <w:t xml:space="preserve"> (par défaut) </w:t>
      </w:r>
      <w:r>
        <w:rPr>
          <w:rStyle w:val="optioncarChar"/>
        </w:rPr>
        <w:t>/ ***</w:t>
      </w:r>
      <w:r>
        <w:t>.</w:t>
      </w:r>
    </w:p>
    <w:p w14:paraId="0D5A1A77" w14:textId="77777777" w:rsidR="00DB2B68" w:rsidRDefault="00000000">
      <w:pPr>
        <w:jc w:val="both"/>
      </w:pPr>
      <w:r>
        <w:t xml:space="preserve">La charpente est conforme aux plans détaillés fournis par le maitre d’ouvrage. L’entre-distance des fermettes est fixée à </w:t>
      </w:r>
      <w:r>
        <w:rPr>
          <w:rStyle w:val="optioncarChar"/>
        </w:rPr>
        <w:t>60 </w:t>
      </w:r>
      <w:r>
        <w:t>(par défaut)</w:t>
      </w:r>
      <w:r>
        <w:rPr>
          <w:rStyle w:val="optioncarChar"/>
        </w:rPr>
        <w:t xml:space="preserve"> / 45 / ***</w:t>
      </w:r>
      <w:r>
        <w:t xml:space="preserve"> cm.</w:t>
      </w:r>
    </w:p>
    <w:p w14:paraId="54B5F5AF" w14:textId="77777777" w:rsidR="00DB2B68" w:rsidRDefault="00000000">
      <w:pPr>
        <w:jc w:val="both"/>
      </w:pPr>
      <w:r>
        <w:t> </w:t>
      </w:r>
    </w:p>
    <w:p w14:paraId="639F2C17" w14:textId="77777777" w:rsidR="00DB2B68" w:rsidRDefault="00000000">
      <w:pPr>
        <w:jc w:val="both"/>
      </w:pPr>
      <w:r>
        <w:t>La présence de nœuds adhérents est admise dans la surface d’ancrage de l’élément de structure préfabriqué en bois à condition que les parties saillantes de la plaque soient correctement enfoncées sans déformation apparente des connecteurs et sans fente dans le bois en dehors du nœud.</w:t>
      </w:r>
    </w:p>
    <w:p w14:paraId="6C6B4F4F" w14:textId="77777777" w:rsidR="00DB2B68" w:rsidRDefault="00000000">
      <w:pPr>
        <w:jc w:val="both"/>
      </w:pPr>
      <w:r>
        <w:t>La présence de nœuds non adhérents n’est permise que s’ils sont pris en compte dans les calculs de résistance.</w:t>
      </w:r>
    </w:p>
    <w:p w14:paraId="6BCE8B8C" w14:textId="77777777" w:rsidR="00DB2B68" w:rsidRDefault="00000000">
      <w:pPr>
        <w:jc w:val="both"/>
      </w:pPr>
      <w:r>
        <w:t>Les dimensions des sections de bois des éléments de charpentes permettent de répondre aux performances de résistance mécanique conformes à la [STS 31] et aux [NBN EN 1991 série] et [NBN EN 1995 série] ainsi qu’aux exigences de résistance au feu définie dans cet article.</w:t>
      </w:r>
    </w:p>
    <w:p w14:paraId="6DCC71D1" w14:textId="77777777" w:rsidR="00DB2B68" w:rsidRDefault="00000000">
      <w:pPr>
        <w:jc w:val="both"/>
      </w:pPr>
      <w:r>
        <w:t xml:space="preserve">La note de calcul est fournie </w:t>
      </w:r>
      <w:r>
        <w:rPr>
          <w:rStyle w:val="optioncarChar"/>
        </w:rPr>
        <w:t>par le maitre d’ouvrage / par l’entreprise en charge du lot</w:t>
      </w:r>
      <w:r>
        <w:t xml:space="preserve"> (par défaut)</w:t>
      </w:r>
      <w:r>
        <w:rPr>
          <w:rStyle w:val="optioncarChar"/>
        </w:rPr>
        <w:t xml:space="preserve"> / ***</w:t>
      </w:r>
      <w:r>
        <w:t>.</w:t>
      </w:r>
    </w:p>
    <w:p w14:paraId="573757C9" w14:textId="77777777" w:rsidR="00DB2B68" w:rsidRDefault="00000000">
      <w:pPr>
        <w:jc w:val="both"/>
      </w:pPr>
      <w:r>
        <w:rPr>
          <w:b/>
          <w:u w:val="single"/>
        </w:rPr>
        <w:t>Assemblages</w:t>
      </w:r>
    </w:p>
    <w:p w14:paraId="012F936A" w14:textId="77777777" w:rsidR="00DB2B68" w:rsidRDefault="00000000">
      <w:pPr>
        <w:jc w:val="both"/>
      </w:pPr>
      <w:r>
        <w:t xml:space="preserve">Les assemblages sont maintenus par </w:t>
      </w:r>
      <w:r>
        <w:rPr>
          <w:rStyle w:val="optioncarChar"/>
        </w:rPr>
        <w:t>connecteurs à plaque métallique</w:t>
      </w:r>
      <w:r>
        <w:t xml:space="preserve"> (par défaut)</w:t>
      </w:r>
      <w:r>
        <w:rPr>
          <w:rStyle w:val="optioncarChar"/>
        </w:rPr>
        <w:t xml:space="preserve"> / ***</w:t>
      </w:r>
    </w:p>
    <w:p w14:paraId="1936F15F" w14:textId="77777777" w:rsidR="00DB2B68" w:rsidRDefault="00000000">
      <w:pPr>
        <w:jc w:val="both"/>
      </w:pPr>
      <w:r>
        <w:t>Le défaut de positionnement des connecteurs utilisés pour les éléments de structure préfabriqués en bois ne dépasse pas le niveau indiqué lors de la conception ou 10 mm dans n’importe quelle direction, par rapport à la position prévue lors de la conception. Les parties saillantes du connecteur sont enfoncées perpendiculairement à la surface d’appui du bois. Chaque assemblage est réalisé de telle manière que les connecteurs à plaque et la surface de bois à assembler soient en contact direct (l’écartement ne dépasse pas 1 mm sur moins de 25 % de la surface d’assemblage.</w:t>
      </w:r>
    </w:p>
    <w:p w14:paraId="6BD69543" w14:textId="77777777" w:rsidR="00DB2B68" w:rsidRDefault="00000000">
      <w:pPr>
        <w:jc w:val="both"/>
      </w:pPr>
      <w:r>
        <w:t>Les connecteurs utilisés pour des éléments préfabriqués de structure en bois sont conformes à la [NBN EN 14545].</w:t>
      </w:r>
    </w:p>
    <w:p w14:paraId="2229292F" w14:textId="77777777" w:rsidR="00DB2B68" w:rsidRDefault="00000000">
      <w:pPr>
        <w:jc w:val="both"/>
      </w:pPr>
      <w:r>
        <w:lastRenderedPageBreak/>
        <w:t xml:space="preserve">Le traitement des connecteurs contre la corrosion est compatible avec le produit de préservation utilisé. Ces dispositifs complémentaires d’assemblages sont dimensionnés pour reprendre les sollicitations appliquées à l’assemblage et sont conformes à l’élément </w:t>
      </w:r>
      <w:hyperlink w:anchor="618" w:history="1">
        <w:r>
          <w:rPr>
            <w:color w:val="0000EE"/>
          </w:rPr>
          <w:t>24.23 Systèmes de toiture en bois</w:t>
        </w:r>
      </w:hyperlink>
      <w:r>
        <w:t>.</w:t>
      </w:r>
    </w:p>
    <w:p w14:paraId="201DB948" w14:textId="77777777" w:rsidR="00DB2B68" w:rsidRDefault="00000000">
      <w:pPr>
        <w:jc w:val="both"/>
      </w:pPr>
      <w:r>
        <w:rPr>
          <w:b/>
          <w:u w:val="single"/>
        </w:rPr>
        <w:t>Résistance et réaction au feu</w:t>
      </w:r>
    </w:p>
    <w:p w14:paraId="2F59C464" w14:textId="77777777" w:rsidR="00DB2B68" w:rsidRDefault="00000000">
      <w:pPr>
        <w:jc w:val="both"/>
      </w:pPr>
      <w:r>
        <w:t xml:space="preserve">La résistance au feu calculée conformément à la [NBN EN 1995-1-2] (définissant la vitesse de combustion) est de type </w:t>
      </w:r>
      <w:r>
        <w:rPr>
          <w:rStyle w:val="optioncarChar"/>
        </w:rPr>
        <w:t>R30 / R60 / ***.</w:t>
      </w:r>
    </w:p>
    <w:p w14:paraId="21D003E0" w14:textId="77777777" w:rsidR="00DB2B68" w:rsidRDefault="00000000">
      <w:pPr>
        <w:jc w:val="both"/>
      </w:pPr>
      <w:r>
        <w:t xml:space="preserve">La réaction au feu définie conformément à la [NBN EN 13501-1] est de type </w:t>
      </w:r>
      <w:r>
        <w:rPr>
          <w:rStyle w:val="optioncarChar"/>
        </w:rPr>
        <w:t xml:space="preserve">A1 / A2 / B / C / D </w:t>
      </w:r>
      <w:r>
        <w:t>(par défaut)</w:t>
      </w:r>
      <w:r>
        <w:rPr>
          <w:rStyle w:val="optioncarChar"/>
        </w:rPr>
        <w:t xml:space="preserve"> / E / F</w:t>
      </w:r>
      <w:r>
        <w:t>.</w:t>
      </w:r>
    </w:p>
    <w:p w14:paraId="44317028" w14:textId="77777777" w:rsidR="00DB2B68" w:rsidRDefault="00000000">
      <w:pPr>
        <w:pStyle w:val="pheading"/>
      </w:pPr>
      <w:r>
        <w:t>- Finitions</w:t>
      </w:r>
    </w:p>
    <w:p w14:paraId="37A888D2" w14:textId="77777777" w:rsidR="00DB2B68" w:rsidRDefault="00000000">
      <w:pPr>
        <w:jc w:val="both"/>
      </w:pPr>
      <w:r>
        <w:t>Les éléments industrialisés de charpente ont une durabilité</w:t>
      </w:r>
    </w:p>
    <w:p w14:paraId="5795B568" w14:textId="77777777" w:rsidR="00DB2B68" w:rsidRDefault="00000000">
      <w:pPr>
        <w:pStyle w:val="Author-eListParagraph"/>
        <w:numPr>
          <w:ilvl w:val="0"/>
          <w:numId w:val="968"/>
        </w:numPr>
        <w:jc w:val="both"/>
      </w:pPr>
      <w:r>
        <w:t>naturelle conformément à la [NBN EN 350]</w:t>
      </w:r>
    </w:p>
    <w:p w14:paraId="255D3DCF" w14:textId="77777777" w:rsidR="00DB2B68" w:rsidRDefault="00000000">
      <w:pPr>
        <w:pStyle w:val="Author-eListParagraph"/>
        <w:numPr>
          <w:ilvl w:val="0"/>
          <w:numId w:val="968"/>
        </w:numPr>
        <w:jc w:val="both"/>
      </w:pPr>
      <w:r>
        <w:t>ou conférée par un traitement</w:t>
      </w:r>
    </w:p>
    <w:p w14:paraId="0518FEAD" w14:textId="77777777" w:rsidR="00DB2B68" w:rsidRDefault="00000000">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2AEEE979" w14:textId="77777777" w:rsidR="00DB2B68" w:rsidRDefault="00000000">
      <w:pPr>
        <w:jc w:val="both"/>
      </w:pPr>
      <w:r>
        <w:t>Les bois de structure ayant subi un traitement de protection par imprégnation, trempage, aspersion ou badigeonnage (produit et procédé) satisfont à la fois:</w:t>
      </w:r>
    </w:p>
    <w:p w14:paraId="2A7F8A65" w14:textId="77777777" w:rsidR="00DB2B68" w:rsidRDefault="00000000">
      <w:pPr>
        <w:pStyle w:val="Author-eListParagraph"/>
        <w:numPr>
          <w:ilvl w:val="0"/>
          <w:numId w:val="969"/>
        </w:numPr>
        <w:jc w:val="both"/>
      </w:pPr>
      <w:r>
        <w:t>à la [NBN EN 15228] et</w:t>
      </w:r>
    </w:p>
    <w:p w14:paraId="79ED0A72" w14:textId="77777777" w:rsidR="00DB2B68" w:rsidRDefault="00000000">
      <w:pPr>
        <w:pStyle w:val="Author-eListParagraph"/>
        <w:numPr>
          <w:ilvl w:val="0"/>
          <w:numId w:val="969"/>
        </w:numPr>
        <w:jc w:val="both"/>
      </w:pPr>
      <w:r>
        <w:t>à la [NBN EN 351 série] ou à la [STS 04 série].</w:t>
      </w:r>
    </w:p>
    <w:p w14:paraId="15B6BBBE" w14:textId="77777777" w:rsidR="00DB2B68" w:rsidRDefault="00000000">
      <w:pPr>
        <w:jc w:val="both"/>
      </w:pPr>
      <w:r>
        <w:t>Les autres types de traitement répondent à des exigences similaires.</w:t>
      </w:r>
    </w:p>
    <w:p w14:paraId="1E4D131C" w14:textId="77777777" w:rsidR="00DB2B68" w:rsidRDefault="00000000">
      <w:pPr>
        <w:jc w:val="both"/>
      </w:pPr>
      <w:r>
        <w:t>Le bois traité est accompagné d’un certificat émanant d’un organisme accrédité ou notifié.</w:t>
      </w:r>
    </w:p>
    <w:p w14:paraId="0DE2DDA9" w14:textId="77777777" w:rsidR="00DB2B68" w:rsidRDefault="00000000">
      <w:pPr>
        <w:jc w:val="both"/>
      </w:pPr>
      <w:r>
        <w:t xml:space="preserve">Les bois massifs non visibles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 xml:space="preserve">quatre </w:t>
      </w:r>
      <w:r>
        <w:t>(par défaut)</w:t>
      </w:r>
      <w:r>
        <w:rPr>
          <w:rStyle w:val="optioncarChar"/>
        </w:rPr>
        <w:t xml:space="preserve"> / ***</w:t>
      </w:r>
      <w:r>
        <w:t xml:space="preserve"> faces.</w:t>
      </w:r>
    </w:p>
    <w:p w14:paraId="535E509E" w14:textId="77777777" w:rsidR="00DB2B68" w:rsidRDefault="00000000">
      <w:pPr>
        <w:jc w:val="both"/>
      </w:pPr>
      <w:r>
        <w:t xml:space="preserve">Les coupes et entailles présentent une face nette et lisse. Tous les bois destinés à rester apparents après pose reçoivent un vernis type </w:t>
      </w:r>
      <w:r>
        <w:rPr>
          <w:rStyle w:val="optioncarChar"/>
        </w:rPr>
        <w:t>***</w:t>
      </w:r>
      <w:r>
        <w:t xml:space="preserve"> – Teinte </w:t>
      </w:r>
      <w:r>
        <w:rPr>
          <w:rStyle w:val="optioncarChar"/>
        </w:rPr>
        <w:t>***</w:t>
      </w:r>
      <w:r>
        <w:t xml:space="preserve">. Application en deux couches en usine avant pose sur chantier à raison de </w:t>
      </w:r>
      <w:r>
        <w:rPr>
          <w:rStyle w:val="optioncarChar"/>
        </w:rPr>
        <w:t>15 </w:t>
      </w:r>
      <w:r>
        <w:t>(par défaut)</w:t>
      </w:r>
      <w:r>
        <w:rPr>
          <w:rStyle w:val="optioncarChar"/>
        </w:rPr>
        <w:t xml:space="preserve"> / ***</w:t>
      </w:r>
      <w:r>
        <w:t xml:space="preserve"> m²/l. Inclus toutes retouches après pose et réglage des éléments sur chantier.</w:t>
      </w:r>
    </w:p>
    <w:p w14:paraId="6447AE63" w14:textId="77777777" w:rsidR="00DB2B68" w:rsidRDefault="00000000">
      <w:pPr>
        <w:pStyle w:val="pheading"/>
      </w:pPr>
      <w:r>
        <w:t>EXÉCUTION / MISE EN ŒUVRE</w:t>
      </w:r>
    </w:p>
    <w:p w14:paraId="2CFA08DF" w14:textId="77777777" w:rsidR="00DB2B68" w:rsidRDefault="00000000">
      <w:pPr>
        <w:pStyle w:val="pheading"/>
      </w:pPr>
      <w:r>
        <w:t>- Prescriptions générales</w:t>
      </w:r>
    </w:p>
    <w:p w14:paraId="0F3324FD" w14:textId="77777777" w:rsidR="00DB2B68" w:rsidRDefault="00000000">
      <w:pPr>
        <w:jc w:val="both"/>
      </w:pPr>
      <w:r>
        <w:t>Le fabricant (l’entrepreneur) soumet pour approbation les plans de fabrication, d’exécution et de montage au maître d’ouvrage et à l’auteur de projet avant d’en entamer la réalisation.</w:t>
      </w:r>
    </w:p>
    <w:p w14:paraId="381EA672" w14:textId="77777777" w:rsidR="00DB2B68" w:rsidRDefault="00000000">
      <w:pPr>
        <w:jc w:val="both"/>
      </w:pPr>
      <w:r>
        <w:t>Tous les ouvrages prévus et décrits sont exécutés suivant les alignements, formes et dimensions prévus sur les plans.</w:t>
      </w:r>
    </w:p>
    <w:p w14:paraId="0AE44786" w14:textId="77777777" w:rsidR="00DB2B68" w:rsidRDefault="00000000">
      <w:pPr>
        <w:jc w:val="both"/>
      </w:pPr>
      <w:r>
        <w:t>La mise en œuvre est conforme à la [STS 31].</w:t>
      </w:r>
    </w:p>
    <w:p w14:paraId="72988691" w14:textId="77777777" w:rsidR="00DB2B68" w:rsidRDefault="00000000">
      <w:pPr>
        <w:jc w:val="both"/>
      </w:pPr>
      <w:r>
        <w:t>La tolérance de placement entre trois éléments de charpente successifs, chacun disposé à une distance a de l’autre, ne dépasse pas la plus grande des deux valeurs suivantes : entre-distance des éléments a/200 ou 5mm. La différence de niveau entre éléments sur une distance D est contenue dans une fourchette ± 10+D/2 mm où D représente la distance en m. L’écart maximal par rapport à la verticale pour l’ensemble de l’ouvrage est de 5mm par m de hauteur, et ne dépasse pas 50 mm. Si le bois se trouve en contact direct avec les maçonneries, béton et mortier, il reçoit un traitement de préservation.</w:t>
      </w:r>
    </w:p>
    <w:p w14:paraId="606F4CEE" w14:textId="77777777" w:rsidR="00DB2B68" w:rsidRDefault="00000000">
      <w:pPr>
        <w:jc w:val="both"/>
      </w:pPr>
      <w:r>
        <w:t>La charpente est ancrée au gros œuvre de façon à éviter tout déplacement causé par les actions auxquelles elle est soumise. Le dimensionnement des ancrages est déterminé par calcul ou par essais. Les organes d’ancrage sont composés de</w:t>
      </w:r>
      <w:r>
        <w:rPr>
          <w:rStyle w:val="optioncarChar"/>
        </w:rPr>
        <w:t xml:space="preserve"> sabots </w:t>
      </w:r>
      <w:r>
        <w:t>(par défaut)</w:t>
      </w:r>
      <w:r>
        <w:rPr>
          <w:rStyle w:val="optioncarChar"/>
        </w:rPr>
        <w:t> / équerres / feuillard / boulons / vis ou tire-fond / ***</w:t>
      </w:r>
      <w:r>
        <w:t>. Si la liaison au gros œuvre s’effectue par l’intermédiaire d’une sablière, celle-ci est fixée au moins tous les 1,5 m.</w:t>
      </w:r>
    </w:p>
    <w:p w14:paraId="28E721CD" w14:textId="77777777" w:rsidR="00DB2B68" w:rsidRDefault="00000000">
      <w:pPr>
        <w:jc w:val="both"/>
      </w:pPr>
      <w:r>
        <w:lastRenderedPageBreak/>
        <w:t>Les pièces de chaînage sont alignées, mais un décalage égal à l’épaisseur de leur section est permis, afin de faciliter leur clouage.</w:t>
      </w:r>
    </w:p>
    <w:p w14:paraId="4608790F" w14:textId="77777777" w:rsidR="00DB2B68" w:rsidRDefault="00000000">
      <w:pPr>
        <w:jc w:val="both"/>
      </w:pPr>
      <w:r>
        <w:t>Lors du montage et jusqu’à la pose du contreventement ou des aisseliers, un contreventement provisoire est installé.</w:t>
      </w:r>
    </w:p>
    <w:p w14:paraId="4E190825" w14:textId="77777777" w:rsidR="00DB2B68" w:rsidRDefault="00000000">
      <w:pPr>
        <w:jc w:val="both"/>
      </w:pPr>
      <w:r>
        <w:t>Certains lots relevant des autres éléments de toiture sont réalisés avant, pendant ou après le montage de la charpente. L’entreprise en tient compte dans la planification de ses travaux et prend les mesures nécessaires au bon déroulement de ceux-ci en concertation avec l’auteur de projet, le coordinateur de chantier et le maitre d’ouvrage. L'entreprise se reporte aux prescriptions communes pour connaître les tâches incombant à son lot. L'entreprise doit, notamment, installer, gérer et démonter la fourniture pendant la durée du chantier de ses propres installations de chantier et ragréer les parements dans lesquels les ancrages sont positionnés</w:t>
      </w:r>
    </w:p>
    <w:p w14:paraId="315A4929" w14:textId="77777777" w:rsidR="00DB2B68" w:rsidRDefault="00000000">
      <w:pPr>
        <w:pStyle w:val="pheading"/>
      </w:pPr>
      <w:r>
        <w:t>DOCUMENTS DE RÉFÉRENCE COMPLÉMENTAIRES</w:t>
      </w:r>
    </w:p>
    <w:p w14:paraId="6FB57BF0" w14:textId="77777777" w:rsidR="00DB2B68" w:rsidRDefault="00000000">
      <w:pPr>
        <w:pStyle w:val="pheading"/>
      </w:pPr>
      <w:r>
        <w:t>- Matériau</w:t>
      </w:r>
    </w:p>
    <w:p w14:paraId="2060A26C" w14:textId="77777777" w:rsidR="00DB2B68" w:rsidRDefault="00000000">
      <w:r>
        <w:t>[NBN EN 14250, Structure en bois - Exigences de produit relatives aux éléments de structures préfabriqués utilisant des connecteurs à plaque métallique emboutie]</w:t>
      </w:r>
    </w:p>
    <w:p w14:paraId="3643C301" w14:textId="77777777" w:rsidR="00DB2B68" w:rsidRDefault="00000000">
      <w:r>
        <w:t>[NBN EN 14081-1:2016+A1, Structures en bois - Bois de structure à section rectangulaire classé pour sa résistance - Partie 1 : Exigences générales]</w:t>
      </w:r>
    </w:p>
    <w:p w14:paraId="609CD8ED" w14:textId="77777777" w:rsidR="00DB2B68" w:rsidRDefault="00000000">
      <w:r>
        <w:t>[STS 04 série, Bois et panneaux à base de bois]</w:t>
      </w:r>
    </w:p>
    <w:p w14:paraId="7C3AD496" w14:textId="77777777" w:rsidR="00DB2B68" w:rsidRDefault="00000000">
      <w:r>
        <w:t>[STS 31, Charpenterie]</w:t>
      </w:r>
    </w:p>
    <w:p w14:paraId="77FA6C2F" w14:textId="77777777" w:rsidR="00DB2B68" w:rsidRDefault="00000000">
      <w:r>
        <w:t>[NBN EN 1991 série, Eurocode 1 : Actions sur les structures]</w:t>
      </w:r>
    </w:p>
    <w:p w14:paraId="5D154447" w14:textId="77777777" w:rsidR="00DB2B68" w:rsidRDefault="00000000">
      <w:r>
        <w:t>[NBN EN 1995 série, Eurocode 5: Conception et calcul des structures en bois]</w:t>
      </w:r>
    </w:p>
    <w:p w14:paraId="13E945B7" w14:textId="77777777" w:rsidR="00DB2B68" w:rsidRDefault="00000000">
      <w:r>
        <w:t>[NBN EN 13501-1, Classement au feu des produits et éléments de construction - Partie 1: Classement à partir des données d'essais de réaction au feu]</w:t>
      </w:r>
    </w:p>
    <w:p w14:paraId="772442DC" w14:textId="77777777" w:rsidR="00DB2B68" w:rsidRDefault="00000000">
      <w:r>
        <w:t>[NBN EN 335, Durabilité du bois et des matériaux à base de bois - Classes d'emploi: définitions, application au bois massif et aux matériaux à base de bois]</w:t>
      </w:r>
    </w:p>
    <w:p w14:paraId="4525F9C4" w14:textId="77777777" w:rsidR="00DB2B68" w:rsidRDefault="00000000">
      <w:r>
        <w:t>[STS 23, Structures en bois]</w:t>
      </w:r>
    </w:p>
    <w:p w14:paraId="5CEBBA2E" w14:textId="77777777" w:rsidR="00DB2B68" w:rsidRDefault="00000000">
      <w:r>
        <w:t>[NF DTU 31.3, Travaux de bâtiment - Charpentes en bois assemblées par connecteurs métalliques ou goussets - Partie 1-1 : Cahier des clauses techniques types (CCT) - Partie 1-2 : critères généraux de choix des matériaux (CGM) - Partie 2 : cahier des clauses administratives spéciales types (CCS) - Partie 3 : règles de conception]</w:t>
      </w:r>
    </w:p>
    <w:p w14:paraId="5A5258B7" w14:textId="77777777" w:rsidR="00DB2B68" w:rsidRDefault="00000000">
      <w:pPr>
        <w:pStyle w:val="pheading"/>
      </w:pPr>
      <w:r>
        <w:t>MESURAGE</w:t>
      </w:r>
    </w:p>
    <w:p w14:paraId="242254CD" w14:textId="77777777" w:rsidR="00DB2B68" w:rsidRDefault="00000000">
      <w:pPr>
        <w:pStyle w:val="pheading"/>
      </w:pPr>
      <w:r>
        <w:t>- unité de mesure:</w:t>
      </w:r>
    </w:p>
    <w:p w14:paraId="541BFAAA" w14:textId="77777777" w:rsidR="00DB2B68" w:rsidRDefault="00000000">
      <w:r>
        <w:rPr>
          <w:rStyle w:val="optioncarChar"/>
        </w:rPr>
        <w:t xml:space="preserve">m³ </w:t>
      </w:r>
      <w:r>
        <w:t xml:space="preserve">(par défaut) </w:t>
      </w:r>
      <w:r>
        <w:rPr>
          <w:rStyle w:val="optioncarChar"/>
        </w:rPr>
        <w:t>/ pc</w:t>
      </w:r>
    </w:p>
    <w:p w14:paraId="506C1C74" w14:textId="77777777" w:rsidR="00DB2B68" w:rsidRDefault="00000000">
      <w:r>
        <w:rPr>
          <w:b/>
          <w:i/>
        </w:rPr>
        <w:t>(Soit par défaut)</w:t>
      </w:r>
    </w:p>
    <w:p w14:paraId="5E8C8008" w14:textId="77777777" w:rsidR="00DB2B68" w:rsidRDefault="00000000">
      <w:r>
        <w:rPr>
          <w:rStyle w:val="soitChar"/>
        </w:rPr>
        <w:t>1. m³</w:t>
      </w:r>
    </w:p>
    <w:p w14:paraId="4F189057" w14:textId="77777777" w:rsidR="00DB2B68" w:rsidRDefault="00000000">
      <w:r>
        <w:rPr>
          <w:b/>
          <w:i/>
        </w:rPr>
        <w:t>(Soit)</w:t>
      </w:r>
    </w:p>
    <w:p w14:paraId="7C6646D9" w14:textId="77777777" w:rsidR="00DB2B68" w:rsidRDefault="00000000">
      <w:r>
        <w:rPr>
          <w:rStyle w:val="soitChar"/>
        </w:rPr>
        <w:t>2. pc</w:t>
      </w:r>
    </w:p>
    <w:p w14:paraId="7AB8EC96" w14:textId="77777777" w:rsidR="00DB2B68" w:rsidRDefault="00000000">
      <w:pPr>
        <w:pStyle w:val="pheading"/>
      </w:pPr>
      <w:r>
        <w:t>- code de mesurage:</w:t>
      </w:r>
    </w:p>
    <w:p w14:paraId="23593D24" w14:textId="77777777" w:rsidR="00DB2B68" w:rsidRDefault="00000000">
      <w:r>
        <w:rPr>
          <w:rStyle w:val="optioncarChar"/>
        </w:rPr>
        <w:t xml:space="preserve">Volume net </w:t>
      </w:r>
      <w:r>
        <w:t>(par défaut)</w:t>
      </w:r>
      <w:r>
        <w:rPr>
          <w:rStyle w:val="optioncarChar"/>
        </w:rPr>
        <w:t xml:space="preserve"> / Quantité nette</w:t>
      </w:r>
    </w:p>
    <w:p w14:paraId="318B514A" w14:textId="77777777" w:rsidR="00DB2B68" w:rsidRDefault="00000000">
      <w:r>
        <w:rPr>
          <w:b/>
          <w:i/>
        </w:rPr>
        <w:t>(Soit par défaut)</w:t>
      </w:r>
    </w:p>
    <w:p w14:paraId="48BA5B19" w14:textId="77777777" w:rsidR="00DB2B68" w:rsidRDefault="00000000">
      <w:r>
        <w:rPr>
          <w:rStyle w:val="soitChar"/>
          <w:u w:val="single"/>
        </w:rPr>
        <w:t>1. Volume net</w:t>
      </w:r>
      <w:r>
        <w:rPr>
          <w:rStyle w:val="soitChar"/>
        </w:rPr>
        <w:t xml:space="preserve"> de bois à mettre en œuvre.</w:t>
      </w:r>
    </w:p>
    <w:p w14:paraId="3045B868" w14:textId="77777777" w:rsidR="00DB2B68" w:rsidRDefault="00000000">
      <w:r>
        <w:rPr>
          <w:b/>
          <w:i/>
        </w:rPr>
        <w:t>(Soit)</w:t>
      </w:r>
    </w:p>
    <w:p w14:paraId="7DC03DF3" w14:textId="77777777" w:rsidR="00DB2B68" w:rsidRDefault="00000000">
      <w:r>
        <w:rPr>
          <w:rStyle w:val="soitChar"/>
          <w:u w:val="single"/>
        </w:rPr>
        <w:t>2. Quantité nette</w:t>
      </w:r>
      <w:r>
        <w:rPr>
          <w:rStyle w:val="soitChar"/>
        </w:rPr>
        <w:t xml:space="preserve"> détaillée et  ventilée selon le type et les dimensions.</w:t>
      </w:r>
    </w:p>
    <w:p w14:paraId="5315A11E" w14:textId="77777777" w:rsidR="00DB2B68" w:rsidRDefault="00000000">
      <w:pPr>
        <w:pStyle w:val="pheading"/>
      </w:pPr>
      <w:r>
        <w:lastRenderedPageBreak/>
        <w:t>- nature du marché:</w:t>
      </w:r>
    </w:p>
    <w:p w14:paraId="7FD2CFE4" w14:textId="77777777" w:rsidR="00DB2B68" w:rsidRDefault="00000000">
      <w:r>
        <w:t>QF</w:t>
      </w:r>
    </w:p>
    <w:p w14:paraId="557E4F6B" w14:textId="77777777" w:rsidR="00DB2B68" w:rsidRDefault="00000000">
      <w:pPr>
        <w:pStyle w:val="Author-eSectionHeading3Numberless"/>
      </w:pPr>
      <w:bookmarkStart w:id="1696" w:name="_Toc220496678"/>
      <w:r>
        <w:t>24.3 Structures secondaires en bois CCTB 01.11</w:t>
      </w:r>
      <w:bookmarkEnd w:id="1696"/>
    </w:p>
    <w:p w14:paraId="69B9A3CB" w14:textId="77777777" w:rsidR="00DB2B68" w:rsidRDefault="00000000">
      <w:pPr>
        <w:pStyle w:val="pheading"/>
      </w:pPr>
      <w:r>
        <w:t>DESCRIPTION</w:t>
      </w:r>
    </w:p>
    <w:p w14:paraId="11CDA07B" w14:textId="77777777" w:rsidR="00DB2B68" w:rsidRDefault="00000000">
      <w:pPr>
        <w:pStyle w:val="pheading"/>
      </w:pPr>
      <w:r>
        <w:t>- Définition / Comprend</w:t>
      </w:r>
    </w:p>
    <w:p w14:paraId="18923A38" w14:textId="77777777" w:rsidR="00DB2B68" w:rsidRDefault="00000000">
      <w:pPr>
        <w:jc w:val="both"/>
      </w:pPr>
      <w:r>
        <w:t>Le travail comprend notamment :</w:t>
      </w:r>
    </w:p>
    <w:p w14:paraId="3CD03E47" w14:textId="77777777" w:rsidR="00DB2B68" w:rsidRDefault="00000000">
      <w:pPr>
        <w:pStyle w:val="Author-eListParagraph"/>
        <w:numPr>
          <w:ilvl w:val="0"/>
          <w:numId w:val="970"/>
        </w:numPr>
        <w:jc w:val="both"/>
      </w:pPr>
      <w:r>
        <w:t>le relevé sur place des dimensions exactes ;</w:t>
      </w:r>
    </w:p>
    <w:p w14:paraId="1BF1EBA8" w14:textId="77777777" w:rsidR="00DB2B68" w:rsidRDefault="00000000">
      <w:pPr>
        <w:pStyle w:val="Author-eListParagraph"/>
        <w:numPr>
          <w:ilvl w:val="0"/>
          <w:numId w:val="970"/>
        </w:numPr>
        <w:jc w:val="both"/>
      </w:pPr>
      <w:r>
        <w:t>le contrôle et la préparation des supports ;</w:t>
      </w:r>
    </w:p>
    <w:p w14:paraId="2AEA58E9" w14:textId="77777777" w:rsidR="00DB2B68" w:rsidRDefault="00000000">
      <w:pPr>
        <w:pStyle w:val="Author-eListParagraph"/>
        <w:numPr>
          <w:ilvl w:val="0"/>
          <w:numId w:val="970"/>
        </w:numPr>
        <w:jc w:val="both"/>
      </w:pPr>
      <w:r>
        <w:t>la fabrication sur mesure, le transport et la mise en œuvre de tous les éléments y compris tous les moyens de fixation et/ou de pose ;</w:t>
      </w:r>
    </w:p>
    <w:p w14:paraId="7B61A40E" w14:textId="77777777" w:rsidR="00DB2B68" w:rsidRDefault="00000000">
      <w:pPr>
        <w:pStyle w:val="Author-eListParagraph"/>
        <w:numPr>
          <w:ilvl w:val="0"/>
          <w:numId w:val="970"/>
        </w:numPr>
        <w:jc w:val="both"/>
      </w:pPr>
      <w:r>
        <w:t>l'exécution des assemblages et des éventuelles jonctions avec la structure de construction ;</w:t>
      </w:r>
    </w:p>
    <w:p w14:paraId="6BDF9CE0" w14:textId="77777777" w:rsidR="00DB2B68" w:rsidRDefault="00000000">
      <w:pPr>
        <w:pStyle w:val="Author-eListParagraph"/>
        <w:numPr>
          <w:ilvl w:val="0"/>
          <w:numId w:val="970"/>
        </w:numPr>
        <w:jc w:val="both"/>
      </w:pPr>
      <w:r>
        <w:t>la finition des bords, les raccordements avec les finitions de mur et de sol attenantes ;</w:t>
      </w:r>
    </w:p>
    <w:p w14:paraId="7C923DE0" w14:textId="77777777" w:rsidR="00DB2B68" w:rsidRDefault="00000000">
      <w:pPr>
        <w:pStyle w:val="Author-eListParagraph"/>
        <w:numPr>
          <w:ilvl w:val="0"/>
          <w:numId w:val="970"/>
        </w:numPr>
        <w:jc w:val="both"/>
      </w:pPr>
      <w:r>
        <w:t>le nettoyage des éléments, y compris l'enlèvement des taches de mortier ou de colle ;</w:t>
      </w:r>
    </w:p>
    <w:p w14:paraId="115CA800" w14:textId="77777777" w:rsidR="00DB2B68" w:rsidRDefault="00000000">
      <w:pPr>
        <w:pStyle w:val="Author-eListParagraph"/>
        <w:numPr>
          <w:ilvl w:val="0"/>
          <w:numId w:val="970"/>
        </w:numPr>
        <w:jc w:val="both"/>
      </w:pPr>
      <w:r>
        <w:t>les mesures nécessaires, après la mise en œuvre, en vue de la protection des éléments contre toute dégradation pendant toute la durée des travaux ;</w:t>
      </w:r>
    </w:p>
    <w:p w14:paraId="2AA5B196" w14:textId="77777777" w:rsidR="00DB2B68" w:rsidRDefault="00000000">
      <w:pPr>
        <w:pStyle w:val="Author-eListParagraph"/>
        <w:numPr>
          <w:ilvl w:val="0"/>
          <w:numId w:val="970"/>
        </w:numPr>
        <w:jc w:val="both"/>
      </w:pPr>
      <w:r>
        <w:t>l’enlèvement et l’évacuation des protections pour la réception provisoire.</w:t>
      </w:r>
    </w:p>
    <w:p w14:paraId="319A9A10" w14:textId="77777777" w:rsidR="00DB2B68" w:rsidRDefault="00000000">
      <w:pPr>
        <w:pStyle w:val="pheading"/>
      </w:pPr>
      <w:r>
        <w:t>DOCUMENTS DE RÉFÉRENCE</w:t>
      </w:r>
    </w:p>
    <w:p w14:paraId="13153819" w14:textId="77777777" w:rsidR="00DB2B68" w:rsidRDefault="00000000">
      <w:pPr>
        <w:pStyle w:val="pheading"/>
      </w:pPr>
      <w:r>
        <w:t>- Matériau</w:t>
      </w:r>
    </w:p>
    <w:p w14:paraId="3015DA38" w14:textId="77777777" w:rsidR="00DB2B68" w:rsidRDefault="00000000">
      <w:r>
        <w:t>[NBN EN 460, Durabilité du bois et des matériaux dérivés du bois - Durabilité naturelle du bois massif - Guide d'exigences de durabilité du bois pour son utilisation selon les classes de risque]</w:t>
      </w:r>
    </w:p>
    <w:p w14:paraId="51616697" w14:textId="77777777" w:rsidR="00DB2B68" w:rsidRDefault="00000000">
      <w:r>
        <w:t>[NBN EN 314-2, Contreplaqué - Qualité du collage - Partie 2: Exigences] </w:t>
      </w:r>
    </w:p>
    <w:p w14:paraId="20A99D4D" w14:textId="77777777" w:rsidR="00DB2B68" w:rsidRDefault="00000000">
      <w:r>
        <w:t>[NBN EN 335, Durabilité du bois et des matériaux à base de bois - Classes d'emploi: définitions, application au bois massif et aux matériaux à base de bois]</w:t>
      </w:r>
    </w:p>
    <w:p w14:paraId="260462C6" w14:textId="77777777" w:rsidR="00DB2B68" w:rsidRDefault="00000000">
      <w:r>
        <w:t>[NBN EN 300, Panneaux de lamelles minces, longues et orientées (OSB) - Définitions, classification et exigences]</w:t>
      </w:r>
    </w:p>
    <w:p w14:paraId="114E0A91" w14:textId="77777777" w:rsidR="00DB2B68" w:rsidRDefault="00000000">
      <w:r>
        <w:t>[NBN EN ISO 12460-5, Panneaux à base de bois - Détermination du dégagement de formaldéhyde - Partie 5 : Méthode d'extraction (dite méthode au perforateur) (ISO 12460-5:2015)]</w:t>
      </w:r>
    </w:p>
    <w:p w14:paraId="79F81ED6" w14:textId="77777777" w:rsidR="00DB2B68" w:rsidRDefault="00000000">
      <w:pPr>
        <w:pStyle w:val="Author-eSectionHeading4Numberless"/>
      </w:pPr>
      <w:bookmarkStart w:id="1697" w:name="_Toc220496679"/>
      <w:r>
        <w:t>24.31 Escaliers en bois CCTB 01.07</w:t>
      </w:r>
      <w:bookmarkEnd w:id="1697"/>
    </w:p>
    <w:p w14:paraId="3EC3E07E" w14:textId="77777777" w:rsidR="00DB2B68" w:rsidRDefault="00000000">
      <w:pPr>
        <w:pStyle w:val="Author-eSectionHeading5Numberless"/>
      </w:pPr>
      <w:bookmarkStart w:id="1698" w:name="624"/>
      <w:bookmarkStart w:id="1699" w:name="_Toc220496680"/>
      <w:bookmarkEnd w:id="1698"/>
      <w:r>
        <w:t>24.31.1 Escaliers monolithiques en bois CCTB 01.07</w:t>
      </w:r>
      <w:bookmarkEnd w:id="1699"/>
    </w:p>
    <w:p w14:paraId="7B881936" w14:textId="77777777" w:rsidR="00DB2B68" w:rsidRDefault="00000000">
      <w:pPr>
        <w:pStyle w:val="Author-eSectionHeading6Numberless"/>
      </w:pPr>
      <w:bookmarkStart w:id="1700" w:name="_Toc220496681"/>
      <w:r>
        <w:t>24.31.1a Escaliers monolithiques en bois CCTB 01.11</w:t>
      </w:r>
      <w:bookmarkEnd w:id="1700"/>
    </w:p>
    <w:p w14:paraId="2F3C2BD9" w14:textId="77777777" w:rsidR="00DB2B68" w:rsidRDefault="00000000">
      <w:pPr>
        <w:pStyle w:val="pheading"/>
      </w:pPr>
      <w:bookmarkStart w:id="1701" w:name="1386"/>
      <w:bookmarkEnd w:id="1701"/>
      <w:r>
        <w:t>DESCRIPTION</w:t>
      </w:r>
    </w:p>
    <w:p w14:paraId="326AE7CB" w14:textId="77777777" w:rsidR="00DB2B68" w:rsidRDefault="00000000">
      <w:pPr>
        <w:pStyle w:val="pheading"/>
      </w:pPr>
      <w:r>
        <w:t>- Définition / Comprend</w:t>
      </w:r>
    </w:p>
    <w:p w14:paraId="4A4B26EB" w14:textId="77777777" w:rsidR="00DB2B68" w:rsidRDefault="00000000">
      <w:pPr>
        <w:jc w:val="both"/>
      </w:pPr>
      <w:r>
        <w:t>Cet article " escaliers en bois " décrit la fourniture et la pose de tous les éléments d'escalier complètement en bois ainsi que tout élément nécessaire pour obtenir un ensemble fini. Conformément aux dispositions générales et/ou spécifiques du cahier spécial des charges, les prix unitaires compris dans ces postes doivent toujours comprendre, soit selon la ventilation dans le métré récapitulatif, soit dans leur totalité :</w:t>
      </w:r>
    </w:p>
    <w:p w14:paraId="4020ECD9" w14:textId="77777777" w:rsidR="00DB2B68" w:rsidRDefault="00000000">
      <w:pPr>
        <w:pStyle w:val="Author-eListParagraph"/>
        <w:numPr>
          <w:ilvl w:val="0"/>
          <w:numId w:val="971"/>
        </w:numPr>
      </w:pPr>
      <w:r>
        <w:t>le relevé sur place des dimensions exactes,</w:t>
      </w:r>
    </w:p>
    <w:p w14:paraId="4A2B14C0" w14:textId="77777777" w:rsidR="00DB2B68" w:rsidRDefault="00000000">
      <w:pPr>
        <w:pStyle w:val="Author-eListParagraph"/>
        <w:numPr>
          <w:ilvl w:val="0"/>
          <w:numId w:val="971"/>
        </w:numPr>
      </w:pPr>
      <w:r>
        <w:t>le contrôle et la préparation des supports,</w:t>
      </w:r>
    </w:p>
    <w:p w14:paraId="71C7F45F" w14:textId="77777777" w:rsidR="00DB2B68" w:rsidRDefault="00000000">
      <w:pPr>
        <w:pStyle w:val="Author-eListParagraph"/>
        <w:numPr>
          <w:ilvl w:val="0"/>
          <w:numId w:val="971"/>
        </w:numPr>
      </w:pPr>
      <w:r>
        <w:t>la fabrication sur mesure, le transport et la mise en œuvre des éléments d'escalier, des marches, …, y compris tous les moyens de fixation et/ou de pose,</w:t>
      </w:r>
    </w:p>
    <w:p w14:paraId="1EF6CC90" w14:textId="77777777" w:rsidR="00DB2B68" w:rsidRDefault="00000000">
      <w:pPr>
        <w:pStyle w:val="Author-eListParagraph"/>
        <w:numPr>
          <w:ilvl w:val="0"/>
          <w:numId w:val="971"/>
        </w:numPr>
      </w:pPr>
      <w:r>
        <w:t>l'exécution des assemblages et des éventuelles jonctions avec la structure de construction,</w:t>
      </w:r>
    </w:p>
    <w:p w14:paraId="7D126116" w14:textId="77777777" w:rsidR="00DB2B68" w:rsidRDefault="00000000">
      <w:pPr>
        <w:pStyle w:val="Author-eListParagraph"/>
        <w:numPr>
          <w:ilvl w:val="0"/>
          <w:numId w:val="971"/>
        </w:numPr>
      </w:pPr>
      <w:r>
        <w:t>le nettoyage des marches, y compris l'enlèvement des taches de mortier ou de colle,</w:t>
      </w:r>
    </w:p>
    <w:p w14:paraId="452392B6" w14:textId="77777777" w:rsidR="00DB2B68" w:rsidRDefault="00000000">
      <w:pPr>
        <w:pStyle w:val="Author-eListParagraph"/>
        <w:numPr>
          <w:ilvl w:val="0"/>
          <w:numId w:val="971"/>
        </w:numPr>
      </w:pPr>
      <w:r>
        <w:lastRenderedPageBreak/>
        <w:t>les mesures nécessaires, après la mise en œuvre, en vue de la protection de l'escalier contre toute dégradation et autre pendant toute la durée des travaux.</w:t>
      </w:r>
      <w:r>
        <w:br/>
      </w:r>
    </w:p>
    <w:p w14:paraId="00C02491" w14:textId="77777777" w:rsidR="00DB2B68" w:rsidRDefault="00000000">
      <w:pPr>
        <w:jc w:val="both"/>
      </w:pPr>
      <w:r>
        <w:rPr>
          <w:b/>
        </w:rPr>
        <w:t>Remarques importantes</w:t>
      </w:r>
    </w:p>
    <w:p w14:paraId="664776FC" w14:textId="77777777" w:rsidR="00DB2B68" w:rsidRDefault="00000000">
      <w:pPr>
        <w:jc w:val="both"/>
      </w:pPr>
      <w:r>
        <w:t>En l’absence de marquage CE harmonisé, tous les escaliers ne sont pas soumis à un marquage obligatoire.</w:t>
      </w:r>
    </w:p>
    <w:p w14:paraId="5EAC971C" w14:textId="77777777" w:rsidR="00DB2B68" w:rsidRDefault="00000000">
      <w:pPr>
        <w:jc w:val="both"/>
      </w:pPr>
      <w:r>
        <w:t>La terminologie relative aux éléments constitutifs des escaliers, aux types d’escaliers et autres descriptions, est conforme à la [NIT 198] et à la [NBN EN 14076].</w:t>
      </w:r>
    </w:p>
    <w:p w14:paraId="1E2DF241" w14:textId="77777777" w:rsidR="00DB2B68" w:rsidRDefault="00000000">
      <w:pPr>
        <w:pStyle w:val="pheading"/>
      </w:pPr>
      <w:r>
        <w:t>- Localisation</w:t>
      </w:r>
    </w:p>
    <w:p w14:paraId="63B35C5C" w14:textId="77777777" w:rsidR="00DB2B68" w:rsidRDefault="00000000">
      <w:r>
        <w:t xml:space="preserve">La localisation des escaliers en bois est la suivante : </w:t>
      </w:r>
      <w:r>
        <w:rPr>
          <w:rStyle w:val="optioncarChar"/>
        </w:rPr>
        <w:t>***</w:t>
      </w:r>
      <w:r>
        <w:t>.</w:t>
      </w:r>
    </w:p>
    <w:p w14:paraId="72EB30D3" w14:textId="77777777" w:rsidR="00DB2B68" w:rsidRDefault="00000000">
      <w:r>
        <w:t>Voir plans et métrés détaillés</w:t>
      </w:r>
    </w:p>
    <w:p w14:paraId="43BD1513" w14:textId="77777777" w:rsidR="00DB2B68" w:rsidRDefault="00000000">
      <w:pPr>
        <w:pStyle w:val="pheading"/>
      </w:pPr>
      <w:r>
        <w:t>MATÉRIAUX</w:t>
      </w:r>
    </w:p>
    <w:p w14:paraId="47DE4EA5" w14:textId="77777777" w:rsidR="00DB2B68" w:rsidRDefault="00000000">
      <w:pPr>
        <w:pStyle w:val="pheading"/>
      </w:pPr>
      <w:r>
        <w:t>- Caractéristiques générales</w:t>
      </w:r>
    </w:p>
    <w:p w14:paraId="367BFA7E" w14:textId="77777777" w:rsidR="00DB2B68" w:rsidRDefault="00000000">
      <w:pPr>
        <w:jc w:val="both"/>
      </w:pPr>
      <w:r>
        <w:rPr>
          <w:b/>
          <w:u w:val="single"/>
        </w:rPr>
        <w:t>Forme et type:</w:t>
      </w:r>
    </w:p>
    <w:p w14:paraId="4D45727D" w14:textId="77777777" w:rsidR="00DB2B68" w:rsidRDefault="00000000">
      <w:pPr>
        <w:jc w:val="both"/>
      </w:pPr>
      <w:r>
        <w:t xml:space="preserve">La Hauteur de marche H est </w:t>
      </w:r>
      <w:r>
        <w:rPr>
          <w:rStyle w:val="optioncarChar"/>
        </w:rPr>
        <w:t>calculée en fonction de la hauteur totale</w:t>
      </w:r>
      <w:r>
        <w:t xml:space="preserve"> (par défaut)</w:t>
      </w:r>
      <w:r>
        <w:rPr>
          <w:rStyle w:val="optioncarChar"/>
        </w:rPr>
        <w:t xml:space="preserve"> / 180mm / *** mm</w:t>
      </w:r>
    </w:p>
    <w:p w14:paraId="7C460085" w14:textId="77777777" w:rsidR="00DB2B68" w:rsidRDefault="00000000">
      <w:pPr>
        <w:jc w:val="both"/>
      </w:pPr>
      <w:r>
        <w:t>Toutes les marches présentent la même hauteur. Les éventuelles dérogations doivent être absorbées dans la hauteur de la première marche et ne peuvent comporter une différence de plus de 6 mm. L'écart de hauteur entre deux marches successives ne peut pas être supérieur à 2 mm.</w:t>
      </w:r>
    </w:p>
    <w:p w14:paraId="248EE9BA" w14:textId="77777777" w:rsidR="00DB2B68" w:rsidRDefault="00000000">
      <w:pPr>
        <w:jc w:val="both"/>
      </w:pPr>
      <w:r>
        <w:t xml:space="preserve">Le giron (distance horizontale entre deux contremarches consécutives ou entre le nez de deux marches successives) G est </w:t>
      </w:r>
      <w:r>
        <w:rPr>
          <w:rStyle w:val="optioncarChar"/>
        </w:rPr>
        <w:t>calculé en fonction de l’étendue de l’escalier</w:t>
      </w:r>
      <w:r>
        <w:t xml:space="preserve"> (par défaut) </w:t>
      </w:r>
      <w:r>
        <w:rPr>
          <w:rStyle w:val="optioncarChar"/>
        </w:rPr>
        <w:t>/ *** mm</w:t>
      </w:r>
      <w:r>
        <w:t>.</w:t>
      </w:r>
    </w:p>
    <w:p w14:paraId="19A93E58" w14:textId="77777777" w:rsidR="00DB2B68" w:rsidRDefault="00000000">
      <w:pPr>
        <w:jc w:val="both"/>
      </w:pPr>
      <w:r>
        <w:t xml:space="preserve">Le module du pas (M = 2 H + G) est </w:t>
      </w:r>
      <w:r>
        <w:rPr>
          <w:rStyle w:val="optioncarChar"/>
        </w:rPr>
        <w:t>supérieur à 570 mm et inférieur à 630 mm</w:t>
      </w:r>
      <w:r>
        <w:t xml:space="preserve"> (par défaut) </w:t>
      </w:r>
      <w:r>
        <w:rPr>
          <w:rStyle w:val="optioncarChar"/>
        </w:rPr>
        <w:t>/ ***</w:t>
      </w:r>
      <w:r>
        <w:t>.</w:t>
      </w:r>
    </w:p>
    <w:p w14:paraId="0CC96B2C" w14:textId="77777777" w:rsidR="00DB2B68" w:rsidRDefault="00000000">
      <w:pPr>
        <w:jc w:val="both"/>
      </w:pPr>
      <w:r>
        <w:t>Le balancement des escaliers se fait selon les méthodes admissibles (le balancement harmonieux ou le balancement à l’infini, ...).</w:t>
      </w:r>
    </w:p>
    <w:p w14:paraId="2621291D" w14:textId="77777777" w:rsidR="00DB2B68" w:rsidRDefault="00000000">
      <w:pPr>
        <w:jc w:val="both"/>
      </w:pPr>
      <w:r>
        <w:t xml:space="preserve">Le nez est de maximum </w:t>
      </w:r>
      <w:r>
        <w:rPr>
          <w:rStyle w:val="optioncarChar"/>
        </w:rPr>
        <w:t>50 mm</w:t>
      </w:r>
      <w:r>
        <w:t xml:space="preserve"> (par défaut) </w:t>
      </w:r>
      <w:r>
        <w:rPr>
          <w:rStyle w:val="optioncarChar"/>
        </w:rPr>
        <w:t>/ 25 mm (PMR) / ***</w:t>
      </w:r>
      <w:r>
        <w:t>.</w:t>
      </w:r>
    </w:p>
    <w:p w14:paraId="613304DD" w14:textId="77777777" w:rsidR="00DB2B68" w:rsidRDefault="00000000">
      <w:pPr>
        <w:jc w:val="both"/>
      </w:pPr>
      <w:r>
        <w:t xml:space="preserve">Le marquage des nez de marches est </w:t>
      </w:r>
      <w:r>
        <w:rPr>
          <w:rStyle w:val="optioncarChar"/>
        </w:rPr>
        <w:t>non requis</w:t>
      </w:r>
      <w:r>
        <w:t xml:space="preserve"> (par défaut) </w:t>
      </w:r>
      <w:r>
        <w:rPr>
          <w:rStyle w:val="optioncarChar"/>
        </w:rPr>
        <w:t>/ muni d’indicateurs visuels conformément à l' [NBN ISO 21542]  / ***</w:t>
      </w:r>
      <w:r>
        <w:t>.</w:t>
      </w:r>
    </w:p>
    <w:p w14:paraId="7D4E8F7D" w14:textId="77777777" w:rsidR="00DB2B68" w:rsidRDefault="00000000">
      <w:pPr>
        <w:jc w:val="both"/>
      </w:pPr>
      <w:r>
        <w:t xml:space="preserve">L’échappée (hauteur libre au niveau du nez de la marche) est supérieure à </w:t>
      </w:r>
      <w:r>
        <w:rPr>
          <w:rStyle w:val="optioncarChar"/>
        </w:rPr>
        <w:t>2,00 m</w:t>
      </w:r>
      <w:r>
        <w:t xml:space="preserve"> (par défaut) </w:t>
      </w:r>
      <w:r>
        <w:rPr>
          <w:rStyle w:val="optioncarChar"/>
        </w:rPr>
        <w:t>/ ***</w:t>
      </w:r>
      <w:r>
        <w:t>.</w:t>
      </w:r>
    </w:p>
    <w:p w14:paraId="49E39C41" w14:textId="77777777" w:rsidR="00DB2B68" w:rsidRDefault="00000000">
      <w:pPr>
        <w:jc w:val="both"/>
      </w:pPr>
      <w:r>
        <w:t>Les escaliers sont de type</w:t>
      </w:r>
      <w:r>
        <w:rPr>
          <w:rStyle w:val="optioncarChar"/>
        </w:rPr>
        <w:t xml:space="preserve"> droit / à quartier tournant à gauche / à quartier tournant à droite / à demi tournant / à vis / hélicoïdaux / ***</w:t>
      </w:r>
      <w:r>
        <w:t>.</w:t>
      </w:r>
    </w:p>
    <w:p w14:paraId="3BEE4E8B" w14:textId="77777777" w:rsidR="00DB2B68" w:rsidRDefault="00000000">
      <w:pPr>
        <w:jc w:val="both"/>
      </w:pPr>
      <w:r>
        <w:t xml:space="preserve">La structure des escaliers est de type à </w:t>
      </w:r>
      <w:r>
        <w:rPr>
          <w:rStyle w:val="optioncarChar"/>
        </w:rPr>
        <w:t>limons entaillés (escalier à la française) / à crémaillère (escalier à l’anglaise) / à limon de jour à crémaillère / suspendu / à noyau / ***</w:t>
      </w:r>
      <w:r>
        <w:t>.</w:t>
      </w:r>
    </w:p>
    <w:p w14:paraId="4047F7AC" w14:textId="77777777" w:rsidR="00DB2B68" w:rsidRDefault="00000000">
      <w:pPr>
        <w:jc w:val="both"/>
      </w:pPr>
      <w:r>
        <w:t xml:space="preserve">Les escaliers sont à contremarches </w:t>
      </w:r>
      <w:r>
        <w:rPr>
          <w:rStyle w:val="optioncarChar"/>
        </w:rPr>
        <w:t>verticales</w:t>
      </w:r>
      <w:r>
        <w:t xml:space="preserve"> (par défaut) </w:t>
      </w:r>
      <w:r>
        <w:rPr>
          <w:rStyle w:val="optioncarChar"/>
        </w:rPr>
        <w:t>/ obliques / libres (sans contremarche) / ***</w:t>
      </w:r>
      <w:r>
        <w:t>.</w:t>
      </w:r>
    </w:p>
    <w:p w14:paraId="23F55EC6" w14:textId="77777777" w:rsidR="00DB2B68" w:rsidRDefault="00000000">
      <w:pPr>
        <w:jc w:val="both"/>
      </w:pPr>
      <w:r>
        <w:t xml:space="preserve">Les escaliers disposent de </w:t>
      </w:r>
      <w:r>
        <w:rPr>
          <w:rStyle w:val="optioncarChar"/>
        </w:rPr>
        <w:t>***</w:t>
      </w:r>
      <w:r>
        <w:t xml:space="preserve"> paliers intermédiaires;</w:t>
      </w:r>
    </w:p>
    <w:p w14:paraId="17418AE1" w14:textId="77777777" w:rsidR="00DB2B68" w:rsidRDefault="00000000">
      <w:pPr>
        <w:jc w:val="both"/>
      </w:pPr>
      <w:r>
        <w:t xml:space="preserve">Nombre de marches par volée est de maximum </w:t>
      </w:r>
      <w:r>
        <w:rPr>
          <w:rStyle w:val="optioncarChar"/>
        </w:rPr>
        <w:t>20</w:t>
      </w:r>
      <w:r>
        <w:t xml:space="preserve"> (par défaut) </w:t>
      </w:r>
      <w:r>
        <w:rPr>
          <w:rStyle w:val="optioncarChar"/>
        </w:rPr>
        <w:t>/ ***</w:t>
      </w:r>
      <w:r>
        <w:t>.</w:t>
      </w:r>
    </w:p>
    <w:p w14:paraId="48798F03" w14:textId="77777777" w:rsidR="00DB2B68" w:rsidRDefault="00000000">
      <w:pPr>
        <w:jc w:val="both"/>
      </w:pPr>
      <w:r>
        <w:t>La description des rampes est reprise dans l’article 24.11.1a 24.32.1a Garde-corps et rampes en bois assemblés sur place</w:t>
      </w:r>
    </w:p>
    <w:p w14:paraId="7A70458C" w14:textId="77777777" w:rsidR="00DB2B68" w:rsidRDefault="00000000">
      <w:pPr>
        <w:jc w:val="both"/>
      </w:pPr>
      <w:r>
        <w:t xml:space="preserve">Les escaliers sont composés de matériaux </w:t>
      </w:r>
      <w:r>
        <w:rPr>
          <w:rStyle w:val="optioncarChar"/>
        </w:rPr>
        <w:t>bois massif / lamellé-collé / composition mixte</w:t>
      </w:r>
      <w:r>
        <w:t>.</w:t>
      </w:r>
    </w:p>
    <w:p w14:paraId="4028F56F" w14:textId="77777777" w:rsidR="00DB2B68" w:rsidRDefault="00000000">
      <w:pPr>
        <w:jc w:val="both"/>
      </w:pPr>
      <w:r>
        <w:t xml:space="preserve">Les escaliers sont en bois : </w:t>
      </w:r>
      <w:r>
        <w:rPr>
          <w:rStyle w:val="optioncarChar"/>
        </w:rPr>
        <w:t>Hêtre (Fagus sylvatica) / Chêne d’Europe (Quercus robur et Q. Petraea) / Frêne (Fraxinus excelsior) / Douglas (Pseudotsuga menziesii) / ***</w:t>
      </w:r>
      <w:r>
        <w:t xml:space="preserve"> dont les caractéristiques de masse volumique sont reprises dans la [NIT 198]. Le choix des matériaux et l’utilisation est conforme à l’utilisation des locaux.</w:t>
      </w:r>
    </w:p>
    <w:p w14:paraId="7E5C7A9D" w14:textId="77777777" w:rsidR="00DB2B68" w:rsidRDefault="00000000">
      <w:pPr>
        <w:jc w:val="both"/>
      </w:pPr>
      <w:r>
        <w:t xml:space="preserve">La largeur utile de l’escalier mesurée perpendiculairement à la ligne de foulée sur le plan entre les éléments tels que présenté dans la [NBN EN 14076] est déterminée en fonction de l’utilisation et de l’accessibilité : </w:t>
      </w:r>
      <w:r>
        <w:rPr>
          <w:rStyle w:val="optioncarChar"/>
        </w:rPr>
        <w:t>80 cm</w:t>
      </w:r>
      <w:r>
        <w:t xml:space="preserve"> (par défaut)</w:t>
      </w:r>
      <w:r>
        <w:rPr>
          <w:rStyle w:val="optioncarChar"/>
        </w:rPr>
        <w:t xml:space="preserve"> / selon les exigences des services d’incendie / ***</w:t>
      </w:r>
      <w:r>
        <w:t>. </w:t>
      </w:r>
    </w:p>
    <w:p w14:paraId="3CD8CA54" w14:textId="77777777" w:rsidR="00DB2B68" w:rsidRDefault="00000000">
      <w:pPr>
        <w:jc w:val="both"/>
      </w:pPr>
      <w:r>
        <w:rPr>
          <w:b/>
          <w:u w:val="single"/>
        </w:rPr>
        <w:lastRenderedPageBreak/>
        <w:t>Caractéristiques de résistance mécanique:</w:t>
      </w:r>
    </w:p>
    <w:p w14:paraId="63D6C491" w14:textId="77777777" w:rsidR="00DB2B68" w:rsidRDefault="00000000">
      <w:pPr>
        <w:jc w:val="both"/>
      </w:pPr>
      <w:r>
        <w:t xml:space="preserve">Les actions envisagées doivent être déterminées selon la [NBN EN 1991 série] pour un usage </w:t>
      </w:r>
      <w:r>
        <w:rPr>
          <w:rStyle w:val="optioncarChar"/>
        </w:rPr>
        <w:t>privé (3kN/m² et 2kN ponctuel)</w:t>
      </w:r>
      <w:r>
        <w:t xml:space="preserve"> (par défaut)</w:t>
      </w:r>
      <w:r>
        <w:rPr>
          <w:rStyle w:val="optioncarChar"/>
        </w:rPr>
        <w:t xml:space="preserve"> / public (4kN/m² et 4kN ponctuel) / tribune (5kN/m² et 4kN ponctuel)</w:t>
      </w:r>
    </w:p>
    <w:p w14:paraId="413FD687" w14:textId="77777777" w:rsidR="00DB2B68" w:rsidRDefault="00000000">
      <w:pPr>
        <w:jc w:val="both"/>
      </w:pPr>
      <w:r>
        <w:t>La résistance des garde-corps est décrite dans l’article 24.11.1a 24.32.1a Garde-corps et rampes en bois assemblés sur place</w:t>
      </w:r>
    </w:p>
    <w:p w14:paraId="4915C971" w14:textId="77777777" w:rsidR="00DB2B68" w:rsidRDefault="00000000">
      <w:pPr>
        <w:jc w:val="both"/>
      </w:pPr>
      <w:r>
        <w:t>L’escalier fait l’objet d’un dimensionnement conforme à la [NBN EN 16481] ou tout autre méthode s’appuyant sur la [NBN EN 1995 série].</w:t>
      </w:r>
    </w:p>
    <w:p w14:paraId="63DDCA11" w14:textId="77777777" w:rsidR="00DB2B68" w:rsidRDefault="00000000">
      <w:pPr>
        <w:jc w:val="both"/>
      </w:pPr>
      <w:r>
        <w:t>L'ensemble de l'escalier et ses composants comme les marches et les garde-corps, doivent être conçus de façon à limiter la flèche et les vibrations dans les conditions de service. </w:t>
      </w:r>
    </w:p>
    <w:p w14:paraId="4E9DDC18" w14:textId="77777777" w:rsidR="00DB2B68" w:rsidRDefault="00000000">
      <w:pPr>
        <w:jc w:val="both"/>
      </w:pPr>
      <w:r>
        <w:t>Le dimensionnement peut également être issu de résultats d’essais notamment conformes à la [CEN/TS 15680].</w:t>
      </w:r>
    </w:p>
    <w:p w14:paraId="19117078" w14:textId="77777777" w:rsidR="00DB2B68" w:rsidRDefault="00000000">
      <w:pPr>
        <w:jc w:val="both"/>
      </w:pPr>
      <w:r>
        <w:t>Sous charges de service, la flèche des escaliers sur le côté libre du mur est donnée par rapport à la ligne médiane de la volée. La flèche ne doit pas dépasser la valeur donnée</w:t>
      </w:r>
      <w:r>
        <w:rPr>
          <w:rStyle w:val="optioncarChar"/>
        </w:rPr>
        <w:t xml:space="preserve"> l/350</w:t>
      </w:r>
      <w:r>
        <w:t xml:space="preserve"> (par défaut) </w:t>
      </w:r>
      <w:r>
        <w:rPr>
          <w:rStyle w:val="optioncarChar"/>
        </w:rPr>
        <w:t>/ ***</w:t>
      </w:r>
    </w:p>
    <w:p w14:paraId="4D1466B6" w14:textId="77777777" w:rsidR="00DB2B68" w:rsidRDefault="00000000">
      <w:pPr>
        <w:jc w:val="both"/>
      </w:pPr>
      <w:r>
        <w:t>La flexion due à la charge horizontale ne doit pas être prise en compte pour les escaliers.</w:t>
      </w:r>
    </w:p>
    <w:p w14:paraId="22B53A06" w14:textId="77777777" w:rsidR="00DB2B68" w:rsidRDefault="00000000">
      <w:pPr>
        <w:jc w:val="both"/>
      </w:pPr>
      <w:r>
        <w:t>En termes de vibration, la fréquence naturelle (propre) déterminée conformément à la méthode [CEN/TS 15680] ou relative à une oscillation pour escaliers exposés à un poids mort et à une charge unique supplémentaire de 1 kN agissant sur le point le plus défavorable est supérieure à</w:t>
      </w:r>
      <w:r>
        <w:rPr>
          <w:rStyle w:val="optioncarChar"/>
        </w:rPr>
        <w:t xml:space="preserve"> 5,0 Hz</w:t>
      </w:r>
      <w:r>
        <w:t xml:space="preserve"> (par défaut) </w:t>
      </w:r>
      <w:r>
        <w:rPr>
          <w:rStyle w:val="optioncarChar"/>
        </w:rPr>
        <w:t>/ 7Hz (bâtiments publics) / ***</w:t>
      </w:r>
      <w:r>
        <w:t>. </w:t>
      </w:r>
    </w:p>
    <w:p w14:paraId="1D7FACDB" w14:textId="77777777" w:rsidR="00DB2B68" w:rsidRDefault="00000000">
      <w:pPr>
        <w:jc w:val="both"/>
      </w:pPr>
      <w:r>
        <w:rPr>
          <w:b/>
          <w:u w:val="single"/>
        </w:rPr>
        <w:t>Caractéristiques d’utilisation :</w:t>
      </w:r>
    </w:p>
    <w:p w14:paraId="46171BA2" w14:textId="77777777" w:rsidR="00DB2B68" w:rsidRDefault="00000000">
      <w:pPr>
        <w:jc w:val="both"/>
      </w:pPr>
      <w:r>
        <w:t>Le matériau utilisé dans les escaliers est conforme à l’utilisation prévue pour un trafic conforme à la [NBN EN 15644]</w:t>
      </w:r>
      <w:r>
        <w:rPr>
          <w:rStyle w:val="optioncarChar"/>
        </w:rPr>
        <w:t> faible</w:t>
      </w:r>
      <w:r>
        <w:t xml:space="preserve"> (par défaut) </w:t>
      </w:r>
      <w:r>
        <w:rPr>
          <w:rStyle w:val="optioncarChar"/>
        </w:rPr>
        <w:t>/modéré / élevé</w:t>
      </w:r>
      <w:r>
        <w:t>:</w:t>
      </w:r>
    </w:p>
    <w:p w14:paraId="7F8BFA07" w14:textId="77777777" w:rsidR="00DB2B68" w:rsidRDefault="00000000">
      <w:pPr>
        <w:jc w:val="both"/>
      </w:pPr>
      <w:r>
        <w:rPr>
          <w:b/>
          <w:i/>
        </w:rPr>
        <w:t>(Soit par défaut)</w:t>
      </w:r>
    </w:p>
    <w:p w14:paraId="3803D920" w14:textId="77777777" w:rsidR="00DB2B68" w:rsidRDefault="00000000">
      <w:pPr>
        <w:jc w:val="both"/>
      </w:pPr>
      <w:r>
        <w:rPr>
          <w:rStyle w:val="soitChar"/>
          <w:u w:val="single"/>
        </w:rPr>
        <w:t>1. faible trafic :</w:t>
      </w:r>
      <w:r>
        <w:rPr>
          <w:rStyle w:val="soitChar"/>
        </w:rPr>
        <w:t xml:space="preserve"> usage habituel : domestique : 1 à 10 personnes utilisant l’escalier dans le bâtiment ;</w:t>
      </w:r>
    </w:p>
    <w:p w14:paraId="06AD80C3" w14:textId="77777777" w:rsidR="00DB2B68" w:rsidRDefault="00000000">
      <w:pPr>
        <w:jc w:val="both"/>
      </w:pPr>
      <w:r>
        <w:rPr>
          <w:b/>
          <w:i/>
        </w:rPr>
        <w:t>(Soit)</w:t>
      </w:r>
    </w:p>
    <w:p w14:paraId="49316E0A" w14:textId="77777777" w:rsidR="00DB2B68" w:rsidRDefault="00000000">
      <w:pPr>
        <w:jc w:val="both"/>
      </w:pPr>
      <w:r>
        <w:rPr>
          <w:rStyle w:val="soitChar"/>
          <w:u w:val="single"/>
        </w:rPr>
        <w:t>2. trafic modéré :</w:t>
      </w:r>
      <w:r>
        <w:rPr>
          <w:rStyle w:val="soitChar"/>
        </w:rPr>
        <w:t xml:space="preserve"> usage habituel : domestique et/ou commercial : 10 à 20 personnes ;</w:t>
      </w:r>
    </w:p>
    <w:p w14:paraId="08574E20" w14:textId="77777777" w:rsidR="00DB2B68" w:rsidRDefault="00000000">
      <w:pPr>
        <w:jc w:val="both"/>
      </w:pPr>
      <w:r>
        <w:rPr>
          <w:b/>
          <w:i/>
        </w:rPr>
        <w:t>(Soit)</w:t>
      </w:r>
    </w:p>
    <w:p w14:paraId="185CE8F6" w14:textId="77777777" w:rsidR="00DB2B68" w:rsidRDefault="00000000">
      <w:pPr>
        <w:jc w:val="both"/>
      </w:pPr>
      <w:r>
        <w:rPr>
          <w:rStyle w:val="soitChar"/>
          <w:u w:val="single"/>
        </w:rPr>
        <w:t>3. trafic élevé :</w:t>
      </w:r>
      <w:r>
        <w:rPr>
          <w:rStyle w:val="soitChar"/>
        </w:rPr>
        <w:t xml:space="preserve"> usage habituel : public et industriel : plus de 20 personnes.</w:t>
      </w:r>
    </w:p>
    <w:p w14:paraId="3F61D5D9" w14:textId="77777777" w:rsidR="00DB2B68" w:rsidRDefault="00000000">
      <w:pPr>
        <w:jc w:val="both"/>
      </w:pPr>
      <w:r>
        <w:t xml:space="preserve">La glissance des marches est caractérisée selon la [CEN/TS 15676]; le coefficient de frottement dynamique </w:t>
      </w:r>
      <w:r>
        <w:rPr>
          <w:rStyle w:val="optioncarChar"/>
        </w:rPr>
        <w:t>USRV &gt;30 (sec)</w:t>
      </w:r>
      <w:r>
        <w:t xml:space="preserve"> (par défaut) </w:t>
      </w:r>
      <w:r>
        <w:rPr>
          <w:rStyle w:val="optioncarChar"/>
        </w:rPr>
        <w:t>/ USRV &gt;2 0 (mouillé) / ***.</w:t>
      </w:r>
    </w:p>
    <w:p w14:paraId="2755AD51" w14:textId="77777777" w:rsidR="00DB2B68" w:rsidRDefault="00000000">
      <w:pPr>
        <w:jc w:val="both"/>
      </w:pPr>
      <w:r>
        <w:t xml:space="preserve">La résistance à l'usure doit être mesurée conformément à la [NBN EN 13696], la résistance est choisie conformément aux classes d’utilisation données dans la [NIT 269]: la classe de résistance des vernis </w:t>
      </w:r>
      <w:r>
        <w:rPr>
          <w:rStyle w:val="optioncarChar"/>
        </w:rPr>
        <w:t>1 / 2 / 3</w:t>
      </w:r>
      <w:r>
        <w:t xml:space="preserve"> (par défaut)</w:t>
      </w:r>
      <w:r>
        <w:rPr>
          <w:rStyle w:val="optioncarChar"/>
        </w:rPr>
        <w:t xml:space="preserve"> / 4 / 5</w:t>
      </w:r>
    </w:p>
    <w:p w14:paraId="1CE6BAD8" w14:textId="77777777" w:rsidR="00DB2B68" w:rsidRDefault="00000000">
      <w:pPr>
        <w:jc w:val="both"/>
      </w:pPr>
      <w:r>
        <w:t>La dureté doit être mesurée conformément à la [NBN EN 1534]: niveau</w:t>
      </w:r>
      <w:r>
        <w:rPr>
          <w:rStyle w:val="optioncarChar"/>
        </w:rPr>
        <w:t xml:space="preserve"> A / B</w:t>
      </w:r>
      <w:r>
        <w:t xml:space="preserve"> (par défaut) </w:t>
      </w:r>
      <w:r>
        <w:rPr>
          <w:rStyle w:val="optioncarChar"/>
        </w:rPr>
        <w:t>/ C / D</w:t>
      </w:r>
      <w:r>
        <w:t>.</w:t>
      </w:r>
    </w:p>
    <w:p w14:paraId="5A9AAFB5" w14:textId="77777777" w:rsidR="00DB2B68" w:rsidRDefault="00000000">
      <w:pPr>
        <w:jc w:val="both"/>
      </w:pPr>
      <w:r>
        <w:rPr>
          <w:b/>
          <w:u w:val="single"/>
        </w:rPr>
        <w:t>Caractéristiques de résistance et réaction au feu:</w:t>
      </w:r>
    </w:p>
    <w:p w14:paraId="7B539847" w14:textId="77777777" w:rsidR="00DB2B68" w:rsidRDefault="00000000">
      <w:pPr>
        <w:jc w:val="both"/>
      </w:pPr>
      <w:r>
        <w:t>Dans le domaine de la sécurité en cas d’incendie des bâtiments nouveaux, l’ [AR 1994-07-07], et ses modifications, est d’application et fixe les exigences minimales à respecter en matière de prévention contre l’incendie et l’explosion. Cet AR comporte des exigences consacrées aux escaliers, cages d’escaliers, paliers et sas. Les exigences minimales en matière d’escaliers reliant plusieurs compartiments, et donc encloisonnés (cages d’escaliers, p. ex.), sont résumées au tableau ci-dessous. Les exigences varient selon la hauteur du bâtiment et s’appliquent à tous les bâtiments, à l’exception des bâtiments constitués de deux étages maximum et d’une surface totale inférieure ou égale à 100 m² et des habitations unifamiliales.</w:t>
      </w:r>
    </w:p>
    <w:p w14:paraId="5105E0B7" w14:textId="77777777" w:rsidR="00DB2B68" w:rsidRDefault="00000000">
      <w:pPr>
        <w:jc w:val="both"/>
      </w:pPr>
      <w:r>
        <w:t>Tableau:  Aperçu des prescriptions de l’[AR 1994-07-07] en matière d’escaliers reliant plusieurs compartiments</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DB2B68" w14:paraId="521609EC" w14:textId="77777777">
        <w:tc>
          <w:tcPr>
            <w:tcW w:w="2250" w:type="dxa"/>
            <w:noWrap/>
          </w:tcPr>
          <w:p w14:paraId="698AAF4F" w14:textId="77777777" w:rsidR="00DB2B68" w:rsidRDefault="00000000">
            <w:r>
              <w:rPr>
                <w:i/>
              </w:rPr>
              <w:t>Prescriptions</w:t>
            </w:r>
          </w:p>
        </w:tc>
        <w:tc>
          <w:tcPr>
            <w:tcW w:w="2250" w:type="dxa"/>
            <w:noWrap/>
          </w:tcPr>
          <w:p w14:paraId="087459F2" w14:textId="77777777" w:rsidR="00DB2B68" w:rsidRDefault="00000000">
            <w:r>
              <w:rPr>
                <w:i/>
              </w:rPr>
              <w:t xml:space="preserve">Bâtiments bas            (H </w:t>
            </w:r>
            <w:r>
              <w:rPr>
                <w:i/>
              </w:rPr>
              <w:lastRenderedPageBreak/>
              <w:t>&lt; 10 m)</w:t>
            </w:r>
          </w:p>
        </w:tc>
        <w:tc>
          <w:tcPr>
            <w:tcW w:w="2250" w:type="dxa"/>
            <w:noWrap/>
          </w:tcPr>
          <w:p w14:paraId="72AB5022" w14:textId="77777777" w:rsidR="00DB2B68" w:rsidRDefault="00000000">
            <w:r>
              <w:rPr>
                <w:i/>
              </w:rPr>
              <w:lastRenderedPageBreak/>
              <w:t xml:space="preserve">Bâtiments moyens    (10 </w:t>
            </w:r>
            <w:r>
              <w:rPr>
                <w:i/>
              </w:rPr>
              <w:lastRenderedPageBreak/>
              <w:t>m ≤ H ≤ 25 m)</w:t>
            </w:r>
          </w:p>
        </w:tc>
        <w:tc>
          <w:tcPr>
            <w:tcW w:w="2250" w:type="dxa"/>
            <w:noWrap/>
          </w:tcPr>
          <w:p w14:paraId="312E2389" w14:textId="77777777" w:rsidR="00DB2B68" w:rsidRDefault="00000000">
            <w:r>
              <w:rPr>
                <w:i/>
              </w:rPr>
              <w:lastRenderedPageBreak/>
              <w:t xml:space="preserve">Bâtiments </w:t>
            </w:r>
            <w:r>
              <w:rPr>
                <w:i/>
              </w:rPr>
              <w:lastRenderedPageBreak/>
              <w:t>élevés        (H &gt; 25 m)</w:t>
            </w:r>
          </w:p>
        </w:tc>
      </w:tr>
      <w:tr w:rsidR="00DB2B68" w14:paraId="45FC2EE8" w14:textId="77777777">
        <w:tc>
          <w:tcPr>
            <w:tcW w:w="2250" w:type="dxa"/>
            <w:noWrap/>
          </w:tcPr>
          <w:p w14:paraId="328783B1" w14:textId="77777777" w:rsidR="00DB2B68" w:rsidRDefault="00000000">
            <w:r>
              <w:t>Largeur utile des volées d’escalier, paliers et sas </w:t>
            </w:r>
          </w:p>
        </w:tc>
        <w:tc>
          <w:tcPr>
            <w:tcW w:w="6750" w:type="dxa"/>
            <w:gridSpan w:val="3"/>
            <w:noWrap/>
          </w:tcPr>
          <w:p w14:paraId="13D3F8CB" w14:textId="77777777" w:rsidR="00DB2B68" w:rsidRDefault="00000000">
            <w:r>
              <w:t>Au moins égale à 80 cm (atteint au moins la largeur utile exigée, calculée selon l’annexe 1 de l’AR)</w:t>
            </w:r>
          </w:p>
        </w:tc>
      </w:tr>
      <w:tr w:rsidR="00DB2B68" w14:paraId="0123115C" w14:textId="77777777">
        <w:tc>
          <w:tcPr>
            <w:tcW w:w="2250" w:type="dxa"/>
            <w:noWrap/>
          </w:tcPr>
          <w:p w14:paraId="76A045BB" w14:textId="77777777" w:rsidR="00DB2B68" w:rsidRDefault="00000000">
            <w:r>
              <w:t>Pente</w:t>
            </w:r>
          </w:p>
        </w:tc>
        <w:tc>
          <w:tcPr>
            <w:tcW w:w="6750" w:type="dxa"/>
            <w:gridSpan w:val="3"/>
            <w:noWrap/>
          </w:tcPr>
          <w:p w14:paraId="7DA013C3" w14:textId="77777777" w:rsidR="00DB2B68" w:rsidRDefault="00000000">
            <w:r>
              <w:t>Pas plus de 75%, càd un angle d’inclinaison maximum de 37°</w:t>
            </w:r>
          </w:p>
        </w:tc>
      </w:tr>
      <w:tr w:rsidR="00DB2B68" w14:paraId="21CF816E" w14:textId="77777777">
        <w:tc>
          <w:tcPr>
            <w:tcW w:w="2250" w:type="dxa"/>
            <w:noWrap/>
          </w:tcPr>
          <w:p w14:paraId="395DB117" w14:textId="77777777" w:rsidR="00DB2B68" w:rsidRDefault="00000000">
            <w:r>
              <w:t>Giron</w:t>
            </w:r>
          </w:p>
        </w:tc>
        <w:tc>
          <w:tcPr>
            <w:tcW w:w="6750" w:type="dxa"/>
            <w:gridSpan w:val="3"/>
            <w:noWrap/>
          </w:tcPr>
          <w:p w14:paraId="5A5FA1D0" w14:textId="77777777" w:rsidR="00DB2B68" w:rsidRDefault="00000000">
            <w:r>
              <w:t>Au moins 20 cm </w:t>
            </w:r>
          </w:p>
        </w:tc>
      </w:tr>
      <w:tr w:rsidR="00DB2B68" w14:paraId="2A0BEC94" w14:textId="77777777">
        <w:tc>
          <w:tcPr>
            <w:tcW w:w="2250" w:type="dxa"/>
            <w:noWrap/>
          </w:tcPr>
          <w:p w14:paraId="30A51CC6" w14:textId="77777777" w:rsidR="00DB2B68" w:rsidRDefault="00000000">
            <w:r>
              <w:t>Hauteur de marche</w:t>
            </w:r>
          </w:p>
        </w:tc>
        <w:tc>
          <w:tcPr>
            <w:tcW w:w="2250" w:type="dxa"/>
            <w:noWrap/>
          </w:tcPr>
          <w:p w14:paraId="494D9A2B" w14:textId="77777777" w:rsidR="00DB2B68" w:rsidRDefault="00000000">
            <w:r>
              <w:t>Maximum 18 cm</w:t>
            </w:r>
          </w:p>
        </w:tc>
        <w:tc>
          <w:tcPr>
            <w:tcW w:w="2250" w:type="dxa"/>
            <w:noWrap/>
          </w:tcPr>
          <w:p w14:paraId="41202CFA" w14:textId="77777777" w:rsidR="00DB2B68" w:rsidRDefault="00DB2B68"/>
        </w:tc>
        <w:tc>
          <w:tcPr>
            <w:tcW w:w="2250" w:type="dxa"/>
            <w:noWrap/>
          </w:tcPr>
          <w:p w14:paraId="0A6A45FF" w14:textId="77777777" w:rsidR="00DB2B68" w:rsidRDefault="00DB2B68"/>
        </w:tc>
      </w:tr>
      <w:tr w:rsidR="00DB2B68" w14:paraId="44140701" w14:textId="77777777">
        <w:tc>
          <w:tcPr>
            <w:tcW w:w="2250" w:type="dxa"/>
            <w:noWrap/>
          </w:tcPr>
          <w:p w14:paraId="267FB24C" w14:textId="77777777" w:rsidR="00DB2B68" w:rsidRDefault="00000000">
            <w:r>
              <w:t>Stabilité au feu</w:t>
            </w:r>
          </w:p>
        </w:tc>
        <w:tc>
          <w:tcPr>
            <w:tcW w:w="2250" w:type="dxa"/>
            <w:noWrap/>
          </w:tcPr>
          <w:p w14:paraId="0BE7E0DC" w14:textId="77777777" w:rsidR="00DB2B68" w:rsidRDefault="00000000">
            <w:r>
              <w:t>R 30(*) </w:t>
            </w:r>
          </w:p>
        </w:tc>
        <w:tc>
          <w:tcPr>
            <w:tcW w:w="2250" w:type="dxa"/>
            <w:noWrap/>
          </w:tcPr>
          <w:p w14:paraId="59AA03D4" w14:textId="77777777" w:rsidR="00DB2B68" w:rsidRDefault="00000000">
            <w:r>
              <w:t>R 60</w:t>
            </w:r>
          </w:p>
        </w:tc>
        <w:tc>
          <w:tcPr>
            <w:tcW w:w="2250" w:type="dxa"/>
            <w:noWrap/>
          </w:tcPr>
          <w:p w14:paraId="6A61C6C9" w14:textId="77777777" w:rsidR="00DB2B68" w:rsidRDefault="00000000">
            <w:r>
              <w:t>R 60</w:t>
            </w:r>
          </w:p>
        </w:tc>
      </w:tr>
      <w:tr w:rsidR="00DB2B68" w14:paraId="1A385D8B" w14:textId="77777777">
        <w:tc>
          <w:tcPr>
            <w:tcW w:w="2250" w:type="dxa"/>
            <w:noWrap/>
          </w:tcPr>
          <w:p w14:paraId="4F5D801D" w14:textId="77777777" w:rsidR="00DB2B68" w:rsidRDefault="00000000">
            <w:r>
              <w:t>Contremarches</w:t>
            </w:r>
          </w:p>
        </w:tc>
        <w:tc>
          <w:tcPr>
            <w:tcW w:w="2250" w:type="dxa"/>
            <w:noWrap/>
          </w:tcPr>
          <w:p w14:paraId="5108AEB4" w14:textId="77777777" w:rsidR="00DB2B68" w:rsidRDefault="00000000">
            <w:r>
              <w:t>Pas d’exigences</w:t>
            </w:r>
          </w:p>
        </w:tc>
        <w:tc>
          <w:tcPr>
            <w:tcW w:w="2250" w:type="dxa"/>
            <w:noWrap/>
          </w:tcPr>
          <w:p w14:paraId="552304E2" w14:textId="77777777" w:rsidR="00DB2B68" w:rsidRDefault="00000000">
            <w:r>
              <w:t>Pleines</w:t>
            </w:r>
          </w:p>
        </w:tc>
        <w:tc>
          <w:tcPr>
            <w:tcW w:w="2250" w:type="dxa"/>
            <w:noWrap/>
          </w:tcPr>
          <w:p w14:paraId="3B7F359B" w14:textId="77777777" w:rsidR="00DB2B68" w:rsidRDefault="00000000">
            <w:r>
              <w:t>Pleines</w:t>
            </w:r>
          </w:p>
        </w:tc>
      </w:tr>
      <w:tr w:rsidR="00DB2B68" w14:paraId="148EADA2" w14:textId="77777777">
        <w:tc>
          <w:tcPr>
            <w:tcW w:w="2250" w:type="dxa"/>
            <w:noWrap/>
          </w:tcPr>
          <w:p w14:paraId="7F6955FD" w14:textId="77777777" w:rsidR="00DB2B68" w:rsidRDefault="00DB2B68"/>
          <w:p w14:paraId="0714C978" w14:textId="77777777" w:rsidR="00DB2B68" w:rsidRDefault="00000000">
            <w:r>
              <w:t>Géométries possibles de l’escalier </w:t>
            </w:r>
          </w:p>
        </w:tc>
        <w:tc>
          <w:tcPr>
            <w:tcW w:w="4500" w:type="dxa"/>
            <w:gridSpan w:val="2"/>
            <w:noWrap/>
          </w:tcPr>
          <w:p w14:paraId="4381AC21" w14:textId="77777777" w:rsidR="00DB2B68" w:rsidRDefault="00000000">
            <w:r>
              <w:br/>
            </w:r>
          </w:p>
          <w:p w14:paraId="60B535EB" w14:textId="77777777" w:rsidR="00DB2B68" w:rsidRDefault="00000000">
            <w:pPr>
              <w:pStyle w:val="Author-eListParagraph"/>
              <w:numPr>
                <w:ilvl w:val="0"/>
                <w:numId w:val="972"/>
              </w:numPr>
            </w:pPr>
            <w:r>
              <w:t>Escalier droit</w:t>
            </w:r>
          </w:p>
          <w:p w14:paraId="22E26099" w14:textId="77777777" w:rsidR="00DB2B68" w:rsidRDefault="00000000">
            <w:pPr>
              <w:pStyle w:val="Author-eListParagraph"/>
              <w:numPr>
                <w:ilvl w:val="0"/>
                <w:numId w:val="972"/>
              </w:numPr>
            </w:pPr>
            <w:r>
              <w:t>Les escaliers tournants sont autorisés pour autant que les marches soient balancées et qu’elles possèdent un giron d’au moins 24 cm sur la ligne de foulée</w:t>
            </w:r>
          </w:p>
          <w:p w14:paraId="61A09A75" w14:textId="77777777" w:rsidR="00DB2B68" w:rsidRDefault="00DB2B68"/>
        </w:tc>
        <w:tc>
          <w:tcPr>
            <w:tcW w:w="2250" w:type="dxa"/>
            <w:noWrap/>
          </w:tcPr>
          <w:p w14:paraId="69526247" w14:textId="77777777" w:rsidR="00DB2B68" w:rsidRDefault="00000000">
            <w:r>
              <w:br/>
            </w:r>
          </w:p>
          <w:p w14:paraId="18912D97" w14:textId="77777777" w:rsidR="00DB2B68" w:rsidRDefault="00000000">
            <w:pPr>
              <w:pStyle w:val="Author-eListParagraph"/>
              <w:numPr>
                <w:ilvl w:val="0"/>
                <w:numId w:val="973"/>
              </w:numPr>
            </w:pPr>
            <w:r>
              <w:t>Escalier droit</w:t>
            </w:r>
          </w:p>
        </w:tc>
      </w:tr>
      <w:tr w:rsidR="00DB2B68" w14:paraId="1F3EA4EF" w14:textId="77777777">
        <w:tc>
          <w:tcPr>
            <w:tcW w:w="2250" w:type="dxa"/>
            <w:noWrap/>
          </w:tcPr>
          <w:p w14:paraId="40A7E709" w14:textId="77777777" w:rsidR="00DB2B68" w:rsidRDefault="00DB2B68"/>
          <w:p w14:paraId="04570D2E" w14:textId="77777777" w:rsidR="00DB2B68" w:rsidRDefault="00000000">
            <w:r>
              <w:t>Palier</w:t>
            </w:r>
          </w:p>
        </w:tc>
        <w:tc>
          <w:tcPr>
            <w:tcW w:w="2250" w:type="dxa"/>
            <w:noWrap/>
          </w:tcPr>
          <w:p w14:paraId="1AA14713" w14:textId="77777777" w:rsidR="00DB2B68" w:rsidRDefault="00DB2B68"/>
          <w:p w14:paraId="38306192" w14:textId="77777777" w:rsidR="00DB2B68" w:rsidRDefault="00000000">
            <w:r>
              <w:t>La largeur utile de la volée d’escalier et du palier d’un même compartiment ne peut différer de plus d’une unité de passage (largeur minimale considérée comme nécessaire au passage d’une personne)</w:t>
            </w:r>
          </w:p>
          <w:p w14:paraId="331BE453" w14:textId="77777777" w:rsidR="00DB2B68" w:rsidRDefault="00DB2B68"/>
        </w:tc>
        <w:tc>
          <w:tcPr>
            <w:tcW w:w="4500" w:type="dxa"/>
            <w:gridSpan w:val="2"/>
            <w:noWrap/>
          </w:tcPr>
          <w:p w14:paraId="5013062A" w14:textId="77777777" w:rsidR="00DB2B68" w:rsidRDefault="00DB2B68"/>
          <w:p w14:paraId="04E05413" w14:textId="77777777" w:rsidR="00DB2B68" w:rsidRDefault="00000000">
            <w:pPr>
              <w:jc w:val="both"/>
            </w:pPr>
            <w:r>
              <w:t>– La largeur utile de la volée d’escalier et du palier d’un même compartiment ne peut différer de plus d’une unité de passage (largeur minimale considérée comme nécessaire au passage d’une personne)</w:t>
            </w:r>
          </w:p>
          <w:p w14:paraId="2D061613" w14:textId="77777777" w:rsidR="00DB2B68" w:rsidRDefault="00000000">
            <w:pPr>
              <w:jc w:val="both"/>
            </w:pPr>
            <w:r>
              <w:t>– L’ouverture de la porte ne peut réduire la largeur utile </w:t>
            </w:r>
          </w:p>
          <w:p w14:paraId="5D89A114" w14:textId="77777777" w:rsidR="00DB2B68" w:rsidRDefault="00DB2B68">
            <w:pPr>
              <w:jc w:val="both"/>
            </w:pPr>
          </w:p>
          <w:p w14:paraId="03F575BA" w14:textId="77777777" w:rsidR="00DB2B68" w:rsidRDefault="00DB2B68">
            <w:pPr>
              <w:jc w:val="both"/>
            </w:pPr>
          </w:p>
          <w:p w14:paraId="7AB224E7" w14:textId="77777777" w:rsidR="00DB2B68" w:rsidRDefault="00DB2B68"/>
        </w:tc>
      </w:tr>
    </w:tbl>
    <w:p w14:paraId="414A37C5" w14:textId="77777777" w:rsidR="00DB2B68" w:rsidRDefault="00000000">
      <w:pPr>
        <w:jc w:val="both"/>
      </w:pPr>
      <w:r>
        <w:t>(*) Toutefois, pour les bâtiments bas, aucune stabilité au feu n’est requise pour les escaliers composés uniquement de matériaux de classe A1 ayant une température de fusion &gt; 727°C.</w:t>
      </w:r>
    </w:p>
    <w:p w14:paraId="574A5D54" w14:textId="77777777" w:rsidR="00DB2B68" w:rsidRDefault="00000000">
      <w:pPr>
        <w:jc w:val="both"/>
      </w:pPr>
      <w:r>
        <w:t>Pour la résistance au feu, l'évaluation des caractéristiques R doit être réalisée tel que spécifié dans la norme de classification [NBN EN 13501-2] ou, si cela est pertinent, en utilisant les méthodes d'essai de la [NBN EN 1365-6]. La résistance au feu peut également être évaluée par calcul conformément aux normes Eurocodes structuraux [NBN EN 1995-1-2]. Les classifications adaptées de l'escalier doivent être choisies par le fabricant conformément aux spécifications correspondant à l'utilisation prévue.</w:t>
      </w:r>
    </w:p>
    <w:p w14:paraId="5AEB3468" w14:textId="77777777" w:rsidR="00DB2B68" w:rsidRDefault="00000000">
      <w:pPr>
        <w:jc w:val="both"/>
      </w:pPr>
      <w:r>
        <w:t>Le fabricant doit s’assurer que les composants utilisés dans l’escalier fini doivent rester identiques ou ne changent pas d’une manière susceptible de modifier les valeurs obtenues pour la capacité portante.</w:t>
      </w:r>
    </w:p>
    <w:p w14:paraId="0C467245" w14:textId="77777777" w:rsidR="00DB2B68" w:rsidRDefault="00000000">
      <w:pPr>
        <w:jc w:val="both"/>
      </w:pPr>
      <w:r>
        <w:t>L’évaluation et la classification doivent être réalisées telles que spécifiées dans la [NBN EN 13501-1] (voir l'Annexe D).</w:t>
      </w:r>
    </w:p>
    <w:p w14:paraId="059A778B" w14:textId="77777777" w:rsidR="00DB2B68" w:rsidRDefault="00000000">
      <w:pPr>
        <w:jc w:val="both"/>
      </w:pPr>
      <w:r>
        <w:t>Les exigences de réaction au feu des marches sont définies pour les bâtiments de</w:t>
      </w:r>
    </w:p>
    <w:p w14:paraId="11E8C4FF" w14:textId="77777777" w:rsidR="00DB2B68" w:rsidRDefault="00000000">
      <w:pPr>
        <w:pStyle w:val="Author-eListParagraph"/>
        <w:numPr>
          <w:ilvl w:val="0"/>
          <w:numId w:val="974"/>
        </w:numPr>
      </w:pPr>
      <w:r>
        <w:t>Type 1: occupants non-autonomes(1)</w:t>
      </w:r>
    </w:p>
    <w:p w14:paraId="29DA38A4" w14:textId="77777777" w:rsidR="00DB2B68" w:rsidRDefault="00000000">
      <w:pPr>
        <w:pStyle w:val="Author-eListParagraph"/>
        <w:numPr>
          <w:ilvl w:val="0"/>
          <w:numId w:val="974"/>
        </w:numPr>
      </w:pPr>
      <w:r>
        <w:t>Type 2: occupants autonomes(2) et dormants(3)</w:t>
      </w:r>
    </w:p>
    <w:p w14:paraId="33BBA26D" w14:textId="77777777" w:rsidR="00DB2B68" w:rsidRDefault="00000000">
      <w:pPr>
        <w:pStyle w:val="Author-eListParagraph"/>
        <w:numPr>
          <w:ilvl w:val="0"/>
          <w:numId w:val="974"/>
        </w:numPr>
      </w:pPr>
      <w:r>
        <w:t>Type 3: occupants autonomes(2) et vigilants(4)</w:t>
      </w:r>
      <w:r>
        <w:br/>
      </w:r>
    </w:p>
    <w:p w14:paraId="405307F0" w14:textId="77777777" w:rsidR="00DB2B68" w:rsidRDefault="00000000">
      <w:r>
        <w:t xml:space="preserve">Les escaliers sont utilisés en bâtiment de type </w:t>
      </w:r>
      <w:r>
        <w:rPr>
          <w:rStyle w:val="optioncarChar"/>
        </w:rPr>
        <w:t>1 / 2 / 3</w:t>
      </w:r>
      <w:r>
        <w:t>.</w:t>
      </w:r>
    </w:p>
    <w:p w14:paraId="4C6461F2" w14:textId="77777777" w:rsidR="00DB2B68" w:rsidRDefault="00000000">
      <w:pPr>
        <w:jc w:val="both"/>
      </w:pPr>
      <w:r>
        <w:t xml:space="preserve">Il s’agit d’une application pour </w:t>
      </w:r>
      <w:r>
        <w:rPr>
          <w:rStyle w:val="optioncarChar"/>
        </w:rPr>
        <w:t>bâtiment bas BB (H &lt; 10 m) / Bâtiments moyens BM (10 m ≤ H ≤ 25 m) / Bâtiments élevés BE (H &gt; 25 m)</w:t>
      </w:r>
      <w:r>
        <w:t>.</w:t>
      </w:r>
    </w:p>
    <w:p w14:paraId="420E6000" w14:textId="77777777" w:rsidR="00DB2B68" w:rsidRDefault="00000000">
      <w:pPr>
        <w:jc w:val="both"/>
      </w:pPr>
      <w:r>
        <w:lastRenderedPageBreak/>
        <w:t>Les classifications de réaction au feu des matériaux sont données en fonction du type de bâtiment et de sa hauteur</w:t>
      </w:r>
    </w:p>
    <w:p w14:paraId="3C85A6BC" w14:textId="77777777" w:rsidR="00DB2B68" w:rsidRDefault="00000000">
      <w:pPr>
        <w:jc w:val="both"/>
      </w:pPr>
      <w:r>
        <w:rPr>
          <w:u w:val="single"/>
        </w:rPr>
        <w:t>Sans détection de type surveillance généralisée du bâtiment</w:t>
      </w:r>
    </w:p>
    <w:tbl>
      <w:tblPr>
        <w:tblStyle w:val="Author-eTableGrid"/>
        <w:tblW w:w="0" w:type="auto"/>
        <w:tblLayout w:type="fixed"/>
        <w:tblLook w:val="04A0" w:firstRow="1" w:lastRow="0" w:firstColumn="1" w:lastColumn="0" w:noHBand="0" w:noVBand="1"/>
      </w:tblPr>
      <w:tblGrid>
        <w:gridCol w:w="810"/>
        <w:gridCol w:w="810"/>
        <w:gridCol w:w="810"/>
        <w:gridCol w:w="810"/>
        <w:gridCol w:w="810"/>
        <w:gridCol w:w="810"/>
        <w:gridCol w:w="810"/>
        <w:gridCol w:w="810"/>
        <w:gridCol w:w="810"/>
        <w:gridCol w:w="810"/>
        <w:gridCol w:w="810"/>
      </w:tblGrid>
      <w:tr w:rsidR="00DB2B68" w14:paraId="4B7A8C74" w14:textId="77777777">
        <w:tc>
          <w:tcPr>
            <w:tcW w:w="810" w:type="dxa"/>
            <w:noWrap/>
          </w:tcPr>
          <w:p w14:paraId="6E5A3FC1" w14:textId="77777777" w:rsidR="00DB2B68" w:rsidRDefault="00DB2B68"/>
        </w:tc>
        <w:tc>
          <w:tcPr>
            <w:tcW w:w="810" w:type="dxa"/>
            <w:noWrap/>
          </w:tcPr>
          <w:p w14:paraId="174CB791" w14:textId="77777777" w:rsidR="00DB2B68" w:rsidRDefault="00000000">
            <w:r>
              <w:t>Type 1</w:t>
            </w:r>
          </w:p>
        </w:tc>
        <w:tc>
          <w:tcPr>
            <w:tcW w:w="810" w:type="dxa"/>
            <w:noWrap/>
          </w:tcPr>
          <w:p w14:paraId="752AF13E" w14:textId="77777777" w:rsidR="00DB2B68" w:rsidRDefault="00000000">
            <w:r>
              <w:t>Type 2</w:t>
            </w:r>
          </w:p>
          <w:p w14:paraId="0B75C0E0" w14:textId="77777777" w:rsidR="00DB2B68" w:rsidRDefault="00000000">
            <w:r>
              <w:t>BB</w:t>
            </w:r>
          </w:p>
          <w:p w14:paraId="3F7513D6" w14:textId="77777777" w:rsidR="00DB2B68" w:rsidRDefault="00000000">
            <w:r>
              <w:t>Hor</w:t>
            </w:r>
          </w:p>
        </w:tc>
        <w:tc>
          <w:tcPr>
            <w:tcW w:w="810" w:type="dxa"/>
            <w:noWrap/>
          </w:tcPr>
          <w:p w14:paraId="0986D701" w14:textId="77777777" w:rsidR="00DB2B68" w:rsidRDefault="00000000">
            <w:r>
              <w:t>Type 2</w:t>
            </w:r>
          </w:p>
          <w:p w14:paraId="14F3082C" w14:textId="77777777" w:rsidR="00DB2B68" w:rsidRDefault="00000000">
            <w:r>
              <w:t>BB</w:t>
            </w:r>
          </w:p>
          <w:p w14:paraId="4A8D4C69" w14:textId="77777777" w:rsidR="00DB2B68" w:rsidRDefault="00000000">
            <w:r>
              <w:t>Vert</w:t>
            </w:r>
          </w:p>
        </w:tc>
        <w:tc>
          <w:tcPr>
            <w:tcW w:w="810" w:type="dxa"/>
            <w:noWrap/>
          </w:tcPr>
          <w:p w14:paraId="29B93C7A" w14:textId="77777777" w:rsidR="00DB2B68" w:rsidRDefault="00000000">
            <w:r>
              <w:t>Type 2</w:t>
            </w:r>
          </w:p>
          <w:p w14:paraId="4251D01D" w14:textId="77777777" w:rsidR="00DB2B68" w:rsidRDefault="00000000">
            <w:r>
              <w:t>BM</w:t>
            </w:r>
          </w:p>
        </w:tc>
        <w:tc>
          <w:tcPr>
            <w:tcW w:w="810" w:type="dxa"/>
            <w:noWrap/>
          </w:tcPr>
          <w:p w14:paraId="57A9C06D" w14:textId="77777777" w:rsidR="00DB2B68" w:rsidRDefault="00000000">
            <w:r>
              <w:t>Type 2</w:t>
            </w:r>
          </w:p>
          <w:p w14:paraId="2647F1E9" w14:textId="77777777" w:rsidR="00DB2B68" w:rsidRDefault="00000000">
            <w:r>
              <w:t>BE</w:t>
            </w:r>
          </w:p>
        </w:tc>
        <w:tc>
          <w:tcPr>
            <w:tcW w:w="810" w:type="dxa"/>
            <w:noWrap/>
          </w:tcPr>
          <w:p w14:paraId="31184918" w14:textId="77777777" w:rsidR="00DB2B68" w:rsidRDefault="00000000">
            <w:r>
              <w:t>Type 3</w:t>
            </w:r>
          </w:p>
          <w:p w14:paraId="0BB8E235" w14:textId="77777777" w:rsidR="00DB2B68" w:rsidRDefault="00000000">
            <w:r>
              <w:t>BB</w:t>
            </w:r>
          </w:p>
          <w:p w14:paraId="4ECABF7A" w14:textId="77777777" w:rsidR="00DB2B68" w:rsidRDefault="00000000">
            <w:r>
              <w:t>Hor</w:t>
            </w:r>
          </w:p>
        </w:tc>
        <w:tc>
          <w:tcPr>
            <w:tcW w:w="810" w:type="dxa"/>
            <w:noWrap/>
          </w:tcPr>
          <w:p w14:paraId="53209C50" w14:textId="77777777" w:rsidR="00DB2B68" w:rsidRDefault="00000000">
            <w:r>
              <w:t>Type 3</w:t>
            </w:r>
          </w:p>
          <w:p w14:paraId="25197F9B" w14:textId="77777777" w:rsidR="00DB2B68" w:rsidRDefault="00000000">
            <w:r>
              <w:t>BB</w:t>
            </w:r>
          </w:p>
          <w:p w14:paraId="5E412F47" w14:textId="77777777" w:rsidR="00DB2B68" w:rsidRDefault="00000000">
            <w:r>
              <w:t>Vert</w:t>
            </w:r>
          </w:p>
        </w:tc>
        <w:tc>
          <w:tcPr>
            <w:tcW w:w="810" w:type="dxa"/>
            <w:noWrap/>
          </w:tcPr>
          <w:p w14:paraId="05BFAC0F" w14:textId="77777777" w:rsidR="00DB2B68" w:rsidRDefault="00000000">
            <w:r>
              <w:t>Type 3</w:t>
            </w:r>
          </w:p>
          <w:p w14:paraId="25387931" w14:textId="77777777" w:rsidR="00DB2B68" w:rsidRDefault="00000000">
            <w:r>
              <w:t>BM</w:t>
            </w:r>
          </w:p>
          <w:p w14:paraId="028E1A0E" w14:textId="77777777" w:rsidR="00DB2B68" w:rsidRDefault="00000000">
            <w:r>
              <w:t>Hor</w:t>
            </w:r>
          </w:p>
        </w:tc>
        <w:tc>
          <w:tcPr>
            <w:tcW w:w="810" w:type="dxa"/>
            <w:noWrap/>
          </w:tcPr>
          <w:p w14:paraId="208A48FB" w14:textId="77777777" w:rsidR="00DB2B68" w:rsidRDefault="00000000">
            <w:r>
              <w:t>Type 3</w:t>
            </w:r>
          </w:p>
          <w:p w14:paraId="741E7A02" w14:textId="77777777" w:rsidR="00DB2B68" w:rsidRDefault="00000000">
            <w:r>
              <w:t>BM</w:t>
            </w:r>
          </w:p>
          <w:p w14:paraId="503B91BE" w14:textId="77777777" w:rsidR="00DB2B68" w:rsidRDefault="00000000">
            <w:r>
              <w:t>vert</w:t>
            </w:r>
          </w:p>
        </w:tc>
        <w:tc>
          <w:tcPr>
            <w:tcW w:w="810" w:type="dxa"/>
            <w:noWrap/>
          </w:tcPr>
          <w:p w14:paraId="1852F8F9" w14:textId="77777777" w:rsidR="00DB2B68" w:rsidRDefault="00000000">
            <w:r>
              <w:t>Type 3</w:t>
            </w:r>
          </w:p>
          <w:p w14:paraId="42261EDB" w14:textId="77777777" w:rsidR="00DB2B68" w:rsidRDefault="00000000">
            <w:r>
              <w:t>BE</w:t>
            </w:r>
          </w:p>
        </w:tc>
      </w:tr>
      <w:tr w:rsidR="00DB2B68" w14:paraId="149DC3F4" w14:textId="77777777">
        <w:tc>
          <w:tcPr>
            <w:tcW w:w="810" w:type="dxa"/>
            <w:noWrap/>
          </w:tcPr>
          <w:p w14:paraId="376B1043" w14:textId="77777777" w:rsidR="00DB2B68" w:rsidRDefault="00000000">
            <w:r>
              <w:t>Parois verticales</w:t>
            </w:r>
          </w:p>
        </w:tc>
        <w:tc>
          <w:tcPr>
            <w:tcW w:w="810" w:type="dxa"/>
            <w:noWrap/>
          </w:tcPr>
          <w:p w14:paraId="215BB72E" w14:textId="77777777" w:rsidR="00DB2B68" w:rsidRDefault="00000000">
            <w:r>
              <w:t>A2 s1 d1</w:t>
            </w:r>
          </w:p>
        </w:tc>
        <w:tc>
          <w:tcPr>
            <w:tcW w:w="810" w:type="dxa"/>
            <w:noWrap/>
          </w:tcPr>
          <w:p w14:paraId="568F1535" w14:textId="77777777" w:rsidR="00DB2B68" w:rsidRDefault="00000000">
            <w:r>
              <w:t>C s2 d2</w:t>
            </w:r>
          </w:p>
        </w:tc>
        <w:tc>
          <w:tcPr>
            <w:tcW w:w="810" w:type="dxa"/>
            <w:noWrap/>
          </w:tcPr>
          <w:p w14:paraId="4A2D869E" w14:textId="77777777" w:rsidR="00DB2B68" w:rsidRDefault="00000000">
            <w:r>
              <w:t>B s1 d2</w:t>
            </w:r>
          </w:p>
        </w:tc>
        <w:tc>
          <w:tcPr>
            <w:tcW w:w="810" w:type="dxa"/>
            <w:noWrap/>
          </w:tcPr>
          <w:p w14:paraId="4F92389C" w14:textId="77777777" w:rsidR="00DB2B68" w:rsidRDefault="00000000">
            <w:r>
              <w:t>B s1 d2</w:t>
            </w:r>
          </w:p>
        </w:tc>
        <w:tc>
          <w:tcPr>
            <w:tcW w:w="810" w:type="dxa"/>
            <w:noWrap/>
          </w:tcPr>
          <w:p w14:paraId="37929103" w14:textId="77777777" w:rsidR="00DB2B68" w:rsidRDefault="00000000">
            <w:r>
              <w:t>B s1 d2</w:t>
            </w:r>
          </w:p>
        </w:tc>
        <w:tc>
          <w:tcPr>
            <w:tcW w:w="810" w:type="dxa"/>
            <w:noWrap/>
          </w:tcPr>
          <w:p w14:paraId="0CD1FFDA" w14:textId="77777777" w:rsidR="00DB2B68" w:rsidRDefault="00000000">
            <w:r>
              <w:t>D s3 d2</w:t>
            </w:r>
          </w:p>
        </w:tc>
        <w:tc>
          <w:tcPr>
            <w:tcW w:w="810" w:type="dxa"/>
            <w:noWrap/>
          </w:tcPr>
          <w:p w14:paraId="6F5106EA" w14:textId="77777777" w:rsidR="00DB2B68" w:rsidRDefault="00000000">
            <w:r>
              <w:t>C s3 d2</w:t>
            </w:r>
          </w:p>
        </w:tc>
        <w:tc>
          <w:tcPr>
            <w:tcW w:w="810" w:type="dxa"/>
            <w:noWrap/>
          </w:tcPr>
          <w:p w14:paraId="12832C1B" w14:textId="77777777" w:rsidR="00DB2B68" w:rsidRDefault="00000000">
            <w:r>
              <w:t>C s2 d2</w:t>
            </w:r>
          </w:p>
        </w:tc>
        <w:tc>
          <w:tcPr>
            <w:tcW w:w="810" w:type="dxa"/>
            <w:noWrap/>
          </w:tcPr>
          <w:p w14:paraId="4D3FCD44" w14:textId="77777777" w:rsidR="00DB2B68" w:rsidRDefault="00000000">
            <w:r>
              <w:t>B s2 d2</w:t>
            </w:r>
          </w:p>
        </w:tc>
        <w:tc>
          <w:tcPr>
            <w:tcW w:w="810" w:type="dxa"/>
            <w:noWrap/>
          </w:tcPr>
          <w:p w14:paraId="23B29228" w14:textId="77777777" w:rsidR="00DB2B68" w:rsidRDefault="00000000">
            <w:r>
              <w:t>B s1 d2</w:t>
            </w:r>
          </w:p>
        </w:tc>
      </w:tr>
      <w:tr w:rsidR="00DB2B68" w14:paraId="7631CFF1" w14:textId="77777777">
        <w:tc>
          <w:tcPr>
            <w:tcW w:w="810" w:type="dxa"/>
            <w:noWrap/>
          </w:tcPr>
          <w:p w14:paraId="03731CB2" w14:textId="77777777" w:rsidR="00DB2B68" w:rsidRDefault="00000000">
            <w:r>
              <w:t>Plafonds et faux-plafonds</w:t>
            </w:r>
          </w:p>
        </w:tc>
        <w:tc>
          <w:tcPr>
            <w:tcW w:w="810" w:type="dxa"/>
            <w:noWrap/>
          </w:tcPr>
          <w:p w14:paraId="72207CDA" w14:textId="77777777" w:rsidR="00DB2B68" w:rsidRDefault="00000000">
            <w:r>
              <w:t>A2 s1 d0</w:t>
            </w:r>
          </w:p>
        </w:tc>
        <w:tc>
          <w:tcPr>
            <w:tcW w:w="810" w:type="dxa"/>
            <w:noWrap/>
          </w:tcPr>
          <w:p w14:paraId="6362AD21" w14:textId="77777777" w:rsidR="00DB2B68" w:rsidRDefault="00000000">
            <w:r>
              <w:t>C s2 d0</w:t>
            </w:r>
          </w:p>
        </w:tc>
        <w:tc>
          <w:tcPr>
            <w:tcW w:w="810" w:type="dxa"/>
            <w:noWrap/>
          </w:tcPr>
          <w:p w14:paraId="5B98C798" w14:textId="77777777" w:rsidR="00DB2B68" w:rsidRDefault="00000000">
            <w:r>
              <w:t>B s1 d0</w:t>
            </w:r>
          </w:p>
        </w:tc>
        <w:tc>
          <w:tcPr>
            <w:tcW w:w="810" w:type="dxa"/>
            <w:noWrap/>
          </w:tcPr>
          <w:p w14:paraId="0F2DEEAF" w14:textId="77777777" w:rsidR="00DB2B68" w:rsidRDefault="00000000">
            <w:r>
              <w:t>B s1 d0</w:t>
            </w:r>
          </w:p>
        </w:tc>
        <w:tc>
          <w:tcPr>
            <w:tcW w:w="810" w:type="dxa"/>
            <w:noWrap/>
          </w:tcPr>
          <w:p w14:paraId="702A6898" w14:textId="77777777" w:rsidR="00DB2B68" w:rsidRDefault="00000000">
            <w:r>
              <w:t>B s1 d0</w:t>
            </w:r>
          </w:p>
        </w:tc>
        <w:tc>
          <w:tcPr>
            <w:tcW w:w="810" w:type="dxa"/>
            <w:noWrap/>
          </w:tcPr>
          <w:p w14:paraId="25FB71D4" w14:textId="77777777" w:rsidR="00DB2B68" w:rsidRDefault="00000000">
            <w:r>
              <w:t>D s3 d0</w:t>
            </w:r>
          </w:p>
        </w:tc>
        <w:tc>
          <w:tcPr>
            <w:tcW w:w="810" w:type="dxa"/>
            <w:noWrap/>
          </w:tcPr>
          <w:p w14:paraId="3A4A86FE" w14:textId="77777777" w:rsidR="00DB2B68" w:rsidRDefault="00000000">
            <w:r>
              <w:t>C s3 d0</w:t>
            </w:r>
          </w:p>
        </w:tc>
        <w:tc>
          <w:tcPr>
            <w:tcW w:w="810" w:type="dxa"/>
            <w:noWrap/>
          </w:tcPr>
          <w:p w14:paraId="582981DC" w14:textId="77777777" w:rsidR="00DB2B68" w:rsidRDefault="00000000">
            <w:r>
              <w:t>C s2 d0</w:t>
            </w:r>
          </w:p>
        </w:tc>
        <w:tc>
          <w:tcPr>
            <w:tcW w:w="810" w:type="dxa"/>
            <w:noWrap/>
          </w:tcPr>
          <w:p w14:paraId="4B67A89E" w14:textId="77777777" w:rsidR="00DB2B68" w:rsidRDefault="00000000">
            <w:r>
              <w:t>B s2 d0</w:t>
            </w:r>
          </w:p>
        </w:tc>
        <w:tc>
          <w:tcPr>
            <w:tcW w:w="810" w:type="dxa"/>
            <w:noWrap/>
          </w:tcPr>
          <w:p w14:paraId="62BC8B1D" w14:textId="77777777" w:rsidR="00DB2B68" w:rsidRDefault="00000000">
            <w:r>
              <w:t>B s1 d0</w:t>
            </w:r>
          </w:p>
        </w:tc>
      </w:tr>
      <w:tr w:rsidR="00DB2B68" w14:paraId="1B3D5C23" w14:textId="77777777">
        <w:tc>
          <w:tcPr>
            <w:tcW w:w="810" w:type="dxa"/>
            <w:noWrap/>
          </w:tcPr>
          <w:p w14:paraId="70034CC7" w14:textId="77777777" w:rsidR="00DB2B68" w:rsidRDefault="00000000">
            <w:r>
              <w:t>Sols</w:t>
            </w:r>
          </w:p>
        </w:tc>
        <w:tc>
          <w:tcPr>
            <w:tcW w:w="810" w:type="dxa"/>
            <w:noWrap/>
          </w:tcPr>
          <w:p w14:paraId="49A574CA" w14:textId="77777777" w:rsidR="00DB2B68" w:rsidRDefault="00000000">
            <w:r>
              <w:t>A2FLs1</w:t>
            </w:r>
          </w:p>
        </w:tc>
        <w:tc>
          <w:tcPr>
            <w:tcW w:w="810" w:type="dxa"/>
            <w:noWrap/>
          </w:tcPr>
          <w:p w14:paraId="6B7E4505" w14:textId="77777777" w:rsidR="00DB2B68" w:rsidRDefault="00000000">
            <w:r>
              <w:t>CFL s1</w:t>
            </w:r>
          </w:p>
        </w:tc>
        <w:tc>
          <w:tcPr>
            <w:tcW w:w="810" w:type="dxa"/>
            <w:noWrap/>
          </w:tcPr>
          <w:p w14:paraId="662AB046" w14:textId="77777777" w:rsidR="00DB2B68" w:rsidRDefault="00000000">
            <w:r>
              <w:t>BFL s1</w:t>
            </w:r>
          </w:p>
        </w:tc>
        <w:tc>
          <w:tcPr>
            <w:tcW w:w="810" w:type="dxa"/>
            <w:noWrap/>
          </w:tcPr>
          <w:p w14:paraId="0EB95728" w14:textId="77777777" w:rsidR="00DB2B68" w:rsidRDefault="00000000">
            <w:r>
              <w:t>BFL s1</w:t>
            </w:r>
          </w:p>
        </w:tc>
        <w:tc>
          <w:tcPr>
            <w:tcW w:w="810" w:type="dxa"/>
            <w:noWrap/>
          </w:tcPr>
          <w:p w14:paraId="77515851" w14:textId="77777777" w:rsidR="00DB2B68" w:rsidRDefault="00000000">
            <w:r>
              <w:t>BFL s1</w:t>
            </w:r>
          </w:p>
        </w:tc>
        <w:tc>
          <w:tcPr>
            <w:tcW w:w="810" w:type="dxa"/>
            <w:noWrap/>
          </w:tcPr>
          <w:p w14:paraId="06B623E0" w14:textId="77777777" w:rsidR="00DB2B68" w:rsidRDefault="00000000">
            <w:r>
              <w:t>DFL s2</w:t>
            </w:r>
          </w:p>
        </w:tc>
        <w:tc>
          <w:tcPr>
            <w:tcW w:w="810" w:type="dxa"/>
            <w:noWrap/>
          </w:tcPr>
          <w:p w14:paraId="148AF303" w14:textId="77777777" w:rsidR="00DB2B68" w:rsidRDefault="00000000">
            <w:r>
              <w:t>CFL s2</w:t>
            </w:r>
          </w:p>
        </w:tc>
        <w:tc>
          <w:tcPr>
            <w:tcW w:w="810" w:type="dxa"/>
            <w:noWrap/>
          </w:tcPr>
          <w:p w14:paraId="31997B21" w14:textId="77777777" w:rsidR="00DB2B68" w:rsidRDefault="00000000">
            <w:r>
              <w:t>CFL s1</w:t>
            </w:r>
          </w:p>
        </w:tc>
        <w:tc>
          <w:tcPr>
            <w:tcW w:w="810" w:type="dxa"/>
            <w:noWrap/>
          </w:tcPr>
          <w:p w14:paraId="68156DF0" w14:textId="77777777" w:rsidR="00DB2B68" w:rsidRDefault="00000000">
            <w:r>
              <w:t>BFL s1</w:t>
            </w:r>
          </w:p>
        </w:tc>
        <w:tc>
          <w:tcPr>
            <w:tcW w:w="810" w:type="dxa"/>
            <w:noWrap/>
          </w:tcPr>
          <w:p w14:paraId="19277EEF" w14:textId="77777777" w:rsidR="00DB2B68" w:rsidRDefault="00000000">
            <w:r>
              <w:t>BFL s1</w:t>
            </w:r>
          </w:p>
        </w:tc>
      </w:tr>
    </w:tbl>
    <w:p w14:paraId="1C045EDE" w14:textId="77777777" w:rsidR="00DB2B68" w:rsidRDefault="00000000">
      <w:r>
        <w:t>"Hor": Chemins d'évacuation horizontaux à l'exception de ceux du niveau d'évacuation</w:t>
      </w:r>
      <w:r>
        <w:br/>
        <w:t>"Vert": Chemins d'évacuation verticaux (c'est-à-dire cages d'escaliers y compris les sas, les paliers et les escaliers) et la partie horizontal du chemin d'évacuation au niveau d'évacuation à partir des cages d'escalier jusqu'à l'extérieur du bâtiment</w:t>
      </w:r>
    </w:p>
    <w:p w14:paraId="6EB82E4E" w14:textId="77777777" w:rsidR="00DB2B68" w:rsidRDefault="00000000">
      <w:r>
        <w:rPr>
          <w:u w:val="single"/>
        </w:rPr>
        <w:t>Avec détection de type surveillance généralisée du bâtiment comme décrit dans l'article 4.2 du projet d'annexe 5 des normes de base [AR 1994-07-07]</w:t>
      </w:r>
    </w:p>
    <w:tbl>
      <w:tblPr>
        <w:tblStyle w:val="Author-eTableGrid"/>
        <w:tblW w:w="0" w:type="auto"/>
        <w:tblLayout w:type="fixed"/>
        <w:tblLook w:val="04A0" w:firstRow="1" w:lastRow="0" w:firstColumn="1" w:lastColumn="0" w:noHBand="0" w:noVBand="1"/>
      </w:tblPr>
      <w:tblGrid>
        <w:gridCol w:w="810"/>
        <w:gridCol w:w="810"/>
        <w:gridCol w:w="810"/>
        <w:gridCol w:w="810"/>
        <w:gridCol w:w="810"/>
        <w:gridCol w:w="810"/>
        <w:gridCol w:w="810"/>
        <w:gridCol w:w="810"/>
        <w:gridCol w:w="810"/>
        <w:gridCol w:w="810"/>
        <w:gridCol w:w="810"/>
      </w:tblGrid>
      <w:tr w:rsidR="00DB2B68" w14:paraId="1C8FC1DA" w14:textId="77777777">
        <w:tc>
          <w:tcPr>
            <w:tcW w:w="810" w:type="dxa"/>
            <w:noWrap/>
          </w:tcPr>
          <w:p w14:paraId="2AD5675D" w14:textId="77777777" w:rsidR="00DB2B68" w:rsidRDefault="00DB2B68"/>
        </w:tc>
        <w:tc>
          <w:tcPr>
            <w:tcW w:w="810" w:type="dxa"/>
            <w:noWrap/>
          </w:tcPr>
          <w:p w14:paraId="57EB2C88" w14:textId="77777777" w:rsidR="00DB2B68" w:rsidRDefault="00000000">
            <w:r>
              <w:t>Type 1</w:t>
            </w:r>
          </w:p>
        </w:tc>
        <w:tc>
          <w:tcPr>
            <w:tcW w:w="810" w:type="dxa"/>
            <w:noWrap/>
          </w:tcPr>
          <w:p w14:paraId="74183DC3" w14:textId="77777777" w:rsidR="00DB2B68" w:rsidRDefault="00000000">
            <w:r>
              <w:t>Type 2</w:t>
            </w:r>
          </w:p>
          <w:p w14:paraId="6106524E" w14:textId="77777777" w:rsidR="00DB2B68" w:rsidRDefault="00000000">
            <w:r>
              <w:t>BB</w:t>
            </w:r>
          </w:p>
          <w:p w14:paraId="4A906CE7" w14:textId="77777777" w:rsidR="00DB2B68" w:rsidRDefault="00000000">
            <w:r>
              <w:t>Hor</w:t>
            </w:r>
          </w:p>
        </w:tc>
        <w:tc>
          <w:tcPr>
            <w:tcW w:w="810" w:type="dxa"/>
            <w:noWrap/>
          </w:tcPr>
          <w:p w14:paraId="21AEA958" w14:textId="77777777" w:rsidR="00DB2B68" w:rsidRDefault="00000000">
            <w:r>
              <w:t>Type 2</w:t>
            </w:r>
          </w:p>
          <w:p w14:paraId="44A35D20" w14:textId="77777777" w:rsidR="00DB2B68" w:rsidRDefault="00000000">
            <w:r>
              <w:t>BB</w:t>
            </w:r>
          </w:p>
          <w:p w14:paraId="4A386B64" w14:textId="77777777" w:rsidR="00DB2B68" w:rsidRDefault="00000000">
            <w:r>
              <w:t>Vert</w:t>
            </w:r>
          </w:p>
        </w:tc>
        <w:tc>
          <w:tcPr>
            <w:tcW w:w="810" w:type="dxa"/>
            <w:noWrap/>
          </w:tcPr>
          <w:p w14:paraId="717CC234" w14:textId="77777777" w:rsidR="00DB2B68" w:rsidRDefault="00000000">
            <w:r>
              <w:t>Type 2</w:t>
            </w:r>
          </w:p>
          <w:p w14:paraId="5A332DCA" w14:textId="77777777" w:rsidR="00DB2B68" w:rsidRDefault="00000000">
            <w:r>
              <w:t>BM</w:t>
            </w:r>
          </w:p>
        </w:tc>
        <w:tc>
          <w:tcPr>
            <w:tcW w:w="810" w:type="dxa"/>
            <w:noWrap/>
          </w:tcPr>
          <w:p w14:paraId="7870839C" w14:textId="77777777" w:rsidR="00DB2B68" w:rsidRDefault="00000000">
            <w:r>
              <w:t>Type 2</w:t>
            </w:r>
          </w:p>
          <w:p w14:paraId="0F75E0BA" w14:textId="77777777" w:rsidR="00DB2B68" w:rsidRDefault="00000000">
            <w:r>
              <w:t>BE</w:t>
            </w:r>
          </w:p>
        </w:tc>
        <w:tc>
          <w:tcPr>
            <w:tcW w:w="810" w:type="dxa"/>
            <w:noWrap/>
          </w:tcPr>
          <w:p w14:paraId="383AE629" w14:textId="77777777" w:rsidR="00DB2B68" w:rsidRDefault="00000000">
            <w:r>
              <w:t>Type 3</w:t>
            </w:r>
          </w:p>
          <w:p w14:paraId="469C7B46" w14:textId="77777777" w:rsidR="00DB2B68" w:rsidRDefault="00000000">
            <w:r>
              <w:t>BB</w:t>
            </w:r>
          </w:p>
          <w:p w14:paraId="7C321819" w14:textId="77777777" w:rsidR="00DB2B68" w:rsidRDefault="00000000">
            <w:r>
              <w:t>Hor</w:t>
            </w:r>
          </w:p>
        </w:tc>
        <w:tc>
          <w:tcPr>
            <w:tcW w:w="810" w:type="dxa"/>
            <w:noWrap/>
          </w:tcPr>
          <w:p w14:paraId="28D377F6" w14:textId="77777777" w:rsidR="00DB2B68" w:rsidRDefault="00000000">
            <w:r>
              <w:t>Type 3</w:t>
            </w:r>
          </w:p>
          <w:p w14:paraId="53ADDC07" w14:textId="77777777" w:rsidR="00DB2B68" w:rsidRDefault="00000000">
            <w:r>
              <w:t>BB</w:t>
            </w:r>
          </w:p>
          <w:p w14:paraId="4FDED335" w14:textId="77777777" w:rsidR="00DB2B68" w:rsidRDefault="00000000">
            <w:r>
              <w:t>Vert</w:t>
            </w:r>
          </w:p>
        </w:tc>
        <w:tc>
          <w:tcPr>
            <w:tcW w:w="810" w:type="dxa"/>
            <w:noWrap/>
          </w:tcPr>
          <w:p w14:paraId="325969DA" w14:textId="77777777" w:rsidR="00DB2B68" w:rsidRDefault="00000000">
            <w:r>
              <w:t>Type 3</w:t>
            </w:r>
          </w:p>
          <w:p w14:paraId="2B3EA29E" w14:textId="77777777" w:rsidR="00DB2B68" w:rsidRDefault="00000000">
            <w:r>
              <w:t>BM</w:t>
            </w:r>
          </w:p>
          <w:p w14:paraId="1CF159BF" w14:textId="77777777" w:rsidR="00DB2B68" w:rsidRDefault="00000000">
            <w:r>
              <w:t>Hor</w:t>
            </w:r>
          </w:p>
        </w:tc>
        <w:tc>
          <w:tcPr>
            <w:tcW w:w="810" w:type="dxa"/>
            <w:noWrap/>
          </w:tcPr>
          <w:p w14:paraId="720CBFC3" w14:textId="77777777" w:rsidR="00DB2B68" w:rsidRDefault="00000000">
            <w:r>
              <w:t>Type 3</w:t>
            </w:r>
          </w:p>
          <w:p w14:paraId="6E2591B3" w14:textId="77777777" w:rsidR="00DB2B68" w:rsidRDefault="00000000">
            <w:r>
              <w:t>BM</w:t>
            </w:r>
          </w:p>
          <w:p w14:paraId="32537597" w14:textId="77777777" w:rsidR="00DB2B68" w:rsidRDefault="00000000">
            <w:r>
              <w:t>Vert</w:t>
            </w:r>
          </w:p>
        </w:tc>
        <w:tc>
          <w:tcPr>
            <w:tcW w:w="810" w:type="dxa"/>
            <w:noWrap/>
          </w:tcPr>
          <w:p w14:paraId="46D2FB8B" w14:textId="77777777" w:rsidR="00DB2B68" w:rsidRDefault="00000000">
            <w:r>
              <w:t>Type 3</w:t>
            </w:r>
          </w:p>
          <w:p w14:paraId="2708ED99" w14:textId="77777777" w:rsidR="00DB2B68" w:rsidRDefault="00000000">
            <w:r>
              <w:t>BE</w:t>
            </w:r>
          </w:p>
        </w:tc>
      </w:tr>
      <w:tr w:rsidR="00DB2B68" w14:paraId="69F40081" w14:textId="77777777">
        <w:tc>
          <w:tcPr>
            <w:tcW w:w="810" w:type="dxa"/>
            <w:noWrap/>
          </w:tcPr>
          <w:p w14:paraId="520C95AC" w14:textId="77777777" w:rsidR="00DB2B68" w:rsidRDefault="00000000">
            <w:r>
              <w:t>Parois verticales</w:t>
            </w:r>
          </w:p>
        </w:tc>
        <w:tc>
          <w:tcPr>
            <w:tcW w:w="810" w:type="dxa"/>
            <w:noWrap/>
          </w:tcPr>
          <w:p w14:paraId="47D6BA48" w14:textId="77777777" w:rsidR="00DB2B68" w:rsidRDefault="00000000">
            <w:r>
              <w:t>B s1 d2</w:t>
            </w:r>
          </w:p>
        </w:tc>
        <w:tc>
          <w:tcPr>
            <w:tcW w:w="810" w:type="dxa"/>
            <w:noWrap/>
          </w:tcPr>
          <w:p w14:paraId="13B52AFC" w14:textId="77777777" w:rsidR="00DB2B68" w:rsidRDefault="00000000">
            <w:r>
              <w:t>D s2 d2</w:t>
            </w:r>
          </w:p>
        </w:tc>
        <w:tc>
          <w:tcPr>
            <w:tcW w:w="810" w:type="dxa"/>
            <w:noWrap/>
          </w:tcPr>
          <w:p w14:paraId="283EBC52" w14:textId="77777777" w:rsidR="00DB2B68" w:rsidRDefault="00000000">
            <w:r>
              <w:t>C s1 d2</w:t>
            </w:r>
          </w:p>
        </w:tc>
        <w:tc>
          <w:tcPr>
            <w:tcW w:w="810" w:type="dxa"/>
            <w:noWrap/>
          </w:tcPr>
          <w:p w14:paraId="09CB672A" w14:textId="77777777" w:rsidR="00DB2B68" w:rsidRDefault="00000000">
            <w:r>
              <w:t>C s1 d2</w:t>
            </w:r>
          </w:p>
        </w:tc>
        <w:tc>
          <w:tcPr>
            <w:tcW w:w="810" w:type="dxa"/>
            <w:noWrap/>
          </w:tcPr>
          <w:p w14:paraId="5B4173C6" w14:textId="77777777" w:rsidR="00DB2B68" w:rsidRDefault="00000000">
            <w:r>
              <w:t>B s1 d2</w:t>
            </w:r>
          </w:p>
        </w:tc>
        <w:tc>
          <w:tcPr>
            <w:tcW w:w="810" w:type="dxa"/>
            <w:noWrap/>
          </w:tcPr>
          <w:p w14:paraId="790351A3" w14:textId="77777777" w:rsidR="00DB2B68" w:rsidRDefault="00000000">
            <w:r>
              <w:t>D s3 d2</w:t>
            </w:r>
          </w:p>
        </w:tc>
        <w:tc>
          <w:tcPr>
            <w:tcW w:w="810" w:type="dxa"/>
            <w:noWrap/>
          </w:tcPr>
          <w:p w14:paraId="0F5FCAD6" w14:textId="77777777" w:rsidR="00DB2B68" w:rsidRDefault="00000000">
            <w:r>
              <w:t>D s3 d2</w:t>
            </w:r>
          </w:p>
        </w:tc>
        <w:tc>
          <w:tcPr>
            <w:tcW w:w="810" w:type="dxa"/>
            <w:noWrap/>
          </w:tcPr>
          <w:p w14:paraId="68F52784" w14:textId="77777777" w:rsidR="00DB2B68" w:rsidRDefault="00000000">
            <w:r>
              <w:t>C s2 d2</w:t>
            </w:r>
          </w:p>
        </w:tc>
        <w:tc>
          <w:tcPr>
            <w:tcW w:w="810" w:type="dxa"/>
            <w:noWrap/>
          </w:tcPr>
          <w:p w14:paraId="1FF9E080" w14:textId="77777777" w:rsidR="00DB2B68" w:rsidRDefault="00000000">
            <w:r>
              <w:t>C s2 d2</w:t>
            </w:r>
          </w:p>
        </w:tc>
        <w:tc>
          <w:tcPr>
            <w:tcW w:w="810" w:type="dxa"/>
            <w:noWrap/>
          </w:tcPr>
          <w:p w14:paraId="50265768" w14:textId="77777777" w:rsidR="00DB2B68" w:rsidRDefault="00000000">
            <w:r>
              <w:t>B s1 d2</w:t>
            </w:r>
          </w:p>
        </w:tc>
      </w:tr>
      <w:tr w:rsidR="00DB2B68" w14:paraId="7F3EE283" w14:textId="77777777">
        <w:tc>
          <w:tcPr>
            <w:tcW w:w="810" w:type="dxa"/>
            <w:noWrap/>
          </w:tcPr>
          <w:p w14:paraId="50C438E4" w14:textId="77777777" w:rsidR="00DB2B68" w:rsidRDefault="00000000">
            <w:r>
              <w:t>Plafonds et faux-plafonds</w:t>
            </w:r>
          </w:p>
        </w:tc>
        <w:tc>
          <w:tcPr>
            <w:tcW w:w="810" w:type="dxa"/>
            <w:noWrap/>
          </w:tcPr>
          <w:p w14:paraId="12C76F7A" w14:textId="77777777" w:rsidR="00DB2B68" w:rsidRDefault="00000000">
            <w:r>
              <w:t>B s1 d0</w:t>
            </w:r>
          </w:p>
        </w:tc>
        <w:tc>
          <w:tcPr>
            <w:tcW w:w="810" w:type="dxa"/>
            <w:noWrap/>
          </w:tcPr>
          <w:p w14:paraId="080C5D56" w14:textId="77777777" w:rsidR="00DB2B68" w:rsidRDefault="00000000">
            <w:r>
              <w:t>D s2 d0</w:t>
            </w:r>
          </w:p>
        </w:tc>
        <w:tc>
          <w:tcPr>
            <w:tcW w:w="810" w:type="dxa"/>
            <w:noWrap/>
          </w:tcPr>
          <w:p w14:paraId="5D6560B1" w14:textId="77777777" w:rsidR="00DB2B68" w:rsidRDefault="00000000">
            <w:r>
              <w:t>C s1 d0</w:t>
            </w:r>
          </w:p>
        </w:tc>
        <w:tc>
          <w:tcPr>
            <w:tcW w:w="810" w:type="dxa"/>
            <w:noWrap/>
          </w:tcPr>
          <w:p w14:paraId="153B45D6" w14:textId="77777777" w:rsidR="00DB2B68" w:rsidRDefault="00000000">
            <w:r>
              <w:t>C s1 d0</w:t>
            </w:r>
          </w:p>
        </w:tc>
        <w:tc>
          <w:tcPr>
            <w:tcW w:w="810" w:type="dxa"/>
            <w:noWrap/>
          </w:tcPr>
          <w:p w14:paraId="1DF2ECEC" w14:textId="77777777" w:rsidR="00DB2B68" w:rsidRDefault="00000000">
            <w:r>
              <w:t>B s1 d0</w:t>
            </w:r>
          </w:p>
        </w:tc>
        <w:tc>
          <w:tcPr>
            <w:tcW w:w="810" w:type="dxa"/>
            <w:noWrap/>
          </w:tcPr>
          <w:p w14:paraId="0B77ECD5" w14:textId="77777777" w:rsidR="00DB2B68" w:rsidRDefault="00000000">
            <w:r>
              <w:t>D s3 d0</w:t>
            </w:r>
          </w:p>
        </w:tc>
        <w:tc>
          <w:tcPr>
            <w:tcW w:w="810" w:type="dxa"/>
            <w:noWrap/>
          </w:tcPr>
          <w:p w14:paraId="12C56BB7" w14:textId="77777777" w:rsidR="00DB2B68" w:rsidRDefault="00000000">
            <w:r>
              <w:t>D s3 d0</w:t>
            </w:r>
          </w:p>
        </w:tc>
        <w:tc>
          <w:tcPr>
            <w:tcW w:w="810" w:type="dxa"/>
            <w:noWrap/>
          </w:tcPr>
          <w:p w14:paraId="3AC21822" w14:textId="77777777" w:rsidR="00DB2B68" w:rsidRDefault="00000000">
            <w:r>
              <w:t>C s2 d0</w:t>
            </w:r>
          </w:p>
        </w:tc>
        <w:tc>
          <w:tcPr>
            <w:tcW w:w="810" w:type="dxa"/>
            <w:noWrap/>
          </w:tcPr>
          <w:p w14:paraId="4324A339" w14:textId="77777777" w:rsidR="00DB2B68" w:rsidRDefault="00000000">
            <w:r>
              <w:t>C s2 d0</w:t>
            </w:r>
          </w:p>
        </w:tc>
        <w:tc>
          <w:tcPr>
            <w:tcW w:w="810" w:type="dxa"/>
            <w:noWrap/>
          </w:tcPr>
          <w:p w14:paraId="6F96977F" w14:textId="77777777" w:rsidR="00DB2B68" w:rsidRDefault="00000000">
            <w:r>
              <w:t>B s1 d0</w:t>
            </w:r>
          </w:p>
        </w:tc>
      </w:tr>
      <w:tr w:rsidR="00DB2B68" w14:paraId="21BD636F" w14:textId="77777777">
        <w:tc>
          <w:tcPr>
            <w:tcW w:w="810" w:type="dxa"/>
            <w:noWrap/>
          </w:tcPr>
          <w:p w14:paraId="2A84B3B4" w14:textId="77777777" w:rsidR="00DB2B68" w:rsidRDefault="00000000">
            <w:r>
              <w:t>Sols</w:t>
            </w:r>
          </w:p>
        </w:tc>
        <w:tc>
          <w:tcPr>
            <w:tcW w:w="810" w:type="dxa"/>
            <w:noWrap/>
          </w:tcPr>
          <w:p w14:paraId="3FEEBA76" w14:textId="77777777" w:rsidR="00DB2B68" w:rsidRDefault="00000000">
            <w:r>
              <w:t>B FL s1</w:t>
            </w:r>
          </w:p>
        </w:tc>
        <w:tc>
          <w:tcPr>
            <w:tcW w:w="810" w:type="dxa"/>
            <w:noWrap/>
          </w:tcPr>
          <w:p w14:paraId="447411F1" w14:textId="77777777" w:rsidR="00DB2B68" w:rsidRDefault="00000000">
            <w:r>
              <w:t>DFL s1</w:t>
            </w:r>
          </w:p>
        </w:tc>
        <w:tc>
          <w:tcPr>
            <w:tcW w:w="810" w:type="dxa"/>
            <w:noWrap/>
          </w:tcPr>
          <w:p w14:paraId="33E1128F" w14:textId="77777777" w:rsidR="00DB2B68" w:rsidRDefault="00000000">
            <w:r>
              <w:t>CFL s1</w:t>
            </w:r>
          </w:p>
        </w:tc>
        <w:tc>
          <w:tcPr>
            <w:tcW w:w="810" w:type="dxa"/>
            <w:noWrap/>
          </w:tcPr>
          <w:p w14:paraId="5C91C0C7" w14:textId="77777777" w:rsidR="00DB2B68" w:rsidRDefault="00000000">
            <w:r>
              <w:t>CFL s1</w:t>
            </w:r>
          </w:p>
        </w:tc>
        <w:tc>
          <w:tcPr>
            <w:tcW w:w="810" w:type="dxa"/>
            <w:noWrap/>
          </w:tcPr>
          <w:p w14:paraId="5E9D8169" w14:textId="77777777" w:rsidR="00DB2B68" w:rsidRDefault="00000000">
            <w:r>
              <w:t>BFL s1</w:t>
            </w:r>
          </w:p>
        </w:tc>
        <w:tc>
          <w:tcPr>
            <w:tcW w:w="810" w:type="dxa"/>
            <w:noWrap/>
          </w:tcPr>
          <w:p w14:paraId="5B7A814B" w14:textId="77777777" w:rsidR="00DB2B68" w:rsidRDefault="00000000">
            <w:r>
              <w:t>DFL s2</w:t>
            </w:r>
          </w:p>
        </w:tc>
        <w:tc>
          <w:tcPr>
            <w:tcW w:w="810" w:type="dxa"/>
            <w:noWrap/>
          </w:tcPr>
          <w:p w14:paraId="05BF0685" w14:textId="77777777" w:rsidR="00DB2B68" w:rsidRDefault="00000000">
            <w:r>
              <w:t>D FL s2</w:t>
            </w:r>
          </w:p>
        </w:tc>
        <w:tc>
          <w:tcPr>
            <w:tcW w:w="810" w:type="dxa"/>
            <w:noWrap/>
          </w:tcPr>
          <w:p w14:paraId="0C69E1DA" w14:textId="77777777" w:rsidR="00DB2B68" w:rsidRDefault="00000000">
            <w:r>
              <w:t>C FL s1</w:t>
            </w:r>
          </w:p>
        </w:tc>
        <w:tc>
          <w:tcPr>
            <w:tcW w:w="810" w:type="dxa"/>
            <w:noWrap/>
          </w:tcPr>
          <w:p w14:paraId="550A3140" w14:textId="77777777" w:rsidR="00DB2B68" w:rsidRDefault="00000000">
            <w:r>
              <w:t>C FL s1</w:t>
            </w:r>
          </w:p>
        </w:tc>
        <w:tc>
          <w:tcPr>
            <w:tcW w:w="810" w:type="dxa"/>
            <w:noWrap/>
          </w:tcPr>
          <w:p w14:paraId="031041EA" w14:textId="77777777" w:rsidR="00DB2B68" w:rsidRDefault="00000000">
            <w:r>
              <w:t>B FL s1</w:t>
            </w:r>
          </w:p>
        </w:tc>
      </w:tr>
    </w:tbl>
    <w:p w14:paraId="799C605B" w14:textId="77777777" w:rsidR="00DB2B68" w:rsidRDefault="00000000">
      <w:r>
        <w:t>"Hor": idem tableau ci-dessus.</w:t>
      </w:r>
      <w:r>
        <w:br/>
        <w:t xml:space="preserve"> "Vert": idem tableau ci-dessus.</w:t>
      </w:r>
    </w:p>
    <w:p w14:paraId="7F297B64" w14:textId="77777777" w:rsidR="00DB2B68" w:rsidRDefault="00000000">
      <w:pPr>
        <w:jc w:val="both"/>
      </w:pPr>
      <w:r>
        <w:t xml:space="preserve">La résistance à la détérioration causée par les conditions climatiques, les agents chimiques et biologiques de type </w:t>
      </w:r>
      <w:r>
        <w:rPr>
          <w:rStyle w:val="optioncarChar"/>
        </w:rPr>
        <w:t>non spécifié</w:t>
      </w:r>
      <w:r>
        <w:t xml:space="preserve"> (par défaut)</w:t>
      </w:r>
      <w:r>
        <w:rPr>
          <w:rStyle w:val="optioncarChar"/>
        </w:rPr>
        <w:t xml:space="preserve"> / ***</w:t>
      </w:r>
      <w:r>
        <w:t xml:space="preserve"> est vérifiée selon la [NBN EN 15644] pour les escaliers massifs en bois ou l’[ETAG 008] pour les autres escaliers préfabriqués autres qu’en bois massif.</w:t>
      </w:r>
    </w:p>
    <w:p w14:paraId="756FA0BD" w14:textId="77777777" w:rsidR="00DB2B68" w:rsidRDefault="00000000">
      <w:pPr>
        <w:jc w:val="both"/>
      </w:pPr>
      <w:r>
        <w:rPr>
          <w:b/>
          <w:u w:val="single"/>
        </w:rPr>
        <w:t>Traitement de préservation</w:t>
      </w:r>
    </w:p>
    <w:p w14:paraId="567664C6" w14:textId="77777777" w:rsidR="00DB2B68" w:rsidRDefault="00000000">
      <w:pPr>
        <w:jc w:val="both"/>
      </w:pPr>
      <w:r>
        <w:t>Les produits de préservation du bois doivent être conformes aux exigences de performances données dans la [NBN EN 599-2] appropriées à la classe d'utilisation. L'usinage, le perçage, le rabotage etc. doivent être terminés avant le traitement de préservation. En cas de flache, trace d’écorce (rhytidome) doit être retiré.</w:t>
      </w:r>
    </w:p>
    <w:p w14:paraId="1704F259" w14:textId="77777777" w:rsidR="00DB2B68" w:rsidRDefault="00DB2B68"/>
    <w:p w14:paraId="33D201D2" w14:textId="77777777" w:rsidR="00DB2B68" w:rsidRDefault="00000000">
      <w:pPr>
        <w:pStyle w:val="pheading"/>
      </w:pPr>
      <w:r>
        <w:t>- Finitions</w:t>
      </w:r>
    </w:p>
    <w:p w14:paraId="1A9CA5B1" w14:textId="77777777" w:rsidR="00DB2B68" w:rsidRDefault="00000000">
      <w:pPr>
        <w:jc w:val="both"/>
      </w:pPr>
      <w:r>
        <w:t>La préparation, finition de surface sont définis dans le  8 T8 Travaux de peinture / Traitements de surface.</w:t>
      </w:r>
    </w:p>
    <w:p w14:paraId="068D26F6" w14:textId="77777777" w:rsidR="00DB2B68" w:rsidRDefault="00000000">
      <w:pPr>
        <w:jc w:val="both"/>
      </w:pPr>
      <w:r>
        <w:lastRenderedPageBreak/>
        <w:t>Les éléments endommagés doivent être intégralement remplacés. Les différences de couleurs d’une même essence sont acceptées.</w:t>
      </w:r>
    </w:p>
    <w:p w14:paraId="701C4C8F" w14:textId="77777777" w:rsidR="00DB2B68" w:rsidRDefault="00000000">
      <w:pPr>
        <w:pStyle w:val="pheading"/>
      </w:pPr>
      <w:r>
        <w:t>EXÉCUTION / MISE EN ŒUVRE</w:t>
      </w:r>
    </w:p>
    <w:p w14:paraId="08B1F5B3" w14:textId="77777777" w:rsidR="00DB2B68" w:rsidRDefault="00000000">
      <w:pPr>
        <w:pStyle w:val="pheading"/>
      </w:pPr>
      <w:r>
        <w:t>- Prescriptions générales</w:t>
      </w:r>
    </w:p>
    <w:p w14:paraId="2E2B8F4C" w14:textId="77777777" w:rsidR="00DB2B68" w:rsidRDefault="00000000">
      <w:pPr>
        <w:jc w:val="both"/>
      </w:pPr>
      <w:r>
        <w:t>La mise en œuvre est conforme aux prescriptions du fabricant et aux [NIT 198] et [NIT 166]. </w:t>
      </w:r>
    </w:p>
    <w:p w14:paraId="58252416" w14:textId="77777777" w:rsidR="00DB2B68" w:rsidRDefault="00000000">
      <w:pPr>
        <w:jc w:val="both"/>
      </w:pPr>
      <w:r>
        <w:t>Le taux d’humidité du bois à la sortie de l’atelier est compris entre 8 et 12 %. Lorsque l’escalier est mis en œuvre dans des locaux chauffés, le taux d’humidité d’équilibre du bois se situe entre 6 et 10 %.</w:t>
      </w:r>
    </w:p>
    <w:p w14:paraId="23E632CA" w14:textId="77777777" w:rsidR="00DB2B68" w:rsidRDefault="00000000">
      <w:pPr>
        <w:jc w:val="both"/>
      </w:pPr>
      <w:r>
        <w:t>Les escaliers ne peuvent être placés que lorsque l'auteur de projet et l'installateur de l'escalier estiment, en concertation mutuelle, que les conditions de mise en œuvre sont favorables, c'est-à-dire que le plafonnage et revêtement de sols sont suffisamment secs (avec un taux d’humidité de l’air inférieur à 75%) et après la pose des vitrages.</w:t>
      </w:r>
    </w:p>
    <w:p w14:paraId="51373E35" w14:textId="77777777" w:rsidR="00DB2B68" w:rsidRDefault="00000000">
      <w:pPr>
        <w:jc w:val="both"/>
      </w:pPr>
      <w:r>
        <w:t>Les escaliers en bois ne peuvent en aucun cas être placés lorsque les conditions sont de nature à risquer le voilement ou le retrait des escaliers.</w:t>
      </w:r>
    </w:p>
    <w:p w14:paraId="4F5A5464" w14:textId="77777777" w:rsidR="00DB2B68" w:rsidRDefault="00000000">
      <w:pPr>
        <w:jc w:val="both"/>
      </w:pPr>
      <w:r>
        <w:t>Lorsque les murs sont plafonnés, l'escalier en bois doit être protégé contre l'humidité de l'enduit.</w:t>
      </w:r>
    </w:p>
    <w:p w14:paraId="576451B3" w14:textId="77777777" w:rsidR="00DB2B68" w:rsidRDefault="00000000">
      <w:pPr>
        <w:jc w:val="both"/>
      </w:pPr>
      <w:r>
        <w:t>Les escaliers et/ou les éléments qui le constituent sont autant que possible préfabriqués en atelier et acheminés en un seul lot sur le chantier. Lors du transport, les mesures nécessaires sont prises pour prévenir toute dégradation du bâtiment, des escaliers préfabriqués et/ou des éléments. Ils sont immédiatement entreposés dans un endroit protégé et aéré.</w:t>
      </w:r>
    </w:p>
    <w:p w14:paraId="3E9F23E8" w14:textId="77777777" w:rsidR="00DB2B68" w:rsidRDefault="00000000">
      <w:pPr>
        <w:jc w:val="both"/>
      </w:pPr>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7A3159FD" w14:textId="77777777" w:rsidR="00DB2B68" w:rsidRDefault="00000000">
      <w:pPr>
        <w:jc w:val="both"/>
      </w:pPr>
      <w:r>
        <w:t>L'entrepreneur veille à ce que, après leur mise en œuvre, les escaliers soient dûment protégés contre les dégradations et l'encrassement pendant la durée des travaux de construction. </w:t>
      </w:r>
    </w:p>
    <w:p w14:paraId="52562F87" w14:textId="77777777" w:rsidR="00DB2B68" w:rsidRDefault="00000000">
      <w:pPr>
        <w:jc w:val="both"/>
      </w:pPr>
      <w:r>
        <w:t>Les escaliers sont mis en œuvre conformément aux formes indiquées sur les plans et les coupes</w:t>
      </w:r>
    </w:p>
    <w:p w14:paraId="4F6A282E" w14:textId="77777777" w:rsidR="00DB2B68" w:rsidRDefault="00000000">
      <w:pPr>
        <w:jc w:val="both"/>
      </w:pPr>
      <w:r>
        <w:t>Lorsque le dossier d'adjudication ne contient pas de dessin de détail spécifique, la forme de l'escalier et les dimensions de base sont données à titre indicatif. L'entrepreneur est tenu de contrôler les dimensions sur place après plafonnage et revêtement de sols et de vérifier si les escaliers et/ou les éléments peuvent être exécutés selon les plans soumis. Lorsque cela s'avère impossible, il en avertit l'auteur de projet le plus rapidement possible.</w:t>
      </w:r>
    </w:p>
    <w:p w14:paraId="36945A42" w14:textId="77777777" w:rsidR="00DB2B68" w:rsidRDefault="00000000">
      <w:pPr>
        <w:jc w:val="both"/>
      </w:pPr>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 et du balancement correct des marches.</w:t>
      </w:r>
    </w:p>
    <w:p w14:paraId="74575EE1" w14:textId="77777777" w:rsidR="00DB2B68" w:rsidRDefault="00000000">
      <w:pPr>
        <w:pStyle w:val="pheading"/>
      </w:pPr>
      <w:r>
        <w:t>- Notes d’exécution complémentaires</w:t>
      </w:r>
    </w:p>
    <w:p w14:paraId="56DFD3D3" w14:textId="77777777" w:rsidR="00DB2B68" w:rsidRDefault="00000000">
      <w:pPr>
        <w:jc w:val="both"/>
      </w:pPr>
      <w:r>
        <w:rPr>
          <w:rStyle w:val="facultChar"/>
        </w:rPr>
        <w:t>Pour la conception des escaliers avec exigences accrues, il y a lieu de tenir compte des principes élémentaires du module du pas (M=600 à 630) et ce, selon la formule M=2H+G, où G est le giron et H la hauteur (dans le habitations, les girons inférieurs à 220 mm ne sont pas admissibles (sauf pour les escaliers de cave ou de grenier); pour les escaliers à l'intérieur des habitations, un giron de 225 à 250 mm est souhaitable en combinaison avec une hauteur de marche de 175 à 190 mm (selon les rapports dans le tableau des escaliers [NIT 198] ; les escaliers extérieurs doivent avoir un giron et une hauteur confortables (par ex. 170/260).</w:t>
      </w:r>
    </w:p>
    <w:p w14:paraId="63CE29AE" w14:textId="77777777" w:rsidR="00DB2B68" w:rsidRDefault="00000000">
      <w:pPr>
        <w:jc w:val="both"/>
      </w:pPr>
      <w:r>
        <w:rPr>
          <w:rStyle w:val="facultChar"/>
        </w:rPr>
        <w:t>Pour l’accessibilité aux personnes à mobilité réduite (PMR), L’ [AR 1977-05-09], comporte des exigences relativement explicites vis-à-vis de la cage d’escalier. Il y est notamment stipulé que les marches situées dans la zone de bâtiment accessible au public se situe entre 15 et 17 cm et ne peuvent excéder 18 cm de hauteur, qu’elles doivent avoir une profondeur de préférence entre 28 et 42,5 cm et minimale de 23 cm (mesurée sur la ligne de foulée) et que chaque escalier doit être pourvue de part et d’autre d’un garde-corps doté d’une main courante continue. Cette dernière doit dépasser de 40 cm le point de départ et d’arrivée de l’escalier.</w:t>
      </w:r>
    </w:p>
    <w:p w14:paraId="7721E4DB" w14:textId="77777777" w:rsidR="00DB2B68" w:rsidRDefault="00DB2B68"/>
    <w:p w14:paraId="6A558DEE" w14:textId="77777777" w:rsidR="00DB2B68" w:rsidRDefault="00000000">
      <w:pPr>
        <w:pStyle w:val="Author-eListParagraph"/>
        <w:numPr>
          <w:ilvl w:val="0"/>
          <w:numId w:val="975"/>
        </w:numPr>
        <w:jc w:val="both"/>
      </w:pPr>
      <w:r>
        <w:rPr>
          <w:rStyle w:val="facultChar"/>
        </w:rPr>
        <w:t>la largeur des plateformes des de min 90 cm</w:t>
      </w:r>
    </w:p>
    <w:p w14:paraId="6F32E4B6" w14:textId="77777777" w:rsidR="00DB2B68" w:rsidRDefault="00000000">
      <w:pPr>
        <w:pStyle w:val="Author-eListParagraph"/>
        <w:numPr>
          <w:ilvl w:val="0"/>
          <w:numId w:val="975"/>
        </w:numPr>
        <w:jc w:val="both"/>
      </w:pPr>
      <w:r>
        <w:rPr>
          <w:rStyle w:val="facultChar"/>
        </w:rPr>
        <w:t>les marches doivent être antidérapantes et les paliers caractérisés par un certain contraste de couleur</w:t>
      </w:r>
    </w:p>
    <w:p w14:paraId="0E7D009F" w14:textId="77777777" w:rsidR="00DB2B68" w:rsidRDefault="00000000">
      <w:pPr>
        <w:pStyle w:val="Author-eListParagraph"/>
        <w:numPr>
          <w:ilvl w:val="0"/>
          <w:numId w:val="975"/>
        </w:numPr>
        <w:jc w:val="both"/>
      </w:pPr>
      <w:r>
        <w:rPr>
          <w:rStyle w:val="facultChar"/>
        </w:rPr>
        <w:t>chaque escalier doit être pourvu de part et d’autre d’une main courante solide et continue. Du côté du mur, la main courante doit dépasser le départ et l’arrivée de l’escalier de 40 cm et elle ne peut pas constituer un danger pour les utilisateurs</w:t>
      </w:r>
    </w:p>
    <w:p w14:paraId="6C8D99D1" w14:textId="77777777" w:rsidR="00DB2B68" w:rsidRDefault="00000000">
      <w:pPr>
        <w:pStyle w:val="Author-eListParagraph"/>
        <w:numPr>
          <w:ilvl w:val="0"/>
          <w:numId w:val="975"/>
        </w:numPr>
        <w:jc w:val="both"/>
      </w:pPr>
      <w:r>
        <w:rPr>
          <w:rStyle w:val="facultChar"/>
        </w:rPr>
        <w:t>au sommet de chaque escalier, à 50 cm de la première marche, un repère tactile est installé afin d’éveiller la vigilance des personnes handicapées de la vue.</w:t>
      </w:r>
    </w:p>
    <w:p w14:paraId="0F52E0C3" w14:textId="77777777" w:rsidR="00DB2B68" w:rsidRDefault="00DB2B68"/>
    <w:p w14:paraId="798559CD" w14:textId="77777777" w:rsidR="00DB2B68" w:rsidRDefault="00000000">
      <w:pPr>
        <w:jc w:val="both"/>
      </w:pPr>
      <w:r>
        <w:rPr>
          <w:rStyle w:val="facultChar"/>
        </w:rPr>
        <w:t>Pour les PMR, il est également recommandé de prévoir les points suivants:</w:t>
      </w:r>
    </w:p>
    <w:p w14:paraId="0BD2F9D3" w14:textId="77777777" w:rsidR="00DB2B68" w:rsidRDefault="00000000">
      <w:pPr>
        <w:pStyle w:val="Author-eListParagraph"/>
        <w:numPr>
          <w:ilvl w:val="0"/>
          <w:numId w:val="976"/>
        </w:numPr>
        <w:jc w:val="both"/>
      </w:pPr>
      <w:r>
        <w:rPr>
          <w:rStyle w:val="facultChar"/>
        </w:rPr>
        <w:t>un palier plan d’une longueur minimale de 120 cm au départ et à l’arrivée de chaque volée</w:t>
      </w:r>
    </w:p>
    <w:p w14:paraId="37C6B9F1" w14:textId="77777777" w:rsidR="00DB2B68" w:rsidRDefault="00000000">
      <w:pPr>
        <w:pStyle w:val="Author-eListParagraph"/>
        <w:numPr>
          <w:ilvl w:val="0"/>
          <w:numId w:val="976"/>
        </w:numPr>
        <w:jc w:val="both"/>
      </w:pPr>
      <w:r>
        <w:rPr>
          <w:rStyle w:val="facultChar"/>
        </w:rPr>
        <w:t>la surface du sol située au départ et à l’arrivée de la volée d’escalier doit être dotée d’un marquage de mise en garde tactile d’au moins 80 cm de long sur toute la largeur de l’escalier</w:t>
      </w:r>
    </w:p>
    <w:p w14:paraId="5DD8256C" w14:textId="77777777" w:rsidR="00DB2B68" w:rsidRDefault="00000000">
      <w:pPr>
        <w:pStyle w:val="Author-eListParagraph"/>
        <w:numPr>
          <w:ilvl w:val="0"/>
          <w:numId w:val="976"/>
        </w:numPr>
        <w:jc w:val="both"/>
      </w:pPr>
      <w:r>
        <w:rPr>
          <w:rStyle w:val="facultChar"/>
        </w:rPr>
        <w:t>la largeur maximale de l’escalier est de 120 cm; au-delà de cette dimension, l’escalier doit être scindé</w:t>
      </w:r>
    </w:p>
    <w:p w14:paraId="48207607" w14:textId="77777777" w:rsidR="00DB2B68" w:rsidRDefault="00000000">
      <w:pPr>
        <w:pStyle w:val="Author-eListParagraph"/>
        <w:numPr>
          <w:ilvl w:val="0"/>
          <w:numId w:val="976"/>
        </w:numPr>
        <w:jc w:val="both"/>
      </w:pPr>
      <w:r>
        <w:rPr>
          <w:rStyle w:val="facultChar"/>
        </w:rPr>
        <w:t>le nombre de marches est limité à 12 maximum pour une largeur de giron inférieure à 35 cm et à 18 maximum pour une largeur de giron supérieure à 35 cm</w:t>
      </w:r>
    </w:p>
    <w:p w14:paraId="205CC38F" w14:textId="77777777" w:rsidR="00DB2B68" w:rsidRDefault="00000000">
      <w:pPr>
        <w:pStyle w:val="Author-eListParagraph"/>
        <w:numPr>
          <w:ilvl w:val="0"/>
          <w:numId w:val="976"/>
        </w:numPr>
        <w:jc w:val="both"/>
      </w:pPr>
      <w:r>
        <w:rPr>
          <w:rStyle w:val="facultChar"/>
        </w:rPr>
        <w:t>les marches sont de préférence fermées</w:t>
      </w:r>
    </w:p>
    <w:p w14:paraId="21C716B3" w14:textId="77777777" w:rsidR="00DB2B68" w:rsidRDefault="00000000">
      <w:pPr>
        <w:pStyle w:val="Author-eListParagraph"/>
        <w:numPr>
          <w:ilvl w:val="0"/>
          <w:numId w:val="976"/>
        </w:numPr>
        <w:jc w:val="both"/>
      </w:pPr>
      <w:r>
        <w:rPr>
          <w:rStyle w:val="facultChar"/>
        </w:rPr>
        <w:t>il faut prévoir un garde-corps et une main courante continus de part et d’autre de la volée d’escalier. Leur dimensionnement et leur forme sont identiques à ceux préconisés pour les escaliers intérieurs</w:t>
      </w:r>
    </w:p>
    <w:p w14:paraId="6DBE8B05" w14:textId="77777777" w:rsidR="00DB2B68" w:rsidRDefault="00000000">
      <w:pPr>
        <w:pStyle w:val="Author-eListParagraph"/>
        <w:numPr>
          <w:ilvl w:val="0"/>
          <w:numId w:val="976"/>
        </w:numPr>
        <w:jc w:val="both"/>
      </w:pPr>
      <w:r>
        <w:rPr>
          <w:rStyle w:val="facultChar"/>
        </w:rPr>
        <w:t>les escaliers larges sont scindés en couloirs de 100 cm minimum et de 180 cm maximum.</w:t>
      </w:r>
    </w:p>
    <w:p w14:paraId="41E82F49" w14:textId="77777777" w:rsidR="00DB2B68" w:rsidRDefault="00000000">
      <w:pPr>
        <w:pStyle w:val="pheading"/>
      </w:pPr>
      <w:r>
        <w:t>DOCUMENTS DE RÉFÉRENCE COMPLÉMENTAIRES</w:t>
      </w:r>
    </w:p>
    <w:p w14:paraId="036ACFBA" w14:textId="77777777" w:rsidR="00DB2B68" w:rsidRDefault="00000000">
      <w:pPr>
        <w:pStyle w:val="pheading"/>
      </w:pPr>
      <w:r>
        <w:t>- Matériau</w:t>
      </w:r>
    </w:p>
    <w:p w14:paraId="33AFBBA2" w14:textId="77777777" w:rsidR="00DB2B68" w:rsidRDefault="00000000">
      <w:r>
        <w:t>[NBN EN 16481, Escaliers en bois - Conception de la structure - Méthodes de calcul]</w:t>
      </w:r>
    </w:p>
    <w:p w14:paraId="77BDFE01" w14:textId="77777777" w:rsidR="00DB2B68" w:rsidRDefault="00000000">
      <w:r>
        <w:t>[NIT 198, Les escaliers en bois.]</w:t>
      </w:r>
    </w:p>
    <w:p w14:paraId="4EC6697E" w14:textId="77777777" w:rsidR="00DB2B68" w:rsidRDefault="00000000">
      <w:r>
        <w:t>[NBN EN 1995 série, Eurocode 5: Conception et calcul des structures en bois]</w:t>
      </w:r>
    </w:p>
    <w:p w14:paraId="2CC9EDCD" w14:textId="77777777" w:rsidR="00DB2B68" w:rsidRDefault="00000000">
      <w:r>
        <w:t>[NBN EN 1991 série, Eurocode 1 : Actions sur les structures]</w:t>
      </w:r>
    </w:p>
    <w:p w14:paraId="59B4A1F2" w14:textId="77777777" w:rsidR="00DB2B68" w:rsidRDefault="00000000">
      <w:r>
        <w:t>[CEN/TS 15680, Escaliers préfabriqués en bois - Méthodes d'essais mécaniques]</w:t>
      </w:r>
    </w:p>
    <w:p w14:paraId="01B59DE7" w14:textId="77777777" w:rsidR="00DB2B68" w:rsidRDefault="00000000">
      <w:r>
        <w:t>[CEN/TS 15676, Plancher en bois - Résistance à la glissance - Essai au pendule]</w:t>
      </w:r>
    </w:p>
    <w:p w14:paraId="2F776A5B" w14:textId="77777777" w:rsidR="00DB2B68" w:rsidRDefault="00000000">
      <w:r>
        <w:t>[NBN EN 14076, Escaliers en bois - Terminologie]</w:t>
      </w:r>
    </w:p>
    <w:p w14:paraId="1337EAD2" w14:textId="77777777" w:rsidR="00DB2B68" w:rsidRDefault="00000000">
      <w:r>
        <w:t>[NBN EN 15644, Escaliers préfabriqués de conception traditionnelle en bois massif - Spécifications et exigences]</w:t>
      </w:r>
    </w:p>
    <w:p w14:paraId="633848E3" w14:textId="77777777" w:rsidR="00DB2B68" w:rsidRDefault="00000000">
      <w:r>
        <w:t>[ETAG 008, Kits d'escaliers préfabriqués]</w:t>
      </w:r>
    </w:p>
    <w:p w14:paraId="01511B10" w14:textId="77777777" w:rsidR="00DB2B68" w:rsidRDefault="00000000">
      <w:r>
        <w:t>[NBN EN 13696, Planchers en bois - Méthodes d'essai pour déterminer l'élasticité et la résistance à l'abrasion et la résistance au choc]</w:t>
      </w:r>
    </w:p>
    <w:p w14:paraId="1F87EC30" w14:textId="77777777" w:rsidR="00DB2B68" w:rsidRDefault="00000000">
      <w:r>
        <w:t>[NBN EN 1534, Planchers en bois et parquets - Détermination de la résistance au poinçonnement - Méthode d'essai]</w:t>
      </w:r>
    </w:p>
    <w:p w14:paraId="3C7CA9D5" w14:textId="77777777" w:rsidR="00DB2B68" w:rsidRDefault="00000000">
      <w:r>
        <w:t>[NBN EN 13501-1, Classement au feu des produits et éléments de construction - Partie 1: Classement à partir des données d'essais de réaction au feu]</w:t>
      </w:r>
    </w:p>
    <w:p w14:paraId="158C1ECB"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B861BC7" w14:textId="77777777" w:rsidR="00DB2B68" w:rsidRDefault="00000000">
      <w:r>
        <w:t>[NBN EN 1995-1-2, Eurocode 5: Conception et Calcul des structures en bois - Part 1-2: Généralités - Calcul des structures au feu (+AC:2009)]</w:t>
      </w:r>
    </w:p>
    <w:p w14:paraId="22E46674" w14:textId="77777777" w:rsidR="00DB2B68" w:rsidRDefault="00000000">
      <w:r>
        <w:lastRenderedPageBreak/>
        <w:t>[NBN EN 1365-6, Essais de résistance au feu des éléments porteurs - Partie 5: Escaliers]</w:t>
      </w:r>
    </w:p>
    <w:p w14:paraId="2F3B3CB8" w14:textId="77777777" w:rsidR="00DB2B68" w:rsidRDefault="00000000">
      <w:r>
        <w:t>[NIT 269, Revêtements de sol en bois : planchers, parquets et revêtements de sol à placage. Partie 1 : matériaux, terminologie et exigences.]</w:t>
      </w:r>
    </w:p>
    <w:p w14:paraId="0E952AC0" w14:textId="77777777" w:rsidR="00DB2B68" w:rsidRDefault="00000000">
      <w:pPr>
        <w:ind w:left="750"/>
      </w:pPr>
      <w:r>
        <w:t> </w:t>
      </w:r>
    </w:p>
    <w:p w14:paraId="0B95BB4E" w14:textId="77777777" w:rsidR="00DB2B68" w:rsidRDefault="00000000">
      <w:pPr>
        <w:pStyle w:val="pheading"/>
      </w:pPr>
      <w:r>
        <w:t>- Exécution</w:t>
      </w:r>
    </w:p>
    <w:p w14:paraId="0A3F519E" w14:textId="77777777" w:rsidR="00DB2B68" w:rsidRDefault="00000000">
      <w:r>
        <w:t>[NIT 166, Menuiseries intérieures en bois. Code de bonne pratique pour la mise en oeuvre, compte tenu des conditions hygrothermiques (remplacée par la NIT 218 pour ce qui concerne les parquets).]</w:t>
      </w:r>
    </w:p>
    <w:p w14:paraId="3A2AC94E" w14:textId="77777777" w:rsidR="00DB2B68" w:rsidRDefault="00DB2B68"/>
    <w:p w14:paraId="167983F0" w14:textId="77777777" w:rsidR="00DB2B68" w:rsidRDefault="00000000">
      <w:pPr>
        <w:pStyle w:val="pheading"/>
      </w:pPr>
      <w:r>
        <w:t>MESURAGE</w:t>
      </w:r>
    </w:p>
    <w:p w14:paraId="4EC7566B" w14:textId="77777777" w:rsidR="00DB2B68" w:rsidRDefault="00000000">
      <w:pPr>
        <w:pStyle w:val="pheading"/>
      </w:pPr>
      <w:r>
        <w:t>- unité de mesure:</w:t>
      </w:r>
    </w:p>
    <w:p w14:paraId="504B249B" w14:textId="77777777" w:rsidR="00DB2B68" w:rsidRDefault="00000000">
      <w:r>
        <w:rPr>
          <w:rStyle w:val="optioncarChar"/>
        </w:rPr>
        <w:t>pc ; pc ; m²</w:t>
      </w:r>
      <w:r>
        <w:t xml:space="preserve"> (par défaut) </w:t>
      </w:r>
      <w:r>
        <w:rPr>
          <w:rStyle w:val="optioncarChar"/>
        </w:rPr>
        <w:t>/ m ; pc ; m²</w:t>
      </w:r>
    </w:p>
    <w:p w14:paraId="6DC83110" w14:textId="77777777" w:rsidR="00DB2B68" w:rsidRDefault="00000000">
      <w:r>
        <w:rPr>
          <w:b/>
          <w:i/>
        </w:rPr>
        <w:t>(Soit par défaut)</w:t>
      </w:r>
    </w:p>
    <w:p w14:paraId="340F1C16" w14:textId="77777777" w:rsidR="00DB2B68" w:rsidRDefault="00000000">
      <w:r>
        <w:rPr>
          <w:rStyle w:val="soitChar"/>
        </w:rPr>
        <w:t xml:space="preserve">1. </w:t>
      </w:r>
      <w:r>
        <w:rPr>
          <w:rStyle w:val="soitChar"/>
          <w:u w:val="single"/>
        </w:rPr>
        <w:t>pc</w:t>
      </w:r>
      <w:r>
        <w:rPr>
          <w:rStyle w:val="soitChar"/>
        </w:rPr>
        <w:t xml:space="preserve"> pour les limons d’escalier: par niveau  ,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14:paraId="42B559C6" w14:textId="77777777" w:rsidR="00DB2B68" w:rsidRDefault="00000000">
      <w:r>
        <w:rPr>
          <w:b/>
          <w:i/>
        </w:rPr>
        <w:t>(Soit) </w:t>
      </w:r>
    </w:p>
    <w:p w14:paraId="4241DC58" w14:textId="77777777" w:rsidR="00DB2B68" w:rsidRDefault="00000000">
      <w:r>
        <w:rPr>
          <w:rStyle w:val="soitChar"/>
        </w:rPr>
        <w:t>2.</w:t>
      </w:r>
      <w:r>
        <w:rPr>
          <w:rStyle w:val="soitChar"/>
          <w:u w:val="single"/>
        </w:rPr>
        <w:t xml:space="preserve"> m</w:t>
      </w:r>
      <w:r>
        <w:rPr>
          <w:rStyle w:val="soitChar"/>
        </w:rPr>
        <w:t xml:space="preserve"> pour les  limons d’escalier,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14:paraId="73AEE685" w14:textId="77777777" w:rsidR="00DB2B68" w:rsidRDefault="00000000">
      <w:pPr>
        <w:pStyle w:val="pheading"/>
      </w:pPr>
      <w:r>
        <w:t>- code de mesurage:</w:t>
      </w:r>
    </w:p>
    <w:p w14:paraId="17CE7242" w14:textId="77777777" w:rsidR="00DB2B68" w:rsidRDefault="00000000">
      <w:r>
        <w:rPr>
          <w:rStyle w:val="optioncarChar"/>
        </w:rPr>
        <w:t>Quantité par niveau </w:t>
      </w:r>
      <w:r>
        <w:t xml:space="preserve">(par défaut) </w:t>
      </w:r>
      <w:r>
        <w:rPr>
          <w:rStyle w:val="optioncarChar"/>
        </w:rPr>
        <w:t>/  quantités </w:t>
      </w:r>
    </w:p>
    <w:p w14:paraId="6601FDDB" w14:textId="77777777" w:rsidR="00DB2B68" w:rsidRDefault="00000000">
      <w:r>
        <w:rPr>
          <w:b/>
          <w:i/>
        </w:rPr>
        <w:t>(Soit par défaut)</w:t>
      </w:r>
    </w:p>
    <w:p w14:paraId="75749704" w14:textId="77777777" w:rsidR="00DB2B68" w:rsidRDefault="00000000">
      <w:pPr>
        <w:jc w:val="both"/>
      </w:pPr>
      <w:r>
        <w:rPr>
          <w:rStyle w:val="soitChar"/>
        </w:rPr>
        <w:t xml:space="preserve">1. </w:t>
      </w:r>
      <w:r>
        <w:rPr>
          <w:rStyle w:val="soitChar"/>
          <w:u w:val="single"/>
        </w:rPr>
        <w:t>Quantités par niveau</w:t>
      </w:r>
      <w:r>
        <w:rPr>
          <w:rStyle w:val="soitChar"/>
        </w:rPr>
        <w:t xml:space="preserve">: </w:t>
      </w:r>
    </w:p>
    <w:p w14:paraId="14D27A34" w14:textId="77777777" w:rsidR="00DB2B68" w:rsidRDefault="00000000">
      <w:pPr>
        <w:ind w:left="567"/>
      </w:pPr>
      <w:r>
        <w:rPr>
          <w:rStyle w:val="soitChar"/>
          <w:u w:val="single"/>
        </w:rPr>
        <w:t>Quantité nette</w:t>
      </w:r>
      <w:r>
        <w:rPr>
          <w:rStyle w:val="soitChar"/>
        </w:rPr>
        <w:t xml:space="preserve"> pour les limons d'escalier. Les limons et le chemin d’escalier sont compris dans le prix unitaire.  La hauteur est prise entre les niveaux par niveau</w:t>
      </w:r>
      <w:r>
        <w:br/>
      </w:r>
      <w:r>
        <w:rPr>
          <w:rStyle w:val="soitChar"/>
          <w:u w:val="single"/>
        </w:rPr>
        <w:t>Quantité nette</w:t>
      </w:r>
      <w:r>
        <w:rPr>
          <w:rStyle w:val="soitChar"/>
        </w:rPr>
        <w:t> pour les marches et contre-marches. Une distinction est faite entre les marches droites et tournantes. </w:t>
      </w:r>
      <w:r>
        <w:br/>
      </w:r>
      <w:r>
        <w:rPr>
          <w:rStyle w:val="soitChar"/>
          <w:u w:val="single"/>
        </w:rPr>
        <w:t>La surface nette</w:t>
      </w:r>
      <w:r>
        <w:rPr>
          <w:rStyle w:val="soitChar"/>
        </w:rPr>
        <w:t xml:space="preserve"> est prise pour les paliers.</w:t>
      </w:r>
    </w:p>
    <w:p w14:paraId="69A6D935" w14:textId="77777777" w:rsidR="00DB2B68" w:rsidRDefault="00000000">
      <w:r>
        <w:rPr>
          <w:rStyle w:val="soitChar"/>
        </w:rPr>
        <w:t>La finition des bords est comprise.</w:t>
      </w:r>
      <w:r>
        <w:br/>
      </w:r>
      <w:r>
        <w:rPr>
          <w:rStyle w:val="soitChar"/>
        </w:rPr>
        <w:t>La hauteur de l’escalier est prise entre chaque niveau et ce par niveau.</w:t>
      </w:r>
    </w:p>
    <w:p w14:paraId="40E7A88F" w14:textId="77777777" w:rsidR="00DB2B68" w:rsidRDefault="00000000">
      <w:r>
        <w:rPr>
          <w:b/>
          <w:i/>
        </w:rPr>
        <w:t>(Soit)  </w:t>
      </w:r>
      <w:r>
        <w:br/>
      </w:r>
      <w:r>
        <w:rPr>
          <w:rStyle w:val="soitChar"/>
        </w:rPr>
        <w:t>2</w:t>
      </w:r>
      <w:r>
        <w:rPr>
          <w:rStyle w:val="soitChar"/>
          <w:u w:val="single"/>
        </w:rPr>
        <w:t>. Quantités :</w:t>
      </w:r>
    </w:p>
    <w:p w14:paraId="123A5BC8" w14:textId="77777777" w:rsidR="00DB2B68" w:rsidRDefault="00000000">
      <w:pPr>
        <w:ind w:left="567"/>
        <w:jc w:val="both"/>
      </w:pPr>
      <w:r>
        <w:rPr>
          <w:rStyle w:val="soitChar"/>
          <w:u w:val="single"/>
        </w:rPr>
        <w:t>La longueur totale</w:t>
      </w:r>
      <w:r>
        <w:rPr>
          <w:rStyle w:val="soitChar"/>
        </w:rPr>
        <w:t xml:space="preserve"> maximale (assemblage compris) est considérée pour le prix unitaire. </w:t>
      </w:r>
    </w:p>
    <w:p w14:paraId="63DFB55C" w14:textId="77777777" w:rsidR="00DB2B68" w:rsidRDefault="00000000">
      <w:pPr>
        <w:ind w:left="567"/>
        <w:jc w:val="both"/>
      </w:pPr>
      <w:r>
        <w:rPr>
          <w:rStyle w:val="soitChar"/>
          <w:u w:val="single"/>
        </w:rPr>
        <w:t>Quantité nette</w:t>
      </w:r>
      <w:r>
        <w:rPr>
          <w:rStyle w:val="soitChar"/>
        </w:rPr>
        <w:t xml:space="preserve"> pour les marches et contre-marches. Une distinction est faite entre les marches droites et tournantes. </w:t>
      </w:r>
    </w:p>
    <w:p w14:paraId="183D82FC" w14:textId="77777777" w:rsidR="00DB2B68" w:rsidRDefault="00000000">
      <w:pPr>
        <w:ind w:left="567"/>
        <w:jc w:val="both"/>
      </w:pPr>
      <w:r>
        <w:rPr>
          <w:rStyle w:val="soitChar"/>
          <w:u w:val="single"/>
        </w:rPr>
        <w:t>La surface nette</w:t>
      </w:r>
      <w:r>
        <w:rPr>
          <w:rStyle w:val="soitChar"/>
        </w:rPr>
        <w:t xml:space="preserve"> est prise pour les paliers.</w:t>
      </w:r>
    </w:p>
    <w:p w14:paraId="0AD6BAFE" w14:textId="77777777" w:rsidR="00DB2B68" w:rsidRDefault="00000000">
      <w:pPr>
        <w:jc w:val="both"/>
      </w:pPr>
      <w:r>
        <w:rPr>
          <w:rStyle w:val="soitChar"/>
        </w:rPr>
        <w:t>La finition des bords est comprise.</w:t>
      </w:r>
    </w:p>
    <w:p w14:paraId="6AD053A6" w14:textId="77777777" w:rsidR="00DB2B68" w:rsidRDefault="00000000">
      <w:pPr>
        <w:jc w:val="both"/>
      </w:pPr>
      <w:r>
        <w:rPr>
          <w:rStyle w:val="soitChar"/>
        </w:rPr>
        <w:t>La hauteur de l’escalier est prise entre chaque niveau et ce par niveau.</w:t>
      </w:r>
    </w:p>
    <w:p w14:paraId="5525FC0B" w14:textId="77777777" w:rsidR="00DB2B68" w:rsidRDefault="00000000">
      <w:pPr>
        <w:pStyle w:val="pheading"/>
      </w:pPr>
      <w:r>
        <w:t>- nature du marché:</w:t>
      </w:r>
    </w:p>
    <w:p w14:paraId="2D430BD6" w14:textId="77777777" w:rsidR="00DB2B68" w:rsidRDefault="00000000">
      <w:r>
        <w:t>QF</w:t>
      </w:r>
    </w:p>
    <w:p w14:paraId="0029E26B" w14:textId="77777777" w:rsidR="00DB2B68" w:rsidRDefault="00000000">
      <w:pPr>
        <w:pStyle w:val="Author-eSectionHeading4Numberless"/>
      </w:pPr>
      <w:bookmarkStart w:id="1702" w:name="_Toc220496682"/>
      <w:r>
        <w:t>24.32 Balcons en bois CCTB 01.13</w:t>
      </w:r>
      <w:bookmarkEnd w:id="1702"/>
    </w:p>
    <w:p w14:paraId="61DFD5E5" w14:textId="77777777" w:rsidR="00DB2B68" w:rsidRDefault="00000000">
      <w:pPr>
        <w:pStyle w:val="Author-eSectionHeading5Numberless"/>
      </w:pPr>
      <w:bookmarkStart w:id="1703" w:name="1118"/>
      <w:bookmarkStart w:id="1704" w:name="_Toc220496683"/>
      <w:bookmarkEnd w:id="1703"/>
      <w:r>
        <w:t>24.32.1 Balcons en bois CCTB 01.07</w:t>
      </w:r>
      <w:bookmarkEnd w:id="1704"/>
    </w:p>
    <w:p w14:paraId="631DA6C8" w14:textId="77777777" w:rsidR="00DB2B68" w:rsidRDefault="00000000">
      <w:pPr>
        <w:pStyle w:val="Author-eSectionHeading6Numberless"/>
      </w:pPr>
      <w:bookmarkStart w:id="1705" w:name="_Toc220496684"/>
      <w:r>
        <w:t>24.32.1a Balcons en bois CCTB 01.11</w:t>
      </w:r>
      <w:bookmarkEnd w:id="1705"/>
    </w:p>
    <w:p w14:paraId="039420CD" w14:textId="77777777" w:rsidR="00DB2B68" w:rsidRDefault="00000000">
      <w:pPr>
        <w:pStyle w:val="pheading"/>
      </w:pPr>
      <w:r>
        <w:t>DESCRIPTION</w:t>
      </w:r>
    </w:p>
    <w:p w14:paraId="64BAF94A" w14:textId="77777777" w:rsidR="00DB2B68" w:rsidRDefault="00000000">
      <w:pPr>
        <w:pStyle w:val="pheading"/>
      </w:pPr>
      <w:r>
        <w:lastRenderedPageBreak/>
        <w:t>- Définition / Comprend</w:t>
      </w:r>
    </w:p>
    <w:p w14:paraId="73FA7B26" w14:textId="77777777" w:rsidR="00DB2B68" w:rsidRDefault="00000000">
      <w:pPr>
        <w:jc w:val="both"/>
      </w:pPr>
      <w:r>
        <w:t>Il s'agit de la fourniture et la pose de balcons en bois ainsi que tout élément nécessaire pour obtenir un ensemble fini.</w:t>
      </w:r>
    </w:p>
    <w:p w14:paraId="6B5356E4" w14:textId="77777777" w:rsidR="00DB2B68" w:rsidRDefault="00000000">
      <w:pPr>
        <w:pStyle w:val="pheading"/>
      </w:pPr>
      <w:r>
        <w:t>MATÉRIAUX</w:t>
      </w:r>
    </w:p>
    <w:p w14:paraId="77394CDB" w14:textId="77777777" w:rsidR="00DB2B68" w:rsidRDefault="00000000">
      <w:pPr>
        <w:pStyle w:val="pheading"/>
      </w:pPr>
      <w:r>
        <w:t>- Caractéristiques générales</w:t>
      </w:r>
    </w:p>
    <w:p w14:paraId="6C465A47" w14:textId="77777777" w:rsidR="00DB2B68" w:rsidRDefault="00000000">
      <w:pPr>
        <w:jc w:val="both"/>
      </w:pPr>
      <w:r>
        <w:rPr>
          <w:b/>
        </w:rPr>
        <w:t>Préambule</w:t>
      </w:r>
    </w:p>
    <w:p w14:paraId="62024536" w14:textId="77777777" w:rsidR="00DB2B68" w:rsidRDefault="00000000">
      <w:pPr>
        <w:jc w:val="both"/>
      </w:pPr>
      <w:r>
        <w:t>En fonction de leur conception, les balcons sont composés :</w:t>
      </w:r>
    </w:p>
    <w:p w14:paraId="0C26065B" w14:textId="77777777" w:rsidR="00DB2B68" w:rsidRDefault="00000000">
      <w:pPr>
        <w:pStyle w:val="Author-eListParagraph"/>
        <w:numPr>
          <w:ilvl w:val="0"/>
          <w:numId w:val="977"/>
        </w:numPr>
      </w:pPr>
      <w:r>
        <w:t>d’une structure portante (colonnes et/ou consoles fixées au mur) ;</w:t>
      </w:r>
    </w:p>
    <w:p w14:paraId="29CE8D74" w14:textId="77777777" w:rsidR="00DB2B68" w:rsidRDefault="00000000">
      <w:pPr>
        <w:pStyle w:val="Author-eListParagraph"/>
        <w:numPr>
          <w:ilvl w:val="0"/>
          <w:numId w:val="977"/>
        </w:numPr>
      </w:pPr>
      <w:r>
        <w:t>d’une structure principale (poutres principales) ;</w:t>
      </w:r>
    </w:p>
    <w:p w14:paraId="74155E0C" w14:textId="77777777" w:rsidR="00DB2B68" w:rsidRDefault="00000000">
      <w:pPr>
        <w:pStyle w:val="Author-eListParagraph"/>
        <w:numPr>
          <w:ilvl w:val="0"/>
          <w:numId w:val="977"/>
        </w:numPr>
      </w:pPr>
      <w:r>
        <w:t>d’une structure secondaire (traverses, contreventements, etc.) ;</w:t>
      </w:r>
    </w:p>
    <w:p w14:paraId="72C5FA6D" w14:textId="77777777" w:rsidR="00DB2B68" w:rsidRDefault="00000000">
      <w:pPr>
        <w:pStyle w:val="Author-eListParagraph"/>
        <w:numPr>
          <w:ilvl w:val="0"/>
          <w:numId w:val="977"/>
        </w:numPr>
      </w:pPr>
      <w:r>
        <w:t>d’un platelage ;</w:t>
      </w:r>
    </w:p>
    <w:p w14:paraId="30252268" w14:textId="77777777" w:rsidR="00DB2B68" w:rsidRDefault="00000000">
      <w:pPr>
        <w:pStyle w:val="Author-eListParagraph"/>
        <w:numPr>
          <w:ilvl w:val="0"/>
          <w:numId w:val="977"/>
        </w:numPr>
      </w:pPr>
      <w:r>
        <w:t>de garde-corps.</w:t>
      </w:r>
    </w:p>
    <w:p w14:paraId="1BA5BE89" w14:textId="77777777" w:rsidR="00DB2B68" w:rsidRDefault="00000000">
      <w:pPr>
        <w:jc w:val="both"/>
      </w:pPr>
      <w:r>
        <w:rPr>
          <w:u w:val="single"/>
        </w:rPr>
        <w:t>Structures portantes</w:t>
      </w:r>
    </w:p>
    <w:p w14:paraId="408B3D93" w14:textId="77777777" w:rsidR="00DB2B68" w:rsidRDefault="00000000">
      <w:pPr>
        <w:jc w:val="both"/>
      </w:pPr>
      <w:r>
        <w:t xml:space="preserve">Les structures portantes ne font pas partie du présent travail. Elles sont décrites séparément en fonction de la nature des matériaux aux </w:t>
      </w:r>
      <w:hyperlink w:anchor="294" w:history="1">
        <w:r>
          <w:rPr>
            <w:color w:val="0000EE"/>
          </w:rPr>
          <w:t>21.1 Maçonneries portantes</w:t>
        </w:r>
      </w:hyperlink>
      <w:r>
        <w:t xml:space="preserve">, </w:t>
      </w:r>
      <w:hyperlink w:anchor="532" w:history="1">
        <w:r>
          <w:rPr>
            <w:color w:val="0000EE"/>
          </w:rPr>
          <w:t>22.1 Eléments de structures en béton</w:t>
        </w:r>
      </w:hyperlink>
      <w:r>
        <w:t xml:space="preserve">, </w:t>
      </w:r>
      <w:hyperlink w:anchor="422" w:history="1">
        <w:r>
          <w:rPr>
            <w:color w:val="0000EE"/>
          </w:rPr>
          <w:t>23.1 Eléments de structures métalliques</w:t>
        </w:r>
      </w:hyperlink>
      <w:r>
        <w:t xml:space="preserve"> ou </w:t>
      </w:r>
      <w:hyperlink w:anchor="594" w:history="1">
        <w:r>
          <w:rPr>
            <w:color w:val="0000EE"/>
          </w:rPr>
          <w:t>24.1 Eléments de structures en bois</w:t>
        </w:r>
      </w:hyperlink>
      <w:r>
        <w:t xml:space="preserve"> et articles qui en découlent.</w:t>
      </w:r>
    </w:p>
    <w:p w14:paraId="38C605E5" w14:textId="77777777" w:rsidR="00DB2B68" w:rsidRDefault="00000000">
      <w:pPr>
        <w:jc w:val="both"/>
      </w:pPr>
      <w:r>
        <w:rPr>
          <w:u w:val="single"/>
        </w:rPr>
        <w:t>Garde-corps</w:t>
      </w:r>
    </w:p>
    <w:p w14:paraId="1FDD05B3" w14:textId="77777777" w:rsidR="00DB2B68" w:rsidRDefault="00000000">
      <w:pPr>
        <w:jc w:val="both"/>
      </w:pPr>
      <w:r>
        <w:t>Les garde-corps sont décrits séparément, par exemple pour les métalliques, aux </w:t>
      </w:r>
      <w:hyperlink w:anchor="190" w:history="1">
        <w:r>
          <w:rPr>
            <w:color w:val="0000EE"/>
          </w:rPr>
          <w:t>23.32 Garde-corps et rampes métalliques</w:t>
        </w:r>
      </w:hyperlink>
      <w:r>
        <w:t xml:space="preserve"> et articles qui en découlent. </w:t>
      </w:r>
      <w:r>
        <w:rPr>
          <w:rStyle w:val="optioncarChar"/>
        </w:rPr>
        <w:t xml:space="preserve">Ils ne font pas partie du présent travail </w:t>
      </w:r>
      <w:r>
        <w:t>(par défaut)</w:t>
      </w:r>
      <w:r>
        <w:rPr>
          <w:rStyle w:val="optioncarChar"/>
        </w:rPr>
        <w:t xml:space="preserve"> / Ils sont compris dans le présent travail</w:t>
      </w:r>
      <w:r>
        <w:t>.</w:t>
      </w:r>
    </w:p>
    <w:p w14:paraId="7D305FE4" w14:textId="77777777" w:rsidR="00DB2B68" w:rsidRDefault="00000000">
      <w:pPr>
        <w:jc w:val="both"/>
      </w:pPr>
      <w:r>
        <w:rPr>
          <w:b/>
        </w:rPr>
        <w:t>Matériaux des balcons</w:t>
      </w:r>
    </w:p>
    <w:p w14:paraId="43DBB30D" w14:textId="77777777" w:rsidR="00DB2B68" w:rsidRDefault="00000000">
      <w:pPr>
        <w:pStyle w:val="Author-eListParagraph"/>
        <w:numPr>
          <w:ilvl w:val="0"/>
          <w:numId w:val="978"/>
        </w:numPr>
      </w:pPr>
      <w:r>
        <w:t>Classe d’emploi/de risque, suivant la [NBN EN 335] : 3</w:t>
      </w:r>
    </w:p>
    <w:p w14:paraId="5E70D210" w14:textId="77777777" w:rsidR="00DB2B68" w:rsidRDefault="00000000">
      <w:pPr>
        <w:jc w:val="both"/>
      </w:pPr>
      <w:r>
        <w:rPr>
          <w:u w:val="single"/>
        </w:rPr>
        <w:t>Les structures principales et secondaires</w:t>
      </w:r>
    </w:p>
    <w:p w14:paraId="29378F93" w14:textId="77777777" w:rsidR="00DB2B68" w:rsidRDefault="00000000">
      <w:pPr>
        <w:jc w:val="both"/>
      </w:pPr>
      <w:r>
        <w:t>Caractéristiques du bois :</w:t>
      </w:r>
    </w:p>
    <w:p w14:paraId="538BB31F" w14:textId="77777777" w:rsidR="00DB2B68" w:rsidRDefault="00000000">
      <w:pPr>
        <w:pStyle w:val="Author-eListParagraph"/>
        <w:numPr>
          <w:ilvl w:val="0"/>
          <w:numId w:val="979"/>
        </w:numPr>
      </w:pPr>
      <w:r>
        <w:t xml:space="preserve">Gamme de produits : </w:t>
      </w:r>
      <w:r>
        <w:rPr>
          <w:rStyle w:val="optioncarChar"/>
        </w:rPr>
        <w:t>bois massifs</w:t>
      </w:r>
      <w:r>
        <w:t xml:space="preserve"> (par défaut)</w:t>
      </w:r>
      <w:r>
        <w:rPr>
          <w:rStyle w:val="optioncarChar"/>
        </w:rPr>
        <w:t xml:space="preserve"> / bois lamellés-collés</w:t>
      </w:r>
    </w:p>
    <w:p w14:paraId="3163995C" w14:textId="77777777" w:rsidR="00DB2B68" w:rsidRDefault="00000000">
      <w:pPr>
        <w:pStyle w:val="Author-eListParagraph"/>
        <w:numPr>
          <w:ilvl w:val="0"/>
          <w:numId w:val="979"/>
        </w:numPr>
      </w:pPr>
      <w:r>
        <w:t xml:space="preserve">Classe de durabilité, suivant la [NBN EN 460] : </w:t>
      </w:r>
      <w:r>
        <w:rPr>
          <w:rStyle w:val="optioncarChar"/>
        </w:rPr>
        <w:t xml:space="preserve">1 / 2 </w:t>
      </w:r>
      <w:r>
        <w:t>(par défaut)</w:t>
      </w:r>
      <w:r>
        <w:rPr>
          <w:rStyle w:val="optioncarChar"/>
        </w:rPr>
        <w:t xml:space="preserve"> / 3 / en fonction de l’essence de bois (voir le point suivant)</w:t>
      </w:r>
    </w:p>
    <w:p w14:paraId="54FF23E1" w14:textId="77777777" w:rsidR="00DB2B68" w:rsidRDefault="00000000">
      <w:pPr>
        <w:pStyle w:val="Author-eListParagraph"/>
        <w:numPr>
          <w:ilvl w:val="0"/>
          <w:numId w:val="979"/>
        </w:numPr>
      </w:pPr>
      <w:r>
        <w:t xml:space="preserve">Choix de l’essence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w:t>
      </w:r>
      <w:r>
        <w:t>.</w:t>
      </w:r>
    </w:p>
    <w:p w14:paraId="5B105730" w14:textId="77777777" w:rsidR="00DB2B68" w:rsidRDefault="00000000">
      <w:pPr>
        <w:pStyle w:val="Author-eListParagraph"/>
        <w:numPr>
          <w:ilvl w:val="0"/>
          <w:numId w:val="979"/>
        </w:numPr>
      </w:pPr>
      <w:r>
        <w:t xml:space="preserve">Raboté : </w:t>
      </w:r>
      <w:r>
        <w:rPr>
          <w:rStyle w:val="optioncarChar"/>
        </w:rPr>
        <w:t>2 faces (les faces de pose de panneaux) / 4 faces</w:t>
      </w:r>
      <w:r>
        <w:t xml:space="preserve"> (par défaut)</w:t>
      </w:r>
    </w:p>
    <w:p w14:paraId="1CEDAE39" w14:textId="77777777" w:rsidR="00DB2B68" w:rsidRDefault="00000000">
      <w:pPr>
        <w:jc w:val="both"/>
      </w:pPr>
      <w:r>
        <w:rPr>
          <w:u w:val="single"/>
        </w:rPr>
        <w:t>Les platelages</w:t>
      </w:r>
    </w:p>
    <w:p w14:paraId="654175C1" w14:textId="77777777" w:rsidR="00DB2B68" w:rsidRDefault="00000000">
      <w:pPr>
        <w:jc w:val="both"/>
      </w:pPr>
      <w:r>
        <w:t>Caractéristiques du bois :</w:t>
      </w:r>
    </w:p>
    <w:p w14:paraId="1B4F5E08" w14:textId="77777777" w:rsidR="00DB2B68" w:rsidRDefault="00000000">
      <w:pPr>
        <w:pStyle w:val="Author-eListParagraph"/>
        <w:numPr>
          <w:ilvl w:val="0"/>
          <w:numId w:val="980"/>
        </w:numPr>
      </w:pPr>
      <w:r>
        <w:t xml:space="preserve">Gamme de produits : </w:t>
      </w:r>
      <w:r>
        <w:rPr>
          <w:rStyle w:val="optioncarChar"/>
        </w:rPr>
        <w:t>bois massif</w:t>
      </w:r>
      <w:r>
        <w:t xml:space="preserve"> (par défaut)</w:t>
      </w:r>
      <w:r>
        <w:rPr>
          <w:rStyle w:val="optioncarChar"/>
        </w:rPr>
        <w:t xml:space="preserve"> / panneaux de contreplaqué</w:t>
      </w:r>
    </w:p>
    <w:p w14:paraId="4ED7287B" w14:textId="77777777" w:rsidR="00DB2B68" w:rsidRDefault="00000000">
      <w:pPr>
        <w:ind w:left="567"/>
        <w:jc w:val="both"/>
      </w:pPr>
      <w:r>
        <w:rPr>
          <w:b/>
        </w:rPr>
        <w:t>(soit par défaut)</w:t>
      </w:r>
    </w:p>
    <w:p w14:paraId="2F38CCC7" w14:textId="77777777" w:rsidR="00DB2B68" w:rsidRDefault="00000000">
      <w:pPr>
        <w:ind w:left="567"/>
        <w:jc w:val="both"/>
      </w:pPr>
      <w:r>
        <w:rPr>
          <w:rStyle w:val="soitChar"/>
          <w:u w:val="single"/>
        </w:rPr>
        <w:t>Bois massif :</w:t>
      </w:r>
    </w:p>
    <w:p w14:paraId="3114BCD2" w14:textId="77777777" w:rsidR="00DB2B68" w:rsidRDefault="00000000">
      <w:pPr>
        <w:pStyle w:val="Author-eListParagraph"/>
        <w:numPr>
          <w:ilvl w:val="0"/>
          <w:numId w:val="981"/>
        </w:numPr>
      </w:pPr>
      <w:r>
        <w:rPr>
          <w:rStyle w:val="soitChar"/>
        </w:rPr>
        <w:t xml:space="preserve">Classe de durabilité, suivant la [NBN EN 460] ≤ </w:t>
      </w:r>
      <w:r>
        <w:rPr>
          <w:rStyle w:val="optioncarChar"/>
        </w:rPr>
        <w:t xml:space="preserve">1 / 2 </w:t>
      </w:r>
      <w:r>
        <w:t>(par défaut)</w:t>
      </w:r>
      <w:r>
        <w:rPr>
          <w:rStyle w:val="optioncarChar"/>
        </w:rPr>
        <w:t xml:space="preserve"> / 3 / 4 / 5 / choix de l’essence de bois (voir le point suivant)</w:t>
      </w:r>
    </w:p>
    <w:p w14:paraId="039C858E" w14:textId="77777777" w:rsidR="00DB2B68" w:rsidRDefault="00000000">
      <w:pPr>
        <w:pStyle w:val="Author-eListParagraph"/>
        <w:numPr>
          <w:ilvl w:val="0"/>
          <w:numId w:val="981"/>
        </w:numPr>
      </w:pPr>
      <w:r>
        <w:rPr>
          <w:rStyle w:val="soitChar"/>
        </w:rPr>
        <w:t xml:space="preserve">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ipe / itauba / hêtre / frêne / mélèze / ***</w:t>
      </w:r>
    </w:p>
    <w:p w14:paraId="26BC5415" w14:textId="77777777" w:rsidR="00DB2B68" w:rsidRDefault="00000000">
      <w:pPr>
        <w:pStyle w:val="Author-eListParagraph"/>
        <w:numPr>
          <w:ilvl w:val="0"/>
          <w:numId w:val="981"/>
        </w:numPr>
      </w:pPr>
      <w:r>
        <w:rPr>
          <w:rStyle w:val="soitChar"/>
        </w:rPr>
        <w:t xml:space="preserve">Epaisseur du platelage : </w:t>
      </w:r>
      <w:r>
        <w:rPr>
          <w:rStyle w:val="optioncarChar"/>
        </w:rPr>
        <w:t>22</w:t>
      </w:r>
      <w:r>
        <w:t xml:space="preserve"> (par défaut)</w:t>
      </w:r>
      <w:r>
        <w:rPr>
          <w:rStyle w:val="optioncarChar"/>
        </w:rPr>
        <w:t xml:space="preserve"> / 30 / 35</w:t>
      </w:r>
      <w:r>
        <w:rPr>
          <w:rStyle w:val="soitChar"/>
        </w:rPr>
        <w:t xml:space="preserve"> mm</w:t>
      </w:r>
    </w:p>
    <w:p w14:paraId="21F265A6" w14:textId="77777777" w:rsidR="00DB2B68" w:rsidRDefault="00000000">
      <w:pPr>
        <w:pStyle w:val="Author-eListParagraph"/>
        <w:numPr>
          <w:ilvl w:val="0"/>
          <w:numId w:val="981"/>
        </w:numPr>
      </w:pPr>
      <w:r>
        <w:rPr>
          <w:rStyle w:val="soitChar"/>
        </w:rPr>
        <w:t xml:space="preserve">Jointures : </w:t>
      </w:r>
      <w:r>
        <w:rPr>
          <w:rStyle w:val="optioncarChar"/>
        </w:rPr>
        <w:t>ajourées</w:t>
      </w:r>
      <w:r>
        <w:t xml:space="preserve"> (par défaut)</w:t>
      </w:r>
      <w:r>
        <w:rPr>
          <w:rStyle w:val="optioncarChar"/>
        </w:rPr>
        <w:t xml:space="preserve"> / fermées</w:t>
      </w:r>
    </w:p>
    <w:p w14:paraId="6B3257BC" w14:textId="77777777" w:rsidR="00DB2B68" w:rsidRDefault="00000000">
      <w:pPr>
        <w:pStyle w:val="Author-eListParagraph"/>
        <w:numPr>
          <w:ilvl w:val="0"/>
          <w:numId w:val="981"/>
        </w:numPr>
      </w:pPr>
      <w:r>
        <w:rPr>
          <w:rStyle w:val="soitChar"/>
        </w:rPr>
        <w:lastRenderedPageBreak/>
        <w:t xml:space="preserve">Finition des bords : </w:t>
      </w:r>
      <w:r>
        <w:rPr>
          <w:rStyle w:val="optioncarChar"/>
        </w:rPr>
        <w:t>droits / adoucis</w:t>
      </w:r>
      <w:r>
        <w:t xml:space="preserve"> (par défaut)</w:t>
      </w:r>
      <w:r>
        <w:rPr>
          <w:rStyle w:val="optioncarChar"/>
        </w:rPr>
        <w:t xml:space="preserve"> / chanfreinés / à rainures et languettes des deux côtés longitudinaux / à rainures et languettes sur les quatre côtés / à mi-bois sur les quatre côtés</w:t>
      </w:r>
    </w:p>
    <w:p w14:paraId="055CBD9D" w14:textId="77777777" w:rsidR="00DB2B68" w:rsidRDefault="00000000">
      <w:pPr>
        <w:pStyle w:val="Author-eListParagraph"/>
        <w:numPr>
          <w:ilvl w:val="0"/>
          <w:numId w:val="981"/>
        </w:numPr>
      </w:pPr>
      <w:r>
        <w:rPr>
          <w:rStyle w:val="soitChar"/>
        </w:rPr>
        <w:t xml:space="preserve">Finition de la face vue : </w:t>
      </w:r>
      <w:r>
        <w:rPr>
          <w:rStyle w:val="optioncarChar"/>
        </w:rPr>
        <w:t>antidérapante (PMR)</w:t>
      </w:r>
      <w:r>
        <w:t xml:space="preserve"> (par défaut) </w:t>
      </w:r>
      <w:r>
        <w:rPr>
          <w:rStyle w:val="optioncarChar"/>
        </w:rPr>
        <w:t>/ poncée / rabotée</w:t>
      </w:r>
    </w:p>
    <w:p w14:paraId="51E2DC51" w14:textId="77777777" w:rsidR="00DB2B68" w:rsidRDefault="00000000">
      <w:pPr>
        <w:pStyle w:val="Author-eListParagraph"/>
        <w:numPr>
          <w:ilvl w:val="0"/>
          <w:numId w:val="981"/>
        </w:numPr>
      </w:pPr>
      <w:r>
        <w:rPr>
          <w:rStyle w:val="soitChar"/>
        </w:rPr>
        <w:t>Pour l’antidérapant :</w:t>
      </w:r>
    </w:p>
    <w:p w14:paraId="072AF6AE" w14:textId="77777777" w:rsidR="00DB2B68" w:rsidRDefault="00000000">
      <w:pPr>
        <w:pStyle w:val="Author-eListParagraph"/>
        <w:numPr>
          <w:ilvl w:val="1"/>
          <w:numId w:val="982"/>
        </w:numPr>
      </w:pPr>
      <w:r>
        <w:rPr>
          <w:rStyle w:val="soitChar"/>
        </w:rPr>
        <w:t xml:space="preserve">Type d’antidérapant : </w:t>
      </w:r>
      <w:r>
        <w:rPr>
          <w:rStyle w:val="optioncarChar"/>
        </w:rPr>
        <w:t xml:space="preserve">ciselages (stries) antidérapants </w:t>
      </w:r>
      <w:r>
        <w:t>(par défaut)</w:t>
      </w:r>
      <w:r>
        <w:rPr>
          <w:rStyle w:val="optioncarChar"/>
        </w:rPr>
        <w:t xml:space="preserve"> / bandes antidérapantes collées / bandes antidérapantes embrevées</w:t>
      </w:r>
    </w:p>
    <w:p w14:paraId="1646303A" w14:textId="77777777" w:rsidR="00DB2B68" w:rsidRDefault="00000000">
      <w:pPr>
        <w:pStyle w:val="Author-eListParagraph"/>
        <w:numPr>
          <w:ilvl w:val="1"/>
          <w:numId w:val="982"/>
        </w:numPr>
      </w:pPr>
      <w:r>
        <w:rPr>
          <w:rStyle w:val="soitChar"/>
        </w:rPr>
        <w:t xml:space="preserve">Matériau antidérapant : </w:t>
      </w:r>
      <w:r>
        <w:rPr>
          <w:rStyle w:val="optioncarChar"/>
        </w:rPr>
        <w:t>pas d’application (ciselage)</w:t>
      </w:r>
      <w:r>
        <w:t xml:space="preserve"> (par défaut) </w:t>
      </w:r>
      <w:r>
        <w:rPr>
          <w:rStyle w:val="optioncarChar"/>
        </w:rPr>
        <w:t>/ carborundum / caoutchouc / PVC</w:t>
      </w:r>
    </w:p>
    <w:p w14:paraId="1DB4F1B2" w14:textId="77777777" w:rsidR="00DB2B68" w:rsidRDefault="00000000">
      <w:pPr>
        <w:ind w:left="567"/>
        <w:jc w:val="both"/>
      </w:pPr>
      <w:r>
        <w:rPr>
          <w:b/>
        </w:rPr>
        <w:t xml:space="preserve"> (soit)</w:t>
      </w:r>
    </w:p>
    <w:p w14:paraId="41A8FE39" w14:textId="77777777" w:rsidR="00DB2B68" w:rsidRDefault="00000000">
      <w:pPr>
        <w:ind w:left="567"/>
        <w:jc w:val="both"/>
      </w:pPr>
      <w:r>
        <w:rPr>
          <w:rStyle w:val="soitChar"/>
          <w:u w:val="single"/>
        </w:rPr>
        <w:t>Panneaux de contreplaqué :</w:t>
      </w:r>
    </w:p>
    <w:p w14:paraId="0B2DB244" w14:textId="77777777" w:rsidR="00DB2B68" w:rsidRDefault="00000000">
      <w:pPr>
        <w:pStyle w:val="Author-eListParagraph"/>
        <w:numPr>
          <w:ilvl w:val="0"/>
          <w:numId w:val="983"/>
        </w:numPr>
      </w:pPr>
      <w:r>
        <w:rPr>
          <w:rStyle w:val="soitChar"/>
        </w:rPr>
        <w:t xml:space="preserve">Classe de collage, selon la [NBN EN 314-2] : </w:t>
      </w:r>
      <w:r>
        <w:rPr>
          <w:rStyle w:val="optioncarChar"/>
        </w:rPr>
        <w:t>1 (int.) / 2 (ext à l’abri) / 3 (ext.)</w:t>
      </w:r>
      <w:r>
        <w:t xml:space="preserve"> (par défaut)</w:t>
      </w:r>
    </w:p>
    <w:p w14:paraId="731CA135" w14:textId="77777777" w:rsidR="00DB2B68" w:rsidRDefault="00000000">
      <w:pPr>
        <w:pStyle w:val="Author-eListParagraph"/>
        <w:numPr>
          <w:ilvl w:val="0"/>
          <w:numId w:val="983"/>
        </w:numPr>
      </w:pPr>
      <w:r>
        <w:rPr>
          <w:rStyle w:val="soitChar"/>
        </w:rPr>
        <w:t xml:space="preserve">Essence : </w:t>
      </w:r>
      <w:r>
        <w:rPr>
          <w:rStyle w:val="optioncarChar"/>
        </w:rPr>
        <w:t xml:space="preserve">au choix de l’entrepreneur, à soumettre à l’approbation de l’architecte et du maître de l’ouvrage </w:t>
      </w:r>
      <w:r>
        <w:t>(par défaut)</w:t>
      </w:r>
      <w:r>
        <w:rPr>
          <w:rStyle w:val="optioncarChar"/>
        </w:rPr>
        <w:t xml:space="preserve"> / okoumé nautique / Western Red Cedar / dark red meranti / ***</w:t>
      </w:r>
    </w:p>
    <w:p w14:paraId="2C616B89" w14:textId="77777777" w:rsidR="00DB2B68" w:rsidRDefault="00000000">
      <w:pPr>
        <w:pStyle w:val="Author-eListParagraph"/>
        <w:numPr>
          <w:ilvl w:val="0"/>
          <w:numId w:val="983"/>
        </w:numPr>
      </w:pPr>
      <w:r>
        <w:rPr>
          <w:rStyle w:val="soitChar"/>
        </w:rPr>
        <w:t xml:space="preserve">Epaisseur des panneaux : </w:t>
      </w:r>
      <w:r>
        <w:rPr>
          <w:rStyle w:val="optioncarChar"/>
        </w:rPr>
        <w:t>18 / 20 / 22</w:t>
      </w:r>
      <w:r>
        <w:t xml:space="preserve"> (par défaut)</w:t>
      </w:r>
      <w:r>
        <w:rPr>
          <w:rStyle w:val="optioncarChar"/>
        </w:rPr>
        <w:t xml:space="preserve"> / 25 / 30</w:t>
      </w:r>
      <w:r>
        <w:rPr>
          <w:rStyle w:val="soitChar"/>
        </w:rPr>
        <w:t xml:space="preserve"> mm</w:t>
      </w:r>
    </w:p>
    <w:p w14:paraId="30673539" w14:textId="77777777" w:rsidR="00DB2B68" w:rsidRDefault="00000000">
      <w:pPr>
        <w:pStyle w:val="Author-eListParagraph"/>
        <w:numPr>
          <w:ilvl w:val="0"/>
          <w:numId w:val="983"/>
        </w:numPr>
      </w:pPr>
      <w:r>
        <w:rPr>
          <w:rStyle w:val="soitChar"/>
        </w:rPr>
        <w:t xml:space="preserve">Jointures : </w:t>
      </w:r>
      <w:r>
        <w:rPr>
          <w:rStyle w:val="optioncarChar"/>
        </w:rPr>
        <w:t>ajourées</w:t>
      </w:r>
      <w:r>
        <w:t xml:space="preserve"> (par défaut)</w:t>
      </w:r>
      <w:r>
        <w:rPr>
          <w:rStyle w:val="optioncarChar"/>
        </w:rPr>
        <w:t xml:space="preserve"> / fermées</w:t>
      </w:r>
    </w:p>
    <w:p w14:paraId="02718601" w14:textId="77777777" w:rsidR="00DB2B68" w:rsidRDefault="00000000">
      <w:pPr>
        <w:pStyle w:val="Author-eListParagraph"/>
        <w:numPr>
          <w:ilvl w:val="0"/>
          <w:numId w:val="983"/>
        </w:numPr>
      </w:pPr>
      <w:r>
        <w:rPr>
          <w:rStyle w:val="soitChar"/>
        </w:rPr>
        <w:t xml:space="preserve">Finition des bords : </w:t>
      </w:r>
      <w:r>
        <w:rPr>
          <w:rStyle w:val="optioncarChar"/>
        </w:rPr>
        <w:t>droits</w:t>
      </w:r>
      <w:r>
        <w:t xml:space="preserve"> (par défaut) </w:t>
      </w:r>
      <w:r>
        <w:rPr>
          <w:rStyle w:val="optioncarChar"/>
        </w:rPr>
        <w:t>/ à rainures et languettes des deux côtés longitudinaux / à rainures et languettes sur les quatre côtés</w:t>
      </w:r>
    </w:p>
    <w:p w14:paraId="582E93FA" w14:textId="77777777" w:rsidR="00DB2B68" w:rsidRDefault="00000000">
      <w:pPr>
        <w:pStyle w:val="Author-eListParagraph"/>
        <w:numPr>
          <w:ilvl w:val="0"/>
          <w:numId w:val="983"/>
        </w:numPr>
      </w:pPr>
      <w:r>
        <w:rPr>
          <w:rStyle w:val="soitChar"/>
        </w:rPr>
        <w:t>Finition de la face vue : </w:t>
      </w:r>
      <w:r>
        <w:rPr>
          <w:rStyle w:val="optioncarChar"/>
        </w:rPr>
        <w:t xml:space="preserve">antidérapante (PMR) </w:t>
      </w:r>
      <w:r>
        <w:t>(par défaut)</w:t>
      </w:r>
      <w:r>
        <w:rPr>
          <w:rStyle w:val="optioncarChar"/>
        </w:rPr>
        <w:t xml:space="preserve"> / poncée / non poncée</w:t>
      </w:r>
    </w:p>
    <w:p w14:paraId="0DEFBFD5" w14:textId="77777777" w:rsidR="00DB2B68" w:rsidRDefault="00000000">
      <w:pPr>
        <w:pStyle w:val="pheading"/>
      </w:pPr>
      <w:r>
        <w:t>- Finitions</w:t>
      </w:r>
    </w:p>
    <w:p w14:paraId="419F08F9" w14:textId="77777777" w:rsidR="00DB2B68" w:rsidRDefault="00000000">
      <w:r>
        <w:rPr>
          <w:b/>
        </w:rPr>
        <w:t>Traitement de finition du bois</w:t>
      </w:r>
      <w:r>
        <w:br/>
        <w:t xml:space="preserve">Finition des parties visibles du bois : </w:t>
      </w:r>
      <w:r>
        <w:rPr>
          <w:rStyle w:val="optioncarChar"/>
        </w:rPr>
        <w:t>pas de finition</w:t>
      </w:r>
      <w:r>
        <w:t xml:space="preserve"> (par défaut)</w:t>
      </w:r>
      <w:r>
        <w:rPr>
          <w:rStyle w:val="optioncarChar"/>
        </w:rPr>
        <w:t xml:space="preserve"> / application d’une finition</w:t>
      </w:r>
      <w:r>
        <w:br/>
      </w:r>
      <w:r>
        <w:rPr>
          <w:u w:val="single"/>
        </w:rPr>
        <w:t>Dans le cas de l’application d’une finition sur le bois prévue dans le présent travail :</w:t>
      </w:r>
    </w:p>
    <w:p w14:paraId="0D2813F3" w14:textId="77777777" w:rsidR="00DB2B68" w:rsidRDefault="00000000">
      <w:pPr>
        <w:pStyle w:val="Author-eListParagraph"/>
        <w:numPr>
          <w:ilvl w:val="0"/>
          <w:numId w:val="984"/>
        </w:numPr>
      </w:pPr>
      <w:r>
        <w:t xml:space="preserve">Type de traitement : </w:t>
      </w:r>
      <w:r>
        <w:rPr>
          <w:rStyle w:val="optioncarChar"/>
        </w:rPr>
        <w:t xml:space="preserve">anti UV </w:t>
      </w:r>
      <w:r>
        <w:t>(par défaut</w:t>
      </w:r>
      <w:r>
        <w:rPr>
          <w:rStyle w:val="optioncarChar"/>
        </w:rPr>
        <w:t>) / verni / peinture / lasure / huile / céruse</w:t>
      </w:r>
    </w:p>
    <w:p w14:paraId="5591FC6F" w14:textId="77777777" w:rsidR="00DB2B68" w:rsidRDefault="00000000">
      <w:pPr>
        <w:pStyle w:val="Author-eListParagraph"/>
        <w:numPr>
          <w:ilvl w:val="0"/>
          <w:numId w:val="984"/>
        </w:numPr>
      </w:pPr>
      <w:r>
        <w:t xml:space="preserve">Teinte : </w:t>
      </w:r>
      <w:r>
        <w:rPr>
          <w:rStyle w:val="optioncarChar"/>
        </w:rPr>
        <w:t xml:space="preserve">transparent </w:t>
      </w:r>
      <w:r>
        <w:t>(par défaut)</w:t>
      </w:r>
      <w:r>
        <w:rPr>
          <w:rStyle w:val="optioncarChar"/>
        </w:rPr>
        <w:t xml:space="preserve"> / pigmenté blanchâtre / blanc / RAL : ***</w:t>
      </w:r>
    </w:p>
    <w:p w14:paraId="5C8E2024" w14:textId="77777777" w:rsidR="00DB2B68" w:rsidRDefault="00000000">
      <w:pPr>
        <w:pStyle w:val="pheading"/>
      </w:pPr>
      <w:r>
        <w:t>EXÉCUTION / MISE EN ŒUVRE</w:t>
      </w:r>
    </w:p>
    <w:p w14:paraId="5373DB8B" w14:textId="77777777" w:rsidR="00DB2B68" w:rsidRDefault="00000000">
      <w:pPr>
        <w:pStyle w:val="pheading"/>
      </w:pPr>
      <w:r>
        <w:t>- Prescriptions générales</w:t>
      </w:r>
    </w:p>
    <w:p w14:paraId="1EBA54DD" w14:textId="77777777" w:rsidR="00DB2B68" w:rsidRDefault="00000000">
      <w:pPr>
        <w:jc w:val="both"/>
      </w:pPr>
      <w:r>
        <w:t>Les balcons sont posés avec une légère pente, vers les extrémités opposées aux murs, pour assurer l’évacuation des eaux.</w:t>
      </w:r>
    </w:p>
    <w:p w14:paraId="6D56754E" w14:textId="77777777" w:rsidR="00DB2B68" w:rsidRDefault="00000000">
      <w:pPr>
        <w:jc w:val="both"/>
      </w:pPr>
      <w:r>
        <w:t xml:space="preserve">Pente : ≥ </w:t>
      </w:r>
      <w:r>
        <w:rPr>
          <w:rStyle w:val="optioncarChar"/>
        </w:rPr>
        <w:t>1%</w:t>
      </w:r>
      <w:r>
        <w:t xml:space="preserve"> (par défaut)</w:t>
      </w:r>
      <w:r>
        <w:rPr>
          <w:rStyle w:val="optioncarChar"/>
        </w:rPr>
        <w:t xml:space="preserve"> / 1,5% / 2%</w:t>
      </w:r>
    </w:p>
    <w:p w14:paraId="28DF1511" w14:textId="77777777" w:rsidR="00DB2B68" w:rsidRDefault="00000000">
      <w:pPr>
        <w:jc w:val="both"/>
      </w:pPr>
      <w:r>
        <w:t>Toutes les pièces sont profilées et ouvragées conformément à l'étude et aux plans d'exécution réalisés par l’entrepreneur. Ces documents d'exécution sont soumis à l'approbation de l’auteur de projet.</w:t>
      </w:r>
    </w:p>
    <w:p w14:paraId="1137FE07" w14:textId="77777777" w:rsidR="00DB2B68" w:rsidRDefault="00000000">
      <w:pPr>
        <w:jc w:val="both"/>
      </w:pPr>
      <w:r>
        <w:t xml:space="preserve">L'étude et les plans d'exécution de l’entrepreneur sont réalisés sur base : </w:t>
      </w:r>
      <w:r>
        <w:rPr>
          <w:rStyle w:val="optioncarChar"/>
        </w:rPr>
        <w:t xml:space="preserve">des études et dessins de détail annexés au dossier de soumission </w:t>
      </w:r>
      <w:r>
        <w:t>(par défaut)</w:t>
      </w:r>
      <w:r>
        <w:rPr>
          <w:rStyle w:val="optioncarChar"/>
        </w:rPr>
        <w:t xml:space="preserve"> / études à charge de l’entreprise. </w:t>
      </w:r>
    </w:p>
    <w:p w14:paraId="2C1905A5" w14:textId="77777777" w:rsidR="00DB2B68" w:rsidRDefault="00000000">
      <w:pPr>
        <w:jc w:val="both"/>
      </w:pPr>
      <w:r>
        <w:rPr>
          <w:b/>
        </w:rPr>
        <w:t>Etudes et dessins de détail annexés au dossier de soumission </w:t>
      </w:r>
    </w:p>
    <w:p w14:paraId="56FA6022" w14:textId="77777777" w:rsidR="00DB2B68" w:rsidRDefault="00000000">
      <w:pPr>
        <w:jc w:val="both"/>
      </w:pPr>
      <w:r>
        <w:t>Les dessins d’exécution sont réalisés selon l’étude des plans et des détails de l'auteur de projet annexés au dossier de soumission. </w:t>
      </w:r>
    </w:p>
    <w:p w14:paraId="5E46E658" w14:textId="77777777" w:rsidR="00DB2B68" w:rsidRDefault="00000000">
      <w:pPr>
        <w:jc w:val="both"/>
      </w:pPr>
      <w:r>
        <w:rPr>
          <w:b/>
        </w:rPr>
        <w:t>Etudes à charge de l’entreprise </w:t>
      </w:r>
    </w:p>
    <w:p w14:paraId="60FFB0AF" w14:textId="77777777" w:rsidR="00DB2B68" w:rsidRDefault="00000000">
      <w:pPr>
        <w:jc w:val="both"/>
      </w:pPr>
      <w:r>
        <w:t xml:space="preserve">Les frais pour la réalisation de l'étude des balcons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 </w:t>
      </w:r>
    </w:p>
    <w:p w14:paraId="4C2A06EF" w14:textId="77777777" w:rsidR="00DB2B68" w:rsidRDefault="00000000">
      <w:pPr>
        <w:jc w:val="both"/>
      </w:pPr>
      <w:r>
        <w:t xml:space="preserve"> L’étude est établie suivant les indications données sur les plans et coupes de principe du dossier de soumission et des informations suivantes, le tout donné à titre indicatif pour orienter l’entreprise :</w:t>
      </w:r>
    </w:p>
    <w:p w14:paraId="0358E51B" w14:textId="77777777" w:rsidR="00DB2B68" w:rsidRDefault="00000000">
      <w:pPr>
        <w:jc w:val="both"/>
      </w:pPr>
      <w:r>
        <w:rPr>
          <w:u w:val="single"/>
        </w:rPr>
        <w:t>Structure portante (pour information)</w:t>
      </w:r>
    </w:p>
    <w:p w14:paraId="0459EDF7" w14:textId="77777777" w:rsidR="00DB2B68" w:rsidRDefault="00000000">
      <w:pPr>
        <w:pStyle w:val="Author-eListParagraph"/>
        <w:numPr>
          <w:ilvl w:val="0"/>
          <w:numId w:val="985"/>
        </w:numPr>
      </w:pPr>
      <w:r>
        <w:lastRenderedPageBreak/>
        <w:t xml:space="preserve">La structure portante ne fait pas partie du présent travail. Les passerelles sont prévues pour être posées sur : </w:t>
      </w:r>
      <w:r>
        <w:rPr>
          <w:rStyle w:val="optioncarChar"/>
        </w:rPr>
        <w:t>des colonnes/poutres</w:t>
      </w:r>
      <w:r>
        <w:t xml:space="preserve"> (par défaut)</w:t>
      </w:r>
      <w:r>
        <w:rPr>
          <w:rStyle w:val="optioncarChar"/>
        </w:rPr>
        <w:t xml:space="preserve"> / des consoles fixées au mur.</w:t>
      </w:r>
    </w:p>
    <w:p w14:paraId="090AD634" w14:textId="77777777" w:rsidR="00DB2B68" w:rsidRDefault="00000000">
      <w:pPr>
        <w:jc w:val="both"/>
      </w:pPr>
      <w:r>
        <w:rPr>
          <w:u w:val="single"/>
        </w:rPr>
        <w:t>Structure principale</w:t>
      </w:r>
    </w:p>
    <w:p w14:paraId="7FC84893" w14:textId="77777777" w:rsidR="00DB2B68" w:rsidRDefault="00000000">
      <w:pPr>
        <w:pStyle w:val="Author-eListParagraph"/>
        <w:numPr>
          <w:ilvl w:val="0"/>
          <w:numId w:val="986"/>
        </w:numPr>
      </w:pPr>
      <w:r>
        <w:t xml:space="preserve">Profil de limons / gîtages : </w:t>
      </w:r>
      <w:r>
        <w:rPr>
          <w:rStyle w:val="optioncarChar"/>
        </w:rPr>
        <w:t xml:space="preserve">rectangulaire </w:t>
      </w:r>
      <w:r>
        <w:t>(par défaut)</w:t>
      </w:r>
      <w:r>
        <w:rPr>
          <w:rStyle w:val="optioncarChar"/>
        </w:rPr>
        <w:t xml:space="preserve"> / carré / circulaire</w:t>
      </w:r>
    </w:p>
    <w:p w14:paraId="41953EBE" w14:textId="77777777" w:rsidR="00DB2B68" w:rsidRDefault="00000000">
      <w:pPr>
        <w:pStyle w:val="Author-eListParagraph"/>
        <w:numPr>
          <w:ilvl w:val="0"/>
          <w:numId w:val="986"/>
        </w:numPr>
      </w:pPr>
      <w:r>
        <w:t xml:space="preserve">Assemblages à la structure portante : </w:t>
      </w:r>
      <w:r>
        <w:rPr>
          <w:rStyle w:val="optioncarChar"/>
        </w:rPr>
        <w:t xml:space="preserve">boulonnés </w:t>
      </w:r>
      <w:r>
        <w:t>(par défaut)</w:t>
      </w:r>
      <w:r>
        <w:rPr>
          <w:rStyle w:val="optioncarChar"/>
        </w:rPr>
        <w:t xml:space="preserve"> / cloués / vissés</w:t>
      </w:r>
    </w:p>
    <w:p w14:paraId="1594C4EF" w14:textId="77777777" w:rsidR="00DB2B68" w:rsidRDefault="00000000">
      <w:pPr>
        <w:jc w:val="both"/>
      </w:pPr>
      <w:r>
        <w:rPr>
          <w:u w:val="single"/>
        </w:rPr>
        <w:t>Structure secondaire</w:t>
      </w:r>
    </w:p>
    <w:p w14:paraId="0753CA5D" w14:textId="77777777" w:rsidR="00DB2B68" w:rsidRDefault="00000000">
      <w:pPr>
        <w:pStyle w:val="Author-eListParagraph"/>
        <w:numPr>
          <w:ilvl w:val="0"/>
          <w:numId w:val="987"/>
        </w:numPr>
      </w:pPr>
      <w:r>
        <w:t xml:space="preserve">Profil : </w:t>
      </w:r>
      <w:r>
        <w:rPr>
          <w:rStyle w:val="optioncarChar"/>
        </w:rPr>
        <w:t xml:space="preserve">rectangulaire </w:t>
      </w:r>
      <w:r>
        <w:t>(par défaut)</w:t>
      </w:r>
      <w:r>
        <w:rPr>
          <w:rStyle w:val="optioncarChar"/>
        </w:rPr>
        <w:t xml:space="preserve"> / carré / circulaire</w:t>
      </w:r>
    </w:p>
    <w:p w14:paraId="3486F47A" w14:textId="77777777" w:rsidR="00DB2B68" w:rsidRDefault="00000000">
      <w:pPr>
        <w:pStyle w:val="Author-eListParagraph"/>
        <w:numPr>
          <w:ilvl w:val="0"/>
          <w:numId w:val="987"/>
        </w:numPr>
      </w:pPr>
      <w:r>
        <w:t xml:space="preserve">Assemblages à la structure principale : </w:t>
      </w:r>
      <w:r>
        <w:rPr>
          <w:rStyle w:val="optioncarChar"/>
        </w:rPr>
        <w:t xml:space="preserve">boulonnés </w:t>
      </w:r>
      <w:r>
        <w:t>(par défaut)</w:t>
      </w:r>
      <w:r>
        <w:rPr>
          <w:rStyle w:val="optioncarChar"/>
        </w:rPr>
        <w:t xml:space="preserve"> / cloués / vissés</w:t>
      </w:r>
    </w:p>
    <w:p w14:paraId="385DC9FB" w14:textId="77777777" w:rsidR="00DB2B68" w:rsidRDefault="00000000">
      <w:pPr>
        <w:jc w:val="both"/>
      </w:pPr>
      <w:r>
        <w:rPr>
          <w:u w:val="single"/>
        </w:rPr>
        <w:t>Contreventements</w:t>
      </w:r>
    </w:p>
    <w:p w14:paraId="011A7DFA" w14:textId="77777777" w:rsidR="00DB2B68" w:rsidRDefault="00000000">
      <w:pPr>
        <w:pStyle w:val="Author-eListParagraph"/>
        <w:numPr>
          <w:ilvl w:val="0"/>
          <w:numId w:val="988"/>
        </w:numPr>
      </w:pPr>
      <w:r>
        <w:t>Les contreventements sont en :</w:t>
      </w:r>
      <w:r>
        <w:rPr>
          <w:rStyle w:val="optioncarChar"/>
        </w:rPr>
        <w:t xml:space="preserve"> bois </w:t>
      </w:r>
      <w:r>
        <w:t>(par défaut)</w:t>
      </w:r>
      <w:r>
        <w:rPr>
          <w:rStyle w:val="optioncarChar"/>
        </w:rPr>
        <w:t> / acier</w:t>
      </w:r>
    </w:p>
    <w:p w14:paraId="705F807D" w14:textId="77777777" w:rsidR="00DB2B68" w:rsidRDefault="00000000">
      <w:pPr>
        <w:ind w:left="567"/>
        <w:jc w:val="both"/>
      </w:pPr>
      <w:r>
        <w:rPr>
          <w:b/>
        </w:rPr>
        <w:t>(soit par défaut)</w:t>
      </w:r>
    </w:p>
    <w:p w14:paraId="1AD11CBF" w14:textId="77777777" w:rsidR="00DB2B68" w:rsidRDefault="00000000">
      <w:pPr>
        <w:ind w:left="567"/>
        <w:jc w:val="both"/>
      </w:pPr>
      <w:r>
        <w:rPr>
          <w:rStyle w:val="soitChar"/>
          <w:u w:val="single"/>
        </w:rPr>
        <w:t>En bois :</w:t>
      </w:r>
    </w:p>
    <w:p w14:paraId="6348889A" w14:textId="77777777" w:rsidR="00DB2B68" w:rsidRDefault="00000000">
      <w:pPr>
        <w:pStyle w:val="Author-eListParagraph"/>
        <w:numPr>
          <w:ilvl w:val="1"/>
          <w:numId w:val="989"/>
        </w:numPr>
      </w:pPr>
      <w:r>
        <w:rPr>
          <w:rStyle w:val="soitChar"/>
        </w:rPr>
        <w:t xml:space="preserve">Profil : </w:t>
      </w:r>
      <w:r>
        <w:rPr>
          <w:rStyle w:val="optioncarChar"/>
        </w:rPr>
        <w:t xml:space="preserve">rectangulaire </w:t>
      </w:r>
      <w:r>
        <w:t>(par défaut)</w:t>
      </w:r>
      <w:r>
        <w:rPr>
          <w:rStyle w:val="optioncarChar"/>
        </w:rPr>
        <w:t xml:space="preserve"> / carré / circulaire</w:t>
      </w:r>
    </w:p>
    <w:p w14:paraId="70AD6524" w14:textId="77777777" w:rsidR="00DB2B68" w:rsidRDefault="00000000">
      <w:pPr>
        <w:pStyle w:val="Author-eListParagraph"/>
        <w:numPr>
          <w:ilvl w:val="1"/>
          <w:numId w:val="989"/>
        </w:numPr>
      </w:pPr>
      <w:r>
        <w:rPr>
          <w:rStyle w:val="soitChar"/>
        </w:rPr>
        <w:t xml:space="preserve">Assemblages à la structure : </w:t>
      </w:r>
      <w:r>
        <w:rPr>
          <w:rStyle w:val="optioncarChar"/>
        </w:rPr>
        <w:t>boulonnés</w:t>
      </w:r>
      <w:r>
        <w:t xml:space="preserve"> (par défaut) </w:t>
      </w:r>
      <w:r>
        <w:rPr>
          <w:rStyle w:val="optioncarChar"/>
        </w:rPr>
        <w:t>/ cloués / vissés</w:t>
      </w:r>
    </w:p>
    <w:p w14:paraId="470E172E" w14:textId="77777777" w:rsidR="00DB2B68" w:rsidRDefault="00000000">
      <w:pPr>
        <w:ind w:left="567"/>
        <w:jc w:val="both"/>
      </w:pPr>
      <w:r>
        <w:rPr>
          <w:b/>
        </w:rPr>
        <w:t>(soit)</w:t>
      </w:r>
    </w:p>
    <w:p w14:paraId="029C185B" w14:textId="77777777" w:rsidR="00DB2B68" w:rsidRDefault="00000000">
      <w:pPr>
        <w:ind w:left="567"/>
        <w:jc w:val="both"/>
      </w:pPr>
      <w:r>
        <w:rPr>
          <w:rStyle w:val="soitChar"/>
          <w:u w:val="single"/>
        </w:rPr>
        <w:t>En acier :</w:t>
      </w:r>
    </w:p>
    <w:p w14:paraId="395F09F7" w14:textId="77777777" w:rsidR="00DB2B68" w:rsidRDefault="00000000">
      <w:pPr>
        <w:pStyle w:val="Author-eListParagraph"/>
        <w:numPr>
          <w:ilvl w:val="1"/>
          <w:numId w:val="990"/>
        </w:numPr>
      </w:pPr>
      <w:r>
        <w:rPr>
          <w:rStyle w:val="soitChar"/>
        </w:rPr>
        <w:t xml:space="preserve">Profil : </w:t>
      </w:r>
      <w:r>
        <w:rPr>
          <w:rStyle w:val="optioncarChar"/>
        </w:rPr>
        <w:t xml:space="preserve">câbles </w:t>
      </w:r>
      <w:r>
        <w:t xml:space="preserve">(par défaut) </w:t>
      </w:r>
      <w:r>
        <w:rPr>
          <w:rStyle w:val="optioncarChar"/>
        </w:rPr>
        <w:t>/ tiges rondes / cornières L à ailes égales / ***</w:t>
      </w:r>
    </w:p>
    <w:p w14:paraId="0E0E1756" w14:textId="77777777" w:rsidR="00DB2B68" w:rsidRDefault="00000000">
      <w:pPr>
        <w:pStyle w:val="Author-eListParagraph"/>
        <w:numPr>
          <w:ilvl w:val="1"/>
          <w:numId w:val="990"/>
        </w:numPr>
      </w:pPr>
      <w:r>
        <w:rPr>
          <w:rStyle w:val="soitChar"/>
        </w:rPr>
        <w:t xml:space="preserve">Assemblages à la structure : </w:t>
      </w:r>
      <w:r>
        <w:rPr>
          <w:rStyle w:val="optioncarChar"/>
        </w:rPr>
        <w:t>boulonnés à la structure</w:t>
      </w:r>
      <w:r>
        <w:t xml:space="preserve"> (par défaut)</w:t>
      </w:r>
      <w:r>
        <w:rPr>
          <w:rStyle w:val="optioncarChar"/>
        </w:rPr>
        <w:t xml:space="preserve"> / boulonnés sur des goussets / pattes fixés à la structure</w:t>
      </w:r>
    </w:p>
    <w:p w14:paraId="4DA1F71D" w14:textId="77777777" w:rsidR="00DB2B68" w:rsidRDefault="00000000">
      <w:pPr>
        <w:jc w:val="both"/>
      </w:pPr>
      <w:r>
        <w:rPr>
          <w:u w:val="single"/>
        </w:rPr>
        <w:t>Platelage</w:t>
      </w:r>
    </w:p>
    <w:p w14:paraId="5991E834" w14:textId="77777777" w:rsidR="00DB2B68" w:rsidRDefault="00000000">
      <w:pPr>
        <w:pStyle w:val="Author-eListParagraph"/>
        <w:numPr>
          <w:ilvl w:val="0"/>
          <w:numId w:val="991"/>
        </w:numPr>
      </w:pPr>
      <w:r>
        <w:t xml:space="preserve">Le platelage est posé : </w:t>
      </w:r>
      <w:r>
        <w:rPr>
          <w:rStyle w:val="optioncarChar"/>
        </w:rPr>
        <w:t>sur les profils de ceinture ou gîtages</w:t>
      </w:r>
      <w:r>
        <w:t xml:space="preserve"> (par défaut)</w:t>
      </w:r>
      <w:r>
        <w:rPr>
          <w:rStyle w:val="optioncarChar"/>
        </w:rPr>
        <w:t xml:space="preserve"> / en affleurement aux profils de ceinture du balcon (pour que la face supérieure soit dans le même plan que le dessus des profils de ceinture)</w:t>
      </w:r>
      <w:r>
        <w:t>.</w:t>
      </w:r>
    </w:p>
    <w:p w14:paraId="4D85F678" w14:textId="77777777" w:rsidR="00DB2B68" w:rsidRDefault="00000000">
      <w:pPr>
        <w:pStyle w:val="Author-eListParagraph"/>
        <w:numPr>
          <w:ilvl w:val="0"/>
          <w:numId w:val="991"/>
        </w:numPr>
      </w:pPr>
      <w:r>
        <w:t xml:space="preserve">Assemblages à la structure : </w:t>
      </w:r>
      <w:r>
        <w:rPr>
          <w:rStyle w:val="optioncarChar"/>
        </w:rPr>
        <w:t>vissés</w:t>
      </w:r>
      <w:r>
        <w:t xml:space="preserve"> (par défaut)</w:t>
      </w:r>
      <w:r>
        <w:rPr>
          <w:rStyle w:val="optioncarChar"/>
        </w:rPr>
        <w:t xml:space="preserve"> / cloués</w:t>
      </w:r>
    </w:p>
    <w:p w14:paraId="274D42CB" w14:textId="77777777" w:rsidR="00DB2B68" w:rsidRDefault="00000000">
      <w:pPr>
        <w:jc w:val="both"/>
      </w:pPr>
      <w:r>
        <w:rPr>
          <w:u w:val="single"/>
        </w:rPr>
        <w:t>Garde-corps</w:t>
      </w:r>
    </w:p>
    <w:p w14:paraId="5A08407C" w14:textId="77777777" w:rsidR="00DB2B68" w:rsidRDefault="00000000">
      <w:pPr>
        <w:pStyle w:val="Author-eListParagraph"/>
        <w:numPr>
          <w:ilvl w:val="0"/>
          <w:numId w:val="992"/>
        </w:numPr>
      </w:pPr>
      <w:r>
        <w:t>Les garde-corps sont fixés solidement aux :</w:t>
      </w:r>
      <w:r>
        <w:rPr>
          <w:rStyle w:val="optioncarChar"/>
        </w:rPr>
        <w:t xml:space="preserve"> limons périphériques</w:t>
      </w:r>
      <w:r>
        <w:t xml:space="preserve"> (par défaut)</w:t>
      </w:r>
      <w:r>
        <w:rPr>
          <w:rStyle w:val="optioncarChar"/>
        </w:rPr>
        <w:t xml:space="preserve"> / aux platelages</w:t>
      </w:r>
    </w:p>
    <w:p w14:paraId="099EAD9E" w14:textId="77777777" w:rsidR="00DB2B68" w:rsidRDefault="00000000">
      <w:pPr>
        <w:pStyle w:val="Author-eListParagraph"/>
        <w:numPr>
          <w:ilvl w:val="0"/>
          <w:numId w:val="992"/>
        </w:numPr>
      </w:pPr>
      <w:r>
        <w:t xml:space="preserve">Assemblages au support : </w:t>
      </w:r>
      <w:r>
        <w:rPr>
          <w:rStyle w:val="optioncarChar"/>
        </w:rPr>
        <w:t xml:space="preserve">vissés </w:t>
      </w:r>
      <w:r>
        <w:t>(par défaut)</w:t>
      </w:r>
      <w:r>
        <w:rPr>
          <w:rStyle w:val="optioncarChar"/>
        </w:rPr>
        <w:t xml:space="preserve"> / boulonnés</w:t>
      </w:r>
    </w:p>
    <w:p w14:paraId="27772E56" w14:textId="77777777" w:rsidR="00DB2B68" w:rsidRDefault="00DB2B68"/>
    <w:p w14:paraId="22396BF7" w14:textId="77777777" w:rsidR="00DB2B68" w:rsidRDefault="00000000">
      <w:pPr>
        <w:jc w:val="both"/>
      </w:pPr>
      <w:r>
        <w:t>Le bois des balcons est protégé jusqu'à la réception provisoire dans un emballage de protection évitant les chocs et rayures.</w:t>
      </w:r>
    </w:p>
    <w:p w14:paraId="0FEFAA97" w14:textId="77777777" w:rsidR="00DB2B68" w:rsidRDefault="00000000">
      <w:pPr>
        <w:pStyle w:val="pheading"/>
      </w:pPr>
      <w:r>
        <w:t>MESURAGE</w:t>
      </w:r>
    </w:p>
    <w:p w14:paraId="78701DBF" w14:textId="77777777" w:rsidR="00DB2B68" w:rsidRDefault="00000000">
      <w:pPr>
        <w:pStyle w:val="pheading"/>
      </w:pPr>
      <w:r>
        <w:t>- unité de mesure:</w:t>
      </w:r>
    </w:p>
    <w:p w14:paraId="00321FC0" w14:textId="77777777" w:rsidR="00DB2B68" w:rsidRDefault="00000000">
      <w:r>
        <w:rPr>
          <w:rStyle w:val="optioncarChar"/>
        </w:rPr>
        <w:t>pc</w:t>
      </w:r>
      <w:r>
        <w:t xml:space="preserve"> (par défaut)</w:t>
      </w:r>
      <w:r>
        <w:rPr>
          <w:rStyle w:val="optioncarChar"/>
        </w:rPr>
        <w:t xml:space="preserve"> / m²</w:t>
      </w:r>
    </w:p>
    <w:p w14:paraId="1DF8C9DD" w14:textId="77777777" w:rsidR="00DB2B68" w:rsidRDefault="00000000">
      <w:r>
        <w:rPr>
          <w:b/>
        </w:rPr>
        <w:t>(soit par défaut)</w:t>
      </w:r>
      <w:r>
        <w:br/>
      </w:r>
      <w:r>
        <w:rPr>
          <w:rStyle w:val="soitChar"/>
        </w:rPr>
        <w:t>1. pc</w:t>
      </w:r>
      <w:r>
        <w:br/>
      </w:r>
      <w:r>
        <w:rPr>
          <w:b/>
        </w:rPr>
        <w:t>(soit)</w:t>
      </w:r>
      <w:r>
        <w:br/>
      </w:r>
      <w:r>
        <w:rPr>
          <w:rStyle w:val="soitChar"/>
        </w:rPr>
        <w:t>2. m²</w:t>
      </w:r>
    </w:p>
    <w:p w14:paraId="6C64F734" w14:textId="77777777" w:rsidR="00DB2B68" w:rsidRDefault="00000000">
      <w:pPr>
        <w:pStyle w:val="pheading"/>
      </w:pPr>
      <w:r>
        <w:t>- code de mesurage:</w:t>
      </w:r>
    </w:p>
    <w:p w14:paraId="786C7EE6" w14:textId="77777777" w:rsidR="00DB2B68" w:rsidRDefault="00000000">
      <w:pPr>
        <w:jc w:val="both"/>
      </w:pPr>
      <w:r>
        <w:rPr>
          <w:rStyle w:val="optioncarChar"/>
        </w:rPr>
        <w:t xml:space="preserve">Quantité nette </w:t>
      </w:r>
      <w:r>
        <w:t>(par défaut)</w:t>
      </w:r>
      <w:r>
        <w:rPr>
          <w:rStyle w:val="optioncarChar"/>
        </w:rPr>
        <w:t xml:space="preserve"> / Surface nette </w:t>
      </w:r>
    </w:p>
    <w:p w14:paraId="754D24E1" w14:textId="77777777" w:rsidR="00DB2B68" w:rsidRDefault="00000000">
      <w:pPr>
        <w:jc w:val="both"/>
      </w:pPr>
      <w:r>
        <w:rPr>
          <w:b/>
        </w:rPr>
        <w:t>(soit par défaut)</w:t>
      </w:r>
    </w:p>
    <w:p w14:paraId="2B8CB829" w14:textId="77777777" w:rsidR="00DB2B68" w:rsidRDefault="00000000">
      <w:pPr>
        <w:jc w:val="both"/>
      </w:pPr>
      <w:r>
        <w:rPr>
          <w:rStyle w:val="soitChar"/>
        </w:rPr>
        <w:t xml:space="preserve">1.  </w:t>
      </w:r>
      <w:r>
        <w:rPr>
          <w:rStyle w:val="soitChar"/>
          <w:u w:val="single"/>
        </w:rPr>
        <w:t>Quantité nette</w:t>
      </w:r>
      <w:r>
        <w:rPr>
          <w:rStyle w:val="soitChar"/>
        </w:rPr>
        <w:t xml:space="preserve"> à mettre en œuvre, ventilée selon la nature des éléments constitutifs et les dimensions.</w:t>
      </w:r>
    </w:p>
    <w:p w14:paraId="5081D070" w14:textId="77777777" w:rsidR="00DB2B68" w:rsidRDefault="00000000">
      <w:pPr>
        <w:jc w:val="both"/>
      </w:pPr>
      <w:r>
        <w:rPr>
          <w:b/>
        </w:rPr>
        <w:t>(soit)</w:t>
      </w:r>
    </w:p>
    <w:p w14:paraId="1F2646D6" w14:textId="77777777" w:rsidR="00DB2B68" w:rsidRDefault="00000000">
      <w:pPr>
        <w:jc w:val="both"/>
      </w:pPr>
      <w:r>
        <w:rPr>
          <w:rStyle w:val="soitChar"/>
        </w:rPr>
        <w:lastRenderedPageBreak/>
        <w:t xml:space="preserve">2. </w:t>
      </w:r>
      <w:r>
        <w:rPr>
          <w:rStyle w:val="soitChar"/>
          <w:u w:val="single"/>
        </w:rPr>
        <w:t>Surface nette</w:t>
      </w:r>
      <w:r>
        <w:rPr>
          <w:rStyle w:val="soitChar"/>
        </w:rPr>
        <w:t xml:space="preserve"> à mettre en œuvre pour les « plateformes » des balcons, ventilée selon la nature des éléments constitutifs.</w:t>
      </w:r>
    </w:p>
    <w:p w14:paraId="1A7833AC" w14:textId="77777777" w:rsidR="00DB2B68" w:rsidRDefault="00000000">
      <w:pPr>
        <w:pStyle w:val="pheading"/>
      </w:pPr>
      <w:r>
        <w:t>- nature du marché:</w:t>
      </w:r>
    </w:p>
    <w:p w14:paraId="1062FC3E" w14:textId="77777777" w:rsidR="00DB2B68" w:rsidRDefault="00000000">
      <w:r>
        <w:t>1.2. QF</w:t>
      </w:r>
    </w:p>
    <w:p w14:paraId="40739730" w14:textId="77777777" w:rsidR="00DB2B68" w:rsidRDefault="00000000">
      <w:pPr>
        <w:pStyle w:val="pheading"/>
      </w:pPr>
      <w:r>
        <w:t>AIDE</w:t>
      </w:r>
    </w:p>
    <w:p w14:paraId="2D7BDCE9" w14:textId="77777777" w:rsidR="00DB2B68" w:rsidRDefault="00000000">
      <w:pPr>
        <w:jc w:val="both"/>
      </w:pPr>
      <w:r>
        <w:t>La quantité nette est plutôt prévue si le garde-corps est compris dans le travail.</w:t>
      </w:r>
    </w:p>
    <w:p w14:paraId="03D6B3A2" w14:textId="77777777" w:rsidR="00DB2B68" w:rsidRDefault="00000000">
      <w:pPr>
        <w:jc w:val="both"/>
      </w:pPr>
      <w:r>
        <w:t>La surface nette ne comprend pas le garde-corps, qui est comptabilisé dans un article séparé.</w:t>
      </w:r>
    </w:p>
    <w:p w14:paraId="5EB61149" w14:textId="77777777" w:rsidR="00DB2B68" w:rsidRDefault="00000000">
      <w:pPr>
        <w:pStyle w:val="Author-eSectionHeading4Numberless"/>
      </w:pPr>
      <w:bookmarkStart w:id="1706" w:name="_Toc220496685"/>
      <w:r>
        <w:t>24.33 Coursives en bois CCTB 01.07</w:t>
      </w:r>
      <w:bookmarkEnd w:id="1706"/>
    </w:p>
    <w:p w14:paraId="09C209A5" w14:textId="77777777" w:rsidR="00DB2B68" w:rsidRDefault="00000000">
      <w:pPr>
        <w:pStyle w:val="Author-eSectionHeading5Numberless"/>
      </w:pPr>
      <w:bookmarkStart w:id="1707" w:name="_Toc220496686"/>
      <w:r>
        <w:t>24.33.1 Coursives en bois  CCTB 01.07</w:t>
      </w:r>
      <w:bookmarkEnd w:id="1707"/>
    </w:p>
    <w:p w14:paraId="73F8B689" w14:textId="77777777" w:rsidR="00DB2B68" w:rsidRDefault="00000000">
      <w:pPr>
        <w:pStyle w:val="Author-eSectionHeading6Numberless"/>
      </w:pPr>
      <w:bookmarkStart w:id="1708" w:name="_Toc220496687"/>
      <w:r>
        <w:t>24.33.1a Coursives en bois CCTB 01.11</w:t>
      </w:r>
      <w:bookmarkEnd w:id="1708"/>
    </w:p>
    <w:p w14:paraId="277F9D6F" w14:textId="77777777" w:rsidR="00DB2B68" w:rsidRDefault="00000000">
      <w:pPr>
        <w:pStyle w:val="pheading"/>
      </w:pPr>
      <w:r>
        <w:t>DESCRIPTION</w:t>
      </w:r>
    </w:p>
    <w:p w14:paraId="65C761F2" w14:textId="77777777" w:rsidR="00DB2B68" w:rsidRDefault="00000000">
      <w:pPr>
        <w:pStyle w:val="pheading"/>
      </w:pPr>
      <w:r>
        <w:t>- Définition / Comprend</w:t>
      </w:r>
    </w:p>
    <w:p w14:paraId="2D056AB7" w14:textId="77777777" w:rsidR="00DB2B68" w:rsidRDefault="00000000">
      <w:pPr>
        <w:jc w:val="both"/>
      </w:pPr>
      <w:r>
        <w:t>Il s'agit de la fourniture et la pose de coursives en bois ainsi que tout élément nécessaire pour obtenir un ensemble fini.</w:t>
      </w:r>
    </w:p>
    <w:p w14:paraId="43DBB43D" w14:textId="77777777" w:rsidR="00DB2B68" w:rsidRDefault="00000000">
      <w:pPr>
        <w:pStyle w:val="pheading"/>
      </w:pPr>
      <w:r>
        <w:t>MATÉRIAUX</w:t>
      </w:r>
    </w:p>
    <w:p w14:paraId="5E9E661E" w14:textId="77777777" w:rsidR="00DB2B68" w:rsidRDefault="00000000">
      <w:pPr>
        <w:pStyle w:val="pheading"/>
      </w:pPr>
      <w:r>
        <w:t>- Caractéristiques générales</w:t>
      </w:r>
    </w:p>
    <w:p w14:paraId="7DC0848E" w14:textId="77777777" w:rsidR="00DB2B68" w:rsidRDefault="00000000">
      <w:pPr>
        <w:jc w:val="both"/>
      </w:pPr>
      <w:r>
        <w:rPr>
          <w:b/>
        </w:rPr>
        <w:t>Préambule</w:t>
      </w:r>
    </w:p>
    <w:p w14:paraId="5DAA3EDC" w14:textId="77777777" w:rsidR="00DB2B68" w:rsidRDefault="00000000">
      <w:pPr>
        <w:jc w:val="both"/>
      </w:pPr>
      <w:r>
        <w:t>En fonction de leur conception, les coursives sont composées :</w:t>
      </w:r>
    </w:p>
    <w:p w14:paraId="673A60C0" w14:textId="77777777" w:rsidR="00DB2B68" w:rsidRDefault="00000000">
      <w:pPr>
        <w:pStyle w:val="Author-eListParagraph"/>
        <w:numPr>
          <w:ilvl w:val="0"/>
          <w:numId w:val="993"/>
        </w:numPr>
      </w:pPr>
      <w:r>
        <w:t>d’une structure portante (colonnes et/ou consoles fixées au mur)</w:t>
      </w:r>
    </w:p>
    <w:p w14:paraId="459E95FE" w14:textId="77777777" w:rsidR="00DB2B68" w:rsidRDefault="00000000">
      <w:pPr>
        <w:pStyle w:val="Author-eListParagraph"/>
        <w:numPr>
          <w:ilvl w:val="0"/>
          <w:numId w:val="993"/>
        </w:numPr>
      </w:pPr>
      <w:r>
        <w:t>d’une structure principale (poutres principales) ;</w:t>
      </w:r>
    </w:p>
    <w:p w14:paraId="6FED0EDB" w14:textId="77777777" w:rsidR="00DB2B68" w:rsidRDefault="00000000">
      <w:pPr>
        <w:pStyle w:val="Author-eListParagraph"/>
        <w:numPr>
          <w:ilvl w:val="0"/>
          <w:numId w:val="993"/>
        </w:numPr>
      </w:pPr>
      <w:r>
        <w:t>d’une structure secondaire (traverses, contreventement, etc.) ;</w:t>
      </w:r>
    </w:p>
    <w:p w14:paraId="745FE2BD" w14:textId="77777777" w:rsidR="00DB2B68" w:rsidRDefault="00000000">
      <w:pPr>
        <w:pStyle w:val="Author-eListParagraph"/>
        <w:numPr>
          <w:ilvl w:val="0"/>
          <w:numId w:val="993"/>
        </w:numPr>
      </w:pPr>
      <w:r>
        <w:t>d’un platelage ;</w:t>
      </w:r>
    </w:p>
    <w:p w14:paraId="1D8A5E2E" w14:textId="77777777" w:rsidR="00DB2B68" w:rsidRDefault="00000000">
      <w:pPr>
        <w:pStyle w:val="Author-eListParagraph"/>
        <w:numPr>
          <w:ilvl w:val="0"/>
          <w:numId w:val="993"/>
        </w:numPr>
      </w:pPr>
      <w:r>
        <w:t>de garde-corps.</w:t>
      </w:r>
    </w:p>
    <w:p w14:paraId="604BC561" w14:textId="77777777" w:rsidR="00DB2B68" w:rsidRDefault="00000000">
      <w:pPr>
        <w:jc w:val="both"/>
      </w:pPr>
      <w:r>
        <w:rPr>
          <w:u w:val="single"/>
        </w:rPr>
        <w:t>Structures portantes</w:t>
      </w:r>
    </w:p>
    <w:p w14:paraId="55DFFCB1" w14:textId="77777777" w:rsidR="00DB2B68" w:rsidRDefault="00000000">
      <w:pPr>
        <w:jc w:val="both"/>
      </w:pPr>
      <w:r>
        <w:t xml:space="preserve">Les structures portantes ne sont pas comprises dans le présent travail. Elles sont décrites séparément en fonction de la nature des matériaux aux </w:t>
      </w:r>
      <w:hyperlink w:anchor="294" w:history="1">
        <w:r>
          <w:rPr>
            <w:color w:val="0000EE"/>
          </w:rPr>
          <w:t>21.1 Maçonneries portantes</w:t>
        </w:r>
      </w:hyperlink>
      <w:r>
        <w:t xml:space="preserve">, </w:t>
      </w:r>
      <w:hyperlink w:anchor="532" w:history="1">
        <w:r>
          <w:rPr>
            <w:color w:val="0000EE"/>
          </w:rPr>
          <w:t>22.1 Eléments de structures en béton</w:t>
        </w:r>
      </w:hyperlink>
      <w:r>
        <w:t xml:space="preserve">, </w:t>
      </w:r>
      <w:hyperlink w:anchor="422" w:history="1">
        <w:r>
          <w:rPr>
            <w:color w:val="0000EE"/>
          </w:rPr>
          <w:t>23.1 Eléments de structures métalliques</w:t>
        </w:r>
      </w:hyperlink>
      <w:r>
        <w:t xml:space="preserve"> ou </w:t>
      </w:r>
      <w:hyperlink w:anchor="594" w:history="1">
        <w:r>
          <w:rPr>
            <w:color w:val="0000EE"/>
          </w:rPr>
          <w:t>24.1 Eléments de structures en bois</w:t>
        </w:r>
      </w:hyperlink>
      <w:r>
        <w:t xml:space="preserve"> et articles qui en découlent.</w:t>
      </w:r>
    </w:p>
    <w:p w14:paraId="0CEE0612" w14:textId="77777777" w:rsidR="00DB2B68" w:rsidRDefault="00000000">
      <w:pPr>
        <w:jc w:val="both"/>
      </w:pPr>
      <w:r>
        <w:rPr>
          <w:u w:val="single"/>
        </w:rPr>
        <w:t>Garde-corps</w:t>
      </w:r>
    </w:p>
    <w:p w14:paraId="226B8601" w14:textId="77777777" w:rsidR="00DB2B68" w:rsidRDefault="00000000">
      <w:pPr>
        <w:jc w:val="both"/>
      </w:pPr>
      <w:r>
        <w:t>Les garde-corps sont décrits séparément, par exemple pour les métalliques, aux </w:t>
      </w:r>
      <w:hyperlink w:anchor="190" w:history="1">
        <w:r>
          <w:rPr>
            <w:color w:val="0000EE"/>
          </w:rPr>
          <w:t>23.32 Garde-corps et rampes métalliques</w:t>
        </w:r>
      </w:hyperlink>
      <w:r>
        <w:t xml:space="preserve"> et articles qui en découlent. </w:t>
      </w:r>
      <w:r>
        <w:rPr>
          <w:rStyle w:val="optioncarChar"/>
        </w:rPr>
        <w:t xml:space="preserve">Ils ne font pas partie du présent travail </w:t>
      </w:r>
      <w:r>
        <w:t>(par défaut)</w:t>
      </w:r>
      <w:r>
        <w:rPr>
          <w:rStyle w:val="optioncarChar"/>
        </w:rPr>
        <w:t xml:space="preserve"> / Ils sont compris dans le présent travail. </w:t>
      </w:r>
    </w:p>
    <w:p w14:paraId="1200A750" w14:textId="77777777" w:rsidR="00DB2B68" w:rsidRDefault="00000000">
      <w:pPr>
        <w:jc w:val="both"/>
      </w:pPr>
      <w:r>
        <w:rPr>
          <w:u w:val="single"/>
        </w:rPr>
        <w:t>Escalier</w:t>
      </w:r>
    </w:p>
    <w:p w14:paraId="3E1F5E76" w14:textId="77777777" w:rsidR="00DB2B68" w:rsidRDefault="00000000">
      <w:pPr>
        <w:jc w:val="both"/>
      </w:pPr>
      <w:r>
        <w:t>Les éventuels escaliers permettant d’accéder aux coursives ne sont pas compris dans le présent travail.</w:t>
      </w:r>
    </w:p>
    <w:p w14:paraId="5477A9C3" w14:textId="77777777" w:rsidR="00DB2B68" w:rsidRDefault="00000000">
      <w:pPr>
        <w:jc w:val="both"/>
      </w:pPr>
      <w:r>
        <w:t xml:space="preserve">Ils sont décrits séparément aux </w:t>
      </w:r>
      <w:hyperlink w:anchor="558" w:history="1">
        <w:r>
          <w:rPr>
            <w:color w:val="0000EE"/>
          </w:rPr>
          <w:t>23.31 Escaliers métalliques</w:t>
        </w:r>
      </w:hyperlink>
      <w:r>
        <w:t xml:space="preserve"> ou </w:t>
      </w:r>
      <w:hyperlink w:anchor="624" w:history="1">
        <w:r>
          <w:rPr>
            <w:color w:val="0000EE"/>
          </w:rPr>
          <w:t>24.31 Escaliers en bois</w:t>
        </w:r>
      </w:hyperlink>
      <w:r>
        <w:t xml:space="preserve"> et articles qui en découlent.</w:t>
      </w:r>
    </w:p>
    <w:p w14:paraId="0DB86FF7" w14:textId="77777777" w:rsidR="00DB2B68" w:rsidRDefault="00000000">
      <w:pPr>
        <w:jc w:val="both"/>
      </w:pPr>
      <w:r>
        <w:rPr>
          <w:b/>
        </w:rPr>
        <w:t>Matériaux</w:t>
      </w:r>
    </w:p>
    <w:p w14:paraId="77AC0D33" w14:textId="77777777" w:rsidR="00DB2B68" w:rsidRDefault="00000000">
      <w:pPr>
        <w:pStyle w:val="Author-eListParagraph"/>
        <w:numPr>
          <w:ilvl w:val="0"/>
          <w:numId w:val="994"/>
        </w:numPr>
      </w:pPr>
      <w:r>
        <w:t xml:space="preserve">Classe d’emploi/de risque, suivant la [NBN EN 335] : </w:t>
      </w:r>
      <w:r>
        <w:rPr>
          <w:rStyle w:val="optioncarChar"/>
        </w:rPr>
        <w:t>1 / 2 / 3</w:t>
      </w:r>
      <w:r>
        <w:t xml:space="preserve"> (par défaut)</w:t>
      </w:r>
    </w:p>
    <w:p w14:paraId="1E835FC1" w14:textId="77777777" w:rsidR="00DB2B68" w:rsidRDefault="00000000">
      <w:pPr>
        <w:jc w:val="both"/>
      </w:pPr>
      <w:r>
        <w:rPr>
          <w:u w:val="single"/>
        </w:rPr>
        <w:t>Les structures principales et secondaires :</w:t>
      </w:r>
    </w:p>
    <w:p w14:paraId="30FD3D44" w14:textId="77777777" w:rsidR="00DB2B68" w:rsidRDefault="00000000">
      <w:pPr>
        <w:jc w:val="both"/>
      </w:pPr>
      <w:r>
        <w:t>Caractéristiques du bois :</w:t>
      </w:r>
    </w:p>
    <w:p w14:paraId="7E241E7C" w14:textId="77777777" w:rsidR="00DB2B68" w:rsidRDefault="00000000">
      <w:pPr>
        <w:pStyle w:val="Author-eListParagraph"/>
        <w:numPr>
          <w:ilvl w:val="0"/>
          <w:numId w:val="995"/>
        </w:numPr>
      </w:pPr>
      <w:r>
        <w:lastRenderedPageBreak/>
        <w:t xml:space="preserve">Gamme de produit : </w:t>
      </w:r>
      <w:r>
        <w:rPr>
          <w:rStyle w:val="optioncarChar"/>
        </w:rPr>
        <w:t xml:space="preserve">bois massifs </w:t>
      </w:r>
      <w:r>
        <w:t>(par défaut)</w:t>
      </w:r>
      <w:r>
        <w:rPr>
          <w:rStyle w:val="optioncarChar"/>
        </w:rPr>
        <w:t xml:space="preserve"> / bois massifs aboutés, bois lamellés-collés, bois lamellés-collés en bloc / CLT / LVL</w:t>
      </w:r>
    </w:p>
    <w:p w14:paraId="4AB27182" w14:textId="77777777" w:rsidR="00DB2B68" w:rsidRDefault="00000000">
      <w:pPr>
        <w:pStyle w:val="Author-eListParagraph"/>
        <w:numPr>
          <w:ilvl w:val="0"/>
          <w:numId w:val="995"/>
        </w:numPr>
      </w:pPr>
      <w:r>
        <w:t xml:space="preserve">Classe de durabilité, suivant la [NBN EN 460] : </w:t>
      </w:r>
      <w:r>
        <w:rPr>
          <w:rStyle w:val="optioncarChar"/>
        </w:rPr>
        <w:t>1 / 2</w:t>
      </w:r>
      <w:r>
        <w:t xml:space="preserve"> (par défaut)</w:t>
      </w:r>
      <w:r>
        <w:rPr>
          <w:rStyle w:val="optioncarChar"/>
        </w:rPr>
        <w:t xml:space="preserve"> / 3 / 4 / 5 / en fonction de l’essence de bois (voir le point suivant)</w:t>
      </w:r>
    </w:p>
    <w:p w14:paraId="3AB968CF" w14:textId="77777777" w:rsidR="00DB2B68" w:rsidRDefault="00000000">
      <w:pPr>
        <w:pStyle w:val="Author-eListParagraph"/>
        <w:numPr>
          <w:ilvl w:val="0"/>
          <w:numId w:val="995"/>
        </w:numPr>
      </w:pPr>
      <w:r>
        <w:t xml:space="preserve">Choix de l’essence de bois : </w:t>
      </w:r>
      <w:r>
        <w:rPr>
          <w:rStyle w:val="optioncarChar"/>
        </w:rPr>
        <w:t>au choix de l’entrepreneur, en fonction de la durabilité ci-dessus, à soumettre à l’approbation de l’architecte et du maître de l’ouvrage</w:t>
      </w:r>
      <w:r>
        <w:t xml:space="preserve"> (par défaut)</w:t>
      </w:r>
      <w:r>
        <w:rPr>
          <w:rStyle w:val="optioncarChar"/>
        </w:rPr>
        <w:t xml:space="preserve"> / afzélia doussé / dark red meranti / merbeau / western red cedar / chêne / ***</w:t>
      </w:r>
      <w:r>
        <w:t>.</w:t>
      </w:r>
    </w:p>
    <w:p w14:paraId="75F6AC35" w14:textId="77777777" w:rsidR="00DB2B68" w:rsidRDefault="00000000">
      <w:pPr>
        <w:pStyle w:val="Author-eListParagraph"/>
        <w:numPr>
          <w:ilvl w:val="0"/>
          <w:numId w:val="995"/>
        </w:numPr>
      </w:pPr>
      <w:r>
        <w:t xml:space="preserve">Raboté : </w:t>
      </w:r>
      <w:r>
        <w:rPr>
          <w:rStyle w:val="optioncarChar"/>
        </w:rPr>
        <w:t>2 faces (les faces de pose de panneaux) / 4 faces</w:t>
      </w:r>
      <w:r>
        <w:t xml:space="preserve"> (par défaut)</w:t>
      </w:r>
    </w:p>
    <w:p w14:paraId="13395362" w14:textId="77777777" w:rsidR="00DB2B68" w:rsidRDefault="00000000">
      <w:pPr>
        <w:jc w:val="both"/>
      </w:pPr>
      <w:r>
        <w:rPr>
          <w:u w:val="single"/>
        </w:rPr>
        <w:t>Les platelages :</w:t>
      </w:r>
    </w:p>
    <w:p w14:paraId="1940A042" w14:textId="77777777" w:rsidR="00DB2B68" w:rsidRDefault="00000000">
      <w:pPr>
        <w:jc w:val="both"/>
      </w:pPr>
      <w:r>
        <w:t>Caractéristiques du bois :</w:t>
      </w:r>
    </w:p>
    <w:p w14:paraId="5F50CCA8" w14:textId="77777777" w:rsidR="00DB2B68" w:rsidRDefault="00000000">
      <w:pPr>
        <w:pStyle w:val="Author-eListParagraph"/>
        <w:numPr>
          <w:ilvl w:val="0"/>
          <w:numId w:val="996"/>
        </w:numPr>
      </w:pPr>
      <w:r>
        <w:t>Valeur antidérapante suivant la [NBN EN 16165 ] :</w:t>
      </w:r>
      <w:r>
        <w:rPr>
          <w:rStyle w:val="optioncarChar"/>
        </w:rPr>
        <w:t xml:space="preserve"> R9 / R10 / R11</w:t>
      </w:r>
      <w:r>
        <w:t xml:space="preserve"> (par défaut)</w:t>
      </w:r>
    </w:p>
    <w:p w14:paraId="39C82A37" w14:textId="77777777" w:rsidR="00DB2B68" w:rsidRDefault="00000000">
      <w:pPr>
        <w:pStyle w:val="Author-eListParagraph"/>
        <w:numPr>
          <w:ilvl w:val="0"/>
          <w:numId w:val="996"/>
        </w:numPr>
      </w:pPr>
      <w:r>
        <w:t xml:space="preserve">Gamme de produit : </w:t>
      </w:r>
      <w:r>
        <w:rPr>
          <w:rStyle w:val="optioncarChar"/>
        </w:rPr>
        <w:t xml:space="preserve">bois massif </w:t>
      </w:r>
      <w:r>
        <w:t xml:space="preserve">(par défaut) </w:t>
      </w:r>
      <w:r>
        <w:rPr>
          <w:rStyle w:val="optioncarChar"/>
        </w:rPr>
        <w:t>/ panneaux de contreplaqué / panneaux OSB / LVL</w:t>
      </w:r>
    </w:p>
    <w:p w14:paraId="4F084A02" w14:textId="77777777" w:rsidR="00DB2B68" w:rsidRDefault="00000000">
      <w:pPr>
        <w:ind w:left="567"/>
        <w:jc w:val="both"/>
      </w:pPr>
      <w:r>
        <w:rPr>
          <w:b/>
        </w:rPr>
        <w:t>(soit par défaut)</w:t>
      </w:r>
    </w:p>
    <w:p w14:paraId="0C0C1A41" w14:textId="77777777" w:rsidR="00DB2B68" w:rsidRDefault="00000000">
      <w:pPr>
        <w:ind w:left="567"/>
        <w:jc w:val="both"/>
      </w:pPr>
      <w:r>
        <w:rPr>
          <w:rStyle w:val="soitChar"/>
          <w:u w:val="single"/>
        </w:rPr>
        <w:t>Bois massif :</w:t>
      </w:r>
    </w:p>
    <w:p w14:paraId="4757D5D4" w14:textId="77777777" w:rsidR="00DB2B68" w:rsidRDefault="00000000">
      <w:pPr>
        <w:pStyle w:val="Author-eListParagraph"/>
        <w:numPr>
          <w:ilvl w:val="0"/>
          <w:numId w:val="997"/>
        </w:numPr>
      </w:pPr>
      <w:r>
        <w:rPr>
          <w:rStyle w:val="soitChar"/>
        </w:rPr>
        <w:t>Classe de durabilité, suivant la [NBN EN 460] :</w:t>
      </w:r>
      <w:r>
        <w:rPr>
          <w:rStyle w:val="optioncarChar"/>
        </w:rPr>
        <w:t>1 / 2</w:t>
      </w:r>
      <w:r>
        <w:t xml:space="preserve"> (par défaut) </w:t>
      </w:r>
      <w:r>
        <w:rPr>
          <w:rStyle w:val="optioncarChar"/>
        </w:rPr>
        <w:t>/ 3 / 4 / 5 / choix de l’essence de bois directement (voir le point suivant)</w:t>
      </w:r>
    </w:p>
    <w:p w14:paraId="0FB2F1EC" w14:textId="77777777" w:rsidR="00DB2B68" w:rsidRDefault="00000000">
      <w:pPr>
        <w:pStyle w:val="Author-eListParagraph"/>
        <w:numPr>
          <w:ilvl w:val="0"/>
          <w:numId w:val="997"/>
        </w:numPr>
      </w:pPr>
      <w:r>
        <w:rPr>
          <w:rStyle w:val="soitChar"/>
        </w:rPr>
        <w:t xml:space="preserve">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ipe / itauba / hêtre / frêne / mélèze / ***</w:t>
      </w:r>
    </w:p>
    <w:p w14:paraId="5EF79E49" w14:textId="77777777" w:rsidR="00DB2B68" w:rsidRDefault="00000000">
      <w:pPr>
        <w:pStyle w:val="Author-eListParagraph"/>
        <w:numPr>
          <w:ilvl w:val="0"/>
          <w:numId w:val="997"/>
        </w:numPr>
      </w:pPr>
      <w:r>
        <w:rPr>
          <w:rStyle w:val="soitChar"/>
        </w:rPr>
        <w:t xml:space="preserve">Epaisseur du platelage : </w:t>
      </w:r>
      <w:r>
        <w:rPr>
          <w:rStyle w:val="optioncarChar"/>
        </w:rPr>
        <w:t xml:space="preserve">22 </w:t>
      </w:r>
      <w:r>
        <w:t>(par défaut)</w:t>
      </w:r>
      <w:r>
        <w:rPr>
          <w:rStyle w:val="optioncarChar"/>
        </w:rPr>
        <w:t xml:space="preserve"> / 30 / 35</w:t>
      </w:r>
      <w:r>
        <w:rPr>
          <w:rStyle w:val="soitChar"/>
        </w:rPr>
        <w:t xml:space="preserve"> mm</w:t>
      </w:r>
    </w:p>
    <w:p w14:paraId="5C802F29" w14:textId="77777777" w:rsidR="00DB2B68" w:rsidRDefault="00000000">
      <w:pPr>
        <w:pStyle w:val="Author-eListParagraph"/>
        <w:numPr>
          <w:ilvl w:val="0"/>
          <w:numId w:val="997"/>
        </w:numPr>
      </w:pPr>
      <w:r>
        <w:rPr>
          <w:rStyle w:val="soitChar"/>
        </w:rPr>
        <w:t>Finition de la face vue :</w:t>
      </w:r>
      <w:r>
        <w:rPr>
          <w:rStyle w:val="optioncarChar"/>
        </w:rPr>
        <w:t xml:space="preserve"> antidérapante (PMR) </w:t>
      </w:r>
      <w:r>
        <w:t>(par défaut)</w:t>
      </w:r>
      <w:r>
        <w:rPr>
          <w:rStyle w:val="optioncarChar"/>
        </w:rPr>
        <w:t xml:space="preserve"> / poncée / rabotée</w:t>
      </w:r>
    </w:p>
    <w:p w14:paraId="3C9E0D2A" w14:textId="77777777" w:rsidR="00DB2B68" w:rsidRDefault="00000000">
      <w:pPr>
        <w:pStyle w:val="Author-eListParagraph"/>
        <w:numPr>
          <w:ilvl w:val="0"/>
          <w:numId w:val="997"/>
        </w:numPr>
      </w:pPr>
      <w:r>
        <w:rPr>
          <w:rStyle w:val="soitChar"/>
        </w:rPr>
        <w:t>Pour l’antidérapant :</w:t>
      </w:r>
    </w:p>
    <w:p w14:paraId="166BD2DC" w14:textId="77777777" w:rsidR="00DB2B68" w:rsidRDefault="00000000">
      <w:pPr>
        <w:pStyle w:val="Author-eListParagraph"/>
        <w:numPr>
          <w:ilvl w:val="1"/>
          <w:numId w:val="998"/>
        </w:numPr>
      </w:pPr>
      <w:r>
        <w:rPr>
          <w:rStyle w:val="soitChar"/>
        </w:rPr>
        <w:t xml:space="preserve">Type d’antidérapant : </w:t>
      </w:r>
      <w:r>
        <w:rPr>
          <w:rStyle w:val="optioncarChar"/>
        </w:rPr>
        <w:t>ciselages (stries) antidérapants</w:t>
      </w:r>
      <w:r>
        <w:t xml:space="preserve"> (par défaut)</w:t>
      </w:r>
      <w:r>
        <w:rPr>
          <w:rStyle w:val="optioncarChar"/>
        </w:rPr>
        <w:t xml:space="preserve"> / bandes antidérapantes collées / bandes antidérapantes embrevées</w:t>
      </w:r>
    </w:p>
    <w:p w14:paraId="41850A27" w14:textId="77777777" w:rsidR="00DB2B68" w:rsidRDefault="00000000">
      <w:pPr>
        <w:pStyle w:val="Author-eListParagraph"/>
        <w:numPr>
          <w:ilvl w:val="1"/>
          <w:numId w:val="998"/>
        </w:numPr>
      </w:pPr>
      <w:r>
        <w:rPr>
          <w:rStyle w:val="soitChar"/>
        </w:rPr>
        <w:t xml:space="preserve">Matériau antidérapant : </w:t>
      </w:r>
      <w:r>
        <w:rPr>
          <w:rStyle w:val="optioncarChar"/>
        </w:rPr>
        <w:t xml:space="preserve">pas d’application (ciselages) </w:t>
      </w:r>
      <w:r>
        <w:t>(par défaut)</w:t>
      </w:r>
      <w:r>
        <w:rPr>
          <w:rStyle w:val="optioncarChar"/>
        </w:rPr>
        <w:t xml:space="preserve"> / carborundum / caoutchouc / PVC</w:t>
      </w:r>
    </w:p>
    <w:p w14:paraId="27E357E8" w14:textId="77777777" w:rsidR="00DB2B68" w:rsidRDefault="00000000">
      <w:pPr>
        <w:ind w:left="567"/>
        <w:jc w:val="both"/>
      </w:pPr>
      <w:r>
        <w:rPr>
          <w:b/>
        </w:rPr>
        <w:t>(soit)</w:t>
      </w:r>
    </w:p>
    <w:p w14:paraId="57B01BAC" w14:textId="77777777" w:rsidR="00DB2B68" w:rsidRDefault="00000000">
      <w:pPr>
        <w:ind w:left="567"/>
        <w:jc w:val="both"/>
      </w:pPr>
      <w:r>
        <w:rPr>
          <w:rStyle w:val="soitChar"/>
          <w:u w:val="single"/>
        </w:rPr>
        <w:t>Panneaux de contreplaqué :</w:t>
      </w:r>
    </w:p>
    <w:p w14:paraId="1A227EC3" w14:textId="77777777" w:rsidR="00DB2B68" w:rsidRDefault="00000000">
      <w:pPr>
        <w:pStyle w:val="Author-eListParagraph"/>
        <w:numPr>
          <w:ilvl w:val="0"/>
          <w:numId w:val="999"/>
        </w:numPr>
      </w:pPr>
      <w:r>
        <w:rPr>
          <w:rStyle w:val="soitChar"/>
        </w:rPr>
        <w:t xml:space="preserve">Classe de collage, selon la [NBN EN 314-2] : </w:t>
      </w:r>
      <w:r>
        <w:rPr>
          <w:rStyle w:val="optioncarChar"/>
        </w:rPr>
        <w:t>1 (int.) / 2 (ext. à l’abri) / 3 (ext.)</w:t>
      </w:r>
      <w:r>
        <w:t xml:space="preserve"> (par défaut)</w:t>
      </w:r>
    </w:p>
    <w:p w14:paraId="3865BA2F" w14:textId="77777777" w:rsidR="00DB2B68" w:rsidRDefault="00000000">
      <w:pPr>
        <w:pStyle w:val="Author-eListParagraph"/>
        <w:numPr>
          <w:ilvl w:val="0"/>
          <w:numId w:val="999"/>
        </w:numPr>
      </w:pPr>
      <w:r>
        <w:rPr>
          <w:rStyle w:val="soitChar"/>
        </w:rPr>
        <w:t xml:space="preserve">Essence : </w:t>
      </w:r>
      <w:r>
        <w:rPr>
          <w:rStyle w:val="optioncarChar"/>
        </w:rPr>
        <w:t>au choix de l’entrepreneur, à soumettre à l’approbation de l’architecte et du maître de l’ouvrage</w:t>
      </w:r>
      <w:r>
        <w:t xml:space="preserve"> (par défaut) </w:t>
      </w:r>
      <w:r>
        <w:rPr>
          <w:rStyle w:val="optioncarChar"/>
        </w:rPr>
        <w:t>/ okoumé / okoumé nautique / oregon / western red cedar / dark red meranti / bouleau / okoumé / okoumé nautique / ***</w:t>
      </w:r>
    </w:p>
    <w:p w14:paraId="31A47185" w14:textId="77777777" w:rsidR="00DB2B68" w:rsidRDefault="00000000">
      <w:pPr>
        <w:pStyle w:val="Author-eListParagraph"/>
        <w:numPr>
          <w:ilvl w:val="0"/>
          <w:numId w:val="999"/>
        </w:numPr>
      </w:pPr>
      <w:r>
        <w:rPr>
          <w:rStyle w:val="soitChar"/>
        </w:rPr>
        <w:t xml:space="preserve">Epaisseur des panneaux : </w:t>
      </w:r>
      <w:r>
        <w:rPr>
          <w:rStyle w:val="optioncarChar"/>
        </w:rPr>
        <w:t>18 / 20 / 22</w:t>
      </w:r>
      <w:r>
        <w:t xml:space="preserve"> (par défaut) </w:t>
      </w:r>
      <w:r>
        <w:rPr>
          <w:rStyle w:val="optioncarChar"/>
        </w:rPr>
        <w:t>/ 25 / 30</w:t>
      </w:r>
      <w:r>
        <w:rPr>
          <w:rStyle w:val="soitChar"/>
        </w:rPr>
        <w:t xml:space="preserve"> mm</w:t>
      </w:r>
    </w:p>
    <w:p w14:paraId="0CA3C9FF" w14:textId="77777777" w:rsidR="00DB2B68" w:rsidRDefault="00000000">
      <w:pPr>
        <w:pStyle w:val="Author-eListParagraph"/>
        <w:numPr>
          <w:ilvl w:val="0"/>
          <w:numId w:val="999"/>
        </w:numPr>
      </w:pPr>
      <w:r>
        <w:rPr>
          <w:rStyle w:val="soitChar"/>
        </w:rPr>
        <w:t>Finition de la face vue : </w:t>
      </w:r>
      <w:r>
        <w:rPr>
          <w:rStyle w:val="optioncarChar"/>
        </w:rPr>
        <w:t>antidérapante (PMR)</w:t>
      </w:r>
      <w:r>
        <w:t xml:space="preserve"> (par défaut)</w:t>
      </w:r>
      <w:r>
        <w:rPr>
          <w:rStyle w:val="optioncarChar"/>
        </w:rPr>
        <w:t xml:space="preserve"> / poncée / non poncée</w:t>
      </w:r>
    </w:p>
    <w:p w14:paraId="0288E47A" w14:textId="77777777" w:rsidR="00DB2B68" w:rsidRDefault="00000000">
      <w:pPr>
        <w:ind w:left="567"/>
        <w:jc w:val="both"/>
      </w:pPr>
      <w:r>
        <w:rPr>
          <w:b/>
        </w:rPr>
        <w:t>(soit)</w:t>
      </w:r>
    </w:p>
    <w:p w14:paraId="58B1CF92" w14:textId="77777777" w:rsidR="00DB2B68" w:rsidRDefault="00000000">
      <w:pPr>
        <w:ind w:left="567"/>
        <w:jc w:val="both"/>
      </w:pPr>
      <w:r>
        <w:rPr>
          <w:rStyle w:val="soitChar"/>
          <w:u w:val="single"/>
        </w:rPr>
        <w:t>Panneaux OSB :</w:t>
      </w:r>
    </w:p>
    <w:p w14:paraId="3874F72C" w14:textId="77777777" w:rsidR="00DB2B68" w:rsidRDefault="00000000">
      <w:pPr>
        <w:ind w:left="567"/>
        <w:jc w:val="both"/>
      </w:pPr>
      <w:r>
        <w:rPr>
          <w:rStyle w:val="soitChar"/>
        </w:rPr>
        <w:t>Les panneaux OSB sont réservés à un usage intérieur exclusivement (classe d’emploi 1 ou 2)</w:t>
      </w:r>
    </w:p>
    <w:p w14:paraId="7A3B2960" w14:textId="77777777" w:rsidR="00DB2B68" w:rsidRDefault="00000000">
      <w:pPr>
        <w:pStyle w:val="Author-eListParagraph"/>
        <w:numPr>
          <w:ilvl w:val="0"/>
          <w:numId w:val="1000"/>
        </w:numPr>
      </w:pPr>
      <w:r>
        <w:rPr>
          <w:rStyle w:val="soitChar"/>
        </w:rPr>
        <w:t xml:space="preserve">Type de panneau OSB, selon la [NBN EN 300] : </w:t>
      </w:r>
      <w:r>
        <w:rPr>
          <w:rStyle w:val="optioncarChar"/>
        </w:rPr>
        <w:t>2 / 3</w:t>
      </w:r>
      <w:r>
        <w:t xml:space="preserve"> (par défaut)</w:t>
      </w:r>
      <w:r>
        <w:rPr>
          <w:rStyle w:val="optioncarChar"/>
        </w:rPr>
        <w:t xml:space="preserve"> / 4</w:t>
      </w:r>
    </w:p>
    <w:p w14:paraId="4AAF3246" w14:textId="77777777" w:rsidR="00DB2B68" w:rsidRDefault="00000000">
      <w:pPr>
        <w:pStyle w:val="Author-eListParagraph"/>
        <w:numPr>
          <w:ilvl w:val="0"/>
          <w:numId w:val="1000"/>
        </w:numPr>
      </w:pPr>
      <w:r>
        <w:rPr>
          <w:rStyle w:val="soitChar"/>
        </w:rPr>
        <w:t xml:space="preserve">Classe d’émission de formaldéhyde, selon la [NBN EN ISO 12460-5] : </w:t>
      </w:r>
      <w:r>
        <w:rPr>
          <w:rStyle w:val="optioncarChar"/>
        </w:rPr>
        <w:t xml:space="preserve">E1 </w:t>
      </w:r>
      <w:r>
        <w:t xml:space="preserve">(par défaut) </w:t>
      </w:r>
      <w:r>
        <w:rPr>
          <w:rStyle w:val="optioncarChar"/>
        </w:rPr>
        <w:t>/ E2</w:t>
      </w:r>
    </w:p>
    <w:p w14:paraId="3E287E92" w14:textId="77777777" w:rsidR="00DB2B68" w:rsidRDefault="00000000">
      <w:pPr>
        <w:pStyle w:val="Author-eListParagraph"/>
        <w:numPr>
          <w:ilvl w:val="0"/>
          <w:numId w:val="1000"/>
        </w:numPr>
      </w:pPr>
      <w:r>
        <w:rPr>
          <w:rStyle w:val="soitChar"/>
        </w:rPr>
        <w:t xml:space="preserve">Epaisseur des panneaux : </w:t>
      </w:r>
      <w:r>
        <w:rPr>
          <w:rStyle w:val="optioncarChar"/>
        </w:rPr>
        <w:t>18 / 22</w:t>
      </w:r>
      <w:r>
        <w:t xml:space="preserve"> (par défaut) </w:t>
      </w:r>
      <w:r>
        <w:rPr>
          <w:rStyle w:val="soitChar"/>
        </w:rPr>
        <w:t>mm</w:t>
      </w:r>
    </w:p>
    <w:p w14:paraId="328C8A65" w14:textId="77777777" w:rsidR="00DB2B68" w:rsidRDefault="00000000">
      <w:pPr>
        <w:pStyle w:val="Author-eListParagraph"/>
        <w:numPr>
          <w:ilvl w:val="0"/>
          <w:numId w:val="1000"/>
        </w:numPr>
      </w:pPr>
      <w:r>
        <w:rPr>
          <w:rStyle w:val="soitChar"/>
        </w:rPr>
        <w:t>Finition de la face vue :</w:t>
      </w:r>
      <w:r>
        <w:rPr>
          <w:rStyle w:val="optioncarChar"/>
        </w:rPr>
        <w:t xml:space="preserve"> poncée </w:t>
      </w:r>
      <w:r>
        <w:t xml:space="preserve">(par défaut) </w:t>
      </w:r>
      <w:r>
        <w:rPr>
          <w:rStyle w:val="optioncarChar"/>
        </w:rPr>
        <w:t>/ non poncée</w:t>
      </w:r>
    </w:p>
    <w:p w14:paraId="54A618FC" w14:textId="77777777" w:rsidR="00DB2B68" w:rsidRDefault="00000000">
      <w:pPr>
        <w:ind w:left="567"/>
        <w:jc w:val="both"/>
      </w:pPr>
      <w:r>
        <w:rPr>
          <w:b/>
        </w:rPr>
        <w:t>(soit)</w:t>
      </w:r>
    </w:p>
    <w:p w14:paraId="031962A7" w14:textId="77777777" w:rsidR="00DB2B68" w:rsidRDefault="00000000">
      <w:pPr>
        <w:ind w:left="567"/>
        <w:jc w:val="both"/>
      </w:pPr>
      <w:r>
        <w:rPr>
          <w:rStyle w:val="soitChar"/>
          <w:u w:val="single"/>
        </w:rPr>
        <w:t>LVL :</w:t>
      </w:r>
    </w:p>
    <w:p w14:paraId="7FEA51BE" w14:textId="77777777" w:rsidR="00DB2B68" w:rsidRDefault="00000000">
      <w:pPr>
        <w:pStyle w:val="Author-eListParagraph"/>
        <w:numPr>
          <w:ilvl w:val="0"/>
          <w:numId w:val="1001"/>
        </w:numPr>
      </w:pPr>
      <w:r>
        <w:rPr>
          <w:rStyle w:val="soitChar"/>
        </w:rPr>
        <w:t xml:space="preserve">Classe de collage, selon la [NBN EN 314-2] : </w:t>
      </w:r>
      <w:r>
        <w:rPr>
          <w:rStyle w:val="optioncarChar"/>
        </w:rPr>
        <w:t xml:space="preserve">1 (int.) / 2 (ext. à l’abri) </w:t>
      </w:r>
      <w:r>
        <w:t xml:space="preserve">(par défaut) </w:t>
      </w:r>
      <w:r>
        <w:rPr>
          <w:rStyle w:val="optioncarChar"/>
        </w:rPr>
        <w:t>/ 3 (ext.)</w:t>
      </w:r>
    </w:p>
    <w:p w14:paraId="5B4EE541" w14:textId="77777777" w:rsidR="00DB2B68" w:rsidRDefault="00000000">
      <w:pPr>
        <w:pStyle w:val="Author-eListParagraph"/>
        <w:numPr>
          <w:ilvl w:val="0"/>
          <w:numId w:val="1001"/>
        </w:numPr>
      </w:pPr>
      <w:r>
        <w:rPr>
          <w:rStyle w:val="soitChar"/>
        </w:rPr>
        <w:t xml:space="preserve">Classe d’émission de formaldéhyde, selon la [NBN EN ISO 12460-5] : </w:t>
      </w:r>
      <w:r>
        <w:rPr>
          <w:rStyle w:val="optioncarChar"/>
        </w:rPr>
        <w:t>E1</w:t>
      </w:r>
      <w:r>
        <w:t xml:space="preserve"> (par défaut) </w:t>
      </w:r>
      <w:r>
        <w:rPr>
          <w:rStyle w:val="optioncarChar"/>
        </w:rPr>
        <w:t>/ E2</w:t>
      </w:r>
    </w:p>
    <w:p w14:paraId="7CBDC97F" w14:textId="77777777" w:rsidR="00DB2B68" w:rsidRDefault="00000000">
      <w:pPr>
        <w:pStyle w:val="Author-eListParagraph"/>
        <w:numPr>
          <w:ilvl w:val="0"/>
          <w:numId w:val="1001"/>
        </w:numPr>
      </w:pPr>
      <w:r>
        <w:rPr>
          <w:rStyle w:val="soitChar"/>
        </w:rPr>
        <w:lastRenderedPageBreak/>
        <w:t xml:space="preserve">Essence de bois :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17E81A01" w14:textId="77777777" w:rsidR="00DB2B68" w:rsidRDefault="00000000">
      <w:pPr>
        <w:pStyle w:val="Author-eListParagraph"/>
        <w:numPr>
          <w:ilvl w:val="0"/>
          <w:numId w:val="1001"/>
        </w:numPr>
      </w:pPr>
      <w:r>
        <w:rPr>
          <w:rStyle w:val="soitChar"/>
        </w:rPr>
        <w:t xml:space="preserve">Epaisseur des panneaux : </w:t>
      </w:r>
      <w:r>
        <w:rPr>
          <w:rStyle w:val="optioncarChar"/>
        </w:rPr>
        <w:t>27</w:t>
      </w:r>
      <w:r>
        <w:t xml:space="preserve"> (par défaut)</w:t>
      </w:r>
      <w:r>
        <w:rPr>
          <w:rStyle w:val="optioncarChar"/>
        </w:rPr>
        <w:t xml:space="preserve"> / 32 / 37 / 42 / 47 / 52</w:t>
      </w:r>
      <w:r>
        <w:rPr>
          <w:rStyle w:val="soitChar"/>
        </w:rPr>
        <w:t xml:space="preserve"> mm</w:t>
      </w:r>
    </w:p>
    <w:p w14:paraId="3E3A5E6C" w14:textId="77777777" w:rsidR="00DB2B68" w:rsidRDefault="00DB2B68"/>
    <w:p w14:paraId="604528B4" w14:textId="77777777" w:rsidR="00DB2B68" w:rsidRDefault="00000000">
      <w:pPr>
        <w:pStyle w:val="Author-eListParagraph"/>
        <w:numPr>
          <w:ilvl w:val="0"/>
          <w:numId w:val="1002"/>
        </w:numPr>
        <w:jc w:val="both"/>
      </w:pPr>
      <w:r>
        <w:t xml:space="preserve">Jointures : </w:t>
      </w:r>
      <w:r>
        <w:rPr>
          <w:rStyle w:val="optioncarChar"/>
        </w:rPr>
        <w:t>ajourées</w:t>
      </w:r>
      <w:r>
        <w:t xml:space="preserve"> (par défaut) </w:t>
      </w:r>
      <w:r>
        <w:rPr>
          <w:rStyle w:val="optioncarChar"/>
        </w:rPr>
        <w:t>/ fermées</w:t>
      </w:r>
    </w:p>
    <w:p w14:paraId="58376891" w14:textId="77777777" w:rsidR="00DB2B68" w:rsidRDefault="00000000">
      <w:pPr>
        <w:pStyle w:val="Author-eListParagraph"/>
        <w:numPr>
          <w:ilvl w:val="0"/>
          <w:numId w:val="1002"/>
        </w:numPr>
        <w:jc w:val="both"/>
      </w:pPr>
      <w:r>
        <w:t xml:space="preserve">Finition des bords : </w:t>
      </w:r>
      <w:r>
        <w:rPr>
          <w:rStyle w:val="optioncarChar"/>
        </w:rPr>
        <w:t>droits / adoucis / chanfreinés</w:t>
      </w:r>
      <w:r>
        <w:t xml:space="preserve"> (par défaut) </w:t>
      </w:r>
      <w:r>
        <w:rPr>
          <w:rStyle w:val="optioncarChar"/>
        </w:rPr>
        <w:t>/ à rainures et languettes des deux côtés longitudinaux / à rainures et languettes sur les quatre côtés / à mi-bois sur les quatre côtés</w:t>
      </w:r>
    </w:p>
    <w:p w14:paraId="60B36115" w14:textId="77777777" w:rsidR="00DB2B68" w:rsidRDefault="00000000">
      <w:pPr>
        <w:ind w:left="750"/>
      </w:pPr>
      <w:r>
        <w:t> </w:t>
      </w:r>
    </w:p>
    <w:p w14:paraId="5CA05DBC" w14:textId="77777777" w:rsidR="00DB2B68" w:rsidRDefault="00000000">
      <w:pPr>
        <w:pStyle w:val="pheading"/>
      </w:pPr>
      <w:r>
        <w:t>- Finitions</w:t>
      </w:r>
    </w:p>
    <w:p w14:paraId="0F38DFD9" w14:textId="77777777" w:rsidR="00DB2B68" w:rsidRDefault="00000000">
      <w:pPr>
        <w:jc w:val="both"/>
      </w:pPr>
      <w:r>
        <w:rPr>
          <w:b/>
        </w:rPr>
        <w:t>Traitement de finition du bois</w:t>
      </w:r>
    </w:p>
    <w:p w14:paraId="13F0468D" w14:textId="77777777" w:rsidR="00DB2B68" w:rsidRDefault="00000000">
      <w:pPr>
        <w:jc w:val="both"/>
      </w:pPr>
      <w:r>
        <w:t xml:space="preserve">Finition des parties visibles du bois : </w:t>
      </w:r>
      <w:r>
        <w:rPr>
          <w:rStyle w:val="optioncarChar"/>
        </w:rPr>
        <w:t>pas de finition</w:t>
      </w:r>
      <w:r>
        <w:t xml:space="preserve"> (par défaut) </w:t>
      </w:r>
      <w:r>
        <w:rPr>
          <w:rStyle w:val="optioncarChar"/>
        </w:rPr>
        <w:t>/ application d’une finition</w:t>
      </w:r>
    </w:p>
    <w:p w14:paraId="03CF43FA" w14:textId="77777777" w:rsidR="00DB2B68" w:rsidRDefault="00000000">
      <w:pPr>
        <w:jc w:val="both"/>
      </w:pPr>
      <w:r>
        <w:rPr>
          <w:u w:val="single"/>
        </w:rPr>
        <w:t>Dans le cas de l’application d’une finition sur le bois prévue dans le présent travail :</w:t>
      </w:r>
    </w:p>
    <w:p w14:paraId="416F7C80" w14:textId="77777777" w:rsidR="00DB2B68" w:rsidRDefault="00000000">
      <w:pPr>
        <w:pStyle w:val="Author-eListParagraph"/>
        <w:numPr>
          <w:ilvl w:val="0"/>
          <w:numId w:val="1003"/>
        </w:numPr>
      </w:pPr>
      <w:r>
        <w:t xml:space="preserve">Type de traitement : </w:t>
      </w:r>
      <w:r>
        <w:rPr>
          <w:rStyle w:val="optioncarChar"/>
        </w:rPr>
        <w:t xml:space="preserve">lasure </w:t>
      </w:r>
      <w:r>
        <w:t>(par défaut)</w:t>
      </w:r>
      <w:r>
        <w:rPr>
          <w:rStyle w:val="optioncarChar"/>
        </w:rPr>
        <w:t xml:space="preserve"> / verni / peinture / huile / céruse / anti UV</w:t>
      </w:r>
    </w:p>
    <w:p w14:paraId="6D081A8E" w14:textId="77777777" w:rsidR="00DB2B68" w:rsidRDefault="00000000">
      <w:pPr>
        <w:pStyle w:val="Author-eListParagraph"/>
        <w:numPr>
          <w:ilvl w:val="0"/>
          <w:numId w:val="1003"/>
        </w:numPr>
      </w:pPr>
      <w:r>
        <w:t xml:space="preserve">Teinte : </w:t>
      </w:r>
      <w:r>
        <w:rPr>
          <w:rStyle w:val="optioncarChar"/>
        </w:rPr>
        <w:t xml:space="preserve">transparent </w:t>
      </w:r>
      <w:r>
        <w:t xml:space="preserve">(par défaut) </w:t>
      </w:r>
      <w:r>
        <w:rPr>
          <w:rStyle w:val="optioncarChar"/>
        </w:rPr>
        <w:t>/ pigmenté blanchâtre / blanc / RAL : ***</w:t>
      </w:r>
    </w:p>
    <w:p w14:paraId="6AEFB48A" w14:textId="77777777" w:rsidR="00DB2B68" w:rsidRDefault="00000000">
      <w:pPr>
        <w:jc w:val="both"/>
      </w:pPr>
      <w:r>
        <w:rPr>
          <w:b/>
        </w:rPr>
        <w:t>Résistance au feu</w:t>
      </w:r>
    </w:p>
    <w:p w14:paraId="08EE1530" w14:textId="77777777" w:rsidR="00DB2B68" w:rsidRDefault="00000000">
      <w:pPr>
        <w:jc w:val="both"/>
      </w:pPr>
      <w:r>
        <w:t xml:space="preserve">Le plancher présente une résistance au feu, selon la [NBN EN 13501-2] : </w:t>
      </w:r>
      <w:r>
        <w:rPr>
          <w:rStyle w:val="optioncarChar"/>
        </w:rPr>
        <w:t xml:space="preserve">pas d’application / REI30 </w:t>
      </w:r>
      <w:r>
        <w:t xml:space="preserve">(par défaut) </w:t>
      </w:r>
      <w:r>
        <w:rPr>
          <w:rStyle w:val="optioncarChar"/>
        </w:rPr>
        <w:t>/ REI60 / REI 90 / REI 120</w:t>
      </w:r>
    </w:p>
    <w:p w14:paraId="30AF7A13" w14:textId="77777777" w:rsidR="00DB2B68" w:rsidRDefault="00000000">
      <w:pPr>
        <w:jc w:val="both"/>
      </w:pPr>
      <w:r>
        <w:t xml:space="preserve">En cas de résistance au feu obligatoire, celle-ci est atteinte : </w:t>
      </w:r>
      <w:r>
        <w:rPr>
          <w:rStyle w:val="optioncarChar"/>
        </w:rPr>
        <w:t>sans traitement particulier</w:t>
      </w:r>
      <w:r>
        <w:t xml:space="preserve"> (par défaut)</w:t>
      </w:r>
      <w:r>
        <w:rPr>
          <w:rStyle w:val="optioncarChar"/>
        </w:rPr>
        <w:t xml:space="preserve"> / par traitement ignifuge (compris dans le travail)</w:t>
      </w:r>
      <w:r>
        <w:t xml:space="preserve"> du bois.</w:t>
      </w:r>
    </w:p>
    <w:p w14:paraId="56EB081D" w14:textId="77777777" w:rsidR="00DB2B68" w:rsidRDefault="00000000">
      <w:pPr>
        <w:pStyle w:val="pheading"/>
      </w:pPr>
      <w:r>
        <w:t>EXÉCUTION / MISE EN ŒUVRE</w:t>
      </w:r>
    </w:p>
    <w:p w14:paraId="11A318E1" w14:textId="77777777" w:rsidR="00DB2B68" w:rsidRDefault="00000000">
      <w:pPr>
        <w:pStyle w:val="pheading"/>
      </w:pPr>
      <w:r>
        <w:t>- Prescriptions générales</w:t>
      </w:r>
    </w:p>
    <w:p w14:paraId="38FE2922" w14:textId="77777777" w:rsidR="00DB2B68" w:rsidRDefault="00000000">
      <w:pPr>
        <w:jc w:val="both"/>
      </w:pPr>
      <w:r>
        <w:t>Les coursives sont posées avec une légère pente, vers les extrémités opposées aux murs, pour assurer l’évacuation des eaux.</w:t>
      </w:r>
    </w:p>
    <w:p w14:paraId="097CDC70" w14:textId="77777777" w:rsidR="00DB2B68" w:rsidRDefault="00000000">
      <w:pPr>
        <w:jc w:val="both"/>
      </w:pPr>
      <w:r>
        <w:t xml:space="preserve">Pente : ≥ </w:t>
      </w:r>
      <w:r>
        <w:rPr>
          <w:rStyle w:val="optioncarChar"/>
        </w:rPr>
        <w:t>pas de pente / 1%</w:t>
      </w:r>
      <w:r>
        <w:t> (par défaut)</w:t>
      </w:r>
      <w:r>
        <w:rPr>
          <w:rStyle w:val="optioncarChar"/>
        </w:rPr>
        <w:t> / 1,5% / 2%</w:t>
      </w:r>
    </w:p>
    <w:p w14:paraId="16217B6C" w14:textId="77777777" w:rsidR="00DB2B68" w:rsidRDefault="00000000">
      <w:pPr>
        <w:jc w:val="both"/>
      </w:pPr>
      <w:r>
        <w:t>L'étude et les plans d'exécution sont réalisés sur base : </w:t>
      </w:r>
      <w:r>
        <w:rPr>
          <w:rStyle w:val="optioncarChar"/>
        </w:rPr>
        <w:t>des études et dessins de détail annexés au dossier de soumission </w:t>
      </w:r>
      <w:r>
        <w:t>(par défaut)</w:t>
      </w:r>
      <w:r>
        <w:rPr>
          <w:rStyle w:val="optioncarChar"/>
        </w:rPr>
        <w:t> / à charge de l’entreprise. </w:t>
      </w:r>
    </w:p>
    <w:p w14:paraId="1D88A3B2" w14:textId="77777777" w:rsidR="00DB2B68" w:rsidRDefault="00000000">
      <w:pPr>
        <w:jc w:val="both"/>
      </w:pPr>
      <w:r>
        <w:rPr>
          <w:b/>
        </w:rPr>
        <w:t>Etudes et dessins de détail annexés au dossier de soumission </w:t>
      </w:r>
    </w:p>
    <w:p w14:paraId="1DFCA5C1" w14:textId="77777777" w:rsidR="00DB2B68" w:rsidRDefault="00000000">
      <w:pPr>
        <w:jc w:val="both"/>
      </w:pPr>
      <w:r>
        <w:t>Les dessins d’exécution sont réalisés selon l’étude des plans et des détails de l'auteur de projet annexés au dossier de soumission. </w:t>
      </w:r>
    </w:p>
    <w:p w14:paraId="006F9889" w14:textId="77777777" w:rsidR="00DB2B68" w:rsidRDefault="00000000">
      <w:pPr>
        <w:jc w:val="both"/>
      </w:pPr>
      <w:r>
        <w:rPr>
          <w:b/>
        </w:rPr>
        <w:t>Etudes à charge de l’entreprise </w:t>
      </w:r>
    </w:p>
    <w:p w14:paraId="543B74D1" w14:textId="77777777" w:rsidR="00DB2B68" w:rsidRDefault="00000000">
      <w:pPr>
        <w:jc w:val="both"/>
      </w:pPr>
      <w:r>
        <w:t>Les frais pour la réalisation de l'étude des coursives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w:t>
      </w:r>
    </w:p>
    <w:p w14:paraId="07FD66D9" w14:textId="77777777" w:rsidR="00DB2B68" w:rsidRDefault="00000000">
      <w:pPr>
        <w:jc w:val="both"/>
      </w:pPr>
      <w:r>
        <w:t>L’étude est établie suivant les indications données sur les plans et coupes de principe du dossier de soumission et des informations suivantes, le tout donné à titre indicatif pour orienter l’entreprise :</w:t>
      </w:r>
    </w:p>
    <w:p w14:paraId="1F5F4782" w14:textId="77777777" w:rsidR="00DB2B68" w:rsidRDefault="00000000">
      <w:pPr>
        <w:jc w:val="both"/>
      </w:pPr>
      <w:r>
        <w:rPr>
          <w:u w:val="single"/>
        </w:rPr>
        <w:t>Structure portante (pour information)</w:t>
      </w:r>
    </w:p>
    <w:p w14:paraId="2547144E" w14:textId="77777777" w:rsidR="00DB2B68" w:rsidRDefault="00000000">
      <w:pPr>
        <w:pStyle w:val="Author-eListParagraph"/>
        <w:numPr>
          <w:ilvl w:val="0"/>
          <w:numId w:val="1004"/>
        </w:numPr>
      </w:pPr>
      <w:r>
        <w:t>La structure portante ne fait pas partie du présent travail. Les coursives sont prévues pour être posées sur : </w:t>
      </w:r>
      <w:r>
        <w:rPr>
          <w:rStyle w:val="optioncarChar"/>
        </w:rPr>
        <w:t>des colonnes/poutres</w:t>
      </w:r>
      <w:r>
        <w:t> (par défaut)</w:t>
      </w:r>
      <w:r>
        <w:rPr>
          <w:rStyle w:val="optioncarChar"/>
        </w:rPr>
        <w:t> / des consoles fixées au mur.</w:t>
      </w:r>
    </w:p>
    <w:p w14:paraId="32E2B227" w14:textId="77777777" w:rsidR="00DB2B68" w:rsidRDefault="00000000">
      <w:pPr>
        <w:jc w:val="both"/>
      </w:pPr>
      <w:r>
        <w:rPr>
          <w:u w:val="single"/>
        </w:rPr>
        <w:t>Structure principale</w:t>
      </w:r>
    </w:p>
    <w:p w14:paraId="3DD95663" w14:textId="77777777" w:rsidR="00DB2B68" w:rsidRDefault="00000000">
      <w:pPr>
        <w:pStyle w:val="Author-eListParagraph"/>
        <w:numPr>
          <w:ilvl w:val="0"/>
          <w:numId w:val="1005"/>
        </w:numPr>
      </w:pPr>
      <w:r>
        <w:t>Profil de limons / gîtages : </w:t>
      </w:r>
      <w:r>
        <w:rPr>
          <w:rStyle w:val="optioncarChar"/>
        </w:rPr>
        <w:t>rectangulaire </w:t>
      </w:r>
      <w:r>
        <w:t>(par défaut)</w:t>
      </w:r>
      <w:r>
        <w:rPr>
          <w:rStyle w:val="optioncarChar"/>
        </w:rPr>
        <w:t> / carré / circulaire</w:t>
      </w:r>
    </w:p>
    <w:p w14:paraId="55D3F419" w14:textId="77777777" w:rsidR="00DB2B68" w:rsidRDefault="00000000">
      <w:pPr>
        <w:pStyle w:val="Author-eListParagraph"/>
        <w:numPr>
          <w:ilvl w:val="0"/>
          <w:numId w:val="1005"/>
        </w:numPr>
      </w:pPr>
      <w:r>
        <w:t>Assemblages à la structure portante : </w:t>
      </w:r>
      <w:r>
        <w:rPr>
          <w:rStyle w:val="optioncarChar"/>
        </w:rPr>
        <w:t>boulonnés </w:t>
      </w:r>
      <w:r>
        <w:t>(par défaut)</w:t>
      </w:r>
      <w:r>
        <w:rPr>
          <w:rStyle w:val="optioncarChar"/>
        </w:rPr>
        <w:t> / cloués / vissés</w:t>
      </w:r>
    </w:p>
    <w:p w14:paraId="3F483EA5" w14:textId="77777777" w:rsidR="00DB2B68" w:rsidRDefault="00000000">
      <w:pPr>
        <w:jc w:val="both"/>
      </w:pPr>
      <w:r>
        <w:rPr>
          <w:u w:val="single"/>
        </w:rPr>
        <w:lastRenderedPageBreak/>
        <w:t>Structure secondaire</w:t>
      </w:r>
    </w:p>
    <w:p w14:paraId="5198186E" w14:textId="77777777" w:rsidR="00DB2B68" w:rsidRDefault="00000000">
      <w:pPr>
        <w:pStyle w:val="Author-eListParagraph"/>
        <w:numPr>
          <w:ilvl w:val="0"/>
          <w:numId w:val="1006"/>
        </w:numPr>
      </w:pPr>
      <w:r>
        <w:t>Profil : </w:t>
      </w:r>
      <w:r>
        <w:rPr>
          <w:rStyle w:val="optioncarChar"/>
        </w:rPr>
        <w:t>rectangulaire </w:t>
      </w:r>
      <w:r>
        <w:t>(par défaut)</w:t>
      </w:r>
      <w:r>
        <w:rPr>
          <w:rStyle w:val="optioncarChar"/>
        </w:rPr>
        <w:t> / carré / circulaire</w:t>
      </w:r>
    </w:p>
    <w:p w14:paraId="52EE21A8" w14:textId="77777777" w:rsidR="00DB2B68" w:rsidRDefault="00000000">
      <w:pPr>
        <w:pStyle w:val="Author-eListParagraph"/>
        <w:numPr>
          <w:ilvl w:val="0"/>
          <w:numId w:val="1006"/>
        </w:numPr>
      </w:pPr>
      <w:r>
        <w:t>Assemblages à la structure principale : </w:t>
      </w:r>
      <w:r>
        <w:rPr>
          <w:rStyle w:val="optioncarChar"/>
        </w:rPr>
        <w:t>boulonnés </w:t>
      </w:r>
      <w:r>
        <w:t>(par défaut)</w:t>
      </w:r>
      <w:r>
        <w:rPr>
          <w:rStyle w:val="optioncarChar"/>
        </w:rPr>
        <w:t> / cloués / vissés</w:t>
      </w:r>
    </w:p>
    <w:p w14:paraId="148E00E0" w14:textId="77777777" w:rsidR="00DB2B68" w:rsidRDefault="00000000">
      <w:pPr>
        <w:jc w:val="both"/>
      </w:pPr>
      <w:r>
        <w:rPr>
          <w:u w:val="single"/>
        </w:rPr>
        <w:t>Contreventements</w:t>
      </w:r>
    </w:p>
    <w:p w14:paraId="26C458DC" w14:textId="77777777" w:rsidR="00DB2B68" w:rsidRDefault="00000000">
      <w:pPr>
        <w:pStyle w:val="Author-eListParagraph"/>
        <w:numPr>
          <w:ilvl w:val="0"/>
          <w:numId w:val="1007"/>
        </w:numPr>
      </w:pPr>
      <w:r>
        <w:t>Les contreventements sont en :</w:t>
      </w:r>
      <w:r>
        <w:rPr>
          <w:rStyle w:val="optioncarChar"/>
        </w:rPr>
        <w:t> bois </w:t>
      </w:r>
      <w:r>
        <w:t>(par défaut)</w:t>
      </w:r>
      <w:r>
        <w:rPr>
          <w:rStyle w:val="optioncarChar"/>
        </w:rPr>
        <w:t> / acier</w:t>
      </w:r>
    </w:p>
    <w:p w14:paraId="5591AE56" w14:textId="77777777" w:rsidR="00DB2B68" w:rsidRDefault="00000000">
      <w:pPr>
        <w:ind w:left="567"/>
        <w:jc w:val="both"/>
      </w:pPr>
      <w:r>
        <w:rPr>
          <w:b/>
        </w:rPr>
        <w:t>(soit par défaut)</w:t>
      </w:r>
    </w:p>
    <w:p w14:paraId="50D9FED8" w14:textId="77777777" w:rsidR="00DB2B68" w:rsidRDefault="00000000">
      <w:pPr>
        <w:ind w:left="567"/>
        <w:jc w:val="both"/>
      </w:pPr>
      <w:r>
        <w:rPr>
          <w:rStyle w:val="soitChar"/>
          <w:u w:val="single"/>
        </w:rPr>
        <w:t>En bois :</w:t>
      </w:r>
    </w:p>
    <w:p w14:paraId="561289FF" w14:textId="77777777" w:rsidR="00DB2B68" w:rsidRDefault="00000000">
      <w:pPr>
        <w:pStyle w:val="Author-eListParagraph"/>
        <w:numPr>
          <w:ilvl w:val="1"/>
          <w:numId w:val="1008"/>
        </w:numPr>
      </w:pPr>
      <w:r>
        <w:rPr>
          <w:rStyle w:val="soitChar"/>
        </w:rPr>
        <w:t>Profil : </w:t>
      </w:r>
      <w:r>
        <w:rPr>
          <w:rStyle w:val="optioncarChar"/>
        </w:rPr>
        <w:t>rectangulaire </w:t>
      </w:r>
      <w:r>
        <w:t>(par défaut)</w:t>
      </w:r>
      <w:r>
        <w:rPr>
          <w:rStyle w:val="optioncarChar"/>
        </w:rPr>
        <w:t> / carré / circulaire</w:t>
      </w:r>
    </w:p>
    <w:p w14:paraId="2044DA33" w14:textId="77777777" w:rsidR="00DB2B68" w:rsidRDefault="00000000">
      <w:pPr>
        <w:pStyle w:val="Author-eListParagraph"/>
        <w:numPr>
          <w:ilvl w:val="1"/>
          <w:numId w:val="1008"/>
        </w:numPr>
      </w:pPr>
      <w:r>
        <w:rPr>
          <w:rStyle w:val="soitChar"/>
        </w:rPr>
        <w:t>Assemblages à la structure : </w:t>
      </w:r>
      <w:r>
        <w:rPr>
          <w:rStyle w:val="optioncarChar"/>
        </w:rPr>
        <w:t>boulonnés</w:t>
      </w:r>
      <w:r>
        <w:t> (par défaut) </w:t>
      </w:r>
      <w:r>
        <w:rPr>
          <w:rStyle w:val="optioncarChar"/>
        </w:rPr>
        <w:t>/ cloués / vissés</w:t>
      </w:r>
    </w:p>
    <w:p w14:paraId="0C7392D9" w14:textId="77777777" w:rsidR="00DB2B68" w:rsidRDefault="00000000">
      <w:pPr>
        <w:ind w:left="567"/>
        <w:jc w:val="both"/>
      </w:pPr>
      <w:r>
        <w:rPr>
          <w:b/>
        </w:rPr>
        <w:t>(soit)</w:t>
      </w:r>
    </w:p>
    <w:p w14:paraId="48D54AC6" w14:textId="77777777" w:rsidR="00DB2B68" w:rsidRDefault="00000000">
      <w:pPr>
        <w:ind w:left="567"/>
        <w:jc w:val="both"/>
      </w:pPr>
      <w:r>
        <w:rPr>
          <w:rStyle w:val="soitChar"/>
          <w:u w:val="single"/>
        </w:rPr>
        <w:t>En acier :</w:t>
      </w:r>
    </w:p>
    <w:p w14:paraId="39A273C2" w14:textId="77777777" w:rsidR="00DB2B68" w:rsidRDefault="00000000">
      <w:pPr>
        <w:pStyle w:val="Author-eListParagraph"/>
        <w:numPr>
          <w:ilvl w:val="1"/>
          <w:numId w:val="1009"/>
        </w:numPr>
      </w:pPr>
      <w:r>
        <w:rPr>
          <w:rStyle w:val="soitChar"/>
        </w:rPr>
        <w:t>Profil : </w:t>
      </w:r>
      <w:r>
        <w:rPr>
          <w:rStyle w:val="optioncarChar"/>
        </w:rPr>
        <w:t>câbles </w:t>
      </w:r>
      <w:r>
        <w:t>(par défaut) </w:t>
      </w:r>
      <w:r>
        <w:rPr>
          <w:rStyle w:val="optioncarChar"/>
        </w:rPr>
        <w:t>/ tiges rondes / cornières L à ailes égales / ***</w:t>
      </w:r>
    </w:p>
    <w:p w14:paraId="283FAD8C" w14:textId="77777777" w:rsidR="00DB2B68" w:rsidRDefault="00000000">
      <w:pPr>
        <w:pStyle w:val="Author-eListParagraph"/>
        <w:numPr>
          <w:ilvl w:val="1"/>
          <w:numId w:val="1009"/>
        </w:numPr>
      </w:pPr>
      <w:r>
        <w:rPr>
          <w:rStyle w:val="soitChar"/>
        </w:rPr>
        <w:t>Assemblages à la structure : </w:t>
      </w:r>
      <w:r>
        <w:rPr>
          <w:rStyle w:val="optioncarChar"/>
        </w:rPr>
        <w:t>boulonnés à la structure</w:t>
      </w:r>
      <w:r>
        <w:t> (par défaut)</w:t>
      </w:r>
      <w:r>
        <w:rPr>
          <w:rStyle w:val="optioncarChar"/>
        </w:rPr>
        <w:t> / boulonnés sur des goussets / pattes fixés à la structure</w:t>
      </w:r>
    </w:p>
    <w:p w14:paraId="2DF1A60F" w14:textId="77777777" w:rsidR="00DB2B68" w:rsidRDefault="00000000">
      <w:pPr>
        <w:jc w:val="both"/>
      </w:pPr>
      <w:r>
        <w:rPr>
          <w:u w:val="single"/>
        </w:rPr>
        <w:t>Platelage</w:t>
      </w:r>
    </w:p>
    <w:p w14:paraId="2A7C4AE4" w14:textId="77777777" w:rsidR="00DB2B68" w:rsidRDefault="00000000">
      <w:pPr>
        <w:pStyle w:val="Author-eListParagraph"/>
        <w:numPr>
          <w:ilvl w:val="0"/>
          <w:numId w:val="1010"/>
        </w:numPr>
      </w:pPr>
      <w:r>
        <w:t>Le platelage est posé : </w:t>
      </w:r>
      <w:r>
        <w:rPr>
          <w:rStyle w:val="optioncarChar"/>
        </w:rPr>
        <w:t>sur les profils de ceinture ou gîtages</w:t>
      </w:r>
      <w:r>
        <w:t> (par défaut)</w:t>
      </w:r>
      <w:r>
        <w:rPr>
          <w:rStyle w:val="optioncarChar"/>
        </w:rPr>
        <w:t> / en affleurement aux profils de ceinture de la coursive (pour que la face supérieure soit dans le même plan que le dessus des profils de ceinture)</w:t>
      </w:r>
      <w:r>
        <w:t>.</w:t>
      </w:r>
    </w:p>
    <w:p w14:paraId="7D51E491" w14:textId="77777777" w:rsidR="00DB2B68" w:rsidRDefault="00000000">
      <w:pPr>
        <w:pStyle w:val="Author-eListParagraph"/>
        <w:numPr>
          <w:ilvl w:val="0"/>
          <w:numId w:val="1010"/>
        </w:numPr>
      </w:pPr>
      <w:r>
        <w:t>Assemblages à la structure : </w:t>
      </w:r>
      <w:r>
        <w:rPr>
          <w:rStyle w:val="optioncarChar"/>
        </w:rPr>
        <w:t>vissés</w:t>
      </w:r>
      <w:r>
        <w:t> (par défaut)</w:t>
      </w:r>
      <w:r>
        <w:rPr>
          <w:rStyle w:val="optioncarChar"/>
        </w:rPr>
        <w:t> / cloués</w:t>
      </w:r>
    </w:p>
    <w:p w14:paraId="49BA836A" w14:textId="77777777" w:rsidR="00DB2B68" w:rsidRDefault="00000000">
      <w:pPr>
        <w:jc w:val="both"/>
      </w:pPr>
      <w:r>
        <w:rPr>
          <w:u w:val="single"/>
        </w:rPr>
        <w:t>Garde-corps</w:t>
      </w:r>
    </w:p>
    <w:p w14:paraId="1350535A" w14:textId="77777777" w:rsidR="00DB2B68" w:rsidRDefault="00000000">
      <w:pPr>
        <w:pStyle w:val="Author-eListParagraph"/>
        <w:numPr>
          <w:ilvl w:val="0"/>
          <w:numId w:val="1011"/>
        </w:numPr>
      </w:pPr>
      <w:r>
        <w:t>Les garde-corps sont fixés solidement aux :</w:t>
      </w:r>
      <w:r>
        <w:rPr>
          <w:rStyle w:val="optioncarChar"/>
        </w:rPr>
        <w:t> limons périphériques</w:t>
      </w:r>
      <w:r>
        <w:t> (par défaut)</w:t>
      </w:r>
      <w:r>
        <w:rPr>
          <w:rStyle w:val="optioncarChar"/>
        </w:rPr>
        <w:t> / aux platelages</w:t>
      </w:r>
    </w:p>
    <w:p w14:paraId="0B9A4F02" w14:textId="77777777" w:rsidR="00DB2B68" w:rsidRDefault="00000000">
      <w:pPr>
        <w:pStyle w:val="Author-eListParagraph"/>
        <w:numPr>
          <w:ilvl w:val="0"/>
          <w:numId w:val="1011"/>
        </w:numPr>
      </w:pPr>
      <w:r>
        <w:t>Assemblages au support : </w:t>
      </w:r>
      <w:r>
        <w:rPr>
          <w:rStyle w:val="optioncarChar"/>
        </w:rPr>
        <w:t>vissés </w:t>
      </w:r>
      <w:r>
        <w:t>(par défaut)</w:t>
      </w:r>
      <w:r>
        <w:rPr>
          <w:rStyle w:val="optioncarChar"/>
        </w:rPr>
        <w:t> / boulonnés</w:t>
      </w:r>
    </w:p>
    <w:p w14:paraId="39D5B2C1" w14:textId="77777777" w:rsidR="00DB2B68" w:rsidRDefault="00DB2B68"/>
    <w:p w14:paraId="56376456" w14:textId="77777777" w:rsidR="00DB2B68" w:rsidRDefault="00000000">
      <w:pPr>
        <w:jc w:val="both"/>
      </w:pPr>
      <w:r>
        <w:t>Le bois des coursives est protégé jusqu'à la réception provisoire dans un emballage de protection évitant les chocs et rayures.</w:t>
      </w:r>
    </w:p>
    <w:p w14:paraId="2611295C" w14:textId="77777777" w:rsidR="00DB2B68" w:rsidRDefault="00000000">
      <w:pPr>
        <w:pStyle w:val="pheading"/>
      </w:pPr>
      <w:r>
        <w:t>DOCUMENTS DE RÉFÉRENCE COMPLÉMENTAIRES</w:t>
      </w:r>
    </w:p>
    <w:p w14:paraId="7B6C7A65" w14:textId="77777777" w:rsidR="00DB2B68" w:rsidRDefault="00000000">
      <w:pPr>
        <w:pStyle w:val="pheading"/>
      </w:pPr>
      <w:r>
        <w:t>- Matériau</w:t>
      </w:r>
    </w:p>
    <w:p w14:paraId="0BA07BF1" w14:textId="77777777" w:rsidR="00DB2B68" w:rsidRDefault="00000000">
      <w:r>
        <w:t>[NBN EN 1995 série, Eurocode 5: Conception et calcul des structures en bois]</w:t>
      </w:r>
    </w:p>
    <w:p w14:paraId="26BF7AC9" w14:textId="77777777" w:rsidR="00DB2B68" w:rsidRDefault="00000000">
      <w:pPr>
        <w:pStyle w:val="pheading"/>
      </w:pPr>
      <w:r>
        <w:t>MESURAGE</w:t>
      </w:r>
    </w:p>
    <w:p w14:paraId="1AD62745" w14:textId="77777777" w:rsidR="00DB2B68" w:rsidRDefault="00000000">
      <w:pPr>
        <w:pStyle w:val="pheading"/>
      </w:pPr>
      <w:r>
        <w:t>- unité de mesure:</w:t>
      </w:r>
    </w:p>
    <w:p w14:paraId="24AD4907" w14:textId="77777777" w:rsidR="00DB2B68" w:rsidRDefault="00000000">
      <w:r>
        <w:rPr>
          <w:rStyle w:val="optioncarChar"/>
        </w:rPr>
        <w:t>pc</w:t>
      </w:r>
      <w:r>
        <w:t> (par défaut)</w:t>
      </w:r>
      <w:r>
        <w:rPr>
          <w:rStyle w:val="optioncarChar"/>
        </w:rPr>
        <w:t> / m² </w:t>
      </w:r>
    </w:p>
    <w:p w14:paraId="26D7458C" w14:textId="77777777" w:rsidR="00DB2B68" w:rsidRDefault="00000000">
      <w:r>
        <w:rPr>
          <w:b/>
        </w:rPr>
        <w:t>(soit par défaut)</w:t>
      </w:r>
      <w:r>
        <w:br/>
      </w:r>
      <w:r>
        <w:rPr>
          <w:rStyle w:val="soitChar"/>
        </w:rPr>
        <w:t>1. pc</w:t>
      </w:r>
      <w:r>
        <w:br/>
      </w:r>
      <w:r>
        <w:rPr>
          <w:b/>
        </w:rPr>
        <w:t>(soit)</w:t>
      </w:r>
      <w:r>
        <w:br/>
      </w:r>
      <w:r>
        <w:rPr>
          <w:rStyle w:val="soitChar"/>
        </w:rPr>
        <w:t>2. m² </w:t>
      </w:r>
    </w:p>
    <w:p w14:paraId="2B93C196" w14:textId="77777777" w:rsidR="00DB2B68" w:rsidRDefault="00000000">
      <w:pPr>
        <w:pStyle w:val="pheading"/>
      </w:pPr>
      <w:r>
        <w:t>- code de mesurage:</w:t>
      </w:r>
    </w:p>
    <w:p w14:paraId="5E765408" w14:textId="77777777" w:rsidR="00DB2B68" w:rsidRDefault="00000000">
      <w:r>
        <w:rPr>
          <w:rStyle w:val="optioncarChar"/>
        </w:rPr>
        <w:t>Quantité nette </w:t>
      </w:r>
      <w:r>
        <w:t>(par défaut)</w:t>
      </w:r>
      <w:r>
        <w:rPr>
          <w:rStyle w:val="optioncarChar"/>
        </w:rPr>
        <w:t> / Surface nette </w:t>
      </w:r>
    </w:p>
    <w:p w14:paraId="7C82AE1D" w14:textId="77777777" w:rsidR="00DB2B68" w:rsidRDefault="00000000">
      <w:pPr>
        <w:jc w:val="both"/>
      </w:pPr>
      <w:r>
        <w:rPr>
          <w:b/>
        </w:rPr>
        <w:t>(soit par défaut)</w:t>
      </w:r>
    </w:p>
    <w:p w14:paraId="3C5E8E5D" w14:textId="77777777" w:rsidR="00DB2B68" w:rsidRDefault="00000000">
      <w:pPr>
        <w:jc w:val="both"/>
      </w:pPr>
      <w:r>
        <w:rPr>
          <w:rStyle w:val="soitChar"/>
        </w:rPr>
        <w:t>1.  </w:t>
      </w:r>
      <w:r>
        <w:rPr>
          <w:rStyle w:val="soitChar"/>
          <w:u w:val="single"/>
        </w:rPr>
        <w:t>Quantité nette</w:t>
      </w:r>
      <w:r>
        <w:rPr>
          <w:rStyle w:val="soitChar"/>
        </w:rPr>
        <w:t> à mettre en œuvre, ventilée selon la nature des éléments constitutifs et les dimensions.</w:t>
      </w:r>
    </w:p>
    <w:p w14:paraId="12885B22" w14:textId="77777777" w:rsidR="00DB2B68" w:rsidRDefault="00000000">
      <w:pPr>
        <w:jc w:val="both"/>
      </w:pPr>
      <w:r>
        <w:rPr>
          <w:b/>
        </w:rPr>
        <w:t>(soit)</w:t>
      </w:r>
    </w:p>
    <w:p w14:paraId="141CD68F" w14:textId="77777777" w:rsidR="00DB2B68" w:rsidRDefault="00000000">
      <w:pPr>
        <w:jc w:val="both"/>
      </w:pPr>
      <w:r>
        <w:rPr>
          <w:rStyle w:val="soitChar"/>
        </w:rPr>
        <w:t>2. </w:t>
      </w:r>
      <w:r>
        <w:rPr>
          <w:rStyle w:val="soitChar"/>
          <w:u w:val="single"/>
        </w:rPr>
        <w:t>Surface nette</w:t>
      </w:r>
      <w:r>
        <w:rPr>
          <w:rStyle w:val="soitChar"/>
        </w:rPr>
        <w:t> à mettre en œuvre pour les « plateformes » des coursives, ventilée selon la nature des éléments constitutifs.</w:t>
      </w:r>
    </w:p>
    <w:p w14:paraId="315FF00F" w14:textId="77777777" w:rsidR="00DB2B68" w:rsidRDefault="00000000">
      <w:pPr>
        <w:pStyle w:val="pheading"/>
      </w:pPr>
      <w:r>
        <w:lastRenderedPageBreak/>
        <w:t>- nature du marché:</w:t>
      </w:r>
    </w:p>
    <w:p w14:paraId="48894D8F" w14:textId="77777777" w:rsidR="00DB2B68" w:rsidRDefault="00000000">
      <w:r>
        <w:t>1. 2. QF</w:t>
      </w:r>
    </w:p>
    <w:p w14:paraId="5671462F" w14:textId="77777777" w:rsidR="00DB2B68" w:rsidRDefault="00000000">
      <w:pPr>
        <w:pStyle w:val="pheading"/>
      </w:pPr>
      <w:r>
        <w:t>AIDE</w:t>
      </w:r>
    </w:p>
    <w:p w14:paraId="529E4DBE" w14:textId="77777777" w:rsidR="00DB2B68" w:rsidRDefault="00000000">
      <w:pPr>
        <w:jc w:val="both"/>
      </w:pPr>
      <w:r>
        <w:t>La quantité nette est plutôt prévue si le garde-corps est compris dans le travail.</w:t>
      </w:r>
    </w:p>
    <w:p w14:paraId="1E19559B" w14:textId="77777777" w:rsidR="00DB2B68" w:rsidRDefault="00000000">
      <w:pPr>
        <w:jc w:val="both"/>
      </w:pPr>
      <w:r>
        <w:t>La surface nette ne comprend pas le garde-corps, qui est comptabilisé dans un article séparé.</w:t>
      </w:r>
    </w:p>
    <w:p w14:paraId="4CF5DE25" w14:textId="77777777" w:rsidR="00DB2B68" w:rsidRDefault="00000000">
      <w:pPr>
        <w:pStyle w:val="Author-eSectionHeading4Numberless"/>
      </w:pPr>
      <w:bookmarkStart w:id="1709" w:name="_Toc220496688"/>
      <w:r>
        <w:t>24.34 Passerelles en bois CCTB 01.07</w:t>
      </w:r>
      <w:bookmarkEnd w:id="1709"/>
    </w:p>
    <w:p w14:paraId="0F580C2F" w14:textId="77777777" w:rsidR="00DB2B68" w:rsidRDefault="00000000">
      <w:pPr>
        <w:pStyle w:val="Author-eSectionHeading5Numberless"/>
      </w:pPr>
      <w:bookmarkStart w:id="1710" w:name="_Toc220496689"/>
      <w:r>
        <w:t>24.34.1 Passerelles en bois  CCTB 01.07</w:t>
      </w:r>
      <w:bookmarkEnd w:id="1710"/>
    </w:p>
    <w:p w14:paraId="3FD81947" w14:textId="77777777" w:rsidR="00DB2B68" w:rsidRDefault="00000000">
      <w:pPr>
        <w:pStyle w:val="Author-eSectionHeading6Numberless"/>
      </w:pPr>
      <w:bookmarkStart w:id="1711" w:name="_Toc220496690"/>
      <w:r>
        <w:t>24.34.1a Passerelles en bois  CCTB 01.11</w:t>
      </w:r>
      <w:bookmarkEnd w:id="1711"/>
    </w:p>
    <w:p w14:paraId="604E8717" w14:textId="77777777" w:rsidR="00DB2B68" w:rsidRDefault="00000000">
      <w:pPr>
        <w:pStyle w:val="pheading"/>
      </w:pPr>
      <w:r>
        <w:t>DESCRIPTION</w:t>
      </w:r>
    </w:p>
    <w:p w14:paraId="3FA17671" w14:textId="77777777" w:rsidR="00DB2B68" w:rsidRDefault="00000000">
      <w:pPr>
        <w:pStyle w:val="pheading"/>
      </w:pPr>
      <w:r>
        <w:t>- Définition / Comprend</w:t>
      </w:r>
    </w:p>
    <w:p w14:paraId="304994E9" w14:textId="77777777" w:rsidR="00DB2B68" w:rsidRDefault="00000000">
      <w:pPr>
        <w:jc w:val="both"/>
      </w:pPr>
      <w:r>
        <w:t>Il s'agit de la fourniture et la pose de passerelles en bois ainsi que tout élément nécessaire pour obtenir un ensemble fini.</w:t>
      </w:r>
    </w:p>
    <w:p w14:paraId="11E2698B" w14:textId="77777777" w:rsidR="00DB2B68" w:rsidRDefault="00000000">
      <w:pPr>
        <w:pStyle w:val="pheading"/>
      </w:pPr>
      <w:r>
        <w:t>MATÉRIAUX</w:t>
      </w:r>
    </w:p>
    <w:p w14:paraId="35F7A422" w14:textId="77777777" w:rsidR="00DB2B68" w:rsidRDefault="00000000">
      <w:pPr>
        <w:pStyle w:val="pheading"/>
      </w:pPr>
      <w:r>
        <w:t>- Caractéristiques générales</w:t>
      </w:r>
    </w:p>
    <w:p w14:paraId="78606D63" w14:textId="77777777" w:rsidR="00DB2B68" w:rsidRDefault="00000000">
      <w:pPr>
        <w:jc w:val="both"/>
      </w:pPr>
      <w:r>
        <w:rPr>
          <w:b/>
        </w:rPr>
        <w:t>Préambule</w:t>
      </w:r>
    </w:p>
    <w:p w14:paraId="26516248" w14:textId="77777777" w:rsidR="00DB2B68" w:rsidRDefault="00000000">
      <w:pPr>
        <w:jc w:val="both"/>
      </w:pPr>
      <w:r>
        <w:t>En fonction de leur conception, les passerelles sont composées :</w:t>
      </w:r>
    </w:p>
    <w:p w14:paraId="1B342C9D" w14:textId="77777777" w:rsidR="00DB2B68" w:rsidRDefault="00000000">
      <w:pPr>
        <w:pStyle w:val="Author-eListParagraph"/>
        <w:numPr>
          <w:ilvl w:val="0"/>
          <w:numId w:val="1012"/>
        </w:numPr>
      </w:pPr>
      <w:r>
        <w:t>d’une structure portante (non comprise dans le présent article)</w:t>
      </w:r>
    </w:p>
    <w:p w14:paraId="3BA04F50" w14:textId="77777777" w:rsidR="00DB2B68" w:rsidRDefault="00000000">
      <w:pPr>
        <w:pStyle w:val="Author-eListParagraph"/>
        <w:numPr>
          <w:ilvl w:val="0"/>
          <w:numId w:val="1012"/>
        </w:numPr>
      </w:pPr>
      <w:r>
        <w:t>d’une structure principale (poutres principales) ;</w:t>
      </w:r>
    </w:p>
    <w:p w14:paraId="100F8675" w14:textId="77777777" w:rsidR="00DB2B68" w:rsidRDefault="00000000">
      <w:pPr>
        <w:pStyle w:val="Author-eListParagraph"/>
        <w:numPr>
          <w:ilvl w:val="0"/>
          <w:numId w:val="1012"/>
        </w:numPr>
      </w:pPr>
      <w:r>
        <w:t>d’une structure secondaire (traverses, contreventement, etc.) ;</w:t>
      </w:r>
    </w:p>
    <w:p w14:paraId="3EA5FA8A" w14:textId="77777777" w:rsidR="00DB2B68" w:rsidRDefault="00000000">
      <w:pPr>
        <w:pStyle w:val="Author-eListParagraph"/>
        <w:numPr>
          <w:ilvl w:val="0"/>
          <w:numId w:val="1012"/>
        </w:numPr>
      </w:pPr>
      <w:r>
        <w:t>d’un platelage ;</w:t>
      </w:r>
    </w:p>
    <w:p w14:paraId="00895747" w14:textId="77777777" w:rsidR="00DB2B68" w:rsidRDefault="00000000">
      <w:pPr>
        <w:pStyle w:val="Author-eListParagraph"/>
        <w:numPr>
          <w:ilvl w:val="0"/>
          <w:numId w:val="1012"/>
        </w:numPr>
      </w:pPr>
      <w:r>
        <w:t>de garde-corps.</w:t>
      </w:r>
    </w:p>
    <w:p w14:paraId="2FE5FBC9" w14:textId="77777777" w:rsidR="00DB2B68" w:rsidRDefault="00000000">
      <w:pPr>
        <w:jc w:val="both"/>
      </w:pPr>
      <w:r>
        <w:rPr>
          <w:u w:val="single"/>
        </w:rPr>
        <w:t>Structures portantes</w:t>
      </w:r>
    </w:p>
    <w:p w14:paraId="24F92251" w14:textId="77777777" w:rsidR="00DB2B68" w:rsidRDefault="00000000">
      <w:pPr>
        <w:jc w:val="both"/>
      </w:pPr>
      <w:r>
        <w:t>Les structures portantes colonnes/poutres et/ou consoles fixées au mur ne font pas partie du présent travail. Elles sont décrites séparément en fonction de la nature des matériaux aux </w:t>
      </w:r>
      <w:hyperlink w:anchor="294" w:history="1">
        <w:r>
          <w:rPr>
            <w:color w:val="0000EE"/>
          </w:rPr>
          <w:t>21.1 Maçonneries portantes</w:t>
        </w:r>
      </w:hyperlink>
      <w:r>
        <w:t>, </w:t>
      </w:r>
      <w:hyperlink w:anchor="532" w:history="1">
        <w:r>
          <w:rPr>
            <w:color w:val="0000EE"/>
          </w:rPr>
          <w:t>22.1 Eléments de structures en béton</w:t>
        </w:r>
      </w:hyperlink>
      <w:r>
        <w:t>, </w:t>
      </w:r>
      <w:hyperlink w:anchor="422" w:history="1">
        <w:r>
          <w:rPr>
            <w:color w:val="0000EE"/>
          </w:rPr>
          <w:t>23.1 Eléments de structures métalliques</w:t>
        </w:r>
      </w:hyperlink>
      <w:r>
        <w:t> ou </w:t>
      </w:r>
      <w:hyperlink w:anchor="594" w:history="1">
        <w:r>
          <w:rPr>
            <w:color w:val="0000EE"/>
          </w:rPr>
          <w:t>24.1 Eléments de structures en bois</w:t>
        </w:r>
      </w:hyperlink>
      <w:r>
        <w:t> et articles qui en découlent.</w:t>
      </w:r>
    </w:p>
    <w:p w14:paraId="04A649AB" w14:textId="77777777" w:rsidR="00DB2B68" w:rsidRDefault="00000000">
      <w:pPr>
        <w:jc w:val="both"/>
      </w:pPr>
      <w:r>
        <w:rPr>
          <w:u w:val="single"/>
        </w:rPr>
        <w:t>Garde-corps</w:t>
      </w:r>
    </w:p>
    <w:p w14:paraId="7A64E4D8" w14:textId="77777777" w:rsidR="00DB2B68" w:rsidRDefault="00000000">
      <w:pPr>
        <w:jc w:val="both"/>
      </w:pPr>
      <w:r>
        <w:t>Les garde-corps sont décrits séparément, par exemple pour les métalliques, aux </w:t>
      </w:r>
      <w:hyperlink w:anchor="190" w:history="1">
        <w:r>
          <w:rPr>
            <w:color w:val="0000EE"/>
          </w:rPr>
          <w:t>23.32 Garde-corps et rampes métalliques</w:t>
        </w:r>
      </w:hyperlink>
      <w:r>
        <w:t> et articles qui en découlent. </w:t>
      </w:r>
      <w:r>
        <w:rPr>
          <w:rStyle w:val="optioncarChar"/>
        </w:rPr>
        <w:t>Ils ne font pas partie du présent travail </w:t>
      </w:r>
      <w:r>
        <w:t>(par défaut)</w:t>
      </w:r>
      <w:r>
        <w:rPr>
          <w:rStyle w:val="optioncarChar"/>
        </w:rPr>
        <w:t> / Leur fourniture et pose sont comprises dans le présent travail. </w:t>
      </w:r>
    </w:p>
    <w:p w14:paraId="0BAC321D" w14:textId="77777777" w:rsidR="00DB2B68" w:rsidRDefault="00000000">
      <w:pPr>
        <w:jc w:val="both"/>
      </w:pPr>
      <w:r>
        <w:rPr>
          <w:u w:val="single"/>
        </w:rPr>
        <w:t>Escalier</w:t>
      </w:r>
    </w:p>
    <w:p w14:paraId="680B3329" w14:textId="77777777" w:rsidR="00DB2B68" w:rsidRDefault="00000000">
      <w:pPr>
        <w:jc w:val="both"/>
      </w:pPr>
      <w:r>
        <w:t>Les éventuels escaliers permettant d’accéder aux passerelles ne font pas partie du présent article.</w:t>
      </w:r>
    </w:p>
    <w:p w14:paraId="10B6A7AE" w14:textId="77777777" w:rsidR="00DB2B68" w:rsidRDefault="00000000">
      <w:pPr>
        <w:jc w:val="both"/>
      </w:pPr>
      <w:r>
        <w:t>Ils sont décrits séparément aux </w:t>
      </w:r>
      <w:hyperlink w:anchor="558" w:history="1">
        <w:r>
          <w:rPr>
            <w:color w:val="0000EE"/>
          </w:rPr>
          <w:t>23.31 Escaliers métalliques</w:t>
        </w:r>
      </w:hyperlink>
      <w:r>
        <w:t> ou </w:t>
      </w:r>
      <w:hyperlink w:anchor="624" w:history="1">
        <w:r>
          <w:rPr>
            <w:color w:val="0000EE"/>
          </w:rPr>
          <w:t>24.31 Escaliers en bois</w:t>
        </w:r>
      </w:hyperlink>
      <w:r>
        <w:t> et articles qui en découlent.</w:t>
      </w:r>
    </w:p>
    <w:p w14:paraId="4A4B7462" w14:textId="77777777" w:rsidR="00DB2B68" w:rsidRDefault="00000000">
      <w:pPr>
        <w:jc w:val="both"/>
      </w:pPr>
      <w:r>
        <w:rPr>
          <w:b/>
        </w:rPr>
        <w:t>Matériaux</w:t>
      </w:r>
    </w:p>
    <w:p w14:paraId="4BBCB9F4" w14:textId="77777777" w:rsidR="00DB2B68" w:rsidRDefault="00000000">
      <w:pPr>
        <w:pStyle w:val="Author-eListParagraph"/>
        <w:numPr>
          <w:ilvl w:val="0"/>
          <w:numId w:val="1013"/>
        </w:numPr>
      </w:pPr>
      <w:r>
        <w:t>Classe d’emploi/de risque, suivant la [NBN EN 335] : </w:t>
      </w:r>
      <w:r>
        <w:rPr>
          <w:rStyle w:val="optioncarChar"/>
        </w:rPr>
        <w:t>1 / 2 / 3</w:t>
      </w:r>
      <w:r>
        <w:t> (par défaut)</w:t>
      </w:r>
    </w:p>
    <w:p w14:paraId="2236A421" w14:textId="77777777" w:rsidR="00DB2B68" w:rsidRDefault="00000000">
      <w:pPr>
        <w:jc w:val="both"/>
      </w:pPr>
      <w:r>
        <w:rPr>
          <w:u w:val="single"/>
        </w:rPr>
        <w:t>Les structures principales et secondaires :</w:t>
      </w:r>
    </w:p>
    <w:p w14:paraId="25433B57" w14:textId="77777777" w:rsidR="00DB2B68" w:rsidRDefault="00000000">
      <w:pPr>
        <w:jc w:val="both"/>
      </w:pPr>
      <w:r>
        <w:t>Caractéristiques du bois :</w:t>
      </w:r>
    </w:p>
    <w:p w14:paraId="1F4838AC" w14:textId="77777777" w:rsidR="00DB2B68" w:rsidRDefault="00000000">
      <w:pPr>
        <w:pStyle w:val="Author-eListParagraph"/>
        <w:numPr>
          <w:ilvl w:val="0"/>
          <w:numId w:val="1014"/>
        </w:numPr>
      </w:pPr>
      <w:r>
        <w:t>Gamme de produit : </w:t>
      </w:r>
      <w:r>
        <w:rPr>
          <w:rStyle w:val="optioncarChar"/>
        </w:rPr>
        <w:t>bois massifs </w:t>
      </w:r>
      <w:r>
        <w:t>(par défaut)</w:t>
      </w:r>
      <w:r>
        <w:rPr>
          <w:rStyle w:val="optioncarChar"/>
        </w:rPr>
        <w:t> / bois massifs aboutés, bois lamellés-collés, bois lamellés-collés en bloc / CLT / LVL/ LSL / PSL</w:t>
      </w:r>
    </w:p>
    <w:p w14:paraId="30B2DD93" w14:textId="77777777" w:rsidR="00DB2B68" w:rsidRDefault="00000000">
      <w:pPr>
        <w:pStyle w:val="Author-eListParagraph"/>
        <w:numPr>
          <w:ilvl w:val="0"/>
          <w:numId w:val="1014"/>
        </w:numPr>
      </w:pPr>
      <w:r>
        <w:t>Classe de durabilité, suivant la [NBN EN 460] : </w:t>
      </w:r>
      <w:r>
        <w:rPr>
          <w:rStyle w:val="optioncarChar"/>
        </w:rPr>
        <w:t>1 / 2</w:t>
      </w:r>
      <w:r>
        <w:t> (par défaut)</w:t>
      </w:r>
      <w:r>
        <w:rPr>
          <w:rStyle w:val="optioncarChar"/>
        </w:rPr>
        <w:t> / 3 / 4 / 5 / en fonction de l’essence de bois (voir le point suivant)</w:t>
      </w:r>
    </w:p>
    <w:p w14:paraId="58EB27FE" w14:textId="77777777" w:rsidR="00DB2B68" w:rsidRDefault="00000000">
      <w:pPr>
        <w:pStyle w:val="Author-eListParagraph"/>
        <w:numPr>
          <w:ilvl w:val="0"/>
          <w:numId w:val="1014"/>
        </w:numPr>
      </w:pPr>
      <w:r>
        <w:lastRenderedPageBreak/>
        <w:t>Choix de l’essence de bois : </w:t>
      </w:r>
      <w:r>
        <w:rPr>
          <w:rStyle w:val="optioncarChar"/>
        </w:rPr>
        <w:t>au choix de l’entrepreneur, en fonction de la durabilité ci-dessus, à soumettre à l’approbation de l’architecte et du maître de l’ouvrage</w:t>
      </w:r>
      <w:r>
        <w:t> (par défaut)</w:t>
      </w:r>
      <w:r>
        <w:rPr>
          <w:rStyle w:val="optioncarChar"/>
        </w:rPr>
        <w:t> / afzélia doussé / dark red meranti / merbeau / western red cedar / chêne / ***</w:t>
      </w:r>
      <w:r>
        <w:t>.</w:t>
      </w:r>
    </w:p>
    <w:p w14:paraId="506A2213" w14:textId="77777777" w:rsidR="00DB2B68" w:rsidRDefault="00000000">
      <w:pPr>
        <w:pStyle w:val="Author-eListParagraph"/>
        <w:numPr>
          <w:ilvl w:val="0"/>
          <w:numId w:val="1014"/>
        </w:numPr>
      </w:pPr>
      <w:r>
        <w:t>Raboté : </w:t>
      </w:r>
      <w:r>
        <w:rPr>
          <w:rStyle w:val="optioncarChar"/>
        </w:rPr>
        <w:t>2 faces (les faces de pose de panneaux) / 4 faces</w:t>
      </w:r>
      <w:r>
        <w:t> (par défaut)</w:t>
      </w:r>
    </w:p>
    <w:p w14:paraId="12AA14D6" w14:textId="77777777" w:rsidR="00DB2B68" w:rsidRDefault="00000000">
      <w:pPr>
        <w:jc w:val="both"/>
      </w:pPr>
      <w:r>
        <w:rPr>
          <w:u w:val="single"/>
        </w:rPr>
        <w:t>Les platelages :</w:t>
      </w:r>
    </w:p>
    <w:p w14:paraId="21EE18BB" w14:textId="77777777" w:rsidR="00DB2B68" w:rsidRDefault="00000000">
      <w:pPr>
        <w:jc w:val="both"/>
      </w:pPr>
      <w:r>
        <w:t>Caractéristiques du bois :</w:t>
      </w:r>
    </w:p>
    <w:p w14:paraId="4637803F" w14:textId="77777777" w:rsidR="00DB2B68" w:rsidRDefault="00000000">
      <w:pPr>
        <w:pStyle w:val="Author-eListParagraph"/>
        <w:numPr>
          <w:ilvl w:val="0"/>
          <w:numId w:val="1015"/>
        </w:numPr>
      </w:pPr>
      <w:r>
        <w:t>Valeur antidérapante suivant la [NBN EN 16165 ] :</w:t>
      </w:r>
      <w:r>
        <w:rPr>
          <w:rStyle w:val="optioncarChar"/>
        </w:rPr>
        <w:t> R9 / R10 / R11</w:t>
      </w:r>
      <w:r>
        <w:t> (par défaut)</w:t>
      </w:r>
    </w:p>
    <w:p w14:paraId="5A3FC135" w14:textId="77777777" w:rsidR="00DB2B68" w:rsidRDefault="00000000">
      <w:pPr>
        <w:pStyle w:val="Author-eListParagraph"/>
        <w:numPr>
          <w:ilvl w:val="0"/>
          <w:numId w:val="1015"/>
        </w:numPr>
      </w:pPr>
      <w:r>
        <w:t>Gamme de produit : </w:t>
      </w:r>
      <w:r>
        <w:rPr>
          <w:rStyle w:val="optioncarChar"/>
        </w:rPr>
        <w:t>bois massif </w:t>
      </w:r>
      <w:r>
        <w:t>(par défaut) </w:t>
      </w:r>
      <w:r>
        <w:rPr>
          <w:rStyle w:val="optioncarChar"/>
        </w:rPr>
        <w:t>/ panneaux de contreplaqué / panneaux OSB / LVL</w:t>
      </w:r>
    </w:p>
    <w:p w14:paraId="5AE403AA" w14:textId="77777777" w:rsidR="00DB2B68" w:rsidRDefault="00000000">
      <w:pPr>
        <w:ind w:left="567"/>
        <w:jc w:val="both"/>
      </w:pPr>
      <w:r>
        <w:rPr>
          <w:b/>
        </w:rPr>
        <w:t>(soit par défaut)</w:t>
      </w:r>
    </w:p>
    <w:p w14:paraId="786D82CC" w14:textId="77777777" w:rsidR="00DB2B68" w:rsidRDefault="00000000">
      <w:pPr>
        <w:ind w:left="567"/>
        <w:jc w:val="both"/>
      </w:pPr>
      <w:r>
        <w:rPr>
          <w:rStyle w:val="soitChar"/>
          <w:u w:val="single"/>
        </w:rPr>
        <w:t>Bois massif :</w:t>
      </w:r>
    </w:p>
    <w:p w14:paraId="1C3FB77C" w14:textId="77777777" w:rsidR="00DB2B68" w:rsidRDefault="00000000">
      <w:pPr>
        <w:pStyle w:val="Author-eListParagraph"/>
        <w:numPr>
          <w:ilvl w:val="1"/>
          <w:numId w:val="1016"/>
        </w:numPr>
      </w:pPr>
      <w:r>
        <w:rPr>
          <w:rStyle w:val="soitChar"/>
        </w:rPr>
        <w:t>Classe de durabilité, suivant la [NBN EN 460] :</w:t>
      </w:r>
      <w:r>
        <w:t> </w:t>
      </w:r>
      <w:r>
        <w:rPr>
          <w:rStyle w:val="optioncarChar"/>
        </w:rPr>
        <w:t>1 / 2</w:t>
      </w:r>
      <w:r>
        <w:t> (par défaut) </w:t>
      </w:r>
      <w:r>
        <w:rPr>
          <w:rStyle w:val="optioncarChar"/>
        </w:rPr>
        <w:t>/ 3 / 4 / 5 / choix de l’essence de bois directement (voir le point suivant)</w:t>
      </w:r>
    </w:p>
    <w:p w14:paraId="536ECEC3" w14:textId="77777777" w:rsidR="00DB2B68" w:rsidRDefault="00000000">
      <w:pPr>
        <w:pStyle w:val="Author-eListParagraph"/>
        <w:numPr>
          <w:ilvl w:val="1"/>
          <w:numId w:val="1016"/>
        </w:numPr>
      </w:pPr>
      <w:r>
        <w:rPr>
          <w:rStyle w:val="soitChar"/>
        </w:rPr>
        <w:t>Essence de bois : </w:t>
      </w:r>
      <w:r>
        <w:rPr>
          <w:rStyle w:val="optioncarChar"/>
        </w:rPr>
        <w:t>au choix de l’entrepreneur, en fonction de la durabilité ci-dessus, à soumettre à l’approbation de l’architecte et du maître de l’ouvrage </w:t>
      </w:r>
      <w:r>
        <w:t>(par défaut)</w:t>
      </w:r>
      <w:r>
        <w:rPr>
          <w:rStyle w:val="optioncarChar"/>
        </w:rPr>
        <w:t> / afzélia doussé / dark red meranti / merbeau / western red cedar / chêne / ipe / itauba / hêtre / frêne / mélèze / ***</w:t>
      </w:r>
    </w:p>
    <w:p w14:paraId="5CFEE9F4" w14:textId="77777777" w:rsidR="00DB2B68" w:rsidRDefault="00000000">
      <w:pPr>
        <w:pStyle w:val="Author-eListParagraph"/>
        <w:numPr>
          <w:ilvl w:val="1"/>
          <w:numId w:val="1016"/>
        </w:numPr>
      </w:pPr>
      <w:r>
        <w:rPr>
          <w:rStyle w:val="soitChar"/>
        </w:rPr>
        <w:t>Epaisseur du platelage : </w:t>
      </w:r>
      <w:r>
        <w:rPr>
          <w:rStyle w:val="optioncarChar"/>
        </w:rPr>
        <w:t>22 </w:t>
      </w:r>
      <w:r>
        <w:t>(par défaut)</w:t>
      </w:r>
      <w:r>
        <w:rPr>
          <w:rStyle w:val="optioncarChar"/>
        </w:rPr>
        <w:t> / 30 / 35</w:t>
      </w:r>
      <w:r>
        <w:rPr>
          <w:rStyle w:val="soitChar"/>
        </w:rPr>
        <w:t> mm</w:t>
      </w:r>
    </w:p>
    <w:p w14:paraId="3A620AAF" w14:textId="77777777" w:rsidR="00DB2B68" w:rsidRDefault="00000000">
      <w:pPr>
        <w:pStyle w:val="Author-eListParagraph"/>
        <w:numPr>
          <w:ilvl w:val="1"/>
          <w:numId w:val="1016"/>
        </w:numPr>
      </w:pPr>
      <w:r>
        <w:rPr>
          <w:rStyle w:val="soitChar"/>
        </w:rPr>
        <w:t>Finition de la face vue :</w:t>
      </w:r>
      <w:r>
        <w:t> </w:t>
      </w:r>
      <w:r>
        <w:rPr>
          <w:rStyle w:val="optioncarChar"/>
        </w:rPr>
        <w:t>antidérapante (PMR) </w:t>
      </w:r>
      <w:r>
        <w:t>(par défaut)</w:t>
      </w:r>
      <w:r>
        <w:rPr>
          <w:rStyle w:val="optioncarChar"/>
        </w:rPr>
        <w:t> / poncée / rabotée</w:t>
      </w:r>
    </w:p>
    <w:p w14:paraId="5E40BBA1" w14:textId="77777777" w:rsidR="00DB2B68" w:rsidRDefault="00000000">
      <w:pPr>
        <w:pStyle w:val="Author-eListParagraph"/>
        <w:numPr>
          <w:ilvl w:val="1"/>
          <w:numId w:val="1016"/>
        </w:numPr>
      </w:pPr>
      <w:r>
        <w:rPr>
          <w:rStyle w:val="soitChar"/>
        </w:rPr>
        <w:t>Pour l’antidérapant :</w:t>
      </w:r>
    </w:p>
    <w:p w14:paraId="746B0A71" w14:textId="77777777" w:rsidR="00DB2B68" w:rsidRDefault="00000000">
      <w:pPr>
        <w:pStyle w:val="Author-eListParagraph"/>
        <w:numPr>
          <w:ilvl w:val="2"/>
          <w:numId w:val="1017"/>
        </w:numPr>
      </w:pPr>
      <w:r>
        <w:rPr>
          <w:rStyle w:val="soitChar"/>
        </w:rPr>
        <w:t>Type d’antidérapant : </w:t>
      </w:r>
      <w:r>
        <w:rPr>
          <w:rStyle w:val="optioncarChar"/>
        </w:rPr>
        <w:t>ciselages (stries) antidérapants</w:t>
      </w:r>
      <w:r>
        <w:t> (par défaut)</w:t>
      </w:r>
      <w:r>
        <w:rPr>
          <w:rStyle w:val="optioncarChar"/>
        </w:rPr>
        <w:t> / bandes antidérapantes collées / bandes antidérapantes embrevées</w:t>
      </w:r>
    </w:p>
    <w:p w14:paraId="497C9406" w14:textId="77777777" w:rsidR="00DB2B68" w:rsidRDefault="00000000">
      <w:pPr>
        <w:pStyle w:val="Author-eListParagraph"/>
        <w:numPr>
          <w:ilvl w:val="2"/>
          <w:numId w:val="1017"/>
        </w:numPr>
      </w:pPr>
      <w:r>
        <w:rPr>
          <w:rStyle w:val="soitChar"/>
        </w:rPr>
        <w:t>Matériau antidérapant : </w:t>
      </w:r>
      <w:r>
        <w:rPr>
          <w:rStyle w:val="optioncarChar"/>
        </w:rPr>
        <w:t>pas d’application (ciselages) </w:t>
      </w:r>
      <w:r>
        <w:t>(par défaut)</w:t>
      </w:r>
      <w:r>
        <w:rPr>
          <w:rStyle w:val="optioncarChar"/>
        </w:rPr>
        <w:t> / carborundum / caoutchouc / PVC</w:t>
      </w:r>
    </w:p>
    <w:p w14:paraId="4B479780" w14:textId="77777777" w:rsidR="00DB2B68" w:rsidRDefault="00000000">
      <w:pPr>
        <w:ind w:left="567"/>
        <w:jc w:val="both"/>
      </w:pPr>
      <w:r>
        <w:rPr>
          <w:b/>
        </w:rPr>
        <w:t>(soit)</w:t>
      </w:r>
    </w:p>
    <w:p w14:paraId="148BE3DE" w14:textId="77777777" w:rsidR="00DB2B68" w:rsidRDefault="00000000">
      <w:pPr>
        <w:ind w:left="567"/>
        <w:jc w:val="both"/>
      </w:pPr>
      <w:r>
        <w:rPr>
          <w:rStyle w:val="soitChar"/>
          <w:u w:val="single"/>
        </w:rPr>
        <w:t>Panneaux de contreplaqué :</w:t>
      </w:r>
    </w:p>
    <w:p w14:paraId="55B1715F" w14:textId="77777777" w:rsidR="00DB2B68" w:rsidRDefault="00000000">
      <w:pPr>
        <w:pStyle w:val="Author-eListParagraph"/>
        <w:numPr>
          <w:ilvl w:val="1"/>
          <w:numId w:val="1018"/>
        </w:numPr>
        <w:jc w:val="both"/>
      </w:pPr>
      <w:r>
        <w:rPr>
          <w:rStyle w:val="soitChar"/>
        </w:rPr>
        <w:t>Classe de collage, selon la [NBN EN 314-2] : </w:t>
      </w:r>
      <w:r>
        <w:rPr>
          <w:rStyle w:val="optioncarChar"/>
        </w:rPr>
        <w:t>1 (int.) / 2 (ext. à l’abri) / 3 (ext.)</w:t>
      </w:r>
      <w:r>
        <w:t> (par défaut)</w:t>
      </w:r>
    </w:p>
    <w:p w14:paraId="13572C6C" w14:textId="77777777" w:rsidR="00DB2B68" w:rsidRDefault="00000000">
      <w:pPr>
        <w:pStyle w:val="Author-eListParagraph"/>
        <w:numPr>
          <w:ilvl w:val="1"/>
          <w:numId w:val="1018"/>
        </w:numPr>
        <w:jc w:val="both"/>
      </w:pPr>
      <w:r>
        <w:rPr>
          <w:rStyle w:val="soitChar"/>
        </w:rPr>
        <w:t xml:space="preserve">Classe d’émission de formaldéhyde, selon la [NBN EN ISO 12460-5] : </w:t>
      </w:r>
      <w:r>
        <w:rPr>
          <w:rStyle w:val="optioncarChar"/>
        </w:rPr>
        <w:t xml:space="preserve">E1 </w:t>
      </w:r>
      <w:r>
        <w:t>(par défaut)</w:t>
      </w:r>
      <w:r>
        <w:rPr>
          <w:rStyle w:val="optioncarChar"/>
        </w:rPr>
        <w:t xml:space="preserve"> / E2</w:t>
      </w:r>
    </w:p>
    <w:p w14:paraId="124FD5B9" w14:textId="77777777" w:rsidR="00DB2B68" w:rsidRDefault="00000000">
      <w:pPr>
        <w:pStyle w:val="Author-eListParagraph"/>
        <w:numPr>
          <w:ilvl w:val="1"/>
          <w:numId w:val="1018"/>
        </w:numPr>
        <w:jc w:val="both"/>
      </w:pPr>
      <w:r>
        <w:rPr>
          <w:rStyle w:val="soitChar"/>
        </w:rPr>
        <w:t>Essence : </w:t>
      </w:r>
      <w:r>
        <w:rPr>
          <w:rStyle w:val="optioncarChar"/>
        </w:rPr>
        <w:t>au choix de l’entrepreneur, à soumettre à l’approbation de l’architecte et du maître de l’ouvrage</w:t>
      </w:r>
      <w:r>
        <w:t> (par défaut) </w:t>
      </w:r>
      <w:r>
        <w:rPr>
          <w:rStyle w:val="optioncarChar"/>
        </w:rPr>
        <w:t>/ okoumé / okoumé nautique / oregon / western red cedar / dark red meranti / bouleau / ***</w:t>
      </w:r>
    </w:p>
    <w:p w14:paraId="1BC6CD50" w14:textId="77777777" w:rsidR="00DB2B68" w:rsidRDefault="00000000">
      <w:pPr>
        <w:pStyle w:val="Author-eListParagraph"/>
        <w:numPr>
          <w:ilvl w:val="1"/>
          <w:numId w:val="1018"/>
        </w:numPr>
        <w:jc w:val="both"/>
      </w:pPr>
      <w:r>
        <w:rPr>
          <w:rStyle w:val="soitChar"/>
        </w:rPr>
        <w:t>Epaisseur des panneaux : </w:t>
      </w:r>
      <w:r>
        <w:rPr>
          <w:rStyle w:val="optioncarChar"/>
        </w:rPr>
        <w:t>18 / 20 / 22</w:t>
      </w:r>
      <w:r>
        <w:t> (par défaut) </w:t>
      </w:r>
      <w:r>
        <w:rPr>
          <w:rStyle w:val="optioncarChar"/>
        </w:rPr>
        <w:t>/ 25 / 30</w:t>
      </w:r>
      <w:r>
        <w:rPr>
          <w:rStyle w:val="soitChar"/>
        </w:rPr>
        <w:t> mm</w:t>
      </w:r>
    </w:p>
    <w:p w14:paraId="34BF24E5" w14:textId="77777777" w:rsidR="00DB2B68" w:rsidRDefault="00000000">
      <w:pPr>
        <w:pStyle w:val="Author-eListParagraph"/>
        <w:numPr>
          <w:ilvl w:val="1"/>
          <w:numId w:val="1018"/>
        </w:numPr>
        <w:jc w:val="both"/>
      </w:pPr>
      <w:r>
        <w:rPr>
          <w:rStyle w:val="soitChar"/>
        </w:rPr>
        <w:t>Finition de la face vue : </w:t>
      </w:r>
      <w:r>
        <w:rPr>
          <w:rStyle w:val="optioncarChar"/>
        </w:rPr>
        <w:t>antidérapante (PMR)</w:t>
      </w:r>
      <w:r>
        <w:t> (par défaut)</w:t>
      </w:r>
      <w:r>
        <w:rPr>
          <w:rStyle w:val="optioncarChar"/>
        </w:rPr>
        <w:t> / poncée / non poncée</w:t>
      </w:r>
    </w:p>
    <w:p w14:paraId="23F72CD3" w14:textId="77777777" w:rsidR="00DB2B68" w:rsidRDefault="00000000">
      <w:pPr>
        <w:ind w:left="567"/>
        <w:jc w:val="both"/>
      </w:pPr>
      <w:r>
        <w:rPr>
          <w:b/>
        </w:rPr>
        <w:t>(soit)</w:t>
      </w:r>
    </w:p>
    <w:p w14:paraId="5C7F6701" w14:textId="77777777" w:rsidR="00DB2B68" w:rsidRDefault="00000000">
      <w:pPr>
        <w:ind w:left="567"/>
        <w:jc w:val="both"/>
      </w:pPr>
      <w:r>
        <w:rPr>
          <w:rStyle w:val="soitChar"/>
          <w:u w:val="single"/>
        </w:rPr>
        <w:t>Panneaux OSB :</w:t>
      </w:r>
    </w:p>
    <w:p w14:paraId="1E9F6EBA" w14:textId="77777777" w:rsidR="00DB2B68" w:rsidRDefault="00000000">
      <w:pPr>
        <w:ind w:left="567"/>
        <w:jc w:val="both"/>
      </w:pPr>
      <w:r>
        <w:rPr>
          <w:rStyle w:val="soitChar"/>
        </w:rPr>
        <w:t>Les panneaux OSB sont exclus à l'extérieur (classe d'emploi 3 exclue)</w:t>
      </w:r>
    </w:p>
    <w:p w14:paraId="6567957B" w14:textId="77777777" w:rsidR="00DB2B68" w:rsidRDefault="00000000">
      <w:pPr>
        <w:pStyle w:val="Author-eListParagraph"/>
        <w:numPr>
          <w:ilvl w:val="1"/>
          <w:numId w:val="1019"/>
        </w:numPr>
        <w:jc w:val="both"/>
      </w:pPr>
      <w:r>
        <w:rPr>
          <w:rStyle w:val="soitChar"/>
        </w:rPr>
        <w:t>Type de panneau OSB, selon la [NBN EN 300] : </w:t>
      </w:r>
      <w:r>
        <w:rPr>
          <w:rStyle w:val="optioncarChar"/>
        </w:rPr>
        <w:t>2 / 3</w:t>
      </w:r>
      <w:r>
        <w:t> (par défaut)</w:t>
      </w:r>
      <w:r>
        <w:rPr>
          <w:rStyle w:val="optioncarChar"/>
        </w:rPr>
        <w:t> / 4</w:t>
      </w:r>
    </w:p>
    <w:p w14:paraId="51DE8D90" w14:textId="77777777" w:rsidR="00DB2B68" w:rsidRDefault="00000000">
      <w:pPr>
        <w:pStyle w:val="Author-eListParagraph"/>
        <w:numPr>
          <w:ilvl w:val="1"/>
          <w:numId w:val="1019"/>
        </w:numPr>
        <w:jc w:val="both"/>
      </w:pPr>
      <w:r>
        <w:rPr>
          <w:rStyle w:val="soitChar"/>
        </w:rPr>
        <w:t>Classe d’émission de formaldéhyde, selon la [NBN EN ISO 12460-5] : </w:t>
      </w:r>
      <w:r>
        <w:rPr>
          <w:rStyle w:val="optioncarChar"/>
        </w:rPr>
        <w:t>E1 </w:t>
      </w:r>
      <w:r>
        <w:t>(par défaut) </w:t>
      </w:r>
      <w:r>
        <w:rPr>
          <w:rStyle w:val="optioncarChar"/>
        </w:rPr>
        <w:t>/ E2</w:t>
      </w:r>
    </w:p>
    <w:p w14:paraId="61E9AD25" w14:textId="77777777" w:rsidR="00DB2B68" w:rsidRDefault="00000000">
      <w:pPr>
        <w:pStyle w:val="Author-eListParagraph"/>
        <w:numPr>
          <w:ilvl w:val="1"/>
          <w:numId w:val="1019"/>
        </w:numPr>
        <w:jc w:val="both"/>
      </w:pPr>
      <w:r>
        <w:rPr>
          <w:rStyle w:val="soitChar"/>
        </w:rPr>
        <w:t>Epaisseur des panneaux : </w:t>
      </w:r>
      <w:r>
        <w:rPr>
          <w:rStyle w:val="optioncarChar"/>
        </w:rPr>
        <w:t>18 / 22</w:t>
      </w:r>
      <w:r>
        <w:t> (par défaut) </w:t>
      </w:r>
      <w:r>
        <w:rPr>
          <w:rStyle w:val="soitChar"/>
        </w:rPr>
        <w:t>mm</w:t>
      </w:r>
    </w:p>
    <w:p w14:paraId="5CA44A7E" w14:textId="77777777" w:rsidR="00DB2B68" w:rsidRDefault="00000000">
      <w:pPr>
        <w:pStyle w:val="Author-eListParagraph"/>
        <w:numPr>
          <w:ilvl w:val="1"/>
          <w:numId w:val="1019"/>
        </w:numPr>
        <w:jc w:val="both"/>
      </w:pPr>
      <w:r>
        <w:rPr>
          <w:rStyle w:val="soitChar"/>
        </w:rPr>
        <w:t>Finition de la face vue :</w:t>
      </w:r>
      <w:r>
        <w:t> </w:t>
      </w:r>
      <w:r>
        <w:rPr>
          <w:rStyle w:val="optioncarChar"/>
        </w:rPr>
        <w:t> poncée </w:t>
      </w:r>
      <w:r>
        <w:t>(par défaut) </w:t>
      </w:r>
      <w:r>
        <w:rPr>
          <w:rStyle w:val="optioncarChar"/>
        </w:rPr>
        <w:t>/ non poncée</w:t>
      </w:r>
    </w:p>
    <w:p w14:paraId="25CAACC0" w14:textId="77777777" w:rsidR="00DB2B68" w:rsidRDefault="00000000">
      <w:pPr>
        <w:ind w:left="567"/>
        <w:jc w:val="both"/>
      </w:pPr>
      <w:r>
        <w:rPr>
          <w:b/>
        </w:rPr>
        <w:t>(soit)</w:t>
      </w:r>
    </w:p>
    <w:p w14:paraId="6B520795" w14:textId="77777777" w:rsidR="00DB2B68" w:rsidRDefault="00000000">
      <w:pPr>
        <w:ind w:left="567"/>
        <w:jc w:val="both"/>
      </w:pPr>
      <w:r>
        <w:rPr>
          <w:rStyle w:val="soitChar"/>
          <w:u w:val="single"/>
        </w:rPr>
        <w:t>LVL :</w:t>
      </w:r>
    </w:p>
    <w:p w14:paraId="44F9C40F" w14:textId="77777777" w:rsidR="00DB2B68" w:rsidRDefault="00000000">
      <w:pPr>
        <w:pStyle w:val="Author-eListParagraph"/>
        <w:numPr>
          <w:ilvl w:val="1"/>
          <w:numId w:val="1020"/>
        </w:numPr>
        <w:jc w:val="both"/>
      </w:pPr>
      <w:r>
        <w:rPr>
          <w:rStyle w:val="soitChar"/>
        </w:rPr>
        <w:t>Classe de collage, selon la [NBN EN 314-2] : </w:t>
      </w:r>
      <w:r>
        <w:rPr>
          <w:rStyle w:val="optioncarChar"/>
        </w:rPr>
        <w:t>1 (int.) / 2 (ext. à l’abri) </w:t>
      </w:r>
      <w:r>
        <w:t>(par défaut) </w:t>
      </w:r>
      <w:r>
        <w:rPr>
          <w:rStyle w:val="optioncarChar"/>
        </w:rPr>
        <w:t>/ 3 (ext.)</w:t>
      </w:r>
    </w:p>
    <w:p w14:paraId="3CE340B3" w14:textId="77777777" w:rsidR="00DB2B68" w:rsidRDefault="00000000">
      <w:pPr>
        <w:pStyle w:val="Author-eListParagraph"/>
        <w:numPr>
          <w:ilvl w:val="1"/>
          <w:numId w:val="1020"/>
        </w:numPr>
        <w:jc w:val="both"/>
      </w:pPr>
      <w:r>
        <w:rPr>
          <w:rStyle w:val="soitChar"/>
        </w:rPr>
        <w:lastRenderedPageBreak/>
        <w:t>Classe d’émission de formaldéhyde, selon la [NBN EN ISO 12460-5] : </w:t>
      </w:r>
      <w:r>
        <w:rPr>
          <w:rStyle w:val="optioncarChar"/>
        </w:rPr>
        <w:t>E1</w:t>
      </w:r>
      <w:r>
        <w:t> (par défaut) </w:t>
      </w:r>
      <w:r>
        <w:rPr>
          <w:rStyle w:val="optioncarChar"/>
        </w:rPr>
        <w:t>/ E2</w:t>
      </w:r>
    </w:p>
    <w:p w14:paraId="7535F747" w14:textId="77777777" w:rsidR="00DB2B68" w:rsidRDefault="00000000">
      <w:pPr>
        <w:pStyle w:val="Author-eListParagraph"/>
        <w:numPr>
          <w:ilvl w:val="1"/>
          <w:numId w:val="1020"/>
        </w:numPr>
        <w:jc w:val="both"/>
      </w:pPr>
      <w:r>
        <w:rPr>
          <w:rStyle w:val="soitChar"/>
        </w:rPr>
        <w:t>Essence de bois : </w:t>
      </w:r>
      <w:r>
        <w:rPr>
          <w:rStyle w:val="optioncarChar"/>
        </w:rPr>
        <w:t>au choix de l’entrepreneur, à soumettre à l’approbation de l’architecte et du maître de l’ouvrage </w:t>
      </w:r>
      <w:r>
        <w:t>(par défaut)</w:t>
      </w:r>
      <w:r>
        <w:rPr>
          <w:rStyle w:val="optioncarChar"/>
        </w:rPr>
        <w:t> / sapin / épicéa / pin sylvestre (sapin rouge du Nord - SRN) / mélèze / douglas / pin d’Oregon / chêne / hêtre / châtaignier / ***</w:t>
      </w:r>
    </w:p>
    <w:p w14:paraId="325C6058" w14:textId="77777777" w:rsidR="00DB2B68" w:rsidRDefault="00000000">
      <w:pPr>
        <w:pStyle w:val="Author-eListParagraph"/>
        <w:numPr>
          <w:ilvl w:val="1"/>
          <w:numId w:val="1020"/>
        </w:numPr>
        <w:jc w:val="both"/>
      </w:pPr>
      <w:r>
        <w:rPr>
          <w:rStyle w:val="soitChar"/>
        </w:rPr>
        <w:t>Epaisseur des panneaux : </w:t>
      </w:r>
      <w:r>
        <w:rPr>
          <w:rStyle w:val="optioncarChar"/>
        </w:rPr>
        <w:t>27</w:t>
      </w:r>
      <w:r>
        <w:t> (par défaut)</w:t>
      </w:r>
      <w:r>
        <w:rPr>
          <w:rStyle w:val="optioncarChar"/>
        </w:rPr>
        <w:t> / 32 / 37 / 42 / 47 / 52</w:t>
      </w:r>
      <w:r>
        <w:rPr>
          <w:rStyle w:val="soitChar"/>
        </w:rPr>
        <w:t> mm</w:t>
      </w:r>
    </w:p>
    <w:p w14:paraId="1CE8EC0F" w14:textId="77777777" w:rsidR="00DB2B68" w:rsidRDefault="00DB2B68"/>
    <w:p w14:paraId="2EB4B7FE" w14:textId="77777777" w:rsidR="00DB2B68" w:rsidRDefault="00000000">
      <w:pPr>
        <w:pStyle w:val="Author-eListParagraph"/>
        <w:numPr>
          <w:ilvl w:val="0"/>
          <w:numId w:val="1021"/>
        </w:numPr>
      </w:pPr>
      <w:r>
        <w:t>Jointures : </w:t>
      </w:r>
      <w:r>
        <w:rPr>
          <w:rStyle w:val="optioncarChar"/>
        </w:rPr>
        <w:t>ajourées</w:t>
      </w:r>
      <w:r>
        <w:t> (par défaut) </w:t>
      </w:r>
      <w:r>
        <w:rPr>
          <w:rStyle w:val="optioncarChar"/>
        </w:rPr>
        <w:t>/ fermées</w:t>
      </w:r>
    </w:p>
    <w:p w14:paraId="66035C1E" w14:textId="77777777" w:rsidR="00DB2B68" w:rsidRDefault="00000000">
      <w:pPr>
        <w:pStyle w:val="Author-eListParagraph"/>
        <w:numPr>
          <w:ilvl w:val="0"/>
          <w:numId w:val="1021"/>
        </w:numPr>
      </w:pPr>
      <w:r>
        <w:t>Finition des bords : </w:t>
      </w:r>
      <w:r>
        <w:rPr>
          <w:rStyle w:val="optioncarChar"/>
        </w:rPr>
        <w:t>droits / adoucis / chanfreinés</w:t>
      </w:r>
      <w:r>
        <w:t> (par défaut) </w:t>
      </w:r>
      <w:r>
        <w:rPr>
          <w:rStyle w:val="optioncarChar"/>
        </w:rPr>
        <w:t>/ à rainures et languettes des deux côtés longitudinaux / à rainures et languettes sur les quatre côtés / à mi-bois sur les quatre côtés</w:t>
      </w:r>
    </w:p>
    <w:p w14:paraId="29F1EABA" w14:textId="77777777" w:rsidR="00DB2B68" w:rsidRDefault="00000000">
      <w:pPr>
        <w:ind w:left="750"/>
      </w:pPr>
      <w:r>
        <w:t> </w:t>
      </w:r>
    </w:p>
    <w:p w14:paraId="40C6B6C4" w14:textId="77777777" w:rsidR="00DB2B68" w:rsidRDefault="00000000">
      <w:pPr>
        <w:pStyle w:val="pheading"/>
      </w:pPr>
      <w:r>
        <w:t>- Finitions</w:t>
      </w:r>
    </w:p>
    <w:p w14:paraId="225E44D6" w14:textId="77777777" w:rsidR="00DB2B68" w:rsidRDefault="00000000">
      <w:pPr>
        <w:jc w:val="both"/>
      </w:pPr>
      <w:r>
        <w:rPr>
          <w:b/>
        </w:rPr>
        <w:t>Traitement de finition du bois</w:t>
      </w:r>
    </w:p>
    <w:p w14:paraId="15839219" w14:textId="77777777" w:rsidR="00DB2B68" w:rsidRDefault="00000000">
      <w:pPr>
        <w:jc w:val="both"/>
      </w:pPr>
      <w:r>
        <w:t>Finition des parties visibles du bois : </w:t>
      </w:r>
      <w:r>
        <w:rPr>
          <w:rStyle w:val="optioncarChar"/>
        </w:rPr>
        <w:t>pas de finition</w:t>
      </w:r>
      <w:r>
        <w:t> (par défaut) </w:t>
      </w:r>
      <w:r>
        <w:rPr>
          <w:rStyle w:val="optioncarChar"/>
        </w:rPr>
        <w:t>/ application d’une finition</w:t>
      </w:r>
    </w:p>
    <w:p w14:paraId="73888014" w14:textId="77777777" w:rsidR="00DB2B68" w:rsidRDefault="00000000">
      <w:pPr>
        <w:jc w:val="both"/>
      </w:pPr>
      <w:r>
        <w:rPr>
          <w:u w:val="single"/>
        </w:rPr>
        <w:t>Dans le cas de l’application d’une finition sur le bois prévue dans le présent travail :</w:t>
      </w:r>
    </w:p>
    <w:p w14:paraId="56A6658B" w14:textId="77777777" w:rsidR="00DB2B68" w:rsidRDefault="00000000">
      <w:pPr>
        <w:pStyle w:val="Author-eListParagraph"/>
        <w:numPr>
          <w:ilvl w:val="0"/>
          <w:numId w:val="1022"/>
        </w:numPr>
      </w:pPr>
      <w:r>
        <w:t>Type de traitement : </w:t>
      </w:r>
      <w:r>
        <w:rPr>
          <w:rStyle w:val="optioncarChar"/>
        </w:rPr>
        <w:t>lasure </w:t>
      </w:r>
      <w:r>
        <w:t>(par défaut)</w:t>
      </w:r>
      <w:r>
        <w:rPr>
          <w:rStyle w:val="optioncarChar"/>
        </w:rPr>
        <w:t> / verni / peinture / huile / céruse / anti UV</w:t>
      </w:r>
    </w:p>
    <w:p w14:paraId="48925D16" w14:textId="77777777" w:rsidR="00DB2B68" w:rsidRDefault="00000000">
      <w:pPr>
        <w:pStyle w:val="Author-eListParagraph"/>
        <w:numPr>
          <w:ilvl w:val="0"/>
          <w:numId w:val="1022"/>
        </w:numPr>
      </w:pPr>
      <w:r>
        <w:t>Teinte : </w:t>
      </w:r>
      <w:r>
        <w:rPr>
          <w:rStyle w:val="optioncarChar"/>
        </w:rPr>
        <w:t>transparent </w:t>
      </w:r>
      <w:r>
        <w:t>(par défaut) </w:t>
      </w:r>
      <w:r>
        <w:rPr>
          <w:rStyle w:val="optioncarChar"/>
        </w:rPr>
        <w:t>/ pigmenté blanchâtre / blanc / RAL : ***</w:t>
      </w:r>
    </w:p>
    <w:p w14:paraId="3209FBCC" w14:textId="77777777" w:rsidR="00DB2B68" w:rsidRDefault="00000000">
      <w:pPr>
        <w:jc w:val="both"/>
      </w:pPr>
      <w:r>
        <w:rPr>
          <w:b/>
        </w:rPr>
        <w:t>Résistance au feu</w:t>
      </w:r>
    </w:p>
    <w:p w14:paraId="440D7CAD" w14:textId="77777777" w:rsidR="00DB2B68" w:rsidRDefault="00000000">
      <w:pPr>
        <w:jc w:val="both"/>
      </w:pPr>
      <w:r>
        <w:t>Le plancher présente une résistance au feu, selon la [NBN EN 13501-2] : </w:t>
      </w:r>
      <w:r>
        <w:rPr>
          <w:rStyle w:val="optioncarChar"/>
        </w:rPr>
        <w:t>pas d’application / REI30 </w:t>
      </w:r>
      <w:r>
        <w:t>(par défaut) </w:t>
      </w:r>
      <w:r>
        <w:rPr>
          <w:rStyle w:val="optioncarChar"/>
        </w:rPr>
        <w:t>/ REI60 / REI 90 / REI 120</w:t>
      </w:r>
    </w:p>
    <w:p w14:paraId="5474E232" w14:textId="77777777" w:rsidR="00DB2B68" w:rsidRDefault="00000000">
      <w:pPr>
        <w:jc w:val="both"/>
      </w:pPr>
      <w:r>
        <w:t>En cas de résistance au feu obligatoire, celle-ci est atteinte : </w:t>
      </w:r>
      <w:r>
        <w:rPr>
          <w:rStyle w:val="optioncarChar"/>
        </w:rPr>
        <w:t>sans traitement particulier</w:t>
      </w:r>
      <w:r>
        <w:t> (par défaut)</w:t>
      </w:r>
      <w:r>
        <w:rPr>
          <w:rStyle w:val="optioncarChar"/>
        </w:rPr>
        <w:t> / par traitement ignifuge (compris dans le travail)</w:t>
      </w:r>
      <w:r>
        <w:t> du bois.</w:t>
      </w:r>
    </w:p>
    <w:p w14:paraId="231680D7" w14:textId="77777777" w:rsidR="00DB2B68" w:rsidRDefault="00000000">
      <w:pPr>
        <w:pStyle w:val="pheading"/>
      </w:pPr>
      <w:r>
        <w:t>EXÉCUTION / MISE EN ŒUVRE</w:t>
      </w:r>
    </w:p>
    <w:p w14:paraId="3159886E" w14:textId="77777777" w:rsidR="00DB2B68" w:rsidRDefault="00000000">
      <w:pPr>
        <w:pStyle w:val="pheading"/>
      </w:pPr>
      <w:r>
        <w:t>- Prescriptions générales</w:t>
      </w:r>
    </w:p>
    <w:p w14:paraId="52D3B302" w14:textId="77777777" w:rsidR="00DB2B68" w:rsidRDefault="00000000">
      <w:pPr>
        <w:jc w:val="both"/>
      </w:pPr>
      <w:r>
        <w:t>Les passerelles sont posées avec une légère pente, vers les extrémités opposées aux murs, pour assurer l’évacuation des eaux.</w:t>
      </w:r>
    </w:p>
    <w:p w14:paraId="1E8745C5" w14:textId="77777777" w:rsidR="00DB2B68" w:rsidRDefault="00000000">
      <w:pPr>
        <w:jc w:val="both"/>
      </w:pPr>
      <w:r>
        <w:t>Pente : ≥ </w:t>
      </w:r>
      <w:r>
        <w:rPr>
          <w:rStyle w:val="optioncarChar"/>
        </w:rPr>
        <w:t>pas de pente / 1%</w:t>
      </w:r>
      <w:r>
        <w:t> (par défaut)</w:t>
      </w:r>
      <w:r>
        <w:rPr>
          <w:rStyle w:val="optioncarChar"/>
        </w:rPr>
        <w:t> / 1,5% / 2%</w:t>
      </w:r>
    </w:p>
    <w:p w14:paraId="468C5B93" w14:textId="77777777" w:rsidR="00DB2B68" w:rsidRDefault="00000000">
      <w:pPr>
        <w:jc w:val="both"/>
      </w:pPr>
      <w:r>
        <w:t>L'étude et les plans d'exécution sont réalisés sur base : </w:t>
      </w:r>
      <w:r>
        <w:rPr>
          <w:rStyle w:val="optioncarChar"/>
        </w:rPr>
        <w:t>des études et dessins de détail annexés au dossier de soumission </w:t>
      </w:r>
      <w:r>
        <w:t>(par défaut)</w:t>
      </w:r>
      <w:r>
        <w:rPr>
          <w:rStyle w:val="optioncarChar"/>
        </w:rPr>
        <w:t> / à charge de l’entreprise. </w:t>
      </w:r>
    </w:p>
    <w:p w14:paraId="11A1FB69" w14:textId="77777777" w:rsidR="00DB2B68" w:rsidRDefault="00000000">
      <w:pPr>
        <w:jc w:val="both"/>
      </w:pPr>
      <w:r>
        <w:rPr>
          <w:b/>
        </w:rPr>
        <w:t>Etudes et dessins de détail annexés au dossier de soumission </w:t>
      </w:r>
    </w:p>
    <w:p w14:paraId="0E3698EE" w14:textId="77777777" w:rsidR="00DB2B68" w:rsidRDefault="00000000">
      <w:pPr>
        <w:jc w:val="both"/>
      </w:pPr>
      <w:r>
        <w:t>Les dessins d’exécution sont réalisés selon l’étude des plans et des détails de l'auteur de projet annexés au dossier de soumission. </w:t>
      </w:r>
    </w:p>
    <w:p w14:paraId="5F959543" w14:textId="77777777" w:rsidR="00DB2B68" w:rsidRDefault="00000000">
      <w:pPr>
        <w:jc w:val="both"/>
      </w:pPr>
      <w:r>
        <w:rPr>
          <w:b/>
        </w:rPr>
        <w:t>Etudes à charge de l’entreprise </w:t>
      </w:r>
    </w:p>
    <w:p w14:paraId="088C0B07" w14:textId="77777777" w:rsidR="00DB2B68" w:rsidRDefault="00000000">
      <w:pPr>
        <w:jc w:val="both"/>
      </w:pPr>
      <w:r>
        <w:t>Les frais pour la réalisation de l'étude des passerelles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w:t>
      </w:r>
    </w:p>
    <w:p w14:paraId="7F8FBD4B" w14:textId="77777777" w:rsidR="00DB2B68" w:rsidRDefault="00000000">
      <w:pPr>
        <w:jc w:val="both"/>
      </w:pPr>
      <w:r>
        <w:t>L’étude est établie suivant les indications données sur les plans et coupes de principe du dossier de soumission et des informations suivantes, le tout donné à titre indicatif pour orienter l’entreprise :</w:t>
      </w:r>
    </w:p>
    <w:p w14:paraId="485DD776" w14:textId="77777777" w:rsidR="00DB2B68" w:rsidRDefault="00000000">
      <w:pPr>
        <w:jc w:val="both"/>
      </w:pPr>
      <w:r>
        <w:rPr>
          <w:u w:val="single"/>
        </w:rPr>
        <w:t>Structure portante (pour information)</w:t>
      </w:r>
    </w:p>
    <w:p w14:paraId="531FB563" w14:textId="77777777" w:rsidR="00DB2B68" w:rsidRDefault="00000000">
      <w:pPr>
        <w:pStyle w:val="Author-eListParagraph"/>
        <w:numPr>
          <w:ilvl w:val="0"/>
          <w:numId w:val="1023"/>
        </w:numPr>
      </w:pPr>
      <w:r>
        <w:t>La structure portante ne fait pas partie du présent article. Les passerelles sont prévues pour être posées sur : </w:t>
      </w:r>
      <w:r>
        <w:rPr>
          <w:rStyle w:val="optioncarChar"/>
        </w:rPr>
        <w:t>des colonnes/poutres</w:t>
      </w:r>
      <w:r>
        <w:t> (par défaut)</w:t>
      </w:r>
      <w:r>
        <w:rPr>
          <w:rStyle w:val="optioncarChar"/>
        </w:rPr>
        <w:t> / des consoles fixées au mur.</w:t>
      </w:r>
    </w:p>
    <w:p w14:paraId="027E89E9" w14:textId="77777777" w:rsidR="00DB2B68" w:rsidRDefault="00000000">
      <w:pPr>
        <w:jc w:val="both"/>
      </w:pPr>
      <w:r>
        <w:rPr>
          <w:u w:val="single"/>
        </w:rPr>
        <w:t>Structure principale</w:t>
      </w:r>
    </w:p>
    <w:p w14:paraId="4B7D552F" w14:textId="77777777" w:rsidR="00DB2B68" w:rsidRDefault="00000000">
      <w:pPr>
        <w:pStyle w:val="Author-eListParagraph"/>
        <w:numPr>
          <w:ilvl w:val="0"/>
          <w:numId w:val="1024"/>
        </w:numPr>
      </w:pPr>
      <w:r>
        <w:lastRenderedPageBreak/>
        <w:t>Profil de limons / gîtages : </w:t>
      </w:r>
      <w:r>
        <w:rPr>
          <w:rStyle w:val="optioncarChar"/>
        </w:rPr>
        <w:t>rectangulaire </w:t>
      </w:r>
      <w:r>
        <w:t>(par défaut)</w:t>
      </w:r>
      <w:r>
        <w:rPr>
          <w:rStyle w:val="optioncarChar"/>
        </w:rPr>
        <w:t> / carré / circulaire</w:t>
      </w:r>
    </w:p>
    <w:p w14:paraId="2239C5FE" w14:textId="77777777" w:rsidR="00DB2B68" w:rsidRDefault="00000000">
      <w:pPr>
        <w:pStyle w:val="Author-eListParagraph"/>
        <w:numPr>
          <w:ilvl w:val="0"/>
          <w:numId w:val="1024"/>
        </w:numPr>
      </w:pPr>
      <w:r>
        <w:t>Assemblages à la structure portante : </w:t>
      </w:r>
      <w:r>
        <w:rPr>
          <w:rStyle w:val="optioncarChar"/>
        </w:rPr>
        <w:t>boulonnés </w:t>
      </w:r>
      <w:r>
        <w:t>(par défaut)</w:t>
      </w:r>
      <w:r>
        <w:rPr>
          <w:rStyle w:val="optioncarChar"/>
        </w:rPr>
        <w:t> / cloués / vissés</w:t>
      </w:r>
    </w:p>
    <w:p w14:paraId="1D6D6A8E" w14:textId="77777777" w:rsidR="00DB2B68" w:rsidRDefault="00000000">
      <w:pPr>
        <w:jc w:val="both"/>
      </w:pPr>
      <w:r>
        <w:rPr>
          <w:u w:val="single"/>
        </w:rPr>
        <w:t>Structure secondaire</w:t>
      </w:r>
    </w:p>
    <w:p w14:paraId="099D95CB" w14:textId="77777777" w:rsidR="00DB2B68" w:rsidRDefault="00000000">
      <w:pPr>
        <w:pStyle w:val="Author-eListParagraph"/>
        <w:numPr>
          <w:ilvl w:val="0"/>
          <w:numId w:val="1025"/>
        </w:numPr>
      </w:pPr>
      <w:r>
        <w:t>Profil : </w:t>
      </w:r>
      <w:r>
        <w:rPr>
          <w:rStyle w:val="optioncarChar"/>
        </w:rPr>
        <w:t>rectangulaire </w:t>
      </w:r>
      <w:r>
        <w:t>(par défaut)</w:t>
      </w:r>
      <w:r>
        <w:rPr>
          <w:rStyle w:val="optioncarChar"/>
        </w:rPr>
        <w:t> / carré / circulaire</w:t>
      </w:r>
    </w:p>
    <w:p w14:paraId="7D8835CE" w14:textId="77777777" w:rsidR="00DB2B68" w:rsidRDefault="00000000">
      <w:pPr>
        <w:pStyle w:val="Author-eListParagraph"/>
        <w:numPr>
          <w:ilvl w:val="0"/>
          <w:numId w:val="1025"/>
        </w:numPr>
      </w:pPr>
      <w:r>
        <w:t>Assemblages à la structure principale : </w:t>
      </w:r>
      <w:r>
        <w:rPr>
          <w:rStyle w:val="optioncarChar"/>
        </w:rPr>
        <w:t>boulonnés </w:t>
      </w:r>
      <w:r>
        <w:t>(par défaut)</w:t>
      </w:r>
      <w:r>
        <w:rPr>
          <w:rStyle w:val="optioncarChar"/>
        </w:rPr>
        <w:t> / cloués / vissés</w:t>
      </w:r>
    </w:p>
    <w:p w14:paraId="6D850E5A" w14:textId="77777777" w:rsidR="00DB2B68" w:rsidRDefault="00000000">
      <w:pPr>
        <w:jc w:val="both"/>
      </w:pPr>
      <w:r>
        <w:rPr>
          <w:u w:val="single"/>
        </w:rPr>
        <w:t>Contreventements</w:t>
      </w:r>
    </w:p>
    <w:p w14:paraId="24848FE7" w14:textId="77777777" w:rsidR="00DB2B68" w:rsidRDefault="00000000">
      <w:pPr>
        <w:pStyle w:val="Author-eListParagraph"/>
        <w:numPr>
          <w:ilvl w:val="0"/>
          <w:numId w:val="1026"/>
        </w:numPr>
      </w:pPr>
      <w:r>
        <w:t>Les contreventements sont en :</w:t>
      </w:r>
      <w:r>
        <w:rPr>
          <w:rStyle w:val="optioncarChar"/>
        </w:rPr>
        <w:t> bois </w:t>
      </w:r>
      <w:r>
        <w:t>(par défaut)</w:t>
      </w:r>
      <w:r>
        <w:rPr>
          <w:rStyle w:val="optioncarChar"/>
        </w:rPr>
        <w:t> / acier</w:t>
      </w:r>
    </w:p>
    <w:p w14:paraId="0C91587A" w14:textId="77777777" w:rsidR="00DB2B68" w:rsidRDefault="00000000">
      <w:pPr>
        <w:ind w:left="567"/>
        <w:jc w:val="both"/>
      </w:pPr>
      <w:r>
        <w:rPr>
          <w:b/>
        </w:rPr>
        <w:t>(soit par défaut)</w:t>
      </w:r>
    </w:p>
    <w:p w14:paraId="3EFC05B4" w14:textId="77777777" w:rsidR="00DB2B68" w:rsidRDefault="00000000">
      <w:pPr>
        <w:ind w:left="567"/>
        <w:jc w:val="both"/>
      </w:pPr>
      <w:r>
        <w:rPr>
          <w:rStyle w:val="soitChar"/>
          <w:u w:val="single"/>
        </w:rPr>
        <w:t>En bois :</w:t>
      </w:r>
    </w:p>
    <w:p w14:paraId="6573ABDF" w14:textId="77777777" w:rsidR="00DB2B68" w:rsidRDefault="00000000">
      <w:pPr>
        <w:pStyle w:val="Author-eListParagraph"/>
        <w:numPr>
          <w:ilvl w:val="1"/>
          <w:numId w:val="1027"/>
        </w:numPr>
      </w:pPr>
      <w:r>
        <w:rPr>
          <w:rStyle w:val="soitChar"/>
        </w:rPr>
        <w:t>Profil : </w:t>
      </w:r>
      <w:r>
        <w:t> </w:t>
      </w:r>
      <w:r>
        <w:rPr>
          <w:rStyle w:val="optioncarChar"/>
        </w:rPr>
        <w:t>rectangulaire </w:t>
      </w:r>
      <w:r>
        <w:t>(par défaut)</w:t>
      </w:r>
      <w:r>
        <w:rPr>
          <w:rStyle w:val="optioncarChar"/>
        </w:rPr>
        <w:t> / carré / circulaire</w:t>
      </w:r>
    </w:p>
    <w:p w14:paraId="21956FEB" w14:textId="77777777" w:rsidR="00DB2B68" w:rsidRDefault="00000000">
      <w:pPr>
        <w:pStyle w:val="Author-eListParagraph"/>
        <w:numPr>
          <w:ilvl w:val="1"/>
          <w:numId w:val="1027"/>
        </w:numPr>
      </w:pPr>
      <w:r>
        <w:rPr>
          <w:rStyle w:val="soitChar"/>
        </w:rPr>
        <w:t>Assemblages à la structure : </w:t>
      </w:r>
      <w:r>
        <w:t> </w:t>
      </w:r>
      <w:r>
        <w:rPr>
          <w:rStyle w:val="optioncarChar"/>
        </w:rPr>
        <w:t>boulonnés</w:t>
      </w:r>
      <w:r>
        <w:t>  (par défaut) </w:t>
      </w:r>
      <w:r>
        <w:rPr>
          <w:rStyle w:val="optioncarChar"/>
        </w:rPr>
        <w:t>/ cloués / vissés</w:t>
      </w:r>
    </w:p>
    <w:p w14:paraId="7CF33F0B" w14:textId="77777777" w:rsidR="00DB2B68" w:rsidRDefault="00000000">
      <w:pPr>
        <w:ind w:left="567"/>
        <w:jc w:val="both"/>
      </w:pPr>
      <w:r>
        <w:rPr>
          <w:b/>
        </w:rPr>
        <w:t>(soit)</w:t>
      </w:r>
    </w:p>
    <w:p w14:paraId="1AC67D70" w14:textId="77777777" w:rsidR="00DB2B68" w:rsidRDefault="00000000">
      <w:pPr>
        <w:ind w:left="567"/>
        <w:jc w:val="both"/>
      </w:pPr>
      <w:r>
        <w:rPr>
          <w:rStyle w:val="soitChar"/>
          <w:u w:val="single"/>
        </w:rPr>
        <w:t>En acier :</w:t>
      </w:r>
    </w:p>
    <w:p w14:paraId="4BC6EFA7" w14:textId="77777777" w:rsidR="00DB2B68" w:rsidRDefault="00000000">
      <w:pPr>
        <w:pStyle w:val="Author-eListParagraph"/>
        <w:numPr>
          <w:ilvl w:val="1"/>
          <w:numId w:val="1028"/>
        </w:numPr>
      </w:pPr>
      <w:r>
        <w:rPr>
          <w:rStyle w:val="soitChar"/>
        </w:rPr>
        <w:t>Profil : </w:t>
      </w:r>
      <w:r>
        <w:t> </w:t>
      </w:r>
      <w:r>
        <w:rPr>
          <w:rStyle w:val="optioncarChar"/>
        </w:rPr>
        <w:t>câbles </w:t>
      </w:r>
      <w:r>
        <w:t>(par défaut) </w:t>
      </w:r>
      <w:r>
        <w:rPr>
          <w:rStyle w:val="optioncarChar"/>
        </w:rPr>
        <w:t>/ tiges rondes / cornières L à ailes égales / ***</w:t>
      </w:r>
    </w:p>
    <w:p w14:paraId="29E4BBD3" w14:textId="77777777" w:rsidR="00DB2B68" w:rsidRDefault="00000000">
      <w:pPr>
        <w:pStyle w:val="Author-eListParagraph"/>
        <w:numPr>
          <w:ilvl w:val="1"/>
          <w:numId w:val="1028"/>
        </w:numPr>
      </w:pPr>
      <w:r>
        <w:rPr>
          <w:rStyle w:val="soitChar"/>
        </w:rPr>
        <w:t>Assemblages à la structure : </w:t>
      </w:r>
      <w:r>
        <w:t> </w:t>
      </w:r>
      <w:r>
        <w:rPr>
          <w:rStyle w:val="optioncarChar"/>
        </w:rPr>
        <w:t>boulonnés à la structure</w:t>
      </w:r>
      <w:r>
        <w:t>  (par défaut)</w:t>
      </w:r>
      <w:r>
        <w:rPr>
          <w:rStyle w:val="optioncarChar"/>
        </w:rPr>
        <w:t> / boulonnés sur des goussets / pattes fixés à la structure</w:t>
      </w:r>
    </w:p>
    <w:p w14:paraId="4706658B" w14:textId="77777777" w:rsidR="00DB2B68" w:rsidRDefault="00000000">
      <w:pPr>
        <w:jc w:val="both"/>
      </w:pPr>
      <w:r>
        <w:rPr>
          <w:u w:val="single"/>
        </w:rPr>
        <w:t>Platelage</w:t>
      </w:r>
    </w:p>
    <w:p w14:paraId="5B7261CE" w14:textId="77777777" w:rsidR="00DB2B68" w:rsidRDefault="00000000">
      <w:pPr>
        <w:pStyle w:val="Author-eListParagraph"/>
        <w:numPr>
          <w:ilvl w:val="0"/>
          <w:numId w:val="1029"/>
        </w:numPr>
      </w:pPr>
      <w:r>
        <w:t>Le platelage est posé : </w:t>
      </w:r>
      <w:r>
        <w:rPr>
          <w:rStyle w:val="optioncarChar"/>
        </w:rPr>
        <w:t>sur les profils de ceinture ou gîtages</w:t>
      </w:r>
      <w:r>
        <w:t> (par défaut)</w:t>
      </w:r>
      <w:r>
        <w:rPr>
          <w:rStyle w:val="optioncarChar"/>
        </w:rPr>
        <w:t> / en affleurement aux profils de ceinture de la passerelles (pour que la face supérieure soit dans le même plan que le dessus des profils de ceinture)</w:t>
      </w:r>
      <w:r>
        <w:t>.</w:t>
      </w:r>
    </w:p>
    <w:p w14:paraId="4E1F13A5" w14:textId="77777777" w:rsidR="00DB2B68" w:rsidRDefault="00000000">
      <w:pPr>
        <w:pStyle w:val="Author-eListParagraph"/>
        <w:numPr>
          <w:ilvl w:val="0"/>
          <w:numId w:val="1029"/>
        </w:numPr>
      </w:pPr>
      <w:r>
        <w:t>Assemblages à la structure : </w:t>
      </w:r>
      <w:r>
        <w:rPr>
          <w:rStyle w:val="optioncarChar"/>
        </w:rPr>
        <w:t>vissés</w:t>
      </w:r>
      <w:r>
        <w:t> (par défaut)</w:t>
      </w:r>
      <w:r>
        <w:rPr>
          <w:rStyle w:val="optioncarChar"/>
        </w:rPr>
        <w:t> / cloués</w:t>
      </w:r>
    </w:p>
    <w:p w14:paraId="19418BCB" w14:textId="77777777" w:rsidR="00DB2B68" w:rsidRDefault="00000000">
      <w:pPr>
        <w:jc w:val="both"/>
      </w:pPr>
      <w:r>
        <w:rPr>
          <w:u w:val="single"/>
        </w:rPr>
        <w:t>Garde-corps</w:t>
      </w:r>
    </w:p>
    <w:p w14:paraId="029C9EFA" w14:textId="77777777" w:rsidR="00DB2B68" w:rsidRDefault="00000000">
      <w:pPr>
        <w:pStyle w:val="Author-eListParagraph"/>
        <w:numPr>
          <w:ilvl w:val="0"/>
          <w:numId w:val="1030"/>
        </w:numPr>
      </w:pPr>
      <w:r>
        <w:t>Les garde-corps sont fixés solidement aux :</w:t>
      </w:r>
      <w:r>
        <w:rPr>
          <w:rStyle w:val="optioncarChar"/>
        </w:rPr>
        <w:t> limons périphériques</w:t>
      </w:r>
      <w:r>
        <w:t> (par défaut)</w:t>
      </w:r>
      <w:r>
        <w:rPr>
          <w:rStyle w:val="optioncarChar"/>
        </w:rPr>
        <w:t> / aux platelages</w:t>
      </w:r>
    </w:p>
    <w:p w14:paraId="4D8B8116" w14:textId="77777777" w:rsidR="00DB2B68" w:rsidRDefault="00000000">
      <w:pPr>
        <w:pStyle w:val="Author-eListParagraph"/>
        <w:numPr>
          <w:ilvl w:val="0"/>
          <w:numId w:val="1030"/>
        </w:numPr>
      </w:pPr>
      <w:r>
        <w:t>Assemblages au support : </w:t>
      </w:r>
      <w:r>
        <w:rPr>
          <w:rStyle w:val="optioncarChar"/>
        </w:rPr>
        <w:t>vissés </w:t>
      </w:r>
      <w:r>
        <w:t>(par défaut)</w:t>
      </w:r>
      <w:r>
        <w:rPr>
          <w:rStyle w:val="optioncarChar"/>
        </w:rPr>
        <w:t> / boulonnés</w:t>
      </w:r>
    </w:p>
    <w:p w14:paraId="7BE3FF89" w14:textId="77777777" w:rsidR="00DB2B68" w:rsidRDefault="00DB2B68"/>
    <w:p w14:paraId="74CF13BE" w14:textId="77777777" w:rsidR="00DB2B68" w:rsidRDefault="00000000">
      <w:pPr>
        <w:jc w:val="both"/>
      </w:pPr>
      <w:r>
        <w:t>Le bois des passerelles est protégé jusqu'à la réception provisoire dans un emballage de protection évitant les chocs et rayures.</w:t>
      </w:r>
    </w:p>
    <w:p w14:paraId="47354C4B" w14:textId="77777777" w:rsidR="00DB2B68" w:rsidRDefault="00000000">
      <w:pPr>
        <w:pStyle w:val="pheading"/>
      </w:pPr>
      <w:r>
        <w:t>MESURAGE</w:t>
      </w:r>
    </w:p>
    <w:p w14:paraId="62BCC537" w14:textId="77777777" w:rsidR="00DB2B68" w:rsidRDefault="00000000">
      <w:pPr>
        <w:pStyle w:val="pheading"/>
      </w:pPr>
      <w:r>
        <w:t>- unité de mesure:</w:t>
      </w:r>
    </w:p>
    <w:p w14:paraId="7EE6C55D" w14:textId="77777777" w:rsidR="00DB2B68" w:rsidRDefault="00000000">
      <w:r>
        <w:rPr>
          <w:rStyle w:val="optioncarChar"/>
        </w:rPr>
        <w:t>pc</w:t>
      </w:r>
      <w:r>
        <w:t> (par défaut)</w:t>
      </w:r>
      <w:r>
        <w:rPr>
          <w:rStyle w:val="optioncarChar"/>
        </w:rPr>
        <w:t> / m²</w:t>
      </w:r>
    </w:p>
    <w:p w14:paraId="762E80AF" w14:textId="77777777" w:rsidR="00DB2B68" w:rsidRDefault="00000000">
      <w:r>
        <w:rPr>
          <w:b/>
        </w:rPr>
        <w:t>(soit par défaut)</w:t>
      </w:r>
      <w:r>
        <w:br/>
      </w:r>
      <w:r>
        <w:rPr>
          <w:rStyle w:val="soitChar"/>
        </w:rPr>
        <w:t>1. pc</w:t>
      </w:r>
      <w:r>
        <w:br/>
      </w:r>
      <w:r>
        <w:rPr>
          <w:b/>
        </w:rPr>
        <w:t>(soit)</w:t>
      </w:r>
      <w:r>
        <w:br/>
      </w:r>
      <w:r>
        <w:rPr>
          <w:rStyle w:val="soitChar"/>
        </w:rPr>
        <w:t>2. m²</w:t>
      </w:r>
    </w:p>
    <w:p w14:paraId="710BBC2C" w14:textId="77777777" w:rsidR="00DB2B68" w:rsidRDefault="00000000">
      <w:pPr>
        <w:pStyle w:val="pheading"/>
      </w:pPr>
      <w:r>
        <w:t>- code de mesurage:</w:t>
      </w:r>
    </w:p>
    <w:p w14:paraId="6A3ED4E6" w14:textId="77777777" w:rsidR="00DB2B68" w:rsidRDefault="00000000">
      <w:pPr>
        <w:jc w:val="both"/>
      </w:pPr>
      <w:r>
        <w:rPr>
          <w:rStyle w:val="optioncarChar"/>
        </w:rPr>
        <w:t>Quantité nette </w:t>
      </w:r>
      <w:r>
        <w:t>(par défaut)</w:t>
      </w:r>
      <w:r>
        <w:rPr>
          <w:rStyle w:val="optioncarChar"/>
        </w:rPr>
        <w:t> / Surface nette</w:t>
      </w:r>
    </w:p>
    <w:p w14:paraId="077A7192" w14:textId="77777777" w:rsidR="00DB2B68" w:rsidRDefault="00000000">
      <w:pPr>
        <w:jc w:val="both"/>
      </w:pPr>
      <w:r>
        <w:rPr>
          <w:b/>
        </w:rPr>
        <w:t>(soit par défaut)</w:t>
      </w:r>
    </w:p>
    <w:p w14:paraId="7F63A4BC" w14:textId="77777777" w:rsidR="00DB2B68" w:rsidRDefault="00000000">
      <w:pPr>
        <w:jc w:val="both"/>
      </w:pPr>
      <w:r>
        <w:rPr>
          <w:rStyle w:val="soitChar"/>
        </w:rPr>
        <w:t>1. </w:t>
      </w:r>
      <w:r>
        <w:rPr>
          <w:rStyle w:val="soitChar"/>
          <w:u w:val="single"/>
        </w:rPr>
        <w:t>Quantité nette</w:t>
      </w:r>
      <w:r>
        <w:rPr>
          <w:rStyle w:val="soitChar"/>
        </w:rPr>
        <w:t> à mettre en œuvre, ventilée selon la nature des éléments constitutifs et les dimensions.</w:t>
      </w:r>
    </w:p>
    <w:p w14:paraId="2CB3B111" w14:textId="77777777" w:rsidR="00DB2B68" w:rsidRDefault="00000000">
      <w:pPr>
        <w:jc w:val="both"/>
      </w:pPr>
      <w:r>
        <w:rPr>
          <w:b/>
        </w:rPr>
        <w:t>(soit)</w:t>
      </w:r>
    </w:p>
    <w:p w14:paraId="049C9AE4" w14:textId="77777777" w:rsidR="00DB2B68" w:rsidRDefault="00000000">
      <w:pPr>
        <w:jc w:val="both"/>
      </w:pPr>
      <w:r>
        <w:rPr>
          <w:rStyle w:val="soitChar"/>
        </w:rPr>
        <w:t>2. </w:t>
      </w:r>
      <w:r>
        <w:rPr>
          <w:rStyle w:val="soitChar"/>
          <w:u w:val="single"/>
        </w:rPr>
        <w:t>Surface nette</w:t>
      </w:r>
      <w:r>
        <w:rPr>
          <w:rStyle w:val="soitChar"/>
        </w:rPr>
        <w:t> à mettre en œuvre pour les « plateformes » des passerelles, ventilée selon la nature des éléments constitutifs.</w:t>
      </w:r>
    </w:p>
    <w:p w14:paraId="06EEDBC6" w14:textId="77777777" w:rsidR="00DB2B68" w:rsidRDefault="00000000">
      <w:pPr>
        <w:pStyle w:val="pheading"/>
      </w:pPr>
      <w:r>
        <w:t>- nature du marché:</w:t>
      </w:r>
    </w:p>
    <w:p w14:paraId="1471DE39" w14:textId="77777777" w:rsidR="00DB2B68" w:rsidRDefault="00000000">
      <w:r>
        <w:lastRenderedPageBreak/>
        <w:t>1.2. QF</w:t>
      </w:r>
    </w:p>
    <w:p w14:paraId="6F66F963" w14:textId="77777777" w:rsidR="00DB2B68" w:rsidRDefault="00000000">
      <w:pPr>
        <w:pStyle w:val="pheading"/>
      </w:pPr>
      <w:r>
        <w:t>AIDE</w:t>
      </w:r>
    </w:p>
    <w:p w14:paraId="5C7A2C25" w14:textId="77777777" w:rsidR="00DB2B68" w:rsidRDefault="00000000">
      <w:pPr>
        <w:jc w:val="both"/>
      </w:pPr>
      <w:r>
        <w:t>La quantité nette est plutôt prévue si le garde-corps est compris dans le travail.</w:t>
      </w:r>
    </w:p>
    <w:p w14:paraId="55FC77E8" w14:textId="77777777" w:rsidR="00DB2B68" w:rsidRDefault="00000000">
      <w:pPr>
        <w:jc w:val="both"/>
      </w:pPr>
      <w:r>
        <w:t>La surface nette ne comprend pas le garde-corps, qui est comptabilisé dans un article séparé. </w:t>
      </w:r>
    </w:p>
    <w:p w14:paraId="5190F1C5" w14:textId="77777777" w:rsidR="00DB2B68" w:rsidRDefault="00000000">
      <w:pPr>
        <w:pStyle w:val="Author-eSectionHeading4Numberless"/>
      </w:pPr>
      <w:bookmarkStart w:id="1712" w:name="_Toc220496691"/>
      <w:r>
        <w:t>24.35 Auvents en bois CCTB 01.02</w:t>
      </w:r>
      <w:bookmarkEnd w:id="1712"/>
    </w:p>
    <w:p w14:paraId="40980163" w14:textId="77777777" w:rsidR="00DB2B68" w:rsidRDefault="00000000">
      <w:pPr>
        <w:pStyle w:val="Author-eSectionHeading5Numberless"/>
      </w:pPr>
      <w:bookmarkStart w:id="1713" w:name="_Toc220496692"/>
      <w:r>
        <w:t>24.35.1 Auvents en bois  CCTB 01.07</w:t>
      </w:r>
      <w:bookmarkEnd w:id="1713"/>
    </w:p>
    <w:p w14:paraId="2279FF3E" w14:textId="77777777" w:rsidR="00DB2B68" w:rsidRDefault="00000000">
      <w:pPr>
        <w:pStyle w:val="Author-eSectionHeading6Numberless"/>
      </w:pPr>
      <w:bookmarkStart w:id="1714" w:name="_Toc220496693"/>
      <w:r>
        <w:t>24.35.1a Auvents en bois CCTB 01.11</w:t>
      </w:r>
      <w:bookmarkEnd w:id="1714"/>
    </w:p>
    <w:p w14:paraId="3D41C3EB" w14:textId="77777777" w:rsidR="00DB2B68" w:rsidRDefault="00000000">
      <w:pPr>
        <w:pStyle w:val="pheading"/>
      </w:pPr>
      <w:r>
        <w:t>DESCRIPTION</w:t>
      </w:r>
    </w:p>
    <w:p w14:paraId="1F05D269" w14:textId="77777777" w:rsidR="00DB2B68" w:rsidRDefault="00000000">
      <w:pPr>
        <w:pStyle w:val="pheading"/>
      </w:pPr>
      <w:r>
        <w:t>- Définition / Comprend</w:t>
      </w:r>
    </w:p>
    <w:p w14:paraId="3D65B6EC" w14:textId="77777777" w:rsidR="00DB2B68" w:rsidRDefault="00000000">
      <w:pPr>
        <w:jc w:val="both"/>
      </w:pPr>
      <w:r>
        <w:t>Il s'agit de la fourniture et la pose d’auvents en bois ainsi que tout élément nécessaire pour obtenir un ensemble fini.</w:t>
      </w:r>
    </w:p>
    <w:p w14:paraId="02275F18" w14:textId="77777777" w:rsidR="00DB2B68" w:rsidRDefault="00DB2B68">
      <w:pPr>
        <w:jc w:val="both"/>
      </w:pPr>
    </w:p>
    <w:p w14:paraId="3B77C9A7" w14:textId="77777777" w:rsidR="00DB2B68" w:rsidRDefault="00000000">
      <w:pPr>
        <w:jc w:val="both"/>
      </w:pPr>
      <w:r>
        <w:t>Les couvertures ne font pas partie du présent article. Elles sont décrites et comptabilisées au 34 Couvertures de toiture - Etanchéité et articles qui en découlent.</w:t>
      </w:r>
    </w:p>
    <w:p w14:paraId="7D7FCC68" w14:textId="77777777" w:rsidR="00DB2B68" w:rsidRDefault="00000000">
      <w:pPr>
        <w:jc w:val="both"/>
      </w:pPr>
      <w:r>
        <w:t>La récolte et l’évacuation des eaux de toitures ne font pas partie du présent article. Elles sont décrites et comptabilisées au 33 Récoltes et évacuations des eaux de toiture et articles qui en découlent.</w:t>
      </w:r>
    </w:p>
    <w:p w14:paraId="2AD1A03A" w14:textId="77777777" w:rsidR="00DB2B68" w:rsidRDefault="00000000">
      <w:pPr>
        <w:pStyle w:val="pheading"/>
      </w:pPr>
      <w:r>
        <w:t>MATÉRIAUX</w:t>
      </w:r>
    </w:p>
    <w:p w14:paraId="46FCA105" w14:textId="77777777" w:rsidR="00DB2B68" w:rsidRDefault="00000000">
      <w:pPr>
        <w:pStyle w:val="pheading"/>
      </w:pPr>
      <w:r>
        <w:t>- Caractéristiques générales</w:t>
      </w:r>
    </w:p>
    <w:p w14:paraId="64BA0F63" w14:textId="77777777" w:rsidR="00DB2B68" w:rsidRDefault="00000000">
      <w:pPr>
        <w:jc w:val="both"/>
      </w:pPr>
      <w:r>
        <w:rPr>
          <w:b/>
        </w:rPr>
        <w:t>Composants – Terminologie</w:t>
      </w:r>
    </w:p>
    <w:p w14:paraId="50ED293F" w14:textId="77777777" w:rsidR="00DB2B68" w:rsidRDefault="00000000">
      <w:pPr>
        <w:jc w:val="both"/>
      </w:pPr>
      <w:r>
        <w:t>En fonction de leur conception, les auvents sont composés :</w:t>
      </w:r>
    </w:p>
    <w:p w14:paraId="35543F63" w14:textId="77777777" w:rsidR="00DB2B68" w:rsidRDefault="00000000">
      <w:pPr>
        <w:pStyle w:val="Author-eListParagraph"/>
        <w:numPr>
          <w:ilvl w:val="0"/>
          <w:numId w:val="1031"/>
        </w:numPr>
        <w:jc w:val="both"/>
      </w:pPr>
      <w:r>
        <w:t>d’une structure portante (colonnes/poutres ou consoles) ;</w:t>
      </w:r>
    </w:p>
    <w:p w14:paraId="7C108936" w14:textId="77777777" w:rsidR="00DB2B68" w:rsidRDefault="00000000">
      <w:pPr>
        <w:pStyle w:val="Author-eListParagraph"/>
        <w:numPr>
          <w:ilvl w:val="0"/>
          <w:numId w:val="1031"/>
        </w:numPr>
        <w:jc w:val="both"/>
      </w:pPr>
      <w:r>
        <w:t>d’une charpente (fermes, pannes, chevrons) ;</w:t>
      </w:r>
    </w:p>
    <w:p w14:paraId="216CCB10" w14:textId="77777777" w:rsidR="00DB2B68" w:rsidRDefault="00000000">
      <w:pPr>
        <w:pStyle w:val="Author-eListParagraph"/>
        <w:numPr>
          <w:ilvl w:val="0"/>
          <w:numId w:val="1031"/>
        </w:numPr>
        <w:jc w:val="both"/>
      </w:pPr>
      <w:r>
        <w:t>d’une éventuelle sous-face (avant la couverture) ;</w:t>
      </w:r>
    </w:p>
    <w:p w14:paraId="65B6F4C2" w14:textId="77777777" w:rsidR="00DB2B68" w:rsidRDefault="00000000">
      <w:pPr>
        <w:pStyle w:val="Author-eListParagraph"/>
        <w:numPr>
          <w:ilvl w:val="0"/>
          <w:numId w:val="1031"/>
        </w:numPr>
        <w:jc w:val="both"/>
      </w:pPr>
      <w:r>
        <w:t>d’une couverture (non comprise dans le présent article).</w:t>
      </w:r>
    </w:p>
    <w:p w14:paraId="36D8AF69" w14:textId="77777777" w:rsidR="00DB2B68" w:rsidRDefault="00000000">
      <w:pPr>
        <w:jc w:val="both"/>
      </w:pPr>
      <w:r>
        <w:rPr>
          <w:u w:val="single"/>
        </w:rPr>
        <w:t>Structure portante</w:t>
      </w:r>
    </w:p>
    <w:p w14:paraId="31CE2F6E" w14:textId="77777777" w:rsidR="00DB2B68" w:rsidRDefault="00000000">
      <w:pPr>
        <w:jc w:val="both"/>
      </w:pPr>
      <w:r>
        <w:t xml:space="preserve">Les structures portantes sont décrites séparément aux </w:t>
      </w:r>
      <w:hyperlink w:anchor="627" w:history="1">
        <w:r>
          <w:rPr>
            <w:color w:val="0000EE"/>
          </w:rPr>
          <w:t>24.12 Colonnes en bois</w:t>
        </w:r>
      </w:hyperlink>
      <w:r>
        <w:t xml:space="preserve"> et </w:t>
      </w:r>
      <w:hyperlink w:anchor="404" w:history="1">
        <w:r>
          <w:rPr>
            <w:color w:val="0000EE"/>
          </w:rPr>
          <w:t>24.13 Poutres et barres en bois</w:t>
        </w:r>
      </w:hyperlink>
      <w:r>
        <w:t xml:space="preserve"> et articles qui en découlent, mais leur fourniture et pose sont comprises dans le présent travail.</w:t>
      </w:r>
    </w:p>
    <w:p w14:paraId="4DFE5219" w14:textId="77777777" w:rsidR="00DB2B68" w:rsidRDefault="00000000">
      <w:pPr>
        <w:jc w:val="both"/>
      </w:pPr>
      <w:r>
        <w:rPr>
          <w:u w:val="single"/>
        </w:rPr>
        <w:t>Charpente</w:t>
      </w:r>
    </w:p>
    <w:p w14:paraId="30A05955" w14:textId="77777777" w:rsidR="00DB2B68" w:rsidRDefault="00000000">
      <w:pPr>
        <w:jc w:val="both"/>
      </w:pPr>
      <w:r>
        <w:t xml:space="preserve">Les charpentes sont décrites au </w:t>
      </w:r>
      <w:hyperlink w:anchor="608" w:history="1">
        <w:r>
          <w:rPr>
            <w:color w:val="0000EE"/>
          </w:rPr>
          <w:t>24.24 Charpentes en bois</w:t>
        </w:r>
      </w:hyperlink>
      <w:r>
        <w:t xml:space="preserve"> et articles qui en découlent, mais leur fourniture et pose sont comprises dans le présent travail.</w:t>
      </w:r>
    </w:p>
    <w:p w14:paraId="128FD9F7" w14:textId="77777777" w:rsidR="00DB2B68" w:rsidRDefault="00000000">
      <w:pPr>
        <w:jc w:val="both"/>
      </w:pPr>
      <w:r>
        <w:rPr>
          <w:b/>
        </w:rPr>
        <w:t>Matériau</w:t>
      </w:r>
    </w:p>
    <w:p w14:paraId="33A9822B" w14:textId="77777777" w:rsidR="00DB2B68" w:rsidRDefault="00000000">
      <w:pPr>
        <w:jc w:val="both"/>
      </w:pPr>
      <w:r>
        <w:t>Caractéristiques du bois des éléments structurels :</w:t>
      </w:r>
    </w:p>
    <w:p w14:paraId="08F37042" w14:textId="77777777" w:rsidR="00DB2B68" w:rsidRDefault="00000000">
      <w:pPr>
        <w:pStyle w:val="Author-eListParagraph"/>
        <w:numPr>
          <w:ilvl w:val="0"/>
          <w:numId w:val="1032"/>
        </w:numPr>
      </w:pPr>
      <w:r>
        <w:t>Classe d’emploi/de risque, pour les structures portantes, suivant la [NBN EN 335] : 3</w:t>
      </w:r>
    </w:p>
    <w:p w14:paraId="7E265623" w14:textId="77777777" w:rsidR="00DB2B68" w:rsidRDefault="00000000">
      <w:pPr>
        <w:pStyle w:val="Author-eListParagraph"/>
        <w:numPr>
          <w:ilvl w:val="0"/>
          <w:numId w:val="1032"/>
        </w:numPr>
      </w:pPr>
      <w:r>
        <w:t xml:space="preserve">Classe d’emploi/de risque, pour les éléments de charpenterie principaux, suivant la [NBN EN 335] : </w:t>
      </w:r>
      <w:r>
        <w:rPr>
          <w:rStyle w:val="optioncarChar"/>
        </w:rPr>
        <w:t>2 / 3</w:t>
      </w:r>
      <w:r>
        <w:t xml:space="preserve"> (par défaut)</w:t>
      </w:r>
    </w:p>
    <w:p w14:paraId="1FC36578" w14:textId="77777777" w:rsidR="00DB2B68" w:rsidRDefault="00000000">
      <w:pPr>
        <w:pStyle w:val="Author-eListParagraph"/>
        <w:numPr>
          <w:ilvl w:val="0"/>
          <w:numId w:val="1032"/>
        </w:numPr>
      </w:pPr>
      <w:r>
        <w:t xml:space="preserve">Gamme de produit pour les éléments structurels : </w:t>
      </w:r>
      <w:r>
        <w:rPr>
          <w:rStyle w:val="optioncarChar"/>
        </w:rPr>
        <w:t xml:space="preserve">bois massifs </w:t>
      </w:r>
      <w:r>
        <w:t>(par défaut)</w:t>
      </w:r>
      <w:r>
        <w:rPr>
          <w:rStyle w:val="optioncarChar"/>
        </w:rPr>
        <w:t xml:space="preserve"> / bois lamellés-collés</w:t>
      </w:r>
    </w:p>
    <w:p w14:paraId="26185DAC" w14:textId="77777777" w:rsidR="00DB2B68" w:rsidRDefault="00000000">
      <w:pPr>
        <w:pStyle w:val="Author-eListParagraph"/>
        <w:numPr>
          <w:ilvl w:val="0"/>
          <w:numId w:val="1032"/>
        </w:numPr>
      </w:pPr>
      <w:r>
        <w:t xml:space="preserve">Classe de durabilité, suivant la [NBN EN 460] : </w:t>
      </w:r>
      <w:r>
        <w:rPr>
          <w:rStyle w:val="optioncarChar"/>
        </w:rPr>
        <w:t>1 / 2</w:t>
      </w:r>
      <w:r>
        <w:t xml:space="preserve"> (par défaut)</w:t>
      </w:r>
      <w:r>
        <w:rPr>
          <w:rStyle w:val="optioncarChar"/>
        </w:rPr>
        <w:t xml:space="preserve"> / 3 / en fonction de l’essence de bois (voir le point suivant)</w:t>
      </w:r>
    </w:p>
    <w:p w14:paraId="0FCE685A" w14:textId="77777777" w:rsidR="00DB2B68" w:rsidRDefault="00000000">
      <w:pPr>
        <w:pStyle w:val="Author-eListParagraph"/>
        <w:numPr>
          <w:ilvl w:val="0"/>
          <w:numId w:val="1032"/>
        </w:numPr>
      </w:pPr>
      <w:r>
        <w:t xml:space="preserve">Choix de l’essence de bois : </w:t>
      </w:r>
      <w:r>
        <w:rPr>
          <w:rStyle w:val="optioncarChar"/>
        </w:rPr>
        <w:t xml:space="preserve">au choix de l’entrepreneur, en fonction de la durabilité ci-dessus, à soumettre à l’approbation de l’architecte et du maître de l’ouvrage </w:t>
      </w:r>
      <w:r>
        <w:t xml:space="preserve">(par défaut) </w:t>
      </w:r>
      <w:r>
        <w:rPr>
          <w:rStyle w:val="optioncarChar"/>
        </w:rPr>
        <w:t xml:space="preserve">/ afzélia </w:t>
      </w:r>
      <w:r>
        <w:rPr>
          <w:rStyle w:val="optioncarChar"/>
        </w:rPr>
        <w:lastRenderedPageBreak/>
        <w:t>doussé / dark red meranti / merbeau / western red cedar / chêne / oregon / Sapin rouge du Nord (PNG) / ***.</w:t>
      </w:r>
    </w:p>
    <w:p w14:paraId="7C860881" w14:textId="77777777" w:rsidR="00DB2B68" w:rsidRDefault="00000000">
      <w:pPr>
        <w:pStyle w:val="Author-eListParagraph"/>
        <w:numPr>
          <w:ilvl w:val="0"/>
          <w:numId w:val="1032"/>
        </w:numPr>
      </w:pPr>
      <w:r>
        <w:t xml:space="preserve">Finition des faces vues : </w:t>
      </w:r>
      <w:r>
        <w:rPr>
          <w:rStyle w:val="optioncarChar"/>
        </w:rPr>
        <w:t>non raboté / raboté sur 1 face / raboté sur 2 faces / raboté sur 3 faces / raboté sur 4 faces</w:t>
      </w:r>
      <w:r>
        <w:t xml:space="preserve"> (par défaut)</w:t>
      </w:r>
    </w:p>
    <w:p w14:paraId="3D012577" w14:textId="77777777" w:rsidR="00DB2B68" w:rsidRDefault="00000000">
      <w:pPr>
        <w:jc w:val="both"/>
      </w:pPr>
      <w:r>
        <w:t>Caractéristiques du bois des éléments secondaires (chevrons, etc.)</w:t>
      </w:r>
    </w:p>
    <w:p w14:paraId="70070F95" w14:textId="77777777" w:rsidR="00DB2B68" w:rsidRDefault="00000000">
      <w:pPr>
        <w:pStyle w:val="Author-eListParagraph"/>
        <w:numPr>
          <w:ilvl w:val="0"/>
          <w:numId w:val="1033"/>
        </w:numPr>
        <w:jc w:val="both"/>
      </w:pPr>
      <w:r>
        <w:t>Bois massif</w:t>
      </w:r>
    </w:p>
    <w:p w14:paraId="59EDC0A9" w14:textId="77777777" w:rsidR="00DB2B68" w:rsidRDefault="00000000">
      <w:pPr>
        <w:pStyle w:val="Author-eListParagraph"/>
        <w:numPr>
          <w:ilvl w:val="0"/>
          <w:numId w:val="1033"/>
        </w:numPr>
        <w:jc w:val="both"/>
      </w:pPr>
      <w:r>
        <w:t xml:space="preserve">Classe de durabilité, suivant la [NBN EN 460] : </w:t>
      </w:r>
      <w:r>
        <w:rPr>
          <w:rStyle w:val="optioncarChar"/>
        </w:rPr>
        <w:t>1 / 2 / 3</w:t>
      </w:r>
      <w:r>
        <w:t xml:space="preserve"> (par défaut)</w:t>
      </w:r>
      <w:r>
        <w:rPr>
          <w:rStyle w:val="optioncarChar"/>
        </w:rPr>
        <w:t xml:space="preserve"> / en fonction de l’essence de bois (voir le point suivant)</w:t>
      </w:r>
    </w:p>
    <w:p w14:paraId="11050537" w14:textId="77777777" w:rsidR="00DB2B68" w:rsidRDefault="00000000">
      <w:pPr>
        <w:pStyle w:val="Author-eListParagraph"/>
        <w:numPr>
          <w:ilvl w:val="0"/>
          <w:numId w:val="1033"/>
        </w:numPr>
        <w:jc w:val="both"/>
      </w:pPr>
      <w:r>
        <w:t xml:space="preserve">Choix de l’essence de bois : </w:t>
      </w:r>
      <w:r>
        <w:rPr>
          <w:rStyle w:val="optioncarChar"/>
        </w:rPr>
        <w:t>au choix de l’entrepreneur, en fonction de la durabilité ci-dessus, à soumettre à l’approbation de l’architecte et du maître de l’ouvrage</w:t>
      </w:r>
      <w:r>
        <w:t xml:space="preserve"> (par défaut) </w:t>
      </w:r>
      <w:r>
        <w:rPr>
          <w:rStyle w:val="optioncarChar"/>
        </w:rPr>
        <w:t>/ afzélia doussé / dark red meranti / merbeau / western red cedar / chêne / oregon / Sapin rouge du Nord (PNG) / ***.</w:t>
      </w:r>
    </w:p>
    <w:p w14:paraId="08A5BF17" w14:textId="77777777" w:rsidR="00DB2B68" w:rsidRDefault="00000000">
      <w:pPr>
        <w:pStyle w:val="Author-eListParagraph"/>
        <w:numPr>
          <w:ilvl w:val="0"/>
          <w:numId w:val="1033"/>
        </w:numPr>
        <w:jc w:val="both"/>
      </w:pPr>
      <w:r>
        <w:t xml:space="preserve">Finition des faces vue : </w:t>
      </w:r>
      <w:r>
        <w:rPr>
          <w:rStyle w:val="optioncarChar"/>
        </w:rPr>
        <w:t>non raboté / raboté sur 1 face / raboté sur 2 faces / raboté sur 3 faces / raboté sur 4 faces</w:t>
      </w:r>
      <w:r>
        <w:t xml:space="preserve"> (par défaut)</w:t>
      </w:r>
    </w:p>
    <w:p w14:paraId="59A079FF" w14:textId="77777777" w:rsidR="00DB2B68" w:rsidRDefault="00000000">
      <w:pPr>
        <w:pStyle w:val="pheading"/>
      </w:pPr>
      <w:r>
        <w:t>- Finitions</w:t>
      </w:r>
    </w:p>
    <w:p w14:paraId="7C74FEA7" w14:textId="77777777" w:rsidR="00DB2B68" w:rsidRDefault="00000000">
      <w:pPr>
        <w:jc w:val="both"/>
      </w:pPr>
      <w:r>
        <w:rPr>
          <w:b/>
        </w:rPr>
        <w:t>Traitement de finition du bois</w:t>
      </w:r>
    </w:p>
    <w:p w14:paraId="2F5A56C3" w14:textId="77777777" w:rsidR="00DB2B68" w:rsidRDefault="00000000">
      <w:pPr>
        <w:jc w:val="both"/>
      </w:pPr>
      <w:r>
        <w:t xml:space="preserve">Finition des parties visibles du bois : </w:t>
      </w:r>
      <w:r>
        <w:rPr>
          <w:rStyle w:val="optioncarChar"/>
        </w:rPr>
        <w:t>pas de finition</w:t>
      </w:r>
      <w:r>
        <w:t xml:space="preserve"> (par défaut)</w:t>
      </w:r>
      <w:r>
        <w:rPr>
          <w:rStyle w:val="optioncarChar"/>
        </w:rPr>
        <w:t xml:space="preserve"> / application d’une finition</w:t>
      </w:r>
    </w:p>
    <w:p w14:paraId="37BF47B0" w14:textId="77777777" w:rsidR="00DB2B68" w:rsidRDefault="00000000">
      <w:pPr>
        <w:jc w:val="both"/>
      </w:pPr>
      <w:r>
        <w:rPr>
          <w:u w:val="single"/>
        </w:rPr>
        <w:t>Dans le cas de l’application d’une finition sur le bois prévue dans le présent travail :</w:t>
      </w:r>
    </w:p>
    <w:p w14:paraId="402E0467" w14:textId="77777777" w:rsidR="00DB2B68" w:rsidRDefault="00000000">
      <w:pPr>
        <w:pStyle w:val="Author-eListParagraph"/>
        <w:numPr>
          <w:ilvl w:val="0"/>
          <w:numId w:val="1034"/>
        </w:numPr>
        <w:jc w:val="both"/>
      </w:pPr>
      <w:r>
        <w:t>Type de traitement :</w:t>
      </w:r>
      <w:r>
        <w:rPr>
          <w:rStyle w:val="optioncarChar"/>
        </w:rPr>
        <w:t xml:space="preserve"> lasure </w:t>
      </w:r>
      <w:r>
        <w:t>(par défaut)</w:t>
      </w:r>
      <w:r>
        <w:rPr>
          <w:rStyle w:val="optioncarChar"/>
        </w:rPr>
        <w:t xml:space="preserve"> / verni / peinture / huile / céruse</w:t>
      </w:r>
    </w:p>
    <w:p w14:paraId="406BB89D" w14:textId="77777777" w:rsidR="00DB2B68" w:rsidRDefault="00000000">
      <w:pPr>
        <w:pStyle w:val="Author-eListParagraph"/>
        <w:numPr>
          <w:ilvl w:val="0"/>
          <w:numId w:val="1034"/>
        </w:numPr>
        <w:jc w:val="both"/>
      </w:pPr>
      <w:r>
        <w:t xml:space="preserve">Teinte : </w:t>
      </w:r>
      <w:r>
        <w:rPr>
          <w:rStyle w:val="optioncarChar"/>
        </w:rPr>
        <w:t>transparent</w:t>
      </w:r>
      <w:r>
        <w:t xml:space="preserve"> (par défaut)</w:t>
      </w:r>
      <w:r>
        <w:rPr>
          <w:rStyle w:val="optioncarChar"/>
        </w:rPr>
        <w:t xml:space="preserve"> / pigmenté blanchâtre / blanc / RAL : ***</w:t>
      </w:r>
    </w:p>
    <w:p w14:paraId="7F9626AA" w14:textId="77777777" w:rsidR="00DB2B68" w:rsidRDefault="00000000">
      <w:pPr>
        <w:pStyle w:val="pheading"/>
      </w:pPr>
      <w:r>
        <w:t>EXÉCUTION / MISE EN ŒUVRE</w:t>
      </w:r>
    </w:p>
    <w:p w14:paraId="3E563A79" w14:textId="77777777" w:rsidR="00DB2B68" w:rsidRDefault="00000000">
      <w:pPr>
        <w:pStyle w:val="pheading"/>
      </w:pPr>
      <w:r>
        <w:t>- Prescriptions générales</w:t>
      </w:r>
    </w:p>
    <w:p w14:paraId="0D0E1165" w14:textId="77777777" w:rsidR="00DB2B68" w:rsidRDefault="00000000">
      <w:pPr>
        <w:jc w:val="both"/>
      </w:pPr>
      <w:r>
        <w:t>Toutes les pièces sont profilées et ouvragées conformément à l'étude et aux plans d'exécution réalisés par l’adjudicataire. Ces documents d'exécution sont soumis à l'approbation de l’auteur de projet.</w:t>
      </w:r>
    </w:p>
    <w:p w14:paraId="6FBE1692" w14:textId="77777777" w:rsidR="00DB2B68" w:rsidRDefault="00000000">
      <w:pPr>
        <w:jc w:val="both"/>
      </w:pPr>
      <w:r>
        <w:t xml:space="preserve">L'étude et les plans d'exécution sont réalisés sur base : </w:t>
      </w:r>
      <w:r>
        <w:rPr>
          <w:rStyle w:val="optioncarChar"/>
        </w:rPr>
        <w:t xml:space="preserve">des études à charge de l’entreprise </w:t>
      </w:r>
      <w:r>
        <w:t>(par défaut)</w:t>
      </w:r>
      <w:r>
        <w:rPr>
          <w:rStyle w:val="optioncarChar"/>
        </w:rPr>
        <w:t xml:space="preserve"> / des études et dessins de détail annexés au dossier de soumission</w:t>
      </w:r>
      <w:r>
        <w:t>.</w:t>
      </w:r>
    </w:p>
    <w:p w14:paraId="6A74D8CC" w14:textId="77777777" w:rsidR="00DB2B68" w:rsidRDefault="00000000">
      <w:pPr>
        <w:jc w:val="both"/>
      </w:pPr>
      <w:r>
        <w:rPr>
          <w:b/>
        </w:rPr>
        <w:t>Etudes et dessins de détail annexés au dossier de soumission</w:t>
      </w:r>
      <w:r>
        <w:t> </w:t>
      </w:r>
    </w:p>
    <w:p w14:paraId="1FADEA65" w14:textId="77777777" w:rsidR="00DB2B68" w:rsidRDefault="00000000">
      <w:pPr>
        <w:jc w:val="both"/>
      </w:pPr>
      <w:r>
        <w:t>Les dessins d’exécution sont réalisés selon l’étude des plans et des détails de l'auteur de projet annexés au dossier de soumission.</w:t>
      </w:r>
    </w:p>
    <w:p w14:paraId="6E05E7D3" w14:textId="77777777" w:rsidR="00DB2B68" w:rsidRDefault="00000000">
      <w:pPr>
        <w:jc w:val="both"/>
      </w:pPr>
      <w:r>
        <w:rPr>
          <w:b/>
        </w:rPr>
        <w:t>Etudes à charge de l’entreprise</w:t>
      </w:r>
      <w:r>
        <w:t> </w:t>
      </w:r>
    </w:p>
    <w:p w14:paraId="739B8043" w14:textId="77777777" w:rsidR="00DB2B68" w:rsidRDefault="00000000">
      <w:pPr>
        <w:jc w:val="both"/>
      </w:pPr>
      <w:r>
        <w:t>Les frais pour la réalisation de l'étude des auvents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w:t>
      </w:r>
    </w:p>
    <w:p w14:paraId="2F9478DC" w14:textId="77777777" w:rsidR="00DB2B68" w:rsidRDefault="00000000">
      <w:pPr>
        <w:jc w:val="both"/>
      </w:pPr>
      <w:r>
        <w:t>L’étude est établie suivant les indications données sur les plans et coupes de principe du dossier de soumission et des informations suivantes, le tout donné à titre indicatif pour orienter l’entreprise :</w:t>
      </w:r>
    </w:p>
    <w:p w14:paraId="6DED66C3" w14:textId="77777777" w:rsidR="00DB2B68" w:rsidRDefault="00000000">
      <w:pPr>
        <w:pStyle w:val="Author-eListParagraph"/>
        <w:numPr>
          <w:ilvl w:val="0"/>
          <w:numId w:val="1035"/>
        </w:numPr>
      </w:pPr>
      <w:r>
        <w:t xml:space="preserve">Forme de toiture des auvents : </w:t>
      </w:r>
      <w:r>
        <w:rPr>
          <w:rStyle w:val="optioncarChar"/>
        </w:rPr>
        <w:t xml:space="preserve">à 1 versant </w:t>
      </w:r>
      <w:r>
        <w:t>(par défaut)</w:t>
      </w:r>
      <w:r>
        <w:rPr>
          <w:rStyle w:val="optioncarChar"/>
        </w:rPr>
        <w:t xml:space="preserve"> / à 2 versants (symétriques) / à 2 versants (non symétriques) / plates</w:t>
      </w:r>
    </w:p>
    <w:p w14:paraId="478C34AF" w14:textId="77777777" w:rsidR="00DB2B68" w:rsidRDefault="00000000">
      <w:pPr>
        <w:pStyle w:val="Author-eListParagraph"/>
        <w:numPr>
          <w:ilvl w:val="0"/>
          <w:numId w:val="1035"/>
        </w:numPr>
      </w:pPr>
      <w:r>
        <w:t xml:space="preserve">Pentes de toiture : </w:t>
      </w:r>
      <w:r>
        <w:rPr>
          <w:rStyle w:val="optioncarChar"/>
        </w:rPr>
        <w:t>***</w:t>
      </w:r>
    </w:p>
    <w:p w14:paraId="68CE0280" w14:textId="77777777" w:rsidR="00DB2B68" w:rsidRDefault="00000000">
      <w:pPr>
        <w:pStyle w:val="Author-eListParagraph"/>
        <w:numPr>
          <w:ilvl w:val="0"/>
          <w:numId w:val="1035"/>
        </w:numPr>
      </w:pPr>
      <w:r>
        <w:t xml:space="preserve">Pose des auvents : </w:t>
      </w:r>
      <w:r>
        <w:rPr>
          <w:rStyle w:val="optioncarChar"/>
        </w:rPr>
        <w:t xml:space="preserve">adossés à un/des mur(s) </w:t>
      </w:r>
      <w:r>
        <w:t>(par défaut)</w:t>
      </w:r>
      <w:r>
        <w:rPr>
          <w:rStyle w:val="optioncarChar"/>
        </w:rPr>
        <w:t xml:space="preserve"> / en indépendance</w:t>
      </w:r>
    </w:p>
    <w:p w14:paraId="4242DC0A" w14:textId="77777777" w:rsidR="00DB2B68" w:rsidRDefault="00000000">
      <w:pPr>
        <w:jc w:val="both"/>
      </w:pPr>
      <w:r>
        <w:rPr>
          <w:u w:val="single"/>
        </w:rPr>
        <w:t>Structures portantes</w:t>
      </w:r>
    </w:p>
    <w:p w14:paraId="1A0048EC" w14:textId="77777777" w:rsidR="00DB2B68" w:rsidRDefault="00000000">
      <w:pPr>
        <w:pStyle w:val="Author-eListParagraph"/>
        <w:numPr>
          <w:ilvl w:val="0"/>
          <w:numId w:val="1036"/>
        </w:numPr>
      </w:pPr>
      <w:r>
        <w:t xml:space="preserve">Type d’assemblages des éléments de structures (référence au titre </w:t>
      </w:r>
      <w:hyperlink w:anchor="585" w:history="1">
        <w:r>
          <w:rPr>
            <w:color w:val="0000EE"/>
          </w:rPr>
          <w:t>24.4 Assemblages</w:t>
        </w:r>
      </w:hyperlink>
      <w:r>
        <w:t>) :</w:t>
      </w:r>
      <w:r>
        <w:rPr>
          <w:rStyle w:val="optioncarChar"/>
        </w:rPr>
        <w:t xml:space="preserve"> mécaniques </w:t>
      </w:r>
      <w:r>
        <w:t xml:space="preserve">(par défaut) </w:t>
      </w:r>
      <w:r>
        <w:rPr>
          <w:rStyle w:val="optioncarChar"/>
        </w:rPr>
        <w:t>/ traditionnels</w:t>
      </w:r>
    </w:p>
    <w:p w14:paraId="17FA3EAF" w14:textId="77777777" w:rsidR="00DB2B68" w:rsidRDefault="00000000">
      <w:pPr>
        <w:pStyle w:val="Author-eListParagraph"/>
        <w:numPr>
          <w:ilvl w:val="0"/>
          <w:numId w:val="1036"/>
        </w:numPr>
      </w:pPr>
      <w:r>
        <w:t xml:space="preserve">Type de structures portantes : </w:t>
      </w:r>
      <w:r>
        <w:rPr>
          <w:rStyle w:val="optioncarChar"/>
        </w:rPr>
        <w:t>consoles fixées aux murs et colonnes/poutres</w:t>
      </w:r>
      <w:r>
        <w:t xml:space="preserve"> (par défaut)</w:t>
      </w:r>
      <w:r>
        <w:rPr>
          <w:rStyle w:val="optioncarChar"/>
        </w:rPr>
        <w:t xml:space="preserve"> / consoles fixées aux murs / colonnes/poutres</w:t>
      </w:r>
    </w:p>
    <w:p w14:paraId="764374D8" w14:textId="77777777" w:rsidR="00DB2B68" w:rsidRDefault="00000000">
      <w:pPr>
        <w:ind w:left="567"/>
        <w:jc w:val="both"/>
      </w:pPr>
      <w:r>
        <w:rPr>
          <w:b/>
        </w:rPr>
        <w:lastRenderedPageBreak/>
        <w:t>(soit par défaut)</w:t>
      </w:r>
    </w:p>
    <w:p w14:paraId="14E6884B" w14:textId="77777777" w:rsidR="00DB2B68" w:rsidRDefault="00000000">
      <w:pPr>
        <w:ind w:left="567"/>
        <w:jc w:val="both"/>
      </w:pPr>
      <w:r>
        <w:rPr>
          <w:rStyle w:val="soitChar"/>
          <w:u w:val="single"/>
        </w:rPr>
        <w:t>Consoles fixées aux murs et colonnes/poutres</w:t>
      </w:r>
    </w:p>
    <w:p w14:paraId="6B07689B" w14:textId="77777777" w:rsidR="00DB2B68" w:rsidRDefault="00000000">
      <w:pPr>
        <w:ind w:left="567"/>
        <w:jc w:val="both"/>
      </w:pPr>
      <w:r>
        <w:rPr>
          <w:rStyle w:val="soitChar"/>
        </w:rPr>
        <w:t>Côté murs, les auvents sont fixés à l’aide de consoles ; le côté opposé s’appuie sur des systèmes colonnes/poutres.</w:t>
      </w:r>
    </w:p>
    <w:p w14:paraId="1644E777" w14:textId="77777777" w:rsidR="00DB2B68" w:rsidRDefault="00000000">
      <w:pPr>
        <w:pStyle w:val="Author-eListParagraph"/>
        <w:numPr>
          <w:ilvl w:val="0"/>
          <w:numId w:val="1037"/>
        </w:numPr>
      </w:pPr>
      <w:r>
        <w:rPr>
          <w:rStyle w:val="soitChar"/>
        </w:rPr>
        <w:t xml:space="preserve">Profil du bois des consoles murales : </w:t>
      </w:r>
      <w:r>
        <w:rPr>
          <w:rStyle w:val="optioncarChar"/>
        </w:rPr>
        <w:t>rectangulaire</w:t>
      </w:r>
      <w:r>
        <w:t>  (par défaut)</w:t>
      </w:r>
      <w:r>
        <w:rPr>
          <w:rStyle w:val="optioncarChar"/>
        </w:rPr>
        <w:t xml:space="preserve"> / carré / rond</w:t>
      </w:r>
      <w:r>
        <w:rPr>
          <w:rStyle w:val="soitChar"/>
        </w:rPr>
        <w:t>.</w:t>
      </w:r>
    </w:p>
    <w:p w14:paraId="6C707C19" w14:textId="77777777" w:rsidR="00DB2B68" w:rsidRDefault="00000000">
      <w:pPr>
        <w:pStyle w:val="Author-eListParagraph"/>
        <w:numPr>
          <w:ilvl w:val="0"/>
          <w:numId w:val="1037"/>
        </w:numPr>
      </w:pPr>
      <w:r>
        <w:rPr>
          <w:rStyle w:val="soitChar"/>
        </w:rPr>
        <w:t xml:space="preserve">Profil du bois des colonnes/poutres : </w:t>
      </w:r>
      <w:r>
        <w:rPr>
          <w:rStyle w:val="optioncarChar"/>
        </w:rPr>
        <w:t>rectangulaire</w:t>
      </w:r>
      <w:r>
        <w:t>  (par défaut)</w:t>
      </w:r>
      <w:r>
        <w:rPr>
          <w:rStyle w:val="optioncarChar"/>
        </w:rPr>
        <w:t xml:space="preserve"> / carré / rond</w:t>
      </w:r>
      <w:r>
        <w:rPr>
          <w:rStyle w:val="soitChar"/>
        </w:rPr>
        <w:t>.</w:t>
      </w:r>
    </w:p>
    <w:p w14:paraId="3255A9F1" w14:textId="77777777" w:rsidR="00DB2B68" w:rsidRDefault="00000000">
      <w:pPr>
        <w:ind w:left="567"/>
        <w:jc w:val="both"/>
      </w:pPr>
      <w:r>
        <w:rPr>
          <w:rStyle w:val="soitChar"/>
        </w:rPr>
        <w:t>Les colonnes reposent sur des fondations adéquates (non comprises dans le présent travail) par l’intermédiaire de pieds de colonnes métalliques. Les colonnes ne peuvent en aucun cas être en contact direct avec sol.</w:t>
      </w:r>
    </w:p>
    <w:p w14:paraId="1B655AE5" w14:textId="77777777" w:rsidR="00DB2B68" w:rsidRDefault="00000000">
      <w:pPr>
        <w:ind w:left="567"/>
        <w:jc w:val="both"/>
      </w:pPr>
      <w:r>
        <w:rPr>
          <w:rStyle w:val="soitChar"/>
        </w:rPr>
        <w:t>Les consoles sont fixées au bâtiment par ancrages en nombre et dimensions adéquats.</w:t>
      </w:r>
    </w:p>
    <w:p w14:paraId="1A5CBC97" w14:textId="77777777" w:rsidR="00DB2B68" w:rsidRDefault="00000000">
      <w:pPr>
        <w:pStyle w:val="Author-eListParagraph"/>
        <w:numPr>
          <w:ilvl w:val="1"/>
          <w:numId w:val="1038"/>
        </w:numPr>
      </w:pPr>
      <w:r>
        <w:rPr>
          <w:color w:val="33CCCC"/>
        </w:rPr>
        <w:t>Type d’ancrages (voir au </w:t>
      </w:r>
      <w:hyperlink w:anchor="585" w:history="1">
        <w:r>
          <w:rPr>
            <w:color w:val="0000EE"/>
          </w:rPr>
          <w:t>24.4 Assemblages</w:t>
        </w:r>
      </w:hyperlink>
      <w:r>
        <w:t> </w:t>
      </w:r>
      <w:r>
        <w:rPr>
          <w:color w:val="33CCCC"/>
        </w:rPr>
        <w:t>) : </w:t>
      </w:r>
      <w:r>
        <w:rPr>
          <w:rStyle w:val="optioncarChar"/>
        </w:rPr>
        <w:t>mécaniques</w:t>
      </w:r>
      <w:r>
        <w:t> (par défaut) </w:t>
      </w:r>
      <w:r>
        <w:rPr>
          <w:rStyle w:val="optioncarChar"/>
        </w:rPr>
        <w:t>/ chimiques</w:t>
      </w:r>
    </w:p>
    <w:p w14:paraId="72BBA593" w14:textId="77777777" w:rsidR="00DB2B68" w:rsidRDefault="00000000">
      <w:pPr>
        <w:ind w:left="567"/>
        <w:jc w:val="both"/>
      </w:pPr>
      <w:r>
        <w:rPr>
          <w:b/>
        </w:rPr>
        <w:t>(soit)</w:t>
      </w:r>
    </w:p>
    <w:p w14:paraId="23CBE580" w14:textId="77777777" w:rsidR="00DB2B68" w:rsidRDefault="00000000">
      <w:pPr>
        <w:ind w:left="567"/>
        <w:jc w:val="both"/>
      </w:pPr>
      <w:r>
        <w:rPr>
          <w:rStyle w:val="soitChar"/>
          <w:u w:val="single"/>
        </w:rPr>
        <w:t>Consoles fixées aux murs</w:t>
      </w:r>
    </w:p>
    <w:p w14:paraId="603024F5" w14:textId="77777777" w:rsidR="00DB2B68" w:rsidRDefault="00000000">
      <w:pPr>
        <w:ind w:left="567"/>
        <w:jc w:val="both"/>
      </w:pPr>
      <w:r>
        <w:rPr>
          <w:rStyle w:val="soitChar"/>
        </w:rPr>
        <w:t>Les auvents sont fixés à l’aide de consoles ancrées solidement aux murs.</w:t>
      </w:r>
    </w:p>
    <w:p w14:paraId="3206B375" w14:textId="77777777" w:rsidR="00DB2B68" w:rsidRDefault="00000000">
      <w:pPr>
        <w:pStyle w:val="Author-eListParagraph"/>
        <w:numPr>
          <w:ilvl w:val="0"/>
          <w:numId w:val="1039"/>
        </w:numPr>
      </w:pPr>
      <w:r>
        <w:rPr>
          <w:rStyle w:val="soitChar"/>
        </w:rPr>
        <w:t xml:space="preserve">Profil des consoles murales : </w:t>
      </w:r>
      <w:r>
        <w:rPr>
          <w:rStyle w:val="optioncarChar"/>
        </w:rPr>
        <w:t xml:space="preserve">rectangulaire </w:t>
      </w:r>
      <w:r>
        <w:t>(par défaut)</w:t>
      </w:r>
      <w:r>
        <w:rPr>
          <w:rStyle w:val="optioncarChar"/>
        </w:rPr>
        <w:t xml:space="preserve"> / carré / rond.</w:t>
      </w:r>
    </w:p>
    <w:p w14:paraId="461F4AEC" w14:textId="77777777" w:rsidR="00DB2B68" w:rsidRDefault="00000000">
      <w:pPr>
        <w:ind w:left="567"/>
      </w:pPr>
      <w:r>
        <w:rPr>
          <w:rStyle w:val="soitChar"/>
        </w:rPr>
        <w:t>Les consoles sont fixées au bâtiment par ancrages en nombre et dimensions adéquats.</w:t>
      </w:r>
    </w:p>
    <w:p w14:paraId="398A1B26" w14:textId="77777777" w:rsidR="00DB2B68" w:rsidRDefault="00000000">
      <w:pPr>
        <w:pStyle w:val="Author-eListParagraph"/>
        <w:numPr>
          <w:ilvl w:val="1"/>
          <w:numId w:val="1040"/>
        </w:numPr>
      </w:pPr>
      <w:r>
        <w:rPr>
          <w:color w:val="33CCCC"/>
        </w:rPr>
        <w:t>Type d’ancrages (voir au </w:t>
      </w:r>
      <w:hyperlink w:anchor="585" w:history="1">
        <w:r>
          <w:rPr>
            <w:color w:val="0000EE"/>
          </w:rPr>
          <w:t>24.4 Assemblages</w:t>
        </w:r>
      </w:hyperlink>
      <w:r>
        <w:t> </w:t>
      </w:r>
      <w:r>
        <w:rPr>
          <w:color w:val="33CCCC"/>
        </w:rPr>
        <w:t>) : </w:t>
      </w:r>
      <w:r>
        <w:rPr>
          <w:rStyle w:val="optioncarChar"/>
        </w:rPr>
        <w:t>mécaniques</w:t>
      </w:r>
      <w:r>
        <w:t> (par défaut) </w:t>
      </w:r>
      <w:r>
        <w:rPr>
          <w:rStyle w:val="optioncarChar"/>
        </w:rPr>
        <w:t>/ chimiques</w:t>
      </w:r>
    </w:p>
    <w:p w14:paraId="02404B5D" w14:textId="77777777" w:rsidR="00DB2B68" w:rsidRDefault="00000000">
      <w:pPr>
        <w:ind w:left="567"/>
        <w:jc w:val="both"/>
      </w:pPr>
      <w:r>
        <w:rPr>
          <w:b/>
        </w:rPr>
        <w:t>(soit)</w:t>
      </w:r>
    </w:p>
    <w:p w14:paraId="7797D7FE" w14:textId="77777777" w:rsidR="00DB2B68" w:rsidRDefault="00000000">
      <w:pPr>
        <w:ind w:left="567"/>
        <w:jc w:val="both"/>
      </w:pPr>
      <w:r>
        <w:rPr>
          <w:rStyle w:val="soitChar"/>
          <w:u w:val="single"/>
        </w:rPr>
        <w:t>Colonnes/poutres</w:t>
      </w:r>
    </w:p>
    <w:p w14:paraId="174627BC" w14:textId="77777777" w:rsidR="00DB2B68" w:rsidRDefault="00000000">
      <w:pPr>
        <w:ind w:left="567"/>
        <w:jc w:val="both"/>
      </w:pPr>
      <w:r>
        <w:rPr>
          <w:rStyle w:val="soitChar"/>
        </w:rPr>
        <w:t>Les auvents s’appuient sur des systèmes colonnes/poutres.</w:t>
      </w:r>
    </w:p>
    <w:p w14:paraId="796F1675" w14:textId="77777777" w:rsidR="00DB2B68" w:rsidRDefault="00000000">
      <w:pPr>
        <w:ind w:left="567"/>
        <w:jc w:val="both"/>
      </w:pPr>
      <w:r>
        <w:rPr>
          <w:rStyle w:val="soitChar"/>
        </w:rPr>
        <w:t>Les colonnes reposent sur des fondations adéquates (non comprises dans le présent travail) par l’intermédiaire de pieds de colonnes métalliques. Les colonnes ne peuvent en aucun cas être en contact direct avec sol.</w:t>
      </w:r>
    </w:p>
    <w:p w14:paraId="35BD8B6D" w14:textId="77777777" w:rsidR="00DB2B68" w:rsidRDefault="00000000">
      <w:pPr>
        <w:pStyle w:val="Author-eListParagraph"/>
        <w:numPr>
          <w:ilvl w:val="0"/>
          <w:numId w:val="1041"/>
        </w:numPr>
      </w:pPr>
      <w:r>
        <w:rPr>
          <w:rStyle w:val="soitChar"/>
        </w:rPr>
        <w:t xml:space="preserve">Profil des colonnes/poutres : </w:t>
      </w:r>
      <w:r>
        <w:rPr>
          <w:rStyle w:val="optioncarChar"/>
        </w:rPr>
        <w:t xml:space="preserve">rectangulaire </w:t>
      </w:r>
      <w:r>
        <w:t>(par défaut)</w:t>
      </w:r>
      <w:r>
        <w:rPr>
          <w:rStyle w:val="optioncarChar"/>
        </w:rPr>
        <w:t xml:space="preserve"> / carré / rond.</w:t>
      </w:r>
    </w:p>
    <w:p w14:paraId="439AB76E" w14:textId="77777777" w:rsidR="00DB2B68" w:rsidRDefault="00000000">
      <w:pPr>
        <w:jc w:val="both"/>
      </w:pPr>
      <w:r>
        <w:rPr>
          <w:u w:val="single"/>
        </w:rPr>
        <w:t>Charpente</w:t>
      </w:r>
    </w:p>
    <w:p w14:paraId="217BC0D8" w14:textId="77777777" w:rsidR="00DB2B68" w:rsidRDefault="00000000">
      <w:pPr>
        <w:pStyle w:val="Author-eListParagraph"/>
        <w:numPr>
          <w:ilvl w:val="0"/>
          <w:numId w:val="1042"/>
        </w:numPr>
      </w:pPr>
      <w:r>
        <w:t xml:space="preserve">Profil des fermes : </w:t>
      </w:r>
      <w:r>
        <w:rPr>
          <w:rStyle w:val="optioncarChar"/>
        </w:rPr>
        <w:t xml:space="preserve">pas de fermes </w:t>
      </w:r>
      <w:r>
        <w:t>(par défaut)</w:t>
      </w:r>
      <w:r>
        <w:rPr>
          <w:rStyle w:val="optioncarChar"/>
        </w:rPr>
        <w:t xml:space="preserve"> / rectangulaire / carré / rond</w:t>
      </w:r>
    </w:p>
    <w:p w14:paraId="23A1D5B1" w14:textId="77777777" w:rsidR="00DB2B68" w:rsidRDefault="00000000">
      <w:pPr>
        <w:pStyle w:val="Author-eListParagraph"/>
        <w:numPr>
          <w:ilvl w:val="0"/>
          <w:numId w:val="1042"/>
        </w:numPr>
      </w:pPr>
      <w:r>
        <w:t xml:space="preserve">Profil des pannes : </w:t>
      </w:r>
      <w:r>
        <w:rPr>
          <w:rStyle w:val="optioncarChar"/>
        </w:rPr>
        <w:t>rectangulaire</w:t>
      </w:r>
      <w:r>
        <w:t xml:space="preserve"> (par défaut) </w:t>
      </w:r>
      <w:r>
        <w:rPr>
          <w:rStyle w:val="optioncarChar"/>
        </w:rPr>
        <w:t>/ carré / circulaire</w:t>
      </w:r>
    </w:p>
    <w:p w14:paraId="128FBC1F" w14:textId="77777777" w:rsidR="00DB2B68" w:rsidRDefault="00000000">
      <w:pPr>
        <w:pStyle w:val="Author-eListParagraph"/>
        <w:numPr>
          <w:ilvl w:val="0"/>
          <w:numId w:val="1042"/>
        </w:numPr>
      </w:pPr>
      <w:r>
        <w:t xml:space="preserve">Profil des chevrons : </w:t>
      </w:r>
      <w:r>
        <w:rPr>
          <w:rStyle w:val="optioncarChar"/>
        </w:rPr>
        <w:t xml:space="preserve">rectangulaire </w:t>
      </w:r>
      <w:r>
        <w:t xml:space="preserve">(par défaut) </w:t>
      </w:r>
      <w:r>
        <w:rPr>
          <w:rStyle w:val="optioncarChar"/>
        </w:rPr>
        <w:t>/ carré / circulaire</w:t>
      </w:r>
    </w:p>
    <w:p w14:paraId="2F30BC6B" w14:textId="77777777" w:rsidR="00DB2B68" w:rsidRDefault="00000000">
      <w:pPr>
        <w:pStyle w:val="Author-eListParagraph"/>
        <w:numPr>
          <w:ilvl w:val="0"/>
          <w:numId w:val="1042"/>
        </w:numPr>
      </w:pPr>
      <w:r>
        <w:t xml:space="preserve">Type d’assemblages des éléments de charpente (voir au </w:t>
      </w:r>
      <w:hyperlink w:anchor="585" w:history="1">
        <w:r>
          <w:rPr>
            <w:color w:val="0000EE"/>
          </w:rPr>
          <w:t>24.4 Assemblages</w:t>
        </w:r>
      </w:hyperlink>
      <w:r>
        <w:t xml:space="preserve">) : </w:t>
      </w:r>
      <w:r>
        <w:rPr>
          <w:rStyle w:val="optioncarChar"/>
        </w:rPr>
        <w:t>mécaniques</w:t>
      </w:r>
      <w:r>
        <w:t xml:space="preserve"> (par défaut)</w:t>
      </w:r>
      <w:r>
        <w:rPr>
          <w:rStyle w:val="optioncarChar"/>
        </w:rPr>
        <w:t xml:space="preserve"> / traditionnels</w:t>
      </w:r>
    </w:p>
    <w:p w14:paraId="7BB90F76" w14:textId="77777777" w:rsidR="00DB2B68" w:rsidRDefault="00000000">
      <w:pPr>
        <w:jc w:val="both"/>
      </w:pPr>
      <w:r>
        <w:rPr>
          <w:u w:val="single"/>
        </w:rPr>
        <w:t>Contreventements</w:t>
      </w:r>
    </w:p>
    <w:p w14:paraId="059323B9" w14:textId="77777777" w:rsidR="00DB2B68" w:rsidRDefault="00000000">
      <w:pPr>
        <w:jc w:val="both"/>
      </w:pPr>
      <w:r>
        <w:t xml:space="preserve">Les contreventements sont en </w:t>
      </w:r>
      <w:r>
        <w:rPr>
          <w:rStyle w:val="optioncarChar"/>
        </w:rPr>
        <w:t xml:space="preserve">bois </w:t>
      </w:r>
      <w:r>
        <w:t>(par défaut)</w:t>
      </w:r>
      <w:r>
        <w:rPr>
          <w:rStyle w:val="optioncarChar"/>
        </w:rPr>
        <w:t> / acier</w:t>
      </w:r>
    </w:p>
    <w:p w14:paraId="78CE1B70" w14:textId="77777777" w:rsidR="00DB2B68" w:rsidRDefault="00000000">
      <w:pPr>
        <w:jc w:val="both"/>
      </w:pPr>
      <w:r>
        <w:rPr>
          <w:b/>
        </w:rPr>
        <w:t>(soit par défaut)</w:t>
      </w:r>
    </w:p>
    <w:p w14:paraId="15FF907A" w14:textId="77777777" w:rsidR="00DB2B68" w:rsidRDefault="00000000">
      <w:pPr>
        <w:jc w:val="both"/>
      </w:pPr>
      <w:r>
        <w:rPr>
          <w:rStyle w:val="soitChar"/>
          <w:u w:val="single"/>
        </w:rPr>
        <w:t>En bois</w:t>
      </w:r>
    </w:p>
    <w:p w14:paraId="0856444F" w14:textId="77777777" w:rsidR="00DB2B68" w:rsidRDefault="00000000">
      <w:pPr>
        <w:pStyle w:val="Author-eListParagraph"/>
        <w:numPr>
          <w:ilvl w:val="0"/>
          <w:numId w:val="1043"/>
        </w:numPr>
      </w:pPr>
      <w:r>
        <w:rPr>
          <w:rStyle w:val="soitChar"/>
        </w:rPr>
        <w:t xml:space="preserve">Profil : </w:t>
      </w:r>
      <w:r>
        <w:rPr>
          <w:rStyle w:val="optioncarChar"/>
        </w:rPr>
        <w:t xml:space="preserve">rectangulaire </w:t>
      </w:r>
      <w:r>
        <w:t xml:space="preserve">(par défaut) </w:t>
      </w:r>
      <w:r>
        <w:rPr>
          <w:rStyle w:val="optioncarChar"/>
        </w:rPr>
        <w:t>/ carré / circulaire</w:t>
      </w:r>
    </w:p>
    <w:p w14:paraId="70872FB6" w14:textId="77777777" w:rsidR="00DB2B68" w:rsidRDefault="00000000">
      <w:pPr>
        <w:pStyle w:val="Author-eListParagraph"/>
        <w:numPr>
          <w:ilvl w:val="0"/>
          <w:numId w:val="1043"/>
        </w:numPr>
      </w:pPr>
      <w:r>
        <w:rPr>
          <w:rStyle w:val="soitChar"/>
        </w:rPr>
        <w:t xml:space="preserve">Assemblages à la structure : </w:t>
      </w:r>
      <w:r>
        <w:rPr>
          <w:rStyle w:val="optioncarChar"/>
        </w:rPr>
        <w:t xml:space="preserve">boulonnés </w:t>
      </w:r>
      <w:r>
        <w:t>(par défaut)</w:t>
      </w:r>
      <w:r>
        <w:rPr>
          <w:rStyle w:val="optioncarChar"/>
        </w:rPr>
        <w:t xml:space="preserve"> / cloués / vissés</w:t>
      </w:r>
    </w:p>
    <w:p w14:paraId="0D3E4EFC" w14:textId="77777777" w:rsidR="00DB2B68" w:rsidRDefault="00000000">
      <w:pPr>
        <w:jc w:val="both"/>
      </w:pPr>
      <w:r>
        <w:rPr>
          <w:b/>
        </w:rPr>
        <w:t>(soit)</w:t>
      </w:r>
    </w:p>
    <w:p w14:paraId="2A68C262" w14:textId="77777777" w:rsidR="00DB2B68" w:rsidRDefault="00000000">
      <w:pPr>
        <w:jc w:val="both"/>
      </w:pPr>
      <w:r>
        <w:rPr>
          <w:rStyle w:val="soitChar"/>
          <w:u w:val="single"/>
        </w:rPr>
        <w:t>En acier</w:t>
      </w:r>
    </w:p>
    <w:p w14:paraId="0FF60338" w14:textId="77777777" w:rsidR="00DB2B68" w:rsidRDefault="00000000">
      <w:pPr>
        <w:pStyle w:val="Author-eListParagraph"/>
        <w:numPr>
          <w:ilvl w:val="0"/>
          <w:numId w:val="1044"/>
        </w:numPr>
      </w:pPr>
      <w:r>
        <w:rPr>
          <w:rStyle w:val="soitChar"/>
        </w:rPr>
        <w:t xml:space="preserve">Profil : </w:t>
      </w:r>
      <w:r>
        <w:rPr>
          <w:rStyle w:val="optioncarChar"/>
        </w:rPr>
        <w:t>câbles</w:t>
      </w:r>
      <w:r>
        <w:t xml:space="preserve"> (par défaut)</w:t>
      </w:r>
      <w:r>
        <w:rPr>
          <w:rStyle w:val="optioncarChar"/>
        </w:rPr>
        <w:t xml:space="preserve"> / tiges rondes / cornières L à ailes égales / ***</w:t>
      </w:r>
    </w:p>
    <w:p w14:paraId="6BE6381C" w14:textId="77777777" w:rsidR="00DB2B68" w:rsidRDefault="00000000">
      <w:pPr>
        <w:pStyle w:val="Author-eListParagraph"/>
        <w:numPr>
          <w:ilvl w:val="0"/>
          <w:numId w:val="1044"/>
        </w:numPr>
      </w:pPr>
      <w:r>
        <w:rPr>
          <w:rStyle w:val="soitChar"/>
        </w:rPr>
        <w:t xml:space="preserve">Assemblages à la structure : </w:t>
      </w:r>
      <w:r>
        <w:rPr>
          <w:rStyle w:val="optioncarChar"/>
        </w:rPr>
        <w:t>boulonnés à la structure</w:t>
      </w:r>
      <w:r>
        <w:t xml:space="preserve"> (par défaut)</w:t>
      </w:r>
      <w:r>
        <w:rPr>
          <w:rStyle w:val="optioncarChar"/>
        </w:rPr>
        <w:t xml:space="preserve"> / boulonnés sur des goussets / pattes fixées à la structure</w:t>
      </w:r>
    </w:p>
    <w:p w14:paraId="7A036FEC" w14:textId="77777777" w:rsidR="00DB2B68" w:rsidRDefault="00000000">
      <w:pPr>
        <w:jc w:val="both"/>
      </w:pPr>
      <w:r>
        <w:rPr>
          <w:u w:val="single"/>
        </w:rPr>
        <w:t>Sous-face avant la couverture</w:t>
      </w:r>
    </w:p>
    <w:p w14:paraId="70E9A459" w14:textId="77777777" w:rsidR="00DB2B68" w:rsidRDefault="00000000">
      <w:pPr>
        <w:jc w:val="both"/>
      </w:pPr>
      <w:r>
        <w:lastRenderedPageBreak/>
        <w:t xml:space="preserve">Type de finition de la sous-face : </w:t>
      </w:r>
      <w:r>
        <w:rPr>
          <w:rStyle w:val="optioncarChar"/>
        </w:rPr>
        <w:t xml:space="preserve">pas de finition / sous-toiture (voir au 32.1 Etanchéisation aux matières liquides (complexe type "toiture à versants")) / voligeage-planches (suivant le 31.32.2a Voligeage - Planches) </w:t>
      </w:r>
      <w:r>
        <w:t xml:space="preserve">(par défaut) </w:t>
      </w:r>
      <w:r>
        <w:rPr>
          <w:rStyle w:val="optioncarChar"/>
        </w:rPr>
        <w:t>/ panneautage (suivant le 31.32.3 Panneautage)</w:t>
      </w:r>
      <w:r>
        <w:t> </w:t>
      </w:r>
    </w:p>
    <w:p w14:paraId="4E52CEA9" w14:textId="77777777" w:rsidR="00DB2B68" w:rsidRDefault="00000000">
      <w:pPr>
        <w:pStyle w:val="pheading"/>
      </w:pPr>
      <w:r>
        <w:t>MESURAGE</w:t>
      </w:r>
    </w:p>
    <w:p w14:paraId="59CF0BA0" w14:textId="77777777" w:rsidR="00DB2B68" w:rsidRDefault="00000000">
      <w:pPr>
        <w:pStyle w:val="pheading"/>
      </w:pPr>
      <w:r>
        <w:t>- unité de mesure:</w:t>
      </w:r>
    </w:p>
    <w:p w14:paraId="76FDD7FB" w14:textId="77777777" w:rsidR="00DB2B68" w:rsidRDefault="00000000">
      <w:r>
        <w:t>pc</w:t>
      </w:r>
    </w:p>
    <w:p w14:paraId="0353B6BE" w14:textId="77777777" w:rsidR="00DB2B68" w:rsidRDefault="00000000">
      <w:pPr>
        <w:pStyle w:val="pheading"/>
      </w:pPr>
      <w:r>
        <w:t>- code de mesurage:</w:t>
      </w:r>
    </w:p>
    <w:p w14:paraId="3D96428F" w14:textId="77777777" w:rsidR="00DB2B68" w:rsidRDefault="00000000">
      <w:pPr>
        <w:jc w:val="both"/>
      </w:pPr>
      <w:r>
        <w:t>Quantité nette à mettre en œuvre, tout compris, ventilée selon la nature des éléments constitutifs et des dimensions.</w:t>
      </w:r>
    </w:p>
    <w:p w14:paraId="48842FE2" w14:textId="77777777" w:rsidR="00DB2B68" w:rsidRDefault="00000000">
      <w:pPr>
        <w:pStyle w:val="pheading"/>
      </w:pPr>
      <w:r>
        <w:t>- nature du marché:</w:t>
      </w:r>
    </w:p>
    <w:p w14:paraId="122DC9F8" w14:textId="77777777" w:rsidR="00DB2B68" w:rsidRDefault="00000000">
      <w:r>
        <w:t>QF</w:t>
      </w:r>
    </w:p>
    <w:p w14:paraId="01A9F2E8" w14:textId="77777777" w:rsidR="00DB2B68" w:rsidRDefault="00000000">
      <w:pPr>
        <w:pStyle w:val="Author-eSectionHeading3Numberless"/>
      </w:pPr>
      <w:bookmarkStart w:id="1715" w:name="_Toc220496694"/>
      <w:r>
        <w:t>24.4 Assemblages CCTB 01.11</w:t>
      </w:r>
      <w:bookmarkEnd w:id="1715"/>
    </w:p>
    <w:p w14:paraId="6FD87084" w14:textId="77777777" w:rsidR="00DB2B68" w:rsidRDefault="00000000">
      <w:pPr>
        <w:pStyle w:val="pheading"/>
      </w:pPr>
      <w:bookmarkStart w:id="1716" w:name="585"/>
      <w:bookmarkEnd w:id="1716"/>
      <w:r>
        <w:t>DESCRIPTION</w:t>
      </w:r>
    </w:p>
    <w:p w14:paraId="5D6167AC" w14:textId="77777777" w:rsidR="00DB2B68" w:rsidRDefault="00000000">
      <w:pPr>
        <w:pStyle w:val="pheading"/>
      </w:pPr>
      <w:r>
        <w:t>- Définition / Comprend</w:t>
      </w:r>
    </w:p>
    <w:p w14:paraId="7CD31044" w14:textId="77777777" w:rsidR="00DB2B68" w:rsidRDefault="00000000">
      <w:pPr>
        <w:jc w:val="both"/>
      </w:pPr>
      <w:r>
        <w:t>Il s’agit de tout mode de jonction utilisé pour transmettre un effort d’un élément en bois à un autre élément.</w:t>
      </w:r>
    </w:p>
    <w:p w14:paraId="4823F84A" w14:textId="77777777" w:rsidR="00DB2B68" w:rsidRDefault="00000000">
      <w:pPr>
        <w:jc w:val="both"/>
      </w:pPr>
      <w:r>
        <w:t>Un assemblage est dit « structural » lorsqu’il joue un rôle dans la stabilité de la structure dans son ensemble ou dans une partie de celle-ci. Plus précisément on parle d’un assemblage structural lorsque :</w:t>
      </w:r>
    </w:p>
    <w:p w14:paraId="26F904D4" w14:textId="77777777" w:rsidR="00DB2B68" w:rsidRDefault="00000000">
      <w:pPr>
        <w:pStyle w:val="Author-eListParagraph"/>
        <w:numPr>
          <w:ilvl w:val="0"/>
          <w:numId w:val="1045"/>
        </w:numPr>
      </w:pPr>
      <w:r>
        <w:t>La conception a un impact considérable sur les éléments structuraux ;</w:t>
      </w:r>
    </w:p>
    <w:p w14:paraId="3A3AF99B" w14:textId="77777777" w:rsidR="00DB2B68" w:rsidRDefault="00000000">
      <w:pPr>
        <w:pStyle w:val="Author-eListParagraph"/>
        <w:numPr>
          <w:ilvl w:val="0"/>
          <w:numId w:val="1045"/>
        </w:numPr>
      </w:pPr>
      <w:r>
        <w:t>Et/ou la conception a un enjeu architectural jugé important pour le projet ;</w:t>
      </w:r>
    </w:p>
    <w:p w14:paraId="038678D1" w14:textId="77777777" w:rsidR="00DB2B68" w:rsidRDefault="00000000">
      <w:pPr>
        <w:pStyle w:val="Author-eListParagraph"/>
        <w:numPr>
          <w:ilvl w:val="0"/>
          <w:numId w:val="1045"/>
        </w:numPr>
      </w:pPr>
      <w:r>
        <w:t>Et/ou la technique d’assemblage utilisée est trop technique que pour avoir recours à des sabots, étrier, vis disponibles sur le marché ;</w:t>
      </w:r>
    </w:p>
    <w:p w14:paraId="58D5A4AB" w14:textId="77777777" w:rsidR="00DB2B68" w:rsidRDefault="00000000">
      <w:pPr>
        <w:pStyle w:val="Author-eListParagraph"/>
        <w:numPr>
          <w:ilvl w:val="0"/>
          <w:numId w:val="1045"/>
        </w:numPr>
      </w:pPr>
      <w:r>
        <w:t>Et/ou la technique d’assemblage comporte un coût qui peut difficilement être intégré dans celui du bois, comme il est d’usage de le faire pour les assemblages courants.</w:t>
      </w:r>
      <w:r>
        <w:br/>
      </w:r>
    </w:p>
    <w:p w14:paraId="171B1D8C" w14:textId="77777777" w:rsidR="00DB2B68" w:rsidRDefault="00000000">
      <w:pPr>
        <w:jc w:val="both"/>
      </w:pPr>
      <w:r>
        <w:t>Sauf indication contraire au cahier spécial des charges, la fourniture et la pose des assemblages sont comprises dans l’article ou le poste des éléments qu’il assemble. Les exigences reprises dans ce titre et ses éléments enfants sont néanmoins respectées.</w:t>
      </w:r>
    </w:p>
    <w:p w14:paraId="06494D25" w14:textId="77777777" w:rsidR="00DB2B68" w:rsidRDefault="00000000">
      <w:pPr>
        <w:pStyle w:val="pheading"/>
      </w:pPr>
      <w:r>
        <w:t>EXÉCUTION / MISE EN ŒUVRE</w:t>
      </w:r>
    </w:p>
    <w:p w14:paraId="45212A48" w14:textId="77777777" w:rsidR="00DB2B68" w:rsidRDefault="00000000">
      <w:pPr>
        <w:jc w:val="both"/>
      </w:pPr>
      <w:r>
        <w:t>La structure est assemblée de telle sorte que les sur-contraintes dans les éléments ou les assemblages soient évitées.</w:t>
      </w:r>
    </w:p>
    <w:p w14:paraId="245FDB95" w14:textId="77777777" w:rsidR="00DB2B68" w:rsidRDefault="00000000">
      <w:pPr>
        <w:jc w:val="both"/>
      </w:pPr>
      <w:r>
        <w:t>Les éléments en bois qui sont gauchis, fendus ou mal positionnés au niveau des assemblages sont remplacés.</w:t>
      </w:r>
    </w:p>
    <w:p w14:paraId="0C77AB4A" w14:textId="77777777" w:rsidR="00DB2B68" w:rsidRDefault="00000000">
      <w:pPr>
        <w:jc w:val="both"/>
      </w:pPr>
      <w:r>
        <w:t>Si un risque de fendage est présent, un dispositif est prévu afin de couturer l’éventuel départ de fissure (vis, tiges filetées enrobées d’époxy, plat, etc.).</w:t>
      </w:r>
    </w:p>
    <w:p w14:paraId="65F2E649" w14:textId="77777777" w:rsidR="00DB2B68" w:rsidRDefault="00000000">
      <w:pPr>
        <w:jc w:val="both"/>
      </w:pPr>
      <w:r>
        <w:t>Si un assemblage présente un risque de variations de la teneur en humidité des éléments en bois de plus de 2%, des mesures sont prises pour éviter les sur-contraintes dans les éléments ou d’affaiblir la performance globale de l’assemblage (trous oblongs, entaille de retrait, etc.).</w:t>
      </w:r>
    </w:p>
    <w:p w14:paraId="32796566" w14:textId="77777777" w:rsidR="00DB2B68" w:rsidRDefault="00000000">
      <w:pPr>
        <w:jc w:val="both"/>
      </w:pPr>
      <w:r>
        <w:t>En classe d’emploi 2 ou plus, les assemblages sont conçus de façon à permettre la ventilation du bois et à proscrire toute stagnation d’eau. </w:t>
      </w:r>
    </w:p>
    <w:p w14:paraId="7633BC97" w14:textId="77777777" w:rsidR="00DB2B68" w:rsidRDefault="00000000">
      <w:pPr>
        <w:jc w:val="both"/>
      </w:pPr>
      <w:r>
        <w:t>De façon générale, les flaches, fentes, nœuds et autres défauts doivent être évités dans la zone de l’assemblage de telle sorte que la capacité résistante de l’assemblage ne soit pas réduite.</w:t>
      </w:r>
    </w:p>
    <w:p w14:paraId="39D6D216" w14:textId="77777777" w:rsidR="00DB2B68" w:rsidRDefault="00000000">
      <w:pPr>
        <w:jc w:val="both"/>
      </w:pPr>
      <w:r>
        <w:rPr>
          <w:b/>
          <w:u w:val="single"/>
        </w:rPr>
        <w:t>Etude</w:t>
      </w:r>
    </w:p>
    <w:p w14:paraId="014658C2" w14:textId="77777777" w:rsidR="00DB2B68" w:rsidRDefault="00000000">
      <w:pPr>
        <w:jc w:val="both"/>
      </w:pPr>
      <w:r>
        <w:lastRenderedPageBreak/>
        <w:t>Le bureau d’études fournit à l’entreprise toutes les informations permettant le calcul et la conception des assemblages, notamment les charges, les efforts et les intentions architecturales.</w:t>
      </w:r>
    </w:p>
    <w:p w14:paraId="02C7B7E3" w14:textId="77777777" w:rsidR="00DB2B68" w:rsidRDefault="00000000">
      <w:pPr>
        <w:jc w:val="both"/>
      </w:pPr>
      <w:r>
        <w:t>Le bureau d’études fournit des plans de principes pour les assemblages jugés comme structuraux (cf. point DESCRIPTION/Définition).</w:t>
      </w:r>
    </w:p>
    <w:p w14:paraId="42E635CA" w14:textId="77777777" w:rsidR="00DB2B68" w:rsidRDefault="00000000">
      <w:pPr>
        <w:jc w:val="both"/>
      </w:pPr>
      <w:r>
        <w:t>Les autres assemblages (assemblages technologiques ou d’importance structurelle moindre) sont laissés à l’entreprise pour étude, toutes les informations nécessaires (efforts internes, classes d’emplois, etc.) au calcul et à la conception sont fournis à l’Ets.</w:t>
      </w:r>
    </w:p>
    <w:p w14:paraId="14AA5FCF" w14:textId="77777777" w:rsidR="00DB2B68" w:rsidRDefault="00000000">
      <w:pPr>
        <w:jc w:val="both"/>
      </w:pPr>
      <w:r>
        <w:t> </w:t>
      </w:r>
    </w:p>
    <w:p w14:paraId="672A561F" w14:textId="77777777" w:rsidR="00DB2B68" w:rsidRDefault="00000000">
      <w:pPr>
        <w:jc w:val="both"/>
      </w:pPr>
      <w:r>
        <w:t>Lorsque le choix de la méthode d’assemblage ou de la géométrie de l’assemblage est laissé à l’entrepreneur, celui-ci fournit au maître d’ouvrage une note de calcul qui justifie la méthode choisie sur base des principes décrits dans l’Eurocode 5 ([NBN EN 1995-1-1]). Dans le cas où l’assemblage ne peut être dimensionné sur base de l’Eurocode 5, les principes et références utilisés sont décrits dans la note de calcul pour validation par le maître d’ouvrage.</w:t>
      </w:r>
    </w:p>
    <w:p w14:paraId="5E36DFDE" w14:textId="77777777" w:rsidR="00DB2B68" w:rsidRDefault="00000000">
      <w:pPr>
        <w:jc w:val="both"/>
      </w:pPr>
      <w:r>
        <w:t>La résistance au feu des assemblages est calculée suivant la norme [NBN EN 1995-1-2].</w:t>
      </w:r>
    </w:p>
    <w:p w14:paraId="7A37241B" w14:textId="77777777" w:rsidR="00DB2B68" w:rsidRDefault="00000000">
      <w:pPr>
        <w:pStyle w:val="Author-eSectionHeading4Numberless"/>
      </w:pPr>
      <w:bookmarkStart w:id="1717" w:name="_Toc220496695"/>
      <w:r>
        <w:t>24.41 Assemblages traditionnels (Bois/Bois) CCTB 01.07</w:t>
      </w:r>
      <w:bookmarkEnd w:id="1717"/>
    </w:p>
    <w:p w14:paraId="3071258F" w14:textId="77777777" w:rsidR="00DB2B68" w:rsidRDefault="00000000">
      <w:pPr>
        <w:pStyle w:val="pheading"/>
      </w:pPr>
      <w:r>
        <w:t>DESCRIPTION</w:t>
      </w:r>
    </w:p>
    <w:p w14:paraId="7FBA9B43" w14:textId="77777777" w:rsidR="00DB2B68" w:rsidRDefault="00000000">
      <w:pPr>
        <w:pStyle w:val="pheading"/>
      </w:pPr>
      <w:r>
        <w:t>- Définition / Comprend</w:t>
      </w:r>
    </w:p>
    <w:p w14:paraId="34E36203" w14:textId="77777777" w:rsidR="00DB2B68" w:rsidRDefault="00000000">
      <w:pPr>
        <w:jc w:val="both"/>
      </w:pPr>
      <w:r>
        <w:t>Il s’agit de tout assemblage entre des pièces de bois ne faisant pas intervenir d’élément en acier. Les efforts passant d’un élément bois à un autre par contact.</w:t>
      </w:r>
    </w:p>
    <w:p w14:paraId="1233CC8F" w14:textId="77777777" w:rsidR="00DB2B68" w:rsidRDefault="00000000">
      <w:pPr>
        <w:pStyle w:val="pheading"/>
      </w:pPr>
      <w:r>
        <w:t>AIDE</w:t>
      </w:r>
    </w:p>
    <w:p w14:paraId="683B37A7" w14:textId="77777777" w:rsidR="00DB2B68" w:rsidRDefault="00000000">
      <w:pPr>
        <w:jc w:val="both"/>
      </w:pPr>
      <w:r>
        <w:t>Les assemblages traditionnels permette un transfert d’effort limité. Ils sont dans la majorité des cas consommateurs de matière. On les retrouve notamment dans toutes les anciennes charpentes et ce dans beaucoup de cultures différentes.</w:t>
      </w:r>
    </w:p>
    <w:p w14:paraId="42D2FA3A" w14:textId="77777777" w:rsidR="00DB2B68" w:rsidRDefault="00000000">
      <w:pPr>
        <w:pStyle w:val="Author-eSectionHeading5Numberless"/>
      </w:pPr>
      <w:bookmarkStart w:id="1718" w:name="_Toc220496696"/>
      <w:r>
        <w:t>24.41.1 Assemblages traditionnels (bois/bois) CCTB 01.11</w:t>
      </w:r>
      <w:bookmarkEnd w:id="1718"/>
    </w:p>
    <w:p w14:paraId="32D666E0" w14:textId="77777777" w:rsidR="00DB2B68" w:rsidRDefault="00000000">
      <w:pPr>
        <w:pStyle w:val="pheading"/>
      </w:pPr>
      <w:r>
        <w:t>EXÉCUTION / MISE EN ŒUVRE</w:t>
      </w:r>
    </w:p>
    <w:p w14:paraId="6635771D" w14:textId="77777777" w:rsidR="00DB2B68" w:rsidRDefault="00000000">
      <w:pPr>
        <w:jc w:val="both"/>
      </w:pPr>
      <w:r>
        <w:t>Les deux éléments assemblés sont mis en œuvre à la teneur en humidité d’équilibre qu’ils ont en service.</w:t>
      </w:r>
    </w:p>
    <w:p w14:paraId="2C278846" w14:textId="77777777" w:rsidR="00DB2B68" w:rsidRDefault="00000000">
      <w:pPr>
        <w:pStyle w:val="Author-eSectionHeading6Numberless"/>
      </w:pPr>
      <w:bookmarkStart w:id="1719" w:name="_Toc220496697"/>
      <w:r>
        <w:t>24.41.1a Assemblages traditionnels (bois/bois) - embrèvements CCTB 01.07</w:t>
      </w:r>
      <w:bookmarkEnd w:id="1719"/>
    </w:p>
    <w:p w14:paraId="03A3BF1F" w14:textId="77777777" w:rsidR="00DB2B68" w:rsidRDefault="00000000">
      <w:pPr>
        <w:pStyle w:val="pheading"/>
      </w:pPr>
      <w:bookmarkStart w:id="1720" w:name="609"/>
      <w:bookmarkEnd w:id="1720"/>
      <w:r>
        <w:t>DESCRIPTION</w:t>
      </w:r>
    </w:p>
    <w:p w14:paraId="3BE7CBFF" w14:textId="77777777" w:rsidR="00DB2B68" w:rsidRDefault="00000000">
      <w:pPr>
        <w:pStyle w:val="pheading"/>
      </w:pPr>
      <w:r>
        <w:t>- Définition / Comprend</w:t>
      </w:r>
    </w:p>
    <w:p w14:paraId="4689D745" w14:textId="77777777" w:rsidR="00DB2B68" w:rsidRDefault="00000000">
      <w:r>
        <w:t>Il s’agit d’un assemblage par contact entre deux pièces formant un angle aigu entre elles.</w:t>
      </w:r>
    </w:p>
    <w:p w14:paraId="31143F8B" w14:textId="77777777" w:rsidR="00DB2B68" w:rsidRDefault="00000000">
      <w:pPr>
        <w:pStyle w:val="pheading"/>
      </w:pPr>
      <w:r>
        <w:t>EXÉCUTION / MISE EN ŒUVRE</w:t>
      </w:r>
    </w:p>
    <w:p w14:paraId="70D68A4A" w14:textId="77777777" w:rsidR="00DB2B68" w:rsidRDefault="00000000">
      <w:pPr>
        <w:pStyle w:val="pheading"/>
      </w:pPr>
      <w:r>
        <w:t>- Prescriptions générales</w:t>
      </w:r>
    </w:p>
    <w:p w14:paraId="71842E11" w14:textId="77777777" w:rsidR="00DB2B68" w:rsidRDefault="00000000">
      <w:r>
        <w:t>Trois types d’embrèvements sont possibles :</w:t>
      </w:r>
    </w:p>
    <w:p w14:paraId="76E845AC" w14:textId="77777777" w:rsidR="00DB2B68" w:rsidRDefault="00000000">
      <w:r>
        <w:rPr>
          <w:noProof/>
        </w:rPr>
        <w:drawing>
          <wp:inline distT="0" distB="0" distL="0" distR="0" wp14:anchorId="761DED3A" wp14:editId="7522C51A">
            <wp:extent cx="5715000" cy="1552575"/>
            <wp:effectExtent l="0" t="0" r="0" b="0"/>
            <wp:docPr id="12" name="24.41.1a.png" descr="24.4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72" descr=" "/>
                    <pic:cNvPicPr>
                      <a:picLocks noChangeAspect="1" noChangeArrowheads="1"/>
                    </pic:cNvPicPr>
                  </pic:nvPicPr>
                  <pic:blipFill>
                    <a:blip r:embed="rId25"/>
                    <a:srcRect/>
                    <a:stretch>
                      <a:fillRect/>
                    </a:stretch>
                  </pic:blipFill>
                  <pic:spPr bwMode="auto">
                    <a:xfrm>
                      <a:off x="0" y="0"/>
                      <a:ext cx="5715000" cy="1552575"/>
                    </a:xfrm>
                    <a:prstGeom prst="rect">
                      <a:avLst/>
                    </a:prstGeom>
                  </pic:spPr>
                </pic:pic>
              </a:graphicData>
            </a:graphic>
          </wp:inline>
        </w:drawing>
      </w:r>
    </w:p>
    <w:p w14:paraId="47C5CF4B" w14:textId="77777777" w:rsidR="00DB2B68" w:rsidRDefault="00000000">
      <w:r>
        <w:lastRenderedPageBreak/>
        <w:t>Un assemblage par embrèvement demande une grande précision d’usinage pour garantir le bon transfert des efforts et éviter tout fendage de la pièce amenant l’effort.</w:t>
      </w:r>
    </w:p>
    <w:p w14:paraId="0AAE5B2C" w14:textId="77777777" w:rsidR="00DB2B68" w:rsidRDefault="00000000">
      <w:r>
        <w:rPr>
          <w:b/>
          <w:u w:val="single"/>
        </w:rPr>
        <w:t>Embrèvement simple :</w:t>
      </w:r>
    </w:p>
    <w:p w14:paraId="5DEC622D" w14:textId="77777777" w:rsidR="00DB2B68" w:rsidRDefault="00000000">
      <w:r>
        <w:t>Angle d’entaille : β = 90° - α /2  avec une tolérance de +/- 5°.</w:t>
      </w:r>
    </w:p>
    <w:p w14:paraId="507F4538" w14:textId="77777777" w:rsidR="00DB2B68" w:rsidRDefault="00000000">
      <w:r>
        <w:rPr>
          <w:b/>
          <w:u w:val="single"/>
        </w:rPr>
        <w:t>Embrèvement arrière :</w:t>
      </w:r>
    </w:p>
    <w:p w14:paraId="3D8F4C43" w14:textId="77777777" w:rsidR="00DB2B68" w:rsidRDefault="00000000">
      <w:r>
        <w:t>Angle β = 90° - α avec une tolérance de +/- 5°.</w:t>
      </w:r>
      <w:r>
        <w:br/>
        <w:t>Un jeu de 1 à 2 mm est prévu au niveau de l’arrête supérieure de la poutre horizontale.</w:t>
      </w:r>
    </w:p>
    <w:p w14:paraId="3D6D74CA" w14:textId="77777777" w:rsidR="00DB2B68" w:rsidRDefault="00000000">
      <w:r>
        <w:rPr>
          <w:b/>
          <w:u w:val="single"/>
        </w:rPr>
        <w:t>Embrèvement double :</w:t>
      </w:r>
    </w:p>
    <w:p w14:paraId="2B264A0B" w14:textId="77777777" w:rsidR="00DB2B68" w:rsidRDefault="00000000">
      <w:r>
        <w:t>L’embrèvement double est une combinaison entre l’embrèvement simple et l’embrèvement arrière. Leurs exigences sont donc d’application.</w:t>
      </w:r>
    </w:p>
    <w:p w14:paraId="76F3479B" w14:textId="77777777" w:rsidR="00DB2B68" w:rsidRDefault="00000000">
      <w:r>
        <w:t> </w:t>
      </w:r>
    </w:p>
    <w:p w14:paraId="6E0F0DAD" w14:textId="77777777" w:rsidR="00DB2B68" w:rsidRDefault="00000000">
      <w:r>
        <w:t xml:space="preserve">Type d’embrèvement : </w:t>
      </w:r>
      <w:r>
        <w:rPr>
          <w:rStyle w:val="optioncarChar"/>
        </w:rPr>
        <w:t>simple / arrière / double</w:t>
      </w:r>
    </w:p>
    <w:p w14:paraId="528C962A" w14:textId="77777777" w:rsidR="00DB2B68" w:rsidRDefault="00000000">
      <w:r>
        <w:t xml:space="preserve">Profondeur d’entaille : </w:t>
      </w:r>
      <w:r>
        <w:rPr>
          <w:rStyle w:val="optioncarChar"/>
        </w:rPr>
        <w:t xml:space="preserve">voir plan </w:t>
      </w:r>
      <w:r>
        <w:t>(par défaut)</w:t>
      </w:r>
      <w:r>
        <w:rPr>
          <w:rStyle w:val="optioncarChar"/>
        </w:rPr>
        <w:t xml:space="preserve"> / ***</w:t>
      </w:r>
    </w:p>
    <w:p w14:paraId="7669ADE2" w14:textId="77777777" w:rsidR="00DB2B68" w:rsidRDefault="00000000">
      <w:pPr>
        <w:pStyle w:val="pheading"/>
      </w:pPr>
      <w:r>
        <w:t>MESURAGE</w:t>
      </w:r>
    </w:p>
    <w:p w14:paraId="4F40B521" w14:textId="77777777" w:rsidR="00DB2B68" w:rsidRDefault="00000000">
      <w:pPr>
        <w:pStyle w:val="pheading"/>
      </w:pPr>
      <w:r>
        <w:t>- unité de mesure:</w:t>
      </w:r>
    </w:p>
    <w:p w14:paraId="0071A0EA" w14:textId="77777777" w:rsidR="00DB2B68" w:rsidRDefault="00000000">
      <w:r>
        <w:rPr>
          <w:rStyle w:val="optioncarChar"/>
        </w:rPr>
        <w:t xml:space="preserve">- </w:t>
      </w:r>
      <w:r>
        <w:t>(par défaut)</w:t>
      </w:r>
      <w:r>
        <w:rPr>
          <w:rStyle w:val="optioncarChar"/>
        </w:rPr>
        <w:t xml:space="preserve"> / pc</w:t>
      </w:r>
    </w:p>
    <w:p w14:paraId="2236D008" w14:textId="77777777" w:rsidR="00DB2B68" w:rsidRDefault="00000000">
      <w:r>
        <w:rPr>
          <w:b/>
          <w:i/>
        </w:rPr>
        <w:t>(Soit par défaut)</w:t>
      </w:r>
    </w:p>
    <w:p w14:paraId="2BD77E07" w14:textId="77777777" w:rsidR="00DB2B68" w:rsidRDefault="00000000">
      <w:r>
        <w:rPr>
          <w:rStyle w:val="soitChar"/>
        </w:rPr>
        <w:t>1.     –</w:t>
      </w:r>
    </w:p>
    <w:p w14:paraId="050A9D96" w14:textId="77777777" w:rsidR="00DB2B68" w:rsidRDefault="00000000">
      <w:r>
        <w:rPr>
          <w:b/>
          <w:i/>
        </w:rPr>
        <w:t>(Soit)</w:t>
      </w:r>
    </w:p>
    <w:p w14:paraId="034C46D2" w14:textId="77777777" w:rsidR="00DB2B68" w:rsidRDefault="00000000">
      <w:r>
        <w:rPr>
          <w:rStyle w:val="soitChar"/>
        </w:rPr>
        <w:t>2.3.  pc</w:t>
      </w:r>
    </w:p>
    <w:p w14:paraId="20458E6A" w14:textId="77777777" w:rsidR="00DB2B68" w:rsidRDefault="00000000">
      <w:pPr>
        <w:pStyle w:val="pheading"/>
      </w:pPr>
      <w:r>
        <w:t>- code de mesurage:</w:t>
      </w:r>
    </w:p>
    <w:p w14:paraId="27754979" w14:textId="77777777" w:rsidR="00DB2B68" w:rsidRDefault="00000000">
      <w:r>
        <w:rPr>
          <w:rStyle w:val="optioncarChar"/>
        </w:rPr>
        <w:t xml:space="preserve">Compris </w:t>
      </w:r>
      <w:r>
        <w:t>(par défaut)</w:t>
      </w:r>
      <w:r>
        <w:rPr>
          <w:rStyle w:val="optioncarChar"/>
        </w:rPr>
        <w:t xml:space="preserve"> / Quantité nette</w:t>
      </w:r>
    </w:p>
    <w:p w14:paraId="59906855" w14:textId="77777777" w:rsidR="00DB2B68" w:rsidRDefault="00000000">
      <w:r>
        <w:rPr>
          <w:b/>
          <w:i/>
        </w:rPr>
        <w:t>(Soit par défaut)</w:t>
      </w:r>
    </w:p>
    <w:p w14:paraId="13FF5E02" w14:textId="77777777" w:rsidR="00DB2B68" w:rsidRDefault="00000000">
      <w:r>
        <w:rPr>
          <w:rStyle w:val="soitChar"/>
        </w:rPr>
        <w:t>1.    </w:t>
      </w:r>
      <w:r>
        <w:rPr>
          <w:rStyle w:val="soitChar"/>
          <w:u w:val="single"/>
        </w:rPr>
        <w:t xml:space="preserve"> Compris</w:t>
      </w:r>
      <w:r>
        <w:rPr>
          <w:rStyle w:val="soitChar"/>
        </w:rPr>
        <w:t xml:space="preserve"> dans l’article de référence</w:t>
      </w:r>
      <w:r>
        <w:rPr>
          <w:rStyle w:val="optioncarChar"/>
        </w:rPr>
        <w:t>***</w:t>
      </w:r>
    </w:p>
    <w:p w14:paraId="46C63BB5" w14:textId="77777777" w:rsidR="00DB2B68" w:rsidRDefault="00000000">
      <w:r>
        <w:rPr>
          <w:b/>
          <w:i/>
        </w:rPr>
        <w:t>(Soit)</w:t>
      </w:r>
    </w:p>
    <w:p w14:paraId="3DED6572" w14:textId="77777777" w:rsidR="00DB2B68" w:rsidRDefault="00000000">
      <w:r>
        <w:rPr>
          <w:rStyle w:val="soitChar"/>
        </w:rPr>
        <w:t xml:space="preserve">2.3. </w:t>
      </w:r>
      <w:r>
        <w:rPr>
          <w:rStyle w:val="soitChar"/>
          <w:u w:val="single"/>
        </w:rPr>
        <w:t>Quantité nette</w:t>
      </w:r>
      <w:r>
        <w:rPr>
          <w:rStyle w:val="soitChar"/>
        </w:rPr>
        <w:t> : Le nombre d’assemblages à embrèvement ayant les mêmes dimensions est compatibilisé.</w:t>
      </w:r>
    </w:p>
    <w:p w14:paraId="5759A652" w14:textId="77777777" w:rsidR="00DB2B68" w:rsidRDefault="00000000">
      <w:pPr>
        <w:pStyle w:val="pheading"/>
      </w:pPr>
      <w:r>
        <w:t>- nature du marché:</w:t>
      </w:r>
    </w:p>
    <w:p w14:paraId="254E84D0" w14:textId="77777777" w:rsidR="00DB2B68" w:rsidRDefault="00000000">
      <w:r>
        <w:rPr>
          <w:rStyle w:val="optioncarChar"/>
        </w:rPr>
        <w:t xml:space="preserve">PM </w:t>
      </w:r>
      <w:r>
        <w:t>(par défaut)</w:t>
      </w:r>
      <w:r>
        <w:rPr>
          <w:rStyle w:val="optioncarChar"/>
        </w:rPr>
        <w:t xml:space="preserve"> / QF / QP</w:t>
      </w:r>
    </w:p>
    <w:p w14:paraId="5049DE0D" w14:textId="77777777" w:rsidR="00DB2B68" w:rsidRDefault="00000000">
      <w:r>
        <w:rPr>
          <w:b/>
          <w:i/>
        </w:rPr>
        <w:t>(Soit par défaut)</w:t>
      </w:r>
    </w:p>
    <w:p w14:paraId="3CD8854B" w14:textId="77777777" w:rsidR="00DB2B68" w:rsidRDefault="00000000">
      <w:r>
        <w:rPr>
          <w:rStyle w:val="soitChar"/>
        </w:rPr>
        <w:t>1.     PM</w:t>
      </w:r>
    </w:p>
    <w:p w14:paraId="597E6FA7" w14:textId="77777777" w:rsidR="00DB2B68" w:rsidRDefault="00000000">
      <w:r>
        <w:rPr>
          <w:b/>
          <w:i/>
        </w:rPr>
        <w:t>(Soit)</w:t>
      </w:r>
    </w:p>
    <w:p w14:paraId="628E389A" w14:textId="77777777" w:rsidR="00DB2B68" w:rsidRDefault="00000000">
      <w:r>
        <w:rPr>
          <w:rStyle w:val="soitChar"/>
        </w:rPr>
        <w:t>2.     QF</w:t>
      </w:r>
    </w:p>
    <w:p w14:paraId="051E4B1C" w14:textId="77777777" w:rsidR="00DB2B68" w:rsidRDefault="00000000">
      <w:r>
        <w:rPr>
          <w:b/>
          <w:i/>
        </w:rPr>
        <w:t>(Soit)</w:t>
      </w:r>
    </w:p>
    <w:p w14:paraId="76341882" w14:textId="77777777" w:rsidR="00DB2B68" w:rsidRDefault="00000000">
      <w:r>
        <w:rPr>
          <w:rStyle w:val="soitChar"/>
        </w:rPr>
        <w:t>3.     QP</w:t>
      </w:r>
    </w:p>
    <w:p w14:paraId="479D1AED" w14:textId="77777777" w:rsidR="00DB2B68" w:rsidRDefault="00000000">
      <w:pPr>
        <w:pStyle w:val="pheading"/>
      </w:pPr>
      <w:r>
        <w:t>AIDE</w:t>
      </w:r>
    </w:p>
    <w:p w14:paraId="711EDEEB" w14:textId="77777777" w:rsidR="00DB2B68" w:rsidRDefault="00000000">
      <w:pPr>
        <w:jc w:val="both"/>
      </w:pPr>
      <w:r>
        <w:rPr>
          <w:b/>
          <w:u w:val="single"/>
        </w:rPr>
        <w:t>Embrèvement simple :</w:t>
      </w:r>
    </w:p>
    <w:p w14:paraId="485AE1FE" w14:textId="77777777" w:rsidR="00DB2B68" w:rsidRDefault="00000000">
      <w:pPr>
        <w:jc w:val="both"/>
      </w:pPr>
      <w:r>
        <w:t>Avantages :</w:t>
      </w:r>
    </w:p>
    <w:p w14:paraId="619CBA98" w14:textId="77777777" w:rsidR="00DB2B68" w:rsidRDefault="00000000">
      <w:pPr>
        <w:pStyle w:val="Author-eListParagraph"/>
        <w:numPr>
          <w:ilvl w:val="0"/>
          <w:numId w:val="1046"/>
        </w:numPr>
      </w:pPr>
      <w:r>
        <w:t>rapport capacité portante / profondeur d’entaille optimisé,</w:t>
      </w:r>
    </w:p>
    <w:p w14:paraId="54AF3395" w14:textId="77777777" w:rsidR="00DB2B68" w:rsidRDefault="00000000">
      <w:pPr>
        <w:pStyle w:val="Author-eListParagraph"/>
        <w:numPr>
          <w:ilvl w:val="0"/>
          <w:numId w:val="1046"/>
        </w:numPr>
      </w:pPr>
      <w:r>
        <w:t>simplicité d’exécution.</w:t>
      </w:r>
    </w:p>
    <w:p w14:paraId="605AB737" w14:textId="77777777" w:rsidR="00DB2B68" w:rsidRDefault="00000000">
      <w:pPr>
        <w:jc w:val="both"/>
      </w:pPr>
      <w:r>
        <w:lastRenderedPageBreak/>
        <w:t>Inconvénient :</w:t>
      </w:r>
    </w:p>
    <w:p w14:paraId="13339BE4" w14:textId="77777777" w:rsidR="00DB2B68" w:rsidRDefault="00000000">
      <w:pPr>
        <w:pStyle w:val="Author-eListParagraph"/>
        <w:numPr>
          <w:ilvl w:val="0"/>
          <w:numId w:val="1047"/>
        </w:numPr>
      </w:pPr>
      <w:r>
        <w:t>longueur d’avant bois nécessaire importante.</w:t>
      </w:r>
    </w:p>
    <w:p w14:paraId="3DF02450" w14:textId="77777777" w:rsidR="00DB2B68" w:rsidRDefault="00000000">
      <w:pPr>
        <w:jc w:val="both"/>
      </w:pPr>
      <w:r>
        <w:rPr>
          <w:b/>
          <w:u w:val="single"/>
        </w:rPr>
        <w:t>Embrèvement arrière :</w:t>
      </w:r>
    </w:p>
    <w:p w14:paraId="40ADEA87" w14:textId="77777777" w:rsidR="00DB2B68" w:rsidRDefault="00000000">
      <w:pPr>
        <w:jc w:val="both"/>
      </w:pPr>
      <w:r>
        <w:t>Avantages :</w:t>
      </w:r>
    </w:p>
    <w:p w14:paraId="6B0B123C" w14:textId="77777777" w:rsidR="00DB2B68" w:rsidRDefault="00000000">
      <w:pPr>
        <w:pStyle w:val="Author-eListParagraph"/>
        <w:numPr>
          <w:ilvl w:val="0"/>
          <w:numId w:val="1048"/>
        </w:numPr>
      </w:pPr>
      <w:r>
        <w:t>longueur d’avant bois nécessaire réduite,</w:t>
      </w:r>
    </w:p>
    <w:p w14:paraId="22C775CB" w14:textId="77777777" w:rsidR="00DB2B68" w:rsidRDefault="00000000">
      <w:pPr>
        <w:pStyle w:val="Author-eListParagraph"/>
        <w:numPr>
          <w:ilvl w:val="0"/>
          <w:numId w:val="1048"/>
        </w:numPr>
      </w:pPr>
      <w:r>
        <w:t>simplicité d’exécution.</w:t>
      </w:r>
    </w:p>
    <w:p w14:paraId="58FEB919" w14:textId="77777777" w:rsidR="00DB2B68" w:rsidRDefault="00000000">
      <w:pPr>
        <w:jc w:val="both"/>
      </w:pPr>
      <w:r>
        <w:t>Inconvénient :</w:t>
      </w:r>
    </w:p>
    <w:p w14:paraId="3F0FD171" w14:textId="77777777" w:rsidR="00DB2B68" w:rsidRDefault="00000000">
      <w:pPr>
        <w:pStyle w:val="Author-eListParagraph"/>
        <w:numPr>
          <w:ilvl w:val="0"/>
          <w:numId w:val="1049"/>
        </w:numPr>
      </w:pPr>
      <w:r>
        <w:t>rapport capacité portante / profondeur d’entaille important.</w:t>
      </w:r>
    </w:p>
    <w:p w14:paraId="5CE2C254" w14:textId="77777777" w:rsidR="00DB2B68" w:rsidRDefault="00000000">
      <w:pPr>
        <w:jc w:val="both"/>
      </w:pPr>
      <w:r>
        <w:rPr>
          <w:b/>
          <w:u w:val="single"/>
        </w:rPr>
        <w:t>Embrèvement double :</w:t>
      </w:r>
    </w:p>
    <w:p w14:paraId="0245E809" w14:textId="77777777" w:rsidR="00DB2B68" w:rsidRDefault="00000000">
      <w:pPr>
        <w:jc w:val="both"/>
      </w:pPr>
      <w:r>
        <w:t>Avantages :</w:t>
      </w:r>
    </w:p>
    <w:p w14:paraId="4EE35ABD" w14:textId="77777777" w:rsidR="00DB2B68" w:rsidRDefault="00000000">
      <w:pPr>
        <w:pStyle w:val="Author-eListParagraph"/>
        <w:numPr>
          <w:ilvl w:val="0"/>
          <w:numId w:val="1050"/>
        </w:numPr>
      </w:pPr>
      <w:r>
        <w:t>longueur d’avant bois nécessaire réduite,</w:t>
      </w:r>
    </w:p>
    <w:p w14:paraId="031CEAB8" w14:textId="77777777" w:rsidR="00DB2B68" w:rsidRDefault="00000000">
      <w:pPr>
        <w:pStyle w:val="Author-eListParagraph"/>
        <w:numPr>
          <w:ilvl w:val="0"/>
          <w:numId w:val="1050"/>
        </w:numPr>
      </w:pPr>
      <w:r>
        <w:t>rapport capacité portante / profondeur d’entaille important.</w:t>
      </w:r>
    </w:p>
    <w:p w14:paraId="07654819" w14:textId="77777777" w:rsidR="00DB2B68" w:rsidRDefault="00000000">
      <w:pPr>
        <w:jc w:val="both"/>
      </w:pPr>
      <w:r>
        <w:t>Inconvénient :</w:t>
      </w:r>
    </w:p>
    <w:p w14:paraId="538BA3DA" w14:textId="77777777" w:rsidR="00DB2B68" w:rsidRDefault="00000000">
      <w:pPr>
        <w:pStyle w:val="Author-eListParagraph"/>
        <w:numPr>
          <w:ilvl w:val="0"/>
          <w:numId w:val="1051"/>
        </w:numPr>
        <w:jc w:val="both"/>
      </w:pPr>
      <w:r>
        <w:t>difficulté d’exécution.</w:t>
      </w:r>
    </w:p>
    <w:p w14:paraId="2F19B894" w14:textId="77777777" w:rsidR="00DB2B68" w:rsidRDefault="00000000">
      <w:pPr>
        <w:pStyle w:val="Author-eSectionHeading6Numberless"/>
      </w:pPr>
      <w:bookmarkStart w:id="1721" w:name="_Toc220496698"/>
      <w:r>
        <w:t>24.41.1b Assemblages traditionnels (bois/bois) - tenons et mortaises CCTB 01.07</w:t>
      </w:r>
      <w:bookmarkEnd w:id="1721"/>
    </w:p>
    <w:p w14:paraId="08CAE0E2" w14:textId="77777777" w:rsidR="00DB2B68" w:rsidRDefault="00000000">
      <w:pPr>
        <w:pStyle w:val="pheading"/>
      </w:pPr>
      <w:bookmarkStart w:id="1722" w:name="610"/>
      <w:bookmarkEnd w:id="1722"/>
      <w:r>
        <w:t>DESCRIPTION</w:t>
      </w:r>
    </w:p>
    <w:p w14:paraId="6A21ECC8" w14:textId="77777777" w:rsidR="00DB2B68" w:rsidRDefault="00000000">
      <w:pPr>
        <w:pStyle w:val="pheading"/>
      </w:pPr>
      <w:r>
        <w:t>- Définition / Comprend</w:t>
      </w:r>
    </w:p>
    <w:p w14:paraId="328594B7" w14:textId="77777777" w:rsidR="00DB2B68" w:rsidRDefault="00000000">
      <w:pPr>
        <w:jc w:val="both"/>
      </w:pPr>
      <w:r>
        <w:t>Il s’agit d’un assemblage traditionnel par contact entre deux pièces formant généralement un angle compris entre 45° et 135°. Une des pièces est taillée en tenon (partie mâle) et vient s’encastrer dans une entaille appelée mortaise (partie femelle).</w:t>
      </w:r>
    </w:p>
    <w:p w14:paraId="49A70513" w14:textId="77777777" w:rsidR="00DB2B68" w:rsidRDefault="00000000">
      <w:pPr>
        <w:jc w:val="both"/>
      </w:pPr>
      <w:r>
        <w:t>Des exemples sont présentés sur les photos ci-dessous :</w:t>
      </w:r>
    </w:p>
    <w:p w14:paraId="277A8684" w14:textId="77777777" w:rsidR="00DB2B68" w:rsidRDefault="00000000">
      <w:pPr>
        <w:jc w:val="both"/>
      </w:pPr>
      <w:r>
        <w:rPr>
          <w:noProof/>
        </w:rPr>
        <w:drawing>
          <wp:inline distT="0" distB="0" distL="0" distR="0" wp14:anchorId="51F05A2D" wp14:editId="0CC04133">
            <wp:extent cx="3810000" cy="2076450"/>
            <wp:effectExtent l="0" t="0" r="0" b="0"/>
            <wp:docPr id="13" name="24.41.1b1.png" descr="24.41.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73" descr="24.41.1b1.png"/>
                    <pic:cNvPicPr>
                      <a:picLocks noChangeAspect="1" noChangeArrowheads="1"/>
                    </pic:cNvPicPr>
                  </pic:nvPicPr>
                  <pic:blipFill>
                    <a:blip r:embed="rId26"/>
                    <a:srcRect/>
                    <a:stretch>
                      <a:fillRect/>
                    </a:stretch>
                  </pic:blipFill>
                  <pic:spPr bwMode="auto">
                    <a:xfrm>
                      <a:off x="0" y="0"/>
                      <a:ext cx="3810000" cy="2076450"/>
                    </a:xfrm>
                    <a:prstGeom prst="rect">
                      <a:avLst/>
                    </a:prstGeom>
                  </pic:spPr>
                </pic:pic>
              </a:graphicData>
            </a:graphic>
          </wp:inline>
        </w:drawing>
      </w:r>
    </w:p>
    <w:p w14:paraId="22873CEA" w14:textId="77777777" w:rsidR="00DB2B68" w:rsidRDefault="00000000">
      <w:pPr>
        <w:jc w:val="both"/>
      </w:pPr>
      <w:r>
        <w:rPr>
          <w:noProof/>
        </w:rPr>
        <w:lastRenderedPageBreak/>
        <w:drawing>
          <wp:inline distT="0" distB="0" distL="0" distR="0" wp14:anchorId="4691F4A1" wp14:editId="686299AE">
            <wp:extent cx="2857500" cy="4524375"/>
            <wp:effectExtent l="0" t="0" r="0" b="0"/>
            <wp:docPr id="14" name="24.41.1b2.png" descr="24.41.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74" descr="24.41.1b2.png"/>
                    <pic:cNvPicPr>
                      <a:picLocks noChangeAspect="1" noChangeArrowheads="1"/>
                    </pic:cNvPicPr>
                  </pic:nvPicPr>
                  <pic:blipFill>
                    <a:blip r:embed="rId27"/>
                    <a:srcRect/>
                    <a:stretch>
                      <a:fillRect/>
                    </a:stretch>
                  </pic:blipFill>
                  <pic:spPr bwMode="auto">
                    <a:xfrm>
                      <a:off x="0" y="0"/>
                      <a:ext cx="2857500" cy="4524375"/>
                    </a:xfrm>
                    <a:prstGeom prst="rect">
                      <a:avLst/>
                    </a:prstGeom>
                  </pic:spPr>
                </pic:pic>
              </a:graphicData>
            </a:graphic>
          </wp:inline>
        </w:drawing>
      </w:r>
    </w:p>
    <w:p w14:paraId="39389102" w14:textId="77777777" w:rsidR="00DB2B68" w:rsidRDefault="00000000">
      <w:pPr>
        <w:pStyle w:val="pheading"/>
      </w:pPr>
      <w:r>
        <w:t>EXÉCUTION / MISE EN ŒUVRE</w:t>
      </w:r>
    </w:p>
    <w:p w14:paraId="4A1FD5D0" w14:textId="77777777" w:rsidR="00DB2B68" w:rsidRDefault="00000000">
      <w:pPr>
        <w:pStyle w:val="pheading"/>
      </w:pPr>
      <w:r>
        <w:t>- Prescriptions générales</w:t>
      </w:r>
    </w:p>
    <w:p w14:paraId="425A6F78" w14:textId="77777777" w:rsidR="00DB2B68" w:rsidRDefault="00000000">
      <w:pPr>
        <w:jc w:val="both"/>
      </w:pPr>
      <w:r>
        <w:t>Le tenon est situé dans la solive, la mortaise dans la porteuse. La solive est au maximum aussi large que la porteuse.</w:t>
      </w:r>
    </w:p>
    <w:p w14:paraId="22731F72" w14:textId="77777777" w:rsidR="00DB2B68" w:rsidRDefault="00000000">
      <w:pPr>
        <w:jc w:val="both"/>
      </w:pPr>
      <w:r>
        <w:t>Les zones chargées par l’assemblage sont exemptes de défauts rédhibitoires pouvant réduire leurs capacités portantes (nœuds, pentes de fil &gt;20°, etc.)</w:t>
      </w:r>
    </w:p>
    <w:p w14:paraId="358A0B84" w14:textId="77777777" w:rsidR="00DB2B68" w:rsidRDefault="00000000">
      <w:pPr>
        <w:jc w:val="both"/>
      </w:pPr>
      <w:r>
        <w:t>La hauteur du tenon est au minimum égale à la moitié de la hauteur de la solive. Le tenon peut être débouchant en partie supérieure ou avec mordâne. Dans le cas d’un tenon avec mordâne, la hauteur de la partie centrale du tenon est supérieure au tiers de la hauteur de la solive.</w:t>
      </w:r>
    </w:p>
    <w:p w14:paraId="0BE89C26" w14:textId="77777777" w:rsidR="00DB2B68" w:rsidRDefault="00000000">
      <w:pPr>
        <w:jc w:val="both"/>
      </w:pPr>
      <w:r>
        <w:t>La nécessité d’un renfort au risque de fendage doit être étudiée.</w:t>
      </w:r>
    </w:p>
    <w:p w14:paraId="75BB256F" w14:textId="77777777" w:rsidR="00DB2B68" w:rsidRDefault="00000000">
      <w:pPr>
        <w:jc w:val="both"/>
      </w:pPr>
      <w:r>
        <w:t xml:space="preserve">Hauteur du tenon : </w:t>
      </w:r>
      <w:r>
        <w:rPr>
          <w:rStyle w:val="optioncarChar"/>
        </w:rPr>
        <w:t xml:space="preserve">à déterminer par l’entreprise </w:t>
      </w:r>
      <w:r>
        <w:t>(par défaut)</w:t>
      </w:r>
      <w:r>
        <w:rPr>
          <w:rStyle w:val="optioncarChar"/>
        </w:rPr>
        <w:t xml:space="preserve"> / voir plan / ***</w:t>
      </w:r>
    </w:p>
    <w:p w14:paraId="2798060B" w14:textId="77777777" w:rsidR="00DB2B68" w:rsidRDefault="00000000">
      <w:pPr>
        <w:jc w:val="both"/>
      </w:pPr>
      <w:r>
        <w:t>La largeur du tenon est égale à la largeur de la solive.</w:t>
      </w:r>
    </w:p>
    <w:p w14:paraId="0E2C8B12" w14:textId="77777777" w:rsidR="00DB2B68" w:rsidRDefault="00000000">
      <w:pPr>
        <w:jc w:val="both"/>
      </w:pPr>
      <w:r>
        <w:t>La longueur du tenon est comprise entre 40 et 80mm et est supérieure au tiers de la largeur de la porteuse.</w:t>
      </w:r>
    </w:p>
    <w:p w14:paraId="5DDFF86B" w14:textId="77777777" w:rsidR="00DB2B68" w:rsidRDefault="00000000">
      <w:pPr>
        <w:jc w:val="both"/>
      </w:pPr>
      <w:r>
        <w:t xml:space="preserve">Longueur du tenon : </w:t>
      </w:r>
      <w:r>
        <w:rPr>
          <w:rStyle w:val="optioncarChar"/>
        </w:rPr>
        <w:t xml:space="preserve">à déterminer par l’entreprise </w:t>
      </w:r>
      <w:r>
        <w:t xml:space="preserve">(par défaut) </w:t>
      </w:r>
      <w:r>
        <w:rPr>
          <w:rStyle w:val="optioncarChar"/>
        </w:rPr>
        <w:t>/ voir plan / ***</w:t>
      </w:r>
    </w:p>
    <w:p w14:paraId="744A1AA0" w14:textId="77777777" w:rsidR="00DB2B68" w:rsidRDefault="00DB2B68">
      <w:pPr>
        <w:jc w:val="both"/>
      </w:pPr>
    </w:p>
    <w:p w14:paraId="59EC72B2" w14:textId="77777777" w:rsidR="00DB2B68" w:rsidRDefault="00DB2B68">
      <w:pPr>
        <w:jc w:val="both"/>
      </w:pPr>
    </w:p>
    <w:p w14:paraId="5EF8F931" w14:textId="77777777" w:rsidR="00DB2B68" w:rsidRDefault="00000000">
      <w:pPr>
        <w:jc w:val="both"/>
      </w:pPr>
      <w:r>
        <w:t>La hauteur sous mortaise est au minimum égale au quart de la hauteur de la porteuse</w:t>
      </w:r>
    </w:p>
    <w:p w14:paraId="107CC789" w14:textId="77777777" w:rsidR="00DB2B68" w:rsidRDefault="00000000">
      <w:pPr>
        <w:jc w:val="both"/>
      </w:pPr>
      <w:r>
        <w:t xml:space="preserve">Hauteur sous mortaise : </w:t>
      </w:r>
      <w:r>
        <w:rPr>
          <w:rStyle w:val="optioncarChar"/>
        </w:rPr>
        <w:t>à déterminer par l’entreprise</w:t>
      </w:r>
      <w:r>
        <w:t xml:space="preserve"> (par défaut) </w:t>
      </w:r>
      <w:r>
        <w:rPr>
          <w:rStyle w:val="optioncarChar"/>
        </w:rPr>
        <w:t>/ voir plan / ***</w:t>
      </w:r>
    </w:p>
    <w:p w14:paraId="1DFF9A7A" w14:textId="77777777" w:rsidR="00DB2B68" w:rsidRDefault="00000000">
      <w:pPr>
        <w:jc w:val="both"/>
      </w:pPr>
      <w:r>
        <w:t> </w:t>
      </w:r>
    </w:p>
    <w:p w14:paraId="71D60DA3" w14:textId="77777777" w:rsidR="00DB2B68" w:rsidRDefault="00000000">
      <w:pPr>
        <w:jc w:val="both"/>
      </w:pPr>
      <w:r>
        <w:lastRenderedPageBreak/>
        <w:t>L’appui du tenon sur la mortaise est réalisé sans jeu. Un jeu de 2mm est prévu entre l’extrémité du tenon et le fond de la mortaise. Les autres jeux sont limités à 2mm maximum.</w:t>
      </w:r>
    </w:p>
    <w:p w14:paraId="3BD625D1" w14:textId="77777777" w:rsidR="00DB2B68" w:rsidRDefault="00000000">
      <w:pPr>
        <w:pStyle w:val="pheading"/>
      </w:pPr>
      <w:r>
        <w:t>MESURAGE</w:t>
      </w:r>
    </w:p>
    <w:p w14:paraId="2175A9A8" w14:textId="77777777" w:rsidR="00DB2B68" w:rsidRDefault="00000000">
      <w:pPr>
        <w:pStyle w:val="pheading"/>
      </w:pPr>
      <w:r>
        <w:t>- unité de mesure:</w:t>
      </w:r>
    </w:p>
    <w:p w14:paraId="39FA46A2" w14:textId="77777777" w:rsidR="00DB2B68" w:rsidRDefault="00000000">
      <w:r>
        <w:rPr>
          <w:rStyle w:val="optioncarChar"/>
        </w:rPr>
        <w:t>- </w:t>
      </w:r>
      <w:r>
        <w:t>(par défaut)</w:t>
      </w:r>
      <w:r>
        <w:rPr>
          <w:rStyle w:val="optioncarChar"/>
        </w:rPr>
        <w:t> / pc</w:t>
      </w:r>
    </w:p>
    <w:p w14:paraId="51747BF5" w14:textId="77777777" w:rsidR="00DB2B68" w:rsidRDefault="00000000">
      <w:r>
        <w:rPr>
          <w:b/>
          <w:i/>
        </w:rPr>
        <w:t>(Soit par défaut)</w:t>
      </w:r>
    </w:p>
    <w:p w14:paraId="7CC44E4D" w14:textId="77777777" w:rsidR="00DB2B68" w:rsidRDefault="00000000">
      <w:r>
        <w:rPr>
          <w:rStyle w:val="soitChar"/>
        </w:rPr>
        <w:t>1.     –</w:t>
      </w:r>
    </w:p>
    <w:p w14:paraId="11FCDA2F" w14:textId="77777777" w:rsidR="00DB2B68" w:rsidRDefault="00000000">
      <w:r>
        <w:rPr>
          <w:b/>
          <w:i/>
        </w:rPr>
        <w:t>(Soit)</w:t>
      </w:r>
    </w:p>
    <w:p w14:paraId="2C4AFA71" w14:textId="77777777" w:rsidR="00DB2B68" w:rsidRDefault="00000000">
      <w:r>
        <w:rPr>
          <w:rStyle w:val="soitChar"/>
        </w:rPr>
        <w:t>2.3.  pc</w:t>
      </w:r>
    </w:p>
    <w:p w14:paraId="537691D3" w14:textId="77777777" w:rsidR="00DB2B68" w:rsidRDefault="00000000">
      <w:pPr>
        <w:pStyle w:val="pheading"/>
      </w:pPr>
      <w:r>
        <w:t>- code de mesurage:</w:t>
      </w:r>
    </w:p>
    <w:p w14:paraId="06C51E27" w14:textId="77777777" w:rsidR="00DB2B68" w:rsidRDefault="00000000">
      <w:r>
        <w:rPr>
          <w:rStyle w:val="optioncarChar"/>
        </w:rPr>
        <w:t>Compris</w:t>
      </w:r>
      <w:r>
        <w:t> (par défaut)</w:t>
      </w:r>
      <w:r>
        <w:rPr>
          <w:rStyle w:val="optioncarChar"/>
        </w:rPr>
        <w:t> / Quantité nette</w:t>
      </w:r>
    </w:p>
    <w:p w14:paraId="5322711E" w14:textId="77777777" w:rsidR="00DB2B68" w:rsidRDefault="00000000">
      <w:r>
        <w:rPr>
          <w:b/>
          <w:i/>
        </w:rPr>
        <w:t>(Soit par défaut)</w:t>
      </w:r>
    </w:p>
    <w:p w14:paraId="6B5A7984" w14:textId="77777777" w:rsidR="00DB2B68" w:rsidRDefault="00000000">
      <w:r>
        <w:rPr>
          <w:rStyle w:val="soitChar"/>
        </w:rPr>
        <w:t>1.     </w:t>
      </w:r>
      <w:r>
        <w:rPr>
          <w:rStyle w:val="soitChar"/>
          <w:u w:val="single"/>
        </w:rPr>
        <w:t>Compris </w:t>
      </w:r>
      <w:r>
        <w:rPr>
          <w:rStyle w:val="soitChar"/>
        </w:rPr>
        <w:t>dans l’article de référence</w:t>
      </w:r>
      <w:r>
        <w:t> </w:t>
      </w:r>
      <w:r>
        <w:rPr>
          <w:rStyle w:val="optioncarChar"/>
        </w:rPr>
        <w:t>***</w:t>
      </w:r>
    </w:p>
    <w:p w14:paraId="08F4B332" w14:textId="77777777" w:rsidR="00DB2B68" w:rsidRDefault="00000000">
      <w:r>
        <w:rPr>
          <w:b/>
          <w:i/>
        </w:rPr>
        <w:t>(Soit)</w:t>
      </w:r>
    </w:p>
    <w:p w14:paraId="2E8B2A8E"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2BEC5591" w14:textId="77777777" w:rsidR="00DB2B68" w:rsidRDefault="00000000">
      <w:pPr>
        <w:pStyle w:val="pheading"/>
      </w:pPr>
      <w:r>
        <w:t>- nature du marché:</w:t>
      </w:r>
    </w:p>
    <w:p w14:paraId="249B5632" w14:textId="77777777" w:rsidR="00DB2B68" w:rsidRDefault="00000000">
      <w:r>
        <w:rPr>
          <w:rStyle w:val="optioncarChar"/>
        </w:rPr>
        <w:t>PM </w:t>
      </w:r>
      <w:r>
        <w:t>(par défaut)</w:t>
      </w:r>
      <w:r>
        <w:rPr>
          <w:rStyle w:val="optioncarChar"/>
        </w:rPr>
        <w:t> / QF / QP</w:t>
      </w:r>
    </w:p>
    <w:p w14:paraId="764690AE" w14:textId="77777777" w:rsidR="00DB2B68" w:rsidRDefault="00000000">
      <w:r>
        <w:rPr>
          <w:b/>
          <w:i/>
        </w:rPr>
        <w:t>(Soit par défaut)</w:t>
      </w:r>
    </w:p>
    <w:p w14:paraId="0C295F39" w14:textId="77777777" w:rsidR="00DB2B68" w:rsidRDefault="00000000">
      <w:r>
        <w:rPr>
          <w:rStyle w:val="soitChar"/>
        </w:rPr>
        <w:t>1.     PM</w:t>
      </w:r>
    </w:p>
    <w:p w14:paraId="2A36B280" w14:textId="77777777" w:rsidR="00DB2B68" w:rsidRDefault="00000000">
      <w:r>
        <w:rPr>
          <w:b/>
          <w:i/>
        </w:rPr>
        <w:t>(Soit)</w:t>
      </w:r>
    </w:p>
    <w:p w14:paraId="0F6A9319" w14:textId="77777777" w:rsidR="00DB2B68" w:rsidRDefault="00000000">
      <w:r>
        <w:rPr>
          <w:rStyle w:val="soitChar"/>
        </w:rPr>
        <w:t>2.     QF</w:t>
      </w:r>
    </w:p>
    <w:p w14:paraId="0699DB36" w14:textId="77777777" w:rsidR="00DB2B68" w:rsidRDefault="00000000">
      <w:r>
        <w:rPr>
          <w:b/>
          <w:i/>
        </w:rPr>
        <w:t>(Soit)</w:t>
      </w:r>
    </w:p>
    <w:p w14:paraId="577B51C6" w14:textId="77777777" w:rsidR="00DB2B68" w:rsidRDefault="00000000">
      <w:r>
        <w:rPr>
          <w:rStyle w:val="soitChar"/>
        </w:rPr>
        <w:t>3.     QP</w:t>
      </w:r>
    </w:p>
    <w:p w14:paraId="30FD0ABF" w14:textId="77777777" w:rsidR="00DB2B68" w:rsidRDefault="00000000">
      <w:pPr>
        <w:pStyle w:val="pheading"/>
      </w:pPr>
      <w:r>
        <w:t>AIDE</w:t>
      </w:r>
    </w:p>
    <w:p w14:paraId="769217DA" w14:textId="77777777" w:rsidR="00DB2B68" w:rsidRDefault="00000000">
      <w:pPr>
        <w:jc w:val="both"/>
      </w:pPr>
      <w:r>
        <w:t>Le contact au niveau de l’appui du tenon sur la mortaise doit être assuré. Il peut l’être soit par les charges permanentes, soit par un organe d’assemblage.</w:t>
      </w:r>
    </w:p>
    <w:p w14:paraId="5DA9F78F" w14:textId="77777777" w:rsidR="00DB2B68" w:rsidRDefault="00000000">
      <w:pPr>
        <w:jc w:val="both"/>
      </w:pPr>
      <w:r>
        <w:t>Les organes d’assemblages peuvent être en bois durs et sec (teneur en humidité &lt;15%) ou métalliques.</w:t>
      </w:r>
    </w:p>
    <w:p w14:paraId="5C8B2268" w14:textId="77777777" w:rsidR="00DB2B68" w:rsidRDefault="00000000">
      <w:pPr>
        <w:jc w:val="both"/>
      </w:pPr>
      <w:r>
        <w:t>Si une résistance au feu est requise, les organes d’assemblages métalliques sont rendus invisibles par des dispositions constructives ou par bouchonnage (</w:t>
      </w:r>
      <w:hyperlink w:anchor="631" w:history="1">
        <w:r>
          <w:rPr>
            <w:color w:val="0000EE"/>
          </w:rPr>
          <w:t>24.42.4a Finitions d'assemblages - bouchonnage</w:t>
        </w:r>
      </w:hyperlink>
      <w:r>
        <w:t>).</w:t>
      </w:r>
    </w:p>
    <w:p w14:paraId="60B3DA7A" w14:textId="77777777" w:rsidR="00DB2B68" w:rsidRDefault="00000000">
      <w:pPr>
        <w:pStyle w:val="Author-eSectionHeading6Numberless"/>
      </w:pPr>
      <w:bookmarkStart w:id="1723" w:name="_Toc220496699"/>
      <w:r>
        <w:t>24.41.1c Assemblages traditionnels (bois/bois) - queues d'aronde CCTB 01.11</w:t>
      </w:r>
      <w:bookmarkEnd w:id="1723"/>
    </w:p>
    <w:p w14:paraId="6ED16D55" w14:textId="77777777" w:rsidR="00DB2B68" w:rsidRDefault="00000000">
      <w:pPr>
        <w:pStyle w:val="pheading"/>
      </w:pPr>
      <w:r>
        <w:t>EXÉCUTION / MISE EN ŒUVRE</w:t>
      </w:r>
    </w:p>
    <w:p w14:paraId="735C4F1C" w14:textId="77777777" w:rsidR="00DB2B68" w:rsidRDefault="00000000">
      <w:pPr>
        <w:pStyle w:val="pheading"/>
      </w:pPr>
      <w:r>
        <w:t>- Prescriptions générales</w:t>
      </w:r>
    </w:p>
    <w:p w14:paraId="3753E17B" w14:textId="77777777" w:rsidR="00DB2B68" w:rsidRDefault="00000000">
      <w:r>
        <w:rPr>
          <w:noProof/>
        </w:rPr>
        <w:lastRenderedPageBreak/>
        <w:drawing>
          <wp:inline distT="0" distB="0" distL="0" distR="0" wp14:anchorId="29AE9635" wp14:editId="29C53B9C">
            <wp:extent cx="3810000" cy="3028950"/>
            <wp:effectExtent l="0" t="0" r="0" b="0"/>
            <wp:docPr id="15" name="24.41.1c.png" descr="24.4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75" descr="24.41.1c.png"/>
                    <pic:cNvPicPr>
                      <a:picLocks noChangeAspect="1" noChangeArrowheads="1"/>
                    </pic:cNvPicPr>
                  </pic:nvPicPr>
                  <pic:blipFill>
                    <a:blip r:embed="rId28"/>
                    <a:srcRect/>
                    <a:stretch>
                      <a:fillRect/>
                    </a:stretch>
                  </pic:blipFill>
                  <pic:spPr bwMode="auto">
                    <a:xfrm>
                      <a:off x="0" y="0"/>
                      <a:ext cx="3810000" cy="3028950"/>
                    </a:xfrm>
                    <a:prstGeom prst="rect">
                      <a:avLst/>
                    </a:prstGeom>
                  </pic:spPr>
                </pic:pic>
              </a:graphicData>
            </a:graphic>
          </wp:inline>
        </w:drawing>
      </w:r>
    </w:p>
    <w:p w14:paraId="27FDEC59" w14:textId="77777777" w:rsidR="00DB2B68" w:rsidRDefault="00000000">
      <w:pPr>
        <w:jc w:val="both"/>
      </w:pPr>
      <w:r>
        <w:t>Le tenon est situé dans la solive, la mortaise dans la porteuse. La solive est au maximum aussi large que la porteuse.</w:t>
      </w:r>
    </w:p>
    <w:p w14:paraId="5360E2CE" w14:textId="77777777" w:rsidR="00DB2B68" w:rsidRDefault="00000000">
      <w:pPr>
        <w:jc w:val="both"/>
      </w:pPr>
      <w:r>
        <w:t>Les deux éléments assemblés sont mis en œuvre à la teneur en d’humidité d’équilibre qu’ils ont en service.</w:t>
      </w:r>
    </w:p>
    <w:p w14:paraId="46E9D5D2" w14:textId="77777777" w:rsidR="00DB2B68" w:rsidRDefault="00000000">
      <w:pPr>
        <w:jc w:val="both"/>
      </w:pPr>
      <w:r>
        <w:t>Les zones chargées par l’assemblages sont exemptes de défauts rédhibitoires pouvant réduire leurs capacités portantes (nœuds, pentes de fil &gt;20°, etc.)</w:t>
      </w:r>
    </w:p>
    <w:p w14:paraId="13BCC317" w14:textId="77777777" w:rsidR="00DB2B68" w:rsidRDefault="00000000">
      <w:pPr>
        <w:jc w:val="both"/>
      </w:pPr>
      <w:r>
        <w:t>La hauteur du tenon est au minimum égale à 60% de la hauteur de la solive. Le tenon est débouchant en partie supérieure.</w:t>
      </w:r>
    </w:p>
    <w:p w14:paraId="4B950F1D" w14:textId="77777777" w:rsidR="00DB2B68" w:rsidRDefault="00000000">
      <w:pPr>
        <w:jc w:val="both"/>
      </w:pPr>
      <w:r>
        <w:t>La plus grande largeur du tenon (partie supérieure) est au minimum de 80% de la largeur de la solive.</w:t>
      </w:r>
    </w:p>
    <w:p w14:paraId="3071A97F" w14:textId="77777777" w:rsidR="00DB2B68" w:rsidRDefault="00000000">
      <w:pPr>
        <w:jc w:val="both"/>
      </w:pPr>
      <w:r>
        <w:t>La plus petite largeur du tenon (partie inférieure) est au minimum de 50% de la largeur de la solive.</w:t>
      </w:r>
    </w:p>
    <w:p w14:paraId="13803E70" w14:textId="77777777" w:rsidR="00DB2B68" w:rsidRDefault="00000000">
      <w:pPr>
        <w:jc w:val="both"/>
      </w:pPr>
      <w:r>
        <w:t>La longueur du tenon est comprise entre 25 et 80mm.</w:t>
      </w:r>
    </w:p>
    <w:p w14:paraId="39E8053C" w14:textId="77777777" w:rsidR="00DB2B68" w:rsidRDefault="00000000">
      <w:pPr>
        <w:jc w:val="both"/>
      </w:pPr>
      <w:r>
        <w:t>L’angle entre les deux côtés latéraux du tenon est compris entre 4° et 20°.</w:t>
      </w:r>
    </w:p>
    <w:p w14:paraId="151DB1A1" w14:textId="77777777" w:rsidR="00DB2B68" w:rsidRDefault="00000000">
      <w:pPr>
        <w:jc w:val="both"/>
      </w:pPr>
      <w:r>
        <w:t>L’angle entre les côtés latéraux du tenon et l’axe longitudinal de la solive est compris entre 10° et 20°.</w:t>
      </w:r>
    </w:p>
    <w:p w14:paraId="2F34375E" w14:textId="77777777" w:rsidR="00DB2B68" w:rsidRDefault="00000000">
      <w:pPr>
        <w:jc w:val="both"/>
      </w:pPr>
      <w:r>
        <w:t>La hauteur sous mortaise est au minimum égale au quart de la hauteur de la porteuse</w:t>
      </w:r>
    </w:p>
    <w:p w14:paraId="013CEEBD" w14:textId="77777777" w:rsidR="00DB2B68" w:rsidRDefault="00000000">
      <w:pPr>
        <w:jc w:val="both"/>
      </w:pPr>
      <w:r>
        <w:t xml:space="preserve">Géométrie de l’assemblage : </w:t>
      </w:r>
      <w:r>
        <w:rPr>
          <w:rStyle w:val="optioncarChar"/>
        </w:rPr>
        <w:t xml:space="preserve">à déterminer par l’entreprise </w:t>
      </w:r>
      <w:r>
        <w:t>(par défaut)</w:t>
      </w:r>
      <w:r>
        <w:rPr>
          <w:rStyle w:val="optioncarChar"/>
        </w:rPr>
        <w:t xml:space="preserve"> / voir plan / ***</w:t>
      </w:r>
    </w:p>
    <w:p w14:paraId="199F771E" w14:textId="77777777" w:rsidR="00DB2B68" w:rsidRDefault="00000000">
      <w:pPr>
        <w:jc w:val="both"/>
      </w:pPr>
      <w:r>
        <w:t>Les jeux sont limités à 2mm maximum.</w:t>
      </w:r>
    </w:p>
    <w:p w14:paraId="15A9850E" w14:textId="77777777" w:rsidR="00DB2B68" w:rsidRDefault="00000000">
      <w:pPr>
        <w:pStyle w:val="pheading"/>
      </w:pPr>
      <w:r>
        <w:t>MESURAGE</w:t>
      </w:r>
    </w:p>
    <w:p w14:paraId="2362302F" w14:textId="77777777" w:rsidR="00DB2B68" w:rsidRDefault="00000000">
      <w:pPr>
        <w:pStyle w:val="pheading"/>
      </w:pPr>
      <w:r>
        <w:t>- unité de mesure:</w:t>
      </w:r>
    </w:p>
    <w:p w14:paraId="08DF3EDA" w14:textId="77777777" w:rsidR="00DB2B68" w:rsidRDefault="00000000">
      <w:r>
        <w:rPr>
          <w:rStyle w:val="optioncarChar"/>
        </w:rPr>
        <w:t>- </w:t>
      </w:r>
      <w:r>
        <w:t>(par défaut)</w:t>
      </w:r>
      <w:r>
        <w:rPr>
          <w:rStyle w:val="optioncarChar"/>
        </w:rPr>
        <w:t> / pc</w:t>
      </w:r>
    </w:p>
    <w:p w14:paraId="777ADCC3" w14:textId="77777777" w:rsidR="00DB2B68" w:rsidRDefault="00000000">
      <w:r>
        <w:rPr>
          <w:b/>
          <w:i/>
        </w:rPr>
        <w:t>(Soit par défaut)</w:t>
      </w:r>
    </w:p>
    <w:p w14:paraId="3F7429CD" w14:textId="77777777" w:rsidR="00DB2B68" w:rsidRDefault="00000000">
      <w:r>
        <w:rPr>
          <w:rStyle w:val="soitChar"/>
        </w:rPr>
        <w:t>1.     –</w:t>
      </w:r>
    </w:p>
    <w:p w14:paraId="66747091" w14:textId="77777777" w:rsidR="00DB2B68" w:rsidRDefault="00000000">
      <w:r>
        <w:rPr>
          <w:b/>
          <w:i/>
        </w:rPr>
        <w:t>(Soit)</w:t>
      </w:r>
    </w:p>
    <w:p w14:paraId="1C0F5560" w14:textId="77777777" w:rsidR="00DB2B68" w:rsidRDefault="00000000">
      <w:r>
        <w:rPr>
          <w:rStyle w:val="soitChar"/>
        </w:rPr>
        <w:t>2.3.  pc</w:t>
      </w:r>
    </w:p>
    <w:p w14:paraId="134B1088" w14:textId="77777777" w:rsidR="00DB2B68" w:rsidRDefault="00000000">
      <w:pPr>
        <w:pStyle w:val="pheading"/>
      </w:pPr>
      <w:r>
        <w:t>- code de mesurage:</w:t>
      </w:r>
    </w:p>
    <w:p w14:paraId="41C5DDEA" w14:textId="77777777" w:rsidR="00DB2B68" w:rsidRDefault="00000000">
      <w:r>
        <w:rPr>
          <w:rStyle w:val="optioncarChar"/>
        </w:rPr>
        <w:t>Compris </w:t>
      </w:r>
      <w:r>
        <w:t>(par défaut) </w:t>
      </w:r>
      <w:r>
        <w:rPr>
          <w:rStyle w:val="optioncarChar"/>
        </w:rPr>
        <w:t>/ Quantité nette</w:t>
      </w:r>
    </w:p>
    <w:p w14:paraId="5EDF2FCD" w14:textId="77777777" w:rsidR="00DB2B68" w:rsidRDefault="00000000">
      <w:r>
        <w:rPr>
          <w:b/>
          <w:i/>
        </w:rPr>
        <w:t>(Soit par défaut)</w:t>
      </w:r>
    </w:p>
    <w:p w14:paraId="3339A47D" w14:textId="77777777" w:rsidR="00DB2B68" w:rsidRDefault="00000000">
      <w:r>
        <w:rPr>
          <w:rStyle w:val="soitChar"/>
        </w:rPr>
        <w:t>1.    </w:t>
      </w:r>
      <w:r>
        <w:rPr>
          <w:rStyle w:val="soitChar"/>
          <w:u w:val="single"/>
        </w:rPr>
        <w:t> Compris</w:t>
      </w:r>
      <w:r>
        <w:rPr>
          <w:rStyle w:val="soitChar"/>
        </w:rPr>
        <w:t> dans l’article de référence</w:t>
      </w:r>
      <w:r>
        <w:t> </w:t>
      </w:r>
      <w:r>
        <w:rPr>
          <w:rStyle w:val="optioncarChar"/>
        </w:rPr>
        <w:t>***</w:t>
      </w:r>
    </w:p>
    <w:p w14:paraId="45682128" w14:textId="77777777" w:rsidR="00DB2B68" w:rsidRDefault="00000000">
      <w:r>
        <w:rPr>
          <w:b/>
          <w:i/>
        </w:rPr>
        <w:lastRenderedPageBreak/>
        <w:t>(Soit)</w:t>
      </w:r>
    </w:p>
    <w:p w14:paraId="46CCDBE4"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3C1C83EF" w14:textId="77777777" w:rsidR="00DB2B68" w:rsidRDefault="00000000">
      <w:pPr>
        <w:pStyle w:val="pheading"/>
      </w:pPr>
      <w:r>
        <w:t>- nature du marché:</w:t>
      </w:r>
    </w:p>
    <w:p w14:paraId="2CFE33F4" w14:textId="77777777" w:rsidR="00DB2B68" w:rsidRDefault="00000000">
      <w:r>
        <w:rPr>
          <w:rStyle w:val="optioncarChar"/>
        </w:rPr>
        <w:t>PM</w:t>
      </w:r>
      <w:r>
        <w:t> (par défaut) </w:t>
      </w:r>
      <w:r>
        <w:rPr>
          <w:rStyle w:val="optioncarChar"/>
        </w:rPr>
        <w:t>/ QF / QP</w:t>
      </w:r>
    </w:p>
    <w:p w14:paraId="2F1BE019" w14:textId="77777777" w:rsidR="00DB2B68" w:rsidRDefault="00000000">
      <w:r>
        <w:rPr>
          <w:b/>
          <w:i/>
        </w:rPr>
        <w:t>(Soit par défaut)</w:t>
      </w:r>
    </w:p>
    <w:p w14:paraId="5B70EB5C" w14:textId="77777777" w:rsidR="00DB2B68" w:rsidRDefault="00000000">
      <w:r>
        <w:rPr>
          <w:rStyle w:val="soitChar"/>
        </w:rPr>
        <w:t>1.     PM</w:t>
      </w:r>
    </w:p>
    <w:p w14:paraId="1601FED1" w14:textId="77777777" w:rsidR="00DB2B68" w:rsidRDefault="00000000">
      <w:r>
        <w:rPr>
          <w:b/>
          <w:i/>
        </w:rPr>
        <w:t>(Soit)</w:t>
      </w:r>
    </w:p>
    <w:p w14:paraId="65995BF5" w14:textId="77777777" w:rsidR="00DB2B68" w:rsidRDefault="00000000">
      <w:r>
        <w:rPr>
          <w:rStyle w:val="soitChar"/>
        </w:rPr>
        <w:t>2.     QF</w:t>
      </w:r>
    </w:p>
    <w:p w14:paraId="4769C382" w14:textId="77777777" w:rsidR="00DB2B68" w:rsidRDefault="00000000">
      <w:r>
        <w:rPr>
          <w:b/>
          <w:i/>
        </w:rPr>
        <w:t>(Soit)</w:t>
      </w:r>
    </w:p>
    <w:p w14:paraId="3F7E3595" w14:textId="77777777" w:rsidR="00DB2B68" w:rsidRDefault="00000000">
      <w:r>
        <w:rPr>
          <w:rStyle w:val="soitChar"/>
        </w:rPr>
        <w:t>3.     QP</w:t>
      </w:r>
    </w:p>
    <w:p w14:paraId="67DA696C" w14:textId="77777777" w:rsidR="00DB2B68" w:rsidRDefault="00000000">
      <w:pPr>
        <w:pStyle w:val="Author-eSectionHeading6Numberless"/>
      </w:pPr>
      <w:bookmarkStart w:id="1724" w:name="_Toc220496700"/>
      <w:r>
        <w:t>24.41.1d Assemblages traditionnels (bois/bois) - traits de Jupiter CCTB 01.07</w:t>
      </w:r>
      <w:bookmarkEnd w:id="1724"/>
    </w:p>
    <w:p w14:paraId="410B3B56" w14:textId="77777777" w:rsidR="00DB2B68" w:rsidRDefault="00000000">
      <w:pPr>
        <w:pStyle w:val="pheading"/>
      </w:pPr>
      <w:bookmarkStart w:id="1725" w:name="611"/>
      <w:bookmarkEnd w:id="1725"/>
      <w:r>
        <w:t>DESCRIPTION</w:t>
      </w:r>
    </w:p>
    <w:p w14:paraId="66F029AE" w14:textId="77777777" w:rsidR="00DB2B68" w:rsidRDefault="00000000">
      <w:pPr>
        <w:pStyle w:val="pheading"/>
      </w:pPr>
      <w:r>
        <w:t>- Définition / Comprend</w:t>
      </w:r>
    </w:p>
    <w:p w14:paraId="267BF771" w14:textId="77777777" w:rsidR="00DB2B68" w:rsidRDefault="00000000">
      <w:r>
        <w:t>L’assemblage à trait de Jupiter est un assemblage qui lie deux éléments en bois bout à bout.</w:t>
      </w:r>
    </w:p>
    <w:p w14:paraId="7CD06DDC" w14:textId="77777777" w:rsidR="00DB2B68" w:rsidRDefault="00000000">
      <w:pPr>
        <w:pStyle w:val="pheading"/>
      </w:pPr>
      <w:r>
        <w:t>EXÉCUTION / MISE EN ŒUVRE</w:t>
      </w:r>
    </w:p>
    <w:p w14:paraId="63137985" w14:textId="77777777" w:rsidR="00DB2B68" w:rsidRDefault="00000000">
      <w:pPr>
        <w:pStyle w:val="pheading"/>
      </w:pPr>
      <w:r>
        <w:t>- Prescriptions générales</w:t>
      </w:r>
    </w:p>
    <w:p w14:paraId="7D29D308" w14:textId="77777777" w:rsidR="00DB2B68" w:rsidRDefault="00000000">
      <w:pPr>
        <w:jc w:val="both"/>
      </w:pPr>
      <w:r>
        <w:t>La longueur de l’assemblage est comprise entre 3 et 3,5 fois la hauteur de la pièce.</w:t>
      </w:r>
    </w:p>
    <w:p w14:paraId="4891D371" w14:textId="77777777" w:rsidR="00DB2B68" w:rsidRDefault="00000000">
      <w:pPr>
        <w:jc w:val="both"/>
      </w:pPr>
      <w:r>
        <w:t>Il est possible d’utiliser une clé de forme rectangulaire et deux clés taillées en sifflet afin de bloquer l’assemblage.</w:t>
      </w:r>
    </w:p>
    <w:p w14:paraId="1D696182" w14:textId="77777777" w:rsidR="00DB2B68" w:rsidRDefault="00000000">
      <w:pPr>
        <w:jc w:val="both"/>
      </w:pPr>
      <w:r>
        <w:t>La hauteur des abouts est comprise entre 15% et 20% de la hauteur de la pièce.</w:t>
      </w:r>
    </w:p>
    <w:p w14:paraId="6ECE6854" w14:textId="77777777" w:rsidR="00DB2B68" w:rsidRDefault="00000000">
      <w:pPr>
        <w:jc w:val="both"/>
      </w:pPr>
      <w:r>
        <w:t>Géométrie de l’assemblage :</w:t>
      </w:r>
      <w:r>
        <w:rPr>
          <w:rStyle w:val="optioncarChar"/>
        </w:rPr>
        <w:t xml:space="preserve"> à déterminer par l’entreprise </w:t>
      </w:r>
      <w:r>
        <w:t xml:space="preserve">(par défaut) </w:t>
      </w:r>
      <w:r>
        <w:rPr>
          <w:rStyle w:val="optioncarChar"/>
        </w:rPr>
        <w:t>/ voir plan / ***</w:t>
      </w:r>
    </w:p>
    <w:p w14:paraId="7F854FE1" w14:textId="77777777" w:rsidR="00DB2B68" w:rsidRDefault="00000000">
      <w:pPr>
        <w:pStyle w:val="pheading"/>
      </w:pPr>
      <w:r>
        <w:t>MESURAGE</w:t>
      </w:r>
    </w:p>
    <w:p w14:paraId="38566433" w14:textId="77777777" w:rsidR="00DB2B68" w:rsidRDefault="00000000">
      <w:pPr>
        <w:pStyle w:val="pheading"/>
      </w:pPr>
      <w:r>
        <w:t>- unité de mesure:</w:t>
      </w:r>
    </w:p>
    <w:p w14:paraId="654EBCEF" w14:textId="77777777" w:rsidR="00DB2B68" w:rsidRDefault="00000000">
      <w:r>
        <w:rPr>
          <w:rStyle w:val="optioncarChar"/>
        </w:rPr>
        <w:t>- </w:t>
      </w:r>
      <w:r>
        <w:t>(par défaut)</w:t>
      </w:r>
      <w:r>
        <w:rPr>
          <w:rStyle w:val="optioncarChar"/>
        </w:rPr>
        <w:t> / pc</w:t>
      </w:r>
    </w:p>
    <w:p w14:paraId="18B316CF" w14:textId="77777777" w:rsidR="00DB2B68" w:rsidRDefault="00000000">
      <w:r>
        <w:rPr>
          <w:b/>
          <w:i/>
        </w:rPr>
        <w:t>(Soit par défaut)</w:t>
      </w:r>
    </w:p>
    <w:p w14:paraId="297ED1F3" w14:textId="77777777" w:rsidR="00DB2B68" w:rsidRDefault="00000000">
      <w:r>
        <w:rPr>
          <w:rStyle w:val="soitChar"/>
        </w:rPr>
        <w:t>1.     –</w:t>
      </w:r>
    </w:p>
    <w:p w14:paraId="01492D73" w14:textId="77777777" w:rsidR="00DB2B68" w:rsidRDefault="00000000">
      <w:r>
        <w:rPr>
          <w:b/>
          <w:i/>
        </w:rPr>
        <w:t>(Soit)</w:t>
      </w:r>
    </w:p>
    <w:p w14:paraId="6F6143E8" w14:textId="77777777" w:rsidR="00DB2B68" w:rsidRDefault="00000000">
      <w:r>
        <w:rPr>
          <w:rStyle w:val="soitChar"/>
        </w:rPr>
        <w:t>2.3.  pc</w:t>
      </w:r>
    </w:p>
    <w:p w14:paraId="0176FECB" w14:textId="77777777" w:rsidR="00DB2B68" w:rsidRDefault="00000000">
      <w:pPr>
        <w:pStyle w:val="pheading"/>
      </w:pPr>
      <w:r>
        <w:t>- code de mesurage:</w:t>
      </w:r>
    </w:p>
    <w:p w14:paraId="4D1952CA" w14:textId="77777777" w:rsidR="00DB2B68" w:rsidRDefault="00000000">
      <w:r>
        <w:rPr>
          <w:rStyle w:val="optioncarChar"/>
        </w:rPr>
        <w:t>Compris</w:t>
      </w:r>
      <w:r>
        <w:t> (par défaut) </w:t>
      </w:r>
      <w:r>
        <w:rPr>
          <w:rStyle w:val="optioncarChar"/>
        </w:rPr>
        <w:t>/ Quantité nette</w:t>
      </w:r>
    </w:p>
    <w:p w14:paraId="5F89ED31" w14:textId="77777777" w:rsidR="00DB2B68" w:rsidRDefault="00000000">
      <w:r>
        <w:rPr>
          <w:b/>
          <w:i/>
        </w:rPr>
        <w:t>(Soit par défaut)</w:t>
      </w:r>
    </w:p>
    <w:p w14:paraId="495D65FD" w14:textId="77777777" w:rsidR="00DB2B68" w:rsidRDefault="00000000">
      <w:r>
        <w:rPr>
          <w:rStyle w:val="soitChar"/>
        </w:rPr>
        <w:t>1.     </w:t>
      </w:r>
      <w:r>
        <w:rPr>
          <w:rStyle w:val="soitChar"/>
          <w:u w:val="single"/>
        </w:rPr>
        <w:t>Compris </w:t>
      </w:r>
      <w:r>
        <w:rPr>
          <w:rStyle w:val="soitChar"/>
        </w:rPr>
        <w:t>dans l’article de référence</w:t>
      </w:r>
      <w:r>
        <w:t> </w:t>
      </w:r>
      <w:r>
        <w:rPr>
          <w:rStyle w:val="optioncarChar"/>
        </w:rPr>
        <w:t>***</w:t>
      </w:r>
    </w:p>
    <w:p w14:paraId="1F1E780C" w14:textId="77777777" w:rsidR="00DB2B68" w:rsidRDefault="00000000">
      <w:r>
        <w:rPr>
          <w:b/>
          <w:i/>
        </w:rPr>
        <w:t>(Soit)</w:t>
      </w:r>
    </w:p>
    <w:p w14:paraId="6EF035BB" w14:textId="77777777" w:rsidR="00DB2B68" w:rsidRDefault="00000000">
      <w:r>
        <w:rPr>
          <w:rStyle w:val="soitChar"/>
        </w:rPr>
        <w:t>2.3.</w:t>
      </w:r>
      <w:r>
        <w:rPr>
          <w:rStyle w:val="soitChar"/>
          <w:u w:val="single"/>
        </w:rPr>
        <w:t> Quantité nette</w:t>
      </w:r>
      <w:r>
        <w:rPr>
          <w:rStyle w:val="soitChar"/>
        </w:rPr>
        <w:t> : Le nombre d’assemblages à embrèvement ayant les mêmes dimensions est compatibilisé.</w:t>
      </w:r>
    </w:p>
    <w:p w14:paraId="104A2AD1" w14:textId="77777777" w:rsidR="00DB2B68" w:rsidRDefault="00000000">
      <w:pPr>
        <w:pStyle w:val="pheading"/>
      </w:pPr>
      <w:r>
        <w:t>- nature du marché:</w:t>
      </w:r>
    </w:p>
    <w:p w14:paraId="08594C5A" w14:textId="77777777" w:rsidR="00DB2B68" w:rsidRDefault="00000000">
      <w:r>
        <w:rPr>
          <w:rStyle w:val="optioncarChar"/>
        </w:rPr>
        <w:t>PM </w:t>
      </w:r>
      <w:r>
        <w:t>(par défaut)</w:t>
      </w:r>
      <w:r>
        <w:rPr>
          <w:rStyle w:val="optioncarChar"/>
        </w:rPr>
        <w:t> / QF / QP</w:t>
      </w:r>
    </w:p>
    <w:p w14:paraId="64D2C38D" w14:textId="77777777" w:rsidR="00DB2B68" w:rsidRDefault="00000000">
      <w:r>
        <w:rPr>
          <w:b/>
          <w:i/>
        </w:rPr>
        <w:t>(Soit par défaut)</w:t>
      </w:r>
    </w:p>
    <w:p w14:paraId="04A4F488" w14:textId="77777777" w:rsidR="00DB2B68" w:rsidRDefault="00000000">
      <w:r>
        <w:rPr>
          <w:rStyle w:val="soitChar"/>
        </w:rPr>
        <w:lastRenderedPageBreak/>
        <w:t>1.     PM</w:t>
      </w:r>
    </w:p>
    <w:p w14:paraId="4745C5FF" w14:textId="77777777" w:rsidR="00DB2B68" w:rsidRDefault="00000000">
      <w:r>
        <w:rPr>
          <w:b/>
          <w:i/>
        </w:rPr>
        <w:t>(Soit)</w:t>
      </w:r>
    </w:p>
    <w:p w14:paraId="5AC99124" w14:textId="77777777" w:rsidR="00DB2B68" w:rsidRDefault="00000000">
      <w:r>
        <w:rPr>
          <w:rStyle w:val="soitChar"/>
        </w:rPr>
        <w:t>2.     QF</w:t>
      </w:r>
    </w:p>
    <w:p w14:paraId="01D1F330" w14:textId="77777777" w:rsidR="00DB2B68" w:rsidRDefault="00000000">
      <w:r>
        <w:rPr>
          <w:b/>
          <w:i/>
        </w:rPr>
        <w:t>(Soit)</w:t>
      </w:r>
    </w:p>
    <w:p w14:paraId="6E6B3B7F" w14:textId="77777777" w:rsidR="00DB2B68" w:rsidRDefault="00000000">
      <w:r>
        <w:rPr>
          <w:rStyle w:val="soitChar"/>
        </w:rPr>
        <w:t>3.     QP</w:t>
      </w:r>
    </w:p>
    <w:p w14:paraId="22D666C9" w14:textId="77777777" w:rsidR="00DB2B68" w:rsidRDefault="00000000">
      <w:pPr>
        <w:pStyle w:val="pheading"/>
      </w:pPr>
      <w:r>
        <w:t>AIDE</w:t>
      </w:r>
    </w:p>
    <w:p w14:paraId="1631E9F0" w14:textId="77777777" w:rsidR="00DB2B68" w:rsidRDefault="00000000">
      <w:pPr>
        <w:jc w:val="both"/>
      </w:pPr>
      <w:r>
        <w:t>La complexité des assemblages par trait de Jupiter et la grande perte de matière qu’ils induisent, du fait de leur longueur, fait qu’ils sont rarement la solution optimale du point de vue économique.</w:t>
      </w:r>
    </w:p>
    <w:p w14:paraId="13E86984" w14:textId="77777777" w:rsidR="00DB2B68" w:rsidRDefault="00000000">
      <w:pPr>
        <w:pStyle w:val="Author-eSectionHeading4Numberless"/>
      </w:pPr>
      <w:bookmarkStart w:id="1726" w:name="_Toc220496701"/>
      <w:r>
        <w:t>24.42 Assemblages mécaniques CCTB 01.11</w:t>
      </w:r>
      <w:bookmarkEnd w:id="1726"/>
    </w:p>
    <w:p w14:paraId="5624B1D0" w14:textId="77777777" w:rsidR="00DB2B68" w:rsidRDefault="00000000">
      <w:pPr>
        <w:pStyle w:val="pheading"/>
      </w:pPr>
      <w:bookmarkStart w:id="1727" w:name="595"/>
      <w:bookmarkEnd w:id="1727"/>
      <w:r>
        <w:t>DESCRIPTION</w:t>
      </w:r>
    </w:p>
    <w:p w14:paraId="58C64FA1" w14:textId="77777777" w:rsidR="00DB2B68" w:rsidRDefault="00000000">
      <w:pPr>
        <w:pStyle w:val="pheading"/>
      </w:pPr>
      <w:r>
        <w:t>- Définition / Comprend</w:t>
      </w:r>
    </w:p>
    <w:p w14:paraId="4AE9AFE0" w14:textId="77777777" w:rsidR="00DB2B68" w:rsidRDefault="00000000">
      <w:pPr>
        <w:jc w:val="both"/>
      </w:pPr>
      <w:r>
        <w:t>Un assemblage est dit mécanique lorsqu’il fait intervenir des éléments métalliques (vis, plaque acier, etc.) pour transmettre l’effort d’un élément bois vers un autre.</w:t>
      </w:r>
    </w:p>
    <w:p w14:paraId="020CFCCB" w14:textId="77777777" w:rsidR="00DB2B68" w:rsidRDefault="00000000">
      <w:pPr>
        <w:pStyle w:val="pheading"/>
      </w:pPr>
      <w:r>
        <w:t>MATÉRIAUX</w:t>
      </w:r>
    </w:p>
    <w:p w14:paraId="474AB81C" w14:textId="77777777" w:rsidR="00DB2B68" w:rsidRDefault="00000000">
      <w:pPr>
        <w:jc w:val="both"/>
      </w:pPr>
      <w:r>
        <w:rPr>
          <w:u w:val="single"/>
        </w:rPr>
        <w:t>Protection contre la corrosion</w:t>
      </w:r>
    </w:p>
    <w:p w14:paraId="1885E524" w14:textId="77777777" w:rsidR="00DB2B68" w:rsidRDefault="00000000">
      <w:pPr>
        <w:jc w:val="both"/>
      </w:pPr>
      <w:r>
        <w:t>Les organes métalliques des assemblages sont protégés contre la corrosion. Cette protection est proportionnelle au risque auquel ils sont soumis.</w:t>
      </w:r>
    </w:p>
    <w:p w14:paraId="63B44DD3" w14:textId="77777777" w:rsidR="00DB2B68" w:rsidRDefault="00000000">
      <w:pPr>
        <w:jc w:val="both"/>
      </w:pPr>
      <w:r>
        <w:t>Hors situation exceptionnelle, le risque provient de deux facteurs :</w:t>
      </w:r>
    </w:p>
    <w:p w14:paraId="171A76E4" w14:textId="77777777" w:rsidR="00DB2B68" w:rsidRDefault="00000000">
      <w:pPr>
        <w:pStyle w:val="Author-eListParagraph"/>
        <w:numPr>
          <w:ilvl w:val="0"/>
          <w:numId w:val="1052"/>
        </w:numPr>
      </w:pPr>
      <w:r>
        <w:t>La possibilité d’humidification. Ce facteur est déterminé par la classe d’emploi.</w:t>
      </w:r>
    </w:p>
    <w:p w14:paraId="6D4FB722" w14:textId="77777777" w:rsidR="00DB2B68" w:rsidRDefault="00000000">
      <w:pPr>
        <w:pStyle w:val="Author-eListParagraph"/>
        <w:numPr>
          <w:ilvl w:val="0"/>
          <w:numId w:val="1052"/>
        </w:numPr>
      </w:pPr>
      <w:r>
        <w:t>L’acidité du bois assemblé.</w:t>
      </w:r>
    </w:p>
    <w:p w14:paraId="263176EF" w14:textId="77777777" w:rsidR="00DB2B68" w:rsidRDefault="00000000">
      <w:pPr>
        <w:jc w:val="both"/>
      </w:pPr>
      <w:r>
        <w:t> </w:t>
      </w:r>
    </w:p>
    <w:p w14:paraId="52AC71BC" w14:textId="77777777" w:rsidR="00DB2B68" w:rsidRDefault="00000000">
      <w:pPr>
        <w:jc w:val="both"/>
      </w:pPr>
      <w:r>
        <w:t>L’Eurocode 5 ([NBN EN 1995-1-1]) prescrit les protections contre la corrosion minimales suivant la classe d’emploi, le type d’organe métallique et ses dimensions :</w:t>
      </w:r>
    </w:p>
    <w:tbl>
      <w:tblPr>
        <w:tblStyle w:val="Author-eTableGrid"/>
        <w:tblW w:w="9030" w:type="dxa"/>
        <w:tblLayout w:type="fixed"/>
        <w:tblLook w:val="04A0" w:firstRow="1" w:lastRow="0" w:firstColumn="1" w:lastColumn="0" w:noHBand="0" w:noVBand="1"/>
      </w:tblPr>
      <w:tblGrid>
        <w:gridCol w:w="5655"/>
        <w:gridCol w:w="1125"/>
        <w:gridCol w:w="1125"/>
        <w:gridCol w:w="1125"/>
      </w:tblGrid>
      <w:tr w:rsidR="00DB2B68" w14:paraId="18DCC9CF" w14:textId="77777777">
        <w:tc>
          <w:tcPr>
            <w:tcW w:w="9030" w:type="dxa"/>
            <w:gridSpan w:val="4"/>
            <w:shd w:val="clear" w:color="auto" w:fill="C0C0C0"/>
            <w:noWrap/>
          </w:tcPr>
          <w:p w14:paraId="3C941B01" w14:textId="77777777" w:rsidR="00DB2B68" w:rsidRDefault="00000000">
            <w:pPr>
              <w:jc w:val="center"/>
            </w:pPr>
            <w:r>
              <w:rPr>
                <w:b/>
                <w:shd w:val="clear" w:color="auto" w:fill="C0C0C0"/>
              </w:rPr>
              <w:t>Protection par galvanisation à chaud ([NBN EN 10346])</w:t>
            </w:r>
          </w:p>
        </w:tc>
      </w:tr>
      <w:tr w:rsidR="00DB2B68" w14:paraId="1EC35905" w14:textId="77777777">
        <w:tc>
          <w:tcPr>
            <w:tcW w:w="5655" w:type="dxa"/>
            <w:vMerge w:val="restart"/>
            <w:shd w:val="clear" w:color="auto" w:fill="C0C0C0"/>
            <w:noWrap/>
          </w:tcPr>
          <w:p w14:paraId="6936D8DF" w14:textId="77777777" w:rsidR="00DB2B68" w:rsidRDefault="00000000">
            <w:pPr>
              <w:jc w:val="center"/>
            </w:pPr>
            <w:r>
              <w:rPr>
                <w:b/>
                <w:shd w:val="clear" w:color="auto" w:fill="C0C0C0"/>
              </w:rPr>
              <w:t>Assemblage</w:t>
            </w:r>
          </w:p>
        </w:tc>
        <w:tc>
          <w:tcPr>
            <w:tcW w:w="3375" w:type="dxa"/>
            <w:gridSpan w:val="3"/>
            <w:shd w:val="clear" w:color="auto" w:fill="C0C0C0"/>
            <w:noWrap/>
          </w:tcPr>
          <w:p w14:paraId="782AD892" w14:textId="77777777" w:rsidR="00DB2B68" w:rsidRDefault="00000000">
            <w:pPr>
              <w:jc w:val="center"/>
            </w:pPr>
            <w:r>
              <w:rPr>
                <w:b/>
                <w:shd w:val="clear" w:color="auto" w:fill="C0C0C0"/>
              </w:rPr>
              <w:t>Classe d'emploi</w:t>
            </w:r>
          </w:p>
        </w:tc>
      </w:tr>
      <w:tr w:rsidR="00DB2B68" w14:paraId="5AB052AF" w14:textId="77777777">
        <w:tc>
          <w:tcPr>
            <w:tcW w:w="5655" w:type="dxa"/>
            <w:vMerge/>
            <w:shd w:val="clear" w:color="auto" w:fill="C0C0C0"/>
            <w:noWrap/>
          </w:tcPr>
          <w:p w14:paraId="473AD195" w14:textId="77777777" w:rsidR="00DB2B68" w:rsidRDefault="00DB2B68"/>
        </w:tc>
        <w:tc>
          <w:tcPr>
            <w:tcW w:w="1125" w:type="dxa"/>
            <w:shd w:val="clear" w:color="auto" w:fill="C0C0C0"/>
            <w:noWrap/>
          </w:tcPr>
          <w:p w14:paraId="368726E2" w14:textId="77777777" w:rsidR="00DB2B68" w:rsidRDefault="00000000">
            <w:pPr>
              <w:jc w:val="center"/>
            </w:pPr>
            <w:r>
              <w:rPr>
                <w:b/>
                <w:shd w:val="clear" w:color="auto" w:fill="C0C0C0"/>
              </w:rPr>
              <w:t>1</w:t>
            </w:r>
          </w:p>
        </w:tc>
        <w:tc>
          <w:tcPr>
            <w:tcW w:w="1125" w:type="dxa"/>
            <w:shd w:val="clear" w:color="auto" w:fill="C0C0C0"/>
            <w:noWrap/>
          </w:tcPr>
          <w:p w14:paraId="79EB7933" w14:textId="77777777" w:rsidR="00DB2B68" w:rsidRDefault="00000000">
            <w:pPr>
              <w:jc w:val="center"/>
            </w:pPr>
            <w:r>
              <w:rPr>
                <w:b/>
                <w:shd w:val="clear" w:color="auto" w:fill="C0C0C0"/>
              </w:rPr>
              <w:t>2</w:t>
            </w:r>
          </w:p>
        </w:tc>
        <w:tc>
          <w:tcPr>
            <w:tcW w:w="1125" w:type="dxa"/>
            <w:shd w:val="clear" w:color="auto" w:fill="C0C0C0"/>
            <w:noWrap/>
          </w:tcPr>
          <w:p w14:paraId="59959635" w14:textId="77777777" w:rsidR="00DB2B68" w:rsidRDefault="00000000">
            <w:pPr>
              <w:jc w:val="center"/>
            </w:pPr>
            <w:r>
              <w:rPr>
                <w:b/>
                <w:shd w:val="clear" w:color="auto" w:fill="C0C0C0"/>
              </w:rPr>
              <w:t>3</w:t>
            </w:r>
          </w:p>
        </w:tc>
      </w:tr>
      <w:tr w:rsidR="00DB2B68" w14:paraId="41AEB43F" w14:textId="77777777">
        <w:tc>
          <w:tcPr>
            <w:tcW w:w="5655" w:type="dxa"/>
            <w:noWrap/>
          </w:tcPr>
          <w:p w14:paraId="3960DED6" w14:textId="77777777" w:rsidR="00DB2B68" w:rsidRDefault="00000000">
            <w:r>
              <w:t>Pointes et tire-fonds avec Ø ≤ 4mm</w:t>
            </w:r>
          </w:p>
        </w:tc>
        <w:tc>
          <w:tcPr>
            <w:tcW w:w="1125" w:type="dxa"/>
            <w:noWrap/>
          </w:tcPr>
          <w:p w14:paraId="54519AB9" w14:textId="77777777" w:rsidR="00DB2B68" w:rsidRDefault="00000000">
            <w:r>
              <w:t>-</w:t>
            </w:r>
          </w:p>
        </w:tc>
        <w:tc>
          <w:tcPr>
            <w:tcW w:w="1125" w:type="dxa"/>
            <w:noWrap/>
          </w:tcPr>
          <w:p w14:paraId="59A98306" w14:textId="77777777" w:rsidR="00DB2B68" w:rsidRDefault="00000000">
            <w:r>
              <w:t>Z275</w:t>
            </w:r>
          </w:p>
        </w:tc>
        <w:tc>
          <w:tcPr>
            <w:tcW w:w="1125" w:type="dxa"/>
            <w:noWrap/>
          </w:tcPr>
          <w:p w14:paraId="57145286" w14:textId="77777777" w:rsidR="00DB2B68" w:rsidRDefault="00000000">
            <w:r>
              <w:t>Z350</w:t>
            </w:r>
          </w:p>
        </w:tc>
      </w:tr>
      <w:tr w:rsidR="00DB2B68" w14:paraId="0C3F8E78" w14:textId="77777777">
        <w:tc>
          <w:tcPr>
            <w:tcW w:w="5655" w:type="dxa"/>
            <w:noWrap/>
          </w:tcPr>
          <w:p w14:paraId="6645BF5C" w14:textId="77777777" w:rsidR="00DB2B68" w:rsidRDefault="00000000">
            <w:r>
              <w:t>Boulons, broches, pointes et tire-fonds avec Ø &gt; 4mm</w:t>
            </w:r>
          </w:p>
        </w:tc>
        <w:tc>
          <w:tcPr>
            <w:tcW w:w="1125" w:type="dxa"/>
            <w:noWrap/>
          </w:tcPr>
          <w:p w14:paraId="1CCB0A89" w14:textId="77777777" w:rsidR="00DB2B68" w:rsidRDefault="00000000">
            <w:r>
              <w:t>-</w:t>
            </w:r>
          </w:p>
        </w:tc>
        <w:tc>
          <w:tcPr>
            <w:tcW w:w="1125" w:type="dxa"/>
            <w:noWrap/>
          </w:tcPr>
          <w:p w14:paraId="345FE2A4" w14:textId="77777777" w:rsidR="00DB2B68" w:rsidRDefault="00000000">
            <w:r>
              <w:t>-</w:t>
            </w:r>
          </w:p>
        </w:tc>
        <w:tc>
          <w:tcPr>
            <w:tcW w:w="1125" w:type="dxa"/>
            <w:noWrap/>
          </w:tcPr>
          <w:p w14:paraId="5D86823F" w14:textId="77777777" w:rsidR="00DB2B68" w:rsidRDefault="00000000">
            <w:r>
              <w:t>Z350</w:t>
            </w:r>
          </w:p>
        </w:tc>
      </w:tr>
      <w:tr w:rsidR="00DB2B68" w14:paraId="7C42DC77" w14:textId="77777777">
        <w:tc>
          <w:tcPr>
            <w:tcW w:w="5655" w:type="dxa"/>
            <w:noWrap/>
          </w:tcPr>
          <w:p w14:paraId="7D49546D" w14:textId="77777777" w:rsidR="00DB2B68" w:rsidRDefault="00000000">
            <w:r>
              <w:t>Agrafes</w:t>
            </w:r>
          </w:p>
        </w:tc>
        <w:tc>
          <w:tcPr>
            <w:tcW w:w="1125" w:type="dxa"/>
            <w:noWrap/>
          </w:tcPr>
          <w:p w14:paraId="0138DAB4" w14:textId="77777777" w:rsidR="00DB2B68" w:rsidRDefault="00000000">
            <w:r>
              <w:t>Z275</w:t>
            </w:r>
          </w:p>
        </w:tc>
        <w:tc>
          <w:tcPr>
            <w:tcW w:w="1125" w:type="dxa"/>
            <w:noWrap/>
          </w:tcPr>
          <w:p w14:paraId="7D2ADDAA" w14:textId="77777777" w:rsidR="00DB2B68" w:rsidRDefault="00000000">
            <w:r>
              <w:t>Z275</w:t>
            </w:r>
          </w:p>
        </w:tc>
        <w:tc>
          <w:tcPr>
            <w:tcW w:w="1125" w:type="dxa"/>
            <w:noWrap/>
          </w:tcPr>
          <w:p w14:paraId="7086BE63" w14:textId="77777777" w:rsidR="00DB2B68" w:rsidRDefault="00000000">
            <w:r>
              <w:t>Acier inox</w:t>
            </w:r>
          </w:p>
        </w:tc>
      </w:tr>
      <w:tr w:rsidR="00DB2B68" w14:paraId="3CB19016" w14:textId="77777777">
        <w:tc>
          <w:tcPr>
            <w:tcW w:w="5655" w:type="dxa"/>
            <w:noWrap/>
          </w:tcPr>
          <w:p w14:paraId="2C10AEDA" w14:textId="77777777" w:rsidR="00DB2B68" w:rsidRDefault="00000000">
            <w:r>
              <w:t>Plaques métalliques embouties et plaques métalliques jusqu'à 3mm d'épaisseur</w:t>
            </w:r>
          </w:p>
        </w:tc>
        <w:tc>
          <w:tcPr>
            <w:tcW w:w="1125" w:type="dxa"/>
            <w:noWrap/>
          </w:tcPr>
          <w:p w14:paraId="1710B126" w14:textId="77777777" w:rsidR="00DB2B68" w:rsidRDefault="00000000">
            <w:r>
              <w:t>Z275</w:t>
            </w:r>
          </w:p>
        </w:tc>
        <w:tc>
          <w:tcPr>
            <w:tcW w:w="1125" w:type="dxa"/>
            <w:noWrap/>
          </w:tcPr>
          <w:p w14:paraId="7668AB02" w14:textId="77777777" w:rsidR="00DB2B68" w:rsidRDefault="00000000">
            <w:r>
              <w:t>Z275</w:t>
            </w:r>
          </w:p>
        </w:tc>
        <w:tc>
          <w:tcPr>
            <w:tcW w:w="1125" w:type="dxa"/>
            <w:noWrap/>
          </w:tcPr>
          <w:p w14:paraId="28757260" w14:textId="77777777" w:rsidR="00DB2B68" w:rsidRDefault="00000000">
            <w:r>
              <w:t>Acier inox</w:t>
            </w:r>
          </w:p>
        </w:tc>
      </w:tr>
      <w:tr w:rsidR="00DB2B68" w14:paraId="6672DEF6" w14:textId="77777777">
        <w:tc>
          <w:tcPr>
            <w:tcW w:w="5655" w:type="dxa"/>
            <w:noWrap/>
          </w:tcPr>
          <w:p w14:paraId="02F17336" w14:textId="77777777" w:rsidR="00DB2B68" w:rsidRDefault="00000000">
            <w:r>
              <w:t>Plaques métalliques dont l'épaisseur est comprise entre 3mm et 5mm</w:t>
            </w:r>
          </w:p>
        </w:tc>
        <w:tc>
          <w:tcPr>
            <w:tcW w:w="1125" w:type="dxa"/>
            <w:noWrap/>
          </w:tcPr>
          <w:p w14:paraId="03DDA295" w14:textId="77777777" w:rsidR="00DB2B68" w:rsidRDefault="00000000">
            <w:r>
              <w:t>-</w:t>
            </w:r>
          </w:p>
        </w:tc>
        <w:tc>
          <w:tcPr>
            <w:tcW w:w="1125" w:type="dxa"/>
            <w:noWrap/>
          </w:tcPr>
          <w:p w14:paraId="68B2D7F0" w14:textId="77777777" w:rsidR="00DB2B68" w:rsidRDefault="00000000">
            <w:r>
              <w:t>Z275</w:t>
            </w:r>
          </w:p>
        </w:tc>
        <w:tc>
          <w:tcPr>
            <w:tcW w:w="1125" w:type="dxa"/>
            <w:noWrap/>
          </w:tcPr>
          <w:p w14:paraId="301310A9" w14:textId="77777777" w:rsidR="00DB2B68" w:rsidRDefault="00000000">
            <w:r>
              <w:t>Z350</w:t>
            </w:r>
          </w:p>
        </w:tc>
      </w:tr>
      <w:tr w:rsidR="00DB2B68" w14:paraId="412EDF5A" w14:textId="77777777">
        <w:tc>
          <w:tcPr>
            <w:tcW w:w="5655" w:type="dxa"/>
            <w:noWrap/>
          </w:tcPr>
          <w:p w14:paraId="5FE06CB7" w14:textId="77777777" w:rsidR="00DB2B68" w:rsidRDefault="00000000">
            <w:r>
              <w:t>Plaques métalliques d'épaisseur supérieure à 5mm</w:t>
            </w:r>
          </w:p>
        </w:tc>
        <w:tc>
          <w:tcPr>
            <w:tcW w:w="1125" w:type="dxa"/>
            <w:noWrap/>
          </w:tcPr>
          <w:p w14:paraId="3FB79128" w14:textId="77777777" w:rsidR="00DB2B68" w:rsidRDefault="00000000">
            <w:r>
              <w:t>-</w:t>
            </w:r>
          </w:p>
        </w:tc>
        <w:tc>
          <w:tcPr>
            <w:tcW w:w="1125" w:type="dxa"/>
            <w:noWrap/>
          </w:tcPr>
          <w:p w14:paraId="00487BDC" w14:textId="77777777" w:rsidR="00DB2B68" w:rsidRDefault="00000000">
            <w:r>
              <w:t>-</w:t>
            </w:r>
          </w:p>
        </w:tc>
        <w:tc>
          <w:tcPr>
            <w:tcW w:w="1125" w:type="dxa"/>
            <w:noWrap/>
          </w:tcPr>
          <w:p w14:paraId="77C44F9B" w14:textId="77777777" w:rsidR="00DB2B68" w:rsidRDefault="00000000">
            <w:r>
              <w:t>Z350</w:t>
            </w:r>
          </w:p>
        </w:tc>
      </w:tr>
    </w:tbl>
    <w:p w14:paraId="3E3B5317" w14:textId="77777777" w:rsidR="00DB2B68" w:rsidRDefault="00DB2B68"/>
    <w:p w14:paraId="04EF7991" w14:textId="77777777" w:rsidR="00DB2B68" w:rsidRDefault="00000000">
      <w:pPr>
        <w:jc w:val="both"/>
      </w:pPr>
      <w:r>
        <w:t>La galvanisation à chaud peut être remplacée par un dépôt de zinc électrolytique ([NBN EN ISO 2081]). Le dépôt Fe/Zn 12c est équivalent à Z275 et le dépôt Fe/Zn 25c est équivalent à Z350.</w:t>
      </w:r>
    </w:p>
    <w:p w14:paraId="72176BD7" w14:textId="77777777" w:rsidR="00DB2B68" w:rsidRDefault="00000000">
      <w:pPr>
        <w:jc w:val="both"/>
      </w:pPr>
      <w:r>
        <w:t>Des organes d’assemblage en acier inoxydable sont mis en œuvre s’ils sont installés en extérieur dans un des environnements suivants :</w:t>
      </w:r>
    </w:p>
    <w:p w14:paraId="079111D7" w14:textId="77777777" w:rsidR="00DB2B68" w:rsidRDefault="00000000">
      <w:pPr>
        <w:pStyle w:val="Author-eListParagraph"/>
        <w:numPr>
          <w:ilvl w:val="0"/>
          <w:numId w:val="1053"/>
        </w:numPr>
      </w:pPr>
      <w:r>
        <w:t>zone de climat maritime (&lt;10km du bord de mer),</w:t>
      </w:r>
    </w:p>
    <w:p w14:paraId="63662CF6" w14:textId="77777777" w:rsidR="00DB2B68" w:rsidRDefault="00000000">
      <w:pPr>
        <w:pStyle w:val="Author-eListParagraph"/>
        <w:numPr>
          <w:ilvl w:val="0"/>
          <w:numId w:val="1053"/>
        </w:numPr>
      </w:pPr>
      <w:r>
        <w:t>zone de forte pollution industrielle,</w:t>
      </w:r>
    </w:p>
    <w:p w14:paraId="61D7BA9F" w14:textId="77777777" w:rsidR="00DB2B68" w:rsidRDefault="00000000">
      <w:pPr>
        <w:pStyle w:val="Author-eListParagraph"/>
        <w:numPr>
          <w:ilvl w:val="0"/>
          <w:numId w:val="1053"/>
        </w:numPr>
      </w:pPr>
      <w:r>
        <w:t>directement à côté d’une route susceptible d’être salée.</w:t>
      </w:r>
    </w:p>
    <w:p w14:paraId="2C1F5D20" w14:textId="77777777" w:rsidR="00DB2B68" w:rsidRDefault="00000000">
      <w:pPr>
        <w:jc w:val="both"/>
      </w:pPr>
      <w:r>
        <w:lastRenderedPageBreak/>
        <w:t>Les situations exceptionnelles, qui font l’objet d’une attention particulière sont, par exemple, les suivantes :</w:t>
      </w:r>
    </w:p>
    <w:p w14:paraId="4A4455AA" w14:textId="77777777" w:rsidR="00DB2B68" w:rsidRDefault="00000000">
      <w:pPr>
        <w:pStyle w:val="Author-eListParagraph"/>
        <w:numPr>
          <w:ilvl w:val="0"/>
          <w:numId w:val="1054"/>
        </w:numPr>
      </w:pPr>
      <w:r>
        <w:t>installations souterraines ;</w:t>
      </w:r>
    </w:p>
    <w:p w14:paraId="3A9727B6" w14:textId="77777777" w:rsidR="00DB2B68" w:rsidRDefault="00000000">
      <w:pPr>
        <w:pStyle w:val="Author-eListParagraph"/>
        <w:numPr>
          <w:ilvl w:val="0"/>
          <w:numId w:val="1054"/>
        </w:numPr>
      </w:pPr>
      <w:r>
        <w:t>dans l’ambiance intérieure d’une piscine, d’une serre, etc.</w:t>
      </w:r>
    </w:p>
    <w:p w14:paraId="53DB397F" w14:textId="77777777" w:rsidR="00DB2B68" w:rsidRDefault="00000000">
      <w:pPr>
        <w:jc w:val="both"/>
      </w:pPr>
      <w:r>
        <w:t>Lorsque les organes d’assemblages sont au contact d’une espèce de bois acide (PH inférieur à 5), ils sont nécessairement en acier inoxydable. Parmi les espèces les plus courantes et réputées acides, on retrouve :</w:t>
      </w:r>
    </w:p>
    <w:p w14:paraId="1C39A8D0" w14:textId="77777777" w:rsidR="00DB2B68" w:rsidRDefault="00000000">
      <w:pPr>
        <w:pStyle w:val="Author-eListParagraph"/>
        <w:numPr>
          <w:ilvl w:val="0"/>
          <w:numId w:val="1055"/>
        </w:numPr>
      </w:pPr>
      <w:r>
        <w:t>Western red cedar</w:t>
      </w:r>
    </w:p>
    <w:p w14:paraId="6B0DE7B6" w14:textId="77777777" w:rsidR="00DB2B68" w:rsidRDefault="00000000">
      <w:pPr>
        <w:pStyle w:val="Author-eListParagraph"/>
        <w:numPr>
          <w:ilvl w:val="0"/>
          <w:numId w:val="1055"/>
        </w:numPr>
      </w:pPr>
      <w:r>
        <w:t>Douglas</w:t>
      </w:r>
    </w:p>
    <w:p w14:paraId="0F7F1B25" w14:textId="77777777" w:rsidR="00DB2B68" w:rsidRDefault="00000000">
      <w:pPr>
        <w:pStyle w:val="Author-eListParagraph"/>
        <w:numPr>
          <w:ilvl w:val="0"/>
          <w:numId w:val="1055"/>
        </w:numPr>
      </w:pPr>
      <w:r>
        <w:t>Chêne</w:t>
      </w:r>
    </w:p>
    <w:p w14:paraId="1A410ED2" w14:textId="77777777" w:rsidR="00DB2B68" w:rsidRDefault="00000000">
      <w:pPr>
        <w:pStyle w:val="Author-eListParagraph"/>
        <w:numPr>
          <w:ilvl w:val="0"/>
          <w:numId w:val="1055"/>
        </w:numPr>
      </w:pPr>
      <w:r>
        <w:t>Châtaignier</w:t>
      </w:r>
    </w:p>
    <w:p w14:paraId="4CE2407E" w14:textId="77777777" w:rsidR="00DB2B68" w:rsidRDefault="00000000">
      <w:pPr>
        <w:jc w:val="both"/>
      </w:pPr>
      <w:r>
        <w:t>De plus, certains traitements de préservation ou ignifuge rendent nécessaire l’utilisation de mesures de protection contre la corrosion des organes d’assemblages métalliques. Les recommandations de l’entreprise qui effectue le traitement doivent être suivies.</w:t>
      </w:r>
    </w:p>
    <w:p w14:paraId="1ED0F013" w14:textId="77777777" w:rsidR="00DB2B68" w:rsidRDefault="00000000">
      <w:pPr>
        <w:pStyle w:val="Author-eSectionHeading5Numberless"/>
      </w:pPr>
      <w:bookmarkStart w:id="1728" w:name="_Toc220496702"/>
      <w:r>
        <w:t>24.42.1 Assemblages par tiges CCTB 01.07</w:t>
      </w:r>
      <w:bookmarkEnd w:id="1728"/>
    </w:p>
    <w:p w14:paraId="5096DB9F" w14:textId="77777777" w:rsidR="00DB2B68" w:rsidRDefault="00000000">
      <w:pPr>
        <w:pStyle w:val="pheading"/>
      </w:pPr>
      <w:r>
        <w:t>DESCRIPTION</w:t>
      </w:r>
    </w:p>
    <w:p w14:paraId="467450FB" w14:textId="77777777" w:rsidR="00DB2B68" w:rsidRDefault="00000000">
      <w:pPr>
        <w:pStyle w:val="pheading"/>
      </w:pPr>
      <w:r>
        <w:t>- Définition / Comprend</w:t>
      </w:r>
    </w:p>
    <w:p w14:paraId="77538E70" w14:textId="77777777" w:rsidR="00DB2B68" w:rsidRDefault="00000000">
      <w:pPr>
        <w:jc w:val="both"/>
      </w:pPr>
      <w:r>
        <w:t>Il s’agit de moyens de fixation qui permettent d’assurer des liaisons mécaniques bois-bois ou bois-métal.</w:t>
      </w:r>
    </w:p>
    <w:p w14:paraId="5B8C560C" w14:textId="77777777" w:rsidR="00DB2B68" w:rsidRDefault="00000000">
      <w:pPr>
        <w:jc w:val="both"/>
      </w:pPr>
      <w:r>
        <w:t>Cette appellation englobe les clous (pointes), agrafes, vis, tire-fond, broches et boulons.</w:t>
      </w:r>
    </w:p>
    <w:p w14:paraId="31CDF1D6" w14:textId="77777777" w:rsidR="00DB2B68" w:rsidRDefault="00000000">
      <w:r>
        <w:rPr>
          <w:noProof/>
        </w:rPr>
        <w:drawing>
          <wp:inline distT="0" distB="0" distL="0" distR="0" wp14:anchorId="0E8C86AC" wp14:editId="40173466">
            <wp:extent cx="5715000" cy="2790825"/>
            <wp:effectExtent l="0" t="0" r="0" b="0"/>
            <wp:docPr id="16" name="24.42.1.png" descr="2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77" descr=" "/>
                    <pic:cNvPicPr>
                      <a:picLocks noChangeAspect="1" noChangeArrowheads="1"/>
                    </pic:cNvPicPr>
                  </pic:nvPicPr>
                  <pic:blipFill>
                    <a:blip r:embed="rId29"/>
                    <a:srcRect/>
                    <a:stretch>
                      <a:fillRect/>
                    </a:stretch>
                  </pic:blipFill>
                  <pic:spPr bwMode="auto">
                    <a:xfrm>
                      <a:off x="0" y="0"/>
                      <a:ext cx="5715000" cy="2790825"/>
                    </a:xfrm>
                    <a:prstGeom prst="rect">
                      <a:avLst/>
                    </a:prstGeom>
                  </pic:spPr>
                </pic:pic>
              </a:graphicData>
            </a:graphic>
          </wp:inline>
        </w:drawing>
      </w:r>
    </w:p>
    <w:p w14:paraId="44C372A9" w14:textId="77777777" w:rsidR="00DB2B68" w:rsidRDefault="00DB2B68"/>
    <w:p w14:paraId="1912A805" w14:textId="77777777" w:rsidR="00DB2B68" w:rsidRDefault="00000000">
      <w:pPr>
        <w:pStyle w:val="pheading"/>
      </w:pPr>
      <w:r>
        <w:t>MATÉRIAUX</w:t>
      </w:r>
    </w:p>
    <w:p w14:paraId="7BC48D7F" w14:textId="77777777" w:rsidR="00DB2B68" w:rsidRDefault="00000000">
      <w:pPr>
        <w:jc w:val="both"/>
      </w:pPr>
      <w:r>
        <w:rPr>
          <w:b/>
          <w:u w:val="single"/>
        </w:rPr>
        <w:t>Tolérances et dimensions</w:t>
      </w:r>
    </w:p>
    <w:p w14:paraId="3E753E7E" w14:textId="77777777" w:rsidR="00DB2B68" w:rsidRDefault="00000000">
      <w:pPr>
        <w:jc w:val="both"/>
      </w:pPr>
      <w:r>
        <w:t>Les connecteurs par tiges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DB2B68" w14:paraId="137A3F7A" w14:textId="77777777">
        <w:tc>
          <w:tcPr>
            <w:tcW w:w="3390" w:type="dxa"/>
            <w:shd w:val="clear" w:color="auto" w:fill="C0C0C0"/>
            <w:noWrap/>
          </w:tcPr>
          <w:p w14:paraId="32EB3D45" w14:textId="77777777" w:rsidR="00DB2B68" w:rsidRDefault="00000000">
            <w:r>
              <w:rPr>
                <w:b/>
                <w:shd w:val="clear" w:color="auto" w:fill="C0C0C0"/>
              </w:rPr>
              <w:t>Dimension</w:t>
            </w:r>
          </w:p>
        </w:tc>
        <w:tc>
          <w:tcPr>
            <w:tcW w:w="1875" w:type="dxa"/>
            <w:shd w:val="clear" w:color="auto" w:fill="C0C0C0"/>
            <w:noWrap/>
          </w:tcPr>
          <w:p w14:paraId="059A3D36" w14:textId="77777777" w:rsidR="00DB2B68" w:rsidRDefault="00000000">
            <w:pPr>
              <w:jc w:val="center"/>
            </w:pPr>
            <w:r>
              <w:rPr>
                <w:b/>
                <w:shd w:val="clear" w:color="auto" w:fill="C0C0C0"/>
              </w:rPr>
              <w:t>Ecart négatif maximum</w:t>
            </w:r>
          </w:p>
        </w:tc>
        <w:tc>
          <w:tcPr>
            <w:tcW w:w="1875" w:type="dxa"/>
            <w:shd w:val="clear" w:color="auto" w:fill="C0C0C0"/>
            <w:noWrap/>
          </w:tcPr>
          <w:p w14:paraId="092AFC7D" w14:textId="77777777" w:rsidR="00DB2B68" w:rsidRDefault="00000000">
            <w:pPr>
              <w:jc w:val="center"/>
            </w:pPr>
            <w:r>
              <w:rPr>
                <w:b/>
                <w:shd w:val="clear" w:color="auto" w:fill="C0C0C0"/>
              </w:rPr>
              <w:t>Ecart positif maximum</w:t>
            </w:r>
          </w:p>
        </w:tc>
        <w:tc>
          <w:tcPr>
            <w:tcW w:w="1875" w:type="dxa"/>
            <w:shd w:val="clear" w:color="auto" w:fill="C0C0C0"/>
            <w:noWrap/>
          </w:tcPr>
          <w:p w14:paraId="5124FFE8" w14:textId="77777777" w:rsidR="00DB2B68" w:rsidRDefault="00000000">
            <w:pPr>
              <w:jc w:val="center"/>
            </w:pPr>
            <w:r>
              <w:rPr>
                <w:b/>
                <w:shd w:val="clear" w:color="auto" w:fill="C0C0C0"/>
              </w:rPr>
              <w:t>Précision de la mesure</w:t>
            </w:r>
          </w:p>
        </w:tc>
      </w:tr>
      <w:tr w:rsidR="00DB2B68" w14:paraId="16A542C4" w14:textId="77777777">
        <w:tc>
          <w:tcPr>
            <w:tcW w:w="3390" w:type="dxa"/>
            <w:noWrap/>
          </w:tcPr>
          <w:p w14:paraId="53E1D6C7" w14:textId="77777777" w:rsidR="00DB2B68" w:rsidRDefault="00000000">
            <w:r>
              <w:t>Longueur</w:t>
            </w:r>
          </w:p>
        </w:tc>
        <w:tc>
          <w:tcPr>
            <w:tcW w:w="1875" w:type="dxa"/>
            <w:noWrap/>
          </w:tcPr>
          <w:p w14:paraId="19F9779F" w14:textId="77777777" w:rsidR="00DB2B68" w:rsidRDefault="00000000">
            <w:pPr>
              <w:jc w:val="center"/>
            </w:pPr>
            <w:r>
              <w:t>- 2,5%</w:t>
            </w:r>
          </w:p>
        </w:tc>
        <w:tc>
          <w:tcPr>
            <w:tcW w:w="1875" w:type="dxa"/>
            <w:noWrap/>
          </w:tcPr>
          <w:p w14:paraId="126ED4BF" w14:textId="77777777" w:rsidR="00DB2B68" w:rsidRDefault="00000000">
            <w:pPr>
              <w:jc w:val="center"/>
            </w:pPr>
            <w:r>
              <w:t>+ 2,5%</w:t>
            </w:r>
          </w:p>
        </w:tc>
        <w:tc>
          <w:tcPr>
            <w:tcW w:w="1875" w:type="dxa"/>
            <w:noWrap/>
          </w:tcPr>
          <w:p w14:paraId="40E46FE4" w14:textId="77777777" w:rsidR="00DB2B68" w:rsidRDefault="00000000">
            <w:pPr>
              <w:jc w:val="center"/>
            </w:pPr>
            <w:r>
              <w:t>± 1%</w:t>
            </w:r>
          </w:p>
        </w:tc>
      </w:tr>
      <w:tr w:rsidR="00DB2B68" w14:paraId="5A96C76A" w14:textId="77777777">
        <w:tc>
          <w:tcPr>
            <w:tcW w:w="3390" w:type="dxa"/>
            <w:noWrap/>
          </w:tcPr>
          <w:p w14:paraId="5CFF10E0" w14:textId="77777777" w:rsidR="00DB2B68" w:rsidRDefault="00000000">
            <w:r>
              <w:t>Diamètre</w:t>
            </w:r>
          </w:p>
        </w:tc>
        <w:tc>
          <w:tcPr>
            <w:tcW w:w="1875" w:type="dxa"/>
            <w:noWrap/>
          </w:tcPr>
          <w:p w14:paraId="403739A4" w14:textId="77777777" w:rsidR="00DB2B68" w:rsidRDefault="00000000">
            <w:pPr>
              <w:jc w:val="center"/>
            </w:pPr>
            <w:r>
              <w:t>- 2,5%</w:t>
            </w:r>
          </w:p>
        </w:tc>
        <w:tc>
          <w:tcPr>
            <w:tcW w:w="1875" w:type="dxa"/>
            <w:noWrap/>
          </w:tcPr>
          <w:p w14:paraId="21AB215F" w14:textId="77777777" w:rsidR="00DB2B68" w:rsidRDefault="00000000">
            <w:pPr>
              <w:jc w:val="center"/>
            </w:pPr>
            <w:r>
              <w:t>+ 2,5%</w:t>
            </w:r>
          </w:p>
        </w:tc>
        <w:tc>
          <w:tcPr>
            <w:tcW w:w="1875" w:type="dxa"/>
            <w:noWrap/>
          </w:tcPr>
          <w:p w14:paraId="3D2BF65B" w14:textId="77777777" w:rsidR="00DB2B68" w:rsidRDefault="00000000">
            <w:pPr>
              <w:jc w:val="center"/>
            </w:pPr>
            <w:r>
              <w:t>± 1%</w:t>
            </w:r>
          </w:p>
        </w:tc>
      </w:tr>
      <w:tr w:rsidR="00DB2B68" w14:paraId="2A3D9043" w14:textId="77777777">
        <w:tc>
          <w:tcPr>
            <w:tcW w:w="3390" w:type="dxa"/>
            <w:noWrap/>
          </w:tcPr>
          <w:p w14:paraId="656D1CD9" w14:textId="77777777" w:rsidR="00DB2B68" w:rsidRDefault="00000000">
            <w:r>
              <w:t>Aire de la section transversale</w:t>
            </w:r>
          </w:p>
        </w:tc>
        <w:tc>
          <w:tcPr>
            <w:tcW w:w="1875" w:type="dxa"/>
            <w:noWrap/>
          </w:tcPr>
          <w:p w14:paraId="25F8ADE4" w14:textId="77777777" w:rsidR="00DB2B68" w:rsidRDefault="00000000">
            <w:pPr>
              <w:jc w:val="center"/>
            </w:pPr>
            <w:r>
              <w:t>- 5%</w:t>
            </w:r>
          </w:p>
        </w:tc>
        <w:tc>
          <w:tcPr>
            <w:tcW w:w="1875" w:type="dxa"/>
            <w:noWrap/>
          </w:tcPr>
          <w:p w14:paraId="5033BD5F" w14:textId="77777777" w:rsidR="00DB2B68" w:rsidRDefault="00000000">
            <w:pPr>
              <w:jc w:val="center"/>
            </w:pPr>
            <w:r>
              <w:t>+ 5%</w:t>
            </w:r>
          </w:p>
        </w:tc>
        <w:tc>
          <w:tcPr>
            <w:tcW w:w="1875" w:type="dxa"/>
            <w:noWrap/>
          </w:tcPr>
          <w:p w14:paraId="6BF4D288" w14:textId="77777777" w:rsidR="00DB2B68" w:rsidRDefault="00000000">
            <w:pPr>
              <w:jc w:val="center"/>
            </w:pPr>
            <w:r>
              <w:t>± 1%</w:t>
            </w:r>
          </w:p>
        </w:tc>
      </w:tr>
      <w:tr w:rsidR="00DB2B68" w14:paraId="55F6AE50" w14:textId="77777777">
        <w:tc>
          <w:tcPr>
            <w:tcW w:w="3390" w:type="dxa"/>
            <w:noWrap/>
          </w:tcPr>
          <w:p w14:paraId="16D420B3" w14:textId="77777777" w:rsidR="00DB2B68" w:rsidRDefault="00000000">
            <w:r>
              <w:lastRenderedPageBreak/>
              <w:t>Autres dimensions</w:t>
            </w:r>
          </w:p>
        </w:tc>
        <w:tc>
          <w:tcPr>
            <w:tcW w:w="1875" w:type="dxa"/>
            <w:noWrap/>
          </w:tcPr>
          <w:p w14:paraId="62F73C01" w14:textId="77777777" w:rsidR="00DB2B68" w:rsidRDefault="00000000">
            <w:pPr>
              <w:jc w:val="center"/>
            </w:pPr>
            <w:r>
              <w:t>- 5%</w:t>
            </w:r>
          </w:p>
        </w:tc>
        <w:tc>
          <w:tcPr>
            <w:tcW w:w="1875" w:type="dxa"/>
            <w:noWrap/>
          </w:tcPr>
          <w:p w14:paraId="41C5EF6B" w14:textId="77777777" w:rsidR="00DB2B68" w:rsidRDefault="00000000">
            <w:pPr>
              <w:jc w:val="center"/>
            </w:pPr>
            <w:r>
              <w:t>+ 5%</w:t>
            </w:r>
          </w:p>
        </w:tc>
        <w:tc>
          <w:tcPr>
            <w:tcW w:w="1875" w:type="dxa"/>
            <w:noWrap/>
          </w:tcPr>
          <w:p w14:paraId="617EBBC7" w14:textId="77777777" w:rsidR="00DB2B68" w:rsidRDefault="00000000">
            <w:pPr>
              <w:jc w:val="center"/>
            </w:pPr>
            <w:r>
              <w:t>± 1%</w:t>
            </w:r>
          </w:p>
        </w:tc>
      </w:tr>
    </w:tbl>
    <w:p w14:paraId="738A17EA" w14:textId="77777777" w:rsidR="00DB2B68" w:rsidRDefault="00DB2B68"/>
    <w:p w14:paraId="13C45895" w14:textId="77777777" w:rsidR="00DB2B68" w:rsidRDefault="00000000">
      <w:pPr>
        <w:pStyle w:val="Author-eSectionHeading6Numberless"/>
      </w:pPr>
      <w:bookmarkStart w:id="1729" w:name="_Toc220496703"/>
      <w:r>
        <w:t>24.42.1a Assemblages par tiges - clous CCTB 01.11</w:t>
      </w:r>
      <w:bookmarkEnd w:id="1729"/>
    </w:p>
    <w:p w14:paraId="6E87073F" w14:textId="77777777" w:rsidR="00DB2B68" w:rsidRDefault="00000000">
      <w:pPr>
        <w:pStyle w:val="pheading"/>
      </w:pPr>
      <w:bookmarkStart w:id="1730" w:name="632"/>
      <w:bookmarkEnd w:id="1730"/>
      <w:r>
        <w:t>DESCRIPTION</w:t>
      </w:r>
    </w:p>
    <w:p w14:paraId="4D2DE1CA" w14:textId="77777777" w:rsidR="00DB2B68" w:rsidRDefault="00000000">
      <w:pPr>
        <w:pStyle w:val="pheading"/>
      </w:pPr>
      <w:r>
        <w:t>- Définition / Comprend</w:t>
      </w:r>
    </w:p>
    <w:p w14:paraId="743BDD6B" w14:textId="77777777" w:rsidR="00DB2B68" w:rsidRDefault="00000000">
      <w:r>
        <w:t>Il s’agit d’un assembleur par pointe. Il existe différents types de clous, schématisés ci-dessous :</w:t>
      </w:r>
    </w:p>
    <w:p w14:paraId="37AA464F" w14:textId="77777777" w:rsidR="00DB2B68" w:rsidRDefault="00000000">
      <w:r>
        <w:rPr>
          <w:noProof/>
        </w:rPr>
        <w:drawing>
          <wp:inline distT="0" distB="0" distL="0" distR="0" wp14:anchorId="55420492" wp14:editId="60B634DF">
            <wp:extent cx="5715000" cy="1114425"/>
            <wp:effectExtent l="0" t="0" r="0" b="0"/>
            <wp:docPr id="17" name="24.42.1a.png" descr="24.4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78" descr=" "/>
                    <pic:cNvPicPr>
                      <a:picLocks noChangeAspect="1" noChangeArrowheads="1"/>
                    </pic:cNvPicPr>
                  </pic:nvPicPr>
                  <pic:blipFill>
                    <a:blip r:embed="rId30"/>
                    <a:srcRect/>
                    <a:stretch>
                      <a:fillRect/>
                    </a:stretch>
                  </pic:blipFill>
                  <pic:spPr bwMode="auto">
                    <a:xfrm>
                      <a:off x="0" y="0"/>
                      <a:ext cx="5715000" cy="1114425"/>
                    </a:xfrm>
                    <a:prstGeom prst="rect">
                      <a:avLst/>
                    </a:prstGeom>
                  </pic:spPr>
                </pic:pic>
              </a:graphicData>
            </a:graphic>
          </wp:inline>
        </w:drawing>
      </w:r>
    </w:p>
    <w:p w14:paraId="1A582908" w14:textId="77777777" w:rsidR="00DB2B68" w:rsidRDefault="00000000">
      <w:pPr>
        <w:jc w:val="both"/>
      </w:pPr>
      <w:r>
        <w:rPr>
          <w:b/>
        </w:rPr>
        <w:t>Remarques importantes</w:t>
      </w:r>
    </w:p>
    <w:p w14:paraId="432AD3B3" w14:textId="77777777" w:rsidR="00DB2B68" w:rsidRDefault="00000000">
      <w:pPr>
        <w:jc w:val="both"/>
      </w:pPr>
      <w:r>
        <w:t>Les clous utilisés respectent en tout point la norme harmonisée [NBN EN 14592] et disposent du marquage CE suivant celle-ci.</w:t>
      </w:r>
    </w:p>
    <w:p w14:paraId="5D0851EB" w14:textId="77777777" w:rsidR="00DB2B68" w:rsidRDefault="00000000">
      <w:pPr>
        <w:jc w:val="both"/>
      </w:pPr>
      <w:r>
        <w:t>L’étude d’une connexion par clous se fait soit par calculs suivant les principes décrits dans l’Eurocode 5 ([NBN EN 1995-1-1]) et ses annexes, soit sur base d’essais réalisés conformément à la [NBN EN 1380].</w:t>
      </w:r>
    </w:p>
    <w:p w14:paraId="233B80AF" w14:textId="77777777" w:rsidR="00DB2B68" w:rsidRDefault="00000000">
      <w:pPr>
        <w:pStyle w:val="pheading"/>
      </w:pPr>
      <w:r>
        <w:t>MATÉRIAUX</w:t>
      </w:r>
    </w:p>
    <w:p w14:paraId="3CC48B06" w14:textId="77777777" w:rsidR="00DB2B68" w:rsidRDefault="00000000">
      <w:pPr>
        <w:pStyle w:val="pheading"/>
      </w:pPr>
      <w:r>
        <w:t>- Caractéristiques générales</w:t>
      </w:r>
    </w:p>
    <w:p w14:paraId="5B1629AA" w14:textId="77777777" w:rsidR="00DB2B68" w:rsidRDefault="00000000">
      <w:pPr>
        <w:jc w:val="both"/>
      </w:pPr>
      <w:r>
        <w:rPr>
          <w:b/>
          <w:u w:val="single"/>
        </w:rPr>
        <w:t>Géométrie</w:t>
      </w:r>
    </w:p>
    <w:p w14:paraId="7C493958" w14:textId="77777777" w:rsidR="00DB2B68" w:rsidRDefault="00000000">
      <w:pPr>
        <w:jc w:val="both"/>
      </w:pPr>
      <w:r>
        <w:t>Les clous sont</w:t>
      </w:r>
      <w:r>
        <w:rPr>
          <w:rStyle w:val="optioncarChar"/>
        </w:rPr>
        <w:t xml:space="preserve"> lisses </w:t>
      </w:r>
      <w:r>
        <w:t xml:space="preserve">(par défaut) </w:t>
      </w:r>
      <w:r>
        <w:rPr>
          <w:rStyle w:val="optioncarChar"/>
        </w:rPr>
        <w:t>/ striés (annelés) / torsadés.</w:t>
      </w:r>
    </w:p>
    <w:p w14:paraId="2029D5F6" w14:textId="77777777" w:rsidR="00DB2B68" w:rsidRDefault="00000000">
      <w:pPr>
        <w:jc w:val="both"/>
      </w:pPr>
      <w:r>
        <w:t>Un clou lisse ne peut être utilisé pour reprendre des charges axiales permanente ou de long terme.</w:t>
      </w:r>
    </w:p>
    <w:p w14:paraId="000214EA" w14:textId="77777777" w:rsidR="00DB2B68" w:rsidRDefault="00000000">
      <w:pPr>
        <w:jc w:val="both"/>
      </w:pPr>
      <w:r>
        <w:t>Les clous annelés ou torsadés peuvent reprendre des charges axiales sauf s’ils sont installés en bout de fil.</w:t>
      </w:r>
    </w:p>
    <w:p w14:paraId="6AE9009D" w14:textId="77777777" w:rsidR="00DB2B68" w:rsidRDefault="00000000">
      <w:pPr>
        <w:jc w:val="both"/>
      </w:pPr>
      <w:r>
        <w:t xml:space="preserve">Diamètre nominal des clous d selon [NBN EN 14592] : </w:t>
      </w:r>
      <w:r>
        <w:rPr>
          <w:rStyle w:val="optioncarChar"/>
        </w:rPr>
        <w:t>***</w:t>
      </w:r>
    </w:p>
    <w:p w14:paraId="07C97C4E" w14:textId="77777777" w:rsidR="00DB2B68" w:rsidRDefault="00000000">
      <w:pPr>
        <w:jc w:val="both"/>
      </w:pPr>
      <w:r>
        <w:t>Le diamètre nominal des clous est compris entre 1,9 mm et 8 mm.</w:t>
      </w:r>
    </w:p>
    <w:p w14:paraId="57B26193" w14:textId="77777777" w:rsidR="00DB2B68" w:rsidRDefault="00000000">
      <w:pPr>
        <w:jc w:val="both"/>
      </w:pPr>
      <w:r>
        <w:t xml:space="preserve">Longueur du clou l selon [NBN EN 14592] : </w:t>
      </w:r>
      <w:r>
        <w:rPr>
          <w:rStyle w:val="optioncarChar"/>
        </w:rPr>
        <w:t>***</w:t>
      </w:r>
    </w:p>
    <w:p w14:paraId="715628CE" w14:textId="77777777" w:rsidR="00DB2B68" w:rsidRDefault="00000000">
      <w:pPr>
        <w:jc w:val="both"/>
      </w:pPr>
      <w:r>
        <w:t> </w:t>
      </w:r>
    </w:p>
    <w:p w14:paraId="11684FF7" w14:textId="77777777" w:rsidR="00DB2B68" w:rsidRDefault="00000000">
      <w:pPr>
        <w:jc w:val="both"/>
      </w:pPr>
      <w:r>
        <w:t xml:space="preserve">Matériau constituant les clous : </w:t>
      </w:r>
      <w:r>
        <w:rPr>
          <w:rStyle w:val="optioncarChar"/>
        </w:rPr>
        <w:t xml:space="preserve">acier au carbone ou acier allié </w:t>
      </w:r>
      <w:r>
        <w:t>(par défaut)</w:t>
      </w:r>
      <w:r>
        <w:rPr>
          <w:rStyle w:val="optioncarChar"/>
        </w:rPr>
        <w:t xml:space="preserve"> / acier inoxydable</w:t>
      </w:r>
    </w:p>
    <w:p w14:paraId="69D06436" w14:textId="77777777" w:rsidR="00DB2B68" w:rsidRDefault="00000000">
      <w:pPr>
        <w:ind w:left="567"/>
        <w:jc w:val="both"/>
      </w:pPr>
      <w:r>
        <w:rPr>
          <w:b/>
          <w:i/>
        </w:rPr>
        <w:t>(Soit par défaut)</w:t>
      </w:r>
    </w:p>
    <w:p w14:paraId="7AA14F45" w14:textId="77777777" w:rsidR="00DB2B68" w:rsidRDefault="00000000">
      <w:pPr>
        <w:ind w:left="567"/>
        <w:jc w:val="both"/>
      </w:pPr>
      <w:r>
        <w:rPr>
          <w:rStyle w:val="soitChar"/>
          <w:u w:val="single"/>
        </w:rPr>
        <w:t>Acier au carbone ou acier allié</w:t>
      </w:r>
    </w:p>
    <w:p w14:paraId="196AFA3D" w14:textId="77777777" w:rsidR="00DB2B68" w:rsidRDefault="00000000">
      <w:pPr>
        <w:ind w:left="567"/>
        <w:jc w:val="both"/>
      </w:pPr>
      <w:r>
        <w:rPr>
          <w:rStyle w:val="soitChar"/>
        </w:rPr>
        <w:t>Nuance d’acier selon [NBN EN ISO 898-1]: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14:paraId="380EA67D" w14:textId="77777777" w:rsidR="00DB2B68" w:rsidRDefault="00000000">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14:paraId="2515E952" w14:textId="77777777" w:rsidR="00DB2B68" w:rsidRDefault="00000000">
      <w:pPr>
        <w:ind w:left="567"/>
        <w:jc w:val="both"/>
      </w:pPr>
      <w:r>
        <w:rPr>
          <w:rStyle w:val="soitChar"/>
        </w:rPr>
        <w:t>Cette mesure peut être remplacée par une mesure présentant un degré de protection contre la corrosion similaire ou supérieure.</w:t>
      </w:r>
    </w:p>
    <w:p w14:paraId="54A4B572" w14:textId="77777777" w:rsidR="00DB2B68" w:rsidRDefault="00000000">
      <w:pPr>
        <w:ind w:left="567"/>
        <w:jc w:val="both"/>
      </w:pPr>
      <w:r>
        <w:rPr>
          <w:b/>
          <w:i/>
        </w:rPr>
        <w:t>(Soit)</w:t>
      </w:r>
    </w:p>
    <w:p w14:paraId="4DD1BB44" w14:textId="77777777" w:rsidR="00DB2B68" w:rsidRDefault="00000000">
      <w:pPr>
        <w:ind w:left="567"/>
        <w:jc w:val="both"/>
      </w:pPr>
      <w:r>
        <w:rPr>
          <w:rStyle w:val="soitChar"/>
          <w:u w:val="single"/>
        </w:rPr>
        <w:t>Acier inoxydable</w:t>
      </w:r>
    </w:p>
    <w:p w14:paraId="020A0C47" w14:textId="77777777" w:rsidR="00DB2B68" w:rsidRDefault="00000000">
      <w:pPr>
        <w:ind w:left="567"/>
        <w:jc w:val="both"/>
      </w:pPr>
      <w:r>
        <w:rPr>
          <w:rStyle w:val="soitChar"/>
        </w:rPr>
        <w:t>Nuance d’acier inoxydable selon [NBN EN ISO 3506-1] :</w:t>
      </w:r>
      <w:r>
        <w:rPr>
          <w:rStyle w:val="optioncarChar"/>
        </w:rPr>
        <w:t xml:space="preserve"> A2-50 </w:t>
      </w:r>
      <w:r>
        <w:t>(par défaut)</w:t>
      </w:r>
      <w:r>
        <w:rPr>
          <w:rStyle w:val="optioncarChar"/>
        </w:rPr>
        <w:t xml:space="preserve"> / A2-70 / A4-50 / A4-70 / ***</w:t>
      </w:r>
    </w:p>
    <w:p w14:paraId="5685BAD6" w14:textId="77777777" w:rsidR="00DB2B68" w:rsidRDefault="00000000">
      <w:pPr>
        <w:pStyle w:val="pheading"/>
      </w:pPr>
      <w:r>
        <w:lastRenderedPageBreak/>
        <w:t>EXÉCUTION / MISE EN ŒUVRE</w:t>
      </w:r>
    </w:p>
    <w:p w14:paraId="635D82AD" w14:textId="77777777" w:rsidR="00DB2B68" w:rsidRDefault="00000000">
      <w:pPr>
        <w:pStyle w:val="pheading"/>
      </w:pPr>
      <w:r>
        <w:t>- Prescriptions générales</w:t>
      </w:r>
    </w:p>
    <w:p w14:paraId="156B1D03" w14:textId="77777777" w:rsidR="00DB2B68" w:rsidRDefault="00000000">
      <w:pPr>
        <w:jc w:val="both"/>
      </w:pPr>
      <w:r>
        <w:t>Sauf spécification contraire au cahier spécial des charges, les clous sont enfoncés perpendiculairement au fil et à une profondeur telle que les surfaces des têtes de clous affleurent la surface du bois.</w:t>
      </w:r>
    </w:p>
    <w:p w14:paraId="4944C0B9" w14:textId="77777777" w:rsidR="00DB2B68" w:rsidRDefault="00000000">
      <w:pPr>
        <w:jc w:val="both"/>
      </w:pPr>
      <w:r>
        <w:t>Un assemblage est composé d’au moins deux clous.</w:t>
      </w:r>
    </w:p>
    <w:p w14:paraId="6DA261BB" w14:textId="77777777" w:rsidR="00DB2B68" w:rsidRDefault="00000000">
      <w:pPr>
        <w:jc w:val="both"/>
      </w:pPr>
      <w:r>
        <w:rPr>
          <w:b/>
          <w:u w:val="single"/>
        </w:rPr>
        <w:t>Assemblages lardés</w:t>
      </w:r>
    </w:p>
    <w:p w14:paraId="098C2BB0" w14:textId="77777777" w:rsidR="00DB2B68" w:rsidRDefault="00000000">
      <w:pPr>
        <w:jc w:val="both"/>
      </w:pPr>
      <w:r>
        <w:t>Sauf autre prescription au cahier spécial des charges, le clouage lardé est réalisé tel qu’indiqué sur le schéma ci-contre, provenant de l’Eurocode 5 ([NBN EN 1995-1-1]).</w:t>
      </w:r>
    </w:p>
    <w:p w14:paraId="6174B004" w14:textId="77777777" w:rsidR="00DB2B68" w:rsidRDefault="00000000">
      <w:pPr>
        <w:jc w:val="both"/>
      </w:pPr>
      <w:r>
        <w:rPr>
          <w:noProof/>
        </w:rPr>
        <w:drawing>
          <wp:inline distT="0" distB="0" distL="0" distR="0" wp14:anchorId="49173510" wp14:editId="1A5B8FCA">
            <wp:extent cx="1905000" cy="1466850"/>
            <wp:effectExtent l="0" t="0" r="0" b="0"/>
            <wp:docPr id="18" name="24.42.1a2.png" descr="24.42.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79" descr="24.42.1a2.png"/>
                    <pic:cNvPicPr>
                      <a:picLocks noChangeAspect="1" noChangeArrowheads="1"/>
                    </pic:cNvPicPr>
                  </pic:nvPicPr>
                  <pic:blipFill>
                    <a:blip r:embed="rId31"/>
                    <a:srcRect/>
                    <a:stretch>
                      <a:fillRect/>
                    </a:stretch>
                  </pic:blipFill>
                  <pic:spPr bwMode="auto">
                    <a:xfrm>
                      <a:off x="0" y="0"/>
                      <a:ext cx="1905000" cy="1466850"/>
                    </a:xfrm>
                    <a:prstGeom prst="rect">
                      <a:avLst/>
                    </a:prstGeom>
                  </pic:spPr>
                </pic:pic>
              </a:graphicData>
            </a:graphic>
          </wp:inline>
        </w:drawing>
      </w:r>
    </w:p>
    <w:p w14:paraId="54916251" w14:textId="77777777" w:rsidR="00DB2B68" w:rsidRDefault="00000000">
      <w:pPr>
        <w:jc w:val="both"/>
      </w:pPr>
      <w:r>
        <w:t> </w:t>
      </w:r>
    </w:p>
    <w:p w14:paraId="6875A799" w14:textId="77777777" w:rsidR="00DB2B68" w:rsidRDefault="00000000">
      <w:pPr>
        <w:jc w:val="both"/>
      </w:pPr>
      <w:r>
        <w:rPr>
          <w:b/>
          <w:u w:val="single"/>
        </w:rPr>
        <w:t>Préperçage des éléments en bois</w:t>
      </w:r>
    </w:p>
    <w:p w14:paraId="04AB8130" w14:textId="77777777" w:rsidR="00DB2B68" w:rsidRDefault="00000000">
      <w:pPr>
        <w:jc w:val="both"/>
      </w:pPr>
      <w:r>
        <w:t>Le préperçage des éléments en bois est obligatoire lorsqu’au minimum une des deux conditions suivantes est remplie :</w:t>
      </w:r>
    </w:p>
    <w:p w14:paraId="4287B16E" w14:textId="77777777" w:rsidR="00DB2B68" w:rsidRDefault="00000000">
      <w:pPr>
        <w:pStyle w:val="Author-eListParagraph"/>
        <w:numPr>
          <w:ilvl w:val="0"/>
          <w:numId w:val="1056"/>
        </w:numPr>
      </w:pPr>
      <w:r>
        <w:t>La masse volumique du bois est supérieure à 500kg/m³ ;</w:t>
      </w:r>
    </w:p>
    <w:p w14:paraId="6AAE9C21" w14:textId="77777777" w:rsidR="00DB2B68" w:rsidRDefault="00000000">
      <w:pPr>
        <w:pStyle w:val="Author-eListParagraph"/>
        <w:numPr>
          <w:ilvl w:val="0"/>
          <w:numId w:val="1056"/>
        </w:numPr>
      </w:pPr>
      <w:r>
        <w:t>Le diamètre de la pointe est supérieur à 6mm.</w:t>
      </w:r>
    </w:p>
    <w:p w14:paraId="47A88FA8" w14:textId="77777777" w:rsidR="00DB2B68" w:rsidRDefault="00000000">
      <w:pPr>
        <w:jc w:val="both"/>
      </w:pPr>
      <w:r>
        <w:t>Le diamètre de préperçage est compris entre 0.6 et 0.8 fois le diamètre du clou.</w:t>
      </w:r>
    </w:p>
    <w:p w14:paraId="289BE890" w14:textId="77777777" w:rsidR="00DB2B68" w:rsidRDefault="00000000">
      <w:pPr>
        <w:jc w:val="both"/>
      </w:pPr>
      <w:r>
        <w:rPr>
          <w:b/>
          <w:u w:val="single"/>
        </w:rPr>
        <w:t>Pénétration minimale dans la dernière pièce</w:t>
      </w:r>
    </w:p>
    <w:p w14:paraId="0035AF90" w14:textId="77777777" w:rsidR="00DB2B68" w:rsidRDefault="00000000">
      <w:pPr>
        <w:jc w:val="both"/>
      </w:pPr>
      <w:r>
        <w:t>La longueur de pénétration minimale d’un clou dans la dernière pièce est de 8 fois son diamètre. Si le clou est annelé ou torsadé, cette longueur peut être ramenée à 6 fois le diamètre.</w:t>
      </w:r>
    </w:p>
    <w:p w14:paraId="269CD339" w14:textId="77777777" w:rsidR="00DB2B68" w:rsidRDefault="00000000">
      <w:pPr>
        <w:jc w:val="both"/>
      </w:pPr>
      <w:r>
        <w:rPr>
          <w:b/>
          <w:u w:val="single"/>
        </w:rPr>
        <w:t>Espacements</w:t>
      </w:r>
    </w:p>
    <w:p w14:paraId="695FF61E" w14:textId="77777777" w:rsidR="00DB2B68" w:rsidRDefault="00000000">
      <w:pPr>
        <w:jc w:val="both"/>
      </w:pPr>
      <w:r>
        <w:t>Les distances minimales entre deux clous ou entre un clou et la rive de l’élément en fonction de l’orientation du fil du bois décrites dans l’Eurocode 5 ([NBN EN 1995-1-1]) sont respectées.</w:t>
      </w:r>
    </w:p>
    <w:p w14:paraId="2171BEE8" w14:textId="77777777" w:rsidR="00DB2B68" w:rsidRDefault="00000000">
      <w:pPr>
        <w:jc w:val="both"/>
      </w:pPr>
      <w:r>
        <w:rPr>
          <w:b/>
          <w:u w:val="single"/>
        </w:rPr>
        <w:t>Clouage en bout de fil</w:t>
      </w:r>
    </w:p>
    <w:p w14:paraId="23B5943D" w14:textId="77777777" w:rsidR="00DB2B68" w:rsidRDefault="00000000">
      <w:pPr>
        <w:jc w:val="both"/>
      </w:pPr>
      <w:r>
        <w:t>Lorsqu’un clouage en bout de fil doit être exécuté, les mesures suivantes doivent être respectées :</w:t>
      </w:r>
    </w:p>
    <w:p w14:paraId="0804A65B" w14:textId="77777777" w:rsidR="00DB2B68" w:rsidRDefault="00000000">
      <w:pPr>
        <w:pStyle w:val="Author-eListParagraph"/>
        <w:numPr>
          <w:ilvl w:val="0"/>
          <w:numId w:val="1057"/>
        </w:numPr>
      </w:pPr>
      <w:r>
        <w:t>les pointes lisses ne peuvent être utilisées que dans les structures secondaires ;</w:t>
      </w:r>
    </w:p>
    <w:p w14:paraId="356E9B65" w14:textId="77777777" w:rsidR="00DB2B68" w:rsidRDefault="00000000">
      <w:pPr>
        <w:pStyle w:val="Author-eListParagraph"/>
        <w:numPr>
          <w:ilvl w:val="0"/>
          <w:numId w:val="1057"/>
        </w:numPr>
      </w:pPr>
      <w:r>
        <w:t>pour les autres structures, les clous seront soit annelés, soit torsadés ;</w:t>
      </w:r>
    </w:p>
    <w:p w14:paraId="6F4C3D37" w14:textId="77777777" w:rsidR="00DB2B68" w:rsidRDefault="00000000">
      <w:pPr>
        <w:pStyle w:val="Author-eListParagraph"/>
        <w:numPr>
          <w:ilvl w:val="0"/>
          <w:numId w:val="1057"/>
        </w:numPr>
      </w:pPr>
      <w:r>
        <w:t>la capacité résistante est prise comme étant le tiers de celle qu’aurait le même clou installé perpendiculairement au fil ;</w:t>
      </w:r>
    </w:p>
    <w:p w14:paraId="5AD56AC7" w14:textId="77777777" w:rsidR="00DB2B68" w:rsidRDefault="00000000">
      <w:pPr>
        <w:pStyle w:val="Author-eListParagraph"/>
        <w:numPr>
          <w:ilvl w:val="0"/>
          <w:numId w:val="1057"/>
        </w:numPr>
      </w:pPr>
      <w:r>
        <w:t>minimum trois clous sont installés dans l’assemblage ;</w:t>
      </w:r>
    </w:p>
    <w:p w14:paraId="486E419D" w14:textId="77777777" w:rsidR="00DB2B68" w:rsidRDefault="00000000">
      <w:pPr>
        <w:pStyle w:val="Author-eListParagraph"/>
        <w:numPr>
          <w:ilvl w:val="0"/>
          <w:numId w:val="1057"/>
        </w:numPr>
      </w:pPr>
      <w:r>
        <w:t>les clous sont chargés uniquement latéralement ;</w:t>
      </w:r>
    </w:p>
    <w:p w14:paraId="48D7FE66" w14:textId="77777777" w:rsidR="00DB2B68" w:rsidRDefault="00000000">
      <w:pPr>
        <w:pStyle w:val="Author-eListParagraph"/>
        <w:numPr>
          <w:ilvl w:val="0"/>
          <w:numId w:val="1057"/>
        </w:numPr>
      </w:pPr>
      <w:r>
        <w:t>la pénétration minimale dans la dernière pièce est au minimum égale à 10 fois le diamètre du clou ;</w:t>
      </w:r>
    </w:p>
    <w:p w14:paraId="21476B25" w14:textId="77777777" w:rsidR="00DB2B68" w:rsidRDefault="00000000">
      <w:pPr>
        <w:pStyle w:val="Author-eListParagraph"/>
        <w:numPr>
          <w:ilvl w:val="0"/>
          <w:numId w:val="1057"/>
        </w:numPr>
      </w:pPr>
      <w:r>
        <w:t>l’assemblage est en classe d’emploi 1 ou 2.</w:t>
      </w:r>
    </w:p>
    <w:p w14:paraId="4BE626FC" w14:textId="77777777" w:rsidR="00DB2B68" w:rsidRDefault="00000000">
      <w:pPr>
        <w:jc w:val="both"/>
      </w:pPr>
      <w:r>
        <w:rPr>
          <w:b/>
          <w:u w:val="single"/>
        </w:rPr>
        <w:t>Disposition des clous</w:t>
      </w:r>
    </w:p>
    <w:p w14:paraId="57726265" w14:textId="77777777" w:rsidR="00DB2B68" w:rsidRDefault="00000000">
      <w:pPr>
        <w:jc w:val="both"/>
      </w:pPr>
      <w:r>
        <w:t xml:space="preserve">Sauf indication contraire au cahier spécial des charges, les clous sont placés alternativement de part et d’autre des lignes de répartition théorique et de telle façon à ce que deux clous successifs ne </w:t>
      </w:r>
      <w:r>
        <w:lastRenderedPageBreak/>
        <w:t>soient pas plantés dans la même fibre de bois. Le décalage par rapport à la ligne de répartition est au moins d’un diamètre.</w:t>
      </w:r>
    </w:p>
    <w:p w14:paraId="5A359628" w14:textId="77777777" w:rsidR="00DB2B68" w:rsidRDefault="00000000">
      <w:pPr>
        <w:pStyle w:val="pheading"/>
      </w:pPr>
      <w:r>
        <w:t>MESURAGE</w:t>
      </w:r>
    </w:p>
    <w:p w14:paraId="54CE51B9" w14:textId="77777777" w:rsidR="00DB2B68" w:rsidRDefault="00000000">
      <w:pPr>
        <w:pStyle w:val="pheading"/>
      </w:pPr>
      <w:r>
        <w:t>- unité de mesure:</w:t>
      </w:r>
    </w:p>
    <w:p w14:paraId="0A221435" w14:textId="77777777" w:rsidR="00DB2B68" w:rsidRDefault="00000000">
      <w:r>
        <w:rPr>
          <w:rStyle w:val="optioncarChar"/>
        </w:rPr>
        <w:t>- </w:t>
      </w:r>
      <w:r>
        <w:t>(par défaut)</w:t>
      </w:r>
      <w:r>
        <w:rPr>
          <w:rStyle w:val="optioncarChar"/>
        </w:rPr>
        <w:t> / pc</w:t>
      </w:r>
    </w:p>
    <w:p w14:paraId="586DDB3E" w14:textId="77777777" w:rsidR="00DB2B68" w:rsidRDefault="00000000">
      <w:r>
        <w:rPr>
          <w:b/>
          <w:i/>
        </w:rPr>
        <w:t>(Soit par défaut)</w:t>
      </w:r>
    </w:p>
    <w:p w14:paraId="0980B6E3" w14:textId="77777777" w:rsidR="00DB2B68" w:rsidRDefault="00000000">
      <w:r>
        <w:rPr>
          <w:rStyle w:val="soitChar"/>
        </w:rPr>
        <w:t>1.     –</w:t>
      </w:r>
    </w:p>
    <w:p w14:paraId="29F4E261" w14:textId="77777777" w:rsidR="00DB2B68" w:rsidRDefault="00000000">
      <w:r>
        <w:rPr>
          <w:b/>
          <w:i/>
        </w:rPr>
        <w:t>(Soit)</w:t>
      </w:r>
    </w:p>
    <w:p w14:paraId="329D7AC1" w14:textId="77777777" w:rsidR="00DB2B68" w:rsidRDefault="00000000">
      <w:r>
        <w:rPr>
          <w:rStyle w:val="soitChar"/>
        </w:rPr>
        <w:t>2.3.  pc</w:t>
      </w:r>
    </w:p>
    <w:p w14:paraId="5E7B1DF2" w14:textId="77777777" w:rsidR="00DB2B68" w:rsidRDefault="00000000">
      <w:pPr>
        <w:pStyle w:val="pheading"/>
      </w:pPr>
      <w:r>
        <w:t>- code de mesurage:</w:t>
      </w:r>
    </w:p>
    <w:p w14:paraId="3438B2F8" w14:textId="77777777" w:rsidR="00DB2B68" w:rsidRDefault="00000000">
      <w:r>
        <w:rPr>
          <w:rStyle w:val="optioncarChar"/>
        </w:rPr>
        <w:t>Compris</w:t>
      </w:r>
      <w:r>
        <w:t> (par défaut) </w:t>
      </w:r>
      <w:r>
        <w:rPr>
          <w:rStyle w:val="optioncarChar"/>
        </w:rPr>
        <w:t>/ Quantité nette</w:t>
      </w:r>
    </w:p>
    <w:p w14:paraId="7E3696B4" w14:textId="77777777" w:rsidR="00DB2B68" w:rsidRDefault="00000000">
      <w:r>
        <w:rPr>
          <w:b/>
          <w:i/>
        </w:rPr>
        <w:t>(Soit par défaut)</w:t>
      </w:r>
    </w:p>
    <w:p w14:paraId="0F406397" w14:textId="77777777" w:rsidR="00DB2B68" w:rsidRDefault="00000000">
      <w:r>
        <w:rPr>
          <w:rStyle w:val="soitChar"/>
        </w:rPr>
        <w:t>1.     </w:t>
      </w:r>
      <w:r>
        <w:rPr>
          <w:rStyle w:val="soitChar"/>
          <w:u w:val="single"/>
        </w:rPr>
        <w:t>Compris</w:t>
      </w:r>
      <w:r>
        <w:rPr>
          <w:rStyle w:val="soitChar"/>
        </w:rPr>
        <w:t> dans l’article de référence </w:t>
      </w:r>
      <w:r>
        <w:rPr>
          <w:rStyle w:val="optioncarChar"/>
        </w:rPr>
        <w:t>***</w:t>
      </w:r>
    </w:p>
    <w:p w14:paraId="3439566C" w14:textId="77777777" w:rsidR="00DB2B68" w:rsidRDefault="00000000">
      <w:r>
        <w:rPr>
          <w:b/>
          <w:i/>
        </w:rPr>
        <w:t>(Soit)</w:t>
      </w:r>
    </w:p>
    <w:p w14:paraId="16B53A6A"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418EAB6E" w14:textId="77777777" w:rsidR="00DB2B68" w:rsidRDefault="00000000">
      <w:pPr>
        <w:pStyle w:val="pheading"/>
      </w:pPr>
      <w:r>
        <w:t>- nature du marché:</w:t>
      </w:r>
    </w:p>
    <w:p w14:paraId="19537A46" w14:textId="77777777" w:rsidR="00DB2B68" w:rsidRDefault="00000000">
      <w:r>
        <w:rPr>
          <w:rStyle w:val="optioncarChar"/>
        </w:rPr>
        <w:t>PM </w:t>
      </w:r>
      <w:r>
        <w:t>(par défaut) </w:t>
      </w:r>
      <w:r>
        <w:rPr>
          <w:rStyle w:val="optioncarChar"/>
        </w:rPr>
        <w:t>/ QF / QP</w:t>
      </w:r>
    </w:p>
    <w:p w14:paraId="328684B4" w14:textId="77777777" w:rsidR="00DB2B68" w:rsidRDefault="00000000">
      <w:r>
        <w:rPr>
          <w:b/>
          <w:i/>
        </w:rPr>
        <w:t>(Soit par défaut)</w:t>
      </w:r>
    </w:p>
    <w:p w14:paraId="6D9DCCD9" w14:textId="77777777" w:rsidR="00DB2B68" w:rsidRDefault="00000000">
      <w:r>
        <w:rPr>
          <w:rStyle w:val="soitChar"/>
        </w:rPr>
        <w:t>1.     PM</w:t>
      </w:r>
    </w:p>
    <w:p w14:paraId="59C88A68" w14:textId="77777777" w:rsidR="00DB2B68" w:rsidRDefault="00000000">
      <w:r>
        <w:rPr>
          <w:b/>
          <w:i/>
        </w:rPr>
        <w:t>(Soit)</w:t>
      </w:r>
    </w:p>
    <w:p w14:paraId="7D728F12" w14:textId="77777777" w:rsidR="00DB2B68" w:rsidRDefault="00000000">
      <w:r>
        <w:rPr>
          <w:rStyle w:val="soitChar"/>
        </w:rPr>
        <w:t>2.     QF</w:t>
      </w:r>
    </w:p>
    <w:p w14:paraId="2EE796D5" w14:textId="77777777" w:rsidR="00DB2B68" w:rsidRDefault="00000000">
      <w:r>
        <w:rPr>
          <w:b/>
          <w:i/>
        </w:rPr>
        <w:t>(Soit)</w:t>
      </w:r>
    </w:p>
    <w:p w14:paraId="0592356F" w14:textId="77777777" w:rsidR="00DB2B68" w:rsidRDefault="00000000">
      <w:r>
        <w:rPr>
          <w:rStyle w:val="soitChar"/>
        </w:rPr>
        <w:t>3.     QP</w:t>
      </w:r>
    </w:p>
    <w:p w14:paraId="5518A4D0" w14:textId="77777777" w:rsidR="00DB2B68" w:rsidRDefault="00000000">
      <w:pPr>
        <w:pStyle w:val="Author-eSectionHeading6Numberless"/>
      </w:pPr>
      <w:bookmarkStart w:id="1731" w:name="_Toc220496704"/>
      <w:r>
        <w:t>24.42.1b Assemblages par tiges - broches CCTB 01.11</w:t>
      </w:r>
      <w:bookmarkEnd w:id="1731"/>
    </w:p>
    <w:p w14:paraId="2D778FF6" w14:textId="77777777" w:rsidR="00DB2B68" w:rsidRDefault="00000000">
      <w:pPr>
        <w:pStyle w:val="pheading"/>
      </w:pPr>
      <w:r>
        <w:t>DESCRIPTION</w:t>
      </w:r>
    </w:p>
    <w:p w14:paraId="5EDAA662" w14:textId="77777777" w:rsidR="00DB2B68" w:rsidRDefault="00000000">
      <w:pPr>
        <w:pStyle w:val="pheading"/>
      </w:pPr>
      <w:r>
        <w:t>- Définition / Comprend</w:t>
      </w:r>
    </w:p>
    <w:p w14:paraId="052DEB86" w14:textId="77777777" w:rsidR="00DB2B68" w:rsidRDefault="00000000">
      <w:pPr>
        <w:jc w:val="both"/>
      </w:pPr>
      <w:r>
        <w:t>Il s’agit de tiges cylindriques lisses de 6 à 30mm de diamètre et ne comportant pas de tête intégrée. Une broche est schématisée ci-dessous :</w:t>
      </w:r>
    </w:p>
    <w:p w14:paraId="4DB13910" w14:textId="77777777" w:rsidR="00DB2B68" w:rsidRDefault="00000000">
      <w:r>
        <w:rPr>
          <w:noProof/>
        </w:rPr>
        <w:drawing>
          <wp:inline distT="0" distB="0" distL="0" distR="0" wp14:anchorId="45A7FE37" wp14:editId="58D068E8">
            <wp:extent cx="2857500" cy="2047875"/>
            <wp:effectExtent l="0" t="0" r="0" b="0"/>
            <wp:docPr id="19" name="24.42.1b.png" descr="24.4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80" descr="24.42.1b.png"/>
                    <pic:cNvPicPr>
                      <a:picLocks noChangeAspect="1" noChangeArrowheads="1"/>
                    </pic:cNvPicPr>
                  </pic:nvPicPr>
                  <pic:blipFill>
                    <a:blip r:embed="rId32"/>
                    <a:srcRect/>
                    <a:stretch>
                      <a:fillRect/>
                    </a:stretch>
                  </pic:blipFill>
                  <pic:spPr bwMode="auto">
                    <a:xfrm>
                      <a:off x="0" y="0"/>
                      <a:ext cx="2857500" cy="2047875"/>
                    </a:xfrm>
                    <a:prstGeom prst="rect">
                      <a:avLst/>
                    </a:prstGeom>
                  </pic:spPr>
                </pic:pic>
              </a:graphicData>
            </a:graphic>
          </wp:inline>
        </w:drawing>
      </w:r>
    </w:p>
    <w:p w14:paraId="22E6FC4C" w14:textId="77777777" w:rsidR="00DB2B68" w:rsidRDefault="00000000">
      <w:r>
        <w:rPr>
          <w:b/>
        </w:rPr>
        <w:t>Remarques importantes</w:t>
      </w:r>
    </w:p>
    <w:p w14:paraId="1269AF27" w14:textId="77777777" w:rsidR="00DB2B68" w:rsidRDefault="00000000">
      <w:r>
        <w:lastRenderedPageBreak/>
        <w:t>Les broches utilisées respectent en tout point la norme harmonisée [NBN EN 14592] et disposent du marquage CE suivant celle-ci.</w:t>
      </w:r>
    </w:p>
    <w:p w14:paraId="7B711FD7" w14:textId="77777777" w:rsidR="00DB2B68" w:rsidRDefault="00000000">
      <w:r>
        <w:t>L’étude d’une connexion par broche se fait soit par calculs suivant les principes décrits dans l’Eurocode 5 ([NBN EN 1995-1-1]), soit sur base d’essais réalisés conformément à la [NBN EN 1380].</w:t>
      </w:r>
    </w:p>
    <w:p w14:paraId="3DDF6F8B" w14:textId="77777777" w:rsidR="00DB2B68" w:rsidRDefault="00000000">
      <w:pPr>
        <w:pStyle w:val="pheading"/>
      </w:pPr>
      <w:r>
        <w:t>MATÉRIAUX</w:t>
      </w:r>
    </w:p>
    <w:p w14:paraId="3FC70BD3" w14:textId="77777777" w:rsidR="00DB2B68" w:rsidRDefault="00000000">
      <w:pPr>
        <w:pStyle w:val="pheading"/>
      </w:pPr>
      <w:r>
        <w:t>- Caractéristiques générales</w:t>
      </w:r>
    </w:p>
    <w:p w14:paraId="521D7FCF" w14:textId="77777777" w:rsidR="00DB2B68" w:rsidRDefault="00000000">
      <w:pPr>
        <w:jc w:val="both"/>
      </w:pPr>
      <w:r>
        <w:t xml:space="preserve">Diamètre des broches : </w:t>
      </w:r>
      <w:r>
        <w:rPr>
          <w:rStyle w:val="optioncarChar"/>
        </w:rPr>
        <w:t>6mm / 8 mm / 10mm </w:t>
      </w:r>
      <w:r>
        <w:t>(par défaut)</w:t>
      </w:r>
      <w:r>
        <w:rPr>
          <w:rStyle w:val="optioncarChar"/>
        </w:rPr>
        <w:t xml:space="preserve"> / 12mm / 16mm/ 20mm / ***</w:t>
      </w:r>
    </w:p>
    <w:p w14:paraId="50BD0017" w14:textId="77777777" w:rsidR="00DB2B68" w:rsidRDefault="00000000">
      <w:pPr>
        <w:jc w:val="both"/>
      </w:pPr>
      <w:r>
        <w:t xml:space="preserve">Matériau constituant les broches : </w:t>
      </w:r>
      <w:r>
        <w:rPr>
          <w:rStyle w:val="optioncarChar"/>
        </w:rPr>
        <w:t>acier au carbone ou acier allié</w:t>
      </w:r>
      <w:r>
        <w:t xml:space="preserve"> (par défaut)</w:t>
      </w:r>
      <w:r>
        <w:rPr>
          <w:rStyle w:val="optioncarChar"/>
        </w:rPr>
        <w:t xml:space="preserve"> / acier inoxydable</w:t>
      </w:r>
    </w:p>
    <w:p w14:paraId="7DB94EAA" w14:textId="77777777" w:rsidR="00DB2B68" w:rsidRDefault="00000000">
      <w:pPr>
        <w:ind w:left="567"/>
        <w:jc w:val="both"/>
      </w:pPr>
      <w:r>
        <w:rPr>
          <w:b/>
          <w:i/>
        </w:rPr>
        <w:t>(Soit par défaut)</w:t>
      </w:r>
    </w:p>
    <w:p w14:paraId="490BC791" w14:textId="77777777" w:rsidR="00DB2B68" w:rsidRDefault="00000000">
      <w:pPr>
        <w:ind w:left="567"/>
        <w:jc w:val="both"/>
      </w:pPr>
      <w:r>
        <w:rPr>
          <w:rStyle w:val="soitChar"/>
          <w:u w:val="single"/>
        </w:rPr>
        <w:t>Acier au carbone ou acier allié</w:t>
      </w:r>
    </w:p>
    <w:p w14:paraId="63F3F099" w14:textId="77777777" w:rsidR="00DB2B68" w:rsidRDefault="00000000">
      <w:pPr>
        <w:ind w:left="567"/>
        <w:jc w:val="both"/>
      </w:pPr>
      <w:r>
        <w:rPr>
          <w:rStyle w:val="soitChar"/>
        </w:rPr>
        <w:t xml:space="preserve">Nuance d’acier selon [NBN EN ISO 898-1] : </w:t>
      </w:r>
      <w:r>
        <w:rPr>
          <w:rStyle w:val="optioncarChar"/>
        </w:rPr>
        <w:t>S235 </w:t>
      </w:r>
      <w:r>
        <w:t>(par défaut)</w:t>
      </w:r>
      <w:r>
        <w:rPr>
          <w:rStyle w:val="optioncarChar"/>
        </w:rPr>
        <w:t xml:space="preserve"> / S355 / ***</w:t>
      </w:r>
    </w:p>
    <w:p w14:paraId="2061FF24" w14:textId="77777777" w:rsidR="00DB2B68" w:rsidRDefault="00000000">
      <w:pPr>
        <w:ind w:left="567"/>
        <w:jc w:val="both"/>
      </w:pPr>
      <w:r>
        <w:rPr>
          <w:rStyle w:val="soitChar"/>
        </w:rPr>
        <w:t>Mesure de protection contre la corrosion selon [NBN EN 10346] :</w:t>
      </w:r>
      <w:r>
        <w:rPr>
          <w:rStyle w:val="optioncarChar"/>
        </w:rPr>
        <w:t xml:space="preserve"> aucune / Z275</w:t>
      </w:r>
      <w:r>
        <w:t xml:space="preserve"> (par défaut)</w:t>
      </w:r>
      <w:r>
        <w:rPr>
          <w:rStyle w:val="optioncarChar"/>
        </w:rPr>
        <w:t xml:space="preserve"> / Z350 / ***</w:t>
      </w:r>
    </w:p>
    <w:p w14:paraId="6A85CE95" w14:textId="77777777" w:rsidR="00DB2B68" w:rsidRDefault="00000000">
      <w:pPr>
        <w:ind w:left="567"/>
        <w:jc w:val="both"/>
      </w:pPr>
      <w:r>
        <w:rPr>
          <w:rStyle w:val="soitChar"/>
        </w:rPr>
        <w:t>Cette mesure peut être remplacée par une mesure présentant un degré de protection contre la corrosion similaire ou supérieure.</w:t>
      </w:r>
    </w:p>
    <w:p w14:paraId="2A532769" w14:textId="77777777" w:rsidR="00DB2B68" w:rsidRDefault="00000000">
      <w:pPr>
        <w:ind w:left="567"/>
        <w:jc w:val="both"/>
      </w:pPr>
      <w:r>
        <w:rPr>
          <w:b/>
          <w:i/>
        </w:rPr>
        <w:t>(Soit)</w:t>
      </w:r>
    </w:p>
    <w:p w14:paraId="531BB598" w14:textId="77777777" w:rsidR="00DB2B68" w:rsidRDefault="00000000">
      <w:pPr>
        <w:ind w:left="567"/>
        <w:jc w:val="both"/>
      </w:pPr>
      <w:r>
        <w:rPr>
          <w:rStyle w:val="soitChar"/>
          <w:u w:val="single"/>
        </w:rPr>
        <w:t>Acier inoxydable</w:t>
      </w:r>
    </w:p>
    <w:p w14:paraId="691268E0" w14:textId="77777777" w:rsidR="00DB2B68" w:rsidRDefault="00000000">
      <w:pPr>
        <w:ind w:left="567"/>
        <w:jc w:val="both"/>
      </w:pPr>
      <w:r>
        <w:rPr>
          <w:rStyle w:val="soitChar"/>
        </w:rPr>
        <w:t xml:space="preserve">Nuance d’acier inoxydable selon [NBN EN ISO 3506-1] : </w:t>
      </w:r>
      <w:r>
        <w:rPr>
          <w:rStyle w:val="optioncarChar"/>
        </w:rPr>
        <w:t>A2 </w:t>
      </w:r>
      <w:r>
        <w:t>(par défaut)</w:t>
      </w:r>
      <w:r>
        <w:rPr>
          <w:rStyle w:val="optioncarChar"/>
        </w:rPr>
        <w:t xml:space="preserve"> / A4 / ***</w:t>
      </w:r>
      <w:r>
        <w:t> </w:t>
      </w:r>
    </w:p>
    <w:p w14:paraId="024E3F5B" w14:textId="77777777" w:rsidR="00DB2B68" w:rsidRDefault="00000000">
      <w:pPr>
        <w:jc w:val="both"/>
      </w:pPr>
      <w:r>
        <w:rPr>
          <w:b/>
          <w:u w:val="single"/>
        </w:rPr>
        <w:t>Tolérances</w:t>
      </w:r>
    </w:p>
    <w:p w14:paraId="0EE141B4" w14:textId="77777777" w:rsidR="00DB2B68" w:rsidRDefault="00000000">
      <w:pPr>
        <w:jc w:val="both"/>
      </w:pPr>
      <w:r>
        <w:t>La tolérance sur le diamètre de la broche est de -0/+0,1mm selon l’Eurocode 5 ([NBN EN 1995-1-1]).</w:t>
      </w:r>
    </w:p>
    <w:p w14:paraId="72A26058" w14:textId="77777777" w:rsidR="00DB2B68" w:rsidRDefault="00000000">
      <w:pPr>
        <w:pStyle w:val="pheading"/>
      </w:pPr>
      <w:r>
        <w:t>EXÉCUTION / MISE EN ŒUVRE</w:t>
      </w:r>
    </w:p>
    <w:p w14:paraId="5A570B86" w14:textId="77777777" w:rsidR="00DB2B68" w:rsidRDefault="00000000">
      <w:pPr>
        <w:pStyle w:val="pheading"/>
      </w:pPr>
      <w:r>
        <w:t>- Prescriptions générales</w:t>
      </w:r>
    </w:p>
    <w:p w14:paraId="586201C0" w14:textId="77777777" w:rsidR="00DB2B68" w:rsidRDefault="00000000">
      <w:pPr>
        <w:jc w:val="both"/>
      </w:pPr>
      <w:r>
        <w:rPr>
          <w:b/>
          <w:u w:val="single"/>
        </w:rPr>
        <w:t>Pré-percement des éléments</w:t>
      </w:r>
    </w:p>
    <w:p w14:paraId="42E9F612" w14:textId="77777777" w:rsidR="00DB2B68" w:rsidRDefault="00000000">
      <w:pPr>
        <w:jc w:val="both"/>
      </w:pPr>
      <w:r>
        <w:t>Le préperçage des éléments est obligatoire, et le diamètre des avant-trous dans les éléments en bois est égal au diamètre de la broche.</w:t>
      </w:r>
    </w:p>
    <w:p w14:paraId="2491E9C8" w14:textId="77777777" w:rsidR="00DB2B68" w:rsidRDefault="00000000">
      <w:pPr>
        <w:jc w:val="both"/>
      </w:pPr>
      <w:r>
        <w:t>Dans le cas d’un assemblage bois/acier, les éléments sont percés séparément. L’acier est percé avec un trou de diamètre d = d</w:t>
      </w:r>
      <w:r>
        <w:rPr>
          <w:vertAlign w:val="subscript"/>
        </w:rPr>
        <w:t>broche</w:t>
      </w:r>
      <w:r>
        <w:t>+1 mm.</w:t>
      </w:r>
    </w:p>
    <w:p w14:paraId="0CC25DF3" w14:textId="77777777" w:rsidR="00DB2B68" w:rsidRDefault="00000000">
      <w:pPr>
        <w:jc w:val="both"/>
      </w:pPr>
      <w:r>
        <w:t>L’assemblage est couturé par un ou plusieurs boulon(s) à son extrémité lorsque la longueur de l’assemblage est plus grande que la hauteur de la section.</w:t>
      </w:r>
    </w:p>
    <w:p w14:paraId="179AE0E9" w14:textId="77777777" w:rsidR="00DB2B68" w:rsidRDefault="00000000">
      <w:pPr>
        <w:jc w:val="both"/>
      </w:pPr>
      <w:r>
        <w:rPr>
          <w:b/>
          <w:u w:val="single"/>
        </w:rPr>
        <w:t>Espacements et distances</w:t>
      </w:r>
    </w:p>
    <w:p w14:paraId="2BB315E0" w14:textId="77777777" w:rsidR="00DB2B68" w:rsidRDefault="00000000">
      <w:pPr>
        <w:jc w:val="both"/>
      </w:pPr>
      <w:r>
        <w:t xml:space="preserve">Les espacements et distances minimuaux à respecter sont renseignés dans l’Eurocode 5 [NBN EN 1995-1-1], au </w:t>
      </w:r>
      <w:r>
        <w:rPr>
          <w:i/>
        </w:rPr>
        <w:t>tableau 8.5 – espacements et distances minimaux pour les broches</w:t>
      </w:r>
      <w:r>
        <w:t>.</w:t>
      </w:r>
    </w:p>
    <w:p w14:paraId="105AF3F1" w14:textId="77777777" w:rsidR="00DB2B68" w:rsidRDefault="00000000">
      <w:pPr>
        <w:pStyle w:val="pheading"/>
      </w:pPr>
      <w:r>
        <w:t>MESURAGE</w:t>
      </w:r>
    </w:p>
    <w:p w14:paraId="0C4D158F" w14:textId="77777777" w:rsidR="00DB2B68" w:rsidRDefault="00000000">
      <w:pPr>
        <w:pStyle w:val="pheading"/>
      </w:pPr>
      <w:r>
        <w:t>- unité de mesure:</w:t>
      </w:r>
    </w:p>
    <w:p w14:paraId="0440BA7D" w14:textId="77777777" w:rsidR="00DB2B68" w:rsidRDefault="00000000">
      <w:r>
        <w:rPr>
          <w:rStyle w:val="optioncarChar"/>
        </w:rPr>
        <w:t>- </w:t>
      </w:r>
      <w:r>
        <w:t>(par défaut)</w:t>
      </w:r>
      <w:r>
        <w:rPr>
          <w:rStyle w:val="optioncarChar"/>
        </w:rPr>
        <w:t> / pc</w:t>
      </w:r>
    </w:p>
    <w:p w14:paraId="423EEEFA" w14:textId="77777777" w:rsidR="00DB2B68" w:rsidRDefault="00000000">
      <w:r>
        <w:rPr>
          <w:b/>
          <w:i/>
        </w:rPr>
        <w:t>(Soit par défaut)</w:t>
      </w:r>
    </w:p>
    <w:p w14:paraId="0362D50D" w14:textId="77777777" w:rsidR="00DB2B68" w:rsidRDefault="00000000">
      <w:r>
        <w:rPr>
          <w:rStyle w:val="soitChar"/>
        </w:rPr>
        <w:t>1.     –</w:t>
      </w:r>
    </w:p>
    <w:p w14:paraId="0193FA3D" w14:textId="77777777" w:rsidR="00DB2B68" w:rsidRDefault="00000000">
      <w:r>
        <w:rPr>
          <w:b/>
          <w:i/>
        </w:rPr>
        <w:t>(Soit)</w:t>
      </w:r>
    </w:p>
    <w:p w14:paraId="24F3B793" w14:textId="77777777" w:rsidR="00DB2B68" w:rsidRDefault="00000000">
      <w:r>
        <w:rPr>
          <w:rStyle w:val="soitChar"/>
        </w:rPr>
        <w:t>2.3.  pc</w:t>
      </w:r>
    </w:p>
    <w:p w14:paraId="34D64BD6" w14:textId="77777777" w:rsidR="00DB2B68" w:rsidRDefault="00000000">
      <w:pPr>
        <w:pStyle w:val="pheading"/>
      </w:pPr>
      <w:r>
        <w:t>- code de mesurage:</w:t>
      </w:r>
    </w:p>
    <w:p w14:paraId="1C281006" w14:textId="77777777" w:rsidR="00DB2B68" w:rsidRDefault="00000000">
      <w:r>
        <w:rPr>
          <w:rStyle w:val="optioncarChar"/>
        </w:rPr>
        <w:t>Compris</w:t>
      </w:r>
      <w:r>
        <w:t> (par défaut)</w:t>
      </w:r>
      <w:r>
        <w:rPr>
          <w:rStyle w:val="optioncarChar"/>
        </w:rPr>
        <w:t> / Quantité nette</w:t>
      </w:r>
    </w:p>
    <w:p w14:paraId="47FB65A6" w14:textId="77777777" w:rsidR="00DB2B68" w:rsidRDefault="00000000">
      <w:r>
        <w:rPr>
          <w:b/>
          <w:i/>
        </w:rPr>
        <w:lastRenderedPageBreak/>
        <w:t>(Soit par défaut)</w:t>
      </w:r>
    </w:p>
    <w:p w14:paraId="12775AA0" w14:textId="77777777" w:rsidR="00DB2B68" w:rsidRDefault="00000000">
      <w:r>
        <w:rPr>
          <w:rStyle w:val="soitChar"/>
        </w:rPr>
        <w:t>1.    </w:t>
      </w:r>
      <w:r>
        <w:rPr>
          <w:rStyle w:val="soitChar"/>
          <w:u w:val="single"/>
        </w:rPr>
        <w:t> Compris </w:t>
      </w:r>
      <w:r>
        <w:rPr>
          <w:rStyle w:val="soitChar"/>
        </w:rPr>
        <w:t>dans l’article de référence</w:t>
      </w:r>
      <w:r>
        <w:t> </w:t>
      </w:r>
      <w:r>
        <w:rPr>
          <w:rStyle w:val="optioncarChar"/>
        </w:rPr>
        <w:t>***</w:t>
      </w:r>
    </w:p>
    <w:p w14:paraId="07DC68AC" w14:textId="77777777" w:rsidR="00DB2B68" w:rsidRDefault="00000000">
      <w:r>
        <w:rPr>
          <w:b/>
          <w:i/>
        </w:rPr>
        <w:t>(Soit)</w:t>
      </w:r>
    </w:p>
    <w:p w14:paraId="2DA838F8"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299E5B8F" w14:textId="77777777" w:rsidR="00DB2B68" w:rsidRDefault="00000000">
      <w:pPr>
        <w:pStyle w:val="pheading"/>
      </w:pPr>
      <w:r>
        <w:t>- nature du marché:</w:t>
      </w:r>
    </w:p>
    <w:p w14:paraId="3B2B5225" w14:textId="77777777" w:rsidR="00DB2B68" w:rsidRDefault="00000000">
      <w:r>
        <w:rPr>
          <w:rStyle w:val="optioncarChar"/>
        </w:rPr>
        <w:t>PM</w:t>
      </w:r>
      <w:r>
        <w:t> (par défaut) </w:t>
      </w:r>
      <w:r>
        <w:rPr>
          <w:rStyle w:val="optioncarChar"/>
        </w:rPr>
        <w:t>/ QF / QP</w:t>
      </w:r>
    </w:p>
    <w:p w14:paraId="07FB1D14" w14:textId="77777777" w:rsidR="00DB2B68" w:rsidRDefault="00000000">
      <w:r>
        <w:rPr>
          <w:b/>
          <w:i/>
        </w:rPr>
        <w:t>(Soit par défaut)</w:t>
      </w:r>
    </w:p>
    <w:p w14:paraId="47972E41" w14:textId="77777777" w:rsidR="00DB2B68" w:rsidRDefault="00000000">
      <w:r>
        <w:rPr>
          <w:rStyle w:val="soitChar"/>
        </w:rPr>
        <w:t>1.     PM</w:t>
      </w:r>
    </w:p>
    <w:p w14:paraId="0DD650FA" w14:textId="77777777" w:rsidR="00DB2B68" w:rsidRDefault="00000000">
      <w:r>
        <w:rPr>
          <w:b/>
          <w:i/>
        </w:rPr>
        <w:t>(Soit)</w:t>
      </w:r>
    </w:p>
    <w:p w14:paraId="71ED46BB" w14:textId="77777777" w:rsidR="00DB2B68" w:rsidRDefault="00000000">
      <w:r>
        <w:rPr>
          <w:rStyle w:val="soitChar"/>
        </w:rPr>
        <w:t>2.     QF</w:t>
      </w:r>
    </w:p>
    <w:p w14:paraId="36BF71D0" w14:textId="77777777" w:rsidR="00DB2B68" w:rsidRDefault="00000000">
      <w:r>
        <w:rPr>
          <w:b/>
          <w:i/>
        </w:rPr>
        <w:t>(Soit)</w:t>
      </w:r>
    </w:p>
    <w:p w14:paraId="697E1865" w14:textId="77777777" w:rsidR="00DB2B68" w:rsidRDefault="00000000">
      <w:r>
        <w:rPr>
          <w:rStyle w:val="soitChar"/>
        </w:rPr>
        <w:t>3.     QP</w:t>
      </w:r>
    </w:p>
    <w:p w14:paraId="257AC0BF" w14:textId="77777777" w:rsidR="00DB2B68" w:rsidRDefault="00000000">
      <w:pPr>
        <w:pStyle w:val="Author-eSectionHeading6Numberless"/>
      </w:pPr>
      <w:bookmarkStart w:id="1732" w:name="_Toc220496705"/>
      <w:r>
        <w:t>24.42.1c Assemblages par tiges - boulons CCTB 01.11</w:t>
      </w:r>
      <w:bookmarkEnd w:id="1732"/>
    </w:p>
    <w:p w14:paraId="714121FF" w14:textId="77777777" w:rsidR="00DB2B68" w:rsidRDefault="00000000">
      <w:pPr>
        <w:pStyle w:val="pheading"/>
      </w:pPr>
      <w:bookmarkStart w:id="1733" w:name="633"/>
      <w:bookmarkEnd w:id="1733"/>
      <w:r>
        <w:t>DESCRIPTION</w:t>
      </w:r>
    </w:p>
    <w:p w14:paraId="6AC21FD5" w14:textId="77777777" w:rsidR="00DB2B68" w:rsidRDefault="00000000">
      <w:pPr>
        <w:pStyle w:val="pheading"/>
      </w:pPr>
      <w:r>
        <w:t>- Définition / Comprend</w:t>
      </w:r>
    </w:p>
    <w:p w14:paraId="344C134F" w14:textId="77777777" w:rsidR="00DB2B68" w:rsidRDefault="00000000">
      <w:pPr>
        <w:jc w:val="both"/>
      </w:pPr>
      <w:r>
        <w:t>Il s’agit d’un élément de fixation métallique cylindrique comportant une tête intégrée à une extrémité et une partie filetée destinée à recevoir un écrou à l’autre extrémité. Leur diamètre est compris entre 6 mm et 30 mm.</w:t>
      </w:r>
    </w:p>
    <w:p w14:paraId="658D8AE0" w14:textId="77777777" w:rsidR="00DB2B68" w:rsidRDefault="00000000">
      <w:pPr>
        <w:jc w:val="both"/>
      </w:pPr>
      <w:r>
        <w:t>Un boulon est composé de l’ensemble Vis + Ecrou + 2 Rondelles.</w:t>
      </w:r>
    </w:p>
    <w:p w14:paraId="021590AA" w14:textId="77777777" w:rsidR="00DB2B68" w:rsidRDefault="00000000">
      <w:pPr>
        <w:jc w:val="both"/>
      </w:pPr>
      <w:r>
        <w:rPr>
          <w:noProof/>
        </w:rPr>
        <w:drawing>
          <wp:inline distT="0" distB="0" distL="0" distR="0" wp14:anchorId="4E557FD2" wp14:editId="41157893">
            <wp:extent cx="4762500" cy="1724025"/>
            <wp:effectExtent l="0" t="0" r="0" b="0"/>
            <wp:docPr id="20" name="24.42.1c.png" descr="24.4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81" descr="24.42.1c.png"/>
                    <pic:cNvPicPr>
                      <a:picLocks noChangeAspect="1" noChangeArrowheads="1"/>
                    </pic:cNvPicPr>
                  </pic:nvPicPr>
                  <pic:blipFill>
                    <a:blip r:embed="rId33"/>
                    <a:srcRect/>
                    <a:stretch>
                      <a:fillRect/>
                    </a:stretch>
                  </pic:blipFill>
                  <pic:spPr bwMode="auto">
                    <a:xfrm>
                      <a:off x="0" y="0"/>
                      <a:ext cx="4762500" cy="1724025"/>
                    </a:xfrm>
                    <a:prstGeom prst="rect">
                      <a:avLst/>
                    </a:prstGeom>
                  </pic:spPr>
                </pic:pic>
              </a:graphicData>
            </a:graphic>
          </wp:inline>
        </w:drawing>
      </w:r>
    </w:p>
    <w:p w14:paraId="105B82B5" w14:textId="77777777" w:rsidR="00DB2B68" w:rsidRDefault="00000000">
      <w:pPr>
        <w:jc w:val="both"/>
      </w:pPr>
      <w:r>
        <w:rPr>
          <w:b/>
        </w:rPr>
        <w:t>Remarques importantes</w:t>
      </w:r>
    </w:p>
    <w:p w14:paraId="21B20F08" w14:textId="77777777" w:rsidR="00DB2B68" w:rsidRDefault="00000000">
      <w:pPr>
        <w:jc w:val="both"/>
      </w:pPr>
      <w:r>
        <w:t>Les boulons utilisés respectent en tout point la norme harmonisée [NBN EN 14592] et disposent du marquage CE suivant celle-ci.</w:t>
      </w:r>
    </w:p>
    <w:p w14:paraId="46F77601" w14:textId="77777777" w:rsidR="00DB2B68" w:rsidRDefault="00000000">
      <w:pPr>
        <w:jc w:val="both"/>
      </w:pPr>
      <w:r>
        <w:t>L’étude d’une connexion par boulons se fait soit par calculs suivant les principes décrits dans l’Eurocode 5 ([NBN EN 1995-1-1]), soit sur base d’essais réalisés conformément à la [NBN EN 1380].</w:t>
      </w:r>
    </w:p>
    <w:p w14:paraId="1E76E4E0" w14:textId="77777777" w:rsidR="00DB2B68" w:rsidRDefault="00000000">
      <w:pPr>
        <w:pStyle w:val="pheading"/>
      </w:pPr>
      <w:r>
        <w:t>MATÉRIAUX</w:t>
      </w:r>
    </w:p>
    <w:p w14:paraId="5237170D" w14:textId="77777777" w:rsidR="00DB2B68" w:rsidRDefault="00000000">
      <w:pPr>
        <w:pStyle w:val="pheading"/>
      </w:pPr>
      <w:r>
        <w:t>- Caractéristiques générales</w:t>
      </w:r>
    </w:p>
    <w:p w14:paraId="267C37F9" w14:textId="77777777" w:rsidR="00DB2B68" w:rsidRDefault="00000000">
      <w:pPr>
        <w:jc w:val="both"/>
      </w:pPr>
      <w:r>
        <w:t xml:space="preserve">Diamètre des boulons : </w:t>
      </w:r>
      <w:r>
        <w:rPr>
          <w:rStyle w:val="optioncarChar"/>
        </w:rPr>
        <w:t>M8 / M10 / M12 </w:t>
      </w:r>
      <w:r>
        <w:t>(par défaut)</w:t>
      </w:r>
      <w:r>
        <w:rPr>
          <w:rStyle w:val="optioncarChar"/>
        </w:rPr>
        <w:t xml:space="preserve"> / M16 / M20 / M24 / ***</w:t>
      </w:r>
    </w:p>
    <w:p w14:paraId="067C14AA" w14:textId="77777777" w:rsidR="00DB2B68" w:rsidRDefault="00000000">
      <w:pPr>
        <w:jc w:val="both"/>
      </w:pPr>
      <w:r>
        <w:t>Longueur des boulons :</w:t>
      </w:r>
      <w:r>
        <w:rPr>
          <w:rStyle w:val="optioncarChar"/>
        </w:rPr>
        <w:t xml:space="preserve"> ***</w:t>
      </w:r>
    </w:p>
    <w:p w14:paraId="613182FD" w14:textId="77777777" w:rsidR="00DB2B68" w:rsidRDefault="00000000">
      <w:pPr>
        <w:jc w:val="both"/>
      </w:pPr>
      <w:r>
        <w:t>Matériau constituant les boulons :</w:t>
      </w:r>
      <w:r>
        <w:rPr>
          <w:rStyle w:val="optioncarChar"/>
        </w:rPr>
        <w:t xml:space="preserve"> acier au carbone ou acier allié </w:t>
      </w:r>
      <w:r>
        <w:t>(par défaut)</w:t>
      </w:r>
      <w:r>
        <w:rPr>
          <w:rStyle w:val="optioncarChar"/>
        </w:rPr>
        <w:t xml:space="preserve"> / acier inoxydable</w:t>
      </w:r>
    </w:p>
    <w:p w14:paraId="437B1DD2" w14:textId="77777777" w:rsidR="00DB2B68" w:rsidRDefault="00000000">
      <w:pPr>
        <w:ind w:left="567"/>
        <w:jc w:val="both"/>
      </w:pPr>
      <w:r>
        <w:rPr>
          <w:b/>
          <w:i/>
        </w:rPr>
        <w:t>(Soit par défaut)</w:t>
      </w:r>
    </w:p>
    <w:p w14:paraId="6533C912" w14:textId="77777777" w:rsidR="00DB2B68" w:rsidRDefault="00000000">
      <w:pPr>
        <w:ind w:left="567"/>
        <w:jc w:val="both"/>
      </w:pPr>
      <w:r>
        <w:rPr>
          <w:rStyle w:val="soitChar"/>
          <w:u w:val="single"/>
        </w:rPr>
        <w:t>Acier au carbone ou acier allié</w:t>
      </w:r>
    </w:p>
    <w:p w14:paraId="0EB591D5" w14:textId="77777777" w:rsidR="00DB2B68" w:rsidRDefault="00000000">
      <w:pPr>
        <w:ind w:left="567"/>
        <w:jc w:val="both"/>
      </w:pPr>
      <w:r>
        <w:rPr>
          <w:rStyle w:val="soitChar"/>
        </w:rPr>
        <w:lastRenderedPageBreak/>
        <w:t xml:space="preserve">Nuance d’acier selon [NBN EN ISO 898-1] : </w:t>
      </w:r>
      <w:r>
        <w:rPr>
          <w:rStyle w:val="optioncarChar"/>
        </w:rPr>
        <w:t xml:space="preserve">4.8 </w:t>
      </w:r>
      <w:r>
        <w:t>(par défaut) </w:t>
      </w:r>
      <w:r>
        <w:rPr>
          <w:rStyle w:val="optioncarChar"/>
        </w:rPr>
        <w:t>/ 5.6 / 8.8 / 10.9 / ***</w:t>
      </w:r>
    </w:p>
    <w:p w14:paraId="66A84722" w14:textId="77777777" w:rsidR="00DB2B68" w:rsidRDefault="00000000">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14:paraId="60BDCA60" w14:textId="77777777" w:rsidR="00DB2B68" w:rsidRDefault="00000000">
      <w:pPr>
        <w:ind w:left="567"/>
        <w:jc w:val="both"/>
      </w:pPr>
      <w:r>
        <w:rPr>
          <w:rStyle w:val="soitChar"/>
        </w:rPr>
        <w:t>Cette mesure peut être remplacée par une mesure présentant un degré de protection contre la corrosion similaire ou supérieure.</w:t>
      </w:r>
    </w:p>
    <w:p w14:paraId="6C09BBB5" w14:textId="77777777" w:rsidR="00DB2B68" w:rsidRDefault="00000000">
      <w:pPr>
        <w:ind w:left="567"/>
        <w:jc w:val="both"/>
      </w:pPr>
      <w:r>
        <w:rPr>
          <w:b/>
          <w:i/>
        </w:rPr>
        <w:t>(Soit)</w:t>
      </w:r>
    </w:p>
    <w:p w14:paraId="4C73121A" w14:textId="77777777" w:rsidR="00DB2B68" w:rsidRDefault="00000000">
      <w:pPr>
        <w:ind w:left="567"/>
        <w:jc w:val="both"/>
      </w:pPr>
      <w:r>
        <w:rPr>
          <w:rStyle w:val="soitChar"/>
          <w:u w:val="single"/>
        </w:rPr>
        <w:t>Acier inoxydable</w:t>
      </w:r>
    </w:p>
    <w:p w14:paraId="758A5951" w14:textId="77777777" w:rsidR="00DB2B68" w:rsidRDefault="00000000">
      <w:pPr>
        <w:ind w:left="567"/>
        <w:jc w:val="both"/>
      </w:pPr>
      <w:r>
        <w:rPr>
          <w:rStyle w:val="soitChar"/>
        </w:rPr>
        <w:t>Nuance d’acier inoxydable selon [NBN EN ISO 3506-1] :</w:t>
      </w:r>
      <w:r>
        <w:rPr>
          <w:rStyle w:val="optioncarChar"/>
        </w:rPr>
        <w:t xml:space="preserve"> A2</w:t>
      </w:r>
      <w:r>
        <w:t> (par défaut)</w:t>
      </w:r>
      <w:r>
        <w:rPr>
          <w:rStyle w:val="optioncarChar"/>
        </w:rPr>
        <w:t xml:space="preserve"> / A4 / ***</w:t>
      </w:r>
    </w:p>
    <w:p w14:paraId="57916B84" w14:textId="77777777" w:rsidR="00DB2B68" w:rsidRDefault="00DB2B68">
      <w:pPr>
        <w:ind w:left="567"/>
        <w:jc w:val="both"/>
      </w:pPr>
    </w:p>
    <w:p w14:paraId="00D680CC" w14:textId="77777777" w:rsidR="00DB2B68" w:rsidRDefault="00000000">
      <w:pPr>
        <w:jc w:val="both"/>
      </w:pPr>
      <w:r>
        <w:t>Suivant la [NBN EN 14592], la tolérance sur le diamètre des boulons est de +/- 2,5 % de la valeur déclarée.</w:t>
      </w:r>
    </w:p>
    <w:p w14:paraId="4017BD6B" w14:textId="77777777" w:rsidR="00DB2B68" w:rsidRDefault="00000000">
      <w:pPr>
        <w:pStyle w:val="pheading"/>
      </w:pPr>
      <w:r>
        <w:t>EXÉCUTION / MISE EN ŒUVRE</w:t>
      </w:r>
    </w:p>
    <w:p w14:paraId="69CA8B42" w14:textId="77777777" w:rsidR="00DB2B68" w:rsidRDefault="00000000">
      <w:pPr>
        <w:pStyle w:val="pheading"/>
      </w:pPr>
      <w:r>
        <w:t>- Prescriptions générales</w:t>
      </w:r>
    </w:p>
    <w:p w14:paraId="1A4D6308" w14:textId="77777777" w:rsidR="00DB2B68" w:rsidRDefault="00000000">
      <w:pPr>
        <w:jc w:val="both"/>
      </w:pPr>
      <w:r>
        <w:rPr>
          <w:b/>
          <w:u w:val="single"/>
        </w:rPr>
        <w:t>Espacements et distances</w:t>
      </w:r>
    </w:p>
    <w:p w14:paraId="25DCEDA5" w14:textId="77777777" w:rsidR="00DB2B68" w:rsidRDefault="00000000">
      <w:pPr>
        <w:jc w:val="both"/>
      </w:pPr>
      <w:r>
        <w:t xml:space="preserve">Les espacements et distances minimaux à respecter sont renseigner dans l’Eurocode 5 [NBN EN 1995-1-1], au </w:t>
      </w:r>
      <w:r>
        <w:rPr>
          <w:i/>
        </w:rPr>
        <w:t>tableau 8.4 – espacements et distances minimaux pour les boulons.</w:t>
      </w:r>
    </w:p>
    <w:p w14:paraId="27958E36" w14:textId="77777777" w:rsidR="00DB2B68" w:rsidRDefault="00000000">
      <w:pPr>
        <w:jc w:val="both"/>
      </w:pPr>
      <w:r>
        <w:rPr>
          <w:b/>
          <w:u w:val="single"/>
        </w:rPr>
        <w:t>Positionnement</w:t>
      </w:r>
    </w:p>
    <w:p w14:paraId="2F7D7B18" w14:textId="77777777" w:rsidR="00DB2B68" w:rsidRDefault="00000000">
      <w:pPr>
        <w:jc w:val="both"/>
      </w:pPr>
      <w:r>
        <w:t>La position du boulon par rapport à son emplacement théorique doit être exacte à 5mm près. </w:t>
      </w:r>
    </w:p>
    <w:p w14:paraId="7BE81A83" w14:textId="77777777" w:rsidR="00DB2B68" w:rsidRDefault="00000000">
      <w:pPr>
        <w:jc w:val="both"/>
      </w:pPr>
      <w:r>
        <w:rPr>
          <w:b/>
          <w:u w:val="single"/>
        </w:rPr>
        <w:t>Pré percement des éléments</w:t>
      </w:r>
    </w:p>
    <w:p w14:paraId="124E08C8" w14:textId="77777777" w:rsidR="00DB2B68" w:rsidRDefault="00000000">
      <w:pPr>
        <w:jc w:val="both"/>
      </w:pPr>
      <w:r>
        <w:t>Les trous de boulons dans le bois ont un diamètre qui n’est pas supérieur de plus de 1 mm à celui du boulon.  Les trous de boulons dans les plaques métalliques ont un diamètre qui n’est pas supérieur de plus de 2 mm ou 0.1d (en considérant la valeur maximale) à celui du boulon.  </w:t>
      </w:r>
    </w:p>
    <w:p w14:paraId="56B3976E" w14:textId="77777777" w:rsidR="00DB2B68" w:rsidRDefault="00000000">
      <w:pPr>
        <w:jc w:val="both"/>
      </w:pPr>
      <w:r>
        <w:rPr>
          <w:b/>
          <w:u w:val="single"/>
        </w:rPr>
        <w:t>Rondelles</w:t>
      </w:r>
    </w:p>
    <w:p w14:paraId="42C52855" w14:textId="77777777" w:rsidR="00DB2B68" w:rsidRDefault="00000000">
      <w:pPr>
        <w:jc w:val="both"/>
      </w:pPr>
      <w:r>
        <w:t>Une rondelle est placée entre la tête du boulon et la pièce en bois. Une deuxième rondelle est placée entre l’écrou et la pièce en bois. Les rondelles ont un diamètre minimum de 3d (souvent 3,5d à 4d) et une épaisseur minimale de 0,3d. </w:t>
      </w:r>
    </w:p>
    <w:p w14:paraId="20A928C3" w14:textId="77777777" w:rsidR="00DB2B68" w:rsidRDefault="00000000">
      <w:pPr>
        <w:jc w:val="both"/>
      </w:pPr>
      <w:r>
        <w:rPr>
          <w:b/>
          <w:u w:val="single"/>
        </w:rPr>
        <w:t>Ajustement des boulons</w:t>
      </w:r>
    </w:p>
    <w:p w14:paraId="148D7930" w14:textId="77777777" w:rsidR="00DB2B68" w:rsidRDefault="00000000">
      <w:pPr>
        <w:jc w:val="both"/>
      </w:pPr>
      <w:r>
        <w:t>Les boulons sont ajustés de telle sorte que les éléments s’assemblent précisément.</w:t>
      </w:r>
    </w:p>
    <w:p w14:paraId="126EF0B2" w14:textId="77777777" w:rsidR="00DB2B68" w:rsidRDefault="00000000">
      <w:pPr>
        <w:jc w:val="both"/>
      </w:pPr>
      <w:r>
        <w:t>Dans le cas où, lors de l’installation des boulons, le bois n’a pas atteint sa teneur en humidité d’équilibre, les boulons sont resserrés lorsque le bois a atteint sa teneur en humidité d’équilibre.</w:t>
      </w:r>
    </w:p>
    <w:p w14:paraId="4514905D" w14:textId="77777777" w:rsidR="00DB2B68" w:rsidRDefault="00000000">
      <w:pPr>
        <w:pStyle w:val="pheading"/>
      </w:pPr>
      <w:r>
        <w:t>MESURAGE</w:t>
      </w:r>
    </w:p>
    <w:p w14:paraId="40F3265D" w14:textId="77777777" w:rsidR="00DB2B68" w:rsidRDefault="00000000">
      <w:pPr>
        <w:pStyle w:val="pheading"/>
      </w:pPr>
      <w:r>
        <w:t>- unité de mesure:</w:t>
      </w:r>
    </w:p>
    <w:p w14:paraId="4B138AD0" w14:textId="77777777" w:rsidR="00DB2B68" w:rsidRDefault="00000000">
      <w:r>
        <w:rPr>
          <w:rStyle w:val="optioncarChar"/>
        </w:rPr>
        <w:t>- </w:t>
      </w:r>
      <w:r>
        <w:t>(par défaut) </w:t>
      </w:r>
      <w:r>
        <w:rPr>
          <w:rStyle w:val="optioncarChar"/>
        </w:rPr>
        <w:t>/ pc</w:t>
      </w:r>
    </w:p>
    <w:p w14:paraId="47C11CE9" w14:textId="77777777" w:rsidR="00DB2B68" w:rsidRDefault="00000000">
      <w:r>
        <w:rPr>
          <w:b/>
          <w:i/>
        </w:rPr>
        <w:t>(Soit par défaut)</w:t>
      </w:r>
    </w:p>
    <w:p w14:paraId="567EFE32" w14:textId="77777777" w:rsidR="00DB2B68" w:rsidRDefault="00000000">
      <w:r>
        <w:rPr>
          <w:rStyle w:val="soitChar"/>
        </w:rPr>
        <w:t>1.     –</w:t>
      </w:r>
    </w:p>
    <w:p w14:paraId="60EA9F0D" w14:textId="77777777" w:rsidR="00DB2B68" w:rsidRDefault="00000000">
      <w:r>
        <w:rPr>
          <w:b/>
          <w:i/>
        </w:rPr>
        <w:t>(Soit)</w:t>
      </w:r>
    </w:p>
    <w:p w14:paraId="23E49C3A" w14:textId="77777777" w:rsidR="00DB2B68" w:rsidRDefault="00000000">
      <w:r>
        <w:rPr>
          <w:rStyle w:val="soitChar"/>
        </w:rPr>
        <w:t>2.3.  pc</w:t>
      </w:r>
    </w:p>
    <w:p w14:paraId="144A2322" w14:textId="77777777" w:rsidR="00DB2B68" w:rsidRDefault="00000000">
      <w:pPr>
        <w:pStyle w:val="pheading"/>
      </w:pPr>
      <w:r>
        <w:t>- code de mesurage:</w:t>
      </w:r>
    </w:p>
    <w:p w14:paraId="7B327C75" w14:textId="77777777" w:rsidR="00DB2B68" w:rsidRDefault="00000000">
      <w:r>
        <w:rPr>
          <w:rStyle w:val="optioncarChar"/>
        </w:rPr>
        <w:t>Compris </w:t>
      </w:r>
      <w:r>
        <w:t>(par défaut) </w:t>
      </w:r>
      <w:r>
        <w:rPr>
          <w:rStyle w:val="optioncarChar"/>
        </w:rPr>
        <w:t>/ Quantité nette</w:t>
      </w:r>
    </w:p>
    <w:p w14:paraId="5ADD7BAE" w14:textId="77777777" w:rsidR="00DB2B68" w:rsidRDefault="00000000">
      <w:r>
        <w:rPr>
          <w:b/>
          <w:i/>
        </w:rPr>
        <w:t>(Soit par défaut)</w:t>
      </w:r>
    </w:p>
    <w:p w14:paraId="7DDEA0B1" w14:textId="77777777" w:rsidR="00DB2B68" w:rsidRDefault="00000000">
      <w:r>
        <w:rPr>
          <w:rStyle w:val="soitChar"/>
        </w:rPr>
        <w:t>1.   </w:t>
      </w:r>
      <w:r>
        <w:rPr>
          <w:rStyle w:val="soitChar"/>
          <w:u w:val="single"/>
        </w:rPr>
        <w:t>  Compris</w:t>
      </w:r>
      <w:r>
        <w:rPr>
          <w:rStyle w:val="soitChar"/>
        </w:rPr>
        <w:t> dans l’article de référence</w:t>
      </w:r>
      <w:r>
        <w:t> </w:t>
      </w:r>
      <w:r>
        <w:rPr>
          <w:rStyle w:val="optioncarChar"/>
        </w:rPr>
        <w:t>***</w:t>
      </w:r>
    </w:p>
    <w:p w14:paraId="60C7A860" w14:textId="77777777" w:rsidR="00DB2B68" w:rsidRDefault="00000000">
      <w:r>
        <w:rPr>
          <w:b/>
          <w:i/>
        </w:rPr>
        <w:t>(Soit)</w:t>
      </w:r>
    </w:p>
    <w:p w14:paraId="6693514D" w14:textId="77777777" w:rsidR="00DB2B68" w:rsidRDefault="00000000">
      <w:r>
        <w:rPr>
          <w:rStyle w:val="soitChar"/>
        </w:rPr>
        <w:lastRenderedPageBreak/>
        <w:t>2.3. </w:t>
      </w:r>
      <w:r>
        <w:rPr>
          <w:rStyle w:val="soitChar"/>
          <w:u w:val="single"/>
        </w:rPr>
        <w:t>Quantité nette</w:t>
      </w:r>
      <w:r>
        <w:rPr>
          <w:rStyle w:val="soitChar"/>
        </w:rPr>
        <w:t> : Le nombre d’assemblages à embrèvement ayant les mêmes dimensions est compatibilisé.</w:t>
      </w:r>
    </w:p>
    <w:p w14:paraId="3CA2DC6D" w14:textId="77777777" w:rsidR="00DB2B68" w:rsidRDefault="00000000">
      <w:pPr>
        <w:pStyle w:val="pheading"/>
      </w:pPr>
      <w:r>
        <w:t>- nature du marché:</w:t>
      </w:r>
    </w:p>
    <w:p w14:paraId="4EEF1930" w14:textId="77777777" w:rsidR="00DB2B68" w:rsidRDefault="00000000">
      <w:r>
        <w:rPr>
          <w:rStyle w:val="optioncarChar"/>
        </w:rPr>
        <w:t>PM </w:t>
      </w:r>
      <w:r>
        <w:t>(par défaut) </w:t>
      </w:r>
      <w:r>
        <w:rPr>
          <w:rStyle w:val="optioncarChar"/>
        </w:rPr>
        <w:t>/ QF / QP</w:t>
      </w:r>
    </w:p>
    <w:p w14:paraId="45A62D3D" w14:textId="77777777" w:rsidR="00DB2B68" w:rsidRDefault="00000000">
      <w:r>
        <w:rPr>
          <w:b/>
          <w:i/>
        </w:rPr>
        <w:t>(Soit par défaut)</w:t>
      </w:r>
    </w:p>
    <w:p w14:paraId="13225F18" w14:textId="77777777" w:rsidR="00DB2B68" w:rsidRDefault="00000000">
      <w:r>
        <w:rPr>
          <w:rStyle w:val="soitChar"/>
        </w:rPr>
        <w:t>1.     PM</w:t>
      </w:r>
    </w:p>
    <w:p w14:paraId="28A6DEB5" w14:textId="77777777" w:rsidR="00DB2B68" w:rsidRDefault="00000000">
      <w:r>
        <w:rPr>
          <w:b/>
          <w:i/>
        </w:rPr>
        <w:t>(Soit)</w:t>
      </w:r>
    </w:p>
    <w:p w14:paraId="24BA8811" w14:textId="77777777" w:rsidR="00DB2B68" w:rsidRDefault="00000000">
      <w:r>
        <w:rPr>
          <w:rStyle w:val="soitChar"/>
        </w:rPr>
        <w:t>2.     QF</w:t>
      </w:r>
    </w:p>
    <w:p w14:paraId="2302C480" w14:textId="77777777" w:rsidR="00DB2B68" w:rsidRDefault="00000000">
      <w:r>
        <w:rPr>
          <w:b/>
          <w:i/>
        </w:rPr>
        <w:t>(Soit)</w:t>
      </w:r>
    </w:p>
    <w:p w14:paraId="3C39318D" w14:textId="77777777" w:rsidR="00DB2B68" w:rsidRDefault="00000000">
      <w:r>
        <w:rPr>
          <w:rStyle w:val="soitChar"/>
        </w:rPr>
        <w:t>3.     QP</w:t>
      </w:r>
    </w:p>
    <w:p w14:paraId="792EB9E6" w14:textId="77777777" w:rsidR="00DB2B68" w:rsidRDefault="00000000">
      <w:pPr>
        <w:pStyle w:val="Author-eSectionHeading6Numberless"/>
      </w:pPr>
      <w:bookmarkStart w:id="1734" w:name="_Toc220496706"/>
      <w:r>
        <w:t>24.42.1d Assemblages par tiges - vis CCTB 01.11</w:t>
      </w:r>
      <w:bookmarkEnd w:id="1734"/>
    </w:p>
    <w:p w14:paraId="109E97EE" w14:textId="77777777" w:rsidR="00DB2B68" w:rsidRDefault="00000000">
      <w:pPr>
        <w:pStyle w:val="pheading"/>
      </w:pPr>
      <w:bookmarkStart w:id="1735" w:name="582"/>
      <w:bookmarkEnd w:id="1735"/>
      <w:r>
        <w:t>DESCRIPTION</w:t>
      </w:r>
    </w:p>
    <w:p w14:paraId="2F37442D" w14:textId="77777777" w:rsidR="00DB2B68" w:rsidRDefault="00000000">
      <w:pPr>
        <w:pStyle w:val="pheading"/>
      </w:pPr>
      <w:r>
        <w:t>- Définition / Comprend</w:t>
      </w:r>
    </w:p>
    <w:p w14:paraId="763F4D75" w14:textId="77777777" w:rsidR="00DB2B68" w:rsidRDefault="00000000">
      <w:pPr>
        <w:jc w:val="both"/>
      </w:pPr>
      <w:r>
        <w:t>Il s’agit des différentes sortes de vis de charpente ; chacune de celles-ci a une application bien spécifique. Les résistances et les raideurs des vis sont très variables et peuvent atteindre des valeurs relativement élevées.</w:t>
      </w:r>
    </w:p>
    <w:p w14:paraId="758B7CE8" w14:textId="77777777" w:rsidR="00DB2B68" w:rsidRDefault="00000000">
      <w:pPr>
        <w:jc w:val="both"/>
      </w:pPr>
      <w:r>
        <w:t>Les plus courantes sont les vis auto-taraudeuses à tête fraisée :</w:t>
      </w:r>
    </w:p>
    <w:p w14:paraId="0343D6C8" w14:textId="77777777" w:rsidR="00DB2B68" w:rsidRDefault="00000000">
      <w:pPr>
        <w:jc w:val="both"/>
      </w:pPr>
      <w:r>
        <w:rPr>
          <w:noProof/>
        </w:rPr>
        <w:drawing>
          <wp:anchor distT="0" distB="0" distL="0" distR="0" simplePos="0" relativeHeight="251652096" behindDoc="0" locked="0" layoutInCell="1" allowOverlap="0" wp14:anchorId="6FBF7EB5" wp14:editId="206CE7C2">
            <wp:simplePos x="0" y="0"/>
            <wp:positionH relativeFrom="column">
              <wp:align>center</wp:align>
            </wp:positionH>
            <wp:positionV relativeFrom="line">
              <wp:align>top</wp:align>
            </wp:positionV>
            <wp:extent cx="4286250" cy="1143000"/>
            <wp:effectExtent l="0" t="0" r="0" b="0"/>
            <wp:wrapTopAndBottom/>
            <wp:docPr id="21" name="24.42.1d.jpg" descr="24.4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82" descr="24.42.1d.jpg"/>
                    <pic:cNvPicPr>
                      <a:picLocks noChangeAspect="1" noChangeArrowheads="1"/>
                    </pic:cNvPicPr>
                  </pic:nvPicPr>
                  <pic:blipFill>
                    <a:blip r:embed="rId34"/>
                    <a:srcRect/>
                    <a:stretch>
                      <a:fillRect/>
                    </a:stretch>
                  </pic:blipFill>
                  <pic:spPr bwMode="auto">
                    <a:xfrm>
                      <a:off x="0" y="0"/>
                      <a:ext cx="4286250" cy="1143000"/>
                    </a:xfrm>
                    <a:prstGeom prst="rect">
                      <a:avLst/>
                    </a:prstGeom>
                  </pic:spPr>
                </pic:pic>
              </a:graphicData>
            </a:graphic>
          </wp:anchor>
        </w:drawing>
      </w:r>
    </w:p>
    <w:p w14:paraId="5C936BEE" w14:textId="77777777" w:rsidR="00DB2B68" w:rsidRDefault="00000000">
      <w:pPr>
        <w:jc w:val="both"/>
      </w:pPr>
      <w:r>
        <w:t>Les vis à filetage total sont aussi de plus en plus utilisées</w:t>
      </w:r>
    </w:p>
    <w:p w14:paraId="1EA068ED" w14:textId="77777777" w:rsidR="00DB2B68" w:rsidRDefault="00000000">
      <w:pPr>
        <w:jc w:val="both"/>
      </w:pPr>
      <w:r>
        <w:rPr>
          <w:noProof/>
        </w:rPr>
        <w:lastRenderedPageBreak/>
        <w:drawing>
          <wp:anchor distT="0" distB="0" distL="0" distR="0" simplePos="0" relativeHeight="251658240" behindDoc="0" locked="0" layoutInCell="1" allowOverlap="0" wp14:anchorId="0D03B6A6" wp14:editId="6282C87B">
            <wp:simplePos x="0" y="0"/>
            <wp:positionH relativeFrom="column">
              <wp:align>center</wp:align>
            </wp:positionH>
            <wp:positionV relativeFrom="line">
              <wp:align>top</wp:align>
            </wp:positionV>
            <wp:extent cx="4286250" cy="3219450"/>
            <wp:effectExtent l="0" t="0" r="0" b="0"/>
            <wp:wrapTopAndBottom/>
            <wp:docPr id="564958142" name="24.42.1d2.jpg" descr="24.42.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83" descr="24.42.1d2.jpg"/>
                    <pic:cNvPicPr>
                      <a:picLocks noChangeAspect="1" noChangeArrowheads="1"/>
                    </pic:cNvPicPr>
                  </pic:nvPicPr>
                  <pic:blipFill>
                    <a:blip r:embed="rId35"/>
                    <a:srcRect/>
                    <a:stretch>
                      <a:fillRect/>
                    </a:stretch>
                  </pic:blipFill>
                  <pic:spPr bwMode="auto">
                    <a:xfrm>
                      <a:off x="0" y="0"/>
                      <a:ext cx="4286250" cy="3219450"/>
                    </a:xfrm>
                    <a:prstGeom prst="rect">
                      <a:avLst/>
                    </a:prstGeom>
                  </pic:spPr>
                </pic:pic>
              </a:graphicData>
            </a:graphic>
          </wp:anchor>
        </w:drawing>
      </w:r>
    </w:p>
    <w:p w14:paraId="0AE5FFF4" w14:textId="77777777" w:rsidR="00DB2B68" w:rsidRDefault="00000000">
      <w:pPr>
        <w:jc w:val="both"/>
      </w:pPr>
      <w:r>
        <w:t>La connexion d’éléments en acier avec du bois n’est pas possible avec toutes les vis et est liée à  des prescriptions de mise en œuvre particulières.</w:t>
      </w:r>
    </w:p>
    <w:p w14:paraId="3498DB6E" w14:textId="77777777" w:rsidR="00DB2B68" w:rsidRDefault="00000000">
      <w:pPr>
        <w:jc w:val="both"/>
      </w:pPr>
      <w:r>
        <w:t>On veille à se référer aux documents techniques et prescriptions fournies par le fabricant (entre-axes, règle de pré-perçage, règles de mise en œuvre, etc.).</w:t>
      </w:r>
    </w:p>
    <w:p w14:paraId="6726CFBE" w14:textId="77777777" w:rsidR="00DB2B68" w:rsidRDefault="00000000">
      <w:pPr>
        <w:jc w:val="both"/>
      </w:pPr>
      <w:r>
        <w:rPr>
          <w:b/>
        </w:rPr>
        <w:t>Remarques importantes</w:t>
      </w:r>
    </w:p>
    <w:p w14:paraId="56FCA27C" w14:textId="77777777" w:rsidR="00DB2B68" w:rsidRDefault="00000000">
      <w:pPr>
        <w:jc w:val="both"/>
      </w:pPr>
      <w:r>
        <w:t>Les vis utilisées respectent en tout point la norme harmonisée [NBN EN 14592] et disposent du marquage CE suivant celle-ci.</w:t>
      </w:r>
    </w:p>
    <w:p w14:paraId="34F24F8E" w14:textId="77777777" w:rsidR="00DB2B68" w:rsidRDefault="00000000">
      <w:pPr>
        <w:jc w:val="both"/>
      </w:pPr>
      <w:r>
        <w:t>L’étude d’une connexion par vis se fait soit par calculs suivant les principes décrits dans l’Eurocode 5 ([NBN EN 1995-1-1]), soit sur base d’essais réalisés conformément à la [NBN EN 1380].</w:t>
      </w:r>
    </w:p>
    <w:p w14:paraId="4EE2D2A0" w14:textId="77777777" w:rsidR="00DB2B68" w:rsidRDefault="00000000">
      <w:pPr>
        <w:pStyle w:val="pheading"/>
      </w:pPr>
      <w:r>
        <w:t>MATÉRIAUX</w:t>
      </w:r>
    </w:p>
    <w:p w14:paraId="6EB72E5F" w14:textId="77777777" w:rsidR="00DB2B68" w:rsidRDefault="00000000">
      <w:pPr>
        <w:pStyle w:val="pheading"/>
      </w:pPr>
      <w:r>
        <w:t>- Caractéristiques générales</w:t>
      </w:r>
    </w:p>
    <w:p w14:paraId="047AE215" w14:textId="77777777" w:rsidR="00DB2B68" w:rsidRDefault="00000000">
      <w:pPr>
        <w:jc w:val="both"/>
      </w:pPr>
      <w:r>
        <w:rPr>
          <w:b/>
          <w:u w:val="single"/>
        </w:rPr>
        <w:t>Géométrie</w:t>
      </w:r>
    </w:p>
    <w:p w14:paraId="794004EF" w14:textId="77777777" w:rsidR="00DB2B68" w:rsidRDefault="00000000">
      <w:pPr>
        <w:jc w:val="both"/>
      </w:pPr>
      <w:r>
        <w:t xml:space="preserve">Forme de la tête : </w:t>
      </w:r>
      <w:r>
        <w:rPr>
          <w:rStyle w:val="optioncarChar"/>
        </w:rPr>
        <w:t>conique </w:t>
      </w:r>
      <w:r>
        <w:t>(par défaut)</w:t>
      </w:r>
      <w:r>
        <w:rPr>
          <w:rStyle w:val="optioncarChar"/>
        </w:rPr>
        <w:t xml:space="preserve"> / demi-ronde / carrée / hexagonale / ***</w:t>
      </w:r>
    </w:p>
    <w:p w14:paraId="280A45B4" w14:textId="77777777" w:rsidR="00DB2B68" w:rsidRDefault="00000000">
      <w:pPr>
        <w:jc w:val="both"/>
      </w:pPr>
      <w:r>
        <w:t xml:space="preserve">Longueur de la vis : </w:t>
      </w:r>
      <w:r>
        <w:rPr>
          <w:rStyle w:val="optioncarChar"/>
        </w:rPr>
        <w:t>***</w:t>
      </w:r>
    </w:p>
    <w:p w14:paraId="2D20CE0D" w14:textId="77777777" w:rsidR="00DB2B68" w:rsidRDefault="00000000">
      <w:pPr>
        <w:jc w:val="both"/>
      </w:pPr>
      <w:r>
        <w:t xml:space="preserve">Longueur du filetage : </w:t>
      </w:r>
      <w:r>
        <w:rPr>
          <w:rStyle w:val="optioncarChar"/>
        </w:rPr>
        <w:t>***</w:t>
      </w:r>
    </w:p>
    <w:p w14:paraId="5E8DA362" w14:textId="77777777" w:rsidR="00DB2B68" w:rsidRDefault="00000000">
      <w:pPr>
        <w:jc w:val="both"/>
      </w:pPr>
      <w:r>
        <w:t xml:space="preserve">Diamètre nominale (diamètre extérieur du filetage), d : </w:t>
      </w:r>
      <w:r>
        <w:rPr>
          <w:rStyle w:val="optioncarChar"/>
        </w:rPr>
        <w:t>***</w:t>
      </w:r>
    </w:p>
    <w:p w14:paraId="7AC1DE8F" w14:textId="77777777" w:rsidR="00DB2B68" w:rsidRDefault="00000000">
      <w:pPr>
        <w:jc w:val="both"/>
      </w:pPr>
      <w:r>
        <w:t xml:space="preserve">Diamètre de la partie lisse : </w:t>
      </w:r>
      <w:r>
        <w:rPr>
          <w:rStyle w:val="optioncarChar"/>
        </w:rPr>
        <w:t>***</w:t>
      </w:r>
    </w:p>
    <w:p w14:paraId="7A840CBB" w14:textId="77777777" w:rsidR="00DB2B68" w:rsidRDefault="00000000">
      <w:pPr>
        <w:jc w:val="both"/>
      </w:pPr>
      <w:r>
        <w:t xml:space="preserve">Diamètre de la tête de vis : </w:t>
      </w:r>
      <w:r>
        <w:rPr>
          <w:rStyle w:val="optioncarChar"/>
        </w:rPr>
        <w:t>***</w:t>
      </w:r>
    </w:p>
    <w:p w14:paraId="36E95AA5" w14:textId="77777777" w:rsidR="00DB2B68" w:rsidRDefault="00DB2B68">
      <w:pPr>
        <w:jc w:val="both"/>
      </w:pPr>
    </w:p>
    <w:p w14:paraId="31473765" w14:textId="77777777" w:rsidR="00DB2B68" w:rsidRDefault="00000000">
      <w:pPr>
        <w:jc w:val="both"/>
      </w:pPr>
      <w:r>
        <w:t xml:space="preserve">Matériau constituant les vis : </w:t>
      </w:r>
      <w:r>
        <w:rPr>
          <w:rStyle w:val="optioncarChar"/>
        </w:rPr>
        <w:t xml:space="preserve">acier au carbone ou acier allié </w:t>
      </w:r>
      <w:r>
        <w:t xml:space="preserve">(par défaut) </w:t>
      </w:r>
      <w:r>
        <w:rPr>
          <w:rStyle w:val="optioncarChar"/>
        </w:rPr>
        <w:t>/ acier inoxydable</w:t>
      </w:r>
    </w:p>
    <w:p w14:paraId="1424F429" w14:textId="77777777" w:rsidR="00DB2B68" w:rsidRDefault="00000000">
      <w:pPr>
        <w:ind w:left="567"/>
        <w:jc w:val="both"/>
      </w:pPr>
      <w:r>
        <w:rPr>
          <w:b/>
          <w:i/>
        </w:rPr>
        <w:t>(Soit par défaut)</w:t>
      </w:r>
    </w:p>
    <w:p w14:paraId="68B793E5" w14:textId="77777777" w:rsidR="00DB2B68" w:rsidRDefault="00000000">
      <w:pPr>
        <w:ind w:left="567"/>
        <w:jc w:val="both"/>
      </w:pPr>
      <w:r>
        <w:rPr>
          <w:rStyle w:val="soitChar"/>
          <w:u w:val="single"/>
        </w:rPr>
        <w:t>Acier au carbone ou acier allié</w:t>
      </w:r>
    </w:p>
    <w:p w14:paraId="65B1B193" w14:textId="77777777" w:rsidR="00DB2B68" w:rsidRDefault="00000000">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 f</w:t>
      </w:r>
      <w:r>
        <w:rPr>
          <w:rStyle w:val="soitChar"/>
          <w:vertAlign w:val="subscript"/>
        </w:rPr>
        <w:t>y</w:t>
      </w:r>
      <w:r>
        <w:rPr>
          <w:rStyle w:val="soitChar"/>
        </w:rPr>
        <w:t xml:space="preserve"> = </w:t>
      </w:r>
      <w:r>
        <w:rPr>
          <w:rStyle w:val="optioncarChar"/>
        </w:rPr>
        <w:t>***</w:t>
      </w:r>
    </w:p>
    <w:p w14:paraId="6CF63821" w14:textId="77777777" w:rsidR="00DB2B68" w:rsidRDefault="00000000">
      <w:pPr>
        <w:ind w:left="567"/>
        <w:jc w:val="both"/>
      </w:pPr>
      <w:r>
        <w:rPr>
          <w:rStyle w:val="soitChar"/>
        </w:rPr>
        <w:t xml:space="preserve">Mesure de protection contre la corrosion selon [NBN EN 10346] pour une galvanisation : </w:t>
      </w:r>
      <w:r>
        <w:rPr>
          <w:rStyle w:val="optioncarChar"/>
        </w:rPr>
        <w:t xml:space="preserve">aucune / Z275 </w:t>
      </w:r>
      <w:r>
        <w:t xml:space="preserve">(par défaut) </w:t>
      </w:r>
      <w:r>
        <w:rPr>
          <w:rStyle w:val="optioncarChar"/>
        </w:rPr>
        <w:t>/ Z350 / ***</w:t>
      </w:r>
    </w:p>
    <w:p w14:paraId="3CD44120" w14:textId="77777777" w:rsidR="00DB2B68" w:rsidRDefault="00000000">
      <w:pPr>
        <w:ind w:left="567"/>
        <w:jc w:val="both"/>
      </w:pPr>
      <w:r>
        <w:rPr>
          <w:b/>
          <w:i/>
        </w:rPr>
        <w:lastRenderedPageBreak/>
        <w:t>(Soit)</w:t>
      </w:r>
    </w:p>
    <w:p w14:paraId="35D33B46" w14:textId="77777777" w:rsidR="00DB2B68" w:rsidRDefault="00000000">
      <w:pPr>
        <w:ind w:left="567"/>
        <w:jc w:val="both"/>
      </w:pPr>
      <w:r>
        <w:rPr>
          <w:rStyle w:val="soitChar"/>
          <w:u w:val="single"/>
        </w:rPr>
        <w:t>Acier inoxydable</w:t>
      </w:r>
    </w:p>
    <w:p w14:paraId="0395AD52" w14:textId="77777777" w:rsidR="00DB2B68" w:rsidRDefault="00000000">
      <w:pPr>
        <w:ind w:left="567"/>
        <w:jc w:val="both"/>
      </w:pPr>
      <w:r>
        <w:rPr>
          <w:rStyle w:val="soitChar"/>
        </w:rPr>
        <w:t xml:space="preserve">Nuance d’acier inoxydable selon [NBN EN ISO 3506-1] : </w:t>
      </w:r>
      <w:r>
        <w:rPr>
          <w:rStyle w:val="optioncarChar"/>
        </w:rPr>
        <w:t>A2 </w:t>
      </w:r>
      <w:r>
        <w:t>(par défaut)</w:t>
      </w:r>
      <w:r>
        <w:rPr>
          <w:rStyle w:val="optioncarChar"/>
        </w:rPr>
        <w:t xml:space="preserve"> / A4 / ***</w:t>
      </w:r>
    </w:p>
    <w:p w14:paraId="2026E1CE" w14:textId="77777777" w:rsidR="00DB2B68" w:rsidRDefault="00000000">
      <w:pPr>
        <w:pStyle w:val="pheading"/>
      </w:pPr>
      <w:r>
        <w:t>EXÉCUTION / MISE EN ŒUVRE</w:t>
      </w:r>
    </w:p>
    <w:p w14:paraId="0EB16C76" w14:textId="77777777" w:rsidR="00DB2B68" w:rsidRDefault="00000000">
      <w:pPr>
        <w:pStyle w:val="pheading"/>
      </w:pPr>
      <w:r>
        <w:t>- Prescriptions générales</w:t>
      </w:r>
    </w:p>
    <w:p w14:paraId="479AAF6D" w14:textId="77777777" w:rsidR="00DB2B68" w:rsidRDefault="00000000">
      <w:pPr>
        <w:jc w:val="both"/>
      </w:pPr>
      <w:r>
        <w:rPr>
          <w:b/>
          <w:u w:val="single"/>
        </w:rPr>
        <w:t>Préperçage des éléments</w:t>
      </w:r>
    </w:p>
    <w:p w14:paraId="1448CA28" w14:textId="77777777" w:rsidR="00DB2B68" w:rsidRDefault="00000000">
      <w:pPr>
        <w:jc w:val="both"/>
      </w:pPr>
      <w:r>
        <w:t>Pour les vis dans les résineux avec un diamètre de partie lisse ≤ 6mm, les avant-trous ne sont pas exigés. Si un avant trou est réalisé, il est plus petit que 80% du diamètre nominal de la vis.</w:t>
      </w:r>
    </w:p>
    <w:p w14:paraId="4780270A" w14:textId="77777777" w:rsidR="00DB2B68" w:rsidRDefault="00000000">
      <w:pPr>
        <w:jc w:val="both"/>
      </w:pPr>
      <w:r>
        <w:t>Pour toutes les vis dans les bois feuillus et pour celles dans les bois résineux dont le diamètre de la partie lisse est supérieur à 6mm, un avant-trou est exigé, avec les exigences suivantes :</w:t>
      </w:r>
    </w:p>
    <w:p w14:paraId="1A66818D" w14:textId="77777777" w:rsidR="00DB2B68" w:rsidRDefault="00000000">
      <w:pPr>
        <w:pStyle w:val="Author-eListParagraph"/>
        <w:numPr>
          <w:ilvl w:val="0"/>
          <w:numId w:val="1058"/>
        </w:numPr>
      </w:pPr>
      <w:r>
        <w:t>Le trou de guidage de la partie lisse a le même diamètre et la même longueur que la partie lisse de la vis.</w:t>
      </w:r>
    </w:p>
    <w:p w14:paraId="6984CCAC" w14:textId="77777777" w:rsidR="00DB2B68" w:rsidRDefault="00000000">
      <w:pPr>
        <w:pStyle w:val="Author-eListParagraph"/>
        <w:numPr>
          <w:ilvl w:val="0"/>
          <w:numId w:val="1058"/>
        </w:numPr>
      </w:pPr>
      <w:r>
        <w:t>Le trou de guidage pour la partie filetée a un diamètre compris entre 65 et 75% du diamètre de la partie lisse.</w:t>
      </w:r>
    </w:p>
    <w:p w14:paraId="26ACC325" w14:textId="77777777" w:rsidR="00DB2B68" w:rsidRDefault="00000000">
      <w:pPr>
        <w:jc w:val="both"/>
      </w:pPr>
      <w:r>
        <w:t>Si la masse volumique d’un des éléments en bois assemblés dépasse 500kg/m³, le diamètre d’avant trou est déterminé par essais.</w:t>
      </w:r>
    </w:p>
    <w:p w14:paraId="4CC7220E" w14:textId="77777777" w:rsidR="00DB2B68" w:rsidRDefault="00000000">
      <w:pPr>
        <w:jc w:val="both"/>
      </w:pPr>
      <w:r>
        <w:rPr>
          <w:b/>
          <w:u w:val="single"/>
        </w:rPr>
        <w:t>Pénétration minimale des vis</w:t>
      </w:r>
    </w:p>
    <w:p w14:paraId="0E725518" w14:textId="77777777" w:rsidR="00DB2B68" w:rsidRDefault="00000000">
      <w:pPr>
        <w:jc w:val="both"/>
      </w:pPr>
      <w:r>
        <w:t>Les exigences de pénétration dépendent du mode de chargement de la vis. Si la vis est soumise à une combinaison de charges axiale et latérale, les exigences des deux modes de chargement doivent être satisfaites.</w:t>
      </w:r>
    </w:p>
    <w:p w14:paraId="533743AC" w14:textId="77777777" w:rsidR="00DB2B68" w:rsidRDefault="00000000">
      <w:pPr>
        <w:ind w:left="567"/>
        <w:jc w:val="both"/>
      </w:pPr>
      <w:r>
        <w:rPr>
          <w:u w:val="single"/>
        </w:rPr>
        <w:t>Vis chargées latéralement</w:t>
      </w:r>
      <w:r>
        <w:t>Sauf spécification contraire au cahier spécial des charges ou dans l’étude de l’assemblage, la partie lisse pénètre l’élément contenant la pointe d’au minimum 4 fois le diamètre de la partie lisse.</w:t>
      </w:r>
    </w:p>
    <w:p w14:paraId="0A2C020B" w14:textId="77777777" w:rsidR="00DB2B68" w:rsidRDefault="00000000">
      <w:pPr>
        <w:ind w:left="567"/>
        <w:jc w:val="both"/>
      </w:pPr>
      <w:r>
        <w:rPr>
          <w:u w:val="single"/>
        </w:rPr>
        <w:t>Vis chargées axialement</w:t>
      </w:r>
      <w:r>
        <w:t>La longueur de pénétration minimale de la partie filetée dans l’élément contenant la pointe est de 6 fois le diamètre extérieur de la partie filetée.</w:t>
      </w:r>
    </w:p>
    <w:p w14:paraId="55570A54" w14:textId="77777777" w:rsidR="00DB2B68" w:rsidRDefault="00000000">
      <w:pPr>
        <w:jc w:val="both"/>
      </w:pPr>
      <w:r>
        <w:rPr>
          <w:b/>
          <w:u w:val="single"/>
        </w:rPr>
        <w:t>Espacements et distances</w:t>
      </w:r>
    </w:p>
    <w:p w14:paraId="07342A69" w14:textId="77777777" w:rsidR="00DB2B68" w:rsidRDefault="00000000">
      <w:pPr>
        <w:jc w:val="both"/>
      </w:pPr>
      <w:r>
        <w:t>Les exigences d’espacements des vis entre elles et de distances de celles-ci par rapport aux bords des éléments dépendent du mode de chargement de la vis. Si les vis sont soumises à une combinaison de charges axiale et latérale, les exigences des deux modes de chargement doivent être satisfaites.</w:t>
      </w:r>
    </w:p>
    <w:p w14:paraId="774BB537" w14:textId="77777777" w:rsidR="00DB2B68" w:rsidRDefault="00000000">
      <w:pPr>
        <w:ind w:left="567"/>
        <w:jc w:val="both"/>
      </w:pPr>
      <w:r>
        <w:rPr>
          <w:u w:val="single"/>
        </w:rPr>
        <w:t>Vis chargées latéralement</w:t>
      </w:r>
    </w:p>
    <w:p w14:paraId="2E73EC3A" w14:textId="77777777" w:rsidR="00DB2B68" w:rsidRDefault="00000000">
      <w:pPr>
        <w:pStyle w:val="Author-eListParagraph"/>
        <w:numPr>
          <w:ilvl w:val="1"/>
          <w:numId w:val="1059"/>
        </w:numPr>
      </w:pPr>
      <w:r>
        <w:t xml:space="preserve">Si les vis ont un diamètre inférieur ou égal à 6mm, les espacements et distances prescrites à l’article </w:t>
      </w:r>
      <w:hyperlink w:anchor="632" w:history="1">
        <w:r>
          <w:rPr>
            <w:color w:val="0000EE"/>
          </w:rPr>
          <w:t>24.42.1a Assemblages par tiges - clous</w:t>
        </w:r>
      </w:hyperlink>
      <w:r>
        <w:t xml:space="preserve"> doivent être suivies.</w:t>
      </w:r>
    </w:p>
    <w:p w14:paraId="303A409E" w14:textId="77777777" w:rsidR="00DB2B68" w:rsidRDefault="00000000">
      <w:pPr>
        <w:pStyle w:val="Author-eListParagraph"/>
        <w:numPr>
          <w:ilvl w:val="1"/>
          <w:numId w:val="1059"/>
        </w:numPr>
      </w:pPr>
      <w:r>
        <w:t xml:space="preserve">Si les vis ont un diamètre supérieur à 6mm, les espacements et distances prescrites à l’article </w:t>
      </w:r>
      <w:hyperlink w:anchor="633" w:history="1">
        <w:r>
          <w:rPr>
            <w:color w:val="0000EE"/>
          </w:rPr>
          <w:t>24.42.1c Assemblages par tiges - boulons</w:t>
        </w:r>
      </w:hyperlink>
      <w:r>
        <w:t xml:space="preserve"> doivent être suivies.</w:t>
      </w:r>
    </w:p>
    <w:p w14:paraId="45CDB52E" w14:textId="77777777" w:rsidR="00DB2B68" w:rsidRDefault="00000000">
      <w:pPr>
        <w:ind w:left="567"/>
        <w:jc w:val="both"/>
      </w:pPr>
      <w:r>
        <w:rPr>
          <w:u w:val="single"/>
        </w:rPr>
        <w:t>Vis chargées axialement</w:t>
      </w:r>
    </w:p>
    <w:p w14:paraId="7FAC7FFF" w14:textId="77777777" w:rsidR="00DB2B68" w:rsidRDefault="00000000">
      <w:pPr>
        <w:ind w:left="567"/>
        <w:jc w:val="both"/>
      </w:pPr>
      <w:r>
        <w:t xml:space="preserve">Les espacements et distances pour les vis chargées axialement sont données au </w:t>
      </w:r>
      <w:r>
        <w:rPr>
          <w:i/>
        </w:rPr>
        <w:t>tableau 8.6 de l’annexe 1</w:t>
      </w:r>
      <w:r>
        <w:t xml:space="preserve"> à l’Eurocode 5 ([NBN EN 1995-1-1/A1]).</w:t>
      </w:r>
    </w:p>
    <w:p w14:paraId="17B7551F" w14:textId="77777777" w:rsidR="00DB2B68" w:rsidRDefault="00000000">
      <w:pPr>
        <w:jc w:val="both"/>
      </w:pPr>
      <w:r>
        <w:rPr>
          <w:b/>
          <w:u w:val="single"/>
        </w:rPr>
        <w:t>Ajustement des vis</w:t>
      </w:r>
    </w:p>
    <w:p w14:paraId="6F4946EC" w14:textId="77777777" w:rsidR="00DB2B68" w:rsidRDefault="00000000">
      <w:pPr>
        <w:jc w:val="both"/>
      </w:pPr>
      <w:r>
        <w:t>Les vis sont ajustées de telle sorte que les éléments s’assemblent précisément.</w:t>
      </w:r>
    </w:p>
    <w:p w14:paraId="6932C292" w14:textId="77777777" w:rsidR="00DB2B68" w:rsidRDefault="00000000">
      <w:pPr>
        <w:jc w:val="both"/>
      </w:pPr>
      <w:r>
        <w:t>Dans le cas où, lors de l’installation des vis le bois n’a pas atteint sa teneur en humidité d’équilibre, les vis sont resserrées lorsque le bois a atteint sa teneur en humidité d’équilibre.</w:t>
      </w:r>
    </w:p>
    <w:p w14:paraId="5B5F382C" w14:textId="77777777" w:rsidR="00DB2B68" w:rsidRDefault="00000000">
      <w:pPr>
        <w:pStyle w:val="pheading"/>
      </w:pPr>
      <w:r>
        <w:t>MESURAGE</w:t>
      </w:r>
    </w:p>
    <w:p w14:paraId="6EFAE7B8" w14:textId="77777777" w:rsidR="00DB2B68" w:rsidRDefault="00000000">
      <w:pPr>
        <w:pStyle w:val="pheading"/>
      </w:pPr>
      <w:r>
        <w:t>- unité de mesure:</w:t>
      </w:r>
    </w:p>
    <w:p w14:paraId="2A9861BA" w14:textId="77777777" w:rsidR="00DB2B68" w:rsidRDefault="00000000">
      <w:r>
        <w:rPr>
          <w:rStyle w:val="optioncarChar"/>
        </w:rPr>
        <w:t>- </w:t>
      </w:r>
      <w:r>
        <w:t>(par défaut) </w:t>
      </w:r>
      <w:r>
        <w:rPr>
          <w:rStyle w:val="optioncarChar"/>
        </w:rPr>
        <w:t>/ pc</w:t>
      </w:r>
    </w:p>
    <w:p w14:paraId="32E9D4FE" w14:textId="77777777" w:rsidR="00DB2B68" w:rsidRDefault="00000000">
      <w:r>
        <w:rPr>
          <w:b/>
          <w:i/>
        </w:rPr>
        <w:lastRenderedPageBreak/>
        <w:t>(Soit par défaut)</w:t>
      </w:r>
    </w:p>
    <w:p w14:paraId="4F9CE57F" w14:textId="77777777" w:rsidR="00DB2B68" w:rsidRDefault="00000000">
      <w:r>
        <w:rPr>
          <w:rStyle w:val="soitChar"/>
        </w:rPr>
        <w:t>1.     –</w:t>
      </w:r>
    </w:p>
    <w:p w14:paraId="511D0F14" w14:textId="77777777" w:rsidR="00DB2B68" w:rsidRDefault="00000000">
      <w:r>
        <w:rPr>
          <w:b/>
          <w:i/>
        </w:rPr>
        <w:t>(Soit)</w:t>
      </w:r>
    </w:p>
    <w:p w14:paraId="62D85937" w14:textId="77777777" w:rsidR="00DB2B68" w:rsidRDefault="00000000">
      <w:r>
        <w:rPr>
          <w:rStyle w:val="soitChar"/>
        </w:rPr>
        <w:t>2.3.  pc</w:t>
      </w:r>
    </w:p>
    <w:p w14:paraId="20E382DA" w14:textId="77777777" w:rsidR="00DB2B68" w:rsidRDefault="00000000">
      <w:pPr>
        <w:pStyle w:val="pheading"/>
      </w:pPr>
      <w:r>
        <w:t>- code de mesurage:</w:t>
      </w:r>
    </w:p>
    <w:p w14:paraId="531F9FF0" w14:textId="77777777" w:rsidR="00DB2B68" w:rsidRDefault="00000000">
      <w:r>
        <w:rPr>
          <w:rStyle w:val="optioncarChar"/>
        </w:rPr>
        <w:t>Compris </w:t>
      </w:r>
      <w:r>
        <w:t>(par défaut)</w:t>
      </w:r>
      <w:r>
        <w:rPr>
          <w:rStyle w:val="optioncarChar"/>
        </w:rPr>
        <w:t> / Quantité nette</w:t>
      </w:r>
    </w:p>
    <w:p w14:paraId="7F47A39C" w14:textId="77777777" w:rsidR="00DB2B68" w:rsidRDefault="00000000">
      <w:r>
        <w:rPr>
          <w:b/>
          <w:i/>
        </w:rPr>
        <w:t>(Soit par défaut)</w:t>
      </w:r>
    </w:p>
    <w:p w14:paraId="7A5C8750" w14:textId="77777777" w:rsidR="00DB2B68" w:rsidRDefault="00000000">
      <w:r>
        <w:rPr>
          <w:rStyle w:val="soitChar"/>
        </w:rPr>
        <w:t>1.     </w:t>
      </w:r>
      <w:r>
        <w:rPr>
          <w:rStyle w:val="soitChar"/>
          <w:u w:val="single"/>
        </w:rPr>
        <w:t>Compris</w:t>
      </w:r>
      <w:r>
        <w:rPr>
          <w:rStyle w:val="soitChar"/>
        </w:rPr>
        <w:t> dans l’article de référence</w:t>
      </w:r>
      <w:r>
        <w:t> </w:t>
      </w:r>
      <w:r>
        <w:rPr>
          <w:rStyle w:val="optioncarChar"/>
        </w:rPr>
        <w:t>***</w:t>
      </w:r>
    </w:p>
    <w:p w14:paraId="4ABFFAC7" w14:textId="77777777" w:rsidR="00DB2B68" w:rsidRDefault="00000000">
      <w:r>
        <w:rPr>
          <w:b/>
          <w:i/>
        </w:rPr>
        <w:t>(Soit)</w:t>
      </w:r>
    </w:p>
    <w:p w14:paraId="420481BB"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41F1A9D1" w14:textId="77777777" w:rsidR="00DB2B68" w:rsidRDefault="00000000">
      <w:pPr>
        <w:pStyle w:val="pheading"/>
      </w:pPr>
      <w:r>
        <w:t>- nature du marché:</w:t>
      </w:r>
    </w:p>
    <w:p w14:paraId="6F0C8A52" w14:textId="77777777" w:rsidR="00DB2B68" w:rsidRDefault="00000000">
      <w:r>
        <w:rPr>
          <w:rStyle w:val="optioncarChar"/>
        </w:rPr>
        <w:t>PM</w:t>
      </w:r>
      <w:r>
        <w:t> (par défaut) </w:t>
      </w:r>
      <w:r>
        <w:rPr>
          <w:rStyle w:val="optioncarChar"/>
        </w:rPr>
        <w:t>/ QF / QP</w:t>
      </w:r>
    </w:p>
    <w:p w14:paraId="4F234BFF" w14:textId="77777777" w:rsidR="00DB2B68" w:rsidRDefault="00000000">
      <w:r>
        <w:rPr>
          <w:b/>
          <w:i/>
        </w:rPr>
        <w:t>(Soit par défaut)</w:t>
      </w:r>
    </w:p>
    <w:p w14:paraId="1827582C" w14:textId="77777777" w:rsidR="00DB2B68" w:rsidRDefault="00000000">
      <w:r>
        <w:rPr>
          <w:rStyle w:val="soitChar"/>
        </w:rPr>
        <w:t>1.     PM</w:t>
      </w:r>
    </w:p>
    <w:p w14:paraId="386E3DFE" w14:textId="77777777" w:rsidR="00DB2B68" w:rsidRDefault="00000000">
      <w:r>
        <w:rPr>
          <w:b/>
          <w:i/>
        </w:rPr>
        <w:t>(Soit)</w:t>
      </w:r>
    </w:p>
    <w:p w14:paraId="784D00FA" w14:textId="77777777" w:rsidR="00DB2B68" w:rsidRDefault="00000000">
      <w:r>
        <w:rPr>
          <w:rStyle w:val="soitChar"/>
        </w:rPr>
        <w:t>2.     QF</w:t>
      </w:r>
    </w:p>
    <w:p w14:paraId="3D2B7081" w14:textId="77777777" w:rsidR="00DB2B68" w:rsidRDefault="00000000">
      <w:r>
        <w:rPr>
          <w:b/>
          <w:i/>
        </w:rPr>
        <w:t>(Soit)</w:t>
      </w:r>
    </w:p>
    <w:p w14:paraId="4687DE1A" w14:textId="77777777" w:rsidR="00DB2B68" w:rsidRDefault="00000000">
      <w:r>
        <w:rPr>
          <w:rStyle w:val="soitChar"/>
        </w:rPr>
        <w:t>3.     QP</w:t>
      </w:r>
    </w:p>
    <w:p w14:paraId="65607218" w14:textId="77777777" w:rsidR="00DB2B68" w:rsidRDefault="00000000">
      <w:pPr>
        <w:pStyle w:val="pheading"/>
      </w:pPr>
      <w:r>
        <w:t>AIDE</w:t>
      </w:r>
    </w:p>
    <w:p w14:paraId="4005FD14" w14:textId="77777777" w:rsidR="00DB2B68" w:rsidRDefault="00000000">
      <w:pPr>
        <w:jc w:val="both"/>
      </w:pPr>
      <w:r>
        <w:t>Attention à l’auteur de projet sur le fait que les règles de calcul pour les vis chargées axialement de l’Eurocode 5 ([NBN EN 1995-1-1]) ont été modifiées par l’annexe 1 à celui-ci ([NBN EN 1995-1-1/A1]) publiée en 2008.</w:t>
      </w:r>
    </w:p>
    <w:p w14:paraId="40CAB37E" w14:textId="77777777" w:rsidR="00DB2B68" w:rsidRDefault="00000000">
      <w:pPr>
        <w:pStyle w:val="Author-eSectionHeading6Numberless"/>
      </w:pPr>
      <w:bookmarkStart w:id="1736" w:name="_Toc220496707"/>
      <w:r>
        <w:t>24.42.1e Assemblages par tiges - tire-fonds CCTB 01.11</w:t>
      </w:r>
      <w:bookmarkEnd w:id="1736"/>
    </w:p>
    <w:p w14:paraId="3B54D0B3" w14:textId="77777777" w:rsidR="00DB2B68" w:rsidRDefault="00000000">
      <w:pPr>
        <w:pStyle w:val="pheading"/>
      </w:pPr>
      <w:bookmarkStart w:id="1737" w:name="581"/>
      <w:bookmarkEnd w:id="1737"/>
      <w:r>
        <w:t>DESCRIPTION</w:t>
      </w:r>
    </w:p>
    <w:p w14:paraId="3FD73A65" w14:textId="77777777" w:rsidR="00DB2B68" w:rsidRDefault="00000000">
      <w:pPr>
        <w:pStyle w:val="pheading"/>
      </w:pPr>
      <w:r>
        <w:t>- Définition / Comprend</w:t>
      </w:r>
    </w:p>
    <w:p w14:paraId="3EE80697" w14:textId="77777777" w:rsidR="00DB2B68" w:rsidRDefault="00000000">
      <w:pPr>
        <w:jc w:val="both"/>
      </w:pPr>
      <w:r>
        <w:t>Il s’agit d’un cas particulier de vis. Les tire-fond sont composés d’une partie lisse et d’une partie filetée, le diamètre de la partie lisse étant égal au diamètre extérieur du filetage. La tête des tire-fond est généralement hexagonale ou carrée.</w:t>
      </w:r>
    </w:p>
    <w:p w14:paraId="665196C9" w14:textId="77777777" w:rsidR="00DB2B68" w:rsidRDefault="00000000">
      <w:pPr>
        <w:jc w:val="both"/>
      </w:pPr>
      <w:r>
        <w:rPr>
          <w:noProof/>
        </w:rPr>
        <w:drawing>
          <wp:anchor distT="0" distB="0" distL="0" distR="0" simplePos="0" relativeHeight="251654144" behindDoc="0" locked="0" layoutInCell="1" allowOverlap="0" wp14:anchorId="4E521024" wp14:editId="3D421FC7">
            <wp:simplePos x="0" y="0"/>
            <wp:positionH relativeFrom="column">
              <wp:align>center</wp:align>
            </wp:positionH>
            <wp:positionV relativeFrom="line">
              <wp:align>top</wp:align>
            </wp:positionV>
            <wp:extent cx="3810000" cy="1085850"/>
            <wp:effectExtent l="0" t="0" r="0" b="0"/>
            <wp:wrapTopAndBottom/>
            <wp:docPr id="105869663" name="24.42.1e.jpg" descr="24.4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984" descr="24.42.1e.jpg"/>
                    <pic:cNvPicPr>
                      <a:picLocks noChangeAspect="1" noChangeArrowheads="1"/>
                    </pic:cNvPicPr>
                  </pic:nvPicPr>
                  <pic:blipFill>
                    <a:blip r:embed="rId36"/>
                    <a:srcRect/>
                    <a:stretch>
                      <a:fillRect/>
                    </a:stretch>
                  </pic:blipFill>
                  <pic:spPr bwMode="auto">
                    <a:xfrm>
                      <a:off x="0" y="0"/>
                      <a:ext cx="3810000" cy="1085850"/>
                    </a:xfrm>
                    <a:prstGeom prst="rect">
                      <a:avLst/>
                    </a:prstGeom>
                  </pic:spPr>
                </pic:pic>
              </a:graphicData>
            </a:graphic>
          </wp:anchor>
        </w:drawing>
      </w:r>
    </w:p>
    <w:p w14:paraId="6312853E" w14:textId="77777777" w:rsidR="00DB2B68" w:rsidRDefault="00000000">
      <w:pPr>
        <w:jc w:val="both"/>
      </w:pPr>
      <w:r>
        <w:rPr>
          <w:b/>
        </w:rPr>
        <w:t>Remarques importantes</w:t>
      </w:r>
    </w:p>
    <w:p w14:paraId="588E8EC3" w14:textId="77777777" w:rsidR="00DB2B68" w:rsidRDefault="00000000">
      <w:pPr>
        <w:jc w:val="both"/>
      </w:pPr>
      <w:r>
        <w:t>Les tire-fond utilisés respectent en tout point la norme harmonisée [NBN EN 14592] et disposent du marquage CE suivant celle-ci.</w:t>
      </w:r>
    </w:p>
    <w:p w14:paraId="7007B69D" w14:textId="77777777" w:rsidR="00DB2B68" w:rsidRDefault="00000000">
      <w:pPr>
        <w:jc w:val="both"/>
      </w:pPr>
      <w:r>
        <w:t>L’étude d’une connexion par tire-fond se fait soit par calculs suivant les principes décrits dans l’Eurocode 5 ([NBN EN 1995-1-1]), soit sur base d’essais réalisés conformément à la [NBN EN 1380].</w:t>
      </w:r>
    </w:p>
    <w:p w14:paraId="72F594D3" w14:textId="77777777" w:rsidR="00DB2B68" w:rsidRDefault="00000000">
      <w:pPr>
        <w:pStyle w:val="pheading"/>
      </w:pPr>
      <w:r>
        <w:lastRenderedPageBreak/>
        <w:t>MATÉRIAUX</w:t>
      </w:r>
    </w:p>
    <w:p w14:paraId="525B6327" w14:textId="77777777" w:rsidR="00DB2B68" w:rsidRDefault="00000000">
      <w:pPr>
        <w:pStyle w:val="pheading"/>
      </w:pPr>
      <w:r>
        <w:t>- Caractéristiques générales</w:t>
      </w:r>
    </w:p>
    <w:p w14:paraId="16F7BCCA" w14:textId="77777777" w:rsidR="00DB2B68" w:rsidRDefault="00000000">
      <w:pPr>
        <w:jc w:val="both"/>
      </w:pPr>
      <w:r>
        <w:rPr>
          <w:b/>
          <w:u w:val="single"/>
        </w:rPr>
        <w:t>Géométrie</w:t>
      </w:r>
    </w:p>
    <w:p w14:paraId="39126142" w14:textId="77777777" w:rsidR="00DB2B68" w:rsidRDefault="00000000">
      <w:pPr>
        <w:jc w:val="both"/>
      </w:pPr>
      <w:r>
        <w:t xml:space="preserve">Forme de la tête : </w:t>
      </w:r>
      <w:r>
        <w:rPr>
          <w:rStyle w:val="optioncarChar"/>
        </w:rPr>
        <w:t xml:space="preserve">hexagonale </w:t>
      </w:r>
      <w:r>
        <w:t>(par défaut)</w:t>
      </w:r>
      <w:r>
        <w:rPr>
          <w:rStyle w:val="optioncarChar"/>
        </w:rPr>
        <w:t xml:space="preserve"> / carrée / ***</w:t>
      </w:r>
    </w:p>
    <w:p w14:paraId="1129EC95" w14:textId="77777777" w:rsidR="00DB2B68" w:rsidRDefault="00000000">
      <w:pPr>
        <w:jc w:val="both"/>
      </w:pPr>
      <w:r>
        <w:t xml:space="preserve">Longueur des tire-fond : </w:t>
      </w:r>
      <w:r>
        <w:rPr>
          <w:rStyle w:val="optioncarChar"/>
        </w:rPr>
        <w:t>***</w:t>
      </w:r>
    </w:p>
    <w:p w14:paraId="1065CE2C" w14:textId="77777777" w:rsidR="00DB2B68" w:rsidRDefault="00000000">
      <w:pPr>
        <w:jc w:val="both"/>
      </w:pPr>
      <w:r>
        <w:t xml:space="preserve">Longueur du filetage : </w:t>
      </w:r>
      <w:r>
        <w:rPr>
          <w:rStyle w:val="optioncarChar"/>
        </w:rPr>
        <w:t>***</w:t>
      </w:r>
    </w:p>
    <w:p w14:paraId="2CA330BF" w14:textId="77777777" w:rsidR="00DB2B68" w:rsidRDefault="00000000">
      <w:pPr>
        <w:jc w:val="both"/>
      </w:pPr>
      <w:r>
        <w:t xml:space="preserve">Diamètre nominale (diamètre extérieur du filetage et de la partie lisse), d : </w:t>
      </w:r>
      <w:r>
        <w:rPr>
          <w:rStyle w:val="optioncarChar"/>
        </w:rPr>
        <w:t>***</w:t>
      </w:r>
    </w:p>
    <w:p w14:paraId="0B91E329" w14:textId="77777777" w:rsidR="00DB2B68" w:rsidRDefault="00000000">
      <w:pPr>
        <w:jc w:val="both"/>
      </w:pPr>
      <w:r>
        <w:t xml:space="preserve">Diamètre de la tête des tire-fond : </w:t>
      </w:r>
      <w:r>
        <w:rPr>
          <w:rStyle w:val="optioncarChar"/>
        </w:rPr>
        <w:t>***</w:t>
      </w:r>
    </w:p>
    <w:p w14:paraId="76C45237" w14:textId="77777777" w:rsidR="00DB2B68" w:rsidRDefault="00000000">
      <w:pPr>
        <w:jc w:val="both"/>
      </w:pPr>
      <w:r>
        <w:t xml:space="preserve">Matériau constituant les tire-fond : </w:t>
      </w:r>
      <w:r>
        <w:rPr>
          <w:rStyle w:val="optioncarChar"/>
        </w:rPr>
        <w:t xml:space="preserve">acier au carbone ou acier allié </w:t>
      </w:r>
      <w:r>
        <w:t xml:space="preserve">(par défaut) </w:t>
      </w:r>
      <w:r>
        <w:rPr>
          <w:rStyle w:val="optioncarChar"/>
        </w:rPr>
        <w:t>/ acier inoxydable</w:t>
      </w:r>
    </w:p>
    <w:p w14:paraId="6492FC44" w14:textId="77777777" w:rsidR="00DB2B68" w:rsidRDefault="00000000">
      <w:pPr>
        <w:ind w:left="567"/>
        <w:jc w:val="both"/>
      </w:pPr>
      <w:r>
        <w:rPr>
          <w:b/>
          <w:i/>
        </w:rPr>
        <w:t>(Soit par défaut)</w:t>
      </w:r>
    </w:p>
    <w:p w14:paraId="75E4B94E" w14:textId="77777777" w:rsidR="00DB2B68" w:rsidRDefault="00000000">
      <w:pPr>
        <w:ind w:left="567"/>
        <w:jc w:val="both"/>
      </w:pPr>
      <w:r>
        <w:rPr>
          <w:rStyle w:val="soitChar"/>
          <w:u w:val="single"/>
        </w:rPr>
        <w:t>Acier au carbone ou acier allié</w:t>
      </w:r>
    </w:p>
    <w:p w14:paraId="62A5E829" w14:textId="77777777" w:rsidR="00DB2B68" w:rsidRDefault="00000000">
      <w:pPr>
        <w:ind w:left="567"/>
        <w:jc w:val="both"/>
      </w:pPr>
      <w:r>
        <w:rPr>
          <w:rStyle w:val="soitChar"/>
        </w:rPr>
        <w:t xml:space="preserve">Nuance d’acier selon [NBN EN ISO 898-1] : </w:t>
      </w:r>
      <w:r>
        <w:rPr>
          <w:rStyle w:val="optioncarChar"/>
        </w:rPr>
        <w:t xml:space="preserve">4.8 </w:t>
      </w:r>
      <w:r>
        <w:t>(par défaut) </w:t>
      </w:r>
      <w:r>
        <w:rPr>
          <w:rStyle w:val="optioncarChar"/>
        </w:rPr>
        <w:t>/ 5.6 / 8.8 / 10.9 / ***</w:t>
      </w:r>
    </w:p>
    <w:p w14:paraId="11C84C6E" w14:textId="77777777" w:rsidR="00DB2B68" w:rsidRDefault="00000000">
      <w:pPr>
        <w:ind w:left="567"/>
        <w:jc w:val="both"/>
      </w:pPr>
      <w:r>
        <w:rPr>
          <w:rStyle w:val="soitChar"/>
        </w:rPr>
        <w:t xml:space="preserve">Mesure de protection contre la corrosion selon [NBN EN 10346] pour une galvanisation : </w:t>
      </w:r>
      <w:r>
        <w:rPr>
          <w:rStyle w:val="optioncarChar"/>
        </w:rPr>
        <w:t>aucune / Z275</w:t>
      </w:r>
      <w:r>
        <w:t xml:space="preserve"> (par défaut) </w:t>
      </w:r>
      <w:r>
        <w:rPr>
          <w:rStyle w:val="optioncarChar"/>
        </w:rPr>
        <w:t>/ Z350 / ***</w:t>
      </w:r>
    </w:p>
    <w:p w14:paraId="4C28E224" w14:textId="77777777" w:rsidR="00DB2B68" w:rsidRDefault="00000000">
      <w:pPr>
        <w:ind w:left="567"/>
        <w:jc w:val="both"/>
      </w:pPr>
      <w:r>
        <w:rPr>
          <w:b/>
          <w:i/>
        </w:rPr>
        <w:t>(Soit)</w:t>
      </w:r>
    </w:p>
    <w:p w14:paraId="5778522C" w14:textId="77777777" w:rsidR="00DB2B68" w:rsidRDefault="00000000">
      <w:pPr>
        <w:ind w:left="567"/>
        <w:jc w:val="both"/>
      </w:pPr>
      <w:r>
        <w:rPr>
          <w:rStyle w:val="soitChar"/>
          <w:u w:val="single"/>
        </w:rPr>
        <w:t>Acier inoxydable</w:t>
      </w:r>
    </w:p>
    <w:p w14:paraId="3DF54CAF" w14:textId="77777777" w:rsidR="00DB2B68" w:rsidRDefault="00000000">
      <w:pPr>
        <w:ind w:left="567"/>
        <w:jc w:val="both"/>
      </w:pPr>
      <w:r>
        <w:rPr>
          <w:rStyle w:val="soitChar"/>
        </w:rPr>
        <w:t>Nuance d’acier inoxydable selon [NBN EN ISO 3506-1] :</w:t>
      </w:r>
      <w:r>
        <w:rPr>
          <w:rStyle w:val="optioncarChar"/>
        </w:rPr>
        <w:t xml:space="preserve"> A2 </w:t>
      </w:r>
      <w:r>
        <w:t xml:space="preserve">(par défaut) </w:t>
      </w:r>
      <w:r>
        <w:rPr>
          <w:rStyle w:val="optioncarChar"/>
        </w:rPr>
        <w:t>/ A4 / ***</w:t>
      </w:r>
    </w:p>
    <w:p w14:paraId="068BA23B" w14:textId="77777777" w:rsidR="00DB2B68" w:rsidRDefault="00000000">
      <w:pPr>
        <w:pStyle w:val="pheading"/>
      </w:pPr>
      <w:r>
        <w:t>EXÉCUTION / MISE EN ŒUVRE</w:t>
      </w:r>
    </w:p>
    <w:p w14:paraId="35DB5DF1" w14:textId="77777777" w:rsidR="00DB2B68" w:rsidRDefault="00000000">
      <w:pPr>
        <w:pStyle w:val="pheading"/>
      </w:pPr>
      <w:r>
        <w:t>- Prescriptions générales</w:t>
      </w:r>
    </w:p>
    <w:p w14:paraId="3BAFBC58" w14:textId="77777777" w:rsidR="00DB2B68" w:rsidRDefault="00000000">
      <w:pPr>
        <w:jc w:val="both"/>
      </w:pPr>
      <w:r>
        <w:rPr>
          <w:b/>
          <w:u w:val="single"/>
        </w:rPr>
        <w:t>Préperçage des éléments</w:t>
      </w:r>
    </w:p>
    <w:p w14:paraId="5FD954FB" w14:textId="77777777" w:rsidR="00DB2B68" w:rsidRDefault="00000000">
      <w:pPr>
        <w:jc w:val="both"/>
      </w:pPr>
      <w:r>
        <w:t>Pour les tire-fonds dans les résineux avec un diamètre ≤ 6mm, les avant-trous ne sont pas exigés. Pour tous les tire-fonds dans les bois feuillus et pour celles dans les bois résineux dont le diamètre est supérieur à 6mm, un avant-trou est nécessaire, avec les exigences suivantes :</w:t>
      </w:r>
    </w:p>
    <w:p w14:paraId="2F9E194C" w14:textId="77777777" w:rsidR="00DB2B68" w:rsidRDefault="00000000">
      <w:pPr>
        <w:pStyle w:val="Author-eListParagraph"/>
        <w:numPr>
          <w:ilvl w:val="0"/>
          <w:numId w:val="1060"/>
        </w:numPr>
      </w:pPr>
      <w:r>
        <w:t>Le trou de guidage a le même diamètre et la même longueur que les tire-fonds.</w:t>
      </w:r>
    </w:p>
    <w:p w14:paraId="5F3D329A" w14:textId="77777777" w:rsidR="00DB2B68" w:rsidRDefault="00000000">
      <w:pPr>
        <w:jc w:val="both"/>
      </w:pPr>
      <w:r>
        <w:t>Si la masse volumique d’un des éléments en bois assemblés dépasse 500kg/m³, le diamètre d’avant trou est déterminé par essais.</w:t>
      </w:r>
    </w:p>
    <w:p w14:paraId="49CB2E6A" w14:textId="77777777" w:rsidR="00DB2B68" w:rsidRDefault="00000000">
      <w:pPr>
        <w:jc w:val="both"/>
      </w:pPr>
      <w:r>
        <w:rPr>
          <w:b/>
          <w:u w:val="single"/>
        </w:rPr>
        <w:t>Pénétration minimale des tire-fonds</w:t>
      </w:r>
    </w:p>
    <w:p w14:paraId="12C064A3" w14:textId="77777777" w:rsidR="00DB2B68" w:rsidRDefault="00000000">
      <w:pPr>
        <w:jc w:val="both"/>
      </w:pPr>
      <w:r>
        <w:t>Les exigences de pénétration dépendent du mode de chargement des tire-fonds. Si les tire-fonds sont soumis à une combinaison de charges axiale et latérale, les exigences des deux modes de chargement doivent être satisfaites.</w:t>
      </w:r>
    </w:p>
    <w:p w14:paraId="79E189AB" w14:textId="77777777" w:rsidR="00DB2B68" w:rsidRDefault="00000000">
      <w:pPr>
        <w:ind w:left="567"/>
        <w:jc w:val="both"/>
      </w:pPr>
      <w:r>
        <w:rPr>
          <w:u w:val="single"/>
        </w:rPr>
        <w:t>Tire-fonds chargés latéralement</w:t>
      </w:r>
    </w:p>
    <w:p w14:paraId="5C6B57C3" w14:textId="77777777" w:rsidR="00DB2B68" w:rsidRDefault="00000000">
      <w:pPr>
        <w:ind w:left="567"/>
        <w:jc w:val="both"/>
      </w:pPr>
      <w:r>
        <w:t>Sauf spécification contraire au cahier spécial des charges ou dans l’étude de l’assemblage, la partie lisse pénètre l’élément contenant la pointe d’au minimum 4 fois le diamètre nominal.</w:t>
      </w:r>
    </w:p>
    <w:p w14:paraId="1D12AA62" w14:textId="77777777" w:rsidR="00DB2B68" w:rsidRDefault="00000000">
      <w:pPr>
        <w:ind w:left="567"/>
        <w:jc w:val="both"/>
      </w:pPr>
      <w:r>
        <w:rPr>
          <w:u w:val="single"/>
        </w:rPr>
        <w:t>Tire-fonds chargés axialement</w:t>
      </w:r>
    </w:p>
    <w:p w14:paraId="701F4392" w14:textId="77777777" w:rsidR="00DB2B68" w:rsidRDefault="00000000">
      <w:pPr>
        <w:ind w:left="567"/>
        <w:jc w:val="both"/>
      </w:pPr>
      <w:r>
        <w:t>La longueur de pénétration minimale de la partie filetée dans l’élément contenant la pointe est de 6 fois le diamètre nominal.</w:t>
      </w:r>
    </w:p>
    <w:p w14:paraId="7A702D4C" w14:textId="77777777" w:rsidR="00DB2B68" w:rsidRDefault="00000000">
      <w:pPr>
        <w:jc w:val="both"/>
      </w:pPr>
      <w:r>
        <w:rPr>
          <w:b/>
          <w:u w:val="single"/>
        </w:rPr>
        <w:t>Espacements et distances</w:t>
      </w:r>
    </w:p>
    <w:p w14:paraId="3C86C727" w14:textId="77777777" w:rsidR="00DB2B68" w:rsidRDefault="00000000">
      <w:pPr>
        <w:jc w:val="both"/>
      </w:pPr>
      <w:r>
        <w:t>Les exigences d’espacements des tire-fonds entre eux et de distances de ceux-ci par rapport aux bords des éléments dépendent du mode de chargement des tire-fond. Si les tire-fonds sont soumis à une combinaison de charges axiale et latérale, les exigences des deux modes de chargement doivent être satisfaites.</w:t>
      </w:r>
    </w:p>
    <w:p w14:paraId="1992F777" w14:textId="77777777" w:rsidR="00DB2B68" w:rsidRDefault="00000000">
      <w:pPr>
        <w:ind w:left="567"/>
        <w:jc w:val="both"/>
      </w:pPr>
      <w:r>
        <w:rPr>
          <w:u w:val="single"/>
        </w:rPr>
        <w:t>Tire-fonds chargés latéralement</w:t>
      </w:r>
    </w:p>
    <w:p w14:paraId="362C50F8" w14:textId="77777777" w:rsidR="00DB2B68" w:rsidRDefault="00000000">
      <w:pPr>
        <w:pStyle w:val="Author-eListParagraph"/>
        <w:numPr>
          <w:ilvl w:val="0"/>
          <w:numId w:val="1061"/>
        </w:numPr>
      </w:pPr>
      <w:r>
        <w:lastRenderedPageBreak/>
        <w:t xml:space="preserve">Si les tire-fonds ont un diamètre inférieur ou égal à 6mm, les espacements et distances prescrits à l’article </w:t>
      </w:r>
      <w:hyperlink w:anchor="632" w:history="1">
        <w:r>
          <w:rPr>
            <w:color w:val="0000EE"/>
          </w:rPr>
          <w:t>24.42.1a Assemblages par tiges - clous</w:t>
        </w:r>
      </w:hyperlink>
      <w:r>
        <w:t xml:space="preserve"> sont suivis.</w:t>
      </w:r>
    </w:p>
    <w:p w14:paraId="5D2B1189" w14:textId="77777777" w:rsidR="00DB2B68" w:rsidRDefault="00000000">
      <w:pPr>
        <w:pStyle w:val="Author-eListParagraph"/>
        <w:numPr>
          <w:ilvl w:val="0"/>
          <w:numId w:val="1061"/>
        </w:numPr>
      </w:pPr>
      <w:r>
        <w:t xml:space="preserve">Si les tire-fonds ont un diamètre supérieur à 6mm, les espacements et distances prescrits à l’article </w:t>
      </w:r>
      <w:hyperlink w:anchor="633" w:history="1">
        <w:r>
          <w:rPr>
            <w:color w:val="0000EE"/>
          </w:rPr>
          <w:t>24.42.1c Assemblages par tiges - boulons</w:t>
        </w:r>
      </w:hyperlink>
      <w:r>
        <w:t> sont suivis.</w:t>
      </w:r>
    </w:p>
    <w:p w14:paraId="584C8DA2" w14:textId="77777777" w:rsidR="00DB2B68" w:rsidRDefault="00000000">
      <w:pPr>
        <w:ind w:left="567"/>
        <w:jc w:val="both"/>
      </w:pPr>
      <w:r>
        <w:rPr>
          <w:u w:val="single"/>
        </w:rPr>
        <w:t>Tire-fonds chargés axialement</w:t>
      </w:r>
    </w:p>
    <w:p w14:paraId="0BE26A07" w14:textId="77777777" w:rsidR="00DB2B68" w:rsidRDefault="00000000">
      <w:pPr>
        <w:ind w:left="567"/>
        <w:jc w:val="both"/>
      </w:pPr>
      <w:r>
        <w:t xml:space="preserve">Les espacements et distances pour les tire-fonds chargés axialement sont données au </w:t>
      </w:r>
      <w:r>
        <w:rPr>
          <w:i/>
        </w:rPr>
        <w:t>tableau 8.6 de l’annexe 1</w:t>
      </w:r>
      <w:r>
        <w:t xml:space="preserve"> à l’Eurocode 5 ([NBN EN 1995-1-1/A1]).</w:t>
      </w:r>
    </w:p>
    <w:p w14:paraId="080A50C9" w14:textId="77777777" w:rsidR="00DB2B68" w:rsidRDefault="00000000">
      <w:pPr>
        <w:jc w:val="both"/>
      </w:pPr>
      <w:r>
        <w:rPr>
          <w:b/>
          <w:u w:val="single"/>
        </w:rPr>
        <w:t>Ajustement des tire-fonds</w:t>
      </w:r>
    </w:p>
    <w:p w14:paraId="0EC9D204" w14:textId="77777777" w:rsidR="00DB2B68" w:rsidRDefault="00000000">
      <w:pPr>
        <w:jc w:val="both"/>
      </w:pPr>
      <w:r>
        <w:t>Les tire-fonds sont ajustés de telle sorte que les éléments s’assemblent précisément.</w:t>
      </w:r>
    </w:p>
    <w:p w14:paraId="6F8A9042" w14:textId="77777777" w:rsidR="00DB2B68" w:rsidRDefault="00000000">
      <w:pPr>
        <w:jc w:val="both"/>
      </w:pPr>
      <w:r>
        <w:t>Dans le cas où, lors de l’installation des tire-fonds le bois n’a pas atteint sa teneur en humidité d’équilibre, les tire-fonds sont resserrés lorsque le bois a atteint sa teneur en humidité d’équilibre.</w:t>
      </w:r>
    </w:p>
    <w:p w14:paraId="31CD25A5" w14:textId="77777777" w:rsidR="00DB2B68" w:rsidRDefault="00000000">
      <w:pPr>
        <w:pStyle w:val="pheading"/>
      </w:pPr>
      <w:r>
        <w:t>MESURAGE</w:t>
      </w:r>
    </w:p>
    <w:p w14:paraId="2629F38C" w14:textId="77777777" w:rsidR="00DB2B68" w:rsidRDefault="00000000">
      <w:pPr>
        <w:pStyle w:val="pheading"/>
      </w:pPr>
      <w:r>
        <w:t>- unité de mesure:</w:t>
      </w:r>
    </w:p>
    <w:p w14:paraId="32711C13" w14:textId="77777777" w:rsidR="00DB2B68" w:rsidRDefault="00000000">
      <w:r>
        <w:rPr>
          <w:rStyle w:val="optioncarChar"/>
        </w:rPr>
        <w:t>- </w:t>
      </w:r>
      <w:r>
        <w:t>(par défaut)</w:t>
      </w:r>
      <w:r>
        <w:rPr>
          <w:rStyle w:val="optioncarChar"/>
        </w:rPr>
        <w:t> / pc</w:t>
      </w:r>
    </w:p>
    <w:p w14:paraId="384ED30E" w14:textId="77777777" w:rsidR="00DB2B68" w:rsidRDefault="00000000">
      <w:r>
        <w:rPr>
          <w:b/>
          <w:i/>
        </w:rPr>
        <w:t>(Soit par défaut)</w:t>
      </w:r>
    </w:p>
    <w:p w14:paraId="430384DF" w14:textId="77777777" w:rsidR="00DB2B68" w:rsidRDefault="00000000">
      <w:r>
        <w:rPr>
          <w:rStyle w:val="soitChar"/>
        </w:rPr>
        <w:t>1.     –</w:t>
      </w:r>
    </w:p>
    <w:p w14:paraId="790D2F1B" w14:textId="77777777" w:rsidR="00DB2B68" w:rsidRDefault="00000000">
      <w:r>
        <w:rPr>
          <w:b/>
          <w:i/>
        </w:rPr>
        <w:t>(Soit)</w:t>
      </w:r>
    </w:p>
    <w:p w14:paraId="09D525AF" w14:textId="77777777" w:rsidR="00DB2B68" w:rsidRDefault="00000000">
      <w:r>
        <w:rPr>
          <w:rStyle w:val="soitChar"/>
        </w:rPr>
        <w:t>2.3.  pc</w:t>
      </w:r>
    </w:p>
    <w:p w14:paraId="51135C40" w14:textId="77777777" w:rsidR="00DB2B68" w:rsidRDefault="00000000">
      <w:pPr>
        <w:pStyle w:val="pheading"/>
      </w:pPr>
      <w:r>
        <w:t>- code de mesurage:</w:t>
      </w:r>
    </w:p>
    <w:p w14:paraId="6EC6ED7F" w14:textId="77777777" w:rsidR="00DB2B68" w:rsidRDefault="00000000">
      <w:pPr>
        <w:jc w:val="both"/>
      </w:pPr>
      <w:r>
        <w:rPr>
          <w:rStyle w:val="optioncarChar"/>
        </w:rPr>
        <w:t>Compris</w:t>
      </w:r>
      <w:r>
        <w:t> (par défaut) </w:t>
      </w:r>
      <w:r>
        <w:rPr>
          <w:rStyle w:val="optioncarChar"/>
        </w:rPr>
        <w:t>/ Quantité nette</w:t>
      </w:r>
    </w:p>
    <w:p w14:paraId="609210B4" w14:textId="77777777" w:rsidR="00DB2B68" w:rsidRDefault="00000000">
      <w:pPr>
        <w:jc w:val="both"/>
      </w:pPr>
      <w:r>
        <w:rPr>
          <w:b/>
          <w:i/>
        </w:rPr>
        <w:t>(Soit par défaut)</w:t>
      </w:r>
    </w:p>
    <w:p w14:paraId="5E97B510" w14:textId="77777777" w:rsidR="00DB2B68" w:rsidRDefault="00000000">
      <w:pPr>
        <w:jc w:val="both"/>
      </w:pPr>
      <w:r>
        <w:rPr>
          <w:rStyle w:val="soitChar"/>
        </w:rPr>
        <w:t>1.     </w:t>
      </w:r>
      <w:r>
        <w:rPr>
          <w:rStyle w:val="soitChar"/>
          <w:u w:val="single"/>
        </w:rPr>
        <w:t>Compris</w:t>
      </w:r>
      <w:r>
        <w:rPr>
          <w:rStyle w:val="soitChar"/>
        </w:rPr>
        <w:t> dans l’article de référence</w:t>
      </w:r>
      <w:r>
        <w:t> </w:t>
      </w:r>
      <w:r>
        <w:rPr>
          <w:rStyle w:val="optioncarChar"/>
        </w:rPr>
        <w:t>***</w:t>
      </w:r>
    </w:p>
    <w:p w14:paraId="7D0A0153" w14:textId="77777777" w:rsidR="00DB2B68" w:rsidRDefault="00000000">
      <w:pPr>
        <w:jc w:val="both"/>
      </w:pPr>
      <w:r>
        <w:rPr>
          <w:b/>
          <w:i/>
        </w:rPr>
        <w:t>(Soit)</w:t>
      </w:r>
    </w:p>
    <w:p w14:paraId="03E1B72E" w14:textId="77777777" w:rsidR="00DB2B68" w:rsidRDefault="00000000">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053D1417" w14:textId="77777777" w:rsidR="00DB2B68" w:rsidRDefault="00000000">
      <w:pPr>
        <w:pStyle w:val="pheading"/>
      </w:pPr>
      <w:r>
        <w:t>- nature du marché:</w:t>
      </w:r>
    </w:p>
    <w:p w14:paraId="1338688F" w14:textId="77777777" w:rsidR="00DB2B68" w:rsidRDefault="00000000">
      <w:r>
        <w:rPr>
          <w:rStyle w:val="optioncarChar"/>
        </w:rPr>
        <w:t>PM </w:t>
      </w:r>
      <w:r>
        <w:t>(par défaut)</w:t>
      </w:r>
      <w:r>
        <w:rPr>
          <w:rStyle w:val="optioncarChar"/>
        </w:rPr>
        <w:t> / QF / QP</w:t>
      </w:r>
    </w:p>
    <w:p w14:paraId="7610043F" w14:textId="77777777" w:rsidR="00DB2B68" w:rsidRDefault="00000000">
      <w:r>
        <w:rPr>
          <w:b/>
          <w:i/>
        </w:rPr>
        <w:t>(Soit par défaut)</w:t>
      </w:r>
    </w:p>
    <w:p w14:paraId="5F7FDDF8" w14:textId="77777777" w:rsidR="00DB2B68" w:rsidRDefault="00000000">
      <w:r>
        <w:rPr>
          <w:rStyle w:val="soitChar"/>
        </w:rPr>
        <w:t>1.     PM</w:t>
      </w:r>
    </w:p>
    <w:p w14:paraId="47736150" w14:textId="77777777" w:rsidR="00DB2B68" w:rsidRDefault="00000000">
      <w:r>
        <w:rPr>
          <w:b/>
          <w:i/>
        </w:rPr>
        <w:t>(Soit)</w:t>
      </w:r>
    </w:p>
    <w:p w14:paraId="30691B52" w14:textId="77777777" w:rsidR="00DB2B68" w:rsidRDefault="00000000">
      <w:r>
        <w:rPr>
          <w:rStyle w:val="soitChar"/>
        </w:rPr>
        <w:t>2.     QF</w:t>
      </w:r>
    </w:p>
    <w:p w14:paraId="4B49E9C9" w14:textId="77777777" w:rsidR="00DB2B68" w:rsidRDefault="00000000">
      <w:r>
        <w:rPr>
          <w:b/>
          <w:i/>
        </w:rPr>
        <w:t>(Soit)</w:t>
      </w:r>
    </w:p>
    <w:p w14:paraId="6D9AAB6B" w14:textId="77777777" w:rsidR="00DB2B68" w:rsidRDefault="00000000">
      <w:r>
        <w:rPr>
          <w:rStyle w:val="soitChar"/>
        </w:rPr>
        <w:t>3.     QP</w:t>
      </w:r>
    </w:p>
    <w:p w14:paraId="61AF1B2F" w14:textId="77777777" w:rsidR="00DB2B68" w:rsidRDefault="00000000">
      <w:pPr>
        <w:pStyle w:val="Author-eSectionHeading6Numberless"/>
      </w:pPr>
      <w:bookmarkStart w:id="1738" w:name="_Toc220496708"/>
      <w:r>
        <w:t>24.42.1f Assemblages par tiges - agrafes CCTB 01.11</w:t>
      </w:r>
      <w:bookmarkEnd w:id="1738"/>
    </w:p>
    <w:p w14:paraId="15B2C8E5" w14:textId="77777777" w:rsidR="00DB2B68" w:rsidRDefault="00000000">
      <w:pPr>
        <w:pStyle w:val="pheading"/>
      </w:pPr>
      <w:r>
        <w:t>DESCRIPTION</w:t>
      </w:r>
    </w:p>
    <w:p w14:paraId="06D1C579" w14:textId="77777777" w:rsidR="00DB2B68" w:rsidRDefault="00000000">
      <w:pPr>
        <w:pStyle w:val="pheading"/>
      </w:pPr>
      <w:r>
        <w:t>- Définition / Comprend</w:t>
      </w:r>
    </w:p>
    <w:p w14:paraId="389162FD" w14:textId="77777777" w:rsidR="00DB2B68" w:rsidRDefault="00000000">
      <w:pPr>
        <w:jc w:val="both"/>
      </w:pPr>
      <w:r>
        <w:t>Il s’agit de pièces de métal en forme de U formées de tiges de sections circulaires, rectangulaires ou ovales et présentant des extrémités pointues.</w:t>
      </w:r>
    </w:p>
    <w:p w14:paraId="3C8F47F2" w14:textId="77777777" w:rsidR="00DB2B68" w:rsidRDefault="00000000">
      <w:r>
        <w:rPr>
          <w:b/>
        </w:rPr>
        <w:t>Remarques importantes</w:t>
      </w:r>
    </w:p>
    <w:p w14:paraId="5FC7E60E" w14:textId="77777777" w:rsidR="00DB2B68" w:rsidRDefault="00000000">
      <w:r>
        <w:t>Les agrafes utilisées respectent en tout point la norme harmonisée [NBN EN 14592] et disposent du marquage CE suivant celle-ci.</w:t>
      </w:r>
    </w:p>
    <w:p w14:paraId="12D18A72" w14:textId="77777777" w:rsidR="00DB2B68" w:rsidRDefault="00000000">
      <w:r>
        <w:lastRenderedPageBreak/>
        <w:t>L’étude d’une connexion par agrafes se fait soit par calculs suivant les principes décrits dans l’Eurocode 5 ([NBN EN 1995-1-1]), soit sur base d’essais réalisés conformément à la [NBN EN 1381].</w:t>
      </w:r>
    </w:p>
    <w:p w14:paraId="0BB8E559" w14:textId="77777777" w:rsidR="00DB2B68" w:rsidRDefault="00000000">
      <w:pPr>
        <w:pStyle w:val="pheading"/>
      </w:pPr>
      <w:r>
        <w:t>MATÉRIAUX</w:t>
      </w:r>
    </w:p>
    <w:p w14:paraId="4F434812" w14:textId="77777777" w:rsidR="00DB2B68" w:rsidRDefault="00000000">
      <w:pPr>
        <w:pStyle w:val="pheading"/>
      </w:pPr>
      <w:r>
        <w:t>- Caractéristiques générales</w:t>
      </w:r>
    </w:p>
    <w:p w14:paraId="6330B1FB" w14:textId="77777777" w:rsidR="00DB2B68" w:rsidRDefault="00000000">
      <w:pPr>
        <w:jc w:val="both"/>
      </w:pPr>
      <w:r>
        <w:rPr>
          <w:b/>
          <w:u w:val="single"/>
        </w:rPr>
        <w:t>Géométrie</w:t>
      </w:r>
    </w:p>
    <w:p w14:paraId="5E28C30C" w14:textId="77777777" w:rsidR="00DB2B68" w:rsidRDefault="00000000">
      <w:pPr>
        <w:jc w:val="both"/>
      </w:pPr>
      <w:r>
        <w:t>La géométrie des agrafes respecte les prescriptions de la [NBN EN 14592], §6.2.3</w:t>
      </w:r>
    </w:p>
    <w:p w14:paraId="5CCF8D88" w14:textId="77777777" w:rsidR="00DB2B68" w:rsidRDefault="00000000">
      <w:pPr>
        <w:jc w:val="both"/>
      </w:pPr>
      <w:r>
        <w:t>Le diamètre équivalent se détermine suivant la forme de la section de la pointe de l’agrafe avec les instructions de [NBN EN 14592], §6.2.3, points a) et b).</w:t>
      </w:r>
    </w:p>
    <w:p w14:paraId="21758302" w14:textId="77777777" w:rsidR="00DB2B68" w:rsidRDefault="00000000">
      <w:pPr>
        <w:jc w:val="both"/>
      </w:pPr>
      <w:r>
        <w:t xml:space="preserve">Forme des pointes d’agrafes : </w:t>
      </w:r>
      <w:r>
        <w:rPr>
          <w:rStyle w:val="optioncarChar"/>
        </w:rPr>
        <w:t>circulaire / elliptique / rectangulaire / carrée</w:t>
      </w:r>
    </w:p>
    <w:p w14:paraId="342FAD15" w14:textId="77777777" w:rsidR="00DB2B68" w:rsidRDefault="00000000">
      <w:pPr>
        <w:jc w:val="both"/>
      </w:pPr>
      <w:r>
        <w:t xml:space="preserve">Diamètre équivalent minimum des pointes d’agrafe (d) : </w:t>
      </w:r>
      <w:r>
        <w:rPr>
          <w:rStyle w:val="optioncarChar"/>
        </w:rPr>
        <w:t>***</w:t>
      </w:r>
    </w:p>
    <w:p w14:paraId="240FD1CD" w14:textId="77777777" w:rsidR="00DB2B68" w:rsidRDefault="00000000">
      <w:pPr>
        <w:jc w:val="both"/>
      </w:pPr>
      <w:r>
        <w:t>Largeur minimale de la tête d’agrafe (min. 6d) :</w:t>
      </w:r>
      <w:r>
        <w:rPr>
          <w:rStyle w:val="optioncarChar"/>
        </w:rPr>
        <w:t xml:space="preserve"> ***</w:t>
      </w:r>
    </w:p>
    <w:p w14:paraId="0DF070C7" w14:textId="77777777" w:rsidR="00DB2B68" w:rsidRDefault="00000000">
      <w:pPr>
        <w:jc w:val="both"/>
      </w:pPr>
      <w:r>
        <w:t xml:space="preserve">Longueur des pointes (max. 65d) : </w:t>
      </w:r>
      <w:r>
        <w:rPr>
          <w:rStyle w:val="optioncarChar"/>
        </w:rPr>
        <w:t>***</w:t>
      </w:r>
    </w:p>
    <w:p w14:paraId="5C234AD2" w14:textId="77777777" w:rsidR="00DB2B68" w:rsidRDefault="00000000">
      <w:pPr>
        <w:jc w:val="both"/>
      </w:pPr>
      <w:r>
        <w:t xml:space="preserve">Matériau constituant les agrafes : </w:t>
      </w:r>
      <w:r>
        <w:rPr>
          <w:rStyle w:val="optioncarChar"/>
        </w:rPr>
        <w:t xml:space="preserve">acier au carbone ou acier allié </w:t>
      </w:r>
      <w:r>
        <w:t>(par défaut)</w:t>
      </w:r>
      <w:r>
        <w:rPr>
          <w:rStyle w:val="optioncarChar"/>
        </w:rPr>
        <w:t xml:space="preserve"> / acier inoxydable</w:t>
      </w:r>
    </w:p>
    <w:p w14:paraId="50FA53E6" w14:textId="77777777" w:rsidR="00DB2B68" w:rsidRDefault="00000000">
      <w:pPr>
        <w:ind w:left="567"/>
        <w:jc w:val="both"/>
      </w:pPr>
      <w:r>
        <w:rPr>
          <w:b/>
          <w:i/>
        </w:rPr>
        <w:t>(Soit par défaut)</w:t>
      </w:r>
    </w:p>
    <w:p w14:paraId="2E7170D4" w14:textId="77777777" w:rsidR="00DB2B68" w:rsidRDefault="00000000">
      <w:pPr>
        <w:ind w:left="567"/>
        <w:jc w:val="both"/>
      </w:pPr>
      <w:r>
        <w:rPr>
          <w:rStyle w:val="soitChar"/>
          <w:u w:val="single"/>
        </w:rPr>
        <w:t>Acier au carbone ou acier allié</w:t>
      </w:r>
    </w:p>
    <w:p w14:paraId="5102396D" w14:textId="77777777" w:rsidR="00DB2B68" w:rsidRDefault="00000000">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14:paraId="5D61DE37" w14:textId="77777777" w:rsidR="00DB2B68" w:rsidRDefault="00000000">
      <w:pPr>
        <w:ind w:left="567"/>
        <w:jc w:val="both"/>
      </w:pPr>
      <w:r>
        <w:rPr>
          <w:rStyle w:val="soitChar"/>
        </w:rPr>
        <w:t xml:space="preserve">Mesure de protection contre la corrosion selon [NBN EN 10346] : </w:t>
      </w:r>
      <w:r>
        <w:rPr>
          <w:rStyle w:val="optioncarChar"/>
        </w:rPr>
        <w:t xml:space="preserve">aucune / Z275 </w:t>
      </w:r>
      <w:r>
        <w:t xml:space="preserve">(par défaut) </w:t>
      </w:r>
      <w:r>
        <w:rPr>
          <w:rStyle w:val="optioncarChar"/>
        </w:rPr>
        <w:t>/ Z350 / ***</w:t>
      </w:r>
    </w:p>
    <w:p w14:paraId="0E96D919" w14:textId="77777777" w:rsidR="00DB2B68" w:rsidRDefault="00000000">
      <w:pPr>
        <w:ind w:left="567"/>
        <w:jc w:val="both"/>
      </w:pPr>
      <w:r>
        <w:rPr>
          <w:rStyle w:val="soitChar"/>
        </w:rPr>
        <w:t>Cette mesure peut être remplacée par une mesure présentant un degré de protection contre la corrosion similaire ou supérieure.</w:t>
      </w:r>
    </w:p>
    <w:p w14:paraId="4C1343E3" w14:textId="77777777" w:rsidR="00DB2B68" w:rsidRDefault="00000000">
      <w:pPr>
        <w:ind w:left="567"/>
        <w:jc w:val="both"/>
      </w:pPr>
      <w:r>
        <w:rPr>
          <w:b/>
          <w:i/>
        </w:rPr>
        <w:t>(Soit)</w:t>
      </w:r>
    </w:p>
    <w:p w14:paraId="1A2030F6" w14:textId="77777777" w:rsidR="00DB2B68" w:rsidRDefault="00000000">
      <w:pPr>
        <w:ind w:left="567"/>
        <w:jc w:val="both"/>
      </w:pPr>
      <w:r>
        <w:rPr>
          <w:rStyle w:val="soitChar"/>
          <w:u w:val="single"/>
        </w:rPr>
        <w:t>Acier inoxydable</w:t>
      </w:r>
    </w:p>
    <w:p w14:paraId="60030A82" w14:textId="77777777" w:rsidR="00DB2B68" w:rsidRDefault="00000000">
      <w:pPr>
        <w:ind w:left="567"/>
        <w:jc w:val="both"/>
      </w:pPr>
      <w:r>
        <w:rPr>
          <w:rStyle w:val="soitChar"/>
        </w:rPr>
        <w:t>Nuance d’acier inoxydable selon [NBN EN ISO 3506-1] :</w:t>
      </w:r>
      <w:r>
        <w:rPr>
          <w:rStyle w:val="optioncarChar"/>
        </w:rPr>
        <w:t xml:space="preserve">A2 </w:t>
      </w:r>
      <w:r>
        <w:t>(par défaut) </w:t>
      </w:r>
      <w:r>
        <w:rPr>
          <w:rStyle w:val="optioncarChar"/>
        </w:rPr>
        <w:t>/ A4 / ***</w:t>
      </w:r>
    </w:p>
    <w:p w14:paraId="6FB6FF74" w14:textId="77777777" w:rsidR="00DB2B68" w:rsidRDefault="00000000">
      <w:pPr>
        <w:pStyle w:val="pheading"/>
      </w:pPr>
      <w:r>
        <w:t>EXÉCUTION / MISE EN ŒUVRE</w:t>
      </w:r>
    </w:p>
    <w:p w14:paraId="5A730A5D" w14:textId="77777777" w:rsidR="00DB2B68" w:rsidRDefault="00000000">
      <w:pPr>
        <w:pStyle w:val="pheading"/>
      </w:pPr>
      <w:r>
        <w:t>- Prescriptions générales</w:t>
      </w:r>
    </w:p>
    <w:p w14:paraId="0A616A21" w14:textId="77777777" w:rsidR="00DB2B68" w:rsidRDefault="00000000">
      <w:pPr>
        <w:jc w:val="both"/>
      </w:pPr>
      <w:r>
        <w:t>Sauf spécification contraire au cahier spécial des charges, les agrafes sont enfoncées perpendiculairement au fil et à une profondeur telle que les surfaces des têtes d’agrafes affleurent la surface du bois.</w:t>
      </w:r>
    </w:p>
    <w:p w14:paraId="56312D62" w14:textId="77777777" w:rsidR="00DB2B68" w:rsidRDefault="00000000">
      <w:pPr>
        <w:jc w:val="both"/>
      </w:pPr>
      <w:r>
        <w:t>Un assemblage est composé d’au moins deux agrafes.</w:t>
      </w:r>
    </w:p>
    <w:p w14:paraId="37A6E7B0" w14:textId="77777777" w:rsidR="00DB2B68" w:rsidRDefault="00DB2B68"/>
    <w:p w14:paraId="191311AC" w14:textId="77777777" w:rsidR="00DB2B68" w:rsidRDefault="00000000">
      <w:pPr>
        <w:jc w:val="both"/>
      </w:pPr>
      <w:r>
        <w:rPr>
          <w:b/>
          <w:u w:val="single"/>
        </w:rPr>
        <w:t>Pénétration minimale dans la dernière pièce</w:t>
      </w:r>
    </w:p>
    <w:p w14:paraId="0B99B8F2" w14:textId="77777777" w:rsidR="00DB2B68" w:rsidRDefault="00000000">
      <w:pPr>
        <w:jc w:val="both"/>
      </w:pPr>
      <w:r>
        <w:t>La longueur de pénétration minimale d’une agrafe dans la dernière pièce est de 14 fois son diamètre.</w:t>
      </w:r>
    </w:p>
    <w:p w14:paraId="2358DE01" w14:textId="77777777" w:rsidR="00DB2B68" w:rsidRDefault="00000000">
      <w:pPr>
        <w:jc w:val="both"/>
      </w:pPr>
      <w:r>
        <w:rPr>
          <w:b/>
          <w:u w:val="single"/>
        </w:rPr>
        <w:t>Espacements</w:t>
      </w:r>
    </w:p>
    <w:p w14:paraId="234987C9" w14:textId="77777777" w:rsidR="00DB2B68" w:rsidRDefault="00000000">
      <w:pPr>
        <w:jc w:val="both"/>
      </w:pPr>
      <w:r>
        <w:t>Les distances minimales entre deux agrafes ou entre une agrafe et la rive de l’élément en fonction de l’orientation du fil du bois décrites dans l’Eurocode 5 ([NBN EN 1995-1-1]) sont respectées.</w:t>
      </w:r>
    </w:p>
    <w:p w14:paraId="56EADF11" w14:textId="77777777" w:rsidR="00DB2B68" w:rsidRDefault="00000000">
      <w:pPr>
        <w:jc w:val="both"/>
      </w:pPr>
      <w:r>
        <w:rPr>
          <w:b/>
          <w:u w:val="single"/>
        </w:rPr>
        <w:t>Agrafage en bout de fil</w:t>
      </w:r>
    </w:p>
    <w:p w14:paraId="0B7C8019" w14:textId="77777777" w:rsidR="00DB2B68" w:rsidRDefault="00000000">
      <w:pPr>
        <w:pStyle w:val="Author-eListParagraph"/>
        <w:numPr>
          <w:ilvl w:val="0"/>
          <w:numId w:val="1062"/>
        </w:numPr>
      </w:pPr>
      <w:r>
        <w:t>l’agrafage en bout de fil ne peut être utilisé que dans les structures secondaires ;</w:t>
      </w:r>
    </w:p>
    <w:p w14:paraId="424AE84B" w14:textId="77777777" w:rsidR="00DB2B68" w:rsidRDefault="00000000">
      <w:pPr>
        <w:pStyle w:val="Author-eListParagraph"/>
        <w:numPr>
          <w:ilvl w:val="0"/>
          <w:numId w:val="1062"/>
        </w:numPr>
      </w:pPr>
      <w:r>
        <w:t>la capacité résistante est prise comme étant le tiers de celle qu’a la même agrafe installée perpendiculairement au fil ;</w:t>
      </w:r>
    </w:p>
    <w:p w14:paraId="4EBE5B57" w14:textId="77777777" w:rsidR="00DB2B68" w:rsidRDefault="00000000">
      <w:pPr>
        <w:pStyle w:val="Author-eListParagraph"/>
        <w:numPr>
          <w:ilvl w:val="0"/>
          <w:numId w:val="1062"/>
        </w:numPr>
      </w:pPr>
      <w:r>
        <w:t>minimum trois agrafes sont installées dans l’assemblage ;</w:t>
      </w:r>
    </w:p>
    <w:p w14:paraId="77C2E721" w14:textId="77777777" w:rsidR="00DB2B68" w:rsidRDefault="00000000">
      <w:pPr>
        <w:pStyle w:val="Author-eListParagraph"/>
        <w:numPr>
          <w:ilvl w:val="0"/>
          <w:numId w:val="1062"/>
        </w:numPr>
      </w:pPr>
      <w:r>
        <w:t>les agrafes sont chargées latéralement uniquement ;</w:t>
      </w:r>
    </w:p>
    <w:p w14:paraId="0B29C49E" w14:textId="77777777" w:rsidR="00DB2B68" w:rsidRDefault="00000000">
      <w:pPr>
        <w:pStyle w:val="Author-eListParagraph"/>
        <w:numPr>
          <w:ilvl w:val="0"/>
          <w:numId w:val="1062"/>
        </w:numPr>
      </w:pPr>
      <w:r>
        <w:t>l’assemblage est en classe d’emploi 1 ou 2.</w:t>
      </w:r>
    </w:p>
    <w:p w14:paraId="5C689CF7" w14:textId="77777777" w:rsidR="00DB2B68" w:rsidRDefault="00000000">
      <w:pPr>
        <w:jc w:val="both"/>
      </w:pPr>
      <w:r>
        <w:rPr>
          <w:b/>
          <w:u w:val="single"/>
        </w:rPr>
        <w:lastRenderedPageBreak/>
        <w:t>Disposition des agrafes</w:t>
      </w:r>
    </w:p>
    <w:p w14:paraId="345A9915" w14:textId="77777777" w:rsidR="00DB2B68" w:rsidRDefault="00000000">
      <w:pPr>
        <w:jc w:val="both"/>
      </w:pPr>
      <w:r>
        <w:t>Sauf indication contraire au cahier spécial des charges, les agrafes sont placées de telle façon que leurs têtes fassent un angle compris entre 30° et 60° avec le fil du bois.</w:t>
      </w:r>
    </w:p>
    <w:p w14:paraId="12AF7CF2" w14:textId="77777777" w:rsidR="00DB2B68" w:rsidRDefault="00000000">
      <w:pPr>
        <w:pStyle w:val="pheading"/>
      </w:pPr>
      <w:r>
        <w:t>MESURAGE</w:t>
      </w:r>
    </w:p>
    <w:p w14:paraId="7158F9DF" w14:textId="77777777" w:rsidR="00DB2B68" w:rsidRDefault="00000000">
      <w:pPr>
        <w:pStyle w:val="pheading"/>
      </w:pPr>
      <w:r>
        <w:t>- unité de mesure:</w:t>
      </w:r>
    </w:p>
    <w:p w14:paraId="7D76D56C" w14:textId="77777777" w:rsidR="00DB2B68" w:rsidRDefault="00000000">
      <w:r>
        <w:rPr>
          <w:rStyle w:val="optioncarChar"/>
        </w:rPr>
        <w:t>- </w:t>
      </w:r>
      <w:r>
        <w:t>(par défaut) </w:t>
      </w:r>
      <w:r>
        <w:rPr>
          <w:rStyle w:val="optioncarChar"/>
        </w:rPr>
        <w:t>/ pc</w:t>
      </w:r>
    </w:p>
    <w:p w14:paraId="52E68259" w14:textId="77777777" w:rsidR="00DB2B68" w:rsidRDefault="00000000">
      <w:r>
        <w:rPr>
          <w:b/>
          <w:i/>
        </w:rPr>
        <w:t>(Soit par défaut)</w:t>
      </w:r>
    </w:p>
    <w:p w14:paraId="702382BF" w14:textId="77777777" w:rsidR="00DB2B68" w:rsidRDefault="00000000">
      <w:r>
        <w:rPr>
          <w:rStyle w:val="soitChar"/>
        </w:rPr>
        <w:t>1.     –</w:t>
      </w:r>
    </w:p>
    <w:p w14:paraId="1D5BC13D" w14:textId="77777777" w:rsidR="00DB2B68" w:rsidRDefault="00000000">
      <w:r>
        <w:rPr>
          <w:b/>
          <w:i/>
        </w:rPr>
        <w:t>(Soit)</w:t>
      </w:r>
    </w:p>
    <w:p w14:paraId="641111B5" w14:textId="77777777" w:rsidR="00DB2B68" w:rsidRDefault="00000000">
      <w:r>
        <w:rPr>
          <w:rStyle w:val="soitChar"/>
        </w:rPr>
        <w:t>2.3.  pc</w:t>
      </w:r>
    </w:p>
    <w:p w14:paraId="7DE130B4" w14:textId="77777777" w:rsidR="00DB2B68" w:rsidRDefault="00000000">
      <w:pPr>
        <w:pStyle w:val="pheading"/>
      </w:pPr>
      <w:r>
        <w:t>- code de mesurage:</w:t>
      </w:r>
    </w:p>
    <w:p w14:paraId="4316756F" w14:textId="77777777" w:rsidR="00DB2B68" w:rsidRDefault="00000000">
      <w:pPr>
        <w:jc w:val="both"/>
      </w:pPr>
      <w:r>
        <w:rPr>
          <w:rStyle w:val="optioncarChar"/>
        </w:rPr>
        <w:t>Compris </w:t>
      </w:r>
      <w:r>
        <w:t>(par défaut) </w:t>
      </w:r>
      <w:r>
        <w:rPr>
          <w:rStyle w:val="optioncarChar"/>
        </w:rPr>
        <w:t>/ Quantité nette</w:t>
      </w:r>
    </w:p>
    <w:p w14:paraId="4FA3E988" w14:textId="77777777" w:rsidR="00DB2B68" w:rsidRDefault="00000000">
      <w:pPr>
        <w:jc w:val="both"/>
      </w:pPr>
      <w:r>
        <w:rPr>
          <w:b/>
          <w:i/>
        </w:rPr>
        <w:t>(Soit par défaut)</w:t>
      </w:r>
    </w:p>
    <w:p w14:paraId="5E42E7D0" w14:textId="77777777" w:rsidR="00DB2B68" w:rsidRDefault="00000000">
      <w:pPr>
        <w:jc w:val="both"/>
      </w:pPr>
      <w:r>
        <w:rPr>
          <w:rStyle w:val="soitChar"/>
        </w:rPr>
        <w:t>1.   </w:t>
      </w:r>
      <w:r>
        <w:rPr>
          <w:rStyle w:val="soitChar"/>
          <w:u w:val="single"/>
        </w:rPr>
        <w:t>  Compris</w:t>
      </w:r>
      <w:r>
        <w:rPr>
          <w:rStyle w:val="soitChar"/>
        </w:rPr>
        <w:t> dans l’article de référence</w:t>
      </w:r>
      <w:r>
        <w:t> </w:t>
      </w:r>
      <w:r>
        <w:rPr>
          <w:rStyle w:val="optioncarChar"/>
        </w:rPr>
        <w:t>***</w:t>
      </w:r>
    </w:p>
    <w:p w14:paraId="47C3F57F" w14:textId="77777777" w:rsidR="00DB2B68" w:rsidRDefault="00000000">
      <w:pPr>
        <w:jc w:val="both"/>
      </w:pPr>
      <w:r>
        <w:rPr>
          <w:b/>
          <w:i/>
        </w:rPr>
        <w:t>(Soit)</w:t>
      </w:r>
    </w:p>
    <w:p w14:paraId="43ADE84C" w14:textId="77777777" w:rsidR="00DB2B68" w:rsidRDefault="00000000">
      <w:pPr>
        <w:jc w:val="both"/>
      </w:pPr>
      <w:r>
        <w:rPr>
          <w:rStyle w:val="soitChar"/>
        </w:rPr>
        <w:t>2.3. </w:t>
      </w:r>
      <w:r>
        <w:rPr>
          <w:rStyle w:val="soitChar"/>
          <w:u w:val="single"/>
        </w:rPr>
        <w:t>Quantité nette </w:t>
      </w:r>
      <w:r>
        <w:rPr>
          <w:rStyle w:val="soitChar"/>
        </w:rPr>
        <w:t>: Le nombre d’assemblages à embrèvement ayant les mêmes dimensions est compatibilisé.</w:t>
      </w:r>
    </w:p>
    <w:p w14:paraId="01B57950" w14:textId="77777777" w:rsidR="00DB2B68" w:rsidRDefault="00000000">
      <w:pPr>
        <w:pStyle w:val="pheading"/>
      </w:pPr>
      <w:r>
        <w:t>- nature du marché:</w:t>
      </w:r>
    </w:p>
    <w:p w14:paraId="29FBB367" w14:textId="77777777" w:rsidR="00DB2B68" w:rsidRDefault="00000000">
      <w:r>
        <w:rPr>
          <w:rStyle w:val="optioncarChar"/>
        </w:rPr>
        <w:t>PM </w:t>
      </w:r>
      <w:r>
        <w:t>(par défaut)</w:t>
      </w:r>
      <w:r>
        <w:rPr>
          <w:rStyle w:val="optioncarChar"/>
        </w:rPr>
        <w:t> / QF / QP</w:t>
      </w:r>
    </w:p>
    <w:p w14:paraId="381E38E2" w14:textId="77777777" w:rsidR="00DB2B68" w:rsidRDefault="00000000">
      <w:r>
        <w:rPr>
          <w:b/>
          <w:i/>
        </w:rPr>
        <w:t>(Soit par défaut)</w:t>
      </w:r>
    </w:p>
    <w:p w14:paraId="7A7904FF" w14:textId="77777777" w:rsidR="00DB2B68" w:rsidRDefault="00000000">
      <w:r>
        <w:rPr>
          <w:rStyle w:val="soitChar"/>
        </w:rPr>
        <w:t>1.     PM</w:t>
      </w:r>
    </w:p>
    <w:p w14:paraId="0FC1B51C" w14:textId="77777777" w:rsidR="00DB2B68" w:rsidRDefault="00000000">
      <w:r>
        <w:rPr>
          <w:b/>
          <w:i/>
        </w:rPr>
        <w:t>(Soit)</w:t>
      </w:r>
    </w:p>
    <w:p w14:paraId="154D9A10" w14:textId="77777777" w:rsidR="00DB2B68" w:rsidRDefault="00000000">
      <w:r>
        <w:rPr>
          <w:rStyle w:val="soitChar"/>
        </w:rPr>
        <w:t>2.     QF</w:t>
      </w:r>
    </w:p>
    <w:p w14:paraId="5D1C15B4" w14:textId="77777777" w:rsidR="00DB2B68" w:rsidRDefault="00000000">
      <w:r>
        <w:rPr>
          <w:b/>
          <w:i/>
        </w:rPr>
        <w:t>(Soit)</w:t>
      </w:r>
    </w:p>
    <w:p w14:paraId="19797595" w14:textId="77777777" w:rsidR="00DB2B68" w:rsidRDefault="00000000">
      <w:r>
        <w:rPr>
          <w:rStyle w:val="soitChar"/>
        </w:rPr>
        <w:t>3.     QP</w:t>
      </w:r>
    </w:p>
    <w:p w14:paraId="63A08AC7" w14:textId="77777777" w:rsidR="00DB2B68" w:rsidRDefault="00000000">
      <w:pPr>
        <w:pStyle w:val="Author-eSectionHeading5Numberless"/>
      </w:pPr>
      <w:bookmarkStart w:id="1739" w:name="_Toc220496709"/>
      <w:r>
        <w:t>24.42.2 Connecteurs de surface CCTB 01.07</w:t>
      </w:r>
      <w:bookmarkEnd w:id="1739"/>
    </w:p>
    <w:p w14:paraId="20F8D03B" w14:textId="77777777" w:rsidR="00DB2B68" w:rsidRDefault="00000000">
      <w:pPr>
        <w:pStyle w:val="pheading"/>
      </w:pPr>
      <w:r>
        <w:t>MATÉRIAUX</w:t>
      </w:r>
    </w:p>
    <w:p w14:paraId="04593C68" w14:textId="77777777" w:rsidR="00DB2B68" w:rsidRDefault="00000000">
      <w:pPr>
        <w:jc w:val="both"/>
      </w:pPr>
      <w:r>
        <w:rPr>
          <w:b/>
          <w:u w:val="single"/>
        </w:rPr>
        <w:t>Tolérances et dimensions</w:t>
      </w:r>
    </w:p>
    <w:p w14:paraId="6E6F1481" w14:textId="77777777" w:rsidR="00DB2B68" w:rsidRDefault="00000000">
      <w:pPr>
        <w:jc w:val="both"/>
      </w:pPr>
      <w:r>
        <w:t>Les connecteurs de surfaces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DB2B68" w14:paraId="0EAC7E0C" w14:textId="77777777">
        <w:tc>
          <w:tcPr>
            <w:tcW w:w="3390" w:type="dxa"/>
            <w:shd w:val="clear" w:color="auto" w:fill="C0C0C0"/>
            <w:noWrap/>
          </w:tcPr>
          <w:p w14:paraId="367297F1" w14:textId="77777777" w:rsidR="00DB2B68" w:rsidRDefault="00000000">
            <w:pPr>
              <w:jc w:val="center"/>
            </w:pPr>
            <w:r>
              <w:rPr>
                <w:b/>
                <w:shd w:val="clear" w:color="auto" w:fill="C0C0C0"/>
              </w:rPr>
              <w:t>Dimension</w:t>
            </w:r>
          </w:p>
        </w:tc>
        <w:tc>
          <w:tcPr>
            <w:tcW w:w="1875" w:type="dxa"/>
            <w:shd w:val="clear" w:color="auto" w:fill="C0C0C0"/>
            <w:noWrap/>
          </w:tcPr>
          <w:p w14:paraId="653BD4C9" w14:textId="77777777" w:rsidR="00DB2B68" w:rsidRDefault="00000000">
            <w:pPr>
              <w:jc w:val="center"/>
            </w:pPr>
            <w:r>
              <w:rPr>
                <w:b/>
                <w:shd w:val="clear" w:color="auto" w:fill="C0C0C0"/>
              </w:rPr>
              <w:t>Ecart négatif maximum</w:t>
            </w:r>
          </w:p>
        </w:tc>
        <w:tc>
          <w:tcPr>
            <w:tcW w:w="1875" w:type="dxa"/>
            <w:shd w:val="clear" w:color="auto" w:fill="C0C0C0"/>
            <w:noWrap/>
          </w:tcPr>
          <w:p w14:paraId="435F13DD" w14:textId="77777777" w:rsidR="00DB2B68" w:rsidRDefault="00000000">
            <w:pPr>
              <w:jc w:val="center"/>
            </w:pPr>
            <w:r>
              <w:rPr>
                <w:b/>
                <w:shd w:val="clear" w:color="auto" w:fill="C0C0C0"/>
              </w:rPr>
              <w:t>Ecart positif maximum</w:t>
            </w:r>
          </w:p>
        </w:tc>
        <w:tc>
          <w:tcPr>
            <w:tcW w:w="1875" w:type="dxa"/>
            <w:shd w:val="clear" w:color="auto" w:fill="C0C0C0"/>
            <w:noWrap/>
          </w:tcPr>
          <w:p w14:paraId="3189CDE4" w14:textId="77777777" w:rsidR="00DB2B68" w:rsidRDefault="00000000">
            <w:pPr>
              <w:jc w:val="center"/>
            </w:pPr>
            <w:r>
              <w:rPr>
                <w:b/>
                <w:shd w:val="clear" w:color="auto" w:fill="C0C0C0"/>
              </w:rPr>
              <w:t>Précision de la mesure</w:t>
            </w:r>
          </w:p>
        </w:tc>
      </w:tr>
      <w:tr w:rsidR="00DB2B68" w14:paraId="5E920EB7" w14:textId="77777777">
        <w:tc>
          <w:tcPr>
            <w:tcW w:w="3390" w:type="dxa"/>
            <w:noWrap/>
          </w:tcPr>
          <w:p w14:paraId="0A6C3A26" w14:textId="77777777" w:rsidR="00DB2B68" w:rsidRDefault="00000000">
            <w:r>
              <w:t>Longueur ou largeur ≤ 100mm</w:t>
            </w:r>
          </w:p>
        </w:tc>
        <w:tc>
          <w:tcPr>
            <w:tcW w:w="1875" w:type="dxa"/>
            <w:noWrap/>
          </w:tcPr>
          <w:p w14:paraId="74FF8896" w14:textId="77777777" w:rsidR="00DB2B68" w:rsidRDefault="00000000">
            <w:pPr>
              <w:jc w:val="center"/>
            </w:pPr>
            <w:r>
              <w:t>- 1mm</w:t>
            </w:r>
          </w:p>
        </w:tc>
        <w:tc>
          <w:tcPr>
            <w:tcW w:w="1875" w:type="dxa"/>
            <w:noWrap/>
          </w:tcPr>
          <w:p w14:paraId="0A27D8F5" w14:textId="77777777" w:rsidR="00DB2B68" w:rsidRDefault="00000000">
            <w:pPr>
              <w:jc w:val="center"/>
            </w:pPr>
            <w:r>
              <w:t>+ 2mm</w:t>
            </w:r>
          </w:p>
        </w:tc>
        <w:tc>
          <w:tcPr>
            <w:tcW w:w="1875" w:type="dxa"/>
            <w:noWrap/>
          </w:tcPr>
          <w:p w14:paraId="35BAE939" w14:textId="77777777" w:rsidR="00DB2B68" w:rsidRDefault="00000000">
            <w:pPr>
              <w:jc w:val="center"/>
            </w:pPr>
            <w:r>
              <w:t>+/- 0,5mm</w:t>
            </w:r>
          </w:p>
        </w:tc>
      </w:tr>
      <w:tr w:rsidR="00DB2B68" w14:paraId="364C8408" w14:textId="77777777">
        <w:tc>
          <w:tcPr>
            <w:tcW w:w="3390" w:type="dxa"/>
            <w:noWrap/>
          </w:tcPr>
          <w:p w14:paraId="244B689C" w14:textId="77777777" w:rsidR="00DB2B68" w:rsidRDefault="00000000">
            <w:r>
              <w:t>Longueur ou largeur &gt; 100mm</w:t>
            </w:r>
          </w:p>
        </w:tc>
        <w:tc>
          <w:tcPr>
            <w:tcW w:w="1875" w:type="dxa"/>
            <w:noWrap/>
          </w:tcPr>
          <w:p w14:paraId="7BF8F240" w14:textId="77777777" w:rsidR="00DB2B68" w:rsidRDefault="00000000">
            <w:pPr>
              <w:jc w:val="center"/>
            </w:pPr>
            <w:r>
              <w:t>- 1%</w:t>
            </w:r>
          </w:p>
        </w:tc>
        <w:tc>
          <w:tcPr>
            <w:tcW w:w="1875" w:type="dxa"/>
            <w:noWrap/>
          </w:tcPr>
          <w:p w14:paraId="18726954" w14:textId="77777777" w:rsidR="00DB2B68" w:rsidRDefault="00000000">
            <w:pPr>
              <w:jc w:val="center"/>
            </w:pPr>
            <w:r>
              <w:t>+ 2%</w:t>
            </w:r>
          </w:p>
        </w:tc>
        <w:tc>
          <w:tcPr>
            <w:tcW w:w="1875" w:type="dxa"/>
            <w:noWrap/>
          </w:tcPr>
          <w:p w14:paraId="783F7A87" w14:textId="77777777" w:rsidR="00DB2B68" w:rsidRDefault="00000000">
            <w:pPr>
              <w:jc w:val="center"/>
            </w:pPr>
            <w:r>
              <w:t>+/- 0,5mm</w:t>
            </w:r>
          </w:p>
        </w:tc>
      </w:tr>
      <w:tr w:rsidR="00DB2B68" w14:paraId="10A4D6D7" w14:textId="77777777">
        <w:tc>
          <w:tcPr>
            <w:tcW w:w="3390" w:type="dxa"/>
            <w:noWrap/>
          </w:tcPr>
          <w:p w14:paraId="3071EB78" w14:textId="77777777" w:rsidR="00DB2B68" w:rsidRDefault="00000000">
            <w:r>
              <w:t>Diamètre</w:t>
            </w:r>
          </w:p>
        </w:tc>
        <w:tc>
          <w:tcPr>
            <w:tcW w:w="1875" w:type="dxa"/>
            <w:noWrap/>
          </w:tcPr>
          <w:p w14:paraId="1D6315CA" w14:textId="77777777" w:rsidR="00DB2B68" w:rsidRDefault="00000000">
            <w:pPr>
              <w:jc w:val="center"/>
            </w:pPr>
            <w:r>
              <w:t>v. [NBN EN 912], ou - 2,5%</w:t>
            </w:r>
          </w:p>
        </w:tc>
        <w:tc>
          <w:tcPr>
            <w:tcW w:w="1875" w:type="dxa"/>
            <w:noWrap/>
          </w:tcPr>
          <w:p w14:paraId="7D47ACE3" w14:textId="77777777" w:rsidR="00DB2B68" w:rsidRDefault="00000000">
            <w:pPr>
              <w:jc w:val="center"/>
            </w:pPr>
            <w:r>
              <w:t>v.[NBN EN 912], ou + 2,5%</w:t>
            </w:r>
          </w:p>
        </w:tc>
        <w:tc>
          <w:tcPr>
            <w:tcW w:w="1875" w:type="dxa"/>
            <w:noWrap/>
          </w:tcPr>
          <w:p w14:paraId="41C07DBF" w14:textId="77777777" w:rsidR="00DB2B68" w:rsidRDefault="00000000">
            <w:pPr>
              <w:jc w:val="center"/>
            </w:pPr>
            <w:r>
              <w:t>+/- 1%</w:t>
            </w:r>
          </w:p>
        </w:tc>
      </w:tr>
      <w:tr w:rsidR="00DB2B68" w14:paraId="72B675F6" w14:textId="77777777">
        <w:tc>
          <w:tcPr>
            <w:tcW w:w="3390" w:type="dxa"/>
            <w:noWrap/>
          </w:tcPr>
          <w:p w14:paraId="1ED2B067" w14:textId="77777777" w:rsidR="00DB2B68" w:rsidRDefault="00000000">
            <w:r>
              <w:t>Epaisseur</w:t>
            </w:r>
          </w:p>
        </w:tc>
        <w:tc>
          <w:tcPr>
            <w:tcW w:w="3750" w:type="dxa"/>
            <w:gridSpan w:val="2"/>
            <w:noWrap/>
          </w:tcPr>
          <w:p w14:paraId="13C61F09" w14:textId="77777777" w:rsidR="00DB2B68" w:rsidRDefault="00000000">
            <w:pPr>
              <w:jc w:val="center"/>
            </w:pPr>
            <w:r>
              <w:t>v. tolérances du matériaux</w:t>
            </w:r>
          </w:p>
        </w:tc>
        <w:tc>
          <w:tcPr>
            <w:tcW w:w="1875" w:type="dxa"/>
            <w:noWrap/>
          </w:tcPr>
          <w:p w14:paraId="32A157EA" w14:textId="77777777" w:rsidR="00DB2B68" w:rsidRDefault="00000000">
            <w:pPr>
              <w:jc w:val="center"/>
            </w:pPr>
            <w:r>
              <w:t>+/- 1%</w:t>
            </w:r>
          </w:p>
        </w:tc>
      </w:tr>
      <w:tr w:rsidR="00DB2B68" w14:paraId="3F0E32F5" w14:textId="77777777">
        <w:tc>
          <w:tcPr>
            <w:tcW w:w="3390" w:type="dxa"/>
            <w:noWrap/>
          </w:tcPr>
          <w:p w14:paraId="5CD842EB" w14:textId="77777777" w:rsidR="00DB2B68" w:rsidRDefault="00000000">
            <w:r>
              <w:t>Autres dimensions ≤ 30mm</w:t>
            </w:r>
          </w:p>
        </w:tc>
        <w:tc>
          <w:tcPr>
            <w:tcW w:w="1875" w:type="dxa"/>
            <w:noWrap/>
          </w:tcPr>
          <w:p w14:paraId="6F8C2894" w14:textId="77777777" w:rsidR="00DB2B68" w:rsidRDefault="00000000">
            <w:pPr>
              <w:jc w:val="center"/>
            </w:pPr>
            <w:r>
              <w:t>- 0,75mm</w:t>
            </w:r>
          </w:p>
        </w:tc>
        <w:tc>
          <w:tcPr>
            <w:tcW w:w="1875" w:type="dxa"/>
            <w:noWrap/>
          </w:tcPr>
          <w:p w14:paraId="6EFDB597" w14:textId="77777777" w:rsidR="00DB2B68" w:rsidRDefault="00000000">
            <w:pPr>
              <w:jc w:val="center"/>
            </w:pPr>
            <w:r>
              <w:t>+ 0,75mm</w:t>
            </w:r>
          </w:p>
        </w:tc>
        <w:tc>
          <w:tcPr>
            <w:tcW w:w="1875" w:type="dxa"/>
            <w:noWrap/>
          </w:tcPr>
          <w:p w14:paraId="162C5D91" w14:textId="77777777" w:rsidR="00DB2B68" w:rsidRDefault="00000000">
            <w:pPr>
              <w:jc w:val="center"/>
            </w:pPr>
            <w:r>
              <w:t>+/- 1%</w:t>
            </w:r>
          </w:p>
        </w:tc>
      </w:tr>
      <w:tr w:rsidR="00DB2B68" w14:paraId="3B29055A" w14:textId="77777777">
        <w:tc>
          <w:tcPr>
            <w:tcW w:w="3390" w:type="dxa"/>
            <w:noWrap/>
          </w:tcPr>
          <w:p w14:paraId="1EC5AC16" w14:textId="77777777" w:rsidR="00DB2B68" w:rsidRDefault="00000000">
            <w:r>
              <w:t>Autres dimensions &gt; 30mm</w:t>
            </w:r>
          </w:p>
        </w:tc>
        <w:tc>
          <w:tcPr>
            <w:tcW w:w="1875" w:type="dxa"/>
            <w:noWrap/>
          </w:tcPr>
          <w:p w14:paraId="20677B9F" w14:textId="77777777" w:rsidR="00DB2B68" w:rsidRDefault="00000000">
            <w:pPr>
              <w:jc w:val="center"/>
            </w:pPr>
            <w:r>
              <w:t>- 2,5%</w:t>
            </w:r>
          </w:p>
        </w:tc>
        <w:tc>
          <w:tcPr>
            <w:tcW w:w="1875" w:type="dxa"/>
            <w:noWrap/>
          </w:tcPr>
          <w:p w14:paraId="3CFE3C02" w14:textId="77777777" w:rsidR="00DB2B68" w:rsidRDefault="00000000">
            <w:pPr>
              <w:jc w:val="center"/>
            </w:pPr>
            <w:r>
              <w:t>+ 2,5%</w:t>
            </w:r>
          </w:p>
        </w:tc>
        <w:tc>
          <w:tcPr>
            <w:tcW w:w="1875" w:type="dxa"/>
            <w:noWrap/>
          </w:tcPr>
          <w:p w14:paraId="0050E9E1" w14:textId="77777777" w:rsidR="00DB2B68" w:rsidRDefault="00000000">
            <w:pPr>
              <w:jc w:val="center"/>
            </w:pPr>
            <w:r>
              <w:t>+/- 1%</w:t>
            </w:r>
          </w:p>
        </w:tc>
      </w:tr>
    </w:tbl>
    <w:p w14:paraId="2FBF1268" w14:textId="77777777" w:rsidR="00DB2B68" w:rsidRDefault="00DB2B68"/>
    <w:p w14:paraId="5031F74C" w14:textId="77777777" w:rsidR="00DB2B68" w:rsidRDefault="00000000">
      <w:pPr>
        <w:pStyle w:val="Author-eSectionHeading6Numberless"/>
      </w:pPr>
      <w:bookmarkStart w:id="1740" w:name="_Toc220496710"/>
      <w:r>
        <w:t>24.42.2a Connecteurs de surface - anneaux CCTB 01.12</w:t>
      </w:r>
      <w:bookmarkEnd w:id="1740"/>
    </w:p>
    <w:p w14:paraId="27E8FE72" w14:textId="77777777" w:rsidR="00DB2B68" w:rsidRDefault="00000000">
      <w:pPr>
        <w:pStyle w:val="pheading"/>
      </w:pPr>
      <w:bookmarkStart w:id="1741" w:name="613"/>
      <w:bookmarkEnd w:id="1741"/>
      <w:r>
        <w:lastRenderedPageBreak/>
        <w:t>DESCRIPTION</w:t>
      </w:r>
    </w:p>
    <w:p w14:paraId="30761B1B" w14:textId="77777777" w:rsidR="00DB2B68" w:rsidRDefault="00000000">
      <w:pPr>
        <w:pStyle w:val="pheading"/>
      </w:pPr>
      <w:r>
        <w:t>- Définition / Comprend</w:t>
      </w:r>
    </w:p>
    <w:p w14:paraId="3DFA9D6C" w14:textId="77777777" w:rsidR="00DB2B68" w:rsidRDefault="00000000">
      <w:pPr>
        <w:jc w:val="both"/>
      </w:pPr>
      <w:r>
        <w:t>Il s’agit de dispositifs qui peuvent être soit formés comme un anneau fermé ou un anneau coupé en un endroit de sa circonférence et inséré dans chaque face de contact de deux éléments en bois adjacents, soit constitués d’une plaque circulaire avec une bride le long de la circonférence d’un côté de la plaque et s’insérant dans la face de contact d’un seul des deux éléments en bois adjacents.</w:t>
      </w:r>
    </w:p>
    <w:p w14:paraId="5275FE11" w14:textId="77777777" w:rsidR="00DB2B68" w:rsidRDefault="00000000">
      <w:pPr>
        <w:jc w:val="both"/>
      </w:pPr>
      <w:r>
        <w:t>Un exemple d’anneau (type A1) est présenté ci-dessous :</w:t>
      </w:r>
    </w:p>
    <w:p w14:paraId="13A0B71B" w14:textId="77777777" w:rsidR="00DB2B68" w:rsidRDefault="00000000">
      <w:pPr>
        <w:jc w:val="both"/>
      </w:pPr>
      <w:r>
        <w:rPr>
          <w:noProof/>
        </w:rPr>
        <w:drawing>
          <wp:anchor distT="0" distB="0" distL="0" distR="0" simplePos="0" relativeHeight="251666432" behindDoc="0" locked="0" layoutInCell="1" allowOverlap="0" wp14:anchorId="2CC9E1F2" wp14:editId="57EDD3C9">
            <wp:simplePos x="0" y="0"/>
            <wp:positionH relativeFrom="column">
              <wp:align>center</wp:align>
            </wp:positionH>
            <wp:positionV relativeFrom="line">
              <wp:align>top</wp:align>
            </wp:positionV>
            <wp:extent cx="2381250" cy="2571750"/>
            <wp:effectExtent l="0" t="0" r="0" b="0"/>
            <wp:wrapTopAndBottom/>
            <wp:docPr id="1856644121" name="24.42.2a.png" descr="24.4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26" descr="24.42.2a.png"/>
                    <pic:cNvPicPr>
                      <a:picLocks noChangeAspect="1" noChangeArrowheads="1"/>
                    </pic:cNvPicPr>
                  </pic:nvPicPr>
                  <pic:blipFill>
                    <a:blip r:embed="rId37"/>
                    <a:srcRect/>
                    <a:stretch>
                      <a:fillRect/>
                    </a:stretch>
                  </pic:blipFill>
                  <pic:spPr bwMode="auto">
                    <a:xfrm>
                      <a:off x="0" y="0"/>
                      <a:ext cx="2381250" cy="2571750"/>
                    </a:xfrm>
                    <a:prstGeom prst="rect">
                      <a:avLst/>
                    </a:prstGeom>
                  </pic:spPr>
                </pic:pic>
              </a:graphicData>
            </a:graphic>
          </wp:anchor>
        </w:drawing>
      </w:r>
    </w:p>
    <w:p w14:paraId="179D53FD" w14:textId="77777777" w:rsidR="00DB2B68" w:rsidRDefault="00000000">
      <w:r>
        <w:rPr>
          <w:b/>
        </w:rPr>
        <w:t>Remarques importantes</w:t>
      </w:r>
      <w:r>
        <w:br/>
        <w:t>Les anneaux sont marqués CE suivant la [NBN EN 14545].</w:t>
      </w:r>
    </w:p>
    <w:p w14:paraId="09ABC7D6" w14:textId="77777777" w:rsidR="00DB2B68" w:rsidRDefault="00000000">
      <w:pPr>
        <w:pStyle w:val="pheading"/>
      </w:pPr>
      <w:r>
        <w:t>MATÉRIAUX</w:t>
      </w:r>
    </w:p>
    <w:p w14:paraId="1E1E15B1" w14:textId="77777777" w:rsidR="00DB2B68" w:rsidRDefault="00000000">
      <w:pPr>
        <w:pStyle w:val="pheading"/>
      </w:pPr>
      <w:r>
        <w:t>- Caractéristiques générales</w:t>
      </w:r>
    </w:p>
    <w:p w14:paraId="0332DC94" w14:textId="77777777" w:rsidR="00DB2B68" w:rsidRDefault="00000000">
      <w:pPr>
        <w:jc w:val="both"/>
      </w:pPr>
      <w:r>
        <w:t>Les anneaux répondent aux prescriptions décrites dans les normes [NBN EN 14545] et [NBN EN 912].</w:t>
      </w:r>
    </w:p>
    <w:p w14:paraId="5144D2DC" w14:textId="77777777" w:rsidR="00DB2B68" w:rsidRDefault="00000000">
      <w:pPr>
        <w:jc w:val="both"/>
      </w:pPr>
      <w:r>
        <w:t>La géométrie et le matériau constitutif de l’anneau sont décrits dans la [NBN EN 912]. Celle-ci définit 6 types d’anneaux double face (numéroté de A1 à A6) et 4 types d’anneaux simple face (numéroté de B1 à B4).</w:t>
      </w:r>
    </w:p>
    <w:p w14:paraId="585A2B7F" w14:textId="77777777" w:rsidR="00DB2B68" w:rsidRDefault="00000000">
      <w:pPr>
        <w:jc w:val="both"/>
      </w:pPr>
      <w:r>
        <w:t xml:space="preserve">Type d’anneau : </w:t>
      </w:r>
      <w:r>
        <w:rPr>
          <w:rStyle w:val="optioncarChar"/>
        </w:rPr>
        <w:t>A1 / A2 / A3 / A4 / A5 / A6 / B1 / B2 / B3 / B4</w:t>
      </w:r>
    </w:p>
    <w:p w14:paraId="1643955C" w14:textId="77777777" w:rsidR="00DB2B68" w:rsidRDefault="00000000">
      <w:pPr>
        <w:jc w:val="both"/>
      </w:pPr>
      <w:r>
        <w:t>Dans la pratique, les anneaux de types A1 et B1 sont les plus faciles à trouver.</w:t>
      </w:r>
    </w:p>
    <w:p w14:paraId="39C5A551" w14:textId="77777777" w:rsidR="00DB2B68" w:rsidRDefault="00000000">
      <w:pPr>
        <w:jc w:val="both"/>
      </w:pPr>
      <w:r>
        <w:t>Diamètre  (selon [NBN EN 912]) :</w:t>
      </w:r>
      <w:r>
        <w:rPr>
          <w:rStyle w:val="optioncarChar"/>
        </w:rPr>
        <w:t xml:space="preserve"> ***</w:t>
      </w:r>
    </w:p>
    <w:p w14:paraId="6E63E56C" w14:textId="77777777" w:rsidR="00DB2B68" w:rsidRDefault="00000000">
      <w:pPr>
        <w:jc w:val="both"/>
      </w:pPr>
      <w:r>
        <w:t>Les mesures de protection à prendre pour éviter la corrosion des anneaux doivent être choisies en fonction de la classe d’emploi dans laquelle l’anneau est installé et des essences de bois avec lesquelles il est en contact.</w:t>
      </w:r>
    </w:p>
    <w:p w14:paraId="096547A4" w14:textId="77777777" w:rsidR="00DB2B68" w:rsidRDefault="00DB2B68"/>
    <w:p w14:paraId="0D7A052B" w14:textId="77777777" w:rsidR="00DB2B68" w:rsidRDefault="00000000">
      <w:pPr>
        <w:pStyle w:val="pheading"/>
      </w:pPr>
      <w:r>
        <w:t>EXÉCUTION / MISE EN ŒUVRE</w:t>
      </w:r>
    </w:p>
    <w:p w14:paraId="1D250B01" w14:textId="77777777" w:rsidR="00DB2B68" w:rsidRDefault="00000000">
      <w:pPr>
        <w:pStyle w:val="pheading"/>
      </w:pPr>
      <w:r>
        <w:t>- Prescriptions générales</w:t>
      </w:r>
    </w:p>
    <w:p w14:paraId="3123EAAC" w14:textId="77777777" w:rsidR="00DB2B68" w:rsidRDefault="00000000">
      <w:pPr>
        <w:jc w:val="both"/>
      </w:pPr>
      <w:r>
        <w:t>Les espacements et distances minimaux à respecter ont été modifiés par l’amendement 2 de l’Eurocode 5 ([NBN EN 1995-1-1/A2]). Le tableau suivant, provenant de cette annexe est d’application :</w:t>
      </w:r>
    </w:p>
    <w:p w14:paraId="49EEA2FF" w14:textId="77777777" w:rsidR="00DB2B68" w:rsidRDefault="00000000">
      <w:pPr>
        <w:jc w:val="both"/>
      </w:pPr>
      <w:r>
        <w:t>Le dimensionnement d’un assemblage par anneau est réalisé conformément aux prescriptions de l’Eurocode 5 ([NBN EN 1995-1-1]).</w:t>
      </w:r>
    </w:p>
    <w:p w14:paraId="62EFFAA9" w14:textId="77777777" w:rsidR="00DB2B68" w:rsidRDefault="00000000">
      <w:pPr>
        <w:jc w:val="both"/>
      </w:pPr>
      <w:r>
        <w:lastRenderedPageBreak/>
        <w:t>Un usinage préalable est réalisé pour installer les anneaux. Ils sont montés sans jeu. La profondeur des logements est supérieure de plus de 2 mm à la profondeur de pénétration.</w:t>
      </w:r>
    </w:p>
    <w:p w14:paraId="2B70000F" w14:textId="77777777" w:rsidR="00DB2B68" w:rsidRDefault="00000000">
      <w:pPr>
        <w:pStyle w:val="pheading"/>
      </w:pPr>
      <w:r>
        <w:t>MESURAGE</w:t>
      </w:r>
    </w:p>
    <w:p w14:paraId="02BF110D" w14:textId="77777777" w:rsidR="00DB2B68" w:rsidRDefault="00000000">
      <w:pPr>
        <w:pStyle w:val="pheading"/>
      </w:pPr>
      <w:r>
        <w:t>- unité de mesure:</w:t>
      </w:r>
    </w:p>
    <w:p w14:paraId="76FDCBC7" w14:textId="77777777" w:rsidR="00DB2B68" w:rsidRDefault="00000000">
      <w:r>
        <w:rPr>
          <w:rStyle w:val="optioncarChar"/>
        </w:rPr>
        <w:t>- </w:t>
      </w:r>
      <w:r>
        <w:t>(par défaut) </w:t>
      </w:r>
      <w:r>
        <w:rPr>
          <w:rStyle w:val="optioncarChar"/>
        </w:rPr>
        <w:t>/ pc</w:t>
      </w:r>
    </w:p>
    <w:p w14:paraId="017F8A02" w14:textId="77777777" w:rsidR="00DB2B68" w:rsidRDefault="00000000">
      <w:r>
        <w:rPr>
          <w:b/>
          <w:i/>
        </w:rPr>
        <w:t>(Soit par défaut)</w:t>
      </w:r>
    </w:p>
    <w:p w14:paraId="14DE2ABF" w14:textId="77777777" w:rsidR="00DB2B68" w:rsidRDefault="00000000">
      <w:r>
        <w:rPr>
          <w:rStyle w:val="soitChar"/>
        </w:rPr>
        <w:t>1.     –</w:t>
      </w:r>
    </w:p>
    <w:p w14:paraId="2A1AA7D2" w14:textId="77777777" w:rsidR="00DB2B68" w:rsidRDefault="00000000">
      <w:r>
        <w:rPr>
          <w:b/>
          <w:i/>
        </w:rPr>
        <w:t>(Soit)</w:t>
      </w:r>
    </w:p>
    <w:p w14:paraId="5BA4FEBD" w14:textId="77777777" w:rsidR="00DB2B68" w:rsidRDefault="00000000">
      <w:r>
        <w:rPr>
          <w:rStyle w:val="soitChar"/>
        </w:rPr>
        <w:t>2.3.  pc</w:t>
      </w:r>
    </w:p>
    <w:p w14:paraId="63CD79E1" w14:textId="77777777" w:rsidR="00DB2B68" w:rsidRDefault="00000000">
      <w:pPr>
        <w:pStyle w:val="pheading"/>
      </w:pPr>
      <w:r>
        <w:t>- code de mesurage:</w:t>
      </w:r>
    </w:p>
    <w:p w14:paraId="5CC98D65" w14:textId="77777777" w:rsidR="00DB2B68" w:rsidRDefault="00000000">
      <w:pPr>
        <w:jc w:val="both"/>
      </w:pPr>
      <w:r>
        <w:rPr>
          <w:rStyle w:val="optioncarChar"/>
        </w:rPr>
        <w:t>Compris</w:t>
      </w:r>
      <w:r>
        <w:t> (par défaut)</w:t>
      </w:r>
      <w:r>
        <w:rPr>
          <w:rStyle w:val="optioncarChar"/>
        </w:rPr>
        <w:t> / Quantité nette</w:t>
      </w:r>
    </w:p>
    <w:p w14:paraId="3B4241AB" w14:textId="77777777" w:rsidR="00DB2B68" w:rsidRDefault="00000000">
      <w:pPr>
        <w:jc w:val="both"/>
      </w:pPr>
      <w:r>
        <w:rPr>
          <w:b/>
          <w:i/>
        </w:rPr>
        <w:t>(Soit par défaut)</w:t>
      </w:r>
    </w:p>
    <w:p w14:paraId="77DE1F20" w14:textId="77777777" w:rsidR="00DB2B68" w:rsidRDefault="00000000">
      <w:pPr>
        <w:jc w:val="both"/>
      </w:pPr>
      <w:r>
        <w:rPr>
          <w:rStyle w:val="soitChar"/>
        </w:rPr>
        <w:t>1.    </w:t>
      </w:r>
      <w:r>
        <w:rPr>
          <w:rStyle w:val="soitChar"/>
          <w:u w:val="single"/>
        </w:rPr>
        <w:t> Compris</w:t>
      </w:r>
      <w:r>
        <w:rPr>
          <w:rStyle w:val="soitChar"/>
        </w:rPr>
        <w:t> dans l’article de référence</w:t>
      </w:r>
      <w:r>
        <w:t> </w:t>
      </w:r>
      <w:r>
        <w:rPr>
          <w:rStyle w:val="optioncarChar"/>
        </w:rPr>
        <w:t>***</w:t>
      </w:r>
    </w:p>
    <w:p w14:paraId="1F5CFEF2" w14:textId="77777777" w:rsidR="00DB2B68" w:rsidRDefault="00000000">
      <w:pPr>
        <w:jc w:val="both"/>
      </w:pPr>
      <w:r>
        <w:rPr>
          <w:b/>
          <w:i/>
        </w:rPr>
        <w:t>(Soit)</w:t>
      </w:r>
    </w:p>
    <w:p w14:paraId="4DAD482E" w14:textId="77777777" w:rsidR="00DB2B68" w:rsidRDefault="00000000">
      <w:pPr>
        <w:jc w:val="both"/>
      </w:pPr>
      <w:r>
        <w:rPr>
          <w:rStyle w:val="soitChar"/>
        </w:rPr>
        <w:t>2.3. </w:t>
      </w:r>
      <w:r>
        <w:rPr>
          <w:rStyle w:val="soitChar"/>
          <w:u w:val="single"/>
        </w:rPr>
        <w:t>Quantité nette </w:t>
      </w:r>
      <w:r>
        <w:rPr>
          <w:rStyle w:val="soitChar"/>
        </w:rPr>
        <w:t>: Le nombre d’assemblages à embrèvement ayant les mêmes dimensions est compatibilisé.</w:t>
      </w:r>
    </w:p>
    <w:p w14:paraId="0BB6E461" w14:textId="77777777" w:rsidR="00DB2B68" w:rsidRDefault="00000000">
      <w:pPr>
        <w:pStyle w:val="pheading"/>
      </w:pPr>
      <w:r>
        <w:t>- nature du marché:</w:t>
      </w:r>
    </w:p>
    <w:p w14:paraId="026424A6" w14:textId="77777777" w:rsidR="00DB2B68" w:rsidRDefault="00000000">
      <w:r>
        <w:rPr>
          <w:rStyle w:val="optioncarChar"/>
        </w:rPr>
        <w:t>PM </w:t>
      </w:r>
      <w:r>
        <w:t>(par défaut)</w:t>
      </w:r>
      <w:r>
        <w:rPr>
          <w:rStyle w:val="optioncarChar"/>
        </w:rPr>
        <w:t> / QF / QP</w:t>
      </w:r>
    </w:p>
    <w:p w14:paraId="56DEABC0" w14:textId="77777777" w:rsidR="00DB2B68" w:rsidRDefault="00000000">
      <w:r>
        <w:rPr>
          <w:b/>
          <w:i/>
        </w:rPr>
        <w:t>(Soit par défaut)</w:t>
      </w:r>
    </w:p>
    <w:p w14:paraId="376FCE7A" w14:textId="77777777" w:rsidR="00DB2B68" w:rsidRDefault="00000000">
      <w:r>
        <w:rPr>
          <w:rStyle w:val="soitChar"/>
        </w:rPr>
        <w:t>1.     PM</w:t>
      </w:r>
    </w:p>
    <w:p w14:paraId="5750F41D" w14:textId="77777777" w:rsidR="00DB2B68" w:rsidRDefault="00000000">
      <w:r>
        <w:rPr>
          <w:b/>
          <w:i/>
        </w:rPr>
        <w:t>(Soit)</w:t>
      </w:r>
    </w:p>
    <w:p w14:paraId="57B1D58D" w14:textId="77777777" w:rsidR="00DB2B68" w:rsidRDefault="00000000">
      <w:r>
        <w:rPr>
          <w:rStyle w:val="soitChar"/>
        </w:rPr>
        <w:t>2.     QF</w:t>
      </w:r>
    </w:p>
    <w:p w14:paraId="5C5A53F8" w14:textId="77777777" w:rsidR="00DB2B68" w:rsidRDefault="00000000">
      <w:r>
        <w:rPr>
          <w:b/>
          <w:i/>
        </w:rPr>
        <w:t>(Soit)</w:t>
      </w:r>
    </w:p>
    <w:p w14:paraId="10543174" w14:textId="77777777" w:rsidR="00DB2B68" w:rsidRDefault="00000000">
      <w:r>
        <w:rPr>
          <w:rStyle w:val="soitChar"/>
        </w:rPr>
        <w:t>3.     QP</w:t>
      </w:r>
    </w:p>
    <w:p w14:paraId="08F9F940" w14:textId="77777777" w:rsidR="00DB2B68" w:rsidRDefault="00000000">
      <w:pPr>
        <w:pStyle w:val="Author-eSectionHeading6Numberless"/>
      </w:pPr>
      <w:bookmarkStart w:id="1742" w:name="_Toc220496711"/>
      <w:r>
        <w:t>24.42.2b Connecteurs de surface - crampons CCTB 01.11</w:t>
      </w:r>
      <w:bookmarkEnd w:id="1742"/>
    </w:p>
    <w:p w14:paraId="78DBB203" w14:textId="77777777" w:rsidR="00DB2B68" w:rsidRDefault="00000000">
      <w:pPr>
        <w:pStyle w:val="pheading"/>
      </w:pPr>
      <w:bookmarkStart w:id="1743" w:name="612"/>
      <w:bookmarkEnd w:id="1743"/>
      <w:r>
        <w:t>DESCRIPTION</w:t>
      </w:r>
    </w:p>
    <w:p w14:paraId="1F490BE9" w14:textId="77777777" w:rsidR="00DB2B68" w:rsidRDefault="00000000">
      <w:pPr>
        <w:pStyle w:val="pheading"/>
      </w:pPr>
      <w:r>
        <w:t>- Définition / Comprend</w:t>
      </w:r>
    </w:p>
    <w:p w14:paraId="505AB5FF" w14:textId="77777777" w:rsidR="00DB2B68" w:rsidRDefault="00000000">
      <w:pPr>
        <w:jc w:val="both"/>
      </w:pPr>
      <w:r>
        <w:t>Il s’agit d’assembleurs constitués d’une plaque avec, sur ses bords, des dents triangulaires ou des pointes. Un crampon peut être double face ou simple face.</w:t>
      </w:r>
    </w:p>
    <w:p w14:paraId="4304D4FF" w14:textId="77777777" w:rsidR="00DB2B68" w:rsidRDefault="00000000">
      <w:pPr>
        <w:jc w:val="both"/>
      </w:pPr>
      <w:r>
        <w:t>Un exemple de crampon (type C1) est présenté ci-dessous :</w:t>
      </w:r>
    </w:p>
    <w:p w14:paraId="2B6C20EA" w14:textId="77777777" w:rsidR="00DB2B68" w:rsidRDefault="00000000">
      <w:pPr>
        <w:jc w:val="both"/>
      </w:pPr>
      <w:r>
        <w:rPr>
          <w:noProof/>
        </w:rPr>
        <w:lastRenderedPageBreak/>
        <w:drawing>
          <wp:anchor distT="0" distB="0" distL="0" distR="0" simplePos="0" relativeHeight="251662336" behindDoc="0" locked="0" layoutInCell="1" allowOverlap="0" wp14:anchorId="59E29BD0" wp14:editId="65805393">
            <wp:simplePos x="0" y="0"/>
            <wp:positionH relativeFrom="column">
              <wp:align>center</wp:align>
            </wp:positionH>
            <wp:positionV relativeFrom="line">
              <wp:align>top</wp:align>
            </wp:positionV>
            <wp:extent cx="4762500" cy="2933700"/>
            <wp:effectExtent l="0" t="0" r="0" b="0"/>
            <wp:wrapTopAndBottom/>
            <wp:docPr id="1365540076" name="24.42.2b.png" descr="24.4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27" descr="24.42.2b.png"/>
                    <pic:cNvPicPr>
                      <a:picLocks noChangeAspect="1" noChangeArrowheads="1"/>
                    </pic:cNvPicPr>
                  </pic:nvPicPr>
                  <pic:blipFill>
                    <a:blip r:embed="rId38"/>
                    <a:srcRect/>
                    <a:stretch>
                      <a:fillRect/>
                    </a:stretch>
                  </pic:blipFill>
                  <pic:spPr bwMode="auto">
                    <a:xfrm>
                      <a:off x="0" y="0"/>
                      <a:ext cx="4762500" cy="2933700"/>
                    </a:xfrm>
                    <a:prstGeom prst="rect">
                      <a:avLst/>
                    </a:prstGeom>
                  </pic:spPr>
                </pic:pic>
              </a:graphicData>
            </a:graphic>
          </wp:anchor>
        </w:drawing>
      </w:r>
    </w:p>
    <w:p w14:paraId="6E378886" w14:textId="77777777" w:rsidR="00DB2B68" w:rsidRDefault="00000000">
      <w:pPr>
        <w:jc w:val="both"/>
      </w:pPr>
      <w:r>
        <w:rPr>
          <w:b/>
        </w:rPr>
        <w:t>Remarques importantes</w:t>
      </w:r>
    </w:p>
    <w:p w14:paraId="637D5C83" w14:textId="77777777" w:rsidR="00DB2B68" w:rsidRDefault="00000000">
      <w:pPr>
        <w:jc w:val="both"/>
      </w:pPr>
      <w:r>
        <w:t>Les crampons sont marqués CE suivant la [NBN EN 14545].</w:t>
      </w:r>
    </w:p>
    <w:p w14:paraId="5B52F3B7" w14:textId="77777777" w:rsidR="00DB2B68" w:rsidRDefault="00000000">
      <w:pPr>
        <w:pStyle w:val="pheading"/>
      </w:pPr>
      <w:r>
        <w:t>MATÉRIAUX</w:t>
      </w:r>
    </w:p>
    <w:p w14:paraId="185CA36D" w14:textId="77777777" w:rsidR="00DB2B68" w:rsidRDefault="00000000">
      <w:pPr>
        <w:pStyle w:val="pheading"/>
      </w:pPr>
      <w:r>
        <w:t>- Caractéristiques générales</w:t>
      </w:r>
    </w:p>
    <w:p w14:paraId="34F64E50" w14:textId="77777777" w:rsidR="00DB2B68" w:rsidRDefault="00000000">
      <w:pPr>
        <w:jc w:val="both"/>
      </w:pPr>
      <w:r>
        <w:t>Les crampons répondent aux prescriptions décrites dans les normes [NBN EN 14545] et [NBN EN 912].</w:t>
      </w:r>
    </w:p>
    <w:p w14:paraId="68271200" w14:textId="77777777" w:rsidR="00DB2B68" w:rsidRDefault="00000000">
      <w:pPr>
        <w:jc w:val="both"/>
      </w:pPr>
      <w:r>
        <w:t>La géométrie et le matériau constitutif du crampon sont décrits dans la [NBN EN 912]. Celle-ci définit 11 types de crampons, numéroté de C1 à C11.</w:t>
      </w:r>
    </w:p>
    <w:p w14:paraId="3DEA7A05" w14:textId="77777777" w:rsidR="00DB2B68" w:rsidRDefault="00000000">
      <w:pPr>
        <w:jc w:val="both"/>
      </w:pPr>
      <w:r>
        <w:t xml:space="preserve">Type de crampon : </w:t>
      </w:r>
      <w:r>
        <w:rPr>
          <w:rStyle w:val="optioncarChar"/>
        </w:rPr>
        <w:t>C1 / C2 / C3 / C4 / C5 / C6 / C7 / C8 / C9 / C10 / C11</w:t>
      </w:r>
    </w:p>
    <w:p w14:paraId="6757DA7F" w14:textId="77777777" w:rsidR="00DB2B68" w:rsidRDefault="00000000">
      <w:pPr>
        <w:jc w:val="both"/>
      </w:pPr>
      <w:r>
        <w:t>Dans la pratique, les crampons de types C1 à C5, C10 et C11 sont les plus faciles à trouver.</w:t>
      </w:r>
    </w:p>
    <w:p w14:paraId="30661B52" w14:textId="77777777" w:rsidR="00DB2B68" w:rsidRDefault="00000000">
      <w:pPr>
        <w:jc w:val="both"/>
      </w:pPr>
      <w:r>
        <w:t xml:space="preserve">Diamètre  (selon [NBN EN 912]) : </w:t>
      </w:r>
      <w:r>
        <w:rPr>
          <w:rStyle w:val="optioncarChar"/>
        </w:rPr>
        <w:t>***</w:t>
      </w:r>
    </w:p>
    <w:p w14:paraId="5832E2D1" w14:textId="77777777" w:rsidR="00DB2B68" w:rsidRDefault="00000000">
      <w:pPr>
        <w:jc w:val="both"/>
      </w:pPr>
      <w:r>
        <w:t>Les mesures de protection à prendre pour éviter la corrosion des crampons doivent être choisies en fonction de la classe d’emploi dans laquelle l’anneau est installé et des essences de bois avec lesquelles il est en contact.</w:t>
      </w:r>
    </w:p>
    <w:p w14:paraId="33345773" w14:textId="77777777" w:rsidR="00DB2B68" w:rsidRDefault="00000000">
      <w:pPr>
        <w:jc w:val="both"/>
      </w:pPr>
      <w:r>
        <w:t xml:space="preserve">Protection contre la corrosion : </w:t>
      </w:r>
      <w:r>
        <w:rPr>
          <w:rStyle w:val="optioncarChar"/>
        </w:rPr>
        <w:t>aucune / Z275 ou équivalent</w:t>
      </w:r>
      <w:r>
        <w:t xml:space="preserve"> (par défaut) </w:t>
      </w:r>
      <w:r>
        <w:rPr>
          <w:rStyle w:val="optioncarChar"/>
        </w:rPr>
        <w:t>/ Z350 ou équivalent</w:t>
      </w:r>
    </w:p>
    <w:p w14:paraId="7A0BA35A" w14:textId="77777777" w:rsidR="00DB2B68" w:rsidRDefault="00000000">
      <w:pPr>
        <w:pStyle w:val="pheading"/>
      </w:pPr>
      <w:r>
        <w:t>EXÉCUTION / MISE EN ŒUVRE</w:t>
      </w:r>
    </w:p>
    <w:p w14:paraId="2B86A5F6" w14:textId="77777777" w:rsidR="00DB2B68" w:rsidRDefault="00000000">
      <w:pPr>
        <w:pStyle w:val="pheading"/>
      </w:pPr>
      <w:r>
        <w:t>- Prescriptions générales</w:t>
      </w:r>
    </w:p>
    <w:p w14:paraId="6799A85B" w14:textId="77777777" w:rsidR="00DB2B68" w:rsidRDefault="00000000">
      <w:pPr>
        <w:jc w:val="both"/>
      </w:pPr>
      <w:r>
        <w:t>Les espacements et distances minimaux à respecter pour les crampons de type C1 à C9 ont été modifiés par l’annexe 2 à l’Eurocode 5 ([NBN EN 1995-1-1/A2]).</w:t>
      </w:r>
    </w:p>
    <w:p w14:paraId="0CDC8AAC" w14:textId="77777777" w:rsidR="00DB2B68" w:rsidRDefault="00000000">
      <w:pPr>
        <w:jc w:val="both"/>
      </w:pPr>
      <w:r>
        <w:t>Pour les crampons de type C10 et C11, les distances et espacements minimaux suivants doivent être respectés :</w:t>
      </w:r>
    </w:p>
    <w:p w14:paraId="03C09346" w14:textId="77777777" w:rsidR="00DB2B68" w:rsidRDefault="00000000">
      <w:pPr>
        <w:jc w:val="both"/>
      </w:pPr>
      <w:r>
        <w:rPr>
          <w:noProof/>
        </w:rPr>
        <w:lastRenderedPageBreak/>
        <w:drawing>
          <wp:anchor distT="0" distB="0" distL="0" distR="0" simplePos="0" relativeHeight="251656192" behindDoc="0" locked="0" layoutInCell="1" allowOverlap="0" wp14:anchorId="07132684" wp14:editId="04B94FF4">
            <wp:simplePos x="0" y="0"/>
            <wp:positionH relativeFrom="column">
              <wp:align>center</wp:align>
            </wp:positionH>
            <wp:positionV relativeFrom="line">
              <wp:align>top</wp:align>
            </wp:positionV>
            <wp:extent cx="4324350" cy="2381250"/>
            <wp:effectExtent l="0" t="0" r="0" b="0"/>
            <wp:wrapTopAndBottom/>
            <wp:docPr id="159827062" name="24.42.2b2.png" descr="24.42.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28" descr="24.42.2b2.png"/>
                    <pic:cNvPicPr>
                      <a:picLocks noChangeAspect="1" noChangeArrowheads="1"/>
                    </pic:cNvPicPr>
                  </pic:nvPicPr>
                  <pic:blipFill>
                    <a:blip r:embed="rId39"/>
                    <a:srcRect/>
                    <a:stretch>
                      <a:fillRect/>
                    </a:stretch>
                  </pic:blipFill>
                  <pic:spPr bwMode="auto">
                    <a:xfrm>
                      <a:off x="0" y="0"/>
                      <a:ext cx="4324350" cy="2381250"/>
                    </a:xfrm>
                    <a:prstGeom prst="rect">
                      <a:avLst/>
                    </a:prstGeom>
                  </pic:spPr>
                </pic:pic>
              </a:graphicData>
            </a:graphic>
          </wp:anchor>
        </w:drawing>
      </w:r>
    </w:p>
    <w:p w14:paraId="0DDE8D0B" w14:textId="77777777" w:rsidR="00DB2B68" w:rsidRDefault="00000000">
      <w:pPr>
        <w:jc w:val="both"/>
      </w:pPr>
      <w:r>
        <w:t>Le dimensionnement d’un assemblage par crampon est réalisé conformément aux prescriptions de l’Eurocode 5 ([NBN EN 1995-1-1]) et ses annexes.</w:t>
      </w:r>
    </w:p>
    <w:p w14:paraId="2DD5A3B5" w14:textId="77777777" w:rsidR="00DB2B68" w:rsidRDefault="00000000">
      <w:pPr>
        <w:jc w:val="both"/>
      </w:pPr>
      <w:r>
        <w:t>Les crampons simple face (C2, C4, C7, C9, C11) sont mis en œuvre à l’aide d’une presse ou d’un vérin hydraulique ou à l’aide d’une cale en bois dur et d’une masse. La pénétration du crampon dans le bois doit être complète. Si les crampons sont montés en atelier, les mesures sont prises afin de les maintenir durant le transport, éventuellement à l’aide d’une ou deux pointes.</w:t>
      </w:r>
    </w:p>
    <w:p w14:paraId="77F61FE1" w14:textId="77777777" w:rsidR="00DB2B68" w:rsidRDefault="00000000">
      <w:pPr>
        <w:jc w:val="both"/>
      </w:pPr>
      <w:r>
        <w:t>L’installation d’un crampon double face (C1, C3, C5, C6, C8, C10) se fait par enfoncement des dents lors de l’assemblage des pièces entre elles à l‘aide d‘une presse hydraulique ou d‘une clé. Une fois le serrage effectué, l‘assemblage est réalisé.</w:t>
      </w:r>
    </w:p>
    <w:p w14:paraId="383205BB" w14:textId="77777777" w:rsidR="00DB2B68" w:rsidRDefault="00000000">
      <w:pPr>
        <w:jc w:val="both"/>
      </w:pPr>
      <w:r>
        <w:t>Les crampons sont autorisés uniquement dans les résineux et en dehors des zones de forte nodosité.</w:t>
      </w:r>
    </w:p>
    <w:p w14:paraId="7212AEAC" w14:textId="77777777" w:rsidR="00DB2B68" w:rsidRDefault="00000000">
      <w:pPr>
        <w:jc w:val="both"/>
      </w:pPr>
      <w:r>
        <w:t>Du fait de l’épaisseur de la plaque de base des crampons, il est autorisé de fraiser légèrement le bois pour éviter d’avoir un espace entre les pièces.</w:t>
      </w:r>
    </w:p>
    <w:p w14:paraId="51C3F139" w14:textId="77777777" w:rsidR="00DB2B68" w:rsidRDefault="00000000">
      <w:pPr>
        <w:pStyle w:val="pheading"/>
      </w:pPr>
      <w:r>
        <w:t>MESURAGE</w:t>
      </w:r>
    </w:p>
    <w:p w14:paraId="6509F18B" w14:textId="77777777" w:rsidR="00DB2B68" w:rsidRDefault="00000000">
      <w:pPr>
        <w:pStyle w:val="pheading"/>
      </w:pPr>
      <w:r>
        <w:t>- unité de mesure:</w:t>
      </w:r>
    </w:p>
    <w:p w14:paraId="49845988" w14:textId="77777777" w:rsidR="00DB2B68" w:rsidRDefault="00000000">
      <w:r>
        <w:rPr>
          <w:rStyle w:val="optioncarChar"/>
        </w:rPr>
        <w:t>-</w:t>
      </w:r>
      <w:r>
        <w:t> (par défaut) </w:t>
      </w:r>
      <w:r>
        <w:rPr>
          <w:rStyle w:val="optioncarChar"/>
        </w:rPr>
        <w:t>/ pc</w:t>
      </w:r>
    </w:p>
    <w:p w14:paraId="756B8FCB" w14:textId="77777777" w:rsidR="00DB2B68" w:rsidRDefault="00000000">
      <w:r>
        <w:rPr>
          <w:b/>
          <w:i/>
        </w:rPr>
        <w:t>(Soit par défaut)</w:t>
      </w:r>
    </w:p>
    <w:p w14:paraId="3A785356" w14:textId="77777777" w:rsidR="00DB2B68" w:rsidRDefault="00000000">
      <w:r>
        <w:rPr>
          <w:rStyle w:val="soitChar"/>
        </w:rPr>
        <w:t>1.     –</w:t>
      </w:r>
    </w:p>
    <w:p w14:paraId="3521D5FF" w14:textId="77777777" w:rsidR="00DB2B68" w:rsidRDefault="00000000">
      <w:r>
        <w:rPr>
          <w:b/>
          <w:i/>
        </w:rPr>
        <w:t>(Soit)</w:t>
      </w:r>
    </w:p>
    <w:p w14:paraId="6E1B639D" w14:textId="77777777" w:rsidR="00DB2B68" w:rsidRDefault="00000000">
      <w:r>
        <w:rPr>
          <w:rStyle w:val="soitChar"/>
        </w:rPr>
        <w:t>2.3.  pc</w:t>
      </w:r>
    </w:p>
    <w:p w14:paraId="2BC95EEB" w14:textId="77777777" w:rsidR="00DB2B68" w:rsidRDefault="00000000">
      <w:pPr>
        <w:pStyle w:val="pheading"/>
      </w:pPr>
      <w:r>
        <w:t>- code de mesurage:</w:t>
      </w:r>
    </w:p>
    <w:p w14:paraId="674B31F7" w14:textId="77777777" w:rsidR="00DB2B68" w:rsidRDefault="00000000">
      <w:pPr>
        <w:jc w:val="both"/>
      </w:pPr>
      <w:r>
        <w:rPr>
          <w:rStyle w:val="optioncarChar"/>
        </w:rPr>
        <w:t>Compris</w:t>
      </w:r>
      <w:r>
        <w:t> (par défaut) </w:t>
      </w:r>
      <w:r>
        <w:rPr>
          <w:rStyle w:val="optioncarChar"/>
        </w:rPr>
        <w:t>/ Quantité nette</w:t>
      </w:r>
    </w:p>
    <w:p w14:paraId="4AC8AD57" w14:textId="77777777" w:rsidR="00DB2B68" w:rsidRDefault="00000000">
      <w:pPr>
        <w:jc w:val="both"/>
      </w:pPr>
      <w:r>
        <w:rPr>
          <w:b/>
          <w:i/>
        </w:rPr>
        <w:t>(Soit par défaut)</w:t>
      </w:r>
    </w:p>
    <w:p w14:paraId="0FAECFEE" w14:textId="77777777" w:rsidR="00DB2B68" w:rsidRDefault="00000000">
      <w:pPr>
        <w:jc w:val="both"/>
      </w:pPr>
      <w:r>
        <w:rPr>
          <w:rStyle w:val="soitChar"/>
        </w:rPr>
        <w:t>1.     </w:t>
      </w:r>
      <w:r>
        <w:rPr>
          <w:rStyle w:val="soitChar"/>
          <w:u w:val="single"/>
        </w:rPr>
        <w:t>Compris</w:t>
      </w:r>
      <w:r>
        <w:rPr>
          <w:rStyle w:val="soitChar"/>
        </w:rPr>
        <w:t> dans l’article de référence</w:t>
      </w:r>
      <w:r>
        <w:t> </w:t>
      </w:r>
      <w:r>
        <w:rPr>
          <w:rStyle w:val="optioncarChar"/>
        </w:rPr>
        <w:t>***</w:t>
      </w:r>
    </w:p>
    <w:p w14:paraId="406B9176" w14:textId="77777777" w:rsidR="00DB2B68" w:rsidRDefault="00000000">
      <w:pPr>
        <w:jc w:val="both"/>
      </w:pPr>
      <w:r>
        <w:rPr>
          <w:b/>
          <w:i/>
        </w:rPr>
        <w:t>(Soit)</w:t>
      </w:r>
    </w:p>
    <w:p w14:paraId="79B837F3" w14:textId="77777777" w:rsidR="00DB2B68" w:rsidRDefault="00000000">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2B476E8C" w14:textId="77777777" w:rsidR="00DB2B68" w:rsidRDefault="00000000">
      <w:pPr>
        <w:pStyle w:val="pheading"/>
      </w:pPr>
      <w:r>
        <w:t>- nature du marché:</w:t>
      </w:r>
    </w:p>
    <w:p w14:paraId="6E68C1B4" w14:textId="77777777" w:rsidR="00DB2B68" w:rsidRDefault="00000000">
      <w:r>
        <w:rPr>
          <w:rStyle w:val="optioncarChar"/>
        </w:rPr>
        <w:t>PM </w:t>
      </w:r>
      <w:r>
        <w:t>(par défaut) </w:t>
      </w:r>
      <w:r>
        <w:rPr>
          <w:rStyle w:val="optioncarChar"/>
        </w:rPr>
        <w:t>/ QF / QP</w:t>
      </w:r>
    </w:p>
    <w:p w14:paraId="43DC1638" w14:textId="77777777" w:rsidR="00DB2B68" w:rsidRDefault="00000000">
      <w:r>
        <w:rPr>
          <w:b/>
          <w:i/>
        </w:rPr>
        <w:t>(Soit par défaut)</w:t>
      </w:r>
    </w:p>
    <w:p w14:paraId="6D4D37AF" w14:textId="77777777" w:rsidR="00DB2B68" w:rsidRDefault="00000000">
      <w:r>
        <w:rPr>
          <w:rStyle w:val="soitChar"/>
        </w:rPr>
        <w:t>1.     PM</w:t>
      </w:r>
    </w:p>
    <w:p w14:paraId="465E3081" w14:textId="77777777" w:rsidR="00DB2B68" w:rsidRDefault="00000000">
      <w:r>
        <w:rPr>
          <w:b/>
          <w:i/>
        </w:rPr>
        <w:lastRenderedPageBreak/>
        <w:t>(Soit)</w:t>
      </w:r>
    </w:p>
    <w:p w14:paraId="2677AF7D" w14:textId="77777777" w:rsidR="00DB2B68" w:rsidRDefault="00000000">
      <w:r>
        <w:rPr>
          <w:rStyle w:val="soitChar"/>
        </w:rPr>
        <w:t>2.     QF</w:t>
      </w:r>
    </w:p>
    <w:p w14:paraId="58941418" w14:textId="77777777" w:rsidR="00DB2B68" w:rsidRDefault="00000000">
      <w:r>
        <w:rPr>
          <w:b/>
          <w:i/>
        </w:rPr>
        <w:t>(Soit)</w:t>
      </w:r>
    </w:p>
    <w:p w14:paraId="43D3B3B6" w14:textId="77777777" w:rsidR="00DB2B68" w:rsidRDefault="00000000">
      <w:r>
        <w:rPr>
          <w:rStyle w:val="soitChar"/>
        </w:rPr>
        <w:t>3.     QP</w:t>
      </w:r>
    </w:p>
    <w:p w14:paraId="2BA22289" w14:textId="77777777" w:rsidR="00DB2B68" w:rsidRDefault="00000000">
      <w:pPr>
        <w:pStyle w:val="Author-eSectionHeading6Numberless"/>
      </w:pPr>
      <w:bookmarkStart w:id="1744" w:name="_Toc220496712"/>
      <w:r>
        <w:t>24.42.2c Connecteurs de surface - plaques dentées CCTB 01.11</w:t>
      </w:r>
      <w:bookmarkEnd w:id="1744"/>
    </w:p>
    <w:p w14:paraId="0613BE4F" w14:textId="77777777" w:rsidR="00DB2B68" w:rsidRDefault="00000000">
      <w:pPr>
        <w:pStyle w:val="pheading"/>
      </w:pPr>
      <w:bookmarkStart w:id="1745" w:name="614"/>
      <w:bookmarkEnd w:id="1745"/>
      <w:r>
        <w:t>DESCRIPTION</w:t>
      </w:r>
    </w:p>
    <w:p w14:paraId="3E789CB0" w14:textId="77777777" w:rsidR="00DB2B68" w:rsidRDefault="00000000">
      <w:pPr>
        <w:pStyle w:val="pheading"/>
      </w:pPr>
      <w:r>
        <w:t>- Définition / Comprend</w:t>
      </w:r>
    </w:p>
    <w:p w14:paraId="341FEA6C" w14:textId="77777777" w:rsidR="00DB2B68" w:rsidRDefault="00000000">
      <w:r>
        <w:t>Il s’agit de plaques métalliques munies de dents intégrées poinçonnées formant un angle de 90° par rapport à la base de la plaque et utilisées pour connecter deux (ou plus) pièces de bois de la même épaisseur et dans le même plan.</w:t>
      </w:r>
    </w:p>
    <w:p w14:paraId="47710CF2" w14:textId="77777777" w:rsidR="00DB2B68" w:rsidRDefault="00000000">
      <w:r>
        <w:t>Un exemple de plaques dentées est présenté ci-dessous :</w:t>
      </w:r>
    </w:p>
    <w:p w14:paraId="570A8657" w14:textId="77777777" w:rsidR="00DB2B68" w:rsidRDefault="00000000">
      <w:r>
        <w:rPr>
          <w:noProof/>
        </w:rPr>
        <w:drawing>
          <wp:anchor distT="0" distB="0" distL="0" distR="0" simplePos="0" relativeHeight="251664384" behindDoc="0" locked="0" layoutInCell="1" allowOverlap="0" wp14:anchorId="543CE761" wp14:editId="3F8566BB">
            <wp:simplePos x="0" y="0"/>
            <wp:positionH relativeFrom="column">
              <wp:align>center</wp:align>
            </wp:positionH>
            <wp:positionV relativeFrom="line">
              <wp:align>top</wp:align>
            </wp:positionV>
            <wp:extent cx="3810000" cy="2457450"/>
            <wp:effectExtent l="0" t="0" r="0" b="0"/>
            <wp:wrapTopAndBottom/>
            <wp:docPr id="1592756809" name="24.42.2c.png" descr="24.4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29" descr="24.42.2c.png"/>
                    <pic:cNvPicPr>
                      <a:picLocks noChangeAspect="1" noChangeArrowheads="1"/>
                    </pic:cNvPicPr>
                  </pic:nvPicPr>
                  <pic:blipFill>
                    <a:blip r:embed="rId40"/>
                    <a:srcRect/>
                    <a:stretch>
                      <a:fillRect/>
                    </a:stretch>
                  </pic:blipFill>
                  <pic:spPr bwMode="auto">
                    <a:xfrm>
                      <a:off x="0" y="0"/>
                      <a:ext cx="3810000" cy="2457450"/>
                    </a:xfrm>
                    <a:prstGeom prst="rect">
                      <a:avLst/>
                    </a:prstGeom>
                  </pic:spPr>
                </pic:pic>
              </a:graphicData>
            </a:graphic>
          </wp:anchor>
        </w:drawing>
      </w:r>
    </w:p>
    <w:p w14:paraId="49D09D0F" w14:textId="77777777" w:rsidR="00DB2B68" w:rsidRDefault="00000000">
      <w:r>
        <w:rPr>
          <w:b/>
        </w:rPr>
        <w:t>Remarques importantes</w:t>
      </w:r>
      <w:r>
        <w:br/>
        <w:t>Les plaques dentées respectent les impositions de la norme [NBN EN 14545] et sont marquées CE suivant celle-ci. Elles sont souvent appelées plaques embouties.</w:t>
      </w:r>
    </w:p>
    <w:p w14:paraId="6326200A" w14:textId="77777777" w:rsidR="00DB2B68" w:rsidRDefault="00000000">
      <w:pPr>
        <w:pStyle w:val="pheading"/>
      </w:pPr>
      <w:r>
        <w:t>MATÉRIAUX</w:t>
      </w:r>
    </w:p>
    <w:p w14:paraId="48A8066F" w14:textId="77777777" w:rsidR="00DB2B68" w:rsidRDefault="00000000">
      <w:pPr>
        <w:pStyle w:val="pheading"/>
      </w:pPr>
      <w:r>
        <w:t>- Caractéristiques générales</w:t>
      </w:r>
    </w:p>
    <w:p w14:paraId="710BB241" w14:textId="77777777" w:rsidR="00DB2B68" w:rsidRDefault="00000000">
      <w:pPr>
        <w:jc w:val="both"/>
      </w:pPr>
      <w:r>
        <w:t>Les plaques dentées sont fabriquées à partir d’une tôle d’acier ayant une épaisseur de 0,9mm minimum et 3mm maximum. La tolérance relative à l’épaisseur de la tôle doit être conforme à la [NBN EN 10143] pour l’acier doux ou à la [NBN EN ISO 9445 série] pour l’acier inoxydable.</w:t>
      </w:r>
    </w:p>
    <w:p w14:paraId="68C250F6" w14:textId="77777777" w:rsidR="00DB2B68" w:rsidRDefault="00000000">
      <w:pPr>
        <w:jc w:val="both"/>
      </w:pPr>
      <w:r>
        <w:t xml:space="preserve">Épaisseur de la tôle d’acier : </w:t>
      </w:r>
      <w:r>
        <w:rPr>
          <w:rStyle w:val="optioncarChar"/>
        </w:rPr>
        <w:t xml:space="preserve">1 mm </w:t>
      </w:r>
      <w:r>
        <w:t xml:space="preserve">(par défaut) </w:t>
      </w:r>
      <w:r>
        <w:rPr>
          <w:rStyle w:val="optioncarChar"/>
        </w:rPr>
        <w:t>/ 1,5mm / 2mm / 2,5mm / ***</w:t>
      </w:r>
    </w:p>
    <w:p w14:paraId="01A8D632" w14:textId="77777777" w:rsidR="00DB2B68" w:rsidRDefault="00000000">
      <w:pPr>
        <w:jc w:val="both"/>
      </w:pPr>
      <w:r>
        <w:t xml:space="preserve">Dimensions de la plaque (longueur x largeur) : </w:t>
      </w:r>
      <w:r>
        <w:rPr>
          <w:rStyle w:val="optioncarChar"/>
        </w:rPr>
        <w:t>*** x *** mm</w:t>
      </w:r>
    </w:p>
    <w:p w14:paraId="452DF410" w14:textId="77777777" w:rsidR="00DB2B68" w:rsidRDefault="00000000">
      <w:pPr>
        <w:jc w:val="both"/>
      </w:pPr>
      <w:r>
        <w:t xml:space="preserve">Matériau constituant les plaques dentées : </w:t>
      </w:r>
      <w:r>
        <w:rPr>
          <w:rStyle w:val="optioncarChar"/>
        </w:rPr>
        <w:t xml:space="preserve">S250GD </w:t>
      </w:r>
      <w:r>
        <w:t xml:space="preserve">(par défaut) </w:t>
      </w:r>
      <w:r>
        <w:rPr>
          <w:rStyle w:val="optioncarChar"/>
        </w:rPr>
        <w:t>/ 1.4401 / 1.4404 / ***</w:t>
      </w:r>
    </w:p>
    <w:p w14:paraId="0EF8D0A0" w14:textId="77777777" w:rsidR="00DB2B68" w:rsidRDefault="00000000">
      <w:pPr>
        <w:jc w:val="both"/>
      </w:pPr>
      <w:r>
        <w:t>Acier S250GD selon [NBN EN 10346], aciers inoxydables (1.4401 et 1.4404) selon [NBN EN 10088-2].</w:t>
      </w:r>
    </w:p>
    <w:p w14:paraId="7A683BA6" w14:textId="77777777" w:rsidR="00DB2B68" w:rsidRDefault="00000000">
      <w:pPr>
        <w:jc w:val="both"/>
      </w:pPr>
      <w:r>
        <w:rPr>
          <w:b/>
        </w:rPr>
        <w:t>Résistance mécanique :</w:t>
      </w:r>
    </w:p>
    <w:p w14:paraId="0BC551FC" w14:textId="77777777" w:rsidR="00DB2B68" w:rsidRDefault="00000000">
      <w:pPr>
        <w:jc w:val="both"/>
      </w:pPr>
      <w:r>
        <w:t>Capacité d’ancrage caractéristique minimum de la plaque avec masse volumique caractéristique du bois ρ</w:t>
      </w:r>
      <w:r>
        <w:rPr>
          <w:vertAlign w:val="subscript"/>
        </w:rPr>
        <w:t>k</w:t>
      </w:r>
      <w:r>
        <w:t xml:space="preserve"> = 350 kg/m³  : </w:t>
      </w:r>
      <w:r>
        <w:rPr>
          <w:rStyle w:val="optioncarChar"/>
        </w:rPr>
        <w:t>***MPa</w:t>
      </w:r>
    </w:p>
    <w:p w14:paraId="2BE6DBA2" w14:textId="77777777" w:rsidR="00DB2B68" w:rsidRDefault="00000000">
      <w:pPr>
        <w:jc w:val="both"/>
      </w:pPr>
      <w:r>
        <w:t>Capacité résistante caractéristique minimum en traction de la plaque :</w:t>
      </w:r>
      <w:r>
        <w:rPr>
          <w:rStyle w:val="optioncarChar"/>
        </w:rPr>
        <w:t xml:space="preserve"> f</w:t>
      </w:r>
      <w:r>
        <w:rPr>
          <w:rStyle w:val="optioncarChar"/>
          <w:vertAlign w:val="subscript"/>
        </w:rPr>
        <w:t>t,0</w:t>
      </w:r>
      <w:r>
        <w:rPr>
          <w:rStyle w:val="optioncarChar"/>
        </w:rPr>
        <w:t xml:space="preserve"> = 360 N/mm ; f</w:t>
      </w:r>
      <w:r>
        <w:rPr>
          <w:rStyle w:val="optioncarChar"/>
          <w:vertAlign w:val="subscript"/>
        </w:rPr>
        <w:t>t,90</w:t>
      </w:r>
      <w:r>
        <w:rPr>
          <w:rStyle w:val="optioncarChar"/>
        </w:rPr>
        <w:t xml:space="preserve"> = 230 N/mm </w:t>
      </w:r>
      <w:r>
        <w:t>(par défaut)</w:t>
      </w:r>
      <w:r>
        <w:rPr>
          <w:rStyle w:val="optioncarChar"/>
        </w:rPr>
        <w:t xml:space="preserve"> / *** N/mm</w:t>
      </w:r>
    </w:p>
    <w:p w14:paraId="52849A56" w14:textId="77777777" w:rsidR="00DB2B68" w:rsidRDefault="00000000">
      <w:pPr>
        <w:jc w:val="both"/>
      </w:pPr>
      <w:r>
        <w:lastRenderedPageBreak/>
        <w:t xml:space="preserve">Capacité résistante caractéristique minimum en compression de la plaque: </w:t>
      </w:r>
      <w:r>
        <w:rPr>
          <w:rStyle w:val="optioncarChar"/>
        </w:rPr>
        <w:t>f</w:t>
      </w:r>
      <w:r>
        <w:rPr>
          <w:rStyle w:val="optioncarChar"/>
          <w:vertAlign w:val="subscript"/>
        </w:rPr>
        <w:t>c,0</w:t>
      </w:r>
      <w:r>
        <w:rPr>
          <w:rStyle w:val="optioncarChar"/>
        </w:rPr>
        <w:t xml:space="preserve"> = 240 N/mm ; f</w:t>
      </w:r>
      <w:r>
        <w:rPr>
          <w:rStyle w:val="optioncarChar"/>
          <w:vertAlign w:val="subscript"/>
        </w:rPr>
        <w:t>c, 90</w:t>
      </w:r>
      <w:r>
        <w:rPr>
          <w:rStyle w:val="optioncarChar"/>
        </w:rPr>
        <w:t xml:space="preserve"> = 160N/mm  </w:t>
      </w:r>
      <w:r>
        <w:t>(par défaut)</w:t>
      </w:r>
      <w:r>
        <w:rPr>
          <w:rStyle w:val="optioncarChar"/>
        </w:rPr>
        <w:t> / *** N/mm</w:t>
      </w:r>
    </w:p>
    <w:p w14:paraId="4421AFD5" w14:textId="77777777" w:rsidR="00DB2B68" w:rsidRDefault="00000000">
      <w:pPr>
        <w:jc w:val="both"/>
      </w:pPr>
      <w:r>
        <w:t>Capacité résistante caractéristique minimum en cisaillement de la plaque :</w:t>
      </w:r>
      <w:r>
        <w:rPr>
          <w:rStyle w:val="optioncarChar"/>
        </w:rPr>
        <w:t xml:space="preserve"> f</w:t>
      </w:r>
      <w:r>
        <w:rPr>
          <w:rStyle w:val="optioncarChar"/>
          <w:vertAlign w:val="subscript"/>
        </w:rPr>
        <w:t>v,o</w:t>
      </w:r>
      <w:r>
        <w:rPr>
          <w:rStyle w:val="optioncarChar"/>
        </w:rPr>
        <w:t xml:space="preserve"> = 97 N/mm; f</w:t>
      </w:r>
      <w:r>
        <w:rPr>
          <w:rStyle w:val="optioncarChar"/>
          <w:vertAlign w:val="subscript"/>
        </w:rPr>
        <w:t>v,90</w:t>
      </w:r>
      <w:r>
        <w:rPr>
          <w:rStyle w:val="optioncarChar"/>
        </w:rPr>
        <w:t xml:space="preserve"> = 80N/mm </w:t>
      </w:r>
      <w:r>
        <w:t>(par défaut) </w:t>
      </w:r>
      <w:r>
        <w:rPr>
          <w:rStyle w:val="optioncarChar"/>
        </w:rPr>
        <w:t>/ *** N/mm</w:t>
      </w:r>
    </w:p>
    <w:p w14:paraId="5B634902" w14:textId="77777777" w:rsidR="00DB2B68" w:rsidRDefault="00DB2B68">
      <w:pPr>
        <w:jc w:val="both"/>
      </w:pPr>
    </w:p>
    <w:p w14:paraId="0AF4A846" w14:textId="77777777" w:rsidR="00DB2B68" w:rsidRDefault="00000000">
      <w:pPr>
        <w:jc w:val="both"/>
      </w:pPr>
      <w:r>
        <w:rPr>
          <w:b/>
        </w:rPr>
        <w:t>Rigidité de l’assemblage :</w:t>
      </w:r>
    </w:p>
    <w:p w14:paraId="66E83109" w14:textId="77777777" w:rsidR="00DB2B68" w:rsidRDefault="00000000">
      <w:pPr>
        <w:jc w:val="both"/>
      </w:pPr>
      <w:r>
        <w:t>Module de glissement  k</w:t>
      </w:r>
      <w:r>
        <w:rPr>
          <w:vertAlign w:val="subscript"/>
        </w:rPr>
        <w:t>ser</w:t>
      </w:r>
      <w:r>
        <w:t xml:space="preserve"> de la plaque avec masse volumique moyenne du bois ρ</w:t>
      </w:r>
      <w:r>
        <w:rPr>
          <w:vertAlign w:val="subscript"/>
        </w:rPr>
        <w:t>m</w:t>
      </w:r>
      <w:r>
        <w:t xml:space="preserve"> = 350 kg/m³ : </w:t>
      </w:r>
      <w:r>
        <w:rPr>
          <w:rStyle w:val="optioncarChar"/>
        </w:rPr>
        <w:t>4,5 N/mm³</w:t>
      </w:r>
      <w:r>
        <w:t xml:space="preserve"> (par défaut)</w:t>
      </w:r>
      <w:r>
        <w:rPr>
          <w:rStyle w:val="optioncarChar"/>
        </w:rPr>
        <w:t> / *** MPa</w:t>
      </w:r>
      <w:r>
        <w:t> </w:t>
      </w:r>
    </w:p>
    <w:p w14:paraId="74AE1B88" w14:textId="77777777" w:rsidR="00DB2B68" w:rsidRDefault="00000000">
      <w:pPr>
        <w:jc w:val="both"/>
      </w:pPr>
      <w:r>
        <w:t>Des mesures de protection contre la corrosion sont nécessaires pour des plaques dentées.  Au minimum, un revêtement par immersion à chaud en zinc Z275 double face est prescrit. Des mesures plus importantes peuvent êtes nécessaires dans les cas suivants :</w:t>
      </w:r>
    </w:p>
    <w:p w14:paraId="56631482" w14:textId="77777777" w:rsidR="00DB2B68" w:rsidRDefault="00000000">
      <w:pPr>
        <w:pStyle w:val="Author-eListParagraph"/>
        <w:numPr>
          <w:ilvl w:val="0"/>
          <w:numId w:val="1063"/>
        </w:numPr>
      </w:pPr>
      <w:r>
        <w:t>En cas de conditions d’ambiance défavorable : classe d’emploi 3 ou plus, prévoir de l’acier inoxydable ;</w:t>
      </w:r>
    </w:p>
    <w:p w14:paraId="3216B2D8" w14:textId="77777777" w:rsidR="00DB2B68" w:rsidRDefault="00000000">
      <w:pPr>
        <w:pStyle w:val="Author-eListParagraph"/>
        <w:numPr>
          <w:ilvl w:val="0"/>
          <w:numId w:val="1063"/>
        </w:numPr>
      </w:pPr>
      <w:r>
        <w:t>En cas de présence d’essence de bois corrosives ;</w:t>
      </w:r>
    </w:p>
    <w:p w14:paraId="2BD7C65C" w14:textId="77777777" w:rsidR="00DB2B68" w:rsidRDefault="00000000">
      <w:pPr>
        <w:pStyle w:val="Author-eListParagraph"/>
        <w:numPr>
          <w:ilvl w:val="0"/>
          <w:numId w:val="1063"/>
        </w:numPr>
      </w:pPr>
      <w:r>
        <w:t>En cas d’ambiance polluée.</w:t>
      </w:r>
    </w:p>
    <w:p w14:paraId="0FE1929D" w14:textId="77777777" w:rsidR="00DB2B68" w:rsidRDefault="00000000">
      <w:pPr>
        <w:jc w:val="both"/>
      </w:pPr>
      <w:r>
        <w:t xml:space="preserve">Mesure de protection contre la corrosion : </w:t>
      </w:r>
      <w:r>
        <w:rPr>
          <w:rStyle w:val="optioncarChar"/>
        </w:rPr>
        <w:t xml:space="preserve">Z275 </w:t>
      </w:r>
      <w:r>
        <w:t>(par défaut)</w:t>
      </w:r>
      <w:r>
        <w:rPr>
          <w:rStyle w:val="optioncarChar"/>
        </w:rPr>
        <w:t xml:space="preserve"> / Z350 / ***</w:t>
      </w:r>
    </w:p>
    <w:p w14:paraId="5BC246AF" w14:textId="77777777" w:rsidR="00DB2B68" w:rsidRDefault="00000000">
      <w:pPr>
        <w:jc w:val="both"/>
      </w:pPr>
      <w:r>
        <w:t>Des mesures de protection reconnues comme étant équivalente à la mesure prescrite sont acceptées.</w:t>
      </w:r>
    </w:p>
    <w:p w14:paraId="471E8383" w14:textId="77777777" w:rsidR="00DB2B68" w:rsidRDefault="00000000">
      <w:pPr>
        <w:pStyle w:val="pheading"/>
      </w:pPr>
      <w:r>
        <w:t>EXÉCUTION / MISE EN ŒUVRE</w:t>
      </w:r>
    </w:p>
    <w:p w14:paraId="78A80D8E" w14:textId="77777777" w:rsidR="00DB2B68" w:rsidRDefault="00000000">
      <w:pPr>
        <w:pStyle w:val="pheading"/>
      </w:pPr>
      <w:r>
        <w:t>- Prescriptions générales</w:t>
      </w:r>
    </w:p>
    <w:p w14:paraId="621D000A" w14:textId="77777777" w:rsidR="00DB2B68" w:rsidRDefault="00000000">
      <w:pPr>
        <w:jc w:val="both"/>
      </w:pPr>
      <w:r>
        <w:t>Les assemblages par plaques dentées doivent comprendre des plaques dentées de même type et de même orientation positionnées sur chaque côté des éléments de bois.</w:t>
      </w:r>
    </w:p>
    <w:p w14:paraId="0D97586D" w14:textId="77777777" w:rsidR="00DB2B68" w:rsidRDefault="00000000">
      <w:pPr>
        <w:jc w:val="both"/>
      </w:pPr>
      <w:r>
        <w:t>L’installation de la plaque par presse à plateau est privilégiée. Si cela a été prévu lors du dimensionnement de l’assemblage, la mise en place par presse à rouleau est autorisée.</w:t>
      </w:r>
    </w:p>
    <w:p w14:paraId="02280A72" w14:textId="77777777" w:rsidR="00DB2B68" w:rsidRDefault="00000000">
      <w:pPr>
        <w:jc w:val="both"/>
      </w:pPr>
      <w:r>
        <w:t>Le pré enfoncement de la plaque au marteau est proscrit.</w:t>
      </w:r>
    </w:p>
    <w:p w14:paraId="55255768" w14:textId="77777777" w:rsidR="00DB2B68" w:rsidRDefault="00000000">
      <w:pPr>
        <w:jc w:val="both"/>
      </w:pPr>
      <w:r>
        <w:t>Le taux d’humidité des bois lors de l’installation de l’assemblage est au plus près de la teneur en humidité que le bois a tout au long de sa durée de vie, et n’est jamais supérieur à 22%.</w:t>
      </w:r>
    </w:p>
    <w:p w14:paraId="14972021" w14:textId="77777777" w:rsidR="00DB2B68" w:rsidRDefault="00000000">
      <w:pPr>
        <w:pStyle w:val="pheading"/>
      </w:pPr>
      <w:r>
        <w:t>MESURAGE</w:t>
      </w:r>
    </w:p>
    <w:p w14:paraId="04B85953" w14:textId="77777777" w:rsidR="00DB2B68" w:rsidRDefault="00000000">
      <w:pPr>
        <w:pStyle w:val="pheading"/>
      </w:pPr>
      <w:r>
        <w:t>- unité de mesure:</w:t>
      </w:r>
    </w:p>
    <w:p w14:paraId="2F4775A2" w14:textId="77777777" w:rsidR="00DB2B68" w:rsidRDefault="00000000">
      <w:r>
        <w:rPr>
          <w:rStyle w:val="optioncarChar"/>
        </w:rPr>
        <w:t>- </w:t>
      </w:r>
      <w:r>
        <w:t>(par défaut)</w:t>
      </w:r>
      <w:r>
        <w:rPr>
          <w:rStyle w:val="optioncarChar"/>
        </w:rPr>
        <w:t> / pc</w:t>
      </w:r>
    </w:p>
    <w:p w14:paraId="63788F55" w14:textId="77777777" w:rsidR="00DB2B68" w:rsidRDefault="00000000">
      <w:r>
        <w:rPr>
          <w:b/>
          <w:i/>
        </w:rPr>
        <w:t>(Soit par défaut)</w:t>
      </w:r>
    </w:p>
    <w:p w14:paraId="231F94A9" w14:textId="77777777" w:rsidR="00DB2B68" w:rsidRDefault="00000000">
      <w:r>
        <w:rPr>
          <w:rStyle w:val="soitChar"/>
        </w:rPr>
        <w:t>1.     –</w:t>
      </w:r>
    </w:p>
    <w:p w14:paraId="0D96D6A3" w14:textId="77777777" w:rsidR="00DB2B68" w:rsidRDefault="00000000">
      <w:r>
        <w:rPr>
          <w:b/>
          <w:i/>
        </w:rPr>
        <w:t>(Soit)</w:t>
      </w:r>
    </w:p>
    <w:p w14:paraId="6EB4EA60" w14:textId="77777777" w:rsidR="00DB2B68" w:rsidRDefault="00000000">
      <w:r>
        <w:rPr>
          <w:rStyle w:val="soitChar"/>
        </w:rPr>
        <w:t>2.3.  pc</w:t>
      </w:r>
    </w:p>
    <w:p w14:paraId="2D9069CD" w14:textId="77777777" w:rsidR="00DB2B68" w:rsidRDefault="00000000">
      <w:pPr>
        <w:pStyle w:val="pheading"/>
      </w:pPr>
      <w:r>
        <w:t>- code de mesurage:</w:t>
      </w:r>
    </w:p>
    <w:p w14:paraId="183799F1" w14:textId="77777777" w:rsidR="00DB2B68" w:rsidRDefault="00000000">
      <w:pPr>
        <w:jc w:val="both"/>
      </w:pPr>
      <w:r>
        <w:rPr>
          <w:rStyle w:val="optioncarChar"/>
        </w:rPr>
        <w:t>Compris </w:t>
      </w:r>
      <w:r>
        <w:t>(par défaut)</w:t>
      </w:r>
      <w:r>
        <w:rPr>
          <w:rStyle w:val="optioncarChar"/>
        </w:rPr>
        <w:t> / Quantité nette</w:t>
      </w:r>
    </w:p>
    <w:p w14:paraId="28197C6F" w14:textId="77777777" w:rsidR="00DB2B68" w:rsidRDefault="00000000">
      <w:pPr>
        <w:jc w:val="both"/>
      </w:pPr>
      <w:r>
        <w:rPr>
          <w:b/>
          <w:i/>
        </w:rPr>
        <w:t>(Soit par défaut)</w:t>
      </w:r>
    </w:p>
    <w:p w14:paraId="74C7658B" w14:textId="77777777" w:rsidR="00DB2B68" w:rsidRDefault="00000000">
      <w:pPr>
        <w:jc w:val="both"/>
      </w:pPr>
      <w:r>
        <w:rPr>
          <w:rStyle w:val="soitChar"/>
        </w:rPr>
        <w:t>1.     </w:t>
      </w:r>
      <w:r>
        <w:rPr>
          <w:rStyle w:val="soitChar"/>
          <w:u w:val="single"/>
        </w:rPr>
        <w:t>Compris</w:t>
      </w:r>
      <w:r>
        <w:rPr>
          <w:rStyle w:val="soitChar"/>
        </w:rPr>
        <w:t> dans l’article de référence</w:t>
      </w:r>
      <w:r>
        <w:t> </w:t>
      </w:r>
      <w:r>
        <w:rPr>
          <w:rStyle w:val="optioncarChar"/>
        </w:rPr>
        <w:t>***</w:t>
      </w:r>
    </w:p>
    <w:p w14:paraId="208F80AE" w14:textId="77777777" w:rsidR="00DB2B68" w:rsidRDefault="00000000">
      <w:pPr>
        <w:jc w:val="both"/>
      </w:pPr>
      <w:r>
        <w:rPr>
          <w:b/>
          <w:i/>
        </w:rPr>
        <w:t>(Soit)</w:t>
      </w:r>
    </w:p>
    <w:p w14:paraId="3C485E5D" w14:textId="77777777" w:rsidR="00DB2B68" w:rsidRDefault="00000000">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3F58F6BE" w14:textId="77777777" w:rsidR="00DB2B68" w:rsidRDefault="00000000">
      <w:pPr>
        <w:pStyle w:val="pheading"/>
      </w:pPr>
      <w:r>
        <w:t>- nature du marché:</w:t>
      </w:r>
    </w:p>
    <w:p w14:paraId="52FEB283" w14:textId="77777777" w:rsidR="00DB2B68" w:rsidRDefault="00000000">
      <w:r>
        <w:rPr>
          <w:rStyle w:val="optioncarChar"/>
        </w:rPr>
        <w:t>PM </w:t>
      </w:r>
      <w:r>
        <w:t>(par défaut) </w:t>
      </w:r>
      <w:r>
        <w:rPr>
          <w:rStyle w:val="optioncarChar"/>
        </w:rPr>
        <w:t>/ QF / QP</w:t>
      </w:r>
    </w:p>
    <w:p w14:paraId="10131D1D" w14:textId="77777777" w:rsidR="00DB2B68" w:rsidRDefault="00000000">
      <w:r>
        <w:rPr>
          <w:b/>
          <w:i/>
        </w:rPr>
        <w:lastRenderedPageBreak/>
        <w:t>(Soit par défaut)</w:t>
      </w:r>
    </w:p>
    <w:p w14:paraId="4850ACFD" w14:textId="77777777" w:rsidR="00DB2B68" w:rsidRDefault="00000000">
      <w:r>
        <w:rPr>
          <w:rStyle w:val="soitChar"/>
        </w:rPr>
        <w:t>1.     PM</w:t>
      </w:r>
    </w:p>
    <w:p w14:paraId="5A093C60" w14:textId="77777777" w:rsidR="00DB2B68" w:rsidRDefault="00000000">
      <w:r>
        <w:rPr>
          <w:b/>
          <w:i/>
        </w:rPr>
        <w:t>(Soit)</w:t>
      </w:r>
    </w:p>
    <w:p w14:paraId="2F5E203E" w14:textId="77777777" w:rsidR="00DB2B68" w:rsidRDefault="00000000">
      <w:r>
        <w:rPr>
          <w:rStyle w:val="soitChar"/>
        </w:rPr>
        <w:t>2.     QF</w:t>
      </w:r>
    </w:p>
    <w:p w14:paraId="4907BD8B" w14:textId="77777777" w:rsidR="00DB2B68" w:rsidRDefault="00000000">
      <w:r>
        <w:rPr>
          <w:b/>
          <w:i/>
        </w:rPr>
        <w:t>(Soit)</w:t>
      </w:r>
    </w:p>
    <w:p w14:paraId="48FF613A" w14:textId="77777777" w:rsidR="00DB2B68" w:rsidRDefault="00000000">
      <w:r>
        <w:rPr>
          <w:rStyle w:val="soitChar"/>
        </w:rPr>
        <w:t>3.     QP</w:t>
      </w:r>
    </w:p>
    <w:p w14:paraId="0841BED9" w14:textId="77777777" w:rsidR="00DB2B68" w:rsidRDefault="00000000">
      <w:pPr>
        <w:pStyle w:val="Author-eSectionHeading5Numberless"/>
      </w:pPr>
      <w:bookmarkStart w:id="1746" w:name="_Toc220496713"/>
      <w:r>
        <w:t>24.42.3 Systèmes de connexion CCTB 01.10</w:t>
      </w:r>
      <w:bookmarkEnd w:id="1746"/>
    </w:p>
    <w:p w14:paraId="5D4336F7" w14:textId="77777777" w:rsidR="00DB2B68" w:rsidRDefault="00000000">
      <w:pPr>
        <w:pStyle w:val="Author-eSectionHeading6Numberless"/>
      </w:pPr>
      <w:bookmarkStart w:id="1747" w:name="_Toc220496714"/>
      <w:r>
        <w:t>24.42.3a Systèmes de connexion - tôles minces clouées CCTB 01.07</w:t>
      </w:r>
      <w:bookmarkEnd w:id="1747"/>
    </w:p>
    <w:p w14:paraId="76A07B0B" w14:textId="77777777" w:rsidR="00DB2B68" w:rsidRDefault="00000000">
      <w:pPr>
        <w:pStyle w:val="pheading"/>
      </w:pPr>
      <w:r>
        <w:t>MESURAGE</w:t>
      </w:r>
    </w:p>
    <w:p w14:paraId="059D429F" w14:textId="77777777" w:rsidR="00DB2B68" w:rsidRDefault="00000000">
      <w:pPr>
        <w:pStyle w:val="pheading"/>
      </w:pPr>
      <w:r>
        <w:t>- unité de mesure:</w:t>
      </w:r>
    </w:p>
    <w:p w14:paraId="7D117758" w14:textId="77777777" w:rsidR="00DB2B68" w:rsidRDefault="00000000">
      <w:r>
        <w:rPr>
          <w:rStyle w:val="optioncarChar"/>
        </w:rPr>
        <w:t>- </w:t>
      </w:r>
      <w:r>
        <w:t>(par défaut) </w:t>
      </w:r>
      <w:r>
        <w:rPr>
          <w:rStyle w:val="optioncarChar"/>
        </w:rPr>
        <w:t>/ pc</w:t>
      </w:r>
    </w:p>
    <w:p w14:paraId="221C63E8" w14:textId="77777777" w:rsidR="00DB2B68" w:rsidRDefault="00000000">
      <w:r>
        <w:rPr>
          <w:b/>
          <w:i/>
        </w:rPr>
        <w:t>(Soit par défaut)</w:t>
      </w:r>
    </w:p>
    <w:p w14:paraId="3631755A" w14:textId="77777777" w:rsidR="00DB2B68" w:rsidRDefault="00000000">
      <w:r>
        <w:rPr>
          <w:rStyle w:val="soitChar"/>
        </w:rPr>
        <w:t>1.     –</w:t>
      </w:r>
    </w:p>
    <w:p w14:paraId="226FCEC5" w14:textId="77777777" w:rsidR="00DB2B68" w:rsidRDefault="00000000">
      <w:r>
        <w:rPr>
          <w:b/>
          <w:i/>
        </w:rPr>
        <w:t>(Soit)</w:t>
      </w:r>
    </w:p>
    <w:p w14:paraId="365C2393" w14:textId="77777777" w:rsidR="00DB2B68" w:rsidRDefault="00000000">
      <w:r>
        <w:rPr>
          <w:rStyle w:val="soitChar"/>
        </w:rPr>
        <w:t>2.3.  pc</w:t>
      </w:r>
    </w:p>
    <w:p w14:paraId="07CD873D" w14:textId="77777777" w:rsidR="00DB2B68" w:rsidRDefault="00000000">
      <w:pPr>
        <w:pStyle w:val="pheading"/>
      </w:pPr>
      <w:r>
        <w:t>- code de mesurage:</w:t>
      </w:r>
    </w:p>
    <w:p w14:paraId="72C9D18D" w14:textId="77777777" w:rsidR="00DB2B68" w:rsidRDefault="00000000">
      <w:r>
        <w:rPr>
          <w:rStyle w:val="optioncarChar"/>
        </w:rPr>
        <w:t>Compris</w:t>
      </w:r>
      <w:r>
        <w:t> (par défaut) </w:t>
      </w:r>
      <w:r>
        <w:rPr>
          <w:rStyle w:val="optioncarChar"/>
        </w:rPr>
        <w:t>/ Quantité nette</w:t>
      </w:r>
    </w:p>
    <w:p w14:paraId="4378F660" w14:textId="77777777" w:rsidR="00DB2B68" w:rsidRDefault="00000000">
      <w:r>
        <w:rPr>
          <w:b/>
          <w:i/>
        </w:rPr>
        <w:t>(Soit par défaut)</w:t>
      </w:r>
    </w:p>
    <w:p w14:paraId="129086F0" w14:textId="77777777" w:rsidR="00DB2B68" w:rsidRDefault="00000000">
      <w:r>
        <w:rPr>
          <w:rStyle w:val="soitChar"/>
        </w:rPr>
        <w:t>1.     </w:t>
      </w:r>
      <w:r>
        <w:rPr>
          <w:rStyle w:val="soitChar"/>
          <w:u w:val="single"/>
        </w:rPr>
        <w:t>Compris</w:t>
      </w:r>
      <w:r>
        <w:rPr>
          <w:rStyle w:val="soitChar"/>
        </w:rPr>
        <w:t> dans l’article de référence</w:t>
      </w:r>
      <w:r>
        <w:t>  </w:t>
      </w:r>
      <w:r>
        <w:rPr>
          <w:rStyle w:val="optioncarChar"/>
        </w:rPr>
        <w:t>***</w:t>
      </w:r>
    </w:p>
    <w:p w14:paraId="4D95524B" w14:textId="77777777" w:rsidR="00DB2B68" w:rsidRDefault="00000000">
      <w:r>
        <w:rPr>
          <w:b/>
          <w:i/>
        </w:rPr>
        <w:t>(Soit)</w:t>
      </w:r>
    </w:p>
    <w:p w14:paraId="7482EE6B"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5E0183A4" w14:textId="77777777" w:rsidR="00DB2B68" w:rsidRDefault="00000000">
      <w:pPr>
        <w:pStyle w:val="pheading"/>
      </w:pPr>
      <w:r>
        <w:t>- nature du marché:</w:t>
      </w:r>
    </w:p>
    <w:p w14:paraId="7B2425AF" w14:textId="77777777" w:rsidR="00DB2B68" w:rsidRDefault="00000000">
      <w:r>
        <w:rPr>
          <w:rStyle w:val="optioncarChar"/>
        </w:rPr>
        <w:t>PM </w:t>
      </w:r>
      <w:r>
        <w:t>(par défaut) </w:t>
      </w:r>
      <w:r>
        <w:rPr>
          <w:rStyle w:val="optioncarChar"/>
        </w:rPr>
        <w:t>/ QF / QP</w:t>
      </w:r>
    </w:p>
    <w:p w14:paraId="34C69520" w14:textId="77777777" w:rsidR="00DB2B68" w:rsidRDefault="00000000">
      <w:r>
        <w:rPr>
          <w:b/>
          <w:i/>
        </w:rPr>
        <w:t>(Soit par défaut)</w:t>
      </w:r>
    </w:p>
    <w:p w14:paraId="4153AB7D" w14:textId="77777777" w:rsidR="00DB2B68" w:rsidRDefault="00000000">
      <w:r>
        <w:rPr>
          <w:rStyle w:val="soitChar"/>
        </w:rPr>
        <w:t>1.     PM</w:t>
      </w:r>
    </w:p>
    <w:p w14:paraId="41E6C376" w14:textId="77777777" w:rsidR="00DB2B68" w:rsidRDefault="00000000">
      <w:r>
        <w:rPr>
          <w:b/>
          <w:i/>
        </w:rPr>
        <w:t>(Soit)</w:t>
      </w:r>
    </w:p>
    <w:p w14:paraId="4CE552AB" w14:textId="77777777" w:rsidR="00DB2B68" w:rsidRDefault="00000000">
      <w:r>
        <w:rPr>
          <w:rStyle w:val="soitChar"/>
        </w:rPr>
        <w:t>2.     QF</w:t>
      </w:r>
    </w:p>
    <w:p w14:paraId="14A14AEE" w14:textId="77777777" w:rsidR="00DB2B68" w:rsidRDefault="00000000">
      <w:r>
        <w:rPr>
          <w:b/>
          <w:i/>
        </w:rPr>
        <w:t>(Soit)</w:t>
      </w:r>
    </w:p>
    <w:p w14:paraId="0AC45A04" w14:textId="77777777" w:rsidR="00DB2B68" w:rsidRDefault="00000000">
      <w:r>
        <w:rPr>
          <w:rStyle w:val="soitChar"/>
        </w:rPr>
        <w:t>3.     QP</w:t>
      </w:r>
    </w:p>
    <w:p w14:paraId="29BDFEDB" w14:textId="77777777" w:rsidR="00DB2B68" w:rsidRDefault="00000000">
      <w:pPr>
        <w:pStyle w:val="Author-eSectionHeading6Numberless"/>
      </w:pPr>
      <w:bookmarkStart w:id="1748" w:name="_Toc220496715"/>
      <w:r>
        <w:t>24.42.3b Systèmes de connexion - ferrures standardisées CCTB 01.11</w:t>
      </w:r>
      <w:bookmarkEnd w:id="1748"/>
    </w:p>
    <w:p w14:paraId="78E6E242" w14:textId="77777777" w:rsidR="00DB2B68" w:rsidRDefault="00000000">
      <w:pPr>
        <w:pStyle w:val="pheading"/>
      </w:pPr>
      <w:bookmarkStart w:id="1749" w:name="615"/>
      <w:bookmarkEnd w:id="1749"/>
      <w:r>
        <w:t>DESCRIPTION</w:t>
      </w:r>
    </w:p>
    <w:p w14:paraId="4C8301DA" w14:textId="77777777" w:rsidR="00DB2B68" w:rsidRDefault="00000000">
      <w:pPr>
        <w:pStyle w:val="pheading"/>
      </w:pPr>
      <w:r>
        <w:t>- Définition / Comprend</w:t>
      </w:r>
    </w:p>
    <w:p w14:paraId="58EAD60B" w14:textId="77777777" w:rsidR="00DB2B68" w:rsidRDefault="00000000">
      <w:pPr>
        <w:jc w:val="both"/>
      </w:pPr>
      <w:r>
        <w:t>Il s’agit d’éléments métalliques industrialisés fabriqués à partir de tôle pliée ou emboutie. Les ferrures standardisées regroupent les boitiers, les étriers, les sabots, les équerres. L’épaisseur des tôles entrant dans la fabrication des ferrures standardisées varie de 1 à 4mm.</w:t>
      </w:r>
    </w:p>
    <w:p w14:paraId="442259A2" w14:textId="77777777" w:rsidR="00DB2B68" w:rsidRDefault="00000000">
      <w:pPr>
        <w:jc w:val="both"/>
      </w:pPr>
      <w:r>
        <w:rPr>
          <w:b/>
        </w:rPr>
        <w:t>Remarques importantes</w:t>
      </w:r>
    </w:p>
    <w:p w14:paraId="74D57C6E" w14:textId="77777777" w:rsidR="00DB2B68" w:rsidRDefault="00000000">
      <w:pPr>
        <w:jc w:val="both"/>
      </w:pPr>
      <w:r>
        <w:t>Ces éléments d’assemblages peuvent être porteurs du marquage CE à titre individuel via l’obtention d’une évaluation technique européenne (ETE) délivrée par un organisme d’agrément européen.</w:t>
      </w:r>
    </w:p>
    <w:p w14:paraId="3D138D55" w14:textId="77777777" w:rsidR="00DB2B68" w:rsidRDefault="00000000">
      <w:pPr>
        <w:jc w:val="both"/>
      </w:pPr>
      <w:r>
        <w:lastRenderedPageBreak/>
        <w:t>L’évaluation technique européenne est donnée sur base d’une déclaration de performance qui se base elle-même sur l’[ETAG 015].</w:t>
      </w:r>
    </w:p>
    <w:p w14:paraId="3221DC02" w14:textId="77777777" w:rsidR="00DB2B68" w:rsidRDefault="00000000">
      <w:pPr>
        <w:pStyle w:val="pheading"/>
      </w:pPr>
      <w:r>
        <w:t>MATÉRIAUX</w:t>
      </w:r>
    </w:p>
    <w:p w14:paraId="5802024E" w14:textId="77777777" w:rsidR="00DB2B68" w:rsidRDefault="00000000">
      <w:pPr>
        <w:pStyle w:val="pheading"/>
      </w:pPr>
      <w:r>
        <w:t>- Caractéristiques générales</w:t>
      </w:r>
    </w:p>
    <w:p w14:paraId="601F5269" w14:textId="77777777" w:rsidR="00DB2B68" w:rsidRDefault="00000000">
      <w:pPr>
        <w:jc w:val="both"/>
      </w:pPr>
      <w:r>
        <w:t xml:space="preserve">Matériau constitutif de la tôle : </w:t>
      </w:r>
      <w:r>
        <w:rPr>
          <w:rStyle w:val="optioncarChar"/>
        </w:rPr>
        <w:t>Acier galvanisé</w:t>
      </w:r>
      <w:r>
        <w:t xml:space="preserve"> (par défaut) </w:t>
      </w:r>
      <w:r>
        <w:rPr>
          <w:rStyle w:val="optioncarChar"/>
        </w:rPr>
        <w:t>/ Acier inoxydable / Aluminium / ***</w:t>
      </w:r>
    </w:p>
    <w:p w14:paraId="2CA96B73" w14:textId="77777777" w:rsidR="00DB2B68" w:rsidRDefault="00000000">
      <w:pPr>
        <w:ind w:left="567"/>
        <w:jc w:val="both"/>
      </w:pPr>
      <w:r>
        <w:rPr>
          <w:b/>
          <w:i/>
        </w:rPr>
        <w:t>(Soit par défaut)</w:t>
      </w:r>
    </w:p>
    <w:p w14:paraId="7A8BE46E" w14:textId="77777777" w:rsidR="00DB2B68" w:rsidRDefault="00000000">
      <w:pPr>
        <w:ind w:left="567"/>
        <w:jc w:val="both"/>
      </w:pPr>
      <w:r>
        <w:rPr>
          <w:rStyle w:val="soitChar"/>
          <w:u w:val="single"/>
        </w:rPr>
        <w:t>Acier galvanisé</w:t>
      </w:r>
    </w:p>
    <w:p w14:paraId="63C73F01" w14:textId="77777777" w:rsidR="00DB2B68" w:rsidRDefault="00000000">
      <w:pPr>
        <w:ind w:left="567"/>
        <w:jc w:val="both"/>
      </w:pPr>
      <w:r>
        <w:rPr>
          <w:rStyle w:val="soitChar"/>
        </w:rPr>
        <w:t xml:space="preserve">Nuance d’acier selon [NBN EN 10346] : </w:t>
      </w:r>
      <w:r>
        <w:rPr>
          <w:rStyle w:val="optioncarChar"/>
        </w:rPr>
        <w:t xml:space="preserve">S235 </w:t>
      </w:r>
      <w:r>
        <w:t>(par défaut) /</w:t>
      </w:r>
      <w:r>
        <w:rPr>
          <w:rStyle w:val="optioncarChar"/>
        </w:rPr>
        <w:t xml:space="preserve"> S355 / ***</w:t>
      </w:r>
    </w:p>
    <w:p w14:paraId="6DC8EAB1" w14:textId="77777777" w:rsidR="00DB2B68" w:rsidRDefault="00000000">
      <w:pPr>
        <w:ind w:left="567"/>
        <w:jc w:val="both"/>
      </w:pPr>
      <w:r>
        <w:rPr>
          <w:rStyle w:val="soitChar"/>
        </w:rPr>
        <w:t xml:space="preserve">Galvanisation à chaud : </w:t>
      </w:r>
      <w:r>
        <w:rPr>
          <w:rStyle w:val="optioncarChar"/>
        </w:rPr>
        <w:t xml:space="preserve">Z275 </w:t>
      </w:r>
      <w:r>
        <w:t xml:space="preserve">(par défaut) </w:t>
      </w:r>
      <w:r>
        <w:rPr>
          <w:rStyle w:val="optioncarChar"/>
        </w:rPr>
        <w:t>/ Z350 / ***</w:t>
      </w:r>
    </w:p>
    <w:p w14:paraId="4FE086A1" w14:textId="77777777" w:rsidR="00DB2B68" w:rsidRDefault="00000000">
      <w:pPr>
        <w:ind w:left="567"/>
        <w:jc w:val="both"/>
      </w:pPr>
      <w:r>
        <w:rPr>
          <w:rStyle w:val="soitChar"/>
        </w:rPr>
        <w:t>Cette mesure peut être remplacée par une mesure présentant un degré de protection contre la corrosion similaire ou supérieure (par exemple de l’acier métallisé).</w:t>
      </w:r>
    </w:p>
    <w:p w14:paraId="7399B1EA" w14:textId="77777777" w:rsidR="00DB2B68" w:rsidRDefault="00000000">
      <w:pPr>
        <w:ind w:left="567"/>
        <w:jc w:val="both"/>
      </w:pPr>
      <w:r>
        <w:rPr>
          <w:b/>
          <w:i/>
        </w:rPr>
        <w:t>(Soit)</w:t>
      </w:r>
    </w:p>
    <w:p w14:paraId="6A4B5FA2" w14:textId="77777777" w:rsidR="00DB2B68" w:rsidRDefault="00000000">
      <w:pPr>
        <w:ind w:left="567"/>
        <w:jc w:val="both"/>
      </w:pPr>
      <w:r>
        <w:rPr>
          <w:rStyle w:val="soitChar"/>
          <w:u w:val="single"/>
        </w:rPr>
        <w:t>Acier inoxydable</w:t>
      </w:r>
    </w:p>
    <w:p w14:paraId="68A0ACFB" w14:textId="77777777" w:rsidR="00DB2B68" w:rsidRDefault="00000000">
      <w:pPr>
        <w:ind w:left="567"/>
        <w:jc w:val="both"/>
      </w:pPr>
      <w:r>
        <w:rPr>
          <w:rStyle w:val="soitChar"/>
        </w:rPr>
        <w:t xml:space="preserve">Nuance d’acier inoxydable selon [NBN EN 10088-2] : </w:t>
      </w:r>
      <w:r>
        <w:rPr>
          <w:rStyle w:val="optioncarChar"/>
        </w:rPr>
        <w:t xml:space="preserve">1.4307 / 1.4404 </w:t>
      </w:r>
      <w:r>
        <w:t xml:space="preserve">(par défaut) </w:t>
      </w:r>
      <w:r>
        <w:rPr>
          <w:rStyle w:val="optioncarChar"/>
        </w:rPr>
        <w:t>/ ***</w:t>
      </w:r>
    </w:p>
    <w:p w14:paraId="7718FEEF" w14:textId="77777777" w:rsidR="00DB2B68" w:rsidRDefault="00000000">
      <w:pPr>
        <w:ind w:left="567"/>
        <w:jc w:val="both"/>
      </w:pPr>
      <w:r>
        <w:rPr>
          <w:rStyle w:val="soitChar"/>
        </w:rPr>
        <w:t>La dénomination 1.4307 est équivalente à X2CrNi18-09, à AISI 304L et est un inox de classe A2.</w:t>
      </w:r>
    </w:p>
    <w:p w14:paraId="14F90A4B" w14:textId="77777777" w:rsidR="00DB2B68" w:rsidRDefault="00000000">
      <w:pPr>
        <w:ind w:left="567"/>
        <w:jc w:val="both"/>
      </w:pPr>
      <w:r>
        <w:rPr>
          <w:rStyle w:val="soitChar"/>
        </w:rPr>
        <w:t>La dénomination 1.4404 est équivalente à X2CrNiMo17-12-2, à AISI 316L et est un inox de classe A4.</w:t>
      </w:r>
    </w:p>
    <w:p w14:paraId="310C8F47" w14:textId="77777777" w:rsidR="00DB2B68" w:rsidRDefault="00000000">
      <w:pPr>
        <w:ind w:left="567"/>
        <w:jc w:val="both"/>
      </w:pPr>
      <w:r>
        <w:rPr>
          <w:b/>
          <w:i/>
        </w:rPr>
        <w:t>(Soit)</w:t>
      </w:r>
    </w:p>
    <w:p w14:paraId="49E15AD4" w14:textId="77777777" w:rsidR="00DB2B68" w:rsidRDefault="00000000">
      <w:pPr>
        <w:ind w:left="567"/>
        <w:jc w:val="both"/>
      </w:pPr>
      <w:r>
        <w:rPr>
          <w:rStyle w:val="soitChar"/>
          <w:u w:val="single"/>
        </w:rPr>
        <w:t>Aluminium</w:t>
      </w:r>
    </w:p>
    <w:p w14:paraId="65664E28" w14:textId="77777777" w:rsidR="00DB2B68" w:rsidRDefault="00000000">
      <w:pPr>
        <w:ind w:left="567"/>
        <w:jc w:val="both"/>
      </w:pPr>
      <w:r>
        <w:rPr>
          <w:rStyle w:val="soitChar"/>
        </w:rPr>
        <w:t xml:space="preserve">Nuance d’aluminium selon [NBN EN 573-1] : </w:t>
      </w:r>
      <w:r>
        <w:rPr>
          <w:rStyle w:val="optioncarChar"/>
        </w:rPr>
        <w:t xml:space="preserve">EN AW-6xxx </w:t>
      </w:r>
      <w:r>
        <w:t>(par défaut)</w:t>
      </w:r>
      <w:r>
        <w:rPr>
          <w:rStyle w:val="optioncarChar"/>
        </w:rPr>
        <w:t xml:space="preserve"> / ***</w:t>
      </w:r>
    </w:p>
    <w:p w14:paraId="20D137E3" w14:textId="77777777" w:rsidR="00DB2B68" w:rsidRDefault="00000000">
      <w:pPr>
        <w:ind w:left="567"/>
        <w:jc w:val="both"/>
      </w:pPr>
      <w:r>
        <w:rPr>
          <w:b/>
          <w:i/>
        </w:rPr>
        <w:t>(Soit)</w:t>
      </w:r>
    </w:p>
    <w:p w14:paraId="1559D3C3" w14:textId="77777777" w:rsidR="00DB2B68" w:rsidRDefault="00000000">
      <w:pPr>
        <w:ind w:left="567"/>
        <w:jc w:val="both"/>
      </w:pPr>
      <w:r>
        <w:rPr>
          <w:rStyle w:val="optioncarChar"/>
        </w:rPr>
        <w:t>***</w:t>
      </w:r>
    </w:p>
    <w:p w14:paraId="321DA094" w14:textId="77777777" w:rsidR="00DB2B68" w:rsidRDefault="00000000">
      <w:pPr>
        <w:jc w:val="both"/>
      </w:pPr>
      <w:r>
        <w:t> </w:t>
      </w:r>
    </w:p>
    <w:p w14:paraId="35A62535" w14:textId="77777777" w:rsidR="00DB2B68" w:rsidRDefault="00000000">
      <w:pPr>
        <w:jc w:val="both"/>
      </w:pPr>
      <w:r>
        <w:t xml:space="preserve">Épaisseur de tôle : </w:t>
      </w:r>
      <w:r>
        <w:rPr>
          <w:rStyle w:val="optioncarChar"/>
        </w:rPr>
        <w:t xml:space="preserve">1mm </w:t>
      </w:r>
      <w:r>
        <w:t>(par défaut) </w:t>
      </w:r>
      <w:r>
        <w:rPr>
          <w:rStyle w:val="optioncarChar"/>
        </w:rPr>
        <w:t>/ 1,5 mm / 2mm / 2,5mm / 3mm / 4mm / ***</w:t>
      </w:r>
    </w:p>
    <w:p w14:paraId="41EE3B1E" w14:textId="77777777" w:rsidR="00DB2B68" w:rsidRDefault="00000000">
      <w:pPr>
        <w:jc w:val="both"/>
      </w:pPr>
      <w:r>
        <w:t xml:space="preserve">Sollicitations auxquels la ferrure est soumise : </w:t>
      </w:r>
      <w:r>
        <w:rPr>
          <w:rStyle w:val="optioncarChar"/>
        </w:rPr>
        <w:t>voir plan</w:t>
      </w:r>
      <w:r>
        <w:t> (par défaut)</w:t>
      </w:r>
      <w:r>
        <w:rPr>
          <w:rStyle w:val="optioncarChar"/>
        </w:rPr>
        <w:t> / ***</w:t>
      </w:r>
    </w:p>
    <w:p w14:paraId="6B5ED812" w14:textId="77777777" w:rsidR="00DB2B68" w:rsidRDefault="00000000">
      <w:pPr>
        <w:jc w:val="both"/>
      </w:pPr>
      <w:r>
        <w:t>Classe de réaction au feu A1.</w:t>
      </w:r>
    </w:p>
    <w:p w14:paraId="30941324" w14:textId="77777777" w:rsidR="00DB2B68" w:rsidRDefault="00000000">
      <w:pPr>
        <w:jc w:val="both"/>
      </w:pPr>
      <w:r>
        <w:t>Une résistance au feu est obtenue soit par l’épaisseur de la tôle, soit par protection de celle-ci. La validation de la solution est conforme aux solutions types développées dans la norme [NBN EN 1995-1-2] ou validées suivant les procédures d’essais décrites dans la [NBN EN 13501-2].</w:t>
      </w:r>
    </w:p>
    <w:p w14:paraId="3BAF156F" w14:textId="77777777" w:rsidR="00DB2B68" w:rsidRDefault="00000000">
      <w:pPr>
        <w:pStyle w:val="pheading"/>
      </w:pPr>
      <w:r>
        <w:t>EXÉCUTION / MISE EN ŒUVRE</w:t>
      </w:r>
    </w:p>
    <w:p w14:paraId="46D6167F" w14:textId="77777777" w:rsidR="00DB2B68" w:rsidRDefault="00000000">
      <w:pPr>
        <w:pStyle w:val="pheading"/>
      </w:pPr>
      <w:r>
        <w:t>- Prescriptions générales</w:t>
      </w:r>
    </w:p>
    <w:p w14:paraId="1E29D171" w14:textId="77777777" w:rsidR="00DB2B68" w:rsidRDefault="00000000">
      <w:pPr>
        <w:jc w:val="both"/>
      </w:pPr>
      <w:r>
        <w:t>Les ferrures standardisées sont mises en place soit en atelier, soit sur chantier au moyen de clous annelés ou torsadés ou de vis.</w:t>
      </w:r>
    </w:p>
    <w:p w14:paraId="4554A495" w14:textId="77777777" w:rsidR="00DB2B68" w:rsidRDefault="00000000">
      <w:pPr>
        <w:jc w:val="both"/>
      </w:pPr>
      <w:r>
        <w:t>Les prescriptions du fabricant sont respectées.</w:t>
      </w:r>
    </w:p>
    <w:p w14:paraId="5B3ABB5F" w14:textId="77777777" w:rsidR="00DB2B68" w:rsidRDefault="00000000">
      <w:pPr>
        <w:pStyle w:val="pheading"/>
      </w:pPr>
      <w:r>
        <w:t>MESURAGE</w:t>
      </w:r>
    </w:p>
    <w:p w14:paraId="77332425" w14:textId="77777777" w:rsidR="00DB2B68" w:rsidRDefault="00000000">
      <w:r>
        <w:rPr>
          <w:rStyle w:val="optioncarChar"/>
        </w:rPr>
        <w:t>- </w:t>
      </w:r>
      <w:r>
        <w:t>(par défaut) </w:t>
      </w:r>
      <w:r>
        <w:rPr>
          <w:rStyle w:val="optioncarChar"/>
        </w:rPr>
        <w:t>/ pc</w:t>
      </w:r>
    </w:p>
    <w:p w14:paraId="7FFE8A36" w14:textId="77777777" w:rsidR="00DB2B68" w:rsidRDefault="00000000">
      <w:r>
        <w:rPr>
          <w:b/>
          <w:i/>
        </w:rPr>
        <w:t>(Soit par défaut)</w:t>
      </w:r>
    </w:p>
    <w:p w14:paraId="630933AC" w14:textId="77777777" w:rsidR="00DB2B68" w:rsidRDefault="00000000">
      <w:r>
        <w:rPr>
          <w:rStyle w:val="soitChar"/>
        </w:rPr>
        <w:t>1.     –</w:t>
      </w:r>
    </w:p>
    <w:p w14:paraId="731049A3" w14:textId="77777777" w:rsidR="00DB2B68" w:rsidRDefault="00000000">
      <w:r>
        <w:rPr>
          <w:b/>
          <w:i/>
        </w:rPr>
        <w:t>(Soit)</w:t>
      </w:r>
    </w:p>
    <w:p w14:paraId="52E5F198" w14:textId="77777777" w:rsidR="00DB2B68" w:rsidRDefault="00000000">
      <w:r>
        <w:rPr>
          <w:rStyle w:val="soitChar"/>
        </w:rPr>
        <w:t>2.3.  pc</w:t>
      </w:r>
    </w:p>
    <w:p w14:paraId="5A7225F7" w14:textId="77777777" w:rsidR="00DB2B68" w:rsidRDefault="00000000">
      <w:pPr>
        <w:pStyle w:val="pheading"/>
      </w:pPr>
      <w:r>
        <w:lastRenderedPageBreak/>
        <w:t>- unité de mesure:</w:t>
      </w:r>
    </w:p>
    <w:p w14:paraId="68275516" w14:textId="77777777" w:rsidR="00DB2B68" w:rsidRDefault="00000000">
      <w:r>
        <w:rPr>
          <w:rStyle w:val="optioncarChar"/>
        </w:rPr>
        <w:t>Compris </w:t>
      </w:r>
      <w:r>
        <w:t>(par défaut) </w:t>
      </w:r>
      <w:r>
        <w:rPr>
          <w:rStyle w:val="optioncarChar"/>
        </w:rPr>
        <w:t>/ Quantité nette</w:t>
      </w:r>
    </w:p>
    <w:p w14:paraId="47F81D76" w14:textId="77777777" w:rsidR="00DB2B68" w:rsidRDefault="00000000">
      <w:r>
        <w:rPr>
          <w:b/>
          <w:i/>
        </w:rPr>
        <w:t>(Soit par défaut)</w:t>
      </w:r>
    </w:p>
    <w:p w14:paraId="148F03FF" w14:textId="77777777" w:rsidR="00DB2B68" w:rsidRDefault="00000000">
      <w:r>
        <w:rPr>
          <w:rStyle w:val="soitChar"/>
        </w:rPr>
        <w:t>1.    </w:t>
      </w:r>
      <w:r>
        <w:rPr>
          <w:rStyle w:val="soitChar"/>
          <w:u w:val="single"/>
        </w:rPr>
        <w:t> Compris </w:t>
      </w:r>
      <w:r>
        <w:rPr>
          <w:rStyle w:val="soitChar"/>
        </w:rPr>
        <w:t>dans l’article de référence </w:t>
      </w:r>
      <w:r>
        <w:rPr>
          <w:rStyle w:val="optioncarChar"/>
        </w:rPr>
        <w:t> ***</w:t>
      </w:r>
    </w:p>
    <w:p w14:paraId="4D991618" w14:textId="77777777" w:rsidR="00DB2B68" w:rsidRDefault="00000000">
      <w:r>
        <w:rPr>
          <w:b/>
          <w:i/>
        </w:rPr>
        <w:t>(Soit)</w:t>
      </w:r>
    </w:p>
    <w:p w14:paraId="04F16300"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3B6FA708" w14:textId="77777777" w:rsidR="00DB2B68" w:rsidRDefault="00000000">
      <w:pPr>
        <w:pStyle w:val="pheading"/>
      </w:pPr>
      <w:r>
        <w:t>- code de mesurage:</w:t>
      </w:r>
    </w:p>
    <w:p w14:paraId="4567A1F1" w14:textId="77777777" w:rsidR="00DB2B68" w:rsidRDefault="00000000">
      <w:r>
        <w:rPr>
          <w:rStyle w:val="optioncarChar"/>
        </w:rPr>
        <w:t>PM </w:t>
      </w:r>
      <w:r>
        <w:t>(par défaut) </w:t>
      </w:r>
      <w:r>
        <w:rPr>
          <w:rStyle w:val="optioncarChar"/>
        </w:rPr>
        <w:t>/ QF / QP</w:t>
      </w:r>
    </w:p>
    <w:p w14:paraId="33BC71B2" w14:textId="77777777" w:rsidR="00DB2B68" w:rsidRDefault="00000000">
      <w:r>
        <w:rPr>
          <w:b/>
          <w:i/>
        </w:rPr>
        <w:t>(Soit par défaut)</w:t>
      </w:r>
    </w:p>
    <w:p w14:paraId="5F6276A7" w14:textId="77777777" w:rsidR="00DB2B68" w:rsidRDefault="00000000">
      <w:r>
        <w:rPr>
          <w:rStyle w:val="soitChar"/>
        </w:rPr>
        <w:t>1.     PM</w:t>
      </w:r>
    </w:p>
    <w:p w14:paraId="5F6EDF53" w14:textId="77777777" w:rsidR="00DB2B68" w:rsidRDefault="00000000">
      <w:r>
        <w:rPr>
          <w:b/>
          <w:i/>
        </w:rPr>
        <w:t>(Soit)</w:t>
      </w:r>
    </w:p>
    <w:p w14:paraId="3B7A5A41" w14:textId="77777777" w:rsidR="00DB2B68" w:rsidRDefault="00000000">
      <w:r>
        <w:rPr>
          <w:rStyle w:val="soitChar"/>
        </w:rPr>
        <w:t>2.     QF</w:t>
      </w:r>
    </w:p>
    <w:p w14:paraId="5FE5470E" w14:textId="77777777" w:rsidR="00DB2B68" w:rsidRDefault="00000000">
      <w:r>
        <w:rPr>
          <w:b/>
          <w:i/>
        </w:rPr>
        <w:t>(Soit)</w:t>
      </w:r>
    </w:p>
    <w:p w14:paraId="79E3BCF3" w14:textId="77777777" w:rsidR="00DB2B68" w:rsidRDefault="00000000">
      <w:r>
        <w:rPr>
          <w:rStyle w:val="soitChar"/>
        </w:rPr>
        <w:t>3.     QP</w:t>
      </w:r>
    </w:p>
    <w:p w14:paraId="30D4A074" w14:textId="77777777" w:rsidR="00DB2B68" w:rsidRDefault="00000000">
      <w:pPr>
        <w:pStyle w:val="Author-eSectionHeading6Numberless"/>
      </w:pPr>
      <w:bookmarkStart w:id="1750" w:name="_Toc220496716"/>
      <w:r>
        <w:t>24.42.3c Systèmes de connexion - ferrures mécano-soudées CCTB 01.11</w:t>
      </w:r>
      <w:bookmarkEnd w:id="1750"/>
    </w:p>
    <w:p w14:paraId="681C4473" w14:textId="77777777" w:rsidR="00DB2B68" w:rsidRDefault="00000000">
      <w:pPr>
        <w:pStyle w:val="pheading"/>
      </w:pPr>
      <w:bookmarkStart w:id="1751" w:name="616"/>
      <w:bookmarkEnd w:id="1751"/>
      <w:r>
        <w:t>DESCRIPTION</w:t>
      </w:r>
    </w:p>
    <w:p w14:paraId="1F7AE677" w14:textId="77777777" w:rsidR="00DB2B68" w:rsidRDefault="00000000">
      <w:pPr>
        <w:pStyle w:val="pheading"/>
      </w:pPr>
      <w:r>
        <w:t>- Définition / Comprend</w:t>
      </w:r>
    </w:p>
    <w:p w14:paraId="48E83248" w14:textId="77777777" w:rsidR="00DB2B68" w:rsidRDefault="00000000">
      <w:pPr>
        <w:jc w:val="both"/>
      </w:pPr>
      <w:r>
        <w:t>Il s’agit de ferrures réalisées sur mesure. Ces ferrures peuvent être composées d’une pièce ou de plusieurs pièces soudées, dans le même plan ou pas.</w:t>
      </w:r>
    </w:p>
    <w:p w14:paraId="0EDDBFD6" w14:textId="77777777" w:rsidR="00DB2B68" w:rsidRDefault="00000000">
      <w:pPr>
        <w:jc w:val="both"/>
      </w:pPr>
      <w:r>
        <w:t>Sauf mention contraire au cahier spécial des charges, le travail comprend notamment :</w:t>
      </w:r>
    </w:p>
    <w:p w14:paraId="6C1539C0" w14:textId="77777777" w:rsidR="00DB2B68" w:rsidRDefault="00000000">
      <w:pPr>
        <w:pStyle w:val="Author-eListParagraph"/>
        <w:numPr>
          <w:ilvl w:val="0"/>
          <w:numId w:val="1064"/>
        </w:numPr>
        <w:jc w:val="both"/>
      </w:pPr>
      <w:r>
        <w:t>Les études, plans, note de calculs, lorsqu’ils sont non fournis dans le dossier d’adjudication ;</w:t>
      </w:r>
    </w:p>
    <w:p w14:paraId="05555FC2" w14:textId="77777777" w:rsidR="00DB2B68" w:rsidRDefault="00000000">
      <w:pPr>
        <w:pStyle w:val="Author-eListParagraph"/>
        <w:numPr>
          <w:ilvl w:val="0"/>
          <w:numId w:val="1064"/>
        </w:numPr>
        <w:jc w:val="both"/>
      </w:pPr>
      <w:r>
        <w:t>La fourniture du matériau composant la ferrure ;</w:t>
      </w:r>
    </w:p>
    <w:p w14:paraId="37474342" w14:textId="77777777" w:rsidR="00DB2B68" w:rsidRDefault="00000000">
      <w:pPr>
        <w:pStyle w:val="Author-eListParagraph"/>
        <w:numPr>
          <w:ilvl w:val="0"/>
          <w:numId w:val="1064"/>
        </w:numPr>
        <w:jc w:val="both"/>
      </w:pPr>
      <w:r>
        <w:t>Les découpes, soudures, pliages, emboutissages, ou tout autres opérations nécessaires pour obtenir la pièce finale ;</w:t>
      </w:r>
    </w:p>
    <w:p w14:paraId="43EC1424" w14:textId="77777777" w:rsidR="00DB2B68" w:rsidRDefault="00000000">
      <w:pPr>
        <w:pStyle w:val="Author-eListParagraph"/>
        <w:numPr>
          <w:ilvl w:val="0"/>
          <w:numId w:val="1064"/>
        </w:numPr>
        <w:jc w:val="both"/>
      </w:pPr>
      <w:r>
        <w:t>Le conditionnement, la livraison et la manutention de la ferrure sur chantier ;</w:t>
      </w:r>
    </w:p>
    <w:p w14:paraId="52CD88C3" w14:textId="77777777" w:rsidR="00DB2B68" w:rsidRDefault="00000000">
      <w:pPr>
        <w:pStyle w:val="Author-eListParagraph"/>
        <w:numPr>
          <w:ilvl w:val="0"/>
          <w:numId w:val="1064"/>
        </w:numPr>
        <w:jc w:val="both"/>
      </w:pPr>
      <w:r>
        <w:t>Eventuellement, le stockage sur chantier dans des conditions qui n’altèrent pas les performances de la pièce ;</w:t>
      </w:r>
    </w:p>
    <w:p w14:paraId="320478F5" w14:textId="77777777" w:rsidR="00DB2B68" w:rsidRDefault="00000000">
      <w:pPr>
        <w:pStyle w:val="Author-eListParagraph"/>
        <w:numPr>
          <w:ilvl w:val="0"/>
          <w:numId w:val="1064"/>
        </w:numPr>
        <w:jc w:val="both"/>
      </w:pPr>
      <w:r>
        <w:t>La mise en œuvre de la pièce.</w:t>
      </w:r>
    </w:p>
    <w:p w14:paraId="70A119DB" w14:textId="77777777" w:rsidR="00DB2B68" w:rsidRDefault="00000000">
      <w:pPr>
        <w:pStyle w:val="pheading"/>
      </w:pPr>
      <w:r>
        <w:t>MATÉRIAUX</w:t>
      </w:r>
    </w:p>
    <w:p w14:paraId="6F69D201" w14:textId="77777777" w:rsidR="00DB2B68" w:rsidRDefault="00000000">
      <w:pPr>
        <w:pStyle w:val="pheading"/>
      </w:pPr>
      <w:r>
        <w:t>- Caractéristiques générales</w:t>
      </w:r>
    </w:p>
    <w:p w14:paraId="49AA5C7C" w14:textId="77777777" w:rsidR="00DB2B68" w:rsidRDefault="00000000">
      <w:pPr>
        <w:jc w:val="both"/>
      </w:pPr>
      <w:r>
        <w:t>Matériau constitutif de la tôle :</w:t>
      </w:r>
      <w:r>
        <w:rPr>
          <w:rStyle w:val="optioncarChar"/>
        </w:rPr>
        <w:t xml:space="preserve"> Acier au carbone </w:t>
      </w:r>
      <w:r>
        <w:t xml:space="preserve">(par défaut) </w:t>
      </w:r>
      <w:r>
        <w:rPr>
          <w:rStyle w:val="optioncarChar"/>
        </w:rPr>
        <w:t> / Acier galvanisé / Acier inoxydable / Aluminium / ***</w:t>
      </w:r>
    </w:p>
    <w:p w14:paraId="27AADF15" w14:textId="77777777" w:rsidR="00DB2B68" w:rsidRDefault="00000000">
      <w:pPr>
        <w:ind w:left="567"/>
        <w:jc w:val="both"/>
      </w:pPr>
      <w:r>
        <w:rPr>
          <w:b/>
          <w:i/>
        </w:rPr>
        <w:t>(Soit par défaut)</w:t>
      </w:r>
    </w:p>
    <w:p w14:paraId="613D00E5" w14:textId="77777777" w:rsidR="00DB2B68" w:rsidRDefault="00000000">
      <w:pPr>
        <w:ind w:left="567"/>
        <w:jc w:val="both"/>
      </w:pPr>
      <w:r>
        <w:rPr>
          <w:rStyle w:val="soitChar"/>
          <w:u w:val="single"/>
        </w:rPr>
        <w:t>Acier au carbone</w:t>
      </w:r>
    </w:p>
    <w:p w14:paraId="7C5829FA" w14:textId="77777777" w:rsidR="00DB2B68" w:rsidRDefault="00000000">
      <w:pPr>
        <w:ind w:left="567"/>
        <w:jc w:val="both"/>
      </w:pPr>
      <w:r>
        <w:rPr>
          <w:rStyle w:val="soitChar"/>
        </w:rPr>
        <w:t xml:space="preserve">Nuance d’acier selon [NBN EN 10346] : </w:t>
      </w:r>
      <w:r>
        <w:rPr>
          <w:rStyle w:val="optioncarChar"/>
        </w:rPr>
        <w:t xml:space="preserve">S235 </w:t>
      </w:r>
      <w:r>
        <w:t>(par défaut)</w:t>
      </w:r>
      <w:r>
        <w:rPr>
          <w:rStyle w:val="optioncarChar"/>
        </w:rPr>
        <w:t xml:space="preserve"> / S355 / *** </w:t>
      </w:r>
    </w:p>
    <w:p w14:paraId="5D4F6563" w14:textId="77777777" w:rsidR="00DB2B68" w:rsidRDefault="00000000">
      <w:pPr>
        <w:ind w:left="567"/>
        <w:jc w:val="both"/>
      </w:pPr>
      <w:r>
        <w:rPr>
          <w:rStyle w:val="soitChar"/>
        </w:rPr>
        <w:t xml:space="preserve">Galvanisation à chaud : </w:t>
      </w:r>
      <w:r>
        <w:rPr>
          <w:rStyle w:val="optioncarChar"/>
        </w:rPr>
        <w:t xml:space="preserve">Z275 </w:t>
      </w:r>
      <w:r>
        <w:t>(par défaut)</w:t>
      </w:r>
      <w:r>
        <w:rPr>
          <w:rStyle w:val="optioncarChar"/>
        </w:rPr>
        <w:t xml:space="preserve"> / Z350 / *** </w:t>
      </w:r>
    </w:p>
    <w:p w14:paraId="49F173AF" w14:textId="77777777" w:rsidR="00DB2B68" w:rsidRDefault="00000000">
      <w:pPr>
        <w:ind w:left="567"/>
        <w:jc w:val="both"/>
      </w:pPr>
      <w:r>
        <w:rPr>
          <w:rStyle w:val="soitChar"/>
        </w:rPr>
        <w:t>La ferrure est peinte à l’aide d’une peinture antirouille. Celle-ci est décrite au [§83.3]</w:t>
      </w:r>
    </w:p>
    <w:p w14:paraId="4EEFEFEB" w14:textId="77777777" w:rsidR="00DB2B68" w:rsidRDefault="00000000">
      <w:pPr>
        <w:ind w:left="567"/>
        <w:jc w:val="both"/>
      </w:pPr>
      <w:r>
        <w:rPr>
          <w:b/>
          <w:i/>
        </w:rPr>
        <w:t> (Soit)</w:t>
      </w:r>
    </w:p>
    <w:p w14:paraId="65D3E110" w14:textId="77777777" w:rsidR="00DB2B68" w:rsidRDefault="00000000">
      <w:pPr>
        <w:ind w:left="567"/>
        <w:jc w:val="both"/>
      </w:pPr>
      <w:r>
        <w:rPr>
          <w:rStyle w:val="soitChar"/>
          <w:u w:val="single"/>
        </w:rPr>
        <w:t>Acier galvanisé</w:t>
      </w:r>
    </w:p>
    <w:p w14:paraId="0C6E02B9" w14:textId="77777777" w:rsidR="00DB2B68" w:rsidRDefault="00000000">
      <w:pPr>
        <w:ind w:left="567"/>
        <w:jc w:val="both"/>
      </w:pPr>
      <w:r>
        <w:rPr>
          <w:rStyle w:val="soitChar"/>
        </w:rPr>
        <w:t xml:space="preserve">Nuance d’acier selon [NBN EN 10346] : </w:t>
      </w:r>
      <w:r>
        <w:rPr>
          <w:rStyle w:val="optioncarChar"/>
        </w:rPr>
        <w:t>S235</w:t>
      </w:r>
      <w:r>
        <w:t xml:space="preserve"> (par défaut) </w:t>
      </w:r>
      <w:r>
        <w:rPr>
          <w:rStyle w:val="optioncarChar"/>
        </w:rPr>
        <w:t xml:space="preserve">/ S355 / *** </w:t>
      </w:r>
    </w:p>
    <w:p w14:paraId="736B39DD" w14:textId="77777777" w:rsidR="00DB2B68" w:rsidRDefault="00000000">
      <w:pPr>
        <w:ind w:left="567"/>
        <w:jc w:val="both"/>
      </w:pPr>
      <w:r>
        <w:rPr>
          <w:rStyle w:val="soitChar"/>
        </w:rPr>
        <w:lastRenderedPageBreak/>
        <w:t xml:space="preserve">Galvanisation à chaud : </w:t>
      </w:r>
      <w:r>
        <w:rPr>
          <w:rStyle w:val="optioncarChar"/>
        </w:rPr>
        <w:t xml:space="preserve">Z275 </w:t>
      </w:r>
      <w:r>
        <w:t>(par défaut)</w:t>
      </w:r>
      <w:r>
        <w:rPr>
          <w:rStyle w:val="optioncarChar"/>
        </w:rPr>
        <w:t xml:space="preserve"> / Z350 / *** </w:t>
      </w:r>
    </w:p>
    <w:p w14:paraId="7397B823" w14:textId="77777777" w:rsidR="00DB2B68" w:rsidRDefault="00000000">
      <w:pPr>
        <w:ind w:left="567"/>
        <w:jc w:val="both"/>
      </w:pPr>
      <w:r>
        <w:rPr>
          <w:rStyle w:val="soitChar"/>
        </w:rPr>
        <w:t>Cette mesure peut être remplacée par une mesure présentant un degré de protection contre la corrosion similaire ou supérieure (par exemple de l’acier métallisé).</w:t>
      </w:r>
    </w:p>
    <w:p w14:paraId="1E800370" w14:textId="77777777" w:rsidR="00DB2B68" w:rsidRDefault="00000000">
      <w:pPr>
        <w:ind w:left="567"/>
        <w:jc w:val="both"/>
      </w:pPr>
      <w:r>
        <w:rPr>
          <w:b/>
        </w:rPr>
        <w:t> (Soit)</w:t>
      </w:r>
    </w:p>
    <w:p w14:paraId="3010A8BE" w14:textId="77777777" w:rsidR="00DB2B68" w:rsidRDefault="00000000">
      <w:pPr>
        <w:ind w:left="567"/>
        <w:jc w:val="both"/>
      </w:pPr>
      <w:r>
        <w:rPr>
          <w:rStyle w:val="soitChar"/>
          <w:u w:val="single"/>
        </w:rPr>
        <w:t>Acier inoxydable</w:t>
      </w:r>
    </w:p>
    <w:p w14:paraId="0A265EB0" w14:textId="77777777" w:rsidR="00DB2B68" w:rsidRDefault="00000000">
      <w:pPr>
        <w:ind w:left="567"/>
        <w:jc w:val="both"/>
      </w:pPr>
      <w:r>
        <w:rPr>
          <w:rStyle w:val="soitChar"/>
        </w:rPr>
        <w:t xml:space="preserve">Nuance d’acier inoxydable selon [NBN EN 10088-2] : </w:t>
      </w:r>
      <w:r>
        <w:rPr>
          <w:rStyle w:val="optioncarChar"/>
        </w:rPr>
        <w:t>1.4307 / 1.4404</w:t>
      </w:r>
      <w:r>
        <w:t xml:space="preserve"> (par défaut) </w:t>
      </w:r>
      <w:r>
        <w:rPr>
          <w:rStyle w:val="optioncarChar"/>
        </w:rPr>
        <w:t xml:space="preserve">/ *** </w:t>
      </w:r>
    </w:p>
    <w:p w14:paraId="7D0B3B5C" w14:textId="77777777" w:rsidR="00DB2B68" w:rsidRDefault="00000000">
      <w:pPr>
        <w:ind w:left="567"/>
        <w:jc w:val="both"/>
      </w:pPr>
      <w:r>
        <w:rPr>
          <w:rStyle w:val="soitChar"/>
        </w:rPr>
        <w:t>La dénomination 1.4307 est équivalente à X2CrNi18-09, à AISI 304L et est un inox de classe A2.</w:t>
      </w:r>
    </w:p>
    <w:p w14:paraId="32F125D1" w14:textId="77777777" w:rsidR="00DB2B68" w:rsidRDefault="00000000">
      <w:pPr>
        <w:ind w:left="567"/>
        <w:jc w:val="both"/>
      </w:pPr>
      <w:r>
        <w:rPr>
          <w:rStyle w:val="soitChar"/>
        </w:rPr>
        <w:t>La dénomination 1.4404 est équivalente à X2CrNiMo17-12-2, à AISI 316L et est un inox de classe A4.</w:t>
      </w:r>
    </w:p>
    <w:p w14:paraId="6844A441" w14:textId="77777777" w:rsidR="00DB2B68" w:rsidRDefault="00000000">
      <w:pPr>
        <w:ind w:left="567"/>
        <w:jc w:val="both"/>
      </w:pPr>
      <w:r>
        <w:rPr>
          <w:b/>
          <w:i/>
        </w:rPr>
        <w:t>(Soit)</w:t>
      </w:r>
    </w:p>
    <w:p w14:paraId="2C5E4FF2" w14:textId="77777777" w:rsidR="00DB2B68" w:rsidRDefault="00000000">
      <w:pPr>
        <w:ind w:left="567"/>
        <w:jc w:val="both"/>
      </w:pPr>
      <w:r>
        <w:rPr>
          <w:rStyle w:val="soitChar"/>
          <w:u w:val="single"/>
        </w:rPr>
        <w:t>Aluminium</w:t>
      </w:r>
    </w:p>
    <w:p w14:paraId="392DB3D5" w14:textId="77777777" w:rsidR="00DB2B68" w:rsidRDefault="00000000">
      <w:pPr>
        <w:ind w:left="567"/>
        <w:jc w:val="both"/>
      </w:pPr>
      <w:r>
        <w:rPr>
          <w:rStyle w:val="soitChar"/>
        </w:rPr>
        <w:t xml:space="preserve">Nuance d’aluminium selon [NBN EN 573-1] : </w:t>
      </w:r>
      <w:r>
        <w:rPr>
          <w:rStyle w:val="optioncarChar"/>
        </w:rPr>
        <w:t>EN AW-6xxx</w:t>
      </w:r>
      <w:r>
        <w:t xml:space="preserve"> (par défaut) </w:t>
      </w:r>
      <w:r>
        <w:rPr>
          <w:rStyle w:val="optioncarChar"/>
        </w:rPr>
        <w:t>/ ***</w:t>
      </w:r>
    </w:p>
    <w:p w14:paraId="2958BFB5" w14:textId="77777777" w:rsidR="00DB2B68" w:rsidRDefault="00000000">
      <w:pPr>
        <w:ind w:left="567"/>
        <w:jc w:val="both"/>
      </w:pPr>
      <w:r>
        <w:rPr>
          <w:b/>
          <w:i/>
        </w:rPr>
        <w:t>(Soit)</w:t>
      </w:r>
    </w:p>
    <w:p w14:paraId="4CBF479D" w14:textId="77777777" w:rsidR="00DB2B68" w:rsidRDefault="00000000">
      <w:pPr>
        <w:ind w:left="567"/>
        <w:jc w:val="both"/>
      </w:pPr>
      <w:r>
        <w:rPr>
          <w:rStyle w:val="optioncarChar"/>
        </w:rPr>
        <w:t>***</w:t>
      </w:r>
      <w:r>
        <w:t> </w:t>
      </w:r>
    </w:p>
    <w:p w14:paraId="612B291A" w14:textId="77777777" w:rsidR="00DB2B68" w:rsidRDefault="00000000">
      <w:pPr>
        <w:jc w:val="both"/>
      </w:pPr>
      <w:r>
        <w:t xml:space="preserve">Épaisseur de la tôle :  </w:t>
      </w:r>
      <w:r>
        <w:rPr>
          <w:rStyle w:val="optioncarChar"/>
        </w:rPr>
        <w:t>voir plans </w:t>
      </w:r>
      <w:r>
        <w:t>(par défaut)</w:t>
      </w:r>
      <w:r>
        <w:rPr>
          <w:rStyle w:val="optioncarChar"/>
        </w:rPr>
        <w:t xml:space="preserve"> / ***</w:t>
      </w:r>
    </w:p>
    <w:p w14:paraId="4FD4A6D5" w14:textId="77777777" w:rsidR="00DB2B68" w:rsidRDefault="00000000">
      <w:pPr>
        <w:jc w:val="both"/>
      </w:pPr>
      <w:r>
        <w:t>La complexité est divisée en plusieurs cas, en fonction du nombre de découpe à effectuer, éventuellement des soudures (dans le plan ou hors plan), du nombre de pièces à assembler, etc. Le schéma ci-dessous (provenant de [Construire en bois]) présente un moyen simple d’évaluer la complexité d’une ferrure mécano-soudée.</w:t>
      </w:r>
    </w:p>
    <w:p w14:paraId="2C1111CC" w14:textId="77777777" w:rsidR="00DB2B68" w:rsidRDefault="00000000">
      <w:pPr>
        <w:jc w:val="both"/>
      </w:pPr>
      <w:r>
        <w:rPr>
          <w:noProof/>
        </w:rPr>
        <w:drawing>
          <wp:anchor distT="0" distB="0" distL="0" distR="0" simplePos="0" relativeHeight="251660288" behindDoc="0" locked="0" layoutInCell="1" allowOverlap="0" wp14:anchorId="7BC2DC63" wp14:editId="7D8DB49A">
            <wp:simplePos x="0" y="0"/>
            <wp:positionH relativeFrom="column">
              <wp:align>center</wp:align>
            </wp:positionH>
            <wp:positionV relativeFrom="line">
              <wp:align>top</wp:align>
            </wp:positionV>
            <wp:extent cx="4762500" cy="4238625"/>
            <wp:effectExtent l="0" t="0" r="0" b="0"/>
            <wp:wrapTopAndBottom/>
            <wp:docPr id="736231604" name="24.42.3c.png" descr="24.4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30" descr="24.42.3c.png"/>
                    <pic:cNvPicPr>
                      <a:picLocks noChangeAspect="1" noChangeArrowheads="1"/>
                    </pic:cNvPicPr>
                  </pic:nvPicPr>
                  <pic:blipFill>
                    <a:blip r:embed="rId41"/>
                    <a:srcRect/>
                    <a:stretch>
                      <a:fillRect/>
                    </a:stretch>
                  </pic:blipFill>
                  <pic:spPr bwMode="auto">
                    <a:xfrm>
                      <a:off x="0" y="0"/>
                      <a:ext cx="4762500" cy="4238625"/>
                    </a:xfrm>
                    <a:prstGeom prst="rect">
                      <a:avLst/>
                    </a:prstGeom>
                  </pic:spPr>
                </pic:pic>
              </a:graphicData>
            </a:graphic>
          </wp:anchor>
        </w:drawing>
      </w:r>
    </w:p>
    <w:p w14:paraId="25E47F7A" w14:textId="77777777" w:rsidR="00DB2B68" w:rsidRDefault="00000000">
      <w:pPr>
        <w:jc w:val="both"/>
      </w:pPr>
      <w:r>
        <w:t xml:space="preserve">Complexité : </w:t>
      </w:r>
      <w:r>
        <w:rPr>
          <w:rStyle w:val="optioncarChar"/>
        </w:rPr>
        <w:t>E1 / E2 / E3 / E4 / E5 / VE1 / VE2 / VE3 / V1 / V2 / V3 / V4</w:t>
      </w:r>
    </w:p>
    <w:p w14:paraId="49FB1FEB" w14:textId="77777777" w:rsidR="00DB2B68" w:rsidRDefault="00000000">
      <w:pPr>
        <w:jc w:val="both"/>
      </w:pPr>
      <w:r>
        <w:lastRenderedPageBreak/>
        <w:t xml:space="preserve">Géométrie : </w:t>
      </w:r>
      <w:r>
        <w:rPr>
          <w:rStyle w:val="optioncarChar"/>
        </w:rPr>
        <w:t>voir plans </w:t>
      </w:r>
      <w:r>
        <w:t>(par défaut)</w:t>
      </w:r>
      <w:r>
        <w:rPr>
          <w:rStyle w:val="optioncarChar"/>
        </w:rPr>
        <w:t xml:space="preserve"> / ***</w:t>
      </w:r>
    </w:p>
    <w:p w14:paraId="420467D7" w14:textId="77777777" w:rsidR="00DB2B68" w:rsidRDefault="00000000">
      <w:pPr>
        <w:jc w:val="both"/>
      </w:pPr>
      <w:r>
        <w:t>Classe de réaction au feu A1.</w:t>
      </w:r>
    </w:p>
    <w:p w14:paraId="3E108B68" w14:textId="77777777" w:rsidR="00DB2B68" w:rsidRDefault="00000000">
      <w:pPr>
        <w:jc w:val="both"/>
      </w:pPr>
      <w:r>
        <w:t>Une résistance au feu est obtenue soit par l’épaisseur de la tôle, soit par protection de celle-ci. La validation de la solution est conforme aux solutions types développées dans la norme [NBN EN 1995-1-2] ou validées suivant les procédures d’essais décrites dans la [NBN EN 13501-2].</w:t>
      </w:r>
    </w:p>
    <w:p w14:paraId="1BC0E8A1" w14:textId="77777777" w:rsidR="00DB2B68" w:rsidRDefault="00000000">
      <w:pPr>
        <w:pStyle w:val="pheading"/>
      </w:pPr>
      <w:r>
        <w:t>MESURAGE</w:t>
      </w:r>
    </w:p>
    <w:p w14:paraId="52A925C7" w14:textId="77777777" w:rsidR="00DB2B68" w:rsidRDefault="00000000">
      <w:pPr>
        <w:pStyle w:val="pheading"/>
      </w:pPr>
      <w:r>
        <w:t>- unité de mesure:</w:t>
      </w:r>
    </w:p>
    <w:p w14:paraId="3E1B3376" w14:textId="77777777" w:rsidR="00DB2B68" w:rsidRDefault="00000000">
      <w:r>
        <w:rPr>
          <w:rStyle w:val="optioncarChar"/>
        </w:rPr>
        <w:t>-</w:t>
      </w:r>
      <w:r>
        <w:t> (par défaut) </w:t>
      </w:r>
      <w:r>
        <w:rPr>
          <w:rStyle w:val="optioncarChar"/>
        </w:rPr>
        <w:t>/ pc</w:t>
      </w:r>
    </w:p>
    <w:p w14:paraId="34920C7C" w14:textId="77777777" w:rsidR="00DB2B68" w:rsidRDefault="00000000">
      <w:r>
        <w:rPr>
          <w:b/>
          <w:i/>
        </w:rPr>
        <w:t>(Soit par défaut)</w:t>
      </w:r>
    </w:p>
    <w:p w14:paraId="61F5C9FC" w14:textId="77777777" w:rsidR="00DB2B68" w:rsidRDefault="00000000">
      <w:r>
        <w:rPr>
          <w:rStyle w:val="soitChar"/>
        </w:rPr>
        <w:t>1.     –</w:t>
      </w:r>
    </w:p>
    <w:p w14:paraId="2D52B9B1" w14:textId="77777777" w:rsidR="00DB2B68" w:rsidRDefault="00000000">
      <w:r>
        <w:rPr>
          <w:b/>
          <w:i/>
        </w:rPr>
        <w:t>(Soit)</w:t>
      </w:r>
    </w:p>
    <w:p w14:paraId="59AA796A" w14:textId="77777777" w:rsidR="00DB2B68" w:rsidRDefault="00000000">
      <w:r>
        <w:rPr>
          <w:rStyle w:val="soitChar"/>
        </w:rPr>
        <w:t>2.3.  pc</w:t>
      </w:r>
    </w:p>
    <w:p w14:paraId="7C00C799" w14:textId="77777777" w:rsidR="00DB2B68" w:rsidRDefault="00000000">
      <w:pPr>
        <w:pStyle w:val="pheading"/>
      </w:pPr>
      <w:r>
        <w:t>- code de mesurage:</w:t>
      </w:r>
    </w:p>
    <w:p w14:paraId="44F62E98" w14:textId="77777777" w:rsidR="00DB2B68" w:rsidRDefault="00000000">
      <w:r>
        <w:rPr>
          <w:rStyle w:val="optioncarChar"/>
        </w:rPr>
        <w:t>Compris</w:t>
      </w:r>
      <w:r>
        <w:t> (par défaut) </w:t>
      </w:r>
      <w:r>
        <w:rPr>
          <w:rStyle w:val="optioncarChar"/>
        </w:rPr>
        <w:t>/ Quantité nette</w:t>
      </w:r>
    </w:p>
    <w:p w14:paraId="33665A5B" w14:textId="77777777" w:rsidR="00DB2B68" w:rsidRDefault="00000000">
      <w:r>
        <w:rPr>
          <w:b/>
          <w:i/>
        </w:rPr>
        <w:t>(Soit par défaut)</w:t>
      </w:r>
    </w:p>
    <w:p w14:paraId="78A5266D" w14:textId="77777777" w:rsidR="00DB2B68" w:rsidRDefault="00000000">
      <w:r>
        <w:rPr>
          <w:rStyle w:val="soitChar"/>
        </w:rPr>
        <w:t>1.     </w:t>
      </w:r>
      <w:r>
        <w:rPr>
          <w:rStyle w:val="soitChar"/>
          <w:u w:val="single"/>
        </w:rPr>
        <w:t>Compris</w:t>
      </w:r>
      <w:r>
        <w:rPr>
          <w:rStyle w:val="soitChar"/>
        </w:rPr>
        <w:t> dans l’article de référence</w:t>
      </w:r>
      <w:r>
        <w:t>  </w:t>
      </w:r>
      <w:r>
        <w:rPr>
          <w:rStyle w:val="optioncarChar"/>
        </w:rPr>
        <w:t>***</w:t>
      </w:r>
    </w:p>
    <w:p w14:paraId="72C02DD6" w14:textId="77777777" w:rsidR="00DB2B68" w:rsidRDefault="00000000">
      <w:r>
        <w:rPr>
          <w:b/>
          <w:i/>
        </w:rPr>
        <w:t>(Soit)</w:t>
      </w:r>
    </w:p>
    <w:p w14:paraId="51AB6FE4"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38F04F20" w14:textId="77777777" w:rsidR="00DB2B68" w:rsidRDefault="00000000">
      <w:pPr>
        <w:pStyle w:val="pheading"/>
      </w:pPr>
      <w:r>
        <w:t>- nature du marché:</w:t>
      </w:r>
    </w:p>
    <w:p w14:paraId="76185B88" w14:textId="77777777" w:rsidR="00DB2B68" w:rsidRDefault="00000000">
      <w:r>
        <w:rPr>
          <w:rStyle w:val="optioncarChar"/>
        </w:rPr>
        <w:t>PM </w:t>
      </w:r>
      <w:r>
        <w:t>(par défaut) </w:t>
      </w:r>
      <w:r>
        <w:rPr>
          <w:rStyle w:val="optioncarChar"/>
        </w:rPr>
        <w:t>/ QF / QP</w:t>
      </w:r>
    </w:p>
    <w:p w14:paraId="1F7C799A" w14:textId="77777777" w:rsidR="00DB2B68" w:rsidRDefault="00000000">
      <w:r>
        <w:rPr>
          <w:b/>
          <w:i/>
        </w:rPr>
        <w:t>(Soit par défaut)</w:t>
      </w:r>
    </w:p>
    <w:p w14:paraId="0551D2E7" w14:textId="77777777" w:rsidR="00DB2B68" w:rsidRDefault="00000000">
      <w:r>
        <w:rPr>
          <w:rStyle w:val="soitChar"/>
        </w:rPr>
        <w:t>1.     PM</w:t>
      </w:r>
    </w:p>
    <w:p w14:paraId="2F14A61C" w14:textId="77777777" w:rsidR="00DB2B68" w:rsidRDefault="00000000">
      <w:r>
        <w:rPr>
          <w:b/>
          <w:i/>
        </w:rPr>
        <w:t>(Soit)</w:t>
      </w:r>
    </w:p>
    <w:p w14:paraId="463550DF" w14:textId="77777777" w:rsidR="00DB2B68" w:rsidRDefault="00000000">
      <w:r>
        <w:rPr>
          <w:rStyle w:val="soitChar"/>
        </w:rPr>
        <w:t>2.     QF</w:t>
      </w:r>
    </w:p>
    <w:p w14:paraId="066C468B" w14:textId="77777777" w:rsidR="00DB2B68" w:rsidRDefault="00000000">
      <w:r>
        <w:rPr>
          <w:b/>
          <w:i/>
        </w:rPr>
        <w:t>(Soit)</w:t>
      </w:r>
    </w:p>
    <w:p w14:paraId="02DAF993" w14:textId="77777777" w:rsidR="00DB2B68" w:rsidRDefault="00000000">
      <w:r>
        <w:rPr>
          <w:rStyle w:val="soitChar"/>
        </w:rPr>
        <w:t>3.     QP</w:t>
      </w:r>
    </w:p>
    <w:p w14:paraId="25A51CEC" w14:textId="77777777" w:rsidR="00DB2B68" w:rsidRDefault="00000000">
      <w:pPr>
        <w:pStyle w:val="Author-eSectionHeading5Numberless"/>
      </w:pPr>
      <w:bookmarkStart w:id="1752" w:name="_Toc220496717"/>
      <w:r>
        <w:t>24.42.4 Finitions d'assemblages  CCTB 01.07</w:t>
      </w:r>
      <w:bookmarkEnd w:id="1752"/>
    </w:p>
    <w:p w14:paraId="4A535D22" w14:textId="77777777" w:rsidR="00DB2B68" w:rsidRDefault="00000000">
      <w:pPr>
        <w:pStyle w:val="pheading"/>
      </w:pPr>
      <w:r>
        <w:t>DESCRIPTION</w:t>
      </w:r>
    </w:p>
    <w:p w14:paraId="7B28B232" w14:textId="77777777" w:rsidR="00DB2B68" w:rsidRDefault="00000000">
      <w:pPr>
        <w:pStyle w:val="pheading"/>
      </w:pPr>
      <w:r>
        <w:t>- Définition / Comprend</w:t>
      </w:r>
    </w:p>
    <w:p w14:paraId="634927FD" w14:textId="77777777" w:rsidR="00DB2B68" w:rsidRDefault="00000000">
      <w:pPr>
        <w:jc w:val="both"/>
      </w:pPr>
      <w:r>
        <w:t>Il s’agit de l’ensemble des moyens utilisés pour masquer les percements effectués pour réaliser les assemblages dans une structure bois. Ces finitions peuvent avoir un rôle esthétique et/ou pour l’amélioration de la résistance au feu.</w:t>
      </w:r>
    </w:p>
    <w:p w14:paraId="0890109F" w14:textId="77777777" w:rsidR="00DB2B68" w:rsidRDefault="00000000">
      <w:pPr>
        <w:pStyle w:val="Author-eSectionHeading6Numberless"/>
      </w:pPr>
      <w:bookmarkStart w:id="1753" w:name="_Toc220496718"/>
      <w:r>
        <w:t>24.42.4a Finitions d'assemblages - bouchonnage CCTB 01.11</w:t>
      </w:r>
      <w:bookmarkEnd w:id="1753"/>
    </w:p>
    <w:p w14:paraId="19DA52F8" w14:textId="77777777" w:rsidR="00DB2B68" w:rsidRDefault="00000000">
      <w:pPr>
        <w:pStyle w:val="pheading"/>
      </w:pPr>
      <w:bookmarkStart w:id="1754" w:name="631"/>
      <w:bookmarkEnd w:id="1754"/>
      <w:r>
        <w:t>DESCRIPTION</w:t>
      </w:r>
    </w:p>
    <w:p w14:paraId="67ADB834" w14:textId="77777777" w:rsidR="00DB2B68" w:rsidRDefault="00000000">
      <w:pPr>
        <w:pStyle w:val="pheading"/>
      </w:pPr>
      <w:r>
        <w:t>- Définition / Comprend</w:t>
      </w:r>
    </w:p>
    <w:p w14:paraId="0E808101" w14:textId="77777777" w:rsidR="00DB2B68" w:rsidRDefault="00000000">
      <w:pPr>
        <w:jc w:val="both"/>
      </w:pPr>
      <w:r>
        <w:t>Il s’agit d’un moyen pour masquer les trous effectués dans le bois pour réaliser les assemblages de la structure.</w:t>
      </w:r>
    </w:p>
    <w:p w14:paraId="72E1BC3B" w14:textId="77777777" w:rsidR="00DB2B68" w:rsidRDefault="00000000">
      <w:pPr>
        <w:jc w:val="both"/>
      </w:pPr>
      <w:r>
        <w:t>Le travail comprend notamment :</w:t>
      </w:r>
    </w:p>
    <w:p w14:paraId="58FF1E77" w14:textId="77777777" w:rsidR="00DB2B68" w:rsidRDefault="00000000">
      <w:pPr>
        <w:pStyle w:val="Author-eListParagraph"/>
        <w:numPr>
          <w:ilvl w:val="0"/>
          <w:numId w:val="1065"/>
        </w:numPr>
        <w:jc w:val="both"/>
      </w:pPr>
      <w:r>
        <w:t>La fourniture des bouchons de bois et de l’adhésif nécessaires à leur mise en œuvre.</w:t>
      </w:r>
    </w:p>
    <w:p w14:paraId="4E409EF6" w14:textId="77777777" w:rsidR="00DB2B68" w:rsidRDefault="00000000">
      <w:pPr>
        <w:pStyle w:val="Author-eListParagraph"/>
        <w:numPr>
          <w:ilvl w:val="0"/>
          <w:numId w:val="1065"/>
        </w:numPr>
        <w:jc w:val="both"/>
      </w:pPr>
      <w:r>
        <w:lastRenderedPageBreak/>
        <w:t>L’installation de ceux-ci conformément aux prescriptions du fournisseur.</w:t>
      </w:r>
    </w:p>
    <w:p w14:paraId="201F1424" w14:textId="77777777" w:rsidR="00DB2B68" w:rsidRDefault="00000000">
      <w:pPr>
        <w:pStyle w:val="pheading"/>
      </w:pPr>
      <w:r>
        <w:t>MATÉRIAUX</w:t>
      </w:r>
    </w:p>
    <w:p w14:paraId="63547B93" w14:textId="77777777" w:rsidR="00DB2B68" w:rsidRDefault="00000000">
      <w:pPr>
        <w:pStyle w:val="pheading"/>
      </w:pPr>
      <w:r>
        <w:t>- Caractéristiques générales</w:t>
      </w:r>
    </w:p>
    <w:p w14:paraId="3B158FB8" w14:textId="77777777" w:rsidR="00DB2B68" w:rsidRDefault="00000000">
      <w:pPr>
        <w:jc w:val="both"/>
      </w:pPr>
      <w:r>
        <w:t>Lorsque le bouchonnage est réalisé pour protéger l’assemblage en vue d’augmenter sa résistance au feu, la longueur du bouchon minimale doit être déterminée suivant les principes détaillés dans la partie feu de l’Eurocode 5 ([NBN EN 1995-1-1]).</w:t>
      </w:r>
    </w:p>
    <w:p w14:paraId="45374D1A" w14:textId="77777777" w:rsidR="00DB2B68" w:rsidRDefault="00000000">
      <w:pPr>
        <w:jc w:val="both"/>
      </w:pPr>
      <w:r>
        <w:t xml:space="preserve">Longueur du bouchon : </w:t>
      </w:r>
      <w:r>
        <w:rPr>
          <w:rStyle w:val="optioncarChar"/>
        </w:rPr>
        <w:t>***</w:t>
      </w:r>
    </w:p>
    <w:p w14:paraId="7595AE51" w14:textId="77777777" w:rsidR="00DB2B68" w:rsidRDefault="00000000">
      <w:pPr>
        <w:jc w:val="both"/>
      </w:pPr>
      <w:r>
        <w:t>Le bouchon est collé à l’aide d’un adhésif prévu pour tenir en cas d’incendie.</w:t>
      </w:r>
    </w:p>
    <w:p w14:paraId="0A4D4B65" w14:textId="77777777" w:rsidR="00DB2B68" w:rsidRDefault="00000000">
      <w:pPr>
        <w:pStyle w:val="pheading"/>
      </w:pPr>
      <w:r>
        <w:t>EXÉCUTION / MISE EN ŒUVRE</w:t>
      </w:r>
    </w:p>
    <w:p w14:paraId="52521FCE" w14:textId="77777777" w:rsidR="00DB2B68" w:rsidRDefault="00000000">
      <w:pPr>
        <w:pStyle w:val="pheading"/>
      </w:pPr>
      <w:r>
        <w:t>- Prescriptions générales</w:t>
      </w:r>
    </w:p>
    <w:p w14:paraId="339B11EE" w14:textId="77777777" w:rsidR="00DB2B68" w:rsidRDefault="00000000">
      <w:pPr>
        <w:jc w:val="both"/>
      </w:pPr>
      <w:r>
        <w:t>Les prescriptions du fabricant de l’adhésif doivent être respectées. Le trou doit être dépoussiéré par soufflage avant l’installation du bouchon.</w:t>
      </w:r>
    </w:p>
    <w:p w14:paraId="5F0BA71C" w14:textId="77777777" w:rsidR="00DB2B68" w:rsidRDefault="00000000">
      <w:pPr>
        <w:pStyle w:val="pheading"/>
      </w:pPr>
      <w:r>
        <w:t>- Notes d’exécution complémentaires</w:t>
      </w:r>
    </w:p>
    <w:p w14:paraId="5D16BA3B" w14:textId="77777777" w:rsidR="00DB2B68" w:rsidRDefault="00000000">
      <w:pPr>
        <w:jc w:val="both"/>
      </w:pPr>
      <w:r>
        <w:rPr>
          <w:rStyle w:val="facultChar"/>
        </w:rPr>
        <w:t>Si le bouchonnage est réalisé sur une face visible de l’élément en bois, un soin particulier est apporté à l’esthétique.</w:t>
      </w:r>
    </w:p>
    <w:p w14:paraId="4BF35A33" w14:textId="77777777" w:rsidR="00DB2B68" w:rsidRDefault="00000000">
      <w:pPr>
        <w:jc w:val="both"/>
      </w:pPr>
      <w:r>
        <w:rPr>
          <w:rStyle w:val="facultChar"/>
        </w:rPr>
        <w:t>On veille notamment à :</w:t>
      </w:r>
    </w:p>
    <w:p w14:paraId="51D83E87" w14:textId="77777777" w:rsidR="00DB2B68" w:rsidRDefault="00000000">
      <w:pPr>
        <w:pStyle w:val="Author-eListParagraph"/>
        <w:numPr>
          <w:ilvl w:val="0"/>
          <w:numId w:val="1066"/>
        </w:numPr>
        <w:jc w:val="both"/>
      </w:pPr>
      <w:r>
        <w:rPr>
          <w:rStyle w:val="facultChar"/>
        </w:rPr>
        <w:t>utiliser la même essence que la pièce mère ;</w:t>
      </w:r>
    </w:p>
    <w:p w14:paraId="6FE39F60" w14:textId="77777777" w:rsidR="00DB2B68" w:rsidRDefault="00000000">
      <w:pPr>
        <w:pStyle w:val="Author-eListParagraph"/>
        <w:numPr>
          <w:ilvl w:val="0"/>
          <w:numId w:val="1066"/>
        </w:numPr>
        <w:jc w:val="both"/>
      </w:pPr>
      <w:r>
        <w:rPr>
          <w:rStyle w:val="facultChar"/>
        </w:rPr>
        <w:t>orienter le fil du bois dans la direction de la pièce mère ;</w:t>
      </w:r>
    </w:p>
    <w:p w14:paraId="0A661A04" w14:textId="77777777" w:rsidR="00DB2B68" w:rsidRDefault="00000000">
      <w:pPr>
        <w:pStyle w:val="Author-eListParagraph"/>
        <w:numPr>
          <w:ilvl w:val="0"/>
          <w:numId w:val="1066"/>
        </w:numPr>
        <w:jc w:val="both"/>
      </w:pPr>
      <w:r>
        <w:rPr>
          <w:rStyle w:val="facultChar"/>
        </w:rPr>
        <w:t>prendre un bouchon de teinte proche de celle de la pièce mère ;</w:t>
      </w:r>
    </w:p>
    <w:p w14:paraId="0A00D3EA" w14:textId="77777777" w:rsidR="00DB2B68" w:rsidRDefault="00000000">
      <w:pPr>
        <w:pStyle w:val="Author-eListParagraph"/>
        <w:numPr>
          <w:ilvl w:val="0"/>
          <w:numId w:val="1066"/>
        </w:numPr>
        <w:jc w:val="both"/>
      </w:pPr>
      <w:r>
        <w:rPr>
          <w:rStyle w:val="facultChar"/>
        </w:rPr>
        <w:t>soigner les joints de collage pour les rendre invisible.</w:t>
      </w:r>
    </w:p>
    <w:p w14:paraId="5CCE5DEC" w14:textId="77777777" w:rsidR="00DB2B68" w:rsidRDefault="00000000">
      <w:pPr>
        <w:pStyle w:val="pheading"/>
      </w:pPr>
      <w:r>
        <w:t>MESURAGE</w:t>
      </w:r>
    </w:p>
    <w:p w14:paraId="73F5FD20" w14:textId="77777777" w:rsidR="00DB2B68" w:rsidRDefault="00000000">
      <w:pPr>
        <w:pStyle w:val="pheading"/>
      </w:pPr>
      <w:r>
        <w:t>- unité de mesure:</w:t>
      </w:r>
    </w:p>
    <w:p w14:paraId="3EFC9F06" w14:textId="77777777" w:rsidR="00DB2B68" w:rsidRDefault="00000000">
      <w:r>
        <w:rPr>
          <w:rStyle w:val="optioncarChar"/>
        </w:rPr>
        <w:t>-</w:t>
      </w:r>
      <w:r>
        <w:t> (par défaut) </w:t>
      </w:r>
      <w:r>
        <w:rPr>
          <w:rStyle w:val="optioncarChar"/>
        </w:rPr>
        <w:t>/ pc</w:t>
      </w:r>
    </w:p>
    <w:p w14:paraId="7C6D8051" w14:textId="77777777" w:rsidR="00DB2B68" w:rsidRDefault="00000000">
      <w:r>
        <w:rPr>
          <w:b/>
          <w:i/>
        </w:rPr>
        <w:t>(Soit par défaut)</w:t>
      </w:r>
    </w:p>
    <w:p w14:paraId="0FE0AD26" w14:textId="77777777" w:rsidR="00DB2B68" w:rsidRDefault="00000000">
      <w:r>
        <w:rPr>
          <w:rStyle w:val="soitChar"/>
        </w:rPr>
        <w:t>1.     –</w:t>
      </w:r>
    </w:p>
    <w:p w14:paraId="395F38E3" w14:textId="77777777" w:rsidR="00DB2B68" w:rsidRDefault="00000000">
      <w:r>
        <w:rPr>
          <w:b/>
          <w:i/>
        </w:rPr>
        <w:t>(Soit)</w:t>
      </w:r>
    </w:p>
    <w:p w14:paraId="15162B24" w14:textId="77777777" w:rsidR="00DB2B68" w:rsidRDefault="00000000">
      <w:r>
        <w:rPr>
          <w:rStyle w:val="soitChar"/>
        </w:rPr>
        <w:t>2.3.  pc</w:t>
      </w:r>
    </w:p>
    <w:p w14:paraId="0E81D348" w14:textId="77777777" w:rsidR="00DB2B68" w:rsidRDefault="00000000">
      <w:pPr>
        <w:pStyle w:val="pheading"/>
      </w:pPr>
      <w:r>
        <w:t>- code de mesurage:</w:t>
      </w:r>
    </w:p>
    <w:p w14:paraId="25932469" w14:textId="77777777" w:rsidR="00DB2B68" w:rsidRDefault="00000000">
      <w:pPr>
        <w:jc w:val="both"/>
      </w:pPr>
      <w:r>
        <w:rPr>
          <w:rStyle w:val="optioncarChar"/>
        </w:rPr>
        <w:t>Compris </w:t>
      </w:r>
      <w:r>
        <w:t>(par défaut)</w:t>
      </w:r>
      <w:r>
        <w:rPr>
          <w:rStyle w:val="optioncarChar"/>
        </w:rPr>
        <w:t> / Quantité nette</w:t>
      </w:r>
    </w:p>
    <w:p w14:paraId="18E88CEA" w14:textId="77777777" w:rsidR="00DB2B68" w:rsidRDefault="00000000">
      <w:pPr>
        <w:jc w:val="both"/>
      </w:pPr>
      <w:r>
        <w:rPr>
          <w:b/>
          <w:i/>
        </w:rPr>
        <w:t>(Soit par défaut)</w:t>
      </w:r>
    </w:p>
    <w:p w14:paraId="2C72AC66" w14:textId="77777777" w:rsidR="00DB2B68" w:rsidRDefault="00000000">
      <w:pPr>
        <w:jc w:val="both"/>
      </w:pPr>
      <w:r>
        <w:rPr>
          <w:rStyle w:val="soitChar"/>
        </w:rPr>
        <w:t>1.     </w:t>
      </w:r>
      <w:r>
        <w:rPr>
          <w:rStyle w:val="soitChar"/>
          <w:u w:val="single"/>
        </w:rPr>
        <w:t>Compris</w:t>
      </w:r>
      <w:r>
        <w:rPr>
          <w:rStyle w:val="soitChar"/>
        </w:rPr>
        <w:t> dans l’article de référence</w:t>
      </w:r>
      <w:r>
        <w:t> </w:t>
      </w:r>
      <w:r>
        <w:rPr>
          <w:rStyle w:val="optioncarChar"/>
        </w:rPr>
        <w:t> ***</w:t>
      </w:r>
    </w:p>
    <w:p w14:paraId="464C9228" w14:textId="77777777" w:rsidR="00DB2B68" w:rsidRDefault="00000000">
      <w:pPr>
        <w:jc w:val="both"/>
      </w:pPr>
      <w:r>
        <w:rPr>
          <w:b/>
          <w:i/>
        </w:rPr>
        <w:t>(Soit)</w:t>
      </w:r>
    </w:p>
    <w:p w14:paraId="028FDEDA" w14:textId="77777777" w:rsidR="00DB2B68" w:rsidRDefault="00000000">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64650E43" w14:textId="77777777" w:rsidR="00DB2B68" w:rsidRDefault="00000000">
      <w:pPr>
        <w:pStyle w:val="pheading"/>
      </w:pPr>
      <w:r>
        <w:t>- nature du marché:</w:t>
      </w:r>
    </w:p>
    <w:p w14:paraId="13E0FB9C" w14:textId="77777777" w:rsidR="00DB2B68" w:rsidRDefault="00000000">
      <w:r>
        <w:rPr>
          <w:rStyle w:val="optioncarChar"/>
        </w:rPr>
        <w:t>PM </w:t>
      </w:r>
      <w:r>
        <w:t>(par défaut) </w:t>
      </w:r>
      <w:r>
        <w:rPr>
          <w:rStyle w:val="optioncarChar"/>
        </w:rPr>
        <w:t>/ QF / QP</w:t>
      </w:r>
    </w:p>
    <w:p w14:paraId="39213CEE" w14:textId="77777777" w:rsidR="00DB2B68" w:rsidRDefault="00000000">
      <w:r>
        <w:rPr>
          <w:b/>
          <w:i/>
        </w:rPr>
        <w:t>(Soit par défaut)</w:t>
      </w:r>
    </w:p>
    <w:p w14:paraId="4B2B4536" w14:textId="77777777" w:rsidR="00DB2B68" w:rsidRDefault="00000000">
      <w:r>
        <w:rPr>
          <w:rStyle w:val="soitChar"/>
        </w:rPr>
        <w:t>1.     PM</w:t>
      </w:r>
    </w:p>
    <w:p w14:paraId="560AFEC9" w14:textId="77777777" w:rsidR="00DB2B68" w:rsidRDefault="00000000">
      <w:r>
        <w:rPr>
          <w:b/>
          <w:i/>
        </w:rPr>
        <w:t>(Soit)</w:t>
      </w:r>
    </w:p>
    <w:p w14:paraId="7EDD3A82" w14:textId="77777777" w:rsidR="00DB2B68" w:rsidRDefault="00000000">
      <w:r>
        <w:rPr>
          <w:rStyle w:val="soitChar"/>
        </w:rPr>
        <w:t>2.     QF</w:t>
      </w:r>
    </w:p>
    <w:p w14:paraId="081A9719" w14:textId="77777777" w:rsidR="00DB2B68" w:rsidRDefault="00000000">
      <w:r>
        <w:rPr>
          <w:b/>
          <w:i/>
        </w:rPr>
        <w:t>(Soit)</w:t>
      </w:r>
    </w:p>
    <w:p w14:paraId="7F2355F2" w14:textId="77777777" w:rsidR="00DB2B68" w:rsidRDefault="00000000">
      <w:r>
        <w:rPr>
          <w:rStyle w:val="soitChar"/>
        </w:rPr>
        <w:lastRenderedPageBreak/>
        <w:t>3.     QP</w:t>
      </w:r>
    </w:p>
    <w:p w14:paraId="09A52A24" w14:textId="77777777" w:rsidR="00DB2B68" w:rsidRDefault="00000000">
      <w:pPr>
        <w:pStyle w:val="Author-eSectionHeading6Numberless"/>
      </w:pPr>
      <w:bookmarkStart w:id="1755" w:name="_Toc220496719"/>
      <w:r>
        <w:t>24.42.4b Finitions d'assemblages - fermetures d'entailles CCTB 01.07</w:t>
      </w:r>
      <w:bookmarkEnd w:id="1755"/>
    </w:p>
    <w:p w14:paraId="204E590F" w14:textId="77777777" w:rsidR="00DB2B68" w:rsidRDefault="00000000">
      <w:pPr>
        <w:pStyle w:val="pheading"/>
      </w:pPr>
      <w:r>
        <w:t>DESCRIPTION</w:t>
      </w:r>
    </w:p>
    <w:p w14:paraId="78BB4DD7" w14:textId="77777777" w:rsidR="00DB2B68" w:rsidRDefault="00000000">
      <w:pPr>
        <w:pStyle w:val="pheading"/>
      </w:pPr>
      <w:r>
        <w:t>- Définition / Comprend</w:t>
      </w:r>
    </w:p>
    <w:p w14:paraId="44A6368E" w14:textId="77777777" w:rsidR="00DB2B68" w:rsidRDefault="00000000">
      <w:pPr>
        <w:jc w:val="both"/>
      </w:pPr>
      <w:r>
        <w:t>Il s’agit d’un moyen pour masquer les entailles effectuées dans le bois pour réaliser les assemblages de la structure.</w:t>
      </w:r>
    </w:p>
    <w:p w14:paraId="3787AC65" w14:textId="77777777" w:rsidR="00DB2B68" w:rsidRDefault="00000000">
      <w:pPr>
        <w:jc w:val="both"/>
      </w:pPr>
      <w:r>
        <w:t>Le travail comprend notamment :</w:t>
      </w:r>
    </w:p>
    <w:p w14:paraId="6AED6B1E" w14:textId="77777777" w:rsidR="00DB2B68" w:rsidRDefault="00000000">
      <w:pPr>
        <w:pStyle w:val="Author-eListParagraph"/>
        <w:numPr>
          <w:ilvl w:val="0"/>
          <w:numId w:val="1067"/>
        </w:numPr>
        <w:jc w:val="both"/>
      </w:pPr>
      <w:r>
        <w:t>La fourniture et l’installation des produits nécessaire à la fermeture de l’entaille.</w:t>
      </w:r>
    </w:p>
    <w:p w14:paraId="3133423B" w14:textId="77777777" w:rsidR="00DB2B68" w:rsidRDefault="00000000">
      <w:pPr>
        <w:pStyle w:val="pheading"/>
      </w:pPr>
      <w:r>
        <w:t>MESURAGE</w:t>
      </w:r>
    </w:p>
    <w:p w14:paraId="16808D4E" w14:textId="77777777" w:rsidR="00DB2B68" w:rsidRDefault="00000000">
      <w:pPr>
        <w:pStyle w:val="pheading"/>
      </w:pPr>
      <w:r>
        <w:t>- unité de mesure:</w:t>
      </w:r>
    </w:p>
    <w:p w14:paraId="5CB9A1D5" w14:textId="77777777" w:rsidR="00DB2B68" w:rsidRDefault="00000000">
      <w:r>
        <w:rPr>
          <w:rStyle w:val="optioncarChar"/>
        </w:rPr>
        <w:t>- </w:t>
      </w:r>
      <w:r>
        <w:t>(par défaut)</w:t>
      </w:r>
      <w:r>
        <w:rPr>
          <w:rStyle w:val="optioncarChar"/>
        </w:rPr>
        <w:t> / pc</w:t>
      </w:r>
    </w:p>
    <w:p w14:paraId="58824091" w14:textId="77777777" w:rsidR="00DB2B68" w:rsidRDefault="00000000">
      <w:r>
        <w:rPr>
          <w:b/>
          <w:i/>
        </w:rPr>
        <w:t>(Soit par défaut)</w:t>
      </w:r>
    </w:p>
    <w:p w14:paraId="17F3F2DD" w14:textId="77777777" w:rsidR="00DB2B68" w:rsidRDefault="00000000">
      <w:r>
        <w:rPr>
          <w:rStyle w:val="soitChar"/>
        </w:rPr>
        <w:t>1.     –</w:t>
      </w:r>
    </w:p>
    <w:p w14:paraId="04B8C940" w14:textId="77777777" w:rsidR="00DB2B68" w:rsidRDefault="00000000">
      <w:r>
        <w:rPr>
          <w:b/>
          <w:i/>
        </w:rPr>
        <w:t>(Soit)</w:t>
      </w:r>
    </w:p>
    <w:p w14:paraId="400D623C" w14:textId="77777777" w:rsidR="00DB2B68" w:rsidRDefault="00000000">
      <w:r>
        <w:rPr>
          <w:rStyle w:val="soitChar"/>
        </w:rPr>
        <w:t>2.3.  pc</w:t>
      </w:r>
    </w:p>
    <w:p w14:paraId="5C7E644C" w14:textId="77777777" w:rsidR="00DB2B68" w:rsidRDefault="00000000">
      <w:pPr>
        <w:pStyle w:val="pheading"/>
      </w:pPr>
      <w:r>
        <w:t>- code de mesurage:</w:t>
      </w:r>
    </w:p>
    <w:p w14:paraId="77DAA2E7" w14:textId="77777777" w:rsidR="00DB2B68" w:rsidRDefault="00000000">
      <w:pPr>
        <w:jc w:val="both"/>
      </w:pPr>
      <w:r>
        <w:rPr>
          <w:rStyle w:val="optioncarChar"/>
        </w:rPr>
        <w:t>Compris </w:t>
      </w:r>
      <w:r>
        <w:t>(par défaut) </w:t>
      </w:r>
      <w:r>
        <w:rPr>
          <w:rStyle w:val="optioncarChar"/>
        </w:rPr>
        <w:t>/ Quantité nette</w:t>
      </w:r>
    </w:p>
    <w:p w14:paraId="19A87C52" w14:textId="77777777" w:rsidR="00DB2B68" w:rsidRDefault="00000000">
      <w:pPr>
        <w:jc w:val="both"/>
      </w:pPr>
      <w:r>
        <w:rPr>
          <w:b/>
          <w:i/>
        </w:rPr>
        <w:t>(Soit par défaut)</w:t>
      </w:r>
    </w:p>
    <w:p w14:paraId="6FB607C3" w14:textId="77777777" w:rsidR="00DB2B68" w:rsidRDefault="00000000">
      <w:pPr>
        <w:jc w:val="both"/>
      </w:pPr>
      <w:r>
        <w:rPr>
          <w:rStyle w:val="soitChar"/>
        </w:rPr>
        <w:t>1.     </w:t>
      </w:r>
      <w:r>
        <w:rPr>
          <w:rStyle w:val="soitChar"/>
          <w:u w:val="single"/>
        </w:rPr>
        <w:t>Compris</w:t>
      </w:r>
      <w:r>
        <w:rPr>
          <w:rStyle w:val="soitChar"/>
        </w:rPr>
        <w:t> dans l’article de référence</w:t>
      </w:r>
      <w:r>
        <w:t> </w:t>
      </w:r>
      <w:r>
        <w:rPr>
          <w:rStyle w:val="optioncarChar"/>
        </w:rPr>
        <w:t> ***</w:t>
      </w:r>
    </w:p>
    <w:p w14:paraId="3554C9F6" w14:textId="77777777" w:rsidR="00DB2B68" w:rsidRDefault="00000000">
      <w:pPr>
        <w:jc w:val="both"/>
      </w:pPr>
      <w:r>
        <w:rPr>
          <w:b/>
          <w:i/>
        </w:rPr>
        <w:t>(Soit)</w:t>
      </w:r>
    </w:p>
    <w:p w14:paraId="10D4C19B" w14:textId="77777777" w:rsidR="00DB2B68" w:rsidRDefault="00000000">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4D14059D" w14:textId="77777777" w:rsidR="00DB2B68" w:rsidRDefault="00000000">
      <w:pPr>
        <w:pStyle w:val="pheading"/>
      </w:pPr>
      <w:r>
        <w:t>- nature du marché:</w:t>
      </w:r>
    </w:p>
    <w:p w14:paraId="14283B9E" w14:textId="77777777" w:rsidR="00DB2B68" w:rsidRDefault="00000000">
      <w:r>
        <w:rPr>
          <w:rStyle w:val="optioncarChar"/>
        </w:rPr>
        <w:t>PM </w:t>
      </w:r>
      <w:r>
        <w:t>(par défaut) </w:t>
      </w:r>
      <w:r>
        <w:rPr>
          <w:rStyle w:val="optioncarChar"/>
        </w:rPr>
        <w:t>/ QF / QP</w:t>
      </w:r>
    </w:p>
    <w:p w14:paraId="6683DF3C" w14:textId="77777777" w:rsidR="00DB2B68" w:rsidRDefault="00000000">
      <w:r>
        <w:rPr>
          <w:b/>
          <w:i/>
        </w:rPr>
        <w:t>(Soit par défaut)</w:t>
      </w:r>
    </w:p>
    <w:p w14:paraId="6C17DB88" w14:textId="77777777" w:rsidR="00DB2B68" w:rsidRDefault="00000000">
      <w:r>
        <w:rPr>
          <w:rStyle w:val="soitChar"/>
        </w:rPr>
        <w:t>1.     PM</w:t>
      </w:r>
    </w:p>
    <w:p w14:paraId="6A4DEF55" w14:textId="77777777" w:rsidR="00DB2B68" w:rsidRDefault="00000000">
      <w:r>
        <w:rPr>
          <w:b/>
          <w:i/>
        </w:rPr>
        <w:t>(Soit)</w:t>
      </w:r>
    </w:p>
    <w:p w14:paraId="4AE384B1" w14:textId="77777777" w:rsidR="00DB2B68" w:rsidRDefault="00000000">
      <w:r>
        <w:rPr>
          <w:rStyle w:val="soitChar"/>
        </w:rPr>
        <w:t>2.     QF</w:t>
      </w:r>
    </w:p>
    <w:p w14:paraId="15665AF6" w14:textId="77777777" w:rsidR="00DB2B68" w:rsidRDefault="00000000">
      <w:r>
        <w:rPr>
          <w:b/>
          <w:i/>
        </w:rPr>
        <w:t>(Soit)</w:t>
      </w:r>
    </w:p>
    <w:p w14:paraId="12BC4EFC" w14:textId="77777777" w:rsidR="00DB2B68" w:rsidRDefault="00000000">
      <w:r>
        <w:rPr>
          <w:rStyle w:val="soitChar"/>
        </w:rPr>
        <w:t>3.     QP</w:t>
      </w:r>
    </w:p>
    <w:p w14:paraId="5D2ED530" w14:textId="77777777" w:rsidR="00DB2B68" w:rsidRDefault="00000000">
      <w:pPr>
        <w:pStyle w:val="Author-eSectionHeading4Numberless"/>
      </w:pPr>
      <w:bookmarkStart w:id="1756" w:name="_Toc220496720"/>
      <w:r>
        <w:t>24.43 Assemblages collés CCTB 01.10</w:t>
      </w:r>
      <w:bookmarkEnd w:id="1756"/>
    </w:p>
    <w:p w14:paraId="68B582C1" w14:textId="77777777" w:rsidR="00DB2B68" w:rsidRDefault="00000000">
      <w:pPr>
        <w:pStyle w:val="Author-eSectionHeading5Numberless"/>
      </w:pPr>
      <w:bookmarkStart w:id="1757" w:name="_Toc220496721"/>
      <w:r>
        <w:t>24.43.1 Assemblages collés CCTB 01.07</w:t>
      </w:r>
      <w:bookmarkEnd w:id="1757"/>
    </w:p>
    <w:p w14:paraId="16660AAB" w14:textId="77777777" w:rsidR="00DB2B68" w:rsidRDefault="00000000">
      <w:pPr>
        <w:pStyle w:val="Author-eSectionHeading6Numberless"/>
      </w:pPr>
      <w:bookmarkStart w:id="1758" w:name="617"/>
      <w:bookmarkStart w:id="1759" w:name="_Toc220496722"/>
      <w:bookmarkEnd w:id="1758"/>
      <w:r>
        <w:t>24.43.1a Assemblages collés - goujons collés CCTB 01.11</w:t>
      </w:r>
      <w:bookmarkEnd w:id="1759"/>
    </w:p>
    <w:p w14:paraId="63B412D1" w14:textId="77777777" w:rsidR="00DB2B68" w:rsidRDefault="00000000">
      <w:pPr>
        <w:pStyle w:val="pheading"/>
      </w:pPr>
      <w:r>
        <w:t>DESCRIPTION</w:t>
      </w:r>
    </w:p>
    <w:p w14:paraId="0E42CDD2" w14:textId="77777777" w:rsidR="00DB2B68" w:rsidRDefault="00000000">
      <w:pPr>
        <w:pStyle w:val="pheading"/>
      </w:pPr>
      <w:r>
        <w:t>- Définition / Comprend</w:t>
      </w:r>
    </w:p>
    <w:p w14:paraId="33DEA85D" w14:textId="77777777" w:rsidR="00DB2B68" w:rsidRDefault="00000000">
      <w:pPr>
        <w:jc w:val="both"/>
      </w:pPr>
      <w:r>
        <w:t>Il s’agit d’un dispositif d’assemblage d’éléments de structure en bois réalisé au moyen de goujons métalliques installés dans le bois percé préalablement. Les goujons sont collés à l’aide d’une résine époxy</w:t>
      </w:r>
    </w:p>
    <w:p w14:paraId="7FEDBEAA" w14:textId="77777777" w:rsidR="00DB2B68" w:rsidRDefault="00000000">
      <w:pPr>
        <w:jc w:val="both"/>
      </w:pPr>
      <w:r>
        <w:t>Sauf mention contraire au cahier spécial des charges, le travail comprend notamment :</w:t>
      </w:r>
    </w:p>
    <w:p w14:paraId="5EB87984" w14:textId="77777777" w:rsidR="00DB2B68" w:rsidRDefault="00000000">
      <w:pPr>
        <w:pStyle w:val="Author-eListParagraph"/>
        <w:numPr>
          <w:ilvl w:val="0"/>
          <w:numId w:val="1068"/>
        </w:numPr>
        <w:jc w:val="both"/>
      </w:pPr>
      <w:r>
        <w:lastRenderedPageBreak/>
        <w:t>La fourniture des goujons métalliques et de la résine,</w:t>
      </w:r>
    </w:p>
    <w:p w14:paraId="661A9D3C" w14:textId="77777777" w:rsidR="00DB2B68" w:rsidRDefault="00000000">
      <w:pPr>
        <w:pStyle w:val="Author-eListParagraph"/>
        <w:numPr>
          <w:ilvl w:val="0"/>
          <w:numId w:val="1068"/>
        </w:numPr>
        <w:jc w:val="both"/>
      </w:pPr>
      <w:r>
        <w:t>La mise en œuvre des goujons collés.</w:t>
      </w:r>
    </w:p>
    <w:p w14:paraId="260EF04C" w14:textId="77777777" w:rsidR="00DB2B68" w:rsidRDefault="00000000">
      <w:pPr>
        <w:pStyle w:val="pheading"/>
      </w:pPr>
      <w:r>
        <w:t>MATÉRIAUX</w:t>
      </w:r>
    </w:p>
    <w:p w14:paraId="262563DC" w14:textId="77777777" w:rsidR="00DB2B68" w:rsidRDefault="00000000">
      <w:pPr>
        <w:pStyle w:val="pheading"/>
      </w:pPr>
      <w:r>
        <w:t>- Caractéristiques générales</w:t>
      </w:r>
    </w:p>
    <w:p w14:paraId="0374B702" w14:textId="77777777" w:rsidR="00DB2B68" w:rsidRDefault="00000000">
      <w:pPr>
        <w:jc w:val="both"/>
      </w:pPr>
      <w:r>
        <w:rPr>
          <w:b/>
          <w:u w:val="single"/>
        </w:rPr>
        <w:t>Résine :</w:t>
      </w:r>
    </w:p>
    <w:p w14:paraId="2F9D712A" w14:textId="77777777" w:rsidR="00DB2B68" w:rsidRDefault="00000000">
      <w:pPr>
        <w:jc w:val="both"/>
      </w:pPr>
      <w:r>
        <w:t>Une résine époxy bi-composants ayant fait l’objet d’une évaluation de ses performances spécifiques pour son utilisation dans un système de goujons collés est utilisées.</w:t>
      </w:r>
    </w:p>
    <w:p w14:paraId="460B1CE4" w14:textId="77777777" w:rsidR="00DB2B68" w:rsidRDefault="00000000">
      <w:pPr>
        <w:jc w:val="both"/>
      </w:pPr>
      <w:r>
        <w:t>Les performances de la résine à court et à long terme en fonction de l’humidité ont été évaluées et ce dans toute la plage de températures à laquelle l’assemblage sera soumis.</w:t>
      </w:r>
    </w:p>
    <w:p w14:paraId="33603F5B" w14:textId="77777777" w:rsidR="00DB2B68" w:rsidRDefault="00000000">
      <w:pPr>
        <w:jc w:val="both"/>
      </w:pPr>
      <w:r>
        <w:rPr>
          <w:b/>
          <w:u w:val="single"/>
        </w:rPr>
        <w:t>Goujons :</w:t>
      </w:r>
    </w:p>
    <w:p w14:paraId="0E6B4873" w14:textId="77777777" w:rsidR="00DB2B68" w:rsidRDefault="00000000">
      <w:pPr>
        <w:jc w:val="both"/>
      </w:pPr>
      <w:r>
        <w:t xml:space="preserve">Nuance d’acier : </w:t>
      </w:r>
      <w:r>
        <w:rPr>
          <w:rStyle w:val="optioncarChar"/>
        </w:rPr>
        <w:t>4.8 </w:t>
      </w:r>
      <w:r>
        <w:t>(par défaut)</w:t>
      </w:r>
      <w:r>
        <w:rPr>
          <w:rStyle w:val="optioncarChar"/>
        </w:rPr>
        <w:t xml:space="preserve"> / 6.8 / 8.8 / 10.9 / ***</w:t>
      </w:r>
    </w:p>
    <w:p w14:paraId="44C714B5" w14:textId="77777777" w:rsidR="00DB2B68" w:rsidRDefault="00000000">
      <w:pPr>
        <w:jc w:val="both"/>
      </w:pPr>
      <w:r>
        <w:t xml:space="preserve">Diamètre : </w:t>
      </w:r>
      <w:r>
        <w:rPr>
          <w:rStyle w:val="optioncarChar"/>
        </w:rPr>
        <w:t>12 </w:t>
      </w:r>
      <w:r>
        <w:t>(par défaut)</w:t>
      </w:r>
      <w:r>
        <w:rPr>
          <w:rStyle w:val="optioncarChar"/>
        </w:rPr>
        <w:t xml:space="preserve"> / 16 / 20 / ***</w:t>
      </w:r>
    </w:p>
    <w:p w14:paraId="24722EAF" w14:textId="77777777" w:rsidR="00DB2B68" w:rsidRDefault="00000000">
      <w:pPr>
        <w:jc w:val="both"/>
      </w:pPr>
      <w:r>
        <w:t>Le goujon n’aura jamais un diamètre inférieur à 12mm</w:t>
      </w:r>
    </w:p>
    <w:p w14:paraId="4B75BBA0" w14:textId="77777777" w:rsidR="00DB2B68" w:rsidRDefault="00000000">
      <w:pPr>
        <w:jc w:val="both"/>
      </w:pPr>
      <w:r>
        <w:t xml:space="preserve">Protection contre la corrosion : </w:t>
      </w:r>
      <w:r>
        <w:rPr>
          <w:rStyle w:val="optioncarChar"/>
        </w:rPr>
        <w:t>aucune / électrozinguage / galvanisation</w:t>
      </w:r>
      <w:r>
        <w:t> </w:t>
      </w:r>
      <w:r>
        <w:rPr>
          <w:rStyle w:val="optioncarChar"/>
        </w:rPr>
        <w:t>(par défaut)</w:t>
      </w:r>
    </w:p>
    <w:p w14:paraId="7EABD0F9" w14:textId="77777777" w:rsidR="00DB2B68" w:rsidRDefault="00000000">
      <w:pPr>
        <w:jc w:val="both"/>
      </w:pPr>
      <w:r>
        <w:rPr>
          <w:b/>
          <w:u w:val="single"/>
        </w:rPr>
        <w:t>Bois :</w:t>
      </w:r>
    </w:p>
    <w:p w14:paraId="207CD738" w14:textId="77777777" w:rsidR="00DB2B68" w:rsidRDefault="00000000">
      <w:pPr>
        <w:jc w:val="both"/>
      </w:pPr>
      <w:r>
        <w:t>La classe de résistance mécaniques des bois de structure assemblés par goujons collés n'est jamais inférieure à la classe minimum exigée par le fabricant de la résine.</w:t>
      </w:r>
    </w:p>
    <w:p w14:paraId="7059556F" w14:textId="77777777" w:rsidR="00DB2B68" w:rsidRDefault="00000000">
      <w:pPr>
        <w:jc w:val="both"/>
      </w:pPr>
      <w:r>
        <w:t>Dans la zone d’assemblage, le bois est exempt de défaut majeur (nœuds ou pente de fil) et ne présente pas de gerces susceptibles de perturber l’injection de la résine.</w:t>
      </w:r>
    </w:p>
    <w:p w14:paraId="2E2F7837" w14:textId="77777777" w:rsidR="00DB2B68" w:rsidRDefault="00000000">
      <w:pPr>
        <w:pStyle w:val="pheading"/>
      </w:pPr>
      <w:r>
        <w:t>EXÉCUTION / MISE EN ŒUVRE</w:t>
      </w:r>
    </w:p>
    <w:p w14:paraId="6E23973E" w14:textId="77777777" w:rsidR="00DB2B68" w:rsidRDefault="00000000">
      <w:pPr>
        <w:pStyle w:val="pheading"/>
      </w:pPr>
      <w:r>
        <w:t>- Prescriptions générales</w:t>
      </w:r>
    </w:p>
    <w:p w14:paraId="666E0761" w14:textId="77777777" w:rsidR="00DB2B68" w:rsidRDefault="00000000">
      <w:pPr>
        <w:jc w:val="both"/>
      </w:pPr>
      <w:r>
        <w:t>La réalisation d’assemblage par goujon collé est effectuée par du personnel autorisé par le fabricant.</w:t>
      </w:r>
    </w:p>
    <w:p w14:paraId="261DF6C5" w14:textId="77777777" w:rsidR="00DB2B68" w:rsidRDefault="00000000">
      <w:pPr>
        <w:jc w:val="both"/>
      </w:pPr>
      <w:r>
        <w:t>Les instructions du fabricant sont scrupuleusement respectées. Les étapes suivantes sont réalisées :</w:t>
      </w:r>
    </w:p>
    <w:p w14:paraId="6690B7EF" w14:textId="77777777" w:rsidR="00DB2B68" w:rsidRDefault="00000000">
      <w:pPr>
        <w:jc w:val="both"/>
      </w:pPr>
      <w:r>
        <w:rPr>
          <w:b/>
          <w:u w:val="single"/>
        </w:rPr>
        <w:t>Usinage des trous :</w:t>
      </w:r>
    </w:p>
    <w:p w14:paraId="58ED39E5" w14:textId="77777777" w:rsidR="00DB2B68" w:rsidRDefault="00000000">
      <w:pPr>
        <w:jc w:val="both"/>
      </w:pPr>
      <w:r>
        <w:t>Les trous sont prépercés au diamètre recommandé dans l’ETA du fabricant. Dans le cas où cette information n’est pas disponible, le diamètre des trous est égal à celui des tiges filetées augmenté de 6mm.</w:t>
      </w:r>
    </w:p>
    <w:p w14:paraId="1FD2D984" w14:textId="77777777" w:rsidR="00DB2B68" w:rsidRDefault="00000000">
      <w:pPr>
        <w:jc w:val="both"/>
      </w:pPr>
      <w:r>
        <w:t>Des cheminées d’injection et les évents de dégazage sont également percées.</w:t>
      </w:r>
    </w:p>
    <w:p w14:paraId="76EF4FD4" w14:textId="77777777" w:rsidR="00DB2B68" w:rsidRDefault="00000000">
      <w:pPr>
        <w:jc w:val="both"/>
      </w:pPr>
      <w:r>
        <w:t>Les trous sont dépoussiérés par soufflage.</w:t>
      </w:r>
    </w:p>
    <w:p w14:paraId="55D65EAB" w14:textId="77777777" w:rsidR="00DB2B68" w:rsidRDefault="00000000">
      <w:pPr>
        <w:jc w:val="both"/>
      </w:pPr>
      <w:r>
        <w:rPr>
          <w:b/>
          <w:u w:val="single"/>
        </w:rPr>
        <w:t>Installation des goujons :</w:t>
      </w:r>
    </w:p>
    <w:p w14:paraId="1BFA9A45" w14:textId="77777777" w:rsidR="00DB2B68" w:rsidRDefault="00000000">
      <w:pPr>
        <w:jc w:val="both"/>
      </w:pPr>
      <w:r>
        <w:t>L’installateur vérifie l’absence de corrosion sur les tiges filetées. Celle-ci sont dépoussiérées et dégraissées.</w:t>
      </w:r>
    </w:p>
    <w:p w14:paraId="77FCFBDD" w14:textId="77777777" w:rsidR="00DB2B68" w:rsidRDefault="00000000">
      <w:pPr>
        <w:jc w:val="both"/>
      </w:pPr>
      <w:r>
        <w:t>De mesures sont prises pour maintenant la tige filetée au centre du trou durant l’injection de la résine.</w:t>
      </w:r>
    </w:p>
    <w:p w14:paraId="3F575355" w14:textId="77777777" w:rsidR="00DB2B68" w:rsidRDefault="00000000">
      <w:pPr>
        <w:jc w:val="both"/>
      </w:pPr>
      <w:r>
        <w:rPr>
          <w:b/>
          <w:u w:val="single"/>
        </w:rPr>
        <w:t>Injection de la résine :</w:t>
      </w:r>
    </w:p>
    <w:p w14:paraId="1424BC13" w14:textId="77777777" w:rsidR="00DB2B68" w:rsidRDefault="00000000">
      <w:pPr>
        <w:jc w:val="both"/>
      </w:pPr>
      <w:r>
        <w:t>Sauf si des conditions plus sévères sont données par le fabricant de la résine, les conditions suivantes doivent être respectées :</w:t>
      </w:r>
    </w:p>
    <w:p w14:paraId="604FD05C" w14:textId="77777777" w:rsidR="00DB2B68" w:rsidRDefault="00000000">
      <w:pPr>
        <w:pStyle w:val="Author-eListParagraph"/>
        <w:numPr>
          <w:ilvl w:val="0"/>
          <w:numId w:val="1069"/>
        </w:numPr>
      </w:pPr>
      <w:r>
        <w:t>Température ambiante et de la résine comprise entre +15°C et +30 °C</w:t>
      </w:r>
    </w:p>
    <w:p w14:paraId="70F940BF" w14:textId="77777777" w:rsidR="00DB2B68" w:rsidRDefault="00000000">
      <w:pPr>
        <w:pStyle w:val="Author-eListParagraph"/>
        <w:numPr>
          <w:ilvl w:val="0"/>
          <w:numId w:val="1069"/>
        </w:numPr>
      </w:pPr>
      <w:r>
        <w:t>Humidité relative de l’air comprise entre 30% et 70%</w:t>
      </w:r>
    </w:p>
    <w:p w14:paraId="2535CBBC" w14:textId="77777777" w:rsidR="00DB2B68" w:rsidRDefault="00000000">
      <w:pPr>
        <w:pStyle w:val="Author-eListParagraph"/>
        <w:numPr>
          <w:ilvl w:val="0"/>
          <w:numId w:val="1069"/>
        </w:numPr>
      </w:pPr>
      <w:r>
        <w:t>Température des bois supérieure ou égale à 15°C</w:t>
      </w:r>
    </w:p>
    <w:p w14:paraId="1BD5B7F3" w14:textId="77777777" w:rsidR="00DB2B68" w:rsidRDefault="00000000">
      <w:pPr>
        <w:pStyle w:val="Author-eListParagraph"/>
        <w:numPr>
          <w:ilvl w:val="0"/>
          <w:numId w:val="1069"/>
        </w:numPr>
      </w:pPr>
      <w:r>
        <w:t>Teneur en humidité des bois comprise entre 10% et 16%</w:t>
      </w:r>
    </w:p>
    <w:p w14:paraId="70FEB825" w14:textId="77777777" w:rsidR="00DB2B68" w:rsidRDefault="00000000">
      <w:pPr>
        <w:jc w:val="both"/>
      </w:pPr>
      <w:r>
        <w:t>L’opérateur vérifie avant injection la qualité du dépoussiérage effectué et la bonne circulation d’air entre les trous d’évents.</w:t>
      </w:r>
    </w:p>
    <w:p w14:paraId="76EB5F98" w14:textId="77777777" w:rsidR="00DB2B68" w:rsidRDefault="00000000">
      <w:pPr>
        <w:jc w:val="both"/>
      </w:pPr>
      <w:r>
        <w:t>La mise en charge de l’assemblage peut être effectuée 5 jours après le coulage de la résine.</w:t>
      </w:r>
    </w:p>
    <w:p w14:paraId="3EBF49AC" w14:textId="77777777" w:rsidR="00DB2B68" w:rsidRDefault="00000000">
      <w:pPr>
        <w:pStyle w:val="pheading"/>
      </w:pPr>
      <w:r>
        <w:lastRenderedPageBreak/>
        <w:t>MESURAGE</w:t>
      </w:r>
    </w:p>
    <w:p w14:paraId="4B7A2446" w14:textId="77777777" w:rsidR="00DB2B68" w:rsidRDefault="00000000">
      <w:pPr>
        <w:pStyle w:val="pheading"/>
      </w:pPr>
      <w:r>
        <w:t>- unité de mesure:</w:t>
      </w:r>
    </w:p>
    <w:p w14:paraId="27CE74A3" w14:textId="77777777" w:rsidR="00DB2B68" w:rsidRDefault="00000000">
      <w:r>
        <w:rPr>
          <w:rStyle w:val="optioncarChar"/>
        </w:rPr>
        <w:t>- </w:t>
      </w:r>
      <w:r>
        <w:t>(par défaut) </w:t>
      </w:r>
      <w:r>
        <w:rPr>
          <w:rStyle w:val="optioncarChar"/>
        </w:rPr>
        <w:t>/ pc</w:t>
      </w:r>
    </w:p>
    <w:p w14:paraId="365D5793" w14:textId="77777777" w:rsidR="00DB2B68" w:rsidRDefault="00000000">
      <w:r>
        <w:rPr>
          <w:b/>
          <w:i/>
        </w:rPr>
        <w:t>(Soit par défaut)</w:t>
      </w:r>
    </w:p>
    <w:p w14:paraId="35F56B62" w14:textId="77777777" w:rsidR="00DB2B68" w:rsidRDefault="00000000">
      <w:r>
        <w:rPr>
          <w:rStyle w:val="soitChar"/>
        </w:rPr>
        <w:t>1.     –</w:t>
      </w:r>
    </w:p>
    <w:p w14:paraId="2325654C" w14:textId="77777777" w:rsidR="00DB2B68" w:rsidRDefault="00000000">
      <w:r>
        <w:rPr>
          <w:b/>
          <w:i/>
        </w:rPr>
        <w:t>(Soit)</w:t>
      </w:r>
    </w:p>
    <w:p w14:paraId="6CABCE27" w14:textId="77777777" w:rsidR="00DB2B68" w:rsidRDefault="00000000">
      <w:r>
        <w:rPr>
          <w:rStyle w:val="soitChar"/>
        </w:rPr>
        <w:t>2.3.  pc</w:t>
      </w:r>
    </w:p>
    <w:p w14:paraId="16109B31" w14:textId="77777777" w:rsidR="00DB2B68" w:rsidRDefault="00DB2B68"/>
    <w:p w14:paraId="161E655E" w14:textId="77777777" w:rsidR="00DB2B68" w:rsidRDefault="00000000">
      <w:pPr>
        <w:pStyle w:val="pheading"/>
      </w:pPr>
      <w:r>
        <w:t>- code de mesurage:</w:t>
      </w:r>
    </w:p>
    <w:p w14:paraId="27239454" w14:textId="77777777" w:rsidR="00DB2B68" w:rsidRDefault="00000000">
      <w:r>
        <w:rPr>
          <w:rStyle w:val="optioncarChar"/>
        </w:rPr>
        <w:t>Compris </w:t>
      </w:r>
      <w:r>
        <w:t>(par défaut) </w:t>
      </w:r>
      <w:r>
        <w:rPr>
          <w:rStyle w:val="optioncarChar"/>
        </w:rPr>
        <w:t>/ Quantité nette</w:t>
      </w:r>
    </w:p>
    <w:p w14:paraId="1AFE1171" w14:textId="77777777" w:rsidR="00DB2B68" w:rsidRDefault="00000000">
      <w:r>
        <w:rPr>
          <w:b/>
          <w:i/>
        </w:rPr>
        <w:t>(Soit par défaut)</w:t>
      </w:r>
    </w:p>
    <w:p w14:paraId="1FEFD500" w14:textId="77777777" w:rsidR="00DB2B68" w:rsidRDefault="00000000">
      <w:r>
        <w:rPr>
          <w:rStyle w:val="soitChar"/>
        </w:rPr>
        <w:t>1.     Compris dans l’article de référence </w:t>
      </w:r>
      <w:r>
        <w:t> </w:t>
      </w:r>
      <w:r>
        <w:rPr>
          <w:rStyle w:val="optioncarChar"/>
        </w:rPr>
        <w:t>***</w:t>
      </w:r>
    </w:p>
    <w:p w14:paraId="4ECB1646" w14:textId="77777777" w:rsidR="00DB2B68" w:rsidRDefault="00000000">
      <w:r>
        <w:rPr>
          <w:b/>
          <w:i/>
        </w:rPr>
        <w:t>(Soit)</w:t>
      </w:r>
    </w:p>
    <w:p w14:paraId="60225AE3"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2105A00B" w14:textId="77777777" w:rsidR="00DB2B68" w:rsidRDefault="00000000">
      <w:pPr>
        <w:pStyle w:val="pheading"/>
      </w:pPr>
      <w:r>
        <w:t>- nature du marché:</w:t>
      </w:r>
    </w:p>
    <w:p w14:paraId="6FD976D9" w14:textId="77777777" w:rsidR="00DB2B68" w:rsidRDefault="00000000">
      <w:r>
        <w:rPr>
          <w:rStyle w:val="optioncarChar"/>
        </w:rPr>
        <w:t>PM</w:t>
      </w:r>
      <w:r>
        <w:t> (par défaut) </w:t>
      </w:r>
      <w:r>
        <w:rPr>
          <w:rStyle w:val="optioncarChar"/>
        </w:rPr>
        <w:t>/ QF / QP</w:t>
      </w:r>
    </w:p>
    <w:p w14:paraId="04B14D29" w14:textId="77777777" w:rsidR="00DB2B68" w:rsidRDefault="00000000">
      <w:r>
        <w:rPr>
          <w:b/>
          <w:i/>
        </w:rPr>
        <w:t>(Soit par défaut)</w:t>
      </w:r>
    </w:p>
    <w:p w14:paraId="20E9C7C8" w14:textId="77777777" w:rsidR="00DB2B68" w:rsidRDefault="00000000">
      <w:r>
        <w:rPr>
          <w:rStyle w:val="soitChar"/>
        </w:rPr>
        <w:t>1.     PM</w:t>
      </w:r>
    </w:p>
    <w:p w14:paraId="43A20BBD" w14:textId="77777777" w:rsidR="00DB2B68" w:rsidRDefault="00000000">
      <w:r>
        <w:rPr>
          <w:b/>
          <w:i/>
        </w:rPr>
        <w:t>(Soit)</w:t>
      </w:r>
    </w:p>
    <w:p w14:paraId="3AA92176" w14:textId="77777777" w:rsidR="00DB2B68" w:rsidRDefault="00000000">
      <w:r>
        <w:rPr>
          <w:rStyle w:val="soitChar"/>
        </w:rPr>
        <w:t>2.     QF</w:t>
      </w:r>
    </w:p>
    <w:p w14:paraId="05757081" w14:textId="77777777" w:rsidR="00DB2B68" w:rsidRDefault="00000000">
      <w:r>
        <w:rPr>
          <w:b/>
          <w:i/>
        </w:rPr>
        <w:t>(Soit)</w:t>
      </w:r>
    </w:p>
    <w:p w14:paraId="0569C707" w14:textId="77777777" w:rsidR="00DB2B68" w:rsidRDefault="00000000">
      <w:r>
        <w:rPr>
          <w:rStyle w:val="soitChar"/>
        </w:rPr>
        <w:t>3.     QP</w:t>
      </w:r>
    </w:p>
    <w:p w14:paraId="460519EE" w14:textId="77777777" w:rsidR="00DB2B68" w:rsidRDefault="00000000">
      <w:pPr>
        <w:pStyle w:val="Author-eSectionHeading6Numberless"/>
      </w:pPr>
      <w:bookmarkStart w:id="1760" w:name="_Toc220496723"/>
      <w:r>
        <w:t>24.43.1b Assemblages collés - entures multiples CCTB 01.07</w:t>
      </w:r>
      <w:bookmarkEnd w:id="1760"/>
    </w:p>
    <w:p w14:paraId="4CC096C0" w14:textId="77777777" w:rsidR="00DB2B68" w:rsidRDefault="00000000">
      <w:pPr>
        <w:pStyle w:val="pheading"/>
      </w:pPr>
      <w:r>
        <w:t>DESCRIPTION</w:t>
      </w:r>
    </w:p>
    <w:p w14:paraId="1364350B" w14:textId="77777777" w:rsidR="00DB2B68" w:rsidRDefault="00000000">
      <w:pPr>
        <w:pStyle w:val="pheading"/>
      </w:pPr>
      <w:r>
        <w:t>- Définition / Comprend</w:t>
      </w:r>
    </w:p>
    <w:p w14:paraId="0653B30D" w14:textId="77777777" w:rsidR="00DB2B68" w:rsidRDefault="00000000">
      <w:pPr>
        <w:jc w:val="both"/>
      </w:pPr>
      <w:r>
        <w:rPr>
          <w:b/>
        </w:rPr>
        <w:t>Remarques importantes</w:t>
      </w:r>
    </w:p>
    <w:p w14:paraId="5408BB36" w14:textId="77777777" w:rsidR="00DB2B68" w:rsidRDefault="00000000">
      <w:pPr>
        <w:jc w:val="both"/>
      </w:pPr>
      <w:r>
        <w:t>Selon les cas, une des trois documents normatifs suivant doit être respecté :</w:t>
      </w:r>
    </w:p>
    <w:p w14:paraId="6E02D703" w14:textId="77777777" w:rsidR="00DB2B68" w:rsidRDefault="00000000">
      <w:pPr>
        <w:pStyle w:val="Author-eListParagraph"/>
        <w:numPr>
          <w:ilvl w:val="0"/>
          <w:numId w:val="1070"/>
        </w:numPr>
      </w:pPr>
      <w:r>
        <w:t>La [NBN EN 15497] concernant les aboutages à entures multiples</w:t>
      </w:r>
    </w:p>
    <w:p w14:paraId="7DFF8A78" w14:textId="77777777" w:rsidR="00DB2B68" w:rsidRDefault="00000000">
      <w:pPr>
        <w:pStyle w:val="Author-eListParagraph"/>
        <w:numPr>
          <w:ilvl w:val="0"/>
          <w:numId w:val="1070"/>
        </w:numPr>
      </w:pPr>
      <w:r>
        <w:t>La [NBN EN 14080] concernant les aboutages à entures multiples de grandes dimensions</w:t>
      </w:r>
    </w:p>
    <w:p w14:paraId="4F700B83" w14:textId="77777777" w:rsidR="00DB2B68" w:rsidRDefault="00000000">
      <w:pPr>
        <w:pStyle w:val="Author-eListParagraph"/>
        <w:numPr>
          <w:ilvl w:val="0"/>
          <w:numId w:val="1070"/>
        </w:numPr>
      </w:pPr>
      <w:r>
        <w:t>L’[EAD 130089-00-0304] concernant les aboutages à entures multiples fait sur bois humide et/ou froid</w:t>
      </w:r>
      <w:r>
        <w:br/>
      </w:r>
    </w:p>
    <w:p w14:paraId="18768C6A" w14:textId="77777777" w:rsidR="00DB2B68" w:rsidRDefault="00000000">
      <w:pPr>
        <w:jc w:val="both"/>
      </w:pPr>
      <w:r>
        <w:t>Les aboutages à entures multiples (fait sur bois humide ou non) ont généralement une longueur d’enture de 15 ou 20mm. Les aboutages à entures multiples de grandes dimensions sont ceux dont la longueur d’enture est supérieure à 45mm.</w:t>
      </w:r>
    </w:p>
    <w:p w14:paraId="16F58099" w14:textId="77777777" w:rsidR="00DB2B68" w:rsidRDefault="00000000">
      <w:pPr>
        <w:pStyle w:val="pheading"/>
      </w:pPr>
      <w:r>
        <w:t>MATÉRIAUX</w:t>
      </w:r>
    </w:p>
    <w:p w14:paraId="63532900" w14:textId="77777777" w:rsidR="00DB2B68" w:rsidRDefault="00000000">
      <w:pPr>
        <w:pStyle w:val="pheading"/>
      </w:pPr>
      <w:r>
        <w:t>- Caractéristiques générales</w:t>
      </w:r>
    </w:p>
    <w:p w14:paraId="0858C06B" w14:textId="77777777" w:rsidR="00DB2B68" w:rsidRDefault="00000000">
      <w:pPr>
        <w:jc w:val="both"/>
      </w:pPr>
      <w:r>
        <w:rPr>
          <w:b/>
          <w:u w:val="single"/>
        </w:rPr>
        <w:t>Teneur en humidité des bois</w:t>
      </w:r>
    </w:p>
    <w:p w14:paraId="4FDA6D10" w14:textId="77777777" w:rsidR="00DB2B68" w:rsidRDefault="00000000">
      <w:pPr>
        <w:jc w:val="both"/>
      </w:pPr>
      <w:r>
        <w:t>Sauf recommandation plus contraignante du fabricant de l’adhésif, les deux bois aboutés ont une teneur en humidité comprise dans les limites suivantes :</w:t>
      </w:r>
    </w:p>
    <w:p w14:paraId="0996CE64" w14:textId="77777777" w:rsidR="00DB2B68" w:rsidRDefault="00000000">
      <w:pPr>
        <w:pStyle w:val="Author-eListParagraph"/>
        <w:numPr>
          <w:ilvl w:val="0"/>
          <w:numId w:val="1071"/>
        </w:numPr>
      </w:pPr>
      <w:r>
        <w:lastRenderedPageBreak/>
        <w:t>Entre 7% et 18% pour les aboutages à entures multiples selon la [NBN EN 15497]</w:t>
      </w:r>
    </w:p>
    <w:p w14:paraId="7978820E" w14:textId="77777777" w:rsidR="00DB2B68" w:rsidRDefault="00000000">
      <w:pPr>
        <w:pStyle w:val="Author-eListParagraph"/>
        <w:numPr>
          <w:ilvl w:val="0"/>
          <w:numId w:val="1071"/>
        </w:numPr>
      </w:pPr>
      <w:r>
        <w:t>Inférieur à 15% pour les aboutages à entures multiples de grandes dimensions selon la [NBN EN 14080]</w:t>
      </w:r>
    </w:p>
    <w:p w14:paraId="1F2247FA" w14:textId="77777777" w:rsidR="00DB2B68" w:rsidRDefault="00000000">
      <w:pPr>
        <w:pStyle w:val="Author-eListParagraph"/>
        <w:numPr>
          <w:ilvl w:val="0"/>
          <w:numId w:val="1071"/>
        </w:numPr>
      </w:pPr>
      <w:r>
        <w:t>Entre 8% et 40% pour les aboutages à entures multiples réalisés selon l’[EAD 130089-00-0304]</w:t>
      </w:r>
    </w:p>
    <w:p w14:paraId="01300316" w14:textId="77777777" w:rsidR="00DB2B68" w:rsidRDefault="00000000">
      <w:pPr>
        <w:jc w:val="both"/>
      </w:pPr>
      <w:r>
        <w:t>La différence de teneur en humidité entre les deux bois aboutés est au maximum de :</w:t>
      </w:r>
    </w:p>
    <w:p w14:paraId="29F31E7D" w14:textId="77777777" w:rsidR="00DB2B68" w:rsidRDefault="00000000">
      <w:pPr>
        <w:pStyle w:val="Author-eListParagraph"/>
        <w:numPr>
          <w:ilvl w:val="0"/>
          <w:numId w:val="1072"/>
        </w:numPr>
        <w:jc w:val="both"/>
      </w:pPr>
      <w:r>
        <w:t>5% pour les aboutages à entures multiples selon la [NBN EN 15497].</w:t>
      </w:r>
    </w:p>
    <w:p w14:paraId="6EE55D6D" w14:textId="77777777" w:rsidR="00DB2B68" w:rsidRDefault="00000000">
      <w:pPr>
        <w:pStyle w:val="Author-eListParagraph"/>
        <w:numPr>
          <w:ilvl w:val="0"/>
          <w:numId w:val="1072"/>
        </w:numPr>
        <w:jc w:val="both"/>
      </w:pPr>
      <w:r>
        <w:t>2% pour les aboutages à entures multiples de grandes dimensions selon la [NBN EN 14080]</w:t>
      </w:r>
    </w:p>
    <w:p w14:paraId="703E16E4" w14:textId="77777777" w:rsidR="00DB2B68" w:rsidRDefault="00000000">
      <w:pPr>
        <w:pStyle w:val="Author-eListParagraph"/>
        <w:numPr>
          <w:ilvl w:val="0"/>
          <w:numId w:val="1072"/>
        </w:numPr>
        <w:jc w:val="both"/>
      </w:pPr>
      <w:r>
        <w:t>20% pour les aboutages à entures multiples réalisés selon l’[EAD 130089-00-0304]</w:t>
      </w:r>
    </w:p>
    <w:p w14:paraId="19012DD4" w14:textId="77777777" w:rsidR="00DB2B68" w:rsidRDefault="00000000">
      <w:pPr>
        <w:pStyle w:val="pheading"/>
      </w:pPr>
      <w:r>
        <w:t>EXÉCUTION / MISE EN ŒUVRE</w:t>
      </w:r>
    </w:p>
    <w:p w14:paraId="5D47E160" w14:textId="77777777" w:rsidR="00DB2B68" w:rsidRDefault="00000000">
      <w:pPr>
        <w:pStyle w:val="pheading"/>
      </w:pPr>
      <w:r>
        <w:t>- Prescriptions générales</w:t>
      </w:r>
    </w:p>
    <w:p w14:paraId="299E0508" w14:textId="77777777" w:rsidR="00DB2B68" w:rsidRDefault="00000000">
      <w:pPr>
        <w:jc w:val="both"/>
      </w:pPr>
      <w:r>
        <w:t>L’aboutage à enture multiple est réalisé en usine.</w:t>
      </w:r>
    </w:p>
    <w:p w14:paraId="2E33BFA0" w14:textId="77777777" w:rsidR="00DB2B68" w:rsidRDefault="00000000">
      <w:pPr>
        <w:jc w:val="both"/>
      </w:pPr>
      <w:r>
        <w:t>Dans la zone de l’aboutage, aucun nœud de diamètre supérieur à 6mm n’est autorisé. Les déviations locales de la pente du fil et les fentes ne sont pas autorisées.</w:t>
      </w:r>
    </w:p>
    <w:p w14:paraId="124B2E0D" w14:textId="77777777" w:rsidR="00DB2B68" w:rsidRDefault="00000000">
      <w:pPr>
        <w:jc w:val="both"/>
      </w:pPr>
      <w:r>
        <w:t>La taille des flaches est limitée aux valeurs données au point G.4.1 de la [NBN EN 15497].</w:t>
      </w:r>
    </w:p>
    <w:p w14:paraId="693262CA" w14:textId="77777777" w:rsidR="00DB2B68" w:rsidRDefault="00000000">
      <w:pPr>
        <w:jc w:val="both"/>
      </w:pPr>
      <w:r>
        <w:t>La géométrie des entailles doit être conforme au point G.4.2 de [NBN EN 15497] pour les aboutages à entures multiples et au point I.6.2 de [NBN EN 14080] pour les aboutages à entures multiples de grandes dimensions.</w:t>
      </w:r>
    </w:p>
    <w:p w14:paraId="4D04D6D1" w14:textId="77777777" w:rsidR="00DB2B68" w:rsidRDefault="00000000">
      <w:pPr>
        <w:jc w:val="both"/>
      </w:pPr>
      <w:r>
        <w:t>Une pression de serrage est appliquée uniformément sur toute la longueur de l’aboutage à entures multiples. Celle-ci est spécifiée au point G.4.7 de la [NBN EN 15497]. Elle est maintenue pendant le temps prescrit par le fabricant de l’adhésif.</w:t>
      </w:r>
    </w:p>
    <w:p w14:paraId="4DB1FE4B" w14:textId="77777777" w:rsidR="00DB2B68" w:rsidRDefault="00000000">
      <w:pPr>
        <w:pStyle w:val="pheading"/>
      </w:pPr>
      <w:r>
        <w:t>MESURAGE</w:t>
      </w:r>
    </w:p>
    <w:p w14:paraId="40757271" w14:textId="77777777" w:rsidR="00DB2B68" w:rsidRDefault="00000000">
      <w:pPr>
        <w:pStyle w:val="pheading"/>
      </w:pPr>
      <w:r>
        <w:t>- unité de mesure:</w:t>
      </w:r>
    </w:p>
    <w:p w14:paraId="74B421CE" w14:textId="77777777" w:rsidR="00DB2B68" w:rsidRDefault="00000000">
      <w:r>
        <w:rPr>
          <w:rStyle w:val="optioncarChar"/>
        </w:rPr>
        <w:t>- </w:t>
      </w:r>
      <w:r>
        <w:t>(par défaut)</w:t>
      </w:r>
      <w:r>
        <w:rPr>
          <w:rStyle w:val="optioncarChar"/>
        </w:rPr>
        <w:t> / pc</w:t>
      </w:r>
    </w:p>
    <w:p w14:paraId="3D81C3FD" w14:textId="77777777" w:rsidR="00DB2B68" w:rsidRDefault="00000000">
      <w:r>
        <w:rPr>
          <w:b/>
          <w:i/>
        </w:rPr>
        <w:t>(Soit par défaut)</w:t>
      </w:r>
    </w:p>
    <w:p w14:paraId="364886F8" w14:textId="77777777" w:rsidR="00DB2B68" w:rsidRDefault="00000000">
      <w:r>
        <w:rPr>
          <w:rStyle w:val="soitChar"/>
        </w:rPr>
        <w:t>1.     –</w:t>
      </w:r>
    </w:p>
    <w:p w14:paraId="176EAB91" w14:textId="77777777" w:rsidR="00DB2B68" w:rsidRDefault="00000000">
      <w:r>
        <w:rPr>
          <w:b/>
          <w:i/>
        </w:rPr>
        <w:t>(Soit)</w:t>
      </w:r>
    </w:p>
    <w:p w14:paraId="0BB89A7E" w14:textId="77777777" w:rsidR="00DB2B68" w:rsidRDefault="00000000">
      <w:r>
        <w:rPr>
          <w:rStyle w:val="soitChar"/>
        </w:rPr>
        <w:t>2.3.  pc</w:t>
      </w:r>
    </w:p>
    <w:p w14:paraId="440B8BD2" w14:textId="77777777" w:rsidR="00DB2B68" w:rsidRDefault="00000000">
      <w:pPr>
        <w:pStyle w:val="pheading"/>
      </w:pPr>
      <w:r>
        <w:t>- code de mesurage:</w:t>
      </w:r>
    </w:p>
    <w:p w14:paraId="09FFCC09" w14:textId="77777777" w:rsidR="00DB2B68" w:rsidRDefault="00000000">
      <w:r>
        <w:rPr>
          <w:rStyle w:val="optioncarChar"/>
        </w:rPr>
        <w:t>Compris </w:t>
      </w:r>
      <w:r>
        <w:t>(par défaut)</w:t>
      </w:r>
      <w:r>
        <w:rPr>
          <w:rStyle w:val="optioncarChar"/>
        </w:rPr>
        <w:t> / Quantité nette</w:t>
      </w:r>
    </w:p>
    <w:p w14:paraId="35433975" w14:textId="77777777" w:rsidR="00DB2B68" w:rsidRDefault="00000000">
      <w:r>
        <w:rPr>
          <w:b/>
          <w:i/>
        </w:rPr>
        <w:t>(Soit par défaut)</w:t>
      </w:r>
    </w:p>
    <w:p w14:paraId="6EFFFC37" w14:textId="77777777" w:rsidR="00DB2B68" w:rsidRDefault="00000000">
      <w:r>
        <w:rPr>
          <w:rStyle w:val="soitChar"/>
        </w:rPr>
        <w:t>1.    </w:t>
      </w:r>
      <w:r>
        <w:rPr>
          <w:rStyle w:val="soitChar"/>
          <w:u w:val="single"/>
        </w:rPr>
        <w:t> Compris</w:t>
      </w:r>
      <w:r>
        <w:rPr>
          <w:rStyle w:val="soitChar"/>
        </w:rPr>
        <w:t> dans l’article de référence </w:t>
      </w:r>
      <w:r>
        <w:t> </w:t>
      </w:r>
      <w:r>
        <w:rPr>
          <w:rStyle w:val="optioncarChar"/>
        </w:rPr>
        <w:t>***</w:t>
      </w:r>
    </w:p>
    <w:p w14:paraId="6D7BCB74" w14:textId="77777777" w:rsidR="00DB2B68" w:rsidRDefault="00000000">
      <w:r>
        <w:rPr>
          <w:b/>
          <w:i/>
        </w:rPr>
        <w:t>(Soit)</w:t>
      </w:r>
    </w:p>
    <w:p w14:paraId="41391C8C" w14:textId="77777777" w:rsidR="00DB2B68"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470906FE" w14:textId="77777777" w:rsidR="00DB2B68" w:rsidRDefault="00000000">
      <w:pPr>
        <w:pStyle w:val="pheading"/>
      </w:pPr>
      <w:r>
        <w:t>- nature du marché:</w:t>
      </w:r>
    </w:p>
    <w:p w14:paraId="405E19D6" w14:textId="77777777" w:rsidR="00DB2B68" w:rsidRDefault="00000000">
      <w:r>
        <w:rPr>
          <w:rStyle w:val="optioncarChar"/>
        </w:rPr>
        <w:t>PM </w:t>
      </w:r>
      <w:r>
        <w:t>(par défaut) </w:t>
      </w:r>
      <w:r>
        <w:rPr>
          <w:rStyle w:val="optioncarChar"/>
        </w:rPr>
        <w:t>/ QF / QP</w:t>
      </w:r>
    </w:p>
    <w:p w14:paraId="7511FF3B" w14:textId="77777777" w:rsidR="00DB2B68" w:rsidRDefault="00000000">
      <w:r>
        <w:rPr>
          <w:b/>
          <w:i/>
        </w:rPr>
        <w:t>(Soit par défaut)</w:t>
      </w:r>
    </w:p>
    <w:p w14:paraId="4E796821" w14:textId="77777777" w:rsidR="00DB2B68" w:rsidRDefault="00000000">
      <w:r>
        <w:rPr>
          <w:rStyle w:val="soitChar"/>
        </w:rPr>
        <w:t>1.     PM</w:t>
      </w:r>
    </w:p>
    <w:p w14:paraId="229C90D5" w14:textId="77777777" w:rsidR="00DB2B68" w:rsidRDefault="00000000">
      <w:r>
        <w:rPr>
          <w:b/>
          <w:i/>
        </w:rPr>
        <w:t>(Soit)</w:t>
      </w:r>
    </w:p>
    <w:p w14:paraId="6B6D02DC" w14:textId="77777777" w:rsidR="00DB2B68" w:rsidRDefault="00000000">
      <w:r>
        <w:rPr>
          <w:rStyle w:val="soitChar"/>
        </w:rPr>
        <w:t>2.     QF</w:t>
      </w:r>
    </w:p>
    <w:p w14:paraId="501396B3" w14:textId="77777777" w:rsidR="00DB2B68" w:rsidRDefault="00000000">
      <w:r>
        <w:rPr>
          <w:b/>
          <w:i/>
        </w:rPr>
        <w:t>(Soit)</w:t>
      </w:r>
    </w:p>
    <w:p w14:paraId="1A8936B5" w14:textId="77777777" w:rsidR="00DB2B68" w:rsidRDefault="00000000">
      <w:r>
        <w:rPr>
          <w:rStyle w:val="soitChar"/>
        </w:rPr>
        <w:lastRenderedPageBreak/>
        <w:t>3.     QP</w:t>
      </w:r>
    </w:p>
    <w:p w14:paraId="1D0483E4" w14:textId="77777777" w:rsidR="00DB2B68" w:rsidRDefault="00000000">
      <w:pPr>
        <w:pStyle w:val="Author-eSectionHeading6Numberless"/>
      </w:pPr>
      <w:bookmarkStart w:id="1761" w:name="_Toc220496724"/>
      <w:r>
        <w:t>24.43.1c Assemblages collés - collages structuraux pour éléments collaborants CCTB 01.07</w:t>
      </w:r>
      <w:bookmarkEnd w:id="1761"/>
    </w:p>
    <w:p w14:paraId="514475E7" w14:textId="77777777" w:rsidR="00DB2B68" w:rsidRDefault="00000000">
      <w:pPr>
        <w:pStyle w:val="pheading"/>
      </w:pPr>
      <w:r>
        <w:t>DESCRIPTION</w:t>
      </w:r>
    </w:p>
    <w:p w14:paraId="4A6C01F9" w14:textId="77777777" w:rsidR="00DB2B68" w:rsidRDefault="00000000">
      <w:pPr>
        <w:pStyle w:val="pheading"/>
      </w:pPr>
      <w:r>
        <w:t>- Définition / Comprend</w:t>
      </w:r>
    </w:p>
    <w:p w14:paraId="2C948C3E" w14:textId="77777777" w:rsidR="00DB2B68" w:rsidRDefault="00000000">
      <w:pPr>
        <w:jc w:val="both"/>
      </w:pPr>
      <w:r>
        <w:t>Il s’agit de joint de collage reliant des pièces de bois sur leur longueur et permettant un transfert des efforts rasant afin de garantir le fonctionnement des pièces ainsi assemblées similaire à celui d’une pièce monolithique.</w:t>
      </w:r>
    </w:p>
    <w:p w14:paraId="59D4F7BF" w14:textId="77777777" w:rsidR="00DB2B68" w:rsidRDefault="00000000">
      <w:pPr>
        <w:pStyle w:val="Author-eSectionHeading4Numberless"/>
      </w:pPr>
      <w:bookmarkStart w:id="1762" w:name="_Toc220496725"/>
      <w:r>
        <w:t>24.44 Ancrages pour structures en bois CCTB 01.07</w:t>
      </w:r>
      <w:bookmarkEnd w:id="1762"/>
    </w:p>
    <w:p w14:paraId="5A313054" w14:textId="77777777" w:rsidR="00DB2B68" w:rsidRDefault="00000000">
      <w:pPr>
        <w:pStyle w:val="pheading"/>
      </w:pPr>
      <w:r>
        <w:t>DESCRIPTION</w:t>
      </w:r>
    </w:p>
    <w:p w14:paraId="2C17ED78" w14:textId="77777777" w:rsidR="00DB2B68" w:rsidRDefault="00000000">
      <w:pPr>
        <w:pStyle w:val="pheading"/>
      </w:pPr>
      <w:r>
        <w:t>- Définition / Comprend</w:t>
      </w:r>
    </w:p>
    <w:p w14:paraId="2CFDDE1A" w14:textId="77777777" w:rsidR="00DB2B68" w:rsidRDefault="00000000">
      <w:pPr>
        <w:jc w:val="both"/>
      </w:pPr>
      <w:r>
        <w:t>Il s’agit d’ancrages en acier scellés chimiquement ou mécaniquement utilisés afin de transférer des charges de la structure bois vers une structure réalisée en béton ou en maçonnerie.</w:t>
      </w:r>
    </w:p>
    <w:p w14:paraId="223E4631" w14:textId="77777777" w:rsidR="00DB2B68" w:rsidRDefault="00000000">
      <w:pPr>
        <w:pStyle w:val="Author-eSectionHeading5Numberless"/>
      </w:pPr>
      <w:bookmarkStart w:id="1763" w:name="_Toc220496726"/>
      <w:r>
        <w:t>24.44.1 Ancrages mécaniques pour structures en bois CCTB 01.07</w:t>
      </w:r>
      <w:bookmarkEnd w:id="1763"/>
    </w:p>
    <w:p w14:paraId="4A1788DC" w14:textId="77777777" w:rsidR="00DB2B68" w:rsidRDefault="00000000">
      <w:pPr>
        <w:pStyle w:val="Author-eSectionHeading6Numberless"/>
      </w:pPr>
      <w:bookmarkStart w:id="1764" w:name="_Toc220496727"/>
      <w:r>
        <w:t>24.44.1a Ancrages mécaniques pour structures en bois CCTB 01.07</w:t>
      </w:r>
      <w:bookmarkEnd w:id="1764"/>
    </w:p>
    <w:p w14:paraId="03EA4F92" w14:textId="77777777" w:rsidR="00DB2B68" w:rsidRDefault="00000000">
      <w:pPr>
        <w:pStyle w:val="pheading"/>
      </w:pPr>
      <w:bookmarkStart w:id="1765" w:name="584"/>
      <w:bookmarkEnd w:id="1765"/>
      <w:r>
        <w:t>DESCRIPTION</w:t>
      </w:r>
    </w:p>
    <w:p w14:paraId="4EFB39E1" w14:textId="77777777" w:rsidR="00DB2B68" w:rsidRDefault="00000000">
      <w:pPr>
        <w:pStyle w:val="pheading"/>
      </w:pPr>
      <w:r>
        <w:t>- Définition / Comprend</w:t>
      </w:r>
    </w:p>
    <w:p w14:paraId="16E83C2A" w14:textId="77777777" w:rsidR="00DB2B68" w:rsidRDefault="00000000">
      <w:pPr>
        <w:jc w:val="both"/>
      </w:pPr>
      <w:r>
        <w:t>Il s’agit de fixations métalliques qui transmettent principalement des efforts de traction et de cisaillement de la structure bois à la structure en béton alentours par expansion de l’ancrage et friction avec le matériau support.</w:t>
      </w:r>
    </w:p>
    <w:p w14:paraId="6658DF69" w14:textId="77777777" w:rsidR="00DB2B68" w:rsidRDefault="00000000">
      <w:pPr>
        <w:jc w:val="both"/>
      </w:pPr>
      <w:r>
        <w:t>Sauf mention contraire au cahier spécial des charges, le travail comprend notamment :</w:t>
      </w:r>
    </w:p>
    <w:p w14:paraId="7A7FBC46" w14:textId="77777777" w:rsidR="00DB2B68" w:rsidRDefault="00000000">
      <w:pPr>
        <w:pStyle w:val="Author-eListParagraph"/>
        <w:numPr>
          <w:ilvl w:val="0"/>
          <w:numId w:val="1073"/>
        </w:numPr>
        <w:jc w:val="both"/>
      </w:pPr>
      <w:r>
        <w:t>La fourniture de l’ancrage,</w:t>
      </w:r>
    </w:p>
    <w:p w14:paraId="1166B04F" w14:textId="77777777" w:rsidR="00DB2B68" w:rsidRDefault="00000000">
      <w:pPr>
        <w:pStyle w:val="Author-eListParagraph"/>
        <w:numPr>
          <w:ilvl w:val="0"/>
          <w:numId w:val="1073"/>
        </w:numPr>
        <w:jc w:val="both"/>
      </w:pPr>
      <w:r>
        <w:t>Le percement du matériau support et l’installation de l’ancrage,</w:t>
      </w:r>
    </w:p>
    <w:p w14:paraId="2B868950" w14:textId="77777777" w:rsidR="00DB2B68" w:rsidRDefault="00000000">
      <w:pPr>
        <w:pStyle w:val="Author-eListParagraph"/>
        <w:numPr>
          <w:ilvl w:val="0"/>
          <w:numId w:val="1073"/>
        </w:numPr>
        <w:jc w:val="both"/>
      </w:pPr>
      <w:r>
        <w:t>Le bouchonnage éventuel des pièces en bois.</w:t>
      </w:r>
    </w:p>
    <w:p w14:paraId="634E87E5" w14:textId="77777777" w:rsidR="00DB2B68" w:rsidRDefault="00000000">
      <w:pPr>
        <w:pStyle w:val="pheading"/>
      </w:pPr>
      <w:r>
        <w:t>MATÉRIAUX</w:t>
      </w:r>
    </w:p>
    <w:p w14:paraId="56C0411E" w14:textId="77777777" w:rsidR="00DB2B68" w:rsidRDefault="00000000">
      <w:pPr>
        <w:pStyle w:val="pheading"/>
      </w:pPr>
      <w:r>
        <w:t>- Caractéristiques générales</w:t>
      </w:r>
    </w:p>
    <w:p w14:paraId="288F0F71" w14:textId="77777777" w:rsidR="00DB2B68" w:rsidRDefault="00000000">
      <w:pPr>
        <w:jc w:val="both"/>
      </w:pPr>
      <w:r>
        <w:t>Les résines sont pourvues du marquage CE et disposent d’un ATE sur base soit :</w:t>
      </w:r>
    </w:p>
    <w:p w14:paraId="135018FA" w14:textId="77777777" w:rsidR="00DB2B68" w:rsidRDefault="00000000">
      <w:pPr>
        <w:pStyle w:val="Author-eListParagraph"/>
        <w:numPr>
          <w:ilvl w:val="0"/>
          <w:numId w:val="1074"/>
        </w:numPr>
      </w:pPr>
      <w:r>
        <w:t>Si utilisation dans le béton : soit de l’[ETAG 001-5], soit de l’[EAD 330499-00-0601] ;</w:t>
      </w:r>
    </w:p>
    <w:p w14:paraId="02DAE7C5" w14:textId="77777777" w:rsidR="00DB2B68" w:rsidRDefault="00000000">
      <w:pPr>
        <w:pStyle w:val="Author-eListParagraph"/>
        <w:numPr>
          <w:ilvl w:val="0"/>
          <w:numId w:val="1074"/>
        </w:numPr>
      </w:pPr>
      <w:r>
        <w:t>Si utilisation dans la maçonnerie : soit de l’[ETAG 029], soit de l’[EAD 330076-00-0604].</w:t>
      </w:r>
    </w:p>
    <w:p w14:paraId="22FA25D8" w14:textId="77777777" w:rsidR="00DB2B68" w:rsidRDefault="00000000">
      <w:pPr>
        <w:jc w:val="both"/>
      </w:pPr>
      <w:r>
        <w:t> </w:t>
      </w:r>
    </w:p>
    <w:p w14:paraId="718A8890" w14:textId="77777777" w:rsidR="00DB2B68" w:rsidRDefault="00000000">
      <w:pPr>
        <w:jc w:val="both"/>
      </w:pPr>
      <w:r>
        <w:t xml:space="preserve">Matériau des goujons d’ancrages : </w:t>
      </w:r>
      <w:r>
        <w:rPr>
          <w:rStyle w:val="optioncarChar"/>
        </w:rPr>
        <w:t xml:space="preserve">acier au carbone </w:t>
      </w:r>
      <w:r>
        <w:t xml:space="preserve">(par défaut) </w:t>
      </w:r>
      <w:r>
        <w:rPr>
          <w:rStyle w:val="optioncarChar"/>
        </w:rPr>
        <w:t>/ acier inoxydable</w:t>
      </w:r>
    </w:p>
    <w:p w14:paraId="6AA5FCE3" w14:textId="77777777" w:rsidR="00DB2B68" w:rsidRDefault="00000000">
      <w:pPr>
        <w:ind w:left="567"/>
        <w:jc w:val="both"/>
      </w:pPr>
      <w:r>
        <w:rPr>
          <w:b/>
          <w:i/>
        </w:rPr>
        <w:t>(Soit par défaut)</w:t>
      </w:r>
    </w:p>
    <w:p w14:paraId="7CE384FA" w14:textId="77777777" w:rsidR="00DB2B68" w:rsidRDefault="00000000">
      <w:pPr>
        <w:ind w:left="567"/>
        <w:jc w:val="both"/>
      </w:pPr>
      <w:r>
        <w:rPr>
          <w:rStyle w:val="soitChar"/>
          <w:u w:val="single"/>
        </w:rPr>
        <w:t xml:space="preserve">Acier au carbone </w:t>
      </w:r>
    </w:p>
    <w:p w14:paraId="3F7155F8" w14:textId="77777777" w:rsidR="00DB2B68" w:rsidRDefault="00000000">
      <w:pPr>
        <w:ind w:left="567"/>
        <w:jc w:val="both"/>
      </w:pPr>
      <w:r>
        <w:rPr>
          <w:rStyle w:val="soitChar"/>
        </w:rPr>
        <w:t>Classe d’acier minimale des goujons d’ancrages :</w:t>
      </w:r>
      <w:r>
        <w:rPr>
          <w:rStyle w:val="optioncarChar"/>
        </w:rPr>
        <w:t xml:space="preserve">4.6 </w:t>
      </w:r>
      <w:r>
        <w:t xml:space="preserve">(par défaut) </w:t>
      </w:r>
      <w:r>
        <w:rPr>
          <w:rStyle w:val="optioncarChar"/>
        </w:rPr>
        <w:t>/ 5.8 / 8.8</w:t>
      </w:r>
    </w:p>
    <w:p w14:paraId="79FBDB57" w14:textId="77777777" w:rsidR="00DB2B68" w:rsidRDefault="00000000">
      <w:pPr>
        <w:ind w:left="567"/>
        <w:jc w:val="both"/>
      </w:pPr>
      <w:r>
        <w:rPr>
          <w:b/>
          <w:i/>
        </w:rPr>
        <w:t>(Soit)</w:t>
      </w:r>
    </w:p>
    <w:p w14:paraId="4E1A870D" w14:textId="77777777" w:rsidR="00DB2B68" w:rsidRDefault="00000000">
      <w:pPr>
        <w:ind w:left="567"/>
        <w:jc w:val="both"/>
      </w:pPr>
      <w:r>
        <w:rPr>
          <w:rStyle w:val="soitChar"/>
          <w:u w:val="single"/>
        </w:rPr>
        <w:t xml:space="preserve">Acier inoxydable </w:t>
      </w:r>
    </w:p>
    <w:p w14:paraId="6ABBCDAB" w14:textId="77777777" w:rsidR="00DB2B68" w:rsidRDefault="00000000">
      <w:pPr>
        <w:ind w:left="567"/>
        <w:jc w:val="both"/>
      </w:pPr>
      <w:r>
        <w:rPr>
          <w:rStyle w:val="soitChar"/>
        </w:rPr>
        <w:t>Classe d’acier minimale des goujons d’ancrages :</w:t>
      </w:r>
      <w:r>
        <w:rPr>
          <w:rStyle w:val="optioncarChar"/>
        </w:rPr>
        <w:t xml:space="preserve"> A2</w:t>
      </w:r>
      <w:r>
        <w:t xml:space="preserve"> (par défaut) </w:t>
      </w:r>
      <w:r>
        <w:rPr>
          <w:rStyle w:val="optioncarChar"/>
        </w:rPr>
        <w:t>/ A4</w:t>
      </w:r>
    </w:p>
    <w:p w14:paraId="41CE120E" w14:textId="77777777" w:rsidR="00DB2B68" w:rsidRDefault="00000000">
      <w:pPr>
        <w:jc w:val="both"/>
      </w:pPr>
      <w:r>
        <w:t> </w:t>
      </w:r>
    </w:p>
    <w:p w14:paraId="1997835F" w14:textId="77777777" w:rsidR="00DB2B68" w:rsidRDefault="00000000">
      <w:pPr>
        <w:jc w:val="both"/>
      </w:pPr>
      <w:r>
        <w:t>Diamètre des goujons d’ancrages :</w:t>
      </w:r>
      <w:r>
        <w:rPr>
          <w:rStyle w:val="optioncarChar"/>
        </w:rPr>
        <w:t xml:space="preserve"> M6 / M8 / M10 / M12 / M16 / voir plans </w:t>
      </w:r>
      <w:r>
        <w:t>(par défaut)</w:t>
      </w:r>
      <w:r>
        <w:rPr>
          <w:rStyle w:val="optioncarChar"/>
        </w:rPr>
        <w:t xml:space="preserve"> / ***</w:t>
      </w:r>
    </w:p>
    <w:p w14:paraId="649796A5" w14:textId="77777777" w:rsidR="00DB2B68" w:rsidRDefault="00000000">
      <w:pPr>
        <w:jc w:val="both"/>
      </w:pPr>
      <w:r>
        <w:lastRenderedPageBreak/>
        <w:t>En ce qui concerne les diamètres de perçage du matériau support et de la pièce fixée, les prescriptions du fabricant sont suivies.</w:t>
      </w:r>
    </w:p>
    <w:p w14:paraId="267B2E8E" w14:textId="77777777" w:rsidR="00DB2B68" w:rsidRDefault="00000000">
      <w:pPr>
        <w:jc w:val="both"/>
      </w:pPr>
      <w:r>
        <w:t xml:space="preserve">Matériau du support : </w:t>
      </w:r>
      <w:r>
        <w:rPr>
          <w:rStyle w:val="optioncarChar"/>
        </w:rPr>
        <w:t>béton non-fissuré / béton fissuré / maçonneries pleines</w:t>
      </w:r>
    </w:p>
    <w:p w14:paraId="5EB5C5AA" w14:textId="77777777" w:rsidR="00DB2B68" w:rsidRDefault="00000000">
      <w:pPr>
        <w:pStyle w:val="pheading"/>
      </w:pPr>
      <w:r>
        <w:t>EXÉCUTION / MISE EN ŒUVRE</w:t>
      </w:r>
    </w:p>
    <w:p w14:paraId="7E6D00EB" w14:textId="77777777" w:rsidR="00DB2B68" w:rsidRDefault="00000000">
      <w:pPr>
        <w:pStyle w:val="pheading"/>
      </w:pPr>
      <w:r>
        <w:t>- Prescriptions générales</w:t>
      </w:r>
    </w:p>
    <w:p w14:paraId="36C9225F" w14:textId="77777777" w:rsidR="00DB2B68" w:rsidRDefault="00000000">
      <w:pPr>
        <w:jc w:val="both"/>
      </w:pPr>
      <w:r>
        <w:t>En toute circonstance, les consignes du fabricant sont respectées.</w:t>
      </w:r>
    </w:p>
    <w:p w14:paraId="5D3858AC" w14:textId="77777777" w:rsidR="00DB2B68" w:rsidRDefault="00000000">
      <w:pPr>
        <w:jc w:val="both"/>
      </w:pPr>
      <w:r>
        <w:t>Le fabricant prescrit le diamètre de perçage du matériau support et le diamètre du trou de passage de la pièce à fixer.</w:t>
      </w:r>
    </w:p>
    <w:p w14:paraId="55AEA73C" w14:textId="77777777" w:rsidR="00DB2B68" w:rsidRDefault="00000000">
      <w:pPr>
        <w:jc w:val="both"/>
      </w:pPr>
      <w:r>
        <w:t>Le trou percé dans le matériau support en correctement dépoussiéré avant l’installant de l’ancrage mécanique. </w:t>
      </w:r>
    </w:p>
    <w:p w14:paraId="28528017" w14:textId="77777777" w:rsidR="00DB2B68" w:rsidRDefault="00000000">
      <w:pPr>
        <w:jc w:val="both"/>
      </w:pPr>
      <w:r>
        <w:t xml:space="preserve">Profondeur effective d’ancrage : </w:t>
      </w:r>
      <w:r>
        <w:rPr>
          <w:rStyle w:val="optioncarChar"/>
        </w:rPr>
        <w:t xml:space="preserve">voir plan </w:t>
      </w:r>
      <w:r>
        <w:t xml:space="preserve">(par défaut) </w:t>
      </w:r>
      <w:r>
        <w:rPr>
          <w:rStyle w:val="optioncarChar"/>
        </w:rPr>
        <w:t>/ ***</w:t>
      </w:r>
    </w:p>
    <w:p w14:paraId="0008BD4A" w14:textId="77777777" w:rsidR="00DB2B68" w:rsidRDefault="00000000">
      <w:pPr>
        <w:jc w:val="both"/>
      </w:pPr>
      <w:r>
        <w:t>La profondeur effective d’ancrage doit être dans la plage autorisée par le fournisseur.</w:t>
      </w:r>
    </w:p>
    <w:p w14:paraId="6A526592" w14:textId="77777777" w:rsidR="00DB2B68" w:rsidRDefault="00000000">
      <w:pPr>
        <w:pStyle w:val="pheading"/>
      </w:pPr>
      <w:r>
        <w:t>MESURAGE</w:t>
      </w:r>
    </w:p>
    <w:p w14:paraId="760F79E3" w14:textId="77777777" w:rsidR="00DB2B68" w:rsidRDefault="00000000">
      <w:pPr>
        <w:pStyle w:val="pheading"/>
      </w:pPr>
      <w:r>
        <w:t>- unité de mesure:</w:t>
      </w:r>
    </w:p>
    <w:p w14:paraId="4AC3FDDD" w14:textId="77777777" w:rsidR="00DB2B68" w:rsidRDefault="00000000">
      <w:r>
        <w:rPr>
          <w:rStyle w:val="optioncarChar"/>
        </w:rPr>
        <w:t>- </w:t>
      </w:r>
      <w:r>
        <w:t>(par défaut)</w:t>
      </w:r>
      <w:r>
        <w:rPr>
          <w:rStyle w:val="optioncarChar"/>
        </w:rPr>
        <w:t> / pc</w:t>
      </w:r>
    </w:p>
    <w:p w14:paraId="5BEEDFA0" w14:textId="77777777" w:rsidR="00DB2B68" w:rsidRDefault="00000000">
      <w:r>
        <w:rPr>
          <w:b/>
          <w:i/>
        </w:rPr>
        <w:t>(Soit par défaut)</w:t>
      </w:r>
    </w:p>
    <w:p w14:paraId="7605DCE1" w14:textId="77777777" w:rsidR="00DB2B68" w:rsidRDefault="00000000">
      <w:r>
        <w:rPr>
          <w:rStyle w:val="soitChar"/>
        </w:rPr>
        <w:t>1.     –</w:t>
      </w:r>
    </w:p>
    <w:p w14:paraId="59F7A92F" w14:textId="77777777" w:rsidR="00DB2B68" w:rsidRDefault="00000000">
      <w:r>
        <w:rPr>
          <w:b/>
          <w:i/>
        </w:rPr>
        <w:t>(Soit)</w:t>
      </w:r>
    </w:p>
    <w:p w14:paraId="0D225D40" w14:textId="77777777" w:rsidR="00DB2B68" w:rsidRDefault="00000000">
      <w:r>
        <w:rPr>
          <w:rStyle w:val="soitChar"/>
        </w:rPr>
        <w:t>2.3.  pc</w:t>
      </w:r>
    </w:p>
    <w:p w14:paraId="7A60064F" w14:textId="77777777" w:rsidR="00DB2B68" w:rsidRDefault="00000000">
      <w:pPr>
        <w:pStyle w:val="pheading"/>
      </w:pPr>
      <w:r>
        <w:t>- code de mesurage:</w:t>
      </w:r>
    </w:p>
    <w:p w14:paraId="50DF0F64" w14:textId="77777777" w:rsidR="00DB2B68" w:rsidRDefault="00000000">
      <w:pPr>
        <w:jc w:val="both"/>
      </w:pPr>
      <w:r>
        <w:rPr>
          <w:rStyle w:val="optioncarChar"/>
        </w:rPr>
        <w:t>Compris</w:t>
      </w:r>
      <w:r>
        <w:t> (par défaut)</w:t>
      </w:r>
      <w:r>
        <w:rPr>
          <w:rStyle w:val="optioncarChar"/>
        </w:rPr>
        <w:t> / Quantité nette</w:t>
      </w:r>
    </w:p>
    <w:p w14:paraId="185E5190" w14:textId="77777777" w:rsidR="00DB2B68" w:rsidRDefault="00000000">
      <w:pPr>
        <w:jc w:val="both"/>
      </w:pPr>
      <w:r>
        <w:rPr>
          <w:b/>
          <w:i/>
        </w:rPr>
        <w:t>(Soit par défaut)</w:t>
      </w:r>
    </w:p>
    <w:p w14:paraId="756BB9CE" w14:textId="77777777" w:rsidR="00DB2B68" w:rsidRDefault="00000000">
      <w:pPr>
        <w:jc w:val="both"/>
      </w:pPr>
      <w:r>
        <w:rPr>
          <w:rStyle w:val="soitChar"/>
        </w:rPr>
        <w:t>1.   </w:t>
      </w:r>
      <w:r>
        <w:rPr>
          <w:rStyle w:val="soitChar"/>
          <w:u w:val="single"/>
        </w:rPr>
        <w:t>  Compris</w:t>
      </w:r>
      <w:r>
        <w:rPr>
          <w:rStyle w:val="soitChar"/>
        </w:rPr>
        <w:t> dans l’article de référence</w:t>
      </w:r>
      <w:r>
        <w:t> </w:t>
      </w:r>
      <w:r>
        <w:rPr>
          <w:rStyle w:val="optioncarChar"/>
        </w:rPr>
        <w:t>***</w:t>
      </w:r>
    </w:p>
    <w:p w14:paraId="40C41264" w14:textId="77777777" w:rsidR="00DB2B68" w:rsidRDefault="00000000">
      <w:pPr>
        <w:jc w:val="both"/>
      </w:pPr>
      <w:r>
        <w:rPr>
          <w:b/>
          <w:i/>
        </w:rPr>
        <w:t>(Soit)</w:t>
      </w:r>
    </w:p>
    <w:p w14:paraId="3D02583A" w14:textId="77777777" w:rsidR="00DB2B68" w:rsidRDefault="00000000">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1DFF7101" w14:textId="77777777" w:rsidR="00DB2B68" w:rsidRDefault="00000000">
      <w:pPr>
        <w:pStyle w:val="pheading"/>
      </w:pPr>
      <w:r>
        <w:t>- nature du marché:</w:t>
      </w:r>
    </w:p>
    <w:p w14:paraId="6B9EF539" w14:textId="77777777" w:rsidR="00DB2B68" w:rsidRDefault="00000000">
      <w:r>
        <w:rPr>
          <w:rStyle w:val="optioncarChar"/>
        </w:rPr>
        <w:t>PM</w:t>
      </w:r>
      <w:r>
        <w:t> (par défaut)</w:t>
      </w:r>
      <w:r>
        <w:rPr>
          <w:rStyle w:val="optioncarChar"/>
        </w:rPr>
        <w:t> / QF / QP</w:t>
      </w:r>
    </w:p>
    <w:p w14:paraId="4C327EF2" w14:textId="77777777" w:rsidR="00DB2B68" w:rsidRDefault="00000000">
      <w:r>
        <w:rPr>
          <w:b/>
          <w:i/>
        </w:rPr>
        <w:t>(Soit par défaut)</w:t>
      </w:r>
    </w:p>
    <w:p w14:paraId="483CF1D7" w14:textId="77777777" w:rsidR="00DB2B68" w:rsidRDefault="00000000">
      <w:r>
        <w:rPr>
          <w:rStyle w:val="soitChar"/>
        </w:rPr>
        <w:t>1.     PM</w:t>
      </w:r>
    </w:p>
    <w:p w14:paraId="65169C78" w14:textId="77777777" w:rsidR="00DB2B68" w:rsidRDefault="00000000">
      <w:r>
        <w:rPr>
          <w:b/>
          <w:i/>
        </w:rPr>
        <w:t>(Soit)</w:t>
      </w:r>
    </w:p>
    <w:p w14:paraId="2F7D9FDB" w14:textId="77777777" w:rsidR="00DB2B68" w:rsidRDefault="00000000">
      <w:r>
        <w:rPr>
          <w:rStyle w:val="soitChar"/>
        </w:rPr>
        <w:t>2.     QF</w:t>
      </w:r>
    </w:p>
    <w:p w14:paraId="016A5C7E" w14:textId="77777777" w:rsidR="00DB2B68" w:rsidRDefault="00000000">
      <w:r>
        <w:rPr>
          <w:b/>
          <w:i/>
        </w:rPr>
        <w:t>(Soit)</w:t>
      </w:r>
    </w:p>
    <w:p w14:paraId="686B0FA2" w14:textId="77777777" w:rsidR="00DB2B68" w:rsidRDefault="00000000">
      <w:r>
        <w:rPr>
          <w:rStyle w:val="soitChar"/>
        </w:rPr>
        <w:t>3.     QP</w:t>
      </w:r>
    </w:p>
    <w:p w14:paraId="6E43AD17" w14:textId="77777777" w:rsidR="00DB2B68" w:rsidRDefault="00000000">
      <w:pPr>
        <w:pStyle w:val="Author-eSectionHeading5Numberless"/>
      </w:pPr>
      <w:bookmarkStart w:id="1766" w:name="_Toc220496728"/>
      <w:r>
        <w:t>24.44.2 Ancrages chimiques pour structures en bois CCTB 01.07</w:t>
      </w:r>
      <w:bookmarkEnd w:id="1766"/>
    </w:p>
    <w:p w14:paraId="35543E99" w14:textId="77777777" w:rsidR="00DB2B68" w:rsidRDefault="00000000">
      <w:pPr>
        <w:pStyle w:val="Author-eSectionHeading6Numberless"/>
      </w:pPr>
      <w:bookmarkStart w:id="1767" w:name="_Toc220496729"/>
      <w:r>
        <w:t>24.44.2a Ancrages chimiques pour structures en bois CCTB 01.11</w:t>
      </w:r>
      <w:bookmarkEnd w:id="1767"/>
    </w:p>
    <w:p w14:paraId="7BF23524" w14:textId="77777777" w:rsidR="00DB2B68" w:rsidRDefault="00000000">
      <w:pPr>
        <w:pStyle w:val="pheading"/>
      </w:pPr>
      <w:bookmarkStart w:id="1768" w:name="583"/>
      <w:bookmarkEnd w:id="1768"/>
      <w:r>
        <w:t>DESCRIPTION</w:t>
      </w:r>
    </w:p>
    <w:p w14:paraId="15EDA3D0" w14:textId="77777777" w:rsidR="00DB2B68" w:rsidRDefault="00000000">
      <w:pPr>
        <w:pStyle w:val="pheading"/>
      </w:pPr>
      <w:r>
        <w:t>- Définition / Comprend</w:t>
      </w:r>
    </w:p>
    <w:p w14:paraId="58B20E3F" w14:textId="77777777" w:rsidR="00DB2B68" w:rsidRDefault="00000000">
      <w:pPr>
        <w:jc w:val="both"/>
      </w:pPr>
      <w:r>
        <w:lastRenderedPageBreak/>
        <w:t>Il s’agit de fixations métalliques qui transmettent principalement des efforts de traction et de cisaillement de la structure bois à la structure en béton ou en maçonnerie alentours par l’utilisation d’une résine adhérente à la fois à la tige filetée et au matériau support.</w:t>
      </w:r>
    </w:p>
    <w:p w14:paraId="41D95CC1" w14:textId="77777777" w:rsidR="00DB2B68" w:rsidRDefault="00000000">
      <w:pPr>
        <w:jc w:val="both"/>
      </w:pPr>
      <w:r>
        <w:t>Sauf mention contraire au cahier spécial des charges, le travail comprend notamment :</w:t>
      </w:r>
    </w:p>
    <w:p w14:paraId="4AC83819" w14:textId="77777777" w:rsidR="00DB2B68" w:rsidRDefault="00000000">
      <w:pPr>
        <w:pStyle w:val="Author-eListParagraph"/>
        <w:numPr>
          <w:ilvl w:val="0"/>
          <w:numId w:val="1075"/>
        </w:numPr>
        <w:jc w:val="both"/>
      </w:pPr>
      <w:r>
        <w:t>La fourniture des résines et tiges filetées,</w:t>
      </w:r>
    </w:p>
    <w:p w14:paraId="7E1CE4B4" w14:textId="77777777" w:rsidR="00DB2B68" w:rsidRDefault="00000000">
      <w:pPr>
        <w:pStyle w:val="Author-eListParagraph"/>
        <w:numPr>
          <w:ilvl w:val="0"/>
          <w:numId w:val="1075"/>
        </w:numPr>
        <w:jc w:val="both"/>
      </w:pPr>
      <w:r>
        <w:t>L’installation de l’ancrage,</w:t>
      </w:r>
    </w:p>
    <w:p w14:paraId="357ED47D" w14:textId="77777777" w:rsidR="00DB2B68" w:rsidRDefault="00000000">
      <w:pPr>
        <w:pStyle w:val="Author-eListParagraph"/>
        <w:numPr>
          <w:ilvl w:val="0"/>
          <w:numId w:val="1075"/>
        </w:numPr>
        <w:jc w:val="both"/>
      </w:pPr>
      <w:r>
        <w:t>Le bouchonnage éventuel des pièces en bois.</w:t>
      </w:r>
    </w:p>
    <w:p w14:paraId="5DAA8611" w14:textId="77777777" w:rsidR="00DB2B68" w:rsidRDefault="00000000">
      <w:pPr>
        <w:pStyle w:val="pheading"/>
      </w:pPr>
      <w:r>
        <w:t>MATÉRIAUX</w:t>
      </w:r>
    </w:p>
    <w:p w14:paraId="71E61F07" w14:textId="77777777" w:rsidR="00DB2B68" w:rsidRDefault="00000000">
      <w:pPr>
        <w:pStyle w:val="pheading"/>
      </w:pPr>
      <w:r>
        <w:t>- Caractéristiques générales</w:t>
      </w:r>
    </w:p>
    <w:p w14:paraId="24413C1E" w14:textId="77777777" w:rsidR="00DB2B68" w:rsidRDefault="00000000">
      <w:pPr>
        <w:jc w:val="both"/>
      </w:pPr>
      <w:r>
        <w:t>Les résines sont pourvues du marquage CE et disposent d’un ATE sur base soit :</w:t>
      </w:r>
    </w:p>
    <w:p w14:paraId="75AC0604" w14:textId="77777777" w:rsidR="00DB2B68" w:rsidRDefault="00000000">
      <w:pPr>
        <w:pStyle w:val="Author-eListParagraph"/>
        <w:numPr>
          <w:ilvl w:val="0"/>
          <w:numId w:val="1076"/>
        </w:numPr>
      </w:pPr>
      <w:r>
        <w:t>Si utilisation dans le béton : soit de l’[ETAG 001-5], soit de l’[EAD 330499-00-0601] ;</w:t>
      </w:r>
    </w:p>
    <w:p w14:paraId="636FAD5B" w14:textId="77777777" w:rsidR="00DB2B68" w:rsidRDefault="00000000">
      <w:pPr>
        <w:pStyle w:val="Author-eListParagraph"/>
        <w:numPr>
          <w:ilvl w:val="0"/>
          <w:numId w:val="1076"/>
        </w:numPr>
      </w:pPr>
      <w:r>
        <w:t>Si utilisation dans la maçonnerie : soit de l’[ETAG 029], soit de l’[EAD 330076-00-0604].</w:t>
      </w:r>
    </w:p>
    <w:p w14:paraId="4E5A5719" w14:textId="77777777" w:rsidR="00DB2B68" w:rsidRDefault="00000000">
      <w:pPr>
        <w:jc w:val="both"/>
      </w:pPr>
      <w:r>
        <w:t> </w:t>
      </w:r>
    </w:p>
    <w:p w14:paraId="7ACC2827" w14:textId="77777777" w:rsidR="00DB2B68" w:rsidRDefault="00000000">
      <w:pPr>
        <w:jc w:val="both"/>
      </w:pPr>
      <w:r>
        <w:t xml:space="preserve">Type de résine : </w:t>
      </w:r>
      <w:r>
        <w:rPr>
          <w:rStyle w:val="optioncarChar"/>
        </w:rPr>
        <w:t>époxy </w:t>
      </w:r>
      <w:r>
        <w:t>(par défaut)</w:t>
      </w:r>
      <w:r>
        <w:rPr>
          <w:rStyle w:val="optioncarChar"/>
        </w:rPr>
        <w:t xml:space="preserve"> / vinylester / polyester / méthacrylate / ***</w:t>
      </w:r>
    </w:p>
    <w:p w14:paraId="052D6AB7" w14:textId="77777777" w:rsidR="00DB2B68" w:rsidRDefault="00000000">
      <w:pPr>
        <w:jc w:val="both"/>
      </w:pPr>
      <w:r>
        <w:t xml:space="preserve">Matériau des tiges filetées : </w:t>
      </w:r>
      <w:r>
        <w:rPr>
          <w:rStyle w:val="optioncarChar"/>
        </w:rPr>
        <w:t xml:space="preserve">acier au carbone </w:t>
      </w:r>
      <w:r>
        <w:t xml:space="preserve">(par défaut) </w:t>
      </w:r>
      <w:r>
        <w:rPr>
          <w:rStyle w:val="optioncarChar"/>
        </w:rPr>
        <w:t>/ acier inoxydable</w:t>
      </w:r>
    </w:p>
    <w:p w14:paraId="3A639C6A" w14:textId="77777777" w:rsidR="00DB2B68" w:rsidRDefault="00000000">
      <w:pPr>
        <w:ind w:left="567"/>
        <w:jc w:val="both"/>
      </w:pPr>
      <w:r>
        <w:rPr>
          <w:b/>
          <w:i/>
        </w:rPr>
        <w:t>(Soit par défaut)</w:t>
      </w:r>
    </w:p>
    <w:p w14:paraId="1A744F40" w14:textId="77777777" w:rsidR="00DB2B68" w:rsidRDefault="00000000">
      <w:pPr>
        <w:ind w:left="567"/>
        <w:jc w:val="both"/>
      </w:pPr>
      <w:r>
        <w:rPr>
          <w:rStyle w:val="soitChar"/>
          <w:u w:val="single"/>
        </w:rPr>
        <w:t xml:space="preserve">Acier au carbone </w:t>
      </w:r>
    </w:p>
    <w:p w14:paraId="7B10FB53" w14:textId="77777777" w:rsidR="00DB2B68" w:rsidRDefault="00000000">
      <w:pPr>
        <w:ind w:left="567"/>
        <w:jc w:val="both"/>
      </w:pPr>
      <w:r>
        <w:rPr>
          <w:rStyle w:val="soitChar"/>
        </w:rPr>
        <w:t>Classe d’acier minimale des tiges filetées :</w:t>
      </w:r>
      <w:r>
        <w:rPr>
          <w:rStyle w:val="optioncarChar"/>
        </w:rPr>
        <w:t>4.6</w:t>
      </w:r>
      <w:r>
        <w:t xml:space="preserve"> (par défaut)</w:t>
      </w:r>
      <w:r>
        <w:rPr>
          <w:rStyle w:val="optioncarChar"/>
        </w:rPr>
        <w:t xml:space="preserve"> / 5.8 / 8.8</w:t>
      </w:r>
    </w:p>
    <w:p w14:paraId="55869E61" w14:textId="77777777" w:rsidR="00DB2B68" w:rsidRDefault="00000000">
      <w:pPr>
        <w:ind w:left="567"/>
        <w:jc w:val="both"/>
      </w:pPr>
      <w:r>
        <w:rPr>
          <w:b/>
          <w:i/>
        </w:rPr>
        <w:t>(Soit)</w:t>
      </w:r>
    </w:p>
    <w:p w14:paraId="2876D990" w14:textId="77777777" w:rsidR="00DB2B68" w:rsidRDefault="00000000">
      <w:pPr>
        <w:ind w:left="567"/>
        <w:jc w:val="both"/>
      </w:pPr>
      <w:r>
        <w:rPr>
          <w:rStyle w:val="soitChar"/>
          <w:u w:val="single"/>
        </w:rPr>
        <w:t xml:space="preserve">Acier inoxydable </w:t>
      </w:r>
    </w:p>
    <w:p w14:paraId="7285397C" w14:textId="77777777" w:rsidR="00DB2B68" w:rsidRDefault="00000000">
      <w:pPr>
        <w:ind w:left="567"/>
        <w:jc w:val="both"/>
      </w:pPr>
      <w:r>
        <w:rPr>
          <w:rStyle w:val="soitChar"/>
        </w:rPr>
        <w:t>Classe d’acier minimale des tiges filetées :</w:t>
      </w:r>
      <w:r>
        <w:rPr>
          <w:rStyle w:val="optioncarChar"/>
        </w:rPr>
        <w:t>A2-50</w:t>
      </w:r>
      <w:r>
        <w:t xml:space="preserve"> (par défaut)</w:t>
      </w:r>
      <w:r>
        <w:rPr>
          <w:rStyle w:val="optioncarChar"/>
        </w:rPr>
        <w:t xml:space="preserve"> / A2-70 / A4-50 / A4-70</w:t>
      </w:r>
    </w:p>
    <w:p w14:paraId="7BFB3185" w14:textId="77777777" w:rsidR="00DB2B68" w:rsidRDefault="00DB2B68">
      <w:pPr>
        <w:ind w:left="567"/>
        <w:jc w:val="both"/>
      </w:pPr>
    </w:p>
    <w:p w14:paraId="6EA7B5AC" w14:textId="77777777" w:rsidR="00DB2B68" w:rsidRDefault="00000000">
      <w:pPr>
        <w:jc w:val="both"/>
      </w:pPr>
      <w:r>
        <w:t>Diamètre des tiges filetées :</w:t>
      </w:r>
      <w:r>
        <w:rPr>
          <w:rStyle w:val="optioncarChar"/>
        </w:rPr>
        <w:t xml:space="preserve"> M8 / M10 / M12 / M16 / voir plans </w:t>
      </w:r>
      <w:r>
        <w:t>(par défaut)</w:t>
      </w:r>
      <w:r>
        <w:rPr>
          <w:rStyle w:val="optioncarChar"/>
        </w:rPr>
        <w:t xml:space="preserve"> / ***</w:t>
      </w:r>
    </w:p>
    <w:p w14:paraId="32F17927" w14:textId="77777777" w:rsidR="00DB2B68" w:rsidRDefault="00000000">
      <w:pPr>
        <w:jc w:val="both"/>
      </w:pPr>
      <w:r>
        <w:t>Sauf indication contraire au cahier spécial des charges ou dans les prescriptions du fabricant, le diamètre du percement dans le matériau support est déduit du tableau suivant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DB2B68" w14:paraId="2AFA072F" w14:textId="77777777">
        <w:tc>
          <w:tcPr>
            <w:tcW w:w="2820" w:type="dxa"/>
            <w:noWrap/>
          </w:tcPr>
          <w:p w14:paraId="74C195C5" w14:textId="77777777" w:rsidR="00DB2B68" w:rsidRDefault="00000000">
            <w:r>
              <w:t>Diamètre des tiges filetées</w:t>
            </w:r>
          </w:p>
        </w:tc>
        <w:tc>
          <w:tcPr>
            <w:tcW w:w="885" w:type="dxa"/>
            <w:noWrap/>
          </w:tcPr>
          <w:p w14:paraId="419BA725" w14:textId="77777777" w:rsidR="00DB2B68" w:rsidRDefault="00000000">
            <w:r>
              <w:t>M8</w:t>
            </w:r>
          </w:p>
        </w:tc>
        <w:tc>
          <w:tcPr>
            <w:tcW w:w="885" w:type="dxa"/>
            <w:noWrap/>
          </w:tcPr>
          <w:p w14:paraId="0B680498" w14:textId="77777777" w:rsidR="00DB2B68" w:rsidRDefault="00000000">
            <w:r>
              <w:t>M10</w:t>
            </w:r>
          </w:p>
        </w:tc>
        <w:tc>
          <w:tcPr>
            <w:tcW w:w="885" w:type="dxa"/>
            <w:noWrap/>
          </w:tcPr>
          <w:p w14:paraId="30850001" w14:textId="77777777" w:rsidR="00DB2B68" w:rsidRDefault="00000000">
            <w:r>
              <w:t>M12</w:t>
            </w:r>
          </w:p>
        </w:tc>
        <w:tc>
          <w:tcPr>
            <w:tcW w:w="885" w:type="dxa"/>
            <w:noWrap/>
          </w:tcPr>
          <w:p w14:paraId="795DF675" w14:textId="77777777" w:rsidR="00DB2B68" w:rsidRDefault="00000000">
            <w:r>
              <w:t>M16</w:t>
            </w:r>
          </w:p>
        </w:tc>
        <w:tc>
          <w:tcPr>
            <w:tcW w:w="885" w:type="dxa"/>
            <w:noWrap/>
          </w:tcPr>
          <w:p w14:paraId="24C4ED60" w14:textId="77777777" w:rsidR="00DB2B68" w:rsidRDefault="00000000">
            <w:r>
              <w:t>M20</w:t>
            </w:r>
          </w:p>
        </w:tc>
        <w:tc>
          <w:tcPr>
            <w:tcW w:w="885" w:type="dxa"/>
            <w:noWrap/>
          </w:tcPr>
          <w:p w14:paraId="31D353EB" w14:textId="77777777" w:rsidR="00DB2B68" w:rsidRDefault="00000000">
            <w:r>
              <w:t>M24</w:t>
            </w:r>
          </w:p>
        </w:tc>
        <w:tc>
          <w:tcPr>
            <w:tcW w:w="885" w:type="dxa"/>
            <w:noWrap/>
          </w:tcPr>
          <w:p w14:paraId="13472242" w14:textId="77777777" w:rsidR="00DB2B68" w:rsidRDefault="00000000">
            <w:r>
              <w:t>M27</w:t>
            </w:r>
          </w:p>
        </w:tc>
      </w:tr>
      <w:tr w:rsidR="00DB2B68" w14:paraId="0C4C4200" w14:textId="77777777">
        <w:tc>
          <w:tcPr>
            <w:tcW w:w="2820" w:type="dxa"/>
            <w:noWrap/>
          </w:tcPr>
          <w:p w14:paraId="54F25B4F" w14:textId="77777777" w:rsidR="00DB2B68" w:rsidRDefault="00000000">
            <w:r>
              <w:t>Diamètre du percement</w:t>
            </w:r>
          </w:p>
        </w:tc>
        <w:tc>
          <w:tcPr>
            <w:tcW w:w="885" w:type="dxa"/>
            <w:noWrap/>
          </w:tcPr>
          <w:p w14:paraId="70A5B93E" w14:textId="77777777" w:rsidR="00DB2B68" w:rsidRDefault="00000000">
            <w:r>
              <w:t>10</w:t>
            </w:r>
          </w:p>
        </w:tc>
        <w:tc>
          <w:tcPr>
            <w:tcW w:w="885" w:type="dxa"/>
            <w:noWrap/>
          </w:tcPr>
          <w:p w14:paraId="20C06DAC" w14:textId="77777777" w:rsidR="00DB2B68" w:rsidRDefault="00000000">
            <w:r>
              <w:t>12</w:t>
            </w:r>
          </w:p>
        </w:tc>
        <w:tc>
          <w:tcPr>
            <w:tcW w:w="885" w:type="dxa"/>
            <w:noWrap/>
          </w:tcPr>
          <w:p w14:paraId="113C1390" w14:textId="77777777" w:rsidR="00DB2B68" w:rsidRDefault="00000000">
            <w:r>
              <w:t>14</w:t>
            </w:r>
          </w:p>
        </w:tc>
        <w:tc>
          <w:tcPr>
            <w:tcW w:w="885" w:type="dxa"/>
            <w:noWrap/>
          </w:tcPr>
          <w:p w14:paraId="48C73801" w14:textId="77777777" w:rsidR="00DB2B68" w:rsidRDefault="00000000">
            <w:r>
              <w:t>18</w:t>
            </w:r>
          </w:p>
        </w:tc>
        <w:tc>
          <w:tcPr>
            <w:tcW w:w="885" w:type="dxa"/>
            <w:noWrap/>
          </w:tcPr>
          <w:p w14:paraId="1DBC5D26" w14:textId="77777777" w:rsidR="00DB2B68" w:rsidRDefault="00000000">
            <w:r>
              <w:t>24</w:t>
            </w:r>
          </w:p>
        </w:tc>
        <w:tc>
          <w:tcPr>
            <w:tcW w:w="885" w:type="dxa"/>
            <w:noWrap/>
          </w:tcPr>
          <w:p w14:paraId="5E4E4C07" w14:textId="77777777" w:rsidR="00DB2B68" w:rsidRDefault="00000000">
            <w:r>
              <w:t>28</w:t>
            </w:r>
          </w:p>
        </w:tc>
        <w:tc>
          <w:tcPr>
            <w:tcW w:w="885" w:type="dxa"/>
            <w:noWrap/>
          </w:tcPr>
          <w:p w14:paraId="7CC77E7B" w14:textId="77777777" w:rsidR="00DB2B68" w:rsidRDefault="00000000">
            <w:r>
              <w:t>30</w:t>
            </w:r>
          </w:p>
        </w:tc>
      </w:tr>
    </w:tbl>
    <w:p w14:paraId="648CC3A7" w14:textId="77777777" w:rsidR="00DB2B68" w:rsidRDefault="00DB2B68"/>
    <w:p w14:paraId="073ACCB7" w14:textId="77777777" w:rsidR="00DB2B68" w:rsidRDefault="00000000">
      <w:pPr>
        <w:jc w:val="both"/>
      </w:pPr>
      <w:r>
        <w:t>Pour des diamètres de tiges filetées différents de ceux renseignés ci-dessus, la règle suivante peut être appliquée, en fonction du diamètre « d » des tiges filetées :</w:t>
      </w:r>
    </w:p>
    <w:p w14:paraId="75CC434C" w14:textId="77777777" w:rsidR="00DB2B68" w:rsidRDefault="00000000">
      <w:pPr>
        <w:pStyle w:val="Author-eListParagraph"/>
        <w:numPr>
          <w:ilvl w:val="0"/>
          <w:numId w:val="1077"/>
        </w:numPr>
      </w:pPr>
      <w:r>
        <w:t>d ≤ 16 mm à percement de diamètre d + 2 mm ;</w:t>
      </w:r>
    </w:p>
    <w:p w14:paraId="383EAB01" w14:textId="77777777" w:rsidR="00DB2B68" w:rsidRDefault="00000000">
      <w:pPr>
        <w:pStyle w:val="Author-eListParagraph"/>
        <w:numPr>
          <w:ilvl w:val="0"/>
          <w:numId w:val="1077"/>
        </w:numPr>
      </w:pPr>
      <w:r>
        <w:t>d &gt; 16 mm à percement de diamètre d + (3 ou 4) mm.</w:t>
      </w:r>
      <w:r>
        <w:br/>
      </w:r>
    </w:p>
    <w:p w14:paraId="57330A85" w14:textId="77777777" w:rsidR="00DB2B68" w:rsidRDefault="00000000">
      <w:pPr>
        <w:jc w:val="both"/>
      </w:pPr>
      <w:r>
        <w:t xml:space="preserve">Matériau du support : </w:t>
      </w:r>
      <w:r>
        <w:rPr>
          <w:rStyle w:val="optioncarChar"/>
        </w:rPr>
        <w:t>béton non-fissuré / béton fissuré / maçonneries pleines / maçonneries creuses</w:t>
      </w:r>
      <w:r>
        <w:t> </w:t>
      </w:r>
    </w:p>
    <w:p w14:paraId="5C278341" w14:textId="77777777" w:rsidR="00DB2B68" w:rsidRDefault="00000000">
      <w:pPr>
        <w:jc w:val="both"/>
      </w:pPr>
      <w:r>
        <w:t>Lorsque le matériau de support est creux, l’utilisation d’un tamis conforme aux exigences du fabricant de l’ancrage est nécessaire.</w:t>
      </w:r>
    </w:p>
    <w:p w14:paraId="72E346E0" w14:textId="77777777" w:rsidR="00DB2B68" w:rsidRDefault="00000000">
      <w:pPr>
        <w:pStyle w:val="pheading"/>
      </w:pPr>
      <w:r>
        <w:t>EXÉCUTION / MISE EN ŒUVRE</w:t>
      </w:r>
    </w:p>
    <w:p w14:paraId="1422FFA8" w14:textId="77777777" w:rsidR="00DB2B68" w:rsidRDefault="00000000">
      <w:pPr>
        <w:pStyle w:val="pheading"/>
      </w:pPr>
      <w:r>
        <w:t>- Prescriptions générales</w:t>
      </w:r>
    </w:p>
    <w:p w14:paraId="1DB68250" w14:textId="77777777" w:rsidR="00DB2B68" w:rsidRDefault="00000000">
      <w:pPr>
        <w:jc w:val="both"/>
      </w:pPr>
      <w:r>
        <w:t>En toute circonstance, les consignes d’utilisation du fournisseur sont respectées.</w:t>
      </w:r>
    </w:p>
    <w:p w14:paraId="7DB1E5F7" w14:textId="77777777" w:rsidR="00DB2B68" w:rsidRDefault="00000000">
      <w:pPr>
        <w:jc w:val="both"/>
      </w:pPr>
      <w:r>
        <w:t>Le fournisseur prescrit la plage de température autorisée lors de l’installation, à la fois pour l’air ambiant et pour la résine, la durée limite d’installation et le temps d’attente avant l’application de charge.</w:t>
      </w:r>
    </w:p>
    <w:p w14:paraId="2CD029B2" w14:textId="77777777" w:rsidR="00DB2B68" w:rsidRDefault="00000000">
      <w:pPr>
        <w:jc w:val="both"/>
      </w:pPr>
      <w:r>
        <w:lastRenderedPageBreak/>
        <w:t>Pour atteindre la capacité portante indiquée par le fournisseur, il est nécessaire de bien dépoussiérer le trou avant d’y insérer la résine et d’y mettre la quantité recommandée de résine. </w:t>
      </w:r>
    </w:p>
    <w:p w14:paraId="48DC59F8" w14:textId="77777777" w:rsidR="00DB2B68" w:rsidRDefault="00000000">
      <w:pPr>
        <w:jc w:val="both"/>
      </w:pPr>
      <w:r>
        <w:t xml:space="preserve">Profondeur effective d’ancrage : </w:t>
      </w:r>
      <w:r>
        <w:rPr>
          <w:rStyle w:val="optioncarChar"/>
        </w:rPr>
        <w:t xml:space="preserve">voir plan </w:t>
      </w:r>
      <w:r>
        <w:t xml:space="preserve">(par défaut) </w:t>
      </w:r>
      <w:r>
        <w:rPr>
          <w:rStyle w:val="optioncarChar"/>
        </w:rPr>
        <w:t>/ ***</w:t>
      </w:r>
    </w:p>
    <w:p w14:paraId="487463CC" w14:textId="77777777" w:rsidR="00DB2B68" w:rsidRDefault="00000000">
      <w:pPr>
        <w:jc w:val="both"/>
      </w:pPr>
      <w:r>
        <w:t>La profondeur effective d’ancrage doit être dans la plage autorisée par le fournisseur.</w:t>
      </w:r>
    </w:p>
    <w:p w14:paraId="342567BF" w14:textId="77777777" w:rsidR="00DB2B68" w:rsidRDefault="00000000">
      <w:pPr>
        <w:jc w:val="both"/>
      </w:pPr>
      <w:r>
        <w:t>Une fois les ancrages réalisés, tous les déchets contenant de la résine sont considérés comme étant des déchets dangereux et doivent être évacués comme tels. </w:t>
      </w:r>
    </w:p>
    <w:p w14:paraId="1A09CDAD" w14:textId="77777777" w:rsidR="00DB2B68" w:rsidRDefault="00000000">
      <w:pPr>
        <w:pStyle w:val="pheading"/>
      </w:pPr>
      <w:r>
        <w:t>MESURAGE</w:t>
      </w:r>
    </w:p>
    <w:p w14:paraId="05241DAC" w14:textId="77777777" w:rsidR="00DB2B68" w:rsidRDefault="00000000">
      <w:pPr>
        <w:pStyle w:val="pheading"/>
      </w:pPr>
      <w:r>
        <w:t>- unité de mesure:</w:t>
      </w:r>
    </w:p>
    <w:p w14:paraId="55930F53" w14:textId="77777777" w:rsidR="00DB2B68" w:rsidRDefault="00000000">
      <w:r>
        <w:rPr>
          <w:rStyle w:val="optioncarChar"/>
        </w:rPr>
        <w:t>- </w:t>
      </w:r>
      <w:r>
        <w:t>(par défaut)</w:t>
      </w:r>
      <w:r>
        <w:rPr>
          <w:rStyle w:val="optioncarChar"/>
        </w:rPr>
        <w:t> / pc</w:t>
      </w:r>
    </w:p>
    <w:p w14:paraId="05BFB3B4" w14:textId="77777777" w:rsidR="00DB2B68" w:rsidRDefault="00000000">
      <w:r>
        <w:rPr>
          <w:b/>
          <w:i/>
        </w:rPr>
        <w:t>(Soit par défaut)</w:t>
      </w:r>
    </w:p>
    <w:p w14:paraId="265DBDFC" w14:textId="77777777" w:rsidR="00DB2B68" w:rsidRDefault="00000000">
      <w:r>
        <w:rPr>
          <w:rStyle w:val="soitChar"/>
        </w:rPr>
        <w:t>1.     –</w:t>
      </w:r>
    </w:p>
    <w:p w14:paraId="754E2BDC" w14:textId="77777777" w:rsidR="00DB2B68" w:rsidRDefault="00000000">
      <w:r>
        <w:rPr>
          <w:b/>
          <w:i/>
        </w:rPr>
        <w:t>(Soit)</w:t>
      </w:r>
    </w:p>
    <w:p w14:paraId="52F5836B" w14:textId="77777777" w:rsidR="00DB2B68" w:rsidRDefault="00000000">
      <w:r>
        <w:rPr>
          <w:rStyle w:val="soitChar"/>
        </w:rPr>
        <w:t>2.3.  pc</w:t>
      </w:r>
    </w:p>
    <w:p w14:paraId="2FBF7A50" w14:textId="77777777" w:rsidR="00DB2B68" w:rsidRDefault="00000000">
      <w:pPr>
        <w:pStyle w:val="pheading"/>
      </w:pPr>
      <w:r>
        <w:t>- code de mesurage:</w:t>
      </w:r>
    </w:p>
    <w:p w14:paraId="5FC40BC1" w14:textId="77777777" w:rsidR="00DB2B68" w:rsidRDefault="00000000">
      <w:pPr>
        <w:jc w:val="both"/>
      </w:pPr>
      <w:r>
        <w:rPr>
          <w:rStyle w:val="optioncarChar"/>
        </w:rPr>
        <w:t>Compris</w:t>
      </w:r>
      <w:r>
        <w:t> (par défaut)</w:t>
      </w:r>
      <w:r>
        <w:rPr>
          <w:rStyle w:val="optioncarChar"/>
        </w:rPr>
        <w:t> / Quantité nette</w:t>
      </w:r>
    </w:p>
    <w:p w14:paraId="7F03C9E5" w14:textId="77777777" w:rsidR="00DB2B68" w:rsidRDefault="00000000">
      <w:pPr>
        <w:jc w:val="both"/>
      </w:pPr>
      <w:r>
        <w:rPr>
          <w:b/>
          <w:i/>
        </w:rPr>
        <w:t>(Soit par défaut)</w:t>
      </w:r>
    </w:p>
    <w:p w14:paraId="4F654DC7" w14:textId="77777777" w:rsidR="00DB2B68" w:rsidRDefault="00000000">
      <w:pPr>
        <w:jc w:val="both"/>
      </w:pPr>
      <w:r>
        <w:rPr>
          <w:rStyle w:val="soitChar"/>
        </w:rPr>
        <w:t>1.     </w:t>
      </w:r>
      <w:r>
        <w:rPr>
          <w:rStyle w:val="soitChar"/>
          <w:u w:val="single"/>
        </w:rPr>
        <w:t>Compris</w:t>
      </w:r>
      <w:r>
        <w:rPr>
          <w:rStyle w:val="soitChar"/>
        </w:rPr>
        <w:t> dans l’article de référence</w:t>
      </w:r>
      <w:r>
        <w:rPr>
          <w:rStyle w:val="optioncarChar"/>
        </w:rPr>
        <w:t> ***</w:t>
      </w:r>
    </w:p>
    <w:p w14:paraId="7C65A13B" w14:textId="77777777" w:rsidR="00DB2B68" w:rsidRDefault="00000000">
      <w:pPr>
        <w:jc w:val="both"/>
      </w:pPr>
      <w:r>
        <w:rPr>
          <w:b/>
          <w:i/>
        </w:rPr>
        <w:t>(Soit)</w:t>
      </w:r>
    </w:p>
    <w:p w14:paraId="61E761BF" w14:textId="77777777" w:rsidR="00DB2B68" w:rsidRDefault="00000000">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049DCC69" w14:textId="77777777" w:rsidR="00DB2B68" w:rsidRDefault="00000000">
      <w:pPr>
        <w:pStyle w:val="pheading"/>
      </w:pPr>
      <w:r>
        <w:t>- nature du marché:</w:t>
      </w:r>
    </w:p>
    <w:p w14:paraId="34B77A76" w14:textId="77777777" w:rsidR="00DB2B68" w:rsidRDefault="00000000">
      <w:r>
        <w:rPr>
          <w:rStyle w:val="optioncarChar"/>
        </w:rPr>
        <w:t>PM</w:t>
      </w:r>
      <w:r>
        <w:t> (par défaut)</w:t>
      </w:r>
      <w:r>
        <w:rPr>
          <w:rStyle w:val="optioncarChar"/>
        </w:rPr>
        <w:t> / QF / QP</w:t>
      </w:r>
    </w:p>
    <w:p w14:paraId="7DE1E20C" w14:textId="77777777" w:rsidR="00DB2B68" w:rsidRDefault="00000000">
      <w:r>
        <w:rPr>
          <w:b/>
          <w:i/>
        </w:rPr>
        <w:t>(Soit par défaut)</w:t>
      </w:r>
    </w:p>
    <w:p w14:paraId="5DA9D6C0" w14:textId="77777777" w:rsidR="00DB2B68" w:rsidRDefault="00000000">
      <w:r>
        <w:rPr>
          <w:rStyle w:val="soitChar"/>
        </w:rPr>
        <w:t>1.     PM</w:t>
      </w:r>
    </w:p>
    <w:p w14:paraId="57A06F45" w14:textId="77777777" w:rsidR="00DB2B68" w:rsidRDefault="00000000">
      <w:r>
        <w:rPr>
          <w:b/>
          <w:i/>
        </w:rPr>
        <w:t>(Soit)</w:t>
      </w:r>
    </w:p>
    <w:p w14:paraId="40D99D02" w14:textId="77777777" w:rsidR="00DB2B68" w:rsidRDefault="00000000">
      <w:r>
        <w:rPr>
          <w:rStyle w:val="soitChar"/>
        </w:rPr>
        <w:t>2.     QF</w:t>
      </w:r>
    </w:p>
    <w:p w14:paraId="776921A0" w14:textId="77777777" w:rsidR="00DB2B68" w:rsidRDefault="00000000">
      <w:r>
        <w:rPr>
          <w:b/>
          <w:i/>
        </w:rPr>
        <w:t>(Soit)</w:t>
      </w:r>
    </w:p>
    <w:p w14:paraId="173BF768" w14:textId="77777777" w:rsidR="00DB2B68" w:rsidRDefault="00000000">
      <w:r>
        <w:rPr>
          <w:rStyle w:val="soitChar"/>
        </w:rPr>
        <w:t>3.     QP</w:t>
      </w:r>
    </w:p>
    <w:p w14:paraId="728F030E" w14:textId="77777777" w:rsidR="00DB2B68" w:rsidRDefault="00000000">
      <w:pPr>
        <w:pStyle w:val="Author-eSectionHeading3Numberless"/>
      </w:pPr>
      <w:bookmarkStart w:id="1769" w:name="_Toc220496730"/>
      <w:r>
        <w:t>24.5 (titre réservé) CCTB 01.04</w:t>
      </w:r>
      <w:bookmarkEnd w:id="1769"/>
    </w:p>
    <w:p w14:paraId="73752BB7" w14:textId="77777777" w:rsidR="00DB2B68" w:rsidRDefault="00000000">
      <w:pPr>
        <w:pStyle w:val="Author-eSectionHeading3Numberless"/>
      </w:pPr>
      <w:bookmarkStart w:id="1770" w:name="_Toc220496731"/>
      <w:r>
        <w:t>24.6 (titre réservé) CCTB 01.02</w:t>
      </w:r>
      <w:bookmarkEnd w:id="1770"/>
    </w:p>
    <w:p w14:paraId="711B0097" w14:textId="77777777" w:rsidR="00DB2B68" w:rsidRDefault="00000000">
      <w:pPr>
        <w:pStyle w:val="Author-eSectionHeading3Numberless"/>
      </w:pPr>
      <w:bookmarkStart w:id="1771" w:name="_Toc220496732"/>
      <w:r>
        <w:t>24.7 Traitements, protection et finition des bois CCTB 01.11</w:t>
      </w:r>
      <w:bookmarkEnd w:id="1771"/>
    </w:p>
    <w:p w14:paraId="33F29D76" w14:textId="77777777" w:rsidR="00DB2B68" w:rsidRDefault="00000000">
      <w:pPr>
        <w:pStyle w:val="pheading"/>
      </w:pPr>
      <w:bookmarkStart w:id="1772" w:name="602"/>
      <w:bookmarkEnd w:id="1772"/>
      <w:r>
        <w:t>DESCRIPTION</w:t>
      </w:r>
    </w:p>
    <w:p w14:paraId="7D8F9466" w14:textId="77777777" w:rsidR="00DB2B68" w:rsidRDefault="00000000">
      <w:pPr>
        <w:pStyle w:val="pheading"/>
      </w:pPr>
      <w:r>
        <w:t>- Définition / Comprend</w:t>
      </w:r>
    </w:p>
    <w:p w14:paraId="083D19C6" w14:textId="77777777" w:rsidR="00DB2B68" w:rsidRDefault="00000000">
      <w:r>
        <w:t>Renvoi au § 83.2 Subjectiles en bois et dérivés du bois</w:t>
      </w:r>
    </w:p>
    <w:p w14:paraId="2B127934" w14:textId="77777777" w:rsidR="00DB2B68" w:rsidRDefault="00000000">
      <w:pPr>
        <w:pStyle w:val="pheading"/>
      </w:pPr>
      <w:r>
        <w:t>MATÉRIAUX</w:t>
      </w:r>
    </w:p>
    <w:p w14:paraId="7EC0832C" w14:textId="77777777" w:rsidR="00DB2B68" w:rsidRDefault="00000000">
      <w:pPr>
        <w:jc w:val="both"/>
      </w:pPr>
      <w:r>
        <w:rPr>
          <w:b/>
        </w:rPr>
        <w:t>Préservation du bois</w:t>
      </w:r>
    </w:p>
    <w:p w14:paraId="3A753388" w14:textId="77777777" w:rsidR="00DB2B68" w:rsidRDefault="00000000">
      <w:pPr>
        <w:jc w:val="both"/>
      </w:pPr>
      <w:r>
        <w:t>Les bois de structure utilisés subissent préalablement un traitement fongique et insecticide incolore selon un procédé A3 de la [STS 04 série] au moyen d’un produit homologué par l’Association belge pour la protection du bois (ABPB), dans une station de préservation agréée.</w:t>
      </w:r>
    </w:p>
    <w:p w14:paraId="3D46CEAF" w14:textId="77777777" w:rsidR="00DB2B68" w:rsidRDefault="00000000">
      <w:pPr>
        <w:jc w:val="both"/>
      </w:pPr>
      <w:r>
        <w:lastRenderedPageBreak/>
        <w:t>Le bois traité est accompagné d’un certificat émanant de l’organisme accrédité ou notifié.</w:t>
      </w:r>
    </w:p>
    <w:p w14:paraId="6073E717" w14:textId="77777777" w:rsidR="00DB2B68" w:rsidRDefault="00000000">
      <w:pPr>
        <w:jc w:val="both"/>
      </w:pPr>
      <w:r>
        <w:t>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travail.</w:t>
      </w:r>
    </w:p>
    <w:p w14:paraId="59753D30" w14:textId="77777777" w:rsidR="00DB2B68" w:rsidRDefault="00000000">
      <w:pPr>
        <w:pStyle w:val="Author-eSectionHeading3Numberless"/>
      </w:pPr>
      <w:bookmarkStart w:id="1773" w:name="_Toc220496733"/>
      <w:r>
        <w:t>24.8 Superstructures en bois - Rénovation CCTB 01.02</w:t>
      </w:r>
      <w:bookmarkEnd w:id="1773"/>
    </w:p>
    <w:p w14:paraId="01B9407E" w14:textId="77777777" w:rsidR="00DB2B68" w:rsidRDefault="00000000">
      <w:pPr>
        <w:pStyle w:val="Author-eSectionHeading4Numberless"/>
      </w:pPr>
      <w:bookmarkStart w:id="1774" w:name="_Toc220496734"/>
      <w:r>
        <w:t>24.81 Etudes / essais préliminaires CCTB 01.04</w:t>
      </w:r>
      <w:bookmarkEnd w:id="1774"/>
    </w:p>
    <w:p w14:paraId="3AEBE463" w14:textId="77777777" w:rsidR="00DB2B68" w:rsidRDefault="00000000">
      <w:pPr>
        <w:pStyle w:val="pheading"/>
      </w:pPr>
      <w:r>
        <w:t>DESCRIPTION</w:t>
      </w:r>
    </w:p>
    <w:p w14:paraId="06A56FCE" w14:textId="77777777" w:rsidR="00DB2B68" w:rsidRDefault="00000000">
      <w:pPr>
        <w:pStyle w:val="pheading"/>
      </w:pPr>
      <w:r>
        <w:t>- Définition / Comprend</w:t>
      </w:r>
    </w:p>
    <w:p w14:paraId="13BEE10B" w14:textId="77777777" w:rsidR="00DB2B68" w:rsidRDefault="00000000">
      <w:r>
        <w:t>Renvoi au § 03 Études, essais et contrôles en cours de chantier</w:t>
      </w:r>
    </w:p>
    <w:p w14:paraId="1CCC271C" w14:textId="77777777" w:rsidR="00DB2B68" w:rsidRDefault="00000000">
      <w:pPr>
        <w:pStyle w:val="Author-eSectionHeading4Numberless"/>
      </w:pPr>
      <w:bookmarkStart w:id="1775" w:name="_Toc220496735"/>
      <w:r>
        <w:t>24.82 Dépose / démontage / percement / déconstruction-démolition CCTB 01.02</w:t>
      </w:r>
      <w:bookmarkEnd w:id="1775"/>
    </w:p>
    <w:p w14:paraId="5F0514EB" w14:textId="77777777" w:rsidR="00DB2B68" w:rsidRDefault="00000000">
      <w:pPr>
        <w:pStyle w:val="Author-eSectionHeading5Numberless"/>
      </w:pPr>
      <w:bookmarkStart w:id="1776" w:name="_Toc220496736"/>
      <w:r>
        <w:t>24.82.1 Travaux de stabilisation CCTB 01.04</w:t>
      </w:r>
      <w:bookmarkEnd w:id="1776"/>
    </w:p>
    <w:p w14:paraId="61005A9A" w14:textId="77777777" w:rsidR="00DB2B68" w:rsidRDefault="00000000">
      <w:pPr>
        <w:pStyle w:val="pheading"/>
      </w:pPr>
      <w:r>
        <w:t>DESCRIPTION</w:t>
      </w:r>
    </w:p>
    <w:p w14:paraId="65A0C0FA" w14:textId="77777777" w:rsidR="00DB2B68" w:rsidRDefault="00000000">
      <w:pPr>
        <w:pStyle w:val="pheading"/>
      </w:pPr>
      <w:r>
        <w:t>- Définition / Comprend</w:t>
      </w:r>
    </w:p>
    <w:p w14:paraId="63181A66" w14:textId="77777777" w:rsidR="00DB2B68" w:rsidRDefault="00000000">
      <w:r>
        <w:t>Renvoi à 06.11 Stabilisations de la structure</w:t>
      </w:r>
    </w:p>
    <w:p w14:paraId="2EB9A441" w14:textId="77777777" w:rsidR="00DB2B68" w:rsidRDefault="00000000">
      <w:pPr>
        <w:pStyle w:val="Author-eSectionHeading5Numberless"/>
      </w:pPr>
      <w:bookmarkStart w:id="1777" w:name="_Toc220496737"/>
      <w:r>
        <w:t>24.82.2 Dépose d'éléments (pour repose ultérieure) CCTB 01.04</w:t>
      </w:r>
      <w:bookmarkEnd w:id="1777"/>
    </w:p>
    <w:p w14:paraId="22DF2C5B" w14:textId="77777777" w:rsidR="00DB2B68" w:rsidRDefault="00000000">
      <w:pPr>
        <w:pStyle w:val="pheading"/>
      </w:pPr>
      <w:r>
        <w:t>DESCRIPTION</w:t>
      </w:r>
    </w:p>
    <w:p w14:paraId="66B55142" w14:textId="77777777" w:rsidR="00DB2B68" w:rsidRDefault="00000000">
      <w:pPr>
        <w:pStyle w:val="pheading"/>
      </w:pPr>
      <w:r>
        <w:t>- Définition / Comprend</w:t>
      </w:r>
    </w:p>
    <w:p w14:paraId="54FB45A4" w14:textId="77777777" w:rsidR="00DB2B68" w:rsidRDefault="00000000">
      <w:r>
        <w:t>Renvoi au § 06.45 Démontages d'éléments de fermeture et de finitions extérieures</w:t>
      </w:r>
    </w:p>
    <w:p w14:paraId="46AB774D" w14:textId="77777777" w:rsidR="00DB2B68" w:rsidRDefault="00000000">
      <w:pPr>
        <w:pStyle w:val="Author-eSectionHeading5Numberless"/>
      </w:pPr>
      <w:bookmarkStart w:id="1778" w:name="_Toc220496738"/>
      <w:r>
        <w:t>24.82.3 Démontage d'éléments (pour récupération) CCTB 01.04</w:t>
      </w:r>
      <w:bookmarkEnd w:id="1778"/>
    </w:p>
    <w:p w14:paraId="3B0C8CD4" w14:textId="77777777" w:rsidR="00DB2B68" w:rsidRDefault="00000000">
      <w:pPr>
        <w:pStyle w:val="pheading"/>
      </w:pPr>
      <w:r>
        <w:t>DESCRIPTION</w:t>
      </w:r>
    </w:p>
    <w:p w14:paraId="6B838245" w14:textId="77777777" w:rsidR="00DB2B68" w:rsidRDefault="00000000">
      <w:pPr>
        <w:pStyle w:val="pheading"/>
      </w:pPr>
      <w:r>
        <w:t>- Définition / Comprend</w:t>
      </w:r>
    </w:p>
    <w:p w14:paraId="2F29886E" w14:textId="77777777" w:rsidR="00DB2B68" w:rsidRDefault="00000000">
      <w:r>
        <w:t>Renvoi au § 06.35 Démontages d'éléments de fermetures et de finitions extérieures</w:t>
      </w:r>
    </w:p>
    <w:p w14:paraId="6763A512" w14:textId="77777777" w:rsidR="00DB2B68" w:rsidRDefault="00000000">
      <w:pPr>
        <w:pStyle w:val="Author-eSectionHeading5Numberless"/>
      </w:pPr>
      <w:bookmarkStart w:id="1779" w:name="_Toc220496739"/>
      <w:r>
        <w:t>24.82.4 Dégagement d'éléments spécifiques CCTB 01.02</w:t>
      </w:r>
      <w:bookmarkEnd w:id="1779"/>
    </w:p>
    <w:p w14:paraId="74C09DD2" w14:textId="77777777" w:rsidR="00DB2B68" w:rsidRDefault="00000000">
      <w:pPr>
        <w:pStyle w:val="Author-eSectionHeading5Numberless"/>
      </w:pPr>
      <w:bookmarkStart w:id="1780" w:name="_Toc220496740"/>
      <w:r>
        <w:t>24.82.5 Décapage / déjointoiement (pour évacuation) CCTB 01.04</w:t>
      </w:r>
      <w:bookmarkEnd w:id="1780"/>
    </w:p>
    <w:p w14:paraId="1C736BEA" w14:textId="77777777" w:rsidR="00DB2B68" w:rsidRDefault="00000000">
      <w:pPr>
        <w:pStyle w:val="pheading"/>
      </w:pPr>
      <w:r>
        <w:t>DESCRIPTION</w:t>
      </w:r>
    </w:p>
    <w:p w14:paraId="12FFB5C5" w14:textId="77777777" w:rsidR="00DB2B68" w:rsidRDefault="00000000">
      <w:pPr>
        <w:pStyle w:val="pheading"/>
      </w:pPr>
      <w:r>
        <w:t>- Définition / Comprend</w:t>
      </w:r>
    </w:p>
    <w:p w14:paraId="76ECFE29" w14:textId="77777777" w:rsidR="00DB2B68" w:rsidRDefault="00000000">
      <w:r>
        <w:t>Renvoi au § 06.7 Décapages / déjointoiements (pour évacuation)</w:t>
      </w:r>
    </w:p>
    <w:p w14:paraId="7CDF628D" w14:textId="77777777" w:rsidR="00DB2B68" w:rsidRDefault="00000000">
      <w:r>
        <w:t>L’évacuation et la gestion des déchets issus de travaux de démolition, de rénovation ou de construction font l’objet d’un ou plusieurs postes spécifiques, détaillés dans le Tome 0 en section 07 Déchets, matériaux et éléments réemployables.</w:t>
      </w:r>
    </w:p>
    <w:p w14:paraId="20D4BE93" w14:textId="77777777" w:rsidR="00DB2B68" w:rsidRDefault="00000000">
      <w:pPr>
        <w:pStyle w:val="Author-eSectionHeading5Numberless"/>
      </w:pPr>
      <w:bookmarkStart w:id="1781" w:name="_Toc220496741"/>
      <w:r>
        <w:t>24.82.6 Percements / carottages CCTB 01.04</w:t>
      </w:r>
      <w:bookmarkEnd w:id="1781"/>
    </w:p>
    <w:p w14:paraId="1C9FD0EA" w14:textId="77777777" w:rsidR="00DB2B68" w:rsidRDefault="00000000">
      <w:pPr>
        <w:pStyle w:val="pheading"/>
      </w:pPr>
      <w:r>
        <w:t>DESCRIPTION</w:t>
      </w:r>
    </w:p>
    <w:p w14:paraId="3A1E6DBC" w14:textId="77777777" w:rsidR="00DB2B68" w:rsidRDefault="00000000">
      <w:pPr>
        <w:pStyle w:val="pheading"/>
      </w:pPr>
      <w:r>
        <w:t>- Définition / Comprend</w:t>
      </w:r>
    </w:p>
    <w:p w14:paraId="3C649F23" w14:textId="77777777" w:rsidR="00DB2B68" w:rsidRDefault="00000000">
      <w:r>
        <w:t>Renvoi à 06.8 Percements / carottages</w:t>
      </w:r>
    </w:p>
    <w:p w14:paraId="7B39D362" w14:textId="77777777" w:rsidR="00DB2B68" w:rsidRDefault="00000000">
      <w:pPr>
        <w:pStyle w:val="Author-eSectionHeading5Numberless"/>
      </w:pPr>
      <w:bookmarkStart w:id="1782" w:name="_Toc220496742"/>
      <w:r>
        <w:t>24.82.7 Déconstruction/démolition (pour évacuation) CCTB 01.04</w:t>
      </w:r>
      <w:bookmarkEnd w:id="1782"/>
    </w:p>
    <w:p w14:paraId="746F565A" w14:textId="77777777" w:rsidR="00DB2B68" w:rsidRDefault="00000000">
      <w:pPr>
        <w:pStyle w:val="pheading"/>
      </w:pPr>
      <w:r>
        <w:lastRenderedPageBreak/>
        <w:t>DESCRIPTION</w:t>
      </w:r>
    </w:p>
    <w:p w14:paraId="6E50AF5B" w14:textId="77777777" w:rsidR="00DB2B68" w:rsidRDefault="00000000">
      <w:pPr>
        <w:pStyle w:val="pheading"/>
      </w:pPr>
      <w:r>
        <w:t>- Définition / Comprend</w:t>
      </w:r>
    </w:p>
    <w:p w14:paraId="28642F38" w14:textId="77777777" w:rsidR="00DB2B68" w:rsidRDefault="00000000">
      <w:r>
        <w:t>Renvoi au § 06.27.4 Démolitions d'éléments de structures en bois</w:t>
      </w:r>
    </w:p>
    <w:p w14:paraId="2674463F" w14:textId="77777777" w:rsidR="00DB2B68" w:rsidRDefault="00000000">
      <w:r>
        <w:t>L’évacuation et la gestion des déchets issus de travaux de démolition, de rénovation ou de construction font l’objet d’un ou plusieurs postes spécifiques, détaillés dans le Tome 0 en section 07 Déchets, matériaux et éléments réemployables.</w:t>
      </w:r>
    </w:p>
    <w:p w14:paraId="55B79CA0" w14:textId="77777777" w:rsidR="00DB2B68" w:rsidRDefault="00000000">
      <w:pPr>
        <w:pStyle w:val="Author-eSectionHeading4Numberless"/>
      </w:pPr>
      <w:bookmarkStart w:id="1783" w:name="_Toc220496743"/>
      <w:r>
        <w:t>24.83 Réparation non structurale CCTB 01.04</w:t>
      </w:r>
      <w:bookmarkEnd w:id="1783"/>
    </w:p>
    <w:p w14:paraId="000099BE" w14:textId="77777777" w:rsidR="00DB2B68" w:rsidRDefault="00000000">
      <w:pPr>
        <w:pStyle w:val="Author-eSectionHeading5Numberless"/>
      </w:pPr>
      <w:bookmarkStart w:id="1784" w:name="_Toc220496744"/>
      <w:r>
        <w:t>24.83.1 Réparation non structurale superficielle CCTB 01.04</w:t>
      </w:r>
      <w:bookmarkEnd w:id="1784"/>
    </w:p>
    <w:p w14:paraId="3216CBEA" w14:textId="77777777" w:rsidR="00DB2B68" w:rsidRDefault="00000000">
      <w:pPr>
        <w:pStyle w:val="Author-eSectionHeading6Numberless"/>
      </w:pPr>
      <w:bookmarkStart w:id="1785" w:name="_Toc220496745"/>
      <w:r>
        <w:t>24.83.1a Masticage de fissures CCTB 01.02</w:t>
      </w:r>
      <w:bookmarkEnd w:id="1785"/>
    </w:p>
    <w:p w14:paraId="2F99AB33" w14:textId="77777777" w:rsidR="00DB2B68" w:rsidRDefault="00000000">
      <w:pPr>
        <w:pStyle w:val="Author-eSectionHeading6Numberless"/>
      </w:pPr>
      <w:bookmarkStart w:id="1786" w:name="_Toc220496746"/>
      <w:r>
        <w:t>24.83.1b Application de résines CCTB 01.10</w:t>
      </w:r>
      <w:bookmarkEnd w:id="1786"/>
    </w:p>
    <w:p w14:paraId="354986F7" w14:textId="77777777" w:rsidR="00DB2B68" w:rsidRDefault="00000000">
      <w:pPr>
        <w:pStyle w:val="Author-eSectionHeading5Numberless"/>
      </w:pPr>
      <w:bookmarkStart w:id="1787" w:name="_Toc220496747"/>
      <w:r>
        <w:t>24.83.2 Réparation non structurale par pièce rapportée CCTB 01.10</w:t>
      </w:r>
      <w:bookmarkEnd w:id="1787"/>
    </w:p>
    <w:p w14:paraId="60CB777D" w14:textId="77777777" w:rsidR="00DB2B68" w:rsidRDefault="00000000">
      <w:pPr>
        <w:pStyle w:val="Author-eSectionHeading6Numberless"/>
      </w:pPr>
      <w:bookmarkStart w:id="1788" w:name="_Toc220496748"/>
      <w:r>
        <w:t>24.83.2a Application d'un placage CCTB 01.10</w:t>
      </w:r>
      <w:bookmarkEnd w:id="1788"/>
    </w:p>
    <w:p w14:paraId="78B3D45E" w14:textId="77777777" w:rsidR="00DB2B68" w:rsidRDefault="00000000">
      <w:pPr>
        <w:pStyle w:val="Author-eSectionHeading6Numberless"/>
      </w:pPr>
      <w:bookmarkStart w:id="1789" w:name="_Toc220496749"/>
      <w:r>
        <w:t>24.83.2b Greffage CCTB 01.10</w:t>
      </w:r>
      <w:bookmarkEnd w:id="1789"/>
    </w:p>
    <w:p w14:paraId="25E711D0" w14:textId="77777777" w:rsidR="00DB2B68" w:rsidRDefault="00000000">
      <w:pPr>
        <w:pStyle w:val="Author-eSectionHeading5Numberless"/>
      </w:pPr>
      <w:bookmarkStart w:id="1790" w:name="_Toc220496750"/>
      <w:r>
        <w:t>24.83.3 Réparation non structurale par injection CCTB 01.10</w:t>
      </w:r>
      <w:bookmarkEnd w:id="1790"/>
    </w:p>
    <w:p w14:paraId="2CA30F30" w14:textId="77777777" w:rsidR="00DB2B68" w:rsidRDefault="00000000">
      <w:pPr>
        <w:pStyle w:val="Author-eSectionHeading6Numberless"/>
      </w:pPr>
      <w:bookmarkStart w:id="1791" w:name="_Toc220496751"/>
      <w:r>
        <w:t>24.83.3a Réparation non structurale par injection CCTB 01.10</w:t>
      </w:r>
      <w:bookmarkEnd w:id="1791"/>
    </w:p>
    <w:p w14:paraId="068A67E0" w14:textId="77777777" w:rsidR="00DB2B68" w:rsidRDefault="00000000">
      <w:pPr>
        <w:pStyle w:val="Author-eSectionHeading4Numberless"/>
      </w:pPr>
      <w:bookmarkStart w:id="1792" w:name="_Toc220496752"/>
      <w:r>
        <w:t>24.84 Réparation structurale / Renforcement CCTB 01.04</w:t>
      </w:r>
      <w:bookmarkEnd w:id="1792"/>
    </w:p>
    <w:p w14:paraId="06BFC223" w14:textId="77777777" w:rsidR="00DB2B68" w:rsidRDefault="00000000">
      <w:pPr>
        <w:pStyle w:val="Author-eSectionHeading5Numberless"/>
      </w:pPr>
      <w:bookmarkStart w:id="1793" w:name="606"/>
      <w:bookmarkStart w:id="1794" w:name="_Toc220496753"/>
      <w:bookmarkEnd w:id="1793"/>
      <w:r>
        <w:t>24.84.1 Réparation structurale / Renforcement par injection CCTB 01.04</w:t>
      </w:r>
      <w:bookmarkEnd w:id="1794"/>
    </w:p>
    <w:p w14:paraId="05877051" w14:textId="77777777" w:rsidR="00DB2B68" w:rsidRDefault="00000000">
      <w:pPr>
        <w:pStyle w:val="Author-eSectionHeading6Numberless"/>
      </w:pPr>
      <w:bookmarkStart w:id="1795" w:name="_Toc220496754"/>
      <w:r>
        <w:t>24.84.1a Injection à base de résines CCTB 01.04</w:t>
      </w:r>
      <w:bookmarkEnd w:id="1795"/>
    </w:p>
    <w:p w14:paraId="37EC7E5C" w14:textId="77777777" w:rsidR="00DB2B68" w:rsidRDefault="00000000">
      <w:pPr>
        <w:pStyle w:val="Author-eSectionHeading5Numberless"/>
      </w:pPr>
      <w:bookmarkStart w:id="1796" w:name="_Toc220496755"/>
      <w:r>
        <w:t>24.84.2 Réparation structurale / Renforcement par modification de la section de poutres existantes CCTB 01.02</w:t>
      </w:r>
      <w:bookmarkEnd w:id="1796"/>
    </w:p>
    <w:p w14:paraId="06B86C56" w14:textId="77777777" w:rsidR="00DB2B68" w:rsidRDefault="00000000">
      <w:pPr>
        <w:pStyle w:val="Author-eSectionHeading6Numberless"/>
      </w:pPr>
      <w:bookmarkStart w:id="1797" w:name="_Toc220496756"/>
      <w:r>
        <w:t>24.84.2a Renforcement par modification de la section de poutres existantes CCTB 01.02</w:t>
      </w:r>
      <w:bookmarkEnd w:id="1797"/>
    </w:p>
    <w:p w14:paraId="6C20DBB5" w14:textId="77777777" w:rsidR="00DB2B68" w:rsidRDefault="00000000">
      <w:pPr>
        <w:pStyle w:val="Author-eSectionHeading5Numberless"/>
      </w:pPr>
      <w:bookmarkStart w:id="1798" w:name="_Toc220496757"/>
      <w:r>
        <w:t>24.84.3 Réparation structurale / Renforcement par insertion et scellement de barres (brochage / agrafage / épinglage) CCTB 01.04</w:t>
      </w:r>
      <w:bookmarkEnd w:id="1798"/>
    </w:p>
    <w:p w14:paraId="43999EFF" w14:textId="77777777" w:rsidR="00DB2B68" w:rsidRDefault="00000000">
      <w:pPr>
        <w:pStyle w:val="Author-eSectionHeading6Numberless"/>
      </w:pPr>
      <w:bookmarkStart w:id="1799" w:name="_Toc220496758"/>
      <w:r>
        <w:t>24.84.3a Réparation structurale / Renforcement par brochage CCTB 01.10</w:t>
      </w:r>
      <w:bookmarkEnd w:id="1799"/>
    </w:p>
    <w:p w14:paraId="77757A5E" w14:textId="77777777" w:rsidR="00DB2B68" w:rsidRDefault="00000000">
      <w:pPr>
        <w:pStyle w:val="Author-eSectionHeading6Numberless"/>
      </w:pPr>
      <w:bookmarkStart w:id="1800" w:name="_Toc220496759"/>
      <w:r>
        <w:t>24.84.3b Réparation structurale / Renforcement par agrafage CCTB 01.04</w:t>
      </w:r>
      <w:bookmarkEnd w:id="1800"/>
    </w:p>
    <w:p w14:paraId="70E47144" w14:textId="77777777" w:rsidR="00DB2B68" w:rsidRDefault="00000000">
      <w:pPr>
        <w:pStyle w:val="Author-eSectionHeading6Numberless"/>
      </w:pPr>
      <w:bookmarkStart w:id="1801" w:name="_Toc220496760"/>
      <w:r>
        <w:t>24.84.3c Réparation structurale / Renforcement par épinglage CCTB 01.10</w:t>
      </w:r>
      <w:bookmarkEnd w:id="1801"/>
    </w:p>
    <w:p w14:paraId="06DA2722" w14:textId="77777777" w:rsidR="00DB2B68" w:rsidRDefault="00000000">
      <w:pPr>
        <w:pStyle w:val="Author-eSectionHeading6Numberless"/>
      </w:pPr>
      <w:bookmarkStart w:id="1802" w:name="_Toc220496761"/>
      <w:r>
        <w:t>24.84.3d Réparation structurale / Renforcement de nœuds de charpente CCTB 01.04</w:t>
      </w:r>
      <w:bookmarkEnd w:id="1802"/>
    </w:p>
    <w:p w14:paraId="7A1BE657" w14:textId="77777777" w:rsidR="00DB2B68" w:rsidRDefault="00000000">
      <w:pPr>
        <w:pStyle w:val="Author-eSectionHeading5Numberless"/>
      </w:pPr>
      <w:bookmarkStart w:id="1803" w:name="_Toc220496762"/>
      <w:r>
        <w:t>24.84.4 Réparation structurale / Renforcement par fixation de plats et toiles CCTB 01.04</w:t>
      </w:r>
      <w:bookmarkEnd w:id="1803"/>
    </w:p>
    <w:p w14:paraId="1B609124" w14:textId="77777777" w:rsidR="00DB2B68" w:rsidRDefault="00000000">
      <w:pPr>
        <w:pStyle w:val="Author-eSectionHeading6Numberless"/>
      </w:pPr>
      <w:bookmarkStart w:id="1804" w:name="_Toc220496763"/>
      <w:r>
        <w:t>24.84.4a Ajout d'armatures collées en acier CCTB 01.02</w:t>
      </w:r>
      <w:bookmarkEnd w:id="1804"/>
    </w:p>
    <w:p w14:paraId="62ACDD87" w14:textId="77777777" w:rsidR="00DB2B68" w:rsidRDefault="00000000">
      <w:pPr>
        <w:pStyle w:val="Author-eSectionHeading6Numberless"/>
      </w:pPr>
      <w:bookmarkStart w:id="1805" w:name="_Toc220496764"/>
      <w:r>
        <w:t>24.84.4b Ajout d'armatures collées en fibre de carbone CCTB 01.02</w:t>
      </w:r>
      <w:bookmarkEnd w:id="1805"/>
    </w:p>
    <w:p w14:paraId="1CBB80E0" w14:textId="77777777" w:rsidR="00DB2B68" w:rsidRDefault="00000000">
      <w:pPr>
        <w:pStyle w:val="Author-eSectionHeading6Numberless"/>
      </w:pPr>
      <w:bookmarkStart w:id="1806" w:name="_Toc220496765"/>
      <w:r>
        <w:t>24.84.4c Moulages composites CCTB 01.02</w:t>
      </w:r>
      <w:bookmarkEnd w:id="1806"/>
    </w:p>
    <w:p w14:paraId="604BDC60" w14:textId="77777777" w:rsidR="00DB2B68" w:rsidRDefault="00000000">
      <w:pPr>
        <w:pStyle w:val="Author-eSectionHeading6Numberless"/>
      </w:pPr>
      <w:bookmarkStart w:id="1807" w:name="_Toc220496766"/>
      <w:r>
        <w:t>24.84.4d Réparation structurale / Renforcement par brochage CCTB 01.04</w:t>
      </w:r>
      <w:bookmarkEnd w:id="1807"/>
    </w:p>
    <w:p w14:paraId="59524842" w14:textId="77777777" w:rsidR="00DB2B68" w:rsidRDefault="00000000">
      <w:pPr>
        <w:pStyle w:val="Author-eSectionHeading6Numberless"/>
      </w:pPr>
      <w:bookmarkStart w:id="1808" w:name="_Toc220496767"/>
      <w:r>
        <w:lastRenderedPageBreak/>
        <w:t>24.84.4e Ajout de toiles CCTB 01.10</w:t>
      </w:r>
      <w:bookmarkEnd w:id="1808"/>
    </w:p>
    <w:p w14:paraId="44AAEFB5" w14:textId="77777777" w:rsidR="00DB2B68" w:rsidRDefault="00000000">
      <w:pPr>
        <w:pStyle w:val="Author-eSectionHeading5Numberless"/>
      </w:pPr>
      <w:bookmarkStart w:id="1809" w:name="_Toc220496768"/>
      <w:r>
        <w:t>24.84.5 Réparation structurale / Renforcement par ajout d'éléments structuraux CCTB 01.04</w:t>
      </w:r>
      <w:bookmarkEnd w:id="1809"/>
    </w:p>
    <w:p w14:paraId="6CBAC386" w14:textId="77777777" w:rsidR="00DB2B68" w:rsidRDefault="00000000">
      <w:pPr>
        <w:pStyle w:val="Author-eSectionHeading6Numberless"/>
      </w:pPr>
      <w:bookmarkStart w:id="1810" w:name="_Toc220496769"/>
      <w:r>
        <w:t>24.84.5a Ajout de tirants métalliques externes CCTB 01.02</w:t>
      </w:r>
      <w:bookmarkEnd w:id="1810"/>
    </w:p>
    <w:p w14:paraId="53EBE48A" w14:textId="77777777" w:rsidR="00DB2B68" w:rsidRDefault="00000000">
      <w:pPr>
        <w:pStyle w:val="Author-eSectionHeading6Numberless"/>
      </w:pPr>
      <w:bookmarkStart w:id="1811" w:name="_Toc220496770"/>
      <w:r>
        <w:t>24.84.5b Ajout de profils métalliques externes boulonnés CCTB 01.02</w:t>
      </w:r>
      <w:bookmarkEnd w:id="1811"/>
    </w:p>
    <w:p w14:paraId="1BAB5B86" w14:textId="77777777" w:rsidR="00DB2B68" w:rsidRDefault="00000000">
      <w:pPr>
        <w:pStyle w:val="Author-eSectionHeading6Numberless"/>
      </w:pPr>
      <w:bookmarkStart w:id="1812" w:name="_Toc220496771"/>
      <w:r>
        <w:t>24.84.5c Réalisation de cerclage métallique externe CCTB 01.02</w:t>
      </w:r>
      <w:bookmarkEnd w:id="1812"/>
    </w:p>
    <w:p w14:paraId="17E2F1E8" w14:textId="77777777" w:rsidR="00DB2B68" w:rsidRDefault="00000000">
      <w:pPr>
        <w:pStyle w:val="Author-eSectionHeading6Numberless"/>
      </w:pPr>
      <w:bookmarkStart w:id="1813" w:name="_Toc220496772"/>
      <w:r>
        <w:t>24.84.5d Structure de délestage autour d'une structure existante CCTB 01.02</w:t>
      </w:r>
      <w:bookmarkEnd w:id="1813"/>
    </w:p>
    <w:p w14:paraId="78671D08" w14:textId="77777777" w:rsidR="00DB2B68" w:rsidRDefault="00000000">
      <w:pPr>
        <w:pStyle w:val="Author-eSectionHeading6Numberless"/>
      </w:pPr>
      <w:bookmarkStart w:id="1814" w:name="_Toc220496773"/>
      <w:r>
        <w:t>24.84.5e Ajout d'éléments en bois CCTB 01.04</w:t>
      </w:r>
      <w:bookmarkEnd w:id="1814"/>
    </w:p>
    <w:p w14:paraId="26D1AE40" w14:textId="77777777" w:rsidR="00DB2B68" w:rsidRDefault="00000000">
      <w:pPr>
        <w:pStyle w:val="Author-eSectionHeading6Numberless"/>
      </w:pPr>
      <w:bookmarkStart w:id="1815" w:name="_Toc220496774"/>
      <w:r>
        <w:t>24.84.5f Ajout d'éléments en matière synthétique CCTB 01.04</w:t>
      </w:r>
      <w:bookmarkEnd w:id="1815"/>
    </w:p>
    <w:p w14:paraId="551687EB" w14:textId="77777777" w:rsidR="00DB2B68" w:rsidRDefault="00000000">
      <w:pPr>
        <w:pStyle w:val="Author-eSectionHeading5Numberless"/>
      </w:pPr>
      <w:bookmarkStart w:id="1816" w:name="_Toc220496775"/>
      <w:r>
        <w:t>24.84.6 Réparation structurale / Renforcement de fixations ou d'assemblages de structure existantes CCTB 01.04</w:t>
      </w:r>
      <w:bookmarkEnd w:id="1816"/>
    </w:p>
    <w:p w14:paraId="5C6924D3" w14:textId="77777777" w:rsidR="00DB2B68" w:rsidRDefault="00000000">
      <w:pPr>
        <w:pStyle w:val="Author-eSectionHeading6Numberless"/>
      </w:pPr>
      <w:bookmarkStart w:id="1817" w:name="_Toc220496776"/>
      <w:r>
        <w:t>24.84.6a Reprise d'abouts de poutres par sabot métallique CCTB 01.02</w:t>
      </w:r>
      <w:bookmarkEnd w:id="1817"/>
    </w:p>
    <w:p w14:paraId="48B6A66B" w14:textId="77777777" w:rsidR="00DB2B68" w:rsidRDefault="00000000">
      <w:pPr>
        <w:pStyle w:val="Author-eSectionHeading6Numberless"/>
      </w:pPr>
      <w:bookmarkStart w:id="1818" w:name="_Toc220496777"/>
      <w:r>
        <w:t>24.84.6b Ajout de chevilles en bois CCTB 01.10</w:t>
      </w:r>
      <w:bookmarkEnd w:id="1818"/>
    </w:p>
    <w:p w14:paraId="221B22B3" w14:textId="77777777" w:rsidR="00DB2B68" w:rsidRDefault="00000000">
      <w:pPr>
        <w:pStyle w:val="Author-eSectionHeading6Numberless"/>
      </w:pPr>
      <w:bookmarkStart w:id="1819" w:name="_Toc220496778"/>
      <w:r>
        <w:t>24.84.6c Ajout de tiges filetées CCTB 01.10</w:t>
      </w:r>
      <w:bookmarkEnd w:id="1819"/>
    </w:p>
    <w:p w14:paraId="060EFFFA" w14:textId="77777777" w:rsidR="00DB2B68" w:rsidRDefault="00000000">
      <w:pPr>
        <w:pStyle w:val="Author-eSectionHeading6Numberless"/>
      </w:pPr>
      <w:bookmarkStart w:id="1820" w:name="_Toc220496779"/>
      <w:r>
        <w:t>24.84.6d Ajout de vis CCTB 01.04</w:t>
      </w:r>
      <w:bookmarkEnd w:id="1820"/>
    </w:p>
    <w:p w14:paraId="087ED039" w14:textId="77777777" w:rsidR="00DB2B68" w:rsidRDefault="00000000">
      <w:pPr>
        <w:pStyle w:val="Author-eSectionHeading6Numberless"/>
      </w:pPr>
      <w:bookmarkStart w:id="1821" w:name="_Toc220496780"/>
      <w:r>
        <w:t>24.84.6e Ancrages métalliques CCTB 01.04</w:t>
      </w:r>
      <w:bookmarkEnd w:id="1821"/>
    </w:p>
    <w:p w14:paraId="0406C93E" w14:textId="77777777" w:rsidR="00DB2B68" w:rsidRDefault="00000000">
      <w:pPr>
        <w:pStyle w:val="Author-eSectionHeading4Numberless"/>
      </w:pPr>
      <w:bookmarkStart w:id="1822" w:name="_Toc220496781"/>
      <w:r>
        <w:t>24.85 Adaptation CCTB 01.02</w:t>
      </w:r>
      <w:bookmarkEnd w:id="1822"/>
    </w:p>
    <w:p w14:paraId="1362FB49" w14:textId="77777777" w:rsidR="00DB2B68" w:rsidRDefault="00000000">
      <w:pPr>
        <w:pStyle w:val="Author-eSectionHeading5Numberless"/>
      </w:pPr>
      <w:bookmarkStart w:id="1823" w:name="607"/>
      <w:bookmarkStart w:id="1824" w:name="_Toc220496782"/>
      <w:bookmarkEnd w:id="1823"/>
      <w:r>
        <w:t>24.85.1 Adaptation de charpentes en bois pour baies / passages CCTB 01.02</w:t>
      </w:r>
      <w:bookmarkEnd w:id="1824"/>
    </w:p>
    <w:p w14:paraId="574ED5FE" w14:textId="77777777" w:rsidR="00DB2B68" w:rsidRDefault="00000000">
      <w:pPr>
        <w:pStyle w:val="Author-eSectionHeading6Numberless"/>
      </w:pPr>
      <w:bookmarkStart w:id="1825" w:name="_Toc220496783"/>
      <w:r>
        <w:t>24.85.1a Création de baies CCTB 01.04</w:t>
      </w:r>
      <w:bookmarkEnd w:id="1825"/>
    </w:p>
    <w:p w14:paraId="06744D24" w14:textId="77777777" w:rsidR="00DB2B68" w:rsidRDefault="00000000">
      <w:pPr>
        <w:pStyle w:val="pheading"/>
      </w:pPr>
      <w:r>
        <w:t>DESCRIPTION</w:t>
      </w:r>
    </w:p>
    <w:p w14:paraId="36C005B7" w14:textId="77777777" w:rsidR="00DB2B68" w:rsidRDefault="00000000">
      <w:pPr>
        <w:pStyle w:val="pheading"/>
      </w:pPr>
      <w:r>
        <w:t>- Définition / Comprend</w:t>
      </w:r>
    </w:p>
    <w:p w14:paraId="7FA81AB0" w14:textId="77777777" w:rsidR="00DB2B68" w:rsidRDefault="00000000">
      <w:r>
        <w:t>Renvoi au § 06.82.2 Percements pour créations de baies</w:t>
      </w:r>
    </w:p>
    <w:p w14:paraId="6F14D0A4" w14:textId="77777777" w:rsidR="00DB2B68" w:rsidRDefault="00000000">
      <w:pPr>
        <w:pStyle w:val="Author-eSectionHeading6Numberless"/>
      </w:pPr>
      <w:bookmarkStart w:id="1826" w:name="_Toc220496784"/>
      <w:r>
        <w:t>24.85.1b Adaptation dimensionnelle de baies existantes CCTB 01.04</w:t>
      </w:r>
      <w:bookmarkEnd w:id="1826"/>
    </w:p>
    <w:p w14:paraId="0C95036A" w14:textId="77777777" w:rsidR="00DB2B68" w:rsidRDefault="00000000">
      <w:pPr>
        <w:pStyle w:val="pheading"/>
      </w:pPr>
      <w:r>
        <w:t>DESCRIPTION</w:t>
      </w:r>
    </w:p>
    <w:p w14:paraId="4BB0B945" w14:textId="77777777" w:rsidR="00DB2B68" w:rsidRDefault="00000000">
      <w:pPr>
        <w:pStyle w:val="pheading"/>
      </w:pPr>
      <w:r>
        <w:t>- Définition / Comprend</w:t>
      </w:r>
    </w:p>
    <w:p w14:paraId="55C07C02" w14:textId="77777777" w:rsidR="00DB2B68" w:rsidRDefault="00000000">
      <w:r>
        <w:t>Renvoi au § 06.82.2 Percements pour créations de baies</w:t>
      </w:r>
    </w:p>
    <w:p w14:paraId="546240CD" w14:textId="77777777" w:rsidR="00DB2B68" w:rsidRDefault="00000000">
      <w:pPr>
        <w:pStyle w:val="Author-eSectionHeading6Numberless"/>
      </w:pPr>
      <w:bookmarkStart w:id="1827" w:name="_Toc220496785"/>
      <w:r>
        <w:t>24.85.1c Obturation de baies existantes CCTB 01.02</w:t>
      </w:r>
      <w:bookmarkEnd w:id="1827"/>
    </w:p>
    <w:p w14:paraId="585CDDC6" w14:textId="77777777" w:rsidR="00DB2B68" w:rsidRDefault="00000000">
      <w:pPr>
        <w:pStyle w:val="Author-eSectionHeading6Numberless"/>
      </w:pPr>
      <w:bookmarkStart w:id="1828" w:name="_Toc220496786"/>
      <w:r>
        <w:t>24.85.1d Passage pour techniques spéciales CCTB 01.04</w:t>
      </w:r>
      <w:bookmarkEnd w:id="1828"/>
    </w:p>
    <w:p w14:paraId="7DB4E4F2" w14:textId="77777777" w:rsidR="00DB2B68" w:rsidRDefault="00000000">
      <w:pPr>
        <w:pStyle w:val="Author-eSectionHeading6Numberless"/>
      </w:pPr>
      <w:bookmarkStart w:id="1829" w:name="_Toc220496787"/>
      <w:r>
        <w:t>24.85.1e Adaptations de charpentes en bois pour baies / passages en vue d'un changement d'affectation CCTB 01.04</w:t>
      </w:r>
      <w:bookmarkEnd w:id="1829"/>
    </w:p>
    <w:p w14:paraId="1FC006F6" w14:textId="77777777" w:rsidR="00DB2B68" w:rsidRDefault="00000000">
      <w:pPr>
        <w:pStyle w:val="Author-eSectionHeading4Numberless"/>
      </w:pPr>
      <w:bookmarkStart w:id="1830" w:name="_Toc220496788"/>
      <w:r>
        <w:t>24.86 Repose / remplacement (à l'identique) CCTB 01.02</w:t>
      </w:r>
      <w:bookmarkEnd w:id="1830"/>
    </w:p>
    <w:p w14:paraId="24D7C656" w14:textId="77777777" w:rsidR="00DB2B68" w:rsidRDefault="00000000">
      <w:pPr>
        <w:pStyle w:val="Author-eSectionHeading5Numberless"/>
      </w:pPr>
      <w:bookmarkStart w:id="1831" w:name="_Toc220496789"/>
      <w:r>
        <w:t>24.86.1 Repose d'éléments récupérés CCTB 01.02</w:t>
      </w:r>
      <w:bookmarkEnd w:id="1831"/>
    </w:p>
    <w:p w14:paraId="04E0A936" w14:textId="77777777" w:rsidR="00DB2B68" w:rsidRDefault="00000000">
      <w:pPr>
        <w:pStyle w:val="Author-eSectionHeading6Numberless"/>
      </w:pPr>
      <w:bookmarkStart w:id="1832" w:name="_Toc220496790"/>
      <w:r>
        <w:t>24.86.1a Repose d'éléments récupérés CCTB 01.02</w:t>
      </w:r>
      <w:bookmarkEnd w:id="1832"/>
    </w:p>
    <w:p w14:paraId="39C83989" w14:textId="77777777" w:rsidR="00DB2B68" w:rsidRDefault="00000000">
      <w:pPr>
        <w:pStyle w:val="Author-eSectionHeading5Numberless"/>
      </w:pPr>
      <w:bookmarkStart w:id="1833" w:name="_Toc220496791"/>
      <w:r>
        <w:lastRenderedPageBreak/>
        <w:t>24.86.2 Remplacement complet à l'identique de structures en bois CCTB 01.04</w:t>
      </w:r>
      <w:bookmarkEnd w:id="1833"/>
    </w:p>
    <w:p w14:paraId="51540A18" w14:textId="77777777" w:rsidR="00DB2B68" w:rsidRDefault="00000000">
      <w:pPr>
        <w:pStyle w:val="pheading"/>
      </w:pPr>
      <w:r>
        <w:t>DESCRIPTION</w:t>
      </w:r>
    </w:p>
    <w:p w14:paraId="201425F2" w14:textId="77777777" w:rsidR="00DB2B68" w:rsidRDefault="00000000">
      <w:pPr>
        <w:pStyle w:val="pheading"/>
      </w:pPr>
      <w:r>
        <w:t>- Définition / Comprend</w:t>
      </w:r>
    </w:p>
    <w:p w14:paraId="4000659E" w14:textId="77777777" w:rsidR="00DB2B68" w:rsidRDefault="00000000">
      <w:r>
        <w:t xml:space="preserve">Renvoi au § </w:t>
      </w:r>
      <w:hyperlink w:anchor="89" w:history="1">
        <w:r>
          <w:rPr>
            <w:color w:val="0000EE"/>
          </w:rPr>
          <w:t>24 Superstructures en bois</w:t>
        </w:r>
      </w:hyperlink>
    </w:p>
    <w:p w14:paraId="6A473AC8" w14:textId="77777777" w:rsidR="00DB2B68" w:rsidRDefault="00000000">
      <w:pPr>
        <w:pStyle w:val="Author-eSectionHeading5Numberless"/>
      </w:pPr>
      <w:bookmarkStart w:id="1834" w:name="_Toc220496792"/>
      <w:r>
        <w:t>24.86.3 Remplacement complet d'éléments de structure en bois CCTB 01.02</w:t>
      </w:r>
      <w:bookmarkEnd w:id="1834"/>
    </w:p>
    <w:p w14:paraId="49A7096F" w14:textId="77777777" w:rsidR="00DB2B68" w:rsidRDefault="00000000">
      <w:pPr>
        <w:pStyle w:val="Author-eSectionHeading6Numberless"/>
      </w:pPr>
      <w:bookmarkStart w:id="1835" w:name="_Toc220496793"/>
      <w:r>
        <w:t>24.86.3a Remplacement d'éléments de structure en bois individuels CCTB 01.04</w:t>
      </w:r>
      <w:bookmarkEnd w:id="1835"/>
    </w:p>
    <w:p w14:paraId="2821CE0D" w14:textId="77777777" w:rsidR="00DB2B68" w:rsidRDefault="00000000">
      <w:pPr>
        <w:pStyle w:val="Author-eSectionHeading6Numberless"/>
      </w:pPr>
      <w:bookmarkStart w:id="1836" w:name="_Toc220496794"/>
      <w:r>
        <w:t>24.86.3b Remplacement d'éléments de structure en bois faisant partie d'une structure / charpente CCTB 01.02</w:t>
      </w:r>
      <w:bookmarkEnd w:id="1836"/>
    </w:p>
    <w:p w14:paraId="33EAA3B0" w14:textId="77777777" w:rsidR="00DB2B68" w:rsidRDefault="00000000">
      <w:pPr>
        <w:pStyle w:val="Author-eSectionHeading5Numberless"/>
      </w:pPr>
      <w:bookmarkStart w:id="1837" w:name="_Toc220496795"/>
      <w:r>
        <w:t>24.86.4 Remplacement / reconstitution partiel d'éléments de structure en bois CCTB 01.02</w:t>
      </w:r>
      <w:bookmarkEnd w:id="1837"/>
    </w:p>
    <w:p w14:paraId="4B965E0B" w14:textId="77777777" w:rsidR="00DB2B68" w:rsidRDefault="00000000">
      <w:pPr>
        <w:pStyle w:val="Author-eSectionHeading6Numberless"/>
      </w:pPr>
      <w:bookmarkStart w:id="1838" w:name="_Toc220496796"/>
      <w:r>
        <w:t>24.86.4a Remplacement partiel d'éléments de structure en bois par greffes et plats métalliques CCTB 01.02</w:t>
      </w:r>
      <w:bookmarkEnd w:id="1838"/>
    </w:p>
    <w:p w14:paraId="62A2B44B" w14:textId="77777777" w:rsidR="00DB2B68" w:rsidRDefault="00000000">
      <w:pPr>
        <w:pStyle w:val="Author-eSectionHeading6Numberless"/>
      </w:pPr>
      <w:bookmarkStart w:id="1839" w:name="_Toc220496797"/>
      <w:r>
        <w:t>24.86.4b Remplacement partiel d'éléments de structure en bois par greffes boulonnées CCTB 01.04</w:t>
      </w:r>
      <w:bookmarkEnd w:id="1839"/>
    </w:p>
    <w:p w14:paraId="16EB9B75" w14:textId="77777777" w:rsidR="00DB2B68" w:rsidRDefault="00000000">
      <w:pPr>
        <w:pStyle w:val="Author-eSectionHeading6Numberless"/>
      </w:pPr>
      <w:bookmarkStart w:id="1840" w:name="_Toc220496798"/>
      <w:r>
        <w:t>24.86.4c Remplacement partiel d'éléments de structure en bois par greffes et assemblages à entailles (assemblages traditionnels) CCTB 01.04</w:t>
      </w:r>
      <w:bookmarkEnd w:id="1840"/>
    </w:p>
    <w:p w14:paraId="67B794CB" w14:textId="77777777" w:rsidR="00DB2B68" w:rsidRDefault="00000000">
      <w:pPr>
        <w:pStyle w:val="Author-eSectionHeading6Numberless"/>
      </w:pPr>
      <w:bookmarkStart w:id="1841" w:name="_Toc220496799"/>
      <w:r>
        <w:t>24.86.4d Reconstitution partielle d'éléments de structure en bois par moulage en résines et barre de renfort CCTB 01.02</w:t>
      </w:r>
      <w:bookmarkEnd w:id="1841"/>
    </w:p>
    <w:p w14:paraId="08D41FEB" w14:textId="77777777" w:rsidR="00DB2B68" w:rsidRDefault="00000000">
      <w:pPr>
        <w:pStyle w:val="Author-eSectionHeading5Numberless"/>
      </w:pPr>
      <w:bookmarkStart w:id="1842" w:name="_Toc220496800"/>
      <w:r>
        <w:t>24.86.5 Remplacement d'éléments de fixation/assemblage CCTB 01.02</w:t>
      </w:r>
      <w:bookmarkEnd w:id="1842"/>
    </w:p>
    <w:p w14:paraId="4CD92AA0" w14:textId="77777777" w:rsidR="00DB2B68" w:rsidRDefault="00000000">
      <w:pPr>
        <w:pStyle w:val="Author-eSectionHeading6Numberless"/>
      </w:pPr>
      <w:bookmarkStart w:id="1843" w:name="_Toc220496801"/>
      <w:r>
        <w:t>24.86.5a Remplacement de chevilles en bois CCTB 01.02</w:t>
      </w:r>
      <w:bookmarkEnd w:id="1843"/>
    </w:p>
    <w:p w14:paraId="42451511" w14:textId="77777777" w:rsidR="00DB2B68" w:rsidRDefault="00000000">
      <w:pPr>
        <w:pStyle w:val="Author-eSectionHeading6Numberless"/>
      </w:pPr>
      <w:bookmarkStart w:id="1844" w:name="_Toc220496802"/>
      <w:r>
        <w:t>24.86.5b Remplacement de fixations métalliques (boulons/écrous/étriers/sabots et autres) CCTB 01.04</w:t>
      </w:r>
      <w:bookmarkEnd w:id="1844"/>
    </w:p>
    <w:p w14:paraId="6F45F7F4" w14:textId="77777777" w:rsidR="00DB2B68" w:rsidRDefault="00000000">
      <w:pPr>
        <w:pStyle w:val="Author-eSectionHeading4Numberless"/>
      </w:pPr>
      <w:bookmarkStart w:id="1845" w:name="_Toc220496803"/>
      <w:r>
        <w:t>24.87 Nettoyage / préparation de surface CCTB 01.04</w:t>
      </w:r>
      <w:bookmarkEnd w:id="1845"/>
    </w:p>
    <w:p w14:paraId="6A46301E" w14:textId="77777777" w:rsidR="00DB2B68" w:rsidRDefault="00000000">
      <w:pPr>
        <w:pStyle w:val="pheading"/>
      </w:pPr>
      <w:r>
        <w:t>DESCRIPTION</w:t>
      </w:r>
    </w:p>
    <w:p w14:paraId="21B0DF11" w14:textId="77777777" w:rsidR="00DB2B68" w:rsidRDefault="00000000">
      <w:pPr>
        <w:pStyle w:val="pheading"/>
      </w:pPr>
      <w:r>
        <w:t>- Définition / Comprend</w:t>
      </w:r>
    </w:p>
    <w:p w14:paraId="196A65CC" w14:textId="77777777" w:rsidR="00DB2B68" w:rsidRDefault="00000000">
      <w:r>
        <w:t>Renvoi au § 83.21 Nettoyage / préparation de surface </w:t>
      </w:r>
    </w:p>
    <w:p w14:paraId="21CFF5B0" w14:textId="77777777" w:rsidR="00DB2B68" w:rsidRDefault="00000000">
      <w:pPr>
        <w:pStyle w:val="Author-eSectionHeading4Numberless"/>
      </w:pPr>
      <w:bookmarkStart w:id="1846" w:name="_Toc220496804"/>
      <w:r>
        <w:t>24.88 Traitement et protection CCTB 01.04</w:t>
      </w:r>
      <w:bookmarkEnd w:id="1846"/>
    </w:p>
    <w:p w14:paraId="42112BB7" w14:textId="77777777" w:rsidR="00DB2B68" w:rsidRDefault="00000000">
      <w:pPr>
        <w:pStyle w:val="pheading"/>
      </w:pPr>
      <w:r>
        <w:t>DESCRIPTION</w:t>
      </w:r>
    </w:p>
    <w:p w14:paraId="27C6EFF6" w14:textId="77777777" w:rsidR="00DB2B68" w:rsidRDefault="00000000">
      <w:pPr>
        <w:pStyle w:val="pheading"/>
      </w:pPr>
      <w:r>
        <w:t>- Définition / Comprend</w:t>
      </w:r>
    </w:p>
    <w:p w14:paraId="15F07A19" w14:textId="77777777" w:rsidR="00DB2B68" w:rsidRDefault="00000000">
      <w:r>
        <w:t>Renvoi au § 83.2 Subjectiles en bois et dérivés du bois</w:t>
      </w:r>
    </w:p>
    <w:p w14:paraId="4588E0BB" w14:textId="77777777" w:rsidR="00DB2B68" w:rsidRDefault="00000000">
      <w:pPr>
        <w:pStyle w:val="Author-eSectionHeading2Numberless"/>
      </w:pPr>
      <w:bookmarkStart w:id="1847" w:name="_Toc220496805"/>
      <w:r>
        <w:t>25 Superstructures en verre CCTB 01.02</w:t>
      </w:r>
      <w:bookmarkEnd w:id="1847"/>
    </w:p>
    <w:p w14:paraId="2F2242FF" w14:textId="77777777" w:rsidR="00DB2B68" w:rsidRDefault="00000000">
      <w:pPr>
        <w:pStyle w:val="Author-eSectionHeading2Numberless"/>
      </w:pPr>
      <w:bookmarkStart w:id="1848" w:name="982"/>
      <w:bookmarkStart w:id="1849" w:name="_Toc220496806"/>
      <w:bookmarkEnd w:id="1848"/>
      <w:r>
        <w:t>26 Etanchéisation et isolation CCTB 01.02</w:t>
      </w:r>
      <w:bookmarkEnd w:id="1849"/>
    </w:p>
    <w:p w14:paraId="5070FB0A" w14:textId="77777777" w:rsidR="00DB2B68" w:rsidRDefault="00000000">
      <w:pPr>
        <w:pStyle w:val="Author-eSectionHeading3Numberless"/>
      </w:pPr>
      <w:bookmarkStart w:id="1850" w:name="479"/>
      <w:bookmarkStart w:id="1851" w:name="_Toc220496807"/>
      <w:bookmarkEnd w:id="1850"/>
      <w:r>
        <w:t>26.1 Etanchéisation aux matières liquides CCTB 01.02</w:t>
      </w:r>
      <w:bookmarkEnd w:id="1851"/>
    </w:p>
    <w:p w14:paraId="195B96A3" w14:textId="77777777" w:rsidR="00DB2B68" w:rsidRDefault="00000000">
      <w:pPr>
        <w:pStyle w:val="Author-eSectionHeading4Numberless"/>
      </w:pPr>
      <w:bookmarkStart w:id="1852" w:name="296"/>
      <w:bookmarkStart w:id="1853" w:name="_Toc220496808"/>
      <w:bookmarkEnd w:id="1852"/>
      <w:r>
        <w:lastRenderedPageBreak/>
        <w:t>26.11 Feuilles et membranes d'étanchéité à l'eau CCTB 01.11</w:t>
      </w:r>
      <w:bookmarkEnd w:id="1853"/>
    </w:p>
    <w:p w14:paraId="69AEA32F" w14:textId="77777777" w:rsidR="00DB2B68" w:rsidRDefault="00000000">
      <w:pPr>
        <w:pStyle w:val="pheading"/>
      </w:pPr>
      <w:bookmarkStart w:id="1854" w:name="356"/>
      <w:bookmarkEnd w:id="1854"/>
      <w:r>
        <w:t>DESCRIPTION</w:t>
      </w:r>
    </w:p>
    <w:p w14:paraId="6BB73636" w14:textId="77777777" w:rsidR="00DB2B68" w:rsidRDefault="00000000">
      <w:pPr>
        <w:pStyle w:val="pheading"/>
      </w:pPr>
      <w:r>
        <w:t>- Définition / Comprend</w:t>
      </w:r>
    </w:p>
    <w:p w14:paraId="6EA7A449" w14:textId="77777777" w:rsidR="00DB2B68" w:rsidRDefault="00000000">
      <w:r>
        <w:t>Il s'agit des barrières d'étanchéité nécessaires dans la maçonnerie d'élévation pour parer à l'humidité ascensionnelle. Sous réserve des prescriptions dans le cahier spécial des charges et/ou les détails d'exécution, l'entrepreneur doit veiller à ce que d'aucune manière l'eau de l'extérieur ou de l'infrastructure ne puisse s'infiltrer dans la superstructure. A cet effet, une barrière d'étanchéité est posée à tous les endroits par où l'humidité ascensionnelle peut monter dans la superstructure. Le prix de ces étanchéités est compris dans le prix de la maçonnerie.</w:t>
      </w:r>
    </w:p>
    <w:p w14:paraId="3056694D" w14:textId="77777777" w:rsidR="00DB2B68" w:rsidRDefault="00000000">
      <w:r>
        <w:t>Il s'agit également de la fourniture et de la pose de l'isolation contre l'humidité, barrage d'étanchéité entre la coulisse et le mur de parement, en vue de l'évacuation efficace des eaux de pluie et/ou de condensation. L'étanchéité est appliquée à la base des coulisses, à tous les endroits où le vide est interrompu et à tout passage de la feuille extérieure du mur creux d’un environnement intérieur à un environnement extérieur (par ex. murs en butée, pénétrations de toiture pour cheminées etc.).</w:t>
      </w:r>
    </w:p>
    <w:p w14:paraId="7E126E49" w14:textId="77777777" w:rsidR="00DB2B68" w:rsidRDefault="00000000">
      <w:pPr>
        <w:pStyle w:val="pheading"/>
      </w:pPr>
      <w:r>
        <w:t>MATÉRIAUX</w:t>
      </w:r>
    </w:p>
    <w:p w14:paraId="241DD305" w14:textId="77777777" w:rsidR="00DB2B68" w:rsidRDefault="00000000">
      <w:r>
        <w:t>Lorsque le matériau d'étanchéité n'est pas spécifié dans le cahier spécial des charges, l'entrepreneur choisit parmi les produits mentionnés ci-dessous, dans la mesure où ils sont compatibles avec les prescriptions du fabricant, la nature de l'application et les matériaux de façade utilisés.</w:t>
      </w:r>
    </w:p>
    <w:p w14:paraId="27351AE5" w14:textId="77777777" w:rsidR="00DB2B68" w:rsidRDefault="00000000">
      <w:pPr>
        <w:pStyle w:val="pheading"/>
      </w:pPr>
      <w:r>
        <w:t>EXÉCUTION / MISE EN ŒUVRE</w:t>
      </w:r>
    </w:p>
    <w:p w14:paraId="3B557FE2" w14:textId="77777777" w:rsidR="00DB2B68" w:rsidRDefault="00000000">
      <w:r>
        <w:t>L'étanchéité est appliquée sur toute la superficie de l'élément de construction à isoler, les profils correspondent aux dessins de détail. Lorsque le niveau n'est pas horizontal, l'étanchéité est posée en gradins qui se superposent et se chevauchent. Les faces de contact sont suffisamment propres et lisses de façon à ne pas perforer la membrane. Sous la membrane d'étanchéité, on applique une couche d'assise d'un centimètre d'épaisseur à l'aide de mortier. Les lés sont posés conformément aux prescriptions du fabricant et avec un chevauchement d’au moins 10 cm et assemblés sur toute leur surface par collage ou soudage à froid – le collage ou le soudage n’est pas nécessaire pour les membranes anticapillaires. Les faces à encoller doivent être propres et sèches.</w:t>
      </w:r>
    </w:p>
    <w:p w14:paraId="5A17DFE2" w14:textId="77777777" w:rsidR="00DB2B68" w:rsidRDefault="00000000">
      <w:r>
        <w:t xml:space="preserve">Voir également les prescriptions d'exécution section </w:t>
      </w:r>
      <w:hyperlink w:anchor="295" w:history="1">
        <w:r>
          <w:rPr>
            <w:color w:val="0000EE"/>
          </w:rPr>
          <w:t>21 Superstructures en maçonnerie</w:t>
        </w:r>
      </w:hyperlink>
    </w:p>
    <w:p w14:paraId="60F4D8AF" w14:textId="77777777" w:rsidR="00DB2B68" w:rsidRDefault="00000000">
      <w:r>
        <w:t xml:space="preserve">La membrane d’étanchéité est pliée de façon telle que l’écoulement des eaux soit dirigé vers l’extérieur. L’isolation recouvre la largeur complète de la feuille extérieure du mur creux. Là où le niveau extérieur n’est pas horizontal, l’isolation est posée en gradins par couches de recouvrement superposées. La pose et le pliage de ces couches assurent en outre l'écoulement des eaux vers le bas. L’isolation est complètement soutenue dans les coulisses par une bande d'isolation chanfreinée, non capillaire et imputrescible. Précisément au-dessus de cette isolation, des joints montants sont laissés ouverts dans la maçonnerie de parement afin de permettre l'évacuation des eaux. La différence de niveau entre l'assise du mur de contre-façade et la feuille extérieure du mur creux est d’au moins </w:t>
      </w:r>
      <w:r>
        <w:rPr>
          <w:rStyle w:val="optioncarChar"/>
        </w:rPr>
        <w:t>10 </w:t>
      </w:r>
      <w:r>
        <w:t>(par défaut)</w:t>
      </w:r>
      <w:r>
        <w:rPr>
          <w:rStyle w:val="optioncarChar"/>
        </w:rPr>
        <w:t xml:space="preserve"> / ***</w:t>
      </w:r>
      <w:r>
        <w:t xml:space="preserve"> cm. Les chevauchements nécessaires et le mode d'assemblage correspondent à la nature du produit.</w:t>
      </w:r>
    </w:p>
    <w:p w14:paraId="2C29ADE2" w14:textId="77777777" w:rsidR="00DB2B68" w:rsidRDefault="00000000">
      <w:r>
        <w:rPr>
          <w:u w:val="single"/>
        </w:rPr>
        <w:t>À l'attention de l'auteur de projet</w:t>
      </w:r>
    </w:p>
    <w:p w14:paraId="560077B0" w14:textId="77777777" w:rsidR="00DB2B68" w:rsidRDefault="00000000">
      <w:r>
        <w:t>Consulter l’A.T.G. du produit et/ou préconiser les membranes préformées aux pieds des jambages et aux angles.</w:t>
      </w:r>
    </w:p>
    <w:p w14:paraId="6AFC8ACE" w14:textId="77777777" w:rsidR="00DB2B68" w:rsidRDefault="00000000">
      <w:pPr>
        <w:pStyle w:val="pheading"/>
      </w:pPr>
      <w:r>
        <w:t>DOCUMENTS DE RÉFÉRENCE</w:t>
      </w:r>
    </w:p>
    <w:p w14:paraId="7565E1F1" w14:textId="77777777" w:rsidR="00DB2B68" w:rsidRDefault="00000000">
      <w:pPr>
        <w:pStyle w:val="pheading"/>
      </w:pPr>
      <w:r>
        <w:t>- Exécution</w:t>
      </w:r>
    </w:p>
    <w:p w14:paraId="6099C3F9" w14:textId="77777777" w:rsidR="00DB2B68" w:rsidRDefault="00000000">
      <w:r>
        <w:t>[NIT 224, Hydrofugation de surface (remplace la NIT 140).]</w:t>
      </w:r>
    </w:p>
    <w:p w14:paraId="0600172E" w14:textId="77777777" w:rsidR="00DB2B68" w:rsidRDefault="00000000">
      <w:r>
        <w:rPr>
          <w:shd w:val="clear" w:color="auto" w:fill="FFFFFF"/>
        </w:rPr>
        <w:t>[NIT 252, L'humidité dans les constructions. Particularités de l'humidité ascensionnelle (remplace la NIT 210).]</w:t>
      </w:r>
    </w:p>
    <w:p w14:paraId="4C85EC85" w14:textId="77777777" w:rsidR="00DB2B68" w:rsidRDefault="00000000">
      <w:pPr>
        <w:ind w:left="750"/>
      </w:pPr>
      <w:r>
        <w:t> </w:t>
      </w:r>
    </w:p>
    <w:p w14:paraId="48CF759E" w14:textId="77777777" w:rsidR="00DB2B68" w:rsidRDefault="00000000">
      <w:pPr>
        <w:pStyle w:val="Author-eSectionHeading5Numberless"/>
      </w:pPr>
      <w:bookmarkStart w:id="1855" w:name="_Toc220496809"/>
      <w:r>
        <w:lastRenderedPageBreak/>
        <w:t>26.11.1 Membranes souples - Membranes CCTB 01.02</w:t>
      </w:r>
      <w:bookmarkEnd w:id="1855"/>
    </w:p>
    <w:p w14:paraId="59E01D4B" w14:textId="77777777" w:rsidR="00DB2B68" w:rsidRDefault="00000000">
      <w:pPr>
        <w:pStyle w:val="pheading"/>
      </w:pPr>
      <w:r>
        <w:t>DESCRIPTION</w:t>
      </w:r>
    </w:p>
    <w:p w14:paraId="05D0997F" w14:textId="77777777" w:rsidR="00DB2B68" w:rsidRDefault="00000000">
      <w:pPr>
        <w:pStyle w:val="pheading"/>
      </w:pPr>
      <w:r>
        <w:t>- Définition / Comprend</w:t>
      </w:r>
    </w:p>
    <w:p w14:paraId="2E9D490C" w14:textId="77777777" w:rsidR="00DB2B68" w:rsidRDefault="00000000">
      <w:r>
        <w:t xml:space="preserve">Conformément aux dispositions du chapitre   </w:t>
      </w:r>
      <w:hyperlink w:anchor="356" w:history="1">
        <w:r>
          <w:rPr>
            <w:color w:val="0000EE"/>
          </w:rPr>
          <w:t>26.11 Feuilles et membranes d'étanchéité à l'eau</w:t>
        </w:r>
      </w:hyperlink>
    </w:p>
    <w:p w14:paraId="630815C4" w14:textId="77777777" w:rsidR="00DB2B68" w:rsidRDefault="00000000">
      <w:pPr>
        <w:pStyle w:val="Author-eSectionHeading6Numberless"/>
      </w:pPr>
      <w:bookmarkStart w:id="1856" w:name="_Toc220496810"/>
      <w:r>
        <w:t>26.11.1a Couches d'étanchéité - membranes / PE CCTB 01.11</w:t>
      </w:r>
      <w:bookmarkEnd w:id="1856"/>
    </w:p>
    <w:p w14:paraId="4837FA30" w14:textId="77777777" w:rsidR="00DB2B68" w:rsidRDefault="00000000">
      <w:pPr>
        <w:pStyle w:val="pheading"/>
      </w:pPr>
      <w:r>
        <w:t>DESCRIPTION</w:t>
      </w:r>
    </w:p>
    <w:p w14:paraId="2685D230" w14:textId="77777777" w:rsidR="00DB2B68" w:rsidRDefault="00000000">
      <w:pPr>
        <w:pStyle w:val="pheading"/>
      </w:pPr>
      <w:r>
        <w:t>- Localisation</w:t>
      </w:r>
    </w:p>
    <w:p w14:paraId="76DD519A" w14:textId="77777777" w:rsidR="00DB2B68" w:rsidRDefault="00000000">
      <w:r>
        <w:t>Tous les murs intérieurs au rez-de-chaussée ou au niveau des caves.</w:t>
      </w:r>
    </w:p>
    <w:p w14:paraId="23907CCE" w14:textId="77777777" w:rsidR="00DB2B68" w:rsidRDefault="00000000">
      <w:pPr>
        <w:pStyle w:val="pheading"/>
      </w:pPr>
      <w:r>
        <w:t>MATÉRIAUX</w:t>
      </w:r>
    </w:p>
    <w:p w14:paraId="7910A80D" w14:textId="77777777" w:rsidR="00DB2B68" w:rsidRDefault="00000000">
      <w:pPr>
        <w:pStyle w:val="pheading"/>
      </w:pPr>
      <w:r>
        <w:t>- Caractéristiques générales</w:t>
      </w:r>
    </w:p>
    <w:p w14:paraId="0F0BE3ED" w14:textId="77777777" w:rsidR="00DB2B68" w:rsidRDefault="00000000">
      <w:r>
        <w:rPr>
          <w:u w:val="single"/>
        </w:rPr>
        <w:t>Pour les membranes anticapillaires :</w:t>
      </w:r>
    </w:p>
    <w:p w14:paraId="5633AF79" w14:textId="77777777" w:rsidR="00DB2B68" w:rsidRDefault="00000000">
      <w:r>
        <w:t xml:space="preserve">L'étanchéité se compose d'une feuille de polyéthylène. Le matériau est fabriqué à base de polymères. En fonction de l'application, la membrane présente une épaisseur d'au moins </w:t>
      </w:r>
      <w:r>
        <w:rPr>
          <w:rStyle w:val="optioncarChar"/>
        </w:rPr>
        <w:t xml:space="preserve">0,45 </w:t>
      </w:r>
      <w:r>
        <w:t>(par défaut) </w:t>
      </w:r>
      <w:r>
        <w:rPr>
          <w:rStyle w:val="optioncarChar"/>
        </w:rPr>
        <w:t xml:space="preserve">/ *** </w:t>
      </w:r>
      <w:r>
        <w:t xml:space="preserve">mm, pèse au moins </w:t>
      </w:r>
      <w:r>
        <w:rPr>
          <w:rStyle w:val="optioncarChar"/>
        </w:rPr>
        <w:t>450 </w:t>
      </w:r>
      <w:r>
        <w:t>(par défaut)</w:t>
      </w:r>
      <w:r>
        <w:rPr>
          <w:rStyle w:val="optioncarChar"/>
        </w:rPr>
        <w:t xml:space="preserve"> / *** </w:t>
      </w:r>
      <w:r>
        <w:t>g/m2 et a une surface nervurée.</w:t>
      </w:r>
    </w:p>
    <w:p w14:paraId="17DF8D86" w14:textId="77777777" w:rsidR="00DB2B68" w:rsidRDefault="00000000">
      <w:r>
        <w:rPr>
          <w:u w:val="single"/>
        </w:rPr>
        <w:t>Pour l’étanchéité dans les coulisses :</w:t>
      </w:r>
    </w:p>
    <w:p w14:paraId="76451BFA" w14:textId="77777777" w:rsidR="00DB2B68" w:rsidRDefault="00000000">
      <w:r>
        <w:t xml:space="preserve">L'étanchéité consiste en une feuille de polyéthylène d'au moins 0,900 g/cm3 de polymères. L'allongement à la rupture est d'au moins 400%. En fonction de l'application requise, la feuille présente: </w:t>
      </w:r>
      <w:r>
        <w:rPr>
          <w:rStyle w:val="optioncarChar"/>
        </w:rPr>
        <w:t>au moins une épaisseur de 0,45 mm, un poids d'au moins 450 g/m2 et une surface rainurée / au moins une épaisseur de 0,2 mm, un poids d'au moins 150 g/m2 et une armature en relief.</w:t>
      </w:r>
    </w:p>
    <w:p w14:paraId="544F3EE7" w14:textId="77777777" w:rsidR="00DB2B68" w:rsidRDefault="00000000">
      <w:pPr>
        <w:pStyle w:val="pheading"/>
      </w:pPr>
      <w:r>
        <w:t>EXÉCUTION / MISE EN ŒUVRE</w:t>
      </w:r>
    </w:p>
    <w:p w14:paraId="7F2D1222" w14:textId="77777777" w:rsidR="00DB2B68" w:rsidRDefault="00000000">
      <w:pPr>
        <w:pStyle w:val="pheading"/>
      </w:pPr>
      <w:r>
        <w:t>- Prescriptions générales</w:t>
      </w:r>
    </w:p>
    <w:p w14:paraId="7F1DA9F8" w14:textId="77777777" w:rsidR="00DB2B68" w:rsidRDefault="00000000">
      <w:r>
        <w:rPr>
          <w:u w:val="single"/>
        </w:rPr>
        <w:t>Pour les membranes anticapillaires :</w:t>
      </w:r>
    </w:p>
    <w:p w14:paraId="300E869B" w14:textId="77777777" w:rsidR="00DB2B68" w:rsidRDefault="00000000">
      <w:r>
        <w:t xml:space="preserve">Les bandes sont posées avec un chevauchement d’au moins </w:t>
      </w:r>
      <w:r>
        <w:rPr>
          <w:rStyle w:val="optioncarChar"/>
        </w:rPr>
        <w:t xml:space="preserve">10 </w:t>
      </w:r>
      <w:r>
        <w:t>(par défaut) </w:t>
      </w:r>
      <w:r>
        <w:rPr>
          <w:rStyle w:val="optioncarChar"/>
        </w:rPr>
        <w:t xml:space="preserve">/ *** </w:t>
      </w:r>
      <w:r>
        <w:t>cm.</w:t>
      </w:r>
    </w:p>
    <w:p w14:paraId="384EB75C" w14:textId="77777777" w:rsidR="00DB2B68" w:rsidRDefault="00000000">
      <w:r>
        <w:rPr>
          <w:u w:val="single"/>
        </w:rPr>
        <w:t>Pour l’étanchéité dans les coulisses :</w:t>
      </w:r>
    </w:p>
    <w:p w14:paraId="3EDD101A" w14:textId="77777777" w:rsidR="00DB2B68" w:rsidRDefault="00000000">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par collage ou bandes de soudure à froid. Les faces à encoller doivent être propres et sèches.</w:t>
      </w:r>
    </w:p>
    <w:p w14:paraId="41BF7A74" w14:textId="77777777" w:rsidR="00DB2B68" w:rsidRDefault="00000000">
      <w:r>
        <w:rPr>
          <w:u w:val="single"/>
        </w:rPr>
        <w:t xml:space="preserve">Type de pose de la membrane d'étanchéité: </w:t>
      </w:r>
      <w:r>
        <w:rPr>
          <w:rStyle w:val="optioncarChar"/>
        </w:rPr>
        <w:t>posée / insérée / collée</w:t>
      </w:r>
    </w:p>
    <w:p w14:paraId="69C99924" w14:textId="77777777" w:rsidR="00DB2B68" w:rsidRDefault="00000000">
      <w:r>
        <w:rPr>
          <w:b/>
        </w:rPr>
        <w:t xml:space="preserve">(soit) </w:t>
      </w:r>
    </w:p>
    <w:p w14:paraId="7604F495" w14:textId="77777777" w:rsidR="00DB2B68" w:rsidRDefault="00000000">
      <w:r>
        <w:rPr>
          <w:rStyle w:val="soitChar"/>
          <w:u w:val="single"/>
        </w:rPr>
        <w:t>Posée:</w:t>
      </w:r>
      <w:r>
        <w:rPr>
          <w:rStyle w:val="soitChar"/>
        </w:rPr>
        <w:t xml:space="preserve"> La couche d'étanchéité est posée sur toute la largeur du mur creux.</w:t>
      </w:r>
    </w:p>
    <w:p w14:paraId="3727F7A8" w14:textId="77777777" w:rsidR="00DB2B68" w:rsidRDefault="00000000">
      <w:r>
        <w:rPr>
          <w:b/>
        </w:rPr>
        <w:t xml:space="preserve">(soit) </w:t>
      </w:r>
    </w:p>
    <w:p w14:paraId="1354C7DE" w14:textId="77777777" w:rsidR="00DB2B68" w:rsidRDefault="00000000">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xml:space="preserve"> / ***</w:t>
      </w:r>
      <w:r>
        <w:rPr>
          <w:rStyle w:val="soitChar"/>
        </w:rPr>
        <w:t xml:space="preserve"> cm dans le mur de contre-façade.</w:t>
      </w:r>
    </w:p>
    <w:p w14:paraId="36844F57" w14:textId="77777777" w:rsidR="00DB2B68" w:rsidRDefault="00000000">
      <w:r>
        <w:rPr>
          <w:b/>
        </w:rPr>
        <w:t>(soit)</w:t>
      </w:r>
    </w:p>
    <w:p w14:paraId="0CE47F38" w14:textId="77777777" w:rsidR="00DB2B68" w:rsidRDefault="00000000">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10 </w:t>
      </w:r>
      <w:r>
        <w:t>(par défaut)</w:t>
      </w:r>
      <w:r>
        <w:rPr>
          <w:rStyle w:val="optioncarChar"/>
        </w:rPr>
        <w:t xml:space="preserve"> / ***</w:t>
      </w:r>
      <w:r>
        <w:rPr>
          <w:rStyle w:val="soitChar"/>
        </w:rPr>
        <w:t xml:space="preserve"> cm contre le mur de contre-façade.</w:t>
      </w:r>
    </w:p>
    <w:p w14:paraId="34F14D2E" w14:textId="77777777" w:rsidR="00DB2B68" w:rsidRDefault="00000000">
      <w:pPr>
        <w:pStyle w:val="pheading"/>
      </w:pPr>
      <w:r>
        <w:t>MESURAGE</w:t>
      </w:r>
    </w:p>
    <w:p w14:paraId="282A9C47" w14:textId="77777777" w:rsidR="00DB2B68" w:rsidRDefault="00000000">
      <w:pPr>
        <w:pStyle w:val="pheading"/>
      </w:pPr>
      <w:r>
        <w:t>- unité de mesure:</w:t>
      </w:r>
    </w:p>
    <w:p w14:paraId="05BA1CF9" w14:textId="77777777" w:rsidR="00DB2B68" w:rsidRDefault="00000000">
      <w:r>
        <w:rPr>
          <w:b/>
        </w:rPr>
        <w:t xml:space="preserve">Choix opéré : </w:t>
      </w:r>
      <w:r>
        <w:t> </w:t>
      </w:r>
      <w:r>
        <w:rPr>
          <w:rStyle w:val="optioncarChar"/>
        </w:rPr>
        <w:t xml:space="preserve">- </w:t>
      </w:r>
      <w:r>
        <w:t>(par défaut)</w:t>
      </w:r>
      <w:r>
        <w:rPr>
          <w:rStyle w:val="optioncarChar"/>
        </w:rPr>
        <w:t xml:space="preserve"> / m²</w:t>
      </w:r>
    </w:p>
    <w:p w14:paraId="4FF63361" w14:textId="77777777" w:rsidR="00DB2B68" w:rsidRDefault="00000000">
      <w:pPr>
        <w:pStyle w:val="pheading"/>
      </w:pPr>
      <w:r>
        <w:lastRenderedPageBreak/>
        <w:t>- code de mesurage:</w:t>
      </w:r>
    </w:p>
    <w:p w14:paraId="331DEF8C" w14:textId="77777777" w:rsidR="00DB2B68" w:rsidRDefault="00000000">
      <w:pPr>
        <w:pStyle w:val="soit"/>
      </w:pPr>
      <w:r>
        <w:rPr>
          <w:b/>
          <w:color w:val="000000"/>
        </w:rPr>
        <w:t>Choix opéré :</w:t>
      </w:r>
      <w:r>
        <w:rPr>
          <w:rStyle w:val="optioncarChar"/>
          <w:color w:val="000000"/>
        </w:rPr>
        <w:t>compris dans le PU / surface nette</w:t>
      </w:r>
    </w:p>
    <w:p w14:paraId="1E7BA980" w14:textId="77777777" w:rsidR="00DB2B68" w:rsidRDefault="00000000">
      <w:pPr>
        <w:pStyle w:val="Author-eListParagraph"/>
        <w:numPr>
          <w:ilvl w:val="0"/>
          <w:numId w:val="1078"/>
        </w:numPr>
      </w:pPr>
      <w:r>
        <w:rPr>
          <w:b/>
        </w:rPr>
        <w:t>(soit par défaut)</w:t>
      </w:r>
    </w:p>
    <w:p w14:paraId="09224C99" w14:textId="77777777" w:rsidR="00DB2B68" w:rsidRDefault="00000000">
      <w:r>
        <w:rPr>
          <w:rStyle w:val="soitChar"/>
        </w:rPr>
        <w:t xml:space="preserve">1. </w:t>
      </w:r>
      <w:r>
        <w:rPr>
          <w:rStyle w:val="soitChar"/>
          <w:u w:val="single"/>
        </w:rPr>
        <w:t>Compris dans le prix unitaire</w:t>
      </w:r>
      <w:r>
        <w:rPr>
          <w:rStyle w:val="soitChar"/>
        </w:rPr>
        <w:t xml:space="preserve"> de la maçonnerie enterrée, à ventiler selon l’épaisseur de la feuille</w:t>
      </w:r>
    </w:p>
    <w:p w14:paraId="03E14CCC" w14:textId="77777777" w:rsidR="00DB2B68" w:rsidRDefault="00000000">
      <w:pPr>
        <w:pStyle w:val="Author-eListParagraph"/>
        <w:numPr>
          <w:ilvl w:val="0"/>
          <w:numId w:val="1079"/>
        </w:numPr>
      </w:pPr>
      <w:r>
        <w:rPr>
          <w:b/>
        </w:rPr>
        <w:t>(soit)</w:t>
      </w:r>
    </w:p>
    <w:p w14:paraId="754BDEF6" w14:textId="77777777" w:rsidR="00DB2B68" w:rsidRDefault="00000000">
      <w:r>
        <w:rPr>
          <w:rStyle w:val="soitChar"/>
        </w:rPr>
        <w:t>2. S</w:t>
      </w:r>
      <w:r>
        <w:rPr>
          <w:rStyle w:val="soitChar"/>
          <w:u w:val="single"/>
        </w:rPr>
        <w:t>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r>
        <w:t>.</w:t>
      </w:r>
    </w:p>
    <w:p w14:paraId="7AB56DB0" w14:textId="77777777" w:rsidR="00DB2B68" w:rsidRDefault="00000000">
      <w:pPr>
        <w:pStyle w:val="pheading"/>
      </w:pPr>
      <w:r>
        <w:t>- nature du marché:</w:t>
      </w:r>
    </w:p>
    <w:p w14:paraId="1D3DEF8D" w14:textId="77777777" w:rsidR="00DB2B68" w:rsidRDefault="00000000">
      <w:r>
        <w:t xml:space="preserve">Choix opéré : </w:t>
      </w:r>
      <w:r>
        <w:rPr>
          <w:rStyle w:val="optioncarChar"/>
        </w:rPr>
        <w:t xml:space="preserve">PM </w:t>
      </w:r>
      <w:r>
        <w:t>(par défaut)</w:t>
      </w:r>
      <w:r>
        <w:rPr>
          <w:rStyle w:val="optioncarChar"/>
        </w:rPr>
        <w:t xml:space="preserve"> / QF</w:t>
      </w:r>
    </w:p>
    <w:p w14:paraId="6C1BBC60" w14:textId="77777777" w:rsidR="00DB2B68" w:rsidRDefault="00000000">
      <w:pPr>
        <w:pStyle w:val="Author-eSectionHeading6Numberless"/>
      </w:pPr>
      <w:bookmarkStart w:id="1857" w:name="_Toc220496811"/>
      <w:r>
        <w:t>26.11.1b Couches d'étanchéité - membranes / PVC CCTB 01.11</w:t>
      </w:r>
      <w:bookmarkEnd w:id="1857"/>
    </w:p>
    <w:p w14:paraId="7F16AC00" w14:textId="77777777" w:rsidR="00DB2B68" w:rsidRDefault="00000000">
      <w:pPr>
        <w:pStyle w:val="pheading"/>
      </w:pPr>
      <w:r>
        <w:t>MATÉRIAUX</w:t>
      </w:r>
    </w:p>
    <w:p w14:paraId="23D18964" w14:textId="77777777" w:rsidR="00DB2B68" w:rsidRDefault="00000000">
      <w:pPr>
        <w:pStyle w:val="pheading"/>
      </w:pPr>
      <w:r>
        <w:t>- Caractéristiques générales</w:t>
      </w:r>
    </w:p>
    <w:p w14:paraId="389091E0" w14:textId="77777777" w:rsidR="00DB2B68" w:rsidRDefault="00000000">
      <w:r>
        <w:rPr>
          <w:u w:val="single"/>
        </w:rPr>
        <w:t>Pour les membranes anticapillaires :</w:t>
      </w:r>
    </w:p>
    <w:p w14:paraId="1D392255" w14:textId="77777777" w:rsidR="00DB2B68" w:rsidRDefault="00000000">
      <w:r>
        <w:t xml:space="preserve">L'étanchéité consiste en une membrane à base de chlorure de polyvinyle avec adjonction de plastifiants, stabilisateurs, fillers minéraux et pigments. La membrane est armée d’un tissu de verre. L'épaisseur de la membrane est d'au moins </w:t>
      </w:r>
      <w:r>
        <w:rPr>
          <w:rStyle w:val="optioncarChar"/>
        </w:rPr>
        <w:t>***</w:t>
      </w:r>
      <w:r>
        <w:t xml:space="preserve"> mm. </w:t>
      </w:r>
    </w:p>
    <w:p w14:paraId="33E6D632" w14:textId="77777777" w:rsidR="00DB2B68" w:rsidRDefault="00000000">
      <w:r>
        <w:rPr>
          <w:u w:val="single"/>
        </w:rPr>
        <w:t>Pour l’étanchéité dans les coulisses :</w:t>
      </w:r>
    </w:p>
    <w:p w14:paraId="39B4024C" w14:textId="77777777" w:rsidR="00DB2B68" w:rsidRDefault="00000000">
      <w:r>
        <w:t>La membrane d’étanchéité consiste en une membrane à base de chlorure de polyvinyle avec adjonction de plastifiants, stabilisateurs, fillers minéraux et pigments. La membrane est armée d’un tissu de verre ayant un poids de</w:t>
      </w:r>
      <w:r>
        <w:rPr>
          <w:color w:val="FF0000"/>
        </w:rPr>
        <w:t xml:space="preserve"> 25 g/m2 </w:t>
      </w:r>
      <w:r>
        <w:t>(par défaut)</w:t>
      </w:r>
      <w:r>
        <w:rPr>
          <w:color w:val="FF0000"/>
        </w:rPr>
        <w:t xml:space="preserve"> / ***</w:t>
      </w:r>
    </w:p>
    <w:p w14:paraId="49C8F80C" w14:textId="77777777" w:rsidR="00DB2B68" w:rsidRDefault="00000000">
      <w:pPr>
        <w:pStyle w:val="heading"/>
      </w:pPr>
      <w:r>
        <w:t>Spécifications</w:t>
      </w:r>
    </w:p>
    <w:p w14:paraId="3DE0C76A" w14:textId="77777777" w:rsidR="00DB2B68" w:rsidRDefault="00000000">
      <w:r>
        <w:t xml:space="preserve">Epaisseur de la membrane : minimum </w:t>
      </w:r>
      <w:r>
        <w:rPr>
          <w:rStyle w:val="optioncarChar"/>
        </w:rPr>
        <w:t>1,2 </w:t>
      </w:r>
      <w:r>
        <w:t>(par défaut)</w:t>
      </w:r>
      <w:r>
        <w:rPr>
          <w:rStyle w:val="optioncarChar"/>
        </w:rPr>
        <w:t xml:space="preserve"> / 1,5 / ***</w:t>
      </w:r>
      <w:r>
        <w:t xml:space="preserve"> mm.</w:t>
      </w:r>
    </w:p>
    <w:p w14:paraId="734F0C4A" w14:textId="77777777" w:rsidR="00DB2B68" w:rsidRDefault="00000000">
      <w:pPr>
        <w:pStyle w:val="pheading"/>
      </w:pPr>
      <w:r>
        <w:t>EXÉCUTION / MISE EN ŒUVRE</w:t>
      </w:r>
    </w:p>
    <w:p w14:paraId="3A976A78" w14:textId="77777777" w:rsidR="00DB2B68" w:rsidRDefault="00000000">
      <w:pPr>
        <w:pStyle w:val="pheading"/>
      </w:pPr>
      <w:r>
        <w:t>- Prescriptions générales</w:t>
      </w:r>
    </w:p>
    <w:p w14:paraId="5DDC5389" w14:textId="77777777" w:rsidR="00DB2B68" w:rsidRDefault="00000000">
      <w:r>
        <w:rPr>
          <w:u w:val="single"/>
        </w:rPr>
        <w:t>Pour les membranes anticapillaires :</w:t>
      </w:r>
    </w:p>
    <w:p w14:paraId="687D95B8" w14:textId="77777777" w:rsidR="00DB2B68" w:rsidRDefault="00000000">
      <w:r>
        <w:t xml:space="preserve">Les bandes sont posées avec un chevauchement d’au moins </w:t>
      </w:r>
      <w:r>
        <w:rPr>
          <w:rStyle w:val="optioncarChar"/>
        </w:rPr>
        <w:t xml:space="preserve">10 </w:t>
      </w:r>
      <w:r>
        <w:t>(par défaut) </w:t>
      </w:r>
      <w:r>
        <w:rPr>
          <w:rStyle w:val="optioncarChar"/>
        </w:rPr>
        <w:t xml:space="preserve">/ *** </w:t>
      </w:r>
      <w:r>
        <w:t>cm. Les bandes de chevauchement sont éventuellement soudées entre elles sur toute la surface au moyen d’une colle ou d’un dissolvant. La soudure présente une largeur minimale de 30 mm. Les soudures sont protégées contre les infiltrations d’humidité par capillarité au moyen d’une solution à base de PVC. Le PVC est séparé du bitume par un voile de verre brut.</w:t>
      </w:r>
    </w:p>
    <w:p w14:paraId="34E5A3B6" w14:textId="77777777" w:rsidR="00DB2B68" w:rsidRDefault="00000000">
      <w:r>
        <w:rPr>
          <w:u w:val="single"/>
        </w:rPr>
        <w:t>Pour l’étanchéité dans les coulisses :</w:t>
      </w:r>
    </w:p>
    <w:p w14:paraId="68C65E39" w14:textId="77777777" w:rsidR="00DB2B68" w:rsidRDefault="00000000">
      <w:r>
        <w:t xml:space="preserve">Les chevauchements nécessaires et le mode d'assemblage correspondent à la nature du produit. Les lés sont posés avec un chevauchement d'au moins </w:t>
      </w:r>
      <w:r>
        <w:rPr>
          <w:rStyle w:val="optioncarChar"/>
        </w:rPr>
        <w:t xml:space="preserve">10 </w:t>
      </w:r>
      <w:r>
        <w:t>(par défaut) </w:t>
      </w:r>
      <w:r>
        <w:rPr>
          <w:rStyle w:val="optioncarChar"/>
        </w:rPr>
        <w:t xml:space="preserve">/ *** </w:t>
      </w:r>
      <w:r>
        <w:t>cm. Les chevauchements sont assemblés par soudure à l'aide d'une colle ou d'un produit solvant. La soudure présente une largeur d'au moins 30 mm. Les soudures sont protégées contre les infiltrations par capillarité à l'aide d'une solution de PVC. En vue d'éviter le contact entre le PVC et le bitume, on interpose une membrane en voile de verre.</w:t>
      </w:r>
    </w:p>
    <w:p w14:paraId="1D199A22" w14:textId="77777777" w:rsidR="00DB2B68" w:rsidRDefault="00000000">
      <w:r>
        <w:rPr>
          <w:u w:val="single"/>
        </w:rPr>
        <w:t xml:space="preserve">Type de pose de la membrane </w:t>
      </w:r>
      <w:r>
        <w:t xml:space="preserve">: </w:t>
      </w:r>
      <w:r>
        <w:rPr>
          <w:rStyle w:val="optioncarChar"/>
        </w:rPr>
        <w:t>posée</w:t>
      </w:r>
      <w:r>
        <w:t> (par défaut)</w:t>
      </w:r>
      <w:r>
        <w:rPr>
          <w:rStyle w:val="optioncarChar"/>
        </w:rPr>
        <w:t xml:space="preserve"> / insérée / collée/***</w:t>
      </w:r>
    </w:p>
    <w:p w14:paraId="7A3AD3A1" w14:textId="77777777" w:rsidR="00DB2B68" w:rsidRDefault="00000000">
      <w:pPr>
        <w:pStyle w:val="Author-eListParagraph"/>
        <w:numPr>
          <w:ilvl w:val="0"/>
          <w:numId w:val="1080"/>
        </w:numPr>
      </w:pPr>
      <w:r>
        <w:rPr>
          <w:b/>
        </w:rPr>
        <w:t>(soit par défaut)</w:t>
      </w:r>
    </w:p>
    <w:p w14:paraId="3DD5BA0E" w14:textId="77777777" w:rsidR="00DB2B68" w:rsidRDefault="00000000">
      <w:r>
        <w:rPr>
          <w:rStyle w:val="soitChar"/>
        </w:rPr>
        <w:t>1.</w:t>
      </w:r>
      <w:r>
        <w:rPr>
          <w:rStyle w:val="soitChar"/>
          <w:u w:val="single"/>
        </w:rPr>
        <w:t>Posée:</w:t>
      </w:r>
      <w:r>
        <w:rPr>
          <w:rStyle w:val="soitChar"/>
        </w:rPr>
        <w:t> La couche d'étanchéité est posée sur toute la largeur du mur creux.</w:t>
      </w:r>
    </w:p>
    <w:p w14:paraId="4B4F7A96" w14:textId="77777777" w:rsidR="00DB2B68" w:rsidRDefault="00000000">
      <w:pPr>
        <w:pStyle w:val="Author-eListParagraph"/>
        <w:numPr>
          <w:ilvl w:val="0"/>
          <w:numId w:val="1081"/>
        </w:numPr>
      </w:pPr>
      <w:r>
        <w:rPr>
          <w:b/>
        </w:rPr>
        <w:t xml:space="preserve">(soit) </w:t>
      </w:r>
    </w:p>
    <w:p w14:paraId="431E9B9E" w14:textId="77777777" w:rsidR="00DB2B68" w:rsidRDefault="00000000">
      <w:r>
        <w:rPr>
          <w:rStyle w:val="soitChar"/>
        </w:rPr>
        <w:t xml:space="preserve">2. </w:t>
      </w:r>
      <w:r>
        <w:rPr>
          <w:rStyle w:val="soitChar"/>
          <w:u w:val="single"/>
        </w:rPr>
        <w:t>Insérée</w:t>
      </w:r>
      <w:r>
        <w:rPr>
          <w:rStyle w:val="soitChar"/>
        </w:rPr>
        <w:t xml:space="preserve">: La couche d'étanchéité sera insérée sur au moins </w:t>
      </w:r>
      <w:r>
        <w:rPr>
          <w:rStyle w:val="optioncarChar"/>
        </w:rPr>
        <w:t>5 </w:t>
      </w:r>
      <w:r>
        <w:t>(par défaut)</w:t>
      </w:r>
      <w:r>
        <w:rPr>
          <w:rStyle w:val="optioncarChar"/>
        </w:rPr>
        <w:t xml:space="preserve"> / ***</w:t>
      </w:r>
      <w:r>
        <w:rPr>
          <w:rStyle w:val="soitChar"/>
        </w:rPr>
        <w:t xml:space="preserve"> cm dans le mur de contre-façade.</w:t>
      </w:r>
    </w:p>
    <w:p w14:paraId="0844CF0C" w14:textId="77777777" w:rsidR="00DB2B68" w:rsidRDefault="00000000">
      <w:pPr>
        <w:pStyle w:val="Author-eListParagraph"/>
        <w:numPr>
          <w:ilvl w:val="0"/>
          <w:numId w:val="1082"/>
        </w:numPr>
      </w:pPr>
      <w:r>
        <w:rPr>
          <w:b/>
        </w:rPr>
        <w:lastRenderedPageBreak/>
        <w:t xml:space="preserve">(soit) </w:t>
      </w:r>
    </w:p>
    <w:p w14:paraId="52C7C03F" w14:textId="77777777" w:rsidR="00DB2B68" w:rsidRDefault="00000000">
      <w:r>
        <w:rPr>
          <w:rStyle w:val="soitChar"/>
        </w:rPr>
        <w:t xml:space="preserve">3. </w:t>
      </w:r>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 xml:space="preserve">15 </w:t>
      </w:r>
      <w:r>
        <w:t>(par défaut) </w:t>
      </w:r>
      <w:r>
        <w:rPr>
          <w:rStyle w:val="optioncarChar"/>
        </w:rPr>
        <w:t>/ ***</w:t>
      </w:r>
      <w:r>
        <w:rPr>
          <w:rStyle w:val="soitChar"/>
        </w:rPr>
        <w:t xml:space="preserve"> cm contre le mur de contre-façade.</w:t>
      </w:r>
    </w:p>
    <w:p w14:paraId="54271644" w14:textId="77777777" w:rsidR="00DB2B68" w:rsidRDefault="00000000">
      <w:pPr>
        <w:pStyle w:val="pheading"/>
      </w:pPr>
      <w:r>
        <w:t>MESURAGE</w:t>
      </w:r>
    </w:p>
    <w:p w14:paraId="7A8DFF53" w14:textId="77777777" w:rsidR="00DB2B68" w:rsidRDefault="00000000">
      <w:pPr>
        <w:pStyle w:val="pheading"/>
      </w:pPr>
      <w:r>
        <w:t>- unité de mesure:</w:t>
      </w:r>
    </w:p>
    <w:p w14:paraId="3488FE13" w14:textId="77777777" w:rsidR="00DB2B68" w:rsidRDefault="00000000">
      <w:pPr>
        <w:pStyle w:val="soit"/>
      </w:pPr>
      <w:r>
        <w:rPr>
          <w:rStyle w:val="normalChar"/>
          <w:color w:val="000000"/>
        </w:rPr>
        <w:t>Choix opéré:</w:t>
      </w:r>
      <w:r>
        <w:rPr>
          <w:rStyle w:val="optioncarChar"/>
        </w:rPr>
        <w:t xml:space="preserve">- </w:t>
      </w:r>
      <w:r>
        <w:rPr>
          <w:rStyle w:val="normalChar"/>
          <w:color w:val="000000"/>
        </w:rPr>
        <w:t>(par défaut)</w:t>
      </w:r>
      <w:r>
        <w:rPr>
          <w:rStyle w:val="optioncarChar"/>
        </w:rPr>
        <w:t xml:space="preserve"> / m²</w:t>
      </w:r>
    </w:p>
    <w:p w14:paraId="0688008A" w14:textId="77777777" w:rsidR="00DB2B68" w:rsidRDefault="00000000">
      <w:pPr>
        <w:pStyle w:val="pheading"/>
      </w:pPr>
      <w:r>
        <w:t>- code de mesurage:</w:t>
      </w:r>
    </w:p>
    <w:p w14:paraId="2A89553F" w14:textId="77777777" w:rsidR="00DB2B68" w:rsidRDefault="00000000">
      <w:r>
        <w:rPr>
          <w:b/>
        </w:rPr>
        <w:t>Choix opéré :</w:t>
      </w:r>
      <w:r>
        <w:rPr>
          <w:rStyle w:val="optioncarChar"/>
        </w:rPr>
        <w:t>Compris dans le PU  / surface nette</w:t>
      </w:r>
    </w:p>
    <w:p w14:paraId="719824AE" w14:textId="77777777" w:rsidR="00DB2B68" w:rsidRDefault="00000000">
      <w:pPr>
        <w:pStyle w:val="Author-eListParagraph"/>
        <w:numPr>
          <w:ilvl w:val="0"/>
          <w:numId w:val="1083"/>
        </w:numPr>
      </w:pPr>
      <w:r>
        <w:rPr>
          <w:b/>
        </w:rPr>
        <w:t>(soit par défaut)</w:t>
      </w:r>
    </w:p>
    <w:p w14:paraId="74C41C65" w14:textId="77777777" w:rsidR="00DB2B68" w:rsidRDefault="00000000">
      <w:r>
        <w:t xml:space="preserve">1. </w:t>
      </w:r>
      <w:r>
        <w:rPr>
          <w:u w:val="single"/>
        </w:rPr>
        <w:t>Compris</w:t>
      </w:r>
      <w:r>
        <w:t xml:space="preserve"> dans le prix unitaire de la maçonnerie enterrée, à ventiler selon l’épaisseur de la feuille</w:t>
      </w:r>
    </w:p>
    <w:p w14:paraId="22825231" w14:textId="77777777" w:rsidR="00DB2B68" w:rsidRDefault="00000000">
      <w:pPr>
        <w:pStyle w:val="Author-eListParagraph"/>
        <w:numPr>
          <w:ilvl w:val="0"/>
          <w:numId w:val="1084"/>
        </w:numPr>
      </w:pPr>
      <w:r>
        <w:rPr>
          <w:b/>
        </w:rPr>
        <w:t>(soit)</w:t>
      </w:r>
    </w:p>
    <w:p w14:paraId="7C97F33F" w14:textId="77777777" w:rsidR="00DB2B68" w:rsidRDefault="00000000">
      <w:r>
        <w:t xml:space="preserve">2. </w:t>
      </w:r>
      <w:r>
        <w:rPr>
          <w:u w:val="single"/>
        </w:rPr>
        <w:t>Surface nette</w:t>
      </w:r>
      <w:r>
        <w:t xml:space="preserve"> à effectuer. Les ouvertures supérieures à 0,5 m</w:t>
      </w:r>
      <w:r>
        <w:rPr>
          <w:vertAlign w:val="superscript"/>
        </w:rPr>
        <w:t>2</w:t>
      </w:r>
      <w:r>
        <w:t xml:space="preserve"> doivent être déduites.</w:t>
      </w:r>
    </w:p>
    <w:p w14:paraId="6C5BA2BB" w14:textId="77777777" w:rsidR="00DB2B68" w:rsidRDefault="00000000">
      <w:pPr>
        <w:pStyle w:val="pheading"/>
      </w:pPr>
      <w:r>
        <w:t>- nature du marché:</w:t>
      </w:r>
    </w:p>
    <w:p w14:paraId="127EE10A" w14:textId="77777777" w:rsidR="00DB2B68" w:rsidRDefault="00000000">
      <w:r>
        <w:rPr>
          <w:b/>
        </w:rPr>
        <w:t>Choix opéré :</w:t>
      </w:r>
      <w:r>
        <w:rPr>
          <w:rStyle w:val="optioncarChar"/>
        </w:rPr>
        <w:t xml:space="preserve">PM </w:t>
      </w:r>
      <w:r>
        <w:t>(par défaut)</w:t>
      </w:r>
      <w:r>
        <w:rPr>
          <w:rStyle w:val="optioncarChar"/>
        </w:rPr>
        <w:t xml:space="preserve"> / QF</w:t>
      </w:r>
    </w:p>
    <w:p w14:paraId="288BEEE9" w14:textId="77777777" w:rsidR="00DB2B68" w:rsidRDefault="00000000">
      <w:pPr>
        <w:pStyle w:val="Author-eSectionHeading6Numberless"/>
      </w:pPr>
      <w:bookmarkStart w:id="1858" w:name="_Toc220496812"/>
      <w:r>
        <w:t>26.11.1c Couches d'étanchéité - membranes / PIB CCTB 01.11</w:t>
      </w:r>
      <w:bookmarkEnd w:id="1858"/>
    </w:p>
    <w:p w14:paraId="1B5935EA" w14:textId="77777777" w:rsidR="00DB2B68" w:rsidRDefault="00000000">
      <w:pPr>
        <w:pStyle w:val="pheading"/>
      </w:pPr>
      <w:r>
        <w:t>MATÉRIAUX</w:t>
      </w:r>
    </w:p>
    <w:p w14:paraId="4876209B" w14:textId="77777777" w:rsidR="00DB2B68" w:rsidRDefault="00000000">
      <w:pPr>
        <w:pStyle w:val="pheading"/>
      </w:pPr>
      <w:r>
        <w:t>- Caractéristiques générales</w:t>
      </w:r>
    </w:p>
    <w:p w14:paraId="76CDC8E6" w14:textId="77777777" w:rsidR="00DB2B68" w:rsidRDefault="00000000">
      <w:r>
        <w:rPr>
          <w:u w:val="single"/>
        </w:rPr>
        <w:t>Pour les membranes anticapillaires :</w:t>
      </w:r>
    </w:p>
    <w:p w14:paraId="4FA123A7" w14:textId="77777777" w:rsidR="00DB2B68" w:rsidRDefault="00000000">
      <w:r>
        <w:t xml:space="preserve">L’étanchéité consiste en une membrane thermoplastique à base de polyisobutylène d’un poids moléculaire élevé et de fillers minéraux et exempts de plastifiants. L’épaisseur de la feuille de PIB est d'au moins </w:t>
      </w:r>
      <w:r>
        <w:rPr>
          <w:rStyle w:val="optioncarChar"/>
        </w:rPr>
        <w:t>***</w:t>
      </w:r>
      <w:r>
        <w:t xml:space="preserve"> mm.</w:t>
      </w:r>
    </w:p>
    <w:p w14:paraId="73E1A07F" w14:textId="77777777" w:rsidR="00DB2B68" w:rsidRDefault="00000000">
      <w:r>
        <w:rPr>
          <w:u w:val="single"/>
        </w:rPr>
        <w:t>Pour l’étanchéité dans les coulisses :</w:t>
      </w:r>
    </w:p>
    <w:p w14:paraId="31D71861" w14:textId="77777777" w:rsidR="00DB2B68" w:rsidRDefault="00000000">
      <w:r>
        <w:t xml:space="preserve">La membrane d’étanchéité consiste en une membrane thermoplastique à base de polyisobutylène d’un poids moléculaire élevé et de fillers minéraux et exempts de plastifiants. L'épaisseur de la feuille de PIB est d'au moins </w:t>
      </w:r>
      <w:r>
        <w:rPr>
          <w:rStyle w:val="optioncarChar"/>
        </w:rPr>
        <w:t>1,5 </w:t>
      </w:r>
      <w:r>
        <w:t>(par défaut)</w:t>
      </w:r>
      <w:r>
        <w:rPr>
          <w:rStyle w:val="optioncarChar"/>
        </w:rPr>
        <w:t xml:space="preserve"> / ***</w:t>
      </w:r>
      <w:r>
        <w:t xml:space="preserve"> mm.</w:t>
      </w:r>
    </w:p>
    <w:p w14:paraId="23CF1EFA" w14:textId="77777777" w:rsidR="00DB2B68" w:rsidRDefault="00000000">
      <w:pPr>
        <w:pStyle w:val="pheading"/>
      </w:pPr>
      <w:r>
        <w:t>EXÉCUTION / MISE EN ŒUVRE</w:t>
      </w:r>
    </w:p>
    <w:p w14:paraId="5BE41936" w14:textId="77777777" w:rsidR="00DB2B68" w:rsidRDefault="00000000">
      <w:pPr>
        <w:pStyle w:val="pheading"/>
      </w:pPr>
      <w:r>
        <w:t>- Prescriptions générales</w:t>
      </w:r>
    </w:p>
    <w:p w14:paraId="58A815E4" w14:textId="77777777" w:rsidR="00DB2B68" w:rsidRDefault="00000000">
      <w:r>
        <w:rPr>
          <w:u w:val="single"/>
        </w:rPr>
        <w:t>Pour les membranes anticapillaires :</w:t>
      </w:r>
    </w:p>
    <w:p w14:paraId="435CAD89" w14:textId="77777777" w:rsidR="00DB2B68" w:rsidRDefault="00000000">
      <w:r>
        <w:t xml:space="preserve">Les bandes sont posées avec un chevauchement d’au moins </w:t>
      </w:r>
      <w:r>
        <w:rPr>
          <w:rStyle w:val="optioncarChar"/>
        </w:rPr>
        <w:t>10 </w:t>
      </w:r>
      <w:r>
        <w:t>(par défaut)</w:t>
      </w:r>
      <w:r>
        <w:rPr>
          <w:rStyle w:val="optioncarChar"/>
        </w:rPr>
        <w:t xml:space="preserve"> / *** </w:t>
      </w:r>
      <w:r>
        <w:t>cm. Les bandes de chevauchement sont éventuellement collées entre elles sur toute la surface à l'aide de bandes autocollantes ou de colle à froid. </w:t>
      </w:r>
    </w:p>
    <w:p w14:paraId="557A3536" w14:textId="77777777" w:rsidR="00DB2B68" w:rsidRDefault="00000000">
      <w:r>
        <w:rPr>
          <w:u w:val="single"/>
        </w:rPr>
        <w:t>Pour l’étanchéité dans les coulisses :</w:t>
      </w:r>
    </w:p>
    <w:p w14:paraId="4C584DA8" w14:textId="77777777" w:rsidR="00DB2B68" w:rsidRDefault="00000000">
      <w:r>
        <w:t xml:space="preserve">Les chevauchements nécessaires et le mode d'assemblage correspondent à la nature du produit. Les lés sont posés avec un chevauchement d'au moins </w:t>
      </w:r>
      <w:r>
        <w:rPr>
          <w:rStyle w:val="optioncarChar"/>
        </w:rPr>
        <w:t>5 </w:t>
      </w:r>
      <w:r>
        <w:t xml:space="preserve">(par défaut) </w:t>
      </w:r>
      <w:r>
        <w:rPr>
          <w:rStyle w:val="optioncarChar"/>
        </w:rPr>
        <w:t xml:space="preserve">/ *** </w:t>
      </w:r>
      <w:r>
        <w:t>cm. Les chevauchements sont assemblés sur toute leur surface à l'aide de bandes autocollantes ou d'une colle à froid.</w:t>
      </w:r>
    </w:p>
    <w:p w14:paraId="72A7F53A" w14:textId="77777777" w:rsidR="00DB2B68" w:rsidRDefault="00000000">
      <w:r>
        <w:rPr>
          <w:u w:val="single"/>
        </w:rPr>
        <w:t>Type de pose de la membrane:</w:t>
      </w:r>
      <w:r>
        <w:t xml:space="preserve">  </w:t>
      </w:r>
      <w:r>
        <w:rPr>
          <w:rStyle w:val="optioncarChar"/>
        </w:rPr>
        <w:t>posée / insérée / collée</w:t>
      </w:r>
    </w:p>
    <w:p w14:paraId="3077B20D" w14:textId="77777777" w:rsidR="00DB2B68" w:rsidRDefault="00000000">
      <w:r>
        <w:rPr>
          <w:b/>
        </w:rPr>
        <w:t xml:space="preserve">(soit) </w:t>
      </w:r>
    </w:p>
    <w:p w14:paraId="7AF6597C" w14:textId="77777777" w:rsidR="00DB2B68" w:rsidRDefault="00000000">
      <w:r>
        <w:rPr>
          <w:rStyle w:val="soitChar"/>
          <w:u w:val="single"/>
        </w:rPr>
        <w:t>Posée</w:t>
      </w:r>
      <w:r>
        <w:rPr>
          <w:rStyle w:val="soitChar"/>
        </w:rPr>
        <w:t>: La couche d'étanchéité est posée sur toute la largeur du mur creux.</w:t>
      </w:r>
    </w:p>
    <w:p w14:paraId="57D3F629" w14:textId="77777777" w:rsidR="00DB2B68" w:rsidRDefault="00000000">
      <w:r>
        <w:rPr>
          <w:b/>
        </w:rPr>
        <w:t xml:space="preserve">(soit) </w:t>
      </w:r>
    </w:p>
    <w:p w14:paraId="79977681" w14:textId="77777777" w:rsidR="00DB2B68" w:rsidRDefault="00000000">
      <w:r>
        <w:rPr>
          <w:rStyle w:val="soitChar"/>
          <w:u w:val="single"/>
        </w:rPr>
        <w:t>Insérée</w:t>
      </w:r>
      <w:r>
        <w:rPr>
          <w:rStyle w:val="soitChar"/>
        </w:rPr>
        <w:t xml:space="preserve">: La couche d'étanchéité est insérée sur au moins </w:t>
      </w:r>
      <w:r>
        <w:rPr>
          <w:rStyle w:val="optioncarChar"/>
        </w:rPr>
        <w:t xml:space="preserve">5 </w:t>
      </w:r>
      <w:r>
        <w:t>(par défaut) </w:t>
      </w:r>
      <w:r>
        <w:rPr>
          <w:rStyle w:val="optioncarChar"/>
        </w:rPr>
        <w:t xml:space="preserve">/ *** </w:t>
      </w:r>
      <w:r>
        <w:rPr>
          <w:rStyle w:val="soitChar"/>
        </w:rPr>
        <w:t>cm dans le mur de contre-façade.</w:t>
      </w:r>
    </w:p>
    <w:p w14:paraId="42AA3D7B" w14:textId="77777777" w:rsidR="00DB2B68" w:rsidRDefault="00000000">
      <w:r>
        <w:rPr>
          <w:b/>
        </w:rPr>
        <w:lastRenderedPageBreak/>
        <w:t xml:space="preserve">(soit) </w:t>
      </w:r>
    </w:p>
    <w:p w14:paraId="18057306" w14:textId="77777777" w:rsidR="00DB2B68" w:rsidRDefault="00000000">
      <w:r>
        <w:rPr>
          <w:rStyle w:val="soitChar"/>
          <w:u w:val="single"/>
        </w:rPr>
        <w:t>Collée</w:t>
      </w:r>
      <w:r>
        <w:rPr>
          <w:rStyle w:val="soitChar"/>
        </w:rPr>
        <w:t xml:space="preserve">: Au cas où l’isolation ne peut s’insérer dans le mur de contre-façade, elle est collée sur une hauteur d’au moins </w:t>
      </w:r>
      <w:r>
        <w:rPr>
          <w:rStyle w:val="optioncarChar"/>
        </w:rPr>
        <w:t xml:space="preserve">15 </w:t>
      </w:r>
      <w:r>
        <w:t>(par défaut) </w:t>
      </w:r>
      <w:r>
        <w:rPr>
          <w:rStyle w:val="optioncarChar"/>
        </w:rPr>
        <w:t>/ ***</w:t>
      </w:r>
      <w:r>
        <w:rPr>
          <w:rStyle w:val="soitChar"/>
        </w:rPr>
        <w:t xml:space="preserve"> cm contre le mur de contre-façade. La différence de hauteur entre l'assise dans le mur de contre-façade et le mur intérieur est d'au moins </w:t>
      </w:r>
      <w:r>
        <w:rPr>
          <w:rStyle w:val="optioncarChar"/>
        </w:rPr>
        <w:t>10 </w:t>
      </w:r>
      <w:r>
        <w:t>(par défaut)</w:t>
      </w:r>
      <w:r>
        <w:rPr>
          <w:rStyle w:val="optioncarChar"/>
        </w:rPr>
        <w:t xml:space="preserve"> / ***</w:t>
      </w:r>
      <w:r>
        <w:rPr>
          <w:rStyle w:val="soitChar"/>
        </w:rPr>
        <w:t xml:space="preserve"> cm.</w:t>
      </w:r>
    </w:p>
    <w:p w14:paraId="241A70C4" w14:textId="77777777" w:rsidR="00DB2B68" w:rsidRDefault="00000000">
      <w:pPr>
        <w:pStyle w:val="pheading"/>
      </w:pPr>
      <w:r>
        <w:t>- Notes d’exécution complémentaires</w:t>
      </w:r>
    </w:p>
    <w:p w14:paraId="2564E2E6" w14:textId="77777777" w:rsidR="00DB2B68" w:rsidRDefault="00000000">
      <w:r>
        <w:rPr>
          <w:u w:val="single"/>
        </w:rPr>
        <w:t>Pour les membranes anticapillaires :</w:t>
      </w:r>
    </w:p>
    <w:p w14:paraId="2A616746" w14:textId="77777777" w:rsidR="00DB2B68" w:rsidRDefault="00000000">
      <w:r>
        <w:t xml:space="preserve">l’étanchéité des pieds de murs creux : La différence de hauteur entre l'assise du mur de contre-façade et le parement extérieur est d'au moins </w:t>
      </w:r>
      <w:r>
        <w:rPr>
          <w:rStyle w:val="optioncarChar"/>
        </w:rPr>
        <w:t>10 </w:t>
      </w:r>
      <w:r>
        <w:t>(par défaut)</w:t>
      </w:r>
      <w:r>
        <w:rPr>
          <w:rStyle w:val="optioncarChar"/>
        </w:rPr>
        <w:t xml:space="preserve"> / ***</w:t>
      </w:r>
      <w:r>
        <w:t xml:space="preserve"> cm.</w:t>
      </w:r>
    </w:p>
    <w:p w14:paraId="75C3BA79" w14:textId="77777777" w:rsidR="00DB2B68" w:rsidRDefault="00000000">
      <w:pPr>
        <w:pStyle w:val="pheading"/>
      </w:pPr>
      <w:r>
        <w:t>MESURAGE</w:t>
      </w:r>
    </w:p>
    <w:p w14:paraId="70D5B02F" w14:textId="77777777" w:rsidR="00DB2B68" w:rsidRDefault="00000000">
      <w:pPr>
        <w:pStyle w:val="pheading"/>
      </w:pPr>
      <w:r>
        <w:t>- unité de mesure:</w:t>
      </w:r>
    </w:p>
    <w:p w14:paraId="50D50192" w14:textId="77777777" w:rsidR="00DB2B68" w:rsidRDefault="00000000">
      <w:pPr>
        <w:pStyle w:val="soit"/>
      </w:pPr>
      <w:r>
        <w:rPr>
          <w:rStyle w:val="normalChar"/>
          <w:b/>
          <w:color w:val="000000"/>
        </w:rPr>
        <w:t xml:space="preserve">Choix opéré: </w:t>
      </w:r>
      <w:r>
        <w:rPr>
          <w:rStyle w:val="optioncarChar"/>
          <w:color w:val="000000"/>
        </w:rPr>
        <w:t xml:space="preserve">- </w:t>
      </w:r>
      <w:r>
        <w:rPr>
          <w:rStyle w:val="normalChar"/>
          <w:color w:val="000000"/>
        </w:rPr>
        <w:t>(par défaut)</w:t>
      </w:r>
      <w:r>
        <w:rPr>
          <w:rStyle w:val="optioncarChar"/>
          <w:color w:val="000000"/>
        </w:rPr>
        <w:t xml:space="preserve"> / m²</w:t>
      </w:r>
    </w:p>
    <w:p w14:paraId="16AA19AE" w14:textId="77777777" w:rsidR="00DB2B68" w:rsidRDefault="00000000">
      <w:pPr>
        <w:pStyle w:val="pheading"/>
      </w:pPr>
      <w:r>
        <w:t>- code de mesurage:</w:t>
      </w:r>
    </w:p>
    <w:p w14:paraId="16A7E14F" w14:textId="77777777" w:rsidR="00DB2B68" w:rsidRDefault="00000000">
      <w:r>
        <w:t xml:space="preserve">Choix opéré: </w:t>
      </w:r>
      <w:r>
        <w:rPr>
          <w:rStyle w:val="optioncarChar"/>
        </w:rPr>
        <w:t>Compris / Surface nette</w:t>
      </w:r>
    </w:p>
    <w:p w14:paraId="417B56E9" w14:textId="77777777" w:rsidR="00DB2B68" w:rsidRDefault="00000000">
      <w:pPr>
        <w:pStyle w:val="Author-eListParagraph"/>
        <w:numPr>
          <w:ilvl w:val="0"/>
          <w:numId w:val="1085"/>
        </w:numPr>
      </w:pPr>
      <w:r>
        <w:rPr>
          <w:b/>
        </w:rPr>
        <w:t>(soit par défaut)</w:t>
      </w:r>
    </w:p>
    <w:p w14:paraId="33C1FFDD" w14:textId="77777777" w:rsidR="00DB2B68" w:rsidRDefault="00000000">
      <w:r>
        <w:rPr>
          <w:rStyle w:val="soitChar"/>
        </w:rPr>
        <w:t xml:space="preserve">1. </w:t>
      </w:r>
      <w:r>
        <w:rPr>
          <w:rStyle w:val="soitChar"/>
          <w:u w:val="single"/>
        </w:rPr>
        <w:t>Compris</w:t>
      </w:r>
      <w:r>
        <w:rPr>
          <w:rStyle w:val="soitChar"/>
        </w:rPr>
        <w:t xml:space="preserve"> dans le prix unitaire de la maçonnerie enterrée.</w:t>
      </w:r>
    </w:p>
    <w:p w14:paraId="3481853F" w14:textId="77777777" w:rsidR="00DB2B68" w:rsidRDefault="00000000">
      <w:pPr>
        <w:pStyle w:val="Author-eListParagraph"/>
        <w:numPr>
          <w:ilvl w:val="0"/>
          <w:numId w:val="1086"/>
        </w:numPr>
      </w:pPr>
      <w:r>
        <w:rPr>
          <w:b/>
        </w:rPr>
        <w:t>(soit)</w:t>
      </w:r>
    </w:p>
    <w:p w14:paraId="67E1920F" w14:textId="77777777" w:rsidR="00DB2B68" w:rsidRDefault="00000000">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53AD30ED" w14:textId="77777777" w:rsidR="00DB2B68" w:rsidRDefault="00000000">
      <w:pPr>
        <w:pStyle w:val="pheading"/>
      </w:pPr>
      <w:r>
        <w:t>- nature du marché:</w:t>
      </w:r>
    </w:p>
    <w:p w14:paraId="363AC805" w14:textId="77777777" w:rsidR="00DB2B68" w:rsidRDefault="00000000">
      <w:r>
        <w:rPr>
          <w:b/>
        </w:rPr>
        <w:t>Choix opéré :</w:t>
      </w:r>
      <w:r>
        <w:rPr>
          <w:rStyle w:val="optioncarChar"/>
        </w:rPr>
        <w:t xml:space="preserve">PM </w:t>
      </w:r>
      <w:r>
        <w:t>(par défaut)</w:t>
      </w:r>
      <w:r>
        <w:rPr>
          <w:rStyle w:val="optioncarChar"/>
        </w:rPr>
        <w:t xml:space="preserve"> / QF</w:t>
      </w:r>
    </w:p>
    <w:p w14:paraId="08182C14" w14:textId="77777777" w:rsidR="00DB2B68" w:rsidRDefault="00000000">
      <w:pPr>
        <w:pStyle w:val="Author-eSectionHeading6Numberless"/>
      </w:pPr>
      <w:bookmarkStart w:id="1859" w:name="_Toc220496813"/>
      <w:r>
        <w:t>26.11.1d Couches d'étanchéité - caoutchouc de butyle CCTB 01.11</w:t>
      </w:r>
      <w:bookmarkEnd w:id="1859"/>
    </w:p>
    <w:p w14:paraId="225FC0F3" w14:textId="77777777" w:rsidR="00DB2B68" w:rsidRDefault="00000000">
      <w:pPr>
        <w:pStyle w:val="pheading"/>
      </w:pPr>
      <w:r>
        <w:t>MATÉRIAUX</w:t>
      </w:r>
    </w:p>
    <w:p w14:paraId="4E7A0145" w14:textId="77777777" w:rsidR="00DB2B68" w:rsidRDefault="00000000">
      <w:pPr>
        <w:pStyle w:val="pheading"/>
      </w:pPr>
      <w:r>
        <w:t>- Caractéristiques générales</w:t>
      </w:r>
    </w:p>
    <w:p w14:paraId="398F897C" w14:textId="77777777" w:rsidR="00DB2B68" w:rsidRDefault="00000000">
      <w:r>
        <w:rPr>
          <w:u w:val="single"/>
        </w:rPr>
        <w:t>Pour les membranes anticapillaires :</w:t>
      </w:r>
    </w:p>
    <w:p w14:paraId="529A3695" w14:textId="77777777" w:rsidR="00DB2B68" w:rsidRDefault="00000000">
      <w:r>
        <w:t xml:space="preserve">L’étanchéité consiste en une couche de caoutchouc de butyle, un élastomère à insaturation réduite, qui est obtenu par copolymérisation à basse température d’isobutylène et de quantités réduites d’isoprène. L'allongement à la rupture est d'au moins 400%. L’épaisseur de la feuille de butyle est d'au moins </w:t>
      </w:r>
      <w:r>
        <w:rPr>
          <w:rStyle w:val="optioncarChar"/>
        </w:rPr>
        <w:t>***</w:t>
      </w:r>
      <w:r>
        <w:t xml:space="preserve"> mm.</w:t>
      </w:r>
    </w:p>
    <w:p w14:paraId="012CD87C" w14:textId="77777777" w:rsidR="00DB2B68" w:rsidRDefault="00000000">
      <w:r>
        <w:rPr>
          <w:u w:val="single"/>
        </w:rPr>
        <w:t>Pour l’étanchéité dans les coulisses :</w:t>
      </w:r>
    </w:p>
    <w:p w14:paraId="3079C52B" w14:textId="77777777" w:rsidR="00DB2B68" w:rsidRDefault="00000000">
      <w:r>
        <w:t xml:space="preserve">La membrane d’étanchéité consiste en une couche de caoutchouc de butyle, un élastomère à insaturation réduite, qui est obtenu par copolymérisation à basse température d’isobutylène et de quantités réduites d’isoprène. L'allongement à la rupture est d'au moins 400%. L'épaisseur de la feuille de butyle est d'au moins </w:t>
      </w:r>
      <w:r>
        <w:rPr>
          <w:rStyle w:val="optioncarChar"/>
        </w:rPr>
        <w:t>1,2</w:t>
      </w:r>
      <w:r>
        <w:t xml:space="preserve"> (par défaut)</w:t>
      </w:r>
      <w:r>
        <w:rPr>
          <w:rStyle w:val="optioncarChar"/>
        </w:rPr>
        <w:t> / 1,5 / ***</w:t>
      </w:r>
      <w:r>
        <w:t xml:space="preserve"> mm.</w:t>
      </w:r>
    </w:p>
    <w:p w14:paraId="4A8DDE56" w14:textId="77777777" w:rsidR="00DB2B68" w:rsidRDefault="00000000">
      <w:pPr>
        <w:pStyle w:val="pheading"/>
      </w:pPr>
      <w:r>
        <w:t>EXÉCUTION / MISE EN ŒUVRE</w:t>
      </w:r>
    </w:p>
    <w:p w14:paraId="3F9754CF" w14:textId="77777777" w:rsidR="00DB2B68" w:rsidRDefault="00000000">
      <w:pPr>
        <w:pStyle w:val="pheading"/>
      </w:pPr>
      <w:r>
        <w:t>- Prescriptions générales</w:t>
      </w:r>
    </w:p>
    <w:p w14:paraId="2B9D56FA" w14:textId="77777777" w:rsidR="00DB2B68" w:rsidRDefault="00000000">
      <w:r>
        <w:rPr>
          <w:u w:val="single"/>
        </w:rPr>
        <w:t>Pour les membranes anticapillaires :</w:t>
      </w:r>
    </w:p>
    <w:p w14:paraId="4E1E7D20" w14:textId="77777777" w:rsidR="00DB2B68" w:rsidRDefault="00000000">
      <w:r>
        <w:t xml:space="preserve">Les bandes sont posées avec un chevauchement d’au moins </w:t>
      </w:r>
      <w:r>
        <w:rPr>
          <w:rStyle w:val="optioncarChar"/>
        </w:rPr>
        <w:t>10 </w:t>
      </w:r>
      <w:r>
        <w:t>(par défaut)</w:t>
      </w:r>
      <w:r>
        <w:rPr>
          <w:rStyle w:val="optioncarChar"/>
        </w:rPr>
        <w:t xml:space="preserve"> / ***</w:t>
      </w:r>
      <w:r>
        <w:t xml:space="preserve"> cm. Les bandes de chevauchement sont éventuellement collées entre elles sur toute la surface au moyen d’une bande adhésive et d’une solution de caoutchouc.</w:t>
      </w:r>
    </w:p>
    <w:p w14:paraId="02B31955" w14:textId="77777777" w:rsidR="00DB2B68" w:rsidRDefault="00000000">
      <w:r>
        <w:rPr>
          <w:u w:val="single"/>
        </w:rPr>
        <w:t>Pour l’étanchéité dans les coulisses :</w:t>
      </w:r>
    </w:p>
    <w:p w14:paraId="2BDF8A27" w14:textId="77777777" w:rsidR="00DB2B68" w:rsidRDefault="00000000">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à l'aide d'une bande adhésive et d'une solution de caoutchouc.</w:t>
      </w:r>
    </w:p>
    <w:p w14:paraId="39C3BD75" w14:textId="77777777" w:rsidR="00DB2B68" w:rsidRDefault="00000000">
      <w:r>
        <w:rPr>
          <w:u w:val="single"/>
        </w:rPr>
        <w:lastRenderedPageBreak/>
        <w:t xml:space="preserve">Type de pose de la membrane: </w:t>
      </w:r>
      <w:r>
        <w:rPr>
          <w:rStyle w:val="optioncarChar"/>
        </w:rPr>
        <w:t>Posée / insérée / collée</w:t>
      </w:r>
    </w:p>
    <w:p w14:paraId="25480055" w14:textId="77777777" w:rsidR="00DB2B68" w:rsidRDefault="00000000">
      <w:pPr>
        <w:pStyle w:val="Author-eListParagraph"/>
        <w:numPr>
          <w:ilvl w:val="0"/>
          <w:numId w:val="1087"/>
        </w:numPr>
      </w:pPr>
      <w:r>
        <w:rPr>
          <w:b/>
        </w:rPr>
        <w:t xml:space="preserve">(soit) </w:t>
      </w:r>
    </w:p>
    <w:p w14:paraId="564173A7" w14:textId="77777777" w:rsidR="00DB2B68" w:rsidRDefault="00000000">
      <w:r>
        <w:rPr>
          <w:rStyle w:val="soitChar"/>
        </w:rPr>
        <w:t xml:space="preserve">1. </w:t>
      </w:r>
      <w:r>
        <w:rPr>
          <w:rStyle w:val="soitChar"/>
          <w:u w:val="single"/>
        </w:rPr>
        <w:t>Posée:</w:t>
      </w:r>
      <w:r>
        <w:rPr>
          <w:rStyle w:val="soitChar"/>
        </w:rPr>
        <w:t xml:space="preserve"> La couche d'étanchéité est posée sur toute la largeur du mur creux.</w:t>
      </w:r>
    </w:p>
    <w:p w14:paraId="27FE9F0B" w14:textId="77777777" w:rsidR="00DB2B68" w:rsidRDefault="00000000">
      <w:pPr>
        <w:pStyle w:val="Author-eListParagraph"/>
        <w:numPr>
          <w:ilvl w:val="0"/>
          <w:numId w:val="1088"/>
        </w:numPr>
      </w:pPr>
      <w:r>
        <w:rPr>
          <w:b/>
        </w:rPr>
        <w:t>(soit)</w:t>
      </w:r>
    </w:p>
    <w:p w14:paraId="6E282682" w14:textId="77777777" w:rsidR="00DB2B68" w:rsidRDefault="00000000">
      <w:r>
        <w:rPr>
          <w:rStyle w:val="soitChar"/>
        </w:rPr>
        <w:t xml:space="preserve">2. </w:t>
      </w:r>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xml:space="preserve"> / ***</w:t>
      </w:r>
      <w:r>
        <w:rPr>
          <w:rStyle w:val="soitChar"/>
        </w:rPr>
        <w:t xml:space="preserve"> cm dans le mur de contre-façade.</w:t>
      </w:r>
    </w:p>
    <w:p w14:paraId="155A4E4D" w14:textId="77777777" w:rsidR="00DB2B68" w:rsidRDefault="00000000">
      <w:pPr>
        <w:pStyle w:val="Author-eListParagraph"/>
        <w:numPr>
          <w:ilvl w:val="0"/>
          <w:numId w:val="1089"/>
        </w:numPr>
      </w:pPr>
      <w:r>
        <w:rPr>
          <w:b/>
        </w:rPr>
        <w:t>(soit)</w:t>
      </w:r>
    </w:p>
    <w:p w14:paraId="447AAA3A" w14:textId="77777777" w:rsidR="00DB2B68" w:rsidRDefault="00000000">
      <w:r>
        <w:rPr>
          <w:rStyle w:val="soitChar"/>
        </w:rPr>
        <w:t xml:space="preserve">3. </w:t>
      </w:r>
      <w:r>
        <w:rPr>
          <w:rStyle w:val="soitChar"/>
          <w:u w:val="single"/>
        </w:rPr>
        <w:t>Collée:</w:t>
      </w:r>
      <w:r>
        <w:rPr>
          <w:rStyle w:val="soitChar"/>
        </w:rPr>
        <w:t xml:space="preserve"> Au cas où l’isolation ne peut s’insérer dans le mur de contre-façade, elle est collée sur une hauteur d’au moins </w:t>
      </w:r>
      <w:r>
        <w:rPr>
          <w:rStyle w:val="optioncarChar"/>
        </w:rPr>
        <w:t>15 </w:t>
      </w:r>
      <w:r>
        <w:t>(par défaut)</w:t>
      </w:r>
      <w:r>
        <w:rPr>
          <w:rStyle w:val="optioncarChar"/>
        </w:rPr>
        <w:t xml:space="preserve"> / ***</w:t>
      </w:r>
      <w:r>
        <w:rPr>
          <w:rStyle w:val="soitChar"/>
        </w:rPr>
        <w:t xml:space="preserve"> cm contre le mur de contre-façade. La différence de hauteur entre l'assise dans le mur de contre-façade et le mur intérieur sera d'au moins </w:t>
      </w:r>
      <w:r>
        <w:rPr>
          <w:rStyle w:val="optioncarChar"/>
        </w:rPr>
        <w:t>10 </w:t>
      </w:r>
      <w:r>
        <w:t>(par défaut)</w:t>
      </w:r>
      <w:r>
        <w:rPr>
          <w:rStyle w:val="optioncarChar"/>
        </w:rPr>
        <w:t xml:space="preserve">  / ***</w:t>
      </w:r>
      <w:r>
        <w:rPr>
          <w:rStyle w:val="soitChar"/>
        </w:rPr>
        <w:t xml:space="preserve"> cm.</w:t>
      </w:r>
    </w:p>
    <w:p w14:paraId="30E14D23" w14:textId="77777777" w:rsidR="00DB2B68" w:rsidRDefault="00000000">
      <w:pPr>
        <w:pStyle w:val="pheading"/>
      </w:pPr>
      <w:r>
        <w:t>- Notes d’exécution complémentaires</w:t>
      </w:r>
    </w:p>
    <w:p w14:paraId="4E58F7EE" w14:textId="77777777" w:rsidR="00DB2B68" w:rsidRDefault="00000000">
      <w:r>
        <w:rPr>
          <w:u w:val="single"/>
        </w:rPr>
        <w:t>Pour les membranes anticapillaires :</w:t>
      </w:r>
    </w:p>
    <w:p w14:paraId="462C327D" w14:textId="77777777" w:rsidR="00DB2B68" w:rsidRDefault="00000000">
      <w:r>
        <w:t xml:space="preserve">L’étanchéité des pieds de murs creux : La différence de hauteur entre l'assise du mur de contre-façade et le parement extérieur sera d'au moins </w:t>
      </w:r>
      <w:r>
        <w:rPr>
          <w:rStyle w:val="optioncarChar"/>
        </w:rPr>
        <w:t>10</w:t>
      </w:r>
      <w:r>
        <w:t xml:space="preserve"> (par défaut)</w:t>
      </w:r>
      <w:r>
        <w:rPr>
          <w:rStyle w:val="optioncarChar"/>
        </w:rPr>
        <w:t> / ***</w:t>
      </w:r>
      <w:r>
        <w:t xml:space="preserve"> cm.</w:t>
      </w:r>
    </w:p>
    <w:p w14:paraId="2899B4C3" w14:textId="77777777" w:rsidR="00DB2B68" w:rsidRDefault="00000000">
      <w:pPr>
        <w:pStyle w:val="pheading"/>
      </w:pPr>
      <w:r>
        <w:t>MESURAGE</w:t>
      </w:r>
    </w:p>
    <w:p w14:paraId="2BB85E07" w14:textId="77777777" w:rsidR="00DB2B68" w:rsidRDefault="00000000">
      <w:pPr>
        <w:pStyle w:val="pheading"/>
      </w:pPr>
      <w:r>
        <w:t>- unité de mesure:</w:t>
      </w:r>
    </w:p>
    <w:p w14:paraId="5AFC0D6E" w14:textId="77777777" w:rsidR="00DB2B68" w:rsidRDefault="00000000">
      <w:r>
        <w:t xml:space="preserve">Choix opéré : </w:t>
      </w:r>
      <w:r>
        <w:rPr>
          <w:rStyle w:val="optioncarChar"/>
        </w:rPr>
        <w:t>- / m²</w:t>
      </w:r>
    </w:p>
    <w:p w14:paraId="129C1B77" w14:textId="77777777" w:rsidR="00DB2B68" w:rsidRDefault="00000000">
      <w:pPr>
        <w:pStyle w:val="pheading"/>
      </w:pPr>
      <w:r>
        <w:t>- code de mesurage:</w:t>
      </w:r>
    </w:p>
    <w:p w14:paraId="09D66A4B" w14:textId="77777777" w:rsidR="00DB2B68" w:rsidRDefault="00000000">
      <w:r>
        <w:t xml:space="preserve">Choix opéré : </w:t>
      </w:r>
      <w:r>
        <w:rPr>
          <w:rStyle w:val="optioncarChar"/>
        </w:rPr>
        <w:t>Compris / Surface nette</w:t>
      </w:r>
    </w:p>
    <w:p w14:paraId="01B86C5B" w14:textId="77777777" w:rsidR="00DB2B68" w:rsidRDefault="00000000">
      <w:pPr>
        <w:pStyle w:val="Author-eListParagraph"/>
        <w:numPr>
          <w:ilvl w:val="0"/>
          <w:numId w:val="1090"/>
        </w:numPr>
      </w:pPr>
      <w:r>
        <w:t>(</w:t>
      </w:r>
      <w:r>
        <w:rPr>
          <w:b/>
        </w:rPr>
        <w:t>soit par défaut)</w:t>
      </w:r>
    </w:p>
    <w:p w14:paraId="1B219FE0" w14:textId="77777777" w:rsidR="00DB2B68" w:rsidRDefault="00000000">
      <w:r>
        <w:rPr>
          <w:rStyle w:val="soitChar"/>
        </w:rPr>
        <w:t xml:space="preserve">1. </w:t>
      </w:r>
      <w:r>
        <w:rPr>
          <w:rStyle w:val="soitChar"/>
          <w:u w:val="single"/>
        </w:rPr>
        <w:t>Compris</w:t>
      </w:r>
      <w:r>
        <w:rPr>
          <w:rStyle w:val="soitChar"/>
        </w:rPr>
        <w:t xml:space="preserve"> dans le prix unitaire de la maçonnerie enterrée, à ventiler selon l’épaisseur de la membrane</w:t>
      </w:r>
    </w:p>
    <w:p w14:paraId="73FF0C6C" w14:textId="77777777" w:rsidR="00DB2B68" w:rsidRDefault="00000000">
      <w:pPr>
        <w:pStyle w:val="Author-eListParagraph"/>
        <w:numPr>
          <w:ilvl w:val="0"/>
          <w:numId w:val="1091"/>
        </w:numPr>
      </w:pPr>
      <w:r>
        <w:rPr>
          <w:b/>
        </w:rPr>
        <w:t>(soit)</w:t>
      </w:r>
    </w:p>
    <w:p w14:paraId="1A8C76FC" w14:textId="77777777" w:rsidR="00DB2B68" w:rsidRDefault="00000000">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19BD5CD1" w14:textId="77777777" w:rsidR="00DB2B68" w:rsidRDefault="00000000">
      <w:pPr>
        <w:pStyle w:val="pheading"/>
      </w:pPr>
      <w:r>
        <w:t>- nature du marché:</w:t>
      </w:r>
    </w:p>
    <w:p w14:paraId="109E8B68" w14:textId="77777777" w:rsidR="00DB2B68" w:rsidRDefault="00000000">
      <w:r>
        <w:rPr>
          <w:rStyle w:val="optioncarChar"/>
        </w:rPr>
        <w:t xml:space="preserve">PM </w:t>
      </w:r>
      <w:r>
        <w:t>(par défaut)</w:t>
      </w:r>
      <w:r>
        <w:rPr>
          <w:rStyle w:val="optioncarChar"/>
        </w:rPr>
        <w:t xml:space="preserve"> / QF</w:t>
      </w:r>
    </w:p>
    <w:p w14:paraId="2D56C137" w14:textId="77777777" w:rsidR="00DB2B68" w:rsidRDefault="00000000">
      <w:pPr>
        <w:pStyle w:val="Author-eSectionHeading6Numberless"/>
      </w:pPr>
      <w:bookmarkStart w:id="1860" w:name="_Toc220496814"/>
      <w:r>
        <w:t>26.11.1e Couches d'étanchéité - membranes de verre bituminées CCTB 01.13</w:t>
      </w:r>
      <w:bookmarkEnd w:id="1860"/>
    </w:p>
    <w:p w14:paraId="743F29CD" w14:textId="77777777" w:rsidR="00DB2B68" w:rsidRDefault="00000000">
      <w:pPr>
        <w:pStyle w:val="pheading"/>
      </w:pPr>
      <w:r>
        <w:t>MATÉRIAUX</w:t>
      </w:r>
    </w:p>
    <w:p w14:paraId="3633A0F9" w14:textId="77777777" w:rsidR="00DB2B68" w:rsidRDefault="00000000">
      <w:pPr>
        <w:pStyle w:val="pheading"/>
      </w:pPr>
      <w:r>
        <w:t>- Caractéristiques générales</w:t>
      </w:r>
    </w:p>
    <w:p w14:paraId="75B341E7" w14:textId="77777777" w:rsidR="00DB2B68" w:rsidRDefault="00000000">
      <w:r>
        <w:rPr>
          <w:u w:val="single"/>
        </w:rPr>
        <w:t>Pour les membranes anticapillaires :</w:t>
      </w:r>
    </w:p>
    <w:p w14:paraId="78F425C3" w14:textId="77777777" w:rsidR="00DB2B68" w:rsidRDefault="00000000">
      <w:r>
        <w:t xml:space="preserve">L’étanchéité consiste en une membrane à base de bitume polymère (APP ou SBS) armée de polyester, qui satisfait aux prescriptions de la </w:t>
      </w:r>
      <w:r>
        <w:rPr>
          <w:shd w:val="clear" w:color="auto" w:fill="FFFFFF"/>
        </w:rPr>
        <w:t>[NBN B 46-003] .</w:t>
      </w:r>
    </w:p>
    <w:p w14:paraId="4959AAF1" w14:textId="77777777" w:rsidR="00DB2B68" w:rsidRDefault="00000000">
      <w:pPr>
        <w:pStyle w:val="heading"/>
      </w:pPr>
      <w:r>
        <w:t>Spécifications</w:t>
      </w:r>
    </w:p>
    <w:p w14:paraId="0FFFB832" w14:textId="77777777" w:rsidR="00DB2B68" w:rsidRDefault="00000000">
      <w:r>
        <w:t xml:space="preserve">Type : </w:t>
      </w:r>
      <w:r>
        <w:rPr>
          <w:rStyle w:val="optioncarChar"/>
        </w:rPr>
        <w:t>***</w:t>
      </w:r>
    </w:p>
    <w:p w14:paraId="604A0511" w14:textId="77777777" w:rsidR="00DB2B68" w:rsidRDefault="00000000">
      <w:r>
        <w:t xml:space="preserve">Epaisseur : minimum </w:t>
      </w:r>
      <w:r>
        <w:rPr>
          <w:rStyle w:val="optioncarChar"/>
        </w:rPr>
        <w:t xml:space="preserve">4 </w:t>
      </w:r>
      <w:r>
        <w:t>(par défaut) </w:t>
      </w:r>
      <w:r>
        <w:rPr>
          <w:rStyle w:val="optioncarChar"/>
        </w:rPr>
        <w:t>/ ***</w:t>
      </w:r>
      <w:r>
        <w:t xml:space="preserve"> mm</w:t>
      </w:r>
    </w:p>
    <w:p w14:paraId="12B15224" w14:textId="77777777" w:rsidR="00DB2B68" w:rsidRDefault="00000000">
      <w:r>
        <w:t>Pour l’étanchéité dans les coulisses :</w:t>
      </w:r>
    </w:p>
    <w:p w14:paraId="37A8F74F" w14:textId="77777777" w:rsidR="00DB2B68" w:rsidRDefault="00000000">
      <w:r>
        <w:t xml:space="preserve">L'étanchéité consiste en une membrane de voile de verre bitumé type </w:t>
      </w:r>
      <w:r>
        <w:rPr>
          <w:rStyle w:val="optioncarChar"/>
        </w:rPr>
        <w:t>V50-16 </w:t>
      </w:r>
      <w:r>
        <w:t>(par défaut)</w:t>
      </w:r>
      <w:r>
        <w:rPr>
          <w:rStyle w:val="optioncarChar"/>
        </w:rPr>
        <w:t xml:space="preserve"> / ***</w:t>
      </w:r>
      <w:r>
        <w:rPr>
          <w:shd w:val="clear" w:color="auto" w:fill="FFFFFF"/>
        </w:rPr>
        <w:t>.</w:t>
      </w:r>
      <w:r>
        <w:t xml:space="preserve"> L'épaisseur du voile de verre bitumé est  d'au moins </w:t>
      </w:r>
      <w:r>
        <w:rPr>
          <w:rStyle w:val="optioncarChar"/>
        </w:rPr>
        <w:t>***</w:t>
      </w:r>
      <w:r>
        <w:t xml:space="preserve"> mm.</w:t>
      </w:r>
    </w:p>
    <w:p w14:paraId="68246F6F" w14:textId="77777777" w:rsidR="00DB2B68" w:rsidRDefault="00000000">
      <w:pPr>
        <w:pStyle w:val="pheading"/>
      </w:pPr>
      <w:r>
        <w:t>EXÉCUTION / MISE EN ŒUVRE</w:t>
      </w:r>
    </w:p>
    <w:p w14:paraId="58D3D814" w14:textId="77777777" w:rsidR="00DB2B68" w:rsidRDefault="00000000">
      <w:pPr>
        <w:pStyle w:val="pheading"/>
      </w:pPr>
      <w:r>
        <w:lastRenderedPageBreak/>
        <w:t>- Prescriptions générales</w:t>
      </w:r>
    </w:p>
    <w:p w14:paraId="5215608A" w14:textId="77777777" w:rsidR="00DB2B68" w:rsidRDefault="00000000">
      <w:r>
        <w:rPr>
          <w:u w:val="single"/>
        </w:rPr>
        <w:t>Pour les membranes anticapillaires :</w:t>
      </w:r>
    </w:p>
    <w:p w14:paraId="19256FD8" w14:textId="77777777" w:rsidR="00DB2B68" w:rsidRDefault="00000000">
      <w:r>
        <w:t xml:space="preserve">Les bandes sont posées avec un chevauchement d’au moins </w:t>
      </w:r>
      <w:r>
        <w:rPr>
          <w:rStyle w:val="optioncarChar"/>
        </w:rPr>
        <w:t>10 </w:t>
      </w:r>
      <w:r>
        <w:t>(par défaut)</w:t>
      </w:r>
      <w:r>
        <w:rPr>
          <w:rStyle w:val="optioncarChar"/>
        </w:rPr>
        <w:t xml:space="preserve"> / *** </w:t>
      </w:r>
      <w:r>
        <w:t>cm. Les bandes de chevauchement sont éventuellement soudées entre elles sur toute la surface.</w:t>
      </w:r>
    </w:p>
    <w:p w14:paraId="4C405F8D" w14:textId="77777777" w:rsidR="00DB2B68" w:rsidRDefault="00000000">
      <w:r>
        <w:rPr>
          <w:u w:val="single"/>
        </w:rPr>
        <w:t>Pour l’étanchéité dans les coulisses :</w:t>
      </w:r>
    </w:p>
    <w:p w14:paraId="5C9E72E5" w14:textId="77777777" w:rsidR="00DB2B68" w:rsidRDefault="00000000">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Les chevauchements et le mode d'assemblage dépendent de la nature du produit et respectent les prescriptions du fabricant.</w:t>
      </w:r>
    </w:p>
    <w:p w14:paraId="45AAB0C1" w14:textId="77777777" w:rsidR="00DB2B68" w:rsidRDefault="00000000">
      <w:r>
        <w:rPr>
          <w:u w:val="single"/>
        </w:rPr>
        <w:t>Type de pose de la membrane :</w:t>
      </w:r>
      <w:r>
        <w:rPr>
          <w:rStyle w:val="optioncarChar"/>
        </w:rPr>
        <w:t>Posée / Insérée / Collée</w:t>
      </w:r>
    </w:p>
    <w:p w14:paraId="404BB5BA" w14:textId="77777777" w:rsidR="00DB2B68" w:rsidRDefault="00000000">
      <w:pPr>
        <w:pStyle w:val="Author-eListParagraph"/>
        <w:numPr>
          <w:ilvl w:val="0"/>
          <w:numId w:val="1092"/>
        </w:numPr>
      </w:pPr>
      <w:r>
        <w:rPr>
          <w:b/>
        </w:rPr>
        <w:t xml:space="preserve">(soit) </w:t>
      </w:r>
    </w:p>
    <w:p w14:paraId="338783B4" w14:textId="77777777" w:rsidR="00DB2B68" w:rsidRDefault="00000000">
      <w:r>
        <w:rPr>
          <w:rStyle w:val="soitChar"/>
          <w:u w:val="single"/>
        </w:rPr>
        <w:t>Posée:</w:t>
      </w:r>
      <w:r>
        <w:rPr>
          <w:rStyle w:val="soitChar"/>
        </w:rPr>
        <w:t xml:space="preserve"> La couche d'étanchéité est posée sur toute la largeur du mur creux.</w:t>
      </w:r>
    </w:p>
    <w:p w14:paraId="70D44FC7" w14:textId="77777777" w:rsidR="00DB2B68" w:rsidRDefault="00000000">
      <w:pPr>
        <w:pStyle w:val="Author-eListParagraph"/>
        <w:numPr>
          <w:ilvl w:val="0"/>
          <w:numId w:val="1093"/>
        </w:numPr>
      </w:pPr>
      <w:r>
        <w:rPr>
          <w:b/>
        </w:rPr>
        <w:t xml:space="preserve">(soit) </w:t>
      </w:r>
    </w:p>
    <w:p w14:paraId="1C0578C3" w14:textId="77777777" w:rsidR="00DB2B68" w:rsidRDefault="00000000">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 ***</w:t>
      </w:r>
      <w:r>
        <w:rPr>
          <w:rStyle w:val="soitChar"/>
        </w:rPr>
        <w:t xml:space="preserve"> cm dans le mur de contre-façade.</w:t>
      </w:r>
    </w:p>
    <w:p w14:paraId="18F680DF" w14:textId="77777777" w:rsidR="00DB2B68" w:rsidRDefault="00000000">
      <w:pPr>
        <w:pStyle w:val="Author-eListParagraph"/>
        <w:numPr>
          <w:ilvl w:val="0"/>
          <w:numId w:val="1094"/>
        </w:numPr>
      </w:pPr>
      <w:r>
        <w:rPr>
          <w:b/>
        </w:rPr>
        <w:t xml:space="preserve">(soit) </w:t>
      </w:r>
    </w:p>
    <w:p w14:paraId="43BAAF0C" w14:textId="77777777" w:rsidR="00DB2B68" w:rsidRDefault="00000000">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 xml:space="preserve">15 </w:t>
      </w:r>
      <w:r>
        <w:t>(par défaut) </w:t>
      </w:r>
      <w:r>
        <w:rPr>
          <w:rStyle w:val="optioncarChar"/>
        </w:rPr>
        <w:t>/ ***</w:t>
      </w:r>
      <w:r>
        <w:rPr>
          <w:rStyle w:val="soitChar"/>
        </w:rPr>
        <w:t xml:space="preserve"> cm contre le mur de contre-façade. La différence de hauteur entre l'assise dans le mur de contre-façade et le mur intérieur sera d'au moins </w:t>
      </w:r>
      <w:r>
        <w:rPr>
          <w:rStyle w:val="optioncarChar"/>
        </w:rPr>
        <w:t>10 </w:t>
      </w:r>
      <w:r>
        <w:t>(par défaut)</w:t>
      </w:r>
      <w:r>
        <w:rPr>
          <w:rStyle w:val="optioncarChar"/>
        </w:rPr>
        <w:t xml:space="preserve"> / ***</w:t>
      </w:r>
      <w:r>
        <w:rPr>
          <w:rStyle w:val="soitChar"/>
        </w:rPr>
        <w:t xml:space="preserve"> cm.</w:t>
      </w:r>
    </w:p>
    <w:p w14:paraId="6BDA3680" w14:textId="77777777" w:rsidR="00DB2B68" w:rsidRDefault="00000000">
      <w:pPr>
        <w:pStyle w:val="pheading"/>
      </w:pPr>
      <w:r>
        <w:t>- Notes d’exécution complémentaires</w:t>
      </w:r>
    </w:p>
    <w:p w14:paraId="2D69AFDB" w14:textId="77777777" w:rsidR="00DB2B68" w:rsidRDefault="00000000">
      <w:r>
        <w:rPr>
          <w:u w:val="single"/>
        </w:rPr>
        <w:t>Pour les membranes anticapillaires :</w:t>
      </w:r>
    </w:p>
    <w:p w14:paraId="4A8C3901" w14:textId="77777777" w:rsidR="00DB2B68" w:rsidRDefault="00000000">
      <w:r>
        <w:t xml:space="preserve">L’étanchéité des pieds de murs creux : La différence de hauteur entre l'assise du mur de contre-façade et le parement extérieur est d'au moins </w:t>
      </w:r>
      <w:r>
        <w:rPr>
          <w:rStyle w:val="optioncarChar"/>
        </w:rPr>
        <w:t>10 </w:t>
      </w:r>
      <w:r>
        <w:t>(par défaut)</w:t>
      </w:r>
      <w:r>
        <w:rPr>
          <w:rStyle w:val="optioncarChar"/>
        </w:rPr>
        <w:t xml:space="preserve"> / ***</w:t>
      </w:r>
      <w:r>
        <w:t xml:space="preserve"> cm.</w:t>
      </w:r>
    </w:p>
    <w:p w14:paraId="0073AA0B" w14:textId="77777777" w:rsidR="00DB2B68" w:rsidRDefault="00000000">
      <w:pPr>
        <w:pStyle w:val="pheading"/>
      </w:pPr>
      <w:r>
        <w:t>MESURAGE</w:t>
      </w:r>
    </w:p>
    <w:p w14:paraId="704F10D4" w14:textId="77777777" w:rsidR="00DB2B68" w:rsidRDefault="00000000">
      <w:pPr>
        <w:pStyle w:val="pheading"/>
      </w:pPr>
      <w:r>
        <w:t>- unité de mesure:</w:t>
      </w:r>
    </w:p>
    <w:p w14:paraId="244594FF" w14:textId="77777777" w:rsidR="00DB2B68" w:rsidRDefault="00000000">
      <w:r>
        <w:t> </w:t>
      </w:r>
      <w:r>
        <w:rPr>
          <w:rStyle w:val="optioncarChar"/>
        </w:rPr>
        <w:t>- / m²</w:t>
      </w:r>
    </w:p>
    <w:p w14:paraId="1C71C2F2" w14:textId="77777777" w:rsidR="00DB2B68" w:rsidRDefault="00000000">
      <w:pPr>
        <w:pStyle w:val="pheading"/>
      </w:pPr>
      <w:r>
        <w:t>- code de mesurage:</w:t>
      </w:r>
    </w:p>
    <w:p w14:paraId="53507C41" w14:textId="77777777" w:rsidR="00DB2B68" w:rsidRDefault="00000000">
      <w:r>
        <w:t xml:space="preserve">Choix opéré : </w:t>
      </w:r>
      <w:r>
        <w:rPr>
          <w:rStyle w:val="optioncarChar"/>
        </w:rPr>
        <w:t>Compris / Surface nette</w:t>
      </w:r>
    </w:p>
    <w:p w14:paraId="51BBA83F" w14:textId="77777777" w:rsidR="00DB2B68" w:rsidRDefault="00000000">
      <w:pPr>
        <w:pStyle w:val="Author-eListParagraph"/>
        <w:numPr>
          <w:ilvl w:val="0"/>
          <w:numId w:val="1095"/>
        </w:numPr>
      </w:pPr>
      <w:r>
        <w:t>(</w:t>
      </w:r>
      <w:r>
        <w:rPr>
          <w:b/>
        </w:rPr>
        <w:t>soit par défaut)</w:t>
      </w:r>
    </w:p>
    <w:p w14:paraId="2732628A" w14:textId="77777777" w:rsidR="00DB2B68" w:rsidRDefault="00000000">
      <w:r>
        <w:rPr>
          <w:rStyle w:val="soitChar"/>
        </w:rPr>
        <w:t xml:space="preserve">1. </w:t>
      </w:r>
      <w:r>
        <w:rPr>
          <w:rStyle w:val="soitChar"/>
          <w:u w:val="single"/>
        </w:rPr>
        <w:t>Compris</w:t>
      </w:r>
      <w:r>
        <w:rPr>
          <w:rStyle w:val="soitChar"/>
        </w:rPr>
        <w:t xml:space="preserve"> dans le prix unitaire de la maçonnerie enterrée, à ventiler selon l’épaisseur de la membrane</w:t>
      </w:r>
    </w:p>
    <w:p w14:paraId="52FAFFF4" w14:textId="77777777" w:rsidR="00DB2B68" w:rsidRDefault="00000000">
      <w:pPr>
        <w:pStyle w:val="Author-eListParagraph"/>
        <w:numPr>
          <w:ilvl w:val="0"/>
          <w:numId w:val="1096"/>
        </w:numPr>
      </w:pPr>
      <w:r>
        <w:rPr>
          <w:b/>
        </w:rPr>
        <w:t>(soit)</w:t>
      </w:r>
    </w:p>
    <w:p w14:paraId="023A19D9" w14:textId="77777777" w:rsidR="00DB2B68" w:rsidRDefault="00000000">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09FE4405" w14:textId="77777777" w:rsidR="00DB2B68" w:rsidRDefault="00000000">
      <w:pPr>
        <w:pStyle w:val="pheading"/>
      </w:pPr>
      <w:r>
        <w:t>- nature du marché:</w:t>
      </w:r>
    </w:p>
    <w:p w14:paraId="7A843168" w14:textId="77777777" w:rsidR="00DB2B68" w:rsidRDefault="00000000">
      <w:r>
        <w:rPr>
          <w:rStyle w:val="optioncarChar"/>
        </w:rPr>
        <w:t xml:space="preserve">PM </w:t>
      </w:r>
      <w:r>
        <w:t>(par défaut)</w:t>
      </w:r>
      <w:r>
        <w:rPr>
          <w:rStyle w:val="optioncarChar"/>
        </w:rPr>
        <w:t xml:space="preserve"> / QF</w:t>
      </w:r>
    </w:p>
    <w:p w14:paraId="3C685F74" w14:textId="77777777" w:rsidR="00DB2B68" w:rsidRDefault="00000000">
      <w:pPr>
        <w:pStyle w:val="Author-eSectionHeading6Numberless"/>
      </w:pPr>
      <w:bookmarkStart w:id="1861" w:name="_Toc220496815"/>
      <w:r>
        <w:t>26.11.1f Couches d'étanchéité - membranes à pastilles CCTB 01.11</w:t>
      </w:r>
      <w:bookmarkEnd w:id="1861"/>
    </w:p>
    <w:p w14:paraId="0B22B970" w14:textId="77777777" w:rsidR="00DB2B68" w:rsidRDefault="00000000">
      <w:pPr>
        <w:pStyle w:val="pheading"/>
      </w:pPr>
      <w:r>
        <w:t>DESCRIPTION</w:t>
      </w:r>
    </w:p>
    <w:p w14:paraId="4E30BE6D" w14:textId="77777777" w:rsidR="00DB2B68" w:rsidRDefault="00000000">
      <w:pPr>
        <w:pStyle w:val="pheading"/>
      </w:pPr>
      <w:r>
        <w:t>- Définition / Comprend</w:t>
      </w:r>
    </w:p>
    <w:p w14:paraId="3F06330A" w14:textId="77777777" w:rsidR="00DB2B68" w:rsidRDefault="00000000">
      <w:r>
        <w:t xml:space="preserve">Les membranes à pastilles sont des membranes rigides munies d'un grand nombre de pastilles dont les caractéristiques drainantes contribuent à la réduction de la pression hydrostatique de l'eau souterraine sur les constructions qui se trouvent entièrement ou partiellement sous le niveau de la </w:t>
      </w:r>
      <w:r>
        <w:lastRenderedPageBreak/>
        <w:t>nappe phréatique et réduisent les risques d'infiltration d'eau dans ces constructions. Cet ouvrage comprend tous les travaux et fournitures pour la pose des membranes à pastilles, y compris les moyens de fixation, les profils d'étanchéité et le raccord au géotextile du massif de drainage.</w:t>
      </w:r>
    </w:p>
    <w:p w14:paraId="6BE0DF7F" w14:textId="77777777" w:rsidR="00DB2B68" w:rsidRDefault="00000000">
      <w:r>
        <w:t>Renvoi au § 17.22.1 Massifs drainants</w:t>
      </w:r>
    </w:p>
    <w:p w14:paraId="2CEAF550" w14:textId="77777777" w:rsidR="00DB2B68" w:rsidRDefault="00000000">
      <w:pPr>
        <w:pStyle w:val="pheading"/>
      </w:pPr>
      <w:r>
        <w:t>- Localisation</w:t>
      </w:r>
    </w:p>
    <w:p w14:paraId="4CD1C060" w14:textId="77777777" w:rsidR="00DB2B68" w:rsidRDefault="00000000">
      <w:r>
        <w:t>Murs extérieurs enterrés en contact avec les terres</w:t>
      </w:r>
    </w:p>
    <w:p w14:paraId="25CDF333" w14:textId="77777777" w:rsidR="00DB2B68" w:rsidRDefault="00000000">
      <w:pPr>
        <w:pStyle w:val="pheading"/>
      </w:pPr>
      <w:r>
        <w:t>MATÉRIAUX</w:t>
      </w:r>
    </w:p>
    <w:p w14:paraId="68F7BA93" w14:textId="77777777" w:rsidR="00DB2B68" w:rsidRDefault="00000000">
      <w:pPr>
        <w:pStyle w:val="pheading"/>
      </w:pPr>
      <w:r>
        <w:t>- Caractéristiques générales</w:t>
      </w:r>
    </w:p>
    <w:p w14:paraId="02BD8B73" w14:textId="77777777" w:rsidR="00DB2B68" w:rsidRDefault="00000000">
      <w:pPr>
        <w:spacing w:before="0" w:after="0"/>
      </w:pPr>
      <w:r>
        <w:rPr>
          <w:b/>
        </w:rPr>
        <w:t>Matériau</w:t>
      </w:r>
    </w:p>
    <w:p w14:paraId="3C9B596C" w14:textId="77777777" w:rsidR="00DB2B68" w:rsidRDefault="00000000">
      <w:r>
        <w:t>Les membranes à pastilles sont en polyéthylène indéformable de haute densité (HDPE), revêtu à l'extérieur d'un géotextile. Les membranes à pastilles mises en œuvre présentent une résistance à la compression d'au moins 220 kN/m2. La membrane est pourvue de pastilles élevées, de contre-pastilles et de rainures verticales d'étanchéité et de drainage qui relient les pastilles entre elles au droit des recouvrements latéraux des lés.</w:t>
      </w:r>
    </w:p>
    <w:p w14:paraId="2EC2693E" w14:textId="77777777" w:rsidR="00DB2B68" w:rsidRDefault="00000000">
      <w:pPr>
        <w:pStyle w:val="heading"/>
      </w:pPr>
      <w:r>
        <w:t>Spécifications</w:t>
      </w:r>
    </w:p>
    <w:p w14:paraId="734C344E" w14:textId="77777777" w:rsidR="00DB2B68" w:rsidRDefault="00000000">
      <w:r>
        <w:t xml:space="preserve">Epaisseur: minimum </w:t>
      </w:r>
      <w:r>
        <w:rPr>
          <w:rStyle w:val="optioncarChar"/>
        </w:rPr>
        <w:t>0,6 </w:t>
      </w:r>
      <w:r>
        <w:t>(par défaut)</w:t>
      </w:r>
      <w:r>
        <w:rPr>
          <w:rStyle w:val="optioncarChar"/>
        </w:rPr>
        <w:t xml:space="preserve"> / ***</w:t>
      </w:r>
      <w:r>
        <w:t xml:space="preserve"> mm</w:t>
      </w:r>
    </w:p>
    <w:p w14:paraId="4D7F8ACC" w14:textId="77777777" w:rsidR="00DB2B68" w:rsidRDefault="00000000">
      <w:r>
        <w:t xml:space="preserve">Hauteur des pastilles : environ </w:t>
      </w:r>
      <w:r>
        <w:rPr>
          <w:rStyle w:val="optioncarChar"/>
        </w:rPr>
        <w:t xml:space="preserve">9 </w:t>
      </w:r>
      <w:r>
        <w:t>(par défaut) </w:t>
      </w:r>
      <w:r>
        <w:rPr>
          <w:rStyle w:val="optioncarChar"/>
        </w:rPr>
        <w:t>/ ***</w:t>
      </w:r>
      <w:r>
        <w:t>mm</w:t>
      </w:r>
    </w:p>
    <w:p w14:paraId="30FC94B1" w14:textId="77777777" w:rsidR="00DB2B68" w:rsidRDefault="00000000">
      <w:r>
        <w:t xml:space="preserve">Distance entre les pastilles : environ </w:t>
      </w:r>
      <w:r>
        <w:rPr>
          <w:rStyle w:val="optioncarChar"/>
        </w:rPr>
        <w:t>2,5 </w:t>
      </w:r>
      <w:r>
        <w:t>(par défaut)</w:t>
      </w:r>
      <w:r>
        <w:rPr>
          <w:rStyle w:val="optioncarChar"/>
        </w:rPr>
        <w:t xml:space="preserve"> / ***</w:t>
      </w:r>
      <w:r>
        <w:t>cm</w:t>
      </w:r>
    </w:p>
    <w:p w14:paraId="64E1294F" w14:textId="77777777" w:rsidR="00DB2B68" w:rsidRDefault="00000000">
      <w:r>
        <w:t>Géotextile : membrane filtrante non tissée en polypropylène</w:t>
      </w:r>
    </w:p>
    <w:p w14:paraId="2CFAA1D4" w14:textId="77777777" w:rsidR="00DB2B68" w:rsidRDefault="00000000">
      <w:r>
        <w:t>Capacité de drainage : min</w:t>
      </w:r>
      <w:r>
        <w:rPr>
          <w:rStyle w:val="optioncarChar"/>
        </w:rPr>
        <w:t>.***</w:t>
      </w:r>
      <w:r>
        <w:t xml:space="preserve"> l /sm.</w:t>
      </w:r>
    </w:p>
    <w:p w14:paraId="261F0B99" w14:textId="77777777" w:rsidR="00DB2B68" w:rsidRDefault="00000000">
      <w:r>
        <w:t>Débit de perméabilité de la membrane filtrante : min</w:t>
      </w:r>
      <w:r>
        <w:rPr>
          <w:rStyle w:val="optioncarChar"/>
        </w:rPr>
        <w:t>.***</w:t>
      </w:r>
      <w:r>
        <w:t xml:space="preserve"> l/m</w:t>
      </w:r>
      <w:r>
        <w:rPr>
          <w:vertAlign w:val="superscript"/>
        </w:rPr>
        <w:t>2</w:t>
      </w:r>
      <w:r>
        <w:t>s</w:t>
      </w:r>
    </w:p>
    <w:p w14:paraId="100CAE4C" w14:textId="77777777" w:rsidR="00DB2B68" w:rsidRDefault="00000000">
      <w:pPr>
        <w:pStyle w:val="pheading"/>
      </w:pPr>
      <w:r>
        <w:t>EXÉCUTION / MISE EN ŒUVRE</w:t>
      </w:r>
    </w:p>
    <w:p w14:paraId="5187588C" w14:textId="77777777" w:rsidR="00DB2B68" w:rsidRDefault="00000000">
      <w:pPr>
        <w:pStyle w:val="pheading"/>
      </w:pPr>
      <w:r>
        <w:t>- Prescriptions générales</w:t>
      </w:r>
    </w:p>
    <w:p w14:paraId="505CE2E0" w14:textId="77777777" w:rsidR="00DB2B68" w:rsidRDefault="00000000">
      <w:r>
        <w:t>Les membranes à pastilles sont posées à l'extérieur des murs enterrés, les pastilles étant dirigées vers la construction. Les directives du fabricant des membranes en ce qui concerne le mode de pose et de fixation sont respectées, en tâchant de réduire au minimum les joints horizontaux et verticaux. Les joints verticaux sont réalisés avec un recouvrement d'au moins 35 cm, les joints horizontaux sont réalisés avec un recouvrement étanche d'au moins 20 cm. La membrane filtrante est orientée vers le sol. La partie supérieure de la membrane à pastilles et de la membrane filtrante se situe à la hauteur définitive du terrain. Ici, le parachèvement  est réalisé à l'aide d'un profil approprié conformément aux prescriptions du fabricant. A la base des murs enterrés, la membrane filtrante est détachée de la membrane à pastilles et recouvre le géotextile du massif de drainage. Ce recouvrement est d'au moins 50 cm.</w:t>
      </w:r>
    </w:p>
    <w:p w14:paraId="16789A6C" w14:textId="77777777" w:rsidR="00DB2B68" w:rsidRDefault="00000000">
      <w:r>
        <w:t>La fouille est maintenue en bon état jusqu'après l'exécution et le contrôle des travaux et jusqu'après le raccordement du drainage au droit de l'assise des fondations.</w:t>
      </w:r>
    </w:p>
    <w:p w14:paraId="2BC8DC0E" w14:textId="77777777" w:rsidR="00DB2B68" w:rsidRDefault="00000000">
      <w:pPr>
        <w:pStyle w:val="pheading"/>
      </w:pPr>
      <w:r>
        <w:t>MESURAGE</w:t>
      </w:r>
    </w:p>
    <w:p w14:paraId="53AECF1D" w14:textId="77777777" w:rsidR="00DB2B68" w:rsidRDefault="00000000">
      <w:pPr>
        <w:pStyle w:val="pheading"/>
      </w:pPr>
      <w:r>
        <w:t>- unité de mesure:</w:t>
      </w:r>
    </w:p>
    <w:p w14:paraId="744C770E" w14:textId="77777777" w:rsidR="00DB2B68" w:rsidRDefault="00000000">
      <w:r>
        <w:t>m²</w:t>
      </w:r>
    </w:p>
    <w:p w14:paraId="34804707" w14:textId="77777777" w:rsidR="00DB2B68" w:rsidRDefault="00000000">
      <w:pPr>
        <w:pStyle w:val="pheading"/>
      </w:pPr>
      <w:r>
        <w:t>- code de mesurage:</w:t>
      </w:r>
    </w:p>
    <w:p w14:paraId="3831A399" w14:textId="77777777" w:rsidR="00DB2B68" w:rsidRDefault="00000000">
      <w:r>
        <w:t>surface nette à effectuer, les recouvrements ne sont pas comptés. Les ouvertures supérieures à 0,5 m</w:t>
      </w:r>
      <w:r>
        <w:rPr>
          <w:vertAlign w:val="superscript"/>
        </w:rPr>
        <w:t>2</w:t>
      </w:r>
      <w:r>
        <w:t xml:space="preserve"> doivent être déduites.</w:t>
      </w:r>
    </w:p>
    <w:p w14:paraId="635DE611" w14:textId="77777777" w:rsidR="00DB2B68" w:rsidRDefault="00000000">
      <w:pPr>
        <w:pStyle w:val="pheading"/>
      </w:pPr>
      <w:r>
        <w:t>- nature du marché:</w:t>
      </w:r>
    </w:p>
    <w:p w14:paraId="245010F0" w14:textId="77777777" w:rsidR="00DB2B68" w:rsidRDefault="00000000">
      <w:r>
        <w:t>QF</w:t>
      </w:r>
    </w:p>
    <w:p w14:paraId="2EA69D35" w14:textId="77777777" w:rsidR="00DB2B68" w:rsidRDefault="00000000">
      <w:pPr>
        <w:pStyle w:val="Author-eSectionHeading5Numberless"/>
      </w:pPr>
      <w:bookmarkStart w:id="1862" w:name="_Toc220496816"/>
      <w:r>
        <w:lastRenderedPageBreak/>
        <w:t>26.11.2 Feuilles rigides et semi-rigides CCTB 01.02</w:t>
      </w:r>
      <w:bookmarkEnd w:id="1862"/>
    </w:p>
    <w:p w14:paraId="48E9C1CF" w14:textId="77777777" w:rsidR="00DB2B68" w:rsidRDefault="00000000">
      <w:pPr>
        <w:pStyle w:val="Author-eSectionHeading6Numberless"/>
      </w:pPr>
      <w:bookmarkStart w:id="1863" w:name="_Toc220496817"/>
      <w:r>
        <w:t>26.11.2a Feuilles rigides et semi-rigides CCTB 01.02</w:t>
      </w:r>
      <w:bookmarkEnd w:id="1863"/>
    </w:p>
    <w:p w14:paraId="4ABD0DF2" w14:textId="77777777" w:rsidR="00DB2B68" w:rsidRDefault="00000000">
      <w:pPr>
        <w:pStyle w:val="Author-eSectionHeading4Numberless"/>
      </w:pPr>
      <w:bookmarkStart w:id="1864" w:name="_Toc220496818"/>
      <w:r>
        <w:t>26.12 Traitements d'étanchéisation CCTB 01.11</w:t>
      </w:r>
      <w:bookmarkEnd w:id="1864"/>
    </w:p>
    <w:p w14:paraId="51CCDE65" w14:textId="77777777" w:rsidR="00DB2B68" w:rsidRDefault="00000000">
      <w:pPr>
        <w:pStyle w:val="pheading"/>
      </w:pPr>
      <w:bookmarkStart w:id="1865" w:name="359"/>
      <w:bookmarkEnd w:id="1865"/>
      <w:r>
        <w:t>DESCRIPTION</w:t>
      </w:r>
    </w:p>
    <w:p w14:paraId="3B7CAE98" w14:textId="77777777" w:rsidR="00DB2B68" w:rsidRDefault="00000000">
      <w:pPr>
        <w:pStyle w:val="pheading"/>
      </w:pPr>
      <w:r>
        <w:t>- Définition / Comprend</w:t>
      </w:r>
    </w:p>
    <w:p w14:paraId="3942D842" w14:textId="77777777" w:rsidR="00DB2B68" w:rsidRDefault="00000000">
      <w:r>
        <w:t>Ce poste concerne le traitement des murs contre l'humidité ascensionnelle (et/ou de pénétration). Les travaux comprennent la préparation de la surface et le traitement proprement dit ainsi que la fourniture des produits. Les systèmes satisfont aux prescriptions de la [NIT 252], l'entrepreneur devant juger de l'efficacité de la méthode proposée. Le système est soumis à l'approbation de l'auteur de projet. </w:t>
      </w:r>
    </w:p>
    <w:p w14:paraId="546F2A0D" w14:textId="77777777" w:rsidR="00DB2B68" w:rsidRDefault="00000000">
      <w:pPr>
        <w:ind w:left="750"/>
      </w:pPr>
      <w:r>
        <w:t> </w:t>
      </w:r>
    </w:p>
    <w:p w14:paraId="47AD18E7" w14:textId="77777777" w:rsidR="00DB2B68" w:rsidRDefault="00000000">
      <w:pPr>
        <w:pStyle w:val="pheading"/>
      </w:pPr>
      <w:r>
        <w:t>DOCUMENTS DE RÉFÉRENCE</w:t>
      </w:r>
    </w:p>
    <w:p w14:paraId="56A12A23" w14:textId="77777777" w:rsidR="00DB2B68" w:rsidRDefault="00000000">
      <w:pPr>
        <w:pStyle w:val="pheading"/>
      </w:pPr>
      <w:r>
        <w:t>- Exécution</w:t>
      </w:r>
    </w:p>
    <w:p w14:paraId="7FDA60D8" w14:textId="77777777" w:rsidR="00DB2B68" w:rsidRDefault="00000000">
      <w:r>
        <w:rPr>
          <w:shd w:val="clear" w:color="auto" w:fill="FFFFFF"/>
        </w:rPr>
        <w:t>[NIT 252, L'humidité dans les constructions. Particularités de l'humidité ascensionnelle (remplace la NIT 210).]</w:t>
      </w:r>
    </w:p>
    <w:p w14:paraId="77C24064" w14:textId="77777777" w:rsidR="00DB2B68" w:rsidRDefault="00000000">
      <w:pPr>
        <w:ind w:left="750"/>
      </w:pPr>
      <w:r>
        <w:t> </w:t>
      </w:r>
    </w:p>
    <w:p w14:paraId="722D3B54" w14:textId="77777777" w:rsidR="00DB2B68" w:rsidRDefault="00000000">
      <w:pPr>
        <w:pStyle w:val="Author-eSectionHeading5Numberless"/>
      </w:pPr>
      <w:bookmarkStart w:id="1866" w:name="_Toc220496819"/>
      <w:r>
        <w:t>26.12.1 Cimentage CCTB 01.02</w:t>
      </w:r>
      <w:bookmarkEnd w:id="1866"/>
    </w:p>
    <w:p w14:paraId="4C4A0139" w14:textId="77777777" w:rsidR="00DB2B68" w:rsidRDefault="00000000">
      <w:pPr>
        <w:pStyle w:val="Author-eSectionHeading6Numberless"/>
      </w:pPr>
      <w:bookmarkStart w:id="1867" w:name="_Toc220496820"/>
      <w:r>
        <w:t>26.12.1a Etanchéité - cimentage CCTB 01.13</w:t>
      </w:r>
      <w:bookmarkEnd w:id="1867"/>
    </w:p>
    <w:p w14:paraId="4E1DBD59" w14:textId="77777777" w:rsidR="00DB2B68" w:rsidRDefault="00000000">
      <w:pPr>
        <w:pStyle w:val="pheading"/>
      </w:pPr>
      <w:bookmarkStart w:id="1868" w:name="298"/>
      <w:bookmarkEnd w:id="1868"/>
      <w:r>
        <w:t>DESCRIPTION</w:t>
      </w:r>
    </w:p>
    <w:p w14:paraId="65F5F0C5" w14:textId="77777777" w:rsidR="00DB2B68" w:rsidRDefault="00000000">
      <w:pPr>
        <w:pStyle w:val="pheading"/>
      </w:pPr>
      <w:r>
        <w:t>- Localisation</w:t>
      </w:r>
    </w:p>
    <w:p w14:paraId="2722B5EC" w14:textId="77777777" w:rsidR="00DB2B68" w:rsidRDefault="00000000">
      <w:r>
        <w:t>Murs extérieurs enterrés en contact avec les terres</w:t>
      </w:r>
    </w:p>
    <w:p w14:paraId="79A9D7FA" w14:textId="77777777" w:rsidR="00DB2B68" w:rsidRDefault="00000000">
      <w:pPr>
        <w:pStyle w:val="pheading"/>
      </w:pPr>
      <w:r>
        <w:t>MATÉRIAUX</w:t>
      </w:r>
    </w:p>
    <w:p w14:paraId="03CF8956" w14:textId="77777777" w:rsidR="00DB2B68" w:rsidRDefault="00000000">
      <w:pPr>
        <w:pStyle w:val="pheading"/>
      </w:pPr>
      <w:r>
        <w:t>- Caractéristiques générales</w:t>
      </w:r>
    </w:p>
    <w:p w14:paraId="4BD450EE" w14:textId="77777777" w:rsidR="00DB2B68" w:rsidRDefault="00000000">
      <w:r>
        <w:t>Les faces extérieures des murs en maçonnerie enterrée en contact avec les terres sont enduites d'un mortier qui répond à la catégorie M1 selon [NBN EN 998-2] (composition au moins 400 kg de ciment, classe de résistance 42,5 HSR par m3 de sable sec, soit 1 part de ciment pour 3 parts de sable).</w:t>
      </w:r>
    </w:p>
    <w:p w14:paraId="2B318624" w14:textId="77777777" w:rsidR="00DB2B68" w:rsidRDefault="00000000">
      <w:pPr>
        <w:pStyle w:val="pheading"/>
      </w:pPr>
      <w:r>
        <w:t>EXÉCUTION / MISE EN ŒUVRE</w:t>
      </w:r>
    </w:p>
    <w:p w14:paraId="25F3D817" w14:textId="77777777" w:rsidR="00DB2B68" w:rsidRDefault="00000000">
      <w:pPr>
        <w:pStyle w:val="pheading"/>
      </w:pPr>
      <w:r>
        <w:t>- Prescriptions générales</w:t>
      </w:r>
    </w:p>
    <w:p w14:paraId="16B5A900" w14:textId="77777777" w:rsidR="00DB2B68" w:rsidRDefault="00000000">
      <w:r>
        <w:t xml:space="preserve">L'épaisseur de la couche d'enduit est d'au moins </w:t>
      </w:r>
      <w:r>
        <w:rPr>
          <w:rStyle w:val="optioncarChar"/>
        </w:rPr>
        <w:t>10 </w:t>
      </w:r>
      <w:r>
        <w:t>(par défaut)</w:t>
      </w:r>
      <w:r>
        <w:rPr>
          <w:rStyle w:val="optioncarChar"/>
        </w:rPr>
        <w:t xml:space="preserve"> / ***</w:t>
      </w:r>
      <w:r>
        <w:t>mm. Si le gel est à craindre, l'entrepreneur ajoute dans le mortier un produit antigel ou un accélérateur de prise. Après durcissement, le cimentage est protégé soit à l'aide de 2 couches de goudron, soit à l'aide de deux couches de vernis activé au bitume à raison de 200 à 400 g/m2 par couche.</w:t>
      </w:r>
    </w:p>
    <w:p w14:paraId="522112C8" w14:textId="77777777" w:rsidR="00DB2B68" w:rsidRDefault="00000000">
      <w:pPr>
        <w:pStyle w:val="pheading"/>
      </w:pPr>
      <w:r>
        <w:t>MESURAGE</w:t>
      </w:r>
    </w:p>
    <w:p w14:paraId="59DA5BD2" w14:textId="77777777" w:rsidR="00DB2B68" w:rsidRDefault="00000000">
      <w:pPr>
        <w:pStyle w:val="pheading"/>
      </w:pPr>
      <w:r>
        <w:t>- unité de mesure:</w:t>
      </w:r>
    </w:p>
    <w:p w14:paraId="290166F9" w14:textId="77777777" w:rsidR="00DB2B68" w:rsidRDefault="00000000">
      <w:r>
        <w:t>m²</w:t>
      </w:r>
    </w:p>
    <w:p w14:paraId="35D83693" w14:textId="77777777" w:rsidR="00DB2B68" w:rsidRDefault="00000000">
      <w:pPr>
        <w:pStyle w:val="pheading"/>
      </w:pPr>
      <w:r>
        <w:t>- code de mesurage:</w:t>
      </w:r>
    </w:p>
    <w:p w14:paraId="42B27042" w14:textId="77777777" w:rsidR="00DB2B68" w:rsidRDefault="00000000">
      <w:r>
        <w:t>Surface nette du mur à traiter, le cimentage des parois et du fond des éventuels soupiraux ou bouches de ventilation est compté dans la quantité prévue pour le cimentage des murs.</w:t>
      </w:r>
    </w:p>
    <w:p w14:paraId="5289590F" w14:textId="77777777" w:rsidR="00DB2B68" w:rsidRDefault="00000000">
      <w:pPr>
        <w:pStyle w:val="pheading"/>
      </w:pPr>
      <w:r>
        <w:t>- nature du marché:</w:t>
      </w:r>
    </w:p>
    <w:p w14:paraId="7A2A806B" w14:textId="77777777" w:rsidR="00DB2B68" w:rsidRDefault="00000000">
      <w:r>
        <w:rPr>
          <w:b/>
        </w:rPr>
        <w:t xml:space="preserve">Choix opéré: </w:t>
      </w:r>
      <w:r>
        <w:rPr>
          <w:rStyle w:val="optioncarChar"/>
        </w:rPr>
        <w:t>QP / QF</w:t>
      </w:r>
    </w:p>
    <w:p w14:paraId="4B8D7F42" w14:textId="77777777" w:rsidR="00DB2B68" w:rsidRDefault="00000000">
      <w:r>
        <w:rPr>
          <w:b/>
        </w:rPr>
        <w:lastRenderedPageBreak/>
        <w:t>(soit par défaut)</w:t>
      </w:r>
    </w:p>
    <w:p w14:paraId="0E57E085" w14:textId="77777777" w:rsidR="00DB2B68" w:rsidRDefault="00000000">
      <w:r>
        <w:rPr>
          <w:rStyle w:val="soitChar"/>
        </w:rPr>
        <w:t xml:space="preserve">1. </w:t>
      </w:r>
      <w:r>
        <w:rPr>
          <w:rStyle w:val="soitChar"/>
          <w:u w:val="single"/>
        </w:rPr>
        <w:t>QP</w:t>
      </w:r>
      <w:r>
        <w:rPr>
          <w:rStyle w:val="soitChar"/>
        </w:rPr>
        <w:t xml:space="preserve"> pour les murs existants</w:t>
      </w:r>
    </w:p>
    <w:p w14:paraId="5C4D041D" w14:textId="77777777" w:rsidR="00DB2B68" w:rsidRDefault="00000000">
      <w:r>
        <w:rPr>
          <w:b/>
        </w:rPr>
        <w:t>(soit)</w:t>
      </w:r>
    </w:p>
    <w:p w14:paraId="11A3B669" w14:textId="77777777" w:rsidR="00DB2B68" w:rsidRDefault="00000000">
      <w:r>
        <w:rPr>
          <w:rStyle w:val="soitChar"/>
        </w:rPr>
        <w:t xml:space="preserve">2. </w:t>
      </w:r>
      <w:r>
        <w:rPr>
          <w:rStyle w:val="soitChar"/>
          <w:u w:val="single"/>
        </w:rPr>
        <w:t>QF</w:t>
      </w:r>
    </w:p>
    <w:p w14:paraId="5099A6DF" w14:textId="77777777" w:rsidR="00DB2B68" w:rsidRDefault="00000000">
      <w:pPr>
        <w:pStyle w:val="Author-eSectionHeading5Numberless"/>
      </w:pPr>
      <w:bookmarkStart w:id="1869" w:name="_Toc220496821"/>
      <w:r>
        <w:t>26.12.2 Badigeonnage CCTB 01.02</w:t>
      </w:r>
      <w:bookmarkEnd w:id="1869"/>
    </w:p>
    <w:p w14:paraId="31A392DA" w14:textId="77777777" w:rsidR="00DB2B68" w:rsidRDefault="00000000">
      <w:pPr>
        <w:pStyle w:val="Author-eSectionHeading6Numberless"/>
      </w:pPr>
      <w:bookmarkStart w:id="1870" w:name="_Toc220496822"/>
      <w:r>
        <w:t>26.12.2a Etanchéité - badigeonnage CCTB 01.13</w:t>
      </w:r>
      <w:bookmarkEnd w:id="1870"/>
    </w:p>
    <w:p w14:paraId="6B4586DD" w14:textId="77777777" w:rsidR="00DB2B68" w:rsidRDefault="00000000">
      <w:pPr>
        <w:pStyle w:val="pheading"/>
      </w:pPr>
      <w:r>
        <w:t>DESCRIPTION</w:t>
      </w:r>
    </w:p>
    <w:p w14:paraId="6553CC09" w14:textId="77777777" w:rsidR="00DB2B68" w:rsidRDefault="00000000">
      <w:pPr>
        <w:pStyle w:val="pheading"/>
      </w:pPr>
      <w:r>
        <w:t>- Localisation</w:t>
      </w:r>
    </w:p>
    <w:p w14:paraId="5AC769EE" w14:textId="77777777" w:rsidR="00DB2B68" w:rsidRDefault="00000000">
      <w:r>
        <w:t>Murs extérieurs enterrés en contact avec les terres</w:t>
      </w:r>
    </w:p>
    <w:p w14:paraId="2F37C88C" w14:textId="77777777" w:rsidR="00DB2B68" w:rsidRDefault="00000000">
      <w:pPr>
        <w:pStyle w:val="pheading"/>
      </w:pPr>
      <w:r>
        <w:t>EXÉCUTION / MISE EN ŒUVRE</w:t>
      </w:r>
    </w:p>
    <w:p w14:paraId="0A156AB8" w14:textId="77777777" w:rsidR="00DB2B68" w:rsidRDefault="00000000">
      <w:pPr>
        <w:pStyle w:val="pheading"/>
      </w:pPr>
      <w:r>
        <w:t>- Prescriptions générales</w:t>
      </w:r>
    </w:p>
    <w:p w14:paraId="72ABCFBC" w14:textId="77777777" w:rsidR="00DB2B68" w:rsidRDefault="00000000">
      <w:r>
        <w:t>Après durcissement, le cimentage est protégé soit à l'aide de 2 couches de goudron, soit à l'aide de deux couches de vernis activé au bitume à raison de 200 à 400 g/m2 par couche.</w:t>
      </w:r>
    </w:p>
    <w:p w14:paraId="444D56A8" w14:textId="77777777" w:rsidR="00DB2B68" w:rsidRDefault="00000000">
      <w:pPr>
        <w:pStyle w:val="pheading"/>
      </w:pPr>
      <w:r>
        <w:t>MESURAGE</w:t>
      </w:r>
    </w:p>
    <w:p w14:paraId="66025281" w14:textId="77777777" w:rsidR="00DB2B68" w:rsidRDefault="00000000">
      <w:pPr>
        <w:pStyle w:val="pheading"/>
      </w:pPr>
      <w:r>
        <w:t>- unité de mesure:</w:t>
      </w:r>
    </w:p>
    <w:p w14:paraId="02241926" w14:textId="77777777" w:rsidR="00DB2B68" w:rsidRDefault="00000000">
      <w:r>
        <w:t>m²</w:t>
      </w:r>
    </w:p>
    <w:p w14:paraId="3DE58B11" w14:textId="77777777" w:rsidR="00DB2B68" w:rsidRDefault="00000000">
      <w:pPr>
        <w:pStyle w:val="pheading"/>
      </w:pPr>
      <w:r>
        <w:t>- code de mesurage:</w:t>
      </w:r>
    </w:p>
    <w:p w14:paraId="2A14D0DD" w14:textId="77777777" w:rsidR="00DB2B68" w:rsidRDefault="00000000">
      <w:r>
        <w:t>Surface nette du mur à traiter,</w:t>
      </w:r>
    </w:p>
    <w:p w14:paraId="7B9D75EA" w14:textId="77777777" w:rsidR="00DB2B68" w:rsidRDefault="00000000">
      <w:pPr>
        <w:pStyle w:val="pheading"/>
      </w:pPr>
      <w:r>
        <w:t>- nature du marché:</w:t>
      </w:r>
    </w:p>
    <w:p w14:paraId="62C184B9" w14:textId="77777777" w:rsidR="00DB2B68" w:rsidRDefault="00000000">
      <w:r>
        <w:t xml:space="preserve">Choix opéré : </w:t>
      </w:r>
      <w:r>
        <w:rPr>
          <w:rStyle w:val="optioncarChar"/>
        </w:rPr>
        <w:t>QP / QF</w:t>
      </w:r>
    </w:p>
    <w:p w14:paraId="350D8AA5" w14:textId="77777777" w:rsidR="00DB2B68" w:rsidRDefault="00000000">
      <w:r>
        <w:rPr>
          <w:b/>
        </w:rPr>
        <w:t>(soit par défaut)</w:t>
      </w:r>
    </w:p>
    <w:p w14:paraId="638CA2D2" w14:textId="77777777" w:rsidR="00DB2B68" w:rsidRDefault="00000000">
      <w:r>
        <w:rPr>
          <w:rStyle w:val="soitChar"/>
        </w:rPr>
        <w:t xml:space="preserve">1. </w:t>
      </w:r>
      <w:r>
        <w:rPr>
          <w:rStyle w:val="soitChar"/>
          <w:u w:val="single"/>
        </w:rPr>
        <w:t>QP</w:t>
      </w:r>
      <w:r>
        <w:rPr>
          <w:rStyle w:val="soitChar"/>
        </w:rPr>
        <w:t xml:space="preserve"> pour les murs existants</w:t>
      </w:r>
    </w:p>
    <w:p w14:paraId="254F4C0D" w14:textId="77777777" w:rsidR="00DB2B68" w:rsidRDefault="00000000">
      <w:r>
        <w:rPr>
          <w:b/>
        </w:rPr>
        <w:t>(soit)</w:t>
      </w:r>
    </w:p>
    <w:p w14:paraId="6E254891" w14:textId="77777777" w:rsidR="00DB2B68" w:rsidRDefault="00000000">
      <w:r>
        <w:rPr>
          <w:rStyle w:val="soitChar"/>
        </w:rPr>
        <w:t xml:space="preserve">2. </w:t>
      </w:r>
      <w:r>
        <w:rPr>
          <w:rStyle w:val="soitChar"/>
          <w:u w:val="single"/>
        </w:rPr>
        <w:t>QF</w:t>
      </w:r>
    </w:p>
    <w:p w14:paraId="275DC535" w14:textId="77777777" w:rsidR="00DB2B68" w:rsidRDefault="00000000">
      <w:pPr>
        <w:pStyle w:val="Author-eSectionHeading5Numberless"/>
      </w:pPr>
      <w:bookmarkStart w:id="1871" w:name="_Toc220496823"/>
      <w:r>
        <w:t>26.12.3 Cuvelages extérieurs CCTB 01.11</w:t>
      </w:r>
      <w:bookmarkEnd w:id="1871"/>
    </w:p>
    <w:p w14:paraId="536356B2" w14:textId="77777777" w:rsidR="00DB2B68" w:rsidRDefault="00000000">
      <w:pPr>
        <w:pStyle w:val="pheading"/>
      </w:pPr>
      <w:r>
        <w:t>DESCRIPTION</w:t>
      </w:r>
    </w:p>
    <w:p w14:paraId="2501DFB4" w14:textId="77777777" w:rsidR="00DB2B68" w:rsidRDefault="00000000">
      <w:pPr>
        <w:pStyle w:val="pheading"/>
      </w:pPr>
      <w:r>
        <w:t>- Définition / Comprend</w:t>
      </w:r>
    </w:p>
    <w:p w14:paraId="53EFCB97" w14:textId="77777777" w:rsidR="00DB2B68" w:rsidRDefault="00000000">
      <w:r>
        <w:t xml:space="preserve">L'objectif du cuvelage est de rendre les constructions enterrées, situées à un emplacement où il faut tenir compte d'une pression des eaux de surface ou d'un niveau trop élevé de la nappe phréatique, complètement rendues étanches par l’application d’un matériau extérieur. Compte tenu des cotes de niveau des constructions enterrées et du niveau supérieur des eaux souterraines, l'entrepreneur applique un système qui offre toutes les garanties d'une étanchéité parfaite. Les travaux comprennent la préparation du support, l'application du produit et la protection de ce dernier. </w:t>
      </w:r>
    </w:p>
    <w:p w14:paraId="31623979" w14:textId="77777777" w:rsidR="00DB2B68" w:rsidRDefault="00000000">
      <w:pPr>
        <w:ind w:left="750"/>
      </w:pPr>
      <w:r>
        <w:t> </w:t>
      </w:r>
    </w:p>
    <w:p w14:paraId="204393BA" w14:textId="77777777" w:rsidR="00DB2B68" w:rsidRDefault="00000000">
      <w:pPr>
        <w:pStyle w:val="pheading"/>
      </w:pPr>
      <w:r>
        <w:t>AIDE</w:t>
      </w:r>
    </w:p>
    <w:p w14:paraId="5B8705F5" w14:textId="77777777" w:rsidR="00DB2B68" w:rsidRDefault="00000000">
      <w:r>
        <w:t>Un programme d'essai réalisé par Buildwise a démontré que les meilleures garanties en matière d'étanchéité à l'eau ne peuvent être atteintes que lorsqu'on combine au cuvelage un système efficace de drainage qui évacue les eaux vers les égouts.</w:t>
      </w:r>
    </w:p>
    <w:p w14:paraId="65FC7B77" w14:textId="77777777" w:rsidR="00DB2B68" w:rsidRDefault="00000000">
      <w:pPr>
        <w:ind w:left="750"/>
      </w:pPr>
      <w:r>
        <w:t> </w:t>
      </w:r>
    </w:p>
    <w:p w14:paraId="221980EA" w14:textId="77777777" w:rsidR="00DB2B68" w:rsidRDefault="00000000">
      <w:pPr>
        <w:pStyle w:val="Author-eSectionHeading6Numberless"/>
      </w:pPr>
      <w:bookmarkStart w:id="1872" w:name="_Toc220496824"/>
      <w:r>
        <w:t>26.12.3a Cuvelage / ciment modifié CCTB 01.11</w:t>
      </w:r>
      <w:bookmarkEnd w:id="1872"/>
    </w:p>
    <w:p w14:paraId="47734E13" w14:textId="77777777" w:rsidR="00DB2B68" w:rsidRDefault="00000000">
      <w:pPr>
        <w:pStyle w:val="pheading"/>
      </w:pPr>
      <w:bookmarkStart w:id="1873" w:name="297"/>
      <w:bookmarkEnd w:id="1873"/>
      <w:r>
        <w:lastRenderedPageBreak/>
        <w:t>DESCRIPTION</w:t>
      </w:r>
    </w:p>
    <w:p w14:paraId="2D870A2B" w14:textId="77777777" w:rsidR="00DB2B68" w:rsidRDefault="00000000">
      <w:pPr>
        <w:pStyle w:val="pheading"/>
      </w:pPr>
      <w:r>
        <w:t>- Définition / Comprend</w:t>
      </w:r>
    </w:p>
    <w:p w14:paraId="309DD03D" w14:textId="77777777" w:rsidR="00DB2B68" w:rsidRDefault="00000000">
      <w:r>
        <w:t>L'entrepreneur applique un système de cimentage qui offre toutes les garanties d'une étanchéité parfaite. Les travaux comprennent la préparation du support, l'exécution du cimentage et la protection de ce dernier.</w:t>
      </w:r>
    </w:p>
    <w:p w14:paraId="314A8BFA" w14:textId="77777777" w:rsidR="00DB2B68" w:rsidRDefault="00000000">
      <w:pPr>
        <w:pStyle w:val="pheading"/>
      </w:pPr>
      <w:r>
        <w:t>MATÉRIAUX</w:t>
      </w:r>
    </w:p>
    <w:p w14:paraId="13E8CB2B" w14:textId="77777777" w:rsidR="00DB2B68" w:rsidRDefault="00000000">
      <w:pPr>
        <w:pStyle w:val="pheading"/>
      </w:pPr>
      <w:r>
        <w:t>- Caractéristiques générales</w:t>
      </w:r>
    </w:p>
    <w:p w14:paraId="64C6DFD3" w14:textId="77777777" w:rsidR="00DB2B68" w:rsidRDefault="00000000">
      <w:r>
        <w:t>Le mortier destiné à effectuer le cimentage étanche est préparé à l'aide de 400 kg de ciment CEM II/B-M 32,5 par m</w:t>
      </w:r>
      <w:r>
        <w:rPr>
          <w:vertAlign w:val="superscript"/>
        </w:rPr>
        <w:t>3</w:t>
      </w:r>
      <w:r>
        <w:t xml:space="preserve"> de sable sec (un volume de ciment pour trois volumes de sable). Le module de finesse du sable varie entre 3,40 et 1,70 selon [NBN EN 13242+A1]. Un </w:t>
      </w:r>
      <w:r>
        <w:rPr>
          <w:u w:val="single"/>
        </w:rPr>
        <w:t>produit hydrofuge</w:t>
      </w:r>
      <w:r>
        <w:t>, qui ne nuit pas aux caractéristiques de résistance du mortier de cimentage et qui est exempt de matières organiques et d'huiles, est ajouté à l'eau de gâchage. Ce produit est préalablement soumis pour approbation à l'auteur de projet.</w:t>
      </w:r>
    </w:p>
    <w:p w14:paraId="3C858C20" w14:textId="77777777" w:rsidR="00DB2B68" w:rsidRDefault="00000000">
      <w:pPr>
        <w:pStyle w:val="pheading"/>
      </w:pPr>
      <w:r>
        <w:t>EXÉCUTION / MISE EN ŒUVRE</w:t>
      </w:r>
    </w:p>
    <w:p w14:paraId="6A5D85BC" w14:textId="77777777" w:rsidR="00DB2B68" w:rsidRDefault="00000000">
      <w:pPr>
        <w:pStyle w:val="pheading"/>
      </w:pPr>
      <w:r>
        <w:t>- Prescriptions générales</w:t>
      </w:r>
    </w:p>
    <w:p w14:paraId="20E05C88" w14:textId="77777777" w:rsidR="00DB2B68" w:rsidRDefault="00000000">
      <w:r>
        <w:t>Le cimentage est réalisé après la finition du gros-œuvre et avant d'effectuer les remblais autour des murs enterrés. Le cimentage ne peut pas être appliqué par temps d'averses, lorsque les températures sont inférieures à zéro ou lorsque l'on peut s'attendre à des gelées nocturnes. On veille également à ce que la fouille reste sèche jusqu'à durcissement complet du cimentage. La fouille de fondation est maintenue en bon état pendant toute la durée des travaux de cimentage et jusqu'à ce que celui-ci ait complètement durci.</w:t>
      </w:r>
    </w:p>
    <w:p w14:paraId="5A4AA213" w14:textId="77777777" w:rsidR="00DB2B68" w:rsidRDefault="00000000">
      <w:r>
        <w:t>Avant de commencer l'application du cimentage, le support est débarrassé de toutes impuretés et irrégularités. Il ne peut subsister aucune trace de graisse, d’huile, de produit de décoffrage, de sable ou de mortier. Préalablement à l'application du cimentage, les fissures sont rebouchées à l'aide d'un mortier de jointoiement approprié. L'entrepreneur contrôle la compatibilité du support avec le cimentage prévu et prend toutes les mesures nécessaires. Les supports lisses sont smillés sur toute leur surface. Ensuite, une couche d'adhérence constituée de mortier ciment riche est appliquée à la brosse.</w:t>
      </w:r>
    </w:p>
    <w:p w14:paraId="7C38967B" w14:textId="77777777" w:rsidR="00DB2B68" w:rsidRDefault="00000000">
      <w:r>
        <w:t xml:space="preserve">Le cimentage proprement dit est appliqué en plusieurs couches, une couche d'adhérence et au moins </w:t>
      </w:r>
      <w:r>
        <w:rPr>
          <w:rStyle w:val="optioncarChar"/>
        </w:rPr>
        <w:t>deux / trois</w:t>
      </w:r>
      <w:r>
        <w:t xml:space="preserve"> couches de mortier projeté. Aucune couche n'a une épaisseur supérieure à 1,5 cm. Avant d'appliquer une couche, la couche précédente doit avoir suffisamment durci, elle est propre et préalablement humidifiée. Il est souhaitable de laisser s'écouler au moins 12 heures entre deux applications. Chaque couche est réalisée en continu. Lorsque les raccords sont inévitables, les différentes couches sont toujours étagées de façon à se superposer d'au moins 20 à 30 cm. Les surfaces verticales sont égalisées, lissées et sont parfaitement d'aplomb. En partie supérieure, les couches d'étanchéités sont terminées de niveau et travaillées en léger biseau. Le cimentage est poursuivi dans les ébrasements des ouvertures. Tous les angles sont arrondis : le rayon de courbure n'est pas inférieur à 4 cm. Cet arrondi peut être exécuté au moment de l'application de la première couche de cimentage.</w:t>
      </w:r>
    </w:p>
    <w:p w14:paraId="21F1D5E3" w14:textId="77777777" w:rsidR="00DB2B68" w:rsidRDefault="00000000">
      <w:r>
        <w:t xml:space="preserve">Les couches d’étanchéité, y compris la couche d’adhérence, ont une épaisseur totale d'au moins </w:t>
      </w:r>
      <w:r>
        <w:rPr>
          <w:rStyle w:val="optioncarChar"/>
        </w:rPr>
        <w:t xml:space="preserve">2 </w:t>
      </w:r>
      <w:r>
        <w:t>(par défaut) </w:t>
      </w:r>
      <w:r>
        <w:rPr>
          <w:rStyle w:val="optioncarChar"/>
        </w:rPr>
        <w:t>/ ***</w:t>
      </w:r>
      <w:r>
        <w:t xml:space="preserve"> cm et sont appliquées sur les parois </w:t>
      </w:r>
      <w:r>
        <w:rPr>
          <w:rStyle w:val="optioncarChar"/>
        </w:rPr>
        <w:t>intérieures / extérieures*</w:t>
      </w:r>
      <w:r>
        <w:t>.</w:t>
      </w:r>
    </w:p>
    <w:p w14:paraId="55A719D7" w14:textId="77777777" w:rsidR="00DB2B68" w:rsidRDefault="00000000">
      <w:r>
        <w:t>Attention (*) :</w:t>
      </w:r>
    </w:p>
    <w:p w14:paraId="069725AD" w14:textId="77777777" w:rsidR="00DB2B68" w:rsidRDefault="00000000">
      <w:r>
        <w:t>Dans le cas d'un cuvelage intérieur, le cimentage est appliqué avant le maçonnage des murs non porteurs.</w:t>
      </w:r>
    </w:p>
    <w:p w14:paraId="6F8D05C8" w14:textId="77777777" w:rsidR="00DB2B68" w:rsidRDefault="00000000">
      <w:r>
        <w:t xml:space="preserve">Au droit des traversées de quelque nature que ce soit : </w:t>
      </w:r>
      <w:r>
        <w:rPr>
          <w:rStyle w:val="optioncarChar"/>
        </w:rPr>
        <w:t>un joint souple / un profil de passage étanche</w:t>
      </w:r>
    </w:p>
    <w:p w14:paraId="1023C2BE" w14:textId="77777777" w:rsidR="00DB2B68" w:rsidRDefault="00000000">
      <w:pPr>
        <w:pStyle w:val="Author-eListParagraph"/>
        <w:numPr>
          <w:ilvl w:val="0"/>
          <w:numId w:val="1097"/>
        </w:numPr>
      </w:pPr>
      <w:r>
        <w:rPr>
          <w:b/>
        </w:rPr>
        <w:t xml:space="preserve">(soit) </w:t>
      </w:r>
    </w:p>
    <w:p w14:paraId="46F2BAE1" w14:textId="77777777" w:rsidR="00DB2B68" w:rsidRDefault="00000000">
      <w:r>
        <w:rPr>
          <w:rStyle w:val="soitChar"/>
        </w:rPr>
        <w:t>1. </w:t>
      </w:r>
      <w:r>
        <w:rPr>
          <w:rStyle w:val="soitChar"/>
          <w:u w:val="single"/>
        </w:rPr>
        <w:t>Un joint souple</w:t>
      </w:r>
      <w:r>
        <w:rPr>
          <w:rStyle w:val="soitChar"/>
        </w:rPr>
        <w:t xml:space="preserve"> est réalisé de façon à ce que la couche d'étanchéité se resserre parfaitement autour de l'élément qui la traverse.</w:t>
      </w:r>
    </w:p>
    <w:p w14:paraId="68F82AFE" w14:textId="77777777" w:rsidR="00DB2B68" w:rsidRDefault="00000000">
      <w:pPr>
        <w:pStyle w:val="Author-eListParagraph"/>
        <w:numPr>
          <w:ilvl w:val="0"/>
          <w:numId w:val="1098"/>
        </w:numPr>
      </w:pPr>
      <w:r>
        <w:rPr>
          <w:rStyle w:val="soitChar"/>
          <w:b/>
        </w:rPr>
        <w:lastRenderedPageBreak/>
        <w:t xml:space="preserve">(soit) </w:t>
      </w:r>
    </w:p>
    <w:p w14:paraId="139649A3" w14:textId="77777777" w:rsidR="00DB2B68" w:rsidRDefault="00000000">
      <w:r>
        <w:rPr>
          <w:rStyle w:val="soitChar"/>
        </w:rPr>
        <w:t xml:space="preserve">2. </w:t>
      </w:r>
      <w:r>
        <w:rPr>
          <w:rStyle w:val="soitChar"/>
          <w:u w:val="single"/>
        </w:rPr>
        <w:t>Un profil de passage étanche</w:t>
      </w:r>
      <w:r>
        <w:rPr>
          <w:rStyle w:val="soitChar"/>
        </w:rPr>
        <w:t xml:space="preserve"> de dimension appropriée est utilisé</w:t>
      </w:r>
    </w:p>
    <w:p w14:paraId="0793B342" w14:textId="77777777" w:rsidR="00DB2B68" w:rsidRDefault="00000000">
      <w:r>
        <w:t>Lorsque les surfaces sont exposées à un ensoleillement important ou à des vents secs, le mortier fraîchement appliqué est protégé contre la dessiccation. S'il y a risque d'endommagement au cours des travaux d'exécution, toutes les mesures de protection sont prises jusqu'à ce que la fouille soit remblayée.</w:t>
      </w:r>
    </w:p>
    <w:p w14:paraId="48509191" w14:textId="77777777" w:rsidR="00DB2B68" w:rsidRDefault="00000000">
      <w:pPr>
        <w:pStyle w:val="pheading"/>
      </w:pPr>
      <w:r>
        <w:t>CONTRÔLES PARTICULIERS</w:t>
      </w:r>
    </w:p>
    <w:p w14:paraId="55ED300E" w14:textId="77777777" w:rsidR="00DB2B68" w:rsidRDefault="00000000">
      <w:r>
        <w:t>Avant de procéder au remblayage des fouilles, l'entrepreneur invite l'auteur de projet à contrôler les travaux exécutés. L'entrepreneur accorde une garantie de 10 ans sur la parfaite étanchéité des constructions enterrées. Il s'engage à effectuer à ses frais toutes les éventuelles réparations qui s'avèrent nécessaires faisant suite aux défaillances de l'étanchéité au cours de cette période de garantie (entre en vigueur à la date de la réception définitive).</w:t>
      </w:r>
    </w:p>
    <w:p w14:paraId="075974C3" w14:textId="77777777" w:rsidR="00DB2B68" w:rsidRDefault="00000000">
      <w:pPr>
        <w:pStyle w:val="pheading"/>
      </w:pPr>
      <w:r>
        <w:t>MESURAGE</w:t>
      </w:r>
    </w:p>
    <w:p w14:paraId="0DE110FE" w14:textId="77777777" w:rsidR="00DB2B68" w:rsidRDefault="00000000">
      <w:pPr>
        <w:pStyle w:val="pheading"/>
      </w:pPr>
      <w:r>
        <w:t>- unité de mesure:</w:t>
      </w:r>
    </w:p>
    <w:p w14:paraId="0E55A3F0" w14:textId="77777777" w:rsidR="00DB2B68" w:rsidRDefault="00000000">
      <w:r>
        <w:t>m²</w:t>
      </w:r>
    </w:p>
    <w:p w14:paraId="067EE27E" w14:textId="77777777" w:rsidR="00DB2B68" w:rsidRDefault="00000000">
      <w:pPr>
        <w:pStyle w:val="pheading"/>
      </w:pPr>
      <w:r>
        <w:t>- code de mesurage:</w:t>
      </w:r>
    </w:p>
    <w:p w14:paraId="4CC3A702" w14:textId="77777777" w:rsidR="00DB2B68" w:rsidRDefault="00000000">
      <w:r>
        <w:t>surface nette du mur à traiter</w:t>
      </w:r>
    </w:p>
    <w:p w14:paraId="08EACA27" w14:textId="77777777" w:rsidR="00DB2B68" w:rsidRDefault="00000000">
      <w:pPr>
        <w:pStyle w:val="pheading"/>
      </w:pPr>
      <w:r>
        <w:t>- nature du marché:</w:t>
      </w:r>
    </w:p>
    <w:p w14:paraId="3259E627" w14:textId="77777777" w:rsidR="00DB2B68" w:rsidRDefault="00000000">
      <w:r>
        <w:t>QF</w:t>
      </w:r>
    </w:p>
    <w:p w14:paraId="3DDF318C" w14:textId="77777777" w:rsidR="00DB2B68" w:rsidRDefault="00000000">
      <w:pPr>
        <w:pStyle w:val="Author-eSectionHeading6Numberless"/>
      </w:pPr>
      <w:bookmarkStart w:id="1874" w:name="_Toc220496825"/>
      <w:r>
        <w:t>26.12.3b Cuvelage / émulsion bitumineuse CCTB 01.02</w:t>
      </w:r>
      <w:bookmarkEnd w:id="1874"/>
    </w:p>
    <w:p w14:paraId="367C975C" w14:textId="77777777" w:rsidR="00DB2B68" w:rsidRDefault="00000000">
      <w:pPr>
        <w:pStyle w:val="Author-eSectionHeading5Numberless"/>
      </w:pPr>
      <w:bookmarkStart w:id="1875" w:name="_Toc220496826"/>
      <w:r>
        <w:t>26.12.4 Cuvelages intérieurs CCTB 01.02</w:t>
      </w:r>
      <w:bookmarkEnd w:id="1875"/>
    </w:p>
    <w:p w14:paraId="64C7738B" w14:textId="77777777" w:rsidR="00DB2B68" w:rsidRDefault="00000000">
      <w:pPr>
        <w:pStyle w:val="Author-eSectionHeading6Numberless"/>
      </w:pPr>
      <w:bookmarkStart w:id="1876" w:name="_Toc220496827"/>
      <w:r>
        <w:t>26.12.4a Cuvelages intérieurs CCTB 01.11</w:t>
      </w:r>
      <w:bookmarkEnd w:id="1876"/>
    </w:p>
    <w:p w14:paraId="52A89481" w14:textId="77777777" w:rsidR="00DB2B68" w:rsidRDefault="00000000">
      <w:pPr>
        <w:pStyle w:val="pheading"/>
      </w:pPr>
      <w:r>
        <w:t>DESCRIPTION</w:t>
      </w:r>
    </w:p>
    <w:p w14:paraId="2856001E" w14:textId="77777777" w:rsidR="00DB2B68" w:rsidRDefault="00000000">
      <w:pPr>
        <w:pStyle w:val="pheading"/>
      </w:pPr>
      <w:r>
        <w:t>- Définition / Comprend</w:t>
      </w:r>
    </w:p>
    <w:p w14:paraId="064F3DEB" w14:textId="77777777" w:rsidR="00DB2B68" w:rsidRDefault="00000000">
      <w:pPr>
        <w:jc w:val="both"/>
      </w:pPr>
      <w:r>
        <w:t>Il s'agit de la fourniture et la pose de produits de cuvelages intérieurs qui peuvent être appliqués sur les matériaux de construction minéraux usuels comme le béton, mortier, ciment, briques, blocs treillis, béton cellulaire, etc., mêmes humides (mais non ruisselant).</w:t>
      </w:r>
    </w:p>
    <w:p w14:paraId="29070AA2" w14:textId="77777777" w:rsidR="00DB2B68" w:rsidRDefault="00000000">
      <w:pPr>
        <w:jc w:val="both"/>
      </w:pPr>
      <w:r>
        <w:t>Le travail comprend notamment :</w:t>
      </w:r>
    </w:p>
    <w:p w14:paraId="0E2FAD6A" w14:textId="77777777" w:rsidR="00DB2B68" w:rsidRDefault="00000000">
      <w:pPr>
        <w:pStyle w:val="Author-eListParagraph"/>
        <w:numPr>
          <w:ilvl w:val="0"/>
          <w:numId w:val="1099"/>
        </w:numPr>
      </w:pPr>
      <w:r>
        <w:t>les mesures de protection provisoires des zones non soumises au traitement ;</w:t>
      </w:r>
    </w:p>
    <w:p w14:paraId="561C76B3" w14:textId="77777777" w:rsidR="00DB2B68" w:rsidRDefault="00000000">
      <w:pPr>
        <w:pStyle w:val="Author-eListParagraph"/>
        <w:numPr>
          <w:ilvl w:val="0"/>
          <w:numId w:val="1099"/>
        </w:numPr>
      </w:pPr>
      <w:r>
        <w:t>le contrôle et la préparation des supports avec rebouchage des fissures et autres trous si nécessaire ;</w:t>
      </w:r>
    </w:p>
    <w:p w14:paraId="1D029DE7" w14:textId="77777777" w:rsidR="00DB2B68" w:rsidRDefault="00000000">
      <w:pPr>
        <w:pStyle w:val="Author-eListParagraph"/>
        <w:numPr>
          <w:ilvl w:val="0"/>
          <w:numId w:val="1099"/>
        </w:numPr>
      </w:pPr>
      <w:r>
        <w:t>la préparation et la mise en œuvre des produits de cuvelage ;</w:t>
      </w:r>
    </w:p>
    <w:p w14:paraId="0870577A" w14:textId="77777777" w:rsidR="00DB2B68" w:rsidRDefault="00000000">
      <w:pPr>
        <w:pStyle w:val="Author-eListParagraph"/>
        <w:numPr>
          <w:ilvl w:val="0"/>
          <w:numId w:val="1099"/>
        </w:numPr>
      </w:pPr>
      <w:r>
        <w:t>l’enlèvement des protections provisoires après séchage des produits.</w:t>
      </w:r>
    </w:p>
    <w:p w14:paraId="58D88B68" w14:textId="77777777" w:rsidR="00DB2B68" w:rsidRDefault="00000000">
      <w:pPr>
        <w:jc w:val="both"/>
      </w:pPr>
      <w:r>
        <w:t>A noter toutefois qu’il est considéré une préparation « normale » des supports. Les travaux de décapage complet de parois pour enlever par exemple des couches de peinture, un ancien enduit non adhérent, etc. ne sont pas compris dans le présent travail. Ces travaux sont décrits et comptabilisés aux 06.74.1 Décapages d'enduits intérieurs et 06.75.1 Décapages de peintures et traitements intérieurs et articles qui en découlent.</w:t>
      </w:r>
    </w:p>
    <w:p w14:paraId="0668F571" w14:textId="77777777" w:rsidR="00DB2B68" w:rsidRDefault="00000000">
      <w:pPr>
        <w:pStyle w:val="pheading"/>
      </w:pPr>
      <w:r>
        <w:t>MATÉRIAUX</w:t>
      </w:r>
    </w:p>
    <w:p w14:paraId="039CAFAB" w14:textId="77777777" w:rsidR="00DB2B68" w:rsidRDefault="00000000">
      <w:pPr>
        <w:pStyle w:val="pheading"/>
      </w:pPr>
      <w:r>
        <w:t>- Caractéristiques générales</w:t>
      </w:r>
    </w:p>
    <w:p w14:paraId="2D0BEEC4" w14:textId="77777777" w:rsidR="00DB2B68" w:rsidRDefault="00000000">
      <w:r>
        <w:t xml:space="preserve">Type de produit : </w:t>
      </w:r>
      <w:r>
        <w:rPr>
          <w:rStyle w:val="optioncarChar"/>
        </w:rPr>
        <w:t>badigeon</w:t>
      </w:r>
      <w:r>
        <w:t xml:space="preserve"> (par défaut)</w:t>
      </w:r>
      <w:r>
        <w:rPr>
          <w:rStyle w:val="optioncarChar"/>
        </w:rPr>
        <w:t xml:space="preserve"> / cimentage fin (≤ 5 mm) / cimentage épais (≥ 10 mm)</w:t>
      </w:r>
    </w:p>
    <w:p w14:paraId="3DD39F28" w14:textId="77777777" w:rsidR="00DB2B68" w:rsidRDefault="00000000">
      <w:r>
        <w:rPr>
          <w:b/>
        </w:rPr>
        <w:t>(soit par défaut)</w:t>
      </w:r>
      <w:r>
        <w:br/>
      </w:r>
      <w:r>
        <w:rPr>
          <w:rStyle w:val="soitChar"/>
          <w:u w:val="single"/>
        </w:rPr>
        <w:t>Badigeon :</w:t>
      </w:r>
    </w:p>
    <w:p w14:paraId="7A8DA615" w14:textId="77777777" w:rsidR="00DB2B68" w:rsidRDefault="00000000">
      <w:pPr>
        <w:pStyle w:val="Author-eListParagraph"/>
        <w:numPr>
          <w:ilvl w:val="0"/>
          <w:numId w:val="1100"/>
        </w:numPr>
      </w:pPr>
      <w:r>
        <w:rPr>
          <w:rStyle w:val="soitChar"/>
        </w:rPr>
        <w:lastRenderedPageBreak/>
        <w:t>Revêtement à base de résines synthétiques et de composants à liant hydraulique de type ciment</w:t>
      </w:r>
    </w:p>
    <w:p w14:paraId="27296AB1" w14:textId="77777777" w:rsidR="00DB2B68" w:rsidRDefault="00000000">
      <w:pPr>
        <w:pStyle w:val="Author-eListParagraph"/>
        <w:numPr>
          <w:ilvl w:val="0"/>
          <w:numId w:val="1100"/>
        </w:numPr>
      </w:pPr>
      <w:r>
        <w:rPr>
          <w:rStyle w:val="soitChar"/>
        </w:rPr>
        <w:t>Imperméable à l’eau après séchage</w:t>
      </w:r>
    </w:p>
    <w:p w14:paraId="7AEED3E6" w14:textId="77777777" w:rsidR="00DB2B68" w:rsidRDefault="00000000">
      <w:pPr>
        <w:pStyle w:val="Author-eListParagraph"/>
        <w:numPr>
          <w:ilvl w:val="0"/>
          <w:numId w:val="1100"/>
        </w:numPr>
      </w:pPr>
      <w:r>
        <w:rPr>
          <w:rStyle w:val="soitChar"/>
        </w:rPr>
        <w:t>Couleur :</w:t>
      </w:r>
      <w:r>
        <w:rPr>
          <w:rStyle w:val="optioncarChar"/>
        </w:rPr>
        <w:t xml:space="preserve"> blanc / noir</w:t>
      </w:r>
    </w:p>
    <w:p w14:paraId="37442953" w14:textId="77777777" w:rsidR="00DB2B68" w:rsidRDefault="00000000">
      <w:r>
        <w:rPr>
          <w:b/>
        </w:rPr>
        <w:t>(soit)</w:t>
      </w:r>
      <w:r>
        <w:br/>
      </w:r>
      <w:r>
        <w:rPr>
          <w:rStyle w:val="soitChar"/>
          <w:u w:val="single"/>
        </w:rPr>
        <w:t>Cimentage fin (≤ 5 mm) :</w:t>
      </w:r>
    </w:p>
    <w:p w14:paraId="4CF217EA" w14:textId="77777777" w:rsidR="00DB2B68" w:rsidRDefault="00000000">
      <w:pPr>
        <w:pStyle w:val="Author-eListParagraph"/>
        <w:numPr>
          <w:ilvl w:val="0"/>
          <w:numId w:val="1101"/>
        </w:numPr>
      </w:pPr>
      <w:r>
        <w:rPr>
          <w:rStyle w:val="soitChar"/>
        </w:rPr>
        <w:t>Mortier à base de ciment modifié avec des polymères, d'adjuvants de charges fines et d'additifs</w:t>
      </w:r>
    </w:p>
    <w:p w14:paraId="7E8C3FC6" w14:textId="77777777" w:rsidR="00DB2B68" w:rsidRDefault="00000000">
      <w:pPr>
        <w:pStyle w:val="Author-eListParagraph"/>
        <w:numPr>
          <w:ilvl w:val="0"/>
          <w:numId w:val="1101"/>
        </w:numPr>
      </w:pPr>
      <w:r>
        <w:rPr>
          <w:rStyle w:val="soitChar"/>
        </w:rPr>
        <w:t>Granulométrie D ≤ 1 mm</w:t>
      </w:r>
    </w:p>
    <w:p w14:paraId="657791FA" w14:textId="77777777" w:rsidR="00DB2B68" w:rsidRDefault="00000000">
      <w:pPr>
        <w:pStyle w:val="Author-eListParagraph"/>
        <w:numPr>
          <w:ilvl w:val="0"/>
          <w:numId w:val="1101"/>
        </w:numPr>
      </w:pPr>
      <w:r>
        <w:rPr>
          <w:rStyle w:val="soitChar"/>
        </w:rPr>
        <w:t>Adhérence, suivant la [NBN EN 1542] ≥ 0,8 N/mm²</w:t>
      </w:r>
    </w:p>
    <w:p w14:paraId="3728182F" w14:textId="77777777" w:rsidR="00DB2B68" w:rsidRDefault="00000000">
      <w:pPr>
        <w:pStyle w:val="Author-eListParagraph"/>
        <w:numPr>
          <w:ilvl w:val="0"/>
          <w:numId w:val="1101"/>
        </w:numPr>
      </w:pPr>
      <w:r>
        <w:rPr>
          <w:rStyle w:val="soitChar"/>
        </w:rPr>
        <w:t>Adhérence initiale, suivant la [NBN EN 14891] ≥ 0,5 N/mm²</w:t>
      </w:r>
    </w:p>
    <w:p w14:paraId="1834A04A" w14:textId="77777777" w:rsidR="00DB2B68" w:rsidRDefault="00000000">
      <w:pPr>
        <w:pStyle w:val="Author-eListParagraph"/>
        <w:numPr>
          <w:ilvl w:val="0"/>
          <w:numId w:val="1101"/>
        </w:numPr>
      </w:pPr>
      <w:r>
        <w:rPr>
          <w:rStyle w:val="soitChar"/>
        </w:rPr>
        <w:t>Adhérence après vieillissement thermique, suivant la [NBN EN 14891] ≥ 0,5 N/mm²</w:t>
      </w:r>
    </w:p>
    <w:p w14:paraId="35F5E8DC" w14:textId="77777777" w:rsidR="00DB2B68" w:rsidRDefault="00000000">
      <w:pPr>
        <w:pStyle w:val="Author-eListParagraph"/>
        <w:numPr>
          <w:ilvl w:val="0"/>
          <w:numId w:val="1101"/>
        </w:numPr>
      </w:pPr>
      <w:r>
        <w:rPr>
          <w:rStyle w:val="soitChar"/>
        </w:rPr>
        <w:t>Adhérence après des cycles gel-dégel, suivant la [NBN EN 14891] ≥ 0,5 N/mm²</w:t>
      </w:r>
    </w:p>
    <w:p w14:paraId="35F31FAE" w14:textId="77777777" w:rsidR="00DB2B68" w:rsidRDefault="00000000">
      <w:pPr>
        <w:pStyle w:val="Author-eListParagraph"/>
        <w:numPr>
          <w:ilvl w:val="0"/>
          <w:numId w:val="1101"/>
        </w:numPr>
      </w:pPr>
      <w:r>
        <w:rPr>
          <w:rStyle w:val="soitChar"/>
        </w:rPr>
        <w:t>Adhérence après contact avec de l'eau, suivant la [NBN EN 14891] ≥ 0,5 N/mm²</w:t>
      </w:r>
    </w:p>
    <w:p w14:paraId="4B13354B" w14:textId="77777777" w:rsidR="00DB2B68" w:rsidRDefault="00000000">
      <w:pPr>
        <w:pStyle w:val="Author-eListParagraph"/>
        <w:numPr>
          <w:ilvl w:val="0"/>
          <w:numId w:val="1101"/>
        </w:numPr>
      </w:pPr>
      <w:r>
        <w:rPr>
          <w:rStyle w:val="soitChar"/>
        </w:rPr>
        <w:t>Adhérence après contact avec de l'eau calcaire, suivant la [NBN EN 14891] ≥ 0,5 N/mm²</w:t>
      </w:r>
    </w:p>
    <w:p w14:paraId="3AF06B58" w14:textId="77777777" w:rsidR="00DB2B68" w:rsidRDefault="00000000">
      <w:pPr>
        <w:pStyle w:val="Author-eListParagraph"/>
        <w:numPr>
          <w:ilvl w:val="0"/>
          <w:numId w:val="1101"/>
        </w:numPr>
      </w:pPr>
      <w:r>
        <w:rPr>
          <w:rStyle w:val="soitChar"/>
        </w:rPr>
        <w:t>Adhérence après contact avec de l'eau chlorée, suivant la [NBN EN 14891] ≥ 0,5 N/mm²</w:t>
      </w:r>
    </w:p>
    <w:p w14:paraId="3452D46E" w14:textId="77777777" w:rsidR="00DB2B68" w:rsidRDefault="00000000">
      <w:pPr>
        <w:pStyle w:val="Author-eListParagraph"/>
        <w:numPr>
          <w:ilvl w:val="0"/>
          <w:numId w:val="1101"/>
        </w:numPr>
      </w:pPr>
      <w:r>
        <w:rPr>
          <w:rStyle w:val="soitChar"/>
        </w:rPr>
        <w:t>Capacité de pontage des fissures, suivant la [NBN EN 14891], à +23°C et -5°C ≥ 0,75 mm</w:t>
      </w:r>
    </w:p>
    <w:p w14:paraId="68AC420C" w14:textId="77777777" w:rsidR="00DB2B68" w:rsidRDefault="00000000">
      <w:pPr>
        <w:pStyle w:val="Author-eListParagraph"/>
        <w:numPr>
          <w:ilvl w:val="0"/>
          <w:numId w:val="1101"/>
        </w:numPr>
      </w:pPr>
      <w:r>
        <w:rPr>
          <w:rStyle w:val="soitChar"/>
        </w:rPr>
        <w:t>Réaction au feu, suivant la [NBN EN 13501-1] : A2</w:t>
      </w:r>
    </w:p>
    <w:p w14:paraId="336EA824" w14:textId="77777777" w:rsidR="00DB2B68" w:rsidRDefault="00000000">
      <w:pPr>
        <w:pStyle w:val="Author-eListParagraph"/>
        <w:numPr>
          <w:ilvl w:val="0"/>
          <w:numId w:val="1101"/>
        </w:numPr>
      </w:pPr>
      <w:r>
        <w:rPr>
          <w:rStyle w:val="soitChar"/>
        </w:rPr>
        <w:t>Perméabilité à la vapeur d’eau Sd ≤ 5m</w:t>
      </w:r>
    </w:p>
    <w:p w14:paraId="3735487E" w14:textId="77777777" w:rsidR="00DB2B68" w:rsidRDefault="00000000">
      <w:pPr>
        <w:pStyle w:val="Author-eListParagraph"/>
        <w:numPr>
          <w:ilvl w:val="0"/>
          <w:numId w:val="1101"/>
        </w:numPr>
      </w:pPr>
      <w:r>
        <w:rPr>
          <w:rStyle w:val="soitChar"/>
        </w:rPr>
        <w:t>Absorption capillaire, suivant [NBN EN 1504-2] ≤ 0,1 kg/m².h0,5</w:t>
      </w:r>
    </w:p>
    <w:p w14:paraId="122AD455" w14:textId="77777777" w:rsidR="00DB2B68" w:rsidRDefault="00000000">
      <w:pPr>
        <w:pStyle w:val="Author-eListParagraph"/>
        <w:numPr>
          <w:ilvl w:val="0"/>
          <w:numId w:val="1101"/>
        </w:numPr>
      </w:pPr>
      <w:r>
        <w:rPr>
          <w:rStyle w:val="soitChar"/>
        </w:rPr>
        <w:t>Pénétration d’eau sous pression, suivant [NBN EN 14891] : Pas de pénétration après 7 jours à 1,5 bars</w:t>
      </w:r>
    </w:p>
    <w:p w14:paraId="10206A18" w14:textId="77777777" w:rsidR="00DB2B68" w:rsidRDefault="00000000">
      <w:r>
        <w:rPr>
          <w:b/>
        </w:rPr>
        <w:t>(soit)</w:t>
      </w:r>
    </w:p>
    <w:p w14:paraId="4692CA73" w14:textId="77777777" w:rsidR="00DB2B68" w:rsidRDefault="00000000">
      <w:r>
        <w:rPr>
          <w:rStyle w:val="soitChar"/>
          <w:u w:val="single"/>
        </w:rPr>
        <w:t>Cimentage épais (≥ 10 mm) :</w:t>
      </w:r>
    </w:p>
    <w:p w14:paraId="086D6C4E" w14:textId="77777777" w:rsidR="00DB2B68" w:rsidRDefault="00000000">
      <w:pPr>
        <w:pStyle w:val="Author-eListParagraph"/>
        <w:numPr>
          <w:ilvl w:val="0"/>
          <w:numId w:val="1102"/>
        </w:numPr>
      </w:pPr>
      <w:r>
        <w:rPr>
          <w:rStyle w:val="soitChar"/>
        </w:rPr>
        <w:t>Mortier cimenteux hydrofuge à base de liants hydrauliques et d’adjuvants</w:t>
      </w:r>
    </w:p>
    <w:p w14:paraId="68E0AD99" w14:textId="77777777" w:rsidR="00DB2B68" w:rsidRDefault="00000000">
      <w:pPr>
        <w:pStyle w:val="Author-eListParagraph"/>
        <w:numPr>
          <w:ilvl w:val="0"/>
          <w:numId w:val="1102"/>
        </w:numPr>
      </w:pPr>
      <w:r>
        <w:rPr>
          <w:rStyle w:val="soitChar"/>
        </w:rPr>
        <w:t>Granulométrie D ≤ 4 mm</w:t>
      </w:r>
    </w:p>
    <w:p w14:paraId="0E70A871" w14:textId="77777777" w:rsidR="00DB2B68" w:rsidRDefault="00000000">
      <w:pPr>
        <w:pStyle w:val="Author-eListParagraph"/>
        <w:numPr>
          <w:ilvl w:val="0"/>
          <w:numId w:val="1102"/>
        </w:numPr>
      </w:pPr>
      <w:r>
        <w:rPr>
          <w:rStyle w:val="soitChar"/>
        </w:rPr>
        <w:t>Adhérence sur béton, suivant la [NBN EN 1542] ≥ 1 N/mm²</w:t>
      </w:r>
    </w:p>
    <w:p w14:paraId="12FAB312" w14:textId="77777777" w:rsidR="00DB2B68" w:rsidRDefault="00000000">
      <w:pPr>
        <w:pStyle w:val="Author-eListParagraph"/>
        <w:numPr>
          <w:ilvl w:val="0"/>
          <w:numId w:val="1102"/>
        </w:numPr>
      </w:pPr>
      <w:r>
        <w:rPr>
          <w:rStyle w:val="soitChar"/>
        </w:rPr>
        <w:t>Résistance à la compression, après 28 jours (à 20°C), suivant la [NBN EN 12190] ≥ 18 N/mm²</w:t>
      </w:r>
    </w:p>
    <w:p w14:paraId="36B47FF9" w14:textId="77777777" w:rsidR="00DB2B68" w:rsidRDefault="00000000">
      <w:pPr>
        <w:pStyle w:val="Author-eListParagraph"/>
        <w:numPr>
          <w:ilvl w:val="0"/>
          <w:numId w:val="1102"/>
        </w:numPr>
      </w:pPr>
      <w:r>
        <w:rPr>
          <w:rStyle w:val="soitChar"/>
        </w:rPr>
        <w:t>Résistance à la flexion, après 28 jours (à 20°C) ≥ 18 N/mm²</w:t>
      </w:r>
    </w:p>
    <w:p w14:paraId="459E4368" w14:textId="77777777" w:rsidR="00DB2B68" w:rsidRDefault="00000000">
      <w:pPr>
        <w:pStyle w:val="Author-eListParagraph"/>
        <w:numPr>
          <w:ilvl w:val="0"/>
          <w:numId w:val="1102"/>
        </w:numPr>
      </w:pPr>
      <w:r>
        <w:rPr>
          <w:rStyle w:val="soitChar"/>
        </w:rPr>
        <w:t>Absorption capillaire, suivant [NBN EN 1062-3] ≤ 0,5 kg/m².min0,5</w:t>
      </w:r>
    </w:p>
    <w:p w14:paraId="638CBF5A" w14:textId="77777777" w:rsidR="00DB2B68" w:rsidRDefault="00000000">
      <w:r>
        <w:rPr>
          <w:b/>
        </w:rPr>
        <w:t>Mortier à chanfrein</w:t>
      </w:r>
    </w:p>
    <w:p w14:paraId="2995BFFB" w14:textId="77777777" w:rsidR="00DB2B68" w:rsidRDefault="00000000">
      <w:pPr>
        <w:pStyle w:val="Author-eListParagraph"/>
        <w:numPr>
          <w:ilvl w:val="0"/>
          <w:numId w:val="1103"/>
        </w:numPr>
      </w:pPr>
      <w:r>
        <w:t>Mortier de type mortier de réparation sans retrait, à base de ciment PM-ES, d’adjuvants de charges fines et d’additifs.</w:t>
      </w:r>
    </w:p>
    <w:p w14:paraId="70F2C351" w14:textId="77777777" w:rsidR="00DB2B68" w:rsidRDefault="00000000">
      <w:pPr>
        <w:pStyle w:val="Author-eListParagraph"/>
        <w:numPr>
          <w:ilvl w:val="0"/>
          <w:numId w:val="1103"/>
        </w:numPr>
      </w:pPr>
      <w:r>
        <w:t>Mortier très adhésif et hydrofuge après séchage</w:t>
      </w:r>
    </w:p>
    <w:p w14:paraId="2C3BF10A" w14:textId="77777777" w:rsidR="00DB2B68" w:rsidRDefault="00000000">
      <w:pPr>
        <w:pStyle w:val="Author-eListParagraph"/>
        <w:numPr>
          <w:ilvl w:val="0"/>
          <w:numId w:val="1103"/>
        </w:numPr>
      </w:pPr>
      <w:r>
        <w:t>Granulométrie D ≤ 1 mm</w:t>
      </w:r>
    </w:p>
    <w:p w14:paraId="129AD4CB" w14:textId="77777777" w:rsidR="00DB2B68" w:rsidRDefault="00000000">
      <w:pPr>
        <w:pStyle w:val="Author-eListParagraph"/>
        <w:numPr>
          <w:ilvl w:val="0"/>
          <w:numId w:val="1103"/>
        </w:numPr>
      </w:pPr>
      <w:r>
        <w:t>Adhérence sur béton, suivant la [NBN EN 1542] ≥ 2 N/mm²</w:t>
      </w:r>
    </w:p>
    <w:p w14:paraId="58E22026" w14:textId="77777777" w:rsidR="00DB2B68" w:rsidRDefault="00000000">
      <w:pPr>
        <w:pStyle w:val="Author-eListParagraph"/>
        <w:numPr>
          <w:ilvl w:val="0"/>
          <w:numId w:val="1103"/>
        </w:numPr>
      </w:pPr>
      <w:r>
        <w:t>Résistance à la compression, après 28 jours (à 20°C), suivant la [NBN EN 12190] ≥ 40 N/mm²</w:t>
      </w:r>
    </w:p>
    <w:p w14:paraId="75F838AE" w14:textId="77777777" w:rsidR="00DB2B68" w:rsidRDefault="00000000">
      <w:pPr>
        <w:pStyle w:val="Author-eListParagraph"/>
        <w:numPr>
          <w:ilvl w:val="0"/>
          <w:numId w:val="1103"/>
        </w:numPr>
      </w:pPr>
      <w:r>
        <w:t>Résistance à la flexion, après 28 jours (à 20°C) ≥ 18 N/mm²</w:t>
      </w:r>
    </w:p>
    <w:p w14:paraId="4EA3541C" w14:textId="77777777" w:rsidR="00DB2B68" w:rsidRDefault="00000000">
      <w:pPr>
        <w:pStyle w:val="Author-eListParagraph"/>
        <w:numPr>
          <w:ilvl w:val="0"/>
          <w:numId w:val="1103"/>
        </w:numPr>
      </w:pPr>
      <w:r>
        <w:t>Teneur en ion chlorure ≤ 0,05%</w:t>
      </w:r>
    </w:p>
    <w:p w14:paraId="6ADE9B66" w14:textId="77777777" w:rsidR="00DB2B68" w:rsidRDefault="00000000">
      <w:pPr>
        <w:pStyle w:val="Author-eListParagraph"/>
        <w:numPr>
          <w:ilvl w:val="0"/>
          <w:numId w:val="1103"/>
        </w:numPr>
      </w:pPr>
      <w:r>
        <w:t>Absorption capillaire, suivant [NBN EN 1504-3] ≤ 0,05 kg/m².h0,5</w:t>
      </w:r>
    </w:p>
    <w:p w14:paraId="78FC811A" w14:textId="77777777" w:rsidR="00DB2B68" w:rsidRDefault="00000000">
      <w:pPr>
        <w:pStyle w:val="Author-eListParagraph"/>
        <w:numPr>
          <w:ilvl w:val="0"/>
          <w:numId w:val="1103"/>
        </w:numPr>
      </w:pPr>
      <w:r>
        <w:t>Temps d’attente pour l’application d’une finition ultérieure ≤ 4h</w:t>
      </w:r>
    </w:p>
    <w:p w14:paraId="09F1B5C3" w14:textId="77777777" w:rsidR="00DB2B68" w:rsidRDefault="00000000">
      <w:pPr>
        <w:pStyle w:val="pheading"/>
      </w:pPr>
      <w:r>
        <w:t>EXÉCUTION / MISE EN ŒUVRE</w:t>
      </w:r>
    </w:p>
    <w:p w14:paraId="18D6C24C" w14:textId="77777777" w:rsidR="00DB2B68" w:rsidRDefault="00000000">
      <w:pPr>
        <w:pStyle w:val="pheading"/>
      </w:pPr>
      <w:r>
        <w:t>- Prescriptions générales</w:t>
      </w:r>
    </w:p>
    <w:p w14:paraId="01E8A9E4" w14:textId="77777777" w:rsidR="00DB2B68" w:rsidRDefault="00000000">
      <w:pPr>
        <w:jc w:val="both"/>
      </w:pPr>
      <w:r>
        <w:rPr>
          <w:b/>
        </w:rPr>
        <w:t>Préparation du support</w:t>
      </w:r>
    </w:p>
    <w:p w14:paraId="55CA3FDB" w14:textId="77777777" w:rsidR="00DB2B68" w:rsidRDefault="00000000">
      <w:pPr>
        <w:jc w:val="both"/>
      </w:pPr>
      <w:r>
        <w:t>Le support est soigneusement décapé des parties qui se détachent, des résidus de peinture, etc.</w:t>
      </w:r>
    </w:p>
    <w:p w14:paraId="4B009EF5" w14:textId="77777777" w:rsidR="00DB2B68" w:rsidRDefault="00000000">
      <w:pPr>
        <w:jc w:val="both"/>
      </w:pPr>
      <w:r>
        <w:t>Les fissures et autres trous sont colmatés ou rebouchés.</w:t>
      </w:r>
    </w:p>
    <w:p w14:paraId="71DF0B25" w14:textId="77777777" w:rsidR="00DB2B68" w:rsidRDefault="00000000">
      <w:pPr>
        <w:jc w:val="both"/>
      </w:pPr>
      <w:r>
        <w:lastRenderedPageBreak/>
        <w:t>Le support est nettoyé, sain et cohésif, dépoussiéré et exempt de traces d’huile ou de toute substance susceptible de nuire à l’adhérence du produit. Une cohésion superficielle du support ≥ à 1 N/mm² est nécessaire pour pouvoir appliquer le produit de cuvelage.</w:t>
      </w:r>
    </w:p>
    <w:p w14:paraId="14BB8B19" w14:textId="77777777" w:rsidR="00DB2B68" w:rsidRDefault="00000000">
      <w:pPr>
        <w:jc w:val="both"/>
      </w:pPr>
      <w:r>
        <w:t>Les traces de salpêtre sont également traitées.</w:t>
      </w:r>
    </w:p>
    <w:p w14:paraId="79D3ECE9" w14:textId="77777777" w:rsidR="00DB2B68" w:rsidRDefault="00000000">
      <w:pPr>
        <w:jc w:val="both"/>
      </w:pPr>
      <w:r>
        <w:t>Le local est suffisamment ventilé pendant tout le temps de l’application et du séchage.</w:t>
      </w:r>
    </w:p>
    <w:p w14:paraId="523494A3" w14:textId="77777777" w:rsidR="00DB2B68" w:rsidRDefault="00000000">
      <w:pPr>
        <w:jc w:val="both"/>
      </w:pPr>
      <w:r>
        <w:t>Le support est humidifié à refus la veille et réhumidifié le jour de l’application sans toutefois ressuer l’eau, c.-à-d. humide, mais pas mouillé. Si la température est proche de 30°C, l’entrepreneur veille à humidifier régulièrement la paroi en fonction de l’avancement des travaux.</w:t>
      </w:r>
    </w:p>
    <w:p w14:paraId="463723EE" w14:textId="77777777" w:rsidR="00DB2B68" w:rsidRDefault="00000000">
      <w:pPr>
        <w:jc w:val="both"/>
      </w:pPr>
      <w:r>
        <w:t>Le produit est malaxé quelques minutes avant sa mise en œuvre et régulièrement pendant l’application. La température d’application de l’air ambiant et du support se situent entre +10°C et +30°C.</w:t>
      </w:r>
    </w:p>
    <w:p w14:paraId="4C6A3ED2" w14:textId="77777777" w:rsidR="00DB2B68" w:rsidRDefault="00000000">
      <w:pPr>
        <w:jc w:val="both"/>
      </w:pPr>
      <w:r>
        <w:t>Le produit est protégé de l’ensoleillement direct et de la pluie pendant son application et séchage.</w:t>
      </w:r>
    </w:p>
    <w:p w14:paraId="22F8E491" w14:textId="77777777" w:rsidR="00DB2B68" w:rsidRDefault="00000000">
      <w:pPr>
        <w:jc w:val="both"/>
      </w:pPr>
      <w:r>
        <w:rPr>
          <w:b/>
        </w:rPr>
        <w:t>Préparation des arrêtes et traversées</w:t>
      </w:r>
    </w:p>
    <w:p w14:paraId="41656631" w14:textId="77777777" w:rsidR="00DB2B68" w:rsidRDefault="00000000">
      <w:pPr>
        <w:jc w:val="both"/>
      </w:pPr>
      <w:r>
        <w:t>Les arêtes des raccords murs/sol et murs/murs sont « cassées » en réalisant des chanfreins de minimum 5 cm de côté, au mortier à chanfrein, appliqué à la truelle.</w:t>
      </w:r>
    </w:p>
    <w:p w14:paraId="6A0E45A2" w14:textId="77777777" w:rsidR="00DB2B68" w:rsidRDefault="00000000">
      <w:pPr>
        <w:jc w:val="both"/>
      </w:pPr>
      <w:r>
        <w:t>Le produit de cuvelage peut ensuite être appliqué après séchage du mortier à chanfrein.</w:t>
      </w:r>
    </w:p>
    <w:p w14:paraId="40923DE7" w14:textId="77777777" w:rsidR="00DB2B68" w:rsidRDefault="00000000">
      <w:pPr>
        <w:jc w:val="both"/>
      </w:pPr>
      <w:r>
        <w:t>Toutes les connexions entre le support et les entrées de tuyaux, les installations et les équipements, les interrupteurs d'éclairage, etc. sont scellées et étanches. Les joints dans le béton, autour des tuyaux ou n'importe où ailleurs dans la structure sont également scellés et rendus étanches.</w:t>
      </w:r>
    </w:p>
    <w:p w14:paraId="455DAFE4" w14:textId="77777777" w:rsidR="00DB2B68" w:rsidRDefault="00000000">
      <w:pPr>
        <w:jc w:val="both"/>
      </w:pPr>
      <w:r>
        <w:t>La préparation des arrêtes et traversées est comprise dans le présent travail.</w:t>
      </w:r>
    </w:p>
    <w:p w14:paraId="3631AA07" w14:textId="77777777" w:rsidR="00DB2B68" w:rsidRDefault="00000000">
      <w:pPr>
        <w:jc w:val="both"/>
      </w:pPr>
      <w:r>
        <w:rPr>
          <w:b/>
        </w:rPr>
        <w:t>Exécution</w:t>
      </w:r>
    </w:p>
    <w:p w14:paraId="2A548D1C" w14:textId="77777777" w:rsidR="00DB2B68" w:rsidRDefault="00000000">
      <w:pPr>
        <w:jc w:val="both"/>
      </w:pPr>
      <w:r>
        <w:rPr>
          <w:u w:val="single"/>
        </w:rPr>
        <w:t>Application d’un badigeon</w:t>
      </w:r>
    </w:p>
    <w:p w14:paraId="08B6385A" w14:textId="77777777" w:rsidR="00DB2B68" w:rsidRDefault="00000000">
      <w:pPr>
        <w:jc w:val="both"/>
      </w:pPr>
      <w:r>
        <w:t>Le produit est appliqué à la brosse ou au rouleau à poils mi-longs, au choix de l’entrepreneur, en deux couches minimum croisées, en observant un intervalle de 6 heures environ entre chaque couche, ou suivant les recommandations de la fiche technique du produit. Le support est à nouveau légèrement humidifié avant d’appliquer la deuxième couche.</w:t>
      </w:r>
    </w:p>
    <w:p w14:paraId="519C8B9E" w14:textId="77777777" w:rsidR="00DB2B68" w:rsidRDefault="00000000">
      <w:pPr>
        <w:jc w:val="both"/>
      </w:pPr>
      <w:r>
        <w:t>L’entrepreneur veille à bien remplir tous les pores du support.</w:t>
      </w:r>
    </w:p>
    <w:p w14:paraId="7DA50BB4" w14:textId="77777777" w:rsidR="00DB2B68" w:rsidRDefault="00000000">
      <w:pPr>
        <w:jc w:val="both"/>
      </w:pPr>
      <w:r>
        <w:t>Les angles, raccords, etc. sont traités exclusivement à la brosse.</w:t>
      </w:r>
    </w:p>
    <w:p w14:paraId="3FBEFA64" w14:textId="77777777" w:rsidR="00DB2B68" w:rsidRDefault="00000000">
      <w:pPr>
        <w:jc w:val="both"/>
      </w:pPr>
      <w:r>
        <w:t>Le temps de séchage après la dernière couche est de minimum 24h à 20°C ou suivant les recommandations de la fiche technique du produit. </w:t>
      </w:r>
    </w:p>
    <w:p w14:paraId="1C98ADDD" w14:textId="77777777" w:rsidR="00DB2B68" w:rsidRDefault="00000000">
      <w:pPr>
        <w:jc w:val="both"/>
      </w:pPr>
      <w:r>
        <w:rPr>
          <w:u w:val="single"/>
        </w:rPr>
        <w:t>Application d’un cimentage fin (≤ 5 mm)</w:t>
      </w:r>
    </w:p>
    <w:p w14:paraId="2852C177" w14:textId="77777777" w:rsidR="00DB2B68" w:rsidRDefault="00000000">
      <w:pPr>
        <w:jc w:val="both"/>
      </w:pPr>
      <w:r>
        <w:t>Le produit est appliqué à la brosse ou à la truelle, au choix de l’entrepreneur, en 2 ou 3 couches croisées, pour atteindre une épaisseur totale constante de minimum 3 mm. L'épaisseur maximale par couche est de 2 mm lorsqu'elle est appliquée à la truelle et de 1 mm lorsqu'elle est appliquée à la brosse. La couche précédente est sèche avant d'appliquer la couche suivante.</w:t>
      </w:r>
    </w:p>
    <w:p w14:paraId="09D4C554" w14:textId="77777777" w:rsidR="00DB2B68" w:rsidRDefault="00000000">
      <w:pPr>
        <w:jc w:val="both"/>
      </w:pPr>
      <w:r>
        <w:t>Le temps de séchage après la dernière couche est de minimum 48h à 20°C ou suivant les recommandations de la fiche technique du produit. </w:t>
      </w:r>
    </w:p>
    <w:p w14:paraId="42A2EBDA" w14:textId="77777777" w:rsidR="00DB2B68" w:rsidRDefault="00000000">
      <w:pPr>
        <w:jc w:val="both"/>
      </w:pPr>
      <w:r>
        <w:rPr>
          <w:u w:val="single"/>
        </w:rPr>
        <w:t>Application d’un cimentage épais (≥ 10 mm)</w:t>
      </w:r>
    </w:p>
    <w:p w14:paraId="7F3ED6D8" w14:textId="77777777" w:rsidR="00DB2B68" w:rsidRDefault="00000000">
      <w:pPr>
        <w:jc w:val="both"/>
      </w:pPr>
      <w:r>
        <w:t>Le mortier est appliqué à la truelle, à la taloche, ou mécaniquement à l’aide d’une machine à projeter, au choix de l’entrepreneur. Il est dressé à la règle et taloché.</w:t>
      </w:r>
    </w:p>
    <w:p w14:paraId="28C515B4" w14:textId="77777777" w:rsidR="00DB2B68" w:rsidRDefault="00000000">
      <w:pPr>
        <w:jc w:val="both"/>
      </w:pPr>
      <w:r>
        <w:t>L’épaisseur totale moyenne à atteindre, en 1 couche constante, est comprise entre 10 et 20 mm. Elle n’excède pas 30 mm localement.</w:t>
      </w:r>
    </w:p>
    <w:p w14:paraId="2BDE7056" w14:textId="77777777" w:rsidR="00DB2B68" w:rsidRDefault="00000000">
      <w:pPr>
        <w:jc w:val="both"/>
      </w:pPr>
      <w:r>
        <w:t xml:space="preserve">Une couche d’adhérence préalable peut être nécessaire avant l’application du mortier. Dans ce cas, une barbotine d’accrochage est réalisée avec le même produit complété d’un adjuvant. Cette barbotine est projetée sur une épaisseur de 3 à 5 mm, en veillant à bien écraser les crêtes pour éviter </w:t>
      </w:r>
      <w:r>
        <w:lastRenderedPageBreak/>
        <w:t>des surcharges. Le mortier est appliqué quand la couche d’adhérence commence à prendre (dur à l'ongle, mais encore humide), mais sans la laisser durcir complètement.</w:t>
      </w:r>
    </w:p>
    <w:p w14:paraId="0F8853D5" w14:textId="77777777" w:rsidR="00DB2B68" w:rsidRDefault="00000000">
      <w:pPr>
        <w:jc w:val="both"/>
      </w:pPr>
      <w:r>
        <w:t>Le mortier frais est protégé contre la dessiccation prématurée en appliquant un produit de cure, des films plastiques ou en humidifiant légèrement la surface du mortier régulièrement.</w:t>
      </w:r>
    </w:p>
    <w:p w14:paraId="7C04DBE1" w14:textId="77777777" w:rsidR="00DB2B68" w:rsidRDefault="00000000">
      <w:pPr>
        <w:jc w:val="both"/>
      </w:pPr>
      <w:r>
        <w:t>Le temps de séchage après la dernière couche est de minimum 48h à 20°C ou suivant les recommandations de la fiche technique du produit.</w:t>
      </w:r>
    </w:p>
    <w:p w14:paraId="61744E35" w14:textId="77777777" w:rsidR="00DB2B68" w:rsidRDefault="00000000">
      <w:pPr>
        <w:pStyle w:val="pheading"/>
      </w:pPr>
      <w:r>
        <w:t>DOCUMENTS DE RÉFÉRENCE COMPLÉMENTAIRES</w:t>
      </w:r>
    </w:p>
    <w:p w14:paraId="45E930AE" w14:textId="77777777" w:rsidR="00DB2B68" w:rsidRDefault="00000000">
      <w:pPr>
        <w:pStyle w:val="pheading"/>
      </w:pPr>
      <w:r>
        <w:t>- Matériau</w:t>
      </w:r>
    </w:p>
    <w:p w14:paraId="1DFD4C7E" w14:textId="77777777" w:rsidR="00DB2B68" w:rsidRDefault="00000000">
      <w:r>
        <w:t>[NBN EN 1542, Produits et systèmes pour la protection et la réparation des structures en béton - Méthodes d'essais - Mesurage de l'adhérence par traction directe]</w:t>
      </w:r>
    </w:p>
    <w:p w14:paraId="196C49FA" w14:textId="77777777" w:rsidR="00DB2B68" w:rsidRDefault="00000000">
      <w:r>
        <w:t>[NBN EN 14891, Produits d'imperméabilisation appliqués en phase liquide utilisés sous carrelage collé - Spécifications, méthodes d'essai, évaluation et vérification de la constance de performance, classification et marquage]</w:t>
      </w:r>
    </w:p>
    <w:p w14:paraId="6A5ECB3E" w14:textId="77777777" w:rsidR="00DB2B68" w:rsidRDefault="00000000">
      <w:r>
        <w:t>[NBN EN 13501-1, Classement au feu des produits et éléments de construction - Partie 1: Classement à partir des données d'essais de réaction au feu]</w:t>
      </w:r>
    </w:p>
    <w:p w14:paraId="51A7F80B" w14:textId="77777777" w:rsidR="00DB2B68"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33E394C4" w14:textId="77777777" w:rsidR="00DB2B68"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3CCEE3B8" w14:textId="77777777" w:rsidR="00DB2B68" w:rsidRDefault="00000000">
      <w:r>
        <w:t>[NBN EN 12190, Produits et systèmes pour la protection et la réparation des structures en béton - Méthodes d'essais - Détermination de la résistance à la compression pour les mortiers de réparation]</w:t>
      </w:r>
    </w:p>
    <w:p w14:paraId="6802CC61" w14:textId="77777777" w:rsidR="00DB2B68" w:rsidRDefault="00000000">
      <w:r>
        <w:t>[NBN EN 1062-3, Peintures et vernis - Produits de peinture et systèmes de revêtements pour maçonnerie et béton extérieurs - Partie 3 : Détermination de la perméabilité à l'eau liquide]</w:t>
      </w:r>
    </w:p>
    <w:p w14:paraId="4E678A77" w14:textId="77777777" w:rsidR="00DB2B68" w:rsidRDefault="00000000">
      <w:pPr>
        <w:pStyle w:val="pheading"/>
      </w:pPr>
      <w:r>
        <w:t>MESURAGE</w:t>
      </w:r>
    </w:p>
    <w:p w14:paraId="7537E047" w14:textId="77777777" w:rsidR="00DB2B68" w:rsidRDefault="00000000">
      <w:pPr>
        <w:pStyle w:val="pheading"/>
      </w:pPr>
      <w:r>
        <w:t>- unité de mesure:</w:t>
      </w:r>
    </w:p>
    <w:p w14:paraId="7BA3F6F4" w14:textId="77777777" w:rsidR="00DB2B68" w:rsidRDefault="00000000">
      <w:r>
        <w:t>m²</w:t>
      </w:r>
    </w:p>
    <w:p w14:paraId="5C45F5E3" w14:textId="77777777" w:rsidR="00DB2B68" w:rsidRDefault="00000000">
      <w:pPr>
        <w:pStyle w:val="pheading"/>
      </w:pPr>
      <w:r>
        <w:t>- code de mesurage:</w:t>
      </w:r>
    </w:p>
    <w:p w14:paraId="02F6DA10" w14:textId="77777777" w:rsidR="00DB2B68" w:rsidRDefault="00000000">
      <w:r>
        <w:t>Surface nette de parois à traiter.</w:t>
      </w:r>
    </w:p>
    <w:p w14:paraId="53184E0F" w14:textId="77777777" w:rsidR="00DB2B68" w:rsidRDefault="00000000">
      <w:pPr>
        <w:pStyle w:val="pheading"/>
      </w:pPr>
      <w:r>
        <w:t>- nature du marché:</w:t>
      </w:r>
    </w:p>
    <w:p w14:paraId="667782C5" w14:textId="77777777" w:rsidR="00DB2B68" w:rsidRDefault="00000000">
      <w:r>
        <w:t>QF</w:t>
      </w:r>
    </w:p>
    <w:p w14:paraId="11E0B0F0" w14:textId="77777777" w:rsidR="00DB2B68" w:rsidRDefault="00000000">
      <w:pPr>
        <w:pStyle w:val="Author-eSectionHeading5Numberless"/>
      </w:pPr>
      <w:bookmarkStart w:id="1877" w:name="_Toc220496828"/>
      <w:r>
        <w:t>26.12.5 Traitements d'étanchéisation par injection CCTB 01.11</w:t>
      </w:r>
      <w:bookmarkEnd w:id="1877"/>
    </w:p>
    <w:p w14:paraId="73F093D8" w14:textId="77777777" w:rsidR="00DB2B68" w:rsidRDefault="00000000">
      <w:pPr>
        <w:pStyle w:val="pheading"/>
      </w:pPr>
      <w:r>
        <w:t>DESCRIPTION</w:t>
      </w:r>
    </w:p>
    <w:p w14:paraId="6F64A932" w14:textId="77777777" w:rsidR="00DB2B68" w:rsidRDefault="00000000">
      <w:pPr>
        <w:pStyle w:val="pheading"/>
      </w:pPr>
      <w:r>
        <w:t>- Définition / Comprend</w:t>
      </w:r>
    </w:p>
    <w:p w14:paraId="03BBDA61" w14:textId="77777777" w:rsidR="00DB2B68" w:rsidRDefault="00000000">
      <w:pPr>
        <w:jc w:val="both"/>
      </w:pPr>
      <w:r>
        <w:t>Il s'agit de la fourniture et mise en œuvre de traitements d’étanchéisation liquide de faible viscosité, pour injection, sous basse pression avec un appareil d’injection, ou par gravité, pour étanchéifier des fissures dans le béton, les maçonneries ou les pierres. Le produit convient également pour l’application dans des conditions humides.</w:t>
      </w:r>
    </w:p>
    <w:p w14:paraId="58B56E6A" w14:textId="77777777" w:rsidR="00DB2B68" w:rsidRDefault="00000000">
      <w:pPr>
        <w:jc w:val="both"/>
      </w:pPr>
      <w:r>
        <w:t>Le travail comprend notamment :</w:t>
      </w:r>
    </w:p>
    <w:p w14:paraId="4359B4AB" w14:textId="77777777" w:rsidR="00DB2B68" w:rsidRDefault="00000000">
      <w:pPr>
        <w:pStyle w:val="Author-eListParagraph"/>
        <w:numPr>
          <w:ilvl w:val="0"/>
          <w:numId w:val="1104"/>
        </w:numPr>
        <w:jc w:val="both"/>
      </w:pPr>
      <w:r>
        <w:t>les mesures de protection provisoires des zones non soumises au traitement ;</w:t>
      </w:r>
    </w:p>
    <w:p w14:paraId="6374EDFE" w14:textId="77777777" w:rsidR="00DB2B68" w:rsidRDefault="00000000">
      <w:pPr>
        <w:pStyle w:val="Author-eListParagraph"/>
        <w:numPr>
          <w:ilvl w:val="0"/>
          <w:numId w:val="1104"/>
        </w:numPr>
        <w:jc w:val="both"/>
      </w:pPr>
      <w:r>
        <w:t>le contrôle et la préparation des supports ;</w:t>
      </w:r>
    </w:p>
    <w:p w14:paraId="17DB1C5E" w14:textId="77777777" w:rsidR="00DB2B68" w:rsidRDefault="00000000">
      <w:pPr>
        <w:pStyle w:val="Author-eListParagraph"/>
        <w:numPr>
          <w:ilvl w:val="0"/>
          <w:numId w:val="1104"/>
        </w:numPr>
        <w:jc w:val="both"/>
      </w:pPr>
      <w:r>
        <w:t>les percements pour les injections ;</w:t>
      </w:r>
    </w:p>
    <w:p w14:paraId="4BDBF5A0" w14:textId="77777777" w:rsidR="00DB2B68" w:rsidRDefault="00000000">
      <w:pPr>
        <w:pStyle w:val="Author-eListParagraph"/>
        <w:numPr>
          <w:ilvl w:val="0"/>
          <w:numId w:val="1104"/>
        </w:numPr>
        <w:jc w:val="both"/>
      </w:pPr>
      <w:r>
        <w:t>la mise en place des injecteurs ;</w:t>
      </w:r>
    </w:p>
    <w:p w14:paraId="506ACCCC" w14:textId="77777777" w:rsidR="00DB2B68" w:rsidRDefault="00000000">
      <w:pPr>
        <w:pStyle w:val="Author-eListParagraph"/>
        <w:numPr>
          <w:ilvl w:val="0"/>
          <w:numId w:val="1104"/>
        </w:numPr>
        <w:jc w:val="both"/>
      </w:pPr>
      <w:r>
        <w:lastRenderedPageBreak/>
        <w:t>la préparation et la mise en œuvre du produit ;</w:t>
      </w:r>
    </w:p>
    <w:p w14:paraId="2C3F8780" w14:textId="77777777" w:rsidR="00DB2B68" w:rsidRDefault="00000000">
      <w:pPr>
        <w:pStyle w:val="Author-eListParagraph"/>
        <w:numPr>
          <w:ilvl w:val="0"/>
          <w:numId w:val="1104"/>
        </w:numPr>
        <w:jc w:val="both"/>
      </w:pPr>
      <w:r>
        <w:t>l’enlèvement des protections provisoires après séchage du produit.</w:t>
      </w:r>
    </w:p>
    <w:p w14:paraId="1C3E07BA" w14:textId="77777777" w:rsidR="00DB2B68" w:rsidRDefault="00000000">
      <w:pPr>
        <w:pStyle w:val="pheading"/>
      </w:pPr>
      <w:r>
        <w:t>EXÉCUTION / MISE EN ŒUVRE</w:t>
      </w:r>
    </w:p>
    <w:p w14:paraId="12BB3653" w14:textId="77777777" w:rsidR="00DB2B68" w:rsidRDefault="00000000">
      <w:pPr>
        <w:jc w:val="both"/>
      </w:pPr>
      <w:r>
        <w:rPr>
          <w:b/>
        </w:rPr>
        <w:t>Préparation du support</w:t>
      </w:r>
    </w:p>
    <w:p w14:paraId="331FDA21" w14:textId="77777777" w:rsidR="00DB2B68" w:rsidRDefault="00000000">
      <w:pPr>
        <w:jc w:val="both"/>
      </w:pPr>
      <w:r>
        <w:t>Les supports sont d’abord débarrassés de toutes parties friables ou peu adhérentes.</w:t>
      </w:r>
    </w:p>
    <w:p w14:paraId="680004DE" w14:textId="77777777" w:rsidR="00DB2B68" w:rsidRDefault="00000000">
      <w:pPr>
        <w:jc w:val="both"/>
      </w:pPr>
      <w:r>
        <w:t>Ils sont ensuite nettoyés de toutes substances huileuses, salissures, poussières, laitance, peintures ou autres composants. </w:t>
      </w:r>
    </w:p>
    <w:p w14:paraId="63C7B387" w14:textId="77777777" w:rsidR="00DB2B68" w:rsidRDefault="00000000">
      <w:pPr>
        <w:jc w:val="both"/>
      </w:pPr>
      <w:r>
        <w:rPr>
          <w:b/>
        </w:rPr>
        <w:t>Techniques de mise en œuvre</w:t>
      </w:r>
    </w:p>
    <w:p w14:paraId="7F3F3E0C" w14:textId="77777777" w:rsidR="00DB2B68" w:rsidRDefault="00000000">
      <w:pPr>
        <w:jc w:val="both"/>
      </w:pPr>
      <w:r>
        <w:t>L’entrepreneur veille à respecter la durée d’application du produit, qui varie en fonction de la température ambiante (de l’ordre de 30 minutes à 23 °C) et du volume de produit mélangé.</w:t>
      </w:r>
    </w:p>
    <w:p w14:paraId="383C43CD" w14:textId="77777777" w:rsidR="00DB2B68" w:rsidRDefault="00000000">
      <w:pPr>
        <w:jc w:val="both"/>
      </w:pPr>
      <w:r>
        <w:t>Les locaux sont bien aérés. En cas d’aération insuffisante, l’entrepreneur porte un masque avec filtre.</w:t>
      </w:r>
    </w:p>
    <w:p w14:paraId="7B01E99C" w14:textId="77777777" w:rsidR="00DB2B68" w:rsidRDefault="00000000">
      <w:pPr>
        <w:jc w:val="both"/>
      </w:pPr>
      <w:r>
        <w:t>La température du support et de mise en œuvre du produit est comprise entre 8 °C et 30 °C. </w:t>
      </w:r>
    </w:p>
    <w:p w14:paraId="136BF338" w14:textId="77777777" w:rsidR="00DB2B68" w:rsidRDefault="00000000">
      <w:pPr>
        <w:jc w:val="both"/>
      </w:pPr>
      <w:r>
        <w:rPr>
          <w:u w:val="single"/>
        </w:rPr>
        <w:t>Par injecteurs</w:t>
      </w:r>
    </w:p>
    <w:p w14:paraId="2F5E7466" w14:textId="77777777" w:rsidR="00DB2B68" w:rsidRDefault="00000000">
      <w:pPr>
        <w:jc w:val="both"/>
      </w:pPr>
      <w:r>
        <w:t>Des tubes d’injection (dit injecteurs) sont posés sur toute la longueur de la fissure, dans des trous percés régulièrement à une distance comprise entre 15 et 50 cm, en fonction de la largeur de la fissure. Ces trous sont soigneusement dépoussiérés avec de l’air comprimé.</w:t>
      </w:r>
    </w:p>
    <w:p w14:paraId="55A44AB7" w14:textId="77777777" w:rsidR="00DB2B68" w:rsidRDefault="00000000">
      <w:pPr>
        <w:jc w:val="both"/>
      </w:pPr>
      <w:r>
        <w:t>En cas d’impossibilité de percer des trous du fait de dimensions trop réduites ou de nombreuses ramifications des fissures, des injecteurs à platine sont utilisés. Ils sont positionnés sur les fissures et fixés au support avec un mortier ou une pâte appropriée, au choix de l’entrepreneur.</w:t>
      </w:r>
    </w:p>
    <w:p w14:paraId="1AD32A45" w14:textId="77777777" w:rsidR="00DB2B68" w:rsidRDefault="00000000">
      <w:pPr>
        <w:jc w:val="both"/>
      </w:pPr>
      <w:r>
        <w:t>Les injecteurs sont scellés et les fissures sont bouchées à l’aide de mortier, d’une pâte appropriée ou d’un produit d’étanchement à base d’époxy, au choix de l’entrepreneur, pour que le tout soit rendu étanche. A défaut, le produit risque de s’écouler à cause de la pression d’injection.</w:t>
      </w:r>
    </w:p>
    <w:p w14:paraId="32096019" w14:textId="77777777" w:rsidR="00DB2B68" w:rsidRDefault="00000000">
      <w:pPr>
        <w:jc w:val="both"/>
      </w:pPr>
      <w:r>
        <w:t>L’entrepreneur contrôle la durabilité de l’étanchement et la perméabilité des injecteurs avec de l’air comprimé.</w:t>
      </w:r>
    </w:p>
    <w:p w14:paraId="2CB8806A" w14:textId="77777777" w:rsidR="00DB2B68" w:rsidRDefault="00000000">
      <w:pPr>
        <w:jc w:val="both"/>
      </w:pPr>
      <w:r>
        <w:t>Les composants du produit sont mélangés et versés dans une pompe monocomposant ou individuellement dans une pompe à 2 composants, selon les recommandations accompagnant le produit. </w:t>
      </w:r>
    </w:p>
    <w:p w14:paraId="3D233A79" w14:textId="77777777" w:rsidR="00DB2B68" w:rsidRDefault="00000000">
      <w:pPr>
        <w:jc w:val="both"/>
      </w:pPr>
      <w:r>
        <w:t>Le produit est injecté avec la pompe à basse pression, manuelle ou électrique, dans la fissure jusqu’à son remplissage complet.</w:t>
      </w:r>
    </w:p>
    <w:p w14:paraId="0B87173E" w14:textId="77777777" w:rsidR="00DB2B68" w:rsidRDefault="00000000">
      <w:pPr>
        <w:jc w:val="both"/>
      </w:pPr>
      <w:r>
        <w:t>Dans les fissures verticales, le produit est injecté de bas en haut. L’entrepreneur commence avec l’injecteur le plus bas jusqu’à ce que le produit sorte de l’injecteur situé au-dessus. L’injecteur inférieur est fermé. La procédure est répétée jusqu’au dernier injecteur en haut.</w:t>
      </w:r>
    </w:p>
    <w:p w14:paraId="58934C7C" w14:textId="77777777" w:rsidR="00DB2B68" w:rsidRDefault="00000000">
      <w:pPr>
        <w:jc w:val="both"/>
      </w:pPr>
      <w:r>
        <w:t>Dans les fissures horizontales, le produit est injecté dans une direction, d’une extrémité de la fissure à l’autre. L’entrepreneur commence d’un côté de la fissure jusqu’à ce que le produit sorte de l’injecteur suivant. L’injecteur est fermé pour continuer au suivant. La procédure est répétée dans le même sens jusqu’au dernier injecteur.</w:t>
      </w:r>
    </w:p>
    <w:p w14:paraId="25EA1C45" w14:textId="77777777" w:rsidR="00DB2B68" w:rsidRDefault="00000000">
      <w:pPr>
        <w:jc w:val="both"/>
      </w:pPr>
      <w:r>
        <w:t>Après l’injection, les injecteurs sont retirés et les trous de forages sont rebouchés avec un mortier de réparation sans retrait et hydrofuge.</w:t>
      </w:r>
    </w:p>
    <w:p w14:paraId="214B5A23" w14:textId="77777777" w:rsidR="00DB2B68" w:rsidRDefault="00000000">
      <w:pPr>
        <w:jc w:val="both"/>
      </w:pPr>
      <w:r>
        <w:rPr>
          <w:u w:val="single"/>
        </w:rPr>
        <w:t>Par gravité</w:t>
      </w:r>
    </w:p>
    <w:p w14:paraId="62CDA6BD" w14:textId="77777777" w:rsidR="00DB2B68" w:rsidRDefault="00000000">
      <w:pPr>
        <w:jc w:val="both"/>
      </w:pPr>
      <w:r>
        <w:t>En cas de fissures horizontales, l’application par gravité peut être utilisée comme solution de réparation alternative, à condition que les fissures soient bien sèches.</w:t>
      </w:r>
    </w:p>
    <w:p w14:paraId="06827914" w14:textId="77777777" w:rsidR="00DB2B68" w:rsidRDefault="00000000">
      <w:pPr>
        <w:jc w:val="both"/>
      </w:pPr>
      <w:r>
        <w:t>Les fissures sont ouvertes pour former une rainure en forme de V et sont soigneusement dépoussiérées avec de l’air comprimé.</w:t>
      </w:r>
    </w:p>
    <w:p w14:paraId="566BB4A1" w14:textId="77777777" w:rsidR="00DB2B68" w:rsidRDefault="00000000">
      <w:pPr>
        <w:jc w:val="both"/>
      </w:pPr>
      <w:r>
        <w:t>Le mélange est utilisé le plus rapidement possible après malaxage, pour permettre une plus longue période de pénétration du produit.</w:t>
      </w:r>
    </w:p>
    <w:p w14:paraId="7CFD5F73" w14:textId="77777777" w:rsidR="00DB2B68" w:rsidRDefault="00000000">
      <w:pPr>
        <w:jc w:val="both"/>
      </w:pPr>
      <w:r>
        <w:lastRenderedPageBreak/>
        <w:t>Il est versé dans les fissures. L’entrepreneur laisse pénétrer le produit quelques instants puis verse à nouveau. L’opération est répétée jusqu’au remplissage complet de la fissure.</w:t>
      </w:r>
    </w:p>
    <w:p w14:paraId="1F43AC40" w14:textId="77777777" w:rsidR="00DB2B68" w:rsidRDefault="00000000">
      <w:pPr>
        <w:jc w:val="both"/>
      </w:pPr>
      <w:r>
        <w:t>Après 24 heures, l’entrepreneur contrôle visuellement la surface des fissures pour vérifier s’il n’y a pas des inégalités. Si des inégalités sont présentes, la surface des fissures est égalisée à l’aide d’un mortier de réparation sans retrait et hydrofuge.</w:t>
      </w:r>
    </w:p>
    <w:p w14:paraId="0233D544" w14:textId="77777777" w:rsidR="00DB2B68" w:rsidRDefault="00000000">
      <w:pPr>
        <w:pStyle w:val="Author-eSectionHeading6Numberless"/>
      </w:pPr>
      <w:bookmarkStart w:id="1878" w:name="_Toc220496829"/>
      <w:r>
        <w:t>26.12.5a Etanchéisation d'éléments - Injections au polyuréthane CCTB 01.04</w:t>
      </w:r>
      <w:bookmarkEnd w:id="1878"/>
    </w:p>
    <w:p w14:paraId="19894628" w14:textId="77777777" w:rsidR="00DB2B68" w:rsidRDefault="00000000">
      <w:pPr>
        <w:pStyle w:val="Author-eSectionHeading6Numberless"/>
      </w:pPr>
      <w:bookmarkStart w:id="1879" w:name="_Toc220496830"/>
      <w:r>
        <w:t>26.12.5b Etanchéisation d'éléments - Injections aux résines époxy à deux composants CCTB 01.11</w:t>
      </w:r>
      <w:bookmarkEnd w:id="1879"/>
    </w:p>
    <w:p w14:paraId="425525B4" w14:textId="77777777" w:rsidR="00DB2B68" w:rsidRDefault="00000000">
      <w:pPr>
        <w:pStyle w:val="pheading"/>
      </w:pPr>
      <w:r>
        <w:t>DESCRIPTION</w:t>
      </w:r>
    </w:p>
    <w:p w14:paraId="57944B92" w14:textId="77777777" w:rsidR="00DB2B68" w:rsidRDefault="00000000">
      <w:pPr>
        <w:pStyle w:val="pheading"/>
      </w:pPr>
      <w:r>
        <w:t>- Définition / Comprend</w:t>
      </w:r>
    </w:p>
    <w:p w14:paraId="6F24106E" w14:textId="77777777" w:rsidR="00DB2B68" w:rsidRDefault="00000000">
      <w:pPr>
        <w:jc w:val="both"/>
      </w:pPr>
      <w:r>
        <w:t>Il s'agit de la fourniture et mise en œuvre de résine époxydique liquide de faible viscosité, à 2 composants, pour injection sous basse pression avec un appareil d’injection, ou par gravité, pour remplir les fissures dans le béton, les maçonneries ou les pierres. Le produit convient également pour l’application dans des conditions humides.</w:t>
      </w:r>
    </w:p>
    <w:p w14:paraId="5597377B" w14:textId="77777777" w:rsidR="00DB2B68" w:rsidRDefault="00000000">
      <w:pPr>
        <w:pStyle w:val="pheading"/>
      </w:pPr>
      <w:r>
        <w:t>MATÉRIAUX</w:t>
      </w:r>
    </w:p>
    <w:p w14:paraId="25385CB3" w14:textId="77777777" w:rsidR="00DB2B68" w:rsidRDefault="00000000">
      <w:pPr>
        <w:pStyle w:val="pheading"/>
      </w:pPr>
      <w:r>
        <w:t>- Caractéristiques générales</w:t>
      </w:r>
    </w:p>
    <w:p w14:paraId="7E4911E5" w14:textId="77777777" w:rsidR="00DB2B68" w:rsidRDefault="00000000">
      <w:pPr>
        <w:pStyle w:val="Author-eListParagraph"/>
        <w:numPr>
          <w:ilvl w:val="0"/>
          <w:numId w:val="1105"/>
        </w:numPr>
        <w:jc w:val="both"/>
      </w:pPr>
      <w:r>
        <w:t>Matériau de base : époxy à 2 composants à mélanger (résine et durcisseur), sans solvants</w:t>
      </w:r>
    </w:p>
    <w:p w14:paraId="54407A59" w14:textId="77777777" w:rsidR="00DB2B68" w:rsidRDefault="00000000">
      <w:pPr>
        <w:pStyle w:val="Author-eListParagraph"/>
        <w:numPr>
          <w:ilvl w:val="0"/>
          <w:numId w:val="1105"/>
        </w:numPr>
        <w:jc w:val="both"/>
      </w:pPr>
      <w:r>
        <w:t xml:space="preserve">Viscosité du mélange, suivant les [NBN EN ISO 3219-1] et [NBN EN ISO 3219-2] :  ≤ </w:t>
      </w:r>
      <w:r>
        <w:rPr>
          <w:rStyle w:val="optioncarChar"/>
        </w:rPr>
        <w:t>150 / 200 / 400</w:t>
      </w:r>
      <w:r>
        <w:t xml:space="preserve"> (par défaut) mPa.s</w:t>
      </w:r>
    </w:p>
    <w:p w14:paraId="48A2816C" w14:textId="77777777" w:rsidR="00DB2B68" w:rsidRDefault="00000000">
      <w:pPr>
        <w:pStyle w:val="Author-eListParagraph"/>
        <w:numPr>
          <w:ilvl w:val="0"/>
          <w:numId w:val="1105"/>
        </w:numPr>
        <w:jc w:val="both"/>
      </w:pPr>
      <w:r>
        <w:t xml:space="preserve">Le produit répond aux exigences de la norme harmonisée [NBN EN 1504-5] : </w:t>
      </w:r>
    </w:p>
    <w:p w14:paraId="1D4BE4F4" w14:textId="77777777" w:rsidR="00DB2B68" w:rsidRDefault="00000000">
      <w:pPr>
        <w:pStyle w:val="Author-eListParagraph"/>
        <w:numPr>
          <w:ilvl w:val="1"/>
          <w:numId w:val="1106"/>
        </w:numPr>
        <w:jc w:val="both"/>
      </w:pPr>
      <w:r>
        <w:t>Applicable à partir de fissures ≥ 0,2 mm</w:t>
      </w:r>
    </w:p>
    <w:p w14:paraId="039B1A85" w14:textId="77777777" w:rsidR="00DB2B68" w:rsidRDefault="00000000">
      <w:pPr>
        <w:pStyle w:val="Author-eListParagraph"/>
        <w:numPr>
          <w:ilvl w:val="1"/>
          <w:numId w:val="1106"/>
        </w:numPr>
        <w:jc w:val="both"/>
      </w:pPr>
      <w:r>
        <w:t>Résistance à la compression, après 7 jours, suivant la [NBN EN 12190] ≥ 80 N/mm2</w:t>
      </w:r>
    </w:p>
    <w:p w14:paraId="7055046E" w14:textId="77777777" w:rsidR="00DB2B68" w:rsidRDefault="00000000">
      <w:pPr>
        <w:pStyle w:val="Author-eListParagraph"/>
        <w:numPr>
          <w:ilvl w:val="1"/>
          <w:numId w:val="1106"/>
        </w:numPr>
        <w:jc w:val="both"/>
      </w:pPr>
      <w:r>
        <w:t>Résistance à la traction, après 7 jours, suivant les [NBN EN ISO 527-1], [NBN EN ISO 527-3], [NBN EN ISO 527-4], [NBN EN ISO 527-5] ≥ 40 N/mm2</w:t>
      </w:r>
    </w:p>
    <w:p w14:paraId="0897DEEF" w14:textId="77777777" w:rsidR="00DB2B68" w:rsidRDefault="00000000">
      <w:pPr>
        <w:pStyle w:val="Author-eListParagraph"/>
        <w:numPr>
          <w:ilvl w:val="1"/>
          <w:numId w:val="1106"/>
        </w:numPr>
        <w:jc w:val="both"/>
      </w:pPr>
      <w:r>
        <w:t>Adhérence par résistance en traction, suivant la [NBN EN 12618-2:2004] : rupture cohésive du support atteinte</w:t>
      </w:r>
    </w:p>
    <w:p w14:paraId="45502AC0" w14:textId="77777777" w:rsidR="00DB2B68" w:rsidRDefault="00000000">
      <w:pPr>
        <w:pStyle w:val="Author-eListParagraph"/>
        <w:numPr>
          <w:ilvl w:val="1"/>
          <w:numId w:val="1106"/>
        </w:numPr>
        <w:jc w:val="both"/>
      </w:pPr>
      <w:r>
        <w:t>Durabilité (cycles gel/dégel et humide /sec), suivant la [NBN EN 12618-2:2004] : rupture cohésive du support atteinte</w:t>
      </w:r>
    </w:p>
    <w:p w14:paraId="2F84DCDF" w14:textId="77777777" w:rsidR="00DB2B68" w:rsidRDefault="00000000">
      <w:pPr>
        <w:pStyle w:val="Author-eListParagraph"/>
        <w:numPr>
          <w:ilvl w:val="1"/>
          <w:numId w:val="1106"/>
        </w:numPr>
        <w:jc w:val="both"/>
      </w:pPr>
      <w:r>
        <w:t>Déformation à la rupture/allongement, suivant les [NBN EN ISO 527-1], [NBN EN ISO 527-3], [NBN EN ISO 527-4], [NBN EN ISO 527-5] ≥ 1 %</w:t>
      </w:r>
    </w:p>
    <w:p w14:paraId="171A17AD" w14:textId="77777777" w:rsidR="00DB2B68" w:rsidRDefault="00000000">
      <w:pPr>
        <w:pStyle w:val="Author-eListParagraph"/>
        <w:numPr>
          <w:ilvl w:val="1"/>
          <w:numId w:val="1106"/>
        </w:numPr>
        <w:jc w:val="both"/>
      </w:pPr>
      <w:r>
        <w:t>Température de transition vitreuse, suivant la [NBN EN 12614] ≥ 40 °C</w:t>
      </w:r>
    </w:p>
    <w:p w14:paraId="5F0B1852" w14:textId="77777777" w:rsidR="00DB2B68" w:rsidRDefault="00000000">
      <w:pPr>
        <w:pStyle w:val="Author-eListParagraph"/>
        <w:numPr>
          <w:ilvl w:val="1"/>
          <w:numId w:val="1106"/>
        </w:numPr>
        <w:jc w:val="both"/>
      </w:pPr>
      <w:r>
        <w:t>Réaction au feu, suivant la [NBN EN 13501-1] : Euroclasse E</w:t>
      </w:r>
    </w:p>
    <w:p w14:paraId="47B0DEC6" w14:textId="77777777" w:rsidR="00DB2B68" w:rsidRDefault="00000000">
      <w:pPr>
        <w:pStyle w:val="Author-eListParagraph"/>
        <w:numPr>
          <w:ilvl w:val="1"/>
          <w:numId w:val="1106"/>
        </w:numPr>
        <w:jc w:val="both"/>
      </w:pPr>
      <w:r>
        <w:t xml:space="preserve">Classe d’injection dans colonne de sable à l’état sec et humide, suivant la [NBN EN 1771], en minutes : </w:t>
      </w:r>
    </w:p>
    <w:p w14:paraId="675F3BBA" w14:textId="77777777" w:rsidR="00DB2B68" w:rsidRDefault="00000000">
      <w:pPr>
        <w:pStyle w:val="Author-eListParagraph"/>
        <w:numPr>
          <w:ilvl w:val="2"/>
          <w:numId w:val="1107"/>
        </w:numPr>
        <w:jc w:val="both"/>
      </w:pPr>
      <w:r>
        <w:t>dans des fissures de 0,1 mm &lt; 4 min</w:t>
      </w:r>
    </w:p>
    <w:p w14:paraId="4B833AB1" w14:textId="77777777" w:rsidR="00DB2B68" w:rsidRDefault="00000000">
      <w:pPr>
        <w:pStyle w:val="Author-eListParagraph"/>
        <w:numPr>
          <w:ilvl w:val="2"/>
          <w:numId w:val="1107"/>
        </w:numPr>
        <w:jc w:val="both"/>
      </w:pPr>
      <w:r>
        <w:t>dans des fissures entre 0,2 et 0,3 mm &lt; 8 min</w:t>
      </w:r>
    </w:p>
    <w:p w14:paraId="046F7644" w14:textId="77777777" w:rsidR="00DB2B68" w:rsidRDefault="00000000">
      <w:pPr>
        <w:pStyle w:val="Author-eListParagraph"/>
        <w:numPr>
          <w:ilvl w:val="0"/>
          <w:numId w:val="1105"/>
        </w:numPr>
        <w:jc w:val="both"/>
      </w:pPr>
      <w:r>
        <w:t>Durcissement complet (à 23 °C) ≤ 7 jours</w:t>
      </w:r>
    </w:p>
    <w:p w14:paraId="4318B9A3" w14:textId="77777777" w:rsidR="00DB2B68" w:rsidRDefault="00000000">
      <w:pPr>
        <w:pStyle w:val="pheading"/>
      </w:pPr>
      <w:r>
        <w:t>EXÉCUTION / MISE EN ŒUVRE</w:t>
      </w:r>
    </w:p>
    <w:p w14:paraId="26967F21" w14:textId="77777777" w:rsidR="00DB2B68" w:rsidRDefault="00000000">
      <w:pPr>
        <w:pStyle w:val="pheading"/>
      </w:pPr>
      <w:r>
        <w:t>- Prescriptions générales</w:t>
      </w:r>
    </w:p>
    <w:p w14:paraId="7697D174" w14:textId="77777777" w:rsidR="00DB2B68" w:rsidRDefault="00000000">
      <w:pPr>
        <w:jc w:val="both"/>
      </w:pPr>
      <w:r>
        <w:rPr>
          <w:b/>
        </w:rPr>
        <w:t>Préparation du support</w:t>
      </w:r>
    </w:p>
    <w:p w14:paraId="394B3F62" w14:textId="77777777" w:rsidR="00DB2B68" w:rsidRDefault="00000000">
      <w:pPr>
        <w:jc w:val="both"/>
      </w:pPr>
      <w:r>
        <w:t>Les supports sont d’abord débarrassés de toutes parties friables ou peu adhérentes.</w:t>
      </w:r>
    </w:p>
    <w:p w14:paraId="16CB7057" w14:textId="77777777" w:rsidR="00DB2B68" w:rsidRDefault="00000000">
      <w:pPr>
        <w:jc w:val="both"/>
      </w:pPr>
      <w:r>
        <w:t>Ils sont ensuite nettoyés de toutes substances huileuses, salissures, poussières, laitance, peintures ou autres composants. </w:t>
      </w:r>
    </w:p>
    <w:p w14:paraId="15A17600" w14:textId="77777777" w:rsidR="00DB2B68" w:rsidRDefault="00000000">
      <w:pPr>
        <w:jc w:val="both"/>
      </w:pPr>
      <w:r>
        <w:rPr>
          <w:b/>
        </w:rPr>
        <w:t>Exécution</w:t>
      </w:r>
    </w:p>
    <w:p w14:paraId="6E38A0E9" w14:textId="77777777" w:rsidR="00DB2B68" w:rsidRDefault="00000000">
      <w:pPr>
        <w:jc w:val="both"/>
      </w:pPr>
      <w:r>
        <w:t>Les deux composants pré-dosés sont mélangés. Si le produit est utilisé partiellement ou par phase, l’entrepreneur utilise une balance électronique, en faisant bien attention de respecter les dosages du produit. Toute erreur de dosage entre les composants empêcherait le durcissement de celui-ci. </w:t>
      </w:r>
    </w:p>
    <w:p w14:paraId="0D81EC5B" w14:textId="77777777" w:rsidR="00DB2B68" w:rsidRDefault="00000000">
      <w:pPr>
        <w:jc w:val="both"/>
      </w:pPr>
      <w:r>
        <w:lastRenderedPageBreak/>
        <w:t>Les résines époxy sont irritantes pour les yeux et la peau. Durant le mélange et l’application, l’entrepreneur porte des gants, des lunettes de protection et observe les précautions habituelles liées à la manipulation des produits chimiques.</w:t>
      </w:r>
    </w:p>
    <w:p w14:paraId="4C550D24" w14:textId="77777777" w:rsidR="00DB2B68" w:rsidRDefault="00000000">
      <w:pPr>
        <w:jc w:val="both"/>
      </w:pPr>
      <w:r>
        <w:t xml:space="preserve">Technique de mise en œuvre : </w:t>
      </w:r>
      <w:r>
        <w:rPr>
          <w:rStyle w:val="optioncarChar"/>
        </w:rPr>
        <w:t xml:space="preserve">par injecteurs </w:t>
      </w:r>
      <w:r>
        <w:t xml:space="preserve">(par défaut) </w:t>
      </w:r>
      <w:r>
        <w:rPr>
          <w:rStyle w:val="optioncarChar"/>
        </w:rPr>
        <w:t>/ par gravité</w:t>
      </w:r>
    </w:p>
    <w:p w14:paraId="75E5ECC0" w14:textId="77777777" w:rsidR="00DB2B68" w:rsidRDefault="00000000">
      <w:pPr>
        <w:jc w:val="both"/>
      </w:pPr>
      <w:r>
        <w:t>En cas de mise en œuvre par injecteurs, les côtés des fissures peuvent présenter une humidité maximale ≤ à 5 % (humide, mais pas mouillé), mais pas dans le cas par gravité, car le produit n’a pas suffisamment de pression pour chasser l’eau.</w:t>
      </w:r>
    </w:p>
    <w:p w14:paraId="10B87751" w14:textId="77777777" w:rsidR="00DB2B68" w:rsidRDefault="00000000">
      <w:pPr>
        <w:pStyle w:val="pheading"/>
      </w:pPr>
      <w:r>
        <w:t>MESURAGE</w:t>
      </w:r>
    </w:p>
    <w:p w14:paraId="0FC611C1" w14:textId="77777777" w:rsidR="00DB2B68" w:rsidRDefault="00000000">
      <w:pPr>
        <w:pStyle w:val="pheading"/>
      </w:pPr>
      <w:r>
        <w:t>- unité de mesure:</w:t>
      </w:r>
    </w:p>
    <w:p w14:paraId="3CA3DCD9" w14:textId="77777777" w:rsidR="00DB2B68" w:rsidRDefault="00000000">
      <w:r>
        <w:t>m</w:t>
      </w:r>
    </w:p>
    <w:p w14:paraId="755C5276" w14:textId="77777777" w:rsidR="00DB2B68" w:rsidRDefault="00000000">
      <w:pPr>
        <w:pStyle w:val="pheading"/>
      </w:pPr>
      <w:r>
        <w:t>- code de mesurage:</w:t>
      </w:r>
    </w:p>
    <w:p w14:paraId="71D46CB4" w14:textId="77777777" w:rsidR="00DB2B68" w:rsidRDefault="00000000">
      <w:r>
        <w:t>Longueur nette de fissures à traiter.</w:t>
      </w:r>
    </w:p>
    <w:p w14:paraId="7D5B2EB2" w14:textId="77777777" w:rsidR="00DB2B68" w:rsidRDefault="00000000">
      <w:pPr>
        <w:pStyle w:val="pheading"/>
      </w:pPr>
      <w:r>
        <w:t>- nature du marché:</w:t>
      </w:r>
    </w:p>
    <w:p w14:paraId="2E1B65DD" w14:textId="77777777" w:rsidR="00DB2B68" w:rsidRDefault="00000000">
      <w:r>
        <w:t>QF</w:t>
      </w:r>
    </w:p>
    <w:p w14:paraId="6C1FAB38" w14:textId="77777777" w:rsidR="00DB2B68" w:rsidRDefault="00000000">
      <w:pPr>
        <w:pStyle w:val="Author-eSectionHeading6Numberless"/>
      </w:pPr>
      <w:bookmarkStart w:id="1880" w:name="_Toc220496831"/>
      <w:r>
        <w:t>26.12.5c Etanchéisation d'éléments - Injections au silicate CCTB 01.04</w:t>
      </w:r>
      <w:bookmarkEnd w:id="1880"/>
    </w:p>
    <w:p w14:paraId="15F87EAE" w14:textId="77777777" w:rsidR="00DB2B68" w:rsidRDefault="00000000">
      <w:pPr>
        <w:pStyle w:val="Author-eSectionHeading6Numberless"/>
      </w:pPr>
      <w:bookmarkStart w:id="1881" w:name="_Toc220496832"/>
      <w:r>
        <w:t>26.12.5d Etanchéisation d'éléments - Injections à deux composants vinyliques CCTB 01.04</w:t>
      </w:r>
      <w:bookmarkEnd w:id="1881"/>
    </w:p>
    <w:p w14:paraId="79208C16" w14:textId="77777777" w:rsidR="00DB2B68" w:rsidRDefault="00000000">
      <w:pPr>
        <w:pStyle w:val="Author-eSectionHeading4Numberless"/>
      </w:pPr>
      <w:bookmarkStart w:id="1882" w:name="_Toc220496833"/>
      <w:r>
        <w:t>26.13 Traitements d'imperméabilisation CCTB 01.02</w:t>
      </w:r>
      <w:bookmarkEnd w:id="1882"/>
    </w:p>
    <w:p w14:paraId="70AB0EA4" w14:textId="77777777" w:rsidR="00DB2B68" w:rsidRDefault="00000000">
      <w:pPr>
        <w:pStyle w:val="Author-eSectionHeading5Numberless"/>
      </w:pPr>
      <w:bookmarkStart w:id="1883" w:name="_Toc220496834"/>
      <w:r>
        <w:t>26.13.1 Traitements d'imperméabilisation par injection CCTB 01.02</w:t>
      </w:r>
      <w:bookmarkEnd w:id="1883"/>
    </w:p>
    <w:p w14:paraId="6D5DA415" w14:textId="77777777" w:rsidR="00DB2B68" w:rsidRDefault="00000000">
      <w:pPr>
        <w:pStyle w:val="Author-eSectionHeading6Numberless"/>
      </w:pPr>
      <w:bookmarkStart w:id="1884" w:name="_Toc220496835"/>
      <w:r>
        <w:t>26.13.1a Traitements d'imperméabilisation par injection CCTB 01.02</w:t>
      </w:r>
      <w:bookmarkEnd w:id="1884"/>
    </w:p>
    <w:p w14:paraId="3C6CB93B" w14:textId="77777777" w:rsidR="00DB2B68" w:rsidRDefault="00000000">
      <w:pPr>
        <w:pStyle w:val="Author-eSectionHeading4Numberless"/>
      </w:pPr>
      <w:bookmarkStart w:id="1885" w:name="_Toc220496836"/>
      <w:r>
        <w:t>26.14 Systèmes étanches CCTB 01.02</w:t>
      </w:r>
      <w:bookmarkEnd w:id="1885"/>
    </w:p>
    <w:p w14:paraId="320AF329" w14:textId="77777777" w:rsidR="00DB2B68" w:rsidRDefault="00000000">
      <w:pPr>
        <w:pStyle w:val="Author-eSectionHeading5Numberless"/>
      </w:pPr>
      <w:bookmarkStart w:id="1886" w:name="_Toc220496837"/>
      <w:r>
        <w:t>26.14.1 Joints étanches CCTB 01.02</w:t>
      </w:r>
      <w:bookmarkEnd w:id="1886"/>
    </w:p>
    <w:p w14:paraId="691F46DB" w14:textId="77777777" w:rsidR="00DB2B68" w:rsidRDefault="00000000">
      <w:pPr>
        <w:pStyle w:val="Author-eSectionHeading6Numberless"/>
      </w:pPr>
      <w:bookmarkStart w:id="1887" w:name="645"/>
      <w:bookmarkStart w:id="1888" w:name="_Toc220496838"/>
      <w:bookmarkEnd w:id="1887"/>
      <w:r>
        <w:t>26.14.1a Joints étanches CCTB 01.02</w:t>
      </w:r>
      <w:bookmarkEnd w:id="1888"/>
    </w:p>
    <w:p w14:paraId="6FEE2D07" w14:textId="77777777" w:rsidR="00DB2B68" w:rsidRDefault="00000000">
      <w:pPr>
        <w:pStyle w:val="Author-eSectionHeading5Numberless"/>
      </w:pPr>
      <w:bookmarkStart w:id="1889" w:name="_Toc220496839"/>
      <w:r>
        <w:t>26.14.2 Percements étanches (interaction avec autres tomes T1, T7) CCTB 01.02</w:t>
      </w:r>
      <w:bookmarkEnd w:id="1889"/>
    </w:p>
    <w:p w14:paraId="1F424DD8" w14:textId="77777777" w:rsidR="00DB2B68" w:rsidRDefault="00000000">
      <w:pPr>
        <w:pStyle w:val="Author-eSectionHeading6Numberless"/>
      </w:pPr>
      <w:bookmarkStart w:id="1890" w:name="_Toc220496840"/>
      <w:r>
        <w:t>26.14.2a Modules de raccordement CCTB 01.02</w:t>
      </w:r>
      <w:bookmarkEnd w:id="1890"/>
    </w:p>
    <w:p w14:paraId="4DB12B50" w14:textId="77777777" w:rsidR="00DB2B68" w:rsidRDefault="00000000">
      <w:pPr>
        <w:pStyle w:val="pheading"/>
      </w:pPr>
      <w:r>
        <w:t>MATÉRIAUX</w:t>
      </w:r>
    </w:p>
    <w:p w14:paraId="20D77FB8" w14:textId="77777777" w:rsidR="00DB2B68" w:rsidRDefault="00000000">
      <w:pPr>
        <w:pStyle w:val="pheading"/>
      </w:pPr>
      <w:r>
        <w:t>- Caractéristiques générales</w:t>
      </w:r>
    </w:p>
    <w:p w14:paraId="064B7FA7" w14:textId="77777777" w:rsidR="00DB2B68" w:rsidRDefault="00000000">
      <w:r>
        <w:t>Les modules de raccordement combinés se composent d'un élément préformé constitué d'au moins 5 coudes en matériau thermoplastique assemblés par soudage et qui conviennent pour l'introduction dans le bâtiment des conduites des régies (électricité, gaz naturel, eau, câble et téléphone). Ce module de raccordement est adapté en fonction de la disposition perpendiculaire ou oblique par rapport à l'ouverture d'introduction. A leur livraison, les coudes sont obturés à l'aide de bouchons amovibles. Cet élément peut être obtenu auprès des compagnies d'électricité.</w:t>
      </w:r>
    </w:p>
    <w:p w14:paraId="196CD9ED" w14:textId="77777777" w:rsidR="00DB2B68" w:rsidRDefault="00000000">
      <w:pPr>
        <w:pStyle w:val="pheading"/>
      </w:pPr>
      <w:r>
        <w:t>EXÉCUTION / MISE EN ŒUVRE</w:t>
      </w:r>
    </w:p>
    <w:p w14:paraId="7FF10BAC" w14:textId="77777777" w:rsidR="00DB2B68" w:rsidRDefault="00000000">
      <w:pPr>
        <w:pStyle w:val="pheading"/>
      </w:pPr>
      <w:r>
        <w:t>- Prescriptions générales</w:t>
      </w:r>
    </w:p>
    <w:p w14:paraId="5D59B6A0" w14:textId="77777777" w:rsidR="00DB2B68" w:rsidRDefault="00000000">
      <w:r>
        <w:t>La pose s'effectue conformément aux prescriptions de la société distributrice.</w:t>
      </w:r>
    </w:p>
    <w:p w14:paraId="55BFFCC1" w14:textId="77777777" w:rsidR="00DB2B68" w:rsidRDefault="00000000">
      <w:r>
        <w:t xml:space="preserve">Il est important de contacter les compagnies distributrices en temps utile, afin de connaître l'emplacement exact où doivent pénétrer les conduites des régies. A cet emplacement, le module de raccordement est intégré dans les fondations maçonnées ou coulées (à l'aide d'un coffrage perdu). </w:t>
      </w:r>
      <w:r>
        <w:lastRenderedPageBreak/>
        <w:t>La partie supérieure de l'ouverture côté voirie, se trouve à au moins 60 cm sous le niveau définitif du terrain, tandis que l'ouverture d'introduction pour le raccordement de l'eau doit se situer à une profondeur non gélive. A l'intérieur de l'habitation, les ouvertures se situent à 10 cm au-dessus du niveau fini du sol. Si nécessaire, les jambes des coudes de raccordement doivent être prolongées à l'aide de tuyaux thermoplastiques appropriés. Une fosse de travail peut éventuellement être prévue à l'extérieur et à l'intérieur afin d'éviter qu'on ne doive ultérieurement perforer les fondations pour une extension ou un nouveau raccordement. Les bouchons d'obturation ne sont pas enlevés avant que les gaines d'attente ne soient raccordées au coude de raccordement.</w:t>
      </w:r>
    </w:p>
    <w:p w14:paraId="41504FC8" w14:textId="77777777" w:rsidR="00DB2B68" w:rsidRDefault="00000000">
      <w:pPr>
        <w:pStyle w:val="pheading"/>
      </w:pPr>
      <w:r>
        <w:t>MESURAGE</w:t>
      </w:r>
    </w:p>
    <w:p w14:paraId="41117310" w14:textId="77777777" w:rsidR="00DB2B68" w:rsidRDefault="00000000">
      <w:pPr>
        <w:pStyle w:val="pheading"/>
      </w:pPr>
      <w:r>
        <w:t>- unité de mesure:</w:t>
      </w:r>
    </w:p>
    <w:p w14:paraId="55780A9F" w14:textId="77777777" w:rsidR="00DB2B68" w:rsidRDefault="00000000">
      <w:r>
        <w:t>pc</w:t>
      </w:r>
    </w:p>
    <w:p w14:paraId="793C5F7B" w14:textId="77777777" w:rsidR="00DB2B68" w:rsidRDefault="00000000">
      <w:pPr>
        <w:pStyle w:val="pheading"/>
      </w:pPr>
      <w:r>
        <w:t>- code de mesurage:</w:t>
      </w:r>
    </w:p>
    <w:p w14:paraId="1C27FD34" w14:textId="77777777" w:rsidR="00DB2B68" w:rsidRDefault="00000000">
      <w:r>
        <w:t>Fourniture et pose de l’élément, tout compris</w:t>
      </w:r>
    </w:p>
    <w:p w14:paraId="45296FC2" w14:textId="77777777" w:rsidR="00DB2B68" w:rsidRDefault="00000000">
      <w:pPr>
        <w:pStyle w:val="pheading"/>
      </w:pPr>
      <w:r>
        <w:t>- nature du marché:</w:t>
      </w:r>
    </w:p>
    <w:p w14:paraId="61B14456" w14:textId="77777777" w:rsidR="00DB2B68" w:rsidRDefault="00000000">
      <w:r>
        <w:t>QF</w:t>
      </w:r>
    </w:p>
    <w:p w14:paraId="68976F6E" w14:textId="77777777" w:rsidR="00DB2B68" w:rsidRDefault="00000000">
      <w:pPr>
        <w:pStyle w:val="Author-eSectionHeading4Numberless"/>
      </w:pPr>
      <w:bookmarkStart w:id="1891" w:name="_Toc220496841"/>
      <w:r>
        <w:t>26.15 Etanchéisation de joints CCTB 01.02</w:t>
      </w:r>
      <w:bookmarkEnd w:id="1891"/>
    </w:p>
    <w:p w14:paraId="149AC726" w14:textId="77777777" w:rsidR="00DB2B68" w:rsidRDefault="00000000">
      <w:pPr>
        <w:pStyle w:val="Author-eSectionHeading4Numberless"/>
      </w:pPr>
      <w:bookmarkStart w:id="1892" w:name="526"/>
      <w:bookmarkStart w:id="1893" w:name="_Toc220496842"/>
      <w:bookmarkEnd w:id="1892"/>
      <w:r>
        <w:t>26.16 Systèmes de drainage CCTB 01.02</w:t>
      </w:r>
      <w:bookmarkEnd w:id="1893"/>
    </w:p>
    <w:p w14:paraId="10D6BDC5" w14:textId="77777777" w:rsidR="00DB2B68" w:rsidRDefault="00000000">
      <w:pPr>
        <w:pStyle w:val="Author-eSectionHeading5Numberless"/>
      </w:pPr>
      <w:bookmarkStart w:id="1894" w:name="_Toc220496843"/>
      <w:r>
        <w:t>26.16.1 Système de drainage des murs enterrés CCTB 01.04</w:t>
      </w:r>
      <w:bookmarkEnd w:id="1894"/>
    </w:p>
    <w:p w14:paraId="193AF48D" w14:textId="77777777" w:rsidR="00DB2B68" w:rsidRDefault="00000000">
      <w:pPr>
        <w:pStyle w:val="Author-eSectionHeading6Numberless"/>
      </w:pPr>
      <w:bookmarkStart w:id="1895" w:name="_Toc220496844"/>
      <w:r>
        <w:t>26.16.1a Couches d'étanchéité - Revêtement mural drainant CCTB 01.02</w:t>
      </w:r>
      <w:bookmarkEnd w:id="1895"/>
    </w:p>
    <w:p w14:paraId="05C491BA" w14:textId="77777777" w:rsidR="00DB2B68" w:rsidRDefault="00000000">
      <w:pPr>
        <w:pStyle w:val="pheading"/>
      </w:pPr>
      <w:r>
        <w:t>DESCRIPTION</w:t>
      </w:r>
    </w:p>
    <w:p w14:paraId="61175181" w14:textId="77777777" w:rsidR="00DB2B68" w:rsidRDefault="00000000">
      <w:pPr>
        <w:pStyle w:val="pheading"/>
      </w:pPr>
      <w:r>
        <w:t>- Définition / Comprend</w:t>
      </w:r>
    </w:p>
    <w:p w14:paraId="569E9FE6" w14:textId="77777777" w:rsidR="00DB2B68" w:rsidRDefault="00000000">
      <w:r>
        <w:t>Ce poste concerne le revêtement mural drainant à l'aide de drains en blocs ou plaques de béton poreux.</w:t>
      </w:r>
    </w:p>
    <w:p w14:paraId="1E6912D3" w14:textId="77777777" w:rsidR="00DB2B68" w:rsidRDefault="00000000">
      <w:pPr>
        <w:pStyle w:val="Author-eSectionHeading4Numberless"/>
      </w:pPr>
      <w:bookmarkStart w:id="1896" w:name="_Toc220496845"/>
      <w:r>
        <w:t>26.17 Joints CCTB 01.02</w:t>
      </w:r>
      <w:bookmarkEnd w:id="1896"/>
    </w:p>
    <w:p w14:paraId="4003DB14" w14:textId="77777777" w:rsidR="00DB2B68" w:rsidRDefault="00000000">
      <w:pPr>
        <w:pStyle w:val="Author-eSectionHeading5Numberless"/>
      </w:pPr>
      <w:bookmarkStart w:id="1897" w:name="_Toc220496846"/>
      <w:r>
        <w:t>26.17.1 Joints de resserrage CCTB 01.02</w:t>
      </w:r>
      <w:bookmarkEnd w:id="1897"/>
    </w:p>
    <w:p w14:paraId="6EF87178" w14:textId="77777777" w:rsidR="00DB2B68" w:rsidRDefault="00000000">
      <w:pPr>
        <w:pStyle w:val="Author-eSectionHeading5Numberless"/>
      </w:pPr>
      <w:bookmarkStart w:id="1898" w:name="432"/>
      <w:bookmarkStart w:id="1899" w:name="_Toc220496847"/>
      <w:bookmarkEnd w:id="1898"/>
      <w:r>
        <w:t>26.17.2 Joints de dilatation CCTB 01.02</w:t>
      </w:r>
      <w:bookmarkEnd w:id="1899"/>
    </w:p>
    <w:p w14:paraId="4C25F550" w14:textId="77777777" w:rsidR="00DB2B68" w:rsidRDefault="00000000">
      <w:pPr>
        <w:pStyle w:val="Author-eSectionHeading5Numberless"/>
      </w:pPr>
      <w:bookmarkStart w:id="1900" w:name="_Toc220496848"/>
      <w:r>
        <w:t>26.17.3 Joints étanches (système) CCTB 01.04</w:t>
      </w:r>
      <w:bookmarkEnd w:id="1900"/>
    </w:p>
    <w:p w14:paraId="6740ED7B" w14:textId="77777777" w:rsidR="00DB2B68" w:rsidRDefault="00000000">
      <w:pPr>
        <w:pStyle w:val="pheading"/>
      </w:pPr>
      <w:r>
        <w:t>DESCRIPTION</w:t>
      </w:r>
    </w:p>
    <w:p w14:paraId="40E36558" w14:textId="77777777" w:rsidR="00DB2B68" w:rsidRDefault="00000000">
      <w:pPr>
        <w:pStyle w:val="pheading"/>
      </w:pPr>
      <w:r>
        <w:t>- Définition / Comprend</w:t>
      </w:r>
    </w:p>
    <w:p w14:paraId="6EB3BCC1" w14:textId="77777777" w:rsidR="00DB2B68" w:rsidRDefault="00000000">
      <w:r>
        <w:t xml:space="preserve">Renvoi au § </w:t>
      </w:r>
      <w:hyperlink w:anchor="645" w:history="1">
        <w:r>
          <w:rPr>
            <w:color w:val="0000EE"/>
          </w:rPr>
          <w:t>26.14.1 Joints étanches</w:t>
        </w:r>
      </w:hyperlink>
    </w:p>
    <w:p w14:paraId="005D2583" w14:textId="77777777" w:rsidR="00DB2B68" w:rsidRDefault="00000000">
      <w:pPr>
        <w:pStyle w:val="Author-eSectionHeading3Numberless"/>
      </w:pPr>
      <w:bookmarkStart w:id="1901" w:name="_Toc220496849"/>
      <w:r>
        <w:t>26.2 Etanchéisation aux matières gazeuses CCTB 01.02</w:t>
      </w:r>
      <w:bookmarkEnd w:id="1901"/>
    </w:p>
    <w:p w14:paraId="1074CD90" w14:textId="77777777" w:rsidR="00DB2B68" w:rsidRDefault="00000000">
      <w:pPr>
        <w:pStyle w:val="pheading"/>
      </w:pPr>
      <w:bookmarkStart w:id="1902" w:name="76"/>
      <w:bookmarkEnd w:id="1902"/>
      <w:r>
        <w:t>DESCRIPTION</w:t>
      </w:r>
    </w:p>
    <w:p w14:paraId="6BFEBEEA" w14:textId="77777777" w:rsidR="00DB2B68" w:rsidRDefault="00000000">
      <w:pPr>
        <w:pStyle w:val="pheading"/>
      </w:pPr>
      <w:r>
        <w:t>- Définition / Comprend</w:t>
      </w:r>
    </w:p>
    <w:p w14:paraId="26EF08A8" w14:textId="77777777" w:rsidR="00DB2B68" w:rsidRDefault="00000000">
      <w:pPr>
        <w:pStyle w:val="heading"/>
      </w:pPr>
      <w:r>
        <w:t>Etanchéité à l’air</w:t>
      </w:r>
    </w:p>
    <w:p w14:paraId="3B2BE56E" w14:textId="77777777" w:rsidR="00DB2B68" w:rsidRDefault="00000000">
      <w:r>
        <w:t>Les  sections de l'enveloppe du bâtiment isolées  thermiquement doivent être étanches à  l'air. Outre les pertes d'énergie  potentielles via les fuites, des défauts d’étanchéité à l’air peuvent également favoriser la formation de condensation interne dans  l'enveloppe du bâtiment.</w:t>
      </w:r>
    </w:p>
    <w:p w14:paraId="1E0D82FB" w14:textId="77777777" w:rsidR="00DB2B68" w:rsidRDefault="00000000">
      <w:r>
        <w:t>Dans le cas des éléments de structure, on veille notamment à soigner les raccords et éléments de construction suivants:</w:t>
      </w:r>
    </w:p>
    <w:p w14:paraId="07669EBE" w14:textId="77777777" w:rsidR="00DB2B68" w:rsidRDefault="00000000">
      <w:pPr>
        <w:pStyle w:val="Author-eListParagraph"/>
        <w:numPr>
          <w:ilvl w:val="0"/>
          <w:numId w:val="1108"/>
        </w:numPr>
      </w:pPr>
      <w:r>
        <w:lastRenderedPageBreak/>
        <w:t>jonction entre planchers et façade;</w:t>
      </w:r>
    </w:p>
    <w:p w14:paraId="06E4A469" w14:textId="77777777" w:rsidR="00DB2B68" w:rsidRDefault="00000000">
      <w:pPr>
        <w:pStyle w:val="Author-eListParagraph"/>
        <w:numPr>
          <w:ilvl w:val="0"/>
          <w:numId w:val="1108"/>
        </w:numPr>
      </w:pPr>
      <w:r>
        <w:t>jonction entre murs de refend et façade ;</w:t>
      </w:r>
    </w:p>
    <w:p w14:paraId="0C840B44" w14:textId="77777777" w:rsidR="00DB2B68" w:rsidRDefault="00000000">
      <w:pPr>
        <w:pStyle w:val="Author-eListParagraph"/>
        <w:numPr>
          <w:ilvl w:val="0"/>
          <w:numId w:val="1108"/>
        </w:numPr>
      </w:pPr>
      <w:r>
        <w:t>jonction entre toiture (plate ou inclinée) et façade ;</w:t>
      </w:r>
    </w:p>
    <w:p w14:paraId="40B0EF3E" w14:textId="77777777" w:rsidR="00DB2B68" w:rsidRDefault="00000000">
      <w:pPr>
        <w:pStyle w:val="Author-eListParagraph"/>
        <w:numPr>
          <w:ilvl w:val="0"/>
          <w:numId w:val="1108"/>
        </w:numPr>
      </w:pPr>
      <w:r>
        <w:t>raccords avec les menuiseries extérieures ;</w:t>
      </w:r>
    </w:p>
    <w:p w14:paraId="5ED6F88F" w14:textId="77777777" w:rsidR="00DB2B68" w:rsidRDefault="00000000">
      <w:pPr>
        <w:pStyle w:val="Author-eListParagraph"/>
        <w:numPr>
          <w:ilvl w:val="0"/>
          <w:numId w:val="1108"/>
        </w:numPr>
      </w:pPr>
      <w:r>
        <w:t xml:space="preserve">percements divers de l’enveloppe et donc de la barrière d’étanchéité à l’air : dalle sur sol, sur cave ou vide ventilé ; sortie de gaines diverses (ventilation, hotte, …) ; blochets de prises et interrupteurs ; </w:t>
      </w:r>
    </w:p>
    <w:p w14:paraId="780A7A62" w14:textId="77777777" w:rsidR="00DB2B68" w:rsidRDefault="00000000">
      <w:pPr>
        <w:pStyle w:val="Author-eListParagraph"/>
        <w:numPr>
          <w:ilvl w:val="0"/>
          <w:numId w:val="1108"/>
        </w:numPr>
      </w:pPr>
      <w:r>
        <w:t>gestion des gaines techniques et gaines d’ascenseurs ;</w:t>
      </w:r>
    </w:p>
    <w:p w14:paraId="45060C25" w14:textId="77777777" w:rsidR="00DB2B68" w:rsidRDefault="00000000">
      <w:pPr>
        <w:pStyle w:val="Author-eListParagraph"/>
        <w:numPr>
          <w:ilvl w:val="0"/>
          <w:numId w:val="1108"/>
        </w:numPr>
      </w:pPr>
      <w:r>
        <w:t>...</w:t>
      </w:r>
    </w:p>
    <w:p w14:paraId="140CBBBD" w14:textId="77777777" w:rsidR="00DB2B68" w:rsidRDefault="00000000">
      <w:r>
        <w:t>PEB : Les  enjeux généraux d’une approche globale de la  performance énergétique du  bâtiment et la façon dont une étanchéité à  l’air performante de l’enveloppe est prise en compte dans la  réglementation PEB sont rappelés  au §00.5 Terminologie du présent cahier des  charges.  </w:t>
      </w:r>
    </w:p>
    <w:p w14:paraId="478B0266" w14:textId="77777777" w:rsidR="00DB2B68" w:rsidRDefault="00000000">
      <w:pPr>
        <w:pStyle w:val="pheading"/>
      </w:pPr>
      <w:r>
        <w:t>CONTRÔLES</w:t>
      </w:r>
    </w:p>
    <w:p w14:paraId="3AE7DA7F" w14:textId="77777777" w:rsidR="00DB2B68" w:rsidRDefault="00000000">
      <w:r>
        <w:t>Au tome 0 également, on explicite  comment procéder à  l’évaluation du niveau d’étanchéité à l’air du  bâtiment dans son  ensemble via un test d’infiltrométrie : voir §03.41.3b Mesures de l'étanchéité à l'air d'un bâtiment</w:t>
      </w:r>
    </w:p>
    <w:p w14:paraId="6BB61300" w14:textId="77777777" w:rsidR="00DB2B68" w:rsidRDefault="00000000">
      <w:pPr>
        <w:pStyle w:val="pheading"/>
      </w:pPr>
      <w:r>
        <w:t>DOCUMENTS DE RÉFÉRENCE</w:t>
      </w:r>
    </w:p>
    <w:p w14:paraId="4303D12C" w14:textId="77777777" w:rsidR="00DB2B68" w:rsidRDefault="00000000">
      <w:pPr>
        <w:pStyle w:val="pheading"/>
      </w:pPr>
      <w:r>
        <w:t>- Exécution</w:t>
      </w:r>
    </w:p>
    <w:p w14:paraId="047C6DAA" w14:textId="77777777" w:rsidR="00DB2B68" w:rsidRDefault="00000000">
      <w:r>
        <w:rPr>
          <w:shd w:val="clear" w:color="auto" w:fill="FFFFFF"/>
        </w:rPr>
        <w:t>[Buildwise Article Dossier (2012/1.01)]</w:t>
      </w:r>
    </w:p>
    <w:p w14:paraId="3487BCB8" w14:textId="77777777" w:rsidR="00DB2B68" w:rsidRDefault="00000000">
      <w:pPr>
        <w:pStyle w:val="Author-eSectionHeading4Numberless"/>
      </w:pPr>
      <w:bookmarkStart w:id="1903" w:name="_Toc220496850"/>
      <w:r>
        <w:t>26.21 Pare-vapeur CCTB 01.02</w:t>
      </w:r>
      <w:bookmarkEnd w:id="1903"/>
    </w:p>
    <w:p w14:paraId="565FADE4" w14:textId="77777777" w:rsidR="00DB2B68" w:rsidRDefault="00000000">
      <w:pPr>
        <w:pStyle w:val="Author-eSectionHeading4Numberless"/>
      </w:pPr>
      <w:bookmarkStart w:id="1904" w:name="846"/>
      <w:bookmarkStart w:id="1905" w:name="_Toc220496851"/>
      <w:bookmarkEnd w:id="1904"/>
      <w:r>
        <w:t>26.22 Raccords et joints souples CCTB 01.02</w:t>
      </w:r>
      <w:bookmarkEnd w:id="1905"/>
    </w:p>
    <w:p w14:paraId="2F9EF5DF" w14:textId="77777777" w:rsidR="00DB2B68" w:rsidRDefault="00000000">
      <w:pPr>
        <w:pStyle w:val="Author-eSectionHeading3Numberless"/>
      </w:pPr>
      <w:bookmarkStart w:id="1906" w:name="_Toc220496852"/>
      <w:r>
        <w:t>26.3 Etanchéisations particulières CCTB 01.02</w:t>
      </w:r>
      <w:bookmarkEnd w:id="1906"/>
    </w:p>
    <w:p w14:paraId="004B3106" w14:textId="77777777" w:rsidR="00DB2B68" w:rsidRDefault="00000000">
      <w:pPr>
        <w:pStyle w:val="Author-eSectionHeading4Numberless"/>
      </w:pPr>
      <w:bookmarkStart w:id="1907" w:name="_Toc220496853"/>
      <w:r>
        <w:t>26.31 Etanchéisation de joints CCTB 01.02</w:t>
      </w:r>
      <w:bookmarkEnd w:id="1907"/>
    </w:p>
    <w:p w14:paraId="5FA471D1" w14:textId="77777777" w:rsidR="00DB2B68" w:rsidRDefault="00000000">
      <w:pPr>
        <w:pStyle w:val="Author-eSectionHeading5Numberless"/>
      </w:pPr>
      <w:bookmarkStart w:id="1908" w:name="_Toc220496854"/>
      <w:r>
        <w:t>26.31.1 Mastics particuliers CCTB 01.02</w:t>
      </w:r>
      <w:bookmarkEnd w:id="1908"/>
    </w:p>
    <w:p w14:paraId="42AF596F" w14:textId="77777777" w:rsidR="00DB2B68" w:rsidRDefault="00000000">
      <w:pPr>
        <w:pStyle w:val="Author-eSectionHeading6Numberless"/>
      </w:pPr>
      <w:bookmarkStart w:id="1909" w:name="_Toc220496855"/>
      <w:r>
        <w:t>26.31.1a Mastic Rf CCTB 01.02</w:t>
      </w:r>
      <w:bookmarkEnd w:id="1909"/>
    </w:p>
    <w:p w14:paraId="5C06DEE0" w14:textId="77777777" w:rsidR="00DB2B68" w:rsidRDefault="00000000">
      <w:pPr>
        <w:pStyle w:val="Author-eSectionHeading5Numberless"/>
      </w:pPr>
      <w:bookmarkStart w:id="1910" w:name="_Toc220496856"/>
      <w:r>
        <w:t>26.31.2 Membranes souples - Membranes CCTB 01.02</w:t>
      </w:r>
      <w:bookmarkEnd w:id="1910"/>
    </w:p>
    <w:p w14:paraId="0EA11244" w14:textId="77777777" w:rsidR="00DB2B68" w:rsidRDefault="00000000">
      <w:pPr>
        <w:pStyle w:val="Author-eSectionHeading5Numberless"/>
      </w:pPr>
      <w:bookmarkStart w:id="1911" w:name="_Toc220496857"/>
      <w:r>
        <w:t>26.31.3 Joints de resserrage acoustique CCTB 01.02</w:t>
      </w:r>
      <w:bookmarkEnd w:id="1911"/>
    </w:p>
    <w:p w14:paraId="54467AD7" w14:textId="77777777" w:rsidR="00DB2B68" w:rsidRDefault="00000000">
      <w:pPr>
        <w:pStyle w:val="Author-eSectionHeading3Numberless"/>
      </w:pPr>
      <w:bookmarkStart w:id="1912" w:name="_Toc220496858"/>
      <w:r>
        <w:t>26.4 Isolation CCTB 01.11</w:t>
      </w:r>
      <w:bookmarkEnd w:id="1912"/>
    </w:p>
    <w:p w14:paraId="2EE37687" w14:textId="77777777" w:rsidR="00DB2B68" w:rsidRDefault="00000000">
      <w:pPr>
        <w:pStyle w:val="pheading"/>
      </w:pPr>
      <w:bookmarkStart w:id="1913" w:name="70"/>
      <w:bookmarkEnd w:id="1913"/>
      <w:r>
        <w:t>DESCRIPTION</w:t>
      </w:r>
    </w:p>
    <w:p w14:paraId="6746EC83" w14:textId="77777777" w:rsidR="00DB2B68" w:rsidRDefault="00000000">
      <w:pPr>
        <w:pStyle w:val="pheading"/>
      </w:pPr>
      <w:r>
        <w:t>- Définition / Comprend</w:t>
      </w:r>
    </w:p>
    <w:p w14:paraId="26EC44C5" w14:textId="77777777" w:rsidR="00DB2B68" w:rsidRDefault="00000000">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14:paraId="5116F19D" w14:textId="77777777" w:rsidR="00DB2B68" w:rsidRDefault="00000000">
      <w:r>
        <w:t xml:space="preserve">Les travaux d'isolation sont prescrits au sein de tomes spécifiques suivant leur application.  Le présent titre concerne les isolants qui sont rendus inaccessibles par des travaux prescrits dans le </w:t>
      </w:r>
      <w:hyperlink w:anchor="41" w:history="1">
        <w:r>
          <w:rPr>
            <w:color w:val="0000EE"/>
          </w:rPr>
          <w:t>2 T2 Superstructures</w:t>
        </w:r>
      </w:hyperlink>
      <w:r>
        <w:t xml:space="preserve"> (entre 2 dalles, derrière un parement maçonné...) ainsi que les isolants entre les éléments de structure et la terre.</w:t>
      </w:r>
    </w:p>
    <w:p w14:paraId="783FE8C7" w14:textId="77777777" w:rsidR="00DB2B68" w:rsidRDefault="00000000">
      <w:r>
        <w:t xml:space="preserve">Pour l'isolation des murs creux de façade, la conception de la coulisse doit correspondre aux modalités d'exécution du parement  (voir les conditions générales au </w:t>
      </w:r>
      <w:hyperlink w:anchor="381" w:history="1">
        <w:r>
          <w:rPr>
            <w:color w:val="0000EE"/>
          </w:rPr>
          <w:t>21.3 Maçonneries de parement</w:t>
        </w:r>
      </w:hyperlink>
      <w:r>
        <w:t>).</w:t>
      </w:r>
    </w:p>
    <w:p w14:paraId="46D204D7" w14:textId="77777777" w:rsidR="00DB2B68" w:rsidRDefault="00000000">
      <w:r>
        <w:t>Dès lors, pour les isolants rendus inaccessibles par les travaux prescrits dans un autre tome, il y a lieu de consulter le tome concerné, à savoir :</w:t>
      </w:r>
    </w:p>
    <w:p w14:paraId="02109156" w14:textId="77777777" w:rsidR="00DB2B68" w:rsidRDefault="00000000">
      <w:pPr>
        <w:pStyle w:val="Author-eListParagraph"/>
        <w:numPr>
          <w:ilvl w:val="0"/>
          <w:numId w:val="1109"/>
        </w:numPr>
      </w:pPr>
      <w:r>
        <w:rPr>
          <w:u w:val="single"/>
        </w:rPr>
        <w:lastRenderedPageBreak/>
        <w:t>1 T1 Terrassements / fondations (15.4 Isolation)</w:t>
      </w:r>
      <w:r>
        <w:t xml:space="preserve"> : les isolants sous dalles de sol ainsi que les isolants sous fondation ou latéralement entre fondation et terre.</w:t>
      </w:r>
    </w:p>
    <w:p w14:paraId="50A452ED" w14:textId="77777777" w:rsidR="00DB2B68" w:rsidRDefault="00000000">
      <w:pPr>
        <w:pStyle w:val="Author-eListParagraph"/>
        <w:numPr>
          <w:ilvl w:val="0"/>
          <w:numId w:val="1109"/>
        </w:numPr>
      </w:pPr>
      <w:r>
        <w:rPr>
          <w:u w:val="single"/>
        </w:rPr>
        <w:t>3 T3 Travaux de toiture (32.4 Isolation)</w:t>
      </w:r>
      <w:r>
        <w:t xml:space="preserve"> : les isolants qui sont rendus inaccessibles par des travaux prescrits dans le 3 T3 Travaux de toiture (par exemple : les isolants placés entre la structure et le revêtement de couverture).</w:t>
      </w:r>
    </w:p>
    <w:p w14:paraId="4B0E4144" w14:textId="77777777" w:rsidR="00DB2B68" w:rsidRDefault="00000000">
      <w:pPr>
        <w:pStyle w:val="Author-eListParagraph"/>
        <w:numPr>
          <w:ilvl w:val="0"/>
          <w:numId w:val="1109"/>
        </w:numPr>
      </w:pPr>
      <w:r>
        <w:rPr>
          <w:u w:val="single"/>
        </w:rPr>
        <w:t>4 T4 Fermetures / Finitions extérieures (44.4 Isolation)</w:t>
      </w:r>
      <w:r>
        <w:t xml:space="preserve"> : les isolants à l'extérieur par rapport à la structure portante et qui ne sont pas repris dans les tomes 1 à 3 (derrière bardage, en faux-plafond extérieur...)</w:t>
      </w:r>
    </w:p>
    <w:p w14:paraId="7CEA9F26" w14:textId="77777777" w:rsidR="00DB2B68" w:rsidRDefault="00000000">
      <w:pPr>
        <w:pStyle w:val="Author-eListParagraph"/>
        <w:numPr>
          <w:ilvl w:val="0"/>
          <w:numId w:val="1109"/>
        </w:numPr>
      </w:pPr>
      <w:r>
        <w:rPr>
          <w:u w:val="single"/>
        </w:rPr>
        <w:t>5 T5 Fermetures / Finitions intérieures (52.4 Isolation)</w:t>
      </w:r>
      <w:r>
        <w:t xml:space="preserve"> : les isolants à l'intérieur par rapport à la structure portante et qui ne sont pas repris dans les tomes 1 à 3 (sous chape, isolation par l'intérieur, isolation dans l'épaisseur de la toiture, en cloisons, en faux-plafonds...)</w:t>
      </w:r>
    </w:p>
    <w:p w14:paraId="4FE85FA7" w14:textId="77777777" w:rsidR="00DB2B68" w:rsidRDefault="00000000">
      <w:r>
        <w:t>Les prescriptions des isolants sont structurées dans le CCTB comme suit :</w:t>
      </w:r>
    </w:p>
    <w:p w14:paraId="20AA6469" w14:textId="77777777" w:rsidR="00DB2B68" w:rsidRDefault="00000000">
      <w:pPr>
        <w:pStyle w:val="Author-eListParagraph"/>
        <w:numPr>
          <w:ilvl w:val="0"/>
          <w:numId w:val="1110"/>
        </w:numPr>
      </w:pPr>
      <w:r>
        <w:rPr>
          <w:u w:val="single"/>
        </w:rPr>
        <w:t>XX.41. Isolation en panneaux</w:t>
      </w:r>
      <w:r>
        <w:t xml:space="preserve"> &gt; matériau se présentant sous forme de panneaux</w:t>
      </w:r>
    </w:p>
    <w:p w14:paraId="43DAC259" w14:textId="77777777" w:rsidR="00DB2B68" w:rsidRDefault="00000000">
      <w:pPr>
        <w:pStyle w:val="Author-eListParagraph"/>
        <w:numPr>
          <w:ilvl w:val="0"/>
          <w:numId w:val="1110"/>
        </w:numPr>
      </w:pPr>
      <w:r>
        <w:rPr>
          <w:u w:val="single"/>
        </w:rPr>
        <w:t>XX.42 Isolation en rouleaux/matelas</w:t>
      </w:r>
      <w:r>
        <w:t xml:space="preserve"> &gt; matériau se présentant sous forme de rouleaux ou matelas présentant plus de souplesse que des panneaux rigides</w:t>
      </w:r>
    </w:p>
    <w:p w14:paraId="3A5E9EA2" w14:textId="77777777" w:rsidR="00DB2B68" w:rsidRDefault="00000000">
      <w:pPr>
        <w:pStyle w:val="Author-eListParagraph"/>
        <w:numPr>
          <w:ilvl w:val="0"/>
          <w:numId w:val="1110"/>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14:paraId="5AF87F92" w14:textId="77777777" w:rsidR="00DB2B68" w:rsidRDefault="00000000">
      <w:pPr>
        <w:pStyle w:val="Author-eListParagraph"/>
        <w:numPr>
          <w:ilvl w:val="0"/>
          <w:numId w:val="1110"/>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14:paraId="0A42F243" w14:textId="77777777" w:rsidR="00DB2B68" w:rsidRDefault="00000000">
      <w:pPr>
        <w:pStyle w:val="Author-eListParagraph"/>
        <w:numPr>
          <w:ilvl w:val="0"/>
          <w:numId w:val="1110"/>
        </w:numPr>
      </w:pPr>
      <w:r>
        <w:rPr>
          <w:u w:val="single"/>
        </w:rPr>
        <w:t>XX.45 Isolation à injecter</w:t>
      </w:r>
      <w:r>
        <w:t>  &gt; isolant injecté dans une lame d’air assez étroite (isolant injectés sous pression dans les lames d’air de murs creux)</w:t>
      </w:r>
    </w:p>
    <w:p w14:paraId="4554AF3C" w14:textId="77777777" w:rsidR="00DB2B68" w:rsidRDefault="00000000">
      <w:pPr>
        <w:pStyle w:val="Author-eListParagraph"/>
        <w:numPr>
          <w:ilvl w:val="0"/>
          <w:numId w:val="1110"/>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14:paraId="5CD361CB" w14:textId="77777777" w:rsidR="00DB2B68" w:rsidRDefault="00000000">
      <w:pPr>
        <w:pStyle w:val="Author-eListParagraph"/>
        <w:numPr>
          <w:ilvl w:val="0"/>
          <w:numId w:val="1110"/>
        </w:numPr>
      </w:pPr>
      <w:r>
        <w:rPr>
          <w:u w:val="single"/>
        </w:rPr>
        <w:t>XX.47 Isolation en blocs</w:t>
      </w:r>
      <w:r>
        <w:t xml:space="preserve"> &gt; cas particuliers des isolants en blocs non-porteurs assemblés à joints secs ou maçonnés.</w:t>
      </w:r>
    </w:p>
    <w:p w14:paraId="345B9026" w14:textId="77777777" w:rsidR="00DB2B68" w:rsidRDefault="00000000">
      <w:pPr>
        <w:pStyle w:val="pheading"/>
      </w:pPr>
      <w:r>
        <w:t>- Remarques importantes</w:t>
      </w:r>
    </w:p>
    <w:p w14:paraId="37B5CEC2" w14:textId="77777777" w:rsidR="00DB2B68" w:rsidRDefault="00000000">
      <w:r>
        <w:rPr>
          <w:b/>
        </w:rPr>
        <w:t>Hygrothermie</w:t>
      </w:r>
      <w:r>
        <w:t xml:space="preserve"> :  La composition des parois constituant l’enveloppe du bâtiment doit se faire en tenant compte des caractéristiques globales des différents matériaux les composant, notamment, du point de vue hygrothermique, la résistance à la diffusion de vapeur d’eau (valeur Sd) de l’écran à l’air et à la vapeur placé du côté chaud de l’isolant ainsi que celle des matériaux constituant la structure ou ossature portante, l’éventuel pare-pluie ainsi que le parement, le bardage ou enduit extérieur.</w:t>
      </w:r>
    </w:p>
    <w:p w14:paraId="54C9B0DB" w14:textId="77777777" w:rsidR="00DB2B68" w:rsidRDefault="00000000">
      <w:r>
        <w:rPr>
          <w:b/>
        </w:rPr>
        <w:t>Performance thermique</w:t>
      </w:r>
      <w:r>
        <w:t xml:space="preserve"> :  Une fois les matériaux mis en œuvre, la résistance thermique globale des parois concernées doit satisfaire aux exigences de la réglementation PEB – voir § 00.5 Terminologie.</w:t>
      </w:r>
    </w:p>
    <w:p w14:paraId="5892AD3B" w14:textId="77777777" w:rsidR="00DB2B68" w:rsidRDefault="00000000">
      <w:pPr>
        <w:pStyle w:val="pheading"/>
      </w:pPr>
      <w:r>
        <w:t>MATÉRIAUX</w:t>
      </w:r>
    </w:p>
    <w:p w14:paraId="0E0C8AF3" w14:textId="77777777" w:rsidR="00DB2B68" w:rsidRDefault="00000000">
      <w:r>
        <w:t>Les matériaux d'isolation sont non capillaires. Ils n'attaquent pas les autres éléments de construction.</w:t>
      </w:r>
      <w:r>
        <w:br/>
        <w:t>Si le matériau d'isolation est endommagé, il ne peut être utilisé.</w:t>
      </w:r>
      <w:r>
        <w:br/>
        <w:t>En ce qui concerne l’isolation des façades, les écarteurs  glissés sur les crochets de murs (lorsque les coulisses ne sont pas  complètement remplies) sont adaptés au type de matériau d'isolation. Un modèle est soumis pour approbation à l'auteur de projet. L’entrepreneur l’informe en outre sur le diamètre des crochets de fixation mécanique, leur nombre par m² et leur matériau constitutif, afin d’introduire ces caractéristiques dans le calcul PEB.</w:t>
      </w:r>
    </w:p>
    <w:p w14:paraId="123B4FF1" w14:textId="77777777" w:rsidR="00DB2B68" w:rsidRDefault="00000000">
      <w:pPr>
        <w:pStyle w:val="pheading"/>
      </w:pPr>
      <w:r>
        <w:t>EXÉCUTION / MISE EN ŒUVRE</w:t>
      </w:r>
    </w:p>
    <w:p w14:paraId="087684DB" w14:textId="77777777" w:rsidR="00DB2B68" w:rsidRDefault="00000000">
      <w:r>
        <w:rPr>
          <w:b/>
          <w:sz w:val="24"/>
        </w:rPr>
        <w:t>Pour les plafonds des caves et vides ventilés</w:t>
      </w:r>
    </w:p>
    <w:p w14:paraId="45D370CB" w14:textId="77777777" w:rsidR="00DB2B68" w:rsidRDefault="00000000">
      <w:r>
        <w:t>-</w:t>
      </w:r>
    </w:p>
    <w:p w14:paraId="5B9AEE2A" w14:textId="77777777" w:rsidR="00DB2B68" w:rsidRDefault="00000000">
      <w:r>
        <w:rPr>
          <w:b/>
          <w:sz w:val="24"/>
        </w:rPr>
        <w:t>Pour les murs enterrés</w:t>
      </w:r>
    </w:p>
    <w:p w14:paraId="61AFB9F7" w14:textId="77777777" w:rsidR="00DB2B68" w:rsidRDefault="00000000">
      <w:r>
        <w:lastRenderedPageBreak/>
        <w:t>Afin de prévenir les ponts thermiques, il est prévu qu'une bande d'isolation continue soit introduite dans le vide du mur, sous la première étanchéité. Selon la profondeur indiquée sur les coupes ou les plans de détail, ce mur se poursuit comme mur maçonné traditionnel ou mur de fondation coulé. L'isolation est posée comme les autres panneaux d'isolation dans les murs creux, mais avec des plaques de nature appropriée.  </w:t>
      </w:r>
    </w:p>
    <w:p w14:paraId="2D7E2A79" w14:textId="77777777" w:rsidR="00DB2B68" w:rsidRDefault="00000000">
      <w:r>
        <w:rPr>
          <w:b/>
          <w:sz w:val="24"/>
        </w:rPr>
        <w:t>Pour les murs creux de façade, y compris les murs faisant l'objet d'une post-isolation</w:t>
      </w:r>
    </w:p>
    <w:p w14:paraId="5C303374" w14:textId="77777777" w:rsidR="00DB2B68" w:rsidRDefault="00000000">
      <w:r>
        <w:t xml:space="preserve">Conformément au chap.  </w:t>
      </w:r>
      <w:hyperlink w:anchor="381" w:history="1">
        <w:r>
          <w:rPr>
            <w:color w:val="0000EE"/>
          </w:rPr>
          <w:t>21.3 Maçonneries de parement</w:t>
        </w:r>
      </w:hyperlink>
      <w:r>
        <w:t xml:space="preserve">, le parement est érigé en trois phases successives. Cela permet de contrôler dans des  conditions optimales   l'ajustement et la fixation de l'isolation des murs creux et de l'étanchéité. Les plaques ne peuvent être appliquées qu'après le contrôle du mur de contre-façade, conformément au système de construction en phases décrit au chapitre </w:t>
      </w:r>
      <w:hyperlink w:anchor="381" w:history="1">
        <w:r>
          <w:rPr>
            <w:color w:val="0000EE"/>
          </w:rPr>
          <w:t>21.3 Maçonneries de parement</w:t>
        </w:r>
      </w:hyperlink>
      <w:r>
        <w:t>.</w:t>
      </w:r>
    </w:p>
    <w:p w14:paraId="4032DEA1" w14:textId="77777777" w:rsidR="00DB2B68" w:rsidRDefault="00000000">
      <w:r>
        <w:t>L'entrepreneur veille à ce que l'isolation forme un ensemble ininterrompu, y compris au droit des nœuds constructifs et ébrasements de porte set fenêtres ; les déformations de la couche d'isolation  doivent être évitées:</w:t>
      </w:r>
    </w:p>
    <w:p w14:paraId="7A939922" w14:textId="77777777" w:rsidR="00DB2B68" w:rsidRDefault="00000000">
      <w:pPr>
        <w:pStyle w:val="Author-eListParagraph"/>
        <w:numPr>
          <w:ilvl w:val="0"/>
          <w:numId w:val="1111"/>
        </w:numPr>
      </w:pPr>
      <w:r>
        <w:t>Lorsque l'isolation est réalisée au moyen de plaques, celles-ci sont posées dans les  plus grandes dimensions possibles, bien ajustées contre la face intérieure de la coulisse. Elles sont appuyées avec une légère pression contre le mur et entre elles afin qu'elles soient bien jointives. Elles sont posées en appareil et soigneusement glissées sur les crochets de mur.</w:t>
      </w:r>
    </w:p>
    <w:p w14:paraId="0B66949B" w14:textId="77777777" w:rsidR="00DB2B68" w:rsidRDefault="00000000">
      <w:pPr>
        <w:pStyle w:val="Author-eListParagraph"/>
        <w:numPr>
          <w:ilvl w:val="0"/>
          <w:numId w:val="1111"/>
        </w:numPr>
      </w:pPr>
      <w:r>
        <w:t>Les  bords des plaques sont coupés bien droits et s'ajustent parfaitement aux autres éléments de construction.</w:t>
      </w:r>
    </w:p>
    <w:p w14:paraId="795FBD78" w14:textId="77777777" w:rsidR="00DB2B68" w:rsidRDefault="00000000">
      <w:pPr>
        <w:pStyle w:val="Author-eListParagraph"/>
        <w:numPr>
          <w:ilvl w:val="0"/>
          <w:numId w:val="1111"/>
        </w:numPr>
      </w:pPr>
      <w:r>
        <w:t>Aux angles de la maçonnerie, l’isolation est continue sur toute l’épaisseur.</w:t>
      </w:r>
    </w:p>
    <w:p w14:paraId="68F4A984" w14:textId="77777777" w:rsidR="00DB2B68" w:rsidRDefault="00000000">
      <w:pPr>
        <w:pStyle w:val="Author-eListParagraph"/>
        <w:numPr>
          <w:ilvl w:val="0"/>
          <w:numId w:val="1111"/>
        </w:numPr>
      </w:pPr>
      <w:r>
        <w:t>Les  perforations des matériaux d’isolation sont limitées au minimum par le choix judicieux de la forme et de la méthode de pose des crochets de  mur. Ils sont posés en légère pente vers l'extérieur. On  fixe les plaques en 5 à 6 points au moins par mètre carré. Dans les  vides ventilés à remplissage partiel, on utilise obligatoirement des  plaquettes qui sont légèrement appuyées contre l'isolation.</w:t>
      </w:r>
    </w:p>
    <w:p w14:paraId="0D180FC9" w14:textId="77777777" w:rsidR="00DB2B68" w:rsidRDefault="00000000">
      <w:pPr>
        <w:pStyle w:val="Author-eListParagraph"/>
        <w:numPr>
          <w:ilvl w:val="0"/>
          <w:numId w:val="1111"/>
        </w:numPr>
      </w:pPr>
      <w:r>
        <w:t>Lorsque des couches d'étanchéité interrompent l'isolation, les  plaques sont soigneusement coupées en forme. A l’assise sur ou à  l’interruption par la membrane d’étanchéité, soit les plaques sont  biseautées suivant la pente de la membrane d’étanchéité, soit celle-ci  est relevée derrière l'isolation.</w:t>
      </w:r>
    </w:p>
    <w:p w14:paraId="6F225BE5" w14:textId="77777777" w:rsidR="00DB2B68" w:rsidRDefault="00000000">
      <w:pPr>
        <w:pStyle w:val="Author-eListParagraph"/>
        <w:numPr>
          <w:ilvl w:val="0"/>
          <w:numId w:val="1111"/>
        </w:numPr>
      </w:pPr>
      <w:r>
        <w:t>Selon les exigences, l'entrepreneur prévoit, à hauteur des linteaux et/ou aux endroits où peuvent se former des ponts thermiques, des bandes d'isolation coupées sur mesure entre le parement, les ébrasements, les linteaux en béton, etc.</w:t>
      </w:r>
    </w:p>
    <w:p w14:paraId="142C6425" w14:textId="77777777" w:rsidR="00DB2B68" w:rsidRDefault="00000000">
      <w:r>
        <w:t>L’isolation de la coulisse est</w:t>
      </w:r>
      <w:r>
        <w:rPr>
          <w:rStyle w:val="optioncarChar"/>
        </w:rPr>
        <w:t> totale </w:t>
      </w:r>
      <w:r>
        <w:t>(par défaut)</w:t>
      </w:r>
      <w:r>
        <w:rPr>
          <w:rStyle w:val="optioncarChar"/>
        </w:rPr>
        <w:t xml:space="preserve"> / partielle / ***</w:t>
      </w:r>
    </w:p>
    <w:p w14:paraId="060A8DFA" w14:textId="77777777" w:rsidR="00DB2B68" w:rsidRDefault="00000000">
      <w:r>
        <w:rPr>
          <w:b/>
          <w:sz w:val="24"/>
        </w:rPr>
        <w:t>Pour les murs structuraux intérieurs  </w:t>
      </w:r>
    </w:p>
    <w:p w14:paraId="5DF55B94" w14:textId="77777777" w:rsidR="00DB2B68" w:rsidRDefault="00000000">
      <w:r>
        <w:t>-</w:t>
      </w:r>
    </w:p>
    <w:p w14:paraId="28C7199B" w14:textId="77777777" w:rsidR="00DB2B68" w:rsidRDefault="00000000">
      <w:r>
        <w:rPr>
          <w:b/>
          <w:sz w:val="24"/>
        </w:rPr>
        <w:t>Pour les murs de séparation entre habitations: (isolation acoustique notamment)</w:t>
      </w:r>
    </w:p>
    <w:p w14:paraId="792E04CE" w14:textId="77777777" w:rsidR="00DB2B68" w:rsidRDefault="00000000">
      <w:r>
        <w:t>L'isolation est placée entre les deux murs porteurs qui constituent la séparation entre les habitations. Le remplissage complet de la coulisse doit contribuer à l'indépendance complète des deux murs, c'est-à-dire sans ponts de mortier, de crochets de mur, etc. A cet effet, on veille à ce que, dans la mesure du possible, l'isolation soit posée d'un seul tenant, sans perforations ni interruptions. Les plaques sont bien jointives, sans restes de mortiers entre les deux. Les plaques rigides ne peuvent pas être coincées trop fortement.</w:t>
      </w:r>
    </w:p>
    <w:p w14:paraId="757B4732" w14:textId="77777777" w:rsidR="00DB2B68" w:rsidRDefault="00000000">
      <w:pPr>
        <w:pStyle w:val="pheading"/>
      </w:pPr>
      <w:r>
        <w:t>DOCUMENTS DE RÉFÉRENCE</w:t>
      </w:r>
    </w:p>
    <w:p w14:paraId="15674CD1" w14:textId="77777777" w:rsidR="00DB2B68" w:rsidRDefault="00000000">
      <w:pPr>
        <w:pStyle w:val="pheading"/>
      </w:pPr>
      <w:r>
        <w:t>- Matériau</w:t>
      </w:r>
    </w:p>
    <w:p w14:paraId="36FAA6F2" w14:textId="77777777" w:rsidR="00DB2B68" w:rsidRDefault="00000000">
      <w:r>
        <w:t>32.4 Isolation</w:t>
      </w:r>
    </w:p>
    <w:p w14:paraId="48E37485" w14:textId="77777777" w:rsidR="00DB2B68" w:rsidRDefault="00000000">
      <w:pPr>
        <w:pStyle w:val="pheading"/>
      </w:pPr>
      <w:r>
        <w:lastRenderedPageBreak/>
        <w:t>- Exécution</w:t>
      </w:r>
    </w:p>
    <w:p w14:paraId="58F9EDA7" w14:textId="77777777" w:rsidR="00DB2B68" w:rsidRDefault="00000000">
      <w:r>
        <w:t>32.4 Isolation</w:t>
      </w:r>
    </w:p>
    <w:p w14:paraId="071F099F" w14:textId="77777777" w:rsidR="00DB2B68" w:rsidRDefault="00000000">
      <w:pPr>
        <w:pStyle w:val="Author-eSectionHeading4Numberless"/>
      </w:pPr>
      <w:bookmarkStart w:id="1914" w:name="_Toc220496859"/>
      <w:r>
        <w:t>26.41 Isolation en panneaux CCTB 01.11</w:t>
      </w:r>
      <w:bookmarkEnd w:id="1914"/>
    </w:p>
    <w:p w14:paraId="4CC0C618" w14:textId="77777777" w:rsidR="00DB2B68" w:rsidRDefault="00000000">
      <w:pPr>
        <w:pStyle w:val="pheading"/>
      </w:pPr>
      <w:r>
        <w:t>DESCRIPTION</w:t>
      </w:r>
    </w:p>
    <w:p w14:paraId="1A7C5C70" w14:textId="77777777" w:rsidR="00DB2B68" w:rsidRDefault="00000000">
      <w:pPr>
        <w:pStyle w:val="pheading"/>
      </w:pPr>
      <w:r>
        <w:t>- Remarques importantes</w:t>
      </w:r>
    </w:p>
    <w:p w14:paraId="2FF306BC" w14:textId="77777777" w:rsidR="00DB2B68" w:rsidRDefault="00000000">
      <w:r>
        <w:t>Voir article 32.41 Isolation en panneaux</w:t>
      </w:r>
    </w:p>
    <w:p w14:paraId="1956302B" w14:textId="77777777" w:rsidR="00DB2B68" w:rsidRDefault="00000000">
      <w:pPr>
        <w:pStyle w:val="pheading"/>
      </w:pPr>
      <w:r>
        <w:t>MATÉRIAUX</w:t>
      </w:r>
    </w:p>
    <w:p w14:paraId="1A829B3E" w14:textId="77777777" w:rsidR="00DB2B68" w:rsidRDefault="00000000">
      <w:r>
        <w:t>Voir article 32.41 Isolation en panneaux</w:t>
      </w:r>
    </w:p>
    <w:p w14:paraId="1F8A6727" w14:textId="77777777" w:rsidR="00DB2B68" w:rsidRDefault="00000000">
      <w:pPr>
        <w:pStyle w:val="pheading"/>
      </w:pPr>
      <w:r>
        <w:t>EXÉCUTION / MISE EN ŒUVRE</w:t>
      </w:r>
    </w:p>
    <w:p w14:paraId="1BA3FD8A" w14:textId="77777777" w:rsidR="00DB2B68" w:rsidRDefault="00000000">
      <w:r>
        <w:rPr>
          <w:b/>
          <w:sz w:val="24"/>
        </w:rPr>
        <w:t>Isolation des murs creux</w:t>
      </w:r>
    </w:p>
    <w:p w14:paraId="7D425DB6" w14:textId="77777777" w:rsidR="00DB2B68" w:rsidRDefault="00000000">
      <w:r>
        <w:t>Voir article 32.41 Isolation en panneaux</w:t>
      </w:r>
    </w:p>
    <w:p w14:paraId="7612135D" w14:textId="77777777" w:rsidR="00DB2B68" w:rsidRDefault="00000000">
      <w:r>
        <w:t>Les plaques sont bien ajustées contre le mur. Si une rainure est présente, elle est orientée vers le bas.</w:t>
      </w:r>
    </w:p>
    <w:p w14:paraId="2E7DC78E" w14:textId="77777777" w:rsidR="00DB2B68" w:rsidRDefault="00000000">
      <w:pPr>
        <w:pStyle w:val="pheading"/>
      </w:pPr>
      <w:r>
        <w:t>DOCUMENTS DE RÉFÉRENCE</w:t>
      </w:r>
    </w:p>
    <w:p w14:paraId="2A5D544D" w14:textId="77777777" w:rsidR="00DB2B68" w:rsidRDefault="00000000">
      <w:pPr>
        <w:pStyle w:val="pheading"/>
      </w:pPr>
      <w:r>
        <w:t>- Matériau</w:t>
      </w:r>
    </w:p>
    <w:p w14:paraId="5977CCE9" w14:textId="77777777" w:rsidR="00DB2B68" w:rsidRDefault="00000000">
      <w:r>
        <w:t>32.41 Isolation en panneaux</w:t>
      </w:r>
    </w:p>
    <w:p w14:paraId="63FCF6A9" w14:textId="77777777" w:rsidR="00DB2B68" w:rsidRDefault="00000000">
      <w:pPr>
        <w:pStyle w:val="pheading"/>
      </w:pPr>
      <w:r>
        <w:t>- Exécution</w:t>
      </w:r>
    </w:p>
    <w:p w14:paraId="7A8FA06F" w14:textId="77777777" w:rsidR="00DB2B68" w:rsidRDefault="00000000">
      <w:r>
        <w:t>32.41 Isolation en panneaux</w:t>
      </w:r>
    </w:p>
    <w:p w14:paraId="730AC9DE" w14:textId="77777777" w:rsidR="00DB2B68" w:rsidRDefault="00000000">
      <w:pPr>
        <w:pStyle w:val="pheading"/>
      </w:pPr>
      <w:r>
        <w:t>AIDE</w:t>
      </w:r>
    </w:p>
    <w:p w14:paraId="7FEF3A1D" w14:textId="77777777" w:rsidR="00DB2B68" w:rsidRDefault="00000000">
      <w:r>
        <w:rPr>
          <w:u w:val="single"/>
        </w:rPr>
        <w:t>Note à l’attention de l’auteur de projet</w:t>
      </w:r>
    </w:p>
    <w:p w14:paraId="17955D1A" w14:textId="77777777" w:rsidR="00DB2B68" w:rsidRDefault="00000000">
      <w:r>
        <w:t>La solution de l'isolation par l'intérieur reste délicate à mettre en œuvre. Les simulations dynamiques du transfert de chaleur et de vapeur d'eau montrent qu'il existe un risque d'accumulation d'eau dans la paroi si la brique est trop poreuse. C'est donc une donnée à prendre absolument en compte avant de projeter ces travaux. Dans ce cas, un hydrofuge de façade peut être préconisé afin de viabiliser la solution.</w:t>
      </w:r>
    </w:p>
    <w:p w14:paraId="58217DF1" w14:textId="77777777" w:rsidR="00DB2B68" w:rsidRDefault="00000000">
      <w:r>
        <w:t>Dans le cas d'une variation d'humidité au sein du matériau, due par exemple à une fuite accidentelle, le panneau est capable de retrouver une situation d'équilibre et de continuer d'assurer sa fonction d'isolant si la fuite est repérée rapidement. Il est par contre prudent, si la durée d'exposition à cette humidité se prolonge, de prévoir le remplacement des panneaux qui peuvent s'être tassés sous leur poids gorgé d'eau. La même recommandation est applicable à tous les matériaux isolants, même traditionnels.</w:t>
      </w:r>
    </w:p>
    <w:p w14:paraId="17E97C0B" w14:textId="77777777" w:rsidR="00DB2B68" w:rsidRDefault="00000000">
      <w:r>
        <w:t>De manière générale, l'isolation par l'intérieur expose le mur à des chocs thermiques et crée ou accentue les ponts thermiques (planchers, murs de refends, …). Plus l'épaisseur de l'isolant est importante et plus le pont thermique avec les zones non isolées l'est également.</w:t>
      </w:r>
    </w:p>
    <w:p w14:paraId="73485E47" w14:textId="77777777" w:rsidR="00DB2B68" w:rsidRDefault="00000000">
      <w:r>
        <w:t>Il convient d'être particulièrement vigilent en ce qui concerne le choix et la mise en œuvre du pare-vapeur. De même, il est indispensable de prévoir un vide technique après le pare-vapeur pour toutes les parois qui comportent des installations techniques (prises, alimentations de radiateurs, gaine de ventilation,…) afin d'éviter toute perforation.</w:t>
      </w:r>
    </w:p>
    <w:p w14:paraId="3A55B10B" w14:textId="77777777" w:rsidR="00DB2B68" w:rsidRDefault="00000000">
      <w:r>
        <w:t>N'est pas approprié aux constructions dans lesquelles des travaux à forte humidité sont réalisés : non approprié pour les piscines ou les saunas.</w:t>
      </w:r>
    </w:p>
    <w:p w14:paraId="0475D887" w14:textId="77777777" w:rsidR="00DB2B68" w:rsidRDefault="00000000">
      <w:pPr>
        <w:pStyle w:val="Author-eSectionHeading5Numberless"/>
      </w:pPr>
      <w:bookmarkStart w:id="1915" w:name="_Toc220496860"/>
      <w:r>
        <w:t>26.41.1 Isolation en panneaux - matières synthétiques CCTB 01.02</w:t>
      </w:r>
      <w:bookmarkEnd w:id="1915"/>
    </w:p>
    <w:p w14:paraId="38006B3D" w14:textId="77777777" w:rsidR="00DB2B68" w:rsidRDefault="00000000">
      <w:pPr>
        <w:pStyle w:val="Author-eSectionHeading6Numberless"/>
      </w:pPr>
      <w:bookmarkStart w:id="1916" w:name="_Toc220496861"/>
      <w:r>
        <w:t>26.41.1a Isolation en panneaux - polystyrène extrudé (XPS) CCTB 01.11</w:t>
      </w:r>
      <w:bookmarkEnd w:id="1916"/>
    </w:p>
    <w:p w14:paraId="031EE5D8" w14:textId="77777777" w:rsidR="00DB2B68" w:rsidRDefault="00000000">
      <w:pPr>
        <w:pStyle w:val="pheading"/>
      </w:pPr>
      <w:r>
        <w:lastRenderedPageBreak/>
        <w:t>DESCRIPTION</w:t>
      </w:r>
    </w:p>
    <w:p w14:paraId="53644B69" w14:textId="77777777" w:rsidR="00DB2B68" w:rsidRDefault="00000000">
      <w:pPr>
        <w:pStyle w:val="pheading"/>
      </w:pPr>
      <w:r>
        <w:t>- Définition / Comprend</w:t>
      </w:r>
    </w:p>
    <w:p w14:paraId="49ADE0F9" w14:textId="77777777" w:rsidR="00DB2B68" w:rsidRDefault="00000000">
      <w:r>
        <w:t xml:space="preserve">Ce poste concerne l’isolation thermique des parois et éléments de construction décrits au titre </w:t>
      </w:r>
      <w:hyperlink w:anchor="70" w:history="1">
        <w:r>
          <w:rPr>
            <w:color w:val="0000EE"/>
          </w:rPr>
          <w:t>26.4 Isolation</w:t>
        </w:r>
      </w:hyperlink>
    </w:p>
    <w:p w14:paraId="2E9C9B88" w14:textId="77777777" w:rsidR="00DB2B68" w:rsidRDefault="00000000">
      <w:pPr>
        <w:pStyle w:val="pheading"/>
      </w:pPr>
      <w:r>
        <w:t>- Localisation</w:t>
      </w:r>
    </w:p>
    <w:p w14:paraId="49077989" w14:textId="77777777" w:rsidR="00DB2B68" w:rsidRDefault="00000000">
      <w:r>
        <w:t>Voir titre </w:t>
      </w:r>
      <w:hyperlink w:anchor="70" w:history="1">
        <w:r>
          <w:rPr>
            <w:color w:val="0000EE"/>
          </w:rPr>
          <w:t>26.4 Isolation</w:t>
        </w:r>
      </w:hyperlink>
    </w:p>
    <w:p w14:paraId="3ECE6166" w14:textId="77777777" w:rsidR="00DB2B68" w:rsidRDefault="00000000">
      <w:pPr>
        <w:pStyle w:val="pheading"/>
      </w:pPr>
      <w:r>
        <w:t>MATÉRIAUX</w:t>
      </w:r>
    </w:p>
    <w:p w14:paraId="0E7B5DB9" w14:textId="77777777" w:rsidR="00DB2B68" w:rsidRDefault="00000000">
      <w:pPr>
        <w:pStyle w:val="pheading"/>
      </w:pPr>
      <w:r>
        <w:t>- Caractéristiques générales</w:t>
      </w:r>
    </w:p>
    <w:p w14:paraId="2DC7499D" w14:textId="77777777" w:rsidR="00DB2B68" w:rsidRDefault="00000000">
      <w:r>
        <w:t>Voir 32.41.1a Isolation en panneaux - polystyrène extrudé (XPS)</w:t>
      </w:r>
    </w:p>
    <w:p w14:paraId="515FE9D8" w14:textId="77777777" w:rsidR="00DB2B68" w:rsidRDefault="00000000">
      <w:pPr>
        <w:pStyle w:val="pheading"/>
      </w:pPr>
      <w:r>
        <w:t>MESURAGE</w:t>
      </w:r>
    </w:p>
    <w:p w14:paraId="679AED31" w14:textId="77777777" w:rsidR="00DB2B68" w:rsidRDefault="00000000">
      <w:pPr>
        <w:pStyle w:val="pheading"/>
      </w:pPr>
      <w:r>
        <w:t>- unité de mesure:</w:t>
      </w:r>
    </w:p>
    <w:p w14:paraId="3D8A55F4" w14:textId="77777777" w:rsidR="00DB2B68" w:rsidRDefault="00000000">
      <w:r>
        <w:t>m²</w:t>
      </w:r>
    </w:p>
    <w:p w14:paraId="7F1053B8" w14:textId="77777777" w:rsidR="00DB2B68" w:rsidRDefault="00000000">
      <w:pPr>
        <w:pStyle w:val="pheading"/>
      </w:pPr>
      <w:r>
        <w:t>- code de mesurage:</w:t>
      </w:r>
    </w:p>
    <w:p w14:paraId="3068B122" w14:textId="77777777" w:rsidR="00DB2B68" w:rsidRDefault="00000000">
      <w:r>
        <w:t>Distinction faite suivant l'épaisseur.</w:t>
      </w:r>
    </w:p>
    <w:p w14:paraId="3B601F6C" w14:textId="77777777" w:rsidR="00DB2B68" w:rsidRDefault="00000000">
      <w:pPr>
        <w:pStyle w:val="Author-eListParagraph"/>
        <w:numPr>
          <w:ilvl w:val="0"/>
          <w:numId w:val="1112"/>
        </w:numPr>
      </w:pPr>
      <w:r>
        <w:t xml:space="preserve">Isolation des </w:t>
      </w:r>
      <w:r>
        <w:rPr>
          <w:b/>
        </w:rPr>
        <w:t>parois verticales : Surface nette</w:t>
      </w:r>
      <w:r>
        <w:t>. Les ouvertures supérieures à 0,50 m² sont déduites</w:t>
      </w:r>
    </w:p>
    <w:p w14:paraId="71A2434E" w14:textId="77777777" w:rsidR="00DB2B68" w:rsidRDefault="00000000">
      <w:pPr>
        <w:pStyle w:val="Author-eListParagraph"/>
        <w:numPr>
          <w:ilvl w:val="0"/>
          <w:numId w:val="1112"/>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78FCF5B4" w14:textId="77777777" w:rsidR="00DB2B68" w:rsidRDefault="00000000">
      <w:pPr>
        <w:pStyle w:val="pheading"/>
      </w:pPr>
      <w:r>
        <w:t>- nature du marché:</w:t>
      </w:r>
    </w:p>
    <w:p w14:paraId="1B6AE9A9" w14:textId="77777777" w:rsidR="00DB2B68" w:rsidRDefault="00000000">
      <w:r>
        <w:t>QF</w:t>
      </w:r>
    </w:p>
    <w:p w14:paraId="6F92C831" w14:textId="77777777" w:rsidR="00DB2B68" w:rsidRDefault="00000000">
      <w:pPr>
        <w:pStyle w:val="Author-eSectionHeading6Numberless"/>
      </w:pPr>
      <w:bookmarkStart w:id="1917" w:name="_Toc220496862"/>
      <w:r>
        <w:t>26.41.1b Isolation en panneaux - polystyrène expansé (EPS / EPS HD) CCTB 01.11</w:t>
      </w:r>
      <w:bookmarkEnd w:id="1917"/>
    </w:p>
    <w:p w14:paraId="6D16EACC" w14:textId="77777777" w:rsidR="00DB2B68" w:rsidRDefault="00000000">
      <w:pPr>
        <w:pStyle w:val="pheading"/>
      </w:pPr>
      <w:bookmarkStart w:id="1918" w:name="648"/>
      <w:bookmarkEnd w:id="1918"/>
      <w:r>
        <w:t>DESCRIPTION</w:t>
      </w:r>
    </w:p>
    <w:p w14:paraId="233A7CA3" w14:textId="77777777" w:rsidR="00DB2B68" w:rsidRDefault="00000000">
      <w:pPr>
        <w:pStyle w:val="pheading"/>
      </w:pPr>
      <w:r>
        <w:t>- Définition / Comprend</w:t>
      </w:r>
    </w:p>
    <w:p w14:paraId="15CC3BAE" w14:textId="77777777" w:rsidR="00DB2B68" w:rsidRDefault="00000000">
      <w:r>
        <w:t xml:space="preserve">Ce poste concerne l’isolation thermique des parois et éléments de construction décrits au </w:t>
      </w:r>
      <w:hyperlink w:anchor="648" w:history="1">
        <w:r>
          <w:rPr>
            <w:color w:val="0000EE"/>
          </w:rPr>
          <w:t>26.41.1b Isolation en panneaux - polystyrène expansé (EPS / EPS HD)</w:t>
        </w:r>
      </w:hyperlink>
    </w:p>
    <w:p w14:paraId="571A3A1B" w14:textId="77777777" w:rsidR="00DB2B68" w:rsidRDefault="00000000">
      <w:pPr>
        <w:pStyle w:val="pheading"/>
      </w:pPr>
      <w:r>
        <w:t>- Localisation</w:t>
      </w:r>
    </w:p>
    <w:p w14:paraId="24340AFB" w14:textId="77777777" w:rsidR="00DB2B68" w:rsidRDefault="00000000">
      <w:r>
        <w:t xml:space="preserve">Voir </w:t>
      </w:r>
      <w:hyperlink w:anchor="70" w:history="1">
        <w:r>
          <w:rPr>
            <w:color w:val="0000EE"/>
          </w:rPr>
          <w:t>26.4 Isolation</w:t>
        </w:r>
      </w:hyperlink>
    </w:p>
    <w:p w14:paraId="7B960B9B" w14:textId="77777777" w:rsidR="00DB2B68" w:rsidRDefault="00000000">
      <w:pPr>
        <w:pStyle w:val="pheading"/>
      </w:pPr>
      <w:r>
        <w:t>MATÉRIAUX</w:t>
      </w:r>
    </w:p>
    <w:p w14:paraId="46484400" w14:textId="77777777" w:rsidR="00DB2B68" w:rsidRDefault="00000000">
      <w:pPr>
        <w:pStyle w:val="pheading"/>
      </w:pPr>
      <w:r>
        <w:t>- Caractéristiques générales</w:t>
      </w:r>
    </w:p>
    <w:p w14:paraId="5D65963B" w14:textId="77777777" w:rsidR="00DB2B68" w:rsidRDefault="00000000">
      <w:r>
        <w:t>Voir 32.41.1b Isolation en panneaux - polystyrène expansé (EPS)</w:t>
      </w:r>
    </w:p>
    <w:p w14:paraId="1D41344C" w14:textId="77777777" w:rsidR="00DB2B68" w:rsidRDefault="00000000">
      <w:pPr>
        <w:pStyle w:val="pheading"/>
      </w:pPr>
      <w:r>
        <w:t>MESURAGE</w:t>
      </w:r>
    </w:p>
    <w:p w14:paraId="697FF96F" w14:textId="77777777" w:rsidR="00DB2B68" w:rsidRDefault="00000000">
      <w:pPr>
        <w:pStyle w:val="pheading"/>
      </w:pPr>
      <w:r>
        <w:t>- unité de mesure:</w:t>
      </w:r>
    </w:p>
    <w:p w14:paraId="6D910F82" w14:textId="77777777" w:rsidR="00DB2B68" w:rsidRDefault="00000000">
      <w:r>
        <w:t>m²</w:t>
      </w:r>
    </w:p>
    <w:p w14:paraId="710CD58D" w14:textId="77777777" w:rsidR="00DB2B68" w:rsidRDefault="00000000">
      <w:pPr>
        <w:pStyle w:val="pheading"/>
      </w:pPr>
      <w:r>
        <w:t>- code de mesurage:</w:t>
      </w:r>
    </w:p>
    <w:p w14:paraId="14696EA6" w14:textId="77777777" w:rsidR="00DB2B68" w:rsidRDefault="00000000">
      <w:r>
        <w:t>Distinction faite suivant l'épaisseur.</w:t>
      </w:r>
      <w:r>
        <w:br/>
      </w:r>
    </w:p>
    <w:p w14:paraId="2BC6837D" w14:textId="77777777" w:rsidR="00DB2B68" w:rsidRDefault="00000000">
      <w:pPr>
        <w:pStyle w:val="Author-eListParagraph"/>
        <w:numPr>
          <w:ilvl w:val="0"/>
          <w:numId w:val="1113"/>
        </w:numPr>
      </w:pPr>
      <w:r>
        <w:t xml:space="preserve">Isolation des </w:t>
      </w:r>
      <w:r>
        <w:rPr>
          <w:b/>
        </w:rPr>
        <w:t>parois verticales : Surface nette</w:t>
      </w:r>
      <w:r>
        <w:t>. Les ouvertures supérieures à 0,50 m² seront déduites</w:t>
      </w:r>
    </w:p>
    <w:p w14:paraId="79AF1A30" w14:textId="77777777" w:rsidR="00DB2B68" w:rsidRDefault="00000000">
      <w:pPr>
        <w:pStyle w:val="Author-eListParagraph"/>
        <w:numPr>
          <w:ilvl w:val="0"/>
          <w:numId w:val="1113"/>
        </w:numPr>
      </w:pPr>
      <w:r>
        <w:lastRenderedPageBreak/>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14:paraId="4D8CA417" w14:textId="77777777" w:rsidR="00DB2B68" w:rsidRDefault="00000000">
      <w:pPr>
        <w:pStyle w:val="pheading"/>
      </w:pPr>
      <w:r>
        <w:t>- nature du marché:</w:t>
      </w:r>
    </w:p>
    <w:p w14:paraId="277FDB8D" w14:textId="77777777" w:rsidR="00DB2B68" w:rsidRDefault="00000000">
      <w:r>
        <w:t>QF</w:t>
      </w:r>
    </w:p>
    <w:p w14:paraId="6F1677DA" w14:textId="77777777" w:rsidR="00DB2B68" w:rsidRDefault="00000000">
      <w:pPr>
        <w:pStyle w:val="Author-eSectionHeading6Numberless"/>
      </w:pPr>
      <w:bookmarkStart w:id="1919" w:name="_Toc220496863"/>
      <w:r>
        <w:t>26.41.1c Isolation en panneaux - polystyrène expansé additionné de graphite/carbone CCTB 01.11</w:t>
      </w:r>
      <w:bookmarkEnd w:id="1919"/>
    </w:p>
    <w:p w14:paraId="4C00D8E9" w14:textId="77777777" w:rsidR="00DB2B68" w:rsidRDefault="00000000">
      <w:pPr>
        <w:pStyle w:val="Author-eSectionHeading6Numberless"/>
      </w:pPr>
      <w:bookmarkStart w:id="1920" w:name="_Toc220496864"/>
      <w:r>
        <w:t>26.41.1d Isolation en panneaux - polyuréthane (PUR) CCTB 01.11</w:t>
      </w:r>
      <w:bookmarkEnd w:id="1920"/>
    </w:p>
    <w:p w14:paraId="578E4014" w14:textId="77777777" w:rsidR="00DB2B68" w:rsidRDefault="00000000">
      <w:pPr>
        <w:pStyle w:val="pheading"/>
      </w:pPr>
      <w:bookmarkStart w:id="1921" w:name="986"/>
      <w:bookmarkEnd w:id="1921"/>
      <w:r>
        <w:t>MATÉRIAUX</w:t>
      </w:r>
    </w:p>
    <w:p w14:paraId="073D2C84" w14:textId="77777777" w:rsidR="00DB2B68" w:rsidRDefault="00000000">
      <w:pPr>
        <w:pStyle w:val="pheading"/>
      </w:pPr>
      <w:r>
        <w:t>- Caractéristiques générales</w:t>
      </w:r>
    </w:p>
    <w:p w14:paraId="50E170FC" w14:textId="77777777" w:rsidR="00DB2B68" w:rsidRDefault="00000000">
      <w:r>
        <w:t>Voir 32.41.1d Isolation en panneaux - polyuréthane (PUR)</w:t>
      </w:r>
    </w:p>
    <w:p w14:paraId="73B853C1" w14:textId="77777777" w:rsidR="00DB2B68" w:rsidRDefault="00000000">
      <w:pPr>
        <w:pStyle w:val="pheading"/>
      </w:pPr>
      <w:r>
        <w:t>MESURAGE</w:t>
      </w:r>
    </w:p>
    <w:p w14:paraId="0171F5A6" w14:textId="77777777" w:rsidR="00DB2B68" w:rsidRDefault="00000000">
      <w:pPr>
        <w:pStyle w:val="pheading"/>
      </w:pPr>
      <w:r>
        <w:t>- unité de mesure:</w:t>
      </w:r>
    </w:p>
    <w:p w14:paraId="0BE98F64" w14:textId="77777777" w:rsidR="00DB2B68" w:rsidRDefault="00000000">
      <w:r>
        <w:t>m²</w:t>
      </w:r>
    </w:p>
    <w:p w14:paraId="1A2E97A5" w14:textId="77777777" w:rsidR="00DB2B68" w:rsidRDefault="00000000">
      <w:pPr>
        <w:pStyle w:val="pheading"/>
      </w:pPr>
      <w:r>
        <w:t>- code de mesurage:</w:t>
      </w:r>
    </w:p>
    <w:p w14:paraId="087C4948" w14:textId="77777777" w:rsidR="00DB2B68" w:rsidRDefault="00000000">
      <w:r>
        <w:t>Distinction faite suivant l'épaisseur.</w:t>
      </w:r>
      <w:r>
        <w:br/>
      </w:r>
    </w:p>
    <w:p w14:paraId="2314110F" w14:textId="77777777" w:rsidR="00DB2B68" w:rsidRDefault="00000000">
      <w:pPr>
        <w:pStyle w:val="Author-eListParagraph"/>
        <w:numPr>
          <w:ilvl w:val="0"/>
          <w:numId w:val="1114"/>
        </w:numPr>
      </w:pPr>
      <w:r>
        <w:t xml:space="preserve">Isolation des </w:t>
      </w:r>
      <w:r>
        <w:rPr>
          <w:b/>
        </w:rPr>
        <w:t>parois verticales : Surface nette</w:t>
      </w:r>
      <w:r>
        <w:t>. Les ouvertures supérieures à 0,50 m² sont déduites</w:t>
      </w:r>
    </w:p>
    <w:p w14:paraId="53DF29A1" w14:textId="77777777" w:rsidR="00DB2B68" w:rsidRDefault="00000000">
      <w:pPr>
        <w:pStyle w:val="Author-eListParagraph"/>
        <w:numPr>
          <w:ilvl w:val="0"/>
          <w:numId w:val="1114"/>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334CD806" w14:textId="77777777" w:rsidR="00DB2B68" w:rsidRDefault="00000000">
      <w:pPr>
        <w:pStyle w:val="pheading"/>
      </w:pPr>
      <w:r>
        <w:t>- nature du marché:</w:t>
      </w:r>
    </w:p>
    <w:p w14:paraId="260827C3" w14:textId="77777777" w:rsidR="00DB2B68" w:rsidRDefault="00000000">
      <w:r>
        <w:t>QF</w:t>
      </w:r>
    </w:p>
    <w:p w14:paraId="21EA258E" w14:textId="77777777" w:rsidR="00DB2B68" w:rsidRDefault="00000000">
      <w:pPr>
        <w:pStyle w:val="Author-eSectionHeading6Numberless"/>
      </w:pPr>
      <w:bookmarkStart w:id="1922" w:name="_Toc220496865"/>
      <w:r>
        <w:t>26.41.1e Isolation en panneaux - polyisocyanurate (PIR) CCTB 01.11</w:t>
      </w:r>
      <w:bookmarkEnd w:id="1922"/>
    </w:p>
    <w:p w14:paraId="2EAF7787" w14:textId="77777777" w:rsidR="00DB2B68" w:rsidRDefault="00000000">
      <w:pPr>
        <w:pStyle w:val="pheading"/>
      </w:pPr>
      <w:bookmarkStart w:id="1923" w:name="987"/>
      <w:bookmarkEnd w:id="1923"/>
      <w:r>
        <w:t>MESURAGE</w:t>
      </w:r>
    </w:p>
    <w:p w14:paraId="1C893FB3" w14:textId="77777777" w:rsidR="00DB2B68" w:rsidRDefault="00000000">
      <w:pPr>
        <w:pStyle w:val="pheading"/>
      </w:pPr>
      <w:r>
        <w:t>- unité de mesure:</w:t>
      </w:r>
    </w:p>
    <w:p w14:paraId="585D7EB5" w14:textId="77777777" w:rsidR="00DB2B68" w:rsidRDefault="00000000">
      <w:r>
        <w:t>m²</w:t>
      </w:r>
    </w:p>
    <w:p w14:paraId="15D2C6F0" w14:textId="77777777" w:rsidR="00DB2B68" w:rsidRDefault="00000000">
      <w:pPr>
        <w:pStyle w:val="pheading"/>
      </w:pPr>
      <w:r>
        <w:t>- code de mesurage:</w:t>
      </w:r>
    </w:p>
    <w:p w14:paraId="5226AF37" w14:textId="77777777" w:rsidR="00DB2B68" w:rsidRDefault="00000000">
      <w:r>
        <w:t>Distinction faite suivant l'épaisseur.</w:t>
      </w:r>
      <w:r>
        <w:br/>
      </w:r>
    </w:p>
    <w:p w14:paraId="311CBC81" w14:textId="77777777" w:rsidR="00DB2B68" w:rsidRDefault="00000000">
      <w:pPr>
        <w:pStyle w:val="Author-eListParagraph"/>
        <w:numPr>
          <w:ilvl w:val="0"/>
          <w:numId w:val="1115"/>
        </w:numPr>
      </w:pPr>
      <w:r>
        <w:t xml:space="preserve">Isolation des </w:t>
      </w:r>
      <w:r>
        <w:rPr>
          <w:b/>
        </w:rPr>
        <w:t>parois verticales : Surface nette</w:t>
      </w:r>
      <w:r>
        <w:t>. Les ouvertures supérieures à 0,50 m² sont déduites</w:t>
      </w:r>
    </w:p>
    <w:p w14:paraId="36786D71" w14:textId="77777777" w:rsidR="00DB2B68" w:rsidRDefault="00000000">
      <w:pPr>
        <w:pStyle w:val="Author-eListParagraph"/>
        <w:numPr>
          <w:ilvl w:val="0"/>
          <w:numId w:val="1115"/>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450B53F4" w14:textId="77777777" w:rsidR="00DB2B68" w:rsidRDefault="00000000">
      <w:pPr>
        <w:pStyle w:val="pheading"/>
      </w:pPr>
      <w:r>
        <w:t>- nature du marché:</w:t>
      </w:r>
    </w:p>
    <w:p w14:paraId="5EA0918E" w14:textId="77777777" w:rsidR="00DB2B68" w:rsidRDefault="00000000">
      <w:r>
        <w:t>QF</w:t>
      </w:r>
    </w:p>
    <w:p w14:paraId="50FCCD3A" w14:textId="77777777" w:rsidR="00DB2B68" w:rsidRDefault="00000000">
      <w:pPr>
        <w:pStyle w:val="Author-eSectionHeading6Numberless"/>
      </w:pPr>
      <w:bookmarkStart w:id="1924" w:name="_Toc220496866"/>
      <w:r>
        <w:t>26.41.1f Isolation en panneaux - mousse phénolique (PF) CCTB 01.11</w:t>
      </w:r>
      <w:bookmarkEnd w:id="1924"/>
    </w:p>
    <w:p w14:paraId="0D59FF58" w14:textId="77777777" w:rsidR="00DB2B68" w:rsidRDefault="00000000">
      <w:pPr>
        <w:pStyle w:val="pheading"/>
      </w:pPr>
      <w:r>
        <w:t>MATÉRIAUX</w:t>
      </w:r>
    </w:p>
    <w:p w14:paraId="50A57B34" w14:textId="77777777" w:rsidR="00DB2B68" w:rsidRDefault="00000000">
      <w:pPr>
        <w:pStyle w:val="pheading"/>
      </w:pPr>
      <w:r>
        <w:t>- Caractéristiques générales</w:t>
      </w:r>
    </w:p>
    <w:p w14:paraId="7774687B" w14:textId="77777777" w:rsidR="00DB2B68" w:rsidRDefault="00000000">
      <w:r>
        <w:lastRenderedPageBreak/>
        <w:t>Voir 32.41.1f Isolation en panneaux - mousse phénolique (PF)</w:t>
      </w:r>
    </w:p>
    <w:p w14:paraId="47D93AC8" w14:textId="77777777" w:rsidR="00DB2B68" w:rsidRDefault="00000000">
      <w:pPr>
        <w:pStyle w:val="pheading"/>
      </w:pPr>
      <w:r>
        <w:t>MESURAGE</w:t>
      </w:r>
    </w:p>
    <w:p w14:paraId="73B0ED7C" w14:textId="77777777" w:rsidR="00DB2B68" w:rsidRDefault="00000000">
      <w:pPr>
        <w:pStyle w:val="pheading"/>
      </w:pPr>
      <w:r>
        <w:t>- unité de mesure:</w:t>
      </w:r>
    </w:p>
    <w:p w14:paraId="65939E4A" w14:textId="77777777" w:rsidR="00DB2B68" w:rsidRDefault="00000000">
      <w:r>
        <w:t>m²</w:t>
      </w:r>
    </w:p>
    <w:p w14:paraId="6B2C5A9E" w14:textId="77777777" w:rsidR="00DB2B68" w:rsidRDefault="00000000">
      <w:pPr>
        <w:pStyle w:val="pheading"/>
      </w:pPr>
      <w:r>
        <w:t>- code de mesurage:</w:t>
      </w:r>
    </w:p>
    <w:p w14:paraId="1F9D4228" w14:textId="77777777" w:rsidR="00DB2B68" w:rsidRDefault="00000000">
      <w:r>
        <w:t>Distinction faite suivant l'épaisseur.</w:t>
      </w:r>
      <w:r>
        <w:br/>
      </w:r>
    </w:p>
    <w:p w14:paraId="6EFFBB97" w14:textId="77777777" w:rsidR="00DB2B68" w:rsidRDefault="00000000">
      <w:pPr>
        <w:pStyle w:val="Author-eListParagraph"/>
        <w:numPr>
          <w:ilvl w:val="0"/>
          <w:numId w:val="1116"/>
        </w:numPr>
      </w:pPr>
      <w:r>
        <w:t xml:space="preserve">Isolation des </w:t>
      </w:r>
      <w:r>
        <w:rPr>
          <w:b/>
        </w:rPr>
        <w:t>parois verticales : Surface nette</w:t>
      </w:r>
      <w:r>
        <w:t>. Les ouvertures supérieures à 0,50 m² sont déduites</w:t>
      </w:r>
    </w:p>
    <w:p w14:paraId="63CC7F7F" w14:textId="77777777" w:rsidR="00DB2B68" w:rsidRDefault="00000000">
      <w:pPr>
        <w:pStyle w:val="Author-eListParagraph"/>
        <w:numPr>
          <w:ilvl w:val="0"/>
          <w:numId w:val="1116"/>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37441DDA" w14:textId="77777777" w:rsidR="00DB2B68" w:rsidRDefault="00000000">
      <w:pPr>
        <w:pStyle w:val="pheading"/>
      </w:pPr>
      <w:r>
        <w:t>- nature du marché:</w:t>
      </w:r>
    </w:p>
    <w:p w14:paraId="4B3A118E" w14:textId="77777777" w:rsidR="00DB2B68" w:rsidRDefault="00000000">
      <w:r>
        <w:t>QF</w:t>
      </w:r>
    </w:p>
    <w:p w14:paraId="0DC05ADE" w14:textId="77777777" w:rsidR="00DB2B68" w:rsidRDefault="00000000">
      <w:pPr>
        <w:pStyle w:val="Author-eSectionHeading6Numberless"/>
      </w:pPr>
      <w:bookmarkStart w:id="1925" w:name="_Toc220496867"/>
      <w:r>
        <w:t>26.41.1g Isolation en panneaux - sous vide CCTB 01.02</w:t>
      </w:r>
      <w:bookmarkEnd w:id="1925"/>
    </w:p>
    <w:p w14:paraId="276AA7CE" w14:textId="77777777" w:rsidR="00DB2B68" w:rsidRDefault="00000000">
      <w:pPr>
        <w:pStyle w:val="Author-eSectionHeading5Numberless"/>
      </w:pPr>
      <w:bookmarkStart w:id="1926" w:name="_Toc220496868"/>
      <w:r>
        <w:t>26.41.2 Isolation en panneaux - matières minérales CCTB 01.02</w:t>
      </w:r>
      <w:bookmarkEnd w:id="1926"/>
    </w:p>
    <w:p w14:paraId="41B4434E" w14:textId="77777777" w:rsidR="00DB2B68" w:rsidRDefault="00000000">
      <w:pPr>
        <w:pStyle w:val="Author-eSectionHeading6Numberless"/>
      </w:pPr>
      <w:bookmarkStart w:id="1927" w:name="_Toc220496869"/>
      <w:r>
        <w:t>26.41.2a Isolation en panneaux - laine minérale (MW) CCTB 01.13</w:t>
      </w:r>
      <w:bookmarkEnd w:id="1927"/>
    </w:p>
    <w:p w14:paraId="3B86ED64" w14:textId="77777777" w:rsidR="00DB2B68" w:rsidRDefault="00000000">
      <w:pPr>
        <w:pStyle w:val="pheading"/>
      </w:pPr>
      <w:r>
        <w:t>DESCRIPTION</w:t>
      </w:r>
    </w:p>
    <w:p w14:paraId="424DD7F1" w14:textId="77777777" w:rsidR="00DB2B68" w:rsidRDefault="00000000">
      <w:pPr>
        <w:pStyle w:val="pheading"/>
      </w:pPr>
      <w:r>
        <w:t>- Définition / Comprend</w:t>
      </w:r>
    </w:p>
    <w:p w14:paraId="3F61FE62" w14:textId="77777777" w:rsidR="00DB2B68" w:rsidRDefault="00000000">
      <w:pPr>
        <w:jc w:val="both"/>
      </w:pPr>
      <w:r>
        <w:t>Il s’agit de la fourniture et de la pose d’une isolation thermique au moyen de panneaux de laine minérale pour une application horizontale ou verticale entre éléments de gros œuvre ou sous dalle de sol.</w:t>
      </w:r>
    </w:p>
    <w:p w14:paraId="2D68DA88" w14:textId="77777777" w:rsidR="00DB2B68" w:rsidRDefault="00000000">
      <w:pPr>
        <w:pStyle w:val="pheading"/>
      </w:pPr>
      <w:r>
        <w:t>- Localisation</w:t>
      </w:r>
    </w:p>
    <w:p w14:paraId="2A946096" w14:textId="77777777" w:rsidR="00DB2B68" w:rsidRDefault="00000000">
      <w:r>
        <w:t xml:space="preserve">Localisation des travaux : </w:t>
      </w:r>
      <w:r>
        <w:rPr>
          <w:rStyle w:val="optioncarChar"/>
        </w:rPr>
        <w:t>***</w:t>
      </w:r>
      <w:r>
        <w:t>.</w:t>
      </w:r>
    </w:p>
    <w:p w14:paraId="194A116B" w14:textId="77777777" w:rsidR="00DB2B68" w:rsidRDefault="00000000">
      <w:r>
        <w:t>Voir plans et métrés détaillés.</w:t>
      </w:r>
    </w:p>
    <w:p w14:paraId="498AEED1" w14:textId="77777777" w:rsidR="00DB2B68" w:rsidRDefault="00000000">
      <w:pPr>
        <w:pStyle w:val="pheading"/>
      </w:pPr>
      <w:r>
        <w:t>MATÉRIAUX</w:t>
      </w:r>
    </w:p>
    <w:p w14:paraId="71F8A38F" w14:textId="77777777" w:rsidR="00DB2B68" w:rsidRDefault="00000000">
      <w:pPr>
        <w:pStyle w:val="pheading"/>
      </w:pPr>
      <w:r>
        <w:t>- Caractéristiques générales</w:t>
      </w:r>
    </w:p>
    <w:p w14:paraId="6AA7AAC5" w14:textId="77777777" w:rsidR="00DB2B68" w:rsidRDefault="00000000">
      <w:pPr>
        <w:jc w:val="both"/>
      </w:pPr>
      <w:r>
        <w:t>Voir 32.41.2a Isolation en panneaux - laine minérale (MW)</w:t>
      </w:r>
    </w:p>
    <w:p w14:paraId="3D4F314A" w14:textId="77777777" w:rsidR="00DB2B68" w:rsidRDefault="00000000">
      <w:pPr>
        <w:pStyle w:val="Author-eListParagraph"/>
        <w:numPr>
          <w:ilvl w:val="0"/>
          <w:numId w:val="1117"/>
        </w:numPr>
        <w:jc w:val="both"/>
      </w:pPr>
      <w:r>
        <w:t xml:space="preserve">Dimension des panneaux : </w:t>
      </w:r>
      <w:r>
        <w:rPr>
          <w:rStyle w:val="optioncarChar"/>
        </w:rPr>
        <w:t>600 x 1200</w:t>
      </w:r>
      <w:r>
        <w:t xml:space="preserve"> (par défaut) </w:t>
      </w:r>
      <w:r>
        <w:rPr>
          <w:rStyle w:val="optioncarChar"/>
        </w:rPr>
        <w:t>/ 1200 x 1000 / 600 x 2000 / ***</w:t>
      </w:r>
      <w:r>
        <w:t> mm</w:t>
      </w:r>
    </w:p>
    <w:p w14:paraId="2222C90A" w14:textId="77777777" w:rsidR="00DB2B68" w:rsidRDefault="00000000">
      <w:pPr>
        <w:pStyle w:val="Author-eListParagraph"/>
        <w:numPr>
          <w:ilvl w:val="0"/>
          <w:numId w:val="1117"/>
        </w:numPr>
        <w:jc w:val="both"/>
      </w:pPr>
      <w:r>
        <w:t xml:space="preserve">Epaisseur totale de l’isolation : </w:t>
      </w:r>
      <w:r>
        <w:rPr>
          <w:rStyle w:val="optioncarChar"/>
        </w:rPr>
        <w:t>*** </w:t>
      </w:r>
      <w:r>
        <w:t>mm</w:t>
      </w:r>
    </w:p>
    <w:p w14:paraId="2B87405A" w14:textId="77777777" w:rsidR="00DB2B68" w:rsidRDefault="00000000">
      <w:pPr>
        <w:pStyle w:val="Author-eListParagraph"/>
        <w:numPr>
          <w:ilvl w:val="0"/>
          <w:numId w:val="1117"/>
        </w:numPr>
        <w:jc w:val="both"/>
      </w:pPr>
      <w:r>
        <w:t xml:space="preserve">Les panneaux sont disposés en </w:t>
      </w:r>
      <w:r>
        <w:rPr>
          <w:rStyle w:val="optioncarChar"/>
        </w:rPr>
        <w:t>1</w:t>
      </w:r>
      <w:r>
        <w:t xml:space="preserve"> (par défaut) </w:t>
      </w:r>
      <w:r>
        <w:rPr>
          <w:rStyle w:val="optioncarChar"/>
        </w:rPr>
        <w:t>/ ***</w:t>
      </w:r>
      <w:r>
        <w:t> couches</w:t>
      </w:r>
    </w:p>
    <w:p w14:paraId="7EBC8D9D" w14:textId="77777777" w:rsidR="00DB2B68" w:rsidRDefault="00000000">
      <w:pPr>
        <w:pStyle w:val="Author-eListParagraph"/>
        <w:numPr>
          <w:ilvl w:val="0"/>
          <w:numId w:val="1117"/>
        </w:numPr>
        <w:jc w:val="both"/>
      </w:pPr>
      <w:r>
        <w:t>Conductivité thermique (selon [NBN EN 12667] ou selon [NBN EN 12939] pour les produits épais) : valeur λ= ≤</w:t>
      </w:r>
      <w:r>
        <w:rPr>
          <w:rStyle w:val="optioncarChar"/>
        </w:rPr>
        <w:t> 0.04</w:t>
      </w:r>
      <w:r>
        <w:t xml:space="preserve"> (par défaut) </w:t>
      </w:r>
      <w:r>
        <w:rPr>
          <w:rStyle w:val="optioncarChar"/>
        </w:rPr>
        <w:t>/ ***</w:t>
      </w:r>
      <w:r>
        <w:t> W/mK</w:t>
      </w:r>
    </w:p>
    <w:p w14:paraId="2291C6D5" w14:textId="77777777" w:rsidR="00DB2B68" w:rsidRDefault="00000000">
      <w:pPr>
        <w:pStyle w:val="Author-eListParagraph"/>
        <w:numPr>
          <w:ilvl w:val="0"/>
          <w:numId w:val="1117"/>
        </w:numPr>
        <w:jc w:val="both"/>
      </w:pPr>
      <w:r>
        <w:t xml:space="preserve">Masse volumique nominale (selon [NBN EN ISO 29470]) : ≥ </w:t>
      </w:r>
      <w:r>
        <w:rPr>
          <w:rStyle w:val="optioncarChar"/>
        </w:rPr>
        <w:t>100</w:t>
      </w:r>
      <w:r>
        <w:t xml:space="preserve"> (par défaut) / </w:t>
      </w:r>
      <w:r>
        <w:rPr>
          <w:rStyle w:val="optioncarChar"/>
        </w:rPr>
        <w:t>***</w:t>
      </w:r>
      <w:r>
        <w:t> kg/m³</w:t>
      </w:r>
    </w:p>
    <w:p w14:paraId="4D85AA87" w14:textId="77777777" w:rsidR="00DB2B68" w:rsidRDefault="00000000">
      <w:pPr>
        <w:jc w:val="both"/>
      </w:pPr>
      <w:r>
        <w:t>Le produit d’isolation en panneaux de laine de roche ainsi que sa mise en œuvre respectent les prescriptions prévues par la déclaration d’aptitude à l’utilisation tels que définis dans le chapitre 02.42.1 Critères d'acceptabilité.</w:t>
      </w:r>
    </w:p>
    <w:p w14:paraId="1BEBCC05" w14:textId="77777777" w:rsidR="00DB2B68" w:rsidRDefault="00000000">
      <w:pPr>
        <w:pStyle w:val="pheading"/>
      </w:pPr>
      <w:r>
        <w:t>- Finitions</w:t>
      </w:r>
    </w:p>
    <w:p w14:paraId="3FFEA087" w14:textId="77777777" w:rsidR="00DB2B68" w:rsidRDefault="00000000">
      <w:pPr>
        <w:jc w:val="both"/>
      </w:pPr>
      <w:r>
        <w:t>Le surfaçage des panneaux est de type : </w:t>
      </w:r>
      <w:r>
        <w:rPr>
          <w:rStyle w:val="optioncarChar"/>
        </w:rPr>
        <w:t>nu</w:t>
      </w:r>
      <w:r>
        <w:t xml:space="preserve"> (par défaut) </w:t>
      </w:r>
      <w:r>
        <w:rPr>
          <w:rStyle w:val="optioncarChar"/>
        </w:rPr>
        <w:t>/ bitumineux / fibres de verre / armature synthétique / feuille d’aluminium / ***</w:t>
      </w:r>
      <w:r>
        <w:t xml:space="preserve"> et est présent sur </w:t>
      </w:r>
      <w:r>
        <w:rPr>
          <w:rStyle w:val="optioncarChar"/>
        </w:rPr>
        <w:t>aucun côté</w:t>
      </w:r>
      <w:r>
        <w:t xml:space="preserve"> (par défaut) </w:t>
      </w:r>
      <w:r>
        <w:rPr>
          <w:rStyle w:val="optioncarChar"/>
        </w:rPr>
        <w:t xml:space="preserve">/ un côté / les deux côtés </w:t>
      </w:r>
      <w:r>
        <w:t>du panneau.</w:t>
      </w:r>
    </w:p>
    <w:p w14:paraId="2661242D" w14:textId="77777777" w:rsidR="00DB2B68" w:rsidRDefault="00000000">
      <w:pPr>
        <w:pStyle w:val="pheading"/>
      </w:pPr>
      <w:r>
        <w:t>- Prescriptions complémentaires</w:t>
      </w:r>
    </w:p>
    <w:p w14:paraId="77B5909C" w14:textId="77777777" w:rsidR="00DB2B68" w:rsidRDefault="00000000">
      <w:pPr>
        <w:jc w:val="both"/>
      </w:pPr>
      <w:r>
        <w:rPr>
          <w:rStyle w:val="facultChar"/>
        </w:rPr>
        <w:lastRenderedPageBreak/>
        <w:t>Les panneaux sont disposés en</w:t>
      </w:r>
      <w:r>
        <w:t> </w:t>
      </w:r>
      <w:r>
        <w:rPr>
          <w:rStyle w:val="optioncarChar"/>
        </w:rPr>
        <w:t>1</w:t>
      </w:r>
      <w:r>
        <w:t xml:space="preserve"> (par défaut) </w:t>
      </w:r>
      <w:r>
        <w:rPr>
          <w:rStyle w:val="optioncarChar"/>
        </w:rPr>
        <w:t>/ ***</w:t>
      </w:r>
      <w:r>
        <w:t> </w:t>
      </w:r>
      <w:r>
        <w:rPr>
          <w:rStyle w:val="facultChar"/>
        </w:rPr>
        <w:t>couches.</w:t>
      </w:r>
    </w:p>
    <w:p w14:paraId="0B79AEB4" w14:textId="77777777" w:rsidR="00DB2B68" w:rsidRDefault="00000000">
      <w:pPr>
        <w:jc w:val="both"/>
      </w:pPr>
      <w:r>
        <w:rPr>
          <w:rStyle w:val="facultChar"/>
        </w:rPr>
        <w:t>L’équerrage de la longueur et de la largeur selon [NBN EN 824] est &lt; 5 mm/m.</w:t>
      </w:r>
    </w:p>
    <w:p w14:paraId="562FF6F2" w14:textId="77777777" w:rsidR="00DB2B68" w:rsidRDefault="00000000">
      <w:pPr>
        <w:jc w:val="both"/>
      </w:pPr>
      <w:r>
        <w:rPr>
          <w:rStyle w:val="facultChar"/>
        </w:rPr>
        <w:t>L’écart de planéité des panneaux et plaques selon [NBN EN 825] est &lt; 6 mm.</w:t>
      </w:r>
    </w:p>
    <w:p w14:paraId="09218DAA" w14:textId="77777777" w:rsidR="00DB2B68" w:rsidRDefault="00000000">
      <w:pPr>
        <w:jc w:val="both"/>
      </w:pPr>
      <w:r>
        <w:rPr>
          <w:rStyle w:val="facultChar"/>
        </w:rPr>
        <w:t>Réaction au feu selon [NBN EN 13501-1] </w:t>
      </w:r>
      <w:r>
        <w:t xml:space="preserve">: </w:t>
      </w:r>
      <w:r>
        <w:rPr>
          <w:rStyle w:val="optioncarChar"/>
        </w:rPr>
        <w:t>A1 </w:t>
      </w:r>
      <w:r>
        <w:t xml:space="preserve">(par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et</w:t>
      </w:r>
      <w:r>
        <w:rPr>
          <w:rStyle w:val="optioncarChar"/>
        </w:rPr>
        <w:t xml:space="preserve"> d0 </w:t>
      </w:r>
      <w:r>
        <w:t>(par défaut)</w:t>
      </w:r>
      <w:r>
        <w:rPr>
          <w:rStyle w:val="optioncarChar"/>
        </w:rPr>
        <w:t xml:space="preserve"> / d1 / d2.</w:t>
      </w:r>
      <w:r>
        <w:t>  </w:t>
      </w:r>
    </w:p>
    <w:p w14:paraId="67446DE0" w14:textId="77777777" w:rsidR="00DB2B68" w:rsidRDefault="00000000">
      <w:pPr>
        <w:jc w:val="both"/>
      </w:pPr>
      <w:r>
        <w:rPr>
          <w:rStyle w:val="facultChar"/>
        </w:rPr>
        <w:t>La stabilité dimensionnelle suivant [NBN EN 1604] : Longueur-Largeur-Epaisseur :</w:t>
      </w:r>
      <w:r>
        <w:rPr>
          <w:rStyle w:val="optioncarChar"/>
        </w:rPr>
        <w:t>≤ 1</w:t>
      </w:r>
      <w:r>
        <w:t xml:space="preserve"> (par défaut) </w:t>
      </w:r>
      <w:r>
        <w:rPr>
          <w:rStyle w:val="optioncarChar"/>
        </w:rPr>
        <w:t>/ ***</w:t>
      </w:r>
      <w:r>
        <w:t>  </w:t>
      </w:r>
      <w:r>
        <w:rPr>
          <w:rStyle w:val="facultChar"/>
        </w:rPr>
        <w:t>%.</w:t>
      </w:r>
    </w:p>
    <w:p w14:paraId="47381047" w14:textId="77777777" w:rsidR="00DB2B68" w:rsidRDefault="00000000">
      <w:pPr>
        <w:jc w:val="both"/>
      </w:pPr>
      <w:r>
        <w:rPr>
          <w:rStyle w:val="facultChar"/>
        </w:rPr>
        <w:t>Compressibilité du matériau (selon [NBN EN 13162+A1]) : niveau</w:t>
      </w:r>
      <w:r>
        <w:t>   </w:t>
      </w:r>
      <w:r>
        <w:rPr>
          <w:rStyle w:val="optioncarChar"/>
        </w:rPr>
        <w:t>CP1 / CP2 / CP3 / CP4 / CP5</w:t>
      </w:r>
      <w:r>
        <w:t xml:space="preserve"> (par défaut) </w:t>
      </w:r>
      <w:r>
        <w:rPr>
          <w:rStyle w:val="optioncarChar"/>
        </w:rPr>
        <w:t>/ ***.</w:t>
      </w:r>
    </w:p>
    <w:p w14:paraId="4CD54ED5" w14:textId="77777777" w:rsidR="00DB2B68" w:rsidRDefault="00000000">
      <w:pPr>
        <w:jc w:val="both"/>
      </w:pPr>
      <w:r>
        <w:rPr>
          <w:rStyle w:val="facultChar"/>
        </w:rPr>
        <w:t>Résistance à la contrainte en compression à 10 % de déformation (selon [NBN EN 826]) : niveau CS(10/Y)</w:t>
      </w:r>
      <w:r>
        <w:t xml:space="preserve">  </w:t>
      </w:r>
      <w:r>
        <w:rPr>
          <w:rStyle w:val="optioncarChar"/>
        </w:rPr>
        <w:t>0,5 / 5 / 10 / 15 / 20 / 25 / 30 / 40 / 50 / 60 / 70 / 80 / 90 / 100</w:t>
      </w:r>
      <w:r>
        <w:t xml:space="preserve"> (par défaut) </w:t>
      </w:r>
      <w:r>
        <w:rPr>
          <w:rStyle w:val="optioncarChar"/>
        </w:rPr>
        <w:t>/ 110 / 120 / 130 / 140 / 150 / 175 / 200 / 225 / 250 / 300 / 350 / 400 / 450 / 500  kPa</w:t>
      </w:r>
      <w:r>
        <w:t>.</w:t>
      </w:r>
    </w:p>
    <w:p w14:paraId="2E3E0F75" w14:textId="77777777" w:rsidR="00DB2B68" w:rsidRDefault="00000000">
      <w:pPr>
        <w:jc w:val="both"/>
      </w:pPr>
      <w:r>
        <w:rPr>
          <w:rStyle w:val="facultChar"/>
        </w:rPr>
        <w:t>Résistance à la traction perpendiculaire (selon [NBN EN 1607]) : niveau</w:t>
      </w:r>
      <w:r>
        <w:rPr>
          <w:rStyle w:val="optioncarChar"/>
        </w:rPr>
        <w:t>TR 1 / 2,5 / 5 / 7,5 / 10</w:t>
      </w:r>
      <w:r>
        <w:t xml:space="preserve"> (par défaut) </w:t>
      </w:r>
      <w:r>
        <w:rPr>
          <w:rStyle w:val="optioncarChar"/>
        </w:rPr>
        <w:t>/  15 / 20 / 25 / 30 / 40 / 50 / 60 / 70 / 80 / 90 / 100 / 125 / 150 / 175 / 200 / 250 / 300 / 400 / 500 / 600 / 700.</w:t>
      </w:r>
    </w:p>
    <w:p w14:paraId="1DE3B952" w14:textId="77777777" w:rsidR="00DB2B68" w:rsidRDefault="00000000">
      <w:pPr>
        <w:jc w:val="both"/>
      </w:pPr>
      <w:r>
        <w:rPr>
          <w:rStyle w:val="facultChar"/>
        </w:rPr>
        <w:t>Résistance à la compression ponctuelle (selon [NBN EN 12430]) : &gt;</w:t>
      </w:r>
      <w:r>
        <w:t> </w:t>
      </w:r>
      <w:r>
        <w:rPr>
          <w:rStyle w:val="optioncarChar"/>
        </w:rPr>
        <w:t>***</w:t>
      </w:r>
      <w:r>
        <w:t> </w:t>
      </w:r>
      <w:r>
        <w:rPr>
          <w:rStyle w:val="facultChar"/>
        </w:rPr>
        <w:t>N (1000 pour une isolation sous chape).</w:t>
      </w:r>
    </w:p>
    <w:p w14:paraId="44495302" w14:textId="77777777" w:rsidR="00DB2B68" w:rsidRDefault="00000000">
      <w:pPr>
        <w:jc w:val="both"/>
      </w:pPr>
      <w:r>
        <w:rPr>
          <w:rStyle w:val="facultChar"/>
        </w:rPr>
        <w:t>Résistance au fluage en compression (selon [NBN EN ISO 16534]) sous forme  CC (réduction de l’épaisseur en %/déformation relative après vieillissement/ nombre d’années – contrainte en compression :  </w:t>
      </w:r>
      <w:r>
        <w:rPr>
          <w:rStyle w:val="optioncarChar"/>
        </w:rPr>
        <w:t>C(5%/12%/30) 10 N/mm²</w:t>
      </w:r>
      <w:r>
        <w:t xml:space="preserve"> (par défaut) </w:t>
      </w:r>
      <w:r>
        <w:rPr>
          <w:rStyle w:val="optioncarChar"/>
        </w:rPr>
        <w:t>/ ***.</w:t>
      </w:r>
      <w:r>
        <w:t>  </w:t>
      </w:r>
      <w:r>
        <w:rPr>
          <w:rStyle w:val="facultChar"/>
        </w:rPr>
        <w:t>Absorption d’eau à court terme (selon [NBN EN ISO 29767]) : &lt; </w:t>
      </w:r>
      <w:r>
        <w:rPr>
          <w:rStyle w:val="optioncarChar"/>
        </w:rPr>
        <w:t>1 kg/m²</w:t>
      </w:r>
      <w:r>
        <w:t xml:space="preserve"> (par défaut) </w:t>
      </w:r>
      <w:r>
        <w:rPr>
          <w:rStyle w:val="optioncarChar"/>
        </w:rPr>
        <w:t>/ ***.</w:t>
      </w:r>
    </w:p>
    <w:p w14:paraId="4C0253DC" w14:textId="77777777" w:rsidR="00DB2B68" w:rsidRDefault="00000000">
      <w:pPr>
        <w:jc w:val="both"/>
      </w:pPr>
      <w:r>
        <w:rPr>
          <w:rStyle w:val="facultChar"/>
        </w:rPr>
        <w:t>Absorption d’eau à court terme (selon [NBN EN ISO 29767]) : &lt;</w:t>
      </w:r>
      <w:r>
        <w:rPr>
          <w:rStyle w:val="optioncarChar"/>
        </w:rPr>
        <w:t xml:space="preserve">1 </w:t>
      </w:r>
      <w:r>
        <w:t xml:space="preserve">(par défaut) </w:t>
      </w:r>
      <w:r>
        <w:rPr>
          <w:rStyle w:val="optioncarChar"/>
        </w:rPr>
        <w:t xml:space="preserve">/ *** </w:t>
      </w:r>
      <w:r>
        <w:t>kg/m².</w:t>
      </w:r>
    </w:p>
    <w:p w14:paraId="1057FA7D" w14:textId="77777777" w:rsidR="00DB2B68" w:rsidRDefault="00000000">
      <w:pPr>
        <w:jc w:val="both"/>
      </w:pPr>
      <w:r>
        <w:rPr>
          <w:rStyle w:val="facultChar"/>
        </w:rPr>
        <w:t>Absorption d’eau à long terme (selon [NBN EN ISO 16535]) : &lt;</w:t>
      </w:r>
      <w:r>
        <w:rPr>
          <w:rStyle w:val="optioncarChar"/>
        </w:rPr>
        <w:t>3 kg/m²</w:t>
      </w:r>
      <w:r>
        <w:t xml:space="preserve"> (par défaut) </w:t>
      </w:r>
      <w:r>
        <w:rPr>
          <w:rStyle w:val="optioncarChar"/>
        </w:rPr>
        <w:t>/*** </w:t>
      </w:r>
      <w:r>
        <w:t>kg/m².</w:t>
      </w:r>
    </w:p>
    <w:p w14:paraId="1A313F8A" w14:textId="77777777" w:rsidR="00DB2B68" w:rsidRDefault="00000000">
      <w:pPr>
        <w:jc w:val="both"/>
      </w:pPr>
      <w:r>
        <w:rPr>
          <w:rStyle w:val="facultChar"/>
        </w:rPr>
        <w:t>Coefficient de résistance à la diffusion de vapeur d’eau – valeur μ (selon [NBN EN 12086]) :</w:t>
      </w:r>
      <w:r>
        <w:t> </w:t>
      </w:r>
      <w:r>
        <w:rPr>
          <w:rStyle w:val="optioncarChar"/>
        </w:rPr>
        <w:t>***</w:t>
      </w:r>
    </w:p>
    <w:p w14:paraId="6E5F5876" w14:textId="77777777" w:rsidR="00DB2B68" w:rsidRDefault="00000000">
      <w:pPr>
        <w:jc w:val="both"/>
      </w:pPr>
      <w:r>
        <w:rPr>
          <w:rStyle w:val="facultChar"/>
        </w:rPr>
        <w:t>Absorption acoustique (déterminée selon [NBN EN ISO 354] et [NBN EN ISO 11654]) :</w:t>
      </w:r>
      <w:r>
        <w:t> </w:t>
      </w:r>
      <w:r>
        <w:rPr>
          <w:rStyle w:val="optioncarChar"/>
        </w:rPr>
        <w:t>***</w:t>
      </w:r>
      <w:r>
        <w:t>  </w:t>
      </w:r>
    </w:p>
    <w:p w14:paraId="5AD1A412" w14:textId="77777777" w:rsidR="00DB2B68" w:rsidRDefault="00000000">
      <w:pPr>
        <w:jc w:val="both"/>
      </w:pPr>
      <w:r>
        <w:rPr>
          <w:rStyle w:val="facultChar"/>
        </w:rPr>
        <w:t>Les liants des panneaux et d’adhésion du revêtement de surface ne contiennent pas de formaldéhyde. Le dégagement mesuré selon la [NBN EN 717-1] est &lt;</w:t>
      </w:r>
      <w:r>
        <w:t> </w:t>
      </w:r>
      <w:r>
        <w:rPr>
          <w:rStyle w:val="optioncarChar"/>
        </w:rPr>
        <w:t xml:space="preserve">0,124 </w:t>
      </w:r>
      <w:r>
        <w:t xml:space="preserve"> (par défaut) </w:t>
      </w:r>
      <w:r>
        <w:rPr>
          <w:rStyle w:val="optioncarChar"/>
        </w:rPr>
        <w:t>/ *** </w:t>
      </w:r>
      <w:r>
        <w:t>mg/m³.</w:t>
      </w:r>
    </w:p>
    <w:p w14:paraId="37903476" w14:textId="77777777" w:rsidR="00DB2B68" w:rsidRDefault="00000000">
      <w:pPr>
        <w:jc w:val="both"/>
      </w:pPr>
      <w:r>
        <w:rPr>
          <w:rStyle w:val="facultChar"/>
        </w:rPr>
        <w:t>La concentration de pentachlorophénol mesurée selon la [CEN/TR 14823] est &lt;</w:t>
      </w:r>
      <w:r>
        <w:t>  </w:t>
      </w:r>
      <w:r>
        <w:rPr>
          <w:rStyle w:val="optioncarChar"/>
        </w:rPr>
        <w:t>5 PPM</w:t>
      </w:r>
      <w:r>
        <w:t xml:space="preserve"> (par défaut) </w:t>
      </w:r>
      <w:r>
        <w:rPr>
          <w:rStyle w:val="optioncarChar"/>
        </w:rPr>
        <w:t>/ ***</w:t>
      </w:r>
      <w:r>
        <w:t>  </w:t>
      </w:r>
    </w:p>
    <w:p w14:paraId="32395841" w14:textId="77777777" w:rsidR="00DB2B68" w:rsidRDefault="00000000">
      <w:pPr>
        <w:jc w:val="both"/>
      </w:pPr>
      <w:r>
        <w:rPr>
          <w:rStyle w:val="facultChar"/>
        </w:rPr>
        <w:t>Les liants des panneaux sont issus de</w:t>
      </w:r>
      <w:r>
        <w:t> </w:t>
      </w:r>
      <w:r>
        <w:rPr>
          <w:rStyle w:val="optioncarChar"/>
        </w:rPr>
        <w:t>matières premières végétales</w:t>
      </w:r>
      <w:r>
        <w:t xml:space="preserve"> (par défaut) </w:t>
      </w:r>
      <w:r>
        <w:rPr>
          <w:rStyle w:val="optioncarChar"/>
        </w:rPr>
        <w:t>/ dérivés pétrochimiques / ***</w:t>
      </w:r>
      <w:r>
        <w:t>.</w:t>
      </w:r>
    </w:p>
    <w:p w14:paraId="5CFB70BB" w14:textId="77777777" w:rsidR="00DB2B68" w:rsidRDefault="00000000">
      <w:pPr>
        <w:jc w:val="both"/>
      </w:pPr>
      <w:r>
        <w:rPr>
          <w:rStyle w:val="facultChar"/>
        </w:rPr>
        <w:t>La laine minérale produite à une contenance ≥</w:t>
      </w:r>
      <w:r>
        <w:t xml:space="preserve">  </w:t>
      </w:r>
      <w:r>
        <w:rPr>
          <w:rStyle w:val="optioncarChar"/>
        </w:rPr>
        <w:t>***</w:t>
      </w:r>
      <w:r>
        <w:t>  </w:t>
      </w:r>
      <w:r>
        <w:rPr>
          <w:rStyle w:val="facultChar"/>
        </w:rPr>
        <w:t>% de matière recyclée.</w:t>
      </w:r>
    </w:p>
    <w:p w14:paraId="35209BD6" w14:textId="77777777" w:rsidR="00DB2B68" w:rsidRDefault="00000000">
      <w:pPr>
        <w:pStyle w:val="pheading"/>
      </w:pPr>
      <w:r>
        <w:t>EXÉCUTION / MISE EN ŒUVRE</w:t>
      </w:r>
    </w:p>
    <w:p w14:paraId="3F073BC8" w14:textId="77777777" w:rsidR="00DB2B68" w:rsidRDefault="00000000">
      <w:pPr>
        <w:pStyle w:val="pheading"/>
      </w:pPr>
      <w:r>
        <w:t>- Prescriptions générales</w:t>
      </w:r>
    </w:p>
    <w:p w14:paraId="138D35BC" w14:textId="77777777" w:rsidR="00DB2B68" w:rsidRDefault="00000000">
      <w:pPr>
        <w:jc w:val="both"/>
      </w:pPr>
      <w:r>
        <w:t>Les panneaux sont contigus. Les espaces éventuels entre panneaux ou de liaison avec les parois sont comblés avec un isolant de même type.</w:t>
      </w:r>
    </w:p>
    <w:p w14:paraId="2B532B1D" w14:textId="77777777" w:rsidR="00DB2B68" w:rsidRDefault="00000000">
      <w:pPr>
        <w:jc w:val="both"/>
      </w:pPr>
      <w:r>
        <w:rPr>
          <w:b/>
        </w:rPr>
        <w:t>Pour une application sous chape</w:t>
      </w:r>
    </w:p>
    <w:p w14:paraId="30A9CBC1" w14:textId="77777777" w:rsidR="00DB2B68" w:rsidRDefault="00000000">
      <w:pPr>
        <w:jc w:val="both"/>
      </w:pPr>
      <w:r>
        <w:t>Les spécifications de mises en œuvre sont reprises dans la [NIT 193].</w:t>
      </w:r>
    </w:p>
    <w:p w14:paraId="7CFA8B3E" w14:textId="77777777" w:rsidR="00DB2B68" w:rsidRDefault="00000000">
      <w:pPr>
        <w:jc w:val="both"/>
      </w:pPr>
      <w:r>
        <w:rPr>
          <w:b/>
        </w:rPr>
        <w:t>Pour une application en cavité  - murs de séparation - murs mitoyens</w:t>
      </w:r>
    </w:p>
    <w:p w14:paraId="32BCCB73" w14:textId="77777777" w:rsidR="00DB2B68" w:rsidRDefault="00000000">
      <w:pPr>
        <w:jc w:val="both"/>
      </w:pPr>
      <w:r>
        <w:t xml:space="preserve">Les panneaux sont fixés par </w:t>
      </w:r>
      <w:r>
        <w:rPr>
          <w:rStyle w:val="optioncarChar"/>
        </w:rPr>
        <w:t>serrage entre éléments</w:t>
      </w:r>
      <w:r>
        <w:t xml:space="preserve"> (par défaut)</w:t>
      </w:r>
      <w:r>
        <w:rPr>
          <w:rStyle w:val="optioncarChar"/>
        </w:rPr>
        <w:t xml:space="preserve"> / collage / fixation mécanique / ***</w:t>
      </w:r>
    </w:p>
    <w:p w14:paraId="0FD5D36C" w14:textId="77777777" w:rsidR="00DB2B68" w:rsidRDefault="00000000">
      <w:pPr>
        <w:ind w:left="567"/>
        <w:jc w:val="both"/>
      </w:pPr>
      <w:r>
        <w:rPr>
          <w:b/>
          <w:i/>
        </w:rPr>
        <w:t>(Soit par défaut) </w:t>
      </w:r>
    </w:p>
    <w:p w14:paraId="191C8524" w14:textId="77777777" w:rsidR="00DB2B68" w:rsidRDefault="00000000">
      <w:pPr>
        <w:ind w:left="567"/>
        <w:jc w:val="both"/>
      </w:pPr>
      <w:r>
        <w:rPr>
          <w:rStyle w:val="soitChar"/>
          <w:b/>
          <w:u w:val="single"/>
        </w:rPr>
        <w:t>Par serrage entre éléments </w:t>
      </w:r>
    </w:p>
    <w:p w14:paraId="762C84AD" w14:textId="77777777" w:rsidR="00DB2B68" w:rsidRDefault="00000000">
      <w:pPr>
        <w:ind w:left="567"/>
        <w:jc w:val="both"/>
      </w:pPr>
      <w:r>
        <w:rPr>
          <w:rStyle w:val="soitChar"/>
        </w:rPr>
        <w:lastRenderedPageBreak/>
        <w:t>Le serrage entre profilés n’est envisagé que pour les densités suffisantes. Les panneaux sont serrés entièrement et découpés à mesure. La fixation par serrage fait l’objet d’un contrôle visuel après pose.</w:t>
      </w:r>
    </w:p>
    <w:p w14:paraId="24EACF72" w14:textId="77777777" w:rsidR="00DB2B68" w:rsidRDefault="00000000">
      <w:pPr>
        <w:ind w:left="567"/>
        <w:jc w:val="both"/>
      </w:pPr>
      <w:r>
        <w:rPr>
          <w:b/>
          <w:i/>
        </w:rPr>
        <w:t>(Soit) </w:t>
      </w:r>
    </w:p>
    <w:p w14:paraId="5F24FFC9" w14:textId="77777777" w:rsidR="00DB2B68" w:rsidRDefault="00000000">
      <w:pPr>
        <w:ind w:left="567"/>
        <w:jc w:val="both"/>
      </w:pPr>
      <w:r>
        <w:rPr>
          <w:rStyle w:val="soitChar"/>
          <w:b/>
          <w:u w:val="single"/>
        </w:rPr>
        <w:t>Par collage</w:t>
      </w:r>
    </w:p>
    <w:p w14:paraId="2975A4C7" w14:textId="77777777" w:rsidR="00DB2B68" w:rsidRDefault="00000000">
      <w:pPr>
        <w:ind w:left="567"/>
        <w:jc w:val="both"/>
      </w:pPr>
      <w:r>
        <w:rPr>
          <w:rStyle w:val="soitChar"/>
        </w:rPr>
        <w:t xml:space="preserve"> Les panneaux sont fixés à l’aide de colle</w:t>
      </w:r>
      <w:r>
        <w:t>  </w:t>
      </w:r>
      <w:r>
        <w:rPr>
          <w:rStyle w:val="optioncarChar"/>
        </w:rPr>
        <w:t>PU</w:t>
      </w:r>
      <w:r>
        <w:t xml:space="preserve"> (par défaut) </w:t>
      </w:r>
      <w:r>
        <w:rPr>
          <w:rStyle w:val="optioncarChar"/>
        </w:rPr>
        <w:t>/ ***</w:t>
      </w:r>
      <w:r>
        <w:t xml:space="preserve">. </w:t>
      </w:r>
      <w:r>
        <w:rPr>
          <w:rStyle w:val="soitChar"/>
        </w:rPr>
        <w:t>La colle est appliquée en collage</w:t>
      </w:r>
      <w:r>
        <w:t>  </w:t>
      </w:r>
      <w:r>
        <w:rPr>
          <w:rStyle w:val="optioncarChar"/>
        </w:rPr>
        <w:t>partiel à 50%</w:t>
      </w:r>
      <w:r>
        <w:t xml:space="preserve"> (par défaut) </w:t>
      </w:r>
      <w:r>
        <w:rPr>
          <w:rStyle w:val="optioncarChar"/>
        </w:rPr>
        <w:t>/ total / ***</w:t>
      </w:r>
      <w:r>
        <w:t xml:space="preserve">. </w:t>
      </w:r>
      <w:r>
        <w:rPr>
          <w:rStyle w:val="soitChar"/>
        </w:rPr>
        <w:t>La colle répond aux mêmes exigences que le panneau en termes de formaldéhyde et  de pentachlorophénol.</w:t>
      </w:r>
    </w:p>
    <w:p w14:paraId="213F2935" w14:textId="77777777" w:rsidR="00DB2B68" w:rsidRDefault="00000000">
      <w:pPr>
        <w:ind w:left="567"/>
        <w:jc w:val="both"/>
      </w:pPr>
      <w:r>
        <w:rPr>
          <w:b/>
          <w:i/>
        </w:rPr>
        <w:t>(Soit)</w:t>
      </w:r>
    </w:p>
    <w:p w14:paraId="0F1C919A" w14:textId="77777777" w:rsidR="00DB2B68" w:rsidRDefault="00000000">
      <w:pPr>
        <w:ind w:left="567"/>
        <w:jc w:val="both"/>
      </w:pPr>
      <w:r>
        <w:rPr>
          <w:rStyle w:val="soitChar"/>
          <w:b/>
          <w:u w:val="single"/>
        </w:rPr>
        <w:t>Par fixation mécanique</w:t>
      </w:r>
    </w:p>
    <w:p w14:paraId="560A6F06" w14:textId="77777777" w:rsidR="00DB2B68" w:rsidRDefault="00000000">
      <w:pPr>
        <w:ind w:left="567"/>
        <w:jc w:val="both"/>
      </w:pPr>
      <w:r>
        <w:rPr>
          <w:rStyle w:val="soitChar"/>
        </w:rPr>
        <w:t>Les fixations sont au nombre de</w:t>
      </w:r>
      <w:r>
        <w:rPr>
          <w:rStyle w:val="optioncarChar"/>
        </w:rPr>
        <w:t>3 par panneau / 5 par m²</w:t>
      </w:r>
      <w:r>
        <w:t xml:space="preserve"> (par défaut)  </w:t>
      </w:r>
      <w:r>
        <w:rPr>
          <w:rStyle w:val="optioncarChar"/>
        </w:rPr>
        <w:t>/ ***</w:t>
      </w:r>
      <w:r>
        <w:t xml:space="preserve">. </w:t>
      </w:r>
      <w:r>
        <w:rPr>
          <w:rStyle w:val="soitChar"/>
        </w:rPr>
        <w:t>Elles sont munies de</w:t>
      </w:r>
      <w:r>
        <w:t>  </w:t>
      </w:r>
      <w:r>
        <w:rPr>
          <w:rStyle w:val="optioncarChar"/>
        </w:rPr>
        <w:t>rosace (cheville) métallique / rosace (cheville) synthétique</w:t>
      </w:r>
      <w:r>
        <w:t xml:space="preserve"> (par défaut)  </w:t>
      </w:r>
      <w:r>
        <w:rPr>
          <w:rStyle w:val="optioncarChar"/>
        </w:rPr>
        <w:t>/ ***</w:t>
      </w:r>
      <w:r>
        <w:t xml:space="preserve">. </w:t>
      </w:r>
      <w:r>
        <w:rPr>
          <w:rStyle w:val="soitChar"/>
        </w:rPr>
        <w:t>L’ancrage dans la paroi porteuse est</w:t>
      </w:r>
      <w:r>
        <w:t> </w:t>
      </w:r>
      <w:r>
        <w:rPr>
          <w:rStyle w:val="optioncarChar"/>
        </w:rPr>
        <w:t>métallique / synthétique</w:t>
      </w:r>
      <w:r>
        <w:t xml:space="preserve"> (par défaut) .  </w:t>
      </w:r>
      <w:r>
        <w:rPr>
          <w:rStyle w:val="soitChar"/>
        </w:rPr>
        <w:t>Les ancrages sont à</w:t>
      </w:r>
      <w:r>
        <w:t> </w:t>
      </w:r>
      <w:r>
        <w:rPr>
          <w:rStyle w:val="optioncarChar"/>
        </w:rPr>
        <w:t>visser / frapper</w:t>
      </w:r>
      <w:r>
        <w:t xml:space="preserve">  (par défaut) </w:t>
      </w:r>
      <w:r>
        <w:rPr>
          <w:rStyle w:val="soitChar"/>
        </w:rPr>
        <w:t>et sont adaptés au support.</w:t>
      </w:r>
    </w:p>
    <w:p w14:paraId="69522E37" w14:textId="77777777" w:rsidR="00DB2B68" w:rsidRDefault="00000000">
      <w:pPr>
        <w:ind w:left="567"/>
        <w:jc w:val="both"/>
      </w:pPr>
      <w:r>
        <w:rPr>
          <w:b/>
          <w:i/>
        </w:rPr>
        <w:t>(Soit)</w:t>
      </w:r>
    </w:p>
    <w:p w14:paraId="10C3E98C" w14:textId="77777777" w:rsidR="00DB2B68" w:rsidRDefault="00000000">
      <w:pPr>
        <w:ind w:left="567"/>
        <w:jc w:val="both"/>
      </w:pPr>
      <w:r>
        <w:rPr>
          <w:rStyle w:val="optioncarChar"/>
        </w:rPr>
        <w:t>***</w:t>
      </w:r>
    </w:p>
    <w:p w14:paraId="46E3531C" w14:textId="77777777" w:rsidR="00DB2B68" w:rsidRDefault="00000000">
      <w:pPr>
        <w:jc w:val="both"/>
      </w:pPr>
      <w:r>
        <w:t> Les détails d’isolation pour les murs creux sont conformes à la [NIT 264].</w:t>
      </w:r>
    </w:p>
    <w:p w14:paraId="19F83C4E" w14:textId="77777777" w:rsidR="00DB2B68" w:rsidRDefault="00000000">
      <w:pPr>
        <w:jc w:val="both"/>
      </w:pPr>
      <w:r>
        <w:t>Les bouchons d’isolation agissant comme séparation de niveau comblent l’entièreté de l’épaisseur de l’espace.</w:t>
      </w:r>
    </w:p>
    <w:p w14:paraId="632E3BB9" w14:textId="77777777" w:rsidR="00DB2B68" w:rsidRDefault="00000000">
      <w:pPr>
        <w:jc w:val="both"/>
      </w:pPr>
      <w:r>
        <w:rPr>
          <w:b/>
        </w:rPr>
        <w:t>Pour une application en toiture parking</w:t>
      </w:r>
    </w:p>
    <w:p w14:paraId="7FB61BAB" w14:textId="77777777" w:rsidR="00DB2B68" w:rsidRDefault="00000000">
      <w:pPr>
        <w:jc w:val="both"/>
      </w:pPr>
      <w:r>
        <w:t>La conception de l’isolation pour une toiture parking est conforme à la [NIT 253].</w:t>
      </w:r>
    </w:p>
    <w:p w14:paraId="08506BCE" w14:textId="77777777" w:rsidR="00DB2B68" w:rsidRDefault="00000000">
      <w:pPr>
        <w:jc w:val="both"/>
      </w:pPr>
      <w:r>
        <w:t>Les fixations sont disposées afin de ne pas réduire les performances acoustiques</w:t>
      </w:r>
    </w:p>
    <w:p w14:paraId="10447AE8" w14:textId="77777777" w:rsidR="00DB2B68"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2E2BCB2F" w14:textId="77777777" w:rsidR="00DB2B68" w:rsidRDefault="00000000">
      <w:pPr>
        <w:pStyle w:val="pheading"/>
      </w:pPr>
      <w:r>
        <w:t>DOCUMENTS DE RÉFÉRENCE COMPLÉMENTAIRES</w:t>
      </w:r>
    </w:p>
    <w:p w14:paraId="611E86B1" w14:textId="77777777" w:rsidR="00DB2B68" w:rsidRDefault="00000000">
      <w:pPr>
        <w:pStyle w:val="pheading"/>
      </w:pPr>
      <w:r>
        <w:t>- Matériau</w:t>
      </w:r>
    </w:p>
    <w:p w14:paraId="6B220C1D"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437B03F" w14:textId="77777777" w:rsidR="00DB2B6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771102B" w14:textId="77777777" w:rsidR="00DB2B68" w:rsidRDefault="00000000">
      <w:r>
        <w:t>[NBN EN 824, Produits isolants thermiques destinés aux applications du bâtiment - Détermination de l'équerrage]</w:t>
      </w:r>
    </w:p>
    <w:p w14:paraId="07860CB4" w14:textId="77777777" w:rsidR="00DB2B68" w:rsidRDefault="00000000">
      <w:r>
        <w:t>[NBN EN 825, Produits isolants thermiques destinés aux applications du bâtiment - Détermination de la planéité]</w:t>
      </w:r>
    </w:p>
    <w:p w14:paraId="3CA20904" w14:textId="77777777" w:rsidR="00DB2B68" w:rsidRDefault="00000000">
      <w:r>
        <w:t>[NBN EN 13501-1, Classement au feu des produits et éléments de construction - Partie 1: Classement à partir des données d'essais de réaction au feu]</w:t>
      </w:r>
    </w:p>
    <w:p w14:paraId="2F40BE10" w14:textId="77777777" w:rsidR="00DB2B68" w:rsidRDefault="00000000">
      <w:r>
        <w:t>[NBN EN 1604, Produits isolants thermiques destinés aux applications du bâtiment - Détermination de la stabilité dimensionnelle dans des conditions de température et d'humidité spécifiées]</w:t>
      </w:r>
    </w:p>
    <w:p w14:paraId="61C83CF5" w14:textId="77777777" w:rsidR="00DB2B68" w:rsidRDefault="00000000">
      <w:r>
        <w:t>[NBN EN 13162+A1, Produits isolants thermiques pour le bâtiment - Produits manufacturés en laine minérale (MW) - Spécification]</w:t>
      </w:r>
    </w:p>
    <w:p w14:paraId="59D77857" w14:textId="77777777" w:rsidR="00DB2B68" w:rsidRDefault="00000000">
      <w:r>
        <w:t>[NBN EN 826, Produits isolants thermiques destinés aux applications du bâtiment - Détermination du comportement en compression]</w:t>
      </w:r>
    </w:p>
    <w:p w14:paraId="3A308CAE" w14:textId="77777777" w:rsidR="00DB2B68" w:rsidRDefault="00000000">
      <w:r>
        <w:lastRenderedPageBreak/>
        <w:t>[NBN EN 1607, Produits isolants thermiques destinés aux applications du bâtiment - Détermination de la résistance à la traction perpendiculairement aux faces]</w:t>
      </w:r>
    </w:p>
    <w:p w14:paraId="7391B857" w14:textId="77777777" w:rsidR="00DB2B68" w:rsidRDefault="00000000">
      <w:r>
        <w:t>[NBN EN 12430, Produits isolants thermiques destinés aux applications du bâtiment - Détermination du comportement sous charge ponctuelle]</w:t>
      </w:r>
    </w:p>
    <w:p w14:paraId="3859C63C" w14:textId="77777777" w:rsidR="00DB2B68" w:rsidRDefault="00000000">
      <w:r>
        <w:t>[NBN EN ISO 16534, Produits isolants thermiques destinés aux applications du bâtiment - Détermination du fluage en compression (ISO 16534:2020)]</w:t>
      </w:r>
    </w:p>
    <w:p w14:paraId="6716C389" w14:textId="77777777" w:rsidR="00DB2B68" w:rsidRDefault="00000000">
      <w:r>
        <w:t>[NBN EN ISO 29767, Produits isolants thermiques destinés aux applications du bâtiment - Détermination de l'absorption d'eau à court terme par immersion partielle (ISO 29767:2019)]</w:t>
      </w:r>
    </w:p>
    <w:p w14:paraId="6F585381" w14:textId="77777777" w:rsidR="00DB2B68" w:rsidRDefault="00000000">
      <w:r>
        <w:t>[NBN EN ISO 16535, Produits isolants thermiques destinés aux applications du bâtiment - Détermination de l'absorption d'eau à long terme par immersion (ISO 16535:2019)]</w:t>
      </w:r>
    </w:p>
    <w:p w14:paraId="2A887BEB" w14:textId="77777777" w:rsidR="00DB2B68" w:rsidRDefault="00000000">
      <w:r>
        <w:t>[NBN EN 12086, Produits isolants thermiques destinés aux applications du bâtiment - Détermination des propriétés de transmission de la vapeur d'eau]</w:t>
      </w:r>
    </w:p>
    <w:p w14:paraId="5106AA2E" w14:textId="77777777" w:rsidR="00DB2B68" w:rsidRDefault="00000000">
      <w:r>
        <w:t>[NBN EN ISO 354, Acoustique - Mesurage de l'absorption acoustique en salle réverbérante (ISO 354:2003)]</w:t>
      </w:r>
    </w:p>
    <w:p w14:paraId="07BB8F51" w14:textId="77777777" w:rsidR="00DB2B68" w:rsidRDefault="00000000">
      <w:r>
        <w:t>[NBN EN ISO 11654, Acoustique - Absorbants pour l'utilisation dans les bâtiments - Evaluation de l'absorption acoustique (ISO 11654:1997)]</w:t>
      </w:r>
    </w:p>
    <w:p w14:paraId="4175B96B" w14:textId="77777777" w:rsidR="00DB2B68" w:rsidRDefault="00000000">
      <w:pPr>
        <w:pStyle w:val="pheading"/>
      </w:pPr>
      <w:r>
        <w:t>- Exécution</w:t>
      </w:r>
    </w:p>
    <w:p w14:paraId="5C57110A" w14:textId="77777777" w:rsidR="00DB2B68" w:rsidRDefault="00000000">
      <w:r>
        <w:t>[NIT 193, Les chapes. 2e partie: Mise en oeuvre.]</w:t>
      </w:r>
      <w:r>
        <w:br/>
      </w:r>
      <w:r>
        <w:br/>
        <w:t>[NIT 264, Détails de référence pour les murs creux]</w:t>
      </w:r>
    </w:p>
    <w:p w14:paraId="13359E4D" w14:textId="77777777" w:rsidR="00DB2B68" w:rsidRDefault="00000000">
      <w:r>
        <w:t>[NIT 253, Les toitures-parkings. 1ère partie : sollicitations, principes de conception et composition]</w:t>
      </w:r>
    </w:p>
    <w:p w14:paraId="0B06B882" w14:textId="77777777" w:rsidR="00DB2B68" w:rsidRDefault="00000000">
      <w:pPr>
        <w:pStyle w:val="pheading"/>
      </w:pPr>
      <w:r>
        <w:t>MESURAGE</w:t>
      </w:r>
    </w:p>
    <w:p w14:paraId="1BE1001C" w14:textId="77777777" w:rsidR="00DB2B68" w:rsidRDefault="00000000">
      <w:pPr>
        <w:pStyle w:val="pheading"/>
      </w:pPr>
      <w:r>
        <w:t>- unité de mesure:</w:t>
      </w:r>
    </w:p>
    <w:p w14:paraId="21CE0472" w14:textId="77777777" w:rsidR="00DB2B68" w:rsidRDefault="00000000">
      <w:r>
        <w:t>m²</w:t>
      </w:r>
    </w:p>
    <w:p w14:paraId="778D4DD2" w14:textId="77777777" w:rsidR="00DB2B68" w:rsidRDefault="00000000">
      <w:pPr>
        <w:pStyle w:val="pheading"/>
      </w:pPr>
      <w:r>
        <w:t>- code de mesurage:</w:t>
      </w:r>
    </w:p>
    <w:p w14:paraId="02EF6B47" w14:textId="77777777" w:rsidR="00DB2B68" w:rsidRDefault="00000000">
      <w:pPr>
        <w:jc w:val="both"/>
      </w:pPr>
      <w:r>
        <w:rPr>
          <w:u w:val="single"/>
        </w:rPr>
        <w:t>Isolation des parois verticales :</w:t>
      </w:r>
      <w:r>
        <w:rPr>
          <w:b/>
        </w:rPr>
        <w:t>Surface nette</w:t>
      </w:r>
      <w:r>
        <w:t xml:space="preserve"> à mettre en œuvre. Les ouvertures supérieures à 0,50 m² sont déduites</w:t>
      </w:r>
    </w:p>
    <w:p w14:paraId="35F32B2E" w14:textId="77777777" w:rsidR="00DB2B68" w:rsidRDefault="00000000">
      <w:pPr>
        <w:jc w:val="both"/>
      </w:pPr>
      <w:r>
        <w:rPr>
          <w:u w:val="single"/>
        </w:rPr>
        <w:t>Isolation des parois horizontales :</w:t>
      </w:r>
      <w:r>
        <w:rPr>
          <w:b/>
        </w:rPr>
        <w:t>Surface nette</w:t>
      </w:r>
      <w:r>
        <w:t xml:space="preserve"> à mettre en œuvre, mesurée entre murs et donc égale à la surface nette. Les ouvertures supérieures à 0,5 m2 sont déduites. Les retours et remontées périphériques sont compris mais non comptabilisés. Distinction faite suivant l'épaisseur et le type de fixation.</w:t>
      </w:r>
    </w:p>
    <w:p w14:paraId="4CCC59E1" w14:textId="77777777" w:rsidR="00DB2B68" w:rsidRDefault="00000000">
      <w:pPr>
        <w:jc w:val="both"/>
      </w:pPr>
      <w:r>
        <w:t>Distinction faite suivant l'épaisseur et le type de fixation.</w:t>
      </w:r>
    </w:p>
    <w:p w14:paraId="56A0F93C" w14:textId="77777777" w:rsidR="00DB2B68" w:rsidRDefault="00000000">
      <w:pPr>
        <w:pStyle w:val="pheading"/>
      </w:pPr>
      <w:r>
        <w:t>- nature du marché:</w:t>
      </w:r>
    </w:p>
    <w:p w14:paraId="78864D3B" w14:textId="77777777" w:rsidR="00DB2B68" w:rsidRDefault="00000000">
      <w:r>
        <w:t>QF</w:t>
      </w:r>
    </w:p>
    <w:p w14:paraId="534DD9DA" w14:textId="77777777" w:rsidR="00DB2B68" w:rsidRDefault="00000000">
      <w:pPr>
        <w:pStyle w:val="Author-eSectionHeading6Numberless"/>
      </w:pPr>
      <w:bookmarkStart w:id="1928" w:name="_Toc220496870"/>
      <w:r>
        <w:t>26.41.2b Isolation en panneaux - verre cellulaire (CG) CCTB 01.11</w:t>
      </w:r>
      <w:bookmarkEnd w:id="1928"/>
    </w:p>
    <w:p w14:paraId="6CAB5F21" w14:textId="77777777" w:rsidR="00DB2B68" w:rsidRDefault="00000000">
      <w:pPr>
        <w:pStyle w:val="pheading"/>
      </w:pPr>
      <w:r>
        <w:t>DESCRIPTION</w:t>
      </w:r>
    </w:p>
    <w:p w14:paraId="056D5427" w14:textId="77777777" w:rsidR="00DB2B68" w:rsidRDefault="00000000">
      <w:pPr>
        <w:pStyle w:val="pheading"/>
      </w:pPr>
      <w:r>
        <w:t>- Définition / Comprend</w:t>
      </w:r>
    </w:p>
    <w:p w14:paraId="4E4203A8" w14:textId="77777777" w:rsidR="00DB2B68" w:rsidRDefault="00000000">
      <w:r>
        <w:t>Ce poste concerne l’isolation thermique des parois et éléments de construction décrits au chapitre </w:t>
      </w:r>
      <w:hyperlink w:anchor="70" w:history="1">
        <w:r>
          <w:rPr>
            <w:color w:val="0000EE"/>
          </w:rPr>
          <w:t>26.4 Isolation</w:t>
        </w:r>
      </w:hyperlink>
    </w:p>
    <w:p w14:paraId="5593134E" w14:textId="77777777" w:rsidR="00DB2B68" w:rsidRDefault="00000000">
      <w:r>
        <w:t>Il s'agit plus particulièrement de la fourniture et de la pose d'un matériau isolant résistant à la compression permettant d'assurer, notamment au droit des nœuds constructifs, la continuité de l'isolation thermique.</w:t>
      </w:r>
    </w:p>
    <w:p w14:paraId="065877EC" w14:textId="77777777" w:rsidR="00DB2B68" w:rsidRDefault="00000000">
      <w:pPr>
        <w:pStyle w:val="pheading"/>
      </w:pPr>
      <w:r>
        <w:t>- Localisation</w:t>
      </w:r>
    </w:p>
    <w:p w14:paraId="0AFD5162" w14:textId="77777777" w:rsidR="00DB2B68" w:rsidRDefault="00000000">
      <w:r>
        <w:lastRenderedPageBreak/>
        <w:t>Selon les indications sur les plans d'exécution et/ou les dessins de détail.</w:t>
      </w:r>
    </w:p>
    <w:p w14:paraId="3327DC5E" w14:textId="77777777" w:rsidR="00DB2B68" w:rsidRDefault="00000000">
      <w:pPr>
        <w:pStyle w:val="pheading"/>
      </w:pPr>
      <w:r>
        <w:t>MATÉRIAUX</w:t>
      </w:r>
    </w:p>
    <w:p w14:paraId="1B3DCBBB" w14:textId="77777777" w:rsidR="00DB2B68" w:rsidRDefault="00000000">
      <w:pPr>
        <w:pStyle w:val="pheading"/>
      </w:pPr>
      <w:r>
        <w:t>- Caractéristiques générales</w:t>
      </w:r>
    </w:p>
    <w:p w14:paraId="2CBD86A6" w14:textId="77777777" w:rsidR="00DB2B68" w:rsidRDefault="00000000">
      <w:r>
        <w:t>Voir 32.41.2b Isolation en panneaux - verre cellulaire (CG)</w:t>
      </w:r>
    </w:p>
    <w:p w14:paraId="7DE34D3E" w14:textId="77777777" w:rsidR="00DB2B68" w:rsidRDefault="00000000">
      <w:pPr>
        <w:pStyle w:val="pheading"/>
      </w:pPr>
      <w:r>
        <w:t>EXÉCUTION / MISE EN ŒUVRE</w:t>
      </w:r>
    </w:p>
    <w:p w14:paraId="1417338B" w14:textId="77777777" w:rsidR="00DB2B68" w:rsidRDefault="00000000">
      <w:pPr>
        <w:pStyle w:val="pheading"/>
      </w:pPr>
      <w:r>
        <w:t>- Prescriptions générales</w:t>
      </w:r>
    </w:p>
    <w:p w14:paraId="59212440" w14:textId="77777777" w:rsidR="00DB2B68" w:rsidRDefault="00000000">
      <w:r>
        <w:t>Les prescriptions du fabricant doivent être scrupuleusement suivies, même lorsqu'elles divergent des présentes descriptions.</w:t>
      </w:r>
    </w:p>
    <w:p w14:paraId="67789366" w14:textId="77777777" w:rsidR="00DB2B68" w:rsidRDefault="00000000">
      <w:r>
        <w:t>Les panneaux (ou blocs) d'isolation doivent constituer une coupure thermique continue avec les autres matériaux d'isolation attenants, en fonction de leur application :</w:t>
      </w:r>
    </w:p>
    <w:p w14:paraId="17BB9C54" w14:textId="77777777" w:rsidR="00DB2B68" w:rsidRDefault="00000000">
      <w:pPr>
        <w:pStyle w:val="Author-eListParagraph"/>
        <w:numPr>
          <w:ilvl w:val="0"/>
          <w:numId w:val="1118"/>
        </w:numPr>
      </w:pPr>
      <w:r>
        <w:t>Continuité avec les éléments de construction horizontaux ou obliques, tels que les toitures plates, toitures à versants, terrasses, balcons, etc. </w:t>
      </w:r>
    </w:p>
    <w:p w14:paraId="1369080D" w14:textId="77777777" w:rsidR="00DB2B68" w:rsidRDefault="00000000">
      <w:pPr>
        <w:pStyle w:val="Author-eListParagraph"/>
        <w:numPr>
          <w:ilvl w:val="0"/>
          <w:numId w:val="1118"/>
        </w:numPr>
      </w:pPr>
      <w:r>
        <w:t>Continuité avec les éléments de construction verticaux tels que les murs à coulisse : cette liaison est assurée en maçonnant les blocs d'isolation aux endroits indiqués sur les plans de détail.</w:t>
      </w:r>
    </w:p>
    <w:p w14:paraId="3F66A3C7" w14:textId="77777777" w:rsidR="00DB2B68" w:rsidRDefault="00000000">
      <w:pPr>
        <w:pStyle w:val="pheading"/>
      </w:pPr>
      <w:r>
        <w:t>- Notes d’exécution complémentaires</w:t>
      </w:r>
    </w:p>
    <w:p w14:paraId="5FA5E6F4" w14:textId="77777777" w:rsidR="00DB2B68" w:rsidRDefault="00000000">
      <w:r>
        <w:t>Sous les parties de murs ou les murs transversaux qui ne reposent pas sur les blocs d'isolation (mais qui y sont reliées), on insère un feutre bitumeux afin d'obtenir une compression similaire sous ces éléments assemblés.  La première assise de maçonnerie sur les blocs d'isolation doit répartir à 100% toutes les charges sur le matériau d'isolation;  à cet effet, elle est posée à bain refluant de mortier. Les éléments  sont enfoncés par mouvements rotatifs dans une couche de mortier aussi  fluide que possible jusqu'à ce celui-ci reflue de toutes parts et que l'on  obtienne un encollage parfait (ne jamais taper sur les éléments, ni avec  la truelle, ni avec un autre outil). Les joints montants sont  réalisés aussi jointivement que possible sans application de mortier.</w:t>
      </w:r>
    </w:p>
    <w:p w14:paraId="7A99FA6D" w14:textId="77777777" w:rsidR="00DB2B68" w:rsidRDefault="00000000">
      <w:pPr>
        <w:pStyle w:val="pheading"/>
      </w:pPr>
      <w:r>
        <w:t>MESURAGE</w:t>
      </w:r>
    </w:p>
    <w:p w14:paraId="002914FF" w14:textId="77777777" w:rsidR="00DB2B68" w:rsidRDefault="00000000">
      <w:pPr>
        <w:pStyle w:val="pheading"/>
      </w:pPr>
      <w:r>
        <w:t>- unité de mesure:</w:t>
      </w:r>
    </w:p>
    <w:p w14:paraId="4317359B" w14:textId="77777777" w:rsidR="00DB2B68" w:rsidRDefault="00000000">
      <w:r>
        <w:t>m²</w:t>
      </w:r>
    </w:p>
    <w:p w14:paraId="6C705346" w14:textId="77777777" w:rsidR="00DB2B68" w:rsidRDefault="00000000">
      <w:pPr>
        <w:pStyle w:val="pheading"/>
      </w:pPr>
      <w:r>
        <w:t>- code de mesurage:</w:t>
      </w:r>
    </w:p>
    <w:p w14:paraId="2C379619" w14:textId="77777777" w:rsidR="00DB2B68" w:rsidRDefault="00000000">
      <w:r>
        <w:t>Distinction faite suivant l'épaisseur.</w:t>
      </w:r>
      <w:r>
        <w:br/>
      </w:r>
    </w:p>
    <w:p w14:paraId="6B8605AF" w14:textId="77777777" w:rsidR="00DB2B68" w:rsidRDefault="00000000">
      <w:pPr>
        <w:pStyle w:val="Author-eListParagraph"/>
        <w:numPr>
          <w:ilvl w:val="0"/>
          <w:numId w:val="1119"/>
        </w:numPr>
      </w:pPr>
      <w:r>
        <w:t xml:space="preserve">Isolation des </w:t>
      </w:r>
      <w:r>
        <w:rPr>
          <w:b/>
        </w:rPr>
        <w:t>parois verticales : Surface nette</w:t>
      </w:r>
      <w:r>
        <w:t>. Les ouvertures supérieures à 0,50 m² sont déduites</w:t>
      </w:r>
    </w:p>
    <w:p w14:paraId="0F950B28" w14:textId="77777777" w:rsidR="00DB2B68" w:rsidRDefault="00000000">
      <w:pPr>
        <w:pStyle w:val="Author-eListParagraph"/>
        <w:numPr>
          <w:ilvl w:val="0"/>
          <w:numId w:val="1119"/>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63D9A551" w14:textId="77777777" w:rsidR="00DB2B68" w:rsidRDefault="00000000">
      <w:pPr>
        <w:pStyle w:val="pheading"/>
      </w:pPr>
      <w:r>
        <w:t>- nature du marché:</w:t>
      </w:r>
    </w:p>
    <w:p w14:paraId="2FA7FF93" w14:textId="77777777" w:rsidR="00DB2B68" w:rsidRDefault="00000000">
      <w:r>
        <w:t>QF</w:t>
      </w:r>
    </w:p>
    <w:p w14:paraId="5B047A80" w14:textId="77777777" w:rsidR="00DB2B68" w:rsidRDefault="00000000">
      <w:pPr>
        <w:pStyle w:val="Author-eSectionHeading6Numberless"/>
      </w:pPr>
      <w:bookmarkStart w:id="1929" w:name="_Toc220496871"/>
      <w:r>
        <w:t>26.41.2c Isolation en panneaux - perlite expansée (EPB) CCTB 01.11</w:t>
      </w:r>
      <w:bookmarkEnd w:id="1929"/>
    </w:p>
    <w:p w14:paraId="55DC6102" w14:textId="77777777" w:rsidR="00DB2B68" w:rsidRDefault="00000000">
      <w:pPr>
        <w:pStyle w:val="pheading"/>
      </w:pPr>
      <w:r>
        <w:t>MATÉRIAUX</w:t>
      </w:r>
    </w:p>
    <w:p w14:paraId="028261C5" w14:textId="77777777" w:rsidR="00DB2B68" w:rsidRDefault="00000000">
      <w:pPr>
        <w:pStyle w:val="pheading"/>
      </w:pPr>
      <w:r>
        <w:t>- Caractéristiques générales</w:t>
      </w:r>
    </w:p>
    <w:p w14:paraId="5EED8673" w14:textId="77777777" w:rsidR="00DB2B68" w:rsidRDefault="00000000">
      <w:r>
        <w:t>Voir 32.41.2c Isolation en panneaux - perlite expansée (EPB)</w:t>
      </w:r>
    </w:p>
    <w:p w14:paraId="594BD959" w14:textId="77777777" w:rsidR="00DB2B68" w:rsidRDefault="00000000">
      <w:pPr>
        <w:pStyle w:val="pheading"/>
      </w:pPr>
      <w:r>
        <w:t>MESURAGE</w:t>
      </w:r>
    </w:p>
    <w:p w14:paraId="4DDE0791" w14:textId="77777777" w:rsidR="00DB2B68" w:rsidRDefault="00000000">
      <w:pPr>
        <w:pStyle w:val="pheading"/>
      </w:pPr>
      <w:r>
        <w:t>- unité de mesure:</w:t>
      </w:r>
    </w:p>
    <w:p w14:paraId="59D53684" w14:textId="77777777" w:rsidR="00DB2B68" w:rsidRDefault="00000000">
      <w:r>
        <w:lastRenderedPageBreak/>
        <w:t>m²</w:t>
      </w:r>
    </w:p>
    <w:p w14:paraId="639954EC" w14:textId="77777777" w:rsidR="00DB2B68" w:rsidRDefault="00000000">
      <w:pPr>
        <w:pStyle w:val="pheading"/>
      </w:pPr>
      <w:r>
        <w:t>- code de mesurage:</w:t>
      </w:r>
    </w:p>
    <w:p w14:paraId="0C5BBBF4" w14:textId="77777777" w:rsidR="00DB2B68" w:rsidRDefault="00000000">
      <w:r>
        <w:t>Distinction faite suivant l'épaisseur.</w:t>
      </w:r>
      <w:r>
        <w:br/>
      </w:r>
    </w:p>
    <w:p w14:paraId="3646276E" w14:textId="77777777" w:rsidR="00DB2B68" w:rsidRDefault="00000000">
      <w:pPr>
        <w:pStyle w:val="Author-eListParagraph"/>
        <w:numPr>
          <w:ilvl w:val="0"/>
          <w:numId w:val="1120"/>
        </w:numPr>
      </w:pPr>
      <w:r>
        <w:t xml:space="preserve">Isolation des </w:t>
      </w:r>
      <w:r>
        <w:rPr>
          <w:b/>
        </w:rPr>
        <w:t>parois verticales : Surface nette</w:t>
      </w:r>
      <w:r>
        <w:t>. Les ouvertures supérieures à 0,50 m² sont déduites</w:t>
      </w:r>
    </w:p>
    <w:p w14:paraId="3C636BBF" w14:textId="77777777" w:rsidR="00DB2B68" w:rsidRDefault="00000000">
      <w:pPr>
        <w:pStyle w:val="Author-eListParagraph"/>
        <w:numPr>
          <w:ilvl w:val="0"/>
          <w:numId w:val="1120"/>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4D294E7C" w14:textId="77777777" w:rsidR="00DB2B68" w:rsidRDefault="00000000">
      <w:pPr>
        <w:pStyle w:val="pheading"/>
      </w:pPr>
      <w:r>
        <w:t>- nature du marché:</w:t>
      </w:r>
    </w:p>
    <w:p w14:paraId="44B4CB8E" w14:textId="77777777" w:rsidR="00DB2B68" w:rsidRDefault="00000000">
      <w:r>
        <w:t>QF</w:t>
      </w:r>
    </w:p>
    <w:p w14:paraId="66F1DEA0" w14:textId="77777777" w:rsidR="00DB2B68" w:rsidRDefault="00000000">
      <w:pPr>
        <w:pStyle w:val="Author-eSectionHeading6Numberless"/>
      </w:pPr>
      <w:bookmarkStart w:id="1930" w:name="_Toc220496872"/>
      <w:r>
        <w:t>26.41.2d (titre réservé) CCTB 01.04</w:t>
      </w:r>
      <w:bookmarkEnd w:id="1930"/>
    </w:p>
    <w:p w14:paraId="67F68A5F" w14:textId="77777777" w:rsidR="00DB2B68" w:rsidRDefault="00000000">
      <w:pPr>
        <w:pStyle w:val="Author-eSectionHeading6Numberless"/>
      </w:pPr>
      <w:bookmarkStart w:id="1931" w:name="_Toc220496873"/>
      <w:r>
        <w:t>26.41.2e (titre réservé) CCTB 01.04</w:t>
      </w:r>
      <w:bookmarkEnd w:id="1931"/>
    </w:p>
    <w:p w14:paraId="78274E14" w14:textId="77777777" w:rsidR="00DB2B68" w:rsidRDefault="00000000">
      <w:pPr>
        <w:pStyle w:val="Author-eSectionHeading6Numberless"/>
      </w:pPr>
      <w:bookmarkStart w:id="1932" w:name="_Toc220496874"/>
      <w:r>
        <w:t>26.41.2f (titre réservé) CCTB 01.04</w:t>
      </w:r>
      <w:bookmarkEnd w:id="1932"/>
    </w:p>
    <w:p w14:paraId="16EB40DE" w14:textId="77777777" w:rsidR="00DB2B68" w:rsidRDefault="00000000">
      <w:pPr>
        <w:pStyle w:val="Author-eSectionHeading6Numberless"/>
      </w:pPr>
      <w:bookmarkStart w:id="1933" w:name="_Toc220496875"/>
      <w:r>
        <w:t>26.41.2g (titre réservé) CCTB 01.04</w:t>
      </w:r>
      <w:bookmarkEnd w:id="1933"/>
    </w:p>
    <w:p w14:paraId="5A2431D4" w14:textId="77777777" w:rsidR="00DB2B68" w:rsidRDefault="00000000">
      <w:pPr>
        <w:pStyle w:val="Author-eSectionHeading5Numberless"/>
      </w:pPr>
      <w:bookmarkStart w:id="1934" w:name="_Toc220496876"/>
      <w:r>
        <w:t>26.41.3 Isolation en panneaux - matières végétales CCTB 01.11</w:t>
      </w:r>
      <w:bookmarkEnd w:id="1934"/>
    </w:p>
    <w:p w14:paraId="39988029" w14:textId="77777777" w:rsidR="00DB2B68" w:rsidRDefault="00000000">
      <w:pPr>
        <w:pStyle w:val="pheading"/>
      </w:pPr>
      <w:r>
        <w:t>DESCRIPTION</w:t>
      </w:r>
    </w:p>
    <w:p w14:paraId="2A797F2F" w14:textId="77777777" w:rsidR="00DB2B68" w:rsidRDefault="00000000">
      <w:pPr>
        <w:pStyle w:val="pheading"/>
      </w:pPr>
      <w:r>
        <w:t>- Définition / Comprend</w:t>
      </w:r>
    </w:p>
    <w:p w14:paraId="12110332" w14:textId="77777777" w:rsidR="00DB2B68" w:rsidRDefault="00000000">
      <w:r>
        <w:t xml:space="preserve">Ce poste concerne l’isolation thermique des parois et éléments de construction décrits au chap. </w:t>
      </w:r>
      <w:hyperlink w:anchor="70" w:history="1">
        <w:r>
          <w:rPr>
            <w:color w:val="0000EE"/>
          </w:rPr>
          <w:t>26.4 Isolation</w:t>
        </w:r>
      </w:hyperlink>
      <w:r>
        <w:t>, suivant les prescriptions de l'élément 32.41.3 Isolation en panneaux - matières végétales.</w:t>
      </w:r>
      <w:r>
        <w:br/>
      </w:r>
    </w:p>
    <w:p w14:paraId="31B455D4" w14:textId="77777777" w:rsidR="00DB2B68" w:rsidRDefault="00000000">
      <w:pPr>
        <w:pStyle w:val="pheading"/>
      </w:pPr>
      <w:r>
        <w:t>DOCUMENTS DE RÉFÉRENCE</w:t>
      </w:r>
    </w:p>
    <w:p w14:paraId="6E4D767C" w14:textId="77777777" w:rsidR="00DB2B68" w:rsidRDefault="00000000">
      <w:pPr>
        <w:pStyle w:val="pheading"/>
      </w:pPr>
      <w:r>
        <w:t>- Matériau</w:t>
      </w:r>
    </w:p>
    <w:p w14:paraId="2CC77666" w14:textId="77777777" w:rsidR="00DB2B68" w:rsidRDefault="00000000">
      <w:r>
        <w:t>32.41.3 Isolation en panneaux - matières végétales</w:t>
      </w:r>
    </w:p>
    <w:p w14:paraId="7B15EA90" w14:textId="77777777" w:rsidR="00DB2B68" w:rsidRDefault="00000000">
      <w:pPr>
        <w:pStyle w:val="pheading"/>
      </w:pPr>
      <w:r>
        <w:t>- Exécution</w:t>
      </w:r>
    </w:p>
    <w:p w14:paraId="12D48968" w14:textId="77777777" w:rsidR="00DB2B68" w:rsidRDefault="00000000">
      <w:r>
        <w:t>32.41.3 Isolation en panneaux - matières végétales</w:t>
      </w:r>
    </w:p>
    <w:p w14:paraId="7EA80E41" w14:textId="77777777" w:rsidR="00DB2B68" w:rsidRDefault="00000000">
      <w:pPr>
        <w:pStyle w:val="Author-eSectionHeading6Numberless"/>
      </w:pPr>
      <w:bookmarkStart w:id="1935" w:name="_Toc220496877"/>
      <w:r>
        <w:t>26.41.3a Isolation en panneaux - liège expansé (ICB) CCTB 01.04</w:t>
      </w:r>
      <w:bookmarkEnd w:id="1935"/>
    </w:p>
    <w:p w14:paraId="1037CBA7" w14:textId="77777777" w:rsidR="00DB2B68" w:rsidRDefault="00000000">
      <w:pPr>
        <w:pStyle w:val="pheading"/>
      </w:pPr>
      <w:r>
        <w:t>DESCRIPTION</w:t>
      </w:r>
    </w:p>
    <w:p w14:paraId="478C78D8" w14:textId="77777777" w:rsidR="00DB2B68" w:rsidRDefault="00000000">
      <w:pPr>
        <w:pStyle w:val="pheading"/>
      </w:pPr>
      <w:r>
        <w:t>- Définition / Comprend</w:t>
      </w:r>
    </w:p>
    <w:p w14:paraId="7304D2A1" w14:textId="77777777" w:rsidR="00DB2B68" w:rsidRDefault="00000000">
      <w:r>
        <w:t>Il s'agit de la réalisation d'une isolation suivant les prescriptions de l'article 32.41.3a Isolation en panneaux - liège expansé (ICB).</w:t>
      </w:r>
    </w:p>
    <w:p w14:paraId="1B11545D" w14:textId="77777777" w:rsidR="00DB2B68" w:rsidRDefault="00000000">
      <w:pPr>
        <w:pStyle w:val="pheading"/>
      </w:pPr>
      <w:r>
        <w:t>MATÉRIAUX</w:t>
      </w:r>
    </w:p>
    <w:p w14:paraId="02DE4097" w14:textId="77777777" w:rsidR="00DB2B68" w:rsidRDefault="00000000">
      <w:pPr>
        <w:pStyle w:val="pheading"/>
      </w:pPr>
      <w:r>
        <w:t>- Caractéristiques générales</w:t>
      </w:r>
    </w:p>
    <w:p w14:paraId="23609B4D" w14:textId="77777777" w:rsidR="00DB2B68" w:rsidRDefault="00000000">
      <w:r>
        <w:t>Voir article 32.41.3a Isolation en panneaux - liège expansé (ICB)</w:t>
      </w:r>
    </w:p>
    <w:p w14:paraId="4C32A686" w14:textId="77777777" w:rsidR="00DB2B68" w:rsidRDefault="00000000">
      <w:pPr>
        <w:pStyle w:val="pheading"/>
      </w:pPr>
      <w:r>
        <w:t>- Finitions</w:t>
      </w:r>
    </w:p>
    <w:p w14:paraId="4E2B5372" w14:textId="77777777" w:rsidR="00DB2B68" w:rsidRDefault="00000000">
      <w:r>
        <w:t>Voir article 32.41.3a Isolation en panneaux - liège expansé (ICB)</w:t>
      </w:r>
    </w:p>
    <w:p w14:paraId="6F2D2469" w14:textId="77777777" w:rsidR="00DB2B68" w:rsidRDefault="00000000">
      <w:pPr>
        <w:pStyle w:val="pheading"/>
      </w:pPr>
      <w:r>
        <w:t>- Prescriptions complémentaires</w:t>
      </w:r>
    </w:p>
    <w:p w14:paraId="31DAD4D8" w14:textId="77777777" w:rsidR="00DB2B68" w:rsidRDefault="00000000">
      <w:r>
        <w:t>Voir article 32.41.3a Isolation en panneaux - liège expansé (ICB)</w:t>
      </w:r>
    </w:p>
    <w:p w14:paraId="33243052" w14:textId="77777777" w:rsidR="00DB2B68" w:rsidRDefault="00000000">
      <w:pPr>
        <w:pStyle w:val="pheading"/>
      </w:pPr>
      <w:r>
        <w:t>EXÉCUTION / MISE EN ŒUVRE</w:t>
      </w:r>
    </w:p>
    <w:p w14:paraId="0E5E8911" w14:textId="77777777" w:rsidR="00DB2B68" w:rsidRDefault="00000000">
      <w:pPr>
        <w:pStyle w:val="pheading"/>
      </w:pPr>
      <w:r>
        <w:lastRenderedPageBreak/>
        <w:t>- Prescriptions générales</w:t>
      </w:r>
    </w:p>
    <w:p w14:paraId="5BBD0B65" w14:textId="77777777" w:rsidR="00DB2B68" w:rsidRDefault="00000000">
      <w:r>
        <w:t>Voir article 32.41.3a Isolation en panneaux - liège expansé (ICB)</w:t>
      </w:r>
    </w:p>
    <w:p w14:paraId="7E6B00B2" w14:textId="77777777" w:rsidR="00DB2B68" w:rsidRDefault="00000000">
      <w:pPr>
        <w:pStyle w:val="pheading"/>
      </w:pPr>
      <w:r>
        <w:t>- Notes d’exécution complémentaires</w:t>
      </w:r>
    </w:p>
    <w:p w14:paraId="6A06B927" w14:textId="77777777" w:rsidR="00DB2B68" w:rsidRDefault="00000000">
      <w:r>
        <w:t>Voir article 32.41.3a Isolation en panneaux - liège expansé (ICB)</w:t>
      </w:r>
    </w:p>
    <w:p w14:paraId="1EF9FD30" w14:textId="77777777" w:rsidR="00DB2B68" w:rsidRDefault="00000000">
      <w:pPr>
        <w:pStyle w:val="pheading"/>
      </w:pPr>
      <w:r>
        <w:t>DOCUMENTS DE RÉFÉRENCE COMPLÉMENTAIRES</w:t>
      </w:r>
    </w:p>
    <w:p w14:paraId="7772E31D" w14:textId="77777777" w:rsidR="00DB2B68" w:rsidRDefault="00000000">
      <w:pPr>
        <w:pStyle w:val="pheading"/>
      </w:pPr>
      <w:r>
        <w:t>- Matériau</w:t>
      </w:r>
    </w:p>
    <w:p w14:paraId="0D7FD715" w14:textId="77777777" w:rsidR="00DB2B68" w:rsidRDefault="00000000">
      <w:r>
        <w:t>32.41.3a Isolation en panneaux - liège expansé (ICB)</w:t>
      </w:r>
    </w:p>
    <w:p w14:paraId="7C6B0ABB" w14:textId="77777777" w:rsidR="00DB2B68" w:rsidRDefault="00000000">
      <w:pPr>
        <w:pStyle w:val="pheading"/>
      </w:pPr>
      <w:r>
        <w:t>- Exécution</w:t>
      </w:r>
    </w:p>
    <w:p w14:paraId="31879A6D" w14:textId="77777777" w:rsidR="00DB2B68" w:rsidRDefault="00000000">
      <w:r>
        <w:t>32.41.3a Isolation en panneaux - liège expansé (ICB)</w:t>
      </w:r>
    </w:p>
    <w:p w14:paraId="3A3C100E" w14:textId="77777777" w:rsidR="00DB2B68" w:rsidRDefault="00000000">
      <w:pPr>
        <w:pStyle w:val="pheading"/>
      </w:pPr>
      <w:r>
        <w:t>MESURAGE</w:t>
      </w:r>
    </w:p>
    <w:p w14:paraId="2D40B55D" w14:textId="77777777" w:rsidR="00DB2B68" w:rsidRDefault="00000000">
      <w:pPr>
        <w:pStyle w:val="pheading"/>
      </w:pPr>
      <w:r>
        <w:t>- unité de mesure:</w:t>
      </w:r>
    </w:p>
    <w:p w14:paraId="267A872E" w14:textId="77777777" w:rsidR="00DB2B68" w:rsidRDefault="00000000">
      <w:r>
        <w:t>m²</w:t>
      </w:r>
    </w:p>
    <w:p w14:paraId="45A0B3BF" w14:textId="77777777" w:rsidR="00DB2B68" w:rsidRDefault="00000000">
      <w:pPr>
        <w:pStyle w:val="pheading"/>
      </w:pPr>
      <w:r>
        <w:t>- code de mesurage:</w:t>
      </w:r>
    </w:p>
    <w:p w14:paraId="411C7D87" w14:textId="77777777" w:rsidR="00DB2B68" w:rsidRDefault="00000000">
      <w:r>
        <w:t>Distinction faite suivant le type et l'épaisseur.</w:t>
      </w:r>
    </w:p>
    <w:p w14:paraId="7D088765" w14:textId="77777777" w:rsidR="00DB2B68" w:rsidRDefault="00000000">
      <w:pPr>
        <w:pStyle w:val="Author-eListParagraph"/>
        <w:numPr>
          <w:ilvl w:val="0"/>
          <w:numId w:val="1121"/>
        </w:numPr>
      </w:pPr>
      <w:r>
        <w:t xml:space="preserve">Isolation des </w:t>
      </w:r>
      <w:r>
        <w:rPr>
          <w:b/>
        </w:rPr>
        <w:t>parois verticales et inclinées : Surface nette</w:t>
      </w:r>
      <w:r>
        <w:t>. Les ouvertures supérieures à 0,50 m² sont déduites</w:t>
      </w:r>
    </w:p>
    <w:p w14:paraId="4B3F2859" w14:textId="77777777" w:rsidR="00DB2B68" w:rsidRDefault="00000000">
      <w:pPr>
        <w:pStyle w:val="Author-eListParagraph"/>
        <w:numPr>
          <w:ilvl w:val="0"/>
          <w:numId w:val="1121"/>
        </w:numPr>
      </w:pPr>
      <w:r>
        <w:t>Isolation des parois</w:t>
      </w:r>
      <w:r>
        <w:rPr>
          <w:b/>
        </w:rPr>
        <w:t xml:space="preserve"> horizontales : Surface nette du sol</w:t>
      </w:r>
      <w:r>
        <w:t>, mesurée entre le nu des murs. Les ouvertures supérieures à 0,5 m² sont déduites.</w:t>
      </w:r>
    </w:p>
    <w:p w14:paraId="50FBC582" w14:textId="77777777" w:rsidR="00DB2B68" w:rsidRDefault="00000000">
      <w:pPr>
        <w:pStyle w:val="pheading"/>
      </w:pPr>
      <w:r>
        <w:t>- nature du marché:</w:t>
      </w:r>
    </w:p>
    <w:p w14:paraId="65D4EAA2" w14:textId="77777777" w:rsidR="00DB2B68" w:rsidRDefault="00000000">
      <w:r>
        <w:t>QF</w:t>
      </w:r>
    </w:p>
    <w:p w14:paraId="343A43F6" w14:textId="77777777" w:rsidR="00DB2B68" w:rsidRDefault="00000000">
      <w:pPr>
        <w:pStyle w:val="Author-eSectionHeading6Numberless"/>
      </w:pPr>
      <w:bookmarkStart w:id="1936" w:name="_Toc220496878"/>
      <w:r>
        <w:t>26.41.3b (titre réservé) CCTB 01.04</w:t>
      </w:r>
      <w:bookmarkEnd w:id="1936"/>
    </w:p>
    <w:p w14:paraId="3A4DF88D" w14:textId="77777777" w:rsidR="00DB2B68" w:rsidRDefault="00000000">
      <w:pPr>
        <w:pStyle w:val="Author-eSectionHeading6Numberless"/>
      </w:pPr>
      <w:bookmarkStart w:id="1937" w:name="_Toc220496879"/>
      <w:r>
        <w:t>26.41.3c Isolation en panneaux - fibres de bois (WF) CCTB 01.11</w:t>
      </w:r>
      <w:bookmarkEnd w:id="1937"/>
    </w:p>
    <w:p w14:paraId="5C451E4D" w14:textId="77777777" w:rsidR="00DB2B68" w:rsidRDefault="00000000">
      <w:pPr>
        <w:pStyle w:val="pheading"/>
      </w:pPr>
      <w:r>
        <w:t>DESCRIPTION</w:t>
      </w:r>
    </w:p>
    <w:p w14:paraId="62A84B15" w14:textId="77777777" w:rsidR="00DB2B68" w:rsidRDefault="00000000">
      <w:pPr>
        <w:pStyle w:val="pheading"/>
      </w:pPr>
      <w:r>
        <w:t>- Définition / Comprend</w:t>
      </w:r>
    </w:p>
    <w:p w14:paraId="6D556009" w14:textId="77777777" w:rsidR="00DB2B68" w:rsidRDefault="00000000">
      <w:r>
        <w:t>Il s'agit de la réalisation d'une isolation suivant les prescriptions de l'article 32.41.3c Isolation en panneaux - fibres de bois (WF).</w:t>
      </w:r>
    </w:p>
    <w:p w14:paraId="7F521953" w14:textId="77777777" w:rsidR="00DB2B68" w:rsidRDefault="00000000">
      <w:pPr>
        <w:pStyle w:val="pheading"/>
      </w:pPr>
      <w:r>
        <w:t>MATÉRIAUX</w:t>
      </w:r>
    </w:p>
    <w:p w14:paraId="0BA28043" w14:textId="77777777" w:rsidR="00DB2B68" w:rsidRDefault="00000000">
      <w:pPr>
        <w:pStyle w:val="pheading"/>
      </w:pPr>
      <w:r>
        <w:t>- Caractéristiques générales</w:t>
      </w:r>
    </w:p>
    <w:p w14:paraId="741F4E99" w14:textId="77777777" w:rsidR="00DB2B68" w:rsidRDefault="00000000">
      <w:r>
        <w:t>Voir article 32.41.3c Isolation en panneaux - fibres de bois (WF)</w:t>
      </w:r>
    </w:p>
    <w:p w14:paraId="70172FA0" w14:textId="77777777" w:rsidR="00DB2B68" w:rsidRDefault="00000000">
      <w:pPr>
        <w:pStyle w:val="pheading"/>
      </w:pPr>
      <w:r>
        <w:t>- Finitions</w:t>
      </w:r>
    </w:p>
    <w:p w14:paraId="448B0AA1" w14:textId="77777777" w:rsidR="00DB2B68" w:rsidRDefault="00000000">
      <w:r>
        <w:t>Voir article 32.41.3c Isolation en panneaux - fibres de bois (WF)</w:t>
      </w:r>
    </w:p>
    <w:p w14:paraId="2523A5EC" w14:textId="77777777" w:rsidR="00DB2B68" w:rsidRDefault="00000000">
      <w:pPr>
        <w:pStyle w:val="pheading"/>
      </w:pPr>
      <w:r>
        <w:t>- Prescriptions complémentaires</w:t>
      </w:r>
    </w:p>
    <w:p w14:paraId="63A103A2" w14:textId="77777777" w:rsidR="00DB2B68" w:rsidRDefault="00000000">
      <w:r>
        <w:t>Voir article 32.41.3c Isolation en panneaux - fibres de bois (WF)</w:t>
      </w:r>
    </w:p>
    <w:p w14:paraId="331540D5" w14:textId="77777777" w:rsidR="00DB2B68" w:rsidRDefault="00000000">
      <w:pPr>
        <w:pStyle w:val="pheading"/>
      </w:pPr>
      <w:r>
        <w:t>EXÉCUTION / MISE EN ŒUVRE</w:t>
      </w:r>
    </w:p>
    <w:p w14:paraId="51650332" w14:textId="77777777" w:rsidR="00DB2B68" w:rsidRDefault="00000000">
      <w:pPr>
        <w:pStyle w:val="pheading"/>
      </w:pPr>
      <w:r>
        <w:t>- Prescriptions générales</w:t>
      </w:r>
    </w:p>
    <w:p w14:paraId="2B386A82" w14:textId="77777777" w:rsidR="00DB2B68" w:rsidRDefault="00000000">
      <w:r>
        <w:t>Voir article 32.41.3c Isolation en panneaux - fibres de bois (WF)</w:t>
      </w:r>
    </w:p>
    <w:p w14:paraId="2E5AD2CC" w14:textId="77777777" w:rsidR="00DB2B68" w:rsidRDefault="00000000">
      <w:pPr>
        <w:pStyle w:val="pheading"/>
      </w:pPr>
      <w:r>
        <w:t>DOCUMENTS DE RÉFÉRENCE COMPLÉMENTAIRES</w:t>
      </w:r>
    </w:p>
    <w:p w14:paraId="6D55A037" w14:textId="77777777" w:rsidR="00DB2B68" w:rsidRDefault="00000000">
      <w:pPr>
        <w:pStyle w:val="pheading"/>
      </w:pPr>
      <w:r>
        <w:t>- Matériau</w:t>
      </w:r>
    </w:p>
    <w:p w14:paraId="08F06275" w14:textId="77777777" w:rsidR="00DB2B68" w:rsidRDefault="00000000">
      <w:r>
        <w:lastRenderedPageBreak/>
        <w:t>32.41.3c Isolation en panneaux - fibres de bois (WF)</w:t>
      </w:r>
    </w:p>
    <w:p w14:paraId="08FDDB61" w14:textId="77777777" w:rsidR="00DB2B68" w:rsidRDefault="00000000">
      <w:pPr>
        <w:pStyle w:val="pheading"/>
      </w:pPr>
      <w:r>
        <w:t>- Exécution</w:t>
      </w:r>
    </w:p>
    <w:p w14:paraId="0DD5C68C" w14:textId="77777777" w:rsidR="00DB2B68" w:rsidRDefault="00000000">
      <w:r>
        <w:t>32.41.3c Isolation en panneaux - fibres de bois (WF)</w:t>
      </w:r>
    </w:p>
    <w:p w14:paraId="5D2EA613" w14:textId="77777777" w:rsidR="00DB2B68" w:rsidRDefault="00000000">
      <w:pPr>
        <w:pStyle w:val="pheading"/>
      </w:pPr>
      <w:r>
        <w:t>MESURAGE</w:t>
      </w:r>
    </w:p>
    <w:p w14:paraId="61A6101A" w14:textId="77777777" w:rsidR="00DB2B68" w:rsidRDefault="00000000">
      <w:pPr>
        <w:pStyle w:val="pheading"/>
      </w:pPr>
      <w:r>
        <w:t>- unité de mesure:</w:t>
      </w:r>
    </w:p>
    <w:p w14:paraId="3AC4902F" w14:textId="77777777" w:rsidR="00DB2B68" w:rsidRDefault="00000000">
      <w:r>
        <w:t>m²</w:t>
      </w:r>
    </w:p>
    <w:p w14:paraId="21DC33A4" w14:textId="77777777" w:rsidR="00DB2B68" w:rsidRDefault="00000000">
      <w:pPr>
        <w:pStyle w:val="pheading"/>
      </w:pPr>
      <w:r>
        <w:t>- code de mesurage:</w:t>
      </w:r>
    </w:p>
    <w:p w14:paraId="17B5E8E2" w14:textId="77777777" w:rsidR="00DB2B68" w:rsidRDefault="00000000">
      <w:r>
        <w:t>Distinction faite suivant l'épaisseur.</w:t>
      </w:r>
      <w:r>
        <w:br/>
      </w:r>
    </w:p>
    <w:p w14:paraId="38B3D276" w14:textId="77777777" w:rsidR="00DB2B68" w:rsidRDefault="00000000">
      <w:pPr>
        <w:pStyle w:val="Author-eListParagraph"/>
        <w:numPr>
          <w:ilvl w:val="0"/>
          <w:numId w:val="1122"/>
        </w:numPr>
      </w:pPr>
      <w:r>
        <w:t xml:space="preserve">Isolation des </w:t>
      </w:r>
      <w:r>
        <w:rPr>
          <w:b/>
        </w:rPr>
        <w:t>parois verticales : Surface nette</w:t>
      </w:r>
      <w:r>
        <w:t>. Les ouvertures supérieures à 0,50 m² sont déduites</w:t>
      </w:r>
    </w:p>
    <w:p w14:paraId="659DC0B9" w14:textId="77777777" w:rsidR="00DB2B68" w:rsidRDefault="00000000">
      <w:pPr>
        <w:pStyle w:val="Author-eListParagraph"/>
        <w:numPr>
          <w:ilvl w:val="0"/>
          <w:numId w:val="1122"/>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6FF75A76" w14:textId="77777777" w:rsidR="00DB2B68" w:rsidRDefault="00000000">
      <w:pPr>
        <w:pStyle w:val="pheading"/>
      </w:pPr>
      <w:r>
        <w:t>- nature du marché:</w:t>
      </w:r>
    </w:p>
    <w:p w14:paraId="7F565839" w14:textId="77777777" w:rsidR="00DB2B68" w:rsidRDefault="00000000">
      <w:r>
        <w:t>QF</w:t>
      </w:r>
    </w:p>
    <w:p w14:paraId="2E83908C" w14:textId="77777777" w:rsidR="00DB2B68" w:rsidRDefault="00000000">
      <w:pPr>
        <w:pStyle w:val="Author-eSectionHeading6Numberless"/>
      </w:pPr>
      <w:bookmarkStart w:id="1938" w:name="_Toc220496880"/>
      <w:r>
        <w:t>26.41.3d Isolation en panneaux - cellulose CCTB 01.11</w:t>
      </w:r>
      <w:bookmarkEnd w:id="1938"/>
    </w:p>
    <w:p w14:paraId="084D1EDC" w14:textId="77777777" w:rsidR="00DB2B68" w:rsidRDefault="00000000">
      <w:pPr>
        <w:pStyle w:val="pheading"/>
      </w:pPr>
      <w:r>
        <w:t>MATÉRIAUX</w:t>
      </w:r>
    </w:p>
    <w:p w14:paraId="11A582CA" w14:textId="77777777" w:rsidR="00DB2B68" w:rsidRDefault="00000000">
      <w:pPr>
        <w:pStyle w:val="pheading"/>
      </w:pPr>
      <w:r>
        <w:t>- Caractéristiques générales</w:t>
      </w:r>
    </w:p>
    <w:p w14:paraId="159740F3" w14:textId="77777777" w:rsidR="00DB2B68" w:rsidRDefault="00000000">
      <w:r>
        <w:t>Voir article 32.41.3d Isolation en panneaux - cellulose</w:t>
      </w:r>
    </w:p>
    <w:p w14:paraId="66A35B47" w14:textId="77777777" w:rsidR="00DB2B68" w:rsidRDefault="00000000">
      <w:pPr>
        <w:pStyle w:val="pheading"/>
      </w:pPr>
      <w:r>
        <w:t>- Prescriptions complémentaires</w:t>
      </w:r>
    </w:p>
    <w:p w14:paraId="23F1AB0E" w14:textId="77777777" w:rsidR="00DB2B68" w:rsidRDefault="00000000">
      <w:r>
        <w:t>Voir article 32.41.3d Isolation en panneaux - cellulose</w:t>
      </w:r>
    </w:p>
    <w:p w14:paraId="093C0005" w14:textId="77777777" w:rsidR="00DB2B68" w:rsidRDefault="00000000">
      <w:pPr>
        <w:pStyle w:val="pheading"/>
      </w:pPr>
      <w:r>
        <w:t>EXÉCUTION / MISE EN ŒUVRE</w:t>
      </w:r>
    </w:p>
    <w:p w14:paraId="5DD981AD" w14:textId="77777777" w:rsidR="00DB2B68" w:rsidRDefault="00000000">
      <w:pPr>
        <w:pStyle w:val="pheading"/>
      </w:pPr>
      <w:r>
        <w:t>- Prescriptions générales</w:t>
      </w:r>
    </w:p>
    <w:p w14:paraId="7C50BD16" w14:textId="77777777" w:rsidR="00DB2B68" w:rsidRDefault="00000000">
      <w:r>
        <w:t>Voir article 32.41.3d Isolation en panneaux - cellulose</w:t>
      </w:r>
    </w:p>
    <w:p w14:paraId="4072DCC5" w14:textId="77777777" w:rsidR="00DB2B68" w:rsidRDefault="00000000">
      <w:pPr>
        <w:pStyle w:val="pheading"/>
      </w:pPr>
      <w:r>
        <w:t>DOCUMENTS DE RÉFÉRENCE COMPLÉMENTAIRES</w:t>
      </w:r>
    </w:p>
    <w:p w14:paraId="118C3B13" w14:textId="77777777" w:rsidR="00DB2B68" w:rsidRDefault="00000000">
      <w:pPr>
        <w:pStyle w:val="pheading"/>
      </w:pPr>
      <w:r>
        <w:t>- Matériau</w:t>
      </w:r>
    </w:p>
    <w:p w14:paraId="4BC302A5" w14:textId="77777777" w:rsidR="00DB2B68" w:rsidRDefault="00000000">
      <w:r>
        <w:t>Voir 32.41.3d Isolation en panneaux - cellulose</w:t>
      </w:r>
    </w:p>
    <w:p w14:paraId="13495D5E" w14:textId="77777777" w:rsidR="00DB2B68" w:rsidRDefault="00000000">
      <w:pPr>
        <w:pStyle w:val="pheading"/>
      </w:pPr>
      <w:r>
        <w:t>- Exécution</w:t>
      </w:r>
    </w:p>
    <w:p w14:paraId="008FA86F" w14:textId="77777777" w:rsidR="00DB2B68" w:rsidRDefault="00000000">
      <w:r>
        <w:t>Voir 32.41.3d Isolation en panneaux - cellulose</w:t>
      </w:r>
    </w:p>
    <w:p w14:paraId="223D502A" w14:textId="77777777" w:rsidR="00DB2B68" w:rsidRDefault="00000000">
      <w:pPr>
        <w:pStyle w:val="pheading"/>
      </w:pPr>
      <w:r>
        <w:t>MESURAGE</w:t>
      </w:r>
    </w:p>
    <w:p w14:paraId="25392AAF" w14:textId="77777777" w:rsidR="00DB2B68" w:rsidRDefault="00000000">
      <w:pPr>
        <w:pStyle w:val="pheading"/>
      </w:pPr>
      <w:r>
        <w:t>- unité de mesure:</w:t>
      </w:r>
    </w:p>
    <w:p w14:paraId="1D274F3C" w14:textId="77777777" w:rsidR="00DB2B68" w:rsidRDefault="00000000">
      <w:r>
        <w:t>m²</w:t>
      </w:r>
    </w:p>
    <w:p w14:paraId="08176FDA" w14:textId="77777777" w:rsidR="00DB2B68" w:rsidRDefault="00000000">
      <w:pPr>
        <w:pStyle w:val="pheading"/>
      </w:pPr>
      <w:r>
        <w:t>- code de mesurage:</w:t>
      </w:r>
    </w:p>
    <w:p w14:paraId="062ABF20" w14:textId="77777777" w:rsidR="00DB2B68" w:rsidRDefault="00000000">
      <w:r>
        <w:t>Distinction faite suivant l'épaisseur.</w:t>
      </w:r>
      <w:r>
        <w:br/>
      </w:r>
    </w:p>
    <w:p w14:paraId="30F2DDF2" w14:textId="77777777" w:rsidR="00DB2B68" w:rsidRDefault="00000000">
      <w:pPr>
        <w:pStyle w:val="Author-eListParagraph"/>
        <w:numPr>
          <w:ilvl w:val="0"/>
          <w:numId w:val="1123"/>
        </w:numPr>
      </w:pPr>
      <w:r>
        <w:t xml:space="preserve">Isolation des </w:t>
      </w:r>
      <w:r>
        <w:rPr>
          <w:b/>
        </w:rPr>
        <w:t>parois verticales : Surface nette</w:t>
      </w:r>
      <w:r>
        <w:t>. Les ouvertures supérieures à 0,50 m² sont déduites</w:t>
      </w:r>
    </w:p>
    <w:p w14:paraId="7039484B" w14:textId="77777777" w:rsidR="00DB2B68" w:rsidRDefault="00000000">
      <w:pPr>
        <w:pStyle w:val="Author-eListParagraph"/>
        <w:numPr>
          <w:ilvl w:val="0"/>
          <w:numId w:val="1123"/>
        </w:numPr>
      </w:pPr>
      <w:r>
        <w:lastRenderedPageBreak/>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6097505B" w14:textId="77777777" w:rsidR="00DB2B68" w:rsidRDefault="00000000">
      <w:pPr>
        <w:pStyle w:val="pheading"/>
      </w:pPr>
      <w:r>
        <w:t>- nature du marché:</w:t>
      </w:r>
    </w:p>
    <w:p w14:paraId="27F292E5" w14:textId="77777777" w:rsidR="00DB2B68" w:rsidRDefault="00000000">
      <w:r>
        <w:t>QF</w:t>
      </w:r>
    </w:p>
    <w:p w14:paraId="1FFA1AE2" w14:textId="77777777" w:rsidR="00DB2B68" w:rsidRDefault="00000000">
      <w:pPr>
        <w:pStyle w:val="Author-eSectionHeading6Numberless"/>
      </w:pPr>
      <w:bookmarkStart w:id="1939" w:name="_Toc220496881"/>
      <w:r>
        <w:t>26.41.3e Isolation en panneaux - laine de chanvre CCTB 01.11</w:t>
      </w:r>
      <w:bookmarkEnd w:id="1939"/>
    </w:p>
    <w:p w14:paraId="58E612B6" w14:textId="77777777" w:rsidR="00DB2B68" w:rsidRDefault="00000000">
      <w:pPr>
        <w:pStyle w:val="pheading"/>
      </w:pPr>
      <w:r>
        <w:t>MATÉRIAUX</w:t>
      </w:r>
    </w:p>
    <w:p w14:paraId="0D68BC51" w14:textId="77777777" w:rsidR="00DB2B68" w:rsidRDefault="00000000">
      <w:pPr>
        <w:pStyle w:val="pheading"/>
      </w:pPr>
      <w:r>
        <w:t>- Caractéristiques générales</w:t>
      </w:r>
    </w:p>
    <w:p w14:paraId="060D2DFF" w14:textId="77777777" w:rsidR="00DB2B68" w:rsidRDefault="00000000">
      <w:r>
        <w:t>Voir article 32.41.3e Isolation en panneaux - laine de chanvre</w:t>
      </w:r>
    </w:p>
    <w:p w14:paraId="42AA3673" w14:textId="77777777" w:rsidR="00DB2B68" w:rsidRDefault="00000000">
      <w:pPr>
        <w:pStyle w:val="pheading"/>
      </w:pPr>
      <w:r>
        <w:t>- Prescriptions complémentaires</w:t>
      </w:r>
    </w:p>
    <w:p w14:paraId="16F7B711" w14:textId="77777777" w:rsidR="00DB2B68" w:rsidRDefault="00000000">
      <w:r>
        <w:t>Voir article 32.41.3e Isolation en panneaux - laine de chanvre</w:t>
      </w:r>
    </w:p>
    <w:p w14:paraId="3836C01F" w14:textId="77777777" w:rsidR="00DB2B68" w:rsidRDefault="00000000">
      <w:pPr>
        <w:pStyle w:val="pheading"/>
      </w:pPr>
      <w:r>
        <w:t>EXÉCUTION / MISE EN ŒUVRE</w:t>
      </w:r>
    </w:p>
    <w:p w14:paraId="277540E7" w14:textId="77777777" w:rsidR="00DB2B68" w:rsidRDefault="00000000">
      <w:pPr>
        <w:pStyle w:val="pheading"/>
      </w:pPr>
      <w:r>
        <w:t>- Prescriptions générales</w:t>
      </w:r>
    </w:p>
    <w:p w14:paraId="58479703" w14:textId="77777777" w:rsidR="00DB2B68" w:rsidRDefault="00000000">
      <w:r>
        <w:t>Voir article 32.41.3e Isolation en panneaux - laine de chanvre</w:t>
      </w:r>
    </w:p>
    <w:p w14:paraId="4D7937AA" w14:textId="77777777" w:rsidR="00DB2B68" w:rsidRDefault="00000000">
      <w:pPr>
        <w:pStyle w:val="pheading"/>
      </w:pPr>
      <w:r>
        <w:t>DOCUMENTS DE RÉFÉRENCE COMPLÉMENTAIRES</w:t>
      </w:r>
    </w:p>
    <w:p w14:paraId="3E594BFA" w14:textId="77777777" w:rsidR="00DB2B68" w:rsidRDefault="00000000">
      <w:pPr>
        <w:pStyle w:val="pheading"/>
      </w:pPr>
      <w:r>
        <w:t>- Matériau</w:t>
      </w:r>
    </w:p>
    <w:p w14:paraId="02C479C9" w14:textId="77777777" w:rsidR="00DB2B68" w:rsidRDefault="00000000">
      <w:r>
        <w:t>32.41.3e Isolation en panneaux - laine de chanvre</w:t>
      </w:r>
    </w:p>
    <w:p w14:paraId="4680BDD4" w14:textId="77777777" w:rsidR="00DB2B68" w:rsidRDefault="00000000">
      <w:pPr>
        <w:pStyle w:val="pheading"/>
      </w:pPr>
      <w:r>
        <w:t>- Exécution</w:t>
      </w:r>
    </w:p>
    <w:p w14:paraId="53FF557E" w14:textId="77777777" w:rsidR="00DB2B68" w:rsidRDefault="00000000">
      <w:r>
        <w:t>32.41.3e Isolation en panneaux - laine de chanvre</w:t>
      </w:r>
    </w:p>
    <w:p w14:paraId="057FADB3" w14:textId="77777777" w:rsidR="00DB2B68" w:rsidRDefault="00000000">
      <w:pPr>
        <w:pStyle w:val="pheading"/>
      </w:pPr>
      <w:r>
        <w:t>MESURAGE</w:t>
      </w:r>
    </w:p>
    <w:p w14:paraId="0E376739" w14:textId="77777777" w:rsidR="00DB2B68" w:rsidRDefault="00000000">
      <w:pPr>
        <w:pStyle w:val="pheading"/>
      </w:pPr>
      <w:r>
        <w:t>- unité de mesure:</w:t>
      </w:r>
    </w:p>
    <w:p w14:paraId="7E7FBC36" w14:textId="77777777" w:rsidR="00DB2B68" w:rsidRDefault="00000000">
      <w:r>
        <w:t>m²</w:t>
      </w:r>
    </w:p>
    <w:p w14:paraId="056460E7" w14:textId="77777777" w:rsidR="00DB2B68" w:rsidRDefault="00000000">
      <w:pPr>
        <w:pStyle w:val="pheading"/>
      </w:pPr>
      <w:r>
        <w:t>- code de mesurage:</w:t>
      </w:r>
    </w:p>
    <w:p w14:paraId="76E62600" w14:textId="77777777" w:rsidR="00DB2B68" w:rsidRDefault="00000000">
      <w:r>
        <w:t>Distinction faite suivant l'épaisseur.</w:t>
      </w:r>
      <w:r>
        <w:br/>
      </w:r>
    </w:p>
    <w:p w14:paraId="764CD505" w14:textId="77777777" w:rsidR="00DB2B68" w:rsidRDefault="00000000">
      <w:pPr>
        <w:pStyle w:val="Author-eListParagraph"/>
        <w:numPr>
          <w:ilvl w:val="0"/>
          <w:numId w:val="1124"/>
        </w:numPr>
      </w:pPr>
      <w:r>
        <w:t xml:space="preserve">Isolation des </w:t>
      </w:r>
      <w:r>
        <w:rPr>
          <w:b/>
        </w:rPr>
        <w:t>parois verticales : Surface nette</w:t>
      </w:r>
      <w:r>
        <w:t>. Les ouvertures supérieures à 0,50 m² sont déduites</w:t>
      </w:r>
    </w:p>
    <w:p w14:paraId="7C9506F1" w14:textId="77777777" w:rsidR="00DB2B68" w:rsidRDefault="00000000">
      <w:pPr>
        <w:pStyle w:val="Author-eListParagraph"/>
        <w:numPr>
          <w:ilvl w:val="0"/>
          <w:numId w:val="1124"/>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7C383B91" w14:textId="77777777" w:rsidR="00DB2B68" w:rsidRDefault="00000000">
      <w:pPr>
        <w:pStyle w:val="pheading"/>
      </w:pPr>
      <w:r>
        <w:t>- nature du marché:</w:t>
      </w:r>
    </w:p>
    <w:p w14:paraId="145218CC" w14:textId="77777777" w:rsidR="00DB2B68" w:rsidRDefault="00000000">
      <w:r>
        <w:t>QF</w:t>
      </w:r>
    </w:p>
    <w:p w14:paraId="2C8E0BF9" w14:textId="77777777" w:rsidR="00DB2B68" w:rsidRDefault="00000000">
      <w:pPr>
        <w:pStyle w:val="Author-eSectionHeading6Numberless"/>
      </w:pPr>
      <w:bookmarkStart w:id="1940" w:name="_Toc220496882"/>
      <w:r>
        <w:t>26.41.3f (titre réservé) CCTB 01.04</w:t>
      </w:r>
      <w:bookmarkEnd w:id="1940"/>
    </w:p>
    <w:p w14:paraId="606E1C55" w14:textId="77777777" w:rsidR="00DB2B68" w:rsidRDefault="00000000">
      <w:pPr>
        <w:pStyle w:val="Author-eSectionHeading6Numberless"/>
      </w:pPr>
      <w:bookmarkStart w:id="1941" w:name="_Toc220496883"/>
      <w:r>
        <w:t>26.41.3g (titre réservé) CCTB 01.04</w:t>
      </w:r>
      <w:bookmarkEnd w:id="1941"/>
    </w:p>
    <w:p w14:paraId="7B41D0A7" w14:textId="77777777" w:rsidR="00DB2B68" w:rsidRDefault="00000000">
      <w:pPr>
        <w:pStyle w:val="Author-eSectionHeading6Numberless"/>
      </w:pPr>
      <w:bookmarkStart w:id="1942" w:name="_Toc220496884"/>
      <w:r>
        <w:t>26.41.3h (titre réservé) CCTB 01.04</w:t>
      </w:r>
      <w:bookmarkEnd w:id="1942"/>
    </w:p>
    <w:p w14:paraId="26EE8676" w14:textId="77777777" w:rsidR="00DB2B68" w:rsidRDefault="00000000">
      <w:pPr>
        <w:pStyle w:val="Author-eSectionHeading6Numberless"/>
      </w:pPr>
      <w:bookmarkStart w:id="1943" w:name="_Toc220496885"/>
      <w:r>
        <w:t>26.41.3i (titre réservé)</w:t>
      </w:r>
      <w:bookmarkEnd w:id="1943"/>
    </w:p>
    <w:p w14:paraId="27A93702" w14:textId="77777777" w:rsidR="00DB2B68" w:rsidRDefault="00000000">
      <w:pPr>
        <w:pStyle w:val="Author-eSectionHeading6Numberless"/>
      </w:pPr>
      <w:bookmarkStart w:id="1944" w:name="_Toc220496886"/>
      <w:r>
        <w:t>26.41.3j (titre réservé)</w:t>
      </w:r>
      <w:bookmarkEnd w:id="1944"/>
    </w:p>
    <w:p w14:paraId="21B00EE9" w14:textId="77777777" w:rsidR="00DB2B68" w:rsidRDefault="00000000">
      <w:pPr>
        <w:pStyle w:val="Author-eSectionHeading6Numberless"/>
      </w:pPr>
      <w:bookmarkStart w:id="1945" w:name="_Toc220496887"/>
      <w:r>
        <w:t>26.41.3k (titre réservé)</w:t>
      </w:r>
      <w:bookmarkEnd w:id="1945"/>
    </w:p>
    <w:p w14:paraId="7A38C98C" w14:textId="77777777" w:rsidR="00DB2B68" w:rsidRDefault="00000000">
      <w:pPr>
        <w:pStyle w:val="Author-eSectionHeading6Numberless"/>
      </w:pPr>
      <w:bookmarkStart w:id="1946" w:name="_Toc220496888"/>
      <w:r>
        <w:t>26.41.3l (titre réservé)</w:t>
      </w:r>
      <w:bookmarkEnd w:id="1946"/>
    </w:p>
    <w:p w14:paraId="6F98F5F2" w14:textId="77777777" w:rsidR="00DB2B68" w:rsidRDefault="00000000">
      <w:pPr>
        <w:pStyle w:val="Author-eSectionHeading5Numberless"/>
      </w:pPr>
      <w:bookmarkStart w:id="1947" w:name="_Toc220496889"/>
      <w:r>
        <w:lastRenderedPageBreak/>
        <w:t>26.41.4 (titre réservé) CCTB 01.04</w:t>
      </w:r>
      <w:bookmarkEnd w:id="1947"/>
    </w:p>
    <w:p w14:paraId="5A2028F1" w14:textId="77777777" w:rsidR="00DB2B68" w:rsidRDefault="00000000">
      <w:pPr>
        <w:pStyle w:val="Author-eSectionHeading5Numberless"/>
      </w:pPr>
      <w:bookmarkStart w:id="1948" w:name="_Toc220496890"/>
      <w:r>
        <w:t>26.41.5 (titre réservé) CCTB 01.04</w:t>
      </w:r>
      <w:bookmarkEnd w:id="1948"/>
    </w:p>
    <w:p w14:paraId="1ECF9246" w14:textId="77777777" w:rsidR="00DB2B68" w:rsidRDefault="00000000">
      <w:pPr>
        <w:pStyle w:val="Author-eSectionHeading5Numberless"/>
      </w:pPr>
      <w:bookmarkStart w:id="1949" w:name="_Toc220496891"/>
      <w:r>
        <w:t>26.41.6 (titre réservé) CCTB 01.04</w:t>
      </w:r>
      <w:bookmarkEnd w:id="1949"/>
    </w:p>
    <w:p w14:paraId="1C2B506A" w14:textId="77777777" w:rsidR="00DB2B68" w:rsidRDefault="00000000">
      <w:pPr>
        <w:pStyle w:val="Author-eSectionHeading4Numberless"/>
      </w:pPr>
      <w:bookmarkStart w:id="1950" w:name="_Toc220496892"/>
      <w:r>
        <w:t>26.42 Isolation en rouleaux/matelas CCTB 01.02</w:t>
      </w:r>
      <w:bookmarkEnd w:id="1950"/>
    </w:p>
    <w:p w14:paraId="44B8A2D6" w14:textId="77777777" w:rsidR="00DB2B68" w:rsidRDefault="00000000">
      <w:pPr>
        <w:pStyle w:val="pheading"/>
      </w:pPr>
      <w:bookmarkStart w:id="1951" w:name="661"/>
      <w:bookmarkEnd w:id="1951"/>
      <w:r>
        <w:t>EXÉCUTION / MISE EN ŒUVRE</w:t>
      </w:r>
    </w:p>
    <w:p w14:paraId="7A4BCBA6" w14:textId="77777777" w:rsidR="00DB2B68" w:rsidRDefault="00000000">
      <w:r>
        <w:t>Voir article 32.42 Isolation en rouleaux/matelas</w:t>
      </w:r>
    </w:p>
    <w:p w14:paraId="48D08C53" w14:textId="77777777" w:rsidR="00DB2B68" w:rsidRDefault="00000000">
      <w:pPr>
        <w:pStyle w:val="pheading"/>
      </w:pPr>
      <w:r>
        <w:t>DOCUMENTS DE RÉFÉRENCE</w:t>
      </w:r>
    </w:p>
    <w:p w14:paraId="03A43116" w14:textId="77777777" w:rsidR="00DB2B68" w:rsidRDefault="00000000">
      <w:pPr>
        <w:pStyle w:val="pheading"/>
      </w:pPr>
      <w:r>
        <w:t>- Matériau</w:t>
      </w:r>
    </w:p>
    <w:p w14:paraId="4CFBBFCE" w14:textId="77777777" w:rsidR="00DB2B68" w:rsidRDefault="00000000">
      <w:r>
        <w:t>32.42 Isolation en rouleaux/matelas</w:t>
      </w:r>
    </w:p>
    <w:p w14:paraId="70FA1F1E" w14:textId="77777777" w:rsidR="00DB2B68" w:rsidRDefault="00000000">
      <w:pPr>
        <w:pStyle w:val="pheading"/>
      </w:pPr>
      <w:r>
        <w:t>- Exécution</w:t>
      </w:r>
    </w:p>
    <w:p w14:paraId="4688C792" w14:textId="77777777" w:rsidR="00DB2B68" w:rsidRDefault="00000000">
      <w:r>
        <w:t>32.42 Isolation en rouleaux/matelas</w:t>
      </w:r>
    </w:p>
    <w:p w14:paraId="085D07AE" w14:textId="77777777" w:rsidR="00DB2B68" w:rsidRDefault="00000000">
      <w:pPr>
        <w:pStyle w:val="Author-eSectionHeading5Numberless"/>
      </w:pPr>
      <w:bookmarkStart w:id="1952" w:name="_Toc220496893"/>
      <w:r>
        <w:t>26.42.1 (titre réservé) CCTB 01.04</w:t>
      </w:r>
      <w:bookmarkEnd w:id="1952"/>
    </w:p>
    <w:p w14:paraId="73FC574E" w14:textId="77777777" w:rsidR="00DB2B68" w:rsidRDefault="00000000">
      <w:pPr>
        <w:pStyle w:val="Author-eSectionHeading5Numberless"/>
      </w:pPr>
      <w:bookmarkStart w:id="1953" w:name="_Toc220496894"/>
      <w:r>
        <w:t>26.42.2 Isolation en rouleaux/matelas - matières minérales CCTB 01.04</w:t>
      </w:r>
      <w:bookmarkEnd w:id="1953"/>
    </w:p>
    <w:p w14:paraId="32AE34E9" w14:textId="77777777" w:rsidR="00DB2B68" w:rsidRDefault="00000000">
      <w:pPr>
        <w:pStyle w:val="pheading"/>
      </w:pPr>
      <w:r>
        <w:t>DESCRIPTION</w:t>
      </w:r>
    </w:p>
    <w:p w14:paraId="6030A5EF" w14:textId="77777777" w:rsidR="00DB2B68" w:rsidRDefault="00000000">
      <w:pPr>
        <w:pStyle w:val="pheading"/>
      </w:pPr>
      <w:r>
        <w:t>- Définition / Comprend</w:t>
      </w:r>
    </w:p>
    <w:p w14:paraId="455AB31E" w14:textId="77777777" w:rsidR="00DB2B68" w:rsidRDefault="00000000">
      <w:r>
        <w:t xml:space="preserve">Ce chapitre concerne les isolations en rouleaux décrites à l'article </w:t>
      </w:r>
      <w:hyperlink w:anchor="661" w:history="1">
        <w:r>
          <w:rPr>
            <w:color w:val="0000EE"/>
          </w:rPr>
          <w:t>26.42 Isolation en rouleaux/matelas</w:t>
        </w:r>
      </w:hyperlink>
    </w:p>
    <w:p w14:paraId="439651F3" w14:textId="77777777" w:rsidR="00DB2B68" w:rsidRDefault="00000000">
      <w:pPr>
        <w:pStyle w:val="Author-eSectionHeading6Numberless"/>
      </w:pPr>
      <w:bookmarkStart w:id="1954" w:name="_Toc220496895"/>
      <w:r>
        <w:t>26.42.2a Isolation en rouleaux/matelas - laine minérale (MW) CCTB 01.12</w:t>
      </w:r>
      <w:bookmarkEnd w:id="1954"/>
    </w:p>
    <w:p w14:paraId="78D2BF20" w14:textId="77777777" w:rsidR="00DB2B68" w:rsidRDefault="00000000">
      <w:pPr>
        <w:pStyle w:val="pheading"/>
      </w:pPr>
      <w:r>
        <w:t>DESCRIPTION</w:t>
      </w:r>
    </w:p>
    <w:p w14:paraId="47FB2563" w14:textId="77777777" w:rsidR="00DB2B68" w:rsidRDefault="00000000">
      <w:pPr>
        <w:pStyle w:val="pheading"/>
      </w:pPr>
      <w:r>
        <w:t>- Définition / Comprend</w:t>
      </w:r>
    </w:p>
    <w:p w14:paraId="08D61D10" w14:textId="77777777" w:rsidR="00DB2B68" w:rsidRDefault="00000000">
      <w:pPr>
        <w:jc w:val="both"/>
      </w:pPr>
      <w:r>
        <w:t>Il s’agit de la fourniture et de la pose d’une isolation thermique au moyen de rouleaux ou matelas de laine minérale pour une application verticale ou horizontale entre éléments de gros œuvre.</w:t>
      </w:r>
    </w:p>
    <w:p w14:paraId="192596FA" w14:textId="77777777" w:rsidR="00DB2B68" w:rsidRDefault="00000000">
      <w:pPr>
        <w:pStyle w:val="pheading"/>
      </w:pPr>
      <w:r>
        <w:t>- Localisation</w:t>
      </w:r>
    </w:p>
    <w:p w14:paraId="521DB615" w14:textId="77777777" w:rsidR="00DB2B68" w:rsidRDefault="00000000">
      <w:r>
        <w:t>Localisation des travaux :</w:t>
      </w:r>
      <w:r>
        <w:rPr>
          <w:rStyle w:val="optioncarChar"/>
        </w:rPr>
        <w:t xml:space="preserve"> ***</w:t>
      </w:r>
      <w:r>
        <w:t>.</w:t>
      </w:r>
    </w:p>
    <w:p w14:paraId="58DF257C" w14:textId="77777777" w:rsidR="00DB2B68" w:rsidRDefault="00000000">
      <w:r>
        <w:t>Voir plans et métrés détaillés.</w:t>
      </w:r>
    </w:p>
    <w:p w14:paraId="03ADE86F" w14:textId="77777777" w:rsidR="00DB2B68" w:rsidRDefault="00000000">
      <w:pPr>
        <w:pStyle w:val="pheading"/>
      </w:pPr>
      <w:r>
        <w:t>MATÉRIAUX</w:t>
      </w:r>
    </w:p>
    <w:p w14:paraId="41BA8A65" w14:textId="77777777" w:rsidR="00DB2B68" w:rsidRDefault="00000000">
      <w:pPr>
        <w:pStyle w:val="pheading"/>
      </w:pPr>
      <w:r>
        <w:t>- Caractéristiques générales</w:t>
      </w:r>
    </w:p>
    <w:p w14:paraId="2C5C14A4" w14:textId="77777777" w:rsidR="00DB2B68" w:rsidRDefault="00000000">
      <w:pPr>
        <w:jc w:val="both"/>
      </w:pPr>
      <w:r>
        <w:t>Voir 32.42.2a Isolation en rouleaux/matelas - laine minérale (MW)</w:t>
      </w:r>
    </w:p>
    <w:p w14:paraId="6390AA26" w14:textId="77777777" w:rsidR="00DB2B68" w:rsidRDefault="00000000">
      <w:pPr>
        <w:jc w:val="both"/>
      </w:pPr>
      <w:r>
        <w:t xml:space="preserve">Largeur des rouleaux:  </w:t>
      </w:r>
      <w:r>
        <w:rPr>
          <w:rStyle w:val="optioncarChar"/>
        </w:rPr>
        <w:t>400/ 600</w:t>
      </w:r>
      <w:r>
        <w:t xml:space="preserve"> (par défaut) </w:t>
      </w:r>
      <w:r>
        <w:rPr>
          <w:rStyle w:val="optioncarChar"/>
        </w:rPr>
        <w:t>/ 1200 / ***</w:t>
      </w:r>
      <w:r>
        <w:t> mm</w:t>
      </w:r>
    </w:p>
    <w:p w14:paraId="3FDC5416" w14:textId="77777777" w:rsidR="00DB2B68" w:rsidRDefault="00000000">
      <w:pPr>
        <w:jc w:val="both"/>
      </w:pPr>
      <w:r>
        <w:t xml:space="preserve">Epaisseur totale de l’isolation: </w:t>
      </w:r>
      <w:r>
        <w:rPr>
          <w:rStyle w:val="optioncarChar"/>
        </w:rPr>
        <w:t>***</w:t>
      </w:r>
      <w:r>
        <w:t> mm</w:t>
      </w:r>
    </w:p>
    <w:p w14:paraId="0292B97F" w14:textId="77777777" w:rsidR="00DB2B68" w:rsidRDefault="00000000">
      <w:pPr>
        <w:jc w:val="both"/>
      </w:pPr>
      <w:r>
        <w:t xml:space="preserve">Conductivité thermique (selon [NBN EN 12667] ou selon [NBN EN 12939] pour les produits épais) : valeur λ= max.  </w:t>
      </w:r>
      <w:r>
        <w:rPr>
          <w:rStyle w:val="optioncarChar"/>
        </w:rPr>
        <w:t>0.035</w:t>
      </w:r>
      <w:r>
        <w:t xml:space="preserve"> (par défaut) </w:t>
      </w:r>
      <w:r>
        <w:rPr>
          <w:rStyle w:val="optioncarChar"/>
        </w:rPr>
        <w:t>/ ***</w:t>
      </w:r>
      <w:r>
        <w:t> W/mK</w:t>
      </w:r>
    </w:p>
    <w:p w14:paraId="51E2E705" w14:textId="77777777" w:rsidR="00DB2B68" w:rsidRDefault="00000000">
      <w:pPr>
        <w:jc w:val="both"/>
      </w:pPr>
      <w:r>
        <w:t>L’isolant de rouleau/matelas de laine de roche dispose d’une déclaration d’aptitude à l’utilisation tels que définis dans le chapitre 02.42.1 Critères d'acceptabilité.</w:t>
      </w:r>
    </w:p>
    <w:p w14:paraId="08C59944" w14:textId="77777777" w:rsidR="00DB2B68" w:rsidRDefault="00000000">
      <w:pPr>
        <w:pStyle w:val="pheading"/>
      </w:pPr>
      <w:r>
        <w:t>- Finitions</w:t>
      </w:r>
    </w:p>
    <w:p w14:paraId="1F958625" w14:textId="77777777" w:rsidR="00DB2B68" w:rsidRDefault="00000000">
      <w:pPr>
        <w:jc w:val="both"/>
      </w:pPr>
      <w:r>
        <w:t>Le surfaçage des rouleaux est de type : </w:t>
      </w:r>
      <w:r>
        <w:rPr>
          <w:rStyle w:val="optioncarChar"/>
        </w:rPr>
        <w:t>nu</w:t>
      </w:r>
      <w:r>
        <w:t xml:space="preserve"> (par défaut) </w:t>
      </w:r>
      <w:r>
        <w:rPr>
          <w:rStyle w:val="optioncarChar"/>
        </w:rPr>
        <w:t>/ fibres de verre / armature synthétique / feuille d’aluminium / ***</w:t>
      </w:r>
      <w:r>
        <w:t xml:space="preserve"> et est présent sur</w:t>
      </w:r>
      <w:r>
        <w:rPr>
          <w:rStyle w:val="optioncarChar"/>
        </w:rPr>
        <w:t xml:space="preserve"> un côté</w:t>
      </w:r>
      <w:r>
        <w:t xml:space="preserve"> (par défaut) </w:t>
      </w:r>
      <w:r>
        <w:rPr>
          <w:rStyle w:val="optioncarChar"/>
        </w:rPr>
        <w:t>/ les deux côtés / aucun côté du rouleau.</w:t>
      </w:r>
    </w:p>
    <w:p w14:paraId="4647F502" w14:textId="77777777" w:rsidR="00DB2B68" w:rsidRDefault="00000000">
      <w:pPr>
        <w:pStyle w:val="pheading"/>
      </w:pPr>
      <w:r>
        <w:lastRenderedPageBreak/>
        <w:t>- Prescriptions complémentaires</w:t>
      </w:r>
    </w:p>
    <w:p w14:paraId="518F3713" w14:textId="77777777" w:rsidR="00DB2B68" w:rsidRDefault="00000000">
      <w:pPr>
        <w:jc w:val="both"/>
      </w:pPr>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r>
        <w:t>.</w:t>
      </w:r>
    </w:p>
    <w:p w14:paraId="7E40BC93" w14:textId="77777777" w:rsidR="00DB2B68" w:rsidRDefault="00000000">
      <w:pPr>
        <w:jc w:val="both"/>
      </w:pPr>
      <w:r>
        <w:rPr>
          <w:rStyle w:val="facultChar"/>
        </w:rPr>
        <w:t>Réaction au feu selon</w:t>
      </w:r>
      <w:r>
        <w:t> [NBN EN 13501-1]   :</w:t>
      </w:r>
      <w:r>
        <w:rPr>
          <w:rStyle w:val="optioncarChar"/>
        </w:rPr>
        <w:t xml:space="preserve"> A1</w:t>
      </w:r>
      <w:r>
        <w:t xml:space="preserve"> (par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w:t>
      </w:r>
      <w:r>
        <w:rPr>
          <w:rStyle w:val="facultChar"/>
        </w:rPr>
        <w:t>et</w:t>
      </w:r>
      <w:r>
        <w:t>  </w:t>
      </w:r>
      <w:r>
        <w:rPr>
          <w:rStyle w:val="optioncarChar"/>
        </w:rPr>
        <w:t>d0</w:t>
      </w:r>
      <w:r>
        <w:t xml:space="preserve"> (par défaut) </w:t>
      </w:r>
      <w:r>
        <w:rPr>
          <w:rStyle w:val="optioncarChar"/>
        </w:rPr>
        <w:t>/ d1 / d2</w:t>
      </w:r>
      <w:r>
        <w:t>.  </w:t>
      </w:r>
    </w:p>
    <w:p w14:paraId="148F4A17" w14:textId="77777777" w:rsidR="00DB2B68" w:rsidRDefault="00000000">
      <w:pPr>
        <w:jc w:val="both"/>
      </w:pPr>
      <w:r>
        <w:rPr>
          <w:rStyle w:val="facultChar"/>
        </w:rPr>
        <w:t>La résistance à la diffusion de la vapeur d’eau (μ) suivant</w:t>
      </w:r>
      <w:r>
        <w:t xml:space="preserve">[NBN EN 12086] : </w:t>
      </w:r>
      <w:r>
        <w:rPr>
          <w:rStyle w:val="optioncarChar"/>
        </w:rPr>
        <w:t>1</w:t>
      </w:r>
      <w:r>
        <w:t xml:space="preserve"> (par défaut) </w:t>
      </w:r>
      <w:r>
        <w:rPr>
          <w:rStyle w:val="optioncarChar"/>
        </w:rPr>
        <w:t>/ ***</w:t>
      </w:r>
    </w:p>
    <w:p w14:paraId="581A2367" w14:textId="77777777" w:rsidR="00DB2B68" w:rsidRDefault="00000000">
      <w:pPr>
        <w:jc w:val="both"/>
      </w:pPr>
      <w:r>
        <w:rPr>
          <w:rStyle w:val="facultChar"/>
        </w:rPr>
        <w:t>La résistance au passage de l’air (selon [NBN EN ISO 9053-1]):  &gt;</w:t>
      </w:r>
      <w:r>
        <w:t xml:space="preserve">  </w:t>
      </w:r>
      <w:r>
        <w:rPr>
          <w:rStyle w:val="optioncarChar"/>
        </w:rPr>
        <w:t>55</w:t>
      </w:r>
      <w:r>
        <w:t xml:space="preserve"> (par défaut) </w:t>
      </w:r>
      <w:r>
        <w:rPr>
          <w:rStyle w:val="optioncarChar"/>
        </w:rPr>
        <w:t>/ ***</w:t>
      </w:r>
      <w:r>
        <w:rPr>
          <w:rStyle w:val="facultChar"/>
        </w:rPr>
        <w:t>kPa.s/m²</w:t>
      </w:r>
    </w:p>
    <w:p w14:paraId="7DCD1875" w14:textId="77777777" w:rsidR="00DB2B68" w:rsidRDefault="00000000">
      <w:pPr>
        <w:jc w:val="both"/>
      </w:pPr>
      <w:r>
        <w:rPr>
          <w:rStyle w:val="facultChar"/>
        </w:rPr>
        <w:t>Absorption d’eau à court terme (selon [NBN EN ISO 29767]): &lt;</w:t>
      </w:r>
      <w:r>
        <w:rPr>
          <w:rStyle w:val="optioncarChar"/>
        </w:rPr>
        <w:t>1kg/m²</w:t>
      </w:r>
      <w:r>
        <w:t xml:space="preserve"> (par défaut) </w:t>
      </w:r>
      <w:r>
        <w:rPr>
          <w:rStyle w:val="optioncarChar"/>
        </w:rPr>
        <w:t>/ ***</w:t>
      </w:r>
      <w:r>
        <w:t>  </w:t>
      </w:r>
    </w:p>
    <w:p w14:paraId="40302BE0" w14:textId="77777777" w:rsidR="00DB2B68" w:rsidRDefault="00000000">
      <w:pPr>
        <w:jc w:val="both"/>
      </w:pPr>
      <w:r>
        <w:rPr>
          <w:rStyle w:val="facultChar"/>
        </w:rPr>
        <w:t>Absorption d’eau à long terme (selon [NBN EN ISO 16535]): &lt;</w:t>
      </w:r>
      <w:r>
        <w:rPr>
          <w:rStyle w:val="optioncarChar"/>
        </w:rPr>
        <w:t>3kg/m²</w:t>
      </w:r>
      <w:r>
        <w:t xml:space="preserve"> (par défaut) </w:t>
      </w:r>
      <w:r>
        <w:rPr>
          <w:rStyle w:val="optioncarChar"/>
        </w:rPr>
        <w:t>/ ***</w:t>
      </w:r>
      <w:r>
        <w:t>  </w:t>
      </w:r>
    </w:p>
    <w:p w14:paraId="13101575" w14:textId="77777777" w:rsidR="00DB2B68" w:rsidRDefault="00000000">
      <w:pPr>
        <w:jc w:val="both"/>
      </w:pPr>
      <w:r>
        <w:rPr>
          <w:rStyle w:val="facultChar"/>
        </w:rPr>
        <w:t>Coefficient de résistance à la diffusion de vapeur d’eau – valeur μ (selon [NBN EN 12086]):</w:t>
      </w:r>
      <w:r>
        <w:t xml:space="preserve">  </w:t>
      </w:r>
      <w:r>
        <w:rPr>
          <w:rStyle w:val="optioncarChar"/>
        </w:rPr>
        <w:t>***</w:t>
      </w:r>
    </w:p>
    <w:p w14:paraId="6B13DE40" w14:textId="77777777" w:rsidR="00DB2B68" w:rsidRDefault="00000000">
      <w:pPr>
        <w:jc w:val="both"/>
      </w:pPr>
      <w:r>
        <w:rPr>
          <w:rStyle w:val="facultChar"/>
        </w:rPr>
        <w:t>Absorption acoustique (déterminée selon [NBN EN ISO 354] et [NBN EN ISO 11654]) :</w:t>
      </w:r>
      <w:r>
        <w:t> </w:t>
      </w:r>
      <w:r>
        <w:rPr>
          <w:rStyle w:val="optioncarChar"/>
        </w:rPr>
        <w:t>*** </w:t>
      </w:r>
    </w:p>
    <w:p w14:paraId="744238A7" w14:textId="77777777" w:rsidR="00DB2B68" w:rsidRDefault="00000000">
      <w:pPr>
        <w:jc w:val="both"/>
      </w:pPr>
      <w:r>
        <w:t> </w:t>
      </w:r>
    </w:p>
    <w:p w14:paraId="2B84652A" w14:textId="77777777" w:rsidR="00DB2B68" w:rsidRDefault="00000000">
      <w:pPr>
        <w:jc w:val="both"/>
      </w:pPr>
      <w:r>
        <w:rPr>
          <w:rStyle w:val="facultChar"/>
        </w:rPr>
        <w:t>Les liants des rouleaux et d’adhésion du revêtement de surface ne contiennent pas de formaldéhyde. Le dégagement mesuré selon la [NBN EN 717-1] est inférieur à</w:t>
      </w:r>
      <w:r>
        <w:t xml:space="preserve">  </w:t>
      </w:r>
      <w:r>
        <w:rPr>
          <w:rStyle w:val="optioncarChar"/>
        </w:rPr>
        <w:t>0.124 mg/m³</w:t>
      </w:r>
      <w:r>
        <w:t xml:space="preserve">  (par défaut) </w:t>
      </w:r>
      <w:r>
        <w:rPr>
          <w:rStyle w:val="optioncarChar"/>
        </w:rPr>
        <w:t>/ ***</w:t>
      </w:r>
      <w:r>
        <w:t>  </w:t>
      </w:r>
    </w:p>
    <w:p w14:paraId="1129D7E6" w14:textId="77777777" w:rsidR="00DB2B68" w:rsidRDefault="00000000">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  </w:t>
      </w:r>
    </w:p>
    <w:p w14:paraId="0D4C4BA7" w14:textId="77777777" w:rsidR="00DB2B68" w:rsidRDefault="00000000">
      <w:pPr>
        <w:jc w:val="both"/>
      </w:pPr>
      <w:r>
        <w:rPr>
          <w:rStyle w:val="facultChar"/>
        </w:rPr>
        <w:t>Les liants des rouleaux sont issus de</w:t>
      </w:r>
      <w:r>
        <w:t> </w:t>
      </w:r>
      <w:r>
        <w:rPr>
          <w:rStyle w:val="optioncarChar"/>
        </w:rPr>
        <w:t>matières premières végétales</w:t>
      </w:r>
      <w:r>
        <w:t xml:space="preserve"> (par défaut) </w:t>
      </w:r>
      <w:r>
        <w:rPr>
          <w:rStyle w:val="optioncarChar"/>
        </w:rPr>
        <w:t>/ dérivés pétrochimiques / ***</w:t>
      </w:r>
      <w:r>
        <w:t>.</w:t>
      </w:r>
    </w:p>
    <w:p w14:paraId="42FF08E1" w14:textId="77777777" w:rsidR="00DB2B68" w:rsidRDefault="00000000">
      <w:pPr>
        <w:jc w:val="both"/>
      </w:pPr>
      <w:r>
        <w:rPr>
          <w:rStyle w:val="facultChar"/>
        </w:rPr>
        <w:t>La laine minérale produite contient au moins</w:t>
      </w:r>
      <w:r>
        <w:t xml:space="preserve">  </w:t>
      </w:r>
      <w:r>
        <w:rPr>
          <w:rStyle w:val="optioncarChar"/>
        </w:rPr>
        <w:t>***</w:t>
      </w:r>
      <w:r>
        <w:t>  </w:t>
      </w:r>
      <w:r>
        <w:rPr>
          <w:rStyle w:val="facultChar"/>
        </w:rPr>
        <w:t>% de matière recyclée.</w:t>
      </w:r>
    </w:p>
    <w:p w14:paraId="4D0476F4" w14:textId="77777777" w:rsidR="00DB2B68" w:rsidRDefault="00000000">
      <w:pPr>
        <w:pStyle w:val="pheading"/>
      </w:pPr>
      <w:r>
        <w:t>EXÉCUTION / MISE EN ŒUVRE</w:t>
      </w:r>
    </w:p>
    <w:p w14:paraId="3F5458F7" w14:textId="77777777" w:rsidR="00DB2B68" w:rsidRDefault="00000000">
      <w:pPr>
        <w:pStyle w:val="pheading"/>
      </w:pPr>
      <w:r>
        <w:t>- Prescriptions générales</w:t>
      </w:r>
    </w:p>
    <w:p w14:paraId="21E5CBE8" w14:textId="77777777" w:rsidR="00DB2B68" w:rsidRDefault="00000000">
      <w:pPr>
        <w:jc w:val="both"/>
      </w:pPr>
      <w:r>
        <w:t>Les rouleaux sont contigus. Les espaces éventuels entre rouleaux ou de liaison avec les parois sont comblés avec un isolant de même type.</w:t>
      </w:r>
    </w:p>
    <w:p w14:paraId="07CC4466" w14:textId="77777777" w:rsidR="00DB2B68" w:rsidRDefault="00000000">
      <w:pPr>
        <w:jc w:val="both"/>
      </w:pPr>
      <w:r>
        <w:rPr>
          <w:b/>
        </w:rPr>
        <w:t>Pour une application en sol</w:t>
      </w:r>
    </w:p>
    <w:p w14:paraId="4268AA9C" w14:textId="77777777" w:rsidR="00DB2B68" w:rsidRDefault="00000000">
      <w:pPr>
        <w:jc w:val="both"/>
      </w:pPr>
      <w:r>
        <w:t xml:space="preserve">Les rouleaux sont disposés entre les lambourdes, chevrons ou poutre. La largeur des rouleaux est au moins supérieure à la largeur libre entre chevrons plus 2cm. L’isolation est posée par </w:t>
      </w:r>
      <w:r>
        <w:rPr>
          <w:rStyle w:val="optioncarChar"/>
        </w:rPr>
        <w:t>le dessus</w:t>
      </w:r>
      <w:r>
        <w:t xml:space="preserve"> (par défaut) / </w:t>
      </w:r>
      <w:r>
        <w:rPr>
          <w:rStyle w:val="optioncarChar"/>
        </w:rPr>
        <w:t>le dessous</w:t>
      </w:r>
      <w:r>
        <w:t xml:space="preserve"> des planchers</w:t>
      </w:r>
    </w:p>
    <w:p w14:paraId="44660D4B" w14:textId="77777777" w:rsidR="00DB2B68" w:rsidRDefault="00000000">
      <w:pPr>
        <w:ind w:left="567"/>
        <w:jc w:val="both"/>
      </w:pPr>
      <w:r>
        <w:rPr>
          <w:b/>
          <w:i/>
        </w:rPr>
        <w:t>(Soit par défaut) </w:t>
      </w:r>
    </w:p>
    <w:p w14:paraId="1A18E24C" w14:textId="77777777" w:rsidR="00DB2B68" w:rsidRDefault="00000000">
      <w:pPr>
        <w:ind w:left="567"/>
        <w:jc w:val="both"/>
      </w:pPr>
      <w:r>
        <w:rPr>
          <w:rStyle w:val="soitChar"/>
          <w:b/>
          <w:u w:val="single"/>
        </w:rPr>
        <w:t>Par le dessus des planchers</w:t>
      </w:r>
    </w:p>
    <w:p w14:paraId="47AE2E3D" w14:textId="77777777" w:rsidR="00DB2B68" w:rsidRDefault="00000000">
      <w:pPr>
        <w:ind w:left="567"/>
        <w:jc w:val="both"/>
      </w:pPr>
      <w:r>
        <w:rPr>
          <w:rStyle w:val="soitChar"/>
        </w:rPr>
        <w:t xml:space="preserve"> Le placement de l’isolation est assuré par </w:t>
      </w:r>
      <w:r>
        <w:rPr>
          <w:rStyle w:val="optioncarChar"/>
        </w:rPr>
        <w:t>pose simple</w:t>
      </w:r>
      <w:r>
        <w:t xml:space="preserve"> (par défaut) </w:t>
      </w:r>
      <w:r>
        <w:rPr>
          <w:rStyle w:val="optioncarChar"/>
        </w:rPr>
        <w:t>/ agrafage à raison de 5 par m et par côté / ***</w:t>
      </w:r>
      <w:r>
        <w:t>.</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w:t>
      </w:r>
    </w:p>
    <w:p w14:paraId="0030AF95" w14:textId="77777777" w:rsidR="00DB2B68" w:rsidRDefault="00000000">
      <w:pPr>
        <w:ind w:left="567"/>
        <w:jc w:val="both"/>
      </w:pPr>
      <w:r>
        <w:rPr>
          <w:b/>
          <w:i/>
        </w:rPr>
        <w:t>(Soit) </w:t>
      </w:r>
    </w:p>
    <w:p w14:paraId="66CC9D4D" w14:textId="77777777" w:rsidR="00DB2B68" w:rsidRDefault="00000000">
      <w:pPr>
        <w:ind w:left="567"/>
        <w:jc w:val="both"/>
      </w:pPr>
      <w:r>
        <w:rPr>
          <w:rStyle w:val="soitChar"/>
          <w:b/>
          <w:u w:val="single"/>
        </w:rPr>
        <w:t>Par le dessous des planchers</w:t>
      </w:r>
    </w:p>
    <w:p w14:paraId="52BB7953" w14:textId="77777777" w:rsidR="00DB2B68" w:rsidRDefault="00000000">
      <w:pPr>
        <w:ind w:left="567"/>
        <w:jc w:val="both"/>
      </w:pPr>
      <w:r>
        <w:rPr>
          <w:rStyle w:val="soitChar"/>
        </w:rPr>
        <w:t xml:space="preserve"> Le placement de l’isolation est assuré par</w:t>
      </w:r>
      <w:r>
        <w:t>   </w:t>
      </w:r>
      <w:r>
        <w:rPr>
          <w:rStyle w:val="optioncarChar"/>
        </w:rPr>
        <w:t>agrafage à raison de 5 par m et par côté</w:t>
      </w:r>
      <w:r>
        <w:t xml:space="preserve"> (par défaut) </w:t>
      </w:r>
      <w:r>
        <w:rPr>
          <w:rStyle w:val="optioncarChar"/>
        </w:rPr>
        <w:t>/ par lattage (latte de minimum 15x23mm espacées de 30 cm) / ***</w:t>
      </w:r>
      <w:r>
        <w:t xml:space="preserve">. </w:t>
      </w:r>
      <w:r>
        <w:rPr>
          <w:rStyle w:val="soitChar"/>
        </w:rPr>
        <w:t>Le parement est disposé en</w:t>
      </w:r>
      <w:r>
        <w:t>  </w:t>
      </w:r>
      <w:r>
        <w:rPr>
          <w:rStyle w:val="optioncarChar"/>
        </w:rPr>
        <w:t>partie supérieure</w:t>
      </w:r>
      <w:r>
        <w:t xml:space="preserve"> (par défaut) </w:t>
      </w:r>
      <w:r>
        <w:rPr>
          <w:rStyle w:val="optioncarChar"/>
        </w:rPr>
        <w:t>/ partie inférieure / ***</w:t>
      </w:r>
      <w:r>
        <w:t>.</w:t>
      </w:r>
    </w:p>
    <w:p w14:paraId="7D2A5205" w14:textId="77777777" w:rsidR="00DB2B68" w:rsidRDefault="00000000">
      <w:pPr>
        <w:jc w:val="both"/>
      </w:pPr>
      <w:r>
        <w:t> </w:t>
      </w:r>
      <w:r>
        <w:rPr>
          <w:b/>
        </w:rPr>
        <w:t>Pour une application verticale</w:t>
      </w:r>
    </w:p>
    <w:p w14:paraId="5B998718" w14:textId="77777777" w:rsidR="00DB2B68" w:rsidRDefault="00000000">
      <w:pPr>
        <w:jc w:val="both"/>
      </w:pPr>
      <w:r>
        <w:t>Les rouleaux sont disposés entre montants, chevrons ou poutres. La largeur des rouleaux est au moins supérieure à la largeur libre entre montants plus 2cm.</w:t>
      </w:r>
    </w:p>
    <w:p w14:paraId="2BE09889" w14:textId="77777777" w:rsidR="00DB2B68" w:rsidRDefault="00000000">
      <w:pPr>
        <w:jc w:val="both"/>
      </w:pPr>
      <w:r>
        <w:t xml:space="preserve">Le parement est disposé en partie </w:t>
      </w:r>
      <w:r>
        <w:rPr>
          <w:rStyle w:val="optioncarChar"/>
        </w:rPr>
        <w:t>extérieure</w:t>
      </w:r>
      <w:r>
        <w:t xml:space="preserve"> (par défaut)</w:t>
      </w:r>
      <w:r>
        <w:rPr>
          <w:rStyle w:val="optioncarChar"/>
        </w:rPr>
        <w:t xml:space="preserve"> / intérieure / ***</w:t>
      </w:r>
      <w:r>
        <w:t>.</w:t>
      </w:r>
    </w:p>
    <w:p w14:paraId="62487A10" w14:textId="77777777" w:rsidR="00DB2B68" w:rsidRDefault="00000000">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p>
    <w:p w14:paraId="117F9DCB" w14:textId="77777777" w:rsidR="00DB2B68" w:rsidRDefault="00000000">
      <w:pPr>
        <w:ind w:left="567"/>
        <w:jc w:val="both"/>
      </w:pPr>
      <w:r>
        <w:rPr>
          <w:b/>
          <w:i/>
        </w:rPr>
        <w:t>(Soit par défaut) </w:t>
      </w:r>
    </w:p>
    <w:p w14:paraId="67D53063" w14:textId="77777777" w:rsidR="00DB2B68" w:rsidRDefault="00000000">
      <w:pPr>
        <w:ind w:left="567"/>
        <w:jc w:val="both"/>
      </w:pPr>
      <w:r>
        <w:rPr>
          <w:rStyle w:val="soitChar"/>
          <w:b/>
          <w:u w:val="single"/>
        </w:rPr>
        <w:lastRenderedPageBreak/>
        <w:t>Par fixation mécanique</w:t>
      </w:r>
    </w:p>
    <w:p w14:paraId="78AE3647" w14:textId="77777777" w:rsidR="00DB2B68" w:rsidRDefault="00000000">
      <w:pPr>
        <w:ind w:left="567"/>
        <w:jc w:val="both"/>
      </w:pPr>
      <w:r>
        <w:rPr>
          <w:rStyle w:val="soitChar"/>
        </w:rPr>
        <w:t xml:space="preserve"> Les fixations sont au nombre de</w:t>
      </w:r>
      <w:r>
        <w:rPr>
          <w:rStyle w:val="soitChar"/>
          <w:color w:val="000000"/>
        </w:rPr>
        <w:t> </w:t>
      </w:r>
      <w:r>
        <w:rPr>
          <w:rStyle w:val="optioncarChar"/>
        </w:rPr>
        <w:t>5 par m²</w:t>
      </w:r>
      <w:r>
        <w:t xml:space="preserve"> (par défaut)</w:t>
      </w:r>
      <w:r>
        <w:rPr>
          <w:rStyle w:val="optioncarChar"/>
        </w:rPr>
        <w:t xml:space="preserve"> / 8 par m² / ***</w:t>
      </w:r>
      <w:r>
        <w:t xml:space="preserve">. </w:t>
      </w:r>
      <w:r>
        <w:rPr>
          <w:rStyle w:val="soitChar"/>
        </w:rPr>
        <w:t>Elles sont munies de</w:t>
      </w:r>
      <w:r>
        <w:t>  </w:t>
      </w:r>
      <w:r>
        <w:rPr>
          <w:rStyle w:val="optioncarChar"/>
        </w:rPr>
        <w:t>rosace (cheville) métallique / rosace (cheville) synthétique</w:t>
      </w:r>
      <w:r>
        <w:t xml:space="preserve"> (par défaut)</w:t>
      </w:r>
      <w:r>
        <w:rPr>
          <w:rStyle w:val="optioncarChar"/>
        </w:rPr>
        <w:t xml:space="preserve"> / ***</w:t>
      </w:r>
      <w:r>
        <w:t xml:space="preserve">. </w:t>
      </w:r>
      <w:r>
        <w:rPr>
          <w:rStyle w:val="soitChar"/>
        </w:rPr>
        <w:t>L’ancrage dans la paroi porteuse est</w:t>
      </w:r>
      <w:r>
        <w:t>  </w:t>
      </w:r>
      <w:r>
        <w:rPr>
          <w:rStyle w:val="optioncarChar"/>
        </w:rPr>
        <w:t>métallique / synthétique</w:t>
      </w:r>
      <w:r>
        <w:t xml:space="preserve"> (par défaut).  </w:t>
      </w:r>
      <w:r>
        <w:rPr>
          <w:rStyle w:val="soitChar"/>
        </w:rPr>
        <w:t>Les ancrages sont</w:t>
      </w:r>
      <w:r>
        <w:t>  </w:t>
      </w:r>
      <w:r>
        <w:rPr>
          <w:rStyle w:val="optioncarChar"/>
        </w:rPr>
        <w:t>à visser / frapper</w:t>
      </w:r>
      <w:r>
        <w:t xml:space="preserve"> (par défaut) </w:t>
      </w:r>
      <w:r>
        <w:rPr>
          <w:rStyle w:val="soitChar"/>
        </w:rPr>
        <w:t>et sont adaptés au support</w:t>
      </w:r>
      <w:r>
        <w:t>.</w:t>
      </w:r>
    </w:p>
    <w:p w14:paraId="4E654CB6" w14:textId="77777777" w:rsidR="00DB2B68" w:rsidRDefault="00000000">
      <w:pPr>
        <w:ind w:left="567"/>
        <w:jc w:val="both"/>
      </w:pPr>
      <w:r>
        <w:rPr>
          <w:b/>
          <w:i/>
        </w:rPr>
        <w:t>(Soit) </w:t>
      </w:r>
    </w:p>
    <w:p w14:paraId="1F3CB2F8" w14:textId="77777777" w:rsidR="00DB2B68" w:rsidRDefault="00000000">
      <w:pPr>
        <w:ind w:left="567"/>
        <w:jc w:val="both"/>
      </w:pPr>
      <w:r>
        <w:rPr>
          <w:rStyle w:val="soitChar"/>
          <w:b/>
          <w:u w:val="single"/>
        </w:rPr>
        <w:t>Par serrage et agrafage entre éléments</w:t>
      </w:r>
    </w:p>
    <w:p w14:paraId="76AA8731" w14:textId="77777777" w:rsidR="00DB2B68" w:rsidRDefault="00000000">
      <w:pPr>
        <w:ind w:left="567"/>
        <w:jc w:val="both"/>
      </w:pPr>
      <w:r>
        <w:rPr>
          <w:rStyle w:val="soitChar"/>
        </w:rPr>
        <w:t>Les rouleaux sont serrés entièrement et découpés à mesure (+ 2 min), le serrage est accompagné d’un</w:t>
      </w:r>
      <w:r>
        <w:t>  </w:t>
      </w:r>
      <w:r>
        <w:rPr>
          <w:rStyle w:val="optioncarChar"/>
        </w:rPr>
        <w:t>agrafage à raison de 5 par m et par côté</w:t>
      </w:r>
      <w:r>
        <w:t xml:space="preserve"> (par défaut)</w:t>
      </w:r>
      <w:r>
        <w:rPr>
          <w:rStyle w:val="optioncarChar"/>
        </w:rPr>
        <w:t xml:space="preserve"> / ***.</w:t>
      </w:r>
    </w:p>
    <w:p w14:paraId="07115E5D" w14:textId="77777777" w:rsidR="00DB2B68" w:rsidRDefault="00000000">
      <w:pPr>
        <w:ind w:left="567"/>
        <w:jc w:val="both"/>
      </w:pPr>
      <w:r>
        <w:rPr>
          <w:b/>
          <w:i/>
        </w:rPr>
        <w:t>(Soit) </w:t>
      </w:r>
    </w:p>
    <w:p w14:paraId="405DB721" w14:textId="77777777" w:rsidR="00DB2B68" w:rsidRDefault="00000000">
      <w:pPr>
        <w:ind w:left="567"/>
        <w:jc w:val="both"/>
      </w:pPr>
      <w:r>
        <w:rPr>
          <w:rStyle w:val="soitChar"/>
          <w:b/>
          <w:u w:val="single"/>
        </w:rPr>
        <w:t>Par collage</w:t>
      </w:r>
    </w:p>
    <w:p w14:paraId="6647404E" w14:textId="77777777" w:rsidR="00DB2B68" w:rsidRDefault="00000000">
      <w:pPr>
        <w:ind w:left="567"/>
        <w:jc w:val="both"/>
      </w:pPr>
      <w:r>
        <w:rPr>
          <w:rStyle w:val="soitChar"/>
        </w:rPr>
        <w:t xml:space="preserve"> Les rouleaux sont fixés à l’aide de colle</w:t>
      </w:r>
      <w:r>
        <w:rPr>
          <w:rStyle w:val="soitChar"/>
          <w:color w:val="000000"/>
        </w:rPr>
        <w:t> </w:t>
      </w:r>
      <w:r>
        <w:rPr>
          <w:rStyle w:val="optioncarChar"/>
        </w:rPr>
        <w:t>PU</w:t>
      </w:r>
      <w:r>
        <w:t xml:space="preserve"> (par défaut)</w:t>
      </w:r>
      <w:r>
        <w:rPr>
          <w:rStyle w:val="optioncarChar"/>
        </w:rPr>
        <w:t xml:space="preserve"> / ***</w:t>
      </w:r>
      <w:r>
        <w:t xml:space="preserve">. </w:t>
      </w:r>
      <w:r>
        <w:rPr>
          <w:rStyle w:val="soitChar"/>
        </w:rPr>
        <w:t>La colle est appliquée en collage</w:t>
      </w:r>
      <w:r>
        <w:t>  </w:t>
      </w:r>
      <w:r>
        <w:rPr>
          <w:rStyle w:val="optioncarChar"/>
        </w:rPr>
        <w:t>partiel à 50%</w:t>
      </w:r>
      <w:r>
        <w:t xml:space="preserve"> (par défaut) /</w:t>
      </w:r>
      <w:r>
        <w:rPr>
          <w:rStyle w:val="optioncarChar"/>
        </w:rPr>
        <w:t xml:space="preserve"> total / ***.</w:t>
      </w:r>
      <w:r>
        <w:rPr>
          <w:rStyle w:val="soitChar"/>
        </w:rPr>
        <w:t>La colle répond aux mêmes exigences que le panneau en termes de formaldéhyde et  de pentachlorophénol.</w:t>
      </w:r>
    </w:p>
    <w:p w14:paraId="567AEFF0" w14:textId="77777777" w:rsidR="00DB2B68" w:rsidRDefault="00000000">
      <w:pPr>
        <w:ind w:left="567"/>
        <w:jc w:val="both"/>
      </w:pPr>
      <w:r>
        <w:rPr>
          <w:b/>
          <w:i/>
        </w:rPr>
        <w:t>(Soit) </w:t>
      </w:r>
    </w:p>
    <w:p w14:paraId="4553B0D7" w14:textId="77777777" w:rsidR="00DB2B68" w:rsidRDefault="00000000">
      <w:pPr>
        <w:ind w:left="567"/>
        <w:jc w:val="both"/>
      </w:pPr>
      <w:r>
        <w:rPr>
          <w:rStyle w:val="optioncarChar"/>
        </w:rPr>
        <w:t>***</w:t>
      </w:r>
    </w:p>
    <w:p w14:paraId="36B3FC1A" w14:textId="77777777" w:rsidR="00DB2B68" w:rsidRDefault="00000000">
      <w:pPr>
        <w:jc w:val="both"/>
      </w:pPr>
      <w:r>
        <w:t>Les détails d’isolation pour les murs creux sont conformes à la [NIT 264].</w:t>
      </w:r>
    </w:p>
    <w:p w14:paraId="31DB3CAD" w14:textId="77777777" w:rsidR="00DB2B68" w:rsidRDefault="00000000">
      <w:pPr>
        <w:jc w:val="both"/>
      </w:pPr>
      <w:r>
        <w:t>Les fixations sont conçues et disposées afin de ne pas réduire les performances acoustiques</w:t>
      </w:r>
    </w:p>
    <w:p w14:paraId="42B37A69" w14:textId="77777777" w:rsidR="00DB2B68"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7A6BE582" w14:textId="77777777" w:rsidR="00DB2B68" w:rsidRDefault="00000000">
      <w:pPr>
        <w:pStyle w:val="pheading"/>
      </w:pPr>
      <w:r>
        <w:t>DOCUMENTS DE RÉFÉRENCE COMPLÉMENTAIRES</w:t>
      </w:r>
    </w:p>
    <w:p w14:paraId="1850A47D" w14:textId="77777777" w:rsidR="00DB2B68" w:rsidRDefault="00000000">
      <w:pPr>
        <w:pStyle w:val="pheading"/>
      </w:pPr>
      <w:r>
        <w:t>- Matériau</w:t>
      </w:r>
    </w:p>
    <w:p w14:paraId="68C3176A"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F662CB4" w14:textId="77777777" w:rsidR="00DB2B6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DCDBE26" w14:textId="77777777" w:rsidR="00DB2B68" w:rsidRDefault="00000000">
      <w:r>
        <w:t>[NBN EN 824, Produits isolants thermiques destinés aux applications du bâtiment - Détermination de l'équerrage]</w:t>
      </w:r>
    </w:p>
    <w:p w14:paraId="49047997" w14:textId="77777777" w:rsidR="00DB2B68" w:rsidRDefault="00000000">
      <w:r>
        <w:t>[NBN EN 825, Produits isolants thermiques destinés aux applications du bâtiment - Détermination de la planéité]</w:t>
      </w:r>
    </w:p>
    <w:p w14:paraId="4BB98220" w14:textId="77777777" w:rsidR="00DB2B68" w:rsidRDefault="00000000">
      <w:r>
        <w:t>[NBN EN 13501-1, Classement au feu des produits et éléments de construction - Partie 1: Classement à partir des données d'essais de réaction au feu]</w:t>
      </w:r>
    </w:p>
    <w:p w14:paraId="26C1F186" w14:textId="77777777" w:rsidR="00DB2B68" w:rsidRDefault="00000000">
      <w:r>
        <w:t>[NBN EN 1604, Produits isolants thermiques destinés aux applications du bâtiment - Détermination de la stabilité dimensionnelle dans des conditions de température et d'humidité spécifiées]</w:t>
      </w:r>
    </w:p>
    <w:p w14:paraId="795B6ABB" w14:textId="77777777" w:rsidR="00DB2B68" w:rsidRDefault="00000000">
      <w:r>
        <w:t>[NBN EN 13162+A1, Produits isolants thermiques pour le bâtiment - Produits manufacturés en laine minérale (MW) - Spécification]</w:t>
      </w:r>
    </w:p>
    <w:p w14:paraId="431A8BF5" w14:textId="77777777" w:rsidR="00DB2B68" w:rsidRDefault="00000000">
      <w:r>
        <w:t>[NBN EN 826, Produits isolants thermiques destinés aux applications du bâtiment - Détermination du comportement en compression]</w:t>
      </w:r>
    </w:p>
    <w:p w14:paraId="6C7811F0" w14:textId="77777777" w:rsidR="00DB2B68" w:rsidRDefault="00000000">
      <w:r>
        <w:t>[NBN EN 1607, Produits isolants thermiques destinés aux applications du bâtiment - Détermination de la résistance à la traction perpendiculairement aux faces]</w:t>
      </w:r>
    </w:p>
    <w:p w14:paraId="55551F85" w14:textId="77777777" w:rsidR="00DB2B68" w:rsidRDefault="00000000">
      <w:r>
        <w:t>[NBN EN 12430, Produits isolants thermiques destinés aux applications du bâtiment - Détermination du comportement sous charge ponctuelle]</w:t>
      </w:r>
    </w:p>
    <w:p w14:paraId="3DA70A8E" w14:textId="77777777" w:rsidR="00DB2B68" w:rsidRDefault="00000000">
      <w:r>
        <w:lastRenderedPageBreak/>
        <w:t>[NBN EN ISO 16534, Produits isolants thermiques destinés aux applications du bâtiment - Détermination du fluage en compression (ISO 16534:2020)]</w:t>
      </w:r>
    </w:p>
    <w:p w14:paraId="4C4CD03D" w14:textId="77777777" w:rsidR="00DB2B68" w:rsidRDefault="00000000">
      <w:r>
        <w:t>[NBN EN ISO 29767, Produits isolants thermiques destinés aux applications du bâtiment - Détermination de l'absorption d'eau à court terme par immersion partielle (ISO 29767:2019)]</w:t>
      </w:r>
    </w:p>
    <w:p w14:paraId="39DD8828" w14:textId="77777777" w:rsidR="00DB2B68" w:rsidRDefault="00000000">
      <w:r>
        <w:t>[NBN EN ISO 16535, Produits isolants thermiques destinés aux applications du bâtiment - Détermination de l'absorption d'eau à long terme par immersion (ISO 16535:2019)]</w:t>
      </w:r>
    </w:p>
    <w:p w14:paraId="02BD31C3" w14:textId="77777777" w:rsidR="00DB2B68" w:rsidRDefault="00000000">
      <w:r>
        <w:t>[NBN EN 12086, Produits isolants thermiques destinés aux applications du bâtiment - Détermination des propriétés de transmission de la vapeur d'eau]</w:t>
      </w:r>
    </w:p>
    <w:p w14:paraId="2F2AC767" w14:textId="77777777" w:rsidR="00DB2B68" w:rsidRDefault="00000000">
      <w:r>
        <w:t>[NBN EN ISO 354, Acoustique - Mesurage de l'absorption acoustique en salle réverbérante (ISO 354:2003)]</w:t>
      </w:r>
    </w:p>
    <w:p w14:paraId="173091CA" w14:textId="77777777" w:rsidR="00DB2B68" w:rsidRDefault="00000000">
      <w:r>
        <w:t>[NBN EN ISO 11654, Acoustique - Absorbants pour l'utilisation dans les bâtiments - Evaluation de l'absorption acoustique (ISO 11654:1997)]</w:t>
      </w:r>
    </w:p>
    <w:p w14:paraId="3D55B4EB" w14:textId="77777777" w:rsidR="00DB2B68" w:rsidRDefault="00000000">
      <w:pPr>
        <w:pStyle w:val="pheading"/>
      </w:pPr>
      <w:r>
        <w:t>- Exécution</w:t>
      </w:r>
    </w:p>
    <w:p w14:paraId="1C0A809A" w14:textId="77777777" w:rsidR="00DB2B68" w:rsidRDefault="00000000">
      <w:r>
        <w:t>[NIT 193, Les chapes. 2e partie: Mise en oeuvre.]</w:t>
      </w:r>
      <w:r>
        <w:br/>
      </w:r>
      <w:r>
        <w:br/>
        <w:t>[NIT 264, Détails de référence pour les murs creux]</w:t>
      </w:r>
    </w:p>
    <w:p w14:paraId="59F456A1" w14:textId="77777777" w:rsidR="00DB2B68" w:rsidRDefault="00000000">
      <w:r>
        <w:t>[NIT 253, Les toitures-parkings. 1ère partie : sollicitations, principes de conception et composition]</w:t>
      </w:r>
    </w:p>
    <w:p w14:paraId="0DAC51A8" w14:textId="77777777" w:rsidR="00DB2B68" w:rsidRDefault="00000000">
      <w:pPr>
        <w:pStyle w:val="pheading"/>
      </w:pPr>
      <w:r>
        <w:t>MESURAGE</w:t>
      </w:r>
    </w:p>
    <w:p w14:paraId="26C5547A" w14:textId="77777777" w:rsidR="00DB2B68" w:rsidRDefault="00000000">
      <w:pPr>
        <w:pStyle w:val="pheading"/>
      </w:pPr>
      <w:r>
        <w:t>- unité de mesure:</w:t>
      </w:r>
    </w:p>
    <w:p w14:paraId="7B4699DE" w14:textId="77777777" w:rsidR="00DB2B68" w:rsidRDefault="00000000">
      <w:r>
        <w:t>m²</w:t>
      </w:r>
    </w:p>
    <w:p w14:paraId="5E89D9C6" w14:textId="77777777" w:rsidR="00DB2B68" w:rsidRDefault="00000000">
      <w:pPr>
        <w:pStyle w:val="pheading"/>
      </w:pPr>
      <w:r>
        <w:t>- code de mesurage:</w:t>
      </w:r>
    </w:p>
    <w:p w14:paraId="69747225" w14:textId="77777777" w:rsidR="00DB2B68" w:rsidRDefault="00000000">
      <w:pPr>
        <w:jc w:val="both"/>
      </w:pPr>
      <w:r>
        <w:rPr>
          <w:u w:val="single"/>
        </w:rPr>
        <w:t>Isolation des parois verticales</w:t>
      </w:r>
      <w:r>
        <w:t xml:space="preserve"> : </w:t>
      </w:r>
      <w:r>
        <w:rPr>
          <w:b/>
        </w:rPr>
        <w:t>Surface nette</w:t>
      </w:r>
      <w:r>
        <w:t xml:space="preserve"> mise en œuvre. Les ouvertures supérieures à 0,50 m² sont déduites.</w:t>
      </w:r>
    </w:p>
    <w:p w14:paraId="334BE0E4" w14:textId="77777777" w:rsidR="00DB2B68" w:rsidRDefault="00000000">
      <w:pPr>
        <w:jc w:val="both"/>
      </w:pPr>
      <w:r>
        <w:rPr>
          <w:u w:val="single"/>
        </w:rPr>
        <w:t>Isolation entre chevrons</w:t>
      </w:r>
      <w:r>
        <w:t xml:space="preserve"> : </w:t>
      </w:r>
      <w:r>
        <w:rPr>
          <w:b/>
        </w:rPr>
        <w:t>Surface nette</w:t>
      </w:r>
      <w:r>
        <w:t xml:space="preserve"> à isoler, sans déduction des éléments de structure interposés (chevrons, fermes). Les réservations inférieures à 1 m² ne sont pas déduites.</w:t>
      </w:r>
    </w:p>
    <w:p w14:paraId="00FF5071" w14:textId="77777777" w:rsidR="00DB2B68" w:rsidRDefault="00000000">
      <w:pPr>
        <w:jc w:val="both"/>
      </w:pPr>
      <w:r>
        <w:rPr>
          <w:u w:val="single"/>
        </w:rPr>
        <w:t>Isolation des parois horizontales</w:t>
      </w:r>
      <w:r>
        <w:t xml:space="preserve"> : </w:t>
      </w:r>
      <w:r>
        <w:rPr>
          <w:b/>
        </w:rPr>
        <w:t>Surface nette</w:t>
      </w:r>
      <w:r>
        <w:t xml:space="preserve"> à mettre en œuvre, mesurée entre murs et donc égale à la surface nette. Les ouvertures supérieures à 0,5 m2 sont déduites. Les retours et remontées périphériques sont compris mais non comptabilisés. Distinction faite suivant l'épaisseur et le type de fixation.</w:t>
      </w:r>
    </w:p>
    <w:p w14:paraId="5DBDA8B6" w14:textId="77777777" w:rsidR="00DB2B68" w:rsidRDefault="00000000">
      <w:pPr>
        <w:jc w:val="both"/>
      </w:pPr>
      <w:r>
        <w:t>Distinction faite suivant l'épaisseur.</w:t>
      </w:r>
    </w:p>
    <w:p w14:paraId="4FFE27A8" w14:textId="77777777" w:rsidR="00DB2B68" w:rsidRDefault="00000000">
      <w:pPr>
        <w:pStyle w:val="pheading"/>
      </w:pPr>
      <w:r>
        <w:t>- nature du marché:</w:t>
      </w:r>
    </w:p>
    <w:p w14:paraId="64443FA8" w14:textId="77777777" w:rsidR="00DB2B68" w:rsidRDefault="00000000">
      <w:r>
        <w:t>QF</w:t>
      </w:r>
    </w:p>
    <w:p w14:paraId="294AF1E4" w14:textId="77777777" w:rsidR="00DB2B68" w:rsidRDefault="00000000">
      <w:pPr>
        <w:pStyle w:val="Author-eSectionHeading5Numberless"/>
      </w:pPr>
      <w:bookmarkStart w:id="1955" w:name="_Toc220496896"/>
      <w:r>
        <w:t>26.42.3 Isolation en rouleaux/matelas - matières végétales CCTB 01.04</w:t>
      </w:r>
      <w:bookmarkEnd w:id="1955"/>
    </w:p>
    <w:p w14:paraId="3B2E73D9" w14:textId="77777777" w:rsidR="00DB2B68" w:rsidRDefault="00000000">
      <w:pPr>
        <w:pStyle w:val="pheading"/>
      </w:pPr>
      <w:r>
        <w:t>DOCUMENTS DE RÉFÉRENCE</w:t>
      </w:r>
    </w:p>
    <w:p w14:paraId="001F1245" w14:textId="77777777" w:rsidR="00DB2B68" w:rsidRDefault="00000000">
      <w:pPr>
        <w:pStyle w:val="pheading"/>
      </w:pPr>
      <w:r>
        <w:t>- Matériau</w:t>
      </w:r>
    </w:p>
    <w:p w14:paraId="430C8AA7" w14:textId="77777777" w:rsidR="00DB2B68" w:rsidRDefault="00000000">
      <w:r>
        <w:t>32.42.3 Isolation en rouleaux/matelas - matières végétales</w:t>
      </w:r>
    </w:p>
    <w:p w14:paraId="532FFB3D" w14:textId="77777777" w:rsidR="00DB2B68" w:rsidRDefault="00000000">
      <w:pPr>
        <w:pStyle w:val="pheading"/>
      </w:pPr>
      <w:r>
        <w:t>- Exécution</w:t>
      </w:r>
    </w:p>
    <w:p w14:paraId="72C641D4" w14:textId="77777777" w:rsidR="00DB2B68" w:rsidRDefault="00000000">
      <w:r>
        <w:t>32.42.3 Isolation en rouleaux/matelas - matières végétales</w:t>
      </w:r>
    </w:p>
    <w:p w14:paraId="3AD846B8" w14:textId="77777777" w:rsidR="00DB2B68" w:rsidRDefault="00000000">
      <w:pPr>
        <w:pStyle w:val="Author-eSectionHeading6Numberless"/>
      </w:pPr>
      <w:bookmarkStart w:id="1956" w:name="_Toc220496897"/>
      <w:r>
        <w:t>26.42.3a Isolation en rouleaux/matelas - liège (ICB) CCTB 01.11</w:t>
      </w:r>
      <w:bookmarkEnd w:id="1956"/>
    </w:p>
    <w:p w14:paraId="161DDF7B" w14:textId="77777777" w:rsidR="00DB2B68" w:rsidRDefault="00000000">
      <w:pPr>
        <w:pStyle w:val="pheading"/>
      </w:pPr>
      <w:r>
        <w:t>MATÉRIAUX</w:t>
      </w:r>
    </w:p>
    <w:p w14:paraId="131334F9" w14:textId="77777777" w:rsidR="00DB2B68" w:rsidRDefault="00000000">
      <w:pPr>
        <w:pStyle w:val="pheading"/>
      </w:pPr>
      <w:r>
        <w:t>- Caractéristiques générales</w:t>
      </w:r>
    </w:p>
    <w:p w14:paraId="62E3EC47" w14:textId="77777777" w:rsidR="00DB2B68" w:rsidRDefault="00000000">
      <w:r>
        <w:t>Voir article 32.42.3a Isolation en rouleaux/matelas - liège (ICB)</w:t>
      </w:r>
    </w:p>
    <w:p w14:paraId="5CEC45FE" w14:textId="77777777" w:rsidR="00DB2B68" w:rsidRDefault="00000000">
      <w:pPr>
        <w:pStyle w:val="pheading"/>
      </w:pPr>
      <w:r>
        <w:lastRenderedPageBreak/>
        <w:t>DOCUMENTS DE RÉFÉRENCE COMPLÉMENTAIRES</w:t>
      </w:r>
    </w:p>
    <w:p w14:paraId="6F46182F" w14:textId="77777777" w:rsidR="00DB2B68" w:rsidRDefault="00000000">
      <w:pPr>
        <w:pStyle w:val="pheading"/>
      </w:pPr>
      <w:r>
        <w:t>- Matériau</w:t>
      </w:r>
    </w:p>
    <w:p w14:paraId="6F1AA707" w14:textId="77777777" w:rsidR="00DB2B68" w:rsidRDefault="00000000">
      <w:r>
        <w:t>32.42.3a Isolation en rouleaux/matelas - liège (ICB)</w:t>
      </w:r>
    </w:p>
    <w:p w14:paraId="6C869D5E" w14:textId="77777777" w:rsidR="00DB2B68" w:rsidRDefault="00000000">
      <w:pPr>
        <w:pStyle w:val="pheading"/>
      </w:pPr>
      <w:r>
        <w:t>- Exécution</w:t>
      </w:r>
    </w:p>
    <w:p w14:paraId="035019A9" w14:textId="77777777" w:rsidR="00DB2B68" w:rsidRDefault="00000000">
      <w:r>
        <w:t>32.42.3a Isolation en rouleaux/matelas - liège (ICB)</w:t>
      </w:r>
    </w:p>
    <w:p w14:paraId="32F51B46" w14:textId="77777777" w:rsidR="00DB2B68" w:rsidRDefault="00000000">
      <w:pPr>
        <w:pStyle w:val="pheading"/>
      </w:pPr>
      <w:r>
        <w:t>MESURAGE</w:t>
      </w:r>
    </w:p>
    <w:p w14:paraId="00240CBA" w14:textId="77777777" w:rsidR="00DB2B68" w:rsidRDefault="00000000">
      <w:pPr>
        <w:pStyle w:val="pheading"/>
      </w:pPr>
      <w:r>
        <w:t>- unité de mesure:</w:t>
      </w:r>
    </w:p>
    <w:p w14:paraId="0208D9D8" w14:textId="77777777" w:rsidR="00DB2B68" w:rsidRDefault="00000000">
      <w:r>
        <w:t>m²</w:t>
      </w:r>
    </w:p>
    <w:p w14:paraId="2899F5A2" w14:textId="77777777" w:rsidR="00DB2B68" w:rsidRDefault="00000000">
      <w:pPr>
        <w:pStyle w:val="pheading"/>
      </w:pPr>
      <w:r>
        <w:t>- code de mesurage:</w:t>
      </w:r>
    </w:p>
    <w:p w14:paraId="3571189D" w14:textId="77777777" w:rsidR="00DB2B68" w:rsidRDefault="00000000">
      <w:r>
        <w:t>Distinction faite suivant l'épaisseur.</w:t>
      </w:r>
      <w:r>
        <w:br/>
      </w:r>
    </w:p>
    <w:p w14:paraId="4ECA11A5" w14:textId="77777777" w:rsidR="00DB2B68" w:rsidRDefault="00000000">
      <w:pPr>
        <w:pStyle w:val="Author-eListParagraph"/>
        <w:numPr>
          <w:ilvl w:val="0"/>
          <w:numId w:val="1125"/>
        </w:numPr>
      </w:pPr>
      <w:r>
        <w:t xml:space="preserve">Isolation des </w:t>
      </w:r>
      <w:r>
        <w:rPr>
          <w:b/>
        </w:rPr>
        <w:t>parois verticales : Surface nette</w:t>
      </w:r>
      <w:r>
        <w:t>. Les ouvertures supérieures à 0,50 m² sont déduites</w:t>
      </w:r>
    </w:p>
    <w:p w14:paraId="3913B791" w14:textId="77777777" w:rsidR="00DB2B68" w:rsidRDefault="00000000">
      <w:pPr>
        <w:pStyle w:val="Author-eListParagraph"/>
        <w:numPr>
          <w:ilvl w:val="0"/>
          <w:numId w:val="1125"/>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4475FA3C" w14:textId="77777777" w:rsidR="00DB2B68" w:rsidRDefault="00000000">
      <w:pPr>
        <w:pStyle w:val="pheading"/>
      </w:pPr>
      <w:r>
        <w:t>- nature du marché:</w:t>
      </w:r>
    </w:p>
    <w:p w14:paraId="7D0DB15A" w14:textId="77777777" w:rsidR="00DB2B68" w:rsidRDefault="00000000">
      <w:r>
        <w:t>QF</w:t>
      </w:r>
      <w:r>
        <w:br/>
      </w:r>
    </w:p>
    <w:p w14:paraId="1159B692" w14:textId="77777777" w:rsidR="00DB2B68" w:rsidRDefault="00000000">
      <w:pPr>
        <w:pStyle w:val="Author-eSectionHeading6Numberless"/>
      </w:pPr>
      <w:bookmarkStart w:id="1957" w:name="_Toc220496898"/>
      <w:r>
        <w:t>26.42.3b (titre réservé) CCTB 01.04</w:t>
      </w:r>
      <w:bookmarkEnd w:id="1957"/>
    </w:p>
    <w:p w14:paraId="39BDAFAB" w14:textId="77777777" w:rsidR="00DB2B68" w:rsidRDefault="00000000">
      <w:pPr>
        <w:pStyle w:val="Author-eSectionHeading6Numberless"/>
      </w:pPr>
      <w:bookmarkStart w:id="1958" w:name="_Toc220496899"/>
      <w:r>
        <w:t>26.42.3c (titre réservé) CCTB 01.04</w:t>
      </w:r>
      <w:bookmarkEnd w:id="1958"/>
    </w:p>
    <w:p w14:paraId="3D09088A" w14:textId="77777777" w:rsidR="00DB2B68" w:rsidRDefault="00000000">
      <w:pPr>
        <w:pStyle w:val="Author-eSectionHeading6Numberless"/>
      </w:pPr>
      <w:bookmarkStart w:id="1959" w:name="_Toc220496900"/>
      <w:r>
        <w:t>26.42.3d (titre réservé) CCTB 01.04</w:t>
      </w:r>
      <w:bookmarkEnd w:id="1959"/>
    </w:p>
    <w:p w14:paraId="1E9972AC" w14:textId="77777777" w:rsidR="00DB2B68" w:rsidRDefault="00000000">
      <w:pPr>
        <w:pStyle w:val="Author-eSectionHeading6Numberless"/>
      </w:pPr>
      <w:bookmarkStart w:id="1960" w:name="_Toc220496901"/>
      <w:r>
        <w:t>26.42.3e (titre réservé) CCTB 01.04</w:t>
      </w:r>
      <w:bookmarkEnd w:id="1960"/>
    </w:p>
    <w:p w14:paraId="7FD0F078" w14:textId="77777777" w:rsidR="00DB2B68" w:rsidRDefault="00000000">
      <w:pPr>
        <w:pStyle w:val="Author-eSectionHeading6Numberless"/>
      </w:pPr>
      <w:bookmarkStart w:id="1961" w:name="_Toc220496902"/>
      <w:r>
        <w:t>26.42.3f (titre réservé)</w:t>
      </w:r>
      <w:bookmarkEnd w:id="1961"/>
    </w:p>
    <w:p w14:paraId="0DA63072" w14:textId="77777777" w:rsidR="00DB2B68" w:rsidRDefault="00000000">
      <w:pPr>
        <w:pStyle w:val="Author-eSectionHeading6Numberless"/>
      </w:pPr>
      <w:bookmarkStart w:id="1962" w:name="_Toc220496903"/>
      <w:r>
        <w:t>26.42.3g (titre réservé)</w:t>
      </w:r>
      <w:bookmarkEnd w:id="1962"/>
    </w:p>
    <w:p w14:paraId="3B9D3AD7" w14:textId="77777777" w:rsidR="00DB2B68" w:rsidRDefault="00000000">
      <w:pPr>
        <w:pStyle w:val="Author-eSectionHeading5Numberless"/>
      </w:pPr>
      <w:bookmarkStart w:id="1963" w:name="_Toc220496904"/>
      <w:r>
        <w:t>26.42.4 (titre réservé) CCTB 01.04</w:t>
      </w:r>
      <w:bookmarkEnd w:id="1963"/>
    </w:p>
    <w:p w14:paraId="19E71124" w14:textId="77777777" w:rsidR="00DB2B68" w:rsidRDefault="00000000">
      <w:pPr>
        <w:pStyle w:val="Author-eSectionHeading5Numberless"/>
      </w:pPr>
      <w:bookmarkStart w:id="1964" w:name="_Toc220496905"/>
      <w:r>
        <w:t>26.42.5 Isolation en rouleaux/matelas - matières composites CCTB 01.02</w:t>
      </w:r>
      <w:bookmarkEnd w:id="1964"/>
    </w:p>
    <w:p w14:paraId="50894D0C" w14:textId="77777777" w:rsidR="00DB2B68" w:rsidRDefault="00000000">
      <w:pPr>
        <w:pStyle w:val="Author-eSectionHeading6Numberless"/>
      </w:pPr>
      <w:bookmarkStart w:id="1965" w:name="_Toc220496906"/>
      <w:r>
        <w:t>26.42.5a Isolation en rouleaux/matelas - matières composites CCTB 01.02</w:t>
      </w:r>
      <w:bookmarkEnd w:id="1965"/>
    </w:p>
    <w:p w14:paraId="3E5D9D53" w14:textId="77777777" w:rsidR="00DB2B68" w:rsidRDefault="00000000">
      <w:pPr>
        <w:pStyle w:val="Author-eSectionHeading4Numberless"/>
      </w:pPr>
      <w:bookmarkStart w:id="1966" w:name="_Toc220496907"/>
      <w:r>
        <w:t>26.43 Isolation à projeter CCTB 01.11</w:t>
      </w:r>
      <w:bookmarkEnd w:id="1966"/>
    </w:p>
    <w:p w14:paraId="28695C6F" w14:textId="77777777" w:rsidR="00DB2B68" w:rsidRDefault="00000000">
      <w:pPr>
        <w:pStyle w:val="pheading"/>
      </w:pPr>
      <w:r>
        <w:t>DESCRIPTION</w:t>
      </w:r>
    </w:p>
    <w:p w14:paraId="6D0BDBA6" w14:textId="77777777" w:rsidR="00DB2B68" w:rsidRDefault="00000000">
      <w:pPr>
        <w:pStyle w:val="pheading"/>
      </w:pPr>
      <w:r>
        <w:t>- Définition / Comprend</w:t>
      </w:r>
    </w:p>
    <w:p w14:paraId="7AF65A86" w14:textId="77777777" w:rsidR="00DB2B68" w:rsidRDefault="00000000">
      <w:r>
        <w:t>Il s’agit de toutes les fournitures et travaux en vue de la réalisation d’une isolation projetée in situ, sans joint, suivant prescription de l'élément 32.43 Isolation à projeter, mais en relation avec les éléments du tome 2 du présent cahier des charges.</w:t>
      </w:r>
    </w:p>
    <w:p w14:paraId="57FBC42F" w14:textId="77777777" w:rsidR="00DB2B68" w:rsidRDefault="00000000">
      <w:r>
        <w:t xml:space="preserve">﻿﻿Suivant l’application à réaliser, la projection se fait sur support </w:t>
      </w:r>
      <w:r>
        <w:rPr>
          <w:rStyle w:val="optioncarChar"/>
        </w:rPr>
        <w:t>neuf / ancien</w:t>
      </w:r>
      <w:r>
        <w:t>.</w:t>
      </w:r>
    </w:p>
    <w:p w14:paraId="70A22280" w14:textId="77777777" w:rsidR="00DB2B68" w:rsidRDefault="00000000">
      <w:pPr>
        <w:pStyle w:val="pheading"/>
      </w:pPr>
      <w:r>
        <w:t>MATÉRIAUX</w:t>
      </w:r>
    </w:p>
    <w:p w14:paraId="17128A21" w14:textId="77777777" w:rsidR="00DB2B68" w:rsidRDefault="00000000">
      <w:r>
        <w:rPr>
          <w:rStyle w:val="optioncarChar"/>
        </w:rPr>
        <w:t>Avec sa remise de prix / Avant le début de chantier</w:t>
      </w:r>
      <w:r>
        <w:t>, l’entrepreneur fournit les références des matériaux qu’il souhaite mettre en œuvre.</w:t>
      </w:r>
    </w:p>
    <w:p w14:paraId="3D49D0C1" w14:textId="77777777" w:rsidR="00DB2B68" w:rsidRDefault="00000000">
      <w:pPr>
        <w:pStyle w:val="pheading"/>
      </w:pPr>
      <w:r>
        <w:lastRenderedPageBreak/>
        <w:t>EXÉCUTION / MISE EN ŒUVRE</w:t>
      </w:r>
    </w:p>
    <w:p w14:paraId="53DA61DD" w14:textId="77777777" w:rsidR="00DB2B68" w:rsidRDefault="00000000">
      <w:r>
        <w:t xml:space="preserve">Le travail est réalisé par une entreprise spécialisée, suivant notamment: </w:t>
      </w:r>
      <w:r>
        <w:rPr>
          <w:rStyle w:val="optioncarChar"/>
        </w:rPr>
        <w:t>Prescriptions du fabricant </w:t>
      </w:r>
      <w:r>
        <w:t>(par défaut)</w:t>
      </w:r>
      <w:r>
        <w:rPr>
          <w:rStyle w:val="optioncarChar"/>
        </w:rPr>
        <w:t xml:space="preserve"> / ***.</w:t>
      </w:r>
    </w:p>
    <w:p w14:paraId="7BE94EBF" w14:textId="77777777" w:rsidR="00DB2B68" w:rsidRDefault="00000000">
      <w:pPr>
        <w:pStyle w:val="pheading"/>
      </w:pPr>
      <w:r>
        <w:t>DOCUMENTS DE RÉFÉRENCE</w:t>
      </w:r>
    </w:p>
    <w:p w14:paraId="407EF211" w14:textId="77777777" w:rsidR="00DB2B68" w:rsidRDefault="00000000">
      <w:pPr>
        <w:pStyle w:val="pheading"/>
      </w:pPr>
      <w:r>
        <w:t>- Matériau</w:t>
      </w:r>
    </w:p>
    <w:p w14:paraId="6119599B" w14:textId="77777777" w:rsidR="00DB2B68" w:rsidRDefault="00000000">
      <w:r>
        <w:t>32.43 Isolation à projeter</w:t>
      </w:r>
    </w:p>
    <w:p w14:paraId="248F6A93" w14:textId="77777777" w:rsidR="00DB2B68" w:rsidRDefault="00000000">
      <w:pPr>
        <w:pStyle w:val="pheading"/>
      </w:pPr>
      <w:r>
        <w:t>- Exécution</w:t>
      </w:r>
    </w:p>
    <w:p w14:paraId="2CF84605" w14:textId="77777777" w:rsidR="00DB2B68" w:rsidRDefault="00000000">
      <w:r>
        <w:t>32.43 Isolation à projeter</w:t>
      </w:r>
    </w:p>
    <w:p w14:paraId="4BA305A2" w14:textId="77777777" w:rsidR="00DB2B68" w:rsidRDefault="00000000">
      <w:pPr>
        <w:pStyle w:val="pheading"/>
      </w:pPr>
      <w:r>
        <w:t>AIDE</w:t>
      </w:r>
    </w:p>
    <w:p w14:paraId="481BED32" w14:textId="77777777" w:rsidR="00DB2B68" w:rsidRDefault="00000000">
      <w:r>
        <w:rPr>
          <w:u w:val="single"/>
        </w:rPr>
        <w:t>Note à l'attention de l'auteur de projet</w:t>
      </w:r>
    </w:p>
    <w:p w14:paraId="72676CBB" w14:textId="77777777" w:rsidR="00DB2B68" w:rsidRDefault="00000000">
      <w:r>
        <w:t>Le domaine d’application et les prescriptions des différents isolants doivent être vérifiés et adaptés aux éléments du tome 2.</w:t>
      </w:r>
    </w:p>
    <w:p w14:paraId="04C32C69" w14:textId="77777777" w:rsidR="00DB2B68" w:rsidRDefault="00000000">
      <w:pPr>
        <w:pStyle w:val="Author-eSectionHeading5Numberless"/>
      </w:pPr>
      <w:bookmarkStart w:id="1967" w:name="_Toc220496908"/>
      <w:r>
        <w:t>26.43.1 Isolation à projeter - matières synthétiques CCTB 01.04</w:t>
      </w:r>
      <w:bookmarkEnd w:id="1967"/>
    </w:p>
    <w:p w14:paraId="4E8B6FF7" w14:textId="77777777" w:rsidR="00DB2B68" w:rsidRDefault="00000000">
      <w:pPr>
        <w:pStyle w:val="pheading"/>
      </w:pPr>
      <w:r>
        <w:t>DESCRIPTION</w:t>
      </w:r>
    </w:p>
    <w:p w14:paraId="56533CEE" w14:textId="77777777" w:rsidR="00DB2B68" w:rsidRDefault="00000000">
      <w:pPr>
        <w:pStyle w:val="pheading"/>
      </w:pPr>
      <w:r>
        <w:t>- Définition / Comprend</w:t>
      </w:r>
    </w:p>
    <w:p w14:paraId="52556D5F" w14:textId="77777777" w:rsidR="00DB2B68" w:rsidRDefault="00000000">
      <w:r>
        <w:t>Il s’agit de la réalisation d’une isolation projetée sous pression, avec des matières synthétiques chauffées suivant prescription de l'élément 32.43.1 Isolation à projeter - matières synthétiques.</w:t>
      </w:r>
    </w:p>
    <w:p w14:paraId="3251B978" w14:textId="77777777" w:rsidR="00DB2B68" w:rsidRDefault="00000000">
      <w:pPr>
        <w:pStyle w:val="pheading"/>
      </w:pPr>
      <w:r>
        <w:t>DOCUMENTS DE RÉFÉRENCE</w:t>
      </w:r>
    </w:p>
    <w:p w14:paraId="0444EFEA" w14:textId="77777777" w:rsidR="00DB2B68" w:rsidRDefault="00000000">
      <w:pPr>
        <w:pStyle w:val="pheading"/>
      </w:pPr>
      <w:r>
        <w:t>- Matériau</w:t>
      </w:r>
    </w:p>
    <w:p w14:paraId="63B483C7" w14:textId="77777777" w:rsidR="00DB2B68" w:rsidRDefault="00000000">
      <w:r>
        <w:t>Voir 32.43.1 Isolation à projeter - matières synthétiques</w:t>
      </w:r>
    </w:p>
    <w:p w14:paraId="1F3043BC" w14:textId="77777777" w:rsidR="00DB2B68" w:rsidRDefault="00000000">
      <w:pPr>
        <w:pStyle w:val="pheading"/>
      </w:pPr>
      <w:r>
        <w:t>- Exécution</w:t>
      </w:r>
    </w:p>
    <w:p w14:paraId="19A33FFE" w14:textId="77777777" w:rsidR="00DB2B68" w:rsidRDefault="00000000">
      <w:r>
        <w:t>Voir 32.43.1 Isolation à projeter - matières synthétiques</w:t>
      </w:r>
    </w:p>
    <w:p w14:paraId="26DAABB2" w14:textId="77777777" w:rsidR="00DB2B68" w:rsidRDefault="00000000">
      <w:pPr>
        <w:pStyle w:val="Author-eSectionHeading6Numberless"/>
      </w:pPr>
      <w:bookmarkStart w:id="1968" w:name="_Toc220496909"/>
      <w:r>
        <w:t>26.43.1a Isolation à projeter - polyuréthane (PUR) CCTB 01.11</w:t>
      </w:r>
      <w:bookmarkEnd w:id="1968"/>
    </w:p>
    <w:p w14:paraId="2DF99CE3" w14:textId="77777777" w:rsidR="00DB2B68" w:rsidRDefault="00000000">
      <w:pPr>
        <w:pStyle w:val="pheading"/>
      </w:pPr>
      <w:r>
        <w:t>DESCRIPTION</w:t>
      </w:r>
    </w:p>
    <w:p w14:paraId="5C048668" w14:textId="77777777" w:rsidR="00DB2B68" w:rsidRDefault="00000000">
      <w:pPr>
        <w:pStyle w:val="pheading"/>
      </w:pPr>
      <w:r>
        <w:t>- Définition / Comprend</w:t>
      </w:r>
    </w:p>
    <w:p w14:paraId="34A52ABC" w14:textId="77777777" w:rsidR="00DB2B68" w:rsidRDefault="00000000">
      <w:r>
        <w:t>Il s’agit de la fourniture et mise en œuvre d’une isolation de type mousse de polyuréthane (PUR) à cellules fermées, projetée en adhérence sur un support, suivant prescription de l'élément 32.43.1a Isolation à projeter - polyuréthane (PUR)</w:t>
      </w:r>
    </w:p>
    <w:p w14:paraId="3F6537CD" w14:textId="77777777" w:rsidR="00DB2B68" w:rsidRDefault="00000000">
      <w:pPr>
        <w:pStyle w:val="pheading"/>
      </w:pPr>
      <w:r>
        <w:t>MATÉRIAUX</w:t>
      </w:r>
    </w:p>
    <w:p w14:paraId="291A9495" w14:textId="77777777" w:rsidR="00DB2B68" w:rsidRDefault="00000000">
      <w:pPr>
        <w:pStyle w:val="pheading"/>
      </w:pPr>
      <w:r>
        <w:t>- Caractéristiques générales</w:t>
      </w:r>
    </w:p>
    <w:p w14:paraId="7BC2DB30" w14:textId="77777777" w:rsidR="00DB2B68" w:rsidRDefault="00000000">
      <w:r>
        <w:t>Voir 32.43.1a Isolation à projeter - polyuréthane (PUR).</w:t>
      </w:r>
    </w:p>
    <w:p w14:paraId="7D5FB014" w14:textId="77777777" w:rsidR="00DB2B68" w:rsidRDefault="00000000">
      <w:r>
        <w:rPr>
          <w:u w:val="single"/>
        </w:rPr>
        <w:t>Spécifications</w:t>
      </w:r>
    </w:p>
    <w:p w14:paraId="5AF2E1FB" w14:textId="77777777" w:rsidR="00DB2B68" w:rsidRDefault="00000000">
      <w:pPr>
        <w:pStyle w:val="Author-eListParagraph"/>
        <w:numPr>
          <w:ilvl w:val="0"/>
          <w:numId w:val="1126"/>
        </w:numPr>
      </w:pPr>
      <w:r>
        <w:t xml:space="preserve">Epaisseur : </w:t>
      </w:r>
      <w:r>
        <w:rPr>
          <w:rStyle w:val="optioncarChar"/>
        </w:rPr>
        <w:t xml:space="preserve">*** </w:t>
      </w:r>
      <w:r>
        <w:t xml:space="preserve">cm _ Tolérance </w:t>
      </w:r>
      <w:r>
        <w:rPr>
          <w:rStyle w:val="optioncarChar"/>
        </w:rPr>
        <w:t xml:space="preserve">*** </w:t>
      </w:r>
    </w:p>
    <w:p w14:paraId="32D4379F" w14:textId="77777777" w:rsidR="00DB2B68" w:rsidRDefault="00000000">
      <w:pPr>
        <w:pStyle w:val="Author-eListParagraph"/>
        <w:numPr>
          <w:ilvl w:val="0"/>
          <w:numId w:val="1126"/>
        </w:numPr>
      </w:pPr>
      <w:r>
        <w:t xml:space="preserve">Masse volumique : environ </w:t>
      </w:r>
      <w:r>
        <w:rPr>
          <w:rStyle w:val="optioncarChar"/>
        </w:rPr>
        <w:t>35 </w:t>
      </w:r>
      <w:r>
        <w:t>(par défaut)</w:t>
      </w:r>
      <w:r>
        <w:rPr>
          <w:rStyle w:val="optioncarChar"/>
        </w:rPr>
        <w:t xml:space="preserve"> / 40 / *** </w:t>
      </w:r>
      <w:r>
        <w:t>en kg/m3, suivant [NBN EN ISO 29470].</w:t>
      </w:r>
    </w:p>
    <w:p w14:paraId="126695A6" w14:textId="77777777" w:rsidR="00DB2B68" w:rsidRDefault="00000000">
      <w:pPr>
        <w:pStyle w:val="Author-eListParagraph"/>
        <w:numPr>
          <w:ilvl w:val="0"/>
          <w:numId w:val="1126"/>
        </w:numPr>
      </w:pPr>
      <w:r>
        <w:t xml:space="preserve">Valeur lambda déclaré: maximum </w:t>
      </w:r>
      <w:r>
        <w:rPr>
          <w:rStyle w:val="optioncarChar"/>
        </w:rPr>
        <w:t>0,027 </w:t>
      </w:r>
      <w:r>
        <w:t>(par défaut)</w:t>
      </w:r>
      <w:r>
        <w:rPr>
          <w:rStyle w:val="optioncarChar"/>
        </w:rPr>
        <w:t xml:space="preserve"> / 0,030 / *** </w:t>
      </w:r>
      <w:r>
        <w:t>W/mK, suivant [NBN EN ISO 10456].</w:t>
      </w:r>
    </w:p>
    <w:p w14:paraId="0487AE57" w14:textId="77777777" w:rsidR="00DB2B68" w:rsidRDefault="00000000">
      <w:pPr>
        <w:pStyle w:val="Author-eListParagraph"/>
        <w:numPr>
          <w:ilvl w:val="0"/>
          <w:numId w:val="1126"/>
        </w:numPr>
      </w:pPr>
      <w:r>
        <w:t xml:space="preserve">Réaction au feu : </w:t>
      </w:r>
      <w:r>
        <w:rPr>
          <w:rStyle w:val="optioncarChar"/>
        </w:rPr>
        <w:t>***</w:t>
      </w:r>
    </w:p>
    <w:p w14:paraId="6437F973" w14:textId="77777777" w:rsidR="00DB2B68" w:rsidRDefault="00000000">
      <w:pPr>
        <w:pStyle w:val="Author-eListParagraph"/>
        <w:numPr>
          <w:ilvl w:val="0"/>
          <w:numId w:val="1126"/>
        </w:numPr>
      </w:pPr>
      <w:r>
        <w:t>Acoustique :</w:t>
      </w:r>
      <w:r>
        <w:rPr>
          <w:rStyle w:val="optioncarChar"/>
        </w:rPr>
        <w:t xml:space="preserve"> ***</w:t>
      </w:r>
    </w:p>
    <w:p w14:paraId="5269934F" w14:textId="77777777" w:rsidR="00DB2B68" w:rsidRDefault="00000000">
      <w:pPr>
        <w:pStyle w:val="Author-eListParagraph"/>
        <w:numPr>
          <w:ilvl w:val="0"/>
          <w:numId w:val="1126"/>
        </w:numPr>
      </w:pPr>
      <w:r>
        <w:t xml:space="preserve">Résistance à la compression : minimum </w:t>
      </w:r>
      <w:r>
        <w:rPr>
          <w:rStyle w:val="optioncarChar"/>
        </w:rPr>
        <w:t xml:space="preserve">*** </w:t>
      </w:r>
      <w:r>
        <w:t>N/mm², suivant  [NBN EN 826].</w:t>
      </w:r>
    </w:p>
    <w:p w14:paraId="37451212" w14:textId="77777777" w:rsidR="00DB2B68" w:rsidRDefault="00000000">
      <w:pPr>
        <w:pStyle w:val="pheading"/>
      </w:pPr>
      <w:r>
        <w:t>- Finitions</w:t>
      </w:r>
    </w:p>
    <w:p w14:paraId="6FD3043E" w14:textId="77777777" w:rsidR="00DB2B68" w:rsidRDefault="00000000">
      <w:r>
        <w:lastRenderedPageBreak/>
        <w:t>Voir 32.43.1a Isolation à projeter - polyuréthane (PUR)</w:t>
      </w:r>
    </w:p>
    <w:p w14:paraId="0D56B836" w14:textId="77777777" w:rsidR="00DB2B68" w:rsidRDefault="00000000">
      <w:pPr>
        <w:pStyle w:val="pheading"/>
      </w:pPr>
      <w:r>
        <w:t>EXÉCUTION / MISE EN ŒUVRE</w:t>
      </w:r>
    </w:p>
    <w:p w14:paraId="52E5A27E" w14:textId="77777777" w:rsidR="00DB2B68" w:rsidRDefault="00000000">
      <w:pPr>
        <w:pStyle w:val="pheading"/>
      </w:pPr>
      <w:r>
        <w:t>- Prescriptions générales</w:t>
      </w:r>
    </w:p>
    <w:p w14:paraId="4E97A26D" w14:textId="77777777" w:rsidR="00DB2B68" w:rsidRDefault="00000000">
      <w:r>
        <w:t>Voir 32.43.1a Isolation à projeter - polyuréthane (PUR)</w:t>
      </w:r>
    </w:p>
    <w:p w14:paraId="2A3F0398" w14:textId="77777777" w:rsidR="00DB2B68" w:rsidRDefault="00000000">
      <w:pPr>
        <w:pStyle w:val="pheading"/>
      </w:pPr>
      <w:r>
        <w:t>- Notes d’exécution complémentaires</w:t>
      </w:r>
    </w:p>
    <w:p w14:paraId="4E79A972" w14:textId="77777777" w:rsidR="00DB2B68" w:rsidRDefault="00000000">
      <w:r>
        <w:t>Voir 32.43.1a Isolation à projeter - polyuréthane (PUR)</w:t>
      </w:r>
    </w:p>
    <w:p w14:paraId="2C666257" w14:textId="77777777" w:rsidR="00DB2B68" w:rsidRDefault="00000000">
      <w:pPr>
        <w:pStyle w:val="pheading"/>
      </w:pPr>
      <w:r>
        <w:t>DOCUMENTS DE RÉFÉRENCE COMPLÉMENTAIRES</w:t>
      </w:r>
    </w:p>
    <w:p w14:paraId="6ED77AF8" w14:textId="77777777" w:rsidR="00DB2B68" w:rsidRDefault="00000000">
      <w:pPr>
        <w:pStyle w:val="pheading"/>
      </w:pPr>
      <w:r>
        <w:t>- Matériau</w:t>
      </w:r>
    </w:p>
    <w:p w14:paraId="5B95745A" w14:textId="77777777" w:rsidR="00DB2B68" w:rsidRDefault="00000000">
      <w:r>
        <w:t>32.43.1a Isolation à projeter - polyuréthane (PUR)</w:t>
      </w:r>
    </w:p>
    <w:p w14:paraId="0F9D8F11" w14:textId="77777777" w:rsidR="00DB2B68" w:rsidRDefault="00000000">
      <w:pPr>
        <w:pStyle w:val="pheading"/>
      </w:pPr>
      <w:r>
        <w:t>- Exécution</w:t>
      </w:r>
    </w:p>
    <w:p w14:paraId="2A864802" w14:textId="77777777" w:rsidR="00DB2B68" w:rsidRDefault="00000000">
      <w:r>
        <w:t>32.43.1a Isolation à projeter - polyuréthane (PUR)</w:t>
      </w:r>
    </w:p>
    <w:p w14:paraId="7C853D7B" w14:textId="77777777" w:rsidR="00DB2B68" w:rsidRDefault="00000000">
      <w:pPr>
        <w:pStyle w:val="pheading"/>
      </w:pPr>
      <w:r>
        <w:t>MESURAGE</w:t>
      </w:r>
    </w:p>
    <w:p w14:paraId="1E947FD6" w14:textId="77777777" w:rsidR="00DB2B68" w:rsidRDefault="00000000">
      <w:pPr>
        <w:pStyle w:val="pheading"/>
      </w:pPr>
      <w:r>
        <w:t>- unité de mesure:</w:t>
      </w:r>
    </w:p>
    <w:p w14:paraId="41F8FACD" w14:textId="77777777" w:rsidR="00DB2B68" w:rsidRDefault="00000000">
      <w:r>
        <w:t>m²</w:t>
      </w:r>
    </w:p>
    <w:p w14:paraId="07BA5DF2" w14:textId="77777777" w:rsidR="00DB2B68" w:rsidRDefault="00000000">
      <w:pPr>
        <w:pStyle w:val="pheading"/>
      </w:pPr>
      <w:r>
        <w:t>- code de mesurage:</w:t>
      </w:r>
    </w:p>
    <w:p w14:paraId="13B2CDBB" w14:textId="77777777" w:rsidR="00DB2B68" w:rsidRDefault="00000000">
      <w:r>
        <w:t>Distinction faite suivant l’épaisseur.</w:t>
      </w:r>
    </w:p>
    <w:p w14:paraId="4D8B36FB" w14:textId="77777777" w:rsidR="00DB2B68" w:rsidRDefault="00000000">
      <w:r>
        <w:t>Surface nette à exécuter, suivant dimensions extérieures des surfaces à isoler.</w:t>
      </w:r>
    </w:p>
    <w:p w14:paraId="70C90FED" w14:textId="77777777" w:rsidR="00DB2B68" w:rsidRDefault="00000000">
      <w:r>
        <w:t>Les ouvertures supérieures à 0,5 m2 sont déduites.</w:t>
      </w:r>
    </w:p>
    <w:p w14:paraId="6C74E1A5" w14:textId="77777777" w:rsidR="00DB2B68" w:rsidRDefault="00000000">
      <w:pPr>
        <w:pStyle w:val="pheading"/>
      </w:pPr>
      <w:r>
        <w:t>- nature du marché:</w:t>
      </w:r>
    </w:p>
    <w:p w14:paraId="5B015C2B" w14:textId="77777777" w:rsidR="00DB2B68" w:rsidRDefault="00000000">
      <w:r>
        <w:t>QF</w:t>
      </w:r>
    </w:p>
    <w:p w14:paraId="5E39C6BE" w14:textId="77777777" w:rsidR="00DB2B68" w:rsidRDefault="00000000">
      <w:pPr>
        <w:pStyle w:val="Author-eSectionHeading6Numberless"/>
      </w:pPr>
      <w:bookmarkStart w:id="1969" w:name="_Toc220496910"/>
      <w:r>
        <w:t>26.43.1b Isolation à projeter - polyisocyanurate (PIR) CCTB 01.04</w:t>
      </w:r>
      <w:bookmarkEnd w:id="1969"/>
    </w:p>
    <w:p w14:paraId="698A6128" w14:textId="77777777" w:rsidR="00DB2B68" w:rsidRDefault="00000000">
      <w:pPr>
        <w:pStyle w:val="Author-eSectionHeading6Numberless"/>
      </w:pPr>
      <w:bookmarkStart w:id="1970" w:name="_Toc220496911"/>
      <w:r>
        <w:t>26.43.1c Isolation à projeter - mousse phénolique (PF) CCTB 01.02</w:t>
      </w:r>
      <w:bookmarkEnd w:id="1970"/>
    </w:p>
    <w:p w14:paraId="7CBE1837" w14:textId="77777777" w:rsidR="00DB2B68" w:rsidRDefault="00000000">
      <w:pPr>
        <w:pStyle w:val="Author-eSectionHeading6Numberless"/>
      </w:pPr>
      <w:bookmarkStart w:id="1971" w:name="_Toc220496912"/>
      <w:r>
        <w:t>26.43.1d Isolation à projeter - icynène CCTB 01.02</w:t>
      </w:r>
      <w:bookmarkEnd w:id="1971"/>
    </w:p>
    <w:p w14:paraId="23B3EA45" w14:textId="77777777" w:rsidR="00DB2B68" w:rsidRDefault="00000000">
      <w:pPr>
        <w:pStyle w:val="Author-eSectionHeading5Numberless"/>
      </w:pPr>
      <w:bookmarkStart w:id="1972" w:name="_Toc220496913"/>
      <w:r>
        <w:t>26.43.2 Isolation à projeter - matières minérales CCTB 01.04</w:t>
      </w:r>
      <w:bookmarkEnd w:id="1972"/>
    </w:p>
    <w:p w14:paraId="482F2F4F" w14:textId="77777777" w:rsidR="00DB2B68" w:rsidRDefault="00000000">
      <w:pPr>
        <w:pStyle w:val="pheading"/>
      </w:pPr>
      <w:r>
        <w:t>DESCRIPTION</w:t>
      </w:r>
    </w:p>
    <w:p w14:paraId="5536C629" w14:textId="77777777" w:rsidR="00DB2B68" w:rsidRDefault="00000000">
      <w:pPr>
        <w:pStyle w:val="pheading"/>
      </w:pPr>
      <w:r>
        <w:t>- Définition / Comprend</w:t>
      </w:r>
    </w:p>
    <w:p w14:paraId="315CF248" w14:textId="77777777" w:rsidR="00DB2B68" w:rsidRDefault="00000000">
      <w:r>
        <w:t>Il s'agit de la réalisation d'une isolation en matière minérale par projection humide suivant prescriptions de l'élément 32.43.2 Isolation à projeter - matières minérales.</w:t>
      </w:r>
    </w:p>
    <w:p w14:paraId="55C77066" w14:textId="77777777" w:rsidR="00DB2B68" w:rsidRDefault="00000000">
      <w:pPr>
        <w:pStyle w:val="pheading"/>
      </w:pPr>
      <w:r>
        <w:t>DOCUMENTS DE RÉFÉRENCE</w:t>
      </w:r>
    </w:p>
    <w:p w14:paraId="5F2FD464" w14:textId="77777777" w:rsidR="00DB2B68" w:rsidRDefault="00000000">
      <w:pPr>
        <w:pStyle w:val="pheading"/>
      </w:pPr>
      <w:r>
        <w:t>- Matériau</w:t>
      </w:r>
    </w:p>
    <w:p w14:paraId="48F3EA47" w14:textId="77777777" w:rsidR="00DB2B68" w:rsidRDefault="00000000">
      <w:r>
        <w:t>32.43.2 Isolation à projeter - matières minérales</w:t>
      </w:r>
    </w:p>
    <w:p w14:paraId="506F797D" w14:textId="77777777" w:rsidR="00DB2B68" w:rsidRDefault="00000000">
      <w:pPr>
        <w:pStyle w:val="pheading"/>
      </w:pPr>
      <w:r>
        <w:t>- Exécution</w:t>
      </w:r>
    </w:p>
    <w:p w14:paraId="5F948620" w14:textId="77777777" w:rsidR="00DB2B68" w:rsidRDefault="00000000">
      <w:r>
        <w:t>32.43.2 Isolation à projeter - matières minérales</w:t>
      </w:r>
    </w:p>
    <w:p w14:paraId="5FEA7208" w14:textId="77777777" w:rsidR="00DB2B68" w:rsidRDefault="00000000">
      <w:pPr>
        <w:pStyle w:val="Author-eSectionHeading6Numberless"/>
      </w:pPr>
      <w:bookmarkStart w:id="1973" w:name="_Toc220496914"/>
      <w:r>
        <w:t>26.43.2a Isolation à projeter - laine de roche (MW) CCTB 01.11</w:t>
      </w:r>
      <w:bookmarkEnd w:id="1973"/>
    </w:p>
    <w:p w14:paraId="40259923" w14:textId="77777777" w:rsidR="00DB2B68" w:rsidRDefault="00000000">
      <w:pPr>
        <w:pStyle w:val="pheading"/>
      </w:pPr>
      <w:r>
        <w:t>DESCRIPTION</w:t>
      </w:r>
    </w:p>
    <w:p w14:paraId="7D70B3B2" w14:textId="77777777" w:rsidR="00DB2B68" w:rsidRDefault="00000000">
      <w:pPr>
        <w:pStyle w:val="pheading"/>
      </w:pPr>
      <w:r>
        <w:t>- Définition / Comprend</w:t>
      </w:r>
    </w:p>
    <w:p w14:paraId="67AAA7A7" w14:textId="77777777" w:rsidR="00DB2B68" w:rsidRDefault="00000000">
      <w:r>
        <w:lastRenderedPageBreak/>
        <w:t>Il s’agit de la réalisation d’une isolation de type laine minérale (MW - laine de verre / de roche), projetée en adhérence sur un support suivant prescriptions de l'article 32.43.2a Isolation à projeter - laine de roche (MW). Cet isolant est utilisé en tant qu'</w:t>
      </w:r>
      <w:r>
        <w:rPr>
          <w:rStyle w:val="optioncarChar"/>
        </w:rPr>
        <w:t xml:space="preserve">isolant thermique </w:t>
      </w:r>
      <w:r>
        <w:t>(par défaut) </w:t>
      </w:r>
      <w:r>
        <w:rPr>
          <w:rStyle w:val="optioncarChar"/>
        </w:rPr>
        <w:t>/ protection incendie / correcteur acoustique.</w:t>
      </w:r>
    </w:p>
    <w:p w14:paraId="18EE9267" w14:textId="77777777" w:rsidR="00DB2B68" w:rsidRDefault="00000000">
      <w:pPr>
        <w:pStyle w:val="pheading"/>
      </w:pPr>
      <w:r>
        <w:t>MATÉRIAUX</w:t>
      </w:r>
    </w:p>
    <w:p w14:paraId="13734001" w14:textId="77777777" w:rsidR="00DB2B68" w:rsidRDefault="00000000">
      <w:pPr>
        <w:pStyle w:val="pheading"/>
      </w:pPr>
      <w:r>
        <w:t>- Caractéristiques générales</w:t>
      </w:r>
    </w:p>
    <w:p w14:paraId="476B1DE3" w14:textId="77777777" w:rsidR="00DB2B68" w:rsidRDefault="00000000">
      <w:r>
        <w:t>Voir 32.43.2a Isolation à projeter - laine de roche (MW)</w:t>
      </w:r>
    </w:p>
    <w:p w14:paraId="736657CA" w14:textId="77777777" w:rsidR="00DB2B68" w:rsidRDefault="00000000">
      <w:r>
        <w:rPr>
          <w:u w:val="single"/>
        </w:rPr>
        <w:t>Spécifications</w:t>
      </w:r>
    </w:p>
    <w:p w14:paraId="3842E7C7" w14:textId="77777777" w:rsidR="00DB2B68" w:rsidRDefault="00000000">
      <w:pPr>
        <w:pStyle w:val="Author-eListParagraph"/>
        <w:numPr>
          <w:ilvl w:val="0"/>
          <w:numId w:val="1127"/>
        </w:numPr>
      </w:pPr>
      <w:r>
        <w:t xml:space="preserve">Epaisseur : </w:t>
      </w:r>
      <w:r>
        <w:rPr>
          <w:rStyle w:val="optioncarChar"/>
        </w:rPr>
        <w:t>1 / 2 / *** / 10 </w:t>
      </w:r>
      <w:r>
        <w:t>(par défaut)</w:t>
      </w:r>
      <w:r>
        <w:rPr>
          <w:rStyle w:val="optioncarChar"/>
        </w:rPr>
        <w:t xml:space="preserve"> / 15 / 16</w:t>
      </w:r>
      <w:r>
        <w:t xml:space="preserve"> cm _ Tolérance +/- </w:t>
      </w:r>
      <w:r>
        <w:rPr>
          <w:rStyle w:val="optioncarChar"/>
        </w:rPr>
        <w:t>10 </w:t>
      </w:r>
      <w:r>
        <w:t>(par défaut)</w:t>
      </w:r>
      <w:r>
        <w:rPr>
          <w:rStyle w:val="optioncarChar"/>
        </w:rPr>
        <w:t xml:space="preserve"> / 20</w:t>
      </w:r>
      <w:r>
        <w:t xml:space="preserve"> %</w:t>
      </w:r>
    </w:p>
    <w:p w14:paraId="79C29FD2" w14:textId="77777777" w:rsidR="00DB2B68" w:rsidRDefault="00000000">
      <w:pPr>
        <w:pStyle w:val="Author-eListParagraph"/>
        <w:numPr>
          <w:ilvl w:val="0"/>
          <w:numId w:val="1127"/>
        </w:numPr>
      </w:pPr>
      <w:r>
        <w:t xml:space="preserve">Masse volumique :  environ </w:t>
      </w:r>
      <w:r>
        <w:rPr>
          <w:rStyle w:val="optioncarChar"/>
        </w:rPr>
        <w:t>140 </w:t>
      </w:r>
      <w:r>
        <w:t>(par défaut)</w:t>
      </w:r>
      <w:r>
        <w:rPr>
          <w:rStyle w:val="optioncarChar"/>
        </w:rPr>
        <w:t xml:space="preserve"> / 150 / 160 / 170 / 180 / *** </w:t>
      </w:r>
      <w:r>
        <w:t>kg/m³.</w:t>
      </w:r>
    </w:p>
    <w:p w14:paraId="3A7A3606" w14:textId="77777777" w:rsidR="00DB2B68" w:rsidRDefault="00000000">
      <w:pPr>
        <w:pStyle w:val="Author-eListParagraph"/>
        <w:numPr>
          <w:ilvl w:val="0"/>
          <w:numId w:val="1127"/>
        </w:numPr>
      </w:pPr>
      <w:r>
        <w:t>Valeur lambda déclaré: maximum </w:t>
      </w:r>
      <w:r>
        <w:rPr>
          <w:rStyle w:val="optioncarChar"/>
        </w:rPr>
        <w:t>0,004 </w:t>
      </w:r>
      <w:r>
        <w:t>(par défaut)</w:t>
      </w:r>
      <w:r>
        <w:rPr>
          <w:rStyle w:val="optioncarChar"/>
        </w:rPr>
        <w:t xml:space="preserve"> / 0,045 / 0.050 / *** </w:t>
      </w:r>
      <w:r>
        <w:t>W/mK.</w:t>
      </w:r>
    </w:p>
    <w:p w14:paraId="7D774C08" w14:textId="77777777" w:rsidR="00DB2B68" w:rsidRDefault="00000000">
      <w:pPr>
        <w:pStyle w:val="Author-eListParagraph"/>
        <w:numPr>
          <w:ilvl w:val="0"/>
          <w:numId w:val="1127"/>
        </w:numPr>
      </w:pPr>
      <w:r>
        <w:t xml:space="preserve">Réaction au feu : </w:t>
      </w:r>
      <w:r>
        <w:rPr>
          <w:rStyle w:val="optioncarChar"/>
        </w:rPr>
        <w:t>A1</w:t>
      </w:r>
      <w:r>
        <w:t> (par défaut)</w:t>
      </w:r>
      <w:r>
        <w:rPr>
          <w:rStyle w:val="optioncarChar"/>
        </w:rPr>
        <w:t xml:space="preserve"> / ***</w:t>
      </w:r>
    </w:p>
    <w:p w14:paraId="64ACD686" w14:textId="77777777" w:rsidR="00DB2B68" w:rsidRDefault="00000000">
      <w:pPr>
        <w:pStyle w:val="Author-eListParagraph"/>
        <w:numPr>
          <w:ilvl w:val="0"/>
          <w:numId w:val="1127"/>
        </w:numPr>
      </w:pPr>
      <w:r>
        <w:t xml:space="preserve">Absorption acoustique (coefficient de Sabine alpha) : </w:t>
      </w:r>
      <w:r>
        <w:rPr>
          <w:rStyle w:val="optioncarChar"/>
        </w:rPr>
        <w:t>0,90 </w:t>
      </w:r>
      <w:r>
        <w:t xml:space="preserve">(par défaut) </w:t>
      </w:r>
      <w:r>
        <w:rPr>
          <w:rStyle w:val="optioncarChar"/>
        </w:rPr>
        <w:t>/ ***</w:t>
      </w:r>
    </w:p>
    <w:p w14:paraId="55AECA30" w14:textId="77777777" w:rsidR="00DB2B68" w:rsidRDefault="00000000">
      <w:pPr>
        <w:pStyle w:val="Author-eListParagraph"/>
        <w:numPr>
          <w:ilvl w:val="0"/>
          <w:numId w:val="1127"/>
        </w:numPr>
      </w:pPr>
      <w:r>
        <w:t xml:space="preserve">Stabilité au feu : </w:t>
      </w:r>
      <w:r>
        <w:rPr>
          <w:rStyle w:val="optioncarChar"/>
        </w:rPr>
        <w:t xml:space="preserve">1 </w:t>
      </w:r>
      <w:r>
        <w:t>(par défaut) </w:t>
      </w:r>
      <w:r>
        <w:rPr>
          <w:rStyle w:val="optioncarChar"/>
        </w:rPr>
        <w:t>/ 6 / ***</w:t>
      </w:r>
      <w:r>
        <w:t xml:space="preserve"> h.</w:t>
      </w:r>
    </w:p>
    <w:p w14:paraId="2D8F88C7" w14:textId="77777777" w:rsidR="00DB2B68" w:rsidRDefault="00000000">
      <w:pPr>
        <w:pStyle w:val="Author-eListParagraph"/>
        <w:numPr>
          <w:ilvl w:val="0"/>
          <w:numId w:val="1127"/>
        </w:numPr>
      </w:pPr>
      <w:r>
        <w:t xml:space="preserve">Résistance au feu : </w:t>
      </w:r>
      <w:r>
        <w:rPr>
          <w:rStyle w:val="optioncarChar"/>
        </w:rPr>
        <w:t>1 </w:t>
      </w:r>
      <w:r>
        <w:t>(par défaut)</w:t>
      </w:r>
      <w:r>
        <w:rPr>
          <w:rStyle w:val="optioncarChar"/>
        </w:rPr>
        <w:t xml:space="preserve"> / 6 / ***</w:t>
      </w:r>
      <w:r>
        <w:t xml:space="preserve"> h.</w:t>
      </w:r>
    </w:p>
    <w:p w14:paraId="767EFF00" w14:textId="77777777" w:rsidR="00DB2B68" w:rsidRDefault="00000000">
      <w:pPr>
        <w:pStyle w:val="pheading"/>
      </w:pPr>
      <w:r>
        <w:t>- Finitions</w:t>
      </w:r>
    </w:p>
    <w:p w14:paraId="0109927F" w14:textId="77777777" w:rsidR="00DB2B68" w:rsidRDefault="00000000">
      <w:r>
        <w:t>Voir 32.43.2a Isolation à projeter - laine de roche (MW)</w:t>
      </w:r>
    </w:p>
    <w:p w14:paraId="6745D066" w14:textId="77777777" w:rsidR="00DB2B68" w:rsidRDefault="00000000">
      <w:r>
        <w:t xml:space="preserve">Teinte finale : </w:t>
      </w:r>
      <w:r>
        <w:rPr>
          <w:rStyle w:val="optioncarChar"/>
        </w:rPr>
        <w:t>blanc cassé </w:t>
      </w:r>
      <w:r>
        <w:t>(par défaut)</w:t>
      </w:r>
      <w:r>
        <w:rPr>
          <w:rStyle w:val="optioncarChar"/>
        </w:rPr>
        <w:t xml:space="preserve"> / gris / ***</w:t>
      </w:r>
      <w:r>
        <w:t xml:space="preserve"> .</w:t>
      </w:r>
    </w:p>
    <w:p w14:paraId="7C58D715" w14:textId="77777777" w:rsidR="00DB2B68" w:rsidRDefault="00000000">
      <w:r>
        <w:t xml:space="preserve">Finition : </w:t>
      </w:r>
      <w:r>
        <w:rPr>
          <w:rStyle w:val="optioncarChar"/>
        </w:rPr>
        <w:t>roulée / compressée</w:t>
      </w:r>
      <w:r>
        <w:t>.</w:t>
      </w:r>
    </w:p>
    <w:p w14:paraId="774039DC" w14:textId="77777777" w:rsidR="00DB2B68" w:rsidRDefault="00000000">
      <w:pPr>
        <w:pStyle w:val="pheading"/>
      </w:pPr>
      <w:r>
        <w:t>- Prescriptions complémentaires</w:t>
      </w:r>
    </w:p>
    <w:p w14:paraId="75F8A93A" w14:textId="77777777" w:rsidR="00DB2B68" w:rsidRDefault="00000000">
      <w:r>
        <w:t>Voir 32.43.2a Isolation à projeter - laine de roche (MW)</w:t>
      </w:r>
    </w:p>
    <w:p w14:paraId="5F80FD18" w14:textId="77777777" w:rsidR="00DB2B68" w:rsidRDefault="00000000">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14:paraId="727A78A1" w14:textId="77777777" w:rsidR="00DB2B68" w:rsidRDefault="00000000">
      <w:pPr>
        <w:pStyle w:val="pheading"/>
      </w:pPr>
      <w:r>
        <w:t>EXÉCUTION / MISE EN ŒUVRE</w:t>
      </w:r>
    </w:p>
    <w:p w14:paraId="5F729C71" w14:textId="77777777" w:rsidR="00DB2B68" w:rsidRDefault="00000000">
      <w:pPr>
        <w:pStyle w:val="pheading"/>
      </w:pPr>
      <w:r>
        <w:t>- Prescriptions générales</w:t>
      </w:r>
    </w:p>
    <w:p w14:paraId="4AE880E1" w14:textId="77777777" w:rsidR="00DB2B68" w:rsidRDefault="00000000">
      <w:r>
        <w:t>Voir 32.43.2a Isolation à projeter - laine de roche (MW)</w:t>
      </w:r>
    </w:p>
    <w:p w14:paraId="54A50BCF" w14:textId="77777777" w:rsidR="00DB2B68" w:rsidRDefault="00000000">
      <w:pPr>
        <w:pStyle w:val="pheading"/>
      </w:pPr>
      <w:r>
        <w:t>- Notes d’exécution complémentaires</w:t>
      </w:r>
    </w:p>
    <w:p w14:paraId="5AC2D665" w14:textId="77777777" w:rsidR="00DB2B68" w:rsidRDefault="00000000">
      <w:r>
        <w:t>Voir 32.43.2a Isolation à projeter - laine de roche (MW)</w:t>
      </w:r>
    </w:p>
    <w:p w14:paraId="7FA7C47E" w14:textId="77777777" w:rsidR="00DB2B68" w:rsidRDefault="00000000">
      <w:r>
        <w:rPr>
          <w:rStyle w:val="facultChar"/>
        </w:rPr>
        <w:t>Réglé à épaisseur par raclage.</w:t>
      </w:r>
      <w:r>
        <w:br/>
      </w:r>
    </w:p>
    <w:p w14:paraId="622A13E0" w14:textId="77777777" w:rsidR="00DB2B68" w:rsidRDefault="00000000">
      <w:pPr>
        <w:pStyle w:val="pheading"/>
      </w:pPr>
      <w:r>
        <w:t>DOCUMENTS DE RÉFÉRENCE COMPLÉMENTAIRES</w:t>
      </w:r>
    </w:p>
    <w:p w14:paraId="03496D31" w14:textId="77777777" w:rsidR="00DB2B68" w:rsidRDefault="00000000">
      <w:pPr>
        <w:pStyle w:val="pheading"/>
      </w:pPr>
      <w:r>
        <w:t>- Matériau</w:t>
      </w:r>
    </w:p>
    <w:p w14:paraId="32EEAB19" w14:textId="77777777" w:rsidR="00DB2B68" w:rsidRDefault="00000000">
      <w:r>
        <w:t>32.43.2a Isolation à projeter - laine de roche (MW)</w:t>
      </w:r>
    </w:p>
    <w:p w14:paraId="09269DB4" w14:textId="77777777" w:rsidR="00DB2B68" w:rsidRDefault="00000000">
      <w:pPr>
        <w:pStyle w:val="pheading"/>
      </w:pPr>
      <w:r>
        <w:t>- Exécution</w:t>
      </w:r>
    </w:p>
    <w:p w14:paraId="297CAEAD" w14:textId="77777777" w:rsidR="00DB2B68" w:rsidRDefault="00000000">
      <w:r>
        <w:t>32.43.2a Isolation à projeter - laine de roche (MW)</w:t>
      </w:r>
    </w:p>
    <w:p w14:paraId="2F45E3BD" w14:textId="77777777" w:rsidR="00DB2B68" w:rsidRDefault="00000000">
      <w:pPr>
        <w:pStyle w:val="pheading"/>
      </w:pPr>
      <w:r>
        <w:t>MESURAGE</w:t>
      </w:r>
    </w:p>
    <w:p w14:paraId="273E88AD" w14:textId="77777777" w:rsidR="00DB2B68" w:rsidRDefault="00000000">
      <w:pPr>
        <w:pStyle w:val="pheading"/>
      </w:pPr>
      <w:r>
        <w:t>- unité de mesure:</w:t>
      </w:r>
    </w:p>
    <w:p w14:paraId="250E2579" w14:textId="77777777" w:rsidR="00DB2B68" w:rsidRDefault="00000000">
      <w:r>
        <w:t>m²</w:t>
      </w:r>
    </w:p>
    <w:p w14:paraId="2AC05785" w14:textId="77777777" w:rsidR="00DB2B68" w:rsidRDefault="00000000">
      <w:pPr>
        <w:pStyle w:val="pheading"/>
      </w:pPr>
      <w:r>
        <w:t>- code de mesurage:</w:t>
      </w:r>
    </w:p>
    <w:p w14:paraId="2FEA4483" w14:textId="77777777" w:rsidR="00DB2B68" w:rsidRDefault="00000000">
      <w:r>
        <w:t>Surface nette mise en œuvre.  Les ouvertures supérieures à 0,5 m² sont déduites, retours comptés. Distinction faite suivant l'épaisseur.</w:t>
      </w:r>
    </w:p>
    <w:p w14:paraId="49531C19" w14:textId="77777777" w:rsidR="00DB2B68" w:rsidRDefault="00000000">
      <w:pPr>
        <w:pStyle w:val="pheading"/>
      </w:pPr>
      <w:r>
        <w:lastRenderedPageBreak/>
        <w:t>- nature du marché:</w:t>
      </w:r>
    </w:p>
    <w:p w14:paraId="1469C200" w14:textId="77777777" w:rsidR="00DB2B68" w:rsidRDefault="00000000">
      <w:r>
        <w:t>QF</w:t>
      </w:r>
    </w:p>
    <w:p w14:paraId="38444873" w14:textId="77777777" w:rsidR="00DB2B68" w:rsidRDefault="00000000">
      <w:pPr>
        <w:pStyle w:val="Author-eSectionHeading6Numberless"/>
      </w:pPr>
      <w:bookmarkStart w:id="1974" w:name="_Toc220496915"/>
      <w:r>
        <w:t>26.43.2b Isolation à projeter - laine de verre (MW) CCTB 01.13</w:t>
      </w:r>
      <w:bookmarkEnd w:id="1974"/>
    </w:p>
    <w:p w14:paraId="2E9C4470" w14:textId="77777777" w:rsidR="00DB2B68" w:rsidRDefault="00000000">
      <w:pPr>
        <w:pStyle w:val="pheading"/>
      </w:pPr>
      <w:r>
        <w:t>DESCRIPTION</w:t>
      </w:r>
    </w:p>
    <w:p w14:paraId="3BFA3C4D" w14:textId="77777777" w:rsidR="00DB2B68" w:rsidRDefault="00000000">
      <w:pPr>
        <w:pStyle w:val="pheading"/>
      </w:pPr>
      <w:r>
        <w:t>- Définition / Comprend</w:t>
      </w:r>
    </w:p>
    <w:p w14:paraId="09E837FC" w14:textId="77777777" w:rsidR="00DB2B68" w:rsidRDefault="00000000">
      <w:pPr>
        <w:jc w:val="both"/>
      </w:pPr>
      <w:r>
        <w:t>Il s’agit de la fourniture et de la pose d’une isolation thermique projetée en laine de verre (MW). Ces isolants sont utilisés en application horizontale ou verticale.</w:t>
      </w:r>
    </w:p>
    <w:p w14:paraId="2CB86224" w14:textId="77777777" w:rsidR="00DB2B68" w:rsidRDefault="00000000">
      <w:pPr>
        <w:pStyle w:val="pheading"/>
      </w:pPr>
      <w:r>
        <w:t>- Localisation</w:t>
      </w:r>
    </w:p>
    <w:p w14:paraId="3899BD45" w14:textId="77777777" w:rsidR="00DB2B68" w:rsidRDefault="00000000">
      <w:r>
        <w:t xml:space="preserve">Localisation des travaux : </w:t>
      </w:r>
      <w:r>
        <w:rPr>
          <w:rStyle w:val="optioncarChar"/>
        </w:rPr>
        <w:t>***</w:t>
      </w:r>
      <w:r>
        <w:t>.</w:t>
      </w:r>
    </w:p>
    <w:p w14:paraId="7CFED0C3" w14:textId="77777777" w:rsidR="00DB2B68" w:rsidRDefault="00000000">
      <w:r>
        <w:t>Voir plans et métrés détaillés.</w:t>
      </w:r>
    </w:p>
    <w:p w14:paraId="569BBABB" w14:textId="77777777" w:rsidR="00DB2B68" w:rsidRDefault="00000000">
      <w:pPr>
        <w:pStyle w:val="pheading"/>
      </w:pPr>
      <w:r>
        <w:t>MATÉRIAUX</w:t>
      </w:r>
    </w:p>
    <w:p w14:paraId="2F57755F" w14:textId="77777777" w:rsidR="00DB2B68" w:rsidRDefault="00000000">
      <w:pPr>
        <w:pStyle w:val="pheading"/>
      </w:pPr>
      <w:r>
        <w:t>- Caractéristiques générales</w:t>
      </w:r>
    </w:p>
    <w:p w14:paraId="493E8465" w14:textId="77777777" w:rsidR="00DB2B68" w:rsidRDefault="00000000">
      <w:pPr>
        <w:jc w:val="both"/>
      </w:pPr>
      <w:r>
        <w:t>Le produit est constitué de laine de verre.</w:t>
      </w:r>
    </w:p>
    <w:p w14:paraId="7E69EA15" w14:textId="77777777" w:rsidR="00DB2B68" w:rsidRDefault="00000000">
      <w:pPr>
        <w:pStyle w:val="Author-eListParagraph"/>
        <w:numPr>
          <w:ilvl w:val="0"/>
          <w:numId w:val="1128"/>
        </w:numPr>
        <w:jc w:val="both"/>
      </w:pPr>
      <w:r>
        <w:t xml:space="preserve">Épaisseur après projection : </w:t>
      </w:r>
      <w:r>
        <w:rPr>
          <w:rStyle w:val="optioncarChar"/>
        </w:rPr>
        <w:t>***</w:t>
      </w:r>
      <w:r>
        <w:t xml:space="preserve"> cm. La tolérance sur l’épaisseur est de </w:t>
      </w:r>
      <w:r>
        <w:rPr>
          <w:rStyle w:val="optioncarChar"/>
        </w:rPr>
        <w:t xml:space="preserve">± 2.5 cm </w:t>
      </w:r>
      <w:r>
        <w:t xml:space="preserve">(par défaut) </w:t>
      </w:r>
      <w:r>
        <w:rPr>
          <w:rStyle w:val="optioncarChar"/>
        </w:rPr>
        <w:t>/ 10 % / 20 % / ***.  </w:t>
      </w:r>
    </w:p>
    <w:p w14:paraId="40462E33" w14:textId="77777777" w:rsidR="00DB2B68" w:rsidRDefault="00000000">
      <w:pPr>
        <w:pStyle w:val="Author-eListParagraph"/>
        <w:numPr>
          <w:ilvl w:val="0"/>
          <w:numId w:val="1128"/>
        </w:num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14:paraId="5F673D0E" w14:textId="77777777" w:rsidR="00DB2B68" w:rsidRDefault="00000000">
      <w:pPr>
        <w:pStyle w:val="Author-eListParagraph"/>
        <w:numPr>
          <w:ilvl w:val="0"/>
          <w:numId w:val="1128"/>
        </w:num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 xml:space="preserve">(par défaut) </w:t>
      </w:r>
      <w:r>
        <w:rPr>
          <w:rStyle w:val="optioncarChar"/>
        </w:rPr>
        <w:t>/ *** </w:t>
      </w:r>
      <w:r>
        <w:t>W/mK</w:t>
      </w:r>
    </w:p>
    <w:p w14:paraId="169E3CD2" w14:textId="77777777" w:rsidR="00DB2B68" w:rsidRDefault="00000000">
      <w:pPr>
        <w:pStyle w:val="Author-eListParagraph"/>
        <w:numPr>
          <w:ilvl w:val="0"/>
          <w:numId w:val="1128"/>
        </w:num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4F900BFF" w14:textId="77777777" w:rsidR="00DB2B68" w:rsidRDefault="00000000">
      <w:pPr>
        <w:pStyle w:val="Author-eListParagraph"/>
        <w:numPr>
          <w:ilvl w:val="0"/>
          <w:numId w:val="1128"/>
        </w:numPr>
        <w:jc w:val="both"/>
      </w:pPr>
      <w:r>
        <w:t xml:space="preserve">Les liants ne contiennent pas de formaldéhyde. Le dégagement mesuré selon la [NBN EN 717-1] est &lt; </w:t>
      </w:r>
      <w:r>
        <w:rPr>
          <w:rStyle w:val="optioncarChar"/>
        </w:rPr>
        <w:t>0.124 </w:t>
      </w:r>
      <w:r>
        <w:t>(par défaut)</w:t>
      </w:r>
      <w:r>
        <w:rPr>
          <w:rStyle w:val="optioncarChar"/>
        </w:rPr>
        <w:t xml:space="preserve"> / *** </w:t>
      </w:r>
      <w:r>
        <w:t>mg/m³.</w:t>
      </w:r>
      <w:r>
        <w:rPr>
          <w:rStyle w:val="optioncarChar"/>
        </w:rPr>
        <w:t> </w:t>
      </w:r>
    </w:p>
    <w:p w14:paraId="642908F5" w14:textId="77777777" w:rsidR="00DB2B68" w:rsidRDefault="00000000">
      <w:pPr>
        <w:pStyle w:val="Author-eListParagraph"/>
        <w:numPr>
          <w:ilvl w:val="0"/>
          <w:numId w:val="1128"/>
        </w:numPr>
        <w:jc w:val="both"/>
      </w:pPr>
      <w:r>
        <w:t xml:space="preserve">La concentration de pentachlorophénol mesurée selon la [CEN/TR 14823] est &lt; </w:t>
      </w:r>
      <w:r>
        <w:rPr>
          <w:rStyle w:val="optioncarChar"/>
        </w:rPr>
        <w:t xml:space="preserve">5 PPM </w:t>
      </w:r>
      <w:r>
        <w:t>(par défaut)</w:t>
      </w:r>
      <w:r>
        <w:rPr>
          <w:rStyle w:val="optioncarChar"/>
        </w:rPr>
        <w:t xml:space="preserve"> / ***.</w:t>
      </w:r>
      <w:r>
        <w:t>  </w:t>
      </w:r>
    </w:p>
    <w:p w14:paraId="1549783F" w14:textId="77777777" w:rsidR="00DB2B68" w:rsidRDefault="00000000">
      <w:pPr>
        <w:pStyle w:val="Author-eListParagraph"/>
        <w:numPr>
          <w:ilvl w:val="0"/>
          <w:numId w:val="1128"/>
        </w:numPr>
        <w:jc w:val="both"/>
      </w:pPr>
      <w:r>
        <w:t xml:space="preserve">Les liants sont issus de matières premières </w:t>
      </w:r>
      <w:r>
        <w:rPr>
          <w:rStyle w:val="optioncarChar"/>
        </w:rPr>
        <w:t xml:space="preserve">organiques </w:t>
      </w:r>
      <w:r>
        <w:t>(par défaut)</w:t>
      </w:r>
      <w:r>
        <w:rPr>
          <w:rStyle w:val="optioncarChar"/>
        </w:rPr>
        <w:t xml:space="preserve"> / végétales / dérivés pétrochimiques / ***</w:t>
      </w:r>
      <w:r>
        <w:t>.</w:t>
      </w:r>
    </w:p>
    <w:p w14:paraId="3E96C92D" w14:textId="77777777" w:rsidR="00DB2B68" w:rsidRDefault="00000000">
      <w:pPr>
        <w:pStyle w:val="pheading"/>
      </w:pPr>
      <w:r>
        <w:t>- Finitions</w:t>
      </w:r>
    </w:p>
    <w:p w14:paraId="39B09758" w14:textId="77777777" w:rsidR="00DB2B68" w:rsidRDefault="00000000">
      <w:r>
        <w:t>Teinte finale : </w:t>
      </w:r>
      <w:r>
        <w:rPr>
          <w:rStyle w:val="optioncarChar"/>
        </w:rPr>
        <w:t>non spécifiée</w:t>
      </w:r>
      <w:r>
        <w:t xml:space="preserve"> (par défaut)</w:t>
      </w:r>
      <w:r>
        <w:rPr>
          <w:rStyle w:val="optioncarChar"/>
        </w:rPr>
        <w:t xml:space="preserve"> / blanc cassé / gris / ***</w:t>
      </w:r>
    </w:p>
    <w:p w14:paraId="46AAD632" w14:textId="77777777" w:rsidR="00DB2B68" w:rsidRDefault="00000000">
      <w:pPr>
        <w:pStyle w:val="pheading"/>
      </w:pPr>
      <w:r>
        <w:t>- Prescriptions complémentaires</w:t>
      </w:r>
    </w:p>
    <w:p w14:paraId="22E82417" w14:textId="77777777" w:rsidR="00DB2B68" w:rsidRDefault="00000000">
      <w:pPr>
        <w:jc w:val="both"/>
      </w:pPr>
      <w:r>
        <w:rPr>
          <w:rStyle w:val="facultChar"/>
        </w:rPr>
        <w:t>Applications spécifiques: le matériau dispose d'une déclaration d'aptitude à l'utilisation suivant les prescriptions de l'élément 02.42.1 Critères d'acceptabilité.</w:t>
      </w:r>
    </w:p>
    <w:p w14:paraId="3EBD5DB9" w14:textId="77777777" w:rsidR="00DB2B68" w:rsidRDefault="00000000">
      <w:pPr>
        <w:jc w:val="both"/>
      </w:pPr>
      <w:r>
        <w:rPr>
          <w:rStyle w:val="facultChar"/>
        </w:rPr>
        <w:t xml:space="preserve">Absorption d’eau à court terme (selon [NBN EN ISO 29767]): ≤ </w:t>
      </w:r>
      <w:r>
        <w:rPr>
          <w:rStyle w:val="optioncarChar"/>
        </w:rPr>
        <w:t>1 </w:t>
      </w:r>
      <w:r>
        <w:t>(par défaut)</w:t>
      </w:r>
      <w:r>
        <w:rPr>
          <w:rStyle w:val="optioncarChar"/>
        </w:rPr>
        <w:t xml:space="preserve"> / *** </w:t>
      </w:r>
      <w:r>
        <w:t>kg/m².</w:t>
      </w:r>
      <w:r>
        <w:rPr>
          <w:rStyle w:val="optioncarChar"/>
        </w:rPr>
        <w:t>  </w:t>
      </w:r>
    </w:p>
    <w:p w14:paraId="01C1541C" w14:textId="77777777" w:rsidR="00DB2B68" w:rsidRDefault="00000000">
      <w:pPr>
        <w:jc w:val="both"/>
      </w:pPr>
      <w:r>
        <w:rPr>
          <w:rStyle w:val="facultChar"/>
        </w:rPr>
        <w:t xml:space="preserve">Absorption d’eau à long terme (selon [NBN EN ISO 16535]): ≤ </w:t>
      </w:r>
      <w:r>
        <w:rPr>
          <w:rStyle w:val="optioncarChar"/>
        </w:rPr>
        <w:t>3</w:t>
      </w:r>
      <w:r>
        <w:t> (par défaut)</w:t>
      </w:r>
      <w:r>
        <w:rPr>
          <w:rStyle w:val="optioncarChar"/>
        </w:rPr>
        <w:t xml:space="preserve"> / *** </w:t>
      </w:r>
      <w:r>
        <w:t>kg/m².</w:t>
      </w:r>
      <w:r>
        <w:rPr>
          <w:rStyle w:val="optioncarChar"/>
        </w:rPr>
        <w:t xml:space="preserve">  </w:t>
      </w:r>
    </w:p>
    <w:p w14:paraId="70C457BD" w14:textId="77777777" w:rsidR="00DB2B68" w:rsidRDefault="00000000">
      <w:pPr>
        <w:jc w:val="both"/>
      </w:pPr>
      <w:r>
        <w:rPr>
          <w:rStyle w:val="facultChar"/>
        </w:rPr>
        <w:t>Coefficient de résistance à la diffusion de vapeur d’eau – valeur μ (selon [NBN EN 12086]) : </w:t>
      </w:r>
      <w:r>
        <w:rPr>
          <w:rStyle w:val="optioncarChar"/>
        </w:rPr>
        <w:t xml:space="preserve">1 </w:t>
      </w:r>
      <w:r>
        <w:t xml:space="preserve">(par défaut) </w:t>
      </w:r>
      <w:r>
        <w:rPr>
          <w:rStyle w:val="optioncarChar"/>
        </w:rPr>
        <w:t>/ ***</w:t>
      </w:r>
    </w:p>
    <w:p w14:paraId="3766D5E3" w14:textId="77777777" w:rsidR="00DB2B68" w:rsidRDefault="00000000">
      <w:pPr>
        <w:jc w:val="both"/>
      </w:pPr>
      <w:r>
        <w:rPr>
          <w:rStyle w:val="facultChar"/>
        </w:rPr>
        <w:t>Absorption acoustique (déterminée selon [NBN EN ISO 354] et [NBN EN ISO 11654]) : </w:t>
      </w:r>
      <w:r>
        <w:rPr>
          <w:rStyle w:val="optioncarChar"/>
        </w:rPr>
        <w:t>*** </w:t>
      </w:r>
    </w:p>
    <w:p w14:paraId="7F284957" w14:textId="77777777" w:rsidR="00DB2B68" w:rsidRDefault="00000000">
      <w:pPr>
        <w:jc w:val="both"/>
      </w:pPr>
      <w:r>
        <w:rPr>
          <w:rStyle w:val="facultChar"/>
        </w:rPr>
        <w:t>La laine de verre produite à une contenance ≥ </w:t>
      </w:r>
      <w:r>
        <w:rPr>
          <w:rStyle w:val="optioncarChar"/>
        </w:rPr>
        <w:t>***</w:t>
      </w:r>
      <w:r>
        <w:rPr>
          <w:rStyle w:val="facultChar"/>
        </w:rPr>
        <w:t xml:space="preserve"> % de matière recyclée.</w:t>
      </w:r>
    </w:p>
    <w:p w14:paraId="479293AE" w14:textId="77777777" w:rsidR="00DB2B68" w:rsidRDefault="00000000">
      <w:pPr>
        <w:pStyle w:val="pheading"/>
      </w:pPr>
      <w:r>
        <w:t>EXÉCUTION / MISE EN ŒUVRE</w:t>
      </w:r>
    </w:p>
    <w:p w14:paraId="5D384477" w14:textId="77777777" w:rsidR="00DB2B68" w:rsidRDefault="00000000">
      <w:pPr>
        <w:pStyle w:val="pheading"/>
      </w:pPr>
      <w:r>
        <w:t>- Prescriptions générales</w:t>
      </w:r>
    </w:p>
    <w:p w14:paraId="52A7634B" w14:textId="77777777" w:rsidR="00DB2B68" w:rsidRDefault="00000000">
      <w:pPr>
        <w:jc w:val="both"/>
      </w:pPr>
      <w:r>
        <w:t>La projection est réalisée par machine permettant le broyage, le mélange avec le liant et la projection sous pression de la laine de verre.</w:t>
      </w:r>
    </w:p>
    <w:p w14:paraId="7A991AD2" w14:textId="77777777" w:rsidR="00DB2B68" w:rsidRDefault="00000000">
      <w:pPr>
        <w:jc w:val="both"/>
      </w:pPr>
      <w:r>
        <w:t>La matière première est livrée sur chantier au plus près de la date d’application (maximum 3 jours). Elle est stockée à l'abri des intempéries et dans un local sec.</w:t>
      </w:r>
    </w:p>
    <w:p w14:paraId="5EA6DDAD" w14:textId="77777777" w:rsidR="00DB2B68" w:rsidRDefault="00000000">
      <w:pPr>
        <w:jc w:val="both"/>
      </w:pPr>
      <w:r>
        <w:lastRenderedPageBreak/>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 ***</w:t>
      </w:r>
      <w:r>
        <w:t>.  Les zones ne recevant pas d’isolant projeté sont protégées.</w:t>
      </w:r>
    </w:p>
    <w:p w14:paraId="42932B8F" w14:textId="77777777" w:rsidR="00DB2B68" w:rsidRDefault="00000000">
      <w:pPr>
        <w:jc w:val="both"/>
      </w:pPr>
      <w:r>
        <w:t xml:space="preserve">La laine de verre projetée est </w:t>
      </w:r>
      <w:r>
        <w:rPr>
          <w:rStyle w:val="optioncarChar"/>
        </w:rPr>
        <w:t xml:space="preserve">rectifiée </w:t>
      </w:r>
      <w:r>
        <w:t>(par défaut)</w:t>
      </w:r>
      <w:r>
        <w:rPr>
          <w:rStyle w:val="optioncarChar"/>
        </w:rPr>
        <w:t xml:space="preserve"> / talochée / laissée sans modification / ***</w:t>
      </w:r>
      <w:r>
        <w:t>.</w:t>
      </w:r>
    </w:p>
    <w:p w14:paraId="22FAF481" w14:textId="77777777" w:rsidR="00DB2B68" w:rsidRDefault="00000000">
      <w:pPr>
        <w:jc w:val="both"/>
      </w:pPr>
      <w:r>
        <w:t>L’isolant ne doit jamais être mis en contact direct avec les dispositifs d’éclairage encastrés.</w:t>
      </w:r>
    </w:p>
    <w:p w14:paraId="1082AD64" w14:textId="77777777" w:rsidR="00DB2B68" w:rsidRDefault="00000000">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00429579" w14:textId="77777777" w:rsidR="00DB2B68" w:rsidRDefault="00000000">
      <w:pPr>
        <w:pStyle w:val="pheading"/>
      </w:pPr>
      <w:r>
        <w:t>DOCUMENTS DE RÉFÉRENCE COMPLÉMENTAIRES</w:t>
      </w:r>
    </w:p>
    <w:p w14:paraId="156CE2A8" w14:textId="77777777" w:rsidR="00DB2B68" w:rsidRDefault="00000000">
      <w:pPr>
        <w:pStyle w:val="pheading"/>
      </w:pPr>
      <w:r>
        <w:t>- Matériau</w:t>
      </w:r>
    </w:p>
    <w:p w14:paraId="0D3FF425"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985D842" w14:textId="77777777" w:rsidR="00DB2B6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4EC63D70" w14:textId="77777777" w:rsidR="00DB2B68" w:rsidRDefault="00000000">
      <w:r>
        <w:t>[NBN EN 1097-3, Essais pour déterminer les caractéristiques mécaniques et physiques des granulats - Partie 3: Méthode pour la détermination de la masse volumique en vrac et de la porosité intergranulaire]</w:t>
      </w:r>
    </w:p>
    <w:p w14:paraId="262FDF76" w14:textId="77777777" w:rsidR="00DB2B68" w:rsidRDefault="00000000">
      <w:r>
        <w:t>[NBN EN 933-5, Essais pour déterminer les caractéristiques géométriques des granulats - Partie 5 : Détermination du pourcentage de surfaces cassées dans les gravillons et graves naturelles]</w:t>
      </w:r>
    </w:p>
    <w:p w14:paraId="159C6951" w14:textId="77777777" w:rsidR="00DB2B68" w:rsidRDefault="00000000">
      <w:r>
        <w:t>[NBN EN 933-1, Essais pour déterminer les caractéristiques géométriques des granulats - Partie 1 : Détermination de la granularité - Analyse granulométrique par tamisage]</w:t>
      </w:r>
    </w:p>
    <w:p w14:paraId="2C810BCA" w14:textId="77777777" w:rsidR="00DB2B68" w:rsidRDefault="00000000">
      <w:r>
        <w:t>[NBN EN 1097-6, Essais pour déterminer les caractéristiques mécaniques et physiques des granulats - Partie 6 : Détermination de la masse volumique et du coefficient d'absorption d'eau]</w:t>
      </w:r>
    </w:p>
    <w:p w14:paraId="6DAE032C" w14:textId="77777777" w:rsidR="00DB2B68" w:rsidRDefault="00000000">
      <w:r>
        <w:t>[NBN EN 1097-10, Essais pour déterminer les caractéristiques mécaniques et physiques des granulats - Partie 10: Hauteur de succion d'eau]</w:t>
      </w:r>
    </w:p>
    <w:p w14:paraId="47BC9111" w14:textId="77777777" w:rsidR="00DB2B68" w:rsidRDefault="00000000">
      <w:r>
        <w:t>[NBN EN ISO 354, Acoustique - Mesurage de l'absorption acoustique en salle réverbérante (ISO 354:2003)]</w:t>
      </w:r>
    </w:p>
    <w:p w14:paraId="28160A2D" w14:textId="77777777" w:rsidR="00DB2B68" w:rsidRDefault="00000000">
      <w:r>
        <w:t>[NBN EN ISO 11654, Acoustique - Absorbants pour l'utilisation dans les bâtiments - Evaluation de l'absorption acoustique (ISO 11654:1997)]</w:t>
      </w:r>
    </w:p>
    <w:p w14:paraId="70912162" w14:textId="77777777" w:rsidR="00DB2B68" w:rsidRDefault="00000000">
      <w:r>
        <w:t>[NBN EN 13501-1, Classement au feu des produits et éléments de construction - Partie 1: Classement à partir des données d'essais de réaction au feu] </w:t>
      </w:r>
    </w:p>
    <w:p w14:paraId="0ABA9FEB" w14:textId="77777777" w:rsidR="00DB2B68" w:rsidRDefault="00000000">
      <w:pPr>
        <w:pStyle w:val="pheading"/>
      </w:pPr>
      <w:r>
        <w:t>MESURAGE</w:t>
      </w:r>
    </w:p>
    <w:p w14:paraId="3495C2D4" w14:textId="77777777" w:rsidR="00DB2B68" w:rsidRDefault="00000000">
      <w:pPr>
        <w:pStyle w:val="pheading"/>
      </w:pPr>
      <w:r>
        <w:t>- unité de mesure:</w:t>
      </w:r>
    </w:p>
    <w:p w14:paraId="70600B4A" w14:textId="77777777" w:rsidR="00DB2B68" w:rsidRDefault="00000000">
      <w:r>
        <w:rPr>
          <w:rStyle w:val="optioncarChar"/>
        </w:rPr>
        <w:t xml:space="preserve">m² </w:t>
      </w:r>
      <w:r>
        <w:t>(par défaut)</w:t>
      </w:r>
      <w:r>
        <w:rPr>
          <w:rStyle w:val="optioncarChar"/>
        </w:rPr>
        <w:t xml:space="preserve"> / m³</w:t>
      </w:r>
    </w:p>
    <w:p w14:paraId="2F9E12A4" w14:textId="77777777" w:rsidR="00DB2B68" w:rsidRDefault="00000000">
      <w:r>
        <w:rPr>
          <w:b/>
          <w:i/>
        </w:rPr>
        <w:t>(Soit par défaut)</w:t>
      </w:r>
    </w:p>
    <w:p w14:paraId="5E3DE1B0" w14:textId="77777777" w:rsidR="00DB2B68" w:rsidRDefault="00000000">
      <w:r>
        <w:rPr>
          <w:rStyle w:val="soitChar"/>
        </w:rPr>
        <w:t>1. m²</w:t>
      </w:r>
    </w:p>
    <w:p w14:paraId="0707FB0D" w14:textId="77777777" w:rsidR="00DB2B68" w:rsidRDefault="00000000">
      <w:r>
        <w:rPr>
          <w:b/>
          <w:i/>
        </w:rPr>
        <w:t>(Soit)</w:t>
      </w:r>
    </w:p>
    <w:p w14:paraId="5836DA98" w14:textId="77777777" w:rsidR="00DB2B68" w:rsidRDefault="00000000">
      <w:r>
        <w:rPr>
          <w:rStyle w:val="soitChar"/>
        </w:rPr>
        <w:t>2. m³</w:t>
      </w:r>
    </w:p>
    <w:p w14:paraId="4B6CCDE3" w14:textId="77777777" w:rsidR="00DB2B68" w:rsidRDefault="00000000">
      <w:pPr>
        <w:pStyle w:val="pheading"/>
      </w:pPr>
      <w:r>
        <w:t>- code de mesurage:</w:t>
      </w:r>
    </w:p>
    <w:p w14:paraId="2823610C" w14:textId="77777777" w:rsidR="00DB2B68" w:rsidRDefault="00000000">
      <w:pPr>
        <w:jc w:val="both"/>
      </w:pPr>
      <w:r>
        <w:rPr>
          <w:rStyle w:val="optioncarChar"/>
        </w:rPr>
        <w:t>Surface nette</w:t>
      </w:r>
      <w:r>
        <w:t xml:space="preserve"> (par défaut)</w:t>
      </w:r>
      <w:r>
        <w:rPr>
          <w:rStyle w:val="optioncarChar"/>
        </w:rPr>
        <w:t xml:space="preserve"> / Volume net</w:t>
      </w:r>
    </w:p>
    <w:p w14:paraId="704ECC31" w14:textId="77777777" w:rsidR="00DB2B68" w:rsidRDefault="00000000">
      <w:pPr>
        <w:jc w:val="both"/>
      </w:pPr>
      <w:r>
        <w:rPr>
          <w:b/>
          <w:i/>
        </w:rPr>
        <w:t>(Soit par défaut)</w:t>
      </w:r>
    </w:p>
    <w:p w14:paraId="19FC74E8" w14:textId="77777777" w:rsidR="00DB2B68" w:rsidRDefault="00000000">
      <w:pPr>
        <w:jc w:val="both"/>
      </w:pPr>
      <w:r>
        <w:rPr>
          <w:rStyle w:val="soitChar"/>
          <w:b/>
          <w:u w:val="single"/>
        </w:rPr>
        <w:lastRenderedPageBreak/>
        <w:t>1. 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051D9A90" w14:textId="77777777" w:rsidR="00DB2B68" w:rsidRDefault="00000000">
      <w:pPr>
        <w:jc w:val="both"/>
      </w:pPr>
      <w:r>
        <w:rPr>
          <w:b/>
          <w:i/>
        </w:rPr>
        <w:t>(Soit)</w:t>
      </w:r>
    </w:p>
    <w:p w14:paraId="5BBF3537" w14:textId="77777777" w:rsidR="00DB2B68" w:rsidRDefault="00000000">
      <w:pPr>
        <w:jc w:val="both"/>
      </w:pPr>
      <w:r>
        <w:rPr>
          <w:rStyle w:val="soitChar"/>
          <w:b/>
          <w:u w:val="single"/>
        </w:rPr>
        <w:t>2. Volume net</w:t>
      </w:r>
      <w:r>
        <w:t xml:space="preserve">  </w:t>
      </w:r>
      <w:r>
        <w:rPr>
          <w:rStyle w:val="soitChar"/>
        </w:rPr>
        <w:t>à mettre en œuvre, sans déduction des éléments de structure interposés (chevrons / fermes / solives / …). Les ouvertures supérieures à 0,5 m² multipliées par l’épaisseur à réaliser sont déduites. Distinction faite suivant l’épaisseur.</w:t>
      </w:r>
    </w:p>
    <w:p w14:paraId="516973F1" w14:textId="77777777" w:rsidR="00DB2B68" w:rsidRDefault="00000000">
      <w:pPr>
        <w:pStyle w:val="pheading"/>
      </w:pPr>
      <w:r>
        <w:t>- nature du marché:</w:t>
      </w:r>
    </w:p>
    <w:p w14:paraId="5591D325" w14:textId="77777777" w:rsidR="00DB2B68" w:rsidRDefault="00000000">
      <w:r>
        <w:t>QF</w:t>
      </w:r>
    </w:p>
    <w:p w14:paraId="565E102D" w14:textId="77777777" w:rsidR="00DB2B68" w:rsidRDefault="00000000">
      <w:pPr>
        <w:pStyle w:val="Author-eSectionHeading5Numberless"/>
      </w:pPr>
      <w:bookmarkStart w:id="1975" w:name="_Toc220496916"/>
      <w:r>
        <w:t>26.43.3 (titre réservé) CCTB 01.04</w:t>
      </w:r>
      <w:bookmarkEnd w:id="1975"/>
    </w:p>
    <w:p w14:paraId="719F711A" w14:textId="77777777" w:rsidR="00DB2B68" w:rsidRDefault="00000000">
      <w:pPr>
        <w:pStyle w:val="Author-eSectionHeading4Numberless"/>
      </w:pPr>
      <w:bookmarkStart w:id="1976" w:name="_Toc220496917"/>
      <w:r>
        <w:t>26.44 Isolation à souffler CCTB 01.11</w:t>
      </w:r>
      <w:bookmarkEnd w:id="1976"/>
    </w:p>
    <w:p w14:paraId="0CC2DBB9" w14:textId="77777777" w:rsidR="00DB2B68" w:rsidRDefault="00000000">
      <w:pPr>
        <w:pStyle w:val="pheading"/>
      </w:pPr>
      <w:r>
        <w:t>DESCRIPTION</w:t>
      </w:r>
    </w:p>
    <w:p w14:paraId="2A7403A0" w14:textId="77777777" w:rsidR="00DB2B68" w:rsidRDefault="00000000">
      <w:pPr>
        <w:pStyle w:val="pheading"/>
      </w:pPr>
      <w:r>
        <w:t>- Définition / Comprend</w:t>
      </w:r>
    </w:p>
    <w:p w14:paraId="3FBBEC8A" w14:textId="77777777" w:rsidR="00DB2B68" w:rsidRDefault="00000000">
      <w:r>
        <w:rPr>
          <w:rStyle w:val="normalChar"/>
        </w:rPr>
        <w:t>Il s’agit de toutes les fournitures et travaux en vue de la réalisation, in situ, d’une isolation sans joint, par insufflation mécanique dans des espaces fermés, suivant prescription de l'élément 32.44 Isolation à souffler, mais en relation avec les éléments du tome 2 du présent cahier des charges.</w:t>
      </w:r>
      <w:r>
        <w:br/>
      </w:r>
      <w:r>
        <w:br/>
        <w:t>Cela concerne notamment, l’isolation derrière des parements de maçonneries, y compris la post-isolation des murs creux.</w:t>
      </w:r>
    </w:p>
    <w:p w14:paraId="276E34B0" w14:textId="77777777" w:rsidR="00DB2B68" w:rsidRDefault="00000000">
      <w:pPr>
        <w:pStyle w:val="pheading"/>
      </w:pPr>
      <w:r>
        <w:t>MATÉRIAUX</w:t>
      </w:r>
    </w:p>
    <w:p w14:paraId="49E81383" w14:textId="77777777" w:rsidR="00DB2B68" w:rsidRDefault="00000000">
      <w:r>
        <w:t xml:space="preserve">Voir </w:t>
      </w:r>
      <w:r>
        <w:rPr>
          <w:rStyle w:val="normalChar"/>
        </w:rPr>
        <w:t>32.44  Isolation à souffler.</w:t>
      </w:r>
    </w:p>
    <w:p w14:paraId="67415EAE" w14:textId="77777777" w:rsidR="00DB2B68" w:rsidRDefault="00000000">
      <w:r>
        <w:rPr>
          <w:rStyle w:val="optioncarChar"/>
        </w:rPr>
        <w:t>Avec sa remise de prix / Avant le début de chantier</w:t>
      </w:r>
      <w:r>
        <w:t>, l’entrepreneur fournit les références des matériaux qu’il souhaite mettre en œuvre.</w:t>
      </w:r>
    </w:p>
    <w:p w14:paraId="51DA2E19" w14:textId="77777777" w:rsidR="00DB2B68" w:rsidRDefault="00000000">
      <w:pPr>
        <w:pStyle w:val="pheading"/>
      </w:pPr>
      <w:r>
        <w:t>EXÉCUTION / MISE EN ŒUVRE</w:t>
      </w:r>
    </w:p>
    <w:p w14:paraId="3A275CB5" w14:textId="77777777" w:rsidR="00DB2B68" w:rsidRDefault="00000000">
      <w:r>
        <w:t xml:space="preserve">Voir </w:t>
      </w:r>
      <w:r>
        <w:rPr>
          <w:rStyle w:val="normalChar"/>
        </w:rPr>
        <w:t>32.44  Isolation à souffler.</w:t>
      </w:r>
    </w:p>
    <w:p w14:paraId="131C6D9D" w14:textId="77777777" w:rsidR="00DB2B68" w:rsidRDefault="00000000">
      <w:pPr>
        <w:pStyle w:val="Author-eListParagraph"/>
        <w:numPr>
          <w:ilvl w:val="0"/>
          <w:numId w:val="1129"/>
        </w:numPr>
      </w:pPr>
      <w:r>
        <w:t xml:space="preserve">Le travail est réalisé par une entreprise spécialisée, suivant notamment: </w:t>
      </w:r>
      <w:r>
        <w:rPr>
          <w:rStyle w:val="optioncarChar"/>
        </w:rPr>
        <w:t xml:space="preserve">Prescriptions du fabricant </w:t>
      </w:r>
      <w:r>
        <w:t>(par défaut) </w:t>
      </w:r>
      <w:r>
        <w:rPr>
          <w:rStyle w:val="optioncarChar"/>
        </w:rPr>
        <w:t>/ ***.</w:t>
      </w:r>
    </w:p>
    <w:p w14:paraId="44A5DC0E" w14:textId="77777777" w:rsidR="00DB2B68" w:rsidRDefault="00000000">
      <w:pPr>
        <w:pStyle w:val="Author-eListParagraph"/>
        <w:numPr>
          <w:ilvl w:val="0"/>
          <w:numId w:val="1130"/>
        </w:numPr>
      </w:pPr>
      <w:r>
        <w:t xml:space="preserve">La cavité à isoler a une largeur nominale de minimum : </w:t>
      </w:r>
      <w:r>
        <w:rPr>
          <w:rStyle w:val="optioncarChar"/>
        </w:rPr>
        <w:t xml:space="preserve">40/50 </w:t>
      </w:r>
      <w:r>
        <w:t>(par défaut) </w:t>
      </w:r>
      <w:r>
        <w:rPr>
          <w:rStyle w:val="optioncarChar"/>
        </w:rPr>
        <w:t xml:space="preserve">/ *** </w:t>
      </w:r>
      <w:r>
        <w:t>mm.</w:t>
      </w:r>
    </w:p>
    <w:p w14:paraId="29F7CB85" w14:textId="77777777" w:rsidR="00DB2B68" w:rsidRDefault="00000000">
      <w:pPr>
        <w:pStyle w:val="Author-eListParagraph"/>
        <w:numPr>
          <w:ilvl w:val="0"/>
          <w:numId w:val="1131"/>
        </w:numPr>
      </w:pPr>
      <w:r>
        <w:t xml:space="preserve">Une fois le travail terminé et conformément aux prescriptions du fabricant, l’entrepreneur fourni : </w:t>
      </w:r>
      <w:r>
        <w:rPr>
          <w:rStyle w:val="optioncarChar"/>
        </w:rPr>
        <w:t>un certificat de densité / une déclaration de conformité</w:t>
      </w:r>
      <w:r>
        <w:t xml:space="preserve"> (par défaut) </w:t>
      </w:r>
      <w:r>
        <w:rPr>
          <w:rStyle w:val="optioncarChar"/>
        </w:rPr>
        <w:t>/ ***</w:t>
      </w:r>
      <w:r>
        <w:t>.</w:t>
      </w:r>
    </w:p>
    <w:p w14:paraId="22477D44" w14:textId="77777777" w:rsidR="00DB2B68" w:rsidRDefault="00000000">
      <w:r>
        <w:rPr>
          <w:u w:val="single"/>
        </w:rPr>
        <w:t>Spécificités pour les murs creux:</w:t>
      </w:r>
    </w:p>
    <w:p w14:paraId="2B9D6C47" w14:textId="77777777" w:rsidR="00DB2B68" w:rsidRDefault="00000000">
      <w:pPr>
        <w:pStyle w:val="Author-eListParagraph"/>
        <w:numPr>
          <w:ilvl w:val="0"/>
          <w:numId w:val="1132"/>
        </w:numPr>
      </w:pPr>
      <w:r>
        <w:t xml:space="preserve">L’insufflation est réalisée: </w:t>
      </w:r>
      <w:r>
        <w:rPr>
          <w:rStyle w:val="optioncarChar"/>
        </w:rPr>
        <w:t>en construction neuve, par l’intérieur</w:t>
      </w:r>
      <w:r>
        <w:t> (par défaut)</w:t>
      </w:r>
      <w:r>
        <w:rPr>
          <w:rStyle w:val="optioncarChar"/>
        </w:rPr>
        <w:t xml:space="preserve"> / en rénovation (post-isolation), par l’extérieur / ***.</w:t>
      </w:r>
    </w:p>
    <w:p w14:paraId="514F99B6" w14:textId="77777777" w:rsidR="00DB2B68" w:rsidRDefault="00000000">
      <w:pPr>
        <w:pStyle w:val="Author-eListParagraph"/>
        <w:numPr>
          <w:ilvl w:val="0"/>
          <w:numId w:val="1132"/>
        </w:numPr>
      </w:pPr>
      <w:r>
        <w:t>Le travail comprend notamment :</w:t>
      </w:r>
      <w:r>
        <w:br/>
        <w:t xml:space="preserve">- La vérification de la coulisse. </w:t>
      </w:r>
      <w:r>
        <w:br/>
        <w:t xml:space="preserve">Elle doit convenir à l’insufflation de l’isolation (Largeur, non encombrée, …) </w:t>
      </w:r>
      <w:r>
        <w:br/>
        <w:t>- Le forage des trous dans le mur, au croisement des joints, selon le schéma de forage recommandé par le fabricant.</w:t>
      </w:r>
      <w:r>
        <w:br/>
        <w:t>- Avec un embout adapté, l’insufflation de l’isolant dans la coulisse par les trous, de bas en haut.</w:t>
      </w:r>
      <w:r>
        <w:br/>
        <w:t>- Dans le cas de bâtiments mitoyens ou jumelés, un système d’étanchéité doit être posé afin d’empêcher l’isolant de s’infiltrer dans la coulisse adjacente.</w:t>
      </w:r>
      <w:r>
        <w:br/>
        <w:t>- Le rebouchage des joints, au moyen du mortier parfaitement similaire à l’existant. Le mortier est soumis pour approbation à la direction du chantier. L’aspect de la façade reste inchangé.</w:t>
      </w:r>
    </w:p>
    <w:p w14:paraId="75C8C49D" w14:textId="77777777" w:rsidR="00DB2B68" w:rsidRDefault="00000000">
      <w:pPr>
        <w:pStyle w:val="Author-eListParagraph"/>
        <w:numPr>
          <w:ilvl w:val="0"/>
          <w:numId w:val="1132"/>
        </w:numPr>
      </w:pPr>
      <w:r>
        <w:t xml:space="preserve">Les façades endommagées doivent d’abord être réparées avant de procéder à l’insufflation. Les fissures et les joints endommagés doivent être réparés. Toutes les ouvertures doivent </w:t>
      </w:r>
      <w:r>
        <w:lastRenderedPageBreak/>
        <w:t>être obturées.</w:t>
      </w:r>
      <w:r>
        <w:br/>
        <w:t>Le cas échéant, les réfections nécessaires sont comprises séparément.</w:t>
      </w:r>
    </w:p>
    <w:p w14:paraId="322BB1A6" w14:textId="77777777" w:rsidR="00DB2B68" w:rsidRDefault="00000000">
      <w:pPr>
        <w:pStyle w:val="pheading"/>
      </w:pPr>
      <w:r>
        <w:t>CONTRÔLES</w:t>
      </w:r>
    </w:p>
    <w:p w14:paraId="514AF576" w14:textId="77777777" w:rsidR="00DB2B68" w:rsidRDefault="00000000">
      <w:r>
        <w:t xml:space="preserve">Voir </w:t>
      </w:r>
      <w:r>
        <w:rPr>
          <w:rStyle w:val="normalChar"/>
        </w:rPr>
        <w:t>32.44  Isolation à souffler.</w:t>
      </w:r>
    </w:p>
    <w:p w14:paraId="43B786A2" w14:textId="77777777" w:rsidR="00DB2B68" w:rsidRDefault="00000000">
      <w:pPr>
        <w:pStyle w:val="pheading"/>
      </w:pPr>
      <w:r>
        <w:t>DOCUMENTS DE RÉFÉRENCE</w:t>
      </w:r>
    </w:p>
    <w:p w14:paraId="72B4DBBA" w14:textId="77777777" w:rsidR="00DB2B68" w:rsidRDefault="00000000">
      <w:pPr>
        <w:pStyle w:val="pheading"/>
      </w:pPr>
      <w:r>
        <w:t>- Matériau</w:t>
      </w:r>
    </w:p>
    <w:p w14:paraId="1F5E5779" w14:textId="77777777" w:rsidR="00DB2B68" w:rsidRDefault="00000000">
      <w:r>
        <w:t>Voir 32.44 Isolation à souffler</w:t>
      </w:r>
    </w:p>
    <w:p w14:paraId="014E7BD3" w14:textId="77777777" w:rsidR="00DB2B68" w:rsidRDefault="00000000">
      <w:pPr>
        <w:pStyle w:val="pheading"/>
      </w:pPr>
      <w:r>
        <w:t>- Exécution</w:t>
      </w:r>
    </w:p>
    <w:p w14:paraId="3AF11057" w14:textId="77777777" w:rsidR="00DB2B68" w:rsidRDefault="00000000">
      <w:r>
        <w:t>Voir 32.44 Isolation à souffler</w:t>
      </w:r>
    </w:p>
    <w:p w14:paraId="4D0CA668" w14:textId="77777777" w:rsidR="00DB2B68" w:rsidRDefault="00000000">
      <w:r>
        <w:t>Pour la post-isolation des murs creux :</w:t>
      </w:r>
    </w:p>
    <w:p w14:paraId="7958D00D" w14:textId="77777777" w:rsidR="00DB2B68" w:rsidRDefault="00000000">
      <w:r>
        <w:t>[STS 71-1, Post-isolation des murs creux par remplissage in situ de la coulisse ayant une largeur nominale d’au moins 50 mm]</w:t>
      </w:r>
    </w:p>
    <w:p w14:paraId="5F326E9E" w14:textId="77777777" w:rsidR="00DB2B68" w:rsidRDefault="00000000">
      <w:r>
        <w:t>[NIT 246, Postisolation des murs creux par remplissage de la coulisse.]</w:t>
      </w:r>
    </w:p>
    <w:p w14:paraId="2CCA92D1" w14:textId="77777777" w:rsidR="00DB2B68" w:rsidRDefault="00000000">
      <w:pPr>
        <w:pStyle w:val="pheading"/>
      </w:pPr>
      <w:r>
        <w:t>AIDE</w:t>
      </w:r>
    </w:p>
    <w:p w14:paraId="726F3995" w14:textId="77777777" w:rsidR="00DB2B68" w:rsidRDefault="00000000">
      <w:r>
        <w:rPr>
          <w:u w:val="single"/>
        </w:rPr>
        <w:t>Note à l'attention de l'auteur de projet</w:t>
      </w:r>
    </w:p>
    <w:p w14:paraId="30010B48" w14:textId="77777777" w:rsidR="00DB2B68" w:rsidRDefault="00000000">
      <w:r>
        <w:t>Le domaine d’application et les prescriptions des différents isolants doivent être vérifiés et adaptés aux éléments du tome 2.</w:t>
      </w:r>
    </w:p>
    <w:p w14:paraId="331A9044" w14:textId="77777777" w:rsidR="00DB2B68" w:rsidRDefault="00000000">
      <w:pPr>
        <w:pStyle w:val="Author-eSectionHeading5Numberless"/>
      </w:pPr>
      <w:bookmarkStart w:id="1977" w:name="_Toc220496918"/>
      <w:r>
        <w:t>26.44.1 Isolation à souffler - matières synthétiques CCTB 01.04</w:t>
      </w:r>
      <w:bookmarkEnd w:id="1977"/>
    </w:p>
    <w:p w14:paraId="1D1D42A4" w14:textId="77777777" w:rsidR="00DB2B68" w:rsidRDefault="00000000">
      <w:pPr>
        <w:pStyle w:val="pheading"/>
      </w:pPr>
      <w:r>
        <w:t>EXÉCUTION / MISE EN ŒUVRE</w:t>
      </w:r>
    </w:p>
    <w:p w14:paraId="0692616D" w14:textId="77777777" w:rsidR="00DB2B68" w:rsidRDefault="00000000">
      <w:r>
        <w:t>Voir 32.44.1 Isolation à souffler - matières synthétiques</w:t>
      </w:r>
    </w:p>
    <w:p w14:paraId="38B04FE4" w14:textId="77777777" w:rsidR="00DB2B68" w:rsidRDefault="00000000">
      <w:pPr>
        <w:pStyle w:val="pheading"/>
      </w:pPr>
      <w:r>
        <w:t>DOCUMENTS DE RÉFÉRENCE</w:t>
      </w:r>
    </w:p>
    <w:p w14:paraId="5EF5A7A2" w14:textId="77777777" w:rsidR="00DB2B68" w:rsidRDefault="00000000">
      <w:pPr>
        <w:pStyle w:val="pheading"/>
      </w:pPr>
      <w:r>
        <w:t>- Matériau</w:t>
      </w:r>
    </w:p>
    <w:p w14:paraId="112CC879" w14:textId="77777777" w:rsidR="00DB2B68" w:rsidRDefault="00000000">
      <w:r>
        <w:t>32.44.1 Isolation à souffler - matières synthétiques</w:t>
      </w:r>
    </w:p>
    <w:p w14:paraId="7E137C88" w14:textId="77777777" w:rsidR="00DB2B68" w:rsidRDefault="00000000">
      <w:pPr>
        <w:pStyle w:val="pheading"/>
      </w:pPr>
      <w:r>
        <w:t>- Exécution</w:t>
      </w:r>
    </w:p>
    <w:p w14:paraId="4C9D5E8C" w14:textId="77777777" w:rsidR="00DB2B68" w:rsidRDefault="00000000">
      <w:r>
        <w:t>32.44.1 Isolation à souffler - matières synthétiques</w:t>
      </w:r>
    </w:p>
    <w:p w14:paraId="4C41057D" w14:textId="77777777" w:rsidR="00DB2B68" w:rsidRDefault="00000000">
      <w:pPr>
        <w:pStyle w:val="Author-eSectionHeading6Numberless"/>
      </w:pPr>
      <w:bookmarkStart w:id="1978" w:name="_Toc220496919"/>
      <w:r>
        <w:t>26.44.1a Isolation à souffler - polystyrène expansé (EPS) CCTB 01.11</w:t>
      </w:r>
      <w:bookmarkEnd w:id="1978"/>
    </w:p>
    <w:p w14:paraId="757C6413" w14:textId="77777777" w:rsidR="00DB2B68" w:rsidRDefault="00000000">
      <w:pPr>
        <w:pStyle w:val="pheading"/>
      </w:pPr>
      <w:r>
        <w:t>DESCRIPTION</w:t>
      </w:r>
    </w:p>
    <w:p w14:paraId="40181AAC" w14:textId="77777777" w:rsidR="00DB2B68" w:rsidRDefault="00000000">
      <w:pPr>
        <w:pStyle w:val="pheading"/>
      </w:pPr>
      <w:r>
        <w:t>- Définition / Comprend</w:t>
      </w:r>
    </w:p>
    <w:p w14:paraId="77C4165E" w14:textId="77777777" w:rsidR="00DB2B68" w:rsidRDefault="00000000">
      <w:r>
        <w:t>Il s’agit de la fourniture et mise en œuvre d’une isolation réalisée à l’aide de perles en polystyrène expansé, suivant prescription de l'élément 32.44.1a Isolation à souffler - polystyrène expansé (EPS).</w:t>
      </w:r>
    </w:p>
    <w:p w14:paraId="389B04D7" w14:textId="77777777" w:rsidR="00DB2B68" w:rsidRDefault="00000000">
      <w:pPr>
        <w:pStyle w:val="pheading"/>
      </w:pPr>
      <w:r>
        <w:t>MATÉRIAUX</w:t>
      </w:r>
    </w:p>
    <w:p w14:paraId="2E158D24" w14:textId="77777777" w:rsidR="00DB2B68" w:rsidRDefault="00000000">
      <w:pPr>
        <w:pStyle w:val="pheading"/>
      </w:pPr>
      <w:r>
        <w:t>- Caractéristiques générales</w:t>
      </w:r>
    </w:p>
    <w:p w14:paraId="0BD45A2D" w14:textId="77777777" w:rsidR="00DB2B68" w:rsidRDefault="00000000">
      <w:r>
        <w:t>Voir 32.44.1a Isolation à souffler - polystyrène expansé (EPS)</w:t>
      </w:r>
    </w:p>
    <w:p w14:paraId="6C941762" w14:textId="77777777" w:rsidR="00DB2B68" w:rsidRDefault="00000000">
      <w:r>
        <w:rPr>
          <w:u w:val="single"/>
        </w:rPr>
        <w:t>Spécifications</w:t>
      </w:r>
    </w:p>
    <w:p w14:paraId="0851FCCC" w14:textId="77777777" w:rsidR="00DB2B68" w:rsidRDefault="00000000">
      <w:pPr>
        <w:pStyle w:val="Author-eListParagraph"/>
        <w:numPr>
          <w:ilvl w:val="0"/>
          <w:numId w:val="1133"/>
        </w:numPr>
      </w:pPr>
      <w:r>
        <w:t xml:space="preserve">Épaisseur : </w:t>
      </w:r>
      <w:r>
        <w:rPr>
          <w:rStyle w:val="optioncarChar"/>
        </w:rPr>
        <w:t xml:space="preserve">*** </w:t>
      </w:r>
      <w:r>
        <w:t>cm.</w:t>
      </w:r>
    </w:p>
    <w:p w14:paraId="4C5BCAB1" w14:textId="77777777" w:rsidR="00DB2B68" w:rsidRDefault="00000000">
      <w:pPr>
        <w:pStyle w:val="Author-eListParagraph"/>
        <w:numPr>
          <w:ilvl w:val="0"/>
          <w:numId w:val="1133"/>
        </w:numPr>
      </w:pPr>
      <w:r>
        <w:t xml:space="preserve">Masse volumique : </w:t>
      </w:r>
      <w:r>
        <w:rPr>
          <w:rStyle w:val="optioncarChar"/>
        </w:rPr>
        <w:t>14-15 kg/m³ / ***</w:t>
      </w:r>
      <w:r>
        <w:t xml:space="preserve"> , suivant </w:t>
      </w:r>
      <w:r>
        <w:rPr>
          <w:rStyle w:val="optioncarChar"/>
        </w:rPr>
        <w:t>***</w:t>
      </w:r>
      <w:r>
        <w:t>.</w:t>
      </w:r>
    </w:p>
    <w:p w14:paraId="787BC50F" w14:textId="77777777" w:rsidR="00DB2B68" w:rsidRDefault="00000000">
      <w:pPr>
        <w:pStyle w:val="Author-eListParagraph"/>
        <w:numPr>
          <w:ilvl w:val="0"/>
          <w:numId w:val="1133"/>
        </w:numPr>
      </w:pPr>
      <w:r>
        <w:t xml:space="preserve">Valeur lambda déclarée : maximum </w:t>
      </w:r>
      <w:r>
        <w:rPr>
          <w:rStyle w:val="optioncarChar"/>
        </w:rPr>
        <w:t>0,045 </w:t>
      </w:r>
      <w:r>
        <w:t>(par défaut)</w:t>
      </w:r>
      <w:r>
        <w:rPr>
          <w:rStyle w:val="optioncarChar"/>
        </w:rPr>
        <w:t xml:space="preserve"> / ***</w:t>
      </w:r>
      <w:r>
        <w:t xml:space="preserve"> W/mK , suivant [NBN EN 12667] / </w:t>
      </w:r>
    </w:p>
    <w:p w14:paraId="3F43CBB5" w14:textId="77777777" w:rsidR="00DB2B68" w:rsidRDefault="00000000">
      <w:pPr>
        <w:pStyle w:val="Author-eListParagraph"/>
        <w:numPr>
          <w:ilvl w:val="0"/>
          <w:numId w:val="1133"/>
        </w:numPr>
      </w:pPr>
      <w:r>
        <w:t xml:space="preserve">Stabilité dimensionnelle : </w:t>
      </w:r>
      <w:r>
        <w:rPr>
          <w:rStyle w:val="optioncarChar"/>
        </w:rPr>
        <w:t>***</w:t>
      </w:r>
      <w:r>
        <w:t xml:space="preserve">, suivant </w:t>
      </w:r>
      <w:r>
        <w:rPr>
          <w:rStyle w:val="optioncarChar"/>
        </w:rPr>
        <w:t>***</w:t>
      </w:r>
    </w:p>
    <w:p w14:paraId="26EAB0F4" w14:textId="77777777" w:rsidR="00DB2B68" w:rsidRDefault="00000000">
      <w:pPr>
        <w:pStyle w:val="Author-eListParagraph"/>
        <w:numPr>
          <w:ilvl w:val="0"/>
          <w:numId w:val="1133"/>
        </w:numPr>
      </w:pPr>
      <w:r>
        <w:t xml:space="preserve">Réaction au feu : </w:t>
      </w:r>
      <w:r>
        <w:rPr>
          <w:rStyle w:val="optioncarChar"/>
        </w:rPr>
        <w:t>***</w:t>
      </w:r>
      <w:r>
        <w:t xml:space="preserve"> / E, suivant </w:t>
      </w:r>
      <w:r>
        <w:rPr>
          <w:rStyle w:val="optioncarChar"/>
        </w:rPr>
        <w:t>***</w:t>
      </w:r>
      <w:r>
        <w:t xml:space="preserve"> / [NBN EN 13501-1].</w:t>
      </w:r>
    </w:p>
    <w:p w14:paraId="14933E16" w14:textId="77777777" w:rsidR="00DB2B68" w:rsidRDefault="00000000">
      <w:pPr>
        <w:pStyle w:val="Author-eListParagraph"/>
        <w:numPr>
          <w:ilvl w:val="0"/>
          <w:numId w:val="1133"/>
        </w:numPr>
      </w:pPr>
      <w:r>
        <w:t xml:space="preserve">Acoustique : </w:t>
      </w:r>
      <w:r>
        <w:rPr>
          <w:rStyle w:val="optioncarChar"/>
        </w:rPr>
        <w:t>***</w:t>
      </w:r>
      <w:r>
        <w:t xml:space="preserve">, suivant </w:t>
      </w:r>
      <w:r>
        <w:rPr>
          <w:rStyle w:val="optioncarChar"/>
        </w:rPr>
        <w:t>***.</w:t>
      </w:r>
    </w:p>
    <w:p w14:paraId="6FC1835E" w14:textId="77777777" w:rsidR="00DB2B68" w:rsidRDefault="00000000">
      <w:pPr>
        <w:pStyle w:val="Author-eListParagraph"/>
        <w:numPr>
          <w:ilvl w:val="0"/>
          <w:numId w:val="1133"/>
        </w:numPr>
      </w:pPr>
      <w:r>
        <w:lastRenderedPageBreak/>
        <w:t xml:space="preserve">Masse volumique minimale après insufflation : </w:t>
      </w:r>
      <w:r>
        <w:rPr>
          <w:rStyle w:val="optioncarChar"/>
        </w:rPr>
        <w:t>***</w:t>
      </w:r>
      <w:r>
        <w:t xml:space="preserve"> kg/m³.</w:t>
      </w:r>
    </w:p>
    <w:p w14:paraId="6DD9A1E2" w14:textId="77777777" w:rsidR="00DB2B68" w:rsidRDefault="00000000">
      <w:pPr>
        <w:pStyle w:val="pheading"/>
      </w:pPr>
      <w:r>
        <w:t>DOCUMENTS DE RÉFÉRENCE COMPLÉMENTAIRES</w:t>
      </w:r>
    </w:p>
    <w:p w14:paraId="51245B4E" w14:textId="77777777" w:rsidR="00DB2B68" w:rsidRDefault="00000000">
      <w:pPr>
        <w:pStyle w:val="pheading"/>
      </w:pPr>
      <w:r>
        <w:t>- Matériau</w:t>
      </w:r>
    </w:p>
    <w:p w14:paraId="7ACF9114" w14:textId="77777777" w:rsidR="00DB2B68" w:rsidRDefault="00000000">
      <w:r>
        <w:t>32.44.1a Isolation à souffler - polystyrène expansé (EPS)</w:t>
      </w:r>
    </w:p>
    <w:p w14:paraId="07FDB2FE" w14:textId="77777777" w:rsidR="00DB2B68" w:rsidRDefault="00000000">
      <w:pPr>
        <w:pStyle w:val="pheading"/>
      </w:pPr>
      <w:r>
        <w:t>- Exécution</w:t>
      </w:r>
    </w:p>
    <w:p w14:paraId="2AC85E2A" w14:textId="77777777" w:rsidR="00DB2B68" w:rsidRDefault="00000000">
      <w:r>
        <w:t>32.44.1a Isolation à souffler - polystyrène expansé (EPS)</w:t>
      </w:r>
    </w:p>
    <w:p w14:paraId="63D14B52" w14:textId="77777777" w:rsidR="00DB2B68" w:rsidRDefault="00000000">
      <w:pPr>
        <w:pStyle w:val="pheading"/>
      </w:pPr>
      <w:r>
        <w:t>MESURAGE</w:t>
      </w:r>
    </w:p>
    <w:p w14:paraId="6F436F5D" w14:textId="77777777" w:rsidR="00DB2B68" w:rsidRDefault="00000000">
      <w:pPr>
        <w:pStyle w:val="pheading"/>
      </w:pPr>
      <w:r>
        <w:t>- unité de mesure:</w:t>
      </w:r>
    </w:p>
    <w:p w14:paraId="0914362E" w14:textId="77777777" w:rsidR="00DB2B68" w:rsidRDefault="00000000">
      <w:r>
        <w:t>m³</w:t>
      </w:r>
    </w:p>
    <w:p w14:paraId="676F2BB2" w14:textId="77777777" w:rsidR="00DB2B68" w:rsidRDefault="00000000">
      <w:pPr>
        <w:pStyle w:val="pheading"/>
      </w:pPr>
      <w:r>
        <w:t>- code de mesurage:</w:t>
      </w:r>
    </w:p>
    <w:p w14:paraId="2EEC3337" w14:textId="77777777" w:rsidR="00DB2B6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36759FDF" w14:textId="77777777" w:rsidR="00DB2B68" w:rsidRDefault="00000000">
      <w:pPr>
        <w:pStyle w:val="pheading"/>
      </w:pPr>
      <w:r>
        <w:t>- nature du marché:</w:t>
      </w:r>
    </w:p>
    <w:p w14:paraId="5982EE26" w14:textId="77777777" w:rsidR="00DB2B68" w:rsidRDefault="00000000">
      <w:r>
        <w:t>QF</w:t>
      </w:r>
    </w:p>
    <w:p w14:paraId="0EF7143B" w14:textId="77777777" w:rsidR="00DB2B68" w:rsidRDefault="00000000">
      <w:pPr>
        <w:pStyle w:val="Author-eSectionHeading5Numberless"/>
      </w:pPr>
      <w:bookmarkStart w:id="1979" w:name="_Toc220496920"/>
      <w:r>
        <w:t>26.44.2 Isolation à souffler - matières minérales CCTB 01.04</w:t>
      </w:r>
      <w:bookmarkEnd w:id="1979"/>
    </w:p>
    <w:p w14:paraId="37CFC88B" w14:textId="77777777" w:rsidR="00DB2B68" w:rsidRDefault="00000000">
      <w:pPr>
        <w:pStyle w:val="pheading"/>
      </w:pPr>
      <w:r>
        <w:t>DOCUMENTS DE RÉFÉRENCE</w:t>
      </w:r>
    </w:p>
    <w:p w14:paraId="394D3D4F" w14:textId="77777777" w:rsidR="00DB2B68" w:rsidRDefault="00000000">
      <w:pPr>
        <w:pStyle w:val="pheading"/>
      </w:pPr>
      <w:r>
        <w:t>- Matériau</w:t>
      </w:r>
    </w:p>
    <w:p w14:paraId="6335DE1B" w14:textId="77777777" w:rsidR="00DB2B68" w:rsidRDefault="00000000">
      <w:r>
        <w:t>32.44.2 Isolation à souffler - matières minérales</w:t>
      </w:r>
    </w:p>
    <w:p w14:paraId="2496ACEB" w14:textId="77777777" w:rsidR="00DB2B68" w:rsidRDefault="00000000">
      <w:pPr>
        <w:pStyle w:val="pheading"/>
      </w:pPr>
      <w:r>
        <w:t>- Exécution</w:t>
      </w:r>
    </w:p>
    <w:p w14:paraId="4374778E" w14:textId="77777777" w:rsidR="00DB2B68" w:rsidRDefault="00000000">
      <w:r>
        <w:t>32.44.2 Isolation à souffler - matières minérales</w:t>
      </w:r>
    </w:p>
    <w:p w14:paraId="661B67AA" w14:textId="77777777" w:rsidR="00DB2B68" w:rsidRDefault="00000000">
      <w:pPr>
        <w:pStyle w:val="Author-eSectionHeading6Numberless"/>
      </w:pPr>
      <w:bookmarkStart w:id="1980" w:name="_Toc220496921"/>
      <w:r>
        <w:t>26.44.2a Isolation à souffler - laine de verre CCTB 01.11</w:t>
      </w:r>
      <w:bookmarkEnd w:id="1980"/>
    </w:p>
    <w:p w14:paraId="4464BFDF" w14:textId="77777777" w:rsidR="00DB2B68" w:rsidRDefault="00000000">
      <w:pPr>
        <w:pStyle w:val="pheading"/>
      </w:pPr>
      <w:r>
        <w:t>DESCRIPTION</w:t>
      </w:r>
    </w:p>
    <w:p w14:paraId="6821A30E" w14:textId="77777777" w:rsidR="00DB2B68" w:rsidRDefault="00000000">
      <w:pPr>
        <w:pStyle w:val="pheading"/>
      </w:pPr>
      <w:r>
        <w:t>- Définition / Comprend</w:t>
      </w:r>
    </w:p>
    <w:p w14:paraId="6D793024" w14:textId="77777777" w:rsidR="00DB2B68" w:rsidRDefault="00000000">
      <w:r>
        <w:t>Il s’agit de la fourniture et mise en œuvre d’une isolation réalisée à l’aide de flocons de laine de verre, suivant prescription de l'élément 32.44.2a Isolation à souffler - laine de verre</w:t>
      </w:r>
    </w:p>
    <w:p w14:paraId="5D38D009" w14:textId="77777777" w:rsidR="00DB2B68" w:rsidRDefault="00000000">
      <w:pPr>
        <w:pStyle w:val="pheading"/>
      </w:pPr>
      <w:r>
        <w:t>MATÉRIAUX</w:t>
      </w:r>
    </w:p>
    <w:p w14:paraId="6791C5F4" w14:textId="77777777" w:rsidR="00DB2B68" w:rsidRDefault="00000000">
      <w:pPr>
        <w:pStyle w:val="pheading"/>
      </w:pPr>
      <w:r>
        <w:t>- Caractéristiques générales</w:t>
      </w:r>
    </w:p>
    <w:p w14:paraId="5E6415EE" w14:textId="77777777" w:rsidR="00DB2B68" w:rsidRDefault="00000000">
      <w:r>
        <w:t>Voir 32.44.2a Isolation à souffler - laine de verre.</w:t>
      </w:r>
    </w:p>
    <w:p w14:paraId="40AA21B4" w14:textId="77777777" w:rsidR="00DB2B68" w:rsidRDefault="00000000">
      <w:r>
        <w:rPr>
          <w:u w:val="single"/>
        </w:rPr>
        <w:t>Spécifications</w:t>
      </w:r>
    </w:p>
    <w:p w14:paraId="59DBD2DA" w14:textId="77777777" w:rsidR="00DB2B68" w:rsidRDefault="00000000">
      <w:pPr>
        <w:pStyle w:val="Author-eListParagraph"/>
        <w:numPr>
          <w:ilvl w:val="0"/>
          <w:numId w:val="1134"/>
        </w:numPr>
      </w:pPr>
      <w:r>
        <w:t xml:space="preserve">Épaisseur : </w:t>
      </w:r>
      <w:r>
        <w:rPr>
          <w:rStyle w:val="optioncarChar"/>
        </w:rPr>
        <w:t>***</w:t>
      </w:r>
      <w:r>
        <w:t xml:space="preserve"> cm</w:t>
      </w:r>
    </w:p>
    <w:p w14:paraId="6134D494" w14:textId="77777777" w:rsidR="00DB2B68" w:rsidRDefault="00000000">
      <w:pPr>
        <w:pStyle w:val="Author-eListParagraph"/>
        <w:numPr>
          <w:ilvl w:val="0"/>
          <w:numId w:val="1134"/>
        </w:numPr>
      </w:pPr>
      <w:r>
        <w:t xml:space="preserve">Masse volumique: </w:t>
      </w:r>
      <w:r>
        <w:rPr>
          <w:rStyle w:val="optioncarChar"/>
        </w:rPr>
        <w:t>minimum 25 </w:t>
      </w:r>
      <w:r>
        <w:t>(par défaut)</w:t>
      </w:r>
      <w:r>
        <w:rPr>
          <w:rStyle w:val="optioncarChar"/>
        </w:rPr>
        <w:t xml:space="preserve"> / *** </w:t>
      </w:r>
      <w:r>
        <w:t>kg/m3, suivant [NBN EN 14064-1]</w:t>
      </w:r>
      <w:r>
        <w:rPr>
          <w:rStyle w:val="optioncarChar"/>
        </w:rPr>
        <w:t> / ***.</w:t>
      </w:r>
    </w:p>
    <w:p w14:paraId="42CC145F" w14:textId="77777777" w:rsidR="00DB2B68" w:rsidRDefault="00000000">
      <w:pPr>
        <w:pStyle w:val="Author-eListParagraph"/>
        <w:numPr>
          <w:ilvl w:val="0"/>
          <w:numId w:val="1134"/>
        </w:numPr>
      </w:pPr>
      <w:r>
        <w:t xml:space="preserve">Valeur lambda: maximum </w:t>
      </w:r>
      <w:r>
        <w:rPr>
          <w:rStyle w:val="optioncarChar"/>
        </w:rPr>
        <w:t>0,065 </w:t>
      </w:r>
      <w:r>
        <w:t>(par défaut)</w:t>
      </w:r>
      <w:r>
        <w:rPr>
          <w:rStyle w:val="optioncarChar"/>
        </w:rPr>
        <w:t xml:space="preserve"> / *** </w:t>
      </w:r>
      <w:r>
        <w:t>W/mK, suivant [STS 71-1]</w:t>
      </w:r>
      <w:r>
        <w:rPr>
          <w:rStyle w:val="optioncarChar"/>
        </w:rPr>
        <w:t> / ***.</w:t>
      </w:r>
    </w:p>
    <w:p w14:paraId="2A365BDA" w14:textId="77777777" w:rsidR="00DB2B68" w:rsidRDefault="00000000">
      <w:pPr>
        <w:pStyle w:val="Author-eListParagraph"/>
        <w:numPr>
          <w:ilvl w:val="0"/>
          <w:numId w:val="1134"/>
        </w:numPr>
      </w:pPr>
      <w:r>
        <w:t xml:space="preserve">Valeur lambda déclarée: maximum </w:t>
      </w:r>
      <w:r>
        <w:rPr>
          <w:rStyle w:val="optioncarChar"/>
        </w:rPr>
        <w:t>***</w:t>
      </w:r>
      <w:r>
        <w:t xml:space="preserve"> W/mK, suivant </w:t>
      </w:r>
      <w:r>
        <w:rPr>
          <w:rStyle w:val="optioncarChar"/>
        </w:rPr>
        <w:t>***</w:t>
      </w:r>
      <w:r>
        <w:t>.</w:t>
      </w:r>
    </w:p>
    <w:p w14:paraId="026E7DC9" w14:textId="77777777" w:rsidR="00DB2B68" w:rsidRDefault="00000000">
      <w:pPr>
        <w:pStyle w:val="Author-eListParagraph"/>
        <w:numPr>
          <w:ilvl w:val="0"/>
          <w:numId w:val="1134"/>
        </w:numPr>
      </w:pPr>
      <w:r>
        <w:t xml:space="preserve">Stabilité dimensionnelle </w:t>
      </w:r>
      <w:r>
        <w:rPr>
          <w:rStyle w:val="optioncarChar"/>
        </w:rPr>
        <w:t>***</w:t>
      </w:r>
      <w:r>
        <w:t xml:space="preserve">, suivant </w:t>
      </w:r>
      <w:r>
        <w:rPr>
          <w:rStyle w:val="optioncarChar"/>
        </w:rPr>
        <w:t>***</w:t>
      </w:r>
      <w:r>
        <w:t>.</w:t>
      </w:r>
    </w:p>
    <w:p w14:paraId="63DC3559" w14:textId="77777777" w:rsidR="00DB2B68" w:rsidRDefault="00000000">
      <w:pPr>
        <w:pStyle w:val="Author-eListParagraph"/>
        <w:numPr>
          <w:ilvl w:val="0"/>
          <w:numId w:val="1134"/>
        </w:numPr>
      </w:pPr>
      <w:r>
        <w:t xml:space="preserve">Réaction au feu: </w:t>
      </w:r>
      <w:r>
        <w:rPr>
          <w:rStyle w:val="optioncarChar"/>
        </w:rPr>
        <w:t>A1-F</w:t>
      </w:r>
      <w:r>
        <w:t xml:space="preserve"> (par défaut)</w:t>
      </w:r>
      <w:r>
        <w:rPr>
          <w:rStyle w:val="optioncarChar"/>
        </w:rPr>
        <w:t xml:space="preserve"> / ***, </w:t>
      </w:r>
      <w:r>
        <w:t>suivant [NBN EN 13501-1] </w:t>
      </w:r>
      <w:r>
        <w:rPr>
          <w:rStyle w:val="optioncarChar"/>
        </w:rPr>
        <w:t>/ ***.</w:t>
      </w:r>
    </w:p>
    <w:p w14:paraId="11F7936B" w14:textId="77777777" w:rsidR="00DB2B68" w:rsidRDefault="00000000">
      <w:pPr>
        <w:pStyle w:val="Author-eListParagraph"/>
        <w:numPr>
          <w:ilvl w:val="0"/>
          <w:numId w:val="1134"/>
        </w:numPr>
      </w:pPr>
      <w:r>
        <w:t xml:space="preserve">Acoustique : </w:t>
      </w:r>
      <w:r>
        <w:rPr>
          <w:rStyle w:val="optioncarChar"/>
        </w:rPr>
        <w:t>***</w:t>
      </w:r>
      <w:r>
        <w:t xml:space="preserve">, suivant </w:t>
      </w:r>
      <w:r>
        <w:rPr>
          <w:rStyle w:val="optioncarChar"/>
        </w:rPr>
        <w:t>***</w:t>
      </w:r>
      <w:r>
        <w:t>.</w:t>
      </w:r>
    </w:p>
    <w:p w14:paraId="61DF328E" w14:textId="77777777" w:rsidR="00DB2B68" w:rsidRDefault="00000000">
      <w:pPr>
        <w:pStyle w:val="Author-eListParagraph"/>
        <w:numPr>
          <w:ilvl w:val="0"/>
          <w:numId w:val="1134"/>
        </w:numPr>
      </w:pPr>
      <w:r>
        <w:t xml:space="preserve">Masse volumique minimale après insufflation : </w:t>
      </w:r>
      <w:r>
        <w:rPr>
          <w:rStyle w:val="optioncarChar"/>
        </w:rPr>
        <w:t>25</w:t>
      </w:r>
      <w:r>
        <w:t> (par défaut)</w:t>
      </w:r>
      <w:r>
        <w:rPr>
          <w:rStyle w:val="optioncarChar"/>
        </w:rPr>
        <w:t xml:space="preserve"> / *** </w:t>
      </w:r>
      <w:r>
        <w:t xml:space="preserve">kg/m³ (avec un moyenne de </w:t>
      </w:r>
      <w:r>
        <w:rPr>
          <w:rStyle w:val="optioncarChar"/>
        </w:rPr>
        <w:t>30 </w:t>
      </w:r>
      <w:r>
        <w:t xml:space="preserve">(par défaut) </w:t>
      </w:r>
      <w:r>
        <w:rPr>
          <w:rStyle w:val="optioncarChar"/>
        </w:rPr>
        <w:t xml:space="preserve">/ *** </w:t>
      </w:r>
      <w:r>
        <w:t xml:space="preserve">kg/m³ et au maximum </w:t>
      </w:r>
      <w:r>
        <w:rPr>
          <w:rStyle w:val="optioncarChar"/>
        </w:rPr>
        <w:t xml:space="preserve">40 </w:t>
      </w:r>
      <w:r>
        <w:t>(par défaut) </w:t>
      </w:r>
      <w:r>
        <w:rPr>
          <w:rStyle w:val="optioncarChar"/>
        </w:rPr>
        <w:t xml:space="preserve">/ *** </w:t>
      </w:r>
      <w:r>
        <w:t>kg/m³ &gt; dans cet intervalle, la valeur l est d’application)</w:t>
      </w:r>
    </w:p>
    <w:p w14:paraId="4AA364C0" w14:textId="77777777" w:rsidR="00DB2B68" w:rsidRDefault="00000000">
      <w:pPr>
        <w:pStyle w:val="Author-eListParagraph"/>
        <w:numPr>
          <w:ilvl w:val="0"/>
          <w:numId w:val="1134"/>
        </w:numPr>
      </w:pPr>
      <w:r>
        <w:lastRenderedPageBreak/>
        <w:t xml:space="preserve">Absorption d’eau par immersion partielle : ≤ </w:t>
      </w:r>
      <w:r>
        <w:rPr>
          <w:rStyle w:val="optioncarChar"/>
        </w:rPr>
        <w:t>1 </w:t>
      </w:r>
      <w:r>
        <w:t>(par défaut)</w:t>
      </w:r>
      <w:r>
        <w:rPr>
          <w:rStyle w:val="optioncarChar"/>
        </w:rPr>
        <w:t xml:space="preserve"> / *** </w:t>
      </w:r>
      <w:r>
        <w:t>kg/m², suivant [NBN EN ISO 29767]</w:t>
      </w:r>
      <w:r>
        <w:rPr>
          <w:rStyle w:val="optioncarChar"/>
        </w:rPr>
        <w:t> / ***.</w:t>
      </w:r>
    </w:p>
    <w:p w14:paraId="795CFA8E" w14:textId="77777777" w:rsidR="00DB2B68" w:rsidRDefault="00000000">
      <w:pPr>
        <w:pStyle w:val="pheading"/>
      </w:pPr>
      <w:r>
        <w:t>DOCUMENTS DE RÉFÉRENCE COMPLÉMENTAIRES</w:t>
      </w:r>
    </w:p>
    <w:p w14:paraId="7F050D7F" w14:textId="77777777" w:rsidR="00DB2B68" w:rsidRDefault="00000000">
      <w:pPr>
        <w:pStyle w:val="pheading"/>
      </w:pPr>
      <w:r>
        <w:t>- Matériau</w:t>
      </w:r>
    </w:p>
    <w:p w14:paraId="7FE3C156" w14:textId="77777777" w:rsidR="00DB2B68" w:rsidRDefault="00000000">
      <w:r>
        <w:t>32.44.2a Isolation à souffler - laine de verre</w:t>
      </w:r>
    </w:p>
    <w:p w14:paraId="5F7CF85A" w14:textId="77777777" w:rsidR="00DB2B68" w:rsidRDefault="00000000">
      <w:pPr>
        <w:pStyle w:val="pheading"/>
      </w:pPr>
      <w:r>
        <w:t>- Exécution</w:t>
      </w:r>
    </w:p>
    <w:p w14:paraId="58507520" w14:textId="77777777" w:rsidR="00DB2B68" w:rsidRDefault="00000000">
      <w:r>
        <w:t>32.44.2a Isolation à souffler - laine de verre</w:t>
      </w:r>
    </w:p>
    <w:p w14:paraId="21AA4410" w14:textId="77777777" w:rsidR="00DB2B68" w:rsidRDefault="00000000">
      <w:pPr>
        <w:pStyle w:val="pheading"/>
      </w:pPr>
      <w:r>
        <w:t>MESURAGE</w:t>
      </w:r>
    </w:p>
    <w:p w14:paraId="1C01E1D2" w14:textId="77777777" w:rsidR="00DB2B68" w:rsidRDefault="00000000">
      <w:pPr>
        <w:pStyle w:val="pheading"/>
      </w:pPr>
      <w:r>
        <w:t>- unité de mesure:</w:t>
      </w:r>
    </w:p>
    <w:p w14:paraId="0F40FE1F" w14:textId="77777777" w:rsidR="00DB2B68" w:rsidRDefault="00000000">
      <w:r>
        <w:t>m³</w:t>
      </w:r>
    </w:p>
    <w:p w14:paraId="4B61B404" w14:textId="77777777" w:rsidR="00DB2B68" w:rsidRDefault="00000000">
      <w:pPr>
        <w:pStyle w:val="pheading"/>
      </w:pPr>
      <w:r>
        <w:t>- code de mesurage:</w:t>
      </w:r>
    </w:p>
    <w:p w14:paraId="7E43E59A" w14:textId="77777777" w:rsidR="00DB2B6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0DCC3138" w14:textId="77777777" w:rsidR="00DB2B68" w:rsidRDefault="00000000">
      <w:pPr>
        <w:pStyle w:val="pheading"/>
      </w:pPr>
      <w:r>
        <w:t>- nature du marché:</w:t>
      </w:r>
    </w:p>
    <w:p w14:paraId="6D88F6F3" w14:textId="77777777" w:rsidR="00DB2B68" w:rsidRDefault="00000000">
      <w:r>
        <w:t>QF</w:t>
      </w:r>
    </w:p>
    <w:p w14:paraId="3A76BEAA" w14:textId="77777777" w:rsidR="00DB2B68" w:rsidRDefault="00000000">
      <w:pPr>
        <w:pStyle w:val="Author-eSectionHeading6Numberless"/>
      </w:pPr>
      <w:bookmarkStart w:id="1981" w:name="_Toc220496922"/>
      <w:r>
        <w:t>26.44.2b Isolation à souffler - laine de roche CCTB 01.11</w:t>
      </w:r>
      <w:bookmarkEnd w:id="1981"/>
    </w:p>
    <w:p w14:paraId="787D594B" w14:textId="77777777" w:rsidR="00DB2B68" w:rsidRDefault="00000000">
      <w:pPr>
        <w:pStyle w:val="pheading"/>
      </w:pPr>
      <w:r>
        <w:t>DESCRIPTION</w:t>
      </w:r>
    </w:p>
    <w:p w14:paraId="7BD794C5" w14:textId="77777777" w:rsidR="00DB2B68" w:rsidRDefault="00000000">
      <w:pPr>
        <w:pStyle w:val="pheading"/>
      </w:pPr>
      <w:r>
        <w:t>- Définition / Comprend</w:t>
      </w:r>
    </w:p>
    <w:p w14:paraId="18733398" w14:textId="77777777" w:rsidR="00DB2B68" w:rsidRDefault="00000000">
      <w:r>
        <w:t xml:space="preserve">- </w:t>
      </w:r>
      <w:r>
        <w:rPr>
          <w:rStyle w:val="normalChar"/>
        </w:rPr>
        <w:t>Définition / Comprend</w:t>
      </w:r>
    </w:p>
    <w:p w14:paraId="168F0299" w14:textId="77777777" w:rsidR="00DB2B68" w:rsidRDefault="00000000">
      <w:r>
        <w:t>Il s’agit de la fourniture et mise en œuvre d’une isolation réalisée à l’aide de flocons de laine de roche, suivant prescription de l'élément 32.44.2b Isolation à souffler - laine de roche.</w:t>
      </w:r>
    </w:p>
    <w:p w14:paraId="076359CA" w14:textId="77777777" w:rsidR="00DB2B68" w:rsidRDefault="00000000">
      <w:pPr>
        <w:pStyle w:val="pheading"/>
      </w:pPr>
      <w:r>
        <w:t>MATÉRIAUX</w:t>
      </w:r>
    </w:p>
    <w:p w14:paraId="09784253" w14:textId="77777777" w:rsidR="00DB2B68" w:rsidRDefault="00000000">
      <w:pPr>
        <w:pStyle w:val="pheading"/>
      </w:pPr>
      <w:r>
        <w:t>- Caractéristiques générales</w:t>
      </w:r>
    </w:p>
    <w:p w14:paraId="65951682" w14:textId="77777777" w:rsidR="00DB2B68" w:rsidRDefault="00000000">
      <w:r>
        <w:t>Voir 32.44.2b Isolation à souffler - laine de roche</w:t>
      </w:r>
    </w:p>
    <w:p w14:paraId="238D6773" w14:textId="77777777" w:rsidR="00DB2B68" w:rsidRDefault="00000000">
      <w:r>
        <w:rPr>
          <w:u w:val="single"/>
        </w:rPr>
        <w:t>Spécifications</w:t>
      </w:r>
    </w:p>
    <w:p w14:paraId="02C661AD" w14:textId="77777777" w:rsidR="00DB2B68" w:rsidRDefault="00000000">
      <w:pPr>
        <w:pStyle w:val="Author-eListParagraph"/>
        <w:numPr>
          <w:ilvl w:val="0"/>
          <w:numId w:val="1135"/>
        </w:numPr>
      </w:pPr>
      <w:r>
        <w:t xml:space="preserve">Épaisseur : </w:t>
      </w:r>
      <w:r>
        <w:rPr>
          <w:rStyle w:val="optioncarChar"/>
        </w:rPr>
        <w:t xml:space="preserve">*** </w:t>
      </w:r>
      <w:r>
        <w:t>cm</w:t>
      </w:r>
    </w:p>
    <w:p w14:paraId="0F9DD47C" w14:textId="77777777" w:rsidR="00DB2B68" w:rsidRDefault="00000000">
      <w:pPr>
        <w:pStyle w:val="Author-eListParagraph"/>
        <w:numPr>
          <w:ilvl w:val="0"/>
          <w:numId w:val="1135"/>
        </w:numPr>
      </w:pPr>
      <w:r>
        <w:t>Masse volumique:</w:t>
      </w:r>
      <w:r>
        <w:rPr>
          <w:rStyle w:val="optioncarChar"/>
        </w:rPr>
        <w:t xml:space="preserve"> environ ***</w:t>
      </w:r>
      <w:r>
        <w:t xml:space="preserve"> kg/m3, suivant </w:t>
      </w:r>
      <w:r>
        <w:rPr>
          <w:rStyle w:val="optioncarChar"/>
        </w:rPr>
        <w:t>***.</w:t>
      </w:r>
    </w:p>
    <w:p w14:paraId="34ED5A17" w14:textId="77777777" w:rsidR="00DB2B68" w:rsidRDefault="00000000">
      <w:pPr>
        <w:pStyle w:val="Author-eListParagraph"/>
        <w:numPr>
          <w:ilvl w:val="0"/>
          <w:numId w:val="1135"/>
        </w:numPr>
      </w:pPr>
      <w:r>
        <w:t>Valeur lambda déclarée: maximum</w:t>
      </w:r>
      <w:r>
        <w:rPr>
          <w:rStyle w:val="optioncarChar"/>
        </w:rPr>
        <w:t xml:space="preserve"> 0,040 </w:t>
      </w:r>
      <w:r>
        <w:t>(par défaut) </w:t>
      </w:r>
      <w:r>
        <w:rPr>
          <w:rStyle w:val="optioncarChar"/>
        </w:rPr>
        <w:t>/ ***</w:t>
      </w:r>
      <w:r>
        <w:t xml:space="preserve"> W/mK, suivant</w:t>
      </w:r>
      <w:r>
        <w:rPr>
          <w:rStyle w:val="optioncarChar"/>
        </w:rPr>
        <w:t> [NBN EN 14064-1] _ [NBN EN 12667] / *** .</w:t>
      </w:r>
    </w:p>
    <w:p w14:paraId="10A5E1F3" w14:textId="77777777" w:rsidR="00DB2B68" w:rsidRDefault="00000000">
      <w:pPr>
        <w:pStyle w:val="Author-eListParagraph"/>
        <w:numPr>
          <w:ilvl w:val="0"/>
          <w:numId w:val="1135"/>
        </w:numPr>
      </w:pPr>
      <w:r>
        <w:t xml:space="preserve">Stabilité dimensionnelle </w:t>
      </w:r>
      <w:r>
        <w:rPr>
          <w:rStyle w:val="optioncarChar"/>
        </w:rPr>
        <w:t>***</w:t>
      </w:r>
      <w:r>
        <w:t xml:space="preserve">, suivant </w:t>
      </w:r>
      <w:r>
        <w:rPr>
          <w:rStyle w:val="optioncarChar"/>
        </w:rPr>
        <w:t>***</w:t>
      </w:r>
      <w:r>
        <w:t>.</w:t>
      </w:r>
    </w:p>
    <w:p w14:paraId="46D9E697" w14:textId="77777777" w:rsidR="00DB2B68" w:rsidRDefault="00000000">
      <w:pPr>
        <w:pStyle w:val="Author-eListParagraph"/>
        <w:numPr>
          <w:ilvl w:val="0"/>
          <w:numId w:val="1135"/>
        </w:numPr>
      </w:pPr>
      <w:r>
        <w:t>Réaction au feu: A1, suivant [NBN EN 13501-1].</w:t>
      </w:r>
    </w:p>
    <w:p w14:paraId="30701B5A" w14:textId="77777777" w:rsidR="00DB2B68" w:rsidRDefault="00000000">
      <w:pPr>
        <w:pStyle w:val="Author-eListParagraph"/>
        <w:numPr>
          <w:ilvl w:val="0"/>
          <w:numId w:val="1135"/>
        </w:numPr>
      </w:pPr>
      <w:r>
        <w:t>Acoustique :</w:t>
      </w:r>
      <w:r>
        <w:rPr>
          <w:rStyle w:val="optioncarChar"/>
        </w:rPr>
        <w:t xml:space="preserve"> ***, </w:t>
      </w:r>
      <w:r>
        <w:t xml:space="preserve">suivant </w:t>
      </w:r>
      <w:r>
        <w:rPr>
          <w:rStyle w:val="optioncarChar"/>
        </w:rPr>
        <w:t>***.</w:t>
      </w:r>
    </w:p>
    <w:p w14:paraId="57D62622" w14:textId="77777777" w:rsidR="00DB2B68" w:rsidRDefault="00000000">
      <w:pPr>
        <w:pStyle w:val="Author-eListParagraph"/>
        <w:numPr>
          <w:ilvl w:val="0"/>
          <w:numId w:val="1135"/>
        </w:numPr>
      </w:pPr>
      <w:r>
        <w:t xml:space="preserve">Masse volumique minimale après insufflation : </w:t>
      </w:r>
      <w:r>
        <w:rPr>
          <w:rStyle w:val="optioncarChar"/>
        </w:rPr>
        <w:t xml:space="preserve">*** </w:t>
      </w:r>
      <w:r>
        <w:t>kg/m³.</w:t>
      </w:r>
    </w:p>
    <w:p w14:paraId="4D81C968" w14:textId="77777777" w:rsidR="00DB2B68" w:rsidRDefault="00000000">
      <w:pPr>
        <w:pStyle w:val="Author-eListParagraph"/>
        <w:numPr>
          <w:ilvl w:val="0"/>
          <w:numId w:val="1135"/>
        </w:numPr>
      </w:pPr>
      <w:r>
        <w:t xml:space="preserve">Facteur de résistance à la diffusion de vapeur: m = </w:t>
      </w:r>
      <w:r>
        <w:rPr>
          <w:rStyle w:val="optioncarChar"/>
        </w:rPr>
        <w:t>1,0 </w:t>
      </w:r>
      <w:r>
        <w:t>(par défaut)</w:t>
      </w:r>
      <w:r>
        <w:rPr>
          <w:rStyle w:val="optioncarChar"/>
        </w:rPr>
        <w:t xml:space="preserve"> / ***</w:t>
      </w:r>
      <w:r>
        <w:t xml:space="preserve">, suivant [NBN EN ISO 10456] / </w:t>
      </w:r>
      <w:r>
        <w:rPr>
          <w:rStyle w:val="optioncarChar"/>
        </w:rPr>
        <w:t>***.</w:t>
      </w:r>
    </w:p>
    <w:p w14:paraId="07187992" w14:textId="77777777" w:rsidR="00DB2B68" w:rsidRDefault="00000000">
      <w:pPr>
        <w:pStyle w:val="Author-eListParagraph"/>
        <w:numPr>
          <w:ilvl w:val="0"/>
          <w:numId w:val="1135"/>
        </w:numPr>
      </w:pPr>
      <w:r>
        <w:t>Non capillaire et non hygroscopique</w:t>
      </w:r>
    </w:p>
    <w:p w14:paraId="50FC80E6" w14:textId="77777777" w:rsidR="00DB2B68" w:rsidRDefault="00000000">
      <w:pPr>
        <w:pStyle w:val="pheading"/>
      </w:pPr>
      <w:r>
        <w:t>DOCUMENTS DE RÉFÉRENCE COMPLÉMENTAIRES</w:t>
      </w:r>
    </w:p>
    <w:p w14:paraId="01E9CD80" w14:textId="77777777" w:rsidR="00DB2B68" w:rsidRDefault="00000000">
      <w:pPr>
        <w:pStyle w:val="pheading"/>
      </w:pPr>
      <w:r>
        <w:t>- Matériau</w:t>
      </w:r>
    </w:p>
    <w:p w14:paraId="017D6818" w14:textId="77777777" w:rsidR="00DB2B68" w:rsidRDefault="00000000">
      <w:r>
        <w:t>32.44.2b Isolation à souffler - laine de roche</w:t>
      </w:r>
    </w:p>
    <w:p w14:paraId="430F03DD" w14:textId="77777777" w:rsidR="00DB2B68" w:rsidRDefault="00000000">
      <w:pPr>
        <w:pStyle w:val="pheading"/>
      </w:pPr>
      <w:r>
        <w:t>- Exécution</w:t>
      </w:r>
    </w:p>
    <w:p w14:paraId="32140707" w14:textId="77777777" w:rsidR="00DB2B68" w:rsidRDefault="00000000">
      <w:r>
        <w:lastRenderedPageBreak/>
        <w:t>32.44.2b Isolation à souffler - laine de roche</w:t>
      </w:r>
    </w:p>
    <w:p w14:paraId="455E64CB" w14:textId="77777777" w:rsidR="00DB2B68" w:rsidRDefault="00000000">
      <w:pPr>
        <w:pStyle w:val="pheading"/>
      </w:pPr>
      <w:r>
        <w:t>MESURAGE</w:t>
      </w:r>
    </w:p>
    <w:p w14:paraId="514DA400" w14:textId="77777777" w:rsidR="00DB2B68" w:rsidRDefault="00000000">
      <w:pPr>
        <w:pStyle w:val="pheading"/>
      </w:pPr>
      <w:r>
        <w:t>- unité de mesure:</w:t>
      </w:r>
    </w:p>
    <w:p w14:paraId="2A996F30" w14:textId="77777777" w:rsidR="00DB2B68" w:rsidRDefault="00000000">
      <w:r>
        <w:t>m³</w:t>
      </w:r>
    </w:p>
    <w:p w14:paraId="5B4B6073" w14:textId="77777777" w:rsidR="00DB2B68" w:rsidRDefault="00000000">
      <w:pPr>
        <w:pStyle w:val="pheading"/>
      </w:pPr>
      <w:r>
        <w:t>- code de mesurage:</w:t>
      </w:r>
    </w:p>
    <w:p w14:paraId="75BFF7B6" w14:textId="77777777" w:rsidR="00DB2B6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608EFC73" w14:textId="77777777" w:rsidR="00DB2B68" w:rsidRDefault="00000000">
      <w:pPr>
        <w:pStyle w:val="pheading"/>
      </w:pPr>
      <w:r>
        <w:t>- nature du marché:</w:t>
      </w:r>
    </w:p>
    <w:p w14:paraId="6877A104" w14:textId="77777777" w:rsidR="00DB2B68" w:rsidRDefault="00000000">
      <w:r>
        <w:t>QF</w:t>
      </w:r>
    </w:p>
    <w:p w14:paraId="5068FD1B" w14:textId="77777777" w:rsidR="00DB2B68" w:rsidRDefault="00000000">
      <w:pPr>
        <w:pStyle w:val="Author-eSectionHeading6Numberless"/>
      </w:pPr>
      <w:bookmarkStart w:id="1982" w:name="_Toc220496923"/>
      <w:r>
        <w:t>26.44.2c Isolation à souffler - fibres de verre CCTB 01.04</w:t>
      </w:r>
      <w:bookmarkEnd w:id="1982"/>
    </w:p>
    <w:p w14:paraId="66C2C8CD" w14:textId="77777777" w:rsidR="00DB2B68" w:rsidRDefault="00000000">
      <w:pPr>
        <w:pStyle w:val="pheading"/>
      </w:pPr>
      <w:r>
        <w:t>DESCRIPTION</w:t>
      </w:r>
    </w:p>
    <w:p w14:paraId="599E5210" w14:textId="77777777" w:rsidR="00DB2B68" w:rsidRDefault="00000000">
      <w:pPr>
        <w:pStyle w:val="pheading"/>
      </w:pPr>
      <w:r>
        <w:t>- Définition / Comprend</w:t>
      </w:r>
    </w:p>
    <w:p w14:paraId="29BF17BD" w14:textId="77777777" w:rsidR="00DB2B68" w:rsidRDefault="00000000">
      <w:r>
        <w:t>Il s'agit de la réalisation d'une isolation par insufflation de fibres de verre suivant les prescriptions de l'article 32.44.2c Isolation à souffler - fibres de verre.</w:t>
      </w:r>
    </w:p>
    <w:p w14:paraId="22FE8507" w14:textId="77777777" w:rsidR="00DB2B68" w:rsidRDefault="00000000">
      <w:pPr>
        <w:pStyle w:val="pheading"/>
      </w:pPr>
      <w:r>
        <w:t>MATÉRIAUX</w:t>
      </w:r>
    </w:p>
    <w:p w14:paraId="19422F71" w14:textId="77777777" w:rsidR="00DB2B68" w:rsidRDefault="00000000">
      <w:pPr>
        <w:pStyle w:val="pheading"/>
      </w:pPr>
      <w:r>
        <w:t>- Caractéristiques générales</w:t>
      </w:r>
    </w:p>
    <w:p w14:paraId="1B22C9FC" w14:textId="77777777" w:rsidR="00DB2B68" w:rsidRDefault="00000000">
      <w:r>
        <w:t>Voir 32.44.2c Isolation à souffler - fibres de verre</w:t>
      </w:r>
    </w:p>
    <w:p w14:paraId="20AB8A69" w14:textId="77777777" w:rsidR="00DB2B68" w:rsidRDefault="00000000">
      <w:pPr>
        <w:pStyle w:val="pheading"/>
      </w:pPr>
      <w:r>
        <w:t>- Prescriptions complémentaires</w:t>
      </w:r>
    </w:p>
    <w:p w14:paraId="6FE9AB05" w14:textId="77777777" w:rsidR="00DB2B68" w:rsidRDefault="00000000">
      <w:r>
        <w:t>Voir 32.44.2c Isolation à souffler - fibres de verre</w:t>
      </w:r>
    </w:p>
    <w:p w14:paraId="7252C697" w14:textId="77777777" w:rsidR="00DB2B68" w:rsidRDefault="00000000">
      <w:pPr>
        <w:pStyle w:val="pheading"/>
      </w:pPr>
      <w:r>
        <w:t>DOCUMENTS DE RÉFÉRENCE COMPLÉMENTAIRES</w:t>
      </w:r>
    </w:p>
    <w:p w14:paraId="6C997EB9" w14:textId="77777777" w:rsidR="00DB2B68" w:rsidRDefault="00000000">
      <w:pPr>
        <w:pStyle w:val="pheading"/>
      </w:pPr>
      <w:r>
        <w:t>- Matériau</w:t>
      </w:r>
    </w:p>
    <w:p w14:paraId="579F6063" w14:textId="77777777" w:rsidR="00DB2B68" w:rsidRDefault="00000000">
      <w:r>
        <w:t>32.44.2c Isolation à souffler - fibres de verre</w:t>
      </w:r>
    </w:p>
    <w:p w14:paraId="1841A66F" w14:textId="77777777" w:rsidR="00DB2B68" w:rsidRDefault="00000000">
      <w:pPr>
        <w:pStyle w:val="pheading"/>
      </w:pPr>
      <w:r>
        <w:t>- Exécution</w:t>
      </w:r>
    </w:p>
    <w:p w14:paraId="299ABC74" w14:textId="77777777" w:rsidR="00DB2B68" w:rsidRDefault="00000000">
      <w:r>
        <w:t>32.44.2c Isolation à souffler - fibres de verre</w:t>
      </w:r>
    </w:p>
    <w:p w14:paraId="303C7699" w14:textId="77777777" w:rsidR="00DB2B68" w:rsidRDefault="00000000">
      <w:pPr>
        <w:pStyle w:val="pheading"/>
      </w:pPr>
      <w:r>
        <w:t>MESURAGE</w:t>
      </w:r>
    </w:p>
    <w:p w14:paraId="1A9E97DD" w14:textId="77777777" w:rsidR="00DB2B68" w:rsidRDefault="00000000">
      <w:pPr>
        <w:pStyle w:val="pheading"/>
      </w:pPr>
      <w:r>
        <w:t>- unité de mesure:</w:t>
      </w:r>
    </w:p>
    <w:p w14:paraId="5134A950" w14:textId="77777777" w:rsidR="00DB2B68" w:rsidRDefault="00000000">
      <w:r>
        <w:t>m³</w:t>
      </w:r>
    </w:p>
    <w:p w14:paraId="6C504C75" w14:textId="77777777" w:rsidR="00DB2B68" w:rsidRDefault="00000000">
      <w:pPr>
        <w:pStyle w:val="pheading"/>
      </w:pPr>
      <w:r>
        <w:t>- code de mesurage:</w:t>
      </w:r>
    </w:p>
    <w:p w14:paraId="5F922202" w14:textId="77777777" w:rsidR="00DB2B6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042F8A29" w14:textId="77777777" w:rsidR="00DB2B68" w:rsidRDefault="00000000">
      <w:pPr>
        <w:pStyle w:val="pheading"/>
      </w:pPr>
      <w:r>
        <w:t>- nature du marché:</w:t>
      </w:r>
    </w:p>
    <w:p w14:paraId="2ED3FBCC" w14:textId="77777777" w:rsidR="00DB2B68" w:rsidRDefault="00000000">
      <w:r>
        <w:t>QF</w:t>
      </w:r>
    </w:p>
    <w:p w14:paraId="156F7DBB" w14:textId="77777777" w:rsidR="00DB2B68" w:rsidRDefault="00000000">
      <w:pPr>
        <w:pStyle w:val="Author-eSectionHeading6Numberless"/>
      </w:pPr>
      <w:bookmarkStart w:id="1983" w:name="_Toc220496924"/>
      <w:r>
        <w:t>26.44.2d Isolation à souffler - vermiculite expansée CCTB 01.04</w:t>
      </w:r>
      <w:bookmarkEnd w:id="1983"/>
    </w:p>
    <w:p w14:paraId="71372062" w14:textId="77777777" w:rsidR="00DB2B68" w:rsidRDefault="00000000">
      <w:pPr>
        <w:pStyle w:val="pheading"/>
      </w:pPr>
      <w:r>
        <w:t>DESCRIPTION</w:t>
      </w:r>
    </w:p>
    <w:p w14:paraId="6AE24B4E" w14:textId="77777777" w:rsidR="00DB2B68" w:rsidRDefault="00000000">
      <w:pPr>
        <w:pStyle w:val="pheading"/>
      </w:pPr>
      <w:r>
        <w:t>- Définition / Comprend</w:t>
      </w:r>
    </w:p>
    <w:p w14:paraId="066FEB59" w14:textId="77777777" w:rsidR="00DB2B68" w:rsidRDefault="00000000">
      <w:r>
        <w:t>Il s'agit de la réalisation d'une isolation en vermiculite expansée suivant les prescriptions de l'article 32.44.2d Isolation à souffler - vermiculite expansée.</w:t>
      </w:r>
    </w:p>
    <w:p w14:paraId="0EA45A20" w14:textId="77777777" w:rsidR="00DB2B68" w:rsidRDefault="00000000">
      <w:pPr>
        <w:pStyle w:val="pheading"/>
      </w:pPr>
      <w:r>
        <w:lastRenderedPageBreak/>
        <w:t>MATÉRIAUX</w:t>
      </w:r>
    </w:p>
    <w:p w14:paraId="52223838" w14:textId="77777777" w:rsidR="00DB2B68" w:rsidRDefault="00000000">
      <w:pPr>
        <w:pStyle w:val="pheading"/>
      </w:pPr>
      <w:r>
        <w:t>- Caractéristiques générales</w:t>
      </w:r>
    </w:p>
    <w:p w14:paraId="05D397D6" w14:textId="77777777" w:rsidR="00DB2B68" w:rsidRDefault="00000000">
      <w:r>
        <w:t>Voir 32.44.2d Isolation à souffler - vermiculite expansée</w:t>
      </w:r>
    </w:p>
    <w:p w14:paraId="217497E7" w14:textId="77777777" w:rsidR="00DB2B68" w:rsidRDefault="00000000">
      <w:pPr>
        <w:pStyle w:val="pheading"/>
      </w:pPr>
      <w:r>
        <w:t>DOCUMENTS DE RÉFÉRENCE COMPLÉMENTAIRES</w:t>
      </w:r>
    </w:p>
    <w:p w14:paraId="10F44460" w14:textId="77777777" w:rsidR="00DB2B68" w:rsidRDefault="00000000">
      <w:pPr>
        <w:pStyle w:val="pheading"/>
      </w:pPr>
      <w:r>
        <w:t>- Matériau</w:t>
      </w:r>
    </w:p>
    <w:p w14:paraId="05EFC6FC" w14:textId="77777777" w:rsidR="00DB2B68" w:rsidRDefault="00000000">
      <w:r>
        <w:t>32.44.2d Isolation à souffler - vermiculite expansée</w:t>
      </w:r>
    </w:p>
    <w:p w14:paraId="5AB1562F" w14:textId="77777777" w:rsidR="00DB2B68" w:rsidRDefault="00000000">
      <w:pPr>
        <w:pStyle w:val="pheading"/>
      </w:pPr>
      <w:r>
        <w:t>- Exécution</w:t>
      </w:r>
    </w:p>
    <w:p w14:paraId="60444275" w14:textId="77777777" w:rsidR="00DB2B68" w:rsidRDefault="00000000">
      <w:r>
        <w:t>32.44.2d Isolation à souffler - vermiculite expansée</w:t>
      </w:r>
    </w:p>
    <w:p w14:paraId="35B6663C" w14:textId="77777777" w:rsidR="00DB2B68" w:rsidRDefault="00000000">
      <w:pPr>
        <w:pStyle w:val="pheading"/>
      </w:pPr>
      <w:r>
        <w:t>MESURAGE</w:t>
      </w:r>
    </w:p>
    <w:p w14:paraId="317CDC92" w14:textId="77777777" w:rsidR="00DB2B68" w:rsidRDefault="00000000">
      <w:pPr>
        <w:pStyle w:val="pheading"/>
      </w:pPr>
      <w:r>
        <w:t>- unité de mesure:</w:t>
      </w:r>
    </w:p>
    <w:p w14:paraId="1E269F8A" w14:textId="77777777" w:rsidR="00DB2B68" w:rsidRDefault="00000000">
      <w:r>
        <w:t>m³</w:t>
      </w:r>
    </w:p>
    <w:p w14:paraId="4AC32415" w14:textId="77777777" w:rsidR="00DB2B68" w:rsidRDefault="00000000">
      <w:pPr>
        <w:pStyle w:val="pheading"/>
      </w:pPr>
      <w:r>
        <w:t>- code de mesurage:</w:t>
      </w:r>
    </w:p>
    <w:p w14:paraId="3B4C2740" w14:textId="77777777" w:rsidR="00DB2B6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738A921F" w14:textId="77777777" w:rsidR="00DB2B68" w:rsidRDefault="00000000">
      <w:pPr>
        <w:pStyle w:val="pheading"/>
      </w:pPr>
      <w:r>
        <w:t>- nature du marché:</w:t>
      </w:r>
    </w:p>
    <w:p w14:paraId="2614A13B" w14:textId="77777777" w:rsidR="00DB2B68" w:rsidRDefault="00000000">
      <w:r>
        <w:t>QF</w:t>
      </w:r>
    </w:p>
    <w:p w14:paraId="007A128E" w14:textId="77777777" w:rsidR="00DB2B68" w:rsidRDefault="00000000">
      <w:pPr>
        <w:pStyle w:val="Author-eSectionHeading6Numberless"/>
      </w:pPr>
      <w:bookmarkStart w:id="1984" w:name="_Toc220496925"/>
      <w:r>
        <w:t>26.44.2e Isolation à souffler - perlite expansée CCTB 01.04</w:t>
      </w:r>
      <w:bookmarkEnd w:id="1984"/>
    </w:p>
    <w:p w14:paraId="662674F3" w14:textId="77777777" w:rsidR="00DB2B68" w:rsidRDefault="00000000">
      <w:pPr>
        <w:pStyle w:val="pheading"/>
      </w:pPr>
      <w:r>
        <w:t>DESCRIPTION</w:t>
      </w:r>
    </w:p>
    <w:p w14:paraId="6C61844A" w14:textId="77777777" w:rsidR="00DB2B68" w:rsidRDefault="00000000">
      <w:pPr>
        <w:pStyle w:val="pheading"/>
      </w:pPr>
      <w:r>
        <w:t>- Définition / Comprend</w:t>
      </w:r>
    </w:p>
    <w:p w14:paraId="741CF368" w14:textId="77777777" w:rsidR="00DB2B68" w:rsidRDefault="00000000">
      <w:r>
        <w:t>Il s'agit de la réalisation d'une isolation en perlite expansée suivant les prescriptions de l'article 32.44.2e Isolation à souffler - perlite expansée.</w:t>
      </w:r>
    </w:p>
    <w:p w14:paraId="15B2C59C" w14:textId="77777777" w:rsidR="00DB2B68" w:rsidRDefault="00000000">
      <w:pPr>
        <w:pStyle w:val="pheading"/>
      </w:pPr>
      <w:r>
        <w:t>MATÉRIAUX</w:t>
      </w:r>
    </w:p>
    <w:p w14:paraId="0653A9A6" w14:textId="77777777" w:rsidR="00DB2B68" w:rsidRDefault="00000000">
      <w:pPr>
        <w:pStyle w:val="pheading"/>
      </w:pPr>
      <w:r>
        <w:t>- Caractéristiques générales</w:t>
      </w:r>
    </w:p>
    <w:p w14:paraId="529FECB7" w14:textId="77777777" w:rsidR="00DB2B68" w:rsidRDefault="00000000">
      <w:r>
        <w:t>Voir 32.44.2e Isolation à souffler - perlite expansée</w:t>
      </w:r>
    </w:p>
    <w:p w14:paraId="5C491726" w14:textId="77777777" w:rsidR="00DB2B68" w:rsidRDefault="00000000">
      <w:pPr>
        <w:pStyle w:val="pheading"/>
      </w:pPr>
      <w:r>
        <w:t>DOCUMENTS DE RÉFÉRENCE COMPLÉMENTAIRES</w:t>
      </w:r>
    </w:p>
    <w:p w14:paraId="7B09F181" w14:textId="77777777" w:rsidR="00DB2B68" w:rsidRDefault="00000000">
      <w:pPr>
        <w:pStyle w:val="pheading"/>
      </w:pPr>
      <w:r>
        <w:t>- Matériau</w:t>
      </w:r>
    </w:p>
    <w:p w14:paraId="4782E6DC" w14:textId="77777777" w:rsidR="00DB2B68" w:rsidRDefault="00000000">
      <w:r>
        <w:t>32.44.2e Isolation à souffler - perlite expansée</w:t>
      </w:r>
    </w:p>
    <w:p w14:paraId="03DF6FA6" w14:textId="77777777" w:rsidR="00DB2B68" w:rsidRDefault="00000000">
      <w:pPr>
        <w:pStyle w:val="pheading"/>
      </w:pPr>
      <w:r>
        <w:t>- Exécution</w:t>
      </w:r>
    </w:p>
    <w:p w14:paraId="2DCAF219" w14:textId="77777777" w:rsidR="00DB2B68" w:rsidRDefault="00000000">
      <w:r>
        <w:t>32.44.2e Isolation à souffler - perlite expansée</w:t>
      </w:r>
    </w:p>
    <w:p w14:paraId="5DB664CC" w14:textId="77777777" w:rsidR="00DB2B68" w:rsidRDefault="00000000">
      <w:pPr>
        <w:pStyle w:val="pheading"/>
      </w:pPr>
      <w:r>
        <w:t>MESURAGE</w:t>
      </w:r>
    </w:p>
    <w:p w14:paraId="3945DD65" w14:textId="77777777" w:rsidR="00DB2B68" w:rsidRDefault="00000000">
      <w:pPr>
        <w:pStyle w:val="pheading"/>
      </w:pPr>
      <w:r>
        <w:t>- unité de mesure:</w:t>
      </w:r>
    </w:p>
    <w:p w14:paraId="484B4C20" w14:textId="77777777" w:rsidR="00DB2B68" w:rsidRDefault="00000000">
      <w:r>
        <w:t>m³</w:t>
      </w:r>
    </w:p>
    <w:p w14:paraId="0BB438B3" w14:textId="77777777" w:rsidR="00DB2B68" w:rsidRDefault="00000000">
      <w:pPr>
        <w:pStyle w:val="pheading"/>
      </w:pPr>
      <w:r>
        <w:t>- code de mesurage:</w:t>
      </w:r>
    </w:p>
    <w:p w14:paraId="1BEFF309" w14:textId="77777777" w:rsidR="00DB2B6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5F4B6919" w14:textId="77777777" w:rsidR="00DB2B68" w:rsidRDefault="00000000">
      <w:pPr>
        <w:pStyle w:val="pheading"/>
      </w:pPr>
      <w:r>
        <w:t>- nature du marché:</w:t>
      </w:r>
    </w:p>
    <w:p w14:paraId="6B0BD333" w14:textId="77777777" w:rsidR="00DB2B68" w:rsidRDefault="00000000">
      <w:r>
        <w:lastRenderedPageBreak/>
        <w:t>QF</w:t>
      </w:r>
    </w:p>
    <w:p w14:paraId="3FB233AE" w14:textId="77777777" w:rsidR="00DB2B68" w:rsidRDefault="00000000">
      <w:pPr>
        <w:pStyle w:val="Author-eSectionHeading5Numberless"/>
      </w:pPr>
      <w:bookmarkStart w:id="1985" w:name="_Toc220496926"/>
      <w:r>
        <w:t>26.44.3 Isolation à souffler - matières végétales CCTB 01.04</w:t>
      </w:r>
      <w:bookmarkEnd w:id="1985"/>
    </w:p>
    <w:p w14:paraId="32756045" w14:textId="77777777" w:rsidR="00DB2B68" w:rsidRDefault="00000000">
      <w:pPr>
        <w:pStyle w:val="pheading"/>
      </w:pPr>
      <w:r>
        <w:t>EXÉCUTION / MISE EN ŒUVRE</w:t>
      </w:r>
    </w:p>
    <w:p w14:paraId="5BFB0A89" w14:textId="77777777" w:rsidR="00DB2B68" w:rsidRDefault="00000000">
      <w:r>
        <w:t>Voir 32.44.3 Isolation à souffler - matières végétales.</w:t>
      </w:r>
    </w:p>
    <w:p w14:paraId="48D010F2" w14:textId="77777777" w:rsidR="00DB2B68" w:rsidRDefault="00000000">
      <w:pPr>
        <w:pStyle w:val="pheading"/>
      </w:pPr>
      <w:r>
        <w:t>DOCUMENTS DE RÉFÉRENCE</w:t>
      </w:r>
    </w:p>
    <w:p w14:paraId="7126F252" w14:textId="77777777" w:rsidR="00DB2B68" w:rsidRDefault="00000000">
      <w:pPr>
        <w:pStyle w:val="pheading"/>
      </w:pPr>
      <w:r>
        <w:t>- Matériau</w:t>
      </w:r>
    </w:p>
    <w:p w14:paraId="7E2B2EE5" w14:textId="77777777" w:rsidR="00DB2B68" w:rsidRDefault="00000000">
      <w:r>
        <w:t>32.44.3 Isolation à souffler - matières végétales</w:t>
      </w:r>
    </w:p>
    <w:p w14:paraId="59B2F1D0" w14:textId="77777777" w:rsidR="00DB2B68" w:rsidRDefault="00000000">
      <w:pPr>
        <w:pStyle w:val="pheading"/>
      </w:pPr>
      <w:r>
        <w:t>- Exécution</w:t>
      </w:r>
    </w:p>
    <w:p w14:paraId="40F3A4AF" w14:textId="77777777" w:rsidR="00DB2B68" w:rsidRDefault="00000000">
      <w:r>
        <w:t>32.44.3 Isolation à souffler - matières végétales</w:t>
      </w:r>
    </w:p>
    <w:p w14:paraId="5E01AB88" w14:textId="77777777" w:rsidR="00DB2B68" w:rsidRDefault="00000000">
      <w:pPr>
        <w:pStyle w:val="Author-eSectionHeading6Numberless"/>
      </w:pPr>
      <w:bookmarkStart w:id="1986" w:name="_Toc220496927"/>
      <w:r>
        <w:t>26.44.3a (titre réservé) CCTB 01.04</w:t>
      </w:r>
      <w:bookmarkEnd w:id="1986"/>
    </w:p>
    <w:p w14:paraId="011E7812" w14:textId="77777777" w:rsidR="00DB2B68" w:rsidRDefault="00000000">
      <w:pPr>
        <w:pStyle w:val="Author-eSectionHeading6Numberless"/>
      </w:pPr>
      <w:bookmarkStart w:id="1987" w:name="_Toc220496928"/>
      <w:r>
        <w:t>26.44.3b Isolation à souffler - granulés d'argile expansée CCTB 01.11</w:t>
      </w:r>
      <w:bookmarkEnd w:id="1987"/>
    </w:p>
    <w:p w14:paraId="08F10117" w14:textId="77777777" w:rsidR="00DB2B68" w:rsidRDefault="00000000">
      <w:pPr>
        <w:pStyle w:val="pheading"/>
      </w:pPr>
      <w:r>
        <w:t>DESCRIPTION</w:t>
      </w:r>
    </w:p>
    <w:p w14:paraId="20C38BD3" w14:textId="77777777" w:rsidR="00DB2B68" w:rsidRDefault="00000000">
      <w:pPr>
        <w:pStyle w:val="pheading"/>
      </w:pPr>
      <w:r>
        <w:t>- Définition / Comprend</w:t>
      </w:r>
    </w:p>
    <w:p w14:paraId="08D7F309" w14:textId="77777777" w:rsidR="00DB2B68" w:rsidRDefault="00000000">
      <w:r>
        <w:t>Il s'agit de la réalisation d'une isolation en granulés d'argile expansée suivant les prescriptions de l'article 32.44.3b Isolation à souffler - granulés d'argile expansée.</w:t>
      </w:r>
    </w:p>
    <w:p w14:paraId="5F936623" w14:textId="77777777" w:rsidR="00DB2B68" w:rsidRDefault="00000000">
      <w:pPr>
        <w:pStyle w:val="pheading"/>
      </w:pPr>
      <w:r>
        <w:t>MATÉRIAUX</w:t>
      </w:r>
    </w:p>
    <w:p w14:paraId="34C2484F" w14:textId="77777777" w:rsidR="00DB2B68" w:rsidRDefault="00000000">
      <w:pPr>
        <w:pStyle w:val="pheading"/>
      </w:pPr>
      <w:r>
        <w:t>- Caractéristiques générales</w:t>
      </w:r>
    </w:p>
    <w:p w14:paraId="1C5CDCF6" w14:textId="77777777" w:rsidR="00DB2B68" w:rsidRDefault="00000000">
      <w:r>
        <w:t>Voir 32.44.3b Isolation à souffler - granulés d'argile expansée</w:t>
      </w:r>
    </w:p>
    <w:p w14:paraId="3195902D" w14:textId="77777777" w:rsidR="00DB2B68" w:rsidRDefault="00000000">
      <w:pPr>
        <w:pStyle w:val="heading"/>
      </w:pPr>
      <w:r>
        <w:t>Spécifications</w:t>
      </w:r>
    </w:p>
    <w:p w14:paraId="51C8DAC6" w14:textId="77777777" w:rsidR="00DB2B68" w:rsidRDefault="00000000">
      <w:r>
        <w:t xml:space="preserve">L’épaisseur d’isolation créée : </w:t>
      </w:r>
      <w:r>
        <w:rPr>
          <w:rStyle w:val="optioncarChar"/>
        </w:rPr>
        <w:t>***</w:t>
      </w:r>
      <w:r>
        <w:t xml:space="preserve"> cm</w:t>
      </w:r>
    </w:p>
    <w:p w14:paraId="217DC243" w14:textId="77777777" w:rsidR="00DB2B68" w:rsidRDefault="00000000">
      <w:r>
        <w:rPr>
          <w:u w:val="single"/>
        </w:rPr>
        <w:t>Caractéristiques de base :</w:t>
      </w:r>
    </w:p>
    <w:p w14:paraId="70924021" w14:textId="77777777" w:rsidR="00DB2B68" w:rsidRDefault="00000000">
      <w:pPr>
        <w:pStyle w:val="Author-eListParagraph"/>
        <w:numPr>
          <w:ilvl w:val="0"/>
          <w:numId w:val="1136"/>
        </w:numPr>
      </w:pPr>
      <w:r>
        <w:t xml:space="preserve">Conductivité thermique, valeur lambda déclarée : max. </w:t>
      </w:r>
      <w:r>
        <w:rPr>
          <w:rStyle w:val="optioncarChar"/>
        </w:rPr>
        <w:t>0.15 </w:t>
      </w:r>
      <w:r>
        <w:t>(par défaut) / *** W/mK</w:t>
      </w:r>
    </w:p>
    <w:p w14:paraId="35B3303E" w14:textId="77777777" w:rsidR="00DB2B68" w:rsidRDefault="00000000">
      <w:pPr>
        <w:pStyle w:val="Author-eListParagraph"/>
        <w:numPr>
          <w:ilvl w:val="0"/>
          <w:numId w:val="1136"/>
        </w:numPr>
      </w:pPr>
      <w:r>
        <w:t>Masse volumique nominale : minimum </w:t>
      </w:r>
      <w:r>
        <w:rPr>
          <w:rStyle w:val="optioncarChar"/>
        </w:rPr>
        <w:t xml:space="preserve">*** </w:t>
      </w:r>
      <w:r>
        <w:t>kg/m³</w:t>
      </w:r>
    </w:p>
    <w:p w14:paraId="364E96E9" w14:textId="77777777" w:rsidR="00DB2B68" w:rsidRDefault="00000000">
      <w:pPr>
        <w:pStyle w:val="Author-eListParagraph"/>
        <w:numPr>
          <w:ilvl w:val="0"/>
          <w:numId w:val="1136"/>
        </w:numPr>
      </w:pPr>
      <w:r>
        <w:t xml:space="preserve">Réaction au feu : classe </w:t>
      </w:r>
      <w:r>
        <w:rPr>
          <w:rStyle w:val="optioncarChar"/>
        </w:rPr>
        <w:t>F / E / D / C / B / A2 / A1 / ***</w:t>
      </w:r>
      <w:r>
        <w:t> </w:t>
      </w:r>
    </w:p>
    <w:p w14:paraId="00004110" w14:textId="77777777" w:rsidR="00DB2B68" w:rsidRDefault="00000000">
      <w:r>
        <w:t>Les caractéristiques mécaniques complémentaires sont :</w:t>
      </w:r>
    </w:p>
    <w:p w14:paraId="24CCC32E" w14:textId="77777777" w:rsidR="00DB2B68" w:rsidRDefault="00000000">
      <w:pPr>
        <w:pStyle w:val="Author-eListParagraph"/>
        <w:numPr>
          <w:ilvl w:val="0"/>
          <w:numId w:val="1137"/>
        </w:numPr>
      </w:pPr>
      <w:r>
        <w:t xml:space="preserve">La résistance à l’écrasement est supérieure à </w:t>
      </w:r>
      <w:r>
        <w:rPr>
          <w:rStyle w:val="optioncarChar"/>
        </w:rPr>
        <w:t>***</w:t>
      </w:r>
      <w:r>
        <w:t xml:space="preserve"> N/mm²</w:t>
      </w:r>
    </w:p>
    <w:p w14:paraId="5E68704F" w14:textId="77777777" w:rsidR="00DB2B68" w:rsidRDefault="00000000">
      <w:pPr>
        <w:pStyle w:val="Author-eListParagraph"/>
        <w:numPr>
          <w:ilvl w:val="0"/>
          <w:numId w:val="1137"/>
        </w:numPr>
      </w:pPr>
      <w:r>
        <w:t xml:space="preserve">Le classement en réaction au feu : </w:t>
      </w:r>
      <w:r>
        <w:rPr>
          <w:rStyle w:val="optioncarChar"/>
        </w:rPr>
        <w:t>***</w:t>
      </w:r>
      <w:r>
        <w:t> </w:t>
      </w:r>
    </w:p>
    <w:p w14:paraId="67A981F4" w14:textId="77777777" w:rsidR="00DB2B68" w:rsidRDefault="00000000">
      <w:pPr>
        <w:pStyle w:val="Author-eListParagraph"/>
        <w:numPr>
          <w:ilvl w:val="0"/>
          <w:numId w:val="1137"/>
        </w:numPr>
      </w:pPr>
      <w:r>
        <w:t xml:space="preserve">La hauteur de succion d’eau est </w:t>
      </w:r>
      <w:r>
        <w:rPr>
          <w:rStyle w:val="optioncarChar"/>
        </w:rPr>
        <w:t>***</w:t>
      </w:r>
      <w:r>
        <w:t xml:space="preserve"> mm</w:t>
      </w:r>
    </w:p>
    <w:p w14:paraId="6CEB661F" w14:textId="77777777" w:rsidR="00DB2B68" w:rsidRDefault="00000000">
      <w:pPr>
        <w:pStyle w:val="pheading"/>
      </w:pPr>
      <w:r>
        <w:t>EXÉCUTION / MISE EN ŒUVRE</w:t>
      </w:r>
    </w:p>
    <w:p w14:paraId="1DB9B677" w14:textId="77777777" w:rsidR="00DB2B68" w:rsidRDefault="00000000">
      <w:pPr>
        <w:pStyle w:val="pheading"/>
      </w:pPr>
      <w:r>
        <w:t>- Prescriptions générales</w:t>
      </w:r>
    </w:p>
    <w:p w14:paraId="7899A8CD" w14:textId="77777777" w:rsidR="00DB2B68" w:rsidRDefault="00000000">
      <w:r>
        <w:t>Voir 32.44.3b Isolation à souffler - granulés d'argile expansée</w:t>
      </w:r>
    </w:p>
    <w:p w14:paraId="39EDBBCE" w14:textId="77777777" w:rsidR="00DB2B68" w:rsidRDefault="00000000">
      <w:pPr>
        <w:pStyle w:val="pheading"/>
      </w:pPr>
      <w:r>
        <w:t>DOCUMENTS DE RÉFÉRENCE COMPLÉMENTAIRES</w:t>
      </w:r>
    </w:p>
    <w:p w14:paraId="704AA713" w14:textId="77777777" w:rsidR="00DB2B68" w:rsidRDefault="00000000">
      <w:pPr>
        <w:pStyle w:val="pheading"/>
      </w:pPr>
      <w:r>
        <w:t>- Matériau</w:t>
      </w:r>
    </w:p>
    <w:p w14:paraId="7AF86A8D" w14:textId="77777777" w:rsidR="00DB2B68" w:rsidRDefault="00000000">
      <w:r>
        <w:t>32.44.3b Isolation à souffler - granulés d'argile expansée</w:t>
      </w:r>
    </w:p>
    <w:p w14:paraId="271C9DBB" w14:textId="77777777" w:rsidR="00DB2B68" w:rsidRDefault="00000000">
      <w:pPr>
        <w:pStyle w:val="pheading"/>
      </w:pPr>
      <w:r>
        <w:t>- Exécution</w:t>
      </w:r>
    </w:p>
    <w:p w14:paraId="0FDBE82D" w14:textId="77777777" w:rsidR="00DB2B68" w:rsidRDefault="00000000">
      <w:r>
        <w:t>32.44.3b Isolation à souffler - granulés d'argile expansée</w:t>
      </w:r>
    </w:p>
    <w:p w14:paraId="0266C6A4" w14:textId="77777777" w:rsidR="00DB2B68" w:rsidRDefault="00000000">
      <w:pPr>
        <w:pStyle w:val="pheading"/>
      </w:pPr>
      <w:r>
        <w:t>MESURAGE</w:t>
      </w:r>
    </w:p>
    <w:p w14:paraId="3BDF2F36" w14:textId="77777777" w:rsidR="00DB2B68" w:rsidRDefault="00000000">
      <w:pPr>
        <w:pStyle w:val="pheading"/>
      </w:pPr>
      <w:r>
        <w:t>- unité de mesure:</w:t>
      </w:r>
    </w:p>
    <w:p w14:paraId="7C22F5D8" w14:textId="77777777" w:rsidR="00DB2B68" w:rsidRDefault="00000000">
      <w:r>
        <w:lastRenderedPageBreak/>
        <w:t>m³</w:t>
      </w:r>
    </w:p>
    <w:p w14:paraId="643E5E65" w14:textId="77777777" w:rsidR="00DB2B68" w:rsidRDefault="00000000">
      <w:pPr>
        <w:pStyle w:val="pheading"/>
      </w:pPr>
      <w:r>
        <w:t>- code de mesurage:</w:t>
      </w:r>
    </w:p>
    <w:p w14:paraId="47B83D81" w14:textId="77777777" w:rsidR="00DB2B68"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14:paraId="021C5E86" w14:textId="77777777" w:rsidR="00DB2B68" w:rsidRDefault="00000000">
      <w:pPr>
        <w:pStyle w:val="pheading"/>
      </w:pPr>
      <w:r>
        <w:t>- nature du marché:</w:t>
      </w:r>
    </w:p>
    <w:p w14:paraId="1562FA4C" w14:textId="77777777" w:rsidR="00DB2B68" w:rsidRDefault="00000000">
      <w:r>
        <w:t>QF</w:t>
      </w:r>
    </w:p>
    <w:p w14:paraId="1128F142" w14:textId="77777777" w:rsidR="00DB2B68" w:rsidRDefault="00000000">
      <w:pPr>
        <w:pStyle w:val="Author-eSectionHeading6Numberless"/>
      </w:pPr>
      <w:bookmarkStart w:id="1988" w:name="_Toc220496929"/>
      <w:r>
        <w:t>26.44.3c (titre réservé) CCTB 01.04</w:t>
      </w:r>
      <w:bookmarkEnd w:id="1988"/>
    </w:p>
    <w:p w14:paraId="6ABC2B91" w14:textId="77777777" w:rsidR="00DB2B68" w:rsidRDefault="00000000">
      <w:pPr>
        <w:pStyle w:val="Author-eSectionHeading6Numberless"/>
      </w:pPr>
      <w:bookmarkStart w:id="1989" w:name="_Toc220496930"/>
      <w:r>
        <w:t>26.44.3d (titre réservé) CCTB 01.04</w:t>
      </w:r>
      <w:bookmarkEnd w:id="1989"/>
    </w:p>
    <w:p w14:paraId="4FE05B87" w14:textId="77777777" w:rsidR="00DB2B68" w:rsidRDefault="00000000">
      <w:pPr>
        <w:pStyle w:val="Author-eSectionHeading6Numberless"/>
      </w:pPr>
      <w:bookmarkStart w:id="1990" w:name="_Toc220496931"/>
      <w:r>
        <w:t>26.44.3e Isolation à souffler - granulés de liège expansé CCTB 01.11</w:t>
      </w:r>
      <w:bookmarkEnd w:id="1990"/>
    </w:p>
    <w:p w14:paraId="6D241B90" w14:textId="77777777" w:rsidR="00DB2B68" w:rsidRDefault="00000000">
      <w:pPr>
        <w:pStyle w:val="pheading"/>
      </w:pPr>
      <w:r>
        <w:t>DESCRIPTION</w:t>
      </w:r>
    </w:p>
    <w:p w14:paraId="1D425522" w14:textId="77777777" w:rsidR="00DB2B68" w:rsidRDefault="00000000">
      <w:pPr>
        <w:pStyle w:val="pheading"/>
      </w:pPr>
      <w:r>
        <w:t>- Définition / Comprend</w:t>
      </w:r>
    </w:p>
    <w:p w14:paraId="14C8A989" w14:textId="77777777" w:rsidR="00DB2B68" w:rsidRDefault="00000000">
      <w:r>
        <w:t>L’isolation est réalisée à l’aide de granulés de liège expansé suivant prescriptions de l'article 32.44.3e Isolation à souffler - granulés de liège expansé.</w:t>
      </w:r>
    </w:p>
    <w:p w14:paraId="711C9860" w14:textId="77777777" w:rsidR="00DB2B68" w:rsidRDefault="00000000">
      <w:pPr>
        <w:pStyle w:val="pheading"/>
      </w:pPr>
      <w:r>
        <w:t>MATÉRIAUX</w:t>
      </w:r>
    </w:p>
    <w:p w14:paraId="710E9023" w14:textId="77777777" w:rsidR="00DB2B68" w:rsidRDefault="00000000">
      <w:pPr>
        <w:pStyle w:val="pheading"/>
      </w:pPr>
      <w:r>
        <w:t>- Caractéristiques générales</w:t>
      </w:r>
    </w:p>
    <w:p w14:paraId="56BC72E5" w14:textId="77777777" w:rsidR="00DB2B68" w:rsidRDefault="00000000">
      <w:r>
        <w:t>Voir 32.44.3e Isolation à souffler - granulés de liège expansé.</w:t>
      </w:r>
    </w:p>
    <w:p w14:paraId="16908F7D" w14:textId="77777777" w:rsidR="00DB2B68" w:rsidRDefault="00000000">
      <w:r>
        <w:t xml:space="preserve">Proportion de granulés de liège expansé issus des filières de recyclage de bouchons et d'isolants en liège expansé dans le matériau mis en œuvre : </w:t>
      </w:r>
      <w:r>
        <w:rPr>
          <w:rStyle w:val="optioncarChar"/>
        </w:rPr>
        <w:t>0 % / *** % minimum / *** % maximum / 100 %</w:t>
      </w:r>
      <w:r>
        <w:t> </w:t>
      </w:r>
      <w:r>
        <w:rPr>
          <w:rStyle w:val="optioncarChar"/>
        </w:rPr>
        <w:t>(par défaut)</w:t>
      </w:r>
      <w:r>
        <w:t>.</w:t>
      </w:r>
    </w:p>
    <w:p w14:paraId="42DD6F26" w14:textId="77777777" w:rsidR="00DB2B68" w:rsidRDefault="00000000">
      <w:pPr>
        <w:pStyle w:val="heading"/>
      </w:pPr>
      <w:r>
        <w:t>Spécifications </w:t>
      </w:r>
    </w:p>
    <w:p w14:paraId="43FDDC3F" w14:textId="77777777" w:rsidR="00DB2B68" w:rsidRDefault="00000000">
      <w:r>
        <w:t>Epaisseur d’isolation :</w:t>
      </w:r>
      <w:r>
        <w:rPr>
          <w:rStyle w:val="optioncarChar"/>
        </w:rPr>
        <w:t xml:space="preserve"> *** </w:t>
      </w:r>
      <w:r>
        <w:t>mm.</w:t>
      </w:r>
    </w:p>
    <w:p w14:paraId="7CF735C0" w14:textId="77777777" w:rsidR="00DB2B68" w:rsidRDefault="00000000">
      <w:r>
        <w:rPr>
          <w:u w:val="single"/>
        </w:rPr>
        <w:t>Caractéristiques de base :</w:t>
      </w:r>
    </w:p>
    <w:p w14:paraId="32D5F0ED" w14:textId="77777777" w:rsidR="00DB2B68" w:rsidRDefault="00000000">
      <w:pPr>
        <w:pStyle w:val="Author-eListParagraph"/>
        <w:numPr>
          <w:ilvl w:val="0"/>
          <w:numId w:val="1138"/>
        </w:numPr>
      </w:pPr>
      <w:r>
        <w:t xml:space="preserve">Conductivité thermique valeur lambda déclarée : max. </w:t>
      </w:r>
      <w:r>
        <w:rPr>
          <w:rStyle w:val="optioncarChar"/>
        </w:rPr>
        <w:t>0.045 / </w:t>
      </w:r>
      <w:r>
        <w:t>(par défaut) / *** W/mK</w:t>
      </w:r>
    </w:p>
    <w:p w14:paraId="54887669" w14:textId="77777777" w:rsidR="00DB2B68" w:rsidRDefault="00000000">
      <w:pPr>
        <w:pStyle w:val="Author-eListParagraph"/>
        <w:numPr>
          <w:ilvl w:val="0"/>
          <w:numId w:val="1138"/>
        </w:numPr>
      </w:pPr>
      <w:r>
        <w:t xml:space="preserve">Masse volumique nominale après insufflation : environ  </w:t>
      </w:r>
      <w:r>
        <w:rPr>
          <w:rStyle w:val="optioncarChar"/>
        </w:rPr>
        <w:t xml:space="preserve">*** </w:t>
      </w:r>
      <w:r>
        <w:t>kg/m³</w:t>
      </w:r>
    </w:p>
    <w:p w14:paraId="12336A79" w14:textId="77777777" w:rsidR="00DB2B68" w:rsidRDefault="00000000">
      <w:pPr>
        <w:pStyle w:val="Author-eListParagraph"/>
        <w:numPr>
          <w:ilvl w:val="0"/>
          <w:numId w:val="1138"/>
        </w:numPr>
      </w:pPr>
      <w:r>
        <w:t xml:space="preserve">Réaction au feu  </w:t>
      </w:r>
    </w:p>
    <w:p w14:paraId="59884CA4" w14:textId="77777777" w:rsidR="00DB2B68" w:rsidRDefault="00000000">
      <w:pPr>
        <w:pStyle w:val="Author-eListParagraph"/>
        <w:numPr>
          <w:ilvl w:val="1"/>
          <w:numId w:val="1139"/>
        </w:numPr>
      </w:pPr>
      <w:r>
        <w:t xml:space="preserve">Spécifique (ICB nu) – application générale: classe </w:t>
      </w:r>
      <w:r>
        <w:rPr>
          <w:rStyle w:val="optioncarChar"/>
        </w:rPr>
        <w:t>E </w:t>
      </w:r>
      <w:r>
        <w:t>(par défaut)</w:t>
      </w:r>
      <w:r>
        <w:rPr>
          <w:rStyle w:val="optioncarChar"/>
        </w:rPr>
        <w:t xml:space="preserve"> / F / ***</w:t>
      </w:r>
      <w:r>
        <w:t xml:space="preserve"> ou avec additif retardateur au feu : classe </w:t>
      </w:r>
      <w:r>
        <w:rPr>
          <w:rStyle w:val="optioncarChar"/>
        </w:rPr>
        <w:t xml:space="preserve">B </w:t>
      </w:r>
      <w:r>
        <w:t>(par défaut) </w:t>
      </w:r>
      <w:r>
        <w:rPr>
          <w:rStyle w:val="optioncarChar"/>
        </w:rPr>
        <w:t>/ C / D / E / F / ***</w:t>
      </w:r>
      <w:r>
        <w:t xml:space="preserve"> complétée, le cas échéant par les aspects</w:t>
      </w:r>
      <w:r>
        <w:rPr>
          <w:rStyle w:val="optioncarChar"/>
        </w:rPr>
        <w:t> s1 / s2 / s3 / ***</w:t>
      </w:r>
      <w:r>
        <w:t xml:space="preserve"> et </w:t>
      </w:r>
      <w:r>
        <w:rPr>
          <w:rStyle w:val="optioncarChar"/>
        </w:rPr>
        <w:t>d0 / d1 / d2 / ***</w:t>
      </w:r>
    </w:p>
    <w:p w14:paraId="5CF1219E" w14:textId="77777777" w:rsidR="00DB2B68" w:rsidRDefault="00000000">
      <w:pPr>
        <w:pStyle w:val="Author-eListParagraph"/>
        <w:numPr>
          <w:ilvl w:val="1"/>
          <w:numId w:val="1139"/>
        </w:numPr>
      </w:pPr>
      <w:r>
        <w:t xml:space="preserve">ICB revêtu - « end-use »: classe </w:t>
      </w:r>
      <w:r>
        <w:rPr>
          <w:rStyle w:val="optioncarChar"/>
        </w:rPr>
        <w:t>A1 </w:t>
      </w:r>
      <w:r>
        <w:t>(par défaut)</w:t>
      </w:r>
      <w:r>
        <w:rPr>
          <w:rStyle w:val="optioncarChar"/>
        </w:rPr>
        <w:t xml:space="preserve"> / A2 / B / C / D / E / F / ***</w:t>
      </w:r>
      <w:r>
        <w:t xml:space="preserve"> complétée, le cas échéant, par les aspects </w:t>
      </w:r>
      <w:r>
        <w:rPr>
          <w:rStyle w:val="optioncarChar"/>
        </w:rPr>
        <w:t>s1 / s2 / s3 / ***</w:t>
      </w:r>
      <w:r>
        <w:t xml:space="preserve"> et </w:t>
      </w:r>
      <w:r>
        <w:rPr>
          <w:rStyle w:val="optioncarChar"/>
        </w:rPr>
        <w:t>d0 / d1 / d2 / ***</w:t>
      </w:r>
      <w:r>
        <w:t> </w:t>
      </w:r>
    </w:p>
    <w:p w14:paraId="29A395C6" w14:textId="77777777" w:rsidR="00DB2B68" w:rsidRDefault="00000000">
      <w:pPr>
        <w:pStyle w:val="Author-eListParagraph"/>
        <w:numPr>
          <w:ilvl w:val="0"/>
          <w:numId w:val="1138"/>
        </w:numPr>
      </w:pPr>
      <w:r>
        <w:t xml:space="preserve">Teneur en eau : &lt; </w:t>
      </w:r>
      <w:r>
        <w:rPr>
          <w:rStyle w:val="optioncarChar"/>
        </w:rPr>
        <w:t>***</w:t>
      </w:r>
      <w:r>
        <w:t xml:space="preserve"> %</w:t>
      </w:r>
    </w:p>
    <w:p w14:paraId="03B58B93" w14:textId="77777777" w:rsidR="00DB2B68" w:rsidRDefault="00000000">
      <w:r>
        <w:t> </w:t>
      </w:r>
      <w:r>
        <w:rPr>
          <w:u w:val="single"/>
        </w:rPr>
        <w:t>Autres caractéristiques spécifiques suivant les sollicitations du projet : </w:t>
      </w:r>
    </w:p>
    <w:p w14:paraId="66B8342E" w14:textId="77777777" w:rsidR="00DB2B68" w:rsidRDefault="00000000">
      <w:pPr>
        <w:pStyle w:val="Author-eListParagraph"/>
        <w:numPr>
          <w:ilvl w:val="0"/>
          <w:numId w:val="1140"/>
        </w:numPr>
      </w:pPr>
      <w:r>
        <w:t xml:space="preserve">Atténuation acoustique : </w:t>
      </w:r>
      <w:r>
        <w:rPr>
          <w:rStyle w:val="optioncarChar"/>
        </w:rPr>
        <w:t xml:space="preserve">*** </w:t>
      </w:r>
      <w:r>
        <w:t>.</w:t>
      </w:r>
    </w:p>
    <w:p w14:paraId="43B6C83D" w14:textId="77777777" w:rsidR="00DB2B68" w:rsidRDefault="00000000">
      <w:pPr>
        <w:pStyle w:val="pheading"/>
      </w:pPr>
      <w:r>
        <w:t>EXÉCUTION / MISE EN ŒUVRE</w:t>
      </w:r>
    </w:p>
    <w:p w14:paraId="562CABD8" w14:textId="77777777" w:rsidR="00DB2B68" w:rsidRDefault="00000000">
      <w:pPr>
        <w:pStyle w:val="pheading"/>
      </w:pPr>
      <w:r>
        <w:t>- Prescriptions générales</w:t>
      </w:r>
    </w:p>
    <w:p w14:paraId="0AC95597" w14:textId="77777777" w:rsidR="00DB2B68" w:rsidRDefault="00000000">
      <w:r>
        <w:t>Voir 32.44.3e Isolation à souffler - granulés de liège expansé</w:t>
      </w:r>
    </w:p>
    <w:p w14:paraId="68E52658" w14:textId="77777777" w:rsidR="00DB2B68" w:rsidRDefault="00000000">
      <w:pPr>
        <w:pStyle w:val="pheading"/>
      </w:pPr>
      <w:r>
        <w:t>DOCUMENTS DE RÉFÉRENCE COMPLÉMENTAIRES</w:t>
      </w:r>
    </w:p>
    <w:p w14:paraId="39FCE96B" w14:textId="77777777" w:rsidR="00DB2B68" w:rsidRDefault="00000000">
      <w:pPr>
        <w:pStyle w:val="pheading"/>
      </w:pPr>
      <w:r>
        <w:t>- Matériau</w:t>
      </w:r>
    </w:p>
    <w:p w14:paraId="3693737B" w14:textId="77777777" w:rsidR="00DB2B68" w:rsidRDefault="00000000">
      <w:r>
        <w:t>32.44.3e Isolation à souffler - granulés de liège expansé</w:t>
      </w:r>
    </w:p>
    <w:p w14:paraId="51C205B5" w14:textId="77777777" w:rsidR="00DB2B68" w:rsidRDefault="00000000">
      <w:pPr>
        <w:pStyle w:val="pheading"/>
      </w:pPr>
      <w:r>
        <w:lastRenderedPageBreak/>
        <w:t>- Exécution</w:t>
      </w:r>
    </w:p>
    <w:p w14:paraId="1B61CA4C" w14:textId="77777777" w:rsidR="00DB2B68" w:rsidRDefault="00000000">
      <w:r>
        <w:t>32.44.3e Isolation à souffler - granulés de liège expansé</w:t>
      </w:r>
    </w:p>
    <w:p w14:paraId="119A7B69" w14:textId="77777777" w:rsidR="00DB2B68" w:rsidRDefault="00000000">
      <w:pPr>
        <w:pStyle w:val="pheading"/>
      </w:pPr>
      <w:r>
        <w:t>MESURAGE</w:t>
      </w:r>
    </w:p>
    <w:p w14:paraId="6E7D2EA7" w14:textId="77777777" w:rsidR="00DB2B68" w:rsidRDefault="00000000">
      <w:pPr>
        <w:pStyle w:val="pheading"/>
      </w:pPr>
      <w:r>
        <w:t>- unité de mesure:</w:t>
      </w:r>
    </w:p>
    <w:p w14:paraId="5373AFC2" w14:textId="77777777" w:rsidR="00DB2B68" w:rsidRDefault="00000000">
      <w:r>
        <w:t>m³</w:t>
      </w:r>
    </w:p>
    <w:p w14:paraId="182A7F51" w14:textId="77777777" w:rsidR="00DB2B68" w:rsidRDefault="00000000">
      <w:pPr>
        <w:pStyle w:val="pheading"/>
      </w:pPr>
      <w:r>
        <w:t>- code de mesurage:</w:t>
      </w:r>
    </w:p>
    <w:p w14:paraId="31631819" w14:textId="77777777" w:rsidR="00DB2B68"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41A05079" w14:textId="77777777" w:rsidR="00DB2B68" w:rsidRDefault="00000000">
      <w:pPr>
        <w:pStyle w:val="pheading"/>
      </w:pPr>
      <w:r>
        <w:t>- nature du marché:</w:t>
      </w:r>
    </w:p>
    <w:p w14:paraId="3E3C002F" w14:textId="77777777" w:rsidR="00DB2B68" w:rsidRDefault="00000000">
      <w:r>
        <w:t>QF</w:t>
      </w:r>
    </w:p>
    <w:p w14:paraId="1EDFD6D4" w14:textId="77777777" w:rsidR="00DB2B68" w:rsidRDefault="00000000">
      <w:pPr>
        <w:pStyle w:val="Author-eSectionHeading6Numberless"/>
      </w:pPr>
      <w:bookmarkStart w:id="1991" w:name="_Toc220496932"/>
      <w:r>
        <w:t>26.44.3f (titre réservé) CCTB 01.04</w:t>
      </w:r>
      <w:bookmarkEnd w:id="1991"/>
    </w:p>
    <w:p w14:paraId="0C414EFF" w14:textId="77777777" w:rsidR="00DB2B68" w:rsidRDefault="00000000">
      <w:pPr>
        <w:pStyle w:val="Author-eSectionHeading6Numberless"/>
      </w:pPr>
      <w:bookmarkStart w:id="1992" w:name="_Toc220496933"/>
      <w:r>
        <w:t>26.44.3g (titre réservé) CCTB 01.10</w:t>
      </w:r>
      <w:bookmarkEnd w:id="1992"/>
    </w:p>
    <w:p w14:paraId="40804728" w14:textId="77777777" w:rsidR="00DB2B68" w:rsidRDefault="00000000">
      <w:pPr>
        <w:pStyle w:val="Author-eSectionHeading5Numberless"/>
      </w:pPr>
      <w:bookmarkStart w:id="1993" w:name="_Toc220496934"/>
      <w:r>
        <w:t>26.44.4 (titre réservé) CCTB 01.04</w:t>
      </w:r>
      <w:bookmarkEnd w:id="1993"/>
    </w:p>
    <w:p w14:paraId="14369E0E" w14:textId="77777777" w:rsidR="00DB2B68" w:rsidRDefault="00000000">
      <w:pPr>
        <w:pStyle w:val="Author-eSectionHeading4Numberless"/>
      </w:pPr>
      <w:bookmarkStart w:id="1994" w:name="_Toc220496935"/>
      <w:r>
        <w:t>26.45 Isolation à injecter CCTB 01.04</w:t>
      </w:r>
      <w:bookmarkEnd w:id="1994"/>
    </w:p>
    <w:p w14:paraId="0E5A2E5E" w14:textId="77777777" w:rsidR="00DB2B68" w:rsidRDefault="00000000">
      <w:pPr>
        <w:pStyle w:val="pheading"/>
      </w:pPr>
      <w:r>
        <w:t>DESCRIPTION</w:t>
      </w:r>
    </w:p>
    <w:p w14:paraId="34B1973A" w14:textId="77777777" w:rsidR="00DB2B68" w:rsidRDefault="00000000">
      <w:pPr>
        <w:pStyle w:val="pheading"/>
      </w:pPr>
      <w:r>
        <w:t>- Définition / Comprend</w:t>
      </w:r>
    </w:p>
    <w:p w14:paraId="1C036610" w14:textId="77777777" w:rsidR="00DB2B68" w:rsidRDefault="00000000">
      <w:r>
        <w:t>Il s'agit de la réalisation d'une isolation par injection suivant les prescriptions de l'élément 32.45 Isolation à injecter.</w:t>
      </w:r>
    </w:p>
    <w:p w14:paraId="496F2D0F" w14:textId="77777777" w:rsidR="00DB2B68" w:rsidRDefault="00000000">
      <w:pPr>
        <w:pStyle w:val="pheading"/>
      </w:pPr>
      <w:r>
        <w:t>MATÉRIAUX</w:t>
      </w:r>
    </w:p>
    <w:p w14:paraId="49206999" w14:textId="77777777" w:rsidR="00DB2B68" w:rsidRDefault="00000000">
      <w:r>
        <w:t>Voir 32.45 Isolation à injecter.</w:t>
      </w:r>
    </w:p>
    <w:p w14:paraId="7B7FE18E" w14:textId="77777777" w:rsidR="00DB2B68" w:rsidRDefault="00000000">
      <w:pPr>
        <w:pStyle w:val="pheading"/>
      </w:pPr>
      <w:r>
        <w:t>EXÉCUTION / MISE EN ŒUVRE</w:t>
      </w:r>
    </w:p>
    <w:p w14:paraId="73FCEFA8" w14:textId="77777777" w:rsidR="00DB2B68" w:rsidRDefault="00000000">
      <w:r>
        <w:t>Voir 32.45 Isolation à injecter.</w:t>
      </w:r>
    </w:p>
    <w:p w14:paraId="4982EF99" w14:textId="77777777" w:rsidR="00DB2B68" w:rsidRDefault="00000000">
      <w:pPr>
        <w:pStyle w:val="pheading"/>
      </w:pPr>
      <w:r>
        <w:t>CONTRÔLES</w:t>
      </w:r>
    </w:p>
    <w:p w14:paraId="3F2EAC41" w14:textId="77777777" w:rsidR="00DB2B68" w:rsidRDefault="00000000">
      <w:r>
        <w:t>Voir 32.45 Isolation à injecter.</w:t>
      </w:r>
    </w:p>
    <w:p w14:paraId="7C931420" w14:textId="77777777" w:rsidR="00DB2B68" w:rsidRDefault="00000000">
      <w:pPr>
        <w:pStyle w:val="pheading"/>
      </w:pPr>
      <w:r>
        <w:t>DOCUMENTS DE RÉFÉRENCE</w:t>
      </w:r>
    </w:p>
    <w:p w14:paraId="3177F9A6" w14:textId="77777777" w:rsidR="00DB2B68" w:rsidRDefault="00000000">
      <w:pPr>
        <w:pStyle w:val="pheading"/>
      </w:pPr>
      <w:r>
        <w:t>- Matériau</w:t>
      </w:r>
    </w:p>
    <w:p w14:paraId="62B1300B" w14:textId="77777777" w:rsidR="00DB2B68" w:rsidRDefault="00000000">
      <w:r>
        <w:t>32.45 Isolation à injecter</w:t>
      </w:r>
    </w:p>
    <w:p w14:paraId="428CEE90" w14:textId="77777777" w:rsidR="00DB2B68" w:rsidRDefault="00000000">
      <w:r>
        <w:t>[NIT 246, Postisolation des murs creux par remplissage de la coulisse.]</w:t>
      </w:r>
    </w:p>
    <w:p w14:paraId="33A8D89D" w14:textId="77777777" w:rsidR="00DB2B68" w:rsidRDefault="00000000">
      <w:pPr>
        <w:pStyle w:val="pheading"/>
      </w:pPr>
      <w:r>
        <w:t>- Exécution</w:t>
      </w:r>
    </w:p>
    <w:p w14:paraId="6F8AD1C1" w14:textId="77777777" w:rsidR="00DB2B68" w:rsidRDefault="00000000">
      <w:r>
        <w:t>32.45 Isolation à injecter</w:t>
      </w:r>
    </w:p>
    <w:p w14:paraId="3B9DC755" w14:textId="77777777" w:rsidR="00DB2B68" w:rsidRDefault="00000000">
      <w:r>
        <w:t>[NIT 246, Postisolation des murs creux par remplissage de la coulisse.]</w:t>
      </w:r>
    </w:p>
    <w:p w14:paraId="2EF4E936" w14:textId="77777777" w:rsidR="00DB2B68" w:rsidRDefault="00000000">
      <w:pPr>
        <w:pStyle w:val="Author-eSectionHeading5Numberless"/>
      </w:pPr>
      <w:bookmarkStart w:id="1995" w:name="_Toc220496936"/>
      <w:r>
        <w:t>26.45.1 Isolation à injecter - matières synthétiques CCTB 01.02</w:t>
      </w:r>
      <w:bookmarkEnd w:id="1995"/>
    </w:p>
    <w:p w14:paraId="04A39496" w14:textId="77777777" w:rsidR="00DB2B68" w:rsidRDefault="00000000">
      <w:pPr>
        <w:pStyle w:val="Author-eSectionHeading6Numberless"/>
      </w:pPr>
      <w:bookmarkStart w:id="1996" w:name="_Toc220496937"/>
      <w:r>
        <w:t>26.45.1a Isolation à injecter - mousse de polystyrène (EPS) CCTB 01.04</w:t>
      </w:r>
      <w:bookmarkEnd w:id="1996"/>
    </w:p>
    <w:p w14:paraId="1287FB69" w14:textId="77777777" w:rsidR="00DB2B68" w:rsidRDefault="00000000">
      <w:pPr>
        <w:pStyle w:val="pheading"/>
      </w:pPr>
      <w:r>
        <w:t>DESCRIPTION</w:t>
      </w:r>
    </w:p>
    <w:p w14:paraId="05C4B879" w14:textId="77777777" w:rsidR="00DB2B68" w:rsidRDefault="00000000">
      <w:pPr>
        <w:pStyle w:val="pheading"/>
      </w:pPr>
      <w:r>
        <w:t>- Définition / Comprend</w:t>
      </w:r>
    </w:p>
    <w:p w14:paraId="66E5BED0" w14:textId="77777777" w:rsidR="00DB2B68" w:rsidRDefault="00000000">
      <w:r>
        <w:lastRenderedPageBreak/>
        <w:t>Il s'agit de la réalisation d'une isolation en mousse de polystyrène expansé (EPS)  suivant les prescriptions de l'article 32.45.1a Isolation à injecter - mousse de polystyrène (EPS)</w:t>
      </w:r>
    </w:p>
    <w:p w14:paraId="16D62EFF" w14:textId="77777777" w:rsidR="00DB2B68" w:rsidRDefault="00000000">
      <w:pPr>
        <w:pStyle w:val="pheading"/>
      </w:pPr>
      <w:r>
        <w:t>MATÉRIAUX</w:t>
      </w:r>
    </w:p>
    <w:p w14:paraId="31D5A2A9" w14:textId="77777777" w:rsidR="00DB2B68" w:rsidRDefault="00000000">
      <w:pPr>
        <w:pStyle w:val="pheading"/>
      </w:pPr>
      <w:r>
        <w:t>- Caractéristiques générales</w:t>
      </w:r>
    </w:p>
    <w:p w14:paraId="6BCE05CF" w14:textId="77777777" w:rsidR="00DB2B68" w:rsidRDefault="00000000">
      <w:r>
        <w:t>Voir 32.45.1a Isolation à injecter - mousse de polystyrène (EPS)</w:t>
      </w:r>
    </w:p>
    <w:p w14:paraId="59C1BCED" w14:textId="77777777" w:rsidR="00DB2B68" w:rsidRDefault="00000000">
      <w:pPr>
        <w:pStyle w:val="pheading"/>
      </w:pPr>
      <w:r>
        <w:t>CONTRÔLES PARTICULIERS</w:t>
      </w:r>
    </w:p>
    <w:p w14:paraId="7879AB22" w14:textId="77777777" w:rsidR="00DB2B68" w:rsidRDefault="00000000">
      <w:r>
        <w:t>Voir 32.45.1a Isolation à injecter - mousse de polystyrène (EPS)</w:t>
      </w:r>
    </w:p>
    <w:p w14:paraId="6EA72BCA" w14:textId="77777777" w:rsidR="00DB2B68" w:rsidRDefault="00000000">
      <w:pPr>
        <w:pStyle w:val="pheading"/>
      </w:pPr>
      <w:r>
        <w:t>DOCUMENTS DE RÉFÉRENCE COMPLÉMENTAIRES</w:t>
      </w:r>
    </w:p>
    <w:p w14:paraId="1E47C8B7" w14:textId="77777777" w:rsidR="00DB2B68" w:rsidRDefault="00000000">
      <w:pPr>
        <w:pStyle w:val="pheading"/>
      </w:pPr>
      <w:r>
        <w:t>- Matériau</w:t>
      </w:r>
    </w:p>
    <w:p w14:paraId="42EBD059" w14:textId="77777777" w:rsidR="00DB2B68" w:rsidRDefault="00000000">
      <w:r>
        <w:t>32.45.1a Isolation à injecter - mousse de polystyrène (EPS)</w:t>
      </w:r>
    </w:p>
    <w:p w14:paraId="6BA4C530" w14:textId="77777777" w:rsidR="00DB2B68" w:rsidRDefault="00000000">
      <w:pPr>
        <w:pStyle w:val="pheading"/>
      </w:pPr>
      <w:r>
        <w:t>- Exécution</w:t>
      </w:r>
    </w:p>
    <w:p w14:paraId="2B2DC0FE" w14:textId="77777777" w:rsidR="00DB2B68" w:rsidRDefault="00000000">
      <w:r>
        <w:t>32.45.1a Isolation à injecter - mousse de polystyrène (EPS)</w:t>
      </w:r>
    </w:p>
    <w:p w14:paraId="1551A22C" w14:textId="77777777" w:rsidR="00DB2B68" w:rsidRDefault="00000000">
      <w:pPr>
        <w:pStyle w:val="pheading"/>
      </w:pPr>
      <w:r>
        <w:t>MESURAGE</w:t>
      </w:r>
    </w:p>
    <w:p w14:paraId="77C739EA" w14:textId="77777777" w:rsidR="00DB2B68" w:rsidRDefault="00000000">
      <w:pPr>
        <w:pStyle w:val="pheading"/>
      </w:pPr>
      <w:r>
        <w:t>- unité de mesure:</w:t>
      </w:r>
    </w:p>
    <w:p w14:paraId="3105AE3C" w14:textId="77777777" w:rsidR="00DB2B68" w:rsidRDefault="00000000">
      <w:r>
        <w:t>m³</w:t>
      </w:r>
    </w:p>
    <w:p w14:paraId="41FA00C0" w14:textId="77777777" w:rsidR="00DB2B68" w:rsidRDefault="00000000">
      <w:pPr>
        <w:pStyle w:val="pheading"/>
      </w:pPr>
      <w:r>
        <w:t>- code de mesurage:</w:t>
      </w:r>
    </w:p>
    <w:p w14:paraId="2EFB8E22" w14:textId="77777777" w:rsidR="00DB2B68" w:rsidRDefault="00000000">
      <w:r>
        <w:t>Volume net de la construction à isoler, sans déduction des éléments de structure interposés.</w:t>
      </w:r>
      <w:r>
        <w:br/>
        <w:t>Les ouvertures supérieures à 0,5 m² multipliées par l’épaisseur à réaliser sont déduites.</w:t>
      </w:r>
    </w:p>
    <w:p w14:paraId="038873AA" w14:textId="77777777" w:rsidR="00DB2B68" w:rsidRDefault="00000000">
      <w:pPr>
        <w:pStyle w:val="pheading"/>
      </w:pPr>
      <w:r>
        <w:t>- nature du marché:</w:t>
      </w:r>
    </w:p>
    <w:p w14:paraId="24C9F4E9" w14:textId="77777777" w:rsidR="00DB2B68" w:rsidRDefault="00000000">
      <w:r>
        <w:t>QF</w:t>
      </w:r>
    </w:p>
    <w:p w14:paraId="72C5524D" w14:textId="77777777" w:rsidR="00DB2B68" w:rsidRDefault="00000000">
      <w:pPr>
        <w:pStyle w:val="Author-eSectionHeading6Numberless"/>
      </w:pPr>
      <w:bookmarkStart w:id="1997" w:name="_Toc220496938"/>
      <w:r>
        <w:t>26.45.1b Isolation à injecter - mousse de polyuréthane (PUR) CCTB 01.04</w:t>
      </w:r>
      <w:bookmarkEnd w:id="1997"/>
    </w:p>
    <w:p w14:paraId="16F35501" w14:textId="77777777" w:rsidR="00DB2B68" w:rsidRDefault="00000000">
      <w:pPr>
        <w:pStyle w:val="pheading"/>
      </w:pPr>
      <w:r>
        <w:t>DESCRIPTION</w:t>
      </w:r>
    </w:p>
    <w:p w14:paraId="1010B2C0" w14:textId="77777777" w:rsidR="00DB2B68" w:rsidRDefault="00000000">
      <w:pPr>
        <w:pStyle w:val="pheading"/>
      </w:pPr>
      <w:r>
        <w:t>- Définition / Comprend</w:t>
      </w:r>
    </w:p>
    <w:p w14:paraId="6BA629BE" w14:textId="77777777" w:rsidR="00DB2B68" w:rsidRDefault="00000000">
      <w:r>
        <w:t>Il s'agit de la réalisation d'une isolation en mousse de polyuréthane (PUR) suivant les prescriptions de l'article 32.45.1b Isolation à injecter - mousse de polyuréthane (PUR).</w:t>
      </w:r>
    </w:p>
    <w:p w14:paraId="609C4E7D" w14:textId="77777777" w:rsidR="00DB2B68" w:rsidRDefault="00000000">
      <w:pPr>
        <w:pStyle w:val="pheading"/>
      </w:pPr>
      <w:r>
        <w:t>MATÉRIAUX</w:t>
      </w:r>
    </w:p>
    <w:p w14:paraId="677C03F9" w14:textId="77777777" w:rsidR="00DB2B68" w:rsidRDefault="00000000">
      <w:pPr>
        <w:pStyle w:val="pheading"/>
      </w:pPr>
      <w:r>
        <w:t>- Caractéristiques générales</w:t>
      </w:r>
    </w:p>
    <w:p w14:paraId="1BB15D3F" w14:textId="77777777" w:rsidR="00DB2B68" w:rsidRDefault="00000000">
      <w:r>
        <w:t>Voir 32.45.1b Isolation à injecter - mousse de polyuréthane (PUR)</w:t>
      </w:r>
    </w:p>
    <w:p w14:paraId="7E53020A" w14:textId="77777777" w:rsidR="00DB2B68" w:rsidRDefault="00000000">
      <w:pPr>
        <w:pStyle w:val="pheading"/>
      </w:pPr>
      <w:r>
        <w:t>CONTRÔLES PARTICULIERS</w:t>
      </w:r>
    </w:p>
    <w:p w14:paraId="518236C3" w14:textId="77777777" w:rsidR="00DB2B68" w:rsidRDefault="00000000">
      <w:r>
        <w:t>Voir 32.45.1b Isolation à injecter - mousse de polyuréthane (PUR)</w:t>
      </w:r>
    </w:p>
    <w:p w14:paraId="0B7BBDDF" w14:textId="77777777" w:rsidR="00DB2B68" w:rsidRDefault="00000000">
      <w:pPr>
        <w:pStyle w:val="pheading"/>
      </w:pPr>
      <w:r>
        <w:t>DOCUMENTS DE RÉFÉRENCE COMPLÉMENTAIRES</w:t>
      </w:r>
    </w:p>
    <w:p w14:paraId="252FBE20" w14:textId="77777777" w:rsidR="00DB2B68" w:rsidRDefault="00000000">
      <w:pPr>
        <w:pStyle w:val="pheading"/>
      </w:pPr>
      <w:r>
        <w:t>- Matériau</w:t>
      </w:r>
    </w:p>
    <w:p w14:paraId="339D8840" w14:textId="77777777" w:rsidR="00DB2B68" w:rsidRDefault="00000000">
      <w:r>
        <w:t>32.45.1b Isolation à injecter - mousse de polyuréthane (PUR)</w:t>
      </w:r>
    </w:p>
    <w:p w14:paraId="3D80C2B0" w14:textId="77777777" w:rsidR="00DB2B68" w:rsidRDefault="00000000">
      <w:pPr>
        <w:pStyle w:val="pheading"/>
      </w:pPr>
      <w:r>
        <w:t>- Exécution</w:t>
      </w:r>
    </w:p>
    <w:p w14:paraId="0FB99FB3" w14:textId="77777777" w:rsidR="00DB2B68" w:rsidRDefault="00000000">
      <w:r>
        <w:t>32.45.1b Isolation à injecter - mousse de polyuréthane (PUR)</w:t>
      </w:r>
    </w:p>
    <w:p w14:paraId="5F304D9F" w14:textId="77777777" w:rsidR="00DB2B68" w:rsidRDefault="00000000">
      <w:pPr>
        <w:pStyle w:val="pheading"/>
      </w:pPr>
      <w:r>
        <w:t>MESURAGE</w:t>
      </w:r>
    </w:p>
    <w:p w14:paraId="5B1EC46C" w14:textId="77777777" w:rsidR="00DB2B68" w:rsidRDefault="00000000">
      <w:pPr>
        <w:pStyle w:val="pheading"/>
      </w:pPr>
      <w:r>
        <w:t>- unité de mesure:</w:t>
      </w:r>
    </w:p>
    <w:p w14:paraId="46624025" w14:textId="77777777" w:rsidR="00DB2B68" w:rsidRDefault="00000000">
      <w:r>
        <w:t>m³</w:t>
      </w:r>
    </w:p>
    <w:p w14:paraId="4243AE46" w14:textId="77777777" w:rsidR="00DB2B68" w:rsidRDefault="00000000">
      <w:pPr>
        <w:pStyle w:val="pheading"/>
      </w:pPr>
      <w:r>
        <w:lastRenderedPageBreak/>
        <w:t>- code de mesurage:</w:t>
      </w:r>
    </w:p>
    <w:p w14:paraId="39817D4F" w14:textId="77777777" w:rsidR="00DB2B68" w:rsidRDefault="00000000">
      <w:r>
        <w:t>Volume net de la construction à isoler, sans déduction des éléments de structure interposés.</w:t>
      </w:r>
      <w:r>
        <w:br/>
        <w:t>Les ouvertures supérieures à 0,5 m² multipliées par l’épaisseur à réaliser sont déduites.</w:t>
      </w:r>
    </w:p>
    <w:p w14:paraId="37B11D49" w14:textId="77777777" w:rsidR="00DB2B68" w:rsidRDefault="00000000">
      <w:pPr>
        <w:pStyle w:val="pheading"/>
      </w:pPr>
      <w:r>
        <w:t>- nature du marché:</w:t>
      </w:r>
    </w:p>
    <w:p w14:paraId="20BD4E57" w14:textId="77777777" w:rsidR="00DB2B68" w:rsidRDefault="00000000">
      <w:r>
        <w:t>QF</w:t>
      </w:r>
    </w:p>
    <w:p w14:paraId="19732AC3" w14:textId="77777777" w:rsidR="00DB2B68" w:rsidRDefault="00000000">
      <w:pPr>
        <w:pStyle w:val="Author-eSectionHeading6Numberless"/>
      </w:pPr>
      <w:bookmarkStart w:id="1998" w:name="_Toc220496939"/>
      <w:r>
        <w:t>26.45.1c Isolation à injecter - mousse de polyisocyanurate (PIR) CCTB 01.04</w:t>
      </w:r>
      <w:bookmarkEnd w:id="1998"/>
    </w:p>
    <w:p w14:paraId="723C356E" w14:textId="77777777" w:rsidR="00DB2B68" w:rsidRDefault="00000000">
      <w:pPr>
        <w:pStyle w:val="Author-eSectionHeading6Numberless"/>
      </w:pPr>
      <w:bookmarkStart w:id="1999" w:name="_Toc220496940"/>
      <w:r>
        <w:t>26.45.1d Isolation à injecter - mousse phénolique (PF) CCTB 01.02</w:t>
      </w:r>
      <w:bookmarkEnd w:id="1999"/>
    </w:p>
    <w:p w14:paraId="0ADABED1" w14:textId="77777777" w:rsidR="00DB2B68" w:rsidRDefault="00000000">
      <w:pPr>
        <w:pStyle w:val="Author-eSectionHeading4Numberless"/>
      </w:pPr>
      <w:bookmarkStart w:id="2000" w:name="_Toc220496941"/>
      <w:r>
        <w:t>26.46 Isolation à verser en vrac CCTB 01.02</w:t>
      </w:r>
      <w:bookmarkEnd w:id="2000"/>
    </w:p>
    <w:p w14:paraId="04D7032A" w14:textId="77777777" w:rsidR="00DB2B68" w:rsidRDefault="00000000">
      <w:pPr>
        <w:pStyle w:val="Author-eSectionHeading5Numberless"/>
      </w:pPr>
      <w:bookmarkStart w:id="2001" w:name="_Toc220496942"/>
      <w:r>
        <w:t>26.46.1 Isolation à verser en vrac - matières synthétiques CCTB 01.02</w:t>
      </w:r>
      <w:bookmarkEnd w:id="2001"/>
    </w:p>
    <w:p w14:paraId="47A10E51" w14:textId="77777777" w:rsidR="00DB2B68" w:rsidRDefault="00000000">
      <w:pPr>
        <w:pStyle w:val="Author-eSectionHeading5Numberless"/>
      </w:pPr>
      <w:bookmarkStart w:id="2002" w:name="_Toc220496943"/>
      <w:r>
        <w:t>26.46.2 Isolation à verser en vrac - matières minérales CCTB 01.02</w:t>
      </w:r>
      <w:bookmarkEnd w:id="2002"/>
    </w:p>
    <w:p w14:paraId="08AF0BC7" w14:textId="77777777" w:rsidR="00DB2B68" w:rsidRDefault="00000000">
      <w:pPr>
        <w:pStyle w:val="Author-eSectionHeading6Numberless"/>
      </w:pPr>
      <w:bookmarkStart w:id="2003" w:name="_Toc220496944"/>
      <w:r>
        <w:t>26.46.2a Isolation à verser en vrac - laine de verre CCTB 01.02</w:t>
      </w:r>
      <w:bookmarkEnd w:id="2003"/>
    </w:p>
    <w:p w14:paraId="3E63764F" w14:textId="77777777" w:rsidR="00DB2B68" w:rsidRDefault="00000000">
      <w:pPr>
        <w:pStyle w:val="Author-eSectionHeading6Numberless"/>
      </w:pPr>
      <w:bookmarkStart w:id="2004" w:name="_Toc220496945"/>
      <w:r>
        <w:t>26.46.2b Isolation à verser en vrac - laine de roche CCTB 01.02</w:t>
      </w:r>
      <w:bookmarkEnd w:id="2004"/>
    </w:p>
    <w:p w14:paraId="08BE8434" w14:textId="77777777" w:rsidR="00DB2B68" w:rsidRDefault="00000000">
      <w:pPr>
        <w:pStyle w:val="Author-eSectionHeading6Numberless"/>
      </w:pPr>
      <w:bookmarkStart w:id="2005" w:name="_Toc220496946"/>
      <w:r>
        <w:t>26.46.2c Isolation à verser en vrac - fibres de verre CCTB 01.02</w:t>
      </w:r>
      <w:bookmarkEnd w:id="2005"/>
    </w:p>
    <w:p w14:paraId="0FE267A8" w14:textId="77777777" w:rsidR="00DB2B68" w:rsidRDefault="00000000">
      <w:pPr>
        <w:pStyle w:val="Author-eSectionHeading6Numberless"/>
      </w:pPr>
      <w:bookmarkStart w:id="2006" w:name="_Toc220496947"/>
      <w:r>
        <w:t>26.46.2d Isolation à verser en vrac - vermiculite expansée (EV) CCTB 01.04</w:t>
      </w:r>
      <w:bookmarkEnd w:id="2006"/>
    </w:p>
    <w:p w14:paraId="7BAF4450" w14:textId="77777777" w:rsidR="00DB2B68" w:rsidRDefault="00000000">
      <w:pPr>
        <w:pStyle w:val="Author-eSectionHeading6Numberless"/>
      </w:pPr>
      <w:bookmarkStart w:id="2007" w:name="_Toc220496948"/>
      <w:r>
        <w:t>26.46.2e Isolation à verser en vrac - perlite expansée (EPB) CCTB 01.04</w:t>
      </w:r>
      <w:bookmarkEnd w:id="2007"/>
    </w:p>
    <w:p w14:paraId="0DDC9851" w14:textId="77777777" w:rsidR="00DB2B68" w:rsidRDefault="00000000">
      <w:pPr>
        <w:pStyle w:val="Author-eSectionHeading6Numberless"/>
      </w:pPr>
      <w:bookmarkStart w:id="2008" w:name="_Toc220496949"/>
      <w:r>
        <w:t>26.46.2f (titre réservé)</w:t>
      </w:r>
      <w:bookmarkEnd w:id="2008"/>
    </w:p>
    <w:p w14:paraId="62CC1A97" w14:textId="77777777" w:rsidR="00DB2B68" w:rsidRDefault="00000000">
      <w:pPr>
        <w:pStyle w:val="Author-eSectionHeading5Numberless"/>
      </w:pPr>
      <w:bookmarkStart w:id="2009" w:name="_Toc220496950"/>
      <w:r>
        <w:t>26.46.3 Isolation à verser en vrac - matières végétales CCTB 01.02</w:t>
      </w:r>
      <w:bookmarkEnd w:id="2009"/>
    </w:p>
    <w:p w14:paraId="4B24F16A" w14:textId="77777777" w:rsidR="00DB2B68" w:rsidRDefault="00000000">
      <w:pPr>
        <w:pStyle w:val="Author-eSectionHeading6Numberless"/>
      </w:pPr>
      <w:bookmarkStart w:id="2010" w:name="_Toc220496951"/>
      <w:r>
        <w:t>26.46.3a (titre réservé) CCTB 01.04</w:t>
      </w:r>
      <w:bookmarkEnd w:id="2010"/>
    </w:p>
    <w:p w14:paraId="634E5230" w14:textId="77777777" w:rsidR="00DB2B68" w:rsidRDefault="00000000">
      <w:pPr>
        <w:pStyle w:val="Author-eSectionHeading6Numberless"/>
      </w:pPr>
      <w:bookmarkStart w:id="2011" w:name="_Toc220496952"/>
      <w:r>
        <w:t>26.46.3b Isolation à verser en vrac - granulés d'argile expansée (LWA) CCTB 01.04</w:t>
      </w:r>
      <w:bookmarkEnd w:id="2011"/>
    </w:p>
    <w:p w14:paraId="4EB3DDBE" w14:textId="77777777" w:rsidR="00DB2B68" w:rsidRDefault="00000000">
      <w:pPr>
        <w:pStyle w:val="Author-eSectionHeading6Numberless"/>
      </w:pPr>
      <w:bookmarkStart w:id="2012" w:name="_Toc220496953"/>
      <w:r>
        <w:t>26.46.3c (titre réservé) CCTB 01.04</w:t>
      </w:r>
      <w:bookmarkEnd w:id="2012"/>
    </w:p>
    <w:p w14:paraId="654EA7D9" w14:textId="77777777" w:rsidR="00DB2B68" w:rsidRDefault="00000000">
      <w:pPr>
        <w:pStyle w:val="Author-eSectionHeading6Numberless"/>
      </w:pPr>
      <w:bookmarkStart w:id="2013" w:name="_Toc220496954"/>
      <w:r>
        <w:t>26.46.3d (titre réservé) CCTB 01.04</w:t>
      </w:r>
      <w:bookmarkEnd w:id="2013"/>
    </w:p>
    <w:p w14:paraId="158A2A45" w14:textId="77777777" w:rsidR="00DB2B68" w:rsidRDefault="00000000">
      <w:pPr>
        <w:pStyle w:val="Author-eSectionHeading6Numberless"/>
      </w:pPr>
      <w:bookmarkStart w:id="2014" w:name="_Toc220496955"/>
      <w:r>
        <w:t>26.46.3e (titre réservé) CCTB 01.04</w:t>
      </w:r>
      <w:bookmarkEnd w:id="2014"/>
    </w:p>
    <w:p w14:paraId="708444E6" w14:textId="77777777" w:rsidR="00DB2B68" w:rsidRDefault="00000000">
      <w:pPr>
        <w:pStyle w:val="Author-eSectionHeading6Numberless"/>
      </w:pPr>
      <w:bookmarkStart w:id="2015" w:name="_Toc220496956"/>
      <w:r>
        <w:t>26.46.3f (titre réservé) CCTB 01.04</w:t>
      </w:r>
      <w:bookmarkEnd w:id="2015"/>
    </w:p>
    <w:p w14:paraId="1D540F5D" w14:textId="77777777" w:rsidR="00DB2B68" w:rsidRDefault="00000000">
      <w:pPr>
        <w:pStyle w:val="Author-eSectionHeading6Numberless"/>
      </w:pPr>
      <w:bookmarkStart w:id="2016" w:name="_Toc220496957"/>
      <w:r>
        <w:t>26.46.3g Isolation à verser en vrac - granulés de liège expansé CCTB 01.13</w:t>
      </w:r>
      <w:bookmarkEnd w:id="2016"/>
    </w:p>
    <w:p w14:paraId="3CDE142A" w14:textId="77777777" w:rsidR="00DB2B68" w:rsidRDefault="00000000">
      <w:pPr>
        <w:pStyle w:val="pheading"/>
      </w:pPr>
      <w:r>
        <w:t>DESCRIPTION</w:t>
      </w:r>
    </w:p>
    <w:p w14:paraId="2EB85DA2" w14:textId="77777777" w:rsidR="00DB2B68" w:rsidRDefault="00000000">
      <w:pPr>
        <w:pStyle w:val="pheading"/>
      </w:pPr>
      <w:r>
        <w:t>- Définition / Comprend</w:t>
      </w:r>
    </w:p>
    <w:p w14:paraId="71ECE98A" w14:textId="77777777" w:rsidR="00DB2B68" w:rsidRDefault="00000000">
      <w:pPr>
        <w:jc w:val="both"/>
      </w:pPr>
      <w:r>
        <w:t>Il s’agit de la fourniture et de la pose d’une isolation thermique au moyen de granulés de liège expansé fournis en vrac. Ces isolants sont utilisés au niveau des parois et planchers.</w:t>
      </w:r>
    </w:p>
    <w:p w14:paraId="28C83D3C" w14:textId="77777777" w:rsidR="00DB2B68" w:rsidRDefault="00000000">
      <w:pPr>
        <w:pStyle w:val="pheading"/>
      </w:pPr>
      <w:r>
        <w:t>- Localisation</w:t>
      </w:r>
    </w:p>
    <w:p w14:paraId="24E1E211" w14:textId="77777777" w:rsidR="00DB2B68" w:rsidRDefault="00000000">
      <w:r>
        <w:t xml:space="preserve">Localisation des travaux : </w:t>
      </w:r>
      <w:r>
        <w:rPr>
          <w:rStyle w:val="optioncarChar"/>
        </w:rPr>
        <w:t>***</w:t>
      </w:r>
      <w:r>
        <w:t>.</w:t>
      </w:r>
    </w:p>
    <w:p w14:paraId="08AA73A8" w14:textId="77777777" w:rsidR="00DB2B68" w:rsidRDefault="00000000">
      <w:r>
        <w:t>Voir plans et métrés détaillés.</w:t>
      </w:r>
    </w:p>
    <w:p w14:paraId="0E23A078" w14:textId="77777777" w:rsidR="00DB2B68" w:rsidRDefault="00000000">
      <w:pPr>
        <w:pStyle w:val="pheading"/>
      </w:pPr>
      <w:r>
        <w:t>MATÉRIAUX</w:t>
      </w:r>
    </w:p>
    <w:p w14:paraId="07CFC40F" w14:textId="77777777" w:rsidR="00DB2B68" w:rsidRDefault="00000000">
      <w:pPr>
        <w:pStyle w:val="pheading"/>
      </w:pPr>
      <w:r>
        <w:t>- Caractéristiques générales</w:t>
      </w:r>
    </w:p>
    <w:p w14:paraId="48A12A39" w14:textId="77777777" w:rsidR="00DB2B68" w:rsidRDefault="00000000">
      <w:pPr>
        <w:jc w:val="both"/>
      </w:pPr>
      <w:r>
        <w:t xml:space="preserve">Épaisseur après mise en œuvre : </w:t>
      </w:r>
      <w:r>
        <w:rPr>
          <w:rStyle w:val="optioncarChar"/>
        </w:rPr>
        <w:t>***</w:t>
      </w:r>
      <w:r>
        <w:t xml:space="preserve"> cm.</w:t>
      </w:r>
    </w:p>
    <w:p w14:paraId="69DD9E14" w14:textId="77777777" w:rsidR="00DB2B68" w:rsidRDefault="00000000">
      <w:pPr>
        <w:jc w:val="both"/>
      </w:pPr>
      <w:r>
        <w:t xml:space="preserve">La masse volumique de produit en vrac déterminée suivant la [NBN EN 1097-3] est inférieure à </w:t>
      </w:r>
      <w:r>
        <w:rPr>
          <w:rStyle w:val="optioncarChar"/>
        </w:rPr>
        <w:t xml:space="preserve">100 </w:t>
      </w:r>
      <w:r>
        <w:t>(par défaut)</w:t>
      </w:r>
      <w:r>
        <w:rPr>
          <w:rStyle w:val="optioncarChar"/>
        </w:rPr>
        <w:t xml:space="preserve"> / ***</w:t>
      </w:r>
      <w:r>
        <w:t xml:space="preserve"> kg/m³.</w:t>
      </w:r>
    </w:p>
    <w:p w14:paraId="76064924" w14:textId="77777777" w:rsidR="00DB2B68" w:rsidRDefault="00000000">
      <w:pPr>
        <w:jc w:val="both"/>
      </w:pPr>
      <w:r>
        <w:lastRenderedPageBreak/>
        <w:t xml:space="preserve">L’absorption d’eau mesurée suivant la [NBN EN 1097-6] est inférieure à </w:t>
      </w:r>
      <w:r>
        <w:rPr>
          <w:rStyle w:val="optioncarChar"/>
        </w:rPr>
        <w:t xml:space="preserve">15 </w:t>
      </w:r>
      <w:r>
        <w:t>(par défaut)</w:t>
      </w:r>
      <w:r>
        <w:rPr>
          <w:rStyle w:val="optioncarChar"/>
        </w:rPr>
        <w:t xml:space="preserve"> / ***</w:t>
      </w:r>
      <w:r>
        <w:t xml:space="preserve"> %.</w:t>
      </w:r>
    </w:p>
    <w:p w14:paraId="6A30EF26" w14:textId="77777777" w:rsidR="00DB2B68" w:rsidRDefault="00000000">
      <w:pPr>
        <w:jc w:val="both"/>
      </w:pPr>
      <w:r>
        <w:t xml:space="preserve">La hauteur d’absorption d’eau suivant la [NBN EN 1097-10] est inférieure à </w:t>
      </w:r>
      <w:r>
        <w:rPr>
          <w:rStyle w:val="optioncarChar"/>
        </w:rPr>
        <w:t>60</w:t>
      </w:r>
      <w:r>
        <w:t xml:space="preserve"> (par défaut)</w:t>
      </w:r>
      <w:r>
        <w:rPr>
          <w:rStyle w:val="optioncarChar"/>
        </w:rPr>
        <w:t xml:space="preserve"> / ***</w:t>
      </w:r>
      <w:r>
        <w:t xml:space="preserve"> mm.</w:t>
      </w:r>
    </w:p>
    <w:p w14:paraId="7253756B" w14:textId="77777777" w:rsidR="00DB2B68" w:rsidRDefault="00000000">
      <w:pPr>
        <w:jc w:val="both"/>
      </w:pPr>
      <w:r>
        <w:t xml:space="preserve">La résistance à la compression avec 10% de déformation déterminée suivant la [NBN EN 13055] est supérieure à </w:t>
      </w:r>
      <w:r>
        <w:rPr>
          <w:rStyle w:val="optioncarChar"/>
        </w:rPr>
        <w:t xml:space="preserve">80 </w:t>
      </w:r>
      <w:r>
        <w:t>(par défaut)</w:t>
      </w:r>
      <w:r>
        <w:rPr>
          <w:rStyle w:val="optioncarChar"/>
        </w:rPr>
        <w:t xml:space="preserve"> / ***</w:t>
      </w:r>
      <w:r>
        <w:t xml:space="preserve"> kPa.</w:t>
      </w:r>
    </w:p>
    <w:p w14:paraId="06CC8A4D" w14:textId="77777777" w:rsidR="00DB2B68" w:rsidRDefault="00000000">
      <w:pPr>
        <w:jc w:val="both"/>
      </w:pPr>
      <w:r>
        <w:t>Conductivité thermique (selon [NBN EN 12667] ou selon [NBN EN 12939] pour les produits épais) : valeur λ = max. </w:t>
      </w:r>
      <w:r>
        <w:rPr>
          <w:rStyle w:val="optioncarChar"/>
        </w:rPr>
        <w:t xml:space="preserve">0.050 </w:t>
      </w:r>
      <w:r>
        <w:t xml:space="preserve">(par défaut) </w:t>
      </w:r>
      <w:r>
        <w:rPr>
          <w:rStyle w:val="optioncarChar"/>
        </w:rPr>
        <w:t>/ ***</w:t>
      </w:r>
      <w:r>
        <w:t> W/mK</w:t>
      </w:r>
    </w:p>
    <w:p w14:paraId="6FE26C55" w14:textId="77777777" w:rsidR="00DB2B68" w:rsidRDefault="00000000">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5C62FA34" w14:textId="77777777" w:rsidR="00DB2B68" w:rsidRDefault="00000000">
      <w:pPr>
        <w:jc w:val="both"/>
      </w:pPr>
      <w:r>
        <w:t>Absorption acoustique (déterminée selon [NBN EN ISO 354] et [NBN EN ISO 11654]) : </w:t>
      </w:r>
      <w:r>
        <w:rPr>
          <w:rStyle w:val="optioncarChar"/>
        </w:rPr>
        <w:t>*** </w:t>
      </w:r>
    </w:p>
    <w:p w14:paraId="5C258A82" w14:textId="77777777" w:rsidR="00DB2B68" w:rsidRDefault="00000000">
      <w:pPr>
        <w:jc w:val="both"/>
      </w:pPr>
      <w:r>
        <w:t>Les granulés de liège expansé en vrac ne contiennent pas de liant complémentaire.</w:t>
      </w:r>
    </w:p>
    <w:p w14:paraId="273F9377" w14:textId="77777777" w:rsidR="00DB2B68" w:rsidRDefault="00000000">
      <w:pPr>
        <w:jc w:val="both"/>
      </w:pPr>
      <w:r>
        <w:t xml:space="preserve">Résistance fongique selon [NBN EN ISO 846] : </w:t>
      </w:r>
      <w:r>
        <w:rPr>
          <w:rStyle w:val="optioncarChar"/>
        </w:rPr>
        <w:t xml:space="preserve">classe 0 -inerte </w:t>
      </w:r>
      <w:r>
        <w:t>(par défaut)</w:t>
      </w:r>
      <w:r>
        <w:rPr>
          <w:rStyle w:val="optioncarChar"/>
        </w:rPr>
        <w:t xml:space="preserve"> / ***.</w:t>
      </w:r>
    </w:p>
    <w:p w14:paraId="4D0907D5" w14:textId="77777777" w:rsidR="00DB2B68" w:rsidRDefault="00000000">
      <w:pPr>
        <w:jc w:val="both"/>
      </w:pPr>
      <w:r>
        <w:t> </w:t>
      </w:r>
    </w:p>
    <w:p w14:paraId="6E7E5AC8" w14:textId="77777777" w:rsidR="00DB2B68" w:rsidRDefault="00000000">
      <w:pPr>
        <w:jc w:val="both"/>
      </w:pPr>
      <w:r>
        <w:t>Les adjuvants ignifuges et biocides sont de type : pas d’adjuvant</w:t>
      </w:r>
    </w:p>
    <w:p w14:paraId="006D93C9" w14:textId="77777777" w:rsidR="00DB2B68" w:rsidRDefault="00000000">
      <w:pPr>
        <w:pStyle w:val="pheading"/>
      </w:pPr>
      <w:r>
        <w:t>- Prescriptions complémentaires</w:t>
      </w:r>
    </w:p>
    <w:p w14:paraId="06CB3381" w14:textId="77777777" w:rsidR="00DB2B68" w:rsidRDefault="00000000">
      <w:pPr>
        <w:jc w:val="both"/>
      </w:pPr>
      <w:r>
        <w:rPr>
          <w:rStyle w:val="facultChar"/>
        </w:rPr>
        <w:t>Applications spécifiques: le matériau dispose d'une déclaration d'aptitude à l'utilisation suivant les prescriptions de l'élément 02.42.1 Critères d'acceptabilité.</w:t>
      </w:r>
    </w:p>
    <w:p w14:paraId="3C839928" w14:textId="77777777" w:rsidR="00DB2B68" w:rsidRDefault="00000000">
      <w:pPr>
        <w:ind w:left="750"/>
      </w:pPr>
      <w:r>
        <w:t> </w:t>
      </w:r>
    </w:p>
    <w:p w14:paraId="1F9768D7" w14:textId="77777777" w:rsidR="00DB2B68" w:rsidRDefault="00000000">
      <w:pPr>
        <w:pStyle w:val="pheading"/>
      </w:pPr>
      <w:r>
        <w:t>EXÉCUTION / MISE EN ŒUVRE</w:t>
      </w:r>
    </w:p>
    <w:p w14:paraId="0E9DBF0C" w14:textId="77777777" w:rsidR="00DB2B68" w:rsidRDefault="00000000">
      <w:pPr>
        <w:pStyle w:val="pheading"/>
      </w:pPr>
      <w:r>
        <w:t>- Prescriptions générales</w:t>
      </w:r>
    </w:p>
    <w:p w14:paraId="54B6F903" w14:textId="77777777" w:rsidR="00DB2B68" w:rsidRDefault="00000000">
      <w:pPr>
        <w:jc w:val="both"/>
      </w:pPr>
      <w:r>
        <w:t>Les granulés de liège expansé en vrac sont utilisés en parois et plancher.</w:t>
      </w:r>
    </w:p>
    <w:p w14:paraId="0A7BD723" w14:textId="77777777" w:rsidR="00DB2B68" w:rsidRDefault="00000000">
      <w:pPr>
        <w:jc w:val="both"/>
      </w:pPr>
      <w:r>
        <w:t xml:space="preserve">Lors de la mise en œuvre, les granulés de liège expansé sont appliqués </w:t>
      </w:r>
      <w:r>
        <w:rPr>
          <w:rStyle w:val="optioncarChar"/>
        </w:rPr>
        <w:t>sans compaction</w:t>
      </w:r>
      <w:r>
        <w:t xml:space="preserve"> (par défaut) </w:t>
      </w:r>
      <w:r>
        <w:rPr>
          <w:rStyle w:val="optioncarChar"/>
        </w:rPr>
        <w:t>/ en compaction manuelle / par vibration (aiguille vibrante) / ***</w:t>
      </w:r>
      <w:r>
        <w:t>.</w:t>
      </w:r>
    </w:p>
    <w:p w14:paraId="4BF91488" w14:textId="77777777" w:rsidR="00DB2B68" w:rsidRDefault="00000000">
      <w:pPr>
        <w:pStyle w:val="pheading"/>
      </w:pPr>
      <w:r>
        <w:t>- Notes d’exécution complémentaires</w:t>
      </w:r>
    </w:p>
    <w:p w14:paraId="2D9595CD" w14:textId="77777777" w:rsidR="00DB2B68" w:rsidRDefault="00000000">
      <w:pPr>
        <w:jc w:val="both"/>
      </w:pPr>
      <w:r>
        <w:rPr>
          <w:rStyle w:val="facultChar"/>
        </w:rPr>
        <w:t>L’application en parois ou en plancher pour des performances acoustiques nécessite l’interposition de blochets ou de bandes résilientes acoustiques entre les parois. </w:t>
      </w:r>
    </w:p>
    <w:p w14:paraId="5EA09EA1" w14:textId="77777777" w:rsidR="00DB2B68" w:rsidRDefault="00000000">
      <w:pPr>
        <w:pStyle w:val="pheading"/>
      </w:pPr>
      <w:r>
        <w:t>DOCUMENTS DE RÉFÉRENCE COMPLÉMENTAIRES</w:t>
      </w:r>
    </w:p>
    <w:p w14:paraId="52F2796D" w14:textId="77777777" w:rsidR="00DB2B68" w:rsidRDefault="00000000">
      <w:pPr>
        <w:pStyle w:val="pheading"/>
      </w:pPr>
      <w:r>
        <w:t>- Matériau</w:t>
      </w:r>
    </w:p>
    <w:p w14:paraId="3B293CDD"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810C433" w14:textId="77777777" w:rsidR="00DB2B6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643B12A" w14:textId="77777777" w:rsidR="00DB2B68" w:rsidRDefault="00000000">
      <w:r>
        <w:t>[NBN EN 1097-3, Essais pour déterminer les caractéristiques mécaniques et physiques des granulats - Partie 3: Méthode pour la détermination de la masse volumique en vrac et de la porosité intergranulaire]</w:t>
      </w:r>
    </w:p>
    <w:p w14:paraId="1DF093E4" w14:textId="77777777" w:rsidR="00DB2B68" w:rsidRDefault="00000000">
      <w:r>
        <w:t>[NBN EN 933-5, Essais pour déterminer les caractéristiques géométriques des granulats - Partie 5 : Détermination du pourcentage de surfaces cassées dans les gravillons et graves naturelles]</w:t>
      </w:r>
    </w:p>
    <w:p w14:paraId="31666094" w14:textId="77777777" w:rsidR="00DB2B68" w:rsidRDefault="00000000">
      <w:r>
        <w:t>[NBN EN 933-1, Essais pour déterminer les caractéristiques géométriques des granulats - Partie 1 : Détermination de la granularité - Analyse granulométrique par tamisage]</w:t>
      </w:r>
    </w:p>
    <w:p w14:paraId="3F93E3EF" w14:textId="77777777" w:rsidR="00DB2B68" w:rsidRDefault="00000000">
      <w:r>
        <w:t>[NBN EN 1097-6, Essais pour déterminer les caractéristiques mécaniques et physiques des granulats - Partie 6 : Détermination de la masse volumique et du coefficient d'absorption d'eau]</w:t>
      </w:r>
    </w:p>
    <w:p w14:paraId="279C1D52" w14:textId="77777777" w:rsidR="00DB2B68" w:rsidRDefault="00000000">
      <w:r>
        <w:t>[NBN EN 1097-10, Essais pour déterminer les caractéristiques mécaniques et physiques des granulats - Partie 10: Hauteur de succion d'eau]</w:t>
      </w:r>
    </w:p>
    <w:p w14:paraId="2B1D8FEF" w14:textId="77777777" w:rsidR="00DB2B68" w:rsidRDefault="00000000">
      <w:r>
        <w:lastRenderedPageBreak/>
        <w:t>[NBN EN ISO 354, Acoustique - Mesurage de l'absorption acoustique en salle réverbérante (ISO 354:2003)]</w:t>
      </w:r>
    </w:p>
    <w:p w14:paraId="28277FB2" w14:textId="77777777" w:rsidR="00DB2B68" w:rsidRDefault="00000000">
      <w:r>
        <w:t>[NBN EN ISO 11654, Acoustique - Absorbants pour l'utilisation dans les bâtiments - Evaluation de l'absorption acoustique (ISO 11654:1997)]</w:t>
      </w:r>
    </w:p>
    <w:p w14:paraId="0E5A882A" w14:textId="77777777" w:rsidR="00DB2B68" w:rsidRDefault="00000000">
      <w:r>
        <w:t>[NBN EN 13501-1, Classement au feu des produits et éléments de construction - Partie 1: Classement à partir des données d'essais de réaction au feu]</w:t>
      </w:r>
    </w:p>
    <w:p w14:paraId="42266516" w14:textId="77777777" w:rsidR="00DB2B68" w:rsidRDefault="00000000">
      <w:pPr>
        <w:pStyle w:val="pheading"/>
      </w:pPr>
      <w:r>
        <w:t>MESURAGE</w:t>
      </w:r>
    </w:p>
    <w:p w14:paraId="5600CED0" w14:textId="77777777" w:rsidR="00DB2B68" w:rsidRDefault="00000000">
      <w:pPr>
        <w:pStyle w:val="pheading"/>
      </w:pPr>
      <w:r>
        <w:t>- unité de mesure:</w:t>
      </w:r>
    </w:p>
    <w:p w14:paraId="780AE8E3" w14:textId="77777777" w:rsidR="00DB2B68" w:rsidRDefault="00000000">
      <w:r>
        <w:rPr>
          <w:rStyle w:val="optioncarChar"/>
        </w:rPr>
        <w:t xml:space="preserve">m² </w:t>
      </w:r>
      <w:r>
        <w:t>(par défaut)</w:t>
      </w:r>
      <w:r>
        <w:rPr>
          <w:rStyle w:val="optioncarChar"/>
        </w:rPr>
        <w:t xml:space="preserve"> / m³</w:t>
      </w:r>
    </w:p>
    <w:p w14:paraId="559538CF" w14:textId="77777777" w:rsidR="00DB2B68" w:rsidRDefault="00000000">
      <w:r>
        <w:rPr>
          <w:b/>
          <w:i/>
        </w:rPr>
        <w:t>(Soit par défaut)</w:t>
      </w:r>
    </w:p>
    <w:p w14:paraId="58B15037" w14:textId="77777777" w:rsidR="00DB2B68" w:rsidRDefault="00000000">
      <w:r>
        <w:rPr>
          <w:rStyle w:val="soitChar"/>
        </w:rPr>
        <w:t>1. m²</w:t>
      </w:r>
    </w:p>
    <w:p w14:paraId="255F20DA" w14:textId="77777777" w:rsidR="00DB2B68" w:rsidRDefault="00000000">
      <w:r>
        <w:rPr>
          <w:b/>
          <w:i/>
        </w:rPr>
        <w:t>(Soit)</w:t>
      </w:r>
    </w:p>
    <w:p w14:paraId="4D7C20FD" w14:textId="77777777" w:rsidR="00DB2B68" w:rsidRDefault="00000000">
      <w:r>
        <w:rPr>
          <w:rStyle w:val="soitChar"/>
        </w:rPr>
        <w:t>2. m³</w:t>
      </w:r>
    </w:p>
    <w:p w14:paraId="2E0A62ED" w14:textId="77777777" w:rsidR="00DB2B68" w:rsidRDefault="00000000">
      <w:pPr>
        <w:pStyle w:val="pheading"/>
      </w:pPr>
      <w:r>
        <w:t>- code de mesurage:</w:t>
      </w:r>
    </w:p>
    <w:p w14:paraId="5F81EFD8" w14:textId="77777777" w:rsidR="00DB2B68" w:rsidRDefault="00000000">
      <w:pPr>
        <w:jc w:val="both"/>
      </w:pPr>
      <w:r>
        <w:rPr>
          <w:rStyle w:val="optioncarChar"/>
        </w:rPr>
        <w:t xml:space="preserve">Surface nette </w:t>
      </w:r>
      <w:r>
        <w:t xml:space="preserve">(par défaut) </w:t>
      </w:r>
      <w:r>
        <w:rPr>
          <w:rStyle w:val="optioncarChar"/>
        </w:rPr>
        <w:t>/ Volume net</w:t>
      </w:r>
    </w:p>
    <w:p w14:paraId="16DB11D4" w14:textId="77777777" w:rsidR="00DB2B68" w:rsidRDefault="00000000">
      <w:pPr>
        <w:jc w:val="both"/>
      </w:pPr>
      <w:r>
        <w:rPr>
          <w:b/>
          <w:i/>
        </w:rPr>
        <w:t>(Soit par défaut)</w:t>
      </w:r>
    </w:p>
    <w:p w14:paraId="6D47BC1E" w14:textId="77777777" w:rsidR="00DB2B68" w:rsidRDefault="00000000">
      <w:pPr>
        <w:jc w:val="both"/>
      </w:pPr>
      <w:r>
        <w:rPr>
          <w:rStyle w:val="soitChar"/>
          <w:b/>
        </w:rPr>
        <w:t>1. 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7408BD63" w14:textId="77777777" w:rsidR="00DB2B68" w:rsidRDefault="00000000">
      <w:pPr>
        <w:jc w:val="both"/>
      </w:pPr>
      <w:r>
        <w:rPr>
          <w:b/>
          <w:i/>
        </w:rPr>
        <w:t>(Soit)</w:t>
      </w:r>
    </w:p>
    <w:p w14:paraId="0E566DCA" w14:textId="77777777" w:rsidR="00DB2B68" w:rsidRDefault="00000000">
      <w:pPr>
        <w:jc w:val="both"/>
      </w:pPr>
      <w:r>
        <w:rPr>
          <w:rStyle w:val="soitChar"/>
          <w:b/>
        </w:rPr>
        <w:t>2. Volume net</w:t>
      </w:r>
      <w:r>
        <w:rPr>
          <w:rStyle w:val="soitChar"/>
        </w:rPr>
        <w:t xml:space="preserve"> de la construction à isoler, sans déduction des éléments de structure interposés (chevrons / fermes / solives / …). Les ouvertures supérieures à 0,5 m² multipliées par l’épaisseur à réaliser sont déduites. Suivant la densité prescrite.</w:t>
      </w:r>
    </w:p>
    <w:p w14:paraId="24BE8460" w14:textId="77777777" w:rsidR="00DB2B68" w:rsidRDefault="00000000">
      <w:pPr>
        <w:pStyle w:val="pheading"/>
      </w:pPr>
      <w:r>
        <w:t>- nature du marché:</w:t>
      </w:r>
    </w:p>
    <w:p w14:paraId="3BE90DDF" w14:textId="77777777" w:rsidR="00DB2B68" w:rsidRDefault="00000000">
      <w:r>
        <w:t>QF</w:t>
      </w:r>
    </w:p>
    <w:p w14:paraId="76C60A49" w14:textId="77777777" w:rsidR="00DB2B68" w:rsidRDefault="00000000">
      <w:pPr>
        <w:pStyle w:val="Author-eSectionHeading6Numberless"/>
      </w:pPr>
      <w:bookmarkStart w:id="2017" w:name="_Toc220496958"/>
      <w:r>
        <w:t>26.46.3h (titre réservé)</w:t>
      </w:r>
      <w:bookmarkEnd w:id="2017"/>
    </w:p>
    <w:p w14:paraId="26859067" w14:textId="77777777" w:rsidR="00DB2B68" w:rsidRDefault="00000000">
      <w:pPr>
        <w:pStyle w:val="Author-eSectionHeading5Numberless"/>
      </w:pPr>
      <w:bookmarkStart w:id="2018" w:name="_Toc220496959"/>
      <w:r>
        <w:t>26.46.4 (titre réservé) CCTB 01.04</w:t>
      </w:r>
      <w:bookmarkEnd w:id="2018"/>
    </w:p>
    <w:p w14:paraId="6D0178E3" w14:textId="77777777" w:rsidR="00DB2B68" w:rsidRDefault="00000000">
      <w:pPr>
        <w:pStyle w:val="Author-eSectionHeading4Numberless"/>
      </w:pPr>
      <w:bookmarkStart w:id="2019" w:name="_Toc220496960"/>
      <w:r>
        <w:t>26.47 Isolation en blocs CCTB 01.11</w:t>
      </w:r>
      <w:bookmarkEnd w:id="2019"/>
    </w:p>
    <w:p w14:paraId="6C878284" w14:textId="77777777" w:rsidR="00DB2B68" w:rsidRDefault="00000000">
      <w:pPr>
        <w:pStyle w:val="pheading"/>
      </w:pPr>
      <w:r>
        <w:t>DESCRIPTION</w:t>
      </w:r>
    </w:p>
    <w:p w14:paraId="25A6EB14" w14:textId="77777777" w:rsidR="00DB2B68" w:rsidRDefault="00000000">
      <w:pPr>
        <w:pStyle w:val="pheading"/>
      </w:pPr>
      <w:r>
        <w:t>- Définition / Comprend</w:t>
      </w:r>
    </w:p>
    <w:p w14:paraId="0F95321D" w14:textId="77777777" w:rsidR="00DB2B68" w:rsidRDefault="00000000">
      <w:pPr>
        <w:jc w:val="both"/>
      </w:pPr>
      <w:r>
        <w:t>Le travail comprend notamment :</w:t>
      </w:r>
    </w:p>
    <w:p w14:paraId="69B03FD3" w14:textId="77777777" w:rsidR="00DB2B68" w:rsidRDefault="00000000">
      <w:pPr>
        <w:pStyle w:val="Author-eListParagraph"/>
        <w:numPr>
          <w:ilvl w:val="0"/>
          <w:numId w:val="1141"/>
        </w:numPr>
        <w:jc w:val="both"/>
      </w:pPr>
      <w:r>
        <w:t>La préparation et nettoyage du sol sur lesquels les parois sont exécutées.</w:t>
      </w:r>
    </w:p>
    <w:p w14:paraId="298D71D2" w14:textId="77777777" w:rsidR="00DB2B68" w:rsidRDefault="00000000">
      <w:pPr>
        <w:pStyle w:val="Author-eListParagraph"/>
        <w:numPr>
          <w:ilvl w:val="0"/>
          <w:numId w:val="1141"/>
        </w:numPr>
        <w:jc w:val="both"/>
      </w:pPr>
      <w:r>
        <w:t>La livraison et la pose des blocs, y compris tous les supports temporaires et travaux d’étayage.</w:t>
      </w:r>
    </w:p>
    <w:p w14:paraId="32545BE8" w14:textId="77777777" w:rsidR="00DB2B68" w:rsidRDefault="00000000">
      <w:pPr>
        <w:pStyle w:val="Author-eListParagraph"/>
        <w:numPr>
          <w:ilvl w:val="0"/>
          <w:numId w:val="1141"/>
        </w:numPr>
        <w:jc w:val="both"/>
      </w:pPr>
      <w:r>
        <w:t>Les réservations prévues sur les plans.</w:t>
      </w:r>
    </w:p>
    <w:p w14:paraId="6956AC38" w14:textId="77777777" w:rsidR="00DB2B68" w:rsidRDefault="00000000">
      <w:pPr>
        <w:pStyle w:val="Author-eListParagraph"/>
        <w:numPr>
          <w:ilvl w:val="0"/>
          <w:numId w:val="1141"/>
        </w:numPr>
        <w:jc w:val="both"/>
      </w:pPr>
      <w:r>
        <w:t>La finition des bords et travaux de réparation en cas d’endommagement.</w:t>
      </w:r>
    </w:p>
    <w:p w14:paraId="3D19D17C" w14:textId="77777777" w:rsidR="00DB2B68" w:rsidRDefault="00000000">
      <w:pPr>
        <w:pStyle w:val="Author-eListParagraph"/>
        <w:numPr>
          <w:ilvl w:val="0"/>
          <w:numId w:val="1141"/>
        </w:numPr>
        <w:jc w:val="both"/>
      </w:pPr>
      <w:r>
        <w:t>Le remplissage des joints de dilatation éventuels selon les directives du fournisseur.</w:t>
      </w:r>
    </w:p>
    <w:p w14:paraId="22866687" w14:textId="77777777" w:rsidR="00DB2B68" w:rsidRDefault="00000000">
      <w:pPr>
        <w:pStyle w:val="Author-eListParagraph"/>
        <w:numPr>
          <w:ilvl w:val="0"/>
          <w:numId w:val="1141"/>
        </w:numPr>
        <w:jc w:val="both"/>
      </w:pPr>
      <w:r>
        <w:t>Le contrôle de toutes les dimensions et l’adaptation des éléments préfabriqués aux dimensions réelles ;</w:t>
      </w:r>
    </w:p>
    <w:p w14:paraId="191812C6" w14:textId="77777777" w:rsidR="00DB2B68" w:rsidRDefault="00000000">
      <w:pPr>
        <w:pStyle w:val="Author-eListParagraph"/>
        <w:numPr>
          <w:ilvl w:val="0"/>
          <w:numId w:val="1141"/>
        </w:numPr>
        <w:jc w:val="both"/>
      </w:pPr>
      <w:r>
        <w:t>Toutes les armatures éventuelles et toutes les pièces permettant leur placement et leur fixation ;</w:t>
      </w:r>
    </w:p>
    <w:p w14:paraId="4B950594" w14:textId="77777777" w:rsidR="00DB2B68" w:rsidRDefault="00000000">
      <w:pPr>
        <w:pStyle w:val="Author-eListParagraph"/>
        <w:numPr>
          <w:ilvl w:val="0"/>
          <w:numId w:val="1141"/>
        </w:numPr>
        <w:jc w:val="both"/>
      </w:pPr>
      <w:r>
        <w:t>Les armatures complémentaires de liaison, de renforcement et d’angle selon les indications figurant  sur le plan de pose;</w:t>
      </w:r>
    </w:p>
    <w:p w14:paraId="2F03DBD4" w14:textId="77777777" w:rsidR="00DB2B68" w:rsidRDefault="00000000">
      <w:pPr>
        <w:pStyle w:val="Author-eListParagraph"/>
        <w:numPr>
          <w:ilvl w:val="0"/>
          <w:numId w:val="1141"/>
        </w:numPr>
        <w:jc w:val="both"/>
      </w:pPr>
      <w:r>
        <w:lastRenderedPageBreak/>
        <w:t>Tous les moyens de liaisonnement éventuels, aussi bien entre les éléments, mais aussi avec les éléments de bord, … ;</w:t>
      </w:r>
    </w:p>
    <w:p w14:paraId="42151E6B" w14:textId="77777777" w:rsidR="00DB2B68" w:rsidRDefault="00000000">
      <w:pPr>
        <w:pStyle w:val="Author-eListParagraph"/>
        <w:numPr>
          <w:ilvl w:val="0"/>
          <w:numId w:val="1141"/>
        </w:numPr>
        <w:jc w:val="both"/>
      </w:pPr>
      <w:r>
        <w:t>L’enlèvement de tous les accessoires, éléments de coffrage, supports, étais et le nettoyage des faces visibles.</w:t>
      </w:r>
    </w:p>
    <w:p w14:paraId="3F3CD6DF" w14:textId="77777777" w:rsidR="00DB2B68" w:rsidRDefault="00000000">
      <w:pPr>
        <w:pStyle w:val="Author-eSectionHeading5Numberless"/>
      </w:pPr>
      <w:bookmarkStart w:id="2020" w:name="_Toc220496961"/>
      <w:r>
        <w:t>26.47.1 Isolation en blocs - matières synthétiques CCTB 01.02</w:t>
      </w:r>
      <w:bookmarkEnd w:id="2020"/>
    </w:p>
    <w:p w14:paraId="1C0C0759" w14:textId="77777777" w:rsidR="00DB2B68" w:rsidRDefault="00000000">
      <w:pPr>
        <w:pStyle w:val="Author-eSectionHeading6Numberless"/>
      </w:pPr>
      <w:bookmarkStart w:id="2021" w:name="_Toc220496962"/>
      <w:r>
        <w:t>26.47.1a Isolation en blocs - entrevous de polystyrène CCTB 01.04</w:t>
      </w:r>
      <w:bookmarkEnd w:id="2021"/>
    </w:p>
    <w:p w14:paraId="1482AF1C" w14:textId="77777777" w:rsidR="00DB2B68" w:rsidRDefault="00000000">
      <w:pPr>
        <w:pStyle w:val="pheading"/>
      </w:pPr>
      <w:r>
        <w:t>DESCRIPTION</w:t>
      </w:r>
    </w:p>
    <w:p w14:paraId="74848D7A" w14:textId="77777777" w:rsidR="00DB2B68" w:rsidRDefault="00000000">
      <w:pPr>
        <w:pStyle w:val="pheading"/>
      </w:pPr>
      <w:r>
        <w:t>- Définition / Comprend</w:t>
      </w:r>
    </w:p>
    <w:p w14:paraId="1C346607" w14:textId="77777777" w:rsidR="00DB2B68" w:rsidRDefault="00000000">
      <w:r>
        <w:t xml:space="preserve">voir </w:t>
      </w:r>
      <w:hyperlink w:anchor="684" w:history="1">
        <w:r>
          <w:rPr>
            <w:color w:val="0000EE"/>
          </w:rPr>
          <w:t>22.22.1c Planchers à poutrelles en béton et entrevous en polystyrène</w:t>
        </w:r>
      </w:hyperlink>
    </w:p>
    <w:p w14:paraId="213AD2D1" w14:textId="77777777" w:rsidR="00DB2B68" w:rsidRDefault="00000000">
      <w:pPr>
        <w:pStyle w:val="Author-eSectionHeading6Numberless"/>
      </w:pPr>
      <w:bookmarkStart w:id="2022" w:name="_Toc220496963"/>
      <w:r>
        <w:t>26.47.1b Isolation en blocs - polystyrène expansé (EPS) CCTB 01.02</w:t>
      </w:r>
      <w:bookmarkEnd w:id="2022"/>
    </w:p>
    <w:p w14:paraId="68B65F36" w14:textId="77777777" w:rsidR="00DB2B68" w:rsidRDefault="00000000">
      <w:pPr>
        <w:pStyle w:val="Author-eSectionHeading6Numberless"/>
      </w:pPr>
      <w:bookmarkStart w:id="2023" w:name="_Toc220496964"/>
      <w:r>
        <w:t>26.47.1c Isolation en blocs - polystyrène expansé additionné de graphite/carbone CCTB 01.02</w:t>
      </w:r>
      <w:bookmarkEnd w:id="2023"/>
    </w:p>
    <w:p w14:paraId="376F78CE" w14:textId="77777777" w:rsidR="00DB2B68" w:rsidRDefault="00000000">
      <w:pPr>
        <w:pStyle w:val="Author-eSectionHeading6Numberless"/>
      </w:pPr>
      <w:bookmarkStart w:id="2024" w:name="_Toc220496965"/>
      <w:r>
        <w:t>26.47.1d Isolation en blocs de coffrage - polystyrène expansé (EPS) CCTB 01.02</w:t>
      </w:r>
      <w:bookmarkEnd w:id="2024"/>
    </w:p>
    <w:p w14:paraId="4A7A36AD" w14:textId="77777777" w:rsidR="00DB2B68" w:rsidRDefault="00000000">
      <w:pPr>
        <w:pStyle w:val="Author-eSectionHeading6Numberless"/>
      </w:pPr>
      <w:bookmarkStart w:id="2025" w:name="_Toc220496966"/>
      <w:r>
        <w:t>26.47.1e Isolation en blocs de coffrage - avec surépaisseur de mousse de polystyrène expansé (EPS) CCTB 01.02</w:t>
      </w:r>
      <w:bookmarkEnd w:id="2025"/>
    </w:p>
    <w:p w14:paraId="4D905B65" w14:textId="77777777" w:rsidR="00DB2B68" w:rsidRDefault="00000000">
      <w:pPr>
        <w:pStyle w:val="Author-eSectionHeading6Numberless"/>
      </w:pPr>
      <w:bookmarkStart w:id="2026" w:name="_Toc220496967"/>
      <w:r>
        <w:t>26.47.1f Isolation en blocs de coffrage - polystyrène expansé additionné de graphite/carbone CCTB 01.02</w:t>
      </w:r>
      <w:bookmarkEnd w:id="2026"/>
    </w:p>
    <w:p w14:paraId="360F15A6" w14:textId="77777777" w:rsidR="00DB2B68" w:rsidRDefault="00000000">
      <w:pPr>
        <w:pStyle w:val="Author-eSectionHeading6Numberless"/>
      </w:pPr>
      <w:bookmarkStart w:id="2027" w:name="_Toc220496968"/>
      <w:r>
        <w:t>26.47.1g Isolation en blocs de coffrage - avec surépaisseur de polystyrène expansé additionné de graphite/c. CCTB 01.11</w:t>
      </w:r>
      <w:bookmarkEnd w:id="2027"/>
    </w:p>
    <w:p w14:paraId="7BBE409E" w14:textId="77777777" w:rsidR="00DB2B68" w:rsidRDefault="00000000">
      <w:pPr>
        <w:pStyle w:val="Author-eSectionHeading5Numberless"/>
      </w:pPr>
      <w:bookmarkStart w:id="2028" w:name="_Toc220496969"/>
      <w:r>
        <w:t>26.47.2 Isolation en blocs - matières végétales CCTB 01.02</w:t>
      </w:r>
      <w:bookmarkEnd w:id="2028"/>
    </w:p>
    <w:p w14:paraId="4CC1D9E5" w14:textId="77777777" w:rsidR="00DB2B68" w:rsidRDefault="00000000">
      <w:pPr>
        <w:pStyle w:val="Author-eSectionHeading6Numberless"/>
      </w:pPr>
      <w:bookmarkStart w:id="2029" w:name="_Toc220496970"/>
      <w:r>
        <w:t>26.47.2a Isolation en blocs - paille CCTB 01.11</w:t>
      </w:r>
      <w:bookmarkEnd w:id="2029"/>
    </w:p>
    <w:p w14:paraId="43D100A1" w14:textId="77777777" w:rsidR="00DB2B68" w:rsidRDefault="00000000">
      <w:pPr>
        <w:pStyle w:val="pheading"/>
      </w:pPr>
      <w:r>
        <w:t>DESCRIPTION</w:t>
      </w:r>
    </w:p>
    <w:p w14:paraId="4412038B" w14:textId="77777777" w:rsidR="00DB2B68" w:rsidRDefault="00000000">
      <w:pPr>
        <w:pStyle w:val="pheading"/>
      </w:pPr>
      <w:r>
        <w:t>- Définition / Comprend</w:t>
      </w:r>
    </w:p>
    <w:p w14:paraId="021ECA49" w14:textId="77777777" w:rsidR="00DB2B68" w:rsidRDefault="00000000">
      <w:pPr>
        <w:jc w:val="both"/>
      </w:pPr>
      <w:r>
        <w:t>Il s’agit de la fourniture et la pose d’isolant en blocs de paille sous forme de ballots.</w:t>
      </w:r>
    </w:p>
    <w:p w14:paraId="7242FD60" w14:textId="77777777" w:rsidR="00DB2B68" w:rsidRDefault="00000000">
      <w:pPr>
        <w:jc w:val="both"/>
      </w:pPr>
      <w:r>
        <w:t>Le travail comprend notamment :</w:t>
      </w:r>
    </w:p>
    <w:p w14:paraId="0EFF4830" w14:textId="77777777" w:rsidR="00DB2B68" w:rsidRDefault="00000000">
      <w:pPr>
        <w:pStyle w:val="Author-eListParagraph"/>
        <w:numPr>
          <w:ilvl w:val="0"/>
          <w:numId w:val="1142"/>
        </w:numPr>
      </w:pPr>
      <w:r>
        <w:t>La prévision des quantités de ballots avec une majoration de minimum 10%</w:t>
      </w:r>
    </w:p>
    <w:p w14:paraId="72810AAA" w14:textId="77777777" w:rsidR="00DB2B68" w:rsidRDefault="00000000">
      <w:pPr>
        <w:pStyle w:val="Author-eListParagraph"/>
        <w:numPr>
          <w:ilvl w:val="0"/>
          <w:numId w:val="1142"/>
        </w:numPr>
      </w:pPr>
      <w:r>
        <w:t>La contractualisation avec un fournisseur de paille de la fourniture de ballots de qualité adaptée à la construction</w:t>
      </w:r>
    </w:p>
    <w:p w14:paraId="5B83028F" w14:textId="77777777" w:rsidR="00DB2B68" w:rsidRDefault="00000000">
      <w:pPr>
        <w:pStyle w:val="Author-eListParagraph"/>
        <w:numPr>
          <w:ilvl w:val="0"/>
          <w:numId w:val="1142"/>
        </w:numPr>
      </w:pPr>
      <w:r>
        <w:t>L’organisation du transport et du stockage adéquat de la paille entre la période de récolte et la période de chanter</w:t>
      </w:r>
    </w:p>
    <w:p w14:paraId="4C0609E1" w14:textId="77777777" w:rsidR="00DB2B68" w:rsidRDefault="00000000">
      <w:pPr>
        <w:pStyle w:val="Author-eListParagraph"/>
        <w:numPr>
          <w:ilvl w:val="0"/>
          <w:numId w:val="1142"/>
        </w:numPr>
      </w:pPr>
      <w:r>
        <w:t>Un stockage sur chantier adéquat, à l’abri de l’humidité et des précipitations</w:t>
      </w:r>
    </w:p>
    <w:p w14:paraId="1EB5E617" w14:textId="77777777" w:rsidR="00DB2B68" w:rsidRDefault="00000000">
      <w:pPr>
        <w:pStyle w:val="Author-eListParagraph"/>
        <w:numPr>
          <w:ilvl w:val="0"/>
          <w:numId w:val="1142"/>
        </w:numPr>
      </w:pPr>
      <w:r>
        <w:t>La préparation et nettoyage des supports sur lesquels les éléments sont posés.</w:t>
      </w:r>
    </w:p>
    <w:p w14:paraId="4348C2AB" w14:textId="77777777" w:rsidR="00DB2B68" w:rsidRDefault="00000000">
      <w:pPr>
        <w:pStyle w:val="Author-eListParagraph"/>
        <w:numPr>
          <w:ilvl w:val="0"/>
          <w:numId w:val="1142"/>
        </w:numPr>
      </w:pPr>
      <w:r>
        <w:t>La livraison et la pose des ballots de paille, y compris les engins de levage, tous les supports temporaires et travaux d’étayage.</w:t>
      </w:r>
    </w:p>
    <w:p w14:paraId="5960EA71" w14:textId="77777777" w:rsidR="00DB2B68" w:rsidRDefault="00000000">
      <w:pPr>
        <w:pStyle w:val="Author-eListParagraph"/>
        <w:numPr>
          <w:ilvl w:val="0"/>
          <w:numId w:val="1142"/>
        </w:numPr>
      </w:pPr>
      <w:r>
        <w:t>Le contrôle qualité des bottes avant la mise en œuvre</w:t>
      </w:r>
    </w:p>
    <w:p w14:paraId="760EE676" w14:textId="77777777" w:rsidR="00DB2B68" w:rsidRDefault="00000000">
      <w:pPr>
        <w:pStyle w:val="Author-eListParagraph"/>
        <w:numPr>
          <w:ilvl w:val="0"/>
          <w:numId w:val="1142"/>
        </w:numPr>
      </w:pPr>
      <w:r>
        <w:t>Le maintien quotidien de la propreté du chantier et le balayage des chutes de paille hors du bâtiment.</w:t>
      </w:r>
    </w:p>
    <w:p w14:paraId="34AC2EE9" w14:textId="77777777" w:rsidR="00DB2B68" w:rsidRDefault="00000000">
      <w:pPr>
        <w:pStyle w:val="Author-eListParagraph"/>
        <w:numPr>
          <w:ilvl w:val="0"/>
          <w:numId w:val="1142"/>
        </w:numPr>
      </w:pPr>
      <w:r>
        <w:t>Les réservations prévues sur les plans.</w:t>
      </w:r>
    </w:p>
    <w:p w14:paraId="4C9065CE" w14:textId="77777777" w:rsidR="00DB2B68" w:rsidRDefault="00000000">
      <w:pPr>
        <w:pStyle w:val="Author-eListParagraph"/>
        <w:numPr>
          <w:ilvl w:val="0"/>
          <w:numId w:val="1142"/>
        </w:numPr>
      </w:pPr>
      <w:r>
        <w:t>La réception des ouvrages recevant la paille</w:t>
      </w:r>
    </w:p>
    <w:p w14:paraId="5A9E5C69" w14:textId="77777777" w:rsidR="00DB2B68" w:rsidRDefault="00000000">
      <w:pPr>
        <w:pStyle w:val="Author-eListParagraph"/>
        <w:numPr>
          <w:ilvl w:val="0"/>
          <w:numId w:val="1142"/>
        </w:numPr>
      </w:pPr>
      <w:r>
        <w:t>La finition des bords et travaux de réparation en cas d’endommagement.</w:t>
      </w:r>
    </w:p>
    <w:p w14:paraId="084C1A6A" w14:textId="77777777" w:rsidR="00DB2B68" w:rsidRDefault="00000000">
      <w:pPr>
        <w:pStyle w:val="Author-eListParagraph"/>
        <w:numPr>
          <w:ilvl w:val="0"/>
          <w:numId w:val="1142"/>
        </w:numPr>
      </w:pPr>
      <w:r>
        <w:t>L’enlèvement de tous les accessoires, éléments de coffrage, supports, étais et le nettoyage du chantier.</w:t>
      </w:r>
    </w:p>
    <w:p w14:paraId="6A9E080E" w14:textId="77777777" w:rsidR="00DB2B68" w:rsidRDefault="00000000">
      <w:pPr>
        <w:pStyle w:val="Author-eListParagraph"/>
        <w:numPr>
          <w:ilvl w:val="0"/>
          <w:numId w:val="1142"/>
        </w:numPr>
      </w:pPr>
      <w:r>
        <w:t>L’enlèvement des ficelles</w:t>
      </w:r>
    </w:p>
    <w:p w14:paraId="4BA80017" w14:textId="77777777" w:rsidR="00DB2B68" w:rsidRDefault="00000000">
      <w:pPr>
        <w:pStyle w:val="pheading"/>
      </w:pPr>
      <w:r>
        <w:lastRenderedPageBreak/>
        <w:t>- Localisation</w:t>
      </w:r>
    </w:p>
    <w:p w14:paraId="071847A1" w14:textId="77777777" w:rsidR="00DB2B68" w:rsidRDefault="00000000">
      <w:r>
        <w:t xml:space="preserve">Localisation des travaux : </w:t>
      </w:r>
      <w:r>
        <w:rPr>
          <w:rStyle w:val="optioncarChar"/>
        </w:rPr>
        <w:t>***</w:t>
      </w:r>
      <w:r>
        <w:t>.</w:t>
      </w:r>
    </w:p>
    <w:p w14:paraId="498093B9" w14:textId="77777777" w:rsidR="00DB2B68" w:rsidRDefault="00000000">
      <w:r>
        <w:t>Voir plans et métrés détaillés.</w:t>
      </w:r>
    </w:p>
    <w:p w14:paraId="64B00ECD" w14:textId="77777777" w:rsidR="00DB2B68" w:rsidRDefault="00000000">
      <w:pPr>
        <w:pStyle w:val="pheading"/>
      </w:pPr>
      <w:r>
        <w:t>MATÉRIAUX</w:t>
      </w:r>
    </w:p>
    <w:p w14:paraId="5134AC35" w14:textId="77777777" w:rsidR="00DB2B68" w:rsidRDefault="00000000">
      <w:pPr>
        <w:pStyle w:val="pheading"/>
      </w:pPr>
      <w:r>
        <w:t>- Caractéristiques générales</w:t>
      </w:r>
    </w:p>
    <w:p w14:paraId="6CBF5002" w14:textId="77777777" w:rsidR="00DB2B68" w:rsidRDefault="00000000">
      <w:pPr>
        <w:jc w:val="both"/>
      </w:pPr>
      <w:r>
        <w:t>Sont autorisées les céréales de type : épeautre, seigle, blé, triticale et orge.</w:t>
      </w:r>
    </w:p>
    <w:p w14:paraId="026D4601" w14:textId="77777777" w:rsidR="00DB2B68" w:rsidRDefault="00000000">
      <w:pPr>
        <w:jc w:val="both"/>
      </w:pPr>
      <w:r>
        <w:t xml:space="preserve">Dimensions (L x l x h) : </w:t>
      </w:r>
      <w:r>
        <w:rPr>
          <w:rStyle w:val="optioncarChar"/>
        </w:rPr>
        <w:t xml:space="preserve">80 à 120 x 46-47 x 36-37 (cm) </w:t>
      </w:r>
      <w:r>
        <w:t>(par défaut) /</w:t>
      </w:r>
      <w:r>
        <w:rPr>
          <w:rStyle w:val="optioncarChar"/>
        </w:rPr>
        <w:t xml:space="preserve"> ***x***x***</w:t>
      </w:r>
      <w:r>
        <w:t>.</w:t>
      </w:r>
    </w:p>
    <w:p w14:paraId="35234FC8" w14:textId="77777777" w:rsidR="00DB2B68" w:rsidRDefault="00000000">
      <w:pPr>
        <w:jc w:val="both"/>
      </w:pPr>
      <w:r>
        <w:t>La tolérance sur la longueur L est de</w:t>
      </w:r>
      <w:r>
        <w:rPr>
          <w:rStyle w:val="optioncarChar"/>
        </w:rPr>
        <w:t xml:space="preserve"> ± 5 cm </w:t>
      </w:r>
      <w:r>
        <w:t>(par défaut)</w:t>
      </w:r>
      <w:r>
        <w:rPr>
          <w:rStyle w:val="optioncarChar"/>
        </w:rPr>
        <w:t xml:space="preserve"> / ***</w:t>
      </w:r>
      <w:r>
        <w:t>.</w:t>
      </w:r>
    </w:p>
    <w:p w14:paraId="26B88713" w14:textId="77777777" w:rsidR="00DB2B68" w:rsidRDefault="00000000">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14:paraId="10229F19" w14:textId="77777777" w:rsidR="00DB2B68" w:rsidRDefault="00000000">
      <w:pPr>
        <w:jc w:val="both"/>
      </w:pPr>
      <w:r>
        <w:t>Humidité relative &lt; 20%</w:t>
      </w:r>
    </w:p>
    <w:p w14:paraId="1B3E4898" w14:textId="77777777" w:rsidR="00DB2B68" w:rsidRDefault="00000000">
      <w:pPr>
        <w:jc w:val="both"/>
      </w:pPr>
      <w:r>
        <w:t xml:space="preserve">Les ballots </w:t>
      </w:r>
      <w:r>
        <w:rPr>
          <w:rStyle w:val="optioncarChar"/>
        </w:rPr>
        <w:t>sont issus / ne sont pas issus</w:t>
      </w:r>
      <w:r>
        <w:t xml:space="preserve"> de l’agriculture biologique.</w:t>
      </w:r>
    </w:p>
    <w:p w14:paraId="3F739FC6" w14:textId="77777777" w:rsidR="00DB2B68" w:rsidRDefault="00000000">
      <w:pPr>
        <w:jc w:val="both"/>
      </w:pPr>
      <w:r>
        <w:t>Les brins de paille mesurent 15 cm minimum, préférablement 30 à 45 cm.</w:t>
      </w:r>
    </w:p>
    <w:p w14:paraId="51C53D61" w14:textId="77777777" w:rsidR="00DB2B68" w:rsidRDefault="00000000">
      <w:pPr>
        <w:jc w:val="both"/>
      </w:pPr>
      <w:r>
        <w:t>Réaction au feu des ballots : classe E suivant [NBN EN 13501-1]</w:t>
      </w:r>
    </w:p>
    <w:p w14:paraId="16D092E6" w14:textId="77777777" w:rsidR="00DB2B68" w:rsidRDefault="00000000">
      <w:pPr>
        <w:jc w:val="both"/>
      </w:pPr>
      <w:r>
        <w:t xml:space="preserve">Conductivité thermique </w:t>
      </w:r>
      <w:r>
        <w:rPr>
          <w:rStyle w:val="optioncarChar"/>
        </w:rPr>
        <w:t xml:space="preserve">≤ 0.06 </w:t>
      </w:r>
      <w:r>
        <w:t> (par défaut)</w:t>
      </w:r>
      <w:r>
        <w:rPr>
          <w:rStyle w:val="optioncarChar"/>
        </w:rPr>
        <w:t xml:space="preserve"> / *** </w:t>
      </w:r>
      <w:r>
        <w:t xml:space="preserve"> W/(m.K)</w:t>
      </w:r>
    </w:p>
    <w:p w14:paraId="5AA0412B" w14:textId="77777777" w:rsidR="00DB2B68" w:rsidRDefault="00000000">
      <w:pPr>
        <w:ind w:left="567"/>
        <w:jc w:val="both"/>
      </w:pPr>
      <w:r>
        <w:rPr>
          <w:b/>
          <w:i/>
        </w:rPr>
        <w:t>(Soit par défaut)</w:t>
      </w:r>
    </w:p>
    <w:p w14:paraId="50F0F0A0" w14:textId="77777777" w:rsidR="00DB2B68" w:rsidRDefault="00000000">
      <w:pPr>
        <w:ind w:left="567"/>
        <w:jc w:val="both"/>
      </w:pPr>
      <w:r>
        <w:rPr>
          <w:rStyle w:val="soitChar"/>
        </w:rPr>
        <w:t>Conductivité thermique ≤ 0.06 W/(m.K) sans test suivant la PEB</w:t>
      </w:r>
    </w:p>
    <w:p w14:paraId="464C1A71" w14:textId="77777777" w:rsidR="00DB2B68" w:rsidRDefault="00000000">
      <w:pPr>
        <w:ind w:left="567"/>
        <w:jc w:val="both"/>
      </w:pPr>
      <w:r>
        <w:rPr>
          <w:b/>
          <w:i/>
        </w:rPr>
        <w:t>(Soit)</w:t>
      </w:r>
    </w:p>
    <w:p w14:paraId="709F459A" w14:textId="77777777" w:rsidR="00DB2B68" w:rsidRDefault="00000000">
      <w:pPr>
        <w:ind w:left="567"/>
        <w:jc w:val="both"/>
      </w:pPr>
      <w:r>
        <w:rPr>
          <w:rStyle w:val="soitChar"/>
        </w:rPr>
        <w:t xml:space="preserve">Conductivité thermique ≤ </w:t>
      </w:r>
      <w:r>
        <w:rPr>
          <w:rStyle w:val="optioncarChar"/>
        </w:rPr>
        <w:t>***</w:t>
      </w:r>
      <w:r>
        <w:rPr>
          <w:rStyle w:val="soitChar"/>
        </w:rPr>
        <w:t>  W/(m.K) suivant la [NBN EN 12667]</w:t>
      </w:r>
    </w:p>
    <w:p w14:paraId="293E1C02" w14:textId="77777777" w:rsidR="00DB2B68" w:rsidRDefault="00000000">
      <w:pPr>
        <w:jc w:val="both"/>
      </w:pPr>
      <w:r>
        <w:t>Absence de graines et de résidus verts dans les ballots</w:t>
      </w:r>
    </w:p>
    <w:p w14:paraId="4EC54454" w14:textId="77777777" w:rsidR="00DB2B68" w:rsidRDefault="00000000">
      <w:pPr>
        <w:jc w:val="both"/>
      </w:pPr>
      <w:r>
        <w:t>Les ballots sont comprimés par 2 liens minimum, la forme est parallélépipédique et les bottes ne sont pas déformées.</w:t>
      </w:r>
    </w:p>
    <w:p w14:paraId="00DB2EEC" w14:textId="77777777" w:rsidR="00DB2B68" w:rsidRDefault="00000000">
      <w:pPr>
        <w:pStyle w:val="pheading"/>
      </w:pPr>
      <w:r>
        <w:t>EXÉCUTION / MISE EN ŒUVRE</w:t>
      </w:r>
    </w:p>
    <w:p w14:paraId="73A3D67E" w14:textId="77777777" w:rsidR="00DB2B68" w:rsidRDefault="00000000">
      <w:pPr>
        <w:pStyle w:val="pheading"/>
      </w:pPr>
      <w:r>
        <w:t>- Prescriptions générales</w:t>
      </w:r>
    </w:p>
    <w:p w14:paraId="6F6899E8" w14:textId="77777777" w:rsidR="00DB2B68" w:rsidRDefault="00000000">
      <w:pPr>
        <w:jc w:val="both"/>
      </w:pPr>
      <w:r>
        <w:t>La manutention des ballots est soigneuse pour ne pas les déformer.</w:t>
      </w:r>
    </w:p>
    <w:p w14:paraId="1AE54182" w14:textId="77777777" w:rsidR="00DB2B68" w:rsidRDefault="00000000">
      <w:pPr>
        <w:jc w:val="both"/>
      </w:pPr>
      <w:r>
        <w:t>Lors de la mise en œuvre, les ballots présentent une teneur en humidité de maximum 20%.</w:t>
      </w:r>
    </w:p>
    <w:p w14:paraId="680EE52D" w14:textId="77777777" w:rsidR="00DB2B68" w:rsidRDefault="00000000">
      <w:pPr>
        <w:jc w:val="both"/>
      </w:pPr>
      <w:r>
        <w:t>Les ballots présentant une odeur d’humidité, des tâches sombres ou des filaments blancs doivent être écartés.</w:t>
      </w:r>
    </w:p>
    <w:p w14:paraId="1E7ADE18" w14:textId="77777777" w:rsidR="00DB2B68" w:rsidRDefault="00000000">
      <w:pPr>
        <w:jc w:val="both"/>
      </w:pPr>
      <w:r>
        <w:t>Les détails d’exécution sont prévus pour éviter l’exposition à l’eau et à l’humidité de la paille. La gestion de l’étanchéité à l’air et l’eau du bâtiment sont intégrés dans les détails d’exécution.  Une attention particulière y est apportée par l’entrepreneur.</w:t>
      </w:r>
    </w:p>
    <w:p w14:paraId="6AA70406" w14:textId="77777777" w:rsidR="00DB2B68" w:rsidRDefault="00000000">
      <w:pPr>
        <w:jc w:val="both"/>
      </w:pPr>
      <w:r>
        <w:t> </w:t>
      </w:r>
    </w:p>
    <w:p w14:paraId="24525B0F" w14:textId="77777777" w:rsidR="00DB2B68" w:rsidRDefault="00000000">
      <w:pPr>
        <w:jc w:val="both"/>
      </w:pPr>
      <w:r>
        <w:t>Les ballots sont posés bien serrés. Les espaces éventuels entre ballots ou de liaison avec les parois sont comblés avec des fibres de pailles en vrac badigeonnée ou un isolant en fibre naturelle fortement comprimés dans les espaces vides.</w:t>
      </w:r>
    </w:p>
    <w:p w14:paraId="067C121D" w14:textId="77777777" w:rsidR="00DB2B68" w:rsidRDefault="00000000">
      <w:pPr>
        <w:pStyle w:val="pheading"/>
      </w:pPr>
      <w:r>
        <w:t>CONTRÔLES PARTICULIERS</w:t>
      </w:r>
    </w:p>
    <w:p w14:paraId="60CF96D5" w14:textId="77777777" w:rsidR="00DB2B68" w:rsidRDefault="00000000">
      <w:pPr>
        <w:jc w:val="both"/>
      </w:pPr>
      <w:r>
        <w:t>Le contrôle de qualité des bottes de paille est obligatoire et exécuté suivant le [RFCP Paille CDC].</w:t>
      </w:r>
    </w:p>
    <w:p w14:paraId="16DA6158" w14:textId="77777777" w:rsidR="00DB2B68" w:rsidRDefault="00000000">
      <w:pPr>
        <w:jc w:val="both"/>
      </w:pPr>
      <w:r>
        <w:t>L’utilisation de la [RFCP Paille Auto-contrôle] éditée par  le Réseau Français de la Construction Paille téléchargeable sur leur site : </w:t>
      </w:r>
      <w:hyperlink r:id="rId42" w:history="1">
        <w:r>
          <w:rPr>
            <w:color w:val="0000EE"/>
          </w:rPr>
          <w:t>https://rfcp.fr/</w:t>
        </w:r>
      </w:hyperlink>
      <w:r>
        <w:t>] permet de systématiser celui-ci. Le contrôle qualité est réalisé par l’entreprise mettant en œuvre les parois en paille sur le chantier. Le rapport du contrôle qualité est remis au Maître de l’Ouvrage.</w:t>
      </w:r>
    </w:p>
    <w:p w14:paraId="52D51907" w14:textId="77777777" w:rsidR="00DB2B68" w:rsidRDefault="00000000">
      <w:pPr>
        <w:pStyle w:val="pheading"/>
      </w:pPr>
      <w:r>
        <w:t>DOCUMENTS DE RÉFÉRENCE COMPLÉMENTAIRES</w:t>
      </w:r>
    </w:p>
    <w:p w14:paraId="542DF3E3" w14:textId="77777777" w:rsidR="00DB2B68" w:rsidRDefault="00000000">
      <w:pPr>
        <w:pStyle w:val="pheading"/>
      </w:pPr>
      <w:r>
        <w:lastRenderedPageBreak/>
        <w:t>- Matériau</w:t>
      </w:r>
    </w:p>
    <w:p w14:paraId="01F23D36" w14:textId="77777777" w:rsidR="00DB2B6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522E9C1" w14:textId="77777777" w:rsidR="00DB2B68" w:rsidRDefault="00000000">
      <w:r>
        <w:t>[NBN EN 13501-1, Classement au feu des produits et éléments de construction - Partie 1: Classement à partir des données d'essais de réaction au feu]</w:t>
      </w:r>
    </w:p>
    <w:p w14:paraId="676E603D" w14:textId="77777777" w:rsidR="00DB2B68" w:rsidRDefault="00000000">
      <w:r>
        <w:t>[AR 2014-05-08, Arrêté royal établissant les niveaux seuils pour les émissions dans l'environnement intérieur de produits de construction pour certains usages prévus]</w:t>
      </w:r>
    </w:p>
    <w:p w14:paraId="106EEDD0" w14:textId="77777777" w:rsidR="00DB2B68" w:rsidRDefault="00000000">
      <w:r>
        <w:t>[Moniteur Paille, Règles professionnelles de construction en paille - Remplissage isolant et support d’enduit – Règles CP 2012 révisées]</w:t>
      </w:r>
    </w:p>
    <w:p w14:paraId="0AA5FC63" w14:textId="77777777" w:rsidR="00DB2B68" w:rsidRDefault="00000000">
      <w:pPr>
        <w:pStyle w:val="pheading"/>
      </w:pPr>
      <w:r>
        <w:t>- Exécution</w:t>
      </w:r>
    </w:p>
    <w:p w14:paraId="1CD021CE" w14:textId="77777777" w:rsidR="00DB2B68" w:rsidRDefault="00000000">
      <w:r>
        <w:t>[RFCP Paille CDC, Cahier des charges pour l'utilisation des bottes de paille dans la construction]</w:t>
      </w:r>
    </w:p>
    <w:p w14:paraId="77ADAC61" w14:textId="77777777" w:rsidR="00DB2B68" w:rsidRDefault="00000000">
      <w:r>
        <w:t>[Moniteur Paille, Règles professionnelles de construction en paille - Remplissage isolant et support d’enduit – Règles CP 2012 révisées]</w:t>
      </w:r>
    </w:p>
    <w:p w14:paraId="5CBB0F8E" w14:textId="77777777" w:rsidR="00DB2B68" w:rsidRDefault="00000000">
      <w:r>
        <w:t>[RFCP Paille Auto-contrôle, Fiche d'auto-contrôle des bottes de paille et de mise en œuvre de la paille]</w:t>
      </w:r>
    </w:p>
    <w:p w14:paraId="0F50A06B" w14:textId="77777777" w:rsidR="00DB2B68" w:rsidRDefault="00000000">
      <w:pPr>
        <w:pStyle w:val="pheading"/>
      </w:pPr>
      <w:r>
        <w:t>MESURAGE</w:t>
      </w:r>
    </w:p>
    <w:p w14:paraId="2326D694" w14:textId="77777777" w:rsidR="00DB2B68" w:rsidRDefault="00000000">
      <w:pPr>
        <w:pStyle w:val="pheading"/>
      </w:pPr>
      <w:r>
        <w:t>- unité de mesure:</w:t>
      </w:r>
    </w:p>
    <w:p w14:paraId="2402BDF7" w14:textId="77777777" w:rsidR="00DB2B68" w:rsidRDefault="00000000">
      <w:r>
        <w:rPr>
          <w:rStyle w:val="optioncarChar"/>
        </w:rPr>
        <w:t xml:space="preserve">m³ </w:t>
      </w:r>
      <w:r>
        <w:t>(par défaut)</w:t>
      </w:r>
      <w:r>
        <w:rPr>
          <w:rStyle w:val="optioncarChar"/>
        </w:rPr>
        <w:t> / m²</w:t>
      </w:r>
    </w:p>
    <w:p w14:paraId="183E6A2D" w14:textId="77777777" w:rsidR="00DB2B68" w:rsidRDefault="00000000">
      <w:r>
        <w:rPr>
          <w:b/>
          <w:i/>
        </w:rPr>
        <w:t>(Soit par défaut)</w:t>
      </w:r>
    </w:p>
    <w:p w14:paraId="2D7BF1BA" w14:textId="77777777" w:rsidR="00DB2B68" w:rsidRDefault="00000000">
      <w:r>
        <w:rPr>
          <w:rStyle w:val="soitChar"/>
        </w:rPr>
        <w:t>1. m³</w:t>
      </w:r>
    </w:p>
    <w:p w14:paraId="06F53AF3" w14:textId="77777777" w:rsidR="00DB2B68" w:rsidRDefault="00000000">
      <w:r>
        <w:rPr>
          <w:b/>
          <w:i/>
        </w:rPr>
        <w:t>(Soit)</w:t>
      </w:r>
    </w:p>
    <w:p w14:paraId="08E32F9B" w14:textId="77777777" w:rsidR="00DB2B68" w:rsidRDefault="00000000">
      <w:r>
        <w:rPr>
          <w:rStyle w:val="soitChar"/>
        </w:rPr>
        <w:t>2. m²</w:t>
      </w:r>
    </w:p>
    <w:p w14:paraId="0EA6110C" w14:textId="77777777" w:rsidR="00DB2B68" w:rsidRDefault="00000000">
      <w:pPr>
        <w:pStyle w:val="pheading"/>
      </w:pPr>
      <w:r>
        <w:t>- code de mesurage:</w:t>
      </w:r>
    </w:p>
    <w:p w14:paraId="13E8B4A1" w14:textId="77777777" w:rsidR="00DB2B68" w:rsidRDefault="00000000">
      <w:pPr>
        <w:jc w:val="both"/>
      </w:pPr>
      <w:r>
        <w:rPr>
          <w:rStyle w:val="optioncarChar"/>
        </w:rPr>
        <w:t xml:space="preserve">Volume net </w:t>
      </w:r>
      <w:r>
        <w:t xml:space="preserve">(par défaut) </w:t>
      </w:r>
      <w:r>
        <w:rPr>
          <w:rStyle w:val="optioncarChar"/>
        </w:rPr>
        <w:t>/ Surface nette</w:t>
      </w:r>
    </w:p>
    <w:p w14:paraId="616651F6" w14:textId="77777777" w:rsidR="00DB2B68" w:rsidRDefault="00000000">
      <w:pPr>
        <w:jc w:val="both"/>
      </w:pPr>
      <w:r>
        <w:rPr>
          <w:b/>
          <w:i/>
        </w:rPr>
        <w:t>(Soit par défaut)</w:t>
      </w:r>
    </w:p>
    <w:p w14:paraId="2D634387" w14:textId="77777777" w:rsidR="00DB2B68" w:rsidRDefault="00000000">
      <w:pPr>
        <w:jc w:val="both"/>
      </w:pPr>
      <w:r>
        <w:rPr>
          <w:rStyle w:val="soitChar"/>
          <w:b/>
        </w:rPr>
        <w:t>Volume net</w:t>
      </w:r>
      <w:r>
        <w:rPr>
          <w:rStyle w:val="soitChar"/>
        </w:rPr>
        <w:t xml:space="preserve"> des parois selon les plans. Aucune déduction de volume réalisée pour les réservations, écarteurs, etc. si ce volume est inférieur à 0,05 m³.</w:t>
      </w:r>
    </w:p>
    <w:p w14:paraId="542260DE" w14:textId="77777777" w:rsidR="00DB2B68" w:rsidRDefault="00000000">
      <w:pPr>
        <w:jc w:val="both"/>
      </w:pPr>
      <w:r>
        <w:rPr>
          <w:rStyle w:val="soitChar"/>
        </w:rPr>
        <w:t>Distinction faite suivant le type et l’épaisseur.</w:t>
      </w:r>
    </w:p>
    <w:p w14:paraId="45EB01C9" w14:textId="77777777" w:rsidR="00DB2B68" w:rsidRDefault="00000000">
      <w:pPr>
        <w:jc w:val="both"/>
      </w:pPr>
      <w:r>
        <w:rPr>
          <w:b/>
          <w:i/>
        </w:rPr>
        <w:t>(Soit)</w:t>
      </w:r>
    </w:p>
    <w:p w14:paraId="63B04D64" w14:textId="77777777" w:rsidR="00DB2B68" w:rsidRDefault="00000000">
      <w:pPr>
        <w:jc w:val="both"/>
      </w:pPr>
      <w:r>
        <w:rPr>
          <w:rStyle w:val="soitChar"/>
          <w:b/>
        </w:rPr>
        <w:t>Surface nette </w:t>
      </w:r>
      <w:r>
        <w:rPr>
          <w:rStyle w:val="soitChar"/>
        </w:rPr>
        <w:t>: Longueur x Largeur de la paroi selon les plans. Déduction faite des vides de plus de 0.5 m².</w:t>
      </w:r>
    </w:p>
    <w:p w14:paraId="7D95D934" w14:textId="77777777" w:rsidR="00DB2B68" w:rsidRDefault="00000000">
      <w:pPr>
        <w:jc w:val="both"/>
      </w:pPr>
      <w:r>
        <w:rPr>
          <w:rStyle w:val="soitChar"/>
        </w:rPr>
        <w:t>Distinction faite suivant le type et l’épaisseur.</w:t>
      </w:r>
    </w:p>
    <w:p w14:paraId="78BAA4F6" w14:textId="77777777" w:rsidR="00DB2B68" w:rsidRDefault="00000000">
      <w:pPr>
        <w:pStyle w:val="pheading"/>
      </w:pPr>
      <w:r>
        <w:t>- nature du marché:</w:t>
      </w:r>
    </w:p>
    <w:p w14:paraId="2B5761FC" w14:textId="77777777" w:rsidR="00DB2B68" w:rsidRDefault="00000000">
      <w:r>
        <w:t>QF</w:t>
      </w:r>
    </w:p>
    <w:p w14:paraId="5256DAAF" w14:textId="77777777" w:rsidR="00DB2B68" w:rsidRDefault="00000000">
      <w:pPr>
        <w:pStyle w:val="Author-eSectionHeading5Numberless"/>
      </w:pPr>
      <w:bookmarkStart w:id="2030" w:name="_Toc220496971"/>
      <w:r>
        <w:t>26.47.3 Isolation en blocs - matières composites CCTB 01.02</w:t>
      </w:r>
      <w:bookmarkEnd w:id="2030"/>
    </w:p>
    <w:p w14:paraId="6910591E" w14:textId="77777777" w:rsidR="00DB2B68" w:rsidRDefault="00000000">
      <w:pPr>
        <w:pStyle w:val="Author-eSectionHeading6Numberless"/>
      </w:pPr>
      <w:bookmarkStart w:id="2031" w:name="_Toc220496972"/>
      <w:r>
        <w:t>26.47.3a Isolation en blocs - ponce sans isolant complémentaire CCTB 01.02</w:t>
      </w:r>
      <w:bookmarkEnd w:id="2031"/>
    </w:p>
    <w:p w14:paraId="3337C32B" w14:textId="77777777" w:rsidR="00DB2B68" w:rsidRDefault="00000000">
      <w:pPr>
        <w:pStyle w:val="Author-eSectionHeading6Numberless"/>
      </w:pPr>
      <w:bookmarkStart w:id="2032" w:name="_Toc220496973"/>
      <w:r>
        <w:t>26.47.3b Isolation en blocs - ponce avec isolant complémentaire CCTB 01.02</w:t>
      </w:r>
      <w:bookmarkEnd w:id="2032"/>
    </w:p>
    <w:p w14:paraId="7D471857" w14:textId="77777777" w:rsidR="00DB2B68" w:rsidRDefault="00000000">
      <w:pPr>
        <w:pStyle w:val="Author-eSectionHeading6Numberless"/>
      </w:pPr>
      <w:bookmarkStart w:id="2033" w:name="_Toc220496974"/>
      <w:r>
        <w:t>26.47.3c Isolation en blocs - béton de bois sans isolant complémentaire CCTB 01.11</w:t>
      </w:r>
      <w:bookmarkEnd w:id="2033"/>
    </w:p>
    <w:p w14:paraId="2B7DCC00" w14:textId="77777777" w:rsidR="00DB2B68" w:rsidRDefault="00000000">
      <w:pPr>
        <w:pStyle w:val="pheading"/>
      </w:pPr>
      <w:r>
        <w:t>DESCRIPTION</w:t>
      </w:r>
    </w:p>
    <w:p w14:paraId="1407E25C" w14:textId="77777777" w:rsidR="00DB2B68" w:rsidRDefault="00000000">
      <w:pPr>
        <w:pStyle w:val="pheading"/>
      </w:pPr>
      <w:r>
        <w:t>- Définition / Comprend</w:t>
      </w:r>
    </w:p>
    <w:p w14:paraId="0D83AC68" w14:textId="77777777" w:rsidR="00DB2B68" w:rsidRDefault="00000000">
      <w:pPr>
        <w:jc w:val="both"/>
      </w:pPr>
      <w:r>
        <w:lastRenderedPageBreak/>
        <w:t>Il s'agit de la fourniture et de la pose de toutes les faces en élévation de parois non porteuses qui sont constitués de blocs en aggloméré bois-ciment. Ces blocs sont placés contre ou dans une structure porteuse.</w:t>
      </w:r>
    </w:p>
    <w:p w14:paraId="0F79C21D" w14:textId="77777777" w:rsidR="00DB2B68" w:rsidRDefault="00000000">
      <w:pPr>
        <w:pStyle w:val="pheading"/>
      </w:pPr>
      <w:r>
        <w:t>- Localisation</w:t>
      </w:r>
    </w:p>
    <w:p w14:paraId="4D188C14" w14:textId="77777777" w:rsidR="00DB2B68" w:rsidRDefault="00000000">
      <w:r>
        <w:t xml:space="preserve">La pose est réalisée aux endroits suivants : </w:t>
      </w:r>
      <w:r>
        <w:rPr>
          <w:rStyle w:val="optioncarChar"/>
        </w:rPr>
        <w:t>***</w:t>
      </w:r>
      <w:r>
        <w:t>.</w:t>
      </w:r>
    </w:p>
    <w:p w14:paraId="41C2C849" w14:textId="77777777" w:rsidR="00DB2B68" w:rsidRDefault="00000000">
      <w:r>
        <w:t>Voir plans et métrés détaillés.</w:t>
      </w:r>
    </w:p>
    <w:p w14:paraId="688A7D5F" w14:textId="77777777" w:rsidR="00DB2B68" w:rsidRDefault="00000000">
      <w:pPr>
        <w:pStyle w:val="pheading"/>
      </w:pPr>
      <w:r>
        <w:t>MATÉRIAUX</w:t>
      </w:r>
    </w:p>
    <w:p w14:paraId="23F89216" w14:textId="77777777" w:rsidR="00DB2B68" w:rsidRDefault="00000000">
      <w:pPr>
        <w:pStyle w:val="pheading"/>
      </w:pPr>
      <w:r>
        <w:t>- Caractéristiques générales</w:t>
      </w:r>
    </w:p>
    <w:p w14:paraId="1209110A" w14:textId="77777777" w:rsidR="00DB2B68" w:rsidRDefault="00000000">
      <w:pPr>
        <w:jc w:val="both"/>
      </w:pPr>
      <w:r>
        <w:t>Matériau d’isolation constitué de copeau de bois minéralisé et agrégé. Les copeaux de bois qui servent d’agrégats pour le béton sont des copeaux de granulométries différentes.</w:t>
      </w:r>
    </w:p>
    <w:p w14:paraId="00DF6535" w14:textId="77777777" w:rsidR="00DB2B68" w:rsidRDefault="00000000">
      <w:pPr>
        <w:jc w:val="both"/>
      </w:pPr>
      <w:r>
        <w:t>Le matériau est conforme aux normes [NBN EN 14474], [NBN EN 771-3+A1] et au [PTV 21-001].</w:t>
      </w:r>
    </w:p>
    <w:p w14:paraId="153A5B0D" w14:textId="77777777" w:rsidR="00DB2B68" w:rsidRDefault="00000000">
      <w:pPr>
        <w:jc w:val="both"/>
      </w:pPr>
      <w:r>
        <w:t>La réaction au feu du bloc en béton de bois est déterminée et indiquée conformément à la [NBN EN 14474] c.à.d. conformément à la[NBN EN 13823], la classification étant effectuée conformément à la [NBN EN 13501-1]. le matériau doit répondre au minimum au classement B,s1 d0</w:t>
      </w:r>
    </w:p>
    <w:p w14:paraId="7AC3CF6C" w14:textId="77777777" w:rsidR="00DB2B68" w:rsidRDefault="00000000">
      <w:pPr>
        <w:jc w:val="both"/>
      </w:pPr>
      <w:r>
        <w:t xml:space="preserve">Masse volumique sèche des blocs est de +/- </w:t>
      </w:r>
      <w:r>
        <w:rPr>
          <w:rStyle w:val="optioncarChar"/>
        </w:rPr>
        <w:t>500 </w:t>
      </w:r>
      <w:r>
        <w:t>(par défaut)</w:t>
      </w:r>
      <w:r>
        <w:rPr>
          <w:rStyle w:val="optioncarChar"/>
        </w:rPr>
        <w:t xml:space="preserve"> / 600 / ***</w:t>
      </w:r>
      <w:r>
        <w:t xml:space="preserve"> kg/m³</w:t>
      </w:r>
    </w:p>
    <w:p w14:paraId="44F95570" w14:textId="77777777" w:rsidR="00DB2B68" w:rsidRDefault="00000000">
      <w:pPr>
        <w:jc w:val="both"/>
      </w:pPr>
      <w:r>
        <w:t xml:space="preserve">Conductivité thermique (selon [NBN EN 12667] ou selon [NBN EN 12939] pour les produits épais) : valeur λ = ≤  </w:t>
      </w:r>
      <w:r>
        <w:rPr>
          <w:rStyle w:val="optioncarChar"/>
        </w:rPr>
        <w:t xml:space="preserve">0.16 </w:t>
      </w:r>
      <w:r>
        <w:t>(par défaut)</w:t>
      </w:r>
      <w:r>
        <w:rPr>
          <w:rStyle w:val="optioncarChar"/>
        </w:rPr>
        <w:t xml:space="preserve"> / ***</w:t>
      </w:r>
      <w:r>
        <w:t> W/mK.</w:t>
      </w:r>
    </w:p>
    <w:p w14:paraId="2C4F7AD6" w14:textId="77777777" w:rsidR="00DB2B68" w:rsidRDefault="00000000">
      <w:pPr>
        <w:jc w:val="both"/>
      </w:pPr>
      <w:r>
        <w:t xml:space="preserve">Paroi en béton de bois : </w:t>
      </w:r>
      <w:r>
        <w:rPr>
          <w:rStyle w:val="optioncarChar"/>
        </w:rPr>
        <w:t>22</w:t>
      </w:r>
      <w:r>
        <w:t> (par défaut)</w:t>
      </w:r>
      <w:r>
        <w:rPr>
          <w:rStyle w:val="optioncarChar"/>
        </w:rPr>
        <w:t xml:space="preserve"> / 25 / 35 / 40 ***</w:t>
      </w:r>
      <w:r>
        <w:t xml:space="preserve"> cm suivant étude PEB et plans d’exécution .</w:t>
      </w:r>
    </w:p>
    <w:p w14:paraId="002832B9" w14:textId="77777777" w:rsidR="00DB2B68" w:rsidRDefault="00000000">
      <w:pPr>
        <w:jc w:val="both"/>
      </w:pPr>
      <w:r>
        <w:t>Les valeurs Umax sont toujours inférieures aux exigences légales en application au moment du dépôt du permis d’urbanisme.</w:t>
      </w:r>
    </w:p>
    <w:p w14:paraId="212E818E" w14:textId="77777777" w:rsidR="00DB2B68" w:rsidRDefault="00000000">
      <w:pPr>
        <w:jc w:val="both"/>
      </w:pPr>
      <w:r>
        <w:t>Les joints assurent un maximum la continuité thermique du bloc isolant.</w:t>
      </w:r>
    </w:p>
    <w:p w14:paraId="102CEDB8" w14:textId="77777777" w:rsidR="00DB2B68" w:rsidRDefault="00000000">
      <w:pPr>
        <w:pStyle w:val="pheading"/>
      </w:pPr>
      <w:r>
        <w:t>- Finitions</w:t>
      </w:r>
    </w:p>
    <w:p w14:paraId="26A8787F" w14:textId="77777777" w:rsidR="00DB2B68" w:rsidRDefault="00000000">
      <w:pPr>
        <w:jc w:val="both"/>
      </w:pPr>
      <w:r>
        <w:t xml:space="preserve">Apparence brute du produit afin de recevoir une finition. </w:t>
      </w:r>
    </w:p>
    <w:p w14:paraId="28237302" w14:textId="77777777" w:rsidR="00DB2B68" w:rsidRDefault="00000000">
      <w:pPr>
        <w:pStyle w:val="pheading"/>
      </w:pPr>
      <w:r>
        <w:t>- Prescriptions complémentaires</w:t>
      </w:r>
    </w:p>
    <w:p w14:paraId="72FFE984" w14:textId="77777777" w:rsidR="00DB2B68" w:rsidRDefault="00000000">
      <w:pPr>
        <w:jc w:val="both"/>
      </w:pPr>
      <w:r>
        <w:rPr>
          <w:rStyle w:val="facultChar"/>
        </w:rPr>
        <w:t xml:space="preserve">Valeur de Umax = suivant </w:t>
      </w:r>
      <w:r>
        <w:rPr>
          <w:rStyle w:val="optioncarChar"/>
        </w:rPr>
        <w:t>étude de performance énergétique</w:t>
      </w:r>
      <w:r>
        <w:t> (par défaut)</w:t>
      </w:r>
      <w:r>
        <w:rPr>
          <w:rStyle w:val="optioncarChar"/>
        </w:rPr>
        <w:t xml:space="preserve"> / *** W/ m²K.</w:t>
      </w:r>
    </w:p>
    <w:p w14:paraId="5EAE6C54" w14:textId="77777777" w:rsidR="00DB2B68" w:rsidRDefault="00000000">
      <w:pPr>
        <w:jc w:val="both"/>
      </w:pPr>
      <w:r>
        <w:rPr>
          <w:rStyle w:val="facultChar"/>
        </w:rPr>
        <w:t>L'entrepreneur soumet un échantillon, la fiche technique et la déclaration des performances (DoP) du matériau pour approbation à l’auteur de projet et au maître de l’ouvrage.</w:t>
      </w:r>
    </w:p>
    <w:p w14:paraId="647ECAA0" w14:textId="77777777" w:rsidR="00DB2B68" w:rsidRDefault="00000000">
      <w:pPr>
        <w:jc w:val="both"/>
      </w:pPr>
      <w:r>
        <w:rPr>
          <w:rStyle w:val="facultChar"/>
        </w:rPr>
        <w:t xml:space="preserve">Les armatures éventuelles suivent les prescriptions de l'élément </w:t>
      </w:r>
      <w:hyperlink w:anchor="419" w:history="1">
        <w:r>
          <w:rPr>
            <w:rStyle w:val="facultChar"/>
            <w:color w:val="0000EE"/>
          </w:rPr>
          <w:t>21.41 Armatures pour maçonneries</w:t>
        </w:r>
      </w:hyperlink>
      <w:r>
        <w:rPr>
          <w:rStyle w:val="facultChar"/>
        </w:rPr>
        <w:t>.</w:t>
      </w:r>
    </w:p>
    <w:p w14:paraId="6F303C7B" w14:textId="77777777" w:rsidR="00DB2B68" w:rsidRDefault="00000000">
      <w:pPr>
        <w:jc w:val="both"/>
      </w:pPr>
      <w:r>
        <w:rPr>
          <w:rStyle w:val="facultChar"/>
        </w:rPr>
        <w:t xml:space="preserve">Résistance à la compression est de min </w:t>
      </w:r>
      <w:r>
        <w:rPr>
          <w:rStyle w:val="optioncarChar"/>
        </w:rPr>
        <w:t>***</w:t>
      </w:r>
      <w:r>
        <w:rPr>
          <w:rStyle w:val="facultChar"/>
        </w:rPr>
        <w:t xml:space="preserve"> N/mm²</w:t>
      </w:r>
    </w:p>
    <w:p w14:paraId="288D2B27" w14:textId="77777777" w:rsidR="00DB2B68" w:rsidRDefault="00000000">
      <w:pPr>
        <w:jc w:val="both"/>
      </w:pPr>
      <w:r>
        <w:rPr>
          <w:rStyle w:val="facultChar"/>
        </w:rPr>
        <w:t> </w:t>
      </w:r>
    </w:p>
    <w:p w14:paraId="4ABD435F" w14:textId="77777777" w:rsidR="00DB2B68" w:rsidRDefault="00000000">
      <w:pPr>
        <w:jc w:val="both"/>
      </w:pPr>
      <w:r>
        <w:rPr>
          <w:rStyle w:val="facultChar"/>
          <w:b/>
        </w:rPr>
        <w:t>Résistance au feu des parois</w:t>
      </w:r>
    </w:p>
    <w:p w14:paraId="59CE62EF" w14:textId="77777777" w:rsidR="00DB2B68" w:rsidRDefault="00000000">
      <w:pPr>
        <w:jc w:val="both"/>
      </w:pPr>
      <w:r>
        <w:rPr>
          <w:rStyle w:val="facultChar"/>
        </w:rPr>
        <w:t>Résistance au feu suivant la déclaration de performance (DoP) selon la [NBN EN 14992+A1].</w:t>
      </w:r>
    </w:p>
    <w:p w14:paraId="5DB65958" w14:textId="77777777" w:rsidR="00DB2B68" w:rsidRDefault="00000000">
      <w:pPr>
        <w:jc w:val="both"/>
      </w:pPr>
      <w:r>
        <w:rPr>
          <w:rStyle w:val="facultChar"/>
        </w:rPr>
        <w:t>Si la résistance au feu n’est pas déclarée sous marquage CE, elle est démontrée par test au feu selon la [NBN EN 13501-2] ou par calcul selon les Eurocodes conformément à l’[AM 2013-05-17].</w:t>
      </w:r>
    </w:p>
    <w:p w14:paraId="378E5BBD" w14:textId="77777777" w:rsidR="00DB2B68" w:rsidRDefault="00000000">
      <w:pPr>
        <w:jc w:val="both"/>
      </w:pPr>
      <w:r>
        <w:rPr>
          <w:rStyle w:val="facultChar"/>
        </w:rPr>
        <w:t xml:space="preserve">Pour les éléments non porteurs avec fonction séparante : </w:t>
      </w:r>
      <w:r>
        <w:rPr>
          <w:rStyle w:val="optioncarChar"/>
        </w:rPr>
        <w:t>EI 30</w:t>
      </w:r>
      <w:r>
        <w:t xml:space="preserve"> (par défaut) </w:t>
      </w:r>
      <w:r>
        <w:rPr>
          <w:rStyle w:val="optioncarChar"/>
        </w:rPr>
        <w:t>/ EI 60 / EI 120 / EI ***</w:t>
      </w:r>
    </w:p>
    <w:p w14:paraId="6B62222C" w14:textId="77777777" w:rsidR="00DB2B68" w:rsidRDefault="00000000">
      <w:pPr>
        <w:pStyle w:val="pheading"/>
      </w:pPr>
      <w:r>
        <w:t>EXÉCUTION / MISE EN ŒUVRE</w:t>
      </w:r>
    </w:p>
    <w:p w14:paraId="2EC5DAE3" w14:textId="77777777" w:rsidR="00DB2B68" w:rsidRDefault="00000000">
      <w:pPr>
        <w:pStyle w:val="pheading"/>
      </w:pPr>
      <w:r>
        <w:t>- Prescriptions générales</w:t>
      </w:r>
    </w:p>
    <w:p w14:paraId="776AF554" w14:textId="77777777" w:rsidR="00DB2B68" w:rsidRDefault="00000000">
      <w:r>
        <w:t>La mise en œuvre est conforme aux normes [NBN EN 13670] et [NBN B 15-400].</w:t>
      </w:r>
    </w:p>
    <w:p w14:paraId="5D528090" w14:textId="77777777" w:rsidR="00DB2B68" w:rsidRDefault="00000000">
      <w:r>
        <w:t xml:space="preserve">La première assise est posée à bain de mortier hydrofuge et réglée de niveau. Les lits suivant sont montés au mortier. Les mortiers respectent les prescriptions de la section </w:t>
      </w:r>
      <w:hyperlink w:anchor="295" w:history="1">
        <w:r>
          <w:rPr>
            <w:color w:val="0000EE"/>
          </w:rPr>
          <w:t>21 Superstructures en maçonnerie</w:t>
        </w:r>
      </w:hyperlink>
      <w:r>
        <w:t xml:space="preserve"> partie Mortiers.</w:t>
      </w:r>
    </w:p>
    <w:p w14:paraId="411B07A1" w14:textId="77777777" w:rsidR="00DB2B68" w:rsidRDefault="00000000">
      <w:r>
        <w:t>Type de mortier</w:t>
      </w:r>
      <w:r>
        <w:rPr>
          <w:rStyle w:val="optioncarChar"/>
        </w:rPr>
        <w:t xml:space="preserve"> G </w:t>
      </w:r>
      <w:r>
        <w:t>(par défaut)</w:t>
      </w:r>
      <w:r>
        <w:rPr>
          <w:rStyle w:val="optioncarChar"/>
        </w:rPr>
        <w:t xml:space="preserve"> / T</w:t>
      </w:r>
    </w:p>
    <w:p w14:paraId="450073DE" w14:textId="77777777" w:rsidR="00DB2B68" w:rsidRDefault="00000000">
      <w:r>
        <w:lastRenderedPageBreak/>
        <w:t>Pour les parois utilisées comme éléments de l’enveloppe extérieure d’un ouvrage la continuité de l’isolation et de l’étanchéité à l’air est assurée conformément au [DRW 2013-11-28] tout en veillant à l’esthétique des finitions prévues.</w:t>
      </w:r>
    </w:p>
    <w:p w14:paraId="3D69F752" w14:textId="77777777" w:rsidR="00DB2B68" w:rsidRDefault="00000000">
      <w:r>
        <w:t>L’étude et les plans d’exécution </w:t>
      </w:r>
      <w:r>
        <w:rPr>
          <w:rStyle w:val="optioncarChar"/>
        </w:rPr>
        <w:t>sont / ne sont pas</w:t>
      </w:r>
      <w:r>
        <w:t> à charge de l’entreprise.</w:t>
      </w:r>
    </w:p>
    <w:p w14:paraId="2541DF4E" w14:textId="77777777" w:rsidR="00DB2B68" w:rsidRDefault="00000000">
      <w:r>
        <w:t xml:space="preserve">Les blocs sont fixés à la structure porteuse avec </w:t>
      </w:r>
      <w:r>
        <w:rPr>
          <w:rStyle w:val="optioncarChar"/>
        </w:rPr>
        <w:t>2 / 3 / 4 </w:t>
      </w:r>
      <w:r>
        <w:t>(par défaut)</w:t>
      </w:r>
      <w:r>
        <w:rPr>
          <w:rStyle w:val="optioncarChar"/>
        </w:rPr>
        <w:t xml:space="preserve"> / 5 / 6 / ***</w:t>
      </w:r>
      <w:r>
        <w:t xml:space="preserve"> fixations au m² au moyen de </w:t>
      </w:r>
      <w:r>
        <w:rPr>
          <w:rStyle w:val="optioncarChar"/>
        </w:rPr>
        <w:t>vis</w:t>
      </w:r>
      <w:r>
        <w:t> (par défaut)</w:t>
      </w:r>
      <w:r>
        <w:rPr>
          <w:rStyle w:val="optioncarChar"/>
        </w:rPr>
        <w:t xml:space="preserve"> / pates d’attache / ***</w:t>
      </w:r>
      <w:r>
        <w:t>.</w:t>
      </w:r>
    </w:p>
    <w:p w14:paraId="6B2076FE" w14:textId="77777777" w:rsidR="00DB2B68" w:rsidRDefault="00000000">
      <w:pPr>
        <w:pStyle w:val="pheading"/>
      </w:pPr>
      <w:r>
        <w:t>DOCUMENTS DE RÉFÉRENCE COMPLÉMENTAIRES</w:t>
      </w:r>
    </w:p>
    <w:p w14:paraId="5781EF4D" w14:textId="77777777" w:rsidR="00DB2B68" w:rsidRDefault="00000000">
      <w:pPr>
        <w:pStyle w:val="pheading"/>
      </w:pPr>
      <w:r>
        <w:t>- Matériau</w:t>
      </w:r>
    </w:p>
    <w:p w14:paraId="2EC62EB9" w14:textId="77777777" w:rsidR="00DB2B68" w:rsidRDefault="00000000">
      <w:r>
        <w:t>[NBN EN 998-2, Définitions et spécifications des mortiers pour maçonnerie - Partie 2: Mortiers de montage des éléments de maçonnerie]</w:t>
      </w:r>
    </w:p>
    <w:p w14:paraId="03FB2935" w14:textId="77777777" w:rsidR="00DB2B68" w:rsidRDefault="00000000">
      <w:r>
        <w:t>[NBN EN 14474, Produits préfabriqués en béton - Béton utilisant des copeaux de bois comme granulat - Exigences et méthodes d'essai]</w:t>
      </w:r>
    </w:p>
    <w:p w14:paraId="556879FE" w14:textId="77777777" w:rsidR="00DB2B68" w:rsidRDefault="00000000">
      <w:r>
        <w:t>[NBN EN 771-3+A1, Spécifications pour éléments de maçonnerie - Partie 3: Éléments de maçonnerie en béton de granulats (granulats courants et légers)]</w:t>
      </w:r>
    </w:p>
    <w:p w14:paraId="241CF7C4" w14:textId="77777777" w:rsidR="00DB2B68" w:rsidRDefault="00000000">
      <w:r>
        <w:t>[PTV 21-001, Eléments de maçonnerie en béton (granulats courants et légers) - Classification et spécifications d'application]</w:t>
      </w:r>
    </w:p>
    <w:p w14:paraId="0659E2AA"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415939AC" w14:textId="77777777" w:rsidR="00DB2B68" w:rsidRDefault="00000000">
      <w:r>
        <w:t>[AM 2013-05-17, Arrêté ministériel relatif à l’utilisation des Eurocodes comme méthodes de calcul pour l’évaluation de la résistance au feu d’éléments de construction]</w:t>
      </w:r>
    </w:p>
    <w:p w14:paraId="170651E1" w14:textId="77777777" w:rsidR="00DB2B68" w:rsidRDefault="00000000">
      <w:pPr>
        <w:pStyle w:val="pheading"/>
      </w:pPr>
      <w:r>
        <w:t>- Exécution</w:t>
      </w:r>
    </w:p>
    <w:p w14:paraId="687FE8C5" w14:textId="77777777" w:rsidR="00DB2B68" w:rsidRDefault="00000000">
      <w:r>
        <w:t>[NBN EN 13670, Exécution des structures en béton]</w:t>
      </w:r>
    </w:p>
    <w:p w14:paraId="0E11CB13" w14:textId="77777777" w:rsidR="00DB2B68" w:rsidRDefault="00000000">
      <w:r>
        <w:t>[NBN B 15-400, Exécution des structures en béton - Supplément national à la NBN EN 13670:2010]</w:t>
      </w:r>
    </w:p>
    <w:p w14:paraId="5BA854E5" w14:textId="77777777" w:rsidR="00DB2B68" w:rsidRDefault="00000000">
      <w:r>
        <w:t>[DRW 2013-11-28, Décret relatif à la performance énergétique des bâtiments (Décret PEB)]</w:t>
      </w:r>
    </w:p>
    <w:p w14:paraId="63CDA97C" w14:textId="77777777" w:rsidR="00DB2B68" w:rsidRDefault="00000000">
      <w:pPr>
        <w:pStyle w:val="pheading"/>
      </w:pPr>
      <w:r>
        <w:t>MESURAGE</w:t>
      </w:r>
    </w:p>
    <w:p w14:paraId="63EBE125" w14:textId="77777777" w:rsidR="00DB2B68" w:rsidRDefault="00000000">
      <w:pPr>
        <w:pStyle w:val="pheading"/>
      </w:pPr>
      <w:r>
        <w:t>- unité de mesure:</w:t>
      </w:r>
    </w:p>
    <w:p w14:paraId="6B29463E" w14:textId="77777777" w:rsidR="00DB2B68" w:rsidRDefault="00000000">
      <w:r>
        <w:rPr>
          <w:rStyle w:val="optioncarChar"/>
        </w:rPr>
        <w:t xml:space="preserve">m² </w:t>
      </w:r>
      <w:r>
        <w:t xml:space="preserve">(par défaut) </w:t>
      </w:r>
      <w:r>
        <w:rPr>
          <w:rStyle w:val="optioncarChar"/>
        </w:rPr>
        <w:t>/ m³</w:t>
      </w:r>
    </w:p>
    <w:p w14:paraId="2978B7C1" w14:textId="77777777" w:rsidR="00DB2B68" w:rsidRDefault="00000000">
      <w:r>
        <w:rPr>
          <w:b/>
          <w:i/>
        </w:rPr>
        <w:t>(Soit par défaut)</w:t>
      </w:r>
    </w:p>
    <w:p w14:paraId="172E2B13" w14:textId="77777777" w:rsidR="00DB2B68" w:rsidRDefault="00000000">
      <w:r>
        <w:rPr>
          <w:rStyle w:val="soitChar"/>
        </w:rPr>
        <w:t>1. m²</w:t>
      </w:r>
    </w:p>
    <w:p w14:paraId="61374813" w14:textId="77777777" w:rsidR="00DB2B68" w:rsidRDefault="00000000">
      <w:r>
        <w:rPr>
          <w:b/>
          <w:i/>
        </w:rPr>
        <w:t>(Soit)</w:t>
      </w:r>
    </w:p>
    <w:p w14:paraId="20D4E861" w14:textId="77777777" w:rsidR="00DB2B68" w:rsidRDefault="00000000">
      <w:r>
        <w:rPr>
          <w:rStyle w:val="soitChar"/>
        </w:rPr>
        <w:t>2. m³</w:t>
      </w:r>
    </w:p>
    <w:p w14:paraId="22E3A529" w14:textId="77777777" w:rsidR="00DB2B68" w:rsidRDefault="00000000">
      <w:pPr>
        <w:pStyle w:val="pheading"/>
      </w:pPr>
      <w:r>
        <w:t>- code de mesurage:</w:t>
      </w:r>
    </w:p>
    <w:p w14:paraId="1243DA28" w14:textId="77777777" w:rsidR="00DB2B68" w:rsidRDefault="00000000">
      <w:pPr>
        <w:jc w:val="both"/>
      </w:pPr>
      <w:r>
        <w:rPr>
          <w:rStyle w:val="optioncarChar"/>
        </w:rPr>
        <w:t>Surface nette</w:t>
      </w:r>
      <w:r>
        <w:t xml:space="preserve"> (par défaut)</w:t>
      </w:r>
      <w:r>
        <w:rPr>
          <w:rStyle w:val="optioncarChar"/>
        </w:rPr>
        <w:t xml:space="preserve"> / Volume net</w:t>
      </w:r>
    </w:p>
    <w:p w14:paraId="5014F637" w14:textId="77777777" w:rsidR="00DB2B68" w:rsidRDefault="00000000">
      <w:pPr>
        <w:jc w:val="both"/>
      </w:pPr>
      <w:r>
        <w:rPr>
          <w:b/>
          <w:i/>
        </w:rPr>
        <w:t>(Soit par défaut)</w:t>
      </w:r>
    </w:p>
    <w:p w14:paraId="4F3672F9" w14:textId="77777777" w:rsidR="00DB2B68" w:rsidRDefault="00000000">
      <w:pPr>
        <w:jc w:val="both"/>
      </w:pPr>
      <w:r>
        <w:rPr>
          <w:rStyle w:val="soitChar"/>
          <w:b/>
        </w:rPr>
        <w:t>1. Surface nette</w:t>
      </w:r>
      <w:r>
        <w:rPr>
          <w:rStyle w:val="soitChar"/>
        </w:rPr>
        <w:t>: Longueur x Largeur de la paroi. Les baies inférieures à 0,50 m² ne sont pas déduites.</w:t>
      </w:r>
    </w:p>
    <w:p w14:paraId="76E58FDF" w14:textId="77777777" w:rsidR="00DB2B68" w:rsidRDefault="00000000">
      <w:pPr>
        <w:jc w:val="both"/>
      </w:pPr>
      <w:r>
        <w:rPr>
          <w:rStyle w:val="soitChar"/>
        </w:rPr>
        <w:t>Distinction faite selon le type et l’épaisseur.</w:t>
      </w:r>
    </w:p>
    <w:p w14:paraId="5FCD60E9" w14:textId="77777777" w:rsidR="00DB2B68" w:rsidRDefault="00000000">
      <w:pPr>
        <w:jc w:val="both"/>
      </w:pPr>
      <w:r>
        <w:rPr>
          <w:b/>
          <w:i/>
        </w:rPr>
        <w:t>(Soit)</w:t>
      </w:r>
    </w:p>
    <w:p w14:paraId="650BB112" w14:textId="77777777" w:rsidR="00DB2B68" w:rsidRDefault="00000000">
      <w:pPr>
        <w:jc w:val="both"/>
      </w:pPr>
      <w:r>
        <w:rPr>
          <w:rStyle w:val="soitChar"/>
          <w:b/>
        </w:rPr>
        <w:t>2. Volume net</w:t>
      </w:r>
      <w:r>
        <w:rPr>
          <w:rStyle w:val="soitChar"/>
        </w:rPr>
        <w:t xml:space="preserve"> : Volume net des parois en béton de bois. Il n’est pas fait de déduction de volume de béton pour les réservations, écarteurs, les armatures etc. si ce volume est inférieur à 0,05 m³.  Distinction faite selon le type et l’épaisseur.</w:t>
      </w:r>
    </w:p>
    <w:p w14:paraId="0C94E4FF" w14:textId="77777777" w:rsidR="00DB2B68" w:rsidRDefault="00000000">
      <w:pPr>
        <w:pStyle w:val="pheading"/>
      </w:pPr>
      <w:r>
        <w:t>- nature du marché:</w:t>
      </w:r>
    </w:p>
    <w:p w14:paraId="4721BBDD" w14:textId="77777777" w:rsidR="00DB2B68" w:rsidRDefault="00000000">
      <w:r>
        <w:rPr>
          <w:rStyle w:val="optioncarChar"/>
        </w:rPr>
        <w:lastRenderedPageBreak/>
        <w:t xml:space="preserve">QF </w:t>
      </w:r>
      <w:r>
        <w:t>(par défaut)</w:t>
      </w:r>
      <w:r>
        <w:rPr>
          <w:rStyle w:val="optioncarChar"/>
        </w:rPr>
        <w:t xml:space="preserve"> / QP</w:t>
      </w:r>
    </w:p>
    <w:p w14:paraId="7430F415" w14:textId="77777777" w:rsidR="00DB2B68" w:rsidRDefault="00000000">
      <w:r>
        <w:rPr>
          <w:b/>
          <w:i/>
        </w:rPr>
        <w:t>(Soit par défaut)</w:t>
      </w:r>
    </w:p>
    <w:p w14:paraId="1510D1ED" w14:textId="77777777" w:rsidR="00DB2B68" w:rsidRDefault="00000000">
      <w:r>
        <w:rPr>
          <w:rStyle w:val="soitChar"/>
        </w:rPr>
        <w:t>1. 2. QF</w:t>
      </w:r>
    </w:p>
    <w:p w14:paraId="41523429" w14:textId="77777777" w:rsidR="00DB2B68" w:rsidRDefault="00000000">
      <w:r>
        <w:rPr>
          <w:b/>
          <w:i/>
        </w:rPr>
        <w:t>(Soit)</w:t>
      </w:r>
    </w:p>
    <w:p w14:paraId="09A7D22E" w14:textId="77777777" w:rsidR="00DB2B68" w:rsidRDefault="00000000">
      <w:r>
        <w:rPr>
          <w:rStyle w:val="soitChar"/>
        </w:rPr>
        <w:t>1. 2. QP</w:t>
      </w:r>
      <w:r>
        <w:t xml:space="preserve">   </w:t>
      </w:r>
    </w:p>
    <w:p w14:paraId="0636D48E" w14:textId="77777777" w:rsidR="00DB2B68" w:rsidRDefault="00000000">
      <w:pPr>
        <w:pStyle w:val="Author-eSectionHeading6Numberless"/>
      </w:pPr>
      <w:bookmarkStart w:id="2034" w:name="_Toc220496975"/>
      <w:r>
        <w:t>26.47.3d Isolation en blocs - béton de bois avec isolant complémentaire CCTB 01.11</w:t>
      </w:r>
      <w:bookmarkEnd w:id="2034"/>
    </w:p>
    <w:p w14:paraId="0084F4A7" w14:textId="77777777" w:rsidR="00DB2B68" w:rsidRDefault="00000000">
      <w:pPr>
        <w:pStyle w:val="pheading"/>
      </w:pPr>
      <w:r>
        <w:t>DESCRIPTION</w:t>
      </w:r>
    </w:p>
    <w:p w14:paraId="07AA4C77" w14:textId="77777777" w:rsidR="00DB2B68" w:rsidRDefault="00000000">
      <w:pPr>
        <w:pStyle w:val="pheading"/>
      </w:pPr>
      <w:r>
        <w:t>- Définition / Comprend</w:t>
      </w:r>
    </w:p>
    <w:p w14:paraId="2B4421A3" w14:textId="77777777" w:rsidR="00DB2B68" w:rsidRDefault="00000000">
      <w:pPr>
        <w:jc w:val="both"/>
      </w:pPr>
      <w:r>
        <w:t>Il s'agit de la fourniture et de la pose de toutes les faces en élévation de parois non porteuses qui sont constitués de blocs en aggloméré bois-ciment muni d’un isolant complémentaire incorporé en usine. Ces blocs sont placés contre ou dans une structure porteuse.</w:t>
      </w:r>
    </w:p>
    <w:p w14:paraId="6FCB363A" w14:textId="77777777" w:rsidR="00DB2B68" w:rsidRDefault="00000000">
      <w:pPr>
        <w:pStyle w:val="pheading"/>
      </w:pPr>
      <w:r>
        <w:t>- Localisation</w:t>
      </w:r>
    </w:p>
    <w:p w14:paraId="61EC469E" w14:textId="77777777" w:rsidR="00DB2B68" w:rsidRDefault="00000000">
      <w:r>
        <w:t>La pose est réalisée aux endroits suivants :</w:t>
      </w:r>
      <w:r>
        <w:rPr>
          <w:rStyle w:val="optioncarChar"/>
        </w:rPr>
        <w:t xml:space="preserve"> ***</w:t>
      </w:r>
      <w:r>
        <w:t>.</w:t>
      </w:r>
    </w:p>
    <w:p w14:paraId="405E0114" w14:textId="77777777" w:rsidR="00DB2B68" w:rsidRDefault="00000000">
      <w:r>
        <w:t>Voir plans et métrés détaillés.</w:t>
      </w:r>
    </w:p>
    <w:p w14:paraId="715C2265" w14:textId="77777777" w:rsidR="00DB2B68" w:rsidRDefault="00000000">
      <w:pPr>
        <w:pStyle w:val="pheading"/>
      </w:pPr>
      <w:r>
        <w:t>MATÉRIAUX</w:t>
      </w:r>
    </w:p>
    <w:p w14:paraId="76A07D7D" w14:textId="77777777" w:rsidR="00DB2B68" w:rsidRDefault="00000000">
      <w:pPr>
        <w:pStyle w:val="pheading"/>
      </w:pPr>
      <w:r>
        <w:t>- Caractéristiques générales</w:t>
      </w:r>
    </w:p>
    <w:p w14:paraId="05FB2DE8" w14:textId="77777777" w:rsidR="00DB2B68" w:rsidRDefault="00000000">
      <w:pPr>
        <w:jc w:val="both"/>
      </w:pPr>
      <w:r>
        <w:rPr>
          <w:b/>
        </w:rPr>
        <w:t>Bloc de béton de bois</w:t>
      </w:r>
    </w:p>
    <w:p w14:paraId="101CDCC0" w14:textId="77777777" w:rsidR="00DB2B68" w:rsidRDefault="00000000">
      <w:pPr>
        <w:jc w:val="both"/>
      </w:pPr>
      <w:r>
        <w:t>Matériau d’isolation constitué de copeaux de bois minéralisés et agrégés. Les copeaux de bois qui servent d’agrégats pour le béton sont des copeaux de granulométries différentes.</w:t>
      </w:r>
    </w:p>
    <w:p w14:paraId="3E4D5F75" w14:textId="77777777" w:rsidR="00DB2B68" w:rsidRDefault="00000000">
      <w:pPr>
        <w:jc w:val="both"/>
      </w:pPr>
      <w:r>
        <w:t>Le matériau est conforme aux normes [NBN EN 14474], [NBN EN 771-3+A1] et au [PTV 21-001].</w:t>
      </w:r>
    </w:p>
    <w:p w14:paraId="3953DDB3" w14:textId="77777777" w:rsidR="00DB2B68" w:rsidRDefault="00000000">
      <w:pPr>
        <w:jc w:val="both"/>
      </w:pPr>
      <w:r>
        <w:t>La réaction au feu du bloc en béton de bois est déterminée et indiquée conformément à la [NBN EN 14474] c.à.d. conformément à la [NBN EN 13823], la classification étant effectuée conformément à la [NBN EN 13501-1]. le matériau doit répondre au minimum au classement B,s1 d0.</w:t>
      </w:r>
    </w:p>
    <w:p w14:paraId="616CFFD5" w14:textId="77777777" w:rsidR="00DB2B68" w:rsidRDefault="00000000">
      <w:pPr>
        <w:jc w:val="both"/>
      </w:pPr>
      <w:r>
        <w:t xml:space="preserve">Masse volumique sèche des blocs est de +/- </w:t>
      </w:r>
      <w:r>
        <w:rPr>
          <w:rStyle w:val="optioncarChar"/>
        </w:rPr>
        <w:t>500 </w:t>
      </w:r>
      <w:r>
        <w:t>(par défaut)</w:t>
      </w:r>
      <w:r>
        <w:rPr>
          <w:rStyle w:val="optioncarChar"/>
        </w:rPr>
        <w:t xml:space="preserve"> / 600 / ***</w:t>
      </w:r>
      <w:r>
        <w:t xml:space="preserve"> kg/m³</w:t>
      </w:r>
    </w:p>
    <w:p w14:paraId="2D9F661F" w14:textId="77777777" w:rsidR="00DB2B68" w:rsidRDefault="00000000">
      <w:pPr>
        <w:jc w:val="both"/>
      </w:pPr>
      <w:r>
        <w:t xml:space="preserve">Conductivité thermique (selon [NBN EN 12667] ou selon [NBN EN 12939] pour les produits épais) : valeur λ = ≤  </w:t>
      </w:r>
      <w:r>
        <w:rPr>
          <w:rStyle w:val="optioncarChar"/>
        </w:rPr>
        <w:t xml:space="preserve">0.16 </w:t>
      </w:r>
      <w:r>
        <w:t>(par défaut)</w:t>
      </w:r>
      <w:r>
        <w:rPr>
          <w:rStyle w:val="optioncarChar"/>
        </w:rPr>
        <w:t xml:space="preserve"> / ***</w:t>
      </w:r>
      <w:r>
        <w:t> W/mK.</w:t>
      </w:r>
    </w:p>
    <w:p w14:paraId="571D81A3" w14:textId="77777777" w:rsidR="00DB2B68" w:rsidRDefault="00000000">
      <w:pPr>
        <w:jc w:val="both"/>
      </w:pPr>
      <w:r>
        <w:t xml:space="preserve">Paroi en béton de bois : </w:t>
      </w:r>
      <w:r>
        <w:rPr>
          <w:rStyle w:val="optioncarChar"/>
        </w:rPr>
        <w:t>22 </w:t>
      </w:r>
      <w:r>
        <w:t>(par défaut)</w:t>
      </w:r>
      <w:r>
        <w:rPr>
          <w:rStyle w:val="optioncarChar"/>
        </w:rPr>
        <w:t xml:space="preserve"> / 25 / 35 / 40 ***</w:t>
      </w:r>
      <w:r>
        <w:t xml:space="preserve"> cm suivant étude PEB et plans d’exécution. </w:t>
      </w:r>
    </w:p>
    <w:p w14:paraId="220323E8" w14:textId="77777777" w:rsidR="00DB2B68" w:rsidRDefault="00000000">
      <w:pPr>
        <w:jc w:val="both"/>
      </w:pPr>
      <w:r>
        <w:t>Les valeurs Umax sont toujours inférieures aux exigences légales en application au moment du dépôt du permis d’urbanisme.</w:t>
      </w:r>
    </w:p>
    <w:p w14:paraId="6D853F04" w14:textId="77777777" w:rsidR="00DB2B68" w:rsidRDefault="00000000">
      <w:pPr>
        <w:jc w:val="both"/>
      </w:pPr>
      <w:r>
        <w:t>Les joints assurent un maximum la continuité thermique du bloc isolant. </w:t>
      </w:r>
    </w:p>
    <w:p w14:paraId="2BCF5E16" w14:textId="77777777" w:rsidR="00DB2B68" w:rsidRDefault="00000000">
      <w:pPr>
        <w:jc w:val="both"/>
      </w:pPr>
      <w:r>
        <w:rPr>
          <w:b/>
        </w:rPr>
        <w:t>Isolant</w:t>
      </w:r>
    </w:p>
    <w:p w14:paraId="4D593F8B" w14:textId="77777777" w:rsidR="00DB2B68" w:rsidRDefault="00000000">
      <w:pPr>
        <w:jc w:val="both"/>
      </w:pPr>
      <w:r>
        <w:t xml:space="preserve">Un isolant thermique en </w:t>
      </w:r>
      <w:r>
        <w:rPr>
          <w:rStyle w:val="optioncarChar"/>
        </w:rPr>
        <w:t>EPS </w:t>
      </w:r>
      <w:r>
        <w:t>(par défaut)</w:t>
      </w:r>
      <w:r>
        <w:rPr>
          <w:rStyle w:val="optioncarChar"/>
        </w:rPr>
        <w:t xml:space="preserve"> / PUR / Laine de bois / ***</w:t>
      </w:r>
      <w:r>
        <w:t xml:space="preserve"> est fourni avec le bloc en complément.</w:t>
      </w:r>
    </w:p>
    <w:p w14:paraId="73E79142" w14:textId="77777777" w:rsidR="00DB2B68" w:rsidRDefault="00000000">
      <w:pPr>
        <w:jc w:val="both"/>
      </w:pPr>
      <w:r>
        <w:t>Les isolants sont suffisamment rigides pour résister aux déformations pendant le bétonnage et le durcissement.</w:t>
      </w:r>
    </w:p>
    <w:p w14:paraId="15BC820C" w14:textId="77777777" w:rsidR="00DB2B68" w:rsidRDefault="00000000">
      <w:pPr>
        <w:jc w:val="both"/>
      </w:pPr>
      <w:r>
        <w:t xml:space="preserve">Classement au feu : </w:t>
      </w:r>
      <w:r>
        <w:rPr>
          <w:rStyle w:val="optioncarChar"/>
        </w:rPr>
        <w:t>***/ E</w:t>
      </w:r>
      <w:r>
        <w:t xml:space="preserve"> (par défaut)</w:t>
      </w:r>
    </w:p>
    <w:p w14:paraId="7BD5BD94" w14:textId="77777777" w:rsidR="00DB2B68" w:rsidRDefault="00000000">
      <w:pPr>
        <w:jc w:val="both"/>
      </w:pPr>
      <w:r>
        <w:t>Épaisseur : </w:t>
      </w:r>
      <w:r>
        <w:rPr>
          <w:rStyle w:val="optioncarChar"/>
        </w:rPr>
        <w:t>8 </w:t>
      </w:r>
      <w:r>
        <w:t>(par défaut) </w:t>
      </w:r>
      <w:r>
        <w:rPr>
          <w:rStyle w:val="optioncarChar"/>
        </w:rPr>
        <w:t>/ 12 / 16 / 20 / 25 / ***</w:t>
      </w:r>
      <w:r>
        <w:t xml:space="preserve"> cm.</w:t>
      </w:r>
    </w:p>
    <w:p w14:paraId="51D6D1F2" w14:textId="77777777" w:rsidR="00DB2B68" w:rsidRDefault="00000000">
      <w:pPr>
        <w:jc w:val="both"/>
      </w:pPr>
      <w:r>
        <w:t xml:space="preserve">Résistance thermique du plancher  ≥ </w:t>
      </w:r>
      <w:r>
        <w:rPr>
          <w:rStyle w:val="optioncarChar"/>
        </w:rPr>
        <w:t>*** / 2 / 3 / 4</w:t>
      </w:r>
      <w:r>
        <w:t xml:space="preserve"> (par défaut) m²K/W.</w:t>
      </w:r>
    </w:p>
    <w:p w14:paraId="3941226E" w14:textId="77777777" w:rsidR="00DB2B68" w:rsidRDefault="00000000">
      <w:pPr>
        <w:jc w:val="both"/>
      </w:pPr>
      <w:r>
        <w:t xml:space="preserve">Cet isolant est </w:t>
      </w:r>
      <w:r>
        <w:rPr>
          <w:rStyle w:val="optioncarChar"/>
        </w:rPr>
        <w:t>inséré dans les alvéoles </w:t>
      </w:r>
      <w:r>
        <w:t>(par défaut)</w:t>
      </w:r>
      <w:r>
        <w:rPr>
          <w:rStyle w:val="optioncarChar"/>
        </w:rPr>
        <w:t xml:space="preserve"> / à l’extérieur</w:t>
      </w:r>
      <w:r>
        <w:t xml:space="preserve"> des blocs de béton de bois.</w:t>
      </w:r>
    </w:p>
    <w:p w14:paraId="12D2B6EC" w14:textId="77777777" w:rsidR="00DB2B68" w:rsidRDefault="00000000">
      <w:pPr>
        <w:pStyle w:val="pheading"/>
      </w:pPr>
      <w:r>
        <w:t>- Finitions</w:t>
      </w:r>
    </w:p>
    <w:p w14:paraId="38C030DC" w14:textId="77777777" w:rsidR="00DB2B68" w:rsidRDefault="00000000">
      <w:r>
        <w:t>Apparence brute du produit afin de recevoir une finition.</w:t>
      </w:r>
    </w:p>
    <w:p w14:paraId="401F3972" w14:textId="77777777" w:rsidR="00DB2B68" w:rsidRDefault="00000000">
      <w:pPr>
        <w:pStyle w:val="pheading"/>
      </w:pPr>
      <w:r>
        <w:lastRenderedPageBreak/>
        <w:t>- Prescriptions complémentaires</w:t>
      </w:r>
    </w:p>
    <w:p w14:paraId="08EB95DF" w14:textId="77777777" w:rsidR="00DB2B68" w:rsidRDefault="00000000">
      <w:pPr>
        <w:jc w:val="both"/>
      </w:pPr>
      <w:r>
        <w:rPr>
          <w:rStyle w:val="facultChar"/>
        </w:rPr>
        <w:t xml:space="preserve">Valeur de Umax = suivant </w:t>
      </w:r>
      <w:r>
        <w:rPr>
          <w:rStyle w:val="optioncarChar"/>
        </w:rPr>
        <w:t>étude de performance énergétique / *** W/ m²K.</w:t>
      </w:r>
    </w:p>
    <w:p w14:paraId="50E13C1D" w14:textId="77777777" w:rsidR="00DB2B68" w:rsidRDefault="00000000">
      <w:pPr>
        <w:jc w:val="both"/>
      </w:pPr>
      <w:r>
        <w:rPr>
          <w:rStyle w:val="facultChar"/>
        </w:rPr>
        <w:t>L'entrepreneur soumet un échantillon, la fiche technique et la déclaration des performances (DoP) du matériau pour approbation à l’auteur de projet et au maître de l’ouvrage.</w:t>
      </w:r>
    </w:p>
    <w:p w14:paraId="6BCC15E6" w14:textId="77777777" w:rsidR="00DB2B68" w:rsidRDefault="00000000">
      <w:pPr>
        <w:jc w:val="both"/>
      </w:pPr>
      <w:r>
        <w:rPr>
          <w:rStyle w:val="facultChar"/>
        </w:rPr>
        <w:t xml:space="preserve">Les armatures éventuelles suivent les prescriptions de l'élément </w:t>
      </w:r>
      <w:hyperlink w:anchor="419" w:history="1">
        <w:r>
          <w:rPr>
            <w:rStyle w:val="facultChar"/>
            <w:color w:val="0000EE"/>
          </w:rPr>
          <w:t>21.41 Armatures pour maçonneries</w:t>
        </w:r>
      </w:hyperlink>
      <w:r>
        <w:rPr>
          <w:rStyle w:val="facultChar"/>
        </w:rPr>
        <w:t>.</w:t>
      </w:r>
    </w:p>
    <w:p w14:paraId="0F7111F1" w14:textId="77777777" w:rsidR="00DB2B68" w:rsidRDefault="00000000">
      <w:pPr>
        <w:jc w:val="both"/>
      </w:pPr>
      <w:r>
        <w:rPr>
          <w:rStyle w:val="facultChar"/>
        </w:rPr>
        <w:t xml:space="preserve">Résistance à la compression est de min </w:t>
      </w:r>
      <w:r>
        <w:rPr>
          <w:rStyle w:val="optioncarChar"/>
        </w:rPr>
        <w:t>***</w:t>
      </w:r>
      <w:r>
        <w:rPr>
          <w:rStyle w:val="facultChar"/>
        </w:rPr>
        <w:t>N/mm²</w:t>
      </w:r>
    </w:p>
    <w:p w14:paraId="7FCA07EA" w14:textId="77777777" w:rsidR="00DB2B68" w:rsidRDefault="00DB2B68">
      <w:pPr>
        <w:jc w:val="both"/>
      </w:pPr>
    </w:p>
    <w:p w14:paraId="049E9326" w14:textId="77777777" w:rsidR="00DB2B68" w:rsidRDefault="00000000">
      <w:pPr>
        <w:jc w:val="both"/>
      </w:pPr>
      <w:r>
        <w:rPr>
          <w:rStyle w:val="facultChar"/>
          <w:b/>
        </w:rPr>
        <w:t>Résistance au feu des parois</w:t>
      </w:r>
    </w:p>
    <w:p w14:paraId="527FC516" w14:textId="77777777" w:rsidR="00DB2B68" w:rsidRDefault="00000000">
      <w:pPr>
        <w:jc w:val="both"/>
      </w:pPr>
      <w:r>
        <w:rPr>
          <w:rStyle w:val="facultChar"/>
        </w:rPr>
        <w:t>Résistance au feu suivant la déclaration de performance (DoP) selon la [NBN EN 14992+A1].</w:t>
      </w:r>
    </w:p>
    <w:p w14:paraId="0AB8C43F" w14:textId="77777777" w:rsidR="00DB2B68" w:rsidRDefault="00000000">
      <w:pPr>
        <w:jc w:val="both"/>
      </w:pPr>
      <w:r>
        <w:rPr>
          <w:rStyle w:val="facultChar"/>
        </w:rPr>
        <w:t>Si la résistance au feu n’est pas déclarée sous marquage CE, elle est démontrée par test au feu selon la [NBN EN 13501-2] ou par calcul selon les Eurocodes conformément à l’[AM 2013-05-17].</w:t>
      </w:r>
    </w:p>
    <w:p w14:paraId="6D4D63E6" w14:textId="77777777" w:rsidR="00DB2B68" w:rsidRDefault="00000000">
      <w:pPr>
        <w:jc w:val="both"/>
      </w:pPr>
      <w:r>
        <w:rPr>
          <w:rStyle w:val="facultChar"/>
        </w:rPr>
        <w:t xml:space="preserve">Pour les éléments non porteurs avec fonction séparante : </w:t>
      </w:r>
      <w:r>
        <w:rPr>
          <w:rStyle w:val="optioncarChar"/>
        </w:rPr>
        <w:t>EI 30 </w:t>
      </w:r>
      <w:r>
        <w:t>(par défaut)</w:t>
      </w:r>
      <w:r>
        <w:rPr>
          <w:rStyle w:val="optioncarChar"/>
        </w:rPr>
        <w:t xml:space="preserve"> / EI 60 / EI 120 / EI ***</w:t>
      </w:r>
    </w:p>
    <w:p w14:paraId="4CFE658A" w14:textId="77777777" w:rsidR="00DB2B68" w:rsidRDefault="00000000">
      <w:pPr>
        <w:pStyle w:val="pheading"/>
      </w:pPr>
      <w:r>
        <w:t>EXÉCUTION / MISE EN ŒUVRE</w:t>
      </w:r>
    </w:p>
    <w:p w14:paraId="568A4A0E" w14:textId="77777777" w:rsidR="00DB2B68" w:rsidRDefault="00000000">
      <w:pPr>
        <w:pStyle w:val="pheading"/>
      </w:pPr>
      <w:r>
        <w:t>- Prescriptions générales</w:t>
      </w:r>
    </w:p>
    <w:p w14:paraId="1247DCA5" w14:textId="77777777" w:rsidR="00DB2B68" w:rsidRDefault="00000000">
      <w:pPr>
        <w:jc w:val="both"/>
      </w:pPr>
      <w:r>
        <w:t>La mise en œuvre est conforme aux normes [NBN EN 13670] et [NBN B 15-400].</w:t>
      </w:r>
    </w:p>
    <w:p w14:paraId="69E86C72" w14:textId="77777777" w:rsidR="00DB2B68" w:rsidRDefault="00000000">
      <w:pPr>
        <w:jc w:val="both"/>
      </w:pPr>
      <w:r>
        <w:t xml:space="preserve">La première assise est posée à bain de mortier hydrofuge et réglée de niveau. Les lits suivant sont montés au mortier. Les mortiers respectent les prescriptions de la section </w:t>
      </w:r>
      <w:hyperlink w:anchor="295" w:history="1">
        <w:r>
          <w:rPr>
            <w:color w:val="0000EE"/>
          </w:rPr>
          <w:t>21 Superstructures en maçonnerie</w:t>
        </w:r>
      </w:hyperlink>
      <w:r>
        <w:t xml:space="preserve"> partie Mortiers.</w:t>
      </w:r>
    </w:p>
    <w:p w14:paraId="14954EB2" w14:textId="77777777" w:rsidR="00DB2B68" w:rsidRDefault="00000000">
      <w:pPr>
        <w:jc w:val="both"/>
      </w:pPr>
      <w:r>
        <w:t xml:space="preserve">Type de mortier </w:t>
      </w:r>
      <w:r>
        <w:rPr>
          <w:rStyle w:val="optioncarChar"/>
        </w:rPr>
        <w:t xml:space="preserve">G </w:t>
      </w:r>
      <w:r>
        <w:t xml:space="preserve">(par défaut) </w:t>
      </w:r>
      <w:r>
        <w:rPr>
          <w:rStyle w:val="optioncarChar"/>
        </w:rPr>
        <w:t>/ T</w:t>
      </w:r>
    </w:p>
    <w:p w14:paraId="3EF8D11D" w14:textId="77777777" w:rsidR="00DB2B68" w:rsidRDefault="00000000">
      <w:pPr>
        <w:jc w:val="both"/>
      </w:pPr>
      <w:r>
        <w:t>Pour les parois utilisées comme éléments de l’enveloppe extérieure d’un ouvrage la continuité de l’isolation et de l’étanchéité à l’air est assurée conformément au [DRW 2013-11-28] tout en veillant à l’esthétique des finitions prévues.</w:t>
      </w:r>
    </w:p>
    <w:p w14:paraId="6A7B2631" w14:textId="77777777" w:rsidR="00DB2B68" w:rsidRDefault="00000000">
      <w:pPr>
        <w:jc w:val="both"/>
      </w:pPr>
      <w:r>
        <w:t>L’étude et les plans d’exécution </w:t>
      </w:r>
      <w:r>
        <w:rPr>
          <w:rStyle w:val="optioncarChar"/>
        </w:rPr>
        <w:t>sont / ne sont pas</w:t>
      </w:r>
      <w:r>
        <w:t> à charge de l’entreprise.</w:t>
      </w:r>
    </w:p>
    <w:p w14:paraId="11750BC8" w14:textId="77777777" w:rsidR="00DB2B68" w:rsidRDefault="00000000">
      <w:pPr>
        <w:jc w:val="both"/>
      </w:pPr>
      <w:r>
        <w:t>Les blocs sont fixés à la structure porteuse avec</w:t>
      </w:r>
      <w:r>
        <w:rPr>
          <w:rStyle w:val="optioncarChar"/>
        </w:rPr>
        <w:t xml:space="preserve"> 2 / 3 / 4 / 5 / 6 / ***</w:t>
      </w:r>
      <w:r>
        <w:t xml:space="preserve"> fixations au m² au moyen de </w:t>
      </w:r>
      <w:r>
        <w:rPr>
          <w:rStyle w:val="optioncarChar"/>
        </w:rPr>
        <w:t>vis / pates d’attache / ***</w:t>
      </w:r>
    </w:p>
    <w:p w14:paraId="5251B34C" w14:textId="77777777" w:rsidR="00DB2B68" w:rsidRDefault="00000000">
      <w:pPr>
        <w:pStyle w:val="pheading"/>
      </w:pPr>
      <w:r>
        <w:t>DOCUMENTS DE RÉFÉRENCE COMPLÉMENTAIRES</w:t>
      </w:r>
    </w:p>
    <w:p w14:paraId="23585AEE" w14:textId="77777777" w:rsidR="00DB2B68" w:rsidRDefault="00000000">
      <w:pPr>
        <w:pStyle w:val="pheading"/>
      </w:pPr>
      <w:r>
        <w:t>- Matériau</w:t>
      </w:r>
    </w:p>
    <w:p w14:paraId="0FA51AA8" w14:textId="77777777" w:rsidR="00DB2B68" w:rsidRDefault="00000000">
      <w:r>
        <w:t>[NBN EN 998-2, Définitions et spécifications des mortiers pour maçonnerie - Partie 2: Mortiers de montage des éléments de maçonnerie]</w:t>
      </w:r>
    </w:p>
    <w:p w14:paraId="4BFC495E" w14:textId="77777777" w:rsidR="00DB2B68" w:rsidRDefault="00000000">
      <w:r>
        <w:t>[NBN EN 14474, Produits préfabriqués en béton - Béton utilisant des copeaux de bois comme granulat - Exigences et méthodes d'essai]</w:t>
      </w:r>
    </w:p>
    <w:p w14:paraId="289766AE" w14:textId="77777777" w:rsidR="00DB2B68" w:rsidRDefault="00000000">
      <w:r>
        <w:t>[NBN EN 771-3+A1, Spécifications pour éléments de maçonnerie - Partie 3: Éléments de maçonnerie en béton de granulats (granulats courants et légers)]</w:t>
      </w:r>
    </w:p>
    <w:p w14:paraId="534AD848" w14:textId="77777777" w:rsidR="00DB2B68" w:rsidRDefault="00000000">
      <w:r>
        <w:t>[PTV 21-001, Eléments de maçonnerie en béton (granulats courants et légers) - Classification et spécifications d'application]</w:t>
      </w:r>
    </w:p>
    <w:p w14:paraId="79582F66"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471F55D0" w14:textId="77777777" w:rsidR="00DB2B68" w:rsidRDefault="00000000">
      <w:r>
        <w:t>[AM 2013-05-17, Arrêté ministériel relatif à l’utilisation des Eurocodes comme méthodes de calcul pour l’évaluation de la résistance au feu d’éléments de construction]</w:t>
      </w:r>
    </w:p>
    <w:p w14:paraId="182BECD9" w14:textId="77777777" w:rsidR="00DB2B68" w:rsidRDefault="00000000">
      <w:pPr>
        <w:pStyle w:val="pheading"/>
      </w:pPr>
      <w:r>
        <w:t>- Exécution</w:t>
      </w:r>
    </w:p>
    <w:p w14:paraId="682A03F7" w14:textId="77777777" w:rsidR="00DB2B68" w:rsidRDefault="00000000">
      <w:r>
        <w:t>[NBN EN 13670, Exécution des structures en béton]</w:t>
      </w:r>
    </w:p>
    <w:p w14:paraId="2EE71158" w14:textId="77777777" w:rsidR="00DB2B68" w:rsidRDefault="00000000">
      <w:r>
        <w:t>[NBN B 15-400, Exécution des structures en béton - Supplément national à la NBN EN 13670:2010]</w:t>
      </w:r>
    </w:p>
    <w:p w14:paraId="7191250C" w14:textId="77777777" w:rsidR="00DB2B68" w:rsidRDefault="00000000">
      <w:r>
        <w:lastRenderedPageBreak/>
        <w:t>[DRW 2013-11-28, Décret relatif à la performance énergétique des bâtiments (Décret PEB)]</w:t>
      </w:r>
    </w:p>
    <w:p w14:paraId="68473385" w14:textId="77777777" w:rsidR="00DB2B68" w:rsidRDefault="00000000">
      <w:pPr>
        <w:pStyle w:val="pheading"/>
      </w:pPr>
      <w:r>
        <w:t>MESURAGE</w:t>
      </w:r>
    </w:p>
    <w:p w14:paraId="0E906064" w14:textId="77777777" w:rsidR="00DB2B68" w:rsidRDefault="00000000">
      <w:pPr>
        <w:pStyle w:val="pheading"/>
      </w:pPr>
      <w:r>
        <w:t>- unité de mesure:</w:t>
      </w:r>
    </w:p>
    <w:p w14:paraId="53CEA575" w14:textId="77777777" w:rsidR="00DB2B68" w:rsidRDefault="00000000">
      <w:r>
        <w:rPr>
          <w:rStyle w:val="optioncarChar"/>
        </w:rPr>
        <w:t>m²</w:t>
      </w:r>
      <w:r>
        <w:t xml:space="preserve"> (par défaut)</w:t>
      </w:r>
      <w:r>
        <w:rPr>
          <w:rStyle w:val="optioncarChar"/>
        </w:rPr>
        <w:t xml:space="preserve"> / m³</w:t>
      </w:r>
    </w:p>
    <w:p w14:paraId="39AE5E22" w14:textId="77777777" w:rsidR="00DB2B68" w:rsidRDefault="00000000">
      <w:r>
        <w:rPr>
          <w:b/>
          <w:i/>
        </w:rPr>
        <w:t>(Soit par défaut)</w:t>
      </w:r>
    </w:p>
    <w:p w14:paraId="715E1604" w14:textId="77777777" w:rsidR="00DB2B68" w:rsidRDefault="00000000">
      <w:r>
        <w:rPr>
          <w:rStyle w:val="soitChar"/>
        </w:rPr>
        <w:t>1. m²</w:t>
      </w:r>
    </w:p>
    <w:p w14:paraId="417F8539" w14:textId="77777777" w:rsidR="00DB2B68" w:rsidRDefault="00000000">
      <w:r>
        <w:rPr>
          <w:b/>
          <w:i/>
        </w:rPr>
        <w:t>(Soit)</w:t>
      </w:r>
    </w:p>
    <w:p w14:paraId="5426B997" w14:textId="77777777" w:rsidR="00DB2B68" w:rsidRDefault="00000000">
      <w:r>
        <w:rPr>
          <w:rStyle w:val="soitChar"/>
        </w:rPr>
        <w:t>2. m³</w:t>
      </w:r>
    </w:p>
    <w:p w14:paraId="6CAAC68C" w14:textId="77777777" w:rsidR="00DB2B68" w:rsidRDefault="00000000">
      <w:pPr>
        <w:pStyle w:val="pheading"/>
      </w:pPr>
      <w:r>
        <w:t>- code de mesurage:</w:t>
      </w:r>
    </w:p>
    <w:p w14:paraId="6E8FC9E4" w14:textId="77777777" w:rsidR="00DB2B68" w:rsidRDefault="00000000">
      <w:pPr>
        <w:jc w:val="both"/>
      </w:pPr>
      <w:r>
        <w:rPr>
          <w:rStyle w:val="optioncarChar"/>
        </w:rPr>
        <w:t xml:space="preserve">Surface nette </w:t>
      </w:r>
      <w:r>
        <w:t xml:space="preserve">(par défaut) </w:t>
      </w:r>
      <w:r>
        <w:rPr>
          <w:rStyle w:val="optioncarChar"/>
        </w:rPr>
        <w:t>/ Volume net</w:t>
      </w:r>
    </w:p>
    <w:p w14:paraId="1D41125C" w14:textId="77777777" w:rsidR="00DB2B68" w:rsidRDefault="00000000">
      <w:pPr>
        <w:jc w:val="both"/>
      </w:pPr>
      <w:r>
        <w:rPr>
          <w:b/>
          <w:i/>
        </w:rPr>
        <w:t>(Soit par défaut)</w:t>
      </w:r>
    </w:p>
    <w:p w14:paraId="646A27DD" w14:textId="77777777" w:rsidR="00DB2B68" w:rsidRDefault="00000000">
      <w:pPr>
        <w:jc w:val="both"/>
      </w:pPr>
      <w:r>
        <w:rPr>
          <w:rStyle w:val="soitChar"/>
          <w:b/>
        </w:rPr>
        <w:t>1. Surface nette </w:t>
      </w:r>
      <w:r>
        <w:rPr>
          <w:rStyle w:val="soitChar"/>
        </w:rPr>
        <w:t>: Longueur x Largeur de la paroi. Les baies inférieures à 0,50 m² ne sont pas déduites. Distinction faite suivant le type et l’épaisseur.</w:t>
      </w:r>
    </w:p>
    <w:p w14:paraId="57883E52" w14:textId="77777777" w:rsidR="00DB2B68" w:rsidRDefault="00000000">
      <w:pPr>
        <w:jc w:val="both"/>
      </w:pPr>
      <w:r>
        <w:rPr>
          <w:b/>
          <w:i/>
        </w:rPr>
        <w:t>(Soit)</w:t>
      </w:r>
    </w:p>
    <w:p w14:paraId="20CBC55B" w14:textId="77777777" w:rsidR="00DB2B68" w:rsidRDefault="00000000">
      <w:pPr>
        <w:jc w:val="both"/>
      </w:pPr>
      <w:r>
        <w:rPr>
          <w:rStyle w:val="soitChar"/>
          <w:b/>
        </w:rPr>
        <w:t>2. Volume net</w:t>
      </w:r>
      <w:r>
        <w:rPr>
          <w:rStyle w:val="soitChar"/>
        </w:rPr>
        <w:t xml:space="preserve"> : Volume net des parois en béton de bois. Il n’est pas fait de déduction de volume de béton pour les réservations, écarteurs, les armatures etc. si ce volume est inférieur à 0,05 m³.  Distinction faite suivant le type et l’épaisseur.</w:t>
      </w:r>
    </w:p>
    <w:p w14:paraId="445EE74F" w14:textId="77777777" w:rsidR="00DB2B68" w:rsidRDefault="00000000">
      <w:pPr>
        <w:pStyle w:val="pheading"/>
      </w:pPr>
      <w:r>
        <w:t>- nature du marché:</w:t>
      </w:r>
    </w:p>
    <w:p w14:paraId="07DCA4D5" w14:textId="77777777" w:rsidR="00DB2B68" w:rsidRDefault="00000000">
      <w:r>
        <w:rPr>
          <w:rStyle w:val="optioncarChar"/>
        </w:rPr>
        <w:t xml:space="preserve">QF </w:t>
      </w:r>
      <w:r>
        <w:t>(par défaut)</w:t>
      </w:r>
      <w:r>
        <w:rPr>
          <w:rStyle w:val="optioncarChar"/>
        </w:rPr>
        <w:t xml:space="preserve"> / QP</w:t>
      </w:r>
    </w:p>
    <w:p w14:paraId="36AC3EC5" w14:textId="77777777" w:rsidR="00DB2B68" w:rsidRDefault="00000000">
      <w:r>
        <w:rPr>
          <w:b/>
          <w:i/>
        </w:rPr>
        <w:t>(Soit par défaut)</w:t>
      </w:r>
    </w:p>
    <w:p w14:paraId="08F0D8AC" w14:textId="77777777" w:rsidR="00DB2B68" w:rsidRDefault="00000000">
      <w:r>
        <w:rPr>
          <w:rStyle w:val="soitChar"/>
        </w:rPr>
        <w:t>1. 2. QF</w:t>
      </w:r>
    </w:p>
    <w:p w14:paraId="1AB4EE71" w14:textId="77777777" w:rsidR="00DB2B68" w:rsidRDefault="00000000">
      <w:r>
        <w:rPr>
          <w:b/>
          <w:i/>
        </w:rPr>
        <w:t>(Soit)</w:t>
      </w:r>
    </w:p>
    <w:p w14:paraId="2A2C221E" w14:textId="77777777" w:rsidR="00DB2B68" w:rsidRDefault="00000000">
      <w:r>
        <w:rPr>
          <w:rStyle w:val="soitChar"/>
        </w:rPr>
        <w:t>1. 2. QP   </w:t>
      </w:r>
    </w:p>
    <w:p w14:paraId="7A25B428" w14:textId="77777777" w:rsidR="00DB2B68" w:rsidRDefault="00000000">
      <w:pPr>
        <w:pStyle w:val="Author-eSectionHeading3Numberless"/>
      </w:pPr>
      <w:bookmarkStart w:id="2035" w:name="_Toc220496976"/>
      <w:r>
        <w:t>26.5 Isolations à usages spécifiques CCTB 01.04</w:t>
      </w:r>
      <w:bookmarkEnd w:id="2035"/>
    </w:p>
    <w:p w14:paraId="137D6BE1" w14:textId="77777777" w:rsidR="00DB2B68" w:rsidRDefault="00000000">
      <w:pPr>
        <w:pStyle w:val="Author-eSectionHeading3Numberless"/>
      </w:pPr>
      <w:bookmarkStart w:id="2036" w:name="_Toc220496977"/>
      <w:r>
        <w:t>26.6 - CCTB 01.02</w:t>
      </w:r>
      <w:bookmarkEnd w:id="2036"/>
    </w:p>
    <w:p w14:paraId="4DA04844" w14:textId="77777777" w:rsidR="00DB2B68" w:rsidRDefault="00000000">
      <w:pPr>
        <w:pStyle w:val="Author-eSectionHeading3Numberless"/>
      </w:pPr>
      <w:bookmarkStart w:id="2037" w:name="_Toc220496978"/>
      <w:r>
        <w:t>26.7 -</w:t>
      </w:r>
      <w:bookmarkEnd w:id="2037"/>
    </w:p>
    <w:p w14:paraId="19013504" w14:textId="77777777" w:rsidR="00DB2B68" w:rsidRDefault="00000000">
      <w:pPr>
        <w:pStyle w:val="Author-eSectionHeading3Numberless"/>
      </w:pPr>
      <w:bookmarkStart w:id="2038" w:name="_Toc220496979"/>
      <w:r>
        <w:t>26.8 Etanchéisation et isolation - Rénovation CCTB 01.04</w:t>
      </w:r>
      <w:bookmarkEnd w:id="2038"/>
    </w:p>
    <w:p w14:paraId="5E5BABE6" w14:textId="77777777" w:rsidR="00DB2B68" w:rsidRDefault="00000000">
      <w:pPr>
        <w:pStyle w:val="Author-eSectionHeading4Numberless"/>
      </w:pPr>
      <w:bookmarkStart w:id="2039" w:name="_Toc220496980"/>
      <w:r>
        <w:t>26.81 Etudes et essais préliminaires CCTB 01.04</w:t>
      </w:r>
      <w:bookmarkEnd w:id="2039"/>
    </w:p>
    <w:p w14:paraId="7DDE8166" w14:textId="77777777" w:rsidR="00DB2B68" w:rsidRDefault="00000000">
      <w:pPr>
        <w:pStyle w:val="pheading"/>
      </w:pPr>
      <w:r>
        <w:t>DESCRIPTION</w:t>
      </w:r>
    </w:p>
    <w:p w14:paraId="5C172701" w14:textId="77777777" w:rsidR="00DB2B68" w:rsidRDefault="00000000">
      <w:pPr>
        <w:pStyle w:val="pheading"/>
      </w:pPr>
      <w:r>
        <w:t>- Définition / Comprend</w:t>
      </w:r>
    </w:p>
    <w:p w14:paraId="7F40426D" w14:textId="77777777" w:rsidR="00DB2B68" w:rsidRDefault="00000000">
      <w:r>
        <w:t>Renvoi à 03 Études, essais et contrôles en cours de chantier</w:t>
      </w:r>
    </w:p>
    <w:p w14:paraId="5F415378" w14:textId="77777777" w:rsidR="00DB2B68" w:rsidRDefault="00000000">
      <w:pPr>
        <w:pStyle w:val="Author-eSectionHeading4Numberless"/>
      </w:pPr>
      <w:bookmarkStart w:id="2040" w:name="_Toc220496981"/>
      <w:r>
        <w:t>26.82 Dépose / démontage / percement / déconstruction-démolition CCTB 01.04</w:t>
      </w:r>
      <w:bookmarkEnd w:id="2040"/>
    </w:p>
    <w:p w14:paraId="682C16CE" w14:textId="77777777" w:rsidR="00DB2B68" w:rsidRDefault="00000000">
      <w:pPr>
        <w:pStyle w:val="pheading"/>
      </w:pPr>
      <w:r>
        <w:t>DESCRIPTION</w:t>
      </w:r>
    </w:p>
    <w:p w14:paraId="7E73D278" w14:textId="77777777" w:rsidR="00DB2B68" w:rsidRDefault="00000000">
      <w:pPr>
        <w:pStyle w:val="pheading"/>
      </w:pPr>
      <w:r>
        <w:t>- Définition / Comprend</w:t>
      </w:r>
    </w:p>
    <w:p w14:paraId="3C5E4C8A" w14:textId="77777777" w:rsidR="00DB2B68" w:rsidRDefault="00000000">
      <w:r>
        <w:t>Renvoi à 06 Travaux de stabilisation et de déconstruction</w:t>
      </w:r>
    </w:p>
    <w:p w14:paraId="08AB2938" w14:textId="77777777" w:rsidR="00DB2B68" w:rsidRDefault="00000000">
      <w:pPr>
        <w:pStyle w:val="Author-eSectionHeading4Numberless"/>
      </w:pPr>
      <w:bookmarkStart w:id="2041" w:name="_Toc220496982"/>
      <w:r>
        <w:t>26.83 Réparation / ragréage / rénovation CCTB 01.04</w:t>
      </w:r>
      <w:bookmarkEnd w:id="2041"/>
    </w:p>
    <w:p w14:paraId="29591014" w14:textId="77777777" w:rsidR="00DB2B68" w:rsidRDefault="00000000">
      <w:pPr>
        <w:pStyle w:val="Author-eSectionHeading5Numberless"/>
      </w:pPr>
      <w:bookmarkStart w:id="2042" w:name="_Toc220496983"/>
      <w:r>
        <w:lastRenderedPageBreak/>
        <w:t>26.83.1 Réparation locale de revêtements d'étanchéité CCTB 01.02</w:t>
      </w:r>
      <w:bookmarkEnd w:id="2042"/>
    </w:p>
    <w:p w14:paraId="58CA94B9" w14:textId="77777777" w:rsidR="00DB2B68" w:rsidRDefault="00000000">
      <w:pPr>
        <w:pStyle w:val="Author-eSectionHeading6Numberless"/>
      </w:pPr>
      <w:bookmarkStart w:id="2043" w:name="_Toc220496984"/>
      <w:r>
        <w:t>26.83.1a Réparation locale de revêtements d'étanchéité CCTB 01.04</w:t>
      </w:r>
      <w:bookmarkEnd w:id="2043"/>
    </w:p>
    <w:p w14:paraId="6EB865A8" w14:textId="77777777" w:rsidR="00DB2B68" w:rsidRDefault="00000000">
      <w:pPr>
        <w:pStyle w:val="Author-eSectionHeading4Numberless"/>
      </w:pPr>
      <w:bookmarkStart w:id="2044" w:name="_Toc220496985"/>
      <w:r>
        <w:t>26.84 Adaptation / amélioration CCTB 01.04</w:t>
      </w:r>
      <w:bookmarkEnd w:id="2044"/>
    </w:p>
    <w:p w14:paraId="3320BFD0" w14:textId="77777777" w:rsidR="00DB2B68" w:rsidRDefault="00000000">
      <w:pPr>
        <w:pStyle w:val="Author-eSectionHeading5Numberless"/>
      </w:pPr>
      <w:bookmarkStart w:id="2045" w:name="_Toc220496986"/>
      <w:r>
        <w:t>26.84.1 Amélioration des performances énergétiques - isolation a posteriori des murs extérieurs CCTB 01.04</w:t>
      </w:r>
      <w:bookmarkEnd w:id="2045"/>
    </w:p>
    <w:p w14:paraId="0A6B6A0E" w14:textId="77777777" w:rsidR="00DB2B68" w:rsidRDefault="00000000">
      <w:pPr>
        <w:pStyle w:val="Author-eSectionHeading6Numberless"/>
      </w:pPr>
      <w:bookmarkStart w:id="2046" w:name="_Toc220496987"/>
      <w:r>
        <w:t>26.84.1a Isolation avec démolition / reconstruction du parement extérieur CCTB 01.04</w:t>
      </w:r>
      <w:bookmarkEnd w:id="2046"/>
    </w:p>
    <w:p w14:paraId="55D0463E" w14:textId="77777777" w:rsidR="00DB2B68" w:rsidRDefault="00000000">
      <w:pPr>
        <w:pStyle w:val="pheading"/>
      </w:pPr>
      <w:r>
        <w:t>DESCRIPTION</w:t>
      </w:r>
    </w:p>
    <w:p w14:paraId="3223AA57" w14:textId="77777777" w:rsidR="00DB2B68" w:rsidRDefault="00000000">
      <w:pPr>
        <w:pStyle w:val="pheading"/>
      </w:pPr>
      <w:r>
        <w:t>- Définition / Comprend</w:t>
      </w:r>
    </w:p>
    <w:p w14:paraId="1D4AA213" w14:textId="77777777" w:rsidR="00DB2B68" w:rsidRDefault="00000000">
      <w:r>
        <w:t>Renvoi à 06.35 Démontages d'éléments de fermetures et de finitions extérieures et 43 Revêtements de façade</w:t>
      </w:r>
    </w:p>
    <w:p w14:paraId="53387DE8" w14:textId="77777777" w:rsidR="00DB2B68" w:rsidRDefault="00000000">
      <w:pPr>
        <w:pStyle w:val="Author-eSectionHeading6Numberless"/>
      </w:pPr>
      <w:bookmarkStart w:id="2047" w:name="_Toc220496988"/>
      <w:r>
        <w:t>26.84.1b Isolation par l'extérieur des murs extérieurs CCTB 01.04</w:t>
      </w:r>
      <w:bookmarkEnd w:id="2047"/>
    </w:p>
    <w:p w14:paraId="3943004D" w14:textId="77777777" w:rsidR="00DB2B68" w:rsidRDefault="00000000">
      <w:pPr>
        <w:pStyle w:val="pheading"/>
      </w:pPr>
      <w:r>
        <w:t>DESCRIPTION</w:t>
      </w:r>
    </w:p>
    <w:p w14:paraId="5A6F6DB3" w14:textId="77777777" w:rsidR="00DB2B68" w:rsidRDefault="00000000">
      <w:pPr>
        <w:pStyle w:val="pheading"/>
      </w:pPr>
      <w:r>
        <w:t>- Définition / Comprend</w:t>
      </w:r>
    </w:p>
    <w:p w14:paraId="7FD06329" w14:textId="77777777" w:rsidR="00DB2B68" w:rsidRDefault="00000000">
      <w:r>
        <w:t>Renvoi à 44.4 Isolation</w:t>
      </w:r>
    </w:p>
    <w:p w14:paraId="787914C0" w14:textId="77777777" w:rsidR="00DB2B68" w:rsidRDefault="00000000">
      <w:pPr>
        <w:pStyle w:val="Author-eSectionHeading6Numberless"/>
      </w:pPr>
      <w:bookmarkStart w:id="2048" w:name="_Toc220496989"/>
      <w:r>
        <w:t>26.84.1c Isolation par l'intérieur des murs extérieurs CCTB 01.04</w:t>
      </w:r>
      <w:bookmarkEnd w:id="2048"/>
    </w:p>
    <w:p w14:paraId="581E0980" w14:textId="77777777" w:rsidR="00DB2B68" w:rsidRDefault="00000000">
      <w:pPr>
        <w:pStyle w:val="pheading"/>
      </w:pPr>
      <w:r>
        <w:t>DESCRIPTION</w:t>
      </w:r>
    </w:p>
    <w:p w14:paraId="135F682B" w14:textId="77777777" w:rsidR="00DB2B68" w:rsidRDefault="00000000">
      <w:pPr>
        <w:pStyle w:val="pheading"/>
      </w:pPr>
      <w:r>
        <w:t>- Définition / Comprend</w:t>
      </w:r>
    </w:p>
    <w:p w14:paraId="4E2BE5FA" w14:textId="77777777" w:rsidR="00DB2B68" w:rsidRDefault="00000000">
      <w:r>
        <w:t>Renvoi à 52.4 Isolation</w:t>
      </w:r>
    </w:p>
    <w:p w14:paraId="0522960B" w14:textId="77777777" w:rsidR="00DB2B68" w:rsidRDefault="00000000">
      <w:pPr>
        <w:pStyle w:val="Author-eSectionHeading6Numberless"/>
      </w:pPr>
      <w:bookmarkStart w:id="2049" w:name="_Toc220496990"/>
      <w:r>
        <w:t>26.84.1d Isolation a posteriori de la COULISSE des murs creux extérieurs CCTB 01.11</w:t>
      </w:r>
      <w:bookmarkEnd w:id="2049"/>
    </w:p>
    <w:p w14:paraId="1AE2DEE4" w14:textId="77777777" w:rsidR="00DB2B68" w:rsidRDefault="00000000">
      <w:pPr>
        <w:pStyle w:val="Author-eSectionHeading5Numberless"/>
      </w:pPr>
      <w:bookmarkStart w:id="2050" w:name="_Toc220496991"/>
      <w:r>
        <w:t>26.84.2 Amélioration des performances énergétiques - isolation des planchers CCTB 01.04</w:t>
      </w:r>
      <w:bookmarkEnd w:id="2050"/>
    </w:p>
    <w:p w14:paraId="0C8DA1D4" w14:textId="77777777" w:rsidR="00DB2B68" w:rsidRDefault="00000000">
      <w:pPr>
        <w:pStyle w:val="Author-eSectionHeading6Numberless"/>
      </w:pPr>
      <w:bookmarkStart w:id="2051" w:name="_Toc220496992"/>
      <w:r>
        <w:t>26.84.2a Isolation des planchers par l'extérieur CCTB 01.04</w:t>
      </w:r>
      <w:bookmarkEnd w:id="2051"/>
    </w:p>
    <w:p w14:paraId="3086030E" w14:textId="77777777" w:rsidR="00DB2B68" w:rsidRDefault="00000000">
      <w:pPr>
        <w:pStyle w:val="pheading"/>
      </w:pPr>
      <w:r>
        <w:t>DESCRIPTION</w:t>
      </w:r>
    </w:p>
    <w:p w14:paraId="202FFD0A" w14:textId="77777777" w:rsidR="00DB2B68" w:rsidRDefault="00000000">
      <w:pPr>
        <w:pStyle w:val="pheading"/>
      </w:pPr>
      <w:r>
        <w:t>- Définition / Comprend</w:t>
      </w:r>
    </w:p>
    <w:p w14:paraId="6C0B3103" w14:textId="77777777" w:rsidR="00DB2B68" w:rsidRDefault="00000000">
      <w:r>
        <w:t xml:space="preserve"> Renvoi à </w:t>
      </w:r>
      <w:hyperlink w:anchor="70" w:history="1">
        <w:r>
          <w:rPr>
            <w:color w:val="0000EE"/>
          </w:rPr>
          <w:t>26.4 Isolation</w:t>
        </w:r>
      </w:hyperlink>
    </w:p>
    <w:p w14:paraId="04642BC4" w14:textId="77777777" w:rsidR="00DB2B68" w:rsidRDefault="00000000">
      <w:pPr>
        <w:pStyle w:val="Author-eSectionHeading6Numberless"/>
      </w:pPr>
      <w:bookmarkStart w:id="2052" w:name="_Toc220496993"/>
      <w:r>
        <w:t>26.84.2b Isolation des planchers par l'intérieur CCTB 01.04</w:t>
      </w:r>
      <w:bookmarkEnd w:id="2052"/>
    </w:p>
    <w:p w14:paraId="11EFB26E" w14:textId="77777777" w:rsidR="00DB2B68" w:rsidRDefault="00000000">
      <w:pPr>
        <w:pStyle w:val="pheading"/>
      </w:pPr>
      <w:r>
        <w:t>DESCRIPTION</w:t>
      </w:r>
    </w:p>
    <w:p w14:paraId="339CF097" w14:textId="77777777" w:rsidR="00DB2B68" w:rsidRDefault="00000000">
      <w:pPr>
        <w:pStyle w:val="pheading"/>
      </w:pPr>
      <w:r>
        <w:t>- Définition / Comprend</w:t>
      </w:r>
    </w:p>
    <w:p w14:paraId="26C6A766" w14:textId="77777777" w:rsidR="00DB2B68" w:rsidRDefault="00000000">
      <w:r>
        <w:t>Renvoi à 52.4 Isolation</w:t>
      </w:r>
    </w:p>
    <w:p w14:paraId="2E10C607" w14:textId="77777777" w:rsidR="00DB2B68" w:rsidRDefault="00000000">
      <w:pPr>
        <w:pStyle w:val="Author-eSectionHeading5Numberless"/>
      </w:pPr>
      <w:bookmarkStart w:id="2053" w:name="_Toc220496994"/>
      <w:r>
        <w:t>26.84.3 Amélioration des performances énergétiques - réduction / suppression des ponts thermiques CCTB 01.04</w:t>
      </w:r>
      <w:bookmarkEnd w:id="2053"/>
    </w:p>
    <w:p w14:paraId="5489C971" w14:textId="77777777" w:rsidR="00DB2B68" w:rsidRDefault="00000000">
      <w:pPr>
        <w:pStyle w:val="Author-eSectionHeading5Numberless"/>
      </w:pPr>
      <w:bookmarkStart w:id="2054" w:name="_Toc220496995"/>
      <w:r>
        <w:t>26.84.4 Amélioration de l'étanchéité à l'air du bâtiment CCTB 01.04</w:t>
      </w:r>
      <w:bookmarkEnd w:id="2054"/>
    </w:p>
    <w:p w14:paraId="4501D828" w14:textId="77777777" w:rsidR="00DB2B68" w:rsidRDefault="00000000">
      <w:pPr>
        <w:pStyle w:val="Author-eSectionHeading4Numberless"/>
      </w:pPr>
      <w:bookmarkStart w:id="2055" w:name="_Toc220496996"/>
      <w:r>
        <w:t>26.85 Traitement et protection CCTB 01.04</w:t>
      </w:r>
      <w:bookmarkEnd w:id="2055"/>
    </w:p>
    <w:p w14:paraId="72CE43C8" w14:textId="77777777" w:rsidR="00DB2B68" w:rsidRDefault="00000000">
      <w:pPr>
        <w:pStyle w:val="pheading"/>
      </w:pPr>
      <w:r>
        <w:t>DESCRIPTION</w:t>
      </w:r>
    </w:p>
    <w:p w14:paraId="6E0B33E8" w14:textId="77777777" w:rsidR="00DB2B68" w:rsidRDefault="00000000">
      <w:pPr>
        <w:pStyle w:val="pheading"/>
      </w:pPr>
      <w:r>
        <w:lastRenderedPageBreak/>
        <w:t>- Définition / Comprend</w:t>
      </w:r>
    </w:p>
    <w:p w14:paraId="3ED34CFC" w14:textId="77777777" w:rsidR="00DB2B68" w:rsidRDefault="00000000">
      <w:r>
        <w:t>Renvoi à 8 T8 Travaux de peinture / Traitements de surface</w:t>
      </w:r>
    </w:p>
    <w:p w14:paraId="4B3D2335" w14:textId="77777777" w:rsidR="00DB2B68" w:rsidRDefault="00000000">
      <w:pPr>
        <w:pStyle w:val="Author-eSectionHeading4Numberless"/>
      </w:pPr>
      <w:bookmarkStart w:id="2056" w:name="_Toc220496997"/>
      <w:r>
        <w:t>26.86 Divers CCTB 01.04</w:t>
      </w:r>
      <w:bookmarkEnd w:id="2056"/>
    </w:p>
    <w:p w14:paraId="037C82EC" w14:textId="77777777" w:rsidR="00DB2B68" w:rsidRDefault="00000000">
      <w:pPr>
        <w:pStyle w:val="Author-eSectionHeading2Numberless"/>
      </w:pPr>
      <w:bookmarkStart w:id="2057" w:name="_Toc220496998"/>
      <w:r>
        <w:t>27 Conduits de fumée et de ventilation maçonnés CCTB 01.04</w:t>
      </w:r>
      <w:bookmarkEnd w:id="2057"/>
    </w:p>
    <w:p w14:paraId="5AB742F7" w14:textId="77777777" w:rsidR="00DB2B68" w:rsidRDefault="00000000">
      <w:pPr>
        <w:pStyle w:val="Author-eSectionHeading3Numberless"/>
      </w:pPr>
      <w:bookmarkStart w:id="2058" w:name="1451"/>
      <w:bookmarkStart w:id="2059" w:name="_Toc220496999"/>
      <w:bookmarkEnd w:id="2058"/>
      <w:r>
        <w:t>27.1 Conduits de fumée maçonnés CCTB 01.11</w:t>
      </w:r>
      <w:bookmarkEnd w:id="2059"/>
    </w:p>
    <w:p w14:paraId="4390F684" w14:textId="77777777" w:rsidR="00DB2B68" w:rsidRDefault="00000000">
      <w:pPr>
        <w:pStyle w:val="pheading"/>
      </w:pPr>
      <w:r>
        <w:t>DESCRIPTION</w:t>
      </w:r>
    </w:p>
    <w:p w14:paraId="2B4DF84D" w14:textId="77777777" w:rsidR="00DB2B68" w:rsidRDefault="00000000">
      <w:pPr>
        <w:pStyle w:val="pheading"/>
      </w:pPr>
      <w:r>
        <w:t>- Définition / Comprend</w:t>
      </w:r>
    </w:p>
    <w:p w14:paraId="693B6D59" w14:textId="77777777" w:rsidR="00DB2B68" w:rsidRDefault="00000000">
      <w:r>
        <w:t>Ce poste comporte tous les travaux et fournitures en vue de l'installation des conduits de cheminée, composées d'un ou de plusieurs conduits préfabriqués destinés à l'évacuation des produits de fumée et de combustion, ainsi que ceux composés d'un ou de plusieurs conduits intégrés pour d'autres applications (gaines de conduites, évacuation ou amenée d'air pour les installations de traitement d'air et/ou de ventilation). Toutes les pièces et accessoires, nécessaires à la stabilité et au bon fonctionnement de l'ensemble sont compris, même s'ils ne sont pas explicitement mentionnés dans le présent descriptif (éléments shunt, éléments d'ancrage et de fixation, isolation spéciale, trappes de ramonage, régulateurs de tirage, bac de recueillement de condensats, …). Conformément aux dispositions du cahier spécial des charges, les prix unitaires compris dans ce poste, doivent toujours comprendre, soit selon la ventilation explicite du métré récapitulatif, soit dans leur totalité :</w:t>
      </w:r>
    </w:p>
    <w:p w14:paraId="27DEE532" w14:textId="77777777" w:rsidR="00DB2B68" w:rsidRDefault="00000000">
      <w:pPr>
        <w:pStyle w:val="Author-eListParagraph"/>
        <w:numPr>
          <w:ilvl w:val="0"/>
          <w:numId w:val="1143"/>
        </w:numPr>
      </w:pPr>
      <w:r>
        <w:t xml:space="preserve">les éléments de cheminée, éléments shunt , </w:t>
      </w:r>
      <w:r>
        <w:rPr>
          <w:rStyle w:val="optioncarChar"/>
        </w:rPr>
        <w:t>***</w:t>
      </w:r>
      <w:r>
        <w:t>;</w:t>
      </w:r>
    </w:p>
    <w:p w14:paraId="2D0B7E4A" w14:textId="77777777" w:rsidR="00DB2B68" w:rsidRDefault="00000000">
      <w:pPr>
        <w:pStyle w:val="Author-eListParagraph"/>
        <w:numPr>
          <w:ilvl w:val="0"/>
          <w:numId w:val="1143"/>
        </w:numPr>
      </w:pPr>
      <w:r>
        <w:t>la maçonnerie attenante, dans la mesure où elle n'est pas comprise dans le prix de la maçonnerie d'élévation;</w:t>
      </w:r>
    </w:p>
    <w:p w14:paraId="2CF8AF88" w14:textId="77777777" w:rsidR="00DB2B68" w:rsidRDefault="00000000">
      <w:pPr>
        <w:pStyle w:val="Author-eListParagraph"/>
        <w:numPr>
          <w:ilvl w:val="0"/>
          <w:numId w:val="1143"/>
        </w:numPr>
      </w:pPr>
      <w:r>
        <w:t>les dispositifs pour les pénétrations de toiture, en fonction des matériaux de revêtement de toiture;</w:t>
      </w:r>
    </w:p>
    <w:p w14:paraId="5B72B54B" w14:textId="77777777" w:rsidR="00DB2B68" w:rsidRDefault="00000000">
      <w:pPr>
        <w:pStyle w:val="Author-eListParagraph"/>
        <w:numPr>
          <w:ilvl w:val="0"/>
          <w:numId w:val="1143"/>
        </w:numPr>
      </w:pPr>
      <w:r>
        <w:t>l'isolation appropriée, permettant d’améliorer la résistance au feu de la paroi;</w:t>
      </w:r>
    </w:p>
    <w:p w14:paraId="5AA1E39F" w14:textId="77777777" w:rsidR="00DB2B68" w:rsidRDefault="00000000">
      <w:pPr>
        <w:pStyle w:val="Author-eListParagraph"/>
        <w:numPr>
          <w:ilvl w:val="0"/>
          <w:numId w:val="1143"/>
        </w:numPr>
      </w:pPr>
      <w:r>
        <w:t>tous les accessoires et pièces nécessaires (regards de visite, pièces de raccordement, pièces de jonction, registre, recueil des condensats, etc.).</w:t>
      </w:r>
    </w:p>
    <w:p w14:paraId="0FA641C0" w14:textId="77777777" w:rsidR="00DB2B68" w:rsidRDefault="00000000">
      <w:r>
        <w:rPr>
          <w:u w:val="single"/>
        </w:rPr>
        <w:t>Attention</w:t>
      </w:r>
    </w:p>
    <w:p w14:paraId="7835274E" w14:textId="77777777" w:rsidR="00DB2B68" w:rsidRDefault="00000000">
      <w:r>
        <w:t xml:space="preserve">Seuls les conduits de ventilation qui sont fournis et posés en combinaison avec les conduits de fumée sont compris dans le présent chapitre (voir titre </w:t>
      </w:r>
      <w:hyperlink w:anchor="689" w:history="1">
        <w:r>
          <w:rPr>
            <w:color w:val="0000EE"/>
          </w:rPr>
          <w:t>27.2 Conduits de ventilation maçonnés</w:t>
        </w:r>
      </w:hyperlink>
      <w:r>
        <w:t>).</w:t>
      </w:r>
    </w:p>
    <w:p w14:paraId="2A31E342" w14:textId="77777777" w:rsidR="00DB2B68" w:rsidRDefault="00000000">
      <w:pPr>
        <w:pStyle w:val="pheading"/>
      </w:pPr>
      <w:r>
        <w:t>MATÉRIAUX</w:t>
      </w:r>
    </w:p>
    <w:p w14:paraId="56E821A2" w14:textId="77777777" w:rsidR="00DB2B68" w:rsidRDefault="00000000">
      <w:r>
        <w:t>Les matériaux conviennent pour les installations qui y sont raccordées. Tous les éléments et leurs accessoires sont compatibles mutuellement, accordés l'un à l'autre et formeront, après leur mise en œuvre, un ensemble cohérent. Les accessoires utiles (collecteurs de suie, trappes de ramonage, raccordement de la chaudière, …) sont déterminés en concertation avec l'auteur de projet et sont de préférence livrés par le même fabricant. Les accessoires spécifiques tels que les shunts, les changements de diamètre ou de section, les branchements, … méritent qu'on leur accorde une attention particulière.</w:t>
      </w:r>
    </w:p>
    <w:p w14:paraId="225F28B5" w14:textId="77777777" w:rsidR="00DB2B68" w:rsidRDefault="00000000">
      <w:pPr>
        <w:pStyle w:val="pheading"/>
      </w:pPr>
      <w:r>
        <w:t>EXÉCUTION / MISE EN ŒUVRE</w:t>
      </w:r>
    </w:p>
    <w:p w14:paraId="37A96DF6" w14:textId="77777777" w:rsidR="00DB2B68" w:rsidRDefault="00000000">
      <w:pPr>
        <w:pStyle w:val="heading"/>
      </w:pPr>
      <w:r>
        <w:t>Généralités</w:t>
      </w:r>
    </w:p>
    <w:p w14:paraId="79EC57C5" w14:textId="77777777" w:rsidR="00DB2B68" w:rsidRDefault="00000000">
      <w:r>
        <w:t>L'exécution s'effectue conformément aux indications sur les plans, les prescriptions du fabricant et les prescriptions en matière de sécurité incendie. A cet effet, l'entrepreneur soumet en temps utile les plans d'exécution à l'approbation de l'auteur de projet, en mentionnant tous les éléments et les accessoires.</w:t>
      </w:r>
    </w:p>
    <w:p w14:paraId="7AF025DC" w14:textId="77777777" w:rsidR="00DB2B68" w:rsidRDefault="00000000">
      <w:r>
        <w:t>Il est strictement interdit de brancher des conduits d'évacuation de fumée ou de gaz sur les conduits de ventilation.</w:t>
      </w:r>
    </w:p>
    <w:p w14:paraId="69E96E84" w14:textId="77777777" w:rsidR="00DB2B68" w:rsidRDefault="00000000">
      <w:r>
        <w:lastRenderedPageBreak/>
        <w:t>Aucun conduit de fumée ne peut être directement en contact avec des éléments de construction ou de parachèvement en bois. Le cas échéant, ces éléments sont particulièrement bien isolés.</w:t>
      </w:r>
    </w:p>
    <w:p w14:paraId="3B41B910" w14:textId="77777777" w:rsidR="00DB2B68" w:rsidRDefault="00000000">
      <w:r>
        <w:t>En ce qui concerne l'intégration des éléments dans les gaines, les manteaux de cheminée, les raccordements étanches des souches de cheminée en maçonnerie de parement, etc., les activités sont particulièrement bien coordonnées avec les travaux de gros-œuvre et de toiture. La résistance mécanique des conduits autoportants est équivalente à celle de la stabilité de l'ensemble de l'ouvrage de construction.</w:t>
      </w:r>
    </w:p>
    <w:p w14:paraId="63655EFF" w14:textId="77777777" w:rsidR="00DB2B68" w:rsidRDefault="00000000">
      <w:r>
        <w:t>Les conduits doivent être étanches aux gaz, afin d'éviter toute pénétration d'air parasite qui peut nuire au tirage naturel des gaz de cheminée à basse température. Afin d'améliorer le tirage pour les gaz de combustion à faible température du CC, on insère entre les éléments et la maçonnerie de cheminée, une isolation d'épaisseur suffisante. Elle est posée de manière parfaitement jointive.</w:t>
      </w:r>
    </w:p>
    <w:p w14:paraId="42FA41B7" w14:textId="77777777" w:rsidR="00DB2B68" w:rsidRDefault="00000000">
      <w:r>
        <w:t>Les précautions sont prises pour que l'eau de condensation ne puisse pas couler du conduit de cheminée afin de prévenir la corrosion des autres matériaux et finitions.</w:t>
      </w:r>
    </w:p>
    <w:p w14:paraId="15B7E499" w14:textId="77777777" w:rsidR="00DB2B68" w:rsidRDefault="00000000">
      <w:pPr>
        <w:pStyle w:val="heading"/>
      </w:pPr>
      <w:r>
        <w:t>maçonnerie</w:t>
      </w:r>
    </w:p>
    <w:p w14:paraId="4AC97043" w14:textId="77777777" w:rsidR="00DB2B68" w:rsidRDefault="00000000">
      <w:r>
        <w:t>Conformément aux indications sur les plans, un mur est érigé autour des conduits d'air. Il est liaisonné en appareil dans les murs porteurs attenants. La maçonnerie satisfait aux prescriptions de la [NBN EN 771-1+A1], complétée par les dispositions de section </w:t>
      </w:r>
      <w:hyperlink w:anchor="295" w:history="1">
        <w:r>
          <w:rPr>
            <w:color w:val="0000EE"/>
          </w:rPr>
          <w:t>21 Superstructures en maçonnerie</w:t>
        </w:r>
      </w:hyperlink>
    </w:p>
    <w:p w14:paraId="2CE49A66" w14:textId="77777777" w:rsidR="00DB2B68" w:rsidRDefault="00000000">
      <w:r>
        <w:t>(Attention : Compris dans le prix de la maçonnerie intérieure).</w:t>
      </w:r>
    </w:p>
    <w:p w14:paraId="59040FA6" w14:textId="77777777" w:rsidR="00DB2B68" w:rsidRDefault="00000000">
      <w:r>
        <w:t xml:space="preserve">Épaisseur de la maçonnerie : </w:t>
      </w:r>
      <w:r>
        <w:rPr>
          <w:rStyle w:val="optioncarChar"/>
        </w:rPr>
        <w:t>9 / 14 / 19</w:t>
      </w:r>
    </w:p>
    <w:p w14:paraId="0BD92FEB" w14:textId="77777777" w:rsidR="00DB2B68" w:rsidRDefault="00000000">
      <w:r>
        <w:t xml:space="preserve">Nombre de faces à maçonner autour du conduit de cheminée : </w:t>
      </w:r>
      <w:r>
        <w:rPr>
          <w:rStyle w:val="optioncarChar"/>
        </w:rPr>
        <w:t>1 / 2 / 3 / 4</w:t>
      </w:r>
      <w:r>
        <w:t>.</w:t>
      </w:r>
    </w:p>
    <w:p w14:paraId="26101155" w14:textId="77777777" w:rsidR="00DB2B68" w:rsidRDefault="00000000">
      <w:r>
        <w:t xml:space="preserve">Coulisse entre le conduit de fumée et la maçonnerie : </w:t>
      </w:r>
      <w:r>
        <w:rPr>
          <w:rStyle w:val="optioncarChar"/>
        </w:rPr>
        <w:t>*** cm / conformément aux indications sur les plans</w:t>
      </w:r>
      <w:r>
        <w:t> (par défaut) .</w:t>
      </w:r>
    </w:p>
    <w:p w14:paraId="51759DE1" w14:textId="77777777" w:rsidR="00DB2B68" w:rsidRDefault="00000000">
      <w:pPr>
        <w:pStyle w:val="heading"/>
      </w:pPr>
      <w:r>
        <w:t>Sécurité</w:t>
      </w:r>
    </w:p>
    <w:p w14:paraId="28369CD4" w14:textId="77777777" w:rsidR="00DB2B68" w:rsidRDefault="00000000">
      <w:r>
        <w:t>Conformément au sous-titre 01.42 PSS travaux de superstructure, établie par le coordinateur-projet et annexé au cahier spécial des charges. Toutes les directives en cette matière et les indications concrètes du coordinateur-réalisation sont scrupuleusement respectées.</w:t>
      </w:r>
    </w:p>
    <w:p w14:paraId="522B2D8F" w14:textId="77777777" w:rsidR="00DB2B68" w:rsidRDefault="00000000">
      <w:pPr>
        <w:pStyle w:val="pheading"/>
      </w:pPr>
      <w:r>
        <w:t>DOCUMENTS DE RÉFÉRENCE</w:t>
      </w:r>
    </w:p>
    <w:p w14:paraId="5D7F97CC" w14:textId="77777777" w:rsidR="00DB2B68" w:rsidRDefault="00000000">
      <w:pPr>
        <w:pStyle w:val="pheading"/>
      </w:pPr>
      <w:r>
        <w:t>- Exécution</w:t>
      </w:r>
    </w:p>
    <w:p w14:paraId="02EF4694" w14:textId="77777777" w:rsidR="00DB2B68" w:rsidRDefault="00000000">
      <w:r>
        <w:t>[AR 1994-07-07, Arrêté royal fixant les normes de base en matière de prévention contre l'incendie et l'explosion, auxquelles les bâtiments nouveaux doivent satisfaire]</w:t>
      </w:r>
    </w:p>
    <w:p w14:paraId="30734A99" w14:textId="77777777" w:rsidR="00DB2B68" w:rsidRDefault="00000000">
      <w:r>
        <w:t>[NBN/DTD B 61-001, Chaufferies et cheminées ]</w:t>
      </w:r>
    </w:p>
    <w:p w14:paraId="52019737" w14:textId="77777777" w:rsidR="00DB2B68" w:rsidRDefault="00000000">
      <w:r>
        <w:t>[NBN/DTD B 61-002, Chaudières de chauffage central dont la puissance nominale est inférieure à 70 kW - Prescriptions concernant leur espace d'installation, leur amenée d'air et leur évacuation de fumée ]</w:t>
      </w:r>
    </w:p>
    <w:p w14:paraId="2212FC56" w14:textId="77777777" w:rsidR="00DB2B68" w:rsidRDefault="00000000">
      <w:r>
        <w:t>[NBN D 51-003:2010+A2, Installations intérieures alimentées en gaz naturel et placement des appareils d'utilisation - Dispositions générales]</w:t>
      </w:r>
    </w:p>
    <w:p w14:paraId="4D674389" w14:textId="77777777" w:rsidR="00DB2B68" w:rsidRDefault="00000000">
      <w:r>
        <w:rPr>
          <w:shd w:val="clear" w:color="auto" w:fill="FFFFFF"/>
        </w:rPr>
        <w:t>[NBN S 21-208 série, Protection incendie dans les bâtiments - ]</w:t>
      </w:r>
    </w:p>
    <w:p w14:paraId="0D96C5E0" w14:textId="77777777" w:rsidR="00DB2B68" w:rsidRDefault="00000000">
      <w:r>
        <w:t>[NBN EN 13501-1, Classement au feu des produits et éléments de construction - Partie 1: Classement à partir des données d'essais de réaction au feu]</w:t>
      </w:r>
    </w:p>
    <w:p w14:paraId="6C31D373"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4E89E201" w14:textId="77777777" w:rsidR="00DB2B68" w:rsidRDefault="00000000">
      <w:r>
        <w:t>[NBN EN 771-1+A1, Spécification pour éléments de maçonnerie - Partie 1: Briques de terre cuite]</w:t>
      </w:r>
    </w:p>
    <w:p w14:paraId="1AB02AB0" w14:textId="77777777" w:rsidR="00DB2B68" w:rsidRDefault="00000000">
      <w:r>
        <w:rPr>
          <w:shd w:val="clear" w:color="auto" w:fill="FFFFFF"/>
        </w:rPr>
        <w:t>[NBN EN 1457-1, Conduits de fumée - Conduits intérieurs en terre cuite/céramique - Partie 1: Exigences et méthodes d'essai pour utilisation en conditions sèches]</w:t>
      </w:r>
    </w:p>
    <w:p w14:paraId="7362721C" w14:textId="77777777" w:rsidR="00DB2B68" w:rsidRDefault="00000000">
      <w:r>
        <w:lastRenderedPageBreak/>
        <w:t>[NBN EN 1457-2, Conduits de fumée - Conduits intérieurs en terre cuite/céramique - Partie 2: Exigences et méthodes d'essai pour utilisation en conditions humides]</w:t>
      </w:r>
    </w:p>
    <w:p w14:paraId="22C083A6" w14:textId="77777777" w:rsidR="00DB2B68" w:rsidRDefault="00000000">
      <w:r>
        <w:t>[NBN EN 998-2, Définitions et spécifications des mortiers pour maçonnerie - Partie 2: Mortiers de montage des éléments de maçonnerie]</w:t>
      </w:r>
    </w:p>
    <w:p w14:paraId="4E874B4C" w14:textId="77777777" w:rsidR="00DB2B68" w:rsidRDefault="00000000">
      <w:pPr>
        <w:pStyle w:val="Author-eSectionHeading4Numberless"/>
      </w:pPr>
      <w:bookmarkStart w:id="2060" w:name="_Toc220497000"/>
      <w:r>
        <w:t>27.11 Hottes de cheminée maçonnées CCTB 01.02</w:t>
      </w:r>
      <w:bookmarkEnd w:id="2060"/>
    </w:p>
    <w:p w14:paraId="37609434" w14:textId="77777777" w:rsidR="00DB2B68" w:rsidRDefault="00000000">
      <w:pPr>
        <w:pStyle w:val="Author-eSectionHeading5Numberless"/>
      </w:pPr>
      <w:bookmarkStart w:id="2061" w:name="_Toc220497001"/>
      <w:r>
        <w:t>27.11.1 Hottes de cheminée maçonnées CCTB 01.02</w:t>
      </w:r>
      <w:bookmarkEnd w:id="2061"/>
    </w:p>
    <w:p w14:paraId="0F225075" w14:textId="77777777" w:rsidR="00DB2B68" w:rsidRDefault="00000000">
      <w:pPr>
        <w:pStyle w:val="Author-eSectionHeading6Numberless"/>
      </w:pPr>
      <w:bookmarkStart w:id="2062" w:name="_Toc220497002"/>
      <w:r>
        <w:t>27.11.1a Hottes de cheminée maçonnées en terre cuite CCTB 01.11</w:t>
      </w:r>
      <w:bookmarkEnd w:id="2062"/>
    </w:p>
    <w:p w14:paraId="32754982" w14:textId="77777777" w:rsidR="00DB2B68" w:rsidRDefault="00000000">
      <w:pPr>
        <w:pStyle w:val="pheading"/>
      </w:pPr>
      <w:r>
        <w:t>MATÉRIAUX</w:t>
      </w:r>
    </w:p>
    <w:p w14:paraId="5891D21F" w14:textId="77777777" w:rsidR="00DB2B68" w:rsidRDefault="00000000">
      <w:pPr>
        <w:pStyle w:val="pheading"/>
      </w:pPr>
      <w:r>
        <w:t>- Caractéristiques générales</w:t>
      </w:r>
    </w:p>
    <w:p w14:paraId="6D36DD8E" w14:textId="77777777" w:rsidR="00DB2B68" w:rsidRDefault="00000000">
      <w:r>
        <w:t xml:space="preserve">Les briques pleines selon la [NBN EN 771-1+A1] satisfont </w:t>
      </w:r>
      <w:r>
        <w:rPr>
          <w:shd w:val="clear" w:color="auto" w:fill="FFFFFF"/>
        </w:rPr>
        <w:t>aux essais thermiques selon la [NBN EN 1457-1] et la [NBN EN 1457-2].</w:t>
      </w:r>
    </w:p>
    <w:p w14:paraId="6CDE78CF" w14:textId="77777777" w:rsidR="00DB2B68" w:rsidRDefault="00000000">
      <w:r>
        <w:t xml:space="preserve">La brique satisfait à : </w:t>
      </w:r>
      <w:r>
        <w:rPr>
          <w:rStyle w:val="optioncarChar"/>
        </w:rPr>
        <w:t>la résistance moyenne à la compression de / la résistance caractéristique à la compression corrigée de</w:t>
      </w:r>
    </w:p>
    <w:p w14:paraId="2DCD9084" w14:textId="77777777" w:rsidR="00DB2B68" w:rsidRDefault="00000000">
      <w:pPr>
        <w:pStyle w:val="Author-eListParagraph"/>
        <w:numPr>
          <w:ilvl w:val="0"/>
          <w:numId w:val="1144"/>
        </w:numPr>
      </w:pPr>
      <w:r>
        <w:rPr>
          <w:b/>
        </w:rPr>
        <w:t>(soit)</w:t>
      </w:r>
    </w:p>
    <w:p w14:paraId="422DE069" w14:textId="77777777" w:rsidR="00DB2B68" w:rsidRDefault="00000000">
      <w:r>
        <w:rPr>
          <w:rStyle w:val="soitChar"/>
        </w:rPr>
        <w:t xml:space="preserve">1. </w:t>
      </w:r>
      <w:r>
        <w:rPr>
          <w:rStyle w:val="soitChar"/>
          <w:u w:val="single"/>
        </w:rPr>
        <w:t>La résistance moyenne à la compression</w:t>
      </w:r>
      <w:r>
        <w:rPr>
          <w:rStyle w:val="soitChar"/>
        </w:rPr>
        <w:t xml:space="preserve"> des pierres est d'au moins </w:t>
      </w:r>
      <w:r>
        <w:rPr>
          <w:rStyle w:val="optioncarChar"/>
        </w:rPr>
        <w:t>15 </w:t>
      </w:r>
      <w:r>
        <w:t>(par défaut)</w:t>
      </w:r>
      <w:r>
        <w:rPr>
          <w:rStyle w:val="optioncarChar"/>
        </w:rPr>
        <w:t xml:space="preserve"> / ***</w:t>
      </w:r>
      <w:r>
        <w:rPr>
          <w:rStyle w:val="soitChar"/>
        </w:rPr>
        <w:t xml:space="preserve"> N/mm2, de façon à pouvoir ériger les conduits au moins sur trois étages sans support supplémentaire.</w:t>
      </w:r>
    </w:p>
    <w:p w14:paraId="7506E86B" w14:textId="77777777" w:rsidR="00DB2B68" w:rsidRDefault="00000000">
      <w:pPr>
        <w:pStyle w:val="Author-eListParagraph"/>
        <w:numPr>
          <w:ilvl w:val="0"/>
          <w:numId w:val="1145"/>
        </w:numPr>
      </w:pPr>
      <w:r>
        <w:rPr>
          <w:b/>
        </w:rPr>
        <w:t>(soit)</w:t>
      </w:r>
    </w:p>
    <w:p w14:paraId="250F4DA1" w14:textId="77777777" w:rsidR="00DB2B68" w:rsidRDefault="00000000">
      <w:r>
        <w:rPr>
          <w:rStyle w:val="soitChar"/>
        </w:rPr>
        <w:t xml:space="preserve">2. </w:t>
      </w:r>
      <w:r>
        <w:rPr>
          <w:rStyle w:val="soitChar"/>
          <w:u w:val="single"/>
        </w:rPr>
        <w:t>La résistance caractéristique à la compression corrigée</w:t>
      </w:r>
      <w:r>
        <w:rPr>
          <w:rStyle w:val="soitChar"/>
        </w:rPr>
        <w:t xml:space="preserve"> - (f'bk) cor - des pierres est d'au moins </w:t>
      </w:r>
      <w:r>
        <w:rPr>
          <w:rStyle w:val="optioncarChar"/>
        </w:rPr>
        <w:t>***</w:t>
      </w:r>
      <w:r>
        <w:rPr>
          <w:rStyle w:val="soitChar"/>
        </w:rPr>
        <w:t xml:space="preserve"> N/mm2 selon la [NBN EN 1996-1-1+A1] .</w:t>
      </w:r>
    </w:p>
    <w:p w14:paraId="5721DD99" w14:textId="77777777" w:rsidR="00DB2B68" w:rsidRDefault="00000000">
      <w:pPr>
        <w:pStyle w:val="pheading"/>
      </w:pPr>
      <w:r>
        <w:t>- Prescriptions complémentaires</w:t>
      </w:r>
    </w:p>
    <w:p w14:paraId="493F14B1" w14:textId="77777777" w:rsidR="00DB2B68" w:rsidRDefault="00000000">
      <w:pPr>
        <w:pStyle w:val="facult"/>
      </w:pPr>
      <w:r>
        <w:t xml:space="preserve">Pour la maçonnerie destinée à rester apparente, on utilise des briques de dimensions : </w:t>
      </w:r>
      <w:r>
        <w:rPr>
          <w:rStyle w:val="optioncarChar"/>
        </w:rPr>
        <w:t>***</w:t>
      </w:r>
    </w:p>
    <w:p w14:paraId="1409A98A" w14:textId="77777777" w:rsidR="00DB2B68" w:rsidRDefault="00000000">
      <w:pPr>
        <w:pStyle w:val="pheading"/>
      </w:pPr>
      <w:r>
        <w:t>EXÉCUTION / MISE EN ŒUVRE</w:t>
      </w:r>
    </w:p>
    <w:p w14:paraId="51B9C170" w14:textId="77777777" w:rsidR="00DB2B68" w:rsidRDefault="00000000">
      <w:pPr>
        <w:pStyle w:val="pheading"/>
      </w:pPr>
      <w:r>
        <w:t>- Prescriptions générales</w:t>
      </w:r>
    </w:p>
    <w:p w14:paraId="5E3EC944" w14:textId="77777777" w:rsidR="00DB2B68" w:rsidRDefault="00000000">
      <w:r>
        <w:t>Le mortier de maçonnerie répond à la catégorie</w:t>
      </w:r>
      <w:r>
        <w:rPr>
          <w:rStyle w:val="optioncarChar"/>
        </w:rPr>
        <w:t xml:space="preserve"> *** </w:t>
      </w:r>
      <w:r>
        <w:t>selon la [NBN EN 998-2]. Les joints sont remplis et soigneusement débarrassés de toutes bavures de mortier. Les faces intérieures des conduits de fumée ne peuvent pas présenter d'irrégularités et sont enduites d'un coulis de ciment. Au droit des pénétrations de toiture, on insère une étanchéité, qui est comptée dans l'article concerné.</w:t>
      </w:r>
    </w:p>
    <w:p w14:paraId="29BC1EE7" w14:textId="77777777" w:rsidR="00DB2B68" w:rsidRDefault="00000000">
      <w:pPr>
        <w:pStyle w:val="pheading"/>
      </w:pPr>
      <w:r>
        <w:t>- Notes d’exécution complémentaires</w:t>
      </w:r>
    </w:p>
    <w:p w14:paraId="30FA5EA8" w14:textId="77777777" w:rsidR="00DB2B68" w:rsidRDefault="00000000">
      <w:r>
        <w:t>Les conduits sont solidarisés avec les autres éléments du gros-œuvre à l'aide d'armatures de liaison posées dans les joints.</w:t>
      </w:r>
    </w:p>
    <w:p w14:paraId="100E2B9A" w14:textId="77777777" w:rsidR="00DB2B68" w:rsidRDefault="00000000">
      <w:pPr>
        <w:pStyle w:val="pheading"/>
      </w:pPr>
      <w:r>
        <w:t>MESURAGE</w:t>
      </w:r>
    </w:p>
    <w:p w14:paraId="0AAB5AE3" w14:textId="77777777" w:rsidR="00DB2B68" w:rsidRDefault="00000000">
      <w:pPr>
        <w:pStyle w:val="pheading"/>
      </w:pPr>
      <w:r>
        <w:t>- unité de mesure:</w:t>
      </w:r>
    </w:p>
    <w:p w14:paraId="6ACA62D2" w14:textId="77777777" w:rsidR="00DB2B68" w:rsidRDefault="00000000">
      <w:r>
        <w:t>m³</w:t>
      </w:r>
    </w:p>
    <w:p w14:paraId="713E0082" w14:textId="77777777" w:rsidR="00DB2B68" w:rsidRDefault="00000000">
      <w:pPr>
        <w:pStyle w:val="pheading"/>
      </w:pPr>
      <w:r>
        <w:t>- code de mesurage:</w:t>
      </w:r>
    </w:p>
    <w:p w14:paraId="72A65C8E" w14:textId="77777777" w:rsidR="00DB2B68" w:rsidRDefault="00000000">
      <w:r>
        <w:t>le volume net est compté.</w:t>
      </w:r>
    </w:p>
    <w:p w14:paraId="7339B1FD" w14:textId="77777777" w:rsidR="00DB2B68" w:rsidRDefault="00000000">
      <w:pPr>
        <w:pStyle w:val="pheading"/>
      </w:pPr>
      <w:r>
        <w:t>- nature du marché:</w:t>
      </w:r>
    </w:p>
    <w:p w14:paraId="076E213D" w14:textId="77777777" w:rsidR="00DB2B68" w:rsidRDefault="00000000">
      <w:r>
        <w:t>QF</w:t>
      </w:r>
    </w:p>
    <w:p w14:paraId="26FDCB0C" w14:textId="77777777" w:rsidR="00DB2B68" w:rsidRDefault="00000000">
      <w:pPr>
        <w:pStyle w:val="Author-eSectionHeading4Numberless"/>
      </w:pPr>
      <w:bookmarkStart w:id="2063" w:name="_Toc220497003"/>
      <w:r>
        <w:t>27.12 Boisseaux maçonnés CCTB 01.02</w:t>
      </w:r>
      <w:bookmarkEnd w:id="2063"/>
    </w:p>
    <w:p w14:paraId="71635370" w14:textId="77777777" w:rsidR="00DB2B68" w:rsidRDefault="00000000">
      <w:pPr>
        <w:pStyle w:val="Author-eSectionHeading5Numberless"/>
      </w:pPr>
      <w:bookmarkStart w:id="2064" w:name="_Toc220497004"/>
      <w:r>
        <w:t>27.12.1 Boisseaux maçonnés CCTB 01.11</w:t>
      </w:r>
      <w:bookmarkEnd w:id="2064"/>
    </w:p>
    <w:p w14:paraId="0A84E5DA" w14:textId="77777777" w:rsidR="00DB2B68" w:rsidRDefault="00000000">
      <w:pPr>
        <w:pStyle w:val="pheading"/>
      </w:pPr>
      <w:r>
        <w:t>DESCRIPTION</w:t>
      </w:r>
    </w:p>
    <w:p w14:paraId="2772A0E8" w14:textId="77777777" w:rsidR="00DB2B68" w:rsidRDefault="00000000">
      <w:pPr>
        <w:pStyle w:val="pheading"/>
      </w:pPr>
      <w:r>
        <w:lastRenderedPageBreak/>
        <w:t>- Définition / Comprend</w:t>
      </w:r>
    </w:p>
    <w:p w14:paraId="7393AD69" w14:textId="77777777" w:rsidR="00DB2B68" w:rsidRDefault="00000000">
      <w:r>
        <w:t>Il s'agit des conduits d'évacuation des fumées et/ou de ventilation constitués d'éléments préfabriqués préformés (tuyaux / boisseaux / …), le corps de cheminée pouvant être constitué d'un ou de plusieurs conduits, soit uniquement destinés à l'évacuation des fumées, soit un système intégrant l'évacuation des fumées et d'autres applications (gaines de conduites, évacuation ou amenée d'air pour les installations de traitement d'air et/ou de ventilation, …). Tous les accessoires, moyens de fixation, recueillement des condensats, … sont compris dans le prix.</w:t>
      </w:r>
    </w:p>
    <w:p w14:paraId="037079C7" w14:textId="77777777" w:rsidR="00DB2B68" w:rsidRDefault="00000000">
      <w:pPr>
        <w:pStyle w:val="pheading"/>
      </w:pPr>
      <w:r>
        <w:t>MATÉRIAUX</w:t>
      </w:r>
    </w:p>
    <w:p w14:paraId="0CFC78AD" w14:textId="77777777" w:rsidR="00DB2B68" w:rsidRDefault="00000000">
      <w:r>
        <w:t>Les éléments de cheminée préfabriqués font partie d'un système modulaire comportant toute une gamme d'accessoires faciles à mettre en œuvre. Chaque conduit comporte suffisamment de regards d'inspection et d'éléments de branchement, conformément à l'affectation respective de la chaudière de chauffage, du feu ouvert, du générateur, etc. La section des conduits de fumée est adaptée à la puissance de la chaudière, selon les indications données par le fabricant de la chaudière.</w:t>
      </w:r>
    </w:p>
    <w:p w14:paraId="4CAE2CDC" w14:textId="77777777" w:rsidR="00DB2B68" w:rsidRDefault="00000000">
      <w:pPr>
        <w:pStyle w:val="Author-eSectionHeading6Numberless"/>
      </w:pPr>
      <w:bookmarkStart w:id="2065" w:name="_Toc220497005"/>
      <w:r>
        <w:t>27.12.1a Boisseaux maçonnés en éléments préfabriqués en béton CCTB 01.11</w:t>
      </w:r>
      <w:bookmarkEnd w:id="2065"/>
    </w:p>
    <w:p w14:paraId="50FBCD9C" w14:textId="77777777" w:rsidR="00DB2B68" w:rsidRDefault="00000000">
      <w:pPr>
        <w:pStyle w:val="pheading"/>
      </w:pPr>
      <w:r>
        <w:t>MATÉRIAUX</w:t>
      </w:r>
    </w:p>
    <w:p w14:paraId="670BC3C5" w14:textId="77777777" w:rsidR="00DB2B68" w:rsidRDefault="00000000">
      <w:pPr>
        <w:pStyle w:val="pheading"/>
      </w:pPr>
      <w:r>
        <w:t>- Caractéristiques générales</w:t>
      </w:r>
    </w:p>
    <w:p w14:paraId="49623E33" w14:textId="77777777" w:rsidR="00DB2B68" w:rsidRDefault="00000000">
      <w:r>
        <w:t xml:space="preserve">Il s'agit des éléments préfabriqués à redans fabriqués en: </w:t>
      </w:r>
      <w:r>
        <w:rPr>
          <w:rStyle w:val="optioncarChar"/>
        </w:rPr>
        <w:t>béton réfractaire / béton mélangés avec légers granulats</w:t>
      </w:r>
    </w:p>
    <w:p w14:paraId="58F8F801" w14:textId="77777777" w:rsidR="00DB2B68" w:rsidRDefault="00000000">
      <w:pPr>
        <w:pStyle w:val="Author-eListParagraph"/>
        <w:numPr>
          <w:ilvl w:val="0"/>
          <w:numId w:val="1146"/>
        </w:numPr>
      </w:pPr>
      <w:r>
        <w:rPr>
          <w:b/>
        </w:rPr>
        <w:t>(soit)</w:t>
      </w:r>
    </w:p>
    <w:p w14:paraId="624F1128" w14:textId="77777777" w:rsidR="00DB2B68" w:rsidRDefault="00000000">
      <w:r>
        <w:rPr>
          <w:rStyle w:val="soitChar"/>
        </w:rPr>
        <w:t>1. Béton réfractaire, vibré et damé.</w:t>
      </w:r>
    </w:p>
    <w:p w14:paraId="0E5220B9" w14:textId="77777777" w:rsidR="00DB2B68" w:rsidRDefault="00000000">
      <w:pPr>
        <w:pStyle w:val="Author-eListParagraph"/>
        <w:numPr>
          <w:ilvl w:val="0"/>
          <w:numId w:val="1147"/>
        </w:numPr>
      </w:pPr>
      <w:r>
        <w:rPr>
          <w:b/>
        </w:rPr>
        <w:t xml:space="preserve">(soit) </w:t>
      </w:r>
    </w:p>
    <w:p w14:paraId="7FBE0FFA" w14:textId="77777777" w:rsidR="00DB2B68" w:rsidRDefault="00000000">
      <w:r>
        <w:rPr>
          <w:rStyle w:val="soitChar"/>
        </w:rPr>
        <w:t>2. Béton dans lequel sont mélangés de légers granulats d'une masse volumique maximale de 1.600 kg/m3.</w:t>
      </w:r>
    </w:p>
    <w:p w14:paraId="3977E18E" w14:textId="77777777" w:rsidR="00DB2B68" w:rsidRDefault="00000000">
      <w:pPr>
        <w:pStyle w:val="heading"/>
      </w:pPr>
      <w:r>
        <w:t>Spécifications</w:t>
      </w:r>
    </w:p>
    <w:p w14:paraId="4714E89D" w14:textId="77777777" w:rsidR="00DB2B68" w:rsidRDefault="00000000">
      <w:r>
        <w:t xml:space="preserve">Type : </w:t>
      </w:r>
      <w:r>
        <w:rPr>
          <w:rStyle w:val="optioncarChar"/>
        </w:rPr>
        <w:t>à simple paroi </w:t>
      </w:r>
      <w:r>
        <w:t>(par défaut)</w:t>
      </w:r>
      <w:r>
        <w:rPr>
          <w:rStyle w:val="optioncarChar"/>
        </w:rPr>
        <w:t xml:space="preserve"> / *** </w:t>
      </w:r>
    </w:p>
    <w:p w14:paraId="082CBBAF" w14:textId="77777777" w:rsidR="00DB2B68" w:rsidRDefault="00000000">
      <w:r>
        <w:t xml:space="preserve">Résistance thermique : jusqu'à </w:t>
      </w:r>
      <w:r>
        <w:rPr>
          <w:rStyle w:val="optioncarChar"/>
        </w:rPr>
        <w:t>300 </w:t>
      </w:r>
      <w:r>
        <w:t>(par défaut)</w:t>
      </w:r>
      <w:r>
        <w:rPr>
          <w:rStyle w:val="optioncarChar"/>
        </w:rPr>
        <w:t xml:space="preserve"> / 500 / 900</w:t>
      </w:r>
    </w:p>
    <w:p w14:paraId="3728EA96" w14:textId="77777777" w:rsidR="00DB2B68" w:rsidRDefault="00000000">
      <w:r>
        <w:t>Epaisseur des parois : </w:t>
      </w:r>
    </w:p>
    <w:p w14:paraId="37BC574E" w14:textId="77777777" w:rsidR="00DB2B68" w:rsidRDefault="00000000">
      <w:r>
        <w:t xml:space="preserve">au moins </w:t>
      </w:r>
      <w:r>
        <w:rPr>
          <w:rStyle w:val="optioncarChar"/>
        </w:rPr>
        <w:t>3 </w:t>
      </w:r>
      <w:r>
        <w:t>(par défaut)</w:t>
      </w:r>
      <w:r>
        <w:rPr>
          <w:rStyle w:val="optioncarChar"/>
        </w:rPr>
        <w:t xml:space="preserve"> / ***</w:t>
      </w:r>
      <w:r>
        <w:t xml:space="preserve"> cm pour les sections jusqu'à 25 dm2 </w:t>
      </w:r>
    </w:p>
    <w:p w14:paraId="4F6E2ADE" w14:textId="77777777" w:rsidR="00DB2B68" w:rsidRDefault="00000000">
      <w:r>
        <w:t xml:space="preserve">au moins </w:t>
      </w:r>
      <w:r>
        <w:rPr>
          <w:rStyle w:val="optioncarChar"/>
        </w:rPr>
        <w:t xml:space="preserve">5 </w:t>
      </w:r>
      <w:r>
        <w:t>(par défaut) </w:t>
      </w:r>
      <w:r>
        <w:rPr>
          <w:rStyle w:val="optioncarChar"/>
        </w:rPr>
        <w:t>/ ***</w:t>
      </w:r>
      <w:r>
        <w:t xml:space="preserve"> cm pour les sections supérieures à 25 dm2</w:t>
      </w:r>
    </w:p>
    <w:p w14:paraId="506F7731" w14:textId="77777777" w:rsidR="00DB2B68" w:rsidRDefault="00000000">
      <w:r>
        <w:t>Nombre de conduits :</w:t>
      </w:r>
    </w:p>
    <w:p w14:paraId="5F3C65E5" w14:textId="77777777" w:rsidR="00DB2B68" w:rsidRDefault="00000000">
      <w:r>
        <w:t xml:space="preserve">pour l'évacuation des fumées : conduit </w:t>
      </w:r>
      <w:r>
        <w:rPr>
          <w:rStyle w:val="optioncarChar"/>
        </w:rPr>
        <w:t>simple </w:t>
      </w:r>
      <w:r>
        <w:t>(par défaut)</w:t>
      </w:r>
      <w:r>
        <w:rPr>
          <w:rStyle w:val="optioncarChar"/>
        </w:rPr>
        <w:t xml:space="preserve"> / double / multiple / ***</w:t>
      </w:r>
    </w:p>
    <w:p w14:paraId="2B1DECE4" w14:textId="77777777" w:rsidR="00DB2B68" w:rsidRDefault="00000000">
      <w:r>
        <w:t xml:space="preserve">pour d'autres applications : conduit </w:t>
      </w:r>
      <w:r>
        <w:rPr>
          <w:rStyle w:val="optioncarChar"/>
        </w:rPr>
        <w:t>simple </w:t>
      </w:r>
      <w:r>
        <w:t>(par défaut)</w:t>
      </w:r>
      <w:r>
        <w:rPr>
          <w:rStyle w:val="optioncarChar"/>
        </w:rPr>
        <w:t xml:space="preserve"> / double / multiple / ***</w:t>
      </w:r>
    </w:p>
    <w:p w14:paraId="3615B37B" w14:textId="77777777" w:rsidR="00DB2B68" w:rsidRDefault="00000000">
      <w:r>
        <w:t xml:space="preserve">Les dimensions intérieures des conduits respectifs sont </w:t>
      </w:r>
      <w:r>
        <w:rPr>
          <w:rStyle w:val="optioncarChar"/>
        </w:rPr>
        <w:t>conformes à l'étude / conformes aux indications sur les plans / de dimensions identiques / de dimensions différentes / conformes à la liste ci-dessous</w:t>
      </w:r>
      <w:r>
        <w:t> (par défaut)</w:t>
      </w:r>
      <w:r>
        <w:rPr>
          <w:rStyle w:val="optioncarChar"/>
        </w:rPr>
        <w:t xml:space="preserve"> :</w:t>
      </w:r>
    </w:p>
    <w:p w14:paraId="7993488D" w14:textId="77777777" w:rsidR="00DB2B68" w:rsidRDefault="00000000">
      <w:r>
        <w:rPr>
          <w:rStyle w:val="optioncarChar"/>
        </w:rPr>
        <w:t>150x150 </w:t>
      </w:r>
      <w:r>
        <w:t>(par défaut)</w:t>
      </w:r>
      <w:r>
        <w:rPr>
          <w:rStyle w:val="optioncarChar"/>
        </w:rPr>
        <w:t xml:space="preserve"> / 200x200 / 250x250 / 300x300 / 400x400 / *** x ***</w:t>
      </w:r>
      <w:r>
        <w:t xml:space="preserve"> mm</w:t>
      </w:r>
    </w:p>
    <w:p w14:paraId="22534562" w14:textId="77777777" w:rsidR="00DB2B68" w:rsidRDefault="00000000">
      <w:r>
        <w:rPr>
          <w:rStyle w:val="optioncarChar"/>
        </w:rPr>
        <w:t xml:space="preserve">150x200 </w:t>
      </w:r>
      <w:r>
        <w:t>(par défaut) </w:t>
      </w:r>
      <w:r>
        <w:rPr>
          <w:rStyle w:val="optioncarChar"/>
        </w:rPr>
        <w:t>/ 250x300 / 300x350 / 400x500 / *** x ***</w:t>
      </w:r>
      <w:r>
        <w:t xml:space="preserve"> mm</w:t>
      </w:r>
    </w:p>
    <w:p w14:paraId="6F997353" w14:textId="77777777" w:rsidR="00DB2B68" w:rsidRDefault="00000000">
      <w:r>
        <w:rPr>
          <w:rStyle w:val="optioncarChar"/>
        </w:rPr>
        <w:t>2x85x200 </w:t>
      </w:r>
      <w:r>
        <w:t>(par défaut)</w:t>
      </w:r>
      <w:r>
        <w:rPr>
          <w:rStyle w:val="optioncarChar"/>
        </w:rPr>
        <w:t xml:space="preserve"> / 200x200 et 120x200 / ***</w:t>
      </w:r>
      <w:r>
        <w:t xml:space="preserve"> mm</w:t>
      </w:r>
    </w:p>
    <w:p w14:paraId="6CEA363A" w14:textId="77777777" w:rsidR="00DB2B68" w:rsidRDefault="00000000">
      <w:r>
        <w:rPr>
          <w:rStyle w:val="optioncarChar"/>
        </w:rPr>
        <w:t>350x200 et 125x200</w:t>
      </w:r>
      <w:r>
        <w:t xml:space="preserve"> (par défaut)</w:t>
      </w:r>
      <w:r>
        <w:rPr>
          <w:rStyle w:val="optioncarChar"/>
        </w:rPr>
        <w:t> / 200x200 et 2x85x120 / 355x200 et 2x85x125 / ***</w:t>
      </w:r>
      <w:r>
        <w:t xml:space="preserve"> mm</w:t>
      </w:r>
    </w:p>
    <w:p w14:paraId="702F51AB" w14:textId="77777777" w:rsidR="00DB2B68" w:rsidRDefault="00000000">
      <w:r>
        <w:t xml:space="preserve">Dimensions extérieures : </w:t>
      </w:r>
      <w:r>
        <w:rPr>
          <w:rStyle w:val="optioncarChar"/>
        </w:rPr>
        <w:t>300x300 </w:t>
      </w:r>
      <w:r>
        <w:t>(par défaut)</w:t>
      </w:r>
      <w:r>
        <w:rPr>
          <w:rStyle w:val="optioncarChar"/>
        </w:rPr>
        <w:t xml:space="preserve"> / 350x350 / 450x450 / 550x550 / 650x650 / *** x ***</w:t>
      </w:r>
      <w:r>
        <w:t xml:space="preserve"> mm</w:t>
      </w:r>
    </w:p>
    <w:p w14:paraId="625CFE09" w14:textId="77777777" w:rsidR="00DB2B68" w:rsidRDefault="00000000">
      <w:r>
        <w:t xml:space="preserve">Résistance à la compression : au moins </w:t>
      </w:r>
      <w:r>
        <w:rPr>
          <w:rStyle w:val="optioncarChar"/>
        </w:rPr>
        <w:t>15 </w:t>
      </w:r>
      <w:r>
        <w:t>(par défaut)</w:t>
      </w:r>
      <w:r>
        <w:rPr>
          <w:rStyle w:val="optioncarChar"/>
        </w:rPr>
        <w:t xml:space="preserve"> / ***</w:t>
      </w:r>
      <w:r>
        <w:t xml:space="preserve"> N/mm2</w:t>
      </w:r>
    </w:p>
    <w:p w14:paraId="248A9549" w14:textId="77777777" w:rsidR="00DB2B68" w:rsidRDefault="00000000">
      <w:pPr>
        <w:pStyle w:val="pheading"/>
      </w:pPr>
      <w:r>
        <w:t>- Prescriptions complémentaires</w:t>
      </w:r>
    </w:p>
    <w:p w14:paraId="738DC837" w14:textId="77777777" w:rsidR="00DB2B68" w:rsidRDefault="00000000">
      <w:r>
        <w:rPr>
          <w:rStyle w:val="facultChar"/>
        </w:rPr>
        <w:lastRenderedPageBreak/>
        <w:t>Isolation : isolation ignifuge - laine de roche, masse volumique mininmale </w:t>
      </w:r>
      <w:r>
        <w:rPr>
          <w:rStyle w:val="optioncarChar"/>
        </w:rPr>
        <w:t>120 </w:t>
      </w:r>
      <w:r>
        <w:t>(par défaut)</w:t>
      </w:r>
      <w:r>
        <w:rPr>
          <w:rStyle w:val="optioncarChar"/>
        </w:rPr>
        <w:t xml:space="preserve"> / ***</w:t>
      </w:r>
      <w:r>
        <w:rPr>
          <w:rStyle w:val="facultChar"/>
        </w:rPr>
        <w:t xml:space="preserve"> kg/m</w:t>
      </w:r>
      <w:r>
        <w:rPr>
          <w:rStyle w:val="facultChar"/>
          <w:vertAlign w:val="superscript"/>
        </w:rPr>
        <w:t>3</w:t>
      </w:r>
      <w:r>
        <w:rPr>
          <w:rStyle w:val="facultChar"/>
        </w:rPr>
        <w:t xml:space="preserve">, épaisseur </w:t>
      </w:r>
      <w:r>
        <w:rPr>
          <w:rStyle w:val="optioncarChar"/>
        </w:rPr>
        <w:t>35</w:t>
      </w:r>
      <w:r>
        <w:rPr>
          <w:rStyle w:val="facultChar"/>
        </w:rPr>
        <w:t> </w:t>
      </w:r>
      <w:r>
        <w:t xml:space="preserve">(par défaut) </w:t>
      </w:r>
      <w:r>
        <w:rPr>
          <w:rStyle w:val="optioncarChar"/>
        </w:rPr>
        <w:t>/ 40 / 50 / ***</w:t>
      </w:r>
      <w:r>
        <w:rPr>
          <w:rStyle w:val="facultChar"/>
        </w:rPr>
        <w:t xml:space="preserve"> mm .</w:t>
      </w:r>
    </w:p>
    <w:p w14:paraId="2146D6C0" w14:textId="77777777" w:rsidR="00DB2B68" w:rsidRDefault="00000000">
      <w:pPr>
        <w:pStyle w:val="pheading"/>
      </w:pPr>
      <w:r>
        <w:t>EXÉCUTION / MISE EN ŒUVRE</w:t>
      </w:r>
    </w:p>
    <w:p w14:paraId="35A94577" w14:textId="77777777" w:rsidR="00DB2B68" w:rsidRDefault="00000000">
      <w:pPr>
        <w:pStyle w:val="pheading"/>
      </w:pPr>
      <w:r>
        <w:t>- Prescriptions générales</w:t>
      </w:r>
    </w:p>
    <w:p w14:paraId="39DAA52C" w14:textId="77777777" w:rsidR="00DB2B68" w:rsidRDefault="00000000">
      <w:r>
        <w:t>Les éléments sont humidifiés avant la pose. Ils sont posés à plein bain de mortier, lissés à l’intérieur et ébarbés. Les éléments sont posés avec le bout mâle dirigé vers le bas. Chaque conduit est pourvu d’un orifice de nettoyage.</w:t>
      </w:r>
    </w:p>
    <w:p w14:paraId="13FF52A4" w14:textId="77777777" w:rsidR="00DB2B68" w:rsidRDefault="00000000">
      <w:pPr>
        <w:pStyle w:val="pheading"/>
      </w:pPr>
      <w:r>
        <w:t>- Notes d’exécution complémentaires</w:t>
      </w:r>
    </w:p>
    <w:p w14:paraId="45122642" w14:textId="77777777" w:rsidR="00DB2B68" w:rsidRDefault="00000000">
      <w:r>
        <w:t>Les éléments résistant à des températures d’au moins 300</w:t>
      </w:r>
      <w:r>
        <w:rPr>
          <w:rFonts w:ascii="Symbol" w:hAnsi="Symbol" w:cs="Symbol"/>
        </w:rPr>
        <w:t>°</w:t>
      </w:r>
      <w:r>
        <w:t> C sont posés au mortier réfractaire.</w:t>
      </w:r>
    </w:p>
    <w:p w14:paraId="64529328" w14:textId="77777777" w:rsidR="00DB2B68" w:rsidRDefault="00000000">
      <w:r>
        <w:t xml:space="preserve">Conformément aux indications sur les plans, les conduits de fumée sont intégrés dans une gaine maçonnée, qui est liaisonnée en appareil à la maçonnerie attenante. La maçonnerie répond aux prescriptions de la </w:t>
      </w:r>
      <w:r>
        <w:rPr>
          <w:shd w:val="clear" w:color="auto" w:fill="FFFF00"/>
        </w:rPr>
        <w:t>[NBN EN 1457-1]</w:t>
      </w:r>
      <w:r>
        <w:t xml:space="preserve"> et </w:t>
      </w:r>
      <w:r>
        <w:rPr>
          <w:shd w:val="clear" w:color="auto" w:fill="FFFF00"/>
        </w:rPr>
        <w:t>[NBN EN 1457-2]</w:t>
      </w:r>
      <w:r>
        <w:t> et aux dispositions du chapitre </w:t>
      </w:r>
      <w:hyperlink w:anchor="295" w:history="1">
        <w:r>
          <w:rPr>
            <w:color w:val="0000EE"/>
          </w:rPr>
          <w:t>21 Superstructures en maçonnerie</w:t>
        </w:r>
      </w:hyperlink>
      <w:r>
        <w:rPr>
          <w:i/>
        </w:rPr>
        <w:t xml:space="preserve"> (Compris dans le prix de la maçonnerie intérieure).</w:t>
      </w:r>
    </w:p>
    <w:p w14:paraId="4EE455EC" w14:textId="77777777" w:rsidR="00DB2B68" w:rsidRDefault="00000000">
      <w:r>
        <w:t>Un joint de dilatation doit être prévu avant de poser la dalle de couverture afin d'assurer la libre dilatation des conduits de fumée.</w:t>
      </w:r>
    </w:p>
    <w:p w14:paraId="28C12A42" w14:textId="77777777" w:rsidR="00DB2B68" w:rsidRDefault="00000000">
      <w:r>
        <w:t>Lorsque l'installation de chauffage prévoit une chaudière de haut rendement ou à condensation, il faut prévoir un bac de recueillement des condensats avec une évacuation vers l'égout.</w:t>
      </w:r>
    </w:p>
    <w:p w14:paraId="157EF28E" w14:textId="77777777" w:rsidR="00DB2B68" w:rsidRDefault="00000000">
      <w:pPr>
        <w:pStyle w:val="pheading"/>
      </w:pPr>
      <w:r>
        <w:t>MESURAGE</w:t>
      </w:r>
    </w:p>
    <w:p w14:paraId="422BFD7D" w14:textId="77777777" w:rsidR="00DB2B68" w:rsidRDefault="00000000">
      <w:pPr>
        <w:pStyle w:val="pheading"/>
      </w:pPr>
      <w:r>
        <w:t>- unité de mesure:</w:t>
      </w:r>
    </w:p>
    <w:p w14:paraId="2CA87E53" w14:textId="77777777" w:rsidR="00DB2B68" w:rsidRDefault="00000000">
      <w:r>
        <w:t xml:space="preserve">Choix opéré : </w:t>
      </w:r>
      <w:r>
        <w:rPr>
          <w:rStyle w:val="optioncarChar"/>
        </w:rPr>
        <w:t xml:space="preserve">m </w:t>
      </w:r>
      <w:r>
        <w:t>(par défaut)</w:t>
      </w:r>
      <w:r>
        <w:rPr>
          <w:rStyle w:val="optioncarChar"/>
        </w:rPr>
        <w:t xml:space="preserve"> / pc</w:t>
      </w:r>
    </w:p>
    <w:p w14:paraId="57030ECB" w14:textId="77777777" w:rsidR="00DB2B68" w:rsidRDefault="00000000">
      <w:pPr>
        <w:pStyle w:val="pheading"/>
      </w:pPr>
      <w:r>
        <w:t>- code de mesurage:</w:t>
      </w:r>
    </w:p>
    <w:p w14:paraId="2B5B5704" w14:textId="77777777" w:rsidR="00DB2B68" w:rsidRDefault="00000000">
      <w:r>
        <w:t xml:space="preserve">Choix opéré : </w:t>
      </w:r>
      <w:r>
        <w:rPr>
          <w:rStyle w:val="optioncarChar"/>
        </w:rPr>
        <w:t>longueur nette de conduit de cheminée / à la pièce</w:t>
      </w:r>
      <w:r>
        <w:t> </w:t>
      </w:r>
    </w:p>
    <w:p w14:paraId="6A26030D" w14:textId="77777777" w:rsidR="00DB2B68" w:rsidRDefault="00000000">
      <w:pPr>
        <w:pStyle w:val="Author-eListParagraph"/>
        <w:numPr>
          <w:ilvl w:val="0"/>
          <w:numId w:val="1148"/>
        </w:numPr>
      </w:pPr>
      <w:r>
        <w:rPr>
          <w:b/>
        </w:rPr>
        <w:t>(soit par défaut)</w:t>
      </w:r>
    </w:p>
    <w:p w14:paraId="4F4FF851" w14:textId="77777777" w:rsidR="00DB2B68" w:rsidRDefault="00000000">
      <w:r>
        <w:rPr>
          <w:rStyle w:val="soitChar"/>
        </w:rPr>
        <w:t xml:space="preserve">1. </w:t>
      </w:r>
      <w:r>
        <w:rPr>
          <w:rStyle w:val="soitChar"/>
          <w:u w:val="single"/>
        </w:rPr>
        <w:t>Longueur nette de conduit de cheminée</w:t>
      </w:r>
      <w:r>
        <w:rPr>
          <w:rStyle w:val="soitChar"/>
        </w:rPr>
        <w:t xml:space="preserve"> à exécuter, mesurée dans l'axe du conduit, depuis le point le plus bas de l'élément inférieur jusqu'au point le plus haut de l'élément supérieur.</w:t>
      </w:r>
      <w:r>
        <w:t> </w:t>
      </w:r>
    </w:p>
    <w:p w14:paraId="49F61929" w14:textId="77777777" w:rsidR="00DB2B68" w:rsidRDefault="00000000">
      <w:pPr>
        <w:pStyle w:val="Author-eListParagraph"/>
        <w:numPr>
          <w:ilvl w:val="0"/>
          <w:numId w:val="1149"/>
        </w:numPr>
      </w:pPr>
      <w:r>
        <w:rPr>
          <w:b/>
        </w:rPr>
        <w:t>(soit)</w:t>
      </w:r>
    </w:p>
    <w:p w14:paraId="01301CA7" w14:textId="77777777" w:rsidR="00DB2B68" w:rsidRDefault="00000000">
      <w:r>
        <w:rPr>
          <w:rStyle w:val="soitChar"/>
        </w:rPr>
        <w:t>2. </w:t>
      </w:r>
      <w:r>
        <w:rPr>
          <w:rStyle w:val="soitChar"/>
          <w:u w:val="single"/>
        </w:rPr>
        <w:t>A la pièce</w:t>
      </w:r>
      <w:r>
        <w:rPr>
          <w:rStyle w:val="soitChar"/>
        </w:rPr>
        <w:t>, ventilé selon le type et les dimensions.</w:t>
      </w:r>
    </w:p>
    <w:p w14:paraId="2DC7F595" w14:textId="77777777" w:rsidR="00DB2B68" w:rsidRDefault="00000000">
      <w:pPr>
        <w:pStyle w:val="pheading"/>
      </w:pPr>
      <w:r>
        <w:t>- nature du marché:</w:t>
      </w:r>
    </w:p>
    <w:p w14:paraId="6B251079" w14:textId="77777777" w:rsidR="00DB2B68" w:rsidRDefault="00000000">
      <w:r>
        <w:t>QF</w:t>
      </w:r>
    </w:p>
    <w:p w14:paraId="07F5D1E8" w14:textId="77777777" w:rsidR="00DB2B68" w:rsidRDefault="00000000">
      <w:pPr>
        <w:pStyle w:val="Author-eSectionHeading6Numberless"/>
      </w:pPr>
      <w:bookmarkStart w:id="2066" w:name="_Toc220497006"/>
      <w:r>
        <w:t>27.12.1b Boisseaux maçonnés en éléments en terre cuite CCTB 01.10</w:t>
      </w:r>
      <w:bookmarkEnd w:id="2066"/>
    </w:p>
    <w:p w14:paraId="7C82685A" w14:textId="77777777" w:rsidR="00DB2B68" w:rsidRDefault="00000000">
      <w:pPr>
        <w:pStyle w:val="pheading"/>
      </w:pPr>
      <w:r>
        <w:t>MATÉRIAUX</w:t>
      </w:r>
    </w:p>
    <w:p w14:paraId="31EA31F1" w14:textId="77777777" w:rsidR="00DB2B68" w:rsidRDefault="00000000">
      <w:pPr>
        <w:pStyle w:val="pheading"/>
      </w:pPr>
      <w:r>
        <w:t>- Caractéristiques générales</w:t>
      </w:r>
    </w:p>
    <w:p w14:paraId="008ABE1A" w14:textId="77777777" w:rsidR="00DB2B68" w:rsidRDefault="00000000">
      <w:r>
        <w:t xml:space="preserve">Les conduits répondent à la [NBN EN 1457-1] et [NBN EN 1457-2]. Les conduits sont fabriqués à base de chamotte jaune réfractaire. Le matériau du conduit extérieur peut également être constitué de </w:t>
      </w:r>
      <w:r>
        <w:rPr>
          <w:rStyle w:val="optioncarChar"/>
        </w:rPr>
        <w:t xml:space="preserve">fibres-ciment exempt d'amiante / de béton d'argile expansée. </w:t>
      </w:r>
      <w:r>
        <w:t>Le mortier de maçonnerie répond à la catégorie   selon la [NBN EN 998-2]. Les adjuvants dans le mortier ne sont autorisés qu'avec l'accord de l'auteur de projet. Les retardateurs de prise ne sont pas autorisés. </w:t>
      </w:r>
    </w:p>
    <w:p w14:paraId="65AB8CDD" w14:textId="77777777" w:rsidR="00DB2B68" w:rsidRDefault="00000000">
      <w:pPr>
        <w:pStyle w:val="heading"/>
      </w:pPr>
      <w:r>
        <w:t>Spécifications</w:t>
      </w:r>
    </w:p>
    <w:p w14:paraId="0147D494" w14:textId="77777777" w:rsidR="00DB2B68" w:rsidRDefault="00000000">
      <w:r>
        <w:t xml:space="preserve">Type : </w:t>
      </w:r>
      <w:r>
        <w:rPr>
          <w:rStyle w:val="optioncarChar"/>
        </w:rPr>
        <w:t>à paroi simple / à double paroi isolée</w:t>
      </w:r>
      <w:r>
        <w:t xml:space="preserve"> (isolation : laine de roche réfractaire, masse volumique minimale 120 kg/m</w:t>
      </w:r>
      <w:r>
        <w:rPr>
          <w:vertAlign w:val="superscript"/>
        </w:rPr>
        <w:t>3</w:t>
      </w:r>
      <w:r>
        <w:t xml:space="preserve">, épaisseur </w:t>
      </w:r>
      <w:r>
        <w:rPr>
          <w:rStyle w:val="optioncarChar"/>
        </w:rPr>
        <w:t>35 </w:t>
      </w:r>
      <w:r>
        <w:t xml:space="preserve">(par défaut) </w:t>
      </w:r>
      <w:r>
        <w:rPr>
          <w:rStyle w:val="optioncarChar"/>
        </w:rPr>
        <w:t>/ 40 / 50 / ***</w:t>
      </w:r>
      <w:r>
        <w:t xml:space="preserve"> mm)</w:t>
      </w:r>
    </w:p>
    <w:p w14:paraId="3BB2EBFC" w14:textId="77777777" w:rsidR="00DB2B68" w:rsidRDefault="00000000">
      <w:r>
        <w:t xml:space="preserve">Masse volumique : maximum </w:t>
      </w:r>
      <w:r>
        <w:rPr>
          <w:rStyle w:val="optioncarChar"/>
        </w:rPr>
        <w:t>1.600 </w:t>
      </w:r>
      <w:r>
        <w:t>(par défaut)</w:t>
      </w:r>
      <w:r>
        <w:rPr>
          <w:rStyle w:val="optioncarChar"/>
        </w:rPr>
        <w:t xml:space="preserve"> / ***</w:t>
      </w:r>
      <w:r>
        <w:t xml:space="preserve"> kg/m</w:t>
      </w:r>
      <w:r>
        <w:rPr>
          <w:vertAlign w:val="superscript"/>
        </w:rPr>
        <w:t>3</w:t>
      </w:r>
    </w:p>
    <w:p w14:paraId="5A14018E" w14:textId="77777777" w:rsidR="00DB2B68" w:rsidRDefault="00000000">
      <w:r>
        <w:t xml:space="preserve">Résistance moyenne à la compression : au moins </w:t>
      </w:r>
      <w:r>
        <w:rPr>
          <w:rStyle w:val="optioncarChar"/>
        </w:rPr>
        <w:t>15 </w:t>
      </w:r>
      <w:r>
        <w:t>(par défaut)</w:t>
      </w:r>
      <w:r>
        <w:rPr>
          <w:rStyle w:val="optioncarChar"/>
        </w:rPr>
        <w:t xml:space="preserve"> / ***</w:t>
      </w:r>
      <w:r>
        <w:t xml:space="preserve"> N/mm</w:t>
      </w:r>
      <w:r>
        <w:rPr>
          <w:vertAlign w:val="superscript"/>
        </w:rPr>
        <w:t>2</w:t>
      </w:r>
      <w:r>
        <w:t xml:space="preserve"> (MPa)</w:t>
      </w:r>
    </w:p>
    <w:p w14:paraId="4C8C962D" w14:textId="77777777" w:rsidR="00DB2B68" w:rsidRDefault="00000000">
      <w:r>
        <w:lastRenderedPageBreak/>
        <w:t xml:space="preserve">Porosité : inférieure à </w:t>
      </w:r>
      <w:r>
        <w:rPr>
          <w:rStyle w:val="optioncarChar"/>
        </w:rPr>
        <w:t>8 </w:t>
      </w:r>
      <w:r>
        <w:t>(par défaut)</w:t>
      </w:r>
      <w:r>
        <w:rPr>
          <w:rStyle w:val="optioncarChar"/>
        </w:rPr>
        <w:t xml:space="preserve"> / ***</w:t>
      </w:r>
      <w:r>
        <w:t xml:space="preserve"> %</w:t>
      </w:r>
    </w:p>
    <w:p w14:paraId="486A2446" w14:textId="77777777" w:rsidR="00DB2B68" w:rsidRDefault="00000000">
      <w:r>
        <w:t xml:space="preserve">Résistance thermique : au moins jusqu'à </w:t>
      </w:r>
      <w:r>
        <w:rPr>
          <w:rStyle w:val="optioncarChar"/>
        </w:rPr>
        <w:t>300 </w:t>
      </w:r>
      <w:r>
        <w:t>(par défaut)</w:t>
      </w:r>
      <w:r>
        <w:rPr>
          <w:rStyle w:val="optioncarChar"/>
        </w:rPr>
        <w:t xml:space="preserve"> / 500 / 900</w:t>
      </w:r>
    </w:p>
    <w:p w14:paraId="2AFE68CC" w14:textId="77777777" w:rsidR="00DB2B68" w:rsidRDefault="00000000">
      <w:r>
        <w:t>Autres conduits :</w:t>
      </w:r>
    </w:p>
    <w:p w14:paraId="7D072C01" w14:textId="77777777" w:rsidR="00DB2B68" w:rsidRDefault="00000000">
      <w:r>
        <w:t xml:space="preserve">de fumée : conduit </w:t>
      </w:r>
      <w:r>
        <w:rPr>
          <w:rStyle w:val="optioncarChar"/>
        </w:rPr>
        <w:t xml:space="preserve">simple </w:t>
      </w:r>
      <w:r>
        <w:t>(par défaut) </w:t>
      </w:r>
      <w:r>
        <w:rPr>
          <w:rStyle w:val="optioncarChar"/>
        </w:rPr>
        <w:t xml:space="preserve">/ double / multiple / *** </w:t>
      </w:r>
    </w:p>
    <w:p w14:paraId="173010A9" w14:textId="77777777" w:rsidR="00DB2B68" w:rsidRDefault="00000000">
      <w:r>
        <w:t xml:space="preserve">pour d'autres applications : conduit </w:t>
      </w:r>
      <w:r>
        <w:rPr>
          <w:rStyle w:val="optioncarChar"/>
        </w:rPr>
        <w:t>simple </w:t>
      </w:r>
      <w:r>
        <w:t>(par défaut)</w:t>
      </w:r>
      <w:r>
        <w:rPr>
          <w:rStyle w:val="optioncarChar"/>
        </w:rPr>
        <w:t xml:space="preserve"> / double / multiple / ***</w:t>
      </w:r>
    </w:p>
    <w:p w14:paraId="29FBE542" w14:textId="77777777" w:rsidR="00DB2B68" w:rsidRDefault="00000000">
      <w:r>
        <w:t xml:space="preserve">Les dimensions intérieures des conduits respectifs sont </w:t>
      </w:r>
      <w:r>
        <w:rPr>
          <w:rStyle w:val="optioncarChar"/>
        </w:rPr>
        <w:t>conformes à l'étude / conformes aux indications sur les plans / de dimensions identiques / de dimensions différentes / conformes à la liste ci-dessous </w:t>
      </w:r>
      <w:r>
        <w:t>(par défaut)</w:t>
      </w:r>
      <w:r>
        <w:rPr>
          <w:rStyle w:val="optioncarChar"/>
        </w:rPr>
        <w:t xml:space="preserve"> :</w:t>
      </w:r>
    </w:p>
    <w:p w14:paraId="3F96E1DA" w14:textId="77777777" w:rsidR="00DB2B68" w:rsidRDefault="00000000">
      <w:r>
        <w:t xml:space="preserve">Dimensions intérieures : </w:t>
      </w:r>
      <w:r>
        <w:rPr>
          <w:rStyle w:val="optioncarChar"/>
        </w:rPr>
        <w:t>à simple paroi</w:t>
      </w:r>
      <w:r>
        <w:t> (par défaut)</w:t>
      </w:r>
      <w:r>
        <w:rPr>
          <w:rStyle w:val="optioncarChar"/>
        </w:rPr>
        <w:t xml:space="preserve"> / à double paroi / à double paroi et deux conduits</w:t>
      </w:r>
    </w:p>
    <w:p w14:paraId="1A634FF9" w14:textId="77777777" w:rsidR="00DB2B68" w:rsidRDefault="00000000">
      <w:r>
        <w:rPr>
          <w:b/>
        </w:rPr>
        <w:t>(soit)</w:t>
      </w:r>
      <w:r>
        <w:br/>
      </w:r>
      <w:r>
        <w:rPr>
          <w:rStyle w:val="soitChar"/>
          <w:u w:val="single"/>
        </w:rPr>
        <w:t>à simple paroi</w:t>
      </w:r>
      <w:r>
        <w:rPr>
          <w:rStyle w:val="soitChar"/>
        </w:rPr>
        <w:t xml:space="preserve">, dimensions intérieures : </w:t>
      </w:r>
      <w:r>
        <w:rPr>
          <w:rStyle w:val="optioncarChar"/>
        </w:rPr>
        <w:t>150x150 </w:t>
      </w:r>
      <w:r>
        <w:t>(par défaut)</w:t>
      </w:r>
      <w:r>
        <w:rPr>
          <w:rStyle w:val="optioncarChar"/>
        </w:rPr>
        <w:t xml:space="preserve"> / 200x200 / 200x250 / 200x300 / 250x300 / 300x300 / ***x***</w:t>
      </w:r>
      <w:r>
        <w:rPr>
          <w:rStyle w:val="soitChar"/>
        </w:rPr>
        <w:t xml:space="preserve"> mm</w:t>
      </w:r>
    </w:p>
    <w:p w14:paraId="6EFFCCE2" w14:textId="77777777" w:rsidR="00DB2B68" w:rsidRDefault="00000000">
      <w:r>
        <w:rPr>
          <w:b/>
        </w:rPr>
        <w:t>(soit)</w:t>
      </w:r>
    </w:p>
    <w:p w14:paraId="6663FA9A" w14:textId="77777777" w:rsidR="00DB2B68" w:rsidRDefault="00000000">
      <w:r>
        <w:rPr>
          <w:rStyle w:val="soitChar"/>
          <w:u w:val="single"/>
        </w:rPr>
        <w:t>à double paroi</w:t>
      </w:r>
      <w:r>
        <w:rPr>
          <w:rStyle w:val="soitChar"/>
        </w:rPr>
        <w:t xml:space="preserve">, dimensions intérieures. : </w:t>
      </w:r>
      <w:r>
        <w:rPr>
          <w:rStyle w:val="optioncarChar"/>
        </w:rPr>
        <w:t>140x200</w:t>
      </w:r>
      <w:r>
        <w:t> (par défaut)</w:t>
      </w:r>
      <w:r>
        <w:rPr>
          <w:rStyle w:val="optioncarChar"/>
        </w:rPr>
        <w:t xml:space="preserve"> / 200x200 / 250x250 / 200x400 / *** x ***</w:t>
      </w:r>
      <w:r>
        <w:rPr>
          <w:rStyle w:val="soitChar"/>
        </w:rPr>
        <w:t xml:space="preserve"> mm</w:t>
      </w:r>
    </w:p>
    <w:p w14:paraId="2491D391" w14:textId="77777777" w:rsidR="00DB2B68" w:rsidRDefault="00000000">
      <w:r>
        <w:rPr>
          <w:b/>
        </w:rPr>
        <w:t>(soit)</w:t>
      </w:r>
    </w:p>
    <w:p w14:paraId="096E318E" w14:textId="77777777" w:rsidR="00DB2B68" w:rsidRDefault="00000000">
      <w:r>
        <w:rPr>
          <w:rStyle w:val="soitChar"/>
          <w:u w:val="single"/>
        </w:rPr>
        <w:t>à double paroi et deux conduits</w:t>
      </w:r>
      <w:r>
        <w:rPr>
          <w:rStyle w:val="optioncarChar"/>
        </w:rPr>
        <w:t>2x140x200 </w:t>
      </w:r>
      <w:r>
        <w:t>(par défaut)</w:t>
      </w:r>
      <w:r>
        <w:rPr>
          <w:rStyle w:val="optioncarChar"/>
        </w:rPr>
        <w:t xml:space="preserve"> / 140x200 et 200x200 / 2x200x200 / *** x ***</w:t>
      </w:r>
      <w:r>
        <w:rPr>
          <w:rStyle w:val="soitChar"/>
        </w:rPr>
        <w:t xml:space="preserve"> mm</w:t>
      </w:r>
    </w:p>
    <w:p w14:paraId="636FB9D3" w14:textId="77777777" w:rsidR="00DB2B68" w:rsidRDefault="00000000">
      <w:pPr>
        <w:pStyle w:val="pheading"/>
      </w:pPr>
      <w:r>
        <w:t>EXÉCUTION / MISE EN ŒUVRE</w:t>
      </w:r>
    </w:p>
    <w:p w14:paraId="5038B80E" w14:textId="77777777" w:rsidR="00DB2B68" w:rsidRDefault="00000000">
      <w:pPr>
        <w:pStyle w:val="pheading"/>
      </w:pPr>
      <w:r>
        <w:t>- Prescriptions générales</w:t>
      </w:r>
    </w:p>
    <w:p w14:paraId="2AF9DA36" w14:textId="77777777" w:rsidR="00DB2B68" w:rsidRDefault="00000000">
      <w:r>
        <w:t>Le conduit est étanche aux gaz. Les joints présentent une épaisseur minimale (5 à 10 mm). Le mortier à jointoyer est bien compacté de l'extérieur, et ensuite parfaitement lissé à l’intérieur et ébarbé. Les conduits sont posés avec le bout mâle dirigé vers le bas. Chaque conduit est pourvu d’un orifice de nettoyage.</w:t>
      </w:r>
    </w:p>
    <w:p w14:paraId="4E351D63" w14:textId="77777777" w:rsidR="00DB2B68" w:rsidRDefault="00000000">
      <w:pPr>
        <w:pStyle w:val="pheading"/>
      </w:pPr>
      <w:r>
        <w:t>- Notes d’exécution complémentaires</w:t>
      </w:r>
    </w:p>
    <w:p w14:paraId="66B53BA6" w14:textId="77777777" w:rsidR="00DB2B68" w:rsidRDefault="00000000">
      <w:r>
        <w:t>Les éléments résistant à des températures d’au moins 300</w:t>
      </w:r>
      <w:r>
        <w:rPr>
          <w:rFonts w:ascii="Symbol" w:hAnsi="Symbol" w:cs="Symbol"/>
        </w:rPr>
        <w:t>°</w:t>
      </w:r>
      <w:r>
        <w:t> C sont posés au mortier réfractaire.</w:t>
      </w:r>
    </w:p>
    <w:p w14:paraId="51BE4398" w14:textId="77777777" w:rsidR="00DB2B68" w:rsidRDefault="00000000">
      <w:r>
        <w:t>Les conduits de fumée sont intégrés dans une gaine maçonnée, qui est liaisonnée en appareil à la maçonnerie attenante. La maçonnerie répond aux prescriptions de la [NBN EN 1457-1] et [NBN EN 1457-2]</w:t>
      </w:r>
      <w:r>
        <w:br/>
        <w:t xml:space="preserve">et aux dispositions du chapitre </w:t>
      </w:r>
      <w:hyperlink w:anchor="295" w:history="1">
        <w:r>
          <w:rPr>
            <w:color w:val="0000EE"/>
          </w:rPr>
          <w:t>21 Superstructures en maçonnerie</w:t>
        </w:r>
      </w:hyperlink>
      <w:r>
        <w:t>. </w:t>
      </w:r>
    </w:p>
    <w:p w14:paraId="0B33F477" w14:textId="77777777" w:rsidR="00DB2B68" w:rsidRDefault="00000000">
      <w:r>
        <w:rPr>
          <w:shd w:val="clear" w:color="auto" w:fill="FFFF00"/>
        </w:rPr>
        <w:t>(Attention : Compris dans le prix de la maçonnerie intérieure).</w:t>
      </w:r>
    </w:p>
    <w:p w14:paraId="63362F54" w14:textId="77777777" w:rsidR="00DB2B68" w:rsidRDefault="00000000">
      <w:r>
        <w:t>Un joint de dilatation doit être prévu avant de poser la dalle de couverture afin d'assurer la libre dilatation des conduits de fumée.</w:t>
      </w:r>
    </w:p>
    <w:p w14:paraId="30C288E7" w14:textId="77777777" w:rsidR="00DB2B68" w:rsidRDefault="00000000">
      <w:r>
        <w:t>Lorsque l'installation de chauffage prévoit une chaudière de haut rendement ou à condensation, il faut prévoir un bac de recueillement des condensats avec une évacuation vers l'égout.</w:t>
      </w:r>
    </w:p>
    <w:p w14:paraId="320AC229" w14:textId="77777777" w:rsidR="00DB2B68" w:rsidRDefault="00000000">
      <w:pPr>
        <w:pStyle w:val="pheading"/>
      </w:pPr>
      <w:r>
        <w:t>MESURAGE</w:t>
      </w:r>
    </w:p>
    <w:p w14:paraId="61C77A3B" w14:textId="77777777" w:rsidR="00DB2B68" w:rsidRDefault="00000000">
      <w:pPr>
        <w:pStyle w:val="pheading"/>
      </w:pPr>
      <w:r>
        <w:t>- unité de mesure:</w:t>
      </w:r>
    </w:p>
    <w:p w14:paraId="3CA91362" w14:textId="77777777" w:rsidR="00DB2B68" w:rsidRDefault="00000000">
      <w:r>
        <w:t xml:space="preserve">Choix opéré : </w:t>
      </w:r>
      <w:r>
        <w:rPr>
          <w:rStyle w:val="optioncarChar"/>
        </w:rPr>
        <w:t xml:space="preserve">m </w:t>
      </w:r>
      <w:r>
        <w:t>(par défaut)</w:t>
      </w:r>
      <w:r>
        <w:rPr>
          <w:rStyle w:val="optioncarChar"/>
        </w:rPr>
        <w:t xml:space="preserve"> / pc</w:t>
      </w:r>
    </w:p>
    <w:p w14:paraId="3D596A4C" w14:textId="77777777" w:rsidR="00DB2B68" w:rsidRDefault="00000000">
      <w:pPr>
        <w:pStyle w:val="pheading"/>
      </w:pPr>
      <w:r>
        <w:t>- code de mesurage:</w:t>
      </w:r>
    </w:p>
    <w:p w14:paraId="2A4FBB54" w14:textId="77777777" w:rsidR="00DB2B68" w:rsidRDefault="00000000">
      <w:r>
        <w:t xml:space="preserve">Choix opéré : </w:t>
      </w:r>
      <w:r>
        <w:rPr>
          <w:rStyle w:val="optioncarChar"/>
        </w:rPr>
        <w:t>longueur nette de conduit de cheminée / à la pièce</w:t>
      </w:r>
      <w:r>
        <w:t> </w:t>
      </w:r>
    </w:p>
    <w:p w14:paraId="4FD25790" w14:textId="77777777" w:rsidR="00DB2B68" w:rsidRDefault="00000000">
      <w:pPr>
        <w:pStyle w:val="Author-eListParagraph"/>
        <w:numPr>
          <w:ilvl w:val="0"/>
          <w:numId w:val="1150"/>
        </w:numPr>
      </w:pPr>
      <w:r>
        <w:rPr>
          <w:b/>
        </w:rPr>
        <w:t>(soit par défaut)</w:t>
      </w:r>
    </w:p>
    <w:p w14:paraId="5376052E" w14:textId="77777777" w:rsidR="00DB2B68" w:rsidRDefault="00000000">
      <w:r>
        <w:rPr>
          <w:rStyle w:val="soitChar"/>
        </w:rPr>
        <w:t xml:space="preserve">1. </w:t>
      </w:r>
      <w:r>
        <w:rPr>
          <w:rStyle w:val="soitChar"/>
          <w:u w:val="single"/>
        </w:rPr>
        <w:t>Longueur nette de conduit de cheminée</w:t>
      </w:r>
      <w:r>
        <w:rPr>
          <w:rStyle w:val="soitChar"/>
        </w:rPr>
        <w:t xml:space="preserve"> à exécuter, mesurée dans l'axe du conduit, depuis le point le plus bas de l'élément inférieur jusqu'au point le plus haut de l'élément supérieur.</w:t>
      </w:r>
    </w:p>
    <w:p w14:paraId="71B195B1" w14:textId="77777777" w:rsidR="00DB2B68" w:rsidRDefault="00000000">
      <w:pPr>
        <w:pStyle w:val="Author-eListParagraph"/>
        <w:numPr>
          <w:ilvl w:val="0"/>
          <w:numId w:val="1151"/>
        </w:numPr>
      </w:pPr>
      <w:r>
        <w:rPr>
          <w:b/>
        </w:rPr>
        <w:lastRenderedPageBreak/>
        <w:t>(soit)</w:t>
      </w:r>
    </w:p>
    <w:p w14:paraId="44C89B4A" w14:textId="77777777" w:rsidR="00DB2B68" w:rsidRDefault="00000000">
      <w:r>
        <w:rPr>
          <w:rStyle w:val="soitChar"/>
        </w:rPr>
        <w:t>2. </w:t>
      </w:r>
      <w:r>
        <w:rPr>
          <w:rStyle w:val="soitChar"/>
          <w:u w:val="single"/>
        </w:rPr>
        <w:t>A la pièce</w:t>
      </w:r>
      <w:r>
        <w:rPr>
          <w:rStyle w:val="soitChar"/>
        </w:rPr>
        <w:t>, ventilé selon le type et les  dimensions.</w:t>
      </w:r>
    </w:p>
    <w:p w14:paraId="5EFA469D" w14:textId="77777777" w:rsidR="00DB2B68" w:rsidRDefault="00000000">
      <w:pPr>
        <w:pStyle w:val="pheading"/>
      </w:pPr>
      <w:r>
        <w:t>- nature du marché:</w:t>
      </w:r>
    </w:p>
    <w:p w14:paraId="4273E1FB" w14:textId="77777777" w:rsidR="00DB2B68" w:rsidRDefault="00000000">
      <w:r>
        <w:t>QF</w:t>
      </w:r>
    </w:p>
    <w:p w14:paraId="72B13811" w14:textId="77777777" w:rsidR="00DB2B68" w:rsidRDefault="00000000">
      <w:pPr>
        <w:pStyle w:val="Author-eSectionHeading3Numberless"/>
      </w:pPr>
      <w:bookmarkStart w:id="2067" w:name="_Toc220497007"/>
      <w:r>
        <w:t>27.2 Conduits de ventilation maçonnés CCTB 01.11</w:t>
      </w:r>
      <w:bookmarkEnd w:id="2067"/>
    </w:p>
    <w:p w14:paraId="13C0D4DF" w14:textId="77777777" w:rsidR="00DB2B68" w:rsidRDefault="00000000">
      <w:pPr>
        <w:pStyle w:val="pheading"/>
      </w:pPr>
      <w:bookmarkStart w:id="2068" w:name="689"/>
      <w:bookmarkEnd w:id="2068"/>
      <w:r>
        <w:t>DESCRIPTION</w:t>
      </w:r>
    </w:p>
    <w:p w14:paraId="67B329AE" w14:textId="77777777" w:rsidR="00DB2B68" w:rsidRDefault="00000000">
      <w:pPr>
        <w:pStyle w:val="pheading"/>
      </w:pPr>
      <w:r>
        <w:t>- Définition / Comprend</w:t>
      </w:r>
    </w:p>
    <w:p w14:paraId="5F52DAAA" w14:textId="77777777" w:rsidR="00DB2B68" w:rsidRDefault="00000000">
      <w:r>
        <w:t>Le poste "conduits de ventilation" comporte tous les travaux et fournitures en vue de l'installation des conduits de de ventilation, composées d'un ou de plusieurs conduits préfabriqués destinés à l'évacuation ou amenée d'air pour les installations de traitement d'air et/ou de ventilation. Toutes les pièces et accessoires, nécessaires à la stabilité et au bon fonctionnement de l'ensemble sont compris, même s'ils ne sont pas explicitement mentionnés dans le présent descriptif (éléments shunt, éléments d'ancrage et de fixation, isolation spéciale, bac de recueillement de condensats, …). Conformément aux dispositions du cahier spécial des charges, les prix unitaires compris dans ce poste, doivent toujours comprendre, soit selon la ventilation explicite du métré récapitulatif, soit dans leur totalité :</w:t>
      </w:r>
    </w:p>
    <w:p w14:paraId="089B9F87" w14:textId="77777777" w:rsidR="00DB2B68" w:rsidRDefault="00000000">
      <w:pPr>
        <w:pStyle w:val="Author-eListParagraph"/>
        <w:numPr>
          <w:ilvl w:val="0"/>
          <w:numId w:val="1152"/>
        </w:numPr>
      </w:pPr>
      <w:r>
        <w:t xml:space="preserve">les éléments de cheminée, éléments shunt , </w:t>
      </w:r>
      <w:r>
        <w:rPr>
          <w:rStyle w:val="optioncarChar"/>
        </w:rPr>
        <w:t>***</w:t>
      </w:r>
      <w:r>
        <w:t>;</w:t>
      </w:r>
    </w:p>
    <w:p w14:paraId="5543A382" w14:textId="77777777" w:rsidR="00DB2B68" w:rsidRDefault="00000000">
      <w:pPr>
        <w:pStyle w:val="Author-eListParagraph"/>
        <w:numPr>
          <w:ilvl w:val="0"/>
          <w:numId w:val="1152"/>
        </w:numPr>
      </w:pPr>
      <w:r>
        <w:t>la maçonnerie attenante, dans la mesure où elle n'est pas comprise dans le prix de la maçonnerie d'élévation;</w:t>
      </w:r>
    </w:p>
    <w:p w14:paraId="1EE4852D" w14:textId="77777777" w:rsidR="00DB2B68" w:rsidRDefault="00000000">
      <w:pPr>
        <w:pStyle w:val="Author-eListParagraph"/>
        <w:numPr>
          <w:ilvl w:val="0"/>
          <w:numId w:val="1152"/>
        </w:numPr>
      </w:pPr>
      <w:r>
        <w:t>les dispositifs pour les pénétrations de toiture, en fonction des matériaux de revêtement de toiture;</w:t>
      </w:r>
    </w:p>
    <w:p w14:paraId="3FD5C5BF" w14:textId="77777777" w:rsidR="00DB2B68" w:rsidRDefault="00000000">
      <w:pPr>
        <w:pStyle w:val="Author-eListParagraph"/>
        <w:numPr>
          <w:ilvl w:val="0"/>
          <w:numId w:val="1152"/>
        </w:numPr>
      </w:pPr>
      <w:r>
        <w:t>l'isolation appropriée, permettant d’améliorer la résistance au feu de la paroi;</w:t>
      </w:r>
    </w:p>
    <w:p w14:paraId="07100549" w14:textId="77777777" w:rsidR="00DB2B68" w:rsidRDefault="00000000">
      <w:pPr>
        <w:pStyle w:val="Author-eListParagraph"/>
        <w:numPr>
          <w:ilvl w:val="0"/>
          <w:numId w:val="1152"/>
        </w:numPr>
      </w:pPr>
      <w:r>
        <w:t>tous les accessoires et pièces nécessaires (regards de visite, pièces de raccordement, pièces de jonction, registre, recueil des condensats, etc.).</w:t>
      </w:r>
    </w:p>
    <w:p w14:paraId="0CA76D48" w14:textId="77777777" w:rsidR="00DB2B68" w:rsidRDefault="00000000">
      <w:pPr>
        <w:pStyle w:val="pheading"/>
      </w:pPr>
      <w:r>
        <w:t>MATÉRIAUX</w:t>
      </w:r>
    </w:p>
    <w:p w14:paraId="0E1819A2" w14:textId="77777777" w:rsidR="00DB2B68" w:rsidRDefault="00000000">
      <w:r>
        <w:t>Les matériaux conviennent pour les installations qui y sont raccordées. Tous les éléments et leurs accessoires sont compatibles mutuellement, accordés l'un à l'autre et formeront, après leur mise en œuvre, un ensemble cohérent. Les accessoires utiles sont déterminés en concertation avec l'auteur de projet et sont de préférence livrés par le même fabricant. Les accessoires spécifiques tels que les shunts, les changements de diamètre ou de section, les branchements, … méritent qu'on leur accorde une attention particulière.</w:t>
      </w:r>
    </w:p>
    <w:p w14:paraId="4D9C115A" w14:textId="77777777" w:rsidR="00DB2B68" w:rsidRDefault="00000000">
      <w:pPr>
        <w:pStyle w:val="pheading"/>
      </w:pPr>
      <w:r>
        <w:t>EXÉCUTION / MISE EN ŒUVRE</w:t>
      </w:r>
    </w:p>
    <w:p w14:paraId="775277B1" w14:textId="77777777" w:rsidR="00DB2B68" w:rsidRDefault="00000000">
      <w:pPr>
        <w:pStyle w:val="heading"/>
      </w:pPr>
      <w:r>
        <w:t>Généralités</w:t>
      </w:r>
    </w:p>
    <w:p w14:paraId="31C6C4E0" w14:textId="77777777" w:rsidR="00DB2B68" w:rsidRDefault="00000000">
      <w:r>
        <w:t>L'exécution s'effectue conformément aux indications sur les plans, les prescriptions du fabricant et les prescriptions en matière de sécurité incendie. A cet effet, l'entrepreneur soumet en temps utile les plans d'exécution à l'approbation de l'auteur de projet, en mentionnant tous les éléments et les accessoires.</w:t>
      </w:r>
    </w:p>
    <w:p w14:paraId="317B9DB7" w14:textId="77777777" w:rsidR="00DB2B68" w:rsidRDefault="00000000">
      <w:r>
        <w:t>Il est strictement interdit de brancher des conduits d'évacuation de fumée ou de gaz sur les conduits de ventilation.</w:t>
      </w:r>
    </w:p>
    <w:p w14:paraId="6E5E553C" w14:textId="77777777" w:rsidR="00DB2B68" w:rsidRDefault="00000000">
      <w:r>
        <w:t>En ce qui concerne l'intégration des éléments dans les gaines, les activités sont particulièrement bien coordonnées avec les travaux de gros-œuvre et de toiture. La résistance mécanique des conduits autoportants est équivalente à celle de la stabilité de l'ensemble de l'ouvrage de construction.</w:t>
      </w:r>
    </w:p>
    <w:p w14:paraId="33F8E43F" w14:textId="77777777" w:rsidR="00DB2B68" w:rsidRDefault="00000000">
      <w:r>
        <w:t>Les précautions sont prises pour que l'eau de condensation ne puisse pas couler du conduit de cheminée afin de prévenir la corrosion des autres matériaux et finitions.</w:t>
      </w:r>
    </w:p>
    <w:p w14:paraId="6E590BB1" w14:textId="77777777" w:rsidR="00DB2B68" w:rsidRDefault="00000000">
      <w:pPr>
        <w:pStyle w:val="heading"/>
      </w:pPr>
      <w:r>
        <w:t>Maçonnerie</w:t>
      </w:r>
    </w:p>
    <w:p w14:paraId="69227817" w14:textId="77777777" w:rsidR="00DB2B68" w:rsidRDefault="00000000">
      <w:r>
        <w:lastRenderedPageBreak/>
        <w:t>Conformément aux indications sur les plans, un mur est érigé autour des conduits d'air. Il est liaisonné en appareil dans les murs porteurs attenants. La maçonnerie satisfait aux prescriptions de la [NBN EN 1457-1] et [NBN EN 1457-2], complétée par les dispositions de la section </w:t>
      </w:r>
      <w:hyperlink w:anchor="295" w:history="1">
        <w:r>
          <w:rPr>
            <w:color w:val="0000EE"/>
          </w:rPr>
          <w:t>21 Superstructures en maçonnerie</w:t>
        </w:r>
      </w:hyperlink>
    </w:p>
    <w:p w14:paraId="6A65EEAF" w14:textId="77777777" w:rsidR="00DB2B68" w:rsidRDefault="00000000">
      <w:r>
        <w:rPr>
          <w:shd w:val="clear" w:color="auto" w:fill="FFFF00"/>
        </w:rPr>
        <w:t>(Attention : Compris dans le prix de la maçonnerie intérieure).</w:t>
      </w:r>
    </w:p>
    <w:p w14:paraId="638291BA" w14:textId="77777777" w:rsidR="00DB2B68" w:rsidRDefault="00000000">
      <w:r>
        <w:t xml:space="preserve">Épaisseur de la maçonnerie : </w:t>
      </w:r>
      <w:r>
        <w:rPr>
          <w:rStyle w:val="optioncarChar"/>
        </w:rPr>
        <w:t>9 / 14 / 19</w:t>
      </w:r>
    </w:p>
    <w:p w14:paraId="231D8AD4" w14:textId="77777777" w:rsidR="00DB2B68" w:rsidRDefault="00000000">
      <w:r>
        <w:t xml:space="preserve">Nombre de faces à maçonner autour du conduit de cheminée : </w:t>
      </w:r>
      <w:r>
        <w:rPr>
          <w:rStyle w:val="optioncarChar"/>
        </w:rPr>
        <w:t>1 / 2 / 3 / 4</w:t>
      </w:r>
      <w:r>
        <w:t>. </w:t>
      </w:r>
    </w:p>
    <w:p w14:paraId="3F639CF7" w14:textId="77777777" w:rsidR="00DB2B68" w:rsidRDefault="00000000">
      <w:pPr>
        <w:pStyle w:val="heading"/>
      </w:pPr>
      <w:r>
        <w:t>Sécurité</w:t>
      </w:r>
    </w:p>
    <w:p w14:paraId="6B89812D" w14:textId="77777777" w:rsidR="00DB2B68" w:rsidRDefault="00000000">
      <w:r>
        <w:t>Conformément au chapitre   01.42 PSS travaux de superstructure, établie par le coordinateur-projet et annexé au cahier spécial des charges. Toutes les directives en cette matière et les indications concrètes du coordinateur-réalisation sont scrupuleusement respectées.</w:t>
      </w:r>
    </w:p>
    <w:p w14:paraId="152D8633" w14:textId="77777777" w:rsidR="00DB2B68" w:rsidRDefault="00000000">
      <w:pPr>
        <w:pStyle w:val="Author-eSectionHeading4Numberless"/>
      </w:pPr>
      <w:bookmarkStart w:id="2069" w:name="_Toc220497008"/>
      <w:r>
        <w:t>27.21 Conduits de ventilation maçonnés CCTB 01.02</w:t>
      </w:r>
      <w:bookmarkEnd w:id="2069"/>
    </w:p>
    <w:p w14:paraId="0E8206E8" w14:textId="77777777" w:rsidR="00DB2B68" w:rsidRDefault="00000000">
      <w:pPr>
        <w:pStyle w:val="Author-eSectionHeading5Numberless"/>
      </w:pPr>
      <w:bookmarkStart w:id="2070" w:name="_Toc220497009"/>
      <w:r>
        <w:t>27.21.1 Conduits de ventilation maçonnés CCTB 01.11</w:t>
      </w:r>
      <w:bookmarkEnd w:id="2070"/>
    </w:p>
    <w:p w14:paraId="2D4FA47C" w14:textId="77777777" w:rsidR="00DB2B68" w:rsidRDefault="00000000">
      <w:pPr>
        <w:pStyle w:val="pheading"/>
      </w:pPr>
      <w:r>
        <w:t>EXÉCUTION / MISE EN ŒUVRE</w:t>
      </w:r>
    </w:p>
    <w:p w14:paraId="6365F758" w14:textId="77777777" w:rsidR="00DB2B68" w:rsidRDefault="00000000">
      <w:r>
        <w:t>Conformément aux indications sur les plans, un mur est érigé autour des conduits d'air. Il est liaisonné en appareil dans les murs porteurs attenants. </w:t>
      </w:r>
    </w:p>
    <w:p w14:paraId="59CEE40D" w14:textId="77777777" w:rsidR="00DB2B68" w:rsidRDefault="00000000">
      <w:r>
        <w:t xml:space="preserve">Épaisseur de la maçonnerie : </w:t>
      </w:r>
      <w:r>
        <w:rPr>
          <w:rStyle w:val="optioncarChar"/>
        </w:rPr>
        <w:t xml:space="preserve">9 </w:t>
      </w:r>
      <w:r>
        <w:t>(par défaut) </w:t>
      </w:r>
      <w:r>
        <w:rPr>
          <w:rStyle w:val="optioncarChar"/>
        </w:rPr>
        <w:t>/ 14 / 19</w:t>
      </w:r>
      <w:r>
        <w:t xml:space="preserve"> cm</w:t>
      </w:r>
    </w:p>
    <w:p w14:paraId="710FB4F1" w14:textId="77777777" w:rsidR="00DB2B68" w:rsidRDefault="00000000">
      <w:r>
        <w:t xml:space="preserve">Nombre de faces à maçonner autour du conduit de cheminée : </w:t>
      </w:r>
      <w:r>
        <w:rPr>
          <w:rStyle w:val="optioncarChar"/>
        </w:rPr>
        <w:t>1 / 2 / 3 / 4 </w:t>
      </w:r>
      <w:r>
        <w:t>(par défaut) .</w:t>
      </w:r>
    </w:p>
    <w:p w14:paraId="029D62D0" w14:textId="77777777" w:rsidR="00DB2B68" w:rsidRDefault="00000000">
      <w:pPr>
        <w:pStyle w:val="Author-eSectionHeading6Numberless"/>
      </w:pPr>
      <w:bookmarkStart w:id="2071" w:name="_Toc220497010"/>
      <w:r>
        <w:t>27.21.1a Conduits de ventilation maçonnés CCTB 01.02</w:t>
      </w:r>
      <w:bookmarkEnd w:id="2071"/>
    </w:p>
    <w:p w14:paraId="6AE47058" w14:textId="77777777" w:rsidR="00DB2B68" w:rsidRDefault="00000000">
      <w:pPr>
        <w:pStyle w:val="Author-eSectionHeading3Numberless"/>
      </w:pPr>
      <w:bookmarkStart w:id="2072" w:name="_Toc220497011"/>
      <w:r>
        <w:t>27.3 Eléments particuliers pour conduits de fumée et de ventilation maçonnés CCTB 01.02</w:t>
      </w:r>
      <w:bookmarkEnd w:id="2072"/>
    </w:p>
    <w:p w14:paraId="58B6D54F" w14:textId="77777777" w:rsidR="00DB2B68" w:rsidRDefault="00000000">
      <w:pPr>
        <w:pStyle w:val="Author-eSectionHeading4Numberless"/>
      </w:pPr>
      <w:bookmarkStart w:id="2073" w:name="_Toc220497012"/>
      <w:r>
        <w:t>27.31 Pénétration de toiture CCTB 01.11</w:t>
      </w:r>
      <w:bookmarkEnd w:id="2073"/>
    </w:p>
    <w:p w14:paraId="7922137C" w14:textId="77777777" w:rsidR="00DB2B68" w:rsidRDefault="00000000">
      <w:pPr>
        <w:pStyle w:val="pheading"/>
      </w:pPr>
      <w:r>
        <w:t>DESCRIPTION</w:t>
      </w:r>
    </w:p>
    <w:p w14:paraId="2B526972" w14:textId="77777777" w:rsidR="00DB2B68" w:rsidRDefault="00000000">
      <w:pPr>
        <w:pStyle w:val="pheading"/>
      </w:pPr>
      <w:r>
        <w:t>- Définition / Comprend</w:t>
      </w:r>
    </w:p>
    <w:p w14:paraId="13A3F563" w14:textId="77777777" w:rsidR="00DB2B68" w:rsidRDefault="00000000">
      <w:r>
        <w:t>Ce poste comprend toutes les fournitures et travaux pour la réalisation des conduits de fumée en toiture et une étanchéité à l'eau parfaite à partir du collier jusqu'aux éléments de couverture prévus.</w:t>
      </w:r>
    </w:p>
    <w:p w14:paraId="14098892" w14:textId="77777777" w:rsidR="00DB2B68" w:rsidRDefault="00000000">
      <w:r>
        <w:t xml:space="preserve">Le prix unitaire comprend tous les travaux supplémentaires et une indemnisation en raison de la complexité de l'ouvrage pour réaliser un raccordement soigné, étanche à l'eau en surface de la couverture (collier, flasques d'étanchéité, </w:t>
      </w:r>
      <w:r>
        <w:rPr>
          <w:rStyle w:val="optioncarChar"/>
        </w:rPr>
        <w:t>***</w:t>
      </w:r>
      <w:r>
        <w:t>) - voir poste 35.4 Pénétration en toiture et socles et étanche à l'air en sous-face/du côté chaud de l'isolant, au niveau du pare-vapeur (utilisation de manchons de raccordement, rubans autocollants flexibles, ...) - voir poste 32.2 Etanchéisation aux matières gazeuses. </w:t>
      </w:r>
    </w:p>
    <w:p w14:paraId="4CC905F5" w14:textId="77777777" w:rsidR="00DB2B68" w:rsidRDefault="00000000">
      <w:r>
        <w:t>Une attention particulière est apportée de manière à s'assurer de la continuité de l'isolation au droit de ces nœuds constructifs (voir plans de détails).</w:t>
      </w:r>
    </w:p>
    <w:p w14:paraId="56F65554" w14:textId="77777777" w:rsidR="00DB2B68" w:rsidRDefault="00000000">
      <w:r>
        <w:t>La maçonnerie d'élévation, l'isolation des murs creux, la maçonnerie de parement, le rejointoiement et les gaines sont tous compris dans les postes respectifs.</w:t>
      </w:r>
    </w:p>
    <w:p w14:paraId="433462BD" w14:textId="77777777" w:rsidR="00DB2B68" w:rsidRDefault="00000000">
      <w:pPr>
        <w:pStyle w:val="pheading"/>
      </w:pPr>
      <w:r>
        <w:t>EXÉCUTION / MISE EN ŒUVRE</w:t>
      </w:r>
    </w:p>
    <w:p w14:paraId="4BBCC3BA" w14:textId="77777777" w:rsidR="00DB2B68" w:rsidRDefault="00000000">
      <w:r>
        <w:t>L'exécution doit être réalisée en coordination étroite avec le gros-œuvre (encastrement des éléments dans les gaines, souches de cheminées en maçonnerie de parement, etc.) et les travaux de toiture, en vue:</w:t>
      </w:r>
    </w:p>
    <w:p w14:paraId="23AD92F5" w14:textId="77777777" w:rsidR="00DB2B68" w:rsidRDefault="00000000">
      <w:pPr>
        <w:pStyle w:val="Author-eListParagraph"/>
        <w:numPr>
          <w:ilvl w:val="0"/>
          <w:numId w:val="1153"/>
        </w:numPr>
      </w:pPr>
      <w:r>
        <w:t>de réaliser un raccordement étanche des éléments en toiture avec le système de couverture de toiture,</w:t>
      </w:r>
    </w:p>
    <w:p w14:paraId="54EB996B" w14:textId="77777777" w:rsidR="00DB2B68" w:rsidRDefault="00000000">
      <w:pPr>
        <w:pStyle w:val="Author-eListParagraph"/>
        <w:numPr>
          <w:ilvl w:val="0"/>
          <w:numId w:val="1153"/>
        </w:numPr>
      </w:pPr>
      <w:r>
        <w:lastRenderedPageBreak/>
        <w:t>de s'assurer d'une continuité du pare-vapeur au droit de la pénétration, de manière à garantir une étanchéité à l'air au droit de cet (ces) élément(s). </w:t>
      </w:r>
    </w:p>
    <w:p w14:paraId="6D698498" w14:textId="77777777" w:rsidR="00DB2B68" w:rsidRDefault="00000000">
      <w:r>
        <w:t>L'entrepreneur des ouvrages de maçonnerie établit à l'avance, en concertation avec le couvreur, le niveau exact de la face extérieure de la toiture ainsi que l'emplacement des pénétrations de toiture.</w:t>
      </w:r>
    </w:p>
    <w:p w14:paraId="0410BC8D" w14:textId="77777777" w:rsidR="00DB2B68" w:rsidRDefault="00000000">
      <w:r>
        <w:t>La hauteur de la cheminée est exécutée conformément aux indications sur les plans et se situe dans la zone I ou II selon la [NBN/DTD B 61-001] ou [NBN/DTD B 61-002].</w:t>
      </w:r>
    </w:p>
    <w:p w14:paraId="111E0E1F" w14:textId="77777777" w:rsidR="00DB2B68" w:rsidRDefault="00000000">
      <w:pPr>
        <w:pStyle w:val="Author-eSectionHeading5Numberless"/>
      </w:pPr>
      <w:bookmarkStart w:id="2074" w:name="_Toc220497013"/>
      <w:r>
        <w:t>27.31.1 Collet et habillage CCTB 01.02</w:t>
      </w:r>
      <w:bookmarkEnd w:id="2074"/>
    </w:p>
    <w:p w14:paraId="491064C6" w14:textId="77777777" w:rsidR="00DB2B68" w:rsidRDefault="00000000">
      <w:pPr>
        <w:pStyle w:val="Author-eSectionHeading6Numberless"/>
      </w:pPr>
      <w:bookmarkStart w:id="2075" w:name="418"/>
      <w:bookmarkStart w:id="2076" w:name="_Toc220497014"/>
      <w:bookmarkEnd w:id="2075"/>
      <w:r>
        <w:t>27.31.1a Collet et habillage en maçonnerie CCTB 01.11</w:t>
      </w:r>
      <w:bookmarkEnd w:id="2076"/>
    </w:p>
    <w:p w14:paraId="14F6CB89" w14:textId="77777777" w:rsidR="00DB2B68" w:rsidRDefault="00000000">
      <w:pPr>
        <w:pStyle w:val="pheading"/>
      </w:pPr>
      <w:r>
        <w:t>DESCRIPTION</w:t>
      </w:r>
    </w:p>
    <w:p w14:paraId="5AEB04CF" w14:textId="77777777" w:rsidR="00DB2B68" w:rsidRDefault="00000000">
      <w:pPr>
        <w:pStyle w:val="pheading"/>
      </w:pPr>
      <w:r>
        <w:t>- Définition / Comprend</w:t>
      </w:r>
    </w:p>
    <w:p w14:paraId="05246254" w14:textId="77777777" w:rsidR="00DB2B68" w:rsidRDefault="00000000">
      <w:r>
        <w:t>Il s'agit des souches de cheminée en maçonnerie traditionnelle composées d'une dalle de cheminée, d'un fut en maçonnerie, d'une coulisse isolée et du parement.</w:t>
      </w:r>
    </w:p>
    <w:p w14:paraId="5FDCDDEC" w14:textId="77777777" w:rsidR="00DB2B68" w:rsidRDefault="00000000">
      <w:pPr>
        <w:pStyle w:val="pheading"/>
      </w:pPr>
      <w:r>
        <w:t>MATÉRIAUX</w:t>
      </w:r>
    </w:p>
    <w:p w14:paraId="373A836C" w14:textId="77777777" w:rsidR="00DB2B68" w:rsidRDefault="00000000">
      <w:pPr>
        <w:pStyle w:val="pheading"/>
      </w:pPr>
      <w:r>
        <w:t>- Caractéristiques générales</w:t>
      </w:r>
    </w:p>
    <w:p w14:paraId="5AD09429" w14:textId="77777777" w:rsidR="00DB2B68" w:rsidRDefault="00000000">
      <w:r>
        <w:rPr>
          <w:b/>
          <w:sz w:val="24"/>
        </w:rPr>
        <w:t>Matériau &amp; exécution</w:t>
      </w:r>
    </w:p>
    <w:p w14:paraId="0ED0BF24" w14:textId="77777777" w:rsidR="00DB2B68" w:rsidRDefault="00000000">
      <w:r>
        <w:t xml:space="preserve">Collet : béton armé d'au moins </w:t>
      </w:r>
      <w:r>
        <w:rPr>
          <w:rStyle w:val="optioncarChar"/>
        </w:rPr>
        <w:t xml:space="preserve">8 </w:t>
      </w:r>
      <w:r>
        <w:t>(par défaut) </w:t>
      </w:r>
      <w:r>
        <w:rPr>
          <w:rStyle w:val="optioncarChar"/>
        </w:rPr>
        <w:t>/ 10 / 12 / ***</w:t>
      </w:r>
      <w:r>
        <w:t xml:space="preserve"> cm d'épaisseur (préfabriqué ou coulé en place) posé sur le manteau intérieur de la cheminée (d'une épaisseur et d'une largeur suffisantes pour supporter la construction en maçonnerie). Le raccord au droit des ouvertures avec les conduits de fumée est parfaitement lisse.</w:t>
      </w:r>
    </w:p>
    <w:p w14:paraId="79417E2C" w14:textId="77777777" w:rsidR="00DB2B68" w:rsidRDefault="00000000">
      <w:r>
        <w:t>Manteau : autour des conduits de fumée qui sont prolongés, on prévoit :</w:t>
      </w:r>
    </w:p>
    <w:p w14:paraId="609263BB" w14:textId="77777777" w:rsidR="00DB2B68" w:rsidRDefault="00000000">
      <w:pPr>
        <w:pStyle w:val="Author-eListParagraph"/>
        <w:numPr>
          <w:ilvl w:val="0"/>
          <w:numId w:val="1154"/>
        </w:numPr>
      </w:pPr>
      <w:r>
        <w:t xml:space="preserve">un mur de contre-façade, d'une épaisseur de </w:t>
      </w:r>
      <w:r>
        <w:rPr>
          <w:rStyle w:val="optioncarChar"/>
        </w:rPr>
        <w:t>9 </w:t>
      </w:r>
      <w:r>
        <w:t>(par défaut)</w:t>
      </w:r>
      <w:r>
        <w:rPr>
          <w:rStyle w:val="optioncarChar"/>
        </w:rPr>
        <w:t xml:space="preserve"> / *** </w:t>
      </w:r>
      <w:r>
        <w:t>cm, selon la rubrique 21.1  mur de contre-façade - généralités</w:t>
      </w:r>
    </w:p>
    <w:p w14:paraId="6B08DF9D" w14:textId="77777777" w:rsidR="00DB2B68" w:rsidRDefault="00000000">
      <w:pPr>
        <w:pStyle w:val="Author-eListParagraph"/>
        <w:numPr>
          <w:ilvl w:val="0"/>
          <w:numId w:val="1154"/>
        </w:numPr>
      </w:pPr>
      <w:r>
        <w:t xml:space="preserve">un vide d'environ </w:t>
      </w:r>
      <w:r>
        <w:rPr>
          <w:rStyle w:val="optioncarChar"/>
        </w:rPr>
        <w:t>5 </w:t>
      </w:r>
      <w:r>
        <w:t>(par défaut)</w:t>
      </w:r>
      <w:r>
        <w:rPr>
          <w:rStyle w:val="optioncarChar"/>
        </w:rPr>
        <w:t xml:space="preserve"> / *** </w:t>
      </w:r>
      <w:r>
        <w:t xml:space="preserve">cm, avec une isolation permettant d’améliorer la résistance au feu de la paroi selon l'élément </w:t>
      </w:r>
      <w:hyperlink w:anchor="70" w:history="1">
        <w:r>
          <w:rPr>
            <w:color w:val="0000EE"/>
          </w:rPr>
          <w:t>26.4 Isolation</w:t>
        </w:r>
      </w:hyperlink>
    </w:p>
    <w:p w14:paraId="4E776C57" w14:textId="77777777" w:rsidR="00DB2B68" w:rsidRDefault="00000000">
      <w:pPr>
        <w:pStyle w:val="Author-eListParagraph"/>
        <w:numPr>
          <w:ilvl w:val="0"/>
          <w:numId w:val="1154"/>
        </w:numPr>
      </w:pPr>
      <w:r>
        <w:t xml:space="preserve">une brique de parement, conformément à l'élément </w:t>
      </w:r>
      <w:hyperlink w:anchor="381" w:history="1">
        <w:r>
          <w:rPr>
            <w:color w:val="0000EE"/>
          </w:rPr>
          <w:t>21.3 Maçonneries de parement</w:t>
        </w:r>
      </w:hyperlink>
    </w:p>
    <w:p w14:paraId="56842B6F" w14:textId="77777777" w:rsidR="00DB2B68" w:rsidRDefault="00000000">
      <w:r>
        <w:t xml:space="preserve">Etanchéité : On insère dans le parement des bavettes en plomb (épaisseur minimum 1,5 mm) </w:t>
      </w:r>
      <w:r>
        <w:rPr>
          <w:rStyle w:val="optioncarChar"/>
        </w:rPr>
        <w:t>parallèlement au versant de toiture / en gradins,</w:t>
      </w:r>
      <w:r>
        <w:t xml:space="preserve"> de façon qu'elles aient, après avoir été repliées sur les solins en plomb de la couverture de toiture, un relevé d'au moins </w:t>
      </w:r>
      <w:r>
        <w:rPr>
          <w:rStyle w:val="optioncarChar"/>
        </w:rPr>
        <w:t>15</w:t>
      </w:r>
      <w:r>
        <w:t> (par défaut)</w:t>
      </w:r>
      <w:r>
        <w:rPr>
          <w:rStyle w:val="optioncarChar"/>
        </w:rPr>
        <w:t xml:space="preserve"> / ***</w:t>
      </w:r>
      <w:r>
        <w:t xml:space="preserve"> cm sur le plus petit côté et dans le sens horizontal, un chevauchement d'au moins </w:t>
      </w:r>
      <w:r>
        <w:rPr>
          <w:rStyle w:val="optioncarChar"/>
        </w:rPr>
        <w:t>10</w:t>
      </w:r>
      <w:r>
        <w:t> (par défaut)</w:t>
      </w:r>
      <w:r>
        <w:rPr>
          <w:rStyle w:val="optioncarChar"/>
        </w:rPr>
        <w:t xml:space="preserve"> / *** </w:t>
      </w:r>
      <w:r>
        <w:t>cm.</w:t>
      </w:r>
    </w:p>
    <w:p w14:paraId="27831565" w14:textId="77777777" w:rsidR="00DB2B68" w:rsidRDefault="00000000">
      <w:r>
        <w:t xml:space="preserve">Dans la construction du mur creux on pose, également en gradins, une couche d'étanchéité en </w:t>
      </w:r>
      <w:r>
        <w:rPr>
          <w:rStyle w:val="optioncarChar"/>
        </w:rPr>
        <w:t>plomb / feuille de PE</w:t>
      </w:r>
      <w:r>
        <w:t>, qui est fixée un tas plus haut dans la maçonnerie intérieure de façon que l'eau de ruissellement puisse être évacuée au travers des joints montants laissés ouverts dans la face inférieure.</w:t>
      </w:r>
    </w:p>
    <w:p w14:paraId="6AD895E3" w14:textId="77777777" w:rsidR="00DB2B68" w:rsidRDefault="00000000">
      <w:r>
        <w:t xml:space="preserve">Dalle de couverture : conformément au chapitre </w:t>
      </w:r>
      <w:hyperlink w:anchor="690" w:history="1">
        <w:r>
          <w:rPr>
            <w:color w:val="0000EE"/>
          </w:rPr>
          <w:t>21.36.6 Couvertures de cheminées</w:t>
        </w:r>
      </w:hyperlink>
    </w:p>
    <w:p w14:paraId="11FB0946" w14:textId="77777777" w:rsidR="00DB2B68" w:rsidRDefault="00000000">
      <w:r>
        <w:t xml:space="preserve">Régulateurs de tirage : conformément au chapitre </w:t>
      </w:r>
      <w:hyperlink w:anchor="416" w:history="1">
        <w:r>
          <w:rPr>
            <w:color w:val="0000EE"/>
          </w:rPr>
          <w:t>27.32.1 Régulateurs de tirage</w:t>
        </w:r>
      </w:hyperlink>
    </w:p>
    <w:p w14:paraId="669F73CE" w14:textId="77777777" w:rsidR="00DB2B68" w:rsidRDefault="00000000">
      <w:pPr>
        <w:pStyle w:val="pheading"/>
      </w:pPr>
      <w:r>
        <w:t>MESURAGE</w:t>
      </w:r>
    </w:p>
    <w:p w14:paraId="0E2A9A94" w14:textId="77777777" w:rsidR="00DB2B68" w:rsidRDefault="00000000">
      <w:pPr>
        <w:pStyle w:val="pheading"/>
      </w:pPr>
      <w:r>
        <w:t>- unité de mesure:</w:t>
      </w:r>
    </w:p>
    <w:p w14:paraId="1378D318" w14:textId="77777777" w:rsidR="00DB2B68" w:rsidRDefault="00000000">
      <w:pPr>
        <w:ind w:left="435"/>
      </w:pPr>
      <w:r>
        <w:rPr>
          <w:shd w:val="clear" w:color="auto" w:fill="FFFFFF"/>
        </w:rPr>
        <w:t>pc</w:t>
      </w:r>
    </w:p>
    <w:p w14:paraId="1D470375" w14:textId="77777777" w:rsidR="00DB2B68" w:rsidRDefault="00000000">
      <w:pPr>
        <w:pStyle w:val="pheading"/>
      </w:pPr>
      <w:r>
        <w:t>- nature du marché:</w:t>
      </w:r>
    </w:p>
    <w:p w14:paraId="485C5AC6" w14:textId="77777777" w:rsidR="00DB2B68" w:rsidRDefault="00000000">
      <w:r>
        <w:t>QF</w:t>
      </w:r>
    </w:p>
    <w:p w14:paraId="1A132B68" w14:textId="77777777" w:rsidR="00DB2B68" w:rsidRDefault="00000000">
      <w:pPr>
        <w:pStyle w:val="Author-eSectionHeading6Numberless"/>
      </w:pPr>
      <w:bookmarkStart w:id="2077" w:name="_Toc220497015"/>
      <w:r>
        <w:t>27.31.1b Pénétration de toiture en acier inoxydable CCTB 01.11</w:t>
      </w:r>
      <w:bookmarkEnd w:id="2077"/>
    </w:p>
    <w:p w14:paraId="6C750793" w14:textId="77777777" w:rsidR="00DB2B68" w:rsidRDefault="00000000">
      <w:pPr>
        <w:pStyle w:val="pheading"/>
      </w:pPr>
      <w:r>
        <w:t>MATÉRIAUX</w:t>
      </w:r>
    </w:p>
    <w:p w14:paraId="60B08797" w14:textId="77777777" w:rsidR="00DB2B68" w:rsidRDefault="00000000">
      <w:pPr>
        <w:pStyle w:val="pheading"/>
      </w:pPr>
      <w:r>
        <w:t>- Caractéristiques générales</w:t>
      </w:r>
    </w:p>
    <w:p w14:paraId="6F4E88FD" w14:textId="77777777" w:rsidR="00DB2B68" w:rsidRDefault="00000000">
      <w:pPr>
        <w:pStyle w:val="heading"/>
      </w:pPr>
      <w:r>
        <w:lastRenderedPageBreak/>
        <w:t>Spécifications</w:t>
      </w:r>
    </w:p>
    <w:p w14:paraId="32EA49A6" w14:textId="77777777" w:rsidR="00DB2B68" w:rsidRDefault="00000000">
      <w:r>
        <w:t xml:space="preserve">Matériau : tuyau en acier inoxydable, </w:t>
      </w:r>
      <w:r>
        <w:rPr>
          <w:rStyle w:val="optioncarChar"/>
        </w:rPr>
        <w:t>à simple paroi / à double paroi / à double paroi avec isolation.</w:t>
      </w:r>
    </w:p>
    <w:p w14:paraId="611822F8" w14:textId="77777777" w:rsidR="00DB2B68" w:rsidRDefault="00000000">
      <w:r>
        <w:t xml:space="preserve">Diamètre : </w:t>
      </w:r>
      <w:r>
        <w:rPr>
          <w:rStyle w:val="optioncarChar"/>
        </w:rPr>
        <w:t>intérieur *** mm / extérieur : *** mm / selon les prescriptions du fabricant et en fonction des éléments à raccorder</w:t>
      </w:r>
    </w:p>
    <w:p w14:paraId="760270BD" w14:textId="77777777" w:rsidR="00DB2B68" w:rsidRDefault="00000000">
      <w:r>
        <w:t xml:space="preserve">Épaisseur des parois : </w:t>
      </w:r>
      <w:r>
        <w:rPr>
          <w:rStyle w:val="optioncarChar"/>
        </w:rPr>
        <w:t>***</w:t>
      </w:r>
    </w:p>
    <w:p w14:paraId="56ABEB09" w14:textId="77777777" w:rsidR="00DB2B68" w:rsidRDefault="00000000">
      <w:r>
        <w:t xml:space="preserve">Accessoires : </w:t>
      </w:r>
      <w:r>
        <w:rPr>
          <w:rStyle w:val="optioncarChar"/>
        </w:rPr>
        <w:t>***</w:t>
      </w:r>
    </w:p>
    <w:p w14:paraId="1C649329" w14:textId="77777777" w:rsidR="00DB2B68" w:rsidRDefault="00000000">
      <w:r>
        <w:t xml:space="preserve">Plaque de toiture adaptée pour une couverture de toiture </w:t>
      </w:r>
      <w:r>
        <w:rPr>
          <w:rStyle w:val="optioncarChar"/>
        </w:rPr>
        <w:t xml:space="preserve">entuiles / en ardoises / suivant élément pénétré </w:t>
      </w:r>
      <w:r>
        <w:t>(par défaut) </w:t>
      </w:r>
      <w:r>
        <w:rPr>
          <w:rStyle w:val="optioncarChar"/>
        </w:rPr>
        <w:t>/ ***</w:t>
      </w:r>
      <w:r>
        <w:t>,</w:t>
      </w:r>
      <w:r>
        <w:rPr>
          <w:rStyle w:val="optioncarChar"/>
        </w:rPr>
        <w:t xml:space="preserve"> inclinaison *** ° / pour toiture plate</w:t>
      </w:r>
      <w:r>
        <w:t xml:space="preserve"> .</w:t>
      </w:r>
    </w:p>
    <w:p w14:paraId="596E4C08" w14:textId="77777777" w:rsidR="00DB2B68" w:rsidRDefault="00000000">
      <w:pPr>
        <w:pStyle w:val="pheading"/>
      </w:pPr>
      <w:r>
        <w:t>MESURAGE</w:t>
      </w:r>
    </w:p>
    <w:p w14:paraId="7767BB53" w14:textId="77777777" w:rsidR="00DB2B68" w:rsidRDefault="00000000">
      <w:pPr>
        <w:pStyle w:val="pheading"/>
      </w:pPr>
      <w:r>
        <w:t>- unité de mesure:</w:t>
      </w:r>
    </w:p>
    <w:p w14:paraId="618A58FC" w14:textId="77777777" w:rsidR="00DB2B68" w:rsidRDefault="00000000">
      <w:r>
        <w:rPr>
          <w:shd w:val="clear" w:color="auto" w:fill="FFFFFF"/>
        </w:rPr>
        <w:t>pc</w:t>
      </w:r>
    </w:p>
    <w:p w14:paraId="1384A2E0" w14:textId="77777777" w:rsidR="00DB2B68" w:rsidRDefault="00000000">
      <w:pPr>
        <w:pStyle w:val="pheading"/>
      </w:pPr>
      <w:r>
        <w:t>- nature du marché:</w:t>
      </w:r>
    </w:p>
    <w:p w14:paraId="6269315B" w14:textId="77777777" w:rsidR="00DB2B68" w:rsidRDefault="00000000">
      <w:r>
        <w:t>QF</w:t>
      </w:r>
    </w:p>
    <w:p w14:paraId="789762EC" w14:textId="77777777" w:rsidR="00DB2B68" w:rsidRDefault="00000000">
      <w:pPr>
        <w:pStyle w:val="Author-eSectionHeading4Numberless"/>
      </w:pPr>
      <w:bookmarkStart w:id="2078" w:name="_Toc220497016"/>
      <w:r>
        <w:t>27.32 Régulateurs de tirage CCTB 01.02</w:t>
      </w:r>
      <w:bookmarkEnd w:id="2078"/>
    </w:p>
    <w:p w14:paraId="62BAE308" w14:textId="77777777" w:rsidR="00DB2B68" w:rsidRDefault="00000000">
      <w:pPr>
        <w:pStyle w:val="Author-eSectionHeading5Numberless"/>
      </w:pPr>
      <w:bookmarkStart w:id="2079" w:name="415"/>
      <w:bookmarkStart w:id="2080" w:name="_Toc220497017"/>
      <w:bookmarkEnd w:id="2079"/>
      <w:r>
        <w:t>27.32.1 Régulateurs de tirage CCTB 01.04</w:t>
      </w:r>
      <w:bookmarkEnd w:id="2080"/>
    </w:p>
    <w:p w14:paraId="36A487F1" w14:textId="77777777" w:rsidR="00DB2B68" w:rsidRDefault="00000000">
      <w:pPr>
        <w:pStyle w:val="pheading"/>
      </w:pPr>
      <w:bookmarkStart w:id="2081" w:name="416"/>
      <w:bookmarkEnd w:id="2081"/>
      <w:r>
        <w:t>DESCRIPTION</w:t>
      </w:r>
    </w:p>
    <w:p w14:paraId="610000D1" w14:textId="77777777" w:rsidR="00DB2B68" w:rsidRDefault="00000000">
      <w:pPr>
        <w:pStyle w:val="pheading"/>
      </w:pPr>
      <w:r>
        <w:t>- Définition / Comprend</w:t>
      </w:r>
    </w:p>
    <w:p w14:paraId="582C2AB7" w14:textId="77777777" w:rsidR="00DB2B68" w:rsidRDefault="00000000">
      <w:r>
        <w:t xml:space="preserve">Il s'agit de tous les travaux et fournitures pour le montage et le raccordement prêt à la mise en service, des régulateurs de tirage, y compris tous les moyens de fixation et les accessoires pour une finition soignée et étanche de la souche de cheminée, le cas échéant, y compris la plaque de couverture intégrée (voir également  le chapitre </w:t>
      </w:r>
      <w:hyperlink w:anchor="690" w:history="1">
        <w:r>
          <w:rPr>
            <w:color w:val="0000EE"/>
          </w:rPr>
          <w:t>21.36.6 Couvertures de cheminées</w:t>
        </w:r>
      </w:hyperlink>
      <w:r>
        <w:t>).</w:t>
      </w:r>
    </w:p>
    <w:p w14:paraId="316F91B0" w14:textId="77777777" w:rsidR="00DB2B68" w:rsidRDefault="00000000">
      <w:pPr>
        <w:pStyle w:val="pheading"/>
      </w:pPr>
      <w:r>
        <w:t>MATÉRIAUX</w:t>
      </w:r>
    </w:p>
    <w:p w14:paraId="2034D34C" w14:textId="77777777" w:rsidR="00DB2B68" w:rsidRDefault="00000000">
      <w:r>
        <w:t>Les matériaux des régulateurs de tirage sont adaptés en fonction de la nature et de la puissance de l'installation pour laquelle ils doivent servir. Ils sont totalement compatibles avec les conduits de fumées sur lesquels ils doivent être placés et proviendront, de préférence, du même fabricant. Ils sont inaltérables, ingélifs et résistants contre les fortes pluies et les vents plongeants.</w:t>
      </w:r>
    </w:p>
    <w:p w14:paraId="259AD397" w14:textId="77777777" w:rsidR="00DB2B68" w:rsidRDefault="00000000">
      <w:pPr>
        <w:pStyle w:val="pheading"/>
      </w:pPr>
      <w:r>
        <w:t>EXÉCUTION / MISE EN ŒUVRE</w:t>
      </w:r>
    </w:p>
    <w:p w14:paraId="3FB41E8C" w14:textId="77777777" w:rsidR="00DB2B68" w:rsidRDefault="00000000">
      <w:r>
        <w:t>L'exécution se fait conformément aux prescriptions du fabricant et aux prescriptions en matière de sécurité incendie.</w:t>
      </w:r>
    </w:p>
    <w:p w14:paraId="7C04C0C4" w14:textId="77777777" w:rsidR="00DB2B68" w:rsidRDefault="00000000">
      <w:pPr>
        <w:pStyle w:val="Author-eSectionHeading6Numberless"/>
      </w:pPr>
      <w:bookmarkStart w:id="2082" w:name="_Toc220497018"/>
      <w:r>
        <w:t>27.32.1a Régulateurs en éléments préfabriqués en béton CCTB 01.11</w:t>
      </w:r>
      <w:bookmarkEnd w:id="2082"/>
    </w:p>
    <w:p w14:paraId="5D640C39" w14:textId="77777777" w:rsidR="00DB2B68" w:rsidRDefault="00000000">
      <w:pPr>
        <w:pStyle w:val="pheading"/>
      </w:pPr>
      <w:r>
        <w:t>MATÉRIAUX</w:t>
      </w:r>
    </w:p>
    <w:p w14:paraId="6235CBA2" w14:textId="77777777" w:rsidR="00DB2B68" w:rsidRDefault="00000000">
      <w:pPr>
        <w:pStyle w:val="pheading"/>
      </w:pPr>
      <w:r>
        <w:t>- Caractéristiques générales</w:t>
      </w:r>
    </w:p>
    <w:p w14:paraId="44D1F964" w14:textId="77777777" w:rsidR="00DB2B68" w:rsidRDefault="00000000">
      <w:r>
        <w:t>Le couronnement des cheminées est équipé d'aspirateurs statiques avec dispositif antiretour en éléments préfabriqués en béton constitués comme suit :</w:t>
      </w:r>
    </w:p>
    <w:p w14:paraId="46594E9D" w14:textId="77777777" w:rsidR="00DB2B68" w:rsidRDefault="00000000">
      <w:pPr>
        <w:pStyle w:val="Author-eListParagraph"/>
        <w:numPr>
          <w:ilvl w:val="0"/>
          <w:numId w:val="1155"/>
        </w:numPr>
      </w:pPr>
      <w:r>
        <w:t>une plaque de base avec rejet d'eau qui déborde au moins de 5 cm par rapport à la maçonnerie;</w:t>
      </w:r>
    </w:p>
    <w:p w14:paraId="6B29BC57" w14:textId="77777777" w:rsidR="00DB2B68" w:rsidRDefault="00000000">
      <w:pPr>
        <w:pStyle w:val="Author-eListParagraph"/>
        <w:numPr>
          <w:ilvl w:val="0"/>
          <w:numId w:val="1155"/>
        </w:numPr>
      </w:pPr>
      <w:r>
        <w:t>trois à quatre éléments avec plots et angles extérieurs;</w:t>
      </w:r>
    </w:p>
    <w:p w14:paraId="3B2B579B" w14:textId="77777777" w:rsidR="00DB2B68" w:rsidRDefault="00000000">
      <w:pPr>
        <w:pStyle w:val="Author-eListParagraph"/>
        <w:numPr>
          <w:ilvl w:val="0"/>
          <w:numId w:val="1155"/>
        </w:numPr>
      </w:pPr>
      <w:r>
        <w:t>le couronnement avec deux encoches pour la pose du diffuseur;</w:t>
      </w:r>
    </w:p>
    <w:p w14:paraId="08CCB4D9" w14:textId="77777777" w:rsidR="00DB2B68" w:rsidRDefault="00000000">
      <w:pPr>
        <w:pStyle w:val="Author-eListParagraph"/>
        <w:numPr>
          <w:ilvl w:val="0"/>
          <w:numId w:val="1155"/>
        </w:numPr>
      </w:pPr>
      <w:r>
        <w:t>le diffuseur pour détourner les vents plongeants et la pluie vers l'extérieur.</w:t>
      </w:r>
    </w:p>
    <w:p w14:paraId="30428CA6" w14:textId="77777777" w:rsidR="00DB2B68" w:rsidRDefault="00000000">
      <w:pPr>
        <w:pStyle w:val="heading"/>
      </w:pPr>
      <w:r>
        <w:t>Spécifications</w:t>
      </w:r>
    </w:p>
    <w:p w14:paraId="041A8F67" w14:textId="77777777" w:rsidR="00DB2B68" w:rsidRDefault="00000000">
      <w:r>
        <w:t xml:space="preserve">Type : pour </w:t>
      </w:r>
      <w:r>
        <w:rPr>
          <w:rStyle w:val="optioncarChar"/>
        </w:rPr>
        <w:t xml:space="preserve">cheminée à simple paroi </w:t>
      </w:r>
      <w:r>
        <w:t>(par défaut) </w:t>
      </w:r>
      <w:r>
        <w:rPr>
          <w:rStyle w:val="optioncarChar"/>
        </w:rPr>
        <w:t>/ cheminée à double paroi isolée.</w:t>
      </w:r>
    </w:p>
    <w:p w14:paraId="09FC26C2" w14:textId="77777777" w:rsidR="00DB2B68" w:rsidRDefault="00000000">
      <w:r>
        <w:lastRenderedPageBreak/>
        <w:t>Résistance aux chocs thermiques : au moins 500°C.</w:t>
      </w:r>
    </w:p>
    <w:p w14:paraId="296786C4" w14:textId="77777777" w:rsidR="00DB2B68" w:rsidRDefault="00000000">
      <w:r>
        <w:t>Nombre d'éléments :</w:t>
      </w:r>
      <w:r>
        <w:rPr>
          <w:rStyle w:val="optioncarChar"/>
        </w:rPr>
        <w:t xml:space="preserve"> 2 </w:t>
      </w:r>
      <w:r>
        <w:t>(par défaut)</w:t>
      </w:r>
      <w:r>
        <w:rPr>
          <w:rStyle w:val="optioncarChar"/>
        </w:rPr>
        <w:t xml:space="preserve"> / 3 / 4 / ***</w:t>
      </w:r>
    </w:p>
    <w:p w14:paraId="03A9E014" w14:textId="77777777" w:rsidR="00DB2B68" w:rsidRDefault="00000000">
      <w:r>
        <w:t>Dimensions :</w:t>
      </w:r>
      <w:r>
        <w:rPr>
          <w:rStyle w:val="optioncarChar"/>
        </w:rPr>
        <w:t xml:space="preserve"> ***x *** mm / adaptées aux sections des conduits de cheminée</w:t>
      </w:r>
      <w:r>
        <w:t> (par défaut).</w:t>
      </w:r>
    </w:p>
    <w:p w14:paraId="27060EB2" w14:textId="77777777" w:rsidR="00DB2B68" w:rsidRDefault="00000000">
      <w:pPr>
        <w:pStyle w:val="pheading"/>
      </w:pPr>
      <w:r>
        <w:t>EXÉCUTION / MISE EN ŒUVRE</w:t>
      </w:r>
    </w:p>
    <w:p w14:paraId="2E6E9BAE" w14:textId="77777777" w:rsidR="00DB2B68" w:rsidRDefault="00000000">
      <w:pPr>
        <w:pStyle w:val="pheading"/>
      </w:pPr>
      <w:r>
        <w:t>- Prescriptions générales</w:t>
      </w:r>
    </w:p>
    <w:p w14:paraId="645733F5" w14:textId="77777777" w:rsidR="00DB2B68" w:rsidRDefault="00000000">
      <w:r>
        <w:t xml:space="preserve">Ils sont raccordés sur des </w:t>
      </w:r>
      <w:r>
        <w:rPr>
          <w:rStyle w:val="optioncarChar"/>
        </w:rPr>
        <w:t xml:space="preserve">conduits en béton </w:t>
      </w:r>
      <w:r>
        <w:t>(par défaut) / </w:t>
      </w:r>
      <w:r>
        <w:rPr>
          <w:rStyle w:val="optioncarChar"/>
        </w:rPr>
        <w:t>conduits en béton intégrés /  ***</w:t>
      </w:r>
    </w:p>
    <w:p w14:paraId="00711E5E" w14:textId="77777777" w:rsidR="00DB2B68" w:rsidRDefault="00000000">
      <w:pPr>
        <w:pStyle w:val="pheading"/>
      </w:pPr>
      <w:r>
        <w:t>MESURAGE</w:t>
      </w:r>
    </w:p>
    <w:p w14:paraId="0EA69FE4" w14:textId="77777777" w:rsidR="00DB2B68" w:rsidRDefault="00000000">
      <w:pPr>
        <w:pStyle w:val="pheading"/>
      </w:pPr>
      <w:r>
        <w:t>- unité de mesure:</w:t>
      </w:r>
    </w:p>
    <w:p w14:paraId="2950B9F5" w14:textId="77777777" w:rsidR="00DB2B68" w:rsidRDefault="00000000">
      <w:r>
        <w:rPr>
          <w:b/>
        </w:rPr>
        <w:t xml:space="preserve">Choix opéré : </w:t>
      </w:r>
      <w:r>
        <w:rPr>
          <w:rStyle w:val="optioncarChar"/>
        </w:rPr>
        <w:t xml:space="preserve">pc / - </w:t>
      </w:r>
    </w:p>
    <w:p w14:paraId="18FABFF7" w14:textId="77777777" w:rsidR="00DB2B68" w:rsidRDefault="00000000">
      <w:pPr>
        <w:pStyle w:val="pheading"/>
      </w:pPr>
      <w:r>
        <w:t>- code de mesurage:</w:t>
      </w:r>
    </w:p>
    <w:p w14:paraId="66A31B4A" w14:textId="77777777" w:rsidR="00DB2B68" w:rsidRDefault="00000000">
      <w:r>
        <w:rPr>
          <w:b/>
        </w:rPr>
        <w:t>Choix opéré :</w:t>
      </w:r>
      <w:r>
        <w:t xml:space="preserve">  </w:t>
      </w:r>
      <w:r>
        <w:rPr>
          <w:rStyle w:val="optioncarChar"/>
        </w:rPr>
        <w:t>pièces à poser, par type et par dimensions / -</w:t>
      </w:r>
    </w:p>
    <w:p w14:paraId="1A5AE30E" w14:textId="77777777" w:rsidR="00DB2B68" w:rsidRDefault="00000000">
      <w:pPr>
        <w:pStyle w:val="pheading"/>
      </w:pPr>
      <w:r>
        <w:t>- nature du marché:</w:t>
      </w:r>
    </w:p>
    <w:p w14:paraId="2BC540F1" w14:textId="77777777" w:rsidR="00DB2B68" w:rsidRDefault="00000000">
      <w:r>
        <w:rPr>
          <w:b/>
        </w:rPr>
        <w:t>Choix opéré :</w:t>
      </w:r>
      <w:r>
        <w:t xml:space="preserve">  </w:t>
      </w:r>
      <w:r>
        <w:rPr>
          <w:rStyle w:val="optioncarChar"/>
        </w:rPr>
        <w:t>QF /PM</w:t>
      </w:r>
    </w:p>
    <w:p w14:paraId="49592183" w14:textId="77777777" w:rsidR="00DB2B68" w:rsidRDefault="00000000">
      <w:pPr>
        <w:pStyle w:val="Author-eSectionHeading6Numberless"/>
      </w:pPr>
      <w:bookmarkStart w:id="2083" w:name="_Toc220497019"/>
      <w:r>
        <w:t>27.32.1b Régulateurs en fibres-ciment CCTB 01.02</w:t>
      </w:r>
      <w:bookmarkEnd w:id="2083"/>
    </w:p>
    <w:p w14:paraId="7B676EC3" w14:textId="77777777" w:rsidR="00DB2B68" w:rsidRDefault="00000000">
      <w:pPr>
        <w:pStyle w:val="Author-eSectionHeading6Numberless"/>
      </w:pPr>
      <w:bookmarkStart w:id="2084" w:name="_Toc220497020"/>
      <w:r>
        <w:t>27.32.1c Régulateurs en acier inoxydable CCTB 01.11</w:t>
      </w:r>
      <w:bookmarkEnd w:id="2084"/>
    </w:p>
    <w:p w14:paraId="4A111651" w14:textId="77777777" w:rsidR="00DB2B68" w:rsidRDefault="00000000">
      <w:pPr>
        <w:pStyle w:val="pheading"/>
      </w:pPr>
      <w:r>
        <w:t>MESURAGE</w:t>
      </w:r>
    </w:p>
    <w:p w14:paraId="0C91F56D" w14:textId="77777777" w:rsidR="00DB2B68" w:rsidRDefault="00000000">
      <w:pPr>
        <w:pStyle w:val="pheading"/>
      </w:pPr>
      <w:r>
        <w:t>- unité de mesure:</w:t>
      </w:r>
    </w:p>
    <w:p w14:paraId="5680FB76" w14:textId="77777777" w:rsidR="00DB2B68" w:rsidRDefault="00000000">
      <w:r>
        <w:t>1. p</w:t>
      </w:r>
    </w:p>
    <w:p w14:paraId="2D3BC5CB" w14:textId="77777777" w:rsidR="00DB2B68" w:rsidRDefault="00000000">
      <w:r>
        <w:t>2. -</w:t>
      </w:r>
    </w:p>
    <w:p w14:paraId="691FD41C" w14:textId="77777777" w:rsidR="00DB2B68" w:rsidRDefault="00000000">
      <w:pPr>
        <w:pStyle w:val="pheading"/>
      </w:pPr>
      <w:r>
        <w:t>- code de mesurage:</w:t>
      </w:r>
    </w:p>
    <w:p w14:paraId="05192E70" w14:textId="77777777" w:rsidR="00DB2B68" w:rsidRDefault="00000000">
      <w:r>
        <w:t>nombre de pièces à poser, par type et par dimensions</w:t>
      </w:r>
    </w:p>
    <w:p w14:paraId="32172042" w14:textId="77777777" w:rsidR="00DB2B68" w:rsidRDefault="00000000">
      <w:pPr>
        <w:pStyle w:val="pheading"/>
      </w:pPr>
      <w:r>
        <w:t>- nature du marché:</w:t>
      </w:r>
    </w:p>
    <w:p w14:paraId="3C3D45D7" w14:textId="77777777" w:rsidR="00DB2B68" w:rsidRDefault="00000000">
      <w:r>
        <w:rPr>
          <w:rStyle w:val="soitChar"/>
        </w:rPr>
        <w:t>1. QF</w:t>
      </w:r>
    </w:p>
    <w:p w14:paraId="15AD15FC" w14:textId="77777777" w:rsidR="00DB2B68" w:rsidRDefault="00000000">
      <w:r>
        <w:rPr>
          <w:b/>
        </w:rPr>
        <w:t>(soit)</w:t>
      </w:r>
    </w:p>
    <w:p w14:paraId="2C3125F6" w14:textId="77777777" w:rsidR="00DB2B68" w:rsidRDefault="00000000">
      <w:r>
        <w:rPr>
          <w:rStyle w:val="soitChar"/>
        </w:rPr>
        <w:t>2. PM</w:t>
      </w:r>
    </w:p>
    <w:p w14:paraId="748A17CB" w14:textId="77777777" w:rsidR="00DB2B68" w:rsidRDefault="00000000">
      <w:pPr>
        <w:pStyle w:val="Author-eSectionHeading4Numberless"/>
      </w:pPr>
      <w:bookmarkStart w:id="2085" w:name="_Toc220497021"/>
      <w:r>
        <w:t>27.33 Accessoires CCTB 01.04</w:t>
      </w:r>
      <w:bookmarkEnd w:id="2085"/>
    </w:p>
    <w:p w14:paraId="70BFC73F" w14:textId="77777777" w:rsidR="00DB2B68" w:rsidRDefault="00000000">
      <w:pPr>
        <w:pStyle w:val="pheading"/>
      </w:pPr>
      <w:r>
        <w:t>DESCRIPTION</w:t>
      </w:r>
    </w:p>
    <w:p w14:paraId="084BA983" w14:textId="77777777" w:rsidR="00DB2B68" w:rsidRDefault="00000000">
      <w:pPr>
        <w:pStyle w:val="pheading"/>
      </w:pPr>
      <w:r>
        <w:t>- Définition / Comprend</w:t>
      </w:r>
    </w:p>
    <w:p w14:paraId="59B2B02C" w14:textId="77777777" w:rsidR="00DB2B68" w:rsidRDefault="00000000">
      <w:r>
        <w:t xml:space="preserve">Il s'agit de tous les accessoires nécessaires en vue de faire fonctionner le système correctement et d'effectuer l'entretien périodique des conduits de cheminée (orifices de nettoyage, collecteurs de suie, recueillement des condensats, </w:t>
      </w:r>
      <w:r>
        <w:rPr>
          <w:rStyle w:val="optioncarChar"/>
        </w:rPr>
        <w:t>***</w:t>
      </w:r>
      <w:r>
        <w:t>).</w:t>
      </w:r>
    </w:p>
    <w:p w14:paraId="371D80EB" w14:textId="77777777" w:rsidR="00DB2B68" w:rsidRDefault="00000000">
      <w:pPr>
        <w:pStyle w:val="pheading"/>
      </w:pPr>
      <w:r>
        <w:t>MATÉRIAUX</w:t>
      </w:r>
    </w:p>
    <w:p w14:paraId="01E797A8" w14:textId="77777777" w:rsidR="00DB2B68" w:rsidRDefault="00000000">
      <w:r>
        <w:t>Les accessoires sont fabriqués dans un matériau adapté aux conduits de fumée prévus et aux installations qui y sont raccordées. Les accessoires proviennent, de préférence, du même fabricant que les conduits. Un modèle est soumis pour approbation à l'auteur de projet.</w:t>
      </w:r>
    </w:p>
    <w:p w14:paraId="2CB1CB2B" w14:textId="77777777" w:rsidR="00DB2B68" w:rsidRDefault="00000000">
      <w:pPr>
        <w:pStyle w:val="pheading"/>
      </w:pPr>
      <w:r>
        <w:t>EXÉCUTION / MISE EN ŒUVRE</w:t>
      </w:r>
    </w:p>
    <w:p w14:paraId="3BCC00DF" w14:textId="77777777" w:rsidR="00DB2B68" w:rsidRDefault="00000000">
      <w:r>
        <w:t xml:space="preserve">Les accessoires sont placés conformément aux prescriptions de la [NBN/DTD B 61-001, Chaufferies et cheminées ]  ou [NBN/DTD B 61-002, Chaudières de chauffage central dont la puissance nominale est inférieure à 70 kW - Prescriptions concernant leur espace d'installation, leur amenée d'air et leur </w:t>
      </w:r>
      <w:r>
        <w:lastRenderedPageBreak/>
        <w:t>évacuation de fumée ], complété par les prescriptions du fabricant et les directives en matière de sécurité incendie.</w:t>
      </w:r>
    </w:p>
    <w:p w14:paraId="1C4A4A19" w14:textId="77777777" w:rsidR="00DB2B68" w:rsidRDefault="00000000">
      <w:pPr>
        <w:pStyle w:val="Author-eSectionHeading5Numberless"/>
      </w:pPr>
      <w:bookmarkStart w:id="2086" w:name="_Toc220497022"/>
      <w:r>
        <w:t>27.33.1 Trappes de ramonage CCTB 01.11</w:t>
      </w:r>
      <w:bookmarkEnd w:id="2086"/>
    </w:p>
    <w:p w14:paraId="690967D0" w14:textId="77777777" w:rsidR="00DB2B68" w:rsidRDefault="00000000">
      <w:pPr>
        <w:pStyle w:val="pheading"/>
      </w:pPr>
      <w:r>
        <w:t>MATÉRIAUX</w:t>
      </w:r>
    </w:p>
    <w:p w14:paraId="28E08263" w14:textId="77777777" w:rsidR="00DB2B68" w:rsidRDefault="00000000">
      <w:r>
        <w:t>Un orifice d'entretien doit être prévu dans toute partie accessible en haut et en bas du conduit de fumée. Les trappes de ramonage doivent correspondre à la section des conduits et satisfaire aux exigences suivantes :</w:t>
      </w:r>
    </w:p>
    <w:p w14:paraId="47F6D20D" w14:textId="77777777" w:rsidR="00DB2B68" w:rsidRDefault="00000000">
      <w:pPr>
        <w:pStyle w:val="Author-eListParagraph"/>
        <w:numPr>
          <w:ilvl w:val="0"/>
          <w:numId w:val="1156"/>
        </w:numPr>
      </w:pPr>
      <w:r>
        <w:t>Elles sont suffisamment étanches pour éviter la pénétration d'air parasite qui risque de nuire au tirage naturel pour les fumées de basse température.</w:t>
      </w:r>
    </w:p>
    <w:p w14:paraId="62E51E81" w14:textId="77777777" w:rsidR="00DB2B68" w:rsidRDefault="00000000">
      <w:pPr>
        <w:pStyle w:val="Author-eListParagraph"/>
        <w:numPr>
          <w:ilvl w:val="0"/>
          <w:numId w:val="1156"/>
        </w:numPr>
      </w:pPr>
      <w:r>
        <w:t>Elles sont étanches aux condensats et aux gaz de combustion, afin d'éviter qu'ils ne sortent par la trappe de ramonage ou de visite.</w:t>
      </w:r>
    </w:p>
    <w:p w14:paraId="0AD01648" w14:textId="77777777" w:rsidR="00DB2B68" w:rsidRDefault="00000000">
      <w:pPr>
        <w:pStyle w:val="heading"/>
      </w:pPr>
      <w:r>
        <w:t>Spécifications</w:t>
      </w:r>
    </w:p>
    <w:p w14:paraId="6BF36C58" w14:textId="77777777" w:rsidR="00DB2B68" w:rsidRDefault="00000000">
      <w:r>
        <w:t xml:space="preserve">Matériau : </w:t>
      </w:r>
      <w:r>
        <w:rPr>
          <w:rStyle w:val="optioncarChar"/>
        </w:rPr>
        <w:t xml:space="preserve">béton </w:t>
      </w:r>
      <w:r>
        <w:t>(par défaut) </w:t>
      </w:r>
      <w:r>
        <w:rPr>
          <w:rStyle w:val="optioncarChar"/>
        </w:rPr>
        <w:t>/ fibres-ciment / acier inoxydable / ***</w:t>
      </w:r>
    </w:p>
    <w:p w14:paraId="749061E7" w14:textId="77777777" w:rsidR="00DB2B68" w:rsidRDefault="00000000">
      <w:r>
        <w:t xml:space="preserve">Type : </w:t>
      </w:r>
      <w:r>
        <w:rPr>
          <w:rStyle w:val="optioncarChar"/>
        </w:rPr>
        <w:t>collecteur (à double fermeture) / fermeture à baïonnette</w:t>
      </w:r>
    </w:p>
    <w:p w14:paraId="6208D786" w14:textId="77777777" w:rsidR="00DB2B68" w:rsidRDefault="00000000">
      <w:pPr>
        <w:pStyle w:val="Author-eSectionHeading6Numberless"/>
      </w:pPr>
      <w:bookmarkStart w:id="2087" w:name="_Toc220497023"/>
      <w:r>
        <w:t>27.33.1a Trappes de ramonage CCTB 01.11</w:t>
      </w:r>
      <w:bookmarkEnd w:id="2087"/>
    </w:p>
    <w:p w14:paraId="08410C38" w14:textId="77777777" w:rsidR="00DB2B68" w:rsidRDefault="00000000">
      <w:pPr>
        <w:pStyle w:val="Author-eSectionHeading5Numberless"/>
      </w:pPr>
      <w:bookmarkStart w:id="2088" w:name="_Toc220497024"/>
      <w:r>
        <w:t>27.33.2 Collecteurs de suie CCTB 01.11</w:t>
      </w:r>
      <w:bookmarkEnd w:id="2088"/>
    </w:p>
    <w:p w14:paraId="427E8055" w14:textId="77777777" w:rsidR="00DB2B68" w:rsidRDefault="00000000">
      <w:pPr>
        <w:pStyle w:val="pheading"/>
      </w:pPr>
      <w:r>
        <w:t>MATÉRIAUX</w:t>
      </w:r>
    </w:p>
    <w:p w14:paraId="0A0E1B5E" w14:textId="77777777" w:rsidR="00DB2B68" w:rsidRDefault="00000000">
      <w:r>
        <w:t>Un orifice d'entretien doit être prévu dans toute partie accessible en haut et en bas du conduit de fumée. Les collecteurs de suie doivent correspondre à la section des conduits et satisfaire aux exigences suivantes :</w:t>
      </w:r>
    </w:p>
    <w:p w14:paraId="5A3C9A7F" w14:textId="77777777" w:rsidR="00DB2B68" w:rsidRDefault="00000000">
      <w:pPr>
        <w:pStyle w:val="Author-eListParagraph"/>
        <w:numPr>
          <w:ilvl w:val="0"/>
          <w:numId w:val="1157"/>
        </w:numPr>
      </w:pPr>
      <w:r>
        <w:t>Ils sont suffisamment étanches pour éviter la pénétration d'air parasite qui risque de nuire au tirage naturel pour les fumées de basse température.</w:t>
      </w:r>
    </w:p>
    <w:p w14:paraId="61FFE090" w14:textId="77777777" w:rsidR="00DB2B68" w:rsidRDefault="00000000">
      <w:pPr>
        <w:pStyle w:val="Author-eListParagraph"/>
        <w:numPr>
          <w:ilvl w:val="0"/>
          <w:numId w:val="1157"/>
        </w:numPr>
      </w:pPr>
      <w:r>
        <w:t>Ils sont étanches aux condensats et aux gaz de combustion.</w:t>
      </w:r>
    </w:p>
    <w:p w14:paraId="3056D9C4" w14:textId="77777777" w:rsidR="00DB2B68" w:rsidRDefault="00000000">
      <w:pPr>
        <w:pStyle w:val="heading"/>
      </w:pPr>
      <w:r>
        <w:t>Spécifications</w:t>
      </w:r>
    </w:p>
    <w:p w14:paraId="0EED0BCC" w14:textId="77777777" w:rsidR="00DB2B68" w:rsidRDefault="00000000">
      <w:r>
        <w:t xml:space="preserve">Matériau : </w:t>
      </w:r>
      <w:r>
        <w:rPr>
          <w:rStyle w:val="optioncarChar"/>
        </w:rPr>
        <w:t>béton </w:t>
      </w:r>
      <w:r>
        <w:t>(par défaut)</w:t>
      </w:r>
      <w:r>
        <w:rPr>
          <w:rStyle w:val="optioncarChar"/>
        </w:rPr>
        <w:t xml:space="preserve"> / fibres-ciment / acier inoxydable / ***</w:t>
      </w:r>
    </w:p>
    <w:p w14:paraId="36EA518C" w14:textId="77777777" w:rsidR="00DB2B68" w:rsidRDefault="00000000">
      <w:r>
        <w:t xml:space="preserve">Type : </w:t>
      </w:r>
      <w:r>
        <w:rPr>
          <w:rStyle w:val="optioncarChar"/>
        </w:rPr>
        <w:t>collecteur (à double fermeture)</w:t>
      </w:r>
      <w:r>
        <w:t> </w:t>
      </w:r>
      <w:r>
        <w:rPr>
          <w:rStyle w:val="optioncarChar"/>
        </w:rPr>
        <w:t>/ fermeture à baïonnette</w:t>
      </w:r>
    </w:p>
    <w:p w14:paraId="564749CA" w14:textId="77777777" w:rsidR="00DB2B68" w:rsidRDefault="00000000">
      <w:pPr>
        <w:pStyle w:val="Author-eSectionHeading6Numberless"/>
      </w:pPr>
      <w:bookmarkStart w:id="2089" w:name="_Toc220497025"/>
      <w:r>
        <w:t>27.33.2a Collecteurs de suie CCTB 01.11</w:t>
      </w:r>
      <w:bookmarkEnd w:id="2089"/>
    </w:p>
    <w:p w14:paraId="07E6B3BC" w14:textId="77777777" w:rsidR="00DB2B68" w:rsidRDefault="00000000">
      <w:pPr>
        <w:pStyle w:val="Author-eSectionHeading5Numberless"/>
      </w:pPr>
      <w:bookmarkStart w:id="2090" w:name="_Toc220497026"/>
      <w:r>
        <w:t>27.33.3 Recueillement des condensats CCTB 01.02</w:t>
      </w:r>
      <w:bookmarkEnd w:id="2090"/>
    </w:p>
    <w:p w14:paraId="3889F59C" w14:textId="77777777" w:rsidR="00DB2B68" w:rsidRDefault="00000000">
      <w:pPr>
        <w:pStyle w:val="Author-eSectionHeading6Numberless"/>
      </w:pPr>
      <w:bookmarkStart w:id="2091" w:name="_Toc220497027"/>
      <w:r>
        <w:t>27.33.3a Recueillement des condensats CCTB 01.02</w:t>
      </w:r>
      <w:bookmarkEnd w:id="2091"/>
    </w:p>
    <w:p w14:paraId="1FA031FF" w14:textId="77777777" w:rsidR="00DB2B68" w:rsidRDefault="00000000">
      <w:pPr>
        <w:pStyle w:val="pheading"/>
      </w:pPr>
      <w:r>
        <w:t>MESURAGE</w:t>
      </w:r>
    </w:p>
    <w:p w14:paraId="5FAAD2AF" w14:textId="77777777" w:rsidR="00DB2B68" w:rsidRDefault="00000000">
      <w:pPr>
        <w:pStyle w:val="pheading"/>
      </w:pPr>
      <w:r>
        <w:t>- nature du marché:</w:t>
      </w:r>
    </w:p>
    <w:p w14:paraId="3761759E" w14:textId="77777777" w:rsidR="00DB2B68" w:rsidRDefault="00000000">
      <w:pPr>
        <w:pStyle w:val="soit"/>
        <w:numPr>
          <w:ilvl w:val="0"/>
          <w:numId w:val="1158"/>
        </w:numPr>
      </w:pPr>
      <w:r>
        <w:t> </w:t>
      </w:r>
    </w:p>
    <w:p w14:paraId="30E9F369" w14:textId="77777777" w:rsidR="00DB2B68" w:rsidRDefault="00000000">
      <w:pPr>
        <w:pStyle w:val="Author-eSectionHeading3Numberless"/>
      </w:pPr>
      <w:bookmarkStart w:id="2092" w:name="_Toc220497028"/>
      <w:r>
        <w:t>27.4 - CCTB 01.02</w:t>
      </w:r>
      <w:bookmarkEnd w:id="2092"/>
    </w:p>
    <w:p w14:paraId="1A2BC1CA" w14:textId="77777777" w:rsidR="00DB2B68" w:rsidRDefault="00000000">
      <w:pPr>
        <w:pStyle w:val="Author-eSectionHeading3Numberless"/>
      </w:pPr>
      <w:bookmarkStart w:id="2093" w:name="_Toc220497029"/>
      <w:r>
        <w:t>27.5 - CCTB 01.02</w:t>
      </w:r>
      <w:bookmarkEnd w:id="2093"/>
    </w:p>
    <w:p w14:paraId="1BB6102B" w14:textId="77777777" w:rsidR="00DB2B68" w:rsidRDefault="00000000">
      <w:pPr>
        <w:pStyle w:val="Author-eSectionHeading3Numberless"/>
      </w:pPr>
      <w:bookmarkStart w:id="2094" w:name="_Toc220497030"/>
      <w:r>
        <w:t>27.6 - CCTB 01.02</w:t>
      </w:r>
      <w:bookmarkEnd w:id="2094"/>
    </w:p>
    <w:p w14:paraId="3296F46C" w14:textId="77777777" w:rsidR="00DB2B68" w:rsidRDefault="00000000">
      <w:pPr>
        <w:pStyle w:val="Author-eSectionHeading3Numberless"/>
      </w:pPr>
      <w:bookmarkStart w:id="2095" w:name="_Toc220497031"/>
      <w:r>
        <w:t>27.7 -</w:t>
      </w:r>
      <w:bookmarkEnd w:id="2095"/>
    </w:p>
    <w:p w14:paraId="642BB2EA" w14:textId="77777777" w:rsidR="00DB2B68" w:rsidRDefault="00000000">
      <w:pPr>
        <w:pStyle w:val="Author-eSectionHeading3Numberless"/>
      </w:pPr>
      <w:bookmarkStart w:id="2096" w:name="_Toc220497032"/>
      <w:r>
        <w:t>27.8 Conduits de fumée et de ventilation maçonnés - Rénovation CCTB 01.04</w:t>
      </w:r>
      <w:bookmarkEnd w:id="2096"/>
    </w:p>
    <w:p w14:paraId="7B7BB97C" w14:textId="77777777" w:rsidR="00DB2B68" w:rsidRDefault="00000000">
      <w:pPr>
        <w:pStyle w:val="Author-eSectionHeading4Numberless"/>
      </w:pPr>
      <w:bookmarkStart w:id="2097" w:name="_Toc220497033"/>
      <w:r>
        <w:lastRenderedPageBreak/>
        <w:t>27.81 Etudes / essais préliminaires CCTB 01.04</w:t>
      </w:r>
      <w:bookmarkEnd w:id="2097"/>
    </w:p>
    <w:p w14:paraId="5487BB43" w14:textId="77777777" w:rsidR="00DB2B68" w:rsidRDefault="00000000">
      <w:pPr>
        <w:pStyle w:val="pheading"/>
      </w:pPr>
      <w:bookmarkStart w:id="2098" w:name="700"/>
      <w:bookmarkEnd w:id="2098"/>
      <w:r>
        <w:t>DESCRIPTION</w:t>
      </w:r>
    </w:p>
    <w:p w14:paraId="7627E4DC" w14:textId="77777777" w:rsidR="00DB2B68" w:rsidRDefault="00000000">
      <w:pPr>
        <w:pStyle w:val="pheading"/>
      </w:pPr>
      <w:r>
        <w:t>- Définition / Comprend</w:t>
      </w:r>
    </w:p>
    <w:p w14:paraId="7383BEDC" w14:textId="77777777" w:rsidR="00DB2B68" w:rsidRDefault="00000000">
      <w:r>
        <w:t> Renvoi à 03 Études, essais et contrôles en cours de chantier</w:t>
      </w:r>
    </w:p>
    <w:p w14:paraId="203DF057" w14:textId="77777777" w:rsidR="00DB2B68" w:rsidRDefault="00000000">
      <w:pPr>
        <w:pStyle w:val="Author-eSectionHeading4Numberless"/>
      </w:pPr>
      <w:bookmarkStart w:id="2099" w:name="_Toc220497034"/>
      <w:r>
        <w:t>27.82 Dépose / démontage / percement / déconstruction-démolition CCTB 01.04</w:t>
      </w:r>
      <w:bookmarkEnd w:id="2099"/>
    </w:p>
    <w:p w14:paraId="0339FB2C" w14:textId="77777777" w:rsidR="00DB2B68" w:rsidRDefault="00000000">
      <w:pPr>
        <w:pStyle w:val="Author-eSectionHeading5Numberless"/>
      </w:pPr>
      <w:bookmarkStart w:id="2100" w:name="695"/>
      <w:bookmarkStart w:id="2101" w:name="_Toc220497035"/>
      <w:bookmarkEnd w:id="2100"/>
      <w:r>
        <w:t>27.82.1 Travaux de stabilisation CCTB 01.04</w:t>
      </w:r>
      <w:bookmarkEnd w:id="2101"/>
    </w:p>
    <w:p w14:paraId="626577FC" w14:textId="77777777" w:rsidR="00DB2B68" w:rsidRDefault="00000000">
      <w:pPr>
        <w:pStyle w:val="pheading"/>
      </w:pPr>
      <w:r>
        <w:t>DESCRIPTION</w:t>
      </w:r>
    </w:p>
    <w:p w14:paraId="69B8F6CF" w14:textId="77777777" w:rsidR="00DB2B68" w:rsidRDefault="00000000">
      <w:pPr>
        <w:pStyle w:val="pheading"/>
      </w:pPr>
      <w:r>
        <w:t>- Définition / Comprend</w:t>
      </w:r>
    </w:p>
    <w:p w14:paraId="77E14221" w14:textId="77777777" w:rsidR="00DB2B68" w:rsidRDefault="00000000">
      <w:r>
        <w:t>Renvoi à 06.11 Stabilisations de la structure</w:t>
      </w:r>
    </w:p>
    <w:p w14:paraId="17B2F183" w14:textId="77777777" w:rsidR="00DB2B68" w:rsidRDefault="00000000">
      <w:pPr>
        <w:pStyle w:val="Author-eSectionHeading5Numberless"/>
      </w:pPr>
      <w:bookmarkStart w:id="2102" w:name="_Toc220497036"/>
      <w:r>
        <w:t>27.82.2 Dépose d'éléments (pour repose ultérieure) CCTB 01.04</w:t>
      </w:r>
      <w:bookmarkEnd w:id="2102"/>
    </w:p>
    <w:p w14:paraId="46E7FC71" w14:textId="77777777" w:rsidR="00DB2B68" w:rsidRDefault="00000000">
      <w:pPr>
        <w:pStyle w:val="pheading"/>
      </w:pPr>
      <w:r>
        <w:t>DESCRIPTION</w:t>
      </w:r>
    </w:p>
    <w:p w14:paraId="4CCC4A53" w14:textId="77777777" w:rsidR="00DB2B68" w:rsidRDefault="00000000">
      <w:pPr>
        <w:pStyle w:val="pheading"/>
      </w:pPr>
      <w:r>
        <w:t>- Définition / Comprend</w:t>
      </w:r>
    </w:p>
    <w:p w14:paraId="544C32BC" w14:textId="77777777" w:rsidR="00DB2B68" w:rsidRDefault="00000000">
      <w:r>
        <w:t> renvoi au § 06.44 Démontages d'éléments de fermeture et de finitions intérieures</w:t>
      </w:r>
    </w:p>
    <w:p w14:paraId="0A43354F" w14:textId="77777777" w:rsidR="00DB2B68" w:rsidRDefault="00000000">
      <w:pPr>
        <w:pStyle w:val="Author-eSectionHeading5Numberless"/>
      </w:pPr>
      <w:bookmarkStart w:id="2103" w:name="_Toc220497037"/>
      <w:r>
        <w:t>27.82.3 Démontage d'éléments (pour récupération)  CCTB 01.04</w:t>
      </w:r>
      <w:bookmarkEnd w:id="2103"/>
    </w:p>
    <w:p w14:paraId="4F60D776" w14:textId="77777777" w:rsidR="00DB2B68" w:rsidRDefault="00000000">
      <w:pPr>
        <w:pStyle w:val="pheading"/>
      </w:pPr>
      <w:r>
        <w:t>DESCRIPTION</w:t>
      </w:r>
    </w:p>
    <w:p w14:paraId="5136B9CF" w14:textId="77777777" w:rsidR="00DB2B68" w:rsidRDefault="00000000">
      <w:pPr>
        <w:pStyle w:val="pheading"/>
      </w:pPr>
      <w:r>
        <w:t>- Définition / Comprend</w:t>
      </w:r>
    </w:p>
    <w:p w14:paraId="3B832246" w14:textId="77777777" w:rsidR="00DB2B68" w:rsidRDefault="00000000">
      <w:r>
        <w:t>Renvoi au § 06.34 Démontages d'éléments de fermetures et de finitions intérieures</w:t>
      </w:r>
    </w:p>
    <w:p w14:paraId="30C6BCBC" w14:textId="77777777" w:rsidR="00DB2B68" w:rsidRDefault="00000000">
      <w:pPr>
        <w:pStyle w:val="Author-eSectionHeading5Numberless"/>
      </w:pPr>
      <w:bookmarkStart w:id="2104" w:name="_Toc220497038"/>
      <w:r>
        <w:t>27.82.4 Dégagement d'éléments spécifiques CCTB 01.04</w:t>
      </w:r>
      <w:bookmarkEnd w:id="2104"/>
    </w:p>
    <w:p w14:paraId="534341F3" w14:textId="77777777" w:rsidR="00DB2B68" w:rsidRDefault="00000000">
      <w:pPr>
        <w:pStyle w:val="Author-eSectionHeading5Numberless"/>
      </w:pPr>
      <w:bookmarkStart w:id="2105" w:name="_Toc220497039"/>
      <w:r>
        <w:t>27.82.5 Décapage / Déjointoiement (pour évacuation) CCTB 01.04</w:t>
      </w:r>
      <w:bookmarkEnd w:id="2105"/>
    </w:p>
    <w:p w14:paraId="5645F652" w14:textId="77777777" w:rsidR="00DB2B68" w:rsidRDefault="00000000">
      <w:pPr>
        <w:pStyle w:val="pheading"/>
      </w:pPr>
      <w:r>
        <w:t>DESCRIPTION</w:t>
      </w:r>
    </w:p>
    <w:p w14:paraId="550788F8" w14:textId="77777777" w:rsidR="00DB2B68" w:rsidRDefault="00000000">
      <w:pPr>
        <w:pStyle w:val="pheading"/>
      </w:pPr>
      <w:r>
        <w:t>- Définition / Comprend</w:t>
      </w:r>
    </w:p>
    <w:p w14:paraId="1D1E827D" w14:textId="77777777" w:rsidR="00DB2B68" w:rsidRDefault="00000000">
      <w:r>
        <w:t>Renvoi à 06.7 Décapages / déjointoiements (pour évacuation)</w:t>
      </w:r>
    </w:p>
    <w:p w14:paraId="3680BA92" w14:textId="77777777" w:rsidR="00DB2B68" w:rsidRDefault="00000000">
      <w:r>
        <w:t>L’évacuation et la gestion des déchets issus de travaux de démolition, de rénovation ou de construction font l’objet d’un ou plusieurs postes spécifiques, détaillés dans le Tome 0 en section 07 Déchets, matériaux et éléments réemployables.</w:t>
      </w:r>
    </w:p>
    <w:p w14:paraId="03823F9F" w14:textId="77777777" w:rsidR="00DB2B68" w:rsidRDefault="00000000">
      <w:pPr>
        <w:pStyle w:val="Author-eSectionHeading5Numberless"/>
      </w:pPr>
      <w:bookmarkStart w:id="2106" w:name="_Toc220497040"/>
      <w:r>
        <w:t>27.82.6 Percements / carottages CCTB 01.04</w:t>
      </w:r>
      <w:bookmarkEnd w:id="2106"/>
    </w:p>
    <w:p w14:paraId="36CF5C4D" w14:textId="77777777" w:rsidR="00DB2B68" w:rsidRDefault="00000000">
      <w:pPr>
        <w:pStyle w:val="pheading"/>
      </w:pPr>
      <w:r>
        <w:t>DESCRIPTION</w:t>
      </w:r>
    </w:p>
    <w:p w14:paraId="4C14CFE3" w14:textId="77777777" w:rsidR="00DB2B68" w:rsidRDefault="00000000">
      <w:pPr>
        <w:pStyle w:val="pheading"/>
      </w:pPr>
      <w:r>
        <w:t>- Définition / Comprend</w:t>
      </w:r>
    </w:p>
    <w:p w14:paraId="5578101B" w14:textId="77777777" w:rsidR="00DB2B68" w:rsidRDefault="00000000">
      <w:r>
        <w:t> Renvoi à 06.8 Percements / carottages</w:t>
      </w:r>
    </w:p>
    <w:p w14:paraId="7A0EB113" w14:textId="77777777" w:rsidR="00DB2B68" w:rsidRDefault="00000000">
      <w:pPr>
        <w:pStyle w:val="Author-eSectionHeading4Numberless"/>
      </w:pPr>
      <w:bookmarkStart w:id="2107" w:name="_Toc220497041"/>
      <w:r>
        <w:t>27.83 Réparation / ragréage / rénovation CCTB 01.04</w:t>
      </w:r>
      <w:bookmarkEnd w:id="2107"/>
    </w:p>
    <w:p w14:paraId="20AC1ADE" w14:textId="77777777" w:rsidR="00DB2B68" w:rsidRDefault="00000000">
      <w:pPr>
        <w:pStyle w:val="pheading"/>
      </w:pPr>
      <w:r>
        <w:t>DESCRIPTION</w:t>
      </w:r>
    </w:p>
    <w:p w14:paraId="058F7EF5" w14:textId="77777777" w:rsidR="00DB2B68" w:rsidRDefault="00000000">
      <w:pPr>
        <w:pStyle w:val="pheading"/>
      </w:pPr>
      <w:r>
        <w:t>- Définition / Comprend</w:t>
      </w:r>
    </w:p>
    <w:p w14:paraId="6D063B58" w14:textId="77777777" w:rsidR="00DB2B68" w:rsidRDefault="00000000">
      <w:r>
        <w:t xml:space="preserve">Renvoi à </w:t>
      </w:r>
      <w:hyperlink w:anchor="694" w:history="1">
        <w:r>
          <w:rPr>
            <w:color w:val="0000EE"/>
          </w:rPr>
          <w:t>21.83 Réparations / ragréages / rénovations</w:t>
        </w:r>
      </w:hyperlink>
    </w:p>
    <w:p w14:paraId="231F7D9B" w14:textId="77777777" w:rsidR="00DB2B68" w:rsidRDefault="00000000">
      <w:pPr>
        <w:pStyle w:val="Author-eSectionHeading5Numberless"/>
      </w:pPr>
      <w:bookmarkStart w:id="2108" w:name="_Toc220497042"/>
      <w:r>
        <w:t>27.83.1 Ragréage de souches de cheminée CCTB 01.04</w:t>
      </w:r>
      <w:bookmarkEnd w:id="2108"/>
    </w:p>
    <w:p w14:paraId="0A2266AC" w14:textId="77777777" w:rsidR="00DB2B68" w:rsidRDefault="00000000">
      <w:pPr>
        <w:pStyle w:val="Author-eSectionHeading6Numberless"/>
      </w:pPr>
      <w:bookmarkStart w:id="2109" w:name="_Toc220497043"/>
      <w:r>
        <w:lastRenderedPageBreak/>
        <w:t>27.83.1a Ragréage de souches de cheminée CCTB 01.04</w:t>
      </w:r>
      <w:bookmarkEnd w:id="2109"/>
    </w:p>
    <w:p w14:paraId="64C99346" w14:textId="77777777" w:rsidR="00DB2B68" w:rsidRDefault="00000000">
      <w:pPr>
        <w:pStyle w:val="Author-eSectionHeading4Numberless"/>
      </w:pPr>
      <w:bookmarkStart w:id="2110" w:name="_Toc220497044"/>
      <w:r>
        <w:t>27.84 Adaptation CCTB 01.12</w:t>
      </w:r>
      <w:bookmarkEnd w:id="2110"/>
    </w:p>
    <w:p w14:paraId="2423C683" w14:textId="77777777" w:rsidR="00DB2B68" w:rsidRDefault="00000000">
      <w:pPr>
        <w:pStyle w:val="pheading"/>
      </w:pPr>
      <w:r>
        <w:t>DESCRIPTION</w:t>
      </w:r>
    </w:p>
    <w:p w14:paraId="0B836084" w14:textId="77777777" w:rsidR="00DB2B68" w:rsidRDefault="00000000">
      <w:pPr>
        <w:pStyle w:val="pheading"/>
      </w:pPr>
      <w:r>
        <w:t>- Définition / Comprend</w:t>
      </w:r>
    </w:p>
    <w:p w14:paraId="4A1A6206" w14:textId="77777777" w:rsidR="00DB2B68" w:rsidRDefault="00000000">
      <w:pPr>
        <w:jc w:val="both"/>
      </w:pPr>
      <w:r>
        <w:t>Le travail comprend notamment :</w:t>
      </w:r>
    </w:p>
    <w:p w14:paraId="712F5140" w14:textId="77777777" w:rsidR="00DB2B68" w:rsidRDefault="00000000">
      <w:pPr>
        <w:pStyle w:val="Author-eListParagraph"/>
        <w:numPr>
          <w:ilvl w:val="0"/>
          <w:numId w:val="1159"/>
        </w:numPr>
        <w:jc w:val="both"/>
      </w:pPr>
      <w:r>
        <w:t xml:space="preserve">Les prestations et travaux préparatoires selon le </w:t>
      </w:r>
      <w:hyperlink w:anchor="700" w:history="1">
        <w:r>
          <w:rPr>
            <w:color w:val="0000EE"/>
          </w:rPr>
          <w:t>27.81 Etudes / essais préliminaires</w:t>
        </w:r>
      </w:hyperlink>
      <w:r>
        <w:t xml:space="preserve"> et notamment : </w:t>
      </w:r>
    </w:p>
    <w:p w14:paraId="3F4CF29F" w14:textId="77777777" w:rsidR="00DB2B68" w:rsidRDefault="00000000">
      <w:pPr>
        <w:pStyle w:val="Author-eListParagraph"/>
        <w:numPr>
          <w:ilvl w:val="1"/>
          <w:numId w:val="1160"/>
        </w:numPr>
        <w:jc w:val="both"/>
      </w:pPr>
      <w:r>
        <w:t>Le repérage et l’inspection des conduits existants</w:t>
      </w:r>
    </w:p>
    <w:p w14:paraId="060486AC" w14:textId="77777777" w:rsidR="00DB2B68" w:rsidRDefault="00000000">
      <w:pPr>
        <w:pStyle w:val="Author-eListParagraph"/>
        <w:numPr>
          <w:ilvl w:val="1"/>
          <w:numId w:val="1160"/>
        </w:numPr>
        <w:jc w:val="both"/>
      </w:pPr>
      <w:r>
        <w:t>La prise et/ou la vérification des mesures in situ</w:t>
      </w:r>
    </w:p>
    <w:p w14:paraId="76AF1DD7" w14:textId="77777777" w:rsidR="00DB2B68" w:rsidRDefault="00000000">
      <w:pPr>
        <w:pStyle w:val="Author-eListParagraph"/>
        <w:numPr>
          <w:ilvl w:val="0"/>
          <w:numId w:val="1159"/>
        </w:numPr>
        <w:jc w:val="both"/>
      </w:pPr>
      <w:r>
        <w:t>Les mesures de sécurité ;</w:t>
      </w:r>
    </w:p>
    <w:p w14:paraId="3718CB80" w14:textId="77777777" w:rsidR="00DB2B68" w:rsidRDefault="00000000">
      <w:pPr>
        <w:pStyle w:val="Author-eListParagraph"/>
        <w:numPr>
          <w:ilvl w:val="0"/>
          <w:numId w:val="1159"/>
        </w:numPr>
        <w:jc w:val="both"/>
      </w:pPr>
      <w:r>
        <w:t>Les moyens d’accès (échafaudages, …) ;</w:t>
      </w:r>
    </w:p>
    <w:p w14:paraId="4D43B3DB" w14:textId="77777777" w:rsidR="00DB2B68" w:rsidRDefault="00000000">
      <w:pPr>
        <w:pStyle w:val="Author-eListParagraph"/>
        <w:numPr>
          <w:ilvl w:val="0"/>
          <w:numId w:val="1159"/>
        </w:numPr>
        <w:jc w:val="both"/>
      </w:pPr>
      <w:r>
        <w:t>Les moyens de manutention ;</w:t>
      </w:r>
    </w:p>
    <w:p w14:paraId="3957C7E7" w14:textId="77777777" w:rsidR="00DB2B68" w:rsidRDefault="00000000">
      <w:pPr>
        <w:pStyle w:val="Author-eListParagraph"/>
        <w:numPr>
          <w:ilvl w:val="0"/>
          <w:numId w:val="1159"/>
        </w:numPr>
        <w:jc w:val="both"/>
      </w:pPr>
      <w:r>
        <w:t>Les moyens de protection du bâtiment, des parois, … ;</w:t>
      </w:r>
    </w:p>
    <w:p w14:paraId="779CBF9B" w14:textId="77777777" w:rsidR="00DB2B68" w:rsidRDefault="00000000">
      <w:pPr>
        <w:pStyle w:val="Author-eListParagraph"/>
        <w:numPr>
          <w:ilvl w:val="0"/>
          <w:numId w:val="1159"/>
        </w:numPr>
        <w:jc w:val="both"/>
      </w:pPr>
      <w:r>
        <w:t>L’étançonnement - étaiement nécessaire ;</w:t>
      </w:r>
    </w:p>
    <w:p w14:paraId="536FA394" w14:textId="77777777" w:rsidR="00DB2B68" w:rsidRDefault="00000000">
      <w:pPr>
        <w:pStyle w:val="Author-eListParagraph"/>
        <w:numPr>
          <w:ilvl w:val="0"/>
          <w:numId w:val="1159"/>
        </w:numPr>
        <w:jc w:val="both"/>
      </w:pPr>
      <w:r>
        <w:t>L’entretien des moyens cités ci-avant et leur enlèvement complet en fin de chantier ;</w:t>
      </w:r>
    </w:p>
    <w:p w14:paraId="7CE351C8" w14:textId="77777777" w:rsidR="00DB2B68" w:rsidRDefault="00000000">
      <w:pPr>
        <w:pStyle w:val="Author-eListParagraph"/>
        <w:numPr>
          <w:ilvl w:val="0"/>
          <w:numId w:val="1159"/>
        </w:numPr>
        <w:jc w:val="both"/>
      </w:pPr>
      <w:r>
        <w:t>La coordination avec les différents intervenants ;</w:t>
      </w:r>
    </w:p>
    <w:p w14:paraId="37C570E0" w14:textId="77777777" w:rsidR="00DB2B68" w:rsidRDefault="00000000">
      <w:pPr>
        <w:pStyle w:val="Author-eListParagraph"/>
        <w:numPr>
          <w:ilvl w:val="0"/>
          <w:numId w:val="1159"/>
        </w:numPr>
        <w:jc w:val="both"/>
      </w:pPr>
      <w:r>
        <w:t>L’adaptation des maçonneries ;</w:t>
      </w:r>
    </w:p>
    <w:p w14:paraId="2C8807BC" w14:textId="77777777" w:rsidR="00DB2B68" w:rsidRDefault="00000000">
      <w:pPr>
        <w:pStyle w:val="Author-eListParagraph"/>
        <w:numPr>
          <w:ilvl w:val="0"/>
          <w:numId w:val="1159"/>
        </w:numPr>
        <w:jc w:val="both"/>
      </w:pPr>
      <w:r>
        <w:t>Les dispositions en matière de protection incendie, selon les descriptions ci-après ;</w:t>
      </w:r>
    </w:p>
    <w:p w14:paraId="799D8046" w14:textId="77777777" w:rsidR="00DB2B68" w:rsidRDefault="00000000">
      <w:pPr>
        <w:pStyle w:val="Author-eListParagraph"/>
        <w:numPr>
          <w:ilvl w:val="0"/>
          <w:numId w:val="1159"/>
        </w:numPr>
        <w:jc w:val="both"/>
      </w:pPr>
      <w:r>
        <w:t>La gestion des déchets (collecte, tri, traitement, évacuation en dehors du chantier, …), conformément aux 07 Déchets, matériaux et éléments réemployables et suivants ;</w:t>
      </w:r>
    </w:p>
    <w:p w14:paraId="2A4EFA7D" w14:textId="77777777" w:rsidR="00DB2B68" w:rsidRDefault="00000000">
      <w:pPr>
        <w:pStyle w:val="Author-eListParagraph"/>
        <w:numPr>
          <w:ilvl w:val="0"/>
          <w:numId w:val="1159"/>
        </w:numPr>
        <w:jc w:val="both"/>
      </w:pPr>
      <w:r>
        <w:t>Le nettoyage en fin de chantier.</w:t>
      </w:r>
    </w:p>
    <w:p w14:paraId="32EC4708" w14:textId="77777777" w:rsidR="00DB2B68" w:rsidRDefault="00000000">
      <w:pPr>
        <w:pStyle w:val="Author-eSectionHeading5Numberless"/>
      </w:pPr>
      <w:bookmarkStart w:id="2111" w:name="_Toc220497045"/>
      <w:r>
        <w:t>27.84.1 Tubage de cheminée existante CCTB 01.12</w:t>
      </w:r>
      <w:bookmarkEnd w:id="2111"/>
    </w:p>
    <w:p w14:paraId="2D6DCB89" w14:textId="77777777" w:rsidR="00DB2B68" w:rsidRDefault="00000000">
      <w:pPr>
        <w:pStyle w:val="pheading"/>
      </w:pPr>
      <w:r>
        <w:t>DESCRIPTION</w:t>
      </w:r>
    </w:p>
    <w:p w14:paraId="68260123" w14:textId="77777777" w:rsidR="00DB2B68" w:rsidRDefault="00000000">
      <w:pPr>
        <w:pStyle w:val="pheading"/>
      </w:pPr>
      <w:r>
        <w:t>- Définition / Comprend</w:t>
      </w:r>
    </w:p>
    <w:p w14:paraId="150688AA" w14:textId="77777777" w:rsidR="00DB2B68" w:rsidRDefault="00000000">
      <w:pPr>
        <w:jc w:val="both"/>
      </w:pPr>
      <w:r>
        <w:t>Il s’agit de l’adaptation des maçonneries de conduits de fumée et de ventilation existantes, afin de permettre le tubage de ces conduits.</w:t>
      </w:r>
    </w:p>
    <w:p w14:paraId="36B59948" w14:textId="77777777" w:rsidR="00DB2B68" w:rsidRDefault="00000000">
      <w:pPr>
        <w:jc w:val="both"/>
      </w:pPr>
      <w:r>
        <w:t>Le démontage et/ou la démolition d’équipements existants (p.ex. : ancien tubage à l’intérieur du conduit) est (sont) décrit(s) et compté(s) aux 06 Travaux de stabilisation et de déconstruction et suivants.</w:t>
      </w:r>
    </w:p>
    <w:p w14:paraId="6FC6297C" w14:textId="77777777" w:rsidR="00DB2B68" w:rsidRDefault="00000000">
      <w:pPr>
        <w:jc w:val="both"/>
      </w:pPr>
      <w:r>
        <w:t xml:space="preserve">Les travaux de maçonneries sont notamment réalisés selon les descriptions du </w:t>
      </w:r>
      <w:hyperlink w:anchor="224" w:history="1">
        <w:r>
          <w:rPr>
            <w:color w:val="0000EE"/>
          </w:rPr>
          <w:t>21.8 Superstructures en maçonnerie - Rénovation</w:t>
        </w:r>
      </w:hyperlink>
      <w:r>
        <w:t xml:space="preserve"> et suivants.</w:t>
      </w:r>
    </w:p>
    <w:p w14:paraId="20325B15" w14:textId="77777777" w:rsidR="00DB2B68" w:rsidRDefault="00000000">
      <w:pPr>
        <w:jc w:val="both"/>
      </w:pPr>
      <w:r>
        <w:t>Les nouveaux équipements (p.ex. conduits rigides ou flexibles, … ) à placer dans les conduits maçonnés adaptés sont décrits et comptés aux 6 T6 HVAC - sanitaires et suivants.</w:t>
      </w:r>
    </w:p>
    <w:p w14:paraId="46DCF0CC" w14:textId="77777777" w:rsidR="00DB2B68" w:rsidRDefault="00000000">
      <w:pPr>
        <w:jc w:val="both"/>
      </w:pPr>
      <w:r>
        <w:t>Pour rappel, en vue d’établir sa remise de prix, l’entrepreneur visite le chantier et réalise les investigations qu’il estime nécessaires afin d’appréhender correctement les aléas qui pourraient apparaitre.  </w:t>
      </w:r>
    </w:p>
    <w:p w14:paraId="250E967B" w14:textId="77777777" w:rsidR="00DB2B68" w:rsidRDefault="00000000">
      <w:pPr>
        <w:jc w:val="both"/>
      </w:pPr>
      <w:r>
        <w:t>Si, malgré ces investigations préalables, des éléments singuliers pour ce type de travail apparaissent en cours de réalisation (p.ex. : dimensions, encombrements, … particuliers des conduits), l’entrepreneur fait rapport à la direction des travaux.</w:t>
      </w:r>
    </w:p>
    <w:p w14:paraId="3BAFB464" w14:textId="77777777" w:rsidR="00DB2B68" w:rsidRDefault="00000000">
      <w:pPr>
        <w:jc w:val="both"/>
      </w:pPr>
      <w:r>
        <w:t xml:space="preserve"> Les mesures appropriées sont définies en accord avec les différents intervenants (voir AIDE).</w:t>
      </w:r>
    </w:p>
    <w:p w14:paraId="5EA833A6" w14:textId="77777777" w:rsidR="00DB2B68" w:rsidRDefault="00000000">
      <w:pPr>
        <w:pStyle w:val="pheading"/>
      </w:pPr>
      <w:r>
        <w:t>MATÉRIAUX</w:t>
      </w:r>
    </w:p>
    <w:p w14:paraId="75D2408B" w14:textId="77777777" w:rsidR="00DB2B68" w:rsidRDefault="00000000">
      <w:pPr>
        <w:jc w:val="both"/>
      </w:pPr>
      <w:r>
        <w:t>Sauf remarque particulière, les maçonneries à réaliser sont exécutées à l’aide de matériaux identiques ou similaires et au moins équivalents à l’existant.</w:t>
      </w:r>
    </w:p>
    <w:p w14:paraId="1E02FB26" w14:textId="77777777" w:rsidR="00DB2B68" w:rsidRDefault="00000000">
      <w:pPr>
        <w:jc w:val="both"/>
      </w:pPr>
      <w:r>
        <w:t xml:space="preserve"> Ces matériaux sont conformes aux </w:t>
      </w:r>
      <w:hyperlink w:anchor="295" w:history="1">
        <w:r>
          <w:rPr>
            <w:color w:val="0000EE"/>
          </w:rPr>
          <w:t>21 Superstructures en maçonnerie</w:t>
        </w:r>
      </w:hyperlink>
      <w:r>
        <w:t xml:space="preserve"> et suivants.</w:t>
      </w:r>
    </w:p>
    <w:p w14:paraId="7369B4F2" w14:textId="77777777" w:rsidR="00DB2B68" w:rsidRDefault="00000000">
      <w:pPr>
        <w:jc w:val="both"/>
      </w:pPr>
      <w:r>
        <w:lastRenderedPageBreak/>
        <w:t xml:space="preserve"> Avant exécution, l’entrepreneur soumet à la direction des travaux les matériaux qu’il souhaite utiliser. L’ensemble fait l’objet d’un accord préalable.</w:t>
      </w:r>
    </w:p>
    <w:p w14:paraId="394FA771" w14:textId="77777777" w:rsidR="00DB2B68" w:rsidRDefault="00000000">
      <w:pPr>
        <w:jc w:val="both"/>
      </w:pPr>
      <w:r>
        <w:t>Le réemploi des matériaux issus des démolitions se fait uniquement si ceux-ci ne sont pas contaminés par les rejets des conduits (présence de bistre, …) et si l’entrepreneur estime qu’ils présentent des qualités suffisantes.</w:t>
      </w:r>
    </w:p>
    <w:p w14:paraId="3FD779E2" w14:textId="77777777" w:rsidR="00DB2B68" w:rsidRDefault="00000000">
      <w:pPr>
        <w:jc w:val="both"/>
      </w:pPr>
      <w:r>
        <w:t xml:space="preserve"> Les critères d’acceptabilité et restrictions sont notamment définis aux 02.4 Matériaux et suivants.</w:t>
      </w:r>
    </w:p>
    <w:p w14:paraId="486BB927" w14:textId="77777777" w:rsidR="00DB2B68" w:rsidRDefault="00000000">
      <w:pPr>
        <w:pStyle w:val="pheading"/>
      </w:pPr>
      <w:r>
        <w:t>EXÉCUTION / MISE EN ŒUVRE</w:t>
      </w:r>
    </w:p>
    <w:p w14:paraId="67AAF624" w14:textId="77777777" w:rsidR="00DB2B68" w:rsidRDefault="00000000">
      <w:pPr>
        <w:jc w:val="both"/>
      </w:pPr>
      <w:r>
        <w:rPr>
          <w:b/>
        </w:rPr>
        <w:t>Généralités </w:t>
      </w:r>
    </w:p>
    <w:p w14:paraId="24B1AF47" w14:textId="77777777" w:rsidR="00DB2B68" w:rsidRDefault="00000000">
      <w:pPr>
        <w:jc w:val="both"/>
      </w:pPr>
      <w:r>
        <w:t>L’entrepreneur détermine et utilise tous les moyens appropriés en fonction des conditions rencontrées et des adaptations à réaliser.</w:t>
      </w:r>
    </w:p>
    <w:p w14:paraId="4F9DF55C" w14:textId="77777777" w:rsidR="00DB2B68" w:rsidRDefault="00000000">
      <w:pPr>
        <w:jc w:val="both"/>
      </w:pPr>
      <w:r>
        <w:t xml:space="preserve"> Ces moyens sont notamment adaptés aux matériaux, à l’accessibilité, … des différents éléments.</w:t>
      </w:r>
    </w:p>
    <w:p w14:paraId="79DA9798" w14:textId="77777777" w:rsidR="00DB2B68" w:rsidRDefault="00000000">
      <w:pPr>
        <w:jc w:val="both"/>
      </w:pPr>
      <w:r>
        <w:t>L’entrepreneur coordonne ces travaux avec les différents intervenants et inscrit leur mise en œuvre dans le planning général du chantier.</w:t>
      </w:r>
    </w:p>
    <w:p w14:paraId="51F6A5DE" w14:textId="77777777" w:rsidR="00DB2B68" w:rsidRDefault="00000000">
      <w:pPr>
        <w:jc w:val="both"/>
      </w:pPr>
      <w:r>
        <w:t>Les travaux de stabilisation / déconstruction / démolition / dépose / démontage des maçonneries sont décrits aux 06 Travaux de stabilisation et de déconstruction et suivants</w:t>
      </w:r>
    </w:p>
    <w:p w14:paraId="7E461507" w14:textId="77777777" w:rsidR="00DB2B68" w:rsidRDefault="00000000">
      <w:pPr>
        <w:jc w:val="both"/>
      </w:pPr>
      <w:r>
        <w:t xml:space="preserve">Pour les maçonneries, les prescriptions du </w:t>
      </w:r>
      <w:hyperlink w:anchor="295" w:history="1">
        <w:r>
          <w:rPr>
            <w:color w:val="0000EE"/>
          </w:rPr>
          <w:t>21 Superstructures en maçonnerie</w:t>
        </w:r>
      </w:hyperlink>
      <w:r>
        <w:t xml:space="preserve"> sont d’application.</w:t>
      </w:r>
    </w:p>
    <w:p w14:paraId="61A1B683" w14:textId="77777777" w:rsidR="00DB2B68" w:rsidRDefault="00000000">
      <w:pPr>
        <w:jc w:val="both"/>
      </w:pPr>
      <w:r>
        <w:rPr>
          <w:b/>
        </w:rPr>
        <w:t>Divers / Mise en œuvre </w:t>
      </w:r>
    </w:p>
    <w:p w14:paraId="13E39AEE" w14:textId="77777777" w:rsidR="00DB2B68" w:rsidRDefault="00000000">
      <w:pPr>
        <w:jc w:val="both"/>
      </w:pPr>
      <w:r>
        <w:t>Les travaux sont réalisés en concertation étroite avec les différents intervenants (direction des travaux, auteur de projet, CSS, …) et en particulier avec l’entrepreneur chargé de la pose du tubage.</w:t>
      </w:r>
    </w:p>
    <w:p w14:paraId="1DBB600C" w14:textId="77777777" w:rsidR="00DB2B68" w:rsidRDefault="00000000">
      <w:pPr>
        <w:jc w:val="both"/>
      </w:pPr>
      <w:r>
        <w:t>L’entrepreneur adapte de façon ciblée les maçonneries existantes, de manière à permettre le placement du tubage (p.ex. : rigide, flexible, simple ou double paroi, …) selon la documentation technique qui l’accompagne.</w:t>
      </w:r>
    </w:p>
    <w:p w14:paraId="3860800E" w14:textId="77777777" w:rsidR="00DB2B68" w:rsidRDefault="00000000">
      <w:pPr>
        <w:jc w:val="both"/>
      </w:pPr>
      <w:r>
        <w:t xml:space="preserve"> Cette dernière est fournie, selon les cas, par l’entrepreneur chargé de la réalisation du tubage ou par la direction des travaux. Si nécessaire et avant exécution des travaux, l’entrepreneur chargé de l’adaptation des maçonneries sollicite cette documentation auprès de ces intervenants. </w:t>
      </w:r>
    </w:p>
    <w:p w14:paraId="691D6ECD" w14:textId="77777777" w:rsidR="00DB2B68" w:rsidRDefault="00000000">
      <w:pPr>
        <w:jc w:val="both"/>
      </w:pPr>
      <w:r>
        <w:rPr>
          <w:b/>
        </w:rPr>
        <w:t>Protection incendie </w:t>
      </w:r>
    </w:p>
    <w:p w14:paraId="2930A6E2" w14:textId="77777777" w:rsidR="00DB2B68" w:rsidRDefault="00000000">
      <w:pPr>
        <w:jc w:val="both"/>
      </w:pPr>
      <w:r>
        <w:t>Les mesures de protection incendie sont notamment décrites et/ou comptées aux 63.4 Chaleur - rejets des produits de la combustion / 66 Lutte contre l'incendie (LCI) et suivants.</w:t>
      </w:r>
    </w:p>
    <w:p w14:paraId="4A7F01F8" w14:textId="77777777" w:rsidR="00DB2B68" w:rsidRDefault="00000000">
      <w:pPr>
        <w:jc w:val="both"/>
      </w:pPr>
      <w:r>
        <w:t xml:space="preserve">L’adaptation des maçonneries s’inscrit dans la réalisation d’un compartimentage selon [AR 1994-07-07] : </w:t>
      </w:r>
      <w:r>
        <w:rPr>
          <w:rStyle w:val="optioncarChar"/>
        </w:rPr>
        <w:t xml:space="preserve">non </w:t>
      </w:r>
      <w:r>
        <w:t>(par défaut)</w:t>
      </w:r>
      <w:r>
        <w:rPr>
          <w:rStyle w:val="optioncarChar"/>
        </w:rPr>
        <w:t xml:space="preserve"> / oui</w:t>
      </w:r>
    </w:p>
    <w:p w14:paraId="057B6715" w14:textId="77777777" w:rsidR="00DB2B68" w:rsidRDefault="00000000">
      <w:pPr>
        <w:jc w:val="both"/>
      </w:pPr>
      <w:r>
        <w:rPr>
          <w:b/>
        </w:rPr>
        <w:t>(soit par défaut)</w:t>
      </w:r>
    </w:p>
    <w:p w14:paraId="6A2E37E4" w14:textId="77777777" w:rsidR="00DB2B68" w:rsidRDefault="00000000">
      <w:pPr>
        <w:jc w:val="both"/>
      </w:pPr>
      <w:r>
        <w:rPr>
          <w:rStyle w:val="soitChar"/>
          <w:u w:val="single"/>
        </w:rPr>
        <w:t>Non :</w:t>
      </w:r>
    </w:p>
    <w:p w14:paraId="0A230690" w14:textId="77777777" w:rsidR="00DB2B68" w:rsidRDefault="00000000">
      <w:pPr>
        <w:jc w:val="both"/>
      </w:pPr>
      <w:r>
        <w:rPr>
          <w:rStyle w:val="soitChar"/>
        </w:rPr>
        <w:t>Aucune exigence particulière n’est demandée pour l’adaptation des maçonneries.</w:t>
      </w:r>
    </w:p>
    <w:p w14:paraId="7CBF88E4" w14:textId="77777777" w:rsidR="00DB2B68" w:rsidRDefault="00000000">
      <w:pPr>
        <w:jc w:val="both"/>
      </w:pPr>
      <w:r>
        <w:rPr>
          <w:b/>
        </w:rPr>
        <w:t>(soit)</w:t>
      </w:r>
    </w:p>
    <w:p w14:paraId="5AF39713" w14:textId="77777777" w:rsidR="00DB2B68" w:rsidRDefault="00000000">
      <w:pPr>
        <w:jc w:val="both"/>
      </w:pPr>
      <w:r>
        <w:rPr>
          <w:rStyle w:val="soitChar"/>
          <w:u w:val="single"/>
        </w:rPr>
        <w:t>Oui :</w:t>
      </w:r>
    </w:p>
    <w:p w14:paraId="4DF7A4AB" w14:textId="77777777" w:rsidR="00DB2B68" w:rsidRDefault="00000000">
      <w:pPr>
        <w:jc w:val="both"/>
      </w:pPr>
      <w:r>
        <w:rPr>
          <w:rStyle w:val="soitChar"/>
        </w:rPr>
        <w:t xml:space="preserve">Les parois verticales des conduits répondent aux exigences de résistance au feu suivantes : </w:t>
      </w:r>
      <w:r>
        <w:rPr>
          <w:rStyle w:val="optioncarChar"/>
        </w:rPr>
        <w:t>EI30 / EI 60 / REI 60 / ***</w:t>
      </w:r>
      <w:r>
        <w:t> </w:t>
      </w:r>
    </w:p>
    <w:p w14:paraId="30751C1F" w14:textId="77777777" w:rsidR="00DB2B68" w:rsidRDefault="00000000">
      <w:pPr>
        <w:jc w:val="both"/>
      </w:pPr>
      <w:r>
        <w:t>Les éventuels écrans horizontaux de compartimentage sont notamment décrits et comptés aux 63.4 Chaleur - rejets des produits de la combustion / 66 Lutte contre l'incendie (LCI) et suivants.</w:t>
      </w:r>
    </w:p>
    <w:p w14:paraId="17C4AF99" w14:textId="77777777" w:rsidR="00DB2B68" w:rsidRDefault="00000000">
      <w:pPr>
        <w:pStyle w:val="pheading"/>
      </w:pPr>
      <w:r>
        <w:t>DOCUMENTS DE RÉFÉRENCE</w:t>
      </w:r>
    </w:p>
    <w:p w14:paraId="6F914E5B" w14:textId="77777777" w:rsidR="00DB2B68" w:rsidRDefault="00000000">
      <w:pPr>
        <w:pStyle w:val="pheading"/>
      </w:pPr>
      <w:r>
        <w:t>- Matériau</w:t>
      </w:r>
    </w:p>
    <w:p w14:paraId="3477E7BB" w14:textId="77777777" w:rsidR="00DB2B68" w:rsidRDefault="00000000">
      <w:r>
        <w:t>[AR 1994-07-07, Arrêté royal fixant les normes de base en matière de prévention contre l'incendie et l'explosion, auxquelles les bâtiments nouveaux doivent satisfaire] + annexes. </w:t>
      </w:r>
    </w:p>
    <w:p w14:paraId="7701AF59" w14:textId="77777777" w:rsidR="00DB2B68" w:rsidRDefault="00000000">
      <w:r>
        <w:lastRenderedPageBreak/>
        <w:t>[NBN EN 13501-1, Classement au feu des produits et éléments de construction - Partie 1: Classement à partir des données d'essais de réaction au feu]</w:t>
      </w:r>
    </w:p>
    <w:p w14:paraId="16B0CEF0" w14:textId="77777777" w:rsidR="00DB2B68" w:rsidRDefault="00000000">
      <w:pPr>
        <w:pStyle w:val="pheading"/>
      </w:pPr>
      <w:r>
        <w:t>- Exécution</w:t>
      </w:r>
    </w:p>
    <w:p w14:paraId="17FF8C5B" w14:textId="77777777" w:rsidR="00DB2B68" w:rsidRDefault="00000000">
      <w:r>
        <w:t>[AR 1994-07-07, Arrêté royal fixant les normes de base en matière de prévention contre l'incendie et l'explosion, auxquelles les bâtiments nouveaux doivent satisfaire] + annexes. </w:t>
      </w:r>
    </w:p>
    <w:p w14:paraId="41B83741" w14:textId="77777777" w:rsidR="00DB2B68" w:rsidRDefault="00000000">
      <w:pPr>
        <w:pStyle w:val="pheading"/>
      </w:pPr>
      <w:r>
        <w:t>AIDE</w:t>
      </w:r>
    </w:p>
    <w:p w14:paraId="532C9B4B" w14:textId="77777777" w:rsidR="00DB2B68" w:rsidRDefault="00000000">
      <w:pPr>
        <w:jc w:val="both"/>
      </w:pPr>
      <w:r>
        <w:t xml:space="preserve">En cas de doute important sur l’état des conduits et afin d’éviter tout supplément imprévu, il est conseillé de prévoir un(des) article(s) complémentaires aux </w:t>
      </w:r>
      <w:hyperlink w:anchor="224" w:history="1">
        <w:r>
          <w:rPr>
            <w:color w:val="0000EE"/>
          </w:rPr>
          <w:t>21.8 Superstructures en maçonnerie - Rénovation</w:t>
        </w:r>
      </w:hyperlink>
      <w:r>
        <w:t xml:space="preserve"> et suivants.</w:t>
      </w:r>
    </w:p>
    <w:p w14:paraId="714E6E8D" w14:textId="77777777" w:rsidR="00DB2B68" w:rsidRDefault="00000000">
      <w:pPr>
        <w:pStyle w:val="Author-eSectionHeading6Numberless"/>
      </w:pPr>
      <w:bookmarkStart w:id="2112" w:name="_Toc220497046"/>
      <w:r>
        <w:t>27.84.1a Tubage de cheminée existante CCTB 01.12</w:t>
      </w:r>
      <w:bookmarkEnd w:id="2112"/>
    </w:p>
    <w:p w14:paraId="68F3FD0C" w14:textId="77777777" w:rsidR="00DB2B68" w:rsidRDefault="00000000">
      <w:pPr>
        <w:pStyle w:val="pheading"/>
      </w:pPr>
      <w:r>
        <w:t>DESCRIPTION</w:t>
      </w:r>
    </w:p>
    <w:p w14:paraId="733FAFDD" w14:textId="77777777" w:rsidR="00DB2B68" w:rsidRDefault="00000000">
      <w:pPr>
        <w:pStyle w:val="pheading"/>
      </w:pPr>
      <w:r>
        <w:t>- Définition / Comprend</w:t>
      </w:r>
    </w:p>
    <w:p w14:paraId="6D4AB0D0" w14:textId="77777777" w:rsidR="00DB2B68" w:rsidRDefault="00000000">
      <w:pPr>
        <w:jc w:val="both"/>
      </w:pPr>
      <w:r>
        <w:t>Le travail comprend notamment :</w:t>
      </w:r>
    </w:p>
    <w:p w14:paraId="656DFB65" w14:textId="77777777" w:rsidR="00DB2B68" w:rsidRDefault="00000000">
      <w:pPr>
        <w:pStyle w:val="Author-eListParagraph"/>
        <w:numPr>
          <w:ilvl w:val="0"/>
          <w:numId w:val="1161"/>
        </w:numPr>
        <w:jc w:val="both"/>
      </w:pPr>
      <w:r>
        <w:t xml:space="preserve">L’adaptation des conduits existants : </w:t>
      </w:r>
    </w:p>
    <w:p w14:paraId="475237D2" w14:textId="77777777" w:rsidR="00DB2B68" w:rsidRDefault="00000000">
      <w:pPr>
        <w:pStyle w:val="Author-eListParagraph"/>
        <w:numPr>
          <w:ilvl w:val="1"/>
          <w:numId w:val="1162"/>
        </w:numPr>
        <w:jc w:val="both"/>
      </w:pPr>
      <w:r>
        <w:t xml:space="preserve">notamment selon </w:t>
      </w:r>
      <w:hyperlink w:anchor="695" w:history="1">
        <w:r>
          <w:rPr>
            <w:color w:val="0000EE"/>
          </w:rPr>
          <w:t>27.82 Dépose / démontage / percement / déconstruction-démolition</w:t>
        </w:r>
      </w:hyperlink>
      <w:r>
        <w:t xml:space="preserve"> et suivants</w:t>
      </w:r>
    </w:p>
    <w:p w14:paraId="38343CDF" w14:textId="77777777" w:rsidR="00DB2B68" w:rsidRDefault="00000000">
      <w:pPr>
        <w:pStyle w:val="Author-eListParagraph"/>
        <w:numPr>
          <w:ilvl w:val="1"/>
          <w:numId w:val="1162"/>
        </w:numPr>
        <w:jc w:val="both"/>
      </w:pPr>
      <w:r>
        <w:t>y compris la fourniture et la mise en œuvre des maçonneries nécessaires</w:t>
      </w:r>
    </w:p>
    <w:p w14:paraId="470FF8B9" w14:textId="77777777" w:rsidR="00DB2B68" w:rsidRDefault="00000000">
      <w:pPr>
        <w:pStyle w:val="Author-eListParagraph"/>
        <w:numPr>
          <w:ilvl w:val="0"/>
          <w:numId w:val="1161"/>
        </w:numPr>
        <w:jc w:val="both"/>
      </w:pPr>
      <w:r>
        <w:t>Les ragréages et réfections des maçonneries.</w:t>
      </w:r>
    </w:p>
    <w:p w14:paraId="4AC5B682" w14:textId="77777777" w:rsidR="00DB2B68" w:rsidRDefault="00000000">
      <w:pPr>
        <w:pStyle w:val="pheading"/>
      </w:pPr>
      <w:r>
        <w:t>EXÉCUTION / MISE EN ŒUVRE</w:t>
      </w:r>
    </w:p>
    <w:p w14:paraId="1DF7893F" w14:textId="77777777" w:rsidR="00DB2B68" w:rsidRDefault="00000000">
      <w:pPr>
        <w:pStyle w:val="pheading"/>
      </w:pPr>
      <w:r>
        <w:t>- Prescriptions générales</w:t>
      </w:r>
    </w:p>
    <w:p w14:paraId="3C58FE91" w14:textId="77777777" w:rsidR="00DB2B68" w:rsidRDefault="00000000">
      <w:pPr>
        <w:jc w:val="both"/>
      </w:pPr>
      <w:r>
        <w:rPr>
          <w:b/>
        </w:rPr>
        <w:t>Préparation des travaux et mesures de protection provisoires </w:t>
      </w:r>
    </w:p>
    <w:p w14:paraId="3D2AE1DC" w14:textId="77777777" w:rsidR="00DB2B68" w:rsidRDefault="00000000">
      <w:pPr>
        <w:jc w:val="both"/>
      </w:pPr>
      <w:r>
        <w:t xml:space="preserve">L’entrepreneur accorde une attention soutenue aux travaux préparatoires et met en œuvre des mesures de protections particulières : </w:t>
      </w:r>
      <w:r>
        <w:rPr>
          <w:rStyle w:val="optioncarChar"/>
        </w:rPr>
        <w:t>oui</w:t>
      </w:r>
      <w:r>
        <w:t xml:space="preserve"> (par défaut) </w:t>
      </w:r>
      <w:r>
        <w:rPr>
          <w:rStyle w:val="optioncarChar"/>
        </w:rPr>
        <w:t>/ non.</w:t>
      </w:r>
    </w:p>
    <w:p w14:paraId="31277EF4" w14:textId="77777777" w:rsidR="00DB2B68" w:rsidRDefault="00000000">
      <w:pPr>
        <w:jc w:val="both"/>
      </w:pPr>
      <w:r>
        <w:rPr>
          <w:b/>
        </w:rPr>
        <w:t>(soit par défaut)</w:t>
      </w:r>
    </w:p>
    <w:p w14:paraId="533E1BCC" w14:textId="77777777" w:rsidR="00DB2B68" w:rsidRDefault="00000000">
      <w:pPr>
        <w:jc w:val="both"/>
      </w:pPr>
      <w:r>
        <w:rPr>
          <w:rStyle w:val="soitChar"/>
          <w:u w:val="single"/>
        </w:rPr>
        <w:t>Oui :</w:t>
      </w:r>
    </w:p>
    <w:p w14:paraId="10BD540D" w14:textId="77777777" w:rsidR="00DB2B68" w:rsidRDefault="00000000">
      <w:pPr>
        <w:jc w:val="both"/>
      </w:pPr>
      <w:r>
        <w:rPr>
          <w:rStyle w:val="soitChar"/>
        </w:rPr>
        <w:t>Les mesures particulières sont adaptées aux circonstances suivantes :</w:t>
      </w:r>
    </w:p>
    <w:p w14:paraId="4A4E42A0" w14:textId="77777777" w:rsidR="00DB2B68" w:rsidRDefault="00000000">
      <w:pPr>
        <w:pStyle w:val="Author-eListParagraph"/>
        <w:numPr>
          <w:ilvl w:val="0"/>
          <w:numId w:val="1163"/>
        </w:numPr>
      </w:pPr>
      <w:r>
        <w:rPr>
          <w:rStyle w:val="soitChar"/>
        </w:rPr>
        <w:t>Les travaux sont réalisés en site occupé de mobiliers et/ou d’occupants : oui (par défaut) / non.</w:t>
      </w:r>
    </w:p>
    <w:p w14:paraId="375ECE0A" w14:textId="77777777" w:rsidR="00DB2B68" w:rsidRDefault="00000000">
      <w:pPr>
        <w:pStyle w:val="Author-eListParagraph"/>
        <w:numPr>
          <w:ilvl w:val="0"/>
          <w:numId w:val="1163"/>
        </w:numPr>
      </w:pPr>
      <w:r>
        <w:rPr>
          <w:rStyle w:val="soitChar"/>
        </w:rPr>
        <w:t xml:space="preserve">Des éléments intérieurs (plaques de plâtre, isolants, …) et/ou extérieurs (isolants, zones particulières, …) sont à protéger : </w:t>
      </w:r>
      <w:r>
        <w:rPr>
          <w:rStyle w:val="optioncarChar"/>
        </w:rPr>
        <w:t xml:space="preserve">oui </w:t>
      </w:r>
      <w:r>
        <w:t>(par défaut)</w:t>
      </w:r>
      <w:r>
        <w:rPr>
          <w:rStyle w:val="optioncarChar"/>
        </w:rPr>
        <w:t xml:space="preserve"> / non.</w:t>
      </w:r>
    </w:p>
    <w:p w14:paraId="4B132E46" w14:textId="77777777" w:rsidR="00DB2B68" w:rsidRDefault="00000000">
      <w:pPr>
        <w:jc w:val="both"/>
      </w:pPr>
      <w:r>
        <w:rPr>
          <w:rStyle w:val="soitChar"/>
        </w:rPr>
        <w:t xml:space="preserve">Avant le début du chantier et en accord avec le maître d'ouvrage et la personne assumant la CSS, des zones spécifiques sont définies pour les accès aux aires où se déroule les travaux, le stockage des matériaux, l’entrepose du matériel, l’emprise générale des installations provisoires, … : </w:t>
      </w:r>
      <w:r>
        <w:rPr>
          <w:rStyle w:val="optioncarChar"/>
        </w:rPr>
        <w:t xml:space="preserve">oui </w:t>
      </w:r>
      <w:r>
        <w:t xml:space="preserve">(par défaut) </w:t>
      </w:r>
      <w:r>
        <w:rPr>
          <w:rStyle w:val="optioncarChar"/>
        </w:rPr>
        <w:t>/ non.</w:t>
      </w:r>
    </w:p>
    <w:p w14:paraId="39E308B3" w14:textId="77777777" w:rsidR="00DB2B68" w:rsidRDefault="00000000">
      <w:pPr>
        <w:jc w:val="both"/>
      </w:pPr>
      <w:r>
        <w:rPr>
          <w:rStyle w:val="soitChar"/>
        </w:rPr>
        <w:t>La zone des travaux est nettoyée au minimum selon une fréquence :</w:t>
      </w:r>
      <w:r>
        <w:rPr>
          <w:rStyle w:val="optioncarChar"/>
        </w:rPr>
        <w:t xml:space="preserve"> journalière </w:t>
      </w:r>
      <w:r>
        <w:t>(par défaut)</w:t>
      </w:r>
      <w:r>
        <w:rPr>
          <w:rStyle w:val="optioncarChar"/>
        </w:rPr>
        <w:t xml:space="preserve"> / hebdomadaire / mensuelle / ***.</w:t>
      </w:r>
    </w:p>
    <w:p w14:paraId="55D189A0" w14:textId="77777777" w:rsidR="00DB2B68" w:rsidRDefault="00000000">
      <w:pPr>
        <w:jc w:val="both"/>
      </w:pPr>
      <w:r>
        <w:rPr>
          <w:rStyle w:val="soitChar"/>
        </w:rPr>
        <w:t>L'entrepreneur se conforme également aux 02.24 Chantier en sites occupés et autres éléments qui en découlent.</w:t>
      </w:r>
    </w:p>
    <w:p w14:paraId="6299ADB8" w14:textId="77777777" w:rsidR="00DB2B68" w:rsidRDefault="00000000">
      <w:pPr>
        <w:jc w:val="both"/>
      </w:pPr>
      <w:r>
        <w:rPr>
          <w:b/>
        </w:rPr>
        <w:t>(soit)</w:t>
      </w:r>
    </w:p>
    <w:p w14:paraId="3CAA4994" w14:textId="77777777" w:rsidR="00DB2B68" w:rsidRDefault="00000000">
      <w:pPr>
        <w:jc w:val="both"/>
      </w:pPr>
      <w:r>
        <w:rPr>
          <w:rStyle w:val="soitChar"/>
          <w:u w:val="single"/>
        </w:rPr>
        <w:t>Non :</w:t>
      </w:r>
    </w:p>
    <w:p w14:paraId="6BD59585" w14:textId="77777777" w:rsidR="00DB2B68" w:rsidRDefault="00000000">
      <w:pPr>
        <w:jc w:val="both"/>
      </w:pPr>
      <w:r>
        <w:rPr>
          <w:rStyle w:val="soitChar"/>
        </w:rPr>
        <w:t>Ces travaux ne nécessitent pas de mesure de protection particulière.</w:t>
      </w:r>
    </w:p>
    <w:p w14:paraId="7BD5F896" w14:textId="77777777" w:rsidR="00DB2B68" w:rsidRDefault="00000000">
      <w:pPr>
        <w:jc w:val="both"/>
      </w:pPr>
      <w:r>
        <w:t>Dans tous les cas, l'entrepreneur se conforme au 04.4 Mesures de protection et suivants.</w:t>
      </w:r>
    </w:p>
    <w:p w14:paraId="5AAE9AA3" w14:textId="77777777" w:rsidR="00DB2B68" w:rsidRDefault="00000000">
      <w:pPr>
        <w:jc w:val="both"/>
      </w:pPr>
      <w:r>
        <w:rPr>
          <w:b/>
        </w:rPr>
        <w:t>Divers / Mise en œuvre </w:t>
      </w:r>
    </w:p>
    <w:p w14:paraId="776F3AB3" w14:textId="77777777" w:rsidR="00DB2B68" w:rsidRDefault="00000000">
      <w:pPr>
        <w:jc w:val="both"/>
      </w:pPr>
      <w:r>
        <w:lastRenderedPageBreak/>
        <w:t>Préalablement à la réalisation des travaux, l’entrepreneur :</w:t>
      </w:r>
    </w:p>
    <w:p w14:paraId="012BDCEB" w14:textId="77777777" w:rsidR="00DB2B68" w:rsidRDefault="00000000">
      <w:pPr>
        <w:pStyle w:val="Author-eListParagraph"/>
        <w:numPr>
          <w:ilvl w:val="0"/>
          <w:numId w:val="1164"/>
        </w:numPr>
      </w:pPr>
      <w:r>
        <w:t>se renseigne sur les éléments à placer dans les conduits à adapter</w:t>
      </w:r>
    </w:p>
    <w:p w14:paraId="0AC6C877" w14:textId="77777777" w:rsidR="00DB2B68" w:rsidRDefault="00000000">
      <w:pPr>
        <w:pStyle w:val="Author-eListParagraph"/>
        <w:numPr>
          <w:ilvl w:val="0"/>
          <w:numId w:val="1164"/>
        </w:numPr>
      </w:pPr>
      <w:r>
        <w:t>repère et inspecte ces conduits</w:t>
      </w:r>
    </w:p>
    <w:p w14:paraId="07052D57" w14:textId="77777777" w:rsidR="00DB2B68" w:rsidRDefault="00000000">
      <w:pPr>
        <w:pStyle w:val="Author-eListParagraph"/>
        <w:numPr>
          <w:ilvl w:val="0"/>
          <w:numId w:val="1164"/>
        </w:numPr>
      </w:pPr>
      <w:r>
        <w:rPr>
          <w:rStyle w:val="optioncarChar"/>
        </w:rPr>
        <w:t>***</w:t>
      </w:r>
    </w:p>
    <w:p w14:paraId="6CA912BF" w14:textId="77777777" w:rsidR="00DB2B68" w:rsidRDefault="00000000">
      <w:pPr>
        <w:jc w:val="both"/>
      </w:pPr>
      <w:r>
        <w:t xml:space="preserve">Sauf remarque particulière, l’entrepreneur : </w:t>
      </w:r>
      <w:r>
        <w:rPr>
          <w:rStyle w:val="optioncarChar"/>
        </w:rPr>
        <w:t xml:space="preserve">limite autant que possible les démolitions et adaptations </w:t>
      </w:r>
      <w:r>
        <w:t xml:space="preserve">(par défaut) </w:t>
      </w:r>
      <w:r>
        <w:rPr>
          <w:rStyle w:val="optioncarChar"/>
        </w:rPr>
        <w:t>/ ouvre et adapte les conduits sur toute la longueur du tubage à réaliser / ouvre et adapte les conduits selon les indications aux plans et métré / ***</w:t>
      </w:r>
    </w:p>
    <w:p w14:paraId="2D410B0F" w14:textId="77777777" w:rsidR="00DB2B68" w:rsidRDefault="00000000">
      <w:r>
        <w:t>Les nouvelles maçonneries destinées à refermer les percements et/ou saignées sont réalisées dans l’alignement des maçonneries existantes, sans excroissance.</w:t>
      </w:r>
      <w:r>
        <w:br/>
        <w:t xml:space="preserve"> Elles ne gênent en rien la réalisation des finitions des parois concernées.</w:t>
      </w:r>
    </w:p>
    <w:p w14:paraId="3351FC44" w14:textId="77777777" w:rsidR="00DB2B68" w:rsidRDefault="00000000">
      <w:r>
        <w:t>Le travail comprend :</w:t>
      </w:r>
    </w:p>
    <w:p w14:paraId="6B4790EC" w14:textId="77777777" w:rsidR="00DB2B68" w:rsidRDefault="00000000">
      <w:pPr>
        <w:pStyle w:val="Author-eListParagraph"/>
        <w:numPr>
          <w:ilvl w:val="0"/>
          <w:numId w:val="1165"/>
        </w:numPr>
      </w:pPr>
      <w:r>
        <w:t xml:space="preserve">la réalisation des percements nécessaires aux raccordements des appareils, aux trappes de visite, </w:t>
      </w:r>
      <w:r>
        <w:rPr>
          <w:rStyle w:val="optioncarChar"/>
        </w:rPr>
        <w:t xml:space="preserve">… : oui </w:t>
      </w:r>
      <w:r>
        <w:t>(par défaut)</w:t>
      </w:r>
      <w:r>
        <w:rPr>
          <w:rStyle w:val="optioncarChar"/>
        </w:rPr>
        <w:t xml:space="preserve"> / non</w:t>
      </w:r>
    </w:p>
    <w:p w14:paraId="338F8DDE" w14:textId="77777777" w:rsidR="00DB2B68" w:rsidRDefault="00000000">
      <w:pPr>
        <w:pStyle w:val="Author-eListParagraph"/>
        <w:numPr>
          <w:ilvl w:val="0"/>
          <w:numId w:val="1165"/>
        </w:numPr>
      </w:pPr>
      <w:r>
        <w:rPr>
          <w:rStyle w:val="optioncarChar"/>
        </w:rPr>
        <w:t>***</w:t>
      </w:r>
    </w:p>
    <w:p w14:paraId="2542594A" w14:textId="77777777" w:rsidR="00DB2B68" w:rsidRDefault="00000000">
      <w:pPr>
        <w:pStyle w:val="pheading"/>
      </w:pPr>
      <w:r>
        <w:t>MESURAGE</w:t>
      </w:r>
    </w:p>
    <w:p w14:paraId="7D6824FA" w14:textId="77777777" w:rsidR="00DB2B68" w:rsidRDefault="00000000">
      <w:pPr>
        <w:pStyle w:val="pheading"/>
      </w:pPr>
      <w:r>
        <w:t>- unité de mesure:</w:t>
      </w:r>
    </w:p>
    <w:p w14:paraId="1F5F7466" w14:textId="77777777" w:rsidR="00DB2B68" w:rsidRDefault="00000000">
      <w:r>
        <w:rPr>
          <w:rStyle w:val="optioncarChar"/>
        </w:rPr>
        <w:t>m</w:t>
      </w:r>
      <w:r>
        <w:t xml:space="preserve"> (par défaut)</w:t>
      </w:r>
      <w:r>
        <w:rPr>
          <w:rStyle w:val="optioncarChar"/>
        </w:rPr>
        <w:t xml:space="preserve"> / fft / -</w:t>
      </w:r>
    </w:p>
    <w:p w14:paraId="2C011DFC" w14:textId="77777777" w:rsidR="00DB2B68" w:rsidRDefault="00000000">
      <w:r>
        <w:rPr>
          <w:b/>
        </w:rPr>
        <w:t>(soit par défaut)</w:t>
      </w:r>
      <w:r>
        <w:br/>
      </w:r>
      <w:r>
        <w:rPr>
          <w:rStyle w:val="soitChar"/>
        </w:rPr>
        <w:t>1. 2. m</w:t>
      </w:r>
      <w:r>
        <w:br/>
      </w:r>
      <w:r>
        <w:rPr>
          <w:b/>
        </w:rPr>
        <w:t>(soit)</w:t>
      </w:r>
      <w:r>
        <w:br/>
      </w:r>
      <w:r>
        <w:rPr>
          <w:rStyle w:val="soitChar"/>
        </w:rPr>
        <w:t>3. fft</w:t>
      </w:r>
      <w:r>
        <w:br/>
      </w:r>
      <w:r>
        <w:rPr>
          <w:b/>
        </w:rPr>
        <w:t>(soit)</w:t>
      </w:r>
      <w:r>
        <w:br/>
      </w:r>
      <w:r>
        <w:rPr>
          <w:rStyle w:val="soitChar"/>
        </w:rPr>
        <w:t>4. -</w:t>
      </w:r>
    </w:p>
    <w:p w14:paraId="41E8177A" w14:textId="77777777" w:rsidR="00DB2B68" w:rsidRDefault="00000000">
      <w:pPr>
        <w:pStyle w:val="pheading"/>
      </w:pPr>
      <w:r>
        <w:t>- code de mesurage:</w:t>
      </w:r>
    </w:p>
    <w:p w14:paraId="7FD96F5E" w14:textId="77777777" w:rsidR="00DB2B68" w:rsidRDefault="00000000">
      <w:pPr>
        <w:jc w:val="both"/>
      </w:pPr>
      <w:r>
        <w:rPr>
          <w:rStyle w:val="optioncarChar"/>
        </w:rPr>
        <w:t xml:space="preserve">Longueur nette </w:t>
      </w:r>
      <w:r>
        <w:t>(par défaut)</w:t>
      </w:r>
      <w:r>
        <w:rPr>
          <w:rStyle w:val="optioncarChar"/>
        </w:rPr>
        <w:t xml:space="preserve"> / Pour l'ensemble des prestations à réaliser / Compris</w:t>
      </w:r>
    </w:p>
    <w:p w14:paraId="5392775D" w14:textId="77777777" w:rsidR="00DB2B68" w:rsidRDefault="00000000">
      <w:pPr>
        <w:jc w:val="both"/>
      </w:pPr>
      <w:r>
        <w:rPr>
          <w:b/>
        </w:rPr>
        <w:t>(soit par défaut)</w:t>
      </w:r>
    </w:p>
    <w:p w14:paraId="34F9FB56" w14:textId="77777777" w:rsidR="00DB2B68" w:rsidRDefault="00000000">
      <w:pPr>
        <w:jc w:val="both"/>
      </w:pPr>
      <w:r>
        <w:rPr>
          <w:rStyle w:val="soitChar"/>
        </w:rPr>
        <w:t xml:space="preserve">1. </w:t>
      </w:r>
      <w:r>
        <w:rPr>
          <w:rStyle w:val="soitChar"/>
          <w:u w:val="single"/>
        </w:rPr>
        <w:t>Longueur nette :</w:t>
      </w:r>
    </w:p>
    <w:p w14:paraId="752BCFD5" w14:textId="77777777" w:rsidR="00DB2B68" w:rsidRDefault="00000000">
      <w:pPr>
        <w:jc w:val="both"/>
      </w:pPr>
      <w:r>
        <w:rPr>
          <w:rStyle w:val="soitChar"/>
        </w:rPr>
        <w:t>Mesurée dans l’axe du conduit</w:t>
      </w:r>
    </w:p>
    <w:p w14:paraId="2CD1040F" w14:textId="77777777" w:rsidR="00DB2B68" w:rsidRDefault="00000000">
      <w:pPr>
        <w:jc w:val="both"/>
      </w:pPr>
      <w:r>
        <w:rPr>
          <w:rStyle w:val="soitChar"/>
        </w:rPr>
        <w:t>Eventuellement scindée dans différents postes selon le type de conduit, de maçonnerie, la localisation, …</w:t>
      </w:r>
    </w:p>
    <w:p w14:paraId="699579A8" w14:textId="77777777" w:rsidR="00DB2B68" w:rsidRDefault="00000000">
      <w:pPr>
        <w:jc w:val="both"/>
      </w:pPr>
      <w:r>
        <w:rPr>
          <w:b/>
        </w:rPr>
        <w:t>(soit)</w:t>
      </w:r>
    </w:p>
    <w:p w14:paraId="26690371" w14:textId="77777777" w:rsidR="00DB2B68" w:rsidRDefault="00000000">
      <w:pPr>
        <w:jc w:val="both"/>
      </w:pPr>
      <w:r>
        <w:rPr>
          <w:rStyle w:val="soitChar"/>
        </w:rPr>
        <w:t xml:space="preserve">2. </w:t>
      </w:r>
      <w:r>
        <w:rPr>
          <w:rStyle w:val="soitChar"/>
          <w:u w:val="single"/>
        </w:rPr>
        <w:t>Pour l’ensemble des prestations à réaliser :</w:t>
      </w:r>
    </w:p>
    <w:p w14:paraId="25B5BEA0" w14:textId="77777777" w:rsidR="00DB2B68" w:rsidRDefault="00000000">
      <w:pPr>
        <w:jc w:val="both"/>
      </w:pPr>
      <w:r>
        <w:rPr>
          <w:rStyle w:val="soitChar"/>
        </w:rPr>
        <w:t>Le prix unitaire comprend toutes les prestations nécessaires pour l’exécution de l’ensemble.</w:t>
      </w:r>
    </w:p>
    <w:p w14:paraId="485EB8EC" w14:textId="77777777" w:rsidR="00DB2B68" w:rsidRDefault="00000000">
      <w:pPr>
        <w:jc w:val="both"/>
      </w:pPr>
      <w:r>
        <w:rPr>
          <w:rStyle w:val="soitChar"/>
        </w:rPr>
        <w:t>Eventuellement scindée dans différents postes selon le type de conduit, de maçonnerie, la localisation, …</w:t>
      </w:r>
    </w:p>
    <w:p w14:paraId="74E9036F" w14:textId="77777777" w:rsidR="00DB2B68" w:rsidRDefault="00000000">
      <w:pPr>
        <w:jc w:val="both"/>
      </w:pPr>
      <w:r>
        <w:rPr>
          <w:b/>
        </w:rPr>
        <w:t>(soit)</w:t>
      </w:r>
    </w:p>
    <w:p w14:paraId="2A35A107" w14:textId="77777777" w:rsidR="00DB2B68" w:rsidRDefault="00000000">
      <w:pPr>
        <w:jc w:val="both"/>
      </w:pPr>
      <w:r>
        <w:rPr>
          <w:rStyle w:val="soitChar"/>
        </w:rPr>
        <w:t xml:space="preserve">3. </w:t>
      </w:r>
      <w:r>
        <w:rPr>
          <w:rStyle w:val="soitChar"/>
          <w:u w:val="single"/>
        </w:rPr>
        <w:t>Compris :</w:t>
      </w:r>
    </w:p>
    <w:p w14:paraId="666F4C01" w14:textId="77777777" w:rsidR="00DB2B68" w:rsidRDefault="00000000">
      <w:pPr>
        <w:jc w:val="both"/>
      </w:pPr>
      <w:r>
        <w:rPr>
          <w:rStyle w:val="soitChar"/>
        </w:rPr>
        <w:t xml:space="preserve">Tous les frais liés à ces prestations sont </w:t>
      </w:r>
      <w:r>
        <w:rPr>
          <w:rStyle w:val="optioncarChar"/>
        </w:rPr>
        <w:t xml:space="preserve">compris et répartis dans la totalité de l'entreprise </w:t>
      </w:r>
      <w:r>
        <w:t>(par défaut)</w:t>
      </w:r>
      <w:r>
        <w:rPr>
          <w:rStyle w:val="optioncarChar"/>
        </w:rPr>
        <w:t xml:space="preserve"> / compris dans le prix de(s) l’article(s) ***</w:t>
      </w:r>
      <w:r>
        <w:rPr>
          <w:rStyle w:val="soitChar"/>
        </w:rPr>
        <w:t>.</w:t>
      </w:r>
    </w:p>
    <w:p w14:paraId="56C3A09F" w14:textId="77777777" w:rsidR="00DB2B68" w:rsidRDefault="00000000">
      <w:pPr>
        <w:pStyle w:val="pheading"/>
      </w:pPr>
      <w:r>
        <w:t>- nature du marché:</w:t>
      </w:r>
    </w:p>
    <w:p w14:paraId="29F5E0EF" w14:textId="77777777" w:rsidR="00DB2B68" w:rsidRDefault="00000000">
      <w:r>
        <w:rPr>
          <w:rStyle w:val="optioncarChar"/>
        </w:rPr>
        <w:t>QF</w:t>
      </w:r>
      <w:r>
        <w:t xml:space="preserve"> (par défaut)</w:t>
      </w:r>
      <w:r>
        <w:rPr>
          <w:rStyle w:val="optioncarChar"/>
        </w:rPr>
        <w:t xml:space="preserve"> / QP / PG / PM</w:t>
      </w:r>
    </w:p>
    <w:p w14:paraId="58C2FD40" w14:textId="77777777" w:rsidR="00DB2B68" w:rsidRDefault="00000000">
      <w:r>
        <w:rPr>
          <w:b/>
        </w:rPr>
        <w:t>(soit par défaut)</w:t>
      </w:r>
      <w:r>
        <w:br/>
      </w:r>
      <w:r>
        <w:rPr>
          <w:rStyle w:val="soitChar"/>
        </w:rPr>
        <w:t>1. QF</w:t>
      </w:r>
      <w:r>
        <w:br/>
      </w:r>
      <w:r>
        <w:rPr>
          <w:b/>
        </w:rPr>
        <w:t>(soit)</w:t>
      </w:r>
      <w:r>
        <w:br/>
      </w:r>
      <w:r>
        <w:rPr>
          <w:rStyle w:val="soitChar"/>
        </w:rPr>
        <w:lastRenderedPageBreak/>
        <w:t>2. QP</w:t>
      </w:r>
      <w:r>
        <w:br/>
      </w:r>
      <w:r>
        <w:rPr>
          <w:b/>
        </w:rPr>
        <w:t>(soit)</w:t>
      </w:r>
      <w:r>
        <w:br/>
      </w:r>
      <w:r>
        <w:rPr>
          <w:rStyle w:val="soitChar"/>
        </w:rPr>
        <w:t>3. PG</w:t>
      </w:r>
      <w:r>
        <w:br/>
      </w:r>
      <w:r>
        <w:rPr>
          <w:b/>
        </w:rPr>
        <w:t>(soit)</w:t>
      </w:r>
      <w:r>
        <w:br/>
      </w:r>
      <w:r>
        <w:rPr>
          <w:rStyle w:val="soitChar"/>
        </w:rPr>
        <w:t>4. PM</w:t>
      </w:r>
    </w:p>
    <w:p w14:paraId="4B7A6494" w14:textId="77777777" w:rsidR="00DB2B68" w:rsidRDefault="00000000">
      <w:pPr>
        <w:pStyle w:val="Author-eSectionHeading5Numberless"/>
      </w:pPr>
      <w:bookmarkStart w:id="2113" w:name="_Toc220497047"/>
      <w:r>
        <w:t>27.84.2 Obturation / condamnation de cheminée existantes CCTB 01.04</w:t>
      </w:r>
      <w:bookmarkEnd w:id="2113"/>
    </w:p>
    <w:p w14:paraId="317163EC" w14:textId="77777777" w:rsidR="00DB2B68" w:rsidRDefault="00000000">
      <w:pPr>
        <w:pStyle w:val="Author-eSectionHeading6Numberless"/>
      </w:pPr>
      <w:bookmarkStart w:id="2114" w:name="_Toc220497048"/>
      <w:r>
        <w:t>27.84.2a Obturation / condamnation de cheminée existantes CCTB 01.04</w:t>
      </w:r>
      <w:bookmarkEnd w:id="2114"/>
    </w:p>
    <w:p w14:paraId="66132CA0" w14:textId="77777777" w:rsidR="00DB2B68" w:rsidRDefault="00000000">
      <w:pPr>
        <w:pStyle w:val="Author-eSectionHeading4Numberless"/>
      </w:pPr>
      <w:bookmarkStart w:id="2115" w:name="_Toc220497049"/>
      <w:r>
        <w:t>27.85 Nettoyage et préparation de surface CCTB 01.04</w:t>
      </w:r>
      <w:bookmarkEnd w:id="2115"/>
    </w:p>
    <w:p w14:paraId="08A3D271" w14:textId="77777777" w:rsidR="00DB2B68" w:rsidRDefault="00000000">
      <w:pPr>
        <w:pStyle w:val="Author-eSectionHeading4Numberless"/>
      </w:pPr>
      <w:bookmarkStart w:id="2116" w:name="_Toc220497050"/>
      <w:r>
        <w:t>27.86 Traitement et protection CCTB 01.04</w:t>
      </w:r>
      <w:bookmarkEnd w:id="2116"/>
    </w:p>
    <w:p w14:paraId="0FCCE423" w14:textId="77777777" w:rsidR="00DB2B68" w:rsidRDefault="00000000">
      <w:pPr>
        <w:pStyle w:val="pheading"/>
      </w:pPr>
      <w:r>
        <w:t>DESCRIPTION</w:t>
      </w:r>
    </w:p>
    <w:p w14:paraId="4258D733" w14:textId="77777777" w:rsidR="00DB2B68" w:rsidRDefault="00000000">
      <w:pPr>
        <w:pStyle w:val="pheading"/>
      </w:pPr>
      <w:r>
        <w:t>- Définition / Comprend</w:t>
      </w:r>
    </w:p>
    <w:p w14:paraId="65449A1D" w14:textId="77777777" w:rsidR="00DB2B68" w:rsidRDefault="00000000">
      <w:r>
        <w:t>Renvoi à 8 T8 Travaux de peinture / Traitements de surface</w:t>
      </w:r>
    </w:p>
    <w:p w14:paraId="13D93B88" w14:textId="77777777" w:rsidR="00DB2B68" w:rsidRDefault="00000000">
      <w:pPr>
        <w:pStyle w:val="Author-eSectionHeading2Numberless"/>
      </w:pPr>
      <w:bookmarkStart w:id="2117" w:name="_Toc220497051"/>
      <w:r>
        <w:t>28 Revêtements de façade en panneaux CCTB 01.11</w:t>
      </w:r>
      <w:bookmarkEnd w:id="2117"/>
    </w:p>
    <w:p w14:paraId="0FCD8097" w14:textId="77777777" w:rsidR="00DB2B68" w:rsidRDefault="00000000">
      <w:pPr>
        <w:pStyle w:val="pheading"/>
      </w:pPr>
      <w:r>
        <w:t>DESCRIPTION</w:t>
      </w:r>
    </w:p>
    <w:p w14:paraId="59CACC76" w14:textId="77777777" w:rsidR="00DB2B68" w:rsidRDefault="00000000">
      <w:pPr>
        <w:pStyle w:val="pheading"/>
      </w:pPr>
      <w:r>
        <w:t>- Définition / Comprend</w:t>
      </w:r>
    </w:p>
    <w:p w14:paraId="5412C021" w14:textId="77777777" w:rsidR="00DB2B68" w:rsidRDefault="00000000">
      <w:pPr>
        <w:jc w:val="both"/>
      </w:pPr>
      <w:r>
        <w:t>Il s'agit de tous les travaux et fournitures pour la réalisation des revêtements de façade en panneaux de pierre ou de béton préfabriqué.</w:t>
      </w:r>
    </w:p>
    <w:p w14:paraId="6E619617" w14:textId="77777777" w:rsidR="00DB2B68" w:rsidRDefault="00000000">
      <w:pPr>
        <w:jc w:val="both"/>
      </w:pPr>
      <w:r>
        <w:t>Les travaux comprennent notamment :</w:t>
      </w:r>
    </w:p>
    <w:p w14:paraId="30C7E3F9" w14:textId="77777777" w:rsidR="00DB2B68" w:rsidRDefault="00000000">
      <w:pPr>
        <w:pStyle w:val="Author-eListParagraph"/>
        <w:numPr>
          <w:ilvl w:val="0"/>
          <w:numId w:val="1166"/>
        </w:numPr>
        <w:jc w:val="both"/>
      </w:pPr>
      <w:r>
        <w:t>la mise en place et l'enlèvement des échafaudages, des bâches et des ouvrages de protection nécessaires aux travaux ;</w:t>
      </w:r>
    </w:p>
    <w:p w14:paraId="7F81856B" w14:textId="77777777" w:rsidR="00DB2B68" w:rsidRDefault="00000000">
      <w:pPr>
        <w:pStyle w:val="Author-eListParagraph"/>
        <w:numPr>
          <w:ilvl w:val="0"/>
          <w:numId w:val="1166"/>
        </w:numPr>
        <w:jc w:val="both"/>
      </w:pPr>
      <w:r>
        <w:t>l'inspection et la préparation du support ou de la construction portante ;</w:t>
      </w:r>
    </w:p>
    <w:p w14:paraId="26E86264" w14:textId="77777777" w:rsidR="00DB2B68" w:rsidRDefault="00000000">
      <w:pPr>
        <w:pStyle w:val="Author-eListParagraph"/>
        <w:numPr>
          <w:ilvl w:val="0"/>
          <w:numId w:val="1166"/>
        </w:numPr>
        <w:jc w:val="both"/>
      </w:pPr>
      <w:r>
        <w:t>la vérification et le relevé des dimensions exactes pendant ou après l'exécution du gros œuvre, afin de comparer les dessins de détail et/ou les coupes de profil avec les travaux déjà effectués ;</w:t>
      </w:r>
    </w:p>
    <w:p w14:paraId="3C136E5F" w14:textId="77777777" w:rsidR="00DB2B68" w:rsidRDefault="00000000">
      <w:pPr>
        <w:pStyle w:val="Author-eListParagraph"/>
        <w:numPr>
          <w:ilvl w:val="0"/>
          <w:numId w:val="1166"/>
        </w:numPr>
        <w:jc w:val="both"/>
      </w:pPr>
      <w:r>
        <w:t>la préparation, les dessins d'atelier et la préfabrication de tous les éléments de façade prévus ;</w:t>
      </w:r>
    </w:p>
    <w:p w14:paraId="507DF665" w14:textId="77777777" w:rsidR="00DB2B68" w:rsidRDefault="00000000">
      <w:pPr>
        <w:pStyle w:val="Author-eListParagraph"/>
        <w:numPr>
          <w:ilvl w:val="0"/>
          <w:numId w:val="1166"/>
        </w:numPr>
        <w:jc w:val="both"/>
      </w:pPr>
      <w:r>
        <w:t>les éléments de fixation aux autres éléments de construction (pattes et rails d'ancrage, goujons, etc…) ;</w:t>
      </w:r>
    </w:p>
    <w:p w14:paraId="0B627043" w14:textId="77777777" w:rsidR="00DB2B68" w:rsidRDefault="00000000">
      <w:pPr>
        <w:pStyle w:val="Author-eListParagraph"/>
        <w:numPr>
          <w:ilvl w:val="0"/>
          <w:numId w:val="1166"/>
        </w:numPr>
        <w:jc w:val="both"/>
      </w:pPr>
      <w:r>
        <w:t>la fixation et le scellement des éléments de façade, y compris les mortiers de pose, les éléments d'ancrage, l'isolation contre l'humidité, les joints de dilatation, le rejointoiement, les mastics, etc… ;</w:t>
      </w:r>
    </w:p>
    <w:p w14:paraId="5A797F93" w14:textId="77777777" w:rsidR="00DB2B68" w:rsidRDefault="00000000">
      <w:pPr>
        <w:pStyle w:val="Author-eListParagraph"/>
        <w:numPr>
          <w:ilvl w:val="0"/>
          <w:numId w:val="1166"/>
        </w:numPr>
        <w:jc w:val="both"/>
      </w:pPr>
      <w:r>
        <w:t>les mesures de protection, les traitements à posteriori ;</w:t>
      </w:r>
    </w:p>
    <w:p w14:paraId="021FFDF4" w14:textId="77777777" w:rsidR="00DB2B68" w:rsidRDefault="00000000">
      <w:pPr>
        <w:pStyle w:val="Author-eListParagraph"/>
        <w:numPr>
          <w:ilvl w:val="0"/>
          <w:numId w:val="1166"/>
        </w:numPr>
        <w:jc w:val="both"/>
      </w:pPr>
      <w:r>
        <w:t>le déblaiement et le nettoyage du chantier.</w:t>
      </w:r>
    </w:p>
    <w:p w14:paraId="205E1B10" w14:textId="77777777" w:rsidR="00DB2B68" w:rsidRDefault="00000000">
      <w:pPr>
        <w:pStyle w:val="pheading"/>
      </w:pPr>
      <w:r>
        <w:t>EXÉCUTION / MISE EN ŒUVRE</w:t>
      </w:r>
    </w:p>
    <w:p w14:paraId="5540E8BD" w14:textId="77777777" w:rsidR="00DB2B68" w:rsidRDefault="00000000">
      <w:pPr>
        <w:jc w:val="both"/>
      </w:pPr>
      <w:r>
        <w:rPr>
          <w:b/>
        </w:rPr>
        <w:t>Transport – livraison</w:t>
      </w:r>
    </w:p>
    <w:p w14:paraId="362D86C8" w14:textId="77777777" w:rsidR="00DB2B68" w:rsidRDefault="00000000">
      <w:pPr>
        <w:jc w:val="both"/>
      </w:pPr>
      <w:r>
        <w:t xml:space="preserve"> Pendant le transport, les éléments sont recouverts d'une bâche. Les éléments sont déchargés avec soin en utilisant le matériel prescrit par le fabricant. Ceux-ci sont stockés de telle sorte que tout contact avec le sol est évité. L’entrepreneur protège les éléments contre la salissure et les dégradations. Ils sont séparés par des intercalaires qui n’endommagent ni ne salissent les surfaces. Pendant leur séjour sur chantier, ils sont entreposés sur des supports choisis en se basant sur les prescriptions du fabricant, à l'abri des influences atmosphériques, dans un endroit bien ventilé ou sous une bâche de protection. L'entrepreneur ajoute les protections carton entre pierres pour éviter les épaufrures. </w:t>
      </w:r>
    </w:p>
    <w:p w14:paraId="0B98849F" w14:textId="77777777" w:rsidR="00DB2B68" w:rsidRDefault="00000000">
      <w:pPr>
        <w:jc w:val="both"/>
      </w:pPr>
      <w:r>
        <w:rPr>
          <w:b/>
        </w:rPr>
        <w:t>Conception</w:t>
      </w:r>
    </w:p>
    <w:p w14:paraId="752472B1" w14:textId="77777777" w:rsidR="00DB2B68" w:rsidRDefault="00000000">
      <w:pPr>
        <w:jc w:val="both"/>
      </w:pPr>
      <w:r>
        <w:lastRenderedPageBreak/>
        <w:t xml:space="preserve">Sur base des plans annexés aux documents du marché, l'entrepreneur établit préalablement les plans d'exécution indiquant la modulation exacte des panneaux et une documentation reprenant les caractéristiques des systèmes d'ancrage. Le nombre et le dimensionnement de ces ancrages est établi sur base d’une étude de stabilité à charge </w:t>
      </w:r>
      <w:r>
        <w:rPr>
          <w:rStyle w:val="optioncarChar"/>
        </w:rPr>
        <w:t>de l’entrepreneur / du fabricant</w:t>
      </w:r>
      <w:r>
        <w:t xml:space="preserve"> et à soumettre pour approbation à la direction du chantier. Lors de cette étude, il détermine également le système d’ancrage en fonction du type de construction portante et en tenant compte des sollicitations auxquelles ils sont soumis.</w:t>
      </w:r>
    </w:p>
    <w:p w14:paraId="1250F394" w14:textId="77777777" w:rsidR="00DB2B68" w:rsidRDefault="00000000">
      <w:pPr>
        <w:pStyle w:val="pheading"/>
      </w:pPr>
      <w:r>
        <w:t>CONTRÔLES</w:t>
      </w:r>
    </w:p>
    <w:p w14:paraId="469D313C" w14:textId="77777777" w:rsidR="00DB2B68" w:rsidRDefault="00000000">
      <w:pPr>
        <w:jc w:val="both"/>
      </w:pPr>
      <w:r>
        <w:t>Les panneaux de façade répondent aux chocs selon le guide de [EOTA TR001] et de la [NIT 146]. L’énergie d’impact est choisie en fonction du risque. Les fixations reprennent les charges verticales et horizontales. Un coefficient de sécurité ≥ 3 est utilisé afin de considérer les charges cycliques et les charges permanentes.</w:t>
      </w:r>
    </w:p>
    <w:p w14:paraId="177694AE" w14:textId="77777777" w:rsidR="00DB2B68" w:rsidRDefault="00000000">
      <w:pPr>
        <w:pStyle w:val="Author-eSectionHeading3Numberless"/>
      </w:pPr>
      <w:bookmarkStart w:id="2118" w:name="_Toc220497052"/>
      <w:r>
        <w:t>28.1 Revêtements de façade en panneaux de pierre CCTB 01.04</w:t>
      </w:r>
      <w:bookmarkEnd w:id="2118"/>
    </w:p>
    <w:p w14:paraId="3B328E6F" w14:textId="77777777" w:rsidR="00DB2B68" w:rsidRDefault="00000000">
      <w:pPr>
        <w:pStyle w:val="pheading"/>
      </w:pPr>
      <w:r>
        <w:t>DOCUMENTS DE RÉFÉRENCE</w:t>
      </w:r>
    </w:p>
    <w:p w14:paraId="1D8F0D25" w14:textId="77777777" w:rsidR="00DB2B68" w:rsidRDefault="00000000">
      <w:pPr>
        <w:pStyle w:val="pheading"/>
      </w:pPr>
      <w:r>
        <w:t>- Exécution</w:t>
      </w:r>
    </w:p>
    <w:p w14:paraId="13F80F99" w14:textId="77777777" w:rsidR="00DB2B68" w:rsidRDefault="00000000">
      <w:r>
        <w:t>[NIT 146, Les revêtements extérieurs verticaux en matériaux pierreux naturels de mince épaisseur (partiellement remplacée par la NIT n°228 en ce qui concerne les méthodes d'essais et les critères de résistance au gel).]</w:t>
      </w:r>
    </w:p>
    <w:p w14:paraId="2E7B1B2D" w14:textId="77777777" w:rsidR="00DB2B68" w:rsidRDefault="00000000">
      <w:r>
        <w:t>[NIT 228, Pierres naturelles (NIT interactive et évolutive en remplacement de la NIT 205).]</w:t>
      </w:r>
    </w:p>
    <w:p w14:paraId="43CE68D6" w14:textId="77777777" w:rsidR="00DB2B68" w:rsidRDefault="00000000">
      <w:r>
        <w:t>[NIT 220, La pierre bleue de Belgique dite petit granit d'âge géologique tournaisien (remplace la NIT 156).] </w:t>
      </w:r>
    </w:p>
    <w:p w14:paraId="6098AB43" w14:textId="77777777" w:rsidR="00DB2B68" w:rsidRDefault="00000000">
      <w:pPr>
        <w:pStyle w:val="Author-eSectionHeading4Numberless"/>
      </w:pPr>
      <w:bookmarkStart w:id="2119" w:name="_Toc220497053"/>
      <w:r>
        <w:t>28.11 Revêtements de façade en panneaux de pierre CCTB 01.04</w:t>
      </w:r>
      <w:bookmarkEnd w:id="2119"/>
    </w:p>
    <w:p w14:paraId="5BEF1B28" w14:textId="77777777" w:rsidR="00DB2B68" w:rsidRDefault="00000000">
      <w:pPr>
        <w:pStyle w:val="Author-eSectionHeading5Numberless"/>
      </w:pPr>
      <w:bookmarkStart w:id="2120" w:name="_Toc220497054"/>
      <w:r>
        <w:t>28.11.1 Revêtements de façade en panneaux de pierre CCTB 01.12</w:t>
      </w:r>
      <w:bookmarkEnd w:id="2120"/>
    </w:p>
    <w:p w14:paraId="7EF1A3FF" w14:textId="77777777" w:rsidR="00DB2B68" w:rsidRDefault="00000000">
      <w:pPr>
        <w:pStyle w:val="pheading"/>
      </w:pPr>
      <w:r>
        <w:t>DESCRIPTION</w:t>
      </w:r>
    </w:p>
    <w:p w14:paraId="172D5F02" w14:textId="77777777" w:rsidR="00DB2B68" w:rsidRDefault="00000000">
      <w:pPr>
        <w:pStyle w:val="pheading"/>
      </w:pPr>
      <w:r>
        <w:t>- Définition / Comprend</w:t>
      </w:r>
    </w:p>
    <w:p w14:paraId="42A27C75" w14:textId="77777777" w:rsidR="00DB2B68" w:rsidRDefault="00000000">
      <w:pPr>
        <w:jc w:val="both"/>
      </w:pPr>
      <w:r>
        <w:t>Il s'agit de tous les travaux et fournitures pour la réalisation des revêtements de façade en panneaux de pierre naturelle.</w:t>
      </w:r>
    </w:p>
    <w:p w14:paraId="6E8D7F33" w14:textId="77777777" w:rsidR="00DB2B68" w:rsidRDefault="00000000">
      <w:pPr>
        <w:pStyle w:val="pheading"/>
      </w:pPr>
      <w:r>
        <w:t>MATÉRIAUX</w:t>
      </w:r>
    </w:p>
    <w:p w14:paraId="4555BA8B" w14:textId="77777777" w:rsidR="00DB2B68" w:rsidRDefault="00000000">
      <w:pPr>
        <w:jc w:val="both"/>
      </w:pPr>
      <w:r>
        <w:rPr>
          <w:b/>
        </w:rPr>
        <w:t>Caractéristiques</w:t>
      </w:r>
    </w:p>
    <w:p w14:paraId="04E23972" w14:textId="77777777" w:rsidR="00DB2B68" w:rsidRDefault="00000000">
      <w:pPr>
        <w:jc w:val="both"/>
      </w:pPr>
      <w:r>
        <w:t>La pierre de façade est conforme aux prescriptions du § 3.11 Homogénéité des pierres de la [NIT 146].</w:t>
      </w:r>
    </w:p>
    <w:p w14:paraId="75C280CF" w14:textId="77777777" w:rsidR="00DB2B68" w:rsidRDefault="00000000">
      <w:pPr>
        <w:jc w:val="both"/>
      </w:pPr>
      <w:r>
        <w:rPr>
          <w:b/>
        </w:rPr>
        <w:t>Dimensions &amp; formes</w:t>
      </w:r>
    </w:p>
    <w:p w14:paraId="41D48075" w14:textId="77777777" w:rsidR="00DB2B68" w:rsidRDefault="00000000">
      <w:pPr>
        <w:jc w:val="both"/>
      </w:pPr>
      <w:r>
        <w:t>Pour des raisons de manipulation, la surface ne peut pas excéder 0,50 m² et la plus grande dimension ne dépasse pas 1 m pour un matériau de 20 mm d'épaisseur. Cette surface maximale est impérative pour les matériaux tendres, même si un moyen de levage mécanique est employé.</w:t>
      </w:r>
    </w:p>
    <w:p w14:paraId="1050DAB4" w14:textId="77777777" w:rsidR="00DB2B68" w:rsidRDefault="00000000">
      <w:pPr>
        <w:jc w:val="both"/>
      </w:pPr>
      <w:r>
        <w:t>Pour une surface entre 0,5 et 1 m², les revêtements sont exécutés en matériaux durs et un engin de levage est utilisé (poids maximum autorisé ≤ 65 kg pour une manipulation sans engin).</w:t>
      </w:r>
    </w:p>
    <w:p w14:paraId="08E2E8D6" w14:textId="77777777" w:rsidR="00DB2B68" w:rsidRDefault="00000000">
      <w:pPr>
        <w:jc w:val="both"/>
      </w:pPr>
      <w:r>
        <w:t>Le rapport de la longueur à la largeur pour les plaques de façade est ≤ à 3. Ces valeurs sont sensiblement modifiées selon l'implantation de la plaque (retour de tableau, voussures de baies, jambages, etc...). Voir également § 4.3 Dimensions des pierres [NIT 146].</w:t>
      </w:r>
    </w:p>
    <w:p w14:paraId="040B0B20" w14:textId="77777777" w:rsidR="00DB2B68" w:rsidRDefault="00000000">
      <w:pPr>
        <w:jc w:val="both"/>
      </w:pPr>
      <w:r>
        <w:rPr>
          <w:b/>
        </w:rPr>
        <w:t>Tolérances </w:t>
      </w:r>
    </w:p>
    <w:p w14:paraId="36B672A3" w14:textId="77777777" w:rsidR="00DB2B68" w:rsidRDefault="00000000">
      <w:pPr>
        <w:jc w:val="both"/>
      </w:pPr>
      <w:r>
        <w:lastRenderedPageBreak/>
        <w:t>Les tolérances des pierres de façade sont conformes aux prescriptions du § 4.33 Tolérances de la [NIT 146].</w:t>
      </w:r>
    </w:p>
    <w:p w14:paraId="1058B0E8" w14:textId="77777777" w:rsidR="00DB2B68" w:rsidRDefault="00000000">
      <w:pPr>
        <w:jc w:val="both"/>
      </w:pPr>
      <w:r>
        <w:rPr>
          <w:b/>
        </w:rPr>
        <w:t>Fixations</w:t>
      </w:r>
    </w:p>
    <w:p w14:paraId="35877804" w14:textId="77777777" w:rsidR="00DB2B68" w:rsidRDefault="00000000">
      <w:pPr>
        <w:jc w:val="both"/>
      </w:pPr>
      <w:r>
        <w:t>Est désignée agrafe toute pièce métallique qui sert à la fixation des plaques de revêtement. Cette dénomination couvre les crochets, les pattes d'ancrage, les ancres de scellement, les goujons, etc. , ...</w:t>
      </w:r>
    </w:p>
    <w:p w14:paraId="29141316" w14:textId="77777777" w:rsidR="00DB2B68" w:rsidRDefault="00000000">
      <w:pPr>
        <w:jc w:val="both"/>
      </w:pPr>
      <w:r>
        <w:t>Les systèmes d'agrafage des plaques de pierres au support sont généralement composés de trois parties, d'un seul tenant ou non :</w:t>
      </w:r>
    </w:p>
    <w:p w14:paraId="022D0079" w14:textId="77777777" w:rsidR="00DB2B68" w:rsidRDefault="00000000">
      <w:pPr>
        <w:pStyle w:val="Author-eListParagraph"/>
        <w:numPr>
          <w:ilvl w:val="0"/>
          <w:numId w:val="1167"/>
        </w:numPr>
      </w:pPr>
      <w:r>
        <w:t>une partie d'ancrage dans le support ;</w:t>
      </w:r>
    </w:p>
    <w:p w14:paraId="1377CE64" w14:textId="77777777" w:rsidR="00DB2B68" w:rsidRDefault="00000000">
      <w:pPr>
        <w:pStyle w:val="Author-eListParagraph"/>
        <w:numPr>
          <w:ilvl w:val="0"/>
          <w:numId w:val="1167"/>
        </w:numPr>
      </w:pPr>
      <w:r>
        <w:t>une partie profilée en console constituée par un plat, une cornière ou un autre profilé métallique associé à un dispositif de réglage qui permet le positionnement correct de la plaque lors de la pose ;</w:t>
      </w:r>
    </w:p>
    <w:p w14:paraId="7635A127" w14:textId="77777777" w:rsidR="00DB2B68" w:rsidRDefault="00000000">
      <w:pPr>
        <w:pStyle w:val="Author-eListParagraph"/>
        <w:numPr>
          <w:ilvl w:val="0"/>
          <w:numId w:val="1167"/>
        </w:numPr>
      </w:pPr>
      <w:r>
        <w:t>une pièce de liaison avec la plaque : ergot, goujon, rondelle, retour en cornière, retour en T, etc...</w:t>
      </w:r>
    </w:p>
    <w:p w14:paraId="02744950" w14:textId="77777777" w:rsidR="00DB2B68" w:rsidRDefault="00000000">
      <w:pPr>
        <w:jc w:val="both"/>
      </w:pPr>
      <w:r>
        <w:t>La forme des agrafes est fonction du rôle qu’elles ont à remplir dans la construction. Ainsi, on distingue des agrafages porteurs destinés à reprendre le poids de la plaque, des agrafages de retenue destinés à empêcher le déversement sous l'effet d'actions horizontales et des agrafages combinant les deux fonctions.</w:t>
      </w:r>
    </w:p>
    <w:p w14:paraId="422D2428" w14:textId="77777777" w:rsidR="00DB2B68" w:rsidRDefault="00000000">
      <w:pPr>
        <w:jc w:val="both"/>
      </w:pPr>
      <w:r>
        <w:t>Les fixations sont inoxydables dans leur masse et inattaquables par les agents chimiques véhiculés par l'eau. Les matériaux recouverts d'une couche anti-corrosive sont exclus.</w:t>
      </w:r>
    </w:p>
    <w:p w14:paraId="58D0DECF" w14:textId="77777777" w:rsidR="00DB2B68" w:rsidRDefault="00000000">
      <w:pPr>
        <w:jc w:val="both"/>
      </w:pPr>
      <w:r>
        <w:t>Les différentes parties métalliques des fixations ne sont pas de nature à établir un couple électrochimique.</w:t>
      </w:r>
    </w:p>
    <w:p w14:paraId="60009898" w14:textId="77777777" w:rsidR="00DB2B68" w:rsidRDefault="00000000">
      <w:pPr>
        <w:jc w:val="both"/>
      </w:pPr>
      <w:r>
        <w:rPr>
          <w:b/>
        </w:rPr>
        <w:t>Joints</w:t>
      </w:r>
    </w:p>
    <w:p w14:paraId="11EAE08E" w14:textId="77777777" w:rsidR="00DB2B68" w:rsidRDefault="00000000">
      <w:pPr>
        <w:jc w:val="both"/>
      </w:pPr>
      <w:r>
        <w:t>Le matériau de remplissage des joints est aussi compressible que possible et ne tache pas les panneaux de parement. </w:t>
      </w:r>
    </w:p>
    <w:p w14:paraId="7AB5592F" w14:textId="77777777" w:rsidR="00DB2B68" w:rsidRDefault="00000000">
      <w:pPr>
        <w:jc w:val="both"/>
      </w:pPr>
      <w:r>
        <w:t xml:space="preserve">Les joints de dilatation ou de fractionnement sont constitués d’un matériau conforme aux prescriptions du </w:t>
      </w:r>
      <w:hyperlink w:anchor="529" w:history="1">
        <w:r>
          <w:rPr>
            <w:color w:val="0000EE"/>
          </w:rPr>
          <w:t>22.63.1 Joints de remplissage</w:t>
        </w:r>
      </w:hyperlink>
      <w:r>
        <w:t>.</w:t>
      </w:r>
    </w:p>
    <w:p w14:paraId="1A2B69B8" w14:textId="77777777" w:rsidR="00DB2B68" w:rsidRDefault="00000000">
      <w:pPr>
        <w:pStyle w:val="pheading"/>
      </w:pPr>
      <w:r>
        <w:t>EXÉCUTION / MISE EN ŒUVRE</w:t>
      </w:r>
    </w:p>
    <w:p w14:paraId="0E83853F" w14:textId="77777777" w:rsidR="00DB2B68" w:rsidRDefault="00000000">
      <w:pPr>
        <w:jc w:val="both"/>
      </w:pPr>
      <w:r>
        <w:t>Les plaques de revêtement sont fixées à la structure de support de manière à créer un espace rempli d'air ventilé entre les deux éléments. La lame d'air permet d'évacuer la vapeur d'eau résultant des murs portants et de la porosité des plaques de revêtement.</w:t>
      </w:r>
    </w:p>
    <w:p w14:paraId="669B8DB6" w14:textId="77777777" w:rsidR="00DB2B68" w:rsidRDefault="00000000">
      <w:pPr>
        <w:jc w:val="both"/>
      </w:pPr>
      <w:r>
        <w:t xml:space="preserve">Epaisseur : ≥ </w:t>
      </w:r>
      <w:r>
        <w:rPr>
          <w:rStyle w:val="optioncarChar"/>
        </w:rPr>
        <w:t xml:space="preserve">20 </w:t>
      </w:r>
      <w:r>
        <w:t>(par défaut)</w:t>
      </w:r>
      <w:r>
        <w:rPr>
          <w:rStyle w:val="optioncarChar"/>
        </w:rPr>
        <w:t xml:space="preserve"> / ***</w:t>
      </w:r>
      <w:r>
        <w:t xml:space="preserve"> mm.</w:t>
      </w:r>
    </w:p>
    <w:p w14:paraId="7898786C" w14:textId="77777777" w:rsidR="00DB2B68" w:rsidRDefault="00000000">
      <w:pPr>
        <w:jc w:val="both"/>
      </w:pPr>
      <w:r>
        <w:t>La ventilation de cette lame d'air est assurée par des fentes ou des trous d'aération ménagés à la base et au sommet de la façade ainsi qu'aux discontinuités de celle-ci (fenêtres, talon de reprise de charges, etc…) et ce, de manière à obtenir une surface ≥ à 50 cm² d'ouverture par m² de façade. En outre, des dispositions sont prises pour assurer l'évacuation des condensats et des infiltrations à la base de la façade et à tout endroit où cette précaution est requise.</w:t>
      </w:r>
    </w:p>
    <w:p w14:paraId="0C50CA5D" w14:textId="77777777" w:rsidR="00DB2B68" w:rsidRDefault="00000000">
      <w:pPr>
        <w:jc w:val="both"/>
      </w:pPr>
      <w:r>
        <w:t>Si le créneau est isolé, outre leurs caractéristiques isolantes, l'isolation est choisie en fonction des facteurs suivants :</w:t>
      </w:r>
    </w:p>
    <w:p w14:paraId="12700078" w14:textId="77777777" w:rsidR="00DB2B68" w:rsidRDefault="00000000">
      <w:pPr>
        <w:pStyle w:val="Author-eListParagraph"/>
        <w:numPr>
          <w:ilvl w:val="0"/>
          <w:numId w:val="1168"/>
        </w:numPr>
      </w:pPr>
      <w:r>
        <w:t>risque de condensation ;</w:t>
      </w:r>
    </w:p>
    <w:p w14:paraId="6DCEB549" w14:textId="77777777" w:rsidR="00DB2B68" w:rsidRDefault="00000000">
      <w:pPr>
        <w:pStyle w:val="Author-eListParagraph"/>
        <w:numPr>
          <w:ilvl w:val="0"/>
          <w:numId w:val="1168"/>
        </w:numPr>
      </w:pPr>
      <w:r>
        <w:t>comportement en présence d'eau ;</w:t>
      </w:r>
    </w:p>
    <w:p w14:paraId="2E0DAC7A" w14:textId="77777777" w:rsidR="00DB2B68" w:rsidRDefault="00000000">
      <w:pPr>
        <w:pStyle w:val="Author-eListParagraph"/>
        <w:numPr>
          <w:ilvl w:val="0"/>
          <w:numId w:val="1168"/>
        </w:numPr>
      </w:pPr>
      <w:r>
        <w:t>risque en cas d'incendie ;</w:t>
      </w:r>
    </w:p>
    <w:p w14:paraId="5D9EA101" w14:textId="77777777" w:rsidR="00DB2B68" w:rsidRDefault="00000000">
      <w:pPr>
        <w:pStyle w:val="Author-eListParagraph"/>
        <w:numPr>
          <w:ilvl w:val="0"/>
          <w:numId w:val="1168"/>
        </w:numPr>
      </w:pPr>
      <w:r>
        <w:t>tenue pour éviter notamment le fluage sous le poids propre.</w:t>
      </w:r>
    </w:p>
    <w:p w14:paraId="299397A7" w14:textId="77777777" w:rsidR="00DB2B68" w:rsidRDefault="00000000">
      <w:pPr>
        <w:jc w:val="both"/>
      </w:pPr>
      <w:r>
        <w:t xml:space="preserve">Les points d'attache constituant autant de ponts thermiques nuisant à l'efficacité de l'isolation, l’entrepreneur, lors de l’établissement de son étude, tend à réduire le plus possible le nombre d’agrafes et prévoit des plaques de rupture thermique présentant une résistance thermique ≥ à </w:t>
      </w:r>
      <w:r>
        <w:rPr>
          <w:rStyle w:val="optioncarChar"/>
        </w:rPr>
        <w:t xml:space="preserve">0,038 </w:t>
      </w:r>
      <w:r>
        <w:t>(par défaut)</w:t>
      </w:r>
      <w:r>
        <w:rPr>
          <w:rStyle w:val="optioncarChar"/>
        </w:rPr>
        <w:t> / ***</w:t>
      </w:r>
      <w:r>
        <w:t xml:space="preserve"> m²K/W entre les consoles et le mur dans lequel elles viennent s’ancrer.</w:t>
      </w:r>
    </w:p>
    <w:p w14:paraId="1E2DB7EA" w14:textId="77777777" w:rsidR="00DB2B68" w:rsidRDefault="00000000">
      <w:pPr>
        <w:jc w:val="both"/>
      </w:pPr>
      <w:r>
        <w:t>L'exécution du garnissage est précédée d'une large humidification du joint.</w:t>
      </w:r>
    </w:p>
    <w:p w14:paraId="5AF5421B" w14:textId="77777777" w:rsidR="00DB2B68" w:rsidRDefault="00000000">
      <w:pPr>
        <w:jc w:val="both"/>
      </w:pPr>
      <w:r>
        <w:lastRenderedPageBreak/>
        <w:t>L'usage de cales de réglage en bois gorgées d'eau ou de réglettes (joints verticaux) permet d'avoir une plus grande régularité du joint.</w:t>
      </w:r>
    </w:p>
    <w:p w14:paraId="0DF5E532" w14:textId="77777777" w:rsidR="00DB2B68" w:rsidRDefault="00000000">
      <w:pPr>
        <w:jc w:val="both"/>
      </w:pPr>
      <w:r>
        <w:t>Il est recommandé de procéder au jointoiement de finition aussi tardivement que possible, après la pose de toute la hauteur de la travée de façade, entre deux joints ou arrêts de revêtement et ce, de manière à pallier les risques de désordres des joints consécutifs au fluage et au retrait.</w:t>
      </w:r>
    </w:p>
    <w:p w14:paraId="2D666B68" w14:textId="77777777" w:rsidR="00DB2B68" w:rsidRDefault="00000000">
      <w:pPr>
        <w:jc w:val="both"/>
      </w:pPr>
      <w:r>
        <w:t>Les cales de réglage de pose sont retirées avant le calfeutrement des joints en raison des risques de passage d'eau si l'exécution n'est pas parfaite et si les cales sont trop larges.</w:t>
      </w:r>
    </w:p>
    <w:p w14:paraId="4D33501E" w14:textId="77777777" w:rsidR="00DB2B68" w:rsidRDefault="00000000">
      <w:pPr>
        <w:jc w:val="both"/>
      </w:pPr>
      <w:r>
        <w:t>Principe d’implantation des joints de dilatation ou de fractionnement :</w:t>
      </w:r>
    </w:p>
    <w:p w14:paraId="449578D9" w14:textId="77777777" w:rsidR="00DB2B68" w:rsidRDefault="00000000">
      <w:pPr>
        <w:pStyle w:val="Author-eListParagraph"/>
        <w:numPr>
          <w:ilvl w:val="0"/>
          <w:numId w:val="1169"/>
        </w:numPr>
      </w:pPr>
      <w:r>
        <w:t>1er cas, les attaches permettent la reprise des déformations au droit de chaque plaque. Ce type d'attaches permet de considérer les joints autour des plaques comme des joints de fractionnement.</w:t>
      </w:r>
    </w:p>
    <w:p w14:paraId="3549F087" w14:textId="77777777" w:rsidR="00DB2B68" w:rsidRDefault="00000000">
      <w:pPr>
        <w:pStyle w:val="Author-eListParagraph"/>
        <w:numPr>
          <w:ilvl w:val="0"/>
          <w:numId w:val="1169"/>
        </w:numPr>
      </w:pPr>
      <w:r>
        <w:t>2ème cas, les attaches ne permettent pas la reprise des déformations au droit de chaque plaque. Dans ce cas, un joint souple horizontal est créé tous les 3 m (ou tous les niveaux). Le joint horizontal sous la première assise est laissé vide pour assurer la ventilation de la lame d'air. Un joint souple vertical est inséré tous les 8 m.</w:t>
      </w:r>
    </w:p>
    <w:p w14:paraId="709D40C2" w14:textId="77777777" w:rsidR="00DB2B68" w:rsidRDefault="00000000">
      <w:pPr>
        <w:jc w:val="both"/>
      </w:pPr>
      <w:r>
        <w:t>En façade pignon :</w:t>
      </w:r>
    </w:p>
    <w:p w14:paraId="5BCA4AE3" w14:textId="77777777" w:rsidR="00DB2B68" w:rsidRDefault="00000000">
      <w:pPr>
        <w:pStyle w:val="Author-eListParagraph"/>
        <w:numPr>
          <w:ilvl w:val="0"/>
          <w:numId w:val="1170"/>
        </w:numPr>
      </w:pPr>
      <w:r>
        <w:t>Pour des longueurs ≤ 12 m, le joint intermédiaire préconisé peut être supprimé si l'appareillage permet d'exécuter un joint souple à chaque extrémité de la façade.</w:t>
      </w:r>
    </w:p>
    <w:p w14:paraId="7AA7BC68" w14:textId="77777777" w:rsidR="00DB2B68" w:rsidRDefault="00000000">
      <w:pPr>
        <w:pStyle w:val="Author-eListParagraph"/>
        <w:numPr>
          <w:ilvl w:val="0"/>
          <w:numId w:val="1170"/>
        </w:numPr>
      </w:pPr>
      <w:r>
        <w:t>Pour des longueurs ˃ 12 m, un joint vertical intermédiaire s'impose.</w:t>
      </w:r>
    </w:p>
    <w:p w14:paraId="0FF3C8BC" w14:textId="77777777" w:rsidR="00DB2B68" w:rsidRDefault="00000000">
      <w:pPr>
        <w:jc w:val="both"/>
      </w:pPr>
      <w:r>
        <w:t>Pour éviter la mise en compression du revêtement directement sur le support, des joints sont prévus autour des saillies de façade (appuis, balcons, bandeaux, linteaux, etc…) ainsi qu’en prolongement des joints structuraux du support.</w:t>
      </w:r>
    </w:p>
    <w:p w14:paraId="16689DF4" w14:textId="77777777" w:rsidR="00DB2B68" w:rsidRDefault="00000000">
      <w:pPr>
        <w:pStyle w:val="pheading"/>
      </w:pPr>
      <w:r>
        <w:t>DOCUMENTS DE RÉFÉRENCE</w:t>
      </w:r>
    </w:p>
    <w:p w14:paraId="46806252" w14:textId="77777777" w:rsidR="00DB2B68" w:rsidRDefault="00000000">
      <w:pPr>
        <w:pStyle w:val="pheading"/>
      </w:pPr>
      <w:r>
        <w:t>- Matériau</w:t>
      </w:r>
    </w:p>
    <w:p w14:paraId="4648C4F9" w14:textId="77777777" w:rsidR="00DB2B68" w:rsidRDefault="00000000">
      <w:r>
        <w:t>[NBN EN 1469, Produits en pierre naturelle - Dalles de revêtement mural - Exigences]</w:t>
      </w:r>
    </w:p>
    <w:p w14:paraId="70B94E7C" w14:textId="77777777" w:rsidR="00DB2B68" w:rsidRDefault="00000000">
      <w:r>
        <w:t>[NBN EN 15286, Pierres agglomérées - Carreaux et plaques pour finitions murales (intérieures et extérieures)]</w:t>
      </w:r>
    </w:p>
    <w:p w14:paraId="1004D692" w14:textId="77777777" w:rsidR="00DB2B68" w:rsidRDefault="00000000">
      <w:r>
        <w:t>[NIT 146, Les revêtements extérieurs verticaux en matériaux pierreux naturels de mince épaisseur (partiellement remplacée par la NIT n°228 en ce qui concerne les méthodes d'essais et les critères de résistance au gel).]</w:t>
      </w:r>
    </w:p>
    <w:p w14:paraId="24A86BB1" w14:textId="77777777" w:rsidR="00DB2B68" w:rsidRDefault="00000000">
      <w:r>
        <w:t>[NIT 228, Pierres naturelles (NIT interactive et évolutive en remplacement de la NIT 205).]</w:t>
      </w:r>
    </w:p>
    <w:p w14:paraId="6C38382B" w14:textId="77777777" w:rsidR="00DB2B68" w:rsidRDefault="00000000">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14:paraId="43CFC5C7" w14:textId="77777777" w:rsidR="00DB2B6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14E33C63" w14:textId="77777777" w:rsidR="00DB2B68" w:rsidRDefault="00000000">
      <w:pPr>
        <w:pStyle w:val="pheading"/>
      </w:pPr>
      <w:r>
        <w:t>- Exécution</w:t>
      </w:r>
    </w:p>
    <w:p w14:paraId="6C905450" w14:textId="77777777" w:rsidR="00DB2B68" w:rsidRDefault="00000000">
      <w:r>
        <w:t>[NIT 146, Les revêtements extérieurs verticaux en matériaux pierreux naturels de mince épaisseur (partiellement remplacée par la NIT n°228 en ce qui concerne les méthodes d'essais et les critères de résistance au gel).]</w:t>
      </w:r>
    </w:p>
    <w:p w14:paraId="77FF83A9" w14:textId="77777777" w:rsidR="00DB2B68" w:rsidRDefault="00000000">
      <w:pPr>
        <w:pStyle w:val="Author-eSectionHeading6Numberless"/>
      </w:pPr>
      <w:bookmarkStart w:id="2121" w:name="_Toc220497055"/>
      <w:r>
        <w:t>28.11.1a Revêtements de façade en panneaux de pierre naturelle CCTB 01.11</w:t>
      </w:r>
      <w:bookmarkEnd w:id="2121"/>
    </w:p>
    <w:p w14:paraId="206ADB50" w14:textId="77777777" w:rsidR="00DB2B68" w:rsidRDefault="00000000">
      <w:pPr>
        <w:pStyle w:val="pheading"/>
      </w:pPr>
      <w:r>
        <w:t>DESCRIPTION</w:t>
      </w:r>
    </w:p>
    <w:p w14:paraId="3E6C5BB6" w14:textId="77777777" w:rsidR="00DB2B68" w:rsidRDefault="00000000">
      <w:pPr>
        <w:pStyle w:val="pheading"/>
      </w:pPr>
      <w:r>
        <w:t>- Définition / Comprend</w:t>
      </w:r>
    </w:p>
    <w:p w14:paraId="5E07322D" w14:textId="77777777" w:rsidR="00DB2B68" w:rsidRDefault="00000000">
      <w:pPr>
        <w:jc w:val="both"/>
      </w:pPr>
      <w:r>
        <w:t>Il s'agit de tous les travaux et fournitures pour la réalisation des revêtements de façade en panneaux de pierre naturelle.</w:t>
      </w:r>
    </w:p>
    <w:p w14:paraId="551CD91D" w14:textId="77777777" w:rsidR="00DB2B68" w:rsidRDefault="00000000">
      <w:pPr>
        <w:pStyle w:val="pheading"/>
      </w:pPr>
      <w:r>
        <w:lastRenderedPageBreak/>
        <w:t>MATÉRIAUX</w:t>
      </w:r>
    </w:p>
    <w:p w14:paraId="4EC21589" w14:textId="77777777" w:rsidR="00DB2B68" w:rsidRDefault="00000000">
      <w:pPr>
        <w:pStyle w:val="pheading"/>
      </w:pPr>
      <w:r>
        <w:t>- Caractéristiques générales</w:t>
      </w:r>
    </w:p>
    <w:p w14:paraId="06C1071C" w14:textId="77777777" w:rsidR="00DB2B68" w:rsidRDefault="00000000">
      <w:pPr>
        <w:jc w:val="both"/>
      </w:pPr>
      <w:r>
        <w:t>Les panneaux répondent aux spécifications de la norme [NBN EN 1469] ainsi qu’aux exigences de la [NIT 228].</w:t>
      </w:r>
    </w:p>
    <w:p w14:paraId="363A6496" w14:textId="77777777" w:rsidR="00DB2B68" w:rsidRDefault="00000000">
      <w:pPr>
        <w:jc w:val="both"/>
      </w:pPr>
      <w:r>
        <w:t xml:space="preserve">Nomenclature de la pierre : </w:t>
      </w:r>
      <w:r>
        <w:rPr>
          <w:rStyle w:val="optioncarChar"/>
        </w:rPr>
        <w:t>***</w:t>
      </w:r>
    </w:p>
    <w:p w14:paraId="793196CB" w14:textId="77777777" w:rsidR="00DB2B68" w:rsidRDefault="00000000">
      <w:pPr>
        <w:jc w:val="both"/>
      </w:pPr>
      <w:r>
        <w:rPr>
          <w:b/>
        </w:rPr>
        <w:t>Fixations :</w:t>
      </w:r>
    </w:p>
    <w:p w14:paraId="7E72F4CF" w14:textId="77777777" w:rsidR="00DB2B68" w:rsidRDefault="00000000">
      <w:pPr>
        <w:pStyle w:val="Author-eListParagraph"/>
        <w:numPr>
          <w:ilvl w:val="0"/>
          <w:numId w:val="1171"/>
        </w:numPr>
      </w:pPr>
      <w:r>
        <w:t xml:space="preserve">Matière : </w:t>
      </w:r>
      <w:r>
        <w:rPr>
          <w:rStyle w:val="optioncarChar"/>
        </w:rPr>
        <w:t>acier inoxydable</w:t>
      </w:r>
      <w:r>
        <w:t xml:space="preserve"> (par défaut)</w:t>
      </w:r>
      <w:r>
        <w:rPr>
          <w:rStyle w:val="optioncarChar"/>
        </w:rPr>
        <w:t xml:space="preserve"> / ***</w:t>
      </w:r>
    </w:p>
    <w:p w14:paraId="1B26AE33" w14:textId="77777777" w:rsidR="00DB2B68" w:rsidRDefault="00000000">
      <w:pPr>
        <w:pStyle w:val="Author-eListParagraph"/>
        <w:numPr>
          <w:ilvl w:val="0"/>
          <w:numId w:val="1171"/>
        </w:numPr>
      </w:pPr>
      <w:r>
        <w:t xml:space="preserve">Nombre et emplacement : </w:t>
      </w:r>
      <w:r>
        <w:rPr>
          <w:rStyle w:val="optioncarChar"/>
        </w:rPr>
        <w:t>conformément au dessin des plans d’exécution et notes de calcul approuvés</w:t>
      </w:r>
      <w:r>
        <w:t xml:space="preserve"> (par défaut) </w:t>
      </w:r>
      <w:r>
        <w:rPr>
          <w:rStyle w:val="optioncarChar"/>
        </w:rPr>
        <w:t>/ ***</w:t>
      </w:r>
    </w:p>
    <w:p w14:paraId="35F59DE4" w14:textId="77777777" w:rsidR="00DB2B68" w:rsidRDefault="00000000">
      <w:pPr>
        <w:pStyle w:val="Author-eListParagraph"/>
        <w:numPr>
          <w:ilvl w:val="0"/>
          <w:numId w:val="1171"/>
        </w:numPr>
      </w:pPr>
      <w:r>
        <w:t>Type d'ancrage :</w:t>
      </w:r>
      <w:r>
        <w:rPr>
          <w:rStyle w:val="optioncarChar"/>
        </w:rPr>
        <w:t xml:space="preserve"> agrafes porteuses réglables </w:t>
      </w:r>
      <w:r>
        <w:t>(par défaut)</w:t>
      </w:r>
      <w:r>
        <w:rPr>
          <w:rStyle w:val="optioncarChar"/>
        </w:rPr>
        <w:t xml:space="preserve"> / ***</w:t>
      </w:r>
    </w:p>
    <w:p w14:paraId="2AB6F29F" w14:textId="77777777" w:rsidR="00DB2B68" w:rsidRDefault="00000000">
      <w:pPr>
        <w:ind w:left="567"/>
        <w:jc w:val="both"/>
      </w:pPr>
      <w:r>
        <w:rPr>
          <w:b/>
        </w:rPr>
        <w:t>(soit par défaut)</w:t>
      </w:r>
    </w:p>
    <w:p w14:paraId="4786797B" w14:textId="77777777" w:rsidR="00DB2B68" w:rsidRDefault="00000000">
      <w:pPr>
        <w:ind w:left="567"/>
        <w:jc w:val="both"/>
      </w:pPr>
      <w:r>
        <w:rPr>
          <w:rStyle w:val="soitChar"/>
          <w:u w:val="single"/>
        </w:rPr>
        <w:t xml:space="preserve">Les agrafes porteuses réglables </w:t>
      </w:r>
      <w:r>
        <w:rPr>
          <w:color w:val="33CCCC"/>
        </w:rPr>
        <w:t xml:space="preserve"> en trois dimensions, qui sont également les contrevents, sont constituées d’une console de support composée et réglable avec, côté panneau, un ergot à manchon coulissant et, côté mur, un boulon d’ancrage ou un ancrage chimique. Les panneaux supérieurs sont pourvus de contrevents constitués d’un élément de fixation à ergot et manchon coulissant et boulon d’ancrage correspondant. La fixation, côté mur, se fait dans une cheville d’ancrage préforée ou une ouverture d’un diamètre approprié. Dans les panneaux de revêtement sont forés des évidements d’un diamètre et d’une profondeur appropriés pour l’introduction de l’ergot et du manchon coulissant.</w:t>
      </w:r>
    </w:p>
    <w:p w14:paraId="0CEF349C" w14:textId="77777777" w:rsidR="00DB2B68" w:rsidRDefault="00000000">
      <w:pPr>
        <w:ind w:left="567"/>
        <w:jc w:val="both"/>
      </w:pPr>
      <w:r>
        <w:rPr>
          <w:b/>
        </w:rPr>
        <w:t>(soit)</w:t>
      </w:r>
    </w:p>
    <w:p w14:paraId="4FC1FEBE" w14:textId="77777777" w:rsidR="00DB2B68" w:rsidRDefault="00000000">
      <w:pPr>
        <w:ind w:left="567"/>
        <w:jc w:val="both"/>
      </w:pPr>
      <w:r>
        <w:rPr>
          <w:rStyle w:val="optioncarChar"/>
        </w:rPr>
        <w:t>***</w:t>
      </w:r>
    </w:p>
    <w:p w14:paraId="60569018" w14:textId="77777777" w:rsidR="00DB2B68" w:rsidRDefault="00000000">
      <w:pPr>
        <w:jc w:val="both"/>
      </w:pPr>
      <w:r>
        <w:rPr>
          <w:b/>
        </w:rPr>
        <w:t>Joints :</w:t>
      </w:r>
    </w:p>
    <w:p w14:paraId="73E2D716" w14:textId="77777777" w:rsidR="00DB2B68" w:rsidRDefault="00000000">
      <w:pPr>
        <w:pStyle w:val="Author-eListParagraph"/>
        <w:numPr>
          <w:ilvl w:val="0"/>
          <w:numId w:val="1172"/>
        </w:numPr>
      </w:pPr>
      <w:r>
        <w:t xml:space="preserve">Avec produit de jointoiement : </w:t>
      </w:r>
      <w:r>
        <w:rPr>
          <w:rStyle w:val="optioncarChar"/>
        </w:rPr>
        <w:t>oui</w:t>
      </w:r>
      <w:r>
        <w:t xml:space="preserve"> (par défaut) </w:t>
      </w:r>
      <w:r>
        <w:rPr>
          <w:rStyle w:val="optioncarChar"/>
        </w:rPr>
        <w:t>/ non</w:t>
      </w:r>
    </w:p>
    <w:p w14:paraId="6062562F" w14:textId="77777777" w:rsidR="00DB2B68" w:rsidRDefault="00000000">
      <w:pPr>
        <w:pStyle w:val="Author-eListParagraph"/>
        <w:numPr>
          <w:ilvl w:val="0"/>
          <w:numId w:val="1172"/>
        </w:numPr>
      </w:pPr>
      <w:r>
        <w:t xml:space="preserve">Joints courants le cas échéant : </w:t>
      </w:r>
      <w:r>
        <w:rPr>
          <w:rStyle w:val="optioncarChar"/>
        </w:rPr>
        <w:t>mortier de liants hydraulique</w:t>
      </w:r>
      <w:r>
        <w:t xml:space="preserve"> (par défaut)</w:t>
      </w:r>
      <w:r>
        <w:rPr>
          <w:rStyle w:val="optioncarChar"/>
        </w:rPr>
        <w:t xml:space="preserve"> / mortiers de résines (époxy ou polyester) / mastics / ***</w:t>
      </w:r>
    </w:p>
    <w:p w14:paraId="37913832" w14:textId="77777777" w:rsidR="00DB2B68" w:rsidRDefault="00000000">
      <w:pPr>
        <w:ind w:left="567"/>
        <w:jc w:val="both"/>
      </w:pPr>
      <w:r>
        <w:rPr>
          <w:b/>
        </w:rPr>
        <w:t>(soit par défaut)</w:t>
      </w:r>
    </w:p>
    <w:p w14:paraId="592597F3" w14:textId="77777777" w:rsidR="00DB2B68" w:rsidRDefault="00000000">
      <w:pPr>
        <w:ind w:left="567"/>
        <w:jc w:val="both"/>
      </w:pPr>
      <w:r>
        <w:rPr>
          <w:rStyle w:val="soitChar"/>
          <w:u w:val="single"/>
        </w:rPr>
        <w:t>Mortier de liant hydraulique</w:t>
      </w:r>
    </w:p>
    <w:p w14:paraId="1243318D" w14:textId="77777777" w:rsidR="00DB2B68" w:rsidRDefault="00000000">
      <w:pPr>
        <w:ind w:left="567"/>
        <w:jc w:val="both"/>
      </w:pPr>
      <w:r>
        <w:rPr>
          <w:b/>
        </w:rPr>
        <w:t>(soit)</w:t>
      </w:r>
    </w:p>
    <w:p w14:paraId="36D0B3C2" w14:textId="77777777" w:rsidR="00DB2B68" w:rsidRDefault="00000000">
      <w:pPr>
        <w:ind w:left="567"/>
        <w:jc w:val="both"/>
      </w:pPr>
      <w:r>
        <w:rPr>
          <w:rStyle w:val="soitChar"/>
          <w:u w:val="single"/>
        </w:rPr>
        <w:t>Mortiers de résines (époxy ou polyester)</w:t>
      </w:r>
      <w:r>
        <w:rPr>
          <w:rStyle w:val="soitChar"/>
        </w:rPr>
        <w:t>. Ces mortiers possèdent des caractéristiques aussi bien physiques que mécaniques bien supérieures à celles des mortiers ordinaires à base de liants hydrauliques, notamment en ce qui concerne la résistance aux vibrations, aux chocs et à l'impact, la résistance aux variations thermiques, la résistance à l'eau ainsi qu'à un grand nombre de produits chimiques.</w:t>
      </w:r>
    </w:p>
    <w:p w14:paraId="7F8CE287" w14:textId="77777777" w:rsidR="00DB2B68" w:rsidRDefault="00000000">
      <w:pPr>
        <w:ind w:left="567"/>
        <w:jc w:val="both"/>
      </w:pPr>
      <w:r>
        <w:rPr>
          <w:b/>
        </w:rPr>
        <w:t>(soit par défaut)</w:t>
      </w:r>
    </w:p>
    <w:p w14:paraId="5ADB5911" w14:textId="77777777" w:rsidR="00DB2B68" w:rsidRDefault="00000000">
      <w:pPr>
        <w:ind w:left="567"/>
        <w:jc w:val="both"/>
      </w:pPr>
      <w:r>
        <w:rPr>
          <w:rStyle w:val="soitChar"/>
          <w:u w:val="single"/>
        </w:rPr>
        <w:t>Mastic</w:t>
      </w:r>
    </w:p>
    <w:p w14:paraId="2BF4BD1D" w14:textId="77777777" w:rsidR="00DB2B68" w:rsidRDefault="00000000">
      <w:pPr>
        <w:ind w:left="567"/>
        <w:jc w:val="both"/>
      </w:pPr>
      <w:r>
        <w:rPr>
          <w:b/>
        </w:rPr>
        <w:t>(soit)</w:t>
      </w:r>
    </w:p>
    <w:p w14:paraId="6707D680" w14:textId="77777777" w:rsidR="00DB2B68" w:rsidRDefault="00000000">
      <w:pPr>
        <w:ind w:left="567"/>
        <w:jc w:val="both"/>
      </w:pPr>
      <w:r>
        <w:rPr>
          <w:rStyle w:val="optioncarChar"/>
        </w:rPr>
        <w:t>***</w:t>
      </w:r>
    </w:p>
    <w:p w14:paraId="32BCEBF4" w14:textId="77777777" w:rsidR="00DB2B68" w:rsidRDefault="00000000">
      <w:pPr>
        <w:pStyle w:val="Author-eListParagraph"/>
        <w:numPr>
          <w:ilvl w:val="0"/>
          <w:numId w:val="1173"/>
        </w:numPr>
      </w:pPr>
      <w:r>
        <w:t xml:space="preserve">Joints de dilatation ou de fractionnement : matériau conforme aux prescriptions du </w:t>
      </w:r>
      <w:hyperlink w:anchor="529" w:history="1">
        <w:r>
          <w:rPr>
            <w:color w:val="0000EE"/>
          </w:rPr>
          <w:t>22.63.1 Joints de remplissage</w:t>
        </w:r>
      </w:hyperlink>
      <w:r>
        <w:t>.</w:t>
      </w:r>
    </w:p>
    <w:p w14:paraId="14B4C85C" w14:textId="77777777" w:rsidR="00DB2B68" w:rsidRDefault="00000000">
      <w:pPr>
        <w:jc w:val="both"/>
      </w:pPr>
      <w:r>
        <w:rPr>
          <w:b/>
        </w:rPr>
        <w:t>Comportement au feu :</w:t>
      </w:r>
    </w:p>
    <w:p w14:paraId="7677274B" w14:textId="77777777" w:rsidR="00DB2B68" w:rsidRDefault="00000000">
      <w:pPr>
        <w:pStyle w:val="Author-eListParagraph"/>
        <w:numPr>
          <w:ilvl w:val="0"/>
          <w:numId w:val="1174"/>
        </w:numPr>
        <w:jc w:val="both"/>
      </w:pPr>
      <w:r>
        <w:t>Réaction au feu : Selon la [Décision 96/603/CE] et les conditions qui y sont reprises, la pierre appartient à la classe de réaction au feu A1.</w:t>
      </w:r>
    </w:p>
    <w:p w14:paraId="542B5916" w14:textId="77777777" w:rsidR="00DB2B68" w:rsidRDefault="00000000">
      <w:pPr>
        <w:pStyle w:val="Author-eListParagraph"/>
        <w:numPr>
          <w:ilvl w:val="0"/>
          <w:numId w:val="1174"/>
        </w:numPr>
        <w:jc w:val="both"/>
      </w:pPr>
      <w:r>
        <w:t xml:space="preserve">Résistance au feu de l’élément : </w:t>
      </w:r>
      <w:r>
        <w:rPr>
          <w:rStyle w:val="optioncarChar"/>
        </w:rPr>
        <w:t>néant</w:t>
      </w:r>
      <w:r>
        <w:t xml:space="preserve"> (par défaut)</w:t>
      </w:r>
      <w:r>
        <w:rPr>
          <w:rStyle w:val="optioncarChar"/>
        </w:rPr>
        <w:t xml:space="preserve"> / E 30 / E 60 / E 120 /EI 30 / EI 60 / EI 120 selon la [NBN EN 13501-2]</w:t>
      </w:r>
      <w:r>
        <w:t>.</w:t>
      </w:r>
    </w:p>
    <w:p w14:paraId="1E05901D" w14:textId="77777777" w:rsidR="00DB2B68" w:rsidRDefault="00000000">
      <w:pPr>
        <w:pStyle w:val="pheading"/>
      </w:pPr>
      <w:r>
        <w:t>- Finitions</w:t>
      </w:r>
    </w:p>
    <w:p w14:paraId="56766A52" w14:textId="77777777" w:rsidR="00DB2B68" w:rsidRDefault="00000000">
      <w:pPr>
        <w:jc w:val="both"/>
      </w:pPr>
      <w:r>
        <w:rPr>
          <w:b/>
        </w:rPr>
        <w:lastRenderedPageBreak/>
        <w:t>Pierre :</w:t>
      </w:r>
    </w:p>
    <w:p w14:paraId="17D9B810" w14:textId="77777777" w:rsidR="00DB2B68" w:rsidRDefault="00000000">
      <w:pPr>
        <w:pStyle w:val="Author-eListParagraph"/>
        <w:numPr>
          <w:ilvl w:val="0"/>
          <w:numId w:val="1175"/>
        </w:numPr>
      </w:pPr>
      <w:r>
        <w:t xml:space="preserve">Traitement des surfaces : </w:t>
      </w:r>
      <w:r>
        <w:rPr>
          <w:rStyle w:val="optioncarChar"/>
        </w:rPr>
        <w:t>***</w:t>
      </w:r>
    </w:p>
    <w:p w14:paraId="16770359" w14:textId="77777777" w:rsidR="00DB2B68" w:rsidRDefault="00000000">
      <w:pPr>
        <w:pStyle w:val="Author-eListParagraph"/>
        <w:numPr>
          <w:ilvl w:val="0"/>
          <w:numId w:val="1175"/>
        </w:numPr>
      </w:pPr>
      <w:r>
        <w:t xml:space="preserve">Bords périphériques sur </w:t>
      </w:r>
      <w:r>
        <w:rPr>
          <w:rStyle w:val="optioncarChar"/>
        </w:rPr>
        <w:t>***</w:t>
      </w:r>
      <w:r>
        <w:t xml:space="preserve"> cm d’épaisseur .</w:t>
      </w:r>
    </w:p>
    <w:p w14:paraId="6EC83662" w14:textId="77777777" w:rsidR="00DB2B68" w:rsidRDefault="00000000">
      <w:pPr>
        <w:pStyle w:val="Author-eListParagraph"/>
        <w:numPr>
          <w:ilvl w:val="0"/>
          <w:numId w:val="1175"/>
        </w:numPr>
      </w:pPr>
      <w:r>
        <w:t xml:space="preserve">Terminaison des angles : </w:t>
      </w:r>
      <w:r>
        <w:rPr>
          <w:rStyle w:val="optioncarChar"/>
        </w:rPr>
        <w:t xml:space="preserve">pierre d’about en recouvrement avec retour visible dont la finition est identique à la finition extérieure </w:t>
      </w:r>
      <w:r>
        <w:t>(par défaut)</w:t>
      </w:r>
      <w:r>
        <w:rPr>
          <w:rStyle w:val="optioncarChar"/>
        </w:rPr>
        <w:t xml:space="preserve"> / réalisée à l’aide de pierres d’angle spécifiques en respectant la modulation exprimée dans les vues de façade / pierre d’about avec joint oblique muni d’une petite tête perpendiculaire à la face du parement / ***</w:t>
      </w:r>
      <w:r>
        <w:t>.</w:t>
      </w:r>
    </w:p>
    <w:p w14:paraId="11DB51A1" w14:textId="77777777" w:rsidR="00DB2B68" w:rsidRDefault="00000000">
      <w:pPr>
        <w:jc w:val="both"/>
      </w:pPr>
      <w:r>
        <w:rPr>
          <w:b/>
        </w:rPr>
        <w:t>Joint (le cas échéant) :</w:t>
      </w:r>
    </w:p>
    <w:p w14:paraId="25D74310" w14:textId="77777777" w:rsidR="00DB2B68" w:rsidRDefault="00000000">
      <w:pPr>
        <w:pStyle w:val="Author-eListParagraph"/>
        <w:numPr>
          <w:ilvl w:val="0"/>
          <w:numId w:val="1176"/>
        </w:numPr>
        <w:jc w:val="both"/>
      </w:pPr>
      <w:r>
        <w:t xml:space="preserve">Teinte : </w:t>
      </w:r>
      <w:r>
        <w:rPr>
          <w:rStyle w:val="optioncarChar"/>
        </w:rPr>
        <w:t xml:space="preserve">similaire à celle de la pierre </w:t>
      </w:r>
      <w:r>
        <w:t>(par défaut)</w:t>
      </w:r>
      <w:r>
        <w:rPr>
          <w:rStyle w:val="optioncarChar"/>
        </w:rPr>
        <w:t xml:space="preserve"> / gris clair / blanc / ***</w:t>
      </w:r>
    </w:p>
    <w:p w14:paraId="4E3491C8" w14:textId="77777777" w:rsidR="00DB2B68" w:rsidRDefault="00000000">
      <w:pPr>
        <w:pStyle w:val="pheading"/>
      </w:pPr>
      <w:r>
        <w:t>EXÉCUTION / MISE EN ŒUVRE</w:t>
      </w:r>
    </w:p>
    <w:p w14:paraId="51C97EBF" w14:textId="77777777" w:rsidR="00DB2B68" w:rsidRDefault="00000000">
      <w:pPr>
        <w:pStyle w:val="pheading"/>
      </w:pPr>
      <w:r>
        <w:t>- Prescriptions générales</w:t>
      </w:r>
    </w:p>
    <w:p w14:paraId="3A103E1A" w14:textId="77777777" w:rsidR="00DB2B68" w:rsidRDefault="00000000">
      <w:pPr>
        <w:jc w:val="both"/>
      </w:pPr>
      <w:r>
        <w:t xml:space="preserve">Les panneaux sont disposés </w:t>
      </w:r>
      <w:r>
        <w:rPr>
          <w:rStyle w:val="optioncarChar"/>
        </w:rPr>
        <w:t xml:space="preserve">conformément au dessin des plans d’exécution approuvés </w:t>
      </w:r>
      <w:r>
        <w:t>(par défaut)</w:t>
      </w:r>
      <w:r>
        <w:rPr>
          <w:rStyle w:val="optioncarChar"/>
        </w:rPr>
        <w:t xml:space="preserve"> / à joints verticaux continus / à joints verticaux alternés / ***.</w:t>
      </w:r>
    </w:p>
    <w:p w14:paraId="1C2B47AF" w14:textId="77777777" w:rsidR="00DB2B68" w:rsidRDefault="00000000">
      <w:pPr>
        <w:jc w:val="both"/>
      </w:pPr>
      <w:r>
        <w:t xml:space="preserve">La largeur des joints courant est ≥ à </w:t>
      </w:r>
      <w:r>
        <w:rPr>
          <w:rStyle w:val="optioncarChar"/>
        </w:rPr>
        <w:t xml:space="preserve">4 / 5 </w:t>
      </w:r>
      <w:r>
        <w:t>(par défaut)</w:t>
      </w:r>
      <w:r>
        <w:rPr>
          <w:rStyle w:val="optioncarChar"/>
        </w:rPr>
        <w:t xml:space="preserve"> / ***</w:t>
      </w:r>
      <w:r>
        <w:t xml:space="preserve"> mm.</w:t>
      </w:r>
    </w:p>
    <w:p w14:paraId="4369CF0E" w14:textId="77777777" w:rsidR="00DB2B68" w:rsidRDefault="00000000">
      <w:pPr>
        <w:jc w:val="both"/>
      </w:pPr>
      <w:r>
        <w:t xml:space="preserve">La largeur des joints de dilatation et de fractionnement est ≥ à </w:t>
      </w:r>
      <w:r>
        <w:rPr>
          <w:rStyle w:val="optioncarChar"/>
        </w:rPr>
        <w:t>8</w:t>
      </w:r>
      <w:r>
        <w:t xml:space="preserve"> (par défaut)</w:t>
      </w:r>
      <w:r>
        <w:rPr>
          <w:rStyle w:val="optioncarChar"/>
        </w:rPr>
        <w:t xml:space="preserve"> / ***</w:t>
      </w:r>
      <w:r>
        <w:t xml:space="preserve"> mm pour les joints horizontaux et ≥ à </w:t>
      </w:r>
      <w:r>
        <w:rPr>
          <w:rStyle w:val="optioncarChar"/>
        </w:rPr>
        <w:t>5</w:t>
      </w:r>
      <w:r>
        <w:t xml:space="preserve"> (par défaut) </w:t>
      </w:r>
      <w:r>
        <w:rPr>
          <w:rStyle w:val="optioncarChar"/>
        </w:rPr>
        <w:t>/ ***</w:t>
      </w:r>
      <w:r>
        <w:t xml:space="preserve"> mm pour les joints verticaux.</w:t>
      </w:r>
    </w:p>
    <w:p w14:paraId="4D3914B1" w14:textId="77777777" w:rsidR="00DB2B68" w:rsidRDefault="00000000">
      <w:pPr>
        <w:jc w:val="both"/>
      </w:pPr>
      <w:r>
        <w:t>Même s’il est décrit par ailleurs, le jointoiement est compris dans le prix unitaire de cet article.</w:t>
      </w:r>
    </w:p>
    <w:p w14:paraId="21DBA484" w14:textId="77777777" w:rsidR="00DB2B68" w:rsidRDefault="00000000">
      <w:pPr>
        <w:pStyle w:val="pheading"/>
      </w:pPr>
      <w:r>
        <w:t>- Échantillons</w:t>
      </w:r>
    </w:p>
    <w:p w14:paraId="02432A1C" w14:textId="77777777" w:rsidR="00DB2B68" w:rsidRDefault="00000000">
      <w:pPr>
        <w:jc w:val="both"/>
      </w:pPr>
      <w:r>
        <w:t xml:space="preserve">En ce qui concerne l'aspect, les coloris et la structure de la surface, il y a lieu de présenter au minimum </w:t>
      </w:r>
      <w:r>
        <w:rPr>
          <w:rStyle w:val="optioncarChar"/>
        </w:rPr>
        <w:t>3</w:t>
      </w:r>
      <w:r>
        <w:t xml:space="preserve"> (par défaut) </w:t>
      </w:r>
      <w:r>
        <w:rPr>
          <w:rStyle w:val="optioncarChar"/>
        </w:rPr>
        <w:t>/ ***</w:t>
      </w:r>
      <w:r>
        <w:t xml:space="preserve"> échantillons (échantillonnage contractuel) qui présentent respectivement l'aspect moyen et les deux aspects voisins de la fourniture. Ces échantillons sont représentatifs des pierres qui sont fournies et présentent donc toutes les particularités d’aspect (veines, trous, fils, …) qui ne sont pas considérées comme défauts.</w:t>
      </w:r>
    </w:p>
    <w:p w14:paraId="65B31297" w14:textId="77777777" w:rsidR="00DB2B68" w:rsidRDefault="00000000">
      <w:pPr>
        <w:pStyle w:val="pheading"/>
      </w:pPr>
      <w:r>
        <w:t>DOCUMENTS DE RÉFÉRENCE COMPLÉMENTAIRES</w:t>
      </w:r>
    </w:p>
    <w:p w14:paraId="21DD2152" w14:textId="77777777" w:rsidR="00DB2B68" w:rsidRDefault="00000000">
      <w:pPr>
        <w:pStyle w:val="pheading"/>
      </w:pPr>
      <w:r>
        <w:t>- Matériau</w:t>
      </w:r>
    </w:p>
    <w:p w14:paraId="3B5417F0" w14:textId="77777777" w:rsidR="00DB2B68" w:rsidRDefault="00000000">
      <w:r>
        <w:t>[NIT 220, La pierre bleue de Belgique dite petit granit d'âge géologique tournaisien (remplace la NIT 156).]</w:t>
      </w:r>
    </w:p>
    <w:p w14:paraId="2427212A" w14:textId="77777777" w:rsidR="00DB2B68" w:rsidRDefault="00000000">
      <w:r>
        <w:t>[NBN EN 1469, Produits en pierre naturelle - Dalles de revêtement mural - Exigences]</w:t>
      </w:r>
    </w:p>
    <w:p w14:paraId="0C300CF8" w14:textId="77777777" w:rsidR="00DB2B68" w:rsidRDefault="00000000">
      <w:pPr>
        <w:pStyle w:val="pheading"/>
      </w:pPr>
      <w:r>
        <w:t>MESURAGE</w:t>
      </w:r>
    </w:p>
    <w:p w14:paraId="2A6E4F3A" w14:textId="77777777" w:rsidR="00DB2B68" w:rsidRDefault="00000000">
      <w:pPr>
        <w:pStyle w:val="pheading"/>
      </w:pPr>
      <w:r>
        <w:t>- unité de mesure:</w:t>
      </w:r>
    </w:p>
    <w:p w14:paraId="64E22255" w14:textId="77777777" w:rsidR="00DB2B68" w:rsidRDefault="00000000">
      <w:r>
        <w:t>m²</w:t>
      </w:r>
    </w:p>
    <w:p w14:paraId="524C14E8" w14:textId="77777777" w:rsidR="00DB2B68" w:rsidRDefault="00000000">
      <w:pPr>
        <w:pStyle w:val="pheading"/>
      </w:pPr>
      <w:r>
        <w:t>- code de mesurage:</w:t>
      </w:r>
    </w:p>
    <w:p w14:paraId="4BCAF60D" w14:textId="77777777" w:rsidR="00DB2B68" w:rsidRDefault="00000000">
      <w:pPr>
        <w:jc w:val="both"/>
      </w:pPr>
      <w:r>
        <w:t>Surface nette du parement à exécuter distinction faite suivant l’épaisseur et éventuellement la finition des plaques, y compris l’établissement des plans de calepinage et la fourniture des notes de calcul des ancrages, les mortiers de pose, les éléments d'ancrage, l'isolation contre l'humidité, les joints de dilatation, le rejointoiement, les mastics, etc…. Les plaques dont la surface est inférieure à 0,1 m² sont comptées pour 0,1 m². Les réservations dont la superficie est ˃ 0,5 m² sont déduites.</w:t>
      </w:r>
    </w:p>
    <w:p w14:paraId="444E2E88" w14:textId="77777777" w:rsidR="00DB2B68" w:rsidRDefault="00000000">
      <w:pPr>
        <w:pStyle w:val="pheading"/>
      </w:pPr>
      <w:r>
        <w:t>- nature du marché:</w:t>
      </w:r>
    </w:p>
    <w:p w14:paraId="065C0122" w14:textId="77777777" w:rsidR="00DB2B68" w:rsidRDefault="00000000">
      <w:r>
        <w:t>QF</w:t>
      </w:r>
    </w:p>
    <w:p w14:paraId="12A43425" w14:textId="77777777" w:rsidR="00DB2B68" w:rsidRDefault="00000000">
      <w:pPr>
        <w:pStyle w:val="pheading"/>
      </w:pPr>
      <w:r>
        <w:t>AIDE</w:t>
      </w:r>
    </w:p>
    <w:p w14:paraId="40712B29" w14:textId="77777777" w:rsidR="00DB2B68" w:rsidRDefault="00000000">
      <w:r>
        <w:t>Résistance au feu de l'élément : support aux prescripteurs : [SWL GSI/T1/C].</w:t>
      </w:r>
    </w:p>
    <w:p w14:paraId="509194D1" w14:textId="77777777" w:rsidR="00DB2B68" w:rsidRDefault="00000000">
      <w:pPr>
        <w:pStyle w:val="Author-eSectionHeading6Numberless"/>
      </w:pPr>
      <w:bookmarkStart w:id="2122" w:name="_Toc220497056"/>
      <w:r>
        <w:t>28.11.1b Revêtements de façade en panneaux de pierre composée CCTB 01.04</w:t>
      </w:r>
      <w:bookmarkEnd w:id="2122"/>
    </w:p>
    <w:p w14:paraId="7C06F65B" w14:textId="77777777" w:rsidR="00DB2B68" w:rsidRDefault="00000000">
      <w:pPr>
        <w:pStyle w:val="Author-eSectionHeading3Numberless"/>
      </w:pPr>
      <w:bookmarkStart w:id="2123" w:name="_Toc220497057"/>
      <w:r>
        <w:lastRenderedPageBreak/>
        <w:t>28.2 Revêtements de façade en panneaux préfabriqués en béton CCTB 01.04</w:t>
      </w:r>
      <w:bookmarkEnd w:id="2123"/>
    </w:p>
    <w:p w14:paraId="3225F87F" w14:textId="77777777" w:rsidR="00DB2B68" w:rsidRDefault="00000000">
      <w:pPr>
        <w:pStyle w:val="Author-eSectionHeading4Numberless"/>
      </w:pPr>
      <w:bookmarkStart w:id="2124" w:name="_Toc220497058"/>
      <w:r>
        <w:t>28.21 Revêtements de façade en panneaux préfabriqués en béton CCTB 01.04</w:t>
      </w:r>
      <w:bookmarkEnd w:id="2124"/>
    </w:p>
    <w:p w14:paraId="75BAE84A" w14:textId="77777777" w:rsidR="00DB2B68" w:rsidRDefault="00000000">
      <w:pPr>
        <w:pStyle w:val="Author-eSectionHeading5Numberless"/>
      </w:pPr>
      <w:bookmarkStart w:id="2125" w:name="536"/>
      <w:bookmarkStart w:id="2126" w:name="_Toc220497059"/>
      <w:bookmarkEnd w:id="2125"/>
      <w:r>
        <w:t>28.21.1 Revêtements de façade en panneaux préfabriqués en béton CCTB 01.13</w:t>
      </w:r>
      <w:bookmarkEnd w:id="2126"/>
    </w:p>
    <w:p w14:paraId="1E6E5C04" w14:textId="77777777" w:rsidR="00DB2B68" w:rsidRDefault="00000000">
      <w:pPr>
        <w:pStyle w:val="pheading"/>
      </w:pPr>
      <w:r>
        <w:t>DESCRIPTION</w:t>
      </w:r>
    </w:p>
    <w:p w14:paraId="0ACCC61F" w14:textId="77777777" w:rsidR="00DB2B68" w:rsidRDefault="00000000">
      <w:pPr>
        <w:pStyle w:val="pheading"/>
      </w:pPr>
      <w:r>
        <w:t>- Définition / Comprend</w:t>
      </w:r>
    </w:p>
    <w:p w14:paraId="6CD93D5E" w14:textId="77777777" w:rsidR="00DB2B68" w:rsidRDefault="00000000">
      <w:pPr>
        <w:jc w:val="both"/>
      </w:pPr>
      <w:r>
        <w:t>Il s'agit de tous les travaux et fournitures pour la réalisation des revêtements de façade en panneaux de béton dont la préfabrication en usine est obligatoire et qui sont ensuite assemblés à d’autres éléments de construction sur chantier.</w:t>
      </w:r>
    </w:p>
    <w:p w14:paraId="6514427F" w14:textId="77777777" w:rsidR="00DB2B68" w:rsidRDefault="00000000">
      <w:pPr>
        <w:jc w:val="both"/>
      </w:pPr>
      <w:r>
        <w:t>Les travaux comprennent notamment :</w:t>
      </w:r>
    </w:p>
    <w:p w14:paraId="5547EC02" w14:textId="77777777" w:rsidR="00DB2B68" w:rsidRDefault="00000000">
      <w:pPr>
        <w:pStyle w:val="Author-eListParagraph"/>
        <w:numPr>
          <w:ilvl w:val="0"/>
          <w:numId w:val="1177"/>
        </w:numPr>
        <w:jc w:val="both"/>
      </w:pPr>
      <w:r>
        <w:t>sur base des plans d’architecture annexés au dossier, l’établissement des plans d’exécution et la fourniture des notes de calcul à l’approbation de la direction du chantier ;</w:t>
      </w:r>
    </w:p>
    <w:p w14:paraId="4335FBD1" w14:textId="77777777" w:rsidR="00DB2B68" w:rsidRDefault="00000000">
      <w:pPr>
        <w:pStyle w:val="Author-eListParagraph"/>
        <w:numPr>
          <w:ilvl w:val="0"/>
          <w:numId w:val="1177"/>
        </w:numPr>
        <w:jc w:val="both"/>
      </w:pPr>
      <w:r>
        <w:t>la préfabrication des éléments conformément à la forme, aux dimensions et à la finition prescrite ;</w:t>
      </w:r>
    </w:p>
    <w:p w14:paraId="090A5AC5" w14:textId="77777777" w:rsidR="00DB2B68" w:rsidRDefault="00000000">
      <w:pPr>
        <w:pStyle w:val="Author-eListParagraph"/>
        <w:numPr>
          <w:ilvl w:val="0"/>
          <w:numId w:val="1177"/>
        </w:numPr>
        <w:jc w:val="both"/>
      </w:pPr>
      <w:r>
        <w:t>l’insertion éventuelle de réservations dans le béton ;</w:t>
      </w:r>
    </w:p>
    <w:p w14:paraId="6D48E2DF" w14:textId="77777777" w:rsidR="00DB2B68" w:rsidRDefault="00000000">
      <w:pPr>
        <w:pStyle w:val="Author-eListParagraph"/>
        <w:numPr>
          <w:ilvl w:val="0"/>
          <w:numId w:val="1177"/>
        </w:numPr>
        <w:jc w:val="both"/>
      </w:pPr>
      <w:r>
        <w:t>la préparation du support et/ou des appuis ;</w:t>
      </w:r>
    </w:p>
    <w:p w14:paraId="203484C4" w14:textId="77777777" w:rsidR="00DB2B68" w:rsidRDefault="00000000">
      <w:pPr>
        <w:pStyle w:val="Author-eListParagraph"/>
        <w:numPr>
          <w:ilvl w:val="0"/>
          <w:numId w:val="1177"/>
        </w:numPr>
        <w:jc w:val="both"/>
      </w:pPr>
      <w:r>
        <w:t>les mesures de protection du parement pendant l’exécution des travaux ;</w:t>
      </w:r>
    </w:p>
    <w:p w14:paraId="19D62181" w14:textId="77777777" w:rsidR="00DB2B68" w:rsidRDefault="00000000">
      <w:pPr>
        <w:pStyle w:val="Author-eListParagraph"/>
        <w:numPr>
          <w:ilvl w:val="0"/>
          <w:numId w:val="1177"/>
        </w:numPr>
        <w:jc w:val="both"/>
      </w:pPr>
      <w:r>
        <w:t>le transport et la mise en œuvre des éléments préfabriqués sur les constructions attenantes ;</w:t>
      </w:r>
    </w:p>
    <w:p w14:paraId="46D02496" w14:textId="77777777" w:rsidR="00DB2B68" w:rsidRDefault="00000000">
      <w:pPr>
        <w:pStyle w:val="Author-eListParagraph"/>
        <w:numPr>
          <w:ilvl w:val="0"/>
          <w:numId w:val="1177"/>
        </w:numPr>
        <w:jc w:val="both"/>
      </w:pPr>
      <w:r>
        <w:t>la disposition, le réglage et l’ancrage des différents éléments à la construction portante, y compris tous les moyens de fixation et d’appui, tous les dispositifs de rupture thermique et les joints de dilatation ;</w:t>
      </w:r>
    </w:p>
    <w:p w14:paraId="3A185659" w14:textId="77777777" w:rsidR="00DB2B68" w:rsidRDefault="00000000">
      <w:pPr>
        <w:pStyle w:val="Author-eListParagraph"/>
        <w:numPr>
          <w:ilvl w:val="0"/>
          <w:numId w:val="1177"/>
        </w:numPr>
        <w:jc w:val="both"/>
      </w:pPr>
      <w:r>
        <w:t>le remplissage au béton, le rejointoiement et/ou le colmatage des joints ;</w:t>
      </w:r>
    </w:p>
    <w:p w14:paraId="52B57597" w14:textId="77777777" w:rsidR="00DB2B68" w:rsidRDefault="00000000">
      <w:pPr>
        <w:pStyle w:val="Author-eListParagraph"/>
        <w:numPr>
          <w:ilvl w:val="0"/>
          <w:numId w:val="1177"/>
        </w:numPr>
        <w:jc w:val="both"/>
      </w:pPr>
      <w:r>
        <w:t>les dispositions relatives à la sécurité liées à la manutention et la pose des éléments préfabriqués en béton pondéreux font l’objet d’un descriptif complet de l’entrepreneur à soumettre pour approbation préalable du coordinateur sécurité &amp; santé.</w:t>
      </w:r>
    </w:p>
    <w:p w14:paraId="166CF2DB" w14:textId="77777777" w:rsidR="00DB2B68" w:rsidRDefault="00000000">
      <w:pPr>
        <w:pStyle w:val="pheading"/>
      </w:pPr>
      <w:r>
        <w:t>MATÉRIAUX</w:t>
      </w:r>
    </w:p>
    <w:p w14:paraId="6CAD7C98" w14:textId="77777777" w:rsidR="00DB2B68" w:rsidRDefault="00000000">
      <w:pPr>
        <w:jc w:val="both"/>
      </w:pPr>
      <w:r>
        <w:t>Les éléments en béton armé architectonique préfabriqués sont exécutés de manière à rester apparents sans qu'une autre finition que le traitement ultérieur éventuellement prévu ne soit nécessaire. Pour que la couleur de la surface des éléments en béton soit toujours homogène, les mélanges de béton successifs sont toujours de la même composition et de la même consistance</w:t>
      </w:r>
    </w:p>
    <w:p w14:paraId="5691C688" w14:textId="77777777" w:rsidR="00DB2B68" w:rsidRDefault="00000000">
      <w:pPr>
        <w:jc w:val="both"/>
      </w:pPr>
      <w:r>
        <w:rPr>
          <w:b/>
        </w:rPr>
        <w:t>Constituants des bétons</w:t>
      </w:r>
    </w:p>
    <w:p w14:paraId="317A3E3A" w14:textId="77777777" w:rsidR="00DB2B68" w:rsidRDefault="00000000">
      <w:pPr>
        <w:jc w:val="both"/>
      </w:pPr>
      <w:r>
        <w:t>Outre l'obligation de répondre aux conditions d'aspect, les agrégats employés présentent toutes les garanties de durabilité en présence du ciment et ne sont pas gélifs. Il ne peut y avoir d'éléments dont la composition provoquerait à la longue être à l'origine de taches quelconques.</w:t>
      </w:r>
    </w:p>
    <w:p w14:paraId="39B20359" w14:textId="77777777" w:rsidR="00DB2B68" w:rsidRDefault="00000000">
      <w:pPr>
        <w:jc w:val="both"/>
      </w:pPr>
      <w:r>
        <w:rPr>
          <w:b/>
        </w:rPr>
        <w:t>Coffrage – aspect des éléments</w:t>
      </w:r>
    </w:p>
    <w:p w14:paraId="7D3743B9" w14:textId="77777777" w:rsidR="00DB2B68" w:rsidRDefault="00000000">
      <w:pPr>
        <w:jc w:val="both"/>
      </w:pPr>
      <w:r>
        <w:t>Les coffrages sont réalisés à l'aide de moules d'une qualité telle qu'ils garantissent l'obtention d'un aspect répondant aux prescriptions suivantes :</w:t>
      </w:r>
    </w:p>
    <w:p w14:paraId="4C2DFA9B" w14:textId="77777777" w:rsidR="00DB2B68" w:rsidRDefault="00000000">
      <w:pPr>
        <w:pStyle w:val="Author-eListParagraph"/>
        <w:numPr>
          <w:ilvl w:val="0"/>
          <w:numId w:val="1178"/>
        </w:numPr>
      </w:pPr>
      <w:r>
        <w:t>Toutes les faces apparentes sont parfaitement lisses lors du décoffrage ;</w:t>
      </w:r>
    </w:p>
    <w:p w14:paraId="1AF3E374" w14:textId="77777777" w:rsidR="00DB2B68" w:rsidRDefault="00000000">
      <w:pPr>
        <w:pStyle w:val="Author-eListParagraph"/>
        <w:numPr>
          <w:ilvl w:val="0"/>
          <w:numId w:val="1178"/>
        </w:numPr>
      </w:pPr>
      <w:r>
        <w:t>Les arêtes sont vives, sans défauts ni ébréchures ;</w:t>
      </w:r>
    </w:p>
    <w:p w14:paraId="19699623" w14:textId="77777777" w:rsidR="00DB2B68" w:rsidRDefault="00000000">
      <w:pPr>
        <w:pStyle w:val="Author-eListParagraph"/>
        <w:numPr>
          <w:ilvl w:val="0"/>
          <w:numId w:val="1178"/>
        </w:numPr>
      </w:pPr>
      <w:r>
        <w:t>Toutes les faces apparentes sont parfaitement planes et d'un fini impeccable. Toutes les ébréchures ou imperfections de ces faces sont un motif suffisant de refus des pièces endommagées ;</w:t>
      </w:r>
    </w:p>
    <w:p w14:paraId="02B16AA6" w14:textId="77777777" w:rsidR="00DB2B68" w:rsidRDefault="00000000">
      <w:pPr>
        <w:pStyle w:val="Author-eListParagraph"/>
        <w:numPr>
          <w:ilvl w:val="0"/>
          <w:numId w:val="1178"/>
        </w:numPr>
      </w:pPr>
      <w:r>
        <w:t>Toutes les faces éventuellement en contact avec le béton armé coulé en place sont rugueuses. Au besoin, elles sont bouchardées pour assurer une solidarité parfaite ;</w:t>
      </w:r>
    </w:p>
    <w:p w14:paraId="6B55230A" w14:textId="77777777" w:rsidR="00DB2B68" w:rsidRDefault="00000000">
      <w:pPr>
        <w:pStyle w:val="Author-eListParagraph"/>
        <w:numPr>
          <w:ilvl w:val="0"/>
          <w:numId w:val="1178"/>
        </w:numPr>
      </w:pPr>
      <w:r>
        <w:lastRenderedPageBreak/>
        <w:t>Les retouches de faible importance, exécutées par un spécialiste, ne sont tolérées qu'après accord préalable de la direction du chantier ;</w:t>
      </w:r>
    </w:p>
    <w:p w14:paraId="3C2E3471" w14:textId="77777777" w:rsidR="00DB2B68" w:rsidRDefault="00000000">
      <w:pPr>
        <w:pStyle w:val="Author-eListParagraph"/>
        <w:numPr>
          <w:ilvl w:val="0"/>
          <w:numId w:val="1178"/>
        </w:numPr>
      </w:pPr>
      <w:r>
        <w:t>Toutes les précautions sont prises pour que les attaches, fers en attente, crochets de levage éventuels, ... ne donnent lieu à aucune trace de rouille. Ces éléments sont protégés durablement contre la corrosion ;</w:t>
      </w:r>
    </w:p>
    <w:p w14:paraId="539E9C8E" w14:textId="77777777" w:rsidR="00DB2B68" w:rsidRDefault="00000000">
      <w:pPr>
        <w:pStyle w:val="Author-eListParagraph"/>
        <w:numPr>
          <w:ilvl w:val="0"/>
          <w:numId w:val="1178"/>
        </w:numPr>
      </w:pPr>
      <w:r>
        <w:t>Le fabricant garantit l'aspect et la tenue impeccable dans le temps, sans trace de faïençage, pendant 10 ans.</w:t>
      </w:r>
    </w:p>
    <w:p w14:paraId="06E8D4B2" w14:textId="77777777" w:rsidR="00DB2B68" w:rsidRDefault="00000000">
      <w:pPr>
        <w:jc w:val="both"/>
      </w:pPr>
      <w:r>
        <w:rPr>
          <w:b/>
        </w:rPr>
        <w:t>Armatures</w:t>
      </w:r>
    </w:p>
    <w:p w14:paraId="2D3473BA" w14:textId="77777777" w:rsidR="00DB2B68" w:rsidRDefault="00000000">
      <w:pPr>
        <w:jc w:val="both"/>
      </w:pPr>
      <w:r>
        <w:t>Le diamètre et la section des armatures est déterminée par le fabricant des panneaux en fonction des sollicitations prévues. L’étude est soumise à l’approbation de la direction du chantier.</w:t>
      </w:r>
    </w:p>
    <w:p w14:paraId="50486FD9" w14:textId="77777777" w:rsidR="00DB2B68" w:rsidRDefault="00000000">
      <w:pPr>
        <w:jc w:val="both"/>
      </w:pPr>
      <w:r>
        <w:t>Les treillis d'armature sont ligaturés ou soudés électriquement, à l'exclusion de toute autre méthode de soudage non admise par les normes.</w:t>
      </w:r>
    </w:p>
    <w:p w14:paraId="05F7CA67" w14:textId="77777777" w:rsidR="00DB2B68" w:rsidRDefault="00000000">
      <w:pPr>
        <w:jc w:val="both"/>
      </w:pPr>
      <w:r>
        <w:t>Pour tous les éléments exposés aux intempéries, l’enrobage de l'armature est ≥ à 40 mm, mesurés au point le plus bas de la couche décorative.</w:t>
      </w:r>
    </w:p>
    <w:p w14:paraId="0E1C7A7B" w14:textId="77777777" w:rsidR="00DB2B68" w:rsidRDefault="00000000">
      <w:pPr>
        <w:jc w:val="both"/>
      </w:pPr>
      <w:r>
        <w:t>Le calcul de l'armature tient compte de toutes les sollicitations possibles et des coefficients de sécurité appropriés. Les sollicitations suivantes sont plus particulièrement prises en considération :</w:t>
      </w:r>
    </w:p>
    <w:p w14:paraId="759388D6" w14:textId="77777777" w:rsidR="00DB2B68" w:rsidRDefault="00000000">
      <w:pPr>
        <w:pStyle w:val="Author-eListParagraph"/>
        <w:numPr>
          <w:ilvl w:val="0"/>
          <w:numId w:val="1179"/>
        </w:numPr>
      </w:pPr>
      <w:r>
        <w:t>décoffrage de l'élément lorsque le béton est encore jeune ;</w:t>
      </w:r>
    </w:p>
    <w:p w14:paraId="37F576E0" w14:textId="77777777" w:rsidR="00DB2B68" w:rsidRDefault="00000000">
      <w:pPr>
        <w:pStyle w:val="Author-eListParagraph"/>
        <w:numPr>
          <w:ilvl w:val="0"/>
          <w:numId w:val="1179"/>
        </w:numPr>
      </w:pPr>
      <w:r>
        <w:t>finition, chargement et transport ;</w:t>
      </w:r>
    </w:p>
    <w:p w14:paraId="5EDE3009" w14:textId="77777777" w:rsidR="00DB2B68" w:rsidRDefault="00000000">
      <w:pPr>
        <w:pStyle w:val="Author-eListParagraph"/>
        <w:numPr>
          <w:ilvl w:val="0"/>
          <w:numId w:val="1179"/>
        </w:numPr>
      </w:pPr>
      <w:r>
        <w:t>montage et fixation provisoire ;</w:t>
      </w:r>
    </w:p>
    <w:p w14:paraId="0CE5C01C" w14:textId="77777777" w:rsidR="00DB2B68" w:rsidRDefault="00000000">
      <w:pPr>
        <w:pStyle w:val="Author-eListParagraph"/>
        <w:numPr>
          <w:ilvl w:val="0"/>
          <w:numId w:val="1179"/>
        </w:numPr>
      </w:pPr>
      <w:r>
        <w:t>charges auxquelles l'élément est soumis dans le bâtiment du fait de son rôle : charge verticale, moment, vent, etc...</w:t>
      </w:r>
    </w:p>
    <w:p w14:paraId="6507A8CB" w14:textId="77777777" w:rsidR="00DB2B68" w:rsidRDefault="00000000">
      <w:pPr>
        <w:jc w:val="both"/>
      </w:pPr>
      <w:r>
        <w:rPr>
          <w:b/>
        </w:rPr>
        <w:t>Fixations</w:t>
      </w:r>
    </w:p>
    <w:p w14:paraId="71E35D8B" w14:textId="77777777" w:rsidR="00DB2B68" w:rsidRDefault="00000000">
      <w:pPr>
        <w:jc w:val="both"/>
      </w:pPr>
      <w:r>
        <w:t>Les fixations sont obligatoirement inoxydables dans leur masse et inattaquables par les agents chimiques véhiculés par l'eau. Les matériaux recouverts d'une couche anti-corrosive sont exclus.</w:t>
      </w:r>
    </w:p>
    <w:p w14:paraId="3A88899E" w14:textId="77777777" w:rsidR="00DB2B68" w:rsidRDefault="00000000">
      <w:pPr>
        <w:jc w:val="both"/>
      </w:pPr>
      <w:r>
        <w:t>Les différentes parties métalliques des fixations sont de nature à ne pas établir un couple électrochimique.</w:t>
      </w:r>
    </w:p>
    <w:p w14:paraId="2314506F" w14:textId="77777777" w:rsidR="00DB2B68" w:rsidRDefault="00000000">
      <w:pPr>
        <w:pStyle w:val="pheading"/>
      </w:pPr>
      <w:r>
        <w:t>EXÉCUTION / MISE EN ŒUVRE</w:t>
      </w:r>
    </w:p>
    <w:p w14:paraId="5D5E8A97" w14:textId="77777777" w:rsidR="00DB2B68" w:rsidRDefault="00000000">
      <w:pPr>
        <w:jc w:val="both"/>
      </w:pPr>
      <w:r>
        <w:rPr>
          <w:b/>
        </w:rPr>
        <w:t>Généralités</w:t>
      </w:r>
    </w:p>
    <w:p w14:paraId="0EF79BA6" w14:textId="77777777" w:rsidR="00DB2B68" w:rsidRDefault="00000000">
      <w:pPr>
        <w:jc w:val="both"/>
      </w:pPr>
      <w:r>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  </w:t>
      </w:r>
    </w:p>
    <w:p w14:paraId="4C1AEC25" w14:textId="77777777" w:rsidR="00DB2B68" w:rsidRDefault="00000000">
      <w:pPr>
        <w:jc w:val="both"/>
      </w:pPr>
      <w:r>
        <w:t>Les éléments sont fabriqués en usine par des ouvriers qualifiés spécialisés et sous contrôle permanent.</w:t>
      </w:r>
    </w:p>
    <w:p w14:paraId="3FE2342A" w14:textId="77777777" w:rsidR="00DB2B68" w:rsidRDefault="00000000">
      <w:pPr>
        <w:jc w:val="both"/>
      </w:pPr>
      <w:r>
        <w:t>Le fabricant et l’entrepreneur veillent à ce que les éléments soient parfaitement compatibles et ajustables aux autres éléments constitutifs, structurels, techniques et de finition de l’ouvrage de construction.</w:t>
      </w:r>
    </w:p>
    <w:p w14:paraId="63F7F83C" w14:textId="77777777" w:rsidR="00DB2B68" w:rsidRDefault="00000000">
      <w:pPr>
        <w:jc w:val="both"/>
      </w:pPr>
      <w:r>
        <w:t>L’entrepreneur coordonne l’ensemble de l’ouvrage de construction de manière, que de tout temps, et pendant toute la durée des manipulations nécessaires et possibles des divers éléments, la stabilité de l’ensemble et de chaque élément en particulier soit garantie en permanence.</w:t>
      </w:r>
    </w:p>
    <w:p w14:paraId="3AFB12DA" w14:textId="77777777" w:rsidR="00DB2B68" w:rsidRDefault="00000000">
      <w:pPr>
        <w:jc w:val="both"/>
      </w:pPr>
      <w:r>
        <w:rPr>
          <w:b/>
        </w:rPr>
        <w:t>Stockage et manutention sur le chantier</w:t>
      </w:r>
    </w:p>
    <w:p w14:paraId="4D0F151A" w14:textId="77777777" w:rsidR="00DB2B68" w:rsidRDefault="00000000">
      <w:pPr>
        <w:jc w:val="both"/>
      </w:pPr>
      <w:r>
        <w:t>Tant le stockage que la manutention des éléments sont conformes au [PTV 21-601] § 6.3.</w:t>
      </w:r>
    </w:p>
    <w:p w14:paraId="56A97377" w14:textId="77777777" w:rsidR="00DB2B68" w:rsidRDefault="00000000">
      <w:pPr>
        <w:jc w:val="both"/>
      </w:pPr>
      <w:r>
        <w:t>Le levage des éléments est réalisé en utilisant les points de levage prévus par le fabricant et indiqués sur les plans. Les éventuels accessoires prévus par le fabricant sont utilisés suivant les prescriptions du matériel livré. </w:t>
      </w:r>
    </w:p>
    <w:p w14:paraId="3DBF8116" w14:textId="77777777" w:rsidR="00DB2B68" w:rsidRDefault="00000000">
      <w:pPr>
        <w:jc w:val="both"/>
      </w:pPr>
      <w:r>
        <w:rPr>
          <w:b/>
        </w:rPr>
        <w:t>Montage</w:t>
      </w:r>
    </w:p>
    <w:p w14:paraId="76C7EF32" w14:textId="77777777" w:rsidR="00DB2B68" w:rsidRDefault="00000000">
      <w:pPr>
        <w:jc w:val="both"/>
      </w:pPr>
      <w:r>
        <w:lastRenderedPageBreak/>
        <w:t>Le montage des éléments est confié à une entreprise disposant du personnel compétent, des équipements adaptés et du matériel de levage.</w:t>
      </w:r>
    </w:p>
    <w:p w14:paraId="6F3058EE" w14:textId="77777777" w:rsidR="00DB2B68" w:rsidRDefault="00000000">
      <w:pPr>
        <w:jc w:val="both"/>
      </w:pPr>
      <w:r>
        <w:t>L’entrepreneur assure une collaboration efficace entre l’organisation du montage, le planning de production, les prescriptions du chantier (dont la sécurité) et l’accès au chantier.</w:t>
      </w:r>
    </w:p>
    <w:p w14:paraId="2CD0A7C3" w14:textId="77777777" w:rsidR="00DB2B68" w:rsidRDefault="00000000">
      <w:pPr>
        <w:jc w:val="both"/>
      </w:pPr>
      <w:r>
        <w:t>Les accessoires utilisés pour le calage ou la protection sont conçus pour ne pas occasionner des taches ou d’autres types de dommages aux éléments.</w:t>
      </w:r>
    </w:p>
    <w:p w14:paraId="5BC09CB6" w14:textId="77777777" w:rsidR="00DB2B68" w:rsidRDefault="00000000">
      <w:pPr>
        <w:jc w:val="both"/>
      </w:pPr>
      <w:r>
        <w:t>Les liaisons définitives entre les éléments sont exécutées conformément aux plans et aux prescriptions des documents d’exécution établis par le fabricant et approuvés par la direction du chantier.</w:t>
      </w:r>
    </w:p>
    <w:p w14:paraId="0748C6CA" w14:textId="77777777" w:rsidR="00DB2B68" w:rsidRDefault="00000000">
      <w:pPr>
        <w:jc w:val="both"/>
      </w:pPr>
      <w:r>
        <w:rPr>
          <w:b/>
        </w:rPr>
        <w:t>Réglage et alignement des éléments</w:t>
      </w:r>
    </w:p>
    <w:p w14:paraId="0DFEF09A" w14:textId="77777777" w:rsidR="00DB2B68" w:rsidRDefault="00000000">
      <w:pPr>
        <w:jc w:val="both"/>
      </w:pPr>
      <w:r>
        <w:t>En général, un premier réglage « grossier » est réalisé pendant le montage des éléments, permettant un alignement temporaire. Ensuite, le réglage final est réalisé à l’aide des suspentes de liaisons définitives. Après chaque phase, le monteur procède à un contrôle du réglage des éléments avant de poursuivre les autres travaux de mise en œuvre.</w:t>
      </w:r>
    </w:p>
    <w:p w14:paraId="086106C9" w14:textId="77777777" w:rsidR="00DB2B68" w:rsidRDefault="00000000">
      <w:pPr>
        <w:jc w:val="both"/>
      </w:pPr>
      <w:r>
        <w:rPr>
          <w:b/>
        </w:rPr>
        <w:t>Fixations</w:t>
      </w:r>
    </w:p>
    <w:p w14:paraId="0D4E0166" w14:textId="77777777" w:rsidR="00DB2B68" w:rsidRDefault="00000000">
      <w:pPr>
        <w:jc w:val="both"/>
      </w:pPr>
      <w:r>
        <w:t xml:space="preserve">Les points d'attache constituant autant de ponts thermiques nuisant à l'efficacité de l'isolation, le fabricant, lors de l’établissement de ses plans d’exécution, tend à réduire le plus possible le nombre de fixation et prévoit des plaques de rupture thermique présentant une résistance thermique ≥ à </w:t>
      </w:r>
      <w:r>
        <w:rPr>
          <w:rStyle w:val="optioncarChar"/>
        </w:rPr>
        <w:t>0,038</w:t>
      </w:r>
      <w:r>
        <w:t xml:space="preserve"> (par défaut) </w:t>
      </w:r>
      <w:r>
        <w:rPr>
          <w:rStyle w:val="optioncarChar"/>
        </w:rPr>
        <w:t>/ ***</w:t>
      </w:r>
      <w:r>
        <w:t xml:space="preserve"> m²K/W entre les consoles et le mur dans lequel elles viennent s’ancrer.</w:t>
      </w:r>
    </w:p>
    <w:p w14:paraId="04985843" w14:textId="77777777" w:rsidR="00DB2B68" w:rsidRDefault="00000000">
      <w:pPr>
        <w:jc w:val="both"/>
      </w:pPr>
      <w:r>
        <w:rPr>
          <w:b/>
        </w:rPr>
        <w:t>Joints</w:t>
      </w:r>
    </w:p>
    <w:p w14:paraId="637EAA46" w14:textId="77777777" w:rsidR="00DB2B68" w:rsidRDefault="00000000">
      <w:pPr>
        <w:jc w:val="both"/>
      </w:pPr>
      <w:r>
        <w:t>L'exécution du garnissage est précédée d'un nettoyage soigné des lèvres des joints notamment pour procéder à l’élimination complète des huiles de coffrage.</w:t>
      </w:r>
    </w:p>
    <w:p w14:paraId="0D573884" w14:textId="77777777" w:rsidR="00DB2B68" w:rsidRDefault="00000000">
      <w:pPr>
        <w:jc w:val="both"/>
      </w:pPr>
      <w:r>
        <w:t>Il est recommandé de procéder au jointoiement de finition aussi tardivement que possible, après la pose de toute la hauteur de la travée de façade, entre deux joints ou arrêts de revêtement et ce, de manière à pallier les risques de désordres des joints consécutifs au fluage et au retrait.</w:t>
      </w:r>
    </w:p>
    <w:p w14:paraId="661FE7CF" w14:textId="77777777" w:rsidR="00DB2B68" w:rsidRDefault="00000000">
      <w:pPr>
        <w:jc w:val="both"/>
      </w:pPr>
      <w:r>
        <w:t>Pour éviter la mise en compression du revêtement directement sur le support, des joints sont prévus autour des saillies de façade (appuis, balcons, bandeaux, linteaux, etc…) ainsi qu’en prolongement des joints structuraux du support.</w:t>
      </w:r>
    </w:p>
    <w:p w14:paraId="710CD174" w14:textId="77777777" w:rsidR="00DB2B68" w:rsidRDefault="00000000">
      <w:pPr>
        <w:jc w:val="both"/>
      </w:pPr>
      <w:r>
        <w:rPr>
          <w:b/>
        </w:rPr>
        <w:t>Mesures spéciales pour prévenir les dommages causés par le froid après le montage</w:t>
      </w:r>
    </w:p>
    <w:p w14:paraId="13CC4681" w14:textId="77777777" w:rsidR="00DB2B68" w:rsidRDefault="00000000">
      <w:pPr>
        <w:jc w:val="both"/>
      </w:pPr>
      <w:r>
        <w:t>L’entrepreneur prend toutes les mesures nécessaires pour éviter la glaciation dans les évidements et les points de levage. Directement après le montage, il convient donc de boucher les ouvertures de levage à l’aide de mortier résistant au retrait.</w:t>
      </w:r>
    </w:p>
    <w:p w14:paraId="1EB983FA" w14:textId="77777777" w:rsidR="00DB2B68" w:rsidRDefault="00000000">
      <w:pPr>
        <w:jc w:val="both"/>
      </w:pPr>
      <w:r>
        <w:rPr>
          <w:b/>
        </w:rPr>
        <w:t>Protection temporaire (jusqu’à la réception)</w:t>
      </w:r>
    </w:p>
    <w:p w14:paraId="4E08E1BD" w14:textId="77777777" w:rsidR="00DB2B68" w:rsidRDefault="00000000">
      <w:pPr>
        <w:jc w:val="both"/>
      </w:pPr>
      <w:r>
        <w:t>L’entrepreneur protège les éléments contre les risques de salissures et de dommages. Les matériaux utilisés pour la protection n’ont pas d’influence négative permanente sur les éléments.</w:t>
      </w:r>
    </w:p>
    <w:p w14:paraId="45C8FA48" w14:textId="77777777" w:rsidR="00DB2B68" w:rsidRDefault="00000000">
      <w:pPr>
        <w:jc w:val="both"/>
      </w:pPr>
      <w:r>
        <w:rPr>
          <w:b/>
        </w:rPr>
        <w:t>Nettoyage</w:t>
      </w:r>
    </w:p>
    <w:p w14:paraId="4A368834" w14:textId="77777777" w:rsidR="00DB2B68" w:rsidRDefault="00000000">
      <w:pPr>
        <w:jc w:val="both"/>
      </w:pPr>
      <w:r>
        <w:t>Il convient d’éviter toute salissure. Si cela n’est pas possible, il faut immédiatement l’enlever en utilisant de l’eau claire. Toute salissure toujours présente en fin de montage est enlevée par des ouvriers spécialisés.</w:t>
      </w:r>
    </w:p>
    <w:p w14:paraId="291409E2" w14:textId="77777777" w:rsidR="00DB2B68" w:rsidRDefault="00000000">
      <w:pPr>
        <w:jc w:val="both"/>
      </w:pPr>
      <w:r>
        <w:rPr>
          <w:b/>
        </w:rPr>
        <w:t>Nature des matériaux du support</w:t>
      </w:r>
    </w:p>
    <w:p w14:paraId="00CBF886" w14:textId="77777777" w:rsidR="00DB2B68" w:rsidRDefault="00000000">
      <w:pPr>
        <w:jc w:val="both"/>
      </w:pPr>
      <w:r>
        <w:t>Le support présente des qualités de résistance suffisantes pour que le scellement du dispositif de fixation et de suspente des panneaux présente toute sécurité vis-à-vis des efforts auxquels il est soumis, à savoir l’arrachement, la flexion et le cisaillement.</w:t>
      </w:r>
    </w:p>
    <w:p w14:paraId="2C09E2DB" w14:textId="77777777" w:rsidR="00DB2B68" w:rsidRDefault="00000000">
      <w:pPr>
        <w:pStyle w:val="pheading"/>
      </w:pPr>
      <w:r>
        <w:t>CONTRÔLES</w:t>
      </w:r>
    </w:p>
    <w:p w14:paraId="1250AB8D" w14:textId="77777777" w:rsidR="00DB2B68" w:rsidRDefault="00000000">
      <w:pPr>
        <w:jc w:val="both"/>
      </w:pPr>
      <w:r>
        <w:t>Les éléments préfabriqués sont contrôlés une première fois lors de leur livraison sur chantier, et une seconde fois après la pose.</w:t>
      </w:r>
    </w:p>
    <w:p w14:paraId="3BD203D9" w14:textId="77777777" w:rsidR="00DB2B68" w:rsidRDefault="00000000">
      <w:pPr>
        <w:pStyle w:val="pheading"/>
      </w:pPr>
      <w:r>
        <w:lastRenderedPageBreak/>
        <w:t>DOCUMENTS DE RÉFÉRENCE</w:t>
      </w:r>
    </w:p>
    <w:p w14:paraId="02EA5FD5" w14:textId="77777777" w:rsidR="00DB2B68" w:rsidRDefault="00000000">
      <w:pPr>
        <w:pStyle w:val="pheading"/>
      </w:pPr>
      <w:r>
        <w:t>- Matériau</w:t>
      </w:r>
    </w:p>
    <w:p w14:paraId="746B2ED0" w14:textId="77777777" w:rsidR="00DB2B68" w:rsidRDefault="00000000">
      <w:r>
        <w:t>[NBN EN 13369, Règles communes pour les produits préfabriqués en béton]</w:t>
      </w:r>
    </w:p>
    <w:p w14:paraId="4EEFE9DC" w14:textId="77777777" w:rsidR="00DB2B68" w:rsidRDefault="00000000">
      <w:r>
        <w:t>[NBN B 21-600, Règles communes pour les produits préfabriqués en béton - Complément national à la NBN EN 13369:2004+A1:2006+AC:2006]</w:t>
      </w:r>
    </w:p>
    <w:p w14:paraId="64EB76E9" w14:textId="77777777" w:rsidR="00DB2B68" w:rsidRDefault="00000000">
      <w:r>
        <w:t>[NBN EN 14992+A1, Produits préfabriqués en béton - Eléments de mur]  </w:t>
      </w:r>
    </w:p>
    <w:p w14:paraId="383DA841" w14:textId="77777777" w:rsidR="00DB2B68" w:rsidRDefault="00000000">
      <w:r>
        <w:t>[NBN B 21-612, Produits préfabriqués en béton - Eléments de mur - Norme d'application nationale à la NBN EN 14992+A1:2012]</w:t>
      </w:r>
    </w:p>
    <w:p w14:paraId="306C96C3" w14:textId="77777777" w:rsidR="00DB2B68" w:rsidRDefault="00000000">
      <w:r>
        <w:t>[PTV 21-601, Eléments préfabriqués en béton architectonique.]</w:t>
      </w:r>
    </w:p>
    <w:p w14:paraId="50E085D0" w14:textId="77777777" w:rsidR="00DB2B68" w:rsidRDefault="00000000">
      <w:r>
        <w:t>[NBN B 15-007, Béton apparent - Classifications et spécifications]</w:t>
      </w:r>
    </w:p>
    <w:p w14:paraId="507A67A2" w14:textId="77777777" w:rsidR="00DB2B68" w:rsidRDefault="00000000">
      <w:pPr>
        <w:pStyle w:val="pheading"/>
      </w:pPr>
      <w:r>
        <w:t>- Exécution</w:t>
      </w:r>
    </w:p>
    <w:p w14:paraId="02E6A159" w14:textId="77777777" w:rsidR="00DB2B68" w:rsidRDefault="00000000">
      <w:r>
        <w:t>[PTV 21-601, Eléments préfabriqués en béton architectonique.]</w:t>
      </w:r>
    </w:p>
    <w:p w14:paraId="64C89198" w14:textId="77777777" w:rsidR="00DB2B68" w:rsidRDefault="00000000">
      <w:pPr>
        <w:pStyle w:val="Author-eSectionHeading6Numberless"/>
      </w:pPr>
      <w:bookmarkStart w:id="2127" w:name="_Toc220497060"/>
      <w:r>
        <w:t>28.21.1a Revêtements de façade en panneaux préfabriqués en béton CCTB 01.11</w:t>
      </w:r>
      <w:bookmarkEnd w:id="2127"/>
    </w:p>
    <w:p w14:paraId="7D86723F" w14:textId="77777777" w:rsidR="00DB2B68" w:rsidRDefault="00000000">
      <w:pPr>
        <w:pStyle w:val="pheading"/>
      </w:pPr>
      <w:r>
        <w:t>MESURAGE</w:t>
      </w:r>
    </w:p>
    <w:p w14:paraId="29D9DFA9" w14:textId="77777777" w:rsidR="00DB2B68" w:rsidRDefault="00000000">
      <w:pPr>
        <w:pStyle w:val="pheading"/>
      </w:pPr>
      <w:r>
        <w:t>- unité de mesure:</w:t>
      </w:r>
    </w:p>
    <w:p w14:paraId="26662B24" w14:textId="77777777" w:rsidR="00DB2B68" w:rsidRDefault="00000000">
      <w:r>
        <w:t>m2</w:t>
      </w:r>
    </w:p>
    <w:p w14:paraId="3891C843" w14:textId="77777777" w:rsidR="00DB2B68" w:rsidRDefault="00000000">
      <w:pPr>
        <w:pStyle w:val="pheading"/>
      </w:pPr>
      <w:r>
        <w:t>- code de mesurage:</w:t>
      </w:r>
    </w:p>
    <w:p w14:paraId="4BBC976B" w14:textId="77777777" w:rsidR="00DB2B68" w:rsidRDefault="00000000">
      <w:r>
        <w:t>Surface nette du parement à exécuter. Les plaques dont la surface est inférieure à 0,1 m² sont comptées pour 0,1 m². Les réservations dont la superficie est supérieure à 0,5 m² sont déduites.</w:t>
      </w:r>
    </w:p>
    <w:p w14:paraId="1D09BEFD" w14:textId="77777777" w:rsidR="00DB2B68" w:rsidRDefault="00000000">
      <w:pPr>
        <w:pStyle w:val="pheading"/>
      </w:pPr>
      <w:r>
        <w:t>- nature du marché:</w:t>
      </w:r>
    </w:p>
    <w:p w14:paraId="19F09E98" w14:textId="77777777" w:rsidR="00DB2B68" w:rsidRDefault="00000000">
      <w:r>
        <w:t>QF</w:t>
      </w:r>
    </w:p>
    <w:p w14:paraId="3F00E6EA" w14:textId="77777777" w:rsidR="00DB2B68" w:rsidRDefault="00000000">
      <w:pPr>
        <w:pStyle w:val="Author-eSectionHeading6Numberless"/>
      </w:pPr>
      <w:bookmarkStart w:id="2128" w:name="_Toc220497061"/>
      <w:r>
        <w:t>28.21.1b Revêtements de façade en panneaux préfabriqués en béton décoratif / architectonique CCTB 01.11</w:t>
      </w:r>
      <w:bookmarkEnd w:id="2128"/>
    </w:p>
    <w:p w14:paraId="20A7739B" w14:textId="77777777" w:rsidR="00DB2B68" w:rsidRDefault="00000000">
      <w:pPr>
        <w:pStyle w:val="pheading"/>
      </w:pPr>
      <w:r>
        <w:t>DESCRIPTION</w:t>
      </w:r>
    </w:p>
    <w:p w14:paraId="530AB78E" w14:textId="77777777" w:rsidR="00DB2B68" w:rsidRDefault="00000000">
      <w:pPr>
        <w:pStyle w:val="pheading"/>
      </w:pPr>
      <w:r>
        <w:t>- Définition / Comprend</w:t>
      </w:r>
    </w:p>
    <w:p w14:paraId="5D30AFE8" w14:textId="77777777" w:rsidR="00DB2B68" w:rsidRDefault="00000000">
      <w:pPr>
        <w:jc w:val="both"/>
      </w:pPr>
      <w:r>
        <w:t>Il s'agit de tous les travaux et fournitures pour la réalisation des revêtements de façade en panneaux préfabriqués en béton décoratif et architectonique.</w:t>
      </w:r>
    </w:p>
    <w:p w14:paraId="2FD931A5" w14:textId="77777777" w:rsidR="00DB2B68" w:rsidRDefault="00000000">
      <w:pPr>
        <w:pStyle w:val="pheading"/>
      </w:pPr>
      <w:r>
        <w:t>MATÉRIAUX</w:t>
      </w:r>
    </w:p>
    <w:p w14:paraId="3A526307" w14:textId="77777777" w:rsidR="00DB2B68" w:rsidRDefault="00000000">
      <w:pPr>
        <w:pStyle w:val="pheading"/>
      </w:pPr>
      <w:r>
        <w:t>- Caractéristiques générales</w:t>
      </w:r>
    </w:p>
    <w:p w14:paraId="05ADE674" w14:textId="77777777" w:rsidR="00DB2B68" w:rsidRDefault="00000000">
      <w:pPr>
        <w:jc w:val="both"/>
      </w:pPr>
      <w:r>
        <w:t>La composition du béton est déterminée par le fabricant mais satisfait toutefois aux exigences suivantes.</w:t>
      </w:r>
    </w:p>
    <w:p w14:paraId="7B6E9A9F" w14:textId="77777777" w:rsidR="00DB2B68" w:rsidRDefault="00000000">
      <w:pPr>
        <w:jc w:val="both"/>
      </w:pPr>
      <w:r>
        <w:t>Les granulats ne contiennent aucun minéral susceptible d'altérer, soit par oxydation, soit par attaque acide ou alcaline, l'aspect de la surface décorative du béton. La dureté des granulats est égale à celle du béton.</w:t>
      </w:r>
    </w:p>
    <w:p w14:paraId="5D2EC597" w14:textId="77777777" w:rsidR="00DB2B68" w:rsidRDefault="00000000">
      <w:pPr>
        <w:jc w:val="both"/>
      </w:pPr>
      <w:r>
        <w:t>L'épaisseur de la couche décorative est au moins égale au diamètre du plus gros grain qu'elle contient et jamais inférieure à 40 mm.</w:t>
      </w:r>
    </w:p>
    <w:p w14:paraId="665F0732" w14:textId="77777777" w:rsidR="00DB2B68" w:rsidRDefault="00000000">
      <w:pPr>
        <w:jc w:val="both"/>
      </w:pPr>
      <w:r>
        <w:t>Pour le béton architectonique l'uniformité de la teinte est un critère très important qui peut justifier le refus des pièces si elles ne correspondent pas aux prescriptions de la [PTV 21-601].</w:t>
      </w:r>
    </w:p>
    <w:p w14:paraId="66A40518" w14:textId="77777777" w:rsidR="00DB2B68" w:rsidRDefault="00000000">
      <w:pPr>
        <w:jc w:val="both"/>
      </w:pPr>
      <w:r>
        <w:t>Les coffrages sont réalisés à l'aide de moules qui garantissent le respect des tolérances de la [PTV 21-601] pour le béton architectonique et les [NBN EN 14992+A1] + la [NBN B 21-612] pour le béton décoratif.</w:t>
      </w:r>
    </w:p>
    <w:p w14:paraId="3D645431" w14:textId="77777777" w:rsidR="00DB2B68" w:rsidRDefault="00000000">
      <w:pPr>
        <w:jc w:val="both"/>
      </w:pPr>
      <w:r>
        <w:lastRenderedPageBreak/>
        <w:t>Le système répond aux spécifications suivantes.</w:t>
      </w:r>
    </w:p>
    <w:p w14:paraId="4CFEB9E9" w14:textId="77777777" w:rsidR="00DB2B68" w:rsidRDefault="00000000">
      <w:pPr>
        <w:jc w:val="both"/>
      </w:pPr>
      <w:r>
        <w:t xml:space="preserve">Épaisseur des panneaux : </w:t>
      </w:r>
      <w:r>
        <w:rPr>
          <w:rStyle w:val="optioncarChar"/>
        </w:rPr>
        <w:t>***</w:t>
      </w:r>
      <w:r>
        <w:t xml:space="preserve"> cm</w:t>
      </w:r>
    </w:p>
    <w:p w14:paraId="632EFEE0" w14:textId="77777777" w:rsidR="00DB2B68" w:rsidRDefault="00000000">
      <w:pPr>
        <w:jc w:val="both"/>
      </w:pPr>
      <w:r>
        <w:t xml:space="preserve">Armatures : treillis soudés nuance d'acier </w:t>
      </w:r>
      <w:r>
        <w:rPr>
          <w:rStyle w:val="optioncarChar"/>
        </w:rPr>
        <w:t xml:space="preserve">DE 500 BS </w:t>
      </w:r>
      <w:r>
        <w:t>(par défaut)</w:t>
      </w:r>
      <w:r>
        <w:rPr>
          <w:rStyle w:val="optioncarChar"/>
        </w:rPr>
        <w:t xml:space="preserve"> / BE 500 S / ***</w:t>
      </w:r>
      <w:r>
        <w:t xml:space="preserve"> et les éventuelles armatures complémentaires sont de qualité </w:t>
      </w:r>
      <w:r>
        <w:rPr>
          <w:rStyle w:val="optioncarChar"/>
        </w:rPr>
        <w:t xml:space="preserve">BE 500S </w:t>
      </w:r>
      <w:r>
        <w:t>(par défaut)</w:t>
      </w:r>
      <w:r>
        <w:rPr>
          <w:rStyle w:val="optioncarChar"/>
        </w:rPr>
        <w:t xml:space="preserve"> / ***</w:t>
      </w:r>
      <w:r>
        <w:t>.</w:t>
      </w:r>
    </w:p>
    <w:p w14:paraId="1CF4D269" w14:textId="77777777" w:rsidR="00DB2B68" w:rsidRDefault="00000000">
      <w:pPr>
        <w:jc w:val="both"/>
      </w:pPr>
      <w:r>
        <w:rPr>
          <w:b/>
        </w:rPr>
        <w:t>Fixations :</w:t>
      </w:r>
    </w:p>
    <w:p w14:paraId="7738C35C" w14:textId="77777777" w:rsidR="00DB2B68" w:rsidRDefault="00000000">
      <w:pPr>
        <w:pStyle w:val="Author-eListParagraph"/>
        <w:numPr>
          <w:ilvl w:val="0"/>
          <w:numId w:val="1180"/>
        </w:numPr>
      </w:pPr>
      <w:r>
        <w:t xml:space="preserve">Matière : </w:t>
      </w:r>
      <w:r>
        <w:rPr>
          <w:rStyle w:val="optioncarChar"/>
        </w:rPr>
        <w:t xml:space="preserve">acier inoxydable </w:t>
      </w:r>
      <w:r>
        <w:t xml:space="preserve">(par défaut) </w:t>
      </w:r>
      <w:r>
        <w:rPr>
          <w:rStyle w:val="optioncarChar"/>
        </w:rPr>
        <w:t>/ ***</w:t>
      </w:r>
    </w:p>
    <w:p w14:paraId="57AB899F" w14:textId="77777777" w:rsidR="00DB2B68" w:rsidRDefault="00000000">
      <w:pPr>
        <w:pStyle w:val="Author-eListParagraph"/>
        <w:numPr>
          <w:ilvl w:val="0"/>
          <w:numId w:val="1180"/>
        </w:numPr>
      </w:pPr>
      <w:r>
        <w:t xml:space="preserve">Nombre et emplacement : </w:t>
      </w:r>
      <w:r>
        <w:rPr>
          <w:rStyle w:val="optioncarChar"/>
        </w:rPr>
        <w:t xml:space="preserve">conformément au dessin des plans d’exécution et notes de calcul approuvés </w:t>
      </w:r>
      <w:r>
        <w:t xml:space="preserve">(par défaut) </w:t>
      </w:r>
      <w:r>
        <w:rPr>
          <w:rStyle w:val="optioncarChar"/>
        </w:rPr>
        <w:t>/ ***</w:t>
      </w:r>
    </w:p>
    <w:p w14:paraId="6ACB737F" w14:textId="77777777" w:rsidR="00DB2B68" w:rsidRDefault="00000000">
      <w:pPr>
        <w:pStyle w:val="Author-eListParagraph"/>
        <w:numPr>
          <w:ilvl w:val="0"/>
          <w:numId w:val="1180"/>
        </w:numPr>
      </w:pPr>
      <w:r>
        <w:t xml:space="preserve">Type d'ancrage : </w:t>
      </w:r>
      <w:r>
        <w:rPr>
          <w:rStyle w:val="optioncarChar"/>
        </w:rPr>
        <w:t>suspentes porteuses réglables</w:t>
      </w:r>
      <w:r>
        <w:t xml:space="preserve"> (par défaut)</w:t>
      </w:r>
      <w:r>
        <w:rPr>
          <w:rStyle w:val="optioncarChar"/>
        </w:rPr>
        <w:t xml:space="preserve"> / ***</w:t>
      </w:r>
    </w:p>
    <w:p w14:paraId="1A1ACE11" w14:textId="77777777" w:rsidR="00DB2B68" w:rsidRDefault="00000000">
      <w:pPr>
        <w:ind w:left="567"/>
        <w:jc w:val="both"/>
      </w:pPr>
      <w:r>
        <w:rPr>
          <w:b/>
        </w:rPr>
        <w:t>(soit par défaut)</w:t>
      </w:r>
    </w:p>
    <w:p w14:paraId="116030A1" w14:textId="77777777" w:rsidR="00DB2B68" w:rsidRDefault="00000000">
      <w:pPr>
        <w:ind w:left="567"/>
        <w:jc w:val="both"/>
      </w:pPr>
      <w:r>
        <w:rPr>
          <w:rStyle w:val="soitChar"/>
          <w:u w:val="single"/>
        </w:rPr>
        <w:t>Les suspentes porteuses réglables</w:t>
      </w:r>
      <w:r>
        <w:rPr>
          <w:rStyle w:val="soitChar"/>
        </w:rPr>
        <w:t xml:space="preserve"> en trois dimensions, qui sont également les contrevents, sont constituées d’un étrier de suspension intégré dans le panneau de façade lors de la production, d’un étrier de montage fixé contre la structure portante par boulonnage et, entre les deux, d’une pièce d’assemblage oblique. Les panneaux supérieurs sont pourvus de contrevents constitués d’un élément de fixation à ergot et manchon coulissant et boulon d’ancrage correspondant. La fixation, côté mur, se fait dans une cheville d’ancrage préforée ou une ouverture d’un diamètre approprié.</w:t>
      </w:r>
    </w:p>
    <w:p w14:paraId="32364AC9" w14:textId="77777777" w:rsidR="00DB2B68" w:rsidRDefault="00000000">
      <w:pPr>
        <w:ind w:left="567"/>
        <w:jc w:val="both"/>
      </w:pPr>
      <w:r>
        <w:rPr>
          <w:b/>
        </w:rPr>
        <w:t>(soit)</w:t>
      </w:r>
    </w:p>
    <w:p w14:paraId="67DFC0A2" w14:textId="77777777" w:rsidR="00DB2B68" w:rsidRDefault="00000000">
      <w:pPr>
        <w:ind w:left="567"/>
        <w:jc w:val="both"/>
      </w:pPr>
      <w:r>
        <w:rPr>
          <w:rStyle w:val="optioncarChar"/>
        </w:rPr>
        <w:t>***</w:t>
      </w:r>
    </w:p>
    <w:p w14:paraId="0DEDE8DC" w14:textId="77777777" w:rsidR="00DB2B68" w:rsidRDefault="00000000">
      <w:pPr>
        <w:jc w:val="both"/>
      </w:pPr>
      <w:r>
        <w:rPr>
          <w:b/>
        </w:rPr>
        <w:t>Joints :</w:t>
      </w:r>
      <w:r>
        <w:t xml:space="preserve"> matériau conforme aux prescriptions du </w:t>
      </w:r>
      <w:hyperlink w:anchor="701" w:history="1">
        <w:r>
          <w:rPr>
            <w:color w:val="0000EE"/>
          </w:rPr>
          <w:t>22.63.1b Joints de remplissage autres qu'en mortier</w:t>
        </w:r>
      </w:hyperlink>
      <w:r>
        <w:t xml:space="preserve"> autres qu'en mortier.</w:t>
      </w:r>
    </w:p>
    <w:p w14:paraId="7B0B09DF" w14:textId="77777777" w:rsidR="00DB2B68" w:rsidRDefault="00000000">
      <w:pPr>
        <w:jc w:val="both"/>
      </w:pPr>
      <w:r>
        <w:rPr>
          <w:b/>
        </w:rPr>
        <w:t>Comportement au feu :</w:t>
      </w:r>
    </w:p>
    <w:p w14:paraId="7186BAED" w14:textId="77777777" w:rsidR="00DB2B68" w:rsidRDefault="00000000">
      <w:pPr>
        <w:pStyle w:val="Author-eListParagraph"/>
        <w:numPr>
          <w:ilvl w:val="0"/>
          <w:numId w:val="1181"/>
        </w:numPr>
      </w:pPr>
      <w:r>
        <w:t>Réaction au feu : selon la [Décision 96/603/CE] et les conditions qui y ont reprises, le panneau en béton architectonique appartient à la classe de réaction au feu A1.</w:t>
      </w:r>
    </w:p>
    <w:p w14:paraId="58BE0D4F" w14:textId="77777777" w:rsidR="00DB2B68" w:rsidRDefault="00000000">
      <w:pPr>
        <w:pStyle w:val="Author-eListParagraph"/>
        <w:numPr>
          <w:ilvl w:val="0"/>
          <w:numId w:val="1181"/>
        </w:numPr>
      </w:pPr>
      <w:r>
        <w:t>Résistance au feu de l’élément :</w:t>
      </w:r>
      <w:r>
        <w:rPr>
          <w:rStyle w:val="optioncarChar"/>
        </w:rPr>
        <w:t xml:space="preserve"> néant</w:t>
      </w:r>
      <w:r>
        <w:t xml:space="preserve"> (par défaut)</w:t>
      </w:r>
      <w:r>
        <w:rPr>
          <w:rStyle w:val="optioncarChar"/>
        </w:rPr>
        <w:t xml:space="preserve"> / E 30 / E 60 / E 120 /EI 30 / EI 60 / EI 120 selon la [NBN EN 13501-2]</w:t>
      </w:r>
      <w:r>
        <w:t>.</w:t>
      </w:r>
    </w:p>
    <w:p w14:paraId="0E11693E" w14:textId="77777777" w:rsidR="00DB2B68" w:rsidRDefault="00000000">
      <w:pPr>
        <w:pStyle w:val="pheading"/>
      </w:pPr>
      <w:r>
        <w:t>- Finitions</w:t>
      </w:r>
    </w:p>
    <w:p w14:paraId="4CFF2552" w14:textId="77777777" w:rsidR="00DB2B68" w:rsidRDefault="00000000">
      <w:pPr>
        <w:jc w:val="both"/>
      </w:pPr>
      <w:r>
        <w:t>Type de béton préfabriqué avec exigences esthétiques : </w:t>
      </w:r>
      <w:r>
        <w:rPr>
          <w:rStyle w:val="optioncarChar"/>
        </w:rPr>
        <w:t>béton architectonique</w:t>
      </w:r>
      <w:r>
        <w:t> (par défaut)</w:t>
      </w:r>
      <w:r>
        <w:rPr>
          <w:rStyle w:val="optioncarChar"/>
        </w:rPr>
        <w:t> / béton décoratif industriel.</w:t>
      </w:r>
    </w:p>
    <w:p w14:paraId="7347A4A9" w14:textId="77777777" w:rsidR="00DB2B68" w:rsidRDefault="00000000">
      <w:pPr>
        <w:pStyle w:val="Author-eListParagraph"/>
        <w:numPr>
          <w:ilvl w:val="0"/>
          <w:numId w:val="1182"/>
        </w:numPr>
      </w:pPr>
      <w:r>
        <w:t>Les éléments en béton architectoniques répondent à la [PTV 21-601].</w:t>
      </w:r>
    </w:p>
    <w:p w14:paraId="1E84DA7D" w14:textId="77777777" w:rsidR="00DB2B68" w:rsidRDefault="00000000">
      <w:pPr>
        <w:pStyle w:val="Author-eListParagraph"/>
        <w:numPr>
          <w:ilvl w:val="0"/>
          <w:numId w:val="1182"/>
        </w:numPr>
      </w:pPr>
      <w:r>
        <w:t xml:space="preserve">Les éléments en béton décoratif industriel répondent aux </w:t>
      </w:r>
      <w:r>
        <w:rPr>
          <w:i/>
        </w:rPr>
        <w:t>prescriptions complémentaires</w:t>
      </w:r>
      <w:r>
        <w:t xml:space="preserve"> pour les éléments en béton décoratif industriel de la section </w:t>
      </w:r>
      <w:hyperlink w:anchor="87" w:history="1">
        <w:r>
          <w:rPr>
            <w:color w:val="0000EE"/>
          </w:rPr>
          <w:t>22 Superstructures en béton</w:t>
        </w:r>
      </w:hyperlink>
      <w:r>
        <w:t>.</w:t>
      </w:r>
    </w:p>
    <w:p w14:paraId="69BEA0E2" w14:textId="77777777" w:rsidR="00DB2B68" w:rsidRDefault="00000000">
      <w:pPr>
        <w:jc w:val="both"/>
      </w:pPr>
      <w:r>
        <w:t>Description détaillée des éléments :</w:t>
      </w:r>
    </w:p>
    <w:p w14:paraId="512EF623" w14:textId="77777777" w:rsidR="00DB2B68" w:rsidRDefault="00000000">
      <w:pPr>
        <w:pStyle w:val="Author-eListParagraph"/>
        <w:numPr>
          <w:ilvl w:val="0"/>
          <w:numId w:val="1183"/>
        </w:numPr>
      </w:pPr>
      <w:r>
        <w:t> Couleur : suivant</w:t>
      </w:r>
      <w:r>
        <w:rPr>
          <w:rStyle w:val="optioncarChar"/>
        </w:rPr>
        <w:t xml:space="preserve"> échantillon disponible</w:t>
      </w:r>
      <w:r>
        <w:t> (par défaut)</w:t>
      </w:r>
      <w:r>
        <w:rPr>
          <w:rStyle w:val="optioncarChar"/>
        </w:rPr>
        <w:t> / échantillons à remettre pour approbation par l'architecte / la couleur RAL</w:t>
      </w:r>
    </w:p>
    <w:p w14:paraId="11A5761C" w14:textId="77777777" w:rsidR="00DB2B68" w:rsidRDefault="00000000">
      <w:pPr>
        <w:ind w:left="567"/>
        <w:jc w:val="both"/>
      </w:pPr>
      <w:r>
        <w:rPr>
          <w:b/>
        </w:rPr>
        <w:t>(soit par défaut)</w:t>
      </w:r>
    </w:p>
    <w:p w14:paraId="13B0B809" w14:textId="77777777" w:rsidR="00DB2B68" w:rsidRDefault="00000000">
      <w:pPr>
        <w:ind w:left="567"/>
        <w:jc w:val="both"/>
      </w:pPr>
      <w:r>
        <w:rPr>
          <w:rStyle w:val="soitChar"/>
          <w:u w:val="single"/>
        </w:rPr>
        <w:t>Echantillon disponible</w:t>
      </w:r>
      <w:r>
        <w:t> </w:t>
      </w:r>
      <w:r>
        <w:rPr>
          <w:rStyle w:val="optioncarChar"/>
        </w:rPr>
        <w:t>auprès du bureau d’architecte / sur chantier / auprès du fabricant</w:t>
      </w:r>
    </w:p>
    <w:p w14:paraId="7D90FD05" w14:textId="77777777" w:rsidR="00DB2B68" w:rsidRDefault="00000000">
      <w:pPr>
        <w:ind w:left="567"/>
        <w:jc w:val="both"/>
      </w:pPr>
      <w:r>
        <w:rPr>
          <w:b/>
        </w:rPr>
        <w:t>(soit)</w:t>
      </w:r>
    </w:p>
    <w:p w14:paraId="3E479B28" w14:textId="77777777" w:rsidR="00DB2B68" w:rsidRDefault="00000000">
      <w:pPr>
        <w:ind w:left="567"/>
        <w:jc w:val="both"/>
      </w:pPr>
      <w:r>
        <w:rPr>
          <w:rStyle w:val="soitChar"/>
          <w:u w:val="single"/>
        </w:rPr>
        <w:t>Echantillons à remettre pour approbation par l’architecte :</w:t>
      </w:r>
      <w:r>
        <w:t>  </w:t>
      </w:r>
      <w:r>
        <w:rPr>
          <w:rStyle w:val="optioncarChar"/>
        </w:rPr>
        <w:t>gris / blanc / vert / anthracite / rouge / ***</w:t>
      </w:r>
    </w:p>
    <w:p w14:paraId="5C182E90" w14:textId="77777777" w:rsidR="00DB2B68" w:rsidRDefault="00000000">
      <w:pPr>
        <w:ind w:left="567"/>
        <w:jc w:val="both"/>
      </w:pPr>
      <w:r>
        <w:rPr>
          <w:b/>
        </w:rPr>
        <w:t>(soit)</w:t>
      </w:r>
    </w:p>
    <w:p w14:paraId="26BF2CC5" w14:textId="77777777" w:rsidR="00DB2B68" w:rsidRDefault="00000000">
      <w:pPr>
        <w:ind w:left="567"/>
        <w:jc w:val="both"/>
      </w:pPr>
      <w:r>
        <w:rPr>
          <w:rStyle w:val="soitChar"/>
          <w:u w:val="single"/>
        </w:rPr>
        <w:t>La couleur RAL</w:t>
      </w:r>
      <w:r>
        <w:rPr>
          <w:rStyle w:val="soitChar"/>
        </w:rPr>
        <w:t> se rapprochant le mieux que possible du RAL </w:t>
      </w:r>
      <w:r>
        <w:rPr>
          <w:rStyle w:val="optioncarChar"/>
        </w:rPr>
        <w:t>***</w:t>
      </w:r>
    </w:p>
    <w:p w14:paraId="0F254EF8" w14:textId="77777777" w:rsidR="00DB2B68" w:rsidRDefault="00000000">
      <w:pPr>
        <w:pStyle w:val="Author-eListParagraph"/>
        <w:numPr>
          <w:ilvl w:val="0"/>
          <w:numId w:val="1184"/>
        </w:numPr>
      </w:pPr>
      <w:r>
        <w:t xml:space="preserve"> Texture : suivant </w:t>
      </w:r>
      <w:r>
        <w:rPr>
          <w:rStyle w:val="optioncarChar"/>
        </w:rPr>
        <w:t>échantillon disponible </w:t>
      </w:r>
      <w:r>
        <w:t>(par défaut)</w:t>
      </w:r>
      <w:r>
        <w:rPr>
          <w:rStyle w:val="optioncarChar"/>
        </w:rPr>
        <w:t> / échantillons à remettre pour approbation par l'architecte</w:t>
      </w:r>
    </w:p>
    <w:p w14:paraId="25534BEC" w14:textId="77777777" w:rsidR="00DB2B68" w:rsidRDefault="00000000">
      <w:pPr>
        <w:ind w:left="567"/>
        <w:jc w:val="both"/>
      </w:pPr>
      <w:r>
        <w:rPr>
          <w:b/>
        </w:rPr>
        <w:t>(soit par défaut)</w:t>
      </w:r>
    </w:p>
    <w:p w14:paraId="07946FAF" w14:textId="77777777" w:rsidR="00DB2B68" w:rsidRDefault="00000000">
      <w:pPr>
        <w:ind w:left="567"/>
        <w:jc w:val="both"/>
      </w:pPr>
      <w:r>
        <w:rPr>
          <w:rStyle w:val="soitChar"/>
          <w:u w:val="single"/>
        </w:rPr>
        <w:lastRenderedPageBreak/>
        <w:t>Echantillon disponible</w:t>
      </w:r>
      <w:r>
        <w:rPr>
          <w:rStyle w:val="optioncarChar"/>
        </w:rPr>
        <w:t> auprès du bureau d’architecte / sur chantier / auprès du fabricant</w:t>
      </w:r>
    </w:p>
    <w:p w14:paraId="648D42F8" w14:textId="77777777" w:rsidR="00DB2B68" w:rsidRDefault="00000000">
      <w:pPr>
        <w:ind w:left="567"/>
        <w:jc w:val="both"/>
      </w:pPr>
      <w:r>
        <w:rPr>
          <w:b/>
        </w:rPr>
        <w:t>(soit)</w:t>
      </w:r>
    </w:p>
    <w:p w14:paraId="1A4F1F5A" w14:textId="77777777" w:rsidR="00DB2B68" w:rsidRDefault="00000000">
      <w:pPr>
        <w:ind w:left="567"/>
        <w:jc w:val="both"/>
      </w:pPr>
      <w:r>
        <w:rPr>
          <w:rStyle w:val="soitChar"/>
          <w:u w:val="single"/>
        </w:rPr>
        <w:t>Echantillons à remettre pour approbation par l’architecte :</w:t>
      </w:r>
      <w:r>
        <w:rPr>
          <w:rStyle w:val="soitChar"/>
        </w:rPr>
        <w:t>  </w:t>
      </w:r>
    </w:p>
    <w:p w14:paraId="687291D1" w14:textId="77777777" w:rsidR="00DB2B68" w:rsidRDefault="00000000">
      <w:pPr>
        <w:ind w:left="567"/>
        <w:jc w:val="both"/>
      </w:pPr>
      <w:r>
        <w:rPr>
          <w:rStyle w:val="soitChar"/>
        </w:rPr>
        <w:t>La surface des éléments en béton est</w:t>
      </w:r>
      <w:r>
        <w:t>  </w:t>
      </w:r>
      <w:r>
        <w:rPr>
          <w:rStyle w:val="optioncarChar"/>
        </w:rPr>
        <w:t xml:space="preserve">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0E50DBC4" w14:textId="77777777" w:rsidR="00DB2B68" w:rsidRDefault="00000000">
      <w:pPr>
        <w:pStyle w:val="Author-eListParagraph"/>
        <w:numPr>
          <w:ilvl w:val="0"/>
          <w:numId w:val="1185"/>
        </w:numPr>
      </w:pPr>
      <w:r>
        <w:t> Terminaison des arêtes</w:t>
      </w:r>
      <w:r>
        <w:br/>
        <w:t xml:space="preserve">Les arêtes saillantes des parois sont </w:t>
      </w:r>
      <w:r>
        <w:rPr>
          <w:rStyle w:val="optioncarChar"/>
        </w:rPr>
        <w:t>chanfreinées en triangle /chanfreinées en arrondi / vives</w:t>
      </w:r>
    </w:p>
    <w:p w14:paraId="4F0BA3B4" w14:textId="77777777" w:rsidR="00DB2B68" w:rsidRDefault="00000000">
      <w:pPr>
        <w:ind w:left="567"/>
        <w:jc w:val="both"/>
      </w:pPr>
      <w:r>
        <w:rPr>
          <w:b/>
        </w:rPr>
        <w:t>(soit)</w:t>
      </w:r>
    </w:p>
    <w:p w14:paraId="0C93FE65" w14:textId="77777777" w:rsidR="00DB2B68" w:rsidRDefault="00000000">
      <w:pPr>
        <w:ind w:left="567"/>
        <w:jc w:val="both"/>
      </w:pPr>
      <w:r>
        <w:rPr>
          <w:rStyle w:val="soitChar"/>
          <w:u w:val="single"/>
        </w:rPr>
        <w:t>Chanfreinées en triangle :</w:t>
      </w:r>
    </w:p>
    <w:p w14:paraId="24931F8A" w14:textId="77777777" w:rsidR="00DB2B68" w:rsidRDefault="00000000">
      <w:pPr>
        <w:ind w:left="567"/>
        <w:jc w:val="both"/>
      </w:pPr>
      <w:r>
        <w:rPr>
          <w:rStyle w:val="soitChar"/>
        </w:rPr>
        <w:t xml:space="preserve"> Les arêtes sont cassées au moyen d'un chanfrein de</w:t>
      </w:r>
      <w:r>
        <w:t> </w:t>
      </w:r>
      <w:r>
        <w:rPr>
          <w:rStyle w:val="optioncarChar"/>
        </w:rPr>
        <w:t>1,5 x 1,5 / 2,5 x 2,5 / ***</w:t>
      </w:r>
      <w:r>
        <w:t>  </w:t>
      </w:r>
      <w:r>
        <w:rPr>
          <w:rStyle w:val="soitChar"/>
        </w:rPr>
        <w:t>cm x</w:t>
      </w:r>
      <w:r>
        <w:t>  </w:t>
      </w:r>
      <w:r>
        <w:rPr>
          <w:rStyle w:val="optioncarChar"/>
        </w:rPr>
        <w:t>***</w:t>
      </w:r>
      <w:r>
        <w:t>  </w:t>
      </w:r>
      <w:r>
        <w:rPr>
          <w:rStyle w:val="soitChar"/>
        </w:rPr>
        <w:t>cm</w:t>
      </w:r>
      <w:r>
        <w:t>.</w:t>
      </w:r>
    </w:p>
    <w:p w14:paraId="3B2DC979" w14:textId="77777777" w:rsidR="00DB2B68" w:rsidRDefault="00000000">
      <w:pPr>
        <w:ind w:left="567"/>
        <w:jc w:val="both"/>
      </w:pPr>
      <w:r>
        <w:rPr>
          <w:b/>
        </w:rPr>
        <w:t>(soit)</w:t>
      </w:r>
    </w:p>
    <w:p w14:paraId="669706B7" w14:textId="77777777" w:rsidR="00DB2B68" w:rsidRDefault="00000000">
      <w:pPr>
        <w:ind w:left="567"/>
        <w:jc w:val="both"/>
      </w:pPr>
      <w:r>
        <w:rPr>
          <w:rStyle w:val="soitChar"/>
          <w:u w:val="single"/>
        </w:rPr>
        <w:t>Chanfreinées en arrondi :</w:t>
      </w:r>
    </w:p>
    <w:p w14:paraId="4AE97990" w14:textId="77777777" w:rsidR="00DB2B68" w:rsidRDefault="00000000">
      <w:pPr>
        <w:ind w:left="567"/>
        <w:jc w:val="both"/>
      </w:pPr>
      <w:r>
        <w:rPr>
          <w:rStyle w:val="soitChar"/>
        </w:rPr>
        <w:t>Les arêtes sont cassées au moyen d'un chanfrein de rayon</w:t>
      </w:r>
      <w:r>
        <w:t> </w:t>
      </w:r>
      <w:r>
        <w:rPr>
          <w:rStyle w:val="optioncarChar"/>
        </w:rPr>
        <w:t>1,5 / 2,5 / ***</w:t>
      </w:r>
      <w:r>
        <w:t>  </w:t>
      </w:r>
      <w:r>
        <w:rPr>
          <w:rStyle w:val="soitChar"/>
        </w:rPr>
        <w:t>cm</w:t>
      </w:r>
      <w:r>
        <w:t>.</w:t>
      </w:r>
    </w:p>
    <w:p w14:paraId="79E97668" w14:textId="77777777" w:rsidR="00DB2B68" w:rsidRDefault="00000000">
      <w:pPr>
        <w:ind w:left="567"/>
        <w:jc w:val="both"/>
      </w:pPr>
      <w:r>
        <w:rPr>
          <w:b/>
        </w:rPr>
        <w:t>(soit)</w:t>
      </w:r>
    </w:p>
    <w:p w14:paraId="0C705F9B" w14:textId="77777777" w:rsidR="00DB2B68" w:rsidRDefault="00000000">
      <w:pPr>
        <w:ind w:left="567"/>
        <w:jc w:val="both"/>
      </w:pPr>
      <w:r>
        <w:rPr>
          <w:rStyle w:val="soitChar"/>
          <w:u w:val="single"/>
        </w:rPr>
        <w:t>Vives</w:t>
      </w:r>
    </w:p>
    <w:p w14:paraId="4E107F78" w14:textId="77777777" w:rsidR="00DB2B68" w:rsidRDefault="00000000">
      <w:r>
        <w:rPr>
          <w:b/>
        </w:rPr>
        <w:t>Joint :</w:t>
      </w:r>
      <w:r>
        <w:br/>
        <w:t xml:space="preserve">Teinte : </w:t>
      </w:r>
      <w:r>
        <w:rPr>
          <w:rStyle w:val="optioncarChar"/>
        </w:rPr>
        <w:t xml:space="preserve">similaire à celle du béton architectonique </w:t>
      </w:r>
      <w:r>
        <w:t>(par défaut)</w:t>
      </w:r>
      <w:r>
        <w:rPr>
          <w:rStyle w:val="optioncarChar"/>
        </w:rPr>
        <w:t xml:space="preserve"> / gris clair / blanc / ***</w:t>
      </w:r>
    </w:p>
    <w:p w14:paraId="69F70757" w14:textId="77777777" w:rsidR="00DB2B68" w:rsidRDefault="00000000">
      <w:pPr>
        <w:pStyle w:val="pheading"/>
      </w:pPr>
      <w:r>
        <w:t>EXÉCUTION / MISE EN ŒUVRE</w:t>
      </w:r>
    </w:p>
    <w:p w14:paraId="44E19243" w14:textId="77777777" w:rsidR="00DB2B68" w:rsidRDefault="00000000">
      <w:pPr>
        <w:pStyle w:val="pheading"/>
      </w:pPr>
      <w:r>
        <w:t>- Prescriptions générales</w:t>
      </w:r>
    </w:p>
    <w:p w14:paraId="1CB4DF45" w14:textId="77777777" w:rsidR="00DB2B68" w:rsidRDefault="00000000">
      <w:pPr>
        <w:jc w:val="both"/>
      </w:pPr>
      <w:r>
        <w:t>Les panneaux sont disposés conformément au dessin des plans d’exécution approuvés.</w:t>
      </w:r>
    </w:p>
    <w:p w14:paraId="61E6261E" w14:textId="77777777" w:rsidR="00DB2B68" w:rsidRDefault="00000000">
      <w:pPr>
        <w:jc w:val="both"/>
      </w:pPr>
      <w:r>
        <w:t>Les liaisons définitives entre les éléments sont exécutées conformément aux plans et aux prescriptions approuvés (mortier, bétonnage après la pose des barres d’attente, injection, jointoiement, soudure, vissage ou dévissage des goujons, etc.).</w:t>
      </w:r>
    </w:p>
    <w:p w14:paraId="555134C0" w14:textId="77777777" w:rsidR="00DB2B68" w:rsidRDefault="00000000">
      <w:pPr>
        <w:jc w:val="both"/>
      </w:pPr>
      <w:r>
        <w:rPr>
          <w:b/>
        </w:rPr>
        <w:t>Joints :</w:t>
      </w:r>
    </w:p>
    <w:p w14:paraId="27617A26" w14:textId="77777777" w:rsidR="00DB2B68" w:rsidRDefault="00000000">
      <w:pPr>
        <w:jc w:val="both"/>
      </w:pPr>
      <w:r>
        <w:t>La largeur des joints de dilatation est précisée dans les schémas de mise en œuvre et est à référer par rapport à la brochure de la FEBE [FEBE G Le béton architectonique].</w:t>
      </w:r>
    </w:p>
    <w:p w14:paraId="6197D9D2" w14:textId="77777777" w:rsidR="00DB2B68" w:rsidRDefault="00000000">
      <w:pPr>
        <w:jc w:val="both"/>
      </w:pPr>
      <w:r>
        <w:t xml:space="preserve">La fourniture et la pose du jointoiement est conforme aux prescriptions du </w:t>
      </w:r>
      <w:hyperlink w:anchor="701" w:history="1">
        <w:r>
          <w:rPr>
            <w:color w:val="0000EE"/>
          </w:rPr>
          <w:t>22.63.1b Joints de remplissage autres qu'en mortier</w:t>
        </w:r>
      </w:hyperlink>
      <w:r>
        <w:t xml:space="preserve"> et est comprise dans le prix unitaire de cet article.</w:t>
      </w:r>
    </w:p>
    <w:p w14:paraId="198C3B36" w14:textId="77777777" w:rsidR="00DB2B68" w:rsidRDefault="00000000">
      <w:pPr>
        <w:jc w:val="both"/>
      </w:pPr>
      <w:r>
        <w:t>Les accessoires utilisés pour le calage ou la protection sont conçus de façon à ne pas occasionner des taches ou d’autres types de dommages aux éléments.</w:t>
      </w:r>
    </w:p>
    <w:p w14:paraId="33C84C00" w14:textId="77777777" w:rsidR="00DB2B68" w:rsidRDefault="00000000">
      <w:pPr>
        <w:jc w:val="both"/>
      </w:pPr>
      <w:r>
        <w:rPr>
          <w:b/>
        </w:rPr>
        <w:t>Tolérances de pose :</w:t>
      </w:r>
    </w:p>
    <w:p w14:paraId="26187D7C" w14:textId="77777777" w:rsidR="00DB2B68" w:rsidRDefault="00000000">
      <w:pPr>
        <w:pStyle w:val="Author-eListParagraph"/>
        <w:numPr>
          <w:ilvl w:val="0"/>
          <w:numId w:val="1186"/>
        </w:numPr>
        <w:jc w:val="both"/>
      </w:pPr>
      <w:r>
        <w:t>implantation : ≤ 5 mm ;</w:t>
      </w:r>
    </w:p>
    <w:p w14:paraId="1492BD97" w14:textId="77777777" w:rsidR="00DB2B68" w:rsidRDefault="00000000">
      <w:pPr>
        <w:pStyle w:val="Author-eListParagraph"/>
        <w:numPr>
          <w:ilvl w:val="0"/>
          <w:numId w:val="1186"/>
        </w:numPr>
        <w:jc w:val="both"/>
      </w:pPr>
      <w:r>
        <w:t>verticalité : ≤ 1 mm/m avec un maximum de 5 mm par élément ;</w:t>
      </w:r>
    </w:p>
    <w:p w14:paraId="5C7FFE87" w14:textId="77777777" w:rsidR="00DB2B68" w:rsidRDefault="00000000">
      <w:pPr>
        <w:pStyle w:val="Author-eListParagraph"/>
        <w:numPr>
          <w:ilvl w:val="0"/>
          <w:numId w:val="1186"/>
        </w:numPr>
        <w:jc w:val="both"/>
      </w:pPr>
      <w:r>
        <w:t>horizontalité : ≤ 5 mm ;</w:t>
      </w:r>
    </w:p>
    <w:p w14:paraId="3554757C" w14:textId="77777777" w:rsidR="00DB2B68" w:rsidRDefault="00000000">
      <w:pPr>
        <w:pStyle w:val="Author-eListParagraph"/>
        <w:numPr>
          <w:ilvl w:val="0"/>
          <w:numId w:val="1186"/>
        </w:numPr>
        <w:jc w:val="both"/>
      </w:pPr>
      <w:r>
        <w:t>largeur de joint : ≤ 5 mm.</w:t>
      </w:r>
    </w:p>
    <w:p w14:paraId="042BD3DE" w14:textId="77777777" w:rsidR="00DB2B68" w:rsidRDefault="00000000">
      <w:pPr>
        <w:pStyle w:val="pheading"/>
      </w:pPr>
      <w:r>
        <w:t>- Échantillons</w:t>
      </w:r>
    </w:p>
    <w:p w14:paraId="206B9982" w14:textId="77777777" w:rsidR="00DB2B68" w:rsidRDefault="00000000">
      <w:pPr>
        <w:jc w:val="both"/>
      </w:pPr>
      <w:r>
        <w:t>Le fabricant est tenu de soumettre un échantillon de 1 m² à l’approbation de la direction du chantier. Cette opération est répétée jusqu'à l’entière satisfaction de cette dernière. Les éléments présents sur le chantier et refusés sont évacués des aires de stockage.</w:t>
      </w:r>
    </w:p>
    <w:p w14:paraId="5AECC9FF" w14:textId="77777777" w:rsidR="00DB2B68" w:rsidRDefault="00000000">
      <w:pPr>
        <w:pStyle w:val="pheading"/>
      </w:pPr>
      <w:r>
        <w:t>DOCUMENTS DE RÉFÉRENCE COMPLÉMENTAIRES</w:t>
      </w:r>
    </w:p>
    <w:p w14:paraId="490E1733" w14:textId="77777777" w:rsidR="00DB2B68" w:rsidRDefault="00000000">
      <w:pPr>
        <w:pStyle w:val="pheading"/>
      </w:pPr>
      <w:r>
        <w:t>- Matériau</w:t>
      </w:r>
    </w:p>
    <w:p w14:paraId="3C9CD805" w14:textId="77777777" w:rsidR="00DB2B68" w:rsidRDefault="00000000">
      <w:r>
        <w:lastRenderedPageBreak/>
        <w:t>[PTV 21-601, Eléments préfabriqués en béton architectonique.]</w:t>
      </w:r>
    </w:p>
    <w:p w14:paraId="6817FF25" w14:textId="77777777" w:rsidR="00DB2B68" w:rsidRDefault="00000000">
      <w:pPr>
        <w:pStyle w:val="pheading"/>
      </w:pPr>
      <w:r>
        <w:t>- Exécution</w:t>
      </w:r>
    </w:p>
    <w:p w14:paraId="7BA42BA5" w14:textId="77777777" w:rsidR="00DB2B68" w:rsidRDefault="00000000">
      <w:r>
        <w:t>[PTV 21-601, Eléments préfabriqués en béton architectonique.]</w:t>
      </w:r>
    </w:p>
    <w:p w14:paraId="642B46C9" w14:textId="77777777" w:rsidR="00DB2B68" w:rsidRDefault="00000000">
      <w:pPr>
        <w:pStyle w:val="pheading"/>
      </w:pPr>
      <w:r>
        <w:t>MESURAGE</w:t>
      </w:r>
    </w:p>
    <w:p w14:paraId="6B4771F2" w14:textId="77777777" w:rsidR="00DB2B68" w:rsidRDefault="00000000">
      <w:pPr>
        <w:pStyle w:val="pheading"/>
      </w:pPr>
      <w:r>
        <w:t>- unité de mesure:</w:t>
      </w:r>
    </w:p>
    <w:p w14:paraId="2EEB4474" w14:textId="77777777" w:rsidR="00DB2B68" w:rsidRDefault="00000000">
      <w:r>
        <w:t>m²</w:t>
      </w:r>
    </w:p>
    <w:p w14:paraId="12ADF394" w14:textId="77777777" w:rsidR="00DB2B68" w:rsidRDefault="00000000">
      <w:pPr>
        <w:pStyle w:val="pheading"/>
      </w:pPr>
      <w:r>
        <w:t>- code de mesurage:</w:t>
      </w:r>
    </w:p>
    <w:p w14:paraId="36663BA6" w14:textId="77777777" w:rsidR="00DB2B68" w:rsidRDefault="00000000">
      <w:pPr>
        <w:jc w:val="both"/>
      </w:pPr>
      <w:r>
        <w:t>Surface nette à exécuter distinction faites suivant l’épaisseur et éventuellement la finition des panneaux, y compris l’établissement des plans d’exécution et la fourniture des notes de calcul, les éléments d'ancrage, l'isolation contre l'humidité, les joints de dilatation, le rejointoiement, les mastics, etc…. Les réservations dont la superficie est supérieure à 0,5 m² sont déduites.</w:t>
      </w:r>
    </w:p>
    <w:p w14:paraId="0B0B22B4" w14:textId="77777777" w:rsidR="00DB2B68" w:rsidRDefault="00000000">
      <w:pPr>
        <w:pStyle w:val="pheading"/>
      </w:pPr>
      <w:r>
        <w:t>- nature du marché:</w:t>
      </w:r>
    </w:p>
    <w:p w14:paraId="453F0D3C" w14:textId="77777777" w:rsidR="00DB2B68" w:rsidRDefault="00000000">
      <w:r>
        <w:t>QF</w:t>
      </w:r>
    </w:p>
    <w:p w14:paraId="1EEB9954" w14:textId="77777777" w:rsidR="00DB2B68" w:rsidRDefault="00000000">
      <w:pPr>
        <w:pStyle w:val="pheading"/>
      </w:pPr>
      <w:r>
        <w:t>AIDE</w:t>
      </w:r>
    </w:p>
    <w:p w14:paraId="4F65FFE2" w14:textId="77777777" w:rsidR="00DB2B68" w:rsidRDefault="00000000">
      <w:r>
        <w:t>Résistance au feu de l'élément : support aux prescripteurs : [SWL GSI/T1/C].</w:t>
      </w:r>
    </w:p>
    <w:p w14:paraId="17166F2D" w14:textId="77777777" w:rsidR="00DB2B68" w:rsidRDefault="00000000">
      <w:pPr>
        <w:pStyle w:val="Author-eSectionHeading3Numberless"/>
      </w:pPr>
      <w:bookmarkStart w:id="2129" w:name="_Toc220497062"/>
      <w:r>
        <w:t>28.3 - CCTB 01.02</w:t>
      </w:r>
      <w:bookmarkEnd w:id="2129"/>
    </w:p>
    <w:p w14:paraId="52B3BE4E" w14:textId="77777777" w:rsidR="00DB2B68" w:rsidRDefault="00000000">
      <w:pPr>
        <w:pStyle w:val="Author-eSectionHeading3Numberless"/>
      </w:pPr>
      <w:bookmarkStart w:id="2130" w:name="_Toc220497063"/>
      <w:r>
        <w:t>28.4 - CCTB 01.02</w:t>
      </w:r>
      <w:bookmarkEnd w:id="2130"/>
    </w:p>
    <w:p w14:paraId="54988F93" w14:textId="77777777" w:rsidR="00DB2B68" w:rsidRDefault="00000000">
      <w:pPr>
        <w:pStyle w:val="Author-eSectionHeading3Numberless"/>
      </w:pPr>
      <w:bookmarkStart w:id="2131" w:name="_Toc220497064"/>
      <w:r>
        <w:t>28.5 - CCTB 01.02</w:t>
      </w:r>
      <w:bookmarkEnd w:id="2131"/>
    </w:p>
    <w:p w14:paraId="7BC8E10D" w14:textId="77777777" w:rsidR="00DB2B68" w:rsidRDefault="00000000">
      <w:pPr>
        <w:pStyle w:val="Author-eSectionHeading3Numberless"/>
      </w:pPr>
      <w:bookmarkStart w:id="2132" w:name="_Toc220497065"/>
      <w:r>
        <w:t>28.6 - CCTB 01.02</w:t>
      </w:r>
      <w:bookmarkEnd w:id="2132"/>
    </w:p>
    <w:p w14:paraId="646EAA14" w14:textId="77777777" w:rsidR="00DB2B68" w:rsidRDefault="00000000">
      <w:pPr>
        <w:pStyle w:val="Author-eSectionHeading3Numberless"/>
      </w:pPr>
      <w:bookmarkStart w:id="2133" w:name="_Toc220497066"/>
      <w:r>
        <w:t>28.7 - CCTB 01.02</w:t>
      </w:r>
      <w:bookmarkEnd w:id="2133"/>
    </w:p>
    <w:p w14:paraId="047FB2F0" w14:textId="77777777" w:rsidR="00DB2B68" w:rsidRDefault="00000000">
      <w:pPr>
        <w:pStyle w:val="Author-eSectionHeading3Numberless"/>
      </w:pPr>
      <w:bookmarkStart w:id="2134" w:name="_Toc220497067"/>
      <w:r>
        <w:t>28.8 Revêtements de façade en panneaux - Rénovation CCTB 01.04</w:t>
      </w:r>
      <w:bookmarkEnd w:id="2134"/>
    </w:p>
    <w:p w14:paraId="3200435B" w14:textId="77777777" w:rsidR="00DB2B68" w:rsidRDefault="00000000">
      <w:pPr>
        <w:pStyle w:val="Author-eSectionHeading4Numberless"/>
      </w:pPr>
      <w:bookmarkStart w:id="2135" w:name="_Toc220497068"/>
      <w:r>
        <w:t>28.81 Etudes / essais préliminaires CCTB 01.02</w:t>
      </w:r>
      <w:bookmarkEnd w:id="2135"/>
    </w:p>
    <w:p w14:paraId="4F24CD4E" w14:textId="77777777" w:rsidR="00DB2B68" w:rsidRDefault="00000000">
      <w:pPr>
        <w:pStyle w:val="Author-eSectionHeading5Numberless"/>
      </w:pPr>
      <w:bookmarkStart w:id="2136" w:name="_Toc220497069"/>
      <w:r>
        <w:t>28.81.1 Mesures d'humidité CCTB 01.04</w:t>
      </w:r>
      <w:bookmarkEnd w:id="2136"/>
    </w:p>
    <w:p w14:paraId="51E4FB9B" w14:textId="77777777" w:rsidR="00DB2B68" w:rsidRDefault="00000000">
      <w:pPr>
        <w:pStyle w:val="pheading"/>
      </w:pPr>
      <w:r>
        <w:t>DESCRIPTION</w:t>
      </w:r>
    </w:p>
    <w:p w14:paraId="58955415" w14:textId="77777777" w:rsidR="00DB2B68" w:rsidRDefault="00000000">
      <w:pPr>
        <w:pStyle w:val="pheading"/>
      </w:pPr>
      <w:r>
        <w:t>- Définition / Comprend</w:t>
      </w:r>
    </w:p>
    <w:p w14:paraId="73C77D3F" w14:textId="77777777" w:rsidR="00DB2B68" w:rsidRDefault="00000000">
      <w:r>
        <w:t>Renvoi au §03.41.1 Mesures d'humidité</w:t>
      </w:r>
    </w:p>
    <w:p w14:paraId="471CCF00" w14:textId="77777777" w:rsidR="00DB2B68" w:rsidRDefault="00000000">
      <w:pPr>
        <w:pStyle w:val="Author-eSectionHeading4Numberless"/>
      </w:pPr>
      <w:bookmarkStart w:id="2137" w:name="_Toc220497070"/>
      <w:r>
        <w:t>28.82 Dépose / démontage / percement / déconstruction-démolition CCTB 01.02</w:t>
      </w:r>
      <w:bookmarkEnd w:id="2137"/>
    </w:p>
    <w:p w14:paraId="373E093E" w14:textId="77777777" w:rsidR="00DB2B68" w:rsidRDefault="00000000">
      <w:pPr>
        <w:pStyle w:val="Author-eSectionHeading5Numberless"/>
      </w:pPr>
      <w:bookmarkStart w:id="2138" w:name="_Toc220497071"/>
      <w:r>
        <w:t>28.82.1 Travaux de stabilisation CCTB 01.04</w:t>
      </w:r>
      <w:bookmarkEnd w:id="2138"/>
    </w:p>
    <w:p w14:paraId="61F56BFC" w14:textId="77777777" w:rsidR="00DB2B68" w:rsidRDefault="00000000">
      <w:pPr>
        <w:pStyle w:val="pheading"/>
      </w:pPr>
      <w:r>
        <w:t>DESCRIPTION</w:t>
      </w:r>
    </w:p>
    <w:p w14:paraId="1F3C81EF" w14:textId="77777777" w:rsidR="00DB2B68" w:rsidRDefault="00000000">
      <w:pPr>
        <w:pStyle w:val="pheading"/>
      </w:pPr>
      <w:r>
        <w:t>- Définition / Comprend</w:t>
      </w:r>
    </w:p>
    <w:p w14:paraId="6F516A10" w14:textId="77777777" w:rsidR="00DB2B68" w:rsidRDefault="00000000">
      <w:r>
        <w:t>Renvoi à 06.11 Stabilisations de la structure</w:t>
      </w:r>
    </w:p>
    <w:p w14:paraId="215EE984" w14:textId="77777777" w:rsidR="00DB2B68" w:rsidRDefault="00000000">
      <w:pPr>
        <w:pStyle w:val="Author-eSectionHeading5Numberless"/>
      </w:pPr>
      <w:bookmarkStart w:id="2139" w:name="_Toc220497072"/>
      <w:r>
        <w:t>28.82.2 Dépose d'éléments (pour repose ultérieure) CCTB 01.04</w:t>
      </w:r>
      <w:bookmarkEnd w:id="2139"/>
    </w:p>
    <w:p w14:paraId="5131309D" w14:textId="77777777" w:rsidR="00DB2B68" w:rsidRDefault="00000000">
      <w:pPr>
        <w:pStyle w:val="pheading"/>
      </w:pPr>
      <w:r>
        <w:t>DESCRIPTION</w:t>
      </w:r>
    </w:p>
    <w:p w14:paraId="6722D1B2" w14:textId="77777777" w:rsidR="00DB2B68" w:rsidRDefault="00000000">
      <w:pPr>
        <w:pStyle w:val="pheading"/>
      </w:pPr>
      <w:r>
        <w:lastRenderedPageBreak/>
        <w:t>- Définition / Comprend</w:t>
      </w:r>
    </w:p>
    <w:p w14:paraId="3DD391A0" w14:textId="77777777" w:rsidR="00DB2B68" w:rsidRDefault="00000000">
      <w:r>
        <w:t>Renvoi au § 06.55.2 Démontages de revêtement de façades</w:t>
      </w:r>
    </w:p>
    <w:p w14:paraId="7886798B" w14:textId="77777777" w:rsidR="00DB2B68" w:rsidRDefault="00000000">
      <w:pPr>
        <w:pStyle w:val="Author-eSectionHeading5Numberless"/>
      </w:pPr>
      <w:bookmarkStart w:id="2140" w:name="_Toc220497073"/>
      <w:r>
        <w:t>28.82.3 Démontage d'éléments (pour récupération) CCTB 01.04</w:t>
      </w:r>
      <w:bookmarkEnd w:id="2140"/>
    </w:p>
    <w:p w14:paraId="59F1C234" w14:textId="77777777" w:rsidR="00DB2B68" w:rsidRDefault="00000000">
      <w:pPr>
        <w:pStyle w:val="pheading"/>
      </w:pPr>
      <w:r>
        <w:t>DESCRIPTION</w:t>
      </w:r>
    </w:p>
    <w:p w14:paraId="2AB436B5" w14:textId="77777777" w:rsidR="00DB2B68" w:rsidRDefault="00000000">
      <w:pPr>
        <w:pStyle w:val="pheading"/>
      </w:pPr>
      <w:r>
        <w:t>- Définition / Comprend</w:t>
      </w:r>
    </w:p>
    <w:p w14:paraId="5EA39438" w14:textId="77777777" w:rsidR="00DB2B68" w:rsidRDefault="00000000">
      <w:r>
        <w:t>Renvoi au § 06.45.2 Démontages de revêtement de façades</w:t>
      </w:r>
    </w:p>
    <w:p w14:paraId="447A19B6" w14:textId="77777777" w:rsidR="00DB2B68" w:rsidRDefault="00000000">
      <w:pPr>
        <w:pStyle w:val="Author-eSectionHeading5Numberless"/>
      </w:pPr>
      <w:bookmarkStart w:id="2141" w:name="_Toc220497074"/>
      <w:r>
        <w:t>28.82.4 Décapage / enlèvement (pour évacuation) CCTB 01.04</w:t>
      </w:r>
      <w:bookmarkEnd w:id="2141"/>
    </w:p>
    <w:p w14:paraId="1B392E24" w14:textId="77777777" w:rsidR="00DB2B68" w:rsidRDefault="00000000">
      <w:pPr>
        <w:pStyle w:val="pheading"/>
      </w:pPr>
      <w:r>
        <w:t>DESCRIPTION</w:t>
      </w:r>
    </w:p>
    <w:p w14:paraId="7BABD871" w14:textId="77777777" w:rsidR="00DB2B68" w:rsidRDefault="00000000">
      <w:pPr>
        <w:pStyle w:val="pheading"/>
      </w:pPr>
      <w:r>
        <w:t>- Définition / Comprend</w:t>
      </w:r>
    </w:p>
    <w:p w14:paraId="0A9B5E31" w14:textId="77777777" w:rsidR="00DB2B68" w:rsidRDefault="00000000">
      <w:r>
        <w:t>Renvoi à 06.7 Décapages / déjointoiements (pour évacuation)</w:t>
      </w:r>
    </w:p>
    <w:p w14:paraId="05792A16" w14:textId="77777777" w:rsidR="00DB2B68" w:rsidRDefault="00000000">
      <w:r>
        <w:t>L’évacuation et la gestion des déchets issus de travaux de démolition, de rénovation ou de construction font l’objet d’un ou plusieurs postes spécifiques, détaillés dans le Tome 0 en section 07 Déchets, matériaux et éléments réemployables.</w:t>
      </w:r>
    </w:p>
    <w:p w14:paraId="14504EE2" w14:textId="77777777" w:rsidR="00DB2B68" w:rsidRDefault="00000000">
      <w:pPr>
        <w:pStyle w:val="Author-eSectionHeading5Numberless"/>
      </w:pPr>
      <w:bookmarkStart w:id="2142" w:name="_Toc220497075"/>
      <w:r>
        <w:t>28.82.5 Percements / carottages CCTB 01.04</w:t>
      </w:r>
      <w:bookmarkEnd w:id="2142"/>
    </w:p>
    <w:p w14:paraId="67EEF31D" w14:textId="77777777" w:rsidR="00DB2B68" w:rsidRDefault="00000000">
      <w:pPr>
        <w:pStyle w:val="pheading"/>
      </w:pPr>
      <w:r>
        <w:t>DESCRIPTION</w:t>
      </w:r>
    </w:p>
    <w:p w14:paraId="54F19685" w14:textId="77777777" w:rsidR="00DB2B68" w:rsidRDefault="00000000">
      <w:pPr>
        <w:pStyle w:val="pheading"/>
      </w:pPr>
      <w:r>
        <w:t>- Définition / Comprend</w:t>
      </w:r>
    </w:p>
    <w:p w14:paraId="5328573D" w14:textId="77777777" w:rsidR="00DB2B68" w:rsidRDefault="00000000">
      <w:r>
        <w:t>Renvoi à 06.8 Percements / carottages</w:t>
      </w:r>
    </w:p>
    <w:p w14:paraId="4DA7A0B7" w14:textId="77777777" w:rsidR="00DB2B68" w:rsidRDefault="00000000">
      <w:pPr>
        <w:pStyle w:val="Author-eSectionHeading5Numberless"/>
      </w:pPr>
      <w:bookmarkStart w:id="2143" w:name="_Toc220497076"/>
      <w:r>
        <w:t>28.82.6 Démolition / déconstruction (pour évacuation) CCTB 01.04</w:t>
      </w:r>
      <w:bookmarkEnd w:id="2143"/>
    </w:p>
    <w:p w14:paraId="32CD795A" w14:textId="77777777" w:rsidR="00DB2B68" w:rsidRDefault="00000000">
      <w:pPr>
        <w:pStyle w:val="pheading"/>
      </w:pPr>
      <w:r>
        <w:t>DESCRIPTION</w:t>
      </w:r>
    </w:p>
    <w:p w14:paraId="0FB5489E" w14:textId="77777777" w:rsidR="00DB2B68" w:rsidRDefault="00000000">
      <w:pPr>
        <w:pStyle w:val="pheading"/>
      </w:pPr>
      <w:r>
        <w:t>- Définition / Comprend</w:t>
      </w:r>
    </w:p>
    <w:p w14:paraId="38AF7D7C" w14:textId="77777777" w:rsidR="00DB2B68" w:rsidRDefault="00000000">
      <w:r>
        <w:t>Renvoi au § 05.4 Neutralisations et évacuations de citernes et auxiliaires</w:t>
      </w:r>
    </w:p>
    <w:p w14:paraId="3F6DDEB4" w14:textId="77777777" w:rsidR="00DB2B68" w:rsidRDefault="00000000">
      <w:r>
        <w:t>L’évacuation et la gestion des déchets issus de travaux de démolition, de rénovation ou de construction font l’objet d’un ou plusieurs postes spécifiques, détaillés dans le Tome 0 en section 07 Déchets, matériaux et éléments réemployables.</w:t>
      </w:r>
    </w:p>
    <w:p w14:paraId="7505855D" w14:textId="77777777" w:rsidR="00DB2B68" w:rsidRDefault="00000000">
      <w:pPr>
        <w:pStyle w:val="Author-eSectionHeading4Numberless"/>
      </w:pPr>
      <w:bookmarkStart w:id="2144" w:name="_Toc220497077"/>
      <w:r>
        <w:t>28.83 Réparation / ragréage / rénovation CCTB 01.04</w:t>
      </w:r>
      <w:bookmarkEnd w:id="2144"/>
    </w:p>
    <w:p w14:paraId="6FDA4927" w14:textId="77777777" w:rsidR="00DB2B68" w:rsidRDefault="00000000">
      <w:pPr>
        <w:pStyle w:val="Author-eSectionHeading4Numberless"/>
      </w:pPr>
      <w:bookmarkStart w:id="2145" w:name="_Toc220497078"/>
      <w:r>
        <w:t>28.84 Renforcement CCTB 01.05</w:t>
      </w:r>
      <w:bookmarkEnd w:id="2145"/>
    </w:p>
    <w:p w14:paraId="24354D7D" w14:textId="77777777" w:rsidR="00DB2B68" w:rsidRDefault="00000000">
      <w:pPr>
        <w:pStyle w:val="pheading"/>
      </w:pPr>
      <w:r>
        <w:t>DESCRIPTION</w:t>
      </w:r>
    </w:p>
    <w:p w14:paraId="2BEA72AD" w14:textId="77777777" w:rsidR="00DB2B68" w:rsidRDefault="00000000">
      <w:pPr>
        <w:pStyle w:val="pheading"/>
      </w:pPr>
      <w:r>
        <w:t>- Définition / Comprend</w:t>
      </w:r>
    </w:p>
    <w:p w14:paraId="5C3E2E83" w14:textId="77777777" w:rsidR="00DB2B68" w:rsidRDefault="00000000">
      <w:r>
        <w:t xml:space="preserve">Renvoi à l'article </w:t>
      </w:r>
      <w:hyperlink w:anchor="705" w:history="1">
        <w:r>
          <w:rPr>
            <w:color w:val="0000EE"/>
          </w:rPr>
          <w:t>21.84 Renforcements</w:t>
        </w:r>
      </w:hyperlink>
    </w:p>
    <w:p w14:paraId="588B455C" w14:textId="77777777" w:rsidR="00DB2B68" w:rsidRDefault="00000000">
      <w:pPr>
        <w:pStyle w:val="Author-eSectionHeading4Numberless"/>
      </w:pPr>
      <w:bookmarkStart w:id="2146" w:name="_Toc220497079"/>
      <w:r>
        <w:t>28.85 Adaptation CCTB 01.02</w:t>
      </w:r>
      <w:bookmarkEnd w:id="2146"/>
    </w:p>
    <w:p w14:paraId="71F0B83B" w14:textId="77777777" w:rsidR="00DB2B68" w:rsidRDefault="00000000">
      <w:pPr>
        <w:pStyle w:val="Author-eSectionHeading4Numberless"/>
      </w:pPr>
      <w:bookmarkStart w:id="2147" w:name="_Toc220497080"/>
      <w:r>
        <w:t>28.86 Repose / remplacement (à l'identique) CCTB 01.02</w:t>
      </w:r>
      <w:bookmarkEnd w:id="2147"/>
    </w:p>
    <w:p w14:paraId="3AD89928" w14:textId="77777777" w:rsidR="00DB2B68" w:rsidRDefault="00000000">
      <w:pPr>
        <w:pStyle w:val="Author-eSectionHeading5Numberless"/>
      </w:pPr>
      <w:bookmarkStart w:id="2148" w:name="_Toc220497081"/>
      <w:r>
        <w:t>28.86.1 Repose d'éléments récupérés CCTB 01.02</w:t>
      </w:r>
      <w:bookmarkEnd w:id="2148"/>
    </w:p>
    <w:p w14:paraId="227878C3" w14:textId="77777777" w:rsidR="00DB2B68" w:rsidRDefault="00000000">
      <w:pPr>
        <w:pStyle w:val="Author-eSectionHeading6Numberless"/>
      </w:pPr>
      <w:bookmarkStart w:id="2149" w:name="_Toc220497082"/>
      <w:r>
        <w:t>28.86.1a Repose d'éléments récupérés CCTB 01.02</w:t>
      </w:r>
      <w:bookmarkEnd w:id="2149"/>
    </w:p>
    <w:p w14:paraId="02BD9388" w14:textId="77777777" w:rsidR="00DB2B68" w:rsidRDefault="00000000">
      <w:pPr>
        <w:pStyle w:val="pheading"/>
      </w:pPr>
      <w:r>
        <w:t>MESURAGE</w:t>
      </w:r>
    </w:p>
    <w:p w14:paraId="3DD16ED8" w14:textId="77777777" w:rsidR="00DB2B68" w:rsidRDefault="00000000">
      <w:pPr>
        <w:pStyle w:val="pheading"/>
      </w:pPr>
      <w:r>
        <w:t>- unité de mesure:</w:t>
      </w:r>
    </w:p>
    <w:p w14:paraId="26963548" w14:textId="77777777" w:rsidR="00DB2B68" w:rsidRDefault="00DB2B68"/>
    <w:p w14:paraId="6B86C958" w14:textId="77777777" w:rsidR="00DB2B68" w:rsidRDefault="00000000">
      <w:pPr>
        <w:pStyle w:val="Author-eSectionHeading5Numberless"/>
      </w:pPr>
      <w:bookmarkStart w:id="2150" w:name="_Toc220497083"/>
      <w:r>
        <w:lastRenderedPageBreak/>
        <w:t>28.86.2 Remplacement de matériaux CCTB 01.02</w:t>
      </w:r>
      <w:bookmarkEnd w:id="2150"/>
    </w:p>
    <w:p w14:paraId="2CE72C08" w14:textId="77777777" w:rsidR="00DB2B68" w:rsidRDefault="00000000">
      <w:pPr>
        <w:pStyle w:val="Author-eSectionHeading6Numberless"/>
      </w:pPr>
      <w:bookmarkStart w:id="2151" w:name="_Toc220497084"/>
      <w:r>
        <w:t>28.86.2a Remplacement à l'identique de plaques CCTB 01.02</w:t>
      </w:r>
      <w:bookmarkEnd w:id="2151"/>
    </w:p>
    <w:p w14:paraId="3B90FA82" w14:textId="77777777" w:rsidR="00DB2B68" w:rsidRDefault="00000000">
      <w:pPr>
        <w:pStyle w:val="Author-eSectionHeading5Numberless"/>
      </w:pPr>
      <w:bookmarkStart w:id="2152" w:name="_Toc220497085"/>
      <w:r>
        <w:t>28.86.3 Rejointoiement CCTB 01.02</w:t>
      </w:r>
      <w:bookmarkEnd w:id="2152"/>
    </w:p>
    <w:p w14:paraId="43E731A1" w14:textId="77777777" w:rsidR="00DB2B68" w:rsidRDefault="00000000">
      <w:pPr>
        <w:pStyle w:val="Author-eSectionHeading6Numberless"/>
      </w:pPr>
      <w:bookmarkStart w:id="2153" w:name="_Toc220497086"/>
      <w:r>
        <w:t>28.86.3a Rejointoiement CCTB 01.04</w:t>
      </w:r>
      <w:bookmarkEnd w:id="2153"/>
    </w:p>
    <w:p w14:paraId="1767D69E" w14:textId="77777777" w:rsidR="00DB2B68" w:rsidRDefault="00000000">
      <w:pPr>
        <w:pStyle w:val="pheading"/>
      </w:pPr>
      <w:r>
        <w:t>DESCRIPTION</w:t>
      </w:r>
    </w:p>
    <w:p w14:paraId="05A118CF" w14:textId="77777777" w:rsidR="00DB2B68" w:rsidRDefault="00000000">
      <w:pPr>
        <w:pStyle w:val="pheading"/>
      </w:pPr>
      <w:r>
        <w:t>- Définition / Comprend</w:t>
      </w:r>
    </w:p>
    <w:p w14:paraId="10417387" w14:textId="77777777" w:rsidR="00DB2B68" w:rsidRDefault="00000000">
      <w:r>
        <w:t xml:space="preserve">Renvoi au </w:t>
      </w:r>
      <w:hyperlink w:anchor="706" w:history="1">
        <w:r>
          <w:rPr>
            <w:color w:val="0000EE"/>
          </w:rPr>
          <w:t>21.61.1a Rejointoyage</w:t>
        </w:r>
      </w:hyperlink>
    </w:p>
    <w:p w14:paraId="39F9A99B" w14:textId="77777777" w:rsidR="00DB2B68" w:rsidRDefault="00000000">
      <w:pPr>
        <w:pStyle w:val="Author-eSectionHeading6Numberless"/>
      </w:pPr>
      <w:bookmarkStart w:id="2154" w:name="_Toc220497087"/>
      <w:r>
        <w:t>28.86.3b Renouvellement de joints souples &gt; renvoi au § 45.13 CCTB 01.02</w:t>
      </w:r>
      <w:bookmarkEnd w:id="2154"/>
    </w:p>
    <w:p w14:paraId="39EC758D" w14:textId="77777777" w:rsidR="00DB2B68" w:rsidRDefault="00000000">
      <w:pPr>
        <w:pStyle w:val="Author-eSectionHeading4Numberless"/>
      </w:pPr>
      <w:bookmarkStart w:id="2155" w:name="_Toc220497088"/>
      <w:r>
        <w:t>28.87 Nettoyage et préparation de surface CCTB 01.04</w:t>
      </w:r>
      <w:bookmarkEnd w:id="2155"/>
    </w:p>
    <w:p w14:paraId="3F667EAF" w14:textId="77777777" w:rsidR="00DB2B68" w:rsidRDefault="00000000">
      <w:pPr>
        <w:pStyle w:val="pheading"/>
      </w:pPr>
      <w:r>
        <w:t>DESCRIPTION</w:t>
      </w:r>
    </w:p>
    <w:p w14:paraId="5A16DEF5" w14:textId="77777777" w:rsidR="00DB2B68" w:rsidRDefault="00000000">
      <w:pPr>
        <w:pStyle w:val="pheading"/>
      </w:pPr>
      <w:r>
        <w:t>- Définition / Comprend</w:t>
      </w:r>
    </w:p>
    <w:p w14:paraId="3A743F9C" w14:textId="77777777" w:rsidR="00DB2B68" w:rsidRDefault="00000000">
      <w:r>
        <w:t>voir les articles 82.1 Peintures extérieures sur subjectiles minéraux poreux (béton, blocs de béton, terre cuite, enduits) et 83.11 Nettoyage / préparation de surface</w:t>
      </w:r>
    </w:p>
    <w:p w14:paraId="18B91F03" w14:textId="77777777" w:rsidR="00DB2B68" w:rsidRDefault="00000000">
      <w:pPr>
        <w:pStyle w:val="Author-eSectionHeading4Numberless"/>
      </w:pPr>
      <w:bookmarkStart w:id="2156" w:name="_Toc220497089"/>
      <w:r>
        <w:t>28.88 Traitement et protection CCTB 01.04</w:t>
      </w:r>
      <w:bookmarkEnd w:id="2156"/>
    </w:p>
    <w:p w14:paraId="10E779AE" w14:textId="77777777" w:rsidR="00DB2B68" w:rsidRDefault="00000000">
      <w:pPr>
        <w:pStyle w:val="pheading"/>
      </w:pPr>
      <w:r>
        <w:t>DESCRIPTION</w:t>
      </w:r>
    </w:p>
    <w:p w14:paraId="1B33B58C" w14:textId="77777777" w:rsidR="00DB2B68" w:rsidRDefault="00000000">
      <w:pPr>
        <w:pStyle w:val="pheading"/>
      </w:pPr>
      <w:r>
        <w:t>- Définition / Comprend</w:t>
      </w:r>
    </w:p>
    <w:p w14:paraId="29C86B37" w14:textId="77777777" w:rsidR="00DB2B68" w:rsidRDefault="00000000">
      <w:r>
        <w:t>voir l'élément 83.1 Subjectiles minéraux poreux (béton, blocs de béton, terre cuite, enduits)</w:t>
      </w:r>
    </w:p>
    <w:sectPr w:rsidR="00DB2B68">
      <w:headerReference w:type="default" r:id="rId43"/>
      <w:footerReference w:type="default" r:id="rId44"/>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778EE" w14:textId="77777777" w:rsidR="005D185D" w:rsidRDefault="005D185D">
      <w:pPr>
        <w:spacing w:before="0" w:after="0" w:line="240" w:lineRule="auto"/>
      </w:pPr>
      <w:r>
        <w:separator/>
      </w:r>
    </w:p>
  </w:endnote>
  <w:endnote w:type="continuationSeparator" w:id="0">
    <w:p w14:paraId="6045DA69" w14:textId="77777777" w:rsidR="005D185D" w:rsidRDefault="005D18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A051" w14:textId="77777777" w:rsidR="00DB2B68" w:rsidRDefault="00000000">
    <w:r>
      <w:ptab w:relativeTo="margin" w:alignment="center" w:leader="none"/>
    </w:r>
    <w:sdt>
      <w:sdtPr>
        <w:id w:val="1865092773"/>
      </w:sdtPr>
      <w:sdtContent>
        <w:r>
          <w:fldChar w:fldCharType="begin"/>
        </w:r>
        <w:r>
          <w:rPr>
            <w:b/>
            <w:bCs/>
            <w:sz w:val="16"/>
            <w:szCs w:val="16"/>
          </w:rPr>
          <w:instrText>PAGE</w:instrText>
        </w:r>
        <w:r w:rsidR="0014651C">
          <w:fldChar w:fldCharType="separate"/>
        </w:r>
        <w:r w:rsidR="0014651C">
          <w:rPr>
            <w:b/>
            <w:bCs/>
            <w:noProof/>
            <w:sz w:val="16"/>
            <w:szCs w:val="16"/>
          </w:rPr>
          <w:t>1</w:t>
        </w:r>
        <w:r>
          <w:fldChar w:fldCharType="end"/>
        </w:r>
        <w:r>
          <w:rPr>
            <w:b/>
            <w:bCs/>
            <w:sz w:val="16"/>
            <w:szCs w:val="16"/>
          </w:rPr>
          <w:t>/</w:t>
        </w:r>
        <w:r>
          <w:fldChar w:fldCharType="begin"/>
        </w:r>
        <w:r>
          <w:rPr>
            <w:b/>
            <w:bCs/>
            <w:sz w:val="16"/>
            <w:szCs w:val="16"/>
          </w:rPr>
          <w:instrText>NUMPAGES</w:instrText>
        </w:r>
        <w:r w:rsidR="0014651C">
          <w:fldChar w:fldCharType="separate"/>
        </w:r>
        <w:r w:rsidR="0014651C">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1CBFB" w14:textId="77777777" w:rsidR="005D185D" w:rsidRDefault="005D185D">
      <w:pPr>
        <w:spacing w:before="0" w:after="0" w:line="240" w:lineRule="auto"/>
      </w:pPr>
      <w:r>
        <w:separator/>
      </w:r>
    </w:p>
  </w:footnote>
  <w:footnote w:type="continuationSeparator" w:id="0">
    <w:p w14:paraId="09CBEC28" w14:textId="77777777" w:rsidR="005D185D" w:rsidRDefault="005D18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90B7D" w14:textId="62C658C9" w:rsidR="0014651C" w:rsidRPr="0014651C" w:rsidRDefault="0014651C" w:rsidP="0014651C">
    <w:pPr>
      <w:pStyle w:val="En-tte"/>
      <w:jc w:val="center"/>
      <w:rPr>
        <w:sz w:val="16"/>
        <w:szCs w:val="16"/>
      </w:rPr>
    </w:pPr>
    <w:r w:rsidRPr="0014651C">
      <w:rPr>
        <w:sz w:val="16"/>
        <w:szCs w:val="16"/>
      </w:rPr>
      <w:t>CCTB 01.13 du 17/03/2026 –</w:t>
    </w:r>
    <w:r w:rsidRPr="0014651C">
      <w:rPr>
        <w:sz w:val="16"/>
        <w:szCs w:val="16"/>
      </w:rPr>
      <w:t xml:space="preserve"> </w:t>
    </w:r>
    <w:r w:rsidRPr="0014651C">
      <w:rPr>
        <w:sz w:val="16"/>
        <w:szCs w:val="16"/>
      </w:rPr>
      <w:t>T2 Superstructures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6D8"/>
    <w:multiLevelType w:val="hybridMultilevel"/>
    <w:tmpl w:val="3E9A1864"/>
    <w:lvl w:ilvl="0" w:tplc="29C494E0">
      <w:start w:val="1"/>
      <w:numFmt w:val="bullet"/>
      <w:lvlText w:val=""/>
      <w:lvlJc w:val="left"/>
      <w:pPr>
        <w:ind w:left="720" w:hanging="180"/>
      </w:pPr>
      <w:rPr>
        <w:rFonts w:ascii="Symbol" w:hAnsi="Symbol" w:hint="default"/>
      </w:rPr>
    </w:lvl>
    <w:lvl w:ilvl="1" w:tplc="F4A64190">
      <w:numFmt w:val="decimal"/>
      <w:lvlText w:val=""/>
      <w:lvlJc w:val="left"/>
    </w:lvl>
    <w:lvl w:ilvl="2" w:tplc="B216A5FE">
      <w:numFmt w:val="decimal"/>
      <w:lvlText w:val=""/>
      <w:lvlJc w:val="left"/>
    </w:lvl>
    <w:lvl w:ilvl="3" w:tplc="9BAC872A">
      <w:numFmt w:val="decimal"/>
      <w:lvlText w:val=""/>
      <w:lvlJc w:val="left"/>
    </w:lvl>
    <w:lvl w:ilvl="4" w:tplc="E8021676">
      <w:numFmt w:val="decimal"/>
      <w:lvlText w:val=""/>
      <w:lvlJc w:val="left"/>
    </w:lvl>
    <w:lvl w:ilvl="5" w:tplc="F6F0F8E0">
      <w:numFmt w:val="decimal"/>
      <w:lvlText w:val=""/>
      <w:lvlJc w:val="left"/>
    </w:lvl>
    <w:lvl w:ilvl="6" w:tplc="2C7851C2">
      <w:numFmt w:val="decimal"/>
      <w:lvlText w:val=""/>
      <w:lvlJc w:val="left"/>
    </w:lvl>
    <w:lvl w:ilvl="7" w:tplc="0B58B0F2">
      <w:numFmt w:val="decimal"/>
      <w:lvlText w:val=""/>
      <w:lvlJc w:val="left"/>
    </w:lvl>
    <w:lvl w:ilvl="8" w:tplc="BAE699EE">
      <w:numFmt w:val="decimal"/>
      <w:lvlText w:val=""/>
      <w:lvlJc w:val="left"/>
    </w:lvl>
  </w:abstractNum>
  <w:abstractNum w:abstractNumId="1" w15:restartNumberingAfterBreak="0">
    <w:nsid w:val="001A23BD"/>
    <w:multiLevelType w:val="hybridMultilevel"/>
    <w:tmpl w:val="7E761D44"/>
    <w:lvl w:ilvl="0" w:tplc="37F87C06">
      <w:start w:val="1"/>
      <w:numFmt w:val="bullet"/>
      <w:lvlText w:val=""/>
      <w:lvlJc w:val="left"/>
      <w:pPr>
        <w:ind w:left="720" w:hanging="180"/>
      </w:pPr>
      <w:rPr>
        <w:rFonts w:ascii="Symbol" w:hAnsi="Symbol" w:hint="default"/>
      </w:rPr>
    </w:lvl>
    <w:lvl w:ilvl="1" w:tplc="86AE5F68">
      <w:numFmt w:val="decimal"/>
      <w:lvlText w:val=""/>
      <w:lvlJc w:val="left"/>
    </w:lvl>
    <w:lvl w:ilvl="2" w:tplc="AA88D748">
      <w:numFmt w:val="decimal"/>
      <w:lvlText w:val=""/>
      <w:lvlJc w:val="left"/>
    </w:lvl>
    <w:lvl w:ilvl="3" w:tplc="688AFEC0">
      <w:numFmt w:val="decimal"/>
      <w:lvlText w:val=""/>
      <w:lvlJc w:val="left"/>
    </w:lvl>
    <w:lvl w:ilvl="4" w:tplc="CEBC83A8">
      <w:numFmt w:val="decimal"/>
      <w:lvlText w:val=""/>
      <w:lvlJc w:val="left"/>
    </w:lvl>
    <w:lvl w:ilvl="5" w:tplc="54083FAE">
      <w:numFmt w:val="decimal"/>
      <w:lvlText w:val=""/>
      <w:lvlJc w:val="left"/>
    </w:lvl>
    <w:lvl w:ilvl="6" w:tplc="4728618E">
      <w:numFmt w:val="decimal"/>
      <w:lvlText w:val=""/>
      <w:lvlJc w:val="left"/>
    </w:lvl>
    <w:lvl w:ilvl="7" w:tplc="1BBE9576">
      <w:numFmt w:val="decimal"/>
      <w:lvlText w:val=""/>
      <w:lvlJc w:val="left"/>
    </w:lvl>
    <w:lvl w:ilvl="8" w:tplc="5FF4ACBE">
      <w:numFmt w:val="decimal"/>
      <w:lvlText w:val=""/>
      <w:lvlJc w:val="left"/>
    </w:lvl>
  </w:abstractNum>
  <w:abstractNum w:abstractNumId="2" w15:restartNumberingAfterBreak="0">
    <w:nsid w:val="002A6D54"/>
    <w:multiLevelType w:val="hybridMultilevel"/>
    <w:tmpl w:val="EFAAF310"/>
    <w:lvl w:ilvl="0" w:tplc="51186CE8">
      <w:start w:val="1"/>
      <w:numFmt w:val="bullet"/>
      <w:lvlText w:val=""/>
      <w:lvlJc w:val="left"/>
      <w:pPr>
        <w:ind w:left="720" w:hanging="180"/>
      </w:pPr>
      <w:rPr>
        <w:rFonts w:ascii="Symbol" w:hAnsi="Symbol" w:hint="default"/>
      </w:rPr>
    </w:lvl>
    <w:lvl w:ilvl="1" w:tplc="60586BAE">
      <w:numFmt w:val="decimal"/>
      <w:lvlText w:val=""/>
      <w:lvlJc w:val="left"/>
    </w:lvl>
    <w:lvl w:ilvl="2" w:tplc="8DA46D76">
      <w:numFmt w:val="decimal"/>
      <w:lvlText w:val=""/>
      <w:lvlJc w:val="left"/>
    </w:lvl>
    <w:lvl w:ilvl="3" w:tplc="B1DCDE18">
      <w:numFmt w:val="decimal"/>
      <w:lvlText w:val=""/>
      <w:lvlJc w:val="left"/>
    </w:lvl>
    <w:lvl w:ilvl="4" w:tplc="F71816A4">
      <w:numFmt w:val="decimal"/>
      <w:lvlText w:val=""/>
      <w:lvlJc w:val="left"/>
    </w:lvl>
    <w:lvl w:ilvl="5" w:tplc="F59ABF3A">
      <w:numFmt w:val="decimal"/>
      <w:lvlText w:val=""/>
      <w:lvlJc w:val="left"/>
    </w:lvl>
    <w:lvl w:ilvl="6" w:tplc="9E76C318">
      <w:numFmt w:val="decimal"/>
      <w:lvlText w:val=""/>
      <w:lvlJc w:val="left"/>
    </w:lvl>
    <w:lvl w:ilvl="7" w:tplc="FDD0B290">
      <w:numFmt w:val="decimal"/>
      <w:lvlText w:val=""/>
      <w:lvlJc w:val="left"/>
    </w:lvl>
    <w:lvl w:ilvl="8" w:tplc="CBE46D46">
      <w:numFmt w:val="decimal"/>
      <w:lvlText w:val=""/>
      <w:lvlJc w:val="left"/>
    </w:lvl>
  </w:abstractNum>
  <w:abstractNum w:abstractNumId="3" w15:restartNumberingAfterBreak="0">
    <w:nsid w:val="002C3EA2"/>
    <w:multiLevelType w:val="hybridMultilevel"/>
    <w:tmpl w:val="077453A4"/>
    <w:lvl w:ilvl="0" w:tplc="25AA3E02">
      <w:start w:val="1"/>
      <w:numFmt w:val="bullet"/>
      <w:lvlText w:val=""/>
      <w:lvlJc w:val="left"/>
      <w:pPr>
        <w:ind w:left="720" w:hanging="180"/>
      </w:pPr>
      <w:rPr>
        <w:rFonts w:ascii="Symbol" w:hAnsi="Symbol" w:hint="default"/>
      </w:rPr>
    </w:lvl>
    <w:lvl w:ilvl="1" w:tplc="2620F740">
      <w:numFmt w:val="decimal"/>
      <w:lvlText w:val=""/>
      <w:lvlJc w:val="left"/>
    </w:lvl>
    <w:lvl w:ilvl="2" w:tplc="DDFC85DC">
      <w:numFmt w:val="decimal"/>
      <w:lvlText w:val=""/>
      <w:lvlJc w:val="left"/>
    </w:lvl>
    <w:lvl w:ilvl="3" w:tplc="D2C69E70">
      <w:numFmt w:val="decimal"/>
      <w:lvlText w:val=""/>
      <w:lvlJc w:val="left"/>
    </w:lvl>
    <w:lvl w:ilvl="4" w:tplc="CDD62C32">
      <w:numFmt w:val="decimal"/>
      <w:lvlText w:val=""/>
      <w:lvlJc w:val="left"/>
    </w:lvl>
    <w:lvl w:ilvl="5" w:tplc="C0BEF2BA">
      <w:numFmt w:val="decimal"/>
      <w:lvlText w:val=""/>
      <w:lvlJc w:val="left"/>
    </w:lvl>
    <w:lvl w:ilvl="6" w:tplc="4E8EFF94">
      <w:numFmt w:val="decimal"/>
      <w:lvlText w:val=""/>
      <w:lvlJc w:val="left"/>
    </w:lvl>
    <w:lvl w:ilvl="7" w:tplc="7A04784E">
      <w:numFmt w:val="decimal"/>
      <w:lvlText w:val=""/>
      <w:lvlJc w:val="left"/>
    </w:lvl>
    <w:lvl w:ilvl="8" w:tplc="ABCC650E">
      <w:numFmt w:val="decimal"/>
      <w:lvlText w:val=""/>
      <w:lvlJc w:val="left"/>
    </w:lvl>
  </w:abstractNum>
  <w:abstractNum w:abstractNumId="4" w15:restartNumberingAfterBreak="0">
    <w:nsid w:val="00334440"/>
    <w:multiLevelType w:val="hybridMultilevel"/>
    <w:tmpl w:val="FA5ADE6A"/>
    <w:lvl w:ilvl="0" w:tplc="1C8C6ED4">
      <w:start w:val="1"/>
      <w:numFmt w:val="bullet"/>
      <w:lvlText w:val=""/>
      <w:lvlJc w:val="left"/>
      <w:pPr>
        <w:ind w:left="720" w:hanging="180"/>
      </w:pPr>
      <w:rPr>
        <w:rFonts w:ascii="Symbol" w:hAnsi="Symbol" w:hint="default"/>
      </w:rPr>
    </w:lvl>
    <w:lvl w:ilvl="1" w:tplc="582E5B28">
      <w:numFmt w:val="decimal"/>
      <w:lvlText w:val=""/>
      <w:lvlJc w:val="left"/>
    </w:lvl>
    <w:lvl w:ilvl="2" w:tplc="A5D6A716">
      <w:numFmt w:val="decimal"/>
      <w:lvlText w:val=""/>
      <w:lvlJc w:val="left"/>
    </w:lvl>
    <w:lvl w:ilvl="3" w:tplc="66600B0A">
      <w:numFmt w:val="decimal"/>
      <w:lvlText w:val=""/>
      <w:lvlJc w:val="left"/>
    </w:lvl>
    <w:lvl w:ilvl="4" w:tplc="DA42BCE6">
      <w:numFmt w:val="decimal"/>
      <w:lvlText w:val=""/>
      <w:lvlJc w:val="left"/>
    </w:lvl>
    <w:lvl w:ilvl="5" w:tplc="45F07B90">
      <w:numFmt w:val="decimal"/>
      <w:lvlText w:val=""/>
      <w:lvlJc w:val="left"/>
    </w:lvl>
    <w:lvl w:ilvl="6" w:tplc="CF0A2870">
      <w:numFmt w:val="decimal"/>
      <w:lvlText w:val=""/>
      <w:lvlJc w:val="left"/>
    </w:lvl>
    <w:lvl w:ilvl="7" w:tplc="AEC40A6C">
      <w:numFmt w:val="decimal"/>
      <w:lvlText w:val=""/>
      <w:lvlJc w:val="left"/>
    </w:lvl>
    <w:lvl w:ilvl="8" w:tplc="1C6E005E">
      <w:numFmt w:val="decimal"/>
      <w:lvlText w:val=""/>
      <w:lvlJc w:val="left"/>
    </w:lvl>
  </w:abstractNum>
  <w:abstractNum w:abstractNumId="5" w15:restartNumberingAfterBreak="0">
    <w:nsid w:val="00491256"/>
    <w:multiLevelType w:val="hybridMultilevel"/>
    <w:tmpl w:val="4CC81DFA"/>
    <w:lvl w:ilvl="0" w:tplc="7946FB24">
      <w:start w:val="1"/>
      <w:numFmt w:val="bullet"/>
      <w:lvlText w:val=""/>
      <w:lvlJc w:val="left"/>
      <w:pPr>
        <w:ind w:left="720" w:hanging="180"/>
      </w:pPr>
      <w:rPr>
        <w:rFonts w:ascii="Symbol" w:hAnsi="Symbol" w:hint="default"/>
      </w:rPr>
    </w:lvl>
    <w:lvl w:ilvl="1" w:tplc="3954ACCE">
      <w:numFmt w:val="decimal"/>
      <w:lvlText w:val=""/>
      <w:lvlJc w:val="left"/>
    </w:lvl>
    <w:lvl w:ilvl="2" w:tplc="E9A273B0">
      <w:numFmt w:val="decimal"/>
      <w:lvlText w:val=""/>
      <w:lvlJc w:val="left"/>
    </w:lvl>
    <w:lvl w:ilvl="3" w:tplc="A3F209A0">
      <w:numFmt w:val="decimal"/>
      <w:lvlText w:val=""/>
      <w:lvlJc w:val="left"/>
    </w:lvl>
    <w:lvl w:ilvl="4" w:tplc="9A82FC54">
      <w:numFmt w:val="decimal"/>
      <w:lvlText w:val=""/>
      <w:lvlJc w:val="left"/>
    </w:lvl>
    <w:lvl w:ilvl="5" w:tplc="EB3851C4">
      <w:numFmt w:val="decimal"/>
      <w:lvlText w:val=""/>
      <w:lvlJc w:val="left"/>
    </w:lvl>
    <w:lvl w:ilvl="6" w:tplc="418872EE">
      <w:numFmt w:val="decimal"/>
      <w:lvlText w:val=""/>
      <w:lvlJc w:val="left"/>
    </w:lvl>
    <w:lvl w:ilvl="7" w:tplc="A8CE6326">
      <w:numFmt w:val="decimal"/>
      <w:lvlText w:val=""/>
      <w:lvlJc w:val="left"/>
    </w:lvl>
    <w:lvl w:ilvl="8" w:tplc="0D1435A8">
      <w:numFmt w:val="decimal"/>
      <w:lvlText w:val=""/>
      <w:lvlJc w:val="left"/>
    </w:lvl>
  </w:abstractNum>
  <w:abstractNum w:abstractNumId="6" w15:restartNumberingAfterBreak="0">
    <w:nsid w:val="006F4FDE"/>
    <w:multiLevelType w:val="hybridMultilevel"/>
    <w:tmpl w:val="898AFF66"/>
    <w:lvl w:ilvl="0" w:tplc="A19A1344">
      <w:start w:val="1"/>
      <w:numFmt w:val="bullet"/>
      <w:lvlText w:val=""/>
      <w:lvlJc w:val="left"/>
      <w:pPr>
        <w:ind w:left="720" w:hanging="180"/>
      </w:pPr>
      <w:rPr>
        <w:rFonts w:ascii="Symbol" w:hAnsi="Symbol" w:hint="default"/>
      </w:rPr>
    </w:lvl>
    <w:lvl w:ilvl="1" w:tplc="7CBA5AFA">
      <w:numFmt w:val="decimal"/>
      <w:lvlText w:val=""/>
      <w:lvlJc w:val="left"/>
    </w:lvl>
    <w:lvl w:ilvl="2" w:tplc="8E8C1C90">
      <w:numFmt w:val="decimal"/>
      <w:lvlText w:val=""/>
      <w:lvlJc w:val="left"/>
    </w:lvl>
    <w:lvl w:ilvl="3" w:tplc="14B25C8A">
      <w:numFmt w:val="decimal"/>
      <w:lvlText w:val=""/>
      <w:lvlJc w:val="left"/>
    </w:lvl>
    <w:lvl w:ilvl="4" w:tplc="7BFCEA12">
      <w:numFmt w:val="decimal"/>
      <w:lvlText w:val=""/>
      <w:lvlJc w:val="left"/>
    </w:lvl>
    <w:lvl w:ilvl="5" w:tplc="594AD300">
      <w:numFmt w:val="decimal"/>
      <w:lvlText w:val=""/>
      <w:lvlJc w:val="left"/>
    </w:lvl>
    <w:lvl w:ilvl="6" w:tplc="1F64AD32">
      <w:numFmt w:val="decimal"/>
      <w:lvlText w:val=""/>
      <w:lvlJc w:val="left"/>
    </w:lvl>
    <w:lvl w:ilvl="7" w:tplc="F9AA8644">
      <w:numFmt w:val="decimal"/>
      <w:lvlText w:val=""/>
      <w:lvlJc w:val="left"/>
    </w:lvl>
    <w:lvl w:ilvl="8" w:tplc="6A1402F4">
      <w:numFmt w:val="decimal"/>
      <w:lvlText w:val=""/>
      <w:lvlJc w:val="left"/>
    </w:lvl>
  </w:abstractNum>
  <w:abstractNum w:abstractNumId="7" w15:restartNumberingAfterBreak="0">
    <w:nsid w:val="00805586"/>
    <w:multiLevelType w:val="hybridMultilevel"/>
    <w:tmpl w:val="6A62C196"/>
    <w:lvl w:ilvl="0" w:tplc="4FA61EA4">
      <w:start w:val="1"/>
      <w:numFmt w:val="bullet"/>
      <w:lvlText w:val=""/>
      <w:lvlJc w:val="left"/>
      <w:pPr>
        <w:ind w:left="720" w:hanging="180"/>
      </w:pPr>
      <w:rPr>
        <w:rFonts w:ascii="Symbol" w:hAnsi="Symbol" w:hint="default"/>
      </w:rPr>
    </w:lvl>
    <w:lvl w:ilvl="1" w:tplc="E390BB24">
      <w:numFmt w:val="decimal"/>
      <w:lvlText w:val=""/>
      <w:lvlJc w:val="left"/>
    </w:lvl>
    <w:lvl w:ilvl="2" w:tplc="D0563392">
      <w:numFmt w:val="decimal"/>
      <w:lvlText w:val=""/>
      <w:lvlJc w:val="left"/>
    </w:lvl>
    <w:lvl w:ilvl="3" w:tplc="EFDEB666">
      <w:numFmt w:val="decimal"/>
      <w:lvlText w:val=""/>
      <w:lvlJc w:val="left"/>
    </w:lvl>
    <w:lvl w:ilvl="4" w:tplc="066259C6">
      <w:numFmt w:val="decimal"/>
      <w:lvlText w:val=""/>
      <w:lvlJc w:val="left"/>
    </w:lvl>
    <w:lvl w:ilvl="5" w:tplc="8BD87D46">
      <w:numFmt w:val="decimal"/>
      <w:lvlText w:val=""/>
      <w:lvlJc w:val="left"/>
    </w:lvl>
    <w:lvl w:ilvl="6" w:tplc="764261C4">
      <w:numFmt w:val="decimal"/>
      <w:lvlText w:val=""/>
      <w:lvlJc w:val="left"/>
    </w:lvl>
    <w:lvl w:ilvl="7" w:tplc="365A6B76">
      <w:numFmt w:val="decimal"/>
      <w:lvlText w:val=""/>
      <w:lvlJc w:val="left"/>
    </w:lvl>
    <w:lvl w:ilvl="8" w:tplc="00BA3634">
      <w:numFmt w:val="decimal"/>
      <w:lvlText w:val=""/>
      <w:lvlJc w:val="left"/>
    </w:lvl>
  </w:abstractNum>
  <w:abstractNum w:abstractNumId="8" w15:restartNumberingAfterBreak="0">
    <w:nsid w:val="00BA0EE9"/>
    <w:multiLevelType w:val="hybridMultilevel"/>
    <w:tmpl w:val="7D0249F6"/>
    <w:lvl w:ilvl="0" w:tplc="D7709F60">
      <w:start w:val="1"/>
      <w:numFmt w:val="bullet"/>
      <w:lvlText w:val=""/>
      <w:lvlJc w:val="left"/>
      <w:pPr>
        <w:ind w:left="720" w:hanging="180"/>
      </w:pPr>
      <w:rPr>
        <w:rFonts w:ascii="Symbol" w:hAnsi="Symbol" w:hint="default"/>
      </w:rPr>
    </w:lvl>
    <w:lvl w:ilvl="1" w:tplc="A5A8AD40">
      <w:numFmt w:val="decimal"/>
      <w:lvlText w:val=""/>
      <w:lvlJc w:val="left"/>
    </w:lvl>
    <w:lvl w:ilvl="2" w:tplc="05F6F09E">
      <w:numFmt w:val="decimal"/>
      <w:lvlText w:val=""/>
      <w:lvlJc w:val="left"/>
    </w:lvl>
    <w:lvl w:ilvl="3" w:tplc="A21810F4">
      <w:numFmt w:val="decimal"/>
      <w:lvlText w:val=""/>
      <w:lvlJc w:val="left"/>
    </w:lvl>
    <w:lvl w:ilvl="4" w:tplc="BC9C4052">
      <w:numFmt w:val="decimal"/>
      <w:lvlText w:val=""/>
      <w:lvlJc w:val="left"/>
    </w:lvl>
    <w:lvl w:ilvl="5" w:tplc="E506D06C">
      <w:numFmt w:val="decimal"/>
      <w:lvlText w:val=""/>
      <w:lvlJc w:val="left"/>
    </w:lvl>
    <w:lvl w:ilvl="6" w:tplc="72884D68">
      <w:numFmt w:val="decimal"/>
      <w:lvlText w:val=""/>
      <w:lvlJc w:val="left"/>
    </w:lvl>
    <w:lvl w:ilvl="7" w:tplc="17C6696C">
      <w:numFmt w:val="decimal"/>
      <w:lvlText w:val=""/>
      <w:lvlJc w:val="left"/>
    </w:lvl>
    <w:lvl w:ilvl="8" w:tplc="C80063FC">
      <w:numFmt w:val="decimal"/>
      <w:lvlText w:val=""/>
      <w:lvlJc w:val="left"/>
    </w:lvl>
  </w:abstractNum>
  <w:abstractNum w:abstractNumId="9" w15:restartNumberingAfterBreak="0">
    <w:nsid w:val="01084E3A"/>
    <w:multiLevelType w:val="hybridMultilevel"/>
    <w:tmpl w:val="74F2FBA0"/>
    <w:lvl w:ilvl="0" w:tplc="E984EFD8">
      <w:start w:val="1"/>
      <w:numFmt w:val="bullet"/>
      <w:lvlText w:val=""/>
      <w:lvlJc w:val="left"/>
      <w:pPr>
        <w:ind w:left="720" w:hanging="180"/>
      </w:pPr>
      <w:rPr>
        <w:rFonts w:ascii="Symbol" w:hAnsi="Symbol" w:hint="default"/>
      </w:rPr>
    </w:lvl>
    <w:lvl w:ilvl="1" w:tplc="DDE89B12">
      <w:numFmt w:val="decimal"/>
      <w:lvlText w:val=""/>
      <w:lvlJc w:val="left"/>
    </w:lvl>
    <w:lvl w:ilvl="2" w:tplc="A9E68388">
      <w:numFmt w:val="decimal"/>
      <w:lvlText w:val=""/>
      <w:lvlJc w:val="left"/>
    </w:lvl>
    <w:lvl w:ilvl="3" w:tplc="72F2321C">
      <w:numFmt w:val="decimal"/>
      <w:lvlText w:val=""/>
      <w:lvlJc w:val="left"/>
    </w:lvl>
    <w:lvl w:ilvl="4" w:tplc="AFF82E50">
      <w:numFmt w:val="decimal"/>
      <w:lvlText w:val=""/>
      <w:lvlJc w:val="left"/>
    </w:lvl>
    <w:lvl w:ilvl="5" w:tplc="249A749E">
      <w:numFmt w:val="decimal"/>
      <w:lvlText w:val=""/>
      <w:lvlJc w:val="left"/>
    </w:lvl>
    <w:lvl w:ilvl="6" w:tplc="2C88CD5E">
      <w:numFmt w:val="decimal"/>
      <w:lvlText w:val=""/>
      <w:lvlJc w:val="left"/>
    </w:lvl>
    <w:lvl w:ilvl="7" w:tplc="3F7E0F54">
      <w:numFmt w:val="decimal"/>
      <w:lvlText w:val=""/>
      <w:lvlJc w:val="left"/>
    </w:lvl>
    <w:lvl w:ilvl="8" w:tplc="797602B2">
      <w:numFmt w:val="decimal"/>
      <w:lvlText w:val=""/>
      <w:lvlJc w:val="left"/>
    </w:lvl>
  </w:abstractNum>
  <w:abstractNum w:abstractNumId="10" w15:restartNumberingAfterBreak="0">
    <w:nsid w:val="01251684"/>
    <w:multiLevelType w:val="hybridMultilevel"/>
    <w:tmpl w:val="E3A2847E"/>
    <w:lvl w:ilvl="0" w:tplc="7CD45D0C">
      <w:start w:val="1"/>
      <w:numFmt w:val="bullet"/>
      <w:lvlText w:val=""/>
      <w:lvlJc w:val="left"/>
      <w:pPr>
        <w:ind w:left="720" w:hanging="180"/>
      </w:pPr>
      <w:rPr>
        <w:rFonts w:ascii="Symbol" w:hAnsi="Symbol" w:hint="default"/>
      </w:rPr>
    </w:lvl>
    <w:lvl w:ilvl="1" w:tplc="2A8CB630">
      <w:numFmt w:val="decimal"/>
      <w:lvlText w:val=""/>
      <w:lvlJc w:val="left"/>
    </w:lvl>
    <w:lvl w:ilvl="2" w:tplc="BFF49B96">
      <w:numFmt w:val="decimal"/>
      <w:lvlText w:val=""/>
      <w:lvlJc w:val="left"/>
    </w:lvl>
    <w:lvl w:ilvl="3" w:tplc="622833A8">
      <w:numFmt w:val="decimal"/>
      <w:lvlText w:val=""/>
      <w:lvlJc w:val="left"/>
    </w:lvl>
    <w:lvl w:ilvl="4" w:tplc="0B60DC9A">
      <w:numFmt w:val="decimal"/>
      <w:lvlText w:val=""/>
      <w:lvlJc w:val="left"/>
    </w:lvl>
    <w:lvl w:ilvl="5" w:tplc="7F9C2840">
      <w:numFmt w:val="decimal"/>
      <w:lvlText w:val=""/>
      <w:lvlJc w:val="left"/>
    </w:lvl>
    <w:lvl w:ilvl="6" w:tplc="9ADA1FFC">
      <w:numFmt w:val="decimal"/>
      <w:lvlText w:val=""/>
      <w:lvlJc w:val="left"/>
    </w:lvl>
    <w:lvl w:ilvl="7" w:tplc="544EA0F4">
      <w:numFmt w:val="decimal"/>
      <w:lvlText w:val=""/>
      <w:lvlJc w:val="left"/>
    </w:lvl>
    <w:lvl w:ilvl="8" w:tplc="1C449F58">
      <w:numFmt w:val="decimal"/>
      <w:lvlText w:val=""/>
      <w:lvlJc w:val="left"/>
    </w:lvl>
  </w:abstractNum>
  <w:abstractNum w:abstractNumId="11" w15:restartNumberingAfterBreak="0">
    <w:nsid w:val="0126475D"/>
    <w:multiLevelType w:val="hybridMultilevel"/>
    <w:tmpl w:val="22C073CE"/>
    <w:lvl w:ilvl="0" w:tplc="31560AD6">
      <w:numFmt w:val="decimal"/>
      <w:lvlText w:val=""/>
      <w:lvlJc w:val="left"/>
    </w:lvl>
    <w:lvl w:ilvl="1" w:tplc="28247696">
      <w:start w:val="1"/>
      <w:numFmt w:val="bullet"/>
      <w:lvlText w:val=""/>
      <w:lvlJc w:val="left"/>
      <w:pPr>
        <w:ind w:left="1440" w:hanging="180"/>
      </w:pPr>
      <w:rPr>
        <w:rFonts w:ascii="Symbol" w:hAnsi="Symbol" w:hint="default"/>
      </w:rPr>
    </w:lvl>
    <w:lvl w:ilvl="2" w:tplc="F064D0A6">
      <w:numFmt w:val="decimal"/>
      <w:lvlText w:val=""/>
      <w:lvlJc w:val="left"/>
    </w:lvl>
    <w:lvl w:ilvl="3" w:tplc="1968EF02">
      <w:numFmt w:val="decimal"/>
      <w:lvlText w:val=""/>
      <w:lvlJc w:val="left"/>
    </w:lvl>
    <w:lvl w:ilvl="4" w:tplc="D3F05E7A">
      <w:numFmt w:val="decimal"/>
      <w:lvlText w:val=""/>
      <w:lvlJc w:val="left"/>
    </w:lvl>
    <w:lvl w:ilvl="5" w:tplc="0368FB80">
      <w:numFmt w:val="decimal"/>
      <w:lvlText w:val=""/>
      <w:lvlJc w:val="left"/>
    </w:lvl>
    <w:lvl w:ilvl="6" w:tplc="F604B6B2">
      <w:numFmt w:val="decimal"/>
      <w:lvlText w:val=""/>
      <w:lvlJc w:val="left"/>
    </w:lvl>
    <w:lvl w:ilvl="7" w:tplc="4444789E">
      <w:numFmt w:val="decimal"/>
      <w:lvlText w:val=""/>
      <w:lvlJc w:val="left"/>
    </w:lvl>
    <w:lvl w:ilvl="8" w:tplc="AD96DEB0">
      <w:numFmt w:val="decimal"/>
      <w:lvlText w:val=""/>
      <w:lvlJc w:val="left"/>
    </w:lvl>
  </w:abstractNum>
  <w:abstractNum w:abstractNumId="12" w15:restartNumberingAfterBreak="0">
    <w:nsid w:val="01362A81"/>
    <w:multiLevelType w:val="hybridMultilevel"/>
    <w:tmpl w:val="C7A6A6CA"/>
    <w:lvl w:ilvl="0" w:tplc="2D94085E">
      <w:start w:val="1"/>
      <w:numFmt w:val="bullet"/>
      <w:lvlText w:val=""/>
      <w:lvlJc w:val="left"/>
      <w:pPr>
        <w:ind w:left="720" w:hanging="180"/>
      </w:pPr>
      <w:rPr>
        <w:rFonts w:ascii="Symbol" w:hAnsi="Symbol" w:hint="default"/>
      </w:rPr>
    </w:lvl>
    <w:lvl w:ilvl="1" w:tplc="3AF43448">
      <w:numFmt w:val="decimal"/>
      <w:lvlText w:val=""/>
      <w:lvlJc w:val="left"/>
    </w:lvl>
    <w:lvl w:ilvl="2" w:tplc="32DC99CE">
      <w:numFmt w:val="decimal"/>
      <w:lvlText w:val=""/>
      <w:lvlJc w:val="left"/>
    </w:lvl>
    <w:lvl w:ilvl="3" w:tplc="F81E2ADE">
      <w:numFmt w:val="decimal"/>
      <w:lvlText w:val=""/>
      <w:lvlJc w:val="left"/>
    </w:lvl>
    <w:lvl w:ilvl="4" w:tplc="D6EA6076">
      <w:numFmt w:val="decimal"/>
      <w:lvlText w:val=""/>
      <w:lvlJc w:val="left"/>
    </w:lvl>
    <w:lvl w:ilvl="5" w:tplc="FAA072DA">
      <w:numFmt w:val="decimal"/>
      <w:lvlText w:val=""/>
      <w:lvlJc w:val="left"/>
    </w:lvl>
    <w:lvl w:ilvl="6" w:tplc="93AC965A">
      <w:numFmt w:val="decimal"/>
      <w:lvlText w:val=""/>
      <w:lvlJc w:val="left"/>
    </w:lvl>
    <w:lvl w:ilvl="7" w:tplc="98601544">
      <w:numFmt w:val="decimal"/>
      <w:lvlText w:val=""/>
      <w:lvlJc w:val="left"/>
    </w:lvl>
    <w:lvl w:ilvl="8" w:tplc="5AB663BE">
      <w:numFmt w:val="decimal"/>
      <w:lvlText w:val=""/>
      <w:lvlJc w:val="left"/>
    </w:lvl>
  </w:abstractNum>
  <w:abstractNum w:abstractNumId="13" w15:restartNumberingAfterBreak="0">
    <w:nsid w:val="014553EE"/>
    <w:multiLevelType w:val="hybridMultilevel"/>
    <w:tmpl w:val="0EF07AD0"/>
    <w:lvl w:ilvl="0" w:tplc="E89650B4">
      <w:start w:val="1"/>
      <w:numFmt w:val="bullet"/>
      <w:lvlText w:val=""/>
      <w:lvlJc w:val="left"/>
      <w:pPr>
        <w:ind w:left="720" w:hanging="180"/>
      </w:pPr>
      <w:rPr>
        <w:rFonts w:ascii="Symbol" w:hAnsi="Symbol" w:hint="default"/>
      </w:rPr>
    </w:lvl>
    <w:lvl w:ilvl="1" w:tplc="9E8009F8">
      <w:numFmt w:val="decimal"/>
      <w:lvlText w:val=""/>
      <w:lvlJc w:val="left"/>
    </w:lvl>
    <w:lvl w:ilvl="2" w:tplc="C0AE5B84">
      <w:numFmt w:val="decimal"/>
      <w:lvlText w:val=""/>
      <w:lvlJc w:val="left"/>
    </w:lvl>
    <w:lvl w:ilvl="3" w:tplc="308235DA">
      <w:numFmt w:val="decimal"/>
      <w:lvlText w:val=""/>
      <w:lvlJc w:val="left"/>
    </w:lvl>
    <w:lvl w:ilvl="4" w:tplc="757C8010">
      <w:numFmt w:val="decimal"/>
      <w:lvlText w:val=""/>
      <w:lvlJc w:val="left"/>
    </w:lvl>
    <w:lvl w:ilvl="5" w:tplc="7F66EFB6">
      <w:numFmt w:val="decimal"/>
      <w:lvlText w:val=""/>
      <w:lvlJc w:val="left"/>
    </w:lvl>
    <w:lvl w:ilvl="6" w:tplc="9F4A819A">
      <w:numFmt w:val="decimal"/>
      <w:lvlText w:val=""/>
      <w:lvlJc w:val="left"/>
    </w:lvl>
    <w:lvl w:ilvl="7" w:tplc="79FE7C5A">
      <w:numFmt w:val="decimal"/>
      <w:lvlText w:val=""/>
      <w:lvlJc w:val="left"/>
    </w:lvl>
    <w:lvl w:ilvl="8" w:tplc="15C8FA2E">
      <w:numFmt w:val="decimal"/>
      <w:lvlText w:val=""/>
      <w:lvlJc w:val="left"/>
    </w:lvl>
  </w:abstractNum>
  <w:abstractNum w:abstractNumId="14" w15:restartNumberingAfterBreak="0">
    <w:nsid w:val="014A2139"/>
    <w:multiLevelType w:val="hybridMultilevel"/>
    <w:tmpl w:val="6DD0585A"/>
    <w:lvl w:ilvl="0" w:tplc="DA14BBCE">
      <w:start w:val="1"/>
      <w:numFmt w:val="bullet"/>
      <w:lvlText w:val=""/>
      <w:lvlJc w:val="left"/>
      <w:pPr>
        <w:ind w:left="720" w:hanging="180"/>
      </w:pPr>
      <w:rPr>
        <w:rFonts w:ascii="Symbol" w:hAnsi="Symbol" w:hint="default"/>
      </w:rPr>
    </w:lvl>
    <w:lvl w:ilvl="1" w:tplc="59740A8C">
      <w:numFmt w:val="decimal"/>
      <w:lvlText w:val=""/>
      <w:lvlJc w:val="left"/>
    </w:lvl>
    <w:lvl w:ilvl="2" w:tplc="1C868056">
      <w:numFmt w:val="decimal"/>
      <w:lvlText w:val=""/>
      <w:lvlJc w:val="left"/>
    </w:lvl>
    <w:lvl w:ilvl="3" w:tplc="E06058B0">
      <w:numFmt w:val="decimal"/>
      <w:lvlText w:val=""/>
      <w:lvlJc w:val="left"/>
    </w:lvl>
    <w:lvl w:ilvl="4" w:tplc="D7B4C9FE">
      <w:numFmt w:val="decimal"/>
      <w:lvlText w:val=""/>
      <w:lvlJc w:val="left"/>
    </w:lvl>
    <w:lvl w:ilvl="5" w:tplc="B1C46410">
      <w:numFmt w:val="decimal"/>
      <w:lvlText w:val=""/>
      <w:lvlJc w:val="left"/>
    </w:lvl>
    <w:lvl w:ilvl="6" w:tplc="5396F94C">
      <w:numFmt w:val="decimal"/>
      <w:lvlText w:val=""/>
      <w:lvlJc w:val="left"/>
    </w:lvl>
    <w:lvl w:ilvl="7" w:tplc="9D1E24D6">
      <w:numFmt w:val="decimal"/>
      <w:lvlText w:val=""/>
      <w:lvlJc w:val="left"/>
    </w:lvl>
    <w:lvl w:ilvl="8" w:tplc="9D986E72">
      <w:numFmt w:val="decimal"/>
      <w:lvlText w:val=""/>
      <w:lvlJc w:val="left"/>
    </w:lvl>
  </w:abstractNum>
  <w:abstractNum w:abstractNumId="15" w15:restartNumberingAfterBreak="0">
    <w:nsid w:val="017103D6"/>
    <w:multiLevelType w:val="hybridMultilevel"/>
    <w:tmpl w:val="C9869944"/>
    <w:lvl w:ilvl="0" w:tplc="6D48BE28">
      <w:numFmt w:val="decimal"/>
      <w:lvlText w:val=""/>
      <w:lvlJc w:val="left"/>
    </w:lvl>
    <w:lvl w:ilvl="1" w:tplc="B384531E">
      <w:start w:val="1"/>
      <w:numFmt w:val="bullet"/>
      <w:lvlText w:val=""/>
      <w:lvlJc w:val="left"/>
      <w:pPr>
        <w:ind w:left="1440" w:hanging="180"/>
      </w:pPr>
      <w:rPr>
        <w:rFonts w:ascii="Symbol" w:hAnsi="Symbol" w:hint="default"/>
      </w:rPr>
    </w:lvl>
    <w:lvl w:ilvl="2" w:tplc="34B4248A">
      <w:numFmt w:val="decimal"/>
      <w:lvlText w:val=""/>
      <w:lvlJc w:val="left"/>
    </w:lvl>
    <w:lvl w:ilvl="3" w:tplc="2A5ED078">
      <w:numFmt w:val="decimal"/>
      <w:lvlText w:val=""/>
      <w:lvlJc w:val="left"/>
    </w:lvl>
    <w:lvl w:ilvl="4" w:tplc="378C5FC6">
      <w:numFmt w:val="decimal"/>
      <w:lvlText w:val=""/>
      <w:lvlJc w:val="left"/>
    </w:lvl>
    <w:lvl w:ilvl="5" w:tplc="996C2AEC">
      <w:numFmt w:val="decimal"/>
      <w:lvlText w:val=""/>
      <w:lvlJc w:val="left"/>
    </w:lvl>
    <w:lvl w:ilvl="6" w:tplc="056C4F76">
      <w:numFmt w:val="decimal"/>
      <w:lvlText w:val=""/>
      <w:lvlJc w:val="left"/>
    </w:lvl>
    <w:lvl w:ilvl="7" w:tplc="B582F0B4">
      <w:numFmt w:val="decimal"/>
      <w:lvlText w:val=""/>
      <w:lvlJc w:val="left"/>
    </w:lvl>
    <w:lvl w:ilvl="8" w:tplc="ABF09E36">
      <w:numFmt w:val="decimal"/>
      <w:lvlText w:val=""/>
      <w:lvlJc w:val="left"/>
    </w:lvl>
  </w:abstractNum>
  <w:abstractNum w:abstractNumId="16" w15:restartNumberingAfterBreak="0">
    <w:nsid w:val="017C18A5"/>
    <w:multiLevelType w:val="hybridMultilevel"/>
    <w:tmpl w:val="3AF2CBA0"/>
    <w:lvl w:ilvl="0" w:tplc="328CAFE2">
      <w:start w:val="1"/>
      <w:numFmt w:val="bullet"/>
      <w:lvlText w:val=""/>
      <w:lvlJc w:val="left"/>
      <w:pPr>
        <w:ind w:left="720" w:hanging="180"/>
      </w:pPr>
      <w:rPr>
        <w:rFonts w:ascii="Symbol" w:hAnsi="Symbol" w:hint="default"/>
      </w:rPr>
    </w:lvl>
    <w:lvl w:ilvl="1" w:tplc="0630D186">
      <w:numFmt w:val="decimal"/>
      <w:lvlText w:val=""/>
      <w:lvlJc w:val="left"/>
    </w:lvl>
    <w:lvl w:ilvl="2" w:tplc="B378999C">
      <w:numFmt w:val="decimal"/>
      <w:lvlText w:val=""/>
      <w:lvlJc w:val="left"/>
    </w:lvl>
    <w:lvl w:ilvl="3" w:tplc="90A0E97E">
      <w:numFmt w:val="decimal"/>
      <w:lvlText w:val=""/>
      <w:lvlJc w:val="left"/>
    </w:lvl>
    <w:lvl w:ilvl="4" w:tplc="094E5822">
      <w:numFmt w:val="decimal"/>
      <w:lvlText w:val=""/>
      <w:lvlJc w:val="left"/>
    </w:lvl>
    <w:lvl w:ilvl="5" w:tplc="723254B4">
      <w:numFmt w:val="decimal"/>
      <w:lvlText w:val=""/>
      <w:lvlJc w:val="left"/>
    </w:lvl>
    <w:lvl w:ilvl="6" w:tplc="E68ABD58">
      <w:numFmt w:val="decimal"/>
      <w:lvlText w:val=""/>
      <w:lvlJc w:val="left"/>
    </w:lvl>
    <w:lvl w:ilvl="7" w:tplc="66E4B564">
      <w:numFmt w:val="decimal"/>
      <w:lvlText w:val=""/>
      <w:lvlJc w:val="left"/>
    </w:lvl>
    <w:lvl w:ilvl="8" w:tplc="6F466298">
      <w:numFmt w:val="decimal"/>
      <w:lvlText w:val=""/>
      <w:lvlJc w:val="left"/>
    </w:lvl>
  </w:abstractNum>
  <w:abstractNum w:abstractNumId="17" w15:restartNumberingAfterBreak="0">
    <w:nsid w:val="017C1CE8"/>
    <w:multiLevelType w:val="hybridMultilevel"/>
    <w:tmpl w:val="685614F0"/>
    <w:lvl w:ilvl="0" w:tplc="9CCA855C">
      <w:start w:val="1"/>
      <w:numFmt w:val="bullet"/>
      <w:lvlText w:val=""/>
      <w:lvlJc w:val="left"/>
      <w:pPr>
        <w:ind w:left="720" w:hanging="180"/>
      </w:pPr>
      <w:rPr>
        <w:rFonts w:ascii="Symbol" w:hAnsi="Symbol" w:hint="default"/>
      </w:rPr>
    </w:lvl>
    <w:lvl w:ilvl="1" w:tplc="7E4A797E">
      <w:numFmt w:val="decimal"/>
      <w:lvlText w:val=""/>
      <w:lvlJc w:val="left"/>
    </w:lvl>
    <w:lvl w:ilvl="2" w:tplc="372AD2CE">
      <w:numFmt w:val="decimal"/>
      <w:lvlText w:val=""/>
      <w:lvlJc w:val="left"/>
    </w:lvl>
    <w:lvl w:ilvl="3" w:tplc="E3B07F38">
      <w:numFmt w:val="decimal"/>
      <w:lvlText w:val=""/>
      <w:lvlJc w:val="left"/>
    </w:lvl>
    <w:lvl w:ilvl="4" w:tplc="E82A1496">
      <w:numFmt w:val="decimal"/>
      <w:lvlText w:val=""/>
      <w:lvlJc w:val="left"/>
    </w:lvl>
    <w:lvl w:ilvl="5" w:tplc="1572F73E">
      <w:numFmt w:val="decimal"/>
      <w:lvlText w:val=""/>
      <w:lvlJc w:val="left"/>
    </w:lvl>
    <w:lvl w:ilvl="6" w:tplc="B3647320">
      <w:numFmt w:val="decimal"/>
      <w:lvlText w:val=""/>
      <w:lvlJc w:val="left"/>
    </w:lvl>
    <w:lvl w:ilvl="7" w:tplc="F3744CA8">
      <w:numFmt w:val="decimal"/>
      <w:lvlText w:val=""/>
      <w:lvlJc w:val="left"/>
    </w:lvl>
    <w:lvl w:ilvl="8" w:tplc="29F2B24C">
      <w:numFmt w:val="decimal"/>
      <w:lvlText w:val=""/>
      <w:lvlJc w:val="left"/>
    </w:lvl>
  </w:abstractNum>
  <w:abstractNum w:abstractNumId="18" w15:restartNumberingAfterBreak="0">
    <w:nsid w:val="01926DA3"/>
    <w:multiLevelType w:val="hybridMultilevel"/>
    <w:tmpl w:val="C3D8EF66"/>
    <w:lvl w:ilvl="0" w:tplc="BD0279A0">
      <w:start w:val="1"/>
      <w:numFmt w:val="bullet"/>
      <w:lvlText w:val=""/>
      <w:lvlJc w:val="left"/>
      <w:pPr>
        <w:ind w:left="720" w:hanging="180"/>
      </w:pPr>
      <w:rPr>
        <w:rFonts w:ascii="Symbol" w:hAnsi="Symbol" w:hint="default"/>
      </w:rPr>
    </w:lvl>
    <w:lvl w:ilvl="1" w:tplc="88F0DAF8">
      <w:numFmt w:val="decimal"/>
      <w:lvlText w:val=""/>
      <w:lvlJc w:val="left"/>
    </w:lvl>
    <w:lvl w:ilvl="2" w:tplc="1BAE215A">
      <w:numFmt w:val="decimal"/>
      <w:lvlText w:val=""/>
      <w:lvlJc w:val="left"/>
    </w:lvl>
    <w:lvl w:ilvl="3" w:tplc="E6F04CBA">
      <w:numFmt w:val="decimal"/>
      <w:lvlText w:val=""/>
      <w:lvlJc w:val="left"/>
    </w:lvl>
    <w:lvl w:ilvl="4" w:tplc="CFAECD92">
      <w:numFmt w:val="decimal"/>
      <w:lvlText w:val=""/>
      <w:lvlJc w:val="left"/>
    </w:lvl>
    <w:lvl w:ilvl="5" w:tplc="DBD88034">
      <w:numFmt w:val="decimal"/>
      <w:lvlText w:val=""/>
      <w:lvlJc w:val="left"/>
    </w:lvl>
    <w:lvl w:ilvl="6" w:tplc="D80279C0">
      <w:numFmt w:val="decimal"/>
      <w:lvlText w:val=""/>
      <w:lvlJc w:val="left"/>
    </w:lvl>
    <w:lvl w:ilvl="7" w:tplc="208E4F32">
      <w:numFmt w:val="decimal"/>
      <w:lvlText w:val=""/>
      <w:lvlJc w:val="left"/>
    </w:lvl>
    <w:lvl w:ilvl="8" w:tplc="B97A13C8">
      <w:numFmt w:val="decimal"/>
      <w:lvlText w:val=""/>
      <w:lvlJc w:val="left"/>
    </w:lvl>
  </w:abstractNum>
  <w:abstractNum w:abstractNumId="19" w15:restartNumberingAfterBreak="0">
    <w:nsid w:val="01A40D9D"/>
    <w:multiLevelType w:val="hybridMultilevel"/>
    <w:tmpl w:val="F914FB12"/>
    <w:lvl w:ilvl="0" w:tplc="A13854C2">
      <w:start w:val="1"/>
      <w:numFmt w:val="bullet"/>
      <w:lvlText w:val=""/>
      <w:lvlJc w:val="left"/>
      <w:pPr>
        <w:ind w:left="720" w:hanging="180"/>
      </w:pPr>
      <w:rPr>
        <w:rFonts w:ascii="Symbol" w:hAnsi="Symbol" w:hint="default"/>
      </w:rPr>
    </w:lvl>
    <w:lvl w:ilvl="1" w:tplc="15F235F4">
      <w:numFmt w:val="decimal"/>
      <w:lvlText w:val=""/>
      <w:lvlJc w:val="left"/>
    </w:lvl>
    <w:lvl w:ilvl="2" w:tplc="45DEC402">
      <w:numFmt w:val="decimal"/>
      <w:lvlText w:val=""/>
      <w:lvlJc w:val="left"/>
    </w:lvl>
    <w:lvl w:ilvl="3" w:tplc="32263426">
      <w:numFmt w:val="decimal"/>
      <w:lvlText w:val=""/>
      <w:lvlJc w:val="left"/>
    </w:lvl>
    <w:lvl w:ilvl="4" w:tplc="22B4CC72">
      <w:numFmt w:val="decimal"/>
      <w:lvlText w:val=""/>
      <w:lvlJc w:val="left"/>
    </w:lvl>
    <w:lvl w:ilvl="5" w:tplc="C18ED8A0">
      <w:numFmt w:val="decimal"/>
      <w:lvlText w:val=""/>
      <w:lvlJc w:val="left"/>
    </w:lvl>
    <w:lvl w:ilvl="6" w:tplc="2E5CE7BC">
      <w:numFmt w:val="decimal"/>
      <w:lvlText w:val=""/>
      <w:lvlJc w:val="left"/>
    </w:lvl>
    <w:lvl w:ilvl="7" w:tplc="ACE2DC60">
      <w:numFmt w:val="decimal"/>
      <w:lvlText w:val=""/>
      <w:lvlJc w:val="left"/>
    </w:lvl>
    <w:lvl w:ilvl="8" w:tplc="CACA574E">
      <w:numFmt w:val="decimal"/>
      <w:lvlText w:val=""/>
      <w:lvlJc w:val="left"/>
    </w:lvl>
  </w:abstractNum>
  <w:abstractNum w:abstractNumId="20" w15:restartNumberingAfterBreak="0">
    <w:nsid w:val="01DD32B1"/>
    <w:multiLevelType w:val="hybridMultilevel"/>
    <w:tmpl w:val="EB0E31C6"/>
    <w:lvl w:ilvl="0" w:tplc="EC1A5808">
      <w:start w:val="1"/>
      <w:numFmt w:val="bullet"/>
      <w:lvlText w:val=""/>
      <w:lvlJc w:val="left"/>
      <w:pPr>
        <w:ind w:left="720" w:hanging="180"/>
      </w:pPr>
      <w:rPr>
        <w:rFonts w:ascii="Symbol" w:hAnsi="Symbol" w:hint="default"/>
      </w:rPr>
    </w:lvl>
    <w:lvl w:ilvl="1" w:tplc="B6B4A13C">
      <w:numFmt w:val="decimal"/>
      <w:lvlText w:val=""/>
      <w:lvlJc w:val="left"/>
    </w:lvl>
    <w:lvl w:ilvl="2" w:tplc="13949D44">
      <w:numFmt w:val="decimal"/>
      <w:lvlText w:val=""/>
      <w:lvlJc w:val="left"/>
    </w:lvl>
    <w:lvl w:ilvl="3" w:tplc="DFFC6768">
      <w:numFmt w:val="decimal"/>
      <w:lvlText w:val=""/>
      <w:lvlJc w:val="left"/>
    </w:lvl>
    <w:lvl w:ilvl="4" w:tplc="8EAE2EE4">
      <w:numFmt w:val="decimal"/>
      <w:lvlText w:val=""/>
      <w:lvlJc w:val="left"/>
    </w:lvl>
    <w:lvl w:ilvl="5" w:tplc="6A5604B2">
      <w:numFmt w:val="decimal"/>
      <w:lvlText w:val=""/>
      <w:lvlJc w:val="left"/>
    </w:lvl>
    <w:lvl w:ilvl="6" w:tplc="6B3E8478">
      <w:numFmt w:val="decimal"/>
      <w:lvlText w:val=""/>
      <w:lvlJc w:val="left"/>
    </w:lvl>
    <w:lvl w:ilvl="7" w:tplc="94F2B378">
      <w:numFmt w:val="decimal"/>
      <w:lvlText w:val=""/>
      <w:lvlJc w:val="left"/>
    </w:lvl>
    <w:lvl w:ilvl="8" w:tplc="B8FC270E">
      <w:numFmt w:val="decimal"/>
      <w:lvlText w:val=""/>
      <w:lvlJc w:val="left"/>
    </w:lvl>
  </w:abstractNum>
  <w:abstractNum w:abstractNumId="21" w15:restartNumberingAfterBreak="0">
    <w:nsid w:val="02146BCC"/>
    <w:multiLevelType w:val="hybridMultilevel"/>
    <w:tmpl w:val="8EF49ED0"/>
    <w:lvl w:ilvl="0" w:tplc="12A80E62">
      <w:start w:val="1"/>
      <w:numFmt w:val="bullet"/>
      <w:lvlText w:val=""/>
      <w:lvlJc w:val="left"/>
      <w:pPr>
        <w:ind w:left="720" w:hanging="180"/>
      </w:pPr>
      <w:rPr>
        <w:rFonts w:ascii="Symbol" w:hAnsi="Symbol" w:hint="default"/>
      </w:rPr>
    </w:lvl>
    <w:lvl w:ilvl="1" w:tplc="41921096">
      <w:numFmt w:val="decimal"/>
      <w:lvlText w:val=""/>
      <w:lvlJc w:val="left"/>
    </w:lvl>
    <w:lvl w:ilvl="2" w:tplc="AD3ED8A6">
      <w:numFmt w:val="decimal"/>
      <w:lvlText w:val=""/>
      <w:lvlJc w:val="left"/>
    </w:lvl>
    <w:lvl w:ilvl="3" w:tplc="E0442B92">
      <w:numFmt w:val="decimal"/>
      <w:lvlText w:val=""/>
      <w:lvlJc w:val="left"/>
    </w:lvl>
    <w:lvl w:ilvl="4" w:tplc="DBF0FF6E">
      <w:numFmt w:val="decimal"/>
      <w:lvlText w:val=""/>
      <w:lvlJc w:val="left"/>
    </w:lvl>
    <w:lvl w:ilvl="5" w:tplc="B3F685DC">
      <w:numFmt w:val="decimal"/>
      <w:lvlText w:val=""/>
      <w:lvlJc w:val="left"/>
    </w:lvl>
    <w:lvl w:ilvl="6" w:tplc="A7DABF22">
      <w:numFmt w:val="decimal"/>
      <w:lvlText w:val=""/>
      <w:lvlJc w:val="left"/>
    </w:lvl>
    <w:lvl w:ilvl="7" w:tplc="27CC4B5C">
      <w:numFmt w:val="decimal"/>
      <w:lvlText w:val=""/>
      <w:lvlJc w:val="left"/>
    </w:lvl>
    <w:lvl w:ilvl="8" w:tplc="950A3782">
      <w:numFmt w:val="decimal"/>
      <w:lvlText w:val=""/>
      <w:lvlJc w:val="left"/>
    </w:lvl>
  </w:abstractNum>
  <w:abstractNum w:abstractNumId="22" w15:restartNumberingAfterBreak="0">
    <w:nsid w:val="021640D7"/>
    <w:multiLevelType w:val="hybridMultilevel"/>
    <w:tmpl w:val="95CC52EE"/>
    <w:lvl w:ilvl="0" w:tplc="C70C9E46">
      <w:start w:val="1"/>
      <w:numFmt w:val="bullet"/>
      <w:lvlText w:val=""/>
      <w:lvlJc w:val="left"/>
      <w:pPr>
        <w:ind w:left="720" w:hanging="180"/>
      </w:pPr>
      <w:rPr>
        <w:rFonts w:ascii="Symbol" w:hAnsi="Symbol" w:hint="default"/>
      </w:rPr>
    </w:lvl>
    <w:lvl w:ilvl="1" w:tplc="4E8A71D6">
      <w:numFmt w:val="decimal"/>
      <w:lvlText w:val=""/>
      <w:lvlJc w:val="left"/>
    </w:lvl>
    <w:lvl w:ilvl="2" w:tplc="A9E688DA">
      <w:numFmt w:val="decimal"/>
      <w:lvlText w:val=""/>
      <w:lvlJc w:val="left"/>
    </w:lvl>
    <w:lvl w:ilvl="3" w:tplc="B61259B4">
      <w:numFmt w:val="decimal"/>
      <w:lvlText w:val=""/>
      <w:lvlJc w:val="left"/>
    </w:lvl>
    <w:lvl w:ilvl="4" w:tplc="C4A814BA">
      <w:numFmt w:val="decimal"/>
      <w:lvlText w:val=""/>
      <w:lvlJc w:val="left"/>
    </w:lvl>
    <w:lvl w:ilvl="5" w:tplc="AB38ED6E">
      <w:numFmt w:val="decimal"/>
      <w:lvlText w:val=""/>
      <w:lvlJc w:val="left"/>
    </w:lvl>
    <w:lvl w:ilvl="6" w:tplc="21B210F4">
      <w:numFmt w:val="decimal"/>
      <w:lvlText w:val=""/>
      <w:lvlJc w:val="left"/>
    </w:lvl>
    <w:lvl w:ilvl="7" w:tplc="AF3CFC3C">
      <w:numFmt w:val="decimal"/>
      <w:lvlText w:val=""/>
      <w:lvlJc w:val="left"/>
    </w:lvl>
    <w:lvl w:ilvl="8" w:tplc="363E5E58">
      <w:numFmt w:val="decimal"/>
      <w:lvlText w:val=""/>
      <w:lvlJc w:val="left"/>
    </w:lvl>
  </w:abstractNum>
  <w:abstractNum w:abstractNumId="23" w15:restartNumberingAfterBreak="0">
    <w:nsid w:val="024F41D7"/>
    <w:multiLevelType w:val="hybridMultilevel"/>
    <w:tmpl w:val="25FC9DD0"/>
    <w:lvl w:ilvl="0" w:tplc="D42E7A8C">
      <w:start w:val="1"/>
      <w:numFmt w:val="bullet"/>
      <w:lvlText w:val=""/>
      <w:lvlJc w:val="left"/>
      <w:pPr>
        <w:ind w:left="720" w:hanging="180"/>
      </w:pPr>
      <w:rPr>
        <w:rFonts w:ascii="Symbol" w:hAnsi="Symbol" w:hint="default"/>
      </w:rPr>
    </w:lvl>
    <w:lvl w:ilvl="1" w:tplc="ECEE29DE">
      <w:numFmt w:val="decimal"/>
      <w:lvlText w:val=""/>
      <w:lvlJc w:val="left"/>
    </w:lvl>
    <w:lvl w:ilvl="2" w:tplc="A574D37C">
      <w:numFmt w:val="decimal"/>
      <w:lvlText w:val=""/>
      <w:lvlJc w:val="left"/>
    </w:lvl>
    <w:lvl w:ilvl="3" w:tplc="C77C9762">
      <w:numFmt w:val="decimal"/>
      <w:lvlText w:val=""/>
      <w:lvlJc w:val="left"/>
    </w:lvl>
    <w:lvl w:ilvl="4" w:tplc="066CBA12">
      <w:numFmt w:val="decimal"/>
      <w:lvlText w:val=""/>
      <w:lvlJc w:val="left"/>
    </w:lvl>
    <w:lvl w:ilvl="5" w:tplc="C43A6F60">
      <w:numFmt w:val="decimal"/>
      <w:lvlText w:val=""/>
      <w:lvlJc w:val="left"/>
    </w:lvl>
    <w:lvl w:ilvl="6" w:tplc="580ACCC0">
      <w:numFmt w:val="decimal"/>
      <w:lvlText w:val=""/>
      <w:lvlJc w:val="left"/>
    </w:lvl>
    <w:lvl w:ilvl="7" w:tplc="90827058">
      <w:numFmt w:val="decimal"/>
      <w:lvlText w:val=""/>
      <w:lvlJc w:val="left"/>
    </w:lvl>
    <w:lvl w:ilvl="8" w:tplc="73920D66">
      <w:numFmt w:val="decimal"/>
      <w:lvlText w:val=""/>
      <w:lvlJc w:val="left"/>
    </w:lvl>
  </w:abstractNum>
  <w:abstractNum w:abstractNumId="24" w15:restartNumberingAfterBreak="0">
    <w:nsid w:val="0260474B"/>
    <w:multiLevelType w:val="hybridMultilevel"/>
    <w:tmpl w:val="84E2302C"/>
    <w:lvl w:ilvl="0" w:tplc="866C3D08">
      <w:start w:val="1"/>
      <w:numFmt w:val="bullet"/>
      <w:lvlText w:val=""/>
      <w:lvlJc w:val="left"/>
      <w:pPr>
        <w:ind w:left="720" w:hanging="180"/>
      </w:pPr>
      <w:rPr>
        <w:rFonts w:ascii="Symbol" w:hAnsi="Symbol" w:hint="default"/>
      </w:rPr>
    </w:lvl>
    <w:lvl w:ilvl="1" w:tplc="E3420F82">
      <w:numFmt w:val="decimal"/>
      <w:lvlText w:val=""/>
      <w:lvlJc w:val="left"/>
    </w:lvl>
    <w:lvl w:ilvl="2" w:tplc="4DF07E1E">
      <w:numFmt w:val="decimal"/>
      <w:lvlText w:val=""/>
      <w:lvlJc w:val="left"/>
    </w:lvl>
    <w:lvl w:ilvl="3" w:tplc="B3763EB2">
      <w:numFmt w:val="decimal"/>
      <w:lvlText w:val=""/>
      <w:lvlJc w:val="left"/>
    </w:lvl>
    <w:lvl w:ilvl="4" w:tplc="8DDE1A74">
      <w:numFmt w:val="decimal"/>
      <w:lvlText w:val=""/>
      <w:lvlJc w:val="left"/>
    </w:lvl>
    <w:lvl w:ilvl="5" w:tplc="47AAD4BC">
      <w:numFmt w:val="decimal"/>
      <w:lvlText w:val=""/>
      <w:lvlJc w:val="left"/>
    </w:lvl>
    <w:lvl w:ilvl="6" w:tplc="F1B2CFF8">
      <w:numFmt w:val="decimal"/>
      <w:lvlText w:val=""/>
      <w:lvlJc w:val="left"/>
    </w:lvl>
    <w:lvl w:ilvl="7" w:tplc="15C8DACA">
      <w:numFmt w:val="decimal"/>
      <w:lvlText w:val=""/>
      <w:lvlJc w:val="left"/>
    </w:lvl>
    <w:lvl w:ilvl="8" w:tplc="3BA20D4E">
      <w:numFmt w:val="decimal"/>
      <w:lvlText w:val=""/>
      <w:lvlJc w:val="left"/>
    </w:lvl>
  </w:abstractNum>
  <w:abstractNum w:abstractNumId="25" w15:restartNumberingAfterBreak="0">
    <w:nsid w:val="029F37E9"/>
    <w:multiLevelType w:val="hybridMultilevel"/>
    <w:tmpl w:val="39CEF9A4"/>
    <w:lvl w:ilvl="0" w:tplc="927AF5C2">
      <w:start w:val="1"/>
      <w:numFmt w:val="bullet"/>
      <w:lvlText w:val=""/>
      <w:lvlJc w:val="left"/>
      <w:pPr>
        <w:ind w:left="720" w:hanging="180"/>
      </w:pPr>
      <w:rPr>
        <w:rFonts w:ascii="Symbol" w:hAnsi="Symbol" w:hint="default"/>
      </w:rPr>
    </w:lvl>
    <w:lvl w:ilvl="1" w:tplc="D9A06A54">
      <w:numFmt w:val="decimal"/>
      <w:lvlText w:val=""/>
      <w:lvlJc w:val="left"/>
    </w:lvl>
    <w:lvl w:ilvl="2" w:tplc="B34033C8">
      <w:numFmt w:val="decimal"/>
      <w:lvlText w:val=""/>
      <w:lvlJc w:val="left"/>
    </w:lvl>
    <w:lvl w:ilvl="3" w:tplc="D6028BF8">
      <w:numFmt w:val="decimal"/>
      <w:lvlText w:val=""/>
      <w:lvlJc w:val="left"/>
    </w:lvl>
    <w:lvl w:ilvl="4" w:tplc="40265C5E">
      <w:numFmt w:val="decimal"/>
      <w:lvlText w:val=""/>
      <w:lvlJc w:val="left"/>
    </w:lvl>
    <w:lvl w:ilvl="5" w:tplc="F7FAEDD6">
      <w:numFmt w:val="decimal"/>
      <w:lvlText w:val=""/>
      <w:lvlJc w:val="left"/>
    </w:lvl>
    <w:lvl w:ilvl="6" w:tplc="CCBE2CEE">
      <w:numFmt w:val="decimal"/>
      <w:lvlText w:val=""/>
      <w:lvlJc w:val="left"/>
    </w:lvl>
    <w:lvl w:ilvl="7" w:tplc="EB42EFBE">
      <w:numFmt w:val="decimal"/>
      <w:lvlText w:val=""/>
      <w:lvlJc w:val="left"/>
    </w:lvl>
    <w:lvl w:ilvl="8" w:tplc="CCA0C2B2">
      <w:numFmt w:val="decimal"/>
      <w:lvlText w:val=""/>
      <w:lvlJc w:val="left"/>
    </w:lvl>
  </w:abstractNum>
  <w:abstractNum w:abstractNumId="26" w15:restartNumberingAfterBreak="0">
    <w:nsid w:val="02A060D1"/>
    <w:multiLevelType w:val="hybridMultilevel"/>
    <w:tmpl w:val="FF9EE4EE"/>
    <w:lvl w:ilvl="0" w:tplc="1A50F90C">
      <w:start w:val="1"/>
      <w:numFmt w:val="bullet"/>
      <w:lvlText w:val=""/>
      <w:lvlJc w:val="left"/>
      <w:pPr>
        <w:ind w:left="720" w:hanging="180"/>
      </w:pPr>
      <w:rPr>
        <w:rFonts w:ascii="Symbol" w:hAnsi="Symbol" w:hint="default"/>
      </w:rPr>
    </w:lvl>
    <w:lvl w:ilvl="1" w:tplc="E0060272">
      <w:numFmt w:val="decimal"/>
      <w:lvlText w:val=""/>
      <w:lvlJc w:val="left"/>
    </w:lvl>
    <w:lvl w:ilvl="2" w:tplc="52281B22">
      <w:numFmt w:val="decimal"/>
      <w:lvlText w:val=""/>
      <w:lvlJc w:val="left"/>
    </w:lvl>
    <w:lvl w:ilvl="3" w:tplc="40903588">
      <w:numFmt w:val="decimal"/>
      <w:lvlText w:val=""/>
      <w:lvlJc w:val="left"/>
    </w:lvl>
    <w:lvl w:ilvl="4" w:tplc="05307426">
      <w:numFmt w:val="decimal"/>
      <w:lvlText w:val=""/>
      <w:lvlJc w:val="left"/>
    </w:lvl>
    <w:lvl w:ilvl="5" w:tplc="619CFC48">
      <w:numFmt w:val="decimal"/>
      <w:lvlText w:val=""/>
      <w:lvlJc w:val="left"/>
    </w:lvl>
    <w:lvl w:ilvl="6" w:tplc="0D88A098">
      <w:numFmt w:val="decimal"/>
      <w:lvlText w:val=""/>
      <w:lvlJc w:val="left"/>
    </w:lvl>
    <w:lvl w:ilvl="7" w:tplc="91B2E19C">
      <w:numFmt w:val="decimal"/>
      <w:lvlText w:val=""/>
      <w:lvlJc w:val="left"/>
    </w:lvl>
    <w:lvl w:ilvl="8" w:tplc="B1661752">
      <w:numFmt w:val="decimal"/>
      <w:lvlText w:val=""/>
      <w:lvlJc w:val="left"/>
    </w:lvl>
  </w:abstractNum>
  <w:abstractNum w:abstractNumId="27" w15:restartNumberingAfterBreak="0">
    <w:nsid w:val="02BD4E96"/>
    <w:multiLevelType w:val="hybridMultilevel"/>
    <w:tmpl w:val="316C86BE"/>
    <w:lvl w:ilvl="0" w:tplc="9FDEAD98">
      <w:start w:val="1"/>
      <w:numFmt w:val="bullet"/>
      <w:lvlText w:val=""/>
      <w:lvlJc w:val="left"/>
      <w:pPr>
        <w:ind w:left="720" w:hanging="180"/>
      </w:pPr>
      <w:rPr>
        <w:rFonts w:ascii="Symbol" w:hAnsi="Symbol" w:hint="default"/>
      </w:rPr>
    </w:lvl>
    <w:lvl w:ilvl="1" w:tplc="4CC2FF64">
      <w:numFmt w:val="decimal"/>
      <w:lvlText w:val=""/>
      <w:lvlJc w:val="left"/>
    </w:lvl>
    <w:lvl w:ilvl="2" w:tplc="38D46722">
      <w:numFmt w:val="decimal"/>
      <w:lvlText w:val=""/>
      <w:lvlJc w:val="left"/>
    </w:lvl>
    <w:lvl w:ilvl="3" w:tplc="DBF295EE">
      <w:numFmt w:val="decimal"/>
      <w:lvlText w:val=""/>
      <w:lvlJc w:val="left"/>
    </w:lvl>
    <w:lvl w:ilvl="4" w:tplc="3ED29106">
      <w:numFmt w:val="decimal"/>
      <w:lvlText w:val=""/>
      <w:lvlJc w:val="left"/>
    </w:lvl>
    <w:lvl w:ilvl="5" w:tplc="29282954">
      <w:numFmt w:val="decimal"/>
      <w:lvlText w:val=""/>
      <w:lvlJc w:val="left"/>
    </w:lvl>
    <w:lvl w:ilvl="6" w:tplc="F274E27E">
      <w:numFmt w:val="decimal"/>
      <w:lvlText w:val=""/>
      <w:lvlJc w:val="left"/>
    </w:lvl>
    <w:lvl w:ilvl="7" w:tplc="8B0E0560">
      <w:numFmt w:val="decimal"/>
      <w:lvlText w:val=""/>
      <w:lvlJc w:val="left"/>
    </w:lvl>
    <w:lvl w:ilvl="8" w:tplc="9AB22812">
      <w:numFmt w:val="decimal"/>
      <w:lvlText w:val=""/>
      <w:lvlJc w:val="left"/>
    </w:lvl>
  </w:abstractNum>
  <w:abstractNum w:abstractNumId="28" w15:restartNumberingAfterBreak="0">
    <w:nsid w:val="02CC6FDF"/>
    <w:multiLevelType w:val="hybridMultilevel"/>
    <w:tmpl w:val="F89AE324"/>
    <w:lvl w:ilvl="0" w:tplc="795AF056">
      <w:start w:val="1"/>
      <w:numFmt w:val="bullet"/>
      <w:lvlText w:val=""/>
      <w:lvlJc w:val="left"/>
      <w:pPr>
        <w:ind w:left="720" w:hanging="180"/>
      </w:pPr>
      <w:rPr>
        <w:rFonts w:ascii="Symbol" w:hAnsi="Symbol" w:hint="default"/>
      </w:rPr>
    </w:lvl>
    <w:lvl w:ilvl="1" w:tplc="951259A4">
      <w:numFmt w:val="decimal"/>
      <w:lvlText w:val=""/>
      <w:lvlJc w:val="left"/>
    </w:lvl>
    <w:lvl w:ilvl="2" w:tplc="3AC60A30">
      <w:numFmt w:val="decimal"/>
      <w:lvlText w:val=""/>
      <w:lvlJc w:val="left"/>
    </w:lvl>
    <w:lvl w:ilvl="3" w:tplc="34842CB8">
      <w:numFmt w:val="decimal"/>
      <w:lvlText w:val=""/>
      <w:lvlJc w:val="left"/>
    </w:lvl>
    <w:lvl w:ilvl="4" w:tplc="19F2AAE6">
      <w:numFmt w:val="decimal"/>
      <w:lvlText w:val=""/>
      <w:lvlJc w:val="left"/>
    </w:lvl>
    <w:lvl w:ilvl="5" w:tplc="AB9CFDA4">
      <w:numFmt w:val="decimal"/>
      <w:lvlText w:val=""/>
      <w:lvlJc w:val="left"/>
    </w:lvl>
    <w:lvl w:ilvl="6" w:tplc="05C4A4A8">
      <w:numFmt w:val="decimal"/>
      <w:lvlText w:val=""/>
      <w:lvlJc w:val="left"/>
    </w:lvl>
    <w:lvl w:ilvl="7" w:tplc="60A8953E">
      <w:numFmt w:val="decimal"/>
      <w:lvlText w:val=""/>
      <w:lvlJc w:val="left"/>
    </w:lvl>
    <w:lvl w:ilvl="8" w:tplc="11C62288">
      <w:numFmt w:val="decimal"/>
      <w:lvlText w:val=""/>
      <w:lvlJc w:val="left"/>
    </w:lvl>
  </w:abstractNum>
  <w:abstractNum w:abstractNumId="29" w15:restartNumberingAfterBreak="0">
    <w:nsid w:val="02DA209E"/>
    <w:multiLevelType w:val="hybridMultilevel"/>
    <w:tmpl w:val="16A2C56E"/>
    <w:lvl w:ilvl="0" w:tplc="C3066234">
      <w:start w:val="1"/>
      <w:numFmt w:val="bullet"/>
      <w:lvlText w:val=""/>
      <w:lvlJc w:val="left"/>
      <w:pPr>
        <w:ind w:left="720" w:hanging="180"/>
      </w:pPr>
      <w:rPr>
        <w:rFonts w:ascii="Symbol" w:hAnsi="Symbol" w:hint="default"/>
      </w:rPr>
    </w:lvl>
    <w:lvl w:ilvl="1" w:tplc="D79E46CE">
      <w:numFmt w:val="decimal"/>
      <w:lvlText w:val=""/>
      <w:lvlJc w:val="left"/>
    </w:lvl>
    <w:lvl w:ilvl="2" w:tplc="BD700E42">
      <w:numFmt w:val="decimal"/>
      <w:lvlText w:val=""/>
      <w:lvlJc w:val="left"/>
    </w:lvl>
    <w:lvl w:ilvl="3" w:tplc="80FE2744">
      <w:numFmt w:val="decimal"/>
      <w:lvlText w:val=""/>
      <w:lvlJc w:val="left"/>
    </w:lvl>
    <w:lvl w:ilvl="4" w:tplc="E25450AC">
      <w:numFmt w:val="decimal"/>
      <w:lvlText w:val=""/>
      <w:lvlJc w:val="left"/>
    </w:lvl>
    <w:lvl w:ilvl="5" w:tplc="511E602A">
      <w:numFmt w:val="decimal"/>
      <w:lvlText w:val=""/>
      <w:lvlJc w:val="left"/>
    </w:lvl>
    <w:lvl w:ilvl="6" w:tplc="9D764582">
      <w:numFmt w:val="decimal"/>
      <w:lvlText w:val=""/>
      <w:lvlJc w:val="left"/>
    </w:lvl>
    <w:lvl w:ilvl="7" w:tplc="DA3A997C">
      <w:numFmt w:val="decimal"/>
      <w:lvlText w:val=""/>
      <w:lvlJc w:val="left"/>
    </w:lvl>
    <w:lvl w:ilvl="8" w:tplc="CC0EE328">
      <w:numFmt w:val="decimal"/>
      <w:lvlText w:val=""/>
      <w:lvlJc w:val="left"/>
    </w:lvl>
  </w:abstractNum>
  <w:abstractNum w:abstractNumId="30" w15:restartNumberingAfterBreak="0">
    <w:nsid w:val="02DD0101"/>
    <w:multiLevelType w:val="hybridMultilevel"/>
    <w:tmpl w:val="5F46630E"/>
    <w:lvl w:ilvl="0" w:tplc="65DAC098">
      <w:start w:val="1"/>
      <w:numFmt w:val="bullet"/>
      <w:lvlText w:val=""/>
      <w:lvlJc w:val="left"/>
      <w:pPr>
        <w:ind w:left="720" w:hanging="180"/>
      </w:pPr>
      <w:rPr>
        <w:rFonts w:ascii="Symbol" w:hAnsi="Symbol" w:hint="default"/>
      </w:rPr>
    </w:lvl>
    <w:lvl w:ilvl="1" w:tplc="0DDC030C">
      <w:numFmt w:val="decimal"/>
      <w:lvlText w:val=""/>
      <w:lvlJc w:val="left"/>
    </w:lvl>
    <w:lvl w:ilvl="2" w:tplc="5D48F4C0">
      <w:numFmt w:val="decimal"/>
      <w:lvlText w:val=""/>
      <w:lvlJc w:val="left"/>
    </w:lvl>
    <w:lvl w:ilvl="3" w:tplc="EE061180">
      <w:numFmt w:val="decimal"/>
      <w:lvlText w:val=""/>
      <w:lvlJc w:val="left"/>
    </w:lvl>
    <w:lvl w:ilvl="4" w:tplc="A524044E">
      <w:numFmt w:val="decimal"/>
      <w:lvlText w:val=""/>
      <w:lvlJc w:val="left"/>
    </w:lvl>
    <w:lvl w:ilvl="5" w:tplc="697E8938">
      <w:numFmt w:val="decimal"/>
      <w:lvlText w:val=""/>
      <w:lvlJc w:val="left"/>
    </w:lvl>
    <w:lvl w:ilvl="6" w:tplc="917E39EA">
      <w:numFmt w:val="decimal"/>
      <w:lvlText w:val=""/>
      <w:lvlJc w:val="left"/>
    </w:lvl>
    <w:lvl w:ilvl="7" w:tplc="192E8220">
      <w:numFmt w:val="decimal"/>
      <w:lvlText w:val=""/>
      <w:lvlJc w:val="left"/>
    </w:lvl>
    <w:lvl w:ilvl="8" w:tplc="985CA62A">
      <w:numFmt w:val="decimal"/>
      <w:lvlText w:val=""/>
      <w:lvlJc w:val="left"/>
    </w:lvl>
  </w:abstractNum>
  <w:abstractNum w:abstractNumId="31" w15:restartNumberingAfterBreak="0">
    <w:nsid w:val="02E00B6E"/>
    <w:multiLevelType w:val="hybridMultilevel"/>
    <w:tmpl w:val="4118B1A4"/>
    <w:lvl w:ilvl="0" w:tplc="7FFA2944">
      <w:start w:val="1"/>
      <w:numFmt w:val="bullet"/>
      <w:lvlText w:val=""/>
      <w:lvlJc w:val="left"/>
      <w:pPr>
        <w:ind w:left="720" w:hanging="180"/>
      </w:pPr>
      <w:rPr>
        <w:rFonts w:ascii="Symbol" w:hAnsi="Symbol" w:hint="default"/>
      </w:rPr>
    </w:lvl>
    <w:lvl w:ilvl="1" w:tplc="8190E47A">
      <w:numFmt w:val="decimal"/>
      <w:lvlText w:val=""/>
      <w:lvlJc w:val="left"/>
    </w:lvl>
    <w:lvl w:ilvl="2" w:tplc="D22EB054">
      <w:numFmt w:val="decimal"/>
      <w:lvlText w:val=""/>
      <w:lvlJc w:val="left"/>
    </w:lvl>
    <w:lvl w:ilvl="3" w:tplc="2CD8D31E">
      <w:numFmt w:val="decimal"/>
      <w:lvlText w:val=""/>
      <w:lvlJc w:val="left"/>
    </w:lvl>
    <w:lvl w:ilvl="4" w:tplc="ADF03F2C">
      <w:numFmt w:val="decimal"/>
      <w:lvlText w:val=""/>
      <w:lvlJc w:val="left"/>
    </w:lvl>
    <w:lvl w:ilvl="5" w:tplc="E8440700">
      <w:numFmt w:val="decimal"/>
      <w:lvlText w:val=""/>
      <w:lvlJc w:val="left"/>
    </w:lvl>
    <w:lvl w:ilvl="6" w:tplc="D8062128">
      <w:numFmt w:val="decimal"/>
      <w:lvlText w:val=""/>
      <w:lvlJc w:val="left"/>
    </w:lvl>
    <w:lvl w:ilvl="7" w:tplc="4E4AC536">
      <w:numFmt w:val="decimal"/>
      <w:lvlText w:val=""/>
      <w:lvlJc w:val="left"/>
    </w:lvl>
    <w:lvl w:ilvl="8" w:tplc="49826FDE">
      <w:numFmt w:val="decimal"/>
      <w:lvlText w:val=""/>
      <w:lvlJc w:val="left"/>
    </w:lvl>
  </w:abstractNum>
  <w:abstractNum w:abstractNumId="32" w15:restartNumberingAfterBreak="0">
    <w:nsid w:val="02E23CD5"/>
    <w:multiLevelType w:val="hybridMultilevel"/>
    <w:tmpl w:val="0E2E4BD4"/>
    <w:lvl w:ilvl="0" w:tplc="9654C144">
      <w:start w:val="1"/>
      <w:numFmt w:val="bullet"/>
      <w:lvlText w:val=""/>
      <w:lvlJc w:val="left"/>
      <w:pPr>
        <w:ind w:left="720" w:hanging="180"/>
      </w:pPr>
      <w:rPr>
        <w:rFonts w:ascii="Symbol" w:hAnsi="Symbol" w:hint="default"/>
      </w:rPr>
    </w:lvl>
    <w:lvl w:ilvl="1" w:tplc="DBB8B390">
      <w:numFmt w:val="decimal"/>
      <w:lvlText w:val=""/>
      <w:lvlJc w:val="left"/>
    </w:lvl>
    <w:lvl w:ilvl="2" w:tplc="0EE8356A">
      <w:numFmt w:val="decimal"/>
      <w:lvlText w:val=""/>
      <w:lvlJc w:val="left"/>
    </w:lvl>
    <w:lvl w:ilvl="3" w:tplc="A412BD76">
      <w:numFmt w:val="decimal"/>
      <w:lvlText w:val=""/>
      <w:lvlJc w:val="left"/>
    </w:lvl>
    <w:lvl w:ilvl="4" w:tplc="D654EC92">
      <w:numFmt w:val="decimal"/>
      <w:lvlText w:val=""/>
      <w:lvlJc w:val="left"/>
    </w:lvl>
    <w:lvl w:ilvl="5" w:tplc="3252D576">
      <w:numFmt w:val="decimal"/>
      <w:lvlText w:val=""/>
      <w:lvlJc w:val="left"/>
    </w:lvl>
    <w:lvl w:ilvl="6" w:tplc="AC26D23E">
      <w:numFmt w:val="decimal"/>
      <w:lvlText w:val=""/>
      <w:lvlJc w:val="left"/>
    </w:lvl>
    <w:lvl w:ilvl="7" w:tplc="3ADC6E86">
      <w:numFmt w:val="decimal"/>
      <w:lvlText w:val=""/>
      <w:lvlJc w:val="left"/>
    </w:lvl>
    <w:lvl w:ilvl="8" w:tplc="A3FA1E04">
      <w:numFmt w:val="decimal"/>
      <w:lvlText w:val=""/>
      <w:lvlJc w:val="left"/>
    </w:lvl>
  </w:abstractNum>
  <w:abstractNum w:abstractNumId="33" w15:restartNumberingAfterBreak="0">
    <w:nsid w:val="02EB143A"/>
    <w:multiLevelType w:val="hybridMultilevel"/>
    <w:tmpl w:val="5462B86E"/>
    <w:lvl w:ilvl="0" w:tplc="CE40279E">
      <w:start w:val="1"/>
      <w:numFmt w:val="bullet"/>
      <w:lvlText w:val=""/>
      <w:lvlJc w:val="left"/>
      <w:pPr>
        <w:ind w:left="720" w:hanging="180"/>
      </w:pPr>
      <w:rPr>
        <w:rFonts w:ascii="Symbol" w:hAnsi="Symbol" w:hint="default"/>
      </w:rPr>
    </w:lvl>
    <w:lvl w:ilvl="1" w:tplc="23A0FD3A">
      <w:numFmt w:val="decimal"/>
      <w:lvlText w:val=""/>
      <w:lvlJc w:val="left"/>
    </w:lvl>
    <w:lvl w:ilvl="2" w:tplc="620CE3AE">
      <w:numFmt w:val="decimal"/>
      <w:lvlText w:val=""/>
      <w:lvlJc w:val="left"/>
    </w:lvl>
    <w:lvl w:ilvl="3" w:tplc="4E5EDB50">
      <w:numFmt w:val="decimal"/>
      <w:lvlText w:val=""/>
      <w:lvlJc w:val="left"/>
    </w:lvl>
    <w:lvl w:ilvl="4" w:tplc="43300E5E">
      <w:numFmt w:val="decimal"/>
      <w:lvlText w:val=""/>
      <w:lvlJc w:val="left"/>
    </w:lvl>
    <w:lvl w:ilvl="5" w:tplc="9294ABA8">
      <w:numFmt w:val="decimal"/>
      <w:lvlText w:val=""/>
      <w:lvlJc w:val="left"/>
    </w:lvl>
    <w:lvl w:ilvl="6" w:tplc="E8FCC064">
      <w:numFmt w:val="decimal"/>
      <w:lvlText w:val=""/>
      <w:lvlJc w:val="left"/>
    </w:lvl>
    <w:lvl w:ilvl="7" w:tplc="381E1E24">
      <w:numFmt w:val="decimal"/>
      <w:lvlText w:val=""/>
      <w:lvlJc w:val="left"/>
    </w:lvl>
    <w:lvl w:ilvl="8" w:tplc="C24ECED4">
      <w:numFmt w:val="decimal"/>
      <w:lvlText w:val=""/>
      <w:lvlJc w:val="left"/>
    </w:lvl>
  </w:abstractNum>
  <w:abstractNum w:abstractNumId="34" w15:restartNumberingAfterBreak="0">
    <w:nsid w:val="02F06A14"/>
    <w:multiLevelType w:val="hybridMultilevel"/>
    <w:tmpl w:val="7ACC66A2"/>
    <w:lvl w:ilvl="0" w:tplc="D0503592">
      <w:start w:val="1"/>
      <w:numFmt w:val="bullet"/>
      <w:lvlText w:val=""/>
      <w:lvlJc w:val="left"/>
      <w:pPr>
        <w:ind w:left="720" w:hanging="180"/>
      </w:pPr>
      <w:rPr>
        <w:rFonts w:ascii="Symbol" w:hAnsi="Symbol" w:hint="default"/>
      </w:rPr>
    </w:lvl>
    <w:lvl w:ilvl="1" w:tplc="9D64AB04">
      <w:numFmt w:val="decimal"/>
      <w:lvlText w:val=""/>
      <w:lvlJc w:val="left"/>
    </w:lvl>
    <w:lvl w:ilvl="2" w:tplc="32147882">
      <w:numFmt w:val="decimal"/>
      <w:lvlText w:val=""/>
      <w:lvlJc w:val="left"/>
    </w:lvl>
    <w:lvl w:ilvl="3" w:tplc="978EA37E">
      <w:numFmt w:val="decimal"/>
      <w:lvlText w:val=""/>
      <w:lvlJc w:val="left"/>
    </w:lvl>
    <w:lvl w:ilvl="4" w:tplc="9E92F344">
      <w:numFmt w:val="decimal"/>
      <w:lvlText w:val=""/>
      <w:lvlJc w:val="left"/>
    </w:lvl>
    <w:lvl w:ilvl="5" w:tplc="13A26F4E">
      <w:numFmt w:val="decimal"/>
      <w:lvlText w:val=""/>
      <w:lvlJc w:val="left"/>
    </w:lvl>
    <w:lvl w:ilvl="6" w:tplc="71CE6CA0">
      <w:numFmt w:val="decimal"/>
      <w:lvlText w:val=""/>
      <w:lvlJc w:val="left"/>
    </w:lvl>
    <w:lvl w:ilvl="7" w:tplc="B90CB3B2">
      <w:numFmt w:val="decimal"/>
      <w:lvlText w:val=""/>
      <w:lvlJc w:val="left"/>
    </w:lvl>
    <w:lvl w:ilvl="8" w:tplc="350801A2">
      <w:numFmt w:val="decimal"/>
      <w:lvlText w:val=""/>
      <w:lvlJc w:val="left"/>
    </w:lvl>
  </w:abstractNum>
  <w:abstractNum w:abstractNumId="35" w15:restartNumberingAfterBreak="0">
    <w:nsid w:val="03550D01"/>
    <w:multiLevelType w:val="hybridMultilevel"/>
    <w:tmpl w:val="15F6DF02"/>
    <w:lvl w:ilvl="0" w:tplc="CF7207A0">
      <w:start w:val="1"/>
      <w:numFmt w:val="bullet"/>
      <w:lvlText w:val=""/>
      <w:lvlJc w:val="left"/>
      <w:pPr>
        <w:ind w:left="720" w:hanging="180"/>
      </w:pPr>
      <w:rPr>
        <w:rFonts w:ascii="Symbol" w:hAnsi="Symbol" w:hint="default"/>
      </w:rPr>
    </w:lvl>
    <w:lvl w:ilvl="1" w:tplc="DFA8B8A2">
      <w:numFmt w:val="decimal"/>
      <w:lvlText w:val=""/>
      <w:lvlJc w:val="left"/>
    </w:lvl>
    <w:lvl w:ilvl="2" w:tplc="CD10938A">
      <w:numFmt w:val="decimal"/>
      <w:lvlText w:val=""/>
      <w:lvlJc w:val="left"/>
    </w:lvl>
    <w:lvl w:ilvl="3" w:tplc="9CBA1F76">
      <w:numFmt w:val="decimal"/>
      <w:lvlText w:val=""/>
      <w:lvlJc w:val="left"/>
    </w:lvl>
    <w:lvl w:ilvl="4" w:tplc="332801A0">
      <w:numFmt w:val="decimal"/>
      <w:lvlText w:val=""/>
      <w:lvlJc w:val="left"/>
    </w:lvl>
    <w:lvl w:ilvl="5" w:tplc="C0169A70">
      <w:numFmt w:val="decimal"/>
      <w:lvlText w:val=""/>
      <w:lvlJc w:val="left"/>
    </w:lvl>
    <w:lvl w:ilvl="6" w:tplc="5BE03BA2">
      <w:numFmt w:val="decimal"/>
      <w:lvlText w:val=""/>
      <w:lvlJc w:val="left"/>
    </w:lvl>
    <w:lvl w:ilvl="7" w:tplc="25105140">
      <w:numFmt w:val="decimal"/>
      <w:lvlText w:val=""/>
      <w:lvlJc w:val="left"/>
    </w:lvl>
    <w:lvl w:ilvl="8" w:tplc="5AF03394">
      <w:numFmt w:val="decimal"/>
      <w:lvlText w:val=""/>
      <w:lvlJc w:val="left"/>
    </w:lvl>
  </w:abstractNum>
  <w:abstractNum w:abstractNumId="36" w15:restartNumberingAfterBreak="0">
    <w:nsid w:val="038F3BC9"/>
    <w:multiLevelType w:val="hybridMultilevel"/>
    <w:tmpl w:val="838637E0"/>
    <w:lvl w:ilvl="0" w:tplc="E1E6F5B4">
      <w:start w:val="1"/>
      <w:numFmt w:val="bullet"/>
      <w:lvlText w:val=""/>
      <w:lvlJc w:val="left"/>
      <w:pPr>
        <w:ind w:left="720" w:hanging="180"/>
      </w:pPr>
      <w:rPr>
        <w:rFonts w:ascii="Symbol" w:hAnsi="Symbol" w:hint="default"/>
      </w:rPr>
    </w:lvl>
    <w:lvl w:ilvl="1" w:tplc="7FA421DE">
      <w:numFmt w:val="decimal"/>
      <w:lvlText w:val=""/>
      <w:lvlJc w:val="left"/>
    </w:lvl>
    <w:lvl w:ilvl="2" w:tplc="933847EE">
      <w:numFmt w:val="decimal"/>
      <w:lvlText w:val=""/>
      <w:lvlJc w:val="left"/>
    </w:lvl>
    <w:lvl w:ilvl="3" w:tplc="D5F6BF98">
      <w:numFmt w:val="decimal"/>
      <w:lvlText w:val=""/>
      <w:lvlJc w:val="left"/>
    </w:lvl>
    <w:lvl w:ilvl="4" w:tplc="9F529184">
      <w:numFmt w:val="decimal"/>
      <w:lvlText w:val=""/>
      <w:lvlJc w:val="left"/>
    </w:lvl>
    <w:lvl w:ilvl="5" w:tplc="F176F73A">
      <w:numFmt w:val="decimal"/>
      <w:lvlText w:val=""/>
      <w:lvlJc w:val="left"/>
    </w:lvl>
    <w:lvl w:ilvl="6" w:tplc="FDDEB9E4">
      <w:numFmt w:val="decimal"/>
      <w:lvlText w:val=""/>
      <w:lvlJc w:val="left"/>
    </w:lvl>
    <w:lvl w:ilvl="7" w:tplc="15EA078A">
      <w:numFmt w:val="decimal"/>
      <w:lvlText w:val=""/>
      <w:lvlJc w:val="left"/>
    </w:lvl>
    <w:lvl w:ilvl="8" w:tplc="A12239A0">
      <w:numFmt w:val="decimal"/>
      <w:lvlText w:val=""/>
      <w:lvlJc w:val="left"/>
    </w:lvl>
  </w:abstractNum>
  <w:abstractNum w:abstractNumId="37" w15:restartNumberingAfterBreak="0">
    <w:nsid w:val="03C37E9C"/>
    <w:multiLevelType w:val="hybridMultilevel"/>
    <w:tmpl w:val="D5129C48"/>
    <w:lvl w:ilvl="0" w:tplc="EA02EFDC">
      <w:start w:val="1"/>
      <w:numFmt w:val="bullet"/>
      <w:lvlText w:val=""/>
      <w:lvlJc w:val="left"/>
      <w:pPr>
        <w:ind w:left="720" w:hanging="180"/>
      </w:pPr>
      <w:rPr>
        <w:rFonts w:ascii="Symbol" w:hAnsi="Symbol" w:hint="default"/>
      </w:rPr>
    </w:lvl>
    <w:lvl w:ilvl="1" w:tplc="65C23024">
      <w:numFmt w:val="decimal"/>
      <w:lvlText w:val=""/>
      <w:lvlJc w:val="left"/>
    </w:lvl>
    <w:lvl w:ilvl="2" w:tplc="2A06B02E">
      <w:numFmt w:val="decimal"/>
      <w:lvlText w:val=""/>
      <w:lvlJc w:val="left"/>
    </w:lvl>
    <w:lvl w:ilvl="3" w:tplc="8A9C2292">
      <w:numFmt w:val="decimal"/>
      <w:lvlText w:val=""/>
      <w:lvlJc w:val="left"/>
    </w:lvl>
    <w:lvl w:ilvl="4" w:tplc="865A970A">
      <w:numFmt w:val="decimal"/>
      <w:lvlText w:val=""/>
      <w:lvlJc w:val="left"/>
    </w:lvl>
    <w:lvl w:ilvl="5" w:tplc="D8DE4B54">
      <w:numFmt w:val="decimal"/>
      <w:lvlText w:val=""/>
      <w:lvlJc w:val="left"/>
    </w:lvl>
    <w:lvl w:ilvl="6" w:tplc="4F284834">
      <w:numFmt w:val="decimal"/>
      <w:lvlText w:val=""/>
      <w:lvlJc w:val="left"/>
    </w:lvl>
    <w:lvl w:ilvl="7" w:tplc="85E2BB20">
      <w:numFmt w:val="decimal"/>
      <w:lvlText w:val=""/>
      <w:lvlJc w:val="left"/>
    </w:lvl>
    <w:lvl w:ilvl="8" w:tplc="57F4BB6E">
      <w:numFmt w:val="decimal"/>
      <w:lvlText w:val=""/>
      <w:lvlJc w:val="left"/>
    </w:lvl>
  </w:abstractNum>
  <w:abstractNum w:abstractNumId="38" w15:restartNumberingAfterBreak="0">
    <w:nsid w:val="03D64F54"/>
    <w:multiLevelType w:val="hybridMultilevel"/>
    <w:tmpl w:val="FBC8C608"/>
    <w:lvl w:ilvl="0" w:tplc="A4D4026C">
      <w:start w:val="1"/>
      <w:numFmt w:val="bullet"/>
      <w:lvlText w:val=""/>
      <w:lvlJc w:val="left"/>
      <w:pPr>
        <w:ind w:left="720" w:hanging="180"/>
      </w:pPr>
      <w:rPr>
        <w:rFonts w:ascii="Symbol" w:hAnsi="Symbol" w:hint="default"/>
      </w:rPr>
    </w:lvl>
    <w:lvl w:ilvl="1" w:tplc="3C76E05A">
      <w:numFmt w:val="decimal"/>
      <w:lvlText w:val=""/>
      <w:lvlJc w:val="left"/>
    </w:lvl>
    <w:lvl w:ilvl="2" w:tplc="9BD6D352">
      <w:numFmt w:val="decimal"/>
      <w:lvlText w:val=""/>
      <w:lvlJc w:val="left"/>
    </w:lvl>
    <w:lvl w:ilvl="3" w:tplc="90DE080E">
      <w:numFmt w:val="decimal"/>
      <w:lvlText w:val=""/>
      <w:lvlJc w:val="left"/>
    </w:lvl>
    <w:lvl w:ilvl="4" w:tplc="49023412">
      <w:numFmt w:val="decimal"/>
      <w:lvlText w:val=""/>
      <w:lvlJc w:val="left"/>
    </w:lvl>
    <w:lvl w:ilvl="5" w:tplc="F2C8877A">
      <w:numFmt w:val="decimal"/>
      <w:lvlText w:val=""/>
      <w:lvlJc w:val="left"/>
    </w:lvl>
    <w:lvl w:ilvl="6" w:tplc="F7BC6FF0">
      <w:numFmt w:val="decimal"/>
      <w:lvlText w:val=""/>
      <w:lvlJc w:val="left"/>
    </w:lvl>
    <w:lvl w:ilvl="7" w:tplc="C954545C">
      <w:numFmt w:val="decimal"/>
      <w:lvlText w:val=""/>
      <w:lvlJc w:val="left"/>
    </w:lvl>
    <w:lvl w:ilvl="8" w:tplc="9DB827A2">
      <w:numFmt w:val="decimal"/>
      <w:lvlText w:val=""/>
      <w:lvlJc w:val="left"/>
    </w:lvl>
  </w:abstractNum>
  <w:abstractNum w:abstractNumId="39" w15:restartNumberingAfterBreak="0">
    <w:nsid w:val="03E64FD5"/>
    <w:multiLevelType w:val="hybridMultilevel"/>
    <w:tmpl w:val="DEE2179C"/>
    <w:lvl w:ilvl="0" w:tplc="38B00C28">
      <w:numFmt w:val="decimal"/>
      <w:lvlText w:val=""/>
      <w:lvlJc w:val="left"/>
    </w:lvl>
    <w:lvl w:ilvl="1" w:tplc="BCCEB01E">
      <w:start w:val="1"/>
      <w:numFmt w:val="bullet"/>
      <w:lvlText w:val=""/>
      <w:lvlJc w:val="left"/>
      <w:pPr>
        <w:ind w:left="1440" w:hanging="180"/>
      </w:pPr>
      <w:rPr>
        <w:rFonts w:ascii="Symbol" w:hAnsi="Symbol" w:hint="default"/>
      </w:rPr>
    </w:lvl>
    <w:lvl w:ilvl="2" w:tplc="090C5C88">
      <w:numFmt w:val="decimal"/>
      <w:lvlText w:val=""/>
      <w:lvlJc w:val="left"/>
    </w:lvl>
    <w:lvl w:ilvl="3" w:tplc="5382F938">
      <w:numFmt w:val="decimal"/>
      <w:lvlText w:val=""/>
      <w:lvlJc w:val="left"/>
    </w:lvl>
    <w:lvl w:ilvl="4" w:tplc="7D360970">
      <w:numFmt w:val="decimal"/>
      <w:lvlText w:val=""/>
      <w:lvlJc w:val="left"/>
    </w:lvl>
    <w:lvl w:ilvl="5" w:tplc="91E45BFC">
      <w:numFmt w:val="decimal"/>
      <w:lvlText w:val=""/>
      <w:lvlJc w:val="left"/>
    </w:lvl>
    <w:lvl w:ilvl="6" w:tplc="3EDE384A">
      <w:numFmt w:val="decimal"/>
      <w:lvlText w:val=""/>
      <w:lvlJc w:val="left"/>
    </w:lvl>
    <w:lvl w:ilvl="7" w:tplc="BE5EC0CC">
      <w:numFmt w:val="decimal"/>
      <w:lvlText w:val=""/>
      <w:lvlJc w:val="left"/>
    </w:lvl>
    <w:lvl w:ilvl="8" w:tplc="FAAE8ADC">
      <w:numFmt w:val="decimal"/>
      <w:lvlText w:val=""/>
      <w:lvlJc w:val="left"/>
    </w:lvl>
  </w:abstractNum>
  <w:abstractNum w:abstractNumId="40" w15:restartNumberingAfterBreak="0">
    <w:nsid w:val="03F61D51"/>
    <w:multiLevelType w:val="hybridMultilevel"/>
    <w:tmpl w:val="E63AC65A"/>
    <w:lvl w:ilvl="0" w:tplc="DF8A649C">
      <w:start w:val="1"/>
      <w:numFmt w:val="bullet"/>
      <w:lvlText w:val=""/>
      <w:lvlJc w:val="left"/>
      <w:pPr>
        <w:ind w:left="720" w:hanging="180"/>
      </w:pPr>
      <w:rPr>
        <w:rFonts w:ascii="Symbol" w:hAnsi="Symbol" w:hint="default"/>
      </w:rPr>
    </w:lvl>
    <w:lvl w:ilvl="1" w:tplc="3D2C12D0">
      <w:numFmt w:val="decimal"/>
      <w:lvlText w:val=""/>
      <w:lvlJc w:val="left"/>
    </w:lvl>
    <w:lvl w:ilvl="2" w:tplc="0B9E05EA">
      <w:numFmt w:val="decimal"/>
      <w:lvlText w:val=""/>
      <w:lvlJc w:val="left"/>
    </w:lvl>
    <w:lvl w:ilvl="3" w:tplc="5148CE4A">
      <w:numFmt w:val="decimal"/>
      <w:lvlText w:val=""/>
      <w:lvlJc w:val="left"/>
    </w:lvl>
    <w:lvl w:ilvl="4" w:tplc="9D728B10">
      <w:numFmt w:val="decimal"/>
      <w:lvlText w:val=""/>
      <w:lvlJc w:val="left"/>
    </w:lvl>
    <w:lvl w:ilvl="5" w:tplc="5712C5A2">
      <w:numFmt w:val="decimal"/>
      <w:lvlText w:val=""/>
      <w:lvlJc w:val="left"/>
    </w:lvl>
    <w:lvl w:ilvl="6" w:tplc="6186AE2A">
      <w:numFmt w:val="decimal"/>
      <w:lvlText w:val=""/>
      <w:lvlJc w:val="left"/>
    </w:lvl>
    <w:lvl w:ilvl="7" w:tplc="3620E84E">
      <w:numFmt w:val="decimal"/>
      <w:lvlText w:val=""/>
      <w:lvlJc w:val="left"/>
    </w:lvl>
    <w:lvl w:ilvl="8" w:tplc="A992D03E">
      <w:numFmt w:val="decimal"/>
      <w:lvlText w:val=""/>
      <w:lvlJc w:val="left"/>
    </w:lvl>
  </w:abstractNum>
  <w:abstractNum w:abstractNumId="41" w15:restartNumberingAfterBreak="0">
    <w:nsid w:val="03F63432"/>
    <w:multiLevelType w:val="hybridMultilevel"/>
    <w:tmpl w:val="5808AE96"/>
    <w:lvl w:ilvl="0" w:tplc="3A6CCB3A">
      <w:start w:val="1"/>
      <w:numFmt w:val="bullet"/>
      <w:lvlText w:val=""/>
      <w:lvlJc w:val="left"/>
      <w:pPr>
        <w:ind w:left="720" w:hanging="180"/>
      </w:pPr>
      <w:rPr>
        <w:rFonts w:ascii="Symbol" w:hAnsi="Symbol" w:hint="default"/>
      </w:rPr>
    </w:lvl>
    <w:lvl w:ilvl="1" w:tplc="ECD0937E">
      <w:numFmt w:val="decimal"/>
      <w:lvlText w:val=""/>
      <w:lvlJc w:val="left"/>
    </w:lvl>
    <w:lvl w:ilvl="2" w:tplc="E9505EFA">
      <w:numFmt w:val="decimal"/>
      <w:lvlText w:val=""/>
      <w:lvlJc w:val="left"/>
    </w:lvl>
    <w:lvl w:ilvl="3" w:tplc="28D61EE6">
      <w:numFmt w:val="decimal"/>
      <w:lvlText w:val=""/>
      <w:lvlJc w:val="left"/>
    </w:lvl>
    <w:lvl w:ilvl="4" w:tplc="E546357A">
      <w:numFmt w:val="decimal"/>
      <w:lvlText w:val=""/>
      <w:lvlJc w:val="left"/>
    </w:lvl>
    <w:lvl w:ilvl="5" w:tplc="116C9A72">
      <w:numFmt w:val="decimal"/>
      <w:lvlText w:val=""/>
      <w:lvlJc w:val="left"/>
    </w:lvl>
    <w:lvl w:ilvl="6" w:tplc="814CA708">
      <w:numFmt w:val="decimal"/>
      <w:lvlText w:val=""/>
      <w:lvlJc w:val="left"/>
    </w:lvl>
    <w:lvl w:ilvl="7" w:tplc="63D411AA">
      <w:numFmt w:val="decimal"/>
      <w:lvlText w:val=""/>
      <w:lvlJc w:val="left"/>
    </w:lvl>
    <w:lvl w:ilvl="8" w:tplc="FC3A09C6">
      <w:numFmt w:val="decimal"/>
      <w:lvlText w:val=""/>
      <w:lvlJc w:val="left"/>
    </w:lvl>
  </w:abstractNum>
  <w:abstractNum w:abstractNumId="42" w15:restartNumberingAfterBreak="0">
    <w:nsid w:val="03F920A5"/>
    <w:multiLevelType w:val="hybridMultilevel"/>
    <w:tmpl w:val="45A6571E"/>
    <w:lvl w:ilvl="0" w:tplc="84AAD5B2">
      <w:start w:val="1"/>
      <w:numFmt w:val="bullet"/>
      <w:lvlText w:val=""/>
      <w:lvlJc w:val="left"/>
      <w:pPr>
        <w:ind w:left="720" w:hanging="180"/>
      </w:pPr>
      <w:rPr>
        <w:rFonts w:ascii="Symbol" w:hAnsi="Symbol" w:hint="default"/>
      </w:rPr>
    </w:lvl>
    <w:lvl w:ilvl="1" w:tplc="BB3A4398">
      <w:numFmt w:val="decimal"/>
      <w:lvlText w:val=""/>
      <w:lvlJc w:val="left"/>
    </w:lvl>
    <w:lvl w:ilvl="2" w:tplc="8A92A0DC">
      <w:numFmt w:val="decimal"/>
      <w:lvlText w:val=""/>
      <w:lvlJc w:val="left"/>
    </w:lvl>
    <w:lvl w:ilvl="3" w:tplc="8EB4063E">
      <w:numFmt w:val="decimal"/>
      <w:lvlText w:val=""/>
      <w:lvlJc w:val="left"/>
    </w:lvl>
    <w:lvl w:ilvl="4" w:tplc="C3088190">
      <w:numFmt w:val="decimal"/>
      <w:lvlText w:val=""/>
      <w:lvlJc w:val="left"/>
    </w:lvl>
    <w:lvl w:ilvl="5" w:tplc="0480EE3A">
      <w:numFmt w:val="decimal"/>
      <w:lvlText w:val=""/>
      <w:lvlJc w:val="left"/>
    </w:lvl>
    <w:lvl w:ilvl="6" w:tplc="DB24A4D8">
      <w:numFmt w:val="decimal"/>
      <w:lvlText w:val=""/>
      <w:lvlJc w:val="left"/>
    </w:lvl>
    <w:lvl w:ilvl="7" w:tplc="9B3E170E">
      <w:numFmt w:val="decimal"/>
      <w:lvlText w:val=""/>
      <w:lvlJc w:val="left"/>
    </w:lvl>
    <w:lvl w:ilvl="8" w:tplc="B19A0DA2">
      <w:numFmt w:val="decimal"/>
      <w:lvlText w:val=""/>
      <w:lvlJc w:val="left"/>
    </w:lvl>
  </w:abstractNum>
  <w:abstractNum w:abstractNumId="43" w15:restartNumberingAfterBreak="0">
    <w:nsid w:val="04282D9A"/>
    <w:multiLevelType w:val="hybridMultilevel"/>
    <w:tmpl w:val="45DA2F1A"/>
    <w:lvl w:ilvl="0" w:tplc="66CC26D4">
      <w:start w:val="1"/>
      <w:numFmt w:val="bullet"/>
      <w:lvlText w:val=""/>
      <w:lvlJc w:val="left"/>
      <w:pPr>
        <w:ind w:left="720" w:hanging="180"/>
      </w:pPr>
      <w:rPr>
        <w:rFonts w:ascii="Symbol" w:hAnsi="Symbol" w:hint="default"/>
      </w:rPr>
    </w:lvl>
    <w:lvl w:ilvl="1" w:tplc="0CDCAA1C">
      <w:numFmt w:val="decimal"/>
      <w:lvlText w:val=""/>
      <w:lvlJc w:val="left"/>
    </w:lvl>
    <w:lvl w:ilvl="2" w:tplc="668A4FC6">
      <w:numFmt w:val="decimal"/>
      <w:lvlText w:val=""/>
      <w:lvlJc w:val="left"/>
    </w:lvl>
    <w:lvl w:ilvl="3" w:tplc="DC6EEDD2">
      <w:numFmt w:val="decimal"/>
      <w:lvlText w:val=""/>
      <w:lvlJc w:val="left"/>
    </w:lvl>
    <w:lvl w:ilvl="4" w:tplc="366E7A96">
      <w:numFmt w:val="decimal"/>
      <w:lvlText w:val=""/>
      <w:lvlJc w:val="left"/>
    </w:lvl>
    <w:lvl w:ilvl="5" w:tplc="55D65A88">
      <w:numFmt w:val="decimal"/>
      <w:lvlText w:val=""/>
      <w:lvlJc w:val="left"/>
    </w:lvl>
    <w:lvl w:ilvl="6" w:tplc="A0F45ED6">
      <w:numFmt w:val="decimal"/>
      <w:lvlText w:val=""/>
      <w:lvlJc w:val="left"/>
    </w:lvl>
    <w:lvl w:ilvl="7" w:tplc="A5205BC4">
      <w:numFmt w:val="decimal"/>
      <w:lvlText w:val=""/>
      <w:lvlJc w:val="left"/>
    </w:lvl>
    <w:lvl w:ilvl="8" w:tplc="DC7624C8">
      <w:numFmt w:val="decimal"/>
      <w:lvlText w:val=""/>
      <w:lvlJc w:val="left"/>
    </w:lvl>
  </w:abstractNum>
  <w:abstractNum w:abstractNumId="44" w15:restartNumberingAfterBreak="0">
    <w:nsid w:val="04444E22"/>
    <w:multiLevelType w:val="hybridMultilevel"/>
    <w:tmpl w:val="466C11B2"/>
    <w:lvl w:ilvl="0" w:tplc="576AE220">
      <w:start w:val="1"/>
      <w:numFmt w:val="bullet"/>
      <w:lvlText w:val=""/>
      <w:lvlJc w:val="left"/>
      <w:pPr>
        <w:ind w:left="720" w:hanging="180"/>
      </w:pPr>
      <w:rPr>
        <w:rFonts w:ascii="Symbol" w:hAnsi="Symbol" w:hint="default"/>
      </w:rPr>
    </w:lvl>
    <w:lvl w:ilvl="1" w:tplc="9592AEB8">
      <w:numFmt w:val="decimal"/>
      <w:lvlText w:val=""/>
      <w:lvlJc w:val="left"/>
    </w:lvl>
    <w:lvl w:ilvl="2" w:tplc="5ACEE4D0">
      <w:numFmt w:val="decimal"/>
      <w:lvlText w:val=""/>
      <w:lvlJc w:val="left"/>
    </w:lvl>
    <w:lvl w:ilvl="3" w:tplc="9A60CF56">
      <w:numFmt w:val="decimal"/>
      <w:lvlText w:val=""/>
      <w:lvlJc w:val="left"/>
    </w:lvl>
    <w:lvl w:ilvl="4" w:tplc="CA7EB878">
      <w:numFmt w:val="decimal"/>
      <w:lvlText w:val=""/>
      <w:lvlJc w:val="left"/>
    </w:lvl>
    <w:lvl w:ilvl="5" w:tplc="8AD47F92">
      <w:numFmt w:val="decimal"/>
      <w:lvlText w:val=""/>
      <w:lvlJc w:val="left"/>
    </w:lvl>
    <w:lvl w:ilvl="6" w:tplc="9D987062">
      <w:numFmt w:val="decimal"/>
      <w:lvlText w:val=""/>
      <w:lvlJc w:val="left"/>
    </w:lvl>
    <w:lvl w:ilvl="7" w:tplc="DD28FBAC">
      <w:numFmt w:val="decimal"/>
      <w:lvlText w:val=""/>
      <w:lvlJc w:val="left"/>
    </w:lvl>
    <w:lvl w:ilvl="8" w:tplc="8798335A">
      <w:numFmt w:val="decimal"/>
      <w:lvlText w:val=""/>
      <w:lvlJc w:val="left"/>
    </w:lvl>
  </w:abstractNum>
  <w:abstractNum w:abstractNumId="45" w15:restartNumberingAfterBreak="0">
    <w:nsid w:val="044C19EE"/>
    <w:multiLevelType w:val="hybridMultilevel"/>
    <w:tmpl w:val="DDBC1FB4"/>
    <w:lvl w:ilvl="0" w:tplc="A8F2F4C4">
      <w:start w:val="1"/>
      <w:numFmt w:val="bullet"/>
      <w:lvlText w:val=""/>
      <w:lvlJc w:val="left"/>
      <w:pPr>
        <w:ind w:left="720" w:hanging="180"/>
      </w:pPr>
      <w:rPr>
        <w:rFonts w:ascii="Symbol" w:hAnsi="Symbol" w:hint="default"/>
      </w:rPr>
    </w:lvl>
    <w:lvl w:ilvl="1" w:tplc="A06A8540">
      <w:numFmt w:val="decimal"/>
      <w:lvlText w:val=""/>
      <w:lvlJc w:val="left"/>
    </w:lvl>
    <w:lvl w:ilvl="2" w:tplc="8DCE8E7E">
      <w:numFmt w:val="decimal"/>
      <w:lvlText w:val=""/>
      <w:lvlJc w:val="left"/>
    </w:lvl>
    <w:lvl w:ilvl="3" w:tplc="1FE86F1E">
      <w:numFmt w:val="decimal"/>
      <w:lvlText w:val=""/>
      <w:lvlJc w:val="left"/>
    </w:lvl>
    <w:lvl w:ilvl="4" w:tplc="540EF6EA">
      <w:numFmt w:val="decimal"/>
      <w:lvlText w:val=""/>
      <w:lvlJc w:val="left"/>
    </w:lvl>
    <w:lvl w:ilvl="5" w:tplc="FB00E7D2">
      <w:numFmt w:val="decimal"/>
      <w:lvlText w:val=""/>
      <w:lvlJc w:val="left"/>
    </w:lvl>
    <w:lvl w:ilvl="6" w:tplc="1C36B85C">
      <w:numFmt w:val="decimal"/>
      <w:lvlText w:val=""/>
      <w:lvlJc w:val="left"/>
    </w:lvl>
    <w:lvl w:ilvl="7" w:tplc="43E04FF4">
      <w:numFmt w:val="decimal"/>
      <w:lvlText w:val=""/>
      <w:lvlJc w:val="left"/>
    </w:lvl>
    <w:lvl w:ilvl="8" w:tplc="B6CAD3E0">
      <w:numFmt w:val="decimal"/>
      <w:lvlText w:val=""/>
      <w:lvlJc w:val="left"/>
    </w:lvl>
  </w:abstractNum>
  <w:abstractNum w:abstractNumId="46" w15:restartNumberingAfterBreak="0">
    <w:nsid w:val="047F2060"/>
    <w:multiLevelType w:val="hybridMultilevel"/>
    <w:tmpl w:val="89F060C6"/>
    <w:lvl w:ilvl="0" w:tplc="12E8B5B0">
      <w:start w:val="1"/>
      <w:numFmt w:val="bullet"/>
      <w:lvlText w:val=""/>
      <w:lvlJc w:val="left"/>
      <w:pPr>
        <w:ind w:left="720" w:hanging="180"/>
      </w:pPr>
      <w:rPr>
        <w:rFonts w:ascii="Symbol" w:hAnsi="Symbol" w:hint="default"/>
      </w:rPr>
    </w:lvl>
    <w:lvl w:ilvl="1" w:tplc="A3C40642">
      <w:numFmt w:val="decimal"/>
      <w:lvlText w:val=""/>
      <w:lvlJc w:val="left"/>
    </w:lvl>
    <w:lvl w:ilvl="2" w:tplc="4C9EA234">
      <w:numFmt w:val="decimal"/>
      <w:lvlText w:val=""/>
      <w:lvlJc w:val="left"/>
    </w:lvl>
    <w:lvl w:ilvl="3" w:tplc="504828A8">
      <w:numFmt w:val="decimal"/>
      <w:lvlText w:val=""/>
      <w:lvlJc w:val="left"/>
    </w:lvl>
    <w:lvl w:ilvl="4" w:tplc="16F62BD2">
      <w:numFmt w:val="decimal"/>
      <w:lvlText w:val=""/>
      <w:lvlJc w:val="left"/>
    </w:lvl>
    <w:lvl w:ilvl="5" w:tplc="8BA009CC">
      <w:numFmt w:val="decimal"/>
      <w:lvlText w:val=""/>
      <w:lvlJc w:val="left"/>
    </w:lvl>
    <w:lvl w:ilvl="6" w:tplc="40BE14B6">
      <w:numFmt w:val="decimal"/>
      <w:lvlText w:val=""/>
      <w:lvlJc w:val="left"/>
    </w:lvl>
    <w:lvl w:ilvl="7" w:tplc="D1A439AA">
      <w:numFmt w:val="decimal"/>
      <w:lvlText w:val=""/>
      <w:lvlJc w:val="left"/>
    </w:lvl>
    <w:lvl w:ilvl="8" w:tplc="90B8461C">
      <w:numFmt w:val="decimal"/>
      <w:lvlText w:val=""/>
      <w:lvlJc w:val="left"/>
    </w:lvl>
  </w:abstractNum>
  <w:abstractNum w:abstractNumId="47" w15:restartNumberingAfterBreak="0">
    <w:nsid w:val="04B3795D"/>
    <w:multiLevelType w:val="hybridMultilevel"/>
    <w:tmpl w:val="5C766D28"/>
    <w:lvl w:ilvl="0" w:tplc="F0C2E664">
      <w:start w:val="1"/>
      <w:numFmt w:val="bullet"/>
      <w:lvlText w:val=""/>
      <w:lvlJc w:val="left"/>
      <w:pPr>
        <w:ind w:left="720" w:hanging="180"/>
      </w:pPr>
      <w:rPr>
        <w:rFonts w:ascii="Symbol" w:hAnsi="Symbol" w:hint="default"/>
      </w:rPr>
    </w:lvl>
    <w:lvl w:ilvl="1" w:tplc="4246EEE4">
      <w:numFmt w:val="decimal"/>
      <w:lvlText w:val=""/>
      <w:lvlJc w:val="left"/>
    </w:lvl>
    <w:lvl w:ilvl="2" w:tplc="3E8CD232">
      <w:numFmt w:val="decimal"/>
      <w:lvlText w:val=""/>
      <w:lvlJc w:val="left"/>
    </w:lvl>
    <w:lvl w:ilvl="3" w:tplc="71484368">
      <w:numFmt w:val="decimal"/>
      <w:lvlText w:val=""/>
      <w:lvlJc w:val="left"/>
    </w:lvl>
    <w:lvl w:ilvl="4" w:tplc="42DAF004">
      <w:numFmt w:val="decimal"/>
      <w:lvlText w:val=""/>
      <w:lvlJc w:val="left"/>
    </w:lvl>
    <w:lvl w:ilvl="5" w:tplc="5F5CD84A">
      <w:numFmt w:val="decimal"/>
      <w:lvlText w:val=""/>
      <w:lvlJc w:val="left"/>
    </w:lvl>
    <w:lvl w:ilvl="6" w:tplc="3292749E">
      <w:numFmt w:val="decimal"/>
      <w:lvlText w:val=""/>
      <w:lvlJc w:val="left"/>
    </w:lvl>
    <w:lvl w:ilvl="7" w:tplc="5798F684">
      <w:numFmt w:val="decimal"/>
      <w:lvlText w:val=""/>
      <w:lvlJc w:val="left"/>
    </w:lvl>
    <w:lvl w:ilvl="8" w:tplc="B9404A86">
      <w:numFmt w:val="decimal"/>
      <w:lvlText w:val=""/>
      <w:lvlJc w:val="left"/>
    </w:lvl>
  </w:abstractNum>
  <w:abstractNum w:abstractNumId="48" w15:restartNumberingAfterBreak="0">
    <w:nsid w:val="04ED3215"/>
    <w:multiLevelType w:val="hybridMultilevel"/>
    <w:tmpl w:val="30CA13B2"/>
    <w:lvl w:ilvl="0" w:tplc="FA7AD262">
      <w:start w:val="1"/>
      <w:numFmt w:val="bullet"/>
      <w:lvlText w:val=""/>
      <w:lvlJc w:val="left"/>
      <w:pPr>
        <w:ind w:left="720" w:hanging="180"/>
      </w:pPr>
      <w:rPr>
        <w:rFonts w:ascii="Symbol" w:hAnsi="Symbol" w:hint="default"/>
      </w:rPr>
    </w:lvl>
    <w:lvl w:ilvl="1" w:tplc="84BCC14C">
      <w:numFmt w:val="decimal"/>
      <w:lvlText w:val=""/>
      <w:lvlJc w:val="left"/>
    </w:lvl>
    <w:lvl w:ilvl="2" w:tplc="01846F16">
      <w:numFmt w:val="decimal"/>
      <w:lvlText w:val=""/>
      <w:lvlJc w:val="left"/>
    </w:lvl>
    <w:lvl w:ilvl="3" w:tplc="225A23A6">
      <w:numFmt w:val="decimal"/>
      <w:lvlText w:val=""/>
      <w:lvlJc w:val="left"/>
    </w:lvl>
    <w:lvl w:ilvl="4" w:tplc="08EEDAC8">
      <w:numFmt w:val="decimal"/>
      <w:lvlText w:val=""/>
      <w:lvlJc w:val="left"/>
    </w:lvl>
    <w:lvl w:ilvl="5" w:tplc="AB2413D2">
      <w:numFmt w:val="decimal"/>
      <w:lvlText w:val=""/>
      <w:lvlJc w:val="left"/>
    </w:lvl>
    <w:lvl w:ilvl="6" w:tplc="AA18E36C">
      <w:numFmt w:val="decimal"/>
      <w:lvlText w:val=""/>
      <w:lvlJc w:val="left"/>
    </w:lvl>
    <w:lvl w:ilvl="7" w:tplc="4ECC5E9C">
      <w:numFmt w:val="decimal"/>
      <w:lvlText w:val=""/>
      <w:lvlJc w:val="left"/>
    </w:lvl>
    <w:lvl w:ilvl="8" w:tplc="0818B9D0">
      <w:numFmt w:val="decimal"/>
      <w:lvlText w:val=""/>
      <w:lvlJc w:val="left"/>
    </w:lvl>
  </w:abstractNum>
  <w:abstractNum w:abstractNumId="49" w15:restartNumberingAfterBreak="0">
    <w:nsid w:val="05054E08"/>
    <w:multiLevelType w:val="hybridMultilevel"/>
    <w:tmpl w:val="90F6A00A"/>
    <w:lvl w:ilvl="0" w:tplc="0AFA93D8">
      <w:start w:val="1"/>
      <w:numFmt w:val="bullet"/>
      <w:lvlText w:val=""/>
      <w:lvlJc w:val="left"/>
      <w:pPr>
        <w:ind w:left="720" w:hanging="180"/>
      </w:pPr>
      <w:rPr>
        <w:rFonts w:ascii="Symbol" w:hAnsi="Symbol" w:hint="default"/>
      </w:rPr>
    </w:lvl>
    <w:lvl w:ilvl="1" w:tplc="2DC41E7A">
      <w:numFmt w:val="decimal"/>
      <w:lvlText w:val=""/>
      <w:lvlJc w:val="left"/>
    </w:lvl>
    <w:lvl w:ilvl="2" w:tplc="B1D82EFA">
      <w:numFmt w:val="decimal"/>
      <w:lvlText w:val=""/>
      <w:lvlJc w:val="left"/>
    </w:lvl>
    <w:lvl w:ilvl="3" w:tplc="B03EC400">
      <w:numFmt w:val="decimal"/>
      <w:lvlText w:val=""/>
      <w:lvlJc w:val="left"/>
    </w:lvl>
    <w:lvl w:ilvl="4" w:tplc="BB8A2662">
      <w:numFmt w:val="decimal"/>
      <w:lvlText w:val=""/>
      <w:lvlJc w:val="left"/>
    </w:lvl>
    <w:lvl w:ilvl="5" w:tplc="C45C9AB2">
      <w:numFmt w:val="decimal"/>
      <w:lvlText w:val=""/>
      <w:lvlJc w:val="left"/>
    </w:lvl>
    <w:lvl w:ilvl="6" w:tplc="4586B862">
      <w:numFmt w:val="decimal"/>
      <w:lvlText w:val=""/>
      <w:lvlJc w:val="left"/>
    </w:lvl>
    <w:lvl w:ilvl="7" w:tplc="099A937E">
      <w:numFmt w:val="decimal"/>
      <w:lvlText w:val=""/>
      <w:lvlJc w:val="left"/>
    </w:lvl>
    <w:lvl w:ilvl="8" w:tplc="C9288476">
      <w:numFmt w:val="decimal"/>
      <w:lvlText w:val=""/>
      <w:lvlJc w:val="left"/>
    </w:lvl>
  </w:abstractNum>
  <w:abstractNum w:abstractNumId="50" w15:restartNumberingAfterBreak="0">
    <w:nsid w:val="05193138"/>
    <w:multiLevelType w:val="hybridMultilevel"/>
    <w:tmpl w:val="E5BE68C0"/>
    <w:lvl w:ilvl="0" w:tplc="190C29EA">
      <w:start w:val="1"/>
      <w:numFmt w:val="bullet"/>
      <w:lvlText w:val=""/>
      <w:lvlJc w:val="left"/>
      <w:pPr>
        <w:ind w:left="720" w:hanging="180"/>
      </w:pPr>
      <w:rPr>
        <w:rFonts w:ascii="Symbol" w:hAnsi="Symbol" w:hint="default"/>
      </w:rPr>
    </w:lvl>
    <w:lvl w:ilvl="1" w:tplc="50123BFE">
      <w:numFmt w:val="decimal"/>
      <w:lvlText w:val=""/>
      <w:lvlJc w:val="left"/>
    </w:lvl>
    <w:lvl w:ilvl="2" w:tplc="CF8EF160">
      <w:numFmt w:val="decimal"/>
      <w:lvlText w:val=""/>
      <w:lvlJc w:val="left"/>
    </w:lvl>
    <w:lvl w:ilvl="3" w:tplc="7A28C810">
      <w:numFmt w:val="decimal"/>
      <w:lvlText w:val=""/>
      <w:lvlJc w:val="left"/>
    </w:lvl>
    <w:lvl w:ilvl="4" w:tplc="93D4907A">
      <w:numFmt w:val="decimal"/>
      <w:lvlText w:val=""/>
      <w:lvlJc w:val="left"/>
    </w:lvl>
    <w:lvl w:ilvl="5" w:tplc="1A48A04A">
      <w:numFmt w:val="decimal"/>
      <w:lvlText w:val=""/>
      <w:lvlJc w:val="left"/>
    </w:lvl>
    <w:lvl w:ilvl="6" w:tplc="E2F42560">
      <w:numFmt w:val="decimal"/>
      <w:lvlText w:val=""/>
      <w:lvlJc w:val="left"/>
    </w:lvl>
    <w:lvl w:ilvl="7" w:tplc="3CF62078">
      <w:numFmt w:val="decimal"/>
      <w:lvlText w:val=""/>
      <w:lvlJc w:val="left"/>
    </w:lvl>
    <w:lvl w:ilvl="8" w:tplc="22A467A4">
      <w:numFmt w:val="decimal"/>
      <w:lvlText w:val=""/>
      <w:lvlJc w:val="left"/>
    </w:lvl>
  </w:abstractNum>
  <w:abstractNum w:abstractNumId="51" w15:restartNumberingAfterBreak="0">
    <w:nsid w:val="0525084C"/>
    <w:multiLevelType w:val="hybridMultilevel"/>
    <w:tmpl w:val="F8B8431E"/>
    <w:lvl w:ilvl="0" w:tplc="32648424">
      <w:start w:val="1"/>
      <w:numFmt w:val="bullet"/>
      <w:lvlText w:val=""/>
      <w:lvlJc w:val="left"/>
      <w:pPr>
        <w:ind w:left="720" w:hanging="180"/>
      </w:pPr>
      <w:rPr>
        <w:rFonts w:ascii="Symbol" w:hAnsi="Symbol" w:hint="default"/>
      </w:rPr>
    </w:lvl>
    <w:lvl w:ilvl="1" w:tplc="C33A246A">
      <w:numFmt w:val="decimal"/>
      <w:lvlText w:val=""/>
      <w:lvlJc w:val="left"/>
    </w:lvl>
    <w:lvl w:ilvl="2" w:tplc="77F2EA20">
      <w:numFmt w:val="decimal"/>
      <w:lvlText w:val=""/>
      <w:lvlJc w:val="left"/>
    </w:lvl>
    <w:lvl w:ilvl="3" w:tplc="81F05D54">
      <w:numFmt w:val="decimal"/>
      <w:lvlText w:val=""/>
      <w:lvlJc w:val="left"/>
    </w:lvl>
    <w:lvl w:ilvl="4" w:tplc="E5743972">
      <w:numFmt w:val="decimal"/>
      <w:lvlText w:val=""/>
      <w:lvlJc w:val="left"/>
    </w:lvl>
    <w:lvl w:ilvl="5" w:tplc="4E940F32">
      <w:numFmt w:val="decimal"/>
      <w:lvlText w:val=""/>
      <w:lvlJc w:val="left"/>
    </w:lvl>
    <w:lvl w:ilvl="6" w:tplc="77AC663E">
      <w:numFmt w:val="decimal"/>
      <w:lvlText w:val=""/>
      <w:lvlJc w:val="left"/>
    </w:lvl>
    <w:lvl w:ilvl="7" w:tplc="D152D3F2">
      <w:numFmt w:val="decimal"/>
      <w:lvlText w:val=""/>
      <w:lvlJc w:val="left"/>
    </w:lvl>
    <w:lvl w:ilvl="8" w:tplc="91FAADBA">
      <w:numFmt w:val="decimal"/>
      <w:lvlText w:val=""/>
      <w:lvlJc w:val="left"/>
    </w:lvl>
  </w:abstractNum>
  <w:abstractNum w:abstractNumId="52" w15:restartNumberingAfterBreak="0">
    <w:nsid w:val="05483E32"/>
    <w:multiLevelType w:val="hybridMultilevel"/>
    <w:tmpl w:val="AFFCE4B4"/>
    <w:lvl w:ilvl="0" w:tplc="833AA812">
      <w:start w:val="1"/>
      <w:numFmt w:val="bullet"/>
      <w:lvlText w:val=""/>
      <w:lvlJc w:val="left"/>
      <w:pPr>
        <w:ind w:left="720" w:hanging="180"/>
      </w:pPr>
      <w:rPr>
        <w:rFonts w:ascii="Symbol" w:hAnsi="Symbol" w:hint="default"/>
      </w:rPr>
    </w:lvl>
    <w:lvl w:ilvl="1" w:tplc="2BE6877C">
      <w:numFmt w:val="decimal"/>
      <w:lvlText w:val=""/>
      <w:lvlJc w:val="left"/>
    </w:lvl>
    <w:lvl w:ilvl="2" w:tplc="35461938">
      <w:numFmt w:val="decimal"/>
      <w:lvlText w:val=""/>
      <w:lvlJc w:val="left"/>
    </w:lvl>
    <w:lvl w:ilvl="3" w:tplc="D178710A">
      <w:numFmt w:val="decimal"/>
      <w:lvlText w:val=""/>
      <w:lvlJc w:val="left"/>
    </w:lvl>
    <w:lvl w:ilvl="4" w:tplc="1CF099F6">
      <w:numFmt w:val="decimal"/>
      <w:lvlText w:val=""/>
      <w:lvlJc w:val="left"/>
    </w:lvl>
    <w:lvl w:ilvl="5" w:tplc="DD7A448E">
      <w:numFmt w:val="decimal"/>
      <w:lvlText w:val=""/>
      <w:lvlJc w:val="left"/>
    </w:lvl>
    <w:lvl w:ilvl="6" w:tplc="5B789964">
      <w:numFmt w:val="decimal"/>
      <w:lvlText w:val=""/>
      <w:lvlJc w:val="left"/>
    </w:lvl>
    <w:lvl w:ilvl="7" w:tplc="26E81DF0">
      <w:numFmt w:val="decimal"/>
      <w:lvlText w:val=""/>
      <w:lvlJc w:val="left"/>
    </w:lvl>
    <w:lvl w:ilvl="8" w:tplc="CD42FA5C">
      <w:numFmt w:val="decimal"/>
      <w:lvlText w:val=""/>
      <w:lvlJc w:val="left"/>
    </w:lvl>
  </w:abstractNum>
  <w:abstractNum w:abstractNumId="53" w15:restartNumberingAfterBreak="0">
    <w:nsid w:val="057C27F0"/>
    <w:multiLevelType w:val="hybridMultilevel"/>
    <w:tmpl w:val="A81CC7B6"/>
    <w:lvl w:ilvl="0" w:tplc="2F566A2E">
      <w:start w:val="1"/>
      <w:numFmt w:val="bullet"/>
      <w:lvlText w:val=""/>
      <w:lvlJc w:val="left"/>
      <w:pPr>
        <w:ind w:left="720" w:hanging="180"/>
      </w:pPr>
      <w:rPr>
        <w:rFonts w:ascii="Symbol" w:hAnsi="Symbol" w:hint="default"/>
      </w:rPr>
    </w:lvl>
    <w:lvl w:ilvl="1" w:tplc="E07C9B58">
      <w:numFmt w:val="decimal"/>
      <w:lvlText w:val=""/>
      <w:lvlJc w:val="left"/>
    </w:lvl>
    <w:lvl w:ilvl="2" w:tplc="164E2068">
      <w:numFmt w:val="decimal"/>
      <w:lvlText w:val=""/>
      <w:lvlJc w:val="left"/>
    </w:lvl>
    <w:lvl w:ilvl="3" w:tplc="BA98ED74">
      <w:numFmt w:val="decimal"/>
      <w:lvlText w:val=""/>
      <w:lvlJc w:val="left"/>
    </w:lvl>
    <w:lvl w:ilvl="4" w:tplc="183AD14E">
      <w:numFmt w:val="decimal"/>
      <w:lvlText w:val=""/>
      <w:lvlJc w:val="left"/>
    </w:lvl>
    <w:lvl w:ilvl="5" w:tplc="3FFE72EE">
      <w:numFmt w:val="decimal"/>
      <w:lvlText w:val=""/>
      <w:lvlJc w:val="left"/>
    </w:lvl>
    <w:lvl w:ilvl="6" w:tplc="B44A1000">
      <w:numFmt w:val="decimal"/>
      <w:lvlText w:val=""/>
      <w:lvlJc w:val="left"/>
    </w:lvl>
    <w:lvl w:ilvl="7" w:tplc="2912E270">
      <w:numFmt w:val="decimal"/>
      <w:lvlText w:val=""/>
      <w:lvlJc w:val="left"/>
    </w:lvl>
    <w:lvl w:ilvl="8" w:tplc="75FEFA82">
      <w:numFmt w:val="decimal"/>
      <w:lvlText w:val=""/>
      <w:lvlJc w:val="left"/>
    </w:lvl>
  </w:abstractNum>
  <w:abstractNum w:abstractNumId="54" w15:restartNumberingAfterBreak="0">
    <w:nsid w:val="05820BF9"/>
    <w:multiLevelType w:val="hybridMultilevel"/>
    <w:tmpl w:val="206075C6"/>
    <w:lvl w:ilvl="0" w:tplc="C652D248">
      <w:start w:val="1"/>
      <w:numFmt w:val="bullet"/>
      <w:lvlText w:val=""/>
      <w:lvlJc w:val="left"/>
      <w:pPr>
        <w:ind w:left="720" w:hanging="180"/>
      </w:pPr>
      <w:rPr>
        <w:rFonts w:ascii="Symbol" w:hAnsi="Symbol" w:hint="default"/>
      </w:rPr>
    </w:lvl>
    <w:lvl w:ilvl="1" w:tplc="B7F4B34E">
      <w:numFmt w:val="decimal"/>
      <w:lvlText w:val=""/>
      <w:lvlJc w:val="left"/>
    </w:lvl>
    <w:lvl w:ilvl="2" w:tplc="2F423B98">
      <w:numFmt w:val="decimal"/>
      <w:lvlText w:val=""/>
      <w:lvlJc w:val="left"/>
    </w:lvl>
    <w:lvl w:ilvl="3" w:tplc="BB02B09C">
      <w:numFmt w:val="decimal"/>
      <w:lvlText w:val=""/>
      <w:lvlJc w:val="left"/>
    </w:lvl>
    <w:lvl w:ilvl="4" w:tplc="D19E402E">
      <w:numFmt w:val="decimal"/>
      <w:lvlText w:val=""/>
      <w:lvlJc w:val="left"/>
    </w:lvl>
    <w:lvl w:ilvl="5" w:tplc="995C05E4">
      <w:numFmt w:val="decimal"/>
      <w:lvlText w:val=""/>
      <w:lvlJc w:val="left"/>
    </w:lvl>
    <w:lvl w:ilvl="6" w:tplc="44A835B4">
      <w:numFmt w:val="decimal"/>
      <w:lvlText w:val=""/>
      <w:lvlJc w:val="left"/>
    </w:lvl>
    <w:lvl w:ilvl="7" w:tplc="BA78179C">
      <w:numFmt w:val="decimal"/>
      <w:lvlText w:val=""/>
      <w:lvlJc w:val="left"/>
    </w:lvl>
    <w:lvl w:ilvl="8" w:tplc="36DAC3D0">
      <w:numFmt w:val="decimal"/>
      <w:lvlText w:val=""/>
      <w:lvlJc w:val="left"/>
    </w:lvl>
  </w:abstractNum>
  <w:abstractNum w:abstractNumId="55" w15:restartNumberingAfterBreak="0">
    <w:nsid w:val="05844021"/>
    <w:multiLevelType w:val="hybridMultilevel"/>
    <w:tmpl w:val="CD9C8018"/>
    <w:lvl w:ilvl="0" w:tplc="78B42A26">
      <w:start w:val="1"/>
      <w:numFmt w:val="bullet"/>
      <w:lvlText w:val=""/>
      <w:lvlJc w:val="left"/>
      <w:pPr>
        <w:ind w:left="720" w:hanging="180"/>
      </w:pPr>
      <w:rPr>
        <w:rFonts w:ascii="Symbol" w:hAnsi="Symbol" w:hint="default"/>
      </w:rPr>
    </w:lvl>
    <w:lvl w:ilvl="1" w:tplc="39D61A6E">
      <w:numFmt w:val="decimal"/>
      <w:lvlText w:val=""/>
      <w:lvlJc w:val="left"/>
    </w:lvl>
    <w:lvl w:ilvl="2" w:tplc="389C1974">
      <w:numFmt w:val="decimal"/>
      <w:lvlText w:val=""/>
      <w:lvlJc w:val="left"/>
    </w:lvl>
    <w:lvl w:ilvl="3" w:tplc="DFDE0C90">
      <w:numFmt w:val="decimal"/>
      <w:lvlText w:val=""/>
      <w:lvlJc w:val="left"/>
    </w:lvl>
    <w:lvl w:ilvl="4" w:tplc="2C367304">
      <w:numFmt w:val="decimal"/>
      <w:lvlText w:val=""/>
      <w:lvlJc w:val="left"/>
    </w:lvl>
    <w:lvl w:ilvl="5" w:tplc="CFBA9C52">
      <w:numFmt w:val="decimal"/>
      <w:lvlText w:val=""/>
      <w:lvlJc w:val="left"/>
    </w:lvl>
    <w:lvl w:ilvl="6" w:tplc="9716B10E">
      <w:numFmt w:val="decimal"/>
      <w:lvlText w:val=""/>
      <w:lvlJc w:val="left"/>
    </w:lvl>
    <w:lvl w:ilvl="7" w:tplc="165887FC">
      <w:numFmt w:val="decimal"/>
      <w:lvlText w:val=""/>
      <w:lvlJc w:val="left"/>
    </w:lvl>
    <w:lvl w:ilvl="8" w:tplc="5C441544">
      <w:numFmt w:val="decimal"/>
      <w:lvlText w:val=""/>
      <w:lvlJc w:val="left"/>
    </w:lvl>
  </w:abstractNum>
  <w:abstractNum w:abstractNumId="56" w15:restartNumberingAfterBreak="0">
    <w:nsid w:val="05926DB9"/>
    <w:multiLevelType w:val="hybridMultilevel"/>
    <w:tmpl w:val="6472F946"/>
    <w:lvl w:ilvl="0" w:tplc="BA062B4E">
      <w:start w:val="1"/>
      <w:numFmt w:val="bullet"/>
      <w:lvlText w:val=""/>
      <w:lvlJc w:val="left"/>
      <w:pPr>
        <w:ind w:left="720" w:hanging="180"/>
      </w:pPr>
      <w:rPr>
        <w:rFonts w:ascii="Symbol" w:hAnsi="Symbol" w:hint="default"/>
      </w:rPr>
    </w:lvl>
    <w:lvl w:ilvl="1" w:tplc="A914D0AE">
      <w:numFmt w:val="decimal"/>
      <w:lvlText w:val=""/>
      <w:lvlJc w:val="left"/>
    </w:lvl>
    <w:lvl w:ilvl="2" w:tplc="27FAFC44">
      <w:numFmt w:val="decimal"/>
      <w:lvlText w:val=""/>
      <w:lvlJc w:val="left"/>
    </w:lvl>
    <w:lvl w:ilvl="3" w:tplc="48FC6264">
      <w:numFmt w:val="decimal"/>
      <w:lvlText w:val=""/>
      <w:lvlJc w:val="left"/>
    </w:lvl>
    <w:lvl w:ilvl="4" w:tplc="0BECD4E8">
      <w:numFmt w:val="decimal"/>
      <w:lvlText w:val=""/>
      <w:lvlJc w:val="left"/>
    </w:lvl>
    <w:lvl w:ilvl="5" w:tplc="782CA9A6">
      <w:numFmt w:val="decimal"/>
      <w:lvlText w:val=""/>
      <w:lvlJc w:val="left"/>
    </w:lvl>
    <w:lvl w:ilvl="6" w:tplc="C284CCE0">
      <w:numFmt w:val="decimal"/>
      <w:lvlText w:val=""/>
      <w:lvlJc w:val="left"/>
    </w:lvl>
    <w:lvl w:ilvl="7" w:tplc="226A8AD6">
      <w:numFmt w:val="decimal"/>
      <w:lvlText w:val=""/>
      <w:lvlJc w:val="left"/>
    </w:lvl>
    <w:lvl w:ilvl="8" w:tplc="CF741928">
      <w:numFmt w:val="decimal"/>
      <w:lvlText w:val=""/>
      <w:lvlJc w:val="left"/>
    </w:lvl>
  </w:abstractNum>
  <w:abstractNum w:abstractNumId="57" w15:restartNumberingAfterBreak="0">
    <w:nsid w:val="05C330D9"/>
    <w:multiLevelType w:val="hybridMultilevel"/>
    <w:tmpl w:val="47F019DA"/>
    <w:lvl w:ilvl="0" w:tplc="16203ADE">
      <w:start w:val="1"/>
      <w:numFmt w:val="bullet"/>
      <w:lvlText w:val=""/>
      <w:lvlJc w:val="left"/>
      <w:pPr>
        <w:ind w:left="720" w:hanging="180"/>
      </w:pPr>
      <w:rPr>
        <w:rFonts w:ascii="Symbol" w:hAnsi="Symbol" w:hint="default"/>
      </w:rPr>
    </w:lvl>
    <w:lvl w:ilvl="1" w:tplc="D5D043E8">
      <w:numFmt w:val="decimal"/>
      <w:lvlText w:val=""/>
      <w:lvlJc w:val="left"/>
    </w:lvl>
    <w:lvl w:ilvl="2" w:tplc="6A1AF708">
      <w:numFmt w:val="decimal"/>
      <w:lvlText w:val=""/>
      <w:lvlJc w:val="left"/>
    </w:lvl>
    <w:lvl w:ilvl="3" w:tplc="87C89546">
      <w:numFmt w:val="decimal"/>
      <w:lvlText w:val=""/>
      <w:lvlJc w:val="left"/>
    </w:lvl>
    <w:lvl w:ilvl="4" w:tplc="3D7E892E">
      <w:numFmt w:val="decimal"/>
      <w:lvlText w:val=""/>
      <w:lvlJc w:val="left"/>
    </w:lvl>
    <w:lvl w:ilvl="5" w:tplc="221CFE78">
      <w:numFmt w:val="decimal"/>
      <w:lvlText w:val=""/>
      <w:lvlJc w:val="left"/>
    </w:lvl>
    <w:lvl w:ilvl="6" w:tplc="04A8E27A">
      <w:numFmt w:val="decimal"/>
      <w:lvlText w:val=""/>
      <w:lvlJc w:val="left"/>
    </w:lvl>
    <w:lvl w:ilvl="7" w:tplc="FFF60DCE">
      <w:numFmt w:val="decimal"/>
      <w:lvlText w:val=""/>
      <w:lvlJc w:val="left"/>
    </w:lvl>
    <w:lvl w:ilvl="8" w:tplc="0746720E">
      <w:numFmt w:val="decimal"/>
      <w:lvlText w:val=""/>
      <w:lvlJc w:val="left"/>
    </w:lvl>
  </w:abstractNum>
  <w:abstractNum w:abstractNumId="58" w15:restartNumberingAfterBreak="0">
    <w:nsid w:val="05C50379"/>
    <w:multiLevelType w:val="hybridMultilevel"/>
    <w:tmpl w:val="B55CFCF8"/>
    <w:lvl w:ilvl="0" w:tplc="7C44C6E4">
      <w:start w:val="1"/>
      <w:numFmt w:val="bullet"/>
      <w:lvlText w:val=""/>
      <w:lvlJc w:val="left"/>
      <w:pPr>
        <w:ind w:left="720" w:hanging="180"/>
      </w:pPr>
      <w:rPr>
        <w:rFonts w:ascii="Symbol" w:hAnsi="Symbol" w:hint="default"/>
      </w:rPr>
    </w:lvl>
    <w:lvl w:ilvl="1" w:tplc="9CEA63F2">
      <w:numFmt w:val="decimal"/>
      <w:lvlText w:val=""/>
      <w:lvlJc w:val="left"/>
    </w:lvl>
    <w:lvl w:ilvl="2" w:tplc="D5D6F8F6">
      <w:numFmt w:val="decimal"/>
      <w:lvlText w:val=""/>
      <w:lvlJc w:val="left"/>
    </w:lvl>
    <w:lvl w:ilvl="3" w:tplc="AF1A26FC">
      <w:numFmt w:val="decimal"/>
      <w:lvlText w:val=""/>
      <w:lvlJc w:val="left"/>
    </w:lvl>
    <w:lvl w:ilvl="4" w:tplc="1CB49576">
      <w:numFmt w:val="decimal"/>
      <w:lvlText w:val=""/>
      <w:lvlJc w:val="left"/>
    </w:lvl>
    <w:lvl w:ilvl="5" w:tplc="546E6CBA">
      <w:numFmt w:val="decimal"/>
      <w:lvlText w:val=""/>
      <w:lvlJc w:val="left"/>
    </w:lvl>
    <w:lvl w:ilvl="6" w:tplc="7EB6A6BE">
      <w:numFmt w:val="decimal"/>
      <w:lvlText w:val=""/>
      <w:lvlJc w:val="left"/>
    </w:lvl>
    <w:lvl w:ilvl="7" w:tplc="528C25E2">
      <w:numFmt w:val="decimal"/>
      <w:lvlText w:val=""/>
      <w:lvlJc w:val="left"/>
    </w:lvl>
    <w:lvl w:ilvl="8" w:tplc="AAC01612">
      <w:numFmt w:val="decimal"/>
      <w:lvlText w:val=""/>
      <w:lvlJc w:val="left"/>
    </w:lvl>
  </w:abstractNum>
  <w:abstractNum w:abstractNumId="59" w15:restartNumberingAfterBreak="0">
    <w:nsid w:val="05D273D8"/>
    <w:multiLevelType w:val="hybridMultilevel"/>
    <w:tmpl w:val="F80C8A7C"/>
    <w:lvl w:ilvl="0" w:tplc="1D9C6AA8">
      <w:start w:val="1"/>
      <w:numFmt w:val="bullet"/>
      <w:lvlText w:val=""/>
      <w:lvlJc w:val="left"/>
      <w:pPr>
        <w:ind w:left="720" w:hanging="180"/>
      </w:pPr>
      <w:rPr>
        <w:rFonts w:ascii="Symbol" w:hAnsi="Symbol" w:hint="default"/>
      </w:rPr>
    </w:lvl>
    <w:lvl w:ilvl="1" w:tplc="1194BCD0">
      <w:numFmt w:val="decimal"/>
      <w:lvlText w:val=""/>
      <w:lvlJc w:val="left"/>
    </w:lvl>
    <w:lvl w:ilvl="2" w:tplc="08B8C180">
      <w:numFmt w:val="decimal"/>
      <w:lvlText w:val=""/>
      <w:lvlJc w:val="left"/>
    </w:lvl>
    <w:lvl w:ilvl="3" w:tplc="E2A43D80">
      <w:numFmt w:val="decimal"/>
      <w:lvlText w:val=""/>
      <w:lvlJc w:val="left"/>
    </w:lvl>
    <w:lvl w:ilvl="4" w:tplc="A11E943E">
      <w:numFmt w:val="decimal"/>
      <w:lvlText w:val=""/>
      <w:lvlJc w:val="left"/>
    </w:lvl>
    <w:lvl w:ilvl="5" w:tplc="87184180">
      <w:numFmt w:val="decimal"/>
      <w:lvlText w:val=""/>
      <w:lvlJc w:val="left"/>
    </w:lvl>
    <w:lvl w:ilvl="6" w:tplc="15BAF7F8">
      <w:numFmt w:val="decimal"/>
      <w:lvlText w:val=""/>
      <w:lvlJc w:val="left"/>
    </w:lvl>
    <w:lvl w:ilvl="7" w:tplc="8CBA568E">
      <w:numFmt w:val="decimal"/>
      <w:lvlText w:val=""/>
      <w:lvlJc w:val="left"/>
    </w:lvl>
    <w:lvl w:ilvl="8" w:tplc="DCA68FDA">
      <w:numFmt w:val="decimal"/>
      <w:lvlText w:val=""/>
      <w:lvlJc w:val="left"/>
    </w:lvl>
  </w:abstractNum>
  <w:abstractNum w:abstractNumId="60" w15:restartNumberingAfterBreak="0">
    <w:nsid w:val="06116871"/>
    <w:multiLevelType w:val="hybridMultilevel"/>
    <w:tmpl w:val="EA00AAEC"/>
    <w:lvl w:ilvl="0" w:tplc="8E6E827C">
      <w:start w:val="1"/>
      <w:numFmt w:val="bullet"/>
      <w:lvlText w:val=""/>
      <w:lvlJc w:val="left"/>
      <w:pPr>
        <w:ind w:left="720" w:hanging="180"/>
      </w:pPr>
      <w:rPr>
        <w:rFonts w:ascii="Symbol" w:hAnsi="Symbol" w:hint="default"/>
      </w:rPr>
    </w:lvl>
    <w:lvl w:ilvl="1" w:tplc="39F83FE6">
      <w:numFmt w:val="decimal"/>
      <w:lvlText w:val=""/>
      <w:lvlJc w:val="left"/>
    </w:lvl>
    <w:lvl w:ilvl="2" w:tplc="B302F71C">
      <w:numFmt w:val="decimal"/>
      <w:lvlText w:val=""/>
      <w:lvlJc w:val="left"/>
    </w:lvl>
    <w:lvl w:ilvl="3" w:tplc="B9188204">
      <w:numFmt w:val="decimal"/>
      <w:lvlText w:val=""/>
      <w:lvlJc w:val="left"/>
    </w:lvl>
    <w:lvl w:ilvl="4" w:tplc="5EDEE8F6">
      <w:numFmt w:val="decimal"/>
      <w:lvlText w:val=""/>
      <w:lvlJc w:val="left"/>
    </w:lvl>
    <w:lvl w:ilvl="5" w:tplc="A7C26854">
      <w:numFmt w:val="decimal"/>
      <w:lvlText w:val=""/>
      <w:lvlJc w:val="left"/>
    </w:lvl>
    <w:lvl w:ilvl="6" w:tplc="F5DEFA68">
      <w:numFmt w:val="decimal"/>
      <w:lvlText w:val=""/>
      <w:lvlJc w:val="left"/>
    </w:lvl>
    <w:lvl w:ilvl="7" w:tplc="203641BE">
      <w:numFmt w:val="decimal"/>
      <w:lvlText w:val=""/>
      <w:lvlJc w:val="left"/>
    </w:lvl>
    <w:lvl w:ilvl="8" w:tplc="6C4640D8">
      <w:numFmt w:val="decimal"/>
      <w:lvlText w:val=""/>
      <w:lvlJc w:val="left"/>
    </w:lvl>
  </w:abstractNum>
  <w:abstractNum w:abstractNumId="61" w15:restartNumberingAfterBreak="0">
    <w:nsid w:val="062566AA"/>
    <w:multiLevelType w:val="hybridMultilevel"/>
    <w:tmpl w:val="9B8CDDE6"/>
    <w:lvl w:ilvl="0" w:tplc="58A2A80C">
      <w:start w:val="1"/>
      <w:numFmt w:val="bullet"/>
      <w:lvlText w:val=""/>
      <w:lvlJc w:val="left"/>
      <w:pPr>
        <w:ind w:left="720" w:hanging="180"/>
      </w:pPr>
      <w:rPr>
        <w:rFonts w:ascii="Symbol" w:hAnsi="Symbol" w:hint="default"/>
      </w:rPr>
    </w:lvl>
    <w:lvl w:ilvl="1" w:tplc="7E064278">
      <w:numFmt w:val="decimal"/>
      <w:lvlText w:val=""/>
      <w:lvlJc w:val="left"/>
    </w:lvl>
    <w:lvl w:ilvl="2" w:tplc="4A7CD0E2">
      <w:numFmt w:val="decimal"/>
      <w:lvlText w:val=""/>
      <w:lvlJc w:val="left"/>
    </w:lvl>
    <w:lvl w:ilvl="3" w:tplc="06E4B0B2">
      <w:numFmt w:val="decimal"/>
      <w:lvlText w:val=""/>
      <w:lvlJc w:val="left"/>
    </w:lvl>
    <w:lvl w:ilvl="4" w:tplc="426A53C6">
      <w:numFmt w:val="decimal"/>
      <w:lvlText w:val=""/>
      <w:lvlJc w:val="left"/>
    </w:lvl>
    <w:lvl w:ilvl="5" w:tplc="5B564D80">
      <w:numFmt w:val="decimal"/>
      <w:lvlText w:val=""/>
      <w:lvlJc w:val="left"/>
    </w:lvl>
    <w:lvl w:ilvl="6" w:tplc="C0A89A1A">
      <w:numFmt w:val="decimal"/>
      <w:lvlText w:val=""/>
      <w:lvlJc w:val="left"/>
    </w:lvl>
    <w:lvl w:ilvl="7" w:tplc="40B6F626">
      <w:numFmt w:val="decimal"/>
      <w:lvlText w:val=""/>
      <w:lvlJc w:val="left"/>
    </w:lvl>
    <w:lvl w:ilvl="8" w:tplc="9D763216">
      <w:numFmt w:val="decimal"/>
      <w:lvlText w:val=""/>
      <w:lvlJc w:val="left"/>
    </w:lvl>
  </w:abstractNum>
  <w:abstractNum w:abstractNumId="62" w15:restartNumberingAfterBreak="0">
    <w:nsid w:val="062E54FD"/>
    <w:multiLevelType w:val="hybridMultilevel"/>
    <w:tmpl w:val="54A250E6"/>
    <w:lvl w:ilvl="0" w:tplc="0D782A8C">
      <w:start w:val="1"/>
      <w:numFmt w:val="bullet"/>
      <w:lvlText w:val=""/>
      <w:lvlJc w:val="left"/>
      <w:pPr>
        <w:ind w:left="720" w:hanging="180"/>
      </w:pPr>
      <w:rPr>
        <w:rFonts w:ascii="Symbol" w:hAnsi="Symbol" w:hint="default"/>
      </w:rPr>
    </w:lvl>
    <w:lvl w:ilvl="1" w:tplc="A57612BC">
      <w:numFmt w:val="decimal"/>
      <w:lvlText w:val=""/>
      <w:lvlJc w:val="left"/>
    </w:lvl>
    <w:lvl w:ilvl="2" w:tplc="0C0463F0">
      <w:numFmt w:val="decimal"/>
      <w:lvlText w:val=""/>
      <w:lvlJc w:val="left"/>
    </w:lvl>
    <w:lvl w:ilvl="3" w:tplc="7058510A">
      <w:numFmt w:val="decimal"/>
      <w:lvlText w:val=""/>
      <w:lvlJc w:val="left"/>
    </w:lvl>
    <w:lvl w:ilvl="4" w:tplc="8078F056">
      <w:numFmt w:val="decimal"/>
      <w:lvlText w:val=""/>
      <w:lvlJc w:val="left"/>
    </w:lvl>
    <w:lvl w:ilvl="5" w:tplc="9322F2A0">
      <w:numFmt w:val="decimal"/>
      <w:lvlText w:val=""/>
      <w:lvlJc w:val="left"/>
    </w:lvl>
    <w:lvl w:ilvl="6" w:tplc="772647AA">
      <w:numFmt w:val="decimal"/>
      <w:lvlText w:val=""/>
      <w:lvlJc w:val="left"/>
    </w:lvl>
    <w:lvl w:ilvl="7" w:tplc="C1AEC344">
      <w:numFmt w:val="decimal"/>
      <w:lvlText w:val=""/>
      <w:lvlJc w:val="left"/>
    </w:lvl>
    <w:lvl w:ilvl="8" w:tplc="8A764034">
      <w:numFmt w:val="decimal"/>
      <w:lvlText w:val=""/>
      <w:lvlJc w:val="left"/>
    </w:lvl>
  </w:abstractNum>
  <w:abstractNum w:abstractNumId="63" w15:restartNumberingAfterBreak="0">
    <w:nsid w:val="06326EEA"/>
    <w:multiLevelType w:val="hybridMultilevel"/>
    <w:tmpl w:val="B1E2D298"/>
    <w:lvl w:ilvl="0" w:tplc="C062F5BE">
      <w:start w:val="1"/>
      <w:numFmt w:val="bullet"/>
      <w:lvlText w:val=""/>
      <w:lvlJc w:val="left"/>
      <w:pPr>
        <w:ind w:left="720" w:hanging="180"/>
      </w:pPr>
      <w:rPr>
        <w:rFonts w:ascii="Symbol" w:hAnsi="Symbol" w:hint="default"/>
      </w:rPr>
    </w:lvl>
    <w:lvl w:ilvl="1" w:tplc="2FC4EED6">
      <w:numFmt w:val="decimal"/>
      <w:lvlText w:val=""/>
      <w:lvlJc w:val="left"/>
    </w:lvl>
    <w:lvl w:ilvl="2" w:tplc="24AAEB4C">
      <w:numFmt w:val="decimal"/>
      <w:lvlText w:val=""/>
      <w:lvlJc w:val="left"/>
    </w:lvl>
    <w:lvl w:ilvl="3" w:tplc="477CE41E">
      <w:numFmt w:val="decimal"/>
      <w:lvlText w:val=""/>
      <w:lvlJc w:val="left"/>
    </w:lvl>
    <w:lvl w:ilvl="4" w:tplc="EAB4A328">
      <w:numFmt w:val="decimal"/>
      <w:lvlText w:val=""/>
      <w:lvlJc w:val="left"/>
    </w:lvl>
    <w:lvl w:ilvl="5" w:tplc="AF7257DC">
      <w:numFmt w:val="decimal"/>
      <w:lvlText w:val=""/>
      <w:lvlJc w:val="left"/>
    </w:lvl>
    <w:lvl w:ilvl="6" w:tplc="021652B8">
      <w:numFmt w:val="decimal"/>
      <w:lvlText w:val=""/>
      <w:lvlJc w:val="left"/>
    </w:lvl>
    <w:lvl w:ilvl="7" w:tplc="C76CEF9C">
      <w:numFmt w:val="decimal"/>
      <w:lvlText w:val=""/>
      <w:lvlJc w:val="left"/>
    </w:lvl>
    <w:lvl w:ilvl="8" w:tplc="EE027E44">
      <w:numFmt w:val="decimal"/>
      <w:lvlText w:val=""/>
      <w:lvlJc w:val="left"/>
    </w:lvl>
  </w:abstractNum>
  <w:abstractNum w:abstractNumId="64" w15:restartNumberingAfterBreak="0">
    <w:nsid w:val="0636002E"/>
    <w:multiLevelType w:val="hybridMultilevel"/>
    <w:tmpl w:val="0F74504E"/>
    <w:lvl w:ilvl="0" w:tplc="26C005F6">
      <w:start w:val="1"/>
      <w:numFmt w:val="bullet"/>
      <w:lvlText w:val=""/>
      <w:lvlJc w:val="left"/>
      <w:pPr>
        <w:ind w:left="720" w:hanging="180"/>
      </w:pPr>
      <w:rPr>
        <w:rFonts w:ascii="Symbol" w:hAnsi="Symbol" w:hint="default"/>
      </w:rPr>
    </w:lvl>
    <w:lvl w:ilvl="1" w:tplc="2EFAA18A">
      <w:numFmt w:val="decimal"/>
      <w:lvlText w:val=""/>
      <w:lvlJc w:val="left"/>
    </w:lvl>
    <w:lvl w:ilvl="2" w:tplc="AA10B616">
      <w:numFmt w:val="decimal"/>
      <w:lvlText w:val=""/>
      <w:lvlJc w:val="left"/>
    </w:lvl>
    <w:lvl w:ilvl="3" w:tplc="06C4F0F2">
      <w:numFmt w:val="decimal"/>
      <w:lvlText w:val=""/>
      <w:lvlJc w:val="left"/>
    </w:lvl>
    <w:lvl w:ilvl="4" w:tplc="215C12A8">
      <w:numFmt w:val="decimal"/>
      <w:lvlText w:val=""/>
      <w:lvlJc w:val="left"/>
    </w:lvl>
    <w:lvl w:ilvl="5" w:tplc="1828F828">
      <w:numFmt w:val="decimal"/>
      <w:lvlText w:val=""/>
      <w:lvlJc w:val="left"/>
    </w:lvl>
    <w:lvl w:ilvl="6" w:tplc="A6929E68">
      <w:numFmt w:val="decimal"/>
      <w:lvlText w:val=""/>
      <w:lvlJc w:val="left"/>
    </w:lvl>
    <w:lvl w:ilvl="7" w:tplc="9500BDB2">
      <w:numFmt w:val="decimal"/>
      <w:lvlText w:val=""/>
      <w:lvlJc w:val="left"/>
    </w:lvl>
    <w:lvl w:ilvl="8" w:tplc="1048D8CC">
      <w:numFmt w:val="decimal"/>
      <w:lvlText w:val=""/>
      <w:lvlJc w:val="left"/>
    </w:lvl>
  </w:abstractNum>
  <w:abstractNum w:abstractNumId="65" w15:restartNumberingAfterBreak="0">
    <w:nsid w:val="06396856"/>
    <w:multiLevelType w:val="hybridMultilevel"/>
    <w:tmpl w:val="DCD0CB74"/>
    <w:lvl w:ilvl="0" w:tplc="A6D0E532">
      <w:start w:val="1"/>
      <w:numFmt w:val="bullet"/>
      <w:lvlText w:val=""/>
      <w:lvlJc w:val="left"/>
      <w:pPr>
        <w:ind w:left="720" w:hanging="180"/>
      </w:pPr>
      <w:rPr>
        <w:rFonts w:ascii="Symbol" w:hAnsi="Symbol" w:hint="default"/>
      </w:rPr>
    </w:lvl>
    <w:lvl w:ilvl="1" w:tplc="3D3462BC">
      <w:numFmt w:val="decimal"/>
      <w:lvlText w:val=""/>
      <w:lvlJc w:val="left"/>
    </w:lvl>
    <w:lvl w:ilvl="2" w:tplc="5EDA4060">
      <w:numFmt w:val="decimal"/>
      <w:lvlText w:val=""/>
      <w:lvlJc w:val="left"/>
    </w:lvl>
    <w:lvl w:ilvl="3" w:tplc="35DEDA8A">
      <w:numFmt w:val="decimal"/>
      <w:lvlText w:val=""/>
      <w:lvlJc w:val="left"/>
    </w:lvl>
    <w:lvl w:ilvl="4" w:tplc="864EC9B0">
      <w:numFmt w:val="decimal"/>
      <w:lvlText w:val=""/>
      <w:lvlJc w:val="left"/>
    </w:lvl>
    <w:lvl w:ilvl="5" w:tplc="057482EE">
      <w:numFmt w:val="decimal"/>
      <w:lvlText w:val=""/>
      <w:lvlJc w:val="left"/>
    </w:lvl>
    <w:lvl w:ilvl="6" w:tplc="84402DBA">
      <w:numFmt w:val="decimal"/>
      <w:lvlText w:val=""/>
      <w:lvlJc w:val="left"/>
    </w:lvl>
    <w:lvl w:ilvl="7" w:tplc="B1CE9938">
      <w:numFmt w:val="decimal"/>
      <w:lvlText w:val=""/>
      <w:lvlJc w:val="left"/>
    </w:lvl>
    <w:lvl w:ilvl="8" w:tplc="60A87BBE">
      <w:numFmt w:val="decimal"/>
      <w:lvlText w:val=""/>
      <w:lvlJc w:val="left"/>
    </w:lvl>
  </w:abstractNum>
  <w:abstractNum w:abstractNumId="66" w15:restartNumberingAfterBreak="0">
    <w:nsid w:val="065B0987"/>
    <w:multiLevelType w:val="hybridMultilevel"/>
    <w:tmpl w:val="68C48D94"/>
    <w:lvl w:ilvl="0" w:tplc="F7A28646">
      <w:start w:val="1"/>
      <w:numFmt w:val="bullet"/>
      <w:lvlText w:val=""/>
      <w:lvlJc w:val="left"/>
      <w:pPr>
        <w:ind w:left="720" w:hanging="180"/>
      </w:pPr>
      <w:rPr>
        <w:rFonts w:ascii="Symbol" w:hAnsi="Symbol" w:hint="default"/>
      </w:rPr>
    </w:lvl>
    <w:lvl w:ilvl="1" w:tplc="9A182960">
      <w:numFmt w:val="decimal"/>
      <w:lvlText w:val=""/>
      <w:lvlJc w:val="left"/>
    </w:lvl>
    <w:lvl w:ilvl="2" w:tplc="CEE25754">
      <w:numFmt w:val="decimal"/>
      <w:lvlText w:val=""/>
      <w:lvlJc w:val="left"/>
    </w:lvl>
    <w:lvl w:ilvl="3" w:tplc="8E0285E2">
      <w:numFmt w:val="decimal"/>
      <w:lvlText w:val=""/>
      <w:lvlJc w:val="left"/>
    </w:lvl>
    <w:lvl w:ilvl="4" w:tplc="BB02EF8E">
      <w:numFmt w:val="decimal"/>
      <w:lvlText w:val=""/>
      <w:lvlJc w:val="left"/>
    </w:lvl>
    <w:lvl w:ilvl="5" w:tplc="BE3A6676">
      <w:numFmt w:val="decimal"/>
      <w:lvlText w:val=""/>
      <w:lvlJc w:val="left"/>
    </w:lvl>
    <w:lvl w:ilvl="6" w:tplc="29005A02">
      <w:numFmt w:val="decimal"/>
      <w:lvlText w:val=""/>
      <w:lvlJc w:val="left"/>
    </w:lvl>
    <w:lvl w:ilvl="7" w:tplc="9B8E0CF2">
      <w:numFmt w:val="decimal"/>
      <w:lvlText w:val=""/>
      <w:lvlJc w:val="left"/>
    </w:lvl>
    <w:lvl w:ilvl="8" w:tplc="1D5A713C">
      <w:numFmt w:val="decimal"/>
      <w:lvlText w:val=""/>
      <w:lvlJc w:val="left"/>
    </w:lvl>
  </w:abstractNum>
  <w:abstractNum w:abstractNumId="67" w15:restartNumberingAfterBreak="0">
    <w:nsid w:val="0662183C"/>
    <w:multiLevelType w:val="hybridMultilevel"/>
    <w:tmpl w:val="FAAE7684"/>
    <w:lvl w:ilvl="0" w:tplc="439408BC">
      <w:start w:val="1"/>
      <w:numFmt w:val="bullet"/>
      <w:lvlText w:val=""/>
      <w:lvlJc w:val="left"/>
      <w:pPr>
        <w:ind w:left="720" w:hanging="180"/>
      </w:pPr>
      <w:rPr>
        <w:rFonts w:ascii="Symbol" w:hAnsi="Symbol" w:hint="default"/>
      </w:rPr>
    </w:lvl>
    <w:lvl w:ilvl="1" w:tplc="59880B5A">
      <w:numFmt w:val="decimal"/>
      <w:lvlText w:val=""/>
      <w:lvlJc w:val="left"/>
    </w:lvl>
    <w:lvl w:ilvl="2" w:tplc="F810349C">
      <w:numFmt w:val="decimal"/>
      <w:lvlText w:val=""/>
      <w:lvlJc w:val="left"/>
    </w:lvl>
    <w:lvl w:ilvl="3" w:tplc="D0607512">
      <w:numFmt w:val="decimal"/>
      <w:lvlText w:val=""/>
      <w:lvlJc w:val="left"/>
    </w:lvl>
    <w:lvl w:ilvl="4" w:tplc="9D100F4A">
      <w:numFmt w:val="decimal"/>
      <w:lvlText w:val=""/>
      <w:lvlJc w:val="left"/>
    </w:lvl>
    <w:lvl w:ilvl="5" w:tplc="0A4C6EA4">
      <w:numFmt w:val="decimal"/>
      <w:lvlText w:val=""/>
      <w:lvlJc w:val="left"/>
    </w:lvl>
    <w:lvl w:ilvl="6" w:tplc="FD06593C">
      <w:numFmt w:val="decimal"/>
      <w:lvlText w:val=""/>
      <w:lvlJc w:val="left"/>
    </w:lvl>
    <w:lvl w:ilvl="7" w:tplc="D276B814">
      <w:numFmt w:val="decimal"/>
      <w:lvlText w:val=""/>
      <w:lvlJc w:val="left"/>
    </w:lvl>
    <w:lvl w:ilvl="8" w:tplc="5E6CC0C6">
      <w:numFmt w:val="decimal"/>
      <w:lvlText w:val=""/>
      <w:lvlJc w:val="left"/>
    </w:lvl>
  </w:abstractNum>
  <w:abstractNum w:abstractNumId="68" w15:restartNumberingAfterBreak="0">
    <w:nsid w:val="06644938"/>
    <w:multiLevelType w:val="hybridMultilevel"/>
    <w:tmpl w:val="6F26A6D2"/>
    <w:lvl w:ilvl="0" w:tplc="74CC4AA4">
      <w:start w:val="1"/>
      <w:numFmt w:val="bullet"/>
      <w:lvlText w:val=""/>
      <w:lvlJc w:val="left"/>
      <w:pPr>
        <w:ind w:left="720" w:hanging="180"/>
      </w:pPr>
      <w:rPr>
        <w:rFonts w:ascii="Symbol" w:hAnsi="Symbol" w:hint="default"/>
      </w:rPr>
    </w:lvl>
    <w:lvl w:ilvl="1" w:tplc="D7B038A0">
      <w:numFmt w:val="decimal"/>
      <w:lvlText w:val=""/>
      <w:lvlJc w:val="left"/>
    </w:lvl>
    <w:lvl w:ilvl="2" w:tplc="CDBC46DC">
      <w:numFmt w:val="decimal"/>
      <w:lvlText w:val=""/>
      <w:lvlJc w:val="left"/>
    </w:lvl>
    <w:lvl w:ilvl="3" w:tplc="C38AF752">
      <w:numFmt w:val="decimal"/>
      <w:lvlText w:val=""/>
      <w:lvlJc w:val="left"/>
    </w:lvl>
    <w:lvl w:ilvl="4" w:tplc="A858D922">
      <w:numFmt w:val="decimal"/>
      <w:lvlText w:val=""/>
      <w:lvlJc w:val="left"/>
    </w:lvl>
    <w:lvl w:ilvl="5" w:tplc="70F4DCBC">
      <w:numFmt w:val="decimal"/>
      <w:lvlText w:val=""/>
      <w:lvlJc w:val="left"/>
    </w:lvl>
    <w:lvl w:ilvl="6" w:tplc="C6E004C8">
      <w:numFmt w:val="decimal"/>
      <w:lvlText w:val=""/>
      <w:lvlJc w:val="left"/>
    </w:lvl>
    <w:lvl w:ilvl="7" w:tplc="E6500F02">
      <w:numFmt w:val="decimal"/>
      <w:lvlText w:val=""/>
      <w:lvlJc w:val="left"/>
    </w:lvl>
    <w:lvl w:ilvl="8" w:tplc="0D3E6850">
      <w:numFmt w:val="decimal"/>
      <w:lvlText w:val=""/>
      <w:lvlJc w:val="left"/>
    </w:lvl>
  </w:abstractNum>
  <w:abstractNum w:abstractNumId="69" w15:restartNumberingAfterBreak="0">
    <w:nsid w:val="068973FB"/>
    <w:multiLevelType w:val="hybridMultilevel"/>
    <w:tmpl w:val="73924176"/>
    <w:lvl w:ilvl="0" w:tplc="D34E1036">
      <w:start w:val="1"/>
      <w:numFmt w:val="bullet"/>
      <w:lvlText w:val=""/>
      <w:lvlJc w:val="left"/>
      <w:pPr>
        <w:ind w:left="720" w:hanging="180"/>
      </w:pPr>
      <w:rPr>
        <w:rFonts w:ascii="Symbol" w:hAnsi="Symbol" w:hint="default"/>
      </w:rPr>
    </w:lvl>
    <w:lvl w:ilvl="1" w:tplc="40EAB7DC">
      <w:numFmt w:val="decimal"/>
      <w:lvlText w:val=""/>
      <w:lvlJc w:val="left"/>
    </w:lvl>
    <w:lvl w:ilvl="2" w:tplc="E508EAB8">
      <w:numFmt w:val="decimal"/>
      <w:lvlText w:val=""/>
      <w:lvlJc w:val="left"/>
    </w:lvl>
    <w:lvl w:ilvl="3" w:tplc="1BAA9514">
      <w:numFmt w:val="decimal"/>
      <w:lvlText w:val=""/>
      <w:lvlJc w:val="left"/>
    </w:lvl>
    <w:lvl w:ilvl="4" w:tplc="C03420FC">
      <w:numFmt w:val="decimal"/>
      <w:lvlText w:val=""/>
      <w:lvlJc w:val="left"/>
    </w:lvl>
    <w:lvl w:ilvl="5" w:tplc="D4B4A504">
      <w:numFmt w:val="decimal"/>
      <w:lvlText w:val=""/>
      <w:lvlJc w:val="left"/>
    </w:lvl>
    <w:lvl w:ilvl="6" w:tplc="2AD6D92A">
      <w:numFmt w:val="decimal"/>
      <w:lvlText w:val=""/>
      <w:lvlJc w:val="left"/>
    </w:lvl>
    <w:lvl w:ilvl="7" w:tplc="B74200AE">
      <w:numFmt w:val="decimal"/>
      <w:lvlText w:val=""/>
      <w:lvlJc w:val="left"/>
    </w:lvl>
    <w:lvl w:ilvl="8" w:tplc="602CD1C2">
      <w:numFmt w:val="decimal"/>
      <w:lvlText w:val=""/>
      <w:lvlJc w:val="left"/>
    </w:lvl>
  </w:abstractNum>
  <w:abstractNum w:abstractNumId="70" w15:restartNumberingAfterBreak="0">
    <w:nsid w:val="07340479"/>
    <w:multiLevelType w:val="hybridMultilevel"/>
    <w:tmpl w:val="A1107FF0"/>
    <w:lvl w:ilvl="0" w:tplc="8AD2413A">
      <w:start w:val="1"/>
      <w:numFmt w:val="bullet"/>
      <w:lvlText w:val=""/>
      <w:lvlJc w:val="left"/>
      <w:pPr>
        <w:ind w:left="720" w:hanging="180"/>
      </w:pPr>
      <w:rPr>
        <w:rFonts w:ascii="Symbol" w:hAnsi="Symbol" w:hint="default"/>
      </w:rPr>
    </w:lvl>
    <w:lvl w:ilvl="1" w:tplc="CA90811A">
      <w:numFmt w:val="decimal"/>
      <w:lvlText w:val=""/>
      <w:lvlJc w:val="left"/>
    </w:lvl>
    <w:lvl w:ilvl="2" w:tplc="57AA9C16">
      <w:numFmt w:val="decimal"/>
      <w:lvlText w:val=""/>
      <w:lvlJc w:val="left"/>
    </w:lvl>
    <w:lvl w:ilvl="3" w:tplc="9140E0AE">
      <w:numFmt w:val="decimal"/>
      <w:lvlText w:val=""/>
      <w:lvlJc w:val="left"/>
    </w:lvl>
    <w:lvl w:ilvl="4" w:tplc="078CD18A">
      <w:numFmt w:val="decimal"/>
      <w:lvlText w:val=""/>
      <w:lvlJc w:val="left"/>
    </w:lvl>
    <w:lvl w:ilvl="5" w:tplc="2B2817FA">
      <w:numFmt w:val="decimal"/>
      <w:lvlText w:val=""/>
      <w:lvlJc w:val="left"/>
    </w:lvl>
    <w:lvl w:ilvl="6" w:tplc="54328FB8">
      <w:numFmt w:val="decimal"/>
      <w:lvlText w:val=""/>
      <w:lvlJc w:val="left"/>
    </w:lvl>
    <w:lvl w:ilvl="7" w:tplc="EC228FB8">
      <w:numFmt w:val="decimal"/>
      <w:lvlText w:val=""/>
      <w:lvlJc w:val="left"/>
    </w:lvl>
    <w:lvl w:ilvl="8" w:tplc="1FBCF906">
      <w:numFmt w:val="decimal"/>
      <w:lvlText w:val=""/>
      <w:lvlJc w:val="left"/>
    </w:lvl>
  </w:abstractNum>
  <w:abstractNum w:abstractNumId="71" w15:restartNumberingAfterBreak="0">
    <w:nsid w:val="07626CB3"/>
    <w:multiLevelType w:val="hybridMultilevel"/>
    <w:tmpl w:val="D5A6CA0E"/>
    <w:lvl w:ilvl="0" w:tplc="37EA7DC8">
      <w:start w:val="1"/>
      <w:numFmt w:val="bullet"/>
      <w:lvlText w:val=""/>
      <w:lvlJc w:val="left"/>
      <w:pPr>
        <w:ind w:left="720" w:hanging="180"/>
      </w:pPr>
      <w:rPr>
        <w:rFonts w:ascii="Symbol" w:hAnsi="Symbol" w:hint="default"/>
      </w:rPr>
    </w:lvl>
    <w:lvl w:ilvl="1" w:tplc="0964A00A">
      <w:numFmt w:val="decimal"/>
      <w:lvlText w:val=""/>
      <w:lvlJc w:val="left"/>
    </w:lvl>
    <w:lvl w:ilvl="2" w:tplc="16BEEAA0">
      <w:numFmt w:val="decimal"/>
      <w:lvlText w:val=""/>
      <w:lvlJc w:val="left"/>
    </w:lvl>
    <w:lvl w:ilvl="3" w:tplc="B65A08D6">
      <w:numFmt w:val="decimal"/>
      <w:lvlText w:val=""/>
      <w:lvlJc w:val="left"/>
    </w:lvl>
    <w:lvl w:ilvl="4" w:tplc="5B8C7E80">
      <w:numFmt w:val="decimal"/>
      <w:lvlText w:val=""/>
      <w:lvlJc w:val="left"/>
    </w:lvl>
    <w:lvl w:ilvl="5" w:tplc="932C8EAE">
      <w:numFmt w:val="decimal"/>
      <w:lvlText w:val=""/>
      <w:lvlJc w:val="left"/>
    </w:lvl>
    <w:lvl w:ilvl="6" w:tplc="4120E776">
      <w:numFmt w:val="decimal"/>
      <w:lvlText w:val=""/>
      <w:lvlJc w:val="left"/>
    </w:lvl>
    <w:lvl w:ilvl="7" w:tplc="3A9E515A">
      <w:numFmt w:val="decimal"/>
      <w:lvlText w:val=""/>
      <w:lvlJc w:val="left"/>
    </w:lvl>
    <w:lvl w:ilvl="8" w:tplc="4E9AC8EE">
      <w:numFmt w:val="decimal"/>
      <w:lvlText w:val=""/>
      <w:lvlJc w:val="left"/>
    </w:lvl>
  </w:abstractNum>
  <w:abstractNum w:abstractNumId="72" w15:restartNumberingAfterBreak="0">
    <w:nsid w:val="0785241C"/>
    <w:multiLevelType w:val="hybridMultilevel"/>
    <w:tmpl w:val="0B1804DC"/>
    <w:lvl w:ilvl="0" w:tplc="C6042A32">
      <w:numFmt w:val="decimal"/>
      <w:lvlText w:val=""/>
      <w:lvlJc w:val="left"/>
    </w:lvl>
    <w:lvl w:ilvl="1" w:tplc="13B097E2">
      <w:start w:val="1"/>
      <w:numFmt w:val="bullet"/>
      <w:lvlText w:val=""/>
      <w:lvlJc w:val="left"/>
      <w:pPr>
        <w:ind w:left="1440" w:hanging="180"/>
      </w:pPr>
      <w:rPr>
        <w:rFonts w:ascii="Symbol" w:hAnsi="Symbol" w:hint="default"/>
      </w:rPr>
    </w:lvl>
    <w:lvl w:ilvl="2" w:tplc="483CA5EE">
      <w:numFmt w:val="decimal"/>
      <w:lvlText w:val=""/>
      <w:lvlJc w:val="left"/>
    </w:lvl>
    <w:lvl w:ilvl="3" w:tplc="45009C34">
      <w:numFmt w:val="decimal"/>
      <w:lvlText w:val=""/>
      <w:lvlJc w:val="left"/>
    </w:lvl>
    <w:lvl w:ilvl="4" w:tplc="0492C4BA">
      <w:numFmt w:val="decimal"/>
      <w:lvlText w:val=""/>
      <w:lvlJc w:val="left"/>
    </w:lvl>
    <w:lvl w:ilvl="5" w:tplc="B5D40852">
      <w:numFmt w:val="decimal"/>
      <w:lvlText w:val=""/>
      <w:lvlJc w:val="left"/>
    </w:lvl>
    <w:lvl w:ilvl="6" w:tplc="92CC0EC4">
      <w:numFmt w:val="decimal"/>
      <w:lvlText w:val=""/>
      <w:lvlJc w:val="left"/>
    </w:lvl>
    <w:lvl w:ilvl="7" w:tplc="BB5C532A">
      <w:numFmt w:val="decimal"/>
      <w:lvlText w:val=""/>
      <w:lvlJc w:val="left"/>
    </w:lvl>
    <w:lvl w:ilvl="8" w:tplc="0C5C628C">
      <w:numFmt w:val="decimal"/>
      <w:lvlText w:val=""/>
      <w:lvlJc w:val="left"/>
    </w:lvl>
  </w:abstractNum>
  <w:abstractNum w:abstractNumId="73" w15:restartNumberingAfterBreak="0">
    <w:nsid w:val="07A16458"/>
    <w:multiLevelType w:val="hybridMultilevel"/>
    <w:tmpl w:val="84EE11D8"/>
    <w:lvl w:ilvl="0" w:tplc="FF26F5F0">
      <w:start w:val="1"/>
      <w:numFmt w:val="bullet"/>
      <w:lvlText w:val=""/>
      <w:lvlJc w:val="left"/>
      <w:pPr>
        <w:ind w:left="720" w:hanging="180"/>
      </w:pPr>
      <w:rPr>
        <w:rFonts w:ascii="Symbol" w:hAnsi="Symbol" w:hint="default"/>
      </w:rPr>
    </w:lvl>
    <w:lvl w:ilvl="1" w:tplc="C0D05F88">
      <w:numFmt w:val="decimal"/>
      <w:lvlText w:val=""/>
      <w:lvlJc w:val="left"/>
    </w:lvl>
    <w:lvl w:ilvl="2" w:tplc="4E9C4F44">
      <w:numFmt w:val="decimal"/>
      <w:lvlText w:val=""/>
      <w:lvlJc w:val="left"/>
    </w:lvl>
    <w:lvl w:ilvl="3" w:tplc="35602FDE">
      <w:numFmt w:val="decimal"/>
      <w:lvlText w:val=""/>
      <w:lvlJc w:val="left"/>
    </w:lvl>
    <w:lvl w:ilvl="4" w:tplc="DBDAF790">
      <w:numFmt w:val="decimal"/>
      <w:lvlText w:val=""/>
      <w:lvlJc w:val="left"/>
    </w:lvl>
    <w:lvl w:ilvl="5" w:tplc="18B08138">
      <w:numFmt w:val="decimal"/>
      <w:lvlText w:val=""/>
      <w:lvlJc w:val="left"/>
    </w:lvl>
    <w:lvl w:ilvl="6" w:tplc="E886F854">
      <w:numFmt w:val="decimal"/>
      <w:lvlText w:val=""/>
      <w:lvlJc w:val="left"/>
    </w:lvl>
    <w:lvl w:ilvl="7" w:tplc="3CA05428">
      <w:numFmt w:val="decimal"/>
      <w:lvlText w:val=""/>
      <w:lvlJc w:val="left"/>
    </w:lvl>
    <w:lvl w:ilvl="8" w:tplc="F5D6A1BC">
      <w:numFmt w:val="decimal"/>
      <w:lvlText w:val=""/>
      <w:lvlJc w:val="left"/>
    </w:lvl>
  </w:abstractNum>
  <w:abstractNum w:abstractNumId="74" w15:restartNumberingAfterBreak="0">
    <w:nsid w:val="07A97E57"/>
    <w:multiLevelType w:val="hybridMultilevel"/>
    <w:tmpl w:val="51AE0E00"/>
    <w:lvl w:ilvl="0" w:tplc="5754CA7C">
      <w:start w:val="1"/>
      <w:numFmt w:val="bullet"/>
      <w:lvlText w:val=""/>
      <w:lvlJc w:val="left"/>
      <w:pPr>
        <w:ind w:left="720" w:hanging="180"/>
      </w:pPr>
      <w:rPr>
        <w:rFonts w:ascii="Symbol" w:hAnsi="Symbol" w:hint="default"/>
      </w:rPr>
    </w:lvl>
    <w:lvl w:ilvl="1" w:tplc="8DB02CAA">
      <w:numFmt w:val="decimal"/>
      <w:lvlText w:val=""/>
      <w:lvlJc w:val="left"/>
    </w:lvl>
    <w:lvl w:ilvl="2" w:tplc="BF9E86FA">
      <w:numFmt w:val="decimal"/>
      <w:lvlText w:val=""/>
      <w:lvlJc w:val="left"/>
    </w:lvl>
    <w:lvl w:ilvl="3" w:tplc="9416B45E">
      <w:numFmt w:val="decimal"/>
      <w:lvlText w:val=""/>
      <w:lvlJc w:val="left"/>
    </w:lvl>
    <w:lvl w:ilvl="4" w:tplc="1B9C7AC8">
      <w:numFmt w:val="decimal"/>
      <w:lvlText w:val=""/>
      <w:lvlJc w:val="left"/>
    </w:lvl>
    <w:lvl w:ilvl="5" w:tplc="B1AA74A0">
      <w:numFmt w:val="decimal"/>
      <w:lvlText w:val=""/>
      <w:lvlJc w:val="left"/>
    </w:lvl>
    <w:lvl w:ilvl="6" w:tplc="A5C4E7C0">
      <w:numFmt w:val="decimal"/>
      <w:lvlText w:val=""/>
      <w:lvlJc w:val="left"/>
    </w:lvl>
    <w:lvl w:ilvl="7" w:tplc="737007D2">
      <w:numFmt w:val="decimal"/>
      <w:lvlText w:val=""/>
      <w:lvlJc w:val="left"/>
    </w:lvl>
    <w:lvl w:ilvl="8" w:tplc="4A04E19A">
      <w:numFmt w:val="decimal"/>
      <w:lvlText w:val=""/>
      <w:lvlJc w:val="left"/>
    </w:lvl>
  </w:abstractNum>
  <w:abstractNum w:abstractNumId="75" w15:restartNumberingAfterBreak="0">
    <w:nsid w:val="07BC5F62"/>
    <w:multiLevelType w:val="hybridMultilevel"/>
    <w:tmpl w:val="0AACC1F6"/>
    <w:lvl w:ilvl="0" w:tplc="9A3EA686">
      <w:numFmt w:val="decimal"/>
      <w:lvlText w:val=""/>
      <w:lvlJc w:val="left"/>
    </w:lvl>
    <w:lvl w:ilvl="1" w:tplc="11345D52">
      <w:start w:val="1"/>
      <w:numFmt w:val="bullet"/>
      <w:lvlText w:val=""/>
      <w:lvlJc w:val="left"/>
      <w:pPr>
        <w:ind w:left="1440" w:hanging="180"/>
      </w:pPr>
      <w:rPr>
        <w:rFonts w:ascii="Symbol" w:hAnsi="Symbol" w:hint="default"/>
      </w:rPr>
    </w:lvl>
    <w:lvl w:ilvl="2" w:tplc="A3846E2C">
      <w:numFmt w:val="decimal"/>
      <w:lvlText w:val=""/>
      <w:lvlJc w:val="left"/>
    </w:lvl>
    <w:lvl w:ilvl="3" w:tplc="F6804716">
      <w:numFmt w:val="decimal"/>
      <w:lvlText w:val=""/>
      <w:lvlJc w:val="left"/>
    </w:lvl>
    <w:lvl w:ilvl="4" w:tplc="6C86E4F2">
      <w:numFmt w:val="decimal"/>
      <w:lvlText w:val=""/>
      <w:lvlJc w:val="left"/>
    </w:lvl>
    <w:lvl w:ilvl="5" w:tplc="9FBED050">
      <w:numFmt w:val="decimal"/>
      <w:lvlText w:val=""/>
      <w:lvlJc w:val="left"/>
    </w:lvl>
    <w:lvl w:ilvl="6" w:tplc="04F0A3DE">
      <w:numFmt w:val="decimal"/>
      <w:lvlText w:val=""/>
      <w:lvlJc w:val="left"/>
    </w:lvl>
    <w:lvl w:ilvl="7" w:tplc="26C2489C">
      <w:numFmt w:val="decimal"/>
      <w:lvlText w:val=""/>
      <w:lvlJc w:val="left"/>
    </w:lvl>
    <w:lvl w:ilvl="8" w:tplc="1C64A03C">
      <w:numFmt w:val="decimal"/>
      <w:lvlText w:val=""/>
      <w:lvlJc w:val="left"/>
    </w:lvl>
  </w:abstractNum>
  <w:abstractNum w:abstractNumId="76" w15:restartNumberingAfterBreak="0">
    <w:nsid w:val="07BC74EC"/>
    <w:multiLevelType w:val="hybridMultilevel"/>
    <w:tmpl w:val="C328570E"/>
    <w:lvl w:ilvl="0" w:tplc="4CF82CAC">
      <w:start w:val="1"/>
      <w:numFmt w:val="bullet"/>
      <w:lvlText w:val=""/>
      <w:lvlJc w:val="left"/>
      <w:pPr>
        <w:ind w:left="720" w:hanging="180"/>
      </w:pPr>
      <w:rPr>
        <w:rFonts w:ascii="Symbol" w:hAnsi="Symbol" w:hint="default"/>
      </w:rPr>
    </w:lvl>
    <w:lvl w:ilvl="1" w:tplc="2B6AD7B6">
      <w:numFmt w:val="decimal"/>
      <w:lvlText w:val=""/>
      <w:lvlJc w:val="left"/>
    </w:lvl>
    <w:lvl w:ilvl="2" w:tplc="DF5685E2">
      <w:numFmt w:val="decimal"/>
      <w:lvlText w:val=""/>
      <w:lvlJc w:val="left"/>
    </w:lvl>
    <w:lvl w:ilvl="3" w:tplc="9B04660A">
      <w:numFmt w:val="decimal"/>
      <w:lvlText w:val=""/>
      <w:lvlJc w:val="left"/>
    </w:lvl>
    <w:lvl w:ilvl="4" w:tplc="04DE0EA0">
      <w:numFmt w:val="decimal"/>
      <w:lvlText w:val=""/>
      <w:lvlJc w:val="left"/>
    </w:lvl>
    <w:lvl w:ilvl="5" w:tplc="6E563798">
      <w:numFmt w:val="decimal"/>
      <w:lvlText w:val=""/>
      <w:lvlJc w:val="left"/>
    </w:lvl>
    <w:lvl w:ilvl="6" w:tplc="218AF446">
      <w:numFmt w:val="decimal"/>
      <w:lvlText w:val=""/>
      <w:lvlJc w:val="left"/>
    </w:lvl>
    <w:lvl w:ilvl="7" w:tplc="B4383A10">
      <w:numFmt w:val="decimal"/>
      <w:lvlText w:val=""/>
      <w:lvlJc w:val="left"/>
    </w:lvl>
    <w:lvl w:ilvl="8" w:tplc="091E1FA8">
      <w:numFmt w:val="decimal"/>
      <w:lvlText w:val=""/>
      <w:lvlJc w:val="left"/>
    </w:lvl>
  </w:abstractNum>
  <w:abstractNum w:abstractNumId="77" w15:restartNumberingAfterBreak="0">
    <w:nsid w:val="07C305E3"/>
    <w:multiLevelType w:val="hybridMultilevel"/>
    <w:tmpl w:val="24344DCC"/>
    <w:lvl w:ilvl="0" w:tplc="15C482EC">
      <w:numFmt w:val="decimal"/>
      <w:lvlText w:val=""/>
      <w:lvlJc w:val="left"/>
    </w:lvl>
    <w:lvl w:ilvl="1" w:tplc="1FB00DA0">
      <w:start w:val="1"/>
      <w:numFmt w:val="bullet"/>
      <w:lvlText w:val=""/>
      <w:lvlJc w:val="left"/>
      <w:pPr>
        <w:ind w:left="1440" w:hanging="180"/>
      </w:pPr>
      <w:rPr>
        <w:rFonts w:ascii="Symbol" w:hAnsi="Symbol" w:hint="default"/>
      </w:rPr>
    </w:lvl>
    <w:lvl w:ilvl="2" w:tplc="13922368">
      <w:numFmt w:val="decimal"/>
      <w:lvlText w:val=""/>
      <w:lvlJc w:val="left"/>
    </w:lvl>
    <w:lvl w:ilvl="3" w:tplc="CFF8E9F6">
      <w:numFmt w:val="decimal"/>
      <w:lvlText w:val=""/>
      <w:lvlJc w:val="left"/>
    </w:lvl>
    <w:lvl w:ilvl="4" w:tplc="0FF0D924">
      <w:numFmt w:val="decimal"/>
      <w:lvlText w:val=""/>
      <w:lvlJc w:val="left"/>
    </w:lvl>
    <w:lvl w:ilvl="5" w:tplc="F3D0FBCC">
      <w:numFmt w:val="decimal"/>
      <w:lvlText w:val=""/>
      <w:lvlJc w:val="left"/>
    </w:lvl>
    <w:lvl w:ilvl="6" w:tplc="6FE62D4E">
      <w:numFmt w:val="decimal"/>
      <w:lvlText w:val=""/>
      <w:lvlJc w:val="left"/>
    </w:lvl>
    <w:lvl w:ilvl="7" w:tplc="8704229E">
      <w:numFmt w:val="decimal"/>
      <w:lvlText w:val=""/>
      <w:lvlJc w:val="left"/>
    </w:lvl>
    <w:lvl w:ilvl="8" w:tplc="8DDEFE78">
      <w:numFmt w:val="decimal"/>
      <w:lvlText w:val=""/>
      <w:lvlJc w:val="left"/>
    </w:lvl>
  </w:abstractNum>
  <w:abstractNum w:abstractNumId="78" w15:restartNumberingAfterBreak="0">
    <w:nsid w:val="07C96AA0"/>
    <w:multiLevelType w:val="hybridMultilevel"/>
    <w:tmpl w:val="8700A2E2"/>
    <w:lvl w:ilvl="0" w:tplc="3E5222E6">
      <w:start w:val="1"/>
      <w:numFmt w:val="bullet"/>
      <w:lvlText w:val=""/>
      <w:lvlJc w:val="left"/>
      <w:pPr>
        <w:ind w:left="720" w:hanging="180"/>
      </w:pPr>
      <w:rPr>
        <w:rFonts w:ascii="Symbol" w:hAnsi="Symbol" w:hint="default"/>
      </w:rPr>
    </w:lvl>
    <w:lvl w:ilvl="1" w:tplc="5E36BA4C">
      <w:numFmt w:val="decimal"/>
      <w:lvlText w:val=""/>
      <w:lvlJc w:val="left"/>
    </w:lvl>
    <w:lvl w:ilvl="2" w:tplc="AFE223B4">
      <w:numFmt w:val="decimal"/>
      <w:lvlText w:val=""/>
      <w:lvlJc w:val="left"/>
    </w:lvl>
    <w:lvl w:ilvl="3" w:tplc="F3CA20A4">
      <w:numFmt w:val="decimal"/>
      <w:lvlText w:val=""/>
      <w:lvlJc w:val="left"/>
    </w:lvl>
    <w:lvl w:ilvl="4" w:tplc="8494C628">
      <w:numFmt w:val="decimal"/>
      <w:lvlText w:val=""/>
      <w:lvlJc w:val="left"/>
    </w:lvl>
    <w:lvl w:ilvl="5" w:tplc="9800A576">
      <w:numFmt w:val="decimal"/>
      <w:lvlText w:val=""/>
      <w:lvlJc w:val="left"/>
    </w:lvl>
    <w:lvl w:ilvl="6" w:tplc="48428FDE">
      <w:numFmt w:val="decimal"/>
      <w:lvlText w:val=""/>
      <w:lvlJc w:val="left"/>
    </w:lvl>
    <w:lvl w:ilvl="7" w:tplc="A962CA1E">
      <w:numFmt w:val="decimal"/>
      <w:lvlText w:val=""/>
      <w:lvlJc w:val="left"/>
    </w:lvl>
    <w:lvl w:ilvl="8" w:tplc="881AB82A">
      <w:numFmt w:val="decimal"/>
      <w:lvlText w:val=""/>
      <w:lvlJc w:val="left"/>
    </w:lvl>
  </w:abstractNum>
  <w:abstractNum w:abstractNumId="79" w15:restartNumberingAfterBreak="0">
    <w:nsid w:val="07D07277"/>
    <w:multiLevelType w:val="hybridMultilevel"/>
    <w:tmpl w:val="008C59D8"/>
    <w:lvl w:ilvl="0" w:tplc="12D262B0">
      <w:start w:val="1"/>
      <w:numFmt w:val="bullet"/>
      <w:lvlText w:val=""/>
      <w:lvlJc w:val="left"/>
      <w:pPr>
        <w:ind w:left="720" w:hanging="180"/>
      </w:pPr>
      <w:rPr>
        <w:rFonts w:ascii="Symbol" w:hAnsi="Symbol" w:hint="default"/>
      </w:rPr>
    </w:lvl>
    <w:lvl w:ilvl="1" w:tplc="83722B3C">
      <w:numFmt w:val="decimal"/>
      <w:lvlText w:val=""/>
      <w:lvlJc w:val="left"/>
    </w:lvl>
    <w:lvl w:ilvl="2" w:tplc="02EC71BE">
      <w:numFmt w:val="decimal"/>
      <w:lvlText w:val=""/>
      <w:lvlJc w:val="left"/>
    </w:lvl>
    <w:lvl w:ilvl="3" w:tplc="1B02A2AC">
      <w:numFmt w:val="decimal"/>
      <w:lvlText w:val=""/>
      <w:lvlJc w:val="left"/>
    </w:lvl>
    <w:lvl w:ilvl="4" w:tplc="49BAB18A">
      <w:numFmt w:val="decimal"/>
      <w:lvlText w:val=""/>
      <w:lvlJc w:val="left"/>
    </w:lvl>
    <w:lvl w:ilvl="5" w:tplc="9B0EE0DA">
      <w:numFmt w:val="decimal"/>
      <w:lvlText w:val=""/>
      <w:lvlJc w:val="left"/>
    </w:lvl>
    <w:lvl w:ilvl="6" w:tplc="A1B2A4E6">
      <w:numFmt w:val="decimal"/>
      <w:lvlText w:val=""/>
      <w:lvlJc w:val="left"/>
    </w:lvl>
    <w:lvl w:ilvl="7" w:tplc="B4DAC6DA">
      <w:numFmt w:val="decimal"/>
      <w:lvlText w:val=""/>
      <w:lvlJc w:val="left"/>
    </w:lvl>
    <w:lvl w:ilvl="8" w:tplc="4418AD66">
      <w:numFmt w:val="decimal"/>
      <w:lvlText w:val=""/>
      <w:lvlJc w:val="left"/>
    </w:lvl>
  </w:abstractNum>
  <w:abstractNum w:abstractNumId="80" w15:restartNumberingAfterBreak="0">
    <w:nsid w:val="084C7D85"/>
    <w:multiLevelType w:val="hybridMultilevel"/>
    <w:tmpl w:val="7238313C"/>
    <w:lvl w:ilvl="0" w:tplc="2B0AA408">
      <w:start w:val="1"/>
      <w:numFmt w:val="bullet"/>
      <w:lvlText w:val=""/>
      <w:lvlJc w:val="left"/>
      <w:pPr>
        <w:ind w:left="720" w:hanging="180"/>
      </w:pPr>
      <w:rPr>
        <w:rFonts w:ascii="Symbol" w:hAnsi="Symbol" w:hint="default"/>
      </w:rPr>
    </w:lvl>
    <w:lvl w:ilvl="1" w:tplc="44C21AFC">
      <w:numFmt w:val="decimal"/>
      <w:lvlText w:val=""/>
      <w:lvlJc w:val="left"/>
    </w:lvl>
    <w:lvl w:ilvl="2" w:tplc="7FD0B192">
      <w:numFmt w:val="decimal"/>
      <w:lvlText w:val=""/>
      <w:lvlJc w:val="left"/>
    </w:lvl>
    <w:lvl w:ilvl="3" w:tplc="D2208E48">
      <w:numFmt w:val="decimal"/>
      <w:lvlText w:val=""/>
      <w:lvlJc w:val="left"/>
    </w:lvl>
    <w:lvl w:ilvl="4" w:tplc="DD7C9AE4">
      <w:numFmt w:val="decimal"/>
      <w:lvlText w:val=""/>
      <w:lvlJc w:val="left"/>
    </w:lvl>
    <w:lvl w:ilvl="5" w:tplc="90DE2900">
      <w:numFmt w:val="decimal"/>
      <w:lvlText w:val=""/>
      <w:lvlJc w:val="left"/>
    </w:lvl>
    <w:lvl w:ilvl="6" w:tplc="456EF33E">
      <w:numFmt w:val="decimal"/>
      <w:lvlText w:val=""/>
      <w:lvlJc w:val="left"/>
    </w:lvl>
    <w:lvl w:ilvl="7" w:tplc="41525946">
      <w:numFmt w:val="decimal"/>
      <w:lvlText w:val=""/>
      <w:lvlJc w:val="left"/>
    </w:lvl>
    <w:lvl w:ilvl="8" w:tplc="3C5E6358">
      <w:numFmt w:val="decimal"/>
      <w:lvlText w:val=""/>
      <w:lvlJc w:val="left"/>
    </w:lvl>
  </w:abstractNum>
  <w:abstractNum w:abstractNumId="81" w15:restartNumberingAfterBreak="0">
    <w:nsid w:val="085B2C8A"/>
    <w:multiLevelType w:val="hybridMultilevel"/>
    <w:tmpl w:val="E78094FC"/>
    <w:lvl w:ilvl="0" w:tplc="0770B13A">
      <w:start w:val="1"/>
      <w:numFmt w:val="bullet"/>
      <w:lvlText w:val=""/>
      <w:lvlJc w:val="left"/>
      <w:pPr>
        <w:ind w:left="720" w:hanging="180"/>
      </w:pPr>
      <w:rPr>
        <w:rFonts w:ascii="Symbol" w:hAnsi="Symbol" w:hint="default"/>
      </w:rPr>
    </w:lvl>
    <w:lvl w:ilvl="1" w:tplc="69DCAF84">
      <w:numFmt w:val="decimal"/>
      <w:lvlText w:val=""/>
      <w:lvlJc w:val="left"/>
    </w:lvl>
    <w:lvl w:ilvl="2" w:tplc="F05A6BC4">
      <w:numFmt w:val="decimal"/>
      <w:lvlText w:val=""/>
      <w:lvlJc w:val="left"/>
    </w:lvl>
    <w:lvl w:ilvl="3" w:tplc="DB28256E">
      <w:numFmt w:val="decimal"/>
      <w:lvlText w:val=""/>
      <w:lvlJc w:val="left"/>
    </w:lvl>
    <w:lvl w:ilvl="4" w:tplc="57920286">
      <w:numFmt w:val="decimal"/>
      <w:lvlText w:val=""/>
      <w:lvlJc w:val="left"/>
    </w:lvl>
    <w:lvl w:ilvl="5" w:tplc="4910425C">
      <w:numFmt w:val="decimal"/>
      <w:lvlText w:val=""/>
      <w:lvlJc w:val="left"/>
    </w:lvl>
    <w:lvl w:ilvl="6" w:tplc="3F702C84">
      <w:numFmt w:val="decimal"/>
      <w:lvlText w:val=""/>
      <w:lvlJc w:val="left"/>
    </w:lvl>
    <w:lvl w:ilvl="7" w:tplc="12023C1A">
      <w:numFmt w:val="decimal"/>
      <w:lvlText w:val=""/>
      <w:lvlJc w:val="left"/>
    </w:lvl>
    <w:lvl w:ilvl="8" w:tplc="44640A08">
      <w:numFmt w:val="decimal"/>
      <w:lvlText w:val=""/>
      <w:lvlJc w:val="left"/>
    </w:lvl>
  </w:abstractNum>
  <w:abstractNum w:abstractNumId="82" w15:restartNumberingAfterBreak="0">
    <w:nsid w:val="086F3DF2"/>
    <w:multiLevelType w:val="hybridMultilevel"/>
    <w:tmpl w:val="631ED0E4"/>
    <w:lvl w:ilvl="0" w:tplc="5192E704">
      <w:start w:val="1"/>
      <w:numFmt w:val="bullet"/>
      <w:lvlText w:val=""/>
      <w:lvlJc w:val="left"/>
      <w:pPr>
        <w:ind w:left="720" w:hanging="180"/>
      </w:pPr>
      <w:rPr>
        <w:rFonts w:ascii="Symbol" w:hAnsi="Symbol" w:hint="default"/>
      </w:rPr>
    </w:lvl>
    <w:lvl w:ilvl="1" w:tplc="29E8121C">
      <w:numFmt w:val="decimal"/>
      <w:lvlText w:val=""/>
      <w:lvlJc w:val="left"/>
    </w:lvl>
    <w:lvl w:ilvl="2" w:tplc="0456CC2A">
      <w:numFmt w:val="decimal"/>
      <w:lvlText w:val=""/>
      <w:lvlJc w:val="left"/>
    </w:lvl>
    <w:lvl w:ilvl="3" w:tplc="DC86BA3C">
      <w:numFmt w:val="decimal"/>
      <w:lvlText w:val=""/>
      <w:lvlJc w:val="left"/>
    </w:lvl>
    <w:lvl w:ilvl="4" w:tplc="0EA8C630">
      <w:numFmt w:val="decimal"/>
      <w:lvlText w:val=""/>
      <w:lvlJc w:val="left"/>
    </w:lvl>
    <w:lvl w:ilvl="5" w:tplc="B07297A6">
      <w:numFmt w:val="decimal"/>
      <w:lvlText w:val=""/>
      <w:lvlJc w:val="left"/>
    </w:lvl>
    <w:lvl w:ilvl="6" w:tplc="467698E8">
      <w:numFmt w:val="decimal"/>
      <w:lvlText w:val=""/>
      <w:lvlJc w:val="left"/>
    </w:lvl>
    <w:lvl w:ilvl="7" w:tplc="88F4894A">
      <w:numFmt w:val="decimal"/>
      <w:lvlText w:val=""/>
      <w:lvlJc w:val="left"/>
    </w:lvl>
    <w:lvl w:ilvl="8" w:tplc="3DDA412C">
      <w:numFmt w:val="decimal"/>
      <w:lvlText w:val=""/>
      <w:lvlJc w:val="left"/>
    </w:lvl>
  </w:abstractNum>
  <w:abstractNum w:abstractNumId="83" w15:restartNumberingAfterBreak="0">
    <w:nsid w:val="087647B6"/>
    <w:multiLevelType w:val="hybridMultilevel"/>
    <w:tmpl w:val="CA0E18E4"/>
    <w:lvl w:ilvl="0" w:tplc="3ADA0F24">
      <w:start w:val="1"/>
      <w:numFmt w:val="bullet"/>
      <w:lvlText w:val=""/>
      <w:lvlJc w:val="left"/>
      <w:pPr>
        <w:ind w:left="720" w:hanging="180"/>
      </w:pPr>
      <w:rPr>
        <w:rFonts w:ascii="Symbol" w:hAnsi="Symbol" w:hint="default"/>
      </w:rPr>
    </w:lvl>
    <w:lvl w:ilvl="1" w:tplc="1EA88FB2">
      <w:numFmt w:val="decimal"/>
      <w:lvlText w:val=""/>
      <w:lvlJc w:val="left"/>
    </w:lvl>
    <w:lvl w:ilvl="2" w:tplc="2E189CB0">
      <w:numFmt w:val="decimal"/>
      <w:lvlText w:val=""/>
      <w:lvlJc w:val="left"/>
    </w:lvl>
    <w:lvl w:ilvl="3" w:tplc="8CAC09EE">
      <w:numFmt w:val="decimal"/>
      <w:lvlText w:val=""/>
      <w:lvlJc w:val="left"/>
    </w:lvl>
    <w:lvl w:ilvl="4" w:tplc="646E6122">
      <w:numFmt w:val="decimal"/>
      <w:lvlText w:val=""/>
      <w:lvlJc w:val="left"/>
    </w:lvl>
    <w:lvl w:ilvl="5" w:tplc="D69EF762">
      <w:numFmt w:val="decimal"/>
      <w:lvlText w:val=""/>
      <w:lvlJc w:val="left"/>
    </w:lvl>
    <w:lvl w:ilvl="6" w:tplc="F760D434">
      <w:numFmt w:val="decimal"/>
      <w:lvlText w:val=""/>
      <w:lvlJc w:val="left"/>
    </w:lvl>
    <w:lvl w:ilvl="7" w:tplc="7ADE027A">
      <w:numFmt w:val="decimal"/>
      <w:lvlText w:val=""/>
      <w:lvlJc w:val="left"/>
    </w:lvl>
    <w:lvl w:ilvl="8" w:tplc="6572271C">
      <w:numFmt w:val="decimal"/>
      <w:lvlText w:val=""/>
      <w:lvlJc w:val="left"/>
    </w:lvl>
  </w:abstractNum>
  <w:abstractNum w:abstractNumId="84" w15:restartNumberingAfterBreak="0">
    <w:nsid w:val="08815BF3"/>
    <w:multiLevelType w:val="hybridMultilevel"/>
    <w:tmpl w:val="8F9A90F6"/>
    <w:lvl w:ilvl="0" w:tplc="9616514A">
      <w:start w:val="1"/>
      <w:numFmt w:val="bullet"/>
      <w:lvlText w:val=""/>
      <w:lvlJc w:val="left"/>
      <w:pPr>
        <w:ind w:left="720" w:hanging="180"/>
      </w:pPr>
      <w:rPr>
        <w:rFonts w:ascii="Symbol" w:hAnsi="Symbol" w:hint="default"/>
      </w:rPr>
    </w:lvl>
    <w:lvl w:ilvl="1" w:tplc="1518998C">
      <w:numFmt w:val="decimal"/>
      <w:lvlText w:val=""/>
      <w:lvlJc w:val="left"/>
    </w:lvl>
    <w:lvl w:ilvl="2" w:tplc="120CA818">
      <w:numFmt w:val="decimal"/>
      <w:lvlText w:val=""/>
      <w:lvlJc w:val="left"/>
    </w:lvl>
    <w:lvl w:ilvl="3" w:tplc="2EE0A6A2">
      <w:numFmt w:val="decimal"/>
      <w:lvlText w:val=""/>
      <w:lvlJc w:val="left"/>
    </w:lvl>
    <w:lvl w:ilvl="4" w:tplc="33F6AA5E">
      <w:numFmt w:val="decimal"/>
      <w:lvlText w:val=""/>
      <w:lvlJc w:val="left"/>
    </w:lvl>
    <w:lvl w:ilvl="5" w:tplc="7038AAFC">
      <w:numFmt w:val="decimal"/>
      <w:lvlText w:val=""/>
      <w:lvlJc w:val="left"/>
    </w:lvl>
    <w:lvl w:ilvl="6" w:tplc="220EB760">
      <w:numFmt w:val="decimal"/>
      <w:lvlText w:val=""/>
      <w:lvlJc w:val="left"/>
    </w:lvl>
    <w:lvl w:ilvl="7" w:tplc="8C925276">
      <w:numFmt w:val="decimal"/>
      <w:lvlText w:val=""/>
      <w:lvlJc w:val="left"/>
    </w:lvl>
    <w:lvl w:ilvl="8" w:tplc="CC1AB16A">
      <w:numFmt w:val="decimal"/>
      <w:lvlText w:val=""/>
      <w:lvlJc w:val="left"/>
    </w:lvl>
  </w:abstractNum>
  <w:abstractNum w:abstractNumId="85" w15:restartNumberingAfterBreak="0">
    <w:nsid w:val="088172B7"/>
    <w:multiLevelType w:val="hybridMultilevel"/>
    <w:tmpl w:val="2B2E01AA"/>
    <w:lvl w:ilvl="0" w:tplc="5674FAF0">
      <w:start w:val="1"/>
      <w:numFmt w:val="bullet"/>
      <w:lvlText w:val=""/>
      <w:lvlJc w:val="left"/>
      <w:pPr>
        <w:ind w:left="720" w:hanging="180"/>
      </w:pPr>
      <w:rPr>
        <w:rFonts w:ascii="Symbol" w:hAnsi="Symbol" w:hint="default"/>
      </w:rPr>
    </w:lvl>
    <w:lvl w:ilvl="1" w:tplc="4ECC7410">
      <w:numFmt w:val="decimal"/>
      <w:lvlText w:val=""/>
      <w:lvlJc w:val="left"/>
    </w:lvl>
    <w:lvl w:ilvl="2" w:tplc="2C74CA9A">
      <w:numFmt w:val="decimal"/>
      <w:lvlText w:val=""/>
      <w:lvlJc w:val="left"/>
    </w:lvl>
    <w:lvl w:ilvl="3" w:tplc="0CDEE6CE">
      <w:numFmt w:val="decimal"/>
      <w:lvlText w:val=""/>
      <w:lvlJc w:val="left"/>
    </w:lvl>
    <w:lvl w:ilvl="4" w:tplc="3224E950">
      <w:numFmt w:val="decimal"/>
      <w:lvlText w:val=""/>
      <w:lvlJc w:val="left"/>
    </w:lvl>
    <w:lvl w:ilvl="5" w:tplc="1F9E621E">
      <w:numFmt w:val="decimal"/>
      <w:lvlText w:val=""/>
      <w:lvlJc w:val="left"/>
    </w:lvl>
    <w:lvl w:ilvl="6" w:tplc="7112312E">
      <w:numFmt w:val="decimal"/>
      <w:lvlText w:val=""/>
      <w:lvlJc w:val="left"/>
    </w:lvl>
    <w:lvl w:ilvl="7" w:tplc="27B4B00C">
      <w:numFmt w:val="decimal"/>
      <w:lvlText w:val=""/>
      <w:lvlJc w:val="left"/>
    </w:lvl>
    <w:lvl w:ilvl="8" w:tplc="357AD11A">
      <w:numFmt w:val="decimal"/>
      <w:lvlText w:val=""/>
      <w:lvlJc w:val="left"/>
    </w:lvl>
  </w:abstractNum>
  <w:abstractNum w:abstractNumId="86" w15:restartNumberingAfterBreak="0">
    <w:nsid w:val="08B533F4"/>
    <w:multiLevelType w:val="hybridMultilevel"/>
    <w:tmpl w:val="CFF47DC4"/>
    <w:lvl w:ilvl="0" w:tplc="51FC8DD0">
      <w:start w:val="1"/>
      <w:numFmt w:val="bullet"/>
      <w:lvlText w:val=""/>
      <w:lvlJc w:val="left"/>
      <w:pPr>
        <w:ind w:left="720" w:hanging="180"/>
      </w:pPr>
      <w:rPr>
        <w:rFonts w:ascii="Symbol" w:hAnsi="Symbol" w:hint="default"/>
      </w:rPr>
    </w:lvl>
    <w:lvl w:ilvl="1" w:tplc="EEBC4642">
      <w:numFmt w:val="decimal"/>
      <w:lvlText w:val=""/>
      <w:lvlJc w:val="left"/>
    </w:lvl>
    <w:lvl w:ilvl="2" w:tplc="D168FD50">
      <w:numFmt w:val="decimal"/>
      <w:lvlText w:val=""/>
      <w:lvlJc w:val="left"/>
    </w:lvl>
    <w:lvl w:ilvl="3" w:tplc="AC7EE070">
      <w:numFmt w:val="decimal"/>
      <w:lvlText w:val=""/>
      <w:lvlJc w:val="left"/>
    </w:lvl>
    <w:lvl w:ilvl="4" w:tplc="D9C86AB4">
      <w:numFmt w:val="decimal"/>
      <w:lvlText w:val=""/>
      <w:lvlJc w:val="left"/>
    </w:lvl>
    <w:lvl w:ilvl="5" w:tplc="F0FCAF7A">
      <w:numFmt w:val="decimal"/>
      <w:lvlText w:val=""/>
      <w:lvlJc w:val="left"/>
    </w:lvl>
    <w:lvl w:ilvl="6" w:tplc="59685FBC">
      <w:numFmt w:val="decimal"/>
      <w:lvlText w:val=""/>
      <w:lvlJc w:val="left"/>
    </w:lvl>
    <w:lvl w:ilvl="7" w:tplc="28C22436">
      <w:numFmt w:val="decimal"/>
      <w:lvlText w:val=""/>
      <w:lvlJc w:val="left"/>
    </w:lvl>
    <w:lvl w:ilvl="8" w:tplc="AA949E3A">
      <w:numFmt w:val="decimal"/>
      <w:lvlText w:val=""/>
      <w:lvlJc w:val="left"/>
    </w:lvl>
  </w:abstractNum>
  <w:abstractNum w:abstractNumId="87" w15:restartNumberingAfterBreak="0">
    <w:nsid w:val="08C05C94"/>
    <w:multiLevelType w:val="hybridMultilevel"/>
    <w:tmpl w:val="BED4560A"/>
    <w:lvl w:ilvl="0" w:tplc="3E6AFDA2">
      <w:start w:val="1"/>
      <w:numFmt w:val="bullet"/>
      <w:lvlText w:val=""/>
      <w:lvlJc w:val="left"/>
      <w:pPr>
        <w:ind w:left="720" w:hanging="180"/>
      </w:pPr>
      <w:rPr>
        <w:rFonts w:ascii="Symbol" w:hAnsi="Symbol" w:hint="default"/>
      </w:rPr>
    </w:lvl>
    <w:lvl w:ilvl="1" w:tplc="E74A8854">
      <w:numFmt w:val="decimal"/>
      <w:lvlText w:val=""/>
      <w:lvlJc w:val="left"/>
    </w:lvl>
    <w:lvl w:ilvl="2" w:tplc="6A92C08A">
      <w:numFmt w:val="decimal"/>
      <w:lvlText w:val=""/>
      <w:lvlJc w:val="left"/>
    </w:lvl>
    <w:lvl w:ilvl="3" w:tplc="DDFCB548">
      <w:numFmt w:val="decimal"/>
      <w:lvlText w:val=""/>
      <w:lvlJc w:val="left"/>
    </w:lvl>
    <w:lvl w:ilvl="4" w:tplc="0C30EBB2">
      <w:numFmt w:val="decimal"/>
      <w:lvlText w:val=""/>
      <w:lvlJc w:val="left"/>
    </w:lvl>
    <w:lvl w:ilvl="5" w:tplc="C3485A50">
      <w:numFmt w:val="decimal"/>
      <w:lvlText w:val=""/>
      <w:lvlJc w:val="left"/>
    </w:lvl>
    <w:lvl w:ilvl="6" w:tplc="277E8030">
      <w:numFmt w:val="decimal"/>
      <w:lvlText w:val=""/>
      <w:lvlJc w:val="left"/>
    </w:lvl>
    <w:lvl w:ilvl="7" w:tplc="5394B6AE">
      <w:numFmt w:val="decimal"/>
      <w:lvlText w:val=""/>
      <w:lvlJc w:val="left"/>
    </w:lvl>
    <w:lvl w:ilvl="8" w:tplc="D78A6EF8">
      <w:numFmt w:val="decimal"/>
      <w:lvlText w:val=""/>
      <w:lvlJc w:val="left"/>
    </w:lvl>
  </w:abstractNum>
  <w:abstractNum w:abstractNumId="88" w15:restartNumberingAfterBreak="0">
    <w:nsid w:val="08C46678"/>
    <w:multiLevelType w:val="hybridMultilevel"/>
    <w:tmpl w:val="D1089FAC"/>
    <w:lvl w:ilvl="0" w:tplc="18BC4FE8">
      <w:numFmt w:val="decimal"/>
      <w:lvlText w:val=""/>
      <w:lvlJc w:val="left"/>
    </w:lvl>
    <w:lvl w:ilvl="1" w:tplc="099031BA">
      <w:start w:val="1"/>
      <w:numFmt w:val="bullet"/>
      <w:lvlText w:val=""/>
      <w:lvlJc w:val="left"/>
      <w:pPr>
        <w:ind w:left="1440" w:hanging="180"/>
      </w:pPr>
      <w:rPr>
        <w:rFonts w:ascii="Symbol" w:hAnsi="Symbol" w:hint="default"/>
      </w:rPr>
    </w:lvl>
    <w:lvl w:ilvl="2" w:tplc="18282CF0">
      <w:numFmt w:val="decimal"/>
      <w:lvlText w:val=""/>
      <w:lvlJc w:val="left"/>
    </w:lvl>
    <w:lvl w:ilvl="3" w:tplc="596A9C9E">
      <w:numFmt w:val="decimal"/>
      <w:lvlText w:val=""/>
      <w:lvlJc w:val="left"/>
    </w:lvl>
    <w:lvl w:ilvl="4" w:tplc="CCCE9DDC">
      <w:numFmt w:val="decimal"/>
      <w:lvlText w:val=""/>
      <w:lvlJc w:val="left"/>
    </w:lvl>
    <w:lvl w:ilvl="5" w:tplc="A2985350">
      <w:numFmt w:val="decimal"/>
      <w:lvlText w:val=""/>
      <w:lvlJc w:val="left"/>
    </w:lvl>
    <w:lvl w:ilvl="6" w:tplc="7E26D6B0">
      <w:numFmt w:val="decimal"/>
      <w:lvlText w:val=""/>
      <w:lvlJc w:val="left"/>
    </w:lvl>
    <w:lvl w:ilvl="7" w:tplc="BE5C6760">
      <w:numFmt w:val="decimal"/>
      <w:lvlText w:val=""/>
      <w:lvlJc w:val="left"/>
    </w:lvl>
    <w:lvl w:ilvl="8" w:tplc="3AEE2ECE">
      <w:numFmt w:val="decimal"/>
      <w:lvlText w:val=""/>
      <w:lvlJc w:val="left"/>
    </w:lvl>
  </w:abstractNum>
  <w:abstractNum w:abstractNumId="89" w15:restartNumberingAfterBreak="0">
    <w:nsid w:val="08EA172D"/>
    <w:multiLevelType w:val="hybridMultilevel"/>
    <w:tmpl w:val="8F566E46"/>
    <w:lvl w:ilvl="0" w:tplc="FBFEC480">
      <w:start w:val="1"/>
      <w:numFmt w:val="bullet"/>
      <w:lvlText w:val=""/>
      <w:lvlJc w:val="left"/>
      <w:pPr>
        <w:ind w:left="720" w:hanging="180"/>
      </w:pPr>
      <w:rPr>
        <w:rFonts w:ascii="Symbol" w:hAnsi="Symbol" w:hint="default"/>
      </w:rPr>
    </w:lvl>
    <w:lvl w:ilvl="1" w:tplc="1B329044">
      <w:numFmt w:val="decimal"/>
      <w:lvlText w:val=""/>
      <w:lvlJc w:val="left"/>
    </w:lvl>
    <w:lvl w:ilvl="2" w:tplc="09DCB168">
      <w:numFmt w:val="decimal"/>
      <w:lvlText w:val=""/>
      <w:lvlJc w:val="left"/>
    </w:lvl>
    <w:lvl w:ilvl="3" w:tplc="8488D7BA">
      <w:numFmt w:val="decimal"/>
      <w:lvlText w:val=""/>
      <w:lvlJc w:val="left"/>
    </w:lvl>
    <w:lvl w:ilvl="4" w:tplc="9CBEA790">
      <w:numFmt w:val="decimal"/>
      <w:lvlText w:val=""/>
      <w:lvlJc w:val="left"/>
    </w:lvl>
    <w:lvl w:ilvl="5" w:tplc="BE52D916">
      <w:numFmt w:val="decimal"/>
      <w:lvlText w:val=""/>
      <w:lvlJc w:val="left"/>
    </w:lvl>
    <w:lvl w:ilvl="6" w:tplc="D3FAD4C0">
      <w:numFmt w:val="decimal"/>
      <w:lvlText w:val=""/>
      <w:lvlJc w:val="left"/>
    </w:lvl>
    <w:lvl w:ilvl="7" w:tplc="63FAFFCC">
      <w:numFmt w:val="decimal"/>
      <w:lvlText w:val=""/>
      <w:lvlJc w:val="left"/>
    </w:lvl>
    <w:lvl w:ilvl="8" w:tplc="D018A2FA">
      <w:numFmt w:val="decimal"/>
      <w:lvlText w:val=""/>
      <w:lvlJc w:val="left"/>
    </w:lvl>
  </w:abstractNum>
  <w:abstractNum w:abstractNumId="90" w15:restartNumberingAfterBreak="0">
    <w:nsid w:val="08EC7995"/>
    <w:multiLevelType w:val="hybridMultilevel"/>
    <w:tmpl w:val="54D02F50"/>
    <w:lvl w:ilvl="0" w:tplc="5A4EE174">
      <w:start w:val="1"/>
      <w:numFmt w:val="bullet"/>
      <w:lvlText w:val=""/>
      <w:lvlJc w:val="left"/>
      <w:pPr>
        <w:ind w:left="720" w:hanging="180"/>
      </w:pPr>
      <w:rPr>
        <w:rFonts w:ascii="Symbol" w:hAnsi="Symbol" w:hint="default"/>
      </w:rPr>
    </w:lvl>
    <w:lvl w:ilvl="1" w:tplc="D9E81A46">
      <w:numFmt w:val="decimal"/>
      <w:lvlText w:val=""/>
      <w:lvlJc w:val="left"/>
    </w:lvl>
    <w:lvl w:ilvl="2" w:tplc="6CAA1B90">
      <w:numFmt w:val="decimal"/>
      <w:lvlText w:val=""/>
      <w:lvlJc w:val="left"/>
    </w:lvl>
    <w:lvl w:ilvl="3" w:tplc="DACC60FA">
      <w:numFmt w:val="decimal"/>
      <w:lvlText w:val=""/>
      <w:lvlJc w:val="left"/>
    </w:lvl>
    <w:lvl w:ilvl="4" w:tplc="C254BD10">
      <w:numFmt w:val="decimal"/>
      <w:lvlText w:val=""/>
      <w:lvlJc w:val="left"/>
    </w:lvl>
    <w:lvl w:ilvl="5" w:tplc="9508B99C">
      <w:numFmt w:val="decimal"/>
      <w:lvlText w:val=""/>
      <w:lvlJc w:val="left"/>
    </w:lvl>
    <w:lvl w:ilvl="6" w:tplc="289AF182">
      <w:numFmt w:val="decimal"/>
      <w:lvlText w:val=""/>
      <w:lvlJc w:val="left"/>
    </w:lvl>
    <w:lvl w:ilvl="7" w:tplc="94EA67B2">
      <w:numFmt w:val="decimal"/>
      <w:lvlText w:val=""/>
      <w:lvlJc w:val="left"/>
    </w:lvl>
    <w:lvl w:ilvl="8" w:tplc="79D2D184">
      <w:numFmt w:val="decimal"/>
      <w:lvlText w:val=""/>
      <w:lvlJc w:val="left"/>
    </w:lvl>
  </w:abstractNum>
  <w:abstractNum w:abstractNumId="91" w15:restartNumberingAfterBreak="0">
    <w:nsid w:val="09024D8B"/>
    <w:multiLevelType w:val="hybridMultilevel"/>
    <w:tmpl w:val="2AC89C9A"/>
    <w:lvl w:ilvl="0" w:tplc="3EF25180">
      <w:start w:val="1"/>
      <w:numFmt w:val="bullet"/>
      <w:lvlText w:val=""/>
      <w:lvlJc w:val="left"/>
      <w:pPr>
        <w:ind w:left="720" w:hanging="180"/>
      </w:pPr>
      <w:rPr>
        <w:rFonts w:ascii="Symbol" w:hAnsi="Symbol" w:hint="default"/>
      </w:rPr>
    </w:lvl>
    <w:lvl w:ilvl="1" w:tplc="1FA8E766">
      <w:numFmt w:val="decimal"/>
      <w:lvlText w:val=""/>
      <w:lvlJc w:val="left"/>
    </w:lvl>
    <w:lvl w:ilvl="2" w:tplc="B4FC9E0E">
      <w:numFmt w:val="decimal"/>
      <w:lvlText w:val=""/>
      <w:lvlJc w:val="left"/>
    </w:lvl>
    <w:lvl w:ilvl="3" w:tplc="2E7C9688">
      <w:numFmt w:val="decimal"/>
      <w:lvlText w:val=""/>
      <w:lvlJc w:val="left"/>
    </w:lvl>
    <w:lvl w:ilvl="4" w:tplc="850237F8">
      <w:numFmt w:val="decimal"/>
      <w:lvlText w:val=""/>
      <w:lvlJc w:val="left"/>
    </w:lvl>
    <w:lvl w:ilvl="5" w:tplc="9ADC8954">
      <w:numFmt w:val="decimal"/>
      <w:lvlText w:val=""/>
      <w:lvlJc w:val="left"/>
    </w:lvl>
    <w:lvl w:ilvl="6" w:tplc="C9DA523A">
      <w:numFmt w:val="decimal"/>
      <w:lvlText w:val=""/>
      <w:lvlJc w:val="left"/>
    </w:lvl>
    <w:lvl w:ilvl="7" w:tplc="F20AEE9E">
      <w:numFmt w:val="decimal"/>
      <w:lvlText w:val=""/>
      <w:lvlJc w:val="left"/>
    </w:lvl>
    <w:lvl w:ilvl="8" w:tplc="A81227F2">
      <w:numFmt w:val="decimal"/>
      <w:lvlText w:val=""/>
      <w:lvlJc w:val="left"/>
    </w:lvl>
  </w:abstractNum>
  <w:abstractNum w:abstractNumId="92" w15:restartNumberingAfterBreak="0">
    <w:nsid w:val="09040C49"/>
    <w:multiLevelType w:val="hybridMultilevel"/>
    <w:tmpl w:val="16CC1606"/>
    <w:lvl w:ilvl="0" w:tplc="52ECA65E">
      <w:start w:val="1"/>
      <w:numFmt w:val="bullet"/>
      <w:lvlText w:val=""/>
      <w:lvlJc w:val="left"/>
      <w:pPr>
        <w:ind w:left="720" w:hanging="180"/>
      </w:pPr>
      <w:rPr>
        <w:rFonts w:ascii="Symbol" w:hAnsi="Symbol" w:hint="default"/>
      </w:rPr>
    </w:lvl>
    <w:lvl w:ilvl="1" w:tplc="E81E8A96">
      <w:numFmt w:val="decimal"/>
      <w:lvlText w:val=""/>
      <w:lvlJc w:val="left"/>
    </w:lvl>
    <w:lvl w:ilvl="2" w:tplc="06F4FC2A">
      <w:numFmt w:val="decimal"/>
      <w:lvlText w:val=""/>
      <w:lvlJc w:val="left"/>
    </w:lvl>
    <w:lvl w:ilvl="3" w:tplc="996098CE">
      <w:numFmt w:val="decimal"/>
      <w:lvlText w:val=""/>
      <w:lvlJc w:val="left"/>
    </w:lvl>
    <w:lvl w:ilvl="4" w:tplc="807A6D28">
      <w:numFmt w:val="decimal"/>
      <w:lvlText w:val=""/>
      <w:lvlJc w:val="left"/>
    </w:lvl>
    <w:lvl w:ilvl="5" w:tplc="FC18BF50">
      <w:numFmt w:val="decimal"/>
      <w:lvlText w:val=""/>
      <w:lvlJc w:val="left"/>
    </w:lvl>
    <w:lvl w:ilvl="6" w:tplc="07F0D14A">
      <w:numFmt w:val="decimal"/>
      <w:lvlText w:val=""/>
      <w:lvlJc w:val="left"/>
    </w:lvl>
    <w:lvl w:ilvl="7" w:tplc="B712D5DC">
      <w:numFmt w:val="decimal"/>
      <w:lvlText w:val=""/>
      <w:lvlJc w:val="left"/>
    </w:lvl>
    <w:lvl w:ilvl="8" w:tplc="E5E4F072">
      <w:numFmt w:val="decimal"/>
      <w:lvlText w:val=""/>
      <w:lvlJc w:val="left"/>
    </w:lvl>
  </w:abstractNum>
  <w:abstractNum w:abstractNumId="93" w15:restartNumberingAfterBreak="0">
    <w:nsid w:val="09065E76"/>
    <w:multiLevelType w:val="hybridMultilevel"/>
    <w:tmpl w:val="340ABFAE"/>
    <w:lvl w:ilvl="0" w:tplc="0ACEC680">
      <w:start w:val="1"/>
      <w:numFmt w:val="bullet"/>
      <w:lvlText w:val=""/>
      <w:lvlJc w:val="left"/>
      <w:pPr>
        <w:ind w:left="720" w:hanging="180"/>
      </w:pPr>
      <w:rPr>
        <w:rFonts w:ascii="Symbol" w:hAnsi="Symbol" w:hint="default"/>
      </w:rPr>
    </w:lvl>
    <w:lvl w:ilvl="1" w:tplc="BA1C7EBC">
      <w:numFmt w:val="decimal"/>
      <w:lvlText w:val=""/>
      <w:lvlJc w:val="left"/>
    </w:lvl>
    <w:lvl w:ilvl="2" w:tplc="5BE24FA0">
      <w:numFmt w:val="decimal"/>
      <w:lvlText w:val=""/>
      <w:lvlJc w:val="left"/>
    </w:lvl>
    <w:lvl w:ilvl="3" w:tplc="20F0E762">
      <w:numFmt w:val="decimal"/>
      <w:lvlText w:val=""/>
      <w:lvlJc w:val="left"/>
    </w:lvl>
    <w:lvl w:ilvl="4" w:tplc="4E6CFB6A">
      <w:numFmt w:val="decimal"/>
      <w:lvlText w:val=""/>
      <w:lvlJc w:val="left"/>
    </w:lvl>
    <w:lvl w:ilvl="5" w:tplc="B73AADFE">
      <w:numFmt w:val="decimal"/>
      <w:lvlText w:val=""/>
      <w:lvlJc w:val="left"/>
    </w:lvl>
    <w:lvl w:ilvl="6" w:tplc="57F825CA">
      <w:numFmt w:val="decimal"/>
      <w:lvlText w:val=""/>
      <w:lvlJc w:val="left"/>
    </w:lvl>
    <w:lvl w:ilvl="7" w:tplc="F97CD544">
      <w:numFmt w:val="decimal"/>
      <w:lvlText w:val=""/>
      <w:lvlJc w:val="left"/>
    </w:lvl>
    <w:lvl w:ilvl="8" w:tplc="40CC20AA">
      <w:numFmt w:val="decimal"/>
      <w:lvlText w:val=""/>
      <w:lvlJc w:val="left"/>
    </w:lvl>
  </w:abstractNum>
  <w:abstractNum w:abstractNumId="94" w15:restartNumberingAfterBreak="0">
    <w:nsid w:val="091645D3"/>
    <w:multiLevelType w:val="hybridMultilevel"/>
    <w:tmpl w:val="E4F2C16C"/>
    <w:lvl w:ilvl="0" w:tplc="F7F64678">
      <w:start w:val="1"/>
      <w:numFmt w:val="bullet"/>
      <w:lvlText w:val=""/>
      <w:lvlJc w:val="left"/>
      <w:pPr>
        <w:ind w:left="720" w:hanging="180"/>
      </w:pPr>
      <w:rPr>
        <w:rFonts w:ascii="Symbol" w:hAnsi="Symbol" w:hint="default"/>
      </w:rPr>
    </w:lvl>
    <w:lvl w:ilvl="1" w:tplc="DF34525E">
      <w:numFmt w:val="decimal"/>
      <w:lvlText w:val=""/>
      <w:lvlJc w:val="left"/>
    </w:lvl>
    <w:lvl w:ilvl="2" w:tplc="74E6188E">
      <w:numFmt w:val="decimal"/>
      <w:lvlText w:val=""/>
      <w:lvlJc w:val="left"/>
    </w:lvl>
    <w:lvl w:ilvl="3" w:tplc="88E438D4">
      <w:numFmt w:val="decimal"/>
      <w:lvlText w:val=""/>
      <w:lvlJc w:val="left"/>
    </w:lvl>
    <w:lvl w:ilvl="4" w:tplc="792052EE">
      <w:numFmt w:val="decimal"/>
      <w:lvlText w:val=""/>
      <w:lvlJc w:val="left"/>
    </w:lvl>
    <w:lvl w:ilvl="5" w:tplc="D6668E16">
      <w:numFmt w:val="decimal"/>
      <w:lvlText w:val=""/>
      <w:lvlJc w:val="left"/>
    </w:lvl>
    <w:lvl w:ilvl="6" w:tplc="63785EEA">
      <w:numFmt w:val="decimal"/>
      <w:lvlText w:val=""/>
      <w:lvlJc w:val="left"/>
    </w:lvl>
    <w:lvl w:ilvl="7" w:tplc="92B844D0">
      <w:numFmt w:val="decimal"/>
      <w:lvlText w:val=""/>
      <w:lvlJc w:val="left"/>
    </w:lvl>
    <w:lvl w:ilvl="8" w:tplc="3146A5BC">
      <w:numFmt w:val="decimal"/>
      <w:lvlText w:val=""/>
      <w:lvlJc w:val="left"/>
    </w:lvl>
  </w:abstractNum>
  <w:abstractNum w:abstractNumId="95" w15:restartNumberingAfterBreak="0">
    <w:nsid w:val="093A2972"/>
    <w:multiLevelType w:val="hybridMultilevel"/>
    <w:tmpl w:val="8A70729A"/>
    <w:lvl w:ilvl="0" w:tplc="FF32C488">
      <w:start w:val="1"/>
      <w:numFmt w:val="bullet"/>
      <w:lvlText w:val=""/>
      <w:lvlJc w:val="left"/>
      <w:pPr>
        <w:ind w:left="720" w:hanging="180"/>
      </w:pPr>
      <w:rPr>
        <w:rFonts w:ascii="Symbol" w:hAnsi="Symbol" w:hint="default"/>
      </w:rPr>
    </w:lvl>
    <w:lvl w:ilvl="1" w:tplc="1C822200">
      <w:numFmt w:val="decimal"/>
      <w:lvlText w:val=""/>
      <w:lvlJc w:val="left"/>
    </w:lvl>
    <w:lvl w:ilvl="2" w:tplc="D8DE474C">
      <w:numFmt w:val="decimal"/>
      <w:lvlText w:val=""/>
      <w:lvlJc w:val="left"/>
    </w:lvl>
    <w:lvl w:ilvl="3" w:tplc="8E2CCA68">
      <w:numFmt w:val="decimal"/>
      <w:lvlText w:val=""/>
      <w:lvlJc w:val="left"/>
    </w:lvl>
    <w:lvl w:ilvl="4" w:tplc="77100EFE">
      <w:numFmt w:val="decimal"/>
      <w:lvlText w:val=""/>
      <w:lvlJc w:val="left"/>
    </w:lvl>
    <w:lvl w:ilvl="5" w:tplc="6BF63ACC">
      <w:numFmt w:val="decimal"/>
      <w:lvlText w:val=""/>
      <w:lvlJc w:val="left"/>
    </w:lvl>
    <w:lvl w:ilvl="6" w:tplc="0A2A67FA">
      <w:numFmt w:val="decimal"/>
      <w:lvlText w:val=""/>
      <w:lvlJc w:val="left"/>
    </w:lvl>
    <w:lvl w:ilvl="7" w:tplc="4A8E80D2">
      <w:numFmt w:val="decimal"/>
      <w:lvlText w:val=""/>
      <w:lvlJc w:val="left"/>
    </w:lvl>
    <w:lvl w:ilvl="8" w:tplc="89D2ABC4">
      <w:numFmt w:val="decimal"/>
      <w:lvlText w:val=""/>
      <w:lvlJc w:val="left"/>
    </w:lvl>
  </w:abstractNum>
  <w:abstractNum w:abstractNumId="96" w15:restartNumberingAfterBreak="0">
    <w:nsid w:val="0952506E"/>
    <w:multiLevelType w:val="hybridMultilevel"/>
    <w:tmpl w:val="B17ED948"/>
    <w:lvl w:ilvl="0" w:tplc="4816DFC0">
      <w:start w:val="1"/>
      <w:numFmt w:val="bullet"/>
      <w:lvlText w:val=""/>
      <w:lvlJc w:val="left"/>
      <w:pPr>
        <w:ind w:left="720" w:hanging="180"/>
      </w:pPr>
      <w:rPr>
        <w:rFonts w:ascii="Symbol" w:hAnsi="Symbol" w:hint="default"/>
      </w:rPr>
    </w:lvl>
    <w:lvl w:ilvl="1" w:tplc="6696EFF2">
      <w:numFmt w:val="decimal"/>
      <w:lvlText w:val=""/>
      <w:lvlJc w:val="left"/>
    </w:lvl>
    <w:lvl w:ilvl="2" w:tplc="DBE205E6">
      <w:numFmt w:val="decimal"/>
      <w:lvlText w:val=""/>
      <w:lvlJc w:val="left"/>
    </w:lvl>
    <w:lvl w:ilvl="3" w:tplc="B790ABC2">
      <w:numFmt w:val="decimal"/>
      <w:lvlText w:val=""/>
      <w:lvlJc w:val="left"/>
    </w:lvl>
    <w:lvl w:ilvl="4" w:tplc="C09EDFCC">
      <w:numFmt w:val="decimal"/>
      <w:lvlText w:val=""/>
      <w:lvlJc w:val="left"/>
    </w:lvl>
    <w:lvl w:ilvl="5" w:tplc="3B6E3C6A">
      <w:numFmt w:val="decimal"/>
      <w:lvlText w:val=""/>
      <w:lvlJc w:val="left"/>
    </w:lvl>
    <w:lvl w:ilvl="6" w:tplc="2BAEFFAA">
      <w:numFmt w:val="decimal"/>
      <w:lvlText w:val=""/>
      <w:lvlJc w:val="left"/>
    </w:lvl>
    <w:lvl w:ilvl="7" w:tplc="B9208838">
      <w:numFmt w:val="decimal"/>
      <w:lvlText w:val=""/>
      <w:lvlJc w:val="left"/>
    </w:lvl>
    <w:lvl w:ilvl="8" w:tplc="45A413C4">
      <w:numFmt w:val="decimal"/>
      <w:lvlText w:val=""/>
      <w:lvlJc w:val="left"/>
    </w:lvl>
  </w:abstractNum>
  <w:abstractNum w:abstractNumId="97" w15:restartNumberingAfterBreak="0">
    <w:nsid w:val="09634B24"/>
    <w:multiLevelType w:val="hybridMultilevel"/>
    <w:tmpl w:val="D25E1F6C"/>
    <w:lvl w:ilvl="0" w:tplc="C226AF1C">
      <w:start w:val="1"/>
      <w:numFmt w:val="bullet"/>
      <w:lvlText w:val=""/>
      <w:lvlJc w:val="left"/>
      <w:pPr>
        <w:ind w:left="720" w:hanging="180"/>
      </w:pPr>
      <w:rPr>
        <w:rFonts w:ascii="Symbol" w:hAnsi="Symbol" w:hint="default"/>
      </w:rPr>
    </w:lvl>
    <w:lvl w:ilvl="1" w:tplc="399C7F8A">
      <w:numFmt w:val="decimal"/>
      <w:lvlText w:val=""/>
      <w:lvlJc w:val="left"/>
    </w:lvl>
    <w:lvl w:ilvl="2" w:tplc="5C22F49A">
      <w:numFmt w:val="decimal"/>
      <w:lvlText w:val=""/>
      <w:lvlJc w:val="left"/>
    </w:lvl>
    <w:lvl w:ilvl="3" w:tplc="3DBA640C">
      <w:numFmt w:val="decimal"/>
      <w:lvlText w:val=""/>
      <w:lvlJc w:val="left"/>
    </w:lvl>
    <w:lvl w:ilvl="4" w:tplc="B41C336C">
      <w:numFmt w:val="decimal"/>
      <w:lvlText w:val=""/>
      <w:lvlJc w:val="left"/>
    </w:lvl>
    <w:lvl w:ilvl="5" w:tplc="0BEA5FE8">
      <w:numFmt w:val="decimal"/>
      <w:lvlText w:val=""/>
      <w:lvlJc w:val="left"/>
    </w:lvl>
    <w:lvl w:ilvl="6" w:tplc="C5108DDC">
      <w:numFmt w:val="decimal"/>
      <w:lvlText w:val=""/>
      <w:lvlJc w:val="left"/>
    </w:lvl>
    <w:lvl w:ilvl="7" w:tplc="DDEC4182">
      <w:numFmt w:val="decimal"/>
      <w:lvlText w:val=""/>
      <w:lvlJc w:val="left"/>
    </w:lvl>
    <w:lvl w:ilvl="8" w:tplc="6560907A">
      <w:numFmt w:val="decimal"/>
      <w:lvlText w:val=""/>
      <w:lvlJc w:val="left"/>
    </w:lvl>
  </w:abstractNum>
  <w:abstractNum w:abstractNumId="98" w15:restartNumberingAfterBreak="0">
    <w:nsid w:val="097328CF"/>
    <w:multiLevelType w:val="hybridMultilevel"/>
    <w:tmpl w:val="B512F5D0"/>
    <w:lvl w:ilvl="0" w:tplc="CEF2CA92">
      <w:start w:val="1"/>
      <w:numFmt w:val="bullet"/>
      <w:lvlText w:val=""/>
      <w:lvlJc w:val="left"/>
      <w:pPr>
        <w:ind w:left="720" w:hanging="180"/>
      </w:pPr>
      <w:rPr>
        <w:rFonts w:ascii="Symbol" w:hAnsi="Symbol" w:hint="default"/>
      </w:rPr>
    </w:lvl>
    <w:lvl w:ilvl="1" w:tplc="F0E415AE">
      <w:numFmt w:val="decimal"/>
      <w:lvlText w:val=""/>
      <w:lvlJc w:val="left"/>
    </w:lvl>
    <w:lvl w:ilvl="2" w:tplc="1FA8D060">
      <w:numFmt w:val="decimal"/>
      <w:lvlText w:val=""/>
      <w:lvlJc w:val="left"/>
    </w:lvl>
    <w:lvl w:ilvl="3" w:tplc="8DF8F9CC">
      <w:numFmt w:val="decimal"/>
      <w:lvlText w:val=""/>
      <w:lvlJc w:val="left"/>
    </w:lvl>
    <w:lvl w:ilvl="4" w:tplc="89CA9392">
      <w:numFmt w:val="decimal"/>
      <w:lvlText w:val=""/>
      <w:lvlJc w:val="left"/>
    </w:lvl>
    <w:lvl w:ilvl="5" w:tplc="BA969298">
      <w:numFmt w:val="decimal"/>
      <w:lvlText w:val=""/>
      <w:lvlJc w:val="left"/>
    </w:lvl>
    <w:lvl w:ilvl="6" w:tplc="607E3E0E">
      <w:numFmt w:val="decimal"/>
      <w:lvlText w:val=""/>
      <w:lvlJc w:val="left"/>
    </w:lvl>
    <w:lvl w:ilvl="7" w:tplc="06F2B1CC">
      <w:numFmt w:val="decimal"/>
      <w:lvlText w:val=""/>
      <w:lvlJc w:val="left"/>
    </w:lvl>
    <w:lvl w:ilvl="8" w:tplc="80E2F3AC">
      <w:numFmt w:val="decimal"/>
      <w:lvlText w:val=""/>
      <w:lvlJc w:val="left"/>
    </w:lvl>
  </w:abstractNum>
  <w:abstractNum w:abstractNumId="99" w15:restartNumberingAfterBreak="0">
    <w:nsid w:val="097D24F7"/>
    <w:multiLevelType w:val="hybridMultilevel"/>
    <w:tmpl w:val="9F563016"/>
    <w:lvl w:ilvl="0" w:tplc="04CAF8F4">
      <w:start w:val="1"/>
      <w:numFmt w:val="bullet"/>
      <w:lvlText w:val=""/>
      <w:lvlJc w:val="left"/>
      <w:pPr>
        <w:ind w:left="720" w:hanging="180"/>
      </w:pPr>
      <w:rPr>
        <w:rFonts w:ascii="Symbol" w:hAnsi="Symbol" w:hint="default"/>
      </w:rPr>
    </w:lvl>
    <w:lvl w:ilvl="1" w:tplc="3298497A">
      <w:numFmt w:val="decimal"/>
      <w:lvlText w:val=""/>
      <w:lvlJc w:val="left"/>
    </w:lvl>
    <w:lvl w:ilvl="2" w:tplc="2FA8A192">
      <w:numFmt w:val="decimal"/>
      <w:lvlText w:val=""/>
      <w:lvlJc w:val="left"/>
    </w:lvl>
    <w:lvl w:ilvl="3" w:tplc="C7EEAB32">
      <w:numFmt w:val="decimal"/>
      <w:lvlText w:val=""/>
      <w:lvlJc w:val="left"/>
    </w:lvl>
    <w:lvl w:ilvl="4" w:tplc="45DA3B26">
      <w:numFmt w:val="decimal"/>
      <w:lvlText w:val=""/>
      <w:lvlJc w:val="left"/>
    </w:lvl>
    <w:lvl w:ilvl="5" w:tplc="9DEAB85E">
      <w:numFmt w:val="decimal"/>
      <w:lvlText w:val=""/>
      <w:lvlJc w:val="left"/>
    </w:lvl>
    <w:lvl w:ilvl="6" w:tplc="9CC4B3EE">
      <w:numFmt w:val="decimal"/>
      <w:lvlText w:val=""/>
      <w:lvlJc w:val="left"/>
    </w:lvl>
    <w:lvl w:ilvl="7" w:tplc="573885D2">
      <w:numFmt w:val="decimal"/>
      <w:lvlText w:val=""/>
      <w:lvlJc w:val="left"/>
    </w:lvl>
    <w:lvl w:ilvl="8" w:tplc="5FA49252">
      <w:numFmt w:val="decimal"/>
      <w:lvlText w:val=""/>
      <w:lvlJc w:val="left"/>
    </w:lvl>
  </w:abstractNum>
  <w:abstractNum w:abstractNumId="100" w15:restartNumberingAfterBreak="0">
    <w:nsid w:val="098974F9"/>
    <w:multiLevelType w:val="hybridMultilevel"/>
    <w:tmpl w:val="944254EC"/>
    <w:lvl w:ilvl="0" w:tplc="42481298">
      <w:start w:val="1"/>
      <w:numFmt w:val="bullet"/>
      <w:lvlText w:val=""/>
      <w:lvlJc w:val="left"/>
      <w:pPr>
        <w:ind w:left="720" w:hanging="180"/>
      </w:pPr>
      <w:rPr>
        <w:rFonts w:ascii="Symbol" w:hAnsi="Symbol" w:hint="default"/>
      </w:rPr>
    </w:lvl>
    <w:lvl w:ilvl="1" w:tplc="C9204C50">
      <w:numFmt w:val="decimal"/>
      <w:lvlText w:val=""/>
      <w:lvlJc w:val="left"/>
    </w:lvl>
    <w:lvl w:ilvl="2" w:tplc="11706016">
      <w:numFmt w:val="decimal"/>
      <w:lvlText w:val=""/>
      <w:lvlJc w:val="left"/>
    </w:lvl>
    <w:lvl w:ilvl="3" w:tplc="8416B25A">
      <w:numFmt w:val="decimal"/>
      <w:lvlText w:val=""/>
      <w:lvlJc w:val="left"/>
    </w:lvl>
    <w:lvl w:ilvl="4" w:tplc="9C364CE8">
      <w:numFmt w:val="decimal"/>
      <w:lvlText w:val=""/>
      <w:lvlJc w:val="left"/>
    </w:lvl>
    <w:lvl w:ilvl="5" w:tplc="E036381A">
      <w:numFmt w:val="decimal"/>
      <w:lvlText w:val=""/>
      <w:lvlJc w:val="left"/>
    </w:lvl>
    <w:lvl w:ilvl="6" w:tplc="AAB67CE6">
      <w:numFmt w:val="decimal"/>
      <w:lvlText w:val=""/>
      <w:lvlJc w:val="left"/>
    </w:lvl>
    <w:lvl w:ilvl="7" w:tplc="28E2C856">
      <w:numFmt w:val="decimal"/>
      <w:lvlText w:val=""/>
      <w:lvlJc w:val="left"/>
    </w:lvl>
    <w:lvl w:ilvl="8" w:tplc="0472FF3E">
      <w:numFmt w:val="decimal"/>
      <w:lvlText w:val=""/>
      <w:lvlJc w:val="left"/>
    </w:lvl>
  </w:abstractNum>
  <w:abstractNum w:abstractNumId="101" w15:restartNumberingAfterBreak="0">
    <w:nsid w:val="099B30B2"/>
    <w:multiLevelType w:val="hybridMultilevel"/>
    <w:tmpl w:val="D27A168E"/>
    <w:lvl w:ilvl="0" w:tplc="B05A0C34">
      <w:start w:val="1"/>
      <w:numFmt w:val="bullet"/>
      <w:lvlText w:val=""/>
      <w:lvlJc w:val="left"/>
      <w:pPr>
        <w:ind w:left="720" w:hanging="180"/>
      </w:pPr>
      <w:rPr>
        <w:rFonts w:ascii="Symbol" w:hAnsi="Symbol" w:hint="default"/>
      </w:rPr>
    </w:lvl>
    <w:lvl w:ilvl="1" w:tplc="61625D06">
      <w:numFmt w:val="decimal"/>
      <w:lvlText w:val=""/>
      <w:lvlJc w:val="left"/>
    </w:lvl>
    <w:lvl w:ilvl="2" w:tplc="2200CEC4">
      <w:numFmt w:val="decimal"/>
      <w:lvlText w:val=""/>
      <w:lvlJc w:val="left"/>
    </w:lvl>
    <w:lvl w:ilvl="3" w:tplc="B95CA964">
      <w:numFmt w:val="decimal"/>
      <w:lvlText w:val=""/>
      <w:lvlJc w:val="left"/>
    </w:lvl>
    <w:lvl w:ilvl="4" w:tplc="0F7674A4">
      <w:numFmt w:val="decimal"/>
      <w:lvlText w:val=""/>
      <w:lvlJc w:val="left"/>
    </w:lvl>
    <w:lvl w:ilvl="5" w:tplc="1604018A">
      <w:numFmt w:val="decimal"/>
      <w:lvlText w:val=""/>
      <w:lvlJc w:val="left"/>
    </w:lvl>
    <w:lvl w:ilvl="6" w:tplc="7188E7E6">
      <w:numFmt w:val="decimal"/>
      <w:lvlText w:val=""/>
      <w:lvlJc w:val="left"/>
    </w:lvl>
    <w:lvl w:ilvl="7" w:tplc="F8104990">
      <w:numFmt w:val="decimal"/>
      <w:lvlText w:val=""/>
      <w:lvlJc w:val="left"/>
    </w:lvl>
    <w:lvl w:ilvl="8" w:tplc="B0949F96">
      <w:numFmt w:val="decimal"/>
      <w:lvlText w:val=""/>
      <w:lvlJc w:val="left"/>
    </w:lvl>
  </w:abstractNum>
  <w:abstractNum w:abstractNumId="102" w15:restartNumberingAfterBreak="0">
    <w:nsid w:val="09B4753A"/>
    <w:multiLevelType w:val="hybridMultilevel"/>
    <w:tmpl w:val="E0AA84C4"/>
    <w:lvl w:ilvl="0" w:tplc="D500ECBE">
      <w:start w:val="1"/>
      <w:numFmt w:val="bullet"/>
      <w:lvlText w:val=""/>
      <w:lvlJc w:val="left"/>
      <w:pPr>
        <w:ind w:left="720" w:hanging="180"/>
      </w:pPr>
      <w:rPr>
        <w:rFonts w:ascii="Symbol" w:hAnsi="Symbol" w:hint="default"/>
      </w:rPr>
    </w:lvl>
    <w:lvl w:ilvl="1" w:tplc="B93018E6">
      <w:numFmt w:val="decimal"/>
      <w:lvlText w:val=""/>
      <w:lvlJc w:val="left"/>
    </w:lvl>
    <w:lvl w:ilvl="2" w:tplc="AC420008">
      <w:numFmt w:val="decimal"/>
      <w:lvlText w:val=""/>
      <w:lvlJc w:val="left"/>
    </w:lvl>
    <w:lvl w:ilvl="3" w:tplc="A5343026">
      <w:numFmt w:val="decimal"/>
      <w:lvlText w:val=""/>
      <w:lvlJc w:val="left"/>
    </w:lvl>
    <w:lvl w:ilvl="4" w:tplc="81C4BBB0">
      <w:numFmt w:val="decimal"/>
      <w:lvlText w:val=""/>
      <w:lvlJc w:val="left"/>
    </w:lvl>
    <w:lvl w:ilvl="5" w:tplc="C4A4601C">
      <w:numFmt w:val="decimal"/>
      <w:lvlText w:val=""/>
      <w:lvlJc w:val="left"/>
    </w:lvl>
    <w:lvl w:ilvl="6" w:tplc="740EBB24">
      <w:numFmt w:val="decimal"/>
      <w:lvlText w:val=""/>
      <w:lvlJc w:val="left"/>
    </w:lvl>
    <w:lvl w:ilvl="7" w:tplc="C4F81A54">
      <w:numFmt w:val="decimal"/>
      <w:lvlText w:val=""/>
      <w:lvlJc w:val="left"/>
    </w:lvl>
    <w:lvl w:ilvl="8" w:tplc="637E4BD6">
      <w:numFmt w:val="decimal"/>
      <w:lvlText w:val=""/>
      <w:lvlJc w:val="left"/>
    </w:lvl>
  </w:abstractNum>
  <w:abstractNum w:abstractNumId="103" w15:restartNumberingAfterBreak="0">
    <w:nsid w:val="09B800B2"/>
    <w:multiLevelType w:val="hybridMultilevel"/>
    <w:tmpl w:val="B6DE04DC"/>
    <w:lvl w:ilvl="0" w:tplc="AA309E96">
      <w:start w:val="1"/>
      <w:numFmt w:val="bullet"/>
      <w:lvlText w:val=""/>
      <w:lvlJc w:val="left"/>
      <w:pPr>
        <w:ind w:left="720" w:hanging="180"/>
      </w:pPr>
      <w:rPr>
        <w:rFonts w:ascii="Symbol" w:hAnsi="Symbol" w:hint="default"/>
      </w:rPr>
    </w:lvl>
    <w:lvl w:ilvl="1" w:tplc="4B80FBDE">
      <w:numFmt w:val="decimal"/>
      <w:lvlText w:val=""/>
      <w:lvlJc w:val="left"/>
    </w:lvl>
    <w:lvl w:ilvl="2" w:tplc="3E5806EE">
      <w:numFmt w:val="decimal"/>
      <w:lvlText w:val=""/>
      <w:lvlJc w:val="left"/>
    </w:lvl>
    <w:lvl w:ilvl="3" w:tplc="148C9BCC">
      <w:numFmt w:val="decimal"/>
      <w:lvlText w:val=""/>
      <w:lvlJc w:val="left"/>
    </w:lvl>
    <w:lvl w:ilvl="4" w:tplc="773CD116">
      <w:numFmt w:val="decimal"/>
      <w:lvlText w:val=""/>
      <w:lvlJc w:val="left"/>
    </w:lvl>
    <w:lvl w:ilvl="5" w:tplc="E794A2BC">
      <w:numFmt w:val="decimal"/>
      <w:lvlText w:val=""/>
      <w:lvlJc w:val="left"/>
    </w:lvl>
    <w:lvl w:ilvl="6" w:tplc="B3684FA4">
      <w:numFmt w:val="decimal"/>
      <w:lvlText w:val=""/>
      <w:lvlJc w:val="left"/>
    </w:lvl>
    <w:lvl w:ilvl="7" w:tplc="A0B6D65E">
      <w:numFmt w:val="decimal"/>
      <w:lvlText w:val=""/>
      <w:lvlJc w:val="left"/>
    </w:lvl>
    <w:lvl w:ilvl="8" w:tplc="7E6C54DE">
      <w:numFmt w:val="decimal"/>
      <w:lvlText w:val=""/>
      <w:lvlJc w:val="left"/>
    </w:lvl>
  </w:abstractNum>
  <w:abstractNum w:abstractNumId="104" w15:restartNumberingAfterBreak="0">
    <w:nsid w:val="09FF2992"/>
    <w:multiLevelType w:val="hybridMultilevel"/>
    <w:tmpl w:val="F404CC2E"/>
    <w:lvl w:ilvl="0" w:tplc="BCAED192">
      <w:start w:val="1"/>
      <w:numFmt w:val="bullet"/>
      <w:lvlText w:val=""/>
      <w:lvlJc w:val="left"/>
      <w:pPr>
        <w:ind w:left="720" w:hanging="180"/>
      </w:pPr>
      <w:rPr>
        <w:rFonts w:ascii="Symbol" w:hAnsi="Symbol" w:hint="default"/>
      </w:rPr>
    </w:lvl>
    <w:lvl w:ilvl="1" w:tplc="69FA391C">
      <w:numFmt w:val="decimal"/>
      <w:lvlText w:val=""/>
      <w:lvlJc w:val="left"/>
    </w:lvl>
    <w:lvl w:ilvl="2" w:tplc="5268D6D0">
      <w:numFmt w:val="decimal"/>
      <w:lvlText w:val=""/>
      <w:lvlJc w:val="left"/>
    </w:lvl>
    <w:lvl w:ilvl="3" w:tplc="788048BA">
      <w:numFmt w:val="decimal"/>
      <w:lvlText w:val=""/>
      <w:lvlJc w:val="left"/>
    </w:lvl>
    <w:lvl w:ilvl="4" w:tplc="7F7C2A4A">
      <w:numFmt w:val="decimal"/>
      <w:lvlText w:val=""/>
      <w:lvlJc w:val="left"/>
    </w:lvl>
    <w:lvl w:ilvl="5" w:tplc="D038720C">
      <w:numFmt w:val="decimal"/>
      <w:lvlText w:val=""/>
      <w:lvlJc w:val="left"/>
    </w:lvl>
    <w:lvl w:ilvl="6" w:tplc="BE40353A">
      <w:numFmt w:val="decimal"/>
      <w:lvlText w:val=""/>
      <w:lvlJc w:val="left"/>
    </w:lvl>
    <w:lvl w:ilvl="7" w:tplc="68B2EF30">
      <w:numFmt w:val="decimal"/>
      <w:lvlText w:val=""/>
      <w:lvlJc w:val="left"/>
    </w:lvl>
    <w:lvl w:ilvl="8" w:tplc="BD3402B6">
      <w:numFmt w:val="decimal"/>
      <w:lvlText w:val=""/>
      <w:lvlJc w:val="left"/>
    </w:lvl>
  </w:abstractNum>
  <w:abstractNum w:abstractNumId="105" w15:restartNumberingAfterBreak="0">
    <w:nsid w:val="0A547755"/>
    <w:multiLevelType w:val="hybridMultilevel"/>
    <w:tmpl w:val="7BB41F36"/>
    <w:lvl w:ilvl="0" w:tplc="B0FE6F44">
      <w:start w:val="1"/>
      <w:numFmt w:val="bullet"/>
      <w:lvlText w:val=""/>
      <w:lvlJc w:val="left"/>
      <w:pPr>
        <w:ind w:left="720" w:hanging="180"/>
      </w:pPr>
      <w:rPr>
        <w:rFonts w:ascii="Symbol" w:hAnsi="Symbol" w:hint="default"/>
      </w:rPr>
    </w:lvl>
    <w:lvl w:ilvl="1" w:tplc="FCA6FB7C">
      <w:numFmt w:val="decimal"/>
      <w:lvlText w:val=""/>
      <w:lvlJc w:val="left"/>
    </w:lvl>
    <w:lvl w:ilvl="2" w:tplc="63180EFC">
      <w:numFmt w:val="decimal"/>
      <w:lvlText w:val=""/>
      <w:lvlJc w:val="left"/>
    </w:lvl>
    <w:lvl w:ilvl="3" w:tplc="4336F1F2">
      <w:numFmt w:val="decimal"/>
      <w:lvlText w:val=""/>
      <w:lvlJc w:val="left"/>
    </w:lvl>
    <w:lvl w:ilvl="4" w:tplc="74D4665E">
      <w:numFmt w:val="decimal"/>
      <w:lvlText w:val=""/>
      <w:lvlJc w:val="left"/>
    </w:lvl>
    <w:lvl w:ilvl="5" w:tplc="BD9470AE">
      <w:numFmt w:val="decimal"/>
      <w:lvlText w:val=""/>
      <w:lvlJc w:val="left"/>
    </w:lvl>
    <w:lvl w:ilvl="6" w:tplc="2E18C6BC">
      <w:numFmt w:val="decimal"/>
      <w:lvlText w:val=""/>
      <w:lvlJc w:val="left"/>
    </w:lvl>
    <w:lvl w:ilvl="7" w:tplc="D1540590">
      <w:numFmt w:val="decimal"/>
      <w:lvlText w:val=""/>
      <w:lvlJc w:val="left"/>
    </w:lvl>
    <w:lvl w:ilvl="8" w:tplc="E2A6BF14">
      <w:numFmt w:val="decimal"/>
      <w:lvlText w:val=""/>
      <w:lvlJc w:val="left"/>
    </w:lvl>
  </w:abstractNum>
  <w:abstractNum w:abstractNumId="106" w15:restartNumberingAfterBreak="0">
    <w:nsid w:val="0A5F222A"/>
    <w:multiLevelType w:val="hybridMultilevel"/>
    <w:tmpl w:val="A4480C56"/>
    <w:lvl w:ilvl="0" w:tplc="7E6460DC">
      <w:start w:val="1"/>
      <w:numFmt w:val="bullet"/>
      <w:lvlText w:val=""/>
      <w:lvlJc w:val="left"/>
      <w:pPr>
        <w:ind w:left="720" w:hanging="180"/>
      </w:pPr>
      <w:rPr>
        <w:rFonts w:ascii="Symbol" w:hAnsi="Symbol" w:hint="default"/>
      </w:rPr>
    </w:lvl>
    <w:lvl w:ilvl="1" w:tplc="42A8741A">
      <w:numFmt w:val="decimal"/>
      <w:lvlText w:val=""/>
      <w:lvlJc w:val="left"/>
    </w:lvl>
    <w:lvl w:ilvl="2" w:tplc="87B6B26C">
      <w:numFmt w:val="decimal"/>
      <w:lvlText w:val=""/>
      <w:lvlJc w:val="left"/>
    </w:lvl>
    <w:lvl w:ilvl="3" w:tplc="6F044590">
      <w:numFmt w:val="decimal"/>
      <w:lvlText w:val=""/>
      <w:lvlJc w:val="left"/>
    </w:lvl>
    <w:lvl w:ilvl="4" w:tplc="23328348">
      <w:numFmt w:val="decimal"/>
      <w:lvlText w:val=""/>
      <w:lvlJc w:val="left"/>
    </w:lvl>
    <w:lvl w:ilvl="5" w:tplc="D0FE17EC">
      <w:numFmt w:val="decimal"/>
      <w:lvlText w:val=""/>
      <w:lvlJc w:val="left"/>
    </w:lvl>
    <w:lvl w:ilvl="6" w:tplc="347CF7AA">
      <w:numFmt w:val="decimal"/>
      <w:lvlText w:val=""/>
      <w:lvlJc w:val="left"/>
    </w:lvl>
    <w:lvl w:ilvl="7" w:tplc="D30E5C3E">
      <w:numFmt w:val="decimal"/>
      <w:lvlText w:val=""/>
      <w:lvlJc w:val="left"/>
    </w:lvl>
    <w:lvl w:ilvl="8" w:tplc="40706906">
      <w:numFmt w:val="decimal"/>
      <w:lvlText w:val=""/>
      <w:lvlJc w:val="left"/>
    </w:lvl>
  </w:abstractNum>
  <w:abstractNum w:abstractNumId="107" w15:restartNumberingAfterBreak="0">
    <w:nsid w:val="0A646174"/>
    <w:multiLevelType w:val="hybridMultilevel"/>
    <w:tmpl w:val="EB5244A4"/>
    <w:lvl w:ilvl="0" w:tplc="927C1AC2">
      <w:start w:val="1"/>
      <w:numFmt w:val="bullet"/>
      <w:lvlText w:val=""/>
      <w:lvlJc w:val="left"/>
      <w:pPr>
        <w:ind w:left="720" w:hanging="180"/>
      </w:pPr>
      <w:rPr>
        <w:rFonts w:ascii="Symbol" w:hAnsi="Symbol" w:hint="default"/>
      </w:rPr>
    </w:lvl>
    <w:lvl w:ilvl="1" w:tplc="F1EA3D92">
      <w:numFmt w:val="decimal"/>
      <w:lvlText w:val=""/>
      <w:lvlJc w:val="left"/>
    </w:lvl>
    <w:lvl w:ilvl="2" w:tplc="7ADE3C72">
      <w:numFmt w:val="decimal"/>
      <w:lvlText w:val=""/>
      <w:lvlJc w:val="left"/>
    </w:lvl>
    <w:lvl w:ilvl="3" w:tplc="2E06062E">
      <w:numFmt w:val="decimal"/>
      <w:lvlText w:val=""/>
      <w:lvlJc w:val="left"/>
    </w:lvl>
    <w:lvl w:ilvl="4" w:tplc="50B467A6">
      <w:numFmt w:val="decimal"/>
      <w:lvlText w:val=""/>
      <w:lvlJc w:val="left"/>
    </w:lvl>
    <w:lvl w:ilvl="5" w:tplc="A440A888">
      <w:numFmt w:val="decimal"/>
      <w:lvlText w:val=""/>
      <w:lvlJc w:val="left"/>
    </w:lvl>
    <w:lvl w:ilvl="6" w:tplc="0E8E992A">
      <w:numFmt w:val="decimal"/>
      <w:lvlText w:val=""/>
      <w:lvlJc w:val="left"/>
    </w:lvl>
    <w:lvl w:ilvl="7" w:tplc="7B68AE0C">
      <w:numFmt w:val="decimal"/>
      <w:lvlText w:val=""/>
      <w:lvlJc w:val="left"/>
    </w:lvl>
    <w:lvl w:ilvl="8" w:tplc="9D38E108">
      <w:numFmt w:val="decimal"/>
      <w:lvlText w:val=""/>
      <w:lvlJc w:val="left"/>
    </w:lvl>
  </w:abstractNum>
  <w:abstractNum w:abstractNumId="108" w15:restartNumberingAfterBreak="0">
    <w:nsid w:val="0A6B6161"/>
    <w:multiLevelType w:val="hybridMultilevel"/>
    <w:tmpl w:val="3E6C02CC"/>
    <w:lvl w:ilvl="0" w:tplc="BA62E5CE">
      <w:numFmt w:val="decimal"/>
      <w:lvlText w:val=""/>
      <w:lvlJc w:val="left"/>
    </w:lvl>
    <w:lvl w:ilvl="1" w:tplc="9AAE9EFC">
      <w:start w:val="1"/>
      <w:numFmt w:val="bullet"/>
      <w:lvlText w:val=""/>
      <w:lvlJc w:val="left"/>
      <w:pPr>
        <w:ind w:left="1440" w:hanging="180"/>
      </w:pPr>
      <w:rPr>
        <w:rFonts w:ascii="Symbol" w:hAnsi="Symbol" w:hint="default"/>
      </w:rPr>
    </w:lvl>
    <w:lvl w:ilvl="2" w:tplc="AC56131C">
      <w:numFmt w:val="decimal"/>
      <w:lvlText w:val=""/>
      <w:lvlJc w:val="left"/>
    </w:lvl>
    <w:lvl w:ilvl="3" w:tplc="9EF252EE">
      <w:numFmt w:val="decimal"/>
      <w:lvlText w:val=""/>
      <w:lvlJc w:val="left"/>
    </w:lvl>
    <w:lvl w:ilvl="4" w:tplc="E0745704">
      <w:numFmt w:val="decimal"/>
      <w:lvlText w:val=""/>
      <w:lvlJc w:val="left"/>
    </w:lvl>
    <w:lvl w:ilvl="5" w:tplc="9F7E5762">
      <w:numFmt w:val="decimal"/>
      <w:lvlText w:val=""/>
      <w:lvlJc w:val="left"/>
    </w:lvl>
    <w:lvl w:ilvl="6" w:tplc="DE1C90A0">
      <w:numFmt w:val="decimal"/>
      <w:lvlText w:val=""/>
      <w:lvlJc w:val="left"/>
    </w:lvl>
    <w:lvl w:ilvl="7" w:tplc="DAC8D17C">
      <w:numFmt w:val="decimal"/>
      <w:lvlText w:val=""/>
      <w:lvlJc w:val="left"/>
    </w:lvl>
    <w:lvl w:ilvl="8" w:tplc="09DE0D84">
      <w:numFmt w:val="decimal"/>
      <w:lvlText w:val=""/>
      <w:lvlJc w:val="left"/>
    </w:lvl>
  </w:abstractNum>
  <w:abstractNum w:abstractNumId="109" w15:restartNumberingAfterBreak="0">
    <w:nsid w:val="0A866CC3"/>
    <w:multiLevelType w:val="hybridMultilevel"/>
    <w:tmpl w:val="64BA8A38"/>
    <w:lvl w:ilvl="0" w:tplc="FD6A808E">
      <w:start w:val="1"/>
      <w:numFmt w:val="bullet"/>
      <w:lvlText w:val=""/>
      <w:lvlJc w:val="left"/>
      <w:pPr>
        <w:ind w:left="720" w:hanging="180"/>
      </w:pPr>
      <w:rPr>
        <w:rFonts w:ascii="Symbol" w:hAnsi="Symbol" w:hint="default"/>
      </w:rPr>
    </w:lvl>
    <w:lvl w:ilvl="1" w:tplc="4ACAA4E2">
      <w:numFmt w:val="decimal"/>
      <w:lvlText w:val=""/>
      <w:lvlJc w:val="left"/>
    </w:lvl>
    <w:lvl w:ilvl="2" w:tplc="144A9F30">
      <w:numFmt w:val="decimal"/>
      <w:lvlText w:val=""/>
      <w:lvlJc w:val="left"/>
    </w:lvl>
    <w:lvl w:ilvl="3" w:tplc="829C3BF4">
      <w:numFmt w:val="decimal"/>
      <w:lvlText w:val=""/>
      <w:lvlJc w:val="left"/>
    </w:lvl>
    <w:lvl w:ilvl="4" w:tplc="739EDD9A">
      <w:numFmt w:val="decimal"/>
      <w:lvlText w:val=""/>
      <w:lvlJc w:val="left"/>
    </w:lvl>
    <w:lvl w:ilvl="5" w:tplc="E5EC1C26">
      <w:numFmt w:val="decimal"/>
      <w:lvlText w:val=""/>
      <w:lvlJc w:val="left"/>
    </w:lvl>
    <w:lvl w:ilvl="6" w:tplc="3D6244E6">
      <w:numFmt w:val="decimal"/>
      <w:lvlText w:val=""/>
      <w:lvlJc w:val="left"/>
    </w:lvl>
    <w:lvl w:ilvl="7" w:tplc="7B526322">
      <w:numFmt w:val="decimal"/>
      <w:lvlText w:val=""/>
      <w:lvlJc w:val="left"/>
    </w:lvl>
    <w:lvl w:ilvl="8" w:tplc="6F1CE700">
      <w:numFmt w:val="decimal"/>
      <w:lvlText w:val=""/>
      <w:lvlJc w:val="left"/>
    </w:lvl>
  </w:abstractNum>
  <w:abstractNum w:abstractNumId="110" w15:restartNumberingAfterBreak="0">
    <w:nsid w:val="0AF51724"/>
    <w:multiLevelType w:val="hybridMultilevel"/>
    <w:tmpl w:val="0AC8DB08"/>
    <w:lvl w:ilvl="0" w:tplc="6D1076C2">
      <w:start w:val="1"/>
      <w:numFmt w:val="bullet"/>
      <w:lvlText w:val=""/>
      <w:lvlJc w:val="left"/>
      <w:pPr>
        <w:ind w:left="720" w:hanging="180"/>
      </w:pPr>
      <w:rPr>
        <w:rFonts w:ascii="Symbol" w:hAnsi="Symbol" w:hint="default"/>
      </w:rPr>
    </w:lvl>
    <w:lvl w:ilvl="1" w:tplc="4B845766">
      <w:numFmt w:val="decimal"/>
      <w:lvlText w:val=""/>
      <w:lvlJc w:val="left"/>
    </w:lvl>
    <w:lvl w:ilvl="2" w:tplc="3806B826">
      <w:numFmt w:val="decimal"/>
      <w:lvlText w:val=""/>
      <w:lvlJc w:val="left"/>
    </w:lvl>
    <w:lvl w:ilvl="3" w:tplc="1E5873BC">
      <w:numFmt w:val="decimal"/>
      <w:lvlText w:val=""/>
      <w:lvlJc w:val="left"/>
    </w:lvl>
    <w:lvl w:ilvl="4" w:tplc="8A600BC4">
      <w:numFmt w:val="decimal"/>
      <w:lvlText w:val=""/>
      <w:lvlJc w:val="left"/>
    </w:lvl>
    <w:lvl w:ilvl="5" w:tplc="9F1699B0">
      <w:numFmt w:val="decimal"/>
      <w:lvlText w:val=""/>
      <w:lvlJc w:val="left"/>
    </w:lvl>
    <w:lvl w:ilvl="6" w:tplc="619AEB64">
      <w:numFmt w:val="decimal"/>
      <w:lvlText w:val=""/>
      <w:lvlJc w:val="left"/>
    </w:lvl>
    <w:lvl w:ilvl="7" w:tplc="0E6A7126">
      <w:numFmt w:val="decimal"/>
      <w:lvlText w:val=""/>
      <w:lvlJc w:val="left"/>
    </w:lvl>
    <w:lvl w:ilvl="8" w:tplc="42FE913E">
      <w:numFmt w:val="decimal"/>
      <w:lvlText w:val=""/>
      <w:lvlJc w:val="left"/>
    </w:lvl>
  </w:abstractNum>
  <w:abstractNum w:abstractNumId="111" w15:restartNumberingAfterBreak="0">
    <w:nsid w:val="0B4B7075"/>
    <w:multiLevelType w:val="hybridMultilevel"/>
    <w:tmpl w:val="2E2EFC0A"/>
    <w:lvl w:ilvl="0" w:tplc="9A8A442A">
      <w:start w:val="1"/>
      <w:numFmt w:val="bullet"/>
      <w:lvlText w:val=""/>
      <w:lvlJc w:val="left"/>
      <w:pPr>
        <w:ind w:left="720" w:hanging="180"/>
      </w:pPr>
      <w:rPr>
        <w:rFonts w:ascii="Symbol" w:hAnsi="Symbol" w:hint="default"/>
      </w:rPr>
    </w:lvl>
    <w:lvl w:ilvl="1" w:tplc="8BC0AFBA">
      <w:numFmt w:val="decimal"/>
      <w:lvlText w:val=""/>
      <w:lvlJc w:val="left"/>
    </w:lvl>
    <w:lvl w:ilvl="2" w:tplc="1B24A3D4">
      <w:numFmt w:val="decimal"/>
      <w:lvlText w:val=""/>
      <w:lvlJc w:val="left"/>
    </w:lvl>
    <w:lvl w:ilvl="3" w:tplc="77BE3140">
      <w:numFmt w:val="decimal"/>
      <w:lvlText w:val=""/>
      <w:lvlJc w:val="left"/>
    </w:lvl>
    <w:lvl w:ilvl="4" w:tplc="C5E438AA">
      <w:numFmt w:val="decimal"/>
      <w:lvlText w:val=""/>
      <w:lvlJc w:val="left"/>
    </w:lvl>
    <w:lvl w:ilvl="5" w:tplc="2872E440">
      <w:numFmt w:val="decimal"/>
      <w:lvlText w:val=""/>
      <w:lvlJc w:val="left"/>
    </w:lvl>
    <w:lvl w:ilvl="6" w:tplc="0016B3F0">
      <w:numFmt w:val="decimal"/>
      <w:lvlText w:val=""/>
      <w:lvlJc w:val="left"/>
    </w:lvl>
    <w:lvl w:ilvl="7" w:tplc="7CF675FE">
      <w:numFmt w:val="decimal"/>
      <w:lvlText w:val=""/>
      <w:lvlJc w:val="left"/>
    </w:lvl>
    <w:lvl w:ilvl="8" w:tplc="1E8C2A6C">
      <w:numFmt w:val="decimal"/>
      <w:lvlText w:val=""/>
      <w:lvlJc w:val="left"/>
    </w:lvl>
  </w:abstractNum>
  <w:abstractNum w:abstractNumId="112" w15:restartNumberingAfterBreak="0">
    <w:nsid w:val="0B614BE4"/>
    <w:multiLevelType w:val="hybridMultilevel"/>
    <w:tmpl w:val="5EEC02D8"/>
    <w:lvl w:ilvl="0" w:tplc="89AE500C">
      <w:start w:val="1"/>
      <w:numFmt w:val="bullet"/>
      <w:lvlText w:val=""/>
      <w:lvlJc w:val="left"/>
      <w:pPr>
        <w:ind w:left="720" w:hanging="180"/>
      </w:pPr>
      <w:rPr>
        <w:rFonts w:ascii="Symbol" w:hAnsi="Symbol" w:hint="default"/>
      </w:rPr>
    </w:lvl>
    <w:lvl w:ilvl="1" w:tplc="55DC2B2A">
      <w:numFmt w:val="decimal"/>
      <w:lvlText w:val=""/>
      <w:lvlJc w:val="left"/>
    </w:lvl>
    <w:lvl w:ilvl="2" w:tplc="724E7F2E">
      <w:numFmt w:val="decimal"/>
      <w:lvlText w:val=""/>
      <w:lvlJc w:val="left"/>
    </w:lvl>
    <w:lvl w:ilvl="3" w:tplc="6B922286">
      <w:numFmt w:val="decimal"/>
      <w:lvlText w:val=""/>
      <w:lvlJc w:val="left"/>
    </w:lvl>
    <w:lvl w:ilvl="4" w:tplc="B4E08B16">
      <w:numFmt w:val="decimal"/>
      <w:lvlText w:val=""/>
      <w:lvlJc w:val="left"/>
    </w:lvl>
    <w:lvl w:ilvl="5" w:tplc="6D64F73A">
      <w:numFmt w:val="decimal"/>
      <w:lvlText w:val=""/>
      <w:lvlJc w:val="left"/>
    </w:lvl>
    <w:lvl w:ilvl="6" w:tplc="F8E4F43A">
      <w:numFmt w:val="decimal"/>
      <w:lvlText w:val=""/>
      <w:lvlJc w:val="left"/>
    </w:lvl>
    <w:lvl w:ilvl="7" w:tplc="EE3E54B4">
      <w:numFmt w:val="decimal"/>
      <w:lvlText w:val=""/>
      <w:lvlJc w:val="left"/>
    </w:lvl>
    <w:lvl w:ilvl="8" w:tplc="0BBA49CE">
      <w:numFmt w:val="decimal"/>
      <w:lvlText w:val=""/>
      <w:lvlJc w:val="left"/>
    </w:lvl>
  </w:abstractNum>
  <w:abstractNum w:abstractNumId="113" w15:restartNumberingAfterBreak="0">
    <w:nsid w:val="0B81799F"/>
    <w:multiLevelType w:val="hybridMultilevel"/>
    <w:tmpl w:val="443C299A"/>
    <w:lvl w:ilvl="0" w:tplc="8620D8A4">
      <w:start w:val="1"/>
      <w:numFmt w:val="bullet"/>
      <w:lvlText w:val=""/>
      <w:lvlJc w:val="left"/>
      <w:pPr>
        <w:ind w:left="720" w:hanging="180"/>
      </w:pPr>
      <w:rPr>
        <w:rFonts w:ascii="Symbol" w:hAnsi="Symbol" w:hint="default"/>
      </w:rPr>
    </w:lvl>
    <w:lvl w:ilvl="1" w:tplc="84B23BDC">
      <w:numFmt w:val="decimal"/>
      <w:lvlText w:val=""/>
      <w:lvlJc w:val="left"/>
    </w:lvl>
    <w:lvl w:ilvl="2" w:tplc="CD083A7E">
      <w:numFmt w:val="decimal"/>
      <w:lvlText w:val=""/>
      <w:lvlJc w:val="left"/>
    </w:lvl>
    <w:lvl w:ilvl="3" w:tplc="770ED72E">
      <w:numFmt w:val="decimal"/>
      <w:lvlText w:val=""/>
      <w:lvlJc w:val="left"/>
    </w:lvl>
    <w:lvl w:ilvl="4" w:tplc="8DE2BC44">
      <w:numFmt w:val="decimal"/>
      <w:lvlText w:val=""/>
      <w:lvlJc w:val="left"/>
    </w:lvl>
    <w:lvl w:ilvl="5" w:tplc="06CAF436">
      <w:numFmt w:val="decimal"/>
      <w:lvlText w:val=""/>
      <w:lvlJc w:val="left"/>
    </w:lvl>
    <w:lvl w:ilvl="6" w:tplc="46A8E8AC">
      <w:numFmt w:val="decimal"/>
      <w:lvlText w:val=""/>
      <w:lvlJc w:val="left"/>
    </w:lvl>
    <w:lvl w:ilvl="7" w:tplc="B2D64E94">
      <w:numFmt w:val="decimal"/>
      <w:lvlText w:val=""/>
      <w:lvlJc w:val="left"/>
    </w:lvl>
    <w:lvl w:ilvl="8" w:tplc="D90AF214">
      <w:numFmt w:val="decimal"/>
      <w:lvlText w:val=""/>
      <w:lvlJc w:val="left"/>
    </w:lvl>
  </w:abstractNum>
  <w:abstractNum w:abstractNumId="114" w15:restartNumberingAfterBreak="0">
    <w:nsid w:val="0BA27ECB"/>
    <w:multiLevelType w:val="hybridMultilevel"/>
    <w:tmpl w:val="EB302D0A"/>
    <w:lvl w:ilvl="0" w:tplc="5C62B606">
      <w:start w:val="1"/>
      <w:numFmt w:val="bullet"/>
      <w:lvlText w:val=""/>
      <w:lvlJc w:val="left"/>
      <w:pPr>
        <w:ind w:left="720" w:hanging="180"/>
      </w:pPr>
      <w:rPr>
        <w:rFonts w:ascii="Symbol" w:hAnsi="Symbol" w:hint="default"/>
      </w:rPr>
    </w:lvl>
    <w:lvl w:ilvl="1" w:tplc="BBD2DC22">
      <w:numFmt w:val="decimal"/>
      <w:lvlText w:val=""/>
      <w:lvlJc w:val="left"/>
    </w:lvl>
    <w:lvl w:ilvl="2" w:tplc="9846579C">
      <w:numFmt w:val="decimal"/>
      <w:lvlText w:val=""/>
      <w:lvlJc w:val="left"/>
    </w:lvl>
    <w:lvl w:ilvl="3" w:tplc="8E2486C6">
      <w:numFmt w:val="decimal"/>
      <w:lvlText w:val=""/>
      <w:lvlJc w:val="left"/>
    </w:lvl>
    <w:lvl w:ilvl="4" w:tplc="D2C0879C">
      <w:numFmt w:val="decimal"/>
      <w:lvlText w:val=""/>
      <w:lvlJc w:val="left"/>
    </w:lvl>
    <w:lvl w:ilvl="5" w:tplc="15804380">
      <w:numFmt w:val="decimal"/>
      <w:lvlText w:val=""/>
      <w:lvlJc w:val="left"/>
    </w:lvl>
    <w:lvl w:ilvl="6" w:tplc="15E0A3A2">
      <w:numFmt w:val="decimal"/>
      <w:lvlText w:val=""/>
      <w:lvlJc w:val="left"/>
    </w:lvl>
    <w:lvl w:ilvl="7" w:tplc="163E8B4C">
      <w:numFmt w:val="decimal"/>
      <w:lvlText w:val=""/>
      <w:lvlJc w:val="left"/>
    </w:lvl>
    <w:lvl w:ilvl="8" w:tplc="7534B90C">
      <w:numFmt w:val="decimal"/>
      <w:lvlText w:val=""/>
      <w:lvlJc w:val="left"/>
    </w:lvl>
  </w:abstractNum>
  <w:abstractNum w:abstractNumId="115" w15:restartNumberingAfterBreak="0">
    <w:nsid w:val="0BCD5F6B"/>
    <w:multiLevelType w:val="hybridMultilevel"/>
    <w:tmpl w:val="BFB065B0"/>
    <w:lvl w:ilvl="0" w:tplc="9110A192">
      <w:start w:val="1"/>
      <w:numFmt w:val="bullet"/>
      <w:lvlText w:val=""/>
      <w:lvlJc w:val="left"/>
      <w:pPr>
        <w:ind w:left="720" w:hanging="180"/>
      </w:pPr>
      <w:rPr>
        <w:rFonts w:ascii="Symbol" w:hAnsi="Symbol" w:hint="default"/>
      </w:rPr>
    </w:lvl>
    <w:lvl w:ilvl="1" w:tplc="0C08FA64">
      <w:numFmt w:val="decimal"/>
      <w:lvlText w:val=""/>
      <w:lvlJc w:val="left"/>
    </w:lvl>
    <w:lvl w:ilvl="2" w:tplc="8D94E3F2">
      <w:numFmt w:val="decimal"/>
      <w:lvlText w:val=""/>
      <w:lvlJc w:val="left"/>
    </w:lvl>
    <w:lvl w:ilvl="3" w:tplc="5DAC03F8">
      <w:numFmt w:val="decimal"/>
      <w:lvlText w:val=""/>
      <w:lvlJc w:val="left"/>
    </w:lvl>
    <w:lvl w:ilvl="4" w:tplc="9912DFB0">
      <w:numFmt w:val="decimal"/>
      <w:lvlText w:val=""/>
      <w:lvlJc w:val="left"/>
    </w:lvl>
    <w:lvl w:ilvl="5" w:tplc="150CEA2C">
      <w:numFmt w:val="decimal"/>
      <w:lvlText w:val=""/>
      <w:lvlJc w:val="left"/>
    </w:lvl>
    <w:lvl w:ilvl="6" w:tplc="5A140FA6">
      <w:numFmt w:val="decimal"/>
      <w:lvlText w:val=""/>
      <w:lvlJc w:val="left"/>
    </w:lvl>
    <w:lvl w:ilvl="7" w:tplc="8F505F8E">
      <w:numFmt w:val="decimal"/>
      <w:lvlText w:val=""/>
      <w:lvlJc w:val="left"/>
    </w:lvl>
    <w:lvl w:ilvl="8" w:tplc="2E48EA14">
      <w:numFmt w:val="decimal"/>
      <w:lvlText w:val=""/>
      <w:lvlJc w:val="left"/>
    </w:lvl>
  </w:abstractNum>
  <w:abstractNum w:abstractNumId="116" w15:restartNumberingAfterBreak="0">
    <w:nsid w:val="0BE0412C"/>
    <w:multiLevelType w:val="hybridMultilevel"/>
    <w:tmpl w:val="06D8D0C2"/>
    <w:lvl w:ilvl="0" w:tplc="217AB9FA">
      <w:start w:val="1"/>
      <w:numFmt w:val="bullet"/>
      <w:lvlText w:val=""/>
      <w:lvlJc w:val="left"/>
      <w:pPr>
        <w:ind w:left="720" w:hanging="180"/>
      </w:pPr>
      <w:rPr>
        <w:rFonts w:ascii="Symbol" w:hAnsi="Symbol" w:hint="default"/>
      </w:rPr>
    </w:lvl>
    <w:lvl w:ilvl="1" w:tplc="20B4DB76">
      <w:numFmt w:val="decimal"/>
      <w:lvlText w:val=""/>
      <w:lvlJc w:val="left"/>
    </w:lvl>
    <w:lvl w:ilvl="2" w:tplc="B6B8647A">
      <w:numFmt w:val="decimal"/>
      <w:lvlText w:val=""/>
      <w:lvlJc w:val="left"/>
    </w:lvl>
    <w:lvl w:ilvl="3" w:tplc="3314EDE6">
      <w:numFmt w:val="decimal"/>
      <w:lvlText w:val=""/>
      <w:lvlJc w:val="left"/>
    </w:lvl>
    <w:lvl w:ilvl="4" w:tplc="42225D8A">
      <w:numFmt w:val="decimal"/>
      <w:lvlText w:val=""/>
      <w:lvlJc w:val="left"/>
    </w:lvl>
    <w:lvl w:ilvl="5" w:tplc="DFAC4D98">
      <w:numFmt w:val="decimal"/>
      <w:lvlText w:val=""/>
      <w:lvlJc w:val="left"/>
    </w:lvl>
    <w:lvl w:ilvl="6" w:tplc="1966BB56">
      <w:numFmt w:val="decimal"/>
      <w:lvlText w:val=""/>
      <w:lvlJc w:val="left"/>
    </w:lvl>
    <w:lvl w:ilvl="7" w:tplc="6932FB36">
      <w:numFmt w:val="decimal"/>
      <w:lvlText w:val=""/>
      <w:lvlJc w:val="left"/>
    </w:lvl>
    <w:lvl w:ilvl="8" w:tplc="FDFEBF9A">
      <w:numFmt w:val="decimal"/>
      <w:lvlText w:val=""/>
      <w:lvlJc w:val="left"/>
    </w:lvl>
  </w:abstractNum>
  <w:abstractNum w:abstractNumId="117" w15:restartNumberingAfterBreak="0">
    <w:nsid w:val="0C1C5186"/>
    <w:multiLevelType w:val="hybridMultilevel"/>
    <w:tmpl w:val="7610BF68"/>
    <w:lvl w:ilvl="0" w:tplc="724E9302">
      <w:start w:val="1"/>
      <w:numFmt w:val="bullet"/>
      <w:lvlText w:val=""/>
      <w:lvlJc w:val="left"/>
      <w:pPr>
        <w:ind w:left="720" w:hanging="180"/>
      </w:pPr>
      <w:rPr>
        <w:rFonts w:ascii="Symbol" w:hAnsi="Symbol" w:hint="default"/>
      </w:rPr>
    </w:lvl>
    <w:lvl w:ilvl="1" w:tplc="2EEC9E68">
      <w:numFmt w:val="decimal"/>
      <w:lvlText w:val=""/>
      <w:lvlJc w:val="left"/>
    </w:lvl>
    <w:lvl w:ilvl="2" w:tplc="759A265A">
      <w:numFmt w:val="decimal"/>
      <w:lvlText w:val=""/>
      <w:lvlJc w:val="left"/>
    </w:lvl>
    <w:lvl w:ilvl="3" w:tplc="947852C0">
      <w:numFmt w:val="decimal"/>
      <w:lvlText w:val=""/>
      <w:lvlJc w:val="left"/>
    </w:lvl>
    <w:lvl w:ilvl="4" w:tplc="062AC91E">
      <w:numFmt w:val="decimal"/>
      <w:lvlText w:val=""/>
      <w:lvlJc w:val="left"/>
    </w:lvl>
    <w:lvl w:ilvl="5" w:tplc="41642C4C">
      <w:numFmt w:val="decimal"/>
      <w:lvlText w:val=""/>
      <w:lvlJc w:val="left"/>
    </w:lvl>
    <w:lvl w:ilvl="6" w:tplc="E1A2B680">
      <w:numFmt w:val="decimal"/>
      <w:lvlText w:val=""/>
      <w:lvlJc w:val="left"/>
    </w:lvl>
    <w:lvl w:ilvl="7" w:tplc="E94833FE">
      <w:numFmt w:val="decimal"/>
      <w:lvlText w:val=""/>
      <w:lvlJc w:val="left"/>
    </w:lvl>
    <w:lvl w:ilvl="8" w:tplc="25407DCE">
      <w:numFmt w:val="decimal"/>
      <w:lvlText w:val=""/>
      <w:lvlJc w:val="left"/>
    </w:lvl>
  </w:abstractNum>
  <w:abstractNum w:abstractNumId="118" w15:restartNumberingAfterBreak="0">
    <w:nsid w:val="0C427D66"/>
    <w:multiLevelType w:val="hybridMultilevel"/>
    <w:tmpl w:val="FCD05FBC"/>
    <w:lvl w:ilvl="0" w:tplc="0C8A517E">
      <w:start w:val="1"/>
      <w:numFmt w:val="bullet"/>
      <w:lvlText w:val=""/>
      <w:lvlJc w:val="left"/>
      <w:pPr>
        <w:ind w:left="720" w:hanging="180"/>
      </w:pPr>
      <w:rPr>
        <w:rFonts w:ascii="Symbol" w:hAnsi="Symbol" w:hint="default"/>
      </w:rPr>
    </w:lvl>
    <w:lvl w:ilvl="1" w:tplc="E3D88872">
      <w:numFmt w:val="decimal"/>
      <w:lvlText w:val=""/>
      <w:lvlJc w:val="left"/>
    </w:lvl>
    <w:lvl w:ilvl="2" w:tplc="E1E6AE9C">
      <w:numFmt w:val="decimal"/>
      <w:lvlText w:val=""/>
      <w:lvlJc w:val="left"/>
    </w:lvl>
    <w:lvl w:ilvl="3" w:tplc="34563328">
      <w:numFmt w:val="decimal"/>
      <w:lvlText w:val=""/>
      <w:lvlJc w:val="left"/>
    </w:lvl>
    <w:lvl w:ilvl="4" w:tplc="EA4C1144">
      <w:numFmt w:val="decimal"/>
      <w:lvlText w:val=""/>
      <w:lvlJc w:val="left"/>
    </w:lvl>
    <w:lvl w:ilvl="5" w:tplc="AE86E736">
      <w:numFmt w:val="decimal"/>
      <w:lvlText w:val=""/>
      <w:lvlJc w:val="left"/>
    </w:lvl>
    <w:lvl w:ilvl="6" w:tplc="7E1EAD06">
      <w:numFmt w:val="decimal"/>
      <w:lvlText w:val=""/>
      <w:lvlJc w:val="left"/>
    </w:lvl>
    <w:lvl w:ilvl="7" w:tplc="2CA057F0">
      <w:numFmt w:val="decimal"/>
      <w:lvlText w:val=""/>
      <w:lvlJc w:val="left"/>
    </w:lvl>
    <w:lvl w:ilvl="8" w:tplc="192031A0">
      <w:numFmt w:val="decimal"/>
      <w:lvlText w:val=""/>
      <w:lvlJc w:val="left"/>
    </w:lvl>
  </w:abstractNum>
  <w:abstractNum w:abstractNumId="119" w15:restartNumberingAfterBreak="0">
    <w:nsid w:val="0C677253"/>
    <w:multiLevelType w:val="hybridMultilevel"/>
    <w:tmpl w:val="2F06462E"/>
    <w:lvl w:ilvl="0" w:tplc="A9E2D74C">
      <w:start w:val="1"/>
      <w:numFmt w:val="bullet"/>
      <w:lvlText w:val=""/>
      <w:lvlJc w:val="left"/>
      <w:pPr>
        <w:ind w:left="720" w:hanging="180"/>
      </w:pPr>
      <w:rPr>
        <w:rFonts w:ascii="Symbol" w:hAnsi="Symbol" w:hint="default"/>
      </w:rPr>
    </w:lvl>
    <w:lvl w:ilvl="1" w:tplc="134CAE8A">
      <w:numFmt w:val="decimal"/>
      <w:lvlText w:val=""/>
      <w:lvlJc w:val="left"/>
    </w:lvl>
    <w:lvl w:ilvl="2" w:tplc="939C3302">
      <w:numFmt w:val="decimal"/>
      <w:lvlText w:val=""/>
      <w:lvlJc w:val="left"/>
    </w:lvl>
    <w:lvl w:ilvl="3" w:tplc="2E6C704C">
      <w:numFmt w:val="decimal"/>
      <w:lvlText w:val=""/>
      <w:lvlJc w:val="left"/>
    </w:lvl>
    <w:lvl w:ilvl="4" w:tplc="978AF216">
      <w:numFmt w:val="decimal"/>
      <w:lvlText w:val=""/>
      <w:lvlJc w:val="left"/>
    </w:lvl>
    <w:lvl w:ilvl="5" w:tplc="F0B055FE">
      <w:numFmt w:val="decimal"/>
      <w:lvlText w:val=""/>
      <w:lvlJc w:val="left"/>
    </w:lvl>
    <w:lvl w:ilvl="6" w:tplc="8022158C">
      <w:numFmt w:val="decimal"/>
      <w:lvlText w:val=""/>
      <w:lvlJc w:val="left"/>
    </w:lvl>
    <w:lvl w:ilvl="7" w:tplc="1D32890E">
      <w:numFmt w:val="decimal"/>
      <w:lvlText w:val=""/>
      <w:lvlJc w:val="left"/>
    </w:lvl>
    <w:lvl w:ilvl="8" w:tplc="79AE7D88">
      <w:numFmt w:val="decimal"/>
      <w:lvlText w:val=""/>
      <w:lvlJc w:val="left"/>
    </w:lvl>
  </w:abstractNum>
  <w:abstractNum w:abstractNumId="120" w15:restartNumberingAfterBreak="0">
    <w:nsid w:val="0C716A29"/>
    <w:multiLevelType w:val="hybridMultilevel"/>
    <w:tmpl w:val="EFAC2FCA"/>
    <w:lvl w:ilvl="0" w:tplc="E432CD9C">
      <w:start w:val="1"/>
      <w:numFmt w:val="bullet"/>
      <w:lvlText w:val=""/>
      <w:lvlJc w:val="left"/>
      <w:pPr>
        <w:ind w:left="720" w:hanging="180"/>
      </w:pPr>
      <w:rPr>
        <w:rFonts w:ascii="Symbol" w:hAnsi="Symbol" w:hint="default"/>
      </w:rPr>
    </w:lvl>
    <w:lvl w:ilvl="1" w:tplc="68A05C5A">
      <w:numFmt w:val="decimal"/>
      <w:lvlText w:val=""/>
      <w:lvlJc w:val="left"/>
    </w:lvl>
    <w:lvl w:ilvl="2" w:tplc="74647970">
      <w:numFmt w:val="decimal"/>
      <w:lvlText w:val=""/>
      <w:lvlJc w:val="left"/>
    </w:lvl>
    <w:lvl w:ilvl="3" w:tplc="45ECC7C0">
      <w:numFmt w:val="decimal"/>
      <w:lvlText w:val=""/>
      <w:lvlJc w:val="left"/>
    </w:lvl>
    <w:lvl w:ilvl="4" w:tplc="B5367114">
      <w:numFmt w:val="decimal"/>
      <w:lvlText w:val=""/>
      <w:lvlJc w:val="left"/>
    </w:lvl>
    <w:lvl w:ilvl="5" w:tplc="7B285148">
      <w:numFmt w:val="decimal"/>
      <w:lvlText w:val=""/>
      <w:lvlJc w:val="left"/>
    </w:lvl>
    <w:lvl w:ilvl="6" w:tplc="8AE4BAB2">
      <w:numFmt w:val="decimal"/>
      <w:lvlText w:val=""/>
      <w:lvlJc w:val="left"/>
    </w:lvl>
    <w:lvl w:ilvl="7" w:tplc="BA6E7ED6">
      <w:numFmt w:val="decimal"/>
      <w:lvlText w:val=""/>
      <w:lvlJc w:val="left"/>
    </w:lvl>
    <w:lvl w:ilvl="8" w:tplc="3B2434D6">
      <w:numFmt w:val="decimal"/>
      <w:lvlText w:val=""/>
      <w:lvlJc w:val="left"/>
    </w:lvl>
  </w:abstractNum>
  <w:abstractNum w:abstractNumId="121" w15:restartNumberingAfterBreak="0">
    <w:nsid w:val="0C901CF8"/>
    <w:multiLevelType w:val="hybridMultilevel"/>
    <w:tmpl w:val="282C6506"/>
    <w:lvl w:ilvl="0" w:tplc="07EC28AA">
      <w:start w:val="1"/>
      <w:numFmt w:val="bullet"/>
      <w:lvlText w:val=""/>
      <w:lvlJc w:val="left"/>
      <w:pPr>
        <w:ind w:left="720" w:hanging="180"/>
      </w:pPr>
      <w:rPr>
        <w:rFonts w:ascii="Symbol" w:hAnsi="Symbol" w:hint="default"/>
      </w:rPr>
    </w:lvl>
    <w:lvl w:ilvl="1" w:tplc="7BA029EE">
      <w:numFmt w:val="decimal"/>
      <w:lvlText w:val=""/>
      <w:lvlJc w:val="left"/>
    </w:lvl>
    <w:lvl w:ilvl="2" w:tplc="FC2268C8">
      <w:numFmt w:val="decimal"/>
      <w:lvlText w:val=""/>
      <w:lvlJc w:val="left"/>
    </w:lvl>
    <w:lvl w:ilvl="3" w:tplc="537E594A">
      <w:numFmt w:val="decimal"/>
      <w:lvlText w:val=""/>
      <w:lvlJc w:val="left"/>
    </w:lvl>
    <w:lvl w:ilvl="4" w:tplc="EB2EECF6">
      <w:numFmt w:val="decimal"/>
      <w:lvlText w:val=""/>
      <w:lvlJc w:val="left"/>
    </w:lvl>
    <w:lvl w:ilvl="5" w:tplc="3C96A9B6">
      <w:numFmt w:val="decimal"/>
      <w:lvlText w:val=""/>
      <w:lvlJc w:val="left"/>
    </w:lvl>
    <w:lvl w:ilvl="6" w:tplc="5D9EE18A">
      <w:numFmt w:val="decimal"/>
      <w:lvlText w:val=""/>
      <w:lvlJc w:val="left"/>
    </w:lvl>
    <w:lvl w:ilvl="7" w:tplc="15F0F136">
      <w:numFmt w:val="decimal"/>
      <w:lvlText w:val=""/>
      <w:lvlJc w:val="left"/>
    </w:lvl>
    <w:lvl w:ilvl="8" w:tplc="63960E00">
      <w:numFmt w:val="decimal"/>
      <w:lvlText w:val=""/>
      <w:lvlJc w:val="left"/>
    </w:lvl>
  </w:abstractNum>
  <w:abstractNum w:abstractNumId="122" w15:restartNumberingAfterBreak="0">
    <w:nsid w:val="0C9E382D"/>
    <w:multiLevelType w:val="hybridMultilevel"/>
    <w:tmpl w:val="CA9442AC"/>
    <w:lvl w:ilvl="0" w:tplc="17D81334">
      <w:start w:val="1"/>
      <w:numFmt w:val="bullet"/>
      <w:lvlText w:val=""/>
      <w:lvlJc w:val="left"/>
      <w:pPr>
        <w:ind w:left="720" w:hanging="180"/>
      </w:pPr>
      <w:rPr>
        <w:rFonts w:ascii="Symbol" w:hAnsi="Symbol" w:hint="default"/>
      </w:rPr>
    </w:lvl>
    <w:lvl w:ilvl="1" w:tplc="21783C86">
      <w:numFmt w:val="decimal"/>
      <w:lvlText w:val=""/>
      <w:lvlJc w:val="left"/>
    </w:lvl>
    <w:lvl w:ilvl="2" w:tplc="35CAF834">
      <w:numFmt w:val="decimal"/>
      <w:lvlText w:val=""/>
      <w:lvlJc w:val="left"/>
    </w:lvl>
    <w:lvl w:ilvl="3" w:tplc="A29CEE1C">
      <w:numFmt w:val="decimal"/>
      <w:lvlText w:val=""/>
      <w:lvlJc w:val="left"/>
    </w:lvl>
    <w:lvl w:ilvl="4" w:tplc="356E2D50">
      <w:numFmt w:val="decimal"/>
      <w:lvlText w:val=""/>
      <w:lvlJc w:val="left"/>
    </w:lvl>
    <w:lvl w:ilvl="5" w:tplc="D6DC31F2">
      <w:numFmt w:val="decimal"/>
      <w:lvlText w:val=""/>
      <w:lvlJc w:val="left"/>
    </w:lvl>
    <w:lvl w:ilvl="6" w:tplc="6784B3C4">
      <w:numFmt w:val="decimal"/>
      <w:lvlText w:val=""/>
      <w:lvlJc w:val="left"/>
    </w:lvl>
    <w:lvl w:ilvl="7" w:tplc="EC365636">
      <w:numFmt w:val="decimal"/>
      <w:lvlText w:val=""/>
      <w:lvlJc w:val="left"/>
    </w:lvl>
    <w:lvl w:ilvl="8" w:tplc="AB520330">
      <w:numFmt w:val="decimal"/>
      <w:lvlText w:val=""/>
      <w:lvlJc w:val="left"/>
    </w:lvl>
  </w:abstractNum>
  <w:abstractNum w:abstractNumId="123" w15:restartNumberingAfterBreak="0">
    <w:nsid w:val="0CB408FD"/>
    <w:multiLevelType w:val="hybridMultilevel"/>
    <w:tmpl w:val="F300CB46"/>
    <w:lvl w:ilvl="0" w:tplc="F1D2A04A">
      <w:start w:val="1"/>
      <w:numFmt w:val="bullet"/>
      <w:lvlText w:val=""/>
      <w:lvlJc w:val="left"/>
      <w:pPr>
        <w:ind w:left="720" w:hanging="180"/>
      </w:pPr>
      <w:rPr>
        <w:rFonts w:ascii="Symbol" w:hAnsi="Symbol" w:hint="default"/>
      </w:rPr>
    </w:lvl>
    <w:lvl w:ilvl="1" w:tplc="A2CA92BE">
      <w:numFmt w:val="decimal"/>
      <w:lvlText w:val=""/>
      <w:lvlJc w:val="left"/>
    </w:lvl>
    <w:lvl w:ilvl="2" w:tplc="F6E0B10C">
      <w:numFmt w:val="decimal"/>
      <w:lvlText w:val=""/>
      <w:lvlJc w:val="left"/>
    </w:lvl>
    <w:lvl w:ilvl="3" w:tplc="BF2A3658">
      <w:numFmt w:val="decimal"/>
      <w:lvlText w:val=""/>
      <w:lvlJc w:val="left"/>
    </w:lvl>
    <w:lvl w:ilvl="4" w:tplc="29785432">
      <w:numFmt w:val="decimal"/>
      <w:lvlText w:val=""/>
      <w:lvlJc w:val="left"/>
    </w:lvl>
    <w:lvl w:ilvl="5" w:tplc="6958CC2C">
      <w:numFmt w:val="decimal"/>
      <w:lvlText w:val=""/>
      <w:lvlJc w:val="left"/>
    </w:lvl>
    <w:lvl w:ilvl="6" w:tplc="32A41158">
      <w:numFmt w:val="decimal"/>
      <w:lvlText w:val=""/>
      <w:lvlJc w:val="left"/>
    </w:lvl>
    <w:lvl w:ilvl="7" w:tplc="D6588D30">
      <w:numFmt w:val="decimal"/>
      <w:lvlText w:val=""/>
      <w:lvlJc w:val="left"/>
    </w:lvl>
    <w:lvl w:ilvl="8" w:tplc="D66CAA4C">
      <w:numFmt w:val="decimal"/>
      <w:lvlText w:val=""/>
      <w:lvlJc w:val="left"/>
    </w:lvl>
  </w:abstractNum>
  <w:abstractNum w:abstractNumId="124" w15:restartNumberingAfterBreak="0">
    <w:nsid w:val="0CBD6E98"/>
    <w:multiLevelType w:val="hybridMultilevel"/>
    <w:tmpl w:val="3754D97A"/>
    <w:lvl w:ilvl="0" w:tplc="D8DCF1A4">
      <w:start w:val="1"/>
      <w:numFmt w:val="bullet"/>
      <w:lvlText w:val=""/>
      <w:lvlJc w:val="left"/>
      <w:pPr>
        <w:ind w:left="720" w:hanging="180"/>
      </w:pPr>
      <w:rPr>
        <w:rFonts w:ascii="Symbol" w:hAnsi="Symbol" w:hint="default"/>
      </w:rPr>
    </w:lvl>
    <w:lvl w:ilvl="1" w:tplc="CC9C29CC">
      <w:numFmt w:val="decimal"/>
      <w:lvlText w:val=""/>
      <w:lvlJc w:val="left"/>
    </w:lvl>
    <w:lvl w:ilvl="2" w:tplc="FCB44480">
      <w:numFmt w:val="decimal"/>
      <w:lvlText w:val=""/>
      <w:lvlJc w:val="left"/>
    </w:lvl>
    <w:lvl w:ilvl="3" w:tplc="4ABA40FC">
      <w:numFmt w:val="decimal"/>
      <w:lvlText w:val=""/>
      <w:lvlJc w:val="left"/>
    </w:lvl>
    <w:lvl w:ilvl="4" w:tplc="71788ACC">
      <w:numFmt w:val="decimal"/>
      <w:lvlText w:val=""/>
      <w:lvlJc w:val="left"/>
    </w:lvl>
    <w:lvl w:ilvl="5" w:tplc="43882C80">
      <w:numFmt w:val="decimal"/>
      <w:lvlText w:val=""/>
      <w:lvlJc w:val="left"/>
    </w:lvl>
    <w:lvl w:ilvl="6" w:tplc="B9E07F68">
      <w:numFmt w:val="decimal"/>
      <w:lvlText w:val=""/>
      <w:lvlJc w:val="left"/>
    </w:lvl>
    <w:lvl w:ilvl="7" w:tplc="260AD3A2">
      <w:numFmt w:val="decimal"/>
      <w:lvlText w:val=""/>
      <w:lvlJc w:val="left"/>
    </w:lvl>
    <w:lvl w:ilvl="8" w:tplc="739E1918">
      <w:numFmt w:val="decimal"/>
      <w:lvlText w:val=""/>
      <w:lvlJc w:val="left"/>
    </w:lvl>
  </w:abstractNum>
  <w:abstractNum w:abstractNumId="125" w15:restartNumberingAfterBreak="0">
    <w:nsid w:val="0CCD3711"/>
    <w:multiLevelType w:val="hybridMultilevel"/>
    <w:tmpl w:val="A36625C6"/>
    <w:lvl w:ilvl="0" w:tplc="A5F2BDAC">
      <w:start w:val="1"/>
      <w:numFmt w:val="bullet"/>
      <w:lvlText w:val=""/>
      <w:lvlJc w:val="left"/>
      <w:pPr>
        <w:ind w:left="720" w:hanging="180"/>
      </w:pPr>
      <w:rPr>
        <w:rFonts w:ascii="Symbol" w:hAnsi="Symbol" w:hint="default"/>
      </w:rPr>
    </w:lvl>
    <w:lvl w:ilvl="1" w:tplc="19D2DDAC">
      <w:numFmt w:val="decimal"/>
      <w:lvlText w:val=""/>
      <w:lvlJc w:val="left"/>
    </w:lvl>
    <w:lvl w:ilvl="2" w:tplc="9ED28618">
      <w:numFmt w:val="decimal"/>
      <w:lvlText w:val=""/>
      <w:lvlJc w:val="left"/>
    </w:lvl>
    <w:lvl w:ilvl="3" w:tplc="C8841AFC">
      <w:numFmt w:val="decimal"/>
      <w:lvlText w:val=""/>
      <w:lvlJc w:val="left"/>
    </w:lvl>
    <w:lvl w:ilvl="4" w:tplc="7A22DEFA">
      <w:numFmt w:val="decimal"/>
      <w:lvlText w:val=""/>
      <w:lvlJc w:val="left"/>
    </w:lvl>
    <w:lvl w:ilvl="5" w:tplc="B9686D94">
      <w:numFmt w:val="decimal"/>
      <w:lvlText w:val=""/>
      <w:lvlJc w:val="left"/>
    </w:lvl>
    <w:lvl w:ilvl="6" w:tplc="1E52B94E">
      <w:numFmt w:val="decimal"/>
      <w:lvlText w:val=""/>
      <w:lvlJc w:val="left"/>
    </w:lvl>
    <w:lvl w:ilvl="7" w:tplc="99F846DA">
      <w:numFmt w:val="decimal"/>
      <w:lvlText w:val=""/>
      <w:lvlJc w:val="left"/>
    </w:lvl>
    <w:lvl w:ilvl="8" w:tplc="96B2CC70">
      <w:numFmt w:val="decimal"/>
      <w:lvlText w:val=""/>
      <w:lvlJc w:val="left"/>
    </w:lvl>
  </w:abstractNum>
  <w:abstractNum w:abstractNumId="126" w15:restartNumberingAfterBreak="0">
    <w:nsid w:val="0CF12B42"/>
    <w:multiLevelType w:val="hybridMultilevel"/>
    <w:tmpl w:val="5CFCA6CA"/>
    <w:lvl w:ilvl="0" w:tplc="38E4CCB2">
      <w:start w:val="1"/>
      <w:numFmt w:val="bullet"/>
      <w:lvlText w:val=""/>
      <w:lvlJc w:val="left"/>
      <w:pPr>
        <w:ind w:left="720" w:hanging="180"/>
      </w:pPr>
      <w:rPr>
        <w:rFonts w:ascii="Symbol" w:hAnsi="Symbol" w:hint="default"/>
      </w:rPr>
    </w:lvl>
    <w:lvl w:ilvl="1" w:tplc="7980BFEA">
      <w:numFmt w:val="decimal"/>
      <w:lvlText w:val=""/>
      <w:lvlJc w:val="left"/>
    </w:lvl>
    <w:lvl w:ilvl="2" w:tplc="E7764A8E">
      <w:numFmt w:val="decimal"/>
      <w:lvlText w:val=""/>
      <w:lvlJc w:val="left"/>
    </w:lvl>
    <w:lvl w:ilvl="3" w:tplc="BEBA98EA">
      <w:numFmt w:val="decimal"/>
      <w:lvlText w:val=""/>
      <w:lvlJc w:val="left"/>
    </w:lvl>
    <w:lvl w:ilvl="4" w:tplc="E3C82F40">
      <w:numFmt w:val="decimal"/>
      <w:lvlText w:val=""/>
      <w:lvlJc w:val="left"/>
    </w:lvl>
    <w:lvl w:ilvl="5" w:tplc="FAC05C00">
      <w:numFmt w:val="decimal"/>
      <w:lvlText w:val=""/>
      <w:lvlJc w:val="left"/>
    </w:lvl>
    <w:lvl w:ilvl="6" w:tplc="DDB4BE84">
      <w:numFmt w:val="decimal"/>
      <w:lvlText w:val=""/>
      <w:lvlJc w:val="left"/>
    </w:lvl>
    <w:lvl w:ilvl="7" w:tplc="70F01274">
      <w:numFmt w:val="decimal"/>
      <w:lvlText w:val=""/>
      <w:lvlJc w:val="left"/>
    </w:lvl>
    <w:lvl w:ilvl="8" w:tplc="597C744E">
      <w:numFmt w:val="decimal"/>
      <w:lvlText w:val=""/>
      <w:lvlJc w:val="left"/>
    </w:lvl>
  </w:abstractNum>
  <w:abstractNum w:abstractNumId="127" w15:restartNumberingAfterBreak="0">
    <w:nsid w:val="0D01048F"/>
    <w:multiLevelType w:val="hybridMultilevel"/>
    <w:tmpl w:val="31F86C04"/>
    <w:lvl w:ilvl="0" w:tplc="6540A412">
      <w:start w:val="1"/>
      <w:numFmt w:val="bullet"/>
      <w:lvlText w:val=""/>
      <w:lvlJc w:val="left"/>
      <w:pPr>
        <w:ind w:left="720" w:hanging="180"/>
      </w:pPr>
      <w:rPr>
        <w:rFonts w:ascii="Symbol" w:hAnsi="Symbol" w:hint="default"/>
      </w:rPr>
    </w:lvl>
    <w:lvl w:ilvl="1" w:tplc="E520A840">
      <w:numFmt w:val="decimal"/>
      <w:lvlText w:val=""/>
      <w:lvlJc w:val="left"/>
    </w:lvl>
    <w:lvl w:ilvl="2" w:tplc="22A8FE7A">
      <w:numFmt w:val="decimal"/>
      <w:lvlText w:val=""/>
      <w:lvlJc w:val="left"/>
    </w:lvl>
    <w:lvl w:ilvl="3" w:tplc="314C91F6">
      <w:numFmt w:val="decimal"/>
      <w:lvlText w:val=""/>
      <w:lvlJc w:val="left"/>
    </w:lvl>
    <w:lvl w:ilvl="4" w:tplc="07021A90">
      <w:numFmt w:val="decimal"/>
      <w:lvlText w:val=""/>
      <w:lvlJc w:val="left"/>
    </w:lvl>
    <w:lvl w:ilvl="5" w:tplc="4AF63B86">
      <w:numFmt w:val="decimal"/>
      <w:lvlText w:val=""/>
      <w:lvlJc w:val="left"/>
    </w:lvl>
    <w:lvl w:ilvl="6" w:tplc="FBA48900">
      <w:numFmt w:val="decimal"/>
      <w:lvlText w:val=""/>
      <w:lvlJc w:val="left"/>
    </w:lvl>
    <w:lvl w:ilvl="7" w:tplc="29308738">
      <w:numFmt w:val="decimal"/>
      <w:lvlText w:val=""/>
      <w:lvlJc w:val="left"/>
    </w:lvl>
    <w:lvl w:ilvl="8" w:tplc="D708DDE0">
      <w:numFmt w:val="decimal"/>
      <w:lvlText w:val=""/>
      <w:lvlJc w:val="left"/>
    </w:lvl>
  </w:abstractNum>
  <w:abstractNum w:abstractNumId="128" w15:restartNumberingAfterBreak="0">
    <w:nsid w:val="0D5355FF"/>
    <w:multiLevelType w:val="hybridMultilevel"/>
    <w:tmpl w:val="DAE2B458"/>
    <w:lvl w:ilvl="0" w:tplc="1226C14E">
      <w:start w:val="1"/>
      <w:numFmt w:val="bullet"/>
      <w:lvlText w:val=""/>
      <w:lvlJc w:val="left"/>
      <w:pPr>
        <w:ind w:left="720" w:hanging="180"/>
      </w:pPr>
      <w:rPr>
        <w:rFonts w:ascii="Symbol" w:hAnsi="Symbol" w:hint="default"/>
      </w:rPr>
    </w:lvl>
    <w:lvl w:ilvl="1" w:tplc="4058D25A">
      <w:numFmt w:val="decimal"/>
      <w:lvlText w:val=""/>
      <w:lvlJc w:val="left"/>
    </w:lvl>
    <w:lvl w:ilvl="2" w:tplc="706C3780">
      <w:numFmt w:val="decimal"/>
      <w:lvlText w:val=""/>
      <w:lvlJc w:val="left"/>
    </w:lvl>
    <w:lvl w:ilvl="3" w:tplc="8EACD7BC">
      <w:numFmt w:val="decimal"/>
      <w:lvlText w:val=""/>
      <w:lvlJc w:val="left"/>
    </w:lvl>
    <w:lvl w:ilvl="4" w:tplc="D8561082">
      <w:numFmt w:val="decimal"/>
      <w:lvlText w:val=""/>
      <w:lvlJc w:val="left"/>
    </w:lvl>
    <w:lvl w:ilvl="5" w:tplc="8E246E7C">
      <w:numFmt w:val="decimal"/>
      <w:lvlText w:val=""/>
      <w:lvlJc w:val="left"/>
    </w:lvl>
    <w:lvl w:ilvl="6" w:tplc="EF48381E">
      <w:numFmt w:val="decimal"/>
      <w:lvlText w:val=""/>
      <w:lvlJc w:val="left"/>
    </w:lvl>
    <w:lvl w:ilvl="7" w:tplc="60BEB5D2">
      <w:numFmt w:val="decimal"/>
      <w:lvlText w:val=""/>
      <w:lvlJc w:val="left"/>
    </w:lvl>
    <w:lvl w:ilvl="8" w:tplc="D3005B16">
      <w:numFmt w:val="decimal"/>
      <w:lvlText w:val=""/>
      <w:lvlJc w:val="left"/>
    </w:lvl>
  </w:abstractNum>
  <w:abstractNum w:abstractNumId="129" w15:restartNumberingAfterBreak="0">
    <w:nsid w:val="0D6C0E68"/>
    <w:multiLevelType w:val="hybridMultilevel"/>
    <w:tmpl w:val="9C780D58"/>
    <w:lvl w:ilvl="0" w:tplc="514E8454">
      <w:start w:val="1"/>
      <w:numFmt w:val="bullet"/>
      <w:lvlText w:val=""/>
      <w:lvlJc w:val="left"/>
      <w:pPr>
        <w:ind w:left="720" w:hanging="180"/>
      </w:pPr>
      <w:rPr>
        <w:rFonts w:ascii="Symbol" w:hAnsi="Symbol" w:hint="default"/>
      </w:rPr>
    </w:lvl>
    <w:lvl w:ilvl="1" w:tplc="0C6CDE66">
      <w:numFmt w:val="decimal"/>
      <w:lvlText w:val=""/>
      <w:lvlJc w:val="left"/>
    </w:lvl>
    <w:lvl w:ilvl="2" w:tplc="71FC3AF6">
      <w:numFmt w:val="decimal"/>
      <w:lvlText w:val=""/>
      <w:lvlJc w:val="left"/>
    </w:lvl>
    <w:lvl w:ilvl="3" w:tplc="7BAACAF6">
      <w:numFmt w:val="decimal"/>
      <w:lvlText w:val=""/>
      <w:lvlJc w:val="left"/>
    </w:lvl>
    <w:lvl w:ilvl="4" w:tplc="BA7CBA34">
      <w:numFmt w:val="decimal"/>
      <w:lvlText w:val=""/>
      <w:lvlJc w:val="left"/>
    </w:lvl>
    <w:lvl w:ilvl="5" w:tplc="0260683A">
      <w:numFmt w:val="decimal"/>
      <w:lvlText w:val=""/>
      <w:lvlJc w:val="left"/>
    </w:lvl>
    <w:lvl w:ilvl="6" w:tplc="E848D7C6">
      <w:numFmt w:val="decimal"/>
      <w:lvlText w:val=""/>
      <w:lvlJc w:val="left"/>
    </w:lvl>
    <w:lvl w:ilvl="7" w:tplc="5F1C4638">
      <w:numFmt w:val="decimal"/>
      <w:lvlText w:val=""/>
      <w:lvlJc w:val="left"/>
    </w:lvl>
    <w:lvl w:ilvl="8" w:tplc="28D288B4">
      <w:numFmt w:val="decimal"/>
      <w:lvlText w:val=""/>
      <w:lvlJc w:val="left"/>
    </w:lvl>
  </w:abstractNum>
  <w:abstractNum w:abstractNumId="130" w15:restartNumberingAfterBreak="0">
    <w:nsid w:val="0D7D2787"/>
    <w:multiLevelType w:val="hybridMultilevel"/>
    <w:tmpl w:val="4FECA744"/>
    <w:lvl w:ilvl="0" w:tplc="44D62290">
      <w:start w:val="1"/>
      <w:numFmt w:val="bullet"/>
      <w:lvlText w:val=""/>
      <w:lvlJc w:val="left"/>
      <w:pPr>
        <w:ind w:left="720" w:hanging="180"/>
      </w:pPr>
      <w:rPr>
        <w:rFonts w:ascii="Symbol" w:hAnsi="Symbol" w:hint="default"/>
      </w:rPr>
    </w:lvl>
    <w:lvl w:ilvl="1" w:tplc="311A38AE">
      <w:numFmt w:val="decimal"/>
      <w:lvlText w:val=""/>
      <w:lvlJc w:val="left"/>
    </w:lvl>
    <w:lvl w:ilvl="2" w:tplc="FAF8AA04">
      <w:numFmt w:val="decimal"/>
      <w:lvlText w:val=""/>
      <w:lvlJc w:val="left"/>
    </w:lvl>
    <w:lvl w:ilvl="3" w:tplc="062C2DEC">
      <w:numFmt w:val="decimal"/>
      <w:lvlText w:val=""/>
      <w:lvlJc w:val="left"/>
    </w:lvl>
    <w:lvl w:ilvl="4" w:tplc="04988A94">
      <w:numFmt w:val="decimal"/>
      <w:lvlText w:val=""/>
      <w:lvlJc w:val="left"/>
    </w:lvl>
    <w:lvl w:ilvl="5" w:tplc="C994EB08">
      <w:numFmt w:val="decimal"/>
      <w:lvlText w:val=""/>
      <w:lvlJc w:val="left"/>
    </w:lvl>
    <w:lvl w:ilvl="6" w:tplc="10C0E25C">
      <w:numFmt w:val="decimal"/>
      <w:lvlText w:val=""/>
      <w:lvlJc w:val="left"/>
    </w:lvl>
    <w:lvl w:ilvl="7" w:tplc="955EB8C4">
      <w:numFmt w:val="decimal"/>
      <w:lvlText w:val=""/>
      <w:lvlJc w:val="left"/>
    </w:lvl>
    <w:lvl w:ilvl="8" w:tplc="AB8A6284">
      <w:numFmt w:val="decimal"/>
      <w:lvlText w:val=""/>
      <w:lvlJc w:val="left"/>
    </w:lvl>
  </w:abstractNum>
  <w:abstractNum w:abstractNumId="131" w15:restartNumberingAfterBreak="0">
    <w:nsid w:val="0DC8695D"/>
    <w:multiLevelType w:val="hybridMultilevel"/>
    <w:tmpl w:val="A7783A5E"/>
    <w:lvl w:ilvl="0" w:tplc="A01E3A70">
      <w:numFmt w:val="decimal"/>
      <w:lvlText w:val=""/>
      <w:lvlJc w:val="left"/>
    </w:lvl>
    <w:lvl w:ilvl="1" w:tplc="346A5202">
      <w:start w:val="1"/>
      <w:numFmt w:val="bullet"/>
      <w:lvlText w:val=""/>
      <w:lvlJc w:val="left"/>
      <w:pPr>
        <w:ind w:left="1440" w:hanging="180"/>
      </w:pPr>
      <w:rPr>
        <w:rFonts w:ascii="Symbol" w:hAnsi="Symbol" w:hint="default"/>
      </w:rPr>
    </w:lvl>
    <w:lvl w:ilvl="2" w:tplc="921C9E58">
      <w:numFmt w:val="decimal"/>
      <w:lvlText w:val=""/>
      <w:lvlJc w:val="left"/>
    </w:lvl>
    <w:lvl w:ilvl="3" w:tplc="18666B6A">
      <w:numFmt w:val="decimal"/>
      <w:lvlText w:val=""/>
      <w:lvlJc w:val="left"/>
    </w:lvl>
    <w:lvl w:ilvl="4" w:tplc="2E4EEEE2">
      <w:numFmt w:val="decimal"/>
      <w:lvlText w:val=""/>
      <w:lvlJc w:val="left"/>
    </w:lvl>
    <w:lvl w:ilvl="5" w:tplc="DBE6872E">
      <w:numFmt w:val="decimal"/>
      <w:lvlText w:val=""/>
      <w:lvlJc w:val="left"/>
    </w:lvl>
    <w:lvl w:ilvl="6" w:tplc="6EF89EEC">
      <w:numFmt w:val="decimal"/>
      <w:lvlText w:val=""/>
      <w:lvlJc w:val="left"/>
    </w:lvl>
    <w:lvl w:ilvl="7" w:tplc="6D6A05CC">
      <w:numFmt w:val="decimal"/>
      <w:lvlText w:val=""/>
      <w:lvlJc w:val="left"/>
    </w:lvl>
    <w:lvl w:ilvl="8" w:tplc="D9FACB34">
      <w:numFmt w:val="decimal"/>
      <w:lvlText w:val=""/>
      <w:lvlJc w:val="left"/>
    </w:lvl>
  </w:abstractNum>
  <w:abstractNum w:abstractNumId="132" w15:restartNumberingAfterBreak="0">
    <w:nsid w:val="0DD56726"/>
    <w:multiLevelType w:val="hybridMultilevel"/>
    <w:tmpl w:val="BAFCEB78"/>
    <w:lvl w:ilvl="0" w:tplc="F996B8EE">
      <w:start w:val="1"/>
      <w:numFmt w:val="bullet"/>
      <w:lvlText w:val=""/>
      <w:lvlJc w:val="left"/>
      <w:pPr>
        <w:ind w:left="720" w:hanging="180"/>
      </w:pPr>
      <w:rPr>
        <w:rFonts w:ascii="Symbol" w:hAnsi="Symbol" w:hint="default"/>
      </w:rPr>
    </w:lvl>
    <w:lvl w:ilvl="1" w:tplc="3BD0FFD4">
      <w:numFmt w:val="decimal"/>
      <w:lvlText w:val=""/>
      <w:lvlJc w:val="left"/>
    </w:lvl>
    <w:lvl w:ilvl="2" w:tplc="2A8C85C2">
      <w:numFmt w:val="decimal"/>
      <w:lvlText w:val=""/>
      <w:lvlJc w:val="left"/>
    </w:lvl>
    <w:lvl w:ilvl="3" w:tplc="F3AC974E">
      <w:numFmt w:val="decimal"/>
      <w:lvlText w:val=""/>
      <w:lvlJc w:val="left"/>
    </w:lvl>
    <w:lvl w:ilvl="4" w:tplc="2EE09B0C">
      <w:numFmt w:val="decimal"/>
      <w:lvlText w:val=""/>
      <w:lvlJc w:val="left"/>
    </w:lvl>
    <w:lvl w:ilvl="5" w:tplc="879005A2">
      <w:numFmt w:val="decimal"/>
      <w:lvlText w:val=""/>
      <w:lvlJc w:val="left"/>
    </w:lvl>
    <w:lvl w:ilvl="6" w:tplc="61F0C5F8">
      <w:numFmt w:val="decimal"/>
      <w:lvlText w:val=""/>
      <w:lvlJc w:val="left"/>
    </w:lvl>
    <w:lvl w:ilvl="7" w:tplc="60C4D62E">
      <w:numFmt w:val="decimal"/>
      <w:lvlText w:val=""/>
      <w:lvlJc w:val="left"/>
    </w:lvl>
    <w:lvl w:ilvl="8" w:tplc="1B84E1CA">
      <w:numFmt w:val="decimal"/>
      <w:lvlText w:val=""/>
      <w:lvlJc w:val="left"/>
    </w:lvl>
  </w:abstractNum>
  <w:abstractNum w:abstractNumId="133" w15:restartNumberingAfterBreak="0">
    <w:nsid w:val="0DEA7D0E"/>
    <w:multiLevelType w:val="hybridMultilevel"/>
    <w:tmpl w:val="B934B9CE"/>
    <w:lvl w:ilvl="0" w:tplc="8586D792">
      <w:start w:val="1"/>
      <w:numFmt w:val="bullet"/>
      <w:lvlText w:val=""/>
      <w:lvlJc w:val="left"/>
      <w:pPr>
        <w:ind w:left="720" w:hanging="180"/>
      </w:pPr>
      <w:rPr>
        <w:rFonts w:ascii="Symbol" w:hAnsi="Symbol" w:hint="default"/>
      </w:rPr>
    </w:lvl>
    <w:lvl w:ilvl="1" w:tplc="903CB9E6">
      <w:numFmt w:val="decimal"/>
      <w:lvlText w:val=""/>
      <w:lvlJc w:val="left"/>
    </w:lvl>
    <w:lvl w:ilvl="2" w:tplc="4CF020EC">
      <w:numFmt w:val="decimal"/>
      <w:lvlText w:val=""/>
      <w:lvlJc w:val="left"/>
    </w:lvl>
    <w:lvl w:ilvl="3" w:tplc="733683C6">
      <w:numFmt w:val="decimal"/>
      <w:lvlText w:val=""/>
      <w:lvlJc w:val="left"/>
    </w:lvl>
    <w:lvl w:ilvl="4" w:tplc="D6480A56">
      <w:numFmt w:val="decimal"/>
      <w:lvlText w:val=""/>
      <w:lvlJc w:val="left"/>
    </w:lvl>
    <w:lvl w:ilvl="5" w:tplc="E54058B8">
      <w:numFmt w:val="decimal"/>
      <w:lvlText w:val=""/>
      <w:lvlJc w:val="left"/>
    </w:lvl>
    <w:lvl w:ilvl="6" w:tplc="14A68212">
      <w:numFmt w:val="decimal"/>
      <w:lvlText w:val=""/>
      <w:lvlJc w:val="left"/>
    </w:lvl>
    <w:lvl w:ilvl="7" w:tplc="6832DF9A">
      <w:numFmt w:val="decimal"/>
      <w:lvlText w:val=""/>
      <w:lvlJc w:val="left"/>
    </w:lvl>
    <w:lvl w:ilvl="8" w:tplc="A0CEAD9E">
      <w:numFmt w:val="decimal"/>
      <w:lvlText w:val=""/>
      <w:lvlJc w:val="left"/>
    </w:lvl>
  </w:abstractNum>
  <w:abstractNum w:abstractNumId="134" w15:restartNumberingAfterBreak="0">
    <w:nsid w:val="0E091C56"/>
    <w:multiLevelType w:val="hybridMultilevel"/>
    <w:tmpl w:val="ACEC4FEA"/>
    <w:lvl w:ilvl="0" w:tplc="1DF6BE6E">
      <w:start w:val="1"/>
      <w:numFmt w:val="bullet"/>
      <w:lvlText w:val=""/>
      <w:lvlJc w:val="left"/>
      <w:pPr>
        <w:ind w:left="720" w:hanging="180"/>
      </w:pPr>
      <w:rPr>
        <w:rFonts w:ascii="Symbol" w:hAnsi="Symbol" w:hint="default"/>
      </w:rPr>
    </w:lvl>
    <w:lvl w:ilvl="1" w:tplc="0EDA3182">
      <w:numFmt w:val="decimal"/>
      <w:lvlText w:val=""/>
      <w:lvlJc w:val="left"/>
    </w:lvl>
    <w:lvl w:ilvl="2" w:tplc="BF40A448">
      <w:numFmt w:val="decimal"/>
      <w:lvlText w:val=""/>
      <w:lvlJc w:val="left"/>
    </w:lvl>
    <w:lvl w:ilvl="3" w:tplc="FC7E2818">
      <w:numFmt w:val="decimal"/>
      <w:lvlText w:val=""/>
      <w:lvlJc w:val="left"/>
    </w:lvl>
    <w:lvl w:ilvl="4" w:tplc="7FC8AD94">
      <w:numFmt w:val="decimal"/>
      <w:lvlText w:val=""/>
      <w:lvlJc w:val="left"/>
    </w:lvl>
    <w:lvl w:ilvl="5" w:tplc="823478C2">
      <w:numFmt w:val="decimal"/>
      <w:lvlText w:val=""/>
      <w:lvlJc w:val="left"/>
    </w:lvl>
    <w:lvl w:ilvl="6" w:tplc="08167412">
      <w:numFmt w:val="decimal"/>
      <w:lvlText w:val=""/>
      <w:lvlJc w:val="left"/>
    </w:lvl>
    <w:lvl w:ilvl="7" w:tplc="6ED69894">
      <w:numFmt w:val="decimal"/>
      <w:lvlText w:val=""/>
      <w:lvlJc w:val="left"/>
    </w:lvl>
    <w:lvl w:ilvl="8" w:tplc="11BE1F5E">
      <w:numFmt w:val="decimal"/>
      <w:lvlText w:val=""/>
      <w:lvlJc w:val="left"/>
    </w:lvl>
  </w:abstractNum>
  <w:abstractNum w:abstractNumId="135" w15:restartNumberingAfterBreak="0">
    <w:nsid w:val="0E1313E0"/>
    <w:multiLevelType w:val="hybridMultilevel"/>
    <w:tmpl w:val="406CC2D4"/>
    <w:lvl w:ilvl="0" w:tplc="D64A5188">
      <w:start w:val="1"/>
      <w:numFmt w:val="bullet"/>
      <w:lvlText w:val=""/>
      <w:lvlJc w:val="left"/>
      <w:pPr>
        <w:ind w:left="720" w:hanging="180"/>
      </w:pPr>
      <w:rPr>
        <w:rFonts w:ascii="Symbol" w:hAnsi="Symbol" w:hint="default"/>
      </w:rPr>
    </w:lvl>
    <w:lvl w:ilvl="1" w:tplc="1F10EAA0">
      <w:numFmt w:val="decimal"/>
      <w:lvlText w:val=""/>
      <w:lvlJc w:val="left"/>
    </w:lvl>
    <w:lvl w:ilvl="2" w:tplc="B3F8B7EA">
      <w:numFmt w:val="decimal"/>
      <w:lvlText w:val=""/>
      <w:lvlJc w:val="left"/>
    </w:lvl>
    <w:lvl w:ilvl="3" w:tplc="0A769A46">
      <w:numFmt w:val="decimal"/>
      <w:lvlText w:val=""/>
      <w:lvlJc w:val="left"/>
    </w:lvl>
    <w:lvl w:ilvl="4" w:tplc="D464B308">
      <w:numFmt w:val="decimal"/>
      <w:lvlText w:val=""/>
      <w:lvlJc w:val="left"/>
    </w:lvl>
    <w:lvl w:ilvl="5" w:tplc="B6321622">
      <w:numFmt w:val="decimal"/>
      <w:lvlText w:val=""/>
      <w:lvlJc w:val="left"/>
    </w:lvl>
    <w:lvl w:ilvl="6" w:tplc="5598394C">
      <w:numFmt w:val="decimal"/>
      <w:lvlText w:val=""/>
      <w:lvlJc w:val="left"/>
    </w:lvl>
    <w:lvl w:ilvl="7" w:tplc="63F07E08">
      <w:numFmt w:val="decimal"/>
      <w:lvlText w:val=""/>
      <w:lvlJc w:val="left"/>
    </w:lvl>
    <w:lvl w:ilvl="8" w:tplc="771A7B96">
      <w:numFmt w:val="decimal"/>
      <w:lvlText w:val=""/>
      <w:lvlJc w:val="left"/>
    </w:lvl>
  </w:abstractNum>
  <w:abstractNum w:abstractNumId="136" w15:restartNumberingAfterBreak="0">
    <w:nsid w:val="0E1F7758"/>
    <w:multiLevelType w:val="hybridMultilevel"/>
    <w:tmpl w:val="70700BD6"/>
    <w:lvl w:ilvl="0" w:tplc="80B2BF5E">
      <w:start w:val="1"/>
      <w:numFmt w:val="bullet"/>
      <w:lvlText w:val=""/>
      <w:lvlJc w:val="left"/>
      <w:pPr>
        <w:ind w:left="720" w:hanging="180"/>
      </w:pPr>
      <w:rPr>
        <w:rFonts w:ascii="Symbol" w:hAnsi="Symbol" w:hint="default"/>
      </w:rPr>
    </w:lvl>
    <w:lvl w:ilvl="1" w:tplc="2E8C228C">
      <w:numFmt w:val="decimal"/>
      <w:lvlText w:val=""/>
      <w:lvlJc w:val="left"/>
    </w:lvl>
    <w:lvl w:ilvl="2" w:tplc="C6C6247E">
      <w:numFmt w:val="decimal"/>
      <w:lvlText w:val=""/>
      <w:lvlJc w:val="left"/>
    </w:lvl>
    <w:lvl w:ilvl="3" w:tplc="819EF618">
      <w:numFmt w:val="decimal"/>
      <w:lvlText w:val=""/>
      <w:lvlJc w:val="left"/>
    </w:lvl>
    <w:lvl w:ilvl="4" w:tplc="78469EF6">
      <w:numFmt w:val="decimal"/>
      <w:lvlText w:val=""/>
      <w:lvlJc w:val="left"/>
    </w:lvl>
    <w:lvl w:ilvl="5" w:tplc="D56E90E2">
      <w:numFmt w:val="decimal"/>
      <w:lvlText w:val=""/>
      <w:lvlJc w:val="left"/>
    </w:lvl>
    <w:lvl w:ilvl="6" w:tplc="9B2C67A0">
      <w:numFmt w:val="decimal"/>
      <w:lvlText w:val=""/>
      <w:lvlJc w:val="left"/>
    </w:lvl>
    <w:lvl w:ilvl="7" w:tplc="F7E48030">
      <w:numFmt w:val="decimal"/>
      <w:lvlText w:val=""/>
      <w:lvlJc w:val="left"/>
    </w:lvl>
    <w:lvl w:ilvl="8" w:tplc="56EE5126">
      <w:numFmt w:val="decimal"/>
      <w:lvlText w:val=""/>
      <w:lvlJc w:val="left"/>
    </w:lvl>
  </w:abstractNum>
  <w:abstractNum w:abstractNumId="137" w15:restartNumberingAfterBreak="0">
    <w:nsid w:val="0E2B48E2"/>
    <w:multiLevelType w:val="hybridMultilevel"/>
    <w:tmpl w:val="A4BAFD1A"/>
    <w:lvl w:ilvl="0" w:tplc="5C8A91C6">
      <w:start w:val="1"/>
      <w:numFmt w:val="bullet"/>
      <w:lvlText w:val=""/>
      <w:lvlJc w:val="left"/>
      <w:pPr>
        <w:ind w:left="720" w:hanging="180"/>
      </w:pPr>
      <w:rPr>
        <w:rFonts w:ascii="Symbol" w:hAnsi="Symbol" w:hint="default"/>
      </w:rPr>
    </w:lvl>
    <w:lvl w:ilvl="1" w:tplc="02607128">
      <w:numFmt w:val="decimal"/>
      <w:lvlText w:val=""/>
      <w:lvlJc w:val="left"/>
    </w:lvl>
    <w:lvl w:ilvl="2" w:tplc="7868CC44">
      <w:numFmt w:val="decimal"/>
      <w:lvlText w:val=""/>
      <w:lvlJc w:val="left"/>
    </w:lvl>
    <w:lvl w:ilvl="3" w:tplc="F470FBA2">
      <w:numFmt w:val="decimal"/>
      <w:lvlText w:val=""/>
      <w:lvlJc w:val="left"/>
    </w:lvl>
    <w:lvl w:ilvl="4" w:tplc="0CCC3A80">
      <w:numFmt w:val="decimal"/>
      <w:lvlText w:val=""/>
      <w:lvlJc w:val="left"/>
    </w:lvl>
    <w:lvl w:ilvl="5" w:tplc="AA4A4392">
      <w:numFmt w:val="decimal"/>
      <w:lvlText w:val=""/>
      <w:lvlJc w:val="left"/>
    </w:lvl>
    <w:lvl w:ilvl="6" w:tplc="8A844A40">
      <w:numFmt w:val="decimal"/>
      <w:lvlText w:val=""/>
      <w:lvlJc w:val="left"/>
    </w:lvl>
    <w:lvl w:ilvl="7" w:tplc="E6DC1CF2">
      <w:numFmt w:val="decimal"/>
      <w:lvlText w:val=""/>
      <w:lvlJc w:val="left"/>
    </w:lvl>
    <w:lvl w:ilvl="8" w:tplc="E80CA4F8">
      <w:numFmt w:val="decimal"/>
      <w:lvlText w:val=""/>
      <w:lvlJc w:val="left"/>
    </w:lvl>
  </w:abstractNum>
  <w:abstractNum w:abstractNumId="138" w15:restartNumberingAfterBreak="0">
    <w:nsid w:val="0E3B2665"/>
    <w:multiLevelType w:val="hybridMultilevel"/>
    <w:tmpl w:val="5A1A1D92"/>
    <w:lvl w:ilvl="0" w:tplc="B35C74A4">
      <w:start w:val="1"/>
      <w:numFmt w:val="bullet"/>
      <w:lvlText w:val=""/>
      <w:lvlJc w:val="left"/>
      <w:pPr>
        <w:ind w:left="720" w:hanging="180"/>
      </w:pPr>
      <w:rPr>
        <w:rFonts w:ascii="Symbol" w:hAnsi="Symbol" w:hint="default"/>
      </w:rPr>
    </w:lvl>
    <w:lvl w:ilvl="1" w:tplc="3594C8A6">
      <w:numFmt w:val="decimal"/>
      <w:lvlText w:val=""/>
      <w:lvlJc w:val="left"/>
    </w:lvl>
    <w:lvl w:ilvl="2" w:tplc="090C9430">
      <w:numFmt w:val="decimal"/>
      <w:lvlText w:val=""/>
      <w:lvlJc w:val="left"/>
    </w:lvl>
    <w:lvl w:ilvl="3" w:tplc="7688B2F0">
      <w:numFmt w:val="decimal"/>
      <w:lvlText w:val=""/>
      <w:lvlJc w:val="left"/>
    </w:lvl>
    <w:lvl w:ilvl="4" w:tplc="42D65A30">
      <w:numFmt w:val="decimal"/>
      <w:lvlText w:val=""/>
      <w:lvlJc w:val="left"/>
    </w:lvl>
    <w:lvl w:ilvl="5" w:tplc="5420A9AA">
      <w:numFmt w:val="decimal"/>
      <w:lvlText w:val=""/>
      <w:lvlJc w:val="left"/>
    </w:lvl>
    <w:lvl w:ilvl="6" w:tplc="669870A2">
      <w:numFmt w:val="decimal"/>
      <w:lvlText w:val=""/>
      <w:lvlJc w:val="left"/>
    </w:lvl>
    <w:lvl w:ilvl="7" w:tplc="8A9A9FBE">
      <w:numFmt w:val="decimal"/>
      <w:lvlText w:val=""/>
      <w:lvlJc w:val="left"/>
    </w:lvl>
    <w:lvl w:ilvl="8" w:tplc="BA8AF87A">
      <w:numFmt w:val="decimal"/>
      <w:lvlText w:val=""/>
      <w:lvlJc w:val="left"/>
    </w:lvl>
  </w:abstractNum>
  <w:abstractNum w:abstractNumId="139" w15:restartNumberingAfterBreak="0">
    <w:nsid w:val="0E551669"/>
    <w:multiLevelType w:val="hybridMultilevel"/>
    <w:tmpl w:val="F9C6AA76"/>
    <w:lvl w:ilvl="0" w:tplc="08983308">
      <w:start w:val="1"/>
      <w:numFmt w:val="bullet"/>
      <w:lvlText w:val=""/>
      <w:lvlJc w:val="left"/>
      <w:pPr>
        <w:ind w:left="720" w:hanging="180"/>
      </w:pPr>
      <w:rPr>
        <w:rFonts w:ascii="Symbol" w:hAnsi="Symbol" w:hint="default"/>
      </w:rPr>
    </w:lvl>
    <w:lvl w:ilvl="1" w:tplc="2F785E62">
      <w:numFmt w:val="decimal"/>
      <w:lvlText w:val=""/>
      <w:lvlJc w:val="left"/>
    </w:lvl>
    <w:lvl w:ilvl="2" w:tplc="33FA8158">
      <w:numFmt w:val="decimal"/>
      <w:lvlText w:val=""/>
      <w:lvlJc w:val="left"/>
    </w:lvl>
    <w:lvl w:ilvl="3" w:tplc="857419A4">
      <w:numFmt w:val="decimal"/>
      <w:lvlText w:val=""/>
      <w:lvlJc w:val="left"/>
    </w:lvl>
    <w:lvl w:ilvl="4" w:tplc="2AC63610">
      <w:numFmt w:val="decimal"/>
      <w:lvlText w:val=""/>
      <w:lvlJc w:val="left"/>
    </w:lvl>
    <w:lvl w:ilvl="5" w:tplc="879CE642">
      <w:numFmt w:val="decimal"/>
      <w:lvlText w:val=""/>
      <w:lvlJc w:val="left"/>
    </w:lvl>
    <w:lvl w:ilvl="6" w:tplc="321250AE">
      <w:numFmt w:val="decimal"/>
      <w:lvlText w:val=""/>
      <w:lvlJc w:val="left"/>
    </w:lvl>
    <w:lvl w:ilvl="7" w:tplc="7CC622AE">
      <w:numFmt w:val="decimal"/>
      <w:lvlText w:val=""/>
      <w:lvlJc w:val="left"/>
    </w:lvl>
    <w:lvl w:ilvl="8" w:tplc="DDAA7120">
      <w:numFmt w:val="decimal"/>
      <w:lvlText w:val=""/>
      <w:lvlJc w:val="left"/>
    </w:lvl>
  </w:abstractNum>
  <w:abstractNum w:abstractNumId="140" w15:restartNumberingAfterBreak="0">
    <w:nsid w:val="0E8079C2"/>
    <w:multiLevelType w:val="hybridMultilevel"/>
    <w:tmpl w:val="98A6C3C2"/>
    <w:lvl w:ilvl="0" w:tplc="685AB82C">
      <w:start w:val="1"/>
      <w:numFmt w:val="bullet"/>
      <w:lvlText w:val=""/>
      <w:lvlJc w:val="left"/>
      <w:pPr>
        <w:ind w:left="720" w:hanging="180"/>
      </w:pPr>
      <w:rPr>
        <w:rFonts w:ascii="Symbol" w:hAnsi="Symbol" w:hint="default"/>
      </w:rPr>
    </w:lvl>
    <w:lvl w:ilvl="1" w:tplc="02F85BB8">
      <w:numFmt w:val="decimal"/>
      <w:lvlText w:val=""/>
      <w:lvlJc w:val="left"/>
    </w:lvl>
    <w:lvl w:ilvl="2" w:tplc="30987C5A">
      <w:numFmt w:val="decimal"/>
      <w:lvlText w:val=""/>
      <w:lvlJc w:val="left"/>
    </w:lvl>
    <w:lvl w:ilvl="3" w:tplc="EAF67E52">
      <w:numFmt w:val="decimal"/>
      <w:lvlText w:val=""/>
      <w:lvlJc w:val="left"/>
    </w:lvl>
    <w:lvl w:ilvl="4" w:tplc="9D5690A0">
      <w:numFmt w:val="decimal"/>
      <w:lvlText w:val=""/>
      <w:lvlJc w:val="left"/>
    </w:lvl>
    <w:lvl w:ilvl="5" w:tplc="ABAC9724">
      <w:numFmt w:val="decimal"/>
      <w:lvlText w:val=""/>
      <w:lvlJc w:val="left"/>
    </w:lvl>
    <w:lvl w:ilvl="6" w:tplc="B5589660">
      <w:numFmt w:val="decimal"/>
      <w:lvlText w:val=""/>
      <w:lvlJc w:val="left"/>
    </w:lvl>
    <w:lvl w:ilvl="7" w:tplc="85327892">
      <w:numFmt w:val="decimal"/>
      <w:lvlText w:val=""/>
      <w:lvlJc w:val="left"/>
    </w:lvl>
    <w:lvl w:ilvl="8" w:tplc="1C9E3A7A">
      <w:numFmt w:val="decimal"/>
      <w:lvlText w:val=""/>
      <w:lvlJc w:val="left"/>
    </w:lvl>
  </w:abstractNum>
  <w:abstractNum w:abstractNumId="141" w15:restartNumberingAfterBreak="0">
    <w:nsid w:val="0E811E10"/>
    <w:multiLevelType w:val="hybridMultilevel"/>
    <w:tmpl w:val="FECA24F6"/>
    <w:lvl w:ilvl="0" w:tplc="6F580C54">
      <w:start w:val="1"/>
      <w:numFmt w:val="bullet"/>
      <w:lvlText w:val=""/>
      <w:lvlJc w:val="left"/>
      <w:pPr>
        <w:ind w:left="720" w:hanging="180"/>
      </w:pPr>
      <w:rPr>
        <w:rFonts w:ascii="Symbol" w:hAnsi="Symbol" w:hint="default"/>
      </w:rPr>
    </w:lvl>
    <w:lvl w:ilvl="1" w:tplc="2EFCE278">
      <w:numFmt w:val="decimal"/>
      <w:lvlText w:val=""/>
      <w:lvlJc w:val="left"/>
    </w:lvl>
    <w:lvl w:ilvl="2" w:tplc="9AF8A6F6">
      <w:numFmt w:val="decimal"/>
      <w:lvlText w:val=""/>
      <w:lvlJc w:val="left"/>
    </w:lvl>
    <w:lvl w:ilvl="3" w:tplc="B09E35F0">
      <w:numFmt w:val="decimal"/>
      <w:lvlText w:val=""/>
      <w:lvlJc w:val="left"/>
    </w:lvl>
    <w:lvl w:ilvl="4" w:tplc="91F29B98">
      <w:numFmt w:val="decimal"/>
      <w:lvlText w:val=""/>
      <w:lvlJc w:val="left"/>
    </w:lvl>
    <w:lvl w:ilvl="5" w:tplc="B9765B9A">
      <w:numFmt w:val="decimal"/>
      <w:lvlText w:val=""/>
      <w:lvlJc w:val="left"/>
    </w:lvl>
    <w:lvl w:ilvl="6" w:tplc="8798669A">
      <w:numFmt w:val="decimal"/>
      <w:lvlText w:val=""/>
      <w:lvlJc w:val="left"/>
    </w:lvl>
    <w:lvl w:ilvl="7" w:tplc="C26E9816">
      <w:numFmt w:val="decimal"/>
      <w:lvlText w:val=""/>
      <w:lvlJc w:val="left"/>
    </w:lvl>
    <w:lvl w:ilvl="8" w:tplc="27C2C4CA">
      <w:numFmt w:val="decimal"/>
      <w:lvlText w:val=""/>
      <w:lvlJc w:val="left"/>
    </w:lvl>
  </w:abstractNum>
  <w:abstractNum w:abstractNumId="142" w15:restartNumberingAfterBreak="0">
    <w:nsid w:val="0EDF21B5"/>
    <w:multiLevelType w:val="hybridMultilevel"/>
    <w:tmpl w:val="90488EC0"/>
    <w:lvl w:ilvl="0" w:tplc="C90E9808">
      <w:start w:val="1"/>
      <w:numFmt w:val="bullet"/>
      <w:lvlText w:val=""/>
      <w:lvlJc w:val="left"/>
      <w:pPr>
        <w:ind w:left="720" w:hanging="180"/>
      </w:pPr>
      <w:rPr>
        <w:rFonts w:ascii="Symbol" w:hAnsi="Symbol" w:hint="default"/>
      </w:rPr>
    </w:lvl>
    <w:lvl w:ilvl="1" w:tplc="1A1E67D4">
      <w:numFmt w:val="decimal"/>
      <w:lvlText w:val=""/>
      <w:lvlJc w:val="left"/>
    </w:lvl>
    <w:lvl w:ilvl="2" w:tplc="AB2AED1A">
      <w:numFmt w:val="decimal"/>
      <w:lvlText w:val=""/>
      <w:lvlJc w:val="left"/>
    </w:lvl>
    <w:lvl w:ilvl="3" w:tplc="A1163644">
      <w:numFmt w:val="decimal"/>
      <w:lvlText w:val=""/>
      <w:lvlJc w:val="left"/>
    </w:lvl>
    <w:lvl w:ilvl="4" w:tplc="3DE8648A">
      <w:numFmt w:val="decimal"/>
      <w:lvlText w:val=""/>
      <w:lvlJc w:val="left"/>
    </w:lvl>
    <w:lvl w:ilvl="5" w:tplc="82D25290">
      <w:numFmt w:val="decimal"/>
      <w:lvlText w:val=""/>
      <w:lvlJc w:val="left"/>
    </w:lvl>
    <w:lvl w:ilvl="6" w:tplc="E2D2410A">
      <w:numFmt w:val="decimal"/>
      <w:lvlText w:val=""/>
      <w:lvlJc w:val="left"/>
    </w:lvl>
    <w:lvl w:ilvl="7" w:tplc="7416F7F4">
      <w:numFmt w:val="decimal"/>
      <w:lvlText w:val=""/>
      <w:lvlJc w:val="left"/>
    </w:lvl>
    <w:lvl w:ilvl="8" w:tplc="07CA2C56">
      <w:numFmt w:val="decimal"/>
      <w:lvlText w:val=""/>
      <w:lvlJc w:val="left"/>
    </w:lvl>
  </w:abstractNum>
  <w:abstractNum w:abstractNumId="143" w15:restartNumberingAfterBreak="0">
    <w:nsid w:val="0EEC1396"/>
    <w:multiLevelType w:val="hybridMultilevel"/>
    <w:tmpl w:val="3CCE2B10"/>
    <w:lvl w:ilvl="0" w:tplc="4F7820AE">
      <w:start w:val="1"/>
      <w:numFmt w:val="bullet"/>
      <w:lvlText w:val=""/>
      <w:lvlJc w:val="left"/>
      <w:pPr>
        <w:ind w:left="720" w:hanging="180"/>
      </w:pPr>
      <w:rPr>
        <w:rFonts w:ascii="Symbol" w:hAnsi="Symbol" w:hint="default"/>
      </w:rPr>
    </w:lvl>
    <w:lvl w:ilvl="1" w:tplc="F654B118">
      <w:numFmt w:val="decimal"/>
      <w:lvlText w:val=""/>
      <w:lvlJc w:val="left"/>
    </w:lvl>
    <w:lvl w:ilvl="2" w:tplc="5B74F3E0">
      <w:numFmt w:val="decimal"/>
      <w:lvlText w:val=""/>
      <w:lvlJc w:val="left"/>
    </w:lvl>
    <w:lvl w:ilvl="3" w:tplc="673E0E60">
      <w:numFmt w:val="decimal"/>
      <w:lvlText w:val=""/>
      <w:lvlJc w:val="left"/>
    </w:lvl>
    <w:lvl w:ilvl="4" w:tplc="C7B88D14">
      <w:numFmt w:val="decimal"/>
      <w:lvlText w:val=""/>
      <w:lvlJc w:val="left"/>
    </w:lvl>
    <w:lvl w:ilvl="5" w:tplc="BDD29250">
      <w:numFmt w:val="decimal"/>
      <w:lvlText w:val=""/>
      <w:lvlJc w:val="left"/>
    </w:lvl>
    <w:lvl w:ilvl="6" w:tplc="8CF284EC">
      <w:numFmt w:val="decimal"/>
      <w:lvlText w:val=""/>
      <w:lvlJc w:val="left"/>
    </w:lvl>
    <w:lvl w:ilvl="7" w:tplc="B3728C80">
      <w:numFmt w:val="decimal"/>
      <w:lvlText w:val=""/>
      <w:lvlJc w:val="left"/>
    </w:lvl>
    <w:lvl w:ilvl="8" w:tplc="AE1C161C">
      <w:numFmt w:val="decimal"/>
      <w:lvlText w:val=""/>
      <w:lvlJc w:val="left"/>
    </w:lvl>
  </w:abstractNum>
  <w:abstractNum w:abstractNumId="144" w15:restartNumberingAfterBreak="0">
    <w:nsid w:val="0F061BA3"/>
    <w:multiLevelType w:val="hybridMultilevel"/>
    <w:tmpl w:val="D10668E0"/>
    <w:lvl w:ilvl="0" w:tplc="E168FB44">
      <w:start w:val="1"/>
      <w:numFmt w:val="bullet"/>
      <w:lvlText w:val=""/>
      <w:lvlJc w:val="left"/>
      <w:pPr>
        <w:ind w:left="720" w:hanging="180"/>
      </w:pPr>
      <w:rPr>
        <w:rFonts w:ascii="Symbol" w:hAnsi="Symbol" w:hint="default"/>
      </w:rPr>
    </w:lvl>
    <w:lvl w:ilvl="1" w:tplc="EE2A4A0E">
      <w:numFmt w:val="decimal"/>
      <w:lvlText w:val=""/>
      <w:lvlJc w:val="left"/>
    </w:lvl>
    <w:lvl w:ilvl="2" w:tplc="7D941860">
      <w:numFmt w:val="decimal"/>
      <w:lvlText w:val=""/>
      <w:lvlJc w:val="left"/>
    </w:lvl>
    <w:lvl w:ilvl="3" w:tplc="6E484968">
      <w:numFmt w:val="decimal"/>
      <w:lvlText w:val=""/>
      <w:lvlJc w:val="left"/>
    </w:lvl>
    <w:lvl w:ilvl="4" w:tplc="79D8B3A0">
      <w:numFmt w:val="decimal"/>
      <w:lvlText w:val=""/>
      <w:lvlJc w:val="left"/>
    </w:lvl>
    <w:lvl w:ilvl="5" w:tplc="85BAC1E4">
      <w:numFmt w:val="decimal"/>
      <w:lvlText w:val=""/>
      <w:lvlJc w:val="left"/>
    </w:lvl>
    <w:lvl w:ilvl="6" w:tplc="DE924A7C">
      <w:numFmt w:val="decimal"/>
      <w:lvlText w:val=""/>
      <w:lvlJc w:val="left"/>
    </w:lvl>
    <w:lvl w:ilvl="7" w:tplc="03288C84">
      <w:numFmt w:val="decimal"/>
      <w:lvlText w:val=""/>
      <w:lvlJc w:val="left"/>
    </w:lvl>
    <w:lvl w:ilvl="8" w:tplc="0D84EBEA">
      <w:numFmt w:val="decimal"/>
      <w:lvlText w:val=""/>
      <w:lvlJc w:val="left"/>
    </w:lvl>
  </w:abstractNum>
  <w:abstractNum w:abstractNumId="145" w15:restartNumberingAfterBreak="0">
    <w:nsid w:val="0F1849AC"/>
    <w:multiLevelType w:val="hybridMultilevel"/>
    <w:tmpl w:val="33D254B6"/>
    <w:lvl w:ilvl="0" w:tplc="2F9E28DA">
      <w:start w:val="1"/>
      <w:numFmt w:val="bullet"/>
      <w:lvlText w:val=""/>
      <w:lvlJc w:val="left"/>
      <w:pPr>
        <w:ind w:left="720" w:hanging="180"/>
      </w:pPr>
      <w:rPr>
        <w:rFonts w:ascii="Symbol" w:hAnsi="Symbol" w:hint="default"/>
      </w:rPr>
    </w:lvl>
    <w:lvl w:ilvl="1" w:tplc="98987922">
      <w:numFmt w:val="decimal"/>
      <w:lvlText w:val=""/>
      <w:lvlJc w:val="left"/>
    </w:lvl>
    <w:lvl w:ilvl="2" w:tplc="AFBEC1A8">
      <w:numFmt w:val="decimal"/>
      <w:lvlText w:val=""/>
      <w:lvlJc w:val="left"/>
    </w:lvl>
    <w:lvl w:ilvl="3" w:tplc="CAC22A0A">
      <w:numFmt w:val="decimal"/>
      <w:lvlText w:val=""/>
      <w:lvlJc w:val="left"/>
    </w:lvl>
    <w:lvl w:ilvl="4" w:tplc="4762F090">
      <w:numFmt w:val="decimal"/>
      <w:lvlText w:val=""/>
      <w:lvlJc w:val="left"/>
    </w:lvl>
    <w:lvl w:ilvl="5" w:tplc="661E2524">
      <w:numFmt w:val="decimal"/>
      <w:lvlText w:val=""/>
      <w:lvlJc w:val="left"/>
    </w:lvl>
    <w:lvl w:ilvl="6" w:tplc="25CC8C52">
      <w:numFmt w:val="decimal"/>
      <w:lvlText w:val=""/>
      <w:lvlJc w:val="left"/>
    </w:lvl>
    <w:lvl w:ilvl="7" w:tplc="9B882358">
      <w:numFmt w:val="decimal"/>
      <w:lvlText w:val=""/>
      <w:lvlJc w:val="left"/>
    </w:lvl>
    <w:lvl w:ilvl="8" w:tplc="4FD04636">
      <w:numFmt w:val="decimal"/>
      <w:lvlText w:val=""/>
      <w:lvlJc w:val="left"/>
    </w:lvl>
  </w:abstractNum>
  <w:abstractNum w:abstractNumId="146" w15:restartNumberingAfterBreak="0">
    <w:nsid w:val="0F1E269E"/>
    <w:multiLevelType w:val="hybridMultilevel"/>
    <w:tmpl w:val="53A67518"/>
    <w:lvl w:ilvl="0" w:tplc="79E2579A">
      <w:start w:val="1"/>
      <w:numFmt w:val="bullet"/>
      <w:lvlText w:val=""/>
      <w:lvlJc w:val="left"/>
      <w:pPr>
        <w:ind w:left="720" w:hanging="180"/>
      </w:pPr>
      <w:rPr>
        <w:rFonts w:ascii="Symbol" w:hAnsi="Symbol" w:hint="default"/>
      </w:rPr>
    </w:lvl>
    <w:lvl w:ilvl="1" w:tplc="2F1CA80E">
      <w:numFmt w:val="decimal"/>
      <w:lvlText w:val=""/>
      <w:lvlJc w:val="left"/>
    </w:lvl>
    <w:lvl w:ilvl="2" w:tplc="942A7250">
      <w:numFmt w:val="decimal"/>
      <w:lvlText w:val=""/>
      <w:lvlJc w:val="left"/>
    </w:lvl>
    <w:lvl w:ilvl="3" w:tplc="C9E4EA9C">
      <w:numFmt w:val="decimal"/>
      <w:lvlText w:val=""/>
      <w:lvlJc w:val="left"/>
    </w:lvl>
    <w:lvl w:ilvl="4" w:tplc="06789E58">
      <w:numFmt w:val="decimal"/>
      <w:lvlText w:val=""/>
      <w:lvlJc w:val="left"/>
    </w:lvl>
    <w:lvl w:ilvl="5" w:tplc="35CE7A98">
      <w:numFmt w:val="decimal"/>
      <w:lvlText w:val=""/>
      <w:lvlJc w:val="left"/>
    </w:lvl>
    <w:lvl w:ilvl="6" w:tplc="93048A8C">
      <w:numFmt w:val="decimal"/>
      <w:lvlText w:val=""/>
      <w:lvlJc w:val="left"/>
    </w:lvl>
    <w:lvl w:ilvl="7" w:tplc="C408EB24">
      <w:numFmt w:val="decimal"/>
      <w:lvlText w:val=""/>
      <w:lvlJc w:val="left"/>
    </w:lvl>
    <w:lvl w:ilvl="8" w:tplc="8258D944">
      <w:numFmt w:val="decimal"/>
      <w:lvlText w:val=""/>
      <w:lvlJc w:val="left"/>
    </w:lvl>
  </w:abstractNum>
  <w:abstractNum w:abstractNumId="147" w15:restartNumberingAfterBreak="0">
    <w:nsid w:val="0F7476E7"/>
    <w:multiLevelType w:val="hybridMultilevel"/>
    <w:tmpl w:val="A05A34EC"/>
    <w:lvl w:ilvl="0" w:tplc="911ED85C">
      <w:start w:val="1"/>
      <w:numFmt w:val="bullet"/>
      <w:lvlText w:val=""/>
      <w:lvlJc w:val="left"/>
      <w:pPr>
        <w:ind w:left="720" w:hanging="180"/>
      </w:pPr>
      <w:rPr>
        <w:rFonts w:ascii="Symbol" w:hAnsi="Symbol" w:hint="default"/>
      </w:rPr>
    </w:lvl>
    <w:lvl w:ilvl="1" w:tplc="D7C07FE2">
      <w:numFmt w:val="decimal"/>
      <w:lvlText w:val=""/>
      <w:lvlJc w:val="left"/>
    </w:lvl>
    <w:lvl w:ilvl="2" w:tplc="60B0BAFE">
      <w:numFmt w:val="decimal"/>
      <w:lvlText w:val=""/>
      <w:lvlJc w:val="left"/>
    </w:lvl>
    <w:lvl w:ilvl="3" w:tplc="27206C86">
      <w:numFmt w:val="decimal"/>
      <w:lvlText w:val=""/>
      <w:lvlJc w:val="left"/>
    </w:lvl>
    <w:lvl w:ilvl="4" w:tplc="CB6EBB26">
      <w:numFmt w:val="decimal"/>
      <w:lvlText w:val=""/>
      <w:lvlJc w:val="left"/>
    </w:lvl>
    <w:lvl w:ilvl="5" w:tplc="2D3EE796">
      <w:numFmt w:val="decimal"/>
      <w:lvlText w:val=""/>
      <w:lvlJc w:val="left"/>
    </w:lvl>
    <w:lvl w:ilvl="6" w:tplc="146249B0">
      <w:numFmt w:val="decimal"/>
      <w:lvlText w:val=""/>
      <w:lvlJc w:val="left"/>
    </w:lvl>
    <w:lvl w:ilvl="7" w:tplc="7D3CD0FC">
      <w:numFmt w:val="decimal"/>
      <w:lvlText w:val=""/>
      <w:lvlJc w:val="left"/>
    </w:lvl>
    <w:lvl w:ilvl="8" w:tplc="FF18BF4E">
      <w:numFmt w:val="decimal"/>
      <w:lvlText w:val=""/>
      <w:lvlJc w:val="left"/>
    </w:lvl>
  </w:abstractNum>
  <w:abstractNum w:abstractNumId="148" w15:restartNumberingAfterBreak="0">
    <w:nsid w:val="0FB84A90"/>
    <w:multiLevelType w:val="hybridMultilevel"/>
    <w:tmpl w:val="836AF266"/>
    <w:lvl w:ilvl="0" w:tplc="FE28CF2C">
      <w:start w:val="1"/>
      <w:numFmt w:val="bullet"/>
      <w:lvlText w:val=""/>
      <w:lvlJc w:val="left"/>
      <w:pPr>
        <w:ind w:left="720" w:hanging="180"/>
      </w:pPr>
      <w:rPr>
        <w:rFonts w:ascii="Symbol" w:hAnsi="Symbol" w:hint="default"/>
      </w:rPr>
    </w:lvl>
    <w:lvl w:ilvl="1" w:tplc="500086BC">
      <w:numFmt w:val="decimal"/>
      <w:lvlText w:val=""/>
      <w:lvlJc w:val="left"/>
    </w:lvl>
    <w:lvl w:ilvl="2" w:tplc="7A466158">
      <w:numFmt w:val="decimal"/>
      <w:lvlText w:val=""/>
      <w:lvlJc w:val="left"/>
    </w:lvl>
    <w:lvl w:ilvl="3" w:tplc="F822E720">
      <w:numFmt w:val="decimal"/>
      <w:lvlText w:val=""/>
      <w:lvlJc w:val="left"/>
    </w:lvl>
    <w:lvl w:ilvl="4" w:tplc="3FAC3DEA">
      <w:numFmt w:val="decimal"/>
      <w:lvlText w:val=""/>
      <w:lvlJc w:val="left"/>
    </w:lvl>
    <w:lvl w:ilvl="5" w:tplc="C468505C">
      <w:numFmt w:val="decimal"/>
      <w:lvlText w:val=""/>
      <w:lvlJc w:val="left"/>
    </w:lvl>
    <w:lvl w:ilvl="6" w:tplc="577A7A92">
      <w:numFmt w:val="decimal"/>
      <w:lvlText w:val=""/>
      <w:lvlJc w:val="left"/>
    </w:lvl>
    <w:lvl w:ilvl="7" w:tplc="D36EA37A">
      <w:numFmt w:val="decimal"/>
      <w:lvlText w:val=""/>
      <w:lvlJc w:val="left"/>
    </w:lvl>
    <w:lvl w:ilvl="8" w:tplc="FA46E23E">
      <w:numFmt w:val="decimal"/>
      <w:lvlText w:val=""/>
      <w:lvlJc w:val="left"/>
    </w:lvl>
  </w:abstractNum>
  <w:abstractNum w:abstractNumId="149" w15:restartNumberingAfterBreak="0">
    <w:nsid w:val="0FBF32A6"/>
    <w:multiLevelType w:val="hybridMultilevel"/>
    <w:tmpl w:val="B46C3CF2"/>
    <w:lvl w:ilvl="0" w:tplc="8E782414">
      <w:start w:val="1"/>
      <w:numFmt w:val="bullet"/>
      <w:lvlText w:val=""/>
      <w:lvlJc w:val="left"/>
      <w:pPr>
        <w:ind w:left="720" w:hanging="180"/>
      </w:pPr>
      <w:rPr>
        <w:rFonts w:ascii="Symbol" w:hAnsi="Symbol" w:hint="default"/>
      </w:rPr>
    </w:lvl>
    <w:lvl w:ilvl="1" w:tplc="8522CF4C">
      <w:numFmt w:val="decimal"/>
      <w:lvlText w:val=""/>
      <w:lvlJc w:val="left"/>
    </w:lvl>
    <w:lvl w:ilvl="2" w:tplc="436AB846">
      <w:numFmt w:val="decimal"/>
      <w:lvlText w:val=""/>
      <w:lvlJc w:val="left"/>
    </w:lvl>
    <w:lvl w:ilvl="3" w:tplc="CB3A1538">
      <w:numFmt w:val="decimal"/>
      <w:lvlText w:val=""/>
      <w:lvlJc w:val="left"/>
    </w:lvl>
    <w:lvl w:ilvl="4" w:tplc="5DF62C2C">
      <w:numFmt w:val="decimal"/>
      <w:lvlText w:val=""/>
      <w:lvlJc w:val="left"/>
    </w:lvl>
    <w:lvl w:ilvl="5" w:tplc="F04068C2">
      <w:numFmt w:val="decimal"/>
      <w:lvlText w:val=""/>
      <w:lvlJc w:val="left"/>
    </w:lvl>
    <w:lvl w:ilvl="6" w:tplc="3D6CBDF4">
      <w:numFmt w:val="decimal"/>
      <w:lvlText w:val=""/>
      <w:lvlJc w:val="left"/>
    </w:lvl>
    <w:lvl w:ilvl="7" w:tplc="AF4C958C">
      <w:numFmt w:val="decimal"/>
      <w:lvlText w:val=""/>
      <w:lvlJc w:val="left"/>
    </w:lvl>
    <w:lvl w:ilvl="8" w:tplc="C786191E">
      <w:numFmt w:val="decimal"/>
      <w:lvlText w:val=""/>
      <w:lvlJc w:val="left"/>
    </w:lvl>
  </w:abstractNum>
  <w:abstractNum w:abstractNumId="150" w15:restartNumberingAfterBreak="0">
    <w:nsid w:val="0FD100F0"/>
    <w:multiLevelType w:val="hybridMultilevel"/>
    <w:tmpl w:val="3A2ABDAA"/>
    <w:lvl w:ilvl="0" w:tplc="9616579C">
      <w:start w:val="1"/>
      <w:numFmt w:val="bullet"/>
      <w:lvlText w:val=""/>
      <w:lvlJc w:val="left"/>
      <w:pPr>
        <w:ind w:left="720" w:hanging="180"/>
      </w:pPr>
      <w:rPr>
        <w:rFonts w:ascii="Symbol" w:hAnsi="Symbol" w:hint="default"/>
      </w:rPr>
    </w:lvl>
    <w:lvl w:ilvl="1" w:tplc="5E622938">
      <w:numFmt w:val="decimal"/>
      <w:lvlText w:val=""/>
      <w:lvlJc w:val="left"/>
    </w:lvl>
    <w:lvl w:ilvl="2" w:tplc="CD5A85EE">
      <w:numFmt w:val="decimal"/>
      <w:lvlText w:val=""/>
      <w:lvlJc w:val="left"/>
    </w:lvl>
    <w:lvl w:ilvl="3" w:tplc="8E62A91A">
      <w:numFmt w:val="decimal"/>
      <w:lvlText w:val=""/>
      <w:lvlJc w:val="left"/>
    </w:lvl>
    <w:lvl w:ilvl="4" w:tplc="D06A29AC">
      <w:numFmt w:val="decimal"/>
      <w:lvlText w:val=""/>
      <w:lvlJc w:val="left"/>
    </w:lvl>
    <w:lvl w:ilvl="5" w:tplc="10560F34">
      <w:numFmt w:val="decimal"/>
      <w:lvlText w:val=""/>
      <w:lvlJc w:val="left"/>
    </w:lvl>
    <w:lvl w:ilvl="6" w:tplc="B96E33F8">
      <w:numFmt w:val="decimal"/>
      <w:lvlText w:val=""/>
      <w:lvlJc w:val="left"/>
    </w:lvl>
    <w:lvl w:ilvl="7" w:tplc="0C825640">
      <w:numFmt w:val="decimal"/>
      <w:lvlText w:val=""/>
      <w:lvlJc w:val="left"/>
    </w:lvl>
    <w:lvl w:ilvl="8" w:tplc="3AD2F85C">
      <w:numFmt w:val="decimal"/>
      <w:lvlText w:val=""/>
      <w:lvlJc w:val="left"/>
    </w:lvl>
  </w:abstractNum>
  <w:abstractNum w:abstractNumId="151" w15:restartNumberingAfterBreak="0">
    <w:nsid w:val="0FE73BCA"/>
    <w:multiLevelType w:val="hybridMultilevel"/>
    <w:tmpl w:val="CB04D87A"/>
    <w:lvl w:ilvl="0" w:tplc="4AD6612C">
      <w:start w:val="1"/>
      <w:numFmt w:val="bullet"/>
      <w:lvlText w:val=""/>
      <w:lvlJc w:val="left"/>
      <w:pPr>
        <w:ind w:left="720" w:hanging="180"/>
      </w:pPr>
      <w:rPr>
        <w:rFonts w:ascii="Symbol" w:hAnsi="Symbol" w:hint="default"/>
      </w:rPr>
    </w:lvl>
    <w:lvl w:ilvl="1" w:tplc="309C1B7A">
      <w:numFmt w:val="decimal"/>
      <w:lvlText w:val=""/>
      <w:lvlJc w:val="left"/>
    </w:lvl>
    <w:lvl w:ilvl="2" w:tplc="8C10C9B2">
      <w:numFmt w:val="decimal"/>
      <w:lvlText w:val=""/>
      <w:lvlJc w:val="left"/>
    </w:lvl>
    <w:lvl w:ilvl="3" w:tplc="3D82FE00">
      <w:numFmt w:val="decimal"/>
      <w:lvlText w:val=""/>
      <w:lvlJc w:val="left"/>
    </w:lvl>
    <w:lvl w:ilvl="4" w:tplc="D34EDAA6">
      <w:numFmt w:val="decimal"/>
      <w:lvlText w:val=""/>
      <w:lvlJc w:val="left"/>
    </w:lvl>
    <w:lvl w:ilvl="5" w:tplc="A3C8DC52">
      <w:numFmt w:val="decimal"/>
      <w:lvlText w:val=""/>
      <w:lvlJc w:val="left"/>
    </w:lvl>
    <w:lvl w:ilvl="6" w:tplc="D1ECD630">
      <w:numFmt w:val="decimal"/>
      <w:lvlText w:val=""/>
      <w:lvlJc w:val="left"/>
    </w:lvl>
    <w:lvl w:ilvl="7" w:tplc="8AC4F780">
      <w:numFmt w:val="decimal"/>
      <w:lvlText w:val=""/>
      <w:lvlJc w:val="left"/>
    </w:lvl>
    <w:lvl w:ilvl="8" w:tplc="71EA8E3A">
      <w:numFmt w:val="decimal"/>
      <w:lvlText w:val=""/>
      <w:lvlJc w:val="left"/>
    </w:lvl>
  </w:abstractNum>
  <w:abstractNum w:abstractNumId="152" w15:restartNumberingAfterBreak="0">
    <w:nsid w:val="0FF4321F"/>
    <w:multiLevelType w:val="hybridMultilevel"/>
    <w:tmpl w:val="35824562"/>
    <w:lvl w:ilvl="0" w:tplc="475E7688">
      <w:start w:val="1"/>
      <w:numFmt w:val="bullet"/>
      <w:lvlText w:val=""/>
      <w:lvlJc w:val="left"/>
      <w:pPr>
        <w:ind w:left="720" w:hanging="180"/>
      </w:pPr>
      <w:rPr>
        <w:rFonts w:ascii="Symbol" w:hAnsi="Symbol" w:hint="default"/>
      </w:rPr>
    </w:lvl>
    <w:lvl w:ilvl="1" w:tplc="AAA645FE">
      <w:numFmt w:val="decimal"/>
      <w:lvlText w:val=""/>
      <w:lvlJc w:val="left"/>
    </w:lvl>
    <w:lvl w:ilvl="2" w:tplc="94F0265A">
      <w:numFmt w:val="decimal"/>
      <w:lvlText w:val=""/>
      <w:lvlJc w:val="left"/>
    </w:lvl>
    <w:lvl w:ilvl="3" w:tplc="90383B6E">
      <w:numFmt w:val="decimal"/>
      <w:lvlText w:val=""/>
      <w:lvlJc w:val="left"/>
    </w:lvl>
    <w:lvl w:ilvl="4" w:tplc="71B6B9A2">
      <w:numFmt w:val="decimal"/>
      <w:lvlText w:val=""/>
      <w:lvlJc w:val="left"/>
    </w:lvl>
    <w:lvl w:ilvl="5" w:tplc="0DF023B6">
      <w:numFmt w:val="decimal"/>
      <w:lvlText w:val=""/>
      <w:lvlJc w:val="left"/>
    </w:lvl>
    <w:lvl w:ilvl="6" w:tplc="456C972E">
      <w:numFmt w:val="decimal"/>
      <w:lvlText w:val=""/>
      <w:lvlJc w:val="left"/>
    </w:lvl>
    <w:lvl w:ilvl="7" w:tplc="3D264498">
      <w:numFmt w:val="decimal"/>
      <w:lvlText w:val=""/>
      <w:lvlJc w:val="left"/>
    </w:lvl>
    <w:lvl w:ilvl="8" w:tplc="EBC22356">
      <w:numFmt w:val="decimal"/>
      <w:lvlText w:val=""/>
      <w:lvlJc w:val="left"/>
    </w:lvl>
  </w:abstractNum>
  <w:abstractNum w:abstractNumId="153" w15:restartNumberingAfterBreak="0">
    <w:nsid w:val="0FFC793B"/>
    <w:multiLevelType w:val="hybridMultilevel"/>
    <w:tmpl w:val="511C3426"/>
    <w:lvl w:ilvl="0" w:tplc="16A4E9C6">
      <w:start w:val="1"/>
      <w:numFmt w:val="bullet"/>
      <w:lvlText w:val=""/>
      <w:lvlJc w:val="left"/>
      <w:pPr>
        <w:ind w:left="720" w:hanging="180"/>
      </w:pPr>
      <w:rPr>
        <w:rFonts w:ascii="Symbol" w:hAnsi="Symbol" w:hint="default"/>
      </w:rPr>
    </w:lvl>
    <w:lvl w:ilvl="1" w:tplc="01C0745C">
      <w:numFmt w:val="decimal"/>
      <w:lvlText w:val=""/>
      <w:lvlJc w:val="left"/>
    </w:lvl>
    <w:lvl w:ilvl="2" w:tplc="91923022">
      <w:numFmt w:val="decimal"/>
      <w:lvlText w:val=""/>
      <w:lvlJc w:val="left"/>
    </w:lvl>
    <w:lvl w:ilvl="3" w:tplc="09E287D2">
      <w:numFmt w:val="decimal"/>
      <w:lvlText w:val=""/>
      <w:lvlJc w:val="left"/>
    </w:lvl>
    <w:lvl w:ilvl="4" w:tplc="1F60E9C0">
      <w:numFmt w:val="decimal"/>
      <w:lvlText w:val=""/>
      <w:lvlJc w:val="left"/>
    </w:lvl>
    <w:lvl w:ilvl="5" w:tplc="F9D86DC4">
      <w:numFmt w:val="decimal"/>
      <w:lvlText w:val=""/>
      <w:lvlJc w:val="left"/>
    </w:lvl>
    <w:lvl w:ilvl="6" w:tplc="91C47ABE">
      <w:numFmt w:val="decimal"/>
      <w:lvlText w:val=""/>
      <w:lvlJc w:val="left"/>
    </w:lvl>
    <w:lvl w:ilvl="7" w:tplc="701EAA1A">
      <w:numFmt w:val="decimal"/>
      <w:lvlText w:val=""/>
      <w:lvlJc w:val="left"/>
    </w:lvl>
    <w:lvl w:ilvl="8" w:tplc="4490CA80">
      <w:numFmt w:val="decimal"/>
      <w:lvlText w:val=""/>
      <w:lvlJc w:val="left"/>
    </w:lvl>
  </w:abstractNum>
  <w:abstractNum w:abstractNumId="154" w15:restartNumberingAfterBreak="0">
    <w:nsid w:val="100003F1"/>
    <w:multiLevelType w:val="hybridMultilevel"/>
    <w:tmpl w:val="DC9284CC"/>
    <w:lvl w:ilvl="0" w:tplc="12BE5002">
      <w:start w:val="1"/>
      <w:numFmt w:val="bullet"/>
      <w:lvlText w:val=""/>
      <w:lvlJc w:val="left"/>
      <w:pPr>
        <w:ind w:left="720" w:hanging="180"/>
      </w:pPr>
      <w:rPr>
        <w:rFonts w:ascii="Symbol" w:hAnsi="Symbol" w:hint="default"/>
      </w:rPr>
    </w:lvl>
    <w:lvl w:ilvl="1" w:tplc="CA5CC51E">
      <w:numFmt w:val="decimal"/>
      <w:lvlText w:val=""/>
      <w:lvlJc w:val="left"/>
    </w:lvl>
    <w:lvl w:ilvl="2" w:tplc="B8E4924C">
      <w:numFmt w:val="decimal"/>
      <w:lvlText w:val=""/>
      <w:lvlJc w:val="left"/>
    </w:lvl>
    <w:lvl w:ilvl="3" w:tplc="0C741864">
      <w:numFmt w:val="decimal"/>
      <w:lvlText w:val=""/>
      <w:lvlJc w:val="left"/>
    </w:lvl>
    <w:lvl w:ilvl="4" w:tplc="079E8D40">
      <w:numFmt w:val="decimal"/>
      <w:lvlText w:val=""/>
      <w:lvlJc w:val="left"/>
    </w:lvl>
    <w:lvl w:ilvl="5" w:tplc="6E1CB56E">
      <w:numFmt w:val="decimal"/>
      <w:lvlText w:val=""/>
      <w:lvlJc w:val="left"/>
    </w:lvl>
    <w:lvl w:ilvl="6" w:tplc="CFC2EAB8">
      <w:numFmt w:val="decimal"/>
      <w:lvlText w:val=""/>
      <w:lvlJc w:val="left"/>
    </w:lvl>
    <w:lvl w:ilvl="7" w:tplc="3882571A">
      <w:numFmt w:val="decimal"/>
      <w:lvlText w:val=""/>
      <w:lvlJc w:val="left"/>
    </w:lvl>
    <w:lvl w:ilvl="8" w:tplc="DD4E78E4">
      <w:numFmt w:val="decimal"/>
      <w:lvlText w:val=""/>
      <w:lvlJc w:val="left"/>
    </w:lvl>
  </w:abstractNum>
  <w:abstractNum w:abstractNumId="155" w15:restartNumberingAfterBreak="0">
    <w:nsid w:val="100E2051"/>
    <w:multiLevelType w:val="hybridMultilevel"/>
    <w:tmpl w:val="E2043BF0"/>
    <w:lvl w:ilvl="0" w:tplc="BA087D46">
      <w:start w:val="1"/>
      <w:numFmt w:val="bullet"/>
      <w:lvlText w:val=""/>
      <w:lvlJc w:val="left"/>
      <w:pPr>
        <w:ind w:left="720" w:hanging="180"/>
      </w:pPr>
      <w:rPr>
        <w:rFonts w:ascii="Symbol" w:hAnsi="Symbol" w:hint="default"/>
      </w:rPr>
    </w:lvl>
    <w:lvl w:ilvl="1" w:tplc="81A89D7E">
      <w:numFmt w:val="decimal"/>
      <w:lvlText w:val=""/>
      <w:lvlJc w:val="left"/>
    </w:lvl>
    <w:lvl w:ilvl="2" w:tplc="925A1FD8">
      <w:numFmt w:val="decimal"/>
      <w:lvlText w:val=""/>
      <w:lvlJc w:val="left"/>
    </w:lvl>
    <w:lvl w:ilvl="3" w:tplc="EECA6826">
      <w:numFmt w:val="decimal"/>
      <w:lvlText w:val=""/>
      <w:lvlJc w:val="left"/>
    </w:lvl>
    <w:lvl w:ilvl="4" w:tplc="FF54C0CE">
      <w:numFmt w:val="decimal"/>
      <w:lvlText w:val=""/>
      <w:lvlJc w:val="left"/>
    </w:lvl>
    <w:lvl w:ilvl="5" w:tplc="13B205DC">
      <w:numFmt w:val="decimal"/>
      <w:lvlText w:val=""/>
      <w:lvlJc w:val="left"/>
    </w:lvl>
    <w:lvl w:ilvl="6" w:tplc="19286030">
      <w:numFmt w:val="decimal"/>
      <w:lvlText w:val=""/>
      <w:lvlJc w:val="left"/>
    </w:lvl>
    <w:lvl w:ilvl="7" w:tplc="665062AE">
      <w:numFmt w:val="decimal"/>
      <w:lvlText w:val=""/>
      <w:lvlJc w:val="left"/>
    </w:lvl>
    <w:lvl w:ilvl="8" w:tplc="2A94D9D2">
      <w:numFmt w:val="decimal"/>
      <w:lvlText w:val=""/>
      <w:lvlJc w:val="left"/>
    </w:lvl>
  </w:abstractNum>
  <w:abstractNum w:abstractNumId="156" w15:restartNumberingAfterBreak="0">
    <w:nsid w:val="102D4258"/>
    <w:multiLevelType w:val="hybridMultilevel"/>
    <w:tmpl w:val="EF0E7B9A"/>
    <w:lvl w:ilvl="0" w:tplc="46C8CAA2">
      <w:start w:val="1"/>
      <w:numFmt w:val="bullet"/>
      <w:lvlText w:val=""/>
      <w:lvlJc w:val="left"/>
      <w:pPr>
        <w:ind w:left="720" w:hanging="180"/>
      </w:pPr>
      <w:rPr>
        <w:rFonts w:ascii="Symbol" w:hAnsi="Symbol" w:hint="default"/>
      </w:rPr>
    </w:lvl>
    <w:lvl w:ilvl="1" w:tplc="3948D4D0">
      <w:numFmt w:val="decimal"/>
      <w:lvlText w:val=""/>
      <w:lvlJc w:val="left"/>
    </w:lvl>
    <w:lvl w:ilvl="2" w:tplc="AE2A1BFE">
      <w:numFmt w:val="decimal"/>
      <w:lvlText w:val=""/>
      <w:lvlJc w:val="left"/>
    </w:lvl>
    <w:lvl w:ilvl="3" w:tplc="578AC866">
      <w:numFmt w:val="decimal"/>
      <w:lvlText w:val=""/>
      <w:lvlJc w:val="left"/>
    </w:lvl>
    <w:lvl w:ilvl="4" w:tplc="74D6BBF2">
      <w:numFmt w:val="decimal"/>
      <w:lvlText w:val=""/>
      <w:lvlJc w:val="left"/>
    </w:lvl>
    <w:lvl w:ilvl="5" w:tplc="DB46A54E">
      <w:numFmt w:val="decimal"/>
      <w:lvlText w:val=""/>
      <w:lvlJc w:val="left"/>
    </w:lvl>
    <w:lvl w:ilvl="6" w:tplc="0DDCFA9C">
      <w:numFmt w:val="decimal"/>
      <w:lvlText w:val=""/>
      <w:lvlJc w:val="left"/>
    </w:lvl>
    <w:lvl w:ilvl="7" w:tplc="D3503BAA">
      <w:numFmt w:val="decimal"/>
      <w:lvlText w:val=""/>
      <w:lvlJc w:val="left"/>
    </w:lvl>
    <w:lvl w:ilvl="8" w:tplc="33B4DABA">
      <w:numFmt w:val="decimal"/>
      <w:lvlText w:val=""/>
      <w:lvlJc w:val="left"/>
    </w:lvl>
  </w:abstractNum>
  <w:abstractNum w:abstractNumId="157" w15:restartNumberingAfterBreak="0">
    <w:nsid w:val="102F0CA2"/>
    <w:multiLevelType w:val="hybridMultilevel"/>
    <w:tmpl w:val="86BEB7C8"/>
    <w:lvl w:ilvl="0" w:tplc="E7821140">
      <w:start w:val="1"/>
      <w:numFmt w:val="bullet"/>
      <w:lvlText w:val=""/>
      <w:lvlJc w:val="left"/>
      <w:pPr>
        <w:ind w:left="720" w:hanging="180"/>
      </w:pPr>
      <w:rPr>
        <w:rFonts w:ascii="Symbol" w:hAnsi="Symbol" w:hint="default"/>
      </w:rPr>
    </w:lvl>
    <w:lvl w:ilvl="1" w:tplc="014E79F6">
      <w:numFmt w:val="decimal"/>
      <w:lvlText w:val=""/>
      <w:lvlJc w:val="left"/>
    </w:lvl>
    <w:lvl w:ilvl="2" w:tplc="686462A8">
      <w:numFmt w:val="decimal"/>
      <w:lvlText w:val=""/>
      <w:lvlJc w:val="left"/>
    </w:lvl>
    <w:lvl w:ilvl="3" w:tplc="604836DC">
      <w:numFmt w:val="decimal"/>
      <w:lvlText w:val=""/>
      <w:lvlJc w:val="left"/>
    </w:lvl>
    <w:lvl w:ilvl="4" w:tplc="139C9830">
      <w:numFmt w:val="decimal"/>
      <w:lvlText w:val=""/>
      <w:lvlJc w:val="left"/>
    </w:lvl>
    <w:lvl w:ilvl="5" w:tplc="06FE968C">
      <w:numFmt w:val="decimal"/>
      <w:lvlText w:val=""/>
      <w:lvlJc w:val="left"/>
    </w:lvl>
    <w:lvl w:ilvl="6" w:tplc="DC264E18">
      <w:numFmt w:val="decimal"/>
      <w:lvlText w:val=""/>
      <w:lvlJc w:val="left"/>
    </w:lvl>
    <w:lvl w:ilvl="7" w:tplc="64AA45D8">
      <w:numFmt w:val="decimal"/>
      <w:lvlText w:val=""/>
      <w:lvlJc w:val="left"/>
    </w:lvl>
    <w:lvl w:ilvl="8" w:tplc="F5B6EACE">
      <w:numFmt w:val="decimal"/>
      <w:lvlText w:val=""/>
      <w:lvlJc w:val="left"/>
    </w:lvl>
  </w:abstractNum>
  <w:abstractNum w:abstractNumId="158" w15:restartNumberingAfterBreak="0">
    <w:nsid w:val="1049725E"/>
    <w:multiLevelType w:val="hybridMultilevel"/>
    <w:tmpl w:val="B77E09CA"/>
    <w:lvl w:ilvl="0" w:tplc="0A9C3E32">
      <w:start w:val="1"/>
      <w:numFmt w:val="bullet"/>
      <w:lvlText w:val=""/>
      <w:lvlJc w:val="left"/>
      <w:pPr>
        <w:ind w:left="720" w:hanging="180"/>
      </w:pPr>
      <w:rPr>
        <w:rFonts w:ascii="Symbol" w:hAnsi="Symbol" w:hint="default"/>
      </w:rPr>
    </w:lvl>
    <w:lvl w:ilvl="1" w:tplc="56D4563C">
      <w:numFmt w:val="decimal"/>
      <w:lvlText w:val=""/>
      <w:lvlJc w:val="left"/>
    </w:lvl>
    <w:lvl w:ilvl="2" w:tplc="9F76E596">
      <w:numFmt w:val="decimal"/>
      <w:lvlText w:val=""/>
      <w:lvlJc w:val="left"/>
    </w:lvl>
    <w:lvl w:ilvl="3" w:tplc="6F48B32E">
      <w:numFmt w:val="decimal"/>
      <w:lvlText w:val=""/>
      <w:lvlJc w:val="left"/>
    </w:lvl>
    <w:lvl w:ilvl="4" w:tplc="7C403DB0">
      <w:numFmt w:val="decimal"/>
      <w:lvlText w:val=""/>
      <w:lvlJc w:val="left"/>
    </w:lvl>
    <w:lvl w:ilvl="5" w:tplc="DA92ABC4">
      <w:numFmt w:val="decimal"/>
      <w:lvlText w:val=""/>
      <w:lvlJc w:val="left"/>
    </w:lvl>
    <w:lvl w:ilvl="6" w:tplc="F66882F6">
      <w:numFmt w:val="decimal"/>
      <w:lvlText w:val=""/>
      <w:lvlJc w:val="left"/>
    </w:lvl>
    <w:lvl w:ilvl="7" w:tplc="BDAAC57A">
      <w:numFmt w:val="decimal"/>
      <w:lvlText w:val=""/>
      <w:lvlJc w:val="left"/>
    </w:lvl>
    <w:lvl w:ilvl="8" w:tplc="67B28678">
      <w:numFmt w:val="decimal"/>
      <w:lvlText w:val=""/>
      <w:lvlJc w:val="left"/>
    </w:lvl>
  </w:abstractNum>
  <w:abstractNum w:abstractNumId="159" w15:restartNumberingAfterBreak="0">
    <w:nsid w:val="106F3835"/>
    <w:multiLevelType w:val="hybridMultilevel"/>
    <w:tmpl w:val="EA6A9290"/>
    <w:lvl w:ilvl="0" w:tplc="40681F32">
      <w:start w:val="1"/>
      <w:numFmt w:val="bullet"/>
      <w:lvlText w:val=""/>
      <w:lvlJc w:val="left"/>
      <w:pPr>
        <w:ind w:left="720" w:hanging="180"/>
      </w:pPr>
      <w:rPr>
        <w:rFonts w:ascii="Symbol" w:hAnsi="Symbol" w:hint="default"/>
      </w:rPr>
    </w:lvl>
    <w:lvl w:ilvl="1" w:tplc="0A12BCD6">
      <w:numFmt w:val="decimal"/>
      <w:lvlText w:val=""/>
      <w:lvlJc w:val="left"/>
    </w:lvl>
    <w:lvl w:ilvl="2" w:tplc="F4B8F628">
      <w:numFmt w:val="decimal"/>
      <w:lvlText w:val=""/>
      <w:lvlJc w:val="left"/>
    </w:lvl>
    <w:lvl w:ilvl="3" w:tplc="ED7A0D7E">
      <w:numFmt w:val="decimal"/>
      <w:lvlText w:val=""/>
      <w:lvlJc w:val="left"/>
    </w:lvl>
    <w:lvl w:ilvl="4" w:tplc="FDA2E3B0">
      <w:numFmt w:val="decimal"/>
      <w:lvlText w:val=""/>
      <w:lvlJc w:val="left"/>
    </w:lvl>
    <w:lvl w:ilvl="5" w:tplc="5E24FA5A">
      <w:numFmt w:val="decimal"/>
      <w:lvlText w:val=""/>
      <w:lvlJc w:val="left"/>
    </w:lvl>
    <w:lvl w:ilvl="6" w:tplc="0C8EEAF4">
      <w:numFmt w:val="decimal"/>
      <w:lvlText w:val=""/>
      <w:lvlJc w:val="left"/>
    </w:lvl>
    <w:lvl w:ilvl="7" w:tplc="4D681F50">
      <w:numFmt w:val="decimal"/>
      <w:lvlText w:val=""/>
      <w:lvlJc w:val="left"/>
    </w:lvl>
    <w:lvl w:ilvl="8" w:tplc="C8D6319C">
      <w:numFmt w:val="decimal"/>
      <w:lvlText w:val=""/>
      <w:lvlJc w:val="left"/>
    </w:lvl>
  </w:abstractNum>
  <w:abstractNum w:abstractNumId="160" w15:restartNumberingAfterBreak="0">
    <w:nsid w:val="109E2B20"/>
    <w:multiLevelType w:val="hybridMultilevel"/>
    <w:tmpl w:val="265A95A6"/>
    <w:lvl w:ilvl="0" w:tplc="8280FDE0">
      <w:start w:val="1"/>
      <w:numFmt w:val="bullet"/>
      <w:lvlText w:val=""/>
      <w:lvlJc w:val="left"/>
      <w:pPr>
        <w:ind w:left="720" w:hanging="180"/>
      </w:pPr>
      <w:rPr>
        <w:rFonts w:ascii="Symbol" w:hAnsi="Symbol" w:hint="default"/>
      </w:rPr>
    </w:lvl>
    <w:lvl w:ilvl="1" w:tplc="3CAE4AB4">
      <w:numFmt w:val="decimal"/>
      <w:lvlText w:val=""/>
      <w:lvlJc w:val="left"/>
    </w:lvl>
    <w:lvl w:ilvl="2" w:tplc="63F2AED8">
      <w:numFmt w:val="decimal"/>
      <w:lvlText w:val=""/>
      <w:lvlJc w:val="left"/>
    </w:lvl>
    <w:lvl w:ilvl="3" w:tplc="260CE5CA">
      <w:numFmt w:val="decimal"/>
      <w:lvlText w:val=""/>
      <w:lvlJc w:val="left"/>
    </w:lvl>
    <w:lvl w:ilvl="4" w:tplc="126E5716">
      <w:numFmt w:val="decimal"/>
      <w:lvlText w:val=""/>
      <w:lvlJc w:val="left"/>
    </w:lvl>
    <w:lvl w:ilvl="5" w:tplc="72D4AF40">
      <w:numFmt w:val="decimal"/>
      <w:lvlText w:val=""/>
      <w:lvlJc w:val="left"/>
    </w:lvl>
    <w:lvl w:ilvl="6" w:tplc="ACE09D5E">
      <w:numFmt w:val="decimal"/>
      <w:lvlText w:val=""/>
      <w:lvlJc w:val="left"/>
    </w:lvl>
    <w:lvl w:ilvl="7" w:tplc="BC2A19BC">
      <w:numFmt w:val="decimal"/>
      <w:lvlText w:val=""/>
      <w:lvlJc w:val="left"/>
    </w:lvl>
    <w:lvl w:ilvl="8" w:tplc="C2D6284E">
      <w:numFmt w:val="decimal"/>
      <w:lvlText w:val=""/>
      <w:lvlJc w:val="left"/>
    </w:lvl>
  </w:abstractNum>
  <w:abstractNum w:abstractNumId="161" w15:restartNumberingAfterBreak="0">
    <w:nsid w:val="10C75B82"/>
    <w:multiLevelType w:val="hybridMultilevel"/>
    <w:tmpl w:val="AACAABBA"/>
    <w:lvl w:ilvl="0" w:tplc="AD4E1FA8">
      <w:numFmt w:val="decimal"/>
      <w:lvlText w:val=""/>
      <w:lvlJc w:val="left"/>
    </w:lvl>
    <w:lvl w:ilvl="1" w:tplc="C1569794">
      <w:start w:val="1"/>
      <w:numFmt w:val="bullet"/>
      <w:lvlText w:val=""/>
      <w:lvlJc w:val="left"/>
      <w:pPr>
        <w:ind w:left="1440" w:hanging="180"/>
      </w:pPr>
      <w:rPr>
        <w:rFonts w:ascii="Symbol" w:hAnsi="Symbol" w:hint="default"/>
      </w:rPr>
    </w:lvl>
    <w:lvl w:ilvl="2" w:tplc="9F82C6E0">
      <w:numFmt w:val="decimal"/>
      <w:lvlText w:val=""/>
      <w:lvlJc w:val="left"/>
    </w:lvl>
    <w:lvl w:ilvl="3" w:tplc="376A5C5C">
      <w:numFmt w:val="decimal"/>
      <w:lvlText w:val=""/>
      <w:lvlJc w:val="left"/>
    </w:lvl>
    <w:lvl w:ilvl="4" w:tplc="8FBEFE88">
      <w:numFmt w:val="decimal"/>
      <w:lvlText w:val=""/>
      <w:lvlJc w:val="left"/>
    </w:lvl>
    <w:lvl w:ilvl="5" w:tplc="691CDBE2">
      <w:numFmt w:val="decimal"/>
      <w:lvlText w:val=""/>
      <w:lvlJc w:val="left"/>
    </w:lvl>
    <w:lvl w:ilvl="6" w:tplc="2C18099E">
      <w:numFmt w:val="decimal"/>
      <w:lvlText w:val=""/>
      <w:lvlJc w:val="left"/>
    </w:lvl>
    <w:lvl w:ilvl="7" w:tplc="36B65334">
      <w:numFmt w:val="decimal"/>
      <w:lvlText w:val=""/>
      <w:lvlJc w:val="left"/>
    </w:lvl>
    <w:lvl w:ilvl="8" w:tplc="446AE4AA">
      <w:numFmt w:val="decimal"/>
      <w:lvlText w:val=""/>
      <w:lvlJc w:val="left"/>
    </w:lvl>
  </w:abstractNum>
  <w:abstractNum w:abstractNumId="162" w15:restartNumberingAfterBreak="0">
    <w:nsid w:val="10C91C59"/>
    <w:multiLevelType w:val="hybridMultilevel"/>
    <w:tmpl w:val="9022D8C8"/>
    <w:lvl w:ilvl="0" w:tplc="F18ADC98">
      <w:start w:val="1"/>
      <w:numFmt w:val="bullet"/>
      <w:lvlText w:val=""/>
      <w:lvlJc w:val="left"/>
      <w:pPr>
        <w:ind w:left="720" w:hanging="180"/>
      </w:pPr>
      <w:rPr>
        <w:rFonts w:ascii="Symbol" w:hAnsi="Symbol" w:hint="default"/>
      </w:rPr>
    </w:lvl>
    <w:lvl w:ilvl="1" w:tplc="508A4D7E">
      <w:numFmt w:val="decimal"/>
      <w:lvlText w:val=""/>
      <w:lvlJc w:val="left"/>
    </w:lvl>
    <w:lvl w:ilvl="2" w:tplc="4ACE0EF6">
      <w:numFmt w:val="decimal"/>
      <w:lvlText w:val=""/>
      <w:lvlJc w:val="left"/>
    </w:lvl>
    <w:lvl w:ilvl="3" w:tplc="71BEF998">
      <w:numFmt w:val="decimal"/>
      <w:lvlText w:val=""/>
      <w:lvlJc w:val="left"/>
    </w:lvl>
    <w:lvl w:ilvl="4" w:tplc="05CCA5CC">
      <w:numFmt w:val="decimal"/>
      <w:lvlText w:val=""/>
      <w:lvlJc w:val="left"/>
    </w:lvl>
    <w:lvl w:ilvl="5" w:tplc="20244BFA">
      <w:numFmt w:val="decimal"/>
      <w:lvlText w:val=""/>
      <w:lvlJc w:val="left"/>
    </w:lvl>
    <w:lvl w:ilvl="6" w:tplc="0F547D18">
      <w:numFmt w:val="decimal"/>
      <w:lvlText w:val=""/>
      <w:lvlJc w:val="left"/>
    </w:lvl>
    <w:lvl w:ilvl="7" w:tplc="860013D2">
      <w:numFmt w:val="decimal"/>
      <w:lvlText w:val=""/>
      <w:lvlJc w:val="left"/>
    </w:lvl>
    <w:lvl w:ilvl="8" w:tplc="A8E4C2AA">
      <w:numFmt w:val="decimal"/>
      <w:lvlText w:val=""/>
      <w:lvlJc w:val="left"/>
    </w:lvl>
  </w:abstractNum>
  <w:abstractNum w:abstractNumId="163" w15:restartNumberingAfterBreak="0">
    <w:nsid w:val="10DD1368"/>
    <w:multiLevelType w:val="hybridMultilevel"/>
    <w:tmpl w:val="4412D912"/>
    <w:lvl w:ilvl="0" w:tplc="49EC5C9A">
      <w:start w:val="1"/>
      <w:numFmt w:val="bullet"/>
      <w:lvlText w:val=""/>
      <w:lvlJc w:val="left"/>
      <w:pPr>
        <w:ind w:left="720" w:hanging="180"/>
      </w:pPr>
      <w:rPr>
        <w:rFonts w:ascii="Symbol" w:hAnsi="Symbol" w:hint="default"/>
      </w:rPr>
    </w:lvl>
    <w:lvl w:ilvl="1" w:tplc="EEF84D06">
      <w:numFmt w:val="decimal"/>
      <w:lvlText w:val=""/>
      <w:lvlJc w:val="left"/>
    </w:lvl>
    <w:lvl w:ilvl="2" w:tplc="38CA0750">
      <w:numFmt w:val="decimal"/>
      <w:lvlText w:val=""/>
      <w:lvlJc w:val="left"/>
    </w:lvl>
    <w:lvl w:ilvl="3" w:tplc="E8361EF6">
      <w:numFmt w:val="decimal"/>
      <w:lvlText w:val=""/>
      <w:lvlJc w:val="left"/>
    </w:lvl>
    <w:lvl w:ilvl="4" w:tplc="309A020A">
      <w:numFmt w:val="decimal"/>
      <w:lvlText w:val=""/>
      <w:lvlJc w:val="left"/>
    </w:lvl>
    <w:lvl w:ilvl="5" w:tplc="A12A5122">
      <w:numFmt w:val="decimal"/>
      <w:lvlText w:val=""/>
      <w:lvlJc w:val="left"/>
    </w:lvl>
    <w:lvl w:ilvl="6" w:tplc="1206B2EC">
      <w:numFmt w:val="decimal"/>
      <w:lvlText w:val=""/>
      <w:lvlJc w:val="left"/>
    </w:lvl>
    <w:lvl w:ilvl="7" w:tplc="86AA9C4E">
      <w:numFmt w:val="decimal"/>
      <w:lvlText w:val=""/>
      <w:lvlJc w:val="left"/>
    </w:lvl>
    <w:lvl w:ilvl="8" w:tplc="0D8CFA48">
      <w:numFmt w:val="decimal"/>
      <w:lvlText w:val=""/>
      <w:lvlJc w:val="left"/>
    </w:lvl>
  </w:abstractNum>
  <w:abstractNum w:abstractNumId="164" w15:restartNumberingAfterBreak="0">
    <w:nsid w:val="10EF5696"/>
    <w:multiLevelType w:val="hybridMultilevel"/>
    <w:tmpl w:val="1DF4A2D0"/>
    <w:lvl w:ilvl="0" w:tplc="7CE6FDB4">
      <w:start w:val="1"/>
      <w:numFmt w:val="bullet"/>
      <w:lvlText w:val=""/>
      <w:lvlJc w:val="left"/>
      <w:pPr>
        <w:ind w:left="720" w:hanging="180"/>
      </w:pPr>
      <w:rPr>
        <w:rFonts w:ascii="Symbol" w:hAnsi="Symbol" w:hint="default"/>
      </w:rPr>
    </w:lvl>
    <w:lvl w:ilvl="1" w:tplc="A9F4726C">
      <w:numFmt w:val="decimal"/>
      <w:lvlText w:val=""/>
      <w:lvlJc w:val="left"/>
    </w:lvl>
    <w:lvl w:ilvl="2" w:tplc="3642EF26">
      <w:numFmt w:val="decimal"/>
      <w:lvlText w:val=""/>
      <w:lvlJc w:val="left"/>
    </w:lvl>
    <w:lvl w:ilvl="3" w:tplc="19C85226">
      <w:numFmt w:val="decimal"/>
      <w:lvlText w:val=""/>
      <w:lvlJc w:val="left"/>
    </w:lvl>
    <w:lvl w:ilvl="4" w:tplc="E5D6D1EC">
      <w:numFmt w:val="decimal"/>
      <w:lvlText w:val=""/>
      <w:lvlJc w:val="left"/>
    </w:lvl>
    <w:lvl w:ilvl="5" w:tplc="F7344DE2">
      <w:numFmt w:val="decimal"/>
      <w:lvlText w:val=""/>
      <w:lvlJc w:val="left"/>
    </w:lvl>
    <w:lvl w:ilvl="6" w:tplc="5BE82E44">
      <w:numFmt w:val="decimal"/>
      <w:lvlText w:val=""/>
      <w:lvlJc w:val="left"/>
    </w:lvl>
    <w:lvl w:ilvl="7" w:tplc="71AC4F00">
      <w:numFmt w:val="decimal"/>
      <w:lvlText w:val=""/>
      <w:lvlJc w:val="left"/>
    </w:lvl>
    <w:lvl w:ilvl="8" w:tplc="0134A8F6">
      <w:numFmt w:val="decimal"/>
      <w:lvlText w:val=""/>
      <w:lvlJc w:val="left"/>
    </w:lvl>
  </w:abstractNum>
  <w:abstractNum w:abstractNumId="165" w15:restartNumberingAfterBreak="0">
    <w:nsid w:val="11633ED5"/>
    <w:multiLevelType w:val="hybridMultilevel"/>
    <w:tmpl w:val="741A63E2"/>
    <w:lvl w:ilvl="0" w:tplc="332EE3BA">
      <w:start w:val="1"/>
      <w:numFmt w:val="bullet"/>
      <w:lvlText w:val=""/>
      <w:lvlJc w:val="left"/>
      <w:pPr>
        <w:ind w:left="720" w:hanging="180"/>
      </w:pPr>
      <w:rPr>
        <w:rFonts w:ascii="Symbol" w:hAnsi="Symbol" w:hint="default"/>
      </w:rPr>
    </w:lvl>
    <w:lvl w:ilvl="1" w:tplc="066C9EF4">
      <w:numFmt w:val="decimal"/>
      <w:lvlText w:val=""/>
      <w:lvlJc w:val="left"/>
    </w:lvl>
    <w:lvl w:ilvl="2" w:tplc="A4E0C372">
      <w:numFmt w:val="decimal"/>
      <w:lvlText w:val=""/>
      <w:lvlJc w:val="left"/>
    </w:lvl>
    <w:lvl w:ilvl="3" w:tplc="8AC2BEBE">
      <w:numFmt w:val="decimal"/>
      <w:lvlText w:val=""/>
      <w:lvlJc w:val="left"/>
    </w:lvl>
    <w:lvl w:ilvl="4" w:tplc="1618EC30">
      <w:numFmt w:val="decimal"/>
      <w:lvlText w:val=""/>
      <w:lvlJc w:val="left"/>
    </w:lvl>
    <w:lvl w:ilvl="5" w:tplc="782EE97A">
      <w:numFmt w:val="decimal"/>
      <w:lvlText w:val=""/>
      <w:lvlJc w:val="left"/>
    </w:lvl>
    <w:lvl w:ilvl="6" w:tplc="6C50A3A0">
      <w:numFmt w:val="decimal"/>
      <w:lvlText w:val=""/>
      <w:lvlJc w:val="left"/>
    </w:lvl>
    <w:lvl w:ilvl="7" w:tplc="B5A02DE2">
      <w:numFmt w:val="decimal"/>
      <w:lvlText w:val=""/>
      <w:lvlJc w:val="left"/>
    </w:lvl>
    <w:lvl w:ilvl="8" w:tplc="945AB858">
      <w:numFmt w:val="decimal"/>
      <w:lvlText w:val=""/>
      <w:lvlJc w:val="left"/>
    </w:lvl>
  </w:abstractNum>
  <w:abstractNum w:abstractNumId="166" w15:restartNumberingAfterBreak="0">
    <w:nsid w:val="117604BE"/>
    <w:multiLevelType w:val="hybridMultilevel"/>
    <w:tmpl w:val="19448444"/>
    <w:lvl w:ilvl="0" w:tplc="99049B0E">
      <w:start w:val="1"/>
      <w:numFmt w:val="bullet"/>
      <w:lvlText w:val=""/>
      <w:lvlJc w:val="left"/>
      <w:pPr>
        <w:ind w:left="720" w:hanging="180"/>
      </w:pPr>
      <w:rPr>
        <w:rFonts w:ascii="Symbol" w:hAnsi="Symbol" w:hint="default"/>
      </w:rPr>
    </w:lvl>
    <w:lvl w:ilvl="1" w:tplc="D0E6AB42">
      <w:numFmt w:val="decimal"/>
      <w:lvlText w:val=""/>
      <w:lvlJc w:val="left"/>
    </w:lvl>
    <w:lvl w:ilvl="2" w:tplc="79427CD6">
      <w:numFmt w:val="decimal"/>
      <w:lvlText w:val=""/>
      <w:lvlJc w:val="left"/>
    </w:lvl>
    <w:lvl w:ilvl="3" w:tplc="9E0A89DC">
      <w:numFmt w:val="decimal"/>
      <w:lvlText w:val=""/>
      <w:lvlJc w:val="left"/>
    </w:lvl>
    <w:lvl w:ilvl="4" w:tplc="3E6E8794">
      <w:numFmt w:val="decimal"/>
      <w:lvlText w:val=""/>
      <w:lvlJc w:val="left"/>
    </w:lvl>
    <w:lvl w:ilvl="5" w:tplc="B350A502">
      <w:numFmt w:val="decimal"/>
      <w:lvlText w:val=""/>
      <w:lvlJc w:val="left"/>
    </w:lvl>
    <w:lvl w:ilvl="6" w:tplc="B80C5672">
      <w:numFmt w:val="decimal"/>
      <w:lvlText w:val=""/>
      <w:lvlJc w:val="left"/>
    </w:lvl>
    <w:lvl w:ilvl="7" w:tplc="EDD2524C">
      <w:numFmt w:val="decimal"/>
      <w:lvlText w:val=""/>
      <w:lvlJc w:val="left"/>
    </w:lvl>
    <w:lvl w:ilvl="8" w:tplc="B4F6DE28">
      <w:numFmt w:val="decimal"/>
      <w:lvlText w:val=""/>
      <w:lvlJc w:val="left"/>
    </w:lvl>
  </w:abstractNum>
  <w:abstractNum w:abstractNumId="167" w15:restartNumberingAfterBreak="0">
    <w:nsid w:val="117E3BC8"/>
    <w:multiLevelType w:val="hybridMultilevel"/>
    <w:tmpl w:val="69CACCEC"/>
    <w:lvl w:ilvl="0" w:tplc="3808E480">
      <w:start w:val="1"/>
      <w:numFmt w:val="bullet"/>
      <w:lvlText w:val=""/>
      <w:lvlJc w:val="left"/>
      <w:pPr>
        <w:ind w:left="720" w:hanging="180"/>
      </w:pPr>
      <w:rPr>
        <w:rFonts w:ascii="Symbol" w:hAnsi="Symbol" w:hint="default"/>
      </w:rPr>
    </w:lvl>
    <w:lvl w:ilvl="1" w:tplc="883CD568">
      <w:numFmt w:val="decimal"/>
      <w:lvlText w:val=""/>
      <w:lvlJc w:val="left"/>
    </w:lvl>
    <w:lvl w:ilvl="2" w:tplc="9FE45B7C">
      <w:numFmt w:val="decimal"/>
      <w:lvlText w:val=""/>
      <w:lvlJc w:val="left"/>
    </w:lvl>
    <w:lvl w:ilvl="3" w:tplc="F5D6DD74">
      <w:numFmt w:val="decimal"/>
      <w:lvlText w:val=""/>
      <w:lvlJc w:val="left"/>
    </w:lvl>
    <w:lvl w:ilvl="4" w:tplc="51D0F104">
      <w:numFmt w:val="decimal"/>
      <w:lvlText w:val=""/>
      <w:lvlJc w:val="left"/>
    </w:lvl>
    <w:lvl w:ilvl="5" w:tplc="E0CA5CE2">
      <w:numFmt w:val="decimal"/>
      <w:lvlText w:val=""/>
      <w:lvlJc w:val="left"/>
    </w:lvl>
    <w:lvl w:ilvl="6" w:tplc="9D5EB8B8">
      <w:numFmt w:val="decimal"/>
      <w:lvlText w:val=""/>
      <w:lvlJc w:val="left"/>
    </w:lvl>
    <w:lvl w:ilvl="7" w:tplc="D94E0FA4">
      <w:numFmt w:val="decimal"/>
      <w:lvlText w:val=""/>
      <w:lvlJc w:val="left"/>
    </w:lvl>
    <w:lvl w:ilvl="8" w:tplc="6DA82AD2">
      <w:numFmt w:val="decimal"/>
      <w:lvlText w:val=""/>
      <w:lvlJc w:val="left"/>
    </w:lvl>
  </w:abstractNum>
  <w:abstractNum w:abstractNumId="168" w15:restartNumberingAfterBreak="0">
    <w:nsid w:val="119E0215"/>
    <w:multiLevelType w:val="hybridMultilevel"/>
    <w:tmpl w:val="2672675C"/>
    <w:lvl w:ilvl="0" w:tplc="B21A30F6">
      <w:start w:val="1"/>
      <w:numFmt w:val="bullet"/>
      <w:lvlText w:val=""/>
      <w:lvlJc w:val="left"/>
      <w:pPr>
        <w:ind w:left="720" w:hanging="180"/>
      </w:pPr>
      <w:rPr>
        <w:rFonts w:ascii="Symbol" w:hAnsi="Symbol" w:hint="default"/>
      </w:rPr>
    </w:lvl>
    <w:lvl w:ilvl="1" w:tplc="AA029452">
      <w:numFmt w:val="decimal"/>
      <w:lvlText w:val=""/>
      <w:lvlJc w:val="left"/>
    </w:lvl>
    <w:lvl w:ilvl="2" w:tplc="99668262">
      <w:numFmt w:val="decimal"/>
      <w:lvlText w:val=""/>
      <w:lvlJc w:val="left"/>
    </w:lvl>
    <w:lvl w:ilvl="3" w:tplc="91F63198">
      <w:numFmt w:val="decimal"/>
      <w:lvlText w:val=""/>
      <w:lvlJc w:val="left"/>
    </w:lvl>
    <w:lvl w:ilvl="4" w:tplc="F18E82FA">
      <w:numFmt w:val="decimal"/>
      <w:lvlText w:val=""/>
      <w:lvlJc w:val="left"/>
    </w:lvl>
    <w:lvl w:ilvl="5" w:tplc="26DAFDEE">
      <w:numFmt w:val="decimal"/>
      <w:lvlText w:val=""/>
      <w:lvlJc w:val="left"/>
    </w:lvl>
    <w:lvl w:ilvl="6" w:tplc="3E7EE7DE">
      <w:numFmt w:val="decimal"/>
      <w:lvlText w:val=""/>
      <w:lvlJc w:val="left"/>
    </w:lvl>
    <w:lvl w:ilvl="7" w:tplc="C3DA1F6C">
      <w:numFmt w:val="decimal"/>
      <w:lvlText w:val=""/>
      <w:lvlJc w:val="left"/>
    </w:lvl>
    <w:lvl w:ilvl="8" w:tplc="F9386810">
      <w:numFmt w:val="decimal"/>
      <w:lvlText w:val=""/>
      <w:lvlJc w:val="left"/>
    </w:lvl>
  </w:abstractNum>
  <w:abstractNum w:abstractNumId="169" w15:restartNumberingAfterBreak="0">
    <w:nsid w:val="11D55652"/>
    <w:multiLevelType w:val="hybridMultilevel"/>
    <w:tmpl w:val="79F6496A"/>
    <w:lvl w:ilvl="0" w:tplc="BD88AF68">
      <w:start w:val="1"/>
      <w:numFmt w:val="bullet"/>
      <w:lvlText w:val=""/>
      <w:lvlJc w:val="left"/>
      <w:pPr>
        <w:ind w:left="720" w:hanging="180"/>
      </w:pPr>
      <w:rPr>
        <w:rFonts w:ascii="Symbol" w:hAnsi="Symbol" w:hint="default"/>
      </w:rPr>
    </w:lvl>
    <w:lvl w:ilvl="1" w:tplc="B172D234">
      <w:numFmt w:val="decimal"/>
      <w:lvlText w:val=""/>
      <w:lvlJc w:val="left"/>
    </w:lvl>
    <w:lvl w:ilvl="2" w:tplc="A108405E">
      <w:numFmt w:val="decimal"/>
      <w:lvlText w:val=""/>
      <w:lvlJc w:val="left"/>
    </w:lvl>
    <w:lvl w:ilvl="3" w:tplc="DE3C1F74">
      <w:numFmt w:val="decimal"/>
      <w:lvlText w:val=""/>
      <w:lvlJc w:val="left"/>
    </w:lvl>
    <w:lvl w:ilvl="4" w:tplc="2DF6B692">
      <w:numFmt w:val="decimal"/>
      <w:lvlText w:val=""/>
      <w:lvlJc w:val="left"/>
    </w:lvl>
    <w:lvl w:ilvl="5" w:tplc="9D460F5C">
      <w:numFmt w:val="decimal"/>
      <w:lvlText w:val=""/>
      <w:lvlJc w:val="left"/>
    </w:lvl>
    <w:lvl w:ilvl="6" w:tplc="BC024838">
      <w:numFmt w:val="decimal"/>
      <w:lvlText w:val=""/>
      <w:lvlJc w:val="left"/>
    </w:lvl>
    <w:lvl w:ilvl="7" w:tplc="0908F1E0">
      <w:numFmt w:val="decimal"/>
      <w:lvlText w:val=""/>
      <w:lvlJc w:val="left"/>
    </w:lvl>
    <w:lvl w:ilvl="8" w:tplc="B1F20D20">
      <w:numFmt w:val="decimal"/>
      <w:lvlText w:val=""/>
      <w:lvlJc w:val="left"/>
    </w:lvl>
  </w:abstractNum>
  <w:abstractNum w:abstractNumId="170" w15:restartNumberingAfterBreak="0">
    <w:nsid w:val="12272626"/>
    <w:multiLevelType w:val="hybridMultilevel"/>
    <w:tmpl w:val="71FC4256"/>
    <w:lvl w:ilvl="0" w:tplc="2D86D726">
      <w:start w:val="1"/>
      <w:numFmt w:val="bullet"/>
      <w:lvlText w:val=""/>
      <w:lvlJc w:val="left"/>
      <w:pPr>
        <w:ind w:left="720" w:hanging="180"/>
      </w:pPr>
      <w:rPr>
        <w:rFonts w:ascii="Symbol" w:hAnsi="Symbol" w:hint="default"/>
      </w:rPr>
    </w:lvl>
    <w:lvl w:ilvl="1" w:tplc="77AA165E">
      <w:numFmt w:val="decimal"/>
      <w:lvlText w:val=""/>
      <w:lvlJc w:val="left"/>
    </w:lvl>
    <w:lvl w:ilvl="2" w:tplc="5E2C21DE">
      <w:numFmt w:val="decimal"/>
      <w:lvlText w:val=""/>
      <w:lvlJc w:val="left"/>
    </w:lvl>
    <w:lvl w:ilvl="3" w:tplc="97F62C46">
      <w:numFmt w:val="decimal"/>
      <w:lvlText w:val=""/>
      <w:lvlJc w:val="left"/>
    </w:lvl>
    <w:lvl w:ilvl="4" w:tplc="EE561D58">
      <w:numFmt w:val="decimal"/>
      <w:lvlText w:val=""/>
      <w:lvlJc w:val="left"/>
    </w:lvl>
    <w:lvl w:ilvl="5" w:tplc="29EC938E">
      <w:numFmt w:val="decimal"/>
      <w:lvlText w:val=""/>
      <w:lvlJc w:val="left"/>
    </w:lvl>
    <w:lvl w:ilvl="6" w:tplc="4B686C8C">
      <w:numFmt w:val="decimal"/>
      <w:lvlText w:val=""/>
      <w:lvlJc w:val="left"/>
    </w:lvl>
    <w:lvl w:ilvl="7" w:tplc="BBEE0C78">
      <w:numFmt w:val="decimal"/>
      <w:lvlText w:val=""/>
      <w:lvlJc w:val="left"/>
    </w:lvl>
    <w:lvl w:ilvl="8" w:tplc="BE2E706A">
      <w:numFmt w:val="decimal"/>
      <w:lvlText w:val=""/>
      <w:lvlJc w:val="left"/>
    </w:lvl>
  </w:abstractNum>
  <w:abstractNum w:abstractNumId="171" w15:restartNumberingAfterBreak="0">
    <w:nsid w:val="12335C57"/>
    <w:multiLevelType w:val="hybridMultilevel"/>
    <w:tmpl w:val="7ED89830"/>
    <w:lvl w:ilvl="0" w:tplc="11868144">
      <w:start w:val="1"/>
      <w:numFmt w:val="bullet"/>
      <w:lvlText w:val=""/>
      <w:lvlJc w:val="left"/>
      <w:pPr>
        <w:ind w:left="720" w:hanging="180"/>
      </w:pPr>
      <w:rPr>
        <w:rFonts w:ascii="Symbol" w:hAnsi="Symbol" w:hint="default"/>
      </w:rPr>
    </w:lvl>
    <w:lvl w:ilvl="1" w:tplc="7D8E1CCE">
      <w:numFmt w:val="decimal"/>
      <w:lvlText w:val=""/>
      <w:lvlJc w:val="left"/>
    </w:lvl>
    <w:lvl w:ilvl="2" w:tplc="5148A8C0">
      <w:numFmt w:val="decimal"/>
      <w:lvlText w:val=""/>
      <w:lvlJc w:val="left"/>
    </w:lvl>
    <w:lvl w:ilvl="3" w:tplc="7FECE632">
      <w:numFmt w:val="decimal"/>
      <w:lvlText w:val=""/>
      <w:lvlJc w:val="left"/>
    </w:lvl>
    <w:lvl w:ilvl="4" w:tplc="D35042FA">
      <w:numFmt w:val="decimal"/>
      <w:lvlText w:val=""/>
      <w:lvlJc w:val="left"/>
    </w:lvl>
    <w:lvl w:ilvl="5" w:tplc="F796D2C6">
      <w:numFmt w:val="decimal"/>
      <w:lvlText w:val=""/>
      <w:lvlJc w:val="left"/>
    </w:lvl>
    <w:lvl w:ilvl="6" w:tplc="A04288F8">
      <w:numFmt w:val="decimal"/>
      <w:lvlText w:val=""/>
      <w:lvlJc w:val="left"/>
    </w:lvl>
    <w:lvl w:ilvl="7" w:tplc="11868A00">
      <w:numFmt w:val="decimal"/>
      <w:lvlText w:val=""/>
      <w:lvlJc w:val="left"/>
    </w:lvl>
    <w:lvl w:ilvl="8" w:tplc="CC02F3EE">
      <w:numFmt w:val="decimal"/>
      <w:lvlText w:val=""/>
      <w:lvlJc w:val="left"/>
    </w:lvl>
  </w:abstractNum>
  <w:abstractNum w:abstractNumId="172" w15:restartNumberingAfterBreak="0">
    <w:nsid w:val="123E03F0"/>
    <w:multiLevelType w:val="hybridMultilevel"/>
    <w:tmpl w:val="713C9B98"/>
    <w:lvl w:ilvl="0" w:tplc="B2469FDE">
      <w:start w:val="1"/>
      <w:numFmt w:val="bullet"/>
      <w:lvlText w:val=""/>
      <w:lvlJc w:val="left"/>
      <w:pPr>
        <w:ind w:left="720" w:hanging="180"/>
      </w:pPr>
      <w:rPr>
        <w:rFonts w:ascii="Symbol" w:hAnsi="Symbol" w:hint="default"/>
      </w:rPr>
    </w:lvl>
    <w:lvl w:ilvl="1" w:tplc="6E3667E2">
      <w:numFmt w:val="decimal"/>
      <w:lvlText w:val=""/>
      <w:lvlJc w:val="left"/>
    </w:lvl>
    <w:lvl w:ilvl="2" w:tplc="C81A33FA">
      <w:numFmt w:val="decimal"/>
      <w:lvlText w:val=""/>
      <w:lvlJc w:val="left"/>
    </w:lvl>
    <w:lvl w:ilvl="3" w:tplc="861C56BE">
      <w:numFmt w:val="decimal"/>
      <w:lvlText w:val=""/>
      <w:lvlJc w:val="left"/>
    </w:lvl>
    <w:lvl w:ilvl="4" w:tplc="22326500">
      <w:numFmt w:val="decimal"/>
      <w:lvlText w:val=""/>
      <w:lvlJc w:val="left"/>
    </w:lvl>
    <w:lvl w:ilvl="5" w:tplc="1EC26706">
      <w:numFmt w:val="decimal"/>
      <w:lvlText w:val=""/>
      <w:lvlJc w:val="left"/>
    </w:lvl>
    <w:lvl w:ilvl="6" w:tplc="C8ACED82">
      <w:numFmt w:val="decimal"/>
      <w:lvlText w:val=""/>
      <w:lvlJc w:val="left"/>
    </w:lvl>
    <w:lvl w:ilvl="7" w:tplc="48429F42">
      <w:numFmt w:val="decimal"/>
      <w:lvlText w:val=""/>
      <w:lvlJc w:val="left"/>
    </w:lvl>
    <w:lvl w:ilvl="8" w:tplc="3904D8D2">
      <w:numFmt w:val="decimal"/>
      <w:lvlText w:val=""/>
      <w:lvlJc w:val="left"/>
    </w:lvl>
  </w:abstractNum>
  <w:abstractNum w:abstractNumId="173" w15:restartNumberingAfterBreak="0">
    <w:nsid w:val="12754293"/>
    <w:multiLevelType w:val="hybridMultilevel"/>
    <w:tmpl w:val="86FCFFEA"/>
    <w:lvl w:ilvl="0" w:tplc="3920101E">
      <w:start w:val="1"/>
      <w:numFmt w:val="bullet"/>
      <w:lvlText w:val=""/>
      <w:lvlJc w:val="left"/>
      <w:pPr>
        <w:ind w:left="720" w:hanging="180"/>
      </w:pPr>
      <w:rPr>
        <w:rFonts w:ascii="Symbol" w:hAnsi="Symbol" w:hint="default"/>
      </w:rPr>
    </w:lvl>
    <w:lvl w:ilvl="1" w:tplc="B5C250BC">
      <w:numFmt w:val="decimal"/>
      <w:lvlText w:val=""/>
      <w:lvlJc w:val="left"/>
    </w:lvl>
    <w:lvl w:ilvl="2" w:tplc="BB4C040A">
      <w:numFmt w:val="decimal"/>
      <w:lvlText w:val=""/>
      <w:lvlJc w:val="left"/>
    </w:lvl>
    <w:lvl w:ilvl="3" w:tplc="392CA5DE">
      <w:numFmt w:val="decimal"/>
      <w:lvlText w:val=""/>
      <w:lvlJc w:val="left"/>
    </w:lvl>
    <w:lvl w:ilvl="4" w:tplc="E9749CA8">
      <w:numFmt w:val="decimal"/>
      <w:lvlText w:val=""/>
      <w:lvlJc w:val="left"/>
    </w:lvl>
    <w:lvl w:ilvl="5" w:tplc="58261A8E">
      <w:numFmt w:val="decimal"/>
      <w:lvlText w:val=""/>
      <w:lvlJc w:val="left"/>
    </w:lvl>
    <w:lvl w:ilvl="6" w:tplc="20E2E106">
      <w:numFmt w:val="decimal"/>
      <w:lvlText w:val=""/>
      <w:lvlJc w:val="left"/>
    </w:lvl>
    <w:lvl w:ilvl="7" w:tplc="3A1A429E">
      <w:numFmt w:val="decimal"/>
      <w:lvlText w:val=""/>
      <w:lvlJc w:val="left"/>
    </w:lvl>
    <w:lvl w:ilvl="8" w:tplc="20F246FC">
      <w:numFmt w:val="decimal"/>
      <w:lvlText w:val=""/>
      <w:lvlJc w:val="left"/>
    </w:lvl>
  </w:abstractNum>
  <w:abstractNum w:abstractNumId="174" w15:restartNumberingAfterBreak="0">
    <w:nsid w:val="127D0A64"/>
    <w:multiLevelType w:val="hybridMultilevel"/>
    <w:tmpl w:val="B62E734C"/>
    <w:lvl w:ilvl="0" w:tplc="B3C2AB26">
      <w:start w:val="1"/>
      <w:numFmt w:val="bullet"/>
      <w:lvlText w:val=""/>
      <w:lvlJc w:val="left"/>
      <w:pPr>
        <w:ind w:left="720" w:hanging="180"/>
      </w:pPr>
      <w:rPr>
        <w:rFonts w:ascii="Symbol" w:hAnsi="Symbol" w:hint="default"/>
      </w:rPr>
    </w:lvl>
    <w:lvl w:ilvl="1" w:tplc="5B1CDD1C">
      <w:numFmt w:val="decimal"/>
      <w:lvlText w:val=""/>
      <w:lvlJc w:val="left"/>
    </w:lvl>
    <w:lvl w:ilvl="2" w:tplc="0AFCE808">
      <w:numFmt w:val="decimal"/>
      <w:lvlText w:val=""/>
      <w:lvlJc w:val="left"/>
    </w:lvl>
    <w:lvl w:ilvl="3" w:tplc="30C21352">
      <w:numFmt w:val="decimal"/>
      <w:lvlText w:val=""/>
      <w:lvlJc w:val="left"/>
    </w:lvl>
    <w:lvl w:ilvl="4" w:tplc="77E6259E">
      <w:numFmt w:val="decimal"/>
      <w:lvlText w:val=""/>
      <w:lvlJc w:val="left"/>
    </w:lvl>
    <w:lvl w:ilvl="5" w:tplc="713EC90E">
      <w:numFmt w:val="decimal"/>
      <w:lvlText w:val=""/>
      <w:lvlJc w:val="left"/>
    </w:lvl>
    <w:lvl w:ilvl="6" w:tplc="D7AED808">
      <w:numFmt w:val="decimal"/>
      <w:lvlText w:val=""/>
      <w:lvlJc w:val="left"/>
    </w:lvl>
    <w:lvl w:ilvl="7" w:tplc="26A03FC6">
      <w:numFmt w:val="decimal"/>
      <w:lvlText w:val=""/>
      <w:lvlJc w:val="left"/>
    </w:lvl>
    <w:lvl w:ilvl="8" w:tplc="EEC8309A">
      <w:numFmt w:val="decimal"/>
      <w:lvlText w:val=""/>
      <w:lvlJc w:val="left"/>
    </w:lvl>
  </w:abstractNum>
  <w:abstractNum w:abstractNumId="175" w15:restartNumberingAfterBreak="0">
    <w:nsid w:val="12CE0DE8"/>
    <w:multiLevelType w:val="hybridMultilevel"/>
    <w:tmpl w:val="686A14D4"/>
    <w:lvl w:ilvl="0" w:tplc="81226ABE">
      <w:start w:val="1"/>
      <w:numFmt w:val="bullet"/>
      <w:lvlText w:val=""/>
      <w:lvlJc w:val="left"/>
      <w:pPr>
        <w:ind w:left="720" w:hanging="180"/>
      </w:pPr>
      <w:rPr>
        <w:rFonts w:ascii="Symbol" w:hAnsi="Symbol" w:hint="default"/>
      </w:rPr>
    </w:lvl>
    <w:lvl w:ilvl="1" w:tplc="9CCE062C">
      <w:numFmt w:val="decimal"/>
      <w:lvlText w:val=""/>
      <w:lvlJc w:val="left"/>
    </w:lvl>
    <w:lvl w:ilvl="2" w:tplc="121AACFE">
      <w:numFmt w:val="decimal"/>
      <w:lvlText w:val=""/>
      <w:lvlJc w:val="left"/>
    </w:lvl>
    <w:lvl w:ilvl="3" w:tplc="0C72DA5C">
      <w:numFmt w:val="decimal"/>
      <w:lvlText w:val=""/>
      <w:lvlJc w:val="left"/>
    </w:lvl>
    <w:lvl w:ilvl="4" w:tplc="B3C8719A">
      <w:numFmt w:val="decimal"/>
      <w:lvlText w:val=""/>
      <w:lvlJc w:val="left"/>
    </w:lvl>
    <w:lvl w:ilvl="5" w:tplc="905A3878">
      <w:numFmt w:val="decimal"/>
      <w:lvlText w:val=""/>
      <w:lvlJc w:val="left"/>
    </w:lvl>
    <w:lvl w:ilvl="6" w:tplc="A4EA0DF2">
      <w:numFmt w:val="decimal"/>
      <w:lvlText w:val=""/>
      <w:lvlJc w:val="left"/>
    </w:lvl>
    <w:lvl w:ilvl="7" w:tplc="7DEE8CC4">
      <w:numFmt w:val="decimal"/>
      <w:lvlText w:val=""/>
      <w:lvlJc w:val="left"/>
    </w:lvl>
    <w:lvl w:ilvl="8" w:tplc="CA0E191C">
      <w:numFmt w:val="decimal"/>
      <w:lvlText w:val=""/>
      <w:lvlJc w:val="left"/>
    </w:lvl>
  </w:abstractNum>
  <w:abstractNum w:abstractNumId="176" w15:restartNumberingAfterBreak="0">
    <w:nsid w:val="12F1637E"/>
    <w:multiLevelType w:val="hybridMultilevel"/>
    <w:tmpl w:val="6C28A0B0"/>
    <w:lvl w:ilvl="0" w:tplc="FD0408A4">
      <w:numFmt w:val="decimal"/>
      <w:lvlText w:val=""/>
      <w:lvlJc w:val="left"/>
    </w:lvl>
    <w:lvl w:ilvl="1" w:tplc="F63E3FDC">
      <w:start w:val="1"/>
      <w:numFmt w:val="bullet"/>
      <w:lvlText w:val=""/>
      <w:lvlJc w:val="left"/>
      <w:pPr>
        <w:ind w:left="1440" w:hanging="180"/>
      </w:pPr>
      <w:rPr>
        <w:rFonts w:ascii="Symbol" w:hAnsi="Symbol" w:hint="default"/>
      </w:rPr>
    </w:lvl>
    <w:lvl w:ilvl="2" w:tplc="3E549DEA">
      <w:numFmt w:val="decimal"/>
      <w:lvlText w:val=""/>
      <w:lvlJc w:val="left"/>
    </w:lvl>
    <w:lvl w:ilvl="3" w:tplc="930463CE">
      <w:numFmt w:val="decimal"/>
      <w:lvlText w:val=""/>
      <w:lvlJc w:val="left"/>
    </w:lvl>
    <w:lvl w:ilvl="4" w:tplc="5298E892">
      <w:numFmt w:val="decimal"/>
      <w:lvlText w:val=""/>
      <w:lvlJc w:val="left"/>
    </w:lvl>
    <w:lvl w:ilvl="5" w:tplc="CF628252">
      <w:numFmt w:val="decimal"/>
      <w:lvlText w:val=""/>
      <w:lvlJc w:val="left"/>
    </w:lvl>
    <w:lvl w:ilvl="6" w:tplc="0F3CDD8A">
      <w:numFmt w:val="decimal"/>
      <w:lvlText w:val=""/>
      <w:lvlJc w:val="left"/>
    </w:lvl>
    <w:lvl w:ilvl="7" w:tplc="78DC036C">
      <w:numFmt w:val="decimal"/>
      <w:lvlText w:val=""/>
      <w:lvlJc w:val="left"/>
    </w:lvl>
    <w:lvl w:ilvl="8" w:tplc="B3C4D746">
      <w:numFmt w:val="decimal"/>
      <w:lvlText w:val=""/>
      <w:lvlJc w:val="left"/>
    </w:lvl>
  </w:abstractNum>
  <w:abstractNum w:abstractNumId="177" w15:restartNumberingAfterBreak="0">
    <w:nsid w:val="132113C4"/>
    <w:multiLevelType w:val="hybridMultilevel"/>
    <w:tmpl w:val="0720AC32"/>
    <w:lvl w:ilvl="0" w:tplc="A26A5B02">
      <w:start w:val="1"/>
      <w:numFmt w:val="bullet"/>
      <w:lvlText w:val=""/>
      <w:lvlJc w:val="left"/>
      <w:pPr>
        <w:ind w:left="720" w:hanging="180"/>
      </w:pPr>
      <w:rPr>
        <w:rFonts w:ascii="Symbol" w:hAnsi="Symbol" w:hint="default"/>
      </w:rPr>
    </w:lvl>
    <w:lvl w:ilvl="1" w:tplc="B7EEDA8A">
      <w:numFmt w:val="decimal"/>
      <w:lvlText w:val=""/>
      <w:lvlJc w:val="left"/>
    </w:lvl>
    <w:lvl w:ilvl="2" w:tplc="8F3A46A8">
      <w:numFmt w:val="decimal"/>
      <w:lvlText w:val=""/>
      <w:lvlJc w:val="left"/>
    </w:lvl>
    <w:lvl w:ilvl="3" w:tplc="18BAFA42">
      <w:numFmt w:val="decimal"/>
      <w:lvlText w:val=""/>
      <w:lvlJc w:val="left"/>
    </w:lvl>
    <w:lvl w:ilvl="4" w:tplc="82B873A0">
      <w:numFmt w:val="decimal"/>
      <w:lvlText w:val=""/>
      <w:lvlJc w:val="left"/>
    </w:lvl>
    <w:lvl w:ilvl="5" w:tplc="2256A256">
      <w:numFmt w:val="decimal"/>
      <w:lvlText w:val=""/>
      <w:lvlJc w:val="left"/>
    </w:lvl>
    <w:lvl w:ilvl="6" w:tplc="4AB0A12A">
      <w:numFmt w:val="decimal"/>
      <w:lvlText w:val=""/>
      <w:lvlJc w:val="left"/>
    </w:lvl>
    <w:lvl w:ilvl="7" w:tplc="6C72D400">
      <w:numFmt w:val="decimal"/>
      <w:lvlText w:val=""/>
      <w:lvlJc w:val="left"/>
    </w:lvl>
    <w:lvl w:ilvl="8" w:tplc="88243238">
      <w:numFmt w:val="decimal"/>
      <w:lvlText w:val=""/>
      <w:lvlJc w:val="left"/>
    </w:lvl>
  </w:abstractNum>
  <w:abstractNum w:abstractNumId="178" w15:restartNumberingAfterBreak="0">
    <w:nsid w:val="13347042"/>
    <w:multiLevelType w:val="hybridMultilevel"/>
    <w:tmpl w:val="D15096CA"/>
    <w:lvl w:ilvl="0" w:tplc="5656A4EA">
      <w:start w:val="1"/>
      <w:numFmt w:val="bullet"/>
      <w:lvlText w:val=""/>
      <w:lvlJc w:val="left"/>
      <w:pPr>
        <w:ind w:left="720" w:hanging="180"/>
      </w:pPr>
      <w:rPr>
        <w:rFonts w:ascii="Symbol" w:hAnsi="Symbol" w:hint="default"/>
      </w:rPr>
    </w:lvl>
    <w:lvl w:ilvl="1" w:tplc="2AC67D44">
      <w:numFmt w:val="decimal"/>
      <w:lvlText w:val=""/>
      <w:lvlJc w:val="left"/>
    </w:lvl>
    <w:lvl w:ilvl="2" w:tplc="1CFEC388">
      <w:numFmt w:val="decimal"/>
      <w:lvlText w:val=""/>
      <w:lvlJc w:val="left"/>
    </w:lvl>
    <w:lvl w:ilvl="3" w:tplc="C13CB96A">
      <w:numFmt w:val="decimal"/>
      <w:lvlText w:val=""/>
      <w:lvlJc w:val="left"/>
    </w:lvl>
    <w:lvl w:ilvl="4" w:tplc="C638FE24">
      <w:numFmt w:val="decimal"/>
      <w:lvlText w:val=""/>
      <w:lvlJc w:val="left"/>
    </w:lvl>
    <w:lvl w:ilvl="5" w:tplc="61A221CE">
      <w:numFmt w:val="decimal"/>
      <w:lvlText w:val=""/>
      <w:lvlJc w:val="left"/>
    </w:lvl>
    <w:lvl w:ilvl="6" w:tplc="521ECCBC">
      <w:numFmt w:val="decimal"/>
      <w:lvlText w:val=""/>
      <w:lvlJc w:val="left"/>
    </w:lvl>
    <w:lvl w:ilvl="7" w:tplc="C652E7FA">
      <w:numFmt w:val="decimal"/>
      <w:lvlText w:val=""/>
      <w:lvlJc w:val="left"/>
    </w:lvl>
    <w:lvl w:ilvl="8" w:tplc="F62A47FE">
      <w:numFmt w:val="decimal"/>
      <w:lvlText w:val=""/>
      <w:lvlJc w:val="left"/>
    </w:lvl>
  </w:abstractNum>
  <w:abstractNum w:abstractNumId="179" w15:restartNumberingAfterBreak="0">
    <w:nsid w:val="135A17B8"/>
    <w:multiLevelType w:val="hybridMultilevel"/>
    <w:tmpl w:val="4E7A0ADC"/>
    <w:lvl w:ilvl="0" w:tplc="E1CA837E">
      <w:start w:val="1"/>
      <w:numFmt w:val="bullet"/>
      <w:lvlText w:val=""/>
      <w:lvlJc w:val="left"/>
      <w:pPr>
        <w:ind w:left="720" w:hanging="180"/>
      </w:pPr>
      <w:rPr>
        <w:rFonts w:ascii="Symbol" w:hAnsi="Symbol" w:hint="default"/>
      </w:rPr>
    </w:lvl>
    <w:lvl w:ilvl="1" w:tplc="061CC5D0">
      <w:numFmt w:val="decimal"/>
      <w:lvlText w:val=""/>
      <w:lvlJc w:val="left"/>
    </w:lvl>
    <w:lvl w:ilvl="2" w:tplc="3250A040">
      <w:numFmt w:val="decimal"/>
      <w:lvlText w:val=""/>
      <w:lvlJc w:val="left"/>
    </w:lvl>
    <w:lvl w:ilvl="3" w:tplc="3AD099E8">
      <w:numFmt w:val="decimal"/>
      <w:lvlText w:val=""/>
      <w:lvlJc w:val="left"/>
    </w:lvl>
    <w:lvl w:ilvl="4" w:tplc="D3329BBA">
      <w:numFmt w:val="decimal"/>
      <w:lvlText w:val=""/>
      <w:lvlJc w:val="left"/>
    </w:lvl>
    <w:lvl w:ilvl="5" w:tplc="9668C14C">
      <w:numFmt w:val="decimal"/>
      <w:lvlText w:val=""/>
      <w:lvlJc w:val="left"/>
    </w:lvl>
    <w:lvl w:ilvl="6" w:tplc="0C4650B6">
      <w:numFmt w:val="decimal"/>
      <w:lvlText w:val=""/>
      <w:lvlJc w:val="left"/>
    </w:lvl>
    <w:lvl w:ilvl="7" w:tplc="BFAE0A62">
      <w:numFmt w:val="decimal"/>
      <w:lvlText w:val=""/>
      <w:lvlJc w:val="left"/>
    </w:lvl>
    <w:lvl w:ilvl="8" w:tplc="C082C7A8">
      <w:numFmt w:val="decimal"/>
      <w:lvlText w:val=""/>
      <w:lvlJc w:val="left"/>
    </w:lvl>
  </w:abstractNum>
  <w:abstractNum w:abstractNumId="180" w15:restartNumberingAfterBreak="0">
    <w:nsid w:val="1364256B"/>
    <w:multiLevelType w:val="hybridMultilevel"/>
    <w:tmpl w:val="46940AF6"/>
    <w:lvl w:ilvl="0" w:tplc="E4DA098A">
      <w:start w:val="1"/>
      <w:numFmt w:val="bullet"/>
      <w:lvlText w:val=""/>
      <w:lvlJc w:val="left"/>
      <w:pPr>
        <w:ind w:left="720" w:hanging="180"/>
      </w:pPr>
      <w:rPr>
        <w:rFonts w:ascii="Symbol" w:hAnsi="Symbol" w:hint="default"/>
      </w:rPr>
    </w:lvl>
    <w:lvl w:ilvl="1" w:tplc="6714D53A">
      <w:numFmt w:val="decimal"/>
      <w:lvlText w:val=""/>
      <w:lvlJc w:val="left"/>
    </w:lvl>
    <w:lvl w:ilvl="2" w:tplc="B700307A">
      <w:numFmt w:val="decimal"/>
      <w:lvlText w:val=""/>
      <w:lvlJc w:val="left"/>
    </w:lvl>
    <w:lvl w:ilvl="3" w:tplc="16ECB44A">
      <w:numFmt w:val="decimal"/>
      <w:lvlText w:val=""/>
      <w:lvlJc w:val="left"/>
    </w:lvl>
    <w:lvl w:ilvl="4" w:tplc="ECAAF290">
      <w:numFmt w:val="decimal"/>
      <w:lvlText w:val=""/>
      <w:lvlJc w:val="left"/>
    </w:lvl>
    <w:lvl w:ilvl="5" w:tplc="FDA0778E">
      <w:numFmt w:val="decimal"/>
      <w:lvlText w:val=""/>
      <w:lvlJc w:val="left"/>
    </w:lvl>
    <w:lvl w:ilvl="6" w:tplc="13E8FF94">
      <w:numFmt w:val="decimal"/>
      <w:lvlText w:val=""/>
      <w:lvlJc w:val="left"/>
    </w:lvl>
    <w:lvl w:ilvl="7" w:tplc="63DC7F16">
      <w:numFmt w:val="decimal"/>
      <w:lvlText w:val=""/>
      <w:lvlJc w:val="left"/>
    </w:lvl>
    <w:lvl w:ilvl="8" w:tplc="E39A1BC6">
      <w:numFmt w:val="decimal"/>
      <w:lvlText w:val=""/>
      <w:lvlJc w:val="left"/>
    </w:lvl>
  </w:abstractNum>
  <w:abstractNum w:abstractNumId="181" w15:restartNumberingAfterBreak="0">
    <w:nsid w:val="136A7DD3"/>
    <w:multiLevelType w:val="hybridMultilevel"/>
    <w:tmpl w:val="B568CE84"/>
    <w:lvl w:ilvl="0" w:tplc="3EEC6FEA">
      <w:start w:val="1"/>
      <w:numFmt w:val="bullet"/>
      <w:lvlText w:val=""/>
      <w:lvlJc w:val="left"/>
      <w:pPr>
        <w:ind w:left="720" w:hanging="180"/>
      </w:pPr>
      <w:rPr>
        <w:rFonts w:ascii="Symbol" w:hAnsi="Symbol" w:hint="default"/>
      </w:rPr>
    </w:lvl>
    <w:lvl w:ilvl="1" w:tplc="0664A648">
      <w:numFmt w:val="decimal"/>
      <w:lvlText w:val=""/>
      <w:lvlJc w:val="left"/>
    </w:lvl>
    <w:lvl w:ilvl="2" w:tplc="A448E514">
      <w:numFmt w:val="decimal"/>
      <w:lvlText w:val=""/>
      <w:lvlJc w:val="left"/>
    </w:lvl>
    <w:lvl w:ilvl="3" w:tplc="B8D8C976">
      <w:numFmt w:val="decimal"/>
      <w:lvlText w:val=""/>
      <w:lvlJc w:val="left"/>
    </w:lvl>
    <w:lvl w:ilvl="4" w:tplc="4554284A">
      <w:numFmt w:val="decimal"/>
      <w:lvlText w:val=""/>
      <w:lvlJc w:val="left"/>
    </w:lvl>
    <w:lvl w:ilvl="5" w:tplc="E99A5584">
      <w:numFmt w:val="decimal"/>
      <w:lvlText w:val=""/>
      <w:lvlJc w:val="left"/>
    </w:lvl>
    <w:lvl w:ilvl="6" w:tplc="4154C956">
      <w:numFmt w:val="decimal"/>
      <w:lvlText w:val=""/>
      <w:lvlJc w:val="left"/>
    </w:lvl>
    <w:lvl w:ilvl="7" w:tplc="9E08197C">
      <w:numFmt w:val="decimal"/>
      <w:lvlText w:val=""/>
      <w:lvlJc w:val="left"/>
    </w:lvl>
    <w:lvl w:ilvl="8" w:tplc="080AD1AC">
      <w:numFmt w:val="decimal"/>
      <w:lvlText w:val=""/>
      <w:lvlJc w:val="left"/>
    </w:lvl>
  </w:abstractNum>
  <w:abstractNum w:abstractNumId="182" w15:restartNumberingAfterBreak="0">
    <w:nsid w:val="13903F2F"/>
    <w:multiLevelType w:val="hybridMultilevel"/>
    <w:tmpl w:val="3D58A1A8"/>
    <w:lvl w:ilvl="0" w:tplc="51A23048">
      <w:start w:val="1"/>
      <w:numFmt w:val="bullet"/>
      <w:lvlText w:val=""/>
      <w:lvlJc w:val="left"/>
      <w:pPr>
        <w:ind w:left="720" w:hanging="180"/>
      </w:pPr>
      <w:rPr>
        <w:rFonts w:ascii="Symbol" w:hAnsi="Symbol" w:hint="default"/>
      </w:rPr>
    </w:lvl>
    <w:lvl w:ilvl="1" w:tplc="8E9EDAEC">
      <w:numFmt w:val="decimal"/>
      <w:lvlText w:val=""/>
      <w:lvlJc w:val="left"/>
    </w:lvl>
    <w:lvl w:ilvl="2" w:tplc="3EEC77FC">
      <w:numFmt w:val="decimal"/>
      <w:lvlText w:val=""/>
      <w:lvlJc w:val="left"/>
    </w:lvl>
    <w:lvl w:ilvl="3" w:tplc="A18289F4">
      <w:numFmt w:val="decimal"/>
      <w:lvlText w:val=""/>
      <w:lvlJc w:val="left"/>
    </w:lvl>
    <w:lvl w:ilvl="4" w:tplc="E4902F88">
      <w:numFmt w:val="decimal"/>
      <w:lvlText w:val=""/>
      <w:lvlJc w:val="left"/>
    </w:lvl>
    <w:lvl w:ilvl="5" w:tplc="EE3621DA">
      <w:numFmt w:val="decimal"/>
      <w:lvlText w:val=""/>
      <w:lvlJc w:val="left"/>
    </w:lvl>
    <w:lvl w:ilvl="6" w:tplc="2C88DD38">
      <w:numFmt w:val="decimal"/>
      <w:lvlText w:val=""/>
      <w:lvlJc w:val="left"/>
    </w:lvl>
    <w:lvl w:ilvl="7" w:tplc="4A0E641C">
      <w:numFmt w:val="decimal"/>
      <w:lvlText w:val=""/>
      <w:lvlJc w:val="left"/>
    </w:lvl>
    <w:lvl w:ilvl="8" w:tplc="E2405834">
      <w:numFmt w:val="decimal"/>
      <w:lvlText w:val=""/>
      <w:lvlJc w:val="left"/>
    </w:lvl>
  </w:abstractNum>
  <w:abstractNum w:abstractNumId="183" w15:restartNumberingAfterBreak="0">
    <w:nsid w:val="139A235F"/>
    <w:multiLevelType w:val="hybridMultilevel"/>
    <w:tmpl w:val="43F22BA8"/>
    <w:lvl w:ilvl="0" w:tplc="4D2AC17E">
      <w:start w:val="1"/>
      <w:numFmt w:val="bullet"/>
      <w:lvlText w:val=""/>
      <w:lvlJc w:val="left"/>
      <w:pPr>
        <w:ind w:left="720" w:hanging="180"/>
      </w:pPr>
      <w:rPr>
        <w:rFonts w:ascii="Symbol" w:hAnsi="Symbol" w:hint="default"/>
      </w:rPr>
    </w:lvl>
    <w:lvl w:ilvl="1" w:tplc="8F4A978E">
      <w:numFmt w:val="decimal"/>
      <w:lvlText w:val=""/>
      <w:lvlJc w:val="left"/>
    </w:lvl>
    <w:lvl w:ilvl="2" w:tplc="AB14CD68">
      <w:numFmt w:val="decimal"/>
      <w:lvlText w:val=""/>
      <w:lvlJc w:val="left"/>
    </w:lvl>
    <w:lvl w:ilvl="3" w:tplc="C4DE0614">
      <w:numFmt w:val="decimal"/>
      <w:lvlText w:val=""/>
      <w:lvlJc w:val="left"/>
    </w:lvl>
    <w:lvl w:ilvl="4" w:tplc="77EE6654">
      <w:numFmt w:val="decimal"/>
      <w:lvlText w:val=""/>
      <w:lvlJc w:val="left"/>
    </w:lvl>
    <w:lvl w:ilvl="5" w:tplc="131A21C2">
      <w:numFmt w:val="decimal"/>
      <w:lvlText w:val=""/>
      <w:lvlJc w:val="left"/>
    </w:lvl>
    <w:lvl w:ilvl="6" w:tplc="8F9267E2">
      <w:numFmt w:val="decimal"/>
      <w:lvlText w:val=""/>
      <w:lvlJc w:val="left"/>
    </w:lvl>
    <w:lvl w:ilvl="7" w:tplc="E6F27632">
      <w:numFmt w:val="decimal"/>
      <w:lvlText w:val=""/>
      <w:lvlJc w:val="left"/>
    </w:lvl>
    <w:lvl w:ilvl="8" w:tplc="E9E8F04E">
      <w:numFmt w:val="decimal"/>
      <w:lvlText w:val=""/>
      <w:lvlJc w:val="left"/>
    </w:lvl>
  </w:abstractNum>
  <w:abstractNum w:abstractNumId="184" w15:restartNumberingAfterBreak="0">
    <w:nsid w:val="13AC7059"/>
    <w:multiLevelType w:val="hybridMultilevel"/>
    <w:tmpl w:val="BA060B2A"/>
    <w:lvl w:ilvl="0" w:tplc="C9A2C3A2">
      <w:start w:val="1"/>
      <w:numFmt w:val="bullet"/>
      <w:lvlText w:val=""/>
      <w:lvlJc w:val="left"/>
      <w:pPr>
        <w:ind w:left="720" w:hanging="180"/>
      </w:pPr>
      <w:rPr>
        <w:rFonts w:ascii="Symbol" w:hAnsi="Symbol" w:hint="default"/>
      </w:rPr>
    </w:lvl>
    <w:lvl w:ilvl="1" w:tplc="990493DA">
      <w:numFmt w:val="decimal"/>
      <w:lvlText w:val=""/>
      <w:lvlJc w:val="left"/>
    </w:lvl>
    <w:lvl w:ilvl="2" w:tplc="B1CC53A6">
      <w:numFmt w:val="decimal"/>
      <w:lvlText w:val=""/>
      <w:lvlJc w:val="left"/>
    </w:lvl>
    <w:lvl w:ilvl="3" w:tplc="765E5E2C">
      <w:numFmt w:val="decimal"/>
      <w:lvlText w:val=""/>
      <w:lvlJc w:val="left"/>
    </w:lvl>
    <w:lvl w:ilvl="4" w:tplc="5ABAF4DA">
      <w:numFmt w:val="decimal"/>
      <w:lvlText w:val=""/>
      <w:lvlJc w:val="left"/>
    </w:lvl>
    <w:lvl w:ilvl="5" w:tplc="EC787C76">
      <w:numFmt w:val="decimal"/>
      <w:lvlText w:val=""/>
      <w:lvlJc w:val="left"/>
    </w:lvl>
    <w:lvl w:ilvl="6" w:tplc="19D6781A">
      <w:numFmt w:val="decimal"/>
      <w:lvlText w:val=""/>
      <w:lvlJc w:val="left"/>
    </w:lvl>
    <w:lvl w:ilvl="7" w:tplc="18AAB1EC">
      <w:numFmt w:val="decimal"/>
      <w:lvlText w:val=""/>
      <w:lvlJc w:val="left"/>
    </w:lvl>
    <w:lvl w:ilvl="8" w:tplc="383E0594">
      <w:numFmt w:val="decimal"/>
      <w:lvlText w:val=""/>
      <w:lvlJc w:val="left"/>
    </w:lvl>
  </w:abstractNum>
  <w:abstractNum w:abstractNumId="185" w15:restartNumberingAfterBreak="0">
    <w:nsid w:val="13C519E7"/>
    <w:multiLevelType w:val="hybridMultilevel"/>
    <w:tmpl w:val="B5BEBE9E"/>
    <w:lvl w:ilvl="0" w:tplc="53B604EC">
      <w:start w:val="1"/>
      <w:numFmt w:val="bullet"/>
      <w:lvlText w:val=""/>
      <w:lvlJc w:val="left"/>
      <w:pPr>
        <w:ind w:left="720" w:hanging="180"/>
      </w:pPr>
      <w:rPr>
        <w:rFonts w:ascii="Symbol" w:hAnsi="Symbol" w:hint="default"/>
      </w:rPr>
    </w:lvl>
    <w:lvl w:ilvl="1" w:tplc="4208A69C">
      <w:numFmt w:val="decimal"/>
      <w:lvlText w:val=""/>
      <w:lvlJc w:val="left"/>
    </w:lvl>
    <w:lvl w:ilvl="2" w:tplc="3D3A2738">
      <w:numFmt w:val="decimal"/>
      <w:lvlText w:val=""/>
      <w:lvlJc w:val="left"/>
    </w:lvl>
    <w:lvl w:ilvl="3" w:tplc="FF027CA6">
      <w:numFmt w:val="decimal"/>
      <w:lvlText w:val=""/>
      <w:lvlJc w:val="left"/>
    </w:lvl>
    <w:lvl w:ilvl="4" w:tplc="545E0A0A">
      <w:numFmt w:val="decimal"/>
      <w:lvlText w:val=""/>
      <w:lvlJc w:val="left"/>
    </w:lvl>
    <w:lvl w:ilvl="5" w:tplc="707E2746">
      <w:numFmt w:val="decimal"/>
      <w:lvlText w:val=""/>
      <w:lvlJc w:val="left"/>
    </w:lvl>
    <w:lvl w:ilvl="6" w:tplc="F498F6AC">
      <w:numFmt w:val="decimal"/>
      <w:lvlText w:val=""/>
      <w:lvlJc w:val="left"/>
    </w:lvl>
    <w:lvl w:ilvl="7" w:tplc="DF74E7F4">
      <w:numFmt w:val="decimal"/>
      <w:lvlText w:val=""/>
      <w:lvlJc w:val="left"/>
    </w:lvl>
    <w:lvl w:ilvl="8" w:tplc="425C1174">
      <w:numFmt w:val="decimal"/>
      <w:lvlText w:val=""/>
      <w:lvlJc w:val="left"/>
    </w:lvl>
  </w:abstractNum>
  <w:abstractNum w:abstractNumId="186" w15:restartNumberingAfterBreak="0">
    <w:nsid w:val="13F13A54"/>
    <w:multiLevelType w:val="hybridMultilevel"/>
    <w:tmpl w:val="B9906678"/>
    <w:lvl w:ilvl="0" w:tplc="9F3062F6">
      <w:start w:val="1"/>
      <w:numFmt w:val="bullet"/>
      <w:lvlText w:val=""/>
      <w:lvlJc w:val="left"/>
      <w:pPr>
        <w:ind w:left="720" w:hanging="180"/>
      </w:pPr>
      <w:rPr>
        <w:rFonts w:ascii="Symbol" w:hAnsi="Symbol" w:hint="default"/>
      </w:rPr>
    </w:lvl>
    <w:lvl w:ilvl="1" w:tplc="D40A183E">
      <w:numFmt w:val="decimal"/>
      <w:lvlText w:val=""/>
      <w:lvlJc w:val="left"/>
    </w:lvl>
    <w:lvl w:ilvl="2" w:tplc="852EB0E0">
      <w:numFmt w:val="decimal"/>
      <w:lvlText w:val=""/>
      <w:lvlJc w:val="left"/>
    </w:lvl>
    <w:lvl w:ilvl="3" w:tplc="2CF04010">
      <w:numFmt w:val="decimal"/>
      <w:lvlText w:val=""/>
      <w:lvlJc w:val="left"/>
    </w:lvl>
    <w:lvl w:ilvl="4" w:tplc="29783A82">
      <w:numFmt w:val="decimal"/>
      <w:lvlText w:val=""/>
      <w:lvlJc w:val="left"/>
    </w:lvl>
    <w:lvl w:ilvl="5" w:tplc="04AA61A8">
      <w:numFmt w:val="decimal"/>
      <w:lvlText w:val=""/>
      <w:lvlJc w:val="left"/>
    </w:lvl>
    <w:lvl w:ilvl="6" w:tplc="C47A2920">
      <w:numFmt w:val="decimal"/>
      <w:lvlText w:val=""/>
      <w:lvlJc w:val="left"/>
    </w:lvl>
    <w:lvl w:ilvl="7" w:tplc="F63CF11A">
      <w:numFmt w:val="decimal"/>
      <w:lvlText w:val=""/>
      <w:lvlJc w:val="left"/>
    </w:lvl>
    <w:lvl w:ilvl="8" w:tplc="2E725798">
      <w:numFmt w:val="decimal"/>
      <w:lvlText w:val=""/>
      <w:lvlJc w:val="left"/>
    </w:lvl>
  </w:abstractNum>
  <w:abstractNum w:abstractNumId="187" w15:restartNumberingAfterBreak="0">
    <w:nsid w:val="143E33DA"/>
    <w:multiLevelType w:val="hybridMultilevel"/>
    <w:tmpl w:val="CFCC6A10"/>
    <w:lvl w:ilvl="0" w:tplc="6332E73C">
      <w:start w:val="1"/>
      <w:numFmt w:val="bullet"/>
      <w:lvlText w:val=""/>
      <w:lvlJc w:val="left"/>
      <w:pPr>
        <w:ind w:left="720" w:hanging="180"/>
      </w:pPr>
      <w:rPr>
        <w:rFonts w:ascii="Symbol" w:hAnsi="Symbol" w:hint="default"/>
      </w:rPr>
    </w:lvl>
    <w:lvl w:ilvl="1" w:tplc="7626EEF2">
      <w:numFmt w:val="decimal"/>
      <w:lvlText w:val=""/>
      <w:lvlJc w:val="left"/>
    </w:lvl>
    <w:lvl w:ilvl="2" w:tplc="64F2FA6E">
      <w:numFmt w:val="decimal"/>
      <w:lvlText w:val=""/>
      <w:lvlJc w:val="left"/>
    </w:lvl>
    <w:lvl w:ilvl="3" w:tplc="F86AB3F2">
      <w:numFmt w:val="decimal"/>
      <w:lvlText w:val=""/>
      <w:lvlJc w:val="left"/>
    </w:lvl>
    <w:lvl w:ilvl="4" w:tplc="D076F124">
      <w:numFmt w:val="decimal"/>
      <w:lvlText w:val=""/>
      <w:lvlJc w:val="left"/>
    </w:lvl>
    <w:lvl w:ilvl="5" w:tplc="822C6782">
      <w:numFmt w:val="decimal"/>
      <w:lvlText w:val=""/>
      <w:lvlJc w:val="left"/>
    </w:lvl>
    <w:lvl w:ilvl="6" w:tplc="40E28C7C">
      <w:numFmt w:val="decimal"/>
      <w:lvlText w:val=""/>
      <w:lvlJc w:val="left"/>
    </w:lvl>
    <w:lvl w:ilvl="7" w:tplc="0A163C68">
      <w:numFmt w:val="decimal"/>
      <w:lvlText w:val=""/>
      <w:lvlJc w:val="left"/>
    </w:lvl>
    <w:lvl w:ilvl="8" w:tplc="CC86AA62">
      <w:numFmt w:val="decimal"/>
      <w:lvlText w:val=""/>
      <w:lvlJc w:val="left"/>
    </w:lvl>
  </w:abstractNum>
  <w:abstractNum w:abstractNumId="188" w15:restartNumberingAfterBreak="0">
    <w:nsid w:val="144D1179"/>
    <w:multiLevelType w:val="hybridMultilevel"/>
    <w:tmpl w:val="16946FFA"/>
    <w:lvl w:ilvl="0" w:tplc="5B3C88CC">
      <w:start w:val="1"/>
      <w:numFmt w:val="bullet"/>
      <w:lvlText w:val=""/>
      <w:lvlJc w:val="left"/>
      <w:pPr>
        <w:ind w:left="720" w:hanging="180"/>
      </w:pPr>
      <w:rPr>
        <w:rFonts w:ascii="Symbol" w:hAnsi="Symbol" w:hint="default"/>
      </w:rPr>
    </w:lvl>
    <w:lvl w:ilvl="1" w:tplc="6860B6D6">
      <w:numFmt w:val="decimal"/>
      <w:lvlText w:val=""/>
      <w:lvlJc w:val="left"/>
    </w:lvl>
    <w:lvl w:ilvl="2" w:tplc="CF66290C">
      <w:numFmt w:val="decimal"/>
      <w:lvlText w:val=""/>
      <w:lvlJc w:val="left"/>
    </w:lvl>
    <w:lvl w:ilvl="3" w:tplc="189A536A">
      <w:numFmt w:val="decimal"/>
      <w:lvlText w:val=""/>
      <w:lvlJc w:val="left"/>
    </w:lvl>
    <w:lvl w:ilvl="4" w:tplc="713C7AD6">
      <w:numFmt w:val="decimal"/>
      <w:lvlText w:val=""/>
      <w:lvlJc w:val="left"/>
    </w:lvl>
    <w:lvl w:ilvl="5" w:tplc="DFD215B0">
      <w:numFmt w:val="decimal"/>
      <w:lvlText w:val=""/>
      <w:lvlJc w:val="left"/>
    </w:lvl>
    <w:lvl w:ilvl="6" w:tplc="5CC0895E">
      <w:numFmt w:val="decimal"/>
      <w:lvlText w:val=""/>
      <w:lvlJc w:val="left"/>
    </w:lvl>
    <w:lvl w:ilvl="7" w:tplc="5C64C6E6">
      <w:numFmt w:val="decimal"/>
      <w:lvlText w:val=""/>
      <w:lvlJc w:val="left"/>
    </w:lvl>
    <w:lvl w:ilvl="8" w:tplc="01A69CA8">
      <w:numFmt w:val="decimal"/>
      <w:lvlText w:val=""/>
      <w:lvlJc w:val="left"/>
    </w:lvl>
  </w:abstractNum>
  <w:abstractNum w:abstractNumId="189" w15:restartNumberingAfterBreak="0">
    <w:nsid w:val="14605BAF"/>
    <w:multiLevelType w:val="hybridMultilevel"/>
    <w:tmpl w:val="42A046F2"/>
    <w:lvl w:ilvl="0" w:tplc="0886628E">
      <w:start w:val="1"/>
      <w:numFmt w:val="bullet"/>
      <w:lvlText w:val=""/>
      <w:lvlJc w:val="left"/>
      <w:pPr>
        <w:ind w:left="720" w:hanging="180"/>
      </w:pPr>
      <w:rPr>
        <w:rFonts w:ascii="Symbol" w:hAnsi="Symbol" w:hint="default"/>
      </w:rPr>
    </w:lvl>
    <w:lvl w:ilvl="1" w:tplc="54CC9AFA">
      <w:numFmt w:val="decimal"/>
      <w:lvlText w:val=""/>
      <w:lvlJc w:val="left"/>
    </w:lvl>
    <w:lvl w:ilvl="2" w:tplc="EA240B56">
      <w:numFmt w:val="decimal"/>
      <w:lvlText w:val=""/>
      <w:lvlJc w:val="left"/>
    </w:lvl>
    <w:lvl w:ilvl="3" w:tplc="5B9C0ABA">
      <w:numFmt w:val="decimal"/>
      <w:lvlText w:val=""/>
      <w:lvlJc w:val="left"/>
    </w:lvl>
    <w:lvl w:ilvl="4" w:tplc="F2E6251E">
      <w:numFmt w:val="decimal"/>
      <w:lvlText w:val=""/>
      <w:lvlJc w:val="left"/>
    </w:lvl>
    <w:lvl w:ilvl="5" w:tplc="58A4E830">
      <w:numFmt w:val="decimal"/>
      <w:lvlText w:val=""/>
      <w:lvlJc w:val="left"/>
    </w:lvl>
    <w:lvl w:ilvl="6" w:tplc="16B6C5DA">
      <w:numFmt w:val="decimal"/>
      <w:lvlText w:val=""/>
      <w:lvlJc w:val="left"/>
    </w:lvl>
    <w:lvl w:ilvl="7" w:tplc="F238DAB4">
      <w:numFmt w:val="decimal"/>
      <w:lvlText w:val=""/>
      <w:lvlJc w:val="left"/>
    </w:lvl>
    <w:lvl w:ilvl="8" w:tplc="DC3C9D88">
      <w:numFmt w:val="decimal"/>
      <w:lvlText w:val=""/>
      <w:lvlJc w:val="left"/>
    </w:lvl>
  </w:abstractNum>
  <w:abstractNum w:abstractNumId="190" w15:restartNumberingAfterBreak="0">
    <w:nsid w:val="15102A1C"/>
    <w:multiLevelType w:val="hybridMultilevel"/>
    <w:tmpl w:val="43DCC3EE"/>
    <w:lvl w:ilvl="0" w:tplc="1042FF6C">
      <w:start w:val="1"/>
      <w:numFmt w:val="bullet"/>
      <w:lvlText w:val=""/>
      <w:lvlJc w:val="left"/>
      <w:pPr>
        <w:ind w:left="720" w:hanging="180"/>
      </w:pPr>
      <w:rPr>
        <w:rFonts w:ascii="Symbol" w:hAnsi="Symbol" w:hint="default"/>
      </w:rPr>
    </w:lvl>
    <w:lvl w:ilvl="1" w:tplc="7456818C">
      <w:numFmt w:val="decimal"/>
      <w:lvlText w:val=""/>
      <w:lvlJc w:val="left"/>
    </w:lvl>
    <w:lvl w:ilvl="2" w:tplc="67B02022">
      <w:numFmt w:val="decimal"/>
      <w:lvlText w:val=""/>
      <w:lvlJc w:val="left"/>
    </w:lvl>
    <w:lvl w:ilvl="3" w:tplc="00447A0A">
      <w:numFmt w:val="decimal"/>
      <w:lvlText w:val=""/>
      <w:lvlJc w:val="left"/>
    </w:lvl>
    <w:lvl w:ilvl="4" w:tplc="57328308">
      <w:numFmt w:val="decimal"/>
      <w:lvlText w:val=""/>
      <w:lvlJc w:val="left"/>
    </w:lvl>
    <w:lvl w:ilvl="5" w:tplc="624A3066">
      <w:numFmt w:val="decimal"/>
      <w:lvlText w:val=""/>
      <w:lvlJc w:val="left"/>
    </w:lvl>
    <w:lvl w:ilvl="6" w:tplc="1A86CCD4">
      <w:numFmt w:val="decimal"/>
      <w:lvlText w:val=""/>
      <w:lvlJc w:val="left"/>
    </w:lvl>
    <w:lvl w:ilvl="7" w:tplc="93EA0358">
      <w:numFmt w:val="decimal"/>
      <w:lvlText w:val=""/>
      <w:lvlJc w:val="left"/>
    </w:lvl>
    <w:lvl w:ilvl="8" w:tplc="B83C52B4">
      <w:numFmt w:val="decimal"/>
      <w:lvlText w:val=""/>
      <w:lvlJc w:val="left"/>
    </w:lvl>
  </w:abstractNum>
  <w:abstractNum w:abstractNumId="191" w15:restartNumberingAfterBreak="0">
    <w:nsid w:val="1550646A"/>
    <w:multiLevelType w:val="hybridMultilevel"/>
    <w:tmpl w:val="00761CF8"/>
    <w:lvl w:ilvl="0" w:tplc="988CB7A2">
      <w:start w:val="1"/>
      <w:numFmt w:val="bullet"/>
      <w:lvlText w:val=""/>
      <w:lvlJc w:val="left"/>
      <w:pPr>
        <w:ind w:left="720" w:hanging="180"/>
      </w:pPr>
      <w:rPr>
        <w:rFonts w:ascii="Symbol" w:hAnsi="Symbol" w:hint="default"/>
      </w:rPr>
    </w:lvl>
    <w:lvl w:ilvl="1" w:tplc="393404E4">
      <w:numFmt w:val="decimal"/>
      <w:lvlText w:val=""/>
      <w:lvlJc w:val="left"/>
    </w:lvl>
    <w:lvl w:ilvl="2" w:tplc="0AA471A6">
      <w:numFmt w:val="decimal"/>
      <w:lvlText w:val=""/>
      <w:lvlJc w:val="left"/>
    </w:lvl>
    <w:lvl w:ilvl="3" w:tplc="8DB6FA52">
      <w:numFmt w:val="decimal"/>
      <w:lvlText w:val=""/>
      <w:lvlJc w:val="left"/>
    </w:lvl>
    <w:lvl w:ilvl="4" w:tplc="CB24AD28">
      <w:numFmt w:val="decimal"/>
      <w:lvlText w:val=""/>
      <w:lvlJc w:val="left"/>
    </w:lvl>
    <w:lvl w:ilvl="5" w:tplc="5E1E3B5A">
      <w:numFmt w:val="decimal"/>
      <w:lvlText w:val=""/>
      <w:lvlJc w:val="left"/>
    </w:lvl>
    <w:lvl w:ilvl="6" w:tplc="77741EDC">
      <w:numFmt w:val="decimal"/>
      <w:lvlText w:val=""/>
      <w:lvlJc w:val="left"/>
    </w:lvl>
    <w:lvl w:ilvl="7" w:tplc="4B92B28C">
      <w:numFmt w:val="decimal"/>
      <w:lvlText w:val=""/>
      <w:lvlJc w:val="left"/>
    </w:lvl>
    <w:lvl w:ilvl="8" w:tplc="2DFEF94E">
      <w:numFmt w:val="decimal"/>
      <w:lvlText w:val=""/>
      <w:lvlJc w:val="left"/>
    </w:lvl>
  </w:abstractNum>
  <w:abstractNum w:abstractNumId="192" w15:restartNumberingAfterBreak="0">
    <w:nsid w:val="156D2509"/>
    <w:multiLevelType w:val="hybridMultilevel"/>
    <w:tmpl w:val="1B3C4AA2"/>
    <w:lvl w:ilvl="0" w:tplc="85CE97CA">
      <w:start w:val="1"/>
      <w:numFmt w:val="bullet"/>
      <w:lvlText w:val=""/>
      <w:lvlJc w:val="left"/>
      <w:pPr>
        <w:ind w:left="720" w:hanging="180"/>
      </w:pPr>
      <w:rPr>
        <w:rFonts w:ascii="Symbol" w:hAnsi="Symbol" w:hint="default"/>
      </w:rPr>
    </w:lvl>
    <w:lvl w:ilvl="1" w:tplc="8F60FF92">
      <w:numFmt w:val="decimal"/>
      <w:lvlText w:val=""/>
      <w:lvlJc w:val="left"/>
    </w:lvl>
    <w:lvl w:ilvl="2" w:tplc="3BC2D3FC">
      <w:numFmt w:val="decimal"/>
      <w:lvlText w:val=""/>
      <w:lvlJc w:val="left"/>
    </w:lvl>
    <w:lvl w:ilvl="3" w:tplc="F5E2601C">
      <w:numFmt w:val="decimal"/>
      <w:lvlText w:val=""/>
      <w:lvlJc w:val="left"/>
    </w:lvl>
    <w:lvl w:ilvl="4" w:tplc="90AEDDAC">
      <w:numFmt w:val="decimal"/>
      <w:lvlText w:val=""/>
      <w:lvlJc w:val="left"/>
    </w:lvl>
    <w:lvl w:ilvl="5" w:tplc="CFB4A934">
      <w:numFmt w:val="decimal"/>
      <w:lvlText w:val=""/>
      <w:lvlJc w:val="left"/>
    </w:lvl>
    <w:lvl w:ilvl="6" w:tplc="BE4E4416">
      <w:numFmt w:val="decimal"/>
      <w:lvlText w:val=""/>
      <w:lvlJc w:val="left"/>
    </w:lvl>
    <w:lvl w:ilvl="7" w:tplc="8BA24872">
      <w:numFmt w:val="decimal"/>
      <w:lvlText w:val=""/>
      <w:lvlJc w:val="left"/>
    </w:lvl>
    <w:lvl w:ilvl="8" w:tplc="B44AF8C0">
      <w:numFmt w:val="decimal"/>
      <w:lvlText w:val=""/>
      <w:lvlJc w:val="left"/>
    </w:lvl>
  </w:abstractNum>
  <w:abstractNum w:abstractNumId="193" w15:restartNumberingAfterBreak="0">
    <w:nsid w:val="158E2D10"/>
    <w:multiLevelType w:val="hybridMultilevel"/>
    <w:tmpl w:val="F880F076"/>
    <w:lvl w:ilvl="0" w:tplc="A09050FC">
      <w:start w:val="1"/>
      <w:numFmt w:val="bullet"/>
      <w:lvlText w:val=""/>
      <w:lvlJc w:val="left"/>
      <w:pPr>
        <w:ind w:left="720" w:hanging="180"/>
      </w:pPr>
      <w:rPr>
        <w:rFonts w:ascii="Symbol" w:hAnsi="Symbol" w:hint="default"/>
      </w:rPr>
    </w:lvl>
    <w:lvl w:ilvl="1" w:tplc="40FEC1DA">
      <w:numFmt w:val="decimal"/>
      <w:lvlText w:val=""/>
      <w:lvlJc w:val="left"/>
    </w:lvl>
    <w:lvl w:ilvl="2" w:tplc="471A1DFE">
      <w:numFmt w:val="decimal"/>
      <w:lvlText w:val=""/>
      <w:lvlJc w:val="left"/>
    </w:lvl>
    <w:lvl w:ilvl="3" w:tplc="DDF6C78E">
      <w:numFmt w:val="decimal"/>
      <w:lvlText w:val=""/>
      <w:lvlJc w:val="left"/>
    </w:lvl>
    <w:lvl w:ilvl="4" w:tplc="0D663FCC">
      <w:numFmt w:val="decimal"/>
      <w:lvlText w:val=""/>
      <w:lvlJc w:val="left"/>
    </w:lvl>
    <w:lvl w:ilvl="5" w:tplc="FCB078D8">
      <w:numFmt w:val="decimal"/>
      <w:lvlText w:val=""/>
      <w:lvlJc w:val="left"/>
    </w:lvl>
    <w:lvl w:ilvl="6" w:tplc="667C1E52">
      <w:numFmt w:val="decimal"/>
      <w:lvlText w:val=""/>
      <w:lvlJc w:val="left"/>
    </w:lvl>
    <w:lvl w:ilvl="7" w:tplc="79564E9E">
      <w:numFmt w:val="decimal"/>
      <w:lvlText w:val=""/>
      <w:lvlJc w:val="left"/>
    </w:lvl>
    <w:lvl w:ilvl="8" w:tplc="7FAA046A">
      <w:numFmt w:val="decimal"/>
      <w:lvlText w:val=""/>
      <w:lvlJc w:val="left"/>
    </w:lvl>
  </w:abstractNum>
  <w:abstractNum w:abstractNumId="194" w15:restartNumberingAfterBreak="0">
    <w:nsid w:val="15AB7757"/>
    <w:multiLevelType w:val="hybridMultilevel"/>
    <w:tmpl w:val="41188A30"/>
    <w:lvl w:ilvl="0" w:tplc="EEE0CE6A">
      <w:start w:val="1"/>
      <w:numFmt w:val="bullet"/>
      <w:lvlText w:val=""/>
      <w:lvlJc w:val="left"/>
      <w:pPr>
        <w:ind w:left="720" w:hanging="180"/>
      </w:pPr>
      <w:rPr>
        <w:rFonts w:ascii="Symbol" w:hAnsi="Symbol" w:hint="default"/>
      </w:rPr>
    </w:lvl>
    <w:lvl w:ilvl="1" w:tplc="68C0E666">
      <w:numFmt w:val="decimal"/>
      <w:lvlText w:val=""/>
      <w:lvlJc w:val="left"/>
    </w:lvl>
    <w:lvl w:ilvl="2" w:tplc="76A06F30">
      <w:numFmt w:val="decimal"/>
      <w:lvlText w:val=""/>
      <w:lvlJc w:val="left"/>
    </w:lvl>
    <w:lvl w:ilvl="3" w:tplc="06E26DBE">
      <w:numFmt w:val="decimal"/>
      <w:lvlText w:val=""/>
      <w:lvlJc w:val="left"/>
    </w:lvl>
    <w:lvl w:ilvl="4" w:tplc="87F667B8">
      <w:numFmt w:val="decimal"/>
      <w:lvlText w:val=""/>
      <w:lvlJc w:val="left"/>
    </w:lvl>
    <w:lvl w:ilvl="5" w:tplc="927AD94A">
      <w:numFmt w:val="decimal"/>
      <w:lvlText w:val=""/>
      <w:lvlJc w:val="left"/>
    </w:lvl>
    <w:lvl w:ilvl="6" w:tplc="8B7ECD7A">
      <w:numFmt w:val="decimal"/>
      <w:lvlText w:val=""/>
      <w:lvlJc w:val="left"/>
    </w:lvl>
    <w:lvl w:ilvl="7" w:tplc="79482BC0">
      <w:numFmt w:val="decimal"/>
      <w:lvlText w:val=""/>
      <w:lvlJc w:val="left"/>
    </w:lvl>
    <w:lvl w:ilvl="8" w:tplc="C2920FE0">
      <w:numFmt w:val="decimal"/>
      <w:lvlText w:val=""/>
      <w:lvlJc w:val="left"/>
    </w:lvl>
  </w:abstractNum>
  <w:abstractNum w:abstractNumId="195" w15:restartNumberingAfterBreak="0">
    <w:nsid w:val="15B327B1"/>
    <w:multiLevelType w:val="hybridMultilevel"/>
    <w:tmpl w:val="E0EECFC0"/>
    <w:lvl w:ilvl="0" w:tplc="808E3F88">
      <w:start w:val="1"/>
      <w:numFmt w:val="bullet"/>
      <w:lvlText w:val=""/>
      <w:lvlJc w:val="left"/>
      <w:pPr>
        <w:ind w:left="720" w:hanging="180"/>
      </w:pPr>
      <w:rPr>
        <w:rFonts w:ascii="Symbol" w:hAnsi="Symbol" w:hint="default"/>
      </w:rPr>
    </w:lvl>
    <w:lvl w:ilvl="1" w:tplc="AE1ABC12">
      <w:numFmt w:val="decimal"/>
      <w:lvlText w:val=""/>
      <w:lvlJc w:val="left"/>
    </w:lvl>
    <w:lvl w:ilvl="2" w:tplc="A7341C58">
      <w:numFmt w:val="decimal"/>
      <w:lvlText w:val=""/>
      <w:lvlJc w:val="left"/>
    </w:lvl>
    <w:lvl w:ilvl="3" w:tplc="BF56D6EE">
      <w:numFmt w:val="decimal"/>
      <w:lvlText w:val=""/>
      <w:lvlJc w:val="left"/>
    </w:lvl>
    <w:lvl w:ilvl="4" w:tplc="0A98AA34">
      <w:numFmt w:val="decimal"/>
      <w:lvlText w:val=""/>
      <w:lvlJc w:val="left"/>
    </w:lvl>
    <w:lvl w:ilvl="5" w:tplc="271CBD66">
      <w:numFmt w:val="decimal"/>
      <w:lvlText w:val=""/>
      <w:lvlJc w:val="left"/>
    </w:lvl>
    <w:lvl w:ilvl="6" w:tplc="812874E6">
      <w:numFmt w:val="decimal"/>
      <w:lvlText w:val=""/>
      <w:lvlJc w:val="left"/>
    </w:lvl>
    <w:lvl w:ilvl="7" w:tplc="089828DE">
      <w:numFmt w:val="decimal"/>
      <w:lvlText w:val=""/>
      <w:lvlJc w:val="left"/>
    </w:lvl>
    <w:lvl w:ilvl="8" w:tplc="2A9619D0">
      <w:numFmt w:val="decimal"/>
      <w:lvlText w:val=""/>
      <w:lvlJc w:val="left"/>
    </w:lvl>
  </w:abstractNum>
  <w:abstractNum w:abstractNumId="196" w15:restartNumberingAfterBreak="0">
    <w:nsid w:val="15B855E6"/>
    <w:multiLevelType w:val="hybridMultilevel"/>
    <w:tmpl w:val="3E6E9370"/>
    <w:lvl w:ilvl="0" w:tplc="D2C425E4">
      <w:start w:val="1"/>
      <w:numFmt w:val="bullet"/>
      <w:lvlText w:val=""/>
      <w:lvlJc w:val="left"/>
      <w:pPr>
        <w:ind w:left="720" w:hanging="180"/>
      </w:pPr>
      <w:rPr>
        <w:rFonts w:ascii="Symbol" w:hAnsi="Symbol" w:hint="default"/>
      </w:rPr>
    </w:lvl>
    <w:lvl w:ilvl="1" w:tplc="0ACCA120">
      <w:numFmt w:val="decimal"/>
      <w:lvlText w:val=""/>
      <w:lvlJc w:val="left"/>
    </w:lvl>
    <w:lvl w:ilvl="2" w:tplc="DD489342">
      <w:numFmt w:val="decimal"/>
      <w:lvlText w:val=""/>
      <w:lvlJc w:val="left"/>
    </w:lvl>
    <w:lvl w:ilvl="3" w:tplc="E8C6BC00">
      <w:numFmt w:val="decimal"/>
      <w:lvlText w:val=""/>
      <w:lvlJc w:val="left"/>
    </w:lvl>
    <w:lvl w:ilvl="4" w:tplc="CA78D5EC">
      <w:numFmt w:val="decimal"/>
      <w:lvlText w:val=""/>
      <w:lvlJc w:val="left"/>
    </w:lvl>
    <w:lvl w:ilvl="5" w:tplc="796ECCDC">
      <w:numFmt w:val="decimal"/>
      <w:lvlText w:val=""/>
      <w:lvlJc w:val="left"/>
    </w:lvl>
    <w:lvl w:ilvl="6" w:tplc="B6FA4190">
      <w:numFmt w:val="decimal"/>
      <w:lvlText w:val=""/>
      <w:lvlJc w:val="left"/>
    </w:lvl>
    <w:lvl w:ilvl="7" w:tplc="948AFF22">
      <w:numFmt w:val="decimal"/>
      <w:lvlText w:val=""/>
      <w:lvlJc w:val="left"/>
    </w:lvl>
    <w:lvl w:ilvl="8" w:tplc="5F76BF98">
      <w:numFmt w:val="decimal"/>
      <w:lvlText w:val=""/>
      <w:lvlJc w:val="left"/>
    </w:lvl>
  </w:abstractNum>
  <w:abstractNum w:abstractNumId="197" w15:restartNumberingAfterBreak="0">
    <w:nsid w:val="15CD0FE5"/>
    <w:multiLevelType w:val="hybridMultilevel"/>
    <w:tmpl w:val="D0665504"/>
    <w:lvl w:ilvl="0" w:tplc="E6F257BC">
      <w:start w:val="1"/>
      <w:numFmt w:val="bullet"/>
      <w:lvlText w:val=""/>
      <w:lvlJc w:val="left"/>
      <w:pPr>
        <w:ind w:left="720" w:hanging="180"/>
      </w:pPr>
      <w:rPr>
        <w:rFonts w:ascii="Symbol" w:hAnsi="Symbol" w:hint="default"/>
      </w:rPr>
    </w:lvl>
    <w:lvl w:ilvl="1" w:tplc="28C0C3A6">
      <w:numFmt w:val="decimal"/>
      <w:lvlText w:val=""/>
      <w:lvlJc w:val="left"/>
    </w:lvl>
    <w:lvl w:ilvl="2" w:tplc="573E7240">
      <w:numFmt w:val="decimal"/>
      <w:lvlText w:val=""/>
      <w:lvlJc w:val="left"/>
    </w:lvl>
    <w:lvl w:ilvl="3" w:tplc="8C2AA99A">
      <w:numFmt w:val="decimal"/>
      <w:lvlText w:val=""/>
      <w:lvlJc w:val="left"/>
    </w:lvl>
    <w:lvl w:ilvl="4" w:tplc="E8022848">
      <w:numFmt w:val="decimal"/>
      <w:lvlText w:val=""/>
      <w:lvlJc w:val="left"/>
    </w:lvl>
    <w:lvl w:ilvl="5" w:tplc="9DA2F178">
      <w:numFmt w:val="decimal"/>
      <w:lvlText w:val=""/>
      <w:lvlJc w:val="left"/>
    </w:lvl>
    <w:lvl w:ilvl="6" w:tplc="27E003AE">
      <w:numFmt w:val="decimal"/>
      <w:lvlText w:val=""/>
      <w:lvlJc w:val="left"/>
    </w:lvl>
    <w:lvl w:ilvl="7" w:tplc="7F16F404">
      <w:numFmt w:val="decimal"/>
      <w:lvlText w:val=""/>
      <w:lvlJc w:val="left"/>
    </w:lvl>
    <w:lvl w:ilvl="8" w:tplc="E7EAAB58">
      <w:numFmt w:val="decimal"/>
      <w:lvlText w:val=""/>
      <w:lvlJc w:val="left"/>
    </w:lvl>
  </w:abstractNum>
  <w:abstractNum w:abstractNumId="198" w15:restartNumberingAfterBreak="0">
    <w:nsid w:val="15F21F60"/>
    <w:multiLevelType w:val="hybridMultilevel"/>
    <w:tmpl w:val="BEF42D66"/>
    <w:lvl w:ilvl="0" w:tplc="15D86C1E">
      <w:start w:val="1"/>
      <w:numFmt w:val="bullet"/>
      <w:lvlText w:val=""/>
      <w:lvlJc w:val="left"/>
      <w:pPr>
        <w:ind w:left="720" w:hanging="180"/>
      </w:pPr>
      <w:rPr>
        <w:rFonts w:ascii="Symbol" w:hAnsi="Symbol" w:hint="default"/>
      </w:rPr>
    </w:lvl>
    <w:lvl w:ilvl="1" w:tplc="41AE3E6C">
      <w:numFmt w:val="decimal"/>
      <w:lvlText w:val=""/>
      <w:lvlJc w:val="left"/>
    </w:lvl>
    <w:lvl w:ilvl="2" w:tplc="43B8611C">
      <w:numFmt w:val="decimal"/>
      <w:lvlText w:val=""/>
      <w:lvlJc w:val="left"/>
    </w:lvl>
    <w:lvl w:ilvl="3" w:tplc="D24C22DA">
      <w:numFmt w:val="decimal"/>
      <w:lvlText w:val=""/>
      <w:lvlJc w:val="left"/>
    </w:lvl>
    <w:lvl w:ilvl="4" w:tplc="6DA82168">
      <w:numFmt w:val="decimal"/>
      <w:lvlText w:val=""/>
      <w:lvlJc w:val="left"/>
    </w:lvl>
    <w:lvl w:ilvl="5" w:tplc="D320EE70">
      <w:numFmt w:val="decimal"/>
      <w:lvlText w:val=""/>
      <w:lvlJc w:val="left"/>
    </w:lvl>
    <w:lvl w:ilvl="6" w:tplc="CC383068">
      <w:numFmt w:val="decimal"/>
      <w:lvlText w:val=""/>
      <w:lvlJc w:val="left"/>
    </w:lvl>
    <w:lvl w:ilvl="7" w:tplc="7F7C40F0">
      <w:numFmt w:val="decimal"/>
      <w:lvlText w:val=""/>
      <w:lvlJc w:val="left"/>
    </w:lvl>
    <w:lvl w:ilvl="8" w:tplc="AD924042">
      <w:numFmt w:val="decimal"/>
      <w:lvlText w:val=""/>
      <w:lvlJc w:val="left"/>
    </w:lvl>
  </w:abstractNum>
  <w:abstractNum w:abstractNumId="199" w15:restartNumberingAfterBreak="0">
    <w:nsid w:val="16020A14"/>
    <w:multiLevelType w:val="hybridMultilevel"/>
    <w:tmpl w:val="C964AA3E"/>
    <w:lvl w:ilvl="0" w:tplc="88EE8FD6">
      <w:start w:val="1"/>
      <w:numFmt w:val="bullet"/>
      <w:lvlText w:val=""/>
      <w:lvlJc w:val="left"/>
      <w:pPr>
        <w:ind w:left="720" w:hanging="180"/>
      </w:pPr>
      <w:rPr>
        <w:rFonts w:ascii="Symbol" w:hAnsi="Symbol" w:hint="default"/>
      </w:rPr>
    </w:lvl>
    <w:lvl w:ilvl="1" w:tplc="89AC3188">
      <w:numFmt w:val="decimal"/>
      <w:lvlText w:val=""/>
      <w:lvlJc w:val="left"/>
    </w:lvl>
    <w:lvl w:ilvl="2" w:tplc="A204FB6C">
      <w:numFmt w:val="decimal"/>
      <w:lvlText w:val=""/>
      <w:lvlJc w:val="left"/>
    </w:lvl>
    <w:lvl w:ilvl="3" w:tplc="1B5CE15A">
      <w:numFmt w:val="decimal"/>
      <w:lvlText w:val=""/>
      <w:lvlJc w:val="left"/>
    </w:lvl>
    <w:lvl w:ilvl="4" w:tplc="D47A04C8">
      <w:numFmt w:val="decimal"/>
      <w:lvlText w:val=""/>
      <w:lvlJc w:val="left"/>
    </w:lvl>
    <w:lvl w:ilvl="5" w:tplc="C1C4221C">
      <w:numFmt w:val="decimal"/>
      <w:lvlText w:val=""/>
      <w:lvlJc w:val="left"/>
    </w:lvl>
    <w:lvl w:ilvl="6" w:tplc="FB98C178">
      <w:numFmt w:val="decimal"/>
      <w:lvlText w:val=""/>
      <w:lvlJc w:val="left"/>
    </w:lvl>
    <w:lvl w:ilvl="7" w:tplc="A56214FA">
      <w:numFmt w:val="decimal"/>
      <w:lvlText w:val=""/>
      <w:lvlJc w:val="left"/>
    </w:lvl>
    <w:lvl w:ilvl="8" w:tplc="1C7E5EA6">
      <w:numFmt w:val="decimal"/>
      <w:lvlText w:val=""/>
      <w:lvlJc w:val="left"/>
    </w:lvl>
  </w:abstractNum>
  <w:abstractNum w:abstractNumId="200" w15:restartNumberingAfterBreak="0">
    <w:nsid w:val="163F24F0"/>
    <w:multiLevelType w:val="hybridMultilevel"/>
    <w:tmpl w:val="9BE65C48"/>
    <w:lvl w:ilvl="0" w:tplc="C20AB604">
      <w:start w:val="1"/>
      <w:numFmt w:val="bullet"/>
      <w:lvlText w:val=""/>
      <w:lvlJc w:val="left"/>
      <w:pPr>
        <w:ind w:left="720" w:hanging="180"/>
      </w:pPr>
      <w:rPr>
        <w:rFonts w:ascii="Symbol" w:hAnsi="Symbol" w:hint="default"/>
      </w:rPr>
    </w:lvl>
    <w:lvl w:ilvl="1" w:tplc="3D3A2FDC">
      <w:numFmt w:val="decimal"/>
      <w:lvlText w:val=""/>
      <w:lvlJc w:val="left"/>
    </w:lvl>
    <w:lvl w:ilvl="2" w:tplc="804A30EA">
      <w:numFmt w:val="decimal"/>
      <w:lvlText w:val=""/>
      <w:lvlJc w:val="left"/>
    </w:lvl>
    <w:lvl w:ilvl="3" w:tplc="E76A8F3C">
      <w:numFmt w:val="decimal"/>
      <w:lvlText w:val=""/>
      <w:lvlJc w:val="left"/>
    </w:lvl>
    <w:lvl w:ilvl="4" w:tplc="61CE7C1A">
      <w:numFmt w:val="decimal"/>
      <w:lvlText w:val=""/>
      <w:lvlJc w:val="left"/>
    </w:lvl>
    <w:lvl w:ilvl="5" w:tplc="93AE188A">
      <w:numFmt w:val="decimal"/>
      <w:lvlText w:val=""/>
      <w:lvlJc w:val="left"/>
    </w:lvl>
    <w:lvl w:ilvl="6" w:tplc="B0B8F448">
      <w:numFmt w:val="decimal"/>
      <w:lvlText w:val=""/>
      <w:lvlJc w:val="left"/>
    </w:lvl>
    <w:lvl w:ilvl="7" w:tplc="EE889DEC">
      <w:numFmt w:val="decimal"/>
      <w:lvlText w:val=""/>
      <w:lvlJc w:val="left"/>
    </w:lvl>
    <w:lvl w:ilvl="8" w:tplc="02A2744E">
      <w:numFmt w:val="decimal"/>
      <w:lvlText w:val=""/>
      <w:lvlJc w:val="left"/>
    </w:lvl>
  </w:abstractNum>
  <w:abstractNum w:abstractNumId="201" w15:restartNumberingAfterBreak="0">
    <w:nsid w:val="165C7A2F"/>
    <w:multiLevelType w:val="hybridMultilevel"/>
    <w:tmpl w:val="62DAD114"/>
    <w:lvl w:ilvl="0" w:tplc="738AED12">
      <w:numFmt w:val="decimal"/>
      <w:lvlText w:val=""/>
      <w:lvlJc w:val="left"/>
    </w:lvl>
    <w:lvl w:ilvl="1" w:tplc="5B0C55AA">
      <w:start w:val="1"/>
      <w:numFmt w:val="bullet"/>
      <w:lvlText w:val=""/>
      <w:lvlJc w:val="left"/>
      <w:pPr>
        <w:ind w:left="1440" w:hanging="180"/>
      </w:pPr>
      <w:rPr>
        <w:rFonts w:ascii="Symbol" w:hAnsi="Symbol" w:hint="default"/>
      </w:rPr>
    </w:lvl>
    <w:lvl w:ilvl="2" w:tplc="C3BA6200">
      <w:numFmt w:val="decimal"/>
      <w:lvlText w:val=""/>
      <w:lvlJc w:val="left"/>
    </w:lvl>
    <w:lvl w:ilvl="3" w:tplc="016E22AA">
      <w:numFmt w:val="decimal"/>
      <w:lvlText w:val=""/>
      <w:lvlJc w:val="left"/>
    </w:lvl>
    <w:lvl w:ilvl="4" w:tplc="38D81582">
      <w:numFmt w:val="decimal"/>
      <w:lvlText w:val=""/>
      <w:lvlJc w:val="left"/>
    </w:lvl>
    <w:lvl w:ilvl="5" w:tplc="8A067484">
      <w:numFmt w:val="decimal"/>
      <w:lvlText w:val=""/>
      <w:lvlJc w:val="left"/>
    </w:lvl>
    <w:lvl w:ilvl="6" w:tplc="587E76C6">
      <w:numFmt w:val="decimal"/>
      <w:lvlText w:val=""/>
      <w:lvlJc w:val="left"/>
    </w:lvl>
    <w:lvl w:ilvl="7" w:tplc="1B26C874">
      <w:numFmt w:val="decimal"/>
      <w:lvlText w:val=""/>
      <w:lvlJc w:val="left"/>
    </w:lvl>
    <w:lvl w:ilvl="8" w:tplc="A4B6716E">
      <w:numFmt w:val="decimal"/>
      <w:lvlText w:val=""/>
      <w:lvlJc w:val="left"/>
    </w:lvl>
  </w:abstractNum>
  <w:abstractNum w:abstractNumId="202" w15:restartNumberingAfterBreak="0">
    <w:nsid w:val="16834225"/>
    <w:multiLevelType w:val="hybridMultilevel"/>
    <w:tmpl w:val="9202EEE0"/>
    <w:lvl w:ilvl="0" w:tplc="A5CAB186">
      <w:start w:val="1"/>
      <w:numFmt w:val="bullet"/>
      <w:lvlText w:val=""/>
      <w:lvlJc w:val="left"/>
      <w:pPr>
        <w:ind w:left="720" w:hanging="180"/>
      </w:pPr>
      <w:rPr>
        <w:rFonts w:ascii="Symbol" w:hAnsi="Symbol" w:hint="default"/>
      </w:rPr>
    </w:lvl>
    <w:lvl w:ilvl="1" w:tplc="104472C8">
      <w:numFmt w:val="decimal"/>
      <w:lvlText w:val=""/>
      <w:lvlJc w:val="left"/>
    </w:lvl>
    <w:lvl w:ilvl="2" w:tplc="EC4830B4">
      <w:numFmt w:val="decimal"/>
      <w:lvlText w:val=""/>
      <w:lvlJc w:val="left"/>
    </w:lvl>
    <w:lvl w:ilvl="3" w:tplc="B2DAE8B0">
      <w:numFmt w:val="decimal"/>
      <w:lvlText w:val=""/>
      <w:lvlJc w:val="left"/>
    </w:lvl>
    <w:lvl w:ilvl="4" w:tplc="2A6A7ECC">
      <w:numFmt w:val="decimal"/>
      <w:lvlText w:val=""/>
      <w:lvlJc w:val="left"/>
    </w:lvl>
    <w:lvl w:ilvl="5" w:tplc="C55AA872">
      <w:numFmt w:val="decimal"/>
      <w:lvlText w:val=""/>
      <w:lvlJc w:val="left"/>
    </w:lvl>
    <w:lvl w:ilvl="6" w:tplc="D1FE94CC">
      <w:numFmt w:val="decimal"/>
      <w:lvlText w:val=""/>
      <w:lvlJc w:val="left"/>
    </w:lvl>
    <w:lvl w:ilvl="7" w:tplc="F83A60B4">
      <w:numFmt w:val="decimal"/>
      <w:lvlText w:val=""/>
      <w:lvlJc w:val="left"/>
    </w:lvl>
    <w:lvl w:ilvl="8" w:tplc="43DA8D6E">
      <w:numFmt w:val="decimal"/>
      <w:lvlText w:val=""/>
      <w:lvlJc w:val="left"/>
    </w:lvl>
  </w:abstractNum>
  <w:abstractNum w:abstractNumId="203" w15:restartNumberingAfterBreak="0">
    <w:nsid w:val="16852B96"/>
    <w:multiLevelType w:val="hybridMultilevel"/>
    <w:tmpl w:val="C3DA231E"/>
    <w:lvl w:ilvl="0" w:tplc="90269900">
      <w:start w:val="1"/>
      <w:numFmt w:val="bullet"/>
      <w:lvlText w:val=""/>
      <w:lvlJc w:val="left"/>
      <w:pPr>
        <w:ind w:left="720" w:hanging="180"/>
      </w:pPr>
      <w:rPr>
        <w:rFonts w:ascii="Symbol" w:hAnsi="Symbol" w:hint="default"/>
      </w:rPr>
    </w:lvl>
    <w:lvl w:ilvl="1" w:tplc="0E1A3FCE">
      <w:numFmt w:val="decimal"/>
      <w:lvlText w:val=""/>
      <w:lvlJc w:val="left"/>
    </w:lvl>
    <w:lvl w:ilvl="2" w:tplc="20B2964A">
      <w:numFmt w:val="decimal"/>
      <w:lvlText w:val=""/>
      <w:lvlJc w:val="left"/>
    </w:lvl>
    <w:lvl w:ilvl="3" w:tplc="06E83BC2">
      <w:numFmt w:val="decimal"/>
      <w:lvlText w:val=""/>
      <w:lvlJc w:val="left"/>
    </w:lvl>
    <w:lvl w:ilvl="4" w:tplc="EAD0AFC0">
      <w:numFmt w:val="decimal"/>
      <w:lvlText w:val=""/>
      <w:lvlJc w:val="left"/>
    </w:lvl>
    <w:lvl w:ilvl="5" w:tplc="FE00E710">
      <w:numFmt w:val="decimal"/>
      <w:lvlText w:val=""/>
      <w:lvlJc w:val="left"/>
    </w:lvl>
    <w:lvl w:ilvl="6" w:tplc="0AF6FBB2">
      <w:numFmt w:val="decimal"/>
      <w:lvlText w:val=""/>
      <w:lvlJc w:val="left"/>
    </w:lvl>
    <w:lvl w:ilvl="7" w:tplc="7276990C">
      <w:numFmt w:val="decimal"/>
      <w:lvlText w:val=""/>
      <w:lvlJc w:val="left"/>
    </w:lvl>
    <w:lvl w:ilvl="8" w:tplc="050267D8">
      <w:numFmt w:val="decimal"/>
      <w:lvlText w:val=""/>
      <w:lvlJc w:val="left"/>
    </w:lvl>
  </w:abstractNum>
  <w:abstractNum w:abstractNumId="204" w15:restartNumberingAfterBreak="0">
    <w:nsid w:val="16894633"/>
    <w:multiLevelType w:val="hybridMultilevel"/>
    <w:tmpl w:val="BEE618EA"/>
    <w:lvl w:ilvl="0" w:tplc="0CC078E4">
      <w:start w:val="1"/>
      <w:numFmt w:val="bullet"/>
      <w:lvlText w:val=""/>
      <w:lvlJc w:val="left"/>
      <w:pPr>
        <w:ind w:left="720" w:hanging="180"/>
      </w:pPr>
      <w:rPr>
        <w:rFonts w:ascii="Symbol" w:hAnsi="Symbol" w:hint="default"/>
      </w:rPr>
    </w:lvl>
    <w:lvl w:ilvl="1" w:tplc="2B500B56">
      <w:numFmt w:val="decimal"/>
      <w:lvlText w:val=""/>
      <w:lvlJc w:val="left"/>
    </w:lvl>
    <w:lvl w:ilvl="2" w:tplc="3F4E21DC">
      <w:numFmt w:val="decimal"/>
      <w:lvlText w:val=""/>
      <w:lvlJc w:val="left"/>
    </w:lvl>
    <w:lvl w:ilvl="3" w:tplc="74AC781E">
      <w:numFmt w:val="decimal"/>
      <w:lvlText w:val=""/>
      <w:lvlJc w:val="left"/>
    </w:lvl>
    <w:lvl w:ilvl="4" w:tplc="B19067E4">
      <w:numFmt w:val="decimal"/>
      <w:lvlText w:val=""/>
      <w:lvlJc w:val="left"/>
    </w:lvl>
    <w:lvl w:ilvl="5" w:tplc="255CA056">
      <w:numFmt w:val="decimal"/>
      <w:lvlText w:val=""/>
      <w:lvlJc w:val="left"/>
    </w:lvl>
    <w:lvl w:ilvl="6" w:tplc="94EEDB1E">
      <w:numFmt w:val="decimal"/>
      <w:lvlText w:val=""/>
      <w:lvlJc w:val="left"/>
    </w:lvl>
    <w:lvl w:ilvl="7" w:tplc="B0BCC8A6">
      <w:numFmt w:val="decimal"/>
      <w:lvlText w:val=""/>
      <w:lvlJc w:val="left"/>
    </w:lvl>
    <w:lvl w:ilvl="8" w:tplc="189688BE">
      <w:numFmt w:val="decimal"/>
      <w:lvlText w:val=""/>
      <w:lvlJc w:val="left"/>
    </w:lvl>
  </w:abstractNum>
  <w:abstractNum w:abstractNumId="205" w15:restartNumberingAfterBreak="0">
    <w:nsid w:val="16894643"/>
    <w:multiLevelType w:val="hybridMultilevel"/>
    <w:tmpl w:val="60D072EE"/>
    <w:lvl w:ilvl="0" w:tplc="B8C00DFA">
      <w:start w:val="1"/>
      <w:numFmt w:val="bullet"/>
      <w:lvlText w:val=""/>
      <w:lvlJc w:val="left"/>
      <w:pPr>
        <w:ind w:left="720" w:hanging="180"/>
      </w:pPr>
      <w:rPr>
        <w:rFonts w:ascii="Symbol" w:hAnsi="Symbol" w:hint="default"/>
      </w:rPr>
    </w:lvl>
    <w:lvl w:ilvl="1" w:tplc="7882AC40">
      <w:numFmt w:val="decimal"/>
      <w:lvlText w:val=""/>
      <w:lvlJc w:val="left"/>
    </w:lvl>
    <w:lvl w:ilvl="2" w:tplc="B26C57F2">
      <w:numFmt w:val="decimal"/>
      <w:lvlText w:val=""/>
      <w:lvlJc w:val="left"/>
    </w:lvl>
    <w:lvl w:ilvl="3" w:tplc="5D642840">
      <w:numFmt w:val="decimal"/>
      <w:lvlText w:val=""/>
      <w:lvlJc w:val="left"/>
    </w:lvl>
    <w:lvl w:ilvl="4" w:tplc="8410F1DE">
      <w:numFmt w:val="decimal"/>
      <w:lvlText w:val=""/>
      <w:lvlJc w:val="left"/>
    </w:lvl>
    <w:lvl w:ilvl="5" w:tplc="58F05F60">
      <w:numFmt w:val="decimal"/>
      <w:lvlText w:val=""/>
      <w:lvlJc w:val="left"/>
    </w:lvl>
    <w:lvl w:ilvl="6" w:tplc="602045CE">
      <w:numFmt w:val="decimal"/>
      <w:lvlText w:val=""/>
      <w:lvlJc w:val="left"/>
    </w:lvl>
    <w:lvl w:ilvl="7" w:tplc="7C928F9C">
      <w:numFmt w:val="decimal"/>
      <w:lvlText w:val=""/>
      <w:lvlJc w:val="left"/>
    </w:lvl>
    <w:lvl w:ilvl="8" w:tplc="D562C892">
      <w:numFmt w:val="decimal"/>
      <w:lvlText w:val=""/>
      <w:lvlJc w:val="left"/>
    </w:lvl>
  </w:abstractNum>
  <w:abstractNum w:abstractNumId="206" w15:restartNumberingAfterBreak="0">
    <w:nsid w:val="1693305C"/>
    <w:multiLevelType w:val="hybridMultilevel"/>
    <w:tmpl w:val="06EC04A4"/>
    <w:lvl w:ilvl="0" w:tplc="7FD6923E">
      <w:start w:val="1"/>
      <w:numFmt w:val="decimal"/>
      <w:lvlText w:val="%1."/>
      <w:lvlJc w:val="left"/>
      <w:pPr>
        <w:ind w:left="720" w:hanging="270"/>
      </w:pPr>
    </w:lvl>
    <w:lvl w:ilvl="1" w:tplc="FD8EB712">
      <w:numFmt w:val="decimal"/>
      <w:lvlText w:val=""/>
      <w:lvlJc w:val="left"/>
    </w:lvl>
    <w:lvl w:ilvl="2" w:tplc="DB804BE6">
      <w:numFmt w:val="decimal"/>
      <w:lvlText w:val=""/>
      <w:lvlJc w:val="left"/>
    </w:lvl>
    <w:lvl w:ilvl="3" w:tplc="3230DC58">
      <w:numFmt w:val="decimal"/>
      <w:lvlText w:val=""/>
      <w:lvlJc w:val="left"/>
    </w:lvl>
    <w:lvl w:ilvl="4" w:tplc="CAA481A0">
      <w:numFmt w:val="decimal"/>
      <w:lvlText w:val=""/>
      <w:lvlJc w:val="left"/>
    </w:lvl>
    <w:lvl w:ilvl="5" w:tplc="64FCAACA">
      <w:numFmt w:val="decimal"/>
      <w:lvlText w:val=""/>
      <w:lvlJc w:val="left"/>
    </w:lvl>
    <w:lvl w:ilvl="6" w:tplc="A03A59AC">
      <w:numFmt w:val="decimal"/>
      <w:lvlText w:val=""/>
      <w:lvlJc w:val="left"/>
    </w:lvl>
    <w:lvl w:ilvl="7" w:tplc="7A06B696">
      <w:numFmt w:val="decimal"/>
      <w:lvlText w:val=""/>
      <w:lvlJc w:val="left"/>
    </w:lvl>
    <w:lvl w:ilvl="8" w:tplc="4A10DDB4">
      <w:numFmt w:val="decimal"/>
      <w:lvlText w:val=""/>
      <w:lvlJc w:val="left"/>
    </w:lvl>
  </w:abstractNum>
  <w:abstractNum w:abstractNumId="207" w15:restartNumberingAfterBreak="0">
    <w:nsid w:val="16D21D4C"/>
    <w:multiLevelType w:val="hybridMultilevel"/>
    <w:tmpl w:val="2FB2418C"/>
    <w:lvl w:ilvl="0" w:tplc="11BCE09C">
      <w:start w:val="1"/>
      <w:numFmt w:val="bullet"/>
      <w:lvlText w:val=""/>
      <w:lvlJc w:val="left"/>
      <w:pPr>
        <w:ind w:left="720" w:hanging="180"/>
      </w:pPr>
      <w:rPr>
        <w:rFonts w:ascii="Symbol" w:hAnsi="Symbol" w:hint="default"/>
      </w:rPr>
    </w:lvl>
    <w:lvl w:ilvl="1" w:tplc="4586A81C">
      <w:numFmt w:val="decimal"/>
      <w:lvlText w:val=""/>
      <w:lvlJc w:val="left"/>
    </w:lvl>
    <w:lvl w:ilvl="2" w:tplc="B27E4060">
      <w:numFmt w:val="decimal"/>
      <w:lvlText w:val=""/>
      <w:lvlJc w:val="left"/>
    </w:lvl>
    <w:lvl w:ilvl="3" w:tplc="F4449F12">
      <w:numFmt w:val="decimal"/>
      <w:lvlText w:val=""/>
      <w:lvlJc w:val="left"/>
    </w:lvl>
    <w:lvl w:ilvl="4" w:tplc="0B9A7094">
      <w:numFmt w:val="decimal"/>
      <w:lvlText w:val=""/>
      <w:lvlJc w:val="left"/>
    </w:lvl>
    <w:lvl w:ilvl="5" w:tplc="5302E5C0">
      <w:numFmt w:val="decimal"/>
      <w:lvlText w:val=""/>
      <w:lvlJc w:val="left"/>
    </w:lvl>
    <w:lvl w:ilvl="6" w:tplc="7B26FDE2">
      <w:numFmt w:val="decimal"/>
      <w:lvlText w:val=""/>
      <w:lvlJc w:val="left"/>
    </w:lvl>
    <w:lvl w:ilvl="7" w:tplc="666C9224">
      <w:numFmt w:val="decimal"/>
      <w:lvlText w:val=""/>
      <w:lvlJc w:val="left"/>
    </w:lvl>
    <w:lvl w:ilvl="8" w:tplc="0C046140">
      <w:numFmt w:val="decimal"/>
      <w:lvlText w:val=""/>
      <w:lvlJc w:val="left"/>
    </w:lvl>
  </w:abstractNum>
  <w:abstractNum w:abstractNumId="208" w15:restartNumberingAfterBreak="0">
    <w:nsid w:val="170B29A4"/>
    <w:multiLevelType w:val="hybridMultilevel"/>
    <w:tmpl w:val="4FF4BB9C"/>
    <w:lvl w:ilvl="0" w:tplc="DFA4210A">
      <w:start w:val="1"/>
      <w:numFmt w:val="bullet"/>
      <w:lvlText w:val=""/>
      <w:lvlJc w:val="left"/>
      <w:pPr>
        <w:ind w:left="720" w:hanging="180"/>
      </w:pPr>
      <w:rPr>
        <w:rFonts w:ascii="Symbol" w:hAnsi="Symbol" w:hint="default"/>
      </w:rPr>
    </w:lvl>
    <w:lvl w:ilvl="1" w:tplc="066E0AE4">
      <w:numFmt w:val="decimal"/>
      <w:lvlText w:val=""/>
      <w:lvlJc w:val="left"/>
    </w:lvl>
    <w:lvl w:ilvl="2" w:tplc="07A8FF66">
      <w:numFmt w:val="decimal"/>
      <w:lvlText w:val=""/>
      <w:lvlJc w:val="left"/>
    </w:lvl>
    <w:lvl w:ilvl="3" w:tplc="AF1445B2">
      <w:numFmt w:val="decimal"/>
      <w:lvlText w:val=""/>
      <w:lvlJc w:val="left"/>
    </w:lvl>
    <w:lvl w:ilvl="4" w:tplc="199E4C76">
      <w:numFmt w:val="decimal"/>
      <w:lvlText w:val=""/>
      <w:lvlJc w:val="left"/>
    </w:lvl>
    <w:lvl w:ilvl="5" w:tplc="B2F84126">
      <w:numFmt w:val="decimal"/>
      <w:lvlText w:val=""/>
      <w:lvlJc w:val="left"/>
    </w:lvl>
    <w:lvl w:ilvl="6" w:tplc="DBB66BCE">
      <w:numFmt w:val="decimal"/>
      <w:lvlText w:val=""/>
      <w:lvlJc w:val="left"/>
    </w:lvl>
    <w:lvl w:ilvl="7" w:tplc="2FDC7D3E">
      <w:numFmt w:val="decimal"/>
      <w:lvlText w:val=""/>
      <w:lvlJc w:val="left"/>
    </w:lvl>
    <w:lvl w:ilvl="8" w:tplc="530AFB00">
      <w:numFmt w:val="decimal"/>
      <w:lvlText w:val=""/>
      <w:lvlJc w:val="left"/>
    </w:lvl>
  </w:abstractNum>
  <w:abstractNum w:abstractNumId="209" w15:restartNumberingAfterBreak="0">
    <w:nsid w:val="172231E6"/>
    <w:multiLevelType w:val="hybridMultilevel"/>
    <w:tmpl w:val="E46C7EDC"/>
    <w:lvl w:ilvl="0" w:tplc="415CFBBA">
      <w:start w:val="1"/>
      <w:numFmt w:val="bullet"/>
      <w:lvlText w:val=""/>
      <w:lvlJc w:val="left"/>
      <w:pPr>
        <w:ind w:left="720" w:hanging="180"/>
      </w:pPr>
      <w:rPr>
        <w:rFonts w:ascii="Symbol" w:hAnsi="Symbol" w:hint="default"/>
      </w:rPr>
    </w:lvl>
    <w:lvl w:ilvl="1" w:tplc="ABBCEFE6">
      <w:numFmt w:val="decimal"/>
      <w:lvlText w:val=""/>
      <w:lvlJc w:val="left"/>
    </w:lvl>
    <w:lvl w:ilvl="2" w:tplc="D0FCDC58">
      <w:numFmt w:val="decimal"/>
      <w:lvlText w:val=""/>
      <w:lvlJc w:val="left"/>
    </w:lvl>
    <w:lvl w:ilvl="3" w:tplc="C0D2B81C">
      <w:numFmt w:val="decimal"/>
      <w:lvlText w:val=""/>
      <w:lvlJc w:val="left"/>
    </w:lvl>
    <w:lvl w:ilvl="4" w:tplc="A9686AE0">
      <w:numFmt w:val="decimal"/>
      <w:lvlText w:val=""/>
      <w:lvlJc w:val="left"/>
    </w:lvl>
    <w:lvl w:ilvl="5" w:tplc="A6A0DA9A">
      <w:numFmt w:val="decimal"/>
      <w:lvlText w:val=""/>
      <w:lvlJc w:val="left"/>
    </w:lvl>
    <w:lvl w:ilvl="6" w:tplc="BE9ABF0C">
      <w:numFmt w:val="decimal"/>
      <w:lvlText w:val=""/>
      <w:lvlJc w:val="left"/>
    </w:lvl>
    <w:lvl w:ilvl="7" w:tplc="D78EED6E">
      <w:numFmt w:val="decimal"/>
      <w:lvlText w:val=""/>
      <w:lvlJc w:val="left"/>
    </w:lvl>
    <w:lvl w:ilvl="8" w:tplc="5C802E36">
      <w:numFmt w:val="decimal"/>
      <w:lvlText w:val=""/>
      <w:lvlJc w:val="left"/>
    </w:lvl>
  </w:abstractNum>
  <w:abstractNum w:abstractNumId="210" w15:restartNumberingAfterBreak="0">
    <w:nsid w:val="1759545D"/>
    <w:multiLevelType w:val="hybridMultilevel"/>
    <w:tmpl w:val="8E8E85FE"/>
    <w:lvl w:ilvl="0" w:tplc="DB46AFB0">
      <w:start w:val="1"/>
      <w:numFmt w:val="bullet"/>
      <w:lvlText w:val=""/>
      <w:lvlJc w:val="left"/>
      <w:pPr>
        <w:ind w:left="720" w:hanging="180"/>
      </w:pPr>
      <w:rPr>
        <w:rFonts w:ascii="Symbol" w:hAnsi="Symbol" w:hint="default"/>
      </w:rPr>
    </w:lvl>
    <w:lvl w:ilvl="1" w:tplc="783400A2">
      <w:numFmt w:val="decimal"/>
      <w:lvlText w:val=""/>
      <w:lvlJc w:val="left"/>
    </w:lvl>
    <w:lvl w:ilvl="2" w:tplc="B8169B96">
      <w:numFmt w:val="decimal"/>
      <w:lvlText w:val=""/>
      <w:lvlJc w:val="left"/>
    </w:lvl>
    <w:lvl w:ilvl="3" w:tplc="3F58766C">
      <w:numFmt w:val="decimal"/>
      <w:lvlText w:val=""/>
      <w:lvlJc w:val="left"/>
    </w:lvl>
    <w:lvl w:ilvl="4" w:tplc="8DD0CD44">
      <w:numFmt w:val="decimal"/>
      <w:lvlText w:val=""/>
      <w:lvlJc w:val="left"/>
    </w:lvl>
    <w:lvl w:ilvl="5" w:tplc="1E088DA2">
      <w:numFmt w:val="decimal"/>
      <w:lvlText w:val=""/>
      <w:lvlJc w:val="left"/>
    </w:lvl>
    <w:lvl w:ilvl="6" w:tplc="E7EAA7E6">
      <w:numFmt w:val="decimal"/>
      <w:lvlText w:val=""/>
      <w:lvlJc w:val="left"/>
    </w:lvl>
    <w:lvl w:ilvl="7" w:tplc="A34C420C">
      <w:numFmt w:val="decimal"/>
      <w:lvlText w:val=""/>
      <w:lvlJc w:val="left"/>
    </w:lvl>
    <w:lvl w:ilvl="8" w:tplc="1B74B5FE">
      <w:numFmt w:val="decimal"/>
      <w:lvlText w:val=""/>
      <w:lvlJc w:val="left"/>
    </w:lvl>
  </w:abstractNum>
  <w:abstractNum w:abstractNumId="211" w15:restartNumberingAfterBreak="0">
    <w:nsid w:val="177177A5"/>
    <w:multiLevelType w:val="hybridMultilevel"/>
    <w:tmpl w:val="77C8A074"/>
    <w:lvl w:ilvl="0" w:tplc="1042322A">
      <w:start w:val="1"/>
      <w:numFmt w:val="bullet"/>
      <w:lvlText w:val=""/>
      <w:lvlJc w:val="left"/>
      <w:pPr>
        <w:ind w:left="720" w:hanging="180"/>
      </w:pPr>
      <w:rPr>
        <w:rFonts w:ascii="Symbol" w:hAnsi="Symbol" w:hint="default"/>
      </w:rPr>
    </w:lvl>
    <w:lvl w:ilvl="1" w:tplc="D5C6C198">
      <w:numFmt w:val="decimal"/>
      <w:lvlText w:val=""/>
      <w:lvlJc w:val="left"/>
    </w:lvl>
    <w:lvl w:ilvl="2" w:tplc="9DAA0836">
      <w:numFmt w:val="decimal"/>
      <w:lvlText w:val=""/>
      <w:lvlJc w:val="left"/>
    </w:lvl>
    <w:lvl w:ilvl="3" w:tplc="53FC5068">
      <w:numFmt w:val="decimal"/>
      <w:lvlText w:val=""/>
      <w:lvlJc w:val="left"/>
    </w:lvl>
    <w:lvl w:ilvl="4" w:tplc="17EC1F00">
      <w:numFmt w:val="decimal"/>
      <w:lvlText w:val=""/>
      <w:lvlJc w:val="left"/>
    </w:lvl>
    <w:lvl w:ilvl="5" w:tplc="B30A3D1A">
      <w:numFmt w:val="decimal"/>
      <w:lvlText w:val=""/>
      <w:lvlJc w:val="left"/>
    </w:lvl>
    <w:lvl w:ilvl="6" w:tplc="90CA13E0">
      <w:numFmt w:val="decimal"/>
      <w:lvlText w:val=""/>
      <w:lvlJc w:val="left"/>
    </w:lvl>
    <w:lvl w:ilvl="7" w:tplc="FAE2552A">
      <w:numFmt w:val="decimal"/>
      <w:lvlText w:val=""/>
      <w:lvlJc w:val="left"/>
    </w:lvl>
    <w:lvl w:ilvl="8" w:tplc="92E24B10">
      <w:numFmt w:val="decimal"/>
      <w:lvlText w:val=""/>
      <w:lvlJc w:val="left"/>
    </w:lvl>
  </w:abstractNum>
  <w:abstractNum w:abstractNumId="212" w15:restartNumberingAfterBreak="0">
    <w:nsid w:val="17821C28"/>
    <w:multiLevelType w:val="hybridMultilevel"/>
    <w:tmpl w:val="A0C07BDE"/>
    <w:lvl w:ilvl="0" w:tplc="789A06FE">
      <w:start w:val="1"/>
      <w:numFmt w:val="bullet"/>
      <w:lvlText w:val=""/>
      <w:lvlJc w:val="left"/>
      <w:pPr>
        <w:ind w:left="720" w:hanging="180"/>
      </w:pPr>
      <w:rPr>
        <w:rFonts w:ascii="Symbol" w:hAnsi="Symbol" w:hint="default"/>
      </w:rPr>
    </w:lvl>
    <w:lvl w:ilvl="1" w:tplc="9F68F1AE">
      <w:numFmt w:val="decimal"/>
      <w:lvlText w:val=""/>
      <w:lvlJc w:val="left"/>
    </w:lvl>
    <w:lvl w:ilvl="2" w:tplc="51AEDEA6">
      <w:numFmt w:val="decimal"/>
      <w:lvlText w:val=""/>
      <w:lvlJc w:val="left"/>
    </w:lvl>
    <w:lvl w:ilvl="3" w:tplc="1D5A580A">
      <w:numFmt w:val="decimal"/>
      <w:lvlText w:val=""/>
      <w:lvlJc w:val="left"/>
    </w:lvl>
    <w:lvl w:ilvl="4" w:tplc="F8A69DFC">
      <w:numFmt w:val="decimal"/>
      <w:lvlText w:val=""/>
      <w:lvlJc w:val="left"/>
    </w:lvl>
    <w:lvl w:ilvl="5" w:tplc="5B8A28D0">
      <w:numFmt w:val="decimal"/>
      <w:lvlText w:val=""/>
      <w:lvlJc w:val="left"/>
    </w:lvl>
    <w:lvl w:ilvl="6" w:tplc="FF5CF8BC">
      <w:numFmt w:val="decimal"/>
      <w:lvlText w:val=""/>
      <w:lvlJc w:val="left"/>
    </w:lvl>
    <w:lvl w:ilvl="7" w:tplc="F3F218EC">
      <w:numFmt w:val="decimal"/>
      <w:lvlText w:val=""/>
      <w:lvlJc w:val="left"/>
    </w:lvl>
    <w:lvl w:ilvl="8" w:tplc="538C816A">
      <w:numFmt w:val="decimal"/>
      <w:lvlText w:val=""/>
      <w:lvlJc w:val="left"/>
    </w:lvl>
  </w:abstractNum>
  <w:abstractNum w:abstractNumId="213" w15:restartNumberingAfterBreak="0">
    <w:nsid w:val="178509FE"/>
    <w:multiLevelType w:val="hybridMultilevel"/>
    <w:tmpl w:val="F0A6D3A2"/>
    <w:lvl w:ilvl="0" w:tplc="782481FC">
      <w:start w:val="1"/>
      <w:numFmt w:val="bullet"/>
      <w:lvlText w:val=""/>
      <w:lvlJc w:val="left"/>
      <w:pPr>
        <w:ind w:left="720" w:hanging="180"/>
      </w:pPr>
      <w:rPr>
        <w:rFonts w:ascii="Symbol" w:hAnsi="Symbol" w:hint="default"/>
      </w:rPr>
    </w:lvl>
    <w:lvl w:ilvl="1" w:tplc="FE1E59C2">
      <w:numFmt w:val="decimal"/>
      <w:lvlText w:val=""/>
      <w:lvlJc w:val="left"/>
    </w:lvl>
    <w:lvl w:ilvl="2" w:tplc="C42690BC">
      <w:numFmt w:val="decimal"/>
      <w:lvlText w:val=""/>
      <w:lvlJc w:val="left"/>
    </w:lvl>
    <w:lvl w:ilvl="3" w:tplc="11F8DE0C">
      <w:numFmt w:val="decimal"/>
      <w:lvlText w:val=""/>
      <w:lvlJc w:val="left"/>
    </w:lvl>
    <w:lvl w:ilvl="4" w:tplc="F0D2541C">
      <w:numFmt w:val="decimal"/>
      <w:lvlText w:val=""/>
      <w:lvlJc w:val="left"/>
    </w:lvl>
    <w:lvl w:ilvl="5" w:tplc="295E531C">
      <w:numFmt w:val="decimal"/>
      <w:lvlText w:val=""/>
      <w:lvlJc w:val="left"/>
    </w:lvl>
    <w:lvl w:ilvl="6" w:tplc="BAD4CA0C">
      <w:numFmt w:val="decimal"/>
      <w:lvlText w:val=""/>
      <w:lvlJc w:val="left"/>
    </w:lvl>
    <w:lvl w:ilvl="7" w:tplc="DCC4E0BC">
      <w:numFmt w:val="decimal"/>
      <w:lvlText w:val=""/>
      <w:lvlJc w:val="left"/>
    </w:lvl>
    <w:lvl w:ilvl="8" w:tplc="2B0E0924">
      <w:numFmt w:val="decimal"/>
      <w:lvlText w:val=""/>
      <w:lvlJc w:val="left"/>
    </w:lvl>
  </w:abstractNum>
  <w:abstractNum w:abstractNumId="214" w15:restartNumberingAfterBreak="0">
    <w:nsid w:val="17B07171"/>
    <w:multiLevelType w:val="hybridMultilevel"/>
    <w:tmpl w:val="88FA5A06"/>
    <w:lvl w:ilvl="0" w:tplc="F24280BA">
      <w:start w:val="1"/>
      <w:numFmt w:val="bullet"/>
      <w:lvlText w:val=""/>
      <w:lvlJc w:val="left"/>
      <w:pPr>
        <w:ind w:left="720" w:hanging="180"/>
      </w:pPr>
      <w:rPr>
        <w:rFonts w:ascii="Symbol" w:hAnsi="Symbol" w:hint="default"/>
      </w:rPr>
    </w:lvl>
    <w:lvl w:ilvl="1" w:tplc="06DA4D92">
      <w:numFmt w:val="decimal"/>
      <w:lvlText w:val=""/>
      <w:lvlJc w:val="left"/>
    </w:lvl>
    <w:lvl w:ilvl="2" w:tplc="6D909B3A">
      <w:numFmt w:val="decimal"/>
      <w:lvlText w:val=""/>
      <w:lvlJc w:val="left"/>
    </w:lvl>
    <w:lvl w:ilvl="3" w:tplc="8ECCA9AA">
      <w:numFmt w:val="decimal"/>
      <w:lvlText w:val=""/>
      <w:lvlJc w:val="left"/>
    </w:lvl>
    <w:lvl w:ilvl="4" w:tplc="72CEA25A">
      <w:numFmt w:val="decimal"/>
      <w:lvlText w:val=""/>
      <w:lvlJc w:val="left"/>
    </w:lvl>
    <w:lvl w:ilvl="5" w:tplc="FDC058B2">
      <w:numFmt w:val="decimal"/>
      <w:lvlText w:val=""/>
      <w:lvlJc w:val="left"/>
    </w:lvl>
    <w:lvl w:ilvl="6" w:tplc="2C96ECF8">
      <w:numFmt w:val="decimal"/>
      <w:lvlText w:val=""/>
      <w:lvlJc w:val="left"/>
    </w:lvl>
    <w:lvl w:ilvl="7" w:tplc="A77CBB6C">
      <w:numFmt w:val="decimal"/>
      <w:lvlText w:val=""/>
      <w:lvlJc w:val="left"/>
    </w:lvl>
    <w:lvl w:ilvl="8" w:tplc="A3AEB448">
      <w:numFmt w:val="decimal"/>
      <w:lvlText w:val=""/>
      <w:lvlJc w:val="left"/>
    </w:lvl>
  </w:abstractNum>
  <w:abstractNum w:abstractNumId="215" w15:restartNumberingAfterBreak="0">
    <w:nsid w:val="17D2062D"/>
    <w:multiLevelType w:val="hybridMultilevel"/>
    <w:tmpl w:val="1F3211C6"/>
    <w:lvl w:ilvl="0" w:tplc="2DE62C5A">
      <w:start w:val="1"/>
      <w:numFmt w:val="bullet"/>
      <w:lvlText w:val=""/>
      <w:lvlJc w:val="left"/>
      <w:pPr>
        <w:ind w:left="720" w:hanging="180"/>
      </w:pPr>
      <w:rPr>
        <w:rFonts w:ascii="Symbol" w:hAnsi="Symbol" w:hint="default"/>
      </w:rPr>
    </w:lvl>
    <w:lvl w:ilvl="1" w:tplc="CA34E4EE">
      <w:numFmt w:val="decimal"/>
      <w:lvlText w:val=""/>
      <w:lvlJc w:val="left"/>
    </w:lvl>
    <w:lvl w:ilvl="2" w:tplc="330227B2">
      <w:numFmt w:val="decimal"/>
      <w:lvlText w:val=""/>
      <w:lvlJc w:val="left"/>
    </w:lvl>
    <w:lvl w:ilvl="3" w:tplc="1DA6DAE4">
      <w:numFmt w:val="decimal"/>
      <w:lvlText w:val=""/>
      <w:lvlJc w:val="left"/>
    </w:lvl>
    <w:lvl w:ilvl="4" w:tplc="DBE688D4">
      <w:numFmt w:val="decimal"/>
      <w:lvlText w:val=""/>
      <w:lvlJc w:val="left"/>
    </w:lvl>
    <w:lvl w:ilvl="5" w:tplc="D480BD9C">
      <w:numFmt w:val="decimal"/>
      <w:lvlText w:val=""/>
      <w:lvlJc w:val="left"/>
    </w:lvl>
    <w:lvl w:ilvl="6" w:tplc="A5D6A33A">
      <w:numFmt w:val="decimal"/>
      <w:lvlText w:val=""/>
      <w:lvlJc w:val="left"/>
    </w:lvl>
    <w:lvl w:ilvl="7" w:tplc="965E3618">
      <w:numFmt w:val="decimal"/>
      <w:lvlText w:val=""/>
      <w:lvlJc w:val="left"/>
    </w:lvl>
    <w:lvl w:ilvl="8" w:tplc="7FEA9D6C">
      <w:numFmt w:val="decimal"/>
      <w:lvlText w:val=""/>
      <w:lvlJc w:val="left"/>
    </w:lvl>
  </w:abstractNum>
  <w:abstractNum w:abstractNumId="216" w15:restartNumberingAfterBreak="0">
    <w:nsid w:val="17FF387E"/>
    <w:multiLevelType w:val="hybridMultilevel"/>
    <w:tmpl w:val="DC2C41C0"/>
    <w:lvl w:ilvl="0" w:tplc="B966FEBC">
      <w:start w:val="1"/>
      <w:numFmt w:val="bullet"/>
      <w:lvlText w:val=""/>
      <w:lvlJc w:val="left"/>
      <w:pPr>
        <w:ind w:left="720" w:hanging="180"/>
      </w:pPr>
      <w:rPr>
        <w:rFonts w:ascii="Symbol" w:hAnsi="Symbol" w:hint="default"/>
      </w:rPr>
    </w:lvl>
    <w:lvl w:ilvl="1" w:tplc="3D1E2DDC">
      <w:numFmt w:val="decimal"/>
      <w:lvlText w:val=""/>
      <w:lvlJc w:val="left"/>
    </w:lvl>
    <w:lvl w:ilvl="2" w:tplc="D5409FCE">
      <w:numFmt w:val="decimal"/>
      <w:lvlText w:val=""/>
      <w:lvlJc w:val="left"/>
    </w:lvl>
    <w:lvl w:ilvl="3" w:tplc="28128FCC">
      <w:numFmt w:val="decimal"/>
      <w:lvlText w:val=""/>
      <w:lvlJc w:val="left"/>
    </w:lvl>
    <w:lvl w:ilvl="4" w:tplc="2E82B406">
      <w:numFmt w:val="decimal"/>
      <w:lvlText w:val=""/>
      <w:lvlJc w:val="left"/>
    </w:lvl>
    <w:lvl w:ilvl="5" w:tplc="F528C670">
      <w:numFmt w:val="decimal"/>
      <w:lvlText w:val=""/>
      <w:lvlJc w:val="left"/>
    </w:lvl>
    <w:lvl w:ilvl="6" w:tplc="407097A4">
      <w:numFmt w:val="decimal"/>
      <w:lvlText w:val=""/>
      <w:lvlJc w:val="left"/>
    </w:lvl>
    <w:lvl w:ilvl="7" w:tplc="D52CADD4">
      <w:numFmt w:val="decimal"/>
      <w:lvlText w:val=""/>
      <w:lvlJc w:val="left"/>
    </w:lvl>
    <w:lvl w:ilvl="8" w:tplc="47DC3754">
      <w:numFmt w:val="decimal"/>
      <w:lvlText w:val=""/>
      <w:lvlJc w:val="left"/>
    </w:lvl>
  </w:abstractNum>
  <w:abstractNum w:abstractNumId="217" w15:restartNumberingAfterBreak="0">
    <w:nsid w:val="181929A5"/>
    <w:multiLevelType w:val="hybridMultilevel"/>
    <w:tmpl w:val="CE58ADEE"/>
    <w:lvl w:ilvl="0" w:tplc="19A05722">
      <w:start w:val="1"/>
      <w:numFmt w:val="bullet"/>
      <w:lvlText w:val=""/>
      <w:lvlJc w:val="left"/>
      <w:pPr>
        <w:ind w:left="720" w:hanging="180"/>
      </w:pPr>
      <w:rPr>
        <w:rFonts w:ascii="Symbol" w:hAnsi="Symbol" w:hint="default"/>
      </w:rPr>
    </w:lvl>
    <w:lvl w:ilvl="1" w:tplc="49162BF0">
      <w:numFmt w:val="decimal"/>
      <w:lvlText w:val=""/>
      <w:lvlJc w:val="left"/>
    </w:lvl>
    <w:lvl w:ilvl="2" w:tplc="F2AA1CB4">
      <w:numFmt w:val="decimal"/>
      <w:lvlText w:val=""/>
      <w:lvlJc w:val="left"/>
    </w:lvl>
    <w:lvl w:ilvl="3" w:tplc="A4C83570">
      <w:numFmt w:val="decimal"/>
      <w:lvlText w:val=""/>
      <w:lvlJc w:val="left"/>
    </w:lvl>
    <w:lvl w:ilvl="4" w:tplc="63ECB43C">
      <w:numFmt w:val="decimal"/>
      <w:lvlText w:val=""/>
      <w:lvlJc w:val="left"/>
    </w:lvl>
    <w:lvl w:ilvl="5" w:tplc="1A8E3C5C">
      <w:numFmt w:val="decimal"/>
      <w:lvlText w:val=""/>
      <w:lvlJc w:val="left"/>
    </w:lvl>
    <w:lvl w:ilvl="6" w:tplc="0C265FFC">
      <w:numFmt w:val="decimal"/>
      <w:lvlText w:val=""/>
      <w:lvlJc w:val="left"/>
    </w:lvl>
    <w:lvl w:ilvl="7" w:tplc="B9DCA6D0">
      <w:numFmt w:val="decimal"/>
      <w:lvlText w:val=""/>
      <w:lvlJc w:val="left"/>
    </w:lvl>
    <w:lvl w:ilvl="8" w:tplc="F5D20B50">
      <w:numFmt w:val="decimal"/>
      <w:lvlText w:val=""/>
      <w:lvlJc w:val="left"/>
    </w:lvl>
  </w:abstractNum>
  <w:abstractNum w:abstractNumId="218" w15:restartNumberingAfterBreak="0">
    <w:nsid w:val="1879132F"/>
    <w:multiLevelType w:val="hybridMultilevel"/>
    <w:tmpl w:val="60A61A1C"/>
    <w:lvl w:ilvl="0" w:tplc="ECBEFCC8">
      <w:start w:val="1"/>
      <w:numFmt w:val="bullet"/>
      <w:lvlText w:val=""/>
      <w:lvlJc w:val="left"/>
      <w:pPr>
        <w:ind w:left="720" w:hanging="180"/>
      </w:pPr>
      <w:rPr>
        <w:rFonts w:ascii="Symbol" w:hAnsi="Symbol" w:hint="default"/>
      </w:rPr>
    </w:lvl>
    <w:lvl w:ilvl="1" w:tplc="17740BE2">
      <w:numFmt w:val="decimal"/>
      <w:lvlText w:val=""/>
      <w:lvlJc w:val="left"/>
    </w:lvl>
    <w:lvl w:ilvl="2" w:tplc="56486992">
      <w:numFmt w:val="decimal"/>
      <w:lvlText w:val=""/>
      <w:lvlJc w:val="left"/>
    </w:lvl>
    <w:lvl w:ilvl="3" w:tplc="91E2FBF6">
      <w:numFmt w:val="decimal"/>
      <w:lvlText w:val=""/>
      <w:lvlJc w:val="left"/>
    </w:lvl>
    <w:lvl w:ilvl="4" w:tplc="9830FD6A">
      <w:numFmt w:val="decimal"/>
      <w:lvlText w:val=""/>
      <w:lvlJc w:val="left"/>
    </w:lvl>
    <w:lvl w:ilvl="5" w:tplc="61ECEE7C">
      <w:numFmt w:val="decimal"/>
      <w:lvlText w:val=""/>
      <w:lvlJc w:val="left"/>
    </w:lvl>
    <w:lvl w:ilvl="6" w:tplc="8DF437F6">
      <w:numFmt w:val="decimal"/>
      <w:lvlText w:val=""/>
      <w:lvlJc w:val="left"/>
    </w:lvl>
    <w:lvl w:ilvl="7" w:tplc="453A27A4">
      <w:numFmt w:val="decimal"/>
      <w:lvlText w:val=""/>
      <w:lvlJc w:val="left"/>
    </w:lvl>
    <w:lvl w:ilvl="8" w:tplc="01A2FA78">
      <w:numFmt w:val="decimal"/>
      <w:lvlText w:val=""/>
      <w:lvlJc w:val="left"/>
    </w:lvl>
  </w:abstractNum>
  <w:abstractNum w:abstractNumId="219" w15:restartNumberingAfterBreak="0">
    <w:nsid w:val="187E4919"/>
    <w:multiLevelType w:val="hybridMultilevel"/>
    <w:tmpl w:val="FED60A16"/>
    <w:lvl w:ilvl="0" w:tplc="6E40EED2">
      <w:start w:val="1"/>
      <w:numFmt w:val="bullet"/>
      <w:lvlText w:val=""/>
      <w:lvlJc w:val="left"/>
      <w:pPr>
        <w:ind w:left="720" w:hanging="180"/>
      </w:pPr>
      <w:rPr>
        <w:rFonts w:ascii="Symbol" w:hAnsi="Symbol" w:hint="default"/>
      </w:rPr>
    </w:lvl>
    <w:lvl w:ilvl="1" w:tplc="967EF478">
      <w:numFmt w:val="decimal"/>
      <w:lvlText w:val=""/>
      <w:lvlJc w:val="left"/>
    </w:lvl>
    <w:lvl w:ilvl="2" w:tplc="280E09BA">
      <w:numFmt w:val="decimal"/>
      <w:lvlText w:val=""/>
      <w:lvlJc w:val="left"/>
    </w:lvl>
    <w:lvl w:ilvl="3" w:tplc="A058FF6A">
      <w:numFmt w:val="decimal"/>
      <w:lvlText w:val=""/>
      <w:lvlJc w:val="left"/>
    </w:lvl>
    <w:lvl w:ilvl="4" w:tplc="0E9CC694">
      <w:numFmt w:val="decimal"/>
      <w:lvlText w:val=""/>
      <w:lvlJc w:val="left"/>
    </w:lvl>
    <w:lvl w:ilvl="5" w:tplc="BFCCABE2">
      <w:numFmt w:val="decimal"/>
      <w:lvlText w:val=""/>
      <w:lvlJc w:val="left"/>
    </w:lvl>
    <w:lvl w:ilvl="6" w:tplc="9BC699F2">
      <w:numFmt w:val="decimal"/>
      <w:lvlText w:val=""/>
      <w:lvlJc w:val="left"/>
    </w:lvl>
    <w:lvl w:ilvl="7" w:tplc="4336F514">
      <w:numFmt w:val="decimal"/>
      <w:lvlText w:val=""/>
      <w:lvlJc w:val="left"/>
    </w:lvl>
    <w:lvl w:ilvl="8" w:tplc="875420C8">
      <w:numFmt w:val="decimal"/>
      <w:lvlText w:val=""/>
      <w:lvlJc w:val="left"/>
    </w:lvl>
  </w:abstractNum>
  <w:abstractNum w:abstractNumId="220" w15:restartNumberingAfterBreak="0">
    <w:nsid w:val="188840D6"/>
    <w:multiLevelType w:val="hybridMultilevel"/>
    <w:tmpl w:val="3912D9E8"/>
    <w:lvl w:ilvl="0" w:tplc="56F69D08">
      <w:start w:val="1"/>
      <w:numFmt w:val="bullet"/>
      <w:lvlText w:val=""/>
      <w:lvlJc w:val="left"/>
      <w:pPr>
        <w:ind w:left="720" w:hanging="180"/>
      </w:pPr>
      <w:rPr>
        <w:rFonts w:ascii="Symbol" w:hAnsi="Symbol" w:hint="default"/>
      </w:rPr>
    </w:lvl>
    <w:lvl w:ilvl="1" w:tplc="DABE287A">
      <w:numFmt w:val="decimal"/>
      <w:lvlText w:val=""/>
      <w:lvlJc w:val="left"/>
    </w:lvl>
    <w:lvl w:ilvl="2" w:tplc="28245064">
      <w:numFmt w:val="decimal"/>
      <w:lvlText w:val=""/>
      <w:lvlJc w:val="left"/>
    </w:lvl>
    <w:lvl w:ilvl="3" w:tplc="8B4EB330">
      <w:numFmt w:val="decimal"/>
      <w:lvlText w:val=""/>
      <w:lvlJc w:val="left"/>
    </w:lvl>
    <w:lvl w:ilvl="4" w:tplc="D0B09352">
      <w:numFmt w:val="decimal"/>
      <w:lvlText w:val=""/>
      <w:lvlJc w:val="left"/>
    </w:lvl>
    <w:lvl w:ilvl="5" w:tplc="1E88CB44">
      <w:numFmt w:val="decimal"/>
      <w:lvlText w:val=""/>
      <w:lvlJc w:val="left"/>
    </w:lvl>
    <w:lvl w:ilvl="6" w:tplc="8B722070">
      <w:numFmt w:val="decimal"/>
      <w:lvlText w:val=""/>
      <w:lvlJc w:val="left"/>
    </w:lvl>
    <w:lvl w:ilvl="7" w:tplc="B080A870">
      <w:numFmt w:val="decimal"/>
      <w:lvlText w:val=""/>
      <w:lvlJc w:val="left"/>
    </w:lvl>
    <w:lvl w:ilvl="8" w:tplc="71D8D542">
      <w:numFmt w:val="decimal"/>
      <w:lvlText w:val=""/>
      <w:lvlJc w:val="left"/>
    </w:lvl>
  </w:abstractNum>
  <w:abstractNum w:abstractNumId="221" w15:restartNumberingAfterBreak="0">
    <w:nsid w:val="188A1C0C"/>
    <w:multiLevelType w:val="hybridMultilevel"/>
    <w:tmpl w:val="5BE82FA6"/>
    <w:lvl w:ilvl="0" w:tplc="75440CBA">
      <w:start w:val="1"/>
      <w:numFmt w:val="bullet"/>
      <w:lvlText w:val=""/>
      <w:lvlJc w:val="left"/>
      <w:pPr>
        <w:ind w:left="720" w:hanging="180"/>
      </w:pPr>
      <w:rPr>
        <w:rFonts w:ascii="Symbol" w:hAnsi="Symbol" w:hint="default"/>
      </w:rPr>
    </w:lvl>
    <w:lvl w:ilvl="1" w:tplc="9778563E">
      <w:numFmt w:val="decimal"/>
      <w:lvlText w:val=""/>
      <w:lvlJc w:val="left"/>
    </w:lvl>
    <w:lvl w:ilvl="2" w:tplc="E286C762">
      <w:numFmt w:val="decimal"/>
      <w:lvlText w:val=""/>
      <w:lvlJc w:val="left"/>
    </w:lvl>
    <w:lvl w:ilvl="3" w:tplc="82E28604">
      <w:numFmt w:val="decimal"/>
      <w:lvlText w:val=""/>
      <w:lvlJc w:val="left"/>
    </w:lvl>
    <w:lvl w:ilvl="4" w:tplc="BFB89E28">
      <w:numFmt w:val="decimal"/>
      <w:lvlText w:val=""/>
      <w:lvlJc w:val="left"/>
    </w:lvl>
    <w:lvl w:ilvl="5" w:tplc="148ECEB2">
      <w:numFmt w:val="decimal"/>
      <w:lvlText w:val=""/>
      <w:lvlJc w:val="left"/>
    </w:lvl>
    <w:lvl w:ilvl="6" w:tplc="13DAD44E">
      <w:numFmt w:val="decimal"/>
      <w:lvlText w:val=""/>
      <w:lvlJc w:val="left"/>
    </w:lvl>
    <w:lvl w:ilvl="7" w:tplc="5AB2B034">
      <w:numFmt w:val="decimal"/>
      <w:lvlText w:val=""/>
      <w:lvlJc w:val="left"/>
    </w:lvl>
    <w:lvl w:ilvl="8" w:tplc="5DD677EE">
      <w:numFmt w:val="decimal"/>
      <w:lvlText w:val=""/>
      <w:lvlJc w:val="left"/>
    </w:lvl>
  </w:abstractNum>
  <w:abstractNum w:abstractNumId="222" w15:restartNumberingAfterBreak="0">
    <w:nsid w:val="188A2A43"/>
    <w:multiLevelType w:val="hybridMultilevel"/>
    <w:tmpl w:val="FE1E7638"/>
    <w:lvl w:ilvl="0" w:tplc="B4B058BE">
      <w:start w:val="1"/>
      <w:numFmt w:val="bullet"/>
      <w:lvlText w:val=""/>
      <w:lvlJc w:val="left"/>
      <w:pPr>
        <w:ind w:left="720" w:hanging="180"/>
      </w:pPr>
      <w:rPr>
        <w:rFonts w:ascii="Symbol" w:hAnsi="Symbol" w:hint="default"/>
      </w:rPr>
    </w:lvl>
    <w:lvl w:ilvl="1" w:tplc="E6FC10AA">
      <w:numFmt w:val="decimal"/>
      <w:lvlText w:val=""/>
      <w:lvlJc w:val="left"/>
    </w:lvl>
    <w:lvl w:ilvl="2" w:tplc="A5D2F5EC">
      <w:numFmt w:val="decimal"/>
      <w:lvlText w:val=""/>
      <w:lvlJc w:val="left"/>
    </w:lvl>
    <w:lvl w:ilvl="3" w:tplc="E5C42982">
      <w:numFmt w:val="decimal"/>
      <w:lvlText w:val=""/>
      <w:lvlJc w:val="left"/>
    </w:lvl>
    <w:lvl w:ilvl="4" w:tplc="C0366C42">
      <w:numFmt w:val="decimal"/>
      <w:lvlText w:val=""/>
      <w:lvlJc w:val="left"/>
    </w:lvl>
    <w:lvl w:ilvl="5" w:tplc="B03C58DC">
      <w:numFmt w:val="decimal"/>
      <w:lvlText w:val=""/>
      <w:lvlJc w:val="left"/>
    </w:lvl>
    <w:lvl w:ilvl="6" w:tplc="6DCA429A">
      <w:numFmt w:val="decimal"/>
      <w:lvlText w:val=""/>
      <w:lvlJc w:val="left"/>
    </w:lvl>
    <w:lvl w:ilvl="7" w:tplc="83E6B7CE">
      <w:numFmt w:val="decimal"/>
      <w:lvlText w:val=""/>
      <w:lvlJc w:val="left"/>
    </w:lvl>
    <w:lvl w:ilvl="8" w:tplc="0028493A">
      <w:numFmt w:val="decimal"/>
      <w:lvlText w:val=""/>
      <w:lvlJc w:val="left"/>
    </w:lvl>
  </w:abstractNum>
  <w:abstractNum w:abstractNumId="223" w15:restartNumberingAfterBreak="0">
    <w:nsid w:val="18970185"/>
    <w:multiLevelType w:val="hybridMultilevel"/>
    <w:tmpl w:val="CF6E41C6"/>
    <w:lvl w:ilvl="0" w:tplc="A050A19A">
      <w:start w:val="1"/>
      <w:numFmt w:val="bullet"/>
      <w:lvlText w:val=""/>
      <w:lvlJc w:val="left"/>
      <w:pPr>
        <w:ind w:left="720" w:hanging="180"/>
      </w:pPr>
      <w:rPr>
        <w:rFonts w:ascii="Symbol" w:hAnsi="Symbol" w:hint="default"/>
      </w:rPr>
    </w:lvl>
    <w:lvl w:ilvl="1" w:tplc="1C122E20">
      <w:numFmt w:val="decimal"/>
      <w:lvlText w:val=""/>
      <w:lvlJc w:val="left"/>
    </w:lvl>
    <w:lvl w:ilvl="2" w:tplc="F3C0B162">
      <w:numFmt w:val="decimal"/>
      <w:lvlText w:val=""/>
      <w:lvlJc w:val="left"/>
    </w:lvl>
    <w:lvl w:ilvl="3" w:tplc="7068C630">
      <w:numFmt w:val="decimal"/>
      <w:lvlText w:val=""/>
      <w:lvlJc w:val="left"/>
    </w:lvl>
    <w:lvl w:ilvl="4" w:tplc="A4921FA2">
      <w:numFmt w:val="decimal"/>
      <w:lvlText w:val=""/>
      <w:lvlJc w:val="left"/>
    </w:lvl>
    <w:lvl w:ilvl="5" w:tplc="EBF4A6C2">
      <w:numFmt w:val="decimal"/>
      <w:lvlText w:val=""/>
      <w:lvlJc w:val="left"/>
    </w:lvl>
    <w:lvl w:ilvl="6" w:tplc="025CCAF2">
      <w:numFmt w:val="decimal"/>
      <w:lvlText w:val=""/>
      <w:lvlJc w:val="left"/>
    </w:lvl>
    <w:lvl w:ilvl="7" w:tplc="469C478C">
      <w:numFmt w:val="decimal"/>
      <w:lvlText w:val=""/>
      <w:lvlJc w:val="left"/>
    </w:lvl>
    <w:lvl w:ilvl="8" w:tplc="1C98799E">
      <w:numFmt w:val="decimal"/>
      <w:lvlText w:val=""/>
      <w:lvlJc w:val="left"/>
    </w:lvl>
  </w:abstractNum>
  <w:abstractNum w:abstractNumId="224" w15:restartNumberingAfterBreak="0">
    <w:nsid w:val="18D00C5C"/>
    <w:multiLevelType w:val="hybridMultilevel"/>
    <w:tmpl w:val="B4EC6E0E"/>
    <w:lvl w:ilvl="0" w:tplc="8ABCCA60">
      <w:start w:val="1"/>
      <w:numFmt w:val="bullet"/>
      <w:lvlText w:val=""/>
      <w:lvlJc w:val="left"/>
      <w:pPr>
        <w:ind w:left="720" w:hanging="180"/>
      </w:pPr>
      <w:rPr>
        <w:rFonts w:ascii="Symbol" w:hAnsi="Symbol" w:hint="default"/>
      </w:rPr>
    </w:lvl>
    <w:lvl w:ilvl="1" w:tplc="460801EC">
      <w:numFmt w:val="decimal"/>
      <w:lvlText w:val=""/>
      <w:lvlJc w:val="left"/>
    </w:lvl>
    <w:lvl w:ilvl="2" w:tplc="17FEEB60">
      <w:numFmt w:val="decimal"/>
      <w:lvlText w:val=""/>
      <w:lvlJc w:val="left"/>
    </w:lvl>
    <w:lvl w:ilvl="3" w:tplc="6BC8717C">
      <w:numFmt w:val="decimal"/>
      <w:lvlText w:val=""/>
      <w:lvlJc w:val="left"/>
    </w:lvl>
    <w:lvl w:ilvl="4" w:tplc="38547A76">
      <w:numFmt w:val="decimal"/>
      <w:lvlText w:val=""/>
      <w:lvlJc w:val="left"/>
    </w:lvl>
    <w:lvl w:ilvl="5" w:tplc="635666E4">
      <w:numFmt w:val="decimal"/>
      <w:lvlText w:val=""/>
      <w:lvlJc w:val="left"/>
    </w:lvl>
    <w:lvl w:ilvl="6" w:tplc="C45815FC">
      <w:numFmt w:val="decimal"/>
      <w:lvlText w:val=""/>
      <w:lvlJc w:val="left"/>
    </w:lvl>
    <w:lvl w:ilvl="7" w:tplc="CC02245E">
      <w:numFmt w:val="decimal"/>
      <w:lvlText w:val=""/>
      <w:lvlJc w:val="left"/>
    </w:lvl>
    <w:lvl w:ilvl="8" w:tplc="91C246FC">
      <w:numFmt w:val="decimal"/>
      <w:lvlText w:val=""/>
      <w:lvlJc w:val="left"/>
    </w:lvl>
  </w:abstractNum>
  <w:abstractNum w:abstractNumId="225" w15:restartNumberingAfterBreak="0">
    <w:nsid w:val="190639A8"/>
    <w:multiLevelType w:val="hybridMultilevel"/>
    <w:tmpl w:val="4BF216BA"/>
    <w:lvl w:ilvl="0" w:tplc="598A8434">
      <w:start w:val="1"/>
      <w:numFmt w:val="bullet"/>
      <w:lvlText w:val=""/>
      <w:lvlJc w:val="left"/>
      <w:pPr>
        <w:ind w:left="720" w:hanging="180"/>
      </w:pPr>
      <w:rPr>
        <w:rFonts w:ascii="Symbol" w:hAnsi="Symbol" w:hint="default"/>
      </w:rPr>
    </w:lvl>
    <w:lvl w:ilvl="1" w:tplc="52FC04A8">
      <w:numFmt w:val="decimal"/>
      <w:lvlText w:val=""/>
      <w:lvlJc w:val="left"/>
    </w:lvl>
    <w:lvl w:ilvl="2" w:tplc="F01E6E9A">
      <w:numFmt w:val="decimal"/>
      <w:lvlText w:val=""/>
      <w:lvlJc w:val="left"/>
    </w:lvl>
    <w:lvl w:ilvl="3" w:tplc="98FC9144">
      <w:numFmt w:val="decimal"/>
      <w:lvlText w:val=""/>
      <w:lvlJc w:val="left"/>
    </w:lvl>
    <w:lvl w:ilvl="4" w:tplc="856E4DDE">
      <w:numFmt w:val="decimal"/>
      <w:lvlText w:val=""/>
      <w:lvlJc w:val="left"/>
    </w:lvl>
    <w:lvl w:ilvl="5" w:tplc="9E42E9AA">
      <w:numFmt w:val="decimal"/>
      <w:lvlText w:val=""/>
      <w:lvlJc w:val="left"/>
    </w:lvl>
    <w:lvl w:ilvl="6" w:tplc="BC3266CC">
      <w:numFmt w:val="decimal"/>
      <w:lvlText w:val=""/>
      <w:lvlJc w:val="left"/>
    </w:lvl>
    <w:lvl w:ilvl="7" w:tplc="01AEB38A">
      <w:numFmt w:val="decimal"/>
      <w:lvlText w:val=""/>
      <w:lvlJc w:val="left"/>
    </w:lvl>
    <w:lvl w:ilvl="8" w:tplc="3820A834">
      <w:numFmt w:val="decimal"/>
      <w:lvlText w:val=""/>
      <w:lvlJc w:val="left"/>
    </w:lvl>
  </w:abstractNum>
  <w:abstractNum w:abstractNumId="226" w15:restartNumberingAfterBreak="0">
    <w:nsid w:val="1910241F"/>
    <w:multiLevelType w:val="hybridMultilevel"/>
    <w:tmpl w:val="D3F62F20"/>
    <w:lvl w:ilvl="0" w:tplc="67942EBA">
      <w:start w:val="1"/>
      <w:numFmt w:val="bullet"/>
      <w:lvlText w:val=""/>
      <w:lvlJc w:val="left"/>
      <w:pPr>
        <w:ind w:left="720" w:hanging="180"/>
      </w:pPr>
      <w:rPr>
        <w:rFonts w:ascii="Symbol" w:hAnsi="Symbol" w:hint="default"/>
      </w:rPr>
    </w:lvl>
    <w:lvl w:ilvl="1" w:tplc="23FA96D8">
      <w:numFmt w:val="decimal"/>
      <w:lvlText w:val=""/>
      <w:lvlJc w:val="left"/>
    </w:lvl>
    <w:lvl w:ilvl="2" w:tplc="6C1C08DC">
      <w:numFmt w:val="decimal"/>
      <w:lvlText w:val=""/>
      <w:lvlJc w:val="left"/>
    </w:lvl>
    <w:lvl w:ilvl="3" w:tplc="1D245EB6">
      <w:numFmt w:val="decimal"/>
      <w:lvlText w:val=""/>
      <w:lvlJc w:val="left"/>
    </w:lvl>
    <w:lvl w:ilvl="4" w:tplc="F1F299B8">
      <w:numFmt w:val="decimal"/>
      <w:lvlText w:val=""/>
      <w:lvlJc w:val="left"/>
    </w:lvl>
    <w:lvl w:ilvl="5" w:tplc="C9C2BCA4">
      <w:numFmt w:val="decimal"/>
      <w:lvlText w:val=""/>
      <w:lvlJc w:val="left"/>
    </w:lvl>
    <w:lvl w:ilvl="6" w:tplc="591E2E2A">
      <w:numFmt w:val="decimal"/>
      <w:lvlText w:val=""/>
      <w:lvlJc w:val="left"/>
    </w:lvl>
    <w:lvl w:ilvl="7" w:tplc="4B22ACF4">
      <w:numFmt w:val="decimal"/>
      <w:lvlText w:val=""/>
      <w:lvlJc w:val="left"/>
    </w:lvl>
    <w:lvl w:ilvl="8" w:tplc="AEE8AA78">
      <w:numFmt w:val="decimal"/>
      <w:lvlText w:val=""/>
      <w:lvlJc w:val="left"/>
    </w:lvl>
  </w:abstractNum>
  <w:abstractNum w:abstractNumId="227" w15:restartNumberingAfterBreak="0">
    <w:nsid w:val="193D65FE"/>
    <w:multiLevelType w:val="hybridMultilevel"/>
    <w:tmpl w:val="2FF418E8"/>
    <w:lvl w:ilvl="0" w:tplc="C6E6DD2E">
      <w:start w:val="1"/>
      <w:numFmt w:val="bullet"/>
      <w:lvlText w:val=""/>
      <w:lvlJc w:val="left"/>
      <w:pPr>
        <w:ind w:left="720" w:hanging="180"/>
      </w:pPr>
      <w:rPr>
        <w:rFonts w:ascii="Symbol" w:hAnsi="Symbol" w:hint="default"/>
      </w:rPr>
    </w:lvl>
    <w:lvl w:ilvl="1" w:tplc="BDF6F8DA">
      <w:numFmt w:val="decimal"/>
      <w:lvlText w:val=""/>
      <w:lvlJc w:val="left"/>
    </w:lvl>
    <w:lvl w:ilvl="2" w:tplc="58CABFF4">
      <w:numFmt w:val="decimal"/>
      <w:lvlText w:val=""/>
      <w:lvlJc w:val="left"/>
    </w:lvl>
    <w:lvl w:ilvl="3" w:tplc="97340AA8">
      <w:numFmt w:val="decimal"/>
      <w:lvlText w:val=""/>
      <w:lvlJc w:val="left"/>
    </w:lvl>
    <w:lvl w:ilvl="4" w:tplc="4006B5E2">
      <w:numFmt w:val="decimal"/>
      <w:lvlText w:val=""/>
      <w:lvlJc w:val="left"/>
    </w:lvl>
    <w:lvl w:ilvl="5" w:tplc="1BBEAB0E">
      <w:numFmt w:val="decimal"/>
      <w:lvlText w:val=""/>
      <w:lvlJc w:val="left"/>
    </w:lvl>
    <w:lvl w:ilvl="6" w:tplc="CB6C7624">
      <w:numFmt w:val="decimal"/>
      <w:lvlText w:val=""/>
      <w:lvlJc w:val="left"/>
    </w:lvl>
    <w:lvl w:ilvl="7" w:tplc="CF0EE4B0">
      <w:numFmt w:val="decimal"/>
      <w:lvlText w:val=""/>
      <w:lvlJc w:val="left"/>
    </w:lvl>
    <w:lvl w:ilvl="8" w:tplc="D4042A3C">
      <w:numFmt w:val="decimal"/>
      <w:lvlText w:val=""/>
      <w:lvlJc w:val="left"/>
    </w:lvl>
  </w:abstractNum>
  <w:abstractNum w:abstractNumId="228" w15:restartNumberingAfterBreak="0">
    <w:nsid w:val="19515D44"/>
    <w:multiLevelType w:val="hybridMultilevel"/>
    <w:tmpl w:val="A686D88C"/>
    <w:lvl w:ilvl="0" w:tplc="0CCA1DF0">
      <w:start w:val="1"/>
      <w:numFmt w:val="bullet"/>
      <w:lvlText w:val=""/>
      <w:lvlJc w:val="left"/>
      <w:pPr>
        <w:ind w:left="720" w:hanging="180"/>
      </w:pPr>
      <w:rPr>
        <w:rFonts w:ascii="Symbol" w:hAnsi="Symbol" w:hint="default"/>
      </w:rPr>
    </w:lvl>
    <w:lvl w:ilvl="1" w:tplc="DD6AD15E">
      <w:numFmt w:val="decimal"/>
      <w:lvlText w:val=""/>
      <w:lvlJc w:val="left"/>
    </w:lvl>
    <w:lvl w:ilvl="2" w:tplc="BAD619E6">
      <w:numFmt w:val="decimal"/>
      <w:lvlText w:val=""/>
      <w:lvlJc w:val="left"/>
    </w:lvl>
    <w:lvl w:ilvl="3" w:tplc="1616C716">
      <w:numFmt w:val="decimal"/>
      <w:lvlText w:val=""/>
      <w:lvlJc w:val="left"/>
    </w:lvl>
    <w:lvl w:ilvl="4" w:tplc="0F36DDF2">
      <w:numFmt w:val="decimal"/>
      <w:lvlText w:val=""/>
      <w:lvlJc w:val="left"/>
    </w:lvl>
    <w:lvl w:ilvl="5" w:tplc="2B1E7654">
      <w:numFmt w:val="decimal"/>
      <w:lvlText w:val=""/>
      <w:lvlJc w:val="left"/>
    </w:lvl>
    <w:lvl w:ilvl="6" w:tplc="06EE22BA">
      <w:numFmt w:val="decimal"/>
      <w:lvlText w:val=""/>
      <w:lvlJc w:val="left"/>
    </w:lvl>
    <w:lvl w:ilvl="7" w:tplc="7CFC53DA">
      <w:numFmt w:val="decimal"/>
      <w:lvlText w:val=""/>
      <w:lvlJc w:val="left"/>
    </w:lvl>
    <w:lvl w:ilvl="8" w:tplc="4C002888">
      <w:numFmt w:val="decimal"/>
      <w:lvlText w:val=""/>
      <w:lvlJc w:val="left"/>
    </w:lvl>
  </w:abstractNum>
  <w:abstractNum w:abstractNumId="229" w15:restartNumberingAfterBreak="0">
    <w:nsid w:val="195B675E"/>
    <w:multiLevelType w:val="hybridMultilevel"/>
    <w:tmpl w:val="849258D2"/>
    <w:lvl w:ilvl="0" w:tplc="D9182C0C">
      <w:start w:val="1"/>
      <w:numFmt w:val="bullet"/>
      <w:lvlText w:val=""/>
      <w:lvlJc w:val="left"/>
      <w:pPr>
        <w:ind w:left="720" w:hanging="180"/>
      </w:pPr>
      <w:rPr>
        <w:rFonts w:ascii="Symbol" w:hAnsi="Symbol" w:hint="default"/>
      </w:rPr>
    </w:lvl>
    <w:lvl w:ilvl="1" w:tplc="3ECEC9C6">
      <w:numFmt w:val="decimal"/>
      <w:lvlText w:val=""/>
      <w:lvlJc w:val="left"/>
    </w:lvl>
    <w:lvl w:ilvl="2" w:tplc="6E2E78D0">
      <w:numFmt w:val="decimal"/>
      <w:lvlText w:val=""/>
      <w:lvlJc w:val="left"/>
    </w:lvl>
    <w:lvl w:ilvl="3" w:tplc="2258163A">
      <w:numFmt w:val="decimal"/>
      <w:lvlText w:val=""/>
      <w:lvlJc w:val="left"/>
    </w:lvl>
    <w:lvl w:ilvl="4" w:tplc="052CB19E">
      <w:numFmt w:val="decimal"/>
      <w:lvlText w:val=""/>
      <w:lvlJc w:val="left"/>
    </w:lvl>
    <w:lvl w:ilvl="5" w:tplc="91DC138C">
      <w:numFmt w:val="decimal"/>
      <w:lvlText w:val=""/>
      <w:lvlJc w:val="left"/>
    </w:lvl>
    <w:lvl w:ilvl="6" w:tplc="4444576A">
      <w:numFmt w:val="decimal"/>
      <w:lvlText w:val=""/>
      <w:lvlJc w:val="left"/>
    </w:lvl>
    <w:lvl w:ilvl="7" w:tplc="DA58E276">
      <w:numFmt w:val="decimal"/>
      <w:lvlText w:val=""/>
      <w:lvlJc w:val="left"/>
    </w:lvl>
    <w:lvl w:ilvl="8" w:tplc="78248FFE">
      <w:numFmt w:val="decimal"/>
      <w:lvlText w:val=""/>
      <w:lvlJc w:val="left"/>
    </w:lvl>
  </w:abstractNum>
  <w:abstractNum w:abstractNumId="230" w15:restartNumberingAfterBreak="0">
    <w:nsid w:val="197C5D9C"/>
    <w:multiLevelType w:val="hybridMultilevel"/>
    <w:tmpl w:val="C3FE7786"/>
    <w:lvl w:ilvl="0" w:tplc="DA3CE88A">
      <w:start w:val="1"/>
      <w:numFmt w:val="bullet"/>
      <w:lvlText w:val=""/>
      <w:lvlJc w:val="left"/>
      <w:pPr>
        <w:ind w:left="720" w:hanging="180"/>
      </w:pPr>
      <w:rPr>
        <w:rFonts w:ascii="Symbol" w:hAnsi="Symbol" w:hint="default"/>
      </w:rPr>
    </w:lvl>
    <w:lvl w:ilvl="1" w:tplc="A258823C">
      <w:numFmt w:val="decimal"/>
      <w:lvlText w:val=""/>
      <w:lvlJc w:val="left"/>
    </w:lvl>
    <w:lvl w:ilvl="2" w:tplc="BCB87F38">
      <w:numFmt w:val="decimal"/>
      <w:lvlText w:val=""/>
      <w:lvlJc w:val="left"/>
    </w:lvl>
    <w:lvl w:ilvl="3" w:tplc="1FAC6140">
      <w:numFmt w:val="decimal"/>
      <w:lvlText w:val=""/>
      <w:lvlJc w:val="left"/>
    </w:lvl>
    <w:lvl w:ilvl="4" w:tplc="6D6C2A18">
      <w:numFmt w:val="decimal"/>
      <w:lvlText w:val=""/>
      <w:lvlJc w:val="left"/>
    </w:lvl>
    <w:lvl w:ilvl="5" w:tplc="30081B0E">
      <w:numFmt w:val="decimal"/>
      <w:lvlText w:val=""/>
      <w:lvlJc w:val="left"/>
    </w:lvl>
    <w:lvl w:ilvl="6" w:tplc="501CBF42">
      <w:numFmt w:val="decimal"/>
      <w:lvlText w:val=""/>
      <w:lvlJc w:val="left"/>
    </w:lvl>
    <w:lvl w:ilvl="7" w:tplc="F2844DE6">
      <w:numFmt w:val="decimal"/>
      <w:lvlText w:val=""/>
      <w:lvlJc w:val="left"/>
    </w:lvl>
    <w:lvl w:ilvl="8" w:tplc="CFB604BA">
      <w:numFmt w:val="decimal"/>
      <w:lvlText w:val=""/>
      <w:lvlJc w:val="left"/>
    </w:lvl>
  </w:abstractNum>
  <w:abstractNum w:abstractNumId="231" w15:restartNumberingAfterBreak="0">
    <w:nsid w:val="19C01AA7"/>
    <w:multiLevelType w:val="hybridMultilevel"/>
    <w:tmpl w:val="4460A6E2"/>
    <w:lvl w:ilvl="0" w:tplc="CBF643FA">
      <w:start w:val="1"/>
      <w:numFmt w:val="bullet"/>
      <w:lvlText w:val=""/>
      <w:lvlJc w:val="left"/>
      <w:pPr>
        <w:ind w:left="720" w:hanging="180"/>
      </w:pPr>
      <w:rPr>
        <w:rFonts w:ascii="Symbol" w:hAnsi="Symbol" w:hint="default"/>
      </w:rPr>
    </w:lvl>
    <w:lvl w:ilvl="1" w:tplc="47E0D38A">
      <w:numFmt w:val="decimal"/>
      <w:lvlText w:val=""/>
      <w:lvlJc w:val="left"/>
    </w:lvl>
    <w:lvl w:ilvl="2" w:tplc="169E25A6">
      <w:numFmt w:val="decimal"/>
      <w:lvlText w:val=""/>
      <w:lvlJc w:val="left"/>
    </w:lvl>
    <w:lvl w:ilvl="3" w:tplc="BED2EE9E">
      <w:numFmt w:val="decimal"/>
      <w:lvlText w:val=""/>
      <w:lvlJc w:val="left"/>
    </w:lvl>
    <w:lvl w:ilvl="4" w:tplc="DB620278">
      <w:numFmt w:val="decimal"/>
      <w:lvlText w:val=""/>
      <w:lvlJc w:val="left"/>
    </w:lvl>
    <w:lvl w:ilvl="5" w:tplc="08A28F3C">
      <w:numFmt w:val="decimal"/>
      <w:lvlText w:val=""/>
      <w:lvlJc w:val="left"/>
    </w:lvl>
    <w:lvl w:ilvl="6" w:tplc="5302062E">
      <w:numFmt w:val="decimal"/>
      <w:lvlText w:val=""/>
      <w:lvlJc w:val="left"/>
    </w:lvl>
    <w:lvl w:ilvl="7" w:tplc="6B3C372C">
      <w:numFmt w:val="decimal"/>
      <w:lvlText w:val=""/>
      <w:lvlJc w:val="left"/>
    </w:lvl>
    <w:lvl w:ilvl="8" w:tplc="0756E7EE">
      <w:numFmt w:val="decimal"/>
      <w:lvlText w:val=""/>
      <w:lvlJc w:val="left"/>
    </w:lvl>
  </w:abstractNum>
  <w:abstractNum w:abstractNumId="232" w15:restartNumberingAfterBreak="0">
    <w:nsid w:val="19CB3E7F"/>
    <w:multiLevelType w:val="hybridMultilevel"/>
    <w:tmpl w:val="9A44CA46"/>
    <w:lvl w:ilvl="0" w:tplc="8E76B74C">
      <w:start w:val="1"/>
      <w:numFmt w:val="bullet"/>
      <w:lvlText w:val=""/>
      <w:lvlJc w:val="left"/>
      <w:pPr>
        <w:ind w:left="720" w:hanging="180"/>
      </w:pPr>
      <w:rPr>
        <w:rFonts w:ascii="Symbol" w:hAnsi="Symbol" w:hint="default"/>
      </w:rPr>
    </w:lvl>
    <w:lvl w:ilvl="1" w:tplc="83E2F614">
      <w:numFmt w:val="decimal"/>
      <w:lvlText w:val=""/>
      <w:lvlJc w:val="left"/>
    </w:lvl>
    <w:lvl w:ilvl="2" w:tplc="1130C20E">
      <w:numFmt w:val="decimal"/>
      <w:lvlText w:val=""/>
      <w:lvlJc w:val="left"/>
    </w:lvl>
    <w:lvl w:ilvl="3" w:tplc="0748906A">
      <w:numFmt w:val="decimal"/>
      <w:lvlText w:val=""/>
      <w:lvlJc w:val="left"/>
    </w:lvl>
    <w:lvl w:ilvl="4" w:tplc="D4DA46CC">
      <w:numFmt w:val="decimal"/>
      <w:lvlText w:val=""/>
      <w:lvlJc w:val="left"/>
    </w:lvl>
    <w:lvl w:ilvl="5" w:tplc="667E7AA8">
      <w:numFmt w:val="decimal"/>
      <w:lvlText w:val=""/>
      <w:lvlJc w:val="left"/>
    </w:lvl>
    <w:lvl w:ilvl="6" w:tplc="E94240A6">
      <w:numFmt w:val="decimal"/>
      <w:lvlText w:val=""/>
      <w:lvlJc w:val="left"/>
    </w:lvl>
    <w:lvl w:ilvl="7" w:tplc="B4F0F92C">
      <w:numFmt w:val="decimal"/>
      <w:lvlText w:val=""/>
      <w:lvlJc w:val="left"/>
    </w:lvl>
    <w:lvl w:ilvl="8" w:tplc="C7FE12E4">
      <w:numFmt w:val="decimal"/>
      <w:lvlText w:val=""/>
      <w:lvlJc w:val="left"/>
    </w:lvl>
  </w:abstractNum>
  <w:abstractNum w:abstractNumId="233" w15:restartNumberingAfterBreak="0">
    <w:nsid w:val="1A2A68B2"/>
    <w:multiLevelType w:val="hybridMultilevel"/>
    <w:tmpl w:val="68AE6AA8"/>
    <w:lvl w:ilvl="0" w:tplc="355ECC92">
      <w:start w:val="1"/>
      <w:numFmt w:val="bullet"/>
      <w:lvlText w:val=""/>
      <w:lvlJc w:val="left"/>
      <w:pPr>
        <w:ind w:left="720" w:hanging="180"/>
      </w:pPr>
      <w:rPr>
        <w:rFonts w:ascii="Symbol" w:hAnsi="Symbol" w:hint="default"/>
      </w:rPr>
    </w:lvl>
    <w:lvl w:ilvl="1" w:tplc="9A0C5C78">
      <w:numFmt w:val="decimal"/>
      <w:lvlText w:val=""/>
      <w:lvlJc w:val="left"/>
    </w:lvl>
    <w:lvl w:ilvl="2" w:tplc="04544A78">
      <w:numFmt w:val="decimal"/>
      <w:lvlText w:val=""/>
      <w:lvlJc w:val="left"/>
    </w:lvl>
    <w:lvl w:ilvl="3" w:tplc="42EE197C">
      <w:numFmt w:val="decimal"/>
      <w:lvlText w:val=""/>
      <w:lvlJc w:val="left"/>
    </w:lvl>
    <w:lvl w:ilvl="4" w:tplc="F6BE5EB2">
      <w:numFmt w:val="decimal"/>
      <w:lvlText w:val=""/>
      <w:lvlJc w:val="left"/>
    </w:lvl>
    <w:lvl w:ilvl="5" w:tplc="2B3E4D48">
      <w:numFmt w:val="decimal"/>
      <w:lvlText w:val=""/>
      <w:lvlJc w:val="left"/>
    </w:lvl>
    <w:lvl w:ilvl="6" w:tplc="343440AE">
      <w:numFmt w:val="decimal"/>
      <w:lvlText w:val=""/>
      <w:lvlJc w:val="left"/>
    </w:lvl>
    <w:lvl w:ilvl="7" w:tplc="BC5E0FCA">
      <w:numFmt w:val="decimal"/>
      <w:lvlText w:val=""/>
      <w:lvlJc w:val="left"/>
    </w:lvl>
    <w:lvl w:ilvl="8" w:tplc="3E9AF4F4">
      <w:numFmt w:val="decimal"/>
      <w:lvlText w:val=""/>
      <w:lvlJc w:val="left"/>
    </w:lvl>
  </w:abstractNum>
  <w:abstractNum w:abstractNumId="234" w15:restartNumberingAfterBreak="0">
    <w:nsid w:val="1A3928D6"/>
    <w:multiLevelType w:val="hybridMultilevel"/>
    <w:tmpl w:val="9EFA7B44"/>
    <w:lvl w:ilvl="0" w:tplc="84289AB4">
      <w:start w:val="1"/>
      <w:numFmt w:val="bullet"/>
      <w:lvlText w:val=""/>
      <w:lvlJc w:val="left"/>
      <w:pPr>
        <w:ind w:left="720" w:hanging="180"/>
      </w:pPr>
      <w:rPr>
        <w:rFonts w:ascii="Symbol" w:hAnsi="Symbol" w:hint="default"/>
      </w:rPr>
    </w:lvl>
    <w:lvl w:ilvl="1" w:tplc="5A1AFA2C">
      <w:numFmt w:val="decimal"/>
      <w:lvlText w:val=""/>
      <w:lvlJc w:val="left"/>
    </w:lvl>
    <w:lvl w:ilvl="2" w:tplc="F9FAB7EE">
      <w:numFmt w:val="decimal"/>
      <w:lvlText w:val=""/>
      <w:lvlJc w:val="left"/>
    </w:lvl>
    <w:lvl w:ilvl="3" w:tplc="99CA7A22">
      <w:numFmt w:val="decimal"/>
      <w:lvlText w:val=""/>
      <w:lvlJc w:val="left"/>
    </w:lvl>
    <w:lvl w:ilvl="4" w:tplc="FB3E0102">
      <w:numFmt w:val="decimal"/>
      <w:lvlText w:val=""/>
      <w:lvlJc w:val="left"/>
    </w:lvl>
    <w:lvl w:ilvl="5" w:tplc="F2460760">
      <w:numFmt w:val="decimal"/>
      <w:lvlText w:val=""/>
      <w:lvlJc w:val="left"/>
    </w:lvl>
    <w:lvl w:ilvl="6" w:tplc="30045102">
      <w:numFmt w:val="decimal"/>
      <w:lvlText w:val=""/>
      <w:lvlJc w:val="left"/>
    </w:lvl>
    <w:lvl w:ilvl="7" w:tplc="39947552">
      <w:numFmt w:val="decimal"/>
      <w:lvlText w:val=""/>
      <w:lvlJc w:val="left"/>
    </w:lvl>
    <w:lvl w:ilvl="8" w:tplc="6B504532">
      <w:numFmt w:val="decimal"/>
      <w:lvlText w:val=""/>
      <w:lvlJc w:val="left"/>
    </w:lvl>
  </w:abstractNum>
  <w:abstractNum w:abstractNumId="235" w15:restartNumberingAfterBreak="0">
    <w:nsid w:val="1A3B0B46"/>
    <w:multiLevelType w:val="hybridMultilevel"/>
    <w:tmpl w:val="5F6069DC"/>
    <w:lvl w:ilvl="0" w:tplc="826AC3B6">
      <w:start w:val="1"/>
      <w:numFmt w:val="bullet"/>
      <w:lvlText w:val=""/>
      <w:lvlJc w:val="left"/>
      <w:pPr>
        <w:ind w:left="720" w:hanging="180"/>
      </w:pPr>
      <w:rPr>
        <w:rFonts w:ascii="Symbol" w:hAnsi="Symbol" w:hint="default"/>
      </w:rPr>
    </w:lvl>
    <w:lvl w:ilvl="1" w:tplc="D42A0054">
      <w:numFmt w:val="decimal"/>
      <w:lvlText w:val=""/>
      <w:lvlJc w:val="left"/>
    </w:lvl>
    <w:lvl w:ilvl="2" w:tplc="F656E170">
      <w:numFmt w:val="decimal"/>
      <w:lvlText w:val=""/>
      <w:lvlJc w:val="left"/>
    </w:lvl>
    <w:lvl w:ilvl="3" w:tplc="280CCB12">
      <w:numFmt w:val="decimal"/>
      <w:lvlText w:val=""/>
      <w:lvlJc w:val="left"/>
    </w:lvl>
    <w:lvl w:ilvl="4" w:tplc="31283E16">
      <w:numFmt w:val="decimal"/>
      <w:lvlText w:val=""/>
      <w:lvlJc w:val="left"/>
    </w:lvl>
    <w:lvl w:ilvl="5" w:tplc="60F4E8E0">
      <w:numFmt w:val="decimal"/>
      <w:lvlText w:val=""/>
      <w:lvlJc w:val="left"/>
    </w:lvl>
    <w:lvl w:ilvl="6" w:tplc="71A06B9A">
      <w:numFmt w:val="decimal"/>
      <w:lvlText w:val=""/>
      <w:lvlJc w:val="left"/>
    </w:lvl>
    <w:lvl w:ilvl="7" w:tplc="8A1E4402">
      <w:numFmt w:val="decimal"/>
      <w:lvlText w:val=""/>
      <w:lvlJc w:val="left"/>
    </w:lvl>
    <w:lvl w:ilvl="8" w:tplc="73BA10DC">
      <w:numFmt w:val="decimal"/>
      <w:lvlText w:val=""/>
      <w:lvlJc w:val="left"/>
    </w:lvl>
  </w:abstractNum>
  <w:abstractNum w:abstractNumId="236" w15:restartNumberingAfterBreak="0">
    <w:nsid w:val="1A98702F"/>
    <w:multiLevelType w:val="hybridMultilevel"/>
    <w:tmpl w:val="FA10F610"/>
    <w:lvl w:ilvl="0" w:tplc="777EBBCC">
      <w:start w:val="1"/>
      <w:numFmt w:val="bullet"/>
      <w:lvlText w:val=""/>
      <w:lvlJc w:val="left"/>
      <w:pPr>
        <w:ind w:left="720" w:hanging="180"/>
      </w:pPr>
      <w:rPr>
        <w:rFonts w:ascii="Symbol" w:hAnsi="Symbol" w:hint="default"/>
      </w:rPr>
    </w:lvl>
    <w:lvl w:ilvl="1" w:tplc="3246EEF8">
      <w:numFmt w:val="decimal"/>
      <w:lvlText w:val=""/>
      <w:lvlJc w:val="left"/>
    </w:lvl>
    <w:lvl w:ilvl="2" w:tplc="46C2FC50">
      <w:numFmt w:val="decimal"/>
      <w:lvlText w:val=""/>
      <w:lvlJc w:val="left"/>
    </w:lvl>
    <w:lvl w:ilvl="3" w:tplc="479C797E">
      <w:numFmt w:val="decimal"/>
      <w:lvlText w:val=""/>
      <w:lvlJc w:val="left"/>
    </w:lvl>
    <w:lvl w:ilvl="4" w:tplc="68AC0BA0">
      <w:numFmt w:val="decimal"/>
      <w:lvlText w:val=""/>
      <w:lvlJc w:val="left"/>
    </w:lvl>
    <w:lvl w:ilvl="5" w:tplc="6486F9F2">
      <w:numFmt w:val="decimal"/>
      <w:lvlText w:val=""/>
      <w:lvlJc w:val="left"/>
    </w:lvl>
    <w:lvl w:ilvl="6" w:tplc="71321170">
      <w:numFmt w:val="decimal"/>
      <w:lvlText w:val=""/>
      <w:lvlJc w:val="left"/>
    </w:lvl>
    <w:lvl w:ilvl="7" w:tplc="3936345A">
      <w:numFmt w:val="decimal"/>
      <w:lvlText w:val=""/>
      <w:lvlJc w:val="left"/>
    </w:lvl>
    <w:lvl w:ilvl="8" w:tplc="B284F412">
      <w:numFmt w:val="decimal"/>
      <w:lvlText w:val=""/>
      <w:lvlJc w:val="left"/>
    </w:lvl>
  </w:abstractNum>
  <w:abstractNum w:abstractNumId="237" w15:restartNumberingAfterBreak="0">
    <w:nsid w:val="1B0301B0"/>
    <w:multiLevelType w:val="hybridMultilevel"/>
    <w:tmpl w:val="CCD224AA"/>
    <w:lvl w:ilvl="0" w:tplc="0D4EC998">
      <w:start w:val="1"/>
      <w:numFmt w:val="bullet"/>
      <w:lvlText w:val=""/>
      <w:lvlJc w:val="left"/>
      <w:pPr>
        <w:ind w:left="720" w:hanging="180"/>
      </w:pPr>
      <w:rPr>
        <w:rFonts w:ascii="Symbol" w:hAnsi="Symbol" w:hint="default"/>
      </w:rPr>
    </w:lvl>
    <w:lvl w:ilvl="1" w:tplc="854EA654">
      <w:numFmt w:val="decimal"/>
      <w:lvlText w:val=""/>
      <w:lvlJc w:val="left"/>
    </w:lvl>
    <w:lvl w:ilvl="2" w:tplc="63F07F44">
      <w:numFmt w:val="decimal"/>
      <w:lvlText w:val=""/>
      <w:lvlJc w:val="left"/>
    </w:lvl>
    <w:lvl w:ilvl="3" w:tplc="C1706084">
      <w:numFmt w:val="decimal"/>
      <w:lvlText w:val=""/>
      <w:lvlJc w:val="left"/>
    </w:lvl>
    <w:lvl w:ilvl="4" w:tplc="0E52B820">
      <w:numFmt w:val="decimal"/>
      <w:lvlText w:val=""/>
      <w:lvlJc w:val="left"/>
    </w:lvl>
    <w:lvl w:ilvl="5" w:tplc="14B23804">
      <w:numFmt w:val="decimal"/>
      <w:lvlText w:val=""/>
      <w:lvlJc w:val="left"/>
    </w:lvl>
    <w:lvl w:ilvl="6" w:tplc="3D94E2C2">
      <w:numFmt w:val="decimal"/>
      <w:lvlText w:val=""/>
      <w:lvlJc w:val="left"/>
    </w:lvl>
    <w:lvl w:ilvl="7" w:tplc="E6E4788A">
      <w:numFmt w:val="decimal"/>
      <w:lvlText w:val=""/>
      <w:lvlJc w:val="left"/>
    </w:lvl>
    <w:lvl w:ilvl="8" w:tplc="EA5C4ABC">
      <w:numFmt w:val="decimal"/>
      <w:lvlText w:val=""/>
      <w:lvlJc w:val="left"/>
    </w:lvl>
  </w:abstractNum>
  <w:abstractNum w:abstractNumId="238" w15:restartNumberingAfterBreak="0">
    <w:nsid w:val="1B0825D4"/>
    <w:multiLevelType w:val="hybridMultilevel"/>
    <w:tmpl w:val="F3B64CB6"/>
    <w:lvl w:ilvl="0" w:tplc="68E8E93A">
      <w:start w:val="1"/>
      <w:numFmt w:val="bullet"/>
      <w:lvlText w:val="○"/>
      <w:lvlJc w:val="left"/>
      <w:pPr>
        <w:ind w:left="720" w:hanging="180"/>
      </w:pPr>
      <w:rPr>
        <w:rFonts w:ascii="Courier New" w:hAnsi="Courier New" w:hint="default"/>
      </w:rPr>
    </w:lvl>
    <w:lvl w:ilvl="1" w:tplc="0B78685A">
      <w:numFmt w:val="decimal"/>
      <w:lvlText w:val=""/>
      <w:lvlJc w:val="left"/>
    </w:lvl>
    <w:lvl w:ilvl="2" w:tplc="B3D22F52">
      <w:numFmt w:val="decimal"/>
      <w:lvlText w:val=""/>
      <w:lvlJc w:val="left"/>
    </w:lvl>
    <w:lvl w:ilvl="3" w:tplc="C8FCDE06">
      <w:numFmt w:val="decimal"/>
      <w:lvlText w:val=""/>
      <w:lvlJc w:val="left"/>
    </w:lvl>
    <w:lvl w:ilvl="4" w:tplc="15C0E90C">
      <w:numFmt w:val="decimal"/>
      <w:lvlText w:val=""/>
      <w:lvlJc w:val="left"/>
    </w:lvl>
    <w:lvl w:ilvl="5" w:tplc="2CEE013E">
      <w:numFmt w:val="decimal"/>
      <w:lvlText w:val=""/>
      <w:lvlJc w:val="left"/>
    </w:lvl>
    <w:lvl w:ilvl="6" w:tplc="DE560FCE">
      <w:numFmt w:val="decimal"/>
      <w:lvlText w:val=""/>
      <w:lvlJc w:val="left"/>
    </w:lvl>
    <w:lvl w:ilvl="7" w:tplc="A3BA86C4">
      <w:numFmt w:val="decimal"/>
      <w:lvlText w:val=""/>
      <w:lvlJc w:val="left"/>
    </w:lvl>
    <w:lvl w:ilvl="8" w:tplc="8B76B962">
      <w:numFmt w:val="decimal"/>
      <w:lvlText w:val=""/>
      <w:lvlJc w:val="left"/>
    </w:lvl>
  </w:abstractNum>
  <w:abstractNum w:abstractNumId="239" w15:restartNumberingAfterBreak="0">
    <w:nsid w:val="1B1A6DBE"/>
    <w:multiLevelType w:val="hybridMultilevel"/>
    <w:tmpl w:val="C1CE90FE"/>
    <w:lvl w:ilvl="0" w:tplc="07106B68">
      <w:start w:val="1"/>
      <w:numFmt w:val="bullet"/>
      <w:lvlText w:val=""/>
      <w:lvlJc w:val="left"/>
      <w:pPr>
        <w:ind w:left="720" w:hanging="180"/>
      </w:pPr>
      <w:rPr>
        <w:rFonts w:ascii="Symbol" w:hAnsi="Symbol" w:hint="default"/>
      </w:rPr>
    </w:lvl>
    <w:lvl w:ilvl="1" w:tplc="F30844BE">
      <w:numFmt w:val="decimal"/>
      <w:lvlText w:val=""/>
      <w:lvlJc w:val="left"/>
    </w:lvl>
    <w:lvl w:ilvl="2" w:tplc="B59C91FA">
      <w:numFmt w:val="decimal"/>
      <w:lvlText w:val=""/>
      <w:lvlJc w:val="left"/>
    </w:lvl>
    <w:lvl w:ilvl="3" w:tplc="B96C079C">
      <w:numFmt w:val="decimal"/>
      <w:lvlText w:val=""/>
      <w:lvlJc w:val="left"/>
    </w:lvl>
    <w:lvl w:ilvl="4" w:tplc="3BB29770">
      <w:numFmt w:val="decimal"/>
      <w:lvlText w:val=""/>
      <w:lvlJc w:val="left"/>
    </w:lvl>
    <w:lvl w:ilvl="5" w:tplc="0EF63254">
      <w:numFmt w:val="decimal"/>
      <w:lvlText w:val=""/>
      <w:lvlJc w:val="left"/>
    </w:lvl>
    <w:lvl w:ilvl="6" w:tplc="2000EB70">
      <w:numFmt w:val="decimal"/>
      <w:lvlText w:val=""/>
      <w:lvlJc w:val="left"/>
    </w:lvl>
    <w:lvl w:ilvl="7" w:tplc="D398E8F0">
      <w:numFmt w:val="decimal"/>
      <w:lvlText w:val=""/>
      <w:lvlJc w:val="left"/>
    </w:lvl>
    <w:lvl w:ilvl="8" w:tplc="EB20EA70">
      <w:numFmt w:val="decimal"/>
      <w:lvlText w:val=""/>
      <w:lvlJc w:val="left"/>
    </w:lvl>
  </w:abstractNum>
  <w:abstractNum w:abstractNumId="240" w15:restartNumberingAfterBreak="0">
    <w:nsid w:val="1B292C0E"/>
    <w:multiLevelType w:val="hybridMultilevel"/>
    <w:tmpl w:val="9714713E"/>
    <w:lvl w:ilvl="0" w:tplc="E9CA692E">
      <w:start w:val="1"/>
      <w:numFmt w:val="bullet"/>
      <w:lvlText w:val=""/>
      <w:lvlJc w:val="left"/>
      <w:pPr>
        <w:ind w:left="720" w:hanging="180"/>
      </w:pPr>
      <w:rPr>
        <w:rFonts w:ascii="Symbol" w:hAnsi="Symbol" w:hint="default"/>
      </w:rPr>
    </w:lvl>
    <w:lvl w:ilvl="1" w:tplc="7C16F740">
      <w:numFmt w:val="decimal"/>
      <w:lvlText w:val=""/>
      <w:lvlJc w:val="left"/>
    </w:lvl>
    <w:lvl w:ilvl="2" w:tplc="E3E686F6">
      <w:numFmt w:val="decimal"/>
      <w:lvlText w:val=""/>
      <w:lvlJc w:val="left"/>
    </w:lvl>
    <w:lvl w:ilvl="3" w:tplc="097AC6D0">
      <w:numFmt w:val="decimal"/>
      <w:lvlText w:val=""/>
      <w:lvlJc w:val="left"/>
    </w:lvl>
    <w:lvl w:ilvl="4" w:tplc="8C16D4BC">
      <w:numFmt w:val="decimal"/>
      <w:lvlText w:val=""/>
      <w:lvlJc w:val="left"/>
    </w:lvl>
    <w:lvl w:ilvl="5" w:tplc="E0D842B4">
      <w:numFmt w:val="decimal"/>
      <w:lvlText w:val=""/>
      <w:lvlJc w:val="left"/>
    </w:lvl>
    <w:lvl w:ilvl="6" w:tplc="5608E4E4">
      <w:numFmt w:val="decimal"/>
      <w:lvlText w:val=""/>
      <w:lvlJc w:val="left"/>
    </w:lvl>
    <w:lvl w:ilvl="7" w:tplc="9A4CF32A">
      <w:numFmt w:val="decimal"/>
      <w:lvlText w:val=""/>
      <w:lvlJc w:val="left"/>
    </w:lvl>
    <w:lvl w:ilvl="8" w:tplc="27FEC456">
      <w:numFmt w:val="decimal"/>
      <w:lvlText w:val=""/>
      <w:lvlJc w:val="left"/>
    </w:lvl>
  </w:abstractNum>
  <w:abstractNum w:abstractNumId="241" w15:restartNumberingAfterBreak="0">
    <w:nsid w:val="1B327062"/>
    <w:multiLevelType w:val="hybridMultilevel"/>
    <w:tmpl w:val="6A885676"/>
    <w:lvl w:ilvl="0" w:tplc="574EB8AC">
      <w:start w:val="1"/>
      <w:numFmt w:val="bullet"/>
      <w:lvlText w:val=""/>
      <w:lvlJc w:val="left"/>
      <w:pPr>
        <w:ind w:left="720" w:hanging="180"/>
      </w:pPr>
      <w:rPr>
        <w:rFonts w:ascii="Symbol" w:hAnsi="Symbol" w:hint="default"/>
      </w:rPr>
    </w:lvl>
    <w:lvl w:ilvl="1" w:tplc="2558EAF4">
      <w:numFmt w:val="decimal"/>
      <w:lvlText w:val=""/>
      <w:lvlJc w:val="left"/>
    </w:lvl>
    <w:lvl w:ilvl="2" w:tplc="3636117A">
      <w:numFmt w:val="decimal"/>
      <w:lvlText w:val=""/>
      <w:lvlJc w:val="left"/>
    </w:lvl>
    <w:lvl w:ilvl="3" w:tplc="E4645A80">
      <w:numFmt w:val="decimal"/>
      <w:lvlText w:val=""/>
      <w:lvlJc w:val="left"/>
    </w:lvl>
    <w:lvl w:ilvl="4" w:tplc="5AC82552">
      <w:numFmt w:val="decimal"/>
      <w:lvlText w:val=""/>
      <w:lvlJc w:val="left"/>
    </w:lvl>
    <w:lvl w:ilvl="5" w:tplc="42286DE8">
      <w:numFmt w:val="decimal"/>
      <w:lvlText w:val=""/>
      <w:lvlJc w:val="left"/>
    </w:lvl>
    <w:lvl w:ilvl="6" w:tplc="D75C83D2">
      <w:numFmt w:val="decimal"/>
      <w:lvlText w:val=""/>
      <w:lvlJc w:val="left"/>
    </w:lvl>
    <w:lvl w:ilvl="7" w:tplc="741A63C4">
      <w:numFmt w:val="decimal"/>
      <w:lvlText w:val=""/>
      <w:lvlJc w:val="left"/>
    </w:lvl>
    <w:lvl w:ilvl="8" w:tplc="DE8A0AA0">
      <w:numFmt w:val="decimal"/>
      <w:lvlText w:val=""/>
      <w:lvlJc w:val="left"/>
    </w:lvl>
  </w:abstractNum>
  <w:abstractNum w:abstractNumId="242" w15:restartNumberingAfterBreak="0">
    <w:nsid w:val="1B460C31"/>
    <w:multiLevelType w:val="hybridMultilevel"/>
    <w:tmpl w:val="F092C178"/>
    <w:lvl w:ilvl="0" w:tplc="C9B6047E">
      <w:start w:val="1"/>
      <w:numFmt w:val="bullet"/>
      <w:lvlText w:val=""/>
      <w:lvlJc w:val="left"/>
      <w:pPr>
        <w:ind w:left="720" w:hanging="180"/>
      </w:pPr>
      <w:rPr>
        <w:rFonts w:ascii="Symbol" w:hAnsi="Symbol" w:hint="default"/>
      </w:rPr>
    </w:lvl>
    <w:lvl w:ilvl="1" w:tplc="966C37D2">
      <w:numFmt w:val="decimal"/>
      <w:lvlText w:val=""/>
      <w:lvlJc w:val="left"/>
    </w:lvl>
    <w:lvl w:ilvl="2" w:tplc="C5AAB61A">
      <w:numFmt w:val="decimal"/>
      <w:lvlText w:val=""/>
      <w:lvlJc w:val="left"/>
    </w:lvl>
    <w:lvl w:ilvl="3" w:tplc="710AF0F8">
      <w:numFmt w:val="decimal"/>
      <w:lvlText w:val=""/>
      <w:lvlJc w:val="left"/>
    </w:lvl>
    <w:lvl w:ilvl="4" w:tplc="12D8307C">
      <w:numFmt w:val="decimal"/>
      <w:lvlText w:val=""/>
      <w:lvlJc w:val="left"/>
    </w:lvl>
    <w:lvl w:ilvl="5" w:tplc="8912DFB4">
      <w:numFmt w:val="decimal"/>
      <w:lvlText w:val=""/>
      <w:lvlJc w:val="left"/>
    </w:lvl>
    <w:lvl w:ilvl="6" w:tplc="A8320BD2">
      <w:numFmt w:val="decimal"/>
      <w:lvlText w:val=""/>
      <w:lvlJc w:val="left"/>
    </w:lvl>
    <w:lvl w:ilvl="7" w:tplc="EECEF10A">
      <w:numFmt w:val="decimal"/>
      <w:lvlText w:val=""/>
      <w:lvlJc w:val="left"/>
    </w:lvl>
    <w:lvl w:ilvl="8" w:tplc="9D6CD150">
      <w:numFmt w:val="decimal"/>
      <w:lvlText w:val=""/>
      <w:lvlJc w:val="left"/>
    </w:lvl>
  </w:abstractNum>
  <w:abstractNum w:abstractNumId="243" w15:restartNumberingAfterBreak="0">
    <w:nsid w:val="1B485C13"/>
    <w:multiLevelType w:val="hybridMultilevel"/>
    <w:tmpl w:val="36A4AF4C"/>
    <w:lvl w:ilvl="0" w:tplc="9BF0D566">
      <w:start w:val="1"/>
      <w:numFmt w:val="bullet"/>
      <w:lvlText w:val=""/>
      <w:lvlJc w:val="left"/>
      <w:pPr>
        <w:ind w:left="720" w:hanging="180"/>
      </w:pPr>
      <w:rPr>
        <w:rFonts w:ascii="Symbol" w:hAnsi="Symbol" w:hint="default"/>
      </w:rPr>
    </w:lvl>
    <w:lvl w:ilvl="1" w:tplc="524ECAB4">
      <w:numFmt w:val="decimal"/>
      <w:lvlText w:val=""/>
      <w:lvlJc w:val="left"/>
    </w:lvl>
    <w:lvl w:ilvl="2" w:tplc="E820C5D2">
      <w:numFmt w:val="decimal"/>
      <w:lvlText w:val=""/>
      <w:lvlJc w:val="left"/>
    </w:lvl>
    <w:lvl w:ilvl="3" w:tplc="BCC0C152">
      <w:numFmt w:val="decimal"/>
      <w:lvlText w:val=""/>
      <w:lvlJc w:val="left"/>
    </w:lvl>
    <w:lvl w:ilvl="4" w:tplc="1486C9F6">
      <w:numFmt w:val="decimal"/>
      <w:lvlText w:val=""/>
      <w:lvlJc w:val="left"/>
    </w:lvl>
    <w:lvl w:ilvl="5" w:tplc="5AD8996E">
      <w:numFmt w:val="decimal"/>
      <w:lvlText w:val=""/>
      <w:lvlJc w:val="left"/>
    </w:lvl>
    <w:lvl w:ilvl="6" w:tplc="A28E9302">
      <w:numFmt w:val="decimal"/>
      <w:lvlText w:val=""/>
      <w:lvlJc w:val="left"/>
    </w:lvl>
    <w:lvl w:ilvl="7" w:tplc="5504DE22">
      <w:numFmt w:val="decimal"/>
      <w:lvlText w:val=""/>
      <w:lvlJc w:val="left"/>
    </w:lvl>
    <w:lvl w:ilvl="8" w:tplc="3BEEA990">
      <w:numFmt w:val="decimal"/>
      <w:lvlText w:val=""/>
      <w:lvlJc w:val="left"/>
    </w:lvl>
  </w:abstractNum>
  <w:abstractNum w:abstractNumId="244" w15:restartNumberingAfterBreak="0">
    <w:nsid w:val="1B4F5649"/>
    <w:multiLevelType w:val="hybridMultilevel"/>
    <w:tmpl w:val="F5F685D2"/>
    <w:lvl w:ilvl="0" w:tplc="51B85FC2">
      <w:start w:val="1"/>
      <w:numFmt w:val="bullet"/>
      <w:lvlText w:val=""/>
      <w:lvlJc w:val="left"/>
      <w:pPr>
        <w:ind w:left="720" w:hanging="180"/>
      </w:pPr>
      <w:rPr>
        <w:rFonts w:ascii="Symbol" w:hAnsi="Symbol" w:hint="default"/>
      </w:rPr>
    </w:lvl>
    <w:lvl w:ilvl="1" w:tplc="0F5CBA56">
      <w:numFmt w:val="decimal"/>
      <w:lvlText w:val=""/>
      <w:lvlJc w:val="left"/>
    </w:lvl>
    <w:lvl w:ilvl="2" w:tplc="E5CC4B98">
      <w:numFmt w:val="decimal"/>
      <w:lvlText w:val=""/>
      <w:lvlJc w:val="left"/>
    </w:lvl>
    <w:lvl w:ilvl="3" w:tplc="91ACF23E">
      <w:numFmt w:val="decimal"/>
      <w:lvlText w:val=""/>
      <w:lvlJc w:val="left"/>
    </w:lvl>
    <w:lvl w:ilvl="4" w:tplc="DC2034EE">
      <w:numFmt w:val="decimal"/>
      <w:lvlText w:val=""/>
      <w:lvlJc w:val="left"/>
    </w:lvl>
    <w:lvl w:ilvl="5" w:tplc="EB06DD36">
      <w:numFmt w:val="decimal"/>
      <w:lvlText w:val=""/>
      <w:lvlJc w:val="left"/>
    </w:lvl>
    <w:lvl w:ilvl="6" w:tplc="E9F059A6">
      <w:numFmt w:val="decimal"/>
      <w:lvlText w:val=""/>
      <w:lvlJc w:val="left"/>
    </w:lvl>
    <w:lvl w:ilvl="7" w:tplc="A62C5180">
      <w:numFmt w:val="decimal"/>
      <w:lvlText w:val=""/>
      <w:lvlJc w:val="left"/>
    </w:lvl>
    <w:lvl w:ilvl="8" w:tplc="1C5C4C36">
      <w:numFmt w:val="decimal"/>
      <w:lvlText w:val=""/>
      <w:lvlJc w:val="left"/>
    </w:lvl>
  </w:abstractNum>
  <w:abstractNum w:abstractNumId="245" w15:restartNumberingAfterBreak="0">
    <w:nsid w:val="1B5F4A8F"/>
    <w:multiLevelType w:val="hybridMultilevel"/>
    <w:tmpl w:val="085AE264"/>
    <w:lvl w:ilvl="0" w:tplc="9FDAEE54">
      <w:start w:val="1"/>
      <w:numFmt w:val="bullet"/>
      <w:lvlText w:val=""/>
      <w:lvlJc w:val="left"/>
      <w:pPr>
        <w:ind w:left="720" w:hanging="180"/>
      </w:pPr>
      <w:rPr>
        <w:rFonts w:ascii="Symbol" w:hAnsi="Symbol" w:hint="default"/>
      </w:rPr>
    </w:lvl>
    <w:lvl w:ilvl="1" w:tplc="C0C4B4B0">
      <w:numFmt w:val="decimal"/>
      <w:lvlText w:val=""/>
      <w:lvlJc w:val="left"/>
    </w:lvl>
    <w:lvl w:ilvl="2" w:tplc="68FE567E">
      <w:numFmt w:val="decimal"/>
      <w:lvlText w:val=""/>
      <w:lvlJc w:val="left"/>
    </w:lvl>
    <w:lvl w:ilvl="3" w:tplc="7E88C01E">
      <w:numFmt w:val="decimal"/>
      <w:lvlText w:val=""/>
      <w:lvlJc w:val="left"/>
    </w:lvl>
    <w:lvl w:ilvl="4" w:tplc="D048E08A">
      <w:numFmt w:val="decimal"/>
      <w:lvlText w:val=""/>
      <w:lvlJc w:val="left"/>
    </w:lvl>
    <w:lvl w:ilvl="5" w:tplc="8978680A">
      <w:numFmt w:val="decimal"/>
      <w:lvlText w:val=""/>
      <w:lvlJc w:val="left"/>
    </w:lvl>
    <w:lvl w:ilvl="6" w:tplc="B0F2C7A8">
      <w:numFmt w:val="decimal"/>
      <w:lvlText w:val=""/>
      <w:lvlJc w:val="left"/>
    </w:lvl>
    <w:lvl w:ilvl="7" w:tplc="33001108">
      <w:numFmt w:val="decimal"/>
      <w:lvlText w:val=""/>
      <w:lvlJc w:val="left"/>
    </w:lvl>
    <w:lvl w:ilvl="8" w:tplc="C3D67BFC">
      <w:numFmt w:val="decimal"/>
      <w:lvlText w:val=""/>
      <w:lvlJc w:val="left"/>
    </w:lvl>
  </w:abstractNum>
  <w:abstractNum w:abstractNumId="246" w15:restartNumberingAfterBreak="0">
    <w:nsid w:val="1B747905"/>
    <w:multiLevelType w:val="hybridMultilevel"/>
    <w:tmpl w:val="161470FE"/>
    <w:lvl w:ilvl="0" w:tplc="5DEC8D5A">
      <w:start w:val="1"/>
      <w:numFmt w:val="bullet"/>
      <w:lvlText w:val=""/>
      <w:lvlJc w:val="left"/>
      <w:pPr>
        <w:ind w:left="720" w:hanging="180"/>
      </w:pPr>
      <w:rPr>
        <w:rFonts w:ascii="Symbol" w:hAnsi="Symbol" w:hint="default"/>
      </w:rPr>
    </w:lvl>
    <w:lvl w:ilvl="1" w:tplc="29840CC0">
      <w:numFmt w:val="decimal"/>
      <w:lvlText w:val=""/>
      <w:lvlJc w:val="left"/>
    </w:lvl>
    <w:lvl w:ilvl="2" w:tplc="8C8A233E">
      <w:numFmt w:val="decimal"/>
      <w:lvlText w:val=""/>
      <w:lvlJc w:val="left"/>
    </w:lvl>
    <w:lvl w:ilvl="3" w:tplc="562C3CF4">
      <w:numFmt w:val="decimal"/>
      <w:lvlText w:val=""/>
      <w:lvlJc w:val="left"/>
    </w:lvl>
    <w:lvl w:ilvl="4" w:tplc="CC08E2DA">
      <w:numFmt w:val="decimal"/>
      <w:lvlText w:val=""/>
      <w:lvlJc w:val="left"/>
    </w:lvl>
    <w:lvl w:ilvl="5" w:tplc="66EE5134">
      <w:numFmt w:val="decimal"/>
      <w:lvlText w:val=""/>
      <w:lvlJc w:val="left"/>
    </w:lvl>
    <w:lvl w:ilvl="6" w:tplc="A6188AD2">
      <w:numFmt w:val="decimal"/>
      <w:lvlText w:val=""/>
      <w:lvlJc w:val="left"/>
    </w:lvl>
    <w:lvl w:ilvl="7" w:tplc="14BE0B00">
      <w:numFmt w:val="decimal"/>
      <w:lvlText w:val=""/>
      <w:lvlJc w:val="left"/>
    </w:lvl>
    <w:lvl w:ilvl="8" w:tplc="45CE539C">
      <w:numFmt w:val="decimal"/>
      <w:lvlText w:val=""/>
      <w:lvlJc w:val="left"/>
    </w:lvl>
  </w:abstractNum>
  <w:abstractNum w:abstractNumId="247" w15:restartNumberingAfterBreak="0">
    <w:nsid w:val="1B80219B"/>
    <w:multiLevelType w:val="hybridMultilevel"/>
    <w:tmpl w:val="CF1CF904"/>
    <w:lvl w:ilvl="0" w:tplc="9654839A">
      <w:start w:val="1"/>
      <w:numFmt w:val="bullet"/>
      <w:lvlText w:val=""/>
      <w:lvlJc w:val="left"/>
      <w:pPr>
        <w:ind w:left="720" w:hanging="180"/>
      </w:pPr>
      <w:rPr>
        <w:rFonts w:ascii="Symbol" w:hAnsi="Symbol" w:hint="default"/>
      </w:rPr>
    </w:lvl>
    <w:lvl w:ilvl="1" w:tplc="2AF6A544">
      <w:numFmt w:val="decimal"/>
      <w:lvlText w:val=""/>
      <w:lvlJc w:val="left"/>
    </w:lvl>
    <w:lvl w:ilvl="2" w:tplc="BB9CE99C">
      <w:numFmt w:val="decimal"/>
      <w:lvlText w:val=""/>
      <w:lvlJc w:val="left"/>
    </w:lvl>
    <w:lvl w:ilvl="3" w:tplc="BA7CBE70">
      <w:numFmt w:val="decimal"/>
      <w:lvlText w:val=""/>
      <w:lvlJc w:val="left"/>
    </w:lvl>
    <w:lvl w:ilvl="4" w:tplc="5B9C0C94">
      <w:numFmt w:val="decimal"/>
      <w:lvlText w:val=""/>
      <w:lvlJc w:val="left"/>
    </w:lvl>
    <w:lvl w:ilvl="5" w:tplc="E18EBF9A">
      <w:numFmt w:val="decimal"/>
      <w:lvlText w:val=""/>
      <w:lvlJc w:val="left"/>
    </w:lvl>
    <w:lvl w:ilvl="6" w:tplc="FA38E0F4">
      <w:numFmt w:val="decimal"/>
      <w:lvlText w:val=""/>
      <w:lvlJc w:val="left"/>
    </w:lvl>
    <w:lvl w:ilvl="7" w:tplc="7BE8FA44">
      <w:numFmt w:val="decimal"/>
      <w:lvlText w:val=""/>
      <w:lvlJc w:val="left"/>
    </w:lvl>
    <w:lvl w:ilvl="8" w:tplc="BCA6A8C8">
      <w:numFmt w:val="decimal"/>
      <w:lvlText w:val=""/>
      <w:lvlJc w:val="left"/>
    </w:lvl>
  </w:abstractNum>
  <w:abstractNum w:abstractNumId="248" w15:restartNumberingAfterBreak="0">
    <w:nsid w:val="1BEC6AAB"/>
    <w:multiLevelType w:val="hybridMultilevel"/>
    <w:tmpl w:val="EBB04F2C"/>
    <w:lvl w:ilvl="0" w:tplc="B8541C7A">
      <w:start w:val="1"/>
      <w:numFmt w:val="bullet"/>
      <w:lvlText w:val=""/>
      <w:lvlJc w:val="left"/>
      <w:pPr>
        <w:ind w:left="720" w:hanging="180"/>
      </w:pPr>
      <w:rPr>
        <w:rFonts w:ascii="Symbol" w:hAnsi="Symbol" w:hint="default"/>
      </w:rPr>
    </w:lvl>
    <w:lvl w:ilvl="1" w:tplc="EFBECBA2">
      <w:numFmt w:val="decimal"/>
      <w:lvlText w:val=""/>
      <w:lvlJc w:val="left"/>
    </w:lvl>
    <w:lvl w:ilvl="2" w:tplc="AB66F1D6">
      <w:numFmt w:val="decimal"/>
      <w:lvlText w:val=""/>
      <w:lvlJc w:val="left"/>
    </w:lvl>
    <w:lvl w:ilvl="3" w:tplc="40CC3BE2">
      <w:numFmt w:val="decimal"/>
      <w:lvlText w:val=""/>
      <w:lvlJc w:val="left"/>
    </w:lvl>
    <w:lvl w:ilvl="4" w:tplc="A1B081D0">
      <w:numFmt w:val="decimal"/>
      <w:lvlText w:val=""/>
      <w:lvlJc w:val="left"/>
    </w:lvl>
    <w:lvl w:ilvl="5" w:tplc="97D2C098">
      <w:numFmt w:val="decimal"/>
      <w:lvlText w:val=""/>
      <w:lvlJc w:val="left"/>
    </w:lvl>
    <w:lvl w:ilvl="6" w:tplc="053C470A">
      <w:numFmt w:val="decimal"/>
      <w:lvlText w:val=""/>
      <w:lvlJc w:val="left"/>
    </w:lvl>
    <w:lvl w:ilvl="7" w:tplc="B76EA844">
      <w:numFmt w:val="decimal"/>
      <w:lvlText w:val=""/>
      <w:lvlJc w:val="left"/>
    </w:lvl>
    <w:lvl w:ilvl="8" w:tplc="D75C75CA">
      <w:numFmt w:val="decimal"/>
      <w:lvlText w:val=""/>
      <w:lvlJc w:val="left"/>
    </w:lvl>
  </w:abstractNum>
  <w:abstractNum w:abstractNumId="249" w15:restartNumberingAfterBreak="0">
    <w:nsid w:val="1C1929FD"/>
    <w:multiLevelType w:val="hybridMultilevel"/>
    <w:tmpl w:val="03984E32"/>
    <w:lvl w:ilvl="0" w:tplc="3380094A">
      <w:start w:val="1"/>
      <w:numFmt w:val="bullet"/>
      <w:lvlText w:val=""/>
      <w:lvlJc w:val="left"/>
      <w:pPr>
        <w:ind w:left="720" w:hanging="180"/>
      </w:pPr>
      <w:rPr>
        <w:rFonts w:ascii="Symbol" w:hAnsi="Symbol" w:hint="default"/>
      </w:rPr>
    </w:lvl>
    <w:lvl w:ilvl="1" w:tplc="A3C06716">
      <w:numFmt w:val="decimal"/>
      <w:lvlText w:val=""/>
      <w:lvlJc w:val="left"/>
    </w:lvl>
    <w:lvl w:ilvl="2" w:tplc="58729F0C">
      <w:numFmt w:val="decimal"/>
      <w:lvlText w:val=""/>
      <w:lvlJc w:val="left"/>
    </w:lvl>
    <w:lvl w:ilvl="3" w:tplc="2770484C">
      <w:numFmt w:val="decimal"/>
      <w:lvlText w:val=""/>
      <w:lvlJc w:val="left"/>
    </w:lvl>
    <w:lvl w:ilvl="4" w:tplc="EF4CBF38">
      <w:numFmt w:val="decimal"/>
      <w:lvlText w:val=""/>
      <w:lvlJc w:val="left"/>
    </w:lvl>
    <w:lvl w:ilvl="5" w:tplc="7FCAD3C0">
      <w:numFmt w:val="decimal"/>
      <w:lvlText w:val=""/>
      <w:lvlJc w:val="left"/>
    </w:lvl>
    <w:lvl w:ilvl="6" w:tplc="221A8BBC">
      <w:numFmt w:val="decimal"/>
      <w:lvlText w:val=""/>
      <w:lvlJc w:val="left"/>
    </w:lvl>
    <w:lvl w:ilvl="7" w:tplc="0F9419C8">
      <w:numFmt w:val="decimal"/>
      <w:lvlText w:val=""/>
      <w:lvlJc w:val="left"/>
    </w:lvl>
    <w:lvl w:ilvl="8" w:tplc="906A97AC">
      <w:numFmt w:val="decimal"/>
      <w:lvlText w:val=""/>
      <w:lvlJc w:val="left"/>
    </w:lvl>
  </w:abstractNum>
  <w:abstractNum w:abstractNumId="250" w15:restartNumberingAfterBreak="0">
    <w:nsid w:val="1C1F1017"/>
    <w:multiLevelType w:val="hybridMultilevel"/>
    <w:tmpl w:val="DD5EE748"/>
    <w:lvl w:ilvl="0" w:tplc="59BE2E70">
      <w:start w:val="1"/>
      <w:numFmt w:val="bullet"/>
      <w:lvlText w:val=""/>
      <w:lvlJc w:val="left"/>
      <w:pPr>
        <w:ind w:left="720" w:hanging="180"/>
      </w:pPr>
      <w:rPr>
        <w:rFonts w:ascii="Symbol" w:hAnsi="Symbol" w:hint="default"/>
      </w:rPr>
    </w:lvl>
    <w:lvl w:ilvl="1" w:tplc="0BE6DF7C">
      <w:numFmt w:val="decimal"/>
      <w:lvlText w:val=""/>
      <w:lvlJc w:val="left"/>
    </w:lvl>
    <w:lvl w:ilvl="2" w:tplc="2DC8CBB8">
      <w:numFmt w:val="decimal"/>
      <w:lvlText w:val=""/>
      <w:lvlJc w:val="left"/>
    </w:lvl>
    <w:lvl w:ilvl="3" w:tplc="FEE05A82">
      <w:numFmt w:val="decimal"/>
      <w:lvlText w:val=""/>
      <w:lvlJc w:val="left"/>
    </w:lvl>
    <w:lvl w:ilvl="4" w:tplc="BDB69986">
      <w:numFmt w:val="decimal"/>
      <w:lvlText w:val=""/>
      <w:lvlJc w:val="left"/>
    </w:lvl>
    <w:lvl w:ilvl="5" w:tplc="15FE2A94">
      <w:numFmt w:val="decimal"/>
      <w:lvlText w:val=""/>
      <w:lvlJc w:val="left"/>
    </w:lvl>
    <w:lvl w:ilvl="6" w:tplc="EC68DF48">
      <w:numFmt w:val="decimal"/>
      <w:lvlText w:val=""/>
      <w:lvlJc w:val="left"/>
    </w:lvl>
    <w:lvl w:ilvl="7" w:tplc="472612E0">
      <w:numFmt w:val="decimal"/>
      <w:lvlText w:val=""/>
      <w:lvlJc w:val="left"/>
    </w:lvl>
    <w:lvl w:ilvl="8" w:tplc="7C0C5D60">
      <w:numFmt w:val="decimal"/>
      <w:lvlText w:val=""/>
      <w:lvlJc w:val="left"/>
    </w:lvl>
  </w:abstractNum>
  <w:abstractNum w:abstractNumId="251" w15:restartNumberingAfterBreak="0">
    <w:nsid w:val="1C4130EA"/>
    <w:multiLevelType w:val="hybridMultilevel"/>
    <w:tmpl w:val="96223006"/>
    <w:lvl w:ilvl="0" w:tplc="C57480CE">
      <w:start w:val="1"/>
      <w:numFmt w:val="bullet"/>
      <w:lvlText w:val=""/>
      <w:lvlJc w:val="left"/>
      <w:pPr>
        <w:ind w:left="720" w:hanging="180"/>
      </w:pPr>
      <w:rPr>
        <w:rFonts w:ascii="Symbol" w:hAnsi="Symbol" w:hint="default"/>
      </w:rPr>
    </w:lvl>
    <w:lvl w:ilvl="1" w:tplc="BFD8496E">
      <w:numFmt w:val="decimal"/>
      <w:lvlText w:val=""/>
      <w:lvlJc w:val="left"/>
    </w:lvl>
    <w:lvl w:ilvl="2" w:tplc="8BD60832">
      <w:numFmt w:val="decimal"/>
      <w:lvlText w:val=""/>
      <w:lvlJc w:val="left"/>
    </w:lvl>
    <w:lvl w:ilvl="3" w:tplc="CBA2ACD4">
      <w:numFmt w:val="decimal"/>
      <w:lvlText w:val=""/>
      <w:lvlJc w:val="left"/>
    </w:lvl>
    <w:lvl w:ilvl="4" w:tplc="DFC0818C">
      <w:numFmt w:val="decimal"/>
      <w:lvlText w:val=""/>
      <w:lvlJc w:val="left"/>
    </w:lvl>
    <w:lvl w:ilvl="5" w:tplc="6786F2F2">
      <w:numFmt w:val="decimal"/>
      <w:lvlText w:val=""/>
      <w:lvlJc w:val="left"/>
    </w:lvl>
    <w:lvl w:ilvl="6" w:tplc="F7CE4A5E">
      <w:numFmt w:val="decimal"/>
      <w:lvlText w:val=""/>
      <w:lvlJc w:val="left"/>
    </w:lvl>
    <w:lvl w:ilvl="7" w:tplc="513494AC">
      <w:numFmt w:val="decimal"/>
      <w:lvlText w:val=""/>
      <w:lvlJc w:val="left"/>
    </w:lvl>
    <w:lvl w:ilvl="8" w:tplc="04D6E602">
      <w:numFmt w:val="decimal"/>
      <w:lvlText w:val=""/>
      <w:lvlJc w:val="left"/>
    </w:lvl>
  </w:abstractNum>
  <w:abstractNum w:abstractNumId="252" w15:restartNumberingAfterBreak="0">
    <w:nsid w:val="1C435FFC"/>
    <w:multiLevelType w:val="hybridMultilevel"/>
    <w:tmpl w:val="224AE2D4"/>
    <w:lvl w:ilvl="0" w:tplc="714CE350">
      <w:start w:val="1"/>
      <w:numFmt w:val="bullet"/>
      <w:lvlText w:val=""/>
      <w:lvlJc w:val="left"/>
      <w:pPr>
        <w:ind w:left="720" w:hanging="180"/>
      </w:pPr>
      <w:rPr>
        <w:rFonts w:ascii="Symbol" w:hAnsi="Symbol" w:hint="default"/>
      </w:rPr>
    </w:lvl>
    <w:lvl w:ilvl="1" w:tplc="2EF61C4E">
      <w:numFmt w:val="decimal"/>
      <w:lvlText w:val=""/>
      <w:lvlJc w:val="left"/>
    </w:lvl>
    <w:lvl w:ilvl="2" w:tplc="57FCD38C">
      <w:numFmt w:val="decimal"/>
      <w:lvlText w:val=""/>
      <w:lvlJc w:val="left"/>
    </w:lvl>
    <w:lvl w:ilvl="3" w:tplc="4BFEE65C">
      <w:numFmt w:val="decimal"/>
      <w:lvlText w:val=""/>
      <w:lvlJc w:val="left"/>
    </w:lvl>
    <w:lvl w:ilvl="4" w:tplc="196CC3F8">
      <w:numFmt w:val="decimal"/>
      <w:lvlText w:val=""/>
      <w:lvlJc w:val="left"/>
    </w:lvl>
    <w:lvl w:ilvl="5" w:tplc="920204D2">
      <w:numFmt w:val="decimal"/>
      <w:lvlText w:val=""/>
      <w:lvlJc w:val="left"/>
    </w:lvl>
    <w:lvl w:ilvl="6" w:tplc="27B0CEF8">
      <w:numFmt w:val="decimal"/>
      <w:lvlText w:val=""/>
      <w:lvlJc w:val="left"/>
    </w:lvl>
    <w:lvl w:ilvl="7" w:tplc="7F0C5494">
      <w:numFmt w:val="decimal"/>
      <w:lvlText w:val=""/>
      <w:lvlJc w:val="left"/>
    </w:lvl>
    <w:lvl w:ilvl="8" w:tplc="2CA635E8">
      <w:numFmt w:val="decimal"/>
      <w:lvlText w:val=""/>
      <w:lvlJc w:val="left"/>
    </w:lvl>
  </w:abstractNum>
  <w:abstractNum w:abstractNumId="253" w15:restartNumberingAfterBreak="0">
    <w:nsid w:val="1C48277F"/>
    <w:multiLevelType w:val="hybridMultilevel"/>
    <w:tmpl w:val="BE648A62"/>
    <w:lvl w:ilvl="0" w:tplc="60BEAF44">
      <w:start w:val="1"/>
      <w:numFmt w:val="bullet"/>
      <w:lvlText w:val=""/>
      <w:lvlJc w:val="left"/>
      <w:pPr>
        <w:ind w:left="720" w:hanging="180"/>
      </w:pPr>
      <w:rPr>
        <w:rFonts w:ascii="Symbol" w:hAnsi="Symbol" w:hint="default"/>
      </w:rPr>
    </w:lvl>
    <w:lvl w:ilvl="1" w:tplc="3AB80D6A">
      <w:numFmt w:val="decimal"/>
      <w:lvlText w:val=""/>
      <w:lvlJc w:val="left"/>
    </w:lvl>
    <w:lvl w:ilvl="2" w:tplc="D602BA5A">
      <w:numFmt w:val="decimal"/>
      <w:lvlText w:val=""/>
      <w:lvlJc w:val="left"/>
    </w:lvl>
    <w:lvl w:ilvl="3" w:tplc="7FC412C8">
      <w:numFmt w:val="decimal"/>
      <w:lvlText w:val=""/>
      <w:lvlJc w:val="left"/>
    </w:lvl>
    <w:lvl w:ilvl="4" w:tplc="069C1052">
      <w:numFmt w:val="decimal"/>
      <w:lvlText w:val=""/>
      <w:lvlJc w:val="left"/>
    </w:lvl>
    <w:lvl w:ilvl="5" w:tplc="6C464D7A">
      <w:numFmt w:val="decimal"/>
      <w:lvlText w:val=""/>
      <w:lvlJc w:val="left"/>
    </w:lvl>
    <w:lvl w:ilvl="6" w:tplc="B4AA4FD8">
      <w:numFmt w:val="decimal"/>
      <w:lvlText w:val=""/>
      <w:lvlJc w:val="left"/>
    </w:lvl>
    <w:lvl w:ilvl="7" w:tplc="AC26CFEE">
      <w:numFmt w:val="decimal"/>
      <w:lvlText w:val=""/>
      <w:lvlJc w:val="left"/>
    </w:lvl>
    <w:lvl w:ilvl="8" w:tplc="8DD8428C">
      <w:numFmt w:val="decimal"/>
      <w:lvlText w:val=""/>
      <w:lvlJc w:val="left"/>
    </w:lvl>
  </w:abstractNum>
  <w:abstractNum w:abstractNumId="254" w15:restartNumberingAfterBreak="0">
    <w:nsid w:val="1C937CB0"/>
    <w:multiLevelType w:val="hybridMultilevel"/>
    <w:tmpl w:val="9F261B6A"/>
    <w:lvl w:ilvl="0" w:tplc="FBBE58F8">
      <w:start w:val="1"/>
      <w:numFmt w:val="bullet"/>
      <w:lvlText w:val=""/>
      <w:lvlJc w:val="left"/>
      <w:pPr>
        <w:ind w:left="720" w:hanging="180"/>
      </w:pPr>
      <w:rPr>
        <w:rFonts w:ascii="Symbol" w:hAnsi="Symbol" w:hint="default"/>
      </w:rPr>
    </w:lvl>
    <w:lvl w:ilvl="1" w:tplc="AB627348">
      <w:numFmt w:val="decimal"/>
      <w:lvlText w:val=""/>
      <w:lvlJc w:val="left"/>
    </w:lvl>
    <w:lvl w:ilvl="2" w:tplc="EBDCFA78">
      <w:numFmt w:val="decimal"/>
      <w:lvlText w:val=""/>
      <w:lvlJc w:val="left"/>
    </w:lvl>
    <w:lvl w:ilvl="3" w:tplc="6C3CB658">
      <w:numFmt w:val="decimal"/>
      <w:lvlText w:val=""/>
      <w:lvlJc w:val="left"/>
    </w:lvl>
    <w:lvl w:ilvl="4" w:tplc="F5FEA74A">
      <w:numFmt w:val="decimal"/>
      <w:lvlText w:val=""/>
      <w:lvlJc w:val="left"/>
    </w:lvl>
    <w:lvl w:ilvl="5" w:tplc="4DA2BA60">
      <w:numFmt w:val="decimal"/>
      <w:lvlText w:val=""/>
      <w:lvlJc w:val="left"/>
    </w:lvl>
    <w:lvl w:ilvl="6" w:tplc="63841780">
      <w:numFmt w:val="decimal"/>
      <w:lvlText w:val=""/>
      <w:lvlJc w:val="left"/>
    </w:lvl>
    <w:lvl w:ilvl="7" w:tplc="D75ECA32">
      <w:numFmt w:val="decimal"/>
      <w:lvlText w:val=""/>
      <w:lvlJc w:val="left"/>
    </w:lvl>
    <w:lvl w:ilvl="8" w:tplc="6F324150">
      <w:numFmt w:val="decimal"/>
      <w:lvlText w:val=""/>
      <w:lvlJc w:val="left"/>
    </w:lvl>
  </w:abstractNum>
  <w:abstractNum w:abstractNumId="255" w15:restartNumberingAfterBreak="0">
    <w:nsid w:val="1C9C3F24"/>
    <w:multiLevelType w:val="hybridMultilevel"/>
    <w:tmpl w:val="2AE026D2"/>
    <w:lvl w:ilvl="0" w:tplc="97EE1DC0">
      <w:start w:val="1"/>
      <w:numFmt w:val="bullet"/>
      <w:lvlText w:val=""/>
      <w:lvlJc w:val="left"/>
      <w:pPr>
        <w:ind w:left="720" w:hanging="180"/>
      </w:pPr>
      <w:rPr>
        <w:rFonts w:ascii="Symbol" w:hAnsi="Symbol" w:hint="default"/>
      </w:rPr>
    </w:lvl>
    <w:lvl w:ilvl="1" w:tplc="ACC80CFC">
      <w:numFmt w:val="decimal"/>
      <w:lvlText w:val=""/>
      <w:lvlJc w:val="left"/>
    </w:lvl>
    <w:lvl w:ilvl="2" w:tplc="962C8D14">
      <w:numFmt w:val="decimal"/>
      <w:lvlText w:val=""/>
      <w:lvlJc w:val="left"/>
    </w:lvl>
    <w:lvl w:ilvl="3" w:tplc="B3D444E0">
      <w:numFmt w:val="decimal"/>
      <w:lvlText w:val=""/>
      <w:lvlJc w:val="left"/>
    </w:lvl>
    <w:lvl w:ilvl="4" w:tplc="B7D4AFAA">
      <w:numFmt w:val="decimal"/>
      <w:lvlText w:val=""/>
      <w:lvlJc w:val="left"/>
    </w:lvl>
    <w:lvl w:ilvl="5" w:tplc="A3183708">
      <w:numFmt w:val="decimal"/>
      <w:lvlText w:val=""/>
      <w:lvlJc w:val="left"/>
    </w:lvl>
    <w:lvl w:ilvl="6" w:tplc="995CE0B4">
      <w:numFmt w:val="decimal"/>
      <w:lvlText w:val=""/>
      <w:lvlJc w:val="left"/>
    </w:lvl>
    <w:lvl w:ilvl="7" w:tplc="1BA86456">
      <w:numFmt w:val="decimal"/>
      <w:lvlText w:val=""/>
      <w:lvlJc w:val="left"/>
    </w:lvl>
    <w:lvl w:ilvl="8" w:tplc="B28632F8">
      <w:numFmt w:val="decimal"/>
      <w:lvlText w:val=""/>
      <w:lvlJc w:val="left"/>
    </w:lvl>
  </w:abstractNum>
  <w:abstractNum w:abstractNumId="256" w15:restartNumberingAfterBreak="0">
    <w:nsid w:val="1CDF4F0F"/>
    <w:multiLevelType w:val="hybridMultilevel"/>
    <w:tmpl w:val="69208042"/>
    <w:lvl w:ilvl="0" w:tplc="F1F4E204">
      <w:start w:val="1"/>
      <w:numFmt w:val="bullet"/>
      <w:lvlText w:val=""/>
      <w:lvlJc w:val="left"/>
      <w:pPr>
        <w:ind w:left="720" w:hanging="180"/>
      </w:pPr>
      <w:rPr>
        <w:rFonts w:ascii="Symbol" w:hAnsi="Symbol" w:hint="default"/>
      </w:rPr>
    </w:lvl>
    <w:lvl w:ilvl="1" w:tplc="69704AF0">
      <w:numFmt w:val="decimal"/>
      <w:lvlText w:val=""/>
      <w:lvlJc w:val="left"/>
    </w:lvl>
    <w:lvl w:ilvl="2" w:tplc="557E24AE">
      <w:numFmt w:val="decimal"/>
      <w:lvlText w:val=""/>
      <w:lvlJc w:val="left"/>
    </w:lvl>
    <w:lvl w:ilvl="3" w:tplc="A6D60CFE">
      <w:numFmt w:val="decimal"/>
      <w:lvlText w:val=""/>
      <w:lvlJc w:val="left"/>
    </w:lvl>
    <w:lvl w:ilvl="4" w:tplc="C616EF0A">
      <w:numFmt w:val="decimal"/>
      <w:lvlText w:val=""/>
      <w:lvlJc w:val="left"/>
    </w:lvl>
    <w:lvl w:ilvl="5" w:tplc="173CB222">
      <w:numFmt w:val="decimal"/>
      <w:lvlText w:val=""/>
      <w:lvlJc w:val="left"/>
    </w:lvl>
    <w:lvl w:ilvl="6" w:tplc="48487AF8">
      <w:numFmt w:val="decimal"/>
      <w:lvlText w:val=""/>
      <w:lvlJc w:val="left"/>
    </w:lvl>
    <w:lvl w:ilvl="7" w:tplc="E4984D56">
      <w:numFmt w:val="decimal"/>
      <w:lvlText w:val=""/>
      <w:lvlJc w:val="left"/>
    </w:lvl>
    <w:lvl w:ilvl="8" w:tplc="763EA4E8">
      <w:numFmt w:val="decimal"/>
      <w:lvlText w:val=""/>
      <w:lvlJc w:val="left"/>
    </w:lvl>
  </w:abstractNum>
  <w:abstractNum w:abstractNumId="257" w15:restartNumberingAfterBreak="0">
    <w:nsid w:val="1CEE0854"/>
    <w:multiLevelType w:val="hybridMultilevel"/>
    <w:tmpl w:val="6F4AE0E0"/>
    <w:lvl w:ilvl="0" w:tplc="8688A40C">
      <w:start w:val="1"/>
      <w:numFmt w:val="bullet"/>
      <w:lvlText w:val=""/>
      <w:lvlJc w:val="left"/>
      <w:pPr>
        <w:ind w:left="720" w:hanging="180"/>
      </w:pPr>
      <w:rPr>
        <w:rFonts w:ascii="Symbol" w:hAnsi="Symbol" w:hint="default"/>
      </w:rPr>
    </w:lvl>
    <w:lvl w:ilvl="1" w:tplc="FA4A998E">
      <w:numFmt w:val="decimal"/>
      <w:lvlText w:val=""/>
      <w:lvlJc w:val="left"/>
    </w:lvl>
    <w:lvl w:ilvl="2" w:tplc="6FB2661E">
      <w:numFmt w:val="decimal"/>
      <w:lvlText w:val=""/>
      <w:lvlJc w:val="left"/>
    </w:lvl>
    <w:lvl w:ilvl="3" w:tplc="26CCC100">
      <w:numFmt w:val="decimal"/>
      <w:lvlText w:val=""/>
      <w:lvlJc w:val="left"/>
    </w:lvl>
    <w:lvl w:ilvl="4" w:tplc="B5C268DE">
      <w:numFmt w:val="decimal"/>
      <w:lvlText w:val=""/>
      <w:lvlJc w:val="left"/>
    </w:lvl>
    <w:lvl w:ilvl="5" w:tplc="83FCE19C">
      <w:numFmt w:val="decimal"/>
      <w:lvlText w:val=""/>
      <w:lvlJc w:val="left"/>
    </w:lvl>
    <w:lvl w:ilvl="6" w:tplc="D88896AA">
      <w:numFmt w:val="decimal"/>
      <w:lvlText w:val=""/>
      <w:lvlJc w:val="left"/>
    </w:lvl>
    <w:lvl w:ilvl="7" w:tplc="9FB8055E">
      <w:numFmt w:val="decimal"/>
      <w:lvlText w:val=""/>
      <w:lvlJc w:val="left"/>
    </w:lvl>
    <w:lvl w:ilvl="8" w:tplc="6818DAB4">
      <w:numFmt w:val="decimal"/>
      <w:lvlText w:val=""/>
      <w:lvlJc w:val="left"/>
    </w:lvl>
  </w:abstractNum>
  <w:abstractNum w:abstractNumId="258" w15:restartNumberingAfterBreak="0">
    <w:nsid w:val="1D0E4BDA"/>
    <w:multiLevelType w:val="hybridMultilevel"/>
    <w:tmpl w:val="6CCE99F4"/>
    <w:lvl w:ilvl="0" w:tplc="D24890C2">
      <w:start w:val="1"/>
      <w:numFmt w:val="bullet"/>
      <w:lvlText w:val=""/>
      <w:lvlJc w:val="left"/>
      <w:pPr>
        <w:ind w:left="720" w:hanging="180"/>
      </w:pPr>
      <w:rPr>
        <w:rFonts w:ascii="Symbol" w:hAnsi="Symbol" w:hint="default"/>
      </w:rPr>
    </w:lvl>
    <w:lvl w:ilvl="1" w:tplc="D21AF08E">
      <w:numFmt w:val="decimal"/>
      <w:lvlText w:val=""/>
      <w:lvlJc w:val="left"/>
    </w:lvl>
    <w:lvl w:ilvl="2" w:tplc="F9087066">
      <w:numFmt w:val="decimal"/>
      <w:lvlText w:val=""/>
      <w:lvlJc w:val="left"/>
    </w:lvl>
    <w:lvl w:ilvl="3" w:tplc="5AF86C82">
      <w:numFmt w:val="decimal"/>
      <w:lvlText w:val=""/>
      <w:lvlJc w:val="left"/>
    </w:lvl>
    <w:lvl w:ilvl="4" w:tplc="362A6010">
      <w:numFmt w:val="decimal"/>
      <w:lvlText w:val=""/>
      <w:lvlJc w:val="left"/>
    </w:lvl>
    <w:lvl w:ilvl="5" w:tplc="D8327694">
      <w:numFmt w:val="decimal"/>
      <w:lvlText w:val=""/>
      <w:lvlJc w:val="left"/>
    </w:lvl>
    <w:lvl w:ilvl="6" w:tplc="7A36CA20">
      <w:numFmt w:val="decimal"/>
      <w:lvlText w:val=""/>
      <w:lvlJc w:val="left"/>
    </w:lvl>
    <w:lvl w:ilvl="7" w:tplc="EC52AC14">
      <w:numFmt w:val="decimal"/>
      <w:lvlText w:val=""/>
      <w:lvlJc w:val="left"/>
    </w:lvl>
    <w:lvl w:ilvl="8" w:tplc="27462E86">
      <w:numFmt w:val="decimal"/>
      <w:lvlText w:val=""/>
      <w:lvlJc w:val="left"/>
    </w:lvl>
  </w:abstractNum>
  <w:abstractNum w:abstractNumId="259" w15:restartNumberingAfterBreak="0">
    <w:nsid w:val="1D2B20CB"/>
    <w:multiLevelType w:val="hybridMultilevel"/>
    <w:tmpl w:val="7D4C3CB6"/>
    <w:lvl w:ilvl="0" w:tplc="789A10DC">
      <w:start w:val="1"/>
      <w:numFmt w:val="bullet"/>
      <w:lvlText w:val=""/>
      <w:lvlJc w:val="left"/>
      <w:pPr>
        <w:ind w:left="720" w:hanging="180"/>
      </w:pPr>
      <w:rPr>
        <w:rFonts w:ascii="Symbol" w:hAnsi="Symbol" w:hint="default"/>
      </w:rPr>
    </w:lvl>
    <w:lvl w:ilvl="1" w:tplc="2224093C">
      <w:numFmt w:val="decimal"/>
      <w:lvlText w:val=""/>
      <w:lvlJc w:val="left"/>
    </w:lvl>
    <w:lvl w:ilvl="2" w:tplc="A9A242BA">
      <w:numFmt w:val="decimal"/>
      <w:lvlText w:val=""/>
      <w:lvlJc w:val="left"/>
    </w:lvl>
    <w:lvl w:ilvl="3" w:tplc="69F8C2C2">
      <w:numFmt w:val="decimal"/>
      <w:lvlText w:val=""/>
      <w:lvlJc w:val="left"/>
    </w:lvl>
    <w:lvl w:ilvl="4" w:tplc="2FD41C78">
      <w:numFmt w:val="decimal"/>
      <w:lvlText w:val=""/>
      <w:lvlJc w:val="left"/>
    </w:lvl>
    <w:lvl w:ilvl="5" w:tplc="A838E818">
      <w:numFmt w:val="decimal"/>
      <w:lvlText w:val=""/>
      <w:lvlJc w:val="left"/>
    </w:lvl>
    <w:lvl w:ilvl="6" w:tplc="8BF0010E">
      <w:numFmt w:val="decimal"/>
      <w:lvlText w:val=""/>
      <w:lvlJc w:val="left"/>
    </w:lvl>
    <w:lvl w:ilvl="7" w:tplc="EA5C5AE6">
      <w:numFmt w:val="decimal"/>
      <w:lvlText w:val=""/>
      <w:lvlJc w:val="left"/>
    </w:lvl>
    <w:lvl w:ilvl="8" w:tplc="99B2AEB4">
      <w:numFmt w:val="decimal"/>
      <w:lvlText w:val=""/>
      <w:lvlJc w:val="left"/>
    </w:lvl>
  </w:abstractNum>
  <w:abstractNum w:abstractNumId="260" w15:restartNumberingAfterBreak="0">
    <w:nsid w:val="1D6D0EEC"/>
    <w:multiLevelType w:val="hybridMultilevel"/>
    <w:tmpl w:val="6F0A5FC6"/>
    <w:lvl w:ilvl="0" w:tplc="C30E776A">
      <w:start w:val="1"/>
      <w:numFmt w:val="bullet"/>
      <w:lvlText w:val=""/>
      <w:lvlJc w:val="left"/>
      <w:pPr>
        <w:ind w:left="720" w:hanging="180"/>
      </w:pPr>
      <w:rPr>
        <w:rFonts w:ascii="Symbol" w:hAnsi="Symbol" w:hint="default"/>
      </w:rPr>
    </w:lvl>
    <w:lvl w:ilvl="1" w:tplc="C1742F7C">
      <w:numFmt w:val="decimal"/>
      <w:lvlText w:val=""/>
      <w:lvlJc w:val="left"/>
    </w:lvl>
    <w:lvl w:ilvl="2" w:tplc="33FA5340">
      <w:numFmt w:val="decimal"/>
      <w:lvlText w:val=""/>
      <w:lvlJc w:val="left"/>
    </w:lvl>
    <w:lvl w:ilvl="3" w:tplc="24309BCC">
      <w:numFmt w:val="decimal"/>
      <w:lvlText w:val=""/>
      <w:lvlJc w:val="left"/>
    </w:lvl>
    <w:lvl w:ilvl="4" w:tplc="59CAEBC0">
      <w:numFmt w:val="decimal"/>
      <w:lvlText w:val=""/>
      <w:lvlJc w:val="left"/>
    </w:lvl>
    <w:lvl w:ilvl="5" w:tplc="ACBA11F6">
      <w:numFmt w:val="decimal"/>
      <w:lvlText w:val=""/>
      <w:lvlJc w:val="left"/>
    </w:lvl>
    <w:lvl w:ilvl="6" w:tplc="90BAD7D6">
      <w:numFmt w:val="decimal"/>
      <w:lvlText w:val=""/>
      <w:lvlJc w:val="left"/>
    </w:lvl>
    <w:lvl w:ilvl="7" w:tplc="EA9AC5F8">
      <w:numFmt w:val="decimal"/>
      <w:lvlText w:val=""/>
      <w:lvlJc w:val="left"/>
    </w:lvl>
    <w:lvl w:ilvl="8" w:tplc="3454E7D8">
      <w:numFmt w:val="decimal"/>
      <w:lvlText w:val=""/>
      <w:lvlJc w:val="left"/>
    </w:lvl>
  </w:abstractNum>
  <w:abstractNum w:abstractNumId="261" w15:restartNumberingAfterBreak="0">
    <w:nsid w:val="1D742E2C"/>
    <w:multiLevelType w:val="hybridMultilevel"/>
    <w:tmpl w:val="0E6E1066"/>
    <w:lvl w:ilvl="0" w:tplc="8E1EA780">
      <w:start w:val="1"/>
      <w:numFmt w:val="bullet"/>
      <w:lvlText w:val=""/>
      <w:lvlJc w:val="left"/>
      <w:pPr>
        <w:ind w:left="720" w:hanging="180"/>
      </w:pPr>
      <w:rPr>
        <w:rFonts w:ascii="Symbol" w:hAnsi="Symbol" w:hint="default"/>
      </w:rPr>
    </w:lvl>
    <w:lvl w:ilvl="1" w:tplc="77FC9304">
      <w:numFmt w:val="decimal"/>
      <w:lvlText w:val=""/>
      <w:lvlJc w:val="left"/>
    </w:lvl>
    <w:lvl w:ilvl="2" w:tplc="771C0BDA">
      <w:numFmt w:val="decimal"/>
      <w:lvlText w:val=""/>
      <w:lvlJc w:val="left"/>
    </w:lvl>
    <w:lvl w:ilvl="3" w:tplc="05947624">
      <w:numFmt w:val="decimal"/>
      <w:lvlText w:val=""/>
      <w:lvlJc w:val="left"/>
    </w:lvl>
    <w:lvl w:ilvl="4" w:tplc="A4E43CF0">
      <w:numFmt w:val="decimal"/>
      <w:lvlText w:val=""/>
      <w:lvlJc w:val="left"/>
    </w:lvl>
    <w:lvl w:ilvl="5" w:tplc="33E68E74">
      <w:numFmt w:val="decimal"/>
      <w:lvlText w:val=""/>
      <w:lvlJc w:val="left"/>
    </w:lvl>
    <w:lvl w:ilvl="6" w:tplc="6218B418">
      <w:numFmt w:val="decimal"/>
      <w:lvlText w:val=""/>
      <w:lvlJc w:val="left"/>
    </w:lvl>
    <w:lvl w:ilvl="7" w:tplc="6B7ABD30">
      <w:numFmt w:val="decimal"/>
      <w:lvlText w:val=""/>
      <w:lvlJc w:val="left"/>
    </w:lvl>
    <w:lvl w:ilvl="8" w:tplc="86B6902A">
      <w:numFmt w:val="decimal"/>
      <w:lvlText w:val=""/>
      <w:lvlJc w:val="left"/>
    </w:lvl>
  </w:abstractNum>
  <w:abstractNum w:abstractNumId="262" w15:restartNumberingAfterBreak="0">
    <w:nsid w:val="1D7841DA"/>
    <w:multiLevelType w:val="hybridMultilevel"/>
    <w:tmpl w:val="2116C4D0"/>
    <w:lvl w:ilvl="0" w:tplc="01485FEC">
      <w:start w:val="1"/>
      <w:numFmt w:val="bullet"/>
      <w:lvlText w:val=""/>
      <w:lvlJc w:val="left"/>
      <w:pPr>
        <w:ind w:left="720" w:hanging="180"/>
      </w:pPr>
      <w:rPr>
        <w:rFonts w:ascii="Symbol" w:hAnsi="Symbol" w:hint="default"/>
      </w:rPr>
    </w:lvl>
    <w:lvl w:ilvl="1" w:tplc="4DDECEB0">
      <w:numFmt w:val="decimal"/>
      <w:lvlText w:val=""/>
      <w:lvlJc w:val="left"/>
    </w:lvl>
    <w:lvl w:ilvl="2" w:tplc="C82CE0E2">
      <w:numFmt w:val="decimal"/>
      <w:lvlText w:val=""/>
      <w:lvlJc w:val="left"/>
    </w:lvl>
    <w:lvl w:ilvl="3" w:tplc="02EA0E44">
      <w:numFmt w:val="decimal"/>
      <w:lvlText w:val=""/>
      <w:lvlJc w:val="left"/>
    </w:lvl>
    <w:lvl w:ilvl="4" w:tplc="BAFE42D6">
      <w:numFmt w:val="decimal"/>
      <w:lvlText w:val=""/>
      <w:lvlJc w:val="left"/>
    </w:lvl>
    <w:lvl w:ilvl="5" w:tplc="78B4184A">
      <w:numFmt w:val="decimal"/>
      <w:lvlText w:val=""/>
      <w:lvlJc w:val="left"/>
    </w:lvl>
    <w:lvl w:ilvl="6" w:tplc="29E6A8D0">
      <w:numFmt w:val="decimal"/>
      <w:lvlText w:val=""/>
      <w:lvlJc w:val="left"/>
    </w:lvl>
    <w:lvl w:ilvl="7" w:tplc="C2C46A44">
      <w:numFmt w:val="decimal"/>
      <w:lvlText w:val=""/>
      <w:lvlJc w:val="left"/>
    </w:lvl>
    <w:lvl w:ilvl="8" w:tplc="1FA8E884">
      <w:numFmt w:val="decimal"/>
      <w:lvlText w:val=""/>
      <w:lvlJc w:val="left"/>
    </w:lvl>
  </w:abstractNum>
  <w:abstractNum w:abstractNumId="263" w15:restartNumberingAfterBreak="0">
    <w:nsid w:val="1D7A1681"/>
    <w:multiLevelType w:val="hybridMultilevel"/>
    <w:tmpl w:val="15582C2A"/>
    <w:lvl w:ilvl="0" w:tplc="9A30C7E4">
      <w:start w:val="1"/>
      <w:numFmt w:val="bullet"/>
      <w:lvlText w:val=""/>
      <w:lvlJc w:val="left"/>
      <w:pPr>
        <w:ind w:left="720" w:hanging="180"/>
      </w:pPr>
      <w:rPr>
        <w:rFonts w:ascii="Symbol" w:hAnsi="Symbol" w:hint="default"/>
      </w:rPr>
    </w:lvl>
    <w:lvl w:ilvl="1" w:tplc="122A4ECE">
      <w:numFmt w:val="decimal"/>
      <w:lvlText w:val=""/>
      <w:lvlJc w:val="left"/>
    </w:lvl>
    <w:lvl w:ilvl="2" w:tplc="98A6A040">
      <w:numFmt w:val="decimal"/>
      <w:lvlText w:val=""/>
      <w:lvlJc w:val="left"/>
    </w:lvl>
    <w:lvl w:ilvl="3" w:tplc="67F237B8">
      <w:numFmt w:val="decimal"/>
      <w:lvlText w:val=""/>
      <w:lvlJc w:val="left"/>
    </w:lvl>
    <w:lvl w:ilvl="4" w:tplc="02000974">
      <w:numFmt w:val="decimal"/>
      <w:lvlText w:val=""/>
      <w:lvlJc w:val="left"/>
    </w:lvl>
    <w:lvl w:ilvl="5" w:tplc="0A40BBB8">
      <w:numFmt w:val="decimal"/>
      <w:lvlText w:val=""/>
      <w:lvlJc w:val="left"/>
    </w:lvl>
    <w:lvl w:ilvl="6" w:tplc="1FF4473E">
      <w:numFmt w:val="decimal"/>
      <w:lvlText w:val=""/>
      <w:lvlJc w:val="left"/>
    </w:lvl>
    <w:lvl w:ilvl="7" w:tplc="9AA8C26E">
      <w:numFmt w:val="decimal"/>
      <w:lvlText w:val=""/>
      <w:lvlJc w:val="left"/>
    </w:lvl>
    <w:lvl w:ilvl="8" w:tplc="B1326668">
      <w:numFmt w:val="decimal"/>
      <w:lvlText w:val=""/>
      <w:lvlJc w:val="left"/>
    </w:lvl>
  </w:abstractNum>
  <w:abstractNum w:abstractNumId="264" w15:restartNumberingAfterBreak="0">
    <w:nsid w:val="1D7D0B28"/>
    <w:multiLevelType w:val="hybridMultilevel"/>
    <w:tmpl w:val="57CA4738"/>
    <w:lvl w:ilvl="0" w:tplc="C12A0AF8">
      <w:start w:val="1"/>
      <w:numFmt w:val="bullet"/>
      <w:lvlText w:val=""/>
      <w:lvlJc w:val="left"/>
      <w:pPr>
        <w:ind w:left="720" w:hanging="180"/>
      </w:pPr>
      <w:rPr>
        <w:rFonts w:ascii="Symbol" w:hAnsi="Symbol" w:hint="default"/>
      </w:rPr>
    </w:lvl>
    <w:lvl w:ilvl="1" w:tplc="3A8C8A8E">
      <w:numFmt w:val="decimal"/>
      <w:lvlText w:val=""/>
      <w:lvlJc w:val="left"/>
    </w:lvl>
    <w:lvl w:ilvl="2" w:tplc="E4949164">
      <w:numFmt w:val="decimal"/>
      <w:lvlText w:val=""/>
      <w:lvlJc w:val="left"/>
    </w:lvl>
    <w:lvl w:ilvl="3" w:tplc="2DDA63FA">
      <w:numFmt w:val="decimal"/>
      <w:lvlText w:val=""/>
      <w:lvlJc w:val="left"/>
    </w:lvl>
    <w:lvl w:ilvl="4" w:tplc="FAEE069C">
      <w:numFmt w:val="decimal"/>
      <w:lvlText w:val=""/>
      <w:lvlJc w:val="left"/>
    </w:lvl>
    <w:lvl w:ilvl="5" w:tplc="C98CB274">
      <w:numFmt w:val="decimal"/>
      <w:lvlText w:val=""/>
      <w:lvlJc w:val="left"/>
    </w:lvl>
    <w:lvl w:ilvl="6" w:tplc="7A2EACCA">
      <w:numFmt w:val="decimal"/>
      <w:lvlText w:val=""/>
      <w:lvlJc w:val="left"/>
    </w:lvl>
    <w:lvl w:ilvl="7" w:tplc="3E3AAE0E">
      <w:numFmt w:val="decimal"/>
      <w:lvlText w:val=""/>
      <w:lvlJc w:val="left"/>
    </w:lvl>
    <w:lvl w:ilvl="8" w:tplc="C9822466">
      <w:numFmt w:val="decimal"/>
      <w:lvlText w:val=""/>
      <w:lvlJc w:val="left"/>
    </w:lvl>
  </w:abstractNum>
  <w:abstractNum w:abstractNumId="265" w15:restartNumberingAfterBreak="0">
    <w:nsid w:val="1D8111B6"/>
    <w:multiLevelType w:val="hybridMultilevel"/>
    <w:tmpl w:val="6A6E597C"/>
    <w:lvl w:ilvl="0" w:tplc="4DEE2B4A">
      <w:start w:val="1"/>
      <w:numFmt w:val="bullet"/>
      <w:lvlText w:val=""/>
      <w:lvlJc w:val="left"/>
      <w:pPr>
        <w:ind w:left="720" w:hanging="180"/>
      </w:pPr>
      <w:rPr>
        <w:rFonts w:ascii="Symbol" w:hAnsi="Symbol" w:hint="default"/>
      </w:rPr>
    </w:lvl>
    <w:lvl w:ilvl="1" w:tplc="3DD21B46">
      <w:numFmt w:val="decimal"/>
      <w:lvlText w:val=""/>
      <w:lvlJc w:val="left"/>
    </w:lvl>
    <w:lvl w:ilvl="2" w:tplc="B526E656">
      <w:numFmt w:val="decimal"/>
      <w:lvlText w:val=""/>
      <w:lvlJc w:val="left"/>
    </w:lvl>
    <w:lvl w:ilvl="3" w:tplc="24900836">
      <w:numFmt w:val="decimal"/>
      <w:lvlText w:val=""/>
      <w:lvlJc w:val="left"/>
    </w:lvl>
    <w:lvl w:ilvl="4" w:tplc="4C526ADC">
      <w:numFmt w:val="decimal"/>
      <w:lvlText w:val=""/>
      <w:lvlJc w:val="left"/>
    </w:lvl>
    <w:lvl w:ilvl="5" w:tplc="08C6172E">
      <w:numFmt w:val="decimal"/>
      <w:lvlText w:val=""/>
      <w:lvlJc w:val="left"/>
    </w:lvl>
    <w:lvl w:ilvl="6" w:tplc="BE58CE10">
      <w:numFmt w:val="decimal"/>
      <w:lvlText w:val=""/>
      <w:lvlJc w:val="left"/>
    </w:lvl>
    <w:lvl w:ilvl="7" w:tplc="DCC4E504">
      <w:numFmt w:val="decimal"/>
      <w:lvlText w:val=""/>
      <w:lvlJc w:val="left"/>
    </w:lvl>
    <w:lvl w:ilvl="8" w:tplc="8B2A2FAE">
      <w:numFmt w:val="decimal"/>
      <w:lvlText w:val=""/>
      <w:lvlJc w:val="left"/>
    </w:lvl>
  </w:abstractNum>
  <w:abstractNum w:abstractNumId="266" w15:restartNumberingAfterBreak="0">
    <w:nsid w:val="1D8650D0"/>
    <w:multiLevelType w:val="hybridMultilevel"/>
    <w:tmpl w:val="0F881546"/>
    <w:lvl w:ilvl="0" w:tplc="6B482690">
      <w:numFmt w:val="decimal"/>
      <w:lvlText w:val=""/>
      <w:lvlJc w:val="left"/>
    </w:lvl>
    <w:lvl w:ilvl="1" w:tplc="D4AA081C">
      <w:start w:val="1"/>
      <w:numFmt w:val="bullet"/>
      <w:lvlText w:val=""/>
      <w:lvlJc w:val="left"/>
      <w:pPr>
        <w:ind w:left="1440" w:hanging="180"/>
      </w:pPr>
      <w:rPr>
        <w:rFonts w:ascii="Symbol" w:hAnsi="Symbol" w:hint="default"/>
      </w:rPr>
    </w:lvl>
    <w:lvl w:ilvl="2" w:tplc="741279E2">
      <w:numFmt w:val="decimal"/>
      <w:lvlText w:val=""/>
      <w:lvlJc w:val="left"/>
    </w:lvl>
    <w:lvl w:ilvl="3" w:tplc="5770D41E">
      <w:numFmt w:val="decimal"/>
      <w:lvlText w:val=""/>
      <w:lvlJc w:val="left"/>
    </w:lvl>
    <w:lvl w:ilvl="4" w:tplc="1D64D43E">
      <w:numFmt w:val="decimal"/>
      <w:lvlText w:val=""/>
      <w:lvlJc w:val="left"/>
    </w:lvl>
    <w:lvl w:ilvl="5" w:tplc="C8E2212C">
      <w:numFmt w:val="decimal"/>
      <w:lvlText w:val=""/>
      <w:lvlJc w:val="left"/>
    </w:lvl>
    <w:lvl w:ilvl="6" w:tplc="139CC806">
      <w:numFmt w:val="decimal"/>
      <w:lvlText w:val=""/>
      <w:lvlJc w:val="left"/>
    </w:lvl>
    <w:lvl w:ilvl="7" w:tplc="098EF800">
      <w:numFmt w:val="decimal"/>
      <w:lvlText w:val=""/>
      <w:lvlJc w:val="left"/>
    </w:lvl>
    <w:lvl w:ilvl="8" w:tplc="A568F31A">
      <w:numFmt w:val="decimal"/>
      <w:lvlText w:val=""/>
      <w:lvlJc w:val="left"/>
    </w:lvl>
  </w:abstractNum>
  <w:abstractNum w:abstractNumId="267" w15:restartNumberingAfterBreak="0">
    <w:nsid w:val="1D8F2880"/>
    <w:multiLevelType w:val="hybridMultilevel"/>
    <w:tmpl w:val="E6063A12"/>
    <w:lvl w:ilvl="0" w:tplc="2AC4177E">
      <w:start w:val="1"/>
      <w:numFmt w:val="bullet"/>
      <w:lvlText w:val=""/>
      <w:lvlJc w:val="left"/>
      <w:pPr>
        <w:ind w:left="720" w:hanging="180"/>
      </w:pPr>
      <w:rPr>
        <w:rFonts w:ascii="Symbol" w:hAnsi="Symbol" w:hint="default"/>
      </w:rPr>
    </w:lvl>
    <w:lvl w:ilvl="1" w:tplc="AF4EBAB6">
      <w:numFmt w:val="decimal"/>
      <w:lvlText w:val=""/>
      <w:lvlJc w:val="left"/>
    </w:lvl>
    <w:lvl w:ilvl="2" w:tplc="605AEECC">
      <w:numFmt w:val="decimal"/>
      <w:lvlText w:val=""/>
      <w:lvlJc w:val="left"/>
    </w:lvl>
    <w:lvl w:ilvl="3" w:tplc="A9F464C2">
      <w:numFmt w:val="decimal"/>
      <w:lvlText w:val=""/>
      <w:lvlJc w:val="left"/>
    </w:lvl>
    <w:lvl w:ilvl="4" w:tplc="F3303C82">
      <w:numFmt w:val="decimal"/>
      <w:lvlText w:val=""/>
      <w:lvlJc w:val="left"/>
    </w:lvl>
    <w:lvl w:ilvl="5" w:tplc="D652904E">
      <w:numFmt w:val="decimal"/>
      <w:lvlText w:val=""/>
      <w:lvlJc w:val="left"/>
    </w:lvl>
    <w:lvl w:ilvl="6" w:tplc="6BD8D45E">
      <w:numFmt w:val="decimal"/>
      <w:lvlText w:val=""/>
      <w:lvlJc w:val="left"/>
    </w:lvl>
    <w:lvl w:ilvl="7" w:tplc="9F5E5274">
      <w:numFmt w:val="decimal"/>
      <w:lvlText w:val=""/>
      <w:lvlJc w:val="left"/>
    </w:lvl>
    <w:lvl w:ilvl="8" w:tplc="BE068E8E">
      <w:numFmt w:val="decimal"/>
      <w:lvlText w:val=""/>
      <w:lvlJc w:val="left"/>
    </w:lvl>
  </w:abstractNum>
  <w:abstractNum w:abstractNumId="268" w15:restartNumberingAfterBreak="0">
    <w:nsid w:val="1DA74129"/>
    <w:multiLevelType w:val="hybridMultilevel"/>
    <w:tmpl w:val="E9BA3302"/>
    <w:lvl w:ilvl="0" w:tplc="3AA8A5C6">
      <w:start w:val="1"/>
      <w:numFmt w:val="bullet"/>
      <w:lvlText w:val=""/>
      <w:lvlJc w:val="left"/>
      <w:pPr>
        <w:ind w:left="720" w:hanging="180"/>
      </w:pPr>
      <w:rPr>
        <w:rFonts w:ascii="Symbol" w:hAnsi="Symbol" w:hint="default"/>
      </w:rPr>
    </w:lvl>
    <w:lvl w:ilvl="1" w:tplc="49C6B542">
      <w:numFmt w:val="decimal"/>
      <w:lvlText w:val=""/>
      <w:lvlJc w:val="left"/>
    </w:lvl>
    <w:lvl w:ilvl="2" w:tplc="5D82D384">
      <w:numFmt w:val="decimal"/>
      <w:lvlText w:val=""/>
      <w:lvlJc w:val="left"/>
    </w:lvl>
    <w:lvl w:ilvl="3" w:tplc="FA90041C">
      <w:numFmt w:val="decimal"/>
      <w:lvlText w:val=""/>
      <w:lvlJc w:val="left"/>
    </w:lvl>
    <w:lvl w:ilvl="4" w:tplc="29DC67EA">
      <w:numFmt w:val="decimal"/>
      <w:lvlText w:val=""/>
      <w:lvlJc w:val="left"/>
    </w:lvl>
    <w:lvl w:ilvl="5" w:tplc="1930BD44">
      <w:numFmt w:val="decimal"/>
      <w:lvlText w:val=""/>
      <w:lvlJc w:val="left"/>
    </w:lvl>
    <w:lvl w:ilvl="6" w:tplc="6FAA2FC2">
      <w:numFmt w:val="decimal"/>
      <w:lvlText w:val=""/>
      <w:lvlJc w:val="left"/>
    </w:lvl>
    <w:lvl w:ilvl="7" w:tplc="6FEE625A">
      <w:numFmt w:val="decimal"/>
      <w:lvlText w:val=""/>
      <w:lvlJc w:val="left"/>
    </w:lvl>
    <w:lvl w:ilvl="8" w:tplc="83D62306">
      <w:numFmt w:val="decimal"/>
      <w:lvlText w:val=""/>
      <w:lvlJc w:val="left"/>
    </w:lvl>
  </w:abstractNum>
  <w:abstractNum w:abstractNumId="269" w15:restartNumberingAfterBreak="0">
    <w:nsid w:val="1DAF0C53"/>
    <w:multiLevelType w:val="hybridMultilevel"/>
    <w:tmpl w:val="E146C044"/>
    <w:lvl w:ilvl="0" w:tplc="637271BA">
      <w:start w:val="1"/>
      <w:numFmt w:val="bullet"/>
      <w:lvlText w:val=""/>
      <w:lvlJc w:val="left"/>
      <w:pPr>
        <w:ind w:left="720" w:hanging="180"/>
      </w:pPr>
      <w:rPr>
        <w:rFonts w:ascii="Symbol" w:hAnsi="Symbol" w:hint="default"/>
      </w:rPr>
    </w:lvl>
    <w:lvl w:ilvl="1" w:tplc="8C2A9124">
      <w:numFmt w:val="decimal"/>
      <w:lvlText w:val=""/>
      <w:lvlJc w:val="left"/>
    </w:lvl>
    <w:lvl w:ilvl="2" w:tplc="9B46603E">
      <w:numFmt w:val="decimal"/>
      <w:lvlText w:val=""/>
      <w:lvlJc w:val="left"/>
    </w:lvl>
    <w:lvl w:ilvl="3" w:tplc="C5C6CB24">
      <w:numFmt w:val="decimal"/>
      <w:lvlText w:val=""/>
      <w:lvlJc w:val="left"/>
    </w:lvl>
    <w:lvl w:ilvl="4" w:tplc="C71047D2">
      <w:numFmt w:val="decimal"/>
      <w:lvlText w:val=""/>
      <w:lvlJc w:val="left"/>
    </w:lvl>
    <w:lvl w:ilvl="5" w:tplc="D8385452">
      <w:numFmt w:val="decimal"/>
      <w:lvlText w:val=""/>
      <w:lvlJc w:val="left"/>
    </w:lvl>
    <w:lvl w:ilvl="6" w:tplc="3D684962">
      <w:numFmt w:val="decimal"/>
      <w:lvlText w:val=""/>
      <w:lvlJc w:val="left"/>
    </w:lvl>
    <w:lvl w:ilvl="7" w:tplc="8C0874C8">
      <w:numFmt w:val="decimal"/>
      <w:lvlText w:val=""/>
      <w:lvlJc w:val="left"/>
    </w:lvl>
    <w:lvl w:ilvl="8" w:tplc="87DA2C22">
      <w:numFmt w:val="decimal"/>
      <w:lvlText w:val=""/>
      <w:lvlJc w:val="left"/>
    </w:lvl>
  </w:abstractNum>
  <w:abstractNum w:abstractNumId="270" w15:restartNumberingAfterBreak="0">
    <w:nsid w:val="1DDA6F81"/>
    <w:multiLevelType w:val="hybridMultilevel"/>
    <w:tmpl w:val="E0D02EBC"/>
    <w:lvl w:ilvl="0" w:tplc="3C4EFA24">
      <w:start w:val="1"/>
      <w:numFmt w:val="bullet"/>
      <w:lvlText w:val=""/>
      <w:lvlJc w:val="left"/>
      <w:pPr>
        <w:ind w:left="720" w:hanging="180"/>
      </w:pPr>
      <w:rPr>
        <w:rFonts w:ascii="Symbol" w:hAnsi="Symbol" w:hint="default"/>
      </w:rPr>
    </w:lvl>
    <w:lvl w:ilvl="1" w:tplc="E60623D4">
      <w:numFmt w:val="decimal"/>
      <w:lvlText w:val=""/>
      <w:lvlJc w:val="left"/>
    </w:lvl>
    <w:lvl w:ilvl="2" w:tplc="C02E153E">
      <w:numFmt w:val="decimal"/>
      <w:lvlText w:val=""/>
      <w:lvlJc w:val="left"/>
    </w:lvl>
    <w:lvl w:ilvl="3" w:tplc="48820ABE">
      <w:numFmt w:val="decimal"/>
      <w:lvlText w:val=""/>
      <w:lvlJc w:val="left"/>
    </w:lvl>
    <w:lvl w:ilvl="4" w:tplc="9BBACF3E">
      <w:numFmt w:val="decimal"/>
      <w:lvlText w:val=""/>
      <w:lvlJc w:val="left"/>
    </w:lvl>
    <w:lvl w:ilvl="5" w:tplc="0EA0640A">
      <w:numFmt w:val="decimal"/>
      <w:lvlText w:val=""/>
      <w:lvlJc w:val="left"/>
    </w:lvl>
    <w:lvl w:ilvl="6" w:tplc="47028464">
      <w:numFmt w:val="decimal"/>
      <w:lvlText w:val=""/>
      <w:lvlJc w:val="left"/>
    </w:lvl>
    <w:lvl w:ilvl="7" w:tplc="92241574">
      <w:numFmt w:val="decimal"/>
      <w:lvlText w:val=""/>
      <w:lvlJc w:val="left"/>
    </w:lvl>
    <w:lvl w:ilvl="8" w:tplc="62A6EC10">
      <w:numFmt w:val="decimal"/>
      <w:lvlText w:val=""/>
      <w:lvlJc w:val="left"/>
    </w:lvl>
  </w:abstractNum>
  <w:abstractNum w:abstractNumId="271" w15:restartNumberingAfterBreak="0">
    <w:nsid w:val="1E51505A"/>
    <w:multiLevelType w:val="hybridMultilevel"/>
    <w:tmpl w:val="A32C4FF6"/>
    <w:lvl w:ilvl="0" w:tplc="F0185426">
      <w:start w:val="1"/>
      <w:numFmt w:val="bullet"/>
      <w:lvlText w:val=""/>
      <w:lvlJc w:val="left"/>
      <w:pPr>
        <w:ind w:left="720" w:hanging="180"/>
      </w:pPr>
      <w:rPr>
        <w:rFonts w:ascii="Symbol" w:hAnsi="Symbol" w:hint="default"/>
      </w:rPr>
    </w:lvl>
    <w:lvl w:ilvl="1" w:tplc="BF8ABD14">
      <w:numFmt w:val="decimal"/>
      <w:lvlText w:val=""/>
      <w:lvlJc w:val="left"/>
    </w:lvl>
    <w:lvl w:ilvl="2" w:tplc="390CCD4A">
      <w:numFmt w:val="decimal"/>
      <w:lvlText w:val=""/>
      <w:lvlJc w:val="left"/>
    </w:lvl>
    <w:lvl w:ilvl="3" w:tplc="256E4280">
      <w:numFmt w:val="decimal"/>
      <w:lvlText w:val=""/>
      <w:lvlJc w:val="left"/>
    </w:lvl>
    <w:lvl w:ilvl="4" w:tplc="A53EAAAA">
      <w:numFmt w:val="decimal"/>
      <w:lvlText w:val=""/>
      <w:lvlJc w:val="left"/>
    </w:lvl>
    <w:lvl w:ilvl="5" w:tplc="C88C2934">
      <w:numFmt w:val="decimal"/>
      <w:lvlText w:val=""/>
      <w:lvlJc w:val="left"/>
    </w:lvl>
    <w:lvl w:ilvl="6" w:tplc="F28C7B6E">
      <w:numFmt w:val="decimal"/>
      <w:lvlText w:val=""/>
      <w:lvlJc w:val="left"/>
    </w:lvl>
    <w:lvl w:ilvl="7" w:tplc="88D03D00">
      <w:numFmt w:val="decimal"/>
      <w:lvlText w:val=""/>
      <w:lvlJc w:val="left"/>
    </w:lvl>
    <w:lvl w:ilvl="8" w:tplc="9148E608">
      <w:numFmt w:val="decimal"/>
      <w:lvlText w:val=""/>
      <w:lvlJc w:val="left"/>
    </w:lvl>
  </w:abstractNum>
  <w:abstractNum w:abstractNumId="272" w15:restartNumberingAfterBreak="0">
    <w:nsid w:val="1E584078"/>
    <w:multiLevelType w:val="hybridMultilevel"/>
    <w:tmpl w:val="E7ECD3C8"/>
    <w:lvl w:ilvl="0" w:tplc="3DDEC256">
      <w:start w:val="1"/>
      <w:numFmt w:val="bullet"/>
      <w:lvlText w:val=""/>
      <w:lvlJc w:val="left"/>
      <w:pPr>
        <w:ind w:left="720" w:hanging="180"/>
      </w:pPr>
      <w:rPr>
        <w:rFonts w:ascii="Symbol" w:hAnsi="Symbol" w:hint="default"/>
      </w:rPr>
    </w:lvl>
    <w:lvl w:ilvl="1" w:tplc="F7ECD186">
      <w:numFmt w:val="decimal"/>
      <w:lvlText w:val=""/>
      <w:lvlJc w:val="left"/>
    </w:lvl>
    <w:lvl w:ilvl="2" w:tplc="815E6CFA">
      <w:numFmt w:val="decimal"/>
      <w:lvlText w:val=""/>
      <w:lvlJc w:val="left"/>
    </w:lvl>
    <w:lvl w:ilvl="3" w:tplc="0AA237F8">
      <w:numFmt w:val="decimal"/>
      <w:lvlText w:val=""/>
      <w:lvlJc w:val="left"/>
    </w:lvl>
    <w:lvl w:ilvl="4" w:tplc="8B8CEA80">
      <w:numFmt w:val="decimal"/>
      <w:lvlText w:val=""/>
      <w:lvlJc w:val="left"/>
    </w:lvl>
    <w:lvl w:ilvl="5" w:tplc="BBD20BB2">
      <w:numFmt w:val="decimal"/>
      <w:lvlText w:val=""/>
      <w:lvlJc w:val="left"/>
    </w:lvl>
    <w:lvl w:ilvl="6" w:tplc="1960C3C2">
      <w:numFmt w:val="decimal"/>
      <w:lvlText w:val=""/>
      <w:lvlJc w:val="left"/>
    </w:lvl>
    <w:lvl w:ilvl="7" w:tplc="8826AADA">
      <w:numFmt w:val="decimal"/>
      <w:lvlText w:val=""/>
      <w:lvlJc w:val="left"/>
    </w:lvl>
    <w:lvl w:ilvl="8" w:tplc="DC6A8C1E">
      <w:numFmt w:val="decimal"/>
      <w:lvlText w:val=""/>
      <w:lvlJc w:val="left"/>
    </w:lvl>
  </w:abstractNum>
  <w:abstractNum w:abstractNumId="273" w15:restartNumberingAfterBreak="0">
    <w:nsid w:val="1E7C3D36"/>
    <w:multiLevelType w:val="hybridMultilevel"/>
    <w:tmpl w:val="F0324958"/>
    <w:lvl w:ilvl="0" w:tplc="3B3E3CEA">
      <w:start w:val="1"/>
      <w:numFmt w:val="bullet"/>
      <w:lvlText w:val=""/>
      <w:lvlJc w:val="left"/>
      <w:pPr>
        <w:ind w:left="720" w:hanging="180"/>
      </w:pPr>
      <w:rPr>
        <w:rFonts w:ascii="Symbol" w:hAnsi="Symbol" w:hint="default"/>
      </w:rPr>
    </w:lvl>
    <w:lvl w:ilvl="1" w:tplc="4998BB20">
      <w:numFmt w:val="decimal"/>
      <w:lvlText w:val=""/>
      <w:lvlJc w:val="left"/>
    </w:lvl>
    <w:lvl w:ilvl="2" w:tplc="3CF4BDC8">
      <w:numFmt w:val="decimal"/>
      <w:lvlText w:val=""/>
      <w:lvlJc w:val="left"/>
    </w:lvl>
    <w:lvl w:ilvl="3" w:tplc="5324E502">
      <w:numFmt w:val="decimal"/>
      <w:lvlText w:val=""/>
      <w:lvlJc w:val="left"/>
    </w:lvl>
    <w:lvl w:ilvl="4" w:tplc="21F05278">
      <w:numFmt w:val="decimal"/>
      <w:lvlText w:val=""/>
      <w:lvlJc w:val="left"/>
    </w:lvl>
    <w:lvl w:ilvl="5" w:tplc="2474CB14">
      <w:numFmt w:val="decimal"/>
      <w:lvlText w:val=""/>
      <w:lvlJc w:val="left"/>
    </w:lvl>
    <w:lvl w:ilvl="6" w:tplc="697ADB06">
      <w:numFmt w:val="decimal"/>
      <w:lvlText w:val=""/>
      <w:lvlJc w:val="left"/>
    </w:lvl>
    <w:lvl w:ilvl="7" w:tplc="2382B502">
      <w:numFmt w:val="decimal"/>
      <w:lvlText w:val=""/>
      <w:lvlJc w:val="left"/>
    </w:lvl>
    <w:lvl w:ilvl="8" w:tplc="9DB25AC8">
      <w:numFmt w:val="decimal"/>
      <w:lvlText w:val=""/>
      <w:lvlJc w:val="left"/>
    </w:lvl>
  </w:abstractNum>
  <w:abstractNum w:abstractNumId="274" w15:restartNumberingAfterBreak="0">
    <w:nsid w:val="1E87666E"/>
    <w:multiLevelType w:val="hybridMultilevel"/>
    <w:tmpl w:val="937A1ED2"/>
    <w:lvl w:ilvl="0" w:tplc="CEF89894">
      <w:start w:val="1"/>
      <w:numFmt w:val="bullet"/>
      <w:lvlText w:val=""/>
      <w:lvlJc w:val="left"/>
      <w:pPr>
        <w:ind w:left="720" w:hanging="180"/>
      </w:pPr>
      <w:rPr>
        <w:rFonts w:ascii="Symbol" w:hAnsi="Symbol" w:hint="default"/>
      </w:rPr>
    </w:lvl>
    <w:lvl w:ilvl="1" w:tplc="DFE4C3B6">
      <w:numFmt w:val="decimal"/>
      <w:lvlText w:val=""/>
      <w:lvlJc w:val="left"/>
    </w:lvl>
    <w:lvl w:ilvl="2" w:tplc="9D66B774">
      <w:numFmt w:val="decimal"/>
      <w:lvlText w:val=""/>
      <w:lvlJc w:val="left"/>
    </w:lvl>
    <w:lvl w:ilvl="3" w:tplc="4ABC5C7A">
      <w:numFmt w:val="decimal"/>
      <w:lvlText w:val=""/>
      <w:lvlJc w:val="left"/>
    </w:lvl>
    <w:lvl w:ilvl="4" w:tplc="16A41284">
      <w:numFmt w:val="decimal"/>
      <w:lvlText w:val=""/>
      <w:lvlJc w:val="left"/>
    </w:lvl>
    <w:lvl w:ilvl="5" w:tplc="C51A23DE">
      <w:numFmt w:val="decimal"/>
      <w:lvlText w:val=""/>
      <w:lvlJc w:val="left"/>
    </w:lvl>
    <w:lvl w:ilvl="6" w:tplc="6B62F008">
      <w:numFmt w:val="decimal"/>
      <w:lvlText w:val=""/>
      <w:lvlJc w:val="left"/>
    </w:lvl>
    <w:lvl w:ilvl="7" w:tplc="09D47FC6">
      <w:numFmt w:val="decimal"/>
      <w:lvlText w:val=""/>
      <w:lvlJc w:val="left"/>
    </w:lvl>
    <w:lvl w:ilvl="8" w:tplc="6B46C49E">
      <w:numFmt w:val="decimal"/>
      <w:lvlText w:val=""/>
      <w:lvlJc w:val="left"/>
    </w:lvl>
  </w:abstractNum>
  <w:abstractNum w:abstractNumId="275" w15:restartNumberingAfterBreak="0">
    <w:nsid w:val="1EA83FE9"/>
    <w:multiLevelType w:val="hybridMultilevel"/>
    <w:tmpl w:val="1966BE60"/>
    <w:lvl w:ilvl="0" w:tplc="DB84112E">
      <w:start w:val="1"/>
      <w:numFmt w:val="bullet"/>
      <w:lvlText w:val=""/>
      <w:lvlJc w:val="left"/>
      <w:pPr>
        <w:ind w:left="720" w:hanging="180"/>
      </w:pPr>
      <w:rPr>
        <w:rFonts w:ascii="Symbol" w:hAnsi="Symbol" w:hint="default"/>
      </w:rPr>
    </w:lvl>
    <w:lvl w:ilvl="1" w:tplc="5D22458A">
      <w:numFmt w:val="decimal"/>
      <w:lvlText w:val=""/>
      <w:lvlJc w:val="left"/>
    </w:lvl>
    <w:lvl w:ilvl="2" w:tplc="0EECF796">
      <w:numFmt w:val="decimal"/>
      <w:lvlText w:val=""/>
      <w:lvlJc w:val="left"/>
    </w:lvl>
    <w:lvl w:ilvl="3" w:tplc="E1D2C932">
      <w:numFmt w:val="decimal"/>
      <w:lvlText w:val=""/>
      <w:lvlJc w:val="left"/>
    </w:lvl>
    <w:lvl w:ilvl="4" w:tplc="2D8CD47C">
      <w:numFmt w:val="decimal"/>
      <w:lvlText w:val=""/>
      <w:lvlJc w:val="left"/>
    </w:lvl>
    <w:lvl w:ilvl="5" w:tplc="5342672E">
      <w:numFmt w:val="decimal"/>
      <w:lvlText w:val=""/>
      <w:lvlJc w:val="left"/>
    </w:lvl>
    <w:lvl w:ilvl="6" w:tplc="A6686C62">
      <w:numFmt w:val="decimal"/>
      <w:lvlText w:val=""/>
      <w:lvlJc w:val="left"/>
    </w:lvl>
    <w:lvl w:ilvl="7" w:tplc="67164694">
      <w:numFmt w:val="decimal"/>
      <w:lvlText w:val=""/>
      <w:lvlJc w:val="left"/>
    </w:lvl>
    <w:lvl w:ilvl="8" w:tplc="0E201E04">
      <w:numFmt w:val="decimal"/>
      <w:lvlText w:val=""/>
      <w:lvlJc w:val="left"/>
    </w:lvl>
  </w:abstractNum>
  <w:abstractNum w:abstractNumId="276" w15:restartNumberingAfterBreak="0">
    <w:nsid w:val="1EBF3011"/>
    <w:multiLevelType w:val="hybridMultilevel"/>
    <w:tmpl w:val="85CC57CA"/>
    <w:lvl w:ilvl="0" w:tplc="42C876EA">
      <w:start w:val="1"/>
      <w:numFmt w:val="bullet"/>
      <w:lvlText w:val=""/>
      <w:lvlJc w:val="left"/>
      <w:pPr>
        <w:ind w:left="720" w:hanging="180"/>
      </w:pPr>
      <w:rPr>
        <w:rFonts w:ascii="Symbol" w:hAnsi="Symbol" w:hint="default"/>
      </w:rPr>
    </w:lvl>
    <w:lvl w:ilvl="1" w:tplc="8206A61A">
      <w:numFmt w:val="decimal"/>
      <w:lvlText w:val=""/>
      <w:lvlJc w:val="left"/>
    </w:lvl>
    <w:lvl w:ilvl="2" w:tplc="BA7830E2">
      <w:numFmt w:val="decimal"/>
      <w:lvlText w:val=""/>
      <w:lvlJc w:val="left"/>
    </w:lvl>
    <w:lvl w:ilvl="3" w:tplc="AE2C5358">
      <w:numFmt w:val="decimal"/>
      <w:lvlText w:val=""/>
      <w:lvlJc w:val="left"/>
    </w:lvl>
    <w:lvl w:ilvl="4" w:tplc="C922D31E">
      <w:numFmt w:val="decimal"/>
      <w:lvlText w:val=""/>
      <w:lvlJc w:val="left"/>
    </w:lvl>
    <w:lvl w:ilvl="5" w:tplc="ABB4849A">
      <w:numFmt w:val="decimal"/>
      <w:lvlText w:val=""/>
      <w:lvlJc w:val="left"/>
    </w:lvl>
    <w:lvl w:ilvl="6" w:tplc="A11C4660">
      <w:numFmt w:val="decimal"/>
      <w:lvlText w:val=""/>
      <w:lvlJc w:val="left"/>
    </w:lvl>
    <w:lvl w:ilvl="7" w:tplc="58205AE4">
      <w:numFmt w:val="decimal"/>
      <w:lvlText w:val=""/>
      <w:lvlJc w:val="left"/>
    </w:lvl>
    <w:lvl w:ilvl="8" w:tplc="3A568360">
      <w:numFmt w:val="decimal"/>
      <w:lvlText w:val=""/>
      <w:lvlJc w:val="left"/>
    </w:lvl>
  </w:abstractNum>
  <w:abstractNum w:abstractNumId="277" w15:restartNumberingAfterBreak="0">
    <w:nsid w:val="1EE32ABD"/>
    <w:multiLevelType w:val="hybridMultilevel"/>
    <w:tmpl w:val="8AF07F32"/>
    <w:lvl w:ilvl="0" w:tplc="401284D8">
      <w:start w:val="1"/>
      <w:numFmt w:val="bullet"/>
      <w:lvlText w:val=""/>
      <w:lvlJc w:val="left"/>
      <w:pPr>
        <w:ind w:left="720" w:hanging="180"/>
      </w:pPr>
      <w:rPr>
        <w:rFonts w:ascii="Symbol" w:hAnsi="Symbol" w:hint="default"/>
      </w:rPr>
    </w:lvl>
    <w:lvl w:ilvl="1" w:tplc="BD3A1502">
      <w:numFmt w:val="decimal"/>
      <w:lvlText w:val=""/>
      <w:lvlJc w:val="left"/>
    </w:lvl>
    <w:lvl w:ilvl="2" w:tplc="4D589EC8">
      <w:numFmt w:val="decimal"/>
      <w:lvlText w:val=""/>
      <w:lvlJc w:val="left"/>
    </w:lvl>
    <w:lvl w:ilvl="3" w:tplc="EA542A60">
      <w:numFmt w:val="decimal"/>
      <w:lvlText w:val=""/>
      <w:lvlJc w:val="left"/>
    </w:lvl>
    <w:lvl w:ilvl="4" w:tplc="F5964726">
      <w:numFmt w:val="decimal"/>
      <w:lvlText w:val=""/>
      <w:lvlJc w:val="left"/>
    </w:lvl>
    <w:lvl w:ilvl="5" w:tplc="ED160A62">
      <w:numFmt w:val="decimal"/>
      <w:lvlText w:val=""/>
      <w:lvlJc w:val="left"/>
    </w:lvl>
    <w:lvl w:ilvl="6" w:tplc="B76E9582">
      <w:numFmt w:val="decimal"/>
      <w:lvlText w:val=""/>
      <w:lvlJc w:val="left"/>
    </w:lvl>
    <w:lvl w:ilvl="7" w:tplc="04CC775E">
      <w:numFmt w:val="decimal"/>
      <w:lvlText w:val=""/>
      <w:lvlJc w:val="left"/>
    </w:lvl>
    <w:lvl w:ilvl="8" w:tplc="B574B636">
      <w:numFmt w:val="decimal"/>
      <w:lvlText w:val=""/>
      <w:lvlJc w:val="left"/>
    </w:lvl>
  </w:abstractNum>
  <w:abstractNum w:abstractNumId="278" w15:restartNumberingAfterBreak="0">
    <w:nsid w:val="1F0F37C2"/>
    <w:multiLevelType w:val="hybridMultilevel"/>
    <w:tmpl w:val="A37C7E44"/>
    <w:lvl w:ilvl="0" w:tplc="9D820270">
      <w:start w:val="1"/>
      <w:numFmt w:val="bullet"/>
      <w:lvlText w:val=""/>
      <w:lvlJc w:val="left"/>
      <w:pPr>
        <w:ind w:left="720" w:hanging="180"/>
      </w:pPr>
      <w:rPr>
        <w:rFonts w:ascii="Symbol" w:hAnsi="Symbol" w:hint="default"/>
      </w:rPr>
    </w:lvl>
    <w:lvl w:ilvl="1" w:tplc="C4DA5AB2">
      <w:numFmt w:val="decimal"/>
      <w:lvlText w:val=""/>
      <w:lvlJc w:val="left"/>
    </w:lvl>
    <w:lvl w:ilvl="2" w:tplc="F3E094DA">
      <w:numFmt w:val="decimal"/>
      <w:lvlText w:val=""/>
      <w:lvlJc w:val="left"/>
    </w:lvl>
    <w:lvl w:ilvl="3" w:tplc="F79C9FC4">
      <w:numFmt w:val="decimal"/>
      <w:lvlText w:val=""/>
      <w:lvlJc w:val="left"/>
    </w:lvl>
    <w:lvl w:ilvl="4" w:tplc="B9DCAA90">
      <w:numFmt w:val="decimal"/>
      <w:lvlText w:val=""/>
      <w:lvlJc w:val="left"/>
    </w:lvl>
    <w:lvl w:ilvl="5" w:tplc="FF7AA4A0">
      <w:numFmt w:val="decimal"/>
      <w:lvlText w:val=""/>
      <w:lvlJc w:val="left"/>
    </w:lvl>
    <w:lvl w:ilvl="6" w:tplc="0D48045E">
      <w:numFmt w:val="decimal"/>
      <w:lvlText w:val=""/>
      <w:lvlJc w:val="left"/>
    </w:lvl>
    <w:lvl w:ilvl="7" w:tplc="F16A385A">
      <w:numFmt w:val="decimal"/>
      <w:lvlText w:val=""/>
      <w:lvlJc w:val="left"/>
    </w:lvl>
    <w:lvl w:ilvl="8" w:tplc="4DCAAA40">
      <w:numFmt w:val="decimal"/>
      <w:lvlText w:val=""/>
      <w:lvlJc w:val="left"/>
    </w:lvl>
  </w:abstractNum>
  <w:abstractNum w:abstractNumId="279" w15:restartNumberingAfterBreak="0">
    <w:nsid w:val="1F1E78EA"/>
    <w:multiLevelType w:val="hybridMultilevel"/>
    <w:tmpl w:val="F732DF8A"/>
    <w:lvl w:ilvl="0" w:tplc="47F4C444">
      <w:start w:val="1"/>
      <w:numFmt w:val="bullet"/>
      <w:lvlText w:val=""/>
      <w:lvlJc w:val="left"/>
      <w:pPr>
        <w:ind w:left="720" w:hanging="180"/>
      </w:pPr>
      <w:rPr>
        <w:rFonts w:ascii="Symbol" w:hAnsi="Symbol" w:hint="default"/>
      </w:rPr>
    </w:lvl>
    <w:lvl w:ilvl="1" w:tplc="19BC8A40">
      <w:numFmt w:val="decimal"/>
      <w:lvlText w:val=""/>
      <w:lvlJc w:val="left"/>
    </w:lvl>
    <w:lvl w:ilvl="2" w:tplc="41445F5A">
      <w:numFmt w:val="decimal"/>
      <w:lvlText w:val=""/>
      <w:lvlJc w:val="left"/>
    </w:lvl>
    <w:lvl w:ilvl="3" w:tplc="9EB4E540">
      <w:numFmt w:val="decimal"/>
      <w:lvlText w:val=""/>
      <w:lvlJc w:val="left"/>
    </w:lvl>
    <w:lvl w:ilvl="4" w:tplc="86CA5814">
      <w:numFmt w:val="decimal"/>
      <w:lvlText w:val=""/>
      <w:lvlJc w:val="left"/>
    </w:lvl>
    <w:lvl w:ilvl="5" w:tplc="862844C8">
      <w:numFmt w:val="decimal"/>
      <w:lvlText w:val=""/>
      <w:lvlJc w:val="left"/>
    </w:lvl>
    <w:lvl w:ilvl="6" w:tplc="10444314">
      <w:numFmt w:val="decimal"/>
      <w:lvlText w:val=""/>
      <w:lvlJc w:val="left"/>
    </w:lvl>
    <w:lvl w:ilvl="7" w:tplc="A288EA5E">
      <w:numFmt w:val="decimal"/>
      <w:lvlText w:val=""/>
      <w:lvlJc w:val="left"/>
    </w:lvl>
    <w:lvl w:ilvl="8" w:tplc="DDBAAA70">
      <w:numFmt w:val="decimal"/>
      <w:lvlText w:val=""/>
      <w:lvlJc w:val="left"/>
    </w:lvl>
  </w:abstractNum>
  <w:abstractNum w:abstractNumId="280" w15:restartNumberingAfterBreak="0">
    <w:nsid w:val="1F32029E"/>
    <w:multiLevelType w:val="hybridMultilevel"/>
    <w:tmpl w:val="45508980"/>
    <w:lvl w:ilvl="0" w:tplc="6A8E3BC4">
      <w:start w:val="1"/>
      <w:numFmt w:val="bullet"/>
      <w:lvlText w:val=""/>
      <w:lvlJc w:val="left"/>
      <w:pPr>
        <w:ind w:left="720" w:hanging="180"/>
      </w:pPr>
      <w:rPr>
        <w:rFonts w:ascii="Symbol" w:hAnsi="Symbol" w:hint="default"/>
      </w:rPr>
    </w:lvl>
    <w:lvl w:ilvl="1" w:tplc="1E1A3B5A">
      <w:numFmt w:val="decimal"/>
      <w:lvlText w:val=""/>
      <w:lvlJc w:val="left"/>
    </w:lvl>
    <w:lvl w:ilvl="2" w:tplc="6128B872">
      <w:numFmt w:val="decimal"/>
      <w:lvlText w:val=""/>
      <w:lvlJc w:val="left"/>
    </w:lvl>
    <w:lvl w:ilvl="3" w:tplc="A5C2A3EE">
      <w:numFmt w:val="decimal"/>
      <w:lvlText w:val=""/>
      <w:lvlJc w:val="left"/>
    </w:lvl>
    <w:lvl w:ilvl="4" w:tplc="8326D2C8">
      <w:numFmt w:val="decimal"/>
      <w:lvlText w:val=""/>
      <w:lvlJc w:val="left"/>
    </w:lvl>
    <w:lvl w:ilvl="5" w:tplc="C8E21466">
      <w:numFmt w:val="decimal"/>
      <w:lvlText w:val=""/>
      <w:lvlJc w:val="left"/>
    </w:lvl>
    <w:lvl w:ilvl="6" w:tplc="EEF24F44">
      <w:numFmt w:val="decimal"/>
      <w:lvlText w:val=""/>
      <w:lvlJc w:val="left"/>
    </w:lvl>
    <w:lvl w:ilvl="7" w:tplc="5498D43E">
      <w:numFmt w:val="decimal"/>
      <w:lvlText w:val=""/>
      <w:lvlJc w:val="left"/>
    </w:lvl>
    <w:lvl w:ilvl="8" w:tplc="01E05AA2">
      <w:numFmt w:val="decimal"/>
      <w:lvlText w:val=""/>
      <w:lvlJc w:val="left"/>
    </w:lvl>
  </w:abstractNum>
  <w:abstractNum w:abstractNumId="281" w15:restartNumberingAfterBreak="0">
    <w:nsid w:val="1F3451B1"/>
    <w:multiLevelType w:val="hybridMultilevel"/>
    <w:tmpl w:val="6494F44C"/>
    <w:lvl w:ilvl="0" w:tplc="B82E5EE8">
      <w:start w:val="1"/>
      <w:numFmt w:val="bullet"/>
      <w:lvlText w:val=""/>
      <w:lvlJc w:val="left"/>
      <w:pPr>
        <w:ind w:left="720" w:hanging="180"/>
      </w:pPr>
      <w:rPr>
        <w:rFonts w:ascii="Symbol" w:hAnsi="Symbol" w:hint="default"/>
      </w:rPr>
    </w:lvl>
    <w:lvl w:ilvl="1" w:tplc="584CF05A">
      <w:numFmt w:val="decimal"/>
      <w:lvlText w:val=""/>
      <w:lvlJc w:val="left"/>
    </w:lvl>
    <w:lvl w:ilvl="2" w:tplc="75583C24">
      <w:numFmt w:val="decimal"/>
      <w:lvlText w:val=""/>
      <w:lvlJc w:val="left"/>
    </w:lvl>
    <w:lvl w:ilvl="3" w:tplc="958EFB3E">
      <w:numFmt w:val="decimal"/>
      <w:lvlText w:val=""/>
      <w:lvlJc w:val="left"/>
    </w:lvl>
    <w:lvl w:ilvl="4" w:tplc="2E04B7A6">
      <w:numFmt w:val="decimal"/>
      <w:lvlText w:val=""/>
      <w:lvlJc w:val="left"/>
    </w:lvl>
    <w:lvl w:ilvl="5" w:tplc="147E622A">
      <w:numFmt w:val="decimal"/>
      <w:lvlText w:val=""/>
      <w:lvlJc w:val="left"/>
    </w:lvl>
    <w:lvl w:ilvl="6" w:tplc="715AE650">
      <w:numFmt w:val="decimal"/>
      <w:lvlText w:val=""/>
      <w:lvlJc w:val="left"/>
    </w:lvl>
    <w:lvl w:ilvl="7" w:tplc="3B36F336">
      <w:numFmt w:val="decimal"/>
      <w:lvlText w:val=""/>
      <w:lvlJc w:val="left"/>
    </w:lvl>
    <w:lvl w:ilvl="8" w:tplc="08D8B0FA">
      <w:numFmt w:val="decimal"/>
      <w:lvlText w:val=""/>
      <w:lvlJc w:val="left"/>
    </w:lvl>
  </w:abstractNum>
  <w:abstractNum w:abstractNumId="282" w15:restartNumberingAfterBreak="0">
    <w:nsid w:val="1F400887"/>
    <w:multiLevelType w:val="hybridMultilevel"/>
    <w:tmpl w:val="88EE9386"/>
    <w:lvl w:ilvl="0" w:tplc="21425E6C">
      <w:start w:val="1"/>
      <w:numFmt w:val="bullet"/>
      <w:lvlText w:val=""/>
      <w:lvlJc w:val="left"/>
      <w:pPr>
        <w:ind w:left="720" w:hanging="180"/>
      </w:pPr>
      <w:rPr>
        <w:rFonts w:ascii="Symbol" w:hAnsi="Symbol" w:hint="default"/>
      </w:rPr>
    </w:lvl>
    <w:lvl w:ilvl="1" w:tplc="E3FE2358">
      <w:numFmt w:val="decimal"/>
      <w:lvlText w:val=""/>
      <w:lvlJc w:val="left"/>
    </w:lvl>
    <w:lvl w:ilvl="2" w:tplc="5E36A9F2">
      <w:numFmt w:val="decimal"/>
      <w:lvlText w:val=""/>
      <w:lvlJc w:val="left"/>
    </w:lvl>
    <w:lvl w:ilvl="3" w:tplc="1BEED4B0">
      <w:numFmt w:val="decimal"/>
      <w:lvlText w:val=""/>
      <w:lvlJc w:val="left"/>
    </w:lvl>
    <w:lvl w:ilvl="4" w:tplc="1BDAF468">
      <w:numFmt w:val="decimal"/>
      <w:lvlText w:val=""/>
      <w:lvlJc w:val="left"/>
    </w:lvl>
    <w:lvl w:ilvl="5" w:tplc="CB5C1ACC">
      <w:numFmt w:val="decimal"/>
      <w:lvlText w:val=""/>
      <w:lvlJc w:val="left"/>
    </w:lvl>
    <w:lvl w:ilvl="6" w:tplc="7C0C5396">
      <w:numFmt w:val="decimal"/>
      <w:lvlText w:val=""/>
      <w:lvlJc w:val="left"/>
    </w:lvl>
    <w:lvl w:ilvl="7" w:tplc="35349A40">
      <w:numFmt w:val="decimal"/>
      <w:lvlText w:val=""/>
      <w:lvlJc w:val="left"/>
    </w:lvl>
    <w:lvl w:ilvl="8" w:tplc="EF6A3574">
      <w:numFmt w:val="decimal"/>
      <w:lvlText w:val=""/>
      <w:lvlJc w:val="left"/>
    </w:lvl>
  </w:abstractNum>
  <w:abstractNum w:abstractNumId="283" w15:restartNumberingAfterBreak="0">
    <w:nsid w:val="1F8F6176"/>
    <w:multiLevelType w:val="hybridMultilevel"/>
    <w:tmpl w:val="69CC3DD4"/>
    <w:lvl w:ilvl="0" w:tplc="3F9EDF50">
      <w:numFmt w:val="decimal"/>
      <w:lvlText w:val=""/>
      <w:lvlJc w:val="left"/>
    </w:lvl>
    <w:lvl w:ilvl="1" w:tplc="AD284B00">
      <w:start w:val="1"/>
      <w:numFmt w:val="bullet"/>
      <w:lvlText w:val=""/>
      <w:lvlJc w:val="left"/>
      <w:pPr>
        <w:ind w:left="1440" w:hanging="180"/>
      </w:pPr>
      <w:rPr>
        <w:rFonts w:ascii="Symbol" w:hAnsi="Symbol" w:hint="default"/>
      </w:rPr>
    </w:lvl>
    <w:lvl w:ilvl="2" w:tplc="8FCCE6DC">
      <w:numFmt w:val="decimal"/>
      <w:lvlText w:val=""/>
      <w:lvlJc w:val="left"/>
    </w:lvl>
    <w:lvl w:ilvl="3" w:tplc="4492EA3A">
      <w:numFmt w:val="decimal"/>
      <w:lvlText w:val=""/>
      <w:lvlJc w:val="left"/>
    </w:lvl>
    <w:lvl w:ilvl="4" w:tplc="6360C02E">
      <w:numFmt w:val="decimal"/>
      <w:lvlText w:val=""/>
      <w:lvlJc w:val="left"/>
    </w:lvl>
    <w:lvl w:ilvl="5" w:tplc="58447D76">
      <w:numFmt w:val="decimal"/>
      <w:lvlText w:val=""/>
      <w:lvlJc w:val="left"/>
    </w:lvl>
    <w:lvl w:ilvl="6" w:tplc="7582658E">
      <w:numFmt w:val="decimal"/>
      <w:lvlText w:val=""/>
      <w:lvlJc w:val="left"/>
    </w:lvl>
    <w:lvl w:ilvl="7" w:tplc="5AA85064">
      <w:numFmt w:val="decimal"/>
      <w:lvlText w:val=""/>
      <w:lvlJc w:val="left"/>
    </w:lvl>
    <w:lvl w:ilvl="8" w:tplc="6906A68E">
      <w:numFmt w:val="decimal"/>
      <w:lvlText w:val=""/>
      <w:lvlJc w:val="left"/>
    </w:lvl>
  </w:abstractNum>
  <w:abstractNum w:abstractNumId="284" w15:restartNumberingAfterBreak="0">
    <w:nsid w:val="1FDC63BC"/>
    <w:multiLevelType w:val="hybridMultilevel"/>
    <w:tmpl w:val="C3EA5DB8"/>
    <w:lvl w:ilvl="0" w:tplc="E8E683CC">
      <w:start w:val="1"/>
      <w:numFmt w:val="bullet"/>
      <w:lvlText w:val=""/>
      <w:lvlJc w:val="left"/>
      <w:pPr>
        <w:ind w:left="720" w:hanging="180"/>
      </w:pPr>
      <w:rPr>
        <w:rFonts w:ascii="Symbol" w:hAnsi="Symbol" w:hint="default"/>
      </w:rPr>
    </w:lvl>
    <w:lvl w:ilvl="1" w:tplc="A90A764A">
      <w:numFmt w:val="decimal"/>
      <w:lvlText w:val=""/>
      <w:lvlJc w:val="left"/>
    </w:lvl>
    <w:lvl w:ilvl="2" w:tplc="96304FF4">
      <w:numFmt w:val="decimal"/>
      <w:lvlText w:val=""/>
      <w:lvlJc w:val="left"/>
    </w:lvl>
    <w:lvl w:ilvl="3" w:tplc="95740C44">
      <w:numFmt w:val="decimal"/>
      <w:lvlText w:val=""/>
      <w:lvlJc w:val="left"/>
    </w:lvl>
    <w:lvl w:ilvl="4" w:tplc="F3E2A680">
      <w:numFmt w:val="decimal"/>
      <w:lvlText w:val=""/>
      <w:lvlJc w:val="left"/>
    </w:lvl>
    <w:lvl w:ilvl="5" w:tplc="FCBC48B6">
      <w:numFmt w:val="decimal"/>
      <w:lvlText w:val=""/>
      <w:lvlJc w:val="left"/>
    </w:lvl>
    <w:lvl w:ilvl="6" w:tplc="F97EF1B2">
      <w:numFmt w:val="decimal"/>
      <w:lvlText w:val=""/>
      <w:lvlJc w:val="left"/>
    </w:lvl>
    <w:lvl w:ilvl="7" w:tplc="C49AE668">
      <w:numFmt w:val="decimal"/>
      <w:lvlText w:val=""/>
      <w:lvlJc w:val="left"/>
    </w:lvl>
    <w:lvl w:ilvl="8" w:tplc="B4964C5C">
      <w:numFmt w:val="decimal"/>
      <w:lvlText w:val=""/>
      <w:lvlJc w:val="left"/>
    </w:lvl>
  </w:abstractNum>
  <w:abstractNum w:abstractNumId="285" w15:restartNumberingAfterBreak="0">
    <w:nsid w:val="2019262C"/>
    <w:multiLevelType w:val="hybridMultilevel"/>
    <w:tmpl w:val="47DE8C70"/>
    <w:lvl w:ilvl="0" w:tplc="42C6264A">
      <w:start w:val="1"/>
      <w:numFmt w:val="bullet"/>
      <w:lvlText w:val=""/>
      <w:lvlJc w:val="left"/>
      <w:pPr>
        <w:ind w:left="720" w:hanging="180"/>
      </w:pPr>
      <w:rPr>
        <w:rFonts w:ascii="Symbol" w:hAnsi="Symbol" w:hint="default"/>
      </w:rPr>
    </w:lvl>
    <w:lvl w:ilvl="1" w:tplc="6D0CBC8C">
      <w:numFmt w:val="decimal"/>
      <w:lvlText w:val=""/>
      <w:lvlJc w:val="left"/>
    </w:lvl>
    <w:lvl w:ilvl="2" w:tplc="C122DDAE">
      <w:numFmt w:val="decimal"/>
      <w:lvlText w:val=""/>
      <w:lvlJc w:val="left"/>
    </w:lvl>
    <w:lvl w:ilvl="3" w:tplc="0F98AB28">
      <w:numFmt w:val="decimal"/>
      <w:lvlText w:val=""/>
      <w:lvlJc w:val="left"/>
    </w:lvl>
    <w:lvl w:ilvl="4" w:tplc="CEA29616">
      <w:numFmt w:val="decimal"/>
      <w:lvlText w:val=""/>
      <w:lvlJc w:val="left"/>
    </w:lvl>
    <w:lvl w:ilvl="5" w:tplc="58E229F2">
      <w:numFmt w:val="decimal"/>
      <w:lvlText w:val=""/>
      <w:lvlJc w:val="left"/>
    </w:lvl>
    <w:lvl w:ilvl="6" w:tplc="A2AC34B0">
      <w:numFmt w:val="decimal"/>
      <w:lvlText w:val=""/>
      <w:lvlJc w:val="left"/>
    </w:lvl>
    <w:lvl w:ilvl="7" w:tplc="C6DEB712">
      <w:numFmt w:val="decimal"/>
      <w:lvlText w:val=""/>
      <w:lvlJc w:val="left"/>
    </w:lvl>
    <w:lvl w:ilvl="8" w:tplc="A01820AC">
      <w:numFmt w:val="decimal"/>
      <w:lvlText w:val=""/>
      <w:lvlJc w:val="left"/>
    </w:lvl>
  </w:abstractNum>
  <w:abstractNum w:abstractNumId="286" w15:restartNumberingAfterBreak="0">
    <w:nsid w:val="204C4493"/>
    <w:multiLevelType w:val="hybridMultilevel"/>
    <w:tmpl w:val="18FAB52C"/>
    <w:lvl w:ilvl="0" w:tplc="0AEEAB10">
      <w:start w:val="1"/>
      <w:numFmt w:val="bullet"/>
      <w:lvlText w:val=""/>
      <w:lvlJc w:val="left"/>
      <w:pPr>
        <w:ind w:left="720" w:hanging="180"/>
      </w:pPr>
      <w:rPr>
        <w:rFonts w:ascii="Symbol" w:hAnsi="Symbol" w:hint="default"/>
      </w:rPr>
    </w:lvl>
    <w:lvl w:ilvl="1" w:tplc="2BFE02DC">
      <w:numFmt w:val="decimal"/>
      <w:lvlText w:val=""/>
      <w:lvlJc w:val="left"/>
    </w:lvl>
    <w:lvl w:ilvl="2" w:tplc="2C8EB646">
      <w:numFmt w:val="decimal"/>
      <w:lvlText w:val=""/>
      <w:lvlJc w:val="left"/>
    </w:lvl>
    <w:lvl w:ilvl="3" w:tplc="49E44468">
      <w:numFmt w:val="decimal"/>
      <w:lvlText w:val=""/>
      <w:lvlJc w:val="left"/>
    </w:lvl>
    <w:lvl w:ilvl="4" w:tplc="AF2A4B0C">
      <w:numFmt w:val="decimal"/>
      <w:lvlText w:val=""/>
      <w:lvlJc w:val="left"/>
    </w:lvl>
    <w:lvl w:ilvl="5" w:tplc="60D43FFE">
      <w:numFmt w:val="decimal"/>
      <w:lvlText w:val=""/>
      <w:lvlJc w:val="left"/>
    </w:lvl>
    <w:lvl w:ilvl="6" w:tplc="73F8748A">
      <w:numFmt w:val="decimal"/>
      <w:lvlText w:val=""/>
      <w:lvlJc w:val="left"/>
    </w:lvl>
    <w:lvl w:ilvl="7" w:tplc="6D780C6E">
      <w:numFmt w:val="decimal"/>
      <w:lvlText w:val=""/>
      <w:lvlJc w:val="left"/>
    </w:lvl>
    <w:lvl w:ilvl="8" w:tplc="42C01E5C">
      <w:numFmt w:val="decimal"/>
      <w:lvlText w:val=""/>
      <w:lvlJc w:val="left"/>
    </w:lvl>
  </w:abstractNum>
  <w:abstractNum w:abstractNumId="287" w15:restartNumberingAfterBreak="0">
    <w:nsid w:val="204F2690"/>
    <w:multiLevelType w:val="hybridMultilevel"/>
    <w:tmpl w:val="35567C32"/>
    <w:lvl w:ilvl="0" w:tplc="24B80C28">
      <w:start w:val="1"/>
      <w:numFmt w:val="bullet"/>
      <w:lvlText w:val=""/>
      <w:lvlJc w:val="left"/>
      <w:pPr>
        <w:ind w:left="720" w:hanging="180"/>
      </w:pPr>
      <w:rPr>
        <w:rFonts w:ascii="Symbol" w:hAnsi="Symbol" w:hint="default"/>
      </w:rPr>
    </w:lvl>
    <w:lvl w:ilvl="1" w:tplc="A9CA5BC8">
      <w:numFmt w:val="decimal"/>
      <w:lvlText w:val=""/>
      <w:lvlJc w:val="left"/>
    </w:lvl>
    <w:lvl w:ilvl="2" w:tplc="64D47B4A">
      <w:numFmt w:val="decimal"/>
      <w:lvlText w:val=""/>
      <w:lvlJc w:val="left"/>
    </w:lvl>
    <w:lvl w:ilvl="3" w:tplc="4BE2B600">
      <w:numFmt w:val="decimal"/>
      <w:lvlText w:val=""/>
      <w:lvlJc w:val="left"/>
    </w:lvl>
    <w:lvl w:ilvl="4" w:tplc="C80862F2">
      <w:numFmt w:val="decimal"/>
      <w:lvlText w:val=""/>
      <w:lvlJc w:val="left"/>
    </w:lvl>
    <w:lvl w:ilvl="5" w:tplc="7B969C82">
      <w:numFmt w:val="decimal"/>
      <w:lvlText w:val=""/>
      <w:lvlJc w:val="left"/>
    </w:lvl>
    <w:lvl w:ilvl="6" w:tplc="B1861514">
      <w:numFmt w:val="decimal"/>
      <w:lvlText w:val=""/>
      <w:lvlJc w:val="left"/>
    </w:lvl>
    <w:lvl w:ilvl="7" w:tplc="18EED9F6">
      <w:numFmt w:val="decimal"/>
      <w:lvlText w:val=""/>
      <w:lvlJc w:val="left"/>
    </w:lvl>
    <w:lvl w:ilvl="8" w:tplc="5E58BE44">
      <w:numFmt w:val="decimal"/>
      <w:lvlText w:val=""/>
      <w:lvlJc w:val="left"/>
    </w:lvl>
  </w:abstractNum>
  <w:abstractNum w:abstractNumId="288" w15:restartNumberingAfterBreak="0">
    <w:nsid w:val="20551056"/>
    <w:multiLevelType w:val="hybridMultilevel"/>
    <w:tmpl w:val="A89024DC"/>
    <w:lvl w:ilvl="0" w:tplc="5004FBE4">
      <w:start w:val="1"/>
      <w:numFmt w:val="bullet"/>
      <w:lvlText w:val=""/>
      <w:lvlJc w:val="left"/>
      <w:pPr>
        <w:ind w:left="720" w:hanging="180"/>
      </w:pPr>
      <w:rPr>
        <w:rFonts w:ascii="Symbol" w:hAnsi="Symbol" w:hint="default"/>
      </w:rPr>
    </w:lvl>
    <w:lvl w:ilvl="1" w:tplc="1D4C48E4">
      <w:numFmt w:val="decimal"/>
      <w:lvlText w:val=""/>
      <w:lvlJc w:val="left"/>
    </w:lvl>
    <w:lvl w:ilvl="2" w:tplc="C1FA3496">
      <w:numFmt w:val="decimal"/>
      <w:lvlText w:val=""/>
      <w:lvlJc w:val="left"/>
    </w:lvl>
    <w:lvl w:ilvl="3" w:tplc="C4324A4E">
      <w:numFmt w:val="decimal"/>
      <w:lvlText w:val=""/>
      <w:lvlJc w:val="left"/>
    </w:lvl>
    <w:lvl w:ilvl="4" w:tplc="DEE8F428">
      <w:numFmt w:val="decimal"/>
      <w:lvlText w:val=""/>
      <w:lvlJc w:val="left"/>
    </w:lvl>
    <w:lvl w:ilvl="5" w:tplc="69AEA808">
      <w:numFmt w:val="decimal"/>
      <w:lvlText w:val=""/>
      <w:lvlJc w:val="left"/>
    </w:lvl>
    <w:lvl w:ilvl="6" w:tplc="CFCC4DD6">
      <w:numFmt w:val="decimal"/>
      <w:lvlText w:val=""/>
      <w:lvlJc w:val="left"/>
    </w:lvl>
    <w:lvl w:ilvl="7" w:tplc="975E9D62">
      <w:numFmt w:val="decimal"/>
      <w:lvlText w:val=""/>
      <w:lvlJc w:val="left"/>
    </w:lvl>
    <w:lvl w:ilvl="8" w:tplc="49662E26">
      <w:numFmt w:val="decimal"/>
      <w:lvlText w:val=""/>
      <w:lvlJc w:val="left"/>
    </w:lvl>
  </w:abstractNum>
  <w:abstractNum w:abstractNumId="289" w15:restartNumberingAfterBreak="0">
    <w:nsid w:val="208F5565"/>
    <w:multiLevelType w:val="hybridMultilevel"/>
    <w:tmpl w:val="872C4148"/>
    <w:lvl w:ilvl="0" w:tplc="F7DC3D6C">
      <w:start w:val="1"/>
      <w:numFmt w:val="bullet"/>
      <w:lvlText w:val=""/>
      <w:lvlJc w:val="left"/>
      <w:pPr>
        <w:ind w:left="720" w:hanging="180"/>
      </w:pPr>
      <w:rPr>
        <w:rFonts w:ascii="Symbol" w:hAnsi="Symbol" w:hint="default"/>
      </w:rPr>
    </w:lvl>
    <w:lvl w:ilvl="1" w:tplc="BC189046">
      <w:numFmt w:val="decimal"/>
      <w:lvlText w:val=""/>
      <w:lvlJc w:val="left"/>
    </w:lvl>
    <w:lvl w:ilvl="2" w:tplc="4222A5BC">
      <w:numFmt w:val="decimal"/>
      <w:lvlText w:val=""/>
      <w:lvlJc w:val="left"/>
    </w:lvl>
    <w:lvl w:ilvl="3" w:tplc="95AC72F6">
      <w:numFmt w:val="decimal"/>
      <w:lvlText w:val=""/>
      <w:lvlJc w:val="left"/>
    </w:lvl>
    <w:lvl w:ilvl="4" w:tplc="A9801BBA">
      <w:numFmt w:val="decimal"/>
      <w:lvlText w:val=""/>
      <w:lvlJc w:val="left"/>
    </w:lvl>
    <w:lvl w:ilvl="5" w:tplc="FC20F140">
      <w:numFmt w:val="decimal"/>
      <w:lvlText w:val=""/>
      <w:lvlJc w:val="left"/>
    </w:lvl>
    <w:lvl w:ilvl="6" w:tplc="EEDE5F76">
      <w:numFmt w:val="decimal"/>
      <w:lvlText w:val=""/>
      <w:lvlJc w:val="left"/>
    </w:lvl>
    <w:lvl w:ilvl="7" w:tplc="8A9E3F58">
      <w:numFmt w:val="decimal"/>
      <w:lvlText w:val=""/>
      <w:lvlJc w:val="left"/>
    </w:lvl>
    <w:lvl w:ilvl="8" w:tplc="9780759E">
      <w:numFmt w:val="decimal"/>
      <w:lvlText w:val=""/>
      <w:lvlJc w:val="left"/>
    </w:lvl>
  </w:abstractNum>
  <w:abstractNum w:abstractNumId="290" w15:restartNumberingAfterBreak="0">
    <w:nsid w:val="208F56A5"/>
    <w:multiLevelType w:val="hybridMultilevel"/>
    <w:tmpl w:val="9B601EF8"/>
    <w:lvl w:ilvl="0" w:tplc="552A9B84">
      <w:start w:val="1"/>
      <w:numFmt w:val="bullet"/>
      <w:lvlText w:val=""/>
      <w:lvlJc w:val="left"/>
      <w:pPr>
        <w:ind w:left="720" w:hanging="180"/>
      </w:pPr>
      <w:rPr>
        <w:rFonts w:ascii="Symbol" w:hAnsi="Symbol" w:hint="default"/>
      </w:rPr>
    </w:lvl>
    <w:lvl w:ilvl="1" w:tplc="8260FBC0">
      <w:numFmt w:val="decimal"/>
      <w:lvlText w:val=""/>
      <w:lvlJc w:val="left"/>
    </w:lvl>
    <w:lvl w:ilvl="2" w:tplc="BCCC8FBA">
      <w:numFmt w:val="decimal"/>
      <w:lvlText w:val=""/>
      <w:lvlJc w:val="left"/>
    </w:lvl>
    <w:lvl w:ilvl="3" w:tplc="735C24A4">
      <w:numFmt w:val="decimal"/>
      <w:lvlText w:val=""/>
      <w:lvlJc w:val="left"/>
    </w:lvl>
    <w:lvl w:ilvl="4" w:tplc="24EA9068">
      <w:numFmt w:val="decimal"/>
      <w:lvlText w:val=""/>
      <w:lvlJc w:val="left"/>
    </w:lvl>
    <w:lvl w:ilvl="5" w:tplc="752484E2">
      <w:numFmt w:val="decimal"/>
      <w:lvlText w:val=""/>
      <w:lvlJc w:val="left"/>
    </w:lvl>
    <w:lvl w:ilvl="6" w:tplc="4C2C93DC">
      <w:numFmt w:val="decimal"/>
      <w:lvlText w:val=""/>
      <w:lvlJc w:val="left"/>
    </w:lvl>
    <w:lvl w:ilvl="7" w:tplc="FF90D29C">
      <w:numFmt w:val="decimal"/>
      <w:lvlText w:val=""/>
      <w:lvlJc w:val="left"/>
    </w:lvl>
    <w:lvl w:ilvl="8" w:tplc="58B21BD4">
      <w:numFmt w:val="decimal"/>
      <w:lvlText w:val=""/>
      <w:lvlJc w:val="left"/>
    </w:lvl>
  </w:abstractNum>
  <w:abstractNum w:abstractNumId="291" w15:restartNumberingAfterBreak="0">
    <w:nsid w:val="209F2219"/>
    <w:multiLevelType w:val="hybridMultilevel"/>
    <w:tmpl w:val="964A14E8"/>
    <w:lvl w:ilvl="0" w:tplc="807808A6">
      <w:start w:val="1"/>
      <w:numFmt w:val="bullet"/>
      <w:lvlText w:val=""/>
      <w:lvlJc w:val="left"/>
      <w:pPr>
        <w:ind w:left="720" w:hanging="180"/>
      </w:pPr>
      <w:rPr>
        <w:rFonts w:ascii="Symbol" w:hAnsi="Symbol" w:hint="default"/>
      </w:rPr>
    </w:lvl>
    <w:lvl w:ilvl="1" w:tplc="483C955E">
      <w:numFmt w:val="decimal"/>
      <w:lvlText w:val=""/>
      <w:lvlJc w:val="left"/>
    </w:lvl>
    <w:lvl w:ilvl="2" w:tplc="B3625EE6">
      <w:numFmt w:val="decimal"/>
      <w:lvlText w:val=""/>
      <w:lvlJc w:val="left"/>
    </w:lvl>
    <w:lvl w:ilvl="3" w:tplc="0FCC88CC">
      <w:numFmt w:val="decimal"/>
      <w:lvlText w:val=""/>
      <w:lvlJc w:val="left"/>
    </w:lvl>
    <w:lvl w:ilvl="4" w:tplc="75AEF5B2">
      <w:numFmt w:val="decimal"/>
      <w:lvlText w:val=""/>
      <w:lvlJc w:val="left"/>
    </w:lvl>
    <w:lvl w:ilvl="5" w:tplc="5D7A7174">
      <w:numFmt w:val="decimal"/>
      <w:lvlText w:val=""/>
      <w:lvlJc w:val="left"/>
    </w:lvl>
    <w:lvl w:ilvl="6" w:tplc="D61212C8">
      <w:numFmt w:val="decimal"/>
      <w:lvlText w:val=""/>
      <w:lvlJc w:val="left"/>
    </w:lvl>
    <w:lvl w:ilvl="7" w:tplc="BF3ACFAE">
      <w:numFmt w:val="decimal"/>
      <w:lvlText w:val=""/>
      <w:lvlJc w:val="left"/>
    </w:lvl>
    <w:lvl w:ilvl="8" w:tplc="EE42E792">
      <w:numFmt w:val="decimal"/>
      <w:lvlText w:val=""/>
      <w:lvlJc w:val="left"/>
    </w:lvl>
  </w:abstractNum>
  <w:abstractNum w:abstractNumId="292" w15:restartNumberingAfterBreak="0">
    <w:nsid w:val="20A62575"/>
    <w:multiLevelType w:val="hybridMultilevel"/>
    <w:tmpl w:val="50ECEA48"/>
    <w:lvl w:ilvl="0" w:tplc="571AF256">
      <w:start w:val="1"/>
      <w:numFmt w:val="bullet"/>
      <w:lvlText w:val=""/>
      <w:lvlJc w:val="left"/>
      <w:pPr>
        <w:ind w:left="720" w:hanging="180"/>
      </w:pPr>
      <w:rPr>
        <w:rFonts w:ascii="Symbol" w:hAnsi="Symbol" w:hint="default"/>
      </w:rPr>
    </w:lvl>
    <w:lvl w:ilvl="1" w:tplc="73447E94">
      <w:numFmt w:val="decimal"/>
      <w:lvlText w:val=""/>
      <w:lvlJc w:val="left"/>
    </w:lvl>
    <w:lvl w:ilvl="2" w:tplc="6832ADC0">
      <w:numFmt w:val="decimal"/>
      <w:lvlText w:val=""/>
      <w:lvlJc w:val="left"/>
    </w:lvl>
    <w:lvl w:ilvl="3" w:tplc="5234F824">
      <w:numFmt w:val="decimal"/>
      <w:lvlText w:val=""/>
      <w:lvlJc w:val="left"/>
    </w:lvl>
    <w:lvl w:ilvl="4" w:tplc="43324C2E">
      <w:numFmt w:val="decimal"/>
      <w:lvlText w:val=""/>
      <w:lvlJc w:val="left"/>
    </w:lvl>
    <w:lvl w:ilvl="5" w:tplc="F2AEA428">
      <w:numFmt w:val="decimal"/>
      <w:lvlText w:val=""/>
      <w:lvlJc w:val="left"/>
    </w:lvl>
    <w:lvl w:ilvl="6" w:tplc="0D76EDA0">
      <w:numFmt w:val="decimal"/>
      <w:lvlText w:val=""/>
      <w:lvlJc w:val="left"/>
    </w:lvl>
    <w:lvl w:ilvl="7" w:tplc="C04CAB1A">
      <w:numFmt w:val="decimal"/>
      <w:lvlText w:val=""/>
      <w:lvlJc w:val="left"/>
    </w:lvl>
    <w:lvl w:ilvl="8" w:tplc="A4FE17AE">
      <w:numFmt w:val="decimal"/>
      <w:lvlText w:val=""/>
      <w:lvlJc w:val="left"/>
    </w:lvl>
  </w:abstractNum>
  <w:abstractNum w:abstractNumId="293" w15:restartNumberingAfterBreak="0">
    <w:nsid w:val="20D6622D"/>
    <w:multiLevelType w:val="hybridMultilevel"/>
    <w:tmpl w:val="3D149D8A"/>
    <w:lvl w:ilvl="0" w:tplc="4754F2C0">
      <w:start w:val="1"/>
      <w:numFmt w:val="bullet"/>
      <w:lvlText w:val=""/>
      <w:lvlJc w:val="left"/>
      <w:pPr>
        <w:ind w:left="720" w:hanging="180"/>
      </w:pPr>
      <w:rPr>
        <w:rFonts w:ascii="Symbol" w:hAnsi="Symbol" w:hint="default"/>
      </w:rPr>
    </w:lvl>
    <w:lvl w:ilvl="1" w:tplc="3350FE0C">
      <w:numFmt w:val="decimal"/>
      <w:lvlText w:val=""/>
      <w:lvlJc w:val="left"/>
    </w:lvl>
    <w:lvl w:ilvl="2" w:tplc="A5D67934">
      <w:numFmt w:val="decimal"/>
      <w:lvlText w:val=""/>
      <w:lvlJc w:val="left"/>
    </w:lvl>
    <w:lvl w:ilvl="3" w:tplc="51A22778">
      <w:numFmt w:val="decimal"/>
      <w:lvlText w:val=""/>
      <w:lvlJc w:val="left"/>
    </w:lvl>
    <w:lvl w:ilvl="4" w:tplc="A3F45F60">
      <w:numFmt w:val="decimal"/>
      <w:lvlText w:val=""/>
      <w:lvlJc w:val="left"/>
    </w:lvl>
    <w:lvl w:ilvl="5" w:tplc="67CA17E2">
      <w:numFmt w:val="decimal"/>
      <w:lvlText w:val=""/>
      <w:lvlJc w:val="left"/>
    </w:lvl>
    <w:lvl w:ilvl="6" w:tplc="9AC64086">
      <w:numFmt w:val="decimal"/>
      <w:lvlText w:val=""/>
      <w:lvlJc w:val="left"/>
    </w:lvl>
    <w:lvl w:ilvl="7" w:tplc="E4A2D2F2">
      <w:numFmt w:val="decimal"/>
      <w:lvlText w:val=""/>
      <w:lvlJc w:val="left"/>
    </w:lvl>
    <w:lvl w:ilvl="8" w:tplc="41F0FF8E">
      <w:numFmt w:val="decimal"/>
      <w:lvlText w:val=""/>
      <w:lvlJc w:val="left"/>
    </w:lvl>
  </w:abstractNum>
  <w:abstractNum w:abstractNumId="294" w15:restartNumberingAfterBreak="0">
    <w:nsid w:val="20E241D8"/>
    <w:multiLevelType w:val="hybridMultilevel"/>
    <w:tmpl w:val="870EC52C"/>
    <w:lvl w:ilvl="0" w:tplc="CB7C084E">
      <w:start w:val="1"/>
      <w:numFmt w:val="bullet"/>
      <w:lvlText w:val=""/>
      <w:lvlJc w:val="left"/>
      <w:pPr>
        <w:ind w:left="720" w:hanging="180"/>
      </w:pPr>
      <w:rPr>
        <w:rFonts w:ascii="Symbol" w:hAnsi="Symbol" w:hint="default"/>
      </w:rPr>
    </w:lvl>
    <w:lvl w:ilvl="1" w:tplc="F218272A">
      <w:numFmt w:val="decimal"/>
      <w:lvlText w:val=""/>
      <w:lvlJc w:val="left"/>
    </w:lvl>
    <w:lvl w:ilvl="2" w:tplc="C45EC29E">
      <w:numFmt w:val="decimal"/>
      <w:lvlText w:val=""/>
      <w:lvlJc w:val="left"/>
    </w:lvl>
    <w:lvl w:ilvl="3" w:tplc="C7D61A48">
      <w:numFmt w:val="decimal"/>
      <w:lvlText w:val=""/>
      <w:lvlJc w:val="left"/>
    </w:lvl>
    <w:lvl w:ilvl="4" w:tplc="C254BFF6">
      <w:numFmt w:val="decimal"/>
      <w:lvlText w:val=""/>
      <w:lvlJc w:val="left"/>
    </w:lvl>
    <w:lvl w:ilvl="5" w:tplc="BC0EFC16">
      <w:numFmt w:val="decimal"/>
      <w:lvlText w:val=""/>
      <w:lvlJc w:val="left"/>
    </w:lvl>
    <w:lvl w:ilvl="6" w:tplc="809C4802">
      <w:numFmt w:val="decimal"/>
      <w:lvlText w:val=""/>
      <w:lvlJc w:val="left"/>
    </w:lvl>
    <w:lvl w:ilvl="7" w:tplc="0076F562">
      <w:numFmt w:val="decimal"/>
      <w:lvlText w:val=""/>
      <w:lvlJc w:val="left"/>
    </w:lvl>
    <w:lvl w:ilvl="8" w:tplc="322E991A">
      <w:numFmt w:val="decimal"/>
      <w:lvlText w:val=""/>
      <w:lvlJc w:val="left"/>
    </w:lvl>
  </w:abstractNum>
  <w:abstractNum w:abstractNumId="295" w15:restartNumberingAfterBreak="0">
    <w:nsid w:val="20EB05EE"/>
    <w:multiLevelType w:val="hybridMultilevel"/>
    <w:tmpl w:val="503EC650"/>
    <w:lvl w:ilvl="0" w:tplc="A6E4ED6E">
      <w:start w:val="1"/>
      <w:numFmt w:val="bullet"/>
      <w:lvlText w:val=""/>
      <w:lvlJc w:val="left"/>
      <w:pPr>
        <w:ind w:left="720" w:hanging="180"/>
      </w:pPr>
      <w:rPr>
        <w:rFonts w:ascii="Symbol" w:hAnsi="Symbol" w:hint="default"/>
      </w:rPr>
    </w:lvl>
    <w:lvl w:ilvl="1" w:tplc="28A814EE">
      <w:numFmt w:val="decimal"/>
      <w:lvlText w:val=""/>
      <w:lvlJc w:val="left"/>
    </w:lvl>
    <w:lvl w:ilvl="2" w:tplc="67A2108C">
      <w:numFmt w:val="decimal"/>
      <w:lvlText w:val=""/>
      <w:lvlJc w:val="left"/>
    </w:lvl>
    <w:lvl w:ilvl="3" w:tplc="0CD8096A">
      <w:numFmt w:val="decimal"/>
      <w:lvlText w:val=""/>
      <w:lvlJc w:val="left"/>
    </w:lvl>
    <w:lvl w:ilvl="4" w:tplc="928C7506">
      <w:numFmt w:val="decimal"/>
      <w:lvlText w:val=""/>
      <w:lvlJc w:val="left"/>
    </w:lvl>
    <w:lvl w:ilvl="5" w:tplc="CA5601C2">
      <w:numFmt w:val="decimal"/>
      <w:lvlText w:val=""/>
      <w:lvlJc w:val="left"/>
    </w:lvl>
    <w:lvl w:ilvl="6" w:tplc="B1047168">
      <w:numFmt w:val="decimal"/>
      <w:lvlText w:val=""/>
      <w:lvlJc w:val="left"/>
    </w:lvl>
    <w:lvl w:ilvl="7" w:tplc="2372117E">
      <w:numFmt w:val="decimal"/>
      <w:lvlText w:val=""/>
      <w:lvlJc w:val="left"/>
    </w:lvl>
    <w:lvl w:ilvl="8" w:tplc="4E965618">
      <w:numFmt w:val="decimal"/>
      <w:lvlText w:val=""/>
      <w:lvlJc w:val="left"/>
    </w:lvl>
  </w:abstractNum>
  <w:abstractNum w:abstractNumId="296" w15:restartNumberingAfterBreak="0">
    <w:nsid w:val="20EE7151"/>
    <w:multiLevelType w:val="hybridMultilevel"/>
    <w:tmpl w:val="00B0AB3E"/>
    <w:lvl w:ilvl="0" w:tplc="F7229300">
      <w:start w:val="1"/>
      <w:numFmt w:val="bullet"/>
      <w:lvlText w:val=""/>
      <w:lvlJc w:val="left"/>
      <w:pPr>
        <w:ind w:left="720" w:hanging="180"/>
      </w:pPr>
      <w:rPr>
        <w:rFonts w:ascii="Symbol" w:hAnsi="Symbol" w:hint="default"/>
      </w:rPr>
    </w:lvl>
    <w:lvl w:ilvl="1" w:tplc="DC7C2F1C">
      <w:numFmt w:val="decimal"/>
      <w:lvlText w:val=""/>
      <w:lvlJc w:val="left"/>
    </w:lvl>
    <w:lvl w:ilvl="2" w:tplc="AE3A77F6">
      <w:numFmt w:val="decimal"/>
      <w:lvlText w:val=""/>
      <w:lvlJc w:val="left"/>
    </w:lvl>
    <w:lvl w:ilvl="3" w:tplc="A51472EC">
      <w:numFmt w:val="decimal"/>
      <w:lvlText w:val=""/>
      <w:lvlJc w:val="left"/>
    </w:lvl>
    <w:lvl w:ilvl="4" w:tplc="37E01B04">
      <w:numFmt w:val="decimal"/>
      <w:lvlText w:val=""/>
      <w:lvlJc w:val="left"/>
    </w:lvl>
    <w:lvl w:ilvl="5" w:tplc="AE0A469C">
      <w:numFmt w:val="decimal"/>
      <w:lvlText w:val=""/>
      <w:lvlJc w:val="left"/>
    </w:lvl>
    <w:lvl w:ilvl="6" w:tplc="23247A9E">
      <w:numFmt w:val="decimal"/>
      <w:lvlText w:val=""/>
      <w:lvlJc w:val="left"/>
    </w:lvl>
    <w:lvl w:ilvl="7" w:tplc="961C24A0">
      <w:numFmt w:val="decimal"/>
      <w:lvlText w:val=""/>
      <w:lvlJc w:val="left"/>
    </w:lvl>
    <w:lvl w:ilvl="8" w:tplc="81C26D4E">
      <w:numFmt w:val="decimal"/>
      <w:lvlText w:val=""/>
      <w:lvlJc w:val="left"/>
    </w:lvl>
  </w:abstractNum>
  <w:abstractNum w:abstractNumId="297" w15:restartNumberingAfterBreak="0">
    <w:nsid w:val="21155FBC"/>
    <w:multiLevelType w:val="hybridMultilevel"/>
    <w:tmpl w:val="D48CADBA"/>
    <w:lvl w:ilvl="0" w:tplc="4204FD84">
      <w:start w:val="1"/>
      <w:numFmt w:val="bullet"/>
      <w:lvlText w:val=""/>
      <w:lvlJc w:val="left"/>
      <w:pPr>
        <w:ind w:left="720" w:hanging="180"/>
      </w:pPr>
      <w:rPr>
        <w:rFonts w:ascii="Symbol" w:hAnsi="Symbol" w:hint="default"/>
      </w:rPr>
    </w:lvl>
    <w:lvl w:ilvl="1" w:tplc="35C2A626">
      <w:numFmt w:val="decimal"/>
      <w:lvlText w:val=""/>
      <w:lvlJc w:val="left"/>
    </w:lvl>
    <w:lvl w:ilvl="2" w:tplc="AC523436">
      <w:numFmt w:val="decimal"/>
      <w:lvlText w:val=""/>
      <w:lvlJc w:val="left"/>
    </w:lvl>
    <w:lvl w:ilvl="3" w:tplc="6FD83570">
      <w:numFmt w:val="decimal"/>
      <w:lvlText w:val=""/>
      <w:lvlJc w:val="left"/>
    </w:lvl>
    <w:lvl w:ilvl="4" w:tplc="82A21F94">
      <w:numFmt w:val="decimal"/>
      <w:lvlText w:val=""/>
      <w:lvlJc w:val="left"/>
    </w:lvl>
    <w:lvl w:ilvl="5" w:tplc="CEA06174">
      <w:numFmt w:val="decimal"/>
      <w:lvlText w:val=""/>
      <w:lvlJc w:val="left"/>
    </w:lvl>
    <w:lvl w:ilvl="6" w:tplc="02EC91F2">
      <w:numFmt w:val="decimal"/>
      <w:lvlText w:val=""/>
      <w:lvlJc w:val="left"/>
    </w:lvl>
    <w:lvl w:ilvl="7" w:tplc="9EC456BC">
      <w:numFmt w:val="decimal"/>
      <w:lvlText w:val=""/>
      <w:lvlJc w:val="left"/>
    </w:lvl>
    <w:lvl w:ilvl="8" w:tplc="D3C49CE4">
      <w:numFmt w:val="decimal"/>
      <w:lvlText w:val=""/>
      <w:lvlJc w:val="left"/>
    </w:lvl>
  </w:abstractNum>
  <w:abstractNum w:abstractNumId="298" w15:restartNumberingAfterBreak="0">
    <w:nsid w:val="21392E7E"/>
    <w:multiLevelType w:val="hybridMultilevel"/>
    <w:tmpl w:val="993AE0DC"/>
    <w:lvl w:ilvl="0" w:tplc="10921138">
      <w:start w:val="1"/>
      <w:numFmt w:val="bullet"/>
      <w:lvlText w:val=""/>
      <w:lvlJc w:val="left"/>
      <w:pPr>
        <w:ind w:left="720" w:hanging="180"/>
      </w:pPr>
      <w:rPr>
        <w:rFonts w:ascii="Symbol" w:hAnsi="Symbol" w:hint="default"/>
      </w:rPr>
    </w:lvl>
    <w:lvl w:ilvl="1" w:tplc="E6E6BDA4">
      <w:numFmt w:val="decimal"/>
      <w:lvlText w:val=""/>
      <w:lvlJc w:val="left"/>
    </w:lvl>
    <w:lvl w:ilvl="2" w:tplc="E26AB80C">
      <w:numFmt w:val="decimal"/>
      <w:lvlText w:val=""/>
      <w:lvlJc w:val="left"/>
    </w:lvl>
    <w:lvl w:ilvl="3" w:tplc="5B0AF268">
      <w:numFmt w:val="decimal"/>
      <w:lvlText w:val=""/>
      <w:lvlJc w:val="left"/>
    </w:lvl>
    <w:lvl w:ilvl="4" w:tplc="0E74B420">
      <w:numFmt w:val="decimal"/>
      <w:lvlText w:val=""/>
      <w:lvlJc w:val="left"/>
    </w:lvl>
    <w:lvl w:ilvl="5" w:tplc="E2241FC8">
      <w:numFmt w:val="decimal"/>
      <w:lvlText w:val=""/>
      <w:lvlJc w:val="left"/>
    </w:lvl>
    <w:lvl w:ilvl="6" w:tplc="A0E29B86">
      <w:numFmt w:val="decimal"/>
      <w:lvlText w:val=""/>
      <w:lvlJc w:val="left"/>
    </w:lvl>
    <w:lvl w:ilvl="7" w:tplc="135C1D5C">
      <w:numFmt w:val="decimal"/>
      <w:lvlText w:val=""/>
      <w:lvlJc w:val="left"/>
    </w:lvl>
    <w:lvl w:ilvl="8" w:tplc="BD7603CA">
      <w:numFmt w:val="decimal"/>
      <w:lvlText w:val=""/>
      <w:lvlJc w:val="left"/>
    </w:lvl>
  </w:abstractNum>
  <w:abstractNum w:abstractNumId="299" w15:restartNumberingAfterBreak="0">
    <w:nsid w:val="21643D62"/>
    <w:multiLevelType w:val="hybridMultilevel"/>
    <w:tmpl w:val="4268DC2C"/>
    <w:lvl w:ilvl="0" w:tplc="25E045C8">
      <w:start w:val="1"/>
      <w:numFmt w:val="bullet"/>
      <w:lvlText w:val=""/>
      <w:lvlJc w:val="left"/>
      <w:pPr>
        <w:ind w:left="720" w:hanging="180"/>
      </w:pPr>
      <w:rPr>
        <w:rFonts w:ascii="Symbol" w:hAnsi="Symbol" w:hint="default"/>
      </w:rPr>
    </w:lvl>
    <w:lvl w:ilvl="1" w:tplc="702CD696">
      <w:numFmt w:val="decimal"/>
      <w:lvlText w:val=""/>
      <w:lvlJc w:val="left"/>
    </w:lvl>
    <w:lvl w:ilvl="2" w:tplc="CECAA7B4">
      <w:numFmt w:val="decimal"/>
      <w:lvlText w:val=""/>
      <w:lvlJc w:val="left"/>
    </w:lvl>
    <w:lvl w:ilvl="3" w:tplc="1D14E712">
      <w:numFmt w:val="decimal"/>
      <w:lvlText w:val=""/>
      <w:lvlJc w:val="left"/>
    </w:lvl>
    <w:lvl w:ilvl="4" w:tplc="2CF2961A">
      <w:numFmt w:val="decimal"/>
      <w:lvlText w:val=""/>
      <w:lvlJc w:val="left"/>
    </w:lvl>
    <w:lvl w:ilvl="5" w:tplc="DFA09C9A">
      <w:numFmt w:val="decimal"/>
      <w:lvlText w:val=""/>
      <w:lvlJc w:val="left"/>
    </w:lvl>
    <w:lvl w:ilvl="6" w:tplc="2AEE6B56">
      <w:numFmt w:val="decimal"/>
      <w:lvlText w:val=""/>
      <w:lvlJc w:val="left"/>
    </w:lvl>
    <w:lvl w:ilvl="7" w:tplc="424021CA">
      <w:numFmt w:val="decimal"/>
      <w:lvlText w:val=""/>
      <w:lvlJc w:val="left"/>
    </w:lvl>
    <w:lvl w:ilvl="8" w:tplc="AB52E97C">
      <w:numFmt w:val="decimal"/>
      <w:lvlText w:val=""/>
      <w:lvlJc w:val="left"/>
    </w:lvl>
  </w:abstractNum>
  <w:abstractNum w:abstractNumId="300" w15:restartNumberingAfterBreak="0">
    <w:nsid w:val="21754AA4"/>
    <w:multiLevelType w:val="hybridMultilevel"/>
    <w:tmpl w:val="5A886C18"/>
    <w:lvl w:ilvl="0" w:tplc="65F62A9A">
      <w:start w:val="1"/>
      <w:numFmt w:val="bullet"/>
      <w:lvlText w:val=""/>
      <w:lvlJc w:val="left"/>
      <w:pPr>
        <w:ind w:left="720" w:hanging="180"/>
      </w:pPr>
      <w:rPr>
        <w:rFonts w:ascii="Symbol" w:hAnsi="Symbol" w:hint="default"/>
      </w:rPr>
    </w:lvl>
    <w:lvl w:ilvl="1" w:tplc="9D9CDBAE">
      <w:numFmt w:val="decimal"/>
      <w:lvlText w:val=""/>
      <w:lvlJc w:val="left"/>
    </w:lvl>
    <w:lvl w:ilvl="2" w:tplc="4016EFD6">
      <w:numFmt w:val="decimal"/>
      <w:lvlText w:val=""/>
      <w:lvlJc w:val="left"/>
    </w:lvl>
    <w:lvl w:ilvl="3" w:tplc="6C64C0F4">
      <w:numFmt w:val="decimal"/>
      <w:lvlText w:val=""/>
      <w:lvlJc w:val="left"/>
    </w:lvl>
    <w:lvl w:ilvl="4" w:tplc="F56CFABC">
      <w:numFmt w:val="decimal"/>
      <w:lvlText w:val=""/>
      <w:lvlJc w:val="left"/>
    </w:lvl>
    <w:lvl w:ilvl="5" w:tplc="92487B0A">
      <w:numFmt w:val="decimal"/>
      <w:lvlText w:val=""/>
      <w:lvlJc w:val="left"/>
    </w:lvl>
    <w:lvl w:ilvl="6" w:tplc="8E2E20FA">
      <w:numFmt w:val="decimal"/>
      <w:lvlText w:val=""/>
      <w:lvlJc w:val="left"/>
    </w:lvl>
    <w:lvl w:ilvl="7" w:tplc="77D8F86A">
      <w:numFmt w:val="decimal"/>
      <w:lvlText w:val=""/>
      <w:lvlJc w:val="left"/>
    </w:lvl>
    <w:lvl w:ilvl="8" w:tplc="B3148346">
      <w:numFmt w:val="decimal"/>
      <w:lvlText w:val=""/>
      <w:lvlJc w:val="left"/>
    </w:lvl>
  </w:abstractNum>
  <w:abstractNum w:abstractNumId="301" w15:restartNumberingAfterBreak="0">
    <w:nsid w:val="218D6441"/>
    <w:multiLevelType w:val="hybridMultilevel"/>
    <w:tmpl w:val="96BE6EB4"/>
    <w:lvl w:ilvl="0" w:tplc="490C9F1C">
      <w:start w:val="1"/>
      <w:numFmt w:val="bullet"/>
      <w:lvlText w:val=""/>
      <w:lvlJc w:val="left"/>
      <w:pPr>
        <w:ind w:left="720" w:hanging="180"/>
      </w:pPr>
      <w:rPr>
        <w:rFonts w:ascii="Symbol" w:hAnsi="Symbol" w:hint="default"/>
      </w:rPr>
    </w:lvl>
    <w:lvl w:ilvl="1" w:tplc="876A7FD6">
      <w:numFmt w:val="decimal"/>
      <w:lvlText w:val=""/>
      <w:lvlJc w:val="left"/>
    </w:lvl>
    <w:lvl w:ilvl="2" w:tplc="B96C0B24">
      <w:numFmt w:val="decimal"/>
      <w:lvlText w:val=""/>
      <w:lvlJc w:val="left"/>
    </w:lvl>
    <w:lvl w:ilvl="3" w:tplc="CB38D534">
      <w:numFmt w:val="decimal"/>
      <w:lvlText w:val=""/>
      <w:lvlJc w:val="left"/>
    </w:lvl>
    <w:lvl w:ilvl="4" w:tplc="B8C4ED56">
      <w:numFmt w:val="decimal"/>
      <w:lvlText w:val=""/>
      <w:lvlJc w:val="left"/>
    </w:lvl>
    <w:lvl w:ilvl="5" w:tplc="9086F1B0">
      <w:numFmt w:val="decimal"/>
      <w:lvlText w:val=""/>
      <w:lvlJc w:val="left"/>
    </w:lvl>
    <w:lvl w:ilvl="6" w:tplc="A254E242">
      <w:numFmt w:val="decimal"/>
      <w:lvlText w:val=""/>
      <w:lvlJc w:val="left"/>
    </w:lvl>
    <w:lvl w:ilvl="7" w:tplc="945CF91E">
      <w:numFmt w:val="decimal"/>
      <w:lvlText w:val=""/>
      <w:lvlJc w:val="left"/>
    </w:lvl>
    <w:lvl w:ilvl="8" w:tplc="92D44C36">
      <w:numFmt w:val="decimal"/>
      <w:lvlText w:val=""/>
      <w:lvlJc w:val="left"/>
    </w:lvl>
  </w:abstractNum>
  <w:abstractNum w:abstractNumId="302" w15:restartNumberingAfterBreak="0">
    <w:nsid w:val="219C260D"/>
    <w:multiLevelType w:val="hybridMultilevel"/>
    <w:tmpl w:val="E0E8CC20"/>
    <w:lvl w:ilvl="0" w:tplc="918E89F0">
      <w:start w:val="1"/>
      <w:numFmt w:val="bullet"/>
      <w:lvlText w:val=""/>
      <w:lvlJc w:val="left"/>
      <w:pPr>
        <w:ind w:left="720" w:hanging="180"/>
      </w:pPr>
      <w:rPr>
        <w:rFonts w:ascii="Symbol" w:hAnsi="Symbol" w:hint="default"/>
      </w:rPr>
    </w:lvl>
    <w:lvl w:ilvl="1" w:tplc="5AE46378">
      <w:numFmt w:val="decimal"/>
      <w:lvlText w:val=""/>
      <w:lvlJc w:val="left"/>
    </w:lvl>
    <w:lvl w:ilvl="2" w:tplc="5E600B46">
      <w:numFmt w:val="decimal"/>
      <w:lvlText w:val=""/>
      <w:lvlJc w:val="left"/>
    </w:lvl>
    <w:lvl w:ilvl="3" w:tplc="DF3A4352">
      <w:numFmt w:val="decimal"/>
      <w:lvlText w:val=""/>
      <w:lvlJc w:val="left"/>
    </w:lvl>
    <w:lvl w:ilvl="4" w:tplc="1EDC6386">
      <w:numFmt w:val="decimal"/>
      <w:lvlText w:val=""/>
      <w:lvlJc w:val="left"/>
    </w:lvl>
    <w:lvl w:ilvl="5" w:tplc="64BAC784">
      <w:numFmt w:val="decimal"/>
      <w:lvlText w:val=""/>
      <w:lvlJc w:val="left"/>
    </w:lvl>
    <w:lvl w:ilvl="6" w:tplc="B282CB50">
      <w:numFmt w:val="decimal"/>
      <w:lvlText w:val=""/>
      <w:lvlJc w:val="left"/>
    </w:lvl>
    <w:lvl w:ilvl="7" w:tplc="6D9699B8">
      <w:numFmt w:val="decimal"/>
      <w:lvlText w:val=""/>
      <w:lvlJc w:val="left"/>
    </w:lvl>
    <w:lvl w:ilvl="8" w:tplc="C0A039E0">
      <w:numFmt w:val="decimal"/>
      <w:lvlText w:val=""/>
      <w:lvlJc w:val="left"/>
    </w:lvl>
  </w:abstractNum>
  <w:abstractNum w:abstractNumId="303" w15:restartNumberingAfterBreak="0">
    <w:nsid w:val="21B14632"/>
    <w:multiLevelType w:val="hybridMultilevel"/>
    <w:tmpl w:val="4A680324"/>
    <w:lvl w:ilvl="0" w:tplc="F3AEE4E2">
      <w:numFmt w:val="decimal"/>
      <w:lvlText w:val=""/>
      <w:lvlJc w:val="left"/>
    </w:lvl>
    <w:lvl w:ilvl="1" w:tplc="4F0CFDFA">
      <w:start w:val="1"/>
      <w:numFmt w:val="bullet"/>
      <w:lvlText w:val=""/>
      <w:lvlJc w:val="left"/>
      <w:pPr>
        <w:ind w:left="1440" w:hanging="180"/>
      </w:pPr>
      <w:rPr>
        <w:rFonts w:ascii="Symbol" w:hAnsi="Symbol" w:hint="default"/>
      </w:rPr>
    </w:lvl>
    <w:lvl w:ilvl="2" w:tplc="1A9ACA96">
      <w:numFmt w:val="decimal"/>
      <w:lvlText w:val=""/>
      <w:lvlJc w:val="left"/>
    </w:lvl>
    <w:lvl w:ilvl="3" w:tplc="8BFA69AC">
      <w:numFmt w:val="decimal"/>
      <w:lvlText w:val=""/>
      <w:lvlJc w:val="left"/>
    </w:lvl>
    <w:lvl w:ilvl="4" w:tplc="72DCF942">
      <w:numFmt w:val="decimal"/>
      <w:lvlText w:val=""/>
      <w:lvlJc w:val="left"/>
    </w:lvl>
    <w:lvl w:ilvl="5" w:tplc="F09887F4">
      <w:numFmt w:val="decimal"/>
      <w:lvlText w:val=""/>
      <w:lvlJc w:val="left"/>
    </w:lvl>
    <w:lvl w:ilvl="6" w:tplc="111CDB8A">
      <w:numFmt w:val="decimal"/>
      <w:lvlText w:val=""/>
      <w:lvlJc w:val="left"/>
    </w:lvl>
    <w:lvl w:ilvl="7" w:tplc="BEBA89F6">
      <w:numFmt w:val="decimal"/>
      <w:lvlText w:val=""/>
      <w:lvlJc w:val="left"/>
    </w:lvl>
    <w:lvl w:ilvl="8" w:tplc="2C0AE04C">
      <w:numFmt w:val="decimal"/>
      <w:lvlText w:val=""/>
      <w:lvlJc w:val="left"/>
    </w:lvl>
  </w:abstractNum>
  <w:abstractNum w:abstractNumId="304" w15:restartNumberingAfterBreak="0">
    <w:nsid w:val="21B96B45"/>
    <w:multiLevelType w:val="hybridMultilevel"/>
    <w:tmpl w:val="21728998"/>
    <w:lvl w:ilvl="0" w:tplc="06CE6BB0">
      <w:start w:val="1"/>
      <w:numFmt w:val="bullet"/>
      <w:lvlText w:val=""/>
      <w:lvlJc w:val="left"/>
      <w:pPr>
        <w:ind w:left="720" w:hanging="180"/>
      </w:pPr>
      <w:rPr>
        <w:rFonts w:ascii="Symbol" w:hAnsi="Symbol" w:hint="default"/>
      </w:rPr>
    </w:lvl>
    <w:lvl w:ilvl="1" w:tplc="D4A2EDF2">
      <w:numFmt w:val="decimal"/>
      <w:lvlText w:val=""/>
      <w:lvlJc w:val="left"/>
    </w:lvl>
    <w:lvl w:ilvl="2" w:tplc="F376A55E">
      <w:numFmt w:val="decimal"/>
      <w:lvlText w:val=""/>
      <w:lvlJc w:val="left"/>
    </w:lvl>
    <w:lvl w:ilvl="3" w:tplc="B7A0276E">
      <w:numFmt w:val="decimal"/>
      <w:lvlText w:val=""/>
      <w:lvlJc w:val="left"/>
    </w:lvl>
    <w:lvl w:ilvl="4" w:tplc="F63CF578">
      <w:numFmt w:val="decimal"/>
      <w:lvlText w:val=""/>
      <w:lvlJc w:val="left"/>
    </w:lvl>
    <w:lvl w:ilvl="5" w:tplc="A328C3AC">
      <w:numFmt w:val="decimal"/>
      <w:lvlText w:val=""/>
      <w:lvlJc w:val="left"/>
    </w:lvl>
    <w:lvl w:ilvl="6" w:tplc="1AF0B3BC">
      <w:numFmt w:val="decimal"/>
      <w:lvlText w:val=""/>
      <w:lvlJc w:val="left"/>
    </w:lvl>
    <w:lvl w:ilvl="7" w:tplc="A3E660B6">
      <w:numFmt w:val="decimal"/>
      <w:lvlText w:val=""/>
      <w:lvlJc w:val="left"/>
    </w:lvl>
    <w:lvl w:ilvl="8" w:tplc="7E4C9A84">
      <w:numFmt w:val="decimal"/>
      <w:lvlText w:val=""/>
      <w:lvlJc w:val="left"/>
    </w:lvl>
  </w:abstractNum>
  <w:abstractNum w:abstractNumId="305" w15:restartNumberingAfterBreak="0">
    <w:nsid w:val="21C122F0"/>
    <w:multiLevelType w:val="hybridMultilevel"/>
    <w:tmpl w:val="29BEEBDA"/>
    <w:lvl w:ilvl="0" w:tplc="9D344902">
      <w:start w:val="1"/>
      <w:numFmt w:val="bullet"/>
      <w:lvlText w:val=""/>
      <w:lvlJc w:val="left"/>
      <w:pPr>
        <w:ind w:left="720" w:hanging="180"/>
      </w:pPr>
      <w:rPr>
        <w:rFonts w:ascii="Symbol" w:hAnsi="Symbol" w:hint="default"/>
      </w:rPr>
    </w:lvl>
    <w:lvl w:ilvl="1" w:tplc="4404A0C0">
      <w:numFmt w:val="decimal"/>
      <w:lvlText w:val=""/>
      <w:lvlJc w:val="left"/>
    </w:lvl>
    <w:lvl w:ilvl="2" w:tplc="8FEE09CE">
      <w:numFmt w:val="decimal"/>
      <w:lvlText w:val=""/>
      <w:lvlJc w:val="left"/>
    </w:lvl>
    <w:lvl w:ilvl="3" w:tplc="A1385E50">
      <w:numFmt w:val="decimal"/>
      <w:lvlText w:val=""/>
      <w:lvlJc w:val="left"/>
    </w:lvl>
    <w:lvl w:ilvl="4" w:tplc="B254DE72">
      <w:numFmt w:val="decimal"/>
      <w:lvlText w:val=""/>
      <w:lvlJc w:val="left"/>
    </w:lvl>
    <w:lvl w:ilvl="5" w:tplc="5A6E9F82">
      <w:numFmt w:val="decimal"/>
      <w:lvlText w:val=""/>
      <w:lvlJc w:val="left"/>
    </w:lvl>
    <w:lvl w:ilvl="6" w:tplc="E82A356C">
      <w:numFmt w:val="decimal"/>
      <w:lvlText w:val=""/>
      <w:lvlJc w:val="left"/>
    </w:lvl>
    <w:lvl w:ilvl="7" w:tplc="F1141F8A">
      <w:numFmt w:val="decimal"/>
      <w:lvlText w:val=""/>
      <w:lvlJc w:val="left"/>
    </w:lvl>
    <w:lvl w:ilvl="8" w:tplc="5A9C77B8">
      <w:numFmt w:val="decimal"/>
      <w:lvlText w:val=""/>
      <w:lvlJc w:val="left"/>
    </w:lvl>
  </w:abstractNum>
  <w:abstractNum w:abstractNumId="306" w15:restartNumberingAfterBreak="0">
    <w:nsid w:val="21C83FDE"/>
    <w:multiLevelType w:val="hybridMultilevel"/>
    <w:tmpl w:val="C5840A1C"/>
    <w:lvl w:ilvl="0" w:tplc="1208128C">
      <w:start w:val="1"/>
      <w:numFmt w:val="bullet"/>
      <w:lvlText w:val=""/>
      <w:lvlJc w:val="left"/>
      <w:pPr>
        <w:ind w:left="720" w:hanging="180"/>
      </w:pPr>
      <w:rPr>
        <w:rFonts w:ascii="Symbol" w:hAnsi="Symbol" w:hint="default"/>
      </w:rPr>
    </w:lvl>
    <w:lvl w:ilvl="1" w:tplc="CD5E23A8">
      <w:numFmt w:val="decimal"/>
      <w:lvlText w:val=""/>
      <w:lvlJc w:val="left"/>
    </w:lvl>
    <w:lvl w:ilvl="2" w:tplc="6A3CDCE6">
      <w:numFmt w:val="decimal"/>
      <w:lvlText w:val=""/>
      <w:lvlJc w:val="left"/>
    </w:lvl>
    <w:lvl w:ilvl="3" w:tplc="2800ED70">
      <w:numFmt w:val="decimal"/>
      <w:lvlText w:val=""/>
      <w:lvlJc w:val="left"/>
    </w:lvl>
    <w:lvl w:ilvl="4" w:tplc="843A441A">
      <w:numFmt w:val="decimal"/>
      <w:lvlText w:val=""/>
      <w:lvlJc w:val="left"/>
    </w:lvl>
    <w:lvl w:ilvl="5" w:tplc="2118ED36">
      <w:numFmt w:val="decimal"/>
      <w:lvlText w:val=""/>
      <w:lvlJc w:val="left"/>
    </w:lvl>
    <w:lvl w:ilvl="6" w:tplc="B71408AC">
      <w:numFmt w:val="decimal"/>
      <w:lvlText w:val=""/>
      <w:lvlJc w:val="left"/>
    </w:lvl>
    <w:lvl w:ilvl="7" w:tplc="2AAA471C">
      <w:numFmt w:val="decimal"/>
      <w:lvlText w:val=""/>
      <w:lvlJc w:val="left"/>
    </w:lvl>
    <w:lvl w:ilvl="8" w:tplc="8AE29C50">
      <w:numFmt w:val="decimal"/>
      <w:lvlText w:val=""/>
      <w:lvlJc w:val="left"/>
    </w:lvl>
  </w:abstractNum>
  <w:abstractNum w:abstractNumId="307" w15:restartNumberingAfterBreak="0">
    <w:nsid w:val="21D811EF"/>
    <w:multiLevelType w:val="hybridMultilevel"/>
    <w:tmpl w:val="638A24B4"/>
    <w:lvl w:ilvl="0" w:tplc="5BCE74F0">
      <w:start w:val="1"/>
      <w:numFmt w:val="bullet"/>
      <w:lvlText w:val=""/>
      <w:lvlJc w:val="left"/>
      <w:pPr>
        <w:ind w:left="720" w:hanging="180"/>
      </w:pPr>
      <w:rPr>
        <w:rFonts w:ascii="Symbol" w:hAnsi="Symbol" w:hint="default"/>
      </w:rPr>
    </w:lvl>
    <w:lvl w:ilvl="1" w:tplc="BA40B634">
      <w:numFmt w:val="decimal"/>
      <w:lvlText w:val=""/>
      <w:lvlJc w:val="left"/>
    </w:lvl>
    <w:lvl w:ilvl="2" w:tplc="94E6B09A">
      <w:numFmt w:val="decimal"/>
      <w:lvlText w:val=""/>
      <w:lvlJc w:val="left"/>
    </w:lvl>
    <w:lvl w:ilvl="3" w:tplc="7B4A5FC8">
      <w:numFmt w:val="decimal"/>
      <w:lvlText w:val=""/>
      <w:lvlJc w:val="left"/>
    </w:lvl>
    <w:lvl w:ilvl="4" w:tplc="E7E86DFA">
      <w:numFmt w:val="decimal"/>
      <w:lvlText w:val=""/>
      <w:lvlJc w:val="left"/>
    </w:lvl>
    <w:lvl w:ilvl="5" w:tplc="6F76A190">
      <w:numFmt w:val="decimal"/>
      <w:lvlText w:val=""/>
      <w:lvlJc w:val="left"/>
    </w:lvl>
    <w:lvl w:ilvl="6" w:tplc="C3B6BDC6">
      <w:numFmt w:val="decimal"/>
      <w:lvlText w:val=""/>
      <w:lvlJc w:val="left"/>
    </w:lvl>
    <w:lvl w:ilvl="7" w:tplc="CE90F638">
      <w:numFmt w:val="decimal"/>
      <w:lvlText w:val=""/>
      <w:lvlJc w:val="left"/>
    </w:lvl>
    <w:lvl w:ilvl="8" w:tplc="52E6A56A">
      <w:numFmt w:val="decimal"/>
      <w:lvlText w:val=""/>
      <w:lvlJc w:val="left"/>
    </w:lvl>
  </w:abstractNum>
  <w:abstractNum w:abstractNumId="308" w15:restartNumberingAfterBreak="0">
    <w:nsid w:val="220C539B"/>
    <w:multiLevelType w:val="hybridMultilevel"/>
    <w:tmpl w:val="4A26F788"/>
    <w:lvl w:ilvl="0" w:tplc="D206C0EC">
      <w:start w:val="1"/>
      <w:numFmt w:val="bullet"/>
      <w:lvlText w:val=""/>
      <w:lvlJc w:val="left"/>
      <w:pPr>
        <w:ind w:left="720" w:hanging="180"/>
      </w:pPr>
      <w:rPr>
        <w:rFonts w:ascii="Symbol" w:hAnsi="Symbol" w:hint="default"/>
      </w:rPr>
    </w:lvl>
    <w:lvl w:ilvl="1" w:tplc="DA547892">
      <w:numFmt w:val="decimal"/>
      <w:lvlText w:val=""/>
      <w:lvlJc w:val="left"/>
    </w:lvl>
    <w:lvl w:ilvl="2" w:tplc="D458EF7E">
      <w:numFmt w:val="decimal"/>
      <w:lvlText w:val=""/>
      <w:lvlJc w:val="left"/>
    </w:lvl>
    <w:lvl w:ilvl="3" w:tplc="6B1EE4EC">
      <w:numFmt w:val="decimal"/>
      <w:lvlText w:val=""/>
      <w:lvlJc w:val="left"/>
    </w:lvl>
    <w:lvl w:ilvl="4" w:tplc="E102B502">
      <w:numFmt w:val="decimal"/>
      <w:lvlText w:val=""/>
      <w:lvlJc w:val="left"/>
    </w:lvl>
    <w:lvl w:ilvl="5" w:tplc="8A067DFA">
      <w:numFmt w:val="decimal"/>
      <w:lvlText w:val=""/>
      <w:lvlJc w:val="left"/>
    </w:lvl>
    <w:lvl w:ilvl="6" w:tplc="44E0ACB4">
      <w:numFmt w:val="decimal"/>
      <w:lvlText w:val=""/>
      <w:lvlJc w:val="left"/>
    </w:lvl>
    <w:lvl w:ilvl="7" w:tplc="206054C0">
      <w:numFmt w:val="decimal"/>
      <w:lvlText w:val=""/>
      <w:lvlJc w:val="left"/>
    </w:lvl>
    <w:lvl w:ilvl="8" w:tplc="9C665F80">
      <w:numFmt w:val="decimal"/>
      <w:lvlText w:val=""/>
      <w:lvlJc w:val="left"/>
    </w:lvl>
  </w:abstractNum>
  <w:abstractNum w:abstractNumId="309" w15:restartNumberingAfterBreak="0">
    <w:nsid w:val="22112F16"/>
    <w:multiLevelType w:val="hybridMultilevel"/>
    <w:tmpl w:val="399EEDEE"/>
    <w:lvl w:ilvl="0" w:tplc="5636C6C6">
      <w:start w:val="1"/>
      <w:numFmt w:val="bullet"/>
      <w:lvlText w:val=""/>
      <w:lvlJc w:val="left"/>
      <w:pPr>
        <w:ind w:left="720" w:hanging="180"/>
      </w:pPr>
      <w:rPr>
        <w:rFonts w:ascii="Symbol" w:hAnsi="Symbol" w:hint="default"/>
      </w:rPr>
    </w:lvl>
    <w:lvl w:ilvl="1" w:tplc="362CBA10">
      <w:numFmt w:val="decimal"/>
      <w:lvlText w:val=""/>
      <w:lvlJc w:val="left"/>
    </w:lvl>
    <w:lvl w:ilvl="2" w:tplc="933E54E0">
      <w:numFmt w:val="decimal"/>
      <w:lvlText w:val=""/>
      <w:lvlJc w:val="left"/>
    </w:lvl>
    <w:lvl w:ilvl="3" w:tplc="8E4A1FB2">
      <w:numFmt w:val="decimal"/>
      <w:lvlText w:val=""/>
      <w:lvlJc w:val="left"/>
    </w:lvl>
    <w:lvl w:ilvl="4" w:tplc="320E9616">
      <w:numFmt w:val="decimal"/>
      <w:lvlText w:val=""/>
      <w:lvlJc w:val="left"/>
    </w:lvl>
    <w:lvl w:ilvl="5" w:tplc="676E8336">
      <w:numFmt w:val="decimal"/>
      <w:lvlText w:val=""/>
      <w:lvlJc w:val="left"/>
    </w:lvl>
    <w:lvl w:ilvl="6" w:tplc="1A6A9F06">
      <w:numFmt w:val="decimal"/>
      <w:lvlText w:val=""/>
      <w:lvlJc w:val="left"/>
    </w:lvl>
    <w:lvl w:ilvl="7" w:tplc="402893EA">
      <w:numFmt w:val="decimal"/>
      <w:lvlText w:val=""/>
      <w:lvlJc w:val="left"/>
    </w:lvl>
    <w:lvl w:ilvl="8" w:tplc="09927C5E">
      <w:numFmt w:val="decimal"/>
      <w:lvlText w:val=""/>
      <w:lvlJc w:val="left"/>
    </w:lvl>
  </w:abstractNum>
  <w:abstractNum w:abstractNumId="310" w15:restartNumberingAfterBreak="0">
    <w:nsid w:val="221D7DE3"/>
    <w:multiLevelType w:val="hybridMultilevel"/>
    <w:tmpl w:val="8772BE9A"/>
    <w:lvl w:ilvl="0" w:tplc="921227BA">
      <w:start w:val="1"/>
      <w:numFmt w:val="bullet"/>
      <w:lvlText w:val=""/>
      <w:lvlJc w:val="left"/>
      <w:pPr>
        <w:ind w:left="720" w:hanging="180"/>
      </w:pPr>
      <w:rPr>
        <w:rFonts w:ascii="Symbol" w:hAnsi="Symbol" w:hint="default"/>
      </w:rPr>
    </w:lvl>
    <w:lvl w:ilvl="1" w:tplc="73169CC0">
      <w:numFmt w:val="decimal"/>
      <w:lvlText w:val=""/>
      <w:lvlJc w:val="left"/>
    </w:lvl>
    <w:lvl w:ilvl="2" w:tplc="085E7FB8">
      <w:numFmt w:val="decimal"/>
      <w:lvlText w:val=""/>
      <w:lvlJc w:val="left"/>
    </w:lvl>
    <w:lvl w:ilvl="3" w:tplc="3FDE9FBC">
      <w:numFmt w:val="decimal"/>
      <w:lvlText w:val=""/>
      <w:lvlJc w:val="left"/>
    </w:lvl>
    <w:lvl w:ilvl="4" w:tplc="8DDCDA96">
      <w:numFmt w:val="decimal"/>
      <w:lvlText w:val=""/>
      <w:lvlJc w:val="left"/>
    </w:lvl>
    <w:lvl w:ilvl="5" w:tplc="4A868154">
      <w:numFmt w:val="decimal"/>
      <w:lvlText w:val=""/>
      <w:lvlJc w:val="left"/>
    </w:lvl>
    <w:lvl w:ilvl="6" w:tplc="036465F8">
      <w:numFmt w:val="decimal"/>
      <w:lvlText w:val=""/>
      <w:lvlJc w:val="left"/>
    </w:lvl>
    <w:lvl w:ilvl="7" w:tplc="45A40A68">
      <w:numFmt w:val="decimal"/>
      <w:lvlText w:val=""/>
      <w:lvlJc w:val="left"/>
    </w:lvl>
    <w:lvl w:ilvl="8" w:tplc="B2BA392A">
      <w:numFmt w:val="decimal"/>
      <w:lvlText w:val=""/>
      <w:lvlJc w:val="left"/>
    </w:lvl>
  </w:abstractNum>
  <w:abstractNum w:abstractNumId="311" w15:restartNumberingAfterBreak="0">
    <w:nsid w:val="226C40F3"/>
    <w:multiLevelType w:val="hybridMultilevel"/>
    <w:tmpl w:val="E7E4D500"/>
    <w:lvl w:ilvl="0" w:tplc="F7169C46">
      <w:start w:val="1"/>
      <w:numFmt w:val="bullet"/>
      <w:lvlText w:val=""/>
      <w:lvlJc w:val="left"/>
      <w:pPr>
        <w:ind w:left="720" w:hanging="180"/>
      </w:pPr>
      <w:rPr>
        <w:rFonts w:ascii="Symbol" w:hAnsi="Symbol" w:hint="default"/>
      </w:rPr>
    </w:lvl>
    <w:lvl w:ilvl="1" w:tplc="CA68A380">
      <w:numFmt w:val="decimal"/>
      <w:lvlText w:val=""/>
      <w:lvlJc w:val="left"/>
    </w:lvl>
    <w:lvl w:ilvl="2" w:tplc="0340E7EE">
      <w:numFmt w:val="decimal"/>
      <w:lvlText w:val=""/>
      <w:lvlJc w:val="left"/>
    </w:lvl>
    <w:lvl w:ilvl="3" w:tplc="3ED2789A">
      <w:numFmt w:val="decimal"/>
      <w:lvlText w:val=""/>
      <w:lvlJc w:val="left"/>
    </w:lvl>
    <w:lvl w:ilvl="4" w:tplc="2FE60942">
      <w:numFmt w:val="decimal"/>
      <w:lvlText w:val=""/>
      <w:lvlJc w:val="left"/>
    </w:lvl>
    <w:lvl w:ilvl="5" w:tplc="9D508BD2">
      <w:numFmt w:val="decimal"/>
      <w:lvlText w:val=""/>
      <w:lvlJc w:val="left"/>
    </w:lvl>
    <w:lvl w:ilvl="6" w:tplc="60946764">
      <w:numFmt w:val="decimal"/>
      <w:lvlText w:val=""/>
      <w:lvlJc w:val="left"/>
    </w:lvl>
    <w:lvl w:ilvl="7" w:tplc="E7A2F552">
      <w:numFmt w:val="decimal"/>
      <w:lvlText w:val=""/>
      <w:lvlJc w:val="left"/>
    </w:lvl>
    <w:lvl w:ilvl="8" w:tplc="F81C0A0E">
      <w:numFmt w:val="decimal"/>
      <w:lvlText w:val=""/>
      <w:lvlJc w:val="left"/>
    </w:lvl>
  </w:abstractNum>
  <w:abstractNum w:abstractNumId="312" w15:restartNumberingAfterBreak="0">
    <w:nsid w:val="227802FC"/>
    <w:multiLevelType w:val="hybridMultilevel"/>
    <w:tmpl w:val="7D68894C"/>
    <w:lvl w:ilvl="0" w:tplc="ABC654A0">
      <w:start w:val="1"/>
      <w:numFmt w:val="bullet"/>
      <w:lvlText w:val=""/>
      <w:lvlJc w:val="left"/>
      <w:pPr>
        <w:ind w:left="720" w:hanging="180"/>
      </w:pPr>
      <w:rPr>
        <w:rFonts w:ascii="Symbol" w:hAnsi="Symbol" w:hint="default"/>
      </w:rPr>
    </w:lvl>
    <w:lvl w:ilvl="1" w:tplc="153C0734">
      <w:numFmt w:val="decimal"/>
      <w:lvlText w:val=""/>
      <w:lvlJc w:val="left"/>
    </w:lvl>
    <w:lvl w:ilvl="2" w:tplc="A2CC186C">
      <w:numFmt w:val="decimal"/>
      <w:lvlText w:val=""/>
      <w:lvlJc w:val="left"/>
    </w:lvl>
    <w:lvl w:ilvl="3" w:tplc="6BD65B88">
      <w:numFmt w:val="decimal"/>
      <w:lvlText w:val=""/>
      <w:lvlJc w:val="left"/>
    </w:lvl>
    <w:lvl w:ilvl="4" w:tplc="D69471F6">
      <w:numFmt w:val="decimal"/>
      <w:lvlText w:val=""/>
      <w:lvlJc w:val="left"/>
    </w:lvl>
    <w:lvl w:ilvl="5" w:tplc="47BC897E">
      <w:numFmt w:val="decimal"/>
      <w:lvlText w:val=""/>
      <w:lvlJc w:val="left"/>
    </w:lvl>
    <w:lvl w:ilvl="6" w:tplc="38102610">
      <w:numFmt w:val="decimal"/>
      <w:lvlText w:val=""/>
      <w:lvlJc w:val="left"/>
    </w:lvl>
    <w:lvl w:ilvl="7" w:tplc="B04A75D0">
      <w:numFmt w:val="decimal"/>
      <w:lvlText w:val=""/>
      <w:lvlJc w:val="left"/>
    </w:lvl>
    <w:lvl w:ilvl="8" w:tplc="0E4A7F1A">
      <w:numFmt w:val="decimal"/>
      <w:lvlText w:val=""/>
      <w:lvlJc w:val="left"/>
    </w:lvl>
  </w:abstractNum>
  <w:abstractNum w:abstractNumId="313" w15:restartNumberingAfterBreak="0">
    <w:nsid w:val="22803AD2"/>
    <w:multiLevelType w:val="hybridMultilevel"/>
    <w:tmpl w:val="B2D63FC2"/>
    <w:lvl w:ilvl="0" w:tplc="797CFA5E">
      <w:start w:val="1"/>
      <w:numFmt w:val="bullet"/>
      <w:lvlText w:val=""/>
      <w:lvlJc w:val="left"/>
      <w:pPr>
        <w:ind w:left="720" w:hanging="180"/>
      </w:pPr>
      <w:rPr>
        <w:rFonts w:ascii="Symbol" w:hAnsi="Symbol" w:hint="default"/>
      </w:rPr>
    </w:lvl>
    <w:lvl w:ilvl="1" w:tplc="9560F890">
      <w:numFmt w:val="decimal"/>
      <w:lvlText w:val=""/>
      <w:lvlJc w:val="left"/>
    </w:lvl>
    <w:lvl w:ilvl="2" w:tplc="70A276FC">
      <w:numFmt w:val="decimal"/>
      <w:lvlText w:val=""/>
      <w:lvlJc w:val="left"/>
    </w:lvl>
    <w:lvl w:ilvl="3" w:tplc="28883396">
      <w:numFmt w:val="decimal"/>
      <w:lvlText w:val=""/>
      <w:lvlJc w:val="left"/>
    </w:lvl>
    <w:lvl w:ilvl="4" w:tplc="624C614C">
      <w:numFmt w:val="decimal"/>
      <w:lvlText w:val=""/>
      <w:lvlJc w:val="left"/>
    </w:lvl>
    <w:lvl w:ilvl="5" w:tplc="0A42F730">
      <w:numFmt w:val="decimal"/>
      <w:lvlText w:val=""/>
      <w:lvlJc w:val="left"/>
    </w:lvl>
    <w:lvl w:ilvl="6" w:tplc="8594EEBA">
      <w:numFmt w:val="decimal"/>
      <w:lvlText w:val=""/>
      <w:lvlJc w:val="left"/>
    </w:lvl>
    <w:lvl w:ilvl="7" w:tplc="116E22C4">
      <w:numFmt w:val="decimal"/>
      <w:lvlText w:val=""/>
      <w:lvlJc w:val="left"/>
    </w:lvl>
    <w:lvl w:ilvl="8" w:tplc="38268C86">
      <w:numFmt w:val="decimal"/>
      <w:lvlText w:val=""/>
      <w:lvlJc w:val="left"/>
    </w:lvl>
  </w:abstractNum>
  <w:abstractNum w:abstractNumId="314" w15:restartNumberingAfterBreak="0">
    <w:nsid w:val="22804E2A"/>
    <w:multiLevelType w:val="hybridMultilevel"/>
    <w:tmpl w:val="F0F6CB74"/>
    <w:lvl w:ilvl="0" w:tplc="D96A617A">
      <w:start w:val="1"/>
      <w:numFmt w:val="bullet"/>
      <w:lvlText w:val=""/>
      <w:lvlJc w:val="left"/>
      <w:pPr>
        <w:ind w:left="720" w:hanging="180"/>
      </w:pPr>
      <w:rPr>
        <w:rFonts w:ascii="Symbol" w:hAnsi="Symbol" w:hint="default"/>
      </w:rPr>
    </w:lvl>
    <w:lvl w:ilvl="1" w:tplc="DFA8C12C">
      <w:numFmt w:val="decimal"/>
      <w:lvlText w:val=""/>
      <w:lvlJc w:val="left"/>
    </w:lvl>
    <w:lvl w:ilvl="2" w:tplc="300498E0">
      <w:numFmt w:val="decimal"/>
      <w:lvlText w:val=""/>
      <w:lvlJc w:val="left"/>
    </w:lvl>
    <w:lvl w:ilvl="3" w:tplc="57747C72">
      <w:numFmt w:val="decimal"/>
      <w:lvlText w:val=""/>
      <w:lvlJc w:val="left"/>
    </w:lvl>
    <w:lvl w:ilvl="4" w:tplc="B9EC24BE">
      <w:numFmt w:val="decimal"/>
      <w:lvlText w:val=""/>
      <w:lvlJc w:val="left"/>
    </w:lvl>
    <w:lvl w:ilvl="5" w:tplc="E272D2C8">
      <w:numFmt w:val="decimal"/>
      <w:lvlText w:val=""/>
      <w:lvlJc w:val="left"/>
    </w:lvl>
    <w:lvl w:ilvl="6" w:tplc="BD0039CA">
      <w:numFmt w:val="decimal"/>
      <w:lvlText w:val=""/>
      <w:lvlJc w:val="left"/>
    </w:lvl>
    <w:lvl w:ilvl="7" w:tplc="7D7A3FD0">
      <w:numFmt w:val="decimal"/>
      <w:lvlText w:val=""/>
      <w:lvlJc w:val="left"/>
    </w:lvl>
    <w:lvl w:ilvl="8" w:tplc="79A40294">
      <w:numFmt w:val="decimal"/>
      <w:lvlText w:val=""/>
      <w:lvlJc w:val="left"/>
    </w:lvl>
  </w:abstractNum>
  <w:abstractNum w:abstractNumId="315" w15:restartNumberingAfterBreak="0">
    <w:nsid w:val="228D3C21"/>
    <w:multiLevelType w:val="hybridMultilevel"/>
    <w:tmpl w:val="036EE8AE"/>
    <w:lvl w:ilvl="0" w:tplc="DD0CD602">
      <w:start w:val="1"/>
      <w:numFmt w:val="bullet"/>
      <w:lvlText w:val=""/>
      <w:lvlJc w:val="left"/>
      <w:pPr>
        <w:ind w:left="720" w:hanging="180"/>
      </w:pPr>
      <w:rPr>
        <w:rFonts w:ascii="Symbol" w:hAnsi="Symbol" w:hint="default"/>
      </w:rPr>
    </w:lvl>
    <w:lvl w:ilvl="1" w:tplc="AD3209E2">
      <w:numFmt w:val="decimal"/>
      <w:lvlText w:val=""/>
      <w:lvlJc w:val="left"/>
    </w:lvl>
    <w:lvl w:ilvl="2" w:tplc="6E96F5A4">
      <w:numFmt w:val="decimal"/>
      <w:lvlText w:val=""/>
      <w:lvlJc w:val="left"/>
    </w:lvl>
    <w:lvl w:ilvl="3" w:tplc="4A0E87A2">
      <w:numFmt w:val="decimal"/>
      <w:lvlText w:val=""/>
      <w:lvlJc w:val="left"/>
    </w:lvl>
    <w:lvl w:ilvl="4" w:tplc="BB0E7D7C">
      <w:numFmt w:val="decimal"/>
      <w:lvlText w:val=""/>
      <w:lvlJc w:val="left"/>
    </w:lvl>
    <w:lvl w:ilvl="5" w:tplc="6088B8BC">
      <w:numFmt w:val="decimal"/>
      <w:lvlText w:val=""/>
      <w:lvlJc w:val="left"/>
    </w:lvl>
    <w:lvl w:ilvl="6" w:tplc="B84A93E8">
      <w:numFmt w:val="decimal"/>
      <w:lvlText w:val=""/>
      <w:lvlJc w:val="left"/>
    </w:lvl>
    <w:lvl w:ilvl="7" w:tplc="B23E6CC8">
      <w:numFmt w:val="decimal"/>
      <w:lvlText w:val=""/>
      <w:lvlJc w:val="left"/>
    </w:lvl>
    <w:lvl w:ilvl="8" w:tplc="8D22B656">
      <w:numFmt w:val="decimal"/>
      <w:lvlText w:val=""/>
      <w:lvlJc w:val="left"/>
    </w:lvl>
  </w:abstractNum>
  <w:abstractNum w:abstractNumId="316" w15:restartNumberingAfterBreak="0">
    <w:nsid w:val="229C7769"/>
    <w:multiLevelType w:val="hybridMultilevel"/>
    <w:tmpl w:val="8C204F82"/>
    <w:lvl w:ilvl="0" w:tplc="7F348C82">
      <w:start w:val="1"/>
      <w:numFmt w:val="bullet"/>
      <w:lvlText w:val=""/>
      <w:lvlJc w:val="left"/>
      <w:pPr>
        <w:ind w:left="720" w:hanging="180"/>
      </w:pPr>
      <w:rPr>
        <w:rFonts w:ascii="Symbol" w:hAnsi="Symbol" w:hint="default"/>
      </w:rPr>
    </w:lvl>
    <w:lvl w:ilvl="1" w:tplc="EA5C8076">
      <w:numFmt w:val="decimal"/>
      <w:lvlText w:val=""/>
      <w:lvlJc w:val="left"/>
    </w:lvl>
    <w:lvl w:ilvl="2" w:tplc="9CFA895A">
      <w:numFmt w:val="decimal"/>
      <w:lvlText w:val=""/>
      <w:lvlJc w:val="left"/>
    </w:lvl>
    <w:lvl w:ilvl="3" w:tplc="A6D0219A">
      <w:numFmt w:val="decimal"/>
      <w:lvlText w:val=""/>
      <w:lvlJc w:val="left"/>
    </w:lvl>
    <w:lvl w:ilvl="4" w:tplc="6E2ABFA2">
      <w:numFmt w:val="decimal"/>
      <w:lvlText w:val=""/>
      <w:lvlJc w:val="left"/>
    </w:lvl>
    <w:lvl w:ilvl="5" w:tplc="3A5C2658">
      <w:numFmt w:val="decimal"/>
      <w:lvlText w:val=""/>
      <w:lvlJc w:val="left"/>
    </w:lvl>
    <w:lvl w:ilvl="6" w:tplc="7B2825B2">
      <w:numFmt w:val="decimal"/>
      <w:lvlText w:val=""/>
      <w:lvlJc w:val="left"/>
    </w:lvl>
    <w:lvl w:ilvl="7" w:tplc="A3F45750">
      <w:numFmt w:val="decimal"/>
      <w:lvlText w:val=""/>
      <w:lvlJc w:val="left"/>
    </w:lvl>
    <w:lvl w:ilvl="8" w:tplc="F322FE8A">
      <w:numFmt w:val="decimal"/>
      <w:lvlText w:val=""/>
      <w:lvlJc w:val="left"/>
    </w:lvl>
  </w:abstractNum>
  <w:abstractNum w:abstractNumId="317" w15:restartNumberingAfterBreak="0">
    <w:nsid w:val="22AE3585"/>
    <w:multiLevelType w:val="hybridMultilevel"/>
    <w:tmpl w:val="CCAA3CDA"/>
    <w:lvl w:ilvl="0" w:tplc="EA52EECE">
      <w:start w:val="1"/>
      <w:numFmt w:val="bullet"/>
      <w:lvlText w:val=""/>
      <w:lvlJc w:val="left"/>
      <w:pPr>
        <w:ind w:left="720" w:hanging="180"/>
      </w:pPr>
      <w:rPr>
        <w:rFonts w:ascii="Symbol" w:hAnsi="Symbol" w:hint="default"/>
      </w:rPr>
    </w:lvl>
    <w:lvl w:ilvl="1" w:tplc="EDC41134">
      <w:numFmt w:val="decimal"/>
      <w:lvlText w:val=""/>
      <w:lvlJc w:val="left"/>
    </w:lvl>
    <w:lvl w:ilvl="2" w:tplc="7E5AE68C">
      <w:numFmt w:val="decimal"/>
      <w:lvlText w:val=""/>
      <w:lvlJc w:val="left"/>
    </w:lvl>
    <w:lvl w:ilvl="3" w:tplc="0FFC76D8">
      <w:numFmt w:val="decimal"/>
      <w:lvlText w:val=""/>
      <w:lvlJc w:val="left"/>
    </w:lvl>
    <w:lvl w:ilvl="4" w:tplc="D91487A2">
      <w:numFmt w:val="decimal"/>
      <w:lvlText w:val=""/>
      <w:lvlJc w:val="left"/>
    </w:lvl>
    <w:lvl w:ilvl="5" w:tplc="F23A2698">
      <w:numFmt w:val="decimal"/>
      <w:lvlText w:val=""/>
      <w:lvlJc w:val="left"/>
    </w:lvl>
    <w:lvl w:ilvl="6" w:tplc="16448CAC">
      <w:numFmt w:val="decimal"/>
      <w:lvlText w:val=""/>
      <w:lvlJc w:val="left"/>
    </w:lvl>
    <w:lvl w:ilvl="7" w:tplc="1194C6B0">
      <w:numFmt w:val="decimal"/>
      <w:lvlText w:val=""/>
      <w:lvlJc w:val="left"/>
    </w:lvl>
    <w:lvl w:ilvl="8" w:tplc="F85A3D12">
      <w:numFmt w:val="decimal"/>
      <w:lvlText w:val=""/>
      <w:lvlJc w:val="left"/>
    </w:lvl>
  </w:abstractNum>
  <w:abstractNum w:abstractNumId="318" w15:restartNumberingAfterBreak="0">
    <w:nsid w:val="22B40A0D"/>
    <w:multiLevelType w:val="hybridMultilevel"/>
    <w:tmpl w:val="9FA4D668"/>
    <w:lvl w:ilvl="0" w:tplc="E13C5502">
      <w:start w:val="1"/>
      <w:numFmt w:val="bullet"/>
      <w:lvlText w:val=""/>
      <w:lvlJc w:val="left"/>
      <w:pPr>
        <w:ind w:left="720" w:hanging="180"/>
      </w:pPr>
      <w:rPr>
        <w:rFonts w:ascii="Symbol" w:hAnsi="Symbol" w:hint="default"/>
      </w:rPr>
    </w:lvl>
    <w:lvl w:ilvl="1" w:tplc="B11C2618">
      <w:numFmt w:val="decimal"/>
      <w:lvlText w:val=""/>
      <w:lvlJc w:val="left"/>
    </w:lvl>
    <w:lvl w:ilvl="2" w:tplc="C56A07AE">
      <w:numFmt w:val="decimal"/>
      <w:lvlText w:val=""/>
      <w:lvlJc w:val="left"/>
    </w:lvl>
    <w:lvl w:ilvl="3" w:tplc="1F1CD8F6">
      <w:numFmt w:val="decimal"/>
      <w:lvlText w:val=""/>
      <w:lvlJc w:val="left"/>
    </w:lvl>
    <w:lvl w:ilvl="4" w:tplc="F7506FE6">
      <w:numFmt w:val="decimal"/>
      <w:lvlText w:val=""/>
      <w:lvlJc w:val="left"/>
    </w:lvl>
    <w:lvl w:ilvl="5" w:tplc="64CA2E06">
      <w:numFmt w:val="decimal"/>
      <w:lvlText w:val=""/>
      <w:lvlJc w:val="left"/>
    </w:lvl>
    <w:lvl w:ilvl="6" w:tplc="0478AC8E">
      <w:numFmt w:val="decimal"/>
      <w:lvlText w:val=""/>
      <w:lvlJc w:val="left"/>
    </w:lvl>
    <w:lvl w:ilvl="7" w:tplc="796222EC">
      <w:numFmt w:val="decimal"/>
      <w:lvlText w:val=""/>
      <w:lvlJc w:val="left"/>
    </w:lvl>
    <w:lvl w:ilvl="8" w:tplc="0F2EC844">
      <w:numFmt w:val="decimal"/>
      <w:lvlText w:val=""/>
      <w:lvlJc w:val="left"/>
    </w:lvl>
  </w:abstractNum>
  <w:abstractNum w:abstractNumId="319" w15:restartNumberingAfterBreak="0">
    <w:nsid w:val="22D621E1"/>
    <w:multiLevelType w:val="hybridMultilevel"/>
    <w:tmpl w:val="B748CA20"/>
    <w:lvl w:ilvl="0" w:tplc="A0A0A252">
      <w:start w:val="1"/>
      <w:numFmt w:val="bullet"/>
      <w:lvlText w:val=""/>
      <w:lvlJc w:val="left"/>
      <w:pPr>
        <w:ind w:left="720" w:hanging="180"/>
      </w:pPr>
      <w:rPr>
        <w:rFonts w:ascii="Symbol" w:hAnsi="Symbol" w:hint="default"/>
      </w:rPr>
    </w:lvl>
    <w:lvl w:ilvl="1" w:tplc="A72E41BC">
      <w:numFmt w:val="decimal"/>
      <w:lvlText w:val=""/>
      <w:lvlJc w:val="left"/>
    </w:lvl>
    <w:lvl w:ilvl="2" w:tplc="33721BBA">
      <w:numFmt w:val="decimal"/>
      <w:lvlText w:val=""/>
      <w:lvlJc w:val="left"/>
    </w:lvl>
    <w:lvl w:ilvl="3" w:tplc="F89E8A58">
      <w:numFmt w:val="decimal"/>
      <w:lvlText w:val=""/>
      <w:lvlJc w:val="left"/>
    </w:lvl>
    <w:lvl w:ilvl="4" w:tplc="B2E80832">
      <w:numFmt w:val="decimal"/>
      <w:lvlText w:val=""/>
      <w:lvlJc w:val="left"/>
    </w:lvl>
    <w:lvl w:ilvl="5" w:tplc="E7D6A3BC">
      <w:numFmt w:val="decimal"/>
      <w:lvlText w:val=""/>
      <w:lvlJc w:val="left"/>
    </w:lvl>
    <w:lvl w:ilvl="6" w:tplc="0E0C63CC">
      <w:numFmt w:val="decimal"/>
      <w:lvlText w:val=""/>
      <w:lvlJc w:val="left"/>
    </w:lvl>
    <w:lvl w:ilvl="7" w:tplc="EBDCD6B6">
      <w:numFmt w:val="decimal"/>
      <w:lvlText w:val=""/>
      <w:lvlJc w:val="left"/>
    </w:lvl>
    <w:lvl w:ilvl="8" w:tplc="91D2A2AE">
      <w:numFmt w:val="decimal"/>
      <w:lvlText w:val=""/>
      <w:lvlJc w:val="left"/>
    </w:lvl>
  </w:abstractNum>
  <w:abstractNum w:abstractNumId="320" w15:restartNumberingAfterBreak="0">
    <w:nsid w:val="22D7572F"/>
    <w:multiLevelType w:val="hybridMultilevel"/>
    <w:tmpl w:val="CF64D05C"/>
    <w:lvl w:ilvl="0" w:tplc="D114A408">
      <w:start w:val="1"/>
      <w:numFmt w:val="bullet"/>
      <w:lvlText w:val=""/>
      <w:lvlJc w:val="left"/>
      <w:pPr>
        <w:ind w:left="720" w:hanging="180"/>
      </w:pPr>
      <w:rPr>
        <w:rFonts w:ascii="Symbol" w:hAnsi="Symbol" w:hint="default"/>
      </w:rPr>
    </w:lvl>
    <w:lvl w:ilvl="1" w:tplc="361A050C">
      <w:numFmt w:val="decimal"/>
      <w:lvlText w:val=""/>
      <w:lvlJc w:val="left"/>
    </w:lvl>
    <w:lvl w:ilvl="2" w:tplc="1D8AA138">
      <w:numFmt w:val="decimal"/>
      <w:lvlText w:val=""/>
      <w:lvlJc w:val="left"/>
    </w:lvl>
    <w:lvl w:ilvl="3" w:tplc="5EDA467A">
      <w:numFmt w:val="decimal"/>
      <w:lvlText w:val=""/>
      <w:lvlJc w:val="left"/>
    </w:lvl>
    <w:lvl w:ilvl="4" w:tplc="06D8D73A">
      <w:numFmt w:val="decimal"/>
      <w:lvlText w:val=""/>
      <w:lvlJc w:val="left"/>
    </w:lvl>
    <w:lvl w:ilvl="5" w:tplc="685AC06C">
      <w:numFmt w:val="decimal"/>
      <w:lvlText w:val=""/>
      <w:lvlJc w:val="left"/>
    </w:lvl>
    <w:lvl w:ilvl="6" w:tplc="725EE12E">
      <w:numFmt w:val="decimal"/>
      <w:lvlText w:val=""/>
      <w:lvlJc w:val="left"/>
    </w:lvl>
    <w:lvl w:ilvl="7" w:tplc="5ADC1EFA">
      <w:numFmt w:val="decimal"/>
      <w:lvlText w:val=""/>
      <w:lvlJc w:val="left"/>
    </w:lvl>
    <w:lvl w:ilvl="8" w:tplc="B78016D0">
      <w:numFmt w:val="decimal"/>
      <w:lvlText w:val=""/>
      <w:lvlJc w:val="left"/>
    </w:lvl>
  </w:abstractNum>
  <w:abstractNum w:abstractNumId="321" w15:restartNumberingAfterBreak="0">
    <w:nsid w:val="230939F8"/>
    <w:multiLevelType w:val="hybridMultilevel"/>
    <w:tmpl w:val="17080520"/>
    <w:lvl w:ilvl="0" w:tplc="0DF001E6">
      <w:start w:val="1"/>
      <w:numFmt w:val="bullet"/>
      <w:lvlText w:val=""/>
      <w:lvlJc w:val="left"/>
      <w:pPr>
        <w:ind w:left="720" w:hanging="180"/>
      </w:pPr>
      <w:rPr>
        <w:rFonts w:ascii="Symbol" w:hAnsi="Symbol" w:hint="default"/>
      </w:rPr>
    </w:lvl>
    <w:lvl w:ilvl="1" w:tplc="34B6B3C4">
      <w:numFmt w:val="decimal"/>
      <w:lvlText w:val=""/>
      <w:lvlJc w:val="left"/>
    </w:lvl>
    <w:lvl w:ilvl="2" w:tplc="1660C2C4">
      <w:numFmt w:val="decimal"/>
      <w:lvlText w:val=""/>
      <w:lvlJc w:val="left"/>
    </w:lvl>
    <w:lvl w:ilvl="3" w:tplc="8F623ABC">
      <w:numFmt w:val="decimal"/>
      <w:lvlText w:val=""/>
      <w:lvlJc w:val="left"/>
    </w:lvl>
    <w:lvl w:ilvl="4" w:tplc="B2F26A54">
      <w:numFmt w:val="decimal"/>
      <w:lvlText w:val=""/>
      <w:lvlJc w:val="left"/>
    </w:lvl>
    <w:lvl w:ilvl="5" w:tplc="8EDE80B8">
      <w:numFmt w:val="decimal"/>
      <w:lvlText w:val=""/>
      <w:lvlJc w:val="left"/>
    </w:lvl>
    <w:lvl w:ilvl="6" w:tplc="B3149D0E">
      <w:numFmt w:val="decimal"/>
      <w:lvlText w:val=""/>
      <w:lvlJc w:val="left"/>
    </w:lvl>
    <w:lvl w:ilvl="7" w:tplc="C4D81554">
      <w:numFmt w:val="decimal"/>
      <w:lvlText w:val=""/>
      <w:lvlJc w:val="left"/>
    </w:lvl>
    <w:lvl w:ilvl="8" w:tplc="76B0C11E">
      <w:numFmt w:val="decimal"/>
      <w:lvlText w:val=""/>
      <w:lvlJc w:val="left"/>
    </w:lvl>
  </w:abstractNum>
  <w:abstractNum w:abstractNumId="322" w15:restartNumberingAfterBreak="0">
    <w:nsid w:val="232172E2"/>
    <w:multiLevelType w:val="hybridMultilevel"/>
    <w:tmpl w:val="2C261888"/>
    <w:lvl w:ilvl="0" w:tplc="744E2F4E">
      <w:start w:val="1"/>
      <w:numFmt w:val="bullet"/>
      <w:lvlText w:val=""/>
      <w:lvlJc w:val="left"/>
      <w:pPr>
        <w:ind w:left="720" w:hanging="180"/>
      </w:pPr>
      <w:rPr>
        <w:rFonts w:ascii="Symbol" w:hAnsi="Symbol" w:hint="default"/>
      </w:rPr>
    </w:lvl>
    <w:lvl w:ilvl="1" w:tplc="43E4EEDC">
      <w:numFmt w:val="decimal"/>
      <w:lvlText w:val=""/>
      <w:lvlJc w:val="left"/>
    </w:lvl>
    <w:lvl w:ilvl="2" w:tplc="F2044A2E">
      <w:numFmt w:val="decimal"/>
      <w:lvlText w:val=""/>
      <w:lvlJc w:val="left"/>
    </w:lvl>
    <w:lvl w:ilvl="3" w:tplc="3FD89C62">
      <w:numFmt w:val="decimal"/>
      <w:lvlText w:val=""/>
      <w:lvlJc w:val="left"/>
    </w:lvl>
    <w:lvl w:ilvl="4" w:tplc="F132C3A8">
      <w:numFmt w:val="decimal"/>
      <w:lvlText w:val=""/>
      <w:lvlJc w:val="left"/>
    </w:lvl>
    <w:lvl w:ilvl="5" w:tplc="8DAA2228">
      <w:numFmt w:val="decimal"/>
      <w:lvlText w:val=""/>
      <w:lvlJc w:val="left"/>
    </w:lvl>
    <w:lvl w:ilvl="6" w:tplc="D9F63C5E">
      <w:numFmt w:val="decimal"/>
      <w:lvlText w:val=""/>
      <w:lvlJc w:val="left"/>
    </w:lvl>
    <w:lvl w:ilvl="7" w:tplc="39223FA0">
      <w:numFmt w:val="decimal"/>
      <w:lvlText w:val=""/>
      <w:lvlJc w:val="left"/>
    </w:lvl>
    <w:lvl w:ilvl="8" w:tplc="636241DE">
      <w:numFmt w:val="decimal"/>
      <w:lvlText w:val=""/>
      <w:lvlJc w:val="left"/>
    </w:lvl>
  </w:abstractNum>
  <w:abstractNum w:abstractNumId="323" w15:restartNumberingAfterBreak="0">
    <w:nsid w:val="235115CC"/>
    <w:multiLevelType w:val="hybridMultilevel"/>
    <w:tmpl w:val="AA448216"/>
    <w:lvl w:ilvl="0" w:tplc="0EC62468">
      <w:start w:val="1"/>
      <w:numFmt w:val="bullet"/>
      <w:lvlText w:val=""/>
      <w:lvlJc w:val="left"/>
      <w:pPr>
        <w:ind w:left="720" w:hanging="180"/>
      </w:pPr>
      <w:rPr>
        <w:rFonts w:ascii="Symbol" w:hAnsi="Symbol" w:hint="default"/>
      </w:rPr>
    </w:lvl>
    <w:lvl w:ilvl="1" w:tplc="08A27B68">
      <w:numFmt w:val="decimal"/>
      <w:lvlText w:val=""/>
      <w:lvlJc w:val="left"/>
    </w:lvl>
    <w:lvl w:ilvl="2" w:tplc="D6422862">
      <w:numFmt w:val="decimal"/>
      <w:lvlText w:val=""/>
      <w:lvlJc w:val="left"/>
    </w:lvl>
    <w:lvl w:ilvl="3" w:tplc="7C4A8194">
      <w:numFmt w:val="decimal"/>
      <w:lvlText w:val=""/>
      <w:lvlJc w:val="left"/>
    </w:lvl>
    <w:lvl w:ilvl="4" w:tplc="687AAC12">
      <w:numFmt w:val="decimal"/>
      <w:lvlText w:val=""/>
      <w:lvlJc w:val="left"/>
    </w:lvl>
    <w:lvl w:ilvl="5" w:tplc="DA00E86A">
      <w:numFmt w:val="decimal"/>
      <w:lvlText w:val=""/>
      <w:lvlJc w:val="left"/>
    </w:lvl>
    <w:lvl w:ilvl="6" w:tplc="D96815C0">
      <w:numFmt w:val="decimal"/>
      <w:lvlText w:val=""/>
      <w:lvlJc w:val="left"/>
    </w:lvl>
    <w:lvl w:ilvl="7" w:tplc="A7F03454">
      <w:numFmt w:val="decimal"/>
      <w:lvlText w:val=""/>
      <w:lvlJc w:val="left"/>
    </w:lvl>
    <w:lvl w:ilvl="8" w:tplc="F2344F9C">
      <w:numFmt w:val="decimal"/>
      <w:lvlText w:val=""/>
      <w:lvlJc w:val="left"/>
    </w:lvl>
  </w:abstractNum>
  <w:abstractNum w:abstractNumId="324" w15:restartNumberingAfterBreak="0">
    <w:nsid w:val="238B4A97"/>
    <w:multiLevelType w:val="hybridMultilevel"/>
    <w:tmpl w:val="703AD488"/>
    <w:lvl w:ilvl="0" w:tplc="240E85A0">
      <w:start w:val="1"/>
      <w:numFmt w:val="bullet"/>
      <w:lvlText w:val=""/>
      <w:lvlJc w:val="left"/>
      <w:pPr>
        <w:ind w:left="720" w:hanging="180"/>
      </w:pPr>
      <w:rPr>
        <w:rFonts w:ascii="Symbol" w:hAnsi="Symbol" w:hint="default"/>
      </w:rPr>
    </w:lvl>
    <w:lvl w:ilvl="1" w:tplc="C5A61B58">
      <w:numFmt w:val="decimal"/>
      <w:lvlText w:val=""/>
      <w:lvlJc w:val="left"/>
    </w:lvl>
    <w:lvl w:ilvl="2" w:tplc="5A7EE6AE">
      <w:numFmt w:val="decimal"/>
      <w:lvlText w:val=""/>
      <w:lvlJc w:val="left"/>
    </w:lvl>
    <w:lvl w:ilvl="3" w:tplc="1FFC5822">
      <w:numFmt w:val="decimal"/>
      <w:lvlText w:val=""/>
      <w:lvlJc w:val="left"/>
    </w:lvl>
    <w:lvl w:ilvl="4" w:tplc="95F45C92">
      <w:numFmt w:val="decimal"/>
      <w:lvlText w:val=""/>
      <w:lvlJc w:val="left"/>
    </w:lvl>
    <w:lvl w:ilvl="5" w:tplc="B3929066">
      <w:numFmt w:val="decimal"/>
      <w:lvlText w:val=""/>
      <w:lvlJc w:val="left"/>
    </w:lvl>
    <w:lvl w:ilvl="6" w:tplc="06962646">
      <w:numFmt w:val="decimal"/>
      <w:lvlText w:val=""/>
      <w:lvlJc w:val="left"/>
    </w:lvl>
    <w:lvl w:ilvl="7" w:tplc="C988E826">
      <w:numFmt w:val="decimal"/>
      <w:lvlText w:val=""/>
      <w:lvlJc w:val="left"/>
    </w:lvl>
    <w:lvl w:ilvl="8" w:tplc="BE12714A">
      <w:numFmt w:val="decimal"/>
      <w:lvlText w:val=""/>
      <w:lvlJc w:val="left"/>
    </w:lvl>
  </w:abstractNum>
  <w:abstractNum w:abstractNumId="325" w15:restartNumberingAfterBreak="0">
    <w:nsid w:val="23A531B3"/>
    <w:multiLevelType w:val="hybridMultilevel"/>
    <w:tmpl w:val="DB70FB3A"/>
    <w:lvl w:ilvl="0" w:tplc="90BCFE36">
      <w:start w:val="1"/>
      <w:numFmt w:val="bullet"/>
      <w:lvlText w:val=""/>
      <w:lvlJc w:val="left"/>
      <w:pPr>
        <w:ind w:left="720" w:hanging="180"/>
      </w:pPr>
      <w:rPr>
        <w:rFonts w:ascii="Symbol" w:hAnsi="Symbol" w:hint="default"/>
      </w:rPr>
    </w:lvl>
    <w:lvl w:ilvl="1" w:tplc="0644B96E">
      <w:numFmt w:val="decimal"/>
      <w:lvlText w:val=""/>
      <w:lvlJc w:val="left"/>
    </w:lvl>
    <w:lvl w:ilvl="2" w:tplc="5040193C">
      <w:numFmt w:val="decimal"/>
      <w:lvlText w:val=""/>
      <w:lvlJc w:val="left"/>
    </w:lvl>
    <w:lvl w:ilvl="3" w:tplc="56AECE2C">
      <w:numFmt w:val="decimal"/>
      <w:lvlText w:val=""/>
      <w:lvlJc w:val="left"/>
    </w:lvl>
    <w:lvl w:ilvl="4" w:tplc="E64A4BD4">
      <w:numFmt w:val="decimal"/>
      <w:lvlText w:val=""/>
      <w:lvlJc w:val="left"/>
    </w:lvl>
    <w:lvl w:ilvl="5" w:tplc="993E67D4">
      <w:numFmt w:val="decimal"/>
      <w:lvlText w:val=""/>
      <w:lvlJc w:val="left"/>
    </w:lvl>
    <w:lvl w:ilvl="6" w:tplc="B6405F60">
      <w:numFmt w:val="decimal"/>
      <w:lvlText w:val=""/>
      <w:lvlJc w:val="left"/>
    </w:lvl>
    <w:lvl w:ilvl="7" w:tplc="797AC9F4">
      <w:numFmt w:val="decimal"/>
      <w:lvlText w:val=""/>
      <w:lvlJc w:val="left"/>
    </w:lvl>
    <w:lvl w:ilvl="8" w:tplc="3B4EAA22">
      <w:numFmt w:val="decimal"/>
      <w:lvlText w:val=""/>
      <w:lvlJc w:val="left"/>
    </w:lvl>
  </w:abstractNum>
  <w:abstractNum w:abstractNumId="326" w15:restartNumberingAfterBreak="0">
    <w:nsid w:val="23B87191"/>
    <w:multiLevelType w:val="hybridMultilevel"/>
    <w:tmpl w:val="1116E18A"/>
    <w:lvl w:ilvl="0" w:tplc="F6F82C16">
      <w:start w:val="1"/>
      <w:numFmt w:val="bullet"/>
      <w:lvlText w:val=""/>
      <w:lvlJc w:val="left"/>
      <w:pPr>
        <w:ind w:left="720" w:hanging="180"/>
      </w:pPr>
      <w:rPr>
        <w:rFonts w:ascii="Symbol" w:hAnsi="Symbol" w:hint="default"/>
      </w:rPr>
    </w:lvl>
    <w:lvl w:ilvl="1" w:tplc="8CF41058">
      <w:numFmt w:val="decimal"/>
      <w:lvlText w:val=""/>
      <w:lvlJc w:val="left"/>
    </w:lvl>
    <w:lvl w:ilvl="2" w:tplc="73C2780C">
      <w:numFmt w:val="decimal"/>
      <w:lvlText w:val=""/>
      <w:lvlJc w:val="left"/>
    </w:lvl>
    <w:lvl w:ilvl="3" w:tplc="EB4A2B58">
      <w:numFmt w:val="decimal"/>
      <w:lvlText w:val=""/>
      <w:lvlJc w:val="left"/>
    </w:lvl>
    <w:lvl w:ilvl="4" w:tplc="331E8AC6">
      <w:numFmt w:val="decimal"/>
      <w:lvlText w:val=""/>
      <w:lvlJc w:val="left"/>
    </w:lvl>
    <w:lvl w:ilvl="5" w:tplc="69A0B47A">
      <w:numFmt w:val="decimal"/>
      <w:lvlText w:val=""/>
      <w:lvlJc w:val="left"/>
    </w:lvl>
    <w:lvl w:ilvl="6" w:tplc="25B4D18A">
      <w:numFmt w:val="decimal"/>
      <w:lvlText w:val=""/>
      <w:lvlJc w:val="left"/>
    </w:lvl>
    <w:lvl w:ilvl="7" w:tplc="30323B84">
      <w:numFmt w:val="decimal"/>
      <w:lvlText w:val=""/>
      <w:lvlJc w:val="left"/>
    </w:lvl>
    <w:lvl w:ilvl="8" w:tplc="8930695E">
      <w:numFmt w:val="decimal"/>
      <w:lvlText w:val=""/>
      <w:lvlJc w:val="left"/>
    </w:lvl>
  </w:abstractNum>
  <w:abstractNum w:abstractNumId="327" w15:restartNumberingAfterBreak="0">
    <w:nsid w:val="23DF4F70"/>
    <w:multiLevelType w:val="hybridMultilevel"/>
    <w:tmpl w:val="A8AEB1EA"/>
    <w:lvl w:ilvl="0" w:tplc="1048DACC">
      <w:start w:val="1"/>
      <w:numFmt w:val="bullet"/>
      <w:lvlText w:val=""/>
      <w:lvlJc w:val="left"/>
      <w:pPr>
        <w:ind w:left="720" w:hanging="180"/>
      </w:pPr>
      <w:rPr>
        <w:rFonts w:ascii="Symbol" w:hAnsi="Symbol" w:hint="default"/>
      </w:rPr>
    </w:lvl>
    <w:lvl w:ilvl="1" w:tplc="5C7ED336">
      <w:numFmt w:val="decimal"/>
      <w:lvlText w:val=""/>
      <w:lvlJc w:val="left"/>
    </w:lvl>
    <w:lvl w:ilvl="2" w:tplc="629ED658">
      <w:numFmt w:val="decimal"/>
      <w:lvlText w:val=""/>
      <w:lvlJc w:val="left"/>
    </w:lvl>
    <w:lvl w:ilvl="3" w:tplc="7D4C42EA">
      <w:numFmt w:val="decimal"/>
      <w:lvlText w:val=""/>
      <w:lvlJc w:val="left"/>
    </w:lvl>
    <w:lvl w:ilvl="4" w:tplc="63B6A1A0">
      <w:numFmt w:val="decimal"/>
      <w:lvlText w:val=""/>
      <w:lvlJc w:val="left"/>
    </w:lvl>
    <w:lvl w:ilvl="5" w:tplc="E7927FCE">
      <w:numFmt w:val="decimal"/>
      <w:lvlText w:val=""/>
      <w:lvlJc w:val="left"/>
    </w:lvl>
    <w:lvl w:ilvl="6" w:tplc="A57ABD3A">
      <w:numFmt w:val="decimal"/>
      <w:lvlText w:val=""/>
      <w:lvlJc w:val="left"/>
    </w:lvl>
    <w:lvl w:ilvl="7" w:tplc="113A1F7A">
      <w:numFmt w:val="decimal"/>
      <w:lvlText w:val=""/>
      <w:lvlJc w:val="left"/>
    </w:lvl>
    <w:lvl w:ilvl="8" w:tplc="DF7A0B3E">
      <w:numFmt w:val="decimal"/>
      <w:lvlText w:val=""/>
      <w:lvlJc w:val="left"/>
    </w:lvl>
  </w:abstractNum>
  <w:abstractNum w:abstractNumId="328" w15:restartNumberingAfterBreak="0">
    <w:nsid w:val="23E66921"/>
    <w:multiLevelType w:val="hybridMultilevel"/>
    <w:tmpl w:val="BFAA9114"/>
    <w:lvl w:ilvl="0" w:tplc="29BEB6CA">
      <w:start w:val="1"/>
      <w:numFmt w:val="bullet"/>
      <w:lvlText w:val=""/>
      <w:lvlJc w:val="left"/>
      <w:pPr>
        <w:ind w:left="720" w:hanging="180"/>
      </w:pPr>
      <w:rPr>
        <w:rFonts w:ascii="Symbol" w:hAnsi="Symbol" w:hint="default"/>
      </w:rPr>
    </w:lvl>
    <w:lvl w:ilvl="1" w:tplc="DDBE5508">
      <w:numFmt w:val="decimal"/>
      <w:lvlText w:val=""/>
      <w:lvlJc w:val="left"/>
    </w:lvl>
    <w:lvl w:ilvl="2" w:tplc="96DAD054">
      <w:numFmt w:val="decimal"/>
      <w:lvlText w:val=""/>
      <w:lvlJc w:val="left"/>
    </w:lvl>
    <w:lvl w:ilvl="3" w:tplc="B726D60E">
      <w:numFmt w:val="decimal"/>
      <w:lvlText w:val=""/>
      <w:lvlJc w:val="left"/>
    </w:lvl>
    <w:lvl w:ilvl="4" w:tplc="553428CA">
      <w:numFmt w:val="decimal"/>
      <w:lvlText w:val=""/>
      <w:lvlJc w:val="left"/>
    </w:lvl>
    <w:lvl w:ilvl="5" w:tplc="1A2C4A48">
      <w:numFmt w:val="decimal"/>
      <w:lvlText w:val=""/>
      <w:lvlJc w:val="left"/>
    </w:lvl>
    <w:lvl w:ilvl="6" w:tplc="1958B0C0">
      <w:numFmt w:val="decimal"/>
      <w:lvlText w:val=""/>
      <w:lvlJc w:val="left"/>
    </w:lvl>
    <w:lvl w:ilvl="7" w:tplc="28407720">
      <w:numFmt w:val="decimal"/>
      <w:lvlText w:val=""/>
      <w:lvlJc w:val="left"/>
    </w:lvl>
    <w:lvl w:ilvl="8" w:tplc="A1165596">
      <w:numFmt w:val="decimal"/>
      <w:lvlText w:val=""/>
      <w:lvlJc w:val="left"/>
    </w:lvl>
  </w:abstractNum>
  <w:abstractNum w:abstractNumId="329" w15:restartNumberingAfterBreak="0">
    <w:nsid w:val="240D33A4"/>
    <w:multiLevelType w:val="hybridMultilevel"/>
    <w:tmpl w:val="9228B466"/>
    <w:lvl w:ilvl="0" w:tplc="4B544E0E">
      <w:start w:val="1"/>
      <w:numFmt w:val="bullet"/>
      <w:lvlText w:val=""/>
      <w:lvlJc w:val="left"/>
      <w:pPr>
        <w:ind w:left="720" w:hanging="180"/>
      </w:pPr>
      <w:rPr>
        <w:rFonts w:ascii="Symbol" w:hAnsi="Symbol" w:hint="default"/>
      </w:rPr>
    </w:lvl>
    <w:lvl w:ilvl="1" w:tplc="D10A29EC">
      <w:numFmt w:val="decimal"/>
      <w:lvlText w:val=""/>
      <w:lvlJc w:val="left"/>
    </w:lvl>
    <w:lvl w:ilvl="2" w:tplc="87069444">
      <w:numFmt w:val="decimal"/>
      <w:lvlText w:val=""/>
      <w:lvlJc w:val="left"/>
    </w:lvl>
    <w:lvl w:ilvl="3" w:tplc="8164381E">
      <w:numFmt w:val="decimal"/>
      <w:lvlText w:val=""/>
      <w:lvlJc w:val="left"/>
    </w:lvl>
    <w:lvl w:ilvl="4" w:tplc="3C4A578A">
      <w:numFmt w:val="decimal"/>
      <w:lvlText w:val=""/>
      <w:lvlJc w:val="left"/>
    </w:lvl>
    <w:lvl w:ilvl="5" w:tplc="AFA28174">
      <w:numFmt w:val="decimal"/>
      <w:lvlText w:val=""/>
      <w:lvlJc w:val="left"/>
    </w:lvl>
    <w:lvl w:ilvl="6" w:tplc="CCF8D2D6">
      <w:numFmt w:val="decimal"/>
      <w:lvlText w:val=""/>
      <w:lvlJc w:val="left"/>
    </w:lvl>
    <w:lvl w:ilvl="7" w:tplc="D214E936">
      <w:numFmt w:val="decimal"/>
      <w:lvlText w:val=""/>
      <w:lvlJc w:val="left"/>
    </w:lvl>
    <w:lvl w:ilvl="8" w:tplc="5090249E">
      <w:numFmt w:val="decimal"/>
      <w:lvlText w:val=""/>
      <w:lvlJc w:val="left"/>
    </w:lvl>
  </w:abstractNum>
  <w:abstractNum w:abstractNumId="330" w15:restartNumberingAfterBreak="0">
    <w:nsid w:val="24545B94"/>
    <w:multiLevelType w:val="hybridMultilevel"/>
    <w:tmpl w:val="FEFA6D3A"/>
    <w:lvl w:ilvl="0" w:tplc="CF0A2C6A">
      <w:start w:val="1"/>
      <w:numFmt w:val="bullet"/>
      <w:lvlText w:val=""/>
      <w:lvlJc w:val="left"/>
      <w:pPr>
        <w:ind w:left="720" w:hanging="180"/>
      </w:pPr>
      <w:rPr>
        <w:rFonts w:ascii="Symbol" w:hAnsi="Symbol" w:hint="default"/>
      </w:rPr>
    </w:lvl>
    <w:lvl w:ilvl="1" w:tplc="6E2E57CE">
      <w:numFmt w:val="decimal"/>
      <w:lvlText w:val=""/>
      <w:lvlJc w:val="left"/>
    </w:lvl>
    <w:lvl w:ilvl="2" w:tplc="0E42695A">
      <w:numFmt w:val="decimal"/>
      <w:lvlText w:val=""/>
      <w:lvlJc w:val="left"/>
    </w:lvl>
    <w:lvl w:ilvl="3" w:tplc="1B88AECE">
      <w:numFmt w:val="decimal"/>
      <w:lvlText w:val=""/>
      <w:lvlJc w:val="left"/>
    </w:lvl>
    <w:lvl w:ilvl="4" w:tplc="8CB0A3C0">
      <w:numFmt w:val="decimal"/>
      <w:lvlText w:val=""/>
      <w:lvlJc w:val="left"/>
    </w:lvl>
    <w:lvl w:ilvl="5" w:tplc="A74C99DE">
      <w:numFmt w:val="decimal"/>
      <w:lvlText w:val=""/>
      <w:lvlJc w:val="left"/>
    </w:lvl>
    <w:lvl w:ilvl="6" w:tplc="81D2DDB0">
      <w:numFmt w:val="decimal"/>
      <w:lvlText w:val=""/>
      <w:lvlJc w:val="left"/>
    </w:lvl>
    <w:lvl w:ilvl="7" w:tplc="2C0E679E">
      <w:numFmt w:val="decimal"/>
      <w:lvlText w:val=""/>
      <w:lvlJc w:val="left"/>
    </w:lvl>
    <w:lvl w:ilvl="8" w:tplc="B6F68714">
      <w:numFmt w:val="decimal"/>
      <w:lvlText w:val=""/>
      <w:lvlJc w:val="left"/>
    </w:lvl>
  </w:abstractNum>
  <w:abstractNum w:abstractNumId="331" w15:restartNumberingAfterBreak="0">
    <w:nsid w:val="24614551"/>
    <w:multiLevelType w:val="hybridMultilevel"/>
    <w:tmpl w:val="EACAF742"/>
    <w:lvl w:ilvl="0" w:tplc="52A84606">
      <w:start w:val="1"/>
      <w:numFmt w:val="bullet"/>
      <w:lvlText w:val=""/>
      <w:lvlJc w:val="left"/>
      <w:pPr>
        <w:ind w:left="720" w:hanging="180"/>
      </w:pPr>
      <w:rPr>
        <w:rFonts w:ascii="Symbol" w:hAnsi="Symbol" w:hint="default"/>
      </w:rPr>
    </w:lvl>
    <w:lvl w:ilvl="1" w:tplc="CFAA31F2">
      <w:numFmt w:val="decimal"/>
      <w:lvlText w:val=""/>
      <w:lvlJc w:val="left"/>
    </w:lvl>
    <w:lvl w:ilvl="2" w:tplc="8BA0DADC">
      <w:numFmt w:val="decimal"/>
      <w:lvlText w:val=""/>
      <w:lvlJc w:val="left"/>
    </w:lvl>
    <w:lvl w:ilvl="3" w:tplc="C4EE6D7A">
      <w:numFmt w:val="decimal"/>
      <w:lvlText w:val=""/>
      <w:lvlJc w:val="left"/>
    </w:lvl>
    <w:lvl w:ilvl="4" w:tplc="53788F1C">
      <w:numFmt w:val="decimal"/>
      <w:lvlText w:val=""/>
      <w:lvlJc w:val="left"/>
    </w:lvl>
    <w:lvl w:ilvl="5" w:tplc="A90A6BC0">
      <w:numFmt w:val="decimal"/>
      <w:lvlText w:val=""/>
      <w:lvlJc w:val="left"/>
    </w:lvl>
    <w:lvl w:ilvl="6" w:tplc="097E82A2">
      <w:numFmt w:val="decimal"/>
      <w:lvlText w:val=""/>
      <w:lvlJc w:val="left"/>
    </w:lvl>
    <w:lvl w:ilvl="7" w:tplc="EC609BFC">
      <w:numFmt w:val="decimal"/>
      <w:lvlText w:val=""/>
      <w:lvlJc w:val="left"/>
    </w:lvl>
    <w:lvl w:ilvl="8" w:tplc="BE5C7070">
      <w:numFmt w:val="decimal"/>
      <w:lvlText w:val=""/>
      <w:lvlJc w:val="left"/>
    </w:lvl>
  </w:abstractNum>
  <w:abstractNum w:abstractNumId="332" w15:restartNumberingAfterBreak="0">
    <w:nsid w:val="24CA1404"/>
    <w:multiLevelType w:val="multilevel"/>
    <w:tmpl w:val="367C7C8A"/>
    <w:lvl w:ilvl="0">
      <w:start w:val="2"/>
      <w:numFmt w:val="decimal"/>
      <w:pStyle w:val="Author-eSectionHeading1"/>
      <w:lvlText w:val="%1"/>
      <w:lvlJc w:val="left"/>
      <w:pPr>
        <w:tabs>
          <w:tab w:val="num" w:pos="0"/>
        </w:tabs>
      </w:pPr>
    </w:lvl>
    <w:lvl w:ilvl="1">
      <w:start w:val="1"/>
      <w:numFmt w:val="decimal"/>
      <w:pStyle w:val="Author-eSectionHeading2"/>
      <w:lvlText w:val="%1%2"/>
      <w:lvlJc w:val="left"/>
      <w:pPr>
        <w:tabs>
          <w:tab w:val="num" w:pos="0"/>
        </w:tabs>
      </w:pPr>
    </w:lvl>
    <w:lvl w:ilvl="2">
      <w:start w:val="1"/>
      <w:numFmt w:val="decimal"/>
      <w:pStyle w:val="Author-eSectionHeading3"/>
      <w:lvlText w:val="%1%2.%3"/>
      <w:lvlJc w:val="left"/>
      <w:pPr>
        <w:tabs>
          <w:tab w:val="num" w:pos="0"/>
        </w:tabs>
      </w:pPr>
    </w:lvl>
    <w:lvl w:ilvl="3">
      <w:start w:val="1"/>
      <w:numFmt w:val="decimal"/>
      <w:pStyle w:val="Author-eSectionHeading4"/>
      <w:lvlText w:val="%1%2.%3%4"/>
      <w:lvlJc w:val="left"/>
      <w:pPr>
        <w:tabs>
          <w:tab w:val="num" w:pos="0"/>
        </w:tabs>
      </w:pPr>
    </w:lvl>
    <w:lvl w:ilvl="4">
      <w:start w:val="1"/>
      <w:numFmt w:val="decimal"/>
      <w:pStyle w:val="Author-eSectionHeading5"/>
      <w:lvlText w:val="%1%2.%3%4.%5"/>
      <w:lvlJc w:val="left"/>
      <w:pPr>
        <w:tabs>
          <w:tab w:val="num" w:pos="0"/>
        </w:tabs>
      </w:pPr>
    </w:lvl>
    <w:lvl w:ilvl="5">
      <w:start w:val="1"/>
      <w:numFmt w:val="lowerLetter"/>
      <w:pStyle w:val="Author-eSectionHeading6"/>
      <w:lvlText w:val="%1%2.%3%4.%5%6"/>
      <w:lvlJc w:val="left"/>
      <w:pPr>
        <w:tabs>
          <w:tab w:val="num" w:pos="0"/>
        </w:tabs>
      </w:pPr>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25074199"/>
    <w:multiLevelType w:val="hybridMultilevel"/>
    <w:tmpl w:val="BA8079FC"/>
    <w:lvl w:ilvl="0" w:tplc="5CCEDCBA">
      <w:start w:val="1"/>
      <w:numFmt w:val="bullet"/>
      <w:lvlText w:val=""/>
      <w:lvlJc w:val="left"/>
      <w:pPr>
        <w:ind w:left="720" w:hanging="180"/>
      </w:pPr>
      <w:rPr>
        <w:rFonts w:ascii="Symbol" w:hAnsi="Symbol" w:hint="default"/>
      </w:rPr>
    </w:lvl>
    <w:lvl w:ilvl="1" w:tplc="62A490BE">
      <w:numFmt w:val="decimal"/>
      <w:lvlText w:val=""/>
      <w:lvlJc w:val="left"/>
    </w:lvl>
    <w:lvl w:ilvl="2" w:tplc="75B05C72">
      <w:numFmt w:val="decimal"/>
      <w:lvlText w:val=""/>
      <w:lvlJc w:val="left"/>
    </w:lvl>
    <w:lvl w:ilvl="3" w:tplc="DBB08948">
      <w:numFmt w:val="decimal"/>
      <w:lvlText w:val=""/>
      <w:lvlJc w:val="left"/>
    </w:lvl>
    <w:lvl w:ilvl="4" w:tplc="08588FE4">
      <w:numFmt w:val="decimal"/>
      <w:lvlText w:val=""/>
      <w:lvlJc w:val="left"/>
    </w:lvl>
    <w:lvl w:ilvl="5" w:tplc="C7CA42D6">
      <w:numFmt w:val="decimal"/>
      <w:lvlText w:val=""/>
      <w:lvlJc w:val="left"/>
    </w:lvl>
    <w:lvl w:ilvl="6" w:tplc="6C6A96CA">
      <w:numFmt w:val="decimal"/>
      <w:lvlText w:val=""/>
      <w:lvlJc w:val="left"/>
    </w:lvl>
    <w:lvl w:ilvl="7" w:tplc="53AA3ACE">
      <w:numFmt w:val="decimal"/>
      <w:lvlText w:val=""/>
      <w:lvlJc w:val="left"/>
    </w:lvl>
    <w:lvl w:ilvl="8" w:tplc="6FDCB5E6">
      <w:numFmt w:val="decimal"/>
      <w:lvlText w:val=""/>
      <w:lvlJc w:val="left"/>
    </w:lvl>
  </w:abstractNum>
  <w:abstractNum w:abstractNumId="334" w15:restartNumberingAfterBreak="0">
    <w:nsid w:val="25364736"/>
    <w:multiLevelType w:val="hybridMultilevel"/>
    <w:tmpl w:val="34B68F74"/>
    <w:lvl w:ilvl="0" w:tplc="DEE8FF5A">
      <w:start w:val="1"/>
      <w:numFmt w:val="bullet"/>
      <w:lvlText w:val=""/>
      <w:lvlJc w:val="left"/>
      <w:pPr>
        <w:ind w:left="720" w:hanging="180"/>
      </w:pPr>
      <w:rPr>
        <w:rFonts w:ascii="Symbol" w:hAnsi="Symbol" w:hint="default"/>
      </w:rPr>
    </w:lvl>
    <w:lvl w:ilvl="1" w:tplc="DF507EBA">
      <w:numFmt w:val="decimal"/>
      <w:lvlText w:val=""/>
      <w:lvlJc w:val="left"/>
    </w:lvl>
    <w:lvl w:ilvl="2" w:tplc="02E44F96">
      <w:numFmt w:val="decimal"/>
      <w:lvlText w:val=""/>
      <w:lvlJc w:val="left"/>
    </w:lvl>
    <w:lvl w:ilvl="3" w:tplc="84B8F91A">
      <w:numFmt w:val="decimal"/>
      <w:lvlText w:val=""/>
      <w:lvlJc w:val="left"/>
    </w:lvl>
    <w:lvl w:ilvl="4" w:tplc="F6E8BEB0">
      <w:numFmt w:val="decimal"/>
      <w:lvlText w:val=""/>
      <w:lvlJc w:val="left"/>
    </w:lvl>
    <w:lvl w:ilvl="5" w:tplc="E4A2C980">
      <w:numFmt w:val="decimal"/>
      <w:lvlText w:val=""/>
      <w:lvlJc w:val="left"/>
    </w:lvl>
    <w:lvl w:ilvl="6" w:tplc="B2AC18A8">
      <w:numFmt w:val="decimal"/>
      <w:lvlText w:val=""/>
      <w:lvlJc w:val="left"/>
    </w:lvl>
    <w:lvl w:ilvl="7" w:tplc="331C3772">
      <w:numFmt w:val="decimal"/>
      <w:lvlText w:val=""/>
      <w:lvlJc w:val="left"/>
    </w:lvl>
    <w:lvl w:ilvl="8" w:tplc="9F7A7A54">
      <w:numFmt w:val="decimal"/>
      <w:lvlText w:val=""/>
      <w:lvlJc w:val="left"/>
    </w:lvl>
  </w:abstractNum>
  <w:abstractNum w:abstractNumId="335" w15:restartNumberingAfterBreak="0">
    <w:nsid w:val="253C29F6"/>
    <w:multiLevelType w:val="hybridMultilevel"/>
    <w:tmpl w:val="09C647FC"/>
    <w:lvl w:ilvl="0" w:tplc="146CC1E2">
      <w:start w:val="1"/>
      <w:numFmt w:val="bullet"/>
      <w:lvlText w:val=""/>
      <w:lvlJc w:val="left"/>
      <w:pPr>
        <w:ind w:left="720" w:hanging="180"/>
      </w:pPr>
      <w:rPr>
        <w:rFonts w:ascii="Symbol" w:hAnsi="Symbol" w:hint="default"/>
      </w:rPr>
    </w:lvl>
    <w:lvl w:ilvl="1" w:tplc="94BC6380">
      <w:numFmt w:val="decimal"/>
      <w:lvlText w:val=""/>
      <w:lvlJc w:val="left"/>
    </w:lvl>
    <w:lvl w:ilvl="2" w:tplc="B65A0F16">
      <w:numFmt w:val="decimal"/>
      <w:lvlText w:val=""/>
      <w:lvlJc w:val="left"/>
    </w:lvl>
    <w:lvl w:ilvl="3" w:tplc="3C0E4D80">
      <w:numFmt w:val="decimal"/>
      <w:lvlText w:val=""/>
      <w:lvlJc w:val="left"/>
    </w:lvl>
    <w:lvl w:ilvl="4" w:tplc="A1EA30C2">
      <w:numFmt w:val="decimal"/>
      <w:lvlText w:val=""/>
      <w:lvlJc w:val="left"/>
    </w:lvl>
    <w:lvl w:ilvl="5" w:tplc="DA625F78">
      <w:numFmt w:val="decimal"/>
      <w:lvlText w:val=""/>
      <w:lvlJc w:val="left"/>
    </w:lvl>
    <w:lvl w:ilvl="6" w:tplc="ED964398">
      <w:numFmt w:val="decimal"/>
      <w:lvlText w:val=""/>
      <w:lvlJc w:val="left"/>
    </w:lvl>
    <w:lvl w:ilvl="7" w:tplc="9AEE32F6">
      <w:numFmt w:val="decimal"/>
      <w:lvlText w:val=""/>
      <w:lvlJc w:val="left"/>
    </w:lvl>
    <w:lvl w:ilvl="8" w:tplc="5C0CBAB0">
      <w:numFmt w:val="decimal"/>
      <w:lvlText w:val=""/>
      <w:lvlJc w:val="left"/>
    </w:lvl>
  </w:abstractNum>
  <w:abstractNum w:abstractNumId="336" w15:restartNumberingAfterBreak="0">
    <w:nsid w:val="25492124"/>
    <w:multiLevelType w:val="hybridMultilevel"/>
    <w:tmpl w:val="132A87C4"/>
    <w:lvl w:ilvl="0" w:tplc="D4B60AE6">
      <w:start w:val="1"/>
      <w:numFmt w:val="bullet"/>
      <w:lvlText w:val=""/>
      <w:lvlJc w:val="left"/>
      <w:pPr>
        <w:ind w:left="720" w:hanging="180"/>
      </w:pPr>
      <w:rPr>
        <w:rFonts w:ascii="Symbol" w:hAnsi="Symbol" w:hint="default"/>
      </w:rPr>
    </w:lvl>
    <w:lvl w:ilvl="1" w:tplc="77489796">
      <w:numFmt w:val="decimal"/>
      <w:lvlText w:val=""/>
      <w:lvlJc w:val="left"/>
    </w:lvl>
    <w:lvl w:ilvl="2" w:tplc="DB3060C2">
      <w:numFmt w:val="decimal"/>
      <w:lvlText w:val=""/>
      <w:lvlJc w:val="left"/>
    </w:lvl>
    <w:lvl w:ilvl="3" w:tplc="8B02463E">
      <w:numFmt w:val="decimal"/>
      <w:lvlText w:val=""/>
      <w:lvlJc w:val="left"/>
    </w:lvl>
    <w:lvl w:ilvl="4" w:tplc="4F328F7E">
      <w:numFmt w:val="decimal"/>
      <w:lvlText w:val=""/>
      <w:lvlJc w:val="left"/>
    </w:lvl>
    <w:lvl w:ilvl="5" w:tplc="788E7ED6">
      <w:numFmt w:val="decimal"/>
      <w:lvlText w:val=""/>
      <w:lvlJc w:val="left"/>
    </w:lvl>
    <w:lvl w:ilvl="6" w:tplc="3424B54A">
      <w:numFmt w:val="decimal"/>
      <w:lvlText w:val=""/>
      <w:lvlJc w:val="left"/>
    </w:lvl>
    <w:lvl w:ilvl="7" w:tplc="4CA00C4C">
      <w:numFmt w:val="decimal"/>
      <w:lvlText w:val=""/>
      <w:lvlJc w:val="left"/>
    </w:lvl>
    <w:lvl w:ilvl="8" w:tplc="008AEC6A">
      <w:numFmt w:val="decimal"/>
      <w:lvlText w:val=""/>
      <w:lvlJc w:val="left"/>
    </w:lvl>
  </w:abstractNum>
  <w:abstractNum w:abstractNumId="337" w15:restartNumberingAfterBreak="0">
    <w:nsid w:val="254E5B68"/>
    <w:multiLevelType w:val="hybridMultilevel"/>
    <w:tmpl w:val="027A7520"/>
    <w:lvl w:ilvl="0" w:tplc="D3C8604A">
      <w:start w:val="1"/>
      <w:numFmt w:val="bullet"/>
      <w:lvlText w:val=""/>
      <w:lvlJc w:val="left"/>
      <w:pPr>
        <w:ind w:left="720" w:hanging="180"/>
      </w:pPr>
      <w:rPr>
        <w:rFonts w:ascii="Symbol" w:hAnsi="Symbol" w:hint="default"/>
      </w:rPr>
    </w:lvl>
    <w:lvl w:ilvl="1" w:tplc="7700CEFC">
      <w:numFmt w:val="decimal"/>
      <w:lvlText w:val=""/>
      <w:lvlJc w:val="left"/>
    </w:lvl>
    <w:lvl w:ilvl="2" w:tplc="29807DD4">
      <w:numFmt w:val="decimal"/>
      <w:lvlText w:val=""/>
      <w:lvlJc w:val="left"/>
    </w:lvl>
    <w:lvl w:ilvl="3" w:tplc="C5388D3C">
      <w:numFmt w:val="decimal"/>
      <w:lvlText w:val=""/>
      <w:lvlJc w:val="left"/>
    </w:lvl>
    <w:lvl w:ilvl="4" w:tplc="CE1C8C56">
      <w:numFmt w:val="decimal"/>
      <w:lvlText w:val=""/>
      <w:lvlJc w:val="left"/>
    </w:lvl>
    <w:lvl w:ilvl="5" w:tplc="58D8CE1A">
      <w:numFmt w:val="decimal"/>
      <w:lvlText w:val=""/>
      <w:lvlJc w:val="left"/>
    </w:lvl>
    <w:lvl w:ilvl="6" w:tplc="6D3CF79A">
      <w:numFmt w:val="decimal"/>
      <w:lvlText w:val=""/>
      <w:lvlJc w:val="left"/>
    </w:lvl>
    <w:lvl w:ilvl="7" w:tplc="60ACFA36">
      <w:numFmt w:val="decimal"/>
      <w:lvlText w:val=""/>
      <w:lvlJc w:val="left"/>
    </w:lvl>
    <w:lvl w:ilvl="8" w:tplc="A3F0D0C6">
      <w:numFmt w:val="decimal"/>
      <w:lvlText w:val=""/>
      <w:lvlJc w:val="left"/>
    </w:lvl>
  </w:abstractNum>
  <w:abstractNum w:abstractNumId="338" w15:restartNumberingAfterBreak="0">
    <w:nsid w:val="25C66825"/>
    <w:multiLevelType w:val="hybridMultilevel"/>
    <w:tmpl w:val="5276DAEA"/>
    <w:lvl w:ilvl="0" w:tplc="CC2AE214">
      <w:start w:val="1"/>
      <w:numFmt w:val="bullet"/>
      <w:lvlText w:val=""/>
      <w:lvlJc w:val="left"/>
      <w:pPr>
        <w:ind w:left="720" w:hanging="180"/>
      </w:pPr>
      <w:rPr>
        <w:rFonts w:ascii="Symbol" w:hAnsi="Symbol" w:hint="default"/>
      </w:rPr>
    </w:lvl>
    <w:lvl w:ilvl="1" w:tplc="9CECB3EE">
      <w:numFmt w:val="decimal"/>
      <w:lvlText w:val=""/>
      <w:lvlJc w:val="left"/>
    </w:lvl>
    <w:lvl w:ilvl="2" w:tplc="416C196E">
      <w:numFmt w:val="decimal"/>
      <w:lvlText w:val=""/>
      <w:lvlJc w:val="left"/>
    </w:lvl>
    <w:lvl w:ilvl="3" w:tplc="DF9E6E26">
      <w:numFmt w:val="decimal"/>
      <w:lvlText w:val=""/>
      <w:lvlJc w:val="left"/>
    </w:lvl>
    <w:lvl w:ilvl="4" w:tplc="34D414E6">
      <w:numFmt w:val="decimal"/>
      <w:lvlText w:val=""/>
      <w:lvlJc w:val="left"/>
    </w:lvl>
    <w:lvl w:ilvl="5" w:tplc="3CC49E66">
      <w:numFmt w:val="decimal"/>
      <w:lvlText w:val=""/>
      <w:lvlJc w:val="left"/>
    </w:lvl>
    <w:lvl w:ilvl="6" w:tplc="468CC65C">
      <w:numFmt w:val="decimal"/>
      <w:lvlText w:val=""/>
      <w:lvlJc w:val="left"/>
    </w:lvl>
    <w:lvl w:ilvl="7" w:tplc="37DA1F26">
      <w:numFmt w:val="decimal"/>
      <w:lvlText w:val=""/>
      <w:lvlJc w:val="left"/>
    </w:lvl>
    <w:lvl w:ilvl="8" w:tplc="3D486174">
      <w:numFmt w:val="decimal"/>
      <w:lvlText w:val=""/>
      <w:lvlJc w:val="left"/>
    </w:lvl>
  </w:abstractNum>
  <w:abstractNum w:abstractNumId="339" w15:restartNumberingAfterBreak="0">
    <w:nsid w:val="25CC4190"/>
    <w:multiLevelType w:val="hybridMultilevel"/>
    <w:tmpl w:val="C2CC8CB0"/>
    <w:lvl w:ilvl="0" w:tplc="C4B4DD74">
      <w:start w:val="1"/>
      <w:numFmt w:val="bullet"/>
      <w:lvlText w:val=""/>
      <w:lvlJc w:val="left"/>
      <w:pPr>
        <w:ind w:left="720" w:hanging="180"/>
      </w:pPr>
      <w:rPr>
        <w:rFonts w:ascii="Symbol" w:hAnsi="Symbol" w:hint="default"/>
      </w:rPr>
    </w:lvl>
    <w:lvl w:ilvl="1" w:tplc="53600F2E">
      <w:numFmt w:val="decimal"/>
      <w:lvlText w:val=""/>
      <w:lvlJc w:val="left"/>
    </w:lvl>
    <w:lvl w:ilvl="2" w:tplc="D22C5FC6">
      <w:numFmt w:val="decimal"/>
      <w:lvlText w:val=""/>
      <w:lvlJc w:val="left"/>
    </w:lvl>
    <w:lvl w:ilvl="3" w:tplc="BE7C4D3C">
      <w:numFmt w:val="decimal"/>
      <w:lvlText w:val=""/>
      <w:lvlJc w:val="left"/>
    </w:lvl>
    <w:lvl w:ilvl="4" w:tplc="5718C456">
      <w:numFmt w:val="decimal"/>
      <w:lvlText w:val=""/>
      <w:lvlJc w:val="left"/>
    </w:lvl>
    <w:lvl w:ilvl="5" w:tplc="C82613BE">
      <w:numFmt w:val="decimal"/>
      <w:lvlText w:val=""/>
      <w:lvlJc w:val="left"/>
    </w:lvl>
    <w:lvl w:ilvl="6" w:tplc="C4489FEE">
      <w:numFmt w:val="decimal"/>
      <w:lvlText w:val=""/>
      <w:lvlJc w:val="left"/>
    </w:lvl>
    <w:lvl w:ilvl="7" w:tplc="D44C1862">
      <w:numFmt w:val="decimal"/>
      <w:lvlText w:val=""/>
      <w:lvlJc w:val="left"/>
    </w:lvl>
    <w:lvl w:ilvl="8" w:tplc="C1B61D80">
      <w:numFmt w:val="decimal"/>
      <w:lvlText w:val=""/>
      <w:lvlJc w:val="left"/>
    </w:lvl>
  </w:abstractNum>
  <w:abstractNum w:abstractNumId="340" w15:restartNumberingAfterBreak="0">
    <w:nsid w:val="25E27E45"/>
    <w:multiLevelType w:val="hybridMultilevel"/>
    <w:tmpl w:val="E8467B00"/>
    <w:lvl w:ilvl="0" w:tplc="116A6E04">
      <w:start w:val="1"/>
      <w:numFmt w:val="bullet"/>
      <w:lvlText w:val=""/>
      <w:lvlJc w:val="left"/>
      <w:pPr>
        <w:ind w:left="720" w:hanging="180"/>
      </w:pPr>
      <w:rPr>
        <w:rFonts w:ascii="Symbol" w:hAnsi="Symbol" w:hint="default"/>
      </w:rPr>
    </w:lvl>
    <w:lvl w:ilvl="1" w:tplc="F43ADECC">
      <w:numFmt w:val="decimal"/>
      <w:lvlText w:val=""/>
      <w:lvlJc w:val="left"/>
    </w:lvl>
    <w:lvl w:ilvl="2" w:tplc="C5529538">
      <w:numFmt w:val="decimal"/>
      <w:lvlText w:val=""/>
      <w:lvlJc w:val="left"/>
    </w:lvl>
    <w:lvl w:ilvl="3" w:tplc="F7EE28FC">
      <w:numFmt w:val="decimal"/>
      <w:lvlText w:val=""/>
      <w:lvlJc w:val="left"/>
    </w:lvl>
    <w:lvl w:ilvl="4" w:tplc="C6BE040C">
      <w:numFmt w:val="decimal"/>
      <w:lvlText w:val=""/>
      <w:lvlJc w:val="left"/>
    </w:lvl>
    <w:lvl w:ilvl="5" w:tplc="90EC3A8A">
      <w:numFmt w:val="decimal"/>
      <w:lvlText w:val=""/>
      <w:lvlJc w:val="left"/>
    </w:lvl>
    <w:lvl w:ilvl="6" w:tplc="538A3BC6">
      <w:numFmt w:val="decimal"/>
      <w:lvlText w:val=""/>
      <w:lvlJc w:val="left"/>
    </w:lvl>
    <w:lvl w:ilvl="7" w:tplc="90FE0E70">
      <w:numFmt w:val="decimal"/>
      <w:lvlText w:val=""/>
      <w:lvlJc w:val="left"/>
    </w:lvl>
    <w:lvl w:ilvl="8" w:tplc="532E840A">
      <w:numFmt w:val="decimal"/>
      <w:lvlText w:val=""/>
      <w:lvlJc w:val="left"/>
    </w:lvl>
  </w:abstractNum>
  <w:abstractNum w:abstractNumId="341" w15:restartNumberingAfterBreak="0">
    <w:nsid w:val="264D7F22"/>
    <w:multiLevelType w:val="hybridMultilevel"/>
    <w:tmpl w:val="0D56E40C"/>
    <w:lvl w:ilvl="0" w:tplc="3B7AFF72">
      <w:start w:val="1"/>
      <w:numFmt w:val="bullet"/>
      <w:lvlText w:val=""/>
      <w:lvlJc w:val="left"/>
      <w:pPr>
        <w:ind w:left="720" w:hanging="180"/>
      </w:pPr>
      <w:rPr>
        <w:rFonts w:ascii="Symbol" w:hAnsi="Symbol" w:hint="default"/>
      </w:rPr>
    </w:lvl>
    <w:lvl w:ilvl="1" w:tplc="71F68306">
      <w:numFmt w:val="decimal"/>
      <w:lvlText w:val=""/>
      <w:lvlJc w:val="left"/>
    </w:lvl>
    <w:lvl w:ilvl="2" w:tplc="E528B6F0">
      <w:numFmt w:val="decimal"/>
      <w:lvlText w:val=""/>
      <w:lvlJc w:val="left"/>
    </w:lvl>
    <w:lvl w:ilvl="3" w:tplc="CA3A9B96">
      <w:numFmt w:val="decimal"/>
      <w:lvlText w:val=""/>
      <w:lvlJc w:val="left"/>
    </w:lvl>
    <w:lvl w:ilvl="4" w:tplc="4F24A838">
      <w:numFmt w:val="decimal"/>
      <w:lvlText w:val=""/>
      <w:lvlJc w:val="left"/>
    </w:lvl>
    <w:lvl w:ilvl="5" w:tplc="15C0C6E2">
      <w:numFmt w:val="decimal"/>
      <w:lvlText w:val=""/>
      <w:lvlJc w:val="left"/>
    </w:lvl>
    <w:lvl w:ilvl="6" w:tplc="71A06D4A">
      <w:numFmt w:val="decimal"/>
      <w:lvlText w:val=""/>
      <w:lvlJc w:val="left"/>
    </w:lvl>
    <w:lvl w:ilvl="7" w:tplc="29FC228A">
      <w:numFmt w:val="decimal"/>
      <w:lvlText w:val=""/>
      <w:lvlJc w:val="left"/>
    </w:lvl>
    <w:lvl w:ilvl="8" w:tplc="53207E88">
      <w:numFmt w:val="decimal"/>
      <w:lvlText w:val=""/>
      <w:lvlJc w:val="left"/>
    </w:lvl>
  </w:abstractNum>
  <w:abstractNum w:abstractNumId="342" w15:restartNumberingAfterBreak="0">
    <w:nsid w:val="26C16E91"/>
    <w:multiLevelType w:val="hybridMultilevel"/>
    <w:tmpl w:val="EE5E0FBE"/>
    <w:lvl w:ilvl="0" w:tplc="38EE81A2">
      <w:start w:val="1"/>
      <w:numFmt w:val="bullet"/>
      <w:lvlText w:val=""/>
      <w:lvlJc w:val="left"/>
      <w:pPr>
        <w:ind w:left="720" w:hanging="180"/>
      </w:pPr>
      <w:rPr>
        <w:rFonts w:ascii="Symbol" w:hAnsi="Symbol" w:hint="default"/>
      </w:rPr>
    </w:lvl>
    <w:lvl w:ilvl="1" w:tplc="BCD00FD6">
      <w:numFmt w:val="decimal"/>
      <w:lvlText w:val=""/>
      <w:lvlJc w:val="left"/>
    </w:lvl>
    <w:lvl w:ilvl="2" w:tplc="00A2819C">
      <w:numFmt w:val="decimal"/>
      <w:lvlText w:val=""/>
      <w:lvlJc w:val="left"/>
    </w:lvl>
    <w:lvl w:ilvl="3" w:tplc="CF34A620">
      <w:numFmt w:val="decimal"/>
      <w:lvlText w:val=""/>
      <w:lvlJc w:val="left"/>
    </w:lvl>
    <w:lvl w:ilvl="4" w:tplc="C4F8F6C0">
      <w:numFmt w:val="decimal"/>
      <w:lvlText w:val=""/>
      <w:lvlJc w:val="left"/>
    </w:lvl>
    <w:lvl w:ilvl="5" w:tplc="EA6238AE">
      <w:numFmt w:val="decimal"/>
      <w:lvlText w:val=""/>
      <w:lvlJc w:val="left"/>
    </w:lvl>
    <w:lvl w:ilvl="6" w:tplc="F7DA0D72">
      <w:numFmt w:val="decimal"/>
      <w:lvlText w:val=""/>
      <w:lvlJc w:val="left"/>
    </w:lvl>
    <w:lvl w:ilvl="7" w:tplc="285E27F4">
      <w:numFmt w:val="decimal"/>
      <w:lvlText w:val=""/>
      <w:lvlJc w:val="left"/>
    </w:lvl>
    <w:lvl w:ilvl="8" w:tplc="48FEB81E">
      <w:numFmt w:val="decimal"/>
      <w:lvlText w:val=""/>
      <w:lvlJc w:val="left"/>
    </w:lvl>
  </w:abstractNum>
  <w:abstractNum w:abstractNumId="343" w15:restartNumberingAfterBreak="0">
    <w:nsid w:val="26F11F11"/>
    <w:multiLevelType w:val="hybridMultilevel"/>
    <w:tmpl w:val="08B20BEA"/>
    <w:lvl w:ilvl="0" w:tplc="5C7A39CC">
      <w:start w:val="1"/>
      <w:numFmt w:val="bullet"/>
      <w:lvlText w:val=""/>
      <w:lvlJc w:val="left"/>
      <w:pPr>
        <w:ind w:left="720" w:hanging="180"/>
      </w:pPr>
      <w:rPr>
        <w:rFonts w:ascii="Symbol" w:hAnsi="Symbol" w:hint="default"/>
      </w:rPr>
    </w:lvl>
    <w:lvl w:ilvl="1" w:tplc="C45EFECC">
      <w:numFmt w:val="decimal"/>
      <w:lvlText w:val=""/>
      <w:lvlJc w:val="left"/>
    </w:lvl>
    <w:lvl w:ilvl="2" w:tplc="966E99A6">
      <w:numFmt w:val="decimal"/>
      <w:lvlText w:val=""/>
      <w:lvlJc w:val="left"/>
    </w:lvl>
    <w:lvl w:ilvl="3" w:tplc="F120EC24">
      <w:numFmt w:val="decimal"/>
      <w:lvlText w:val=""/>
      <w:lvlJc w:val="left"/>
    </w:lvl>
    <w:lvl w:ilvl="4" w:tplc="BF1062A8">
      <w:numFmt w:val="decimal"/>
      <w:lvlText w:val=""/>
      <w:lvlJc w:val="left"/>
    </w:lvl>
    <w:lvl w:ilvl="5" w:tplc="4E6CF504">
      <w:numFmt w:val="decimal"/>
      <w:lvlText w:val=""/>
      <w:lvlJc w:val="left"/>
    </w:lvl>
    <w:lvl w:ilvl="6" w:tplc="53A8E198">
      <w:numFmt w:val="decimal"/>
      <w:lvlText w:val=""/>
      <w:lvlJc w:val="left"/>
    </w:lvl>
    <w:lvl w:ilvl="7" w:tplc="47BEC03A">
      <w:numFmt w:val="decimal"/>
      <w:lvlText w:val=""/>
      <w:lvlJc w:val="left"/>
    </w:lvl>
    <w:lvl w:ilvl="8" w:tplc="2924C016">
      <w:numFmt w:val="decimal"/>
      <w:lvlText w:val=""/>
      <w:lvlJc w:val="left"/>
    </w:lvl>
  </w:abstractNum>
  <w:abstractNum w:abstractNumId="344" w15:restartNumberingAfterBreak="0">
    <w:nsid w:val="27540E85"/>
    <w:multiLevelType w:val="hybridMultilevel"/>
    <w:tmpl w:val="87D687CC"/>
    <w:lvl w:ilvl="0" w:tplc="05BAF47E">
      <w:start w:val="1"/>
      <w:numFmt w:val="bullet"/>
      <w:lvlText w:val=""/>
      <w:lvlJc w:val="left"/>
      <w:pPr>
        <w:ind w:left="720" w:hanging="180"/>
      </w:pPr>
      <w:rPr>
        <w:rFonts w:ascii="Symbol" w:hAnsi="Symbol" w:hint="default"/>
      </w:rPr>
    </w:lvl>
    <w:lvl w:ilvl="1" w:tplc="136C7AF4">
      <w:numFmt w:val="decimal"/>
      <w:lvlText w:val=""/>
      <w:lvlJc w:val="left"/>
    </w:lvl>
    <w:lvl w:ilvl="2" w:tplc="676E82FC">
      <w:numFmt w:val="decimal"/>
      <w:lvlText w:val=""/>
      <w:lvlJc w:val="left"/>
    </w:lvl>
    <w:lvl w:ilvl="3" w:tplc="9140E774">
      <w:numFmt w:val="decimal"/>
      <w:lvlText w:val=""/>
      <w:lvlJc w:val="left"/>
    </w:lvl>
    <w:lvl w:ilvl="4" w:tplc="13BED660">
      <w:numFmt w:val="decimal"/>
      <w:lvlText w:val=""/>
      <w:lvlJc w:val="left"/>
    </w:lvl>
    <w:lvl w:ilvl="5" w:tplc="DFCE871E">
      <w:numFmt w:val="decimal"/>
      <w:lvlText w:val=""/>
      <w:lvlJc w:val="left"/>
    </w:lvl>
    <w:lvl w:ilvl="6" w:tplc="18A28020">
      <w:numFmt w:val="decimal"/>
      <w:lvlText w:val=""/>
      <w:lvlJc w:val="left"/>
    </w:lvl>
    <w:lvl w:ilvl="7" w:tplc="CED0A8F4">
      <w:numFmt w:val="decimal"/>
      <w:lvlText w:val=""/>
      <w:lvlJc w:val="left"/>
    </w:lvl>
    <w:lvl w:ilvl="8" w:tplc="1536017A">
      <w:numFmt w:val="decimal"/>
      <w:lvlText w:val=""/>
      <w:lvlJc w:val="left"/>
    </w:lvl>
  </w:abstractNum>
  <w:abstractNum w:abstractNumId="345" w15:restartNumberingAfterBreak="0">
    <w:nsid w:val="27731891"/>
    <w:multiLevelType w:val="hybridMultilevel"/>
    <w:tmpl w:val="2EA608CE"/>
    <w:lvl w:ilvl="0" w:tplc="0EDC8A34">
      <w:numFmt w:val="decimal"/>
      <w:lvlText w:val=""/>
      <w:lvlJc w:val="left"/>
    </w:lvl>
    <w:lvl w:ilvl="1" w:tplc="7770978C">
      <w:start w:val="1"/>
      <w:numFmt w:val="bullet"/>
      <w:lvlText w:val=""/>
      <w:lvlJc w:val="left"/>
      <w:pPr>
        <w:ind w:left="1440" w:hanging="180"/>
      </w:pPr>
      <w:rPr>
        <w:rFonts w:ascii="Symbol" w:hAnsi="Symbol" w:hint="default"/>
      </w:rPr>
    </w:lvl>
    <w:lvl w:ilvl="2" w:tplc="7CC06A1A">
      <w:numFmt w:val="decimal"/>
      <w:lvlText w:val=""/>
      <w:lvlJc w:val="left"/>
    </w:lvl>
    <w:lvl w:ilvl="3" w:tplc="FA3C555A">
      <w:numFmt w:val="decimal"/>
      <w:lvlText w:val=""/>
      <w:lvlJc w:val="left"/>
    </w:lvl>
    <w:lvl w:ilvl="4" w:tplc="AFF4A514">
      <w:numFmt w:val="decimal"/>
      <w:lvlText w:val=""/>
      <w:lvlJc w:val="left"/>
    </w:lvl>
    <w:lvl w:ilvl="5" w:tplc="6DC82FFA">
      <w:numFmt w:val="decimal"/>
      <w:lvlText w:val=""/>
      <w:lvlJc w:val="left"/>
    </w:lvl>
    <w:lvl w:ilvl="6" w:tplc="CEE4A04C">
      <w:numFmt w:val="decimal"/>
      <w:lvlText w:val=""/>
      <w:lvlJc w:val="left"/>
    </w:lvl>
    <w:lvl w:ilvl="7" w:tplc="187EFE6C">
      <w:numFmt w:val="decimal"/>
      <w:lvlText w:val=""/>
      <w:lvlJc w:val="left"/>
    </w:lvl>
    <w:lvl w:ilvl="8" w:tplc="21843C34">
      <w:numFmt w:val="decimal"/>
      <w:lvlText w:val=""/>
      <w:lvlJc w:val="left"/>
    </w:lvl>
  </w:abstractNum>
  <w:abstractNum w:abstractNumId="346" w15:restartNumberingAfterBreak="0">
    <w:nsid w:val="279C5666"/>
    <w:multiLevelType w:val="hybridMultilevel"/>
    <w:tmpl w:val="AEEE5508"/>
    <w:lvl w:ilvl="0" w:tplc="78EC5BB2">
      <w:numFmt w:val="decimal"/>
      <w:lvlText w:val=""/>
      <w:lvlJc w:val="left"/>
    </w:lvl>
    <w:lvl w:ilvl="1" w:tplc="4C9ECBF6">
      <w:start w:val="1"/>
      <w:numFmt w:val="bullet"/>
      <w:lvlText w:val=""/>
      <w:lvlJc w:val="left"/>
      <w:pPr>
        <w:ind w:left="1440" w:hanging="180"/>
      </w:pPr>
      <w:rPr>
        <w:rFonts w:ascii="Symbol" w:hAnsi="Symbol" w:hint="default"/>
      </w:rPr>
    </w:lvl>
    <w:lvl w:ilvl="2" w:tplc="35AEBF3C">
      <w:numFmt w:val="decimal"/>
      <w:lvlText w:val=""/>
      <w:lvlJc w:val="left"/>
    </w:lvl>
    <w:lvl w:ilvl="3" w:tplc="D1069272">
      <w:numFmt w:val="decimal"/>
      <w:lvlText w:val=""/>
      <w:lvlJc w:val="left"/>
    </w:lvl>
    <w:lvl w:ilvl="4" w:tplc="853CED94">
      <w:numFmt w:val="decimal"/>
      <w:lvlText w:val=""/>
      <w:lvlJc w:val="left"/>
    </w:lvl>
    <w:lvl w:ilvl="5" w:tplc="D37239C8">
      <w:numFmt w:val="decimal"/>
      <w:lvlText w:val=""/>
      <w:lvlJc w:val="left"/>
    </w:lvl>
    <w:lvl w:ilvl="6" w:tplc="0C685B36">
      <w:numFmt w:val="decimal"/>
      <w:lvlText w:val=""/>
      <w:lvlJc w:val="left"/>
    </w:lvl>
    <w:lvl w:ilvl="7" w:tplc="BB0AEDBE">
      <w:numFmt w:val="decimal"/>
      <w:lvlText w:val=""/>
      <w:lvlJc w:val="left"/>
    </w:lvl>
    <w:lvl w:ilvl="8" w:tplc="5A305EA6">
      <w:numFmt w:val="decimal"/>
      <w:lvlText w:val=""/>
      <w:lvlJc w:val="left"/>
    </w:lvl>
  </w:abstractNum>
  <w:abstractNum w:abstractNumId="347" w15:restartNumberingAfterBreak="0">
    <w:nsid w:val="27B46EA3"/>
    <w:multiLevelType w:val="hybridMultilevel"/>
    <w:tmpl w:val="8910C88E"/>
    <w:lvl w:ilvl="0" w:tplc="9EBC0888">
      <w:numFmt w:val="decimal"/>
      <w:lvlText w:val=""/>
      <w:lvlJc w:val="left"/>
    </w:lvl>
    <w:lvl w:ilvl="1" w:tplc="90AA6228">
      <w:start w:val="1"/>
      <w:numFmt w:val="bullet"/>
      <w:lvlText w:val=""/>
      <w:lvlJc w:val="left"/>
      <w:pPr>
        <w:ind w:left="1440" w:hanging="180"/>
      </w:pPr>
      <w:rPr>
        <w:rFonts w:ascii="Symbol" w:hAnsi="Symbol" w:hint="default"/>
      </w:rPr>
    </w:lvl>
    <w:lvl w:ilvl="2" w:tplc="F4482DCA">
      <w:numFmt w:val="decimal"/>
      <w:lvlText w:val=""/>
      <w:lvlJc w:val="left"/>
    </w:lvl>
    <w:lvl w:ilvl="3" w:tplc="26C4909C">
      <w:numFmt w:val="decimal"/>
      <w:lvlText w:val=""/>
      <w:lvlJc w:val="left"/>
    </w:lvl>
    <w:lvl w:ilvl="4" w:tplc="3FD672C2">
      <w:numFmt w:val="decimal"/>
      <w:lvlText w:val=""/>
      <w:lvlJc w:val="left"/>
    </w:lvl>
    <w:lvl w:ilvl="5" w:tplc="0AAE35A6">
      <w:numFmt w:val="decimal"/>
      <w:lvlText w:val=""/>
      <w:lvlJc w:val="left"/>
    </w:lvl>
    <w:lvl w:ilvl="6" w:tplc="AEF6C9CA">
      <w:numFmt w:val="decimal"/>
      <w:lvlText w:val=""/>
      <w:lvlJc w:val="left"/>
    </w:lvl>
    <w:lvl w:ilvl="7" w:tplc="F34C3B62">
      <w:numFmt w:val="decimal"/>
      <w:lvlText w:val=""/>
      <w:lvlJc w:val="left"/>
    </w:lvl>
    <w:lvl w:ilvl="8" w:tplc="A8C645B4">
      <w:numFmt w:val="decimal"/>
      <w:lvlText w:val=""/>
      <w:lvlJc w:val="left"/>
    </w:lvl>
  </w:abstractNum>
  <w:abstractNum w:abstractNumId="348" w15:restartNumberingAfterBreak="0">
    <w:nsid w:val="27C15764"/>
    <w:multiLevelType w:val="hybridMultilevel"/>
    <w:tmpl w:val="DBF004E6"/>
    <w:lvl w:ilvl="0" w:tplc="385A6704">
      <w:start w:val="1"/>
      <w:numFmt w:val="bullet"/>
      <w:lvlText w:val=""/>
      <w:lvlJc w:val="left"/>
      <w:pPr>
        <w:ind w:left="720" w:hanging="180"/>
      </w:pPr>
      <w:rPr>
        <w:rFonts w:ascii="Symbol" w:hAnsi="Symbol" w:hint="default"/>
      </w:rPr>
    </w:lvl>
    <w:lvl w:ilvl="1" w:tplc="6298D306">
      <w:numFmt w:val="decimal"/>
      <w:lvlText w:val=""/>
      <w:lvlJc w:val="left"/>
    </w:lvl>
    <w:lvl w:ilvl="2" w:tplc="09C4FE70">
      <w:numFmt w:val="decimal"/>
      <w:lvlText w:val=""/>
      <w:lvlJc w:val="left"/>
    </w:lvl>
    <w:lvl w:ilvl="3" w:tplc="9122682A">
      <w:numFmt w:val="decimal"/>
      <w:lvlText w:val=""/>
      <w:lvlJc w:val="left"/>
    </w:lvl>
    <w:lvl w:ilvl="4" w:tplc="789EE122">
      <w:numFmt w:val="decimal"/>
      <w:lvlText w:val=""/>
      <w:lvlJc w:val="left"/>
    </w:lvl>
    <w:lvl w:ilvl="5" w:tplc="774C4500">
      <w:numFmt w:val="decimal"/>
      <w:lvlText w:val=""/>
      <w:lvlJc w:val="left"/>
    </w:lvl>
    <w:lvl w:ilvl="6" w:tplc="8632AC20">
      <w:numFmt w:val="decimal"/>
      <w:lvlText w:val=""/>
      <w:lvlJc w:val="left"/>
    </w:lvl>
    <w:lvl w:ilvl="7" w:tplc="C5B0A83E">
      <w:numFmt w:val="decimal"/>
      <w:lvlText w:val=""/>
      <w:lvlJc w:val="left"/>
    </w:lvl>
    <w:lvl w:ilvl="8" w:tplc="F6F83A7A">
      <w:numFmt w:val="decimal"/>
      <w:lvlText w:val=""/>
      <w:lvlJc w:val="left"/>
    </w:lvl>
  </w:abstractNum>
  <w:abstractNum w:abstractNumId="349" w15:restartNumberingAfterBreak="0">
    <w:nsid w:val="27D97B24"/>
    <w:multiLevelType w:val="hybridMultilevel"/>
    <w:tmpl w:val="E50EF3F8"/>
    <w:lvl w:ilvl="0" w:tplc="287C9C56">
      <w:start w:val="1"/>
      <w:numFmt w:val="bullet"/>
      <w:lvlText w:val=""/>
      <w:lvlJc w:val="left"/>
      <w:pPr>
        <w:ind w:left="720" w:hanging="180"/>
      </w:pPr>
      <w:rPr>
        <w:rFonts w:ascii="Symbol" w:hAnsi="Symbol" w:hint="default"/>
      </w:rPr>
    </w:lvl>
    <w:lvl w:ilvl="1" w:tplc="36220F16">
      <w:numFmt w:val="decimal"/>
      <w:lvlText w:val=""/>
      <w:lvlJc w:val="left"/>
    </w:lvl>
    <w:lvl w:ilvl="2" w:tplc="2FBC853C">
      <w:numFmt w:val="decimal"/>
      <w:lvlText w:val=""/>
      <w:lvlJc w:val="left"/>
    </w:lvl>
    <w:lvl w:ilvl="3" w:tplc="C316D578">
      <w:numFmt w:val="decimal"/>
      <w:lvlText w:val=""/>
      <w:lvlJc w:val="left"/>
    </w:lvl>
    <w:lvl w:ilvl="4" w:tplc="07165212">
      <w:numFmt w:val="decimal"/>
      <w:lvlText w:val=""/>
      <w:lvlJc w:val="left"/>
    </w:lvl>
    <w:lvl w:ilvl="5" w:tplc="DD70AE62">
      <w:numFmt w:val="decimal"/>
      <w:lvlText w:val=""/>
      <w:lvlJc w:val="left"/>
    </w:lvl>
    <w:lvl w:ilvl="6" w:tplc="89388FB2">
      <w:numFmt w:val="decimal"/>
      <w:lvlText w:val=""/>
      <w:lvlJc w:val="left"/>
    </w:lvl>
    <w:lvl w:ilvl="7" w:tplc="3794AEAE">
      <w:numFmt w:val="decimal"/>
      <w:lvlText w:val=""/>
      <w:lvlJc w:val="left"/>
    </w:lvl>
    <w:lvl w:ilvl="8" w:tplc="C0FADF6A">
      <w:numFmt w:val="decimal"/>
      <w:lvlText w:val=""/>
      <w:lvlJc w:val="left"/>
    </w:lvl>
  </w:abstractNum>
  <w:abstractNum w:abstractNumId="350" w15:restartNumberingAfterBreak="0">
    <w:nsid w:val="27EB1155"/>
    <w:multiLevelType w:val="hybridMultilevel"/>
    <w:tmpl w:val="14BE03FE"/>
    <w:lvl w:ilvl="0" w:tplc="9A82E1C0">
      <w:start w:val="1"/>
      <w:numFmt w:val="bullet"/>
      <w:lvlText w:val=""/>
      <w:lvlJc w:val="left"/>
      <w:pPr>
        <w:ind w:left="720" w:hanging="180"/>
      </w:pPr>
      <w:rPr>
        <w:rFonts w:ascii="Symbol" w:hAnsi="Symbol" w:hint="default"/>
      </w:rPr>
    </w:lvl>
    <w:lvl w:ilvl="1" w:tplc="FF7247AA">
      <w:numFmt w:val="decimal"/>
      <w:lvlText w:val=""/>
      <w:lvlJc w:val="left"/>
    </w:lvl>
    <w:lvl w:ilvl="2" w:tplc="A24A6B88">
      <w:numFmt w:val="decimal"/>
      <w:lvlText w:val=""/>
      <w:lvlJc w:val="left"/>
    </w:lvl>
    <w:lvl w:ilvl="3" w:tplc="C11AB92E">
      <w:numFmt w:val="decimal"/>
      <w:lvlText w:val=""/>
      <w:lvlJc w:val="left"/>
    </w:lvl>
    <w:lvl w:ilvl="4" w:tplc="CF9AF7CE">
      <w:numFmt w:val="decimal"/>
      <w:lvlText w:val=""/>
      <w:lvlJc w:val="left"/>
    </w:lvl>
    <w:lvl w:ilvl="5" w:tplc="2F845F8E">
      <w:numFmt w:val="decimal"/>
      <w:lvlText w:val=""/>
      <w:lvlJc w:val="left"/>
    </w:lvl>
    <w:lvl w:ilvl="6" w:tplc="6226EAF4">
      <w:numFmt w:val="decimal"/>
      <w:lvlText w:val=""/>
      <w:lvlJc w:val="left"/>
    </w:lvl>
    <w:lvl w:ilvl="7" w:tplc="555E8A90">
      <w:numFmt w:val="decimal"/>
      <w:lvlText w:val=""/>
      <w:lvlJc w:val="left"/>
    </w:lvl>
    <w:lvl w:ilvl="8" w:tplc="23EC9D62">
      <w:numFmt w:val="decimal"/>
      <w:lvlText w:val=""/>
      <w:lvlJc w:val="left"/>
    </w:lvl>
  </w:abstractNum>
  <w:abstractNum w:abstractNumId="351" w15:restartNumberingAfterBreak="0">
    <w:nsid w:val="27F1744F"/>
    <w:multiLevelType w:val="hybridMultilevel"/>
    <w:tmpl w:val="AF724CCE"/>
    <w:lvl w:ilvl="0" w:tplc="EE1686E2">
      <w:start w:val="1"/>
      <w:numFmt w:val="bullet"/>
      <w:lvlText w:val=""/>
      <w:lvlJc w:val="left"/>
      <w:pPr>
        <w:ind w:left="720" w:hanging="180"/>
      </w:pPr>
      <w:rPr>
        <w:rFonts w:ascii="Symbol" w:hAnsi="Symbol" w:hint="default"/>
      </w:rPr>
    </w:lvl>
    <w:lvl w:ilvl="1" w:tplc="1B38AA36">
      <w:numFmt w:val="decimal"/>
      <w:lvlText w:val=""/>
      <w:lvlJc w:val="left"/>
    </w:lvl>
    <w:lvl w:ilvl="2" w:tplc="55EE0728">
      <w:numFmt w:val="decimal"/>
      <w:lvlText w:val=""/>
      <w:lvlJc w:val="left"/>
    </w:lvl>
    <w:lvl w:ilvl="3" w:tplc="0E729EC8">
      <w:numFmt w:val="decimal"/>
      <w:lvlText w:val=""/>
      <w:lvlJc w:val="left"/>
    </w:lvl>
    <w:lvl w:ilvl="4" w:tplc="C6262BF0">
      <w:numFmt w:val="decimal"/>
      <w:lvlText w:val=""/>
      <w:lvlJc w:val="left"/>
    </w:lvl>
    <w:lvl w:ilvl="5" w:tplc="1406AA34">
      <w:numFmt w:val="decimal"/>
      <w:lvlText w:val=""/>
      <w:lvlJc w:val="left"/>
    </w:lvl>
    <w:lvl w:ilvl="6" w:tplc="3E92DD98">
      <w:numFmt w:val="decimal"/>
      <w:lvlText w:val=""/>
      <w:lvlJc w:val="left"/>
    </w:lvl>
    <w:lvl w:ilvl="7" w:tplc="88FC9D3C">
      <w:numFmt w:val="decimal"/>
      <w:lvlText w:val=""/>
      <w:lvlJc w:val="left"/>
    </w:lvl>
    <w:lvl w:ilvl="8" w:tplc="B7FE2EE2">
      <w:numFmt w:val="decimal"/>
      <w:lvlText w:val=""/>
      <w:lvlJc w:val="left"/>
    </w:lvl>
  </w:abstractNum>
  <w:abstractNum w:abstractNumId="352" w15:restartNumberingAfterBreak="0">
    <w:nsid w:val="28167E4D"/>
    <w:multiLevelType w:val="hybridMultilevel"/>
    <w:tmpl w:val="618A469C"/>
    <w:lvl w:ilvl="0" w:tplc="2B2E0D38">
      <w:start w:val="1"/>
      <w:numFmt w:val="bullet"/>
      <w:lvlText w:val=""/>
      <w:lvlJc w:val="left"/>
      <w:pPr>
        <w:ind w:left="720" w:hanging="180"/>
      </w:pPr>
      <w:rPr>
        <w:rFonts w:ascii="Symbol" w:hAnsi="Symbol" w:hint="default"/>
      </w:rPr>
    </w:lvl>
    <w:lvl w:ilvl="1" w:tplc="9614E44C">
      <w:numFmt w:val="decimal"/>
      <w:lvlText w:val=""/>
      <w:lvlJc w:val="left"/>
    </w:lvl>
    <w:lvl w:ilvl="2" w:tplc="D70A3720">
      <w:numFmt w:val="decimal"/>
      <w:lvlText w:val=""/>
      <w:lvlJc w:val="left"/>
    </w:lvl>
    <w:lvl w:ilvl="3" w:tplc="4E86BDD0">
      <w:numFmt w:val="decimal"/>
      <w:lvlText w:val=""/>
      <w:lvlJc w:val="left"/>
    </w:lvl>
    <w:lvl w:ilvl="4" w:tplc="472CEBC8">
      <w:numFmt w:val="decimal"/>
      <w:lvlText w:val=""/>
      <w:lvlJc w:val="left"/>
    </w:lvl>
    <w:lvl w:ilvl="5" w:tplc="0DC80A16">
      <w:numFmt w:val="decimal"/>
      <w:lvlText w:val=""/>
      <w:lvlJc w:val="left"/>
    </w:lvl>
    <w:lvl w:ilvl="6" w:tplc="470C0B12">
      <w:numFmt w:val="decimal"/>
      <w:lvlText w:val=""/>
      <w:lvlJc w:val="left"/>
    </w:lvl>
    <w:lvl w:ilvl="7" w:tplc="2116C1F2">
      <w:numFmt w:val="decimal"/>
      <w:lvlText w:val=""/>
      <w:lvlJc w:val="left"/>
    </w:lvl>
    <w:lvl w:ilvl="8" w:tplc="F62A5C70">
      <w:numFmt w:val="decimal"/>
      <w:lvlText w:val=""/>
      <w:lvlJc w:val="left"/>
    </w:lvl>
  </w:abstractNum>
  <w:abstractNum w:abstractNumId="353" w15:restartNumberingAfterBreak="0">
    <w:nsid w:val="28382EF0"/>
    <w:multiLevelType w:val="hybridMultilevel"/>
    <w:tmpl w:val="E562861C"/>
    <w:lvl w:ilvl="0" w:tplc="456CA512">
      <w:start w:val="1"/>
      <w:numFmt w:val="bullet"/>
      <w:lvlText w:val=""/>
      <w:lvlJc w:val="left"/>
      <w:pPr>
        <w:ind w:left="720" w:hanging="180"/>
      </w:pPr>
      <w:rPr>
        <w:rFonts w:ascii="Symbol" w:hAnsi="Symbol" w:hint="default"/>
      </w:rPr>
    </w:lvl>
    <w:lvl w:ilvl="1" w:tplc="4752A08A">
      <w:numFmt w:val="decimal"/>
      <w:lvlText w:val=""/>
      <w:lvlJc w:val="left"/>
    </w:lvl>
    <w:lvl w:ilvl="2" w:tplc="728A819E">
      <w:numFmt w:val="decimal"/>
      <w:lvlText w:val=""/>
      <w:lvlJc w:val="left"/>
    </w:lvl>
    <w:lvl w:ilvl="3" w:tplc="03F07248">
      <w:numFmt w:val="decimal"/>
      <w:lvlText w:val=""/>
      <w:lvlJc w:val="left"/>
    </w:lvl>
    <w:lvl w:ilvl="4" w:tplc="CCF45C32">
      <w:numFmt w:val="decimal"/>
      <w:lvlText w:val=""/>
      <w:lvlJc w:val="left"/>
    </w:lvl>
    <w:lvl w:ilvl="5" w:tplc="57A241B2">
      <w:numFmt w:val="decimal"/>
      <w:lvlText w:val=""/>
      <w:lvlJc w:val="left"/>
    </w:lvl>
    <w:lvl w:ilvl="6" w:tplc="B32ABF1A">
      <w:numFmt w:val="decimal"/>
      <w:lvlText w:val=""/>
      <w:lvlJc w:val="left"/>
    </w:lvl>
    <w:lvl w:ilvl="7" w:tplc="C6228594">
      <w:numFmt w:val="decimal"/>
      <w:lvlText w:val=""/>
      <w:lvlJc w:val="left"/>
    </w:lvl>
    <w:lvl w:ilvl="8" w:tplc="186C5B40">
      <w:numFmt w:val="decimal"/>
      <w:lvlText w:val=""/>
      <w:lvlJc w:val="left"/>
    </w:lvl>
  </w:abstractNum>
  <w:abstractNum w:abstractNumId="354" w15:restartNumberingAfterBreak="0">
    <w:nsid w:val="283D6364"/>
    <w:multiLevelType w:val="hybridMultilevel"/>
    <w:tmpl w:val="840086EE"/>
    <w:lvl w:ilvl="0" w:tplc="F7C6E76A">
      <w:start w:val="1"/>
      <w:numFmt w:val="bullet"/>
      <w:lvlText w:val=""/>
      <w:lvlJc w:val="left"/>
      <w:pPr>
        <w:ind w:left="720" w:hanging="180"/>
      </w:pPr>
      <w:rPr>
        <w:rFonts w:ascii="Symbol" w:hAnsi="Symbol" w:hint="default"/>
      </w:rPr>
    </w:lvl>
    <w:lvl w:ilvl="1" w:tplc="7D3E56FC">
      <w:numFmt w:val="decimal"/>
      <w:lvlText w:val=""/>
      <w:lvlJc w:val="left"/>
    </w:lvl>
    <w:lvl w:ilvl="2" w:tplc="54F25BB6">
      <w:numFmt w:val="decimal"/>
      <w:lvlText w:val=""/>
      <w:lvlJc w:val="left"/>
    </w:lvl>
    <w:lvl w:ilvl="3" w:tplc="A9B8A5FE">
      <w:numFmt w:val="decimal"/>
      <w:lvlText w:val=""/>
      <w:lvlJc w:val="left"/>
    </w:lvl>
    <w:lvl w:ilvl="4" w:tplc="7108BCB8">
      <w:numFmt w:val="decimal"/>
      <w:lvlText w:val=""/>
      <w:lvlJc w:val="left"/>
    </w:lvl>
    <w:lvl w:ilvl="5" w:tplc="65A01FB2">
      <w:numFmt w:val="decimal"/>
      <w:lvlText w:val=""/>
      <w:lvlJc w:val="left"/>
    </w:lvl>
    <w:lvl w:ilvl="6" w:tplc="4A82B7FA">
      <w:numFmt w:val="decimal"/>
      <w:lvlText w:val=""/>
      <w:lvlJc w:val="left"/>
    </w:lvl>
    <w:lvl w:ilvl="7" w:tplc="65DC3186">
      <w:numFmt w:val="decimal"/>
      <w:lvlText w:val=""/>
      <w:lvlJc w:val="left"/>
    </w:lvl>
    <w:lvl w:ilvl="8" w:tplc="73261266">
      <w:numFmt w:val="decimal"/>
      <w:lvlText w:val=""/>
      <w:lvlJc w:val="left"/>
    </w:lvl>
  </w:abstractNum>
  <w:abstractNum w:abstractNumId="355" w15:restartNumberingAfterBreak="0">
    <w:nsid w:val="286F527B"/>
    <w:multiLevelType w:val="hybridMultilevel"/>
    <w:tmpl w:val="0AC8F08C"/>
    <w:lvl w:ilvl="0" w:tplc="CDE8ED22">
      <w:start w:val="1"/>
      <w:numFmt w:val="bullet"/>
      <w:lvlText w:val=""/>
      <w:lvlJc w:val="left"/>
      <w:pPr>
        <w:ind w:left="720" w:hanging="180"/>
      </w:pPr>
      <w:rPr>
        <w:rFonts w:ascii="Symbol" w:hAnsi="Symbol" w:hint="default"/>
      </w:rPr>
    </w:lvl>
    <w:lvl w:ilvl="1" w:tplc="B3C63498">
      <w:numFmt w:val="decimal"/>
      <w:lvlText w:val=""/>
      <w:lvlJc w:val="left"/>
    </w:lvl>
    <w:lvl w:ilvl="2" w:tplc="F796F48A">
      <w:numFmt w:val="decimal"/>
      <w:lvlText w:val=""/>
      <w:lvlJc w:val="left"/>
    </w:lvl>
    <w:lvl w:ilvl="3" w:tplc="00B8D6D0">
      <w:numFmt w:val="decimal"/>
      <w:lvlText w:val=""/>
      <w:lvlJc w:val="left"/>
    </w:lvl>
    <w:lvl w:ilvl="4" w:tplc="A6047986">
      <w:numFmt w:val="decimal"/>
      <w:lvlText w:val=""/>
      <w:lvlJc w:val="left"/>
    </w:lvl>
    <w:lvl w:ilvl="5" w:tplc="68B8F2C0">
      <w:numFmt w:val="decimal"/>
      <w:lvlText w:val=""/>
      <w:lvlJc w:val="left"/>
    </w:lvl>
    <w:lvl w:ilvl="6" w:tplc="71A4FBB6">
      <w:numFmt w:val="decimal"/>
      <w:lvlText w:val=""/>
      <w:lvlJc w:val="left"/>
    </w:lvl>
    <w:lvl w:ilvl="7" w:tplc="3E8E303C">
      <w:numFmt w:val="decimal"/>
      <w:lvlText w:val=""/>
      <w:lvlJc w:val="left"/>
    </w:lvl>
    <w:lvl w:ilvl="8" w:tplc="B284274C">
      <w:numFmt w:val="decimal"/>
      <w:lvlText w:val=""/>
      <w:lvlJc w:val="left"/>
    </w:lvl>
  </w:abstractNum>
  <w:abstractNum w:abstractNumId="356" w15:restartNumberingAfterBreak="0">
    <w:nsid w:val="28797602"/>
    <w:multiLevelType w:val="hybridMultilevel"/>
    <w:tmpl w:val="09823156"/>
    <w:lvl w:ilvl="0" w:tplc="22E4D290">
      <w:start w:val="1"/>
      <w:numFmt w:val="bullet"/>
      <w:lvlText w:val=""/>
      <w:lvlJc w:val="left"/>
      <w:pPr>
        <w:ind w:left="720" w:hanging="180"/>
      </w:pPr>
      <w:rPr>
        <w:rFonts w:ascii="Symbol" w:hAnsi="Symbol" w:hint="default"/>
      </w:rPr>
    </w:lvl>
    <w:lvl w:ilvl="1" w:tplc="9A16AB52">
      <w:numFmt w:val="decimal"/>
      <w:lvlText w:val=""/>
      <w:lvlJc w:val="left"/>
    </w:lvl>
    <w:lvl w:ilvl="2" w:tplc="0F52415A">
      <w:numFmt w:val="decimal"/>
      <w:lvlText w:val=""/>
      <w:lvlJc w:val="left"/>
    </w:lvl>
    <w:lvl w:ilvl="3" w:tplc="8384E3F2">
      <w:numFmt w:val="decimal"/>
      <w:lvlText w:val=""/>
      <w:lvlJc w:val="left"/>
    </w:lvl>
    <w:lvl w:ilvl="4" w:tplc="4740EA9A">
      <w:numFmt w:val="decimal"/>
      <w:lvlText w:val=""/>
      <w:lvlJc w:val="left"/>
    </w:lvl>
    <w:lvl w:ilvl="5" w:tplc="B3C04FAA">
      <w:numFmt w:val="decimal"/>
      <w:lvlText w:val=""/>
      <w:lvlJc w:val="left"/>
    </w:lvl>
    <w:lvl w:ilvl="6" w:tplc="949EF4CA">
      <w:numFmt w:val="decimal"/>
      <w:lvlText w:val=""/>
      <w:lvlJc w:val="left"/>
    </w:lvl>
    <w:lvl w:ilvl="7" w:tplc="768E8C34">
      <w:numFmt w:val="decimal"/>
      <w:lvlText w:val=""/>
      <w:lvlJc w:val="left"/>
    </w:lvl>
    <w:lvl w:ilvl="8" w:tplc="37681EF4">
      <w:numFmt w:val="decimal"/>
      <w:lvlText w:val=""/>
      <w:lvlJc w:val="left"/>
    </w:lvl>
  </w:abstractNum>
  <w:abstractNum w:abstractNumId="357" w15:restartNumberingAfterBreak="0">
    <w:nsid w:val="288C3C63"/>
    <w:multiLevelType w:val="hybridMultilevel"/>
    <w:tmpl w:val="CF825572"/>
    <w:lvl w:ilvl="0" w:tplc="58E48CF8">
      <w:start w:val="1"/>
      <w:numFmt w:val="bullet"/>
      <w:lvlText w:val=""/>
      <w:lvlJc w:val="left"/>
      <w:pPr>
        <w:ind w:left="720" w:hanging="180"/>
      </w:pPr>
      <w:rPr>
        <w:rFonts w:ascii="Symbol" w:hAnsi="Symbol" w:hint="default"/>
      </w:rPr>
    </w:lvl>
    <w:lvl w:ilvl="1" w:tplc="9578B290">
      <w:numFmt w:val="decimal"/>
      <w:lvlText w:val=""/>
      <w:lvlJc w:val="left"/>
    </w:lvl>
    <w:lvl w:ilvl="2" w:tplc="F1AAA4F0">
      <w:numFmt w:val="decimal"/>
      <w:lvlText w:val=""/>
      <w:lvlJc w:val="left"/>
    </w:lvl>
    <w:lvl w:ilvl="3" w:tplc="0D3615BA">
      <w:numFmt w:val="decimal"/>
      <w:lvlText w:val=""/>
      <w:lvlJc w:val="left"/>
    </w:lvl>
    <w:lvl w:ilvl="4" w:tplc="E112FDA0">
      <w:numFmt w:val="decimal"/>
      <w:lvlText w:val=""/>
      <w:lvlJc w:val="left"/>
    </w:lvl>
    <w:lvl w:ilvl="5" w:tplc="AB846CAA">
      <w:numFmt w:val="decimal"/>
      <w:lvlText w:val=""/>
      <w:lvlJc w:val="left"/>
    </w:lvl>
    <w:lvl w:ilvl="6" w:tplc="16D2BFE2">
      <w:numFmt w:val="decimal"/>
      <w:lvlText w:val=""/>
      <w:lvlJc w:val="left"/>
    </w:lvl>
    <w:lvl w:ilvl="7" w:tplc="C7D4C7D2">
      <w:numFmt w:val="decimal"/>
      <w:lvlText w:val=""/>
      <w:lvlJc w:val="left"/>
    </w:lvl>
    <w:lvl w:ilvl="8" w:tplc="5D001D9E">
      <w:numFmt w:val="decimal"/>
      <w:lvlText w:val=""/>
      <w:lvlJc w:val="left"/>
    </w:lvl>
  </w:abstractNum>
  <w:abstractNum w:abstractNumId="358" w15:restartNumberingAfterBreak="0">
    <w:nsid w:val="289346A4"/>
    <w:multiLevelType w:val="hybridMultilevel"/>
    <w:tmpl w:val="9874483C"/>
    <w:lvl w:ilvl="0" w:tplc="8E9222F6">
      <w:start w:val="1"/>
      <w:numFmt w:val="bullet"/>
      <w:lvlText w:val=""/>
      <w:lvlJc w:val="left"/>
      <w:pPr>
        <w:ind w:left="720" w:hanging="180"/>
      </w:pPr>
      <w:rPr>
        <w:rFonts w:ascii="Symbol" w:hAnsi="Symbol" w:hint="default"/>
      </w:rPr>
    </w:lvl>
    <w:lvl w:ilvl="1" w:tplc="B306A4C2">
      <w:numFmt w:val="decimal"/>
      <w:lvlText w:val=""/>
      <w:lvlJc w:val="left"/>
    </w:lvl>
    <w:lvl w:ilvl="2" w:tplc="0F8257DC">
      <w:numFmt w:val="decimal"/>
      <w:lvlText w:val=""/>
      <w:lvlJc w:val="left"/>
    </w:lvl>
    <w:lvl w:ilvl="3" w:tplc="11262444">
      <w:numFmt w:val="decimal"/>
      <w:lvlText w:val=""/>
      <w:lvlJc w:val="left"/>
    </w:lvl>
    <w:lvl w:ilvl="4" w:tplc="BE3226D2">
      <w:numFmt w:val="decimal"/>
      <w:lvlText w:val=""/>
      <w:lvlJc w:val="left"/>
    </w:lvl>
    <w:lvl w:ilvl="5" w:tplc="A19C82AC">
      <w:numFmt w:val="decimal"/>
      <w:lvlText w:val=""/>
      <w:lvlJc w:val="left"/>
    </w:lvl>
    <w:lvl w:ilvl="6" w:tplc="817E1F02">
      <w:numFmt w:val="decimal"/>
      <w:lvlText w:val=""/>
      <w:lvlJc w:val="left"/>
    </w:lvl>
    <w:lvl w:ilvl="7" w:tplc="18106E64">
      <w:numFmt w:val="decimal"/>
      <w:lvlText w:val=""/>
      <w:lvlJc w:val="left"/>
    </w:lvl>
    <w:lvl w:ilvl="8" w:tplc="83C21BD2">
      <w:numFmt w:val="decimal"/>
      <w:lvlText w:val=""/>
      <w:lvlJc w:val="left"/>
    </w:lvl>
  </w:abstractNum>
  <w:abstractNum w:abstractNumId="359" w15:restartNumberingAfterBreak="0">
    <w:nsid w:val="28C371AF"/>
    <w:multiLevelType w:val="hybridMultilevel"/>
    <w:tmpl w:val="0ABC2526"/>
    <w:lvl w:ilvl="0" w:tplc="77208E18">
      <w:start w:val="1"/>
      <w:numFmt w:val="bullet"/>
      <w:lvlText w:val=""/>
      <w:lvlJc w:val="left"/>
      <w:pPr>
        <w:ind w:left="720" w:hanging="180"/>
      </w:pPr>
      <w:rPr>
        <w:rFonts w:ascii="Symbol" w:hAnsi="Symbol" w:hint="default"/>
      </w:rPr>
    </w:lvl>
    <w:lvl w:ilvl="1" w:tplc="9EEEAB64">
      <w:numFmt w:val="decimal"/>
      <w:lvlText w:val=""/>
      <w:lvlJc w:val="left"/>
    </w:lvl>
    <w:lvl w:ilvl="2" w:tplc="B29692B8">
      <w:numFmt w:val="decimal"/>
      <w:lvlText w:val=""/>
      <w:lvlJc w:val="left"/>
    </w:lvl>
    <w:lvl w:ilvl="3" w:tplc="45D21D9E">
      <w:numFmt w:val="decimal"/>
      <w:lvlText w:val=""/>
      <w:lvlJc w:val="left"/>
    </w:lvl>
    <w:lvl w:ilvl="4" w:tplc="AC666A12">
      <w:numFmt w:val="decimal"/>
      <w:lvlText w:val=""/>
      <w:lvlJc w:val="left"/>
    </w:lvl>
    <w:lvl w:ilvl="5" w:tplc="D0700ADC">
      <w:numFmt w:val="decimal"/>
      <w:lvlText w:val=""/>
      <w:lvlJc w:val="left"/>
    </w:lvl>
    <w:lvl w:ilvl="6" w:tplc="1B0AA2EE">
      <w:numFmt w:val="decimal"/>
      <w:lvlText w:val=""/>
      <w:lvlJc w:val="left"/>
    </w:lvl>
    <w:lvl w:ilvl="7" w:tplc="3196B452">
      <w:numFmt w:val="decimal"/>
      <w:lvlText w:val=""/>
      <w:lvlJc w:val="left"/>
    </w:lvl>
    <w:lvl w:ilvl="8" w:tplc="4156D610">
      <w:numFmt w:val="decimal"/>
      <w:lvlText w:val=""/>
      <w:lvlJc w:val="left"/>
    </w:lvl>
  </w:abstractNum>
  <w:abstractNum w:abstractNumId="360" w15:restartNumberingAfterBreak="0">
    <w:nsid w:val="28E04BC7"/>
    <w:multiLevelType w:val="hybridMultilevel"/>
    <w:tmpl w:val="9BD251FA"/>
    <w:lvl w:ilvl="0" w:tplc="5BB0CDDA">
      <w:start w:val="1"/>
      <w:numFmt w:val="bullet"/>
      <w:lvlText w:val=""/>
      <w:lvlJc w:val="left"/>
      <w:pPr>
        <w:ind w:left="720" w:hanging="180"/>
      </w:pPr>
      <w:rPr>
        <w:rFonts w:ascii="Symbol" w:hAnsi="Symbol" w:hint="default"/>
      </w:rPr>
    </w:lvl>
    <w:lvl w:ilvl="1" w:tplc="D8306084">
      <w:numFmt w:val="decimal"/>
      <w:lvlText w:val=""/>
      <w:lvlJc w:val="left"/>
    </w:lvl>
    <w:lvl w:ilvl="2" w:tplc="361E73A2">
      <w:numFmt w:val="decimal"/>
      <w:lvlText w:val=""/>
      <w:lvlJc w:val="left"/>
    </w:lvl>
    <w:lvl w:ilvl="3" w:tplc="A0BCEF30">
      <w:numFmt w:val="decimal"/>
      <w:lvlText w:val=""/>
      <w:lvlJc w:val="left"/>
    </w:lvl>
    <w:lvl w:ilvl="4" w:tplc="C06A37D8">
      <w:numFmt w:val="decimal"/>
      <w:lvlText w:val=""/>
      <w:lvlJc w:val="left"/>
    </w:lvl>
    <w:lvl w:ilvl="5" w:tplc="E144A1C6">
      <w:numFmt w:val="decimal"/>
      <w:lvlText w:val=""/>
      <w:lvlJc w:val="left"/>
    </w:lvl>
    <w:lvl w:ilvl="6" w:tplc="CC0A551A">
      <w:numFmt w:val="decimal"/>
      <w:lvlText w:val=""/>
      <w:lvlJc w:val="left"/>
    </w:lvl>
    <w:lvl w:ilvl="7" w:tplc="3D5ECEE0">
      <w:numFmt w:val="decimal"/>
      <w:lvlText w:val=""/>
      <w:lvlJc w:val="left"/>
    </w:lvl>
    <w:lvl w:ilvl="8" w:tplc="24C4C252">
      <w:numFmt w:val="decimal"/>
      <w:lvlText w:val=""/>
      <w:lvlJc w:val="left"/>
    </w:lvl>
  </w:abstractNum>
  <w:abstractNum w:abstractNumId="361" w15:restartNumberingAfterBreak="0">
    <w:nsid w:val="28F32410"/>
    <w:multiLevelType w:val="hybridMultilevel"/>
    <w:tmpl w:val="4FA4C6E0"/>
    <w:lvl w:ilvl="0" w:tplc="F3E08F7A">
      <w:start w:val="1"/>
      <w:numFmt w:val="bullet"/>
      <w:lvlText w:val=""/>
      <w:lvlJc w:val="left"/>
      <w:pPr>
        <w:ind w:left="720" w:hanging="180"/>
      </w:pPr>
      <w:rPr>
        <w:rFonts w:ascii="Symbol" w:hAnsi="Symbol" w:hint="default"/>
      </w:rPr>
    </w:lvl>
    <w:lvl w:ilvl="1" w:tplc="C2D619D6">
      <w:numFmt w:val="decimal"/>
      <w:lvlText w:val=""/>
      <w:lvlJc w:val="left"/>
    </w:lvl>
    <w:lvl w:ilvl="2" w:tplc="85FA450E">
      <w:numFmt w:val="decimal"/>
      <w:lvlText w:val=""/>
      <w:lvlJc w:val="left"/>
    </w:lvl>
    <w:lvl w:ilvl="3" w:tplc="A50646F8">
      <w:numFmt w:val="decimal"/>
      <w:lvlText w:val=""/>
      <w:lvlJc w:val="left"/>
    </w:lvl>
    <w:lvl w:ilvl="4" w:tplc="F9F26268">
      <w:numFmt w:val="decimal"/>
      <w:lvlText w:val=""/>
      <w:lvlJc w:val="left"/>
    </w:lvl>
    <w:lvl w:ilvl="5" w:tplc="C16CCD58">
      <w:numFmt w:val="decimal"/>
      <w:lvlText w:val=""/>
      <w:lvlJc w:val="left"/>
    </w:lvl>
    <w:lvl w:ilvl="6" w:tplc="270EBA6E">
      <w:numFmt w:val="decimal"/>
      <w:lvlText w:val=""/>
      <w:lvlJc w:val="left"/>
    </w:lvl>
    <w:lvl w:ilvl="7" w:tplc="9834716A">
      <w:numFmt w:val="decimal"/>
      <w:lvlText w:val=""/>
      <w:lvlJc w:val="left"/>
    </w:lvl>
    <w:lvl w:ilvl="8" w:tplc="8F04FA6E">
      <w:numFmt w:val="decimal"/>
      <w:lvlText w:val=""/>
      <w:lvlJc w:val="left"/>
    </w:lvl>
  </w:abstractNum>
  <w:abstractNum w:abstractNumId="362" w15:restartNumberingAfterBreak="0">
    <w:nsid w:val="28FE46DA"/>
    <w:multiLevelType w:val="hybridMultilevel"/>
    <w:tmpl w:val="CDB6354C"/>
    <w:lvl w:ilvl="0" w:tplc="04FC97B4">
      <w:start w:val="1"/>
      <w:numFmt w:val="bullet"/>
      <w:lvlText w:val=""/>
      <w:lvlJc w:val="left"/>
      <w:pPr>
        <w:ind w:left="720" w:hanging="180"/>
      </w:pPr>
      <w:rPr>
        <w:rFonts w:ascii="Symbol" w:hAnsi="Symbol" w:hint="default"/>
      </w:rPr>
    </w:lvl>
    <w:lvl w:ilvl="1" w:tplc="7846B3E4">
      <w:numFmt w:val="decimal"/>
      <w:lvlText w:val=""/>
      <w:lvlJc w:val="left"/>
    </w:lvl>
    <w:lvl w:ilvl="2" w:tplc="DE5C2A1A">
      <w:numFmt w:val="decimal"/>
      <w:lvlText w:val=""/>
      <w:lvlJc w:val="left"/>
    </w:lvl>
    <w:lvl w:ilvl="3" w:tplc="AB987010">
      <w:numFmt w:val="decimal"/>
      <w:lvlText w:val=""/>
      <w:lvlJc w:val="left"/>
    </w:lvl>
    <w:lvl w:ilvl="4" w:tplc="75049340">
      <w:numFmt w:val="decimal"/>
      <w:lvlText w:val=""/>
      <w:lvlJc w:val="left"/>
    </w:lvl>
    <w:lvl w:ilvl="5" w:tplc="797AC8A2">
      <w:numFmt w:val="decimal"/>
      <w:lvlText w:val=""/>
      <w:lvlJc w:val="left"/>
    </w:lvl>
    <w:lvl w:ilvl="6" w:tplc="788629E4">
      <w:numFmt w:val="decimal"/>
      <w:lvlText w:val=""/>
      <w:lvlJc w:val="left"/>
    </w:lvl>
    <w:lvl w:ilvl="7" w:tplc="82A2E5F8">
      <w:numFmt w:val="decimal"/>
      <w:lvlText w:val=""/>
      <w:lvlJc w:val="left"/>
    </w:lvl>
    <w:lvl w:ilvl="8" w:tplc="E3643746">
      <w:numFmt w:val="decimal"/>
      <w:lvlText w:val=""/>
      <w:lvlJc w:val="left"/>
    </w:lvl>
  </w:abstractNum>
  <w:abstractNum w:abstractNumId="363" w15:restartNumberingAfterBreak="0">
    <w:nsid w:val="29195055"/>
    <w:multiLevelType w:val="hybridMultilevel"/>
    <w:tmpl w:val="389ACE18"/>
    <w:lvl w:ilvl="0" w:tplc="01162BDC">
      <w:start w:val="1"/>
      <w:numFmt w:val="bullet"/>
      <w:lvlText w:val=""/>
      <w:lvlJc w:val="left"/>
      <w:pPr>
        <w:ind w:left="720" w:hanging="180"/>
      </w:pPr>
      <w:rPr>
        <w:rFonts w:ascii="Symbol" w:hAnsi="Symbol" w:hint="default"/>
      </w:rPr>
    </w:lvl>
    <w:lvl w:ilvl="1" w:tplc="FD7295D4">
      <w:numFmt w:val="decimal"/>
      <w:lvlText w:val=""/>
      <w:lvlJc w:val="left"/>
    </w:lvl>
    <w:lvl w:ilvl="2" w:tplc="7BFCED66">
      <w:numFmt w:val="decimal"/>
      <w:lvlText w:val=""/>
      <w:lvlJc w:val="left"/>
    </w:lvl>
    <w:lvl w:ilvl="3" w:tplc="EEAA8848">
      <w:numFmt w:val="decimal"/>
      <w:lvlText w:val=""/>
      <w:lvlJc w:val="left"/>
    </w:lvl>
    <w:lvl w:ilvl="4" w:tplc="B15C9000">
      <w:numFmt w:val="decimal"/>
      <w:lvlText w:val=""/>
      <w:lvlJc w:val="left"/>
    </w:lvl>
    <w:lvl w:ilvl="5" w:tplc="F5D81FDA">
      <w:numFmt w:val="decimal"/>
      <w:lvlText w:val=""/>
      <w:lvlJc w:val="left"/>
    </w:lvl>
    <w:lvl w:ilvl="6" w:tplc="64D248E8">
      <w:numFmt w:val="decimal"/>
      <w:lvlText w:val=""/>
      <w:lvlJc w:val="left"/>
    </w:lvl>
    <w:lvl w:ilvl="7" w:tplc="717E54C8">
      <w:numFmt w:val="decimal"/>
      <w:lvlText w:val=""/>
      <w:lvlJc w:val="left"/>
    </w:lvl>
    <w:lvl w:ilvl="8" w:tplc="F4760BE2">
      <w:numFmt w:val="decimal"/>
      <w:lvlText w:val=""/>
      <w:lvlJc w:val="left"/>
    </w:lvl>
  </w:abstractNum>
  <w:abstractNum w:abstractNumId="364" w15:restartNumberingAfterBreak="0">
    <w:nsid w:val="292A769A"/>
    <w:multiLevelType w:val="hybridMultilevel"/>
    <w:tmpl w:val="7FEAD2BC"/>
    <w:lvl w:ilvl="0" w:tplc="366E9B20">
      <w:start w:val="1"/>
      <w:numFmt w:val="bullet"/>
      <w:lvlText w:val=""/>
      <w:lvlJc w:val="left"/>
      <w:pPr>
        <w:ind w:left="720" w:hanging="180"/>
      </w:pPr>
      <w:rPr>
        <w:rFonts w:ascii="Symbol" w:hAnsi="Symbol" w:hint="default"/>
      </w:rPr>
    </w:lvl>
    <w:lvl w:ilvl="1" w:tplc="83AA885E">
      <w:numFmt w:val="decimal"/>
      <w:lvlText w:val=""/>
      <w:lvlJc w:val="left"/>
    </w:lvl>
    <w:lvl w:ilvl="2" w:tplc="02DC2B0E">
      <w:numFmt w:val="decimal"/>
      <w:lvlText w:val=""/>
      <w:lvlJc w:val="left"/>
    </w:lvl>
    <w:lvl w:ilvl="3" w:tplc="028620D4">
      <w:numFmt w:val="decimal"/>
      <w:lvlText w:val=""/>
      <w:lvlJc w:val="left"/>
    </w:lvl>
    <w:lvl w:ilvl="4" w:tplc="A58C8ADE">
      <w:numFmt w:val="decimal"/>
      <w:lvlText w:val=""/>
      <w:lvlJc w:val="left"/>
    </w:lvl>
    <w:lvl w:ilvl="5" w:tplc="D8B41892">
      <w:numFmt w:val="decimal"/>
      <w:lvlText w:val=""/>
      <w:lvlJc w:val="left"/>
    </w:lvl>
    <w:lvl w:ilvl="6" w:tplc="0B0E8E32">
      <w:numFmt w:val="decimal"/>
      <w:lvlText w:val=""/>
      <w:lvlJc w:val="left"/>
    </w:lvl>
    <w:lvl w:ilvl="7" w:tplc="981E3292">
      <w:numFmt w:val="decimal"/>
      <w:lvlText w:val=""/>
      <w:lvlJc w:val="left"/>
    </w:lvl>
    <w:lvl w:ilvl="8" w:tplc="7B04DA6C">
      <w:numFmt w:val="decimal"/>
      <w:lvlText w:val=""/>
      <w:lvlJc w:val="left"/>
    </w:lvl>
  </w:abstractNum>
  <w:abstractNum w:abstractNumId="365" w15:restartNumberingAfterBreak="0">
    <w:nsid w:val="29985488"/>
    <w:multiLevelType w:val="hybridMultilevel"/>
    <w:tmpl w:val="7BA4E9AA"/>
    <w:lvl w:ilvl="0" w:tplc="E7703DE2">
      <w:start w:val="1"/>
      <w:numFmt w:val="bullet"/>
      <w:lvlText w:val=""/>
      <w:lvlJc w:val="left"/>
      <w:pPr>
        <w:ind w:left="720" w:hanging="180"/>
      </w:pPr>
      <w:rPr>
        <w:rFonts w:ascii="Symbol" w:hAnsi="Symbol" w:hint="default"/>
      </w:rPr>
    </w:lvl>
    <w:lvl w:ilvl="1" w:tplc="7E32DD08">
      <w:numFmt w:val="decimal"/>
      <w:lvlText w:val=""/>
      <w:lvlJc w:val="left"/>
    </w:lvl>
    <w:lvl w:ilvl="2" w:tplc="05527D74">
      <w:numFmt w:val="decimal"/>
      <w:lvlText w:val=""/>
      <w:lvlJc w:val="left"/>
    </w:lvl>
    <w:lvl w:ilvl="3" w:tplc="2F02E300">
      <w:numFmt w:val="decimal"/>
      <w:lvlText w:val=""/>
      <w:lvlJc w:val="left"/>
    </w:lvl>
    <w:lvl w:ilvl="4" w:tplc="0A0272C6">
      <w:numFmt w:val="decimal"/>
      <w:lvlText w:val=""/>
      <w:lvlJc w:val="left"/>
    </w:lvl>
    <w:lvl w:ilvl="5" w:tplc="B18CF6B2">
      <w:numFmt w:val="decimal"/>
      <w:lvlText w:val=""/>
      <w:lvlJc w:val="left"/>
    </w:lvl>
    <w:lvl w:ilvl="6" w:tplc="AF22228A">
      <w:numFmt w:val="decimal"/>
      <w:lvlText w:val=""/>
      <w:lvlJc w:val="left"/>
    </w:lvl>
    <w:lvl w:ilvl="7" w:tplc="8258DE7C">
      <w:numFmt w:val="decimal"/>
      <w:lvlText w:val=""/>
      <w:lvlJc w:val="left"/>
    </w:lvl>
    <w:lvl w:ilvl="8" w:tplc="EC646A3C">
      <w:numFmt w:val="decimal"/>
      <w:lvlText w:val=""/>
      <w:lvlJc w:val="left"/>
    </w:lvl>
  </w:abstractNum>
  <w:abstractNum w:abstractNumId="366" w15:restartNumberingAfterBreak="0">
    <w:nsid w:val="29D917DE"/>
    <w:multiLevelType w:val="hybridMultilevel"/>
    <w:tmpl w:val="B63E0D3E"/>
    <w:lvl w:ilvl="0" w:tplc="42529A74">
      <w:start w:val="1"/>
      <w:numFmt w:val="bullet"/>
      <w:lvlText w:val=""/>
      <w:lvlJc w:val="left"/>
      <w:pPr>
        <w:ind w:left="720" w:hanging="180"/>
      </w:pPr>
      <w:rPr>
        <w:rFonts w:ascii="Symbol" w:hAnsi="Symbol" w:hint="default"/>
      </w:rPr>
    </w:lvl>
    <w:lvl w:ilvl="1" w:tplc="F19C9416">
      <w:numFmt w:val="decimal"/>
      <w:lvlText w:val=""/>
      <w:lvlJc w:val="left"/>
    </w:lvl>
    <w:lvl w:ilvl="2" w:tplc="7B32CD7A">
      <w:numFmt w:val="decimal"/>
      <w:lvlText w:val=""/>
      <w:lvlJc w:val="left"/>
    </w:lvl>
    <w:lvl w:ilvl="3" w:tplc="74BA6100">
      <w:numFmt w:val="decimal"/>
      <w:lvlText w:val=""/>
      <w:lvlJc w:val="left"/>
    </w:lvl>
    <w:lvl w:ilvl="4" w:tplc="D22A2690">
      <w:numFmt w:val="decimal"/>
      <w:lvlText w:val=""/>
      <w:lvlJc w:val="left"/>
    </w:lvl>
    <w:lvl w:ilvl="5" w:tplc="F0A46B82">
      <w:numFmt w:val="decimal"/>
      <w:lvlText w:val=""/>
      <w:lvlJc w:val="left"/>
    </w:lvl>
    <w:lvl w:ilvl="6" w:tplc="C1324ED4">
      <w:numFmt w:val="decimal"/>
      <w:lvlText w:val=""/>
      <w:lvlJc w:val="left"/>
    </w:lvl>
    <w:lvl w:ilvl="7" w:tplc="85DCC094">
      <w:numFmt w:val="decimal"/>
      <w:lvlText w:val=""/>
      <w:lvlJc w:val="left"/>
    </w:lvl>
    <w:lvl w:ilvl="8" w:tplc="A5CC1834">
      <w:numFmt w:val="decimal"/>
      <w:lvlText w:val=""/>
      <w:lvlJc w:val="left"/>
    </w:lvl>
  </w:abstractNum>
  <w:abstractNum w:abstractNumId="367" w15:restartNumberingAfterBreak="0">
    <w:nsid w:val="2A303CAA"/>
    <w:multiLevelType w:val="hybridMultilevel"/>
    <w:tmpl w:val="22B8315C"/>
    <w:lvl w:ilvl="0" w:tplc="E110B428">
      <w:start w:val="1"/>
      <w:numFmt w:val="bullet"/>
      <w:lvlText w:val=""/>
      <w:lvlJc w:val="left"/>
      <w:pPr>
        <w:ind w:left="720" w:hanging="180"/>
      </w:pPr>
      <w:rPr>
        <w:rFonts w:ascii="Symbol" w:hAnsi="Symbol" w:hint="default"/>
      </w:rPr>
    </w:lvl>
    <w:lvl w:ilvl="1" w:tplc="E8B03740">
      <w:numFmt w:val="decimal"/>
      <w:lvlText w:val=""/>
      <w:lvlJc w:val="left"/>
    </w:lvl>
    <w:lvl w:ilvl="2" w:tplc="1B5ACCFC">
      <w:numFmt w:val="decimal"/>
      <w:lvlText w:val=""/>
      <w:lvlJc w:val="left"/>
    </w:lvl>
    <w:lvl w:ilvl="3" w:tplc="84AA04A4">
      <w:numFmt w:val="decimal"/>
      <w:lvlText w:val=""/>
      <w:lvlJc w:val="left"/>
    </w:lvl>
    <w:lvl w:ilvl="4" w:tplc="541ABAA8">
      <w:numFmt w:val="decimal"/>
      <w:lvlText w:val=""/>
      <w:lvlJc w:val="left"/>
    </w:lvl>
    <w:lvl w:ilvl="5" w:tplc="604230DC">
      <w:numFmt w:val="decimal"/>
      <w:lvlText w:val=""/>
      <w:lvlJc w:val="left"/>
    </w:lvl>
    <w:lvl w:ilvl="6" w:tplc="E3A61CAA">
      <w:numFmt w:val="decimal"/>
      <w:lvlText w:val=""/>
      <w:lvlJc w:val="left"/>
    </w:lvl>
    <w:lvl w:ilvl="7" w:tplc="FDFC5734">
      <w:numFmt w:val="decimal"/>
      <w:lvlText w:val=""/>
      <w:lvlJc w:val="left"/>
    </w:lvl>
    <w:lvl w:ilvl="8" w:tplc="C982F6C0">
      <w:numFmt w:val="decimal"/>
      <w:lvlText w:val=""/>
      <w:lvlJc w:val="left"/>
    </w:lvl>
  </w:abstractNum>
  <w:abstractNum w:abstractNumId="368" w15:restartNumberingAfterBreak="0">
    <w:nsid w:val="2A4728CE"/>
    <w:multiLevelType w:val="hybridMultilevel"/>
    <w:tmpl w:val="5D889342"/>
    <w:lvl w:ilvl="0" w:tplc="D8387902">
      <w:start w:val="1"/>
      <w:numFmt w:val="bullet"/>
      <w:lvlText w:val=""/>
      <w:lvlJc w:val="left"/>
      <w:pPr>
        <w:ind w:left="720" w:hanging="180"/>
      </w:pPr>
      <w:rPr>
        <w:rFonts w:ascii="Symbol" w:hAnsi="Symbol" w:hint="default"/>
      </w:rPr>
    </w:lvl>
    <w:lvl w:ilvl="1" w:tplc="BF141678">
      <w:numFmt w:val="decimal"/>
      <w:lvlText w:val=""/>
      <w:lvlJc w:val="left"/>
    </w:lvl>
    <w:lvl w:ilvl="2" w:tplc="654ED050">
      <w:numFmt w:val="decimal"/>
      <w:lvlText w:val=""/>
      <w:lvlJc w:val="left"/>
    </w:lvl>
    <w:lvl w:ilvl="3" w:tplc="272AD220">
      <w:numFmt w:val="decimal"/>
      <w:lvlText w:val=""/>
      <w:lvlJc w:val="left"/>
    </w:lvl>
    <w:lvl w:ilvl="4" w:tplc="C0925590">
      <w:numFmt w:val="decimal"/>
      <w:lvlText w:val=""/>
      <w:lvlJc w:val="left"/>
    </w:lvl>
    <w:lvl w:ilvl="5" w:tplc="FAA666EC">
      <w:numFmt w:val="decimal"/>
      <w:lvlText w:val=""/>
      <w:lvlJc w:val="left"/>
    </w:lvl>
    <w:lvl w:ilvl="6" w:tplc="D93EB382">
      <w:numFmt w:val="decimal"/>
      <w:lvlText w:val=""/>
      <w:lvlJc w:val="left"/>
    </w:lvl>
    <w:lvl w:ilvl="7" w:tplc="179E5636">
      <w:numFmt w:val="decimal"/>
      <w:lvlText w:val=""/>
      <w:lvlJc w:val="left"/>
    </w:lvl>
    <w:lvl w:ilvl="8" w:tplc="E1389DEA">
      <w:numFmt w:val="decimal"/>
      <w:lvlText w:val=""/>
      <w:lvlJc w:val="left"/>
    </w:lvl>
  </w:abstractNum>
  <w:abstractNum w:abstractNumId="369" w15:restartNumberingAfterBreak="0">
    <w:nsid w:val="2A622CC6"/>
    <w:multiLevelType w:val="hybridMultilevel"/>
    <w:tmpl w:val="E91EE1FE"/>
    <w:lvl w:ilvl="0" w:tplc="5774989A">
      <w:start w:val="1"/>
      <w:numFmt w:val="bullet"/>
      <w:lvlText w:val=""/>
      <w:lvlJc w:val="left"/>
      <w:pPr>
        <w:ind w:left="720" w:hanging="180"/>
      </w:pPr>
      <w:rPr>
        <w:rFonts w:ascii="Symbol" w:hAnsi="Symbol" w:hint="default"/>
      </w:rPr>
    </w:lvl>
    <w:lvl w:ilvl="1" w:tplc="B58C5CAC">
      <w:numFmt w:val="decimal"/>
      <w:lvlText w:val=""/>
      <w:lvlJc w:val="left"/>
    </w:lvl>
    <w:lvl w:ilvl="2" w:tplc="BB24E14C">
      <w:numFmt w:val="decimal"/>
      <w:lvlText w:val=""/>
      <w:lvlJc w:val="left"/>
    </w:lvl>
    <w:lvl w:ilvl="3" w:tplc="C4D6CD4A">
      <w:numFmt w:val="decimal"/>
      <w:lvlText w:val=""/>
      <w:lvlJc w:val="left"/>
    </w:lvl>
    <w:lvl w:ilvl="4" w:tplc="27E4D1AC">
      <w:numFmt w:val="decimal"/>
      <w:lvlText w:val=""/>
      <w:lvlJc w:val="left"/>
    </w:lvl>
    <w:lvl w:ilvl="5" w:tplc="5C522AEC">
      <w:numFmt w:val="decimal"/>
      <w:lvlText w:val=""/>
      <w:lvlJc w:val="left"/>
    </w:lvl>
    <w:lvl w:ilvl="6" w:tplc="0412959A">
      <w:numFmt w:val="decimal"/>
      <w:lvlText w:val=""/>
      <w:lvlJc w:val="left"/>
    </w:lvl>
    <w:lvl w:ilvl="7" w:tplc="B900AE68">
      <w:numFmt w:val="decimal"/>
      <w:lvlText w:val=""/>
      <w:lvlJc w:val="left"/>
    </w:lvl>
    <w:lvl w:ilvl="8" w:tplc="54EA11B6">
      <w:numFmt w:val="decimal"/>
      <w:lvlText w:val=""/>
      <w:lvlJc w:val="left"/>
    </w:lvl>
  </w:abstractNum>
  <w:abstractNum w:abstractNumId="370" w15:restartNumberingAfterBreak="0">
    <w:nsid w:val="2A6C3D2D"/>
    <w:multiLevelType w:val="hybridMultilevel"/>
    <w:tmpl w:val="375647A2"/>
    <w:lvl w:ilvl="0" w:tplc="645CB85E">
      <w:start w:val="1"/>
      <w:numFmt w:val="bullet"/>
      <w:lvlText w:val=""/>
      <w:lvlJc w:val="left"/>
      <w:pPr>
        <w:ind w:left="720" w:hanging="180"/>
      </w:pPr>
      <w:rPr>
        <w:rFonts w:ascii="Symbol" w:hAnsi="Symbol" w:hint="default"/>
      </w:rPr>
    </w:lvl>
    <w:lvl w:ilvl="1" w:tplc="5DD04AEA">
      <w:numFmt w:val="decimal"/>
      <w:lvlText w:val=""/>
      <w:lvlJc w:val="left"/>
    </w:lvl>
    <w:lvl w:ilvl="2" w:tplc="595A3746">
      <w:numFmt w:val="decimal"/>
      <w:lvlText w:val=""/>
      <w:lvlJc w:val="left"/>
    </w:lvl>
    <w:lvl w:ilvl="3" w:tplc="06A8B804">
      <w:numFmt w:val="decimal"/>
      <w:lvlText w:val=""/>
      <w:lvlJc w:val="left"/>
    </w:lvl>
    <w:lvl w:ilvl="4" w:tplc="EB84C130">
      <w:numFmt w:val="decimal"/>
      <w:lvlText w:val=""/>
      <w:lvlJc w:val="left"/>
    </w:lvl>
    <w:lvl w:ilvl="5" w:tplc="DC22A890">
      <w:numFmt w:val="decimal"/>
      <w:lvlText w:val=""/>
      <w:lvlJc w:val="left"/>
    </w:lvl>
    <w:lvl w:ilvl="6" w:tplc="3454F26A">
      <w:numFmt w:val="decimal"/>
      <w:lvlText w:val=""/>
      <w:lvlJc w:val="left"/>
    </w:lvl>
    <w:lvl w:ilvl="7" w:tplc="8794DB58">
      <w:numFmt w:val="decimal"/>
      <w:lvlText w:val=""/>
      <w:lvlJc w:val="left"/>
    </w:lvl>
    <w:lvl w:ilvl="8" w:tplc="4072E946">
      <w:numFmt w:val="decimal"/>
      <w:lvlText w:val=""/>
      <w:lvlJc w:val="left"/>
    </w:lvl>
  </w:abstractNum>
  <w:abstractNum w:abstractNumId="371" w15:restartNumberingAfterBreak="0">
    <w:nsid w:val="2A8D1646"/>
    <w:multiLevelType w:val="hybridMultilevel"/>
    <w:tmpl w:val="6F1E36C0"/>
    <w:lvl w:ilvl="0" w:tplc="BCF8098C">
      <w:start w:val="1"/>
      <w:numFmt w:val="bullet"/>
      <w:lvlText w:val=""/>
      <w:lvlJc w:val="left"/>
      <w:pPr>
        <w:ind w:left="720" w:hanging="180"/>
      </w:pPr>
      <w:rPr>
        <w:rFonts w:ascii="Symbol" w:hAnsi="Symbol" w:hint="default"/>
      </w:rPr>
    </w:lvl>
    <w:lvl w:ilvl="1" w:tplc="9F4CBDBE">
      <w:numFmt w:val="decimal"/>
      <w:lvlText w:val=""/>
      <w:lvlJc w:val="left"/>
    </w:lvl>
    <w:lvl w:ilvl="2" w:tplc="BCE8CB64">
      <w:numFmt w:val="decimal"/>
      <w:lvlText w:val=""/>
      <w:lvlJc w:val="left"/>
    </w:lvl>
    <w:lvl w:ilvl="3" w:tplc="4A200DB8">
      <w:numFmt w:val="decimal"/>
      <w:lvlText w:val=""/>
      <w:lvlJc w:val="left"/>
    </w:lvl>
    <w:lvl w:ilvl="4" w:tplc="8730C0CA">
      <w:numFmt w:val="decimal"/>
      <w:lvlText w:val=""/>
      <w:lvlJc w:val="left"/>
    </w:lvl>
    <w:lvl w:ilvl="5" w:tplc="8EB2AC4E">
      <w:numFmt w:val="decimal"/>
      <w:lvlText w:val=""/>
      <w:lvlJc w:val="left"/>
    </w:lvl>
    <w:lvl w:ilvl="6" w:tplc="AF54988A">
      <w:numFmt w:val="decimal"/>
      <w:lvlText w:val=""/>
      <w:lvlJc w:val="left"/>
    </w:lvl>
    <w:lvl w:ilvl="7" w:tplc="65FC125C">
      <w:numFmt w:val="decimal"/>
      <w:lvlText w:val=""/>
      <w:lvlJc w:val="left"/>
    </w:lvl>
    <w:lvl w:ilvl="8" w:tplc="B0924BEC">
      <w:numFmt w:val="decimal"/>
      <w:lvlText w:val=""/>
      <w:lvlJc w:val="left"/>
    </w:lvl>
  </w:abstractNum>
  <w:abstractNum w:abstractNumId="372" w15:restartNumberingAfterBreak="0">
    <w:nsid w:val="2A995D95"/>
    <w:multiLevelType w:val="hybridMultilevel"/>
    <w:tmpl w:val="DD020E38"/>
    <w:lvl w:ilvl="0" w:tplc="EFEAADF2">
      <w:start w:val="1"/>
      <w:numFmt w:val="bullet"/>
      <w:lvlText w:val=""/>
      <w:lvlJc w:val="left"/>
      <w:pPr>
        <w:ind w:left="720" w:hanging="180"/>
      </w:pPr>
      <w:rPr>
        <w:rFonts w:ascii="Symbol" w:hAnsi="Symbol" w:hint="default"/>
      </w:rPr>
    </w:lvl>
    <w:lvl w:ilvl="1" w:tplc="A3A8F374">
      <w:numFmt w:val="decimal"/>
      <w:lvlText w:val=""/>
      <w:lvlJc w:val="left"/>
    </w:lvl>
    <w:lvl w:ilvl="2" w:tplc="4918A488">
      <w:numFmt w:val="decimal"/>
      <w:lvlText w:val=""/>
      <w:lvlJc w:val="left"/>
    </w:lvl>
    <w:lvl w:ilvl="3" w:tplc="A168B858">
      <w:numFmt w:val="decimal"/>
      <w:lvlText w:val=""/>
      <w:lvlJc w:val="left"/>
    </w:lvl>
    <w:lvl w:ilvl="4" w:tplc="B0006188">
      <w:numFmt w:val="decimal"/>
      <w:lvlText w:val=""/>
      <w:lvlJc w:val="left"/>
    </w:lvl>
    <w:lvl w:ilvl="5" w:tplc="316C88BC">
      <w:numFmt w:val="decimal"/>
      <w:lvlText w:val=""/>
      <w:lvlJc w:val="left"/>
    </w:lvl>
    <w:lvl w:ilvl="6" w:tplc="2CBEDA8E">
      <w:numFmt w:val="decimal"/>
      <w:lvlText w:val=""/>
      <w:lvlJc w:val="left"/>
    </w:lvl>
    <w:lvl w:ilvl="7" w:tplc="16A056DC">
      <w:numFmt w:val="decimal"/>
      <w:lvlText w:val=""/>
      <w:lvlJc w:val="left"/>
    </w:lvl>
    <w:lvl w:ilvl="8" w:tplc="879A825E">
      <w:numFmt w:val="decimal"/>
      <w:lvlText w:val=""/>
      <w:lvlJc w:val="left"/>
    </w:lvl>
  </w:abstractNum>
  <w:abstractNum w:abstractNumId="373" w15:restartNumberingAfterBreak="0">
    <w:nsid w:val="2AC742A9"/>
    <w:multiLevelType w:val="hybridMultilevel"/>
    <w:tmpl w:val="418C26B2"/>
    <w:lvl w:ilvl="0" w:tplc="FE90A0DC">
      <w:numFmt w:val="decimal"/>
      <w:lvlText w:val=""/>
      <w:lvlJc w:val="left"/>
    </w:lvl>
    <w:lvl w:ilvl="1" w:tplc="933A8808">
      <w:start w:val="1"/>
      <w:numFmt w:val="bullet"/>
      <w:lvlText w:val=""/>
      <w:lvlJc w:val="left"/>
      <w:pPr>
        <w:ind w:left="1440" w:hanging="180"/>
      </w:pPr>
      <w:rPr>
        <w:rFonts w:ascii="Symbol" w:hAnsi="Symbol" w:hint="default"/>
      </w:rPr>
    </w:lvl>
    <w:lvl w:ilvl="2" w:tplc="197CFDC4">
      <w:numFmt w:val="decimal"/>
      <w:lvlText w:val=""/>
      <w:lvlJc w:val="left"/>
    </w:lvl>
    <w:lvl w:ilvl="3" w:tplc="D59A0CEC">
      <w:numFmt w:val="decimal"/>
      <w:lvlText w:val=""/>
      <w:lvlJc w:val="left"/>
    </w:lvl>
    <w:lvl w:ilvl="4" w:tplc="FA8C7DEC">
      <w:numFmt w:val="decimal"/>
      <w:lvlText w:val=""/>
      <w:lvlJc w:val="left"/>
    </w:lvl>
    <w:lvl w:ilvl="5" w:tplc="23BEACEC">
      <w:numFmt w:val="decimal"/>
      <w:lvlText w:val=""/>
      <w:lvlJc w:val="left"/>
    </w:lvl>
    <w:lvl w:ilvl="6" w:tplc="616CE9E6">
      <w:numFmt w:val="decimal"/>
      <w:lvlText w:val=""/>
      <w:lvlJc w:val="left"/>
    </w:lvl>
    <w:lvl w:ilvl="7" w:tplc="D3D41280">
      <w:numFmt w:val="decimal"/>
      <w:lvlText w:val=""/>
      <w:lvlJc w:val="left"/>
    </w:lvl>
    <w:lvl w:ilvl="8" w:tplc="134E0E3A">
      <w:numFmt w:val="decimal"/>
      <w:lvlText w:val=""/>
      <w:lvlJc w:val="left"/>
    </w:lvl>
  </w:abstractNum>
  <w:abstractNum w:abstractNumId="374" w15:restartNumberingAfterBreak="0">
    <w:nsid w:val="2AC921F8"/>
    <w:multiLevelType w:val="hybridMultilevel"/>
    <w:tmpl w:val="DB141ECE"/>
    <w:lvl w:ilvl="0" w:tplc="3432EAF6">
      <w:start w:val="1"/>
      <w:numFmt w:val="bullet"/>
      <w:lvlText w:val=""/>
      <w:lvlJc w:val="left"/>
      <w:pPr>
        <w:ind w:left="720" w:hanging="180"/>
      </w:pPr>
      <w:rPr>
        <w:rFonts w:ascii="Symbol" w:hAnsi="Symbol" w:hint="default"/>
      </w:rPr>
    </w:lvl>
    <w:lvl w:ilvl="1" w:tplc="5D087C3C">
      <w:numFmt w:val="decimal"/>
      <w:lvlText w:val=""/>
      <w:lvlJc w:val="left"/>
    </w:lvl>
    <w:lvl w:ilvl="2" w:tplc="6C1AB29A">
      <w:numFmt w:val="decimal"/>
      <w:lvlText w:val=""/>
      <w:lvlJc w:val="left"/>
    </w:lvl>
    <w:lvl w:ilvl="3" w:tplc="2E32A9E2">
      <w:numFmt w:val="decimal"/>
      <w:lvlText w:val=""/>
      <w:lvlJc w:val="left"/>
    </w:lvl>
    <w:lvl w:ilvl="4" w:tplc="D71027CE">
      <w:numFmt w:val="decimal"/>
      <w:lvlText w:val=""/>
      <w:lvlJc w:val="left"/>
    </w:lvl>
    <w:lvl w:ilvl="5" w:tplc="5A10926C">
      <w:numFmt w:val="decimal"/>
      <w:lvlText w:val=""/>
      <w:lvlJc w:val="left"/>
    </w:lvl>
    <w:lvl w:ilvl="6" w:tplc="D6622392">
      <w:numFmt w:val="decimal"/>
      <w:lvlText w:val=""/>
      <w:lvlJc w:val="left"/>
    </w:lvl>
    <w:lvl w:ilvl="7" w:tplc="FCCA8028">
      <w:numFmt w:val="decimal"/>
      <w:lvlText w:val=""/>
      <w:lvlJc w:val="left"/>
    </w:lvl>
    <w:lvl w:ilvl="8" w:tplc="263058DA">
      <w:numFmt w:val="decimal"/>
      <w:lvlText w:val=""/>
      <w:lvlJc w:val="left"/>
    </w:lvl>
  </w:abstractNum>
  <w:abstractNum w:abstractNumId="375" w15:restartNumberingAfterBreak="0">
    <w:nsid w:val="2AEC4E90"/>
    <w:multiLevelType w:val="hybridMultilevel"/>
    <w:tmpl w:val="69A09968"/>
    <w:lvl w:ilvl="0" w:tplc="93D241F2">
      <w:start w:val="1"/>
      <w:numFmt w:val="bullet"/>
      <w:lvlText w:val=""/>
      <w:lvlJc w:val="left"/>
      <w:pPr>
        <w:ind w:left="720" w:hanging="180"/>
      </w:pPr>
      <w:rPr>
        <w:rFonts w:ascii="Symbol" w:hAnsi="Symbol" w:hint="default"/>
      </w:rPr>
    </w:lvl>
    <w:lvl w:ilvl="1" w:tplc="6D04B194">
      <w:numFmt w:val="decimal"/>
      <w:lvlText w:val=""/>
      <w:lvlJc w:val="left"/>
    </w:lvl>
    <w:lvl w:ilvl="2" w:tplc="FACABC76">
      <w:numFmt w:val="decimal"/>
      <w:lvlText w:val=""/>
      <w:lvlJc w:val="left"/>
    </w:lvl>
    <w:lvl w:ilvl="3" w:tplc="90C2D77C">
      <w:numFmt w:val="decimal"/>
      <w:lvlText w:val=""/>
      <w:lvlJc w:val="left"/>
    </w:lvl>
    <w:lvl w:ilvl="4" w:tplc="6DDE37D8">
      <w:numFmt w:val="decimal"/>
      <w:lvlText w:val=""/>
      <w:lvlJc w:val="left"/>
    </w:lvl>
    <w:lvl w:ilvl="5" w:tplc="BA92E64A">
      <w:numFmt w:val="decimal"/>
      <w:lvlText w:val=""/>
      <w:lvlJc w:val="left"/>
    </w:lvl>
    <w:lvl w:ilvl="6" w:tplc="39A6212C">
      <w:numFmt w:val="decimal"/>
      <w:lvlText w:val=""/>
      <w:lvlJc w:val="left"/>
    </w:lvl>
    <w:lvl w:ilvl="7" w:tplc="EB98C818">
      <w:numFmt w:val="decimal"/>
      <w:lvlText w:val=""/>
      <w:lvlJc w:val="left"/>
    </w:lvl>
    <w:lvl w:ilvl="8" w:tplc="E5D0F364">
      <w:numFmt w:val="decimal"/>
      <w:lvlText w:val=""/>
      <w:lvlJc w:val="left"/>
    </w:lvl>
  </w:abstractNum>
  <w:abstractNum w:abstractNumId="376" w15:restartNumberingAfterBreak="0">
    <w:nsid w:val="2AF95E87"/>
    <w:multiLevelType w:val="hybridMultilevel"/>
    <w:tmpl w:val="475C25F0"/>
    <w:lvl w:ilvl="0" w:tplc="B6D4579C">
      <w:start w:val="1"/>
      <w:numFmt w:val="bullet"/>
      <w:lvlText w:val=""/>
      <w:lvlJc w:val="left"/>
      <w:pPr>
        <w:ind w:left="720" w:hanging="180"/>
      </w:pPr>
      <w:rPr>
        <w:rFonts w:ascii="Symbol" w:hAnsi="Symbol" w:hint="default"/>
      </w:rPr>
    </w:lvl>
    <w:lvl w:ilvl="1" w:tplc="603E96C8">
      <w:numFmt w:val="decimal"/>
      <w:lvlText w:val=""/>
      <w:lvlJc w:val="left"/>
    </w:lvl>
    <w:lvl w:ilvl="2" w:tplc="E07EC2A0">
      <w:numFmt w:val="decimal"/>
      <w:lvlText w:val=""/>
      <w:lvlJc w:val="left"/>
    </w:lvl>
    <w:lvl w:ilvl="3" w:tplc="28103D88">
      <w:numFmt w:val="decimal"/>
      <w:lvlText w:val=""/>
      <w:lvlJc w:val="left"/>
    </w:lvl>
    <w:lvl w:ilvl="4" w:tplc="E17E1E4E">
      <w:numFmt w:val="decimal"/>
      <w:lvlText w:val=""/>
      <w:lvlJc w:val="left"/>
    </w:lvl>
    <w:lvl w:ilvl="5" w:tplc="F74CBFA0">
      <w:numFmt w:val="decimal"/>
      <w:lvlText w:val=""/>
      <w:lvlJc w:val="left"/>
    </w:lvl>
    <w:lvl w:ilvl="6" w:tplc="D812A90A">
      <w:numFmt w:val="decimal"/>
      <w:lvlText w:val=""/>
      <w:lvlJc w:val="left"/>
    </w:lvl>
    <w:lvl w:ilvl="7" w:tplc="8ED61D5E">
      <w:numFmt w:val="decimal"/>
      <w:lvlText w:val=""/>
      <w:lvlJc w:val="left"/>
    </w:lvl>
    <w:lvl w:ilvl="8" w:tplc="0874A7FC">
      <w:numFmt w:val="decimal"/>
      <w:lvlText w:val=""/>
      <w:lvlJc w:val="left"/>
    </w:lvl>
  </w:abstractNum>
  <w:abstractNum w:abstractNumId="377" w15:restartNumberingAfterBreak="0">
    <w:nsid w:val="2B035F9D"/>
    <w:multiLevelType w:val="hybridMultilevel"/>
    <w:tmpl w:val="8FE25A60"/>
    <w:lvl w:ilvl="0" w:tplc="6C64D162">
      <w:start w:val="1"/>
      <w:numFmt w:val="bullet"/>
      <w:lvlText w:val=""/>
      <w:lvlJc w:val="left"/>
      <w:pPr>
        <w:ind w:left="720" w:hanging="180"/>
      </w:pPr>
      <w:rPr>
        <w:rFonts w:ascii="Symbol" w:hAnsi="Symbol" w:hint="default"/>
      </w:rPr>
    </w:lvl>
    <w:lvl w:ilvl="1" w:tplc="5D285720">
      <w:numFmt w:val="decimal"/>
      <w:lvlText w:val=""/>
      <w:lvlJc w:val="left"/>
    </w:lvl>
    <w:lvl w:ilvl="2" w:tplc="D7149552">
      <w:numFmt w:val="decimal"/>
      <w:lvlText w:val=""/>
      <w:lvlJc w:val="left"/>
    </w:lvl>
    <w:lvl w:ilvl="3" w:tplc="CF1E5FF8">
      <w:numFmt w:val="decimal"/>
      <w:lvlText w:val=""/>
      <w:lvlJc w:val="left"/>
    </w:lvl>
    <w:lvl w:ilvl="4" w:tplc="18E2D766">
      <w:numFmt w:val="decimal"/>
      <w:lvlText w:val=""/>
      <w:lvlJc w:val="left"/>
    </w:lvl>
    <w:lvl w:ilvl="5" w:tplc="12B040A6">
      <w:numFmt w:val="decimal"/>
      <w:lvlText w:val=""/>
      <w:lvlJc w:val="left"/>
    </w:lvl>
    <w:lvl w:ilvl="6" w:tplc="B448E668">
      <w:numFmt w:val="decimal"/>
      <w:lvlText w:val=""/>
      <w:lvlJc w:val="left"/>
    </w:lvl>
    <w:lvl w:ilvl="7" w:tplc="B9CC64B6">
      <w:numFmt w:val="decimal"/>
      <w:lvlText w:val=""/>
      <w:lvlJc w:val="left"/>
    </w:lvl>
    <w:lvl w:ilvl="8" w:tplc="25C2EF7A">
      <w:numFmt w:val="decimal"/>
      <w:lvlText w:val=""/>
      <w:lvlJc w:val="left"/>
    </w:lvl>
  </w:abstractNum>
  <w:abstractNum w:abstractNumId="378" w15:restartNumberingAfterBreak="0">
    <w:nsid w:val="2B1209CE"/>
    <w:multiLevelType w:val="hybridMultilevel"/>
    <w:tmpl w:val="8A4ABAB8"/>
    <w:lvl w:ilvl="0" w:tplc="C3A080C6">
      <w:start w:val="1"/>
      <w:numFmt w:val="bullet"/>
      <w:lvlText w:val=""/>
      <w:lvlJc w:val="left"/>
      <w:pPr>
        <w:ind w:left="720" w:hanging="180"/>
      </w:pPr>
      <w:rPr>
        <w:rFonts w:ascii="Symbol" w:hAnsi="Symbol" w:hint="default"/>
      </w:rPr>
    </w:lvl>
    <w:lvl w:ilvl="1" w:tplc="89B8B8E4">
      <w:numFmt w:val="decimal"/>
      <w:lvlText w:val=""/>
      <w:lvlJc w:val="left"/>
    </w:lvl>
    <w:lvl w:ilvl="2" w:tplc="B2F05978">
      <w:numFmt w:val="decimal"/>
      <w:lvlText w:val=""/>
      <w:lvlJc w:val="left"/>
    </w:lvl>
    <w:lvl w:ilvl="3" w:tplc="B214190E">
      <w:numFmt w:val="decimal"/>
      <w:lvlText w:val=""/>
      <w:lvlJc w:val="left"/>
    </w:lvl>
    <w:lvl w:ilvl="4" w:tplc="800A9E34">
      <w:numFmt w:val="decimal"/>
      <w:lvlText w:val=""/>
      <w:lvlJc w:val="left"/>
    </w:lvl>
    <w:lvl w:ilvl="5" w:tplc="CDBE81A6">
      <w:numFmt w:val="decimal"/>
      <w:lvlText w:val=""/>
      <w:lvlJc w:val="left"/>
    </w:lvl>
    <w:lvl w:ilvl="6" w:tplc="57CA53CE">
      <w:numFmt w:val="decimal"/>
      <w:lvlText w:val=""/>
      <w:lvlJc w:val="left"/>
    </w:lvl>
    <w:lvl w:ilvl="7" w:tplc="6F4E5F6A">
      <w:numFmt w:val="decimal"/>
      <w:lvlText w:val=""/>
      <w:lvlJc w:val="left"/>
    </w:lvl>
    <w:lvl w:ilvl="8" w:tplc="DBFE3372">
      <w:numFmt w:val="decimal"/>
      <w:lvlText w:val=""/>
      <w:lvlJc w:val="left"/>
    </w:lvl>
  </w:abstractNum>
  <w:abstractNum w:abstractNumId="379" w15:restartNumberingAfterBreak="0">
    <w:nsid w:val="2B407900"/>
    <w:multiLevelType w:val="hybridMultilevel"/>
    <w:tmpl w:val="9CB69CC4"/>
    <w:lvl w:ilvl="0" w:tplc="8D5A38D0">
      <w:start w:val="1"/>
      <w:numFmt w:val="bullet"/>
      <w:lvlText w:val=""/>
      <w:lvlJc w:val="left"/>
      <w:pPr>
        <w:ind w:left="720" w:hanging="180"/>
      </w:pPr>
      <w:rPr>
        <w:rFonts w:ascii="Symbol" w:hAnsi="Symbol" w:hint="default"/>
      </w:rPr>
    </w:lvl>
    <w:lvl w:ilvl="1" w:tplc="132E4D8E">
      <w:numFmt w:val="decimal"/>
      <w:lvlText w:val=""/>
      <w:lvlJc w:val="left"/>
    </w:lvl>
    <w:lvl w:ilvl="2" w:tplc="8FF8C7C2">
      <w:numFmt w:val="decimal"/>
      <w:lvlText w:val=""/>
      <w:lvlJc w:val="left"/>
    </w:lvl>
    <w:lvl w:ilvl="3" w:tplc="F6E8BA70">
      <w:numFmt w:val="decimal"/>
      <w:lvlText w:val=""/>
      <w:lvlJc w:val="left"/>
    </w:lvl>
    <w:lvl w:ilvl="4" w:tplc="022482E6">
      <w:numFmt w:val="decimal"/>
      <w:lvlText w:val=""/>
      <w:lvlJc w:val="left"/>
    </w:lvl>
    <w:lvl w:ilvl="5" w:tplc="3D72B09C">
      <w:numFmt w:val="decimal"/>
      <w:lvlText w:val=""/>
      <w:lvlJc w:val="left"/>
    </w:lvl>
    <w:lvl w:ilvl="6" w:tplc="CBE80264">
      <w:numFmt w:val="decimal"/>
      <w:lvlText w:val=""/>
      <w:lvlJc w:val="left"/>
    </w:lvl>
    <w:lvl w:ilvl="7" w:tplc="13C82CE0">
      <w:numFmt w:val="decimal"/>
      <w:lvlText w:val=""/>
      <w:lvlJc w:val="left"/>
    </w:lvl>
    <w:lvl w:ilvl="8" w:tplc="06F08EB0">
      <w:numFmt w:val="decimal"/>
      <w:lvlText w:val=""/>
      <w:lvlJc w:val="left"/>
    </w:lvl>
  </w:abstractNum>
  <w:abstractNum w:abstractNumId="380" w15:restartNumberingAfterBreak="0">
    <w:nsid w:val="2B662364"/>
    <w:multiLevelType w:val="hybridMultilevel"/>
    <w:tmpl w:val="D8749040"/>
    <w:lvl w:ilvl="0" w:tplc="5908249A">
      <w:start w:val="1"/>
      <w:numFmt w:val="bullet"/>
      <w:lvlText w:val=""/>
      <w:lvlJc w:val="left"/>
      <w:pPr>
        <w:ind w:left="720" w:hanging="180"/>
      </w:pPr>
      <w:rPr>
        <w:rFonts w:ascii="Symbol" w:hAnsi="Symbol" w:hint="default"/>
      </w:rPr>
    </w:lvl>
    <w:lvl w:ilvl="1" w:tplc="7EC82CD6">
      <w:numFmt w:val="decimal"/>
      <w:lvlText w:val=""/>
      <w:lvlJc w:val="left"/>
    </w:lvl>
    <w:lvl w:ilvl="2" w:tplc="51BAA794">
      <w:numFmt w:val="decimal"/>
      <w:lvlText w:val=""/>
      <w:lvlJc w:val="left"/>
    </w:lvl>
    <w:lvl w:ilvl="3" w:tplc="6A12BDD0">
      <w:numFmt w:val="decimal"/>
      <w:lvlText w:val=""/>
      <w:lvlJc w:val="left"/>
    </w:lvl>
    <w:lvl w:ilvl="4" w:tplc="8ECED698">
      <w:numFmt w:val="decimal"/>
      <w:lvlText w:val=""/>
      <w:lvlJc w:val="left"/>
    </w:lvl>
    <w:lvl w:ilvl="5" w:tplc="133C3974">
      <w:numFmt w:val="decimal"/>
      <w:lvlText w:val=""/>
      <w:lvlJc w:val="left"/>
    </w:lvl>
    <w:lvl w:ilvl="6" w:tplc="9DD43876">
      <w:numFmt w:val="decimal"/>
      <w:lvlText w:val=""/>
      <w:lvlJc w:val="left"/>
    </w:lvl>
    <w:lvl w:ilvl="7" w:tplc="70422D12">
      <w:numFmt w:val="decimal"/>
      <w:lvlText w:val=""/>
      <w:lvlJc w:val="left"/>
    </w:lvl>
    <w:lvl w:ilvl="8" w:tplc="82FA24C8">
      <w:numFmt w:val="decimal"/>
      <w:lvlText w:val=""/>
      <w:lvlJc w:val="left"/>
    </w:lvl>
  </w:abstractNum>
  <w:abstractNum w:abstractNumId="381" w15:restartNumberingAfterBreak="0">
    <w:nsid w:val="2B801552"/>
    <w:multiLevelType w:val="hybridMultilevel"/>
    <w:tmpl w:val="1932FD28"/>
    <w:lvl w:ilvl="0" w:tplc="71E87340">
      <w:numFmt w:val="decimal"/>
      <w:lvlText w:val=""/>
      <w:lvlJc w:val="left"/>
    </w:lvl>
    <w:lvl w:ilvl="1" w:tplc="F43AE286">
      <w:start w:val="1"/>
      <w:numFmt w:val="bullet"/>
      <w:lvlText w:val=""/>
      <w:lvlJc w:val="left"/>
      <w:pPr>
        <w:ind w:left="1440" w:hanging="180"/>
      </w:pPr>
      <w:rPr>
        <w:rFonts w:ascii="Symbol" w:hAnsi="Symbol" w:hint="default"/>
      </w:rPr>
    </w:lvl>
    <w:lvl w:ilvl="2" w:tplc="CCFA2256">
      <w:numFmt w:val="decimal"/>
      <w:lvlText w:val=""/>
      <w:lvlJc w:val="left"/>
    </w:lvl>
    <w:lvl w:ilvl="3" w:tplc="AD0A0588">
      <w:numFmt w:val="decimal"/>
      <w:lvlText w:val=""/>
      <w:lvlJc w:val="left"/>
    </w:lvl>
    <w:lvl w:ilvl="4" w:tplc="829860D6">
      <w:numFmt w:val="decimal"/>
      <w:lvlText w:val=""/>
      <w:lvlJc w:val="left"/>
    </w:lvl>
    <w:lvl w:ilvl="5" w:tplc="8452E1D6">
      <w:numFmt w:val="decimal"/>
      <w:lvlText w:val=""/>
      <w:lvlJc w:val="left"/>
    </w:lvl>
    <w:lvl w:ilvl="6" w:tplc="7A72D02A">
      <w:numFmt w:val="decimal"/>
      <w:lvlText w:val=""/>
      <w:lvlJc w:val="left"/>
    </w:lvl>
    <w:lvl w:ilvl="7" w:tplc="4FFA9F54">
      <w:numFmt w:val="decimal"/>
      <w:lvlText w:val=""/>
      <w:lvlJc w:val="left"/>
    </w:lvl>
    <w:lvl w:ilvl="8" w:tplc="EC5C22FA">
      <w:numFmt w:val="decimal"/>
      <w:lvlText w:val=""/>
      <w:lvlJc w:val="left"/>
    </w:lvl>
  </w:abstractNum>
  <w:abstractNum w:abstractNumId="382" w15:restartNumberingAfterBreak="0">
    <w:nsid w:val="2BD24C25"/>
    <w:multiLevelType w:val="hybridMultilevel"/>
    <w:tmpl w:val="E042D11C"/>
    <w:lvl w:ilvl="0" w:tplc="A0324E3C">
      <w:start w:val="1"/>
      <w:numFmt w:val="bullet"/>
      <w:lvlText w:val=""/>
      <w:lvlJc w:val="left"/>
      <w:pPr>
        <w:ind w:left="720" w:hanging="180"/>
      </w:pPr>
      <w:rPr>
        <w:rFonts w:ascii="Symbol" w:hAnsi="Symbol" w:hint="default"/>
      </w:rPr>
    </w:lvl>
    <w:lvl w:ilvl="1" w:tplc="A2C03122">
      <w:numFmt w:val="decimal"/>
      <w:lvlText w:val=""/>
      <w:lvlJc w:val="left"/>
    </w:lvl>
    <w:lvl w:ilvl="2" w:tplc="4EB86FE6">
      <w:numFmt w:val="decimal"/>
      <w:lvlText w:val=""/>
      <w:lvlJc w:val="left"/>
    </w:lvl>
    <w:lvl w:ilvl="3" w:tplc="5202916E">
      <w:numFmt w:val="decimal"/>
      <w:lvlText w:val=""/>
      <w:lvlJc w:val="left"/>
    </w:lvl>
    <w:lvl w:ilvl="4" w:tplc="C1486ED6">
      <w:numFmt w:val="decimal"/>
      <w:lvlText w:val=""/>
      <w:lvlJc w:val="left"/>
    </w:lvl>
    <w:lvl w:ilvl="5" w:tplc="A2B0B340">
      <w:numFmt w:val="decimal"/>
      <w:lvlText w:val=""/>
      <w:lvlJc w:val="left"/>
    </w:lvl>
    <w:lvl w:ilvl="6" w:tplc="43D81152">
      <w:numFmt w:val="decimal"/>
      <w:lvlText w:val=""/>
      <w:lvlJc w:val="left"/>
    </w:lvl>
    <w:lvl w:ilvl="7" w:tplc="C68C641A">
      <w:numFmt w:val="decimal"/>
      <w:lvlText w:val=""/>
      <w:lvlJc w:val="left"/>
    </w:lvl>
    <w:lvl w:ilvl="8" w:tplc="B3BA9AE8">
      <w:numFmt w:val="decimal"/>
      <w:lvlText w:val=""/>
      <w:lvlJc w:val="left"/>
    </w:lvl>
  </w:abstractNum>
  <w:abstractNum w:abstractNumId="383" w15:restartNumberingAfterBreak="0">
    <w:nsid w:val="2BD96624"/>
    <w:multiLevelType w:val="hybridMultilevel"/>
    <w:tmpl w:val="7540A358"/>
    <w:lvl w:ilvl="0" w:tplc="FDF8D594">
      <w:start w:val="1"/>
      <w:numFmt w:val="bullet"/>
      <w:lvlText w:val=""/>
      <w:lvlJc w:val="left"/>
      <w:pPr>
        <w:ind w:left="720" w:hanging="180"/>
      </w:pPr>
      <w:rPr>
        <w:rFonts w:ascii="Symbol" w:hAnsi="Symbol" w:hint="default"/>
      </w:rPr>
    </w:lvl>
    <w:lvl w:ilvl="1" w:tplc="162E48B0">
      <w:numFmt w:val="decimal"/>
      <w:lvlText w:val=""/>
      <w:lvlJc w:val="left"/>
    </w:lvl>
    <w:lvl w:ilvl="2" w:tplc="147C5D50">
      <w:numFmt w:val="decimal"/>
      <w:lvlText w:val=""/>
      <w:lvlJc w:val="left"/>
    </w:lvl>
    <w:lvl w:ilvl="3" w:tplc="29867D34">
      <w:numFmt w:val="decimal"/>
      <w:lvlText w:val=""/>
      <w:lvlJc w:val="left"/>
    </w:lvl>
    <w:lvl w:ilvl="4" w:tplc="D2E2C8CE">
      <w:numFmt w:val="decimal"/>
      <w:lvlText w:val=""/>
      <w:lvlJc w:val="left"/>
    </w:lvl>
    <w:lvl w:ilvl="5" w:tplc="268C27B2">
      <w:numFmt w:val="decimal"/>
      <w:lvlText w:val=""/>
      <w:lvlJc w:val="left"/>
    </w:lvl>
    <w:lvl w:ilvl="6" w:tplc="4C6C56C6">
      <w:numFmt w:val="decimal"/>
      <w:lvlText w:val=""/>
      <w:lvlJc w:val="left"/>
    </w:lvl>
    <w:lvl w:ilvl="7" w:tplc="7324C2B8">
      <w:numFmt w:val="decimal"/>
      <w:lvlText w:val=""/>
      <w:lvlJc w:val="left"/>
    </w:lvl>
    <w:lvl w:ilvl="8" w:tplc="8A22A156">
      <w:numFmt w:val="decimal"/>
      <w:lvlText w:val=""/>
      <w:lvlJc w:val="left"/>
    </w:lvl>
  </w:abstractNum>
  <w:abstractNum w:abstractNumId="384" w15:restartNumberingAfterBreak="0">
    <w:nsid w:val="2C033C65"/>
    <w:multiLevelType w:val="hybridMultilevel"/>
    <w:tmpl w:val="831E7F8A"/>
    <w:lvl w:ilvl="0" w:tplc="47029D62">
      <w:start w:val="1"/>
      <w:numFmt w:val="bullet"/>
      <w:lvlText w:val=""/>
      <w:lvlJc w:val="left"/>
      <w:pPr>
        <w:ind w:left="720" w:hanging="180"/>
      </w:pPr>
      <w:rPr>
        <w:rFonts w:ascii="Symbol" w:hAnsi="Symbol" w:hint="default"/>
      </w:rPr>
    </w:lvl>
    <w:lvl w:ilvl="1" w:tplc="59FC6C80">
      <w:numFmt w:val="decimal"/>
      <w:lvlText w:val=""/>
      <w:lvlJc w:val="left"/>
    </w:lvl>
    <w:lvl w:ilvl="2" w:tplc="FC8C1E1C">
      <w:numFmt w:val="decimal"/>
      <w:lvlText w:val=""/>
      <w:lvlJc w:val="left"/>
    </w:lvl>
    <w:lvl w:ilvl="3" w:tplc="7980C426">
      <w:numFmt w:val="decimal"/>
      <w:lvlText w:val=""/>
      <w:lvlJc w:val="left"/>
    </w:lvl>
    <w:lvl w:ilvl="4" w:tplc="7E668A0C">
      <w:numFmt w:val="decimal"/>
      <w:lvlText w:val=""/>
      <w:lvlJc w:val="left"/>
    </w:lvl>
    <w:lvl w:ilvl="5" w:tplc="7FC2C086">
      <w:numFmt w:val="decimal"/>
      <w:lvlText w:val=""/>
      <w:lvlJc w:val="left"/>
    </w:lvl>
    <w:lvl w:ilvl="6" w:tplc="686C712C">
      <w:numFmt w:val="decimal"/>
      <w:lvlText w:val=""/>
      <w:lvlJc w:val="left"/>
    </w:lvl>
    <w:lvl w:ilvl="7" w:tplc="05D06914">
      <w:numFmt w:val="decimal"/>
      <w:lvlText w:val=""/>
      <w:lvlJc w:val="left"/>
    </w:lvl>
    <w:lvl w:ilvl="8" w:tplc="A0F8D3FA">
      <w:numFmt w:val="decimal"/>
      <w:lvlText w:val=""/>
      <w:lvlJc w:val="left"/>
    </w:lvl>
  </w:abstractNum>
  <w:abstractNum w:abstractNumId="385" w15:restartNumberingAfterBreak="0">
    <w:nsid w:val="2C26727A"/>
    <w:multiLevelType w:val="hybridMultilevel"/>
    <w:tmpl w:val="0FAC936C"/>
    <w:lvl w:ilvl="0" w:tplc="3C5E3AEE">
      <w:start w:val="1"/>
      <w:numFmt w:val="bullet"/>
      <w:lvlText w:val=""/>
      <w:lvlJc w:val="left"/>
      <w:pPr>
        <w:ind w:left="720" w:hanging="180"/>
      </w:pPr>
      <w:rPr>
        <w:rFonts w:ascii="Symbol" w:hAnsi="Symbol" w:hint="default"/>
      </w:rPr>
    </w:lvl>
    <w:lvl w:ilvl="1" w:tplc="4D74E78A">
      <w:numFmt w:val="decimal"/>
      <w:lvlText w:val=""/>
      <w:lvlJc w:val="left"/>
    </w:lvl>
    <w:lvl w:ilvl="2" w:tplc="34449732">
      <w:numFmt w:val="decimal"/>
      <w:lvlText w:val=""/>
      <w:lvlJc w:val="left"/>
    </w:lvl>
    <w:lvl w:ilvl="3" w:tplc="D806163A">
      <w:numFmt w:val="decimal"/>
      <w:lvlText w:val=""/>
      <w:lvlJc w:val="left"/>
    </w:lvl>
    <w:lvl w:ilvl="4" w:tplc="14C2A48E">
      <w:numFmt w:val="decimal"/>
      <w:lvlText w:val=""/>
      <w:lvlJc w:val="left"/>
    </w:lvl>
    <w:lvl w:ilvl="5" w:tplc="4DFC1CFA">
      <w:numFmt w:val="decimal"/>
      <w:lvlText w:val=""/>
      <w:lvlJc w:val="left"/>
    </w:lvl>
    <w:lvl w:ilvl="6" w:tplc="202CA332">
      <w:numFmt w:val="decimal"/>
      <w:lvlText w:val=""/>
      <w:lvlJc w:val="left"/>
    </w:lvl>
    <w:lvl w:ilvl="7" w:tplc="654EB824">
      <w:numFmt w:val="decimal"/>
      <w:lvlText w:val=""/>
      <w:lvlJc w:val="left"/>
    </w:lvl>
    <w:lvl w:ilvl="8" w:tplc="C7E410E0">
      <w:numFmt w:val="decimal"/>
      <w:lvlText w:val=""/>
      <w:lvlJc w:val="left"/>
    </w:lvl>
  </w:abstractNum>
  <w:abstractNum w:abstractNumId="386" w15:restartNumberingAfterBreak="0">
    <w:nsid w:val="2C4515D7"/>
    <w:multiLevelType w:val="hybridMultilevel"/>
    <w:tmpl w:val="F7865C06"/>
    <w:lvl w:ilvl="0" w:tplc="EAD800B6">
      <w:start w:val="1"/>
      <w:numFmt w:val="bullet"/>
      <w:lvlText w:val=""/>
      <w:lvlJc w:val="left"/>
      <w:pPr>
        <w:ind w:left="720" w:hanging="180"/>
      </w:pPr>
      <w:rPr>
        <w:rFonts w:ascii="Symbol" w:hAnsi="Symbol" w:hint="default"/>
      </w:rPr>
    </w:lvl>
    <w:lvl w:ilvl="1" w:tplc="BAFCE7F8">
      <w:numFmt w:val="decimal"/>
      <w:lvlText w:val=""/>
      <w:lvlJc w:val="left"/>
    </w:lvl>
    <w:lvl w:ilvl="2" w:tplc="B5CCEDA6">
      <w:numFmt w:val="decimal"/>
      <w:lvlText w:val=""/>
      <w:lvlJc w:val="left"/>
    </w:lvl>
    <w:lvl w:ilvl="3" w:tplc="9A9E4CD0">
      <w:numFmt w:val="decimal"/>
      <w:lvlText w:val=""/>
      <w:lvlJc w:val="left"/>
    </w:lvl>
    <w:lvl w:ilvl="4" w:tplc="21BA57CC">
      <w:numFmt w:val="decimal"/>
      <w:lvlText w:val=""/>
      <w:lvlJc w:val="left"/>
    </w:lvl>
    <w:lvl w:ilvl="5" w:tplc="AF0872F6">
      <w:numFmt w:val="decimal"/>
      <w:lvlText w:val=""/>
      <w:lvlJc w:val="left"/>
    </w:lvl>
    <w:lvl w:ilvl="6" w:tplc="CC485C54">
      <w:numFmt w:val="decimal"/>
      <w:lvlText w:val=""/>
      <w:lvlJc w:val="left"/>
    </w:lvl>
    <w:lvl w:ilvl="7" w:tplc="81F049A4">
      <w:numFmt w:val="decimal"/>
      <w:lvlText w:val=""/>
      <w:lvlJc w:val="left"/>
    </w:lvl>
    <w:lvl w:ilvl="8" w:tplc="A2CE4532">
      <w:numFmt w:val="decimal"/>
      <w:lvlText w:val=""/>
      <w:lvlJc w:val="left"/>
    </w:lvl>
  </w:abstractNum>
  <w:abstractNum w:abstractNumId="387" w15:restartNumberingAfterBreak="0">
    <w:nsid w:val="2C6A11FA"/>
    <w:multiLevelType w:val="hybridMultilevel"/>
    <w:tmpl w:val="CEB0C9A4"/>
    <w:lvl w:ilvl="0" w:tplc="2C400196">
      <w:start w:val="1"/>
      <w:numFmt w:val="bullet"/>
      <w:lvlText w:val=""/>
      <w:lvlJc w:val="left"/>
      <w:pPr>
        <w:ind w:left="720" w:hanging="180"/>
      </w:pPr>
      <w:rPr>
        <w:rFonts w:ascii="Symbol" w:hAnsi="Symbol" w:hint="default"/>
      </w:rPr>
    </w:lvl>
    <w:lvl w:ilvl="1" w:tplc="3BC44FDC">
      <w:numFmt w:val="decimal"/>
      <w:lvlText w:val=""/>
      <w:lvlJc w:val="left"/>
    </w:lvl>
    <w:lvl w:ilvl="2" w:tplc="09C0686E">
      <w:numFmt w:val="decimal"/>
      <w:lvlText w:val=""/>
      <w:lvlJc w:val="left"/>
    </w:lvl>
    <w:lvl w:ilvl="3" w:tplc="9A6458A8">
      <w:numFmt w:val="decimal"/>
      <w:lvlText w:val=""/>
      <w:lvlJc w:val="left"/>
    </w:lvl>
    <w:lvl w:ilvl="4" w:tplc="9AF2AC24">
      <w:numFmt w:val="decimal"/>
      <w:lvlText w:val=""/>
      <w:lvlJc w:val="left"/>
    </w:lvl>
    <w:lvl w:ilvl="5" w:tplc="931C3740">
      <w:numFmt w:val="decimal"/>
      <w:lvlText w:val=""/>
      <w:lvlJc w:val="left"/>
    </w:lvl>
    <w:lvl w:ilvl="6" w:tplc="10169D14">
      <w:numFmt w:val="decimal"/>
      <w:lvlText w:val=""/>
      <w:lvlJc w:val="left"/>
    </w:lvl>
    <w:lvl w:ilvl="7" w:tplc="74FC7FEE">
      <w:numFmt w:val="decimal"/>
      <w:lvlText w:val=""/>
      <w:lvlJc w:val="left"/>
    </w:lvl>
    <w:lvl w:ilvl="8" w:tplc="311C4D9A">
      <w:numFmt w:val="decimal"/>
      <w:lvlText w:val=""/>
      <w:lvlJc w:val="left"/>
    </w:lvl>
  </w:abstractNum>
  <w:abstractNum w:abstractNumId="388" w15:restartNumberingAfterBreak="0">
    <w:nsid w:val="2CA0368B"/>
    <w:multiLevelType w:val="hybridMultilevel"/>
    <w:tmpl w:val="64069E62"/>
    <w:lvl w:ilvl="0" w:tplc="C16A8B42">
      <w:start w:val="1"/>
      <w:numFmt w:val="bullet"/>
      <w:lvlText w:val=""/>
      <w:lvlJc w:val="left"/>
      <w:pPr>
        <w:ind w:left="720" w:hanging="180"/>
      </w:pPr>
      <w:rPr>
        <w:rFonts w:ascii="Symbol" w:hAnsi="Symbol" w:hint="default"/>
      </w:rPr>
    </w:lvl>
    <w:lvl w:ilvl="1" w:tplc="E4FEA5DE">
      <w:numFmt w:val="decimal"/>
      <w:lvlText w:val=""/>
      <w:lvlJc w:val="left"/>
    </w:lvl>
    <w:lvl w:ilvl="2" w:tplc="E6C0D2B6">
      <w:numFmt w:val="decimal"/>
      <w:lvlText w:val=""/>
      <w:lvlJc w:val="left"/>
    </w:lvl>
    <w:lvl w:ilvl="3" w:tplc="1EB6A490">
      <w:numFmt w:val="decimal"/>
      <w:lvlText w:val=""/>
      <w:lvlJc w:val="left"/>
    </w:lvl>
    <w:lvl w:ilvl="4" w:tplc="9998CC2E">
      <w:numFmt w:val="decimal"/>
      <w:lvlText w:val=""/>
      <w:lvlJc w:val="left"/>
    </w:lvl>
    <w:lvl w:ilvl="5" w:tplc="B5227CC2">
      <w:numFmt w:val="decimal"/>
      <w:lvlText w:val=""/>
      <w:lvlJc w:val="left"/>
    </w:lvl>
    <w:lvl w:ilvl="6" w:tplc="A4062734">
      <w:numFmt w:val="decimal"/>
      <w:lvlText w:val=""/>
      <w:lvlJc w:val="left"/>
    </w:lvl>
    <w:lvl w:ilvl="7" w:tplc="558401D0">
      <w:numFmt w:val="decimal"/>
      <w:lvlText w:val=""/>
      <w:lvlJc w:val="left"/>
    </w:lvl>
    <w:lvl w:ilvl="8" w:tplc="CB62F14C">
      <w:numFmt w:val="decimal"/>
      <w:lvlText w:val=""/>
      <w:lvlJc w:val="left"/>
    </w:lvl>
  </w:abstractNum>
  <w:abstractNum w:abstractNumId="389" w15:restartNumberingAfterBreak="0">
    <w:nsid w:val="2CBC541A"/>
    <w:multiLevelType w:val="hybridMultilevel"/>
    <w:tmpl w:val="49DCEB60"/>
    <w:lvl w:ilvl="0" w:tplc="8A32170A">
      <w:start w:val="1"/>
      <w:numFmt w:val="bullet"/>
      <w:lvlText w:val=""/>
      <w:lvlJc w:val="left"/>
      <w:pPr>
        <w:ind w:left="720" w:hanging="180"/>
      </w:pPr>
      <w:rPr>
        <w:rFonts w:ascii="Symbol" w:hAnsi="Symbol" w:hint="default"/>
      </w:rPr>
    </w:lvl>
    <w:lvl w:ilvl="1" w:tplc="44B8C710">
      <w:numFmt w:val="decimal"/>
      <w:lvlText w:val=""/>
      <w:lvlJc w:val="left"/>
    </w:lvl>
    <w:lvl w:ilvl="2" w:tplc="5DA4D998">
      <w:numFmt w:val="decimal"/>
      <w:lvlText w:val=""/>
      <w:lvlJc w:val="left"/>
    </w:lvl>
    <w:lvl w:ilvl="3" w:tplc="2DBE50C0">
      <w:numFmt w:val="decimal"/>
      <w:lvlText w:val=""/>
      <w:lvlJc w:val="left"/>
    </w:lvl>
    <w:lvl w:ilvl="4" w:tplc="6C461CE4">
      <w:numFmt w:val="decimal"/>
      <w:lvlText w:val=""/>
      <w:lvlJc w:val="left"/>
    </w:lvl>
    <w:lvl w:ilvl="5" w:tplc="D85AA0BA">
      <w:numFmt w:val="decimal"/>
      <w:lvlText w:val=""/>
      <w:lvlJc w:val="left"/>
    </w:lvl>
    <w:lvl w:ilvl="6" w:tplc="AE940C7A">
      <w:numFmt w:val="decimal"/>
      <w:lvlText w:val=""/>
      <w:lvlJc w:val="left"/>
    </w:lvl>
    <w:lvl w:ilvl="7" w:tplc="032AE2C4">
      <w:numFmt w:val="decimal"/>
      <w:lvlText w:val=""/>
      <w:lvlJc w:val="left"/>
    </w:lvl>
    <w:lvl w:ilvl="8" w:tplc="2BD87178">
      <w:numFmt w:val="decimal"/>
      <w:lvlText w:val=""/>
      <w:lvlJc w:val="left"/>
    </w:lvl>
  </w:abstractNum>
  <w:abstractNum w:abstractNumId="390" w15:restartNumberingAfterBreak="0">
    <w:nsid w:val="2CBF519D"/>
    <w:multiLevelType w:val="hybridMultilevel"/>
    <w:tmpl w:val="5206FEFA"/>
    <w:lvl w:ilvl="0" w:tplc="5C825634">
      <w:start w:val="1"/>
      <w:numFmt w:val="bullet"/>
      <w:lvlText w:val=""/>
      <w:lvlJc w:val="left"/>
      <w:pPr>
        <w:ind w:left="720" w:hanging="180"/>
      </w:pPr>
      <w:rPr>
        <w:rFonts w:ascii="Symbol" w:hAnsi="Symbol" w:hint="default"/>
      </w:rPr>
    </w:lvl>
    <w:lvl w:ilvl="1" w:tplc="8C3E8CE2">
      <w:numFmt w:val="decimal"/>
      <w:lvlText w:val=""/>
      <w:lvlJc w:val="left"/>
    </w:lvl>
    <w:lvl w:ilvl="2" w:tplc="6414EBCA">
      <w:numFmt w:val="decimal"/>
      <w:lvlText w:val=""/>
      <w:lvlJc w:val="left"/>
    </w:lvl>
    <w:lvl w:ilvl="3" w:tplc="656EA7F6">
      <w:numFmt w:val="decimal"/>
      <w:lvlText w:val=""/>
      <w:lvlJc w:val="left"/>
    </w:lvl>
    <w:lvl w:ilvl="4" w:tplc="26F031C2">
      <w:numFmt w:val="decimal"/>
      <w:lvlText w:val=""/>
      <w:lvlJc w:val="left"/>
    </w:lvl>
    <w:lvl w:ilvl="5" w:tplc="62887DA2">
      <w:numFmt w:val="decimal"/>
      <w:lvlText w:val=""/>
      <w:lvlJc w:val="left"/>
    </w:lvl>
    <w:lvl w:ilvl="6" w:tplc="43A8FFAC">
      <w:numFmt w:val="decimal"/>
      <w:lvlText w:val=""/>
      <w:lvlJc w:val="left"/>
    </w:lvl>
    <w:lvl w:ilvl="7" w:tplc="193A4C1E">
      <w:numFmt w:val="decimal"/>
      <w:lvlText w:val=""/>
      <w:lvlJc w:val="left"/>
    </w:lvl>
    <w:lvl w:ilvl="8" w:tplc="994A253A">
      <w:numFmt w:val="decimal"/>
      <w:lvlText w:val=""/>
      <w:lvlJc w:val="left"/>
    </w:lvl>
  </w:abstractNum>
  <w:abstractNum w:abstractNumId="391" w15:restartNumberingAfterBreak="0">
    <w:nsid w:val="2CFD21C4"/>
    <w:multiLevelType w:val="hybridMultilevel"/>
    <w:tmpl w:val="0A5487CE"/>
    <w:lvl w:ilvl="0" w:tplc="51F22A72">
      <w:start w:val="1"/>
      <w:numFmt w:val="bullet"/>
      <w:lvlText w:val=""/>
      <w:lvlJc w:val="left"/>
      <w:pPr>
        <w:ind w:left="720" w:hanging="180"/>
      </w:pPr>
      <w:rPr>
        <w:rFonts w:ascii="Symbol" w:hAnsi="Symbol" w:hint="default"/>
      </w:rPr>
    </w:lvl>
    <w:lvl w:ilvl="1" w:tplc="BD749EBE">
      <w:numFmt w:val="decimal"/>
      <w:lvlText w:val=""/>
      <w:lvlJc w:val="left"/>
    </w:lvl>
    <w:lvl w:ilvl="2" w:tplc="6F6E6E1E">
      <w:numFmt w:val="decimal"/>
      <w:lvlText w:val=""/>
      <w:lvlJc w:val="left"/>
    </w:lvl>
    <w:lvl w:ilvl="3" w:tplc="D89EC52E">
      <w:numFmt w:val="decimal"/>
      <w:lvlText w:val=""/>
      <w:lvlJc w:val="left"/>
    </w:lvl>
    <w:lvl w:ilvl="4" w:tplc="FA5AE91C">
      <w:numFmt w:val="decimal"/>
      <w:lvlText w:val=""/>
      <w:lvlJc w:val="left"/>
    </w:lvl>
    <w:lvl w:ilvl="5" w:tplc="7A9E5BC4">
      <w:numFmt w:val="decimal"/>
      <w:lvlText w:val=""/>
      <w:lvlJc w:val="left"/>
    </w:lvl>
    <w:lvl w:ilvl="6" w:tplc="DBAE2096">
      <w:numFmt w:val="decimal"/>
      <w:lvlText w:val=""/>
      <w:lvlJc w:val="left"/>
    </w:lvl>
    <w:lvl w:ilvl="7" w:tplc="645232C2">
      <w:numFmt w:val="decimal"/>
      <w:lvlText w:val=""/>
      <w:lvlJc w:val="left"/>
    </w:lvl>
    <w:lvl w:ilvl="8" w:tplc="C63C8910">
      <w:numFmt w:val="decimal"/>
      <w:lvlText w:val=""/>
      <w:lvlJc w:val="left"/>
    </w:lvl>
  </w:abstractNum>
  <w:abstractNum w:abstractNumId="392" w15:restartNumberingAfterBreak="0">
    <w:nsid w:val="2D31767E"/>
    <w:multiLevelType w:val="hybridMultilevel"/>
    <w:tmpl w:val="1C70448A"/>
    <w:lvl w:ilvl="0" w:tplc="D0E8D3D2">
      <w:start w:val="1"/>
      <w:numFmt w:val="bullet"/>
      <w:lvlText w:val=""/>
      <w:lvlJc w:val="left"/>
      <w:pPr>
        <w:ind w:left="720" w:hanging="180"/>
      </w:pPr>
      <w:rPr>
        <w:rFonts w:ascii="Symbol" w:hAnsi="Symbol" w:hint="default"/>
      </w:rPr>
    </w:lvl>
    <w:lvl w:ilvl="1" w:tplc="D902CE6E">
      <w:numFmt w:val="decimal"/>
      <w:lvlText w:val=""/>
      <w:lvlJc w:val="left"/>
    </w:lvl>
    <w:lvl w:ilvl="2" w:tplc="D2FCBDD6">
      <w:numFmt w:val="decimal"/>
      <w:lvlText w:val=""/>
      <w:lvlJc w:val="left"/>
    </w:lvl>
    <w:lvl w:ilvl="3" w:tplc="42DC410A">
      <w:numFmt w:val="decimal"/>
      <w:lvlText w:val=""/>
      <w:lvlJc w:val="left"/>
    </w:lvl>
    <w:lvl w:ilvl="4" w:tplc="903274E6">
      <w:numFmt w:val="decimal"/>
      <w:lvlText w:val=""/>
      <w:lvlJc w:val="left"/>
    </w:lvl>
    <w:lvl w:ilvl="5" w:tplc="055CEF3A">
      <w:numFmt w:val="decimal"/>
      <w:lvlText w:val=""/>
      <w:lvlJc w:val="left"/>
    </w:lvl>
    <w:lvl w:ilvl="6" w:tplc="0996F8A4">
      <w:numFmt w:val="decimal"/>
      <w:lvlText w:val=""/>
      <w:lvlJc w:val="left"/>
    </w:lvl>
    <w:lvl w:ilvl="7" w:tplc="4C7226A4">
      <w:numFmt w:val="decimal"/>
      <w:lvlText w:val=""/>
      <w:lvlJc w:val="left"/>
    </w:lvl>
    <w:lvl w:ilvl="8" w:tplc="ED462462">
      <w:numFmt w:val="decimal"/>
      <w:lvlText w:val=""/>
      <w:lvlJc w:val="left"/>
    </w:lvl>
  </w:abstractNum>
  <w:abstractNum w:abstractNumId="393" w15:restartNumberingAfterBreak="0">
    <w:nsid w:val="2D332E0A"/>
    <w:multiLevelType w:val="hybridMultilevel"/>
    <w:tmpl w:val="E1E81A8E"/>
    <w:lvl w:ilvl="0" w:tplc="0770C6B8">
      <w:start w:val="1"/>
      <w:numFmt w:val="bullet"/>
      <w:lvlText w:val=""/>
      <w:lvlJc w:val="left"/>
      <w:pPr>
        <w:ind w:left="720" w:hanging="180"/>
      </w:pPr>
      <w:rPr>
        <w:rFonts w:ascii="Symbol" w:hAnsi="Symbol" w:hint="default"/>
      </w:rPr>
    </w:lvl>
    <w:lvl w:ilvl="1" w:tplc="1444B28E">
      <w:numFmt w:val="decimal"/>
      <w:lvlText w:val=""/>
      <w:lvlJc w:val="left"/>
    </w:lvl>
    <w:lvl w:ilvl="2" w:tplc="81C8471E">
      <w:numFmt w:val="decimal"/>
      <w:lvlText w:val=""/>
      <w:lvlJc w:val="left"/>
    </w:lvl>
    <w:lvl w:ilvl="3" w:tplc="ADFC4CB2">
      <w:numFmt w:val="decimal"/>
      <w:lvlText w:val=""/>
      <w:lvlJc w:val="left"/>
    </w:lvl>
    <w:lvl w:ilvl="4" w:tplc="C47C6C20">
      <w:numFmt w:val="decimal"/>
      <w:lvlText w:val=""/>
      <w:lvlJc w:val="left"/>
    </w:lvl>
    <w:lvl w:ilvl="5" w:tplc="A7863E9A">
      <w:numFmt w:val="decimal"/>
      <w:lvlText w:val=""/>
      <w:lvlJc w:val="left"/>
    </w:lvl>
    <w:lvl w:ilvl="6" w:tplc="E6C247B2">
      <w:numFmt w:val="decimal"/>
      <w:lvlText w:val=""/>
      <w:lvlJc w:val="left"/>
    </w:lvl>
    <w:lvl w:ilvl="7" w:tplc="02246102">
      <w:numFmt w:val="decimal"/>
      <w:lvlText w:val=""/>
      <w:lvlJc w:val="left"/>
    </w:lvl>
    <w:lvl w:ilvl="8" w:tplc="EDA67FF8">
      <w:numFmt w:val="decimal"/>
      <w:lvlText w:val=""/>
      <w:lvlJc w:val="left"/>
    </w:lvl>
  </w:abstractNum>
  <w:abstractNum w:abstractNumId="394" w15:restartNumberingAfterBreak="0">
    <w:nsid w:val="2D3C0DC2"/>
    <w:multiLevelType w:val="hybridMultilevel"/>
    <w:tmpl w:val="F82A0EDA"/>
    <w:lvl w:ilvl="0" w:tplc="04EC4FC6">
      <w:start w:val="1"/>
      <w:numFmt w:val="bullet"/>
      <w:lvlText w:val=""/>
      <w:lvlJc w:val="left"/>
      <w:pPr>
        <w:ind w:left="720" w:hanging="180"/>
      </w:pPr>
      <w:rPr>
        <w:rFonts w:ascii="Symbol" w:hAnsi="Symbol" w:hint="default"/>
      </w:rPr>
    </w:lvl>
    <w:lvl w:ilvl="1" w:tplc="D6E6F510">
      <w:numFmt w:val="decimal"/>
      <w:lvlText w:val=""/>
      <w:lvlJc w:val="left"/>
    </w:lvl>
    <w:lvl w:ilvl="2" w:tplc="0F9E67EE">
      <w:numFmt w:val="decimal"/>
      <w:lvlText w:val=""/>
      <w:lvlJc w:val="left"/>
    </w:lvl>
    <w:lvl w:ilvl="3" w:tplc="7E061E48">
      <w:numFmt w:val="decimal"/>
      <w:lvlText w:val=""/>
      <w:lvlJc w:val="left"/>
    </w:lvl>
    <w:lvl w:ilvl="4" w:tplc="1AC2E3D4">
      <w:numFmt w:val="decimal"/>
      <w:lvlText w:val=""/>
      <w:lvlJc w:val="left"/>
    </w:lvl>
    <w:lvl w:ilvl="5" w:tplc="DB50348E">
      <w:numFmt w:val="decimal"/>
      <w:lvlText w:val=""/>
      <w:lvlJc w:val="left"/>
    </w:lvl>
    <w:lvl w:ilvl="6" w:tplc="92A445DE">
      <w:numFmt w:val="decimal"/>
      <w:lvlText w:val=""/>
      <w:lvlJc w:val="left"/>
    </w:lvl>
    <w:lvl w:ilvl="7" w:tplc="AED80802">
      <w:numFmt w:val="decimal"/>
      <w:lvlText w:val=""/>
      <w:lvlJc w:val="left"/>
    </w:lvl>
    <w:lvl w:ilvl="8" w:tplc="82986F04">
      <w:numFmt w:val="decimal"/>
      <w:lvlText w:val=""/>
      <w:lvlJc w:val="left"/>
    </w:lvl>
  </w:abstractNum>
  <w:abstractNum w:abstractNumId="395" w15:restartNumberingAfterBreak="0">
    <w:nsid w:val="2D4D143F"/>
    <w:multiLevelType w:val="hybridMultilevel"/>
    <w:tmpl w:val="BA48EECE"/>
    <w:lvl w:ilvl="0" w:tplc="E4704C4C">
      <w:start w:val="1"/>
      <w:numFmt w:val="bullet"/>
      <w:lvlText w:val=""/>
      <w:lvlJc w:val="left"/>
      <w:pPr>
        <w:ind w:left="720" w:hanging="180"/>
      </w:pPr>
      <w:rPr>
        <w:rFonts w:ascii="Symbol" w:hAnsi="Symbol" w:hint="default"/>
      </w:rPr>
    </w:lvl>
    <w:lvl w:ilvl="1" w:tplc="8C32DDEE">
      <w:numFmt w:val="decimal"/>
      <w:lvlText w:val=""/>
      <w:lvlJc w:val="left"/>
    </w:lvl>
    <w:lvl w:ilvl="2" w:tplc="90F0CD4A">
      <w:numFmt w:val="decimal"/>
      <w:lvlText w:val=""/>
      <w:lvlJc w:val="left"/>
    </w:lvl>
    <w:lvl w:ilvl="3" w:tplc="34B8CDE8">
      <w:numFmt w:val="decimal"/>
      <w:lvlText w:val=""/>
      <w:lvlJc w:val="left"/>
    </w:lvl>
    <w:lvl w:ilvl="4" w:tplc="F8C2F16E">
      <w:numFmt w:val="decimal"/>
      <w:lvlText w:val=""/>
      <w:lvlJc w:val="left"/>
    </w:lvl>
    <w:lvl w:ilvl="5" w:tplc="8EA26AB6">
      <w:numFmt w:val="decimal"/>
      <w:lvlText w:val=""/>
      <w:lvlJc w:val="left"/>
    </w:lvl>
    <w:lvl w:ilvl="6" w:tplc="41781B00">
      <w:numFmt w:val="decimal"/>
      <w:lvlText w:val=""/>
      <w:lvlJc w:val="left"/>
    </w:lvl>
    <w:lvl w:ilvl="7" w:tplc="10E4480C">
      <w:numFmt w:val="decimal"/>
      <w:lvlText w:val=""/>
      <w:lvlJc w:val="left"/>
    </w:lvl>
    <w:lvl w:ilvl="8" w:tplc="72A24850">
      <w:numFmt w:val="decimal"/>
      <w:lvlText w:val=""/>
      <w:lvlJc w:val="left"/>
    </w:lvl>
  </w:abstractNum>
  <w:abstractNum w:abstractNumId="396" w15:restartNumberingAfterBreak="0">
    <w:nsid w:val="2DC05BC4"/>
    <w:multiLevelType w:val="hybridMultilevel"/>
    <w:tmpl w:val="7DA23FFE"/>
    <w:lvl w:ilvl="0" w:tplc="6BB22392">
      <w:start w:val="1"/>
      <w:numFmt w:val="bullet"/>
      <w:lvlText w:val=""/>
      <w:lvlJc w:val="left"/>
      <w:pPr>
        <w:ind w:left="720" w:hanging="180"/>
      </w:pPr>
      <w:rPr>
        <w:rFonts w:ascii="Symbol" w:hAnsi="Symbol" w:hint="default"/>
      </w:rPr>
    </w:lvl>
    <w:lvl w:ilvl="1" w:tplc="E62E0F5A">
      <w:numFmt w:val="decimal"/>
      <w:lvlText w:val=""/>
      <w:lvlJc w:val="left"/>
    </w:lvl>
    <w:lvl w:ilvl="2" w:tplc="75DAA552">
      <w:numFmt w:val="decimal"/>
      <w:lvlText w:val=""/>
      <w:lvlJc w:val="left"/>
    </w:lvl>
    <w:lvl w:ilvl="3" w:tplc="C3D2E9C4">
      <w:numFmt w:val="decimal"/>
      <w:lvlText w:val=""/>
      <w:lvlJc w:val="left"/>
    </w:lvl>
    <w:lvl w:ilvl="4" w:tplc="8076B730">
      <w:numFmt w:val="decimal"/>
      <w:lvlText w:val=""/>
      <w:lvlJc w:val="left"/>
    </w:lvl>
    <w:lvl w:ilvl="5" w:tplc="350EC0A8">
      <w:numFmt w:val="decimal"/>
      <w:lvlText w:val=""/>
      <w:lvlJc w:val="left"/>
    </w:lvl>
    <w:lvl w:ilvl="6" w:tplc="91364C28">
      <w:numFmt w:val="decimal"/>
      <w:lvlText w:val=""/>
      <w:lvlJc w:val="left"/>
    </w:lvl>
    <w:lvl w:ilvl="7" w:tplc="277640A2">
      <w:numFmt w:val="decimal"/>
      <w:lvlText w:val=""/>
      <w:lvlJc w:val="left"/>
    </w:lvl>
    <w:lvl w:ilvl="8" w:tplc="17906698">
      <w:numFmt w:val="decimal"/>
      <w:lvlText w:val=""/>
      <w:lvlJc w:val="left"/>
    </w:lvl>
  </w:abstractNum>
  <w:abstractNum w:abstractNumId="397" w15:restartNumberingAfterBreak="0">
    <w:nsid w:val="2DD15F8A"/>
    <w:multiLevelType w:val="hybridMultilevel"/>
    <w:tmpl w:val="FCA61126"/>
    <w:lvl w:ilvl="0" w:tplc="57B40DC4">
      <w:start w:val="1"/>
      <w:numFmt w:val="bullet"/>
      <w:lvlText w:val=""/>
      <w:lvlJc w:val="left"/>
      <w:pPr>
        <w:ind w:left="720" w:hanging="180"/>
      </w:pPr>
      <w:rPr>
        <w:rFonts w:ascii="Symbol" w:hAnsi="Symbol" w:hint="default"/>
      </w:rPr>
    </w:lvl>
    <w:lvl w:ilvl="1" w:tplc="552CEB82">
      <w:numFmt w:val="decimal"/>
      <w:lvlText w:val=""/>
      <w:lvlJc w:val="left"/>
    </w:lvl>
    <w:lvl w:ilvl="2" w:tplc="65000C56">
      <w:numFmt w:val="decimal"/>
      <w:lvlText w:val=""/>
      <w:lvlJc w:val="left"/>
    </w:lvl>
    <w:lvl w:ilvl="3" w:tplc="83C83490">
      <w:numFmt w:val="decimal"/>
      <w:lvlText w:val=""/>
      <w:lvlJc w:val="left"/>
    </w:lvl>
    <w:lvl w:ilvl="4" w:tplc="C9B6DDD2">
      <w:numFmt w:val="decimal"/>
      <w:lvlText w:val=""/>
      <w:lvlJc w:val="left"/>
    </w:lvl>
    <w:lvl w:ilvl="5" w:tplc="6C8A46FA">
      <w:numFmt w:val="decimal"/>
      <w:lvlText w:val=""/>
      <w:lvlJc w:val="left"/>
    </w:lvl>
    <w:lvl w:ilvl="6" w:tplc="5990453A">
      <w:numFmt w:val="decimal"/>
      <w:lvlText w:val=""/>
      <w:lvlJc w:val="left"/>
    </w:lvl>
    <w:lvl w:ilvl="7" w:tplc="39E68E26">
      <w:numFmt w:val="decimal"/>
      <w:lvlText w:val=""/>
      <w:lvlJc w:val="left"/>
    </w:lvl>
    <w:lvl w:ilvl="8" w:tplc="B4709DDE">
      <w:numFmt w:val="decimal"/>
      <w:lvlText w:val=""/>
      <w:lvlJc w:val="left"/>
    </w:lvl>
  </w:abstractNum>
  <w:abstractNum w:abstractNumId="398" w15:restartNumberingAfterBreak="0">
    <w:nsid w:val="2DD8053E"/>
    <w:multiLevelType w:val="hybridMultilevel"/>
    <w:tmpl w:val="7CFA0262"/>
    <w:lvl w:ilvl="0" w:tplc="C3AAC1EA">
      <w:start w:val="1"/>
      <w:numFmt w:val="bullet"/>
      <w:lvlText w:val=""/>
      <w:lvlJc w:val="left"/>
      <w:pPr>
        <w:ind w:left="720" w:hanging="180"/>
      </w:pPr>
      <w:rPr>
        <w:rFonts w:ascii="Symbol" w:hAnsi="Symbol" w:hint="default"/>
      </w:rPr>
    </w:lvl>
    <w:lvl w:ilvl="1" w:tplc="E2E874C8">
      <w:numFmt w:val="decimal"/>
      <w:lvlText w:val=""/>
      <w:lvlJc w:val="left"/>
    </w:lvl>
    <w:lvl w:ilvl="2" w:tplc="B5BCA632">
      <w:numFmt w:val="decimal"/>
      <w:lvlText w:val=""/>
      <w:lvlJc w:val="left"/>
    </w:lvl>
    <w:lvl w:ilvl="3" w:tplc="78163E72">
      <w:numFmt w:val="decimal"/>
      <w:lvlText w:val=""/>
      <w:lvlJc w:val="left"/>
    </w:lvl>
    <w:lvl w:ilvl="4" w:tplc="E9449D5A">
      <w:numFmt w:val="decimal"/>
      <w:lvlText w:val=""/>
      <w:lvlJc w:val="left"/>
    </w:lvl>
    <w:lvl w:ilvl="5" w:tplc="2084D236">
      <w:numFmt w:val="decimal"/>
      <w:lvlText w:val=""/>
      <w:lvlJc w:val="left"/>
    </w:lvl>
    <w:lvl w:ilvl="6" w:tplc="03BA57E4">
      <w:numFmt w:val="decimal"/>
      <w:lvlText w:val=""/>
      <w:lvlJc w:val="left"/>
    </w:lvl>
    <w:lvl w:ilvl="7" w:tplc="490EFE20">
      <w:numFmt w:val="decimal"/>
      <w:lvlText w:val=""/>
      <w:lvlJc w:val="left"/>
    </w:lvl>
    <w:lvl w:ilvl="8" w:tplc="CCB4D018">
      <w:numFmt w:val="decimal"/>
      <w:lvlText w:val=""/>
      <w:lvlJc w:val="left"/>
    </w:lvl>
  </w:abstractNum>
  <w:abstractNum w:abstractNumId="399" w15:restartNumberingAfterBreak="0">
    <w:nsid w:val="2E2448E4"/>
    <w:multiLevelType w:val="hybridMultilevel"/>
    <w:tmpl w:val="3910A21A"/>
    <w:lvl w:ilvl="0" w:tplc="5D10B0EC">
      <w:start w:val="1"/>
      <w:numFmt w:val="bullet"/>
      <w:lvlText w:val=""/>
      <w:lvlJc w:val="left"/>
      <w:pPr>
        <w:ind w:left="720" w:hanging="180"/>
      </w:pPr>
      <w:rPr>
        <w:rFonts w:ascii="Symbol" w:hAnsi="Symbol" w:hint="default"/>
      </w:rPr>
    </w:lvl>
    <w:lvl w:ilvl="1" w:tplc="EAA2D2B6">
      <w:numFmt w:val="decimal"/>
      <w:lvlText w:val=""/>
      <w:lvlJc w:val="left"/>
    </w:lvl>
    <w:lvl w:ilvl="2" w:tplc="49303AE0">
      <w:numFmt w:val="decimal"/>
      <w:lvlText w:val=""/>
      <w:lvlJc w:val="left"/>
    </w:lvl>
    <w:lvl w:ilvl="3" w:tplc="01009674">
      <w:numFmt w:val="decimal"/>
      <w:lvlText w:val=""/>
      <w:lvlJc w:val="left"/>
    </w:lvl>
    <w:lvl w:ilvl="4" w:tplc="4E069B04">
      <w:numFmt w:val="decimal"/>
      <w:lvlText w:val=""/>
      <w:lvlJc w:val="left"/>
    </w:lvl>
    <w:lvl w:ilvl="5" w:tplc="626C4BC8">
      <w:numFmt w:val="decimal"/>
      <w:lvlText w:val=""/>
      <w:lvlJc w:val="left"/>
    </w:lvl>
    <w:lvl w:ilvl="6" w:tplc="BE10EA30">
      <w:numFmt w:val="decimal"/>
      <w:lvlText w:val=""/>
      <w:lvlJc w:val="left"/>
    </w:lvl>
    <w:lvl w:ilvl="7" w:tplc="BE6499F6">
      <w:numFmt w:val="decimal"/>
      <w:lvlText w:val=""/>
      <w:lvlJc w:val="left"/>
    </w:lvl>
    <w:lvl w:ilvl="8" w:tplc="E2AA3B42">
      <w:numFmt w:val="decimal"/>
      <w:lvlText w:val=""/>
      <w:lvlJc w:val="left"/>
    </w:lvl>
  </w:abstractNum>
  <w:abstractNum w:abstractNumId="400" w15:restartNumberingAfterBreak="0">
    <w:nsid w:val="2E3013A8"/>
    <w:multiLevelType w:val="hybridMultilevel"/>
    <w:tmpl w:val="98D0101E"/>
    <w:lvl w:ilvl="0" w:tplc="AD60B80E">
      <w:start w:val="1"/>
      <w:numFmt w:val="bullet"/>
      <w:lvlText w:val=""/>
      <w:lvlJc w:val="left"/>
      <w:pPr>
        <w:ind w:left="720" w:hanging="180"/>
      </w:pPr>
      <w:rPr>
        <w:rFonts w:ascii="Symbol" w:hAnsi="Symbol" w:hint="default"/>
      </w:rPr>
    </w:lvl>
    <w:lvl w:ilvl="1" w:tplc="97C4DBE0">
      <w:numFmt w:val="decimal"/>
      <w:lvlText w:val=""/>
      <w:lvlJc w:val="left"/>
    </w:lvl>
    <w:lvl w:ilvl="2" w:tplc="DAD6F8DC">
      <w:numFmt w:val="decimal"/>
      <w:lvlText w:val=""/>
      <w:lvlJc w:val="left"/>
    </w:lvl>
    <w:lvl w:ilvl="3" w:tplc="D17ACADE">
      <w:numFmt w:val="decimal"/>
      <w:lvlText w:val=""/>
      <w:lvlJc w:val="left"/>
    </w:lvl>
    <w:lvl w:ilvl="4" w:tplc="259AE092">
      <w:numFmt w:val="decimal"/>
      <w:lvlText w:val=""/>
      <w:lvlJc w:val="left"/>
    </w:lvl>
    <w:lvl w:ilvl="5" w:tplc="E93C661A">
      <w:numFmt w:val="decimal"/>
      <w:lvlText w:val=""/>
      <w:lvlJc w:val="left"/>
    </w:lvl>
    <w:lvl w:ilvl="6" w:tplc="93163D74">
      <w:numFmt w:val="decimal"/>
      <w:lvlText w:val=""/>
      <w:lvlJc w:val="left"/>
    </w:lvl>
    <w:lvl w:ilvl="7" w:tplc="D3FC1528">
      <w:numFmt w:val="decimal"/>
      <w:lvlText w:val=""/>
      <w:lvlJc w:val="left"/>
    </w:lvl>
    <w:lvl w:ilvl="8" w:tplc="286C08C0">
      <w:numFmt w:val="decimal"/>
      <w:lvlText w:val=""/>
      <w:lvlJc w:val="left"/>
    </w:lvl>
  </w:abstractNum>
  <w:abstractNum w:abstractNumId="401" w15:restartNumberingAfterBreak="0">
    <w:nsid w:val="2E3C5CE6"/>
    <w:multiLevelType w:val="hybridMultilevel"/>
    <w:tmpl w:val="638C5A40"/>
    <w:lvl w:ilvl="0" w:tplc="CF6E37E2">
      <w:start w:val="1"/>
      <w:numFmt w:val="bullet"/>
      <w:lvlText w:val=""/>
      <w:lvlJc w:val="left"/>
      <w:pPr>
        <w:ind w:left="720" w:hanging="180"/>
      </w:pPr>
      <w:rPr>
        <w:rFonts w:ascii="Symbol" w:hAnsi="Symbol" w:hint="default"/>
      </w:rPr>
    </w:lvl>
    <w:lvl w:ilvl="1" w:tplc="2FA2D1B0">
      <w:numFmt w:val="decimal"/>
      <w:lvlText w:val=""/>
      <w:lvlJc w:val="left"/>
    </w:lvl>
    <w:lvl w:ilvl="2" w:tplc="EEA02630">
      <w:numFmt w:val="decimal"/>
      <w:lvlText w:val=""/>
      <w:lvlJc w:val="left"/>
    </w:lvl>
    <w:lvl w:ilvl="3" w:tplc="69881224">
      <w:numFmt w:val="decimal"/>
      <w:lvlText w:val=""/>
      <w:lvlJc w:val="left"/>
    </w:lvl>
    <w:lvl w:ilvl="4" w:tplc="46C0BE14">
      <w:numFmt w:val="decimal"/>
      <w:lvlText w:val=""/>
      <w:lvlJc w:val="left"/>
    </w:lvl>
    <w:lvl w:ilvl="5" w:tplc="90FEFE68">
      <w:numFmt w:val="decimal"/>
      <w:lvlText w:val=""/>
      <w:lvlJc w:val="left"/>
    </w:lvl>
    <w:lvl w:ilvl="6" w:tplc="6756BAF4">
      <w:numFmt w:val="decimal"/>
      <w:lvlText w:val=""/>
      <w:lvlJc w:val="left"/>
    </w:lvl>
    <w:lvl w:ilvl="7" w:tplc="A17476A8">
      <w:numFmt w:val="decimal"/>
      <w:lvlText w:val=""/>
      <w:lvlJc w:val="left"/>
    </w:lvl>
    <w:lvl w:ilvl="8" w:tplc="9DCE5E92">
      <w:numFmt w:val="decimal"/>
      <w:lvlText w:val=""/>
      <w:lvlJc w:val="left"/>
    </w:lvl>
  </w:abstractNum>
  <w:abstractNum w:abstractNumId="402" w15:restartNumberingAfterBreak="0">
    <w:nsid w:val="2E430895"/>
    <w:multiLevelType w:val="hybridMultilevel"/>
    <w:tmpl w:val="B9F2F6EC"/>
    <w:lvl w:ilvl="0" w:tplc="45C642B6">
      <w:start w:val="1"/>
      <w:numFmt w:val="bullet"/>
      <w:lvlText w:val=""/>
      <w:lvlJc w:val="left"/>
      <w:pPr>
        <w:ind w:left="720" w:hanging="180"/>
      </w:pPr>
      <w:rPr>
        <w:rFonts w:ascii="Symbol" w:hAnsi="Symbol" w:hint="default"/>
      </w:rPr>
    </w:lvl>
    <w:lvl w:ilvl="1" w:tplc="D458BC16">
      <w:numFmt w:val="decimal"/>
      <w:lvlText w:val=""/>
      <w:lvlJc w:val="left"/>
    </w:lvl>
    <w:lvl w:ilvl="2" w:tplc="48EE5D00">
      <w:numFmt w:val="decimal"/>
      <w:lvlText w:val=""/>
      <w:lvlJc w:val="left"/>
    </w:lvl>
    <w:lvl w:ilvl="3" w:tplc="6010E556">
      <w:numFmt w:val="decimal"/>
      <w:lvlText w:val=""/>
      <w:lvlJc w:val="left"/>
    </w:lvl>
    <w:lvl w:ilvl="4" w:tplc="9A009A6A">
      <w:numFmt w:val="decimal"/>
      <w:lvlText w:val=""/>
      <w:lvlJc w:val="left"/>
    </w:lvl>
    <w:lvl w:ilvl="5" w:tplc="3DDC8C72">
      <w:numFmt w:val="decimal"/>
      <w:lvlText w:val=""/>
      <w:lvlJc w:val="left"/>
    </w:lvl>
    <w:lvl w:ilvl="6" w:tplc="9B1AD674">
      <w:numFmt w:val="decimal"/>
      <w:lvlText w:val=""/>
      <w:lvlJc w:val="left"/>
    </w:lvl>
    <w:lvl w:ilvl="7" w:tplc="C638E066">
      <w:numFmt w:val="decimal"/>
      <w:lvlText w:val=""/>
      <w:lvlJc w:val="left"/>
    </w:lvl>
    <w:lvl w:ilvl="8" w:tplc="312A75B2">
      <w:numFmt w:val="decimal"/>
      <w:lvlText w:val=""/>
      <w:lvlJc w:val="left"/>
    </w:lvl>
  </w:abstractNum>
  <w:abstractNum w:abstractNumId="403" w15:restartNumberingAfterBreak="0">
    <w:nsid w:val="2E4712F4"/>
    <w:multiLevelType w:val="hybridMultilevel"/>
    <w:tmpl w:val="9BC0A536"/>
    <w:lvl w:ilvl="0" w:tplc="73E46F42">
      <w:start w:val="1"/>
      <w:numFmt w:val="bullet"/>
      <w:lvlText w:val=""/>
      <w:lvlJc w:val="left"/>
      <w:pPr>
        <w:ind w:left="720" w:hanging="180"/>
      </w:pPr>
      <w:rPr>
        <w:rFonts w:ascii="Symbol" w:hAnsi="Symbol" w:hint="default"/>
      </w:rPr>
    </w:lvl>
    <w:lvl w:ilvl="1" w:tplc="D74282B6">
      <w:numFmt w:val="decimal"/>
      <w:lvlText w:val=""/>
      <w:lvlJc w:val="left"/>
    </w:lvl>
    <w:lvl w:ilvl="2" w:tplc="0BB0AFDC">
      <w:numFmt w:val="decimal"/>
      <w:lvlText w:val=""/>
      <w:lvlJc w:val="left"/>
    </w:lvl>
    <w:lvl w:ilvl="3" w:tplc="3D5A301C">
      <w:numFmt w:val="decimal"/>
      <w:lvlText w:val=""/>
      <w:lvlJc w:val="left"/>
    </w:lvl>
    <w:lvl w:ilvl="4" w:tplc="2334D3AA">
      <w:numFmt w:val="decimal"/>
      <w:lvlText w:val=""/>
      <w:lvlJc w:val="left"/>
    </w:lvl>
    <w:lvl w:ilvl="5" w:tplc="C79099E8">
      <w:numFmt w:val="decimal"/>
      <w:lvlText w:val=""/>
      <w:lvlJc w:val="left"/>
    </w:lvl>
    <w:lvl w:ilvl="6" w:tplc="C3146626">
      <w:numFmt w:val="decimal"/>
      <w:lvlText w:val=""/>
      <w:lvlJc w:val="left"/>
    </w:lvl>
    <w:lvl w:ilvl="7" w:tplc="2A3CBCAA">
      <w:numFmt w:val="decimal"/>
      <w:lvlText w:val=""/>
      <w:lvlJc w:val="left"/>
    </w:lvl>
    <w:lvl w:ilvl="8" w:tplc="4CBC5302">
      <w:numFmt w:val="decimal"/>
      <w:lvlText w:val=""/>
      <w:lvlJc w:val="left"/>
    </w:lvl>
  </w:abstractNum>
  <w:abstractNum w:abstractNumId="404" w15:restartNumberingAfterBreak="0">
    <w:nsid w:val="2E507ADC"/>
    <w:multiLevelType w:val="hybridMultilevel"/>
    <w:tmpl w:val="4954A5B0"/>
    <w:lvl w:ilvl="0" w:tplc="DCD20D46">
      <w:start w:val="1"/>
      <w:numFmt w:val="bullet"/>
      <w:lvlText w:val=""/>
      <w:lvlJc w:val="left"/>
      <w:pPr>
        <w:ind w:left="720" w:hanging="180"/>
      </w:pPr>
      <w:rPr>
        <w:rFonts w:ascii="Symbol" w:hAnsi="Symbol" w:hint="default"/>
      </w:rPr>
    </w:lvl>
    <w:lvl w:ilvl="1" w:tplc="90F6B2AC">
      <w:numFmt w:val="decimal"/>
      <w:lvlText w:val=""/>
      <w:lvlJc w:val="left"/>
    </w:lvl>
    <w:lvl w:ilvl="2" w:tplc="F4703066">
      <w:numFmt w:val="decimal"/>
      <w:lvlText w:val=""/>
      <w:lvlJc w:val="left"/>
    </w:lvl>
    <w:lvl w:ilvl="3" w:tplc="462460A2">
      <w:numFmt w:val="decimal"/>
      <w:lvlText w:val=""/>
      <w:lvlJc w:val="left"/>
    </w:lvl>
    <w:lvl w:ilvl="4" w:tplc="7CB0DA38">
      <w:numFmt w:val="decimal"/>
      <w:lvlText w:val=""/>
      <w:lvlJc w:val="left"/>
    </w:lvl>
    <w:lvl w:ilvl="5" w:tplc="214CB8FA">
      <w:numFmt w:val="decimal"/>
      <w:lvlText w:val=""/>
      <w:lvlJc w:val="left"/>
    </w:lvl>
    <w:lvl w:ilvl="6" w:tplc="E932B0D8">
      <w:numFmt w:val="decimal"/>
      <w:lvlText w:val=""/>
      <w:lvlJc w:val="left"/>
    </w:lvl>
    <w:lvl w:ilvl="7" w:tplc="DA5200A6">
      <w:numFmt w:val="decimal"/>
      <w:lvlText w:val=""/>
      <w:lvlJc w:val="left"/>
    </w:lvl>
    <w:lvl w:ilvl="8" w:tplc="41DE5164">
      <w:numFmt w:val="decimal"/>
      <w:lvlText w:val=""/>
      <w:lvlJc w:val="left"/>
    </w:lvl>
  </w:abstractNum>
  <w:abstractNum w:abstractNumId="405" w15:restartNumberingAfterBreak="0">
    <w:nsid w:val="2E6761CA"/>
    <w:multiLevelType w:val="hybridMultilevel"/>
    <w:tmpl w:val="83D63D4E"/>
    <w:lvl w:ilvl="0" w:tplc="27BA7E94">
      <w:start w:val="1"/>
      <w:numFmt w:val="bullet"/>
      <w:lvlText w:val=""/>
      <w:lvlJc w:val="left"/>
      <w:pPr>
        <w:ind w:left="720" w:hanging="180"/>
      </w:pPr>
      <w:rPr>
        <w:rFonts w:ascii="Symbol" w:hAnsi="Symbol" w:hint="default"/>
      </w:rPr>
    </w:lvl>
    <w:lvl w:ilvl="1" w:tplc="9B14C024">
      <w:numFmt w:val="decimal"/>
      <w:lvlText w:val=""/>
      <w:lvlJc w:val="left"/>
    </w:lvl>
    <w:lvl w:ilvl="2" w:tplc="A782D3AA">
      <w:numFmt w:val="decimal"/>
      <w:lvlText w:val=""/>
      <w:lvlJc w:val="left"/>
    </w:lvl>
    <w:lvl w:ilvl="3" w:tplc="96769146">
      <w:numFmt w:val="decimal"/>
      <w:lvlText w:val=""/>
      <w:lvlJc w:val="left"/>
    </w:lvl>
    <w:lvl w:ilvl="4" w:tplc="A3241678">
      <w:numFmt w:val="decimal"/>
      <w:lvlText w:val=""/>
      <w:lvlJc w:val="left"/>
    </w:lvl>
    <w:lvl w:ilvl="5" w:tplc="5EEAC374">
      <w:numFmt w:val="decimal"/>
      <w:lvlText w:val=""/>
      <w:lvlJc w:val="left"/>
    </w:lvl>
    <w:lvl w:ilvl="6" w:tplc="B2BA3DD4">
      <w:numFmt w:val="decimal"/>
      <w:lvlText w:val=""/>
      <w:lvlJc w:val="left"/>
    </w:lvl>
    <w:lvl w:ilvl="7" w:tplc="4AA861C8">
      <w:numFmt w:val="decimal"/>
      <w:lvlText w:val=""/>
      <w:lvlJc w:val="left"/>
    </w:lvl>
    <w:lvl w:ilvl="8" w:tplc="CC4CFFD6">
      <w:numFmt w:val="decimal"/>
      <w:lvlText w:val=""/>
      <w:lvlJc w:val="left"/>
    </w:lvl>
  </w:abstractNum>
  <w:abstractNum w:abstractNumId="406" w15:restartNumberingAfterBreak="0">
    <w:nsid w:val="2E6E6C18"/>
    <w:multiLevelType w:val="hybridMultilevel"/>
    <w:tmpl w:val="51907504"/>
    <w:lvl w:ilvl="0" w:tplc="BFDC0E86">
      <w:start w:val="1"/>
      <w:numFmt w:val="bullet"/>
      <w:lvlText w:val=""/>
      <w:lvlJc w:val="left"/>
      <w:pPr>
        <w:ind w:left="720" w:hanging="180"/>
      </w:pPr>
      <w:rPr>
        <w:rFonts w:ascii="Symbol" w:hAnsi="Symbol" w:hint="default"/>
      </w:rPr>
    </w:lvl>
    <w:lvl w:ilvl="1" w:tplc="6D025174">
      <w:numFmt w:val="decimal"/>
      <w:lvlText w:val=""/>
      <w:lvlJc w:val="left"/>
    </w:lvl>
    <w:lvl w:ilvl="2" w:tplc="332EE2D4">
      <w:numFmt w:val="decimal"/>
      <w:lvlText w:val=""/>
      <w:lvlJc w:val="left"/>
    </w:lvl>
    <w:lvl w:ilvl="3" w:tplc="8244D48A">
      <w:numFmt w:val="decimal"/>
      <w:lvlText w:val=""/>
      <w:lvlJc w:val="left"/>
    </w:lvl>
    <w:lvl w:ilvl="4" w:tplc="56F8CAC0">
      <w:numFmt w:val="decimal"/>
      <w:lvlText w:val=""/>
      <w:lvlJc w:val="left"/>
    </w:lvl>
    <w:lvl w:ilvl="5" w:tplc="A8DEE850">
      <w:numFmt w:val="decimal"/>
      <w:lvlText w:val=""/>
      <w:lvlJc w:val="left"/>
    </w:lvl>
    <w:lvl w:ilvl="6" w:tplc="FD46FC2C">
      <w:numFmt w:val="decimal"/>
      <w:lvlText w:val=""/>
      <w:lvlJc w:val="left"/>
    </w:lvl>
    <w:lvl w:ilvl="7" w:tplc="E8D6176A">
      <w:numFmt w:val="decimal"/>
      <w:lvlText w:val=""/>
      <w:lvlJc w:val="left"/>
    </w:lvl>
    <w:lvl w:ilvl="8" w:tplc="A78AEEFC">
      <w:numFmt w:val="decimal"/>
      <w:lvlText w:val=""/>
      <w:lvlJc w:val="left"/>
    </w:lvl>
  </w:abstractNum>
  <w:abstractNum w:abstractNumId="407" w15:restartNumberingAfterBreak="0">
    <w:nsid w:val="2E77519C"/>
    <w:multiLevelType w:val="hybridMultilevel"/>
    <w:tmpl w:val="1A14E9A2"/>
    <w:lvl w:ilvl="0" w:tplc="8532477A">
      <w:start w:val="1"/>
      <w:numFmt w:val="bullet"/>
      <w:lvlText w:val=""/>
      <w:lvlJc w:val="left"/>
      <w:pPr>
        <w:ind w:left="720" w:hanging="180"/>
      </w:pPr>
      <w:rPr>
        <w:rFonts w:ascii="Symbol" w:hAnsi="Symbol" w:hint="default"/>
      </w:rPr>
    </w:lvl>
    <w:lvl w:ilvl="1" w:tplc="60D43D00">
      <w:numFmt w:val="decimal"/>
      <w:lvlText w:val=""/>
      <w:lvlJc w:val="left"/>
    </w:lvl>
    <w:lvl w:ilvl="2" w:tplc="A8483F98">
      <w:numFmt w:val="decimal"/>
      <w:lvlText w:val=""/>
      <w:lvlJc w:val="left"/>
    </w:lvl>
    <w:lvl w:ilvl="3" w:tplc="FAC61738">
      <w:numFmt w:val="decimal"/>
      <w:lvlText w:val=""/>
      <w:lvlJc w:val="left"/>
    </w:lvl>
    <w:lvl w:ilvl="4" w:tplc="0B6C6E7A">
      <w:numFmt w:val="decimal"/>
      <w:lvlText w:val=""/>
      <w:lvlJc w:val="left"/>
    </w:lvl>
    <w:lvl w:ilvl="5" w:tplc="BA387EF8">
      <w:numFmt w:val="decimal"/>
      <w:lvlText w:val=""/>
      <w:lvlJc w:val="left"/>
    </w:lvl>
    <w:lvl w:ilvl="6" w:tplc="8358463E">
      <w:numFmt w:val="decimal"/>
      <w:lvlText w:val=""/>
      <w:lvlJc w:val="left"/>
    </w:lvl>
    <w:lvl w:ilvl="7" w:tplc="48BCC6E4">
      <w:numFmt w:val="decimal"/>
      <w:lvlText w:val=""/>
      <w:lvlJc w:val="left"/>
    </w:lvl>
    <w:lvl w:ilvl="8" w:tplc="CB5C0F9C">
      <w:numFmt w:val="decimal"/>
      <w:lvlText w:val=""/>
      <w:lvlJc w:val="left"/>
    </w:lvl>
  </w:abstractNum>
  <w:abstractNum w:abstractNumId="408" w15:restartNumberingAfterBreak="0">
    <w:nsid w:val="2EDE335F"/>
    <w:multiLevelType w:val="hybridMultilevel"/>
    <w:tmpl w:val="EC8E90CA"/>
    <w:lvl w:ilvl="0" w:tplc="1908B74C">
      <w:start w:val="1"/>
      <w:numFmt w:val="bullet"/>
      <w:lvlText w:val=""/>
      <w:lvlJc w:val="left"/>
      <w:pPr>
        <w:ind w:left="720" w:hanging="180"/>
      </w:pPr>
      <w:rPr>
        <w:rFonts w:ascii="Symbol" w:hAnsi="Symbol" w:hint="default"/>
      </w:rPr>
    </w:lvl>
    <w:lvl w:ilvl="1" w:tplc="8F08BCDC">
      <w:numFmt w:val="decimal"/>
      <w:lvlText w:val=""/>
      <w:lvlJc w:val="left"/>
    </w:lvl>
    <w:lvl w:ilvl="2" w:tplc="B582BDF2">
      <w:numFmt w:val="decimal"/>
      <w:lvlText w:val=""/>
      <w:lvlJc w:val="left"/>
    </w:lvl>
    <w:lvl w:ilvl="3" w:tplc="7DCC93F0">
      <w:numFmt w:val="decimal"/>
      <w:lvlText w:val=""/>
      <w:lvlJc w:val="left"/>
    </w:lvl>
    <w:lvl w:ilvl="4" w:tplc="E6DAF3D4">
      <w:numFmt w:val="decimal"/>
      <w:lvlText w:val=""/>
      <w:lvlJc w:val="left"/>
    </w:lvl>
    <w:lvl w:ilvl="5" w:tplc="CD326C92">
      <w:numFmt w:val="decimal"/>
      <w:lvlText w:val=""/>
      <w:lvlJc w:val="left"/>
    </w:lvl>
    <w:lvl w:ilvl="6" w:tplc="A16A1146">
      <w:numFmt w:val="decimal"/>
      <w:lvlText w:val=""/>
      <w:lvlJc w:val="left"/>
    </w:lvl>
    <w:lvl w:ilvl="7" w:tplc="F08CE51C">
      <w:numFmt w:val="decimal"/>
      <w:lvlText w:val=""/>
      <w:lvlJc w:val="left"/>
    </w:lvl>
    <w:lvl w:ilvl="8" w:tplc="F738B854">
      <w:numFmt w:val="decimal"/>
      <w:lvlText w:val=""/>
      <w:lvlJc w:val="left"/>
    </w:lvl>
  </w:abstractNum>
  <w:abstractNum w:abstractNumId="409" w15:restartNumberingAfterBreak="0">
    <w:nsid w:val="2EFA7A3E"/>
    <w:multiLevelType w:val="hybridMultilevel"/>
    <w:tmpl w:val="F5FED6D0"/>
    <w:lvl w:ilvl="0" w:tplc="85E4DB50">
      <w:start w:val="1"/>
      <w:numFmt w:val="bullet"/>
      <w:lvlText w:val=""/>
      <w:lvlJc w:val="left"/>
      <w:pPr>
        <w:ind w:left="720" w:hanging="180"/>
      </w:pPr>
      <w:rPr>
        <w:rFonts w:ascii="Symbol" w:hAnsi="Symbol" w:hint="default"/>
      </w:rPr>
    </w:lvl>
    <w:lvl w:ilvl="1" w:tplc="1172B0AE">
      <w:numFmt w:val="decimal"/>
      <w:lvlText w:val=""/>
      <w:lvlJc w:val="left"/>
    </w:lvl>
    <w:lvl w:ilvl="2" w:tplc="8BBE5A7A">
      <w:numFmt w:val="decimal"/>
      <w:lvlText w:val=""/>
      <w:lvlJc w:val="left"/>
    </w:lvl>
    <w:lvl w:ilvl="3" w:tplc="915A9606">
      <w:numFmt w:val="decimal"/>
      <w:lvlText w:val=""/>
      <w:lvlJc w:val="left"/>
    </w:lvl>
    <w:lvl w:ilvl="4" w:tplc="0164C20C">
      <w:numFmt w:val="decimal"/>
      <w:lvlText w:val=""/>
      <w:lvlJc w:val="left"/>
    </w:lvl>
    <w:lvl w:ilvl="5" w:tplc="C27E09D6">
      <w:numFmt w:val="decimal"/>
      <w:lvlText w:val=""/>
      <w:lvlJc w:val="left"/>
    </w:lvl>
    <w:lvl w:ilvl="6" w:tplc="DA7A0388">
      <w:numFmt w:val="decimal"/>
      <w:lvlText w:val=""/>
      <w:lvlJc w:val="left"/>
    </w:lvl>
    <w:lvl w:ilvl="7" w:tplc="D6FE5FA0">
      <w:numFmt w:val="decimal"/>
      <w:lvlText w:val=""/>
      <w:lvlJc w:val="left"/>
    </w:lvl>
    <w:lvl w:ilvl="8" w:tplc="FC4803E0">
      <w:numFmt w:val="decimal"/>
      <w:lvlText w:val=""/>
      <w:lvlJc w:val="left"/>
    </w:lvl>
  </w:abstractNum>
  <w:abstractNum w:abstractNumId="410" w15:restartNumberingAfterBreak="0">
    <w:nsid w:val="2F01637E"/>
    <w:multiLevelType w:val="hybridMultilevel"/>
    <w:tmpl w:val="38404878"/>
    <w:lvl w:ilvl="0" w:tplc="74DCBDA2">
      <w:start w:val="1"/>
      <w:numFmt w:val="bullet"/>
      <w:lvlText w:val=""/>
      <w:lvlJc w:val="left"/>
      <w:pPr>
        <w:ind w:left="720" w:hanging="180"/>
      </w:pPr>
      <w:rPr>
        <w:rFonts w:ascii="Symbol" w:hAnsi="Symbol" w:hint="default"/>
      </w:rPr>
    </w:lvl>
    <w:lvl w:ilvl="1" w:tplc="8840854A">
      <w:numFmt w:val="decimal"/>
      <w:lvlText w:val=""/>
      <w:lvlJc w:val="left"/>
    </w:lvl>
    <w:lvl w:ilvl="2" w:tplc="0E7C29E0">
      <w:numFmt w:val="decimal"/>
      <w:lvlText w:val=""/>
      <w:lvlJc w:val="left"/>
    </w:lvl>
    <w:lvl w:ilvl="3" w:tplc="D44E57DE">
      <w:numFmt w:val="decimal"/>
      <w:lvlText w:val=""/>
      <w:lvlJc w:val="left"/>
    </w:lvl>
    <w:lvl w:ilvl="4" w:tplc="47C4BDFE">
      <w:numFmt w:val="decimal"/>
      <w:lvlText w:val=""/>
      <w:lvlJc w:val="left"/>
    </w:lvl>
    <w:lvl w:ilvl="5" w:tplc="408E15F8">
      <w:numFmt w:val="decimal"/>
      <w:lvlText w:val=""/>
      <w:lvlJc w:val="left"/>
    </w:lvl>
    <w:lvl w:ilvl="6" w:tplc="48E4AF82">
      <w:numFmt w:val="decimal"/>
      <w:lvlText w:val=""/>
      <w:lvlJc w:val="left"/>
    </w:lvl>
    <w:lvl w:ilvl="7" w:tplc="9D646CDE">
      <w:numFmt w:val="decimal"/>
      <w:lvlText w:val=""/>
      <w:lvlJc w:val="left"/>
    </w:lvl>
    <w:lvl w:ilvl="8" w:tplc="F2822EA2">
      <w:numFmt w:val="decimal"/>
      <w:lvlText w:val=""/>
      <w:lvlJc w:val="left"/>
    </w:lvl>
  </w:abstractNum>
  <w:abstractNum w:abstractNumId="411" w15:restartNumberingAfterBreak="0">
    <w:nsid w:val="2F0C248D"/>
    <w:multiLevelType w:val="hybridMultilevel"/>
    <w:tmpl w:val="F6B414AE"/>
    <w:lvl w:ilvl="0" w:tplc="B726A9C4">
      <w:start w:val="1"/>
      <w:numFmt w:val="bullet"/>
      <w:lvlText w:val=""/>
      <w:lvlJc w:val="left"/>
      <w:pPr>
        <w:ind w:left="720" w:hanging="180"/>
      </w:pPr>
      <w:rPr>
        <w:rFonts w:ascii="Symbol" w:hAnsi="Symbol" w:hint="default"/>
      </w:rPr>
    </w:lvl>
    <w:lvl w:ilvl="1" w:tplc="5F18AD56">
      <w:numFmt w:val="decimal"/>
      <w:lvlText w:val=""/>
      <w:lvlJc w:val="left"/>
    </w:lvl>
    <w:lvl w:ilvl="2" w:tplc="515C960C">
      <w:numFmt w:val="decimal"/>
      <w:lvlText w:val=""/>
      <w:lvlJc w:val="left"/>
    </w:lvl>
    <w:lvl w:ilvl="3" w:tplc="B04E22E2">
      <w:numFmt w:val="decimal"/>
      <w:lvlText w:val=""/>
      <w:lvlJc w:val="left"/>
    </w:lvl>
    <w:lvl w:ilvl="4" w:tplc="798A423A">
      <w:numFmt w:val="decimal"/>
      <w:lvlText w:val=""/>
      <w:lvlJc w:val="left"/>
    </w:lvl>
    <w:lvl w:ilvl="5" w:tplc="20FCA540">
      <w:numFmt w:val="decimal"/>
      <w:lvlText w:val=""/>
      <w:lvlJc w:val="left"/>
    </w:lvl>
    <w:lvl w:ilvl="6" w:tplc="184460F0">
      <w:numFmt w:val="decimal"/>
      <w:lvlText w:val=""/>
      <w:lvlJc w:val="left"/>
    </w:lvl>
    <w:lvl w:ilvl="7" w:tplc="65200FAC">
      <w:numFmt w:val="decimal"/>
      <w:lvlText w:val=""/>
      <w:lvlJc w:val="left"/>
    </w:lvl>
    <w:lvl w:ilvl="8" w:tplc="8EC8F44C">
      <w:numFmt w:val="decimal"/>
      <w:lvlText w:val=""/>
      <w:lvlJc w:val="left"/>
    </w:lvl>
  </w:abstractNum>
  <w:abstractNum w:abstractNumId="412" w15:restartNumberingAfterBreak="0">
    <w:nsid w:val="2F5039E5"/>
    <w:multiLevelType w:val="hybridMultilevel"/>
    <w:tmpl w:val="7F6CE472"/>
    <w:lvl w:ilvl="0" w:tplc="6E52D444">
      <w:start w:val="1"/>
      <w:numFmt w:val="bullet"/>
      <w:lvlText w:val=""/>
      <w:lvlJc w:val="left"/>
      <w:pPr>
        <w:ind w:left="720" w:hanging="180"/>
      </w:pPr>
      <w:rPr>
        <w:rFonts w:ascii="Symbol" w:hAnsi="Symbol" w:hint="default"/>
      </w:rPr>
    </w:lvl>
    <w:lvl w:ilvl="1" w:tplc="D44E6E16">
      <w:numFmt w:val="decimal"/>
      <w:lvlText w:val=""/>
      <w:lvlJc w:val="left"/>
    </w:lvl>
    <w:lvl w:ilvl="2" w:tplc="BFDC0432">
      <w:numFmt w:val="decimal"/>
      <w:lvlText w:val=""/>
      <w:lvlJc w:val="left"/>
    </w:lvl>
    <w:lvl w:ilvl="3" w:tplc="6D9E9D78">
      <w:numFmt w:val="decimal"/>
      <w:lvlText w:val=""/>
      <w:lvlJc w:val="left"/>
    </w:lvl>
    <w:lvl w:ilvl="4" w:tplc="7ACECB74">
      <w:numFmt w:val="decimal"/>
      <w:lvlText w:val=""/>
      <w:lvlJc w:val="left"/>
    </w:lvl>
    <w:lvl w:ilvl="5" w:tplc="973A19D6">
      <w:numFmt w:val="decimal"/>
      <w:lvlText w:val=""/>
      <w:lvlJc w:val="left"/>
    </w:lvl>
    <w:lvl w:ilvl="6" w:tplc="825EBFCE">
      <w:numFmt w:val="decimal"/>
      <w:lvlText w:val=""/>
      <w:lvlJc w:val="left"/>
    </w:lvl>
    <w:lvl w:ilvl="7" w:tplc="BA1C3AD8">
      <w:numFmt w:val="decimal"/>
      <w:lvlText w:val=""/>
      <w:lvlJc w:val="left"/>
    </w:lvl>
    <w:lvl w:ilvl="8" w:tplc="04EC55A0">
      <w:numFmt w:val="decimal"/>
      <w:lvlText w:val=""/>
      <w:lvlJc w:val="left"/>
    </w:lvl>
  </w:abstractNum>
  <w:abstractNum w:abstractNumId="413" w15:restartNumberingAfterBreak="0">
    <w:nsid w:val="2F8300D0"/>
    <w:multiLevelType w:val="hybridMultilevel"/>
    <w:tmpl w:val="AD24C5F0"/>
    <w:lvl w:ilvl="0" w:tplc="414C7D40">
      <w:start w:val="1"/>
      <w:numFmt w:val="bullet"/>
      <w:lvlText w:val=""/>
      <w:lvlJc w:val="left"/>
      <w:pPr>
        <w:ind w:left="720" w:hanging="180"/>
      </w:pPr>
      <w:rPr>
        <w:rFonts w:ascii="Symbol" w:hAnsi="Symbol" w:hint="default"/>
      </w:rPr>
    </w:lvl>
    <w:lvl w:ilvl="1" w:tplc="87B6B8C4">
      <w:numFmt w:val="decimal"/>
      <w:lvlText w:val=""/>
      <w:lvlJc w:val="left"/>
    </w:lvl>
    <w:lvl w:ilvl="2" w:tplc="B8B6B65A">
      <w:numFmt w:val="decimal"/>
      <w:lvlText w:val=""/>
      <w:lvlJc w:val="left"/>
    </w:lvl>
    <w:lvl w:ilvl="3" w:tplc="11E4A4A8">
      <w:numFmt w:val="decimal"/>
      <w:lvlText w:val=""/>
      <w:lvlJc w:val="left"/>
    </w:lvl>
    <w:lvl w:ilvl="4" w:tplc="72885168">
      <w:numFmt w:val="decimal"/>
      <w:lvlText w:val=""/>
      <w:lvlJc w:val="left"/>
    </w:lvl>
    <w:lvl w:ilvl="5" w:tplc="8340B5BA">
      <w:numFmt w:val="decimal"/>
      <w:lvlText w:val=""/>
      <w:lvlJc w:val="left"/>
    </w:lvl>
    <w:lvl w:ilvl="6" w:tplc="25E890D4">
      <w:numFmt w:val="decimal"/>
      <w:lvlText w:val=""/>
      <w:lvlJc w:val="left"/>
    </w:lvl>
    <w:lvl w:ilvl="7" w:tplc="BC58EB3C">
      <w:numFmt w:val="decimal"/>
      <w:lvlText w:val=""/>
      <w:lvlJc w:val="left"/>
    </w:lvl>
    <w:lvl w:ilvl="8" w:tplc="DDD48C92">
      <w:numFmt w:val="decimal"/>
      <w:lvlText w:val=""/>
      <w:lvlJc w:val="left"/>
    </w:lvl>
  </w:abstractNum>
  <w:abstractNum w:abstractNumId="414" w15:restartNumberingAfterBreak="0">
    <w:nsid w:val="2F922884"/>
    <w:multiLevelType w:val="hybridMultilevel"/>
    <w:tmpl w:val="3452ACF6"/>
    <w:lvl w:ilvl="0" w:tplc="F93895AC">
      <w:start w:val="1"/>
      <w:numFmt w:val="bullet"/>
      <w:lvlText w:val=""/>
      <w:lvlJc w:val="left"/>
      <w:pPr>
        <w:ind w:left="720" w:hanging="180"/>
      </w:pPr>
      <w:rPr>
        <w:rFonts w:ascii="Symbol" w:hAnsi="Symbol" w:hint="default"/>
      </w:rPr>
    </w:lvl>
    <w:lvl w:ilvl="1" w:tplc="624C92FA">
      <w:numFmt w:val="decimal"/>
      <w:lvlText w:val=""/>
      <w:lvlJc w:val="left"/>
    </w:lvl>
    <w:lvl w:ilvl="2" w:tplc="1DCC5BB2">
      <w:numFmt w:val="decimal"/>
      <w:lvlText w:val=""/>
      <w:lvlJc w:val="left"/>
    </w:lvl>
    <w:lvl w:ilvl="3" w:tplc="4F68AC92">
      <w:numFmt w:val="decimal"/>
      <w:lvlText w:val=""/>
      <w:lvlJc w:val="left"/>
    </w:lvl>
    <w:lvl w:ilvl="4" w:tplc="F7426426">
      <w:numFmt w:val="decimal"/>
      <w:lvlText w:val=""/>
      <w:lvlJc w:val="left"/>
    </w:lvl>
    <w:lvl w:ilvl="5" w:tplc="89BA078C">
      <w:numFmt w:val="decimal"/>
      <w:lvlText w:val=""/>
      <w:lvlJc w:val="left"/>
    </w:lvl>
    <w:lvl w:ilvl="6" w:tplc="05EA3B2E">
      <w:numFmt w:val="decimal"/>
      <w:lvlText w:val=""/>
      <w:lvlJc w:val="left"/>
    </w:lvl>
    <w:lvl w:ilvl="7" w:tplc="A0FED766">
      <w:numFmt w:val="decimal"/>
      <w:lvlText w:val=""/>
      <w:lvlJc w:val="left"/>
    </w:lvl>
    <w:lvl w:ilvl="8" w:tplc="175C8668">
      <w:numFmt w:val="decimal"/>
      <w:lvlText w:val=""/>
      <w:lvlJc w:val="left"/>
    </w:lvl>
  </w:abstractNum>
  <w:abstractNum w:abstractNumId="415" w15:restartNumberingAfterBreak="0">
    <w:nsid w:val="2FAF0978"/>
    <w:multiLevelType w:val="hybridMultilevel"/>
    <w:tmpl w:val="E4B2FF1A"/>
    <w:lvl w:ilvl="0" w:tplc="0B52CD30">
      <w:start w:val="1"/>
      <w:numFmt w:val="bullet"/>
      <w:lvlText w:val=""/>
      <w:lvlJc w:val="left"/>
      <w:pPr>
        <w:ind w:left="720" w:hanging="180"/>
      </w:pPr>
      <w:rPr>
        <w:rFonts w:ascii="Symbol" w:hAnsi="Symbol" w:hint="default"/>
      </w:rPr>
    </w:lvl>
    <w:lvl w:ilvl="1" w:tplc="534AA280">
      <w:numFmt w:val="decimal"/>
      <w:lvlText w:val=""/>
      <w:lvlJc w:val="left"/>
    </w:lvl>
    <w:lvl w:ilvl="2" w:tplc="A03227FC">
      <w:numFmt w:val="decimal"/>
      <w:lvlText w:val=""/>
      <w:lvlJc w:val="left"/>
    </w:lvl>
    <w:lvl w:ilvl="3" w:tplc="48C8A618">
      <w:numFmt w:val="decimal"/>
      <w:lvlText w:val=""/>
      <w:lvlJc w:val="left"/>
    </w:lvl>
    <w:lvl w:ilvl="4" w:tplc="546C19A2">
      <w:numFmt w:val="decimal"/>
      <w:lvlText w:val=""/>
      <w:lvlJc w:val="left"/>
    </w:lvl>
    <w:lvl w:ilvl="5" w:tplc="DE1A2508">
      <w:numFmt w:val="decimal"/>
      <w:lvlText w:val=""/>
      <w:lvlJc w:val="left"/>
    </w:lvl>
    <w:lvl w:ilvl="6" w:tplc="EB26C5B8">
      <w:numFmt w:val="decimal"/>
      <w:lvlText w:val=""/>
      <w:lvlJc w:val="left"/>
    </w:lvl>
    <w:lvl w:ilvl="7" w:tplc="DA8A9BA4">
      <w:numFmt w:val="decimal"/>
      <w:lvlText w:val=""/>
      <w:lvlJc w:val="left"/>
    </w:lvl>
    <w:lvl w:ilvl="8" w:tplc="76F4CCC2">
      <w:numFmt w:val="decimal"/>
      <w:lvlText w:val=""/>
      <w:lvlJc w:val="left"/>
    </w:lvl>
  </w:abstractNum>
  <w:abstractNum w:abstractNumId="416" w15:restartNumberingAfterBreak="0">
    <w:nsid w:val="2FBA3E64"/>
    <w:multiLevelType w:val="hybridMultilevel"/>
    <w:tmpl w:val="97B09EBE"/>
    <w:lvl w:ilvl="0" w:tplc="6B143952">
      <w:numFmt w:val="decimal"/>
      <w:lvlText w:val=""/>
      <w:lvlJc w:val="left"/>
    </w:lvl>
    <w:lvl w:ilvl="1" w:tplc="5220FB76">
      <w:start w:val="1"/>
      <w:numFmt w:val="bullet"/>
      <w:lvlText w:val=""/>
      <w:lvlJc w:val="left"/>
      <w:pPr>
        <w:ind w:left="1440" w:hanging="180"/>
      </w:pPr>
      <w:rPr>
        <w:rFonts w:ascii="Symbol" w:hAnsi="Symbol" w:hint="default"/>
      </w:rPr>
    </w:lvl>
    <w:lvl w:ilvl="2" w:tplc="8FD20A84">
      <w:numFmt w:val="decimal"/>
      <w:lvlText w:val=""/>
      <w:lvlJc w:val="left"/>
    </w:lvl>
    <w:lvl w:ilvl="3" w:tplc="C9D2344A">
      <w:numFmt w:val="decimal"/>
      <w:lvlText w:val=""/>
      <w:lvlJc w:val="left"/>
    </w:lvl>
    <w:lvl w:ilvl="4" w:tplc="8A86C524">
      <w:numFmt w:val="decimal"/>
      <w:lvlText w:val=""/>
      <w:lvlJc w:val="left"/>
    </w:lvl>
    <w:lvl w:ilvl="5" w:tplc="951CC272">
      <w:numFmt w:val="decimal"/>
      <w:lvlText w:val=""/>
      <w:lvlJc w:val="left"/>
    </w:lvl>
    <w:lvl w:ilvl="6" w:tplc="40EAE73E">
      <w:numFmt w:val="decimal"/>
      <w:lvlText w:val=""/>
      <w:lvlJc w:val="left"/>
    </w:lvl>
    <w:lvl w:ilvl="7" w:tplc="C9ECEEB0">
      <w:numFmt w:val="decimal"/>
      <w:lvlText w:val=""/>
      <w:lvlJc w:val="left"/>
    </w:lvl>
    <w:lvl w:ilvl="8" w:tplc="82744446">
      <w:numFmt w:val="decimal"/>
      <w:lvlText w:val=""/>
      <w:lvlJc w:val="left"/>
    </w:lvl>
  </w:abstractNum>
  <w:abstractNum w:abstractNumId="417" w15:restartNumberingAfterBreak="0">
    <w:nsid w:val="2FCA08C5"/>
    <w:multiLevelType w:val="hybridMultilevel"/>
    <w:tmpl w:val="37B6A614"/>
    <w:lvl w:ilvl="0" w:tplc="C8ECB112">
      <w:start w:val="1"/>
      <w:numFmt w:val="bullet"/>
      <w:lvlText w:val=""/>
      <w:lvlJc w:val="left"/>
      <w:pPr>
        <w:ind w:left="720" w:hanging="180"/>
      </w:pPr>
      <w:rPr>
        <w:rFonts w:ascii="Symbol" w:hAnsi="Symbol" w:hint="default"/>
      </w:rPr>
    </w:lvl>
    <w:lvl w:ilvl="1" w:tplc="87486A6C">
      <w:numFmt w:val="decimal"/>
      <w:lvlText w:val=""/>
      <w:lvlJc w:val="left"/>
    </w:lvl>
    <w:lvl w:ilvl="2" w:tplc="43160ECA">
      <w:numFmt w:val="decimal"/>
      <w:lvlText w:val=""/>
      <w:lvlJc w:val="left"/>
    </w:lvl>
    <w:lvl w:ilvl="3" w:tplc="B34E53F2">
      <w:numFmt w:val="decimal"/>
      <w:lvlText w:val=""/>
      <w:lvlJc w:val="left"/>
    </w:lvl>
    <w:lvl w:ilvl="4" w:tplc="BBB8161E">
      <w:numFmt w:val="decimal"/>
      <w:lvlText w:val=""/>
      <w:lvlJc w:val="left"/>
    </w:lvl>
    <w:lvl w:ilvl="5" w:tplc="E63293DC">
      <w:numFmt w:val="decimal"/>
      <w:lvlText w:val=""/>
      <w:lvlJc w:val="left"/>
    </w:lvl>
    <w:lvl w:ilvl="6" w:tplc="CB1A5568">
      <w:numFmt w:val="decimal"/>
      <w:lvlText w:val=""/>
      <w:lvlJc w:val="left"/>
    </w:lvl>
    <w:lvl w:ilvl="7" w:tplc="D3F62286">
      <w:numFmt w:val="decimal"/>
      <w:lvlText w:val=""/>
      <w:lvlJc w:val="left"/>
    </w:lvl>
    <w:lvl w:ilvl="8" w:tplc="D24E9E4C">
      <w:numFmt w:val="decimal"/>
      <w:lvlText w:val=""/>
      <w:lvlJc w:val="left"/>
    </w:lvl>
  </w:abstractNum>
  <w:abstractNum w:abstractNumId="418" w15:restartNumberingAfterBreak="0">
    <w:nsid w:val="2FE658A4"/>
    <w:multiLevelType w:val="hybridMultilevel"/>
    <w:tmpl w:val="A69652F2"/>
    <w:lvl w:ilvl="0" w:tplc="65607D10">
      <w:start w:val="1"/>
      <w:numFmt w:val="bullet"/>
      <w:lvlText w:val=""/>
      <w:lvlJc w:val="left"/>
      <w:pPr>
        <w:ind w:left="720" w:hanging="180"/>
      </w:pPr>
      <w:rPr>
        <w:rFonts w:ascii="Symbol" w:hAnsi="Symbol" w:hint="default"/>
      </w:rPr>
    </w:lvl>
    <w:lvl w:ilvl="1" w:tplc="4ED6DA90">
      <w:numFmt w:val="decimal"/>
      <w:lvlText w:val=""/>
      <w:lvlJc w:val="left"/>
    </w:lvl>
    <w:lvl w:ilvl="2" w:tplc="530A3164">
      <w:numFmt w:val="decimal"/>
      <w:lvlText w:val=""/>
      <w:lvlJc w:val="left"/>
    </w:lvl>
    <w:lvl w:ilvl="3" w:tplc="4260CA54">
      <w:numFmt w:val="decimal"/>
      <w:lvlText w:val=""/>
      <w:lvlJc w:val="left"/>
    </w:lvl>
    <w:lvl w:ilvl="4" w:tplc="9CFE2850">
      <w:numFmt w:val="decimal"/>
      <w:lvlText w:val=""/>
      <w:lvlJc w:val="left"/>
    </w:lvl>
    <w:lvl w:ilvl="5" w:tplc="DAD010A6">
      <w:numFmt w:val="decimal"/>
      <w:lvlText w:val=""/>
      <w:lvlJc w:val="left"/>
    </w:lvl>
    <w:lvl w:ilvl="6" w:tplc="069251EA">
      <w:numFmt w:val="decimal"/>
      <w:lvlText w:val=""/>
      <w:lvlJc w:val="left"/>
    </w:lvl>
    <w:lvl w:ilvl="7" w:tplc="E62E1114">
      <w:numFmt w:val="decimal"/>
      <w:lvlText w:val=""/>
      <w:lvlJc w:val="left"/>
    </w:lvl>
    <w:lvl w:ilvl="8" w:tplc="8522E824">
      <w:numFmt w:val="decimal"/>
      <w:lvlText w:val=""/>
      <w:lvlJc w:val="left"/>
    </w:lvl>
  </w:abstractNum>
  <w:abstractNum w:abstractNumId="419" w15:restartNumberingAfterBreak="0">
    <w:nsid w:val="301A1AB4"/>
    <w:multiLevelType w:val="hybridMultilevel"/>
    <w:tmpl w:val="2E8AC85C"/>
    <w:lvl w:ilvl="0" w:tplc="0674CC12">
      <w:start w:val="1"/>
      <w:numFmt w:val="bullet"/>
      <w:lvlText w:val=""/>
      <w:lvlJc w:val="left"/>
      <w:pPr>
        <w:ind w:left="720" w:hanging="180"/>
      </w:pPr>
      <w:rPr>
        <w:rFonts w:ascii="Symbol" w:hAnsi="Symbol" w:hint="default"/>
      </w:rPr>
    </w:lvl>
    <w:lvl w:ilvl="1" w:tplc="4AA64A86">
      <w:numFmt w:val="decimal"/>
      <w:lvlText w:val=""/>
      <w:lvlJc w:val="left"/>
    </w:lvl>
    <w:lvl w:ilvl="2" w:tplc="7688C386">
      <w:numFmt w:val="decimal"/>
      <w:lvlText w:val=""/>
      <w:lvlJc w:val="left"/>
    </w:lvl>
    <w:lvl w:ilvl="3" w:tplc="752C849A">
      <w:numFmt w:val="decimal"/>
      <w:lvlText w:val=""/>
      <w:lvlJc w:val="left"/>
    </w:lvl>
    <w:lvl w:ilvl="4" w:tplc="B1E082E4">
      <w:numFmt w:val="decimal"/>
      <w:lvlText w:val=""/>
      <w:lvlJc w:val="left"/>
    </w:lvl>
    <w:lvl w:ilvl="5" w:tplc="CC987980">
      <w:numFmt w:val="decimal"/>
      <w:lvlText w:val=""/>
      <w:lvlJc w:val="left"/>
    </w:lvl>
    <w:lvl w:ilvl="6" w:tplc="B382FA74">
      <w:numFmt w:val="decimal"/>
      <w:lvlText w:val=""/>
      <w:lvlJc w:val="left"/>
    </w:lvl>
    <w:lvl w:ilvl="7" w:tplc="B6AA0CB6">
      <w:numFmt w:val="decimal"/>
      <w:lvlText w:val=""/>
      <w:lvlJc w:val="left"/>
    </w:lvl>
    <w:lvl w:ilvl="8" w:tplc="1C52F4A6">
      <w:numFmt w:val="decimal"/>
      <w:lvlText w:val=""/>
      <w:lvlJc w:val="left"/>
    </w:lvl>
  </w:abstractNum>
  <w:abstractNum w:abstractNumId="420" w15:restartNumberingAfterBreak="0">
    <w:nsid w:val="301F4C96"/>
    <w:multiLevelType w:val="hybridMultilevel"/>
    <w:tmpl w:val="BD841FD6"/>
    <w:lvl w:ilvl="0" w:tplc="CDF61010">
      <w:numFmt w:val="decimal"/>
      <w:lvlText w:val=""/>
      <w:lvlJc w:val="left"/>
    </w:lvl>
    <w:lvl w:ilvl="1" w:tplc="A596E6A8">
      <w:start w:val="1"/>
      <w:numFmt w:val="bullet"/>
      <w:lvlText w:val=""/>
      <w:lvlJc w:val="left"/>
      <w:pPr>
        <w:ind w:left="1440" w:hanging="180"/>
      </w:pPr>
      <w:rPr>
        <w:rFonts w:ascii="Symbol" w:hAnsi="Symbol" w:hint="default"/>
      </w:rPr>
    </w:lvl>
    <w:lvl w:ilvl="2" w:tplc="6EB224B0">
      <w:numFmt w:val="decimal"/>
      <w:lvlText w:val=""/>
      <w:lvlJc w:val="left"/>
    </w:lvl>
    <w:lvl w:ilvl="3" w:tplc="C3A40584">
      <w:numFmt w:val="decimal"/>
      <w:lvlText w:val=""/>
      <w:lvlJc w:val="left"/>
    </w:lvl>
    <w:lvl w:ilvl="4" w:tplc="EC6A5D38">
      <w:numFmt w:val="decimal"/>
      <w:lvlText w:val=""/>
      <w:lvlJc w:val="left"/>
    </w:lvl>
    <w:lvl w:ilvl="5" w:tplc="B9B2651E">
      <w:numFmt w:val="decimal"/>
      <w:lvlText w:val=""/>
      <w:lvlJc w:val="left"/>
    </w:lvl>
    <w:lvl w:ilvl="6" w:tplc="BD063490">
      <w:numFmt w:val="decimal"/>
      <w:lvlText w:val=""/>
      <w:lvlJc w:val="left"/>
    </w:lvl>
    <w:lvl w:ilvl="7" w:tplc="C1686DDA">
      <w:numFmt w:val="decimal"/>
      <w:lvlText w:val=""/>
      <w:lvlJc w:val="left"/>
    </w:lvl>
    <w:lvl w:ilvl="8" w:tplc="9EE4FE7E">
      <w:numFmt w:val="decimal"/>
      <w:lvlText w:val=""/>
      <w:lvlJc w:val="left"/>
    </w:lvl>
  </w:abstractNum>
  <w:abstractNum w:abstractNumId="421" w15:restartNumberingAfterBreak="0">
    <w:nsid w:val="304B5894"/>
    <w:multiLevelType w:val="hybridMultilevel"/>
    <w:tmpl w:val="D77C4E54"/>
    <w:lvl w:ilvl="0" w:tplc="73AE5E50">
      <w:start w:val="1"/>
      <w:numFmt w:val="bullet"/>
      <w:lvlText w:val=""/>
      <w:lvlJc w:val="left"/>
      <w:pPr>
        <w:ind w:left="720" w:hanging="180"/>
      </w:pPr>
      <w:rPr>
        <w:rFonts w:ascii="Symbol" w:hAnsi="Symbol" w:hint="default"/>
      </w:rPr>
    </w:lvl>
    <w:lvl w:ilvl="1" w:tplc="7A36D220">
      <w:numFmt w:val="decimal"/>
      <w:lvlText w:val=""/>
      <w:lvlJc w:val="left"/>
    </w:lvl>
    <w:lvl w:ilvl="2" w:tplc="D368D7AC">
      <w:numFmt w:val="decimal"/>
      <w:lvlText w:val=""/>
      <w:lvlJc w:val="left"/>
    </w:lvl>
    <w:lvl w:ilvl="3" w:tplc="6324B66E">
      <w:numFmt w:val="decimal"/>
      <w:lvlText w:val=""/>
      <w:lvlJc w:val="left"/>
    </w:lvl>
    <w:lvl w:ilvl="4" w:tplc="3F10B842">
      <w:numFmt w:val="decimal"/>
      <w:lvlText w:val=""/>
      <w:lvlJc w:val="left"/>
    </w:lvl>
    <w:lvl w:ilvl="5" w:tplc="5276DFFC">
      <w:numFmt w:val="decimal"/>
      <w:lvlText w:val=""/>
      <w:lvlJc w:val="left"/>
    </w:lvl>
    <w:lvl w:ilvl="6" w:tplc="72187834">
      <w:numFmt w:val="decimal"/>
      <w:lvlText w:val=""/>
      <w:lvlJc w:val="left"/>
    </w:lvl>
    <w:lvl w:ilvl="7" w:tplc="CCBA7A7A">
      <w:numFmt w:val="decimal"/>
      <w:lvlText w:val=""/>
      <w:lvlJc w:val="left"/>
    </w:lvl>
    <w:lvl w:ilvl="8" w:tplc="FB4E7CD4">
      <w:numFmt w:val="decimal"/>
      <w:lvlText w:val=""/>
      <w:lvlJc w:val="left"/>
    </w:lvl>
  </w:abstractNum>
  <w:abstractNum w:abstractNumId="422" w15:restartNumberingAfterBreak="0">
    <w:nsid w:val="30C823C9"/>
    <w:multiLevelType w:val="hybridMultilevel"/>
    <w:tmpl w:val="080E7B2E"/>
    <w:lvl w:ilvl="0" w:tplc="3948DCFE">
      <w:start w:val="1"/>
      <w:numFmt w:val="bullet"/>
      <w:lvlText w:val=""/>
      <w:lvlJc w:val="left"/>
      <w:pPr>
        <w:ind w:left="720" w:hanging="180"/>
      </w:pPr>
      <w:rPr>
        <w:rFonts w:ascii="Symbol" w:hAnsi="Symbol" w:hint="default"/>
      </w:rPr>
    </w:lvl>
    <w:lvl w:ilvl="1" w:tplc="AC908F70">
      <w:numFmt w:val="decimal"/>
      <w:lvlText w:val=""/>
      <w:lvlJc w:val="left"/>
    </w:lvl>
    <w:lvl w:ilvl="2" w:tplc="6714F474">
      <w:numFmt w:val="decimal"/>
      <w:lvlText w:val=""/>
      <w:lvlJc w:val="left"/>
    </w:lvl>
    <w:lvl w:ilvl="3" w:tplc="87507A80">
      <w:numFmt w:val="decimal"/>
      <w:lvlText w:val=""/>
      <w:lvlJc w:val="left"/>
    </w:lvl>
    <w:lvl w:ilvl="4" w:tplc="E024602C">
      <w:numFmt w:val="decimal"/>
      <w:lvlText w:val=""/>
      <w:lvlJc w:val="left"/>
    </w:lvl>
    <w:lvl w:ilvl="5" w:tplc="159098F8">
      <w:numFmt w:val="decimal"/>
      <w:lvlText w:val=""/>
      <w:lvlJc w:val="left"/>
    </w:lvl>
    <w:lvl w:ilvl="6" w:tplc="0D942220">
      <w:numFmt w:val="decimal"/>
      <w:lvlText w:val=""/>
      <w:lvlJc w:val="left"/>
    </w:lvl>
    <w:lvl w:ilvl="7" w:tplc="A1E8EF60">
      <w:numFmt w:val="decimal"/>
      <w:lvlText w:val=""/>
      <w:lvlJc w:val="left"/>
    </w:lvl>
    <w:lvl w:ilvl="8" w:tplc="E2B25D0C">
      <w:numFmt w:val="decimal"/>
      <w:lvlText w:val=""/>
      <w:lvlJc w:val="left"/>
    </w:lvl>
  </w:abstractNum>
  <w:abstractNum w:abstractNumId="423" w15:restartNumberingAfterBreak="0">
    <w:nsid w:val="30DE01F1"/>
    <w:multiLevelType w:val="hybridMultilevel"/>
    <w:tmpl w:val="62C207E4"/>
    <w:lvl w:ilvl="0" w:tplc="FCDC343E">
      <w:start w:val="1"/>
      <w:numFmt w:val="bullet"/>
      <w:lvlText w:val=""/>
      <w:lvlJc w:val="left"/>
      <w:pPr>
        <w:ind w:left="720" w:hanging="180"/>
      </w:pPr>
      <w:rPr>
        <w:rFonts w:ascii="Symbol" w:hAnsi="Symbol" w:hint="default"/>
      </w:rPr>
    </w:lvl>
    <w:lvl w:ilvl="1" w:tplc="B1D82706">
      <w:numFmt w:val="decimal"/>
      <w:lvlText w:val=""/>
      <w:lvlJc w:val="left"/>
    </w:lvl>
    <w:lvl w:ilvl="2" w:tplc="5F46648A">
      <w:numFmt w:val="decimal"/>
      <w:lvlText w:val=""/>
      <w:lvlJc w:val="left"/>
    </w:lvl>
    <w:lvl w:ilvl="3" w:tplc="75501254">
      <w:numFmt w:val="decimal"/>
      <w:lvlText w:val=""/>
      <w:lvlJc w:val="left"/>
    </w:lvl>
    <w:lvl w:ilvl="4" w:tplc="632294D4">
      <w:numFmt w:val="decimal"/>
      <w:lvlText w:val=""/>
      <w:lvlJc w:val="left"/>
    </w:lvl>
    <w:lvl w:ilvl="5" w:tplc="0E58A992">
      <w:numFmt w:val="decimal"/>
      <w:lvlText w:val=""/>
      <w:lvlJc w:val="left"/>
    </w:lvl>
    <w:lvl w:ilvl="6" w:tplc="DD9EBA4A">
      <w:numFmt w:val="decimal"/>
      <w:lvlText w:val=""/>
      <w:lvlJc w:val="left"/>
    </w:lvl>
    <w:lvl w:ilvl="7" w:tplc="264ECB06">
      <w:numFmt w:val="decimal"/>
      <w:lvlText w:val=""/>
      <w:lvlJc w:val="left"/>
    </w:lvl>
    <w:lvl w:ilvl="8" w:tplc="27809CB4">
      <w:numFmt w:val="decimal"/>
      <w:lvlText w:val=""/>
      <w:lvlJc w:val="left"/>
    </w:lvl>
  </w:abstractNum>
  <w:abstractNum w:abstractNumId="424" w15:restartNumberingAfterBreak="0">
    <w:nsid w:val="30E3358A"/>
    <w:multiLevelType w:val="hybridMultilevel"/>
    <w:tmpl w:val="6DCEE86C"/>
    <w:lvl w:ilvl="0" w:tplc="31E20DB6">
      <w:start w:val="1"/>
      <w:numFmt w:val="bullet"/>
      <w:lvlText w:val=""/>
      <w:lvlJc w:val="left"/>
      <w:pPr>
        <w:ind w:left="720" w:hanging="180"/>
      </w:pPr>
      <w:rPr>
        <w:rFonts w:ascii="Symbol" w:hAnsi="Symbol" w:hint="default"/>
      </w:rPr>
    </w:lvl>
    <w:lvl w:ilvl="1" w:tplc="6EC27DB8">
      <w:numFmt w:val="decimal"/>
      <w:lvlText w:val=""/>
      <w:lvlJc w:val="left"/>
    </w:lvl>
    <w:lvl w:ilvl="2" w:tplc="9A6CA576">
      <w:numFmt w:val="decimal"/>
      <w:lvlText w:val=""/>
      <w:lvlJc w:val="left"/>
    </w:lvl>
    <w:lvl w:ilvl="3" w:tplc="224C3C06">
      <w:numFmt w:val="decimal"/>
      <w:lvlText w:val=""/>
      <w:lvlJc w:val="left"/>
    </w:lvl>
    <w:lvl w:ilvl="4" w:tplc="1924D2C8">
      <w:numFmt w:val="decimal"/>
      <w:lvlText w:val=""/>
      <w:lvlJc w:val="left"/>
    </w:lvl>
    <w:lvl w:ilvl="5" w:tplc="B8CAB28A">
      <w:numFmt w:val="decimal"/>
      <w:lvlText w:val=""/>
      <w:lvlJc w:val="left"/>
    </w:lvl>
    <w:lvl w:ilvl="6" w:tplc="F52C3796">
      <w:numFmt w:val="decimal"/>
      <w:lvlText w:val=""/>
      <w:lvlJc w:val="left"/>
    </w:lvl>
    <w:lvl w:ilvl="7" w:tplc="CC0682B6">
      <w:numFmt w:val="decimal"/>
      <w:lvlText w:val=""/>
      <w:lvlJc w:val="left"/>
    </w:lvl>
    <w:lvl w:ilvl="8" w:tplc="F6084CDE">
      <w:numFmt w:val="decimal"/>
      <w:lvlText w:val=""/>
      <w:lvlJc w:val="left"/>
    </w:lvl>
  </w:abstractNum>
  <w:abstractNum w:abstractNumId="425" w15:restartNumberingAfterBreak="0">
    <w:nsid w:val="310C4BD1"/>
    <w:multiLevelType w:val="hybridMultilevel"/>
    <w:tmpl w:val="A694E60A"/>
    <w:lvl w:ilvl="0" w:tplc="C21AFB10">
      <w:start w:val="1"/>
      <w:numFmt w:val="bullet"/>
      <w:lvlText w:val=""/>
      <w:lvlJc w:val="left"/>
      <w:pPr>
        <w:ind w:left="720" w:hanging="180"/>
      </w:pPr>
      <w:rPr>
        <w:rFonts w:ascii="Symbol" w:hAnsi="Symbol" w:hint="default"/>
      </w:rPr>
    </w:lvl>
    <w:lvl w:ilvl="1" w:tplc="4FA00CFC">
      <w:numFmt w:val="decimal"/>
      <w:lvlText w:val=""/>
      <w:lvlJc w:val="left"/>
    </w:lvl>
    <w:lvl w:ilvl="2" w:tplc="6DF0F5F6">
      <w:numFmt w:val="decimal"/>
      <w:lvlText w:val=""/>
      <w:lvlJc w:val="left"/>
    </w:lvl>
    <w:lvl w:ilvl="3" w:tplc="64B6F934">
      <w:numFmt w:val="decimal"/>
      <w:lvlText w:val=""/>
      <w:lvlJc w:val="left"/>
    </w:lvl>
    <w:lvl w:ilvl="4" w:tplc="DEEEE124">
      <w:numFmt w:val="decimal"/>
      <w:lvlText w:val=""/>
      <w:lvlJc w:val="left"/>
    </w:lvl>
    <w:lvl w:ilvl="5" w:tplc="AEFEED2E">
      <w:numFmt w:val="decimal"/>
      <w:lvlText w:val=""/>
      <w:lvlJc w:val="left"/>
    </w:lvl>
    <w:lvl w:ilvl="6" w:tplc="98BCCFCC">
      <w:numFmt w:val="decimal"/>
      <w:lvlText w:val=""/>
      <w:lvlJc w:val="left"/>
    </w:lvl>
    <w:lvl w:ilvl="7" w:tplc="783AD548">
      <w:numFmt w:val="decimal"/>
      <w:lvlText w:val=""/>
      <w:lvlJc w:val="left"/>
    </w:lvl>
    <w:lvl w:ilvl="8" w:tplc="CE7879AA">
      <w:numFmt w:val="decimal"/>
      <w:lvlText w:val=""/>
      <w:lvlJc w:val="left"/>
    </w:lvl>
  </w:abstractNum>
  <w:abstractNum w:abstractNumId="426" w15:restartNumberingAfterBreak="0">
    <w:nsid w:val="31122DC4"/>
    <w:multiLevelType w:val="hybridMultilevel"/>
    <w:tmpl w:val="D6FE7FF8"/>
    <w:lvl w:ilvl="0" w:tplc="CA9439D0">
      <w:start w:val="1"/>
      <w:numFmt w:val="bullet"/>
      <w:lvlText w:val=""/>
      <w:lvlJc w:val="left"/>
      <w:pPr>
        <w:ind w:left="720" w:hanging="180"/>
      </w:pPr>
      <w:rPr>
        <w:rFonts w:ascii="Symbol" w:hAnsi="Symbol" w:hint="default"/>
      </w:rPr>
    </w:lvl>
    <w:lvl w:ilvl="1" w:tplc="56C06404">
      <w:numFmt w:val="decimal"/>
      <w:lvlText w:val=""/>
      <w:lvlJc w:val="left"/>
    </w:lvl>
    <w:lvl w:ilvl="2" w:tplc="892E19BC">
      <w:numFmt w:val="decimal"/>
      <w:lvlText w:val=""/>
      <w:lvlJc w:val="left"/>
    </w:lvl>
    <w:lvl w:ilvl="3" w:tplc="8F646BEA">
      <w:numFmt w:val="decimal"/>
      <w:lvlText w:val=""/>
      <w:lvlJc w:val="left"/>
    </w:lvl>
    <w:lvl w:ilvl="4" w:tplc="727C88C4">
      <w:numFmt w:val="decimal"/>
      <w:lvlText w:val=""/>
      <w:lvlJc w:val="left"/>
    </w:lvl>
    <w:lvl w:ilvl="5" w:tplc="2F4AAF6C">
      <w:numFmt w:val="decimal"/>
      <w:lvlText w:val=""/>
      <w:lvlJc w:val="left"/>
    </w:lvl>
    <w:lvl w:ilvl="6" w:tplc="3DFA0F86">
      <w:numFmt w:val="decimal"/>
      <w:lvlText w:val=""/>
      <w:lvlJc w:val="left"/>
    </w:lvl>
    <w:lvl w:ilvl="7" w:tplc="E79264AA">
      <w:numFmt w:val="decimal"/>
      <w:lvlText w:val=""/>
      <w:lvlJc w:val="left"/>
    </w:lvl>
    <w:lvl w:ilvl="8" w:tplc="2DDEE830">
      <w:numFmt w:val="decimal"/>
      <w:lvlText w:val=""/>
      <w:lvlJc w:val="left"/>
    </w:lvl>
  </w:abstractNum>
  <w:abstractNum w:abstractNumId="427" w15:restartNumberingAfterBreak="0">
    <w:nsid w:val="312B7730"/>
    <w:multiLevelType w:val="hybridMultilevel"/>
    <w:tmpl w:val="7E1ED796"/>
    <w:lvl w:ilvl="0" w:tplc="104EF38C">
      <w:start w:val="1"/>
      <w:numFmt w:val="bullet"/>
      <w:lvlText w:val=""/>
      <w:lvlJc w:val="left"/>
      <w:pPr>
        <w:ind w:left="720" w:hanging="180"/>
      </w:pPr>
      <w:rPr>
        <w:rFonts w:ascii="Symbol" w:hAnsi="Symbol" w:hint="default"/>
      </w:rPr>
    </w:lvl>
    <w:lvl w:ilvl="1" w:tplc="D6B0DA04">
      <w:numFmt w:val="decimal"/>
      <w:lvlText w:val=""/>
      <w:lvlJc w:val="left"/>
    </w:lvl>
    <w:lvl w:ilvl="2" w:tplc="7706C0E8">
      <w:numFmt w:val="decimal"/>
      <w:lvlText w:val=""/>
      <w:lvlJc w:val="left"/>
    </w:lvl>
    <w:lvl w:ilvl="3" w:tplc="14404208">
      <w:numFmt w:val="decimal"/>
      <w:lvlText w:val=""/>
      <w:lvlJc w:val="left"/>
    </w:lvl>
    <w:lvl w:ilvl="4" w:tplc="8ACA0088">
      <w:numFmt w:val="decimal"/>
      <w:lvlText w:val=""/>
      <w:lvlJc w:val="left"/>
    </w:lvl>
    <w:lvl w:ilvl="5" w:tplc="BD367128">
      <w:numFmt w:val="decimal"/>
      <w:lvlText w:val=""/>
      <w:lvlJc w:val="left"/>
    </w:lvl>
    <w:lvl w:ilvl="6" w:tplc="81506B4A">
      <w:numFmt w:val="decimal"/>
      <w:lvlText w:val=""/>
      <w:lvlJc w:val="left"/>
    </w:lvl>
    <w:lvl w:ilvl="7" w:tplc="938E2008">
      <w:numFmt w:val="decimal"/>
      <w:lvlText w:val=""/>
      <w:lvlJc w:val="left"/>
    </w:lvl>
    <w:lvl w:ilvl="8" w:tplc="4CBE7F30">
      <w:numFmt w:val="decimal"/>
      <w:lvlText w:val=""/>
      <w:lvlJc w:val="left"/>
    </w:lvl>
  </w:abstractNum>
  <w:abstractNum w:abstractNumId="428" w15:restartNumberingAfterBreak="0">
    <w:nsid w:val="316064DB"/>
    <w:multiLevelType w:val="hybridMultilevel"/>
    <w:tmpl w:val="E7043A5A"/>
    <w:lvl w:ilvl="0" w:tplc="1C8EFAD0">
      <w:start w:val="1"/>
      <w:numFmt w:val="bullet"/>
      <w:lvlText w:val=""/>
      <w:lvlJc w:val="left"/>
      <w:pPr>
        <w:ind w:left="720" w:hanging="180"/>
      </w:pPr>
      <w:rPr>
        <w:rFonts w:ascii="Symbol" w:hAnsi="Symbol" w:hint="default"/>
      </w:rPr>
    </w:lvl>
    <w:lvl w:ilvl="1" w:tplc="A18E368E">
      <w:numFmt w:val="decimal"/>
      <w:lvlText w:val=""/>
      <w:lvlJc w:val="left"/>
    </w:lvl>
    <w:lvl w:ilvl="2" w:tplc="61FA21E4">
      <w:numFmt w:val="decimal"/>
      <w:lvlText w:val=""/>
      <w:lvlJc w:val="left"/>
    </w:lvl>
    <w:lvl w:ilvl="3" w:tplc="6D304C6C">
      <w:numFmt w:val="decimal"/>
      <w:lvlText w:val=""/>
      <w:lvlJc w:val="left"/>
    </w:lvl>
    <w:lvl w:ilvl="4" w:tplc="20F00B62">
      <w:numFmt w:val="decimal"/>
      <w:lvlText w:val=""/>
      <w:lvlJc w:val="left"/>
    </w:lvl>
    <w:lvl w:ilvl="5" w:tplc="19A2B558">
      <w:numFmt w:val="decimal"/>
      <w:lvlText w:val=""/>
      <w:lvlJc w:val="left"/>
    </w:lvl>
    <w:lvl w:ilvl="6" w:tplc="796A5A74">
      <w:numFmt w:val="decimal"/>
      <w:lvlText w:val=""/>
      <w:lvlJc w:val="left"/>
    </w:lvl>
    <w:lvl w:ilvl="7" w:tplc="7206B29E">
      <w:numFmt w:val="decimal"/>
      <w:lvlText w:val=""/>
      <w:lvlJc w:val="left"/>
    </w:lvl>
    <w:lvl w:ilvl="8" w:tplc="EB4410FE">
      <w:numFmt w:val="decimal"/>
      <w:lvlText w:val=""/>
      <w:lvlJc w:val="left"/>
    </w:lvl>
  </w:abstractNum>
  <w:abstractNum w:abstractNumId="429" w15:restartNumberingAfterBreak="0">
    <w:nsid w:val="31930B68"/>
    <w:multiLevelType w:val="hybridMultilevel"/>
    <w:tmpl w:val="7A8CEF2A"/>
    <w:lvl w:ilvl="0" w:tplc="DCD2DE1E">
      <w:start w:val="1"/>
      <w:numFmt w:val="bullet"/>
      <w:lvlText w:val=""/>
      <w:lvlJc w:val="left"/>
      <w:pPr>
        <w:ind w:left="720" w:hanging="180"/>
      </w:pPr>
      <w:rPr>
        <w:rFonts w:ascii="Symbol" w:hAnsi="Symbol" w:hint="default"/>
      </w:rPr>
    </w:lvl>
    <w:lvl w:ilvl="1" w:tplc="D7FEB970">
      <w:numFmt w:val="decimal"/>
      <w:lvlText w:val=""/>
      <w:lvlJc w:val="left"/>
    </w:lvl>
    <w:lvl w:ilvl="2" w:tplc="7B5E2808">
      <w:numFmt w:val="decimal"/>
      <w:lvlText w:val=""/>
      <w:lvlJc w:val="left"/>
    </w:lvl>
    <w:lvl w:ilvl="3" w:tplc="1A28C5DA">
      <w:numFmt w:val="decimal"/>
      <w:lvlText w:val=""/>
      <w:lvlJc w:val="left"/>
    </w:lvl>
    <w:lvl w:ilvl="4" w:tplc="D956422A">
      <w:numFmt w:val="decimal"/>
      <w:lvlText w:val=""/>
      <w:lvlJc w:val="left"/>
    </w:lvl>
    <w:lvl w:ilvl="5" w:tplc="A7782CAA">
      <w:numFmt w:val="decimal"/>
      <w:lvlText w:val=""/>
      <w:lvlJc w:val="left"/>
    </w:lvl>
    <w:lvl w:ilvl="6" w:tplc="C646E328">
      <w:numFmt w:val="decimal"/>
      <w:lvlText w:val=""/>
      <w:lvlJc w:val="left"/>
    </w:lvl>
    <w:lvl w:ilvl="7" w:tplc="35708E96">
      <w:numFmt w:val="decimal"/>
      <w:lvlText w:val=""/>
      <w:lvlJc w:val="left"/>
    </w:lvl>
    <w:lvl w:ilvl="8" w:tplc="94029234">
      <w:numFmt w:val="decimal"/>
      <w:lvlText w:val=""/>
      <w:lvlJc w:val="left"/>
    </w:lvl>
  </w:abstractNum>
  <w:abstractNum w:abstractNumId="430" w15:restartNumberingAfterBreak="0">
    <w:nsid w:val="319B3DBC"/>
    <w:multiLevelType w:val="hybridMultilevel"/>
    <w:tmpl w:val="0914A4E2"/>
    <w:lvl w:ilvl="0" w:tplc="E0B41D70">
      <w:start w:val="1"/>
      <w:numFmt w:val="bullet"/>
      <w:lvlText w:val=""/>
      <w:lvlJc w:val="left"/>
      <w:pPr>
        <w:ind w:left="720" w:hanging="180"/>
      </w:pPr>
      <w:rPr>
        <w:rFonts w:ascii="Symbol" w:hAnsi="Symbol" w:hint="default"/>
      </w:rPr>
    </w:lvl>
    <w:lvl w:ilvl="1" w:tplc="AFCCB986">
      <w:numFmt w:val="decimal"/>
      <w:lvlText w:val=""/>
      <w:lvlJc w:val="left"/>
    </w:lvl>
    <w:lvl w:ilvl="2" w:tplc="FFD4F5B6">
      <w:numFmt w:val="decimal"/>
      <w:lvlText w:val=""/>
      <w:lvlJc w:val="left"/>
    </w:lvl>
    <w:lvl w:ilvl="3" w:tplc="E32CD1D6">
      <w:numFmt w:val="decimal"/>
      <w:lvlText w:val=""/>
      <w:lvlJc w:val="left"/>
    </w:lvl>
    <w:lvl w:ilvl="4" w:tplc="B7DE4CC0">
      <w:numFmt w:val="decimal"/>
      <w:lvlText w:val=""/>
      <w:lvlJc w:val="left"/>
    </w:lvl>
    <w:lvl w:ilvl="5" w:tplc="BD4EEC5E">
      <w:numFmt w:val="decimal"/>
      <w:lvlText w:val=""/>
      <w:lvlJc w:val="left"/>
    </w:lvl>
    <w:lvl w:ilvl="6" w:tplc="6FE03C6C">
      <w:numFmt w:val="decimal"/>
      <w:lvlText w:val=""/>
      <w:lvlJc w:val="left"/>
    </w:lvl>
    <w:lvl w:ilvl="7" w:tplc="4454DF6C">
      <w:numFmt w:val="decimal"/>
      <w:lvlText w:val=""/>
      <w:lvlJc w:val="left"/>
    </w:lvl>
    <w:lvl w:ilvl="8" w:tplc="EB8E262A">
      <w:numFmt w:val="decimal"/>
      <w:lvlText w:val=""/>
      <w:lvlJc w:val="left"/>
    </w:lvl>
  </w:abstractNum>
  <w:abstractNum w:abstractNumId="431" w15:restartNumberingAfterBreak="0">
    <w:nsid w:val="31A541EC"/>
    <w:multiLevelType w:val="hybridMultilevel"/>
    <w:tmpl w:val="8B60551C"/>
    <w:lvl w:ilvl="0" w:tplc="9E327392">
      <w:numFmt w:val="decimal"/>
      <w:lvlText w:val=""/>
      <w:lvlJc w:val="left"/>
    </w:lvl>
    <w:lvl w:ilvl="1" w:tplc="072A5632">
      <w:start w:val="1"/>
      <w:numFmt w:val="bullet"/>
      <w:lvlText w:val=""/>
      <w:lvlJc w:val="left"/>
      <w:pPr>
        <w:ind w:left="1440" w:hanging="180"/>
      </w:pPr>
      <w:rPr>
        <w:rFonts w:ascii="Symbol" w:hAnsi="Symbol" w:hint="default"/>
      </w:rPr>
    </w:lvl>
    <w:lvl w:ilvl="2" w:tplc="3F04CFAA">
      <w:numFmt w:val="decimal"/>
      <w:lvlText w:val=""/>
      <w:lvlJc w:val="left"/>
    </w:lvl>
    <w:lvl w:ilvl="3" w:tplc="6B68FFD8">
      <w:numFmt w:val="decimal"/>
      <w:lvlText w:val=""/>
      <w:lvlJc w:val="left"/>
    </w:lvl>
    <w:lvl w:ilvl="4" w:tplc="AB0EC98A">
      <w:numFmt w:val="decimal"/>
      <w:lvlText w:val=""/>
      <w:lvlJc w:val="left"/>
    </w:lvl>
    <w:lvl w:ilvl="5" w:tplc="54468F1C">
      <w:numFmt w:val="decimal"/>
      <w:lvlText w:val=""/>
      <w:lvlJc w:val="left"/>
    </w:lvl>
    <w:lvl w:ilvl="6" w:tplc="C71E7552">
      <w:numFmt w:val="decimal"/>
      <w:lvlText w:val=""/>
      <w:lvlJc w:val="left"/>
    </w:lvl>
    <w:lvl w:ilvl="7" w:tplc="374E10C8">
      <w:numFmt w:val="decimal"/>
      <w:lvlText w:val=""/>
      <w:lvlJc w:val="left"/>
    </w:lvl>
    <w:lvl w:ilvl="8" w:tplc="079E789E">
      <w:numFmt w:val="decimal"/>
      <w:lvlText w:val=""/>
      <w:lvlJc w:val="left"/>
    </w:lvl>
  </w:abstractNum>
  <w:abstractNum w:abstractNumId="432" w15:restartNumberingAfterBreak="0">
    <w:nsid w:val="31AC56CB"/>
    <w:multiLevelType w:val="hybridMultilevel"/>
    <w:tmpl w:val="BFF00F74"/>
    <w:lvl w:ilvl="0" w:tplc="1CCC0C8A">
      <w:start w:val="1"/>
      <w:numFmt w:val="bullet"/>
      <w:lvlText w:val=""/>
      <w:lvlJc w:val="left"/>
      <w:pPr>
        <w:ind w:left="720" w:hanging="180"/>
      </w:pPr>
      <w:rPr>
        <w:rFonts w:ascii="Symbol" w:hAnsi="Symbol" w:hint="default"/>
      </w:rPr>
    </w:lvl>
    <w:lvl w:ilvl="1" w:tplc="8D42A03A">
      <w:numFmt w:val="decimal"/>
      <w:lvlText w:val=""/>
      <w:lvlJc w:val="left"/>
    </w:lvl>
    <w:lvl w:ilvl="2" w:tplc="6A188EDC">
      <w:numFmt w:val="decimal"/>
      <w:lvlText w:val=""/>
      <w:lvlJc w:val="left"/>
    </w:lvl>
    <w:lvl w:ilvl="3" w:tplc="308A744A">
      <w:numFmt w:val="decimal"/>
      <w:lvlText w:val=""/>
      <w:lvlJc w:val="left"/>
    </w:lvl>
    <w:lvl w:ilvl="4" w:tplc="D5FE2A50">
      <w:numFmt w:val="decimal"/>
      <w:lvlText w:val=""/>
      <w:lvlJc w:val="left"/>
    </w:lvl>
    <w:lvl w:ilvl="5" w:tplc="9D5A0104">
      <w:numFmt w:val="decimal"/>
      <w:lvlText w:val=""/>
      <w:lvlJc w:val="left"/>
    </w:lvl>
    <w:lvl w:ilvl="6" w:tplc="55A89070">
      <w:numFmt w:val="decimal"/>
      <w:lvlText w:val=""/>
      <w:lvlJc w:val="left"/>
    </w:lvl>
    <w:lvl w:ilvl="7" w:tplc="A9B05676">
      <w:numFmt w:val="decimal"/>
      <w:lvlText w:val=""/>
      <w:lvlJc w:val="left"/>
    </w:lvl>
    <w:lvl w:ilvl="8" w:tplc="42AE8A72">
      <w:numFmt w:val="decimal"/>
      <w:lvlText w:val=""/>
      <w:lvlJc w:val="left"/>
    </w:lvl>
  </w:abstractNum>
  <w:abstractNum w:abstractNumId="433" w15:restartNumberingAfterBreak="0">
    <w:nsid w:val="31AE2103"/>
    <w:multiLevelType w:val="hybridMultilevel"/>
    <w:tmpl w:val="5B4E3BBC"/>
    <w:lvl w:ilvl="0" w:tplc="1398F6F2">
      <w:start w:val="1"/>
      <w:numFmt w:val="bullet"/>
      <w:lvlText w:val=""/>
      <w:lvlJc w:val="left"/>
      <w:pPr>
        <w:ind w:left="720" w:hanging="180"/>
      </w:pPr>
      <w:rPr>
        <w:rFonts w:ascii="Symbol" w:hAnsi="Symbol" w:hint="default"/>
      </w:rPr>
    </w:lvl>
    <w:lvl w:ilvl="1" w:tplc="51A6A822">
      <w:numFmt w:val="decimal"/>
      <w:lvlText w:val=""/>
      <w:lvlJc w:val="left"/>
    </w:lvl>
    <w:lvl w:ilvl="2" w:tplc="B78E6DA2">
      <w:numFmt w:val="decimal"/>
      <w:lvlText w:val=""/>
      <w:lvlJc w:val="left"/>
    </w:lvl>
    <w:lvl w:ilvl="3" w:tplc="72E07294">
      <w:numFmt w:val="decimal"/>
      <w:lvlText w:val=""/>
      <w:lvlJc w:val="left"/>
    </w:lvl>
    <w:lvl w:ilvl="4" w:tplc="F6E8C932">
      <w:numFmt w:val="decimal"/>
      <w:lvlText w:val=""/>
      <w:lvlJc w:val="left"/>
    </w:lvl>
    <w:lvl w:ilvl="5" w:tplc="2FEA9924">
      <w:numFmt w:val="decimal"/>
      <w:lvlText w:val=""/>
      <w:lvlJc w:val="left"/>
    </w:lvl>
    <w:lvl w:ilvl="6" w:tplc="90605B8E">
      <w:numFmt w:val="decimal"/>
      <w:lvlText w:val=""/>
      <w:lvlJc w:val="left"/>
    </w:lvl>
    <w:lvl w:ilvl="7" w:tplc="F4A06A00">
      <w:numFmt w:val="decimal"/>
      <w:lvlText w:val=""/>
      <w:lvlJc w:val="left"/>
    </w:lvl>
    <w:lvl w:ilvl="8" w:tplc="F9725700">
      <w:numFmt w:val="decimal"/>
      <w:lvlText w:val=""/>
      <w:lvlJc w:val="left"/>
    </w:lvl>
  </w:abstractNum>
  <w:abstractNum w:abstractNumId="434" w15:restartNumberingAfterBreak="0">
    <w:nsid w:val="31F65787"/>
    <w:multiLevelType w:val="hybridMultilevel"/>
    <w:tmpl w:val="626653CC"/>
    <w:lvl w:ilvl="0" w:tplc="0ACC775C">
      <w:start w:val="1"/>
      <w:numFmt w:val="bullet"/>
      <w:lvlText w:val=""/>
      <w:lvlJc w:val="left"/>
      <w:pPr>
        <w:ind w:left="720" w:hanging="180"/>
      </w:pPr>
      <w:rPr>
        <w:rFonts w:ascii="Symbol" w:hAnsi="Symbol" w:hint="default"/>
      </w:rPr>
    </w:lvl>
    <w:lvl w:ilvl="1" w:tplc="8398FD54">
      <w:numFmt w:val="decimal"/>
      <w:lvlText w:val=""/>
      <w:lvlJc w:val="left"/>
    </w:lvl>
    <w:lvl w:ilvl="2" w:tplc="46B649CA">
      <w:numFmt w:val="decimal"/>
      <w:lvlText w:val=""/>
      <w:lvlJc w:val="left"/>
    </w:lvl>
    <w:lvl w:ilvl="3" w:tplc="45CCFBF2">
      <w:numFmt w:val="decimal"/>
      <w:lvlText w:val=""/>
      <w:lvlJc w:val="left"/>
    </w:lvl>
    <w:lvl w:ilvl="4" w:tplc="3CC49BE8">
      <w:numFmt w:val="decimal"/>
      <w:lvlText w:val=""/>
      <w:lvlJc w:val="left"/>
    </w:lvl>
    <w:lvl w:ilvl="5" w:tplc="A14EABDC">
      <w:numFmt w:val="decimal"/>
      <w:lvlText w:val=""/>
      <w:lvlJc w:val="left"/>
    </w:lvl>
    <w:lvl w:ilvl="6" w:tplc="AD7AB4BE">
      <w:numFmt w:val="decimal"/>
      <w:lvlText w:val=""/>
      <w:lvlJc w:val="left"/>
    </w:lvl>
    <w:lvl w:ilvl="7" w:tplc="4CB06FB4">
      <w:numFmt w:val="decimal"/>
      <w:lvlText w:val=""/>
      <w:lvlJc w:val="left"/>
    </w:lvl>
    <w:lvl w:ilvl="8" w:tplc="DFDCA2AA">
      <w:numFmt w:val="decimal"/>
      <w:lvlText w:val=""/>
      <w:lvlJc w:val="left"/>
    </w:lvl>
  </w:abstractNum>
  <w:abstractNum w:abstractNumId="435" w15:restartNumberingAfterBreak="0">
    <w:nsid w:val="320117E5"/>
    <w:multiLevelType w:val="hybridMultilevel"/>
    <w:tmpl w:val="A224A60A"/>
    <w:lvl w:ilvl="0" w:tplc="6FDCC86C">
      <w:start w:val="1"/>
      <w:numFmt w:val="bullet"/>
      <w:lvlText w:val=""/>
      <w:lvlJc w:val="left"/>
      <w:pPr>
        <w:ind w:left="720" w:hanging="180"/>
      </w:pPr>
      <w:rPr>
        <w:rFonts w:ascii="Symbol" w:hAnsi="Symbol" w:hint="default"/>
      </w:rPr>
    </w:lvl>
    <w:lvl w:ilvl="1" w:tplc="7EFC10F8">
      <w:numFmt w:val="decimal"/>
      <w:lvlText w:val=""/>
      <w:lvlJc w:val="left"/>
    </w:lvl>
    <w:lvl w:ilvl="2" w:tplc="682A9D3E">
      <w:numFmt w:val="decimal"/>
      <w:lvlText w:val=""/>
      <w:lvlJc w:val="left"/>
    </w:lvl>
    <w:lvl w:ilvl="3" w:tplc="F880EE48">
      <w:numFmt w:val="decimal"/>
      <w:lvlText w:val=""/>
      <w:lvlJc w:val="left"/>
    </w:lvl>
    <w:lvl w:ilvl="4" w:tplc="D49C19F8">
      <w:numFmt w:val="decimal"/>
      <w:lvlText w:val=""/>
      <w:lvlJc w:val="left"/>
    </w:lvl>
    <w:lvl w:ilvl="5" w:tplc="BAB8D726">
      <w:numFmt w:val="decimal"/>
      <w:lvlText w:val=""/>
      <w:lvlJc w:val="left"/>
    </w:lvl>
    <w:lvl w:ilvl="6" w:tplc="6784A0C0">
      <w:numFmt w:val="decimal"/>
      <w:lvlText w:val=""/>
      <w:lvlJc w:val="left"/>
    </w:lvl>
    <w:lvl w:ilvl="7" w:tplc="5E6231B8">
      <w:numFmt w:val="decimal"/>
      <w:lvlText w:val=""/>
      <w:lvlJc w:val="left"/>
    </w:lvl>
    <w:lvl w:ilvl="8" w:tplc="D3D06AB2">
      <w:numFmt w:val="decimal"/>
      <w:lvlText w:val=""/>
      <w:lvlJc w:val="left"/>
    </w:lvl>
  </w:abstractNum>
  <w:abstractNum w:abstractNumId="436" w15:restartNumberingAfterBreak="0">
    <w:nsid w:val="322E5B6F"/>
    <w:multiLevelType w:val="hybridMultilevel"/>
    <w:tmpl w:val="ED60FB0E"/>
    <w:lvl w:ilvl="0" w:tplc="F9E45238">
      <w:start w:val="1"/>
      <w:numFmt w:val="bullet"/>
      <w:lvlText w:val=""/>
      <w:lvlJc w:val="left"/>
      <w:pPr>
        <w:ind w:left="720" w:hanging="180"/>
      </w:pPr>
      <w:rPr>
        <w:rFonts w:ascii="Symbol" w:hAnsi="Symbol" w:hint="default"/>
      </w:rPr>
    </w:lvl>
    <w:lvl w:ilvl="1" w:tplc="96DE61CC">
      <w:numFmt w:val="decimal"/>
      <w:lvlText w:val=""/>
      <w:lvlJc w:val="left"/>
    </w:lvl>
    <w:lvl w:ilvl="2" w:tplc="4C3E7560">
      <w:numFmt w:val="decimal"/>
      <w:lvlText w:val=""/>
      <w:lvlJc w:val="left"/>
    </w:lvl>
    <w:lvl w:ilvl="3" w:tplc="5C7C5882">
      <w:numFmt w:val="decimal"/>
      <w:lvlText w:val=""/>
      <w:lvlJc w:val="left"/>
    </w:lvl>
    <w:lvl w:ilvl="4" w:tplc="067AF0E0">
      <w:numFmt w:val="decimal"/>
      <w:lvlText w:val=""/>
      <w:lvlJc w:val="left"/>
    </w:lvl>
    <w:lvl w:ilvl="5" w:tplc="6CE87D5C">
      <w:numFmt w:val="decimal"/>
      <w:lvlText w:val=""/>
      <w:lvlJc w:val="left"/>
    </w:lvl>
    <w:lvl w:ilvl="6" w:tplc="AF222332">
      <w:numFmt w:val="decimal"/>
      <w:lvlText w:val=""/>
      <w:lvlJc w:val="left"/>
    </w:lvl>
    <w:lvl w:ilvl="7" w:tplc="A1FA93E6">
      <w:numFmt w:val="decimal"/>
      <w:lvlText w:val=""/>
      <w:lvlJc w:val="left"/>
    </w:lvl>
    <w:lvl w:ilvl="8" w:tplc="5E321A18">
      <w:numFmt w:val="decimal"/>
      <w:lvlText w:val=""/>
      <w:lvlJc w:val="left"/>
    </w:lvl>
  </w:abstractNum>
  <w:abstractNum w:abstractNumId="437" w15:restartNumberingAfterBreak="0">
    <w:nsid w:val="32482DC1"/>
    <w:multiLevelType w:val="hybridMultilevel"/>
    <w:tmpl w:val="23ACE134"/>
    <w:lvl w:ilvl="0" w:tplc="07464854">
      <w:start w:val="1"/>
      <w:numFmt w:val="bullet"/>
      <w:lvlText w:val=""/>
      <w:lvlJc w:val="left"/>
      <w:pPr>
        <w:ind w:left="720" w:hanging="180"/>
      </w:pPr>
      <w:rPr>
        <w:rFonts w:ascii="Symbol" w:hAnsi="Symbol" w:hint="default"/>
      </w:rPr>
    </w:lvl>
    <w:lvl w:ilvl="1" w:tplc="15B6414A">
      <w:numFmt w:val="decimal"/>
      <w:lvlText w:val=""/>
      <w:lvlJc w:val="left"/>
    </w:lvl>
    <w:lvl w:ilvl="2" w:tplc="3F284006">
      <w:numFmt w:val="decimal"/>
      <w:lvlText w:val=""/>
      <w:lvlJc w:val="left"/>
    </w:lvl>
    <w:lvl w:ilvl="3" w:tplc="71A09C1C">
      <w:numFmt w:val="decimal"/>
      <w:lvlText w:val=""/>
      <w:lvlJc w:val="left"/>
    </w:lvl>
    <w:lvl w:ilvl="4" w:tplc="6F1E3680">
      <w:numFmt w:val="decimal"/>
      <w:lvlText w:val=""/>
      <w:lvlJc w:val="left"/>
    </w:lvl>
    <w:lvl w:ilvl="5" w:tplc="2E32913C">
      <w:numFmt w:val="decimal"/>
      <w:lvlText w:val=""/>
      <w:lvlJc w:val="left"/>
    </w:lvl>
    <w:lvl w:ilvl="6" w:tplc="4530B924">
      <w:numFmt w:val="decimal"/>
      <w:lvlText w:val=""/>
      <w:lvlJc w:val="left"/>
    </w:lvl>
    <w:lvl w:ilvl="7" w:tplc="17BCD06A">
      <w:numFmt w:val="decimal"/>
      <w:lvlText w:val=""/>
      <w:lvlJc w:val="left"/>
    </w:lvl>
    <w:lvl w:ilvl="8" w:tplc="EF1A4AF2">
      <w:numFmt w:val="decimal"/>
      <w:lvlText w:val=""/>
      <w:lvlJc w:val="left"/>
    </w:lvl>
  </w:abstractNum>
  <w:abstractNum w:abstractNumId="438" w15:restartNumberingAfterBreak="0">
    <w:nsid w:val="324E1C3B"/>
    <w:multiLevelType w:val="hybridMultilevel"/>
    <w:tmpl w:val="963E6C7E"/>
    <w:lvl w:ilvl="0" w:tplc="75D8663C">
      <w:start w:val="1"/>
      <w:numFmt w:val="bullet"/>
      <w:lvlText w:val=""/>
      <w:lvlJc w:val="left"/>
      <w:pPr>
        <w:ind w:left="720" w:hanging="180"/>
      </w:pPr>
      <w:rPr>
        <w:rFonts w:ascii="Symbol" w:hAnsi="Symbol" w:hint="default"/>
      </w:rPr>
    </w:lvl>
    <w:lvl w:ilvl="1" w:tplc="9BB296BA">
      <w:numFmt w:val="decimal"/>
      <w:lvlText w:val=""/>
      <w:lvlJc w:val="left"/>
    </w:lvl>
    <w:lvl w:ilvl="2" w:tplc="06DC7792">
      <w:numFmt w:val="decimal"/>
      <w:lvlText w:val=""/>
      <w:lvlJc w:val="left"/>
    </w:lvl>
    <w:lvl w:ilvl="3" w:tplc="BEEE5458">
      <w:numFmt w:val="decimal"/>
      <w:lvlText w:val=""/>
      <w:lvlJc w:val="left"/>
    </w:lvl>
    <w:lvl w:ilvl="4" w:tplc="2FC4BA3C">
      <w:numFmt w:val="decimal"/>
      <w:lvlText w:val=""/>
      <w:lvlJc w:val="left"/>
    </w:lvl>
    <w:lvl w:ilvl="5" w:tplc="410CB71C">
      <w:numFmt w:val="decimal"/>
      <w:lvlText w:val=""/>
      <w:lvlJc w:val="left"/>
    </w:lvl>
    <w:lvl w:ilvl="6" w:tplc="2D6E4334">
      <w:numFmt w:val="decimal"/>
      <w:lvlText w:val=""/>
      <w:lvlJc w:val="left"/>
    </w:lvl>
    <w:lvl w:ilvl="7" w:tplc="8DDE28A0">
      <w:numFmt w:val="decimal"/>
      <w:lvlText w:val=""/>
      <w:lvlJc w:val="left"/>
    </w:lvl>
    <w:lvl w:ilvl="8" w:tplc="F34AF558">
      <w:numFmt w:val="decimal"/>
      <w:lvlText w:val=""/>
      <w:lvlJc w:val="left"/>
    </w:lvl>
  </w:abstractNum>
  <w:abstractNum w:abstractNumId="439" w15:restartNumberingAfterBreak="0">
    <w:nsid w:val="32522D56"/>
    <w:multiLevelType w:val="hybridMultilevel"/>
    <w:tmpl w:val="E31EA5A4"/>
    <w:lvl w:ilvl="0" w:tplc="006A1C3E">
      <w:start w:val="1"/>
      <w:numFmt w:val="bullet"/>
      <w:lvlText w:val=""/>
      <w:lvlJc w:val="left"/>
      <w:pPr>
        <w:ind w:left="720" w:hanging="180"/>
      </w:pPr>
      <w:rPr>
        <w:rFonts w:ascii="Symbol" w:hAnsi="Symbol" w:hint="default"/>
      </w:rPr>
    </w:lvl>
    <w:lvl w:ilvl="1" w:tplc="D6946B3A">
      <w:numFmt w:val="decimal"/>
      <w:lvlText w:val=""/>
      <w:lvlJc w:val="left"/>
    </w:lvl>
    <w:lvl w:ilvl="2" w:tplc="E6AE591E">
      <w:numFmt w:val="decimal"/>
      <w:lvlText w:val=""/>
      <w:lvlJc w:val="left"/>
    </w:lvl>
    <w:lvl w:ilvl="3" w:tplc="6FBE51B6">
      <w:numFmt w:val="decimal"/>
      <w:lvlText w:val=""/>
      <w:lvlJc w:val="left"/>
    </w:lvl>
    <w:lvl w:ilvl="4" w:tplc="442A5A00">
      <w:numFmt w:val="decimal"/>
      <w:lvlText w:val=""/>
      <w:lvlJc w:val="left"/>
    </w:lvl>
    <w:lvl w:ilvl="5" w:tplc="463CEAF2">
      <w:numFmt w:val="decimal"/>
      <w:lvlText w:val=""/>
      <w:lvlJc w:val="left"/>
    </w:lvl>
    <w:lvl w:ilvl="6" w:tplc="C50CE324">
      <w:numFmt w:val="decimal"/>
      <w:lvlText w:val=""/>
      <w:lvlJc w:val="left"/>
    </w:lvl>
    <w:lvl w:ilvl="7" w:tplc="82ACA272">
      <w:numFmt w:val="decimal"/>
      <w:lvlText w:val=""/>
      <w:lvlJc w:val="left"/>
    </w:lvl>
    <w:lvl w:ilvl="8" w:tplc="6EC4F4AE">
      <w:numFmt w:val="decimal"/>
      <w:lvlText w:val=""/>
      <w:lvlJc w:val="left"/>
    </w:lvl>
  </w:abstractNum>
  <w:abstractNum w:abstractNumId="440" w15:restartNumberingAfterBreak="0">
    <w:nsid w:val="32577947"/>
    <w:multiLevelType w:val="hybridMultilevel"/>
    <w:tmpl w:val="CF522B76"/>
    <w:lvl w:ilvl="0" w:tplc="9CBEA95A">
      <w:start w:val="1"/>
      <w:numFmt w:val="bullet"/>
      <w:lvlText w:val=""/>
      <w:lvlJc w:val="left"/>
      <w:pPr>
        <w:ind w:left="720" w:hanging="180"/>
      </w:pPr>
      <w:rPr>
        <w:rFonts w:ascii="Symbol" w:hAnsi="Symbol" w:hint="default"/>
      </w:rPr>
    </w:lvl>
    <w:lvl w:ilvl="1" w:tplc="924C142E">
      <w:numFmt w:val="decimal"/>
      <w:lvlText w:val=""/>
      <w:lvlJc w:val="left"/>
    </w:lvl>
    <w:lvl w:ilvl="2" w:tplc="6694AC22">
      <w:numFmt w:val="decimal"/>
      <w:lvlText w:val=""/>
      <w:lvlJc w:val="left"/>
    </w:lvl>
    <w:lvl w:ilvl="3" w:tplc="1A104F0A">
      <w:numFmt w:val="decimal"/>
      <w:lvlText w:val=""/>
      <w:lvlJc w:val="left"/>
    </w:lvl>
    <w:lvl w:ilvl="4" w:tplc="85EC4946">
      <w:numFmt w:val="decimal"/>
      <w:lvlText w:val=""/>
      <w:lvlJc w:val="left"/>
    </w:lvl>
    <w:lvl w:ilvl="5" w:tplc="7E5610F6">
      <w:numFmt w:val="decimal"/>
      <w:lvlText w:val=""/>
      <w:lvlJc w:val="left"/>
    </w:lvl>
    <w:lvl w:ilvl="6" w:tplc="FE943FFA">
      <w:numFmt w:val="decimal"/>
      <w:lvlText w:val=""/>
      <w:lvlJc w:val="left"/>
    </w:lvl>
    <w:lvl w:ilvl="7" w:tplc="AF2A6B86">
      <w:numFmt w:val="decimal"/>
      <w:lvlText w:val=""/>
      <w:lvlJc w:val="left"/>
    </w:lvl>
    <w:lvl w:ilvl="8" w:tplc="94EEE96C">
      <w:numFmt w:val="decimal"/>
      <w:lvlText w:val=""/>
      <w:lvlJc w:val="left"/>
    </w:lvl>
  </w:abstractNum>
  <w:abstractNum w:abstractNumId="441" w15:restartNumberingAfterBreak="0">
    <w:nsid w:val="32616E44"/>
    <w:multiLevelType w:val="hybridMultilevel"/>
    <w:tmpl w:val="DC2AC356"/>
    <w:lvl w:ilvl="0" w:tplc="4D20436A">
      <w:start w:val="1"/>
      <w:numFmt w:val="bullet"/>
      <w:lvlText w:val=""/>
      <w:lvlJc w:val="left"/>
      <w:pPr>
        <w:ind w:left="720" w:hanging="180"/>
      </w:pPr>
      <w:rPr>
        <w:rFonts w:ascii="Symbol" w:hAnsi="Symbol" w:hint="default"/>
      </w:rPr>
    </w:lvl>
    <w:lvl w:ilvl="1" w:tplc="9A5C471E">
      <w:numFmt w:val="decimal"/>
      <w:lvlText w:val=""/>
      <w:lvlJc w:val="left"/>
    </w:lvl>
    <w:lvl w:ilvl="2" w:tplc="96524926">
      <w:numFmt w:val="decimal"/>
      <w:lvlText w:val=""/>
      <w:lvlJc w:val="left"/>
    </w:lvl>
    <w:lvl w:ilvl="3" w:tplc="A688531A">
      <w:numFmt w:val="decimal"/>
      <w:lvlText w:val=""/>
      <w:lvlJc w:val="left"/>
    </w:lvl>
    <w:lvl w:ilvl="4" w:tplc="8BE2E5BA">
      <w:numFmt w:val="decimal"/>
      <w:lvlText w:val=""/>
      <w:lvlJc w:val="left"/>
    </w:lvl>
    <w:lvl w:ilvl="5" w:tplc="AD5877D0">
      <w:numFmt w:val="decimal"/>
      <w:lvlText w:val=""/>
      <w:lvlJc w:val="left"/>
    </w:lvl>
    <w:lvl w:ilvl="6" w:tplc="C7548A9E">
      <w:numFmt w:val="decimal"/>
      <w:lvlText w:val=""/>
      <w:lvlJc w:val="left"/>
    </w:lvl>
    <w:lvl w:ilvl="7" w:tplc="3E4C7A8C">
      <w:numFmt w:val="decimal"/>
      <w:lvlText w:val=""/>
      <w:lvlJc w:val="left"/>
    </w:lvl>
    <w:lvl w:ilvl="8" w:tplc="B94E8DF4">
      <w:numFmt w:val="decimal"/>
      <w:lvlText w:val=""/>
      <w:lvlJc w:val="left"/>
    </w:lvl>
  </w:abstractNum>
  <w:abstractNum w:abstractNumId="442" w15:restartNumberingAfterBreak="0">
    <w:nsid w:val="32617941"/>
    <w:multiLevelType w:val="hybridMultilevel"/>
    <w:tmpl w:val="F8986546"/>
    <w:lvl w:ilvl="0" w:tplc="C4F8E92A">
      <w:start w:val="1"/>
      <w:numFmt w:val="bullet"/>
      <w:lvlText w:val=""/>
      <w:lvlJc w:val="left"/>
      <w:pPr>
        <w:ind w:left="720" w:hanging="180"/>
      </w:pPr>
      <w:rPr>
        <w:rFonts w:ascii="Symbol" w:hAnsi="Symbol" w:hint="default"/>
      </w:rPr>
    </w:lvl>
    <w:lvl w:ilvl="1" w:tplc="743ECFA4">
      <w:numFmt w:val="decimal"/>
      <w:lvlText w:val=""/>
      <w:lvlJc w:val="left"/>
    </w:lvl>
    <w:lvl w:ilvl="2" w:tplc="456A6E60">
      <w:numFmt w:val="decimal"/>
      <w:lvlText w:val=""/>
      <w:lvlJc w:val="left"/>
    </w:lvl>
    <w:lvl w:ilvl="3" w:tplc="D5E44C88">
      <w:numFmt w:val="decimal"/>
      <w:lvlText w:val=""/>
      <w:lvlJc w:val="left"/>
    </w:lvl>
    <w:lvl w:ilvl="4" w:tplc="9432DC62">
      <w:numFmt w:val="decimal"/>
      <w:lvlText w:val=""/>
      <w:lvlJc w:val="left"/>
    </w:lvl>
    <w:lvl w:ilvl="5" w:tplc="538C9FD6">
      <w:numFmt w:val="decimal"/>
      <w:lvlText w:val=""/>
      <w:lvlJc w:val="left"/>
    </w:lvl>
    <w:lvl w:ilvl="6" w:tplc="54085178">
      <w:numFmt w:val="decimal"/>
      <w:lvlText w:val=""/>
      <w:lvlJc w:val="left"/>
    </w:lvl>
    <w:lvl w:ilvl="7" w:tplc="B9D4B0E4">
      <w:numFmt w:val="decimal"/>
      <w:lvlText w:val=""/>
      <w:lvlJc w:val="left"/>
    </w:lvl>
    <w:lvl w:ilvl="8" w:tplc="ADB20448">
      <w:numFmt w:val="decimal"/>
      <w:lvlText w:val=""/>
      <w:lvlJc w:val="left"/>
    </w:lvl>
  </w:abstractNum>
  <w:abstractNum w:abstractNumId="443" w15:restartNumberingAfterBreak="0">
    <w:nsid w:val="329A00A2"/>
    <w:multiLevelType w:val="hybridMultilevel"/>
    <w:tmpl w:val="0C3A47B6"/>
    <w:lvl w:ilvl="0" w:tplc="8CF62BBC">
      <w:start w:val="1"/>
      <w:numFmt w:val="bullet"/>
      <w:lvlText w:val=""/>
      <w:lvlJc w:val="left"/>
      <w:pPr>
        <w:ind w:left="720" w:hanging="180"/>
      </w:pPr>
      <w:rPr>
        <w:rFonts w:ascii="Symbol" w:hAnsi="Symbol" w:hint="default"/>
      </w:rPr>
    </w:lvl>
    <w:lvl w:ilvl="1" w:tplc="2BF483AE">
      <w:numFmt w:val="decimal"/>
      <w:lvlText w:val=""/>
      <w:lvlJc w:val="left"/>
    </w:lvl>
    <w:lvl w:ilvl="2" w:tplc="456A4280">
      <w:numFmt w:val="decimal"/>
      <w:lvlText w:val=""/>
      <w:lvlJc w:val="left"/>
    </w:lvl>
    <w:lvl w:ilvl="3" w:tplc="8A8487EA">
      <w:numFmt w:val="decimal"/>
      <w:lvlText w:val=""/>
      <w:lvlJc w:val="left"/>
    </w:lvl>
    <w:lvl w:ilvl="4" w:tplc="91EA5782">
      <w:numFmt w:val="decimal"/>
      <w:lvlText w:val=""/>
      <w:lvlJc w:val="left"/>
    </w:lvl>
    <w:lvl w:ilvl="5" w:tplc="AFE8C98C">
      <w:numFmt w:val="decimal"/>
      <w:lvlText w:val=""/>
      <w:lvlJc w:val="left"/>
    </w:lvl>
    <w:lvl w:ilvl="6" w:tplc="B08EB7B8">
      <w:numFmt w:val="decimal"/>
      <w:lvlText w:val=""/>
      <w:lvlJc w:val="left"/>
    </w:lvl>
    <w:lvl w:ilvl="7" w:tplc="A424625E">
      <w:numFmt w:val="decimal"/>
      <w:lvlText w:val=""/>
      <w:lvlJc w:val="left"/>
    </w:lvl>
    <w:lvl w:ilvl="8" w:tplc="18942FC4">
      <w:numFmt w:val="decimal"/>
      <w:lvlText w:val=""/>
      <w:lvlJc w:val="left"/>
    </w:lvl>
  </w:abstractNum>
  <w:abstractNum w:abstractNumId="444" w15:restartNumberingAfterBreak="0">
    <w:nsid w:val="32BE730D"/>
    <w:multiLevelType w:val="hybridMultilevel"/>
    <w:tmpl w:val="13D4F718"/>
    <w:lvl w:ilvl="0" w:tplc="EF8EC5D0">
      <w:start w:val="1"/>
      <w:numFmt w:val="bullet"/>
      <w:lvlText w:val=""/>
      <w:lvlJc w:val="left"/>
      <w:pPr>
        <w:ind w:left="720" w:hanging="180"/>
      </w:pPr>
      <w:rPr>
        <w:rFonts w:ascii="Symbol" w:hAnsi="Symbol" w:hint="default"/>
      </w:rPr>
    </w:lvl>
    <w:lvl w:ilvl="1" w:tplc="4E28ABDC">
      <w:numFmt w:val="decimal"/>
      <w:lvlText w:val=""/>
      <w:lvlJc w:val="left"/>
    </w:lvl>
    <w:lvl w:ilvl="2" w:tplc="ABB4975C">
      <w:numFmt w:val="decimal"/>
      <w:lvlText w:val=""/>
      <w:lvlJc w:val="left"/>
    </w:lvl>
    <w:lvl w:ilvl="3" w:tplc="1E865ECC">
      <w:numFmt w:val="decimal"/>
      <w:lvlText w:val=""/>
      <w:lvlJc w:val="left"/>
    </w:lvl>
    <w:lvl w:ilvl="4" w:tplc="15AEFC88">
      <w:numFmt w:val="decimal"/>
      <w:lvlText w:val=""/>
      <w:lvlJc w:val="left"/>
    </w:lvl>
    <w:lvl w:ilvl="5" w:tplc="8174B6B4">
      <w:numFmt w:val="decimal"/>
      <w:lvlText w:val=""/>
      <w:lvlJc w:val="left"/>
    </w:lvl>
    <w:lvl w:ilvl="6" w:tplc="C428A834">
      <w:numFmt w:val="decimal"/>
      <w:lvlText w:val=""/>
      <w:lvlJc w:val="left"/>
    </w:lvl>
    <w:lvl w:ilvl="7" w:tplc="3C003ED2">
      <w:numFmt w:val="decimal"/>
      <w:lvlText w:val=""/>
      <w:lvlJc w:val="left"/>
    </w:lvl>
    <w:lvl w:ilvl="8" w:tplc="624EB1DE">
      <w:numFmt w:val="decimal"/>
      <w:lvlText w:val=""/>
      <w:lvlJc w:val="left"/>
    </w:lvl>
  </w:abstractNum>
  <w:abstractNum w:abstractNumId="445" w15:restartNumberingAfterBreak="0">
    <w:nsid w:val="32E95A88"/>
    <w:multiLevelType w:val="hybridMultilevel"/>
    <w:tmpl w:val="CC9C22D2"/>
    <w:lvl w:ilvl="0" w:tplc="1E6EAC8E">
      <w:start w:val="1"/>
      <w:numFmt w:val="bullet"/>
      <w:lvlText w:val=""/>
      <w:lvlJc w:val="left"/>
      <w:pPr>
        <w:ind w:left="720" w:hanging="180"/>
      </w:pPr>
      <w:rPr>
        <w:rFonts w:ascii="Symbol" w:hAnsi="Symbol" w:hint="default"/>
      </w:rPr>
    </w:lvl>
    <w:lvl w:ilvl="1" w:tplc="75E4146A">
      <w:numFmt w:val="decimal"/>
      <w:lvlText w:val=""/>
      <w:lvlJc w:val="left"/>
    </w:lvl>
    <w:lvl w:ilvl="2" w:tplc="9E186560">
      <w:numFmt w:val="decimal"/>
      <w:lvlText w:val=""/>
      <w:lvlJc w:val="left"/>
    </w:lvl>
    <w:lvl w:ilvl="3" w:tplc="A82ADA88">
      <w:numFmt w:val="decimal"/>
      <w:lvlText w:val=""/>
      <w:lvlJc w:val="left"/>
    </w:lvl>
    <w:lvl w:ilvl="4" w:tplc="116A5B02">
      <w:numFmt w:val="decimal"/>
      <w:lvlText w:val=""/>
      <w:lvlJc w:val="left"/>
    </w:lvl>
    <w:lvl w:ilvl="5" w:tplc="BD9EE2EC">
      <w:numFmt w:val="decimal"/>
      <w:lvlText w:val=""/>
      <w:lvlJc w:val="left"/>
    </w:lvl>
    <w:lvl w:ilvl="6" w:tplc="01741D42">
      <w:numFmt w:val="decimal"/>
      <w:lvlText w:val=""/>
      <w:lvlJc w:val="left"/>
    </w:lvl>
    <w:lvl w:ilvl="7" w:tplc="DD5CA8B4">
      <w:numFmt w:val="decimal"/>
      <w:lvlText w:val=""/>
      <w:lvlJc w:val="left"/>
    </w:lvl>
    <w:lvl w:ilvl="8" w:tplc="6CBCFE44">
      <w:numFmt w:val="decimal"/>
      <w:lvlText w:val=""/>
      <w:lvlJc w:val="left"/>
    </w:lvl>
  </w:abstractNum>
  <w:abstractNum w:abstractNumId="446" w15:restartNumberingAfterBreak="0">
    <w:nsid w:val="32FA54E7"/>
    <w:multiLevelType w:val="hybridMultilevel"/>
    <w:tmpl w:val="D3864B80"/>
    <w:lvl w:ilvl="0" w:tplc="EEE0910A">
      <w:start w:val="1"/>
      <w:numFmt w:val="bullet"/>
      <w:lvlText w:val=""/>
      <w:lvlJc w:val="left"/>
      <w:pPr>
        <w:ind w:left="720" w:hanging="180"/>
      </w:pPr>
      <w:rPr>
        <w:rFonts w:ascii="Symbol" w:hAnsi="Symbol" w:hint="default"/>
      </w:rPr>
    </w:lvl>
    <w:lvl w:ilvl="1" w:tplc="A740CAE2">
      <w:numFmt w:val="decimal"/>
      <w:lvlText w:val=""/>
      <w:lvlJc w:val="left"/>
    </w:lvl>
    <w:lvl w:ilvl="2" w:tplc="EB5EF32C">
      <w:numFmt w:val="decimal"/>
      <w:lvlText w:val=""/>
      <w:lvlJc w:val="left"/>
    </w:lvl>
    <w:lvl w:ilvl="3" w:tplc="9ACE6454">
      <w:numFmt w:val="decimal"/>
      <w:lvlText w:val=""/>
      <w:lvlJc w:val="left"/>
    </w:lvl>
    <w:lvl w:ilvl="4" w:tplc="8A347E40">
      <w:numFmt w:val="decimal"/>
      <w:lvlText w:val=""/>
      <w:lvlJc w:val="left"/>
    </w:lvl>
    <w:lvl w:ilvl="5" w:tplc="D5301798">
      <w:numFmt w:val="decimal"/>
      <w:lvlText w:val=""/>
      <w:lvlJc w:val="left"/>
    </w:lvl>
    <w:lvl w:ilvl="6" w:tplc="919EDB78">
      <w:numFmt w:val="decimal"/>
      <w:lvlText w:val=""/>
      <w:lvlJc w:val="left"/>
    </w:lvl>
    <w:lvl w:ilvl="7" w:tplc="15362CE6">
      <w:numFmt w:val="decimal"/>
      <w:lvlText w:val=""/>
      <w:lvlJc w:val="left"/>
    </w:lvl>
    <w:lvl w:ilvl="8" w:tplc="E4DA2ED8">
      <w:numFmt w:val="decimal"/>
      <w:lvlText w:val=""/>
      <w:lvlJc w:val="left"/>
    </w:lvl>
  </w:abstractNum>
  <w:abstractNum w:abstractNumId="447" w15:restartNumberingAfterBreak="0">
    <w:nsid w:val="32FB15A4"/>
    <w:multiLevelType w:val="hybridMultilevel"/>
    <w:tmpl w:val="DF02CF1E"/>
    <w:lvl w:ilvl="0" w:tplc="28A0C94C">
      <w:start w:val="1"/>
      <w:numFmt w:val="bullet"/>
      <w:lvlText w:val=""/>
      <w:lvlJc w:val="left"/>
      <w:pPr>
        <w:ind w:left="720" w:hanging="180"/>
      </w:pPr>
      <w:rPr>
        <w:rFonts w:ascii="Symbol" w:hAnsi="Symbol" w:hint="default"/>
      </w:rPr>
    </w:lvl>
    <w:lvl w:ilvl="1" w:tplc="021AE50E">
      <w:numFmt w:val="decimal"/>
      <w:lvlText w:val=""/>
      <w:lvlJc w:val="left"/>
    </w:lvl>
    <w:lvl w:ilvl="2" w:tplc="EBB4D8C8">
      <w:numFmt w:val="decimal"/>
      <w:lvlText w:val=""/>
      <w:lvlJc w:val="left"/>
    </w:lvl>
    <w:lvl w:ilvl="3" w:tplc="33DE5DC0">
      <w:numFmt w:val="decimal"/>
      <w:lvlText w:val=""/>
      <w:lvlJc w:val="left"/>
    </w:lvl>
    <w:lvl w:ilvl="4" w:tplc="2DA8CA46">
      <w:numFmt w:val="decimal"/>
      <w:lvlText w:val=""/>
      <w:lvlJc w:val="left"/>
    </w:lvl>
    <w:lvl w:ilvl="5" w:tplc="5DD6588E">
      <w:numFmt w:val="decimal"/>
      <w:lvlText w:val=""/>
      <w:lvlJc w:val="left"/>
    </w:lvl>
    <w:lvl w:ilvl="6" w:tplc="9EF4A19E">
      <w:numFmt w:val="decimal"/>
      <w:lvlText w:val=""/>
      <w:lvlJc w:val="left"/>
    </w:lvl>
    <w:lvl w:ilvl="7" w:tplc="92788FFC">
      <w:numFmt w:val="decimal"/>
      <w:lvlText w:val=""/>
      <w:lvlJc w:val="left"/>
    </w:lvl>
    <w:lvl w:ilvl="8" w:tplc="562E9074">
      <w:numFmt w:val="decimal"/>
      <w:lvlText w:val=""/>
      <w:lvlJc w:val="left"/>
    </w:lvl>
  </w:abstractNum>
  <w:abstractNum w:abstractNumId="448" w15:restartNumberingAfterBreak="0">
    <w:nsid w:val="330C193B"/>
    <w:multiLevelType w:val="hybridMultilevel"/>
    <w:tmpl w:val="698C8CC6"/>
    <w:lvl w:ilvl="0" w:tplc="22EAEE9C">
      <w:start w:val="1"/>
      <w:numFmt w:val="bullet"/>
      <w:lvlText w:val=""/>
      <w:lvlJc w:val="left"/>
      <w:pPr>
        <w:ind w:left="720" w:hanging="180"/>
      </w:pPr>
      <w:rPr>
        <w:rFonts w:ascii="Symbol" w:hAnsi="Symbol" w:hint="default"/>
      </w:rPr>
    </w:lvl>
    <w:lvl w:ilvl="1" w:tplc="56F20A28">
      <w:numFmt w:val="decimal"/>
      <w:lvlText w:val=""/>
      <w:lvlJc w:val="left"/>
    </w:lvl>
    <w:lvl w:ilvl="2" w:tplc="13529770">
      <w:numFmt w:val="decimal"/>
      <w:lvlText w:val=""/>
      <w:lvlJc w:val="left"/>
    </w:lvl>
    <w:lvl w:ilvl="3" w:tplc="2F425B82">
      <w:numFmt w:val="decimal"/>
      <w:lvlText w:val=""/>
      <w:lvlJc w:val="left"/>
    </w:lvl>
    <w:lvl w:ilvl="4" w:tplc="113C7072">
      <w:numFmt w:val="decimal"/>
      <w:lvlText w:val=""/>
      <w:lvlJc w:val="left"/>
    </w:lvl>
    <w:lvl w:ilvl="5" w:tplc="2062C348">
      <w:numFmt w:val="decimal"/>
      <w:lvlText w:val=""/>
      <w:lvlJc w:val="left"/>
    </w:lvl>
    <w:lvl w:ilvl="6" w:tplc="545A83CA">
      <w:numFmt w:val="decimal"/>
      <w:lvlText w:val=""/>
      <w:lvlJc w:val="left"/>
    </w:lvl>
    <w:lvl w:ilvl="7" w:tplc="7B7E0588">
      <w:numFmt w:val="decimal"/>
      <w:lvlText w:val=""/>
      <w:lvlJc w:val="left"/>
    </w:lvl>
    <w:lvl w:ilvl="8" w:tplc="B352F5EC">
      <w:numFmt w:val="decimal"/>
      <w:lvlText w:val=""/>
      <w:lvlJc w:val="left"/>
    </w:lvl>
  </w:abstractNum>
  <w:abstractNum w:abstractNumId="449" w15:restartNumberingAfterBreak="0">
    <w:nsid w:val="33366B57"/>
    <w:multiLevelType w:val="hybridMultilevel"/>
    <w:tmpl w:val="7DB640BC"/>
    <w:lvl w:ilvl="0" w:tplc="D9AE95FE">
      <w:start w:val="1"/>
      <w:numFmt w:val="bullet"/>
      <w:lvlText w:val=""/>
      <w:lvlJc w:val="left"/>
      <w:pPr>
        <w:ind w:left="720" w:hanging="180"/>
      </w:pPr>
      <w:rPr>
        <w:rFonts w:ascii="Symbol" w:hAnsi="Symbol" w:hint="default"/>
      </w:rPr>
    </w:lvl>
    <w:lvl w:ilvl="1" w:tplc="ACA0E84A">
      <w:numFmt w:val="decimal"/>
      <w:lvlText w:val=""/>
      <w:lvlJc w:val="left"/>
    </w:lvl>
    <w:lvl w:ilvl="2" w:tplc="1E3E8900">
      <w:numFmt w:val="decimal"/>
      <w:lvlText w:val=""/>
      <w:lvlJc w:val="left"/>
    </w:lvl>
    <w:lvl w:ilvl="3" w:tplc="60FC21E0">
      <w:numFmt w:val="decimal"/>
      <w:lvlText w:val=""/>
      <w:lvlJc w:val="left"/>
    </w:lvl>
    <w:lvl w:ilvl="4" w:tplc="0A248784">
      <w:numFmt w:val="decimal"/>
      <w:lvlText w:val=""/>
      <w:lvlJc w:val="left"/>
    </w:lvl>
    <w:lvl w:ilvl="5" w:tplc="3842CE8E">
      <w:numFmt w:val="decimal"/>
      <w:lvlText w:val=""/>
      <w:lvlJc w:val="left"/>
    </w:lvl>
    <w:lvl w:ilvl="6" w:tplc="AF445590">
      <w:numFmt w:val="decimal"/>
      <w:lvlText w:val=""/>
      <w:lvlJc w:val="left"/>
    </w:lvl>
    <w:lvl w:ilvl="7" w:tplc="0FA6B310">
      <w:numFmt w:val="decimal"/>
      <w:lvlText w:val=""/>
      <w:lvlJc w:val="left"/>
    </w:lvl>
    <w:lvl w:ilvl="8" w:tplc="DED05504">
      <w:numFmt w:val="decimal"/>
      <w:lvlText w:val=""/>
      <w:lvlJc w:val="left"/>
    </w:lvl>
  </w:abstractNum>
  <w:abstractNum w:abstractNumId="450" w15:restartNumberingAfterBreak="0">
    <w:nsid w:val="337E2183"/>
    <w:multiLevelType w:val="hybridMultilevel"/>
    <w:tmpl w:val="BB9009C4"/>
    <w:lvl w:ilvl="0" w:tplc="0BE846E0">
      <w:start w:val="1"/>
      <w:numFmt w:val="bullet"/>
      <w:lvlText w:val=""/>
      <w:lvlJc w:val="left"/>
      <w:pPr>
        <w:ind w:left="720" w:hanging="180"/>
      </w:pPr>
      <w:rPr>
        <w:rFonts w:ascii="Symbol" w:hAnsi="Symbol" w:hint="default"/>
      </w:rPr>
    </w:lvl>
    <w:lvl w:ilvl="1" w:tplc="8422816C">
      <w:numFmt w:val="decimal"/>
      <w:lvlText w:val=""/>
      <w:lvlJc w:val="left"/>
    </w:lvl>
    <w:lvl w:ilvl="2" w:tplc="98AC8318">
      <w:numFmt w:val="decimal"/>
      <w:lvlText w:val=""/>
      <w:lvlJc w:val="left"/>
    </w:lvl>
    <w:lvl w:ilvl="3" w:tplc="A8C06050">
      <w:numFmt w:val="decimal"/>
      <w:lvlText w:val=""/>
      <w:lvlJc w:val="left"/>
    </w:lvl>
    <w:lvl w:ilvl="4" w:tplc="4768C95C">
      <w:numFmt w:val="decimal"/>
      <w:lvlText w:val=""/>
      <w:lvlJc w:val="left"/>
    </w:lvl>
    <w:lvl w:ilvl="5" w:tplc="6428D008">
      <w:numFmt w:val="decimal"/>
      <w:lvlText w:val=""/>
      <w:lvlJc w:val="left"/>
    </w:lvl>
    <w:lvl w:ilvl="6" w:tplc="606A5B9A">
      <w:numFmt w:val="decimal"/>
      <w:lvlText w:val=""/>
      <w:lvlJc w:val="left"/>
    </w:lvl>
    <w:lvl w:ilvl="7" w:tplc="AE58FA9A">
      <w:numFmt w:val="decimal"/>
      <w:lvlText w:val=""/>
      <w:lvlJc w:val="left"/>
    </w:lvl>
    <w:lvl w:ilvl="8" w:tplc="A79EF298">
      <w:numFmt w:val="decimal"/>
      <w:lvlText w:val=""/>
      <w:lvlJc w:val="left"/>
    </w:lvl>
  </w:abstractNum>
  <w:abstractNum w:abstractNumId="451" w15:restartNumberingAfterBreak="0">
    <w:nsid w:val="338818CB"/>
    <w:multiLevelType w:val="hybridMultilevel"/>
    <w:tmpl w:val="B568C42E"/>
    <w:lvl w:ilvl="0" w:tplc="AD6CA8F0">
      <w:start w:val="1"/>
      <w:numFmt w:val="bullet"/>
      <w:lvlText w:val=""/>
      <w:lvlJc w:val="left"/>
      <w:pPr>
        <w:ind w:left="720" w:hanging="180"/>
      </w:pPr>
      <w:rPr>
        <w:rFonts w:ascii="Symbol" w:hAnsi="Symbol" w:hint="default"/>
      </w:rPr>
    </w:lvl>
    <w:lvl w:ilvl="1" w:tplc="AB28A0C0">
      <w:numFmt w:val="decimal"/>
      <w:lvlText w:val=""/>
      <w:lvlJc w:val="left"/>
    </w:lvl>
    <w:lvl w:ilvl="2" w:tplc="4E9C46A0">
      <w:numFmt w:val="decimal"/>
      <w:lvlText w:val=""/>
      <w:lvlJc w:val="left"/>
    </w:lvl>
    <w:lvl w:ilvl="3" w:tplc="BED44A8E">
      <w:numFmt w:val="decimal"/>
      <w:lvlText w:val=""/>
      <w:lvlJc w:val="left"/>
    </w:lvl>
    <w:lvl w:ilvl="4" w:tplc="99C832FE">
      <w:numFmt w:val="decimal"/>
      <w:lvlText w:val=""/>
      <w:lvlJc w:val="left"/>
    </w:lvl>
    <w:lvl w:ilvl="5" w:tplc="A8B6C748">
      <w:numFmt w:val="decimal"/>
      <w:lvlText w:val=""/>
      <w:lvlJc w:val="left"/>
    </w:lvl>
    <w:lvl w:ilvl="6" w:tplc="8AB2640A">
      <w:numFmt w:val="decimal"/>
      <w:lvlText w:val=""/>
      <w:lvlJc w:val="left"/>
    </w:lvl>
    <w:lvl w:ilvl="7" w:tplc="576A0830">
      <w:numFmt w:val="decimal"/>
      <w:lvlText w:val=""/>
      <w:lvlJc w:val="left"/>
    </w:lvl>
    <w:lvl w:ilvl="8" w:tplc="76F4D2D6">
      <w:numFmt w:val="decimal"/>
      <w:lvlText w:val=""/>
      <w:lvlJc w:val="left"/>
    </w:lvl>
  </w:abstractNum>
  <w:abstractNum w:abstractNumId="452" w15:restartNumberingAfterBreak="0">
    <w:nsid w:val="339E7AE0"/>
    <w:multiLevelType w:val="hybridMultilevel"/>
    <w:tmpl w:val="69987114"/>
    <w:lvl w:ilvl="0" w:tplc="95C67466">
      <w:start w:val="1"/>
      <w:numFmt w:val="bullet"/>
      <w:lvlText w:val=""/>
      <w:lvlJc w:val="left"/>
      <w:pPr>
        <w:ind w:left="720" w:hanging="180"/>
      </w:pPr>
      <w:rPr>
        <w:rFonts w:ascii="Symbol" w:hAnsi="Symbol" w:hint="default"/>
      </w:rPr>
    </w:lvl>
    <w:lvl w:ilvl="1" w:tplc="C6901082">
      <w:numFmt w:val="decimal"/>
      <w:lvlText w:val=""/>
      <w:lvlJc w:val="left"/>
    </w:lvl>
    <w:lvl w:ilvl="2" w:tplc="97FC107C">
      <w:numFmt w:val="decimal"/>
      <w:lvlText w:val=""/>
      <w:lvlJc w:val="left"/>
    </w:lvl>
    <w:lvl w:ilvl="3" w:tplc="C1EAB7EC">
      <w:numFmt w:val="decimal"/>
      <w:lvlText w:val=""/>
      <w:lvlJc w:val="left"/>
    </w:lvl>
    <w:lvl w:ilvl="4" w:tplc="924CD7B4">
      <w:numFmt w:val="decimal"/>
      <w:lvlText w:val=""/>
      <w:lvlJc w:val="left"/>
    </w:lvl>
    <w:lvl w:ilvl="5" w:tplc="AA005558">
      <w:numFmt w:val="decimal"/>
      <w:lvlText w:val=""/>
      <w:lvlJc w:val="left"/>
    </w:lvl>
    <w:lvl w:ilvl="6" w:tplc="9B44FFCE">
      <w:numFmt w:val="decimal"/>
      <w:lvlText w:val=""/>
      <w:lvlJc w:val="left"/>
    </w:lvl>
    <w:lvl w:ilvl="7" w:tplc="2CAA00F6">
      <w:numFmt w:val="decimal"/>
      <w:lvlText w:val=""/>
      <w:lvlJc w:val="left"/>
    </w:lvl>
    <w:lvl w:ilvl="8" w:tplc="5E72CA70">
      <w:numFmt w:val="decimal"/>
      <w:lvlText w:val=""/>
      <w:lvlJc w:val="left"/>
    </w:lvl>
  </w:abstractNum>
  <w:abstractNum w:abstractNumId="453" w15:restartNumberingAfterBreak="0">
    <w:nsid w:val="33C30177"/>
    <w:multiLevelType w:val="hybridMultilevel"/>
    <w:tmpl w:val="D634240E"/>
    <w:lvl w:ilvl="0" w:tplc="AD4CE6FA">
      <w:start w:val="1"/>
      <w:numFmt w:val="bullet"/>
      <w:lvlText w:val=""/>
      <w:lvlJc w:val="left"/>
      <w:pPr>
        <w:ind w:left="720" w:hanging="180"/>
      </w:pPr>
      <w:rPr>
        <w:rFonts w:ascii="Symbol" w:hAnsi="Symbol" w:hint="default"/>
      </w:rPr>
    </w:lvl>
    <w:lvl w:ilvl="1" w:tplc="AA9A42C4">
      <w:numFmt w:val="decimal"/>
      <w:lvlText w:val=""/>
      <w:lvlJc w:val="left"/>
    </w:lvl>
    <w:lvl w:ilvl="2" w:tplc="A4B8973C">
      <w:numFmt w:val="decimal"/>
      <w:lvlText w:val=""/>
      <w:lvlJc w:val="left"/>
    </w:lvl>
    <w:lvl w:ilvl="3" w:tplc="7FEE36E4">
      <w:numFmt w:val="decimal"/>
      <w:lvlText w:val=""/>
      <w:lvlJc w:val="left"/>
    </w:lvl>
    <w:lvl w:ilvl="4" w:tplc="2F7C1640">
      <w:numFmt w:val="decimal"/>
      <w:lvlText w:val=""/>
      <w:lvlJc w:val="left"/>
    </w:lvl>
    <w:lvl w:ilvl="5" w:tplc="118A30CE">
      <w:numFmt w:val="decimal"/>
      <w:lvlText w:val=""/>
      <w:lvlJc w:val="left"/>
    </w:lvl>
    <w:lvl w:ilvl="6" w:tplc="CCB61E8E">
      <w:numFmt w:val="decimal"/>
      <w:lvlText w:val=""/>
      <w:lvlJc w:val="left"/>
    </w:lvl>
    <w:lvl w:ilvl="7" w:tplc="B028A372">
      <w:numFmt w:val="decimal"/>
      <w:lvlText w:val=""/>
      <w:lvlJc w:val="left"/>
    </w:lvl>
    <w:lvl w:ilvl="8" w:tplc="FCB67BE6">
      <w:numFmt w:val="decimal"/>
      <w:lvlText w:val=""/>
      <w:lvlJc w:val="left"/>
    </w:lvl>
  </w:abstractNum>
  <w:abstractNum w:abstractNumId="454" w15:restartNumberingAfterBreak="0">
    <w:nsid w:val="33D061E5"/>
    <w:multiLevelType w:val="hybridMultilevel"/>
    <w:tmpl w:val="9170FE8E"/>
    <w:lvl w:ilvl="0" w:tplc="3B08104C">
      <w:start w:val="1"/>
      <w:numFmt w:val="bullet"/>
      <w:lvlText w:val=""/>
      <w:lvlJc w:val="left"/>
      <w:pPr>
        <w:ind w:left="720" w:hanging="180"/>
      </w:pPr>
      <w:rPr>
        <w:rFonts w:ascii="Symbol" w:hAnsi="Symbol" w:hint="default"/>
      </w:rPr>
    </w:lvl>
    <w:lvl w:ilvl="1" w:tplc="9CEEE5E2">
      <w:numFmt w:val="decimal"/>
      <w:lvlText w:val=""/>
      <w:lvlJc w:val="left"/>
    </w:lvl>
    <w:lvl w:ilvl="2" w:tplc="99D60F0E">
      <w:numFmt w:val="decimal"/>
      <w:lvlText w:val=""/>
      <w:lvlJc w:val="left"/>
    </w:lvl>
    <w:lvl w:ilvl="3" w:tplc="F4201A24">
      <w:numFmt w:val="decimal"/>
      <w:lvlText w:val=""/>
      <w:lvlJc w:val="left"/>
    </w:lvl>
    <w:lvl w:ilvl="4" w:tplc="5E44B1D8">
      <w:numFmt w:val="decimal"/>
      <w:lvlText w:val=""/>
      <w:lvlJc w:val="left"/>
    </w:lvl>
    <w:lvl w:ilvl="5" w:tplc="28780282">
      <w:numFmt w:val="decimal"/>
      <w:lvlText w:val=""/>
      <w:lvlJc w:val="left"/>
    </w:lvl>
    <w:lvl w:ilvl="6" w:tplc="96DAAAA8">
      <w:numFmt w:val="decimal"/>
      <w:lvlText w:val=""/>
      <w:lvlJc w:val="left"/>
    </w:lvl>
    <w:lvl w:ilvl="7" w:tplc="7D2C8B92">
      <w:numFmt w:val="decimal"/>
      <w:lvlText w:val=""/>
      <w:lvlJc w:val="left"/>
    </w:lvl>
    <w:lvl w:ilvl="8" w:tplc="D70A562E">
      <w:numFmt w:val="decimal"/>
      <w:lvlText w:val=""/>
      <w:lvlJc w:val="left"/>
    </w:lvl>
  </w:abstractNum>
  <w:abstractNum w:abstractNumId="455" w15:restartNumberingAfterBreak="0">
    <w:nsid w:val="33D243AA"/>
    <w:multiLevelType w:val="hybridMultilevel"/>
    <w:tmpl w:val="26283F5C"/>
    <w:lvl w:ilvl="0" w:tplc="1786B9A4">
      <w:start w:val="1"/>
      <w:numFmt w:val="bullet"/>
      <w:lvlText w:val=""/>
      <w:lvlJc w:val="left"/>
      <w:pPr>
        <w:ind w:left="720" w:hanging="180"/>
      </w:pPr>
      <w:rPr>
        <w:rFonts w:ascii="Symbol" w:hAnsi="Symbol" w:hint="default"/>
      </w:rPr>
    </w:lvl>
    <w:lvl w:ilvl="1" w:tplc="7C66DC0E">
      <w:numFmt w:val="decimal"/>
      <w:lvlText w:val=""/>
      <w:lvlJc w:val="left"/>
    </w:lvl>
    <w:lvl w:ilvl="2" w:tplc="AA8653E0">
      <w:numFmt w:val="decimal"/>
      <w:lvlText w:val=""/>
      <w:lvlJc w:val="left"/>
    </w:lvl>
    <w:lvl w:ilvl="3" w:tplc="39A6E75C">
      <w:numFmt w:val="decimal"/>
      <w:lvlText w:val=""/>
      <w:lvlJc w:val="left"/>
    </w:lvl>
    <w:lvl w:ilvl="4" w:tplc="3D880458">
      <w:numFmt w:val="decimal"/>
      <w:lvlText w:val=""/>
      <w:lvlJc w:val="left"/>
    </w:lvl>
    <w:lvl w:ilvl="5" w:tplc="147EA726">
      <w:numFmt w:val="decimal"/>
      <w:lvlText w:val=""/>
      <w:lvlJc w:val="left"/>
    </w:lvl>
    <w:lvl w:ilvl="6" w:tplc="E392E822">
      <w:numFmt w:val="decimal"/>
      <w:lvlText w:val=""/>
      <w:lvlJc w:val="left"/>
    </w:lvl>
    <w:lvl w:ilvl="7" w:tplc="22A2F16A">
      <w:numFmt w:val="decimal"/>
      <w:lvlText w:val=""/>
      <w:lvlJc w:val="left"/>
    </w:lvl>
    <w:lvl w:ilvl="8" w:tplc="F116596A">
      <w:numFmt w:val="decimal"/>
      <w:lvlText w:val=""/>
      <w:lvlJc w:val="left"/>
    </w:lvl>
  </w:abstractNum>
  <w:abstractNum w:abstractNumId="456" w15:restartNumberingAfterBreak="0">
    <w:nsid w:val="33E33A83"/>
    <w:multiLevelType w:val="hybridMultilevel"/>
    <w:tmpl w:val="F670B21A"/>
    <w:lvl w:ilvl="0" w:tplc="42FC1DAC">
      <w:numFmt w:val="decimal"/>
      <w:lvlText w:val=""/>
      <w:lvlJc w:val="left"/>
    </w:lvl>
    <w:lvl w:ilvl="1" w:tplc="B296D514">
      <w:start w:val="1"/>
      <w:numFmt w:val="bullet"/>
      <w:lvlText w:val=""/>
      <w:lvlJc w:val="left"/>
      <w:pPr>
        <w:ind w:left="1440" w:hanging="180"/>
      </w:pPr>
      <w:rPr>
        <w:rFonts w:ascii="Symbol" w:hAnsi="Symbol" w:hint="default"/>
      </w:rPr>
    </w:lvl>
    <w:lvl w:ilvl="2" w:tplc="FFCC01B0">
      <w:numFmt w:val="decimal"/>
      <w:lvlText w:val=""/>
      <w:lvlJc w:val="left"/>
    </w:lvl>
    <w:lvl w:ilvl="3" w:tplc="39B2AB30">
      <w:numFmt w:val="decimal"/>
      <w:lvlText w:val=""/>
      <w:lvlJc w:val="left"/>
    </w:lvl>
    <w:lvl w:ilvl="4" w:tplc="C1EE7A04">
      <w:numFmt w:val="decimal"/>
      <w:lvlText w:val=""/>
      <w:lvlJc w:val="left"/>
    </w:lvl>
    <w:lvl w:ilvl="5" w:tplc="89D682B8">
      <w:numFmt w:val="decimal"/>
      <w:lvlText w:val=""/>
      <w:lvlJc w:val="left"/>
    </w:lvl>
    <w:lvl w:ilvl="6" w:tplc="46208F1E">
      <w:numFmt w:val="decimal"/>
      <w:lvlText w:val=""/>
      <w:lvlJc w:val="left"/>
    </w:lvl>
    <w:lvl w:ilvl="7" w:tplc="0D7EDCCE">
      <w:numFmt w:val="decimal"/>
      <w:lvlText w:val=""/>
      <w:lvlJc w:val="left"/>
    </w:lvl>
    <w:lvl w:ilvl="8" w:tplc="48FEBCC8">
      <w:numFmt w:val="decimal"/>
      <w:lvlText w:val=""/>
      <w:lvlJc w:val="left"/>
    </w:lvl>
  </w:abstractNum>
  <w:abstractNum w:abstractNumId="457" w15:restartNumberingAfterBreak="0">
    <w:nsid w:val="340E2AF7"/>
    <w:multiLevelType w:val="hybridMultilevel"/>
    <w:tmpl w:val="FAA8BDC2"/>
    <w:lvl w:ilvl="0" w:tplc="586C8ADE">
      <w:start w:val="1"/>
      <w:numFmt w:val="bullet"/>
      <w:lvlText w:val=""/>
      <w:lvlJc w:val="left"/>
      <w:pPr>
        <w:ind w:left="720" w:hanging="180"/>
      </w:pPr>
      <w:rPr>
        <w:rFonts w:ascii="Symbol" w:hAnsi="Symbol" w:hint="default"/>
      </w:rPr>
    </w:lvl>
    <w:lvl w:ilvl="1" w:tplc="C9B8244A">
      <w:numFmt w:val="decimal"/>
      <w:lvlText w:val=""/>
      <w:lvlJc w:val="left"/>
    </w:lvl>
    <w:lvl w:ilvl="2" w:tplc="8E5AA9FE">
      <w:numFmt w:val="decimal"/>
      <w:lvlText w:val=""/>
      <w:lvlJc w:val="left"/>
    </w:lvl>
    <w:lvl w:ilvl="3" w:tplc="FD9288C6">
      <w:numFmt w:val="decimal"/>
      <w:lvlText w:val=""/>
      <w:lvlJc w:val="left"/>
    </w:lvl>
    <w:lvl w:ilvl="4" w:tplc="777C2F0E">
      <w:numFmt w:val="decimal"/>
      <w:lvlText w:val=""/>
      <w:lvlJc w:val="left"/>
    </w:lvl>
    <w:lvl w:ilvl="5" w:tplc="A3883E3C">
      <w:numFmt w:val="decimal"/>
      <w:lvlText w:val=""/>
      <w:lvlJc w:val="left"/>
    </w:lvl>
    <w:lvl w:ilvl="6" w:tplc="E9D075F8">
      <w:numFmt w:val="decimal"/>
      <w:lvlText w:val=""/>
      <w:lvlJc w:val="left"/>
    </w:lvl>
    <w:lvl w:ilvl="7" w:tplc="34062FD6">
      <w:numFmt w:val="decimal"/>
      <w:lvlText w:val=""/>
      <w:lvlJc w:val="left"/>
    </w:lvl>
    <w:lvl w:ilvl="8" w:tplc="8452CDBE">
      <w:numFmt w:val="decimal"/>
      <w:lvlText w:val=""/>
      <w:lvlJc w:val="left"/>
    </w:lvl>
  </w:abstractNum>
  <w:abstractNum w:abstractNumId="458" w15:restartNumberingAfterBreak="0">
    <w:nsid w:val="34137166"/>
    <w:multiLevelType w:val="hybridMultilevel"/>
    <w:tmpl w:val="2C005DC8"/>
    <w:lvl w:ilvl="0" w:tplc="42E6C502">
      <w:numFmt w:val="decimal"/>
      <w:lvlText w:val=""/>
      <w:lvlJc w:val="left"/>
    </w:lvl>
    <w:lvl w:ilvl="1" w:tplc="836AEC12">
      <w:start w:val="1"/>
      <w:numFmt w:val="bullet"/>
      <w:lvlText w:val=""/>
      <w:lvlJc w:val="left"/>
      <w:pPr>
        <w:ind w:left="1440" w:hanging="180"/>
      </w:pPr>
      <w:rPr>
        <w:rFonts w:ascii="Symbol" w:hAnsi="Symbol" w:hint="default"/>
      </w:rPr>
    </w:lvl>
    <w:lvl w:ilvl="2" w:tplc="29DC6A58">
      <w:numFmt w:val="decimal"/>
      <w:lvlText w:val=""/>
      <w:lvlJc w:val="left"/>
    </w:lvl>
    <w:lvl w:ilvl="3" w:tplc="1640FB3E">
      <w:numFmt w:val="decimal"/>
      <w:lvlText w:val=""/>
      <w:lvlJc w:val="left"/>
    </w:lvl>
    <w:lvl w:ilvl="4" w:tplc="1386460E">
      <w:numFmt w:val="decimal"/>
      <w:lvlText w:val=""/>
      <w:lvlJc w:val="left"/>
    </w:lvl>
    <w:lvl w:ilvl="5" w:tplc="F528A0B8">
      <w:numFmt w:val="decimal"/>
      <w:lvlText w:val=""/>
      <w:lvlJc w:val="left"/>
    </w:lvl>
    <w:lvl w:ilvl="6" w:tplc="2632BD22">
      <w:numFmt w:val="decimal"/>
      <w:lvlText w:val=""/>
      <w:lvlJc w:val="left"/>
    </w:lvl>
    <w:lvl w:ilvl="7" w:tplc="7C9278F2">
      <w:numFmt w:val="decimal"/>
      <w:lvlText w:val=""/>
      <w:lvlJc w:val="left"/>
    </w:lvl>
    <w:lvl w:ilvl="8" w:tplc="8120358E">
      <w:numFmt w:val="decimal"/>
      <w:lvlText w:val=""/>
      <w:lvlJc w:val="left"/>
    </w:lvl>
  </w:abstractNum>
  <w:abstractNum w:abstractNumId="459" w15:restartNumberingAfterBreak="0">
    <w:nsid w:val="342A6EA9"/>
    <w:multiLevelType w:val="hybridMultilevel"/>
    <w:tmpl w:val="3D9C1610"/>
    <w:lvl w:ilvl="0" w:tplc="A778119A">
      <w:start w:val="1"/>
      <w:numFmt w:val="bullet"/>
      <w:lvlText w:val=""/>
      <w:lvlJc w:val="left"/>
      <w:pPr>
        <w:ind w:left="720" w:hanging="180"/>
      </w:pPr>
      <w:rPr>
        <w:rFonts w:ascii="Symbol" w:hAnsi="Symbol" w:hint="default"/>
      </w:rPr>
    </w:lvl>
    <w:lvl w:ilvl="1" w:tplc="993E6E18">
      <w:numFmt w:val="decimal"/>
      <w:lvlText w:val=""/>
      <w:lvlJc w:val="left"/>
    </w:lvl>
    <w:lvl w:ilvl="2" w:tplc="29CA93EC">
      <w:numFmt w:val="decimal"/>
      <w:lvlText w:val=""/>
      <w:lvlJc w:val="left"/>
    </w:lvl>
    <w:lvl w:ilvl="3" w:tplc="398872D0">
      <w:numFmt w:val="decimal"/>
      <w:lvlText w:val=""/>
      <w:lvlJc w:val="left"/>
    </w:lvl>
    <w:lvl w:ilvl="4" w:tplc="F312897E">
      <w:numFmt w:val="decimal"/>
      <w:lvlText w:val=""/>
      <w:lvlJc w:val="left"/>
    </w:lvl>
    <w:lvl w:ilvl="5" w:tplc="40509600">
      <w:numFmt w:val="decimal"/>
      <w:lvlText w:val=""/>
      <w:lvlJc w:val="left"/>
    </w:lvl>
    <w:lvl w:ilvl="6" w:tplc="E2F43E64">
      <w:numFmt w:val="decimal"/>
      <w:lvlText w:val=""/>
      <w:lvlJc w:val="left"/>
    </w:lvl>
    <w:lvl w:ilvl="7" w:tplc="EF10E240">
      <w:numFmt w:val="decimal"/>
      <w:lvlText w:val=""/>
      <w:lvlJc w:val="left"/>
    </w:lvl>
    <w:lvl w:ilvl="8" w:tplc="64A0D4E2">
      <w:numFmt w:val="decimal"/>
      <w:lvlText w:val=""/>
      <w:lvlJc w:val="left"/>
    </w:lvl>
  </w:abstractNum>
  <w:abstractNum w:abstractNumId="460" w15:restartNumberingAfterBreak="0">
    <w:nsid w:val="3439386C"/>
    <w:multiLevelType w:val="hybridMultilevel"/>
    <w:tmpl w:val="82F8E488"/>
    <w:lvl w:ilvl="0" w:tplc="E1B8EE22">
      <w:start w:val="1"/>
      <w:numFmt w:val="bullet"/>
      <w:lvlText w:val=""/>
      <w:lvlJc w:val="left"/>
      <w:pPr>
        <w:ind w:left="720" w:hanging="180"/>
      </w:pPr>
      <w:rPr>
        <w:rFonts w:ascii="Symbol" w:hAnsi="Symbol" w:hint="default"/>
      </w:rPr>
    </w:lvl>
    <w:lvl w:ilvl="1" w:tplc="19869F22">
      <w:numFmt w:val="decimal"/>
      <w:lvlText w:val=""/>
      <w:lvlJc w:val="left"/>
    </w:lvl>
    <w:lvl w:ilvl="2" w:tplc="77186834">
      <w:numFmt w:val="decimal"/>
      <w:lvlText w:val=""/>
      <w:lvlJc w:val="left"/>
    </w:lvl>
    <w:lvl w:ilvl="3" w:tplc="0F3AA972">
      <w:numFmt w:val="decimal"/>
      <w:lvlText w:val=""/>
      <w:lvlJc w:val="left"/>
    </w:lvl>
    <w:lvl w:ilvl="4" w:tplc="24182322">
      <w:numFmt w:val="decimal"/>
      <w:lvlText w:val=""/>
      <w:lvlJc w:val="left"/>
    </w:lvl>
    <w:lvl w:ilvl="5" w:tplc="4BC07EF8">
      <w:numFmt w:val="decimal"/>
      <w:lvlText w:val=""/>
      <w:lvlJc w:val="left"/>
    </w:lvl>
    <w:lvl w:ilvl="6" w:tplc="9566F8FE">
      <w:numFmt w:val="decimal"/>
      <w:lvlText w:val=""/>
      <w:lvlJc w:val="left"/>
    </w:lvl>
    <w:lvl w:ilvl="7" w:tplc="CB761FF4">
      <w:numFmt w:val="decimal"/>
      <w:lvlText w:val=""/>
      <w:lvlJc w:val="left"/>
    </w:lvl>
    <w:lvl w:ilvl="8" w:tplc="136C6724">
      <w:numFmt w:val="decimal"/>
      <w:lvlText w:val=""/>
      <w:lvlJc w:val="left"/>
    </w:lvl>
  </w:abstractNum>
  <w:abstractNum w:abstractNumId="461" w15:restartNumberingAfterBreak="0">
    <w:nsid w:val="34556238"/>
    <w:multiLevelType w:val="hybridMultilevel"/>
    <w:tmpl w:val="96E08154"/>
    <w:lvl w:ilvl="0" w:tplc="0C9C38A6">
      <w:start w:val="1"/>
      <w:numFmt w:val="bullet"/>
      <w:lvlText w:val=""/>
      <w:lvlJc w:val="left"/>
      <w:pPr>
        <w:ind w:left="720" w:hanging="180"/>
      </w:pPr>
      <w:rPr>
        <w:rFonts w:ascii="Symbol" w:hAnsi="Symbol" w:hint="default"/>
      </w:rPr>
    </w:lvl>
    <w:lvl w:ilvl="1" w:tplc="9142F912">
      <w:numFmt w:val="decimal"/>
      <w:lvlText w:val=""/>
      <w:lvlJc w:val="left"/>
    </w:lvl>
    <w:lvl w:ilvl="2" w:tplc="AFF6F290">
      <w:numFmt w:val="decimal"/>
      <w:lvlText w:val=""/>
      <w:lvlJc w:val="left"/>
    </w:lvl>
    <w:lvl w:ilvl="3" w:tplc="07F0BB52">
      <w:numFmt w:val="decimal"/>
      <w:lvlText w:val=""/>
      <w:lvlJc w:val="left"/>
    </w:lvl>
    <w:lvl w:ilvl="4" w:tplc="BFC44D40">
      <w:numFmt w:val="decimal"/>
      <w:lvlText w:val=""/>
      <w:lvlJc w:val="left"/>
    </w:lvl>
    <w:lvl w:ilvl="5" w:tplc="05862AB8">
      <w:numFmt w:val="decimal"/>
      <w:lvlText w:val=""/>
      <w:lvlJc w:val="left"/>
    </w:lvl>
    <w:lvl w:ilvl="6" w:tplc="1E68DDC2">
      <w:numFmt w:val="decimal"/>
      <w:lvlText w:val=""/>
      <w:lvlJc w:val="left"/>
    </w:lvl>
    <w:lvl w:ilvl="7" w:tplc="FBEC550A">
      <w:numFmt w:val="decimal"/>
      <w:lvlText w:val=""/>
      <w:lvlJc w:val="left"/>
    </w:lvl>
    <w:lvl w:ilvl="8" w:tplc="E946A3B6">
      <w:numFmt w:val="decimal"/>
      <w:lvlText w:val=""/>
      <w:lvlJc w:val="left"/>
    </w:lvl>
  </w:abstractNum>
  <w:abstractNum w:abstractNumId="462" w15:restartNumberingAfterBreak="0">
    <w:nsid w:val="34636ABD"/>
    <w:multiLevelType w:val="hybridMultilevel"/>
    <w:tmpl w:val="581A57AE"/>
    <w:lvl w:ilvl="0" w:tplc="0B18E788">
      <w:start w:val="1"/>
      <w:numFmt w:val="bullet"/>
      <w:lvlText w:val=""/>
      <w:lvlJc w:val="left"/>
      <w:pPr>
        <w:ind w:left="720" w:hanging="180"/>
      </w:pPr>
      <w:rPr>
        <w:rFonts w:ascii="Symbol" w:hAnsi="Symbol" w:hint="default"/>
      </w:rPr>
    </w:lvl>
    <w:lvl w:ilvl="1" w:tplc="0E067CFA">
      <w:numFmt w:val="decimal"/>
      <w:lvlText w:val=""/>
      <w:lvlJc w:val="left"/>
    </w:lvl>
    <w:lvl w:ilvl="2" w:tplc="2AB4896E">
      <w:numFmt w:val="decimal"/>
      <w:lvlText w:val=""/>
      <w:lvlJc w:val="left"/>
    </w:lvl>
    <w:lvl w:ilvl="3" w:tplc="B4B4E23C">
      <w:numFmt w:val="decimal"/>
      <w:lvlText w:val=""/>
      <w:lvlJc w:val="left"/>
    </w:lvl>
    <w:lvl w:ilvl="4" w:tplc="C9AA299C">
      <w:numFmt w:val="decimal"/>
      <w:lvlText w:val=""/>
      <w:lvlJc w:val="left"/>
    </w:lvl>
    <w:lvl w:ilvl="5" w:tplc="9A041A6E">
      <w:numFmt w:val="decimal"/>
      <w:lvlText w:val=""/>
      <w:lvlJc w:val="left"/>
    </w:lvl>
    <w:lvl w:ilvl="6" w:tplc="43907FE2">
      <w:numFmt w:val="decimal"/>
      <w:lvlText w:val=""/>
      <w:lvlJc w:val="left"/>
    </w:lvl>
    <w:lvl w:ilvl="7" w:tplc="8F6469FC">
      <w:numFmt w:val="decimal"/>
      <w:lvlText w:val=""/>
      <w:lvlJc w:val="left"/>
    </w:lvl>
    <w:lvl w:ilvl="8" w:tplc="51521C00">
      <w:numFmt w:val="decimal"/>
      <w:lvlText w:val=""/>
      <w:lvlJc w:val="left"/>
    </w:lvl>
  </w:abstractNum>
  <w:abstractNum w:abstractNumId="463" w15:restartNumberingAfterBreak="0">
    <w:nsid w:val="34683657"/>
    <w:multiLevelType w:val="hybridMultilevel"/>
    <w:tmpl w:val="DF4E6624"/>
    <w:lvl w:ilvl="0" w:tplc="E7E4AB0A">
      <w:start w:val="1"/>
      <w:numFmt w:val="bullet"/>
      <w:lvlText w:val=""/>
      <w:lvlJc w:val="left"/>
      <w:pPr>
        <w:ind w:left="720" w:hanging="180"/>
      </w:pPr>
      <w:rPr>
        <w:rFonts w:ascii="Symbol" w:hAnsi="Symbol" w:hint="default"/>
      </w:rPr>
    </w:lvl>
    <w:lvl w:ilvl="1" w:tplc="40D0F174">
      <w:numFmt w:val="decimal"/>
      <w:lvlText w:val=""/>
      <w:lvlJc w:val="left"/>
    </w:lvl>
    <w:lvl w:ilvl="2" w:tplc="908A92E4">
      <w:numFmt w:val="decimal"/>
      <w:lvlText w:val=""/>
      <w:lvlJc w:val="left"/>
    </w:lvl>
    <w:lvl w:ilvl="3" w:tplc="D76847CC">
      <w:numFmt w:val="decimal"/>
      <w:lvlText w:val=""/>
      <w:lvlJc w:val="left"/>
    </w:lvl>
    <w:lvl w:ilvl="4" w:tplc="D564EBD6">
      <w:numFmt w:val="decimal"/>
      <w:lvlText w:val=""/>
      <w:lvlJc w:val="left"/>
    </w:lvl>
    <w:lvl w:ilvl="5" w:tplc="0444EFC4">
      <w:numFmt w:val="decimal"/>
      <w:lvlText w:val=""/>
      <w:lvlJc w:val="left"/>
    </w:lvl>
    <w:lvl w:ilvl="6" w:tplc="B0621A70">
      <w:numFmt w:val="decimal"/>
      <w:lvlText w:val=""/>
      <w:lvlJc w:val="left"/>
    </w:lvl>
    <w:lvl w:ilvl="7" w:tplc="9710E5C4">
      <w:numFmt w:val="decimal"/>
      <w:lvlText w:val=""/>
      <w:lvlJc w:val="left"/>
    </w:lvl>
    <w:lvl w:ilvl="8" w:tplc="1A2A0C96">
      <w:numFmt w:val="decimal"/>
      <w:lvlText w:val=""/>
      <w:lvlJc w:val="left"/>
    </w:lvl>
  </w:abstractNum>
  <w:abstractNum w:abstractNumId="464" w15:restartNumberingAfterBreak="0">
    <w:nsid w:val="346E27A9"/>
    <w:multiLevelType w:val="hybridMultilevel"/>
    <w:tmpl w:val="8F5A081A"/>
    <w:lvl w:ilvl="0" w:tplc="167CF826">
      <w:start w:val="1"/>
      <w:numFmt w:val="bullet"/>
      <w:lvlText w:val=""/>
      <w:lvlJc w:val="left"/>
      <w:pPr>
        <w:ind w:left="720" w:hanging="180"/>
      </w:pPr>
      <w:rPr>
        <w:rFonts w:ascii="Symbol" w:hAnsi="Symbol" w:hint="default"/>
      </w:rPr>
    </w:lvl>
    <w:lvl w:ilvl="1" w:tplc="726E5B40">
      <w:numFmt w:val="decimal"/>
      <w:lvlText w:val=""/>
      <w:lvlJc w:val="left"/>
    </w:lvl>
    <w:lvl w:ilvl="2" w:tplc="421A39E4">
      <w:numFmt w:val="decimal"/>
      <w:lvlText w:val=""/>
      <w:lvlJc w:val="left"/>
    </w:lvl>
    <w:lvl w:ilvl="3" w:tplc="670830B2">
      <w:numFmt w:val="decimal"/>
      <w:lvlText w:val=""/>
      <w:lvlJc w:val="left"/>
    </w:lvl>
    <w:lvl w:ilvl="4" w:tplc="6D421774">
      <w:numFmt w:val="decimal"/>
      <w:lvlText w:val=""/>
      <w:lvlJc w:val="left"/>
    </w:lvl>
    <w:lvl w:ilvl="5" w:tplc="238E4320">
      <w:numFmt w:val="decimal"/>
      <w:lvlText w:val=""/>
      <w:lvlJc w:val="left"/>
    </w:lvl>
    <w:lvl w:ilvl="6" w:tplc="875E9E26">
      <w:numFmt w:val="decimal"/>
      <w:lvlText w:val=""/>
      <w:lvlJc w:val="left"/>
    </w:lvl>
    <w:lvl w:ilvl="7" w:tplc="BD34195A">
      <w:numFmt w:val="decimal"/>
      <w:lvlText w:val=""/>
      <w:lvlJc w:val="left"/>
    </w:lvl>
    <w:lvl w:ilvl="8" w:tplc="10F253FE">
      <w:numFmt w:val="decimal"/>
      <w:lvlText w:val=""/>
      <w:lvlJc w:val="left"/>
    </w:lvl>
  </w:abstractNum>
  <w:abstractNum w:abstractNumId="465" w15:restartNumberingAfterBreak="0">
    <w:nsid w:val="34706BAF"/>
    <w:multiLevelType w:val="hybridMultilevel"/>
    <w:tmpl w:val="B9DEFE06"/>
    <w:lvl w:ilvl="0" w:tplc="D1A89220">
      <w:start w:val="1"/>
      <w:numFmt w:val="bullet"/>
      <w:lvlText w:val=""/>
      <w:lvlJc w:val="left"/>
      <w:pPr>
        <w:ind w:left="720" w:hanging="180"/>
      </w:pPr>
      <w:rPr>
        <w:rFonts w:ascii="Symbol" w:hAnsi="Symbol" w:hint="default"/>
      </w:rPr>
    </w:lvl>
    <w:lvl w:ilvl="1" w:tplc="7C16BC56">
      <w:numFmt w:val="decimal"/>
      <w:lvlText w:val=""/>
      <w:lvlJc w:val="left"/>
    </w:lvl>
    <w:lvl w:ilvl="2" w:tplc="ACE8F01A">
      <w:numFmt w:val="decimal"/>
      <w:lvlText w:val=""/>
      <w:lvlJc w:val="left"/>
    </w:lvl>
    <w:lvl w:ilvl="3" w:tplc="A26EE462">
      <w:numFmt w:val="decimal"/>
      <w:lvlText w:val=""/>
      <w:lvlJc w:val="left"/>
    </w:lvl>
    <w:lvl w:ilvl="4" w:tplc="032C11D0">
      <w:numFmt w:val="decimal"/>
      <w:lvlText w:val=""/>
      <w:lvlJc w:val="left"/>
    </w:lvl>
    <w:lvl w:ilvl="5" w:tplc="D940F7A2">
      <w:numFmt w:val="decimal"/>
      <w:lvlText w:val=""/>
      <w:lvlJc w:val="left"/>
    </w:lvl>
    <w:lvl w:ilvl="6" w:tplc="C10A2932">
      <w:numFmt w:val="decimal"/>
      <w:lvlText w:val=""/>
      <w:lvlJc w:val="left"/>
    </w:lvl>
    <w:lvl w:ilvl="7" w:tplc="DCA4161C">
      <w:numFmt w:val="decimal"/>
      <w:lvlText w:val=""/>
      <w:lvlJc w:val="left"/>
    </w:lvl>
    <w:lvl w:ilvl="8" w:tplc="A654513C">
      <w:numFmt w:val="decimal"/>
      <w:lvlText w:val=""/>
      <w:lvlJc w:val="left"/>
    </w:lvl>
  </w:abstractNum>
  <w:abstractNum w:abstractNumId="466" w15:restartNumberingAfterBreak="0">
    <w:nsid w:val="348D42A7"/>
    <w:multiLevelType w:val="hybridMultilevel"/>
    <w:tmpl w:val="7E82B31C"/>
    <w:lvl w:ilvl="0" w:tplc="A9DA9164">
      <w:numFmt w:val="decimal"/>
      <w:lvlText w:val=""/>
      <w:lvlJc w:val="left"/>
    </w:lvl>
    <w:lvl w:ilvl="1" w:tplc="2EE2E1DE">
      <w:start w:val="1"/>
      <w:numFmt w:val="bullet"/>
      <w:lvlText w:val=""/>
      <w:lvlJc w:val="left"/>
      <w:pPr>
        <w:ind w:left="1440" w:hanging="180"/>
      </w:pPr>
      <w:rPr>
        <w:rFonts w:ascii="Symbol" w:hAnsi="Symbol" w:hint="default"/>
      </w:rPr>
    </w:lvl>
    <w:lvl w:ilvl="2" w:tplc="8AD6C632">
      <w:numFmt w:val="decimal"/>
      <w:lvlText w:val=""/>
      <w:lvlJc w:val="left"/>
    </w:lvl>
    <w:lvl w:ilvl="3" w:tplc="24BCAB1E">
      <w:numFmt w:val="decimal"/>
      <w:lvlText w:val=""/>
      <w:lvlJc w:val="left"/>
    </w:lvl>
    <w:lvl w:ilvl="4" w:tplc="1B5ABAAA">
      <w:numFmt w:val="decimal"/>
      <w:lvlText w:val=""/>
      <w:lvlJc w:val="left"/>
    </w:lvl>
    <w:lvl w:ilvl="5" w:tplc="9D66FDCE">
      <w:numFmt w:val="decimal"/>
      <w:lvlText w:val=""/>
      <w:lvlJc w:val="left"/>
    </w:lvl>
    <w:lvl w:ilvl="6" w:tplc="78FE447E">
      <w:numFmt w:val="decimal"/>
      <w:lvlText w:val=""/>
      <w:lvlJc w:val="left"/>
    </w:lvl>
    <w:lvl w:ilvl="7" w:tplc="1B8ACD00">
      <w:numFmt w:val="decimal"/>
      <w:lvlText w:val=""/>
      <w:lvlJc w:val="left"/>
    </w:lvl>
    <w:lvl w:ilvl="8" w:tplc="3048C680">
      <w:numFmt w:val="decimal"/>
      <w:lvlText w:val=""/>
      <w:lvlJc w:val="left"/>
    </w:lvl>
  </w:abstractNum>
  <w:abstractNum w:abstractNumId="467" w15:restartNumberingAfterBreak="0">
    <w:nsid w:val="3499126F"/>
    <w:multiLevelType w:val="hybridMultilevel"/>
    <w:tmpl w:val="9C54E720"/>
    <w:lvl w:ilvl="0" w:tplc="40E2988C">
      <w:start w:val="1"/>
      <w:numFmt w:val="bullet"/>
      <w:lvlText w:val=""/>
      <w:lvlJc w:val="left"/>
      <w:pPr>
        <w:ind w:left="720" w:hanging="180"/>
      </w:pPr>
      <w:rPr>
        <w:rFonts w:ascii="Symbol" w:hAnsi="Symbol" w:hint="default"/>
      </w:rPr>
    </w:lvl>
    <w:lvl w:ilvl="1" w:tplc="C17EB0B4">
      <w:numFmt w:val="decimal"/>
      <w:lvlText w:val=""/>
      <w:lvlJc w:val="left"/>
    </w:lvl>
    <w:lvl w:ilvl="2" w:tplc="90848B02">
      <w:numFmt w:val="decimal"/>
      <w:lvlText w:val=""/>
      <w:lvlJc w:val="left"/>
    </w:lvl>
    <w:lvl w:ilvl="3" w:tplc="331C2BC8">
      <w:numFmt w:val="decimal"/>
      <w:lvlText w:val=""/>
      <w:lvlJc w:val="left"/>
    </w:lvl>
    <w:lvl w:ilvl="4" w:tplc="0AFE1A5C">
      <w:numFmt w:val="decimal"/>
      <w:lvlText w:val=""/>
      <w:lvlJc w:val="left"/>
    </w:lvl>
    <w:lvl w:ilvl="5" w:tplc="BF2A2D1A">
      <w:numFmt w:val="decimal"/>
      <w:lvlText w:val=""/>
      <w:lvlJc w:val="left"/>
    </w:lvl>
    <w:lvl w:ilvl="6" w:tplc="A72CEABE">
      <w:numFmt w:val="decimal"/>
      <w:lvlText w:val=""/>
      <w:lvlJc w:val="left"/>
    </w:lvl>
    <w:lvl w:ilvl="7" w:tplc="FC68D5A6">
      <w:numFmt w:val="decimal"/>
      <w:lvlText w:val=""/>
      <w:lvlJc w:val="left"/>
    </w:lvl>
    <w:lvl w:ilvl="8" w:tplc="D4DEED10">
      <w:numFmt w:val="decimal"/>
      <w:lvlText w:val=""/>
      <w:lvlJc w:val="left"/>
    </w:lvl>
  </w:abstractNum>
  <w:abstractNum w:abstractNumId="468" w15:restartNumberingAfterBreak="0">
    <w:nsid w:val="34A97F7C"/>
    <w:multiLevelType w:val="hybridMultilevel"/>
    <w:tmpl w:val="1832AB58"/>
    <w:lvl w:ilvl="0" w:tplc="FF7CC81E">
      <w:start w:val="1"/>
      <w:numFmt w:val="bullet"/>
      <w:lvlText w:val=""/>
      <w:lvlJc w:val="left"/>
      <w:pPr>
        <w:ind w:left="720" w:hanging="180"/>
      </w:pPr>
      <w:rPr>
        <w:rFonts w:ascii="Symbol" w:hAnsi="Symbol" w:hint="default"/>
      </w:rPr>
    </w:lvl>
    <w:lvl w:ilvl="1" w:tplc="D73A52D6">
      <w:numFmt w:val="decimal"/>
      <w:lvlText w:val=""/>
      <w:lvlJc w:val="left"/>
    </w:lvl>
    <w:lvl w:ilvl="2" w:tplc="532AFE06">
      <w:numFmt w:val="decimal"/>
      <w:lvlText w:val=""/>
      <w:lvlJc w:val="left"/>
    </w:lvl>
    <w:lvl w:ilvl="3" w:tplc="E00025A4">
      <w:numFmt w:val="decimal"/>
      <w:lvlText w:val=""/>
      <w:lvlJc w:val="left"/>
    </w:lvl>
    <w:lvl w:ilvl="4" w:tplc="5AB64F40">
      <w:numFmt w:val="decimal"/>
      <w:lvlText w:val=""/>
      <w:lvlJc w:val="left"/>
    </w:lvl>
    <w:lvl w:ilvl="5" w:tplc="D00C13DE">
      <w:numFmt w:val="decimal"/>
      <w:lvlText w:val=""/>
      <w:lvlJc w:val="left"/>
    </w:lvl>
    <w:lvl w:ilvl="6" w:tplc="7A92A5FA">
      <w:numFmt w:val="decimal"/>
      <w:lvlText w:val=""/>
      <w:lvlJc w:val="left"/>
    </w:lvl>
    <w:lvl w:ilvl="7" w:tplc="EB2EE712">
      <w:numFmt w:val="decimal"/>
      <w:lvlText w:val=""/>
      <w:lvlJc w:val="left"/>
    </w:lvl>
    <w:lvl w:ilvl="8" w:tplc="5CC0BCF8">
      <w:numFmt w:val="decimal"/>
      <w:lvlText w:val=""/>
      <w:lvlJc w:val="left"/>
    </w:lvl>
  </w:abstractNum>
  <w:abstractNum w:abstractNumId="469" w15:restartNumberingAfterBreak="0">
    <w:nsid w:val="35221249"/>
    <w:multiLevelType w:val="hybridMultilevel"/>
    <w:tmpl w:val="3AD66E9A"/>
    <w:lvl w:ilvl="0" w:tplc="6FB4DE40">
      <w:start w:val="1"/>
      <w:numFmt w:val="bullet"/>
      <w:lvlText w:val=""/>
      <w:lvlJc w:val="left"/>
      <w:pPr>
        <w:ind w:left="720" w:hanging="180"/>
      </w:pPr>
      <w:rPr>
        <w:rFonts w:ascii="Symbol" w:hAnsi="Symbol" w:hint="default"/>
      </w:rPr>
    </w:lvl>
    <w:lvl w:ilvl="1" w:tplc="F7DAF7C0">
      <w:numFmt w:val="decimal"/>
      <w:lvlText w:val=""/>
      <w:lvlJc w:val="left"/>
    </w:lvl>
    <w:lvl w:ilvl="2" w:tplc="110402FA">
      <w:numFmt w:val="decimal"/>
      <w:lvlText w:val=""/>
      <w:lvlJc w:val="left"/>
    </w:lvl>
    <w:lvl w:ilvl="3" w:tplc="7A9C544E">
      <w:numFmt w:val="decimal"/>
      <w:lvlText w:val=""/>
      <w:lvlJc w:val="left"/>
    </w:lvl>
    <w:lvl w:ilvl="4" w:tplc="CEFAF98C">
      <w:numFmt w:val="decimal"/>
      <w:lvlText w:val=""/>
      <w:lvlJc w:val="left"/>
    </w:lvl>
    <w:lvl w:ilvl="5" w:tplc="0E565F70">
      <w:numFmt w:val="decimal"/>
      <w:lvlText w:val=""/>
      <w:lvlJc w:val="left"/>
    </w:lvl>
    <w:lvl w:ilvl="6" w:tplc="E06E98D2">
      <w:numFmt w:val="decimal"/>
      <w:lvlText w:val=""/>
      <w:lvlJc w:val="left"/>
    </w:lvl>
    <w:lvl w:ilvl="7" w:tplc="330A5EEC">
      <w:numFmt w:val="decimal"/>
      <w:lvlText w:val=""/>
      <w:lvlJc w:val="left"/>
    </w:lvl>
    <w:lvl w:ilvl="8" w:tplc="FB522680">
      <w:numFmt w:val="decimal"/>
      <w:lvlText w:val=""/>
      <w:lvlJc w:val="left"/>
    </w:lvl>
  </w:abstractNum>
  <w:abstractNum w:abstractNumId="470" w15:restartNumberingAfterBreak="0">
    <w:nsid w:val="352D352E"/>
    <w:multiLevelType w:val="hybridMultilevel"/>
    <w:tmpl w:val="A47A447C"/>
    <w:lvl w:ilvl="0" w:tplc="DFB246A6">
      <w:start w:val="1"/>
      <w:numFmt w:val="bullet"/>
      <w:lvlText w:val=""/>
      <w:lvlJc w:val="left"/>
      <w:pPr>
        <w:ind w:left="720" w:hanging="180"/>
      </w:pPr>
      <w:rPr>
        <w:rFonts w:ascii="Symbol" w:hAnsi="Symbol" w:hint="default"/>
      </w:rPr>
    </w:lvl>
    <w:lvl w:ilvl="1" w:tplc="E118E8A6">
      <w:numFmt w:val="decimal"/>
      <w:lvlText w:val=""/>
      <w:lvlJc w:val="left"/>
    </w:lvl>
    <w:lvl w:ilvl="2" w:tplc="D68C62B6">
      <w:numFmt w:val="decimal"/>
      <w:lvlText w:val=""/>
      <w:lvlJc w:val="left"/>
    </w:lvl>
    <w:lvl w:ilvl="3" w:tplc="4856725E">
      <w:numFmt w:val="decimal"/>
      <w:lvlText w:val=""/>
      <w:lvlJc w:val="left"/>
    </w:lvl>
    <w:lvl w:ilvl="4" w:tplc="16260930">
      <w:numFmt w:val="decimal"/>
      <w:lvlText w:val=""/>
      <w:lvlJc w:val="left"/>
    </w:lvl>
    <w:lvl w:ilvl="5" w:tplc="F774D63E">
      <w:numFmt w:val="decimal"/>
      <w:lvlText w:val=""/>
      <w:lvlJc w:val="left"/>
    </w:lvl>
    <w:lvl w:ilvl="6" w:tplc="B91E5C90">
      <w:numFmt w:val="decimal"/>
      <w:lvlText w:val=""/>
      <w:lvlJc w:val="left"/>
    </w:lvl>
    <w:lvl w:ilvl="7" w:tplc="8F0C4BAA">
      <w:numFmt w:val="decimal"/>
      <w:lvlText w:val=""/>
      <w:lvlJc w:val="left"/>
    </w:lvl>
    <w:lvl w:ilvl="8" w:tplc="0C266FC2">
      <w:numFmt w:val="decimal"/>
      <w:lvlText w:val=""/>
      <w:lvlJc w:val="left"/>
    </w:lvl>
  </w:abstractNum>
  <w:abstractNum w:abstractNumId="471" w15:restartNumberingAfterBreak="0">
    <w:nsid w:val="352D37A2"/>
    <w:multiLevelType w:val="hybridMultilevel"/>
    <w:tmpl w:val="05BEAABE"/>
    <w:lvl w:ilvl="0" w:tplc="EC38B95A">
      <w:start w:val="1"/>
      <w:numFmt w:val="bullet"/>
      <w:lvlText w:val=""/>
      <w:lvlJc w:val="left"/>
      <w:pPr>
        <w:ind w:left="720" w:hanging="180"/>
      </w:pPr>
      <w:rPr>
        <w:rFonts w:ascii="Symbol" w:hAnsi="Symbol" w:hint="default"/>
      </w:rPr>
    </w:lvl>
    <w:lvl w:ilvl="1" w:tplc="39EC8576">
      <w:numFmt w:val="decimal"/>
      <w:lvlText w:val=""/>
      <w:lvlJc w:val="left"/>
    </w:lvl>
    <w:lvl w:ilvl="2" w:tplc="62F23A8E">
      <w:numFmt w:val="decimal"/>
      <w:lvlText w:val=""/>
      <w:lvlJc w:val="left"/>
    </w:lvl>
    <w:lvl w:ilvl="3" w:tplc="D7DC97FC">
      <w:numFmt w:val="decimal"/>
      <w:lvlText w:val=""/>
      <w:lvlJc w:val="left"/>
    </w:lvl>
    <w:lvl w:ilvl="4" w:tplc="4EC406AA">
      <w:numFmt w:val="decimal"/>
      <w:lvlText w:val=""/>
      <w:lvlJc w:val="left"/>
    </w:lvl>
    <w:lvl w:ilvl="5" w:tplc="27DA6394">
      <w:numFmt w:val="decimal"/>
      <w:lvlText w:val=""/>
      <w:lvlJc w:val="left"/>
    </w:lvl>
    <w:lvl w:ilvl="6" w:tplc="810C43E6">
      <w:numFmt w:val="decimal"/>
      <w:lvlText w:val=""/>
      <w:lvlJc w:val="left"/>
    </w:lvl>
    <w:lvl w:ilvl="7" w:tplc="4ACCE4D4">
      <w:numFmt w:val="decimal"/>
      <w:lvlText w:val=""/>
      <w:lvlJc w:val="left"/>
    </w:lvl>
    <w:lvl w:ilvl="8" w:tplc="46A80374">
      <w:numFmt w:val="decimal"/>
      <w:lvlText w:val=""/>
      <w:lvlJc w:val="left"/>
    </w:lvl>
  </w:abstractNum>
  <w:abstractNum w:abstractNumId="472" w15:restartNumberingAfterBreak="0">
    <w:nsid w:val="3539166C"/>
    <w:multiLevelType w:val="hybridMultilevel"/>
    <w:tmpl w:val="C5469790"/>
    <w:lvl w:ilvl="0" w:tplc="F662D676">
      <w:start w:val="1"/>
      <w:numFmt w:val="bullet"/>
      <w:lvlText w:val=""/>
      <w:lvlJc w:val="left"/>
      <w:pPr>
        <w:ind w:left="720" w:hanging="180"/>
      </w:pPr>
      <w:rPr>
        <w:rFonts w:ascii="Symbol" w:hAnsi="Symbol" w:hint="default"/>
      </w:rPr>
    </w:lvl>
    <w:lvl w:ilvl="1" w:tplc="26FE4032">
      <w:numFmt w:val="decimal"/>
      <w:lvlText w:val=""/>
      <w:lvlJc w:val="left"/>
    </w:lvl>
    <w:lvl w:ilvl="2" w:tplc="09F0AD2C">
      <w:numFmt w:val="decimal"/>
      <w:lvlText w:val=""/>
      <w:lvlJc w:val="left"/>
    </w:lvl>
    <w:lvl w:ilvl="3" w:tplc="E0CA2748">
      <w:numFmt w:val="decimal"/>
      <w:lvlText w:val=""/>
      <w:lvlJc w:val="left"/>
    </w:lvl>
    <w:lvl w:ilvl="4" w:tplc="6B088710">
      <w:numFmt w:val="decimal"/>
      <w:lvlText w:val=""/>
      <w:lvlJc w:val="left"/>
    </w:lvl>
    <w:lvl w:ilvl="5" w:tplc="D85CE06A">
      <w:numFmt w:val="decimal"/>
      <w:lvlText w:val=""/>
      <w:lvlJc w:val="left"/>
    </w:lvl>
    <w:lvl w:ilvl="6" w:tplc="BFDE2482">
      <w:numFmt w:val="decimal"/>
      <w:lvlText w:val=""/>
      <w:lvlJc w:val="left"/>
    </w:lvl>
    <w:lvl w:ilvl="7" w:tplc="D60E785A">
      <w:numFmt w:val="decimal"/>
      <w:lvlText w:val=""/>
      <w:lvlJc w:val="left"/>
    </w:lvl>
    <w:lvl w:ilvl="8" w:tplc="954CF122">
      <w:numFmt w:val="decimal"/>
      <w:lvlText w:val=""/>
      <w:lvlJc w:val="left"/>
    </w:lvl>
  </w:abstractNum>
  <w:abstractNum w:abstractNumId="473" w15:restartNumberingAfterBreak="0">
    <w:nsid w:val="355A6E26"/>
    <w:multiLevelType w:val="hybridMultilevel"/>
    <w:tmpl w:val="034005C2"/>
    <w:lvl w:ilvl="0" w:tplc="33E2CE38">
      <w:start w:val="1"/>
      <w:numFmt w:val="bullet"/>
      <w:lvlText w:val=""/>
      <w:lvlJc w:val="left"/>
      <w:pPr>
        <w:ind w:left="720" w:hanging="180"/>
      </w:pPr>
      <w:rPr>
        <w:rFonts w:ascii="Symbol" w:hAnsi="Symbol" w:hint="default"/>
      </w:rPr>
    </w:lvl>
    <w:lvl w:ilvl="1" w:tplc="F3886F48">
      <w:numFmt w:val="decimal"/>
      <w:lvlText w:val=""/>
      <w:lvlJc w:val="left"/>
    </w:lvl>
    <w:lvl w:ilvl="2" w:tplc="8872E348">
      <w:numFmt w:val="decimal"/>
      <w:lvlText w:val=""/>
      <w:lvlJc w:val="left"/>
    </w:lvl>
    <w:lvl w:ilvl="3" w:tplc="E76CC1D0">
      <w:numFmt w:val="decimal"/>
      <w:lvlText w:val=""/>
      <w:lvlJc w:val="left"/>
    </w:lvl>
    <w:lvl w:ilvl="4" w:tplc="DA627522">
      <w:numFmt w:val="decimal"/>
      <w:lvlText w:val=""/>
      <w:lvlJc w:val="left"/>
    </w:lvl>
    <w:lvl w:ilvl="5" w:tplc="FBA45D9E">
      <w:numFmt w:val="decimal"/>
      <w:lvlText w:val=""/>
      <w:lvlJc w:val="left"/>
    </w:lvl>
    <w:lvl w:ilvl="6" w:tplc="01DCAE36">
      <w:numFmt w:val="decimal"/>
      <w:lvlText w:val=""/>
      <w:lvlJc w:val="left"/>
    </w:lvl>
    <w:lvl w:ilvl="7" w:tplc="D7D45FFA">
      <w:numFmt w:val="decimal"/>
      <w:lvlText w:val=""/>
      <w:lvlJc w:val="left"/>
    </w:lvl>
    <w:lvl w:ilvl="8" w:tplc="8A7C27EC">
      <w:numFmt w:val="decimal"/>
      <w:lvlText w:val=""/>
      <w:lvlJc w:val="left"/>
    </w:lvl>
  </w:abstractNum>
  <w:abstractNum w:abstractNumId="474" w15:restartNumberingAfterBreak="0">
    <w:nsid w:val="35803D0E"/>
    <w:multiLevelType w:val="hybridMultilevel"/>
    <w:tmpl w:val="F2BCCEC0"/>
    <w:lvl w:ilvl="0" w:tplc="349CAD60">
      <w:start w:val="1"/>
      <w:numFmt w:val="bullet"/>
      <w:lvlText w:val=""/>
      <w:lvlJc w:val="left"/>
      <w:pPr>
        <w:ind w:left="720" w:hanging="180"/>
      </w:pPr>
      <w:rPr>
        <w:rFonts w:ascii="Symbol" w:hAnsi="Symbol" w:hint="default"/>
      </w:rPr>
    </w:lvl>
    <w:lvl w:ilvl="1" w:tplc="CB8E85A4">
      <w:numFmt w:val="decimal"/>
      <w:lvlText w:val=""/>
      <w:lvlJc w:val="left"/>
    </w:lvl>
    <w:lvl w:ilvl="2" w:tplc="8AA2F542">
      <w:numFmt w:val="decimal"/>
      <w:lvlText w:val=""/>
      <w:lvlJc w:val="left"/>
    </w:lvl>
    <w:lvl w:ilvl="3" w:tplc="9A4E163C">
      <w:numFmt w:val="decimal"/>
      <w:lvlText w:val=""/>
      <w:lvlJc w:val="left"/>
    </w:lvl>
    <w:lvl w:ilvl="4" w:tplc="62F0F820">
      <w:numFmt w:val="decimal"/>
      <w:lvlText w:val=""/>
      <w:lvlJc w:val="left"/>
    </w:lvl>
    <w:lvl w:ilvl="5" w:tplc="A516AF04">
      <w:numFmt w:val="decimal"/>
      <w:lvlText w:val=""/>
      <w:lvlJc w:val="left"/>
    </w:lvl>
    <w:lvl w:ilvl="6" w:tplc="B5DC56F4">
      <w:numFmt w:val="decimal"/>
      <w:lvlText w:val=""/>
      <w:lvlJc w:val="left"/>
    </w:lvl>
    <w:lvl w:ilvl="7" w:tplc="33AEEE52">
      <w:numFmt w:val="decimal"/>
      <w:lvlText w:val=""/>
      <w:lvlJc w:val="left"/>
    </w:lvl>
    <w:lvl w:ilvl="8" w:tplc="6B7CF0AE">
      <w:numFmt w:val="decimal"/>
      <w:lvlText w:val=""/>
      <w:lvlJc w:val="left"/>
    </w:lvl>
  </w:abstractNum>
  <w:abstractNum w:abstractNumId="475" w15:restartNumberingAfterBreak="0">
    <w:nsid w:val="359A1643"/>
    <w:multiLevelType w:val="hybridMultilevel"/>
    <w:tmpl w:val="7C705BC6"/>
    <w:lvl w:ilvl="0" w:tplc="2CE25154">
      <w:start w:val="1"/>
      <w:numFmt w:val="bullet"/>
      <w:lvlText w:val=""/>
      <w:lvlJc w:val="left"/>
      <w:pPr>
        <w:ind w:left="720" w:hanging="180"/>
      </w:pPr>
      <w:rPr>
        <w:rFonts w:ascii="Symbol" w:hAnsi="Symbol" w:hint="default"/>
      </w:rPr>
    </w:lvl>
    <w:lvl w:ilvl="1" w:tplc="9394FFF6">
      <w:numFmt w:val="decimal"/>
      <w:lvlText w:val=""/>
      <w:lvlJc w:val="left"/>
    </w:lvl>
    <w:lvl w:ilvl="2" w:tplc="1318D5A8">
      <w:numFmt w:val="decimal"/>
      <w:lvlText w:val=""/>
      <w:lvlJc w:val="left"/>
    </w:lvl>
    <w:lvl w:ilvl="3" w:tplc="06F89BE0">
      <w:numFmt w:val="decimal"/>
      <w:lvlText w:val=""/>
      <w:lvlJc w:val="left"/>
    </w:lvl>
    <w:lvl w:ilvl="4" w:tplc="8CAC1110">
      <w:numFmt w:val="decimal"/>
      <w:lvlText w:val=""/>
      <w:lvlJc w:val="left"/>
    </w:lvl>
    <w:lvl w:ilvl="5" w:tplc="E662E538">
      <w:numFmt w:val="decimal"/>
      <w:lvlText w:val=""/>
      <w:lvlJc w:val="left"/>
    </w:lvl>
    <w:lvl w:ilvl="6" w:tplc="169E17FA">
      <w:numFmt w:val="decimal"/>
      <w:lvlText w:val=""/>
      <w:lvlJc w:val="left"/>
    </w:lvl>
    <w:lvl w:ilvl="7" w:tplc="49F25FD8">
      <w:numFmt w:val="decimal"/>
      <w:lvlText w:val=""/>
      <w:lvlJc w:val="left"/>
    </w:lvl>
    <w:lvl w:ilvl="8" w:tplc="71926586">
      <w:numFmt w:val="decimal"/>
      <w:lvlText w:val=""/>
      <w:lvlJc w:val="left"/>
    </w:lvl>
  </w:abstractNum>
  <w:abstractNum w:abstractNumId="476" w15:restartNumberingAfterBreak="0">
    <w:nsid w:val="35DB5BFE"/>
    <w:multiLevelType w:val="hybridMultilevel"/>
    <w:tmpl w:val="B91268D6"/>
    <w:lvl w:ilvl="0" w:tplc="68644A4A">
      <w:numFmt w:val="decimal"/>
      <w:lvlText w:val=""/>
      <w:lvlJc w:val="left"/>
    </w:lvl>
    <w:lvl w:ilvl="1" w:tplc="5FBAF9E0">
      <w:numFmt w:val="decimal"/>
      <w:lvlText w:val=""/>
      <w:lvlJc w:val="left"/>
    </w:lvl>
    <w:lvl w:ilvl="2" w:tplc="D16809BA">
      <w:start w:val="1"/>
      <w:numFmt w:val="bullet"/>
      <w:lvlText w:val=""/>
      <w:lvlJc w:val="left"/>
      <w:pPr>
        <w:ind w:left="2160" w:hanging="180"/>
      </w:pPr>
      <w:rPr>
        <w:rFonts w:ascii="Symbol" w:hAnsi="Symbol" w:hint="default"/>
      </w:rPr>
    </w:lvl>
    <w:lvl w:ilvl="3" w:tplc="9F642C78">
      <w:numFmt w:val="decimal"/>
      <w:lvlText w:val=""/>
      <w:lvlJc w:val="left"/>
    </w:lvl>
    <w:lvl w:ilvl="4" w:tplc="4BFC9BF2">
      <w:numFmt w:val="decimal"/>
      <w:lvlText w:val=""/>
      <w:lvlJc w:val="left"/>
    </w:lvl>
    <w:lvl w:ilvl="5" w:tplc="2E4C842E">
      <w:numFmt w:val="decimal"/>
      <w:lvlText w:val=""/>
      <w:lvlJc w:val="left"/>
    </w:lvl>
    <w:lvl w:ilvl="6" w:tplc="5BDA1DF6">
      <w:numFmt w:val="decimal"/>
      <w:lvlText w:val=""/>
      <w:lvlJc w:val="left"/>
    </w:lvl>
    <w:lvl w:ilvl="7" w:tplc="CFEC27B4">
      <w:numFmt w:val="decimal"/>
      <w:lvlText w:val=""/>
      <w:lvlJc w:val="left"/>
    </w:lvl>
    <w:lvl w:ilvl="8" w:tplc="9FCE463A">
      <w:numFmt w:val="decimal"/>
      <w:lvlText w:val=""/>
      <w:lvlJc w:val="left"/>
    </w:lvl>
  </w:abstractNum>
  <w:abstractNum w:abstractNumId="477" w15:restartNumberingAfterBreak="0">
    <w:nsid w:val="35DD2A5D"/>
    <w:multiLevelType w:val="hybridMultilevel"/>
    <w:tmpl w:val="EAA0B30C"/>
    <w:lvl w:ilvl="0" w:tplc="8266EF4C">
      <w:start w:val="1"/>
      <w:numFmt w:val="bullet"/>
      <w:lvlText w:val=""/>
      <w:lvlJc w:val="left"/>
      <w:pPr>
        <w:ind w:left="720" w:hanging="180"/>
      </w:pPr>
      <w:rPr>
        <w:rFonts w:ascii="Symbol" w:hAnsi="Symbol" w:hint="default"/>
      </w:rPr>
    </w:lvl>
    <w:lvl w:ilvl="1" w:tplc="CBA29864">
      <w:numFmt w:val="decimal"/>
      <w:lvlText w:val=""/>
      <w:lvlJc w:val="left"/>
    </w:lvl>
    <w:lvl w:ilvl="2" w:tplc="9F68D756">
      <w:numFmt w:val="decimal"/>
      <w:lvlText w:val=""/>
      <w:lvlJc w:val="left"/>
    </w:lvl>
    <w:lvl w:ilvl="3" w:tplc="8B5000DC">
      <w:numFmt w:val="decimal"/>
      <w:lvlText w:val=""/>
      <w:lvlJc w:val="left"/>
    </w:lvl>
    <w:lvl w:ilvl="4" w:tplc="75F497D2">
      <w:numFmt w:val="decimal"/>
      <w:lvlText w:val=""/>
      <w:lvlJc w:val="left"/>
    </w:lvl>
    <w:lvl w:ilvl="5" w:tplc="E5408F46">
      <w:numFmt w:val="decimal"/>
      <w:lvlText w:val=""/>
      <w:lvlJc w:val="left"/>
    </w:lvl>
    <w:lvl w:ilvl="6" w:tplc="0E1493E4">
      <w:numFmt w:val="decimal"/>
      <w:lvlText w:val=""/>
      <w:lvlJc w:val="left"/>
    </w:lvl>
    <w:lvl w:ilvl="7" w:tplc="F8FA48DE">
      <w:numFmt w:val="decimal"/>
      <w:lvlText w:val=""/>
      <w:lvlJc w:val="left"/>
    </w:lvl>
    <w:lvl w:ilvl="8" w:tplc="D0783E50">
      <w:numFmt w:val="decimal"/>
      <w:lvlText w:val=""/>
      <w:lvlJc w:val="left"/>
    </w:lvl>
  </w:abstractNum>
  <w:abstractNum w:abstractNumId="478" w15:restartNumberingAfterBreak="0">
    <w:nsid w:val="35F0671F"/>
    <w:multiLevelType w:val="hybridMultilevel"/>
    <w:tmpl w:val="B4D26CBC"/>
    <w:lvl w:ilvl="0" w:tplc="E1E6D8B4">
      <w:numFmt w:val="decimal"/>
      <w:lvlText w:val=""/>
      <w:lvlJc w:val="left"/>
    </w:lvl>
    <w:lvl w:ilvl="1" w:tplc="ED8223F0">
      <w:start w:val="1"/>
      <w:numFmt w:val="bullet"/>
      <w:lvlText w:val=""/>
      <w:lvlJc w:val="left"/>
      <w:pPr>
        <w:ind w:left="1440" w:hanging="180"/>
      </w:pPr>
      <w:rPr>
        <w:rFonts w:ascii="Symbol" w:hAnsi="Symbol" w:hint="default"/>
      </w:rPr>
    </w:lvl>
    <w:lvl w:ilvl="2" w:tplc="F5B84136">
      <w:numFmt w:val="decimal"/>
      <w:lvlText w:val=""/>
      <w:lvlJc w:val="left"/>
    </w:lvl>
    <w:lvl w:ilvl="3" w:tplc="4968A27E">
      <w:numFmt w:val="decimal"/>
      <w:lvlText w:val=""/>
      <w:lvlJc w:val="left"/>
    </w:lvl>
    <w:lvl w:ilvl="4" w:tplc="4EFC9466">
      <w:numFmt w:val="decimal"/>
      <w:lvlText w:val=""/>
      <w:lvlJc w:val="left"/>
    </w:lvl>
    <w:lvl w:ilvl="5" w:tplc="88827300">
      <w:numFmt w:val="decimal"/>
      <w:lvlText w:val=""/>
      <w:lvlJc w:val="left"/>
    </w:lvl>
    <w:lvl w:ilvl="6" w:tplc="44D87A68">
      <w:numFmt w:val="decimal"/>
      <w:lvlText w:val=""/>
      <w:lvlJc w:val="left"/>
    </w:lvl>
    <w:lvl w:ilvl="7" w:tplc="8B54B724">
      <w:numFmt w:val="decimal"/>
      <w:lvlText w:val=""/>
      <w:lvlJc w:val="left"/>
    </w:lvl>
    <w:lvl w:ilvl="8" w:tplc="74345E76">
      <w:numFmt w:val="decimal"/>
      <w:lvlText w:val=""/>
      <w:lvlJc w:val="left"/>
    </w:lvl>
  </w:abstractNum>
  <w:abstractNum w:abstractNumId="479" w15:restartNumberingAfterBreak="0">
    <w:nsid w:val="35F1198C"/>
    <w:multiLevelType w:val="hybridMultilevel"/>
    <w:tmpl w:val="90B27D76"/>
    <w:lvl w:ilvl="0" w:tplc="8DC892CC">
      <w:start w:val="1"/>
      <w:numFmt w:val="bullet"/>
      <w:lvlText w:val=""/>
      <w:lvlJc w:val="left"/>
      <w:pPr>
        <w:ind w:left="720" w:hanging="180"/>
      </w:pPr>
      <w:rPr>
        <w:rFonts w:ascii="Symbol" w:hAnsi="Symbol" w:hint="default"/>
      </w:rPr>
    </w:lvl>
    <w:lvl w:ilvl="1" w:tplc="4296F398">
      <w:numFmt w:val="decimal"/>
      <w:lvlText w:val=""/>
      <w:lvlJc w:val="left"/>
    </w:lvl>
    <w:lvl w:ilvl="2" w:tplc="CAE07702">
      <w:numFmt w:val="decimal"/>
      <w:lvlText w:val=""/>
      <w:lvlJc w:val="left"/>
    </w:lvl>
    <w:lvl w:ilvl="3" w:tplc="21B0AD0A">
      <w:numFmt w:val="decimal"/>
      <w:lvlText w:val=""/>
      <w:lvlJc w:val="left"/>
    </w:lvl>
    <w:lvl w:ilvl="4" w:tplc="C6CAEEEA">
      <w:numFmt w:val="decimal"/>
      <w:lvlText w:val=""/>
      <w:lvlJc w:val="left"/>
    </w:lvl>
    <w:lvl w:ilvl="5" w:tplc="410CCF14">
      <w:numFmt w:val="decimal"/>
      <w:lvlText w:val=""/>
      <w:lvlJc w:val="left"/>
    </w:lvl>
    <w:lvl w:ilvl="6" w:tplc="F30A73C8">
      <w:numFmt w:val="decimal"/>
      <w:lvlText w:val=""/>
      <w:lvlJc w:val="left"/>
    </w:lvl>
    <w:lvl w:ilvl="7" w:tplc="4D702B80">
      <w:numFmt w:val="decimal"/>
      <w:lvlText w:val=""/>
      <w:lvlJc w:val="left"/>
    </w:lvl>
    <w:lvl w:ilvl="8" w:tplc="452044A8">
      <w:numFmt w:val="decimal"/>
      <w:lvlText w:val=""/>
      <w:lvlJc w:val="left"/>
    </w:lvl>
  </w:abstractNum>
  <w:abstractNum w:abstractNumId="480" w15:restartNumberingAfterBreak="0">
    <w:nsid w:val="36134665"/>
    <w:multiLevelType w:val="hybridMultilevel"/>
    <w:tmpl w:val="B4906A64"/>
    <w:lvl w:ilvl="0" w:tplc="0B261C4C">
      <w:start w:val="1"/>
      <w:numFmt w:val="bullet"/>
      <w:lvlText w:val=""/>
      <w:lvlJc w:val="left"/>
      <w:pPr>
        <w:ind w:left="720" w:hanging="180"/>
      </w:pPr>
      <w:rPr>
        <w:rFonts w:ascii="Symbol" w:hAnsi="Symbol" w:hint="default"/>
      </w:rPr>
    </w:lvl>
    <w:lvl w:ilvl="1" w:tplc="11902D76">
      <w:numFmt w:val="decimal"/>
      <w:lvlText w:val=""/>
      <w:lvlJc w:val="left"/>
    </w:lvl>
    <w:lvl w:ilvl="2" w:tplc="6ABAF174">
      <w:numFmt w:val="decimal"/>
      <w:lvlText w:val=""/>
      <w:lvlJc w:val="left"/>
    </w:lvl>
    <w:lvl w:ilvl="3" w:tplc="71449B44">
      <w:numFmt w:val="decimal"/>
      <w:lvlText w:val=""/>
      <w:lvlJc w:val="left"/>
    </w:lvl>
    <w:lvl w:ilvl="4" w:tplc="24401160">
      <w:numFmt w:val="decimal"/>
      <w:lvlText w:val=""/>
      <w:lvlJc w:val="left"/>
    </w:lvl>
    <w:lvl w:ilvl="5" w:tplc="DA0CB842">
      <w:numFmt w:val="decimal"/>
      <w:lvlText w:val=""/>
      <w:lvlJc w:val="left"/>
    </w:lvl>
    <w:lvl w:ilvl="6" w:tplc="60A03D22">
      <w:numFmt w:val="decimal"/>
      <w:lvlText w:val=""/>
      <w:lvlJc w:val="left"/>
    </w:lvl>
    <w:lvl w:ilvl="7" w:tplc="8C147178">
      <w:numFmt w:val="decimal"/>
      <w:lvlText w:val=""/>
      <w:lvlJc w:val="left"/>
    </w:lvl>
    <w:lvl w:ilvl="8" w:tplc="91086F8C">
      <w:numFmt w:val="decimal"/>
      <w:lvlText w:val=""/>
      <w:lvlJc w:val="left"/>
    </w:lvl>
  </w:abstractNum>
  <w:abstractNum w:abstractNumId="481" w15:restartNumberingAfterBreak="0">
    <w:nsid w:val="361D3A7E"/>
    <w:multiLevelType w:val="hybridMultilevel"/>
    <w:tmpl w:val="561E33CA"/>
    <w:lvl w:ilvl="0" w:tplc="48626C8A">
      <w:start w:val="1"/>
      <w:numFmt w:val="bullet"/>
      <w:lvlText w:val=""/>
      <w:lvlJc w:val="left"/>
      <w:pPr>
        <w:ind w:left="720" w:hanging="180"/>
      </w:pPr>
      <w:rPr>
        <w:rFonts w:ascii="Symbol" w:hAnsi="Symbol" w:hint="default"/>
      </w:rPr>
    </w:lvl>
    <w:lvl w:ilvl="1" w:tplc="6CE61BFC">
      <w:numFmt w:val="decimal"/>
      <w:lvlText w:val=""/>
      <w:lvlJc w:val="left"/>
    </w:lvl>
    <w:lvl w:ilvl="2" w:tplc="18549E34">
      <w:numFmt w:val="decimal"/>
      <w:lvlText w:val=""/>
      <w:lvlJc w:val="left"/>
    </w:lvl>
    <w:lvl w:ilvl="3" w:tplc="BC38416C">
      <w:numFmt w:val="decimal"/>
      <w:lvlText w:val=""/>
      <w:lvlJc w:val="left"/>
    </w:lvl>
    <w:lvl w:ilvl="4" w:tplc="49F0E50A">
      <w:numFmt w:val="decimal"/>
      <w:lvlText w:val=""/>
      <w:lvlJc w:val="left"/>
    </w:lvl>
    <w:lvl w:ilvl="5" w:tplc="6AFE2434">
      <w:numFmt w:val="decimal"/>
      <w:lvlText w:val=""/>
      <w:lvlJc w:val="left"/>
    </w:lvl>
    <w:lvl w:ilvl="6" w:tplc="5BC637BC">
      <w:numFmt w:val="decimal"/>
      <w:lvlText w:val=""/>
      <w:lvlJc w:val="left"/>
    </w:lvl>
    <w:lvl w:ilvl="7" w:tplc="7A881F32">
      <w:numFmt w:val="decimal"/>
      <w:lvlText w:val=""/>
      <w:lvlJc w:val="left"/>
    </w:lvl>
    <w:lvl w:ilvl="8" w:tplc="3424C854">
      <w:numFmt w:val="decimal"/>
      <w:lvlText w:val=""/>
      <w:lvlJc w:val="left"/>
    </w:lvl>
  </w:abstractNum>
  <w:abstractNum w:abstractNumId="482" w15:restartNumberingAfterBreak="0">
    <w:nsid w:val="363310B2"/>
    <w:multiLevelType w:val="hybridMultilevel"/>
    <w:tmpl w:val="5B3A2FEE"/>
    <w:lvl w:ilvl="0" w:tplc="1A98A520">
      <w:start w:val="1"/>
      <w:numFmt w:val="bullet"/>
      <w:lvlText w:val=""/>
      <w:lvlJc w:val="left"/>
      <w:pPr>
        <w:ind w:left="720" w:hanging="180"/>
      </w:pPr>
      <w:rPr>
        <w:rFonts w:ascii="Symbol" w:hAnsi="Symbol" w:hint="default"/>
      </w:rPr>
    </w:lvl>
    <w:lvl w:ilvl="1" w:tplc="4F2815F4">
      <w:numFmt w:val="decimal"/>
      <w:lvlText w:val=""/>
      <w:lvlJc w:val="left"/>
    </w:lvl>
    <w:lvl w:ilvl="2" w:tplc="B0402180">
      <w:numFmt w:val="decimal"/>
      <w:lvlText w:val=""/>
      <w:lvlJc w:val="left"/>
    </w:lvl>
    <w:lvl w:ilvl="3" w:tplc="9CDAECE0">
      <w:numFmt w:val="decimal"/>
      <w:lvlText w:val=""/>
      <w:lvlJc w:val="left"/>
    </w:lvl>
    <w:lvl w:ilvl="4" w:tplc="013CA0CA">
      <w:numFmt w:val="decimal"/>
      <w:lvlText w:val=""/>
      <w:lvlJc w:val="left"/>
    </w:lvl>
    <w:lvl w:ilvl="5" w:tplc="D79ADEB6">
      <w:numFmt w:val="decimal"/>
      <w:lvlText w:val=""/>
      <w:lvlJc w:val="left"/>
    </w:lvl>
    <w:lvl w:ilvl="6" w:tplc="6FD6C65C">
      <w:numFmt w:val="decimal"/>
      <w:lvlText w:val=""/>
      <w:lvlJc w:val="left"/>
    </w:lvl>
    <w:lvl w:ilvl="7" w:tplc="56AEAA16">
      <w:numFmt w:val="decimal"/>
      <w:lvlText w:val=""/>
      <w:lvlJc w:val="left"/>
    </w:lvl>
    <w:lvl w:ilvl="8" w:tplc="BBA8B368">
      <w:numFmt w:val="decimal"/>
      <w:lvlText w:val=""/>
      <w:lvlJc w:val="left"/>
    </w:lvl>
  </w:abstractNum>
  <w:abstractNum w:abstractNumId="483" w15:restartNumberingAfterBreak="0">
    <w:nsid w:val="364D66FA"/>
    <w:multiLevelType w:val="hybridMultilevel"/>
    <w:tmpl w:val="93EE7A0C"/>
    <w:lvl w:ilvl="0" w:tplc="900A36E6">
      <w:start w:val="1"/>
      <w:numFmt w:val="bullet"/>
      <w:lvlText w:val=""/>
      <w:lvlJc w:val="left"/>
      <w:pPr>
        <w:ind w:left="720" w:hanging="180"/>
      </w:pPr>
      <w:rPr>
        <w:rFonts w:ascii="Symbol" w:hAnsi="Symbol" w:hint="default"/>
      </w:rPr>
    </w:lvl>
    <w:lvl w:ilvl="1" w:tplc="6D886350">
      <w:numFmt w:val="decimal"/>
      <w:lvlText w:val=""/>
      <w:lvlJc w:val="left"/>
    </w:lvl>
    <w:lvl w:ilvl="2" w:tplc="5E460332">
      <w:numFmt w:val="decimal"/>
      <w:lvlText w:val=""/>
      <w:lvlJc w:val="left"/>
    </w:lvl>
    <w:lvl w:ilvl="3" w:tplc="D7AC9262">
      <w:numFmt w:val="decimal"/>
      <w:lvlText w:val=""/>
      <w:lvlJc w:val="left"/>
    </w:lvl>
    <w:lvl w:ilvl="4" w:tplc="1D58FD6C">
      <w:numFmt w:val="decimal"/>
      <w:lvlText w:val=""/>
      <w:lvlJc w:val="left"/>
    </w:lvl>
    <w:lvl w:ilvl="5" w:tplc="9CFE30E6">
      <w:numFmt w:val="decimal"/>
      <w:lvlText w:val=""/>
      <w:lvlJc w:val="left"/>
    </w:lvl>
    <w:lvl w:ilvl="6" w:tplc="4E6E3804">
      <w:numFmt w:val="decimal"/>
      <w:lvlText w:val=""/>
      <w:lvlJc w:val="left"/>
    </w:lvl>
    <w:lvl w:ilvl="7" w:tplc="75D4B142">
      <w:numFmt w:val="decimal"/>
      <w:lvlText w:val=""/>
      <w:lvlJc w:val="left"/>
    </w:lvl>
    <w:lvl w:ilvl="8" w:tplc="CA72F31E">
      <w:numFmt w:val="decimal"/>
      <w:lvlText w:val=""/>
      <w:lvlJc w:val="left"/>
    </w:lvl>
  </w:abstractNum>
  <w:abstractNum w:abstractNumId="484" w15:restartNumberingAfterBreak="0">
    <w:nsid w:val="36592FD1"/>
    <w:multiLevelType w:val="hybridMultilevel"/>
    <w:tmpl w:val="39E8FBB6"/>
    <w:lvl w:ilvl="0" w:tplc="083C6290">
      <w:start w:val="1"/>
      <w:numFmt w:val="bullet"/>
      <w:lvlText w:val=""/>
      <w:lvlJc w:val="left"/>
      <w:pPr>
        <w:ind w:left="720" w:hanging="180"/>
      </w:pPr>
      <w:rPr>
        <w:rFonts w:ascii="Symbol" w:hAnsi="Symbol" w:hint="default"/>
      </w:rPr>
    </w:lvl>
    <w:lvl w:ilvl="1" w:tplc="A3907970">
      <w:numFmt w:val="decimal"/>
      <w:lvlText w:val=""/>
      <w:lvlJc w:val="left"/>
    </w:lvl>
    <w:lvl w:ilvl="2" w:tplc="58E0EF40">
      <w:numFmt w:val="decimal"/>
      <w:lvlText w:val=""/>
      <w:lvlJc w:val="left"/>
    </w:lvl>
    <w:lvl w:ilvl="3" w:tplc="00FE6B00">
      <w:numFmt w:val="decimal"/>
      <w:lvlText w:val=""/>
      <w:lvlJc w:val="left"/>
    </w:lvl>
    <w:lvl w:ilvl="4" w:tplc="7CDA2BA8">
      <w:numFmt w:val="decimal"/>
      <w:lvlText w:val=""/>
      <w:lvlJc w:val="left"/>
    </w:lvl>
    <w:lvl w:ilvl="5" w:tplc="34EA873A">
      <w:numFmt w:val="decimal"/>
      <w:lvlText w:val=""/>
      <w:lvlJc w:val="left"/>
    </w:lvl>
    <w:lvl w:ilvl="6" w:tplc="5784BF32">
      <w:numFmt w:val="decimal"/>
      <w:lvlText w:val=""/>
      <w:lvlJc w:val="left"/>
    </w:lvl>
    <w:lvl w:ilvl="7" w:tplc="955A013C">
      <w:numFmt w:val="decimal"/>
      <w:lvlText w:val=""/>
      <w:lvlJc w:val="left"/>
    </w:lvl>
    <w:lvl w:ilvl="8" w:tplc="DDC8E0D0">
      <w:numFmt w:val="decimal"/>
      <w:lvlText w:val=""/>
      <w:lvlJc w:val="left"/>
    </w:lvl>
  </w:abstractNum>
  <w:abstractNum w:abstractNumId="485" w15:restartNumberingAfterBreak="0">
    <w:nsid w:val="366A3ABC"/>
    <w:multiLevelType w:val="hybridMultilevel"/>
    <w:tmpl w:val="D74637BC"/>
    <w:lvl w:ilvl="0" w:tplc="849CD5CE">
      <w:start w:val="1"/>
      <w:numFmt w:val="bullet"/>
      <w:lvlText w:val=""/>
      <w:lvlJc w:val="left"/>
      <w:pPr>
        <w:ind w:left="720" w:hanging="180"/>
      </w:pPr>
      <w:rPr>
        <w:rFonts w:ascii="Symbol" w:hAnsi="Symbol" w:hint="default"/>
      </w:rPr>
    </w:lvl>
    <w:lvl w:ilvl="1" w:tplc="CE7E76F0">
      <w:numFmt w:val="decimal"/>
      <w:lvlText w:val=""/>
      <w:lvlJc w:val="left"/>
    </w:lvl>
    <w:lvl w:ilvl="2" w:tplc="616E40A0">
      <w:numFmt w:val="decimal"/>
      <w:lvlText w:val=""/>
      <w:lvlJc w:val="left"/>
    </w:lvl>
    <w:lvl w:ilvl="3" w:tplc="AFCC97F0">
      <w:numFmt w:val="decimal"/>
      <w:lvlText w:val=""/>
      <w:lvlJc w:val="left"/>
    </w:lvl>
    <w:lvl w:ilvl="4" w:tplc="775C706C">
      <w:numFmt w:val="decimal"/>
      <w:lvlText w:val=""/>
      <w:lvlJc w:val="left"/>
    </w:lvl>
    <w:lvl w:ilvl="5" w:tplc="790EA262">
      <w:numFmt w:val="decimal"/>
      <w:lvlText w:val=""/>
      <w:lvlJc w:val="left"/>
    </w:lvl>
    <w:lvl w:ilvl="6" w:tplc="0D8AD98E">
      <w:numFmt w:val="decimal"/>
      <w:lvlText w:val=""/>
      <w:lvlJc w:val="left"/>
    </w:lvl>
    <w:lvl w:ilvl="7" w:tplc="A26EF828">
      <w:numFmt w:val="decimal"/>
      <w:lvlText w:val=""/>
      <w:lvlJc w:val="left"/>
    </w:lvl>
    <w:lvl w:ilvl="8" w:tplc="C5446D04">
      <w:numFmt w:val="decimal"/>
      <w:lvlText w:val=""/>
      <w:lvlJc w:val="left"/>
    </w:lvl>
  </w:abstractNum>
  <w:abstractNum w:abstractNumId="486" w15:restartNumberingAfterBreak="0">
    <w:nsid w:val="3685486E"/>
    <w:multiLevelType w:val="hybridMultilevel"/>
    <w:tmpl w:val="C1987BA0"/>
    <w:lvl w:ilvl="0" w:tplc="25743078">
      <w:start w:val="1"/>
      <w:numFmt w:val="bullet"/>
      <w:lvlText w:val=""/>
      <w:lvlJc w:val="left"/>
      <w:pPr>
        <w:ind w:left="720" w:hanging="180"/>
      </w:pPr>
      <w:rPr>
        <w:rFonts w:ascii="Symbol" w:hAnsi="Symbol" w:hint="default"/>
      </w:rPr>
    </w:lvl>
    <w:lvl w:ilvl="1" w:tplc="F8A47614">
      <w:numFmt w:val="decimal"/>
      <w:lvlText w:val=""/>
      <w:lvlJc w:val="left"/>
    </w:lvl>
    <w:lvl w:ilvl="2" w:tplc="508EEA2C">
      <w:numFmt w:val="decimal"/>
      <w:lvlText w:val=""/>
      <w:lvlJc w:val="left"/>
    </w:lvl>
    <w:lvl w:ilvl="3" w:tplc="32D2F9B2">
      <w:numFmt w:val="decimal"/>
      <w:lvlText w:val=""/>
      <w:lvlJc w:val="left"/>
    </w:lvl>
    <w:lvl w:ilvl="4" w:tplc="B6824746">
      <w:numFmt w:val="decimal"/>
      <w:lvlText w:val=""/>
      <w:lvlJc w:val="left"/>
    </w:lvl>
    <w:lvl w:ilvl="5" w:tplc="9CD4051C">
      <w:numFmt w:val="decimal"/>
      <w:lvlText w:val=""/>
      <w:lvlJc w:val="left"/>
    </w:lvl>
    <w:lvl w:ilvl="6" w:tplc="49A83846">
      <w:numFmt w:val="decimal"/>
      <w:lvlText w:val=""/>
      <w:lvlJc w:val="left"/>
    </w:lvl>
    <w:lvl w:ilvl="7" w:tplc="2076CF86">
      <w:numFmt w:val="decimal"/>
      <w:lvlText w:val=""/>
      <w:lvlJc w:val="left"/>
    </w:lvl>
    <w:lvl w:ilvl="8" w:tplc="DD3A89BA">
      <w:numFmt w:val="decimal"/>
      <w:lvlText w:val=""/>
      <w:lvlJc w:val="left"/>
    </w:lvl>
  </w:abstractNum>
  <w:abstractNum w:abstractNumId="487" w15:restartNumberingAfterBreak="0">
    <w:nsid w:val="368C56CC"/>
    <w:multiLevelType w:val="hybridMultilevel"/>
    <w:tmpl w:val="44AABB6A"/>
    <w:lvl w:ilvl="0" w:tplc="88E66A08">
      <w:start w:val="1"/>
      <w:numFmt w:val="bullet"/>
      <w:lvlText w:val=""/>
      <w:lvlJc w:val="left"/>
      <w:pPr>
        <w:ind w:left="720" w:hanging="180"/>
      </w:pPr>
      <w:rPr>
        <w:rFonts w:ascii="Symbol" w:hAnsi="Symbol" w:hint="default"/>
      </w:rPr>
    </w:lvl>
    <w:lvl w:ilvl="1" w:tplc="354AB982">
      <w:numFmt w:val="decimal"/>
      <w:lvlText w:val=""/>
      <w:lvlJc w:val="left"/>
    </w:lvl>
    <w:lvl w:ilvl="2" w:tplc="4F723FF8">
      <w:numFmt w:val="decimal"/>
      <w:lvlText w:val=""/>
      <w:lvlJc w:val="left"/>
    </w:lvl>
    <w:lvl w:ilvl="3" w:tplc="996086FE">
      <w:numFmt w:val="decimal"/>
      <w:lvlText w:val=""/>
      <w:lvlJc w:val="left"/>
    </w:lvl>
    <w:lvl w:ilvl="4" w:tplc="4D0EA840">
      <w:numFmt w:val="decimal"/>
      <w:lvlText w:val=""/>
      <w:lvlJc w:val="left"/>
    </w:lvl>
    <w:lvl w:ilvl="5" w:tplc="42FADB56">
      <w:numFmt w:val="decimal"/>
      <w:lvlText w:val=""/>
      <w:lvlJc w:val="left"/>
    </w:lvl>
    <w:lvl w:ilvl="6" w:tplc="2FEE3F24">
      <w:numFmt w:val="decimal"/>
      <w:lvlText w:val=""/>
      <w:lvlJc w:val="left"/>
    </w:lvl>
    <w:lvl w:ilvl="7" w:tplc="A5A07D08">
      <w:numFmt w:val="decimal"/>
      <w:lvlText w:val=""/>
      <w:lvlJc w:val="left"/>
    </w:lvl>
    <w:lvl w:ilvl="8" w:tplc="3B489B44">
      <w:numFmt w:val="decimal"/>
      <w:lvlText w:val=""/>
      <w:lvlJc w:val="left"/>
    </w:lvl>
  </w:abstractNum>
  <w:abstractNum w:abstractNumId="488" w15:restartNumberingAfterBreak="0">
    <w:nsid w:val="36953A24"/>
    <w:multiLevelType w:val="hybridMultilevel"/>
    <w:tmpl w:val="74149B6C"/>
    <w:lvl w:ilvl="0" w:tplc="2800F55E">
      <w:start w:val="1"/>
      <w:numFmt w:val="bullet"/>
      <w:lvlText w:val=""/>
      <w:lvlJc w:val="left"/>
      <w:pPr>
        <w:ind w:left="720" w:hanging="180"/>
      </w:pPr>
      <w:rPr>
        <w:rFonts w:ascii="Symbol" w:hAnsi="Symbol" w:hint="default"/>
      </w:rPr>
    </w:lvl>
    <w:lvl w:ilvl="1" w:tplc="CA98A0B4">
      <w:numFmt w:val="decimal"/>
      <w:lvlText w:val=""/>
      <w:lvlJc w:val="left"/>
    </w:lvl>
    <w:lvl w:ilvl="2" w:tplc="81368224">
      <w:numFmt w:val="decimal"/>
      <w:lvlText w:val=""/>
      <w:lvlJc w:val="left"/>
    </w:lvl>
    <w:lvl w:ilvl="3" w:tplc="FE602F6A">
      <w:numFmt w:val="decimal"/>
      <w:lvlText w:val=""/>
      <w:lvlJc w:val="left"/>
    </w:lvl>
    <w:lvl w:ilvl="4" w:tplc="525AC15C">
      <w:numFmt w:val="decimal"/>
      <w:lvlText w:val=""/>
      <w:lvlJc w:val="left"/>
    </w:lvl>
    <w:lvl w:ilvl="5" w:tplc="84D4402C">
      <w:numFmt w:val="decimal"/>
      <w:lvlText w:val=""/>
      <w:lvlJc w:val="left"/>
    </w:lvl>
    <w:lvl w:ilvl="6" w:tplc="23420F3A">
      <w:numFmt w:val="decimal"/>
      <w:lvlText w:val=""/>
      <w:lvlJc w:val="left"/>
    </w:lvl>
    <w:lvl w:ilvl="7" w:tplc="950C5312">
      <w:numFmt w:val="decimal"/>
      <w:lvlText w:val=""/>
      <w:lvlJc w:val="left"/>
    </w:lvl>
    <w:lvl w:ilvl="8" w:tplc="6B04E58A">
      <w:numFmt w:val="decimal"/>
      <w:lvlText w:val=""/>
      <w:lvlJc w:val="left"/>
    </w:lvl>
  </w:abstractNum>
  <w:abstractNum w:abstractNumId="489" w15:restartNumberingAfterBreak="0">
    <w:nsid w:val="36D554BB"/>
    <w:multiLevelType w:val="hybridMultilevel"/>
    <w:tmpl w:val="8E421B10"/>
    <w:lvl w:ilvl="0" w:tplc="76E46A28">
      <w:start w:val="1"/>
      <w:numFmt w:val="bullet"/>
      <w:lvlText w:val=""/>
      <w:lvlJc w:val="left"/>
      <w:pPr>
        <w:ind w:left="720" w:hanging="180"/>
      </w:pPr>
      <w:rPr>
        <w:rFonts w:ascii="Symbol" w:hAnsi="Symbol" w:hint="default"/>
      </w:rPr>
    </w:lvl>
    <w:lvl w:ilvl="1" w:tplc="1B7CA694">
      <w:numFmt w:val="decimal"/>
      <w:lvlText w:val=""/>
      <w:lvlJc w:val="left"/>
    </w:lvl>
    <w:lvl w:ilvl="2" w:tplc="F1E469C0">
      <w:numFmt w:val="decimal"/>
      <w:lvlText w:val=""/>
      <w:lvlJc w:val="left"/>
    </w:lvl>
    <w:lvl w:ilvl="3" w:tplc="41222BAC">
      <w:numFmt w:val="decimal"/>
      <w:lvlText w:val=""/>
      <w:lvlJc w:val="left"/>
    </w:lvl>
    <w:lvl w:ilvl="4" w:tplc="F064CDB8">
      <w:numFmt w:val="decimal"/>
      <w:lvlText w:val=""/>
      <w:lvlJc w:val="left"/>
    </w:lvl>
    <w:lvl w:ilvl="5" w:tplc="903494D4">
      <w:numFmt w:val="decimal"/>
      <w:lvlText w:val=""/>
      <w:lvlJc w:val="left"/>
    </w:lvl>
    <w:lvl w:ilvl="6" w:tplc="FBDA612C">
      <w:numFmt w:val="decimal"/>
      <w:lvlText w:val=""/>
      <w:lvlJc w:val="left"/>
    </w:lvl>
    <w:lvl w:ilvl="7" w:tplc="3D680FEA">
      <w:numFmt w:val="decimal"/>
      <w:lvlText w:val=""/>
      <w:lvlJc w:val="left"/>
    </w:lvl>
    <w:lvl w:ilvl="8" w:tplc="D668E2AC">
      <w:numFmt w:val="decimal"/>
      <w:lvlText w:val=""/>
      <w:lvlJc w:val="left"/>
    </w:lvl>
  </w:abstractNum>
  <w:abstractNum w:abstractNumId="490" w15:restartNumberingAfterBreak="0">
    <w:nsid w:val="36F7655D"/>
    <w:multiLevelType w:val="hybridMultilevel"/>
    <w:tmpl w:val="BBD680CE"/>
    <w:lvl w:ilvl="0" w:tplc="BC6E8286">
      <w:start w:val="1"/>
      <w:numFmt w:val="bullet"/>
      <w:lvlText w:val=""/>
      <w:lvlJc w:val="left"/>
      <w:pPr>
        <w:ind w:left="720" w:hanging="180"/>
      </w:pPr>
      <w:rPr>
        <w:rFonts w:ascii="Symbol" w:hAnsi="Symbol" w:hint="default"/>
      </w:rPr>
    </w:lvl>
    <w:lvl w:ilvl="1" w:tplc="EC78763A">
      <w:numFmt w:val="decimal"/>
      <w:lvlText w:val=""/>
      <w:lvlJc w:val="left"/>
    </w:lvl>
    <w:lvl w:ilvl="2" w:tplc="EC08AADA">
      <w:numFmt w:val="decimal"/>
      <w:lvlText w:val=""/>
      <w:lvlJc w:val="left"/>
    </w:lvl>
    <w:lvl w:ilvl="3" w:tplc="167627B4">
      <w:numFmt w:val="decimal"/>
      <w:lvlText w:val=""/>
      <w:lvlJc w:val="left"/>
    </w:lvl>
    <w:lvl w:ilvl="4" w:tplc="8DDCC8DE">
      <w:numFmt w:val="decimal"/>
      <w:lvlText w:val=""/>
      <w:lvlJc w:val="left"/>
    </w:lvl>
    <w:lvl w:ilvl="5" w:tplc="82126DAE">
      <w:numFmt w:val="decimal"/>
      <w:lvlText w:val=""/>
      <w:lvlJc w:val="left"/>
    </w:lvl>
    <w:lvl w:ilvl="6" w:tplc="33521894">
      <w:numFmt w:val="decimal"/>
      <w:lvlText w:val=""/>
      <w:lvlJc w:val="left"/>
    </w:lvl>
    <w:lvl w:ilvl="7" w:tplc="25083090">
      <w:numFmt w:val="decimal"/>
      <w:lvlText w:val=""/>
      <w:lvlJc w:val="left"/>
    </w:lvl>
    <w:lvl w:ilvl="8" w:tplc="666462AE">
      <w:numFmt w:val="decimal"/>
      <w:lvlText w:val=""/>
      <w:lvlJc w:val="left"/>
    </w:lvl>
  </w:abstractNum>
  <w:abstractNum w:abstractNumId="491" w15:restartNumberingAfterBreak="0">
    <w:nsid w:val="370A3708"/>
    <w:multiLevelType w:val="hybridMultilevel"/>
    <w:tmpl w:val="F96A242A"/>
    <w:lvl w:ilvl="0" w:tplc="B15CC588">
      <w:start w:val="1"/>
      <w:numFmt w:val="bullet"/>
      <w:lvlText w:val=""/>
      <w:lvlJc w:val="left"/>
      <w:pPr>
        <w:ind w:left="720" w:hanging="180"/>
      </w:pPr>
      <w:rPr>
        <w:rFonts w:ascii="Symbol" w:hAnsi="Symbol" w:hint="default"/>
      </w:rPr>
    </w:lvl>
    <w:lvl w:ilvl="1" w:tplc="A8E27514">
      <w:numFmt w:val="decimal"/>
      <w:lvlText w:val=""/>
      <w:lvlJc w:val="left"/>
    </w:lvl>
    <w:lvl w:ilvl="2" w:tplc="E1344C06">
      <w:numFmt w:val="decimal"/>
      <w:lvlText w:val=""/>
      <w:lvlJc w:val="left"/>
    </w:lvl>
    <w:lvl w:ilvl="3" w:tplc="07B85C14">
      <w:numFmt w:val="decimal"/>
      <w:lvlText w:val=""/>
      <w:lvlJc w:val="left"/>
    </w:lvl>
    <w:lvl w:ilvl="4" w:tplc="C8726E12">
      <w:numFmt w:val="decimal"/>
      <w:lvlText w:val=""/>
      <w:lvlJc w:val="left"/>
    </w:lvl>
    <w:lvl w:ilvl="5" w:tplc="38F67FFC">
      <w:numFmt w:val="decimal"/>
      <w:lvlText w:val=""/>
      <w:lvlJc w:val="left"/>
    </w:lvl>
    <w:lvl w:ilvl="6" w:tplc="898AE87C">
      <w:numFmt w:val="decimal"/>
      <w:lvlText w:val=""/>
      <w:lvlJc w:val="left"/>
    </w:lvl>
    <w:lvl w:ilvl="7" w:tplc="878A4C2C">
      <w:numFmt w:val="decimal"/>
      <w:lvlText w:val=""/>
      <w:lvlJc w:val="left"/>
    </w:lvl>
    <w:lvl w:ilvl="8" w:tplc="9B802B58">
      <w:numFmt w:val="decimal"/>
      <w:lvlText w:val=""/>
      <w:lvlJc w:val="left"/>
    </w:lvl>
  </w:abstractNum>
  <w:abstractNum w:abstractNumId="492" w15:restartNumberingAfterBreak="0">
    <w:nsid w:val="373D5AD5"/>
    <w:multiLevelType w:val="hybridMultilevel"/>
    <w:tmpl w:val="BA0AB568"/>
    <w:lvl w:ilvl="0" w:tplc="095C5ACE">
      <w:start w:val="1"/>
      <w:numFmt w:val="bullet"/>
      <w:lvlText w:val=""/>
      <w:lvlJc w:val="left"/>
      <w:pPr>
        <w:ind w:left="720" w:hanging="180"/>
      </w:pPr>
      <w:rPr>
        <w:rFonts w:ascii="Symbol" w:hAnsi="Symbol" w:hint="default"/>
      </w:rPr>
    </w:lvl>
    <w:lvl w:ilvl="1" w:tplc="E9B42470">
      <w:numFmt w:val="decimal"/>
      <w:lvlText w:val=""/>
      <w:lvlJc w:val="left"/>
    </w:lvl>
    <w:lvl w:ilvl="2" w:tplc="39EEEBAC">
      <w:numFmt w:val="decimal"/>
      <w:lvlText w:val=""/>
      <w:lvlJc w:val="left"/>
    </w:lvl>
    <w:lvl w:ilvl="3" w:tplc="C9FE8B56">
      <w:numFmt w:val="decimal"/>
      <w:lvlText w:val=""/>
      <w:lvlJc w:val="left"/>
    </w:lvl>
    <w:lvl w:ilvl="4" w:tplc="F136322E">
      <w:numFmt w:val="decimal"/>
      <w:lvlText w:val=""/>
      <w:lvlJc w:val="left"/>
    </w:lvl>
    <w:lvl w:ilvl="5" w:tplc="5DA4BBE0">
      <w:numFmt w:val="decimal"/>
      <w:lvlText w:val=""/>
      <w:lvlJc w:val="left"/>
    </w:lvl>
    <w:lvl w:ilvl="6" w:tplc="011E55EC">
      <w:numFmt w:val="decimal"/>
      <w:lvlText w:val=""/>
      <w:lvlJc w:val="left"/>
    </w:lvl>
    <w:lvl w:ilvl="7" w:tplc="CF048196">
      <w:numFmt w:val="decimal"/>
      <w:lvlText w:val=""/>
      <w:lvlJc w:val="left"/>
    </w:lvl>
    <w:lvl w:ilvl="8" w:tplc="BE66C01A">
      <w:numFmt w:val="decimal"/>
      <w:lvlText w:val=""/>
      <w:lvlJc w:val="left"/>
    </w:lvl>
  </w:abstractNum>
  <w:abstractNum w:abstractNumId="493" w15:restartNumberingAfterBreak="0">
    <w:nsid w:val="376C6742"/>
    <w:multiLevelType w:val="hybridMultilevel"/>
    <w:tmpl w:val="446EC450"/>
    <w:lvl w:ilvl="0" w:tplc="B5DEA03C">
      <w:start w:val="1"/>
      <w:numFmt w:val="bullet"/>
      <w:lvlText w:val=""/>
      <w:lvlJc w:val="left"/>
      <w:pPr>
        <w:ind w:left="720" w:hanging="180"/>
      </w:pPr>
      <w:rPr>
        <w:rFonts w:ascii="Symbol" w:hAnsi="Symbol" w:hint="default"/>
      </w:rPr>
    </w:lvl>
    <w:lvl w:ilvl="1" w:tplc="87B8393C">
      <w:numFmt w:val="decimal"/>
      <w:lvlText w:val=""/>
      <w:lvlJc w:val="left"/>
    </w:lvl>
    <w:lvl w:ilvl="2" w:tplc="13A8703C">
      <w:numFmt w:val="decimal"/>
      <w:lvlText w:val=""/>
      <w:lvlJc w:val="left"/>
    </w:lvl>
    <w:lvl w:ilvl="3" w:tplc="27AA03D8">
      <w:numFmt w:val="decimal"/>
      <w:lvlText w:val=""/>
      <w:lvlJc w:val="left"/>
    </w:lvl>
    <w:lvl w:ilvl="4" w:tplc="DE0064CC">
      <w:numFmt w:val="decimal"/>
      <w:lvlText w:val=""/>
      <w:lvlJc w:val="left"/>
    </w:lvl>
    <w:lvl w:ilvl="5" w:tplc="7B2E392A">
      <w:numFmt w:val="decimal"/>
      <w:lvlText w:val=""/>
      <w:lvlJc w:val="left"/>
    </w:lvl>
    <w:lvl w:ilvl="6" w:tplc="8F425056">
      <w:numFmt w:val="decimal"/>
      <w:lvlText w:val=""/>
      <w:lvlJc w:val="left"/>
    </w:lvl>
    <w:lvl w:ilvl="7" w:tplc="75FCE794">
      <w:numFmt w:val="decimal"/>
      <w:lvlText w:val=""/>
      <w:lvlJc w:val="left"/>
    </w:lvl>
    <w:lvl w:ilvl="8" w:tplc="E07ED0CC">
      <w:numFmt w:val="decimal"/>
      <w:lvlText w:val=""/>
      <w:lvlJc w:val="left"/>
    </w:lvl>
  </w:abstractNum>
  <w:abstractNum w:abstractNumId="494" w15:restartNumberingAfterBreak="0">
    <w:nsid w:val="379B7A1C"/>
    <w:multiLevelType w:val="hybridMultilevel"/>
    <w:tmpl w:val="AF7CDB58"/>
    <w:lvl w:ilvl="0" w:tplc="4178E72E">
      <w:start w:val="1"/>
      <w:numFmt w:val="bullet"/>
      <w:lvlText w:val=""/>
      <w:lvlJc w:val="left"/>
      <w:pPr>
        <w:ind w:left="720" w:hanging="180"/>
      </w:pPr>
      <w:rPr>
        <w:rFonts w:ascii="Symbol" w:hAnsi="Symbol" w:hint="default"/>
      </w:rPr>
    </w:lvl>
    <w:lvl w:ilvl="1" w:tplc="86A4E690">
      <w:numFmt w:val="decimal"/>
      <w:lvlText w:val=""/>
      <w:lvlJc w:val="left"/>
    </w:lvl>
    <w:lvl w:ilvl="2" w:tplc="AB5C7A3A">
      <w:numFmt w:val="decimal"/>
      <w:lvlText w:val=""/>
      <w:lvlJc w:val="left"/>
    </w:lvl>
    <w:lvl w:ilvl="3" w:tplc="7542C396">
      <w:numFmt w:val="decimal"/>
      <w:lvlText w:val=""/>
      <w:lvlJc w:val="left"/>
    </w:lvl>
    <w:lvl w:ilvl="4" w:tplc="09C04C4C">
      <w:numFmt w:val="decimal"/>
      <w:lvlText w:val=""/>
      <w:lvlJc w:val="left"/>
    </w:lvl>
    <w:lvl w:ilvl="5" w:tplc="677422C0">
      <w:numFmt w:val="decimal"/>
      <w:lvlText w:val=""/>
      <w:lvlJc w:val="left"/>
    </w:lvl>
    <w:lvl w:ilvl="6" w:tplc="852C6100">
      <w:numFmt w:val="decimal"/>
      <w:lvlText w:val=""/>
      <w:lvlJc w:val="left"/>
    </w:lvl>
    <w:lvl w:ilvl="7" w:tplc="A5123AC8">
      <w:numFmt w:val="decimal"/>
      <w:lvlText w:val=""/>
      <w:lvlJc w:val="left"/>
    </w:lvl>
    <w:lvl w:ilvl="8" w:tplc="6DC0FA7C">
      <w:numFmt w:val="decimal"/>
      <w:lvlText w:val=""/>
      <w:lvlJc w:val="left"/>
    </w:lvl>
  </w:abstractNum>
  <w:abstractNum w:abstractNumId="495" w15:restartNumberingAfterBreak="0">
    <w:nsid w:val="37A26DC3"/>
    <w:multiLevelType w:val="hybridMultilevel"/>
    <w:tmpl w:val="2B163546"/>
    <w:lvl w:ilvl="0" w:tplc="2C38C590">
      <w:start w:val="1"/>
      <w:numFmt w:val="bullet"/>
      <w:lvlText w:val=""/>
      <w:lvlJc w:val="left"/>
      <w:pPr>
        <w:ind w:left="720" w:hanging="180"/>
      </w:pPr>
      <w:rPr>
        <w:rFonts w:ascii="Symbol" w:hAnsi="Symbol" w:hint="default"/>
      </w:rPr>
    </w:lvl>
    <w:lvl w:ilvl="1" w:tplc="97808EE0">
      <w:numFmt w:val="decimal"/>
      <w:lvlText w:val=""/>
      <w:lvlJc w:val="left"/>
    </w:lvl>
    <w:lvl w:ilvl="2" w:tplc="AFE8E08A">
      <w:numFmt w:val="decimal"/>
      <w:lvlText w:val=""/>
      <w:lvlJc w:val="left"/>
    </w:lvl>
    <w:lvl w:ilvl="3" w:tplc="AEE8A114">
      <w:numFmt w:val="decimal"/>
      <w:lvlText w:val=""/>
      <w:lvlJc w:val="left"/>
    </w:lvl>
    <w:lvl w:ilvl="4" w:tplc="E9087976">
      <w:numFmt w:val="decimal"/>
      <w:lvlText w:val=""/>
      <w:lvlJc w:val="left"/>
    </w:lvl>
    <w:lvl w:ilvl="5" w:tplc="02BC4AEC">
      <w:numFmt w:val="decimal"/>
      <w:lvlText w:val=""/>
      <w:lvlJc w:val="left"/>
    </w:lvl>
    <w:lvl w:ilvl="6" w:tplc="C820E9BE">
      <w:numFmt w:val="decimal"/>
      <w:lvlText w:val=""/>
      <w:lvlJc w:val="left"/>
    </w:lvl>
    <w:lvl w:ilvl="7" w:tplc="DEE6A9CA">
      <w:numFmt w:val="decimal"/>
      <w:lvlText w:val=""/>
      <w:lvlJc w:val="left"/>
    </w:lvl>
    <w:lvl w:ilvl="8" w:tplc="15D600FA">
      <w:numFmt w:val="decimal"/>
      <w:lvlText w:val=""/>
      <w:lvlJc w:val="left"/>
    </w:lvl>
  </w:abstractNum>
  <w:abstractNum w:abstractNumId="496" w15:restartNumberingAfterBreak="0">
    <w:nsid w:val="37B55921"/>
    <w:multiLevelType w:val="hybridMultilevel"/>
    <w:tmpl w:val="2D243CF6"/>
    <w:lvl w:ilvl="0" w:tplc="1C1E0772">
      <w:start w:val="1"/>
      <w:numFmt w:val="bullet"/>
      <w:lvlText w:val=""/>
      <w:lvlJc w:val="left"/>
      <w:pPr>
        <w:ind w:left="720" w:hanging="180"/>
      </w:pPr>
      <w:rPr>
        <w:rFonts w:ascii="Symbol" w:hAnsi="Symbol" w:hint="default"/>
      </w:rPr>
    </w:lvl>
    <w:lvl w:ilvl="1" w:tplc="0444F48E">
      <w:numFmt w:val="decimal"/>
      <w:lvlText w:val=""/>
      <w:lvlJc w:val="left"/>
    </w:lvl>
    <w:lvl w:ilvl="2" w:tplc="7674BF26">
      <w:numFmt w:val="decimal"/>
      <w:lvlText w:val=""/>
      <w:lvlJc w:val="left"/>
    </w:lvl>
    <w:lvl w:ilvl="3" w:tplc="ABD4628E">
      <w:numFmt w:val="decimal"/>
      <w:lvlText w:val=""/>
      <w:lvlJc w:val="left"/>
    </w:lvl>
    <w:lvl w:ilvl="4" w:tplc="372C00C8">
      <w:numFmt w:val="decimal"/>
      <w:lvlText w:val=""/>
      <w:lvlJc w:val="left"/>
    </w:lvl>
    <w:lvl w:ilvl="5" w:tplc="531A9CA8">
      <w:numFmt w:val="decimal"/>
      <w:lvlText w:val=""/>
      <w:lvlJc w:val="left"/>
    </w:lvl>
    <w:lvl w:ilvl="6" w:tplc="52AE74B4">
      <w:numFmt w:val="decimal"/>
      <w:lvlText w:val=""/>
      <w:lvlJc w:val="left"/>
    </w:lvl>
    <w:lvl w:ilvl="7" w:tplc="940AE560">
      <w:numFmt w:val="decimal"/>
      <w:lvlText w:val=""/>
      <w:lvlJc w:val="left"/>
    </w:lvl>
    <w:lvl w:ilvl="8" w:tplc="21AA034C">
      <w:numFmt w:val="decimal"/>
      <w:lvlText w:val=""/>
      <w:lvlJc w:val="left"/>
    </w:lvl>
  </w:abstractNum>
  <w:abstractNum w:abstractNumId="497" w15:restartNumberingAfterBreak="0">
    <w:nsid w:val="37D81AC4"/>
    <w:multiLevelType w:val="hybridMultilevel"/>
    <w:tmpl w:val="303CD73C"/>
    <w:lvl w:ilvl="0" w:tplc="A5B47852">
      <w:start w:val="1"/>
      <w:numFmt w:val="bullet"/>
      <w:lvlText w:val=""/>
      <w:lvlJc w:val="left"/>
      <w:pPr>
        <w:ind w:left="720" w:hanging="180"/>
      </w:pPr>
      <w:rPr>
        <w:rFonts w:ascii="Symbol" w:hAnsi="Symbol" w:hint="default"/>
      </w:rPr>
    </w:lvl>
    <w:lvl w:ilvl="1" w:tplc="4FCA8BC4">
      <w:numFmt w:val="decimal"/>
      <w:lvlText w:val=""/>
      <w:lvlJc w:val="left"/>
    </w:lvl>
    <w:lvl w:ilvl="2" w:tplc="6BFCFF7C">
      <w:numFmt w:val="decimal"/>
      <w:lvlText w:val=""/>
      <w:lvlJc w:val="left"/>
    </w:lvl>
    <w:lvl w:ilvl="3" w:tplc="F5D479C4">
      <w:numFmt w:val="decimal"/>
      <w:lvlText w:val=""/>
      <w:lvlJc w:val="left"/>
    </w:lvl>
    <w:lvl w:ilvl="4" w:tplc="DAF201A8">
      <w:numFmt w:val="decimal"/>
      <w:lvlText w:val=""/>
      <w:lvlJc w:val="left"/>
    </w:lvl>
    <w:lvl w:ilvl="5" w:tplc="09FC4F40">
      <w:numFmt w:val="decimal"/>
      <w:lvlText w:val=""/>
      <w:lvlJc w:val="left"/>
    </w:lvl>
    <w:lvl w:ilvl="6" w:tplc="C5D2B0EC">
      <w:numFmt w:val="decimal"/>
      <w:lvlText w:val=""/>
      <w:lvlJc w:val="left"/>
    </w:lvl>
    <w:lvl w:ilvl="7" w:tplc="C834239A">
      <w:numFmt w:val="decimal"/>
      <w:lvlText w:val=""/>
      <w:lvlJc w:val="left"/>
    </w:lvl>
    <w:lvl w:ilvl="8" w:tplc="3E024024">
      <w:numFmt w:val="decimal"/>
      <w:lvlText w:val=""/>
      <w:lvlJc w:val="left"/>
    </w:lvl>
  </w:abstractNum>
  <w:abstractNum w:abstractNumId="498" w15:restartNumberingAfterBreak="0">
    <w:nsid w:val="37FE3BB5"/>
    <w:multiLevelType w:val="hybridMultilevel"/>
    <w:tmpl w:val="92CE5F98"/>
    <w:lvl w:ilvl="0" w:tplc="C9C0570E">
      <w:start w:val="1"/>
      <w:numFmt w:val="bullet"/>
      <w:lvlText w:val=""/>
      <w:lvlJc w:val="left"/>
      <w:pPr>
        <w:ind w:left="720" w:hanging="180"/>
      </w:pPr>
      <w:rPr>
        <w:rFonts w:ascii="Symbol" w:hAnsi="Symbol" w:hint="default"/>
      </w:rPr>
    </w:lvl>
    <w:lvl w:ilvl="1" w:tplc="43D6FBF4">
      <w:numFmt w:val="decimal"/>
      <w:lvlText w:val=""/>
      <w:lvlJc w:val="left"/>
    </w:lvl>
    <w:lvl w:ilvl="2" w:tplc="7042EC2E">
      <w:numFmt w:val="decimal"/>
      <w:lvlText w:val=""/>
      <w:lvlJc w:val="left"/>
    </w:lvl>
    <w:lvl w:ilvl="3" w:tplc="4330F4A4">
      <w:numFmt w:val="decimal"/>
      <w:lvlText w:val=""/>
      <w:lvlJc w:val="left"/>
    </w:lvl>
    <w:lvl w:ilvl="4" w:tplc="E1D8C344">
      <w:numFmt w:val="decimal"/>
      <w:lvlText w:val=""/>
      <w:lvlJc w:val="left"/>
    </w:lvl>
    <w:lvl w:ilvl="5" w:tplc="7F80E59A">
      <w:numFmt w:val="decimal"/>
      <w:lvlText w:val=""/>
      <w:lvlJc w:val="left"/>
    </w:lvl>
    <w:lvl w:ilvl="6" w:tplc="F6105D40">
      <w:numFmt w:val="decimal"/>
      <w:lvlText w:val=""/>
      <w:lvlJc w:val="left"/>
    </w:lvl>
    <w:lvl w:ilvl="7" w:tplc="C4DC9E5A">
      <w:numFmt w:val="decimal"/>
      <w:lvlText w:val=""/>
      <w:lvlJc w:val="left"/>
    </w:lvl>
    <w:lvl w:ilvl="8" w:tplc="71729A52">
      <w:numFmt w:val="decimal"/>
      <w:lvlText w:val=""/>
      <w:lvlJc w:val="left"/>
    </w:lvl>
  </w:abstractNum>
  <w:abstractNum w:abstractNumId="499" w15:restartNumberingAfterBreak="0">
    <w:nsid w:val="37FF6E8D"/>
    <w:multiLevelType w:val="hybridMultilevel"/>
    <w:tmpl w:val="D3808576"/>
    <w:lvl w:ilvl="0" w:tplc="5F1C53CA">
      <w:start w:val="1"/>
      <w:numFmt w:val="bullet"/>
      <w:lvlText w:val=""/>
      <w:lvlJc w:val="left"/>
      <w:pPr>
        <w:ind w:left="720" w:hanging="180"/>
      </w:pPr>
      <w:rPr>
        <w:rFonts w:ascii="Symbol" w:hAnsi="Symbol" w:hint="default"/>
      </w:rPr>
    </w:lvl>
    <w:lvl w:ilvl="1" w:tplc="CC52D9BE">
      <w:numFmt w:val="decimal"/>
      <w:lvlText w:val=""/>
      <w:lvlJc w:val="left"/>
    </w:lvl>
    <w:lvl w:ilvl="2" w:tplc="020E2220">
      <w:numFmt w:val="decimal"/>
      <w:lvlText w:val=""/>
      <w:lvlJc w:val="left"/>
    </w:lvl>
    <w:lvl w:ilvl="3" w:tplc="8A64AF6A">
      <w:numFmt w:val="decimal"/>
      <w:lvlText w:val=""/>
      <w:lvlJc w:val="left"/>
    </w:lvl>
    <w:lvl w:ilvl="4" w:tplc="EE0A8AD4">
      <w:numFmt w:val="decimal"/>
      <w:lvlText w:val=""/>
      <w:lvlJc w:val="left"/>
    </w:lvl>
    <w:lvl w:ilvl="5" w:tplc="79FAD852">
      <w:numFmt w:val="decimal"/>
      <w:lvlText w:val=""/>
      <w:lvlJc w:val="left"/>
    </w:lvl>
    <w:lvl w:ilvl="6" w:tplc="7AFA335E">
      <w:numFmt w:val="decimal"/>
      <w:lvlText w:val=""/>
      <w:lvlJc w:val="left"/>
    </w:lvl>
    <w:lvl w:ilvl="7" w:tplc="E332967A">
      <w:numFmt w:val="decimal"/>
      <w:lvlText w:val=""/>
      <w:lvlJc w:val="left"/>
    </w:lvl>
    <w:lvl w:ilvl="8" w:tplc="3B4C4B12">
      <w:numFmt w:val="decimal"/>
      <w:lvlText w:val=""/>
      <w:lvlJc w:val="left"/>
    </w:lvl>
  </w:abstractNum>
  <w:abstractNum w:abstractNumId="500" w15:restartNumberingAfterBreak="0">
    <w:nsid w:val="38277B1B"/>
    <w:multiLevelType w:val="hybridMultilevel"/>
    <w:tmpl w:val="406CEB9C"/>
    <w:lvl w:ilvl="0" w:tplc="50DEB002">
      <w:start w:val="1"/>
      <w:numFmt w:val="bullet"/>
      <w:lvlText w:val=""/>
      <w:lvlJc w:val="left"/>
      <w:pPr>
        <w:ind w:left="720" w:hanging="180"/>
      </w:pPr>
      <w:rPr>
        <w:rFonts w:ascii="Symbol" w:hAnsi="Symbol" w:hint="default"/>
      </w:rPr>
    </w:lvl>
    <w:lvl w:ilvl="1" w:tplc="E94A7294">
      <w:numFmt w:val="decimal"/>
      <w:lvlText w:val=""/>
      <w:lvlJc w:val="left"/>
    </w:lvl>
    <w:lvl w:ilvl="2" w:tplc="2092E6AE">
      <w:numFmt w:val="decimal"/>
      <w:lvlText w:val=""/>
      <w:lvlJc w:val="left"/>
    </w:lvl>
    <w:lvl w:ilvl="3" w:tplc="4340415E">
      <w:numFmt w:val="decimal"/>
      <w:lvlText w:val=""/>
      <w:lvlJc w:val="left"/>
    </w:lvl>
    <w:lvl w:ilvl="4" w:tplc="17FA3EC8">
      <w:numFmt w:val="decimal"/>
      <w:lvlText w:val=""/>
      <w:lvlJc w:val="left"/>
    </w:lvl>
    <w:lvl w:ilvl="5" w:tplc="CDBE9094">
      <w:numFmt w:val="decimal"/>
      <w:lvlText w:val=""/>
      <w:lvlJc w:val="left"/>
    </w:lvl>
    <w:lvl w:ilvl="6" w:tplc="1FA8D682">
      <w:numFmt w:val="decimal"/>
      <w:lvlText w:val=""/>
      <w:lvlJc w:val="left"/>
    </w:lvl>
    <w:lvl w:ilvl="7" w:tplc="E97836C2">
      <w:numFmt w:val="decimal"/>
      <w:lvlText w:val=""/>
      <w:lvlJc w:val="left"/>
    </w:lvl>
    <w:lvl w:ilvl="8" w:tplc="15D845CA">
      <w:numFmt w:val="decimal"/>
      <w:lvlText w:val=""/>
      <w:lvlJc w:val="left"/>
    </w:lvl>
  </w:abstractNum>
  <w:abstractNum w:abstractNumId="501" w15:restartNumberingAfterBreak="0">
    <w:nsid w:val="38444292"/>
    <w:multiLevelType w:val="hybridMultilevel"/>
    <w:tmpl w:val="2BBE6598"/>
    <w:lvl w:ilvl="0" w:tplc="D598B1E4">
      <w:start w:val="1"/>
      <w:numFmt w:val="bullet"/>
      <w:lvlText w:val=""/>
      <w:lvlJc w:val="left"/>
      <w:pPr>
        <w:ind w:left="720" w:hanging="180"/>
      </w:pPr>
      <w:rPr>
        <w:rFonts w:ascii="Symbol" w:hAnsi="Symbol" w:hint="default"/>
      </w:rPr>
    </w:lvl>
    <w:lvl w:ilvl="1" w:tplc="FCE47BFE">
      <w:numFmt w:val="decimal"/>
      <w:lvlText w:val=""/>
      <w:lvlJc w:val="left"/>
    </w:lvl>
    <w:lvl w:ilvl="2" w:tplc="5606B194">
      <w:numFmt w:val="decimal"/>
      <w:lvlText w:val=""/>
      <w:lvlJc w:val="left"/>
    </w:lvl>
    <w:lvl w:ilvl="3" w:tplc="1946F7E6">
      <w:numFmt w:val="decimal"/>
      <w:lvlText w:val=""/>
      <w:lvlJc w:val="left"/>
    </w:lvl>
    <w:lvl w:ilvl="4" w:tplc="BCB87F5C">
      <w:numFmt w:val="decimal"/>
      <w:lvlText w:val=""/>
      <w:lvlJc w:val="left"/>
    </w:lvl>
    <w:lvl w:ilvl="5" w:tplc="6FFA5368">
      <w:numFmt w:val="decimal"/>
      <w:lvlText w:val=""/>
      <w:lvlJc w:val="left"/>
    </w:lvl>
    <w:lvl w:ilvl="6" w:tplc="337EE5B6">
      <w:numFmt w:val="decimal"/>
      <w:lvlText w:val=""/>
      <w:lvlJc w:val="left"/>
    </w:lvl>
    <w:lvl w:ilvl="7" w:tplc="199E4AF4">
      <w:numFmt w:val="decimal"/>
      <w:lvlText w:val=""/>
      <w:lvlJc w:val="left"/>
    </w:lvl>
    <w:lvl w:ilvl="8" w:tplc="DE54D2B8">
      <w:numFmt w:val="decimal"/>
      <w:lvlText w:val=""/>
      <w:lvlJc w:val="left"/>
    </w:lvl>
  </w:abstractNum>
  <w:abstractNum w:abstractNumId="502" w15:restartNumberingAfterBreak="0">
    <w:nsid w:val="38502300"/>
    <w:multiLevelType w:val="hybridMultilevel"/>
    <w:tmpl w:val="E95E6EF4"/>
    <w:lvl w:ilvl="0" w:tplc="251E6924">
      <w:start w:val="1"/>
      <w:numFmt w:val="bullet"/>
      <w:lvlText w:val=""/>
      <w:lvlJc w:val="left"/>
      <w:pPr>
        <w:ind w:left="720" w:hanging="180"/>
      </w:pPr>
      <w:rPr>
        <w:rFonts w:ascii="Symbol" w:hAnsi="Symbol" w:hint="default"/>
      </w:rPr>
    </w:lvl>
    <w:lvl w:ilvl="1" w:tplc="FDEE47C0">
      <w:numFmt w:val="decimal"/>
      <w:lvlText w:val=""/>
      <w:lvlJc w:val="left"/>
    </w:lvl>
    <w:lvl w:ilvl="2" w:tplc="274CEE46">
      <w:numFmt w:val="decimal"/>
      <w:lvlText w:val=""/>
      <w:lvlJc w:val="left"/>
    </w:lvl>
    <w:lvl w:ilvl="3" w:tplc="B0FA0800">
      <w:numFmt w:val="decimal"/>
      <w:lvlText w:val=""/>
      <w:lvlJc w:val="left"/>
    </w:lvl>
    <w:lvl w:ilvl="4" w:tplc="611C0DE2">
      <w:numFmt w:val="decimal"/>
      <w:lvlText w:val=""/>
      <w:lvlJc w:val="left"/>
    </w:lvl>
    <w:lvl w:ilvl="5" w:tplc="087CE8FE">
      <w:numFmt w:val="decimal"/>
      <w:lvlText w:val=""/>
      <w:lvlJc w:val="left"/>
    </w:lvl>
    <w:lvl w:ilvl="6" w:tplc="0ECE4AB2">
      <w:numFmt w:val="decimal"/>
      <w:lvlText w:val=""/>
      <w:lvlJc w:val="left"/>
    </w:lvl>
    <w:lvl w:ilvl="7" w:tplc="1BF26DE4">
      <w:numFmt w:val="decimal"/>
      <w:lvlText w:val=""/>
      <w:lvlJc w:val="left"/>
    </w:lvl>
    <w:lvl w:ilvl="8" w:tplc="48AEB5D8">
      <w:numFmt w:val="decimal"/>
      <w:lvlText w:val=""/>
      <w:lvlJc w:val="left"/>
    </w:lvl>
  </w:abstractNum>
  <w:abstractNum w:abstractNumId="503" w15:restartNumberingAfterBreak="0">
    <w:nsid w:val="38612BDA"/>
    <w:multiLevelType w:val="hybridMultilevel"/>
    <w:tmpl w:val="EA147EF6"/>
    <w:lvl w:ilvl="0" w:tplc="33DAB986">
      <w:start w:val="1"/>
      <w:numFmt w:val="bullet"/>
      <w:lvlText w:val=""/>
      <w:lvlJc w:val="left"/>
      <w:pPr>
        <w:ind w:left="720" w:hanging="180"/>
      </w:pPr>
      <w:rPr>
        <w:rFonts w:ascii="Symbol" w:hAnsi="Symbol" w:hint="default"/>
      </w:rPr>
    </w:lvl>
    <w:lvl w:ilvl="1" w:tplc="B8FE5A06">
      <w:numFmt w:val="decimal"/>
      <w:lvlText w:val=""/>
      <w:lvlJc w:val="left"/>
    </w:lvl>
    <w:lvl w:ilvl="2" w:tplc="F9082EB4">
      <w:numFmt w:val="decimal"/>
      <w:lvlText w:val=""/>
      <w:lvlJc w:val="left"/>
    </w:lvl>
    <w:lvl w:ilvl="3" w:tplc="1772E494">
      <w:numFmt w:val="decimal"/>
      <w:lvlText w:val=""/>
      <w:lvlJc w:val="left"/>
    </w:lvl>
    <w:lvl w:ilvl="4" w:tplc="9420075E">
      <w:numFmt w:val="decimal"/>
      <w:lvlText w:val=""/>
      <w:lvlJc w:val="left"/>
    </w:lvl>
    <w:lvl w:ilvl="5" w:tplc="05E0E54A">
      <w:numFmt w:val="decimal"/>
      <w:lvlText w:val=""/>
      <w:lvlJc w:val="left"/>
    </w:lvl>
    <w:lvl w:ilvl="6" w:tplc="CC38F8F2">
      <w:numFmt w:val="decimal"/>
      <w:lvlText w:val=""/>
      <w:lvlJc w:val="left"/>
    </w:lvl>
    <w:lvl w:ilvl="7" w:tplc="1594169A">
      <w:numFmt w:val="decimal"/>
      <w:lvlText w:val=""/>
      <w:lvlJc w:val="left"/>
    </w:lvl>
    <w:lvl w:ilvl="8" w:tplc="6130F428">
      <w:numFmt w:val="decimal"/>
      <w:lvlText w:val=""/>
      <w:lvlJc w:val="left"/>
    </w:lvl>
  </w:abstractNum>
  <w:abstractNum w:abstractNumId="504" w15:restartNumberingAfterBreak="0">
    <w:nsid w:val="38821AFD"/>
    <w:multiLevelType w:val="hybridMultilevel"/>
    <w:tmpl w:val="14405EB2"/>
    <w:lvl w:ilvl="0" w:tplc="4372D762">
      <w:start w:val="1"/>
      <w:numFmt w:val="bullet"/>
      <w:lvlText w:val=""/>
      <w:lvlJc w:val="left"/>
      <w:pPr>
        <w:ind w:left="720" w:hanging="180"/>
      </w:pPr>
      <w:rPr>
        <w:rFonts w:ascii="Symbol" w:hAnsi="Symbol" w:hint="default"/>
      </w:rPr>
    </w:lvl>
    <w:lvl w:ilvl="1" w:tplc="41BC3FCE">
      <w:numFmt w:val="decimal"/>
      <w:lvlText w:val=""/>
      <w:lvlJc w:val="left"/>
    </w:lvl>
    <w:lvl w:ilvl="2" w:tplc="4CACC6B6">
      <w:numFmt w:val="decimal"/>
      <w:lvlText w:val=""/>
      <w:lvlJc w:val="left"/>
    </w:lvl>
    <w:lvl w:ilvl="3" w:tplc="BB263804">
      <w:numFmt w:val="decimal"/>
      <w:lvlText w:val=""/>
      <w:lvlJc w:val="left"/>
    </w:lvl>
    <w:lvl w:ilvl="4" w:tplc="84FAE526">
      <w:numFmt w:val="decimal"/>
      <w:lvlText w:val=""/>
      <w:lvlJc w:val="left"/>
    </w:lvl>
    <w:lvl w:ilvl="5" w:tplc="9F3C2E70">
      <w:numFmt w:val="decimal"/>
      <w:lvlText w:val=""/>
      <w:lvlJc w:val="left"/>
    </w:lvl>
    <w:lvl w:ilvl="6" w:tplc="D938F14A">
      <w:numFmt w:val="decimal"/>
      <w:lvlText w:val=""/>
      <w:lvlJc w:val="left"/>
    </w:lvl>
    <w:lvl w:ilvl="7" w:tplc="26C24424">
      <w:numFmt w:val="decimal"/>
      <w:lvlText w:val=""/>
      <w:lvlJc w:val="left"/>
    </w:lvl>
    <w:lvl w:ilvl="8" w:tplc="742C1A70">
      <w:numFmt w:val="decimal"/>
      <w:lvlText w:val=""/>
      <w:lvlJc w:val="left"/>
    </w:lvl>
  </w:abstractNum>
  <w:abstractNum w:abstractNumId="505" w15:restartNumberingAfterBreak="0">
    <w:nsid w:val="389E34D3"/>
    <w:multiLevelType w:val="hybridMultilevel"/>
    <w:tmpl w:val="8384CEC4"/>
    <w:lvl w:ilvl="0" w:tplc="F1C47B58">
      <w:start w:val="1"/>
      <w:numFmt w:val="bullet"/>
      <w:lvlText w:val=""/>
      <w:lvlJc w:val="left"/>
      <w:pPr>
        <w:ind w:left="720" w:hanging="180"/>
      </w:pPr>
      <w:rPr>
        <w:rFonts w:ascii="Symbol" w:hAnsi="Symbol" w:hint="default"/>
      </w:rPr>
    </w:lvl>
    <w:lvl w:ilvl="1" w:tplc="455C3F2E">
      <w:numFmt w:val="decimal"/>
      <w:lvlText w:val=""/>
      <w:lvlJc w:val="left"/>
    </w:lvl>
    <w:lvl w:ilvl="2" w:tplc="45A2C5D0">
      <w:numFmt w:val="decimal"/>
      <w:lvlText w:val=""/>
      <w:lvlJc w:val="left"/>
    </w:lvl>
    <w:lvl w:ilvl="3" w:tplc="2E9A282A">
      <w:numFmt w:val="decimal"/>
      <w:lvlText w:val=""/>
      <w:lvlJc w:val="left"/>
    </w:lvl>
    <w:lvl w:ilvl="4" w:tplc="5F9C44DC">
      <w:numFmt w:val="decimal"/>
      <w:lvlText w:val=""/>
      <w:lvlJc w:val="left"/>
    </w:lvl>
    <w:lvl w:ilvl="5" w:tplc="144CF054">
      <w:numFmt w:val="decimal"/>
      <w:lvlText w:val=""/>
      <w:lvlJc w:val="left"/>
    </w:lvl>
    <w:lvl w:ilvl="6" w:tplc="55ECBC54">
      <w:numFmt w:val="decimal"/>
      <w:lvlText w:val=""/>
      <w:lvlJc w:val="left"/>
    </w:lvl>
    <w:lvl w:ilvl="7" w:tplc="9760CE5C">
      <w:numFmt w:val="decimal"/>
      <w:lvlText w:val=""/>
      <w:lvlJc w:val="left"/>
    </w:lvl>
    <w:lvl w:ilvl="8" w:tplc="1CEAAA1C">
      <w:numFmt w:val="decimal"/>
      <w:lvlText w:val=""/>
      <w:lvlJc w:val="left"/>
    </w:lvl>
  </w:abstractNum>
  <w:abstractNum w:abstractNumId="506" w15:restartNumberingAfterBreak="0">
    <w:nsid w:val="38D44D53"/>
    <w:multiLevelType w:val="hybridMultilevel"/>
    <w:tmpl w:val="5E72AFB6"/>
    <w:lvl w:ilvl="0" w:tplc="7EA052E4">
      <w:start w:val="1"/>
      <w:numFmt w:val="bullet"/>
      <w:lvlText w:val=""/>
      <w:lvlJc w:val="left"/>
      <w:pPr>
        <w:ind w:left="720" w:hanging="180"/>
      </w:pPr>
      <w:rPr>
        <w:rFonts w:ascii="Symbol" w:hAnsi="Symbol" w:hint="default"/>
      </w:rPr>
    </w:lvl>
    <w:lvl w:ilvl="1" w:tplc="87C29FD8">
      <w:numFmt w:val="decimal"/>
      <w:lvlText w:val=""/>
      <w:lvlJc w:val="left"/>
    </w:lvl>
    <w:lvl w:ilvl="2" w:tplc="90C8EAE2">
      <w:numFmt w:val="decimal"/>
      <w:lvlText w:val=""/>
      <w:lvlJc w:val="left"/>
    </w:lvl>
    <w:lvl w:ilvl="3" w:tplc="9050D6D6">
      <w:numFmt w:val="decimal"/>
      <w:lvlText w:val=""/>
      <w:lvlJc w:val="left"/>
    </w:lvl>
    <w:lvl w:ilvl="4" w:tplc="5658E880">
      <w:numFmt w:val="decimal"/>
      <w:lvlText w:val=""/>
      <w:lvlJc w:val="left"/>
    </w:lvl>
    <w:lvl w:ilvl="5" w:tplc="22FEE9C0">
      <w:numFmt w:val="decimal"/>
      <w:lvlText w:val=""/>
      <w:lvlJc w:val="left"/>
    </w:lvl>
    <w:lvl w:ilvl="6" w:tplc="2F24CA18">
      <w:numFmt w:val="decimal"/>
      <w:lvlText w:val=""/>
      <w:lvlJc w:val="left"/>
    </w:lvl>
    <w:lvl w:ilvl="7" w:tplc="A852D040">
      <w:numFmt w:val="decimal"/>
      <w:lvlText w:val=""/>
      <w:lvlJc w:val="left"/>
    </w:lvl>
    <w:lvl w:ilvl="8" w:tplc="E656FCB2">
      <w:numFmt w:val="decimal"/>
      <w:lvlText w:val=""/>
      <w:lvlJc w:val="left"/>
    </w:lvl>
  </w:abstractNum>
  <w:abstractNum w:abstractNumId="507" w15:restartNumberingAfterBreak="0">
    <w:nsid w:val="39180E15"/>
    <w:multiLevelType w:val="hybridMultilevel"/>
    <w:tmpl w:val="B9580564"/>
    <w:lvl w:ilvl="0" w:tplc="49F46EBA">
      <w:start w:val="1"/>
      <w:numFmt w:val="bullet"/>
      <w:lvlText w:val=""/>
      <w:lvlJc w:val="left"/>
      <w:pPr>
        <w:ind w:left="720" w:hanging="180"/>
      </w:pPr>
      <w:rPr>
        <w:rFonts w:ascii="Symbol" w:hAnsi="Symbol" w:hint="default"/>
      </w:rPr>
    </w:lvl>
    <w:lvl w:ilvl="1" w:tplc="76643A3C">
      <w:numFmt w:val="decimal"/>
      <w:lvlText w:val=""/>
      <w:lvlJc w:val="left"/>
    </w:lvl>
    <w:lvl w:ilvl="2" w:tplc="9878BC80">
      <w:numFmt w:val="decimal"/>
      <w:lvlText w:val=""/>
      <w:lvlJc w:val="left"/>
    </w:lvl>
    <w:lvl w:ilvl="3" w:tplc="F9E8BD34">
      <w:numFmt w:val="decimal"/>
      <w:lvlText w:val=""/>
      <w:lvlJc w:val="left"/>
    </w:lvl>
    <w:lvl w:ilvl="4" w:tplc="EB0E054C">
      <w:numFmt w:val="decimal"/>
      <w:lvlText w:val=""/>
      <w:lvlJc w:val="left"/>
    </w:lvl>
    <w:lvl w:ilvl="5" w:tplc="6FA4587E">
      <w:numFmt w:val="decimal"/>
      <w:lvlText w:val=""/>
      <w:lvlJc w:val="left"/>
    </w:lvl>
    <w:lvl w:ilvl="6" w:tplc="6930E0CC">
      <w:numFmt w:val="decimal"/>
      <w:lvlText w:val=""/>
      <w:lvlJc w:val="left"/>
    </w:lvl>
    <w:lvl w:ilvl="7" w:tplc="9C5A8FF2">
      <w:numFmt w:val="decimal"/>
      <w:lvlText w:val=""/>
      <w:lvlJc w:val="left"/>
    </w:lvl>
    <w:lvl w:ilvl="8" w:tplc="B8AEA1BE">
      <w:numFmt w:val="decimal"/>
      <w:lvlText w:val=""/>
      <w:lvlJc w:val="left"/>
    </w:lvl>
  </w:abstractNum>
  <w:abstractNum w:abstractNumId="508" w15:restartNumberingAfterBreak="0">
    <w:nsid w:val="396A6248"/>
    <w:multiLevelType w:val="hybridMultilevel"/>
    <w:tmpl w:val="73D6774C"/>
    <w:lvl w:ilvl="0" w:tplc="FF2AA8B8">
      <w:start w:val="1"/>
      <w:numFmt w:val="bullet"/>
      <w:lvlText w:val=""/>
      <w:lvlJc w:val="left"/>
      <w:pPr>
        <w:ind w:left="720" w:hanging="180"/>
      </w:pPr>
      <w:rPr>
        <w:rFonts w:ascii="Symbol" w:hAnsi="Symbol" w:hint="default"/>
      </w:rPr>
    </w:lvl>
    <w:lvl w:ilvl="1" w:tplc="36BAF79A">
      <w:numFmt w:val="decimal"/>
      <w:lvlText w:val=""/>
      <w:lvlJc w:val="left"/>
    </w:lvl>
    <w:lvl w:ilvl="2" w:tplc="6A221826">
      <w:numFmt w:val="decimal"/>
      <w:lvlText w:val=""/>
      <w:lvlJc w:val="left"/>
    </w:lvl>
    <w:lvl w:ilvl="3" w:tplc="CDB29ECA">
      <w:numFmt w:val="decimal"/>
      <w:lvlText w:val=""/>
      <w:lvlJc w:val="left"/>
    </w:lvl>
    <w:lvl w:ilvl="4" w:tplc="4E8A54C2">
      <w:numFmt w:val="decimal"/>
      <w:lvlText w:val=""/>
      <w:lvlJc w:val="left"/>
    </w:lvl>
    <w:lvl w:ilvl="5" w:tplc="1730E38C">
      <w:numFmt w:val="decimal"/>
      <w:lvlText w:val=""/>
      <w:lvlJc w:val="left"/>
    </w:lvl>
    <w:lvl w:ilvl="6" w:tplc="1A440F5E">
      <w:numFmt w:val="decimal"/>
      <w:lvlText w:val=""/>
      <w:lvlJc w:val="left"/>
    </w:lvl>
    <w:lvl w:ilvl="7" w:tplc="09F07888">
      <w:numFmt w:val="decimal"/>
      <w:lvlText w:val=""/>
      <w:lvlJc w:val="left"/>
    </w:lvl>
    <w:lvl w:ilvl="8" w:tplc="8286CBBE">
      <w:numFmt w:val="decimal"/>
      <w:lvlText w:val=""/>
      <w:lvlJc w:val="left"/>
    </w:lvl>
  </w:abstractNum>
  <w:abstractNum w:abstractNumId="509" w15:restartNumberingAfterBreak="0">
    <w:nsid w:val="3990791E"/>
    <w:multiLevelType w:val="hybridMultilevel"/>
    <w:tmpl w:val="91C4AF18"/>
    <w:lvl w:ilvl="0" w:tplc="E2A4553A">
      <w:start w:val="1"/>
      <w:numFmt w:val="bullet"/>
      <w:lvlText w:val=""/>
      <w:lvlJc w:val="left"/>
      <w:pPr>
        <w:ind w:left="720" w:hanging="180"/>
      </w:pPr>
      <w:rPr>
        <w:rFonts w:ascii="Symbol" w:hAnsi="Symbol" w:hint="default"/>
      </w:rPr>
    </w:lvl>
    <w:lvl w:ilvl="1" w:tplc="14A422EE">
      <w:numFmt w:val="decimal"/>
      <w:lvlText w:val=""/>
      <w:lvlJc w:val="left"/>
    </w:lvl>
    <w:lvl w:ilvl="2" w:tplc="6806319A">
      <w:numFmt w:val="decimal"/>
      <w:lvlText w:val=""/>
      <w:lvlJc w:val="left"/>
    </w:lvl>
    <w:lvl w:ilvl="3" w:tplc="41C20088">
      <w:numFmt w:val="decimal"/>
      <w:lvlText w:val=""/>
      <w:lvlJc w:val="left"/>
    </w:lvl>
    <w:lvl w:ilvl="4" w:tplc="E3749CD2">
      <w:numFmt w:val="decimal"/>
      <w:lvlText w:val=""/>
      <w:lvlJc w:val="left"/>
    </w:lvl>
    <w:lvl w:ilvl="5" w:tplc="9608443C">
      <w:numFmt w:val="decimal"/>
      <w:lvlText w:val=""/>
      <w:lvlJc w:val="left"/>
    </w:lvl>
    <w:lvl w:ilvl="6" w:tplc="22C44492">
      <w:numFmt w:val="decimal"/>
      <w:lvlText w:val=""/>
      <w:lvlJc w:val="left"/>
    </w:lvl>
    <w:lvl w:ilvl="7" w:tplc="F6DE24CC">
      <w:numFmt w:val="decimal"/>
      <w:lvlText w:val=""/>
      <w:lvlJc w:val="left"/>
    </w:lvl>
    <w:lvl w:ilvl="8" w:tplc="030E8E8C">
      <w:numFmt w:val="decimal"/>
      <w:lvlText w:val=""/>
      <w:lvlJc w:val="left"/>
    </w:lvl>
  </w:abstractNum>
  <w:abstractNum w:abstractNumId="510" w15:restartNumberingAfterBreak="0">
    <w:nsid w:val="3991406E"/>
    <w:multiLevelType w:val="hybridMultilevel"/>
    <w:tmpl w:val="203C1BA0"/>
    <w:lvl w:ilvl="0" w:tplc="32EAA7BC">
      <w:start w:val="1"/>
      <w:numFmt w:val="bullet"/>
      <w:lvlText w:val=""/>
      <w:lvlJc w:val="left"/>
      <w:pPr>
        <w:ind w:left="720" w:hanging="180"/>
      </w:pPr>
      <w:rPr>
        <w:rFonts w:ascii="Symbol" w:hAnsi="Symbol" w:hint="default"/>
      </w:rPr>
    </w:lvl>
    <w:lvl w:ilvl="1" w:tplc="56324DA0">
      <w:numFmt w:val="decimal"/>
      <w:lvlText w:val=""/>
      <w:lvlJc w:val="left"/>
    </w:lvl>
    <w:lvl w:ilvl="2" w:tplc="87D691C6">
      <w:numFmt w:val="decimal"/>
      <w:lvlText w:val=""/>
      <w:lvlJc w:val="left"/>
    </w:lvl>
    <w:lvl w:ilvl="3" w:tplc="C06C9736">
      <w:numFmt w:val="decimal"/>
      <w:lvlText w:val=""/>
      <w:lvlJc w:val="left"/>
    </w:lvl>
    <w:lvl w:ilvl="4" w:tplc="8D1E30DC">
      <w:numFmt w:val="decimal"/>
      <w:lvlText w:val=""/>
      <w:lvlJc w:val="left"/>
    </w:lvl>
    <w:lvl w:ilvl="5" w:tplc="F1DE570E">
      <w:numFmt w:val="decimal"/>
      <w:lvlText w:val=""/>
      <w:lvlJc w:val="left"/>
    </w:lvl>
    <w:lvl w:ilvl="6" w:tplc="32D8E6E2">
      <w:numFmt w:val="decimal"/>
      <w:lvlText w:val=""/>
      <w:lvlJc w:val="left"/>
    </w:lvl>
    <w:lvl w:ilvl="7" w:tplc="EB0A8500">
      <w:numFmt w:val="decimal"/>
      <w:lvlText w:val=""/>
      <w:lvlJc w:val="left"/>
    </w:lvl>
    <w:lvl w:ilvl="8" w:tplc="F1366E46">
      <w:numFmt w:val="decimal"/>
      <w:lvlText w:val=""/>
      <w:lvlJc w:val="left"/>
    </w:lvl>
  </w:abstractNum>
  <w:abstractNum w:abstractNumId="511" w15:restartNumberingAfterBreak="0">
    <w:nsid w:val="39A82186"/>
    <w:multiLevelType w:val="hybridMultilevel"/>
    <w:tmpl w:val="6E0C4272"/>
    <w:lvl w:ilvl="0" w:tplc="7B48DD7C">
      <w:start w:val="1"/>
      <w:numFmt w:val="bullet"/>
      <w:lvlText w:val=""/>
      <w:lvlJc w:val="left"/>
      <w:pPr>
        <w:ind w:left="720" w:hanging="180"/>
      </w:pPr>
      <w:rPr>
        <w:rFonts w:ascii="Symbol" w:hAnsi="Symbol" w:hint="default"/>
      </w:rPr>
    </w:lvl>
    <w:lvl w:ilvl="1" w:tplc="9C2CC402">
      <w:numFmt w:val="decimal"/>
      <w:lvlText w:val=""/>
      <w:lvlJc w:val="left"/>
    </w:lvl>
    <w:lvl w:ilvl="2" w:tplc="FB8A826C">
      <w:numFmt w:val="decimal"/>
      <w:lvlText w:val=""/>
      <w:lvlJc w:val="left"/>
    </w:lvl>
    <w:lvl w:ilvl="3" w:tplc="07800EA4">
      <w:numFmt w:val="decimal"/>
      <w:lvlText w:val=""/>
      <w:lvlJc w:val="left"/>
    </w:lvl>
    <w:lvl w:ilvl="4" w:tplc="F07A2000">
      <w:numFmt w:val="decimal"/>
      <w:lvlText w:val=""/>
      <w:lvlJc w:val="left"/>
    </w:lvl>
    <w:lvl w:ilvl="5" w:tplc="1C846DDC">
      <w:numFmt w:val="decimal"/>
      <w:lvlText w:val=""/>
      <w:lvlJc w:val="left"/>
    </w:lvl>
    <w:lvl w:ilvl="6" w:tplc="2272E06C">
      <w:numFmt w:val="decimal"/>
      <w:lvlText w:val=""/>
      <w:lvlJc w:val="left"/>
    </w:lvl>
    <w:lvl w:ilvl="7" w:tplc="0D7CC620">
      <w:numFmt w:val="decimal"/>
      <w:lvlText w:val=""/>
      <w:lvlJc w:val="left"/>
    </w:lvl>
    <w:lvl w:ilvl="8" w:tplc="67909FC8">
      <w:numFmt w:val="decimal"/>
      <w:lvlText w:val=""/>
      <w:lvlJc w:val="left"/>
    </w:lvl>
  </w:abstractNum>
  <w:abstractNum w:abstractNumId="512" w15:restartNumberingAfterBreak="0">
    <w:nsid w:val="39B34E3A"/>
    <w:multiLevelType w:val="hybridMultilevel"/>
    <w:tmpl w:val="AB7EAF62"/>
    <w:lvl w:ilvl="0" w:tplc="BD945690">
      <w:numFmt w:val="decimal"/>
      <w:lvlText w:val=""/>
      <w:lvlJc w:val="left"/>
    </w:lvl>
    <w:lvl w:ilvl="1" w:tplc="5B4A86EC">
      <w:start w:val="1"/>
      <w:numFmt w:val="bullet"/>
      <w:lvlText w:val=""/>
      <w:lvlJc w:val="left"/>
      <w:pPr>
        <w:ind w:left="1440" w:hanging="180"/>
      </w:pPr>
      <w:rPr>
        <w:rFonts w:ascii="Symbol" w:hAnsi="Symbol" w:hint="default"/>
      </w:rPr>
    </w:lvl>
    <w:lvl w:ilvl="2" w:tplc="6B283912">
      <w:numFmt w:val="decimal"/>
      <w:lvlText w:val=""/>
      <w:lvlJc w:val="left"/>
    </w:lvl>
    <w:lvl w:ilvl="3" w:tplc="E8EC54A4">
      <w:numFmt w:val="decimal"/>
      <w:lvlText w:val=""/>
      <w:lvlJc w:val="left"/>
    </w:lvl>
    <w:lvl w:ilvl="4" w:tplc="96E440C4">
      <w:numFmt w:val="decimal"/>
      <w:lvlText w:val=""/>
      <w:lvlJc w:val="left"/>
    </w:lvl>
    <w:lvl w:ilvl="5" w:tplc="04184658">
      <w:numFmt w:val="decimal"/>
      <w:lvlText w:val=""/>
      <w:lvlJc w:val="left"/>
    </w:lvl>
    <w:lvl w:ilvl="6" w:tplc="11427BD2">
      <w:numFmt w:val="decimal"/>
      <w:lvlText w:val=""/>
      <w:lvlJc w:val="left"/>
    </w:lvl>
    <w:lvl w:ilvl="7" w:tplc="855A3ED4">
      <w:numFmt w:val="decimal"/>
      <w:lvlText w:val=""/>
      <w:lvlJc w:val="left"/>
    </w:lvl>
    <w:lvl w:ilvl="8" w:tplc="B658C10A">
      <w:numFmt w:val="decimal"/>
      <w:lvlText w:val=""/>
      <w:lvlJc w:val="left"/>
    </w:lvl>
  </w:abstractNum>
  <w:abstractNum w:abstractNumId="513" w15:restartNumberingAfterBreak="0">
    <w:nsid w:val="3A091855"/>
    <w:multiLevelType w:val="hybridMultilevel"/>
    <w:tmpl w:val="3FBA553A"/>
    <w:lvl w:ilvl="0" w:tplc="23EA15B4">
      <w:start w:val="1"/>
      <w:numFmt w:val="bullet"/>
      <w:lvlText w:val=""/>
      <w:lvlJc w:val="left"/>
      <w:pPr>
        <w:ind w:left="720" w:hanging="180"/>
      </w:pPr>
      <w:rPr>
        <w:rFonts w:ascii="Symbol" w:hAnsi="Symbol" w:hint="default"/>
      </w:rPr>
    </w:lvl>
    <w:lvl w:ilvl="1" w:tplc="F4785602">
      <w:numFmt w:val="decimal"/>
      <w:lvlText w:val=""/>
      <w:lvlJc w:val="left"/>
    </w:lvl>
    <w:lvl w:ilvl="2" w:tplc="0EECBBD4">
      <w:numFmt w:val="decimal"/>
      <w:lvlText w:val=""/>
      <w:lvlJc w:val="left"/>
    </w:lvl>
    <w:lvl w:ilvl="3" w:tplc="4306880A">
      <w:numFmt w:val="decimal"/>
      <w:lvlText w:val=""/>
      <w:lvlJc w:val="left"/>
    </w:lvl>
    <w:lvl w:ilvl="4" w:tplc="6FC0A8DA">
      <w:numFmt w:val="decimal"/>
      <w:lvlText w:val=""/>
      <w:lvlJc w:val="left"/>
    </w:lvl>
    <w:lvl w:ilvl="5" w:tplc="633A06C0">
      <w:numFmt w:val="decimal"/>
      <w:lvlText w:val=""/>
      <w:lvlJc w:val="left"/>
    </w:lvl>
    <w:lvl w:ilvl="6" w:tplc="4404D65E">
      <w:numFmt w:val="decimal"/>
      <w:lvlText w:val=""/>
      <w:lvlJc w:val="left"/>
    </w:lvl>
    <w:lvl w:ilvl="7" w:tplc="750019C4">
      <w:numFmt w:val="decimal"/>
      <w:lvlText w:val=""/>
      <w:lvlJc w:val="left"/>
    </w:lvl>
    <w:lvl w:ilvl="8" w:tplc="B5528F26">
      <w:numFmt w:val="decimal"/>
      <w:lvlText w:val=""/>
      <w:lvlJc w:val="left"/>
    </w:lvl>
  </w:abstractNum>
  <w:abstractNum w:abstractNumId="514" w15:restartNumberingAfterBreak="0">
    <w:nsid w:val="3A0F031D"/>
    <w:multiLevelType w:val="hybridMultilevel"/>
    <w:tmpl w:val="1EDAF5F2"/>
    <w:lvl w:ilvl="0" w:tplc="FBE8A6D2">
      <w:start w:val="1"/>
      <w:numFmt w:val="bullet"/>
      <w:lvlText w:val=""/>
      <w:lvlJc w:val="left"/>
      <w:pPr>
        <w:ind w:left="720" w:hanging="180"/>
      </w:pPr>
      <w:rPr>
        <w:rFonts w:ascii="Symbol" w:hAnsi="Symbol" w:hint="default"/>
      </w:rPr>
    </w:lvl>
    <w:lvl w:ilvl="1" w:tplc="61B27FEA">
      <w:numFmt w:val="decimal"/>
      <w:lvlText w:val=""/>
      <w:lvlJc w:val="left"/>
    </w:lvl>
    <w:lvl w:ilvl="2" w:tplc="DAC65776">
      <w:numFmt w:val="decimal"/>
      <w:lvlText w:val=""/>
      <w:lvlJc w:val="left"/>
    </w:lvl>
    <w:lvl w:ilvl="3" w:tplc="E132F65E">
      <w:numFmt w:val="decimal"/>
      <w:lvlText w:val=""/>
      <w:lvlJc w:val="left"/>
    </w:lvl>
    <w:lvl w:ilvl="4" w:tplc="FF2A749A">
      <w:numFmt w:val="decimal"/>
      <w:lvlText w:val=""/>
      <w:lvlJc w:val="left"/>
    </w:lvl>
    <w:lvl w:ilvl="5" w:tplc="B812FA2C">
      <w:numFmt w:val="decimal"/>
      <w:lvlText w:val=""/>
      <w:lvlJc w:val="left"/>
    </w:lvl>
    <w:lvl w:ilvl="6" w:tplc="1428971A">
      <w:numFmt w:val="decimal"/>
      <w:lvlText w:val=""/>
      <w:lvlJc w:val="left"/>
    </w:lvl>
    <w:lvl w:ilvl="7" w:tplc="6EA0620E">
      <w:numFmt w:val="decimal"/>
      <w:lvlText w:val=""/>
      <w:lvlJc w:val="left"/>
    </w:lvl>
    <w:lvl w:ilvl="8" w:tplc="16C0401A">
      <w:numFmt w:val="decimal"/>
      <w:lvlText w:val=""/>
      <w:lvlJc w:val="left"/>
    </w:lvl>
  </w:abstractNum>
  <w:abstractNum w:abstractNumId="515" w15:restartNumberingAfterBreak="0">
    <w:nsid w:val="3A161D9F"/>
    <w:multiLevelType w:val="hybridMultilevel"/>
    <w:tmpl w:val="1A8A63D6"/>
    <w:lvl w:ilvl="0" w:tplc="7B6A0466">
      <w:start w:val="1"/>
      <w:numFmt w:val="bullet"/>
      <w:lvlText w:val=""/>
      <w:lvlJc w:val="left"/>
      <w:pPr>
        <w:ind w:left="720" w:hanging="180"/>
      </w:pPr>
      <w:rPr>
        <w:rFonts w:ascii="Symbol" w:hAnsi="Symbol" w:hint="default"/>
      </w:rPr>
    </w:lvl>
    <w:lvl w:ilvl="1" w:tplc="2B0E1EF6">
      <w:numFmt w:val="decimal"/>
      <w:lvlText w:val=""/>
      <w:lvlJc w:val="left"/>
    </w:lvl>
    <w:lvl w:ilvl="2" w:tplc="3E105D0C">
      <w:numFmt w:val="decimal"/>
      <w:lvlText w:val=""/>
      <w:lvlJc w:val="left"/>
    </w:lvl>
    <w:lvl w:ilvl="3" w:tplc="2EB6414C">
      <w:numFmt w:val="decimal"/>
      <w:lvlText w:val=""/>
      <w:lvlJc w:val="left"/>
    </w:lvl>
    <w:lvl w:ilvl="4" w:tplc="95009FA8">
      <w:numFmt w:val="decimal"/>
      <w:lvlText w:val=""/>
      <w:lvlJc w:val="left"/>
    </w:lvl>
    <w:lvl w:ilvl="5" w:tplc="5B506674">
      <w:numFmt w:val="decimal"/>
      <w:lvlText w:val=""/>
      <w:lvlJc w:val="left"/>
    </w:lvl>
    <w:lvl w:ilvl="6" w:tplc="C87AAA52">
      <w:numFmt w:val="decimal"/>
      <w:lvlText w:val=""/>
      <w:lvlJc w:val="left"/>
    </w:lvl>
    <w:lvl w:ilvl="7" w:tplc="BB6C8FCA">
      <w:numFmt w:val="decimal"/>
      <w:lvlText w:val=""/>
      <w:lvlJc w:val="left"/>
    </w:lvl>
    <w:lvl w:ilvl="8" w:tplc="A396451A">
      <w:numFmt w:val="decimal"/>
      <w:lvlText w:val=""/>
      <w:lvlJc w:val="left"/>
    </w:lvl>
  </w:abstractNum>
  <w:abstractNum w:abstractNumId="516" w15:restartNumberingAfterBreak="0">
    <w:nsid w:val="3A2565D0"/>
    <w:multiLevelType w:val="hybridMultilevel"/>
    <w:tmpl w:val="3C4ED944"/>
    <w:lvl w:ilvl="0" w:tplc="C762AF5E">
      <w:start w:val="1"/>
      <w:numFmt w:val="bullet"/>
      <w:lvlText w:val=""/>
      <w:lvlJc w:val="left"/>
      <w:pPr>
        <w:ind w:left="720" w:hanging="180"/>
      </w:pPr>
      <w:rPr>
        <w:rFonts w:ascii="Symbol" w:hAnsi="Symbol" w:hint="default"/>
      </w:rPr>
    </w:lvl>
    <w:lvl w:ilvl="1" w:tplc="5C6649F0">
      <w:numFmt w:val="decimal"/>
      <w:lvlText w:val=""/>
      <w:lvlJc w:val="left"/>
    </w:lvl>
    <w:lvl w:ilvl="2" w:tplc="CFF44058">
      <w:numFmt w:val="decimal"/>
      <w:lvlText w:val=""/>
      <w:lvlJc w:val="left"/>
    </w:lvl>
    <w:lvl w:ilvl="3" w:tplc="E3163FB6">
      <w:numFmt w:val="decimal"/>
      <w:lvlText w:val=""/>
      <w:lvlJc w:val="left"/>
    </w:lvl>
    <w:lvl w:ilvl="4" w:tplc="B594A358">
      <w:numFmt w:val="decimal"/>
      <w:lvlText w:val=""/>
      <w:lvlJc w:val="left"/>
    </w:lvl>
    <w:lvl w:ilvl="5" w:tplc="05D2A53A">
      <w:numFmt w:val="decimal"/>
      <w:lvlText w:val=""/>
      <w:lvlJc w:val="left"/>
    </w:lvl>
    <w:lvl w:ilvl="6" w:tplc="2DD245FA">
      <w:numFmt w:val="decimal"/>
      <w:lvlText w:val=""/>
      <w:lvlJc w:val="left"/>
    </w:lvl>
    <w:lvl w:ilvl="7" w:tplc="E110C24E">
      <w:numFmt w:val="decimal"/>
      <w:lvlText w:val=""/>
      <w:lvlJc w:val="left"/>
    </w:lvl>
    <w:lvl w:ilvl="8" w:tplc="A0E26CB4">
      <w:numFmt w:val="decimal"/>
      <w:lvlText w:val=""/>
      <w:lvlJc w:val="left"/>
    </w:lvl>
  </w:abstractNum>
  <w:abstractNum w:abstractNumId="517" w15:restartNumberingAfterBreak="0">
    <w:nsid w:val="3A27227D"/>
    <w:multiLevelType w:val="hybridMultilevel"/>
    <w:tmpl w:val="B8980F72"/>
    <w:lvl w:ilvl="0" w:tplc="FCB67FC8">
      <w:start w:val="1"/>
      <w:numFmt w:val="bullet"/>
      <w:lvlText w:val=""/>
      <w:lvlJc w:val="left"/>
      <w:pPr>
        <w:ind w:left="720" w:hanging="180"/>
      </w:pPr>
      <w:rPr>
        <w:rFonts w:ascii="Symbol" w:hAnsi="Symbol" w:hint="default"/>
      </w:rPr>
    </w:lvl>
    <w:lvl w:ilvl="1" w:tplc="83946334">
      <w:numFmt w:val="decimal"/>
      <w:lvlText w:val=""/>
      <w:lvlJc w:val="left"/>
    </w:lvl>
    <w:lvl w:ilvl="2" w:tplc="25883264">
      <w:numFmt w:val="decimal"/>
      <w:lvlText w:val=""/>
      <w:lvlJc w:val="left"/>
    </w:lvl>
    <w:lvl w:ilvl="3" w:tplc="89FE5092">
      <w:numFmt w:val="decimal"/>
      <w:lvlText w:val=""/>
      <w:lvlJc w:val="left"/>
    </w:lvl>
    <w:lvl w:ilvl="4" w:tplc="517436C2">
      <w:numFmt w:val="decimal"/>
      <w:lvlText w:val=""/>
      <w:lvlJc w:val="left"/>
    </w:lvl>
    <w:lvl w:ilvl="5" w:tplc="20C0DAD2">
      <w:numFmt w:val="decimal"/>
      <w:lvlText w:val=""/>
      <w:lvlJc w:val="left"/>
    </w:lvl>
    <w:lvl w:ilvl="6" w:tplc="4E7C8030">
      <w:numFmt w:val="decimal"/>
      <w:lvlText w:val=""/>
      <w:lvlJc w:val="left"/>
    </w:lvl>
    <w:lvl w:ilvl="7" w:tplc="5A8C0C98">
      <w:numFmt w:val="decimal"/>
      <w:lvlText w:val=""/>
      <w:lvlJc w:val="left"/>
    </w:lvl>
    <w:lvl w:ilvl="8" w:tplc="66B0C918">
      <w:numFmt w:val="decimal"/>
      <w:lvlText w:val=""/>
      <w:lvlJc w:val="left"/>
    </w:lvl>
  </w:abstractNum>
  <w:abstractNum w:abstractNumId="518" w15:restartNumberingAfterBreak="0">
    <w:nsid w:val="3A3417EF"/>
    <w:multiLevelType w:val="hybridMultilevel"/>
    <w:tmpl w:val="AFE46C3A"/>
    <w:lvl w:ilvl="0" w:tplc="7444ED96">
      <w:start w:val="1"/>
      <w:numFmt w:val="bullet"/>
      <w:lvlText w:val=""/>
      <w:lvlJc w:val="left"/>
      <w:pPr>
        <w:ind w:left="720" w:hanging="180"/>
      </w:pPr>
      <w:rPr>
        <w:rFonts w:ascii="Symbol" w:hAnsi="Symbol" w:hint="default"/>
      </w:rPr>
    </w:lvl>
    <w:lvl w:ilvl="1" w:tplc="1ADCC09E">
      <w:numFmt w:val="decimal"/>
      <w:lvlText w:val=""/>
      <w:lvlJc w:val="left"/>
    </w:lvl>
    <w:lvl w:ilvl="2" w:tplc="0946097C">
      <w:numFmt w:val="decimal"/>
      <w:lvlText w:val=""/>
      <w:lvlJc w:val="left"/>
    </w:lvl>
    <w:lvl w:ilvl="3" w:tplc="152C9C58">
      <w:numFmt w:val="decimal"/>
      <w:lvlText w:val=""/>
      <w:lvlJc w:val="left"/>
    </w:lvl>
    <w:lvl w:ilvl="4" w:tplc="577A4844">
      <w:numFmt w:val="decimal"/>
      <w:lvlText w:val=""/>
      <w:lvlJc w:val="left"/>
    </w:lvl>
    <w:lvl w:ilvl="5" w:tplc="C3DC6CB2">
      <w:numFmt w:val="decimal"/>
      <w:lvlText w:val=""/>
      <w:lvlJc w:val="left"/>
    </w:lvl>
    <w:lvl w:ilvl="6" w:tplc="5246DD22">
      <w:numFmt w:val="decimal"/>
      <w:lvlText w:val=""/>
      <w:lvlJc w:val="left"/>
    </w:lvl>
    <w:lvl w:ilvl="7" w:tplc="FF04FAFA">
      <w:numFmt w:val="decimal"/>
      <w:lvlText w:val=""/>
      <w:lvlJc w:val="left"/>
    </w:lvl>
    <w:lvl w:ilvl="8" w:tplc="0ECE7B32">
      <w:numFmt w:val="decimal"/>
      <w:lvlText w:val=""/>
      <w:lvlJc w:val="left"/>
    </w:lvl>
  </w:abstractNum>
  <w:abstractNum w:abstractNumId="519" w15:restartNumberingAfterBreak="0">
    <w:nsid w:val="3A3F5362"/>
    <w:multiLevelType w:val="hybridMultilevel"/>
    <w:tmpl w:val="36E691CE"/>
    <w:lvl w:ilvl="0" w:tplc="FC3AED1C">
      <w:start w:val="1"/>
      <w:numFmt w:val="bullet"/>
      <w:lvlText w:val=""/>
      <w:lvlJc w:val="left"/>
      <w:pPr>
        <w:ind w:left="720" w:hanging="180"/>
      </w:pPr>
      <w:rPr>
        <w:rFonts w:ascii="Symbol" w:hAnsi="Symbol" w:hint="default"/>
      </w:rPr>
    </w:lvl>
    <w:lvl w:ilvl="1" w:tplc="0EB6D328">
      <w:numFmt w:val="decimal"/>
      <w:lvlText w:val=""/>
      <w:lvlJc w:val="left"/>
    </w:lvl>
    <w:lvl w:ilvl="2" w:tplc="270E8900">
      <w:numFmt w:val="decimal"/>
      <w:lvlText w:val=""/>
      <w:lvlJc w:val="left"/>
    </w:lvl>
    <w:lvl w:ilvl="3" w:tplc="3FD2E43A">
      <w:numFmt w:val="decimal"/>
      <w:lvlText w:val=""/>
      <w:lvlJc w:val="left"/>
    </w:lvl>
    <w:lvl w:ilvl="4" w:tplc="09649430">
      <w:numFmt w:val="decimal"/>
      <w:lvlText w:val=""/>
      <w:lvlJc w:val="left"/>
    </w:lvl>
    <w:lvl w:ilvl="5" w:tplc="85BC0F14">
      <w:numFmt w:val="decimal"/>
      <w:lvlText w:val=""/>
      <w:lvlJc w:val="left"/>
    </w:lvl>
    <w:lvl w:ilvl="6" w:tplc="D34A3498">
      <w:numFmt w:val="decimal"/>
      <w:lvlText w:val=""/>
      <w:lvlJc w:val="left"/>
    </w:lvl>
    <w:lvl w:ilvl="7" w:tplc="279A9F48">
      <w:numFmt w:val="decimal"/>
      <w:lvlText w:val=""/>
      <w:lvlJc w:val="left"/>
    </w:lvl>
    <w:lvl w:ilvl="8" w:tplc="FB8CEF18">
      <w:numFmt w:val="decimal"/>
      <w:lvlText w:val=""/>
      <w:lvlJc w:val="left"/>
    </w:lvl>
  </w:abstractNum>
  <w:abstractNum w:abstractNumId="520" w15:restartNumberingAfterBreak="0">
    <w:nsid w:val="3A5E6A9A"/>
    <w:multiLevelType w:val="hybridMultilevel"/>
    <w:tmpl w:val="B4664488"/>
    <w:lvl w:ilvl="0" w:tplc="682E0C06">
      <w:start w:val="1"/>
      <w:numFmt w:val="bullet"/>
      <w:lvlText w:val=""/>
      <w:lvlJc w:val="left"/>
      <w:pPr>
        <w:ind w:left="720" w:hanging="180"/>
      </w:pPr>
      <w:rPr>
        <w:rFonts w:ascii="Symbol" w:hAnsi="Symbol" w:hint="default"/>
      </w:rPr>
    </w:lvl>
    <w:lvl w:ilvl="1" w:tplc="B458047C">
      <w:numFmt w:val="decimal"/>
      <w:lvlText w:val=""/>
      <w:lvlJc w:val="left"/>
    </w:lvl>
    <w:lvl w:ilvl="2" w:tplc="4692D5FC">
      <w:numFmt w:val="decimal"/>
      <w:lvlText w:val=""/>
      <w:lvlJc w:val="left"/>
    </w:lvl>
    <w:lvl w:ilvl="3" w:tplc="AEEE5668">
      <w:numFmt w:val="decimal"/>
      <w:lvlText w:val=""/>
      <w:lvlJc w:val="left"/>
    </w:lvl>
    <w:lvl w:ilvl="4" w:tplc="3154B7AA">
      <w:numFmt w:val="decimal"/>
      <w:lvlText w:val=""/>
      <w:lvlJc w:val="left"/>
    </w:lvl>
    <w:lvl w:ilvl="5" w:tplc="9ED01A3E">
      <w:numFmt w:val="decimal"/>
      <w:lvlText w:val=""/>
      <w:lvlJc w:val="left"/>
    </w:lvl>
    <w:lvl w:ilvl="6" w:tplc="11E83204">
      <w:numFmt w:val="decimal"/>
      <w:lvlText w:val=""/>
      <w:lvlJc w:val="left"/>
    </w:lvl>
    <w:lvl w:ilvl="7" w:tplc="4EF8D1F2">
      <w:numFmt w:val="decimal"/>
      <w:lvlText w:val=""/>
      <w:lvlJc w:val="left"/>
    </w:lvl>
    <w:lvl w:ilvl="8" w:tplc="B8148492">
      <w:numFmt w:val="decimal"/>
      <w:lvlText w:val=""/>
      <w:lvlJc w:val="left"/>
    </w:lvl>
  </w:abstractNum>
  <w:abstractNum w:abstractNumId="521" w15:restartNumberingAfterBreak="0">
    <w:nsid w:val="3A690547"/>
    <w:multiLevelType w:val="hybridMultilevel"/>
    <w:tmpl w:val="34DA0EAA"/>
    <w:lvl w:ilvl="0" w:tplc="084ED1F8">
      <w:start w:val="1"/>
      <w:numFmt w:val="bullet"/>
      <w:lvlText w:val=""/>
      <w:lvlJc w:val="left"/>
      <w:pPr>
        <w:ind w:left="720" w:hanging="180"/>
      </w:pPr>
      <w:rPr>
        <w:rFonts w:ascii="Symbol" w:hAnsi="Symbol" w:hint="default"/>
      </w:rPr>
    </w:lvl>
    <w:lvl w:ilvl="1" w:tplc="B2505EAC">
      <w:numFmt w:val="decimal"/>
      <w:lvlText w:val=""/>
      <w:lvlJc w:val="left"/>
    </w:lvl>
    <w:lvl w:ilvl="2" w:tplc="83CA53D4">
      <w:numFmt w:val="decimal"/>
      <w:lvlText w:val=""/>
      <w:lvlJc w:val="left"/>
    </w:lvl>
    <w:lvl w:ilvl="3" w:tplc="7CF439E4">
      <w:numFmt w:val="decimal"/>
      <w:lvlText w:val=""/>
      <w:lvlJc w:val="left"/>
    </w:lvl>
    <w:lvl w:ilvl="4" w:tplc="50FE8D74">
      <w:numFmt w:val="decimal"/>
      <w:lvlText w:val=""/>
      <w:lvlJc w:val="left"/>
    </w:lvl>
    <w:lvl w:ilvl="5" w:tplc="2F287FE0">
      <w:numFmt w:val="decimal"/>
      <w:lvlText w:val=""/>
      <w:lvlJc w:val="left"/>
    </w:lvl>
    <w:lvl w:ilvl="6" w:tplc="4CE459A6">
      <w:numFmt w:val="decimal"/>
      <w:lvlText w:val=""/>
      <w:lvlJc w:val="left"/>
    </w:lvl>
    <w:lvl w:ilvl="7" w:tplc="BB1CDA40">
      <w:numFmt w:val="decimal"/>
      <w:lvlText w:val=""/>
      <w:lvlJc w:val="left"/>
    </w:lvl>
    <w:lvl w:ilvl="8" w:tplc="80C80632">
      <w:numFmt w:val="decimal"/>
      <w:lvlText w:val=""/>
      <w:lvlJc w:val="left"/>
    </w:lvl>
  </w:abstractNum>
  <w:abstractNum w:abstractNumId="522" w15:restartNumberingAfterBreak="0">
    <w:nsid w:val="3AA87D7C"/>
    <w:multiLevelType w:val="hybridMultilevel"/>
    <w:tmpl w:val="8C7ACE5C"/>
    <w:lvl w:ilvl="0" w:tplc="2DFCA736">
      <w:start w:val="1"/>
      <w:numFmt w:val="bullet"/>
      <w:lvlText w:val=""/>
      <w:lvlJc w:val="left"/>
      <w:pPr>
        <w:ind w:left="720" w:hanging="180"/>
      </w:pPr>
      <w:rPr>
        <w:rFonts w:ascii="Symbol" w:hAnsi="Symbol" w:hint="default"/>
      </w:rPr>
    </w:lvl>
    <w:lvl w:ilvl="1" w:tplc="5038CE96">
      <w:numFmt w:val="decimal"/>
      <w:lvlText w:val=""/>
      <w:lvlJc w:val="left"/>
    </w:lvl>
    <w:lvl w:ilvl="2" w:tplc="E892E1E4">
      <w:numFmt w:val="decimal"/>
      <w:lvlText w:val=""/>
      <w:lvlJc w:val="left"/>
    </w:lvl>
    <w:lvl w:ilvl="3" w:tplc="84AC1A58">
      <w:numFmt w:val="decimal"/>
      <w:lvlText w:val=""/>
      <w:lvlJc w:val="left"/>
    </w:lvl>
    <w:lvl w:ilvl="4" w:tplc="E07469B8">
      <w:numFmt w:val="decimal"/>
      <w:lvlText w:val=""/>
      <w:lvlJc w:val="left"/>
    </w:lvl>
    <w:lvl w:ilvl="5" w:tplc="49663BB0">
      <w:numFmt w:val="decimal"/>
      <w:lvlText w:val=""/>
      <w:lvlJc w:val="left"/>
    </w:lvl>
    <w:lvl w:ilvl="6" w:tplc="34062AF2">
      <w:numFmt w:val="decimal"/>
      <w:lvlText w:val=""/>
      <w:lvlJc w:val="left"/>
    </w:lvl>
    <w:lvl w:ilvl="7" w:tplc="0A0E09E2">
      <w:numFmt w:val="decimal"/>
      <w:lvlText w:val=""/>
      <w:lvlJc w:val="left"/>
    </w:lvl>
    <w:lvl w:ilvl="8" w:tplc="734A62FC">
      <w:numFmt w:val="decimal"/>
      <w:lvlText w:val=""/>
      <w:lvlJc w:val="left"/>
    </w:lvl>
  </w:abstractNum>
  <w:abstractNum w:abstractNumId="523" w15:restartNumberingAfterBreak="0">
    <w:nsid w:val="3AB320F8"/>
    <w:multiLevelType w:val="hybridMultilevel"/>
    <w:tmpl w:val="1B20F078"/>
    <w:lvl w:ilvl="0" w:tplc="B9EE6E78">
      <w:start w:val="1"/>
      <w:numFmt w:val="bullet"/>
      <w:lvlText w:val=""/>
      <w:lvlJc w:val="left"/>
      <w:pPr>
        <w:ind w:left="720" w:hanging="180"/>
      </w:pPr>
      <w:rPr>
        <w:rFonts w:ascii="Symbol" w:hAnsi="Symbol" w:hint="default"/>
      </w:rPr>
    </w:lvl>
    <w:lvl w:ilvl="1" w:tplc="7BD4EEA8">
      <w:numFmt w:val="decimal"/>
      <w:lvlText w:val=""/>
      <w:lvlJc w:val="left"/>
    </w:lvl>
    <w:lvl w:ilvl="2" w:tplc="488EDB56">
      <w:numFmt w:val="decimal"/>
      <w:lvlText w:val=""/>
      <w:lvlJc w:val="left"/>
    </w:lvl>
    <w:lvl w:ilvl="3" w:tplc="25D4AFA2">
      <w:numFmt w:val="decimal"/>
      <w:lvlText w:val=""/>
      <w:lvlJc w:val="left"/>
    </w:lvl>
    <w:lvl w:ilvl="4" w:tplc="725CD0E6">
      <w:numFmt w:val="decimal"/>
      <w:lvlText w:val=""/>
      <w:lvlJc w:val="left"/>
    </w:lvl>
    <w:lvl w:ilvl="5" w:tplc="9F7E17A0">
      <w:numFmt w:val="decimal"/>
      <w:lvlText w:val=""/>
      <w:lvlJc w:val="left"/>
    </w:lvl>
    <w:lvl w:ilvl="6" w:tplc="D68C41BA">
      <w:numFmt w:val="decimal"/>
      <w:lvlText w:val=""/>
      <w:lvlJc w:val="left"/>
    </w:lvl>
    <w:lvl w:ilvl="7" w:tplc="DD40999A">
      <w:numFmt w:val="decimal"/>
      <w:lvlText w:val=""/>
      <w:lvlJc w:val="left"/>
    </w:lvl>
    <w:lvl w:ilvl="8" w:tplc="177EBF56">
      <w:numFmt w:val="decimal"/>
      <w:lvlText w:val=""/>
      <w:lvlJc w:val="left"/>
    </w:lvl>
  </w:abstractNum>
  <w:abstractNum w:abstractNumId="524" w15:restartNumberingAfterBreak="0">
    <w:nsid w:val="3AFD2E88"/>
    <w:multiLevelType w:val="hybridMultilevel"/>
    <w:tmpl w:val="BDF4AF58"/>
    <w:lvl w:ilvl="0" w:tplc="46D028BC">
      <w:start w:val="1"/>
      <w:numFmt w:val="bullet"/>
      <w:lvlText w:val=""/>
      <w:lvlJc w:val="left"/>
      <w:pPr>
        <w:ind w:left="720" w:hanging="180"/>
      </w:pPr>
      <w:rPr>
        <w:rFonts w:ascii="Symbol" w:hAnsi="Symbol" w:hint="default"/>
      </w:rPr>
    </w:lvl>
    <w:lvl w:ilvl="1" w:tplc="35901CA0">
      <w:numFmt w:val="decimal"/>
      <w:lvlText w:val=""/>
      <w:lvlJc w:val="left"/>
    </w:lvl>
    <w:lvl w:ilvl="2" w:tplc="A32AF3C2">
      <w:numFmt w:val="decimal"/>
      <w:lvlText w:val=""/>
      <w:lvlJc w:val="left"/>
    </w:lvl>
    <w:lvl w:ilvl="3" w:tplc="01D218DA">
      <w:numFmt w:val="decimal"/>
      <w:lvlText w:val=""/>
      <w:lvlJc w:val="left"/>
    </w:lvl>
    <w:lvl w:ilvl="4" w:tplc="EC34252A">
      <w:numFmt w:val="decimal"/>
      <w:lvlText w:val=""/>
      <w:lvlJc w:val="left"/>
    </w:lvl>
    <w:lvl w:ilvl="5" w:tplc="FFF03F6E">
      <w:numFmt w:val="decimal"/>
      <w:lvlText w:val=""/>
      <w:lvlJc w:val="left"/>
    </w:lvl>
    <w:lvl w:ilvl="6" w:tplc="C1C4234A">
      <w:numFmt w:val="decimal"/>
      <w:lvlText w:val=""/>
      <w:lvlJc w:val="left"/>
    </w:lvl>
    <w:lvl w:ilvl="7" w:tplc="4B0671F2">
      <w:numFmt w:val="decimal"/>
      <w:lvlText w:val=""/>
      <w:lvlJc w:val="left"/>
    </w:lvl>
    <w:lvl w:ilvl="8" w:tplc="F0B038FA">
      <w:numFmt w:val="decimal"/>
      <w:lvlText w:val=""/>
      <w:lvlJc w:val="left"/>
    </w:lvl>
  </w:abstractNum>
  <w:abstractNum w:abstractNumId="525" w15:restartNumberingAfterBreak="0">
    <w:nsid w:val="3B032C83"/>
    <w:multiLevelType w:val="hybridMultilevel"/>
    <w:tmpl w:val="C282660A"/>
    <w:lvl w:ilvl="0" w:tplc="2CBEBFE6">
      <w:start w:val="1"/>
      <w:numFmt w:val="bullet"/>
      <w:lvlText w:val=""/>
      <w:lvlJc w:val="left"/>
      <w:pPr>
        <w:ind w:left="720" w:hanging="180"/>
      </w:pPr>
      <w:rPr>
        <w:rFonts w:ascii="Symbol" w:hAnsi="Symbol" w:hint="default"/>
      </w:rPr>
    </w:lvl>
    <w:lvl w:ilvl="1" w:tplc="60A05E44">
      <w:numFmt w:val="decimal"/>
      <w:lvlText w:val=""/>
      <w:lvlJc w:val="left"/>
    </w:lvl>
    <w:lvl w:ilvl="2" w:tplc="F200A5E6">
      <w:numFmt w:val="decimal"/>
      <w:lvlText w:val=""/>
      <w:lvlJc w:val="left"/>
    </w:lvl>
    <w:lvl w:ilvl="3" w:tplc="014AB37C">
      <w:numFmt w:val="decimal"/>
      <w:lvlText w:val=""/>
      <w:lvlJc w:val="left"/>
    </w:lvl>
    <w:lvl w:ilvl="4" w:tplc="087CC2E2">
      <w:numFmt w:val="decimal"/>
      <w:lvlText w:val=""/>
      <w:lvlJc w:val="left"/>
    </w:lvl>
    <w:lvl w:ilvl="5" w:tplc="14EE588A">
      <w:numFmt w:val="decimal"/>
      <w:lvlText w:val=""/>
      <w:lvlJc w:val="left"/>
    </w:lvl>
    <w:lvl w:ilvl="6" w:tplc="04D83AA0">
      <w:numFmt w:val="decimal"/>
      <w:lvlText w:val=""/>
      <w:lvlJc w:val="left"/>
    </w:lvl>
    <w:lvl w:ilvl="7" w:tplc="6000754E">
      <w:numFmt w:val="decimal"/>
      <w:lvlText w:val=""/>
      <w:lvlJc w:val="left"/>
    </w:lvl>
    <w:lvl w:ilvl="8" w:tplc="C106BF0A">
      <w:numFmt w:val="decimal"/>
      <w:lvlText w:val=""/>
      <w:lvlJc w:val="left"/>
    </w:lvl>
  </w:abstractNum>
  <w:abstractNum w:abstractNumId="526" w15:restartNumberingAfterBreak="0">
    <w:nsid w:val="3B0E4F44"/>
    <w:multiLevelType w:val="hybridMultilevel"/>
    <w:tmpl w:val="349A622A"/>
    <w:lvl w:ilvl="0" w:tplc="52B43CDA">
      <w:start w:val="1"/>
      <w:numFmt w:val="bullet"/>
      <w:lvlText w:val=""/>
      <w:lvlJc w:val="left"/>
      <w:pPr>
        <w:ind w:left="720" w:hanging="180"/>
      </w:pPr>
      <w:rPr>
        <w:rFonts w:ascii="Symbol" w:hAnsi="Symbol" w:hint="default"/>
      </w:rPr>
    </w:lvl>
    <w:lvl w:ilvl="1" w:tplc="F214B1CE">
      <w:numFmt w:val="decimal"/>
      <w:lvlText w:val=""/>
      <w:lvlJc w:val="left"/>
    </w:lvl>
    <w:lvl w:ilvl="2" w:tplc="BA9A5D84">
      <w:numFmt w:val="decimal"/>
      <w:lvlText w:val=""/>
      <w:lvlJc w:val="left"/>
    </w:lvl>
    <w:lvl w:ilvl="3" w:tplc="E42ABFE2">
      <w:numFmt w:val="decimal"/>
      <w:lvlText w:val=""/>
      <w:lvlJc w:val="left"/>
    </w:lvl>
    <w:lvl w:ilvl="4" w:tplc="BCDA9E70">
      <w:numFmt w:val="decimal"/>
      <w:lvlText w:val=""/>
      <w:lvlJc w:val="left"/>
    </w:lvl>
    <w:lvl w:ilvl="5" w:tplc="CA00129A">
      <w:numFmt w:val="decimal"/>
      <w:lvlText w:val=""/>
      <w:lvlJc w:val="left"/>
    </w:lvl>
    <w:lvl w:ilvl="6" w:tplc="1452E54A">
      <w:numFmt w:val="decimal"/>
      <w:lvlText w:val=""/>
      <w:lvlJc w:val="left"/>
    </w:lvl>
    <w:lvl w:ilvl="7" w:tplc="D2361B24">
      <w:numFmt w:val="decimal"/>
      <w:lvlText w:val=""/>
      <w:lvlJc w:val="left"/>
    </w:lvl>
    <w:lvl w:ilvl="8" w:tplc="8CCAC232">
      <w:numFmt w:val="decimal"/>
      <w:lvlText w:val=""/>
      <w:lvlJc w:val="left"/>
    </w:lvl>
  </w:abstractNum>
  <w:abstractNum w:abstractNumId="527" w15:restartNumberingAfterBreak="0">
    <w:nsid w:val="3B881E9A"/>
    <w:multiLevelType w:val="hybridMultilevel"/>
    <w:tmpl w:val="5FAA7BA4"/>
    <w:lvl w:ilvl="0" w:tplc="C65E9996">
      <w:start w:val="1"/>
      <w:numFmt w:val="bullet"/>
      <w:lvlText w:val=""/>
      <w:lvlJc w:val="left"/>
      <w:pPr>
        <w:ind w:left="720" w:hanging="180"/>
      </w:pPr>
      <w:rPr>
        <w:rFonts w:ascii="Symbol" w:hAnsi="Symbol" w:hint="default"/>
      </w:rPr>
    </w:lvl>
    <w:lvl w:ilvl="1" w:tplc="BC2C705A">
      <w:numFmt w:val="decimal"/>
      <w:lvlText w:val=""/>
      <w:lvlJc w:val="left"/>
    </w:lvl>
    <w:lvl w:ilvl="2" w:tplc="93EA1330">
      <w:numFmt w:val="decimal"/>
      <w:lvlText w:val=""/>
      <w:lvlJc w:val="left"/>
    </w:lvl>
    <w:lvl w:ilvl="3" w:tplc="922897F4">
      <w:numFmt w:val="decimal"/>
      <w:lvlText w:val=""/>
      <w:lvlJc w:val="left"/>
    </w:lvl>
    <w:lvl w:ilvl="4" w:tplc="DA6E6CDA">
      <w:numFmt w:val="decimal"/>
      <w:lvlText w:val=""/>
      <w:lvlJc w:val="left"/>
    </w:lvl>
    <w:lvl w:ilvl="5" w:tplc="70D04DB0">
      <w:numFmt w:val="decimal"/>
      <w:lvlText w:val=""/>
      <w:lvlJc w:val="left"/>
    </w:lvl>
    <w:lvl w:ilvl="6" w:tplc="ABA08A82">
      <w:numFmt w:val="decimal"/>
      <w:lvlText w:val=""/>
      <w:lvlJc w:val="left"/>
    </w:lvl>
    <w:lvl w:ilvl="7" w:tplc="0250F32C">
      <w:numFmt w:val="decimal"/>
      <w:lvlText w:val=""/>
      <w:lvlJc w:val="left"/>
    </w:lvl>
    <w:lvl w:ilvl="8" w:tplc="A260D454">
      <w:numFmt w:val="decimal"/>
      <w:lvlText w:val=""/>
      <w:lvlJc w:val="left"/>
    </w:lvl>
  </w:abstractNum>
  <w:abstractNum w:abstractNumId="528" w15:restartNumberingAfterBreak="0">
    <w:nsid w:val="3BB54DB0"/>
    <w:multiLevelType w:val="hybridMultilevel"/>
    <w:tmpl w:val="543029BA"/>
    <w:lvl w:ilvl="0" w:tplc="0A3AC008">
      <w:start w:val="1"/>
      <w:numFmt w:val="bullet"/>
      <w:lvlText w:val=""/>
      <w:lvlJc w:val="left"/>
      <w:pPr>
        <w:ind w:left="720" w:hanging="180"/>
      </w:pPr>
      <w:rPr>
        <w:rFonts w:ascii="Symbol" w:hAnsi="Symbol" w:hint="default"/>
      </w:rPr>
    </w:lvl>
    <w:lvl w:ilvl="1" w:tplc="9618B3FA">
      <w:numFmt w:val="decimal"/>
      <w:lvlText w:val=""/>
      <w:lvlJc w:val="left"/>
    </w:lvl>
    <w:lvl w:ilvl="2" w:tplc="24AA09A2">
      <w:numFmt w:val="decimal"/>
      <w:lvlText w:val=""/>
      <w:lvlJc w:val="left"/>
    </w:lvl>
    <w:lvl w:ilvl="3" w:tplc="D1AAEB1E">
      <w:numFmt w:val="decimal"/>
      <w:lvlText w:val=""/>
      <w:lvlJc w:val="left"/>
    </w:lvl>
    <w:lvl w:ilvl="4" w:tplc="90B85D00">
      <w:numFmt w:val="decimal"/>
      <w:lvlText w:val=""/>
      <w:lvlJc w:val="left"/>
    </w:lvl>
    <w:lvl w:ilvl="5" w:tplc="3BEEA3E4">
      <w:numFmt w:val="decimal"/>
      <w:lvlText w:val=""/>
      <w:lvlJc w:val="left"/>
    </w:lvl>
    <w:lvl w:ilvl="6" w:tplc="D0CA8D26">
      <w:numFmt w:val="decimal"/>
      <w:lvlText w:val=""/>
      <w:lvlJc w:val="left"/>
    </w:lvl>
    <w:lvl w:ilvl="7" w:tplc="82E02CCC">
      <w:numFmt w:val="decimal"/>
      <w:lvlText w:val=""/>
      <w:lvlJc w:val="left"/>
    </w:lvl>
    <w:lvl w:ilvl="8" w:tplc="003443AC">
      <w:numFmt w:val="decimal"/>
      <w:lvlText w:val=""/>
      <w:lvlJc w:val="left"/>
    </w:lvl>
  </w:abstractNum>
  <w:abstractNum w:abstractNumId="529" w15:restartNumberingAfterBreak="0">
    <w:nsid w:val="3BBF5A47"/>
    <w:multiLevelType w:val="hybridMultilevel"/>
    <w:tmpl w:val="6322986A"/>
    <w:lvl w:ilvl="0" w:tplc="9236A7B6">
      <w:start w:val="1"/>
      <w:numFmt w:val="bullet"/>
      <w:lvlText w:val=""/>
      <w:lvlJc w:val="left"/>
      <w:pPr>
        <w:ind w:left="720" w:hanging="180"/>
      </w:pPr>
      <w:rPr>
        <w:rFonts w:ascii="Symbol" w:hAnsi="Symbol" w:hint="default"/>
      </w:rPr>
    </w:lvl>
    <w:lvl w:ilvl="1" w:tplc="9AB831BE">
      <w:numFmt w:val="decimal"/>
      <w:lvlText w:val=""/>
      <w:lvlJc w:val="left"/>
    </w:lvl>
    <w:lvl w:ilvl="2" w:tplc="9EB29D2C">
      <w:numFmt w:val="decimal"/>
      <w:lvlText w:val=""/>
      <w:lvlJc w:val="left"/>
    </w:lvl>
    <w:lvl w:ilvl="3" w:tplc="4EBE4004">
      <w:numFmt w:val="decimal"/>
      <w:lvlText w:val=""/>
      <w:lvlJc w:val="left"/>
    </w:lvl>
    <w:lvl w:ilvl="4" w:tplc="618C91AE">
      <w:numFmt w:val="decimal"/>
      <w:lvlText w:val=""/>
      <w:lvlJc w:val="left"/>
    </w:lvl>
    <w:lvl w:ilvl="5" w:tplc="5EE86DD0">
      <w:numFmt w:val="decimal"/>
      <w:lvlText w:val=""/>
      <w:lvlJc w:val="left"/>
    </w:lvl>
    <w:lvl w:ilvl="6" w:tplc="3D7635E8">
      <w:numFmt w:val="decimal"/>
      <w:lvlText w:val=""/>
      <w:lvlJc w:val="left"/>
    </w:lvl>
    <w:lvl w:ilvl="7" w:tplc="7B029CBA">
      <w:numFmt w:val="decimal"/>
      <w:lvlText w:val=""/>
      <w:lvlJc w:val="left"/>
    </w:lvl>
    <w:lvl w:ilvl="8" w:tplc="0122DCA6">
      <w:numFmt w:val="decimal"/>
      <w:lvlText w:val=""/>
      <w:lvlJc w:val="left"/>
    </w:lvl>
  </w:abstractNum>
  <w:abstractNum w:abstractNumId="530" w15:restartNumberingAfterBreak="0">
    <w:nsid w:val="3BE21A16"/>
    <w:multiLevelType w:val="hybridMultilevel"/>
    <w:tmpl w:val="C63A5708"/>
    <w:lvl w:ilvl="0" w:tplc="5686CCDC">
      <w:start w:val="1"/>
      <w:numFmt w:val="bullet"/>
      <w:lvlText w:val=""/>
      <w:lvlJc w:val="left"/>
      <w:pPr>
        <w:ind w:left="720" w:hanging="180"/>
      </w:pPr>
      <w:rPr>
        <w:rFonts w:ascii="Symbol" w:hAnsi="Symbol" w:hint="default"/>
      </w:rPr>
    </w:lvl>
    <w:lvl w:ilvl="1" w:tplc="8CAC31FC">
      <w:numFmt w:val="decimal"/>
      <w:lvlText w:val=""/>
      <w:lvlJc w:val="left"/>
    </w:lvl>
    <w:lvl w:ilvl="2" w:tplc="F76A2630">
      <w:numFmt w:val="decimal"/>
      <w:lvlText w:val=""/>
      <w:lvlJc w:val="left"/>
    </w:lvl>
    <w:lvl w:ilvl="3" w:tplc="4FCE1E5A">
      <w:numFmt w:val="decimal"/>
      <w:lvlText w:val=""/>
      <w:lvlJc w:val="left"/>
    </w:lvl>
    <w:lvl w:ilvl="4" w:tplc="DBBC644E">
      <w:numFmt w:val="decimal"/>
      <w:lvlText w:val=""/>
      <w:lvlJc w:val="left"/>
    </w:lvl>
    <w:lvl w:ilvl="5" w:tplc="5CF6E10C">
      <w:numFmt w:val="decimal"/>
      <w:lvlText w:val=""/>
      <w:lvlJc w:val="left"/>
    </w:lvl>
    <w:lvl w:ilvl="6" w:tplc="45486180">
      <w:numFmt w:val="decimal"/>
      <w:lvlText w:val=""/>
      <w:lvlJc w:val="left"/>
    </w:lvl>
    <w:lvl w:ilvl="7" w:tplc="C6C02978">
      <w:numFmt w:val="decimal"/>
      <w:lvlText w:val=""/>
      <w:lvlJc w:val="left"/>
    </w:lvl>
    <w:lvl w:ilvl="8" w:tplc="39247AFE">
      <w:numFmt w:val="decimal"/>
      <w:lvlText w:val=""/>
      <w:lvlJc w:val="left"/>
    </w:lvl>
  </w:abstractNum>
  <w:abstractNum w:abstractNumId="531" w15:restartNumberingAfterBreak="0">
    <w:nsid w:val="3BF326FC"/>
    <w:multiLevelType w:val="hybridMultilevel"/>
    <w:tmpl w:val="923C9D98"/>
    <w:lvl w:ilvl="0" w:tplc="3D6CDD7A">
      <w:start w:val="1"/>
      <w:numFmt w:val="bullet"/>
      <w:lvlText w:val=""/>
      <w:lvlJc w:val="left"/>
      <w:pPr>
        <w:ind w:left="720" w:hanging="180"/>
      </w:pPr>
      <w:rPr>
        <w:rFonts w:ascii="Symbol" w:hAnsi="Symbol" w:hint="default"/>
      </w:rPr>
    </w:lvl>
    <w:lvl w:ilvl="1" w:tplc="0B82F358">
      <w:numFmt w:val="decimal"/>
      <w:lvlText w:val=""/>
      <w:lvlJc w:val="left"/>
    </w:lvl>
    <w:lvl w:ilvl="2" w:tplc="114AA1EA">
      <w:numFmt w:val="decimal"/>
      <w:lvlText w:val=""/>
      <w:lvlJc w:val="left"/>
    </w:lvl>
    <w:lvl w:ilvl="3" w:tplc="127C9192">
      <w:numFmt w:val="decimal"/>
      <w:lvlText w:val=""/>
      <w:lvlJc w:val="left"/>
    </w:lvl>
    <w:lvl w:ilvl="4" w:tplc="1FB4BBC6">
      <w:numFmt w:val="decimal"/>
      <w:lvlText w:val=""/>
      <w:lvlJc w:val="left"/>
    </w:lvl>
    <w:lvl w:ilvl="5" w:tplc="2B1C40D6">
      <w:numFmt w:val="decimal"/>
      <w:lvlText w:val=""/>
      <w:lvlJc w:val="left"/>
    </w:lvl>
    <w:lvl w:ilvl="6" w:tplc="E5323BE6">
      <w:numFmt w:val="decimal"/>
      <w:lvlText w:val=""/>
      <w:lvlJc w:val="left"/>
    </w:lvl>
    <w:lvl w:ilvl="7" w:tplc="72A6AFB4">
      <w:numFmt w:val="decimal"/>
      <w:lvlText w:val=""/>
      <w:lvlJc w:val="left"/>
    </w:lvl>
    <w:lvl w:ilvl="8" w:tplc="36FA6CD0">
      <w:numFmt w:val="decimal"/>
      <w:lvlText w:val=""/>
      <w:lvlJc w:val="left"/>
    </w:lvl>
  </w:abstractNum>
  <w:abstractNum w:abstractNumId="532" w15:restartNumberingAfterBreak="0">
    <w:nsid w:val="3C31630F"/>
    <w:multiLevelType w:val="hybridMultilevel"/>
    <w:tmpl w:val="E9BA428C"/>
    <w:lvl w:ilvl="0" w:tplc="642A00C4">
      <w:start w:val="1"/>
      <w:numFmt w:val="bullet"/>
      <w:lvlText w:val=""/>
      <w:lvlJc w:val="left"/>
      <w:pPr>
        <w:ind w:left="720" w:hanging="180"/>
      </w:pPr>
      <w:rPr>
        <w:rFonts w:ascii="Symbol" w:hAnsi="Symbol" w:hint="default"/>
      </w:rPr>
    </w:lvl>
    <w:lvl w:ilvl="1" w:tplc="A0B4CA56">
      <w:numFmt w:val="decimal"/>
      <w:lvlText w:val=""/>
      <w:lvlJc w:val="left"/>
    </w:lvl>
    <w:lvl w:ilvl="2" w:tplc="F7C87EEA">
      <w:numFmt w:val="decimal"/>
      <w:lvlText w:val=""/>
      <w:lvlJc w:val="left"/>
    </w:lvl>
    <w:lvl w:ilvl="3" w:tplc="74FC666A">
      <w:numFmt w:val="decimal"/>
      <w:lvlText w:val=""/>
      <w:lvlJc w:val="left"/>
    </w:lvl>
    <w:lvl w:ilvl="4" w:tplc="57E098E0">
      <w:numFmt w:val="decimal"/>
      <w:lvlText w:val=""/>
      <w:lvlJc w:val="left"/>
    </w:lvl>
    <w:lvl w:ilvl="5" w:tplc="7384004A">
      <w:numFmt w:val="decimal"/>
      <w:lvlText w:val=""/>
      <w:lvlJc w:val="left"/>
    </w:lvl>
    <w:lvl w:ilvl="6" w:tplc="52805DF4">
      <w:numFmt w:val="decimal"/>
      <w:lvlText w:val=""/>
      <w:lvlJc w:val="left"/>
    </w:lvl>
    <w:lvl w:ilvl="7" w:tplc="C8E22F5A">
      <w:numFmt w:val="decimal"/>
      <w:lvlText w:val=""/>
      <w:lvlJc w:val="left"/>
    </w:lvl>
    <w:lvl w:ilvl="8" w:tplc="F3440F3C">
      <w:numFmt w:val="decimal"/>
      <w:lvlText w:val=""/>
      <w:lvlJc w:val="left"/>
    </w:lvl>
  </w:abstractNum>
  <w:abstractNum w:abstractNumId="533" w15:restartNumberingAfterBreak="0">
    <w:nsid w:val="3C862DE3"/>
    <w:multiLevelType w:val="hybridMultilevel"/>
    <w:tmpl w:val="12BE4870"/>
    <w:lvl w:ilvl="0" w:tplc="67E2D17C">
      <w:start w:val="1"/>
      <w:numFmt w:val="bullet"/>
      <w:lvlText w:val=""/>
      <w:lvlJc w:val="left"/>
      <w:pPr>
        <w:ind w:left="720" w:hanging="180"/>
      </w:pPr>
      <w:rPr>
        <w:rFonts w:ascii="Symbol" w:hAnsi="Symbol" w:hint="default"/>
      </w:rPr>
    </w:lvl>
    <w:lvl w:ilvl="1" w:tplc="3FD8C47C">
      <w:numFmt w:val="decimal"/>
      <w:lvlText w:val=""/>
      <w:lvlJc w:val="left"/>
    </w:lvl>
    <w:lvl w:ilvl="2" w:tplc="3E0CE09A">
      <w:numFmt w:val="decimal"/>
      <w:lvlText w:val=""/>
      <w:lvlJc w:val="left"/>
    </w:lvl>
    <w:lvl w:ilvl="3" w:tplc="01A42D72">
      <w:numFmt w:val="decimal"/>
      <w:lvlText w:val=""/>
      <w:lvlJc w:val="left"/>
    </w:lvl>
    <w:lvl w:ilvl="4" w:tplc="E5D486C4">
      <w:numFmt w:val="decimal"/>
      <w:lvlText w:val=""/>
      <w:lvlJc w:val="left"/>
    </w:lvl>
    <w:lvl w:ilvl="5" w:tplc="76EA4E9E">
      <w:numFmt w:val="decimal"/>
      <w:lvlText w:val=""/>
      <w:lvlJc w:val="left"/>
    </w:lvl>
    <w:lvl w:ilvl="6" w:tplc="99B2E026">
      <w:numFmt w:val="decimal"/>
      <w:lvlText w:val=""/>
      <w:lvlJc w:val="left"/>
    </w:lvl>
    <w:lvl w:ilvl="7" w:tplc="AE44F5EC">
      <w:numFmt w:val="decimal"/>
      <w:lvlText w:val=""/>
      <w:lvlJc w:val="left"/>
    </w:lvl>
    <w:lvl w:ilvl="8" w:tplc="10F041C2">
      <w:numFmt w:val="decimal"/>
      <w:lvlText w:val=""/>
      <w:lvlJc w:val="left"/>
    </w:lvl>
  </w:abstractNum>
  <w:abstractNum w:abstractNumId="534" w15:restartNumberingAfterBreak="0">
    <w:nsid w:val="3C93093D"/>
    <w:multiLevelType w:val="hybridMultilevel"/>
    <w:tmpl w:val="17882BE4"/>
    <w:lvl w:ilvl="0" w:tplc="4C6AF468">
      <w:start w:val="1"/>
      <w:numFmt w:val="bullet"/>
      <w:lvlText w:val=""/>
      <w:lvlJc w:val="left"/>
      <w:pPr>
        <w:ind w:left="720" w:hanging="180"/>
      </w:pPr>
      <w:rPr>
        <w:rFonts w:ascii="Symbol" w:hAnsi="Symbol" w:hint="default"/>
      </w:rPr>
    </w:lvl>
    <w:lvl w:ilvl="1" w:tplc="CAACBC00">
      <w:numFmt w:val="decimal"/>
      <w:lvlText w:val=""/>
      <w:lvlJc w:val="left"/>
    </w:lvl>
    <w:lvl w:ilvl="2" w:tplc="CC86B0A0">
      <w:numFmt w:val="decimal"/>
      <w:lvlText w:val=""/>
      <w:lvlJc w:val="left"/>
    </w:lvl>
    <w:lvl w:ilvl="3" w:tplc="92EE57DC">
      <w:numFmt w:val="decimal"/>
      <w:lvlText w:val=""/>
      <w:lvlJc w:val="left"/>
    </w:lvl>
    <w:lvl w:ilvl="4" w:tplc="264CBB56">
      <w:numFmt w:val="decimal"/>
      <w:lvlText w:val=""/>
      <w:lvlJc w:val="left"/>
    </w:lvl>
    <w:lvl w:ilvl="5" w:tplc="511C1C02">
      <w:numFmt w:val="decimal"/>
      <w:lvlText w:val=""/>
      <w:lvlJc w:val="left"/>
    </w:lvl>
    <w:lvl w:ilvl="6" w:tplc="E68ABAF4">
      <w:numFmt w:val="decimal"/>
      <w:lvlText w:val=""/>
      <w:lvlJc w:val="left"/>
    </w:lvl>
    <w:lvl w:ilvl="7" w:tplc="BAE20D14">
      <w:numFmt w:val="decimal"/>
      <w:lvlText w:val=""/>
      <w:lvlJc w:val="left"/>
    </w:lvl>
    <w:lvl w:ilvl="8" w:tplc="08DE9B28">
      <w:numFmt w:val="decimal"/>
      <w:lvlText w:val=""/>
      <w:lvlJc w:val="left"/>
    </w:lvl>
  </w:abstractNum>
  <w:abstractNum w:abstractNumId="535" w15:restartNumberingAfterBreak="0">
    <w:nsid w:val="3CA668EF"/>
    <w:multiLevelType w:val="hybridMultilevel"/>
    <w:tmpl w:val="C05C0976"/>
    <w:lvl w:ilvl="0" w:tplc="43B869E4">
      <w:start w:val="1"/>
      <w:numFmt w:val="bullet"/>
      <w:lvlText w:val=""/>
      <w:lvlJc w:val="left"/>
      <w:pPr>
        <w:ind w:left="720" w:hanging="180"/>
      </w:pPr>
      <w:rPr>
        <w:rFonts w:ascii="Symbol" w:hAnsi="Symbol" w:hint="default"/>
      </w:rPr>
    </w:lvl>
    <w:lvl w:ilvl="1" w:tplc="A7FA9562">
      <w:numFmt w:val="decimal"/>
      <w:lvlText w:val=""/>
      <w:lvlJc w:val="left"/>
    </w:lvl>
    <w:lvl w:ilvl="2" w:tplc="774ACEF0">
      <w:numFmt w:val="decimal"/>
      <w:lvlText w:val=""/>
      <w:lvlJc w:val="left"/>
    </w:lvl>
    <w:lvl w:ilvl="3" w:tplc="7BF87B40">
      <w:numFmt w:val="decimal"/>
      <w:lvlText w:val=""/>
      <w:lvlJc w:val="left"/>
    </w:lvl>
    <w:lvl w:ilvl="4" w:tplc="E47ADAE8">
      <w:numFmt w:val="decimal"/>
      <w:lvlText w:val=""/>
      <w:lvlJc w:val="left"/>
    </w:lvl>
    <w:lvl w:ilvl="5" w:tplc="BA746600">
      <w:numFmt w:val="decimal"/>
      <w:lvlText w:val=""/>
      <w:lvlJc w:val="left"/>
    </w:lvl>
    <w:lvl w:ilvl="6" w:tplc="94308588">
      <w:numFmt w:val="decimal"/>
      <w:lvlText w:val=""/>
      <w:lvlJc w:val="left"/>
    </w:lvl>
    <w:lvl w:ilvl="7" w:tplc="1196ECD4">
      <w:numFmt w:val="decimal"/>
      <w:lvlText w:val=""/>
      <w:lvlJc w:val="left"/>
    </w:lvl>
    <w:lvl w:ilvl="8" w:tplc="45F074B0">
      <w:numFmt w:val="decimal"/>
      <w:lvlText w:val=""/>
      <w:lvlJc w:val="left"/>
    </w:lvl>
  </w:abstractNum>
  <w:abstractNum w:abstractNumId="536" w15:restartNumberingAfterBreak="0">
    <w:nsid w:val="3CDC7328"/>
    <w:multiLevelType w:val="hybridMultilevel"/>
    <w:tmpl w:val="436C065A"/>
    <w:lvl w:ilvl="0" w:tplc="0B42456C">
      <w:start w:val="1"/>
      <w:numFmt w:val="bullet"/>
      <w:lvlText w:val=""/>
      <w:lvlJc w:val="left"/>
      <w:pPr>
        <w:ind w:left="720" w:hanging="180"/>
      </w:pPr>
      <w:rPr>
        <w:rFonts w:ascii="Symbol" w:hAnsi="Symbol" w:hint="default"/>
      </w:rPr>
    </w:lvl>
    <w:lvl w:ilvl="1" w:tplc="994C750A">
      <w:numFmt w:val="decimal"/>
      <w:lvlText w:val=""/>
      <w:lvlJc w:val="left"/>
    </w:lvl>
    <w:lvl w:ilvl="2" w:tplc="775A5272">
      <w:numFmt w:val="decimal"/>
      <w:lvlText w:val=""/>
      <w:lvlJc w:val="left"/>
    </w:lvl>
    <w:lvl w:ilvl="3" w:tplc="637C2A92">
      <w:numFmt w:val="decimal"/>
      <w:lvlText w:val=""/>
      <w:lvlJc w:val="left"/>
    </w:lvl>
    <w:lvl w:ilvl="4" w:tplc="A2705082">
      <w:numFmt w:val="decimal"/>
      <w:lvlText w:val=""/>
      <w:lvlJc w:val="left"/>
    </w:lvl>
    <w:lvl w:ilvl="5" w:tplc="E830293E">
      <w:numFmt w:val="decimal"/>
      <w:lvlText w:val=""/>
      <w:lvlJc w:val="left"/>
    </w:lvl>
    <w:lvl w:ilvl="6" w:tplc="844263EA">
      <w:numFmt w:val="decimal"/>
      <w:lvlText w:val=""/>
      <w:lvlJc w:val="left"/>
    </w:lvl>
    <w:lvl w:ilvl="7" w:tplc="A22A9316">
      <w:numFmt w:val="decimal"/>
      <w:lvlText w:val=""/>
      <w:lvlJc w:val="left"/>
    </w:lvl>
    <w:lvl w:ilvl="8" w:tplc="5F04A3E8">
      <w:numFmt w:val="decimal"/>
      <w:lvlText w:val=""/>
      <w:lvlJc w:val="left"/>
    </w:lvl>
  </w:abstractNum>
  <w:abstractNum w:abstractNumId="537" w15:restartNumberingAfterBreak="0">
    <w:nsid w:val="3CDD225C"/>
    <w:multiLevelType w:val="hybridMultilevel"/>
    <w:tmpl w:val="CF94FF18"/>
    <w:lvl w:ilvl="0" w:tplc="FB300B14">
      <w:start w:val="1"/>
      <w:numFmt w:val="bullet"/>
      <w:lvlText w:val=""/>
      <w:lvlJc w:val="left"/>
      <w:pPr>
        <w:ind w:left="720" w:hanging="180"/>
      </w:pPr>
      <w:rPr>
        <w:rFonts w:ascii="Symbol" w:hAnsi="Symbol" w:hint="default"/>
      </w:rPr>
    </w:lvl>
    <w:lvl w:ilvl="1" w:tplc="7C903B70">
      <w:numFmt w:val="decimal"/>
      <w:lvlText w:val=""/>
      <w:lvlJc w:val="left"/>
    </w:lvl>
    <w:lvl w:ilvl="2" w:tplc="B42C9682">
      <w:numFmt w:val="decimal"/>
      <w:lvlText w:val=""/>
      <w:lvlJc w:val="left"/>
    </w:lvl>
    <w:lvl w:ilvl="3" w:tplc="84A2A0E6">
      <w:numFmt w:val="decimal"/>
      <w:lvlText w:val=""/>
      <w:lvlJc w:val="left"/>
    </w:lvl>
    <w:lvl w:ilvl="4" w:tplc="3866F618">
      <w:numFmt w:val="decimal"/>
      <w:lvlText w:val=""/>
      <w:lvlJc w:val="left"/>
    </w:lvl>
    <w:lvl w:ilvl="5" w:tplc="97AC08E4">
      <w:numFmt w:val="decimal"/>
      <w:lvlText w:val=""/>
      <w:lvlJc w:val="left"/>
    </w:lvl>
    <w:lvl w:ilvl="6" w:tplc="745A1A46">
      <w:numFmt w:val="decimal"/>
      <w:lvlText w:val=""/>
      <w:lvlJc w:val="left"/>
    </w:lvl>
    <w:lvl w:ilvl="7" w:tplc="5678B02A">
      <w:numFmt w:val="decimal"/>
      <w:lvlText w:val=""/>
      <w:lvlJc w:val="left"/>
    </w:lvl>
    <w:lvl w:ilvl="8" w:tplc="B69E7F6C">
      <w:numFmt w:val="decimal"/>
      <w:lvlText w:val=""/>
      <w:lvlJc w:val="left"/>
    </w:lvl>
  </w:abstractNum>
  <w:abstractNum w:abstractNumId="538" w15:restartNumberingAfterBreak="0">
    <w:nsid w:val="3CF8383F"/>
    <w:multiLevelType w:val="hybridMultilevel"/>
    <w:tmpl w:val="27D0A8C8"/>
    <w:lvl w:ilvl="0" w:tplc="84122108">
      <w:start w:val="1"/>
      <w:numFmt w:val="bullet"/>
      <w:lvlText w:val=""/>
      <w:lvlJc w:val="left"/>
      <w:pPr>
        <w:ind w:left="720" w:hanging="180"/>
      </w:pPr>
      <w:rPr>
        <w:rFonts w:ascii="Symbol" w:hAnsi="Symbol" w:hint="default"/>
      </w:rPr>
    </w:lvl>
    <w:lvl w:ilvl="1" w:tplc="95EE3EB0">
      <w:numFmt w:val="decimal"/>
      <w:lvlText w:val=""/>
      <w:lvlJc w:val="left"/>
    </w:lvl>
    <w:lvl w:ilvl="2" w:tplc="543CE10A">
      <w:numFmt w:val="decimal"/>
      <w:lvlText w:val=""/>
      <w:lvlJc w:val="left"/>
    </w:lvl>
    <w:lvl w:ilvl="3" w:tplc="C75836CC">
      <w:numFmt w:val="decimal"/>
      <w:lvlText w:val=""/>
      <w:lvlJc w:val="left"/>
    </w:lvl>
    <w:lvl w:ilvl="4" w:tplc="7F30D294">
      <w:numFmt w:val="decimal"/>
      <w:lvlText w:val=""/>
      <w:lvlJc w:val="left"/>
    </w:lvl>
    <w:lvl w:ilvl="5" w:tplc="1638B442">
      <w:numFmt w:val="decimal"/>
      <w:lvlText w:val=""/>
      <w:lvlJc w:val="left"/>
    </w:lvl>
    <w:lvl w:ilvl="6" w:tplc="CA3AC468">
      <w:numFmt w:val="decimal"/>
      <w:lvlText w:val=""/>
      <w:lvlJc w:val="left"/>
    </w:lvl>
    <w:lvl w:ilvl="7" w:tplc="6E4AA51A">
      <w:numFmt w:val="decimal"/>
      <w:lvlText w:val=""/>
      <w:lvlJc w:val="left"/>
    </w:lvl>
    <w:lvl w:ilvl="8" w:tplc="6D921BEE">
      <w:numFmt w:val="decimal"/>
      <w:lvlText w:val=""/>
      <w:lvlJc w:val="left"/>
    </w:lvl>
  </w:abstractNum>
  <w:abstractNum w:abstractNumId="539" w15:restartNumberingAfterBreak="0">
    <w:nsid w:val="3CFE2113"/>
    <w:multiLevelType w:val="hybridMultilevel"/>
    <w:tmpl w:val="1138130E"/>
    <w:lvl w:ilvl="0" w:tplc="4C00FD66">
      <w:start w:val="1"/>
      <w:numFmt w:val="bullet"/>
      <w:lvlText w:val=""/>
      <w:lvlJc w:val="left"/>
      <w:pPr>
        <w:ind w:left="720" w:hanging="180"/>
      </w:pPr>
      <w:rPr>
        <w:rFonts w:ascii="Symbol" w:hAnsi="Symbol" w:hint="default"/>
      </w:rPr>
    </w:lvl>
    <w:lvl w:ilvl="1" w:tplc="D4508AB0">
      <w:numFmt w:val="decimal"/>
      <w:lvlText w:val=""/>
      <w:lvlJc w:val="left"/>
    </w:lvl>
    <w:lvl w:ilvl="2" w:tplc="E29E4D36">
      <w:numFmt w:val="decimal"/>
      <w:lvlText w:val=""/>
      <w:lvlJc w:val="left"/>
    </w:lvl>
    <w:lvl w:ilvl="3" w:tplc="81CE27EC">
      <w:numFmt w:val="decimal"/>
      <w:lvlText w:val=""/>
      <w:lvlJc w:val="left"/>
    </w:lvl>
    <w:lvl w:ilvl="4" w:tplc="07661BA4">
      <w:numFmt w:val="decimal"/>
      <w:lvlText w:val=""/>
      <w:lvlJc w:val="left"/>
    </w:lvl>
    <w:lvl w:ilvl="5" w:tplc="A61AC268">
      <w:numFmt w:val="decimal"/>
      <w:lvlText w:val=""/>
      <w:lvlJc w:val="left"/>
    </w:lvl>
    <w:lvl w:ilvl="6" w:tplc="9A923818">
      <w:numFmt w:val="decimal"/>
      <w:lvlText w:val=""/>
      <w:lvlJc w:val="left"/>
    </w:lvl>
    <w:lvl w:ilvl="7" w:tplc="3B548BC0">
      <w:numFmt w:val="decimal"/>
      <w:lvlText w:val=""/>
      <w:lvlJc w:val="left"/>
    </w:lvl>
    <w:lvl w:ilvl="8" w:tplc="E04C79F6">
      <w:numFmt w:val="decimal"/>
      <w:lvlText w:val=""/>
      <w:lvlJc w:val="left"/>
    </w:lvl>
  </w:abstractNum>
  <w:abstractNum w:abstractNumId="540" w15:restartNumberingAfterBreak="0">
    <w:nsid w:val="3D0C3CD7"/>
    <w:multiLevelType w:val="hybridMultilevel"/>
    <w:tmpl w:val="864A2CB0"/>
    <w:lvl w:ilvl="0" w:tplc="EA3E06B0">
      <w:start w:val="1"/>
      <w:numFmt w:val="bullet"/>
      <w:lvlText w:val=""/>
      <w:lvlJc w:val="left"/>
      <w:pPr>
        <w:ind w:left="720" w:hanging="180"/>
      </w:pPr>
      <w:rPr>
        <w:rFonts w:ascii="Symbol" w:hAnsi="Symbol" w:hint="default"/>
      </w:rPr>
    </w:lvl>
    <w:lvl w:ilvl="1" w:tplc="CFEA0016">
      <w:numFmt w:val="decimal"/>
      <w:lvlText w:val=""/>
      <w:lvlJc w:val="left"/>
    </w:lvl>
    <w:lvl w:ilvl="2" w:tplc="AF0C12BA">
      <w:numFmt w:val="decimal"/>
      <w:lvlText w:val=""/>
      <w:lvlJc w:val="left"/>
    </w:lvl>
    <w:lvl w:ilvl="3" w:tplc="D2E68030">
      <w:numFmt w:val="decimal"/>
      <w:lvlText w:val=""/>
      <w:lvlJc w:val="left"/>
    </w:lvl>
    <w:lvl w:ilvl="4" w:tplc="56068146">
      <w:numFmt w:val="decimal"/>
      <w:lvlText w:val=""/>
      <w:lvlJc w:val="left"/>
    </w:lvl>
    <w:lvl w:ilvl="5" w:tplc="C6FC601C">
      <w:numFmt w:val="decimal"/>
      <w:lvlText w:val=""/>
      <w:lvlJc w:val="left"/>
    </w:lvl>
    <w:lvl w:ilvl="6" w:tplc="6BFE76E2">
      <w:numFmt w:val="decimal"/>
      <w:lvlText w:val=""/>
      <w:lvlJc w:val="left"/>
    </w:lvl>
    <w:lvl w:ilvl="7" w:tplc="411E8420">
      <w:numFmt w:val="decimal"/>
      <w:lvlText w:val=""/>
      <w:lvlJc w:val="left"/>
    </w:lvl>
    <w:lvl w:ilvl="8" w:tplc="6576E1C8">
      <w:numFmt w:val="decimal"/>
      <w:lvlText w:val=""/>
      <w:lvlJc w:val="left"/>
    </w:lvl>
  </w:abstractNum>
  <w:abstractNum w:abstractNumId="541" w15:restartNumberingAfterBreak="0">
    <w:nsid w:val="3D1B0775"/>
    <w:multiLevelType w:val="hybridMultilevel"/>
    <w:tmpl w:val="8B6E729C"/>
    <w:lvl w:ilvl="0" w:tplc="5DC23B6A">
      <w:start w:val="1"/>
      <w:numFmt w:val="bullet"/>
      <w:lvlText w:val=""/>
      <w:lvlJc w:val="left"/>
      <w:pPr>
        <w:ind w:left="720" w:hanging="180"/>
      </w:pPr>
      <w:rPr>
        <w:rFonts w:ascii="Symbol" w:hAnsi="Symbol" w:hint="default"/>
      </w:rPr>
    </w:lvl>
    <w:lvl w:ilvl="1" w:tplc="DDF00384">
      <w:numFmt w:val="decimal"/>
      <w:lvlText w:val=""/>
      <w:lvlJc w:val="left"/>
    </w:lvl>
    <w:lvl w:ilvl="2" w:tplc="237256B2">
      <w:numFmt w:val="decimal"/>
      <w:lvlText w:val=""/>
      <w:lvlJc w:val="left"/>
    </w:lvl>
    <w:lvl w:ilvl="3" w:tplc="688E74BA">
      <w:numFmt w:val="decimal"/>
      <w:lvlText w:val=""/>
      <w:lvlJc w:val="left"/>
    </w:lvl>
    <w:lvl w:ilvl="4" w:tplc="9A3A36FE">
      <w:numFmt w:val="decimal"/>
      <w:lvlText w:val=""/>
      <w:lvlJc w:val="left"/>
    </w:lvl>
    <w:lvl w:ilvl="5" w:tplc="0EA8C0C6">
      <w:numFmt w:val="decimal"/>
      <w:lvlText w:val=""/>
      <w:lvlJc w:val="left"/>
    </w:lvl>
    <w:lvl w:ilvl="6" w:tplc="04F6AE9C">
      <w:numFmt w:val="decimal"/>
      <w:lvlText w:val=""/>
      <w:lvlJc w:val="left"/>
    </w:lvl>
    <w:lvl w:ilvl="7" w:tplc="45E01DAE">
      <w:numFmt w:val="decimal"/>
      <w:lvlText w:val=""/>
      <w:lvlJc w:val="left"/>
    </w:lvl>
    <w:lvl w:ilvl="8" w:tplc="EE805FDE">
      <w:numFmt w:val="decimal"/>
      <w:lvlText w:val=""/>
      <w:lvlJc w:val="left"/>
    </w:lvl>
  </w:abstractNum>
  <w:abstractNum w:abstractNumId="542" w15:restartNumberingAfterBreak="0">
    <w:nsid w:val="3D551BA8"/>
    <w:multiLevelType w:val="hybridMultilevel"/>
    <w:tmpl w:val="60202CD4"/>
    <w:lvl w:ilvl="0" w:tplc="21F4CFBA">
      <w:start w:val="1"/>
      <w:numFmt w:val="bullet"/>
      <w:lvlText w:val=""/>
      <w:lvlJc w:val="left"/>
      <w:pPr>
        <w:ind w:left="720" w:hanging="180"/>
      </w:pPr>
      <w:rPr>
        <w:rFonts w:ascii="Symbol" w:hAnsi="Symbol" w:hint="default"/>
      </w:rPr>
    </w:lvl>
    <w:lvl w:ilvl="1" w:tplc="88CC693E">
      <w:numFmt w:val="decimal"/>
      <w:lvlText w:val=""/>
      <w:lvlJc w:val="left"/>
    </w:lvl>
    <w:lvl w:ilvl="2" w:tplc="0464DD4A">
      <w:numFmt w:val="decimal"/>
      <w:lvlText w:val=""/>
      <w:lvlJc w:val="left"/>
    </w:lvl>
    <w:lvl w:ilvl="3" w:tplc="16E8208C">
      <w:numFmt w:val="decimal"/>
      <w:lvlText w:val=""/>
      <w:lvlJc w:val="left"/>
    </w:lvl>
    <w:lvl w:ilvl="4" w:tplc="0E508D7E">
      <w:numFmt w:val="decimal"/>
      <w:lvlText w:val=""/>
      <w:lvlJc w:val="left"/>
    </w:lvl>
    <w:lvl w:ilvl="5" w:tplc="C0D66ABE">
      <w:numFmt w:val="decimal"/>
      <w:lvlText w:val=""/>
      <w:lvlJc w:val="left"/>
    </w:lvl>
    <w:lvl w:ilvl="6" w:tplc="5956AE48">
      <w:numFmt w:val="decimal"/>
      <w:lvlText w:val=""/>
      <w:lvlJc w:val="left"/>
    </w:lvl>
    <w:lvl w:ilvl="7" w:tplc="B11E792A">
      <w:numFmt w:val="decimal"/>
      <w:lvlText w:val=""/>
      <w:lvlJc w:val="left"/>
    </w:lvl>
    <w:lvl w:ilvl="8" w:tplc="B418AEE6">
      <w:numFmt w:val="decimal"/>
      <w:lvlText w:val=""/>
      <w:lvlJc w:val="left"/>
    </w:lvl>
  </w:abstractNum>
  <w:abstractNum w:abstractNumId="543" w15:restartNumberingAfterBreak="0">
    <w:nsid w:val="3D6E64B0"/>
    <w:multiLevelType w:val="hybridMultilevel"/>
    <w:tmpl w:val="FEB6273A"/>
    <w:lvl w:ilvl="0" w:tplc="5A68AB80">
      <w:start w:val="1"/>
      <w:numFmt w:val="bullet"/>
      <w:lvlText w:val=""/>
      <w:lvlJc w:val="left"/>
      <w:pPr>
        <w:ind w:left="720" w:hanging="180"/>
      </w:pPr>
      <w:rPr>
        <w:rFonts w:ascii="Symbol" w:hAnsi="Symbol" w:hint="default"/>
      </w:rPr>
    </w:lvl>
    <w:lvl w:ilvl="1" w:tplc="F946758E">
      <w:numFmt w:val="decimal"/>
      <w:lvlText w:val=""/>
      <w:lvlJc w:val="left"/>
    </w:lvl>
    <w:lvl w:ilvl="2" w:tplc="59E05D94">
      <w:numFmt w:val="decimal"/>
      <w:lvlText w:val=""/>
      <w:lvlJc w:val="left"/>
    </w:lvl>
    <w:lvl w:ilvl="3" w:tplc="92F8C7F0">
      <w:numFmt w:val="decimal"/>
      <w:lvlText w:val=""/>
      <w:lvlJc w:val="left"/>
    </w:lvl>
    <w:lvl w:ilvl="4" w:tplc="D5F840BE">
      <w:numFmt w:val="decimal"/>
      <w:lvlText w:val=""/>
      <w:lvlJc w:val="left"/>
    </w:lvl>
    <w:lvl w:ilvl="5" w:tplc="2F16CACA">
      <w:numFmt w:val="decimal"/>
      <w:lvlText w:val=""/>
      <w:lvlJc w:val="left"/>
    </w:lvl>
    <w:lvl w:ilvl="6" w:tplc="5E7636BE">
      <w:numFmt w:val="decimal"/>
      <w:lvlText w:val=""/>
      <w:lvlJc w:val="left"/>
    </w:lvl>
    <w:lvl w:ilvl="7" w:tplc="93D0FA36">
      <w:numFmt w:val="decimal"/>
      <w:lvlText w:val=""/>
      <w:lvlJc w:val="left"/>
    </w:lvl>
    <w:lvl w:ilvl="8" w:tplc="7B341CBC">
      <w:numFmt w:val="decimal"/>
      <w:lvlText w:val=""/>
      <w:lvlJc w:val="left"/>
    </w:lvl>
  </w:abstractNum>
  <w:abstractNum w:abstractNumId="544" w15:restartNumberingAfterBreak="0">
    <w:nsid w:val="3D6F0D15"/>
    <w:multiLevelType w:val="hybridMultilevel"/>
    <w:tmpl w:val="351AA8FA"/>
    <w:lvl w:ilvl="0" w:tplc="0302E23E">
      <w:start w:val="1"/>
      <w:numFmt w:val="bullet"/>
      <w:lvlText w:val=""/>
      <w:lvlJc w:val="left"/>
      <w:pPr>
        <w:ind w:left="720" w:hanging="180"/>
      </w:pPr>
      <w:rPr>
        <w:rFonts w:ascii="Symbol" w:hAnsi="Symbol" w:hint="default"/>
      </w:rPr>
    </w:lvl>
    <w:lvl w:ilvl="1" w:tplc="239C767C">
      <w:numFmt w:val="decimal"/>
      <w:lvlText w:val=""/>
      <w:lvlJc w:val="left"/>
    </w:lvl>
    <w:lvl w:ilvl="2" w:tplc="F7064678">
      <w:numFmt w:val="decimal"/>
      <w:lvlText w:val=""/>
      <w:lvlJc w:val="left"/>
    </w:lvl>
    <w:lvl w:ilvl="3" w:tplc="DA661EA4">
      <w:numFmt w:val="decimal"/>
      <w:lvlText w:val=""/>
      <w:lvlJc w:val="left"/>
    </w:lvl>
    <w:lvl w:ilvl="4" w:tplc="FE02328A">
      <w:numFmt w:val="decimal"/>
      <w:lvlText w:val=""/>
      <w:lvlJc w:val="left"/>
    </w:lvl>
    <w:lvl w:ilvl="5" w:tplc="53B82828">
      <w:numFmt w:val="decimal"/>
      <w:lvlText w:val=""/>
      <w:lvlJc w:val="left"/>
    </w:lvl>
    <w:lvl w:ilvl="6" w:tplc="D72C3DD2">
      <w:numFmt w:val="decimal"/>
      <w:lvlText w:val=""/>
      <w:lvlJc w:val="left"/>
    </w:lvl>
    <w:lvl w:ilvl="7" w:tplc="EA9C04F6">
      <w:numFmt w:val="decimal"/>
      <w:lvlText w:val=""/>
      <w:lvlJc w:val="left"/>
    </w:lvl>
    <w:lvl w:ilvl="8" w:tplc="BF84A5AC">
      <w:numFmt w:val="decimal"/>
      <w:lvlText w:val=""/>
      <w:lvlJc w:val="left"/>
    </w:lvl>
  </w:abstractNum>
  <w:abstractNum w:abstractNumId="545" w15:restartNumberingAfterBreak="0">
    <w:nsid w:val="3D745D6F"/>
    <w:multiLevelType w:val="hybridMultilevel"/>
    <w:tmpl w:val="5664C166"/>
    <w:lvl w:ilvl="0" w:tplc="DA428F3A">
      <w:start w:val="1"/>
      <w:numFmt w:val="bullet"/>
      <w:lvlText w:val=""/>
      <w:lvlJc w:val="left"/>
      <w:pPr>
        <w:ind w:left="720" w:hanging="180"/>
      </w:pPr>
      <w:rPr>
        <w:rFonts w:ascii="Symbol" w:hAnsi="Symbol" w:hint="default"/>
      </w:rPr>
    </w:lvl>
    <w:lvl w:ilvl="1" w:tplc="33964E66">
      <w:numFmt w:val="decimal"/>
      <w:lvlText w:val=""/>
      <w:lvlJc w:val="left"/>
    </w:lvl>
    <w:lvl w:ilvl="2" w:tplc="01EACE58">
      <w:numFmt w:val="decimal"/>
      <w:lvlText w:val=""/>
      <w:lvlJc w:val="left"/>
    </w:lvl>
    <w:lvl w:ilvl="3" w:tplc="BD60830E">
      <w:numFmt w:val="decimal"/>
      <w:lvlText w:val=""/>
      <w:lvlJc w:val="left"/>
    </w:lvl>
    <w:lvl w:ilvl="4" w:tplc="45B6ADAA">
      <w:numFmt w:val="decimal"/>
      <w:lvlText w:val=""/>
      <w:lvlJc w:val="left"/>
    </w:lvl>
    <w:lvl w:ilvl="5" w:tplc="E9C26A32">
      <w:numFmt w:val="decimal"/>
      <w:lvlText w:val=""/>
      <w:lvlJc w:val="left"/>
    </w:lvl>
    <w:lvl w:ilvl="6" w:tplc="8F9A9D1A">
      <w:numFmt w:val="decimal"/>
      <w:lvlText w:val=""/>
      <w:lvlJc w:val="left"/>
    </w:lvl>
    <w:lvl w:ilvl="7" w:tplc="804411EE">
      <w:numFmt w:val="decimal"/>
      <w:lvlText w:val=""/>
      <w:lvlJc w:val="left"/>
    </w:lvl>
    <w:lvl w:ilvl="8" w:tplc="43DA738C">
      <w:numFmt w:val="decimal"/>
      <w:lvlText w:val=""/>
      <w:lvlJc w:val="left"/>
    </w:lvl>
  </w:abstractNum>
  <w:abstractNum w:abstractNumId="546" w15:restartNumberingAfterBreak="0">
    <w:nsid w:val="3D79099C"/>
    <w:multiLevelType w:val="hybridMultilevel"/>
    <w:tmpl w:val="C7EE8FBE"/>
    <w:lvl w:ilvl="0" w:tplc="F3046B56">
      <w:start w:val="1"/>
      <w:numFmt w:val="bullet"/>
      <w:lvlText w:val=""/>
      <w:lvlJc w:val="left"/>
      <w:pPr>
        <w:ind w:left="720" w:hanging="180"/>
      </w:pPr>
      <w:rPr>
        <w:rFonts w:ascii="Symbol" w:hAnsi="Symbol" w:hint="default"/>
      </w:rPr>
    </w:lvl>
    <w:lvl w:ilvl="1" w:tplc="4EA8EC8C">
      <w:numFmt w:val="decimal"/>
      <w:lvlText w:val=""/>
      <w:lvlJc w:val="left"/>
    </w:lvl>
    <w:lvl w:ilvl="2" w:tplc="6C4E5050">
      <w:numFmt w:val="decimal"/>
      <w:lvlText w:val=""/>
      <w:lvlJc w:val="left"/>
    </w:lvl>
    <w:lvl w:ilvl="3" w:tplc="71C4DD5E">
      <w:numFmt w:val="decimal"/>
      <w:lvlText w:val=""/>
      <w:lvlJc w:val="left"/>
    </w:lvl>
    <w:lvl w:ilvl="4" w:tplc="0FC66E80">
      <w:numFmt w:val="decimal"/>
      <w:lvlText w:val=""/>
      <w:lvlJc w:val="left"/>
    </w:lvl>
    <w:lvl w:ilvl="5" w:tplc="9E2EC1DA">
      <w:numFmt w:val="decimal"/>
      <w:lvlText w:val=""/>
      <w:lvlJc w:val="left"/>
    </w:lvl>
    <w:lvl w:ilvl="6" w:tplc="6ADE23D6">
      <w:numFmt w:val="decimal"/>
      <w:lvlText w:val=""/>
      <w:lvlJc w:val="left"/>
    </w:lvl>
    <w:lvl w:ilvl="7" w:tplc="217E48F2">
      <w:numFmt w:val="decimal"/>
      <w:lvlText w:val=""/>
      <w:lvlJc w:val="left"/>
    </w:lvl>
    <w:lvl w:ilvl="8" w:tplc="0400C8C6">
      <w:numFmt w:val="decimal"/>
      <w:lvlText w:val=""/>
      <w:lvlJc w:val="left"/>
    </w:lvl>
  </w:abstractNum>
  <w:abstractNum w:abstractNumId="547" w15:restartNumberingAfterBreak="0">
    <w:nsid w:val="3D7D33B9"/>
    <w:multiLevelType w:val="hybridMultilevel"/>
    <w:tmpl w:val="03E49710"/>
    <w:lvl w:ilvl="0" w:tplc="E2AED440">
      <w:start w:val="1"/>
      <w:numFmt w:val="bullet"/>
      <w:lvlText w:val=""/>
      <w:lvlJc w:val="left"/>
      <w:pPr>
        <w:ind w:left="720" w:hanging="180"/>
      </w:pPr>
      <w:rPr>
        <w:rFonts w:ascii="Symbol" w:hAnsi="Symbol" w:hint="default"/>
      </w:rPr>
    </w:lvl>
    <w:lvl w:ilvl="1" w:tplc="33C0DBF0">
      <w:numFmt w:val="decimal"/>
      <w:lvlText w:val=""/>
      <w:lvlJc w:val="left"/>
    </w:lvl>
    <w:lvl w:ilvl="2" w:tplc="0500203C">
      <w:numFmt w:val="decimal"/>
      <w:lvlText w:val=""/>
      <w:lvlJc w:val="left"/>
    </w:lvl>
    <w:lvl w:ilvl="3" w:tplc="E3F49BB2">
      <w:numFmt w:val="decimal"/>
      <w:lvlText w:val=""/>
      <w:lvlJc w:val="left"/>
    </w:lvl>
    <w:lvl w:ilvl="4" w:tplc="6EA8BCBC">
      <w:numFmt w:val="decimal"/>
      <w:lvlText w:val=""/>
      <w:lvlJc w:val="left"/>
    </w:lvl>
    <w:lvl w:ilvl="5" w:tplc="F86625C2">
      <w:numFmt w:val="decimal"/>
      <w:lvlText w:val=""/>
      <w:lvlJc w:val="left"/>
    </w:lvl>
    <w:lvl w:ilvl="6" w:tplc="E206A83C">
      <w:numFmt w:val="decimal"/>
      <w:lvlText w:val=""/>
      <w:lvlJc w:val="left"/>
    </w:lvl>
    <w:lvl w:ilvl="7" w:tplc="8E1A2644">
      <w:numFmt w:val="decimal"/>
      <w:lvlText w:val=""/>
      <w:lvlJc w:val="left"/>
    </w:lvl>
    <w:lvl w:ilvl="8" w:tplc="8676E20C">
      <w:numFmt w:val="decimal"/>
      <w:lvlText w:val=""/>
      <w:lvlJc w:val="left"/>
    </w:lvl>
  </w:abstractNum>
  <w:abstractNum w:abstractNumId="548" w15:restartNumberingAfterBreak="0">
    <w:nsid w:val="3D9F364D"/>
    <w:multiLevelType w:val="hybridMultilevel"/>
    <w:tmpl w:val="C87CE448"/>
    <w:lvl w:ilvl="0" w:tplc="4D5C5872">
      <w:start w:val="1"/>
      <w:numFmt w:val="bullet"/>
      <w:lvlText w:val=""/>
      <w:lvlJc w:val="left"/>
      <w:pPr>
        <w:ind w:left="720" w:hanging="180"/>
      </w:pPr>
      <w:rPr>
        <w:rFonts w:ascii="Symbol" w:hAnsi="Symbol" w:hint="default"/>
      </w:rPr>
    </w:lvl>
    <w:lvl w:ilvl="1" w:tplc="8AA44AFC">
      <w:numFmt w:val="decimal"/>
      <w:lvlText w:val=""/>
      <w:lvlJc w:val="left"/>
    </w:lvl>
    <w:lvl w:ilvl="2" w:tplc="0C2C6BA0">
      <w:numFmt w:val="decimal"/>
      <w:lvlText w:val=""/>
      <w:lvlJc w:val="left"/>
    </w:lvl>
    <w:lvl w:ilvl="3" w:tplc="774AF32A">
      <w:numFmt w:val="decimal"/>
      <w:lvlText w:val=""/>
      <w:lvlJc w:val="left"/>
    </w:lvl>
    <w:lvl w:ilvl="4" w:tplc="1A605E72">
      <w:numFmt w:val="decimal"/>
      <w:lvlText w:val=""/>
      <w:lvlJc w:val="left"/>
    </w:lvl>
    <w:lvl w:ilvl="5" w:tplc="C6C4DC60">
      <w:numFmt w:val="decimal"/>
      <w:lvlText w:val=""/>
      <w:lvlJc w:val="left"/>
    </w:lvl>
    <w:lvl w:ilvl="6" w:tplc="DEFAB402">
      <w:numFmt w:val="decimal"/>
      <w:lvlText w:val=""/>
      <w:lvlJc w:val="left"/>
    </w:lvl>
    <w:lvl w:ilvl="7" w:tplc="4D74D344">
      <w:numFmt w:val="decimal"/>
      <w:lvlText w:val=""/>
      <w:lvlJc w:val="left"/>
    </w:lvl>
    <w:lvl w:ilvl="8" w:tplc="7D4683A0">
      <w:numFmt w:val="decimal"/>
      <w:lvlText w:val=""/>
      <w:lvlJc w:val="left"/>
    </w:lvl>
  </w:abstractNum>
  <w:abstractNum w:abstractNumId="549" w15:restartNumberingAfterBreak="0">
    <w:nsid w:val="3D9F3E6F"/>
    <w:multiLevelType w:val="hybridMultilevel"/>
    <w:tmpl w:val="EB48BA36"/>
    <w:lvl w:ilvl="0" w:tplc="1FB4A34C">
      <w:start w:val="1"/>
      <w:numFmt w:val="bullet"/>
      <w:lvlText w:val=""/>
      <w:lvlJc w:val="left"/>
      <w:pPr>
        <w:ind w:left="720" w:hanging="180"/>
      </w:pPr>
      <w:rPr>
        <w:rFonts w:ascii="Symbol" w:hAnsi="Symbol" w:hint="default"/>
      </w:rPr>
    </w:lvl>
    <w:lvl w:ilvl="1" w:tplc="4C7826C4">
      <w:numFmt w:val="decimal"/>
      <w:lvlText w:val=""/>
      <w:lvlJc w:val="left"/>
    </w:lvl>
    <w:lvl w:ilvl="2" w:tplc="A5D6A5AA">
      <w:numFmt w:val="decimal"/>
      <w:lvlText w:val=""/>
      <w:lvlJc w:val="left"/>
    </w:lvl>
    <w:lvl w:ilvl="3" w:tplc="F460ADC4">
      <w:numFmt w:val="decimal"/>
      <w:lvlText w:val=""/>
      <w:lvlJc w:val="left"/>
    </w:lvl>
    <w:lvl w:ilvl="4" w:tplc="DC6E2962">
      <w:numFmt w:val="decimal"/>
      <w:lvlText w:val=""/>
      <w:lvlJc w:val="left"/>
    </w:lvl>
    <w:lvl w:ilvl="5" w:tplc="0BD2B4FE">
      <w:numFmt w:val="decimal"/>
      <w:lvlText w:val=""/>
      <w:lvlJc w:val="left"/>
    </w:lvl>
    <w:lvl w:ilvl="6" w:tplc="E5823020">
      <w:numFmt w:val="decimal"/>
      <w:lvlText w:val=""/>
      <w:lvlJc w:val="left"/>
    </w:lvl>
    <w:lvl w:ilvl="7" w:tplc="C298D3EE">
      <w:numFmt w:val="decimal"/>
      <w:lvlText w:val=""/>
      <w:lvlJc w:val="left"/>
    </w:lvl>
    <w:lvl w:ilvl="8" w:tplc="0DF82D96">
      <w:numFmt w:val="decimal"/>
      <w:lvlText w:val=""/>
      <w:lvlJc w:val="left"/>
    </w:lvl>
  </w:abstractNum>
  <w:abstractNum w:abstractNumId="550" w15:restartNumberingAfterBreak="0">
    <w:nsid w:val="3DAF23DE"/>
    <w:multiLevelType w:val="hybridMultilevel"/>
    <w:tmpl w:val="7160E660"/>
    <w:lvl w:ilvl="0" w:tplc="7F7E9A2A">
      <w:start w:val="1"/>
      <w:numFmt w:val="bullet"/>
      <w:lvlText w:val=""/>
      <w:lvlJc w:val="left"/>
      <w:pPr>
        <w:ind w:left="720" w:hanging="180"/>
      </w:pPr>
      <w:rPr>
        <w:rFonts w:ascii="Symbol" w:hAnsi="Symbol" w:hint="default"/>
      </w:rPr>
    </w:lvl>
    <w:lvl w:ilvl="1" w:tplc="EBA24A9A">
      <w:numFmt w:val="decimal"/>
      <w:lvlText w:val=""/>
      <w:lvlJc w:val="left"/>
    </w:lvl>
    <w:lvl w:ilvl="2" w:tplc="564E559A">
      <w:numFmt w:val="decimal"/>
      <w:lvlText w:val=""/>
      <w:lvlJc w:val="left"/>
    </w:lvl>
    <w:lvl w:ilvl="3" w:tplc="45C28F28">
      <w:numFmt w:val="decimal"/>
      <w:lvlText w:val=""/>
      <w:lvlJc w:val="left"/>
    </w:lvl>
    <w:lvl w:ilvl="4" w:tplc="5F9AFB4A">
      <w:numFmt w:val="decimal"/>
      <w:lvlText w:val=""/>
      <w:lvlJc w:val="left"/>
    </w:lvl>
    <w:lvl w:ilvl="5" w:tplc="05781440">
      <w:numFmt w:val="decimal"/>
      <w:lvlText w:val=""/>
      <w:lvlJc w:val="left"/>
    </w:lvl>
    <w:lvl w:ilvl="6" w:tplc="1D104E2E">
      <w:numFmt w:val="decimal"/>
      <w:lvlText w:val=""/>
      <w:lvlJc w:val="left"/>
    </w:lvl>
    <w:lvl w:ilvl="7" w:tplc="A15262EC">
      <w:numFmt w:val="decimal"/>
      <w:lvlText w:val=""/>
      <w:lvlJc w:val="left"/>
    </w:lvl>
    <w:lvl w:ilvl="8" w:tplc="580AF8B2">
      <w:numFmt w:val="decimal"/>
      <w:lvlText w:val=""/>
      <w:lvlJc w:val="left"/>
    </w:lvl>
  </w:abstractNum>
  <w:abstractNum w:abstractNumId="551" w15:restartNumberingAfterBreak="0">
    <w:nsid w:val="3DF065C6"/>
    <w:multiLevelType w:val="hybridMultilevel"/>
    <w:tmpl w:val="4198F392"/>
    <w:lvl w:ilvl="0" w:tplc="AF12F060">
      <w:start w:val="1"/>
      <w:numFmt w:val="bullet"/>
      <w:lvlText w:val=""/>
      <w:lvlJc w:val="left"/>
      <w:pPr>
        <w:ind w:left="720" w:hanging="180"/>
      </w:pPr>
      <w:rPr>
        <w:rFonts w:ascii="Symbol" w:hAnsi="Symbol" w:hint="default"/>
      </w:rPr>
    </w:lvl>
    <w:lvl w:ilvl="1" w:tplc="3E1C46F2">
      <w:numFmt w:val="decimal"/>
      <w:lvlText w:val=""/>
      <w:lvlJc w:val="left"/>
    </w:lvl>
    <w:lvl w:ilvl="2" w:tplc="06647DC8">
      <w:numFmt w:val="decimal"/>
      <w:lvlText w:val=""/>
      <w:lvlJc w:val="left"/>
    </w:lvl>
    <w:lvl w:ilvl="3" w:tplc="03C05586">
      <w:numFmt w:val="decimal"/>
      <w:lvlText w:val=""/>
      <w:lvlJc w:val="left"/>
    </w:lvl>
    <w:lvl w:ilvl="4" w:tplc="5D3C21D2">
      <w:numFmt w:val="decimal"/>
      <w:lvlText w:val=""/>
      <w:lvlJc w:val="left"/>
    </w:lvl>
    <w:lvl w:ilvl="5" w:tplc="FD9AB630">
      <w:numFmt w:val="decimal"/>
      <w:lvlText w:val=""/>
      <w:lvlJc w:val="left"/>
    </w:lvl>
    <w:lvl w:ilvl="6" w:tplc="03461580">
      <w:numFmt w:val="decimal"/>
      <w:lvlText w:val=""/>
      <w:lvlJc w:val="left"/>
    </w:lvl>
    <w:lvl w:ilvl="7" w:tplc="52E81898">
      <w:numFmt w:val="decimal"/>
      <w:lvlText w:val=""/>
      <w:lvlJc w:val="left"/>
    </w:lvl>
    <w:lvl w:ilvl="8" w:tplc="05166676">
      <w:numFmt w:val="decimal"/>
      <w:lvlText w:val=""/>
      <w:lvlJc w:val="left"/>
    </w:lvl>
  </w:abstractNum>
  <w:abstractNum w:abstractNumId="552" w15:restartNumberingAfterBreak="0">
    <w:nsid w:val="3DFC33D7"/>
    <w:multiLevelType w:val="hybridMultilevel"/>
    <w:tmpl w:val="10D62D98"/>
    <w:lvl w:ilvl="0" w:tplc="89064EB2">
      <w:start w:val="1"/>
      <w:numFmt w:val="bullet"/>
      <w:lvlText w:val=""/>
      <w:lvlJc w:val="left"/>
      <w:pPr>
        <w:ind w:left="720" w:hanging="180"/>
      </w:pPr>
      <w:rPr>
        <w:rFonts w:ascii="Symbol" w:hAnsi="Symbol" w:hint="default"/>
      </w:rPr>
    </w:lvl>
    <w:lvl w:ilvl="1" w:tplc="6DD86586">
      <w:numFmt w:val="decimal"/>
      <w:lvlText w:val=""/>
      <w:lvlJc w:val="left"/>
    </w:lvl>
    <w:lvl w:ilvl="2" w:tplc="440AB90C">
      <w:numFmt w:val="decimal"/>
      <w:lvlText w:val=""/>
      <w:lvlJc w:val="left"/>
    </w:lvl>
    <w:lvl w:ilvl="3" w:tplc="7882A6EC">
      <w:numFmt w:val="decimal"/>
      <w:lvlText w:val=""/>
      <w:lvlJc w:val="left"/>
    </w:lvl>
    <w:lvl w:ilvl="4" w:tplc="4AF63E46">
      <w:numFmt w:val="decimal"/>
      <w:lvlText w:val=""/>
      <w:lvlJc w:val="left"/>
    </w:lvl>
    <w:lvl w:ilvl="5" w:tplc="980C78B2">
      <w:numFmt w:val="decimal"/>
      <w:lvlText w:val=""/>
      <w:lvlJc w:val="left"/>
    </w:lvl>
    <w:lvl w:ilvl="6" w:tplc="D0CCA6C0">
      <w:numFmt w:val="decimal"/>
      <w:lvlText w:val=""/>
      <w:lvlJc w:val="left"/>
    </w:lvl>
    <w:lvl w:ilvl="7" w:tplc="91A02584">
      <w:numFmt w:val="decimal"/>
      <w:lvlText w:val=""/>
      <w:lvlJc w:val="left"/>
    </w:lvl>
    <w:lvl w:ilvl="8" w:tplc="A9F21ABA">
      <w:numFmt w:val="decimal"/>
      <w:lvlText w:val=""/>
      <w:lvlJc w:val="left"/>
    </w:lvl>
  </w:abstractNum>
  <w:abstractNum w:abstractNumId="553" w15:restartNumberingAfterBreak="0">
    <w:nsid w:val="3E7D7B1C"/>
    <w:multiLevelType w:val="hybridMultilevel"/>
    <w:tmpl w:val="65525796"/>
    <w:lvl w:ilvl="0" w:tplc="6A107032">
      <w:start w:val="1"/>
      <w:numFmt w:val="bullet"/>
      <w:lvlText w:val=""/>
      <w:lvlJc w:val="left"/>
      <w:pPr>
        <w:ind w:left="720" w:hanging="180"/>
      </w:pPr>
      <w:rPr>
        <w:rFonts w:ascii="Symbol" w:hAnsi="Symbol" w:hint="default"/>
      </w:rPr>
    </w:lvl>
    <w:lvl w:ilvl="1" w:tplc="B15E0828">
      <w:numFmt w:val="decimal"/>
      <w:lvlText w:val=""/>
      <w:lvlJc w:val="left"/>
    </w:lvl>
    <w:lvl w:ilvl="2" w:tplc="4E2092CA">
      <w:numFmt w:val="decimal"/>
      <w:lvlText w:val=""/>
      <w:lvlJc w:val="left"/>
    </w:lvl>
    <w:lvl w:ilvl="3" w:tplc="E3C0D042">
      <w:numFmt w:val="decimal"/>
      <w:lvlText w:val=""/>
      <w:lvlJc w:val="left"/>
    </w:lvl>
    <w:lvl w:ilvl="4" w:tplc="1F3A752E">
      <w:numFmt w:val="decimal"/>
      <w:lvlText w:val=""/>
      <w:lvlJc w:val="left"/>
    </w:lvl>
    <w:lvl w:ilvl="5" w:tplc="F22ADF84">
      <w:numFmt w:val="decimal"/>
      <w:lvlText w:val=""/>
      <w:lvlJc w:val="left"/>
    </w:lvl>
    <w:lvl w:ilvl="6" w:tplc="8CF2B556">
      <w:numFmt w:val="decimal"/>
      <w:lvlText w:val=""/>
      <w:lvlJc w:val="left"/>
    </w:lvl>
    <w:lvl w:ilvl="7" w:tplc="177682A4">
      <w:numFmt w:val="decimal"/>
      <w:lvlText w:val=""/>
      <w:lvlJc w:val="left"/>
    </w:lvl>
    <w:lvl w:ilvl="8" w:tplc="3F42407A">
      <w:numFmt w:val="decimal"/>
      <w:lvlText w:val=""/>
      <w:lvlJc w:val="left"/>
    </w:lvl>
  </w:abstractNum>
  <w:abstractNum w:abstractNumId="554" w15:restartNumberingAfterBreak="0">
    <w:nsid w:val="3EA27B26"/>
    <w:multiLevelType w:val="hybridMultilevel"/>
    <w:tmpl w:val="787ED53A"/>
    <w:lvl w:ilvl="0" w:tplc="88AC989E">
      <w:start w:val="1"/>
      <w:numFmt w:val="bullet"/>
      <w:lvlText w:val=""/>
      <w:lvlJc w:val="left"/>
      <w:pPr>
        <w:ind w:left="720" w:hanging="180"/>
      </w:pPr>
      <w:rPr>
        <w:rFonts w:ascii="Symbol" w:hAnsi="Symbol" w:hint="default"/>
      </w:rPr>
    </w:lvl>
    <w:lvl w:ilvl="1" w:tplc="550AB876">
      <w:numFmt w:val="decimal"/>
      <w:lvlText w:val=""/>
      <w:lvlJc w:val="left"/>
    </w:lvl>
    <w:lvl w:ilvl="2" w:tplc="F850A3D8">
      <w:numFmt w:val="decimal"/>
      <w:lvlText w:val=""/>
      <w:lvlJc w:val="left"/>
    </w:lvl>
    <w:lvl w:ilvl="3" w:tplc="44F8561E">
      <w:numFmt w:val="decimal"/>
      <w:lvlText w:val=""/>
      <w:lvlJc w:val="left"/>
    </w:lvl>
    <w:lvl w:ilvl="4" w:tplc="4A5AC0DA">
      <w:numFmt w:val="decimal"/>
      <w:lvlText w:val=""/>
      <w:lvlJc w:val="left"/>
    </w:lvl>
    <w:lvl w:ilvl="5" w:tplc="029676FE">
      <w:numFmt w:val="decimal"/>
      <w:lvlText w:val=""/>
      <w:lvlJc w:val="left"/>
    </w:lvl>
    <w:lvl w:ilvl="6" w:tplc="855C8282">
      <w:numFmt w:val="decimal"/>
      <w:lvlText w:val=""/>
      <w:lvlJc w:val="left"/>
    </w:lvl>
    <w:lvl w:ilvl="7" w:tplc="13C851F6">
      <w:numFmt w:val="decimal"/>
      <w:lvlText w:val=""/>
      <w:lvlJc w:val="left"/>
    </w:lvl>
    <w:lvl w:ilvl="8" w:tplc="B49C7AE2">
      <w:numFmt w:val="decimal"/>
      <w:lvlText w:val=""/>
      <w:lvlJc w:val="left"/>
    </w:lvl>
  </w:abstractNum>
  <w:abstractNum w:abstractNumId="555" w15:restartNumberingAfterBreak="0">
    <w:nsid w:val="3EB42FD7"/>
    <w:multiLevelType w:val="hybridMultilevel"/>
    <w:tmpl w:val="0DA84D46"/>
    <w:lvl w:ilvl="0" w:tplc="CBCAB8FE">
      <w:start w:val="1"/>
      <w:numFmt w:val="bullet"/>
      <w:lvlText w:val=""/>
      <w:lvlJc w:val="left"/>
      <w:pPr>
        <w:ind w:left="720" w:hanging="180"/>
      </w:pPr>
      <w:rPr>
        <w:rFonts w:ascii="Symbol" w:hAnsi="Symbol" w:hint="default"/>
      </w:rPr>
    </w:lvl>
    <w:lvl w:ilvl="1" w:tplc="66148CD4">
      <w:numFmt w:val="decimal"/>
      <w:lvlText w:val=""/>
      <w:lvlJc w:val="left"/>
    </w:lvl>
    <w:lvl w:ilvl="2" w:tplc="428AFDDC">
      <w:numFmt w:val="decimal"/>
      <w:lvlText w:val=""/>
      <w:lvlJc w:val="left"/>
    </w:lvl>
    <w:lvl w:ilvl="3" w:tplc="A43C1CD6">
      <w:numFmt w:val="decimal"/>
      <w:lvlText w:val=""/>
      <w:lvlJc w:val="left"/>
    </w:lvl>
    <w:lvl w:ilvl="4" w:tplc="97504B10">
      <w:numFmt w:val="decimal"/>
      <w:lvlText w:val=""/>
      <w:lvlJc w:val="left"/>
    </w:lvl>
    <w:lvl w:ilvl="5" w:tplc="1C0EB5CA">
      <w:numFmt w:val="decimal"/>
      <w:lvlText w:val=""/>
      <w:lvlJc w:val="left"/>
    </w:lvl>
    <w:lvl w:ilvl="6" w:tplc="A1CA502C">
      <w:numFmt w:val="decimal"/>
      <w:lvlText w:val=""/>
      <w:lvlJc w:val="left"/>
    </w:lvl>
    <w:lvl w:ilvl="7" w:tplc="1A3AA12A">
      <w:numFmt w:val="decimal"/>
      <w:lvlText w:val=""/>
      <w:lvlJc w:val="left"/>
    </w:lvl>
    <w:lvl w:ilvl="8" w:tplc="5712AF64">
      <w:numFmt w:val="decimal"/>
      <w:lvlText w:val=""/>
      <w:lvlJc w:val="left"/>
    </w:lvl>
  </w:abstractNum>
  <w:abstractNum w:abstractNumId="556" w15:restartNumberingAfterBreak="0">
    <w:nsid w:val="3EE10D2E"/>
    <w:multiLevelType w:val="hybridMultilevel"/>
    <w:tmpl w:val="91109D9E"/>
    <w:lvl w:ilvl="0" w:tplc="253612CA">
      <w:start w:val="1"/>
      <w:numFmt w:val="bullet"/>
      <w:lvlText w:val=""/>
      <w:lvlJc w:val="left"/>
      <w:pPr>
        <w:ind w:left="720" w:hanging="180"/>
      </w:pPr>
      <w:rPr>
        <w:rFonts w:ascii="Symbol" w:hAnsi="Symbol" w:hint="default"/>
      </w:rPr>
    </w:lvl>
    <w:lvl w:ilvl="1" w:tplc="2014EE9A">
      <w:numFmt w:val="decimal"/>
      <w:lvlText w:val=""/>
      <w:lvlJc w:val="left"/>
    </w:lvl>
    <w:lvl w:ilvl="2" w:tplc="16E6BA8C">
      <w:numFmt w:val="decimal"/>
      <w:lvlText w:val=""/>
      <w:lvlJc w:val="left"/>
    </w:lvl>
    <w:lvl w:ilvl="3" w:tplc="3712F71C">
      <w:numFmt w:val="decimal"/>
      <w:lvlText w:val=""/>
      <w:lvlJc w:val="left"/>
    </w:lvl>
    <w:lvl w:ilvl="4" w:tplc="7464BE94">
      <w:numFmt w:val="decimal"/>
      <w:lvlText w:val=""/>
      <w:lvlJc w:val="left"/>
    </w:lvl>
    <w:lvl w:ilvl="5" w:tplc="E75654A6">
      <w:numFmt w:val="decimal"/>
      <w:lvlText w:val=""/>
      <w:lvlJc w:val="left"/>
    </w:lvl>
    <w:lvl w:ilvl="6" w:tplc="BCA828DC">
      <w:numFmt w:val="decimal"/>
      <w:lvlText w:val=""/>
      <w:lvlJc w:val="left"/>
    </w:lvl>
    <w:lvl w:ilvl="7" w:tplc="F8128858">
      <w:numFmt w:val="decimal"/>
      <w:lvlText w:val=""/>
      <w:lvlJc w:val="left"/>
    </w:lvl>
    <w:lvl w:ilvl="8" w:tplc="40D0D11E">
      <w:numFmt w:val="decimal"/>
      <w:lvlText w:val=""/>
      <w:lvlJc w:val="left"/>
    </w:lvl>
  </w:abstractNum>
  <w:abstractNum w:abstractNumId="557" w15:restartNumberingAfterBreak="0">
    <w:nsid w:val="3F1B1E25"/>
    <w:multiLevelType w:val="hybridMultilevel"/>
    <w:tmpl w:val="4D4E1674"/>
    <w:lvl w:ilvl="0" w:tplc="DA188742">
      <w:start w:val="1"/>
      <w:numFmt w:val="bullet"/>
      <w:lvlText w:val=""/>
      <w:lvlJc w:val="left"/>
      <w:pPr>
        <w:ind w:left="720" w:hanging="180"/>
      </w:pPr>
      <w:rPr>
        <w:rFonts w:ascii="Symbol" w:hAnsi="Symbol" w:hint="default"/>
      </w:rPr>
    </w:lvl>
    <w:lvl w:ilvl="1" w:tplc="50C03832">
      <w:numFmt w:val="decimal"/>
      <w:lvlText w:val=""/>
      <w:lvlJc w:val="left"/>
    </w:lvl>
    <w:lvl w:ilvl="2" w:tplc="236433B4">
      <w:numFmt w:val="decimal"/>
      <w:lvlText w:val=""/>
      <w:lvlJc w:val="left"/>
    </w:lvl>
    <w:lvl w:ilvl="3" w:tplc="EFB48218">
      <w:numFmt w:val="decimal"/>
      <w:lvlText w:val=""/>
      <w:lvlJc w:val="left"/>
    </w:lvl>
    <w:lvl w:ilvl="4" w:tplc="448E6866">
      <w:numFmt w:val="decimal"/>
      <w:lvlText w:val=""/>
      <w:lvlJc w:val="left"/>
    </w:lvl>
    <w:lvl w:ilvl="5" w:tplc="6784D1BE">
      <w:numFmt w:val="decimal"/>
      <w:lvlText w:val=""/>
      <w:lvlJc w:val="left"/>
    </w:lvl>
    <w:lvl w:ilvl="6" w:tplc="E3DE4148">
      <w:numFmt w:val="decimal"/>
      <w:lvlText w:val=""/>
      <w:lvlJc w:val="left"/>
    </w:lvl>
    <w:lvl w:ilvl="7" w:tplc="C448927A">
      <w:numFmt w:val="decimal"/>
      <w:lvlText w:val=""/>
      <w:lvlJc w:val="left"/>
    </w:lvl>
    <w:lvl w:ilvl="8" w:tplc="E062CC60">
      <w:numFmt w:val="decimal"/>
      <w:lvlText w:val=""/>
      <w:lvlJc w:val="left"/>
    </w:lvl>
  </w:abstractNum>
  <w:abstractNum w:abstractNumId="558" w15:restartNumberingAfterBreak="0">
    <w:nsid w:val="3F1C61A0"/>
    <w:multiLevelType w:val="hybridMultilevel"/>
    <w:tmpl w:val="1ABE4A4E"/>
    <w:lvl w:ilvl="0" w:tplc="07FEF4CC">
      <w:start w:val="1"/>
      <w:numFmt w:val="bullet"/>
      <w:lvlText w:val=""/>
      <w:lvlJc w:val="left"/>
      <w:pPr>
        <w:ind w:left="720" w:hanging="180"/>
      </w:pPr>
      <w:rPr>
        <w:rFonts w:ascii="Symbol" w:hAnsi="Symbol" w:hint="default"/>
      </w:rPr>
    </w:lvl>
    <w:lvl w:ilvl="1" w:tplc="DCE83FC0">
      <w:numFmt w:val="decimal"/>
      <w:lvlText w:val=""/>
      <w:lvlJc w:val="left"/>
    </w:lvl>
    <w:lvl w:ilvl="2" w:tplc="04D49D04">
      <w:numFmt w:val="decimal"/>
      <w:lvlText w:val=""/>
      <w:lvlJc w:val="left"/>
    </w:lvl>
    <w:lvl w:ilvl="3" w:tplc="4CF0E7C2">
      <w:numFmt w:val="decimal"/>
      <w:lvlText w:val=""/>
      <w:lvlJc w:val="left"/>
    </w:lvl>
    <w:lvl w:ilvl="4" w:tplc="AF78337A">
      <w:numFmt w:val="decimal"/>
      <w:lvlText w:val=""/>
      <w:lvlJc w:val="left"/>
    </w:lvl>
    <w:lvl w:ilvl="5" w:tplc="4B6E37FA">
      <w:numFmt w:val="decimal"/>
      <w:lvlText w:val=""/>
      <w:lvlJc w:val="left"/>
    </w:lvl>
    <w:lvl w:ilvl="6" w:tplc="CE2AAF0C">
      <w:numFmt w:val="decimal"/>
      <w:lvlText w:val=""/>
      <w:lvlJc w:val="left"/>
    </w:lvl>
    <w:lvl w:ilvl="7" w:tplc="D062F954">
      <w:numFmt w:val="decimal"/>
      <w:lvlText w:val=""/>
      <w:lvlJc w:val="left"/>
    </w:lvl>
    <w:lvl w:ilvl="8" w:tplc="CD3E786A">
      <w:numFmt w:val="decimal"/>
      <w:lvlText w:val=""/>
      <w:lvlJc w:val="left"/>
    </w:lvl>
  </w:abstractNum>
  <w:abstractNum w:abstractNumId="559" w15:restartNumberingAfterBreak="0">
    <w:nsid w:val="3F2F2A89"/>
    <w:multiLevelType w:val="hybridMultilevel"/>
    <w:tmpl w:val="F096742C"/>
    <w:lvl w:ilvl="0" w:tplc="3B741D2C">
      <w:start w:val="1"/>
      <w:numFmt w:val="bullet"/>
      <w:lvlText w:val=""/>
      <w:lvlJc w:val="left"/>
      <w:pPr>
        <w:ind w:left="720" w:hanging="180"/>
      </w:pPr>
      <w:rPr>
        <w:rFonts w:ascii="Symbol" w:hAnsi="Symbol" w:hint="default"/>
      </w:rPr>
    </w:lvl>
    <w:lvl w:ilvl="1" w:tplc="9442509A">
      <w:numFmt w:val="decimal"/>
      <w:lvlText w:val=""/>
      <w:lvlJc w:val="left"/>
    </w:lvl>
    <w:lvl w:ilvl="2" w:tplc="93104358">
      <w:numFmt w:val="decimal"/>
      <w:lvlText w:val=""/>
      <w:lvlJc w:val="left"/>
    </w:lvl>
    <w:lvl w:ilvl="3" w:tplc="FE3E38CE">
      <w:numFmt w:val="decimal"/>
      <w:lvlText w:val=""/>
      <w:lvlJc w:val="left"/>
    </w:lvl>
    <w:lvl w:ilvl="4" w:tplc="9678E02C">
      <w:numFmt w:val="decimal"/>
      <w:lvlText w:val=""/>
      <w:lvlJc w:val="left"/>
    </w:lvl>
    <w:lvl w:ilvl="5" w:tplc="AB380F84">
      <w:numFmt w:val="decimal"/>
      <w:lvlText w:val=""/>
      <w:lvlJc w:val="left"/>
    </w:lvl>
    <w:lvl w:ilvl="6" w:tplc="A3AEC7EE">
      <w:numFmt w:val="decimal"/>
      <w:lvlText w:val=""/>
      <w:lvlJc w:val="left"/>
    </w:lvl>
    <w:lvl w:ilvl="7" w:tplc="72AE181C">
      <w:numFmt w:val="decimal"/>
      <w:lvlText w:val=""/>
      <w:lvlJc w:val="left"/>
    </w:lvl>
    <w:lvl w:ilvl="8" w:tplc="58A898B8">
      <w:numFmt w:val="decimal"/>
      <w:lvlText w:val=""/>
      <w:lvlJc w:val="left"/>
    </w:lvl>
  </w:abstractNum>
  <w:abstractNum w:abstractNumId="560" w15:restartNumberingAfterBreak="0">
    <w:nsid w:val="3F4A3445"/>
    <w:multiLevelType w:val="hybridMultilevel"/>
    <w:tmpl w:val="F7728222"/>
    <w:lvl w:ilvl="0" w:tplc="F5C637C8">
      <w:start w:val="1"/>
      <w:numFmt w:val="bullet"/>
      <w:lvlText w:val=""/>
      <w:lvlJc w:val="left"/>
      <w:pPr>
        <w:ind w:left="720" w:hanging="180"/>
      </w:pPr>
      <w:rPr>
        <w:rFonts w:ascii="Symbol" w:hAnsi="Symbol" w:hint="default"/>
      </w:rPr>
    </w:lvl>
    <w:lvl w:ilvl="1" w:tplc="44E8D714">
      <w:numFmt w:val="decimal"/>
      <w:lvlText w:val=""/>
      <w:lvlJc w:val="left"/>
    </w:lvl>
    <w:lvl w:ilvl="2" w:tplc="929E3D1E">
      <w:numFmt w:val="decimal"/>
      <w:lvlText w:val=""/>
      <w:lvlJc w:val="left"/>
    </w:lvl>
    <w:lvl w:ilvl="3" w:tplc="34D4F576">
      <w:numFmt w:val="decimal"/>
      <w:lvlText w:val=""/>
      <w:lvlJc w:val="left"/>
    </w:lvl>
    <w:lvl w:ilvl="4" w:tplc="47A4E6B0">
      <w:numFmt w:val="decimal"/>
      <w:lvlText w:val=""/>
      <w:lvlJc w:val="left"/>
    </w:lvl>
    <w:lvl w:ilvl="5" w:tplc="70C47468">
      <w:numFmt w:val="decimal"/>
      <w:lvlText w:val=""/>
      <w:lvlJc w:val="left"/>
    </w:lvl>
    <w:lvl w:ilvl="6" w:tplc="23F6EA58">
      <w:numFmt w:val="decimal"/>
      <w:lvlText w:val=""/>
      <w:lvlJc w:val="left"/>
    </w:lvl>
    <w:lvl w:ilvl="7" w:tplc="B78AD364">
      <w:numFmt w:val="decimal"/>
      <w:lvlText w:val=""/>
      <w:lvlJc w:val="left"/>
    </w:lvl>
    <w:lvl w:ilvl="8" w:tplc="5060C2F6">
      <w:numFmt w:val="decimal"/>
      <w:lvlText w:val=""/>
      <w:lvlJc w:val="left"/>
    </w:lvl>
  </w:abstractNum>
  <w:abstractNum w:abstractNumId="561" w15:restartNumberingAfterBreak="0">
    <w:nsid w:val="3F876BC4"/>
    <w:multiLevelType w:val="hybridMultilevel"/>
    <w:tmpl w:val="F6F81B22"/>
    <w:lvl w:ilvl="0" w:tplc="6A2EE572">
      <w:start w:val="1"/>
      <w:numFmt w:val="bullet"/>
      <w:lvlText w:val=""/>
      <w:lvlJc w:val="left"/>
      <w:pPr>
        <w:ind w:left="720" w:hanging="180"/>
      </w:pPr>
      <w:rPr>
        <w:rFonts w:ascii="Symbol" w:hAnsi="Symbol" w:hint="default"/>
      </w:rPr>
    </w:lvl>
    <w:lvl w:ilvl="1" w:tplc="C79C2C32">
      <w:numFmt w:val="decimal"/>
      <w:lvlText w:val=""/>
      <w:lvlJc w:val="left"/>
    </w:lvl>
    <w:lvl w:ilvl="2" w:tplc="D0A270EE">
      <w:numFmt w:val="decimal"/>
      <w:lvlText w:val=""/>
      <w:lvlJc w:val="left"/>
    </w:lvl>
    <w:lvl w:ilvl="3" w:tplc="FF0AD0D4">
      <w:numFmt w:val="decimal"/>
      <w:lvlText w:val=""/>
      <w:lvlJc w:val="left"/>
    </w:lvl>
    <w:lvl w:ilvl="4" w:tplc="E9F86382">
      <w:numFmt w:val="decimal"/>
      <w:lvlText w:val=""/>
      <w:lvlJc w:val="left"/>
    </w:lvl>
    <w:lvl w:ilvl="5" w:tplc="C978ABD2">
      <w:numFmt w:val="decimal"/>
      <w:lvlText w:val=""/>
      <w:lvlJc w:val="left"/>
    </w:lvl>
    <w:lvl w:ilvl="6" w:tplc="3192264E">
      <w:numFmt w:val="decimal"/>
      <w:lvlText w:val=""/>
      <w:lvlJc w:val="left"/>
    </w:lvl>
    <w:lvl w:ilvl="7" w:tplc="D5EA30B0">
      <w:numFmt w:val="decimal"/>
      <w:lvlText w:val=""/>
      <w:lvlJc w:val="left"/>
    </w:lvl>
    <w:lvl w:ilvl="8" w:tplc="5E4C04FA">
      <w:numFmt w:val="decimal"/>
      <w:lvlText w:val=""/>
      <w:lvlJc w:val="left"/>
    </w:lvl>
  </w:abstractNum>
  <w:abstractNum w:abstractNumId="562" w15:restartNumberingAfterBreak="0">
    <w:nsid w:val="3FC247B7"/>
    <w:multiLevelType w:val="hybridMultilevel"/>
    <w:tmpl w:val="D836108C"/>
    <w:lvl w:ilvl="0" w:tplc="1AE8983C">
      <w:start w:val="1"/>
      <w:numFmt w:val="bullet"/>
      <w:lvlText w:val=""/>
      <w:lvlJc w:val="left"/>
      <w:pPr>
        <w:ind w:left="720" w:hanging="180"/>
      </w:pPr>
      <w:rPr>
        <w:rFonts w:ascii="Symbol" w:hAnsi="Symbol" w:hint="default"/>
      </w:rPr>
    </w:lvl>
    <w:lvl w:ilvl="1" w:tplc="999C87A8">
      <w:numFmt w:val="decimal"/>
      <w:lvlText w:val=""/>
      <w:lvlJc w:val="left"/>
    </w:lvl>
    <w:lvl w:ilvl="2" w:tplc="E0FEF104">
      <w:numFmt w:val="decimal"/>
      <w:lvlText w:val=""/>
      <w:lvlJc w:val="left"/>
    </w:lvl>
    <w:lvl w:ilvl="3" w:tplc="EA846A5A">
      <w:numFmt w:val="decimal"/>
      <w:lvlText w:val=""/>
      <w:lvlJc w:val="left"/>
    </w:lvl>
    <w:lvl w:ilvl="4" w:tplc="8DDCC468">
      <w:numFmt w:val="decimal"/>
      <w:lvlText w:val=""/>
      <w:lvlJc w:val="left"/>
    </w:lvl>
    <w:lvl w:ilvl="5" w:tplc="594C0DBC">
      <w:numFmt w:val="decimal"/>
      <w:lvlText w:val=""/>
      <w:lvlJc w:val="left"/>
    </w:lvl>
    <w:lvl w:ilvl="6" w:tplc="4D26291E">
      <w:numFmt w:val="decimal"/>
      <w:lvlText w:val=""/>
      <w:lvlJc w:val="left"/>
    </w:lvl>
    <w:lvl w:ilvl="7" w:tplc="B4DE18F4">
      <w:numFmt w:val="decimal"/>
      <w:lvlText w:val=""/>
      <w:lvlJc w:val="left"/>
    </w:lvl>
    <w:lvl w:ilvl="8" w:tplc="C060C040">
      <w:numFmt w:val="decimal"/>
      <w:lvlText w:val=""/>
      <w:lvlJc w:val="left"/>
    </w:lvl>
  </w:abstractNum>
  <w:abstractNum w:abstractNumId="563" w15:restartNumberingAfterBreak="0">
    <w:nsid w:val="3FF60EC4"/>
    <w:multiLevelType w:val="hybridMultilevel"/>
    <w:tmpl w:val="4AB4346A"/>
    <w:lvl w:ilvl="0" w:tplc="1794E998">
      <w:start w:val="1"/>
      <w:numFmt w:val="bullet"/>
      <w:lvlText w:val=""/>
      <w:lvlJc w:val="left"/>
      <w:pPr>
        <w:ind w:left="720" w:hanging="180"/>
      </w:pPr>
      <w:rPr>
        <w:rFonts w:ascii="Symbol" w:hAnsi="Symbol" w:hint="default"/>
      </w:rPr>
    </w:lvl>
    <w:lvl w:ilvl="1" w:tplc="33603D3C">
      <w:numFmt w:val="decimal"/>
      <w:lvlText w:val=""/>
      <w:lvlJc w:val="left"/>
    </w:lvl>
    <w:lvl w:ilvl="2" w:tplc="8530FA0C">
      <w:numFmt w:val="decimal"/>
      <w:lvlText w:val=""/>
      <w:lvlJc w:val="left"/>
    </w:lvl>
    <w:lvl w:ilvl="3" w:tplc="5F082774">
      <w:numFmt w:val="decimal"/>
      <w:lvlText w:val=""/>
      <w:lvlJc w:val="left"/>
    </w:lvl>
    <w:lvl w:ilvl="4" w:tplc="F6C234EE">
      <w:numFmt w:val="decimal"/>
      <w:lvlText w:val=""/>
      <w:lvlJc w:val="left"/>
    </w:lvl>
    <w:lvl w:ilvl="5" w:tplc="DD4C2B4A">
      <w:numFmt w:val="decimal"/>
      <w:lvlText w:val=""/>
      <w:lvlJc w:val="left"/>
    </w:lvl>
    <w:lvl w:ilvl="6" w:tplc="FD8C6E0E">
      <w:numFmt w:val="decimal"/>
      <w:lvlText w:val=""/>
      <w:lvlJc w:val="left"/>
    </w:lvl>
    <w:lvl w:ilvl="7" w:tplc="9FFC0FAE">
      <w:numFmt w:val="decimal"/>
      <w:lvlText w:val=""/>
      <w:lvlJc w:val="left"/>
    </w:lvl>
    <w:lvl w:ilvl="8" w:tplc="CDC20BC6">
      <w:numFmt w:val="decimal"/>
      <w:lvlText w:val=""/>
      <w:lvlJc w:val="left"/>
    </w:lvl>
  </w:abstractNum>
  <w:abstractNum w:abstractNumId="564" w15:restartNumberingAfterBreak="0">
    <w:nsid w:val="40042A13"/>
    <w:multiLevelType w:val="hybridMultilevel"/>
    <w:tmpl w:val="98D83076"/>
    <w:lvl w:ilvl="0" w:tplc="A6B85FA6">
      <w:start w:val="1"/>
      <w:numFmt w:val="bullet"/>
      <w:lvlText w:val=""/>
      <w:lvlJc w:val="left"/>
      <w:pPr>
        <w:ind w:left="720" w:hanging="180"/>
      </w:pPr>
      <w:rPr>
        <w:rFonts w:ascii="Symbol" w:hAnsi="Symbol" w:hint="default"/>
      </w:rPr>
    </w:lvl>
    <w:lvl w:ilvl="1" w:tplc="C2A0FC8C">
      <w:numFmt w:val="decimal"/>
      <w:lvlText w:val=""/>
      <w:lvlJc w:val="left"/>
    </w:lvl>
    <w:lvl w:ilvl="2" w:tplc="32B22B94">
      <w:numFmt w:val="decimal"/>
      <w:lvlText w:val=""/>
      <w:lvlJc w:val="left"/>
    </w:lvl>
    <w:lvl w:ilvl="3" w:tplc="530E9B46">
      <w:numFmt w:val="decimal"/>
      <w:lvlText w:val=""/>
      <w:lvlJc w:val="left"/>
    </w:lvl>
    <w:lvl w:ilvl="4" w:tplc="3EF482BC">
      <w:numFmt w:val="decimal"/>
      <w:lvlText w:val=""/>
      <w:lvlJc w:val="left"/>
    </w:lvl>
    <w:lvl w:ilvl="5" w:tplc="E3640296">
      <w:numFmt w:val="decimal"/>
      <w:lvlText w:val=""/>
      <w:lvlJc w:val="left"/>
    </w:lvl>
    <w:lvl w:ilvl="6" w:tplc="999A185C">
      <w:numFmt w:val="decimal"/>
      <w:lvlText w:val=""/>
      <w:lvlJc w:val="left"/>
    </w:lvl>
    <w:lvl w:ilvl="7" w:tplc="F1CCE0D4">
      <w:numFmt w:val="decimal"/>
      <w:lvlText w:val=""/>
      <w:lvlJc w:val="left"/>
    </w:lvl>
    <w:lvl w:ilvl="8" w:tplc="D98A067A">
      <w:numFmt w:val="decimal"/>
      <w:lvlText w:val=""/>
      <w:lvlJc w:val="left"/>
    </w:lvl>
  </w:abstractNum>
  <w:abstractNum w:abstractNumId="565" w15:restartNumberingAfterBreak="0">
    <w:nsid w:val="40151CB4"/>
    <w:multiLevelType w:val="hybridMultilevel"/>
    <w:tmpl w:val="A98A9876"/>
    <w:lvl w:ilvl="0" w:tplc="901C0B10">
      <w:start w:val="1"/>
      <w:numFmt w:val="bullet"/>
      <w:lvlText w:val=""/>
      <w:lvlJc w:val="left"/>
      <w:pPr>
        <w:ind w:left="720" w:hanging="180"/>
      </w:pPr>
      <w:rPr>
        <w:rFonts w:ascii="Symbol" w:hAnsi="Symbol" w:hint="default"/>
      </w:rPr>
    </w:lvl>
    <w:lvl w:ilvl="1" w:tplc="C3AE8F6C">
      <w:numFmt w:val="decimal"/>
      <w:lvlText w:val=""/>
      <w:lvlJc w:val="left"/>
    </w:lvl>
    <w:lvl w:ilvl="2" w:tplc="AE3CD922">
      <w:numFmt w:val="decimal"/>
      <w:lvlText w:val=""/>
      <w:lvlJc w:val="left"/>
    </w:lvl>
    <w:lvl w:ilvl="3" w:tplc="ACEC7D14">
      <w:numFmt w:val="decimal"/>
      <w:lvlText w:val=""/>
      <w:lvlJc w:val="left"/>
    </w:lvl>
    <w:lvl w:ilvl="4" w:tplc="017E77FA">
      <w:numFmt w:val="decimal"/>
      <w:lvlText w:val=""/>
      <w:lvlJc w:val="left"/>
    </w:lvl>
    <w:lvl w:ilvl="5" w:tplc="33D4B6AC">
      <w:numFmt w:val="decimal"/>
      <w:lvlText w:val=""/>
      <w:lvlJc w:val="left"/>
    </w:lvl>
    <w:lvl w:ilvl="6" w:tplc="809A23FE">
      <w:numFmt w:val="decimal"/>
      <w:lvlText w:val=""/>
      <w:lvlJc w:val="left"/>
    </w:lvl>
    <w:lvl w:ilvl="7" w:tplc="13D4E9AE">
      <w:numFmt w:val="decimal"/>
      <w:lvlText w:val=""/>
      <w:lvlJc w:val="left"/>
    </w:lvl>
    <w:lvl w:ilvl="8" w:tplc="5C2EAD62">
      <w:numFmt w:val="decimal"/>
      <w:lvlText w:val=""/>
      <w:lvlJc w:val="left"/>
    </w:lvl>
  </w:abstractNum>
  <w:abstractNum w:abstractNumId="566" w15:restartNumberingAfterBreak="0">
    <w:nsid w:val="40216413"/>
    <w:multiLevelType w:val="hybridMultilevel"/>
    <w:tmpl w:val="F1A4A114"/>
    <w:lvl w:ilvl="0" w:tplc="07BC16C6">
      <w:numFmt w:val="decimal"/>
      <w:lvlText w:val=""/>
      <w:lvlJc w:val="left"/>
    </w:lvl>
    <w:lvl w:ilvl="1" w:tplc="18220E7A">
      <w:start w:val="1"/>
      <w:numFmt w:val="bullet"/>
      <w:lvlText w:val=""/>
      <w:lvlJc w:val="left"/>
      <w:pPr>
        <w:ind w:left="1440" w:hanging="180"/>
      </w:pPr>
      <w:rPr>
        <w:rFonts w:ascii="Symbol" w:hAnsi="Symbol" w:hint="default"/>
      </w:rPr>
    </w:lvl>
    <w:lvl w:ilvl="2" w:tplc="D28E13DC">
      <w:numFmt w:val="decimal"/>
      <w:lvlText w:val=""/>
      <w:lvlJc w:val="left"/>
    </w:lvl>
    <w:lvl w:ilvl="3" w:tplc="3FE0C2FC">
      <w:numFmt w:val="decimal"/>
      <w:lvlText w:val=""/>
      <w:lvlJc w:val="left"/>
    </w:lvl>
    <w:lvl w:ilvl="4" w:tplc="D1CAAF46">
      <w:numFmt w:val="decimal"/>
      <w:lvlText w:val=""/>
      <w:lvlJc w:val="left"/>
    </w:lvl>
    <w:lvl w:ilvl="5" w:tplc="82206DDE">
      <w:numFmt w:val="decimal"/>
      <w:lvlText w:val=""/>
      <w:lvlJc w:val="left"/>
    </w:lvl>
    <w:lvl w:ilvl="6" w:tplc="7ABE5FB6">
      <w:numFmt w:val="decimal"/>
      <w:lvlText w:val=""/>
      <w:lvlJc w:val="left"/>
    </w:lvl>
    <w:lvl w:ilvl="7" w:tplc="5A6A1C02">
      <w:numFmt w:val="decimal"/>
      <w:lvlText w:val=""/>
      <w:lvlJc w:val="left"/>
    </w:lvl>
    <w:lvl w:ilvl="8" w:tplc="D44AC40C">
      <w:numFmt w:val="decimal"/>
      <w:lvlText w:val=""/>
      <w:lvlJc w:val="left"/>
    </w:lvl>
  </w:abstractNum>
  <w:abstractNum w:abstractNumId="567" w15:restartNumberingAfterBreak="0">
    <w:nsid w:val="40454969"/>
    <w:multiLevelType w:val="hybridMultilevel"/>
    <w:tmpl w:val="F1C00C38"/>
    <w:lvl w:ilvl="0" w:tplc="1EBA1632">
      <w:start w:val="1"/>
      <w:numFmt w:val="bullet"/>
      <w:lvlText w:val=""/>
      <w:lvlJc w:val="left"/>
      <w:pPr>
        <w:ind w:left="720" w:hanging="180"/>
      </w:pPr>
      <w:rPr>
        <w:rFonts w:ascii="Symbol" w:hAnsi="Symbol" w:hint="default"/>
      </w:rPr>
    </w:lvl>
    <w:lvl w:ilvl="1" w:tplc="DB40C0FA">
      <w:numFmt w:val="decimal"/>
      <w:lvlText w:val=""/>
      <w:lvlJc w:val="left"/>
    </w:lvl>
    <w:lvl w:ilvl="2" w:tplc="CEF086C2">
      <w:numFmt w:val="decimal"/>
      <w:lvlText w:val=""/>
      <w:lvlJc w:val="left"/>
    </w:lvl>
    <w:lvl w:ilvl="3" w:tplc="5BB237E2">
      <w:numFmt w:val="decimal"/>
      <w:lvlText w:val=""/>
      <w:lvlJc w:val="left"/>
    </w:lvl>
    <w:lvl w:ilvl="4" w:tplc="20B40BCE">
      <w:numFmt w:val="decimal"/>
      <w:lvlText w:val=""/>
      <w:lvlJc w:val="left"/>
    </w:lvl>
    <w:lvl w:ilvl="5" w:tplc="3C54F07A">
      <w:numFmt w:val="decimal"/>
      <w:lvlText w:val=""/>
      <w:lvlJc w:val="left"/>
    </w:lvl>
    <w:lvl w:ilvl="6" w:tplc="20C69E92">
      <w:numFmt w:val="decimal"/>
      <w:lvlText w:val=""/>
      <w:lvlJc w:val="left"/>
    </w:lvl>
    <w:lvl w:ilvl="7" w:tplc="F62A4558">
      <w:numFmt w:val="decimal"/>
      <w:lvlText w:val=""/>
      <w:lvlJc w:val="left"/>
    </w:lvl>
    <w:lvl w:ilvl="8" w:tplc="C7A20D9C">
      <w:numFmt w:val="decimal"/>
      <w:lvlText w:val=""/>
      <w:lvlJc w:val="left"/>
    </w:lvl>
  </w:abstractNum>
  <w:abstractNum w:abstractNumId="568" w15:restartNumberingAfterBreak="0">
    <w:nsid w:val="405C48FA"/>
    <w:multiLevelType w:val="hybridMultilevel"/>
    <w:tmpl w:val="C5EA21FE"/>
    <w:lvl w:ilvl="0" w:tplc="77B27016">
      <w:start w:val="1"/>
      <w:numFmt w:val="bullet"/>
      <w:lvlText w:val=""/>
      <w:lvlJc w:val="left"/>
      <w:pPr>
        <w:ind w:left="720" w:hanging="180"/>
      </w:pPr>
      <w:rPr>
        <w:rFonts w:ascii="Symbol" w:hAnsi="Symbol" w:hint="default"/>
      </w:rPr>
    </w:lvl>
    <w:lvl w:ilvl="1" w:tplc="938CD02E">
      <w:numFmt w:val="decimal"/>
      <w:lvlText w:val=""/>
      <w:lvlJc w:val="left"/>
    </w:lvl>
    <w:lvl w:ilvl="2" w:tplc="2062B240">
      <w:numFmt w:val="decimal"/>
      <w:lvlText w:val=""/>
      <w:lvlJc w:val="left"/>
    </w:lvl>
    <w:lvl w:ilvl="3" w:tplc="CC489ED2">
      <w:numFmt w:val="decimal"/>
      <w:lvlText w:val=""/>
      <w:lvlJc w:val="left"/>
    </w:lvl>
    <w:lvl w:ilvl="4" w:tplc="6B203D02">
      <w:numFmt w:val="decimal"/>
      <w:lvlText w:val=""/>
      <w:lvlJc w:val="left"/>
    </w:lvl>
    <w:lvl w:ilvl="5" w:tplc="FB5EEDB2">
      <w:numFmt w:val="decimal"/>
      <w:lvlText w:val=""/>
      <w:lvlJc w:val="left"/>
    </w:lvl>
    <w:lvl w:ilvl="6" w:tplc="431CFAEA">
      <w:numFmt w:val="decimal"/>
      <w:lvlText w:val=""/>
      <w:lvlJc w:val="left"/>
    </w:lvl>
    <w:lvl w:ilvl="7" w:tplc="8AD0E7E8">
      <w:numFmt w:val="decimal"/>
      <w:lvlText w:val=""/>
      <w:lvlJc w:val="left"/>
    </w:lvl>
    <w:lvl w:ilvl="8" w:tplc="4CC23478">
      <w:numFmt w:val="decimal"/>
      <w:lvlText w:val=""/>
      <w:lvlJc w:val="left"/>
    </w:lvl>
  </w:abstractNum>
  <w:abstractNum w:abstractNumId="569" w15:restartNumberingAfterBreak="0">
    <w:nsid w:val="4064711D"/>
    <w:multiLevelType w:val="hybridMultilevel"/>
    <w:tmpl w:val="78FCE2FE"/>
    <w:lvl w:ilvl="0" w:tplc="D6D8BCC8">
      <w:start w:val="1"/>
      <w:numFmt w:val="bullet"/>
      <w:lvlText w:val=""/>
      <w:lvlJc w:val="left"/>
      <w:pPr>
        <w:ind w:left="720" w:hanging="180"/>
      </w:pPr>
      <w:rPr>
        <w:rFonts w:ascii="Symbol" w:hAnsi="Symbol" w:hint="default"/>
      </w:rPr>
    </w:lvl>
    <w:lvl w:ilvl="1" w:tplc="E2CAFE50">
      <w:numFmt w:val="decimal"/>
      <w:lvlText w:val=""/>
      <w:lvlJc w:val="left"/>
    </w:lvl>
    <w:lvl w:ilvl="2" w:tplc="E4A4E3E8">
      <w:numFmt w:val="decimal"/>
      <w:lvlText w:val=""/>
      <w:lvlJc w:val="left"/>
    </w:lvl>
    <w:lvl w:ilvl="3" w:tplc="E5A8092A">
      <w:numFmt w:val="decimal"/>
      <w:lvlText w:val=""/>
      <w:lvlJc w:val="left"/>
    </w:lvl>
    <w:lvl w:ilvl="4" w:tplc="127807BC">
      <w:numFmt w:val="decimal"/>
      <w:lvlText w:val=""/>
      <w:lvlJc w:val="left"/>
    </w:lvl>
    <w:lvl w:ilvl="5" w:tplc="0108FA74">
      <w:numFmt w:val="decimal"/>
      <w:lvlText w:val=""/>
      <w:lvlJc w:val="left"/>
    </w:lvl>
    <w:lvl w:ilvl="6" w:tplc="F102775C">
      <w:numFmt w:val="decimal"/>
      <w:lvlText w:val=""/>
      <w:lvlJc w:val="left"/>
    </w:lvl>
    <w:lvl w:ilvl="7" w:tplc="A6B033D2">
      <w:numFmt w:val="decimal"/>
      <w:lvlText w:val=""/>
      <w:lvlJc w:val="left"/>
    </w:lvl>
    <w:lvl w:ilvl="8" w:tplc="6840BA22">
      <w:numFmt w:val="decimal"/>
      <w:lvlText w:val=""/>
      <w:lvlJc w:val="left"/>
    </w:lvl>
  </w:abstractNum>
  <w:abstractNum w:abstractNumId="570" w15:restartNumberingAfterBreak="0">
    <w:nsid w:val="40651464"/>
    <w:multiLevelType w:val="hybridMultilevel"/>
    <w:tmpl w:val="0E4A7BC2"/>
    <w:lvl w:ilvl="0" w:tplc="27D47E0C">
      <w:start w:val="1"/>
      <w:numFmt w:val="bullet"/>
      <w:lvlText w:val=""/>
      <w:lvlJc w:val="left"/>
      <w:pPr>
        <w:ind w:left="720" w:hanging="180"/>
      </w:pPr>
      <w:rPr>
        <w:rFonts w:ascii="Symbol" w:hAnsi="Symbol" w:hint="default"/>
      </w:rPr>
    </w:lvl>
    <w:lvl w:ilvl="1" w:tplc="2954F350">
      <w:numFmt w:val="decimal"/>
      <w:lvlText w:val=""/>
      <w:lvlJc w:val="left"/>
    </w:lvl>
    <w:lvl w:ilvl="2" w:tplc="F8486F08">
      <w:numFmt w:val="decimal"/>
      <w:lvlText w:val=""/>
      <w:lvlJc w:val="left"/>
    </w:lvl>
    <w:lvl w:ilvl="3" w:tplc="F8DE0E92">
      <w:numFmt w:val="decimal"/>
      <w:lvlText w:val=""/>
      <w:lvlJc w:val="left"/>
    </w:lvl>
    <w:lvl w:ilvl="4" w:tplc="6C58F012">
      <w:numFmt w:val="decimal"/>
      <w:lvlText w:val=""/>
      <w:lvlJc w:val="left"/>
    </w:lvl>
    <w:lvl w:ilvl="5" w:tplc="90023010">
      <w:numFmt w:val="decimal"/>
      <w:lvlText w:val=""/>
      <w:lvlJc w:val="left"/>
    </w:lvl>
    <w:lvl w:ilvl="6" w:tplc="4802CFDE">
      <w:numFmt w:val="decimal"/>
      <w:lvlText w:val=""/>
      <w:lvlJc w:val="left"/>
    </w:lvl>
    <w:lvl w:ilvl="7" w:tplc="1160E6CC">
      <w:numFmt w:val="decimal"/>
      <w:lvlText w:val=""/>
      <w:lvlJc w:val="left"/>
    </w:lvl>
    <w:lvl w:ilvl="8" w:tplc="D180D2B6">
      <w:numFmt w:val="decimal"/>
      <w:lvlText w:val=""/>
      <w:lvlJc w:val="left"/>
    </w:lvl>
  </w:abstractNum>
  <w:abstractNum w:abstractNumId="571" w15:restartNumberingAfterBreak="0">
    <w:nsid w:val="408A2D5C"/>
    <w:multiLevelType w:val="hybridMultilevel"/>
    <w:tmpl w:val="B54CC2DA"/>
    <w:lvl w:ilvl="0" w:tplc="A31CD742">
      <w:start w:val="1"/>
      <w:numFmt w:val="bullet"/>
      <w:lvlText w:val=""/>
      <w:lvlJc w:val="left"/>
      <w:pPr>
        <w:ind w:left="720" w:hanging="180"/>
      </w:pPr>
      <w:rPr>
        <w:rFonts w:ascii="Symbol" w:hAnsi="Symbol" w:hint="default"/>
      </w:rPr>
    </w:lvl>
    <w:lvl w:ilvl="1" w:tplc="788CF7F4">
      <w:numFmt w:val="decimal"/>
      <w:lvlText w:val=""/>
      <w:lvlJc w:val="left"/>
    </w:lvl>
    <w:lvl w:ilvl="2" w:tplc="F3B644A6">
      <w:numFmt w:val="decimal"/>
      <w:lvlText w:val=""/>
      <w:lvlJc w:val="left"/>
    </w:lvl>
    <w:lvl w:ilvl="3" w:tplc="17AC6F6A">
      <w:numFmt w:val="decimal"/>
      <w:lvlText w:val=""/>
      <w:lvlJc w:val="left"/>
    </w:lvl>
    <w:lvl w:ilvl="4" w:tplc="90AC7C06">
      <w:numFmt w:val="decimal"/>
      <w:lvlText w:val=""/>
      <w:lvlJc w:val="left"/>
    </w:lvl>
    <w:lvl w:ilvl="5" w:tplc="5BFA0EE0">
      <w:numFmt w:val="decimal"/>
      <w:lvlText w:val=""/>
      <w:lvlJc w:val="left"/>
    </w:lvl>
    <w:lvl w:ilvl="6" w:tplc="1D9893EA">
      <w:numFmt w:val="decimal"/>
      <w:lvlText w:val=""/>
      <w:lvlJc w:val="left"/>
    </w:lvl>
    <w:lvl w:ilvl="7" w:tplc="EC82D510">
      <w:numFmt w:val="decimal"/>
      <w:lvlText w:val=""/>
      <w:lvlJc w:val="left"/>
    </w:lvl>
    <w:lvl w:ilvl="8" w:tplc="5D2A884C">
      <w:numFmt w:val="decimal"/>
      <w:lvlText w:val=""/>
      <w:lvlJc w:val="left"/>
    </w:lvl>
  </w:abstractNum>
  <w:abstractNum w:abstractNumId="572" w15:restartNumberingAfterBreak="0">
    <w:nsid w:val="40B525B4"/>
    <w:multiLevelType w:val="hybridMultilevel"/>
    <w:tmpl w:val="3EE68EBA"/>
    <w:lvl w:ilvl="0" w:tplc="DC90001C">
      <w:start w:val="1"/>
      <w:numFmt w:val="bullet"/>
      <w:lvlText w:val=""/>
      <w:lvlJc w:val="left"/>
      <w:pPr>
        <w:ind w:left="720" w:hanging="180"/>
      </w:pPr>
      <w:rPr>
        <w:rFonts w:ascii="Symbol" w:hAnsi="Symbol" w:hint="default"/>
      </w:rPr>
    </w:lvl>
    <w:lvl w:ilvl="1" w:tplc="75CC9F28">
      <w:numFmt w:val="decimal"/>
      <w:lvlText w:val=""/>
      <w:lvlJc w:val="left"/>
    </w:lvl>
    <w:lvl w:ilvl="2" w:tplc="42EE215A">
      <w:numFmt w:val="decimal"/>
      <w:lvlText w:val=""/>
      <w:lvlJc w:val="left"/>
    </w:lvl>
    <w:lvl w:ilvl="3" w:tplc="F31C20D0">
      <w:numFmt w:val="decimal"/>
      <w:lvlText w:val=""/>
      <w:lvlJc w:val="left"/>
    </w:lvl>
    <w:lvl w:ilvl="4" w:tplc="323A5E4E">
      <w:numFmt w:val="decimal"/>
      <w:lvlText w:val=""/>
      <w:lvlJc w:val="left"/>
    </w:lvl>
    <w:lvl w:ilvl="5" w:tplc="39C247BA">
      <w:numFmt w:val="decimal"/>
      <w:lvlText w:val=""/>
      <w:lvlJc w:val="left"/>
    </w:lvl>
    <w:lvl w:ilvl="6" w:tplc="1610DC48">
      <w:numFmt w:val="decimal"/>
      <w:lvlText w:val=""/>
      <w:lvlJc w:val="left"/>
    </w:lvl>
    <w:lvl w:ilvl="7" w:tplc="6C348BF6">
      <w:numFmt w:val="decimal"/>
      <w:lvlText w:val=""/>
      <w:lvlJc w:val="left"/>
    </w:lvl>
    <w:lvl w:ilvl="8" w:tplc="DC36C71E">
      <w:numFmt w:val="decimal"/>
      <w:lvlText w:val=""/>
      <w:lvlJc w:val="left"/>
    </w:lvl>
  </w:abstractNum>
  <w:abstractNum w:abstractNumId="573" w15:restartNumberingAfterBreak="0">
    <w:nsid w:val="40DA28B8"/>
    <w:multiLevelType w:val="hybridMultilevel"/>
    <w:tmpl w:val="9E0817CE"/>
    <w:lvl w:ilvl="0" w:tplc="9DEA938E">
      <w:start w:val="1"/>
      <w:numFmt w:val="bullet"/>
      <w:lvlText w:val=""/>
      <w:lvlJc w:val="left"/>
      <w:pPr>
        <w:ind w:left="720" w:hanging="180"/>
      </w:pPr>
      <w:rPr>
        <w:rFonts w:ascii="Symbol" w:hAnsi="Symbol" w:hint="default"/>
      </w:rPr>
    </w:lvl>
    <w:lvl w:ilvl="1" w:tplc="26E8ED40">
      <w:numFmt w:val="decimal"/>
      <w:lvlText w:val=""/>
      <w:lvlJc w:val="left"/>
    </w:lvl>
    <w:lvl w:ilvl="2" w:tplc="4606DFB8">
      <w:numFmt w:val="decimal"/>
      <w:lvlText w:val=""/>
      <w:lvlJc w:val="left"/>
    </w:lvl>
    <w:lvl w:ilvl="3" w:tplc="112E86C2">
      <w:numFmt w:val="decimal"/>
      <w:lvlText w:val=""/>
      <w:lvlJc w:val="left"/>
    </w:lvl>
    <w:lvl w:ilvl="4" w:tplc="5A68CC58">
      <w:numFmt w:val="decimal"/>
      <w:lvlText w:val=""/>
      <w:lvlJc w:val="left"/>
    </w:lvl>
    <w:lvl w:ilvl="5" w:tplc="04D81BC2">
      <w:numFmt w:val="decimal"/>
      <w:lvlText w:val=""/>
      <w:lvlJc w:val="left"/>
    </w:lvl>
    <w:lvl w:ilvl="6" w:tplc="20D4DD1A">
      <w:numFmt w:val="decimal"/>
      <w:lvlText w:val=""/>
      <w:lvlJc w:val="left"/>
    </w:lvl>
    <w:lvl w:ilvl="7" w:tplc="EBEEC0E4">
      <w:numFmt w:val="decimal"/>
      <w:lvlText w:val=""/>
      <w:lvlJc w:val="left"/>
    </w:lvl>
    <w:lvl w:ilvl="8" w:tplc="685897F2">
      <w:numFmt w:val="decimal"/>
      <w:lvlText w:val=""/>
      <w:lvlJc w:val="left"/>
    </w:lvl>
  </w:abstractNum>
  <w:abstractNum w:abstractNumId="574" w15:restartNumberingAfterBreak="0">
    <w:nsid w:val="412F57CA"/>
    <w:multiLevelType w:val="hybridMultilevel"/>
    <w:tmpl w:val="73E0CABA"/>
    <w:lvl w:ilvl="0" w:tplc="FC7EF084">
      <w:start w:val="1"/>
      <w:numFmt w:val="bullet"/>
      <w:lvlText w:val=""/>
      <w:lvlJc w:val="left"/>
      <w:pPr>
        <w:ind w:left="720" w:hanging="180"/>
      </w:pPr>
      <w:rPr>
        <w:rFonts w:ascii="Symbol" w:hAnsi="Symbol" w:hint="default"/>
      </w:rPr>
    </w:lvl>
    <w:lvl w:ilvl="1" w:tplc="83C6AC7C">
      <w:numFmt w:val="decimal"/>
      <w:lvlText w:val=""/>
      <w:lvlJc w:val="left"/>
    </w:lvl>
    <w:lvl w:ilvl="2" w:tplc="AD90E8BE">
      <w:numFmt w:val="decimal"/>
      <w:lvlText w:val=""/>
      <w:lvlJc w:val="left"/>
    </w:lvl>
    <w:lvl w:ilvl="3" w:tplc="724C58D4">
      <w:numFmt w:val="decimal"/>
      <w:lvlText w:val=""/>
      <w:lvlJc w:val="left"/>
    </w:lvl>
    <w:lvl w:ilvl="4" w:tplc="42342A28">
      <w:numFmt w:val="decimal"/>
      <w:lvlText w:val=""/>
      <w:lvlJc w:val="left"/>
    </w:lvl>
    <w:lvl w:ilvl="5" w:tplc="97540ADA">
      <w:numFmt w:val="decimal"/>
      <w:lvlText w:val=""/>
      <w:lvlJc w:val="left"/>
    </w:lvl>
    <w:lvl w:ilvl="6" w:tplc="CD54AD8E">
      <w:numFmt w:val="decimal"/>
      <w:lvlText w:val=""/>
      <w:lvlJc w:val="left"/>
    </w:lvl>
    <w:lvl w:ilvl="7" w:tplc="BFA24850">
      <w:numFmt w:val="decimal"/>
      <w:lvlText w:val=""/>
      <w:lvlJc w:val="left"/>
    </w:lvl>
    <w:lvl w:ilvl="8" w:tplc="75A47E36">
      <w:numFmt w:val="decimal"/>
      <w:lvlText w:val=""/>
      <w:lvlJc w:val="left"/>
    </w:lvl>
  </w:abstractNum>
  <w:abstractNum w:abstractNumId="575" w15:restartNumberingAfterBreak="0">
    <w:nsid w:val="41657F37"/>
    <w:multiLevelType w:val="hybridMultilevel"/>
    <w:tmpl w:val="6150D9CA"/>
    <w:lvl w:ilvl="0" w:tplc="9D6A689C">
      <w:start w:val="1"/>
      <w:numFmt w:val="bullet"/>
      <w:lvlText w:val=""/>
      <w:lvlJc w:val="left"/>
      <w:pPr>
        <w:ind w:left="720" w:hanging="180"/>
      </w:pPr>
      <w:rPr>
        <w:rFonts w:ascii="Symbol" w:hAnsi="Symbol" w:hint="default"/>
      </w:rPr>
    </w:lvl>
    <w:lvl w:ilvl="1" w:tplc="BFD6245A">
      <w:numFmt w:val="decimal"/>
      <w:lvlText w:val=""/>
      <w:lvlJc w:val="left"/>
    </w:lvl>
    <w:lvl w:ilvl="2" w:tplc="FF74BC5C">
      <w:numFmt w:val="decimal"/>
      <w:lvlText w:val=""/>
      <w:lvlJc w:val="left"/>
    </w:lvl>
    <w:lvl w:ilvl="3" w:tplc="A4E8076C">
      <w:numFmt w:val="decimal"/>
      <w:lvlText w:val=""/>
      <w:lvlJc w:val="left"/>
    </w:lvl>
    <w:lvl w:ilvl="4" w:tplc="2BFCE93C">
      <w:numFmt w:val="decimal"/>
      <w:lvlText w:val=""/>
      <w:lvlJc w:val="left"/>
    </w:lvl>
    <w:lvl w:ilvl="5" w:tplc="51C8CBD6">
      <w:numFmt w:val="decimal"/>
      <w:lvlText w:val=""/>
      <w:lvlJc w:val="left"/>
    </w:lvl>
    <w:lvl w:ilvl="6" w:tplc="89B8D27C">
      <w:numFmt w:val="decimal"/>
      <w:lvlText w:val=""/>
      <w:lvlJc w:val="left"/>
    </w:lvl>
    <w:lvl w:ilvl="7" w:tplc="A0F43822">
      <w:numFmt w:val="decimal"/>
      <w:lvlText w:val=""/>
      <w:lvlJc w:val="left"/>
    </w:lvl>
    <w:lvl w:ilvl="8" w:tplc="CA907006">
      <w:numFmt w:val="decimal"/>
      <w:lvlText w:val=""/>
      <w:lvlJc w:val="left"/>
    </w:lvl>
  </w:abstractNum>
  <w:abstractNum w:abstractNumId="576" w15:restartNumberingAfterBreak="0">
    <w:nsid w:val="416B5DDC"/>
    <w:multiLevelType w:val="hybridMultilevel"/>
    <w:tmpl w:val="1B18D438"/>
    <w:lvl w:ilvl="0" w:tplc="E410CB4E">
      <w:start w:val="1"/>
      <w:numFmt w:val="bullet"/>
      <w:lvlText w:val=""/>
      <w:lvlJc w:val="left"/>
      <w:pPr>
        <w:ind w:left="720" w:hanging="180"/>
      </w:pPr>
      <w:rPr>
        <w:rFonts w:ascii="Symbol" w:hAnsi="Symbol" w:hint="default"/>
      </w:rPr>
    </w:lvl>
    <w:lvl w:ilvl="1" w:tplc="F8E02F7C">
      <w:numFmt w:val="decimal"/>
      <w:lvlText w:val=""/>
      <w:lvlJc w:val="left"/>
    </w:lvl>
    <w:lvl w:ilvl="2" w:tplc="128CEC2E">
      <w:numFmt w:val="decimal"/>
      <w:lvlText w:val=""/>
      <w:lvlJc w:val="left"/>
    </w:lvl>
    <w:lvl w:ilvl="3" w:tplc="3718E0F0">
      <w:numFmt w:val="decimal"/>
      <w:lvlText w:val=""/>
      <w:lvlJc w:val="left"/>
    </w:lvl>
    <w:lvl w:ilvl="4" w:tplc="0DEC864C">
      <w:numFmt w:val="decimal"/>
      <w:lvlText w:val=""/>
      <w:lvlJc w:val="left"/>
    </w:lvl>
    <w:lvl w:ilvl="5" w:tplc="7C0E93F0">
      <w:numFmt w:val="decimal"/>
      <w:lvlText w:val=""/>
      <w:lvlJc w:val="left"/>
    </w:lvl>
    <w:lvl w:ilvl="6" w:tplc="D116D7D2">
      <w:numFmt w:val="decimal"/>
      <w:lvlText w:val=""/>
      <w:lvlJc w:val="left"/>
    </w:lvl>
    <w:lvl w:ilvl="7" w:tplc="113A3CCE">
      <w:numFmt w:val="decimal"/>
      <w:lvlText w:val=""/>
      <w:lvlJc w:val="left"/>
    </w:lvl>
    <w:lvl w:ilvl="8" w:tplc="F7C012C2">
      <w:numFmt w:val="decimal"/>
      <w:lvlText w:val=""/>
      <w:lvlJc w:val="left"/>
    </w:lvl>
  </w:abstractNum>
  <w:abstractNum w:abstractNumId="577" w15:restartNumberingAfterBreak="0">
    <w:nsid w:val="4181458F"/>
    <w:multiLevelType w:val="hybridMultilevel"/>
    <w:tmpl w:val="61383C22"/>
    <w:lvl w:ilvl="0" w:tplc="56D22618">
      <w:start w:val="1"/>
      <w:numFmt w:val="bullet"/>
      <w:lvlText w:val=""/>
      <w:lvlJc w:val="left"/>
      <w:pPr>
        <w:ind w:left="720" w:hanging="180"/>
      </w:pPr>
      <w:rPr>
        <w:rFonts w:ascii="Symbol" w:hAnsi="Symbol" w:hint="default"/>
      </w:rPr>
    </w:lvl>
    <w:lvl w:ilvl="1" w:tplc="DA1CDFE6">
      <w:numFmt w:val="decimal"/>
      <w:lvlText w:val=""/>
      <w:lvlJc w:val="left"/>
    </w:lvl>
    <w:lvl w:ilvl="2" w:tplc="2C6C7ECA">
      <w:numFmt w:val="decimal"/>
      <w:lvlText w:val=""/>
      <w:lvlJc w:val="left"/>
    </w:lvl>
    <w:lvl w:ilvl="3" w:tplc="A00C943E">
      <w:numFmt w:val="decimal"/>
      <w:lvlText w:val=""/>
      <w:lvlJc w:val="left"/>
    </w:lvl>
    <w:lvl w:ilvl="4" w:tplc="A30EC6D6">
      <w:numFmt w:val="decimal"/>
      <w:lvlText w:val=""/>
      <w:lvlJc w:val="left"/>
    </w:lvl>
    <w:lvl w:ilvl="5" w:tplc="A36605B8">
      <w:numFmt w:val="decimal"/>
      <w:lvlText w:val=""/>
      <w:lvlJc w:val="left"/>
    </w:lvl>
    <w:lvl w:ilvl="6" w:tplc="B22A6754">
      <w:numFmt w:val="decimal"/>
      <w:lvlText w:val=""/>
      <w:lvlJc w:val="left"/>
    </w:lvl>
    <w:lvl w:ilvl="7" w:tplc="6210833A">
      <w:numFmt w:val="decimal"/>
      <w:lvlText w:val=""/>
      <w:lvlJc w:val="left"/>
    </w:lvl>
    <w:lvl w:ilvl="8" w:tplc="BADAF3A4">
      <w:numFmt w:val="decimal"/>
      <w:lvlText w:val=""/>
      <w:lvlJc w:val="left"/>
    </w:lvl>
  </w:abstractNum>
  <w:abstractNum w:abstractNumId="578" w15:restartNumberingAfterBreak="0">
    <w:nsid w:val="418C6880"/>
    <w:multiLevelType w:val="hybridMultilevel"/>
    <w:tmpl w:val="8B2C8DAC"/>
    <w:lvl w:ilvl="0" w:tplc="996AEC0A">
      <w:start w:val="1"/>
      <w:numFmt w:val="bullet"/>
      <w:lvlText w:val=""/>
      <w:lvlJc w:val="left"/>
      <w:pPr>
        <w:ind w:left="720" w:hanging="180"/>
      </w:pPr>
      <w:rPr>
        <w:rFonts w:ascii="Symbol" w:hAnsi="Symbol" w:hint="default"/>
      </w:rPr>
    </w:lvl>
    <w:lvl w:ilvl="1" w:tplc="D6A2811A">
      <w:numFmt w:val="decimal"/>
      <w:lvlText w:val=""/>
      <w:lvlJc w:val="left"/>
    </w:lvl>
    <w:lvl w:ilvl="2" w:tplc="665088A8">
      <w:numFmt w:val="decimal"/>
      <w:lvlText w:val=""/>
      <w:lvlJc w:val="left"/>
    </w:lvl>
    <w:lvl w:ilvl="3" w:tplc="063C7AD8">
      <w:numFmt w:val="decimal"/>
      <w:lvlText w:val=""/>
      <w:lvlJc w:val="left"/>
    </w:lvl>
    <w:lvl w:ilvl="4" w:tplc="183640A4">
      <w:numFmt w:val="decimal"/>
      <w:lvlText w:val=""/>
      <w:lvlJc w:val="left"/>
    </w:lvl>
    <w:lvl w:ilvl="5" w:tplc="4EF4376C">
      <w:numFmt w:val="decimal"/>
      <w:lvlText w:val=""/>
      <w:lvlJc w:val="left"/>
    </w:lvl>
    <w:lvl w:ilvl="6" w:tplc="AC106F02">
      <w:numFmt w:val="decimal"/>
      <w:lvlText w:val=""/>
      <w:lvlJc w:val="left"/>
    </w:lvl>
    <w:lvl w:ilvl="7" w:tplc="0BFE5872">
      <w:numFmt w:val="decimal"/>
      <w:lvlText w:val=""/>
      <w:lvlJc w:val="left"/>
    </w:lvl>
    <w:lvl w:ilvl="8" w:tplc="7BC49FD0">
      <w:numFmt w:val="decimal"/>
      <w:lvlText w:val=""/>
      <w:lvlJc w:val="left"/>
    </w:lvl>
  </w:abstractNum>
  <w:abstractNum w:abstractNumId="579" w15:restartNumberingAfterBreak="0">
    <w:nsid w:val="41952110"/>
    <w:multiLevelType w:val="hybridMultilevel"/>
    <w:tmpl w:val="29340620"/>
    <w:lvl w:ilvl="0" w:tplc="55CCCE9E">
      <w:start w:val="1"/>
      <w:numFmt w:val="bullet"/>
      <w:lvlText w:val=""/>
      <w:lvlJc w:val="left"/>
      <w:pPr>
        <w:ind w:left="720" w:hanging="180"/>
      </w:pPr>
      <w:rPr>
        <w:rFonts w:ascii="Symbol" w:hAnsi="Symbol" w:hint="default"/>
      </w:rPr>
    </w:lvl>
    <w:lvl w:ilvl="1" w:tplc="22B02B2E">
      <w:numFmt w:val="decimal"/>
      <w:lvlText w:val=""/>
      <w:lvlJc w:val="left"/>
    </w:lvl>
    <w:lvl w:ilvl="2" w:tplc="CB9213CE">
      <w:numFmt w:val="decimal"/>
      <w:lvlText w:val=""/>
      <w:lvlJc w:val="left"/>
    </w:lvl>
    <w:lvl w:ilvl="3" w:tplc="253CCD62">
      <w:numFmt w:val="decimal"/>
      <w:lvlText w:val=""/>
      <w:lvlJc w:val="left"/>
    </w:lvl>
    <w:lvl w:ilvl="4" w:tplc="C590AD34">
      <w:numFmt w:val="decimal"/>
      <w:lvlText w:val=""/>
      <w:lvlJc w:val="left"/>
    </w:lvl>
    <w:lvl w:ilvl="5" w:tplc="3F26F296">
      <w:numFmt w:val="decimal"/>
      <w:lvlText w:val=""/>
      <w:lvlJc w:val="left"/>
    </w:lvl>
    <w:lvl w:ilvl="6" w:tplc="FD008DDE">
      <w:numFmt w:val="decimal"/>
      <w:lvlText w:val=""/>
      <w:lvlJc w:val="left"/>
    </w:lvl>
    <w:lvl w:ilvl="7" w:tplc="FF42438E">
      <w:numFmt w:val="decimal"/>
      <w:lvlText w:val=""/>
      <w:lvlJc w:val="left"/>
    </w:lvl>
    <w:lvl w:ilvl="8" w:tplc="EEFE364C">
      <w:numFmt w:val="decimal"/>
      <w:lvlText w:val=""/>
      <w:lvlJc w:val="left"/>
    </w:lvl>
  </w:abstractNum>
  <w:abstractNum w:abstractNumId="580" w15:restartNumberingAfterBreak="0">
    <w:nsid w:val="419A736F"/>
    <w:multiLevelType w:val="hybridMultilevel"/>
    <w:tmpl w:val="946A2EDE"/>
    <w:lvl w:ilvl="0" w:tplc="7EEEE7B8">
      <w:start w:val="1"/>
      <w:numFmt w:val="bullet"/>
      <w:lvlText w:val=""/>
      <w:lvlJc w:val="left"/>
      <w:pPr>
        <w:ind w:left="720" w:hanging="180"/>
      </w:pPr>
      <w:rPr>
        <w:rFonts w:ascii="Symbol" w:hAnsi="Symbol" w:hint="default"/>
      </w:rPr>
    </w:lvl>
    <w:lvl w:ilvl="1" w:tplc="3932948E">
      <w:numFmt w:val="decimal"/>
      <w:lvlText w:val=""/>
      <w:lvlJc w:val="left"/>
    </w:lvl>
    <w:lvl w:ilvl="2" w:tplc="AFFE1DC2">
      <w:numFmt w:val="decimal"/>
      <w:lvlText w:val=""/>
      <w:lvlJc w:val="left"/>
    </w:lvl>
    <w:lvl w:ilvl="3" w:tplc="1472C6DE">
      <w:numFmt w:val="decimal"/>
      <w:lvlText w:val=""/>
      <w:lvlJc w:val="left"/>
    </w:lvl>
    <w:lvl w:ilvl="4" w:tplc="D7E29D5C">
      <w:numFmt w:val="decimal"/>
      <w:lvlText w:val=""/>
      <w:lvlJc w:val="left"/>
    </w:lvl>
    <w:lvl w:ilvl="5" w:tplc="79C8860E">
      <w:numFmt w:val="decimal"/>
      <w:lvlText w:val=""/>
      <w:lvlJc w:val="left"/>
    </w:lvl>
    <w:lvl w:ilvl="6" w:tplc="420AD378">
      <w:numFmt w:val="decimal"/>
      <w:lvlText w:val=""/>
      <w:lvlJc w:val="left"/>
    </w:lvl>
    <w:lvl w:ilvl="7" w:tplc="546056BE">
      <w:numFmt w:val="decimal"/>
      <w:lvlText w:val=""/>
      <w:lvlJc w:val="left"/>
    </w:lvl>
    <w:lvl w:ilvl="8" w:tplc="2CEA6CCC">
      <w:numFmt w:val="decimal"/>
      <w:lvlText w:val=""/>
      <w:lvlJc w:val="left"/>
    </w:lvl>
  </w:abstractNum>
  <w:abstractNum w:abstractNumId="581" w15:restartNumberingAfterBreak="0">
    <w:nsid w:val="41A46C95"/>
    <w:multiLevelType w:val="hybridMultilevel"/>
    <w:tmpl w:val="BC0A5482"/>
    <w:lvl w:ilvl="0" w:tplc="72721A98">
      <w:start w:val="1"/>
      <w:numFmt w:val="bullet"/>
      <w:lvlText w:val=""/>
      <w:lvlJc w:val="left"/>
      <w:pPr>
        <w:ind w:left="720" w:hanging="180"/>
      </w:pPr>
      <w:rPr>
        <w:rFonts w:ascii="Symbol" w:hAnsi="Symbol" w:hint="default"/>
      </w:rPr>
    </w:lvl>
    <w:lvl w:ilvl="1" w:tplc="95E060C6">
      <w:numFmt w:val="decimal"/>
      <w:lvlText w:val=""/>
      <w:lvlJc w:val="left"/>
    </w:lvl>
    <w:lvl w:ilvl="2" w:tplc="E7FC4EC2">
      <w:numFmt w:val="decimal"/>
      <w:lvlText w:val=""/>
      <w:lvlJc w:val="left"/>
    </w:lvl>
    <w:lvl w:ilvl="3" w:tplc="C24A4110">
      <w:numFmt w:val="decimal"/>
      <w:lvlText w:val=""/>
      <w:lvlJc w:val="left"/>
    </w:lvl>
    <w:lvl w:ilvl="4" w:tplc="8CB0A7C6">
      <w:numFmt w:val="decimal"/>
      <w:lvlText w:val=""/>
      <w:lvlJc w:val="left"/>
    </w:lvl>
    <w:lvl w:ilvl="5" w:tplc="DE0E69BE">
      <w:numFmt w:val="decimal"/>
      <w:lvlText w:val=""/>
      <w:lvlJc w:val="left"/>
    </w:lvl>
    <w:lvl w:ilvl="6" w:tplc="1C80C906">
      <w:numFmt w:val="decimal"/>
      <w:lvlText w:val=""/>
      <w:lvlJc w:val="left"/>
    </w:lvl>
    <w:lvl w:ilvl="7" w:tplc="A574DFA6">
      <w:numFmt w:val="decimal"/>
      <w:lvlText w:val=""/>
      <w:lvlJc w:val="left"/>
    </w:lvl>
    <w:lvl w:ilvl="8" w:tplc="68724956">
      <w:numFmt w:val="decimal"/>
      <w:lvlText w:val=""/>
      <w:lvlJc w:val="left"/>
    </w:lvl>
  </w:abstractNum>
  <w:abstractNum w:abstractNumId="582" w15:restartNumberingAfterBreak="0">
    <w:nsid w:val="41C26D73"/>
    <w:multiLevelType w:val="hybridMultilevel"/>
    <w:tmpl w:val="689A72A2"/>
    <w:lvl w:ilvl="0" w:tplc="1E12FFF2">
      <w:start w:val="1"/>
      <w:numFmt w:val="bullet"/>
      <w:lvlText w:val=""/>
      <w:lvlJc w:val="left"/>
      <w:pPr>
        <w:ind w:left="720" w:hanging="180"/>
      </w:pPr>
      <w:rPr>
        <w:rFonts w:ascii="Symbol" w:hAnsi="Symbol" w:hint="default"/>
      </w:rPr>
    </w:lvl>
    <w:lvl w:ilvl="1" w:tplc="B50ABE94">
      <w:numFmt w:val="decimal"/>
      <w:lvlText w:val=""/>
      <w:lvlJc w:val="left"/>
    </w:lvl>
    <w:lvl w:ilvl="2" w:tplc="B4FE2A7C">
      <w:numFmt w:val="decimal"/>
      <w:lvlText w:val=""/>
      <w:lvlJc w:val="left"/>
    </w:lvl>
    <w:lvl w:ilvl="3" w:tplc="1B58424A">
      <w:numFmt w:val="decimal"/>
      <w:lvlText w:val=""/>
      <w:lvlJc w:val="left"/>
    </w:lvl>
    <w:lvl w:ilvl="4" w:tplc="71B6C41A">
      <w:numFmt w:val="decimal"/>
      <w:lvlText w:val=""/>
      <w:lvlJc w:val="left"/>
    </w:lvl>
    <w:lvl w:ilvl="5" w:tplc="9806C01E">
      <w:numFmt w:val="decimal"/>
      <w:lvlText w:val=""/>
      <w:lvlJc w:val="left"/>
    </w:lvl>
    <w:lvl w:ilvl="6" w:tplc="C1FA142C">
      <w:numFmt w:val="decimal"/>
      <w:lvlText w:val=""/>
      <w:lvlJc w:val="left"/>
    </w:lvl>
    <w:lvl w:ilvl="7" w:tplc="2BD62DBC">
      <w:numFmt w:val="decimal"/>
      <w:lvlText w:val=""/>
      <w:lvlJc w:val="left"/>
    </w:lvl>
    <w:lvl w:ilvl="8" w:tplc="E2B60CE4">
      <w:numFmt w:val="decimal"/>
      <w:lvlText w:val=""/>
      <w:lvlJc w:val="left"/>
    </w:lvl>
  </w:abstractNum>
  <w:abstractNum w:abstractNumId="583" w15:restartNumberingAfterBreak="0">
    <w:nsid w:val="41D70587"/>
    <w:multiLevelType w:val="hybridMultilevel"/>
    <w:tmpl w:val="91608D66"/>
    <w:lvl w:ilvl="0" w:tplc="F72ABAA6">
      <w:start w:val="1"/>
      <w:numFmt w:val="bullet"/>
      <w:lvlText w:val=""/>
      <w:lvlJc w:val="left"/>
      <w:pPr>
        <w:ind w:left="720" w:hanging="180"/>
      </w:pPr>
      <w:rPr>
        <w:rFonts w:ascii="Symbol" w:hAnsi="Symbol" w:hint="default"/>
      </w:rPr>
    </w:lvl>
    <w:lvl w:ilvl="1" w:tplc="E18696C4">
      <w:numFmt w:val="decimal"/>
      <w:lvlText w:val=""/>
      <w:lvlJc w:val="left"/>
    </w:lvl>
    <w:lvl w:ilvl="2" w:tplc="7E4832D0">
      <w:numFmt w:val="decimal"/>
      <w:lvlText w:val=""/>
      <w:lvlJc w:val="left"/>
    </w:lvl>
    <w:lvl w:ilvl="3" w:tplc="BAFE22A6">
      <w:numFmt w:val="decimal"/>
      <w:lvlText w:val=""/>
      <w:lvlJc w:val="left"/>
    </w:lvl>
    <w:lvl w:ilvl="4" w:tplc="C5BC68D6">
      <w:numFmt w:val="decimal"/>
      <w:lvlText w:val=""/>
      <w:lvlJc w:val="left"/>
    </w:lvl>
    <w:lvl w:ilvl="5" w:tplc="41B8AF26">
      <w:numFmt w:val="decimal"/>
      <w:lvlText w:val=""/>
      <w:lvlJc w:val="left"/>
    </w:lvl>
    <w:lvl w:ilvl="6" w:tplc="C4B29D26">
      <w:numFmt w:val="decimal"/>
      <w:lvlText w:val=""/>
      <w:lvlJc w:val="left"/>
    </w:lvl>
    <w:lvl w:ilvl="7" w:tplc="4288E286">
      <w:numFmt w:val="decimal"/>
      <w:lvlText w:val=""/>
      <w:lvlJc w:val="left"/>
    </w:lvl>
    <w:lvl w:ilvl="8" w:tplc="F2068BB0">
      <w:numFmt w:val="decimal"/>
      <w:lvlText w:val=""/>
      <w:lvlJc w:val="left"/>
    </w:lvl>
  </w:abstractNum>
  <w:abstractNum w:abstractNumId="584" w15:restartNumberingAfterBreak="0">
    <w:nsid w:val="41EB1E42"/>
    <w:multiLevelType w:val="hybridMultilevel"/>
    <w:tmpl w:val="FAE6EF48"/>
    <w:lvl w:ilvl="0" w:tplc="673E1C8E">
      <w:start w:val="1"/>
      <w:numFmt w:val="bullet"/>
      <w:lvlText w:val=""/>
      <w:lvlJc w:val="left"/>
      <w:pPr>
        <w:ind w:left="720" w:hanging="180"/>
      </w:pPr>
      <w:rPr>
        <w:rFonts w:ascii="Symbol" w:hAnsi="Symbol" w:hint="default"/>
      </w:rPr>
    </w:lvl>
    <w:lvl w:ilvl="1" w:tplc="B9BAB1B8">
      <w:numFmt w:val="decimal"/>
      <w:lvlText w:val=""/>
      <w:lvlJc w:val="left"/>
    </w:lvl>
    <w:lvl w:ilvl="2" w:tplc="85489C70">
      <w:numFmt w:val="decimal"/>
      <w:lvlText w:val=""/>
      <w:lvlJc w:val="left"/>
    </w:lvl>
    <w:lvl w:ilvl="3" w:tplc="020AB48E">
      <w:numFmt w:val="decimal"/>
      <w:lvlText w:val=""/>
      <w:lvlJc w:val="left"/>
    </w:lvl>
    <w:lvl w:ilvl="4" w:tplc="436CD8D4">
      <w:numFmt w:val="decimal"/>
      <w:lvlText w:val=""/>
      <w:lvlJc w:val="left"/>
    </w:lvl>
    <w:lvl w:ilvl="5" w:tplc="F4C61532">
      <w:numFmt w:val="decimal"/>
      <w:lvlText w:val=""/>
      <w:lvlJc w:val="left"/>
    </w:lvl>
    <w:lvl w:ilvl="6" w:tplc="90AA45E2">
      <w:numFmt w:val="decimal"/>
      <w:lvlText w:val=""/>
      <w:lvlJc w:val="left"/>
    </w:lvl>
    <w:lvl w:ilvl="7" w:tplc="3BDA80CE">
      <w:numFmt w:val="decimal"/>
      <w:lvlText w:val=""/>
      <w:lvlJc w:val="left"/>
    </w:lvl>
    <w:lvl w:ilvl="8" w:tplc="C3D2E39C">
      <w:numFmt w:val="decimal"/>
      <w:lvlText w:val=""/>
      <w:lvlJc w:val="left"/>
    </w:lvl>
  </w:abstractNum>
  <w:abstractNum w:abstractNumId="585" w15:restartNumberingAfterBreak="0">
    <w:nsid w:val="421146E7"/>
    <w:multiLevelType w:val="hybridMultilevel"/>
    <w:tmpl w:val="AEC64E78"/>
    <w:lvl w:ilvl="0" w:tplc="C5284B7C">
      <w:start w:val="1"/>
      <w:numFmt w:val="bullet"/>
      <w:lvlText w:val=""/>
      <w:lvlJc w:val="left"/>
      <w:pPr>
        <w:ind w:left="720" w:hanging="180"/>
      </w:pPr>
      <w:rPr>
        <w:rFonts w:ascii="Symbol" w:hAnsi="Symbol" w:hint="default"/>
      </w:rPr>
    </w:lvl>
    <w:lvl w:ilvl="1" w:tplc="5C5A8170">
      <w:numFmt w:val="decimal"/>
      <w:lvlText w:val=""/>
      <w:lvlJc w:val="left"/>
    </w:lvl>
    <w:lvl w:ilvl="2" w:tplc="2FE02B5E">
      <w:numFmt w:val="decimal"/>
      <w:lvlText w:val=""/>
      <w:lvlJc w:val="left"/>
    </w:lvl>
    <w:lvl w:ilvl="3" w:tplc="00C615AC">
      <w:numFmt w:val="decimal"/>
      <w:lvlText w:val=""/>
      <w:lvlJc w:val="left"/>
    </w:lvl>
    <w:lvl w:ilvl="4" w:tplc="C0CCE776">
      <w:numFmt w:val="decimal"/>
      <w:lvlText w:val=""/>
      <w:lvlJc w:val="left"/>
    </w:lvl>
    <w:lvl w:ilvl="5" w:tplc="36CC94A4">
      <w:numFmt w:val="decimal"/>
      <w:lvlText w:val=""/>
      <w:lvlJc w:val="left"/>
    </w:lvl>
    <w:lvl w:ilvl="6" w:tplc="E5684D5E">
      <w:numFmt w:val="decimal"/>
      <w:lvlText w:val=""/>
      <w:lvlJc w:val="left"/>
    </w:lvl>
    <w:lvl w:ilvl="7" w:tplc="A34AD410">
      <w:numFmt w:val="decimal"/>
      <w:lvlText w:val=""/>
      <w:lvlJc w:val="left"/>
    </w:lvl>
    <w:lvl w:ilvl="8" w:tplc="00400FFE">
      <w:numFmt w:val="decimal"/>
      <w:lvlText w:val=""/>
      <w:lvlJc w:val="left"/>
    </w:lvl>
  </w:abstractNum>
  <w:abstractNum w:abstractNumId="586" w15:restartNumberingAfterBreak="0">
    <w:nsid w:val="42211E47"/>
    <w:multiLevelType w:val="hybridMultilevel"/>
    <w:tmpl w:val="9A927A14"/>
    <w:lvl w:ilvl="0" w:tplc="B4D6F6C4">
      <w:numFmt w:val="decimal"/>
      <w:lvlText w:val=""/>
      <w:lvlJc w:val="left"/>
    </w:lvl>
    <w:lvl w:ilvl="1" w:tplc="4A5AB9F8">
      <w:start w:val="1"/>
      <w:numFmt w:val="bullet"/>
      <w:lvlText w:val=""/>
      <w:lvlJc w:val="left"/>
      <w:pPr>
        <w:ind w:left="1440" w:hanging="180"/>
      </w:pPr>
      <w:rPr>
        <w:rFonts w:ascii="Symbol" w:hAnsi="Symbol" w:hint="default"/>
      </w:rPr>
    </w:lvl>
    <w:lvl w:ilvl="2" w:tplc="E0EA1080">
      <w:numFmt w:val="decimal"/>
      <w:lvlText w:val=""/>
      <w:lvlJc w:val="left"/>
    </w:lvl>
    <w:lvl w:ilvl="3" w:tplc="49583576">
      <w:numFmt w:val="decimal"/>
      <w:lvlText w:val=""/>
      <w:lvlJc w:val="left"/>
    </w:lvl>
    <w:lvl w:ilvl="4" w:tplc="4654674C">
      <w:numFmt w:val="decimal"/>
      <w:lvlText w:val=""/>
      <w:lvlJc w:val="left"/>
    </w:lvl>
    <w:lvl w:ilvl="5" w:tplc="674C424E">
      <w:numFmt w:val="decimal"/>
      <w:lvlText w:val=""/>
      <w:lvlJc w:val="left"/>
    </w:lvl>
    <w:lvl w:ilvl="6" w:tplc="FE88424A">
      <w:numFmt w:val="decimal"/>
      <w:lvlText w:val=""/>
      <w:lvlJc w:val="left"/>
    </w:lvl>
    <w:lvl w:ilvl="7" w:tplc="986E4F06">
      <w:numFmt w:val="decimal"/>
      <w:lvlText w:val=""/>
      <w:lvlJc w:val="left"/>
    </w:lvl>
    <w:lvl w:ilvl="8" w:tplc="0FC2F51A">
      <w:numFmt w:val="decimal"/>
      <w:lvlText w:val=""/>
      <w:lvlJc w:val="left"/>
    </w:lvl>
  </w:abstractNum>
  <w:abstractNum w:abstractNumId="587" w15:restartNumberingAfterBreak="0">
    <w:nsid w:val="42241119"/>
    <w:multiLevelType w:val="hybridMultilevel"/>
    <w:tmpl w:val="21AE5F24"/>
    <w:lvl w:ilvl="0" w:tplc="4ABEE922">
      <w:start w:val="1"/>
      <w:numFmt w:val="bullet"/>
      <w:lvlText w:val=""/>
      <w:lvlJc w:val="left"/>
      <w:pPr>
        <w:ind w:left="720" w:hanging="180"/>
      </w:pPr>
      <w:rPr>
        <w:rFonts w:ascii="Symbol" w:hAnsi="Symbol" w:hint="default"/>
      </w:rPr>
    </w:lvl>
    <w:lvl w:ilvl="1" w:tplc="3ADA4D02">
      <w:numFmt w:val="decimal"/>
      <w:lvlText w:val=""/>
      <w:lvlJc w:val="left"/>
    </w:lvl>
    <w:lvl w:ilvl="2" w:tplc="BCF6D5DE">
      <w:numFmt w:val="decimal"/>
      <w:lvlText w:val=""/>
      <w:lvlJc w:val="left"/>
    </w:lvl>
    <w:lvl w:ilvl="3" w:tplc="24BED734">
      <w:numFmt w:val="decimal"/>
      <w:lvlText w:val=""/>
      <w:lvlJc w:val="left"/>
    </w:lvl>
    <w:lvl w:ilvl="4" w:tplc="93D0F76A">
      <w:numFmt w:val="decimal"/>
      <w:lvlText w:val=""/>
      <w:lvlJc w:val="left"/>
    </w:lvl>
    <w:lvl w:ilvl="5" w:tplc="27BCA95A">
      <w:numFmt w:val="decimal"/>
      <w:lvlText w:val=""/>
      <w:lvlJc w:val="left"/>
    </w:lvl>
    <w:lvl w:ilvl="6" w:tplc="6B92257A">
      <w:numFmt w:val="decimal"/>
      <w:lvlText w:val=""/>
      <w:lvlJc w:val="left"/>
    </w:lvl>
    <w:lvl w:ilvl="7" w:tplc="2EBAFC3C">
      <w:numFmt w:val="decimal"/>
      <w:lvlText w:val=""/>
      <w:lvlJc w:val="left"/>
    </w:lvl>
    <w:lvl w:ilvl="8" w:tplc="3EE2E490">
      <w:numFmt w:val="decimal"/>
      <w:lvlText w:val=""/>
      <w:lvlJc w:val="left"/>
    </w:lvl>
  </w:abstractNum>
  <w:abstractNum w:abstractNumId="588" w15:restartNumberingAfterBreak="0">
    <w:nsid w:val="422F4636"/>
    <w:multiLevelType w:val="hybridMultilevel"/>
    <w:tmpl w:val="B64AC366"/>
    <w:lvl w:ilvl="0" w:tplc="B40EEF86">
      <w:start w:val="1"/>
      <w:numFmt w:val="bullet"/>
      <w:lvlText w:val=""/>
      <w:lvlJc w:val="left"/>
      <w:pPr>
        <w:ind w:left="720" w:hanging="180"/>
      </w:pPr>
      <w:rPr>
        <w:rFonts w:ascii="Symbol" w:hAnsi="Symbol" w:hint="default"/>
      </w:rPr>
    </w:lvl>
    <w:lvl w:ilvl="1" w:tplc="6BDC62E8">
      <w:numFmt w:val="decimal"/>
      <w:lvlText w:val=""/>
      <w:lvlJc w:val="left"/>
    </w:lvl>
    <w:lvl w:ilvl="2" w:tplc="FAB6A9D8">
      <w:numFmt w:val="decimal"/>
      <w:lvlText w:val=""/>
      <w:lvlJc w:val="left"/>
    </w:lvl>
    <w:lvl w:ilvl="3" w:tplc="3A02F026">
      <w:numFmt w:val="decimal"/>
      <w:lvlText w:val=""/>
      <w:lvlJc w:val="left"/>
    </w:lvl>
    <w:lvl w:ilvl="4" w:tplc="8EBEB0EE">
      <w:numFmt w:val="decimal"/>
      <w:lvlText w:val=""/>
      <w:lvlJc w:val="left"/>
    </w:lvl>
    <w:lvl w:ilvl="5" w:tplc="0FB85D24">
      <w:numFmt w:val="decimal"/>
      <w:lvlText w:val=""/>
      <w:lvlJc w:val="left"/>
    </w:lvl>
    <w:lvl w:ilvl="6" w:tplc="A12823B6">
      <w:numFmt w:val="decimal"/>
      <w:lvlText w:val=""/>
      <w:lvlJc w:val="left"/>
    </w:lvl>
    <w:lvl w:ilvl="7" w:tplc="488EEAAA">
      <w:numFmt w:val="decimal"/>
      <w:lvlText w:val=""/>
      <w:lvlJc w:val="left"/>
    </w:lvl>
    <w:lvl w:ilvl="8" w:tplc="37922890">
      <w:numFmt w:val="decimal"/>
      <w:lvlText w:val=""/>
      <w:lvlJc w:val="left"/>
    </w:lvl>
  </w:abstractNum>
  <w:abstractNum w:abstractNumId="589" w15:restartNumberingAfterBreak="0">
    <w:nsid w:val="424A4776"/>
    <w:multiLevelType w:val="hybridMultilevel"/>
    <w:tmpl w:val="8B5CC7C8"/>
    <w:lvl w:ilvl="0" w:tplc="CF50D1F4">
      <w:start w:val="1"/>
      <w:numFmt w:val="bullet"/>
      <w:lvlText w:val=""/>
      <w:lvlJc w:val="left"/>
      <w:pPr>
        <w:ind w:left="720" w:hanging="180"/>
      </w:pPr>
      <w:rPr>
        <w:rFonts w:ascii="Symbol" w:hAnsi="Symbol" w:hint="default"/>
      </w:rPr>
    </w:lvl>
    <w:lvl w:ilvl="1" w:tplc="187E15FE">
      <w:numFmt w:val="decimal"/>
      <w:lvlText w:val=""/>
      <w:lvlJc w:val="left"/>
    </w:lvl>
    <w:lvl w:ilvl="2" w:tplc="2894FC36">
      <w:numFmt w:val="decimal"/>
      <w:lvlText w:val=""/>
      <w:lvlJc w:val="left"/>
    </w:lvl>
    <w:lvl w:ilvl="3" w:tplc="2D34864C">
      <w:numFmt w:val="decimal"/>
      <w:lvlText w:val=""/>
      <w:lvlJc w:val="left"/>
    </w:lvl>
    <w:lvl w:ilvl="4" w:tplc="B19C4C30">
      <w:numFmt w:val="decimal"/>
      <w:lvlText w:val=""/>
      <w:lvlJc w:val="left"/>
    </w:lvl>
    <w:lvl w:ilvl="5" w:tplc="65280B30">
      <w:numFmt w:val="decimal"/>
      <w:lvlText w:val=""/>
      <w:lvlJc w:val="left"/>
    </w:lvl>
    <w:lvl w:ilvl="6" w:tplc="6CCA2006">
      <w:numFmt w:val="decimal"/>
      <w:lvlText w:val=""/>
      <w:lvlJc w:val="left"/>
    </w:lvl>
    <w:lvl w:ilvl="7" w:tplc="FCB65E26">
      <w:numFmt w:val="decimal"/>
      <w:lvlText w:val=""/>
      <w:lvlJc w:val="left"/>
    </w:lvl>
    <w:lvl w:ilvl="8" w:tplc="35E87436">
      <w:numFmt w:val="decimal"/>
      <w:lvlText w:val=""/>
      <w:lvlJc w:val="left"/>
    </w:lvl>
  </w:abstractNum>
  <w:abstractNum w:abstractNumId="590" w15:restartNumberingAfterBreak="0">
    <w:nsid w:val="42574DF5"/>
    <w:multiLevelType w:val="hybridMultilevel"/>
    <w:tmpl w:val="093EFAFA"/>
    <w:lvl w:ilvl="0" w:tplc="089A40E6">
      <w:start w:val="1"/>
      <w:numFmt w:val="bullet"/>
      <w:lvlText w:val=""/>
      <w:lvlJc w:val="left"/>
      <w:pPr>
        <w:ind w:left="720" w:hanging="180"/>
      </w:pPr>
      <w:rPr>
        <w:rFonts w:ascii="Symbol" w:hAnsi="Symbol" w:hint="default"/>
      </w:rPr>
    </w:lvl>
    <w:lvl w:ilvl="1" w:tplc="48DC7816">
      <w:numFmt w:val="decimal"/>
      <w:lvlText w:val=""/>
      <w:lvlJc w:val="left"/>
    </w:lvl>
    <w:lvl w:ilvl="2" w:tplc="7652A6A8">
      <w:numFmt w:val="decimal"/>
      <w:lvlText w:val=""/>
      <w:lvlJc w:val="left"/>
    </w:lvl>
    <w:lvl w:ilvl="3" w:tplc="FC04CF3A">
      <w:numFmt w:val="decimal"/>
      <w:lvlText w:val=""/>
      <w:lvlJc w:val="left"/>
    </w:lvl>
    <w:lvl w:ilvl="4" w:tplc="8AFC7AAC">
      <w:numFmt w:val="decimal"/>
      <w:lvlText w:val=""/>
      <w:lvlJc w:val="left"/>
    </w:lvl>
    <w:lvl w:ilvl="5" w:tplc="90023194">
      <w:numFmt w:val="decimal"/>
      <w:lvlText w:val=""/>
      <w:lvlJc w:val="left"/>
    </w:lvl>
    <w:lvl w:ilvl="6" w:tplc="56F69EEC">
      <w:numFmt w:val="decimal"/>
      <w:lvlText w:val=""/>
      <w:lvlJc w:val="left"/>
    </w:lvl>
    <w:lvl w:ilvl="7" w:tplc="53625608">
      <w:numFmt w:val="decimal"/>
      <w:lvlText w:val=""/>
      <w:lvlJc w:val="left"/>
    </w:lvl>
    <w:lvl w:ilvl="8" w:tplc="D56AC676">
      <w:numFmt w:val="decimal"/>
      <w:lvlText w:val=""/>
      <w:lvlJc w:val="left"/>
    </w:lvl>
  </w:abstractNum>
  <w:abstractNum w:abstractNumId="591" w15:restartNumberingAfterBreak="0">
    <w:nsid w:val="42817F3E"/>
    <w:multiLevelType w:val="hybridMultilevel"/>
    <w:tmpl w:val="88DAA814"/>
    <w:lvl w:ilvl="0" w:tplc="BC5C96C4">
      <w:start w:val="1"/>
      <w:numFmt w:val="bullet"/>
      <w:lvlText w:val=""/>
      <w:lvlJc w:val="left"/>
      <w:pPr>
        <w:ind w:left="720" w:hanging="180"/>
      </w:pPr>
      <w:rPr>
        <w:rFonts w:ascii="Symbol" w:hAnsi="Symbol" w:hint="default"/>
      </w:rPr>
    </w:lvl>
    <w:lvl w:ilvl="1" w:tplc="85B60518">
      <w:numFmt w:val="decimal"/>
      <w:lvlText w:val=""/>
      <w:lvlJc w:val="left"/>
    </w:lvl>
    <w:lvl w:ilvl="2" w:tplc="B36A8772">
      <w:numFmt w:val="decimal"/>
      <w:lvlText w:val=""/>
      <w:lvlJc w:val="left"/>
    </w:lvl>
    <w:lvl w:ilvl="3" w:tplc="84FC23A0">
      <w:numFmt w:val="decimal"/>
      <w:lvlText w:val=""/>
      <w:lvlJc w:val="left"/>
    </w:lvl>
    <w:lvl w:ilvl="4" w:tplc="1B46B592">
      <w:numFmt w:val="decimal"/>
      <w:lvlText w:val=""/>
      <w:lvlJc w:val="left"/>
    </w:lvl>
    <w:lvl w:ilvl="5" w:tplc="2F20430A">
      <w:numFmt w:val="decimal"/>
      <w:lvlText w:val=""/>
      <w:lvlJc w:val="left"/>
    </w:lvl>
    <w:lvl w:ilvl="6" w:tplc="26C012EA">
      <w:numFmt w:val="decimal"/>
      <w:lvlText w:val=""/>
      <w:lvlJc w:val="left"/>
    </w:lvl>
    <w:lvl w:ilvl="7" w:tplc="DCFC42AA">
      <w:numFmt w:val="decimal"/>
      <w:lvlText w:val=""/>
      <w:lvlJc w:val="left"/>
    </w:lvl>
    <w:lvl w:ilvl="8" w:tplc="D0CA64A8">
      <w:numFmt w:val="decimal"/>
      <w:lvlText w:val=""/>
      <w:lvlJc w:val="left"/>
    </w:lvl>
  </w:abstractNum>
  <w:abstractNum w:abstractNumId="592" w15:restartNumberingAfterBreak="0">
    <w:nsid w:val="428D4C1D"/>
    <w:multiLevelType w:val="hybridMultilevel"/>
    <w:tmpl w:val="7264F88E"/>
    <w:lvl w:ilvl="0" w:tplc="FE442584">
      <w:start w:val="1"/>
      <w:numFmt w:val="bullet"/>
      <w:lvlText w:val=""/>
      <w:lvlJc w:val="left"/>
      <w:pPr>
        <w:ind w:left="720" w:hanging="180"/>
      </w:pPr>
      <w:rPr>
        <w:rFonts w:ascii="Symbol" w:hAnsi="Symbol" w:hint="default"/>
      </w:rPr>
    </w:lvl>
    <w:lvl w:ilvl="1" w:tplc="9D02E9DA">
      <w:numFmt w:val="decimal"/>
      <w:lvlText w:val=""/>
      <w:lvlJc w:val="left"/>
    </w:lvl>
    <w:lvl w:ilvl="2" w:tplc="0832BFB6">
      <w:numFmt w:val="decimal"/>
      <w:lvlText w:val=""/>
      <w:lvlJc w:val="left"/>
    </w:lvl>
    <w:lvl w:ilvl="3" w:tplc="27740810">
      <w:numFmt w:val="decimal"/>
      <w:lvlText w:val=""/>
      <w:lvlJc w:val="left"/>
    </w:lvl>
    <w:lvl w:ilvl="4" w:tplc="C7F474AA">
      <w:numFmt w:val="decimal"/>
      <w:lvlText w:val=""/>
      <w:lvlJc w:val="left"/>
    </w:lvl>
    <w:lvl w:ilvl="5" w:tplc="12B64AFA">
      <w:numFmt w:val="decimal"/>
      <w:lvlText w:val=""/>
      <w:lvlJc w:val="left"/>
    </w:lvl>
    <w:lvl w:ilvl="6" w:tplc="A69A126E">
      <w:numFmt w:val="decimal"/>
      <w:lvlText w:val=""/>
      <w:lvlJc w:val="left"/>
    </w:lvl>
    <w:lvl w:ilvl="7" w:tplc="883CE372">
      <w:numFmt w:val="decimal"/>
      <w:lvlText w:val=""/>
      <w:lvlJc w:val="left"/>
    </w:lvl>
    <w:lvl w:ilvl="8" w:tplc="0966059C">
      <w:numFmt w:val="decimal"/>
      <w:lvlText w:val=""/>
      <w:lvlJc w:val="left"/>
    </w:lvl>
  </w:abstractNum>
  <w:abstractNum w:abstractNumId="593" w15:restartNumberingAfterBreak="0">
    <w:nsid w:val="42A14BD2"/>
    <w:multiLevelType w:val="hybridMultilevel"/>
    <w:tmpl w:val="D2EAFA3C"/>
    <w:lvl w:ilvl="0" w:tplc="9092BD78">
      <w:numFmt w:val="decimal"/>
      <w:lvlText w:val=""/>
      <w:lvlJc w:val="left"/>
    </w:lvl>
    <w:lvl w:ilvl="1" w:tplc="27BCD106">
      <w:start w:val="1"/>
      <w:numFmt w:val="bullet"/>
      <w:lvlText w:val=""/>
      <w:lvlJc w:val="left"/>
      <w:pPr>
        <w:ind w:left="1440" w:hanging="180"/>
      </w:pPr>
      <w:rPr>
        <w:rFonts w:ascii="Symbol" w:hAnsi="Symbol" w:hint="default"/>
      </w:rPr>
    </w:lvl>
    <w:lvl w:ilvl="2" w:tplc="5060E632">
      <w:numFmt w:val="decimal"/>
      <w:lvlText w:val=""/>
      <w:lvlJc w:val="left"/>
    </w:lvl>
    <w:lvl w:ilvl="3" w:tplc="A63E2BCC">
      <w:numFmt w:val="decimal"/>
      <w:lvlText w:val=""/>
      <w:lvlJc w:val="left"/>
    </w:lvl>
    <w:lvl w:ilvl="4" w:tplc="808296DE">
      <w:numFmt w:val="decimal"/>
      <w:lvlText w:val=""/>
      <w:lvlJc w:val="left"/>
    </w:lvl>
    <w:lvl w:ilvl="5" w:tplc="2CFAF004">
      <w:numFmt w:val="decimal"/>
      <w:lvlText w:val=""/>
      <w:lvlJc w:val="left"/>
    </w:lvl>
    <w:lvl w:ilvl="6" w:tplc="7B0C1376">
      <w:numFmt w:val="decimal"/>
      <w:lvlText w:val=""/>
      <w:lvlJc w:val="left"/>
    </w:lvl>
    <w:lvl w:ilvl="7" w:tplc="DD4A22FA">
      <w:numFmt w:val="decimal"/>
      <w:lvlText w:val=""/>
      <w:lvlJc w:val="left"/>
    </w:lvl>
    <w:lvl w:ilvl="8" w:tplc="56488E12">
      <w:numFmt w:val="decimal"/>
      <w:lvlText w:val=""/>
      <w:lvlJc w:val="left"/>
    </w:lvl>
  </w:abstractNum>
  <w:abstractNum w:abstractNumId="594" w15:restartNumberingAfterBreak="0">
    <w:nsid w:val="433D5062"/>
    <w:multiLevelType w:val="hybridMultilevel"/>
    <w:tmpl w:val="05AE4CC0"/>
    <w:lvl w:ilvl="0" w:tplc="DFD69EAC">
      <w:start w:val="1"/>
      <w:numFmt w:val="bullet"/>
      <w:lvlText w:val=""/>
      <w:lvlJc w:val="left"/>
      <w:pPr>
        <w:ind w:left="720" w:hanging="180"/>
      </w:pPr>
      <w:rPr>
        <w:rFonts w:ascii="Symbol" w:hAnsi="Symbol" w:hint="default"/>
      </w:rPr>
    </w:lvl>
    <w:lvl w:ilvl="1" w:tplc="9BD2421E">
      <w:numFmt w:val="decimal"/>
      <w:lvlText w:val=""/>
      <w:lvlJc w:val="left"/>
    </w:lvl>
    <w:lvl w:ilvl="2" w:tplc="CF9C109E">
      <w:numFmt w:val="decimal"/>
      <w:lvlText w:val=""/>
      <w:lvlJc w:val="left"/>
    </w:lvl>
    <w:lvl w:ilvl="3" w:tplc="D72644E8">
      <w:numFmt w:val="decimal"/>
      <w:lvlText w:val=""/>
      <w:lvlJc w:val="left"/>
    </w:lvl>
    <w:lvl w:ilvl="4" w:tplc="F44ED3DA">
      <w:numFmt w:val="decimal"/>
      <w:lvlText w:val=""/>
      <w:lvlJc w:val="left"/>
    </w:lvl>
    <w:lvl w:ilvl="5" w:tplc="EC44ADC6">
      <w:numFmt w:val="decimal"/>
      <w:lvlText w:val=""/>
      <w:lvlJc w:val="left"/>
    </w:lvl>
    <w:lvl w:ilvl="6" w:tplc="134CBA1A">
      <w:numFmt w:val="decimal"/>
      <w:lvlText w:val=""/>
      <w:lvlJc w:val="left"/>
    </w:lvl>
    <w:lvl w:ilvl="7" w:tplc="FC4ED682">
      <w:numFmt w:val="decimal"/>
      <w:lvlText w:val=""/>
      <w:lvlJc w:val="left"/>
    </w:lvl>
    <w:lvl w:ilvl="8" w:tplc="D71CED12">
      <w:numFmt w:val="decimal"/>
      <w:lvlText w:val=""/>
      <w:lvlJc w:val="left"/>
    </w:lvl>
  </w:abstractNum>
  <w:abstractNum w:abstractNumId="595" w15:restartNumberingAfterBreak="0">
    <w:nsid w:val="43462690"/>
    <w:multiLevelType w:val="hybridMultilevel"/>
    <w:tmpl w:val="3A2ADA60"/>
    <w:lvl w:ilvl="0" w:tplc="428661A2">
      <w:start w:val="1"/>
      <w:numFmt w:val="bullet"/>
      <w:lvlText w:val=""/>
      <w:lvlJc w:val="left"/>
      <w:pPr>
        <w:ind w:left="720" w:hanging="180"/>
      </w:pPr>
      <w:rPr>
        <w:rFonts w:ascii="Symbol" w:hAnsi="Symbol" w:hint="default"/>
      </w:rPr>
    </w:lvl>
    <w:lvl w:ilvl="1" w:tplc="12D2861A">
      <w:numFmt w:val="decimal"/>
      <w:lvlText w:val=""/>
      <w:lvlJc w:val="left"/>
    </w:lvl>
    <w:lvl w:ilvl="2" w:tplc="06601528">
      <w:numFmt w:val="decimal"/>
      <w:lvlText w:val=""/>
      <w:lvlJc w:val="left"/>
    </w:lvl>
    <w:lvl w:ilvl="3" w:tplc="DF928206">
      <w:numFmt w:val="decimal"/>
      <w:lvlText w:val=""/>
      <w:lvlJc w:val="left"/>
    </w:lvl>
    <w:lvl w:ilvl="4" w:tplc="7E88B6C8">
      <w:numFmt w:val="decimal"/>
      <w:lvlText w:val=""/>
      <w:lvlJc w:val="left"/>
    </w:lvl>
    <w:lvl w:ilvl="5" w:tplc="9B84AE4C">
      <w:numFmt w:val="decimal"/>
      <w:lvlText w:val=""/>
      <w:lvlJc w:val="left"/>
    </w:lvl>
    <w:lvl w:ilvl="6" w:tplc="2934FA02">
      <w:numFmt w:val="decimal"/>
      <w:lvlText w:val=""/>
      <w:lvlJc w:val="left"/>
    </w:lvl>
    <w:lvl w:ilvl="7" w:tplc="ABFC8DCE">
      <w:numFmt w:val="decimal"/>
      <w:lvlText w:val=""/>
      <w:lvlJc w:val="left"/>
    </w:lvl>
    <w:lvl w:ilvl="8" w:tplc="894EE516">
      <w:numFmt w:val="decimal"/>
      <w:lvlText w:val=""/>
      <w:lvlJc w:val="left"/>
    </w:lvl>
  </w:abstractNum>
  <w:abstractNum w:abstractNumId="596" w15:restartNumberingAfterBreak="0">
    <w:nsid w:val="436946E0"/>
    <w:multiLevelType w:val="hybridMultilevel"/>
    <w:tmpl w:val="A4B89716"/>
    <w:lvl w:ilvl="0" w:tplc="A25C4892">
      <w:start w:val="1"/>
      <w:numFmt w:val="bullet"/>
      <w:lvlText w:val=""/>
      <w:lvlJc w:val="left"/>
      <w:pPr>
        <w:ind w:left="720" w:hanging="180"/>
      </w:pPr>
      <w:rPr>
        <w:rFonts w:ascii="Symbol" w:hAnsi="Symbol" w:hint="default"/>
      </w:rPr>
    </w:lvl>
    <w:lvl w:ilvl="1" w:tplc="5754A2C8">
      <w:numFmt w:val="decimal"/>
      <w:lvlText w:val=""/>
      <w:lvlJc w:val="left"/>
    </w:lvl>
    <w:lvl w:ilvl="2" w:tplc="66C2B934">
      <w:numFmt w:val="decimal"/>
      <w:lvlText w:val=""/>
      <w:lvlJc w:val="left"/>
    </w:lvl>
    <w:lvl w:ilvl="3" w:tplc="B03C8F26">
      <w:numFmt w:val="decimal"/>
      <w:lvlText w:val=""/>
      <w:lvlJc w:val="left"/>
    </w:lvl>
    <w:lvl w:ilvl="4" w:tplc="0ECE3CB6">
      <w:numFmt w:val="decimal"/>
      <w:lvlText w:val=""/>
      <w:lvlJc w:val="left"/>
    </w:lvl>
    <w:lvl w:ilvl="5" w:tplc="5F5225B4">
      <w:numFmt w:val="decimal"/>
      <w:lvlText w:val=""/>
      <w:lvlJc w:val="left"/>
    </w:lvl>
    <w:lvl w:ilvl="6" w:tplc="D528ED50">
      <w:numFmt w:val="decimal"/>
      <w:lvlText w:val=""/>
      <w:lvlJc w:val="left"/>
    </w:lvl>
    <w:lvl w:ilvl="7" w:tplc="9F16B0A4">
      <w:numFmt w:val="decimal"/>
      <w:lvlText w:val=""/>
      <w:lvlJc w:val="left"/>
    </w:lvl>
    <w:lvl w:ilvl="8" w:tplc="34CA9C3C">
      <w:numFmt w:val="decimal"/>
      <w:lvlText w:val=""/>
      <w:lvlJc w:val="left"/>
    </w:lvl>
  </w:abstractNum>
  <w:abstractNum w:abstractNumId="597" w15:restartNumberingAfterBreak="0">
    <w:nsid w:val="436C5458"/>
    <w:multiLevelType w:val="hybridMultilevel"/>
    <w:tmpl w:val="19620C3A"/>
    <w:lvl w:ilvl="0" w:tplc="52DE695C">
      <w:start w:val="1"/>
      <w:numFmt w:val="bullet"/>
      <w:lvlText w:val=""/>
      <w:lvlJc w:val="left"/>
      <w:pPr>
        <w:ind w:left="720" w:hanging="180"/>
      </w:pPr>
      <w:rPr>
        <w:rFonts w:ascii="Symbol" w:hAnsi="Symbol" w:hint="default"/>
      </w:rPr>
    </w:lvl>
    <w:lvl w:ilvl="1" w:tplc="725CC754">
      <w:numFmt w:val="decimal"/>
      <w:lvlText w:val=""/>
      <w:lvlJc w:val="left"/>
    </w:lvl>
    <w:lvl w:ilvl="2" w:tplc="5D866B32">
      <w:numFmt w:val="decimal"/>
      <w:lvlText w:val=""/>
      <w:lvlJc w:val="left"/>
    </w:lvl>
    <w:lvl w:ilvl="3" w:tplc="C8389984">
      <w:numFmt w:val="decimal"/>
      <w:lvlText w:val=""/>
      <w:lvlJc w:val="left"/>
    </w:lvl>
    <w:lvl w:ilvl="4" w:tplc="D4DCA822">
      <w:numFmt w:val="decimal"/>
      <w:lvlText w:val=""/>
      <w:lvlJc w:val="left"/>
    </w:lvl>
    <w:lvl w:ilvl="5" w:tplc="D4D22924">
      <w:numFmt w:val="decimal"/>
      <w:lvlText w:val=""/>
      <w:lvlJc w:val="left"/>
    </w:lvl>
    <w:lvl w:ilvl="6" w:tplc="A406EDDA">
      <w:numFmt w:val="decimal"/>
      <w:lvlText w:val=""/>
      <w:lvlJc w:val="left"/>
    </w:lvl>
    <w:lvl w:ilvl="7" w:tplc="75E685FA">
      <w:numFmt w:val="decimal"/>
      <w:lvlText w:val=""/>
      <w:lvlJc w:val="left"/>
    </w:lvl>
    <w:lvl w:ilvl="8" w:tplc="31DAD444">
      <w:numFmt w:val="decimal"/>
      <w:lvlText w:val=""/>
      <w:lvlJc w:val="left"/>
    </w:lvl>
  </w:abstractNum>
  <w:abstractNum w:abstractNumId="598" w15:restartNumberingAfterBreak="0">
    <w:nsid w:val="43931537"/>
    <w:multiLevelType w:val="hybridMultilevel"/>
    <w:tmpl w:val="457066BE"/>
    <w:lvl w:ilvl="0" w:tplc="21F897FC">
      <w:start w:val="1"/>
      <w:numFmt w:val="bullet"/>
      <w:lvlText w:val=""/>
      <w:lvlJc w:val="left"/>
      <w:pPr>
        <w:ind w:left="720" w:hanging="180"/>
      </w:pPr>
      <w:rPr>
        <w:rFonts w:ascii="Symbol" w:hAnsi="Symbol" w:hint="default"/>
      </w:rPr>
    </w:lvl>
    <w:lvl w:ilvl="1" w:tplc="49162426">
      <w:numFmt w:val="decimal"/>
      <w:lvlText w:val=""/>
      <w:lvlJc w:val="left"/>
    </w:lvl>
    <w:lvl w:ilvl="2" w:tplc="3D1EFE28">
      <w:numFmt w:val="decimal"/>
      <w:lvlText w:val=""/>
      <w:lvlJc w:val="left"/>
    </w:lvl>
    <w:lvl w:ilvl="3" w:tplc="0AFA5BE4">
      <w:numFmt w:val="decimal"/>
      <w:lvlText w:val=""/>
      <w:lvlJc w:val="left"/>
    </w:lvl>
    <w:lvl w:ilvl="4" w:tplc="9300F6FA">
      <w:numFmt w:val="decimal"/>
      <w:lvlText w:val=""/>
      <w:lvlJc w:val="left"/>
    </w:lvl>
    <w:lvl w:ilvl="5" w:tplc="8F1A5E46">
      <w:numFmt w:val="decimal"/>
      <w:lvlText w:val=""/>
      <w:lvlJc w:val="left"/>
    </w:lvl>
    <w:lvl w:ilvl="6" w:tplc="05FE5714">
      <w:numFmt w:val="decimal"/>
      <w:lvlText w:val=""/>
      <w:lvlJc w:val="left"/>
    </w:lvl>
    <w:lvl w:ilvl="7" w:tplc="29C6F3F6">
      <w:numFmt w:val="decimal"/>
      <w:lvlText w:val=""/>
      <w:lvlJc w:val="left"/>
    </w:lvl>
    <w:lvl w:ilvl="8" w:tplc="E2C086DA">
      <w:numFmt w:val="decimal"/>
      <w:lvlText w:val=""/>
      <w:lvlJc w:val="left"/>
    </w:lvl>
  </w:abstractNum>
  <w:abstractNum w:abstractNumId="599" w15:restartNumberingAfterBreak="0">
    <w:nsid w:val="43972D9E"/>
    <w:multiLevelType w:val="hybridMultilevel"/>
    <w:tmpl w:val="8CCE5810"/>
    <w:lvl w:ilvl="0" w:tplc="CD9EDD1C">
      <w:start w:val="1"/>
      <w:numFmt w:val="bullet"/>
      <w:lvlText w:val=""/>
      <w:lvlJc w:val="left"/>
      <w:pPr>
        <w:ind w:left="720" w:hanging="180"/>
      </w:pPr>
      <w:rPr>
        <w:rFonts w:ascii="Symbol" w:hAnsi="Symbol" w:hint="default"/>
      </w:rPr>
    </w:lvl>
    <w:lvl w:ilvl="1" w:tplc="2F566170">
      <w:numFmt w:val="decimal"/>
      <w:lvlText w:val=""/>
      <w:lvlJc w:val="left"/>
    </w:lvl>
    <w:lvl w:ilvl="2" w:tplc="6C5A2124">
      <w:numFmt w:val="decimal"/>
      <w:lvlText w:val=""/>
      <w:lvlJc w:val="left"/>
    </w:lvl>
    <w:lvl w:ilvl="3" w:tplc="B09AAD16">
      <w:numFmt w:val="decimal"/>
      <w:lvlText w:val=""/>
      <w:lvlJc w:val="left"/>
    </w:lvl>
    <w:lvl w:ilvl="4" w:tplc="A31862CE">
      <w:numFmt w:val="decimal"/>
      <w:lvlText w:val=""/>
      <w:lvlJc w:val="left"/>
    </w:lvl>
    <w:lvl w:ilvl="5" w:tplc="F1EC987C">
      <w:numFmt w:val="decimal"/>
      <w:lvlText w:val=""/>
      <w:lvlJc w:val="left"/>
    </w:lvl>
    <w:lvl w:ilvl="6" w:tplc="587C15A2">
      <w:numFmt w:val="decimal"/>
      <w:lvlText w:val=""/>
      <w:lvlJc w:val="left"/>
    </w:lvl>
    <w:lvl w:ilvl="7" w:tplc="2E1AE9C8">
      <w:numFmt w:val="decimal"/>
      <w:lvlText w:val=""/>
      <w:lvlJc w:val="left"/>
    </w:lvl>
    <w:lvl w:ilvl="8" w:tplc="550C0D0A">
      <w:numFmt w:val="decimal"/>
      <w:lvlText w:val=""/>
      <w:lvlJc w:val="left"/>
    </w:lvl>
  </w:abstractNum>
  <w:abstractNum w:abstractNumId="600" w15:restartNumberingAfterBreak="0">
    <w:nsid w:val="43A314F0"/>
    <w:multiLevelType w:val="hybridMultilevel"/>
    <w:tmpl w:val="BE24E75A"/>
    <w:lvl w:ilvl="0" w:tplc="1562B928">
      <w:start w:val="1"/>
      <w:numFmt w:val="bullet"/>
      <w:lvlText w:val=""/>
      <w:lvlJc w:val="left"/>
      <w:pPr>
        <w:ind w:left="720" w:hanging="180"/>
      </w:pPr>
      <w:rPr>
        <w:rFonts w:ascii="Symbol" w:hAnsi="Symbol" w:hint="default"/>
      </w:rPr>
    </w:lvl>
    <w:lvl w:ilvl="1" w:tplc="D6668524">
      <w:numFmt w:val="decimal"/>
      <w:lvlText w:val=""/>
      <w:lvlJc w:val="left"/>
    </w:lvl>
    <w:lvl w:ilvl="2" w:tplc="1746274C">
      <w:numFmt w:val="decimal"/>
      <w:lvlText w:val=""/>
      <w:lvlJc w:val="left"/>
    </w:lvl>
    <w:lvl w:ilvl="3" w:tplc="0EC877E2">
      <w:numFmt w:val="decimal"/>
      <w:lvlText w:val=""/>
      <w:lvlJc w:val="left"/>
    </w:lvl>
    <w:lvl w:ilvl="4" w:tplc="797CEFF6">
      <w:numFmt w:val="decimal"/>
      <w:lvlText w:val=""/>
      <w:lvlJc w:val="left"/>
    </w:lvl>
    <w:lvl w:ilvl="5" w:tplc="55C00E32">
      <w:numFmt w:val="decimal"/>
      <w:lvlText w:val=""/>
      <w:lvlJc w:val="left"/>
    </w:lvl>
    <w:lvl w:ilvl="6" w:tplc="D7C070D6">
      <w:numFmt w:val="decimal"/>
      <w:lvlText w:val=""/>
      <w:lvlJc w:val="left"/>
    </w:lvl>
    <w:lvl w:ilvl="7" w:tplc="62E8EFB8">
      <w:numFmt w:val="decimal"/>
      <w:lvlText w:val=""/>
      <w:lvlJc w:val="left"/>
    </w:lvl>
    <w:lvl w:ilvl="8" w:tplc="EA1006F6">
      <w:numFmt w:val="decimal"/>
      <w:lvlText w:val=""/>
      <w:lvlJc w:val="left"/>
    </w:lvl>
  </w:abstractNum>
  <w:abstractNum w:abstractNumId="601" w15:restartNumberingAfterBreak="0">
    <w:nsid w:val="44006F79"/>
    <w:multiLevelType w:val="hybridMultilevel"/>
    <w:tmpl w:val="9524F32C"/>
    <w:lvl w:ilvl="0" w:tplc="7EEA5612">
      <w:start w:val="1"/>
      <w:numFmt w:val="bullet"/>
      <w:lvlText w:val=""/>
      <w:lvlJc w:val="left"/>
      <w:pPr>
        <w:ind w:left="720" w:hanging="180"/>
      </w:pPr>
      <w:rPr>
        <w:rFonts w:ascii="Symbol" w:hAnsi="Symbol" w:hint="default"/>
      </w:rPr>
    </w:lvl>
    <w:lvl w:ilvl="1" w:tplc="87A66368">
      <w:numFmt w:val="decimal"/>
      <w:lvlText w:val=""/>
      <w:lvlJc w:val="left"/>
    </w:lvl>
    <w:lvl w:ilvl="2" w:tplc="EE8C273C">
      <w:numFmt w:val="decimal"/>
      <w:lvlText w:val=""/>
      <w:lvlJc w:val="left"/>
    </w:lvl>
    <w:lvl w:ilvl="3" w:tplc="ACB87E20">
      <w:numFmt w:val="decimal"/>
      <w:lvlText w:val=""/>
      <w:lvlJc w:val="left"/>
    </w:lvl>
    <w:lvl w:ilvl="4" w:tplc="22CC78DA">
      <w:numFmt w:val="decimal"/>
      <w:lvlText w:val=""/>
      <w:lvlJc w:val="left"/>
    </w:lvl>
    <w:lvl w:ilvl="5" w:tplc="C4F6BA5C">
      <w:numFmt w:val="decimal"/>
      <w:lvlText w:val=""/>
      <w:lvlJc w:val="left"/>
    </w:lvl>
    <w:lvl w:ilvl="6" w:tplc="CC1AA578">
      <w:numFmt w:val="decimal"/>
      <w:lvlText w:val=""/>
      <w:lvlJc w:val="left"/>
    </w:lvl>
    <w:lvl w:ilvl="7" w:tplc="8C5883D2">
      <w:numFmt w:val="decimal"/>
      <w:lvlText w:val=""/>
      <w:lvlJc w:val="left"/>
    </w:lvl>
    <w:lvl w:ilvl="8" w:tplc="9208C292">
      <w:numFmt w:val="decimal"/>
      <w:lvlText w:val=""/>
      <w:lvlJc w:val="left"/>
    </w:lvl>
  </w:abstractNum>
  <w:abstractNum w:abstractNumId="602" w15:restartNumberingAfterBreak="0">
    <w:nsid w:val="44181BFD"/>
    <w:multiLevelType w:val="hybridMultilevel"/>
    <w:tmpl w:val="DF0C79DC"/>
    <w:lvl w:ilvl="0" w:tplc="82A4457E">
      <w:start w:val="1"/>
      <w:numFmt w:val="bullet"/>
      <w:lvlText w:val=""/>
      <w:lvlJc w:val="left"/>
      <w:pPr>
        <w:ind w:left="720" w:hanging="180"/>
      </w:pPr>
      <w:rPr>
        <w:rFonts w:ascii="Symbol" w:hAnsi="Symbol" w:hint="default"/>
      </w:rPr>
    </w:lvl>
    <w:lvl w:ilvl="1" w:tplc="831079D4">
      <w:numFmt w:val="decimal"/>
      <w:lvlText w:val=""/>
      <w:lvlJc w:val="left"/>
    </w:lvl>
    <w:lvl w:ilvl="2" w:tplc="59CC7D2E">
      <w:numFmt w:val="decimal"/>
      <w:lvlText w:val=""/>
      <w:lvlJc w:val="left"/>
    </w:lvl>
    <w:lvl w:ilvl="3" w:tplc="CA06F3CC">
      <w:numFmt w:val="decimal"/>
      <w:lvlText w:val=""/>
      <w:lvlJc w:val="left"/>
    </w:lvl>
    <w:lvl w:ilvl="4" w:tplc="6B389F88">
      <w:numFmt w:val="decimal"/>
      <w:lvlText w:val=""/>
      <w:lvlJc w:val="left"/>
    </w:lvl>
    <w:lvl w:ilvl="5" w:tplc="B74A2B98">
      <w:numFmt w:val="decimal"/>
      <w:lvlText w:val=""/>
      <w:lvlJc w:val="left"/>
    </w:lvl>
    <w:lvl w:ilvl="6" w:tplc="EEEA0EC6">
      <w:numFmt w:val="decimal"/>
      <w:lvlText w:val=""/>
      <w:lvlJc w:val="left"/>
    </w:lvl>
    <w:lvl w:ilvl="7" w:tplc="3F3E97F4">
      <w:numFmt w:val="decimal"/>
      <w:lvlText w:val=""/>
      <w:lvlJc w:val="left"/>
    </w:lvl>
    <w:lvl w:ilvl="8" w:tplc="ED8E21FC">
      <w:numFmt w:val="decimal"/>
      <w:lvlText w:val=""/>
      <w:lvlJc w:val="left"/>
    </w:lvl>
  </w:abstractNum>
  <w:abstractNum w:abstractNumId="603" w15:restartNumberingAfterBreak="0">
    <w:nsid w:val="441D5B4E"/>
    <w:multiLevelType w:val="hybridMultilevel"/>
    <w:tmpl w:val="EBB29DC4"/>
    <w:lvl w:ilvl="0" w:tplc="0B54F8DA">
      <w:start w:val="1"/>
      <w:numFmt w:val="bullet"/>
      <w:lvlText w:val=""/>
      <w:lvlJc w:val="left"/>
      <w:pPr>
        <w:ind w:left="720" w:hanging="180"/>
      </w:pPr>
      <w:rPr>
        <w:rFonts w:ascii="Symbol" w:hAnsi="Symbol" w:hint="default"/>
      </w:rPr>
    </w:lvl>
    <w:lvl w:ilvl="1" w:tplc="728CFAA6">
      <w:numFmt w:val="decimal"/>
      <w:lvlText w:val=""/>
      <w:lvlJc w:val="left"/>
    </w:lvl>
    <w:lvl w:ilvl="2" w:tplc="362455D6">
      <w:numFmt w:val="decimal"/>
      <w:lvlText w:val=""/>
      <w:lvlJc w:val="left"/>
    </w:lvl>
    <w:lvl w:ilvl="3" w:tplc="4AA0576E">
      <w:numFmt w:val="decimal"/>
      <w:lvlText w:val=""/>
      <w:lvlJc w:val="left"/>
    </w:lvl>
    <w:lvl w:ilvl="4" w:tplc="71AE89E8">
      <w:numFmt w:val="decimal"/>
      <w:lvlText w:val=""/>
      <w:lvlJc w:val="left"/>
    </w:lvl>
    <w:lvl w:ilvl="5" w:tplc="12C8F356">
      <w:numFmt w:val="decimal"/>
      <w:lvlText w:val=""/>
      <w:lvlJc w:val="left"/>
    </w:lvl>
    <w:lvl w:ilvl="6" w:tplc="CD48BE3E">
      <w:numFmt w:val="decimal"/>
      <w:lvlText w:val=""/>
      <w:lvlJc w:val="left"/>
    </w:lvl>
    <w:lvl w:ilvl="7" w:tplc="05C476BA">
      <w:numFmt w:val="decimal"/>
      <w:lvlText w:val=""/>
      <w:lvlJc w:val="left"/>
    </w:lvl>
    <w:lvl w:ilvl="8" w:tplc="41F8281C">
      <w:numFmt w:val="decimal"/>
      <w:lvlText w:val=""/>
      <w:lvlJc w:val="left"/>
    </w:lvl>
  </w:abstractNum>
  <w:abstractNum w:abstractNumId="604" w15:restartNumberingAfterBreak="0">
    <w:nsid w:val="447510B5"/>
    <w:multiLevelType w:val="hybridMultilevel"/>
    <w:tmpl w:val="50AA02C0"/>
    <w:lvl w:ilvl="0" w:tplc="BA6AF0AA">
      <w:start w:val="1"/>
      <w:numFmt w:val="bullet"/>
      <w:lvlText w:val=""/>
      <w:lvlJc w:val="left"/>
      <w:pPr>
        <w:ind w:left="720" w:hanging="180"/>
      </w:pPr>
      <w:rPr>
        <w:rFonts w:ascii="Symbol" w:hAnsi="Symbol" w:hint="default"/>
      </w:rPr>
    </w:lvl>
    <w:lvl w:ilvl="1" w:tplc="5732A380">
      <w:numFmt w:val="decimal"/>
      <w:lvlText w:val=""/>
      <w:lvlJc w:val="left"/>
    </w:lvl>
    <w:lvl w:ilvl="2" w:tplc="FCA4DBCC">
      <w:numFmt w:val="decimal"/>
      <w:lvlText w:val=""/>
      <w:lvlJc w:val="left"/>
    </w:lvl>
    <w:lvl w:ilvl="3" w:tplc="D47AEC8E">
      <w:numFmt w:val="decimal"/>
      <w:lvlText w:val=""/>
      <w:lvlJc w:val="left"/>
    </w:lvl>
    <w:lvl w:ilvl="4" w:tplc="C8E22EE8">
      <w:numFmt w:val="decimal"/>
      <w:lvlText w:val=""/>
      <w:lvlJc w:val="left"/>
    </w:lvl>
    <w:lvl w:ilvl="5" w:tplc="E16EB7A6">
      <w:numFmt w:val="decimal"/>
      <w:lvlText w:val=""/>
      <w:lvlJc w:val="left"/>
    </w:lvl>
    <w:lvl w:ilvl="6" w:tplc="F59E4EDA">
      <w:numFmt w:val="decimal"/>
      <w:lvlText w:val=""/>
      <w:lvlJc w:val="left"/>
    </w:lvl>
    <w:lvl w:ilvl="7" w:tplc="6782639A">
      <w:numFmt w:val="decimal"/>
      <w:lvlText w:val=""/>
      <w:lvlJc w:val="left"/>
    </w:lvl>
    <w:lvl w:ilvl="8" w:tplc="5F26A8B0">
      <w:numFmt w:val="decimal"/>
      <w:lvlText w:val=""/>
      <w:lvlJc w:val="left"/>
    </w:lvl>
  </w:abstractNum>
  <w:abstractNum w:abstractNumId="605" w15:restartNumberingAfterBreak="0">
    <w:nsid w:val="447A41AA"/>
    <w:multiLevelType w:val="hybridMultilevel"/>
    <w:tmpl w:val="C7DA6FF0"/>
    <w:lvl w:ilvl="0" w:tplc="AC1C5DD6">
      <w:start w:val="1"/>
      <w:numFmt w:val="bullet"/>
      <w:lvlText w:val=""/>
      <w:lvlJc w:val="left"/>
      <w:pPr>
        <w:ind w:left="720" w:hanging="180"/>
      </w:pPr>
      <w:rPr>
        <w:rFonts w:ascii="Symbol" w:hAnsi="Symbol" w:hint="default"/>
      </w:rPr>
    </w:lvl>
    <w:lvl w:ilvl="1" w:tplc="38C66840">
      <w:numFmt w:val="decimal"/>
      <w:lvlText w:val=""/>
      <w:lvlJc w:val="left"/>
    </w:lvl>
    <w:lvl w:ilvl="2" w:tplc="BC8E0C40">
      <w:numFmt w:val="decimal"/>
      <w:lvlText w:val=""/>
      <w:lvlJc w:val="left"/>
    </w:lvl>
    <w:lvl w:ilvl="3" w:tplc="41FA6CBC">
      <w:numFmt w:val="decimal"/>
      <w:lvlText w:val=""/>
      <w:lvlJc w:val="left"/>
    </w:lvl>
    <w:lvl w:ilvl="4" w:tplc="C42C69E0">
      <w:numFmt w:val="decimal"/>
      <w:lvlText w:val=""/>
      <w:lvlJc w:val="left"/>
    </w:lvl>
    <w:lvl w:ilvl="5" w:tplc="2CF89112">
      <w:numFmt w:val="decimal"/>
      <w:lvlText w:val=""/>
      <w:lvlJc w:val="left"/>
    </w:lvl>
    <w:lvl w:ilvl="6" w:tplc="D576CD6E">
      <w:numFmt w:val="decimal"/>
      <w:lvlText w:val=""/>
      <w:lvlJc w:val="left"/>
    </w:lvl>
    <w:lvl w:ilvl="7" w:tplc="8408CC84">
      <w:numFmt w:val="decimal"/>
      <w:lvlText w:val=""/>
      <w:lvlJc w:val="left"/>
    </w:lvl>
    <w:lvl w:ilvl="8" w:tplc="8ACE62B0">
      <w:numFmt w:val="decimal"/>
      <w:lvlText w:val=""/>
      <w:lvlJc w:val="left"/>
    </w:lvl>
  </w:abstractNum>
  <w:abstractNum w:abstractNumId="606" w15:restartNumberingAfterBreak="0">
    <w:nsid w:val="448C71A3"/>
    <w:multiLevelType w:val="hybridMultilevel"/>
    <w:tmpl w:val="6F6840B8"/>
    <w:lvl w:ilvl="0" w:tplc="4A4EE3CE">
      <w:start w:val="1"/>
      <w:numFmt w:val="bullet"/>
      <w:lvlText w:val=""/>
      <w:lvlJc w:val="left"/>
      <w:pPr>
        <w:ind w:left="720" w:hanging="180"/>
      </w:pPr>
      <w:rPr>
        <w:rFonts w:ascii="Symbol" w:hAnsi="Symbol" w:hint="default"/>
      </w:rPr>
    </w:lvl>
    <w:lvl w:ilvl="1" w:tplc="FAD09042">
      <w:numFmt w:val="decimal"/>
      <w:lvlText w:val=""/>
      <w:lvlJc w:val="left"/>
    </w:lvl>
    <w:lvl w:ilvl="2" w:tplc="BCE073AE">
      <w:numFmt w:val="decimal"/>
      <w:lvlText w:val=""/>
      <w:lvlJc w:val="left"/>
    </w:lvl>
    <w:lvl w:ilvl="3" w:tplc="518CB9E2">
      <w:numFmt w:val="decimal"/>
      <w:lvlText w:val=""/>
      <w:lvlJc w:val="left"/>
    </w:lvl>
    <w:lvl w:ilvl="4" w:tplc="A3403E44">
      <w:numFmt w:val="decimal"/>
      <w:lvlText w:val=""/>
      <w:lvlJc w:val="left"/>
    </w:lvl>
    <w:lvl w:ilvl="5" w:tplc="123E3812">
      <w:numFmt w:val="decimal"/>
      <w:lvlText w:val=""/>
      <w:lvlJc w:val="left"/>
    </w:lvl>
    <w:lvl w:ilvl="6" w:tplc="5D18F666">
      <w:numFmt w:val="decimal"/>
      <w:lvlText w:val=""/>
      <w:lvlJc w:val="left"/>
    </w:lvl>
    <w:lvl w:ilvl="7" w:tplc="6FB4AC10">
      <w:numFmt w:val="decimal"/>
      <w:lvlText w:val=""/>
      <w:lvlJc w:val="left"/>
    </w:lvl>
    <w:lvl w:ilvl="8" w:tplc="4E36F9A8">
      <w:numFmt w:val="decimal"/>
      <w:lvlText w:val=""/>
      <w:lvlJc w:val="left"/>
    </w:lvl>
  </w:abstractNum>
  <w:abstractNum w:abstractNumId="607" w15:restartNumberingAfterBreak="0">
    <w:nsid w:val="44E11FC8"/>
    <w:multiLevelType w:val="hybridMultilevel"/>
    <w:tmpl w:val="CF5A406C"/>
    <w:lvl w:ilvl="0" w:tplc="DCFC70E8">
      <w:start w:val="1"/>
      <w:numFmt w:val="bullet"/>
      <w:lvlText w:val=""/>
      <w:lvlJc w:val="left"/>
      <w:pPr>
        <w:ind w:left="720" w:hanging="180"/>
      </w:pPr>
      <w:rPr>
        <w:rFonts w:ascii="Symbol" w:hAnsi="Symbol" w:hint="default"/>
      </w:rPr>
    </w:lvl>
    <w:lvl w:ilvl="1" w:tplc="EADC8046">
      <w:numFmt w:val="decimal"/>
      <w:lvlText w:val=""/>
      <w:lvlJc w:val="left"/>
    </w:lvl>
    <w:lvl w:ilvl="2" w:tplc="A0521BEA">
      <w:numFmt w:val="decimal"/>
      <w:lvlText w:val=""/>
      <w:lvlJc w:val="left"/>
    </w:lvl>
    <w:lvl w:ilvl="3" w:tplc="300C972E">
      <w:numFmt w:val="decimal"/>
      <w:lvlText w:val=""/>
      <w:lvlJc w:val="left"/>
    </w:lvl>
    <w:lvl w:ilvl="4" w:tplc="545A6B34">
      <w:numFmt w:val="decimal"/>
      <w:lvlText w:val=""/>
      <w:lvlJc w:val="left"/>
    </w:lvl>
    <w:lvl w:ilvl="5" w:tplc="12FA660C">
      <w:numFmt w:val="decimal"/>
      <w:lvlText w:val=""/>
      <w:lvlJc w:val="left"/>
    </w:lvl>
    <w:lvl w:ilvl="6" w:tplc="59E63324">
      <w:numFmt w:val="decimal"/>
      <w:lvlText w:val=""/>
      <w:lvlJc w:val="left"/>
    </w:lvl>
    <w:lvl w:ilvl="7" w:tplc="7BA4AE42">
      <w:numFmt w:val="decimal"/>
      <w:lvlText w:val=""/>
      <w:lvlJc w:val="left"/>
    </w:lvl>
    <w:lvl w:ilvl="8" w:tplc="8C50493C">
      <w:numFmt w:val="decimal"/>
      <w:lvlText w:val=""/>
      <w:lvlJc w:val="left"/>
    </w:lvl>
  </w:abstractNum>
  <w:abstractNum w:abstractNumId="608" w15:restartNumberingAfterBreak="0">
    <w:nsid w:val="44E25715"/>
    <w:multiLevelType w:val="hybridMultilevel"/>
    <w:tmpl w:val="F6BC283A"/>
    <w:lvl w:ilvl="0" w:tplc="9F5C0000">
      <w:start w:val="1"/>
      <w:numFmt w:val="bullet"/>
      <w:lvlText w:val=""/>
      <w:lvlJc w:val="left"/>
      <w:pPr>
        <w:ind w:left="720" w:hanging="180"/>
      </w:pPr>
      <w:rPr>
        <w:rFonts w:ascii="Symbol" w:hAnsi="Symbol" w:hint="default"/>
      </w:rPr>
    </w:lvl>
    <w:lvl w:ilvl="1" w:tplc="5F966918">
      <w:numFmt w:val="decimal"/>
      <w:lvlText w:val=""/>
      <w:lvlJc w:val="left"/>
    </w:lvl>
    <w:lvl w:ilvl="2" w:tplc="5D3C60F6">
      <w:numFmt w:val="decimal"/>
      <w:lvlText w:val=""/>
      <w:lvlJc w:val="left"/>
    </w:lvl>
    <w:lvl w:ilvl="3" w:tplc="53E63620">
      <w:numFmt w:val="decimal"/>
      <w:lvlText w:val=""/>
      <w:lvlJc w:val="left"/>
    </w:lvl>
    <w:lvl w:ilvl="4" w:tplc="E95E6934">
      <w:numFmt w:val="decimal"/>
      <w:lvlText w:val=""/>
      <w:lvlJc w:val="left"/>
    </w:lvl>
    <w:lvl w:ilvl="5" w:tplc="6D88791C">
      <w:numFmt w:val="decimal"/>
      <w:lvlText w:val=""/>
      <w:lvlJc w:val="left"/>
    </w:lvl>
    <w:lvl w:ilvl="6" w:tplc="AD18E2B6">
      <w:numFmt w:val="decimal"/>
      <w:lvlText w:val=""/>
      <w:lvlJc w:val="left"/>
    </w:lvl>
    <w:lvl w:ilvl="7" w:tplc="0CA8FA42">
      <w:numFmt w:val="decimal"/>
      <w:lvlText w:val=""/>
      <w:lvlJc w:val="left"/>
    </w:lvl>
    <w:lvl w:ilvl="8" w:tplc="6E08C718">
      <w:numFmt w:val="decimal"/>
      <w:lvlText w:val=""/>
      <w:lvlJc w:val="left"/>
    </w:lvl>
  </w:abstractNum>
  <w:abstractNum w:abstractNumId="609" w15:restartNumberingAfterBreak="0">
    <w:nsid w:val="44E6612B"/>
    <w:multiLevelType w:val="hybridMultilevel"/>
    <w:tmpl w:val="11765F44"/>
    <w:lvl w:ilvl="0" w:tplc="23D89CDA">
      <w:start w:val="1"/>
      <w:numFmt w:val="bullet"/>
      <w:lvlText w:val=""/>
      <w:lvlJc w:val="left"/>
      <w:pPr>
        <w:ind w:left="720" w:hanging="180"/>
      </w:pPr>
      <w:rPr>
        <w:rFonts w:ascii="Symbol" w:hAnsi="Symbol" w:hint="default"/>
      </w:rPr>
    </w:lvl>
    <w:lvl w:ilvl="1" w:tplc="C6124FE0">
      <w:numFmt w:val="decimal"/>
      <w:lvlText w:val=""/>
      <w:lvlJc w:val="left"/>
    </w:lvl>
    <w:lvl w:ilvl="2" w:tplc="D6BA5D2A">
      <w:numFmt w:val="decimal"/>
      <w:lvlText w:val=""/>
      <w:lvlJc w:val="left"/>
    </w:lvl>
    <w:lvl w:ilvl="3" w:tplc="8AF69E6E">
      <w:numFmt w:val="decimal"/>
      <w:lvlText w:val=""/>
      <w:lvlJc w:val="left"/>
    </w:lvl>
    <w:lvl w:ilvl="4" w:tplc="8ADA6F58">
      <w:numFmt w:val="decimal"/>
      <w:lvlText w:val=""/>
      <w:lvlJc w:val="left"/>
    </w:lvl>
    <w:lvl w:ilvl="5" w:tplc="232CB206">
      <w:numFmt w:val="decimal"/>
      <w:lvlText w:val=""/>
      <w:lvlJc w:val="left"/>
    </w:lvl>
    <w:lvl w:ilvl="6" w:tplc="0838C212">
      <w:numFmt w:val="decimal"/>
      <w:lvlText w:val=""/>
      <w:lvlJc w:val="left"/>
    </w:lvl>
    <w:lvl w:ilvl="7" w:tplc="D816873E">
      <w:numFmt w:val="decimal"/>
      <w:lvlText w:val=""/>
      <w:lvlJc w:val="left"/>
    </w:lvl>
    <w:lvl w:ilvl="8" w:tplc="DC2C231E">
      <w:numFmt w:val="decimal"/>
      <w:lvlText w:val=""/>
      <w:lvlJc w:val="left"/>
    </w:lvl>
  </w:abstractNum>
  <w:abstractNum w:abstractNumId="610" w15:restartNumberingAfterBreak="0">
    <w:nsid w:val="450D3CA8"/>
    <w:multiLevelType w:val="hybridMultilevel"/>
    <w:tmpl w:val="68248482"/>
    <w:lvl w:ilvl="0" w:tplc="ED3CD500">
      <w:start w:val="1"/>
      <w:numFmt w:val="bullet"/>
      <w:lvlText w:val=""/>
      <w:lvlJc w:val="left"/>
      <w:pPr>
        <w:ind w:left="720" w:hanging="180"/>
      </w:pPr>
      <w:rPr>
        <w:rFonts w:ascii="Symbol" w:hAnsi="Symbol" w:hint="default"/>
      </w:rPr>
    </w:lvl>
    <w:lvl w:ilvl="1" w:tplc="096EFEE4">
      <w:numFmt w:val="decimal"/>
      <w:lvlText w:val=""/>
      <w:lvlJc w:val="left"/>
    </w:lvl>
    <w:lvl w:ilvl="2" w:tplc="2AFA077A">
      <w:numFmt w:val="decimal"/>
      <w:lvlText w:val=""/>
      <w:lvlJc w:val="left"/>
    </w:lvl>
    <w:lvl w:ilvl="3" w:tplc="32B0F076">
      <w:numFmt w:val="decimal"/>
      <w:lvlText w:val=""/>
      <w:lvlJc w:val="left"/>
    </w:lvl>
    <w:lvl w:ilvl="4" w:tplc="705AC972">
      <w:numFmt w:val="decimal"/>
      <w:lvlText w:val=""/>
      <w:lvlJc w:val="left"/>
    </w:lvl>
    <w:lvl w:ilvl="5" w:tplc="C0AC1B82">
      <w:numFmt w:val="decimal"/>
      <w:lvlText w:val=""/>
      <w:lvlJc w:val="left"/>
    </w:lvl>
    <w:lvl w:ilvl="6" w:tplc="B714132E">
      <w:numFmt w:val="decimal"/>
      <w:lvlText w:val=""/>
      <w:lvlJc w:val="left"/>
    </w:lvl>
    <w:lvl w:ilvl="7" w:tplc="4DBEF610">
      <w:numFmt w:val="decimal"/>
      <w:lvlText w:val=""/>
      <w:lvlJc w:val="left"/>
    </w:lvl>
    <w:lvl w:ilvl="8" w:tplc="49662E02">
      <w:numFmt w:val="decimal"/>
      <w:lvlText w:val=""/>
      <w:lvlJc w:val="left"/>
    </w:lvl>
  </w:abstractNum>
  <w:abstractNum w:abstractNumId="611" w15:restartNumberingAfterBreak="0">
    <w:nsid w:val="454406EA"/>
    <w:multiLevelType w:val="hybridMultilevel"/>
    <w:tmpl w:val="FDFE9B6C"/>
    <w:lvl w:ilvl="0" w:tplc="21505824">
      <w:start w:val="1"/>
      <w:numFmt w:val="bullet"/>
      <w:lvlText w:val=""/>
      <w:lvlJc w:val="left"/>
      <w:pPr>
        <w:ind w:left="720" w:hanging="180"/>
      </w:pPr>
      <w:rPr>
        <w:rFonts w:ascii="Symbol" w:hAnsi="Symbol" w:hint="default"/>
      </w:rPr>
    </w:lvl>
    <w:lvl w:ilvl="1" w:tplc="D0EC6B3E">
      <w:numFmt w:val="decimal"/>
      <w:lvlText w:val=""/>
      <w:lvlJc w:val="left"/>
    </w:lvl>
    <w:lvl w:ilvl="2" w:tplc="BCDE29F2">
      <w:numFmt w:val="decimal"/>
      <w:lvlText w:val=""/>
      <w:lvlJc w:val="left"/>
    </w:lvl>
    <w:lvl w:ilvl="3" w:tplc="B57E188C">
      <w:numFmt w:val="decimal"/>
      <w:lvlText w:val=""/>
      <w:lvlJc w:val="left"/>
    </w:lvl>
    <w:lvl w:ilvl="4" w:tplc="06C0732E">
      <w:numFmt w:val="decimal"/>
      <w:lvlText w:val=""/>
      <w:lvlJc w:val="left"/>
    </w:lvl>
    <w:lvl w:ilvl="5" w:tplc="1AD25AF4">
      <w:numFmt w:val="decimal"/>
      <w:lvlText w:val=""/>
      <w:lvlJc w:val="left"/>
    </w:lvl>
    <w:lvl w:ilvl="6" w:tplc="9BD83AD2">
      <w:numFmt w:val="decimal"/>
      <w:lvlText w:val=""/>
      <w:lvlJc w:val="left"/>
    </w:lvl>
    <w:lvl w:ilvl="7" w:tplc="D3CE2638">
      <w:numFmt w:val="decimal"/>
      <w:lvlText w:val=""/>
      <w:lvlJc w:val="left"/>
    </w:lvl>
    <w:lvl w:ilvl="8" w:tplc="851AD82A">
      <w:numFmt w:val="decimal"/>
      <w:lvlText w:val=""/>
      <w:lvlJc w:val="left"/>
    </w:lvl>
  </w:abstractNum>
  <w:abstractNum w:abstractNumId="612" w15:restartNumberingAfterBreak="0">
    <w:nsid w:val="45493CC2"/>
    <w:multiLevelType w:val="hybridMultilevel"/>
    <w:tmpl w:val="570CC6A8"/>
    <w:lvl w:ilvl="0" w:tplc="AB0A4B08">
      <w:start w:val="1"/>
      <w:numFmt w:val="bullet"/>
      <w:lvlText w:val=""/>
      <w:lvlJc w:val="left"/>
      <w:pPr>
        <w:ind w:left="720" w:hanging="180"/>
      </w:pPr>
      <w:rPr>
        <w:rFonts w:ascii="Symbol" w:hAnsi="Symbol" w:hint="default"/>
      </w:rPr>
    </w:lvl>
    <w:lvl w:ilvl="1" w:tplc="CA56FD54">
      <w:numFmt w:val="decimal"/>
      <w:lvlText w:val=""/>
      <w:lvlJc w:val="left"/>
    </w:lvl>
    <w:lvl w:ilvl="2" w:tplc="3560ED70">
      <w:numFmt w:val="decimal"/>
      <w:lvlText w:val=""/>
      <w:lvlJc w:val="left"/>
    </w:lvl>
    <w:lvl w:ilvl="3" w:tplc="9C0882FC">
      <w:numFmt w:val="decimal"/>
      <w:lvlText w:val=""/>
      <w:lvlJc w:val="left"/>
    </w:lvl>
    <w:lvl w:ilvl="4" w:tplc="875A025E">
      <w:numFmt w:val="decimal"/>
      <w:lvlText w:val=""/>
      <w:lvlJc w:val="left"/>
    </w:lvl>
    <w:lvl w:ilvl="5" w:tplc="2384E66C">
      <w:numFmt w:val="decimal"/>
      <w:lvlText w:val=""/>
      <w:lvlJc w:val="left"/>
    </w:lvl>
    <w:lvl w:ilvl="6" w:tplc="56FA05EC">
      <w:numFmt w:val="decimal"/>
      <w:lvlText w:val=""/>
      <w:lvlJc w:val="left"/>
    </w:lvl>
    <w:lvl w:ilvl="7" w:tplc="6C6AAD06">
      <w:numFmt w:val="decimal"/>
      <w:lvlText w:val=""/>
      <w:lvlJc w:val="left"/>
    </w:lvl>
    <w:lvl w:ilvl="8" w:tplc="3162ED22">
      <w:numFmt w:val="decimal"/>
      <w:lvlText w:val=""/>
      <w:lvlJc w:val="left"/>
    </w:lvl>
  </w:abstractNum>
  <w:abstractNum w:abstractNumId="613" w15:restartNumberingAfterBreak="0">
    <w:nsid w:val="45CC74F3"/>
    <w:multiLevelType w:val="hybridMultilevel"/>
    <w:tmpl w:val="B97665E8"/>
    <w:lvl w:ilvl="0" w:tplc="DDD61B30">
      <w:start w:val="1"/>
      <w:numFmt w:val="bullet"/>
      <w:lvlText w:val=""/>
      <w:lvlJc w:val="left"/>
      <w:pPr>
        <w:ind w:left="720" w:hanging="180"/>
      </w:pPr>
      <w:rPr>
        <w:rFonts w:ascii="Symbol" w:hAnsi="Symbol" w:hint="default"/>
      </w:rPr>
    </w:lvl>
    <w:lvl w:ilvl="1" w:tplc="683EADE2">
      <w:numFmt w:val="decimal"/>
      <w:lvlText w:val=""/>
      <w:lvlJc w:val="left"/>
    </w:lvl>
    <w:lvl w:ilvl="2" w:tplc="2ACAE214">
      <w:numFmt w:val="decimal"/>
      <w:lvlText w:val=""/>
      <w:lvlJc w:val="left"/>
    </w:lvl>
    <w:lvl w:ilvl="3" w:tplc="D7080096">
      <w:numFmt w:val="decimal"/>
      <w:lvlText w:val=""/>
      <w:lvlJc w:val="left"/>
    </w:lvl>
    <w:lvl w:ilvl="4" w:tplc="E29CFEC2">
      <w:numFmt w:val="decimal"/>
      <w:lvlText w:val=""/>
      <w:lvlJc w:val="left"/>
    </w:lvl>
    <w:lvl w:ilvl="5" w:tplc="17A0DDC0">
      <w:numFmt w:val="decimal"/>
      <w:lvlText w:val=""/>
      <w:lvlJc w:val="left"/>
    </w:lvl>
    <w:lvl w:ilvl="6" w:tplc="D2861A0E">
      <w:numFmt w:val="decimal"/>
      <w:lvlText w:val=""/>
      <w:lvlJc w:val="left"/>
    </w:lvl>
    <w:lvl w:ilvl="7" w:tplc="111240BC">
      <w:numFmt w:val="decimal"/>
      <w:lvlText w:val=""/>
      <w:lvlJc w:val="left"/>
    </w:lvl>
    <w:lvl w:ilvl="8" w:tplc="C62ADFFA">
      <w:numFmt w:val="decimal"/>
      <w:lvlText w:val=""/>
      <w:lvlJc w:val="left"/>
    </w:lvl>
  </w:abstractNum>
  <w:abstractNum w:abstractNumId="614" w15:restartNumberingAfterBreak="0">
    <w:nsid w:val="45D258C6"/>
    <w:multiLevelType w:val="hybridMultilevel"/>
    <w:tmpl w:val="BBEA9A86"/>
    <w:lvl w:ilvl="0" w:tplc="ACDE302E">
      <w:start w:val="1"/>
      <w:numFmt w:val="bullet"/>
      <w:lvlText w:val=""/>
      <w:lvlJc w:val="left"/>
      <w:pPr>
        <w:ind w:left="720" w:hanging="180"/>
      </w:pPr>
      <w:rPr>
        <w:rFonts w:ascii="Symbol" w:hAnsi="Symbol" w:hint="default"/>
      </w:rPr>
    </w:lvl>
    <w:lvl w:ilvl="1" w:tplc="AE907E60">
      <w:numFmt w:val="decimal"/>
      <w:lvlText w:val=""/>
      <w:lvlJc w:val="left"/>
    </w:lvl>
    <w:lvl w:ilvl="2" w:tplc="C86EC4EE">
      <w:numFmt w:val="decimal"/>
      <w:lvlText w:val=""/>
      <w:lvlJc w:val="left"/>
    </w:lvl>
    <w:lvl w:ilvl="3" w:tplc="72768766">
      <w:numFmt w:val="decimal"/>
      <w:lvlText w:val=""/>
      <w:lvlJc w:val="left"/>
    </w:lvl>
    <w:lvl w:ilvl="4" w:tplc="CBCCDF32">
      <w:numFmt w:val="decimal"/>
      <w:lvlText w:val=""/>
      <w:lvlJc w:val="left"/>
    </w:lvl>
    <w:lvl w:ilvl="5" w:tplc="42F40890">
      <w:numFmt w:val="decimal"/>
      <w:lvlText w:val=""/>
      <w:lvlJc w:val="left"/>
    </w:lvl>
    <w:lvl w:ilvl="6" w:tplc="FB626CA6">
      <w:numFmt w:val="decimal"/>
      <w:lvlText w:val=""/>
      <w:lvlJc w:val="left"/>
    </w:lvl>
    <w:lvl w:ilvl="7" w:tplc="891EBB70">
      <w:numFmt w:val="decimal"/>
      <w:lvlText w:val=""/>
      <w:lvlJc w:val="left"/>
    </w:lvl>
    <w:lvl w:ilvl="8" w:tplc="60843BAA">
      <w:numFmt w:val="decimal"/>
      <w:lvlText w:val=""/>
      <w:lvlJc w:val="left"/>
    </w:lvl>
  </w:abstractNum>
  <w:abstractNum w:abstractNumId="615" w15:restartNumberingAfterBreak="0">
    <w:nsid w:val="45E65AC7"/>
    <w:multiLevelType w:val="hybridMultilevel"/>
    <w:tmpl w:val="85DA7AC2"/>
    <w:lvl w:ilvl="0" w:tplc="FBBAAA00">
      <w:start w:val="1"/>
      <w:numFmt w:val="bullet"/>
      <w:lvlText w:val=""/>
      <w:lvlJc w:val="left"/>
      <w:pPr>
        <w:ind w:left="720" w:hanging="180"/>
      </w:pPr>
      <w:rPr>
        <w:rFonts w:ascii="Symbol" w:hAnsi="Symbol" w:hint="default"/>
      </w:rPr>
    </w:lvl>
    <w:lvl w:ilvl="1" w:tplc="2E500E52">
      <w:numFmt w:val="decimal"/>
      <w:lvlText w:val=""/>
      <w:lvlJc w:val="left"/>
    </w:lvl>
    <w:lvl w:ilvl="2" w:tplc="D6BEEF2A">
      <w:numFmt w:val="decimal"/>
      <w:lvlText w:val=""/>
      <w:lvlJc w:val="left"/>
    </w:lvl>
    <w:lvl w:ilvl="3" w:tplc="D6CC01E2">
      <w:numFmt w:val="decimal"/>
      <w:lvlText w:val=""/>
      <w:lvlJc w:val="left"/>
    </w:lvl>
    <w:lvl w:ilvl="4" w:tplc="A03E1776">
      <w:numFmt w:val="decimal"/>
      <w:lvlText w:val=""/>
      <w:lvlJc w:val="left"/>
    </w:lvl>
    <w:lvl w:ilvl="5" w:tplc="77569B18">
      <w:numFmt w:val="decimal"/>
      <w:lvlText w:val=""/>
      <w:lvlJc w:val="left"/>
    </w:lvl>
    <w:lvl w:ilvl="6" w:tplc="923A47E8">
      <w:numFmt w:val="decimal"/>
      <w:lvlText w:val=""/>
      <w:lvlJc w:val="left"/>
    </w:lvl>
    <w:lvl w:ilvl="7" w:tplc="FB92D76C">
      <w:numFmt w:val="decimal"/>
      <w:lvlText w:val=""/>
      <w:lvlJc w:val="left"/>
    </w:lvl>
    <w:lvl w:ilvl="8" w:tplc="CA722744">
      <w:numFmt w:val="decimal"/>
      <w:lvlText w:val=""/>
      <w:lvlJc w:val="left"/>
    </w:lvl>
  </w:abstractNum>
  <w:abstractNum w:abstractNumId="616" w15:restartNumberingAfterBreak="0">
    <w:nsid w:val="45F751CD"/>
    <w:multiLevelType w:val="hybridMultilevel"/>
    <w:tmpl w:val="B810CE96"/>
    <w:lvl w:ilvl="0" w:tplc="E5A48688">
      <w:start w:val="1"/>
      <w:numFmt w:val="bullet"/>
      <w:lvlText w:val=""/>
      <w:lvlJc w:val="left"/>
      <w:pPr>
        <w:ind w:left="720" w:hanging="180"/>
      </w:pPr>
      <w:rPr>
        <w:rFonts w:ascii="Symbol" w:hAnsi="Symbol" w:hint="default"/>
      </w:rPr>
    </w:lvl>
    <w:lvl w:ilvl="1" w:tplc="893AFC88">
      <w:numFmt w:val="decimal"/>
      <w:lvlText w:val=""/>
      <w:lvlJc w:val="left"/>
    </w:lvl>
    <w:lvl w:ilvl="2" w:tplc="8D322888">
      <w:numFmt w:val="decimal"/>
      <w:lvlText w:val=""/>
      <w:lvlJc w:val="left"/>
    </w:lvl>
    <w:lvl w:ilvl="3" w:tplc="33DCDBBA">
      <w:numFmt w:val="decimal"/>
      <w:lvlText w:val=""/>
      <w:lvlJc w:val="left"/>
    </w:lvl>
    <w:lvl w:ilvl="4" w:tplc="E9AAA00A">
      <w:numFmt w:val="decimal"/>
      <w:lvlText w:val=""/>
      <w:lvlJc w:val="left"/>
    </w:lvl>
    <w:lvl w:ilvl="5" w:tplc="11C40FC4">
      <w:numFmt w:val="decimal"/>
      <w:lvlText w:val=""/>
      <w:lvlJc w:val="left"/>
    </w:lvl>
    <w:lvl w:ilvl="6" w:tplc="47620332">
      <w:numFmt w:val="decimal"/>
      <w:lvlText w:val=""/>
      <w:lvlJc w:val="left"/>
    </w:lvl>
    <w:lvl w:ilvl="7" w:tplc="E3E2E362">
      <w:numFmt w:val="decimal"/>
      <w:lvlText w:val=""/>
      <w:lvlJc w:val="left"/>
    </w:lvl>
    <w:lvl w:ilvl="8" w:tplc="AACA9ADC">
      <w:numFmt w:val="decimal"/>
      <w:lvlText w:val=""/>
      <w:lvlJc w:val="left"/>
    </w:lvl>
  </w:abstractNum>
  <w:abstractNum w:abstractNumId="617" w15:restartNumberingAfterBreak="0">
    <w:nsid w:val="46141F8F"/>
    <w:multiLevelType w:val="hybridMultilevel"/>
    <w:tmpl w:val="F3220022"/>
    <w:lvl w:ilvl="0" w:tplc="7CAEBD6C">
      <w:start w:val="1"/>
      <w:numFmt w:val="bullet"/>
      <w:lvlText w:val=""/>
      <w:lvlJc w:val="left"/>
      <w:pPr>
        <w:ind w:left="720" w:hanging="180"/>
      </w:pPr>
      <w:rPr>
        <w:rFonts w:ascii="Symbol" w:hAnsi="Symbol" w:hint="default"/>
      </w:rPr>
    </w:lvl>
    <w:lvl w:ilvl="1" w:tplc="72908E62">
      <w:numFmt w:val="decimal"/>
      <w:lvlText w:val=""/>
      <w:lvlJc w:val="left"/>
    </w:lvl>
    <w:lvl w:ilvl="2" w:tplc="F2380B70">
      <w:numFmt w:val="decimal"/>
      <w:lvlText w:val=""/>
      <w:lvlJc w:val="left"/>
    </w:lvl>
    <w:lvl w:ilvl="3" w:tplc="3592A5A8">
      <w:numFmt w:val="decimal"/>
      <w:lvlText w:val=""/>
      <w:lvlJc w:val="left"/>
    </w:lvl>
    <w:lvl w:ilvl="4" w:tplc="B4FC95EC">
      <w:numFmt w:val="decimal"/>
      <w:lvlText w:val=""/>
      <w:lvlJc w:val="left"/>
    </w:lvl>
    <w:lvl w:ilvl="5" w:tplc="FC68A72A">
      <w:numFmt w:val="decimal"/>
      <w:lvlText w:val=""/>
      <w:lvlJc w:val="left"/>
    </w:lvl>
    <w:lvl w:ilvl="6" w:tplc="9E603A48">
      <w:numFmt w:val="decimal"/>
      <w:lvlText w:val=""/>
      <w:lvlJc w:val="left"/>
    </w:lvl>
    <w:lvl w:ilvl="7" w:tplc="66E03980">
      <w:numFmt w:val="decimal"/>
      <w:lvlText w:val=""/>
      <w:lvlJc w:val="left"/>
    </w:lvl>
    <w:lvl w:ilvl="8" w:tplc="5B6221F8">
      <w:numFmt w:val="decimal"/>
      <w:lvlText w:val=""/>
      <w:lvlJc w:val="left"/>
    </w:lvl>
  </w:abstractNum>
  <w:abstractNum w:abstractNumId="618" w15:restartNumberingAfterBreak="0">
    <w:nsid w:val="46294894"/>
    <w:multiLevelType w:val="hybridMultilevel"/>
    <w:tmpl w:val="1196FFF6"/>
    <w:lvl w:ilvl="0" w:tplc="0770BABA">
      <w:start w:val="1"/>
      <w:numFmt w:val="bullet"/>
      <w:lvlText w:val=""/>
      <w:lvlJc w:val="left"/>
      <w:pPr>
        <w:ind w:left="720" w:hanging="180"/>
      </w:pPr>
      <w:rPr>
        <w:rFonts w:ascii="Symbol" w:hAnsi="Symbol" w:hint="default"/>
      </w:rPr>
    </w:lvl>
    <w:lvl w:ilvl="1" w:tplc="14C40182">
      <w:numFmt w:val="decimal"/>
      <w:lvlText w:val=""/>
      <w:lvlJc w:val="left"/>
    </w:lvl>
    <w:lvl w:ilvl="2" w:tplc="375C1E6C">
      <w:numFmt w:val="decimal"/>
      <w:lvlText w:val=""/>
      <w:lvlJc w:val="left"/>
    </w:lvl>
    <w:lvl w:ilvl="3" w:tplc="5EBCC3B0">
      <w:numFmt w:val="decimal"/>
      <w:lvlText w:val=""/>
      <w:lvlJc w:val="left"/>
    </w:lvl>
    <w:lvl w:ilvl="4" w:tplc="BF222488">
      <w:numFmt w:val="decimal"/>
      <w:lvlText w:val=""/>
      <w:lvlJc w:val="left"/>
    </w:lvl>
    <w:lvl w:ilvl="5" w:tplc="F496AF56">
      <w:numFmt w:val="decimal"/>
      <w:lvlText w:val=""/>
      <w:lvlJc w:val="left"/>
    </w:lvl>
    <w:lvl w:ilvl="6" w:tplc="EE6A06BE">
      <w:numFmt w:val="decimal"/>
      <w:lvlText w:val=""/>
      <w:lvlJc w:val="left"/>
    </w:lvl>
    <w:lvl w:ilvl="7" w:tplc="EA02E9FA">
      <w:numFmt w:val="decimal"/>
      <w:lvlText w:val=""/>
      <w:lvlJc w:val="left"/>
    </w:lvl>
    <w:lvl w:ilvl="8" w:tplc="D21E69E0">
      <w:numFmt w:val="decimal"/>
      <w:lvlText w:val=""/>
      <w:lvlJc w:val="left"/>
    </w:lvl>
  </w:abstractNum>
  <w:abstractNum w:abstractNumId="619" w15:restartNumberingAfterBreak="0">
    <w:nsid w:val="464455AE"/>
    <w:multiLevelType w:val="hybridMultilevel"/>
    <w:tmpl w:val="53729B50"/>
    <w:lvl w:ilvl="0" w:tplc="B628B606">
      <w:start w:val="1"/>
      <w:numFmt w:val="bullet"/>
      <w:lvlText w:val=""/>
      <w:lvlJc w:val="left"/>
      <w:pPr>
        <w:ind w:left="720" w:hanging="180"/>
      </w:pPr>
      <w:rPr>
        <w:rFonts w:ascii="Symbol" w:hAnsi="Symbol" w:hint="default"/>
      </w:rPr>
    </w:lvl>
    <w:lvl w:ilvl="1" w:tplc="AD9608AE">
      <w:numFmt w:val="decimal"/>
      <w:lvlText w:val=""/>
      <w:lvlJc w:val="left"/>
    </w:lvl>
    <w:lvl w:ilvl="2" w:tplc="3DE62846">
      <w:numFmt w:val="decimal"/>
      <w:lvlText w:val=""/>
      <w:lvlJc w:val="left"/>
    </w:lvl>
    <w:lvl w:ilvl="3" w:tplc="5456DD26">
      <w:numFmt w:val="decimal"/>
      <w:lvlText w:val=""/>
      <w:lvlJc w:val="left"/>
    </w:lvl>
    <w:lvl w:ilvl="4" w:tplc="7EF4BEDC">
      <w:numFmt w:val="decimal"/>
      <w:lvlText w:val=""/>
      <w:lvlJc w:val="left"/>
    </w:lvl>
    <w:lvl w:ilvl="5" w:tplc="A0C8BAA4">
      <w:numFmt w:val="decimal"/>
      <w:lvlText w:val=""/>
      <w:lvlJc w:val="left"/>
    </w:lvl>
    <w:lvl w:ilvl="6" w:tplc="93B06358">
      <w:numFmt w:val="decimal"/>
      <w:lvlText w:val=""/>
      <w:lvlJc w:val="left"/>
    </w:lvl>
    <w:lvl w:ilvl="7" w:tplc="856CF36E">
      <w:numFmt w:val="decimal"/>
      <w:lvlText w:val=""/>
      <w:lvlJc w:val="left"/>
    </w:lvl>
    <w:lvl w:ilvl="8" w:tplc="4D44BABA">
      <w:numFmt w:val="decimal"/>
      <w:lvlText w:val=""/>
      <w:lvlJc w:val="left"/>
    </w:lvl>
  </w:abstractNum>
  <w:abstractNum w:abstractNumId="620" w15:restartNumberingAfterBreak="0">
    <w:nsid w:val="467F3B0F"/>
    <w:multiLevelType w:val="hybridMultilevel"/>
    <w:tmpl w:val="EEA017FC"/>
    <w:lvl w:ilvl="0" w:tplc="8132DF64">
      <w:start w:val="1"/>
      <w:numFmt w:val="bullet"/>
      <w:lvlText w:val=""/>
      <w:lvlJc w:val="left"/>
      <w:pPr>
        <w:ind w:left="720" w:hanging="180"/>
      </w:pPr>
      <w:rPr>
        <w:rFonts w:ascii="Symbol" w:hAnsi="Symbol" w:hint="default"/>
      </w:rPr>
    </w:lvl>
    <w:lvl w:ilvl="1" w:tplc="BA26B734">
      <w:numFmt w:val="decimal"/>
      <w:lvlText w:val=""/>
      <w:lvlJc w:val="left"/>
    </w:lvl>
    <w:lvl w:ilvl="2" w:tplc="DDDCC3E2">
      <w:numFmt w:val="decimal"/>
      <w:lvlText w:val=""/>
      <w:lvlJc w:val="left"/>
    </w:lvl>
    <w:lvl w:ilvl="3" w:tplc="6ECE4922">
      <w:numFmt w:val="decimal"/>
      <w:lvlText w:val=""/>
      <w:lvlJc w:val="left"/>
    </w:lvl>
    <w:lvl w:ilvl="4" w:tplc="1290616A">
      <w:numFmt w:val="decimal"/>
      <w:lvlText w:val=""/>
      <w:lvlJc w:val="left"/>
    </w:lvl>
    <w:lvl w:ilvl="5" w:tplc="7A72F220">
      <w:numFmt w:val="decimal"/>
      <w:lvlText w:val=""/>
      <w:lvlJc w:val="left"/>
    </w:lvl>
    <w:lvl w:ilvl="6" w:tplc="434C4FBA">
      <w:numFmt w:val="decimal"/>
      <w:lvlText w:val=""/>
      <w:lvlJc w:val="left"/>
    </w:lvl>
    <w:lvl w:ilvl="7" w:tplc="18C6E730">
      <w:numFmt w:val="decimal"/>
      <w:lvlText w:val=""/>
      <w:lvlJc w:val="left"/>
    </w:lvl>
    <w:lvl w:ilvl="8" w:tplc="CEFAED12">
      <w:numFmt w:val="decimal"/>
      <w:lvlText w:val=""/>
      <w:lvlJc w:val="left"/>
    </w:lvl>
  </w:abstractNum>
  <w:abstractNum w:abstractNumId="621" w15:restartNumberingAfterBreak="0">
    <w:nsid w:val="46805567"/>
    <w:multiLevelType w:val="hybridMultilevel"/>
    <w:tmpl w:val="106C3FF6"/>
    <w:lvl w:ilvl="0" w:tplc="1CD80EE4">
      <w:start w:val="1"/>
      <w:numFmt w:val="bullet"/>
      <w:lvlText w:val=""/>
      <w:lvlJc w:val="left"/>
      <w:pPr>
        <w:ind w:left="720" w:hanging="180"/>
      </w:pPr>
      <w:rPr>
        <w:rFonts w:ascii="Symbol" w:hAnsi="Symbol" w:hint="default"/>
      </w:rPr>
    </w:lvl>
    <w:lvl w:ilvl="1" w:tplc="9E34B3CE">
      <w:numFmt w:val="decimal"/>
      <w:lvlText w:val=""/>
      <w:lvlJc w:val="left"/>
    </w:lvl>
    <w:lvl w:ilvl="2" w:tplc="59CE8590">
      <w:numFmt w:val="decimal"/>
      <w:lvlText w:val=""/>
      <w:lvlJc w:val="left"/>
    </w:lvl>
    <w:lvl w:ilvl="3" w:tplc="6E9CB2E2">
      <w:numFmt w:val="decimal"/>
      <w:lvlText w:val=""/>
      <w:lvlJc w:val="left"/>
    </w:lvl>
    <w:lvl w:ilvl="4" w:tplc="3B5A6FD8">
      <w:numFmt w:val="decimal"/>
      <w:lvlText w:val=""/>
      <w:lvlJc w:val="left"/>
    </w:lvl>
    <w:lvl w:ilvl="5" w:tplc="2BB408F2">
      <w:numFmt w:val="decimal"/>
      <w:lvlText w:val=""/>
      <w:lvlJc w:val="left"/>
    </w:lvl>
    <w:lvl w:ilvl="6" w:tplc="80247468">
      <w:numFmt w:val="decimal"/>
      <w:lvlText w:val=""/>
      <w:lvlJc w:val="left"/>
    </w:lvl>
    <w:lvl w:ilvl="7" w:tplc="5CA4581A">
      <w:numFmt w:val="decimal"/>
      <w:lvlText w:val=""/>
      <w:lvlJc w:val="left"/>
    </w:lvl>
    <w:lvl w:ilvl="8" w:tplc="7406A67A">
      <w:numFmt w:val="decimal"/>
      <w:lvlText w:val=""/>
      <w:lvlJc w:val="left"/>
    </w:lvl>
  </w:abstractNum>
  <w:abstractNum w:abstractNumId="622" w15:restartNumberingAfterBreak="0">
    <w:nsid w:val="46B4338C"/>
    <w:multiLevelType w:val="hybridMultilevel"/>
    <w:tmpl w:val="9D0656B0"/>
    <w:lvl w:ilvl="0" w:tplc="2F2AD6FC">
      <w:start w:val="1"/>
      <w:numFmt w:val="bullet"/>
      <w:lvlText w:val=""/>
      <w:lvlJc w:val="left"/>
      <w:pPr>
        <w:ind w:left="720" w:hanging="180"/>
      </w:pPr>
      <w:rPr>
        <w:rFonts w:ascii="Symbol" w:hAnsi="Symbol" w:hint="default"/>
      </w:rPr>
    </w:lvl>
    <w:lvl w:ilvl="1" w:tplc="15FCBD5E">
      <w:numFmt w:val="decimal"/>
      <w:lvlText w:val=""/>
      <w:lvlJc w:val="left"/>
    </w:lvl>
    <w:lvl w:ilvl="2" w:tplc="5A003698">
      <w:numFmt w:val="decimal"/>
      <w:lvlText w:val=""/>
      <w:lvlJc w:val="left"/>
    </w:lvl>
    <w:lvl w:ilvl="3" w:tplc="EAD47022">
      <w:numFmt w:val="decimal"/>
      <w:lvlText w:val=""/>
      <w:lvlJc w:val="left"/>
    </w:lvl>
    <w:lvl w:ilvl="4" w:tplc="470A9DAC">
      <w:numFmt w:val="decimal"/>
      <w:lvlText w:val=""/>
      <w:lvlJc w:val="left"/>
    </w:lvl>
    <w:lvl w:ilvl="5" w:tplc="3E4EAF94">
      <w:numFmt w:val="decimal"/>
      <w:lvlText w:val=""/>
      <w:lvlJc w:val="left"/>
    </w:lvl>
    <w:lvl w:ilvl="6" w:tplc="4D4839B6">
      <w:numFmt w:val="decimal"/>
      <w:lvlText w:val=""/>
      <w:lvlJc w:val="left"/>
    </w:lvl>
    <w:lvl w:ilvl="7" w:tplc="521C5B70">
      <w:numFmt w:val="decimal"/>
      <w:lvlText w:val=""/>
      <w:lvlJc w:val="left"/>
    </w:lvl>
    <w:lvl w:ilvl="8" w:tplc="33E2B6F0">
      <w:numFmt w:val="decimal"/>
      <w:lvlText w:val=""/>
      <w:lvlJc w:val="left"/>
    </w:lvl>
  </w:abstractNum>
  <w:abstractNum w:abstractNumId="623" w15:restartNumberingAfterBreak="0">
    <w:nsid w:val="46D2297B"/>
    <w:multiLevelType w:val="hybridMultilevel"/>
    <w:tmpl w:val="139E092A"/>
    <w:lvl w:ilvl="0" w:tplc="FC68D96A">
      <w:start w:val="1"/>
      <w:numFmt w:val="bullet"/>
      <w:lvlText w:val=""/>
      <w:lvlJc w:val="left"/>
      <w:pPr>
        <w:ind w:left="720" w:hanging="180"/>
      </w:pPr>
      <w:rPr>
        <w:rFonts w:ascii="Symbol" w:hAnsi="Symbol" w:hint="default"/>
      </w:rPr>
    </w:lvl>
    <w:lvl w:ilvl="1" w:tplc="581ED0A8">
      <w:numFmt w:val="decimal"/>
      <w:lvlText w:val=""/>
      <w:lvlJc w:val="left"/>
    </w:lvl>
    <w:lvl w:ilvl="2" w:tplc="44FA8D58">
      <w:numFmt w:val="decimal"/>
      <w:lvlText w:val=""/>
      <w:lvlJc w:val="left"/>
    </w:lvl>
    <w:lvl w:ilvl="3" w:tplc="E8D6D842">
      <w:numFmt w:val="decimal"/>
      <w:lvlText w:val=""/>
      <w:lvlJc w:val="left"/>
    </w:lvl>
    <w:lvl w:ilvl="4" w:tplc="192C3570">
      <w:numFmt w:val="decimal"/>
      <w:lvlText w:val=""/>
      <w:lvlJc w:val="left"/>
    </w:lvl>
    <w:lvl w:ilvl="5" w:tplc="9424989C">
      <w:numFmt w:val="decimal"/>
      <w:lvlText w:val=""/>
      <w:lvlJc w:val="left"/>
    </w:lvl>
    <w:lvl w:ilvl="6" w:tplc="250A43F0">
      <w:numFmt w:val="decimal"/>
      <w:lvlText w:val=""/>
      <w:lvlJc w:val="left"/>
    </w:lvl>
    <w:lvl w:ilvl="7" w:tplc="B56EBEC4">
      <w:numFmt w:val="decimal"/>
      <w:lvlText w:val=""/>
      <w:lvlJc w:val="left"/>
    </w:lvl>
    <w:lvl w:ilvl="8" w:tplc="FD0EACBC">
      <w:numFmt w:val="decimal"/>
      <w:lvlText w:val=""/>
      <w:lvlJc w:val="left"/>
    </w:lvl>
  </w:abstractNum>
  <w:abstractNum w:abstractNumId="624" w15:restartNumberingAfterBreak="0">
    <w:nsid w:val="46E73D63"/>
    <w:multiLevelType w:val="hybridMultilevel"/>
    <w:tmpl w:val="9EE2AEE4"/>
    <w:lvl w:ilvl="0" w:tplc="12CC75CE">
      <w:start w:val="1"/>
      <w:numFmt w:val="bullet"/>
      <w:lvlText w:val=""/>
      <w:lvlJc w:val="left"/>
      <w:pPr>
        <w:ind w:left="720" w:hanging="180"/>
      </w:pPr>
      <w:rPr>
        <w:rFonts w:ascii="Symbol" w:hAnsi="Symbol" w:hint="default"/>
      </w:rPr>
    </w:lvl>
    <w:lvl w:ilvl="1" w:tplc="BEB2608A">
      <w:numFmt w:val="decimal"/>
      <w:lvlText w:val=""/>
      <w:lvlJc w:val="left"/>
    </w:lvl>
    <w:lvl w:ilvl="2" w:tplc="EC92572E">
      <w:numFmt w:val="decimal"/>
      <w:lvlText w:val=""/>
      <w:lvlJc w:val="left"/>
    </w:lvl>
    <w:lvl w:ilvl="3" w:tplc="1228E424">
      <w:numFmt w:val="decimal"/>
      <w:lvlText w:val=""/>
      <w:lvlJc w:val="left"/>
    </w:lvl>
    <w:lvl w:ilvl="4" w:tplc="BC3AA652">
      <w:numFmt w:val="decimal"/>
      <w:lvlText w:val=""/>
      <w:lvlJc w:val="left"/>
    </w:lvl>
    <w:lvl w:ilvl="5" w:tplc="418019F0">
      <w:numFmt w:val="decimal"/>
      <w:lvlText w:val=""/>
      <w:lvlJc w:val="left"/>
    </w:lvl>
    <w:lvl w:ilvl="6" w:tplc="4EB25440">
      <w:numFmt w:val="decimal"/>
      <w:lvlText w:val=""/>
      <w:lvlJc w:val="left"/>
    </w:lvl>
    <w:lvl w:ilvl="7" w:tplc="B064A2CC">
      <w:numFmt w:val="decimal"/>
      <w:lvlText w:val=""/>
      <w:lvlJc w:val="left"/>
    </w:lvl>
    <w:lvl w:ilvl="8" w:tplc="E4BA4C70">
      <w:numFmt w:val="decimal"/>
      <w:lvlText w:val=""/>
      <w:lvlJc w:val="left"/>
    </w:lvl>
  </w:abstractNum>
  <w:abstractNum w:abstractNumId="625" w15:restartNumberingAfterBreak="0">
    <w:nsid w:val="46E80737"/>
    <w:multiLevelType w:val="hybridMultilevel"/>
    <w:tmpl w:val="0F4AC6A6"/>
    <w:lvl w:ilvl="0" w:tplc="7C5A1FE2">
      <w:start w:val="1"/>
      <w:numFmt w:val="bullet"/>
      <w:lvlText w:val=""/>
      <w:lvlJc w:val="left"/>
      <w:pPr>
        <w:ind w:left="720" w:hanging="180"/>
      </w:pPr>
      <w:rPr>
        <w:rFonts w:ascii="Symbol" w:hAnsi="Symbol" w:hint="default"/>
      </w:rPr>
    </w:lvl>
    <w:lvl w:ilvl="1" w:tplc="A1D29424">
      <w:numFmt w:val="decimal"/>
      <w:lvlText w:val=""/>
      <w:lvlJc w:val="left"/>
    </w:lvl>
    <w:lvl w:ilvl="2" w:tplc="9AA41BF6">
      <w:numFmt w:val="decimal"/>
      <w:lvlText w:val=""/>
      <w:lvlJc w:val="left"/>
    </w:lvl>
    <w:lvl w:ilvl="3" w:tplc="EDB6E732">
      <w:numFmt w:val="decimal"/>
      <w:lvlText w:val=""/>
      <w:lvlJc w:val="left"/>
    </w:lvl>
    <w:lvl w:ilvl="4" w:tplc="F0B03C04">
      <w:numFmt w:val="decimal"/>
      <w:lvlText w:val=""/>
      <w:lvlJc w:val="left"/>
    </w:lvl>
    <w:lvl w:ilvl="5" w:tplc="F2B237FA">
      <w:numFmt w:val="decimal"/>
      <w:lvlText w:val=""/>
      <w:lvlJc w:val="left"/>
    </w:lvl>
    <w:lvl w:ilvl="6" w:tplc="F0BE404A">
      <w:numFmt w:val="decimal"/>
      <w:lvlText w:val=""/>
      <w:lvlJc w:val="left"/>
    </w:lvl>
    <w:lvl w:ilvl="7" w:tplc="AD900748">
      <w:numFmt w:val="decimal"/>
      <w:lvlText w:val=""/>
      <w:lvlJc w:val="left"/>
    </w:lvl>
    <w:lvl w:ilvl="8" w:tplc="AEFCA57A">
      <w:numFmt w:val="decimal"/>
      <w:lvlText w:val=""/>
      <w:lvlJc w:val="left"/>
    </w:lvl>
  </w:abstractNum>
  <w:abstractNum w:abstractNumId="626" w15:restartNumberingAfterBreak="0">
    <w:nsid w:val="47252560"/>
    <w:multiLevelType w:val="hybridMultilevel"/>
    <w:tmpl w:val="20F8216E"/>
    <w:lvl w:ilvl="0" w:tplc="D2B03A5C">
      <w:start w:val="1"/>
      <w:numFmt w:val="bullet"/>
      <w:lvlText w:val=""/>
      <w:lvlJc w:val="left"/>
      <w:pPr>
        <w:ind w:left="720" w:hanging="180"/>
      </w:pPr>
      <w:rPr>
        <w:rFonts w:ascii="Symbol" w:hAnsi="Symbol" w:hint="default"/>
      </w:rPr>
    </w:lvl>
    <w:lvl w:ilvl="1" w:tplc="318A0A48">
      <w:numFmt w:val="decimal"/>
      <w:lvlText w:val=""/>
      <w:lvlJc w:val="left"/>
    </w:lvl>
    <w:lvl w:ilvl="2" w:tplc="D0BC392E">
      <w:numFmt w:val="decimal"/>
      <w:lvlText w:val=""/>
      <w:lvlJc w:val="left"/>
    </w:lvl>
    <w:lvl w:ilvl="3" w:tplc="18A6F172">
      <w:numFmt w:val="decimal"/>
      <w:lvlText w:val=""/>
      <w:lvlJc w:val="left"/>
    </w:lvl>
    <w:lvl w:ilvl="4" w:tplc="24DEB96C">
      <w:numFmt w:val="decimal"/>
      <w:lvlText w:val=""/>
      <w:lvlJc w:val="left"/>
    </w:lvl>
    <w:lvl w:ilvl="5" w:tplc="DD825790">
      <w:numFmt w:val="decimal"/>
      <w:lvlText w:val=""/>
      <w:lvlJc w:val="left"/>
    </w:lvl>
    <w:lvl w:ilvl="6" w:tplc="8E48DC80">
      <w:numFmt w:val="decimal"/>
      <w:lvlText w:val=""/>
      <w:lvlJc w:val="left"/>
    </w:lvl>
    <w:lvl w:ilvl="7" w:tplc="A5145946">
      <w:numFmt w:val="decimal"/>
      <w:lvlText w:val=""/>
      <w:lvlJc w:val="left"/>
    </w:lvl>
    <w:lvl w:ilvl="8" w:tplc="446A00CC">
      <w:numFmt w:val="decimal"/>
      <w:lvlText w:val=""/>
      <w:lvlJc w:val="left"/>
    </w:lvl>
  </w:abstractNum>
  <w:abstractNum w:abstractNumId="627" w15:restartNumberingAfterBreak="0">
    <w:nsid w:val="472D512F"/>
    <w:multiLevelType w:val="hybridMultilevel"/>
    <w:tmpl w:val="747AE114"/>
    <w:lvl w:ilvl="0" w:tplc="3A44B356">
      <w:start w:val="1"/>
      <w:numFmt w:val="bullet"/>
      <w:lvlText w:val=""/>
      <w:lvlJc w:val="left"/>
      <w:pPr>
        <w:ind w:left="720" w:hanging="180"/>
      </w:pPr>
      <w:rPr>
        <w:rFonts w:ascii="Symbol" w:hAnsi="Symbol" w:hint="default"/>
      </w:rPr>
    </w:lvl>
    <w:lvl w:ilvl="1" w:tplc="607E4594">
      <w:numFmt w:val="decimal"/>
      <w:lvlText w:val=""/>
      <w:lvlJc w:val="left"/>
    </w:lvl>
    <w:lvl w:ilvl="2" w:tplc="8F20432E">
      <w:numFmt w:val="decimal"/>
      <w:lvlText w:val=""/>
      <w:lvlJc w:val="left"/>
    </w:lvl>
    <w:lvl w:ilvl="3" w:tplc="CA3C16AE">
      <w:numFmt w:val="decimal"/>
      <w:lvlText w:val=""/>
      <w:lvlJc w:val="left"/>
    </w:lvl>
    <w:lvl w:ilvl="4" w:tplc="96023D1A">
      <w:numFmt w:val="decimal"/>
      <w:lvlText w:val=""/>
      <w:lvlJc w:val="left"/>
    </w:lvl>
    <w:lvl w:ilvl="5" w:tplc="9F261F94">
      <w:numFmt w:val="decimal"/>
      <w:lvlText w:val=""/>
      <w:lvlJc w:val="left"/>
    </w:lvl>
    <w:lvl w:ilvl="6" w:tplc="B9B4AB74">
      <w:numFmt w:val="decimal"/>
      <w:lvlText w:val=""/>
      <w:lvlJc w:val="left"/>
    </w:lvl>
    <w:lvl w:ilvl="7" w:tplc="0540A948">
      <w:numFmt w:val="decimal"/>
      <w:lvlText w:val=""/>
      <w:lvlJc w:val="left"/>
    </w:lvl>
    <w:lvl w:ilvl="8" w:tplc="D2DAB002">
      <w:numFmt w:val="decimal"/>
      <w:lvlText w:val=""/>
      <w:lvlJc w:val="left"/>
    </w:lvl>
  </w:abstractNum>
  <w:abstractNum w:abstractNumId="628" w15:restartNumberingAfterBreak="0">
    <w:nsid w:val="47320624"/>
    <w:multiLevelType w:val="hybridMultilevel"/>
    <w:tmpl w:val="A3E65656"/>
    <w:lvl w:ilvl="0" w:tplc="A828A334">
      <w:start w:val="1"/>
      <w:numFmt w:val="bullet"/>
      <w:lvlText w:val=""/>
      <w:lvlJc w:val="left"/>
      <w:pPr>
        <w:ind w:left="720" w:hanging="180"/>
      </w:pPr>
      <w:rPr>
        <w:rFonts w:ascii="Symbol" w:hAnsi="Symbol" w:hint="default"/>
      </w:rPr>
    </w:lvl>
    <w:lvl w:ilvl="1" w:tplc="705E4920">
      <w:numFmt w:val="decimal"/>
      <w:lvlText w:val=""/>
      <w:lvlJc w:val="left"/>
    </w:lvl>
    <w:lvl w:ilvl="2" w:tplc="D19E2782">
      <w:numFmt w:val="decimal"/>
      <w:lvlText w:val=""/>
      <w:lvlJc w:val="left"/>
    </w:lvl>
    <w:lvl w:ilvl="3" w:tplc="20908A7A">
      <w:numFmt w:val="decimal"/>
      <w:lvlText w:val=""/>
      <w:lvlJc w:val="left"/>
    </w:lvl>
    <w:lvl w:ilvl="4" w:tplc="0DA0F660">
      <w:numFmt w:val="decimal"/>
      <w:lvlText w:val=""/>
      <w:lvlJc w:val="left"/>
    </w:lvl>
    <w:lvl w:ilvl="5" w:tplc="687A69AC">
      <w:numFmt w:val="decimal"/>
      <w:lvlText w:val=""/>
      <w:lvlJc w:val="left"/>
    </w:lvl>
    <w:lvl w:ilvl="6" w:tplc="42F2CDE2">
      <w:numFmt w:val="decimal"/>
      <w:lvlText w:val=""/>
      <w:lvlJc w:val="left"/>
    </w:lvl>
    <w:lvl w:ilvl="7" w:tplc="EA80BE0C">
      <w:numFmt w:val="decimal"/>
      <w:lvlText w:val=""/>
      <w:lvlJc w:val="left"/>
    </w:lvl>
    <w:lvl w:ilvl="8" w:tplc="63565D4E">
      <w:numFmt w:val="decimal"/>
      <w:lvlText w:val=""/>
      <w:lvlJc w:val="left"/>
    </w:lvl>
  </w:abstractNum>
  <w:abstractNum w:abstractNumId="629" w15:restartNumberingAfterBreak="0">
    <w:nsid w:val="473924D6"/>
    <w:multiLevelType w:val="hybridMultilevel"/>
    <w:tmpl w:val="BFF6B8D4"/>
    <w:lvl w:ilvl="0" w:tplc="47FCFE88">
      <w:start w:val="1"/>
      <w:numFmt w:val="bullet"/>
      <w:lvlText w:val=""/>
      <w:lvlJc w:val="left"/>
      <w:pPr>
        <w:ind w:left="720" w:hanging="180"/>
      </w:pPr>
      <w:rPr>
        <w:rFonts w:ascii="Symbol" w:hAnsi="Symbol" w:hint="default"/>
      </w:rPr>
    </w:lvl>
    <w:lvl w:ilvl="1" w:tplc="5BD6A34E">
      <w:numFmt w:val="decimal"/>
      <w:lvlText w:val=""/>
      <w:lvlJc w:val="left"/>
    </w:lvl>
    <w:lvl w:ilvl="2" w:tplc="5AB8AE32">
      <w:numFmt w:val="decimal"/>
      <w:lvlText w:val=""/>
      <w:lvlJc w:val="left"/>
    </w:lvl>
    <w:lvl w:ilvl="3" w:tplc="40C652F0">
      <w:numFmt w:val="decimal"/>
      <w:lvlText w:val=""/>
      <w:lvlJc w:val="left"/>
    </w:lvl>
    <w:lvl w:ilvl="4" w:tplc="2C565D5C">
      <w:numFmt w:val="decimal"/>
      <w:lvlText w:val=""/>
      <w:lvlJc w:val="left"/>
    </w:lvl>
    <w:lvl w:ilvl="5" w:tplc="30D26E4E">
      <w:numFmt w:val="decimal"/>
      <w:lvlText w:val=""/>
      <w:lvlJc w:val="left"/>
    </w:lvl>
    <w:lvl w:ilvl="6" w:tplc="480A1636">
      <w:numFmt w:val="decimal"/>
      <w:lvlText w:val=""/>
      <w:lvlJc w:val="left"/>
    </w:lvl>
    <w:lvl w:ilvl="7" w:tplc="78828D3A">
      <w:numFmt w:val="decimal"/>
      <w:lvlText w:val=""/>
      <w:lvlJc w:val="left"/>
    </w:lvl>
    <w:lvl w:ilvl="8" w:tplc="72F6E6F4">
      <w:numFmt w:val="decimal"/>
      <w:lvlText w:val=""/>
      <w:lvlJc w:val="left"/>
    </w:lvl>
  </w:abstractNum>
  <w:abstractNum w:abstractNumId="630" w15:restartNumberingAfterBreak="0">
    <w:nsid w:val="477E625D"/>
    <w:multiLevelType w:val="hybridMultilevel"/>
    <w:tmpl w:val="8D5EE930"/>
    <w:lvl w:ilvl="0" w:tplc="75466A34">
      <w:start w:val="1"/>
      <w:numFmt w:val="bullet"/>
      <w:lvlText w:val=""/>
      <w:lvlJc w:val="left"/>
      <w:pPr>
        <w:ind w:left="720" w:hanging="180"/>
      </w:pPr>
      <w:rPr>
        <w:rFonts w:ascii="Symbol" w:hAnsi="Symbol" w:hint="default"/>
      </w:rPr>
    </w:lvl>
    <w:lvl w:ilvl="1" w:tplc="E0022A5E">
      <w:numFmt w:val="decimal"/>
      <w:lvlText w:val=""/>
      <w:lvlJc w:val="left"/>
    </w:lvl>
    <w:lvl w:ilvl="2" w:tplc="D5748508">
      <w:numFmt w:val="decimal"/>
      <w:lvlText w:val=""/>
      <w:lvlJc w:val="left"/>
    </w:lvl>
    <w:lvl w:ilvl="3" w:tplc="067C220E">
      <w:numFmt w:val="decimal"/>
      <w:lvlText w:val=""/>
      <w:lvlJc w:val="left"/>
    </w:lvl>
    <w:lvl w:ilvl="4" w:tplc="F01AB1A8">
      <w:numFmt w:val="decimal"/>
      <w:lvlText w:val=""/>
      <w:lvlJc w:val="left"/>
    </w:lvl>
    <w:lvl w:ilvl="5" w:tplc="13922D82">
      <w:numFmt w:val="decimal"/>
      <w:lvlText w:val=""/>
      <w:lvlJc w:val="left"/>
    </w:lvl>
    <w:lvl w:ilvl="6" w:tplc="36BC4F5C">
      <w:numFmt w:val="decimal"/>
      <w:lvlText w:val=""/>
      <w:lvlJc w:val="left"/>
    </w:lvl>
    <w:lvl w:ilvl="7" w:tplc="DB1E8C1C">
      <w:numFmt w:val="decimal"/>
      <w:lvlText w:val=""/>
      <w:lvlJc w:val="left"/>
    </w:lvl>
    <w:lvl w:ilvl="8" w:tplc="7B6EB272">
      <w:numFmt w:val="decimal"/>
      <w:lvlText w:val=""/>
      <w:lvlJc w:val="left"/>
    </w:lvl>
  </w:abstractNum>
  <w:abstractNum w:abstractNumId="631" w15:restartNumberingAfterBreak="0">
    <w:nsid w:val="478034B3"/>
    <w:multiLevelType w:val="hybridMultilevel"/>
    <w:tmpl w:val="C66A4BB4"/>
    <w:lvl w:ilvl="0" w:tplc="CA165ED2">
      <w:start w:val="1"/>
      <w:numFmt w:val="bullet"/>
      <w:lvlText w:val=""/>
      <w:lvlJc w:val="left"/>
      <w:pPr>
        <w:ind w:left="720" w:hanging="180"/>
      </w:pPr>
      <w:rPr>
        <w:rFonts w:ascii="Symbol" w:hAnsi="Symbol" w:hint="default"/>
      </w:rPr>
    </w:lvl>
    <w:lvl w:ilvl="1" w:tplc="06DEC10E">
      <w:numFmt w:val="decimal"/>
      <w:lvlText w:val=""/>
      <w:lvlJc w:val="left"/>
    </w:lvl>
    <w:lvl w:ilvl="2" w:tplc="E1F64E6E">
      <w:numFmt w:val="decimal"/>
      <w:lvlText w:val=""/>
      <w:lvlJc w:val="left"/>
    </w:lvl>
    <w:lvl w:ilvl="3" w:tplc="69DCAE5C">
      <w:numFmt w:val="decimal"/>
      <w:lvlText w:val=""/>
      <w:lvlJc w:val="left"/>
    </w:lvl>
    <w:lvl w:ilvl="4" w:tplc="85FA62EE">
      <w:numFmt w:val="decimal"/>
      <w:lvlText w:val=""/>
      <w:lvlJc w:val="left"/>
    </w:lvl>
    <w:lvl w:ilvl="5" w:tplc="DD963C16">
      <w:numFmt w:val="decimal"/>
      <w:lvlText w:val=""/>
      <w:lvlJc w:val="left"/>
    </w:lvl>
    <w:lvl w:ilvl="6" w:tplc="A480600C">
      <w:numFmt w:val="decimal"/>
      <w:lvlText w:val=""/>
      <w:lvlJc w:val="left"/>
    </w:lvl>
    <w:lvl w:ilvl="7" w:tplc="447815F6">
      <w:numFmt w:val="decimal"/>
      <w:lvlText w:val=""/>
      <w:lvlJc w:val="left"/>
    </w:lvl>
    <w:lvl w:ilvl="8" w:tplc="C130D174">
      <w:numFmt w:val="decimal"/>
      <w:lvlText w:val=""/>
      <w:lvlJc w:val="left"/>
    </w:lvl>
  </w:abstractNum>
  <w:abstractNum w:abstractNumId="632" w15:restartNumberingAfterBreak="0">
    <w:nsid w:val="479A2546"/>
    <w:multiLevelType w:val="hybridMultilevel"/>
    <w:tmpl w:val="71DEC52C"/>
    <w:lvl w:ilvl="0" w:tplc="D90E94DE">
      <w:start w:val="1"/>
      <w:numFmt w:val="bullet"/>
      <w:lvlText w:val=""/>
      <w:lvlJc w:val="left"/>
      <w:pPr>
        <w:ind w:left="720" w:hanging="180"/>
      </w:pPr>
      <w:rPr>
        <w:rFonts w:ascii="Symbol" w:hAnsi="Symbol" w:hint="default"/>
      </w:rPr>
    </w:lvl>
    <w:lvl w:ilvl="1" w:tplc="A57ADA98">
      <w:numFmt w:val="decimal"/>
      <w:lvlText w:val=""/>
      <w:lvlJc w:val="left"/>
    </w:lvl>
    <w:lvl w:ilvl="2" w:tplc="82E6402E">
      <w:numFmt w:val="decimal"/>
      <w:lvlText w:val=""/>
      <w:lvlJc w:val="left"/>
    </w:lvl>
    <w:lvl w:ilvl="3" w:tplc="8E80699E">
      <w:numFmt w:val="decimal"/>
      <w:lvlText w:val=""/>
      <w:lvlJc w:val="left"/>
    </w:lvl>
    <w:lvl w:ilvl="4" w:tplc="464AFA9A">
      <w:numFmt w:val="decimal"/>
      <w:lvlText w:val=""/>
      <w:lvlJc w:val="left"/>
    </w:lvl>
    <w:lvl w:ilvl="5" w:tplc="AE8CC9B8">
      <w:numFmt w:val="decimal"/>
      <w:lvlText w:val=""/>
      <w:lvlJc w:val="left"/>
    </w:lvl>
    <w:lvl w:ilvl="6" w:tplc="1326E206">
      <w:numFmt w:val="decimal"/>
      <w:lvlText w:val=""/>
      <w:lvlJc w:val="left"/>
    </w:lvl>
    <w:lvl w:ilvl="7" w:tplc="A4D86AF0">
      <w:numFmt w:val="decimal"/>
      <w:lvlText w:val=""/>
      <w:lvlJc w:val="left"/>
    </w:lvl>
    <w:lvl w:ilvl="8" w:tplc="E5B01846">
      <w:numFmt w:val="decimal"/>
      <w:lvlText w:val=""/>
      <w:lvlJc w:val="left"/>
    </w:lvl>
  </w:abstractNum>
  <w:abstractNum w:abstractNumId="633" w15:restartNumberingAfterBreak="0">
    <w:nsid w:val="47EC5E94"/>
    <w:multiLevelType w:val="hybridMultilevel"/>
    <w:tmpl w:val="19008882"/>
    <w:lvl w:ilvl="0" w:tplc="4AA89610">
      <w:start w:val="1"/>
      <w:numFmt w:val="bullet"/>
      <w:lvlText w:val=""/>
      <w:lvlJc w:val="left"/>
      <w:pPr>
        <w:ind w:left="720" w:hanging="180"/>
      </w:pPr>
      <w:rPr>
        <w:rFonts w:ascii="Symbol" w:hAnsi="Symbol" w:hint="default"/>
      </w:rPr>
    </w:lvl>
    <w:lvl w:ilvl="1" w:tplc="5BB831DC">
      <w:numFmt w:val="decimal"/>
      <w:lvlText w:val=""/>
      <w:lvlJc w:val="left"/>
    </w:lvl>
    <w:lvl w:ilvl="2" w:tplc="10A04E9C">
      <w:numFmt w:val="decimal"/>
      <w:lvlText w:val=""/>
      <w:lvlJc w:val="left"/>
    </w:lvl>
    <w:lvl w:ilvl="3" w:tplc="3760EC16">
      <w:numFmt w:val="decimal"/>
      <w:lvlText w:val=""/>
      <w:lvlJc w:val="left"/>
    </w:lvl>
    <w:lvl w:ilvl="4" w:tplc="A5C4F034">
      <w:numFmt w:val="decimal"/>
      <w:lvlText w:val=""/>
      <w:lvlJc w:val="left"/>
    </w:lvl>
    <w:lvl w:ilvl="5" w:tplc="92A670EA">
      <w:numFmt w:val="decimal"/>
      <w:lvlText w:val=""/>
      <w:lvlJc w:val="left"/>
    </w:lvl>
    <w:lvl w:ilvl="6" w:tplc="42BED1C2">
      <w:numFmt w:val="decimal"/>
      <w:lvlText w:val=""/>
      <w:lvlJc w:val="left"/>
    </w:lvl>
    <w:lvl w:ilvl="7" w:tplc="7F764546">
      <w:numFmt w:val="decimal"/>
      <w:lvlText w:val=""/>
      <w:lvlJc w:val="left"/>
    </w:lvl>
    <w:lvl w:ilvl="8" w:tplc="075A755E">
      <w:numFmt w:val="decimal"/>
      <w:lvlText w:val=""/>
      <w:lvlJc w:val="left"/>
    </w:lvl>
  </w:abstractNum>
  <w:abstractNum w:abstractNumId="634" w15:restartNumberingAfterBreak="0">
    <w:nsid w:val="48053B5A"/>
    <w:multiLevelType w:val="hybridMultilevel"/>
    <w:tmpl w:val="5E52FE48"/>
    <w:lvl w:ilvl="0" w:tplc="ADF6557C">
      <w:start w:val="1"/>
      <w:numFmt w:val="bullet"/>
      <w:lvlText w:val=""/>
      <w:lvlJc w:val="left"/>
      <w:pPr>
        <w:ind w:left="720" w:hanging="180"/>
      </w:pPr>
      <w:rPr>
        <w:rFonts w:ascii="Symbol" w:hAnsi="Symbol" w:hint="default"/>
      </w:rPr>
    </w:lvl>
    <w:lvl w:ilvl="1" w:tplc="F9F264AC">
      <w:numFmt w:val="decimal"/>
      <w:lvlText w:val=""/>
      <w:lvlJc w:val="left"/>
    </w:lvl>
    <w:lvl w:ilvl="2" w:tplc="80E443AA">
      <w:numFmt w:val="decimal"/>
      <w:lvlText w:val=""/>
      <w:lvlJc w:val="left"/>
    </w:lvl>
    <w:lvl w:ilvl="3" w:tplc="1EDADFCA">
      <w:numFmt w:val="decimal"/>
      <w:lvlText w:val=""/>
      <w:lvlJc w:val="left"/>
    </w:lvl>
    <w:lvl w:ilvl="4" w:tplc="CD84C10E">
      <w:numFmt w:val="decimal"/>
      <w:lvlText w:val=""/>
      <w:lvlJc w:val="left"/>
    </w:lvl>
    <w:lvl w:ilvl="5" w:tplc="BB30A008">
      <w:numFmt w:val="decimal"/>
      <w:lvlText w:val=""/>
      <w:lvlJc w:val="left"/>
    </w:lvl>
    <w:lvl w:ilvl="6" w:tplc="DB1450A6">
      <w:numFmt w:val="decimal"/>
      <w:lvlText w:val=""/>
      <w:lvlJc w:val="left"/>
    </w:lvl>
    <w:lvl w:ilvl="7" w:tplc="7338BAAE">
      <w:numFmt w:val="decimal"/>
      <w:lvlText w:val=""/>
      <w:lvlJc w:val="left"/>
    </w:lvl>
    <w:lvl w:ilvl="8" w:tplc="44606472">
      <w:numFmt w:val="decimal"/>
      <w:lvlText w:val=""/>
      <w:lvlJc w:val="left"/>
    </w:lvl>
  </w:abstractNum>
  <w:abstractNum w:abstractNumId="635" w15:restartNumberingAfterBreak="0">
    <w:nsid w:val="48105D11"/>
    <w:multiLevelType w:val="hybridMultilevel"/>
    <w:tmpl w:val="616E3C8C"/>
    <w:lvl w:ilvl="0" w:tplc="263E75F2">
      <w:start w:val="1"/>
      <w:numFmt w:val="bullet"/>
      <w:lvlText w:val=""/>
      <w:lvlJc w:val="left"/>
      <w:pPr>
        <w:ind w:left="720" w:hanging="180"/>
      </w:pPr>
      <w:rPr>
        <w:rFonts w:ascii="Symbol" w:hAnsi="Symbol" w:hint="default"/>
      </w:rPr>
    </w:lvl>
    <w:lvl w:ilvl="1" w:tplc="69CAFB80">
      <w:numFmt w:val="decimal"/>
      <w:lvlText w:val=""/>
      <w:lvlJc w:val="left"/>
    </w:lvl>
    <w:lvl w:ilvl="2" w:tplc="F78A009A">
      <w:numFmt w:val="decimal"/>
      <w:lvlText w:val=""/>
      <w:lvlJc w:val="left"/>
    </w:lvl>
    <w:lvl w:ilvl="3" w:tplc="8C6E0438">
      <w:numFmt w:val="decimal"/>
      <w:lvlText w:val=""/>
      <w:lvlJc w:val="left"/>
    </w:lvl>
    <w:lvl w:ilvl="4" w:tplc="1BB0B50C">
      <w:numFmt w:val="decimal"/>
      <w:lvlText w:val=""/>
      <w:lvlJc w:val="left"/>
    </w:lvl>
    <w:lvl w:ilvl="5" w:tplc="1040BE82">
      <w:numFmt w:val="decimal"/>
      <w:lvlText w:val=""/>
      <w:lvlJc w:val="left"/>
    </w:lvl>
    <w:lvl w:ilvl="6" w:tplc="1228F3FA">
      <w:numFmt w:val="decimal"/>
      <w:lvlText w:val=""/>
      <w:lvlJc w:val="left"/>
    </w:lvl>
    <w:lvl w:ilvl="7" w:tplc="83167C88">
      <w:numFmt w:val="decimal"/>
      <w:lvlText w:val=""/>
      <w:lvlJc w:val="left"/>
    </w:lvl>
    <w:lvl w:ilvl="8" w:tplc="FAC04EE0">
      <w:numFmt w:val="decimal"/>
      <w:lvlText w:val=""/>
      <w:lvlJc w:val="left"/>
    </w:lvl>
  </w:abstractNum>
  <w:abstractNum w:abstractNumId="636" w15:restartNumberingAfterBreak="0">
    <w:nsid w:val="4821542D"/>
    <w:multiLevelType w:val="hybridMultilevel"/>
    <w:tmpl w:val="32A68DBC"/>
    <w:lvl w:ilvl="0" w:tplc="E86C31F0">
      <w:start w:val="1"/>
      <w:numFmt w:val="bullet"/>
      <w:lvlText w:val=""/>
      <w:lvlJc w:val="left"/>
      <w:pPr>
        <w:ind w:left="720" w:hanging="180"/>
      </w:pPr>
      <w:rPr>
        <w:rFonts w:ascii="Symbol" w:hAnsi="Symbol" w:hint="default"/>
      </w:rPr>
    </w:lvl>
    <w:lvl w:ilvl="1" w:tplc="1A48C4B8">
      <w:numFmt w:val="decimal"/>
      <w:lvlText w:val=""/>
      <w:lvlJc w:val="left"/>
    </w:lvl>
    <w:lvl w:ilvl="2" w:tplc="3ADA3D4C">
      <w:numFmt w:val="decimal"/>
      <w:lvlText w:val=""/>
      <w:lvlJc w:val="left"/>
    </w:lvl>
    <w:lvl w:ilvl="3" w:tplc="089E07EC">
      <w:numFmt w:val="decimal"/>
      <w:lvlText w:val=""/>
      <w:lvlJc w:val="left"/>
    </w:lvl>
    <w:lvl w:ilvl="4" w:tplc="48D6B85A">
      <w:numFmt w:val="decimal"/>
      <w:lvlText w:val=""/>
      <w:lvlJc w:val="left"/>
    </w:lvl>
    <w:lvl w:ilvl="5" w:tplc="ED0ECD0E">
      <w:numFmt w:val="decimal"/>
      <w:lvlText w:val=""/>
      <w:lvlJc w:val="left"/>
    </w:lvl>
    <w:lvl w:ilvl="6" w:tplc="3B50BAF2">
      <w:numFmt w:val="decimal"/>
      <w:lvlText w:val=""/>
      <w:lvlJc w:val="left"/>
    </w:lvl>
    <w:lvl w:ilvl="7" w:tplc="6EDA09BA">
      <w:numFmt w:val="decimal"/>
      <w:lvlText w:val=""/>
      <w:lvlJc w:val="left"/>
    </w:lvl>
    <w:lvl w:ilvl="8" w:tplc="67129962">
      <w:numFmt w:val="decimal"/>
      <w:lvlText w:val=""/>
      <w:lvlJc w:val="left"/>
    </w:lvl>
  </w:abstractNum>
  <w:abstractNum w:abstractNumId="637" w15:restartNumberingAfterBreak="0">
    <w:nsid w:val="48325DCE"/>
    <w:multiLevelType w:val="hybridMultilevel"/>
    <w:tmpl w:val="D644841C"/>
    <w:lvl w:ilvl="0" w:tplc="B5946CC4">
      <w:numFmt w:val="decimal"/>
      <w:lvlText w:val=""/>
      <w:lvlJc w:val="left"/>
    </w:lvl>
    <w:lvl w:ilvl="1" w:tplc="3C2A86D2">
      <w:start w:val="1"/>
      <w:numFmt w:val="bullet"/>
      <w:lvlText w:val=""/>
      <w:lvlJc w:val="left"/>
      <w:pPr>
        <w:ind w:left="1440" w:hanging="180"/>
      </w:pPr>
      <w:rPr>
        <w:rFonts w:ascii="Symbol" w:hAnsi="Symbol" w:hint="default"/>
      </w:rPr>
    </w:lvl>
    <w:lvl w:ilvl="2" w:tplc="B516B9C4">
      <w:numFmt w:val="decimal"/>
      <w:lvlText w:val=""/>
      <w:lvlJc w:val="left"/>
    </w:lvl>
    <w:lvl w:ilvl="3" w:tplc="3AF4059C">
      <w:numFmt w:val="decimal"/>
      <w:lvlText w:val=""/>
      <w:lvlJc w:val="left"/>
    </w:lvl>
    <w:lvl w:ilvl="4" w:tplc="B2B8F258">
      <w:numFmt w:val="decimal"/>
      <w:lvlText w:val=""/>
      <w:lvlJc w:val="left"/>
    </w:lvl>
    <w:lvl w:ilvl="5" w:tplc="C4F8EBD4">
      <w:numFmt w:val="decimal"/>
      <w:lvlText w:val=""/>
      <w:lvlJc w:val="left"/>
    </w:lvl>
    <w:lvl w:ilvl="6" w:tplc="B61AB0C4">
      <w:numFmt w:val="decimal"/>
      <w:lvlText w:val=""/>
      <w:lvlJc w:val="left"/>
    </w:lvl>
    <w:lvl w:ilvl="7" w:tplc="E068BBB6">
      <w:numFmt w:val="decimal"/>
      <w:lvlText w:val=""/>
      <w:lvlJc w:val="left"/>
    </w:lvl>
    <w:lvl w:ilvl="8" w:tplc="C50ACE6C">
      <w:numFmt w:val="decimal"/>
      <w:lvlText w:val=""/>
      <w:lvlJc w:val="left"/>
    </w:lvl>
  </w:abstractNum>
  <w:abstractNum w:abstractNumId="638" w15:restartNumberingAfterBreak="0">
    <w:nsid w:val="48577156"/>
    <w:multiLevelType w:val="hybridMultilevel"/>
    <w:tmpl w:val="8660B09C"/>
    <w:lvl w:ilvl="0" w:tplc="F786970E">
      <w:numFmt w:val="decimal"/>
      <w:lvlText w:val=""/>
      <w:lvlJc w:val="left"/>
    </w:lvl>
    <w:lvl w:ilvl="1" w:tplc="96000508">
      <w:start w:val="1"/>
      <w:numFmt w:val="bullet"/>
      <w:lvlText w:val=""/>
      <w:lvlJc w:val="left"/>
      <w:pPr>
        <w:ind w:left="1440" w:hanging="180"/>
      </w:pPr>
      <w:rPr>
        <w:rFonts w:ascii="Symbol" w:hAnsi="Symbol" w:hint="default"/>
      </w:rPr>
    </w:lvl>
    <w:lvl w:ilvl="2" w:tplc="518E0746">
      <w:numFmt w:val="decimal"/>
      <w:lvlText w:val=""/>
      <w:lvlJc w:val="left"/>
    </w:lvl>
    <w:lvl w:ilvl="3" w:tplc="7D6E411A">
      <w:numFmt w:val="decimal"/>
      <w:lvlText w:val=""/>
      <w:lvlJc w:val="left"/>
    </w:lvl>
    <w:lvl w:ilvl="4" w:tplc="104C7E3E">
      <w:numFmt w:val="decimal"/>
      <w:lvlText w:val=""/>
      <w:lvlJc w:val="left"/>
    </w:lvl>
    <w:lvl w:ilvl="5" w:tplc="8B66698E">
      <w:numFmt w:val="decimal"/>
      <w:lvlText w:val=""/>
      <w:lvlJc w:val="left"/>
    </w:lvl>
    <w:lvl w:ilvl="6" w:tplc="F9C228B6">
      <w:numFmt w:val="decimal"/>
      <w:lvlText w:val=""/>
      <w:lvlJc w:val="left"/>
    </w:lvl>
    <w:lvl w:ilvl="7" w:tplc="33048F10">
      <w:numFmt w:val="decimal"/>
      <w:lvlText w:val=""/>
      <w:lvlJc w:val="left"/>
    </w:lvl>
    <w:lvl w:ilvl="8" w:tplc="D2660A06">
      <w:numFmt w:val="decimal"/>
      <w:lvlText w:val=""/>
      <w:lvlJc w:val="left"/>
    </w:lvl>
  </w:abstractNum>
  <w:abstractNum w:abstractNumId="639" w15:restartNumberingAfterBreak="0">
    <w:nsid w:val="48732A82"/>
    <w:multiLevelType w:val="hybridMultilevel"/>
    <w:tmpl w:val="0CE882EE"/>
    <w:lvl w:ilvl="0" w:tplc="5D4E17DA">
      <w:start w:val="1"/>
      <w:numFmt w:val="bullet"/>
      <w:lvlText w:val=""/>
      <w:lvlJc w:val="left"/>
      <w:pPr>
        <w:ind w:left="720" w:hanging="180"/>
      </w:pPr>
      <w:rPr>
        <w:rFonts w:ascii="Symbol" w:hAnsi="Symbol" w:hint="default"/>
      </w:rPr>
    </w:lvl>
    <w:lvl w:ilvl="1" w:tplc="8F9AAB3C">
      <w:numFmt w:val="decimal"/>
      <w:lvlText w:val=""/>
      <w:lvlJc w:val="left"/>
    </w:lvl>
    <w:lvl w:ilvl="2" w:tplc="CD54CF60">
      <w:numFmt w:val="decimal"/>
      <w:lvlText w:val=""/>
      <w:lvlJc w:val="left"/>
    </w:lvl>
    <w:lvl w:ilvl="3" w:tplc="1430DC7A">
      <w:numFmt w:val="decimal"/>
      <w:lvlText w:val=""/>
      <w:lvlJc w:val="left"/>
    </w:lvl>
    <w:lvl w:ilvl="4" w:tplc="D4D6BBCA">
      <w:numFmt w:val="decimal"/>
      <w:lvlText w:val=""/>
      <w:lvlJc w:val="left"/>
    </w:lvl>
    <w:lvl w:ilvl="5" w:tplc="CF2E9F2E">
      <w:numFmt w:val="decimal"/>
      <w:lvlText w:val=""/>
      <w:lvlJc w:val="left"/>
    </w:lvl>
    <w:lvl w:ilvl="6" w:tplc="5502ABF4">
      <w:numFmt w:val="decimal"/>
      <w:lvlText w:val=""/>
      <w:lvlJc w:val="left"/>
    </w:lvl>
    <w:lvl w:ilvl="7" w:tplc="4DAC3990">
      <w:numFmt w:val="decimal"/>
      <w:lvlText w:val=""/>
      <w:lvlJc w:val="left"/>
    </w:lvl>
    <w:lvl w:ilvl="8" w:tplc="BC3E21B8">
      <w:numFmt w:val="decimal"/>
      <w:lvlText w:val=""/>
      <w:lvlJc w:val="left"/>
    </w:lvl>
  </w:abstractNum>
  <w:abstractNum w:abstractNumId="640" w15:restartNumberingAfterBreak="0">
    <w:nsid w:val="48745892"/>
    <w:multiLevelType w:val="hybridMultilevel"/>
    <w:tmpl w:val="1DB88332"/>
    <w:lvl w:ilvl="0" w:tplc="A2423F5E">
      <w:start w:val="1"/>
      <w:numFmt w:val="bullet"/>
      <w:lvlText w:val=""/>
      <w:lvlJc w:val="left"/>
      <w:pPr>
        <w:ind w:left="720" w:hanging="180"/>
      </w:pPr>
      <w:rPr>
        <w:rFonts w:ascii="Symbol" w:hAnsi="Symbol" w:hint="default"/>
      </w:rPr>
    </w:lvl>
    <w:lvl w:ilvl="1" w:tplc="5C3A9AD6">
      <w:numFmt w:val="decimal"/>
      <w:lvlText w:val=""/>
      <w:lvlJc w:val="left"/>
    </w:lvl>
    <w:lvl w:ilvl="2" w:tplc="78CCB7C8">
      <w:numFmt w:val="decimal"/>
      <w:lvlText w:val=""/>
      <w:lvlJc w:val="left"/>
    </w:lvl>
    <w:lvl w:ilvl="3" w:tplc="2BFEF8AC">
      <w:numFmt w:val="decimal"/>
      <w:lvlText w:val=""/>
      <w:lvlJc w:val="left"/>
    </w:lvl>
    <w:lvl w:ilvl="4" w:tplc="97E6F7EC">
      <w:numFmt w:val="decimal"/>
      <w:lvlText w:val=""/>
      <w:lvlJc w:val="left"/>
    </w:lvl>
    <w:lvl w:ilvl="5" w:tplc="AB5C8A64">
      <w:numFmt w:val="decimal"/>
      <w:lvlText w:val=""/>
      <w:lvlJc w:val="left"/>
    </w:lvl>
    <w:lvl w:ilvl="6" w:tplc="BBF08CD4">
      <w:numFmt w:val="decimal"/>
      <w:lvlText w:val=""/>
      <w:lvlJc w:val="left"/>
    </w:lvl>
    <w:lvl w:ilvl="7" w:tplc="23641DF0">
      <w:numFmt w:val="decimal"/>
      <w:lvlText w:val=""/>
      <w:lvlJc w:val="left"/>
    </w:lvl>
    <w:lvl w:ilvl="8" w:tplc="FC6E9404">
      <w:numFmt w:val="decimal"/>
      <w:lvlText w:val=""/>
      <w:lvlJc w:val="left"/>
    </w:lvl>
  </w:abstractNum>
  <w:abstractNum w:abstractNumId="641" w15:restartNumberingAfterBreak="0">
    <w:nsid w:val="487902FA"/>
    <w:multiLevelType w:val="hybridMultilevel"/>
    <w:tmpl w:val="DC9AA768"/>
    <w:lvl w:ilvl="0" w:tplc="C4BE6A14">
      <w:start w:val="1"/>
      <w:numFmt w:val="bullet"/>
      <w:lvlText w:val=""/>
      <w:lvlJc w:val="left"/>
      <w:pPr>
        <w:ind w:left="720" w:hanging="180"/>
      </w:pPr>
      <w:rPr>
        <w:rFonts w:ascii="Symbol" w:hAnsi="Symbol" w:hint="default"/>
      </w:rPr>
    </w:lvl>
    <w:lvl w:ilvl="1" w:tplc="E2243640">
      <w:numFmt w:val="decimal"/>
      <w:lvlText w:val=""/>
      <w:lvlJc w:val="left"/>
    </w:lvl>
    <w:lvl w:ilvl="2" w:tplc="AF3C3D40">
      <w:numFmt w:val="decimal"/>
      <w:lvlText w:val=""/>
      <w:lvlJc w:val="left"/>
    </w:lvl>
    <w:lvl w:ilvl="3" w:tplc="0B9EEE7E">
      <w:numFmt w:val="decimal"/>
      <w:lvlText w:val=""/>
      <w:lvlJc w:val="left"/>
    </w:lvl>
    <w:lvl w:ilvl="4" w:tplc="FBDCD898">
      <w:numFmt w:val="decimal"/>
      <w:lvlText w:val=""/>
      <w:lvlJc w:val="left"/>
    </w:lvl>
    <w:lvl w:ilvl="5" w:tplc="D6D893E0">
      <w:numFmt w:val="decimal"/>
      <w:lvlText w:val=""/>
      <w:lvlJc w:val="left"/>
    </w:lvl>
    <w:lvl w:ilvl="6" w:tplc="A4F6E8E4">
      <w:numFmt w:val="decimal"/>
      <w:lvlText w:val=""/>
      <w:lvlJc w:val="left"/>
    </w:lvl>
    <w:lvl w:ilvl="7" w:tplc="2B0CE0D2">
      <w:numFmt w:val="decimal"/>
      <w:lvlText w:val=""/>
      <w:lvlJc w:val="left"/>
    </w:lvl>
    <w:lvl w:ilvl="8" w:tplc="805E3D8C">
      <w:numFmt w:val="decimal"/>
      <w:lvlText w:val=""/>
      <w:lvlJc w:val="left"/>
    </w:lvl>
  </w:abstractNum>
  <w:abstractNum w:abstractNumId="642" w15:restartNumberingAfterBreak="0">
    <w:nsid w:val="48BD3B79"/>
    <w:multiLevelType w:val="hybridMultilevel"/>
    <w:tmpl w:val="95B27906"/>
    <w:lvl w:ilvl="0" w:tplc="7A2689B2">
      <w:start w:val="1"/>
      <w:numFmt w:val="bullet"/>
      <w:lvlText w:val=""/>
      <w:lvlJc w:val="left"/>
      <w:pPr>
        <w:ind w:left="720" w:hanging="180"/>
      </w:pPr>
      <w:rPr>
        <w:rFonts w:ascii="Symbol" w:hAnsi="Symbol" w:hint="default"/>
      </w:rPr>
    </w:lvl>
    <w:lvl w:ilvl="1" w:tplc="DA3A5D42">
      <w:numFmt w:val="decimal"/>
      <w:lvlText w:val=""/>
      <w:lvlJc w:val="left"/>
    </w:lvl>
    <w:lvl w:ilvl="2" w:tplc="09A09780">
      <w:numFmt w:val="decimal"/>
      <w:lvlText w:val=""/>
      <w:lvlJc w:val="left"/>
    </w:lvl>
    <w:lvl w:ilvl="3" w:tplc="8EB066E6">
      <w:numFmt w:val="decimal"/>
      <w:lvlText w:val=""/>
      <w:lvlJc w:val="left"/>
    </w:lvl>
    <w:lvl w:ilvl="4" w:tplc="0B4CD5E4">
      <w:numFmt w:val="decimal"/>
      <w:lvlText w:val=""/>
      <w:lvlJc w:val="left"/>
    </w:lvl>
    <w:lvl w:ilvl="5" w:tplc="1D3E3C98">
      <w:numFmt w:val="decimal"/>
      <w:lvlText w:val=""/>
      <w:lvlJc w:val="left"/>
    </w:lvl>
    <w:lvl w:ilvl="6" w:tplc="F23A34D6">
      <w:numFmt w:val="decimal"/>
      <w:lvlText w:val=""/>
      <w:lvlJc w:val="left"/>
    </w:lvl>
    <w:lvl w:ilvl="7" w:tplc="605878B0">
      <w:numFmt w:val="decimal"/>
      <w:lvlText w:val=""/>
      <w:lvlJc w:val="left"/>
    </w:lvl>
    <w:lvl w:ilvl="8" w:tplc="7D7C7F18">
      <w:numFmt w:val="decimal"/>
      <w:lvlText w:val=""/>
      <w:lvlJc w:val="left"/>
    </w:lvl>
  </w:abstractNum>
  <w:abstractNum w:abstractNumId="643" w15:restartNumberingAfterBreak="0">
    <w:nsid w:val="48C3220E"/>
    <w:multiLevelType w:val="hybridMultilevel"/>
    <w:tmpl w:val="4822A876"/>
    <w:lvl w:ilvl="0" w:tplc="56766786">
      <w:start w:val="1"/>
      <w:numFmt w:val="bullet"/>
      <w:lvlText w:val=""/>
      <w:lvlJc w:val="left"/>
      <w:pPr>
        <w:ind w:left="720" w:hanging="180"/>
      </w:pPr>
      <w:rPr>
        <w:rFonts w:ascii="Symbol" w:hAnsi="Symbol" w:hint="default"/>
      </w:rPr>
    </w:lvl>
    <w:lvl w:ilvl="1" w:tplc="1BE2F316">
      <w:numFmt w:val="decimal"/>
      <w:lvlText w:val=""/>
      <w:lvlJc w:val="left"/>
    </w:lvl>
    <w:lvl w:ilvl="2" w:tplc="307C684C">
      <w:numFmt w:val="decimal"/>
      <w:lvlText w:val=""/>
      <w:lvlJc w:val="left"/>
    </w:lvl>
    <w:lvl w:ilvl="3" w:tplc="9396618A">
      <w:numFmt w:val="decimal"/>
      <w:lvlText w:val=""/>
      <w:lvlJc w:val="left"/>
    </w:lvl>
    <w:lvl w:ilvl="4" w:tplc="602A8028">
      <w:numFmt w:val="decimal"/>
      <w:lvlText w:val=""/>
      <w:lvlJc w:val="left"/>
    </w:lvl>
    <w:lvl w:ilvl="5" w:tplc="203E5F6C">
      <w:numFmt w:val="decimal"/>
      <w:lvlText w:val=""/>
      <w:lvlJc w:val="left"/>
    </w:lvl>
    <w:lvl w:ilvl="6" w:tplc="0C101EF2">
      <w:numFmt w:val="decimal"/>
      <w:lvlText w:val=""/>
      <w:lvlJc w:val="left"/>
    </w:lvl>
    <w:lvl w:ilvl="7" w:tplc="90966FA4">
      <w:numFmt w:val="decimal"/>
      <w:lvlText w:val=""/>
      <w:lvlJc w:val="left"/>
    </w:lvl>
    <w:lvl w:ilvl="8" w:tplc="7ACC62F2">
      <w:numFmt w:val="decimal"/>
      <w:lvlText w:val=""/>
      <w:lvlJc w:val="left"/>
    </w:lvl>
  </w:abstractNum>
  <w:abstractNum w:abstractNumId="644" w15:restartNumberingAfterBreak="0">
    <w:nsid w:val="48C448BE"/>
    <w:multiLevelType w:val="hybridMultilevel"/>
    <w:tmpl w:val="DF78BF4A"/>
    <w:lvl w:ilvl="0" w:tplc="295AA922">
      <w:start w:val="1"/>
      <w:numFmt w:val="bullet"/>
      <w:lvlText w:val=""/>
      <w:lvlJc w:val="left"/>
      <w:pPr>
        <w:ind w:left="720" w:hanging="180"/>
      </w:pPr>
      <w:rPr>
        <w:rFonts w:ascii="Symbol" w:hAnsi="Symbol" w:hint="default"/>
      </w:rPr>
    </w:lvl>
    <w:lvl w:ilvl="1" w:tplc="F762251E">
      <w:numFmt w:val="decimal"/>
      <w:lvlText w:val=""/>
      <w:lvlJc w:val="left"/>
    </w:lvl>
    <w:lvl w:ilvl="2" w:tplc="6794FE46">
      <w:numFmt w:val="decimal"/>
      <w:lvlText w:val=""/>
      <w:lvlJc w:val="left"/>
    </w:lvl>
    <w:lvl w:ilvl="3" w:tplc="4972FE94">
      <w:numFmt w:val="decimal"/>
      <w:lvlText w:val=""/>
      <w:lvlJc w:val="left"/>
    </w:lvl>
    <w:lvl w:ilvl="4" w:tplc="2634232E">
      <w:numFmt w:val="decimal"/>
      <w:lvlText w:val=""/>
      <w:lvlJc w:val="left"/>
    </w:lvl>
    <w:lvl w:ilvl="5" w:tplc="15360386">
      <w:numFmt w:val="decimal"/>
      <w:lvlText w:val=""/>
      <w:lvlJc w:val="left"/>
    </w:lvl>
    <w:lvl w:ilvl="6" w:tplc="6A141EFC">
      <w:numFmt w:val="decimal"/>
      <w:lvlText w:val=""/>
      <w:lvlJc w:val="left"/>
    </w:lvl>
    <w:lvl w:ilvl="7" w:tplc="EB24727C">
      <w:numFmt w:val="decimal"/>
      <w:lvlText w:val=""/>
      <w:lvlJc w:val="left"/>
    </w:lvl>
    <w:lvl w:ilvl="8" w:tplc="928A2A76">
      <w:numFmt w:val="decimal"/>
      <w:lvlText w:val=""/>
      <w:lvlJc w:val="left"/>
    </w:lvl>
  </w:abstractNum>
  <w:abstractNum w:abstractNumId="645" w15:restartNumberingAfterBreak="0">
    <w:nsid w:val="48DD7DFF"/>
    <w:multiLevelType w:val="hybridMultilevel"/>
    <w:tmpl w:val="C94E65F6"/>
    <w:lvl w:ilvl="0" w:tplc="F39A18AE">
      <w:start w:val="1"/>
      <w:numFmt w:val="bullet"/>
      <w:lvlText w:val=""/>
      <w:lvlJc w:val="left"/>
      <w:pPr>
        <w:ind w:left="720" w:hanging="180"/>
      </w:pPr>
      <w:rPr>
        <w:rFonts w:ascii="Symbol" w:hAnsi="Symbol" w:hint="default"/>
      </w:rPr>
    </w:lvl>
    <w:lvl w:ilvl="1" w:tplc="1506037A">
      <w:numFmt w:val="decimal"/>
      <w:lvlText w:val=""/>
      <w:lvlJc w:val="left"/>
    </w:lvl>
    <w:lvl w:ilvl="2" w:tplc="C3425B9E">
      <w:numFmt w:val="decimal"/>
      <w:lvlText w:val=""/>
      <w:lvlJc w:val="left"/>
    </w:lvl>
    <w:lvl w:ilvl="3" w:tplc="3000CFFE">
      <w:numFmt w:val="decimal"/>
      <w:lvlText w:val=""/>
      <w:lvlJc w:val="left"/>
    </w:lvl>
    <w:lvl w:ilvl="4" w:tplc="C6E02EE0">
      <w:numFmt w:val="decimal"/>
      <w:lvlText w:val=""/>
      <w:lvlJc w:val="left"/>
    </w:lvl>
    <w:lvl w:ilvl="5" w:tplc="D46A9C68">
      <w:numFmt w:val="decimal"/>
      <w:lvlText w:val=""/>
      <w:lvlJc w:val="left"/>
    </w:lvl>
    <w:lvl w:ilvl="6" w:tplc="B06CC922">
      <w:numFmt w:val="decimal"/>
      <w:lvlText w:val=""/>
      <w:lvlJc w:val="left"/>
    </w:lvl>
    <w:lvl w:ilvl="7" w:tplc="CE90E4C0">
      <w:numFmt w:val="decimal"/>
      <w:lvlText w:val=""/>
      <w:lvlJc w:val="left"/>
    </w:lvl>
    <w:lvl w:ilvl="8" w:tplc="2D2A1292">
      <w:numFmt w:val="decimal"/>
      <w:lvlText w:val=""/>
      <w:lvlJc w:val="left"/>
    </w:lvl>
  </w:abstractNum>
  <w:abstractNum w:abstractNumId="646" w15:restartNumberingAfterBreak="0">
    <w:nsid w:val="48ED628B"/>
    <w:multiLevelType w:val="hybridMultilevel"/>
    <w:tmpl w:val="6378774C"/>
    <w:lvl w:ilvl="0" w:tplc="FF44933E">
      <w:start w:val="1"/>
      <w:numFmt w:val="bullet"/>
      <w:lvlText w:val=""/>
      <w:lvlJc w:val="left"/>
      <w:pPr>
        <w:ind w:left="720" w:hanging="180"/>
      </w:pPr>
      <w:rPr>
        <w:rFonts w:ascii="Symbol" w:hAnsi="Symbol" w:hint="default"/>
      </w:rPr>
    </w:lvl>
    <w:lvl w:ilvl="1" w:tplc="5C963B1A">
      <w:numFmt w:val="decimal"/>
      <w:lvlText w:val=""/>
      <w:lvlJc w:val="left"/>
    </w:lvl>
    <w:lvl w:ilvl="2" w:tplc="DB249694">
      <w:numFmt w:val="decimal"/>
      <w:lvlText w:val=""/>
      <w:lvlJc w:val="left"/>
    </w:lvl>
    <w:lvl w:ilvl="3" w:tplc="5948AAE8">
      <w:numFmt w:val="decimal"/>
      <w:lvlText w:val=""/>
      <w:lvlJc w:val="left"/>
    </w:lvl>
    <w:lvl w:ilvl="4" w:tplc="23C6B1FC">
      <w:numFmt w:val="decimal"/>
      <w:lvlText w:val=""/>
      <w:lvlJc w:val="left"/>
    </w:lvl>
    <w:lvl w:ilvl="5" w:tplc="B824C800">
      <w:numFmt w:val="decimal"/>
      <w:lvlText w:val=""/>
      <w:lvlJc w:val="left"/>
    </w:lvl>
    <w:lvl w:ilvl="6" w:tplc="37EA9570">
      <w:numFmt w:val="decimal"/>
      <w:lvlText w:val=""/>
      <w:lvlJc w:val="left"/>
    </w:lvl>
    <w:lvl w:ilvl="7" w:tplc="8EBAFA64">
      <w:numFmt w:val="decimal"/>
      <w:lvlText w:val=""/>
      <w:lvlJc w:val="left"/>
    </w:lvl>
    <w:lvl w:ilvl="8" w:tplc="61240056">
      <w:numFmt w:val="decimal"/>
      <w:lvlText w:val=""/>
      <w:lvlJc w:val="left"/>
    </w:lvl>
  </w:abstractNum>
  <w:abstractNum w:abstractNumId="647" w15:restartNumberingAfterBreak="0">
    <w:nsid w:val="48FF2D76"/>
    <w:multiLevelType w:val="hybridMultilevel"/>
    <w:tmpl w:val="894EEECC"/>
    <w:lvl w:ilvl="0" w:tplc="BCF0CE16">
      <w:start w:val="1"/>
      <w:numFmt w:val="bullet"/>
      <w:lvlText w:val=""/>
      <w:lvlJc w:val="left"/>
      <w:pPr>
        <w:ind w:left="720" w:hanging="180"/>
      </w:pPr>
      <w:rPr>
        <w:rFonts w:ascii="Symbol" w:hAnsi="Symbol" w:hint="default"/>
      </w:rPr>
    </w:lvl>
    <w:lvl w:ilvl="1" w:tplc="BE8C788C">
      <w:numFmt w:val="decimal"/>
      <w:lvlText w:val=""/>
      <w:lvlJc w:val="left"/>
    </w:lvl>
    <w:lvl w:ilvl="2" w:tplc="F3E89AD6">
      <w:numFmt w:val="decimal"/>
      <w:lvlText w:val=""/>
      <w:lvlJc w:val="left"/>
    </w:lvl>
    <w:lvl w:ilvl="3" w:tplc="6DF49CB0">
      <w:numFmt w:val="decimal"/>
      <w:lvlText w:val=""/>
      <w:lvlJc w:val="left"/>
    </w:lvl>
    <w:lvl w:ilvl="4" w:tplc="A9D6F2E8">
      <w:numFmt w:val="decimal"/>
      <w:lvlText w:val=""/>
      <w:lvlJc w:val="left"/>
    </w:lvl>
    <w:lvl w:ilvl="5" w:tplc="67CA244C">
      <w:numFmt w:val="decimal"/>
      <w:lvlText w:val=""/>
      <w:lvlJc w:val="left"/>
    </w:lvl>
    <w:lvl w:ilvl="6" w:tplc="F8FEC580">
      <w:numFmt w:val="decimal"/>
      <w:lvlText w:val=""/>
      <w:lvlJc w:val="left"/>
    </w:lvl>
    <w:lvl w:ilvl="7" w:tplc="7A1859EE">
      <w:numFmt w:val="decimal"/>
      <w:lvlText w:val=""/>
      <w:lvlJc w:val="left"/>
    </w:lvl>
    <w:lvl w:ilvl="8" w:tplc="7C6840DC">
      <w:numFmt w:val="decimal"/>
      <w:lvlText w:val=""/>
      <w:lvlJc w:val="left"/>
    </w:lvl>
  </w:abstractNum>
  <w:abstractNum w:abstractNumId="648" w15:restartNumberingAfterBreak="0">
    <w:nsid w:val="49015EC4"/>
    <w:multiLevelType w:val="hybridMultilevel"/>
    <w:tmpl w:val="9816F688"/>
    <w:lvl w:ilvl="0" w:tplc="66564F9C">
      <w:start w:val="1"/>
      <w:numFmt w:val="bullet"/>
      <w:lvlText w:val=""/>
      <w:lvlJc w:val="left"/>
      <w:pPr>
        <w:ind w:left="720" w:hanging="180"/>
      </w:pPr>
      <w:rPr>
        <w:rFonts w:ascii="Symbol" w:hAnsi="Symbol" w:hint="default"/>
      </w:rPr>
    </w:lvl>
    <w:lvl w:ilvl="1" w:tplc="AA40E88A">
      <w:numFmt w:val="decimal"/>
      <w:lvlText w:val=""/>
      <w:lvlJc w:val="left"/>
    </w:lvl>
    <w:lvl w:ilvl="2" w:tplc="98CEBCC8">
      <w:numFmt w:val="decimal"/>
      <w:lvlText w:val=""/>
      <w:lvlJc w:val="left"/>
    </w:lvl>
    <w:lvl w:ilvl="3" w:tplc="B9462A52">
      <w:numFmt w:val="decimal"/>
      <w:lvlText w:val=""/>
      <w:lvlJc w:val="left"/>
    </w:lvl>
    <w:lvl w:ilvl="4" w:tplc="DC3A2C74">
      <w:numFmt w:val="decimal"/>
      <w:lvlText w:val=""/>
      <w:lvlJc w:val="left"/>
    </w:lvl>
    <w:lvl w:ilvl="5" w:tplc="C60A08E0">
      <w:numFmt w:val="decimal"/>
      <w:lvlText w:val=""/>
      <w:lvlJc w:val="left"/>
    </w:lvl>
    <w:lvl w:ilvl="6" w:tplc="F02E9B20">
      <w:numFmt w:val="decimal"/>
      <w:lvlText w:val=""/>
      <w:lvlJc w:val="left"/>
    </w:lvl>
    <w:lvl w:ilvl="7" w:tplc="92ECFF04">
      <w:numFmt w:val="decimal"/>
      <w:lvlText w:val=""/>
      <w:lvlJc w:val="left"/>
    </w:lvl>
    <w:lvl w:ilvl="8" w:tplc="EADEE646">
      <w:numFmt w:val="decimal"/>
      <w:lvlText w:val=""/>
      <w:lvlJc w:val="left"/>
    </w:lvl>
  </w:abstractNum>
  <w:abstractNum w:abstractNumId="649" w15:restartNumberingAfterBreak="0">
    <w:nsid w:val="490F06CB"/>
    <w:multiLevelType w:val="hybridMultilevel"/>
    <w:tmpl w:val="AB324E06"/>
    <w:lvl w:ilvl="0" w:tplc="9BFC9DD2">
      <w:start w:val="1"/>
      <w:numFmt w:val="bullet"/>
      <w:lvlText w:val=""/>
      <w:lvlJc w:val="left"/>
      <w:pPr>
        <w:ind w:left="720" w:hanging="180"/>
      </w:pPr>
      <w:rPr>
        <w:rFonts w:ascii="Symbol" w:hAnsi="Symbol" w:hint="default"/>
      </w:rPr>
    </w:lvl>
    <w:lvl w:ilvl="1" w:tplc="00F2BF9C">
      <w:numFmt w:val="decimal"/>
      <w:lvlText w:val=""/>
      <w:lvlJc w:val="left"/>
    </w:lvl>
    <w:lvl w:ilvl="2" w:tplc="540499DC">
      <w:numFmt w:val="decimal"/>
      <w:lvlText w:val=""/>
      <w:lvlJc w:val="left"/>
    </w:lvl>
    <w:lvl w:ilvl="3" w:tplc="21529A66">
      <w:numFmt w:val="decimal"/>
      <w:lvlText w:val=""/>
      <w:lvlJc w:val="left"/>
    </w:lvl>
    <w:lvl w:ilvl="4" w:tplc="DF484A50">
      <w:numFmt w:val="decimal"/>
      <w:lvlText w:val=""/>
      <w:lvlJc w:val="left"/>
    </w:lvl>
    <w:lvl w:ilvl="5" w:tplc="32A8BECE">
      <w:numFmt w:val="decimal"/>
      <w:lvlText w:val=""/>
      <w:lvlJc w:val="left"/>
    </w:lvl>
    <w:lvl w:ilvl="6" w:tplc="83806F3E">
      <w:numFmt w:val="decimal"/>
      <w:lvlText w:val=""/>
      <w:lvlJc w:val="left"/>
    </w:lvl>
    <w:lvl w:ilvl="7" w:tplc="FD0EA186">
      <w:numFmt w:val="decimal"/>
      <w:lvlText w:val=""/>
      <w:lvlJc w:val="left"/>
    </w:lvl>
    <w:lvl w:ilvl="8" w:tplc="2AC05DDC">
      <w:numFmt w:val="decimal"/>
      <w:lvlText w:val=""/>
      <w:lvlJc w:val="left"/>
    </w:lvl>
  </w:abstractNum>
  <w:abstractNum w:abstractNumId="650" w15:restartNumberingAfterBreak="0">
    <w:nsid w:val="491908B5"/>
    <w:multiLevelType w:val="hybridMultilevel"/>
    <w:tmpl w:val="7EC83C60"/>
    <w:lvl w:ilvl="0" w:tplc="98383CC6">
      <w:start w:val="1"/>
      <w:numFmt w:val="bullet"/>
      <w:lvlText w:val=""/>
      <w:lvlJc w:val="left"/>
      <w:pPr>
        <w:ind w:left="720" w:hanging="180"/>
      </w:pPr>
      <w:rPr>
        <w:rFonts w:ascii="Symbol" w:hAnsi="Symbol" w:hint="default"/>
      </w:rPr>
    </w:lvl>
    <w:lvl w:ilvl="1" w:tplc="E13EB3BA">
      <w:numFmt w:val="decimal"/>
      <w:lvlText w:val=""/>
      <w:lvlJc w:val="left"/>
    </w:lvl>
    <w:lvl w:ilvl="2" w:tplc="6DBE71D2">
      <w:numFmt w:val="decimal"/>
      <w:lvlText w:val=""/>
      <w:lvlJc w:val="left"/>
    </w:lvl>
    <w:lvl w:ilvl="3" w:tplc="E3640590">
      <w:numFmt w:val="decimal"/>
      <w:lvlText w:val=""/>
      <w:lvlJc w:val="left"/>
    </w:lvl>
    <w:lvl w:ilvl="4" w:tplc="D0AABCAE">
      <w:numFmt w:val="decimal"/>
      <w:lvlText w:val=""/>
      <w:lvlJc w:val="left"/>
    </w:lvl>
    <w:lvl w:ilvl="5" w:tplc="02501EEA">
      <w:numFmt w:val="decimal"/>
      <w:lvlText w:val=""/>
      <w:lvlJc w:val="left"/>
    </w:lvl>
    <w:lvl w:ilvl="6" w:tplc="691A7080">
      <w:numFmt w:val="decimal"/>
      <w:lvlText w:val=""/>
      <w:lvlJc w:val="left"/>
    </w:lvl>
    <w:lvl w:ilvl="7" w:tplc="50E6F042">
      <w:numFmt w:val="decimal"/>
      <w:lvlText w:val=""/>
      <w:lvlJc w:val="left"/>
    </w:lvl>
    <w:lvl w:ilvl="8" w:tplc="A49A1232">
      <w:numFmt w:val="decimal"/>
      <w:lvlText w:val=""/>
      <w:lvlJc w:val="left"/>
    </w:lvl>
  </w:abstractNum>
  <w:abstractNum w:abstractNumId="651" w15:restartNumberingAfterBreak="0">
    <w:nsid w:val="49335F35"/>
    <w:multiLevelType w:val="hybridMultilevel"/>
    <w:tmpl w:val="641041A4"/>
    <w:lvl w:ilvl="0" w:tplc="ADB6B554">
      <w:start w:val="1"/>
      <w:numFmt w:val="bullet"/>
      <w:lvlText w:val=""/>
      <w:lvlJc w:val="left"/>
      <w:pPr>
        <w:ind w:left="720" w:hanging="180"/>
      </w:pPr>
      <w:rPr>
        <w:rFonts w:ascii="Symbol" w:hAnsi="Symbol" w:hint="default"/>
      </w:rPr>
    </w:lvl>
    <w:lvl w:ilvl="1" w:tplc="10247368">
      <w:numFmt w:val="decimal"/>
      <w:lvlText w:val=""/>
      <w:lvlJc w:val="left"/>
    </w:lvl>
    <w:lvl w:ilvl="2" w:tplc="DD98D304">
      <w:numFmt w:val="decimal"/>
      <w:lvlText w:val=""/>
      <w:lvlJc w:val="left"/>
    </w:lvl>
    <w:lvl w:ilvl="3" w:tplc="D6CCDC6A">
      <w:numFmt w:val="decimal"/>
      <w:lvlText w:val=""/>
      <w:lvlJc w:val="left"/>
    </w:lvl>
    <w:lvl w:ilvl="4" w:tplc="5BDC6E60">
      <w:numFmt w:val="decimal"/>
      <w:lvlText w:val=""/>
      <w:lvlJc w:val="left"/>
    </w:lvl>
    <w:lvl w:ilvl="5" w:tplc="E2602F96">
      <w:numFmt w:val="decimal"/>
      <w:lvlText w:val=""/>
      <w:lvlJc w:val="left"/>
    </w:lvl>
    <w:lvl w:ilvl="6" w:tplc="E4F04D10">
      <w:numFmt w:val="decimal"/>
      <w:lvlText w:val=""/>
      <w:lvlJc w:val="left"/>
    </w:lvl>
    <w:lvl w:ilvl="7" w:tplc="C3BA39DC">
      <w:numFmt w:val="decimal"/>
      <w:lvlText w:val=""/>
      <w:lvlJc w:val="left"/>
    </w:lvl>
    <w:lvl w:ilvl="8" w:tplc="19B0B86A">
      <w:numFmt w:val="decimal"/>
      <w:lvlText w:val=""/>
      <w:lvlJc w:val="left"/>
    </w:lvl>
  </w:abstractNum>
  <w:abstractNum w:abstractNumId="652" w15:restartNumberingAfterBreak="0">
    <w:nsid w:val="493367DC"/>
    <w:multiLevelType w:val="hybridMultilevel"/>
    <w:tmpl w:val="6AAE234E"/>
    <w:lvl w:ilvl="0" w:tplc="B0AC4FEC">
      <w:numFmt w:val="decimal"/>
      <w:lvlText w:val=""/>
      <w:lvlJc w:val="left"/>
    </w:lvl>
    <w:lvl w:ilvl="1" w:tplc="7512CCC6">
      <w:start w:val="1"/>
      <w:numFmt w:val="bullet"/>
      <w:lvlText w:val=""/>
      <w:lvlJc w:val="left"/>
      <w:pPr>
        <w:ind w:left="1440" w:hanging="180"/>
      </w:pPr>
      <w:rPr>
        <w:rFonts w:ascii="Symbol" w:hAnsi="Symbol" w:hint="default"/>
      </w:rPr>
    </w:lvl>
    <w:lvl w:ilvl="2" w:tplc="631A4712">
      <w:numFmt w:val="decimal"/>
      <w:lvlText w:val=""/>
      <w:lvlJc w:val="left"/>
    </w:lvl>
    <w:lvl w:ilvl="3" w:tplc="CEDC6E32">
      <w:numFmt w:val="decimal"/>
      <w:lvlText w:val=""/>
      <w:lvlJc w:val="left"/>
    </w:lvl>
    <w:lvl w:ilvl="4" w:tplc="E266EB86">
      <w:numFmt w:val="decimal"/>
      <w:lvlText w:val=""/>
      <w:lvlJc w:val="left"/>
    </w:lvl>
    <w:lvl w:ilvl="5" w:tplc="FED256B2">
      <w:numFmt w:val="decimal"/>
      <w:lvlText w:val=""/>
      <w:lvlJc w:val="left"/>
    </w:lvl>
    <w:lvl w:ilvl="6" w:tplc="7C427AEA">
      <w:numFmt w:val="decimal"/>
      <w:lvlText w:val=""/>
      <w:lvlJc w:val="left"/>
    </w:lvl>
    <w:lvl w:ilvl="7" w:tplc="D84203EE">
      <w:numFmt w:val="decimal"/>
      <w:lvlText w:val=""/>
      <w:lvlJc w:val="left"/>
    </w:lvl>
    <w:lvl w:ilvl="8" w:tplc="375AF0D0">
      <w:numFmt w:val="decimal"/>
      <w:lvlText w:val=""/>
      <w:lvlJc w:val="left"/>
    </w:lvl>
  </w:abstractNum>
  <w:abstractNum w:abstractNumId="653" w15:restartNumberingAfterBreak="0">
    <w:nsid w:val="49370BC9"/>
    <w:multiLevelType w:val="hybridMultilevel"/>
    <w:tmpl w:val="7D28D99C"/>
    <w:lvl w:ilvl="0" w:tplc="CA863434">
      <w:numFmt w:val="decimal"/>
      <w:lvlText w:val=""/>
      <w:lvlJc w:val="left"/>
    </w:lvl>
    <w:lvl w:ilvl="1" w:tplc="37180C08">
      <w:start w:val="1"/>
      <w:numFmt w:val="bullet"/>
      <w:lvlText w:val=""/>
      <w:lvlJc w:val="left"/>
      <w:pPr>
        <w:ind w:left="1440" w:hanging="180"/>
      </w:pPr>
      <w:rPr>
        <w:rFonts w:ascii="Symbol" w:hAnsi="Symbol" w:hint="default"/>
      </w:rPr>
    </w:lvl>
    <w:lvl w:ilvl="2" w:tplc="FF948BF6">
      <w:numFmt w:val="decimal"/>
      <w:lvlText w:val=""/>
      <w:lvlJc w:val="left"/>
    </w:lvl>
    <w:lvl w:ilvl="3" w:tplc="C8B2F154">
      <w:numFmt w:val="decimal"/>
      <w:lvlText w:val=""/>
      <w:lvlJc w:val="left"/>
    </w:lvl>
    <w:lvl w:ilvl="4" w:tplc="D9E4818C">
      <w:numFmt w:val="decimal"/>
      <w:lvlText w:val=""/>
      <w:lvlJc w:val="left"/>
    </w:lvl>
    <w:lvl w:ilvl="5" w:tplc="5E2059AC">
      <w:numFmt w:val="decimal"/>
      <w:lvlText w:val=""/>
      <w:lvlJc w:val="left"/>
    </w:lvl>
    <w:lvl w:ilvl="6" w:tplc="B56A22CE">
      <w:numFmt w:val="decimal"/>
      <w:lvlText w:val=""/>
      <w:lvlJc w:val="left"/>
    </w:lvl>
    <w:lvl w:ilvl="7" w:tplc="7E2264B0">
      <w:numFmt w:val="decimal"/>
      <w:lvlText w:val=""/>
      <w:lvlJc w:val="left"/>
    </w:lvl>
    <w:lvl w:ilvl="8" w:tplc="102CAA36">
      <w:numFmt w:val="decimal"/>
      <w:lvlText w:val=""/>
      <w:lvlJc w:val="left"/>
    </w:lvl>
  </w:abstractNum>
  <w:abstractNum w:abstractNumId="654" w15:restartNumberingAfterBreak="0">
    <w:nsid w:val="4943543E"/>
    <w:multiLevelType w:val="hybridMultilevel"/>
    <w:tmpl w:val="3A80C152"/>
    <w:lvl w:ilvl="0" w:tplc="059A482A">
      <w:start w:val="1"/>
      <w:numFmt w:val="bullet"/>
      <w:lvlText w:val=""/>
      <w:lvlJc w:val="left"/>
      <w:pPr>
        <w:ind w:left="720" w:hanging="180"/>
      </w:pPr>
      <w:rPr>
        <w:rFonts w:ascii="Symbol" w:hAnsi="Symbol" w:hint="default"/>
      </w:rPr>
    </w:lvl>
    <w:lvl w:ilvl="1" w:tplc="CC768366">
      <w:numFmt w:val="decimal"/>
      <w:lvlText w:val=""/>
      <w:lvlJc w:val="left"/>
    </w:lvl>
    <w:lvl w:ilvl="2" w:tplc="629C92AC">
      <w:numFmt w:val="decimal"/>
      <w:lvlText w:val=""/>
      <w:lvlJc w:val="left"/>
    </w:lvl>
    <w:lvl w:ilvl="3" w:tplc="45867886">
      <w:numFmt w:val="decimal"/>
      <w:lvlText w:val=""/>
      <w:lvlJc w:val="left"/>
    </w:lvl>
    <w:lvl w:ilvl="4" w:tplc="3702D688">
      <w:numFmt w:val="decimal"/>
      <w:lvlText w:val=""/>
      <w:lvlJc w:val="left"/>
    </w:lvl>
    <w:lvl w:ilvl="5" w:tplc="AEA43BAA">
      <w:numFmt w:val="decimal"/>
      <w:lvlText w:val=""/>
      <w:lvlJc w:val="left"/>
    </w:lvl>
    <w:lvl w:ilvl="6" w:tplc="4F6EB7C4">
      <w:numFmt w:val="decimal"/>
      <w:lvlText w:val=""/>
      <w:lvlJc w:val="left"/>
    </w:lvl>
    <w:lvl w:ilvl="7" w:tplc="8C2858C4">
      <w:numFmt w:val="decimal"/>
      <w:lvlText w:val=""/>
      <w:lvlJc w:val="left"/>
    </w:lvl>
    <w:lvl w:ilvl="8" w:tplc="D3389B9A">
      <w:numFmt w:val="decimal"/>
      <w:lvlText w:val=""/>
      <w:lvlJc w:val="left"/>
    </w:lvl>
  </w:abstractNum>
  <w:abstractNum w:abstractNumId="655" w15:restartNumberingAfterBreak="0">
    <w:nsid w:val="495E6038"/>
    <w:multiLevelType w:val="hybridMultilevel"/>
    <w:tmpl w:val="F9A2526C"/>
    <w:lvl w:ilvl="0" w:tplc="4BCC37C0">
      <w:start w:val="1"/>
      <w:numFmt w:val="bullet"/>
      <w:lvlText w:val=""/>
      <w:lvlJc w:val="left"/>
      <w:pPr>
        <w:ind w:left="720" w:hanging="180"/>
      </w:pPr>
      <w:rPr>
        <w:rFonts w:ascii="Symbol" w:hAnsi="Symbol" w:hint="default"/>
      </w:rPr>
    </w:lvl>
    <w:lvl w:ilvl="1" w:tplc="1AE897F2">
      <w:numFmt w:val="decimal"/>
      <w:lvlText w:val=""/>
      <w:lvlJc w:val="left"/>
    </w:lvl>
    <w:lvl w:ilvl="2" w:tplc="87FC7338">
      <w:numFmt w:val="decimal"/>
      <w:lvlText w:val=""/>
      <w:lvlJc w:val="left"/>
    </w:lvl>
    <w:lvl w:ilvl="3" w:tplc="ACC8E6B2">
      <w:numFmt w:val="decimal"/>
      <w:lvlText w:val=""/>
      <w:lvlJc w:val="left"/>
    </w:lvl>
    <w:lvl w:ilvl="4" w:tplc="E3306AC0">
      <w:numFmt w:val="decimal"/>
      <w:lvlText w:val=""/>
      <w:lvlJc w:val="left"/>
    </w:lvl>
    <w:lvl w:ilvl="5" w:tplc="E02A3E76">
      <w:numFmt w:val="decimal"/>
      <w:lvlText w:val=""/>
      <w:lvlJc w:val="left"/>
    </w:lvl>
    <w:lvl w:ilvl="6" w:tplc="8550BA8E">
      <w:numFmt w:val="decimal"/>
      <w:lvlText w:val=""/>
      <w:lvlJc w:val="left"/>
    </w:lvl>
    <w:lvl w:ilvl="7" w:tplc="4F98F6F4">
      <w:numFmt w:val="decimal"/>
      <w:lvlText w:val=""/>
      <w:lvlJc w:val="left"/>
    </w:lvl>
    <w:lvl w:ilvl="8" w:tplc="A1F48C6C">
      <w:numFmt w:val="decimal"/>
      <w:lvlText w:val=""/>
      <w:lvlJc w:val="left"/>
    </w:lvl>
  </w:abstractNum>
  <w:abstractNum w:abstractNumId="656" w15:restartNumberingAfterBreak="0">
    <w:nsid w:val="496A1A25"/>
    <w:multiLevelType w:val="hybridMultilevel"/>
    <w:tmpl w:val="6E5E9C2C"/>
    <w:lvl w:ilvl="0" w:tplc="F282E408">
      <w:start w:val="1"/>
      <w:numFmt w:val="bullet"/>
      <w:lvlText w:val=""/>
      <w:lvlJc w:val="left"/>
      <w:pPr>
        <w:ind w:left="720" w:hanging="180"/>
      </w:pPr>
      <w:rPr>
        <w:rFonts w:ascii="Symbol" w:hAnsi="Symbol" w:hint="default"/>
      </w:rPr>
    </w:lvl>
    <w:lvl w:ilvl="1" w:tplc="A560E26A">
      <w:numFmt w:val="decimal"/>
      <w:lvlText w:val=""/>
      <w:lvlJc w:val="left"/>
    </w:lvl>
    <w:lvl w:ilvl="2" w:tplc="A9B02E38">
      <w:numFmt w:val="decimal"/>
      <w:lvlText w:val=""/>
      <w:lvlJc w:val="left"/>
    </w:lvl>
    <w:lvl w:ilvl="3" w:tplc="743A6FDC">
      <w:numFmt w:val="decimal"/>
      <w:lvlText w:val=""/>
      <w:lvlJc w:val="left"/>
    </w:lvl>
    <w:lvl w:ilvl="4" w:tplc="ED825402">
      <w:numFmt w:val="decimal"/>
      <w:lvlText w:val=""/>
      <w:lvlJc w:val="left"/>
    </w:lvl>
    <w:lvl w:ilvl="5" w:tplc="6464E99C">
      <w:numFmt w:val="decimal"/>
      <w:lvlText w:val=""/>
      <w:lvlJc w:val="left"/>
    </w:lvl>
    <w:lvl w:ilvl="6" w:tplc="A43E57EA">
      <w:numFmt w:val="decimal"/>
      <w:lvlText w:val=""/>
      <w:lvlJc w:val="left"/>
    </w:lvl>
    <w:lvl w:ilvl="7" w:tplc="48E87324">
      <w:numFmt w:val="decimal"/>
      <w:lvlText w:val=""/>
      <w:lvlJc w:val="left"/>
    </w:lvl>
    <w:lvl w:ilvl="8" w:tplc="8A704E54">
      <w:numFmt w:val="decimal"/>
      <w:lvlText w:val=""/>
      <w:lvlJc w:val="left"/>
    </w:lvl>
  </w:abstractNum>
  <w:abstractNum w:abstractNumId="657" w15:restartNumberingAfterBreak="0">
    <w:nsid w:val="499D4D08"/>
    <w:multiLevelType w:val="hybridMultilevel"/>
    <w:tmpl w:val="F658594A"/>
    <w:lvl w:ilvl="0" w:tplc="C8782566">
      <w:start w:val="1"/>
      <w:numFmt w:val="bullet"/>
      <w:lvlText w:val=""/>
      <w:lvlJc w:val="left"/>
      <w:pPr>
        <w:ind w:left="720" w:hanging="180"/>
      </w:pPr>
      <w:rPr>
        <w:rFonts w:ascii="Symbol" w:hAnsi="Symbol" w:hint="default"/>
      </w:rPr>
    </w:lvl>
    <w:lvl w:ilvl="1" w:tplc="35BAA58C">
      <w:numFmt w:val="decimal"/>
      <w:lvlText w:val=""/>
      <w:lvlJc w:val="left"/>
    </w:lvl>
    <w:lvl w:ilvl="2" w:tplc="632E67E2">
      <w:numFmt w:val="decimal"/>
      <w:lvlText w:val=""/>
      <w:lvlJc w:val="left"/>
    </w:lvl>
    <w:lvl w:ilvl="3" w:tplc="BDEEEC3C">
      <w:numFmt w:val="decimal"/>
      <w:lvlText w:val=""/>
      <w:lvlJc w:val="left"/>
    </w:lvl>
    <w:lvl w:ilvl="4" w:tplc="7FDEF824">
      <w:numFmt w:val="decimal"/>
      <w:lvlText w:val=""/>
      <w:lvlJc w:val="left"/>
    </w:lvl>
    <w:lvl w:ilvl="5" w:tplc="0E52BFD4">
      <w:numFmt w:val="decimal"/>
      <w:lvlText w:val=""/>
      <w:lvlJc w:val="left"/>
    </w:lvl>
    <w:lvl w:ilvl="6" w:tplc="D78EF7AA">
      <w:numFmt w:val="decimal"/>
      <w:lvlText w:val=""/>
      <w:lvlJc w:val="left"/>
    </w:lvl>
    <w:lvl w:ilvl="7" w:tplc="EF947FF0">
      <w:numFmt w:val="decimal"/>
      <w:lvlText w:val=""/>
      <w:lvlJc w:val="left"/>
    </w:lvl>
    <w:lvl w:ilvl="8" w:tplc="777C3F78">
      <w:numFmt w:val="decimal"/>
      <w:lvlText w:val=""/>
      <w:lvlJc w:val="left"/>
    </w:lvl>
  </w:abstractNum>
  <w:abstractNum w:abstractNumId="658" w15:restartNumberingAfterBreak="0">
    <w:nsid w:val="49AB67DE"/>
    <w:multiLevelType w:val="hybridMultilevel"/>
    <w:tmpl w:val="ECCA9DB4"/>
    <w:lvl w:ilvl="0" w:tplc="94EA3A02">
      <w:start w:val="1"/>
      <w:numFmt w:val="bullet"/>
      <w:lvlText w:val=""/>
      <w:lvlJc w:val="left"/>
      <w:pPr>
        <w:ind w:left="720" w:hanging="180"/>
      </w:pPr>
      <w:rPr>
        <w:rFonts w:ascii="Symbol" w:hAnsi="Symbol" w:hint="default"/>
      </w:rPr>
    </w:lvl>
    <w:lvl w:ilvl="1" w:tplc="BDBA3EA0">
      <w:numFmt w:val="decimal"/>
      <w:lvlText w:val=""/>
      <w:lvlJc w:val="left"/>
    </w:lvl>
    <w:lvl w:ilvl="2" w:tplc="D4D46E34">
      <w:numFmt w:val="decimal"/>
      <w:lvlText w:val=""/>
      <w:lvlJc w:val="left"/>
    </w:lvl>
    <w:lvl w:ilvl="3" w:tplc="61A44C96">
      <w:numFmt w:val="decimal"/>
      <w:lvlText w:val=""/>
      <w:lvlJc w:val="left"/>
    </w:lvl>
    <w:lvl w:ilvl="4" w:tplc="AACE5678">
      <w:numFmt w:val="decimal"/>
      <w:lvlText w:val=""/>
      <w:lvlJc w:val="left"/>
    </w:lvl>
    <w:lvl w:ilvl="5" w:tplc="937A21AC">
      <w:numFmt w:val="decimal"/>
      <w:lvlText w:val=""/>
      <w:lvlJc w:val="left"/>
    </w:lvl>
    <w:lvl w:ilvl="6" w:tplc="1C068882">
      <w:numFmt w:val="decimal"/>
      <w:lvlText w:val=""/>
      <w:lvlJc w:val="left"/>
    </w:lvl>
    <w:lvl w:ilvl="7" w:tplc="648E28FE">
      <w:numFmt w:val="decimal"/>
      <w:lvlText w:val=""/>
      <w:lvlJc w:val="left"/>
    </w:lvl>
    <w:lvl w:ilvl="8" w:tplc="0AFA7F02">
      <w:numFmt w:val="decimal"/>
      <w:lvlText w:val=""/>
      <w:lvlJc w:val="left"/>
    </w:lvl>
  </w:abstractNum>
  <w:abstractNum w:abstractNumId="659" w15:restartNumberingAfterBreak="0">
    <w:nsid w:val="49AC116F"/>
    <w:multiLevelType w:val="hybridMultilevel"/>
    <w:tmpl w:val="09100B86"/>
    <w:lvl w:ilvl="0" w:tplc="979E0DC8">
      <w:start w:val="1"/>
      <w:numFmt w:val="bullet"/>
      <w:lvlText w:val=""/>
      <w:lvlJc w:val="left"/>
      <w:pPr>
        <w:ind w:left="720" w:hanging="180"/>
      </w:pPr>
      <w:rPr>
        <w:rFonts w:ascii="Symbol" w:hAnsi="Symbol" w:hint="default"/>
      </w:rPr>
    </w:lvl>
    <w:lvl w:ilvl="1" w:tplc="F06C09BE">
      <w:numFmt w:val="decimal"/>
      <w:lvlText w:val=""/>
      <w:lvlJc w:val="left"/>
    </w:lvl>
    <w:lvl w:ilvl="2" w:tplc="401A9ABE">
      <w:numFmt w:val="decimal"/>
      <w:lvlText w:val=""/>
      <w:lvlJc w:val="left"/>
    </w:lvl>
    <w:lvl w:ilvl="3" w:tplc="D1F8B1EA">
      <w:numFmt w:val="decimal"/>
      <w:lvlText w:val=""/>
      <w:lvlJc w:val="left"/>
    </w:lvl>
    <w:lvl w:ilvl="4" w:tplc="DB04DA26">
      <w:numFmt w:val="decimal"/>
      <w:lvlText w:val=""/>
      <w:lvlJc w:val="left"/>
    </w:lvl>
    <w:lvl w:ilvl="5" w:tplc="62B64490">
      <w:numFmt w:val="decimal"/>
      <w:lvlText w:val=""/>
      <w:lvlJc w:val="left"/>
    </w:lvl>
    <w:lvl w:ilvl="6" w:tplc="CCAC9EB0">
      <w:numFmt w:val="decimal"/>
      <w:lvlText w:val=""/>
      <w:lvlJc w:val="left"/>
    </w:lvl>
    <w:lvl w:ilvl="7" w:tplc="697058E4">
      <w:numFmt w:val="decimal"/>
      <w:lvlText w:val=""/>
      <w:lvlJc w:val="left"/>
    </w:lvl>
    <w:lvl w:ilvl="8" w:tplc="B384509C">
      <w:numFmt w:val="decimal"/>
      <w:lvlText w:val=""/>
      <w:lvlJc w:val="left"/>
    </w:lvl>
  </w:abstractNum>
  <w:abstractNum w:abstractNumId="660" w15:restartNumberingAfterBreak="0">
    <w:nsid w:val="49AF0A44"/>
    <w:multiLevelType w:val="hybridMultilevel"/>
    <w:tmpl w:val="0CCC4E78"/>
    <w:lvl w:ilvl="0" w:tplc="D3146342">
      <w:start w:val="1"/>
      <w:numFmt w:val="bullet"/>
      <w:lvlText w:val=""/>
      <w:lvlJc w:val="left"/>
      <w:pPr>
        <w:ind w:left="720" w:hanging="180"/>
      </w:pPr>
      <w:rPr>
        <w:rFonts w:ascii="Symbol" w:hAnsi="Symbol" w:hint="default"/>
      </w:rPr>
    </w:lvl>
    <w:lvl w:ilvl="1" w:tplc="50565B90">
      <w:numFmt w:val="decimal"/>
      <w:lvlText w:val=""/>
      <w:lvlJc w:val="left"/>
    </w:lvl>
    <w:lvl w:ilvl="2" w:tplc="37507EEA">
      <w:numFmt w:val="decimal"/>
      <w:lvlText w:val=""/>
      <w:lvlJc w:val="left"/>
    </w:lvl>
    <w:lvl w:ilvl="3" w:tplc="54BAEF24">
      <w:numFmt w:val="decimal"/>
      <w:lvlText w:val=""/>
      <w:lvlJc w:val="left"/>
    </w:lvl>
    <w:lvl w:ilvl="4" w:tplc="C3CCEF9C">
      <w:numFmt w:val="decimal"/>
      <w:lvlText w:val=""/>
      <w:lvlJc w:val="left"/>
    </w:lvl>
    <w:lvl w:ilvl="5" w:tplc="B638129C">
      <w:numFmt w:val="decimal"/>
      <w:lvlText w:val=""/>
      <w:lvlJc w:val="left"/>
    </w:lvl>
    <w:lvl w:ilvl="6" w:tplc="61AC5B6A">
      <w:numFmt w:val="decimal"/>
      <w:lvlText w:val=""/>
      <w:lvlJc w:val="left"/>
    </w:lvl>
    <w:lvl w:ilvl="7" w:tplc="583A1598">
      <w:numFmt w:val="decimal"/>
      <w:lvlText w:val=""/>
      <w:lvlJc w:val="left"/>
    </w:lvl>
    <w:lvl w:ilvl="8" w:tplc="E2F4435C">
      <w:numFmt w:val="decimal"/>
      <w:lvlText w:val=""/>
      <w:lvlJc w:val="left"/>
    </w:lvl>
  </w:abstractNum>
  <w:abstractNum w:abstractNumId="661" w15:restartNumberingAfterBreak="0">
    <w:nsid w:val="49BB56B9"/>
    <w:multiLevelType w:val="hybridMultilevel"/>
    <w:tmpl w:val="A19201EE"/>
    <w:lvl w:ilvl="0" w:tplc="48008B6C">
      <w:start w:val="1"/>
      <w:numFmt w:val="bullet"/>
      <w:lvlText w:val=""/>
      <w:lvlJc w:val="left"/>
      <w:pPr>
        <w:ind w:left="720" w:hanging="180"/>
      </w:pPr>
      <w:rPr>
        <w:rFonts w:ascii="Symbol" w:hAnsi="Symbol" w:hint="default"/>
      </w:rPr>
    </w:lvl>
    <w:lvl w:ilvl="1" w:tplc="50C64600">
      <w:numFmt w:val="decimal"/>
      <w:lvlText w:val=""/>
      <w:lvlJc w:val="left"/>
    </w:lvl>
    <w:lvl w:ilvl="2" w:tplc="DB747392">
      <w:numFmt w:val="decimal"/>
      <w:lvlText w:val=""/>
      <w:lvlJc w:val="left"/>
    </w:lvl>
    <w:lvl w:ilvl="3" w:tplc="287A209C">
      <w:numFmt w:val="decimal"/>
      <w:lvlText w:val=""/>
      <w:lvlJc w:val="left"/>
    </w:lvl>
    <w:lvl w:ilvl="4" w:tplc="6ACEE608">
      <w:numFmt w:val="decimal"/>
      <w:lvlText w:val=""/>
      <w:lvlJc w:val="left"/>
    </w:lvl>
    <w:lvl w:ilvl="5" w:tplc="40404F9A">
      <w:numFmt w:val="decimal"/>
      <w:lvlText w:val=""/>
      <w:lvlJc w:val="left"/>
    </w:lvl>
    <w:lvl w:ilvl="6" w:tplc="435EF6EA">
      <w:numFmt w:val="decimal"/>
      <w:lvlText w:val=""/>
      <w:lvlJc w:val="left"/>
    </w:lvl>
    <w:lvl w:ilvl="7" w:tplc="FF027E8E">
      <w:numFmt w:val="decimal"/>
      <w:lvlText w:val=""/>
      <w:lvlJc w:val="left"/>
    </w:lvl>
    <w:lvl w:ilvl="8" w:tplc="B3FAFD6E">
      <w:numFmt w:val="decimal"/>
      <w:lvlText w:val=""/>
      <w:lvlJc w:val="left"/>
    </w:lvl>
  </w:abstractNum>
  <w:abstractNum w:abstractNumId="662" w15:restartNumberingAfterBreak="0">
    <w:nsid w:val="49E34CB2"/>
    <w:multiLevelType w:val="hybridMultilevel"/>
    <w:tmpl w:val="3E4C742C"/>
    <w:lvl w:ilvl="0" w:tplc="441AF864">
      <w:start w:val="1"/>
      <w:numFmt w:val="bullet"/>
      <w:lvlText w:val=""/>
      <w:lvlJc w:val="left"/>
      <w:pPr>
        <w:ind w:left="720" w:hanging="180"/>
      </w:pPr>
      <w:rPr>
        <w:rFonts w:ascii="Symbol" w:hAnsi="Symbol" w:hint="default"/>
      </w:rPr>
    </w:lvl>
    <w:lvl w:ilvl="1" w:tplc="AFB4156E">
      <w:numFmt w:val="decimal"/>
      <w:lvlText w:val=""/>
      <w:lvlJc w:val="left"/>
    </w:lvl>
    <w:lvl w:ilvl="2" w:tplc="7CDC60DC">
      <w:numFmt w:val="decimal"/>
      <w:lvlText w:val=""/>
      <w:lvlJc w:val="left"/>
    </w:lvl>
    <w:lvl w:ilvl="3" w:tplc="70ECA110">
      <w:numFmt w:val="decimal"/>
      <w:lvlText w:val=""/>
      <w:lvlJc w:val="left"/>
    </w:lvl>
    <w:lvl w:ilvl="4" w:tplc="8D3495A4">
      <w:numFmt w:val="decimal"/>
      <w:lvlText w:val=""/>
      <w:lvlJc w:val="left"/>
    </w:lvl>
    <w:lvl w:ilvl="5" w:tplc="497CA2EE">
      <w:numFmt w:val="decimal"/>
      <w:lvlText w:val=""/>
      <w:lvlJc w:val="left"/>
    </w:lvl>
    <w:lvl w:ilvl="6" w:tplc="EE249BBC">
      <w:numFmt w:val="decimal"/>
      <w:lvlText w:val=""/>
      <w:lvlJc w:val="left"/>
    </w:lvl>
    <w:lvl w:ilvl="7" w:tplc="05C6FAFE">
      <w:numFmt w:val="decimal"/>
      <w:lvlText w:val=""/>
      <w:lvlJc w:val="left"/>
    </w:lvl>
    <w:lvl w:ilvl="8" w:tplc="8B0822C0">
      <w:numFmt w:val="decimal"/>
      <w:lvlText w:val=""/>
      <w:lvlJc w:val="left"/>
    </w:lvl>
  </w:abstractNum>
  <w:abstractNum w:abstractNumId="663" w15:restartNumberingAfterBreak="0">
    <w:nsid w:val="49E6540D"/>
    <w:multiLevelType w:val="hybridMultilevel"/>
    <w:tmpl w:val="9780B8A4"/>
    <w:lvl w:ilvl="0" w:tplc="0E6CB0BE">
      <w:start w:val="1"/>
      <w:numFmt w:val="bullet"/>
      <w:lvlText w:val=""/>
      <w:lvlJc w:val="left"/>
      <w:pPr>
        <w:ind w:left="720" w:hanging="180"/>
      </w:pPr>
      <w:rPr>
        <w:rFonts w:ascii="Symbol" w:hAnsi="Symbol" w:hint="default"/>
      </w:rPr>
    </w:lvl>
    <w:lvl w:ilvl="1" w:tplc="DB28356E">
      <w:numFmt w:val="decimal"/>
      <w:lvlText w:val=""/>
      <w:lvlJc w:val="left"/>
    </w:lvl>
    <w:lvl w:ilvl="2" w:tplc="2CFAC2CA">
      <w:numFmt w:val="decimal"/>
      <w:lvlText w:val=""/>
      <w:lvlJc w:val="left"/>
    </w:lvl>
    <w:lvl w:ilvl="3" w:tplc="53AAF19A">
      <w:numFmt w:val="decimal"/>
      <w:lvlText w:val=""/>
      <w:lvlJc w:val="left"/>
    </w:lvl>
    <w:lvl w:ilvl="4" w:tplc="67DCCAC0">
      <w:numFmt w:val="decimal"/>
      <w:lvlText w:val=""/>
      <w:lvlJc w:val="left"/>
    </w:lvl>
    <w:lvl w:ilvl="5" w:tplc="A65EE898">
      <w:numFmt w:val="decimal"/>
      <w:lvlText w:val=""/>
      <w:lvlJc w:val="left"/>
    </w:lvl>
    <w:lvl w:ilvl="6" w:tplc="CE66A1BA">
      <w:numFmt w:val="decimal"/>
      <w:lvlText w:val=""/>
      <w:lvlJc w:val="left"/>
    </w:lvl>
    <w:lvl w:ilvl="7" w:tplc="DBAA8ADC">
      <w:numFmt w:val="decimal"/>
      <w:lvlText w:val=""/>
      <w:lvlJc w:val="left"/>
    </w:lvl>
    <w:lvl w:ilvl="8" w:tplc="A0DE1294">
      <w:numFmt w:val="decimal"/>
      <w:lvlText w:val=""/>
      <w:lvlJc w:val="left"/>
    </w:lvl>
  </w:abstractNum>
  <w:abstractNum w:abstractNumId="664" w15:restartNumberingAfterBreak="0">
    <w:nsid w:val="49F4616D"/>
    <w:multiLevelType w:val="hybridMultilevel"/>
    <w:tmpl w:val="99FCCCCA"/>
    <w:lvl w:ilvl="0" w:tplc="EA38EDC0">
      <w:start w:val="1"/>
      <w:numFmt w:val="bullet"/>
      <w:lvlText w:val=""/>
      <w:lvlJc w:val="left"/>
      <w:pPr>
        <w:ind w:left="720" w:hanging="180"/>
      </w:pPr>
      <w:rPr>
        <w:rFonts w:ascii="Symbol" w:hAnsi="Symbol" w:hint="default"/>
      </w:rPr>
    </w:lvl>
    <w:lvl w:ilvl="1" w:tplc="876A81D0">
      <w:numFmt w:val="decimal"/>
      <w:lvlText w:val=""/>
      <w:lvlJc w:val="left"/>
    </w:lvl>
    <w:lvl w:ilvl="2" w:tplc="8B4672D0">
      <w:numFmt w:val="decimal"/>
      <w:lvlText w:val=""/>
      <w:lvlJc w:val="left"/>
    </w:lvl>
    <w:lvl w:ilvl="3" w:tplc="FFF4EBEE">
      <w:numFmt w:val="decimal"/>
      <w:lvlText w:val=""/>
      <w:lvlJc w:val="left"/>
    </w:lvl>
    <w:lvl w:ilvl="4" w:tplc="8A2A1284">
      <w:numFmt w:val="decimal"/>
      <w:lvlText w:val=""/>
      <w:lvlJc w:val="left"/>
    </w:lvl>
    <w:lvl w:ilvl="5" w:tplc="B4CCAA66">
      <w:numFmt w:val="decimal"/>
      <w:lvlText w:val=""/>
      <w:lvlJc w:val="left"/>
    </w:lvl>
    <w:lvl w:ilvl="6" w:tplc="9762F250">
      <w:numFmt w:val="decimal"/>
      <w:lvlText w:val=""/>
      <w:lvlJc w:val="left"/>
    </w:lvl>
    <w:lvl w:ilvl="7" w:tplc="94F4CBC8">
      <w:numFmt w:val="decimal"/>
      <w:lvlText w:val=""/>
      <w:lvlJc w:val="left"/>
    </w:lvl>
    <w:lvl w:ilvl="8" w:tplc="4150E8E0">
      <w:numFmt w:val="decimal"/>
      <w:lvlText w:val=""/>
      <w:lvlJc w:val="left"/>
    </w:lvl>
  </w:abstractNum>
  <w:abstractNum w:abstractNumId="665" w15:restartNumberingAfterBreak="0">
    <w:nsid w:val="49FF743E"/>
    <w:multiLevelType w:val="hybridMultilevel"/>
    <w:tmpl w:val="726AC2FC"/>
    <w:lvl w:ilvl="0" w:tplc="D3C002B6">
      <w:start w:val="1"/>
      <w:numFmt w:val="bullet"/>
      <w:lvlText w:val=""/>
      <w:lvlJc w:val="left"/>
      <w:pPr>
        <w:ind w:left="720" w:hanging="180"/>
      </w:pPr>
      <w:rPr>
        <w:rFonts w:ascii="Symbol" w:hAnsi="Symbol" w:hint="default"/>
      </w:rPr>
    </w:lvl>
    <w:lvl w:ilvl="1" w:tplc="653E989C">
      <w:numFmt w:val="decimal"/>
      <w:lvlText w:val=""/>
      <w:lvlJc w:val="left"/>
    </w:lvl>
    <w:lvl w:ilvl="2" w:tplc="143A5374">
      <w:numFmt w:val="decimal"/>
      <w:lvlText w:val=""/>
      <w:lvlJc w:val="left"/>
    </w:lvl>
    <w:lvl w:ilvl="3" w:tplc="0F767A98">
      <w:numFmt w:val="decimal"/>
      <w:lvlText w:val=""/>
      <w:lvlJc w:val="left"/>
    </w:lvl>
    <w:lvl w:ilvl="4" w:tplc="B41E8142">
      <w:numFmt w:val="decimal"/>
      <w:lvlText w:val=""/>
      <w:lvlJc w:val="left"/>
    </w:lvl>
    <w:lvl w:ilvl="5" w:tplc="55200660">
      <w:numFmt w:val="decimal"/>
      <w:lvlText w:val=""/>
      <w:lvlJc w:val="left"/>
    </w:lvl>
    <w:lvl w:ilvl="6" w:tplc="02C23678">
      <w:numFmt w:val="decimal"/>
      <w:lvlText w:val=""/>
      <w:lvlJc w:val="left"/>
    </w:lvl>
    <w:lvl w:ilvl="7" w:tplc="ECCAC658">
      <w:numFmt w:val="decimal"/>
      <w:lvlText w:val=""/>
      <w:lvlJc w:val="left"/>
    </w:lvl>
    <w:lvl w:ilvl="8" w:tplc="AF945248">
      <w:numFmt w:val="decimal"/>
      <w:lvlText w:val=""/>
      <w:lvlJc w:val="left"/>
    </w:lvl>
  </w:abstractNum>
  <w:abstractNum w:abstractNumId="666" w15:restartNumberingAfterBreak="0">
    <w:nsid w:val="4A3772B9"/>
    <w:multiLevelType w:val="hybridMultilevel"/>
    <w:tmpl w:val="FF9831FE"/>
    <w:lvl w:ilvl="0" w:tplc="5D224148">
      <w:start w:val="1"/>
      <w:numFmt w:val="bullet"/>
      <w:lvlText w:val=""/>
      <w:lvlJc w:val="left"/>
      <w:pPr>
        <w:ind w:left="720" w:hanging="180"/>
      </w:pPr>
      <w:rPr>
        <w:rFonts w:ascii="Symbol" w:hAnsi="Symbol" w:hint="default"/>
      </w:rPr>
    </w:lvl>
    <w:lvl w:ilvl="1" w:tplc="C77447B6">
      <w:numFmt w:val="decimal"/>
      <w:lvlText w:val=""/>
      <w:lvlJc w:val="left"/>
    </w:lvl>
    <w:lvl w:ilvl="2" w:tplc="94168FA6">
      <w:numFmt w:val="decimal"/>
      <w:lvlText w:val=""/>
      <w:lvlJc w:val="left"/>
    </w:lvl>
    <w:lvl w:ilvl="3" w:tplc="740EC704">
      <w:numFmt w:val="decimal"/>
      <w:lvlText w:val=""/>
      <w:lvlJc w:val="left"/>
    </w:lvl>
    <w:lvl w:ilvl="4" w:tplc="871A7C2E">
      <w:numFmt w:val="decimal"/>
      <w:lvlText w:val=""/>
      <w:lvlJc w:val="left"/>
    </w:lvl>
    <w:lvl w:ilvl="5" w:tplc="5D18B520">
      <w:numFmt w:val="decimal"/>
      <w:lvlText w:val=""/>
      <w:lvlJc w:val="left"/>
    </w:lvl>
    <w:lvl w:ilvl="6" w:tplc="34E45522">
      <w:numFmt w:val="decimal"/>
      <w:lvlText w:val=""/>
      <w:lvlJc w:val="left"/>
    </w:lvl>
    <w:lvl w:ilvl="7" w:tplc="6B32C766">
      <w:numFmt w:val="decimal"/>
      <w:lvlText w:val=""/>
      <w:lvlJc w:val="left"/>
    </w:lvl>
    <w:lvl w:ilvl="8" w:tplc="172C378E">
      <w:numFmt w:val="decimal"/>
      <w:lvlText w:val=""/>
      <w:lvlJc w:val="left"/>
    </w:lvl>
  </w:abstractNum>
  <w:abstractNum w:abstractNumId="667" w15:restartNumberingAfterBreak="0">
    <w:nsid w:val="4A4F04F7"/>
    <w:multiLevelType w:val="hybridMultilevel"/>
    <w:tmpl w:val="4E162F42"/>
    <w:lvl w:ilvl="0" w:tplc="69A0BA90">
      <w:start w:val="1"/>
      <w:numFmt w:val="bullet"/>
      <w:lvlText w:val=""/>
      <w:lvlJc w:val="left"/>
      <w:pPr>
        <w:ind w:left="720" w:hanging="180"/>
      </w:pPr>
      <w:rPr>
        <w:rFonts w:ascii="Symbol" w:hAnsi="Symbol" w:hint="default"/>
      </w:rPr>
    </w:lvl>
    <w:lvl w:ilvl="1" w:tplc="CF1013D8">
      <w:numFmt w:val="decimal"/>
      <w:lvlText w:val=""/>
      <w:lvlJc w:val="left"/>
    </w:lvl>
    <w:lvl w:ilvl="2" w:tplc="9E8CD9A6">
      <w:numFmt w:val="decimal"/>
      <w:lvlText w:val=""/>
      <w:lvlJc w:val="left"/>
    </w:lvl>
    <w:lvl w:ilvl="3" w:tplc="34CAB518">
      <w:numFmt w:val="decimal"/>
      <w:lvlText w:val=""/>
      <w:lvlJc w:val="left"/>
    </w:lvl>
    <w:lvl w:ilvl="4" w:tplc="F29E61D6">
      <w:numFmt w:val="decimal"/>
      <w:lvlText w:val=""/>
      <w:lvlJc w:val="left"/>
    </w:lvl>
    <w:lvl w:ilvl="5" w:tplc="CECE4902">
      <w:numFmt w:val="decimal"/>
      <w:lvlText w:val=""/>
      <w:lvlJc w:val="left"/>
    </w:lvl>
    <w:lvl w:ilvl="6" w:tplc="414A0F3E">
      <w:numFmt w:val="decimal"/>
      <w:lvlText w:val=""/>
      <w:lvlJc w:val="left"/>
    </w:lvl>
    <w:lvl w:ilvl="7" w:tplc="F9B09768">
      <w:numFmt w:val="decimal"/>
      <w:lvlText w:val=""/>
      <w:lvlJc w:val="left"/>
    </w:lvl>
    <w:lvl w:ilvl="8" w:tplc="E6C49D80">
      <w:numFmt w:val="decimal"/>
      <w:lvlText w:val=""/>
      <w:lvlJc w:val="left"/>
    </w:lvl>
  </w:abstractNum>
  <w:abstractNum w:abstractNumId="668" w15:restartNumberingAfterBreak="0">
    <w:nsid w:val="4A893BDC"/>
    <w:multiLevelType w:val="hybridMultilevel"/>
    <w:tmpl w:val="386006CC"/>
    <w:lvl w:ilvl="0" w:tplc="06E4AE34">
      <w:start w:val="1"/>
      <w:numFmt w:val="bullet"/>
      <w:lvlText w:val=""/>
      <w:lvlJc w:val="left"/>
      <w:pPr>
        <w:ind w:left="720" w:hanging="180"/>
      </w:pPr>
      <w:rPr>
        <w:rFonts w:ascii="Symbol" w:hAnsi="Symbol" w:hint="default"/>
      </w:rPr>
    </w:lvl>
    <w:lvl w:ilvl="1" w:tplc="7CC02EEC">
      <w:numFmt w:val="decimal"/>
      <w:lvlText w:val=""/>
      <w:lvlJc w:val="left"/>
    </w:lvl>
    <w:lvl w:ilvl="2" w:tplc="9C0C1C9C">
      <w:numFmt w:val="decimal"/>
      <w:lvlText w:val=""/>
      <w:lvlJc w:val="left"/>
    </w:lvl>
    <w:lvl w:ilvl="3" w:tplc="0E702644">
      <w:numFmt w:val="decimal"/>
      <w:lvlText w:val=""/>
      <w:lvlJc w:val="left"/>
    </w:lvl>
    <w:lvl w:ilvl="4" w:tplc="44889E8C">
      <w:numFmt w:val="decimal"/>
      <w:lvlText w:val=""/>
      <w:lvlJc w:val="left"/>
    </w:lvl>
    <w:lvl w:ilvl="5" w:tplc="FBEE7810">
      <w:numFmt w:val="decimal"/>
      <w:lvlText w:val=""/>
      <w:lvlJc w:val="left"/>
    </w:lvl>
    <w:lvl w:ilvl="6" w:tplc="93B29054">
      <w:numFmt w:val="decimal"/>
      <w:lvlText w:val=""/>
      <w:lvlJc w:val="left"/>
    </w:lvl>
    <w:lvl w:ilvl="7" w:tplc="5BBE14AA">
      <w:numFmt w:val="decimal"/>
      <w:lvlText w:val=""/>
      <w:lvlJc w:val="left"/>
    </w:lvl>
    <w:lvl w:ilvl="8" w:tplc="36E6A250">
      <w:numFmt w:val="decimal"/>
      <w:lvlText w:val=""/>
      <w:lvlJc w:val="left"/>
    </w:lvl>
  </w:abstractNum>
  <w:abstractNum w:abstractNumId="669" w15:restartNumberingAfterBreak="0">
    <w:nsid w:val="4AA0109D"/>
    <w:multiLevelType w:val="hybridMultilevel"/>
    <w:tmpl w:val="F792280E"/>
    <w:lvl w:ilvl="0" w:tplc="13505C80">
      <w:start w:val="1"/>
      <w:numFmt w:val="bullet"/>
      <w:lvlText w:val=""/>
      <w:lvlJc w:val="left"/>
      <w:pPr>
        <w:ind w:left="720" w:hanging="180"/>
      </w:pPr>
      <w:rPr>
        <w:rFonts w:ascii="Symbol" w:hAnsi="Symbol" w:hint="default"/>
      </w:rPr>
    </w:lvl>
    <w:lvl w:ilvl="1" w:tplc="38FA4ED8">
      <w:numFmt w:val="decimal"/>
      <w:lvlText w:val=""/>
      <w:lvlJc w:val="left"/>
    </w:lvl>
    <w:lvl w:ilvl="2" w:tplc="2FCE531A">
      <w:numFmt w:val="decimal"/>
      <w:lvlText w:val=""/>
      <w:lvlJc w:val="left"/>
    </w:lvl>
    <w:lvl w:ilvl="3" w:tplc="8564B238">
      <w:numFmt w:val="decimal"/>
      <w:lvlText w:val=""/>
      <w:lvlJc w:val="left"/>
    </w:lvl>
    <w:lvl w:ilvl="4" w:tplc="C66CA608">
      <w:numFmt w:val="decimal"/>
      <w:lvlText w:val=""/>
      <w:lvlJc w:val="left"/>
    </w:lvl>
    <w:lvl w:ilvl="5" w:tplc="F9A01E58">
      <w:numFmt w:val="decimal"/>
      <w:lvlText w:val=""/>
      <w:lvlJc w:val="left"/>
    </w:lvl>
    <w:lvl w:ilvl="6" w:tplc="7844694C">
      <w:numFmt w:val="decimal"/>
      <w:lvlText w:val=""/>
      <w:lvlJc w:val="left"/>
    </w:lvl>
    <w:lvl w:ilvl="7" w:tplc="1F80F5B8">
      <w:numFmt w:val="decimal"/>
      <w:lvlText w:val=""/>
      <w:lvlJc w:val="left"/>
    </w:lvl>
    <w:lvl w:ilvl="8" w:tplc="29CE284A">
      <w:numFmt w:val="decimal"/>
      <w:lvlText w:val=""/>
      <w:lvlJc w:val="left"/>
    </w:lvl>
  </w:abstractNum>
  <w:abstractNum w:abstractNumId="670" w15:restartNumberingAfterBreak="0">
    <w:nsid w:val="4ABD6F63"/>
    <w:multiLevelType w:val="hybridMultilevel"/>
    <w:tmpl w:val="E8C0C77E"/>
    <w:lvl w:ilvl="0" w:tplc="C8E21FBA">
      <w:start w:val="1"/>
      <w:numFmt w:val="bullet"/>
      <w:lvlText w:val=""/>
      <w:lvlJc w:val="left"/>
      <w:pPr>
        <w:ind w:left="720" w:hanging="180"/>
      </w:pPr>
      <w:rPr>
        <w:rFonts w:ascii="Symbol" w:hAnsi="Symbol" w:hint="default"/>
      </w:rPr>
    </w:lvl>
    <w:lvl w:ilvl="1" w:tplc="831A1880">
      <w:numFmt w:val="decimal"/>
      <w:lvlText w:val=""/>
      <w:lvlJc w:val="left"/>
    </w:lvl>
    <w:lvl w:ilvl="2" w:tplc="5170BD22">
      <w:numFmt w:val="decimal"/>
      <w:lvlText w:val=""/>
      <w:lvlJc w:val="left"/>
    </w:lvl>
    <w:lvl w:ilvl="3" w:tplc="3AB47442">
      <w:numFmt w:val="decimal"/>
      <w:lvlText w:val=""/>
      <w:lvlJc w:val="left"/>
    </w:lvl>
    <w:lvl w:ilvl="4" w:tplc="7F86BA56">
      <w:numFmt w:val="decimal"/>
      <w:lvlText w:val=""/>
      <w:lvlJc w:val="left"/>
    </w:lvl>
    <w:lvl w:ilvl="5" w:tplc="2FE6F87C">
      <w:numFmt w:val="decimal"/>
      <w:lvlText w:val=""/>
      <w:lvlJc w:val="left"/>
    </w:lvl>
    <w:lvl w:ilvl="6" w:tplc="614C0B74">
      <w:numFmt w:val="decimal"/>
      <w:lvlText w:val=""/>
      <w:lvlJc w:val="left"/>
    </w:lvl>
    <w:lvl w:ilvl="7" w:tplc="D318EE6A">
      <w:numFmt w:val="decimal"/>
      <w:lvlText w:val=""/>
      <w:lvlJc w:val="left"/>
    </w:lvl>
    <w:lvl w:ilvl="8" w:tplc="E8BC13A0">
      <w:numFmt w:val="decimal"/>
      <w:lvlText w:val=""/>
      <w:lvlJc w:val="left"/>
    </w:lvl>
  </w:abstractNum>
  <w:abstractNum w:abstractNumId="671" w15:restartNumberingAfterBreak="0">
    <w:nsid w:val="4AD924CA"/>
    <w:multiLevelType w:val="hybridMultilevel"/>
    <w:tmpl w:val="33D27CEE"/>
    <w:lvl w:ilvl="0" w:tplc="33DE1A46">
      <w:start w:val="1"/>
      <w:numFmt w:val="bullet"/>
      <w:lvlText w:val=""/>
      <w:lvlJc w:val="left"/>
      <w:pPr>
        <w:ind w:left="720" w:hanging="180"/>
      </w:pPr>
      <w:rPr>
        <w:rFonts w:ascii="Symbol" w:hAnsi="Symbol" w:hint="default"/>
      </w:rPr>
    </w:lvl>
    <w:lvl w:ilvl="1" w:tplc="6120A80C">
      <w:numFmt w:val="decimal"/>
      <w:lvlText w:val=""/>
      <w:lvlJc w:val="left"/>
    </w:lvl>
    <w:lvl w:ilvl="2" w:tplc="555C0992">
      <w:numFmt w:val="decimal"/>
      <w:lvlText w:val=""/>
      <w:lvlJc w:val="left"/>
    </w:lvl>
    <w:lvl w:ilvl="3" w:tplc="A4D049F2">
      <w:numFmt w:val="decimal"/>
      <w:lvlText w:val=""/>
      <w:lvlJc w:val="left"/>
    </w:lvl>
    <w:lvl w:ilvl="4" w:tplc="2F9CE1F0">
      <w:numFmt w:val="decimal"/>
      <w:lvlText w:val=""/>
      <w:lvlJc w:val="left"/>
    </w:lvl>
    <w:lvl w:ilvl="5" w:tplc="5FEE9FDE">
      <w:numFmt w:val="decimal"/>
      <w:lvlText w:val=""/>
      <w:lvlJc w:val="left"/>
    </w:lvl>
    <w:lvl w:ilvl="6" w:tplc="7E864652">
      <w:numFmt w:val="decimal"/>
      <w:lvlText w:val=""/>
      <w:lvlJc w:val="left"/>
    </w:lvl>
    <w:lvl w:ilvl="7" w:tplc="05640A34">
      <w:numFmt w:val="decimal"/>
      <w:lvlText w:val=""/>
      <w:lvlJc w:val="left"/>
    </w:lvl>
    <w:lvl w:ilvl="8" w:tplc="CC8812AA">
      <w:numFmt w:val="decimal"/>
      <w:lvlText w:val=""/>
      <w:lvlJc w:val="left"/>
    </w:lvl>
  </w:abstractNum>
  <w:abstractNum w:abstractNumId="672" w15:restartNumberingAfterBreak="0">
    <w:nsid w:val="4AF54F61"/>
    <w:multiLevelType w:val="hybridMultilevel"/>
    <w:tmpl w:val="F9165508"/>
    <w:lvl w:ilvl="0" w:tplc="6B2CF022">
      <w:start w:val="1"/>
      <w:numFmt w:val="bullet"/>
      <w:lvlText w:val=""/>
      <w:lvlJc w:val="left"/>
      <w:pPr>
        <w:ind w:left="720" w:hanging="180"/>
      </w:pPr>
      <w:rPr>
        <w:rFonts w:ascii="Symbol" w:hAnsi="Symbol" w:hint="default"/>
      </w:rPr>
    </w:lvl>
    <w:lvl w:ilvl="1" w:tplc="050CE434">
      <w:numFmt w:val="decimal"/>
      <w:lvlText w:val=""/>
      <w:lvlJc w:val="left"/>
    </w:lvl>
    <w:lvl w:ilvl="2" w:tplc="24B6CAA2">
      <w:numFmt w:val="decimal"/>
      <w:lvlText w:val=""/>
      <w:lvlJc w:val="left"/>
    </w:lvl>
    <w:lvl w:ilvl="3" w:tplc="61F66F0E">
      <w:numFmt w:val="decimal"/>
      <w:lvlText w:val=""/>
      <w:lvlJc w:val="left"/>
    </w:lvl>
    <w:lvl w:ilvl="4" w:tplc="088C5574">
      <w:numFmt w:val="decimal"/>
      <w:lvlText w:val=""/>
      <w:lvlJc w:val="left"/>
    </w:lvl>
    <w:lvl w:ilvl="5" w:tplc="AA0E8E76">
      <w:numFmt w:val="decimal"/>
      <w:lvlText w:val=""/>
      <w:lvlJc w:val="left"/>
    </w:lvl>
    <w:lvl w:ilvl="6" w:tplc="C0168CBE">
      <w:numFmt w:val="decimal"/>
      <w:lvlText w:val=""/>
      <w:lvlJc w:val="left"/>
    </w:lvl>
    <w:lvl w:ilvl="7" w:tplc="D250D38E">
      <w:numFmt w:val="decimal"/>
      <w:lvlText w:val=""/>
      <w:lvlJc w:val="left"/>
    </w:lvl>
    <w:lvl w:ilvl="8" w:tplc="7354BCDA">
      <w:numFmt w:val="decimal"/>
      <w:lvlText w:val=""/>
      <w:lvlJc w:val="left"/>
    </w:lvl>
  </w:abstractNum>
  <w:abstractNum w:abstractNumId="673" w15:restartNumberingAfterBreak="0">
    <w:nsid w:val="4B000201"/>
    <w:multiLevelType w:val="hybridMultilevel"/>
    <w:tmpl w:val="131468DE"/>
    <w:lvl w:ilvl="0" w:tplc="817E2288">
      <w:start w:val="1"/>
      <w:numFmt w:val="bullet"/>
      <w:lvlText w:val=""/>
      <w:lvlJc w:val="left"/>
      <w:pPr>
        <w:ind w:left="720" w:hanging="180"/>
      </w:pPr>
      <w:rPr>
        <w:rFonts w:ascii="Symbol" w:hAnsi="Symbol" w:hint="default"/>
      </w:rPr>
    </w:lvl>
    <w:lvl w:ilvl="1" w:tplc="054EDED4">
      <w:numFmt w:val="decimal"/>
      <w:lvlText w:val=""/>
      <w:lvlJc w:val="left"/>
    </w:lvl>
    <w:lvl w:ilvl="2" w:tplc="E86C2382">
      <w:numFmt w:val="decimal"/>
      <w:lvlText w:val=""/>
      <w:lvlJc w:val="left"/>
    </w:lvl>
    <w:lvl w:ilvl="3" w:tplc="8F7CEA6A">
      <w:numFmt w:val="decimal"/>
      <w:lvlText w:val=""/>
      <w:lvlJc w:val="left"/>
    </w:lvl>
    <w:lvl w:ilvl="4" w:tplc="9B5E1624">
      <w:numFmt w:val="decimal"/>
      <w:lvlText w:val=""/>
      <w:lvlJc w:val="left"/>
    </w:lvl>
    <w:lvl w:ilvl="5" w:tplc="AA0ADD8C">
      <w:numFmt w:val="decimal"/>
      <w:lvlText w:val=""/>
      <w:lvlJc w:val="left"/>
    </w:lvl>
    <w:lvl w:ilvl="6" w:tplc="D9D2D2D2">
      <w:numFmt w:val="decimal"/>
      <w:lvlText w:val=""/>
      <w:lvlJc w:val="left"/>
    </w:lvl>
    <w:lvl w:ilvl="7" w:tplc="5766561C">
      <w:numFmt w:val="decimal"/>
      <w:lvlText w:val=""/>
      <w:lvlJc w:val="left"/>
    </w:lvl>
    <w:lvl w:ilvl="8" w:tplc="C7A6BD62">
      <w:numFmt w:val="decimal"/>
      <w:lvlText w:val=""/>
      <w:lvlJc w:val="left"/>
    </w:lvl>
  </w:abstractNum>
  <w:abstractNum w:abstractNumId="674" w15:restartNumberingAfterBreak="0">
    <w:nsid w:val="4B2044F7"/>
    <w:multiLevelType w:val="hybridMultilevel"/>
    <w:tmpl w:val="D174E746"/>
    <w:lvl w:ilvl="0" w:tplc="260022E0">
      <w:start w:val="1"/>
      <w:numFmt w:val="bullet"/>
      <w:lvlText w:val=""/>
      <w:lvlJc w:val="left"/>
      <w:pPr>
        <w:ind w:left="720" w:hanging="180"/>
      </w:pPr>
      <w:rPr>
        <w:rFonts w:ascii="Symbol" w:hAnsi="Symbol" w:hint="default"/>
      </w:rPr>
    </w:lvl>
    <w:lvl w:ilvl="1" w:tplc="6772E406">
      <w:numFmt w:val="decimal"/>
      <w:lvlText w:val=""/>
      <w:lvlJc w:val="left"/>
    </w:lvl>
    <w:lvl w:ilvl="2" w:tplc="5F84DC2C">
      <w:numFmt w:val="decimal"/>
      <w:lvlText w:val=""/>
      <w:lvlJc w:val="left"/>
    </w:lvl>
    <w:lvl w:ilvl="3" w:tplc="2AA8BBEC">
      <w:numFmt w:val="decimal"/>
      <w:lvlText w:val=""/>
      <w:lvlJc w:val="left"/>
    </w:lvl>
    <w:lvl w:ilvl="4" w:tplc="EB1AF09A">
      <w:numFmt w:val="decimal"/>
      <w:lvlText w:val=""/>
      <w:lvlJc w:val="left"/>
    </w:lvl>
    <w:lvl w:ilvl="5" w:tplc="E92CDA80">
      <w:numFmt w:val="decimal"/>
      <w:lvlText w:val=""/>
      <w:lvlJc w:val="left"/>
    </w:lvl>
    <w:lvl w:ilvl="6" w:tplc="E1BA5306">
      <w:numFmt w:val="decimal"/>
      <w:lvlText w:val=""/>
      <w:lvlJc w:val="left"/>
    </w:lvl>
    <w:lvl w:ilvl="7" w:tplc="81062718">
      <w:numFmt w:val="decimal"/>
      <w:lvlText w:val=""/>
      <w:lvlJc w:val="left"/>
    </w:lvl>
    <w:lvl w:ilvl="8" w:tplc="102A8ACA">
      <w:numFmt w:val="decimal"/>
      <w:lvlText w:val=""/>
      <w:lvlJc w:val="left"/>
    </w:lvl>
  </w:abstractNum>
  <w:abstractNum w:abstractNumId="675" w15:restartNumberingAfterBreak="0">
    <w:nsid w:val="4BC179B4"/>
    <w:multiLevelType w:val="hybridMultilevel"/>
    <w:tmpl w:val="661249D2"/>
    <w:lvl w:ilvl="0" w:tplc="60F28D1A">
      <w:start w:val="1"/>
      <w:numFmt w:val="bullet"/>
      <w:lvlText w:val=""/>
      <w:lvlJc w:val="left"/>
      <w:pPr>
        <w:ind w:left="720" w:hanging="180"/>
      </w:pPr>
      <w:rPr>
        <w:rFonts w:ascii="Symbol" w:hAnsi="Symbol" w:hint="default"/>
      </w:rPr>
    </w:lvl>
    <w:lvl w:ilvl="1" w:tplc="7F80C9D0">
      <w:numFmt w:val="decimal"/>
      <w:lvlText w:val=""/>
      <w:lvlJc w:val="left"/>
    </w:lvl>
    <w:lvl w:ilvl="2" w:tplc="EB14E6BC">
      <w:numFmt w:val="decimal"/>
      <w:lvlText w:val=""/>
      <w:lvlJc w:val="left"/>
    </w:lvl>
    <w:lvl w:ilvl="3" w:tplc="75E69D3A">
      <w:numFmt w:val="decimal"/>
      <w:lvlText w:val=""/>
      <w:lvlJc w:val="left"/>
    </w:lvl>
    <w:lvl w:ilvl="4" w:tplc="2EEA0BAA">
      <w:numFmt w:val="decimal"/>
      <w:lvlText w:val=""/>
      <w:lvlJc w:val="left"/>
    </w:lvl>
    <w:lvl w:ilvl="5" w:tplc="D0C47772">
      <w:numFmt w:val="decimal"/>
      <w:lvlText w:val=""/>
      <w:lvlJc w:val="left"/>
    </w:lvl>
    <w:lvl w:ilvl="6" w:tplc="EBCCAB22">
      <w:numFmt w:val="decimal"/>
      <w:lvlText w:val=""/>
      <w:lvlJc w:val="left"/>
    </w:lvl>
    <w:lvl w:ilvl="7" w:tplc="B7A0FAD2">
      <w:numFmt w:val="decimal"/>
      <w:lvlText w:val=""/>
      <w:lvlJc w:val="left"/>
    </w:lvl>
    <w:lvl w:ilvl="8" w:tplc="17BCC85E">
      <w:numFmt w:val="decimal"/>
      <w:lvlText w:val=""/>
      <w:lvlJc w:val="left"/>
    </w:lvl>
  </w:abstractNum>
  <w:abstractNum w:abstractNumId="676" w15:restartNumberingAfterBreak="0">
    <w:nsid w:val="4BC6285F"/>
    <w:multiLevelType w:val="hybridMultilevel"/>
    <w:tmpl w:val="FBB0187A"/>
    <w:lvl w:ilvl="0" w:tplc="7EEED4BE">
      <w:start w:val="1"/>
      <w:numFmt w:val="bullet"/>
      <w:lvlText w:val=""/>
      <w:lvlJc w:val="left"/>
      <w:pPr>
        <w:ind w:left="720" w:hanging="180"/>
      </w:pPr>
      <w:rPr>
        <w:rFonts w:ascii="Symbol" w:hAnsi="Symbol" w:hint="default"/>
      </w:rPr>
    </w:lvl>
    <w:lvl w:ilvl="1" w:tplc="1B92FB9C">
      <w:numFmt w:val="decimal"/>
      <w:lvlText w:val=""/>
      <w:lvlJc w:val="left"/>
    </w:lvl>
    <w:lvl w:ilvl="2" w:tplc="4FBE9014">
      <w:numFmt w:val="decimal"/>
      <w:lvlText w:val=""/>
      <w:lvlJc w:val="left"/>
    </w:lvl>
    <w:lvl w:ilvl="3" w:tplc="BF103940">
      <w:numFmt w:val="decimal"/>
      <w:lvlText w:val=""/>
      <w:lvlJc w:val="left"/>
    </w:lvl>
    <w:lvl w:ilvl="4" w:tplc="DE6A0DFE">
      <w:numFmt w:val="decimal"/>
      <w:lvlText w:val=""/>
      <w:lvlJc w:val="left"/>
    </w:lvl>
    <w:lvl w:ilvl="5" w:tplc="3E884BD8">
      <w:numFmt w:val="decimal"/>
      <w:lvlText w:val=""/>
      <w:lvlJc w:val="left"/>
    </w:lvl>
    <w:lvl w:ilvl="6" w:tplc="F048A08A">
      <w:numFmt w:val="decimal"/>
      <w:lvlText w:val=""/>
      <w:lvlJc w:val="left"/>
    </w:lvl>
    <w:lvl w:ilvl="7" w:tplc="7B76E4A4">
      <w:numFmt w:val="decimal"/>
      <w:lvlText w:val=""/>
      <w:lvlJc w:val="left"/>
    </w:lvl>
    <w:lvl w:ilvl="8" w:tplc="07D24A76">
      <w:numFmt w:val="decimal"/>
      <w:lvlText w:val=""/>
      <w:lvlJc w:val="left"/>
    </w:lvl>
  </w:abstractNum>
  <w:abstractNum w:abstractNumId="677" w15:restartNumberingAfterBreak="0">
    <w:nsid w:val="4C0070C5"/>
    <w:multiLevelType w:val="hybridMultilevel"/>
    <w:tmpl w:val="15664BB8"/>
    <w:lvl w:ilvl="0" w:tplc="45FE82E2">
      <w:start w:val="1"/>
      <w:numFmt w:val="bullet"/>
      <w:lvlText w:val=""/>
      <w:lvlJc w:val="left"/>
      <w:pPr>
        <w:ind w:left="720" w:hanging="180"/>
      </w:pPr>
      <w:rPr>
        <w:rFonts w:ascii="Symbol" w:hAnsi="Symbol" w:hint="default"/>
      </w:rPr>
    </w:lvl>
    <w:lvl w:ilvl="1" w:tplc="9392DCD6">
      <w:numFmt w:val="decimal"/>
      <w:lvlText w:val=""/>
      <w:lvlJc w:val="left"/>
    </w:lvl>
    <w:lvl w:ilvl="2" w:tplc="935EE702">
      <w:numFmt w:val="decimal"/>
      <w:lvlText w:val=""/>
      <w:lvlJc w:val="left"/>
    </w:lvl>
    <w:lvl w:ilvl="3" w:tplc="D3CE1050">
      <w:numFmt w:val="decimal"/>
      <w:lvlText w:val=""/>
      <w:lvlJc w:val="left"/>
    </w:lvl>
    <w:lvl w:ilvl="4" w:tplc="23A6244C">
      <w:numFmt w:val="decimal"/>
      <w:lvlText w:val=""/>
      <w:lvlJc w:val="left"/>
    </w:lvl>
    <w:lvl w:ilvl="5" w:tplc="DB529A44">
      <w:numFmt w:val="decimal"/>
      <w:lvlText w:val=""/>
      <w:lvlJc w:val="left"/>
    </w:lvl>
    <w:lvl w:ilvl="6" w:tplc="CB3EC85A">
      <w:numFmt w:val="decimal"/>
      <w:lvlText w:val=""/>
      <w:lvlJc w:val="left"/>
    </w:lvl>
    <w:lvl w:ilvl="7" w:tplc="B39ACB7C">
      <w:numFmt w:val="decimal"/>
      <w:lvlText w:val=""/>
      <w:lvlJc w:val="left"/>
    </w:lvl>
    <w:lvl w:ilvl="8" w:tplc="E7B80720">
      <w:numFmt w:val="decimal"/>
      <w:lvlText w:val=""/>
      <w:lvlJc w:val="left"/>
    </w:lvl>
  </w:abstractNum>
  <w:abstractNum w:abstractNumId="678" w15:restartNumberingAfterBreak="0">
    <w:nsid w:val="4C01061B"/>
    <w:multiLevelType w:val="hybridMultilevel"/>
    <w:tmpl w:val="C2A8322E"/>
    <w:lvl w:ilvl="0" w:tplc="7A545628">
      <w:start w:val="1"/>
      <w:numFmt w:val="bullet"/>
      <w:lvlText w:val=""/>
      <w:lvlJc w:val="left"/>
      <w:pPr>
        <w:ind w:left="720" w:hanging="180"/>
      </w:pPr>
      <w:rPr>
        <w:rFonts w:ascii="Symbol" w:hAnsi="Symbol" w:hint="default"/>
      </w:rPr>
    </w:lvl>
    <w:lvl w:ilvl="1" w:tplc="92E4BA70">
      <w:numFmt w:val="decimal"/>
      <w:lvlText w:val=""/>
      <w:lvlJc w:val="left"/>
    </w:lvl>
    <w:lvl w:ilvl="2" w:tplc="E274179E">
      <w:numFmt w:val="decimal"/>
      <w:lvlText w:val=""/>
      <w:lvlJc w:val="left"/>
    </w:lvl>
    <w:lvl w:ilvl="3" w:tplc="4858BE20">
      <w:numFmt w:val="decimal"/>
      <w:lvlText w:val=""/>
      <w:lvlJc w:val="left"/>
    </w:lvl>
    <w:lvl w:ilvl="4" w:tplc="56905E1E">
      <w:numFmt w:val="decimal"/>
      <w:lvlText w:val=""/>
      <w:lvlJc w:val="left"/>
    </w:lvl>
    <w:lvl w:ilvl="5" w:tplc="0E1A7818">
      <w:numFmt w:val="decimal"/>
      <w:lvlText w:val=""/>
      <w:lvlJc w:val="left"/>
    </w:lvl>
    <w:lvl w:ilvl="6" w:tplc="B6A20A8C">
      <w:numFmt w:val="decimal"/>
      <w:lvlText w:val=""/>
      <w:lvlJc w:val="left"/>
    </w:lvl>
    <w:lvl w:ilvl="7" w:tplc="12F8F810">
      <w:numFmt w:val="decimal"/>
      <w:lvlText w:val=""/>
      <w:lvlJc w:val="left"/>
    </w:lvl>
    <w:lvl w:ilvl="8" w:tplc="24C85A52">
      <w:numFmt w:val="decimal"/>
      <w:lvlText w:val=""/>
      <w:lvlJc w:val="left"/>
    </w:lvl>
  </w:abstractNum>
  <w:abstractNum w:abstractNumId="679" w15:restartNumberingAfterBreak="0">
    <w:nsid w:val="4C0510D6"/>
    <w:multiLevelType w:val="hybridMultilevel"/>
    <w:tmpl w:val="38E640DC"/>
    <w:lvl w:ilvl="0" w:tplc="8FC62298">
      <w:numFmt w:val="decimal"/>
      <w:lvlText w:val=""/>
      <w:lvlJc w:val="left"/>
    </w:lvl>
    <w:lvl w:ilvl="1" w:tplc="9FAE49F4">
      <w:start w:val="1"/>
      <w:numFmt w:val="bullet"/>
      <w:lvlText w:val=""/>
      <w:lvlJc w:val="left"/>
      <w:pPr>
        <w:ind w:left="1440" w:hanging="180"/>
      </w:pPr>
      <w:rPr>
        <w:rFonts w:ascii="Symbol" w:hAnsi="Symbol" w:hint="default"/>
      </w:rPr>
    </w:lvl>
    <w:lvl w:ilvl="2" w:tplc="A6766A20">
      <w:numFmt w:val="decimal"/>
      <w:lvlText w:val=""/>
      <w:lvlJc w:val="left"/>
    </w:lvl>
    <w:lvl w:ilvl="3" w:tplc="CFA0CCFA">
      <w:numFmt w:val="decimal"/>
      <w:lvlText w:val=""/>
      <w:lvlJc w:val="left"/>
    </w:lvl>
    <w:lvl w:ilvl="4" w:tplc="07664E08">
      <w:numFmt w:val="decimal"/>
      <w:lvlText w:val=""/>
      <w:lvlJc w:val="left"/>
    </w:lvl>
    <w:lvl w:ilvl="5" w:tplc="F2E4BDE0">
      <w:numFmt w:val="decimal"/>
      <w:lvlText w:val=""/>
      <w:lvlJc w:val="left"/>
    </w:lvl>
    <w:lvl w:ilvl="6" w:tplc="AF2A582A">
      <w:numFmt w:val="decimal"/>
      <w:lvlText w:val=""/>
      <w:lvlJc w:val="left"/>
    </w:lvl>
    <w:lvl w:ilvl="7" w:tplc="9BF6C5E4">
      <w:numFmt w:val="decimal"/>
      <w:lvlText w:val=""/>
      <w:lvlJc w:val="left"/>
    </w:lvl>
    <w:lvl w:ilvl="8" w:tplc="60A06EAE">
      <w:numFmt w:val="decimal"/>
      <w:lvlText w:val=""/>
      <w:lvlJc w:val="left"/>
    </w:lvl>
  </w:abstractNum>
  <w:abstractNum w:abstractNumId="680" w15:restartNumberingAfterBreak="0">
    <w:nsid w:val="4C05126F"/>
    <w:multiLevelType w:val="hybridMultilevel"/>
    <w:tmpl w:val="BF2EE17E"/>
    <w:lvl w:ilvl="0" w:tplc="2F0E8764">
      <w:start w:val="1"/>
      <w:numFmt w:val="bullet"/>
      <w:lvlText w:val=""/>
      <w:lvlJc w:val="left"/>
      <w:pPr>
        <w:ind w:left="720" w:hanging="180"/>
      </w:pPr>
      <w:rPr>
        <w:rFonts w:ascii="Symbol" w:hAnsi="Symbol" w:hint="default"/>
      </w:rPr>
    </w:lvl>
    <w:lvl w:ilvl="1" w:tplc="6C66FDA0">
      <w:numFmt w:val="decimal"/>
      <w:lvlText w:val=""/>
      <w:lvlJc w:val="left"/>
    </w:lvl>
    <w:lvl w:ilvl="2" w:tplc="90CC83FC">
      <w:numFmt w:val="decimal"/>
      <w:lvlText w:val=""/>
      <w:lvlJc w:val="left"/>
    </w:lvl>
    <w:lvl w:ilvl="3" w:tplc="C6BCB36A">
      <w:numFmt w:val="decimal"/>
      <w:lvlText w:val=""/>
      <w:lvlJc w:val="left"/>
    </w:lvl>
    <w:lvl w:ilvl="4" w:tplc="6818BAB0">
      <w:numFmt w:val="decimal"/>
      <w:lvlText w:val=""/>
      <w:lvlJc w:val="left"/>
    </w:lvl>
    <w:lvl w:ilvl="5" w:tplc="932A1AE0">
      <w:numFmt w:val="decimal"/>
      <w:lvlText w:val=""/>
      <w:lvlJc w:val="left"/>
    </w:lvl>
    <w:lvl w:ilvl="6" w:tplc="734A75EA">
      <w:numFmt w:val="decimal"/>
      <w:lvlText w:val=""/>
      <w:lvlJc w:val="left"/>
    </w:lvl>
    <w:lvl w:ilvl="7" w:tplc="0EA6602A">
      <w:numFmt w:val="decimal"/>
      <w:lvlText w:val=""/>
      <w:lvlJc w:val="left"/>
    </w:lvl>
    <w:lvl w:ilvl="8" w:tplc="B2D049EC">
      <w:numFmt w:val="decimal"/>
      <w:lvlText w:val=""/>
      <w:lvlJc w:val="left"/>
    </w:lvl>
  </w:abstractNum>
  <w:abstractNum w:abstractNumId="681" w15:restartNumberingAfterBreak="0">
    <w:nsid w:val="4C0A5E13"/>
    <w:multiLevelType w:val="hybridMultilevel"/>
    <w:tmpl w:val="83C0DFF0"/>
    <w:lvl w:ilvl="0" w:tplc="A006B55E">
      <w:start w:val="1"/>
      <w:numFmt w:val="bullet"/>
      <w:lvlText w:val=""/>
      <w:lvlJc w:val="left"/>
      <w:pPr>
        <w:ind w:left="720" w:hanging="180"/>
      </w:pPr>
      <w:rPr>
        <w:rFonts w:ascii="Symbol" w:hAnsi="Symbol" w:hint="default"/>
      </w:rPr>
    </w:lvl>
    <w:lvl w:ilvl="1" w:tplc="8FFC371A">
      <w:numFmt w:val="decimal"/>
      <w:lvlText w:val=""/>
      <w:lvlJc w:val="left"/>
    </w:lvl>
    <w:lvl w:ilvl="2" w:tplc="2A4AC366">
      <w:numFmt w:val="decimal"/>
      <w:lvlText w:val=""/>
      <w:lvlJc w:val="left"/>
    </w:lvl>
    <w:lvl w:ilvl="3" w:tplc="D9FE63D6">
      <w:numFmt w:val="decimal"/>
      <w:lvlText w:val=""/>
      <w:lvlJc w:val="left"/>
    </w:lvl>
    <w:lvl w:ilvl="4" w:tplc="605ADFB8">
      <w:numFmt w:val="decimal"/>
      <w:lvlText w:val=""/>
      <w:lvlJc w:val="left"/>
    </w:lvl>
    <w:lvl w:ilvl="5" w:tplc="32A0A918">
      <w:numFmt w:val="decimal"/>
      <w:lvlText w:val=""/>
      <w:lvlJc w:val="left"/>
    </w:lvl>
    <w:lvl w:ilvl="6" w:tplc="86DC4172">
      <w:numFmt w:val="decimal"/>
      <w:lvlText w:val=""/>
      <w:lvlJc w:val="left"/>
    </w:lvl>
    <w:lvl w:ilvl="7" w:tplc="29E22130">
      <w:numFmt w:val="decimal"/>
      <w:lvlText w:val=""/>
      <w:lvlJc w:val="left"/>
    </w:lvl>
    <w:lvl w:ilvl="8" w:tplc="72C67DC8">
      <w:numFmt w:val="decimal"/>
      <w:lvlText w:val=""/>
      <w:lvlJc w:val="left"/>
    </w:lvl>
  </w:abstractNum>
  <w:abstractNum w:abstractNumId="682" w15:restartNumberingAfterBreak="0">
    <w:nsid w:val="4C67499C"/>
    <w:multiLevelType w:val="hybridMultilevel"/>
    <w:tmpl w:val="65307D6E"/>
    <w:lvl w:ilvl="0" w:tplc="760C1ECC">
      <w:start w:val="1"/>
      <w:numFmt w:val="bullet"/>
      <w:lvlText w:val=""/>
      <w:lvlJc w:val="left"/>
      <w:pPr>
        <w:ind w:left="720" w:hanging="180"/>
      </w:pPr>
      <w:rPr>
        <w:rFonts w:ascii="Symbol" w:hAnsi="Symbol" w:hint="default"/>
      </w:rPr>
    </w:lvl>
    <w:lvl w:ilvl="1" w:tplc="DF9E4910">
      <w:numFmt w:val="decimal"/>
      <w:lvlText w:val=""/>
      <w:lvlJc w:val="left"/>
    </w:lvl>
    <w:lvl w:ilvl="2" w:tplc="39F039FE">
      <w:numFmt w:val="decimal"/>
      <w:lvlText w:val=""/>
      <w:lvlJc w:val="left"/>
    </w:lvl>
    <w:lvl w:ilvl="3" w:tplc="4A262560">
      <w:numFmt w:val="decimal"/>
      <w:lvlText w:val=""/>
      <w:lvlJc w:val="left"/>
    </w:lvl>
    <w:lvl w:ilvl="4" w:tplc="4AC243B2">
      <w:numFmt w:val="decimal"/>
      <w:lvlText w:val=""/>
      <w:lvlJc w:val="left"/>
    </w:lvl>
    <w:lvl w:ilvl="5" w:tplc="5434C3C0">
      <w:numFmt w:val="decimal"/>
      <w:lvlText w:val=""/>
      <w:lvlJc w:val="left"/>
    </w:lvl>
    <w:lvl w:ilvl="6" w:tplc="40C662D4">
      <w:numFmt w:val="decimal"/>
      <w:lvlText w:val=""/>
      <w:lvlJc w:val="left"/>
    </w:lvl>
    <w:lvl w:ilvl="7" w:tplc="ED6AAC12">
      <w:numFmt w:val="decimal"/>
      <w:lvlText w:val=""/>
      <w:lvlJc w:val="left"/>
    </w:lvl>
    <w:lvl w:ilvl="8" w:tplc="BD8C1468">
      <w:numFmt w:val="decimal"/>
      <w:lvlText w:val=""/>
      <w:lvlJc w:val="left"/>
    </w:lvl>
  </w:abstractNum>
  <w:abstractNum w:abstractNumId="683" w15:restartNumberingAfterBreak="0">
    <w:nsid w:val="4C726C85"/>
    <w:multiLevelType w:val="hybridMultilevel"/>
    <w:tmpl w:val="E438DE3C"/>
    <w:lvl w:ilvl="0" w:tplc="2A4C04F2">
      <w:start w:val="1"/>
      <w:numFmt w:val="bullet"/>
      <w:lvlText w:val=""/>
      <w:lvlJc w:val="left"/>
      <w:pPr>
        <w:ind w:left="720" w:hanging="180"/>
      </w:pPr>
      <w:rPr>
        <w:rFonts w:ascii="Symbol" w:hAnsi="Symbol" w:hint="default"/>
      </w:rPr>
    </w:lvl>
    <w:lvl w:ilvl="1" w:tplc="38407CC6">
      <w:numFmt w:val="decimal"/>
      <w:lvlText w:val=""/>
      <w:lvlJc w:val="left"/>
    </w:lvl>
    <w:lvl w:ilvl="2" w:tplc="304A0F6C">
      <w:numFmt w:val="decimal"/>
      <w:lvlText w:val=""/>
      <w:lvlJc w:val="left"/>
    </w:lvl>
    <w:lvl w:ilvl="3" w:tplc="05C240F8">
      <w:numFmt w:val="decimal"/>
      <w:lvlText w:val=""/>
      <w:lvlJc w:val="left"/>
    </w:lvl>
    <w:lvl w:ilvl="4" w:tplc="C99C1594">
      <w:numFmt w:val="decimal"/>
      <w:lvlText w:val=""/>
      <w:lvlJc w:val="left"/>
    </w:lvl>
    <w:lvl w:ilvl="5" w:tplc="4EA0BCBC">
      <w:numFmt w:val="decimal"/>
      <w:lvlText w:val=""/>
      <w:lvlJc w:val="left"/>
    </w:lvl>
    <w:lvl w:ilvl="6" w:tplc="2C32FE06">
      <w:numFmt w:val="decimal"/>
      <w:lvlText w:val=""/>
      <w:lvlJc w:val="left"/>
    </w:lvl>
    <w:lvl w:ilvl="7" w:tplc="AFEA3CB0">
      <w:numFmt w:val="decimal"/>
      <w:lvlText w:val=""/>
      <w:lvlJc w:val="left"/>
    </w:lvl>
    <w:lvl w:ilvl="8" w:tplc="B2F4CB8C">
      <w:numFmt w:val="decimal"/>
      <w:lvlText w:val=""/>
      <w:lvlJc w:val="left"/>
    </w:lvl>
  </w:abstractNum>
  <w:abstractNum w:abstractNumId="684" w15:restartNumberingAfterBreak="0">
    <w:nsid w:val="4CC6174E"/>
    <w:multiLevelType w:val="hybridMultilevel"/>
    <w:tmpl w:val="A2E84E96"/>
    <w:lvl w:ilvl="0" w:tplc="2E225746">
      <w:start w:val="1"/>
      <w:numFmt w:val="bullet"/>
      <w:lvlText w:val=""/>
      <w:lvlJc w:val="left"/>
      <w:pPr>
        <w:ind w:left="720" w:hanging="180"/>
      </w:pPr>
      <w:rPr>
        <w:rFonts w:ascii="Symbol" w:hAnsi="Symbol" w:hint="default"/>
      </w:rPr>
    </w:lvl>
    <w:lvl w:ilvl="1" w:tplc="9A482C5E">
      <w:numFmt w:val="decimal"/>
      <w:lvlText w:val=""/>
      <w:lvlJc w:val="left"/>
    </w:lvl>
    <w:lvl w:ilvl="2" w:tplc="5FA6E6C0">
      <w:numFmt w:val="decimal"/>
      <w:lvlText w:val=""/>
      <w:lvlJc w:val="left"/>
    </w:lvl>
    <w:lvl w:ilvl="3" w:tplc="FE38419A">
      <w:numFmt w:val="decimal"/>
      <w:lvlText w:val=""/>
      <w:lvlJc w:val="left"/>
    </w:lvl>
    <w:lvl w:ilvl="4" w:tplc="0BAAD9F0">
      <w:numFmt w:val="decimal"/>
      <w:lvlText w:val=""/>
      <w:lvlJc w:val="left"/>
    </w:lvl>
    <w:lvl w:ilvl="5" w:tplc="8126114E">
      <w:numFmt w:val="decimal"/>
      <w:lvlText w:val=""/>
      <w:lvlJc w:val="left"/>
    </w:lvl>
    <w:lvl w:ilvl="6" w:tplc="47CCDA4E">
      <w:numFmt w:val="decimal"/>
      <w:lvlText w:val=""/>
      <w:lvlJc w:val="left"/>
    </w:lvl>
    <w:lvl w:ilvl="7" w:tplc="6686A93E">
      <w:numFmt w:val="decimal"/>
      <w:lvlText w:val=""/>
      <w:lvlJc w:val="left"/>
    </w:lvl>
    <w:lvl w:ilvl="8" w:tplc="2730C180">
      <w:numFmt w:val="decimal"/>
      <w:lvlText w:val=""/>
      <w:lvlJc w:val="left"/>
    </w:lvl>
  </w:abstractNum>
  <w:abstractNum w:abstractNumId="685" w15:restartNumberingAfterBreak="0">
    <w:nsid w:val="4CEA7F47"/>
    <w:multiLevelType w:val="hybridMultilevel"/>
    <w:tmpl w:val="397E1CE2"/>
    <w:lvl w:ilvl="0" w:tplc="859ACBA6">
      <w:start w:val="1"/>
      <w:numFmt w:val="bullet"/>
      <w:lvlText w:val=""/>
      <w:lvlJc w:val="left"/>
      <w:pPr>
        <w:ind w:left="720" w:hanging="180"/>
      </w:pPr>
      <w:rPr>
        <w:rFonts w:ascii="Symbol" w:hAnsi="Symbol" w:hint="default"/>
      </w:rPr>
    </w:lvl>
    <w:lvl w:ilvl="1" w:tplc="524EE140">
      <w:numFmt w:val="decimal"/>
      <w:lvlText w:val=""/>
      <w:lvlJc w:val="left"/>
    </w:lvl>
    <w:lvl w:ilvl="2" w:tplc="CF987FD4">
      <w:numFmt w:val="decimal"/>
      <w:lvlText w:val=""/>
      <w:lvlJc w:val="left"/>
    </w:lvl>
    <w:lvl w:ilvl="3" w:tplc="67408616">
      <w:numFmt w:val="decimal"/>
      <w:lvlText w:val=""/>
      <w:lvlJc w:val="left"/>
    </w:lvl>
    <w:lvl w:ilvl="4" w:tplc="78BE7340">
      <w:numFmt w:val="decimal"/>
      <w:lvlText w:val=""/>
      <w:lvlJc w:val="left"/>
    </w:lvl>
    <w:lvl w:ilvl="5" w:tplc="B80078AE">
      <w:numFmt w:val="decimal"/>
      <w:lvlText w:val=""/>
      <w:lvlJc w:val="left"/>
    </w:lvl>
    <w:lvl w:ilvl="6" w:tplc="37841766">
      <w:numFmt w:val="decimal"/>
      <w:lvlText w:val=""/>
      <w:lvlJc w:val="left"/>
    </w:lvl>
    <w:lvl w:ilvl="7" w:tplc="0DC8F600">
      <w:numFmt w:val="decimal"/>
      <w:lvlText w:val=""/>
      <w:lvlJc w:val="left"/>
    </w:lvl>
    <w:lvl w:ilvl="8" w:tplc="E3E8EA70">
      <w:numFmt w:val="decimal"/>
      <w:lvlText w:val=""/>
      <w:lvlJc w:val="left"/>
    </w:lvl>
  </w:abstractNum>
  <w:abstractNum w:abstractNumId="686" w15:restartNumberingAfterBreak="0">
    <w:nsid w:val="4CF108EC"/>
    <w:multiLevelType w:val="hybridMultilevel"/>
    <w:tmpl w:val="D0D2B468"/>
    <w:lvl w:ilvl="0" w:tplc="B18A6F70">
      <w:start w:val="1"/>
      <w:numFmt w:val="bullet"/>
      <w:lvlText w:val=""/>
      <w:lvlJc w:val="left"/>
      <w:pPr>
        <w:ind w:left="720" w:hanging="180"/>
      </w:pPr>
      <w:rPr>
        <w:rFonts w:ascii="Symbol" w:hAnsi="Symbol" w:hint="default"/>
      </w:rPr>
    </w:lvl>
    <w:lvl w:ilvl="1" w:tplc="AF6655D8">
      <w:numFmt w:val="decimal"/>
      <w:lvlText w:val=""/>
      <w:lvlJc w:val="left"/>
    </w:lvl>
    <w:lvl w:ilvl="2" w:tplc="A2C60E50">
      <w:numFmt w:val="decimal"/>
      <w:lvlText w:val=""/>
      <w:lvlJc w:val="left"/>
    </w:lvl>
    <w:lvl w:ilvl="3" w:tplc="5E7C4D3E">
      <w:numFmt w:val="decimal"/>
      <w:lvlText w:val=""/>
      <w:lvlJc w:val="left"/>
    </w:lvl>
    <w:lvl w:ilvl="4" w:tplc="D3C019F6">
      <w:numFmt w:val="decimal"/>
      <w:lvlText w:val=""/>
      <w:lvlJc w:val="left"/>
    </w:lvl>
    <w:lvl w:ilvl="5" w:tplc="4D041680">
      <w:numFmt w:val="decimal"/>
      <w:lvlText w:val=""/>
      <w:lvlJc w:val="left"/>
    </w:lvl>
    <w:lvl w:ilvl="6" w:tplc="B17C6B3C">
      <w:numFmt w:val="decimal"/>
      <w:lvlText w:val=""/>
      <w:lvlJc w:val="left"/>
    </w:lvl>
    <w:lvl w:ilvl="7" w:tplc="38CC70C4">
      <w:numFmt w:val="decimal"/>
      <w:lvlText w:val=""/>
      <w:lvlJc w:val="left"/>
    </w:lvl>
    <w:lvl w:ilvl="8" w:tplc="883AB83E">
      <w:numFmt w:val="decimal"/>
      <w:lvlText w:val=""/>
      <w:lvlJc w:val="left"/>
    </w:lvl>
  </w:abstractNum>
  <w:abstractNum w:abstractNumId="687" w15:restartNumberingAfterBreak="0">
    <w:nsid w:val="4D0F6ECE"/>
    <w:multiLevelType w:val="hybridMultilevel"/>
    <w:tmpl w:val="3F04D052"/>
    <w:lvl w:ilvl="0" w:tplc="63180E9E">
      <w:start w:val="1"/>
      <w:numFmt w:val="bullet"/>
      <w:lvlText w:val=""/>
      <w:lvlJc w:val="left"/>
      <w:pPr>
        <w:ind w:left="720" w:hanging="180"/>
      </w:pPr>
      <w:rPr>
        <w:rFonts w:ascii="Symbol" w:hAnsi="Symbol" w:hint="default"/>
      </w:rPr>
    </w:lvl>
    <w:lvl w:ilvl="1" w:tplc="463859F6">
      <w:numFmt w:val="decimal"/>
      <w:lvlText w:val=""/>
      <w:lvlJc w:val="left"/>
    </w:lvl>
    <w:lvl w:ilvl="2" w:tplc="BF280150">
      <w:numFmt w:val="decimal"/>
      <w:lvlText w:val=""/>
      <w:lvlJc w:val="left"/>
    </w:lvl>
    <w:lvl w:ilvl="3" w:tplc="DA4E5DF8">
      <w:numFmt w:val="decimal"/>
      <w:lvlText w:val=""/>
      <w:lvlJc w:val="left"/>
    </w:lvl>
    <w:lvl w:ilvl="4" w:tplc="4DE0F812">
      <w:numFmt w:val="decimal"/>
      <w:lvlText w:val=""/>
      <w:lvlJc w:val="left"/>
    </w:lvl>
    <w:lvl w:ilvl="5" w:tplc="6574ABFE">
      <w:numFmt w:val="decimal"/>
      <w:lvlText w:val=""/>
      <w:lvlJc w:val="left"/>
    </w:lvl>
    <w:lvl w:ilvl="6" w:tplc="D0A02946">
      <w:numFmt w:val="decimal"/>
      <w:lvlText w:val=""/>
      <w:lvlJc w:val="left"/>
    </w:lvl>
    <w:lvl w:ilvl="7" w:tplc="F198F3E6">
      <w:numFmt w:val="decimal"/>
      <w:lvlText w:val=""/>
      <w:lvlJc w:val="left"/>
    </w:lvl>
    <w:lvl w:ilvl="8" w:tplc="429CDE28">
      <w:numFmt w:val="decimal"/>
      <w:lvlText w:val=""/>
      <w:lvlJc w:val="left"/>
    </w:lvl>
  </w:abstractNum>
  <w:abstractNum w:abstractNumId="688" w15:restartNumberingAfterBreak="0">
    <w:nsid w:val="4D2602FC"/>
    <w:multiLevelType w:val="hybridMultilevel"/>
    <w:tmpl w:val="5A365CE2"/>
    <w:lvl w:ilvl="0" w:tplc="BCEE89F4">
      <w:start w:val="1"/>
      <w:numFmt w:val="bullet"/>
      <w:lvlText w:val=""/>
      <w:lvlJc w:val="left"/>
      <w:pPr>
        <w:ind w:left="720" w:hanging="180"/>
      </w:pPr>
      <w:rPr>
        <w:rFonts w:ascii="Symbol" w:hAnsi="Symbol" w:hint="default"/>
      </w:rPr>
    </w:lvl>
    <w:lvl w:ilvl="1" w:tplc="FCEA5AD0">
      <w:numFmt w:val="decimal"/>
      <w:lvlText w:val=""/>
      <w:lvlJc w:val="left"/>
    </w:lvl>
    <w:lvl w:ilvl="2" w:tplc="46D4AFF6">
      <w:numFmt w:val="decimal"/>
      <w:lvlText w:val=""/>
      <w:lvlJc w:val="left"/>
    </w:lvl>
    <w:lvl w:ilvl="3" w:tplc="F152917C">
      <w:numFmt w:val="decimal"/>
      <w:lvlText w:val=""/>
      <w:lvlJc w:val="left"/>
    </w:lvl>
    <w:lvl w:ilvl="4" w:tplc="CDFCBCA0">
      <w:numFmt w:val="decimal"/>
      <w:lvlText w:val=""/>
      <w:lvlJc w:val="left"/>
    </w:lvl>
    <w:lvl w:ilvl="5" w:tplc="EA8C972E">
      <w:numFmt w:val="decimal"/>
      <w:lvlText w:val=""/>
      <w:lvlJc w:val="left"/>
    </w:lvl>
    <w:lvl w:ilvl="6" w:tplc="5BBA54CC">
      <w:numFmt w:val="decimal"/>
      <w:lvlText w:val=""/>
      <w:lvlJc w:val="left"/>
    </w:lvl>
    <w:lvl w:ilvl="7" w:tplc="6C8816FC">
      <w:numFmt w:val="decimal"/>
      <w:lvlText w:val=""/>
      <w:lvlJc w:val="left"/>
    </w:lvl>
    <w:lvl w:ilvl="8" w:tplc="3CDE6DCE">
      <w:numFmt w:val="decimal"/>
      <w:lvlText w:val=""/>
      <w:lvlJc w:val="left"/>
    </w:lvl>
  </w:abstractNum>
  <w:abstractNum w:abstractNumId="689" w15:restartNumberingAfterBreak="0">
    <w:nsid w:val="4D28319F"/>
    <w:multiLevelType w:val="hybridMultilevel"/>
    <w:tmpl w:val="B4525FAE"/>
    <w:lvl w:ilvl="0" w:tplc="0B424CF0">
      <w:start w:val="1"/>
      <w:numFmt w:val="bullet"/>
      <w:lvlText w:val=""/>
      <w:lvlJc w:val="left"/>
      <w:pPr>
        <w:ind w:left="720" w:hanging="180"/>
      </w:pPr>
      <w:rPr>
        <w:rFonts w:ascii="Symbol" w:hAnsi="Symbol" w:hint="default"/>
      </w:rPr>
    </w:lvl>
    <w:lvl w:ilvl="1" w:tplc="1DD491DC">
      <w:numFmt w:val="decimal"/>
      <w:lvlText w:val=""/>
      <w:lvlJc w:val="left"/>
    </w:lvl>
    <w:lvl w:ilvl="2" w:tplc="2C36A0D6">
      <w:numFmt w:val="decimal"/>
      <w:lvlText w:val=""/>
      <w:lvlJc w:val="left"/>
    </w:lvl>
    <w:lvl w:ilvl="3" w:tplc="E354ADF4">
      <w:numFmt w:val="decimal"/>
      <w:lvlText w:val=""/>
      <w:lvlJc w:val="left"/>
    </w:lvl>
    <w:lvl w:ilvl="4" w:tplc="0A48CDE6">
      <w:numFmt w:val="decimal"/>
      <w:lvlText w:val=""/>
      <w:lvlJc w:val="left"/>
    </w:lvl>
    <w:lvl w:ilvl="5" w:tplc="853E0758">
      <w:numFmt w:val="decimal"/>
      <w:lvlText w:val=""/>
      <w:lvlJc w:val="left"/>
    </w:lvl>
    <w:lvl w:ilvl="6" w:tplc="19AACEE4">
      <w:numFmt w:val="decimal"/>
      <w:lvlText w:val=""/>
      <w:lvlJc w:val="left"/>
    </w:lvl>
    <w:lvl w:ilvl="7" w:tplc="B2DC133E">
      <w:numFmt w:val="decimal"/>
      <w:lvlText w:val=""/>
      <w:lvlJc w:val="left"/>
    </w:lvl>
    <w:lvl w:ilvl="8" w:tplc="B978E19A">
      <w:numFmt w:val="decimal"/>
      <w:lvlText w:val=""/>
      <w:lvlJc w:val="left"/>
    </w:lvl>
  </w:abstractNum>
  <w:abstractNum w:abstractNumId="690" w15:restartNumberingAfterBreak="0">
    <w:nsid w:val="4D904AA8"/>
    <w:multiLevelType w:val="hybridMultilevel"/>
    <w:tmpl w:val="8EB43182"/>
    <w:lvl w:ilvl="0" w:tplc="CEE01582">
      <w:start w:val="1"/>
      <w:numFmt w:val="bullet"/>
      <w:lvlText w:val=""/>
      <w:lvlJc w:val="left"/>
      <w:pPr>
        <w:ind w:left="720" w:hanging="180"/>
      </w:pPr>
      <w:rPr>
        <w:rFonts w:ascii="Symbol" w:hAnsi="Symbol" w:hint="default"/>
      </w:rPr>
    </w:lvl>
    <w:lvl w:ilvl="1" w:tplc="7116D098">
      <w:numFmt w:val="decimal"/>
      <w:lvlText w:val=""/>
      <w:lvlJc w:val="left"/>
    </w:lvl>
    <w:lvl w:ilvl="2" w:tplc="E5360632">
      <w:numFmt w:val="decimal"/>
      <w:lvlText w:val=""/>
      <w:lvlJc w:val="left"/>
    </w:lvl>
    <w:lvl w:ilvl="3" w:tplc="EB4EBC5C">
      <w:numFmt w:val="decimal"/>
      <w:lvlText w:val=""/>
      <w:lvlJc w:val="left"/>
    </w:lvl>
    <w:lvl w:ilvl="4" w:tplc="BB9A9590">
      <w:numFmt w:val="decimal"/>
      <w:lvlText w:val=""/>
      <w:lvlJc w:val="left"/>
    </w:lvl>
    <w:lvl w:ilvl="5" w:tplc="43DA72BE">
      <w:numFmt w:val="decimal"/>
      <w:lvlText w:val=""/>
      <w:lvlJc w:val="left"/>
    </w:lvl>
    <w:lvl w:ilvl="6" w:tplc="41DE49A4">
      <w:numFmt w:val="decimal"/>
      <w:lvlText w:val=""/>
      <w:lvlJc w:val="left"/>
    </w:lvl>
    <w:lvl w:ilvl="7" w:tplc="827427F0">
      <w:numFmt w:val="decimal"/>
      <w:lvlText w:val=""/>
      <w:lvlJc w:val="left"/>
    </w:lvl>
    <w:lvl w:ilvl="8" w:tplc="7FBA7E54">
      <w:numFmt w:val="decimal"/>
      <w:lvlText w:val=""/>
      <w:lvlJc w:val="left"/>
    </w:lvl>
  </w:abstractNum>
  <w:abstractNum w:abstractNumId="691" w15:restartNumberingAfterBreak="0">
    <w:nsid w:val="4DBD21ED"/>
    <w:multiLevelType w:val="hybridMultilevel"/>
    <w:tmpl w:val="734E0760"/>
    <w:lvl w:ilvl="0" w:tplc="72605E5A">
      <w:start w:val="1"/>
      <w:numFmt w:val="bullet"/>
      <w:lvlText w:val=""/>
      <w:lvlJc w:val="left"/>
      <w:pPr>
        <w:ind w:left="720" w:hanging="180"/>
      </w:pPr>
      <w:rPr>
        <w:rFonts w:ascii="Symbol" w:hAnsi="Symbol" w:hint="default"/>
      </w:rPr>
    </w:lvl>
    <w:lvl w:ilvl="1" w:tplc="17A6A7B2">
      <w:numFmt w:val="decimal"/>
      <w:lvlText w:val=""/>
      <w:lvlJc w:val="left"/>
    </w:lvl>
    <w:lvl w:ilvl="2" w:tplc="E4C6132C">
      <w:numFmt w:val="decimal"/>
      <w:lvlText w:val=""/>
      <w:lvlJc w:val="left"/>
    </w:lvl>
    <w:lvl w:ilvl="3" w:tplc="C6F07328">
      <w:numFmt w:val="decimal"/>
      <w:lvlText w:val=""/>
      <w:lvlJc w:val="left"/>
    </w:lvl>
    <w:lvl w:ilvl="4" w:tplc="20FCDD04">
      <w:numFmt w:val="decimal"/>
      <w:lvlText w:val=""/>
      <w:lvlJc w:val="left"/>
    </w:lvl>
    <w:lvl w:ilvl="5" w:tplc="945AAC22">
      <w:numFmt w:val="decimal"/>
      <w:lvlText w:val=""/>
      <w:lvlJc w:val="left"/>
    </w:lvl>
    <w:lvl w:ilvl="6" w:tplc="40B6D5BA">
      <w:numFmt w:val="decimal"/>
      <w:lvlText w:val=""/>
      <w:lvlJc w:val="left"/>
    </w:lvl>
    <w:lvl w:ilvl="7" w:tplc="C52476D0">
      <w:numFmt w:val="decimal"/>
      <w:lvlText w:val=""/>
      <w:lvlJc w:val="left"/>
    </w:lvl>
    <w:lvl w:ilvl="8" w:tplc="98D82696">
      <w:numFmt w:val="decimal"/>
      <w:lvlText w:val=""/>
      <w:lvlJc w:val="left"/>
    </w:lvl>
  </w:abstractNum>
  <w:abstractNum w:abstractNumId="692" w15:restartNumberingAfterBreak="0">
    <w:nsid w:val="4DF862E9"/>
    <w:multiLevelType w:val="hybridMultilevel"/>
    <w:tmpl w:val="BB5ADBD0"/>
    <w:lvl w:ilvl="0" w:tplc="68BAFDF2">
      <w:numFmt w:val="decimal"/>
      <w:lvlText w:val=""/>
      <w:lvlJc w:val="left"/>
    </w:lvl>
    <w:lvl w:ilvl="1" w:tplc="BC72E554">
      <w:start w:val="1"/>
      <w:numFmt w:val="bullet"/>
      <w:lvlText w:val=""/>
      <w:lvlJc w:val="left"/>
      <w:pPr>
        <w:ind w:left="1440" w:hanging="180"/>
      </w:pPr>
      <w:rPr>
        <w:rFonts w:ascii="Symbol" w:hAnsi="Symbol" w:hint="default"/>
      </w:rPr>
    </w:lvl>
    <w:lvl w:ilvl="2" w:tplc="7230242C">
      <w:numFmt w:val="decimal"/>
      <w:lvlText w:val=""/>
      <w:lvlJc w:val="left"/>
    </w:lvl>
    <w:lvl w:ilvl="3" w:tplc="1FB84EFC">
      <w:numFmt w:val="decimal"/>
      <w:lvlText w:val=""/>
      <w:lvlJc w:val="left"/>
    </w:lvl>
    <w:lvl w:ilvl="4" w:tplc="911078E6">
      <w:numFmt w:val="decimal"/>
      <w:lvlText w:val=""/>
      <w:lvlJc w:val="left"/>
    </w:lvl>
    <w:lvl w:ilvl="5" w:tplc="777C73BE">
      <w:numFmt w:val="decimal"/>
      <w:lvlText w:val=""/>
      <w:lvlJc w:val="left"/>
    </w:lvl>
    <w:lvl w:ilvl="6" w:tplc="DF8CB898">
      <w:numFmt w:val="decimal"/>
      <w:lvlText w:val=""/>
      <w:lvlJc w:val="left"/>
    </w:lvl>
    <w:lvl w:ilvl="7" w:tplc="4284195E">
      <w:numFmt w:val="decimal"/>
      <w:lvlText w:val=""/>
      <w:lvlJc w:val="left"/>
    </w:lvl>
    <w:lvl w:ilvl="8" w:tplc="91563A58">
      <w:numFmt w:val="decimal"/>
      <w:lvlText w:val=""/>
      <w:lvlJc w:val="left"/>
    </w:lvl>
  </w:abstractNum>
  <w:abstractNum w:abstractNumId="693" w15:restartNumberingAfterBreak="0">
    <w:nsid w:val="4E183211"/>
    <w:multiLevelType w:val="hybridMultilevel"/>
    <w:tmpl w:val="F5740C8C"/>
    <w:lvl w:ilvl="0" w:tplc="A3929BF4">
      <w:start w:val="1"/>
      <w:numFmt w:val="bullet"/>
      <w:lvlText w:val=""/>
      <w:lvlJc w:val="left"/>
      <w:pPr>
        <w:ind w:left="720" w:hanging="180"/>
      </w:pPr>
      <w:rPr>
        <w:rFonts w:ascii="Symbol" w:hAnsi="Symbol" w:hint="default"/>
      </w:rPr>
    </w:lvl>
    <w:lvl w:ilvl="1" w:tplc="5590EF98">
      <w:numFmt w:val="decimal"/>
      <w:lvlText w:val=""/>
      <w:lvlJc w:val="left"/>
    </w:lvl>
    <w:lvl w:ilvl="2" w:tplc="2A566AD2">
      <w:numFmt w:val="decimal"/>
      <w:lvlText w:val=""/>
      <w:lvlJc w:val="left"/>
    </w:lvl>
    <w:lvl w:ilvl="3" w:tplc="715C55C0">
      <w:numFmt w:val="decimal"/>
      <w:lvlText w:val=""/>
      <w:lvlJc w:val="left"/>
    </w:lvl>
    <w:lvl w:ilvl="4" w:tplc="39F2567C">
      <w:numFmt w:val="decimal"/>
      <w:lvlText w:val=""/>
      <w:lvlJc w:val="left"/>
    </w:lvl>
    <w:lvl w:ilvl="5" w:tplc="6096B09E">
      <w:numFmt w:val="decimal"/>
      <w:lvlText w:val=""/>
      <w:lvlJc w:val="left"/>
    </w:lvl>
    <w:lvl w:ilvl="6" w:tplc="54362712">
      <w:numFmt w:val="decimal"/>
      <w:lvlText w:val=""/>
      <w:lvlJc w:val="left"/>
    </w:lvl>
    <w:lvl w:ilvl="7" w:tplc="50A07928">
      <w:numFmt w:val="decimal"/>
      <w:lvlText w:val=""/>
      <w:lvlJc w:val="left"/>
    </w:lvl>
    <w:lvl w:ilvl="8" w:tplc="69E6FFDA">
      <w:numFmt w:val="decimal"/>
      <w:lvlText w:val=""/>
      <w:lvlJc w:val="left"/>
    </w:lvl>
  </w:abstractNum>
  <w:abstractNum w:abstractNumId="694" w15:restartNumberingAfterBreak="0">
    <w:nsid w:val="4E196892"/>
    <w:multiLevelType w:val="hybridMultilevel"/>
    <w:tmpl w:val="01B6F20A"/>
    <w:lvl w:ilvl="0" w:tplc="FD6CB934">
      <w:start w:val="1"/>
      <w:numFmt w:val="bullet"/>
      <w:lvlText w:val=""/>
      <w:lvlJc w:val="left"/>
      <w:pPr>
        <w:ind w:left="720" w:hanging="180"/>
      </w:pPr>
      <w:rPr>
        <w:rFonts w:ascii="Symbol" w:hAnsi="Symbol" w:hint="default"/>
      </w:rPr>
    </w:lvl>
    <w:lvl w:ilvl="1" w:tplc="B2227960">
      <w:numFmt w:val="decimal"/>
      <w:lvlText w:val=""/>
      <w:lvlJc w:val="left"/>
    </w:lvl>
    <w:lvl w:ilvl="2" w:tplc="D2CA3D8E">
      <w:numFmt w:val="decimal"/>
      <w:lvlText w:val=""/>
      <w:lvlJc w:val="left"/>
    </w:lvl>
    <w:lvl w:ilvl="3" w:tplc="C1289090">
      <w:numFmt w:val="decimal"/>
      <w:lvlText w:val=""/>
      <w:lvlJc w:val="left"/>
    </w:lvl>
    <w:lvl w:ilvl="4" w:tplc="7C3A37D8">
      <w:numFmt w:val="decimal"/>
      <w:lvlText w:val=""/>
      <w:lvlJc w:val="left"/>
    </w:lvl>
    <w:lvl w:ilvl="5" w:tplc="E4761EF2">
      <w:numFmt w:val="decimal"/>
      <w:lvlText w:val=""/>
      <w:lvlJc w:val="left"/>
    </w:lvl>
    <w:lvl w:ilvl="6" w:tplc="A5567E4C">
      <w:numFmt w:val="decimal"/>
      <w:lvlText w:val=""/>
      <w:lvlJc w:val="left"/>
    </w:lvl>
    <w:lvl w:ilvl="7" w:tplc="BF72F09E">
      <w:numFmt w:val="decimal"/>
      <w:lvlText w:val=""/>
      <w:lvlJc w:val="left"/>
    </w:lvl>
    <w:lvl w:ilvl="8" w:tplc="88D0FF8C">
      <w:numFmt w:val="decimal"/>
      <w:lvlText w:val=""/>
      <w:lvlJc w:val="left"/>
    </w:lvl>
  </w:abstractNum>
  <w:abstractNum w:abstractNumId="695" w15:restartNumberingAfterBreak="0">
    <w:nsid w:val="4E42758A"/>
    <w:multiLevelType w:val="hybridMultilevel"/>
    <w:tmpl w:val="0564158E"/>
    <w:lvl w:ilvl="0" w:tplc="69F42DC2">
      <w:start w:val="1"/>
      <w:numFmt w:val="bullet"/>
      <w:lvlText w:val=""/>
      <w:lvlJc w:val="left"/>
      <w:pPr>
        <w:ind w:left="720" w:hanging="180"/>
      </w:pPr>
      <w:rPr>
        <w:rFonts w:ascii="Symbol" w:hAnsi="Symbol" w:hint="default"/>
      </w:rPr>
    </w:lvl>
    <w:lvl w:ilvl="1" w:tplc="E31098C6">
      <w:numFmt w:val="decimal"/>
      <w:lvlText w:val=""/>
      <w:lvlJc w:val="left"/>
    </w:lvl>
    <w:lvl w:ilvl="2" w:tplc="66765310">
      <w:numFmt w:val="decimal"/>
      <w:lvlText w:val=""/>
      <w:lvlJc w:val="left"/>
    </w:lvl>
    <w:lvl w:ilvl="3" w:tplc="25CC612E">
      <w:numFmt w:val="decimal"/>
      <w:lvlText w:val=""/>
      <w:lvlJc w:val="left"/>
    </w:lvl>
    <w:lvl w:ilvl="4" w:tplc="947E101A">
      <w:numFmt w:val="decimal"/>
      <w:lvlText w:val=""/>
      <w:lvlJc w:val="left"/>
    </w:lvl>
    <w:lvl w:ilvl="5" w:tplc="08E2FFF8">
      <w:numFmt w:val="decimal"/>
      <w:lvlText w:val=""/>
      <w:lvlJc w:val="left"/>
    </w:lvl>
    <w:lvl w:ilvl="6" w:tplc="9626D926">
      <w:numFmt w:val="decimal"/>
      <w:lvlText w:val=""/>
      <w:lvlJc w:val="left"/>
    </w:lvl>
    <w:lvl w:ilvl="7" w:tplc="208ACE3A">
      <w:numFmt w:val="decimal"/>
      <w:lvlText w:val=""/>
      <w:lvlJc w:val="left"/>
    </w:lvl>
    <w:lvl w:ilvl="8" w:tplc="3FFAA488">
      <w:numFmt w:val="decimal"/>
      <w:lvlText w:val=""/>
      <w:lvlJc w:val="left"/>
    </w:lvl>
  </w:abstractNum>
  <w:abstractNum w:abstractNumId="696" w15:restartNumberingAfterBreak="0">
    <w:nsid w:val="4E4743C2"/>
    <w:multiLevelType w:val="hybridMultilevel"/>
    <w:tmpl w:val="3434FD08"/>
    <w:lvl w:ilvl="0" w:tplc="BD666FD6">
      <w:start w:val="1"/>
      <w:numFmt w:val="bullet"/>
      <w:lvlText w:val=""/>
      <w:lvlJc w:val="left"/>
      <w:pPr>
        <w:ind w:left="720" w:hanging="180"/>
      </w:pPr>
      <w:rPr>
        <w:rFonts w:ascii="Symbol" w:hAnsi="Symbol" w:hint="default"/>
      </w:rPr>
    </w:lvl>
    <w:lvl w:ilvl="1" w:tplc="F85A5138">
      <w:numFmt w:val="decimal"/>
      <w:lvlText w:val=""/>
      <w:lvlJc w:val="left"/>
    </w:lvl>
    <w:lvl w:ilvl="2" w:tplc="56288ECA">
      <w:numFmt w:val="decimal"/>
      <w:lvlText w:val=""/>
      <w:lvlJc w:val="left"/>
    </w:lvl>
    <w:lvl w:ilvl="3" w:tplc="6414A77E">
      <w:numFmt w:val="decimal"/>
      <w:lvlText w:val=""/>
      <w:lvlJc w:val="left"/>
    </w:lvl>
    <w:lvl w:ilvl="4" w:tplc="0CBA8F7A">
      <w:numFmt w:val="decimal"/>
      <w:lvlText w:val=""/>
      <w:lvlJc w:val="left"/>
    </w:lvl>
    <w:lvl w:ilvl="5" w:tplc="C67651C0">
      <w:numFmt w:val="decimal"/>
      <w:lvlText w:val=""/>
      <w:lvlJc w:val="left"/>
    </w:lvl>
    <w:lvl w:ilvl="6" w:tplc="B9885086">
      <w:numFmt w:val="decimal"/>
      <w:lvlText w:val=""/>
      <w:lvlJc w:val="left"/>
    </w:lvl>
    <w:lvl w:ilvl="7" w:tplc="975667EE">
      <w:numFmt w:val="decimal"/>
      <w:lvlText w:val=""/>
      <w:lvlJc w:val="left"/>
    </w:lvl>
    <w:lvl w:ilvl="8" w:tplc="9DDEF98C">
      <w:numFmt w:val="decimal"/>
      <w:lvlText w:val=""/>
      <w:lvlJc w:val="left"/>
    </w:lvl>
  </w:abstractNum>
  <w:abstractNum w:abstractNumId="697" w15:restartNumberingAfterBreak="0">
    <w:nsid w:val="4E474D26"/>
    <w:multiLevelType w:val="hybridMultilevel"/>
    <w:tmpl w:val="D98A3EC2"/>
    <w:lvl w:ilvl="0" w:tplc="07A478A4">
      <w:start w:val="1"/>
      <w:numFmt w:val="bullet"/>
      <w:lvlText w:val=""/>
      <w:lvlJc w:val="left"/>
      <w:pPr>
        <w:ind w:left="720" w:hanging="180"/>
      </w:pPr>
      <w:rPr>
        <w:rFonts w:ascii="Symbol" w:hAnsi="Symbol" w:hint="default"/>
      </w:rPr>
    </w:lvl>
    <w:lvl w:ilvl="1" w:tplc="B8AC4988">
      <w:numFmt w:val="decimal"/>
      <w:lvlText w:val=""/>
      <w:lvlJc w:val="left"/>
    </w:lvl>
    <w:lvl w:ilvl="2" w:tplc="57E6A6DA">
      <w:numFmt w:val="decimal"/>
      <w:lvlText w:val=""/>
      <w:lvlJc w:val="left"/>
    </w:lvl>
    <w:lvl w:ilvl="3" w:tplc="7A4889E8">
      <w:numFmt w:val="decimal"/>
      <w:lvlText w:val=""/>
      <w:lvlJc w:val="left"/>
    </w:lvl>
    <w:lvl w:ilvl="4" w:tplc="3310528C">
      <w:numFmt w:val="decimal"/>
      <w:lvlText w:val=""/>
      <w:lvlJc w:val="left"/>
    </w:lvl>
    <w:lvl w:ilvl="5" w:tplc="32DC850C">
      <w:numFmt w:val="decimal"/>
      <w:lvlText w:val=""/>
      <w:lvlJc w:val="left"/>
    </w:lvl>
    <w:lvl w:ilvl="6" w:tplc="94F01F9E">
      <w:numFmt w:val="decimal"/>
      <w:lvlText w:val=""/>
      <w:lvlJc w:val="left"/>
    </w:lvl>
    <w:lvl w:ilvl="7" w:tplc="4D286490">
      <w:numFmt w:val="decimal"/>
      <w:lvlText w:val=""/>
      <w:lvlJc w:val="left"/>
    </w:lvl>
    <w:lvl w:ilvl="8" w:tplc="3D4841D6">
      <w:numFmt w:val="decimal"/>
      <w:lvlText w:val=""/>
      <w:lvlJc w:val="left"/>
    </w:lvl>
  </w:abstractNum>
  <w:abstractNum w:abstractNumId="698" w15:restartNumberingAfterBreak="0">
    <w:nsid w:val="4E4907C3"/>
    <w:multiLevelType w:val="hybridMultilevel"/>
    <w:tmpl w:val="C762A122"/>
    <w:lvl w:ilvl="0" w:tplc="1EB8ED8C">
      <w:start w:val="1"/>
      <w:numFmt w:val="bullet"/>
      <w:lvlText w:val=""/>
      <w:lvlJc w:val="left"/>
      <w:pPr>
        <w:ind w:left="720" w:hanging="180"/>
      </w:pPr>
      <w:rPr>
        <w:rFonts w:ascii="Symbol" w:hAnsi="Symbol" w:hint="default"/>
      </w:rPr>
    </w:lvl>
    <w:lvl w:ilvl="1" w:tplc="C09816FA">
      <w:numFmt w:val="decimal"/>
      <w:lvlText w:val=""/>
      <w:lvlJc w:val="left"/>
    </w:lvl>
    <w:lvl w:ilvl="2" w:tplc="B3289442">
      <w:numFmt w:val="decimal"/>
      <w:lvlText w:val=""/>
      <w:lvlJc w:val="left"/>
    </w:lvl>
    <w:lvl w:ilvl="3" w:tplc="416E83C4">
      <w:numFmt w:val="decimal"/>
      <w:lvlText w:val=""/>
      <w:lvlJc w:val="left"/>
    </w:lvl>
    <w:lvl w:ilvl="4" w:tplc="58040616">
      <w:numFmt w:val="decimal"/>
      <w:lvlText w:val=""/>
      <w:lvlJc w:val="left"/>
    </w:lvl>
    <w:lvl w:ilvl="5" w:tplc="E0FCB198">
      <w:numFmt w:val="decimal"/>
      <w:lvlText w:val=""/>
      <w:lvlJc w:val="left"/>
    </w:lvl>
    <w:lvl w:ilvl="6" w:tplc="BBEA78B4">
      <w:numFmt w:val="decimal"/>
      <w:lvlText w:val=""/>
      <w:lvlJc w:val="left"/>
    </w:lvl>
    <w:lvl w:ilvl="7" w:tplc="F8CE8C66">
      <w:numFmt w:val="decimal"/>
      <w:lvlText w:val=""/>
      <w:lvlJc w:val="left"/>
    </w:lvl>
    <w:lvl w:ilvl="8" w:tplc="B9BC049A">
      <w:numFmt w:val="decimal"/>
      <w:lvlText w:val=""/>
      <w:lvlJc w:val="left"/>
    </w:lvl>
  </w:abstractNum>
  <w:abstractNum w:abstractNumId="699" w15:restartNumberingAfterBreak="0">
    <w:nsid w:val="4E86304D"/>
    <w:multiLevelType w:val="hybridMultilevel"/>
    <w:tmpl w:val="49769A9E"/>
    <w:lvl w:ilvl="0" w:tplc="256276C4">
      <w:start w:val="1"/>
      <w:numFmt w:val="bullet"/>
      <w:lvlText w:val=""/>
      <w:lvlJc w:val="left"/>
      <w:pPr>
        <w:ind w:left="720" w:hanging="180"/>
      </w:pPr>
      <w:rPr>
        <w:rFonts w:ascii="Symbol" w:hAnsi="Symbol" w:hint="default"/>
      </w:rPr>
    </w:lvl>
    <w:lvl w:ilvl="1" w:tplc="C6E01ED0">
      <w:numFmt w:val="decimal"/>
      <w:lvlText w:val=""/>
      <w:lvlJc w:val="left"/>
    </w:lvl>
    <w:lvl w:ilvl="2" w:tplc="6FA80256">
      <w:numFmt w:val="decimal"/>
      <w:lvlText w:val=""/>
      <w:lvlJc w:val="left"/>
    </w:lvl>
    <w:lvl w:ilvl="3" w:tplc="FBE2DA22">
      <w:numFmt w:val="decimal"/>
      <w:lvlText w:val=""/>
      <w:lvlJc w:val="left"/>
    </w:lvl>
    <w:lvl w:ilvl="4" w:tplc="08D89FF4">
      <w:numFmt w:val="decimal"/>
      <w:lvlText w:val=""/>
      <w:lvlJc w:val="left"/>
    </w:lvl>
    <w:lvl w:ilvl="5" w:tplc="BAE8EA48">
      <w:numFmt w:val="decimal"/>
      <w:lvlText w:val=""/>
      <w:lvlJc w:val="left"/>
    </w:lvl>
    <w:lvl w:ilvl="6" w:tplc="5D5061F2">
      <w:numFmt w:val="decimal"/>
      <w:lvlText w:val=""/>
      <w:lvlJc w:val="left"/>
    </w:lvl>
    <w:lvl w:ilvl="7" w:tplc="01B02622">
      <w:numFmt w:val="decimal"/>
      <w:lvlText w:val=""/>
      <w:lvlJc w:val="left"/>
    </w:lvl>
    <w:lvl w:ilvl="8" w:tplc="6B1A275E">
      <w:numFmt w:val="decimal"/>
      <w:lvlText w:val=""/>
      <w:lvlJc w:val="left"/>
    </w:lvl>
  </w:abstractNum>
  <w:abstractNum w:abstractNumId="700" w15:restartNumberingAfterBreak="0">
    <w:nsid w:val="4EB06D60"/>
    <w:multiLevelType w:val="hybridMultilevel"/>
    <w:tmpl w:val="9FF86EF8"/>
    <w:lvl w:ilvl="0" w:tplc="899004B0">
      <w:start w:val="1"/>
      <w:numFmt w:val="bullet"/>
      <w:lvlText w:val=""/>
      <w:lvlJc w:val="left"/>
      <w:pPr>
        <w:ind w:left="720" w:hanging="180"/>
      </w:pPr>
      <w:rPr>
        <w:rFonts w:ascii="Symbol" w:hAnsi="Symbol" w:hint="default"/>
      </w:rPr>
    </w:lvl>
    <w:lvl w:ilvl="1" w:tplc="3E3E41E8">
      <w:numFmt w:val="decimal"/>
      <w:lvlText w:val=""/>
      <w:lvlJc w:val="left"/>
    </w:lvl>
    <w:lvl w:ilvl="2" w:tplc="E834982C">
      <w:numFmt w:val="decimal"/>
      <w:lvlText w:val=""/>
      <w:lvlJc w:val="left"/>
    </w:lvl>
    <w:lvl w:ilvl="3" w:tplc="38BA8B4A">
      <w:numFmt w:val="decimal"/>
      <w:lvlText w:val=""/>
      <w:lvlJc w:val="left"/>
    </w:lvl>
    <w:lvl w:ilvl="4" w:tplc="1C262232">
      <w:numFmt w:val="decimal"/>
      <w:lvlText w:val=""/>
      <w:lvlJc w:val="left"/>
    </w:lvl>
    <w:lvl w:ilvl="5" w:tplc="3C8E9E28">
      <w:numFmt w:val="decimal"/>
      <w:lvlText w:val=""/>
      <w:lvlJc w:val="left"/>
    </w:lvl>
    <w:lvl w:ilvl="6" w:tplc="CF98838E">
      <w:numFmt w:val="decimal"/>
      <w:lvlText w:val=""/>
      <w:lvlJc w:val="left"/>
    </w:lvl>
    <w:lvl w:ilvl="7" w:tplc="8550E03A">
      <w:numFmt w:val="decimal"/>
      <w:lvlText w:val=""/>
      <w:lvlJc w:val="left"/>
    </w:lvl>
    <w:lvl w:ilvl="8" w:tplc="C1660472">
      <w:numFmt w:val="decimal"/>
      <w:lvlText w:val=""/>
      <w:lvlJc w:val="left"/>
    </w:lvl>
  </w:abstractNum>
  <w:abstractNum w:abstractNumId="701" w15:restartNumberingAfterBreak="0">
    <w:nsid w:val="4EB406D4"/>
    <w:multiLevelType w:val="hybridMultilevel"/>
    <w:tmpl w:val="59E878D4"/>
    <w:lvl w:ilvl="0" w:tplc="B85C3706">
      <w:start w:val="1"/>
      <w:numFmt w:val="bullet"/>
      <w:lvlText w:val=""/>
      <w:lvlJc w:val="left"/>
      <w:pPr>
        <w:ind w:left="720" w:hanging="180"/>
      </w:pPr>
      <w:rPr>
        <w:rFonts w:ascii="Symbol" w:hAnsi="Symbol" w:hint="default"/>
      </w:rPr>
    </w:lvl>
    <w:lvl w:ilvl="1" w:tplc="48C04EAE">
      <w:numFmt w:val="decimal"/>
      <w:lvlText w:val=""/>
      <w:lvlJc w:val="left"/>
    </w:lvl>
    <w:lvl w:ilvl="2" w:tplc="BDC4A96E">
      <w:numFmt w:val="decimal"/>
      <w:lvlText w:val=""/>
      <w:lvlJc w:val="left"/>
    </w:lvl>
    <w:lvl w:ilvl="3" w:tplc="5262DA52">
      <w:numFmt w:val="decimal"/>
      <w:lvlText w:val=""/>
      <w:lvlJc w:val="left"/>
    </w:lvl>
    <w:lvl w:ilvl="4" w:tplc="1EF4E4BC">
      <w:numFmt w:val="decimal"/>
      <w:lvlText w:val=""/>
      <w:lvlJc w:val="left"/>
    </w:lvl>
    <w:lvl w:ilvl="5" w:tplc="A650EB8C">
      <w:numFmt w:val="decimal"/>
      <w:lvlText w:val=""/>
      <w:lvlJc w:val="left"/>
    </w:lvl>
    <w:lvl w:ilvl="6" w:tplc="0026F814">
      <w:numFmt w:val="decimal"/>
      <w:lvlText w:val=""/>
      <w:lvlJc w:val="left"/>
    </w:lvl>
    <w:lvl w:ilvl="7" w:tplc="C6B6E2E0">
      <w:numFmt w:val="decimal"/>
      <w:lvlText w:val=""/>
      <w:lvlJc w:val="left"/>
    </w:lvl>
    <w:lvl w:ilvl="8" w:tplc="27EABF54">
      <w:numFmt w:val="decimal"/>
      <w:lvlText w:val=""/>
      <w:lvlJc w:val="left"/>
    </w:lvl>
  </w:abstractNum>
  <w:abstractNum w:abstractNumId="702" w15:restartNumberingAfterBreak="0">
    <w:nsid w:val="4ED46691"/>
    <w:multiLevelType w:val="hybridMultilevel"/>
    <w:tmpl w:val="333CFC84"/>
    <w:lvl w:ilvl="0" w:tplc="DB02875C">
      <w:start w:val="1"/>
      <w:numFmt w:val="bullet"/>
      <w:lvlText w:val=""/>
      <w:lvlJc w:val="left"/>
      <w:pPr>
        <w:ind w:left="720" w:hanging="180"/>
      </w:pPr>
      <w:rPr>
        <w:rFonts w:ascii="Symbol" w:hAnsi="Symbol" w:hint="default"/>
      </w:rPr>
    </w:lvl>
    <w:lvl w:ilvl="1" w:tplc="40AA17E0">
      <w:numFmt w:val="decimal"/>
      <w:lvlText w:val=""/>
      <w:lvlJc w:val="left"/>
    </w:lvl>
    <w:lvl w:ilvl="2" w:tplc="742EA684">
      <w:numFmt w:val="decimal"/>
      <w:lvlText w:val=""/>
      <w:lvlJc w:val="left"/>
    </w:lvl>
    <w:lvl w:ilvl="3" w:tplc="9E36EF62">
      <w:numFmt w:val="decimal"/>
      <w:lvlText w:val=""/>
      <w:lvlJc w:val="left"/>
    </w:lvl>
    <w:lvl w:ilvl="4" w:tplc="3B6ACA70">
      <w:numFmt w:val="decimal"/>
      <w:lvlText w:val=""/>
      <w:lvlJc w:val="left"/>
    </w:lvl>
    <w:lvl w:ilvl="5" w:tplc="BF4EC214">
      <w:numFmt w:val="decimal"/>
      <w:lvlText w:val=""/>
      <w:lvlJc w:val="left"/>
    </w:lvl>
    <w:lvl w:ilvl="6" w:tplc="3072FFBE">
      <w:numFmt w:val="decimal"/>
      <w:lvlText w:val=""/>
      <w:lvlJc w:val="left"/>
    </w:lvl>
    <w:lvl w:ilvl="7" w:tplc="DCDA239A">
      <w:numFmt w:val="decimal"/>
      <w:lvlText w:val=""/>
      <w:lvlJc w:val="left"/>
    </w:lvl>
    <w:lvl w:ilvl="8" w:tplc="2B0CF5B0">
      <w:numFmt w:val="decimal"/>
      <w:lvlText w:val=""/>
      <w:lvlJc w:val="left"/>
    </w:lvl>
  </w:abstractNum>
  <w:abstractNum w:abstractNumId="703" w15:restartNumberingAfterBreak="0">
    <w:nsid w:val="4EE310D8"/>
    <w:multiLevelType w:val="hybridMultilevel"/>
    <w:tmpl w:val="E55822EE"/>
    <w:lvl w:ilvl="0" w:tplc="55DEB08C">
      <w:start w:val="1"/>
      <w:numFmt w:val="bullet"/>
      <w:lvlText w:val=""/>
      <w:lvlJc w:val="left"/>
      <w:pPr>
        <w:ind w:left="720" w:hanging="180"/>
      </w:pPr>
      <w:rPr>
        <w:rFonts w:ascii="Symbol" w:hAnsi="Symbol" w:hint="default"/>
      </w:rPr>
    </w:lvl>
    <w:lvl w:ilvl="1" w:tplc="88A6C772">
      <w:numFmt w:val="decimal"/>
      <w:lvlText w:val=""/>
      <w:lvlJc w:val="left"/>
    </w:lvl>
    <w:lvl w:ilvl="2" w:tplc="FB00D048">
      <w:numFmt w:val="decimal"/>
      <w:lvlText w:val=""/>
      <w:lvlJc w:val="left"/>
    </w:lvl>
    <w:lvl w:ilvl="3" w:tplc="D9227D28">
      <w:numFmt w:val="decimal"/>
      <w:lvlText w:val=""/>
      <w:lvlJc w:val="left"/>
    </w:lvl>
    <w:lvl w:ilvl="4" w:tplc="C4CC6DAE">
      <w:numFmt w:val="decimal"/>
      <w:lvlText w:val=""/>
      <w:lvlJc w:val="left"/>
    </w:lvl>
    <w:lvl w:ilvl="5" w:tplc="3A367EC0">
      <w:numFmt w:val="decimal"/>
      <w:lvlText w:val=""/>
      <w:lvlJc w:val="left"/>
    </w:lvl>
    <w:lvl w:ilvl="6" w:tplc="0DEA0994">
      <w:numFmt w:val="decimal"/>
      <w:lvlText w:val=""/>
      <w:lvlJc w:val="left"/>
    </w:lvl>
    <w:lvl w:ilvl="7" w:tplc="B142BEBC">
      <w:numFmt w:val="decimal"/>
      <w:lvlText w:val=""/>
      <w:lvlJc w:val="left"/>
    </w:lvl>
    <w:lvl w:ilvl="8" w:tplc="E8A8193A">
      <w:numFmt w:val="decimal"/>
      <w:lvlText w:val=""/>
      <w:lvlJc w:val="left"/>
    </w:lvl>
  </w:abstractNum>
  <w:abstractNum w:abstractNumId="704" w15:restartNumberingAfterBreak="0">
    <w:nsid w:val="4F3D09F6"/>
    <w:multiLevelType w:val="hybridMultilevel"/>
    <w:tmpl w:val="C00E490C"/>
    <w:lvl w:ilvl="0" w:tplc="A3AC6DA6">
      <w:start w:val="1"/>
      <w:numFmt w:val="bullet"/>
      <w:lvlText w:val=""/>
      <w:lvlJc w:val="left"/>
      <w:pPr>
        <w:ind w:left="720" w:hanging="180"/>
      </w:pPr>
      <w:rPr>
        <w:rFonts w:ascii="Symbol" w:hAnsi="Symbol" w:hint="default"/>
      </w:rPr>
    </w:lvl>
    <w:lvl w:ilvl="1" w:tplc="F1922C7A">
      <w:numFmt w:val="decimal"/>
      <w:lvlText w:val=""/>
      <w:lvlJc w:val="left"/>
    </w:lvl>
    <w:lvl w:ilvl="2" w:tplc="C490793C">
      <w:numFmt w:val="decimal"/>
      <w:lvlText w:val=""/>
      <w:lvlJc w:val="left"/>
    </w:lvl>
    <w:lvl w:ilvl="3" w:tplc="5B183CA8">
      <w:numFmt w:val="decimal"/>
      <w:lvlText w:val=""/>
      <w:lvlJc w:val="left"/>
    </w:lvl>
    <w:lvl w:ilvl="4" w:tplc="8BEA3C84">
      <w:numFmt w:val="decimal"/>
      <w:lvlText w:val=""/>
      <w:lvlJc w:val="left"/>
    </w:lvl>
    <w:lvl w:ilvl="5" w:tplc="18FCC6EA">
      <w:numFmt w:val="decimal"/>
      <w:lvlText w:val=""/>
      <w:lvlJc w:val="left"/>
    </w:lvl>
    <w:lvl w:ilvl="6" w:tplc="8D9E5CC0">
      <w:numFmt w:val="decimal"/>
      <w:lvlText w:val=""/>
      <w:lvlJc w:val="left"/>
    </w:lvl>
    <w:lvl w:ilvl="7" w:tplc="AA52C102">
      <w:numFmt w:val="decimal"/>
      <w:lvlText w:val=""/>
      <w:lvlJc w:val="left"/>
    </w:lvl>
    <w:lvl w:ilvl="8" w:tplc="FE92DE88">
      <w:numFmt w:val="decimal"/>
      <w:lvlText w:val=""/>
      <w:lvlJc w:val="left"/>
    </w:lvl>
  </w:abstractNum>
  <w:abstractNum w:abstractNumId="705" w15:restartNumberingAfterBreak="0">
    <w:nsid w:val="4F5416B8"/>
    <w:multiLevelType w:val="hybridMultilevel"/>
    <w:tmpl w:val="7818A6AA"/>
    <w:lvl w:ilvl="0" w:tplc="3C120B4C">
      <w:start w:val="1"/>
      <w:numFmt w:val="bullet"/>
      <w:lvlText w:val=""/>
      <w:lvlJc w:val="left"/>
      <w:pPr>
        <w:ind w:left="720" w:hanging="180"/>
      </w:pPr>
      <w:rPr>
        <w:rFonts w:ascii="Symbol" w:hAnsi="Symbol" w:hint="default"/>
      </w:rPr>
    </w:lvl>
    <w:lvl w:ilvl="1" w:tplc="E0A4B048">
      <w:numFmt w:val="decimal"/>
      <w:lvlText w:val=""/>
      <w:lvlJc w:val="left"/>
    </w:lvl>
    <w:lvl w:ilvl="2" w:tplc="611AB0DE">
      <w:numFmt w:val="decimal"/>
      <w:lvlText w:val=""/>
      <w:lvlJc w:val="left"/>
    </w:lvl>
    <w:lvl w:ilvl="3" w:tplc="BF1A01FA">
      <w:numFmt w:val="decimal"/>
      <w:lvlText w:val=""/>
      <w:lvlJc w:val="left"/>
    </w:lvl>
    <w:lvl w:ilvl="4" w:tplc="36CA3136">
      <w:numFmt w:val="decimal"/>
      <w:lvlText w:val=""/>
      <w:lvlJc w:val="left"/>
    </w:lvl>
    <w:lvl w:ilvl="5" w:tplc="62ACE862">
      <w:numFmt w:val="decimal"/>
      <w:lvlText w:val=""/>
      <w:lvlJc w:val="left"/>
    </w:lvl>
    <w:lvl w:ilvl="6" w:tplc="ADB0CEF2">
      <w:numFmt w:val="decimal"/>
      <w:lvlText w:val=""/>
      <w:lvlJc w:val="left"/>
    </w:lvl>
    <w:lvl w:ilvl="7" w:tplc="D742A84C">
      <w:numFmt w:val="decimal"/>
      <w:lvlText w:val=""/>
      <w:lvlJc w:val="left"/>
    </w:lvl>
    <w:lvl w:ilvl="8" w:tplc="FD124AC6">
      <w:numFmt w:val="decimal"/>
      <w:lvlText w:val=""/>
      <w:lvlJc w:val="left"/>
    </w:lvl>
  </w:abstractNum>
  <w:abstractNum w:abstractNumId="706" w15:restartNumberingAfterBreak="0">
    <w:nsid w:val="4F7D39C3"/>
    <w:multiLevelType w:val="hybridMultilevel"/>
    <w:tmpl w:val="5298085C"/>
    <w:lvl w:ilvl="0" w:tplc="EACACA74">
      <w:start w:val="1"/>
      <w:numFmt w:val="bullet"/>
      <w:lvlText w:val=""/>
      <w:lvlJc w:val="left"/>
      <w:pPr>
        <w:ind w:left="720" w:hanging="180"/>
      </w:pPr>
      <w:rPr>
        <w:rFonts w:ascii="Symbol" w:hAnsi="Symbol" w:hint="default"/>
      </w:rPr>
    </w:lvl>
    <w:lvl w:ilvl="1" w:tplc="4076570E">
      <w:numFmt w:val="decimal"/>
      <w:lvlText w:val=""/>
      <w:lvlJc w:val="left"/>
    </w:lvl>
    <w:lvl w:ilvl="2" w:tplc="49548A82">
      <w:numFmt w:val="decimal"/>
      <w:lvlText w:val=""/>
      <w:lvlJc w:val="left"/>
    </w:lvl>
    <w:lvl w:ilvl="3" w:tplc="194CE5A0">
      <w:numFmt w:val="decimal"/>
      <w:lvlText w:val=""/>
      <w:lvlJc w:val="left"/>
    </w:lvl>
    <w:lvl w:ilvl="4" w:tplc="F02C713E">
      <w:numFmt w:val="decimal"/>
      <w:lvlText w:val=""/>
      <w:lvlJc w:val="left"/>
    </w:lvl>
    <w:lvl w:ilvl="5" w:tplc="C61C9CF6">
      <w:numFmt w:val="decimal"/>
      <w:lvlText w:val=""/>
      <w:lvlJc w:val="left"/>
    </w:lvl>
    <w:lvl w:ilvl="6" w:tplc="253CC30A">
      <w:numFmt w:val="decimal"/>
      <w:lvlText w:val=""/>
      <w:lvlJc w:val="left"/>
    </w:lvl>
    <w:lvl w:ilvl="7" w:tplc="E2A2038C">
      <w:numFmt w:val="decimal"/>
      <w:lvlText w:val=""/>
      <w:lvlJc w:val="left"/>
    </w:lvl>
    <w:lvl w:ilvl="8" w:tplc="761A28BA">
      <w:numFmt w:val="decimal"/>
      <w:lvlText w:val=""/>
      <w:lvlJc w:val="left"/>
    </w:lvl>
  </w:abstractNum>
  <w:abstractNum w:abstractNumId="707" w15:restartNumberingAfterBreak="0">
    <w:nsid w:val="4F912C76"/>
    <w:multiLevelType w:val="hybridMultilevel"/>
    <w:tmpl w:val="C0144492"/>
    <w:lvl w:ilvl="0" w:tplc="02CA7FEE">
      <w:start w:val="1"/>
      <w:numFmt w:val="bullet"/>
      <w:lvlText w:val=""/>
      <w:lvlJc w:val="left"/>
      <w:pPr>
        <w:ind w:left="720" w:hanging="180"/>
      </w:pPr>
      <w:rPr>
        <w:rFonts w:ascii="Symbol" w:hAnsi="Symbol" w:hint="default"/>
      </w:rPr>
    </w:lvl>
    <w:lvl w:ilvl="1" w:tplc="53FED0A6">
      <w:numFmt w:val="decimal"/>
      <w:lvlText w:val=""/>
      <w:lvlJc w:val="left"/>
    </w:lvl>
    <w:lvl w:ilvl="2" w:tplc="13ECCB84">
      <w:numFmt w:val="decimal"/>
      <w:lvlText w:val=""/>
      <w:lvlJc w:val="left"/>
    </w:lvl>
    <w:lvl w:ilvl="3" w:tplc="0D44391C">
      <w:numFmt w:val="decimal"/>
      <w:lvlText w:val=""/>
      <w:lvlJc w:val="left"/>
    </w:lvl>
    <w:lvl w:ilvl="4" w:tplc="306E39B2">
      <w:numFmt w:val="decimal"/>
      <w:lvlText w:val=""/>
      <w:lvlJc w:val="left"/>
    </w:lvl>
    <w:lvl w:ilvl="5" w:tplc="CCBE4A7C">
      <w:numFmt w:val="decimal"/>
      <w:lvlText w:val=""/>
      <w:lvlJc w:val="left"/>
    </w:lvl>
    <w:lvl w:ilvl="6" w:tplc="0EDA133E">
      <w:numFmt w:val="decimal"/>
      <w:lvlText w:val=""/>
      <w:lvlJc w:val="left"/>
    </w:lvl>
    <w:lvl w:ilvl="7" w:tplc="AF7CA9CA">
      <w:numFmt w:val="decimal"/>
      <w:lvlText w:val=""/>
      <w:lvlJc w:val="left"/>
    </w:lvl>
    <w:lvl w:ilvl="8" w:tplc="3D069752">
      <w:numFmt w:val="decimal"/>
      <w:lvlText w:val=""/>
      <w:lvlJc w:val="left"/>
    </w:lvl>
  </w:abstractNum>
  <w:abstractNum w:abstractNumId="708" w15:restartNumberingAfterBreak="0">
    <w:nsid w:val="4F98450D"/>
    <w:multiLevelType w:val="hybridMultilevel"/>
    <w:tmpl w:val="8488CFE0"/>
    <w:lvl w:ilvl="0" w:tplc="71E00D64">
      <w:start w:val="1"/>
      <w:numFmt w:val="bullet"/>
      <w:lvlText w:val=""/>
      <w:lvlJc w:val="left"/>
      <w:pPr>
        <w:ind w:left="720" w:hanging="180"/>
      </w:pPr>
      <w:rPr>
        <w:rFonts w:ascii="Symbol" w:hAnsi="Symbol" w:hint="default"/>
      </w:rPr>
    </w:lvl>
    <w:lvl w:ilvl="1" w:tplc="173E0216">
      <w:numFmt w:val="decimal"/>
      <w:lvlText w:val=""/>
      <w:lvlJc w:val="left"/>
    </w:lvl>
    <w:lvl w:ilvl="2" w:tplc="74EE3ED0">
      <w:numFmt w:val="decimal"/>
      <w:lvlText w:val=""/>
      <w:lvlJc w:val="left"/>
    </w:lvl>
    <w:lvl w:ilvl="3" w:tplc="25EC2A1E">
      <w:numFmt w:val="decimal"/>
      <w:lvlText w:val=""/>
      <w:lvlJc w:val="left"/>
    </w:lvl>
    <w:lvl w:ilvl="4" w:tplc="48E4BE52">
      <w:numFmt w:val="decimal"/>
      <w:lvlText w:val=""/>
      <w:lvlJc w:val="left"/>
    </w:lvl>
    <w:lvl w:ilvl="5" w:tplc="D4D0D988">
      <w:numFmt w:val="decimal"/>
      <w:lvlText w:val=""/>
      <w:lvlJc w:val="left"/>
    </w:lvl>
    <w:lvl w:ilvl="6" w:tplc="CC86BA80">
      <w:numFmt w:val="decimal"/>
      <w:lvlText w:val=""/>
      <w:lvlJc w:val="left"/>
    </w:lvl>
    <w:lvl w:ilvl="7" w:tplc="564AE69C">
      <w:numFmt w:val="decimal"/>
      <w:lvlText w:val=""/>
      <w:lvlJc w:val="left"/>
    </w:lvl>
    <w:lvl w:ilvl="8" w:tplc="A61C27D4">
      <w:numFmt w:val="decimal"/>
      <w:lvlText w:val=""/>
      <w:lvlJc w:val="left"/>
    </w:lvl>
  </w:abstractNum>
  <w:abstractNum w:abstractNumId="709" w15:restartNumberingAfterBreak="0">
    <w:nsid w:val="4F9E2C52"/>
    <w:multiLevelType w:val="hybridMultilevel"/>
    <w:tmpl w:val="00A4DE52"/>
    <w:lvl w:ilvl="0" w:tplc="70DC0BCE">
      <w:start w:val="1"/>
      <w:numFmt w:val="bullet"/>
      <w:lvlText w:val=""/>
      <w:lvlJc w:val="left"/>
      <w:pPr>
        <w:ind w:left="720" w:hanging="180"/>
      </w:pPr>
      <w:rPr>
        <w:rFonts w:ascii="Symbol" w:hAnsi="Symbol" w:hint="default"/>
      </w:rPr>
    </w:lvl>
    <w:lvl w:ilvl="1" w:tplc="2FCAE6FC">
      <w:numFmt w:val="decimal"/>
      <w:lvlText w:val=""/>
      <w:lvlJc w:val="left"/>
    </w:lvl>
    <w:lvl w:ilvl="2" w:tplc="00609E80">
      <w:numFmt w:val="decimal"/>
      <w:lvlText w:val=""/>
      <w:lvlJc w:val="left"/>
    </w:lvl>
    <w:lvl w:ilvl="3" w:tplc="421EE086">
      <w:numFmt w:val="decimal"/>
      <w:lvlText w:val=""/>
      <w:lvlJc w:val="left"/>
    </w:lvl>
    <w:lvl w:ilvl="4" w:tplc="F01882B6">
      <w:numFmt w:val="decimal"/>
      <w:lvlText w:val=""/>
      <w:lvlJc w:val="left"/>
    </w:lvl>
    <w:lvl w:ilvl="5" w:tplc="0234C690">
      <w:numFmt w:val="decimal"/>
      <w:lvlText w:val=""/>
      <w:lvlJc w:val="left"/>
    </w:lvl>
    <w:lvl w:ilvl="6" w:tplc="1DD60AF0">
      <w:numFmt w:val="decimal"/>
      <w:lvlText w:val=""/>
      <w:lvlJc w:val="left"/>
    </w:lvl>
    <w:lvl w:ilvl="7" w:tplc="E0E657BA">
      <w:numFmt w:val="decimal"/>
      <w:lvlText w:val=""/>
      <w:lvlJc w:val="left"/>
    </w:lvl>
    <w:lvl w:ilvl="8" w:tplc="D18221BA">
      <w:numFmt w:val="decimal"/>
      <w:lvlText w:val=""/>
      <w:lvlJc w:val="left"/>
    </w:lvl>
  </w:abstractNum>
  <w:abstractNum w:abstractNumId="710" w15:restartNumberingAfterBreak="0">
    <w:nsid w:val="4FA123F1"/>
    <w:multiLevelType w:val="hybridMultilevel"/>
    <w:tmpl w:val="1FB49562"/>
    <w:lvl w:ilvl="0" w:tplc="7A9642B8">
      <w:start w:val="1"/>
      <w:numFmt w:val="bullet"/>
      <w:lvlText w:val=""/>
      <w:lvlJc w:val="left"/>
      <w:pPr>
        <w:ind w:left="720" w:hanging="180"/>
      </w:pPr>
      <w:rPr>
        <w:rFonts w:ascii="Symbol" w:hAnsi="Symbol" w:hint="default"/>
      </w:rPr>
    </w:lvl>
    <w:lvl w:ilvl="1" w:tplc="FB14C4AE">
      <w:numFmt w:val="decimal"/>
      <w:lvlText w:val=""/>
      <w:lvlJc w:val="left"/>
    </w:lvl>
    <w:lvl w:ilvl="2" w:tplc="D70EC25A">
      <w:numFmt w:val="decimal"/>
      <w:lvlText w:val=""/>
      <w:lvlJc w:val="left"/>
    </w:lvl>
    <w:lvl w:ilvl="3" w:tplc="A92C8632">
      <w:numFmt w:val="decimal"/>
      <w:lvlText w:val=""/>
      <w:lvlJc w:val="left"/>
    </w:lvl>
    <w:lvl w:ilvl="4" w:tplc="A7227064">
      <w:numFmt w:val="decimal"/>
      <w:lvlText w:val=""/>
      <w:lvlJc w:val="left"/>
    </w:lvl>
    <w:lvl w:ilvl="5" w:tplc="321A76DC">
      <w:numFmt w:val="decimal"/>
      <w:lvlText w:val=""/>
      <w:lvlJc w:val="left"/>
    </w:lvl>
    <w:lvl w:ilvl="6" w:tplc="7000334E">
      <w:numFmt w:val="decimal"/>
      <w:lvlText w:val=""/>
      <w:lvlJc w:val="left"/>
    </w:lvl>
    <w:lvl w:ilvl="7" w:tplc="98B4C5C2">
      <w:numFmt w:val="decimal"/>
      <w:lvlText w:val=""/>
      <w:lvlJc w:val="left"/>
    </w:lvl>
    <w:lvl w:ilvl="8" w:tplc="20F00898">
      <w:numFmt w:val="decimal"/>
      <w:lvlText w:val=""/>
      <w:lvlJc w:val="left"/>
    </w:lvl>
  </w:abstractNum>
  <w:abstractNum w:abstractNumId="711" w15:restartNumberingAfterBreak="0">
    <w:nsid w:val="4FA65296"/>
    <w:multiLevelType w:val="hybridMultilevel"/>
    <w:tmpl w:val="2F785632"/>
    <w:lvl w:ilvl="0" w:tplc="4A9A70CA">
      <w:start w:val="1"/>
      <w:numFmt w:val="bullet"/>
      <w:lvlText w:val=""/>
      <w:lvlJc w:val="left"/>
      <w:pPr>
        <w:ind w:left="720" w:hanging="180"/>
      </w:pPr>
      <w:rPr>
        <w:rFonts w:ascii="Symbol" w:hAnsi="Symbol" w:hint="default"/>
      </w:rPr>
    </w:lvl>
    <w:lvl w:ilvl="1" w:tplc="93FE1ED8">
      <w:numFmt w:val="decimal"/>
      <w:lvlText w:val=""/>
      <w:lvlJc w:val="left"/>
    </w:lvl>
    <w:lvl w:ilvl="2" w:tplc="914699C4">
      <w:numFmt w:val="decimal"/>
      <w:lvlText w:val=""/>
      <w:lvlJc w:val="left"/>
    </w:lvl>
    <w:lvl w:ilvl="3" w:tplc="86F83F08">
      <w:numFmt w:val="decimal"/>
      <w:lvlText w:val=""/>
      <w:lvlJc w:val="left"/>
    </w:lvl>
    <w:lvl w:ilvl="4" w:tplc="8DE2BB38">
      <w:numFmt w:val="decimal"/>
      <w:lvlText w:val=""/>
      <w:lvlJc w:val="left"/>
    </w:lvl>
    <w:lvl w:ilvl="5" w:tplc="099869C0">
      <w:numFmt w:val="decimal"/>
      <w:lvlText w:val=""/>
      <w:lvlJc w:val="left"/>
    </w:lvl>
    <w:lvl w:ilvl="6" w:tplc="7536FE06">
      <w:numFmt w:val="decimal"/>
      <w:lvlText w:val=""/>
      <w:lvlJc w:val="left"/>
    </w:lvl>
    <w:lvl w:ilvl="7" w:tplc="F2369592">
      <w:numFmt w:val="decimal"/>
      <w:lvlText w:val=""/>
      <w:lvlJc w:val="left"/>
    </w:lvl>
    <w:lvl w:ilvl="8" w:tplc="7A7C7C30">
      <w:numFmt w:val="decimal"/>
      <w:lvlText w:val=""/>
      <w:lvlJc w:val="left"/>
    </w:lvl>
  </w:abstractNum>
  <w:abstractNum w:abstractNumId="712" w15:restartNumberingAfterBreak="0">
    <w:nsid w:val="4FDE2AE1"/>
    <w:multiLevelType w:val="hybridMultilevel"/>
    <w:tmpl w:val="472E3548"/>
    <w:lvl w:ilvl="0" w:tplc="736A4BCA">
      <w:start w:val="1"/>
      <w:numFmt w:val="bullet"/>
      <w:lvlText w:val=""/>
      <w:lvlJc w:val="left"/>
      <w:pPr>
        <w:ind w:left="720" w:hanging="180"/>
      </w:pPr>
      <w:rPr>
        <w:rFonts w:ascii="Symbol" w:hAnsi="Symbol" w:hint="default"/>
      </w:rPr>
    </w:lvl>
    <w:lvl w:ilvl="1" w:tplc="ED72B99C">
      <w:numFmt w:val="decimal"/>
      <w:lvlText w:val=""/>
      <w:lvlJc w:val="left"/>
    </w:lvl>
    <w:lvl w:ilvl="2" w:tplc="24785EC6">
      <w:numFmt w:val="decimal"/>
      <w:lvlText w:val=""/>
      <w:lvlJc w:val="left"/>
    </w:lvl>
    <w:lvl w:ilvl="3" w:tplc="340E5D92">
      <w:numFmt w:val="decimal"/>
      <w:lvlText w:val=""/>
      <w:lvlJc w:val="left"/>
    </w:lvl>
    <w:lvl w:ilvl="4" w:tplc="3A568630">
      <w:numFmt w:val="decimal"/>
      <w:lvlText w:val=""/>
      <w:lvlJc w:val="left"/>
    </w:lvl>
    <w:lvl w:ilvl="5" w:tplc="71DA178C">
      <w:numFmt w:val="decimal"/>
      <w:lvlText w:val=""/>
      <w:lvlJc w:val="left"/>
    </w:lvl>
    <w:lvl w:ilvl="6" w:tplc="A4D4FC4A">
      <w:numFmt w:val="decimal"/>
      <w:lvlText w:val=""/>
      <w:lvlJc w:val="left"/>
    </w:lvl>
    <w:lvl w:ilvl="7" w:tplc="2A989332">
      <w:numFmt w:val="decimal"/>
      <w:lvlText w:val=""/>
      <w:lvlJc w:val="left"/>
    </w:lvl>
    <w:lvl w:ilvl="8" w:tplc="8CBEC688">
      <w:numFmt w:val="decimal"/>
      <w:lvlText w:val=""/>
      <w:lvlJc w:val="left"/>
    </w:lvl>
  </w:abstractNum>
  <w:abstractNum w:abstractNumId="713" w15:restartNumberingAfterBreak="0">
    <w:nsid w:val="500A4334"/>
    <w:multiLevelType w:val="hybridMultilevel"/>
    <w:tmpl w:val="B29C7B64"/>
    <w:lvl w:ilvl="0" w:tplc="2BA01FD8">
      <w:start w:val="1"/>
      <w:numFmt w:val="bullet"/>
      <w:lvlText w:val=""/>
      <w:lvlJc w:val="left"/>
      <w:pPr>
        <w:ind w:left="720" w:hanging="180"/>
      </w:pPr>
      <w:rPr>
        <w:rFonts w:ascii="Symbol" w:hAnsi="Symbol" w:hint="default"/>
      </w:rPr>
    </w:lvl>
    <w:lvl w:ilvl="1" w:tplc="1C5EA01A">
      <w:numFmt w:val="decimal"/>
      <w:lvlText w:val=""/>
      <w:lvlJc w:val="left"/>
    </w:lvl>
    <w:lvl w:ilvl="2" w:tplc="99A4A718">
      <w:numFmt w:val="decimal"/>
      <w:lvlText w:val=""/>
      <w:lvlJc w:val="left"/>
    </w:lvl>
    <w:lvl w:ilvl="3" w:tplc="EAAEB0D6">
      <w:numFmt w:val="decimal"/>
      <w:lvlText w:val=""/>
      <w:lvlJc w:val="left"/>
    </w:lvl>
    <w:lvl w:ilvl="4" w:tplc="6F826830">
      <w:numFmt w:val="decimal"/>
      <w:lvlText w:val=""/>
      <w:lvlJc w:val="left"/>
    </w:lvl>
    <w:lvl w:ilvl="5" w:tplc="9AECCAE0">
      <w:numFmt w:val="decimal"/>
      <w:lvlText w:val=""/>
      <w:lvlJc w:val="left"/>
    </w:lvl>
    <w:lvl w:ilvl="6" w:tplc="B00AF95C">
      <w:numFmt w:val="decimal"/>
      <w:lvlText w:val=""/>
      <w:lvlJc w:val="left"/>
    </w:lvl>
    <w:lvl w:ilvl="7" w:tplc="E2DC910C">
      <w:numFmt w:val="decimal"/>
      <w:lvlText w:val=""/>
      <w:lvlJc w:val="left"/>
    </w:lvl>
    <w:lvl w:ilvl="8" w:tplc="E81E46AC">
      <w:numFmt w:val="decimal"/>
      <w:lvlText w:val=""/>
      <w:lvlJc w:val="left"/>
    </w:lvl>
  </w:abstractNum>
  <w:abstractNum w:abstractNumId="714" w15:restartNumberingAfterBreak="0">
    <w:nsid w:val="500C1E4D"/>
    <w:multiLevelType w:val="hybridMultilevel"/>
    <w:tmpl w:val="3692019C"/>
    <w:lvl w:ilvl="0" w:tplc="32FEBEE4">
      <w:start w:val="1"/>
      <w:numFmt w:val="bullet"/>
      <w:lvlText w:val=""/>
      <w:lvlJc w:val="left"/>
      <w:pPr>
        <w:ind w:left="720" w:hanging="180"/>
      </w:pPr>
      <w:rPr>
        <w:rFonts w:ascii="Symbol" w:hAnsi="Symbol" w:hint="default"/>
      </w:rPr>
    </w:lvl>
    <w:lvl w:ilvl="1" w:tplc="BABC4C34">
      <w:numFmt w:val="decimal"/>
      <w:lvlText w:val=""/>
      <w:lvlJc w:val="left"/>
    </w:lvl>
    <w:lvl w:ilvl="2" w:tplc="E5C09776">
      <w:numFmt w:val="decimal"/>
      <w:lvlText w:val=""/>
      <w:lvlJc w:val="left"/>
    </w:lvl>
    <w:lvl w:ilvl="3" w:tplc="0E3C73C2">
      <w:numFmt w:val="decimal"/>
      <w:lvlText w:val=""/>
      <w:lvlJc w:val="left"/>
    </w:lvl>
    <w:lvl w:ilvl="4" w:tplc="67CEC2B0">
      <w:numFmt w:val="decimal"/>
      <w:lvlText w:val=""/>
      <w:lvlJc w:val="left"/>
    </w:lvl>
    <w:lvl w:ilvl="5" w:tplc="92287104">
      <w:numFmt w:val="decimal"/>
      <w:lvlText w:val=""/>
      <w:lvlJc w:val="left"/>
    </w:lvl>
    <w:lvl w:ilvl="6" w:tplc="2B605FF0">
      <w:numFmt w:val="decimal"/>
      <w:lvlText w:val=""/>
      <w:lvlJc w:val="left"/>
    </w:lvl>
    <w:lvl w:ilvl="7" w:tplc="F51CB3F6">
      <w:numFmt w:val="decimal"/>
      <w:lvlText w:val=""/>
      <w:lvlJc w:val="left"/>
    </w:lvl>
    <w:lvl w:ilvl="8" w:tplc="71EAB476">
      <w:numFmt w:val="decimal"/>
      <w:lvlText w:val=""/>
      <w:lvlJc w:val="left"/>
    </w:lvl>
  </w:abstractNum>
  <w:abstractNum w:abstractNumId="715" w15:restartNumberingAfterBreak="0">
    <w:nsid w:val="50311FEA"/>
    <w:multiLevelType w:val="hybridMultilevel"/>
    <w:tmpl w:val="FC9A5DFA"/>
    <w:lvl w:ilvl="0" w:tplc="A3AA32EE">
      <w:start w:val="1"/>
      <w:numFmt w:val="bullet"/>
      <w:lvlText w:val=""/>
      <w:lvlJc w:val="left"/>
      <w:pPr>
        <w:ind w:left="720" w:hanging="180"/>
      </w:pPr>
      <w:rPr>
        <w:rFonts w:ascii="Symbol" w:hAnsi="Symbol" w:hint="default"/>
      </w:rPr>
    </w:lvl>
    <w:lvl w:ilvl="1" w:tplc="4030CF0C">
      <w:numFmt w:val="decimal"/>
      <w:lvlText w:val=""/>
      <w:lvlJc w:val="left"/>
    </w:lvl>
    <w:lvl w:ilvl="2" w:tplc="BB1CAD6C">
      <w:numFmt w:val="decimal"/>
      <w:lvlText w:val=""/>
      <w:lvlJc w:val="left"/>
    </w:lvl>
    <w:lvl w:ilvl="3" w:tplc="90A6A686">
      <w:numFmt w:val="decimal"/>
      <w:lvlText w:val=""/>
      <w:lvlJc w:val="left"/>
    </w:lvl>
    <w:lvl w:ilvl="4" w:tplc="D8BE8B44">
      <w:numFmt w:val="decimal"/>
      <w:lvlText w:val=""/>
      <w:lvlJc w:val="left"/>
    </w:lvl>
    <w:lvl w:ilvl="5" w:tplc="3CFC1002">
      <w:numFmt w:val="decimal"/>
      <w:lvlText w:val=""/>
      <w:lvlJc w:val="left"/>
    </w:lvl>
    <w:lvl w:ilvl="6" w:tplc="7DA82C1A">
      <w:numFmt w:val="decimal"/>
      <w:lvlText w:val=""/>
      <w:lvlJc w:val="left"/>
    </w:lvl>
    <w:lvl w:ilvl="7" w:tplc="2E62B65E">
      <w:numFmt w:val="decimal"/>
      <w:lvlText w:val=""/>
      <w:lvlJc w:val="left"/>
    </w:lvl>
    <w:lvl w:ilvl="8" w:tplc="D7D81ED6">
      <w:numFmt w:val="decimal"/>
      <w:lvlText w:val=""/>
      <w:lvlJc w:val="left"/>
    </w:lvl>
  </w:abstractNum>
  <w:abstractNum w:abstractNumId="716" w15:restartNumberingAfterBreak="0">
    <w:nsid w:val="50452257"/>
    <w:multiLevelType w:val="hybridMultilevel"/>
    <w:tmpl w:val="15584744"/>
    <w:lvl w:ilvl="0" w:tplc="88A6EA3C">
      <w:start w:val="1"/>
      <w:numFmt w:val="bullet"/>
      <w:lvlText w:val=""/>
      <w:lvlJc w:val="left"/>
      <w:pPr>
        <w:ind w:left="720" w:hanging="180"/>
      </w:pPr>
      <w:rPr>
        <w:rFonts w:ascii="Symbol" w:hAnsi="Symbol" w:hint="default"/>
      </w:rPr>
    </w:lvl>
    <w:lvl w:ilvl="1" w:tplc="C784A140">
      <w:numFmt w:val="decimal"/>
      <w:lvlText w:val=""/>
      <w:lvlJc w:val="left"/>
    </w:lvl>
    <w:lvl w:ilvl="2" w:tplc="B7E08696">
      <w:numFmt w:val="decimal"/>
      <w:lvlText w:val=""/>
      <w:lvlJc w:val="left"/>
    </w:lvl>
    <w:lvl w:ilvl="3" w:tplc="CFEC1A2C">
      <w:numFmt w:val="decimal"/>
      <w:lvlText w:val=""/>
      <w:lvlJc w:val="left"/>
    </w:lvl>
    <w:lvl w:ilvl="4" w:tplc="5906B33C">
      <w:numFmt w:val="decimal"/>
      <w:lvlText w:val=""/>
      <w:lvlJc w:val="left"/>
    </w:lvl>
    <w:lvl w:ilvl="5" w:tplc="A48ACF38">
      <w:numFmt w:val="decimal"/>
      <w:lvlText w:val=""/>
      <w:lvlJc w:val="left"/>
    </w:lvl>
    <w:lvl w:ilvl="6" w:tplc="238C3062">
      <w:numFmt w:val="decimal"/>
      <w:lvlText w:val=""/>
      <w:lvlJc w:val="left"/>
    </w:lvl>
    <w:lvl w:ilvl="7" w:tplc="9BD6FB38">
      <w:numFmt w:val="decimal"/>
      <w:lvlText w:val=""/>
      <w:lvlJc w:val="left"/>
    </w:lvl>
    <w:lvl w:ilvl="8" w:tplc="6090DA66">
      <w:numFmt w:val="decimal"/>
      <w:lvlText w:val=""/>
      <w:lvlJc w:val="left"/>
    </w:lvl>
  </w:abstractNum>
  <w:abstractNum w:abstractNumId="717" w15:restartNumberingAfterBreak="0">
    <w:nsid w:val="5053488E"/>
    <w:multiLevelType w:val="hybridMultilevel"/>
    <w:tmpl w:val="7B48E9BE"/>
    <w:lvl w:ilvl="0" w:tplc="E224313E">
      <w:start w:val="1"/>
      <w:numFmt w:val="bullet"/>
      <w:lvlText w:val=""/>
      <w:lvlJc w:val="left"/>
      <w:pPr>
        <w:ind w:left="720" w:hanging="180"/>
      </w:pPr>
      <w:rPr>
        <w:rFonts w:ascii="Symbol" w:hAnsi="Symbol" w:hint="default"/>
      </w:rPr>
    </w:lvl>
    <w:lvl w:ilvl="1" w:tplc="65002310">
      <w:numFmt w:val="decimal"/>
      <w:lvlText w:val=""/>
      <w:lvlJc w:val="left"/>
    </w:lvl>
    <w:lvl w:ilvl="2" w:tplc="A6384FFE">
      <w:numFmt w:val="decimal"/>
      <w:lvlText w:val=""/>
      <w:lvlJc w:val="left"/>
    </w:lvl>
    <w:lvl w:ilvl="3" w:tplc="32900FFE">
      <w:numFmt w:val="decimal"/>
      <w:lvlText w:val=""/>
      <w:lvlJc w:val="left"/>
    </w:lvl>
    <w:lvl w:ilvl="4" w:tplc="C93A6846">
      <w:numFmt w:val="decimal"/>
      <w:lvlText w:val=""/>
      <w:lvlJc w:val="left"/>
    </w:lvl>
    <w:lvl w:ilvl="5" w:tplc="CA48C480">
      <w:numFmt w:val="decimal"/>
      <w:lvlText w:val=""/>
      <w:lvlJc w:val="left"/>
    </w:lvl>
    <w:lvl w:ilvl="6" w:tplc="01B4B180">
      <w:numFmt w:val="decimal"/>
      <w:lvlText w:val=""/>
      <w:lvlJc w:val="left"/>
    </w:lvl>
    <w:lvl w:ilvl="7" w:tplc="E878FD28">
      <w:numFmt w:val="decimal"/>
      <w:lvlText w:val=""/>
      <w:lvlJc w:val="left"/>
    </w:lvl>
    <w:lvl w:ilvl="8" w:tplc="93686406">
      <w:numFmt w:val="decimal"/>
      <w:lvlText w:val=""/>
      <w:lvlJc w:val="left"/>
    </w:lvl>
  </w:abstractNum>
  <w:abstractNum w:abstractNumId="718" w15:restartNumberingAfterBreak="0">
    <w:nsid w:val="50562CB1"/>
    <w:multiLevelType w:val="hybridMultilevel"/>
    <w:tmpl w:val="90F804B6"/>
    <w:lvl w:ilvl="0" w:tplc="183640DA">
      <w:start w:val="1"/>
      <w:numFmt w:val="bullet"/>
      <w:lvlText w:val=""/>
      <w:lvlJc w:val="left"/>
      <w:pPr>
        <w:ind w:left="720" w:hanging="180"/>
      </w:pPr>
      <w:rPr>
        <w:rFonts w:ascii="Symbol" w:hAnsi="Symbol" w:hint="default"/>
      </w:rPr>
    </w:lvl>
    <w:lvl w:ilvl="1" w:tplc="674E86B2">
      <w:numFmt w:val="decimal"/>
      <w:lvlText w:val=""/>
      <w:lvlJc w:val="left"/>
    </w:lvl>
    <w:lvl w:ilvl="2" w:tplc="CD16748E">
      <w:numFmt w:val="decimal"/>
      <w:lvlText w:val=""/>
      <w:lvlJc w:val="left"/>
    </w:lvl>
    <w:lvl w:ilvl="3" w:tplc="DDC69198">
      <w:numFmt w:val="decimal"/>
      <w:lvlText w:val=""/>
      <w:lvlJc w:val="left"/>
    </w:lvl>
    <w:lvl w:ilvl="4" w:tplc="F154A82A">
      <w:numFmt w:val="decimal"/>
      <w:lvlText w:val=""/>
      <w:lvlJc w:val="left"/>
    </w:lvl>
    <w:lvl w:ilvl="5" w:tplc="EB1EA466">
      <w:numFmt w:val="decimal"/>
      <w:lvlText w:val=""/>
      <w:lvlJc w:val="left"/>
    </w:lvl>
    <w:lvl w:ilvl="6" w:tplc="85160170">
      <w:numFmt w:val="decimal"/>
      <w:lvlText w:val=""/>
      <w:lvlJc w:val="left"/>
    </w:lvl>
    <w:lvl w:ilvl="7" w:tplc="78FCDC94">
      <w:numFmt w:val="decimal"/>
      <w:lvlText w:val=""/>
      <w:lvlJc w:val="left"/>
    </w:lvl>
    <w:lvl w:ilvl="8" w:tplc="CD1E8998">
      <w:numFmt w:val="decimal"/>
      <w:lvlText w:val=""/>
      <w:lvlJc w:val="left"/>
    </w:lvl>
  </w:abstractNum>
  <w:abstractNum w:abstractNumId="719" w15:restartNumberingAfterBreak="0">
    <w:nsid w:val="505B796E"/>
    <w:multiLevelType w:val="hybridMultilevel"/>
    <w:tmpl w:val="9BBE5CFE"/>
    <w:lvl w:ilvl="0" w:tplc="0E482C10">
      <w:start w:val="1"/>
      <w:numFmt w:val="bullet"/>
      <w:lvlText w:val=""/>
      <w:lvlJc w:val="left"/>
      <w:pPr>
        <w:ind w:left="720" w:hanging="180"/>
      </w:pPr>
      <w:rPr>
        <w:rFonts w:ascii="Symbol" w:hAnsi="Symbol" w:hint="default"/>
      </w:rPr>
    </w:lvl>
    <w:lvl w:ilvl="1" w:tplc="C8E22FEA">
      <w:numFmt w:val="decimal"/>
      <w:lvlText w:val=""/>
      <w:lvlJc w:val="left"/>
    </w:lvl>
    <w:lvl w:ilvl="2" w:tplc="74AA3780">
      <w:numFmt w:val="decimal"/>
      <w:lvlText w:val=""/>
      <w:lvlJc w:val="left"/>
    </w:lvl>
    <w:lvl w:ilvl="3" w:tplc="798C9408">
      <w:numFmt w:val="decimal"/>
      <w:lvlText w:val=""/>
      <w:lvlJc w:val="left"/>
    </w:lvl>
    <w:lvl w:ilvl="4" w:tplc="9EA47D0C">
      <w:numFmt w:val="decimal"/>
      <w:lvlText w:val=""/>
      <w:lvlJc w:val="left"/>
    </w:lvl>
    <w:lvl w:ilvl="5" w:tplc="D68402DC">
      <w:numFmt w:val="decimal"/>
      <w:lvlText w:val=""/>
      <w:lvlJc w:val="left"/>
    </w:lvl>
    <w:lvl w:ilvl="6" w:tplc="149C20F0">
      <w:numFmt w:val="decimal"/>
      <w:lvlText w:val=""/>
      <w:lvlJc w:val="left"/>
    </w:lvl>
    <w:lvl w:ilvl="7" w:tplc="E2B4A0B8">
      <w:numFmt w:val="decimal"/>
      <w:lvlText w:val=""/>
      <w:lvlJc w:val="left"/>
    </w:lvl>
    <w:lvl w:ilvl="8" w:tplc="499A0006">
      <w:numFmt w:val="decimal"/>
      <w:lvlText w:val=""/>
      <w:lvlJc w:val="left"/>
    </w:lvl>
  </w:abstractNum>
  <w:abstractNum w:abstractNumId="720" w15:restartNumberingAfterBreak="0">
    <w:nsid w:val="50662898"/>
    <w:multiLevelType w:val="hybridMultilevel"/>
    <w:tmpl w:val="19900E4A"/>
    <w:lvl w:ilvl="0" w:tplc="9DA65E68">
      <w:start w:val="1"/>
      <w:numFmt w:val="bullet"/>
      <w:lvlText w:val=""/>
      <w:lvlJc w:val="left"/>
      <w:pPr>
        <w:ind w:left="720" w:hanging="180"/>
      </w:pPr>
      <w:rPr>
        <w:rFonts w:ascii="Symbol" w:hAnsi="Symbol" w:hint="default"/>
      </w:rPr>
    </w:lvl>
    <w:lvl w:ilvl="1" w:tplc="30EC51F8">
      <w:numFmt w:val="decimal"/>
      <w:lvlText w:val=""/>
      <w:lvlJc w:val="left"/>
    </w:lvl>
    <w:lvl w:ilvl="2" w:tplc="00E6E8C4">
      <w:numFmt w:val="decimal"/>
      <w:lvlText w:val=""/>
      <w:lvlJc w:val="left"/>
    </w:lvl>
    <w:lvl w:ilvl="3" w:tplc="3ED24A88">
      <w:numFmt w:val="decimal"/>
      <w:lvlText w:val=""/>
      <w:lvlJc w:val="left"/>
    </w:lvl>
    <w:lvl w:ilvl="4" w:tplc="AC3C0FDE">
      <w:numFmt w:val="decimal"/>
      <w:lvlText w:val=""/>
      <w:lvlJc w:val="left"/>
    </w:lvl>
    <w:lvl w:ilvl="5" w:tplc="0F9C415E">
      <w:numFmt w:val="decimal"/>
      <w:lvlText w:val=""/>
      <w:lvlJc w:val="left"/>
    </w:lvl>
    <w:lvl w:ilvl="6" w:tplc="116A5AD4">
      <w:numFmt w:val="decimal"/>
      <w:lvlText w:val=""/>
      <w:lvlJc w:val="left"/>
    </w:lvl>
    <w:lvl w:ilvl="7" w:tplc="06C4D9C4">
      <w:numFmt w:val="decimal"/>
      <w:lvlText w:val=""/>
      <w:lvlJc w:val="left"/>
    </w:lvl>
    <w:lvl w:ilvl="8" w:tplc="D87C9B32">
      <w:numFmt w:val="decimal"/>
      <w:lvlText w:val=""/>
      <w:lvlJc w:val="left"/>
    </w:lvl>
  </w:abstractNum>
  <w:abstractNum w:abstractNumId="721" w15:restartNumberingAfterBreak="0">
    <w:nsid w:val="50A74C50"/>
    <w:multiLevelType w:val="hybridMultilevel"/>
    <w:tmpl w:val="9F74982E"/>
    <w:lvl w:ilvl="0" w:tplc="90A6C318">
      <w:start w:val="1"/>
      <w:numFmt w:val="bullet"/>
      <w:lvlText w:val=""/>
      <w:lvlJc w:val="left"/>
      <w:pPr>
        <w:ind w:left="720" w:hanging="180"/>
      </w:pPr>
      <w:rPr>
        <w:rFonts w:ascii="Symbol" w:hAnsi="Symbol" w:hint="default"/>
      </w:rPr>
    </w:lvl>
    <w:lvl w:ilvl="1" w:tplc="24624AD0">
      <w:numFmt w:val="decimal"/>
      <w:lvlText w:val=""/>
      <w:lvlJc w:val="left"/>
    </w:lvl>
    <w:lvl w:ilvl="2" w:tplc="803291AE">
      <w:numFmt w:val="decimal"/>
      <w:lvlText w:val=""/>
      <w:lvlJc w:val="left"/>
    </w:lvl>
    <w:lvl w:ilvl="3" w:tplc="5FC68C7E">
      <w:numFmt w:val="decimal"/>
      <w:lvlText w:val=""/>
      <w:lvlJc w:val="left"/>
    </w:lvl>
    <w:lvl w:ilvl="4" w:tplc="4B485D80">
      <w:numFmt w:val="decimal"/>
      <w:lvlText w:val=""/>
      <w:lvlJc w:val="left"/>
    </w:lvl>
    <w:lvl w:ilvl="5" w:tplc="707CDD5E">
      <w:numFmt w:val="decimal"/>
      <w:lvlText w:val=""/>
      <w:lvlJc w:val="left"/>
    </w:lvl>
    <w:lvl w:ilvl="6" w:tplc="F7A05970">
      <w:numFmt w:val="decimal"/>
      <w:lvlText w:val=""/>
      <w:lvlJc w:val="left"/>
    </w:lvl>
    <w:lvl w:ilvl="7" w:tplc="B5A4C7BC">
      <w:numFmt w:val="decimal"/>
      <w:lvlText w:val=""/>
      <w:lvlJc w:val="left"/>
    </w:lvl>
    <w:lvl w:ilvl="8" w:tplc="2BD4AC8C">
      <w:numFmt w:val="decimal"/>
      <w:lvlText w:val=""/>
      <w:lvlJc w:val="left"/>
    </w:lvl>
  </w:abstractNum>
  <w:abstractNum w:abstractNumId="722" w15:restartNumberingAfterBreak="0">
    <w:nsid w:val="50B74990"/>
    <w:multiLevelType w:val="hybridMultilevel"/>
    <w:tmpl w:val="A19C765E"/>
    <w:lvl w:ilvl="0" w:tplc="544A12AC">
      <w:start w:val="1"/>
      <w:numFmt w:val="bullet"/>
      <w:lvlText w:val=""/>
      <w:lvlJc w:val="left"/>
      <w:pPr>
        <w:ind w:left="720" w:hanging="180"/>
      </w:pPr>
      <w:rPr>
        <w:rFonts w:ascii="Symbol" w:hAnsi="Symbol" w:hint="default"/>
      </w:rPr>
    </w:lvl>
    <w:lvl w:ilvl="1" w:tplc="A7862BBC">
      <w:numFmt w:val="decimal"/>
      <w:lvlText w:val=""/>
      <w:lvlJc w:val="left"/>
    </w:lvl>
    <w:lvl w:ilvl="2" w:tplc="12E2B110">
      <w:numFmt w:val="decimal"/>
      <w:lvlText w:val=""/>
      <w:lvlJc w:val="left"/>
    </w:lvl>
    <w:lvl w:ilvl="3" w:tplc="25381B10">
      <w:numFmt w:val="decimal"/>
      <w:lvlText w:val=""/>
      <w:lvlJc w:val="left"/>
    </w:lvl>
    <w:lvl w:ilvl="4" w:tplc="8BCC8910">
      <w:numFmt w:val="decimal"/>
      <w:lvlText w:val=""/>
      <w:lvlJc w:val="left"/>
    </w:lvl>
    <w:lvl w:ilvl="5" w:tplc="C40A3406">
      <w:numFmt w:val="decimal"/>
      <w:lvlText w:val=""/>
      <w:lvlJc w:val="left"/>
    </w:lvl>
    <w:lvl w:ilvl="6" w:tplc="5796915A">
      <w:numFmt w:val="decimal"/>
      <w:lvlText w:val=""/>
      <w:lvlJc w:val="left"/>
    </w:lvl>
    <w:lvl w:ilvl="7" w:tplc="CCCC4400">
      <w:numFmt w:val="decimal"/>
      <w:lvlText w:val=""/>
      <w:lvlJc w:val="left"/>
    </w:lvl>
    <w:lvl w:ilvl="8" w:tplc="102E1720">
      <w:numFmt w:val="decimal"/>
      <w:lvlText w:val=""/>
      <w:lvlJc w:val="left"/>
    </w:lvl>
  </w:abstractNum>
  <w:abstractNum w:abstractNumId="723" w15:restartNumberingAfterBreak="0">
    <w:nsid w:val="50CD2168"/>
    <w:multiLevelType w:val="hybridMultilevel"/>
    <w:tmpl w:val="8CD096FC"/>
    <w:lvl w:ilvl="0" w:tplc="E0828A1C">
      <w:start w:val="1"/>
      <w:numFmt w:val="bullet"/>
      <w:lvlText w:val=""/>
      <w:lvlJc w:val="left"/>
      <w:pPr>
        <w:ind w:left="720" w:hanging="180"/>
      </w:pPr>
      <w:rPr>
        <w:rFonts w:ascii="Symbol" w:hAnsi="Symbol" w:hint="default"/>
      </w:rPr>
    </w:lvl>
    <w:lvl w:ilvl="1" w:tplc="F0CECE8A">
      <w:numFmt w:val="decimal"/>
      <w:lvlText w:val=""/>
      <w:lvlJc w:val="left"/>
    </w:lvl>
    <w:lvl w:ilvl="2" w:tplc="0B287D78">
      <w:numFmt w:val="decimal"/>
      <w:lvlText w:val=""/>
      <w:lvlJc w:val="left"/>
    </w:lvl>
    <w:lvl w:ilvl="3" w:tplc="EE7ED85C">
      <w:numFmt w:val="decimal"/>
      <w:lvlText w:val=""/>
      <w:lvlJc w:val="left"/>
    </w:lvl>
    <w:lvl w:ilvl="4" w:tplc="F6FA7C90">
      <w:numFmt w:val="decimal"/>
      <w:lvlText w:val=""/>
      <w:lvlJc w:val="left"/>
    </w:lvl>
    <w:lvl w:ilvl="5" w:tplc="09C04ADC">
      <w:numFmt w:val="decimal"/>
      <w:lvlText w:val=""/>
      <w:lvlJc w:val="left"/>
    </w:lvl>
    <w:lvl w:ilvl="6" w:tplc="2C984D54">
      <w:numFmt w:val="decimal"/>
      <w:lvlText w:val=""/>
      <w:lvlJc w:val="left"/>
    </w:lvl>
    <w:lvl w:ilvl="7" w:tplc="12F6A6B2">
      <w:numFmt w:val="decimal"/>
      <w:lvlText w:val=""/>
      <w:lvlJc w:val="left"/>
    </w:lvl>
    <w:lvl w:ilvl="8" w:tplc="81702A3C">
      <w:numFmt w:val="decimal"/>
      <w:lvlText w:val=""/>
      <w:lvlJc w:val="left"/>
    </w:lvl>
  </w:abstractNum>
  <w:abstractNum w:abstractNumId="724" w15:restartNumberingAfterBreak="0">
    <w:nsid w:val="50CE2A03"/>
    <w:multiLevelType w:val="hybridMultilevel"/>
    <w:tmpl w:val="00B2FE42"/>
    <w:lvl w:ilvl="0" w:tplc="DBACEFB2">
      <w:start w:val="1"/>
      <w:numFmt w:val="bullet"/>
      <w:lvlText w:val=""/>
      <w:lvlJc w:val="left"/>
      <w:pPr>
        <w:ind w:left="720" w:hanging="180"/>
      </w:pPr>
      <w:rPr>
        <w:rFonts w:ascii="Symbol" w:hAnsi="Symbol" w:hint="default"/>
      </w:rPr>
    </w:lvl>
    <w:lvl w:ilvl="1" w:tplc="060442E4">
      <w:numFmt w:val="decimal"/>
      <w:lvlText w:val=""/>
      <w:lvlJc w:val="left"/>
    </w:lvl>
    <w:lvl w:ilvl="2" w:tplc="B192D3C8">
      <w:numFmt w:val="decimal"/>
      <w:lvlText w:val=""/>
      <w:lvlJc w:val="left"/>
    </w:lvl>
    <w:lvl w:ilvl="3" w:tplc="4AFE6BB0">
      <w:numFmt w:val="decimal"/>
      <w:lvlText w:val=""/>
      <w:lvlJc w:val="left"/>
    </w:lvl>
    <w:lvl w:ilvl="4" w:tplc="D9C03452">
      <w:numFmt w:val="decimal"/>
      <w:lvlText w:val=""/>
      <w:lvlJc w:val="left"/>
    </w:lvl>
    <w:lvl w:ilvl="5" w:tplc="A2C4A514">
      <w:numFmt w:val="decimal"/>
      <w:lvlText w:val=""/>
      <w:lvlJc w:val="left"/>
    </w:lvl>
    <w:lvl w:ilvl="6" w:tplc="A08E0DF4">
      <w:numFmt w:val="decimal"/>
      <w:lvlText w:val=""/>
      <w:lvlJc w:val="left"/>
    </w:lvl>
    <w:lvl w:ilvl="7" w:tplc="948072E0">
      <w:numFmt w:val="decimal"/>
      <w:lvlText w:val=""/>
      <w:lvlJc w:val="left"/>
    </w:lvl>
    <w:lvl w:ilvl="8" w:tplc="55B8EDD6">
      <w:numFmt w:val="decimal"/>
      <w:lvlText w:val=""/>
      <w:lvlJc w:val="left"/>
    </w:lvl>
  </w:abstractNum>
  <w:abstractNum w:abstractNumId="725" w15:restartNumberingAfterBreak="0">
    <w:nsid w:val="50DE29DA"/>
    <w:multiLevelType w:val="hybridMultilevel"/>
    <w:tmpl w:val="9006D01C"/>
    <w:lvl w:ilvl="0" w:tplc="4F8C0AD0">
      <w:start w:val="1"/>
      <w:numFmt w:val="bullet"/>
      <w:lvlText w:val=""/>
      <w:lvlJc w:val="left"/>
      <w:pPr>
        <w:ind w:left="720" w:hanging="180"/>
      </w:pPr>
      <w:rPr>
        <w:rFonts w:ascii="Symbol" w:hAnsi="Symbol" w:hint="default"/>
      </w:rPr>
    </w:lvl>
    <w:lvl w:ilvl="1" w:tplc="21FAF15A">
      <w:numFmt w:val="decimal"/>
      <w:lvlText w:val=""/>
      <w:lvlJc w:val="left"/>
    </w:lvl>
    <w:lvl w:ilvl="2" w:tplc="BDEC932A">
      <w:numFmt w:val="decimal"/>
      <w:lvlText w:val=""/>
      <w:lvlJc w:val="left"/>
    </w:lvl>
    <w:lvl w:ilvl="3" w:tplc="57CEDE8A">
      <w:numFmt w:val="decimal"/>
      <w:lvlText w:val=""/>
      <w:lvlJc w:val="left"/>
    </w:lvl>
    <w:lvl w:ilvl="4" w:tplc="063A4F96">
      <w:numFmt w:val="decimal"/>
      <w:lvlText w:val=""/>
      <w:lvlJc w:val="left"/>
    </w:lvl>
    <w:lvl w:ilvl="5" w:tplc="BC0483A2">
      <w:numFmt w:val="decimal"/>
      <w:lvlText w:val=""/>
      <w:lvlJc w:val="left"/>
    </w:lvl>
    <w:lvl w:ilvl="6" w:tplc="6DD05B14">
      <w:numFmt w:val="decimal"/>
      <w:lvlText w:val=""/>
      <w:lvlJc w:val="left"/>
    </w:lvl>
    <w:lvl w:ilvl="7" w:tplc="6E3C8CB0">
      <w:numFmt w:val="decimal"/>
      <w:lvlText w:val=""/>
      <w:lvlJc w:val="left"/>
    </w:lvl>
    <w:lvl w:ilvl="8" w:tplc="C12C5DEC">
      <w:numFmt w:val="decimal"/>
      <w:lvlText w:val=""/>
      <w:lvlJc w:val="left"/>
    </w:lvl>
  </w:abstractNum>
  <w:abstractNum w:abstractNumId="726" w15:restartNumberingAfterBreak="0">
    <w:nsid w:val="50EA6D54"/>
    <w:multiLevelType w:val="hybridMultilevel"/>
    <w:tmpl w:val="11986A4E"/>
    <w:lvl w:ilvl="0" w:tplc="B2AAD01A">
      <w:start w:val="1"/>
      <w:numFmt w:val="bullet"/>
      <w:lvlText w:val=""/>
      <w:lvlJc w:val="left"/>
      <w:pPr>
        <w:ind w:left="720" w:hanging="180"/>
      </w:pPr>
      <w:rPr>
        <w:rFonts w:ascii="Symbol" w:hAnsi="Symbol" w:hint="default"/>
      </w:rPr>
    </w:lvl>
    <w:lvl w:ilvl="1" w:tplc="16AC2202">
      <w:numFmt w:val="decimal"/>
      <w:lvlText w:val=""/>
      <w:lvlJc w:val="left"/>
    </w:lvl>
    <w:lvl w:ilvl="2" w:tplc="169CDCEE">
      <w:numFmt w:val="decimal"/>
      <w:lvlText w:val=""/>
      <w:lvlJc w:val="left"/>
    </w:lvl>
    <w:lvl w:ilvl="3" w:tplc="25082CDA">
      <w:numFmt w:val="decimal"/>
      <w:lvlText w:val=""/>
      <w:lvlJc w:val="left"/>
    </w:lvl>
    <w:lvl w:ilvl="4" w:tplc="266C8116">
      <w:numFmt w:val="decimal"/>
      <w:lvlText w:val=""/>
      <w:lvlJc w:val="left"/>
    </w:lvl>
    <w:lvl w:ilvl="5" w:tplc="92B21A8A">
      <w:numFmt w:val="decimal"/>
      <w:lvlText w:val=""/>
      <w:lvlJc w:val="left"/>
    </w:lvl>
    <w:lvl w:ilvl="6" w:tplc="6A1C152C">
      <w:numFmt w:val="decimal"/>
      <w:lvlText w:val=""/>
      <w:lvlJc w:val="left"/>
    </w:lvl>
    <w:lvl w:ilvl="7" w:tplc="8938C5D4">
      <w:numFmt w:val="decimal"/>
      <w:lvlText w:val=""/>
      <w:lvlJc w:val="left"/>
    </w:lvl>
    <w:lvl w:ilvl="8" w:tplc="EA7EA594">
      <w:numFmt w:val="decimal"/>
      <w:lvlText w:val=""/>
      <w:lvlJc w:val="left"/>
    </w:lvl>
  </w:abstractNum>
  <w:abstractNum w:abstractNumId="727" w15:restartNumberingAfterBreak="0">
    <w:nsid w:val="50F75155"/>
    <w:multiLevelType w:val="hybridMultilevel"/>
    <w:tmpl w:val="FDF0ABBA"/>
    <w:lvl w:ilvl="0" w:tplc="7AB04DAE">
      <w:start w:val="1"/>
      <w:numFmt w:val="bullet"/>
      <w:lvlText w:val=""/>
      <w:lvlJc w:val="left"/>
      <w:pPr>
        <w:ind w:left="720" w:hanging="180"/>
      </w:pPr>
      <w:rPr>
        <w:rFonts w:ascii="Symbol" w:hAnsi="Symbol" w:hint="default"/>
      </w:rPr>
    </w:lvl>
    <w:lvl w:ilvl="1" w:tplc="8BACE618">
      <w:numFmt w:val="decimal"/>
      <w:lvlText w:val=""/>
      <w:lvlJc w:val="left"/>
    </w:lvl>
    <w:lvl w:ilvl="2" w:tplc="EC563668">
      <w:numFmt w:val="decimal"/>
      <w:lvlText w:val=""/>
      <w:lvlJc w:val="left"/>
    </w:lvl>
    <w:lvl w:ilvl="3" w:tplc="883CF53A">
      <w:numFmt w:val="decimal"/>
      <w:lvlText w:val=""/>
      <w:lvlJc w:val="left"/>
    </w:lvl>
    <w:lvl w:ilvl="4" w:tplc="63CC0648">
      <w:numFmt w:val="decimal"/>
      <w:lvlText w:val=""/>
      <w:lvlJc w:val="left"/>
    </w:lvl>
    <w:lvl w:ilvl="5" w:tplc="370AED04">
      <w:numFmt w:val="decimal"/>
      <w:lvlText w:val=""/>
      <w:lvlJc w:val="left"/>
    </w:lvl>
    <w:lvl w:ilvl="6" w:tplc="644C1EC0">
      <w:numFmt w:val="decimal"/>
      <w:lvlText w:val=""/>
      <w:lvlJc w:val="left"/>
    </w:lvl>
    <w:lvl w:ilvl="7" w:tplc="F2BCB898">
      <w:numFmt w:val="decimal"/>
      <w:lvlText w:val=""/>
      <w:lvlJc w:val="left"/>
    </w:lvl>
    <w:lvl w:ilvl="8" w:tplc="2FB20A8E">
      <w:numFmt w:val="decimal"/>
      <w:lvlText w:val=""/>
      <w:lvlJc w:val="left"/>
    </w:lvl>
  </w:abstractNum>
  <w:abstractNum w:abstractNumId="728" w15:restartNumberingAfterBreak="0">
    <w:nsid w:val="51143AF0"/>
    <w:multiLevelType w:val="hybridMultilevel"/>
    <w:tmpl w:val="74B6EA36"/>
    <w:lvl w:ilvl="0" w:tplc="DE9E05E6">
      <w:start w:val="1"/>
      <w:numFmt w:val="bullet"/>
      <w:lvlText w:val=""/>
      <w:lvlJc w:val="left"/>
      <w:pPr>
        <w:ind w:left="720" w:hanging="180"/>
      </w:pPr>
      <w:rPr>
        <w:rFonts w:ascii="Symbol" w:hAnsi="Symbol" w:hint="default"/>
      </w:rPr>
    </w:lvl>
    <w:lvl w:ilvl="1" w:tplc="C2801D02">
      <w:numFmt w:val="decimal"/>
      <w:lvlText w:val=""/>
      <w:lvlJc w:val="left"/>
    </w:lvl>
    <w:lvl w:ilvl="2" w:tplc="5212EBF0">
      <w:numFmt w:val="decimal"/>
      <w:lvlText w:val=""/>
      <w:lvlJc w:val="left"/>
    </w:lvl>
    <w:lvl w:ilvl="3" w:tplc="014872D8">
      <w:numFmt w:val="decimal"/>
      <w:lvlText w:val=""/>
      <w:lvlJc w:val="left"/>
    </w:lvl>
    <w:lvl w:ilvl="4" w:tplc="35FC82DA">
      <w:numFmt w:val="decimal"/>
      <w:lvlText w:val=""/>
      <w:lvlJc w:val="left"/>
    </w:lvl>
    <w:lvl w:ilvl="5" w:tplc="4EF8FD48">
      <w:numFmt w:val="decimal"/>
      <w:lvlText w:val=""/>
      <w:lvlJc w:val="left"/>
    </w:lvl>
    <w:lvl w:ilvl="6" w:tplc="5EAEBD2C">
      <w:numFmt w:val="decimal"/>
      <w:lvlText w:val=""/>
      <w:lvlJc w:val="left"/>
    </w:lvl>
    <w:lvl w:ilvl="7" w:tplc="CF765998">
      <w:numFmt w:val="decimal"/>
      <w:lvlText w:val=""/>
      <w:lvlJc w:val="left"/>
    </w:lvl>
    <w:lvl w:ilvl="8" w:tplc="8FE25CEA">
      <w:numFmt w:val="decimal"/>
      <w:lvlText w:val=""/>
      <w:lvlJc w:val="left"/>
    </w:lvl>
  </w:abstractNum>
  <w:abstractNum w:abstractNumId="729" w15:restartNumberingAfterBreak="0">
    <w:nsid w:val="511B3782"/>
    <w:multiLevelType w:val="hybridMultilevel"/>
    <w:tmpl w:val="70503420"/>
    <w:lvl w:ilvl="0" w:tplc="1C368EA2">
      <w:start w:val="1"/>
      <w:numFmt w:val="bullet"/>
      <w:lvlText w:val=""/>
      <w:lvlJc w:val="left"/>
      <w:pPr>
        <w:ind w:left="720" w:hanging="180"/>
      </w:pPr>
      <w:rPr>
        <w:rFonts w:ascii="Symbol" w:hAnsi="Symbol" w:hint="default"/>
      </w:rPr>
    </w:lvl>
    <w:lvl w:ilvl="1" w:tplc="89F01E26">
      <w:numFmt w:val="decimal"/>
      <w:lvlText w:val=""/>
      <w:lvlJc w:val="left"/>
    </w:lvl>
    <w:lvl w:ilvl="2" w:tplc="18200C9E">
      <w:numFmt w:val="decimal"/>
      <w:lvlText w:val=""/>
      <w:lvlJc w:val="left"/>
    </w:lvl>
    <w:lvl w:ilvl="3" w:tplc="7C4E43BA">
      <w:numFmt w:val="decimal"/>
      <w:lvlText w:val=""/>
      <w:lvlJc w:val="left"/>
    </w:lvl>
    <w:lvl w:ilvl="4" w:tplc="C206E9A0">
      <w:numFmt w:val="decimal"/>
      <w:lvlText w:val=""/>
      <w:lvlJc w:val="left"/>
    </w:lvl>
    <w:lvl w:ilvl="5" w:tplc="5AA4BA78">
      <w:numFmt w:val="decimal"/>
      <w:lvlText w:val=""/>
      <w:lvlJc w:val="left"/>
    </w:lvl>
    <w:lvl w:ilvl="6" w:tplc="40A2F4CA">
      <w:numFmt w:val="decimal"/>
      <w:lvlText w:val=""/>
      <w:lvlJc w:val="left"/>
    </w:lvl>
    <w:lvl w:ilvl="7" w:tplc="9B5A32BA">
      <w:numFmt w:val="decimal"/>
      <w:lvlText w:val=""/>
      <w:lvlJc w:val="left"/>
    </w:lvl>
    <w:lvl w:ilvl="8" w:tplc="8B00028E">
      <w:numFmt w:val="decimal"/>
      <w:lvlText w:val=""/>
      <w:lvlJc w:val="left"/>
    </w:lvl>
  </w:abstractNum>
  <w:abstractNum w:abstractNumId="730" w15:restartNumberingAfterBreak="0">
    <w:nsid w:val="516A264A"/>
    <w:multiLevelType w:val="hybridMultilevel"/>
    <w:tmpl w:val="456EE7C6"/>
    <w:lvl w:ilvl="0" w:tplc="2ED27E2A">
      <w:start w:val="1"/>
      <w:numFmt w:val="bullet"/>
      <w:lvlText w:val=""/>
      <w:lvlJc w:val="left"/>
      <w:pPr>
        <w:ind w:left="720" w:hanging="180"/>
      </w:pPr>
      <w:rPr>
        <w:rFonts w:ascii="Symbol" w:hAnsi="Symbol" w:hint="default"/>
      </w:rPr>
    </w:lvl>
    <w:lvl w:ilvl="1" w:tplc="A73E96D2">
      <w:numFmt w:val="decimal"/>
      <w:lvlText w:val=""/>
      <w:lvlJc w:val="left"/>
    </w:lvl>
    <w:lvl w:ilvl="2" w:tplc="6102FD00">
      <w:numFmt w:val="decimal"/>
      <w:lvlText w:val=""/>
      <w:lvlJc w:val="left"/>
    </w:lvl>
    <w:lvl w:ilvl="3" w:tplc="6E5E7E92">
      <w:numFmt w:val="decimal"/>
      <w:lvlText w:val=""/>
      <w:lvlJc w:val="left"/>
    </w:lvl>
    <w:lvl w:ilvl="4" w:tplc="4B125FA6">
      <w:numFmt w:val="decimal"/>
      <w:lvlText w:val=""/>
      <w:lvlJc w:val="left"/>
    </w:lvl>
    <w:lvl w:ilvl="5" w:tplc="BF98A104">
      <w:numFmt w:val="decimal"/>
      <w:lvlText w:val=""/>
      <w:lvlJc w:val="left"/>
    </w:lvl>
    <w:lvl w:ilvl="6" w:tplc="8F18F396">
      <w:numFmt w:val="decimal"/>
      <w:lvlText w:val=""/>
      <w:lvlJc w:val="left"/>
    </w:lvl>
    <w:lvl w:ilvl="7" w:tplc="5C90833A">
      <w:numFmt w:val="decimal"/>
      <w:lvlText w:val=""/>
      <w:lvlJc w:val="left"/>
    </w:lvl>
    <w:lvl w:ilvl="8" w:tplc="CA9C3E62">
      <w:numFmt w:val="decimal"/>
      <w:lvlText w:val=""/>
      <w:lvlJc w:val="left"/>
    </w:lvl>
  </w:abstractNum>
  <w:abstractNum w:abstractNumId="731" w15:restartNumberingAfterBreak="0">
    <w:nsid w:val="516E372A"/>
    <w:multiLevelType w:val="hybridMultilevel"/>
    <w:tmpl w:val="2CF2C780"/>
    <w:lvl w:ilvl="0" w:tplc="17D23A46">
      <w:start w:val="1"/>
      <w:numFmt w:val="bullet"/>
      <w:lvlText w:val=""/>
      <w:lvlJc w:val="left"/>
      <w:pPr>
        <w:ind w:left="720" w:hanging="180"/>
      </w:pPr>
      <w:rPr>
        <w:rFonts w:ascii="Symbol" w:hAnsi="Symbol" w:hint="default"/>
      </w:rPr>
    </w:lvl>
    <w:lvl w:ilvl="1" w:tplc="078E47F8">
      <w:numFmt w:val="decimal"/>
      <w:lvlText w:val=""/>
      <w:lvlJc w:val="left"/>
    </w:lvl>
    <w:lvl w:ilvl="2" w:tplc="5F327ADA">
      <w:numFmt w:val="decimal"/>
      <w:lvlText w:val=""/>
      <w:lvlJc w:val="left"/>
    </w:lvl>
    <w:lvl w:ilvl="3" w:tplc="59161E3A">
      <w:numFmt w:val="decimal"/>
      <w:lvlText w:val=""/>
      <w:lvlJc w:val="left"/>
    </w:lvl>
    <w:lvl w:ilvl="4" w:tplc="0694C282">
      <w:numFmt w:val="decimal"/>
      <w:lvlText w:val=""/>
      <w:lvlJc w:val="left"/>
    </w:lvl>
    <w:lvl w:ilvl="5" w:tplc="7A5807BE">
      <w:numFmt w:val="decimal"/>
      <w:lvlText w:val=""/>
      <w:lvlJc w:val="left"/>
    </w:lvl>
    <w:lvl w:ilvl="6" w:tplc="3F68CF02">
      <w:numFmt w:val="decimal"/>
      <w:lvlText w:val=""/>
      <w:lvlJc w:val="left"/>
    </w:lvl>
    <w:lvl w:ilvl="7" w:tplc="F85C7376">
      <w:numFmt w:val="decimal"/>
      <w:lvlText w:val=""/>
      <w:lvlJc w:val="left"/>
    </w:lvl>
    <w:lvl w:ilvl="8" w:tplc="CFE89A16">
      <w:numFmt w:val="decimal"/>
      <w:lvlText w:val=""/>
      <w:lvlJc w:val="left"/>
    </w:lvl>
  </w:abstractNum>
  <w:abstractNum w:abstractNumId="732" w15:restartNumberingAfterBreak="0">
    <w:nsid w:val="51B71D31"/>
    <w:multiLevelType w:val="hybridMultilevel"/>
    <w:tmpl w:val="2780CB3C"/>
    <w:lvl w:ilvl="0" w:tplc="36908A6E">
      <w:start w:val="1"/>
      <w:numFmt w:val="bullet"/>
      <w:lvlText w:val=""/>
      <w:lvlJc w:val="left"/>
      <w:pPr>
        <w:ind w:left="720" w:hanging="180"/>
      </w:pPr>
      <w:rPr>
        <w:rFonts w:ascii="Symbol" w:hAnsi="Symbol" w:hint="default"/>
      </w:rPr>
    </w:lvl>
    <w:lvl w:ilvl="1" w:tplc="20F24244">
      <w:numFmt w:val="decimal"/>
      <w:lvlText w:val=""/>
      <w:lvlJc w:val="left"/>
    </w:lvl>
    <w:lvl w:ilvl="2" w:tplc="A8B820E6">
      <w:numFmt w:val="decimal"/>
      <w:lvlText w:val=""/>
      <w:lvlJc w:val="left"/>
    </w:lvl>
    <w:lvl w:ilvl="3" w:tplc="761C925A">
      <w:numFmt w:val="decimal"/>
      <w:lvlText w:val=""/>
      <w:lvlJc w:val="left"/>
    </w:lvl>
    <w:lvl w:ilvl="4" w:tplc="05803E0A">
      <w:numFmt w:val="decimal"/>
      <w:lvlText w:val=""/>
      <w:lvlJc w:val="left"/>
    </w:lvl>
    <w:lvl w:ilvl="5" w:tplc="53902180">
      <w:numFmt w:val="decimal"/>
      <w:lvlText w:val=""/>
      <w:lvlJc w:val="left"/>
    </w:lvl>
    <w:lvl w:ilvl="6" w:tplc="B4DAA456">
      <w:numFmt w:val="decimal"/>
      <w:lvlText w:val=""/>
      <w:lvlJc w:val="left"/>
    </w:lvl>
    <w:lvl w:ilvl="7" w:tplc="F1E8DACC">
      <w:numFmt w:val="decimal"/>
      <w:lvlText w:val=""/>
      <w:lvlJc w:val="left"/>
    </w:lvl>
    <w:lvl w:ilvl="8" w:tplc="827E7F8C">
      <w:numFmt w:val="decimal"/>
      <w:lvlText w:val=""/>
      <w:lvlJc w:val="left"/>
    </w:lvl>
  </w:abstractNum>
  <w:abstractNum w:abstractNumId="733" w15:restartNumberingAfterBreak="0">
    <w:nsid w:val="51BD79BB"/>
    <w:multiLevelType w:val="hybridMultilevel"/>
    <w:tmpl w:val="8698EF08"/>
    <w:lvl w:ilvl="0" w:tplc="A8DC7FE0">
      <w:start w:val="1"/>
      <w:numFmt w:val="bullet"/>
      <w:lvlText w:val=""/>
      <w:lvlJc w:val="left"/>
      <w:pPr>
        <w:ind w:left="720" w:hanging="180"/>
      </w:pPr>
      <w:rPr>
        <w:rFonts w:ascii="Symbol" w:hAnsi="Symbol" w:hint="default"/>
      </w:rPr>
    </w:lvl>
    <w:lvl w:ilvl="1" w:tplc="4D0080A0">
      <w:numFmt w:val="decimal"/>
      <w:lvlText w:val=""/>
      <w:lvlJc w:val="left"/>
    </w:lvl>
    <w:lvl w:ilvl="2" w:tplc="19DC7AAC">
      <w:numFmt w:val="decimal"/>
      <w:lvlText w:val=""/>
      <w:lvlJc w:val="left"/>
    </w:lvl>
    <w:lvl w:ilvl="3" w:tplc="9F621E20">
      <w:numFmt w:val="decimal"/>
      <w:lvlText w:val=""/>
      <w:lvlJc w:val="left"/>
    </w:lvl>
    <w:lvl w:ilvl="4" w:tplc="02CC859A">
      <w:numFmt w:val="decimal"/>
      <w:lvlText w:val=""/>
      <w:lvlJc w:val="left"/>
    </w:lvl>
    <w:lvl w:ilvl="5" w:tplc="01AC90FE">
      <w:numFmt w:val="decimal"/>
      <w:lvlText w:val=""/>
      <w:lvlJc w:val="left"/>
    </w:lvl>
    <w:lvl w:ilvl="6" w:tplc="D87A68E2">
      <w:numFmt w:val="decimal"/>
      <w:lvlText w:val=""/>
      <w:lvlJc w:val="left"/>
    </w:lvl>
    <w:lvl w:ilvl="7" w:tplc="10DC2DAE">
      <w:numFmt w:val="decimal"/>
      <w:lvlText w:val=""/>
      <w:lvlJc w:val="left"/>
    </w:lvl>
    <w:lvl w:ilvl="8" w:tplc="CEFC1592">
      <w:numFmt w:val="decimal"/>
      <w:lvlText w:val=""/>
      <w:lvlJc w:val="left"/>
    </w:lvl>
  </w:abstractNum>
  <w:abstractNum w:abstractNumId="734" w15:restartNumberingAfterBreak="0">
    <w:nsid w:val="51CE0140"/>
    <w:multiLevelType w:val="hybridMultilevel"/>
    <w:tmpl w:val="4A3A10D0"/>
    <w:lvl w:ilvl="0" w:tplc="5B5AE5B0">
      <w:start w:val="1"/>
      <w:numFmt w:val="bullet"/>
      <w:lvlText w:val=""/>
      <w:lvlJc w:val="left"/>
      <w:pPr>
        <w:ind w:left="720" w:hanging="180"/>
      </w:pPr>
      <w:rPr>
        <w:rFonts w:ascii="Symbol" w:hAnsi="Symbol" w:hint="default"/>
      </w:rPr>
    </w:lvl>
    <w:lvl w:ilvl="1" w:tplc="36CEF158">
      <w:numFmt w:val="decimal"/>
      <w:lvlText w:val=""/>
      <w:lvlJc w:val="left"/>
    </w:lvl>
    <w:lvl w:ilvl="2" w:tplc="8758E630">
      <w:numFmt w:val="decimal"/>
      <w:lvlText w:val=""/>
      <w:lvlJc w:val="left"/>
    </w:lvl>
    <w:lvl w:ilvl="3" w:tplc="63E829B6">
      <w:numFmt w:val="decimal"/>
      <w:lvlText w:val=""/>
      <w:lvlJc w:val="left"/>
    </w:lvl>
    <w:lvl w:ilvl="4" w:tplc="A14EC2F0">
      <w:numFmt w:val="decimal"/>
      <w:lvlText w:val=""/>
      <w:lvlJc w:val="left"/>
    </w:lvl>
    <w:lvl w:ilvl="5" w:tplc="072EB078">
      <w:numFmt w:val="decimal"/>
      <w:lvlText w:val=""/>
      <w:lvlJc w:val="left"/>
    </w:lvl>
    <w:lvl w:ilvl="6" w:tplc="8BAE12CE">
      <w:numFmt w:val="decimal"/>
      <w:lvlText w:val=""/>
      <w:lvlJc w:val="left"/>
    </w:lvl>
    <w:lvl w:ilvl="7" w:tplc="D55E3544">
      <w:numFmt w:val="decimal"/>
      <w:lvlText w:val=""/>
      <w:lvlJc w:val="left"/>
    </w:lvl>
    <w:lvl w:ilvl="8" w:tplc="EE48BF0E">
      <w:numFmt w:val="decimal"/>
      <w:lvlText w:val=""/>
      <w:lvlJc w:val="left"/>
    </w:lvl>
  </w:abstractNum>
  <w:abstractNum w:abstractNumId="735" w15:restartNumberingAfterBreak="0">
    <w:nsid w:val="51D1042B"/>
    <w:multiLevelType w:val="hybridMultilevel"/>
    <w:tmpl w:val="22068B8C"/>
    <w:lvl w:ilvl="0" w:tplc="13620D4C">
      <w:numFmt w:val="decimal"/>
      <w:lvlText w:val=""/>
      <w:lvlJc w:val="left"/>
    </w:lvl>
    <w:lvl w:ilvl="1" w:tplc="973EA1F6">
      <w:start w:val="1"/>
      <w:numFmt w:val="bullet"/>
      <w:lvlText w:val=""/>
      <w:lvlJc w:val="left"/>
      <w:pPr>
        <w:ind w:left="1440" w:hanging="180"/>
      </w:pPr>
      <w:rPr>
        <w:rFonts w:ascii="Symbol" w:hAnsi="Symbol" w:hint="default"/>
      </w:rPr>
    </w:lvl>
    <w:lvl w:ilvl="2" w:tplc="E4D20526">
      <w:numFmt w:val="decimal"/>
      <w:lvlText w:val=""/>
      <w:lvlJc w:val="left"/>
    </w:lvl>
    <w:lvl w:ilvl="3" w:tplc="D3C0E7EA">
      <w:numFmt w:val="decimal"/>
      <w:lvlText w:val=""/>
      <w:lvlJc w:val="left"/>
    </w:lvl>
    <w:lvl w:ilvl="4" w:tplc="A832FF36">
      <w:numFmt w:val="decimal"/>
      <w:lvlText w:val=""/>
      <w:lvlJc w:val="left"/>
    </w:lvl>
    <w:lvl w:ilvl="5" w:tplc="423C8BE4">
      <w:numFmt w:val="decimal"/>
      <w:lvlText w:val=""/>
      <w:lvlJc w:val="left"/>
    </w:lvl>
    <w:lvl w:ilvl="6" w:tplc="0D1C2C8A">
      <w:numFmt w:val="decimal"/>
      <w:lvlText w:val=""/>
      <w:lvlJc w:val="left"/>
    </w:lvl>
    <w:lvl w:ilvl="7" w:tplc="0AB2ACD6">
      <w:numFmt w:val="decimal"/>
      <w:lvlText w:val=""/>
      <w:lvlJc w:val="left"/>
    </w:lvl>
    <w:lvl w:ilvl="8" w:tplc="27B80610">
      <w:numFmt w:val="decimal"/>
      <w:lvlText w:val=""/>
      <w:lvlJc w:val="left"/>
    </w:lvl>
  </w:abstractNum>
  <w:abstractNum w:abstractNumId="736" w15:restartNumberingAfterBreak="0">
    <w:nsid w:val="51DE00A0"/>
    <w:multiLevelType w:val="hybridMultilevel"/>
    <w:tmpl w:val="45A8C7F6"/>
    <w:lvl w:ilvl="0" w:tplc="E4982E34">
      <w:start w:val="1"/>
      <w:numFmt w:val="bullet"/>
      <w:lvlText w:val=""/>
      <w:lvlJc w:val="left"/>
      <w:pPr>
        <w:ind w:left="720" w:hanging="180"/>
      </w:pPr>
      <w:rPr>
        <w:rFonts w:ascii="Symbol" w:hAnsi="Symbol" w:hint="default"/>
      </w:rPr>
    </w:lvl>
    <w:lvl w:ilvl="1" w:tplc="0952DA2C">
      <w:numFmt w:val="decimal"/>
      <w:lvlText w:val=""/>
      <w:lvlJc w:val="left"/>
    </w:lvl>
    <w:lvl w:ilvl="2" w:tplc="7A7A136C">
      <w:numFmt w:val="decimal"/>
      <w:lvlText w:val=""/>
      <w:lvlJc w:val="left"/>
    </w:lvl>
    <w:lvl w:ilvl="3" w:tplc="6C0A3F82">
      <w:numFmt w:val="decimal"/>
      <w:lvlText w:val=""/>
      <w:lvlJc w:val="left"/>
    </w:lvl>
    <w:lvl w:ilvl="4" w:tplc="C6229934">
      <w:numFmt w:val="decimal"/>
      <w:lvlText w:val=""/>
      <w:lvlJc w:val="left"/>
    </w:lvl>
    <w:lvl w:ilvl="5" w:tplc="DD6C33CA">
      <w:numFmt w:val="decimal"/>
      <w:lvlText w:val=""/>
      <w:lvlJc w:val="left"/>
    </w:lvl>
    <w:lvl w:ilvl="6" w:tplc="12A46A84">
      <w:numFmt w:val="decimal"/>
      <w:lvlText w:val=""/>
      <w:lvlJc w:val="left"/>
    </w:lvl>
    <w:lvl w:ilvl="7" w:tplc="B8E22F56">
      <w:numFmt w:val="decimal"/>
      <w:lvlText w:val=""/>
      <w:lvlJc w:val="left"/>
    </w:lvl>
    <w:lvl w:ilvl="8" w:tplc="7632D35E">
      <w:numFmt w:val="decimal"/>
      <w:lvlText w:val=""/>
      <w:lvlJc w:val="left"/>
    </w:lvl>
  </w:abstractNum>
  <w:abstractNum w:abstractNumId="737" w15:restartNumberingAfterBreak="0">
    <w:nsid w:val="51E32BCD"/>
    <w:multiLevelType w:val="hybridMultilevel"/>
    <w:tmpl w:val="391C4B54"/>
    <w:lvl w:ilvl="0" w:tplc="27CAC23A">
      <w:start w:val="1"/>
      <w:numFmt w:val="bullet"/>
      <w:lvlText w:val=""/>
      <w:lvlJc w:val="left"/>
      <w:pPr>
        <w:ind w:left="720" w:hanging="180"/>
      </w:pPr>
      <w:rPr>
        <w:rFonts w:ascii="Symbol" w:hAnsi="Symbol" w:hint="default"/>
      </w:rPr>
    </w:lvl>
    <w:lvl w:ilvl="1" w:tplc="C4DE0D8E">
      <w:numFmt w:val="decimal"/>
      <w:lvlText w:val=""/>
      <w:lvlJc w:val="left"/>
    </w:lvl>
    <w:lvl w:ilvl="2" w:tplc="3AD21BD0">
      <w:numFmt w:val="decimal"/>
      <w:lvlText w:val=""/>
      <w:lvlJc w:val="left"/>
    </w:lvl>
    <w:lvl w:ilvl="3" w:tplc="4434FDF2">
      <w:numFmt w:val="decimal"/>
      <w:lvlText w:val=""/>
      <w:lvlJc w:val="left"/>
    </w:lvl>
    <w:lvl w:ilvl="4" w:tplc="E9D40884">
      <w:numFmt w:val="decimal"/>
      <w:lvlText w:val=""/>
      <w:lvlJc w:val="left"/>
    </w:lvl>
    <w:lvl w:ilvl="5" w:tplc="1EC843AE">
      <w:numFmt w:val="decimal"/>
      <w:lvlText w:val=""/>
      <w:lvlJc w:val="left"/>
    </w:lvl>
    <w:lvl w:ilvl="6" w:tplc="BB903016">
      <w:numFmt w:val="decimal"/>
      <w:lvlText w:val=""/>
      <w:lvlJc w:val="left"/>
    </w:lvl>
    <w:lvl w:ilvl="7" w:tplc="259E649A">
      <w:numFmt w:val="decimal"/>
      <w:lvlText w:val=""/>
      <w:lvlJc w:val="left"/>
    </w:lvl>
    <w:lvl w:ilvl="8" w:tplc="EF7894E6">
      <w:numFmt w:val="decimal"/>
      <w:lvlText w:val=""/>
      <w:lvlJc w:val="left"/>
    </w:lvl>
  </w:abstractNum>
  <w:abstractNum w:abstractNumId="738" w15:restartNumberingAfterBreak="0">
    <w:nsid w:val="521A0151"/>
    <w:multiLevelType w:val="hybridMultilevel"/>
    <w:tmpl w:val="478E6528"/>
    <w:lvl w:ilvl="0" w:tplc="143A57DE">
      <w:start w:val="1"/>
      <w:numFmt w:val="bullet"/>
      <w:lvlText w:val=""/>
      <w:lvlJc w:val="left"/>
      <w:pPr>
        <w:ind w:left="720" w:hanging="180"/>
      </w:pPr>
      <w:rPr>
        <w:rFonts w:ascii="Symbol" w:hAnsi="Symbol" w:hint="default"/>
      </w:rPr>
    </w:lvl>
    <w:lvl w:ilvl="1" w:tplc="727A555E">
      <w:numFmt w:val="decimal"/>
      <w:lvlText w:val=""/>
      <w:lvlJc w:val="left"/>
    </w:lvl>
    <w:lvl w:ilvl="2" w:tplc="7AD0210E">
      <w:numFmt w:val="decimal"/>
      <w:lvlText w:val=""/>
      <w:lvlJc w:val="left"/>
    </w:lvl>
    <w:lvl w:ilvl="3" w:tplc="8D0C9CAE">
      <w:numFmt w:val="decimal"/>
      <w:lvlText w:val=""/>
      <w:lvlJc w:val="left"/>
    </w:lvl>
    <w:lvl w:ilvl="4" w:tplc="5BEE50E4">
      <w:numFmt w:val="decimal"/>
      <w:lvlText w:val=""/>
      <w:lvlJc w:val="left"/>
    </w:lvl>
    <w:lvl w:ilvl="5" w:tplc="8BC68BF0">
      <w:numFmt w:val="decimal"/>
      <w:lvlText w:val=""/>
      <w:lvlJc w:val="left"/>
    </w:lvl>
    <w:lvl w:ilvl="6" w:tplc="E6063BDE">
      <w:numFmt w:val="decimal"/>
      <w:lvlText w:val=""/>
      <w:lvlJc w:val="left"/>
    </w:lvl>
    <w:lvl w:ilvl="7" w:tplc="185A75B2">
      <w:numFmt w:val="decimal"/>
      <w:lvlText w:val=""/>
      <w:lvlJc w:val="left"/>
    </w:lvl>
    <w:lvl w:ilvl="8" w:tplc="A1909A96">
      <w:numFmt w:val="decimal"/>
      <w:lvlText w:val=""/>
      <w:lvlJc w:val="left"/>
    </w:lvl>
  </w:abstractNum>
  <w:abstractNum w:abstractNumId="739" w15:restartNumberingAfterBreak="0">
    <w:nsid w:val="523A4C95"/>
    <w:multiLevelType w:val="hybridMultilevel"/>
    <w:tmpl w:val="612C42F2"/>
    <w:lvl w:ilvl="0" w:tplc="BED0D608">
      <w:start w:val="1"/>
      <w:numFmt w:val="bullet"/>
      <w:lvlText w:val=""/>
      <w:lvlJc w:val="left"/>
      <w:pPr>
        <w:ind w:left="720" w:hanging="180"/>
      </w:pPr>
      <w:rPr>
        <w:rFonts w:ascii="Symbol" w:hAnsi="Symbol" w:hint="default"/>
      </w:rPr>
    </w:lvl>
    <w:lvl w:ilvl="1" w:tplc="6FF46378">
      <w:numFmt w:val="decimal"/>
      <w:lvlText w:val=""/>
      <w:lvlJc w:val="left"/>
    </w:lvl>
    <w:lvl w:ilvl="2" w:tplc="55AC3486">
      <w:numFmt w:val="decimal"/>
      <w:lvlText w:val=""/>
      <w:lvlJc w:val="left"/>
    </w:lvl>
    <w:lvl w:ilvl="3" w:tplc="53622C6E">
      <w:numFmt w:val="decimal"/>
      <w:lvlText w:val=""/>
      <w:lvlJc w:val="left"/>
    </w:lvl>
    <w:lvl w:ilvl="4" w:tplc="E6863E7C">
      <w:numFmt w:val="decimal"/>
      <w:lvlText w:val=""/>
      <w:lvlJc w:val="left"/>
    </w:lvl>
    <w:lvl w:ilvl="5" w:tplc="72465F94">
      <w:numFmt w:val="decimal"/>
      <w:lvlText w:val=""/>
      <w:lvlJc w:val="left"/>
    </w:lvl>
    <w:lvl w:ilvl="6" w:tplc="0616D43C">
      <w:numFmt w:val="decimal"/>
      <w:lvlText w:val=""/>
      <w:lvlJc w:val="left"/>
    </w:lvl>
    <w:lvl w:ilvl="7" w:tplc="82800692">
      <w:numFmt w:val="decimal"/>
      <w:lvlText w:val=""/>
      <w:lvlJc w:val="left"/>
    </w:lvl>
    <w:lvl w:ilvl="8" w:tplc="852A15A2">
      <w:numFmt w:val="decimal"/>
      <w:lvlText w:val=""/>
      <w:lvlJc w:val="left"/>
    </w:lvl>
  </w:abstractNum>
  <w:abstractNum w:abstractNumId="740" w15:restartNumberingAfterBreak="0">
    <w:nsid w:val="525719CE"/>
    <w:multiLevelType w:val="hybridMultilevel"/>
    <w:tmpl w:val="5B76378C"/>
    <w:lvl w:ilvl="0" w:tplc="3FCCFC4C">
      <w:start w:val="1"/>
      <w:numFmt w:val="bullet"/>
      <w:lvlText w:val=""/>
      <w:lvlJc w:val="left"/>
      <w:pPr>
        <w:ind w:left="720" w:hanging="180"/>
      </w:pPr>
      <w:rPr>
        <w:rFonts w:ascii="Symbol" w:hAnsi="Symbol" w:hint="default"/>
      </w:rPr>
    </w:lvl>
    <w:lvl w:ilvl="1" w:tplc="B486EBC0">
      <w:numFmt w:val="decimal"/>
      <w:lvlText w:val=""/>
      <w:lvlJc w:val="left"/>
    </w:lvl>
    <w:lvl w:ilvl="2" w:tplc="B4CC72F0">
      <w:numFmt w:val="decimal"/>
      <w:lvlText w:val=""/>
      <w:lvlJc w:val="left"/>
    </w:lvl>
    <w:lvl w:ilvl="3" w:tplc="F8323F20">
      <w:numFmt w:val="decimal"/>
      <w:lvlText w:val=""/>
      <w:lvlJc w:val="left"/>
    </w:lvl>
    <w:lvl w:ilvl="4" w:tplc="2A64AB1C">
      <w:numFmt w:val="decimal"/>
      <w:lvlText w:val=""/>
      <w:lvlJc w:val="left"/>
    </w:lvl>
    <w:lvl w:ilvl="5" w:tplc="F52AE422">
      <w:numFmt w:val="decimal"/>
      <w:lvlText w:val=""/>
      <w:lvlJc w:val="left"/>
    </w:lvl>
    <w:lvl w:ilvl="6" w:tplc="740445D0">
      <w:numFmt w:val="decimal"/>
      <w:lvlText w:val=""/>
      <w:lvlJc w:val="left"/>
    </w:lvl>
    <w:lvl w:ilvl="7" w:tplc="8F2AE4E4">
      <w:numFmt w:val="decimal"/>
      <w:lvlText w:val=""/>
      <w:lvlJc w:val="left"/>
    </w:lvl>
    <w:lvl w:ilvl="8" w:tplc="BD202298">
      <w:numFmt w:val="decimal"/>
      <w:lvlText w:val=""/>
      <w:lvlJc w:val="left"/>
    </w:lvl>
  </w:abstractNum>
  <w:abstractNum w:abstractNumId="741" w15:restartNumberingAfterBreak="0">
    <w:nsid w:val="525A16A2"/>
    <w:multiLevelType w:val="hybridMultilevel"/>
    <w:tmpl w:val="E5DA5F80"/>
    <w:lvl w:ilvl="0" w:tplc="06962222">
      <w:numFmt w:val="decimal"/>
      <w:lvlText w:val=""/>
      <w:lvlJc w:val="left"/>
    </w:lvl>
    <w:lvl w:ilvl="1" w:tplc="D256EEAA">
      <w:start w:val="1"/>
      <w:numFmt w:val="bullet"/>
      <w:lvlText w:val=""/>
      <w:lvlJc w:val="left"/>
      <w:pPr>
        <w:ind w:left="1440" w:hanging="180"/>
      </w:pPr>
      <w:rPr>
        <w:rFonts w:ascii="Symbol" w:hAnsi="Symbol" w:hint="default"/>
      </w:rPr>
    </w:lvl>
    <w:lvl w:ilvl="2" w:tplc="732A9130">
      <w:numFmt w:val="decimal"/>
      <w:lvlText w:val=""/>
      <w:lvlJc w:val="left"/>
    </w:lvl>
    <w:lvl w:ilvl="3" w:tplc="448E4908">
      <w:numFmt w:val="decimal"/>
      <w:lvlText w:val=""/>
      <w:lvlJc w:val="left"/>
    </w:lvl>
    <w:lvl w:ilvl="4" w:tplc="4D8E9866">
      <w:numFmt w:val="decimal"/>
      <w:lvlText w:val=""/>
      <w:lvlJc w:val="left"/>
    </w:lvl>
    <w:lvl w:ilvl="5" w:tplc="F50A2DB6">
      <w:numFmt w:val="decimal"/>
      <w:lvlText w:val=""/>
      <w:lvlJc w:val="left"/>
    </w:lvl>
    <w:lvl w:ilvl="6" w:tplc="1E4A5C28">
      <w:numFmt w:val="decimal"/>
      <w:lvlText w:val=""/>
      <w:lvlJc w:val="left"/>
    </w:lvl>
    <w:lvl w:ilvl="7" w:tplc="D6841E48">
      <w:numFmt w:val="decimal"/>
      <w:lvlText w:val=""/>
      <w:lvlJc w:val="left"/>
    </w:lvl>
    <w:lvl w:ilvl="8" w:tplc="F6A0225E">
      <w:numFmt w:val="decimal"/>
      <w:lvlText w:val=""/>
      <w:lvlJc w:val="left"/>
    </w:lvl>
  </w:abstractNum>
  <w:abstractNum w:abstractNumId="742" w15:restartNumberingAfterBreak="0">
    <w:nsid w:val="525B27A1"/>
    <w:multiLevelType w:val="hybridMultilevel"/>
    <w:tmpl w:val="19926C44"/>
    <w:lvl w:ilvl="0" w:tplc="CEECD54C">
      <w:start w:val="1"/>
      <w:numFmt w:val="bullet"/>
      <w:lvlText w:val=""/>
      <w:lvlJc w:val="left"/>
      <w:pPr>
        <w:ind w:left="720" w:hanging="180"/>
      </w:pPr>
      <w:rPr>
        <w:rFonts w:ascii="Symbol" w:hAnsi="Symbol" w:hint="default"/>
      </w:rPr>
    </w:lvl>
    <w:lvl w:ilvl="1" w:tplc="3DD44D58">
      <w:numFmt w:val="decimal"/>
      <w:lvlText w:val=""/>
      <w:lvlJc w:val="left"/>
    </w:lvl>
    <w:lvl w:ilvl="2" w:tplc="9B42D6E6">
      <w:numFmt w:val="decimal"/>
      <w:lvlText w:val=""/>
      <w:lvlJc w:val="left"/>
    </w:lvl>
    <w:lvl w:ilvl="3" w:tplc="B47CAE5C">
      <w:numFmt w:val="decimal"/>
      <w:lvlText w:val=""/>
      <w:lvlJc w:val="left"/>
    </w:lvl>
    <w:lvl w:ilvl="4" w:tplc="B3FAF7EC">
      <w:numFmt w:val="decimal"/>
      <w:lvlText w:val=""/>
      <w:lvlJc w:val="left"/>
    </w:lvl>
    <w:lvl w:ilvl="5" w:tplc="AE907EB2">
      <w:numFmt w:val="decimal"/>
      <w:lvlText w:val=""/>
      <w:lvlJc w:val="left"/>
    </w:lvl>
    <w:lvl w:ilvl="6" w:tplc="F780ADC6">
      <w:numFmt w:val="decimal"/>
      <w:lvlText w:val=""/>
      <w:lvlJc w:val="left"/>
    </w:lvl>
    <w:lvl w:ilvl="7" w:tplc="2AF2CA08">
      <w:numFmt w:val="decimal"/>
      <w:lvlText w:val=""/>
      <w:lvlJc w:val="left"/>
    </w:lvl>
    <w:lvl w:ilvl="8" w:tplc="4AB46BFC">
      <w:numFmt w:val="decimal"/>
      <w:lvlText w:val=""/>
      <w:lvlJc w:val="left"/>
    </w:lvl>
  </w:abstractNum>
  <w:abstractNum w:abstractNumId="743" w15:restartNumberingAfterBreak="0">
    <w:nsid w:val="525E1848"/>
    <w:multiLevelType w:val="hybridMultilevel"/>
    <w:tmpl w:val="76BA47BE"/>
    <w:lvl w:ilvl="0" w:tplc="C9BCB4FC">
      <w:start w:val="1"/>
      <w:numFmt w:val="bullet"/>
      <w:lvlText w:val=""/>
      <w:lvlJc w:val="left"/>
      <w:pPr>
        <w:ind w:left="720" w:hanging="180"/>
      </w:pPr>
      <w:rPr>
        <w:rFonts w:ascii="Symbol" w:hAnsi="Symbol" w:hint="default"/>
      </w:rPr>
    </w:lvl>
    <w:lvl w:ilvl="1" w:tplc="95486486">
      <w:numFmt w:val="decimal"/>
      <w:lvlText w:val=""/>
      <w:lvlJc w:val="left"/>
    </w:lvl>
    <w:lvl w:ilvl="2" w:tplc="DB26EE96">
      <w:numFmt w:val="decimal"/>
      <w:lvlText w:val=""/>
      <w:lvlJc w:val="left"/>
    </w:lvl>
    <w:lvl w:ilvl="3" w:tplc="925A330E">
      <w:numFmt w:val="decimal"/>
      <w:lvlText w:val=""/>
      <w:lvlJc w:val="left"/>
    </w:lvl>
    <w:lvl w:ilvl="4" w:tplc="ED28AA12">
      <w:numFmt w:val="decimal"/>
      <w:lvlText w:val=""/>
      <w:lvlJc w:val="left"/>
    </w:lvl>
    <w:lvl w:ilvl="5" w:tplc="092A00AE">
      <w:numFmt w:val="decimal"/>
      <w:lvlText w:val=""/>
      <w:lvlJc w:val="left"/>
    </w:lvl>
    <w:lvl w:ilvl="6" w:tplc="5B3A452C">
      <w:numFmt w:val="decimal"/>
      <w:lvlText w:val=""/>
      <w:lvlJc w:val="left"/>
    </w:lvl>
    <w:lvl w:ilvl="7" w:tplc="0F4C2ED6">
      <w:numFmt w:val="decimal"/>
      <w:lvlText w:val=""/>
      <w:lvlJc w:val="left"/>
    </w:lvl>
    <w:lvl w:ilvl="8" w:tplc="48E02186">
      <w:numFmt w:val="decimal"/>
      <w:lvlText w:val=""/>
      <w:lvlJc w:val="left"/>
    </w:lvl>
  </w:abstractNum>
  <w:abstractNum w:abstractNumId="744" w15:restartNumberingAfterBreak="0">
    <w:nsid w:val="52DA2F87"/>
    <w:multiLevelType w:val="hybridMultilevel"/>
    <w:tmpl w:val="2ABCBF46"/>
    <w:lvl w:ilvl="0" w:tplc="991EBD2C">
      <w:start w:val="1"/>
      <w:numFmt w:val="bullet"/>
      <w:lvlText w:val=""/>
      <w:lvlJc w:val="left"/>
      <w:pPr>
        <w:ind w:left="720" w:hanging="180"/>
      </w:pPr>
      <w:rPr>
        <w:rFonts w:ascii="Symbol" w:hAnsi="Symbol" w:hint="default"/>
      </w:rPr>
    </w:lvl>
    <w:lvl w:ilvl="1" w:tplc="BAFE488E">
      <w:numFmt w:val="decimal"/>
      <w:lvlText w:val=""/>
      <w:lvlJc w:val="left"/>
    </w:lvl>
    <w:lvl w:ilvl="2" w:tplc="C1880E3E">
      <w:numFmt w:val="decimal"/>
      <w:lvlText w:val=""/>
      <w:lvlJc w:val="left"/>
    </w:lvl>
    <w:lvl w:ilvl="3" w:tplc="BEA8D6D6">
      <w:numFmt w:val="decimal"/>
      <w:lvlText w:val=""/>
      <w:lvlJc w:val="left"/>
    </w:lvl>
    <w:lvl w:ilvl="4" w:tplc="67443150">
      <w:numFmt w:val="decimal"/>
      <w:lvlText w:val=""/>
      <w:lvlJc w:val="left"/>
    </w:lvl>
    <w:lvl w:ilvl="5" w:tplc="5A82C61C">
      <w:numFmt w:val="decimal"/>
      <w:lvlText w:val=""/>
      <w:lvlJc w:val="left"/>
    </w:lvl>
    <w:lvl w:ilvl="6" w:tplc="D17626E2">
      <w:numFmt w:val="decimal"/>
      <w:lvlText w:val=""/>
      <w:lvlJc w:val="left"/>
    </w:lvl>
    <w:lvl w:ilvl="7" w:tplc="0EF88A58">
      <w:numFmt w:val="decimal"/>
      <w:lvlText w:val=""/>
      <w:lvlJc w:val="left"/>
    </w:lvl>
    <w:lvl w:ilvl="8" w:tplc="EE34D4D6">
      <w:numFmt w:val="decimal"/>
      <w:lvlText w:val=""/>
      <w:lvlJc w:val="left"/>
    </w:lvl>
  </w:abstractNum>
  <w:abstractNum w:abstractNumId="745" w15:restartNumberingAfterBreak="0">
    <w:nsid w:val="52EE4072"/>
    <w:multiLevelType w:val="hybridMultilevel"/>
    <w:tmpl w:val="3ED83D9E"/>
    <w:lvl w:ilvl="0" w:tplc="46C8D546">
      <w:start w:val="1"/>
      <w:numFmt w:val="bullet"/>
      <w:lvlText w:val=""/>
      <w:lvlJc w:val="left"/>
      <w:pPr>
        <w:ind w:left="720" w:hanging="180"/>
      </w:pPr>
      <w:rPr>
        <w:rFonts w:ascii="Symbol" w:hAnsi="Symbol" w:hint="default"/>
      </w:rPr>
    </w:lvl>
    <w:lvl w:ilvl="1" w:tplc="779AAE04">
      <w:numFmt w:val="decimal"/>
      <w:lvlText w:val=""/>
      <w:lvlJc w:val="left"/>
    </w:lvl>
    <w:lvl w:ilvl="2" w:tplc="4FF00C06">
      <w:numFmt w:val="decimal"/>
      <w:lvlText w:val=""/>
      <w:lvlJc w:val="left"/>
    </w:lvl>
    <w:lvl w:ilvl="3" w:tplc="B5D8D0C8">
      <w:numFmt w:val="decimal"/>
      <w:lvlText w:val=""/>
      <w:lvlJc w:val="left"/>
    </w:lvl>
    <w:lvl w:ilvl="4" w:tplc="14EA9E7C">
      <w:numFmt w:val="decimal"/>
      <w:lvlText w:val=""/>
      <w:lvlJc w:val="left"/>
    </w:lvl>
    <w:lvl w:ilvl="5" w:tplc="6CA6903C">
      <w:numFmt w:val="decimal"/>
      <w:lvlText w:val=""/>
      <w:lvlJc w:val="left"/>
    </w:lvl>
    <w:lvl w:ilvl="6" w:tplc="B7086552">
      <w:numFmt w:val="decimal"/>
      <w:lvlText w:val=""/>
      <w:lvlJc w:val="left"/>
    </w:lvl>
    <w:lvl w:ilvl="7" w:tplc="529C94EC">
      <w:numFmt w:val="decimal"/>
      <w:lvlText w:val=""/>
      <w:lvlJc w:val="left"/>
    </w:lvl>
    <w:lvl w:ilvl="8" w:tplc="B1823DC2">
      <w:numFmt w:val="decimal"/>
      <w:lvlText w:val=""/>
      <w:lvlJc w:val="left"/>
    </w:lvl>
  </w:abstractNum>
  <w:abstractNum w:abstractNumId="746" w15:restartNumberingAfterBreak="0">
    <w:nsid w:val="53302E43"/>
    <w:multiLevelType w:val="hybridMultilevel"/>
    <w:tmpl w:val="1A860CD6"/>
    <w:lvl w:ilvl="0" w:tplc="D612F032">
      <w:start w:val="1"/>
      <w:numFmt w:val="bullet"/>
      <w:lvlText w:val=""/>
      <w:lvlJc w:val="left"/>
      <w:pPr>
        <w:ind w:left="720" w:hanging="180"/>
      </w:pPr>
      <w:rPr>
        <w:rFonts w:ascii="Symbol" w:hAnsi="Symbol" w:hint="default"/>
      </w:rPr>
    </w:lvl>
    <w:lvl w:ilvl="1" w:tplc="76BC6C4E">
      <w:numFmt w:val="decimal"/>
      <w:lvlText w:val=""/>
      <w:lvlJc w:val="left"/>
    </w:lvl>
    <w:lvl w:ilvl="2" w:tplc="55785586">
      <w:numFmt w:val="decimal"/>
      <w:lvlText w:val=""/>
      <w:lvlJc w:val="left"/>
    </w:lvl>
    <w:lvl w:ilvl="3" w:tplc="7B085E4A">
      <w:numFmt w:val="decimal"/>
      <w:lvlText w:val=""/>
      <w:lvlJc w:val="left"/>
    </w:lvl>
    <w:lvl w:ilvl="4" w:tplc="9276303E">
      <w:numFmt w:val="decimal"/>
      <w:lvlText w:val=""/>
      <w:lvlJc w:val="left"/>
    </w:lvl>
    <w:lvl w:ilvl="5" w:tplc="28F6BA82">
      <w:numFmt w:val="decimal"/>
      <w:lvlText w:val=""/>
      <w:lvlJc w:val="left"/>
    </w:lvl>
    <w:lvl w:ilvl="6" w:tplc="9A9490FC">
      <w:numFmt w:val="decimal"/>
      <w:lvlText w:val=""/>
      <w:lvlJc w:val="left"/>
    </w:lvl>
    <w:lvl w:ilvl="7" w:tplc="BC1E81F8">
      <w:numFmt w:val="decimal"/>
      <w:lvlText w:val=""/>
      <w:lvlJc w:val="left"/>
    </w:lvl>
    <w:lvl w:ilvl="8" w:tplc="A12C7BA8">
      <w:numFmt w:val="decimal"/>
      <w:lvlText w:val=""/>
      <w:lvlJc w:val="left"/>
    </w:lvl>
  </w:abstractNum>
  <w:abstractNum w:abstractNumId="747" w15:restartNumberingAfterBreak="0">
    <w:nsid w:val="535E1498"/>
    <w:multiLevelType w:val="hybridMultilevel"/>
    <w:tmpl w:val="9E3499CA"/>
    <w:lvl w:ilvl="0" w:tplc="4B406238">
      <w:start w:val="1"/>
      <w:numFmt w:val="bullet"/>
      <w:lvlText w:val=""/>
      <w:lvlJc w:val="left"/>
      <w:pPr>
        <w:ind w:left="720" w:hanging="180"/>
      </w:pPr>
      <w:rPr>
        <w:rFonts w:ascii="Symbol" w:hAnsi="Symbol" w:hint="default"/>
      </w:rPr>
    </w:lvl>
    <w:lvl w:ilvl="1" w:tplc="63F6611C">
      <w:numFmt w:val="decimal"/>
      <w:lvlText w:val=""/>
      <w:lvlJc w:val="left"/>
    </w:lvl>
    <w:lvl w:ilvl="2" w:tplc="E182F240">
      <w:numFmt w:val="decimal"/>
      <w:lvlText w:val=""/>
      <w:lvlJc w:val="left"/>
    </w:lvl>
    <w:lvl w:ilvl="3" w:tplc="31D03E1E">
      <w:numFmt w:val="decimal"/>
      <w:lvlText w:val=""/>
      <w:lvlJc w:val="left"/>
    </w:lvl>
    <w:lvl w:ilvl="4" w:tplc="512A1C0A">
      <w:numFmt w:val="decimal"/>
      <w:lvlText w:val=""/>
      <w:lvlJc w:val="left"/>
    </w:lvl>
    <w:lvl w:ilvl="5" w:tplc="332A5F8A">
      <w:numFmt w:val="decimal"/>
      <w:lvlText w:val=""/>
      <w:lvlJc w:val="left"/>
    </w:lvl>
    <w:lvl w:ilvl="6" w:tplc="8BDC18FA">
      <w:numFmt w:val="decimal"/>
      <w:lvlText w:val=""/>
      <w:lvlJc w:val="left"/>
    </w:lvl>
    <w:lvl w:ilvl="7" w:tplc="7F428744">
      <w:numFmt w:val="decimal"/>
      <w:lvlText w:val=""/>
      <w:lvlJc w:val="left"/>
    </w:lvl>
    <w:lvl w:ilvl="8" w:tplc="BDA6275E">
      <w:numFmt w:val="decimal"/>
      <w:lvlText w:val=""/>
      <w:lvlJc w:val="left"/>
    </w:lvl>
  </w:abstractNum>
  <w:abstractNum w:abstractNumId="748" w15:restartNumberingAfterBreak="0">
    <w:nsid w:val="537501E2"/>
    <w:multiLevelType w:val="hybridMultilevel"/>
    <w:tmpl w:val="F6B4E8E4"/>
    <w:lvl w:ilvl="0" w:tplc="315CDCF8">
      <w:start w:val="1"/>
      <w:numFmt w:val="bullet"/>
      <w:lvlText w:val=""/>
      <w:lvlJc w:val="left"/>
      <w:pPr>
        <w:ind w:left="720" w:hanging="180"/>
      </w:pPr>
      <w:rPr>
        <w:rFonts w:ascii="Symbol" w:hAnsi="Symbol" w:hint="default"/>
      </w:rPr>
    </w:lvl>
    <w:lvl w:ilvl="1" w:tplc="BA6C76EA">
      <w:numFmt w:val="decimal"/>
      <w:lvlText w:val=""/>
      <w:lvlJc w:val="left"/>
    </w:lvl>
    <w:lvl w:ilvl="2" w:tplc="75A8214E">
      <w:numFmt w:val="decimal"/>
      <w:lvlText w:val=""/>
      <w:lvlJc w:val="left"/>
    </w:lvl>
    <w:lvl w:ilvl="3" w:tplc="FE48C9DE">
      <w:numFmt w:val="decimal"/>
      <w:lvlText w:val=""/>
      <w:lvlJc w:val="left"/>
    </w:lvl>
    <w:lvl w:ilvl="4" w:tplc="CD04CF68">
      <w:numFmt w:val="decimal"/>
      <w:lvlText w:val=""/>
      <w:lvlJc w:val="left"/>
    </w:lvl>
    <w:lvl w:ilvl="5" w:tplc="4A7E2A58">
      <w:numFmt w:val="decimal"/>
      <w:lvlText w:val=""/>
      <w:lvlJc w:val="left"/>
    </w:lvl>
    <w:lvl w:ilvl="6" w:tplc="D550FF2E">
      <w:numFmt w:val="decimal"/>
      <w:lvlText w:val=""/>
      <w:lvlJc w:val="left"/>
    </w:lvl>
    <w:lvl w:ilvl="7" w:tplc="54ACD998">
      <w:numFmt w:val="decimal"/>
      <w:lvlText w:val=""/>
      <w:lvlJc w:val="left"/>
    </w:lvl>
    <w:lvl w:ilvl="8" w:tplc="3D0C8750">
      <w:numFmt w:val="decimal"/>
      <w:lvlText w:val=""/>
      <w:lvlJc w:val="left"/>
    </w:lvl>
  </w:abstractNum>
  <w:abstractNum w:abstractNumId="749" w15:restartNumberingAfterBreak="0">
    <w:nsid w:val="539A00ED"/>
    <w:multiLevelType w:val="hybridMultilevel"/>
    <w:tmpl w:val="4B8A49B2"/>
    <w:lvl w:ilvl="0" w:tplc="C2B64F5C">
      <w:start w:val="1"/>
      <w:numFmt w:val="bullet"/>
      <w:lvlText w:val=""/>
      <w:lvlJc w:val="left"/>
      <w:pPr>
        <w:ind w:left="720" w:hanging="180"/>
      </w:pPr>
      <w:rPr>
        <w:rFonts w:ascii="Symbol" w:hAnsi="Symbol" w:hint="default"/>
      </w:rPr>
    </w:lvl>
    <w:lvl w:ilvl="1" w:tplc="CE087E48">
      <w:numFmt w:val="decimal"/>
      <w:lvlText w:val=""/>
      <w:lvlJc w:val="left"/>
    </w:lvl>
    <w:lvl w:ilvl="2" w:tplc="06507AEC">
      <w:numFmt w:val="decimal"/>
      <w:lvlText w:val=""/>
      <w:lvlJc w:val="left"/>
    </w:lvl>
    <w:lvl w:ilvl="3" w:tplc="43A4523E">
      <w:numFmt w:val="decimal"/>
      <w:lvlText w:val=""/>
      <w:lvlJc w:val="left"/>
    </w:lvl>
    <w:lvl w:ilvl="4" w:tplc="9280DA82">
      <w:numFmt w:val="decimal"/>
      <w:lvlText w:val=""/>
      <w:lvlJc w:val="left"/>
    </w:lvl>
    <w:lvl w:ilvl="5" w:tplc="45681CE0">
      <w:numFmt w:val="decimal"/>
      <w:lvlText w:val=""/>
      <w:lvlJc w:val="left"/>
    </w:lvl>
    <w:lvl w:ilvl="6" w:tplc="425E7CC0">
      <w:numFmt w:val="decimal"/>
      <w:lvlText w:val=""/>
      <w:lvlJc w:val="left"/>
    </w:lvl>
    <w:lvl w:ilvl="7" w:tplc="741A8364">
      <w:numFmt w:val="decimal"/>
      <w:lvlText w:val=""/>
      <w:lvlJc w:val="left"/>
    </w:lvl>
    <w:lvl w:ilvl="8" w:tplc="F5320880">
      <w:numFmt w:val="decimal"/>
      <w:lvlText w:val=""/>
      <w:lvlJc w:val="left"/>
    </w:lvl>
  </w:abstractNum>
  <w:abstractNum w:abstractNumId="750" w15:restartNumberingAfterBreak="0">
    <w:nsid w:val="53B34425"/>
    <w:multiLevelType w:val="hybridMultilevel"/>
    <w:tmpl w:val="FB6C083C"/>
    <w:lvl w:ilvl="0" w:tplc="20421058">
      <w:start w:val="1"/>
      <w:numFmt w:val="bullet"/>
      <w:lvlText w:val=""/>
      <w:lvlJc w:val="left"/>
      <w:pPr>
        <w:ind w:left="720" w:hanging="180"/>
      </w:pPr>
      <w:rPr>
        <w:rFonts w:ascii="Symbol" w:hAnsi="Symbol" w:hint="default"/>
      </w:rPr>
    </w:lvl>
    <w:lvl w:ilvl="1" w:tplc="74BCB754">
      <w:numFmt w:val="decimal"/>
      <w:lvlText w:val=""/>
      <w:lvlJc w:val="left"/>
    </w:lvl>
    <w:lvl w:ilvl="2" w:tplc="ABA0A208">
      <w:numFmt w:val="decimal"/>
      <w:lvlText w:val=""/>
      <w:lvlJc w:val="left"/>
    </w:lvl>
    <w:lvl w:ilvl="3" w:tplc="9254406A">
      <w:numFmt w:val="decimal"/>
      <w:lvlText w:val=""/>
      <w:lvlJc w:val="left"/>
    </w:lvl>
    <w:lvl w:ilvl="4" w:tplc="8E7E020A">
      <w:numFmt w:val="decimal"/>
      <w:lvlText w:val=""/>
      <w:lvlJc w:val="left"/>
    </w:lvl>
    <w:lvl w:ilvl="5" w:tplc="AB8EE8FC">
      <w:numFmt w:val="decimal"/>
      <w:lvlText w:val=""/>
      <w:lvlJc w:val="left"/>
    </w:lvl>
    <w:lvl w:ilvl="6" w:tplc="8A8ECB96">
      <w:numFmt w:val="decimal"/>
      <w:lvlText w:val=""/>
      <w:lvlJc w:val="left"/>
    </w:lvl>
    <w:lvl w:ilvl="7" w:tplc="D07253AE">
      <w:numFmt w:val="decimal"/>
      <w:lvlText w:val=""/>
      <w:lvlJc w:val="left"/>
    </w:lvl>
    <w:lvl w:ilvl="8" w:tplc="B31CAEA8">
      <w:numFmt w:val="decimal"/>
      <w:lvlText w:val=""/>
      <w:lvlJc w:val="left"/>
    </w:lvl>
  </w:abstractNum>
  <w:abstractNum w:abstractNumId="751" w15:restartNumberingAfterBreak="0">
    <w:nsid w:val="53C43AC7"/>
    <w:multiLevelType w:val="hybridMultilevel"/>
    <w:tmpl w:val="257C8F82"/>
    <w:lvl w:ilvl="0" w:tplc="F666351E">
      <w:start w:val="1"/>
      <w:numFmt w:val="bullet"/>
      <w:lvlText w:val=""/>
      <w:lvlJc w:val="left"/>
      <w:pPr>
        <w:ind w:left="720" w:hanging="180"/>
      </w:pPr>
      <w:rPr>
        <w:rFonts w:ascii="Symbol" w:hAnsi="Symbol" w:hint="default"/>
      </w:rPr>
    </w:lvl>
    <w:lvl w:ilvl="1" w:tplc="16DC4A26">
      <w:numFmt w:val="decimal"/>
      <w:lvlText w:val=""/>
      <w:lvlJc w:val="left"/>
    </w:lvl>
    <w:lvl w:ilvl="2" w:tplc="E88001E2">
      <w:numFmt w:val="decimal"/>
      <w:lvlText w:val=""/>
      <w:lvlJc w:val="left"/>
    </w:lvl>
    <w:lvl w:ilvl="3" w:tplc="9378F8BE">
      <w:numFmt w:val="decimal"/>
      <w:lvlText w:val=""/>
      <w:lvlJc w:val="left"/>
    </w:lvl>
    <w:lvl w:ilvl="4" w:tplc="4C5CBA22">
      <w:numFmt w:val="decimal"/>
      <w:lvlText w:val=""/>
      <w:lvlJc w:val="left"/>
    </w:lvl>
    <w:lvl w:ilvl="5" w:tplc="27788816">
      <w:numFmt w:val="decimal"/>
      <w:lvlText w:val=""/>
      <w:lvlJc w:val="left"/>
    </w:lvl>
    <w:lvl w:ilvl="6" w:tplc="3412F494">
      <w:numFmt w:val="decimal"/>
      <w:lvlText w:val=""/>
      <w:lvlJc w:val="left"/>
    </w:lvl>
    <w:lvl w:ilvl="7" w:tplc="85A80078">
      <w:numFmt w:val="decimal"/>
      <w:lvlText w:val=""/>
      <w:lvlJc w:val="left"/>
    </w:lvl>
    <w:lvl w:ilvl="8" w:tplc="6CD0CA5C">
      <w:numFmt w:val="decimal"/>
      <w:lvlText w:val=""/>
      <w:lvlJc w:val="left"/>
    </w:lvl>
  </w:abstractNum>
  <w:abstractNum w:abstractNumId="752" w15:restartNumberingAfterBreak="0">
    <w:nsid w:val="53D42176"/>
    <w:multiLevelType w:val="hybridMultilevel"/>
    <w:tmpl w:val="E990EBFE"/>
    <w:lvl w:ilvl="0" w:tplc="23E8D19C">
      <w:start w:val="1"/>
      <w:numFmt w:val="bullet"/>
      <w:lvlText w:val=""/>
      <w:lvlJc w:val="left"/>
      <w:pPr>
        <w:ind w:left="720" w:hanging="180"/>
      </w:pPr>
      <w:rPr>
        <w:rFonts w:ascii="Symbol" w:hAnsi="Symbol" w:hint="default"/>
      </w:rPr>
    </w:lvl>
    <w:lvl w:ilvl="1" w:tplc="DD602474">
      <w:numFmt w:val="decimal"/>
      <w:lvlText w:val=""/>
      <w:lvlJc w:val="left"/>
    </w:lvl>
    <w:lvl w:ilvl="2" w:tplc="C36A56FE">
      <w:numFmt w:val="decimal"/>
      <w:lvlText w:val=""/>
      <w:lvlJc w:val="left"/>
    </w:lvl>
    <w:lvl w:ilvl="3" w:tplc="E31E8CB2">
      <w:numFmt w:val="decimal"/>
      <w:lvlText w:val=""/>
      <w:lvlJc w:val="left"/>
    </w:lvl>
    <w:lvl w:ilvl="4" w:tplc="21EA6008">
      <w:numFmt w:val="decimal"/>
      <w:lvlText w:val=""/>
      <w:lvlJc w:val="left"/>
    </w:lvl>
    <w:lvl w:ilvl="5" w:tplc="8C5E9C7E">
      <w:numFmt w:val="decimal"/>
      <w:lvlText w:val=""/>
      <w:lvlJc w:val="left"/>
    </w:lvl>
    <w:lvl w:ilvl="6" w:tplc="FAD2D9F2">
      <w:numFmt w:val="decimal"/>
      <w:lvlText w:val=""/>
      <w:lvlJc w:val="left"/>
    </w:lvl>
    <w:lvl w:ilvl="7" w:tplc="CF5EE06C">
      <w:numFmt w:val="decimal"/>
      <w:lvlText w:val=""/>
      <w:lvlJc w:val="left"/>
    </w:lvl>
    <w:lvl w:ilvl="8" w:tplc="3C40E6AE">
      <w:numFmt w:val="decimal"/>
      <w:lvlText w:val=""/>
      <w:lvlJc w:val="left"/>
    </w:lvl>
  </w:abstractNum>
  <w:abstractNum w:abstractNumId="753" w15:restartNumberingAfterBreak="0">
    <w:nsid w:val="54033393"/>
    <w:multiLevelType w:val="hybridMultilevel"/>
    <w:tmpl w:val="9208C18C"/>
    <w:lvl w:ilvl="0" w:tplc="C52A5584">
      <w:start w:val="1"/>
      <w:numFmt w:val="bullet"/>
      <w:lvlText w:val=""/>
      <w:lvlJc w:val="left"/>
      <w:pPr>
        <w:ind w:left="720" w:hanging="180"/>
      </w:pPr>
      <w:rPr>
        <w:rFonts w:ascii="Symbol" w:hAnsi="Symbol" w:hint="default"/>
      </w:rPr>
    </w:lvl>
    <w:lvl w:ilvl="1" w:tplc="FB186D28">
      <w:numFmt w:val="decimal"/>
      <w:lvlText w:val=""/>
      <w:lvlJc w:val="left"/>
    </w:lvl>
    <w:lvl w:ilvl="2" w:tplc="08040570">
      <w:numFmt w:val="decimal"/>
      <w:lvlText w:val=""/>
      <w:lvlJc w:val="left"/>
    </w:lvl>
    <w:lvl w:ilvl="3" w:tplc="F5F8F560">
      <w:numFmt w:val="decimal"/>
      <w:lvlText w:val=""/>
      <w:lvlJc w:val="left"/>
    </w:lvl>
    <w:lvl w:ilvl="4" w:tplc="ED9E5BE0">
      <w:numFmt w:val="decimal"/>
      <w:lvlText w:val=""/>
      <w:lvlJc w:val="left"/>
    </w:lvl>
    <w:lvl w:ilvl="5" w:tplc="2042E0A0">
      <w:numFmt w:val="decimal"/>
      <w:lvlText w:val=""/>
      <w:lvlJc w:val="left"/>
    </w:lvl>
    <w:lvl w:ilvl="6" w:tplc="FF24BF32">
      <w:numFmt w:val="decimal"/>
      <w:lvlText w:val=""/>
      <w:lvlJc w:val="left"/>
    </w:lvl>
    <w:lvl w:ilvl="7" w:tplc="8ABE2B8E">
      <w:numFmt w:val="decimal"/>
      <w:lvlText w:val=""/>
      <w:lvlJc w:val="left"/>
    </w:lvl>
    <w:lvl w:ilvl="8" w:tplc="3ABE0764">
      <w:numFmt w:val="decimal"/>
      <w:lvlText w:val=""/>
      <w:lvlJc w:val="left"/>
    </w:lvl>
  </w:abstractNum>
  <w:abstractNum w:abstractNumId="754" w15:restartNumberingAfterBreak="0">
    <w:nsid w:val="5436715D"/>
    <w:multiLevelType w:val="hybridMultilevel"/>
    <w:tmpl w:val="B3B4B03E"/>
    <w:lvl w:ilvl="0" w:tplc="B7D2A426">
      <w:start w:val="1"/>
      <w:numFmt w:val="bullet"/>
      <w:lvlText w:val=""/>
      <w:lvlJc w:val="left"/>
      <w:pPr>
        <w:ind w:left="720" w:hanging="180"/>
      </w:pPr>
      <w:rPr>
        <w:rFonts w:ascii="Symbol" w:hAnsi="Symbol" w:hint="default"/>
      </w:rPr>
    </w:lvl>
    <w:lvl w:ilvl="1" w:tplc="C728FACC">
      <w:numFmt w:val="decimal"/>
      <w:lvlText w:val=""/>
      <w:lvlJc w:val="left"/>
    </w:lvl>
    <w:lvl w:ilvl="2" w:tplc="2E4A4D0E">
      <w:numFmt w:val="decimal"/>
      <w:lvlText w:val=""/>
      <w:lvlJc w:val="left"/>
    </w:lvl>
    <w:lvl w:ilvl="3" w:tplc="9944524A">
      <w:numFmt w:val="decimal"/>
      <w:lvlText w:val=""/>
      <w:lvlJc w:val="left"/>
    </w:lvl>
    <w:lvl w:ilvl="4" w:tplc="36AA6B2A">
      <w:numFmt w:val="decimal"/>
      <w:lvlText w:val=""/>
      <w:lvlJc w:val="left"/>
    </w:lvl>
    <w:lvl w:ilvl="5" w:tplc="A6C088D4">
      <w:numFmt w:val="decimal"/>
      <w:lvlText w:val=""/>
      <w:lvlJc w:val="left"/>
    </w:lvl>
    <w:lvl w:ilvl="6" w:tplc="91667E80">
      <w:numFmt w:val="decimal"/>
      <w:lvlText w:val=""/>
      <w:lvlJc w:val="left"/>
    </w:lvl>
    <w:lvl w:ilvl="7" w:tplc="91560492">
      <w:numFmt w:val="decimal"/>
      <w:lvlText w:val=""/>
      <w:lvlJc w:val="left"/>
    </w:lvl>
    <w:lvl w:ilvl="8" w:tplc="B176A10E">
      <w:numFmt w:val="decimal"/>
      <w:lvlText w:val=""/>
      <w:lvlJc w:val="left"/>
    </w:lvl>
  </w:abstractNum>
  <w:abstractNum w:abstractNumId="755" w15:restartNumberingAfterBreak="0">
    <w:nsid w:val="5453436C"/>
    <w:multiLevelType w:val="hybridMultilevel"/>
    <w:tmpl w:val="AEFEB192"/>
    <w:lvl w:ilvl="0" w:tplc="A1C0DC8E">
      <w:start w:val="1"/>
      <w:numFmt w:val="bullet"/>
      <w:lvlText w:val=""/>
      <w:lvlJc w:val="left"/>
      <w:pPr>
        <w:ind w:left="720" w:hanging="180"/>
      </w:pPr>
      <w:rPr>
        <w:rFonts w:ascii="Symbol" w:hAnsi="Symbol" w:hint="default"/>
      </w:rPr>
    </w:lvl>
    <w:lvl w:ilvl="1" w:tplc="E9DC559C">
      <w:numFmt w:val="decimal"/>
      <w:lvlText w:val=""/>
      <w:lvlJc w:val="left"/>
    </w:lvl>
    <w:lvl w:ilvl="2" w:tplc="D7625CCE">
      <w:numFmt w:val="decimal"/>
      <w:lvlText w:val=""/>
      <w:lvlJc w:val="left"/>
    </w:lvl>
    <w:lvl w:ilvl="3" w:tplc="D2464286">
      <w:numFmt w:val="decimal"/>
      <w:lvlText w:val=""/>
      <w:lvlJc w:val="left"/>
    </w:lvl>
    <w:lvl w:ilvl="4" w:tplc="7C4A9090">
      <w:numFmt w:val="decimal"/>
      <w:lvlText w:val=""/>
      <w:lvlJc w:val="left"/>
    </w:lvl>
    <w:lvl w:ilvl="5" w:tplc="60AC1080">
      <w:numFmt w:val="decimal"/>
      <w:lvlText w:val=""/>
      <w:lvlJc w:val="left"/>
    </w:lvl>
    <w:lvl w:ilvl="6" w:tplc="39E8CC80">
      <w:numFmt w:val="decimal"/>
      <w:lvlText w:val=""/>
      <w:lvlJc w:val="left"/>
    </w:lvl>
    <w:lvl w:ilvl="7" w:tplc="E1064EFA">
      <w:numFmt w:val="decimal"/>
      <w:lvlText w:val=""/>
      <w:lvlJc w:val="left"/>
    </w:lvl>
    <w:lvl w:ilvl="8" w:tplc="3B00E6E0">
      <w:numFmt w:val="decimal"/>
      <w:lvlText w:val=""/>
      <w:lvlJc w:val="left"/>
    </w:lvl>
  </w:abstractNum>
  <w:abstractNum w:abstractNumId="756" w15:restartNumberingAfterBreak="0">
    <w:nsid w:val="546A404D"/>
    <w:multiLevelType w:val="hybridMultilevel"/>
    <w:tmpl w:val="190C22E2"/>
    <w:lvl w:ilvl="0" w:tplc="B852CE0E">
      <w:start w:val="1"/>
      <w:numFmt w:val="bullet"/>
      <w:lvlText w:val=""/>
      <w:lvlJc w:val="left"/>
      <w:pPr>
        <w:ind w:left="720" w:hanging="180"/>
      </w:pPr>
      <w:rPr>
        <w:rFonts w:ascii="Symbol" w:hAnsi="Symbol" w:hint="default"/>
      </w:rPr>
    </w:lvl>
    <w:lvl w:ilvl="1" w:tplc="76AACF20">
      <w:numFmt w:val="decimal"/>
      <w:lvlText w:val=""/>
      <w:lvlJc w:val="left"/>
    </w:lvl>
    <w:lvl w:ilvl="2" w:tplc="8A381A66">
      <w:numFmt w:val="decimal"/>
      <w:lvlText w:val=""/>
      <w:lvlJc w:val="left"/>
    </w:lvl>
    <w:lvl w:ilvl="3" w:tplc="424857B6">
      <w:numFmt w:val="decimal"/>
      <w:lvlText w:val=""/>
      <w:lvlJc w:val="left"/>
    </w:lvl>
    <w:lvl w:ilvl="4" w:tplc="4918AAE0">
      <w:numFmt w:val="decimal"/>
      <w:lvlText w:val=""/>
      <w:lvlJc w:val="left"/>
    </w:lvl>
    <w:lvl w:ilvl="5" w:tplc="FE7CA7E0">
      <w:numFmt w:val="decimal"/>
      <w:lvlText w:val=""/>
      <w:lvlJc w:val="left"/>
    </w:lvl>
    <w:lvl w:ilvl="6" w:tplc="DB36335C">
      <w:numFmt w:val="decimal"/>
      <w:lvlText w:val=""/>
      <w:lvlJc w:val="left"/>
    </w:lvl>
    <w:lvl w:ilvl="7" w:tplc="D0FA9EC4">
      <w:numFmt w:val="decimal"/>
      <w:lvlText w:val=""/>
      <w:lvlJc w:val="left"/>
    </w:lvl>
    <w:lvl w:ilvl="8" w:tplc="558E78F2">
      <w:numFmt w:val="decimal"/>
      <w:lvlText w:val=""/>
      <w:lvlJc w:val="left"/>
    </w:lvl>
  </w:abstractNum>
  <w:abstractNum w:abstractNumId="757" w15:restartNumberingAfterBreak="0">
    <w:nsid w:val="547F414B"/>
    <w:multiLevelType w:val="hybridMultilevel"/>
    <w:tmpl w:val="16CCEFC4"/>
    <w:lvl w:ilvl="0" w:tplc="D1844558">
      <w:start w:val="1"/>
      <w:numFmt w:val="bullet"/>
      <w:lvlText w:val=""/>
      <w:lvlJc w:val="left"/>
      <w:pPr>
        <w:ind w:left="720" w:hanging="180"/>
      </w:pPr>
      <w:rPr>
        <w:rFonts w:ascii="Symbol" w:hAnsi="Symbol" w:hint="default"/>
      </w:rPr>
    </w:lvl>
    <w:lvl w:ilvl="1" w:tplc="AEF2FEE0">
      <w:numFmt w:val="decimal"/>
      <w:lvlText w:val=""/>
      <w:lvlJc w:val="left"/>
    </w:lvl>
    <w:lvl w:ilvl="2" w:tplc="6556259C">
      <w:numFmt w:val="decimal"/>
      <w:lvlText w:val=""/>
      <w:lvlJc w:val="left"/>
    </w:lvl>
    <w:lvl w:ilvl="3" w:tplc="25CEA18C">
      <w:numFmt w:val="decimal"/>
      <w:lvlText w:val=""/>
      <w:lvlJc w:val="left"/>
    </w:lvl>
    <w:lvl w:ilvl="4" w:tplc="18A60B6C">
      <w:numFmt w:val="decimal"/>
      <w:lvlText w:val=""/>
      <w:lvlJc w:val="left"/>
    </w:lvl>
    <w:lvl w:ilvl="5" w:tplc="AB28A00E">
      <w:numFmt w:val="decimal"/>
      <w:lvlText w:val=""/>
      <w:lvlJc w:val="left"/>
    </w:lvl>
    <w:lvl w:ilvl="6" w:tplc="D85E28CA">
      <w:numFmt w:val="decimal"/>
      <w:lvlText w:val=""/>
      <w:lvlJc w:val="left"/>
    </w:lvl>
    <w:lvl w:ilvl="7" w:tplc="35709872">
      <w:numFmt w:val="decimal"/>
      <w:lvlText w:val=""/>
      <w:lvlJc w:val="left"/>
    </w:lvl>
    <w:lvl w:ilvl="8" w:tplc="B1E08F38">
      <w:numFmt w:val="decimal"/>
      <w:lvlText w:val=""/>
      <w:lvlJc w:val="left"/>
    </w:lvl>
  </w:abstractNum>
  <w:abstractNum w:abstractNumId="758" w15:restartNumberingAfterBreak="0">
    <w:nsid w:val="5493485B"/>
    <w:multiLevelType w:val="hybridMultilevel"/>
    <w:tmpl w:val="124403E4"/>
    <w:lvl w:ilvl="0" w:tplc="842AA3DA">
      <w:start w:val="1"/>
      <w:numFmt w:val="bullet"/>
      <w:lvlText w:val=""/>
      <w:lvlJc w:val="left"/>
      <w:pPr>
        <w:ind w:left="720" w:hanging="180"/>
      </w:pPr>
      <w:rPr>
        <w:rFonts w:ascii="Symbol" w:hAnsi="Symbol" w:hint="default"/>
      </w:rPr>
    </w:lvl>
    <w:lvl w:ilvl="1" w:tplc="4ACCE714">
      <w:numFmt w:val="decimal"/>
      <w:lvlText w:val=""/>
      <w:lvlJc w:val="left"/>
    </w:lvl>
    <w:lvl w:ilvl="2" w:tplc="A94AEF98">
      <w:numFmt w:val="decimal"/>
      <w:lvlText w:val=""/>
      <w:lvlJc w:val="left"/>
    </w:lvl>
    <w:lvl w:ilvl="3" w:tplc="47E216C2">
      <w:numFmt w:val="decimal"/>
      <w:lvlText w:val=""/>
      <w:lvlJc w:val="left"/>
    </w:lvl>
    <w:lvl w:ilvl="4" w:tplc="61EACC9E">
      <w:numFmt w:val="decimal"/>
      <w:lvlText w:val=""/>
      <w:lvlJc w:val="left"/>
    </w:lvl>
    <w:lvl w:ilvl="5" w:tplc="40A42B0C">
      <w:numFmt w:val="decimal"/>
      <w:lvlText w:val=""/>
      <w:lvlJc w:val="left"/>
    </w:lvl>
    <w:lvl w:ilvl="6" w:tplc="BF3E40FA">
      <w:numFmt w:val="decimal"/>
      <w:lvlText w:val=""/>
      <w:lvlJc w:val="left"/>
    </w:lvl>
    <w:lvl w:ilvl="7" w:tplc="1E4EE60C">
      <w:numFmt w:val="decimal"/>
      <w:lvlText w:val=""/>
      <w:lvlJc w:val="left"/>
    </w:lvl>
    <w:lvl w:ilvl="8" w:tplc="FB7ED80C">
      <w:numFmt w:val="decimal"/>
      <w:lvlText w:val=""/>
      <w:lvlJc w:val="left"/>
    </w:lvl>
  </w:abstractNum>
  <w:abstractNum w:abstractNumId="759" w15:restartNumberingAfterBreak="0">
    <w:nsid w:val="54993463"/>
    <w:multiLevelType w:val="hybridMultilevel"/>
    <w:tmpl w:val="EFF4E36C"/>
    <w:lvl w:ilvl="0" w:tplc="6636972C">
      <w:start w:val="1"/>
      <w:numFmt w:val="bullet"/>
      <w:lvlText w:val=""/>
      <w:lvlJc w:val="left"/>
      <w:pPr>
        <w:ind w:left="720" w:hanging="180"/>
      </w:pPr>
      <w:rPr>
        <w:rFonts w:ascii="Symbol" w:hAnsi="Symbol" w:hint="default"/>
      </w:rPr>
    </w:lvl>
    <w:lvl w:ilvl="1" w:tplc="EEEA40E0">
      <w:numFmt w:val="decimal"/>
      <w:lvlText w:val=""/>
      <w:lvlJc w:val="left"/>
    </w:lvl>
    <w:lvl w:ilvl="2" w:tplc="46F6BEAE">
      <w:numFmt w:val="decimal"/>
      <w:lvlText w:val=""/>
      <w:lvlJc w:val="left"/>
    </w:lvl>
    <w:lvl w:ilvl="3" w:tplc="C60E94E6">
      <w:numFmt w:val="decimal"/>
      <w:lvlText w:val=""/>
      <w:lvlJc w:val="left"/>
    </w:lvl>
    <w:lvl w:ilvl="4" w:tplc="AA306084">
      <w:numFmt w:val="decimal"/>
      <w:lvlText w:val=""/>
      <w:lvlJc w:val="left"/>
    </w:lvl>
    <w:lvl w:ilvl="5" w:tplc="43A0A3E8">
      <w:numFmt w:val="decimal"/>
      <w:lvlText w:val=""/>
      <w:lvlJc w:val="left"/>
    </w:lvl>
    <w:lvl w:ilvl="6" w:tplc="954E4982">
      <w:numFmt w:val="decimal"/>
      <w:lvlText w:val=""/>
      <w:lvlJc w:val="left"/>
    </w:lvl>
    <w:lvl w:ilvl="7" w:tplc="54BE5E2E">
      <w:numFmt w:val="decimal"/>
      <w:lvlText w:val=""/>
      <w:lvlJc w:val="left"/>
    </w:lvl>
    <w:lvl w:ilvl="8" w:tplc="81983F9C">
      <w:numFmt w:val="decimal"/>
      <w:lvlText w:val=""/>
      <w:lvlJc w:val="left"/>
    </w:lvl>
  </w:abstractNum>
  <w:abstractNum w:abstractNumId="760" w15:restartNumberingAfterBreak="0">
    <w:nsid w:val="54B43239"/>
    <w:multiLevelType w:val="hybridMultilevel"/>
    <w:tmpl w:val="D8C8F3E4"/>
    <w:lvl w:ilvl="0" w:tplc="0486FA7E">
      <w:start w:val="1"/>
      <w:numFmt w:val="bullet"/>
      <w:lvlText w:val=""/>
      <w:lvlJc w:val="left"/>
      <w:pPr>
        <w:ind w:left="720" w:hanging="180"/>
      </w:pPr>
      <w:rPr>
        <w:rFonts w:ascii="Symbol" w:hAnsi="Symbol" w:hint="default"/>
      </w:rPr>
    </w:lvl>
    <w:lvl w:ilvl="1" w:tplc="4B9039FC">
      <w:numFmt w:val="decimal"/>
      <w:lvlText w:val=""/>
      <w:lvlJc w:val="left"/>
    </w:lvl>
    <w:lvl w:ilvl="2" w:tplc="CC8E1A5A">
      <w:numFmt w:val="decimal"/>
      <w:lvlText w:val=""/>
      <w:lvlJc w:val="left"/>
    </w:lvl>
    <w:lvl w:ilvl="3" w:tplc="49E2B4F2">
      <w:numFmt w:val="decimal"/>
      <w:lvlText w:val=""/>
      <w:lvlJc w:val="left"/>
    </w:lvl>
    <w:lvl w:ilvl="4" w:tplc="42D0AEF8">
      <w:numFmt w:val="decimal"/>
      <w:lvlText w:val=""/>
      <w:lvlJc w:val="left"/>
    </w:lvl>
    <w:lvl w:ilvl="5" w:tplc="FBA0D598">
      <w:numFmt w:val="decimal"/>
      <w:lvlText w:val=""/>
      <w:lvlJc w:val="left"/>
    </w:lvl>
    <w:lvl w:ilvl="6" w:tplc="CFB04FE4">
      <w:numFmt w:val="decimal"/>
      <w:lvlText w:val=""/>
      <w:lvlJc w:val="left"/>
    </w:lvl>
    <w:lvl w:ilvl="7" w:tplc="338024F2">
      <w:numFmt w:val="decimal"/>
      <w:lvlText w:val=""/>
      <w:lvlJc w:val="left"/>
    </w:lvl>
    <w:lvl w:ilvl="8" w:tplc="B0983C48">
      <w:numFmt w:val="decimal"/>
      <w:lvlText w:val=""/>
      <w:lvlJc w:val="left"/>
    </w:lvl>
  </w:abstractNum>
  <w:abstractNum w:abstractNumId="761" w15:restartNumberingAfterBreak="0">
    <w:nsid w:val="54C37958"/>
    <w:multiLevelType w:val="hybridMultilevel"/>
    <w:tmpl w:val="EA4852BA"/>
    <w:lvl w:ilvl="0" w:tplc="2236C3AE">
      <w:start w:val="1"/>
      <w:numFmt w:val="bullet"/>
      <w:lvlText w:val=""/>
      <w:lvlJc w:val="left"/>
      <w:pPr>
        <w:ind w:left="720" w:hanging="180"/>
      </w:pPr>
      <w:rPr>
        <w:rFonts w:ascii="Symbol" w:hAnsi="Symbol" w:hint="default"/>
      </w:rPr>
    </w:lvl>
    <w:lvl w:ilvl="1" w:tplc="7AF6CDE6">
      <w:numFmt w:val="decimal"/>
      <w:lvlText w:val=""/>
      <w:lvlJc w:val="left"/>
    </w:lvl>
    <w:lvl w:ilvl="2" w:tplc="AFF84168">
      <w:numFmt w:val="decimal"/>
      <w:lvlText w:val=""/>
      <w:lvlJc w:val="left"/>
    </w:lvl>
    <w:lvl w:ilvl="3" w:tplc="A32A0420">
      <w:numFmt w:val="decimal"/>
      <w:lvlText w:val=""/>
      <w:lvlJc w:val="left"/>
    </w:lvl>
    <w:lvl w:ilvl="4" w:tplc="ADFC20E0">
      <w:numFmt w:val="decimal"/>
      <w:lvlText w:val=""/>
      <w:lvlJc w:val="left"/>
    </w:lvl>
    <w:lvl w:ilvl="5" w:tplc="8AD44E50">
      <w:numFmt w:val="decimal"/>
      <w:lvlText w:val=""/>
      <w:lvlJc w:val="left"/>
    </w:lvl>
    <w:lvl w:ilvl="6" w:tplc="E93A1AD0">
      <w:numFmt w:val="decimal"/>
      <w:lvlText w:val=""/>
      <w:lvlJc w:val="left"/>
    </w:lvl>
    <w:lvl w:ilvl="7" w:tplc="E248A53E">
      <w:numFmt w:val="decimal"/>
      <w:lvlText w:val=""/>
      <w:lvlJc w:val="left"/>
    </w:lvl>
    <w:lvl w:ilvl="8" w:tplc="DCF2E20C">
      <w:numFmt w:val="decimal"/>
      <w:lvlText w:val=""/>
      <w:lvlJc w:val="left"/>
    </w:lvl>
  </w:abstractNum>
  <w:abstractNum w:abstractNumId="762" w15:restartNumberingAfterBreak="0">
    <w:nsid w:val="54D82914"/>
    <w:multiLevelType w:val="hybridMultilevel"/>
    <w:tmpl w:val="32AA12E8"/>
    <w:lvl w:ilvl="0" w:tplc="93C8C96E">
      <w:start w:val="1"/>
      <w:numFmt w:val="bullet"/>
      <w:lvlText w:val=""/>
      <w:lvlJc w:val="left"/>
      <w:pPr>
        <w:ind w:left="720" w:hanging="180"/>
      </w:pPr>
      <w:rPr>
        <w:rFonts w:ascii="Symbol" w:hAnsi="Symbol" w:hint="default"/>
      </w:rPr>
    </w:lvl>
    <w:lvl w:ilvl="1" w:tplc="18004080">
      <w:numFmt w:val="decimal"/>
      <w:lvlText w:val=""/>
      <w:lvlJc w:val="left"/>
    </w:lvl>
    <w:lvl w:ilvl="2" w:tplc="F9B2DE16">
      <w:numFmt w:val="decimal"/>
      <w:lvlText w:val=""/>
      <w:lvlJc w:val="left"/>
    </w:lvl>
    <w:lvl w:ilvl="3" w:tplc="8BD62368">
      <w:numFmt w:val="decimal"/>
      <w:lvlText w:val=""/>
      <w:lvlJc w:val="left"/>
    </w:lvl>
    <w:lvl w:ilvl="4" w:tplc="BC50DD64">
      <w:numFmt w:val="decimal"/>
      <w:lvlText w:val=""/>
      <w:lvlJc w:val="left"/>
    </w:lvl>
    <w:lvl w:ilvl="5" w:tplc="078E2D9A">
      <w:numFmt w:val="decimal"/>
      <w:lvlText w:val=""/>
      <w:lvlJc w:val="left"/>
    </w:lvl>
    <w:lvl w:ilvl="6" w:tplc="B2CE0652">
      <w:numFmt w:val="decimal"/>
      <w:lvlText w:val=""/>
      <w:lvlJc w:val="left"/>
    </w:lvl>
    <w:lvl w:ilvl="7" w:tplc="C4DCCF7C">
      <w:numFmt w:val="decimal"/>
      <w:lvlText w:val=""/>
      <w:lvlJc w:val="left"/>
    </w:lvl>
    <w:lvl w:ilvl="8" w:tplc="527A65FA">
      <w:numFmt w:val="decimal"/>
      <w:lvlText w:val=""/>
      <w:lvlJc w:val="left"/>
    </w:lvl>
  </w:abstractNum>
  <w:abstractNum w:abstractNumId="763" w15:restartNumberingAfterBreak="0">
    <w:nsid w:val="5505556F"/>
    <w:multiLevelType w:val="hybridMultilevel"/>
    <w:tmpl w:val="86A86284"/>
    <w:lvl w:ilvl="0" w:tplc="F7481D42">
      <w:start w:val="1"/>
      <w:numFmt w:val="bullet"/>
      <w:lvlText w:val=""/>
      <w:lvlJc w:val="left"/>
      <w:pPr>
        <w:ind w:left="720" w:hanging="180"/>
      </w:pPr>
      <w:rPr>
        <w:rFonts w:ascii="Symbol" w:hAnsi="Symbol" w:hint="default"/>
      </w:rPr>
    </w:lvl>
    <w:lvl w:ilvl="1" w:tplc="BFF242EE">
      <w:numFmt w:val="decimal"/>
      <w:lvlText w:val=""/>
      <w:lvlJc w:val="left"/>
    </w:lvl>
    <w:lvl w:ilvl="2" w:tplc="02444612">
      <w:numFmt w:val="decimal"/>
      <w:lvlText w:val=""/>
      <w:lvlJc w:val="left"/>
    </w:lvl>
    <w:lvl w:ilvl="3" w:tplc="916C7F1A">
      <w:numFmt w:val="decimal"/>
      <w:lvlText w:val=""/>
      <w:lvlJc w:val="left"/>
    </w:lvl>
    <w:lvl w:ilvl="4" w:tplc="90CE9642">
      <w:numFmt w:val="decimal"/>
      <w:lvlText w:val=""/>
      <w:lvlJc w:val="left"/>
    </w:lvl>
    <w:lvl w:ilvl="5" w:tplc="EE4686C4">
      <w:numFmt w:val="decimal"/>
      <w:lvlText w:val=""/>
      <w:lvlJc w:val="left"/>
    </w:lvl>
    <w:lvl w:ilvl="6" w:tplc="8ECCC898">
      <w:numFmt w:val="decimal"/>
      <w:lvlText w:val=""/>
      <w:lvlJc w:val="left"/>
    </w:lvl>
    <w:lvl w:ilvl="7" w:tplc="EC6CA85C">
      <w:numFmt w:val="decimal"/>
      <w:lvlText w:val=""/>
      <w:lvlJc w:val="left"/>
    </w:lvl>
    <w:lvl w:ilvl="8" w:tplc="5776BE4C">
      <w:numFmt w:val="decimal"/>
      <w:lvlText w:val=""/>
      <w:lvlJc w:val="left"/>
    </w:lvl>
  </w:abstractNum>
  <w:abstractNum w:abstractNumId="764" w15:restartNumberingAfterBreak="0">
    <w:nsid w:val="551F42DC"/>
    <w:multiLevelType w:val="hybridMultilevel"/>
    <w:tmpl w:val="5A18D30E"/>
    <w:lvl w:ilvl="0" w:tplc="422AA79E">
      <w:start w:val="1"/>
      <w:numFmt w:val="bullet"/>
      <w:lvlText w:val=""/>
      <w:lvlJc w:val="left"/>
      <w:pPr>
        <w:ind w:left="720" w:hanging="180"/>
      </w:pPr>
      <w:rPr>
        <w:rFonts w:ascii="Symbol" w:hAnsi="Symbol" w:hint="default"/>
      </w:rPr>
    </w:lvl>
    <w:lvl w:ilvl="1" w:tplc="FCCA83A2">
      <w:numFmt w:val="decimal"/>
      <w:lvlText w:val=""/>
      <w:lvlJc w:val="left"/>
    </w:lvl>
    <w:lvl w:ilvl="2" w:tplc="52CCB17E">
      <w:numFmt w:val="decimal"/>
      <w:lvlText w:val=""/>
      <w:lvlJc w:val="left"/>
    </w:lvl>
    <w:lvl w:ilvl="3" w:tplc="D8280D3C">
      <w:numFmt w:val="decimal"/>
      <w:lvlText w:val=""/>
      <w:lvlJc w:val="left"/>
    </w:lvl>
    <w:lvl w:ilvl="4" w:tplc="3228AB2C">
      <w:numFmt w:val="decimal"/>
      <w:lvlText w:val=""/>
      <w:lvlJc w:val="left"/>
    </w:lvl>
    <w:lvl w:ilvl="5" w:tplc="3564C2D6">
      <w:numFmt w:val="decimal"/>
      <w:lvlText w:val=""/>
      <w:lvlJc w:val="left"/>
    </w:lvl>
    <w:lvl w:ilvl="6" w:tplc="34249DE2">
      <w:numFmt w:val="decimal"/>
      <w:lvlText w:val=""/>
      <w:lvlJc w:val="left"/>
    </w:lvl>
    <w:lvl w:ilvl="7" w:tplc="7268687A">
      <w:numFmt w:val="decimal"/>
      <w:lvlText w:val=""/>
      <w:lvlJc w:val="left"/>
    </w:lvl>
    <w:lvl w:ilvl="8" w:tplc="94A6351C">
      <w:numFmt w:val="decimal"/>
      <w:lvlText w:val=""/>
      <w:lvlJc w:val="left"/>
    </w:lvl>
  </w:abstractNum>
  <w:abstractNum w:abstractNumId="765" w15:restartNumberingAfterBreak="0">
    <w:nsid w:val="5534740C"/>
    <w:multiLevelType w:val="hybridMultilevel"/>
    <w:tmpl w:val="638A06E4"/>
    <w:lvl w:ilvl="0" w:tplc="C71032BA">
      <w:start w:val="1"/>
      <w:numFmt w:val="bullet"/>
      <w:lvlText w:val=""/>
      <w:lvlJc w:val="left"/>
      <w:pPr>
        <w:ind w:left="720" w:hanging="180"/>
      </w:pPr>
      <w:rPr>
        <w:rFonts w:ascii="Symbol" w:hAnsi="Symbol" w:hint="default"/>
      </w:rPr>
    </w:lvl>
    <w:lvl w:ilvl="1" w:tplc="79AC17E8">
      <w:numFmt w:val="decimal"/>
      <w:lvlText w:val=""/>
      <w:lvlJc w:val="left"/>
    </w:lvl>
    <w:lvl w:ilvl="2" w:tplc="958EF7D6">
      <w:numFmt w:val="decimal"/>
      <w:lvlText w:val=""/>
      <w:lvlJc w:val="left"/>
    </w:lvl>
    <w:lvl w:ilvl="3" w:tplc="95205B76">
      <w:numFmt w:val="decimal"/>
      <w:lvlText w:val=""/>
      <w:lvlJc w:val="left"/>
    </w:lvl>
    <w:lvl w:ilvl="4" w:tplc="4E209D48">
      <w:numFmt w:val="decimal"/>
      <w:lvlText w:val=""/>
      <w:lvlJc w:val="left"/>
    </w:lvl>
    <w:lvl w:ilvl="5" w:tplc="645482A4">
      <w:numFmt w:val="decimal"/>
      <w:lvlText w:val=""/>
      <w:lvlJc w:val="left"/>
    </w:lvl>
    <w:lvl w:ilvl="6" w:tplc="6BA6524A">
      <w:numFmt w:val="decimal"/>
      <w:lvlText w:val=""/>
      <w:lvlJc w:val="left"/>
    </w:lvl>
    <w:lvl w:ilvl="7" w:tplc="4538F56C">
      <w:numFmt w:val="decimal"/>
      <w:lvlText w:val=""/>
      <w:lvlJc w:val="left"/>
    </w:lvl>
    <w:lvl w:ilvl="8" w:tplc="F6D02C12">
      <w:numFmt w:val="decimal"/>
      <w:lvlText w:val=""/>
      <w:lvlJc w:val="left"/>
    </w:lvl>
  </w:abstractNum>
  <w:abstractNum w:abstractNumId="766" w15:restartNumberingAfterBreak="0">
    <w:nsid w:val="555B4D01"/>
    <w:multiLevelType w:val="hybridMultilevel"/>
    <w:tmpl w:val="C28049BC"/>
    <w:lvl w:ilvl="0" w:tplc="45F08446">
      <w:start w:val="1"/>
      <w:numFmt w:val="bullet"/>
      <w:lvlText w:val=""/>
      <w:lvlJc w:val="left"/>
      <w:pPr>
        <w:ind w:left="720" w:hanging="180"/>
      </w:pPr>
      <w:rPr>
        <w:rFonts w:ascii="Symbol" w:hAnsi="Symbol" w:hint="default"/>
      </w:rPr>
    </w:lvl>
    <w:lvl w:ilvl="1" w:tplc="127C7ACC">
      <w:numFmt w:val="decimal"/>
      <w:lvlText w:val=""/>
      <w:lvlJc w:val="left"/>
    </w:lvl>
    <w:lvl w:ilvl="2" w:tplc="7B40E48E">
      <w:numFmt w:val="decimal"/>
      <w:lvlText w:val=""/>
      <w:lvlJc w:val="left"/>
    </w:lvl>
    <w:lvl w:ilvl="3" w:tplc="DC38F372">
      <w:numFmt w:val="decimal"/>
      <w:lvlText w:val=""/>
      <w:lvlJc w:val="left"/>
    </w:lvl>
    <w:lvl w:ilvl="4" w:tplc="13ECAA0C">
      <w:numFmt w:val="decimal"/>
      <w:lvlText w:val=""/>
      <w:lvlJc w:val="left"/>
    </w:lvl>
    <w:lvl w:ilvl="5" w:tplc="F772686A">
      <w:numFmt w:val="decimal"/>
      <w:lvlText w:val=""/>
      <w:lvlJc w:val="left"/>
    </w:lvl>
    <w:lvl w:ilvl="6" w:tplc="3BE8AB82">
      <w:numFmt w:val="decimal"/>
      <w:lvlText w:val=""/>
      <w:lvlJc w:val="left"/>
    </w:lvl>
    <w:lvl w:ilvl="7" w:tplc="3B46364C">
      <w:numFmt w:val="decimal"/>
      <w:lvlText w:val=""/>
      <w:lvlJc w:val="left"/>
    </w:lvl>
    <w:lvl w:ilvl="8" w:tplc="85D482C4">
      <w:numFmt w:val="decimal"/>
      <w:lvlText w:val=""/>
      <w:lvlJc w:val="left"/>
    </w:lvl>
  </w:abstractNum>
  <w:abstractNum w:abstractNumId="767" w15:restartNumberingAfterBreak="0">
    <w:nsid w:val="556A0486"/>
    <w:multiLevelType w:val="hybridMultilevel"/>
    <w:tmpl w:val="742404EE"/>
    <w:lvl w:ilvl="0" w:tplc="9D8EE93C">
      <w:start w:val="1"/>
      <w:numFmt w:val="bullet"/>
      <w:lvlText w:val=""/>
      <w:lvlJc w:val="left"/>
      <w:pPr>
        <w:ind w:left="720" w:hanging="180"/>
      </w:pPr>
      <w:rPr>
        <w:rFonts w:ascii="Symbol" w:hAnsi="Symbol" w:hint="default"/>
      </w:rPr>
    </w:lvl>
    <w:lvl w:ilvl="1" w:tplc="2932E17C">
      <w:numFmt w:val="decimal"/>
      <w:lvlText w:val=""/>
      <w:lvlJc w:val="left"/>
    </w:lvl>
    <w:lvl w:ilvl="2" w:tplc="E4DE95D0">
      <w:numFmt w:val="decimal"/>
      <w:lvlText w:val=""/>
      <w:lvlJc w:val="left"/>
    </w:lvl>
    <w:lvl w:ilvl="3" w:tplc="D17AC676">
      <w:numFmt w:val="decimal"/>
      <w:lvlText w:val=""/>
      <w:lvlJc w:val="left"/>
    </w:lvl>
    <w:lvl w:ilvl="4" w:tplc="30E065A6">
      <w:numFmt w:val="decimal"/>
      <w:lvlText w:val=""/>
      <w:lvlJc w:val="left"/>
    </w:lvl>
    <w:lvl w:ilvl="5" w:tplc="2FC61BFC">
      <w:numFmt w:val="decimal"/>
      <w:lvlText w:val=""/>
      <w:lvlJc w:val="left"/>
    </w:lvl>
    <w:lvl w:ilvl="6" w:tplc="D550EBA2">
      <w:numFmt w:val="decimal"/>
      <w:lvlText w:val=""/>
      <w:lvlJc w:val="left"/>
    </w:lvl>
    <w:lvl w:ilvl="7" w:tplc="53601120">
      <w:numFmt w:val="decimal"/>
      <w:lvlText w:val=""/>
      <w:lvlJc w:val="left"/>
    </w:lvl>
    <w:lvl w:ilvl="8" w:tplc="66367E56">
      <w:numFmt w:val="decimal"/>
      <w:lvlText w:val=""/>
      <w:lvlJc w:val="left"/>
    </w:lvl>
  </w:abstractNum>
  <w:abstractNum w:abstractNumId="768" w15:restartNumberingAfterBreak="0">
    <w:nsid w:val="556B31D3"/>
    <w:multiLevelType w:val="hybridMultilevel"/>
    <w:tmpl w:val="6C52E50C"/>
    <w:lvl w:ilvl="0" w:tplc="85884FF0">
      <w:start w:val="1"/>
      <w:numFmt w:val="bullet"/>
      <w:lvlText w:val=""/>
      <w:lvlJc w:val="left"/>
      <w:pPr>
        <w:ind w:left="720" w:hanging="180"/>
      </w:pPr>
      <w:rPr>
        <w:rFonts w:ascii="Symbol" w:hAnsi="Symbol" w:hint="default"/>
      </w:rPr>
    </w:lvl>
    <w:lvl w:ilvl="1" w:tplc="299A431E">
      <w:numFmt w:val="decimal"/>
      <w:lvlText w:val=""/>
      <w:lvlJc w:val="left"/>
    </w:lvl>
    <w:lvl w:ilvl="2" w:tplc="49163978">
      <w:numFmt w:val="decimal"/>
      <w:lvlText w:val=""/>
      <w:lvlJc w:val="left"/>
    </w:lvl>
    <w:lvl w:ilvl="3" w:tplc="3708A446">
      <w:numFmt w:val="decimal"/>
      <w:lvlText w:val=""/>
      <w:lvlJc w:val="left"/>
    </w:lvl>
    <w:lvl w:ilvl="4" w:tplc="C4BE6A0A">
      <w:numFmt w:val="decimal"/>
      <w:lvlText w:val=""/>
      <w:lvlJc w:val="left"/>
    </w:lvl>
    <w:lvl w:ilvl="5" w:tplc="6B96DB06">
      <w:numFmt w:val="decimal"/>
      <w:lvlText w:val=""/>
      <w:lvlJc w:val="left"/>
    </w:lvl>
    <w:lvl w:ilvl="6" w:tplc="ED428AD4">
      <w:numFmt w:val="decimal"/>
      <w:lvlText w:val=""/>
      <w:lvlJc w:val="left"/>
    </w:lvl>
    <w:lvl w:ilvl="7" w:tplc="556C9086">
      <w:numFmt w:val="decimal"/>
      <w:lvlText w:val=""/>
      <w:lvlJc w:val="left"/>
    </w:lvl>
    <w:lvl w:ilvl="8" w:tplc="F6803F1C">
      <w:numFmt w:val="decimal"/>
      <w:lvlText w:val=""/>
      <w:lvlJc w:val="left"/>
    </w:lvl>
  </w:abstractNum>
  <w:abstractNum w:abstractNumId="769" w15:restartNumberingAfterBreak="0">
    <w:nsid w:val="55737114"/>
    <w:multiLevelType w:val="hybridMultilevel"/>
    <w:tmpl w:val="BA4215E6"/>
    <w:lvl w:ilvl="0" w:tplc="6EF66BA0">
      <w:start w:val="1"/>
      <w:numFmt w:val="bullet"/>
      <w:lvlText w:val=""/>
      <w:lvlJc w:val="left"/>
      <w:pPr>
        <w:ind w:left="720" w:hanging="180"/>
      </w:pPr>
      <w:rPr>
        <w:rFonts w:ascii="Symbol" w:hAnsi="Symbol" w:hint="default"/>
      </w:rPr>
    </w:lvl>
    <w:lvl w:ilvl="1" w:tplc="5EF0AC9E">
      <w:numFmt w:val="decimal"/>
      <w:lvlText w:val=""/>
      <w:lvlJc w:val="left"/>
    </w:lvl>
    <w:lvl w:ilvl="2" w:tplc="DDEE888E">
      <w:numFmt w:val="decimal"/>
      <w:lvlText w:val=""/>
      <w:lvlJc w:val="left"/>
    </w:lvl>
    <w:lvl w:ilvl="3" w:tplc="247E7E34">
      <w:numFmt w:val="decimal"/>
      <w:lvlText w:val=""/>
      <w:lvlJc w:val="left"/>
    </w:lvl>
    <w:lvl w:ilvl="4" w:tplc="25B26C38">
      <w:numFmt w:val="decimal"/>
      <w:lvlText w:val=""/>
      <w:lvlJc w:val="left"/>
    </w:lvl>
    <w:lvl w:ilvl="5" w:tplc="26CE0E44">
      <w:numFmt w:val="decimal"/>
      <w:lvlText w:val=""/>
      <w:lvlJc w:val="left"/>
    </w:lvl>
    <w:lvl w:ilvl="6" w:tplc="93D82990">
      <w:numFmt w:val="decimal"/>
      <w:lvlText w:val=""/>
      <w:lvlJc w:val="left"/>
    </w:lvl>
    <w:lvl w:ilvl="7" w:tplc="DED2B348">
      <w:numFmt w:val="decimal"/>
      <w:lvlText w:val=""/>
      <w:lvlJc w:val="left"/>
    </w:lvl>
    <w:lvl w:ilvl="8" w:tplc="4B6E1896">
      <w:numFmt w:val="decimal"/>
      <w:lvlText w:val=""/>
      <w:lvlJc w:val="left"/>
    </w:lvl>
  </w:abstractNum>
  <w:abstractNum w:abstractNumId="770" w15:restartNumberingAfterBreak="0">
    <w:nsid w:val="557D704B"/>
    <w:multiLevelType w:val="hybridMultilevel"/>
    <w:tmpl w:val="98242454"/>
    <w:lvl w:ilvl="0" w:tplc="FEDA9BD8">
      <w:start w:val="1"/>
      <w:numFmt w:val="bullet"/>
      <w:lvlText w:val=""/>
      <w:lvlJc w:val="left"/>
      <w:pPr>
        <w:ind w:left="720" w:hanging="180"/>
      </w:pPr>
      <w:rPr>
        <w:rFonts w:ascii="Symbol" w:hAnsi="Symbol" w:hint="default"/>
      </w:rPr>
    </w:lvl>
    <w:lvl w:ilvl="1" w:tplc="57BAF206">
      <w:numFmt w:val="decimal"/>
      <w:lvlText w:val=""/>
      <w:lvlJc w:val="left"/>
    </w:lvl>
    <w:lvl w:ilvl="2" w:tplc="8FEE1BB8">
      <w:numFmt w:val="decimal"/>
      <w:lvlText w:val=""/>
      <w:lvlJc w:val="left"/>
    </w:lvl>
    <w:lvl w:ilvl="3" w:tplc="A5A2BB98">
      <w:numFmt w:val="decimal"/>
      <w:lvlText w:val=""/>
      <w:lvlJc w:val="left"/>
    </w:lvl>
    <w:lvl w:ilvl="4" w:tplc="6308999C">
      <w:numFmt w:val="decimal"/>
      <w:lvlText w:val=""/>
      <w:lvlJc w:val="left"/>
    </w:lvl>
    <w:lvl w:ilvl="5" w:tplc="874E546C">
      <w:numFmt w:val="decimal"/>
      <w:lvlText w:val=""/>
      <w:lvlJc w:val="left"/>
    </w:lvl>
    <w:lvl w:ilvl="6" w:tplc="22E0316A">
      <w:numFmt w:val="decimal"/>
      <w:lvlText w:val=""/>
      <w:lvlJc w:val="left"/>
    </w:lvl>
    <w:lvl w:ilvl="7" w:tplc="3FA870D8">
      <w:numFmt w:val="decimal"/>
      <w:lvlText w:val=""/>
      <w:lvlJc w:val="left"/>
    </w:lvl>
    <w:lvl w:ilvl="8" w:tplc="677A147A">
      <w:numFmt w:val="decimal"/>
      <w:lvlText w:val=""/>
      <w:lvlJc w:val="left"/>
    </w:lvl>
  </w:abstractNum>
  <w:abstractNum w:abstractNumId="771" w15:restartNumberingAfterBreak="0">
    <w:nsid w:val="55821610"/>
    <w:multiLevelType w:val="hybridMultilevel"/>
    <w:tmpl w:val="5316EC1A"/>
    <w:lvl w:ilvl="0" w:tplc="37DEC8EC">
      <w:start w:val="1"/>
      <w:numFmt w:val="bullet"/>
      <w:lvlText w:val=""/>
      <w:lvlJc w:val="left"/>
      <w:pPr>
        <w:ind w:left="720" w:hanging="180"/>
      </w:pPr>
      <w:rPr>
        <w:rFonts w:ascii="Symbol" w:hAnsi="Symbol" w:hint="default"/>
      </w:rPr>
    </w:lvl>
    <w:lvl w:ilvl="1" w:tplc="8E025798">
      <w:numFmt w:val="decimal"/>
      <w:lvlText w:val=""/>
      <w:lvlJc w:val="left"/>
    </w:lvl>
    <w:lvl w:ilvl="2" w:tplc="D63C5770">
      <w:numFmt w:val="decimal"/>
      <w:lvlText w:val=""/>
      <w:lvlJc w:val="left"/>
    </w:lvl>
    <w:lvl w:ilvl="3" w:tplc="F522B2F6">
      <w:numFmt w:val="decimal"/>
      <w:lvlText w:val=""/>
      <w:lvlJc w:val="left"/>
    </w:lvl>
    <w:lvl w:ilvl="4" w:tplc="0D08443E">
      <w:numFmt w:val="decimal"/>
      <w:lvlText w:val=""/>
      <w:lvlJc w:val="left"/>
    </w:lvl>
    <w:lvl w:ilvl="5" w:tplc="727C8488">
      <w:numFmt w:val="decimal"/>
      <w:lvlText w:val=""/>
      <w:lvlJc w:val="left"/>
    </w:lvl>
    <w:lvl w:ilvl="6" w:tplc="BD12075C">
      <w:numFmt w:val="decimal"/>
      <w:lvlText w:val=""/>
      <w:lvlJc w:val="left"/>
    </w:lvl>
    <w:lvl w:ilvl="7" w:tplc="9DBA9262">
      <w:numFmt w:val="decimal"/>
      <w:lvlText w:val=""/>
      <w:lvlJc w:val="left"/>
    </w:lvl>
    <w:lvl w:ilvl="8" w:tplc="509E4732">
      <w:numFmt w:val="decimal"/>
      <w:lvlText w:val=""/>
      <w:lvlJc w:val="left"/>
    </w:lvl>
  </w:abstractNum>
  <w:abstractNum w:abstractNumId="772" w15:restartNumberingAfterBreak="0">
    <w:nsid w:val="559C0CF9"/>
    <w:multiLevelType w:val="hybridMultilevel"/>
    <w:tmpl w:val="DFC4F29A"/>
    <w:lvl w:ilvl="0" w:tplc="B5FE6824">
      <w:start w:val="1"/>
      <w:numFmt w:val="bullet"/>
      <w:lvlText w:val=""/>
      <w:lvlJc w:val="left"/>
      <w:pPr>
        <w:ind w:left="720" w:hanging="180"/>
      </w:pPr>
      <w:rPr>
        <w:rFonts w:ascii="Symbol" w:hAnsi="Symbol" w:hint="default"/>
      </w:rPr>
    </w:lvl>
    <w:lvl w:ilvl="1" w:tplc="862EFA7A">
      <w:numFmt w:val="decimal"/>
      <w:lvlText w:val=""/>
      <w:lvlJc w:val="left"/>
    </w:lvl>
    <w:lvl w:ilvl="2" w:tplc="CFE2AE40">
      <w:numFmt w:val="decimal"/>
      <w:lvlText w:val=""/>
      <w:lvlJc w:val="left"/>
    </w:lvl>
    <w:lvl w:ilvl="3" w:tplc="54603C94">
      <w:numFmt w:val="decimal"/>
      <w:lvlText w:val=""/>
      <w:lvlJc w:val="left"/>
    </w:lvl>
    <w:lvl w:ilvl="4" w:tplc="67D4AF36">
      <w:numFmt w:val="decimal"/>
      <w:lvlText w:val=""/>
      <w:lvlJc w:val="left"/>
    </w:lvl>
    <w:lvl w:ilvl="5" w:tplc="56CAE342">
      <w:numFmt w:val="decimal"/>
      <w:lvlText w:val=""/>
      <w:lvlJc w:val="left"/>
    </w:lvl>
    <w:lvl w:ilvl="6" w:tplc="F72CE2C6">
      <w:numFmt w:val="decimal"/>
      <w:lvlText w:val=""/>
      <w:lvlJc w:val="left"/>
    </w:lvl>
    <w:lvl w:ilvl="7" w:tplc="7BA4B74C">
      <w:numFmt w:val="decimal"/>
      <w:lvlText w:val=""/>
      <w:lvlJc w:val="left"/>
    </w:lvl>
    <w:lvl w:ilvl="8" w:tplc="51DA9230">
      <w:numFmt w:val="decimal"/>
      <w:lvlText w:val=""/>
      <w:lvlJc w:val="left"/>
    </w:lvl>
  </w:abstractNum>
  <w:abstractNum w:abstractNumId="773" w15:restartNumberingAfterBreak="0">
    <w:nsid w:val="55AC763D"/>
    <w:multiLevelType w:val="hybridMultilevel"/>
    <w:tmpl w:val="A43E5E24"/>
    <w:lvl w:ilvl="0" w:tplc="0C36E7C6">
      <w:start w:val="1"/>
      <w:numFmt w:val="bullet"/>
      <w:lvlText w:val=""/>
      <w:lvlJc w:val="left"/>
      <w:pPr>
        <w:ind w:left="720" w:hanging="180"/>
      </w:pPr>
      <w:rPr>
        <w:rFonts w:ascii="Symbol" w:hAnsi="Symbol" w:hint="default"/>
      </w:rPr>
    </w:lvl>
    <w:lvl w:ilvl="1" w:tplc="5D7849EE">
      <w:numFmt w:val="decimal"/>
      <w:lvlText w:val=""/>
      <w:lvlJc w:val="left"/>
    </w:lvl>
    <w:lvl w:ilvl="2" w:tplc="8C3AF8C2">
      <w:numFmt w:val="decimal"/>
      <w:lvlText w:val=""/>
      <w:lvlJc w:val="left"/>
    </w:lvl>
    <w:lvl w:ilvl="3" w:tplc="B38C7C94">
      <w:numFmt w:val="decimal"/>
      <w:lvlText w:val=""/>
      <w:lvlJc w:val="left"/>
    </w:lvl>
    <w:lvl w:ilvl="4" w:tplc="D944A172">
      <w:numFmt w:val="decimal"/>
      <w:lvlText w:val=""/>
      <w:lvlJc w:val="left"/>
    </w:lvl>
    <w:lvl w:ilvl="5" w:tplc="18F4C04C">
      <w:numFmt w:val="decimal"/>
      <w:lvlText w:val=""/>
      <w:lvlJc w:val="left"/>
    </w:lvl>
    <w:lvl w:ilvl="6" w:tplc="A984CBD4">
      <w:numFmt w:val="decimal"/>
      <w:lvlText w:val=""/>
      <w:lvlJc w:val="left"/>
    </w:lvl>
    <w:lvl w:ilvl="7" w:tplc="3D96FCAA">
      <w:numFmt w:val="decimal"/>
      <w:lvlText w:val=""/>
      <w:lvlJc w:val="left"/>
    </w:lvl>
    <w:lvl w:ilvl="8" w:tplc="8A788B6C">
      <w:numFmt w:val="decimal"/>
      <w:lvlText w:val=""/>
      <w:lvlJc w:val="left"/>
    </w:lvl>
  </w:abstractNum>
  <w:abstractNum w:abstractNumId="774" w15:restartNumberingAfterBreak="0">
    <w:nsid w:val="55DA5314"/>
    <w:multiLevelType w:val="hybridMultilevel"/>
    <w:tmpl w:val="FA981DA2"/>
    <w:lvl w:ilvl="0" w:tplc="1E5AE0B0">
      <w:start w:val="1"/>
      <w:numFmt w:val="bullet"/>
      <w:lvlText w:val=""/>
      <w:lvlJc w:val="left"/>
      <w:pPr>
        <w:ind w:left="720" w:hanging="180"/>
      </w:pPr>
      <w:rPr>
        <w:rFonts w:ascii="Symbol" w:hAnsi="Symbol" w:hint="default"/>
      </w:rPr>
    </w:lvl>
    <w:lvl w:ilvl="1" w:tplc="66369D5A">
      <w:numFmt w:val="decimal"/>
      <w:lvlText w:val=""/>
      <w:lvlJc w:val="left"/>
    </w:lvl>
    <w:lvl w:ilvl="2" w:tplc="F8DA51BA">
      <w:numFmt w:val="decimal"/>
      <w:lvlText w:val=""/>
      <w:lvlJc w:val="left"/>
    </w:lvl>
    <w:lvl w:ilvl="3" w:tplc="B054F99A">
      <w:numFmt w:val="decimal"/>
      <w:lvlText w:val=""/>
      <w:lvlJc w:val="left"/>
    </w:lvl>
    <w:lvl w:ilvl="4" w:tplc="472A63DC">
      <w:numFmt w:val="decimal"/>
      <w:lvlText w:val=""/>
      <w:lvlJc w:val="left"/>
    </w:lvl>
    <w:lvl w:ilvl="5" w:tplc="76F615F6">
      <w:numFmt w:val="decimal"/>
      <w:lvlText w:val=""/>
      <w:lvlJc w:val="left"/>
    </w:lvl>
    <w:lvl w:ilvl="6" w:tplc="E87A3EC4">
      <w:numFmt w:val="decimal"/>
      <w:lvlText w:val=""/>
      <w:lvlJc w:val="left"/>
    </w:lvl>
    <w:lvl w:ilvl="7" w:tplc="5AF60E4C">
      <w:numFmt w:val="decimal"/>
      <w:lvlText w:val=""/>
      <w:lvlJc w:val="left"/>
    </w:lvl>
    <w:lvl w:ilvl="8" w:tplc="B4ACA576">
      <w:numFmt w:val="decimal"/>
      <w:lvlText w:val=""/>
      <w:lvlJc w:val="left"/>
    </w:lvl>
  </w:abstractNum>
  <w:abstractNum w:abstractNumId="775" w15:restartNumberingAfterBreak="0">
    <w:nsid w:val="55E0293C"/>
    <w:multiLevelType w:val="hybridMultilevel"/>
    <w:tmpl w:val="1F36D040"/>
    <w:lvl w:ilvl="0" w:tplc="C1C2E6DA">
      <w:start w:val="1"/>
      <w:numFmt w:val="bullet"/>
      <w:lvlText w:val=""/>
      <w:lvlJc w:val="left"/>
      <w:pPr>
        <w:ind w:left="720" w:hanging="180"/>
      </w:pPr>
      <w:rPr>
        <w:rFonts w:ascii="Symbol" w:hAnsi="Symbol" w:hint="default"/>
      </w:rPr>
    </w:lvl>
    <w:lvl w:ilvl="1" w:tplc="DF869442">
      <w:numFmt w:val="decimal"/>
      <w:lvlText w:val=""/>
      <w:lvlJc w:val="left"/>
    </w:lvl>
    <w:lvl w:ilvl="2" w:tplc="32D80B7A">
      <w:numFmt w:val="decimal"/>
      <w:lvlText w:val=""/>
      <w:lvlJc w:val="left"/>
    </w:lvl>
    <w:lvl w:ilvl="3" w:tplc="BD5E49BE">
      <w:numFmt w:val="decimal"/>
      <w:lvlText w:val=""/>
      <w:lvlJc w:val="left"/>
    </w:lvl>
    <w:lvl w:ilvl="4" w:tplc="8F72A1CC">
      <w:numFmt w:val="decimal"/>
      <w:lvlText w:val=""/>
      <w:lvlJc w:val="left"/>
    </w:lvl>
    <w:lvl w:ilvl="5" w:tplc="7C761AE4">
      <w:numFmt w:val="decimal"/>
      <w:lvlText w:val=""/>
      <w:lvlJc w:val="left"/>
    </w:lvl>
    <w:lvl w:ilvl="6" w:tplc="072A3C12">
      <w:numFmt w:val="decimal"/>
      <w:lvlText w:val=""/>
      <w:lvlJc w:val="left"/>
    </w:lvl>
    <w:lvl w:ilvl="7" w:tplc="DDAA7852">
      <w:numFmt w:val="decimal"/>
      <w:lvlText w:val=""/>
      <w:lvlJc w:val="left"/>
    </w:lvl>
    <w:lvl w:ilvl="8" w:tplc="7B2A87E4">
      <w:numFmt w:val="decimal"/>
      <w:lvlText w:val=""/>
      <w:lvlJc w:val="left"/>
    </w:lvl>
  </w:abstractNum>
  <w:abstractNum w:abstractNumId="776" w15:restartNumberingAfterBreak="0">
    <w:nsid w:val="55E6146D"/>
    <w:multiLevelType w:val="hybridMultilevel"/>
    <w:tmpl w:val="AE8E2628"/>
    <w:lvl w:ilvl="0" w:tplc="4C9C65D0">
      <w:start w:val="1"/>
      <w:numFmt w:val="bullet"/>
      <w:lvlText w:val=""/>
      <w:lvlJc w:val="left"/>
      <w:pPr>
        <w:ind w:left="720" w:hanging="180"/>
      </w:pPr>
      <w:rPr>
        <w:rFonts w:ascii="Symbol" w:hAnsi="Symbol" w:hint="default"/>
      </w:rPr>
    </w:lvl>
    <w:lvl w:ilvl="1" w:tplc="43C405B0">
      <w:numFmt w:val="decimal"/>
      <w:lvlText w:val=""/>
      <w:lvlJc w:val="left"/>
    </w:lvl>
    <w:lvl w:ilvl="2" w:tplc="902C8BB0">
      <w:numFmt w:val="decimal"/>
      <w:lvlText w:val=""/>
      <w:lvlJc w:val="left"/>
    </w:lvl>
    <w:lvl w:ilvl="3" w:tplc="5A9EB420">
      <w:numFmt w:val="decimal"/>
      <w:lvlText w:val=""/>
      <w:lvlJc w:val="left"/>
    </w:lvl>
    <w:lvl w:ilvl="4" w:tplc="9C2A5C46">
      <w:numFmt w:val="decimal"/>
      <w:lvlText w:val=""/>
      <w:lvlJc w:val="left"/>
    </w:lvl>
    <w:lvl w:ilvl="5" w:tplc="71C63E80">
      <w:numFmt w:val="decimal"/>
      <w:lvlText w:val=""/>
      <w:lvlJc w:val="left"/>
    </w:lvl>
    <w:lvl w:ilvl="6" w:tplc="FF7E4FF8">
      <w:numFmt w:val="decimal"/>
      <w:lvlText w:val=""/>
      <w:lvlJc w:val="left"/>
    </w:lvl>
    <w:lvl w:ilvl="7" w:tplc="48B24F04">
      <w:numFmt w:val="decimal"/>
      <w:lvlText w:val=""/>
      <w:lvlJc w:val="left"/>
    </w:lvl>
    <w:lvl w:ilvl="8" w:tplc="CC50D7FA">
      <w:numFmt w:val="decimal"/>
      <w:lvlText w:val=""/>
      <w:lvlJc w:val="left"/>
    </w:lvl>
  </w:abstractNum>
  <w:abstractNum w:abstractNumId="777" w15:restartNumberingAfterBreak="0">
    <w:nsid w:val="55F568D9"/>
    <w:multiLevelType w:val="hybridMultilevel"/>
    <w:tmpl w:val="54326E22"/>
    <w:lvl w:ilvl="0" w:tplc="B21C57F4">
      <w:start w:val="1"/>
      <w:numFmt w:val="bullet"/>
      <w:lvlText w:val=""/>
      <w:lvlJc w:val="left"/>
      <w:pPr>
        <w:ind w:left="720" w:hanging="180"/>
      </w:pPr>
      <w:rPr>
        <w:rFonts w:ascii="Symbol" w:hAnsi="Symbol" w:hint="default"/>
      </w:rPr>
    </w:lvl>
    <w:lvl w:ilvl="1" w:tplc="B622AAC2">
      <w:numFmt w:val="decimal"/>
      <w:lvlText w:val=""/>
      <w:lvlJc w:val="left"/>
    </w:lvl>
    <w:lvl w:ilvl="2" w:tplc="4E744FEC">
      <w:numFmt w:val="decimal"/>
      <w:lvlText w:val=""/>
      <w:lvlJc w:val="left"/>
    </w:lvl>
    <w:lvl w:ilvl="3" w:tplc="74569AEC">
      <w:numFmt w:val="decimal"/>
      <w:lvlText w:val=""/>
      <w:lvlJc w:val="left"/>
    </w:lvl>
    <w:lvl w:ilvl="4" w:tplc="BA76C064">
      <w:numFmt w:val="decimal"/>
      <w:lvlText w:val=""/>
      <w:lvlJc w:val="left"/>
    </w:lvl>
    <w:lvl w:ilvl="5" w:tplc="2E6663F0">
      <w:numFmt w:val="decimal"/>
      <w:lvlText w:val=""/>
      <w:lvlJc w:val="left"/>
    </w:lvl>
    <w:lvl w:ilvl="6" w:tplc="59A22A64">
      <w:numFmt w:val="decimal"/>
      <w:lvlText w:val=""/>
      <w:lvlJc w:val="left"/>
    </w:lvl>
    <w:lvl w:ilvl="7" w:tplc="CCD46C10">
      <w:numFmt w:val="decimal"/>
      <w:lvlText w:val=""/>
      <w:lvlJc w:val="left"/>
    </w:lvl>
    <w:lvl w:ilvl="8" w:tplc="F9A85364">
      <w:numFmt w:val="decimal"/>
      <w:lvlText w:val=""/>
      <w:lvlJc w:val="left"/>
    </w:lvl>
  </w:abstractNum>
  <w:abstractNum w:abstractNumId="778" w15:restartNumberingAfterBreak="0">
    <w:nsid w:val="55FE4A83"/>
    <w:multiLevelType w:val="hybridMultilevel"/>
    <w:tmpl w:val="7D525844"/>
    <w:lvl w:ilvl="0" w:tplc="7B7A7E3E">
      <w:start w:val="1"/>
      <w:numFmt w:val="bullet"/>
      <w:lvlText w:val=""/>
      <w:lvlJc w:val="left"/>
      <w:pPr>
        <w:ind w:left="720" w:hanging="180"/>
      </w:pPr>
      <w:rPr>
        <w:rFonts w:ascii="Symbol" w:hAnsi="Symbol" w:hint="default"/>
      </w:rPr>
    </w:lvl>
    <w:lvl w:ilvl="1" w:tplc="B16638A8">
      <w:numFmt w:val="decimal"/>
      <w:lvlText w:val=""/>
      <w:lvlJc w:val="left"/>
    </w:lvl>
    <w:lvl w:ilvl="2" w:tplc="F43644A2">
      <w:numFmt w:val="decimal"/>
      <w:lvlText w:val=""/>
      <w:lvlJc w:val="left"/>
    </w:lvl>
    <w:lvl w:ilvl="3" w:tplc="8752C8D0">
      <w:numFmt w:val="decimal"/>
      <w:lvlText w:val=""/>
      <w:lvlJc w:val="left"/>
    </w:lvl>
    <w:lvl w:ilvl="4" w:tplc="7096950A">
      <w:numFmt w:val="decimal"/>
      <w:lvlText w:val=""/>
      <w:lvlJc w:val="left"/>
    </w:lvl>
    <w:lvl w:ilvl="5" w:tplc="1D5E1208">
      <w:numFmt w:val="decimal"/>
      <w:lvlText w:val=""/>
      <w:lvlJc w:val="left"/>
    </w:lvl>
    <w:lvl w:ilvl="6" w:tplc="41665438">
      <w:numFmt w:val="decimal"/>
      <w:lvlText w:val=""/>
      <w:lvlJc w:val="left"/>
    </w:lvl>
    <w:lvl w:ilvl="7" w:tplc="6872666C">
      <w:numFmt w:val="decimal"/>
      <w:lvlText w:val=""/>
      <w:lvlJc w:val="left"/>
    </w:lvl>
    <w:lvl w:ilvl="8" w:tplc="C944BBC6">
      <w:numFmt w:val="decimal"/>
      <w:lvlText w:val=""/>
      <w:lvlJc w:val="left"/>
    </w:lvl>
  </w:abstractNum>
  <w:abstractNum w:abstractNumId="779" w15:restartNumberingAfterBreak="0">
    <w:nsid w:val="561E76B3"/>
    <w:multiLevelType w:val="hybridMultilevel"/>
    <w:tmpl w:val="0EA67262"/>
    <w:lvl w:ilvl="0" w:tplc="758CD9F6">
      <w:numFmt w:val="decimal"/>
      <w:lvlText w:val=""/>
      <w:lvlJc w:val="left"/>
    </w:lvl>
    <w:lvl w:ilvl="1" w:tplc="3E2214E0">
      <w:start w:val="1"/>
      <w:numFmt w:val="bullet"/>
      <w:lvlText w:val=""/>
      <w:lvlJc w:val="left"/>
      <w:pPr>
        <w:ind w:left="1440" w:hanging="180"/>
      </w:pPr>
      <w:rPr>
        <w:rFonts w:ascii="Symbol" w:hAnsi="Symbol" w:hint="default"/>
      </w:rPr>
    </w:lvl>
    <w:lvl w:ilvl="2" w:tplc="31D4239E">
      <w:numFmt w:val="decimal"/>
      <w:lvlText w:val=""/>
      <w:lvlJc w:val="left"/>
    </w:lvl>
    <w:lvl w:ilvl="3" w:tplc="AF18B1C8">
      <w:numFmt w:val="decimal"/>
      <w:lvlText w:val=""/>
      <w:lvlJc w:val="left"/>
    </w:lvl>
    <w:lvl w:ilvl="4" w:tplc="EC2CD87A">
      <w:numFmt w:val="decimal"/>
      <w:lvlText w:val=""/>
      <w:lvlJc w:val="left"/>
    </w:lvl>
    <w:lvl w:ilvl="5" w:tplc="734A80B2">
      <w:numFmt w:val="decimal"/>
      <w:lvlText w:val=""/>
      <w:lvlJc w:val="left"/>
    </w:lvl>
    <w:lvl w:ilvl="6" w:tplc="C922B9E0">
      <w:numFmt w:val="decimal"/>
      <w:lvlText w:val=""/>
      <w:lvlJc w:val="left"/>
    </w:lvl>
    <w:lvl w:ilvl="7" w:tplc="6D0617AA">
      <w:numFmt w:val="decimal"/>
      <w:lvlText w:val=""/>
      <w:lvlJc w:val="left"/>
    </w:lvl>
    <w:lvl w:ilvl="8" w:tplc="24A6433C">
      <w:numFmt w:val="decimal"/>
      <w:lvlText w:val=""/>
      <w:lvlJc w:val="left"/>
    </w:lvl>
  </w:abstractNum>
  <w:abstractNum w:abstractNumId="780" w15:restartNumberingAfterBreak="0">
    <w:nsid w:val="562168D0"/>
    <w:multiLevelType w:val="hybridMultilevel"/>
    <w:tmpl w:val="6678908A"/>
    <w:lvl w:ilvl="0" w:tplc="9AE258FE">
      <w:start w:val="1"/>
      <w:numFmt w:val="bullet"/>
      <w:lvlText w:val=""/>
      <w:lvlJc w:val="left"/>
      <w:pPr>
        <w:ind w:left="720" w:hanging="180"/>
      </w:pPr>
      <w:rPr>
        <w:rFonts w:ascii="Symbol" w:hAnsi="Symbol" w:hint="default"/>
      </w:rPr>
    </w:lvl>
    <w:lvl w:ilvl="1" w:tplc="5CE89A70">
      <w:numFmt w:val="decimal"/>
      <w:lvlText w:val=""/>
      <w:lvlJc w:val="left"/>
    </w:lvl>
    <w:lvl w:ilvl="2" w:tplc="64069D72">
      <w:numFmt w:val="decimal"/>
      <w:lvlText w:val=""/>
      <w:lvlJc w:val="left"/>
    </w:lvl>
    <w:lvl w:ilvl="3" w:tplc="ADF4FF66">
      <w:numFmt w:val="decimal"/>
      <w:lvlText w:val=""/>
      <w:lvlJc w:val="left"/>
    </w:lvl>
    <w:lvl w:ilvl="4" w:tplc="7024A328">
      <w:numFmt w:val="decimal"/>
      <w:lvlText w:val=""/>
      <w:lvlJc w:val="left"/>
    </w:lvl>
    <w:lvl w:ilvl="5" w:tplc="CB6EBFA8">
      <w:numFmt w:val="decimal"/>
      <w:lvlText w:val=""/>
      <w:lvlJc w:val="left"/>
    </w:lvl>
    <w:lvl w:ilvl="6" w:tplc="2B083484">
      <w:numFmt w:val="decimal"/>
      <w:lvlText w:val=""/>
      <w:lvlJc w:val="left"/>
    </w:lvl>
    <w:lvl w:ilvl="7" w:tplc="1C22B8AA">
      <w:numFmt w:val="decimal"/>
      <w:lvlText w:val=""/>
      <w:lvlJc w:val="left"/>
    </w:lvl>
    <w:lvl w:ilvl="8" w:tplc="EAC073CC">
      <w:numFmt w:val="decimal"/>
      <w:lvlText w:val=""/>
      <w:lvlJc w:val="left"/>
    </w:lvl>
  </w:abstractNum>
  <w:abstractNum w:abstractNumId="781" w15:restartNumberingAfterBreak="0">
    <w:nsid w:val="566059DF"/>
    <w:multiLevelType w:val="hybridMultilevel"/>
    <w:tmpl w:val="31888974"/>
    <w:lvl w:ilvl="0" w:tplc="BA0AA15E">
      <w:start w:val="1"/>
      <w:numFmt w:val="bullet"/>
      <w:lvlText w:val=""/>
      <w:lvlJc w:val="left"/>
      <w:pPr>
        <w:ind w:left="720" w:hanging="180"/>
      </w:pPr>
      <w:rPr>
        <w:rFonts w:ascii="Symbol" w:hAnsi="Symbol" w:hint="default"/>
      </w:rPr>
    </w:lvl>
    <w:lvl w:ilvl="1" w:tplc="27289B8C">
      <w:numFmt w:val="decimal"/>
      <w:lvlText w:val=""/>
      <w:lvlJc w:val="left"/>
    </w:lvl>
    <w:lvl w:ilvl="2" w:tplc="F6F6F040">
      <w:numFmt w:val="decimal"/>
      <w:lvlText w:val=""/>
      <w:lvlJc w:val="left"/>
    </w:lvl>
    <w:lvl w:ilvl="3" w:tplc="8F1EF546">
      <w:numFmt w:val="decimal"/>
      <w:lvlText w:val=""/>
      <w:lvlJc w:val="left"/>
    </w:lvl>
    <w:lvl w:ilvl="4" w:tplc="14C049B8">
      <w:numFmt w:val="decimal"/>
      <w:lvlText w:val=""/>
      <w:lvlJc w:val="left"/>
    </w:lvl>
    <w:lvl w:ilvl="5" w:tplc="A6CAFDD0">
      <w:numFmt w:val="decimal"/>
      <w:lvlText w:val=""/>
      <w:lvlJc w:val="left"/>
    </w:lvl>
    <w:lvl w:ilvl="6" w:tplc="9A983062">
      <w:numFmt w:val="decimal"/>
      <w:lvlText w:val=""/>
      <w:lvlJc w:val="left"/>
    </w:lvl>
    <w:lvl w:ilvl="7" w:tplc="9824487E">
      <w:numFmt w:val="decimal"/>
      <w:lvlText w:val=""/>
      <w:lvlJc w:val="left"/>
    </w:lvl>
    <w:lvl w:ilvl="8" w:tplc="9E96719E">
      <w:numFmt w:val="decimal"/>
      <w:lvlText w:val=""/>
      <w:lvlJc w:val="left"/>
    </w:lvl>
  </w:abstractNum>
  <w:abstractNum w:abstractNumId="782" w15:restartNumberingAfterBreak="0">
    <w:nsid w:val="568914AD"/>
    <w:multiLevelType w:val="hybridMultilevel"/>
    <w:tmpl w:val="BB1222F0"/>
    <w:lvl w:ilvl="0" w:tplc="A7E6B780">
      <w:start w:val="1"/>
      <w:numFmt w:val="bullet"/>
      <w:lvlText w:val=""/>
      <w:lvlJc w:val="left"/>
      <w:pPr>
        <w:ind w:left="720" w:hanging="180"/>
      </w:pPr>
      <w:rPr>
        <w:rFonts w:ascii="Symbol" w:hAnsi="Symbol" w:hint="default"/>
      </w:rPr>
    </w:lvl>
    <w:lvl w:ilvl="1" w:tplc="4350D9AE">
      <w:numFmt w:val="decimal"/>
      <w:lvlText w:val=""/>
      <w:lvlJc w:val="left"/>
    </w:lvl>
    <w:lvl w:ilvl="2" w:tplc="A9FE0E5C">
      <w:numFmt w:val="decimal"/>
      <w:lvlText w:val=""/>
      <w:lvlJc w:val="left"/>
    </w:lvl>
    <w:lvl w:ilvl="3" w:tplc="5DBECE9E">
      <w:numFmt w:val="decimal"/>
      <w:lvlText w:val=""/>
      <w:lvlJc w:val="left"/>
    </w:lvl>
    <w:lvl w:ilvl="4" w:tplc="3B42AB92">
      <w:numFmt w:val="decimal"/>
      <w:lvlText w:val=""/>
      <w:lvlJc w:val="left"/>
    </w:lvl>
    <w:lvl w:ilvl="5" w:tplc="B5261AF0">
      <w:numFmt w:val="decimal"/>
      <w:lvlText w:val=""/>
      <w:lvlJc w:val="left"/>
    </w:lvl>
    <w:lvl w:ilvl="6" w:tplc="AC142068">
      <w:numFmt w:val="decimal"/>
      <w:lvlText w:val=""/>
      <w:lvlJc w:val="left"/>
    </w:lvl>
    <w:lvl w:ilvl="7" w:tplc="BB54F578">
      <w:numFmt w:val="decimal"/>
      <w:lvlText w:val=""/>
      <w:lvlJc w:val="left"/>
    </w:lvl>
    <w:lvl w:ilvl="8" w:tplc="BC045744">
      <w:numFmt w:val="decimal"/>
      <w:lvlText w:val=""/>
      <w:lvlJc w:val="left"/>
    </w:lvl>
  </w:abstractNum>
  <w:abstractNum w:abstractNumId="783" w15:restartNumberingAfterBreak="0">
    <w:nsid w:val="56B77C20"/>
    <w:multiLevelType w:val="hybridMultilevel"/>
    <w:tmpl w:val="47A01944"/>
    <w:lvl w:ilvl="0" w:tplc="B6B0F430">
      <w:start w:val="1"/>
      <w:numFmt w:val="bullet"/>
      <w:lvlText w:val=""/>
      <w:lvlJc w:val="left"/>
      <w:pPr>
        <w:ind w:left="720" w:hanging="180"/>
      </w:pPr>
      <w:rPr>
        <w:rFonts w:ascii="Symbol" w:hAnsi="Symbol" w:hint="default"/>
      </w:rPr>
    </w:lvl>
    <w:lvl w:ilvl="1" w:tplc="55CE1FB8">
      <w:numFmt w:val="decimal"/>
      <w:lvlText w:val=""/>
      <w:lvlJc w:val="left"/>
    </w:lvl>
    <w:lvl w:ilvl="2" w:tplc="4470104E">
      <w:numFmt w:val="decimal"/>
      <w:lvlText w:val=""/>
      <w:lvlJc w:val="left"/>
    </w:lvl>
    <w:lvl w:ilvl="3" w:tplc="003E8396">
      <w:numFmt w:val="decimal"/>
      <w:lvlText w:val=""/>
      <w:lvlJc w:val="left"/>
    </w:lvl>
    <w:lvl w:ilvl="4" w:tplc="8FF8930E">
      <w:numFmt w:val="decimal"/>
      <w:lvlText w:val=""/>
      <w:lvlJc w:val="left"/>
    </w:lvl>
    <w:lvl w:ilvl="5" w:tplc="1512D1F4">
      <w:numFmt w:val="decimal"/>
      <w:lvlText w:val=""/>
      <w:lvlJc w:val="left"/>
    </w:lvl>
    <w:lvl w:ilvl="6" w:tplc="0BD07922">
      <w:numFmt w:val="decimal"/>
      <w:lvlText w:val=""/>
      <w:lvlJc w:val="left"/>
    </w:lvl>
    <w:lvl w:ilvl="7" w:tplc="936645D2">
      <w:numFmt w:val="decimal"/>
      <w:lvlText w:val=""/>
      <w:lvlJc w:val="left"/>
    </w:lvl>
    <w:lvl w:ilvl="8" w:tplc="1D6C22E0">
      <w:numFmt w:val="decimal"/>
      <w:lvlText w:val=""/>
      <w:lvlJc w:val="left"/>
    </w:lvl>
  </w:abstractNum>
  <w:abstractNum w:abstractNumId="784" w15:restartNumberingAfterBreak="0">
    <w:nsid w:val="56E7246A"/>
    <w:multiLevelType w:val="hybridMultilevel"/>
    <w:tmpl w:val="6D0CBF88"/>
    <w:lvl w:ilvl="0" w:tplc="4D9228FE">
      <w:start w:val="1"/>
      <w:numFmt w:val="bullet"/>
      <w:lvlText w:val=""/>
      <w:lvlJc w:val="left"/>
      <w:pPr>
        <w:ind w:left="720" w:hanging="180"/>
      </w:pPr>
      <w:rPr>
        <w:rFonts w:ascii="Symbol" w:hAnsi="Symbol" w:hint="default"/>
      </w:rPr>
    </w:lvl>
    <w:lvl w:ilvl="1" w:tplc="ECCAC09C">
      <w:numFmt w:val="decimal"/>
      <w:lvlText w:val=""/>
      <w:lvlJc w:val="left"/>
    </w:lvl>
    <w:lvl w:ilvl="2" w:tplc="AB6A8756">
      <w:numFmt w:val="decimal"/>
      <w:lvlText w:val=""/>
      <w:lvlJc w:val="left"/>
    </w:lvl>
    <w:lvl w:ilvl="3" w:tplc="6852689A">
      <w:numFmt w:val="decimal"/>
      <w:lvlText w:val=""/>
      <w:lvlJc w:val="left"/>
    </w:lvl>
    <w:lvl w:ilvl="4" w:tplc="714E21AA">
      <w:numFmt w:val="decimal"/>
      <w:lvlText w:val=""/>
      <w:lvlJc w:val="left"/>
    </w:lvl>
    <w:lvl w:ilvl="5" w:tplc="D422D044">
      <w:numFmt w:val="decimal"/>
      <w:lvlText w:val=""/>
      <w:lvlJc w:val="left"/>
    </w:lvl>
    <w:lvl w:ilvl="6" w:tplc="4000BC1C">
      <w:numFmt w:val="decimal"/>
      <w:lvlText w:val=""/>
      <w:lvlJc w:val="left"/>
    </w:lvl>
    <w:lvl w:ilvl="7" w:tplc="35C09776">
      <w:numFmt w:val="decimal"/>
      <w:lvlText w:val=""/>
      <w:lvlJc w:val="left"/>
    </w:lvl>
    <w:lvl w:ilvl="8" w:tplc="0554DD94">
      <w:numFmt w:val="decimal"/>
      <w:lvlText w:val=""/>
      <w:lvlJc w:val="left"/>
    </w:lvl>
  </w:abstractNum>
  <w:abstractNum w:abstractNumId="785" w15:restartNumberingAfterBreak="0">
    <w:nsid w:val="56F659AD"/>
    <w:multiLevelType w:val="hybridMultilevel"/>
    <w:tmpl w:val="FBB85B60"/>
    <w:lvl w:ilvl="0" w:tplc="F8B86B5E">
      <w:numFmt w:val="decimal"/>
      <w:lvlText w:val=""/>
      <w:lvlJc w:val="left"/>
    </w:lvl>
    <w:lvl w:ilvl="1" w:tplc="584E4158">
      <w:numFmt w:val="decimal"/>
      <w:lvlText w:val=""/>
      <w:lvlJc w:val="left"/>
    </w:lvl>
    <w:lvl w:ilvl="2" w:tplc="2F043AAA">
      <w:start w:val="1"/>
      <w:numFmt w:val="bullet"/>
      <w:lvlText w:val=""/>
      <w:lvlJc w:val="left"/>
      <w:pPr>
        <w:ind w:left="2160" w:hanging="180"/>
      </w:pPr>
      <w:rPr>
        <w:rFonts w:ascii="Symbol" w:hAnsi="Symbol" w:hint="default"/>
      </w:rPr>
    </w:lvl>
    <w:lvl w:ilvl="3" w:tplc="F4445D8E">
      <w:numFmt w:val="decimal"/>
      <w:lvlText w:val=""/>
      <w:lvlJc w:val="left"/>
    </w:lvl>
    <w:lvl w:ilvl="4" w:tplc="9D5672A6">
      <w:numFmt w:val="decimal"/>
      <w:lvlText w:val=""/>
      <w:lvlJc w:val="left"/>
    </w:lvl>
    <w:lvl w:ilvl="5" w:tplc="BD2E2C84">
      <w:numFmt w:val="decimal"/>
      <w:lvlText w:val=""/>
      <w:lvlJc w:val="left"/>
    </w:lvl>
    <w:lvl w:ilvl="6" w:tplc="1FA427C4">
      <w:numFmt w:val="decimal"/>
      <w:lvlText w:val=""/>
      <w:lvlJc w:val="left"/>
    </w:lvl>
    <w:lvl w:ilvl="7" w:tplc="F912CBBA">
      <w:numFmt w:val="decimal"/>
      <w:lvlText w:val=""/>
      <w:lvlJc w:val="left"/>
    </w:lvl>
    <w:lvl w:ilvl="8" w:tplc="38BE1948">
      <w:numFmt w:val="decimal"/>
      <w:lvlText w:val=""/>
      <w:lvlJc w:val="left"/>
    </w:lvl>
  </w:abstractNum>
  <w:abstractNum w:abstractNumId="786" w15:restartNumberingAfterBreak="0">
    <w:nsid w:val="57035BBF"/>
    <w:multiLevelType w:val="hybridMultilevel"/>
    <w:tmpl w:val="DCC63BD2"/>
    <w:lvl w:ilvl="0" w:tplc="369458E2">
      <w:start w:val="1"/>
      <w:numFmt w:val="bullet"/>
      <w:lvlText w:val=""/>
      <w:lvlJc w:val="left"/>
      <w:pPr>
        <w:ind w:left="720" w:hanging="180"/>
      </w:pPr>
      <w:rPr>
        <w:rFonts w:ascii="Symbol" w:hAnsi="Symbol" w:hint="default"/>
      </w:rPr>
    </w:lvl>
    <w:lvl w:ilvl="1" w:tplc="5C7A4DDC">
      <w:numFmt w:val="decimal"/>
      <w:lvlText w:val=""/>
      <w:lvlJc w:val="left"/>
    </w:lvl>
    <w:lvl w:ilvl="2" w:tplc="4F3AC95A">
      <w:numFmt w:val="decimal"/>
      <w:lvlText w:val=""/>
      <w:lvlJc w:val="left"/>
    </w:lvl>
    <w:lvl w:ilvl="3" w:tplc="0A9EB2AE">
      <w:numFmt w:val="decimal"/>
      <w:lvlText w:val=""/>
      <w:lvlJc w:val="left"/>
    </w:lvl>
    <w:lvl w:ilvl="4" w:tplc="6BC28EF2">
      <w:numFmt w:val="decimal"/>
      <w:lvlText w:val=""/>
      <w:lvlJc w:val="left"/>
    </w:lvl>
    <w:lvl w:ilvl="5" w:tplc="3F68D75C">
      <w:numFmt w:val="decimal"/>
      <w:lvlText w:val=""/>
      <w:lvlJc w:val="left"/>
    </w:lvl>
    <w:lvl w:ilvl="6" w:tplc="928ECD2E">
      <w:numFmt w:val="decimal"/>
      <w:lvlText w:val=""/>
      <w:lvlJc w:val="left"/>
    </w:lvl>
    <w:lvl w:ilvl="7" w:tplc="FBF80572">
      <w:numFmt w:val="decimal"/>
      <w:lvlText w:val=""/>
      <w:lvlJc w:val="left"/>
    </w:lvl>
    <w:lvl w:ilvl="8" w:tplc="4B2C3ED4">
      <w:numFmt w:val="decimal"/>
      <w:lvlText w:val=""/>
      <w:lvlJc w:val="left"/>
    </w:lvl>
  </w:abstractNum>
  <w:abstractNum w:abstractNumId="787" w15:restartNumberingAfterBreak="0">
    <w:nsid w:val="57226906"/>
    <w:multiLevelType w:val="hybridMultilevel"/>
    <w:tmpl w:val="AF2249CA"/>
    <w:lvl w:ilvl="0" w:tplc="35CA1280">
      <w:numFmt w:val="decimal"/>
      <w:lvlText w:val=""/>
      <w:lvlJc w:val="left"/>
    </w:lvl>
    <w:lvl w:ilvl="1" w:tplc="2536D5CC">
      <w:start w:val="1"/>
      <w:numFmt w:val="bullet"/>
      <w:lvlText w:val=""/>
      <w:lvlJc w:val="left"/>
      <w:pPr>
        <w:ind w:left="1440" w:hanging="180"/>
      </w:pPr>
      <w:rPr>
        <w:rFonts w:ascii="Symbol" w:hAnsi="Symbol" w:hint="default"/>
      </w:rPr>
    </w:lvl>
    <w:lvl w:ilvl="2" w:tplc="A6BE4F80">
      <w:numFmt w:val="decimal"/>
      <w:lvlText w:val=""/>
      <w:lvlJc w:val="left"/>
    </w:lvl>
    <w:lvl w:ilvl="3" w:tplc="3B7426D4">
      <w:numFmt w:val="decimal"/>
      <w:lvlText w:val=""/>
      <w:lvlJc w:val="left"/>
    </w:lvl>
    <w:lvl w:ilvl="4" w:tplc="EA7679C6">
      <w:numFmt w:val="decimal"/>
      <w:lvlText w:val=""/>
      <w:lvlJc w:val="left"/>
    </w:lvl>
    <w:lvl w:ilvl="5" w:tplc="07EE8546">
      <w:numFmt w:val="decimal"/>
      <w:lvlText w:val=""/>
      <w:lvlJc w:val="left"/>
    </w:lvl>
    <w:lvl w:ilvl="6" w:tplc="2D2C530A">
      <w:numFmt w:val="decimal"/>
      <w:lvlText w:val=""/>
      <w:lvlJc w:val="left"/>
    </w:lvl>
    <w:lvl w:ilvl="7" w:tplc="3C5AC2DA">
      <w:numFmt w:val="decimal"/>
      <w:lvlText w:val=""/>
      <w:lvlJc w:val="left"/>
    </w:lvl>
    <w:lvl w:ilvl="8" w:tplc="D7F8DE00">
      <w:numFmt w:val="decimal"/>
      <w:lvlText w:val=""/>
      <w:lvlJc w:val="left"/>
    </w:lvl>
  </w:abstractNum>
  <w:abstractNum w:abstractNumId="788" w15:restartNumberingAfterBreak="0">
    <w:nsid w:val="57E2412A"/>
    <w:multiLevelType w:val="hybridMultilevel"/>
    <w:tmpl w:val="38209B52"/>
    <w:lvl w:ilvl="0" w:tplc="2592D17E">
      <w:start w:val="1"/>
      <w:numFmt w:val="bullet"/>
      <w:lvlText w:val=""/>
      <w:lvlJc w:val="left"/>
      <w:pPr>
        <w:ind w:left="720" w:hanging="180"/>
      </w:pPr>
      <w:rPr>
        <w:rFonts w:ascii="Symbol" w:hAnsi="Symbol" w:hint="default"/>
      </w:rPr>
    </w:lvl>
    <w:lvl w:ilvl="1" w:tplc="71C89EF0">
      <w:numFmt w:val="decimal"/>
      <w:lvlText w:val=""/>
      <w:lvlJc w:val="left"/>
    </w:lvl>
    <w:lvl w:ilvl="2" w:tplc="EA206F0A">
      <w:numFmt w:val="decimal"/>
      <w:lvlText w:val=""/>
      <w:lvlJc w:val="left"/>
    </w:lvl>
    <w:lvl w:ilvl="3" w:tplc="3984C5C6">
      <w:numFmt w:val="decimal"/>
      <w:lvlText w:val=""/>
      <w:lvlJc w:val="left"/>
    </w:lvl>
    <w:lvl w:ilvl="4" w:tplc="EC00679C">
      <w:numFmt w:val="decimal"/>
      <w:lvlText w:val=""/>
      <w:lvlJc w:val="left"/>
    </w:lvl>
    <w:lvl w:ilvl="5" w:tplc="476C8E58">
      <w:numFmt w:val="decimal"/>
      <w:lvlText w:val=""/>
      <w:lvlJc w:val="left"/>
    </w:lvl>
    <w:lvl w:ilvl="6" w:tplc="5BF2E37E">
      <w:numFmt w:val="decimal"/>
      <w:lvlText w:val=""/>
      <w:lvlJc w:val="left"/>
    </w:lvl>
    <w:lvl w:ilvl="7" w:tplc="D4E87DC6">
      <w:numFmt w:val="decimal"/>
      <w:lvlText w:val=""/>
      <w:lvlJc w:val="left"/>
    </w:lvl>
    <w:lvl w:ilvl="8" w:tplc="B860C352">
      <w:numFmt w:val="decimal"/>
      <w:lvlText w:val=""/>
      <w:lvlJc w:val="left"/>
    </w:lvl>
  </w:abstractNum>
  <w:abstractNum w:abstractNumId="789" w15:restartNumberingAfterBreak="0">
    <w:nsid w:val="57EC40CD"/>
    <w:multiLevelType w:val="hybridMultilevel"/>
    <w:tmpl w:val="8C983606"/>
    <w:lvl w:ilvl="0" w:tplc="00808132">
      <w:start w:val="1"/>
      <w:numFmt w:val="bullet"/>
      <w:lvlText w:val=""/>
      <w:lvlJc w:val="left"/>
      <w:pPr>
        <w:ind w:left="720" w:hanging="180"/>
      </w:pPr>
      <w:rPr>
        <w:rFonts w:ascii="Symbol" w:hAnsi="Symbol" w:hint="default"/>
      </w:rPr>
    </w:lvl>
    <w:lvl w:ilvl="1" w:tplc="F8B87224">
      <w:numFmt w:val="decimal"/>
      <w:lvlText w:val=""/>
      <w:lvlJc w:val="left"/>
    </w:lvl>
    <w:lvl w:ilvl="2" w:tplc="5D3C23F8">
      <w:numFmt w:val="decimal"/>
      <w:lvlText w:val=""/>
      <w:lvlJc w:val="left"/>
    </w:lvl>
    <w:lvl w:ilvl="3" w:tplc="67080CBA">
      <w:numFmt w:val="decimal"/>
      <w:lvlText w:val=""/>
      <w:lvlJc w:val="left"/>
    </w:lvl>
    <w:lvl w:ilvl="4" w:tplc="7C788BDC">
      <w:numFmt w:val="decimal"/>
      <w:lvlText w:val=""/>
      <w:lvlJc w:val="left"/>
    </w:lvl>
    <w:lvl w:ilvl="5" w:tplc="FBF45F8A">
      <w:numFmt w:val="decimal"/>
      <w:lvlText w:val=""/>
      <w:lvlJc w:val="left"/>
    </w:lvl>
    <w:lvl w:ilvl="6" w:tplc="A0F087AE">
      <w:numFmt w:val="decimal"/>
      <w:lvlText w:val=""/>
      <w:lvlJc w:val="left"/>
    </w:lvl>
    <w:lvl w:ilvl="7" w:tplc="A888FFB8">
      <w:numFmt w:val="decimal"/>
      <w:lvlText w:val=""/>
      <w:lvlJc w:val="left"/>
    </w:lvl>
    <w:lvl w:ilvl="8" w:tplc="02FE49D6">
      <w:numFmt w:val="decimal"/>
      <w:lvlText w:val=""/>
      <w:lvlJc w:val="left"/>
    </w:lvl>
  </w:abstractNum>
  <w:abstractNum w:abstractNumId="790" w15:restartNumberingAfterBreak="0">
    <w:nsid w:val="58017246"/>
    <w:multiLevelType w:val="hybridMultilevel"/>
    <w:tmpl w:val="516629F4"/>
    <w:lvl w:ilvl="0" w:tplc="BBDA4D26">
      <w:start w:val="1"/>
      <w:numFmt w:val="bullet"/>
      <w:lvlText w:val=""/>
      <w:lvlJc w:val="left"/>
      <w:pPr>
        <w:ind w:left="720" w:hanging="180"/>
      </w:pPr>
      <w:rPr>
        <w:rFonts w:ascii="Symbol" w:hAnsi="Symbol" w:hint="default"/>
      </w:rPr>
    </w:lvl>
    <w:lvl w:ilvl="1" w:tplc="01A8E618">
      <w:numFmt w:val="decimal"/>
      <w:lvlText w:val=""/>
      <w:lvlJc w:val="left"/>
    </w:lvl>
    <w:lvl w:ilvl="2" w:tplc="E3F2612A">
      <w:numFmt w:val="decimal"/>
      <w:lvlText w:val=""/>
      <w:lvlJc w:val="left"/>
    </w:lvl>
    <w:lvl w:ilvl="3" w:tplc="E0801F4E">
      <w:numFmt w:val="decimal"/>
      <w:lvlText w:val=""/>
      <w:lvlJc w:val="left"/>
    </w:lvl>
    <w:lvl w:ilvl="4" w:tplc="4DB6CAE4">
      <w:numFmt w:val="decimal"/>
      <w:lvlText w:val=""/>
      <w:lvlJc w:val="left"/>
    </w:lvl>
    <w:lvl w:ilvl="5" w:tplc="0728E142">
      <w:numFmt w:val="decimal"/>
      <w:lvlText w:val=""/>
      <w:lvlJc w:val="left"/>
    </w:lvl>
    <w:lvl w:ilvl="6" w:tplc="495489EA">
      <w:numFmt w:val="decimal"/>
      <w:lvlText w:val=""/>
      <w:lvlJc w:val="left"/>
    </w:lvl>
    <w:lvl w:ilvl="7" w:tplc="507AB8D0">
      <w:numFmt w:val="decimal"/>
      <w:lvlText w:val=""/>
      <w:lvlJc w:val="left"/>
    </w:lvl>
    <w:lvl w:ilvl="8" w:tplc="8DFC8FE2">
      <w:numFmt w:val="decimal"/>
      <w:lvlText w:val=""/>
      <w:lvlJc w:val="left"/>
    </w:lvl>
  </w:abstractNum>
  <w:abstractNum w:abstractNumId="791" w15:restartNumberingAfterBreak="0">
    <w:nsid w:val="58161EA0"/>
    <w:multiLevelType w:val="hybridMultilevel"/>
    <w:tmpl w:val="499692C6"/>
    <w:lvl w:ilvl="0" w:tplc="30208F40">
      <w:start w:val="1"/>
      <w:numFmt w:val="bullet"/>
      <w:lvlText w:val=""/>
      <w:lvlJc w:val="left"/>
      <w:pPr>
        <w:ind w:left="720" w:hanging="180"/>
      </w:pPr>
      <w:rPr>
        <w:rFonts w:ascii="Symbol" w:hAnsi="Symbol" w:hint="default"/>
      </w:rPr>
    </w:lvl>
    <w:lvl w:ilvl="1" w:tplc="10CA5FF8">
      <w:numFmt w:val="decimal"/>
      <w:lvlText w:val=""/>
      <w:lvlJc w:val="left"/>
    </w:lvl>
    <w:lvl w:ilvl="2" w:tplc="2A7C1C72">
      <w:numFmt w:val="decimal"/>
      <w:lvlText w:val=""/>
      <w:lvlJc w:val="left"/>
    </w:lvl>
    <w:lvl w:ilvl="3" w:tplc="BF5A625C">
      <w:numFmt w:val="decimal"/>
      <w:lvlText w:val=""/>
      <w:lvlJc w:val="left"/>
    </w:lvl>
    <w:lvl w:ilvl="4" w:tplc="BF00FA30">
      <w:numFmt w:val="decimal"/>
      <w:lvlText w:val=""/>
      <w:lvlJc w:val="left"/>
    </w:lvl>
    <w:lvl w:ilvl="5" w:tplc="BC468418">
      <w:numFmt w:val="decimal"/>
      <w:lvlText w:val=""/>
      <w:lvlJc w:val="left"/>
    </w:lvl>
    <w:lvl w:ilvl="6" w:tplc="321CD8E8">
      <w:numFmt w:val="decimal"/>
      <w:lvlText w:val=""/>
      <w:lvlJc w:val="left"/>
    </w:lvl>
    <w:lvl w:ilvl="7" w:tplc="D99AAA72">
      <w:numFmt w:val="decimal"/>
      <w:lvlText w:val=""/>
      <w:lvlJc w:val="left"/>
    </w:lvl>
    <w:lvl w:ilvl="8" w:tplc="80BAE90E">
      <w:numFmt w:val="decimal"/>
      <w:lvlText w:val=""/>
      <w:lvlJc w:val="left"/>
    </w:lvl>
  </w:abstractNum>
  <w:abstractNum w:abstractNumId="792" w15:restartNumberingAfterBreak="0">
    <w:nsid w:val="5817406C"/>
    <w:multiLevelType w:val="hybridMultilevel"/>
    <w:tmpl w:val="454A8888"/>
    <w:lvl w:ilvl="0" w:tplc="40A2E37C">
      <w:start w:val="1"/>
      <w:numFmt w:val="bullet"/>
      <w:lvlText w:val=""/>
      <w:lvlJc w:val="left"/>
      <w:pPr>
        <w:ind w:left="720" w:hanging="180"/>
      </w:pPr>
      <w:rPr>
        <w:rFonts w:ascii="Symbol" w:hAnsi="Symbol" w:hint="default"/>
      </w:rPr>
    </w:lvl>
    <w:lvl w:ilvl="1" w:tplc="9676AE52">
      <w:numFmt w:val="decimal"/>
      <w:lvlText w:val=""/>
      <w:lvlJc w:val="left"/>
    </w:lvl>
    <w:lvl w:ilvl="2" w:tplc="00D07134">
      <w:numFmt w:val="decimal"/>
      <w:lvlText w:val=""/>
      <w:lvlJc w:val="left"/>
    </w:lvl>
    <w:lvl w:ilvl="3" w:tplc="61DA68D6">
      <w:numFmt w:val="decimal"/>
      <w:lvlText w:val=""/>
      <w:lvlJc w:val="left"/>
    </w:lvl>
    <w:lvl w:ilvl="4" w:tplc="5F20D9BA">
      <w:numFmt w:val="decimal"/>
      <w:lvlText w:val=""/>
      <w:lvlJc w:val="left"/>
    </w:lvl>
    <w:lvl w:ilvl="5" w:tplc="31A62B4C">
      <w:numFmt w:val="decimal"/>
      <w:lvlText w:val=""/>
      <w:lvlJc w:val="left"/>
    </w:lvl>
    <w:lvl w:ilvl="6" w:tplc="6EA66F68">
      <w:numFmt w:val="decimal"/>
      <w:lvlText w:val=""/>
      <w:lvlJc w:val="left"/>
    </w:lvl>
    <w:lvl w:ilvl="7" w:tplc="7DF0DC3C">
      <w:numFmt w:val="decimal"/>
      <w:lvlText w:val=""/>
      <w:lvlJc w:val="left"/>
    </w:lvl>
    <w:lvl w:ilvl="8" w:tplc="A4909B34">
      <w:numFmt w:val="decimal"/>
      <w:lvlText w:val=""/>
      <w:lvlJc w:val="left"/>
    </w:lvl>
  </w:abstractNum>
  <w:abstractNum w:abstractNumId="793" w15:restartNumberingAfterBreak="0">
    <w:nsid w:val="58341980"/>
    <w:multiLevelType w:val="hybridMultilevel"/>
    <w:tmpl w:val="03F06018"/>
    <w:lvl w:ilvl="0" w:tplc="D6284BAA">
      <w:start w:val="1"/>
      <w:numFmt w:val="bullet"/>
      <w:lvlText w:val=""/>
      <w:lvlJc w:val="left"/>
      <w:pPr>
        <w:ind w:left="720" w:hanging="180"/>
      </w:pPr>
      <w:rPr>
        <w:rFonts w:ascii="Symbol" w:hAnsi="Symbol" w:hint="default"/>
      </w:rPr>
    </w:lvl>
    <w:lvl w:ilvl="1" w:tplc="4A088424">
      <w:numFmt w:val="decimal"/>
      <w:lvlText w:val=""/>
      <w:lvlJc w:val="left"/>
    </w:lvl>
    <w:lvl w:ilvl="2" w:tplc="FF5AA354">
      <w:numFmt w:val="decimal"/>
      <w:lvlText w:val=""/>
      <w:lvlJc w:val="left"/>
    </w:lvl>
    <w:lvl w:ilvl="3" w:tplc="65A83ADC">
      <w:numFmt w:val="decimal"/>
      <w:lvlText w:val=""/>
      <w:lvlJc w:val="left"/>
    </w:lvl>
    <w:lvl w:ilvl="4" w:tplc="9E1AEA14">
      <w:numFmt w:val="decimal"/>
      <w:lvlText w:val=""/>
      <w:lvlJc w:val="left"/>
    </w:lvl>
    <w:lvl w:ilvl="5" w:tplc="B03EDFF6">
      <w:numFmt w:val="decimal"/>
      <w:lvlText w:val=""/>
      <w:lvlJc w:val="left"/>
    </w:lvl>
    <w:lvl w:ilvl="6" w:tplc="63E0F51C">
      <w:numFmt w:val="decimal"/>
      <w:lvlText w:val=""/>
      <w:lvlJc w:val="left"/>
    </w:lvl>
    <w:lvl w:ilvl="7" w:tplc="F70626FA">
      <w:numFmt w:val="decimal"/>
      <w:lvlText w:val=""/>
      <w:lvlJc w:val="left"/>
    </w:lvl>
    <w:lvl w:ilvl="8" w:tplc="A0403206">
      <w:numFmt w:val="decimal"/>
      <w:lvlText w:val=""/>
      <w:lvlJc w:val="left"/>
    </w:lvl>
  </w:abstractNum>
  <w:abstractNum w:abstractNumId="794" w15:restartNumberingAfterBreak="0">
    <w:nsid w:val="584F20F7"/>
    <w:multiLevelType w:val="hybridMultilevel"/>
    <w:tmpl w:val="C9C40052"/>
    <w:lvl w:ilvl="0" w:tplc="A32663C8">
      <w:start w:val="1"/>
      <w:numFmt w:val="bullet"/>
      <w:lvlText w:val=""/>
      <w:lvlJc w:val="left"/>
      <w:pPr>
        <w:ind w:left="720" w:hanging="180"/>
      </w:pPr>
      <w:rPr>
        <w:rFonts w:ascii="Symbol" w:hAnsi="Symbol" w:hint="default"/>
      </w:rPr>
    </w:lvl>
    <w:lvl w:ilvl="1" w:tplc="6A8A95F4">
      <w:numFmt w:val="decimal"/>
      <w:lvlText w:val=""/>
      <w:lvlJc w:val="left"/>
    </w:lvl>
    <w:lvl w:ilvl="2" w:tplc="2AFEA2E2">
      <w:numFmt w:val="decimal"/>
      <w:lvlText w:val=""/>
      <w:lvlJc w:val="left"/>
    </w:lvl>
    <w:lvl w:ilvl="3" w:tplc="598267E4">
      <w:numFmt w:val="decimal"/>
      <w:lvlText w:val=""/>
      <w:lvlJc w:val="left"/>
    </w:lvl>
    <w:lvl w:ilvl="4" w:tplc="3536E62A">
      <w:numFmt w:val="decimal"/>
      <w:lvlText w:val=""/>
      <w:lvlJc w:val="left"/>
    </w:lvl>
    <w:lvl w:ilvl="5" w:tplc="79704342">
      <w:numFmt w:val="decimal"/>
      <w:lvlText w:val=""/>
      <w:lvlJc w:val="left"/>
    </w:lvl>
    <w:lvl w:ilvl="6" w:tplc="D1D0A3FE">
      <w:numFmt w:val="decimal"/>
      <w:lvlText w:val=""/>
      <w:lvlJc w:val="left"/>
    </w:lvl>
    <w:lvl w:ilvl="7" w:tplc="F3D61ED8">
      <w:numFmt w:val="decimal"/>
      <w:lvlText w:val=""/>
      <w:lvlJc w:val="left"/>
    </w:lvl>
    <w:lvl w:ilvl="8" w:tplc="C5DC286A">
      <w:numFmt w:val="decimal"/>
      <w:lvlText w:val=""/>
      <w:lvlJc w:val="left"/>
    </w:lvl>
  </w:abstractNum>
  <w:abstractNum w:abstractNumId="795" w15:restartNumberingAfterBreak="0">
    <w:nsid w:val="587F5006"/>
    <w:multiLevelType w:val="hybridMultilevel"/>
    <w:tmpl w:val="53CC541E"/>
    <w:lvl w:ilvl="0" w:tplc="5A2CE2BE">
      <w:numFmt w:val="decimal"/>
      <w:lvlText w:val=""/>
      <w:lvlJc w:val="left"/>
    </w:lvl>
    <w:lvl w:ilvl="1" w:tplc="2E304B3A">
      <w:start w:val="1"/>
      <w:numFmt w:val="bullet"/>
      <w:lvlText w:val=""/>
      <w:lvlJc w:val="left"/>
      <w:pPr>
        <w:ind w:left="1440" w:hanging="180"/>
      </w:pPr>
      <w:rPr>
        <w:rFonts w:ascii="Symbol" w:hAnsi="Symbol" w:hint="default"/>
      </w:rPr>
    </w:lvl>
    <w:lvl w:ilvl="2" w:tplc="41C821C4">
      <w:numFmt w:val="decimal"/>
      <w:lvlText w:val=""/>
      <w:lvlJc w:val="left"/>
    </w:lvl>
    <w:lvl w:ilvl="3" w:tplc="AFE2F13A">
      <w:numFmt w:val="decimal"/>
      <w:lvlText w:val=""/>
      <w:lvlJc w:val="left"/>
    </w:lvl>
    <w:lvl w:ilvl="4" w:tplc="E3BC501E">
      <w:numFmt w:val="decimal"/>
      <w:lvlText w:val=""/>
      <w:lvlJc w:val="left"/>
    </w:lvl>
    <w:lvl w:ilvl="5" w:tplc="F356C798">
      <w:numFmt w:val="decimal"/>
      <w:lvlText w:val=""/>
      <w:lvlJc w:val="left"/>
    </w:lvl>
    <w:lvl w:ilvl="6" w:tplc="8E46B5BE">
      <w:numFmt w:val="decimal"/>
      <w:lvlText w:val=""/>
      <w:lvlJc w:val="left"/>
    </w:lvl>
    <w:lvl w:ilvl="7" w:tplc="EC203F2A">
      <w:numFmt w:val="decimal"/>
      <w:lvlText w:val=""/>
      <w:lvlJc w:val="left"/>
    </w:lvl>
    <w:lvl w:ilvl="8" w:tplc="8724EC5E">
      <w:numFmt w:val="decimal"/>
      <w:lvlText w:val=""/>
      <w:lvlJc w:val="left"/>
    </w:lvl>
  </w:abstractNum>
  <w:abstractNum w:abstractNumId="796" w15:restartNumberingAfterBreak="0">
    <w:nsid w:val="589232DA"/>
    <w:multiLevelType w:val="hybridMultilevel"/>
    <w:tmpl w:val="1702264E"/>
    <w:lvl w:ilvl="0" w:tplc="C6A06C7C">
      <w:start w:val="1"/>
      <w:numFmt w:val="bullet"/>
      <w:lvlText w:val=""/>
      <w:lvlJc w:val="left"/>
      <w:pPr>
        <w:ind w:left="720" w:hanging="180"/>
      </w:pPr>
      <w:rPr>
        <w:rFonts w:ascii="Symbol" w:hAnsi="Symbol" w:hint="default"/>
      </w:rPr>
    </w:lvl>
    <w:lvl w:ilvl="1" w:tplc="3F8E9460">
      <w:numFmt w:val="decimal"/>
      <w:lvlText w:val=""/>
      <w:lvlJc w:val="left"/>
    </w:lvl>
    <w:lvl w:ilvl="2" w:tplc="D11CB096">
      <w:numFmt w:val="decimal"/>
      <w:lvlText w:val=""/>
      <w:lvlJc w:val="left"/>
    </w:lvl>
    <w:lvl w:ilvl="3" w:tplc="F7EA68EC">
      <w:numFmt w:val="decimal"/>
      <w:lvlText w:val=""/>
      <w:lvlJc w:val="left"/>
    </w:lvl>
    <w:lvl w:ilvl="4" w:tplc="B03EE2FA">
      <w:numFmt w:val="decimal"/>
      <w:lvlText w:val=""/>
      <w:lvlJc w:val="left"/>
    </w:lvl>
    <w:lvl w:ilvl="5" w:tplc="3154BC30">
      <w:numFmt w:val="decimal"/>
      <w:lvlText w:val=""/>
      <w:lvlJc w:val="left"/>
    </w:lvl>
    <w:lvl w:ilvl="6" w:tplc="28DA9E94">
      <w:numFmt w:val="decimal"/>
      <w:lvlText w:val=""/>
      <w:lvlJc w:val="left"/>
    </w:lvl>
    <w:lvl w:ilvl="7" w:tplc="02EA044A">
      <w:numFmt w:val="decimal"/>
      <w:lvlText w:val=""/>
      <w:lvlJc w:val="left"/>
    </w:lvl>
    <w:lvl w:ilvl="8" w:tplc="09C053B6">
      <w:numFmt w:val="decimal"/>
      <w:lvlText w:val=""/>
      <w:lvlJc w:val="left"/>
    </w:lvl>
  </w:abstractNum>
  <w:abstractNum w:abstractNumId="797" w15:restartNumberingAfterBreak="0">
    <w:nsid w:val="58B71DE6"/>
    <w:multiLevelType w:val="hybridMultilevel"/>
    <w:tmpl w:val="79A04A24"/>
    <w:lvl w:ilvl="0" w:tplc="C7AE0FC0">
      <w:start w:val="1"/>
      <w:numFmt w:val="bullet"/>
      <w:lvlText w:val=""/>
      <w:lvlJc w:val="left"/>
      <w:pPr>
        <w:ind w:left="720" w:hanging="180"/>
      </w:pPr>
      <w:rPr>
        <w:rFonts w:ascii="Symbol" w:hAnsi="Symbol" w:hint="default"/>
      </w:rPr>
    </w:lvl>
    <w:lvl w:ilvl="1" w:tplc="8B361958">
      <w:numFmt w:val="decimal"/>
      <w:lvlText w:val=""/>
      <w:lvlJc w:val="left"/>
    </w:lvl>
    <w:lvl w:ilvl="2" w:tplc="C032C0A6">
      <w:numFmt w:val="decimal"/>
      <w:lvlText w:val=""/>
      <w:lvlJc w:val="left"/>
    </w:lvl>
    <w:lvl w:ilvl="3" w:tplc="42CE2B2E">
      <w:numFmt w:val="decimal"/>
      <w:lvlText w:val=""/>
      <w:lvlJc w:val="left"/>
    </w:lvl>
    <w:lvl w:ilvl="4" w:tplc="ED043458">
      <w:numFmt w:val="decimal"/>
      <w:lvlText w:val=""/>
      <w:lvlJc w:val="left"/>
    </w:lvl>
    <w:lvl w:ilvl="5" w:tplc="65A85642">
      <w:numFmt w:val="decimal"/>
      <w:lvlText w:val=""/>
      <w:lvlJc w:val="left"/>
    </w:lvl>
    <w:lvl w:ilvl="6" w:tplc="9C086C10">
      <w:numFmt w:val="decimal"/>
      <w:lvlText w:val=""/>
      <w:lvlJc w:val="left"/>
    </w:lvl>
    <w:lvl w:ilvl="7" w:tplc="2094441C">
      <w:numFmt w:val="decimal"/>
      <w:lvlText w:val=""/>
      <w:lvlJc w:val="left"/>
    </w:lvl>
    <w:lvl w:ilvl="8" w:tplc="3DAAF5CA">
      <w:numFmt w:val="decimal"/>
      <w:lvlText w:val=""/>
      <w:lvlJc w:val="left"/>
    </w:lvl>
  </w:abstractNum>
  <w:abstractNum w:abstractNumId="798" w15:restartNumberingAfterBreak="0">
    <w:nsid w:val="58B72D62"/>
    <w:multiLevelType w:val="hybridMultilevel"/>
    <w:tmpl w:val="9510FB30"/>
    <w:lvl w:ilvl="0" w:tplc="ED44D65A">
      <w:start w:val="1"/>
      <w:numFmt w:val="bullet"/>
      <w:lvlText w:val=""/>
      <w:lvlJc w:val="left"/>
      <w:pPr>
        <w:ind w:left="720" w:hanging="180"/>
      </w:pPr>
      <w:rPr>
        <w:rFonts w:ascii="Symbol" w:hAnsi="Symbol" w:hint="default"/>
      </w:rPr>
    </w:lvl>
    <w:lvl w:ilvl="1" w:tplc="B53C67C6">
      <w:numFmt w:val="decimal"/>
      <w:lvlText w:val=""/>
      <w:lvlJc w:val="left"/>
    </w:lvl>
    <w:lvl w:ilvl="2" w:tplc="8B2A5AE2">
      <w:numFmt w:val="decimal"/>
      <w:lvlText w:val=""/>
      <w:lvlJc w:val="left"/>
    </w:lvl>
    <w:lvl w:ilvl="3" w:tplc="E1DEB500">
      <w:numFmt w:val="decimal"/>
      <w:lvlText w:val=""/>
      <w:lvlJc w:val="left"/>
    </w:lvl>
    <w:lvl w:ilvl="4" w:tplc="641A963A">
      <w:numFmt w:val="decimal"/>
      <w:lvlText w:val=""/>
      <w:lvlJc w:val="left"/>
    </w:lvl>
    <w:lvl w:ilvl="5" w:tplc="97807584">
      <w:numFmt w:val="decimal"/>
      <w:lvlText w:val=""/>
      <w:lvlJc w:val="left"/>
    </w:lvl>
    <w:lvl w:ilvl="6" w:tplc="E1DEB7F6">
      <w:numFmt w:val="decimal"/>
      <w:lvlText w:val=""/>
      <w:lvlJc w:val="left"/>
    </w:lvl>
    <w:lvl w:ilvl="7" w:tplc="CEE6CED2">
      <w:numFmt w:val="decimal"/>
      <w:lvlText w:val=""/>
      <w:lvlJc w:val="left"/>
    </w:lvl>
    <w:lvl w:ilvl="8" w:tplc="0218B78C">
      <w:numFmt w:val="decimal"/>
      <w:lvlText w:val=""/>
      <w:lvlJc w:val="left"/>
    </w:lvl>
  </w:abstractNum>
  <w:abstractNum w:abstractNumId="799" w15:restartNumberingAfterBreak="0">
    <w:nsid w:val="58BB586D"/>
    <w:multiLevelType w:val="hybridMultilevel"/>
    <w:tmpl w:val="0F268784"/>
    <w:lvl w:ilvl="0" w:tplc="44D88898">
      <w:start w:val="1"/>
      <w:numFmt w:val="bullet"/>
      <w:lvlText w:val=""/>
      <w:lvlJc w:val="left"/>
      <w:pPr>
        <w:ind w:left="720" w:hanging="180"/>
      </w:pPr>
      <w:rPr>
        <w:rFonts w:ascii="Symbol" w:hAnsi="Symbol" w:hint="default"/>
      </w:rPr>
    </w:lvl>
    <w:lvl w:ilvl="1" w:tplc="9F449F00">
      <w:numFmt w:val="decimal"/>
      <w:lvlText w:val=""/>
      <w:lvlJc w:val="left"/>
    </w:lvl>
    <w:lvl w:ilvl="2" w:tplc="2A86A744">
      <w:numFmt w:val="decimal"/>
      <w:lvlText w:val=""/>
      <w:lvlJc w:val="left"/>
    </w:lvl>
    <w:lvl w:ilvl="3" w:tplc="848A310C">
      <w:numFmt w:val="decimal"/>
      <w:lvlText w:val=""/>
      <w:lvlJc w:val="left"/>
    </w:lvl>
    <w:lvl w:ilvl="4" w:tplc="F78EB320">
      <w:numFmt w:val="decimal"/>
      <w:lvlText w:val=""/>
      <w:lvlJc w:val="left"/>
    </w:lvl>
    <w:lvl w:ilvl="5" w:tplc="89445F6E">
      <w:numFmt w:val="decimal"/>
      <w:lvlText w:val=""/>
      <w:lvlJc w:val="left"/>
    </w:lvl>
    <w:lvl w:ilvl="6" w:tplc="7A26649C">
      <w:numFmt w:val="decimal"/>
      <w:lvlText w:val=""/>
      <w:lvlJc w:val="left"/>
    </w:lvl>
    <w:lvl w:ilvl="7" w:tplc="1E9A6C00">
      <w:numFmt w:val="decimal"/>
      <w:lvlText w:val=""/>
      <w:lvlJc w:val="left"/>
    </w:lvl>
    <w:lvl w:ilvl="8" w:tplc="AC7EFE36">
      <w:numFmt w:val="decimal"/>
      <w:lvlText w:val=""/>
      <w:lvlJc w:val="left"/>
    </w:lvl>
  </w:abstractNum>
  <w:abstractNum w:abstractNumId="800" w15:restartNumberingAfterBreak="0">
    <w:nsid w:val="58D659F9"/>
    <w:multiLevelType w:val="hybridMultilevel"/>
    <w:tmpl w:val="C06A3776"/>
    <w:lvl w:ilvl="0" w:tplc="FED0FCCC">
      <w:start w:val="1"/>
      <w:numFmt w:val="bullet"/>
      <w:lvlText w:val=""/>
      <w:lvlJc w:val="left"/>
      <w:pPr>
        <w:ind w:left="720" w:hanging="180"/>
      </w:pPr>
      <w:rPr>
        <w:rFonts w:ascii="Symbol" w:hAnsi="Symbol" w:hint="default"/>
      </w:rPr>
    </w:lvl>
    <w:lvl w:ilvl="1" w:tplc="CE6ED062">
      <w:numFmt w:val="decimal"/>
      <w:lvlText w:val=""/>
      <w:lvlJc w:val="left"/>
    </w:lvl>
    <w:lvl w:ilvl="2" w:tplc="D6C8443E">
      <w:numFmt w:val="decimal"/>
      <w:lvlText w:val=""/>
      <w:lvlJc w:val="left"/>
    </w:lvl>
    <w:lvl w:ilvl="3" w:tplc="4BCC259C">
      <w:numFmt w:val="decimal"/>
      <w:lvlText w:val=""/>
      <w:lvlJc w:val="left"/>
    </w:lvl>
    <w:lvl w:ilvl="4" w:tplc="5E3808FA">
      <w:numFmt w:val="decimal"/>
      <w:lvlText w:val=""/>
      <w:lvlJc w:val="left"/>
    </w:lvl>
    <w:lvl w:ilvl="5" w:tplc="9C0E563C">
      <w:numFmt w:val="decimal"/>
      <w:lvlText w:val=""/>
      <w:lvlJc w:val="left"/>
    </w:lvl>
    <w:lvl w:ilvl="6" w:tplc="A9F82354">
      <w:numFmt w:val="decimal"/>
      <w:lvlText w:val=""/>
      <w:lvlJc w:val="left"/>
    </w:lvl>
    <w:lvl w:ilvl="7" w:tplc="BF360762">
      <w:numFmt w:val="decimal"/>
      <w:lvlText w:val=""/>
      <w:lvlJc w:val="left"/>
    </w:lvl>
    <w:lvl w:ilvl="8" w:tplc="857EA68E">
      <w:numFmt w:val="decimal"/>
      <w:lvlText w:val=""/>
      <w:lvlJc w:val="left"/>
    </w:lvl>
  </w:abstractNum>
  <w:abstractNum w:abstractNumId="801" w15:restartNumberingAfterBreak="0">
    <w:nsid w:val="58DE7BEF"/>
    <w:multiLevelType w:val="hybridMultilevel"/>
    <w:tmpl w:val="9238DA26"/>
    <w:lvl w:ilvl="0" w:tplc="98767EB6">
      <w:start w:val="1"/>
      <w:numFmt w:val="bullet"/>
      <w:lvlText w:val=""/>
      <w:lvlJc w:val="left"/>
      <w:pPr>
        <w:ind w:left="720" w:hanging="180"/>
      </w:pPr>
      <w:rPr>
        <w:rFonts w:ascii="Symbol" w:hAnsi="Symbol" w:hint="default"/>
      </w:rPr>
    </w:lvl>
    <w:lvl w:ilvl="1" w:tplc="736ECBCA">
      <w:numFmt w:val="decimal"/>
      <w:lvlText w:val=""/>
      <w:lvlJc w:val="left"/>
    </w:lvl>
    <w:lvl w:ilvl="2" w:tplc="7A56AD78">
      <w:numFmt w:val="decimal"/>
      <w:lvlText w:val=""/>
      <w:lvlJc w:val="left"/>
    </w:lvl>
    <w:lvl w:ilvl="3" w:tplc="793459EA">
      <w:numFmt w:val="decimal"/>
      <w:lvlText w:val=""/>
      <w:lvlJc w:val="left"/>
    </w:lvl>
    <w:lvl w:ilvl="4" w:tplc="D86C5266">
      <w:numFmt w:val="decimal"/>
      <w:lvlText w:val=""/>
      <w:lvlJc w:val="left"/>
    </w:lvl>
    <w:lvl w:ilvl="5" w:tplc="7C9A874C">
      <w:numFmt w:val="decimal"/>
      <w:lvlText w:val=""/>
      <w:lvlJc w:val="left"/>
    </w:lvl>
    <w:lvl w:ilvl="6" w:tplc="E40E7A84">
      <w:numFmt w:val="decimal"/>
      <w:lvlText w:val=""/>
      <w:lvlJc w:val="left"/>
    </w:lvl>
    <w:lvl w:ilvl="7" w:tplc="9EF0E2E4">
      <w:numFmt w:val="decimal"/>
      <w:lvlText w:val=""/>
      <w:lvlJc w:val="left"/>
    </w:lvl>
    <w:lvl w:ilvl="8" w:tplc="C39CB59E">
      <w:numFmt w:val="decimal"/>
      <w:lvlText w:val=""/>
      <w:lvlJc w:val="left"/>
    </w:lvl>
  </w:abstractNum>
  <w:abstractNum w:abstractNumId="802" w15:restartNumberingAfterBreak="0">
    <w:nsid w:val="58E93597"/>
    <w:multiLevelType w:val="hybridMultilevel"/>
    <w:tmpl w:val="2AEE3EA2"/>
    <w:lvl w:ilvl="0" w:tplc="47E8E6CA">
      <w:start w:val="1"/>
      <w:numFmt w:val="bullet"/>
      <w:lvlText w:val=""/>
      <w:lvlJc w:val="left"/>
      <w:pPr>
        <w:ind w:left="720" w:hanging="180"/>
      </w:pPr>
      <w:rPr>
        <w:rFonts w:ascii="Symbol" w:hAnsi="Symbol" w:hint="default"/>
      </w:rPr>
    </w:lvl>
    <w:lvl w:ilvl="1" w:tplc="67965648">
      <w:numFmt w:val="decimal"/>
      <w:lvlText w:val=""/>
      <w:lvlJc w:val="left"/>
    </w:lvl>
    <w:lvl w:ilvl="2" w:tplc="5F325968">
      <w:numFmt w:val="decimal"/>
      <w:lvlText w:val=""/>
      <w:lvlJc w:val="left"/>
    </w:lvl>
    <w:lvl w:ilvl="3" w:tplc="67BCED92">
      <w:numFmt w:val="decimal"/>
      <w:lvlText w:val=""/>
      <w:lvlJc w:val="left"/>
    </w:lvl>
    <w:lvl w:ilvl="4" w:tplc="A05694A6">
      <w:numFmt w:val="decimal"/>
      <w:lvlText w:val=""/>
      <w:lvlJc w:val="left"/>
    </w:lvl>
    <w:lvl w:ilvl="5" w:tplc="209C762A">
      <w:numFmt w:val="decimal"/>
      <w:lvlText w:val=""/>
      <w:lvlJc w:val="left"/>
    </w:lvl>
    <w:lvl w:ilvl="6" w:tplc="8716EC74">
      <w:numFmt w:val="decimal"/>
      <w:lvlText w:val=""/>
      <w:lvlJc w:val="left"/>
    </w:lvl>
    <w:lvl w:ilvl="7" w:tplc="D3503A7A">
      <w:numFmt w:val="decimal"/>
      <w:lvlText w:val=""/>
      <w:lvlJc w:val="left"/>
    </w:lvl>
    <w:lvl w:ilvl="8" w:tplc="CA90B17C">
      <w:numFmt w:val="decimal"/>
      <w:lvlText w:val=""/>
      <w:lvlJc w:val="left"/>
    </w:lvl>
  </w:abstractNum>
  <w:abstractNum w:abstractNumId="803" w15:restartNumberingAfterBreak="0">
    <w:nsid w:val="58F45A9F"/>
    <w:multiLevelType w:val="hybridMultilevel"/>
    <w:tmpl w:val="ADB6D0BE"/>
    <w:lvl w:ilvl="0" w:tplc="9A54095A">
      <w:start w:val="1"/>
      <w:numFmt w:val="bullet"/>
      <w:lvlText w:val=""/>
      <w:lvlJc w:val="left"/>
      <w:pPr>
        <w:ind w:left="720" w:hanging="180"/>
      </w:pPr>
      <w:rPr>
        <w:rFonts w:ascii="Symbol" w:hAnsi="Symbol" w:hint="default"/>
      </w:rPr>
    </w:lvl>
    <w:lvl w:ilvl="1" w:tplc="3DC8A7B6">
      <w:numFmt w:val="decimal"/>
      <w:lvlText w:val=""/>
      <w:lvlJc w:val="left"/>
    </w:lvl>
    <w:lvl w:ilvl="2" w:tplc="8EA4B22A">
      <w:numFmt w:val="decimal"/>
      <w:lvlText w:val=""/>
      <w:lvlJc w:val="left"/>
    </w:lvl>
    <w:lvl w:ilvl="3" w:tplc="674C3148">
      <w:numFmt w:val="decimal"/>
      <w:lvlText w:val=""/>
      <w:lvlJc w:val="left"/>
    </w:lvl>
    <w:lvl w:ilvl="4" w:tplc="E2488A62">
      <w:numFmt w:val="decimal"/>
      <w:lvlText w:val=""/>
      <w:lvlJc w:val="left"/>
    </w:lvl>
    <w:lvl w:ilvl="5" w:tplc="3C6A234E">
      <w:numFmt w:val="decimal"/>
      <w:lvlText w:val=""/>
      <w:lvlJc w:val="left"/>
    </w:lvl>
    <w:lvl w:ilvl="6" w:tplc="E3666D2E">
      <w:numFmt w:val="decimal"/>
      <w:lvlText w:val=""/>
      <w:lvlJc w:val="left"/>
    </w:lvl>
    <w:lvl w:ilvl="7" w:tplc="1F00C8B8">
      <w:numFmt w:val="decimal"/>
      <w:lvlText w:val=""/>
      <w:lvlJc w:val="left"/>
    </w:lvl>
    <w:lvl w:ilvl="8" w:tplc="F0C08B52">
      <w:numFmt w:val="decimal"/>
      <w:lvlText w:val=""/>
      <w:lvlJc w:val="left"/>
    </w:lvl>
  </w:abstractNum>
  <w:abstractNum w:abstractNumId="804" w15:restartNumberingAfterBreak="0">
    <w:nsid w:val="58FA2AC7"/>
    <w:multiLevelType w:val="hybridMultilevel"/>
    <w:tmpl w:val="C3BEE0A4"/>
    <w:lvl w:ilvl="0" w:tplc="A2AC1A6C">
      <w:start w:val="1"/>
      <w:numFmt w:val="bullet"/>
      <w:lvlText w:val=""/>
      <w:lvlJc w:val="left"/>
      <w:pPr>
        <w:ind w:left="720" w:hanging="180"/>
      </w:pPr>
      <w:rPr>
        <w:rFonts w:ascii="Symbol" w:hAnsi="Symbol" w:hint="default"/>
      </w:rPr>
    </w:lvl>
    <w:lvl w:ilvl="1" w:tplc="2B8AC860">
      <w:numFmt w:val="decimal"/>
      <w:lvlText w:val=""/>
      <w:lvlJc w:val="left"/>
    </w:lvl>
    <w:lvl w:ilvl="2" w:tplc="86666620">
      <w:numFmt w:val="decimal"/>
      <w:lvlText w:val=""/>
      <w:lvlJc w:val="left"/>
    </w:lvl>
    <w:lvl w:ilvl="3" w:tplc="370045EE">
      <w:numFmt w:val="decimal"/>
      <w:lvlText w:val=""/>
      <w:lvlJc w:val="left"/>
    </w:lvl>
    <w:lvl w:ilvl="4" w:tplc="2690A53A">
      <w:numFmt w:val="decimal"/>
      <w:lvlText w:val=""/>
      <w:lvlJc w:val="left"/>
    </w:lvl>
    <w:lvl w:ilvl="5" w:tplc="2886E00C">
      <w:numFmt w:val="decimal"/>
      <w:lvlText w:val=""/>
      <w:lvlJc w:val="left"/>
    </w:lvl>
    <w:lvl w:ilvl="6" w:tplc="B520FD44">
      <w:numFmt w:val="decimal"/>
      <w:lvlText w:val=""/>
      <w:lvlJc w:val="left"/>
    </w:lvl>
    <w:lvl w:ilvl="7" w:tplc="E2AC5DA0">
      <w:numFmt w:val="decimal"/>
      <w:lvlText w:val=""/>
      <w:lvlJc w:val="left"/>
    </w:lvl>
    <w:lvl w:ilvl="8" w:tplc="51C8F3A4">
      <w:numFmt w:val="decimal"/>
      <w:lvlText w:val=""/>
      <w:lvlJc w:val="left"/>
    </w:lvl>
  </w:abstractNum>
  <w:abstractNum w:abstractNumId="805" w15:restartNumberingAfterBreak="0">
    <w:nsid w:val="59072F26"/>
    <w:multiLevelType w:val="hybridMultilevel"/>
    <w:tmpl w:val="0F6E40EC"/>
    <w:lvl w:ilvl="0" w:tplc="F4D059CC">
      <w:start w:val="1"/>
      <w:numFmt w:val="bullet"/>
      <w:lvlText w:val=""/>
      <w:lvlJc w:val="left"/>
      <w:pPr>
        <w:ind w:left="720" w:hanging="180"/>
      </w:pPr>
      <w:rPr>
        <w:rFonts w:ascii="Symbol" w:hAnsi="Symbol" w:hint="default"/>
      </w:rPr>
    </w:lvl>
    <w:lvl w:ilvl="1" w:tplc="46F2FF70">
      <w:numFmt w:val="decimal"/>
      <w:lvlText w:val=""/>
      <w:lvlJc w:val="left"/>
    </w:lvl>
    <w:lvl w:ilvl="2" w:tplc="2D5450F4">
      <w:numFmt w:val="decimal"/>
      <w:lvlText w:val=""/>
      <w:lvlJc w:val="left"/>
    </w:lvl>
    <w:lvl w:ilvl="3" w:tplc="F4585E86">
      <w:numFmt w:val="decimal"/>
      <w:lvlText w:val=""/>
      <w:lvlJc w:val="left"/>
    </w:lvl>
    <w:lvl w:ilvl="4" w:tplc="AD8435FC">
      <w:numFmt w:val="decimal"/>
      <w:lvlText w:val=""/>
      <w:lvlJc w:val="left"/>
    </w:lvl>
    <w:lvl w:ilvl="5" w:tplc="8E3E7974">
      <w:numFmt w:val="decimal"/>
      <w:lvlText w:val=""/>
      <w:lvlJc w:val="left"/>
    </w:lvl>
    <w:lvl w:ilvl="6" w:tplc="B2D0492E">
      <w:numFmt w:val="decimal"/>
      <w:lvlText w:val=""/>
      <w:lvlJc w:val="left"/>
    </w:lvl>
    <w:lvl w:ilvl="7" w:tplc="E6329BD2">
      <w:numFmt w:val="decimal"/>
      <w:lvlText w:val=""/>
      <w:lvlJc w:val="left"/>
    </w:lvl>
    <w:lvl w:ilvl="8" w:tplc="3F18D274">
      <w:numFmt w:val="decimal"/>
      <w:lvlText w:val=""/>
      <w:lvlJc w:val="left"/>
    </w:lvl>
  </w:abstractNum>
  <w:abstractNum w:abstractNumId="806" w15:restartNumberingAfterBreak="0">
    <w:nsid w:val="591419E1"/>
    <w:multiLevelType w:val="hybridMultilevel"/>
    <w:tmpl w:val="E2E2BCC6"/>
    <w:lvl w:ilvl="0" w:tplc="B212D23C">
      <w:start w:val="1"/>
      <w:numFmt w:val="bullet"/>
      <w:lvlText w:val=""/>
      <w:lvlJc w:val="left"/>
      <w:pPr>
        <w:ind w:left="720" w:hanging="180"/>
      </w:pPr>
      <w:rPr>
        <w:rFonts w:ascii="Symbol" w:hAnsi="Symbol" w:hint="default"/>
      </w:rPr>
    </w:lvl>
    <w:lvl w:ilvl="1" w:tplc="D4FECB00">
      <w:numFmt w:val="decimal"/>
      <w:lvlText w:val=""/>
      <w:lvlJc w:val="left"/>
    </w:lvl>
    <w:lvl w:ilvl="2" w:tplc="4776CAAE">
      <w:numFmt w:val="decimal"/>
      <w:lvlText w:val=""/>
      <w:lvlJc w:val="left"/>
    </w:lvl>
    <w:lvl w:ilvl="3" w:tplc="FD5685E2">
      <w:numFmt w:val="decimal"/>
      <w:lvlText w:val=""/>
      <w:lvlJc w:val="left"/>
    </w:lvl>
    <w:lvl w:ilvl="4" w:tplc="994A1A38">
      <w:numFmt w:val="decimal"/>
      <w:lvlText w:val=""/>
      <w:lvlJc w:val="left"/>
    </w:lvl>
    <w:lvl w:ilvl="5" w:tplc="16F6277C">
      <w:numFmt w:val="decimal"/>
      <w:lvlText w:val=""/>
      <w:lvlJc w:val="left"/>
    </w:lvl>
    <w:lvl w:ilvl="6" w:tplc="2A2673CC">
      <w:numFmt w:val="decimal"/>
      <w:lvlText w:val=""/>
      <w:lvlJc w:val="left"/>
    </w:lvl>
    <w:lvl w:ilvl="7" w:tplc="ED3EF284">
      <w:numFmt w:val="decimal"/>
      <w:lvlText w:val=""/>
      <w:lvlJc w:val="left"/>
    </w:lvl>
    <w:lvl w:ilvl="8" w:tplc="70E0C6E4">
      <w:numFmt w:val="decimal"/>
      <w:lvlText w:val=""/>
      <w:lvlJc w:val="left"/>
    </w:lvl>
  </w:abstractNum>
  <w:abstractNum w:abstractNumId="807" w15:restartNumberingAfterBreak="0">
    <w:nsid w:val="595F508A"/>
    <w:multiLevelType w:val="hybridMultilevel"/>
    <w:tmpl w:val="2E7246EC"/>
    <w:lvl w:ilvl="0" w:tplc="48541DA2">
      <w:start w:val="1"/>
      <w:numFmt w:val="bullet"/>
      <w:lvlText w:val=""/>
      <w:lvlJc w:val="left"/>
      <w:pPr>
        <w:ind w:left="720" w:hanging="180"/>
      </w:pPr>
      <w:rPr>
        <w:rFonts w:ascii="Symbol" w:hAnsi="Symbol" w:hint="default"/>
      </w:rPr>
    </w:lvl>
    <w:lvl w:ilvl="1" w:tplc="4BB83384">
      <w:numFmt w:val="decimal"/>
      <w:lvlText w:val=""/>
      <w:lvlJc w:val="left"/>
    </w:lvl>
    <w:lvl w:ilvl="2" w:tplc="DAEE89DC">
      <w:numFmt w:val="decimal"/>
      <w:lvlText w:val=""/>
      <w:lvlJc w:val="left"/>
    </w:lvl>
    <w:lvl w:ilvl="3" w:tplc="4C4A41B6">
      <w:numFmt w:val="decimal"/>
      <w:lvlText w:val=""/>
      <w:lvlJc w:val="left"/>
    </w:lvl>
    <w:lvl w:ilvl="4" w:tplc="377A9A48">
      <w:numFmt w:val="decimal"/>
      <w:lvlText w:val=""/>
      <w:lvlJc w:val="left"/>
    </w:lvl>
    <w:lvl w:ilvl="5" w:tplc="32FC7004">
      <w:numFmt w:val="decimal"/>
      <w:lvlText w:val=""/>
      <w:lvlJc w:val="left"/>
    </w:lvl>
    <w:lvl w:ilvl="6" w:tplc="A7BA1F06">
      <w:numFmt w:val="decimal"/>
      <w:lvlText w:val=""/>
      <w:lvlJc w:val="left"/>
    </w:lvl>
    <w:lvl w:ilvl="7" w:tplc="92DCA9B8">
      <w:numFmt w:val="decimal"/>
      <w:lvlText w:val=""/>
      <w:lvlJc w:val="left"/>
    </w:lvl>
    <w:lvl w:ilvl="8" w:tplc="7D466C94">
      <w:numFmt w:val="decimal"/>
      <w:lvlText w:val=""/>
      <w:lvlJc w:val="left"/>
    </w:lvl>
  </w:abstractNum>
  <w:abstractNum w:abstractNumId="808" w15:restartNumberingAfterBreak="0">
    <w:nsid w:val="598D3209"/>
    <w:multiLevelType w:val="hybridMultilevel"/>
    <w:tmpl w:val="5B2400CA"/>
    <w:lvl w:ilvl="0" w:tplc="ABB83618">
      <w:start w:val="1"/>
      <w:numFmt w:val="bullet"/>
      <w:lvlText w:val=""/>
      <w:lvlJc w:val="left"/>
      <w:pPr>
        <w:ind w:left="720" w:hanging="180"/>
      </w:pPr>
      <w:rPr>
        <w:rFonts w:ascii="Symbol" w:hAnsi="Symbol" w:hint="default"/>
      </w:rPr>
    </w:lvl>
    <w:lvl w:ilvl="1" w:tplc="97C27F66">
      <w:numFmt w:val="decimal"/>
      <w:lvlText w:val=""/>
      <w:lvlJc w:val="left"/>
    </w:lvl>
    <w:lvl w:ilvl="2" w:tplc="004A5FF4">
      <w:numFmt w:val="decimal"/>
      <w:lvlText w:val=""/>
      <w:lvlJc w:val="left"/>
    </w:lvl>
    <w:lvl w:ilvl="3" w:tplc="A36269C6">
      <w:numFmt w:val="decimal"/>
      <w:lvlText w:val=""/>
      <w:lvlJc w:val="left"/>
    </w:lvl>
    <w:lvl w:ilvl="4" w:tplc="5C92B2AE">
      <w:numFmt w:val="decimal"/>
      <w:lvlText w:val=""/>
      <w:lvlJc w:val="left"/>
    </w:lvl>
    <w:lvl w:ilvl="5" w:tplc="6FA456F2">
      <w:numFmt w:val="decimal"/>
      <w:lvlText w:val=""/>
      <w:lvlJc w:val="left"/>
    </w:lvl>
    <w:lvl w:ilvl="6" w:tplc="E32CBB86">
      <w:numFmt w:val="decimal"/>
      <w:lvlText w:val=""/>
      <w:lvlJc w:val="left"/>
    </w:lvl>
    <w:lvl w:ilvl="7" w:tplc="8A5C61B6">
      <w:numFmt w:val="decimal"/>
      <w:lvlText w:val=""/>
      <w:lvlJc w:val="left"/>
    </w:lvl>
    <w:lvl w:ilvl="8" w:tplc="195C2B5A">
      <w:numFmt w:val="decimal"/>
      <w:lvlText w:val=""/>
      <w:lvlJc w:val="left"/>
    </w:lvl>
  </w:abstractNum>
  <w:abstractNum w:abstractNumId="809" w15:restartNumberingAfterBreak="0">
    <w:nsid w:val="5991616D"/>
    <w:multiLevelType w:val="hybridMultilevel"/>
    <w:tmpl w:val="A1DE6DBA"/>
    <w:lvl w:ilvl="0" w:tplc="EB84C5AC">
      <w:start w:val="1"/>
      <w:numFmt w:val="bullet"/>
      <w:lvlText w:val=""/>
      <w:lvlJc w:val="left"/>
      <w:pPr>
        <w:ind w:left="720" w:hanging="180"/>
      </w:pPr>
      <w:rPr>
        <w:rFonts w:ascii="Symbol" w:hAnsi="Symbol" w:hint="default"/>
      </w:rPr>
    </w:lvl>
    <w:lvl w:ilvl="1" w:tplc="109A65D4">
      <w:numFmt w:val="decimal"/>
      <w:lvlText w:val=""/>
      <w:lvlJc w:val="left"/>
    </w:lvl>
    <w:lvl w:ilvl="2" w:tplc="F6443160">
      <w:numFmt w:val="decimal"/>
      <w:lvlText w:val=""/>
      <w:lvlJc w:val="left"/>
    </w:lvl>
    <w:lvl w:ilvl="3" w:tplc="8C40F3C0">
      <w:numFmt w:val="decimal"/>
      <w:lvlText w:val=""/>
      <w:lvlJc w:val="left"/>
    </w:lvl>
    <w:lvl w:ilvl="4" w:tplc="CC0684E4">
      <w:numFmt w:val="decimal"/>
      <w:lvlText w:val=""/>
      <w:lvlJc w:val="left"/>
    </w:lvl>
    <w:lvl w:ilvl="5" w:tplc="AA620DC4">
      <w:numFmt w:val="decimal"/>
      <w:lvlText w:val=""/>
      <w:lvlJc w:val="left"/>
    </w:lvl>
    <w:lvl w:ilvl="6" w:tplc="883ABB1C">
      <w:numFmt w:val="decimal"/>
      <w:lvlText w:val=""/>
      <w:lvlJc w:val="left"/>
    </w:lvl>
    <w:lvl w:ilvl="7" w:tplc="93245B88">
      <w:numFmt w:val="decimal"/>
      <w:lvlText w:val=""/>
      <w:lvlJc w:val="left"/>
    </w:lvl>
    <w:lvl w:ilvl="8" w:tplc="00B44C4A">
      <w:numFmt w:val="decimal"/>
      <w:lvlText w:val=""/>
      <w:lvlJc w:val="left"/>
    </w:lvl>
  </w:abstractNum>
  <w:abstractNum w:abstractNumId="810" w15:restartNumberingAfterBreak="0">
    <w:nsid w:val="599E5CA2"/>
    <w:multiLevelType w:val="hybridMultilevel"/>
    <w:tmpl w:val="E6608D78"/>
    <w:lvl w:ilvl="0" w:tplc="C55CF956">
      <w:start w:val="1"/>
      <w:numFmt w:val="bullet"/>
      <w:lvlText w:val=""/>
      <w:lvlJc w:val="left"/>
      <w:pPr>
        <w:ind w:left="720" w:hanging="180"/>
      </w:pPr>
      <w:rPr>
        <w:rFonts w:ascii="Symbol" w:hAnsi="Symbol" w:hint="default"/>
      </w:rPr>
    </w:lvl>
    <w:lvl w:ilvl="1" w:tplc="E124C546">
      <w:numFmt w:val="decimal"/>
      <w:lvlText w:val=""/>
      <w:lvlJc w:val="left"/>
    </w:lvl>
    <w:lvl w:ilvl="2" w:tplc="82B83602">
      <w:numFmt w:val="decimal"/>
      <w:lvlText w:val=""/>
      <w:lvlJc w:val="left"/>
    </w:lvl>
    <w:lvl w:ilvl="3" w:tplc="37307FA6">
      <w:numFmt w:val="decimal"/>
      <w:lvlText w:val=""/>
      <w:lvlJc w:val="left"/>
    </w:lvl>
    <w:lvl w:ilvl="4" w:tplc="6BFE4EE6">
      <w:numFmt w:val="decimal"/>
      <w:lvlText w:val=""/>
      <w:lvlJc w:val="left"/>
    </w:lvl>
    <w:lvl w:ilvl="5" w:tplc="58BCA01E">
      <w:numFmt w:val="decimal"/>
      <w:lvlText w:val=""/>
      <w:lvlJc w:val="left"/>
    </w:lvl>
    <w:lvl w:ilvl="6" w:tplc="1E4CBD98">
      <w:numFmt w:val="decimal"/>
      <w:lvlText w:val=""/>
      <w:lvlJc w:val="left"/>
    </w:lvl>
    <w:lvl w:ilvl="7" w:tplc="27681B54">
      <w:numFmt w:val="decimal"/>
      <w:lvlText w:val=""/>
      <w:lvlJc w:val="left"/>
    </w:lvl>
    <w:lvl w:ilvl="8" w:tplc="CF30255C">
      <w:numFmt w:val="decimal"/>
      <w:lvlText w:val=""/>
      <w:lvlJc w:val="left"/>
    </w:lvl>
  </w:abstractNum>
  <w:abstractNum w:abstractNumId="811" w15:restartNumberingAfterBreak="0">
    <w:nsid w:val="59B947D2"/>
    <w:multiLevelType w:val="hybridMultilevel"/>
    <w:tmpl w:val="0E0883A2"/>
    <w:lvl w:ilvl="0" w:tplc="54BE6264">
      <w:start w:val="1"/>
      <w:numFmt w:val="bullet"/>
      <w:lvlText w:val=""/>
      <w:lvlJc w:val="left"/>
      <w:pPr>
        <w:ind w:left="720" w:hanging="180"/>
      </w:pPr>
      <w:rPr>
        <w:rFonts w:ascii="Symbol" w:hAnsi="Symbol" w:hint="default"/>
      </w:rPr>
    </w:lvl>
    <w:lvl w:ilvl="1" w:tplc="059EB8B2">
      <w:numFmt w:val="decimal"/>
      <w:lvlText w:val=""/>
      <w:lvlJc w:val="left"/>
    </w:lvl>
    <w:lvl w:ilvl="2" w:tplc="FC90A4E8">
      <w:numFmt w:val="decimal"/>
      <w:lvlText w:val=""/>
      <w:lvlJc w:val="left"/>
    </w:lvl>
    <w:lvl w:ilvl="3" w:tplc="D9841DB8">
      <w:numFmt w:val="decimal"/>
      <w:lvlText w:val=""/>
      <w:lvlJc w:val="left"/>
    </w:lvl>
    <w:lvl w:ilvl="4" w:tplc="A170D12A">
      <w:numFmt w:val="decimal"/>
      <w:lvlText w:val=""/>
      <w:lvlJc w:val="left"/>
    </w:lvl>
    <w:lvl w:ilvl="5" w:tplc="C9A41BFA">
      <w:numFmt w:val="decimal"/>
      <w:lvlText w:val=""/>
      <w:lvlJc w:val="left"/>
    </w:lvl>
    <w:lvl w:ilvl="6" w:tplc="A98AB98A">
      <w:numFmt w:val="decimal"/>
      <w:lvlText w:val=""/>
      <w:lvlJc w:val="left"/>
    </w:lvl>
    <w:lvl w:ilvl="7" w:tplc="65EEF794">
      <w:numFmt w:val="decimal"/>
      <w:lvlText w:val=""/>
      <w:lvlJc w:val="left"/>
    </w:lvl>
    <w:lvl w:ilvl="8" w:tplc="696CEB48">
      <w:numFmt w:val="decimal"/>
      <w:lvlText w:val=""/>
      <w:lvlJc w:val="left"/>
    </w:lvl>
  </w:abstractNum>
  <w:abstractNum w:abstractNumId="812" w15:restartNumberingAfterBreak="0">
    <w:nsid w:val="59D04FF0"/>
    <w:multiLevelType w:val="hybridMultilevel"/>
    <w:tmpl w:val="DC30B89A"/>
    <w:lvl w:ilvl="0" w:tplc="7102F844">
      <w:start w:val="1"/>
      <w:numFmt w:val="bullet"/>
      <w:lvlText w:val=""/>
      <w:lvlJc w:val="left"/>
      <w:pPr>
        <w:ind w:left="720" w:hanging="180"/>
      </w:pPr>
      <w:rPr>
        <w:rFonts w:ascii="Symbol" w:hAnsi="Symbol" w:hint="default"/>
      </w:rPr>
    </w:lvl>
    <w:lvl w:ilvl="1" w:tplc="D56414AA">
      <w:numFmt w:val="decimal"/>
      <w:lvlText w:val=""/>
      <w:lvlJc w:val="left"/>
    </w:lvl>
    <w:lvl w:ilvl="2" w:tplc="2D6270E4">
      <w:numFmt w:val="decimal"/>
      <w:lvlText w:val=""/>
      <w:lvlJc w:val="left"/>
    </w:lvl>
    <w:lvl w:ilvl="3" w:tplc="78E690D6">
      <w:numFmt w:val="decimal"/>
      <w:lvlText w:val=""/>
      <w:lvlJc w:val="left"/>
    </w:lvl>
    <w:lvl w:ilvl="4" w:tplc="0AFCE9E0">
      <w:numFmt w:val="decimal"/>
      <w:lvlText w:val=""/>
      <w:lvlJc w:val="left"/>
    </w:lvl>
    <w:lvl w:ilvl="5" w:tplc="B9E2BAC4">
      <w:numFmt w:val="decimal"/>
      <w:lvlText w:val=""/>
      <w:lvlJc w:val="left"/>
    </w:lvl>
    <w:lvl w:ilvl="6" w:tplc="9C120170">
      <w:numFmt w:val="decimal"/>
      <w:lvlText w:val=""/>
      <w:lvlJc w:val="left"/>
    </w:lvl>
    <w:lvl w:ilvl="7" w:tplc="8716C11C">
      <w:numFmt w:val="decimal"/>
      <w:lvlText w:val=""/>
      <w:lvlJc w:val="left"/>
    </w:lvl>
    <w:lvl w:ilvl="8" w:tplc="C69AABFA">
      <w:numFmt w:val="decimal"/>
      <w:lvlText w:val=""/>
      <w:lvlJc w:val="left"/>
    </w:lvl>
  </w:abstractNum>
  <w:abstractNum w:abstractNumId="813" w15:restartNumberingAfterBreak="0">
    <w:nsid w:val="59FB334F"/>
    <w:multiLevelType w:val="hybridMultilevel"/>
    <w:tmpl w:val="4EE415B8"/>
    <w:lvl w:ilvl="0" w:tplc="94B6853A">
      <w:start w:val="1"/>
      <w:numFmt w:val="bullet"/>
      <w:lvlText w:val=""/>
      <w:lvlJc w:val="left"/>
      <w:pPr>
        <w:ind w:left="720" w:hanging="180"/>
      </w:pPr>
      <w:rPr>
        <w:rFonts w:ascii="Symbol" w:hAnsi="Symbol" w:hint="default"/>
      </w:rPr>
    </w:lvl>
    <w:lvl w:ilvl="1" w:tplc="9EBE68A6">
      <w:numFmt w:val="decimal"/>
      <w:lvlText w:val=""/>
      <w:lvlJc w:val="left"/>
    </w:lvl>
    <w:lvl w:ilvl="2" w:tplc="3F8EB21E">
      <w:numFmt w:val="decimal"/>
      <w:lvlText w:val=""/>
      <w:lvlJc w:val="left"/>
    </w:lvl>
    <w:lvl w:ilvl="3" w:tplc="A45E2D36">
      <w:numFmt w:val="decimal"/>
      <w:lvlText w:val=""/>
      <w:lvlJc w:val="left"/>
    </w:lvl>
    <w:lvl w:ilvl="4" w:tplc="C4F44000">
      <w:numFmt w:val="decimal"/>
      <w:lvlText w:val=""/>
      <w:lvlJc w:val="left"/>
    </w:lvl>
    <w:lvl w:ilvl="5" w:tplc="B59EDCEC">
      <w:numFmt w:val="decimal"/>
      <w:lvlText w:val=""/>
      <w:lvlJc w:val="left"/>
    </w:lvl>
    <w:lvl w:ilvl="6" w:tplc="D64260AC">
      <w:numFmt w:val="decimal"/>
      <w:lvlText w:val=""/>
      <w:lvlJc w:val="left"/>
    </w:lvl>
    <w:lvl w:ilvl="7" w:tplc="FF7A967E">
      <w:numFmt w:val="decimal"/>
      <w:lvlText w:val=""/>
      <w:lvlJc w:val="left"/>
    </w:lvl>
    <w:lvl w:ilvl="8" w:tplc="F0B62B32">
      <w:numFmt w:val="decimal"/>
      <w:lvlText w:val=""/>
      <w:lvlJc w:val="left"/>
    </w:lvl>
  </w:abstractNum>
  <w:abstractNum w:abstractNumId="814" w15:restartNumberingAfterBreak="0">
    <w:nsid w:val="5A024B68"/>
    <w:multiLevelType w:val="hybridMultilevel"/>
    <w:tmpl w:val="205EF6BE"/>
    <w:lvl w:ilvl="0" w:tplc="5E545462">
      <w:start w:val="1"/>
      <w:numFmt w:val="bullet"/>
      <w:lvlText w:val=""/>
      <w:lvlJc w:val="left"/>
      <w:pPr>
        <w:ind w:left="720" w:hanging="180"/>
      </w:pPr>
      <w:rPr>
        <w:rFonts w:ascii="Symbol" w:hAnsi="Symbol" w:hint="default"/>
      </w:rPr>
    </w:lvl>
    <w:lvl w:ilvl="1" w:tplc="936AF7FA">
      <w:numFmt w:val="decimal"/>
      <w:lvlText w:val=""/>
      <w:lvlJc w:val="left"/>
    </w:lvl>
    <w:lvl w:ilvl="2" w:tplc="D678602C">
      <w:numFmt w:val="decimal"/>
      <w:lvlText w:val=""/>
      <w:lvlJc w:val="left"/>
    </w:lvl>
    <w:lvl w:ilvl="3" w:tplc="DDF206AC">
      <w:numFmt w:val="decimal"/>
      <w:lvlText w:val=""/>
      <w:lvlJc w:val="left"/>
    </w:lvl>
    <w:lvl w:ilvl="4" w:tplc="5BF4231A">
      <w:numFmt w:val="decimal"/>
      <w:lvlText w:val=""/>
      <w:lvlJc w:val="left"/>
    </w:lvl>
    <w:lvl w:ilvl="5" w:tplc="108C2A32">
      <w:numFmt w:val="decimal"/>
      <w:lvlText w:val=""/>
      <w:lvlJc w:val="left"/>
    </w:lvl>
    <w:lvl w:ilvl="6" w:tplc="17BE5194">
      <w:numFmt w:val="decimal"/>
      <w:lvlText w:val=""/>
      <w:lvlJc w:val="left"/>
    </w:lvl>
    <w:lvl w:ilvl="7" w:tplc="26723518">
      <w:numFmt w:val="decimal"/>
      <w:lvlText w:val=""/>
      <w:lvlJc w:val="left"/>
    </w:lvl>
    <w:lvl w:ilvl="8" w:tplc="6B16BAF2">
      <w:numFmt w:val="decimal"/>
      <w:lvlText w:val=""/>
      <w:lvlJc w:val="left"/>
    </w:lvl>
  </w:abstractNum>
  <w:abstractNum w:abstractNumId="815" w15:restartNumberingAfterBreak="0">
    <w:nsid w:val="5A036B43"/>
    <w:multiLevelType w:val="hybridMultilevel"/>
    <w:tmpl w:val="5CD24746"/>
    <w:lvl w:ilvl="0" w:tplc="9738BF6C">
      <w:start w:val="1"/>
      <w:numFmt w:val="bullet"/>
      <w:lvlText w:val=""/>
      <w:lvlJc w:val="left"/>
      <w:pPr>
        <w:ind w:left="720" w:hanging="180"/>
      </w:pPr>
      <w:rPr>
        <w:rFonts w:ascii="Symbol" w:hAnsi="Symbol" w:hint="default"/>
      </w:rPr>
    </w:lvl>
    <w:lvl w:ilvl="1" w:tplc="22BE396A">
      <w:numFmt w:val="decimal"/>
      <w:lvlText w:val=""/>
      <w:lvlJc w:val="left"/>
    </w:lvl>
    <w:lvl w:ilvl="2" w:tplc="EEE0C2C2">
      <w:numFmt w:val="decimal"/>
      <w:lvlText w:val=""/>
      <w:lvlJc w:val="left"/>
    </w:lvl>
    <w:lvl w:ilvl="3" w:tplc="1EC03322">
      <w:numFmt w:val="decimal"/>
      <w:lvlText w:val=""/>
      <w:lvlJc w:val="left"/>
    </w:lvl>
    <w:lvl w:ilvl="4" w:tplc="218682F4">
      <w:numFmt w:val="decimal"/>
      <w:lvlText w:val=""/>
      <w:lvlJc w:val="left"/>
    </w:lvl>
    <w:lvl w:ilvl="5" w:tplc="28468158">
      <w:numFmt w:val="decimal"/>
      <w:lvlText w:val=""/>
      <w:lvlJc w:val="left"/>
    </w:lvl>
    <w:lvl w:ilvl="6" w:tplc="69E4C8B2">
      <w:numFmt w:val="decimal"/>
      <w:lvlText w:val=""/>
      <w:lvlJc w:val="left"/>
    </w:lvl>
    <w:lvl w:ilvl="7" w:tplc="F5682B76">
      <w:numFmt w:val="decimal"/>
      <w:lvlText w:val=""/>
      <w:lvlJc w:val="left"/>
    </w:lvl>
    <w:lvl w:ilvl="8" w:tplc="DC1E2F64">
      <w:numFmt w:val="decimal"/>
      <w:lvlText w:val=""/>
      <w:lvlJc w:val="left"/>
    </w:lvl>
  </w:abstractNum>
  <w:abstractNum w:abstractNumId="816" w15:restartNumberingAfterBreak="0">
    <w:nsid w:val="5A2A3421"/>
    <w:multiLevelType w:val="hybridMultilevel"/>
    <w:tmpl w:val="0D0863D2"/>
    <w:lvl w:ilvl="0" w:tplc="F0F473AA">
      <w:start w:val="1"/>
      <w:numFmt w:val="bullet"/>
      <w:lvlText w:val=""/>
      <w:lvlJc w:val="left"/>
      <w:pPr>
        <w:ind w:left="720" w:hanging="180"/>
      </w:pPr>
      <w:rPr>
        <w:rFonts w:ascii="Symbol" w:hAnsi="Symbol" w:hint="default"/>
      </w:rPr>
    </w:lvl>
    <w:lvl w:ilvl="1" w:tplc="CB5055C0">
      <w:numFmt w:val="decimal"/>
      <w:lvlText w:val=""/>
      <w:lvlJc w:val="left"/>
    </w:lvl>
    <w:lvl w:ilvl="2" w:tplc="32403510">
      <w:numFmt w:val="decimal"/>
      <w:lvlText w:val=""/>
      <w:lvlJc w:val="left"/>
    </w:lvl>
    <w:lvl w:ilvl="3" w:tplc="1FA43AB0">
      <w:numFmt w:val="decimal"/>
      <w:lvlText w:val=""/>
      <w:lvlJc w:val="left"/>
    </w:lvl>
    <w:lvl w:ilvl="4" w:tplc="FC90B278">
      <w:numFmt w:val="decimal"/>
      <w:lvlText w:val=""/>
      <w:lvlJc w:val="left"/>
    </w:lvl>
    <w:lvl w:ilvl="5" w:tplc="284EC3C2">
      <w:numFmt w:val="decimal"/>
      <w:lvlText w:val=""/>
      <w:lvlJc w:val="left"/>
    </w:lvl>
    <w:lvl w:ilvl="6" w:tplc="72B061BA">
      <w:numFmt w:val="decimal"/>
      <w:lvlText w:val=""/>
      <w:lvlJc w:val="left"/>
    </w:lvl>
    <w:lvl w:ilvl="7" w:tplc="7B1C4F7C">
      <w:numFmt w:val="decimal"/>
      <w:lvlText w:val=""/>
      <w:lvlJc w:val="left"/>
    </w:lvl>
    <w:lvl w:ilvl="8" w:tplc="ABEA99A8">
      <w:numFmt w:val="decimal"/>
      <w:lvlText w:val=""/>
      <w:lvlJc w:val="left"/>
    </w:lvl>
  </w:abstractNum>
  <w:abstractNum w:abstractNumId="817" w15:restartNumberingAfterBreak="0">
    <w:nsid w:val="5A2A3FEA"/>
    <w:multiLevelType w:val="hybridMultilevel"/>
    <w:tmpl w:val="630C4202"/>
    <w:lvl w:ilvl="0" w:tplc="C1CE7C3E">
      <w:start w:val="1"/>
      <w:numFmt w:val="bullet"/>
      <w:lvlText w:val=""/>
      <w:lvlJc w:val="left"/>
      <w:pPr>
        <w:ind w:left="720" w:hanging="180"/>
      </w:pPr>
      <w:rPr>
        <w:rFonts w:ascii="Symbol" w:hAnsi="Symbol" w:hint="default"/>
      </w:rPr>
    </w:lvl>
    <w:lvl w:ilvl="1" w:tplc="ECCABE5A">
      <w:numFmt w:val="decimal"/>
      <w:lvlText w:val=""/>
      <w:lvlJc w:val="left"/>
    </w:lvl>
    <w:lvl w:ilvl="2" w:tplc="13226CFA">
      <w:numFmt w:val="decimal"/>
      <w:lvlText w:val=""/>
      <w:lvlJc w:val="left"/>
    </w:lvl>
    <w:lvl w:ilvl="3" w:tplc="4370A690">
      <w:numFmt w:val="decimal"/>
      <w:lvlText w:val=""/>
      <w:lvlJc w:val="left"/>
    </w:lvl>
    <w:lvl w:ilvl="4" w:tplc="4B5A53B6">
      <w:numFmt w:val="decimal"/>
      <w:lvlText w:val=""/>
      <w:lvlJc w:val="left"/>
    </w:lvl>
    <w:lvl w:ilvl="5" w:tplc="E9D8BFCC">
      <w:numFmt w:val="decimal"/>
      <w:lvlText w:val=""/>
      <w:lvlJc w:val="left"/>
    </w:lvl>
    <w:lvl w:ilvl="6" w:tplc="92706F98">
      <w:numFmt w:val="decimal"/>
      <w:lvlText w:val=""/>
      <w:lvlJc w:val="left"/>
    </w:lvl>
    <w:lvl w:ilvl="7" w:tplc="AE383094">
      <w:numFmt w:val="decimal"/>
      <w:lvlText w:val=""/>
      <w:lvlJc w:val="left"/>
    </w:lvl>
    <w:lvl w:ilvl="8" w:tplc="1DB62812">
      <w:numFmt w:val="decimal"/>
      <w:lvlText w:val=""/>
      <w:lvlJc w:val="left"/>
    </w:lvl>
  </w:abstractNum>
  <w:abstractNum w:abstractNumId="818" w15:restartNumberingAfterBreak="0">
    <w:nsid w:val="5A3A2594"/>
    <w:multiLevelType w:val="hybridMultilevel"/>
    <w:tmpl w:val="8FF41F2A"/>
    <w:lvl w:ilvl="0" w:tplc="DF125FEA">
      <w:start w:val="1"/>
      <w:numFmt w:val="bullet"/>
      <w:lvlText w:val=""/>
      <w:lvlJc w:val="left"/>
      <w:pPr>
        <w:ind w:left="720" w:hanging="180"/>
      </w:pPr>
      <w:rPr>
        <w:rFonts w:ascii="Symbol" w:hAnsi="Symbol" w:hint="default"/>
      </w:rPr>
    </w:lvl>
    <w:lvl w:ilvl="1" w:tplc="2F506A7C">
      <w:numFmt w:val="decimal"/>
      <w:lvlText w:val=""/>
      <w:lvlJc w:val="left"/>
    </w:lvl>
    <w:lvl w:ilvl="2" w:tplc="AD3A0714">
      <w:numFmt w:val="decimal"/>
      <w:lvlText w:val=""/>
      <w:lvlJc w:val="left"/>
    </w:lvl>
    <w:lvl w:ilvl="3" w:tplc="E4FC1CB6">
      <w:numFmt w:val="decimal"/>
      <w:lvlText w:val=""/>
      <w:lvlJc w:val="left"/>
    </w:lvl>
    <w:lvl w:ilvl="4" w:tplc="D5CCA70E">
      <w:numFmt w:val="decimal"/>
      <w:lvlText w:val=""/>
      <w:lvlJc w:val="left"/>
    </w:lvl>
    <w:lvl w:ilvl="5" w:tplc="5FDA93C6">
      <w:numFmt w:val="decimal"/>
      <w:lvlText w:val=""/>
      <w:lvlJc w:val="left"/>
    </w:lvl>
    <w:lvl w:ilvl="6" w:tplc="7C425CB0">
      <w:numFmt w:val="decimal"/>
      <w:lvlText w:val=""/>
      <w:lvlJc w:val="left"/>
    </w:lvl>
    <w:lvl w:ilvl="7" w:tplc="6478B124">
      <w:numFmt w:val="decimal"/>
      <w:lvlText w:val=""/>
      <w:lvlJc w:val="left"/>
    </w:lvl>
    <w:lvl w:ilvl="8" w:tplc="272057D4">
      <w:numFmt w:val="decimal"/>
      <w:lvlText w:val=""/>
      <w:lvlJc w:val="left"/>
    </w:lvl>
  </w:abstractNum>
  <w:abstractNum w:abstractNumId="819" w15:restartNumberingAfterBreak="0">
    <w:nsid w:val="5A7E6388"/>
    <w:multiLevelType w:val="hybridMultilevel"/>
    <w:tmpl w:val="4A82D7CC"/>
    <w:lvl w:ilvl="0" w:tplc="5CC08510">
      <w:start w:val="1"/>
      <w:numFmt w:val="bullet"/>
      <w:lvlText w:val=""/>
      <w:lvlJc w:val="left"/>
      <w:pPr>
        <w:ind w:left="720" w:hanging="180"/>
      </w:pPr>
      <w:rPr>
        <w:rFonts w:ascii="Symbol" w:hAnsi="Symbol" w:hint="default"/>
      </w:rPr>
    </w:lvl>
    <w:lvl w:ilvl="1" w:tplc="31B8AE60">
      <w:numFmt w:val="decimal"/>
      <w:lvlText w:val=""/>
      <w:lvlJc w:val="left"/>
    </w:lvl>
    <w:lvl w:ilvl="2" w:tplc="49862970">
      <w:numFmt w:val="decimal"/>
      <w:lvlText w:val=""/>
      <w:lvlJc w:val="left"/>
    </w:lvl>
    <w:lvl w:ilvl="3" w:tplc="1DF83858">
      <w:numFmt w:val="decimal"/>
      <w:lvlText w:val=""/>
      <w:lvlJc w:val="left"/>
    </w:lvl>
    <w:lvl w:ilvl="4" w:tplc="1BAE3AB8">
      <w:numFmt w:val="decimal"/>
      <w:lvlText w:val=""/>
      <w:lvlJc w:val="left"/>
    </w:lvl>
    <w:lvl w:ilvl="5" w:tplc="080E3C26">
      <w:numFmt w:val="decimal"/>
      <w:lvlText w:val=""/>
      <w:lvlJc w:val="left"/>
    </w:lvl>
    <w:lvl w:ilvl="6" w:tplc="FF062BE8">
      <w:numFmt w:val="decimal"/>
      <w:lvlText w:val=""/>
      <w:lvlJc w:val="left"/>
    </w:lvl>
    <w:lvl w:ilvl="7" w:tplc="DA882266">
      <w:numFmt w:val="decimal"/>
      <w:lvlText w:val=""/>
      <w:lvlJc w:val="left"/>
    </w:lvl>
    <w:lvl w:ilvl="8" w:tplc="EF448F66">
      <w:numFmt w:val="decimal"/>
      <w:lvlText w:val=""/>
      <w:lvlJc w:val="left"/>
    </w:lvl>
  </w:abstractNum>
  <w:abstractNum w:abstractNumId="820" w15:restartNumberingAfterBreak="0">
    <w:nsid w:val="5A802671"/>
    <w:multiLevelType w:val="hybridMultilevel"/>
    <w:tmpl w:val="CEEA5FBA"/>
    <w:lvl w:ilvl="0" w:tplc="D06AEF52">
      <w:start w:val="1"/>
      <w:numFmt w:val="bullet"/>
      <w:lvlText w:val=""/>
      <w:lvlJc w:val="left"/>
      <w:pPr>
        <w:ind w:left="720" w:hanging="180"/>
      </w:pPr>
      <w:rPr>
        <w:rFonts w:ascii="Symbol" w:hAnsi="Symbol" w:hint="default"/>
      </w:rPr>
    </w:lvl>
    <w:lvl w:ilvl="1" w:tplc="B64632D8">
      <w:numFmt w:val="decimal"/>
      <w:lvlText w:val=""/>
      <w:lvlJc w:val="left"/>
    </w:lvl>
    <w:lvl w:ilvl="2" w:tplc="0E2CFCFA">
      <w:numFmt w:val="decimal"/>
      <w:lvlText w:val=""/>
      <w:lvlJc w:val="left"/>
    </w:lvl>
    <w:lvl w:ilvl="3" w:tplc="86864CDC">
      <w:numFmt w:val="decimal"/>
      <w:lvlText w:val=""/>
      <w:lvlJc w:val="left"/>
    </w:lvl>
    <w:lvl w:ilvl="4" w:tplc="2C9A57F8">
      <w:numFmt w:val="decimal"/>
      <w:lvlText w:val=""/>
      <w:lvlJc w:val="left"/>
    </w:lvl>
    <w:lvl w:ilvl="5" w:tplc="593A7AA4">
      <w:numFmt w:val="decimal"/>
      <w:lvlText w:val=""/>
      <w:lvlJc w:val="left"/>
    </w:lvl>
    <w:lvl w:ilvl="6" w:tplc="42426F18">
      <w:numFmt w:val="decimal"/>
      <w:lvlText w:val=""/>
      <w:lvlJc w:val="left"/>
    </w:lvl>
    <w:lvl w:ilvl="7" w:tplc="597A0E24">
      <w:numFmt w:val="decimal"/>
      <w:lvlText w:val=""/>
      <w:lvlJc w:val="left"/>
    </w:lvl>
    <w:lvl w:ilvl="8" w:tplc="BEB26D52">
      <w:numFmt w:val="decimal"/>
      <w:lvlText w:val=""/>
      <w:lvlJc w:val="left"/>
    </w:lvl>
  </w:abstractNum>
  <w:abstractNum w:abstractNumId="821" w15:restartNumberingAfterBreak="0">
    <w:nsid w:val="5A997BB3"/>
    <w:multiLevelType w:val="hybridMultilevel"/>
    <w:tmpl w:val="CBD89170"/>
    <w:lvl w:ilvl="0" w:tplc="142E6710">
      <w:start w:val="1"/>
      <w:numFmt w:val="bullet"/>
      <w:lvlText w:val=""/>
      <w:lvlJc w:val="left"/>
      <w:pPr>
        <w:ind w:left="720" w:hanging="180"/>
      </w:pPr>
      <w:rPr>
        <w:rFonts w:ascii="Symbol" w:hAnsi="Symbol" w:hint="default"/>
      </w:rPr>
    </w:lvl>
    <w:lvl w:ilvl="1" w:tplc="6ADCD392">
      <w:numFmt w:val="decimal"/>
      <w:lvlText w:val=""/>
      <w:lvlJc w:val="left"/>
    </w:lvl>
    <w:lvl w:ilvl="2" w:tplc="3384E0A0">
      <w:numFmt w:val="decimal"/>
      <w:lvlText w:val=""/>
      <w:lvlJc w:val="left"/>
    </w:lvl>
    <w:lvl w:ilvl="3" w:tplc="F5D0BDAE">
      <w:numFmt w:val="decimal"/>
      <w:lvlText w:val=""/>
      <w:lvlJc w:val="left"/>
    </w:lvl>
    <w:lvl w:ilvl="4" w:tplc="57D4BB3E">
      <w:numFmt w:val="decimal"/>
      <w:lvlText w:val=""/>
      <w:lvlJc w:val="left"/>
    </w:lvl>
    <w:lvl w:ilvl="5" w:tplc="F19CB44C">
      <w:numFmt w:val="decimal"/>
      <w:lvlText w:val=""/>
      <w:lvlJc w:val="left"/>
    </w:lvl>
    <w:lvl w:ilvl="6" w:tplc="70E8E0C6">
      <w:numFmt w:val="decimal"/>
      <w:lvlText w:val=""/>
      <w:lvlJc w:val="left"/>
    </w:lvl>
    <w:lvl w:ilvl="7" w:tplc="BBE00C34">
      <w:numFmt w:val="decimal"/>
      <w:lvlText w:val=""/>
      <w:lvlJc w:val="left"/>
    </w:lvl>
    <w:lvl w:ilvl="8" w:tplc="9B42BEA6">
      <w:numFmt w:val="decimal"/>
      <w:lvlText w:val=""/>
      <w:lvlJc w:val="left"/>
    </w:lvl>
  </w:abstractNum>
  <w:abstractNum w:abstractNumId="822" w15:restartNumberingAfterBreak="0">
    <w:nsid w:val="5AC75792"/>
    <w:multiLevelType w:val="hybridMultilevel"/>
    <w:tmpl w:val="91283A1A"/>
    <w:lvl w:ilvl="0" w:tplc="82EE55B8">
      <w:numFmt w:val="decimal"/>
      <w:lvlText w:val=""/>
      <w:lvlJc w:val="left"/>
    </w:lvl>
    <w:lvl w:ilvl="1" w:tplc="E3CEDE60">
      <w:start w:val="1"/>
      <w:numFmt w:val="bullet"/>
      <w:lvlText w:val=""/>
      <w:lvlJc w:val="left"/>
      <w:pPr>
        <w:ind w:left="1440" w:hanging="180"/>
      </w:pPr>
      <w:rPr>
        <w:rFonts w:ascii="Symbol" w:hAnsi="Symbol" w:hint="default"/>
      </w:rPr>
    </w:lvl>
    <w:lvl w:ilvl="2" w:tplc="BE7AC134">
      <w:numFmt w:val="decimal"/>
      <w:lvlText w:val=""/>
      <w:lvlJc w:val="left"/>
    </w:lvl>
    <w:lvl w:ilvl="3" w:tplc="7E0E5EB4">
      <w:numFmt w:val="decimal"/>
      <w:lvlText w:val=""/>
      <w:lvlJc w:val="left"/>
    </w:lvl>
    <w:lvl w:ilvl="4" w:tplc="7B84DE44">
      <w:numFmt w:val="decimal"/>
      <w:lvlText w:val=""/>
      <w:lvlJc w:val="left"/>
    </w:lvl>
    <w:lvl w:ilvl="5" w:tplc="69C058A8">
      <w:numFmt w:val="decimal"/>
      <w:lvlText w:val=""/>
      <w:lvlJc w:val="left"/>
    </w:lvl>
    <w:lvl w:ilvl="6" w:tplc="ACEC5BA8">
      <w:numFmt w:val="decimal"/>
      <w:lvlText w:val=""/>
      <w:lvlJc w:val="left"/>
    </w:lvl>
    <w:lvl w:ilvl="7" w:tplc="C588AB16">
      <w:numFmt w:val="decimal"/>
      <w:lvlText w:val=""/>
      <w:lvlJc w:val="left"/>
    </w:lvl>
    <w:lvl w:ilvl="8" w:tplc="F1ACD768">
      <w:numFmt w:val="decimal"/>
      <w:lvlText w:val=""/>
      <w:lvlJc w:val="left"/>
    </w:lvl>
  </w:abstractNum>
  <w:abstractNum w:abstractNumId="823" w15:restartNumberingAfterBreak="0">
    <w:nsid w:val="5AD27B6F"/>
    <w:multiLevelType w:val="hybridMultilevel"/>
    <w:tmpl w:val="3F260C34"/>
    <w:lvl w:ilvl="0" w:tplc="9856AA40">
      <w:start w:val="1"/>
      <w:numFmt w:val="bullet"/>
      <w:lvlText w:val=""/>
      <w:lvlJc w:val="left"/>
      <w:pPr>
        <w:ind w:left="720" w:hanging="180"/>
      </w:pPr>
      <w:rPr>
        <w:rFonts w:ascii="Symbol" w:hAnsi="Symbol" w:hint="default"/>
      </w:rPr>
    </w:lvl>
    <w:lvl w:ilvl="1" w:tplc="F52E682C">
      <w:numFmt w:val="decimal"/>
      <w:lvlText w:val=""/>
      <w:lvlJc w:val="left"/>
    </w:lvl>
    <w:lvl w:ilvl="2" w:tplc="0144EFD2">
      <w:numFmt w:val="decimal"/>
      <w:lvlText w:val=""/>
      <w:lvlJc w:val="left"/>
    </w:lvl>
    <w:lvl w:ilvl="3" w:tplc="F014C482">
      <w:numFmt w:val="decimal"/>
      <w:lvlText w:val=""/>
      <w:lvlJc w:val="left"/>
    </w:lvl>
    <w:lvl w:ilvl="4" w:tplc="3AF88692">
      <w:numFmt w:val="decimal"/>
      <w:lvlText w:val=""/>
      <w:lvlJc w:val="left"/>
    </w:lvl>
    <w:lvl w:ilvl="5" w:tplc="153851BE">
      <w:numFmt w:val="decimal"/>
      <w:lvlText w:val=""/>
      <w:lvlJc w:val="left"/>
    </w:lvl>
    <w:lvl w:ilvl="6" w:tplc="4EB28DE2">
      <w:numFmt w:val="decimal"/>
      <w:lvlText w:val=""/>
      <w:lvlJc w:val="left"/>
    </w:lvl>
    <w:lvl w:ilvl="7" w:tplc="A014C11C">
      <w:numFmt w:val="decimal"/>
      <w:lvlText w:val=""/>
      <w:lvlJc w:val="left"/>
    </w:lvl>
    <w:lvl w:ilvl="8" w:tplc="EB5CBDA4">
      <w:numFmt w:val="decimal"/>
      <w:lvlText w:val=""/>
      <w:lvlJc w:val="left"/>
    </w:lvl>
  </w:abstractNum>
  <w:abstractNum w:abstractNumId="824" w15:restartNumberingAfterBreak="0">
    <w:nsid w:val="5AF53912"/>
    <w:multiLevelType w:val="hybridMultilevel"/>
    <w:tmpl w:val="47B089F2"/>
    <w:lvl w:ilvl="0" w:tplc="8F24D136">
      <w:start w:val="1"/>
      <w:numFmt w:val="bullet"/>
      <w:lvlText w:val=""/>
      <w:lvlJc w:val="left"/>
      <w:pPr>
        <w:ind w:left="720" w:hanging="180"/>
      </w:pPr>
      <w:rPr>
        <w:rFonts w:ascii="Symbol" w:hAnsi="Symbol" w:hint="default"/>
      </w:rPr>
    </w:lvl>
    <w:lvl w:ilvl="1" w:tplc="C49078F0">
      <w:numFmt w:val="decimal"/>
      <w:lvlText w:val=""/>
      <w:lvlJc w:val="left"/>
    </w:lvl>
    <w:lvl w:ilvl="2" w:tplc="F6C806BA">
      <w:numFmt w:val="decimal"/>
      <w:lvlText w:val=""/>
      <w:lvlJc w:val="left"/>
    </w:lvl>
    <w:lvl w:ilvl="3" w:tplc="7882878A">
      <w:numFmt w:val="decimal"/>
      <w:lvlText w:val=""/>
      <w:lvlJc w:val="left"/>
    </w:lvl>
    <w:lvl w:ilvl="4" w:tplc="2D2653A6">
      <w:numFmt w:val="decimal"/>
      <w:lvlText w:val=""/>
      <w:lvlJc w:val="left"/>
    </w:lvl>
    <w:lvl w:ilvl="5" w:tplc="849E3554">
      <w:numFmt w:val="decimal"/>
      <w:lvlText w:val=""/>
      <w:lvlJc w:val="left"/>
    </w:lvl>
    <w:lvl w:ilvl="6" w:tplc="5E881AA2">
      <w:numFmt w:val="decimal"/>
      <w:lvlText w:val=""/>
      <w:lvlJc w:val="left"/>
    </w:lvl>
    <w:lvl w:ilvl="7" w:tplc="F9422036">
      <w:numFmt w:val="decimal"/>
      <w:lvlText w:val=""/>
      <w:lvlJc w:val="left"/>
    </w:lvl>
    <w:lvl w:ilvl="8" w:tplc="01AECAB4">
      <w:numFmt w:val="decimal"/>
      <w:lvlText w:val=""/>
      <w:lvlJc w:val="left"/>
    </w:lvl>
  </w:abstractNum>
  <w:abstractNum w:abstractNumId="825" w15:restartNumberingAfterBreak="0">
    <w:nsid w:val="5B115437"/>
    <w:multiLevelType w:val="hybridMultilevel"/>
    <w:tmpl w:val="09320238"/>
    <w:lvl w:ilvl="0" w:tplc="623E58E6">
      <w:numFmt w:val="decimal"/>
      <w:lvlText w:val=""/>
      <w:lvlJc w:val="left"/>
    </w:lvl>
    <w:lvl w:ilvl="1" w:tplc="03F42116">
      <w:start w:val="1"/>
      <w:numFmt w:val="bullet"/>
      <w:lvlText w:val=""/>
      <w:lvlJc w:val="left"/>
      <w:pPr>
        <w:ind w:left="1440" w:hanging="180"/>
      </w:pPr>
      <w:rPr>
        <w:rFonts w:ascii="Symbol" w:hAnsi="Symbol" w:hint="default"/>
      </w:rPr>
    </w:lvl>
    <w:lvl w:ilvl="2" w:tplc="A7222EC6">
      <w:numFmt w:val="decimal"/>
      <w:lvlText w:val=""/>
      <w:lvlJc w:val="left"/>
    </w:lvl>
    <w:lvl w:ilvl="3" w:tplc="A880CD62">
      <w:numFmt w:val="decimal"/>
      <w:lvlText w:val=""/>
      <w:lvlJc w:val="left"/>
    </w:lvl>
    <w:lvl w:ilvl="4" w:tplc="CB10AB18">
      <w:numFmt w:val="decimal"/>
      <w:lvlText w:val=""/>
      <w:lvlJc w:val="left"/>
    </w:lvl>
    <w:lvl w:ilvl="5" w:tplc="579EABFC">
      <w:numFmt w:val="decimal"/>
      <w:lvlText w:val=""/>
      <w:lvlJc w:val="left"/>
    </w:lvl>
    <w:lvl w:ilvl="6" w:tplc="68201C98">
      <w:numFmt w:val="decimal"/>
      <w:lvlText w:val=""/>
      <w:lvlJc w:val="left"/>
    </w:lvl>
    <w:lvl w:ilvl="7" w:tplc="687AAAE6">
      <w:numFmt w:val="decimal"/>
      <w:lvlText w:val=""/>
      <w:lvlJc w:val="left"/>
    </w:lvl>
    <w:lvl w:ilvl="8" w:tplc="AB9AA1B4">
      <w:numFmt w:val="decimal"/>
      <w:lvlText w:val=""/>
      <w:lvlJc w:val="left"/>
    </w:lvl>
  </w:abstractNum>
  <w:abstractNum w:abstractNumId="826" w15:restartNumberingAfterBreak="0">
    <w:nsid w:val="5B2F6C66"/>
    <w:multiLevelType w:val="hybridMultilevel"/>
    <w:tmpl w:val="B46E95C4"/>
    <w:lvl w:ilvl="0" w:tplc="FFE490EE">
      <w:start w:val="1"/>
      <w:numFmt w:val="bullet"/>
      <w:lvlText w:val=""/>
      <w:lvlJc w:val="left"/>
      <w:pPr>
        <w:ind w:left="720" w:hanging="180"/>
      </w:pPr>
      <w:rPr>
        <w:rFonts w:ascii="Symbol" w:hAnsi="Symbol" w:hint="default"/>
      </w:rPr>
    </w:lvl>
    <w:lvl w:ilvl="1" w:tplc="76D67400">
      <w:numFmt w:val="decimal"/>
      <w:lvlText w:val=""/>
      <w:lvlJc w:val="left"/>
    </w:lvl>
    <w:lvl w:ilvl="2" w:tplc="95B01A06">
      <w:numFmt w:val="decimal"/>
      <w:lvlText w:val=""/>
      <w:lvlJc w:val="left"/>
    </w:lvl>
    <w:lvl w:ilvl="3" w:tplc="9F24D116">
      <w:numFmt w:val="decimal"/>
      <w:lvlText w:val=""/>
      <w:lvlJc w:val="left"/>
    </w:lvl>
    <w:lvl w:ilvl="4" w:tplc="C1F2F1E8">
      <w:numFmt w:val="decimal"/>
      <w:lvlText w:val=""/>
      <w:lvlJc w:val="left"/>
    </w:lvl>
    <w:lvl w:ilvl="5" w:tplc="183618EC">
      <w:numFmt w:val="decimal"/>
      <w:lvlText w:val=""/>
      <w:lvlJc w:val="left"/>
    </w:lvl>
    <w:lvl w:ilvl="6" w:tplc="932C95DE">
      <w:numFmt w:val="decimal"/>
      <w:lvlText w:val=""/>
      <w:lvlJc w:val="left"/>
    </w:lvl>
    <w:lvl w:ilvl="7" w:tplc="D5163E9E">
      <w:numFmt w:val="decimal"/>
      <w:lvlText w:val=""/>
      <w:lvlJc w:val="left"/>
    </w:lvl>
    <w:lvl w:ilvl="8" w:tplc="977A964A">
      <w:numFmt w:val="decimal"/>
      <w:lvlText w:val=""/>
      <w:lvlJc w:val="left"/>
    </w:lvl>
  </w:abstractNum>
  <w:abstractNum w:abstractNumId="827" w15:restartNumberingAfterBreak="0">
    <w:nsid w:val="5B6907E9"/>
    <w:multiLevelType w:val="hybridMultilevel"/>
    <w:tmpl w:val="3E9437C8"/>
    <w:lvl w:ilvl="0" w:tplc="667C1442">
      <w:start w:val="1"/>
      <w:numFmt w:val="bullet"/>
      <w:lvlText w:val=""/>
      <w:lvlJc w:val="left"/>
      <w:pPr>
        <w:ind w:left="720" w:hanging="180"/>
      </w:pPr>
      <w:rPr>
        <w:rFonts w:ascii="Symbol" w:hAnsi="Symbol" w:hint="default"/>
      </w:rPr>
    </w:lvl>
    <w:lvl w:ilvl="1" w:tplc="67664232">
      <w:numFmt w:val="decimal"/>
      <w:lvlText w:val=""/>
      <w:lvlJc w:val="left"/>
    </w:lvl>
    <w:lvl w:ilvl="2" w:tplc="C2F83C74">
      <w:numFmt w:val="decimal"/>
      <w:lvlText w:val=""/>
      <w:lvlJc w:val="left"/>
    </w:lvl>
    <w:lvl w:ilvl="3" w:tplc="B218D088">
      <w:numFmt w:val="decimal"/>
      <w:lvlText w:val=""/>
      <w:lvlJc w:val="left"/>
    </w:lvl>
    <w:lvl w:ilvl="4" w:tplc="8ECA7E0A">
      <w:numFmt w:val="decimal"/>
      <w:lvlText w:val=""/>
      <w:lvlJc w:val="left"/>
    </w:lvl>
    <w:lvl w:ilvl="5" w:tplc="A312515A">
      <w:numFmt w:val="decimal"/>
      <w:lvlText w:val=""/>
      <w:lvlJc w:val="left"/>
    </w:lvl>
    <w:lvl w:ilvl="6" w:tplc="61A0B9D8">
      <w:numFmt w:val="decimal"/>
      <w:lvlText w:val=""/>
      <w:lvlJc w:val="left"/>
    </w:lvl>
    <w:lvl w:ilvl="7" w:tplc="2200D618">
      <w:numFmt w:val="decimal"/>
      <w:lvlText w:val=""/>
      <w:lvlJc w:val="left"/>
    </w:lvl>
    <w:lvl w:ilvl="8" w:tplc="12DE1A42">
      <w:numFmt w:val="decimal"/>
      <w:lvlText w:val=""/>
      <w:lvlJc w:val="left"/>
    </w:lvl>
  </w:abstractNum>
  <w:abstractNum w:abstractNumId="828" w15:restartNumberingAfterBreak="0">
    <w:nsid w:val="5B6D3268"/>
    <w:multiLevelType w:val="hybridMultilevel"/>
    <w:tmpl w:val="018A506A"/>
    <w:lvl w:ilvl="0" w:tplc="47AAC23A">
      <w:numFmt w:val="decimal"/>
      <w:lvlText w:val=""/>
      <w:lvlJc w:val="left"/>
    </w:lvl>
    <w:lvl w:ilvl="1" w:tplc="ABA6B492">
      <w:start w:val="1"/>
      <w:numFmt w:val="bullet"/>
      <w:lvlText w:val=""/>
      <w:lvlJc w:val="left"/>
      <w:pPr>
        <w:ind w:left="1440" w:hanging="180"/>
      </w:pPr>
      <w:rPr>
        <w:rFonts w:ascii="Symbol" w:hAnsi="Symbol" w:hint="default"/>
      </w:rPr>
    </w:lvl>
    <w:lvl w:ilvl="2" w:tplc="E6A61AD2">
      <w:numFmt w:val="decimal"/>
      <w:lvlText w:val=""/>
      <w:lvlJc w:val="left"/>
    </w:lvl>
    <w:lvl w:ilvl="3" w:tplc="6F36F198">
      <w:numFmt w:val="decimal"/>
      <w:lvlText w:val=""/>
      <w:lvlJc w:val="left"/>
    </w:lvl>
    <w:lvl w:ilvl="4" w:tplc="E86C296A">
      <w:numFmt w:val="decimal"/>
      <w:lvlText w:val=""/>
      <w:lvlJc w:val="left"/>
    </w:lvl>
    <w:lvl w:ilvl="5" w:tplc="472015BE">
      <w:numFmt w:val="decimal"/>
      <w:lvlText w:val=""/>
      <w:lvlJc w:val="left"/>
    </w:lvl>
    <w:lvl w:ilvl="6" w:tplc="582278BC">
      <w:numFmt w:val="decimal"/>
      <w:lvlText w:val=""/>
      <w:lvlJc w:val="left"/>
    </w:lvl>
    <w:lvl w:ilvl="7" w:tplc="3A92659E">
      <w:numFmt w:val="decimal"/>
      <w:lvlText w:val=""/>
      <w:lvlJc w:val="left"/>
    </w:lvl>
    <w:lvl w:ilvl="8" w:tplc="EEC6CD32">
      <w:numFmt w:val="decimal"/>
      <w:lvlText w:val=""/>
      <w:lvlJc w:val="left"/>
    </w:lvl>
  </w:abstractNum>
  <w:abstractNum w:abstractNumId="829" w15:restartNumberingAfterBreak="0">
    <w:nsid w:val="5B7F56BD"/>
    <w:multiLevelType w:val="hybridMultilevel"/>
    <w:tmpl w:val="A050AFFA"/>
    <w:lvl w:ilvl="0" w:tplc="B21EC624">
      <w:start w:val="1"/>
      <w:numFmt w:val="bullet"/>
      <w:lvlText w:val=""/>
      <w:lvlJc w:val="left"/>
      <w:pPr>
        <w:ind w:left="720" w:hanging="180"/>
      </w:pPr>
      <w:rPr>
        <w:rFonts w:ascii="Symbol" w:hAnsi="Symbol" w:hint="default"/>
      </w:rPr>
    </w:lvl>
    <w:lvl w:ilvl="1" w:tplc="09382D7E">
      <w:numFmt w:val="decimal"/>
      <w:lvlText w:val=""/>
      <w:lvlJc w:val="left"/>
    </w:lvl>
    <w:lvl w:ilvl="2" w:tplc="98C2B23E">
      <w:numFmt w:val="decimal"/>
      <w:lvlText w:val=""/>
      <w:lvlJc w:val="left"/>
    </w:lvl>
    <w:lvl w:ilvl="3" w:tplc="7A5EEE2A">
      <w:numFmt w:val="decimal"/>
      <w:lvlText w:val=""/>
      <w:lvlJc w:val="left"/>
    </w:lvl>
    <w:lvl w:ilvl="4" w:tplc="4A481560">
      <w:numFmt w:val="decimal"/>
      <w:lvlText w:val=""/>
      <w:lvlJc w:val="left"/>
    </w:lvl>
    <w:lvl w:ilvl="5" w:tplc="869A676A">
      <w:numFmt w:val="decimal"/>
      <w:lvlText w:val=""/>
      <w:lvlJc w:val="left"/>
    </w:lvl>
    <w:lvl w:ilvl="6" w:tplc="CA386C8A">
      <w:numFmt w:val="decimal"/>
      <w:lvlText w:val=""/>
      <w:lvlJc w:val="left"/>
    </w:lvl>
    <w:lvl w:ilvl="7" w:tplc="53AC79E2">
      <w:numFmt w:val="decimal"/>
      <w:lvlText w:val=""/>
      <w:lvlJc w:val="left"/>
    </w:lvl>
    <w:lvl w:ilvl="8" w:tplc="36BAC66C">
      <w:numFmt w:val="decimal"/>
      <w:lvlText w:val=""/>
      <w:lvlJc w:val="left"/>
    </w:lvl>
  </w:abstractNum>
  <w:abstractNum w:abstractNumId="830" w15:restartNumberingAfterBreak="0">
    <w:nsid w:val="5B81393F"/>
    <w:multiLevelType w:val="hybridMultilevel"/>
    <w:tmpl w:val="AA3C6296"/>
    <w:lvl w:ilvl="0" w:tplc="AE66074E">
      <w:numFmt w:val="decimal"/>
      <w:lvlText w:val=""/>
      <w:lvlJc w:val="left"/>
    </w:lvl>
    <w:lvl w:ilvl="1" w:tplc="9B9AFE94">
      <w:start w:val="1"/>
      <w:numFmt w:val="bullet"/>
      <w:lvlText w:val=""/>
      <w:lvlJc w:val="left"/>
      <w:pPr>
        <w:ind w:left="1440" w:hanging="180"/>
      </w:pPr>
      <w:rPr>
        <w:rFonts w:ascii="Symbol" w:hAnsi="Symbol" w:hint="default"/>
      </w:rPr>
    </w:lvl>
    <w:lvl w:ilvl="2" w:tplc="0A4EBAEE">
      <w:numFmt w:val="decimal"/>
      <w:lvlText w:val=""/>
      <w:lvlJc w:val="left"/>
    </w:lvl>
    <w:lvl w:ilvl="3" w:tplc="F258CD28">
      <w:numFmt w:val="decimal"/>
      <w:lvlText w:val=""/>
      <w:lvlJc w:val="left"/>
    </w:lvl>
    <w:lvl w:ilvl="4" w:tplc="FDC2B020">
      <w:numFmt w:val="decimal"/>
      <w:lvlText w:val=""/>
      <w:lvlJc w:val="left"/>
    </w:lvl>
    <w:lvl w:ilvl="5" w:tplc="4E6859F2">
      <w:numFmt w:val="decimal"/>
      <w:lvlText w:val=""/>
      <w:lvlJc w:val="left"/>
    </w:lvl>
    <w:lvl w:ilvl="6" w:tplc="11B25C20">
      <w:numFmt w:val="decimal"/>
      <w:lvlText w:val=""/>
      <w:lvlJc w:val="left"/>
    </w:lvl>
    <w:lvl w:ilvl="7" w:tplc="CF8A5CFC">
      <w:numFmt w:val="decimal"/>
      <w:lvlText w:val=""/>
      <w:lvlJc w:val="left"/>
    </w:lvl>
    <w:lvl w:ilvl="8" w:tplc="B8AE7C20">
      <w:numFmt w:val="decimal"/>
      <w:lvlText w:val=""/>
      <w:lvlJc w:val="left"/>
    </w:lvl>
  </w:abstractNum>
  <w:abstractNum w:abstractNumId="831" w15:restartNumberingAfterBreak="0">
    <w:nsid w:val="5BA80A7A"/>
    <w:multiLevelType w:val="hybridMultilevel"/>
    <w:tmpl w:val="4D067172"/>
    <w:lvl w:ilvl="0" w:tplc="977043B4">
      <w:start w:val="1"/>
      <w:numFmt w:val="bullet"/>
      <w:lvlText w:val=""/>
      <w:lvlJc w:val="left"/>
      <w:pPr>
        <w:ind w:left="720" w:hanging="180"/>
      </w:pPr>
      <w:rPr>
        <w:rFonts w:ascii="Symbol" w:hAnsi="Symbol" w:hint="default"/>
      </w:rPr>
    </w:lvl>
    <w:lvl w:ilvl="1" w:tplc="A82AD8E6">
      <w:numFmt w:val="decimal"/>
      <w:lvlText w:val=""/>
      <w:lvlJc w:val="left"/>
    </w:lvl>
    <w:lvl w:ilvl="2" w:tplc="6B5E7314">
      <w:numFmt w:val="decimal"/>
      <w:lvlText w:val=""/>
      <w:lvlJc w:val="left"/>
    </w:lvl>
    <w:lvl w:ilvl="3" w:tplc="3AF4F7BA">
      <w:numFmt w:val="decimal"/>
      <w:lvlText w:val=""/>
      <w:lvlJc w:val="left"/>
    </w:lvl>
    <w:lvl w:ilvl="4" w:tplc="4AD4F576">
      <w:numFmt w:val="decimal"/>
      <w:lvlText w:val=""/>
      <w:lvlJc w:val="left"/>
    </w:lvl>
    <w:lvl w:ilvl="5" w:tplc="6E52B6A4">
      <w:numFmt w:val="decimal"/>
      <w:lvlText w:val=""/>
      <w:lvlJc w:val="left"/>
    </w:lvl>
    <w:lvl w:ilvl="6" w:tplc="59A46B64">
      <w:numFmt w:val="decimal"/>
      <w:lvlText w:val=""/>
      <w:lvlJc w:val="left"/>
    </w:lvl>
    <w:lvl w:ilvl="7" w:tplc="7E3EAF7E">
      <w:numFmt w:val="decimal"/>
      <w:lvlText w:val=""/>
      <w:lvlJc w:val="left"/>
    </w:lvl>
    <w:lvl w:ilvl="8" w:tplc="F4FABD24">
      <w:numFmt w:val="decimal"/>
      <w:lvlText w:val=""/>
      <w:lvlJc w:val="left"/>
    </w:lvl>
  </w:abstractNum>
  <w:abstractNum w:abstractNumId="832" w15:restartNumberingAfterBreak="0">
    <w:nsid w:val="5BAD41CE"/>
    <w:multiLevelType w:val="hybridMultilevel"/>
    <w:tmpl w:val="9F9CADBC"/>
    <w:lvl w:ilvl="0" w:tplc="74A694CC">
      <w:start w:val="1"/>
      <w:numFmt w:val="bullet"/>
      <w:lvlText w:val=""/>
      <w:lvlJc w:val="left"/>
      <w:pPr>
        <w:ind w:left="720" w:hanging="180"/>
      </w:pPr>
      <w:rPr>
        <w:rFonts w:ascii="Symbol" w:hAnsi="Symbol" w:hint="default"/>
      </w:rPr>
    </w:lvl>
    <w:lvl w:ilvl="1" w:tplc="C4A6B9D2">
      <w:numFmt w:val="decimal"/>
      <w:lvlText w:val=""/>
      <w:lvlJc w:val="left"/>
    </w:lvl>
    <w:lvl w:ilvl="2" w:tplc="57B6736C">
      <w:numFmt w:val="decimal"/>
      <w:lvlText w:val=""/>
      <w:lvlJc w:val="left"/>
    </w:lvl>
    <w:lvl w:ilvl="3" w:tplc="74C8ABDA">
      <w:numFmt w:val="decimal"/>
      <w:lvlText w:val=""/>
      <w:lvlJc w:val="left"/>
    </w:lvl>
    <w:lvl w:ilvl="4" w:tplc="497C90A6">
      <w:numFmt w:val="decimal"/>
      <w:lvlText w:val=""/>
      <w:lvlJc w:val="left"/>
    </w:lvl>
    <w:lvl w:ilvl="5" w:tplc="C930DBA4">
      <w:numFmt w:val="decimal"/>
      <w:lvlText w:val=""/>
      <w:lvlJc w:val="left"/>
    </w:lvl>
    <w:lvl w:ilvl="6" w:tplc="D5A0E198">
      <w:numFmt w:val="decimal"/>
      <w:lvlText w:val=""/>
      <w:lvlJc w:val="left"/>
    </w:lvl>
    <w:lvl w:ilvl="7" w:tplc="3DAA067A">
      <w:numFmt w:val="decimal"/>
      <w:lvlText w:val=""/>
      <w:lvlJc w:val="left"/>
    </w:lvl>
    <w:lvl w:ilvl="8" w:tplc="F1BE9978">
      <w:numFmt w:val="decimal"/>
      <w:lvlText w:val=""/>
      <w:lvlJc w:val="left"/>
    </w:lvl>
  </w:abstractNum>
  <w:abstractNum w:abstractNumId="833" w15:restartNumberingAfterBreak="0">
    <w:nsid w:val="5BC72CE3"/>
    <w:multiLevelType w:val="hybridMultilevel"/>
    <w:tmpl w:val="787EDBB6"/>
    <w:lvl w:ilvl="0" w:tplc="58DAFA68">
      <w:start w:val="1"/>
      <w:numFmt w:val="bullet"/>
      <w:lvlText w:val=""/>
      <w:lvlJc w:val="left"/>
      <w:pPr>
        <w:ind w:left="720" w:hanging="180"/>
      </w:pPr>
      <w:rPr>
        <w:rFonts w:ascii="Symbol" w:hAnsi="Symbol" w:hint="default"/>
      </w:rPr>
    </w:lvl>
    <w:lvl w:ilvl="1" w:tplc="2FDC58DE">
      <w:numFmt w:val="decimal"/>
      <w:lvlText w:val=""/>
      <w:lvlJc w:val="left"/>
    </w:lvl>
    <w:lvl w:ilvl="2" w:tplc="D1066982">
      <w:numFmt w:val="decimal"/>
      <w:lvlText w:val=""/>
      <w:lvlJc w:val="left"/>
    </w:lvl>
    <w:lvl w:ilvl="3" w:tplc="22187B38">
      <w:numFmt w:val="decimal"/>
      <w:lvlText w:val=""/>
      <w:lvlJc w:val="left"/>
    </w:lvl>
    <w:lvl w:ilvl="4" w:tplc="90EADEA4">
      <w:numFmt w:val="decimal"/>
      <w:lvlText w:val=""/>
      <w:lvlJc w:val="left"/>
    </w:lvl>
    <w:lvl w:ilvl="5" w:tplc="CD8AACE2">
      <w:numFmt w:val="decimal"/>
      <w:lvlText w:val=""/>
      <w:lvlJc w:val="left"/>
    </w:lvl>
    <w:lvl w:ilvl="6" w:tplc="E3B0906A">
      <w:numFmt w:val="decimal"/>
      <w:lvlText w:val=""/>
      <w:lvlJc w:val="left"/>
    </w:lvl>
    <w:lvl w:ilvl="7" w:tplc="A5B6C58A">
      <w:numFmt w:val="decimal"/>
      <w:lvlText w:val=""/>
      <w:lvlJc w:val="left"/>
    </w:lvl>
    <w:lvl w:ilvl="8" w:tplc="DE12EEB6">
      <w:numFmt w:val="decimal"/>
      <w:lvlText w:val=""/>
      <w:lvlJc w:val="left"/>
    </w:lvl>
  </w:abstractNum>
  <w:abstractNum w:abstractNumId="834" w15:restartNumberingAfterBreak="0">
    <w:nsid w:val="5BFA43E7"/>
    <w:multiLevelType w:val="hybridMultilevel"/>
    <w:tmpl w:val="89DA0684"/>
    <w:lvl w:ilvl="0" w:tplc="52C83C86">
      <w:start w:val="1"/>
      <w:numFmt w:val="bullet"/>
      <w:lvlText w:val=""/>
      <w:lvlJc w:val="left"/>
      <w:pPr>
        <w:ind w:left="720" w:hanging="180"/>
      </w:pPr>
      <w:rPr>
        <w:rFonts w:ascii="Symbol" w:hAnsi="Symbol" w:hint="default"/>
      </w:rPr>
    </w:lvl>
    <w:lvl w:ilvl="1" w:tplc="39A85C02">
      <w:numFmt w:val="decimal"/>
      <w:lvlText w:val=""/>
      <w:lvlJc w:val="left"/>
    </w:lvl>
    <w:lvl w:ilvl="2" w:tplc="27D0DA08">
      <w:numFmt w:val="decimal"/>
      <w:lvlText w:val=""/>
      <w:lvlJc w:val="left"/>
    </w:lvl>
    <w:lvl w:ilvl="3" w:tplc="1E62187C">
      <w:numFmt w:val="decimal"/>
      <w:lvlText w:val=""/>
      <w:lvlJc w:val="left"/>
    </w:lvl>
    <w:lvl w:ilvl="4" w:tplc="AD3C6010">
      <w:numFmt w:val="decimal"/>
      <w:lvlText w:val=""/>
      <w:lvlJc w:val="left"/>
    </w:lvl>
    <w:lvl w:ilvl="5" w:tplc="C346DA1C">
      <w:numFmt w:val="decimal"/>
      <w:lvlText w:val=""/>
      <w:lvlJc w:val="left"/>
    </w:lvl>
    <w:lvl w:ilvl="6" w:tplc="0A022D58">
      <w:numFmt w:val="decimal"/>
      <w:lvlText w:val=""/>
      <w:lvlJc w:val="left"/>
    </w:lvl>
    <w:lvl w:ilvl="7" w:tplc="0130DAD4">
      <w:numFmt w:val="decimal"/>
      <w:lvlText w:val=""/>
      <w:lvlJc w:val="left"/>
    </w:lvl>
    <w:lvl w:ilvl="8" w:tplc="846C89FC">
      <w:numFmt w:val="decimal"/>
      <w:lvlText w:val=""/>
      <w:lvlJc w:val="left"/>
    </w:lvl>
  </w:abstractNum>
  <w:abstractNum w:abstractNumId="835" w15:restartNumberingAfterBreak="0">
    <w:nsid w:val="5C2126DD"/>
    <w:multiLevelType w:val="hybridMultilevel"/>
    <w:tmpl w:val="4B58E60A"/>
    <w:lvl w:ilvl="0" w:tplc="8C5C09B6">
      <w:start w:val="1"/>
      <w:numFmt w:val="bullet"/>
      <w:lvlText w:val=""/>
      <w:lvlJc w:val="left"/>
      <w:pPr>
        <w:ind w:left="720" w:hanging="180"/>
      </w:pPr>
      <w:rPr>
        <w:rFonts w:ascii="Symbol" w:hAnsi="Symbol" w:hint="default"/>
      </w:rPr>
    </w:lvl>
    <w:lvl w:ilvl="1" w:tplc="DBD4F7CE">
      <w:numFmt w:val="decimal"/>
      <w:lvlText w:val=""/>
      <w:lvlJc w:val="left"/>
    </w:lvl>
    <w:lvl w:ilvl="2" w:tplc="45543D5E">
      <w:numFmt w:val="decimal"/>
      <w:lvlText w:val=""/>
      <w:lvlJc w:val="left"/>
    </w:lvl>
    <w:lvl w:ilvl="3" w:tplc="94342DEE">
      <w:numFmt w:val="decimal"/>
      <w:lvlText w:val=""/>
      <w:lvlJc w:val="left"/>
    </w:lvl>
    <w:lvl w:ilvl="4" w:tplc="71DA29F0">
      <w:numFmt w:val="decimal"/>
      <w:lvlText w:val=""/>
      <w:lvlJc w:val="left"/>
    </w:lvl>
    <w:lvl w:ilvl="5" w:tplc="66AA1B30">
      <w:numFmt w:val="decimal"/>
      <w:lvlText w:val=""/>
      <w:lvlJc w:val="left"/>
    </w:lvl>
    <w:lvl w:ilvl="6" w:tplc="4132A82E">
      <w:numFmt w:val="decimal"/>
      <w:lvlText w:val=""/>
      <w:lvlJc w:val="left"/>
    </w:lvl>
    <w:lvl w:ilvl="7" w:tplc="97CC18D6">
      <w:numFmt w:val="decimal"/>
      <w:lvlText w:val=""/>
      <w:lvlJc w:val="left"/>
    </w:lvl>
    <w:lvl w:ilvl="8" w:tplc="3C4A4C32">
      <w:numFmt w:val="decimal"/>
      <w:lvlText w:val=""/>
      <w:lvlJc w:val="left"/>
    </w:lvl>
  </w:abstractNum>
  <w:abstractNum w:abstractNumId="836" w15:restartNumberingAfterBreak="0">
    <w:nsid w:val="5C4B6B7A"/>
    <w:multiLevelType w:val="hybridMultilevel"/>
    <w:tmpl w:val="E2A6AE64"/>
    <w:lvl w:ilvl="0" w:tplc="CD54B44E">
      <w:start w:val="1"/>
      <w:numFmt w:val="bullet"/>
      <w:lvlText w:val=""/>
      <w:lvlJc w:val="left"/>
      <w:pPr>
        <w:ind w:left="720" w:hanging="180"/>
      </w:pPr>
      <w:rPr>
        <w:rFonts w:ascii="Symbol" w:hAnsi="Symbol" w:hint="default"/>
      </w:rPr>
    </w:lvl>
    <w:lvl w:ilvl="1" w:tplc="8EF83326">
      <w:numFmt w:val="decimal"/>
      <w:lvlText w:val=""/>
      <w:lvlJc w:val="left"/>
    </w:lvl>
    <w:lvl w:ilvl="2" w:tplc="99EC6690">
      <w:numFmt w:val="decimal"/>
      <w:lvlText w:val=""/>
      <w:lvlJc w:val="left"/>
    </w:lvl>
    <w:lvl w:ilvl="3" w:tplc="435A692A">
      <w:numFmt w:val="decimal"/>
      <w:lvlText w:val=""/>
      <w:lvlJc w:val="left"/>
    </w:lvl>
    <w:lvl w:ilvl="4" w:tplc="09989162">
      <w:numFmt w:val="decimal"/>
      <w:lvlText w:val=""/>
      <w:lvlJc w:val="left"/>
    </w:lvl>
    <w:lvl w:ilvl="5" w:tplc="F1F6EEE4">
      <w:numFmt w:val="decimal"/>
      <w:lvlText w:val=""/>
      <w:lvlJc w:val="left"/>
    </w:lvl>
    <w:lvl w:ilvl="6" w:tplc="4CE6867E">
      <w:numFmt w:val="decimal"/>
      <w:lvlText w:val=""/>
      <w:lvlJc w:val="left"/>
    </w:lvl>
    <w:lvl w:ilvl="7" w:tplc="231C2DD8">
      <w:numFmt w:val="decimal"/>
      <w:lvlText w:val=""/>
      <w:lvlJc w:val="left"/>
    </w:lvl>
    <w:lvl w:ilvl="8" w:tplc="313AF61C">
      <w:numFmt w:val="decimal"/>
      <w:lvlText w:val=""/>
      <w:lvlJc w:val="left"/>
    </w:lvl>
  </w:abstractNum>
  <w:abstractNum w:abstractNumId="837" w15:restartNumberingAfterBreak="0">
    <w:nsid w:val="5C8F2268"/>
    <w:multiLevelType w:val="hybridMultilevel"/>
    <w:tmpl w:val="55AADA02"/>
    <w:lvl w:ilvl="0" w:tplc="00AC4296">
      <w:start w:val="1"/>
      <w:numFmt w:val="bullet"/>
      <w:lvlText w:val=""/>
      <w:lvlJc w:val="left"/>
      <w:pPr>
        <w:ind w:left="720" w:hanging="180"/>
      </w:pPr>
      <w:rPr>
        <w:rFonts w:ascii="Symbol" w:hAnsi="Symbol" w:hint="default"/>
      </w:rPr>
    </w:lvl>
    <w:lvl w:ilvl="1" w:tplc="06BE0CD6">
      <w:numFmt w:val="decimal"/>
      <w:lvlText w:val=""/>
      <w:lvlJc w:val="left"/>
    </w:lvl>
    <w:lvl w:ilvl="2" w:tplc="ABF8F44E">
      <w:numFmt w:val="decimal"/>
      <w:lvlText w:val=""/>
      <w:lvlJc w:val="left"/>
    </w:lvl>
    <w:lvl w:ilvl="3" w:tplc="EF90F706">
      <w:numFmt w:val="decimal"/>
      <w:lvlText w:val=""/>
      <w:lvlJc w:val="left"/>
    </w:lvl>
    <w:lvl w:ilvl="4" w:tplc="45B0F0EC">
      <w:numFmt w:val="decimal"/>
      <w:lvlText w:val=""/>
      <w:lvlJc w:val="left"/>
    </w:lvl>
    <w:lvl w:ilvl="5" w:tplc="451E102C">
      <w:numFmt w:val="decimal"/>
      <w:lvlText w:val=""/>
      <w:lvlJc w:val="left"/>
    </w:lvl>
    <w:lvl w:ilvl="6" w:tplc="DB68B1DC">
      <w:numFmt w:val="decimal"/>
      <w:lvlText w:val=""/>
      <w:lvlJc w:val="left"/>
    </w:lvl>
    <w:lvl w:ilvl="7" w:tplc="E9CAAF98">
      <w:numFmt w:val="decimal"/>
      <w:lvlText w:val=""/>
      <w:lvlJc w:val="left"/>
    </w:lvl>
    <w:lvl w:ilvl="8" w:tplc="DBA4CC9C">
      <w:numFmt w:val="decimal"/>
      <w:lvlText w:val=""/>
      <w:lvlJc w:val="left"/>
    </w:lvl>
  </w:abstractNum>
  <w:abstractNum w:abstractNumId="838" w15:restartNumberingAfterBreak="0">
    <w:nsid w:val="5CCE16EA"/>
    <w:multiLevelType w:val="hybridMultilevel"/>
    <w:tmpl w:val="8FD69EBC"/>
    <w:lvl w:ilvl="0" w:tplc="3A2271F6">
      <w:start w:val="1"/>
      <w:numFmt w:val="bullet"/>
      <w:lvlText w:val=""/>
      <w:lvlJc w:val="left"/>
      <w:pPr>
        <w:ind w:left="720" w:hanging="180"/>
      </w:pPr>
      <w:rPr>
        <w:rFonts w:ascii="Symbol" w:hAnsi="Symbol" w:hint="default"/>
      </w:rPr>
    </w:lvl>
    <w:lvl w:ilvl="1" w:tplc="4AFAEB0E">
      <w:numFmt w:val="decimal"/>
      <w:lvlText w:val=""/>
      <w:lvlJc w:val="left"/>
    </w:lvl>
    <w:lvl w:ilvl="2" w:tplc="23281744">
      <w:numFmt w:val="decimal"/>
      <w:lvlText w:val=""/>
      <w:lvlJc w:val="left"/>
    </w:lvl>
    <w:lvl w:ilvl="3" w:tplc="07300EC8">
      <w:numFmt w:val="decimal"/>
      <w:lvlText w:val=""/>
      <w:lvlJc w:val="left"/>
    </w:lvl>
    <w:lvl w:ilvl="4" w:tplc="94644AB0">
      <w:numFmt w:val="decimal"/>
      <w:lvlText w:val=""/>
      <w:lvlJc w:val="left"/>
    </w:lvl>
    <w:lvl w:ilvl="5" w:tplc="C672ABC8">
      <w:numFmt w:val="decimal"/>
      <w:lvlText w:val=""/>
      <w:lvlJc w:val="left"/>
    </w:lvl>
    <w:lvl w:ilvl="6" w:tplc="A07A18BE">
      <w:numFmt w:val="decimal"/>
      <w:lvlText w:val=""/>
      <w:lvlJc w:val="left"/>
    </w:lvl>
    <w:lvl w:ilvl="7" w:tplc="ABFEBDF8">
      <w:numFmt w:val="decimal"/>
      <w:lvlText w:val=""/>
      <w:lvlJc w:val="left"/>
    </w:lvl>
    <w:lvl w:ilvl="8" w:tplc="83A49FB2">
      <w:numFmt w:val="decimal"/>
      <w:lvlText w:val=""/>
      <w:lvlJc w:val="left"/>
    </w:lvl>
  </w:abstractNum>
  <w:abstractNum w:abstractNumId="839" w15:restartNumberingAfterBreak="0">
    <w:nsid w:val="5CD10FD9"/>
    <w:multiLevelType w:val="hybridMultilevel"/>
    <w:tmpl w:val="649C16D2"/>
    <w:lvl w:ilvl="0" w:tplc="BCEE88F0">
      <w:start w:val="1"/>
      <w:numFmt w:val="bullet"/>
      <w:lvlText w:val=""/>
      <w:lvlJc w:val="left"/>
      <w:pPr>
        <w:ind w:left="720" w:hanging="180"/>
      </w:pPr>
      <w:rPr>
        <w:rFonts w:ascii="Symbol" w:hAnsi="Symbol" w:hint="default"/>
      </w:rPr>
    </w:lvl>
    <w:lvl w:ilvl="1" w:tplc="D6B42E86">
      <w:numFmt w:val="decimal"/>
      <w:lvlText w:val=""/>
      <w:lvlJc w:val="left"/>
    </w:lvl>
    <w:lvl w:ilvl="2" w:tplc="1ECA7E82">
      <w:numFmt w:val="decimal"/>
      <w:lvlText w:val=""/>
      <w:lvlJc w:val="left"/>
    </w:lvl>
    <w:lvl w:ilvl="3" w:tplc="BD48FCFE">
      <w:numFmt w:val="decimal"/>
      <w:lvlText w:val=""/>
      <w:lvlJc w:val="left"/>
    </w:lvl>
    <w:lvl w:ilvl="4" w:tplc="3F16A458">
      <w:numFmt w:val="decimal"/>
      <w:lvlText w:val=""/>
      <w:lvlJc w:val="left"/>
    </w:lvl>
    <w:lvl w:ilvl="5" w:tplc="44223EF4">
      <w:numFmt w:val="decimal"/>
      <w:lvlText w:val=""/>
      <w:lvlJc w:val="left"/>
    </w:lvl>
    <w:lvl w:ilvl="6" w:tplc="94F294C4">
      <w:numFmt w:val="decimal"/>
      <w:lvlText w:val=""/>
      <w:lvlJc w:val="left"/>
    </w:lvl>
    <w:lvl w:ilvl="7" w:tplc="9D66B868">
      <w:numFmt w:val="decimal"/>
      <w:lvlText w:val=""/>
      <w:lvlJc w:val="left"/>
    </w:lvl>
    <w:lvl w:ilvl="8" w:tplc="0D8AAF90">
      <w:numFmt w:val="decimal"/>
      <w:lvlText w:val=""/>
      <w:lvlJc w:val="left"/>
    </w:lvl>
  </w:abstractNum>
  <w:abstractNum w:abstractNumId="840" w15:restartNumberingAfterBreak="0">
    <w:nsid w:val="5D1A74B9"/>
    <w:multiLevelType w:val="hybridMultilevel"/>
    <w:tmpl w:val="7D12A502"/>
    <w:lvl w:ilvl="0" w:tplc="E5765FA8">
      <w:start w:val="1"/>
      <w:numFmt w:val="bullet"/>
      <w:lvlText w:val=""/>
      <w:lvlJc w:val="left"/>
      <w:pPr>
        <w:ind w:left="720" w:hanging="180"/>
      </w:pPr>
      <w:rPr>
        <w:rFonts w:ascii="Symbol" w:hAnsi="Symbol" w:hint="default"/>
      </w:rPr>
    </w:lvl>
    <w:lvl w:ilvl="1" w:tplc="312E3B34">
      <w:numFmt w:val="decimal"/>
      <w:lvlText w:val=""/>
      <w:lvlJc w:val="left"/>
    </w:lvl>
    <w:lvl w:ilvl="2" w:tplc="C2862CE6">
      <w:numFmt w:val="decimal"/>
      <w:lvlText w:val=""/>
      <w:lvlJc w:val="left"/>
    </w:lvl>
    <w:lvl w:ilvl="3" w:tplc="EB54989E">
      <w:numFmt w:val="decimal"/>
      <w:lvlText w:val=""/>
      <w:lvlJc w:val="left"/>
    </w:lvl>
    <w:lvl w:ilvl="4" w:tplc="771CE3BC">
      <w:numFmt w:val="decimal"/>
      <w:lvlText w:val=""/>
      <w:lvlJc w:val="left"/>
    </w:lvl>
    <w:lvl w:ilvl="5" w:tplc="5756EB60">
      <w:numFmt w:val="decimal"/>
      <w:lvlText w:val=""/>
      <w:lvlJc w:val="left"/>
    </w:lvl>
    <w:lvl w:ilvl="6" w:tplc="713C7872">
      <w:numFmt w:val="decimal"/>
      <w:lvlText w:val=""/>
      <w:lvlJc w:val="left"/>
    </w:lvl>
    <w:lvl w:ilvl="7" w:tplc="0EDC5BE4">
      <w:numFmt w:val="decimal"/>
      <w:lvlText w:val=""/>
      <w:lvlJc w:val="left"/>
    </w:lvl>
    <w:lvl w:ilvl="8" w:tplc="8CFE8598">
      <w:numFmt w:val="decimal"/>
      <w:lvlText w:val=""/>
      <w:lvlJc w:val="left"/>
    </w:lvl>
  </w:abstractNum>
  <w:abstractNum w:abstractNumId="841" w15:restartNumberingAfterBreak="0">
    <w:nsid w:val="5D2466E6"/>
    <w:multiLevelType w:val="hybridMultilevel"/>
    <w:tmpl w:val="A9C68658"/>
    <w:lvl w:ilvl="0" w:tplc="5E4607C2">
      <w:start w:val="1"/>
      <w:numFmt w:val="bullet"/>
      <w:lvlText w:val=""/>
      <w:lvlJc w:val="left"/>
      <w:pPr>
        <w:ind w:left="720" w:hanging="180"/>
      </w:pPr>
      <w:rPr>
        <w:rFonts w:ascii="Symbol" w:hAnsi="Symbol" w:hint="default"/>
      </w:rPr>
    </w:lvl>
    <w:lvl w:ilvl="1" w:tplc="EC144F24">
      <w:numFmt w:val="decimal"/>
      <w:lvlText w:val=""/>
      <w:lvlJc w:val="left"/>
    </w:lvl>
    <w:lvl w:ilvl="2" w:tplc="8A2C2AEE">
      <w:numFmt w:val="decimal"/>
      <w:lvlText w:val=""/>
      <w:lvlJc w:val="left"/>
    </w:lvl>
    <w:lvl w:ilvl="3" w:tplc="6562E652">
      <w:numFmt w:val="decimal"/>
      <w:lvlText w:val=""/>
      <w:lvlJc w:val="left"/>
    </w:lvl>
    <w:lvl w:ilvl="4" w:tplc="8B3AB6B8">
      <w:numFmt w:val="decimal"/>
      <w:lvlText w:val=""/>
      <w:lvlJc w:val="left"/>
    </w:lvl>
    <w:lvl w:ilvl="5" w:tplc="6628A1B6">
      <w:numFmt w:val="decimal"/>
      <w:lvlText w:val=""/>
      <w:lvlJc w:val="left"/>
    </w:lvl>
    <w:lvl w:ilvl="6" w:tplc="569AA6AA">
      <w:numFmt w:val="decimal"/>
      <w:lvlText w:val=""/>
      <w:lvlJc w:val="left"/>
    </w:lvl>
    <w:lvl w:ilvl="7" w:tplc="48D0C346">
      <w:numFmt w:val="decimal"/>
      <w:lvlText w:val=""/>
      <w:lvlJc w:val="left"/>
    </w:lvl>
    <w:lvl w:ilvl="8" w:tplc="103AF996">
      <w:numFmt w:val="decimal"/>
      <w:lvlText w:val=""/>
      <w:lvlJc w:val="left"/>
    </w:lvl>
  </w:abstractNum>
  <w:abstractNum w:abstractNumId="842" w15:restartNumberingAfterBreak="0">
    <w:nsid w:val="5D3F7E0E"/>
    <w:multiLevelType w:val="hybridMultilevel"/>
    <w:tmpl w:val="6C94DF86"/>
    <w:lvl w:ilvl="0" w:tplc="96F6E288">
      <w:start w:val="1"/>
      <w:numFmt w:val="bullet"/>
      <w:lvlText w:val=""/>
      <w:lvlJc w:val="left"/>
      <w:pPr>
        <w:ind w:left="720" w:hanging="180"/>
      </w:pPr>
      <w:rPr>
        <w:rFonts w:ascii="Symbol" w:hAnsi="Symbol" w:hint="default"/>
      </w:rPr>
    </w:lvl>
    <w:lvl w:ilvl="1" w:tplc="25DCF0F4">
      <w:numFmt w:val="decimal"/>
      <w:lvlText w:val=""/>
      <w:lvlJc w:val="left"/>
    </w:lvl>
    <w:lvl w:ilvl="2" w:tplc="4EBE34B6">
      <w:numFmt w:val="decimal"/>
      <w:lvlText w:val=""/>
      <w:lvlJc w:val="left"/>
    </w:lvl>
    <w:lvl w:ilvl="3" w:tplc="B14886EE">
      <w:numFmt w:val="decimal"/>
      <w:lvlText w:val=""/>
      <w:lvlJc w:val="left"/>
    </w:lvl>
    <w:lvl w:ilvl="4" w:tplc="DC460496">
      <w:numFmt w:val="decimal"/>
      <w:lvlText w:val=""/>
      <w:lvlJc w:val="left"/>
    </w:lvl>
    <w:lvl w:ilvl="5" w:tplc="36F01440">
      <w:numFmt w:val="decimal"/>
      <w:lvlText w:val=""/>
      <w:lvlJc w:val="left"/>
    </w:lvl>
    <w:lvl w:ilvl="6" w:tplc="2B04A2BA">
      <w:numFmt w:val="decimal"/>
      <w:lvlText w:val=""/>
      <w:lvlJc w:val="left"/>
    </w:lvl>
    <w:lvl w:ilvl="7" w:tplc="363851B2">
      <w:numFmt w:val="decimal"/>
      <w:lvlText w:val=""/>
      <w:lvlJc w:val="left"/>
    </w:lvl>
    <w:lvl w:ilvl="8" w:tplc="70EA2CD4">
      <w:numFmt w:val="decimal"/>
      <w:lvlText w:val=""/>
      <w:lvlJc w:val="left"/>
    </w:lvl>
  </w:abstractNum>
  <w:abstractNum w:abstractNumId="843" w15:restartNumberingAfterBreak="0">
    <w:nsid w:val="5D524CF4"/>
    <w:multiLevelType w:val="hybridMultilevel"/>
    <w:tmpl w:val="D884BC3E"/>
    <w:lvl w:ilvl="0" w:tplc="224C2146">
      <w:start w:val="1"/>
      <w:numFmt w:val="bullet"/>
      <w:lvlText w:val=""/>
      <w:lvlJc w:val="left"/>
      <w:pPr>
        <w:ind w:left="720" w:hanging="180"/>
      </w:pPr>
      <w:rPr>
        <w:rFonts w:ascii="Symbol" w:hAnsi="Symbol" w:hint="default"/>
      </w:rPr>
    </w:lvl>
    <w:lvl w:ilvl="1" w:tplc="02DE3ECC">
      <w:numFmt w:val="decimal"/>
      <w:lvlText w:val=""/>
      <w:lvlJc w:val="left"/>
    </w:lvl>
    <w:lvl w:ilvl="2" w:tplc="7DF0E5A0">
      <w:numFmt w:val="decimal"/>
      <w:lvlText w:val=""/>
      <w:lvlJc w:val="left"/>
    </w:lvl>
    <w:lvl w:ilvl="3" w:tplc="AF4A57CA">
      <w:numFmt w:val="decimal"/>
      <w:lvlText w:val=""/>
      <w:lvlJc w:val="left"/>
    </w:lvl>
    <w:lvl w:ilvl="4" w:tplc="3508C00E">
      <w:numFmt w:val="decimal"/>
      <w:lvlText w:val=""/>
      <w:lvlJc w:val="left"/>
    </w:lvl>
    <w:lvl w:ilvl="5" w:tplc="89F0594A">
      <w:numFmt w:val="decimal"/>
      <w:lvlText w:val=""/>
      <w:lvlJc w:val="left"/>
    </w:lvl>
    <w:lvl w:ilvl="6" w:tplc="0832D8F6">
      <w:numFmt w:val="decimal"/>
      <w:lvlText w:val=""/>
      <w:lvlJc w:val="left"/>
    </w:lvl>
    <w:lvl w:ilvl="7" w:tplc="0C0688A4">
      <w:numFmt w:val="decimal"/>
      <w:lvlText w:val=""/>
      <w:lvlJc w:val="left"/>
    </w:lvl>
    <w:lvl w:ilvl="8" w:tplc="9A88FE1A">
      <w:numFmt w:val="decimal"/>
      <w:lvlText w:val=""/>
      <w:lvlJc w:val="left"/>
    </w:lvl>
  </w:abstractNum>
  <w:abstractNum w:abstractNumId="844" w15:restartNumberingAfterBreak="0">
    <w:nsid w:val="5D5845EA"/>
    <w:multiLevelType w:val="hybridMultilevel"/>
    <w:tmpl w:val="E07A3856"/>
    <w:lvl w:ilvl="0" w:tplc="82907726">
      <w:start w:val="1"/>
      <w:numFmt w:val="bullet"/>
      <w:lvlText w:val=""/>
      <w:lvlJc w:val="left"/>
      <w:pPr>
        <w:ind w:left="720" w:hanging="180"/>
      </w:pPr>
      <w:rPr>
        <w:rFonts w:ascii="Symbol" w:hAnsi="Symbol" w:hint="default"/>
      </w:rPr>
    </w:lvl>
    <w:lvl w:ilvl="1" w:tplc="7E0C3942">
      <w:numFmt w:val="decimal"/>
      <w:lvlText w:val=""/>
      <w:lvlJc w:val="left"/>
    </w:lvl>
    <w:lvl w:ilvl="2" w:tplc="FE2EC14E">
      <w:numFmt w:val="decimal"/>
      <w:lvlText w:val=""/>
      <w:lvlJc w:val="left"/>
    </w:lvl>
    <w:lvl w:ilvl="3" w:tplc="5CEA0FB2">
      <w:numFmt w:val="decimal"/>
      <w:lvlText w:val=""/>
      <w:lvlJc w:val="left"/>
    </w:lvl>
    <w:lvl w:ilvl="4" w:tplc="658C10F0">
      <w:numFmt w:val="decimal"/>
      <w:lvlText w:val=""/>
      <w:lvlJc w:val="left"/>
    </w:lvl>
    <w:lvl w:ilvl="5" w:tplc="13F6260A">
      <w:numFmt w:val="decimal"/>
      <w:lvlText w:val=""/>
      <w:lvlJc w:val="left"/>
    </w:lvl>
    <w:lvl w:ilvl="6" w:tplc="C0AABBE6">
      <w:numFmt w:val="decimal"/>
      <w:lvlText w:val=""/>
      <w:lvlJc w:val="left"/>
    </w:lvl>
    <w:lvl w:ilvl="7" w:tplc="1888A308">
      <w:numFmt w:val="decimal"/>
      <w:lvlText w:val=""/>
      <w:lvlJc w:val="left"/>
    </w:lvl>
    <w:lvl w:ilvl="8" w:tplc="E160D4A8">
      <w:numFmt w:val="decimal"/>
      <w:lvlText w:val=""/>
      <w:lvlJc w:val="left"/>
    </w:lvl>
  </w:abstractNum>
  <w:abstractNum w:abstractNumId="845" w15:restartNumberingAfterBreak="0">
    <w:nsid w:val="5D985091"/>
    <w:multiLevelType w:val="hybridMultilevel"/>
    <w:tmpl w:val="4516D240"/>
    <w:lvl w:ilvl="0" w:tplc="8DF22600">
      <w:start w:val="1"/>
      <w:numFmt w:val="bullet"/>
      <w:lvlText w:val=""/>
      <w:lvlJc w:val="left"/>
      <w:pPr>
        <w:ind w:left="720" w:hanging="180"/>
      </w:pPr>
      <w:rPr>
        <w:rFonts w:ascii="Symbol" w:hAnsi="Symbol" w:hint="default"/>
      </w:rPr>
    </w:lvl>
    <w:lvl w:ilvl="1" w:tplc="2DB4C054">
      <w:numFmt w:val="decimal"/>
      <w:lvlText w:val=""/>
      <w:lvlJc w:val="left"/>
    </w:lvl>
    <w:lvl w:ilvl="2" w:tplc="F0DA915E">
      <w:numFmt w:val="decimal"/>
      <w:lvlText w:val=""/>
      <w:lvlJc w:val="left"/>
    </w:lvl>
    <w:lvl w:ilvl="3" w:tplc="39748138">
      <w:numFmt w:val="decimal"/>
      <w:lvlText w:val=""/>
      <w:lvlJc w:val="left"/>
    </w:lvl>
    <w:lvl w:ilvl="4" w:tplc="E7C279BA">
      <w:numFmt w:val="decimal"/>
      <w:lvlText w:val=""/>
      <w:lvlJc w:val="left"/>
    </w:lvl>
    <w:lvl w:ilvl="5" w:tplc="611005A6">
      <w:numFmt w:val="decimal"/>
      <w:lvlText w:val=""/>
      <w:lvlJc w:val="left"/>
    </w:lvl>
    <w:lvl w:ilvl="6" w:tplc="EB42F3F8">
      <w:numFmt w:val="decimal"/>
      <w:lvlText w:val=""/>
      <w:lvlJc w:val="left"/>
    </w:lvl>
    <w:lvl w:ilvl="7" w:tplc="01EC2138">
      <w:numFmt w:val="decimal"/>
      <w:lvlText w:val=""/>
      <w:lvlJc w:val="left"/>
    </w:lvl>
    <w:lvl w:ilvl="8" w:tplc="E74E55F2">
      <w:numFmt w:val="decimal"/>
      <w:lvlText w:val=""/>
      <w:lvlJc w:val="left"/>
    </w:lvl>
  </w:abstractNum>
  <w:abstractNum w:abstractNumId="846" w15:restartNumberingAfterBreak="0">
    <w:nsid w:val="5D9A3043"/>
    <w:multiLevelType w:val="hybridMultilevel"/>
    <w:tmpl w:val="8074610C"/>
    <w:lvl w:ilvl="0" w:tplc="7F8C96C4">
      <w:start w:val="1"/>
      <w:numFmt w:val="bullet"/>
      <w:lvlText w:val=""/>
      <w:lvlJc w:val="left"/>
      <w:pPr>
        <w:ind w:left="720" w:hanging="180"/>
      </w:pPr>
      <w:rPr>
        <w:rFonts w:ascii="Symbol" w:hAnsi="Symbol" w:hint="default"/>
      </w:rPr>
    </w:lvl>
    <w:lvl w:ilvl="1" w:tplc="44D289BE">
      <w:numFmt w:val="decimal"/>
      <w:lvlText w:val=""/>
      <w:lvlJc w:val="left"/>
    </w:lvl>
    <w:lvl w:ilvl="2" w:tplc="C0667D30">
      <w:numFmt w:val="decimal"/>
      <w:lvlText w:val=""/>
      <w:lvlJc w:val="left"/>
    </w:lvl>
    <w:lvl w:ilvl="3" w:tplc="064021D8">
      <w:numFmt w:val="decimal"/>
      <w:lvlText w:val=""/>
      <w:lvlJc w:val="left"/>
    </w:lvl>
    <w:lvl w:ilvl="4" w:tplc="C3BE0CC8">
      <w:numFmt w:val="decimal"/>
      <w:lvlText w:val=""/>
      <w:lvlJc w:val="left"/>
    </w:lvl>
    <w:lvl w:ilvl="5" w:tplc="9A9CB8CA">
      <w:numFmt w:val="decimal"/>
      <w:lvlText w:val=""/>
      <w:lvlJc w:val="left"/>
    </w:lvl>
    <w:lvl w:ilvl="6" w:tplc="B2781F80">
      <w:numFmt w:val="decimal"/>
      <w:lvlText w:val=""/>
      <w:lvlJc w:val="left"/>
    </w:lvl>
    <w:lvl w:ilvl="7" w:tplc="EF702E80">
      <w:numFmt w:val="decimal"/>
      <w:lvlText w:val=""/>
      <w:lvlJc w:val="left"/>
    </w:lvl>
    <w:lvl w:ilvl="8" w:tplc="2DCEA14A">
      <w:numFmt w:val="decimal"/>
      <w:lvlText w:val=""/>
      <w:lvlJc w:val="left"/>
    </w:lvl>
  </w:abstractNum>
  <w:abstractNum w:abstractNumId="847" w15:restartNumberingAfterBreak="0">
    <w:nsid w:val="5DAA0152"/>
    <w:multiLevelType w:val="hybridMultilevel"/>
    <w:tmpl w:val="853E18EA"/>
    <w:lvl w:ilvl="0" w:tplc="16E6D518">
      <w:start w:val="1"/>
      <w:numFmt w:val="bullet"/>
      <w:lvlText w:val=""/>
      <w:lvlJc w:val="left"/>
      <w:pPr>
        <w:ind w:left="720" w:hanging="180"/>
      </w:pPr>
      <w:rPr>
        <w:rFonts w:ascii="Symbol" w:hAnsi="Symbol" w:hint="default"/>
      </w:rPr>
    </w:lvl>
    <w:lvl w:ilvl="1" w:tplc="88082D04">
      <w:numFmt w:val="decimal"/>
      <w:lvlText w:val=""/>
      <w:lvlJc w:val="left"/>
    </w:lvl>
    <w:lvl w:ilvl="2" w:tplc="3846688A">
      <w:numFmt w:val="decimal"/>
      <w:lvlText w:val=""/>
      <w:lvlJc w:val="left"/>
    </w:lvl>
    <w:lvl w:ilvl="3" w:tplc="CE36A052">
      <w:numFmt w:val="decimal"/>
      <w:lvlText w:val=""/>
      <w:lvlJc w:val="left"/>
    </w:lvl>
    <w:lvl w:ilvl="4" w:tplc="DFA6A1E6">
      <w:numFmt w:val="decimal"/>
      <w:lvlText w:val=""/>
      <w:lvlJc w:val="left"/>
    </w:lvl>
    <w:lvl w:ilvl="5" w:tplc="6988E958">
      <w:numFmt w:val="decimal"/>
      <w:lvlText w:val=""/>
      <w:lvlJc w:val="left"/>
    </w:lvl>
    <w:lvl w:ilvl="6" w:tplc="8182CE7C">
      <w:numFmt w:val="decimal"/>
      <w:lvlText w:val=""/>
      <w:lvlJc w:val="left"/>
    </w:lvl>
    <w:lvl w:ilvl="7" w:tplc="1A6C24E8">
      <w:numFmt w:val="decimal"/>
      <w:lvlText w:val=""/>
      <w:lvlJc w:val="left"/>
    </w:lvl>
    <w:lvl w:ilvl="8" w:tplc="50F06070">
      <w:numFmt w:val="decimal"/>
      <w:lvlText w:val=""/>
      <w:lvlJc w:val="left"/>
    </w:lvl>
  </w:abstractNum>
  <w:abstractNum w:abstractNumId="848" w15:restartNumberingAfterBreak="0">
    <w:nsid w:val="5DBC370A"/>
    <w:multiLevelType w:val="hybridMultilevel"/>
    <w:tmpl w:val="85B0280C"/>
    <w:lvl w:ilvl="0" w:tplc="C756C330">
      <w:start w:val="1"/>
      <w:numFmt w:val="bullet"/>
      <w:lvlText w:val=""/>
      <w:lvlJc w:val="left"/>
      <w:pPr>
        <w:ind w:left="720" w:hanging="180"/>
      </w:pPr>
      <w:rPr>
        <w:rFonts w:ascii="Symbol" w:hAnsi="Symbol" w:hint="default"/>
      </w:rPr>
    </w:lvl>
    <w:lvl w:ilvl="1" w:tplc="96AA6B04">
      <w:numFmt w:val="decimal"/>
      <w:lvlText w:val=""/>
      <w:lvlJc w:val="left"/>
    </w:lvl>
    <w:lvl w:ilvl="2" w:tplc="18CCB0A8">
      <w:numFmt w:val="decimal"/>
      <w:lvlText w:val=""/>
      <w:lvlJc w:val="left"/>
    </w:lvl>
    <w:lvl w:ilvl="3" w:tplc="93640E10">
      <w:numFmt w:val="decimal"/>
      <w:lvlText w:val=""/>
      <w:lvlJc w:val="left"/>
    </w:lvl>
    <w:lvl w:ilvl="4" w:tplc="DC4E3442">
      <w:numFmt w:val="decimal"/>
      <w:lvlText w:val=""/>
      <w:lvlJc w:val="left"/>
    </w:lvl>
    <w:lvl w:ilvl="5" w:tplc="3A6E02D4">
      <w:numFmt w:val="decimal"/>
      <w:lvlText w:val=""/>
      <w:lvlJc w:val="left"/>
    </w:lvl>
    <w:lvl w:ilvl="6" w:tplc="BFA00E5C">
      <w:numFmt w:val="decimal"/>
      <w:lvlText w:val=""/>
      <w:lvlJc w:val="left"/>
    </w:lvl>
    <w:lvl w:ilvl="7" w:tplc="329E1E12">
      <w:numFmt w:val="decimal"/>
      <w:lvlText w:val=""/>
      <w:lvlJc w:val="left"/>
    </w:lvl>
    <w:lvl w:ilvl="8" w:tplc="E2789E98">
      <w:numFmt w:val="decimal"/>
      <w:lvlText w:val=""/>
      <w:lvlJc w:val="left"/>
    </w:lvl>
  </w:abstractNum>
  <w:abstractNum w:abstractNumId="849" w15:restartNumberingAfterBreak="0">
    <w:nsid w:val="5DC64C2E"/>
    <w:multiLevelType w:val="hybridMultilevel"/>
    <w:tmpl w:val="982A0614"/>
    <w:lvl w:ilvl="0" w:tplc="7C4AC4A0">
      <w:start w:val="1"/>
      <w:numFmt w:val="bullet"/>
      <w:lvlText w:val=""/>
      <w:lvlJc w:val="left"/>
      <w:pPr>
        <w:ind w:left="720" w:hanging="180"/>
      </w:pPr>
      <w:rPr>
        <w:rFonts w:ascii="Symbol" w:hAnsi="Symbol" w:hint="default"/>
      </w:rPr>
    </w:lvl>
    <w:lvl w:ilvl="1" w:tplc="B230893E">
      <w:numFmt w:val="decimal"/>
      <w:lvlText w:val=""/>
      <w:lvlJc w:val="left"/>
    </w:lvl>
    <w:lvl w:ilvl="2" w:tplc="AC408ADC">
      <w:numFmt w:val="decimal"/>
      <w:lvlText w:val=""/>
      <w:lvlJc w:val="left"/>
    </w:lvl>
    <w:lvl w:ilvl="3" w:tplc="B6CC25E6">
      <w:numFmt w:val="decimal"/>
      <w:lvlText w:val=""/>
      <w:lvlJc w:val="left"/>
    </w:lvl>
    <w:lvl w:ilvl="4" w:tplc="387E93C2">
      <w:numFmt w:val="decimal"/>
      <w:lvlText w:val=""/>
      <w:lvlJc w:val="left"/>
    </w:lvl>
    <w:lvl w:ilvl="5" w:tplc="1464912A">
      <w:numFmt w:val="decimal"/>
      <w:lvlText w:val=""/>
      <w:lvlJc w:val="left"/>
    </w:lvl>
    <w:lvl w:ilvl="6" w:tplc="72DA9568">
      <w:numFmt w:val="decimal"/>
      <w:lvlText w:val=""/>
      <w:lvlJc w:val="left"/>
    </w:lvl>
    <w:lvl w:ilvl="7" w:tplc="3B1C28B4">
      <w:numFmt w:val="decimal"/>
      <w:lvlText w:val=""/>
      <w:lvlJc w:val="left"/>
    </w:lvl>
    <w:lvl w:ilvl="8" w:tplc="055AAEEC">
      <w:numFmt w:val="decimal"/>
      <w:lvlText w:val=""/>
      <w:lvlJc w:val="left"/>
    </w:lvl>
  </w:abstractNum>
  <w:abstractNum w:abstractNumId="850" w15:restartNumberingAfterBreak="0">
    <w:nsid w:val="5DCF1C45"/>
    <w:multiLevelType w:val="hybridMultilevel"/>
    <w:tmpl w:val="6E180934"/>
    <w:lvl w:ilvl="0" w:tplc="6E12011A">
      <w:start w:val="1"/>
      <w:numFmt w:val="bullet"/>
      <w:lvlText w:val=""/>
      <w:lvlJc w:val="left"/>
      <w:pPr>
        <w:ind w:left="720" w:hanging="180"/>
      </w:pPr>
      <w:rPr>
        <w:rFonts w:ascii="Symbol" w:hAnsi="Symbol" w:hint="default"/>
      </w:rPr>
    </w:lvl>
    <w:lvl w:ilvl="1" w:tplc="C3D8EC56">
      <w:numFmt w:val="decimal"/>
      <w:lvlText w:val=""/>
      <w:lvlJc w:val="left"/>
    </w:lvl>
    <w:lvl w:ilvl="2" w:tplc="61380034">
      <w:numFmt w:val="decimal"/>
      <w:lvlText w:val=""/>
      <w:lvlJc w:val="left"/>
    </w:lvl>
    <w:lvl w:ilvl="3" w:tplc="1BE8EEF4">
      <w:numFmt w:val="decimal"/>
      <w:lvlText w:val=""/>
      <w:lvlJc w:val="left"/>
    </w:lvl>
    <w:lvl w:ilvl="4" w:tplc="A372BFAA">
      <w:numFmt w:val="decimal"/>
      <w:lvlText w:val=""/>
      <w:lvlJc w:val="left"/>
    </w:lvl>
    <w:lvl w:ilvl="5" w:tplc="5C76918A">
      <w:numFmt w:val="decimal"/>
      <w:lvlText w:val=""/>
      <w:lvlJc w:val="left"/>
    </w:lvl>
    <w:lvl w:ilvl="6" w:tplc="FF3093B4">
      <w:numFmt w:val="decimal"/>
      <w:lvlText w:val=""/>
      <w:lvlJc w:val="left"/>
    </w:lvl>
    <w:lvl w:ilvl="7" w:tplc="091E1F32">
      <w:numFmt w:val="decimal"/>
      <w:lvlText w:val=""/>
      <w:lvlJc w:val="left"/>
    </w:lvl>
    <w:lvl w:ilvl="8" w:tplc="085C1896">
      <w:numFmt w:val="decimal"/>
      <w:lvlText w:val=""/>
      <w:lvlJc w:val="left"/>
    </w:lvl>
  </w:abstractNum>
  <w:abstractNum w:abstractNumId="851" w15:restartNumberingAfterBreak="0">
    <w:nsid w:val="5DD44EF5"/>
    <w:multiLevelType w:val="hybridMultilevel"/>
    <w:tmpl w:val="A8E62F52"/>
    <w:lvl w:ilvl="0" w:tplc="A1665B00">
      <w:start w:val="1"/>
      <w:numFmt w:val="bullet"/>
      <w:lvlText w:val=""/>
      <w:lvlJc w:val="left"/>
      <w:pPr>
        <w:ind w:left="720" w:hanging="180"/>
      </w:pPr>
      <w:rPr>
        <w:rFonts w:ascii="Symbol" w:hAnsi="Symbol" w:hint="default"/>
      </w:rPr>
    </w:lvl>
    <w:lvl w:ilvl="1" w:tplc="A948D0BC">
      <w:numFmt w:val="decimal"/>
      <w:lvlText w:val=""/>
      <w:lvlJc w:val="left"/>
    </w:lvl>
    <w:lvl w:ilvl="2" w:tplc="66042040">
      <w:numFmt w:val="decimal"/>
      <w:lvlText w:val=""/>
      <w:lvlJc w:val="left"/>
    </w:lvl>
    <w:lvl w:ilvl="3" w:tplc="9BFA3E6E">
      <w:numFmt w:val="decimal"/>
      <w:lvlText w:val=""/>
      <w:lvlJc w:val="left"/>
    </w:lvl>
    <w:lvl w:ilvl="4" w:tplc="682263CE">
      <w:numFmt w:val="decimal"/>
      <w:lvlText w:val=""/>
      <w:lvlJc w:val="left"/>
    </w:lvl>
    <w:lvl w:ilvl="5" w:tplc="4B1E2C88">
      <w:numFmt w:val="decimal"/>
      <w:lvlText w:val=""/>
      <w:lvlJc w:val="left"/>
    </w:lvl>
    <w:lvl w:ilvl="6" w:tplc="DDB02D0E">
      <w:numFmt w:val="decimal"/>
      <w:lvlText w:val=""/>
      <w:lvlJc w:val="left"/>
    </w:lvl>
    <w:lvl w:ilvl="7" w:tplc="F760AD90">
      <w:numFmt w:val="decimal"/>
      <w:lvlText w:val=""/>
      <w:lvlJc w:val="left"/>
    </w:lvl>
    <w:lvl w:ilvl="8" w:tplc="E924C12C">
      <w:numFmt w:val="decimal"/>
      <w:lvlText w:val=""/>
      <w:lvlJc w:val="left"/>
    </w:lvl>
  </w:abstractNum>
  <w:abstractNum w:abstractNumId="852" w15:restartNumberingAfterBreak="0">
    <w:nsid w:val="5DF30963"/>
    <w:multiLevelType w:val="hybridMultilevel"/>
    <w:tmpl w:val="8C0653F4"/>
    <w:lvl w:ilvl="0" w:tplc="08947672">
      <w:start w:val="1"/>
      <w:numFmt w:val="bullet"/>
      <w:lvlText w:val=""/>
      <w:lvlJc w:val="left"/>
      <w:pPr>
        <w:ind w:left="720" w:hanging="180"/>
      </w:pPr>
      <w:rPr>
        <w:rFonts w:ascii="Symbol" w:hAnsi="Symbol" w:hint="default"/>
      </w:rPr>
    </w:lvl>
    <w:lvl w:ilvl="1" w:tplc="91EEC45E">
      <w:numFmt w:val="decimal"/>
      <w:lvlText w:val=""/>
      <w:lvlJc w:val="left"/>
    </w:lvl>
    <w:lvl w:ilvl="2" w:tplc="02DC1D28">
      <w:numFmt w:val="decimal"/>
      <w:lvlText w:val=""/>
      <w:lvlJc w:val="left"/>
    </w:lvl>
    <w:lvl w:ilvl="3" w:tplc="CF1C02E2">
      <w:numFmt w:val="decimal"/>
      <w:lvlText w:val=""/>
      <w:lvlJc w:val="left"/>
    </w:lvl>
    <w:lvl w:ilvl="4" w:tplc="D0281982">
      <w:numFmt w:val="decimal"/>
      <w:lvlText w:val=""/>
      <w:lvlJc w:val="left"/>
    </w:lvl>
    <w:lvl w:ilvl="5" w:tplc="DF9E3CDA">
      <w:numFmt w:val="decimal"/>
      <w:lvlText w:val=""/>
      <w:lvlJc w:val="left"/>
    </w:lvl>
    <w:lvl w:ilvl="6" w:tplc="C9F2C55E">
      <w:numFmt w:val="decimal"/>
      <w:lvlText w:val=""/>
      <w:lvlJc w:val="left"/>
    </w:lvl>
    <w:lvl w:ilvl="7" w:tplc="41641444">
      <w:numFmt w:val="decimal"/>
      <w:lvlText w:val=""/>
      <w:lvlJc w:val="left"/>
    </w:lvl>
    <w:lvl w:ilvl="8" w:tplc="D1A64618">
      <w:numFmt w:val="decimal"/>
      <w:lvlText w:val=""/>
      <w:lvlJc w:val="left"/>
    </w:lvl>
  </w:abstractNum>
  <w:abstractNum w:abstractNumId="853" w15:restartNumberingAfterBreak="0">
    <w:nsid w:val="5E193A7E"/>
    <w:multiLevelType w:val="hybridMultilevel"/>
    <w:tmpl w:val="4448DA84"/>
    <w:lvl w:ilvl="0" w:tplc="79588C2C">
      <w:start w:val="1"/>
      <w:numFmt w:val="bullet"/>
      <w:lvlText w:val=""/>
      <w:lvlJc w:val="left"/>
      <w:pPr>
        <w:ind w:left="720" w:hanging="180"/>
      </w:pPr>
      <w:rPr>
        <w:rFonts w:ascii="Symbol" w:hAnsi="Symbol" w:hint="default"/>
      </w:rPr>
    </w:lvl>
    <w:lvl w:ilvl="1" w:tplc="F2B0FAB4">
      <w:numFmt w:val="decimal"/>
      <w:lvlText w:val=""/>
      <w:lvlJc w:val="left"/>
    </w:lvl>
    <w:lvl w:ilvl="2" w:tplc="6586361E">
      <w:numFmt w:val="decimal"/>
      <w:lvlText w:val=""/>
      <w:lvlJc w:val="left"/>
    </w:lvl>
    <w:lvl w:ilvl="3" w:tplc="7234C382">
      <w:numFmt w:val="decimal"/>
      <w:lvlText w:val=""/>
      <w:lvlJc w:val="left"/>
    </w:lvl>
    <w:lvl w:ilvl="4" w:tplc="CB2AB9BE">
      <w:numFmt w:val="decimal"/>
      <w:lvlText w:val=""/>
      <w:lvlJc w:val="left"/>
    </w:lvl>
    <w:lvl w:ilvl="5" w:tplc="6032D04C">
      <w:numFmt w:val="decimal"/>
      <w:lvlText w:val=""/>
      <w:lvlJc w:val="left"/>
    </w:lvl>
    <w:lvl w:ilvl="6" w:tplc="7E8ADC98">
      <w:numFmt w:val="decimal"/>
      <w:lvlText w:val=""/>
      <w:lvlJc w:val="left"/>
    </w:lvl>
    <w:lvl w:ilvl="7" w:tplc="6F662512">
      <w:numFmt w:val="decimal"/>
      <w:lvlText w:val=""/>
      <w:lvlJc w:val="left"/>
    </w:lvl>
    <w:lvl w:ilvl="8" w:tplc="AD562B40">
      <w:numFmt w:val="decimal"/>
      <w:lvlText w:val=""/>
      <w:lvlJc w:val="left"/>
    </w:lvl>
  </w:abstractNum>
  <w:abstractNum w:abstractNumId="854" w15:restartNumberingAfterBreak="0">
    <w:nsid w:val="5E1C2C4A"/>
    <w:multiLevelType w:val="hybridMultilevel"/>
    <w:tmpl w:val="7A9067BA"/>
    <w:lvl w:ilvl="0" w:tplc="B8E6028E">
      <w:start w:val="1"/>
      <w:numFmt w:val="bullet"/>
      <w:lvlText w:val=""/>
      <w:lvlJc w:val="left"/>
      <w:pPr>
        <w:ind w:left="720" w:hanging="180"/>
      </w:pPr>
      <w:rPr>
        <w:rFonts w:ascii="Symbol" w:hAnsi="Symbol" w:hint="default"/>
      </w:rPr>
    </w:lvl>
    <w:lvl w:ilvl="1" w:tplc="7632F968">
      <w:numFmt w:val="decimal"/>
      <w:lvlText w:val=""/>
      <w:lvlJc w:val="left"/>
    </w:lvl>
    <w:lvl w:ilvl="2" w:tplc="A8C2A566">
      <w:numFmt w:val="decimal"/>
      <w:lvlText w:val=""/>
      <w:lvlJc w:val="left"/>
    </w:lvl>
    <w:lvl w:ilvl="3" w:tplc="CFBE21E8">
      <w:numFmt w:val="decimal"/>
      <w:lvlText w:val=""/>
      <w:lvlJc w:val="left"/>
    </w:lvl>
    <w:lvl w:ilvl="4" w:tplc="30F2139C">
      <w:numFmt w:val="decimal"/>
      <w:lvlText w:val=""/>
      <w:lvlJc w:val="left"/>
    </w:lvl>
    <w:lvl w:ilvl="5" w:tplc="9DE49EF4">
      <w:numFmt w:val="decimal"/>
      <w:lvlText w:val=""/>
      <w:lvlJc w:val="left"/>
    </w:lvl>
    <w:lvl w:ilvl="6" w:tplc="9E2472D8">
      <w:numFmt w:val="decimal"/>
      <w:lvlText w:val=""/>
      <w:lvlJc w:val="left"/>
    </w:lvl>
    <w:lvl w:ilvl="7" w:tplc="2D4883EC">
      <w:numFmt w:val="decimal"/>
      <w:lvlText w:val=""/>
      <w:lvlJc w:val="left"/>
    </w:lvl>
    <w:lvl w:ilvl="8" w:tplc="7B8AFDA0">
      <w:numFmt w:val="decimal"/>
      <w:lvlText w:val=""/>
      <w:lvlJc w:val="left"/>
    </w:lvl>
  </w:abstractNum>
  <w:abstractNum w:abstractNumId="855" w15:restartNumberingAfterBreak="0">
    <w:nsid w:val="5E2C1668"/>
    <w:multiLevelType w:val="hybridMultilevel"/>
    <w:tmpl w:val="74822A98"/>
    <w:lvl w:ilvl="0" w:tplc="9658321C">
      <w:start w:val="1"/>
      <w:numFmt w:val="bullet"/>
      <w:lvlText w:val=""/>
      <w:lvlJc w:val="left"/>
      <w:pPr>
        <w:ind w:left="720" w:hanging="180"/>
      </w:pPr>
      <w:rPr>
        <w:rFonts w:ascii="Symbol" w:hAnsi="Symbol" w:hint="default"/>
      </w:rPr>
    </w:lvl>
    <w:lvl w:ilvl="1" w:tplc="DEA29A14">
      <w:numFmt w:val="decimal"/>
      <w:lvlText w:val=""/>
      <w:lvlJc w:val="left"/>
    </w:lvl>
    <w:lvl w:ilvl="2" w:tplc="651C4904">
      <w:numFmt w:val="decimal"/>
      <w:lvlText w:val=""/>
      <w:lvlJc w:val="left"/>
    </w:lvl>
    <w:lvl w:ilvl="3" w:tplc="7ABE667E">
      <w:numFmt w:val="decimal"/>
      <w:lvlText w:val=""/>
      <w:lvlJc w:val="left"/>
    </w:lvl>
    <w:lvl w:ilvl="4" w:tplc="6C405EEC">
      <w:numFmt w:val="decimal"/>
      <w:lvlText w:val=""/>
      <w:lvlJc w:val="left"/>
    </w:lvl>
    <w:lvl w:ilvl="5" w:tplc="0092560A">
      <w:numFmt w:val="decimal"/>
      <w:lvlText w:val=""/>
      <w:lvlJc w:val="left"/>
    </w:lvl>
    <w:lvl w:ilvl="6" w:tplc="300EF07A">
      <w:numFmt w:val="decimal"/>
      <w:lvlText w:val=""/>
      <w:lvlJc w:val="left"/>
    </w:lvl>
    <w:lvl w:ilvl="7" w:tplc="2D08EEE6">
      <w:numFmt w:val="decimal"/>
      <w:lvlText w:val=""/>
      <w:lvlJc w:val="left"/>
    </w:lvl>
    <w:lvl w:ilvl="8" w:tplc="8CFE8FA0">
      <w:numFmt w:val="decimal"/>
      <w:lvlText w:val=""/>
      <w:lvlJc w:val="left"/>
    </w:lvl>
  </w:abstractNum>
  <w:abstractNum w:abstractNumId="856" w15:restartNumberingAfterBreak="0">
    <w:nsid w:val="5E2F035A"/>
    <w:multiLevelType w:val="hybridMultilevel"/>
    <w:tmpl w:val="7722B2D2"/>
    <w:lvl w:ilvl="0" w:tplc="8F4A6E9A">
      <w:start w:val="1"/>
      <w:numFmt w:val="bullet"/>
      <w:lvlText w:val=""/>
      <w:lvlJc w:val="left"/>
      <w:pPr>
        <w:ind w:left="720" w:hanging="180"/>
      </w:pPr>
      <w:rPr>
        <w:rFonts w:ascii="Symbol" w:hAnsi="Symbol" w:hint="default"/>
      </w:rPr>
    </w:lvl>
    <w:lvl w:ilvl="1" w:tplc="66066CFA">
      <w:numFmt w:val="decimal"/>
      <w:lvlText w:val=""/>
      <w:lvlJc w:val="left"/>
    </w:lvl>
    <w:lvl w:ilvl="2" w:tplc="4C98B9D0">
      <w:numFmt w:val="decimal"/>
      <w:lvlText w:val=""/>
      <w:lvlJc w:val="left"/>
    </w:lvl>
    <w:lvl w:ilvl="3" w:tplc="13FC2DAE">
      <w:numFmt w:val="decimal"/>
      <w:lvlText w:val=""/>
      <w:lvlJc w:val="left"/>
    </w:lvl>
    <w:lvl w:ilvl="4" w:tplc="EA5A059C">
      <w:numFmt w:val="decimal"/>
      <w:lvlText w:val=""/>
      <w:lvlJc w:val="left"/>
    </w:lvl>
    <w:lvl w:ilvl="5" w:tplc="AC34F054">
      <w:numFmt w:val="decimal"/>
      <w:lvlText w:val=""/>
      <w:lvlJc w:val="left"/>
    </w:lvl>
    <w:lvl w:ilvl="6" w:tplc="4B46276C">
      <w:numFmt w:val="decimal"/>
      <w:lvlText w:val=""/>
      <w:lvlJc w:val="left"/>
    </w:lvl>
    <w:lvl w:ilvl="7" w:tplc="B4F0F51A">
      <w:numFmt w:val="decimal"/>
      <w:lvlText w:val=""/>
      <w:lvlJc w:val="left"/>
    </w:lvl>
    <w:lvl w:ilvl="8" w:tplc="78F035EE">
      <w:numFmt w:val="decimal"/>
      <w:lvlText w:val=""/>
      <w:lvlJc w:val="left"/>
    </w:lvl>
  </w:abstractNum>
  <w:abstractNum w:abstractNumId="857" w15:restartNumberingAfterBreak="0">
    <w:nsid w:val="5E540CB2"/>
    <w:multiLevelType w:val="hybridMultilevel"/>
    <w:tmpl w:val="6D689E20"/>
    <w:lvl w:ilvl="0" w:tplc="BEF095BC">
      <w:start w:val="1"/>
      <w:numFmt w:val="bullet"/>
      <w:lvlText w:val=""/>
      <w:lvlJc w:val="left"/>
      <w:pPr>
        <w:ind w:left="720" w:hanging="180"/>
      </w:pPr>
      <w:rPr>
        <w:rFonts w:ascii="Symbol" w:hAnsi="Symbol" w:hint="default"/>
      </w:rPr>
    </w:lvl>
    <w:lvl w:ilvl="1" w:tplc="BBFADB10">
      <w:numFmt w:val="decimal"/>
      <w:lvlText w:val=""/>
      <w:lvlJc w:val="left"/>
    </w:lvl>
    <w:lvl w:ilvl="2" w:tplc="70ACFD16">
      <w:numFmt w:val="decimal"/>
      <w:lvlText w:val=""/>
      <w:lvlJc w:val="left"/>
    </w:lvl>
    <w:lvl w:ilvl="3" w:tplc="DF56834E">
      <w:numFmt w:val="decimal"/>
      <w:lvlText w:val=""/>
      <w:lvlJc w:val="left"/>
    </w:lvl>
    <w:lvl w:ilvl="4" w:tplc="BDB8AD62">
      <w:numFmt w:val="decimal"/>
      <w:lvlText w:val=""/>
      <w:lvlJc w:val="left"/>
    </w:lvl>
    <w:lvl w:ilvl="5" w:tplc="FB04724A">
      <w:numFmt w:val="decimal"/>
      <w:lvlText w:val=""/>
      <w:lvlJc w:val="left"/>
    </w:lvl>
    <w:lvl w:ilvl="6" w:tplc="097E6F12">
      <w:numFmt w:val="decimal"/>
      <w:lvlText w:val=""/>
      <w:lvlJc w:val="left"/>
    </w:lvl>
    <w:lvl w:ilvl="7" w:tplc="5F76BB80">
      <w:numFmt w:val="decimal"/>
      <w:lvlText w:val=""/>
      <w:lvlJc w:val="left"/>
    </w:lvl>
    <w:lvl w:ilvl="8" w:tplc="B6F67756">
      <w:numFmt w:val="decimal"/>
      <w:lvlText w:val=""/>
      <w:lvlJc w:val="left"/>
    </w:lvl>
  </w:abstractNum>
  <w:abstractNum w:abstractNumId="858" w15:restartNumberingAfterBreak="0">
    <w:nsid w:val="5E5820D0"/>
    <w:multiLevelType w:val="hybridMultilevel"/>
    <w:tmpl w:val="2424D3FE"/>
    <w:lvl w:ilvl="0" w:tplc="671ADBAA">
      <w:start w:val="1"/>
      <w:numFmt w:val="bullet"/>
      <w:lvlText w:val=""/>
      <w:lvlJc w:val="left"/>
      <w:pPr>
        <w:ind w:left="720" w:hanging="180"/>
      </w:pPr>
      <w:rPr>
        <w:rFonts w:ascii="Symbol" w:hAnsi="Symbol" w:hint="default"/>
      </w:rPr>
    </w:lvl>
    <w:lvl w:ilvl="1" w:tplc="9C12C830">
      <w:numFmt w:val="decimal"/>
      <w:lvlText w:val=""/>
      <w:lvlJc w:val="left"/>
    </w:lvl>
    <w:lvl w:ilvl="2" w:tplc="8A8A6480">
      <w:numFmt w:val="decimal"/>
      <w:lvlText w:val=""/>
      <w:lvlJc w:val="left"/>
    </w:lvl>
    <w:lvl w:ilvl="3" w:tplc="E29035B0">
      <w:numFmt w:val="decimal"/>
      <w:lvlText w:val=""/>
      <w:lvlJc w:val="left"/>
    </w:lvl>
    <w:lvl w:ilvl="4" w:tplc="F104CF94">
      <w:numFmt w:val="decimal"/>
      <w:lvlText w:val=""/>
      <w:lvlJc w:val="left"/>
    </w:lvl>
    <w:lvl w:ilvl="5" w:tplc="10EA23AE">
      <w:numFmt w:val="decimal"/>
      <w:lvlText w:val=""/>
      <w:lvlJc w:val="left"/>
    </w:lvl>
    <w:lvl w:ilvl="6" w:tplc="4014A94A">
      <w:numFmt w:val="decimal"/>
      <w:lvlText w:val=""/>
      <w:lvlJc w:val="left"/>
    </w:lvl>
    <w:lvl w:ilvl="7" w:tplc="2E582D5E">
      <w:numFmt w:val="decimal"/>
      <w:lvlText w:val=""/>
      <w:lvlJc w:val="left"/>
    </w:lvl>
    <w:lvl w:ilvl="8" w:tplc="BE96F50E">
      <w:numFmt w:val="decimal"/>
      <w:lvlText w:val=""/>
      <w:lvlJc w:val="left"/>
    </w:lvl>
  </w:abstractNum>
  <w:abstractNum w:abstractNumId="859" w15:restartNumberingAfterBreak="0">
    <w:nsid w:val="5E6A4A47"/>
    <w:multiLevelType w:val="hybridMultilevel"/>
    <w:tmpl w:val="7B2CB6EE"/>
    <w:lvl w:ilvl="0" w:tplc="76785472">
      <w:start w:val="1"/>
      <w:numFmt w:val="bullet"/>
      <w:lvlText w:val=""/>
      <w:lvlJc w:val="left"/>
      <w:pPr>
        <w:ind w:left="720" w:hanging="180"/>
      </w:pPr>
      <w:rPr>
        <w:rFonts w:ascii="Symbol" w:hAnsi="Symbol" w:hint="default"/>
      </w:rPr>
    </w:lvl>
    <w:lvl w:ilvl="1" w:tplc="EB8607AE">
      <w:numFmt w:val="decimal"/>
      <w:lvlText w:val=""/>
      <w:lvlJc w:val="left"/>
    </w:lvl>
    <w:lvl w:ilvl="2" w:tplc="F578C2E0">
      <w:numFmt w:val="decimal"/>
      <w:lvlText w:val=""/>
      <w:lvlJc w:val="left"/>
    </w:lvl>
    <w:lvl w:ilvl="3" w:tplc="B42EFE74">
      <w:numFmt w:val="decimal"/>
      <w:lvlText w:val=""/>
      <w:lvlJc w:val="left"/>
    </w:lvl>
    <w:lvl w:ilvl="4" w:tplc="5EFC6EAE">
      <w:numFmt w:val="decimal"/>
      <w:lvlText w:val=""/>
      <w:lvlJc w:val="left"/>
    </w:lvl>
    <w:lvl w:ilvl="5" w:tplc="8500DD84">
      <w:numFmt w:val="decimal"/>
      <w:lvlText w:val=""/>
      <w:lvlJc w:val="left"/>
    </w:lvl>
    <w:lvl w:ilvl="6" w:tplc="C6D45C84">
      <w:numFmt w:val="decimal"/>
      <w:lvlText w:val=""/>
      <w:lvlJc w:val="left"/>
    </w:lvl>
    <w:lvl w:ilvl="7" w:tplc="B5EED97E">
      <w:numFmt w:val="decimal"/>
      <w:lvlText w:val=""/>
      <w:lvlJc w:val="left"/>
    </w:lvl>
    <w:lvl w:ilvl="8" w:tplc="68A02C48">
      <w:numFmt w:val="decimal"/>
      <w:lvlText w:val=""/>
      <w:lvlJc w:val="left"/>
    </w:lvl>
  </w:abstractNum>
  <w:abstractNum w:abstractNumId="860" w15:restartNumberingAfterBreak="0">
    <w:nsid w:val="5E6C2E57"/>
    <w:multiLevelType w:val="hybridMultilevel"/>
    <w:tmpl w:val="16F07864"/>
    <w:lvl w:ilvl="0" w:tplc="27B6B400">
      <w:start w:val="1"/>
      <w:numFmt w:val="bullet"/>
      <w:lvlText w:val=""/>
      <w:lvlJc w:val="left"/>
      <w:pPr>
        <w:ind w:left="720" w:hanging="180"/>
      </w:pPr>
      <w:rPr>
        <w:rFonts w:ascii="Symbol" w:hAnsi="Symbol" w:hint="default"/>
      </w:rPr>
    </w:lvl>
    <w:lvl w:ilvl="1" w:tplc="EBE4233E">
      <w:numFmt w:val="decimal"/>
      <w:lvlText w:val=""/>
      <w:lvlJc w:val="left"/>
    </w:lvl>
    <w:lvl w:ilvl="2" w:tplc="75AA9994">
      <w:numFmt w:val="decimal"/>
      <w:lvlText w:val=""/>
      <w:lvlJc w:val="left"/>
    </w:lvl>
    <w:lvl w:ilvl="3" w:tplc="2912ED42">
      <w:numFmt w:val="decimal"/>
      <w:lvlText w:val=""/>
      <w:lvlJc w:val="left"/>
    </w:lvl>
    <w:lvl w:ilvl="4" w:tplc="BA20FB0A">
      <w:numFmt w:val="decimal"/>
      <w:lvlText w:val=""/>
      <w:lvlJc w:val="left"/>
    </w:lvl>
    <w:lvl w:ilvl="5" w:tplc="69C29868">
      <w:numFmt w:val="decimal"/>
      <w:lvlText w:val=""/>
      <w:lvlJc w:val="left"/>
    </w:lvl>
    <w:lvl w:ilvl="6" w:tplc="63FC1A6E">
      <w:numFmt w:val="decimal"/>
      <w:lvlText w:val=""/>
      <w:lvlJc w:val="left"/>
    </w:lvl>
    <w:lvl w:ilvl="7" w:tplc="63B23E24">
      <w:numFmt w:val="decimal"/>
      <w:lvlText w:val=""/>
      <w:lvlJc w:val="left"/>
    </w:lvl>
    <w:lvl w:ilvl="8" w:tplc="4762E3C2">
      <w:numFmt w:val="decimal"/>
      <w:lvlText w:val=""/>
      <w:lvlJc w:val="left"/>
    </w:lvl>
  </w:abstractNum>
  <w:abstractNum w:abstractNumId="861" w15:restartNumberingAfterBreak="0">
    <w:nsid w:val="5E966830"/>
    <w:multiLevelType w:val="hybridMultilevel"/>
    <w:tmpl w:val="875694B4"/>
    <w:lvl w:ilvl="0" w:tplc="41443B52">
      <w:start w:val="1"/>
      <w:numFmt w:val="bullet"/>
      <w:lvlText w:val=""/>
      <w:lvlJc w:val="left"/>
      <w:pPr>
        <w:ind w:left="720" w:hanging="180"/>
      </w:pPr>
      <w:rPr>
        <w:rFonts w:ascii="Symbol" w:hAnsi="Symbol" w:hint="default"/>
      </w:rPr>
    </w:lvl>
    <w:lvl w:ilvl="1" w:tplc="084001A8">
      <w:numFmt w:val="decimal"/>
      <w:lvlText w:val=""/>
      <w:lvlJc w:val="left"/>
    </w:lvl>
    <w:lvl w:ilvl="2" w:tplc="D856D628">
      <w:numFmt w:val="decimal"/>
      <w:lvlText w:val=""/>
      <w:lvlJc w:val="left"/>
    </w:lvl>
    <w:lvl w:ilvl="3" w:tplc="739ED5CE">
      <w:numFmt w:val="decimal"/>
      <w:lvlText w:val=""/>
      <w:lvlJc w:val="left"/>
    </w:lvl>
    <w:lvl w:ilvl="4" w:tplc="F8D47132">
      <w:numFmt w:val="decimal"/>
      <w:lvlText w:val=""/>
      <w:lvlJc w:val="left"/>
    </w:lvl>
    <w:lvl w:ilvl="5" w:tplc="EB247F50">
      <w:numFmt w:val="decimal"/>
      <w:lvlText w:val=""/>
      <w:lvlJc w:val="left"/>
    </w:lvl>
    <w:lvl w:ilvl="6" w:tplc="B896EF3E">
      <w:numFmt w:val="decimal"/>
      <w:lvlText w:val=""/>
      <w:lvlJc w:val="left"/>
    </w:lvl>
    <w:lvl w:ilvl="7" w:tplc="D72AE36A">
      <w:numFmt w:val="decimal"/>
      <w:lvlText w:val=""/>
      <w:lvlJc w:val="left"/>
    </w:lvl>
    <w:lvl w:ilvl="8" w:tplc="109C8FB8">
      <w:numFmt w:val="decimal"/>
      <w:lvlText w:val=""/>
      <w:lvlJc w:val="left"/>
    </w:lvl>
  </w:abstractNum>
  <w:abstractNum w:abstractNumId="862" w15:restartNumberingAfterBreak="0">
    <w:nsid w:val="5EC8671A"/>
    <w:multiLevelType w:val="hybridMultilevel"/>
    <w:tmpl w:val="32AEA3EC"/>
    <w:lvl w:ilvl="0" w:tplc="29D4299E">
      <w:start w:val="1"/>
      <w:numFmt w:val="bullet"/>
      <w:lvlText w:val=""/>
      <w:lvlJc w:val="left"/>
      <w:pPr>
        <w:ind w:left="720" w:hanging="180"/>
      </w:pPr>
      <w:rPr>
        <w:rFonts w:ascii="Symbol" w:hAnsi="Symbol" w:hint="default"/>
      </w:rPr>
    </w:lvl>
    <w:lvl w:ilvl="1" w:tplc="E1FE634C">
      <w:numFmt w:val="decimal"/>
      <w:lvlText w:val=""/>
      <w:lvlJc w:val="left"/>
    </w:lvl>
    <w:lvl w:ilvl="2" w:tplc="DFE60BAE">
      <w:numFmt w:val="decimal"/>
      <w:lvlText w:val=""/>
      <w:lvlJc w:val="left"/>
    </w:lvl>
    <w:lvl w:ilvl="3" w:tplc="8B90A1F4">
      <w:numFmt w:val="decimal"/>
      <w:lvlText w:val=""/>
      <w:lvlJc w:val="left"/>
    </w:lvl>
    <w:lvl w:ilvl="4" w:tplc="7D8A8572">
      <w:numFmt w:val="decimal"/>
      <w:lvlText w:val=""/>
      <w:lvlJc w:val="left"/>
    </w:lvl>
    <w:lvl w:ilvl="5" w:tplc="D10EC3F0">
      <w:numFmt w:val="decimal"/>
      <w:lvlText w:val=""/>
      <w:lvlJc w:val="left"/>
    </w:lvl>
    <w:lvl w:ilvl="6" w:tplc="6374EB7C">
      <w:numFmt w:val="decimal"/>
      <w:lvlText w:val=""/>
      <w:lvlJc w:val="left"/>
    </w:lvl>
    <w:lvl w:ilvl="7" w:tplc="722C6194">
      <w:numFmt w:val="decimal"/>
      <w:lvlText w:val=""/>
      <w:lvlJc w:val="left"/>
    </w:lvl>
    <w:lvl w:ilvl="8" w:tplc="FF227640">
      <w:numFmt w:val="decimal"/>
      <w:lvlText w:val=""/>
      <w:lvlJc w:val="left"/>
    </w:lvl>
  </w:abstractNum>
  <w:abstractNum w:abstractNumId="863" w15:restartNumberingAfterBreak="0">
    <w:nsid w:val="5ECB6DEE"/>
    <w:multiLevelType w:val="hybridMultilevel"/>
    <w:tmpl w:val="3D2A090E"/>
    <w:lvl w:ilvl="0" w:tplc="9A82FDF4">
      <w:start w:val="1"/>
      <w:numFmt w:val="bullet"/>
      <w:lvlText w:val=""/>
      <w:lvlJc w:val="left"/>
      <w:pPr>
        <w:ind w:left="720" w:hanging="180"/>
      </w:pPr>
      <w:rPr>
        <w:rFonts w:ascii="Symbol" w:hAnsi="Symbol" w:hint="default"/>
      </w:rPr>
    </w:lvl>
    <w:lvl w:ilvl="1" w:tplc="18C249D2">
      <w:numFmt w:val="decimal"/>
      <w:lvlText w:val=""/>
      <w:lvlJc w:val="left"/>
    </w:lvl>
    <w:lvl w:ilvl="2" w:tplc="80F6C63A">
      <w:numFmt w:val="decimal"/>
      <w:lvlText w:val=""/>
      <w:lvlJc w:val="left"/>
    </w:lvl>
    <w:lvl w:ilvl="3" w:tplc="56B49FEC">
      <w:numFmt w:val="decimal"/>
      <w:lvlText w:val=""/>
      <w:lvlJc w:val="left"/>
    </w:lvl>
    <w:lvl w:ilvl="4" w:tplc="981E5424">
      <w:numFmt w:val="decimal"/>
      <w:lvlText w:val=""/>
      <w:lvlJc w:val="left"/>
    </w:lvl>
    <w:lvl w:ilvl="5" w:tplc="6BF4CF98">
      <w:numFmt w:val="decimal"/>
      <w:lvlText w:val=""/>
      <w:lvlJc w:val="left"/>
    </w:lvl>
    <w:lvl w:ilvl="6" w:tplc="8BA2677C">
      <w:numFmt w:val="decimal"/>
      <w:lvlText w:val=""/>
      <w:lvlJc w:val="left"/>
    </w:lvl>
    <w:lvl w:ilvl="7" w:tplc="A070880E">
      <w:numFmt w:val="decimal"/>
      <w:lvlText w:val=""/>
      <w:lvlJc w:val="left"/>
    </w:lvl>
    <w:lvl w:ilvl="8" w:tplc="26B2DA74">
      <w:numFmt w:val="decimal"/>
      <w:lvlText w:val=""/>
      <w:lvlJc w:val="left"/>
    </w:lvl>
  </w:abstractNum>
  <w:abstractNum w:abstractNumId="864" w15:restartNumberingAfterBreak="0">
    <w:nsid w:val="5ECD2C0B"/>
    <w:multiLevelType w:val="hybridMultilevel"/>
    <w:tmpl w:val="AA7C0808"/>
    <w:lvl w:ilvl="0" w:tplc="79F05322">
      <w:start w:val="1"/>
      <w:numFmt w:val="bullet"/>
      <w:lvlText w:val=""/>
      <w:lvlJc w:val="left"/>
      <w:pPr>
        <w:ind w:left="720" w:hanging="180"/>
      </w:pPr>
      <w:rPr>
        <w:rFonts w:ascii="Symbol" w:hAnsi="Symbol" w:hint="default"/>
      </w:rPr>
    </w:lvl>
    <w:lvl w:ilvl="1" w:tplc="D73A6AF0">
      <w:numFmt w:val="decimal"/>
      <w:lvlText w:val=""/>
      <w:lvlJc w:val="left"/>
    </w:lvl>
    <w:lvl w:ilvl="2" w:tplc="CFDEF36E">
      <w:numFmt w:val="decimal"/>
      <w:lvlText w:val=""/>
      <w:lvlJc w:val="left"/>
    </w:lvl>
    <w:lvl w:ilvl="3" w:tplc="50E49FB6">
      <w:numFmt w:val="decimal"/>
      <w:lvlText w:val=""/>
      <w:lvlJc w:val="left"/>
    </w:lvl>
    <w:lvl w:ilvl="4" w:tplc="99141D54">
      <w:numFmt w:val="decimal"/>
      <w:lvlText w:val=""/>
      <w:lvlJc w:val="left"/>
    </w:lvl>
    <w:lvl w:ilvl="5" w:tplc="8D1C15E6">
      <w:numFmt w:val="decimal"/>
      <w:lvlText w:val=""/>
      <w:lvlJc w:val="left"/>
    </w:lvl>
    <w:lvl w:ilvl="6" w:tplc="6B028D52">
      <w:numFmt w:val="decimal"/>
      <w:lvlText w:val=""/>
      <w:lvlJc w:val="left"/>
    </w:lvl>
    <w:lvl w:ilvl="7" w:tplc="FBD00314">
      <w:numFmt w:val="decimal"/>
      <w:lvlText w:val=""/>
      <w:lvlJc w:val="left"/>
    </w:lvl>
    <w:lvl w:ilvl="8" w:tplc="88D4A09C">
      <w:numFmt w:val="decimal"/>
      <w:lvlText w:val=""/>
      <w:lvlJc w:val="left"/>
    </w:lvl>
  </w:abstractNum>
  <w:abstractNum w:abstractNumId="865" w15:restartNumberingAfterBreak="0">
    <w:nsid w:val="5ED613C2"/>
    <w:multiLevelType w:val="hybridMultilevel"/>
    <w:tmpl w:val="72F6BA9E"/>
    <w:lvl w:ilvl="0" w:tplc="DAE0739A">
      <w:start w:val="1"/>
      <w:numFmt w:val="bullet"/>
      <w:lvlText w:val=""/>
      <w:lvlJc w:val="left"/>
      <w:pPr>
        <w:ind w:left="720" w:hanging="180"/>
      </w:pPr>
      <w:rPr>
        <w:rFonts w:ascii="Symbol" w:hAnsi="Symbol" w:hint="default"/>
      </w:rPr>
    </w:lvl>
    <w:lvl w:ilvl="1" w:tplc="6574AF4A">
      <w:numFmt w:val="decimal"/>
      <w:lvlText w:val=""/>
      <w:lvlJc w:val="left"/>
    </w:lvl>
    <w:lvl w:ilvl="2" w:tplc="39445788">
      <w:numFmt w:val="decimal"/>
      <w:lvlText w:val=""/>
      <w:lvlJc w:val="left"/>
    </w:lvl>
    <w:lvl w:ilvl="3" w:tplc="73503736">
      <w:numFmt w:val="decimal"/>
      <w:lvlText w:val=""/>
      <w:lvlJc w:val="left"/>
    </w:lvl>
    <w:lvl w:ilvl="4" w:tplc="9DBE235A">
      <w:numFmt w:val="decimal"/>
      <w:lvlText w:val=""/>
      <w:lvlJc w:val="left"/>
    </w:lvl>
    <w:lvl w:ilvl="5" w:tplc="B23063E6">
      <w:numFmt w:val="decimal"/>
      <w:lvlText w:val=""/>
      <w:lvlJc w:val="left"/>
    </w:lvl>
    <w:lvl w:ilvl="6" w:tplc="FFC0FE6E">
      <w:numFmt w:val="decimal"/>
      <w:lvlText w:val=""/>
      <w:lvlJc w:val="left"/>
    </w:lvl>
    <w:lvl w:ilvl="7" w:tplc="735E5752">
      <w:numFmt w:val="decimal"/>
      <w:lvlText w:val=""/>
      <w:lvlJc w:val="left"/>
    </w:lvl>
    <w:lvl w:ilvl="8" w:tplc="506A8D3A">
      <w:numFmt w:val="decimal"/>
      <w:lvlText w:val=""/>
      <w:lvlJc w:val="left"/>
    </w:lvl>
  </w:abstractNum>
  <w:abstractNum w:abstractNumId="866" w15:restartNumberingAfterBreak="0">
    <w:nsid w:val="5ED85D78"/>
    <w:multiLevelType w:val="hybridMultilevel"/>
    <w:tmpl w:val="2D58CE98"/>
    <w:lvl w:ilvl="0" w:tplc="19B6D28C">
      <w:start w:val="1"/>
      <w:numFmt w:val="bullet"/>
      <w:lvlText w:val=""/>
      <w:lvlJc w:val="left"/>
      <w:pPr>
        <w:ind w:left="720" w:hanging="180"/>
      </w:pPr>
      <w:rPr>
        <w:rFonts w:ascii="Symbol" w:hAnsi="Symbol" w:hint="default"/>
      </w:rPr>
    </w:lvl>
    <w:lvl w:ilvl="1" w:tplc="E84EA1E8">
      <w:numFmt w:val="decimal"/>
      <w:lvlText w:val=""/>
      <w:lvlJc w:val="left"/>
    </w:lvl>
    <w:lvl w:ilvl="2" w:tplc="D61C7E32">
      <w:numFmt w:val="decimal"/>
      <w:lvlText w:val=""/>
      <w:lvlJc w:val="left"/>
    </w:lvl>
    <w:lvl w:ilvl="3" w:tplc="C2828C24">
      <w:numFmt w:val="decimal"/>
      <w:lvlText w:val=""/>
      <w:lvlJc w:val="left"/>
    </w:lvl>
    <w:lvl w:ilvl="4" w:tplc="A98601F8">
      <w:numFmt w:val="decimal"/>
      <w:lvlText w:val=""/>
      <w:lvlJc w:val="left"/>
    </w:lvl>
    <w:lvl w:ilvl="5" w:tplc="F2E6226E">
      <w:numFmt w:val="decimal"/>
      <w:lvlText w:val=""/>
      <w:lvlJc w:val="left"/>
    </w:lvl>
    <w:lvl w:ilvl="6" w:tplc="58B8F6EC">
      <w:numFmt w:val="decimal"/>
      <w:lvlText w:val=""/>
      <w:lvlJc w:val="left"/>
    </w:lvl>
    <w:lvl w:ilvl="7" w:tplc="5FBA0152">
      <w:numFmt w:val="decimal"/>
      <w:lvlText w:val=""/>
      <w:lvlJc w:val="left"/>
    </w:lvl>
    <w:lvl w:ilvl="8" w:tplc="0F709990">
      <w:numFmt w:val="decimal"/>
      <w:lvlText w:val=""/>
      <w:lvlJc w:val="left"/>
    </w:lvl>
  </w:abstractNum>
  <w:abstractNum w:abstractNumId="867" w15:restartNumberingAfterBreak="0">
    <w:nsid w:val="5F23118E"/>
    <w:multiLevelType w:val="hybridMultilevel"/>
    <w:tmpl w:val="393886EE"/>
    <w:lvl w:ilvl="0" w:tplc="BB60F80C">
      <w:start w:val="1"/>
      <w:numFmt w:val="bullet"/>
      <w:lvlText w:val=""/>
      <w:lvlJc w:val="left"/>
      <w:pPr>
        <w:ind w:left="720" w:hanging="180"/>
      </w:pPr>
      <w:rPr>
        <w:rFonts w:ascii="Symbol" w:hAnsi="Symbol" w:hint="default"/>
      </w:rPr>
    </w:lvl>
    <w:lvl w:ilvl="1" w:tplc="A336BEEC">
      <w:numFmt w:val="decimal"/>
      <w:lvlText w:val=""/>
      <w:lvlJc w:val="left"/>
    </w:lvl>
    <w:lvl w:ilvl="2" w:tplc="F85436DC">
      <w:numFmt w:val="decimal"/>
      <w:lvlText w:val=""/>
      <w:lvlJc w:val="left"/>
    </w:lvl>
    <w:lvl w:ilvl="3" w:tplc="0398527C">
      <w:numFmt w:val="decimal"/>
      <w:lvlText w:val=""/>
      <w:lvlJc w:val="left"/>
    </w:lvl>
    <w:lvl w:ilvl="4" w:tplc="CB96F742">
      <w:numFmt w:val="decimal"/>
      <w:lvlText w:val=""/>
      <w:lvlJc w:val="left"/>
    </w:lvl>
    <w:lvl w:ilvl="5" w:tplc="2E7EDCA8">
      <w:numFmt w:val="decimal"/>
      <w:lvlText w:val=""/>
      <w:lvlJc w:val="left"/>
    </w:lvl>
    <w:lvl w:ilvl="6" w:tplc="B9B87B24">
      <w:numFmt w:val="decimal"/>
      <w:lvlText w:val=""/>
      <w:lvlJc w:val="left"/>
    </w:lvl>
    <w:lvl w:ilvl="7" w:tplc="7D6C123E">
      <w:numFmt w:val="decimal"/>
      <w:lvlText w:val=""/>
      <w:lvlJc w:val="left"/>
    </w:lvl>
    <w:lvl w:ilvl="8" w:tplc="29D8B7A6">
      <w:numFmt w:val="decimal"/>
      <w:lvlText w:val=""/>
      <w:lvlJc w:val="left"/>
    </w:lvl>
  </w:abstractNum>
  <w:abstractNum w:abstractNumId="868" w15:restartNumberingAfterBreak="0">
    <w:nsid w:val="5F9F1B91"/>
    <w:multiLevelType w:val="hybridMultilevel"/>
    <w:tmpl w:val="5CBAC5F8"/>
    <w:lvl w:ilvl="0" w:tplc="4170D7C0">
      <w:start w:val="1"/>
      <w:numFmt w:val="bullet"/>
      <w:lvlText w:val=""/>
      <w:lvlJc w:val="left"/>
      <w:pPr>
        <w:ind w:left="720" w:hanging="180"/>
      </w:pPr>
      <w:rPr>
        <w:rFonts w:ascii="Symbol" w:hAnsi="Symbol" w:hint="default"/>
      </w:rPr>
    </w:lvl>
    <w:lvl w:ilvl="1" w:tplc="7BD04690">
      <w:numFmt w:val="decimal"/>
      <w:lvlText w:val=""/>
      <w:lvlJc w:val="left"/>
    </w:lvl>
    <w:lvl w:ilvl="2" w:tplc="7AA2F3E2">
      <w:numFmt w:val="decimal"/>
      <w:lvlText w:val=""/>
      <w:lvlJc w:val="left"/>
    </w:lvl>
    <w:lvl w:ilvl="3" w:tplc="EAB6E622">
      <w:numFmt w:val="decimal"/>
      <w:lvlText w:val=""/>
      <w:lvlJc w:val="left"/>
    </w:lvl>
    <w:lvl w:ilvl="4" w:tplc="69C877D4">
      <w:numFmt w:val="decimal"/>
      <w:lvlText w:val=""/>
      <w:lvlJc w:val="left"/>
    </w:lvl>
    <w:lvl w:ilvl="5" w:tplc="6008A8DC">
      <w:numFmt w:val="decimal"/>
      <w:lvlText w:val=""/>
      <w:lvlJc w:val="left"/>
    </w:lvl>
    <w:lvl w:ilvl="6" w:tplc="B20CEC9C">
      <w:numFmt w:val="decimal"/>
      <w:lvlText w:val=""/>
      <w:lvlJc w:val="left"/>
    </w:lvl>
    <w:lvl w:ilvl="7" w:tplc="E228ADBE">
      <w:numFmt w:val="decimal"/>
      <w:lvlText w:val=""/>
      <w:lvlJc w:val="left"/>
    </w:lvl>
    <w:lvl w:ilvl="8" w:tplc="CDB07154">
      <w:numFmt w:val="decimal"/>
      <w:lvlText w:val=""/>
      <w:lvlJc w:val="left"/>
    </w:lvl>
  </w:abstractNum>
  <w:abstractNum w:abstractNumId="869" w15:restartNumberingAfterBreak="0">
    <w:nsid w:val="5FA3444A"/>
    <w:multiLevelType w:val="hybridMultilevel"/>
    <w:tmpl w:val="1C6E3222"/>
    <w:lvl w:ilvl="0" w:tplc="B298F398">
      <w:start w:val="1"/>
      <w:numFmt w:val="bullet"/>
      <w:lvlText w:val=""/>
      <w:lvlJc w:val="left"/>
      <w:pPr>
        <w:ind w:left="720" w:hanging="180"/>
      </w:pPr>
      <w:rPr>
        <w:rFonts w:ascii="Symbol" w:hAnsi="Symbol" w:hint="default"/>
      </w:rPr>
    </w:lvl>
    <w:lvl w:ilvl="1" w:tplc="A7447AE2">
      <w:numFmt w:val="decimal"/>
      <w:lvlText w:val=""/>
      <w:lvlJc w:val="left"/>
    </w:lvl>
    <w:lvl w:ilvl="2" w:tplc="8DFEABEC">
      <w:numFmt w:val="decimal"/>
      <w:lvlText w:val=""/>
      <w:lvlJc w:val="left"/>
    </w:lvl>
    <w:lvl w:ilvl="3" w:tplc="1216135E">
      <w:numFmt w:val="decimal"/>
      <w:lvlText w:val=""/>
      <w:lvlJc w:val="left"/>
    </w:lvl>
    <w:lvl w:ilvl="4" w:tplc="7F240B34">
      <w:numFmt w:val="decimal"/>
      <w:lvlText w:val=""/>
      <w:lvlJc w:val="left"/>
    </w:lvl>
    <w:lvl w:ilvl="5" w:tplc="0E506BE8">
      <w:numFmt w:val="decimal"/>
      <w:lvlText w:val=""/>
      <w:lvlJc w:val="left"/>
    </w:lvl>
    <w:lvl w:ilvl="6" w:tplc="FC6C7D38">
      <w:numFmt w:val="decimal"/>
      <w:lvlText w:val=""/>
      <w:lvlJc w:val="left"/>
    </w:lvl>
    <w:lvl w:ilvl="7" w:tplc="29F64910">
      <w:numFmt w:val="decimal"/>
      <w:lvlText w:val=""/>
      <w:lvlJc w:val="left"/>
    </w:lvl>
    <w:lvl w:ilvl="8" w:tplc="3F0E7A76">
      <w:numFmt w:val="decimal"/>
      <w:lvlText w:val=""/>
      <w:lvlJc w:val="left"/>
    </w:lvl>
  </w:abstractNum>
  <w:abstractNum w:abstractNumId="870" w15:restartNumberingAfterBreak="0">
    <w:nsid w:val="5FFE5AE5"/>
    <w:multiLevelType w:val="hybridMultilevel"/>
    <w:tmpl w:val="AE880280"/>
    <w:lvl w:ilvl="0" w:tplc="2F2E6C3A">
      <w:start w:val="1"/>
      <w:numFmt w:val="bullet"/>
      <w:lvlText w:val=""/>
      <w:lvlJc w:val="left"/>
      <w:pPr>
        <w:ind w:left="720" w:hanging="180"/>
      </w:pPr>
      <w:rPr>
        <w:rFonts w:ascii="Symbol" w:hAnsi="Symbol" w:hint="default"/>
      </w:rPr>
    </w:lvl>
    <w:lvl w:ilvl="1" w:tplc="84BA688A">
      <w:numFmt w:val="decimal"/>
      <w:lvlText w:val=""/>
      <w:lvlJc w:val="left"/>
    </w:lvl>
    <w:lvl w:ilvl="2" w:tplc="DF0EDED6">
      <w:numFmt w:val="decimal"/>
      <w:lvlText w:val=""/>
      <w:lvlJc w:val="left"/>
    </w:lvl>
    <w:lvl w:ilvl="3" w:tplc="422E3AF0">
      <w:numFmt w:val="decimal"/>
      <w:lvlText w:val=""/>
      <w:lvlJc w:val="left"/>
    </w:lvl>
    <w:lvl w:ilvl="4" w:tplc="70143E36">
      <w:numFmt w:val="decimal"/>
      <w:lvlText w:val=""/>
      <w:lvlJc w:val="left"/>
    </w:lvl>
    <w:lvl w:ilvl="5" w:tplc="18A6E4EA">
      <w:numFmt w:val="decimal"/>
      <w:lvlText w:val=""/>
      <w:lvlJc w:val="left"/>
    </w:lvl>
    <w:lvl w:ilvl="6" w:tplc="9014EFEC">
      <w:numFmt w:val="decimal"/>
      <w:lvlText w:val=""/>
      <w:lvlJc w:val="left"/>
    </w:lvl>
    <w:lvl w:ilvl="7" w:tplc="C5EC7B0A">
      <w:numFmt w:val="decimal"/>
      <w:lvlText w:val=""/>
      <w:lvlJc w:val="left"/>
    </w:lvl>
    <w:lvl w:ilvl="8" w:tplc="9B38235A">
      <w:numFmt w:val="decimal"/>
      <w:lvlText w:val=""/>
      <w:lvlJc w:val="left"/>
    </w:lvl>
  </w:abstractNum>
  <w:abstractNum w:abstractNumId="871" w15:restartNumberingAfterBreak="0">
    <w:nsid w:val="603D6105"/>
    <w:multiLevelType w:val="hybridMultilevel"/>
    <w:tmpl w:val="70DE6878"/>
    <w:lvl w:ilvl="0" w:tplc="316E91F0">
      <w:start w:val="1"/>
      <w:numFmt w:val="bullet"/>
      <w:lvlText w:val=""/>
      <w:lvlJc w:val="left"/>
      <w:pPr>
        <w:ind w:left="720" w:hanging="180"/>
      </w:pPr>
      <w:rPr>
        <w:rFonts w:ascii="Symbol" w:hAnsi="Symbol" w:hint="default"/>
      </w:rPr>
    </w:lvl>
    <w:lvl w:ilvl="1" w:tplc="18A244BC">
      <w:numFmt w:val="decimal"/>
      <w:lvlText w:val=""/>
      <w:lvlJc w:val="left"/>
    </w:lvl>
    <w:lvl w:ilvl="2" w:tplc="382A2D30">
      <w:numFmt w:val="decimal"/>
      <w:lvlText w:val=""/>
      <w:lvlJc w:val="left"/>
    </w:lvl>
    <w:lvl w:ilvl="3" w:tplc="DB68D3FC">
      <w:numFmt w:val="decimal"/>
      <w:lvlText w:val=""/>
      <w:lvlJc w:val="left"/>
    </w:lvl>
    <w:lvl w:ilvl="4" w:tplc="05947CEC">
      <w:numFmt w:val="decimal"/>
      <w:lvlText w:val=""/>
      <w:lvlJc w:val="left"/>
    </w:lvl>
    <w:lvl w:ilvl="5" w:tplc="CE82DA6A">
      <w:numFmt w:val="decimal"/>
      <w:lvlText w:val=""/>
      <w:lvlJc w:val="left"/>
    </w:lvl>
    <w:lvl w:ilvl="6" w:tplc="A98CF726">
      <w:numFmt w:val="decimal"/>
      <w:lvlText w:val=""/>
      <w:lvlJc w:val="left"/>
    </w:lvl>
    <w:lvl w:ilvl="7" w:tplc="167A867E">
      <w:numFmt w:val="decimal"/>
      <w:lvlText w:val=""/>
      <w:lvlJc w:val="left"/>
    </w:lvl>
    <w:lvl w:ilvl="8" w:tplc="0818CF00">
      <w:numFmt w:val="decimal"/>
      <w:lvlText w:val=""/>
      <w:lvlJc w:val="left"/>
    </w:lvl>
  </w:abstractNum>
  <w:abstractNum w:abstractNumId="872" w15:restartNumberingAfterBreak="0">
    <w:nsid w:val="603E75CF"/>
    <w:multiLevelType w:val="hybridMultilevel"/>
    <w:tmpl w:val="996AF5E8"/>
    <w:lvl w:ilvl="0" w:tplc="5E426894">
      <w:start w:val="1"/>
      <w:numFmt w:val="bullet"/>
      <w:lvlText w:val=""/>
      <w:lvlJc w:val="left"/>
      <w:pPr>
        <w:ind w:left="720" w:hanging="180"/>
      </w:pPr>
      <w:rPr>
        <w:rFonts w:ascii="Symbol" w:hAnsi="Symbol" w:hint="default"/>
      </w:rPr>
    </w:lvl>
    <w:lvl w:ilvl="1" w:tplc="5C3E36A4">
      <w:numFmt w:val="decimal"/>
      <w:lvlText w:val=""/>
      <w:lvlJc w:val="left"/>
    </w:lvl>
    <w:lvl w:ilvl="2" w:tplc="C47C5ADC">
      <w:numFmt w:val="decimal"/>
      <w:lvlText w:val=""/>
      <w:lvlJc w:val="left"/>
    </w:lvl>
    <w:lvl w:ilvl="3" w:tplc="1F6CB9CC">
      <w:numFmt w:val="decimal"/>
      <w:lvlText w:val=""/>
      <w:lvlJc w:val="left"/>
    </w:lvl>
    <w:lvl w:ilvl="4" w:tplc="41B89D58">
      <w:numFmt w:val="decimal"/>
      <w:lvlText w:val=""/>
      <w:lvlJc w:val="left"/>
    </w:lvl>
    <w:lvl w:ilvl="5" w:tplc="BAEA1C26">
      <w:numFmt w:val="decimal"/>
      <w:lvlText w:val=""/>
      <w:lvlJc w:val="left"/>
    </w:lvl>
    <w:lvl w:ilvl="6" w:tplc="4EC2003E">
      <w:numFmt w:val="decimal"/>
      <w:lvlText w:val=""/>
      <w:lvlJc w:val="left"/>
    </w:lvl>
    <w:lvl w:ilvl="7" w:tplc="C338BA1C">
      <w:numFmt w:val="decimal"/>
      <w:lvlText w:val=""/>
      <w:lvlJc w:val="left"/>
    </w:lvl>
    <w:lvl w:ilvl="8" w:tplc="7E261EAE">
      <w:numFmt w:val="decimal"/>
      <w:lvlText w:val=""/>
      <w:lvlJc w:val="left"/>
    </w:lvl>
  </w:abstractNum>
  <w:abstractNum w:abstractNumId="873" w15:restartNumberingAfterBreak="0">
    <w:nsid w:val="604F7644"/>
    <w:multiLevelType w:val="hybridMultilevel"/>
    <w:tmpl w:val="A7D664E2"/>
    <w:lvl w:ilvl="0" w:tplc="C0C01D12">
      <w:start w:val="1"/>
      <w:numFmt w:val="bullet"/>
      <w:lvlText w:val=""/>
      <w:lvlJc w:val="left"/>
      <w:pPr>
        <w:ind w:left="720" w:hanging="180"/>
      </w:pPr>
      <w:rPr>
        <w:rFonts w:ascii="Symbol" w:hAnsi="Symbol" w:hint="default"/>
      </w:rPr>
    </w:lvl>
    <w:lvl w:ilvl="1" w:tplc="A1327E8A">
      <w:numFmt w:val="decimal"/>
      <w:lvlText w:val=""/>
      <w:lvlJc w:val="left"/>
    </w:lvl>
    <w:lvl w:ilvl="2" w:tplc="FFD8A076">
      <w:numFmt w:val="decimal"/>
      <w:lvlText w:val=""/>
      <w:lvlJc w:val="left"/>
    </w:lvl>
    <w:lvl w:ilvl="3" w:tplc="4BAA4026">
      <w:numFmt w:val="decimal"/>
      <w:lvlText w:val=""/>
      <w:lvlJc w:val="left"/>
    </w:lvl>
    <w:lvl w:ilvl="4" w:tplc="74D0E796">
      <w:numFmt w:val="decimal"/>
      <w:lvlText w:val=""/>
      <w:lvlJc w:val="left"/>
    </w:lvl>
    <w:lvl w:ilvl="5" w:tplc="F894CA2C">
      <w:numFmt w:val="decimal"/>
      <w:lvlText w:val=""/>
      <w:lvlJc w:val="left"/>
    </w:lvl>
    <w:lvl w:ilvl="6" w:tplc="9438CE68">
      <w:numFmt w:val="decimal"/>
      <w:lvlText w:val=""/>
      <w:lvlJc w:val="left"/>
    </w:lvl>
    <w:lvl w:ilvl="7" w:tplc="02B8885C">
      <w:numFmt w:val="decimal"/>
      <w:lvlText w:val=""/>
      <w:lvlJc w:val="left"/>
    </w:lvl>
    <w:lvl w:ilvl="8" w:tplc="A34ABFB6">
      <w:numFmt w:val="decimal"/>
      <w:lvlText w:val=""/>
      <w:lvlJc w:val="left"/>
    </w:lvl>
  </w:abstractNum>
  <w:abstractNum w:abstractNumId="874" w15:restartNumberingAfterBreak="0">
    <w:nsid w:val="60573277"/>
    <w:multiLevelType w:val="hybridMultilevel"/>
    <w:tmpl w:val="9424A942"/>
    <w:lvl w:ilvl="0" w:tplc="CB62F214">
      <w:start w:val="1"/>
      <w:numFmt w:val="bullet"/>
      <w:lvlText w:val=""/>
      <w:lvlJc w:val="left"/>
      <w:pPr>
        <w:ind w:left="720" w:hanging="180"/>
      </w:pPr>
      <w:rPr>
        <w:rFonts w:ascii="Symbol" w:hAnsi="Symbol" w:hint="default"/>
      </w:rPr>
    </w:lvl>
    <w:lvl w:ilvl="1" w:tplc="A1DAB80A">
      <w:numFmt w:val="decimal"/>
      <w:lvlText w:val=""/>
      <w:lvlJc w:val="left"/>
    </w:lvl>
    <w:lvl w:ilvl="2" w:tplc="F8C40920">
      <w:numFmt w:val="decimal"/>
      <w:lvlText w:val=""/>
      <w:lvlJc w:val="left"/>
    </w:lvl>
    <w:lvl w:ilvl="3" w:tplc="6FE07F50">
      <w:numFmt w:val="decimal"/>
      <w:lvlText w:val=""/>
      <w:lvlJc w:val="left"/>
    </w:lvl>
    <w:lvl w:ilvl="4" w:tplc="B8228EF8">
      <w:numFmt w:val="decimal"/>
      <w:lvlText w:val=""/>
      <w:lvlJc w:val="left"/>
    </w:lvl>
    <w:lvl w:ilvl="5" w:tplc="3210149A">
      <w:numFmt w:val="decimal"/>
      <w:lvlText w:val=""/>
      <w:lvlJc w:val="left"/>
    </w:lvl>
    <w:lvl w:ilvl="6" w:tplc="CAB289B4">
      <w:numFmt w:val="decimal"/>
      <w:lvlText w:val=""/>
      <w:lvlJc w:val="left"/>
    </w:lvl>
    <w:lvl w:ilvl="7" w:tplc="4D82FB14">
      <w:numFmt w:val="decimal"/>
      <w:lvlText w:val=""/>
      <w:lvlJc w:val="left"/>
    </w:lvl>
    <w:lvl w:ilvl="8" w:tplc="DBB42B18">
      <w:numFmt w:val="decimal"/>
      <w:lvlText w:val=""/>
      <w:lvlJc w:val="left"/>
    </w:lvl>
  </w:abstractNum>
  <w:abstractNum w:abstractNumId="875" w15:restartNumberingAfterBreak="0">
    <w:nsid w:val="606F472D"/>
    <w:multiLevelType w:val="hybridMultilevel"/>
    <w:tmpl w:val="AF5CD3B0"/>
    <w:lvl w:ilvl="0" w:tplc="BC06ECF0">
      <w:start w:val="1"/>
      <w:numFmt w:val="bullet"/>
      <w:lvlText w:val=""/>
      <w:lvlJc w:val="left"/>
      <w:pPr>
        <w:ind w:left="720" w:hanging="180"/>
      </w:pPr>
      <w:rPr>
        <w:rFonts w:ascii="Symbol" w:hAnsi="Symbol" w:hint="default"/>
      </w:rPr>
    </w:lvl>
    <w:lvl w:ilvl="1" w:tplc="56AA3AB8">
      <w:numFmt w:val="decimal"/>
      <w:lvlText w:val=""/>
      <w:lvlJc w:val="left"/>
    </w:lvl>
    <w:lvl w:ilvl="2" w:tplc="1A301A9C">
      <w:numFmt w:val="decimal"/>
      <w:lvlText w:val=""/>
      <w:lvlJc w:val="left"/>
    </w:lvl>
    <w:lvl w:ilvl="3" w:tplc="495CD884">
      <w:numFmt w:val="decimal"/>
      <w:lvlText w:val=""/>
      <w:lvlJc w:val="left"/>
    </w:lvl>
    <w:lvl w:ilvl="4" w:tplc="D966D6C0">
      <w:numFmt w:val="decimal"/>
      <w:lvlText w:val=""/>
      <w:lvlJc w:val="left"/>
    </w:lvl>
    <w:lvl w:ilvl="5" w:tplc="09F65E18">
      <w:numFmt w:val="decimal"/>
      <w:lvlText w:val=""/>
      <w:lvlJc w:val="left"/>
    </w:lvl>
    <w:lvl w:ilvl="6" w:tplc="25326340">
      <w:numFmt w:val="decimal"/>
      <w:lvlText w:val=""/>
      <w:lvlJc w:val="left"/>
    </w:lvl>
    <w:lvl w:ilvl="7" w:tplc="E9341810">
      <w:numFmt w:val="decimal"/>
      <w:lvlText w:val=""/>
      <w:lvlJc w:val="left"/>
    </w:lvl>
    <w:lvl w:ilvl="8" w:tplc="9918C77C">
      <w:numFmt w:val="decimal"/>
      <w:lvlText w:val=""/>
      <w:lvlJc w:val="left"/>
    </w:lvl>
  </w:abstractNum>
  <w:abstractNum w:abstractNumId="876" w15:restartNumberingAfterBreak="0">
    <w:nsid w:val="607233A7"/>
    <w:multiLevelType w:val="hybridMultilevel"/>
    <w:tmpl w:val="83FA7A66"/>
    <w:lvl w:ilvl="0" w:tplc="FB3E003C">
      <w:numFmt w:val="decimal"/>
      <w:lvlText w:val=""/>
      <w:lvlJc w:val="left"/>
    </w:lvl>
    <w:lvl w:ilvl="1" w:tplc="46220036">
      <w:start w:val="1"/>
      <w:numFmt w:val="bullet"/>
      <w:lvlText w:val=""/>
      <w:lvlJc w:val="left"/>
      <w:pPr>
        <w:ind w:left="1440" w:hanging="180"/>
      </w:pPr>
      <w:rPr>
        <w:rFonts w:ascii="Symbol" w:hAnsi="Symbol" w:hint="default"/>
      </w:rPr>
    </w:lvl>
    <w:lvl w:ilvl="2" w:tplc="7CF06D06">
      <w:numFmt w:val="decimal"/>
      <w:lvlText w:val=""/>
      <w:lvlJc w:val="left"/>
    </w:lvl>
    <w:lvl w:ilvl="3" w:tplc="17BCD382">
      <w:numFmt w:val="decimal"/>
      <w:lvlText w:val=""/>
      <w:lvlJc w:val="left"/>
    </w:lvl>
    <w:lvl w:ilvl="4" w:tplc="D4CAE8AC">
      <w:numFmt w:val="decimal"/>
      <w:lvlText w:val=""/>
      <w:lvlJc w:val="left"/>
    </w:lvl>
    <w:lvl w:ilvl="5" w:tplc="C4543F02">
      <w:numFmt w:val="decimal"/>
      <w:lvlText w:val=""/>
      <w:lvlJc w:val="left"/>
    </w:lvl>
    <w:lvl w:ilvl="6" w:tplc="89203B58">
      <w:numFmt w:val="decimal"/>
      <w:lvlText w:val=""/>
      <w:lvlJc w:val="left"/>
    </w:lvl>
    <w:lvl w:ilvl="7" w:tplc="26F881B0">
      <w:numFmt w:val="decimal"/>
      <w:lvlText w:val=""/>
      <w:lvlJc w:val="left"/>
    </w:lvl>
    <w:lvl w:ilvl="8" w:tplc="BFCED1FE">
      <w:numFmt w:val="decimal"/>
      <w:lvlText w:val=""/>
      <w:lvlJc w:val="left"/>
    </w:lvl>
  </w:abstractNum>
  <w:abstractNum w:abstractNumId="877" w15:restartNumberingAfterBreak="0">
    <w:nsid w:val="609E4BA5"/>
    <w:multiLevelType w:val="hybridMultilevel"/>
    <w:tmpl w:val="75C20E46"/>
    <w:lvl w:ilvl="0" w:tplc="FC169814">
      <w:start w:val="1"/>
      <w:numFmt w:val="bullet"/>
      <w:lvlText w:val=""/>
      <w:lvlJc w:val="left"/>
      <w:pPr>
        <w:ind w:left="720" w:hanging="180"/>
      </w:pPr>
      <w:rPr>
        <w:rFonts w:ascii="Symbol" w:hAnsi="Symbol" w:hint="default"/>
      </w:rPr>
    </w:lvl>
    <w:lvl w:ilvl="1" w:tplc="CACEFBCA">
      <w:numFmt w:val="decimal"/>
      <w:lvlText w:val=""/>
      <w:lvlJc w:val="left"/>
    </w:lvl>
    <w:lvl w:ilvl="2" w:tplc="41A2432C">
      <w:numFmt w:val="decimal"/>
      <w:lvlText w:val=""/>
      <w:lvlJc w:val="left"/>
    </w:lvl>
    <w:lvl w:ilvl="3" w:tplc="66A2EDAE">
      <w:numFmt w:val="decimal"/>
      <w:lvlText w:val=""/>
      <w:lvlJc w:val="left"/>
    </w:lvl>
    <w:lvl w:ilvl="4" w:tplc="CEF4EAB0">
      <w:numFmt w:val="decimal"/>
      <w:lvlText w:val=""/>
      <w:lvlJc w:val="left"/>
    </w:lvl>
    <w:lvl w:ilvl="5" w:tplc="E8164186">
      <w:numFmt w:val="decimal"/>
      <w:lvlText w:val=""/>
      <w:lvlJc w:val="left"/>
    </w:lvl>
    <w:lvl w:ilvl="6" w:tplc="34C8666A">
      <w:numFmt w:val="decimal"/>
      <w:lvlText w:val=""/>
      <w:lvlJc w:val="left"/>
    </w:lvl>
    <w:lvl w:ilvl="7" w:tplc="8BF49278">
      <w:numFmt w:val="decimal"/>
      <w:lvlText w:val=""/>
      <w:lvlJc w:val="left"/>
    </w:lvl>
    <w:lvl w:ilvl="8" w:tplc="8A5ECBB0">
      <w:numFmt w:val="decimal"/>
      <w:lvlText w:val=""/>
      <w:lvlJc w:val="left"/>
    </w:lvl>
  </w:abstractNum>
  <w:abstractNum w:abstractNumId="878" w15:restartNumberingAfterBreak="0">
    <w:nsid w:val="609E4C67"/>
    <w:multiLevelType w:val="hybridMultilevel"/>
    <w:tmpl w:val="A2505A5E"/>
    <w:lvl w:ilvl="0" w:tplc="33E64778">
      <w:start w:val="1"/>
      <w:numFmt w:val="bullet"/>
      <w:lvlText w:val=""/>
      <w:lvlJc w:val="left"/>
      <w:pPr>
        <w:ind w:left="720" w:hanging="180"/>
      </w:pPr>
      <w:rPr>
        <w:rFonts w:ascii="Symbol" w:hAnsi="Symbol" w:hint="default"/>
      </w:rPr>
    </w:lvl>
    <w:lvl w:ilvl="1" w:tplc="4BB24932">
      <w:numFmt w:val="decimal"/>
      <w:lvlText w:val=""/>
      <w:lvlJc w:val="left"/>
    </w:lvl>
    <w:lvl w:ilvl="2" w:tplc="5CA49CC2">
      <w:numFmt w:val="decimal"/>
      <w:lvlText w:val=""/>
      <w:lvlJc w:val="left"/>
    </w:lvl>
    <w:lvl w:ilvl="3" w:tplc="2D22EF0E">
      <w:numFmt w:val="decimal"/>
      <w:lvlText w:val=""/>
      <w:lvlJc w:val="left"/>
    </w:lvl>
    <w:lvl w:ilvl="4" w:tplc="7096BEBA">
      <w:numFmt w:val="decimal"/>
      <w:lvlText w:val=""/>
      <w:lvlJc w:val="left"/>
    </w:lvl>
    <w:lvl w:ilvl="5" w:tplc="85BAD6A2">
      <w:numFmt w:val="decimal"/>
      <w:lvlText w:val=""/>
      <w:lvlJc w:val="left"/>
    </w:lvl>
    <w:lvl w:ilvl="6" w:tplc="8E04B2AE">
      <w:numFmt w:val="decimal"/>
      <w:lvlText w:val=""/>
      <w:lvlJc w:val="left"/>
    </w:lvl>
    <w:lvl w:ilvl="7" w:tplc="5100C7E2">
      <w:numFmt w:val="decimal"/>
      <w:lvlText w:val=""/>
      <w:lvlJc w:val="left"/>
    </w:lvl>
    <w:lvl w:ilvl="8" w:tplc="C0FAC73E">
      <w:numFmt w:val="decimal"/>
      <w:lvlText w:val=""/>
      <w:lvlJc w:val="left"/>
    </w:lvl>
  </w:abstractNum>
  <w:abstractNum w:abstractNumId="879" w15:restartNumberingAfterBreak="0">
    <w:nsid w:val="60AF666E"/>
    <w:multiLevelType w:val="hybridMultilevel"/>
    <w:tmpl w:val="9D509638"/>
    <w:lvl w:ilvl="0" w:tplc="520E3766">
      <w:start w:val="1"/>
      <w:numFmt w:val="bullet"/>
      <w:lvlText w:val=""/>
      <w:lvlJc w:val="left"/>
      <w:pPr>
        <w:ind w:left="720" w:hanging="180"/>
      </w:pPr>
      <w:rPr>
        <w:rFonts w:ascii="Symbol" w:hAnsi="Symbol" w:hint="default"/>
      </w:rPr>
    </w:lvl>
    <w:lvl w:ilvl="1" w:tplc="D5BAEA0C">
      <w:numFmt w:val="decimal"/>
      <w:lvlText w:val=""/>
      <w:lvlJc w:val="left"/>
    </w:lvl>
    <w:lvl w:ilvl="2" w:tplc="5ADC4372">
      <w:numFmt w:val="decimal"/>
      <w:lvlText w:val=""/>
      <w:lvlJc w:val="left"/>
    </w:lvl>
    <w:lvl w:ilvl="3" w:tplc="D01C4A6A">
      <w:numFmt w:val="decimal"/>
      <w:lvlText w:val=""/>
      <w:lvlJc w:val="left"/>
    </w:lvl>
    <w:lvl w:ilvl="4" w:tplc="45E4C2D4">
      <w:numFmt w:val="decimal"/>
      <w:lvlText w:val=""/>
      <w:lvlJc w:val="left"/>
    </w:lvl>
    <w:lvl w:ilvl="5" w:tplc="C012082A">
      <w:numFmt w:val="decimal"/>
      <w:lvlText w:val=""/>
      <w:lvlJc w:val="left"/>
    </w:lvl>
    <w:lvl w:ilvl="6" w:tplc="ADA05C44">
      <w:numFmt w:val="decimal"/>
      <w:lvlText w:val=""/>
      <w:lvlJc w:val="left"/>
    </w:lvl>
    <w:lvl w:ilvl="7" w:tplc="EF64948A">
      <w:numFmt w:val="decimal"/>
      <w:lvlText w:val=""/>
      <w:lvlJc w:val="left"/>
    </w:lvl>
    <w:lvl w:ilvl="8" w:tplc="FCBE95A2">
      <w:numFmt w:val="decimal"/>
      <w:lvlText w:val=""/>
      <w:lvlJc w:val="left"/>
    </w:lvl>
  </w:abstractNum>
  <w:abstractNum w:abstractNumId="880" w15:restartNumberingAfterBreak="0">
    <w:nsid w:val="60E4467C"/>
    <w:multiLevelType w:val="hybridMultilevel"/>
    <w:tmpl w:val="6A3C1B1A"/>
    <w:lvl w:ilvl="0" w:tplc="27987A7E">
      <w:start w:val="1"/>
      <w:numFmt w:val="bullet"/>
      <w:lvlText w:val=""/>
      <w:lvlJc w:val="left"/>
      <w:pPr>
        <w:ind w:left="720" w:hanging="180"/>
      </w:pPr>
      <w:rPr>
        <w:rFonts w:ascii="Symbol" w:hAnsi="Symbol" w:hint="default"/>
      </w:rPr>
    </w:lvl>
    <w:lvl w:ilvl="1" w:tplc="D06EAE62">
      <w:numFmt w:val="decimal"/>
      <w:lvlText w:val=""/>
      <w:lvlJc w:val="left"/>
    </w:lvl>
    <w:lvl w:ilvl="2" w:tplc="7E52AD04">
      <w:numFmt w:val="decimal"/>
      <w:lvlText w:val=""/>
      <w:lvlJc w:val="left"/>
    </w:lvl>
    <w:lvl w:ilvl="3" w:tplc="F96AEFDA">
      <w:numFmt w:val="decimal"/>
      <w:lvlText w:val=""/>
      <w:lvlJc w:val="left"/>
    </w:lvl>
    <w:lvl w:ilvl="4" w:tplc="08C84C2A">
      <w:numFmt w:val="decimal"/>
      <w:lvlText w:val=""/>
      <w:lvlJc w:val="left"/>
    </w:lvl>
    <w:lvl w:ilvl="5" w:tplc="69F2EAA6">
      <w:numFmt w:val="decimal"/>
      <w:lvlText w:val=""/>
      <w:lvlJc w:val="left"/>
    </w:lvl>
    <w:lvl w:ilvl="6" w:tplc="937A440E">
      <w:numFmt w:val="decimal"/>
      <w:lvlText w:val=""/>
      <w:lvlJc w:val="left"/>
    </w:lvl>
    <w:lvl w:ilvl="7" w:tplc="63728CA2">
      <w:numFmt w:val="decimal"/>
      <w:lvlText w:val=""/>
      <w:lvlJc w:val="left"/>
    </w:lvl>
    <w:lvl w:ilvl="8" w:tplc="ABF8F08E">
      <w:numFmt w:val="decimal"/>
      <w:lvlText w:val=""/>
      <w:lvlJc w:val="left"/>
    </w:lvl>
  </w:abstractNum>
  <w:abstractNum w:abstractNumId="881" w15:restartNumberingAfterBreak="0">
    <w:nsid w:val="60E62D6D"/>
    <w:multiLevelType w:val="hybridMultilevel"/>
    <w:tmpl w:val="D428A172"/>
    <w:lvl w:ilvl="0" w:tplc="0EDC49F2">
      <w:start w:val="1"/>
      <w:numFmt w:val="bullet"/>
      <w:lvlText w:val=""/>
      <w:lvlJc w:val="left"/>
      <w:pPr>
        <w:ind w:left="720" w:hanging="180"/>
      </w:pPr>
      <w:rPr>
        <w:rFonts w:ascii="Symbol" w:hAnsi="Symbol" w:hint="default"/>
      </w:rPr>
    </w:lvl>
    <w:lvl w:ilvl="1" w:tplc="5E5A1EE4">
      <w:numFmt w:val="decimal"/>
      <w:lvlText w:val=""/>
      <w:lvlJc w:val="left"/>
    </w:lvl>
    <w:lvl w:ilvl="2" w:tplc="9A8EEA8E">
      <w:numFmt w:val="decimal"/>
      <w:lvlText w:val=""/>
      <w:lvlJc w:val="left"/>
    </w:lvl>
    <w:lvl w:ilvl="3" w:tplc="C6427EC0">
      <w:numFmt w:val="decimal"/>
      <w:lvlText w:val=""/>
      <w:lvlJc w:val="left"/>
    </w:lvl>
    <w:lvl w:ilvl="4" w:tplc="0718681E">
      <w:numFmt w:val="decimal"/>
      <w:lvlText w:val=""/>
      <w:lvlJc w:val="left"/>
    </w:lvl>
    <w:lvl w:ilvl="5" w:tplc="9D320F22">
      <w:numFmt w:val="decimal"/>
      <w:lvlText w:val=""/>
      <w:lvlJc w:val="left"/>
    </w:lvl>
    <w:lvl w:ilvl="6" w:tplc="D9F62A2E">
      <w:numFmt w:val="decimal"/>
      <w:lvlText w:val=""/>
      <w:lvlJc w:val="left"/>
    </w:lvl>
    <w:lvl w:ilvl="7" w:tplc="9B20A63E">
      <w:numFmt w:val="decimal"/>
      <w:lvlText w:val=""/>
      <w:lvlJc w:val="left"/>
    </w:lvl>
    <w:lvl w:ilvl="8" w:tplc="13B44B5C">
      <w:numFmt w:val="decimal"/>
      <w:lvlText w:val=""/>
      <w:lvlJc w:val="left"/>
    </w:lvl>
  </w:abstractNum>
  <w:abstractNum w:abstractNumId="882" w15:restartNumberingAfterBreak="0">
    <w:nsid w:val="61095D9F"/>
    <w:multiLevelType w:val="hybridMultilevel"/>
    <w:tmpl w:val="E1D653EA"/>
    <w:lvl w:ilvl="0" w:tplc="9EB62CBA">
      <w:start w:val="1"/>
      <w:numFmt w:val="bullet"/>
      <w:lvlText w:val=""/>
      <w:lvlJc w:val="left"/>
      <w:pPr>
        <w:ind w:left="720" w:hanging="180"/>
      </w:pPr>
      <w:rPr>
        <w:rFonts w:ascii="Symbol" w:hAnsi="Symbol" w:hint="default"/>
      </w:rPr>
    </w:lvl>
    <w:lvl w:ilvl="1" w:tplc="26609D0A">
      <w:numFmt w:val="decimal"/>
      <w:lvlText w:val=""/>
      <w:lvlJc w:val="left"/>
    </w:lvl>
    <w:lvl w:ilvl="2" w:tplc="0C264C40">
      <w:numFmt w:val="decimal"/>
      <w:lvlText w:val=""/>
      <w:lvlJc w:val="left"/>
    </w:lvl>
    <w:lvl w:ilvl="3" w:tplc="A5C4C10C">
      <w:numFmt w:val="decimal"/>
      <w:lvlText w:val=""/>
      <w:lvlJc w:val="left"/>
    </w:lvl>
    <w:lvl w:ilvl="4" w:tplc="792E7FE0">
      <w:numFmt w:val="decimal"/>
      <w:lvlText w:val=""/>
      <w:lvlJc w:val="left"/>
    </w:lvl>
    <w:lvl w:ilvl="5" w:tplc="11BCB038">
      <w:numFmt w:val="decimal"/>
      <w:lvlText w:val=""/>
      <w:lvlJc w:val="left"/>
    </w:lvl>
    <w:lvl w:ilvl="6" w:tplc="EA2E9D88">
      <w:numFmt w:val="decimal"/>
      <w:lvlText w:val=""/>
      <w:lvlJc w:val="left"/>
    </w:lvl>
    <w:lvl w:ilvl="7" w:tplc="D01E8B6C">
      <w:numFmt w:val="decimal"/>
      <w:lvlText w:val=""/>
      <w:lvlJc w:val="left"/>
    </w:lvl>
    <w:lvl w:ilvl="8" w:tplc="22B8599E">
      <w:numFmt w:val="decimal"/>
      <w:lvlText w:val=""/>
      <w:lvlJc w:val="left"/>
    </w:lvl>
  </w:abstractNum>
  <w:abstractNum w:abstractNumId="883" w15:restartNumberingAfterBreak="0">
    <w:nsid w:val="612F0ED7"/>
    <w:multiLevelType w:val="hybridMultilevel"/>
    <w:tmpl w:val="F47027A0"/>
    <w:lvl w:ilvl="0" w:tplc="896A1548">
      <w:start w:val="1"/>
      <w:numFmt w:val="bullet"/>
      <w:lvlText w:val=""/>
      <w:lvlJc w:val="left"/>
      <w:pPr>
        <w:ind w:left="720" w:hanging="180"/>
      </w:pPr>
      <w:rPr>
        <w:rFonts w:ascii="Symbol" w:hAnsi="Symbol" w:hint="default"/>
      </w:rPr>
    </w:lvl>
    <w:lvl w:ilvl="1" w:tplc="EFF8BB52">
      <w:numFmt w:val="decimal"/>
      <w:lvlText w:val=""/>
      <w:lvlJc w:val="left"/>
    </w:lvl>
    <w:lvl w:ilvl="2" w:tplc="ED4C0B1E">
      <w:numFmt w:val="decimal"/>
      <w:lvlText w:val=""/>
      <w:lvlJc w:val="left"/>
    </w:lvl>
    <w:lvl w:ilvl="3" w:tplc="023E4378">
      <w:numFmt w:val="decimal"/>
      <w:lvlText w:val=""/>
      <w:lvlJc w:val="left"/>
    </w:lvl>
    <w:lvl w:ilvl="4" w:tplc="DAD6CB6A">
      <w:numFmt w:val="decimal"/>
      <w:lvlText w:val=""/>
      <w:lvlJc w:val="left"/>
    </w:lvl>
    <w:lvl w:ilvl="5" w:tplc="211A6792">
      <w:numFmt w:val="decimal"/>
      <w:lvlText w:val=""/>
      <w:lvlJc w:val="left"/>
    </w:lvl>
    <w:lvl w:ilvl="6" w:tplc="C6F6877E">
      <w:numFmt w:val="decimal"/>
      <w:lvlText w:val=""/>
      <w:lvlJc w:val="left"/>
    </w:lvl>
    <w:lvl w:ilvl="7" w:tplc="4D7630D6">
      <w:numFmt w:val="decimal"/>
      <w:lvlText w:val=""/>
      <w:lvlJc w:val="left"/>
    </w:lvl>
    <w:lvl w:ilvl="8" w:tplc="D28E14C2">
      <w:numFmt w:val="decimal"/>
      <w:lvlText w:val=""/>
      <w:lvlJc w:val="left"/>
    </w:lvl>
  </w:abstractNum>
  <w:abstractNum w:abstractNumId="884" w15:restartNumberingAfterBreak="0">
    <w:nsid w:val="617E79A7"/>
    <w:multiLevelType w:val="hybridMultilevel"/>
    <w:tmpl w:val="77A0CF5E"/>
    <w:lvl w:ilvl="0" w:tplc="F6D4E82C">
      <w:start w:val="1"/>
      <w:numFmt w:val="bullet"/>
      <w:lvlText w:val=""/>
      <w:lvlJc w:val="left"/>
      <w:pPr>
        <w:ind w:left="720" w:hanging="180"/>
      </w:pPr>
      <w:rPr>
        <w:rFonts w:ascii="Symbol" w:hAnsi="Symbol" w:hint="default"/>
      </w:rPr>
    </w:lvl>
    <w:lvl w:ilvl="1" w:tplc="9760E762">
      <w:numFmt w:val="decimal"/>
      <w:lvlText w:val=""/>
      <w:lvlJc w:val="left"/>
    </w:lvl>
    <w:lvl w:ilvl="2" w:tplc="4558CA62">
      <w:numFmt w:val="decimal"/>
      <w:lvlText w:val=""/>
      <w:lvlJc w:val="left"/>
    </w:lvl>
    <w:lvl w:ilvl="3" w:tplc="CE44B560">
      <w:numFmt w:val="decimal"/>
      <w:lvlText w:val=""/>
      <w:lvlJc w:val="left"/>
    </w:lvl>
    <w:lvl w:ilvl="4" w:tplc="A552DAEC">
      <w:numFmt w:val="decimal"/>
      <w:lvlText w:val=""/>
      <w:lvlJc w:val="left"/>
    </w:lvl>
    <w:lvl w:ilvl="5" w:tplc="1A827004">
      <w:numFmt w:val="decimal"/>
      <w:lvlText w:val=""/>
      <w:lvlJc w:val="left"/>
    </w:lvl>
    <w:lvl w:ilvl="6" w:tplc="B36A722A">
      <w:numFmt w:val="decimal"/>
      <w:lvlText w:val=""/>
      <w:lvlJc w:val="left"/>
    </w:lvl>
    <w:lvl w:ilvl="7" w:tplc="493E3822">
      <w:numFmt w:val="decimal"/>
      <w:lvlText w:val=""/>
      <w:lvlJc w:val="left"/>
    </w:lvl>
    <w:lvl w:ilvl="8" w:tplc="D1DC93F8">
      <w:numFmt w:val="decimal"/>
      <w:lvlText w:val=""/>
      <w:lvlJc w:val="left"/>
    </w:lvl>
  </w:abstractNum>
  <w:abstractNum w:abstractNumId="885" w15:restartNumberingAfterBreak="0">
    <w:nsid w:val="617E7B6E"/>
    <w:multiLevelType w:val="hybridMultilevel"/>
    <w:tmpl w:val="17B2813C"/>
    <w:lvl w:ilvl="0" w:tplc="5422F180">
      <w:start w:val="1"/>
      <w:numFmt w:val="bullet"/>
      <w:lvlText w:val=""/>
      <w:lvlJc w:val="left"/>
      <w:pPr>
        <w:ind w:left="720" w:hanging="180"/>
      </w:pPr>
      <w:rPr>
        <w:rFonts w:ascii="Symbol" w:hAnsi="Symbol" w:hint="default"/>
      </w:rPr>
    </w:lvl>
    <w:lvl w:ilvl="1" w:tplc="6E2A9A4A">
      <w:numFmt w:val="decimal"/>
      <w:lvlText w:val=""/>
      <w:lvlJc w:val="left"/>
    </w:lvl>
    <w:lvl w:ilvl="2" w:tplc="868ABE94">
      <w:numFmt w:val="decimal"/>
      <w:lvlText w:val=""/>
      <w:lvlJc w:val="left"/>
    </w:lvl>
    <w:lvl w:ilvl="3" w:tplc="D15C757A">
      <w:numFmt w:val="decimal"/>
      <w:lvlText w:val=""/>
      <w:lvlJc w:val="left"/>
    </w:lvl>
    <w:lvl w:ilvl="4" w:tplc="576AFB5E">
      <w:numFmt w:val="decimal"/>
      <w:lvlText w:val=""/>
      <w:lvlJc w:val="left"/>
    </w:lvl>
    <w:lvl w:ilvl="5" w:tplc="009C9E20">
      <w:numFmt w:val="decimal"/>
      <w:lvlText w:val=""/>
      <w:lvlJc w:val="left"/>
    </w:lvl>
    <w:lvl w:ilvl="6" w:tplc="BAC22DB0">
      <w:numFmt w:val="decimal"/>
      <w:lvlText w:val=""/>
      <w:lvlJc w:val="left"/>
    </w:lvl>
    <w:lvl w:ilvl="7" w:tplc="3F4CC338">
      <w:numFmt w:val="decimal"/>
      <w:lvlText w:val=""/>
      <w:lvlJc w:val="left"/>
    </w:lvl>
    <w:lvl w:ilvl="8" w:tplc="F7D427D0">
      <w:numFmt w:val="decimal"/>
      <w:lvlText w:val=""/>
      <w:lvlJc w:val="left"/>
    </w:lvl>
  </w:abstractNum>
  <w:abstractNum w:abstractNumId="886" w15:restartNumberingAfterBreak="0">
    <w:nsid w:val="61AF3571"/>
    <w:multiLevelType w:val="hybridMultilevel"/>
    <w:tmpl w:val="EB827D18"/>
    <w:lvl w:ilvl="0" w:tplc="5FF6BF04">
      <w:start w:val="1"/>
      <w:numFmt w:val="bullet"/>
      <w:lvlText w:val=""/>
      <w:lvlJc w:val="left"/>
      <w:pPr>
        <w:ind w:left="720" w:hanging="180"/>
      </w:pPr>
      <w:rPr>
        <w:rFonts w:ascii="Symbol" w:hAnsi="Symbol" w:hint="default"/>
      </w:rPr>
    </w:lvl>
    <w:lvl w:ilvl="1" w:tplc="A87286EC">
      <w:numFmt w:val="decimal"/>
      <w:lvlText w:val=""/>
      <w:lvlJc w:val="left"/>
    </w:lvl>
    <w:lvl w:ilvl="2" w:tplc="89B8F352">
      <w:numFmt w:val="decimal"/>
      <w:lvlText w:val=""/>
      <w:lvlJc w:val="left"/>
    </w:lvl>
    <w:lvl w:ilvl="3" w:tplc="5C70ACA4">
      <w:numFmt w:val="decimal"/>
      <w:lvlText w:val=""/>
      <w:lvlJc w:val="left"/>
    </w:lvl>
    <w:lvl w:ilvl="4" w:tplc="AF7E232A">
      <w:numFmt w:val="decimal"/>
      <w:lvlText w:val=""/>
      <w:lvlJc w:val="left"/>
    </w:lvl>
    <w:lvl w:ilvl="5" w:tplc="572497A4">
      <w:numFmt w:val="decimal"/>
      <w:lvlText w:val=""/>
      <w:lvlJc w:val="left"/>
    </w:lvl>
    <w:lvl w:ilvl="6" w:tplc="FAE489C2">
      <w:numFmt w:val="decimal"/>
      <w:lvlText w:val=""/>
      <w:lvlJc w:val="left"/>
    </w:lvl>
    <w:lvl w:ilvl="7" w:tplc="67D00F82">
      <w:numFmt w:val="decimal"/>
      <w:lvlText w:val=""/>
      <w:lvlJc w:val="left"/>
    </w:lvl>
    <w:lvl w:ilvl="8" w:tplc="40321A3E">
      <w:numFmt w:val="decimal"/>
      <w:lvlText w:val=""/>
      <w:lvlJc w:val="left"/>
    </w:lvl>
  </w:abstractNum>
  <w:abstractNum w:abstractNumId="887" w15:restartNumberingAfterBreak="0">
    <w:nsid w:val="61B9510C"/>
    <w:multiLevelType w:val="hybridMultilevel"/>
    <w:tmpl w:val="FBC42D48"/>
    <w:lvl w:ilvl="0" w:tplc="87FA16E0">
      <w:start w:val="1"/>
      <w:numFmt w:val="bullet"/>
      <w:lvlText w:val=""/>
      <w:lvlJc w:val="left"/>
      <w:pPr>
        <w:ind w:left="720" w:hanging="180"/>
      </w:pPr>
      <w:rPr>
        <w:rFonts w:ascii="Symbol" w:hAnsi="Symbol" w:hint="default"/>
      </w:rPr>
    </w:lvl>
    <w:lvl w:ilvl="1" w:tplc="14184A3A">
      <w:numFmt w:val="decimal"/>
      <w:lvlText w:val=""/>
      <w:lvlJc w:val="left"/>
    </w:lvl>
    <w:lvl w:ilvl="2" w:tplc="E9D07954">
      <w:numFmt w:val="decimal"/>
      <w:lvlText w:val=""/>
      <w:lvlJc w:val="left"/>
    </w:lvl>
    <w:lvl w:ilvl="3" w:tplc="2742933A">
      <w:numFmt w:val="decimal"/>
      <w:lvlText w:val=""/>
      <w:lvlJc w:val="left"/>
    </w:lvl>
    <w:lvl w:ilvl="4" w:tplc="807A4938">
      <w:numFmt w:val="decimal"/>
      <w:lvlText w:val=""/>
      <w:lvlJc w:val="left"/>
    </w:lvl>
    <w:lvl w:ilvl="5" w:tplc="6BE22066">
      <w:numFmt w:val="decimal"/>
      <w:lvlText w:val=""/>
      <w:lvlJc w:val="left"/>
    </w:lvl>
    <w:lvl w:ilvl="6" w:tplc="68A4EDE0">
      <w:numFmt w:val="decimal"/>
      <w:lvlText w:val=""/>
      <w:lvlJc w:val="left"/>
    </w:lvl>
    <w:lvl w:ilvl="7" w:tplc="331661FC">
      <w:numFmt w:val="decimal"/>
      <w:lvlText w:val=""/>
      <w:lvlJc w:val="left"/>
    </w:lvl>
    <w:lvl w:ilvl="8" w:tplc="7EAE650E">
      <w:numFmt w:val="decimal"/>
      <w:lvlText w:val=""/>
      <w:lvlJc w:val="left"/>
    </w:lvl>
  </w:abstractNum>
  <w:abstractNum w:abstractNumId="888" w15:restartNumberingAfterBreak="0">
    <w:nsid w:val="61D86F72"/>
    <w:multiLevelType w:val="hybridMultilevel"/>
    <w:tmpl w:val="5CA82F62"/>
    <w:lvl w:ilvl="0" w:tplc="0A166DB2">
      <w:start w:val="1"/>
      <w:numFmt w:val="bullet"/>
      <w:lvlText w:val=""/>
      <w:lvlJc w:val="left"/>
      <w:pPr>
        <w:ind w:left="720" w:hanging="180"/>
      </w:pPr>
      <w:rPr>
        <w:rFonts w:ascii="Symbol" w:hAnsi="Symbol" w:hint="default"/>
      </w:rPr>
    </w:lvl>
    <w:lvl w:ilvl="1" w:tplc="DB144066">
      <w:numFmt w:val="decimal"/>
      <w:lvlText w:val=""/>
      <w:lvlJc w:val="left"/>
    </w:lvl>
    <w:lvl w:ilvl="2" w:tplc="1014235E">
      <w:numFmt w:val="decimal"/>
      <w:lvlText w:val=""/>
      <w:lvlJc w:val="left"/>
    </w:lvl>
    <w:lvl w:ilvl="3" w:tplc="55FC0534">
      <w:numFmt w:val="decimal"/>
      <w:lvlText w:val=""/>
      <w:lvlJc w:val="left"/>
    </w:lvl>
    <w:lvl w:ilvl="4" w:tplc="DAD24390">
      <w:numFmt w:val="decimal"/>
      <w:lvlText w:val=""/>
      <w:lvlJc w:val="left"/>
    </w:lvl>
    <w:lvl w:ilvl="5" w:tplc="48520182">
      <w:numFmt w:val="decimal"/>
      <w:lvlText w:val=""/>
      <w:lvlJc w:val="left"/>
    </w:lvl>
    <w:lvl w:ilvl="6" w:tplc="529ED868">
      <w:numFmt w:val="decimal"/>
      <w:lvlText w:val=""/>
      <w:lvlJc w:val="left"/>
    </w:lvl>
    <w:lvl w:ilvl="7" w:tplc="A1AAA074">
      <w:numFmt w:val="decimal"/>
      <w:lvlText w:val=""/>
      <w:lvlJc w:val="left"/>
    </w:lvl>
    <w:lvl w:ilvl="8" w:tplc="F00E07C8">
      <w:numFmt w:val="decimal"/>
      <w:lvlText w:val=""/>
      <w:lvlJc w:val="left"/>
    </w:lvl>
  </w:abstractNum>
  <w:abstractNum w:abstractNumId="889" w15:restartNumberingAfterBreak="0">
    <w:nsid w:val="61E1410F"/>
    <w:multiLevelType w:val="hybridMultilevel"/>
    <w:tmpl w:val="35AEAA72"/>
    <w:lvl w:ilvl="0" w:tplc="720A42DA">
      <w:start w:val="1"/>
      <w:numFmt w:val="bullet"/>
      <w:lvlText w:val=""/>
      <w:lvlJc w:val="left"/>
      <w:pPr>
        <w:ind w:left="720" w:hanging="180"/>
      </w:pPr>
      <w:rPr>
        <w:rFonts w:ascii="Symbol" w:hAnsi="Symbol" w:hint="default"/>
      </w:rPr>
    </w:lvl>
    <w:lvl w:ilvl="1" w:tplc="10504BC2">
      <w:numFmt w:val="decimal"/>
      <w:lvlText w:val=""/>
      <w:lvlJc w:val="left"/>
    </w:lvl>
    <w:lvl w:ilvl="2" w:tplc="A462F79C">
      <w:numFmt w:val="decimal"/>
      <w:lvlText w:val=""/>
      <w:lvlJc w:val="left"/>
    </w:lvl>
    <w:lvl w:ilvl="3" w:tplc="DAC2020A">
      <w:numFmt w:val="decimal"/>
      <w:lvlText w:val=""/>
      <w:lvlJc w:val="left"/>
    </w:lvl>
    <w:lvl w:ilvl="4" w:tplc="93546F6C">
      <w:numFmt w:val="decimal"/>
      <w:lvlText w:val=""/>
      <w:lvlJc w:val="left"/>
    </w:lvl>
    <w:lvl w:ilvl="5" w:tplc="0F3E0D36">
      <w:numFmt w:val="decimal"/>
      <w:lvlText w:val=""/>
      <w:lvlJc w:val="left"/>
    </w:lvl>
    <w:lvl w:ilvl="6" w:tplc="155265E8">
      <w:numFmt w:val="decimal"/>
      <w:lvlText w:val=""/>
      <w:lvlJc w:val="left"/>
    </w:lvl>
    <w:lvl w:ilvl="7" w:tplc="FBEE77C2">
      <w:numFmt w:val="decimal"/>
      <w:lvlText w:val=""/>
      <w:lvlJc w:val="left"/>
    </w:lvl>
    <w:lvl w:ilvl="8" w:tplc="C7407792">
      <w:numFmt w:val="decimal"/>
      <w:lvlText w:val=""/>
      <w:lvlJc w:val="left"/>
    </w:lvl>
  </w:abstractNum>
  <w:abstractNum w:abstractNumId="890" w15:restartNumberingAfterBreak="0">
    <w:nsid w:val="61E714A8"/>
    <w:multiLevelType w:val="hybridMultilevel"/>
    <w:tmpl w:val="70FCD56A"/>
    <w:lvl w:ilvl="0" w:tplc="DC60F74C">
      <w:numFmt w:val="decimal"/>
      <w:lvlText w:val=""/>
      <w:lvlJc w:val="left"/>
    </w:lvl>
    <w:lvl w:ilvl="1" w:tplc="B53E810E">
      <w:start w:val="1"/>
      <w:numFmt w:val="bullet"/>
      <w:lvlText w:val=""/>
      <w:lvlJc w:val="left"/>
      <w:pPr>
        <w:ind w:left="1440" w:hanging="180"/>
      </w:pPr>
      <w:rPr>
        <w:rFonts w:ascii="Symbol" w:hAnsi="Symbol" w:hint="default"/>
      </w:rPr>
    </w:lvl>
    <w:lvl w:ilvl="2" w:tplc="68A4FCD6">
      <w:numFmt w:val="decimal"/>
      <w:lvlText w:val=""/>
      <w:lvlJc w:val="left"/>
    </w:lvl>
    <w:lvl w:ilvl="3" w:tplc="4CB6364C">
      <w:numFmt w:val="decimal"/>
      <w:lvlText w:val=""/>
      <w:lvlJc w:val="left"/>
    </w:lvl>
    <w:lvl w:ilvl="4" w:tplc="7FA432B4">
      <w:numFmt w:val="decimal"/>
      <w:lvlText w:val=""/>
      <w:lvlJc w:val="left"/>
    </w:lvl>
    <w:lvl w:ilvl="5" w:tplc="7A00B12E">
      <w:numFmt w:val="decimal"/>
      <w:lvlText w:val=""/>
      <w:lvlJc w:val="left"/>
    </w:lvl>
    <w:lvl w:ilvl="6" w:tplc="C3A674B2">
      <w:numFmt w:val="decimal"/>
      <w:lvlText w:val=""/>
      <w:lvlJc w:val="left"/>
    </w:lvl>
    <w:lvl w:ilvl="7" w:tplc="364A2334">
      <w:numFmt w:val="decimal"/>
      <w:lvlText w:val=""/>
      <w:lvlJc w:val="left"/>
    </w:lvl>
    <w:lvl w:ilvl="8" w:tplc="04383F38">
      <w:numFmt w:val="decimal"/>
      <w:lvlText w:val=""/>
      <w:lvlJc w:val="left"/>
    </w:lvl>
  </w:abstractNum>
  <w:abstractNum w:abstractNumId="891" w15:restartNumberingAfterBreak="0">
    <w:nsid w:val="61F1168E"/>
    <w:multiLevelType w:val="hybridMultilevel"/>
    <w:tmpl w:val="FF3EBAEC"/>
    <w:lvl w:ilvl="0" w:tplc="98187390">
      <w:start w:val="1"/>
      <w:numFmt w:val="bullet"/>
      <w:lvlText w:val=""/>
      <w:lvlJc w:val="left"/>
      <w:pPr>
        <w:ind w:left="720" w:hanging="180"/>
      </w:pPr>
      <w:rPr>
        <w:rFonts w:ascii="Symbol" w:hAnsi="Symbol" w:hint="default"/>
      </w:rPr>
    </w:lvl>
    <w:lvl w:ilvl="1" w:tplc="DCFC2B62">
      <w:numFmt w:val="decimal"/>
      <w:lvlText w:val=""/>
      <w:lvlJc w:val="left"/>
    </w:lvl>
    <w:lvl w:ilvl="2" w:tplc="BD94579A">
      <w:numFmt w:val="decimal"/>
      <w:lvlText w:val=""/>
      <w:lvlJc w:val="left"/>
    </w:lvl>
    <w:lvl w:ilvl="3" w:tplc="19A8862E">
      <w:numFmt w:val="decimal"/>
      <w:lvlText w:val=""/>
      <w:lvlJc w:val="left"/>
    </w:lvl>
    <w:lvl w:ilvl="4" w:tplc="24703FD4">
      <w:numFmt w:val="decimal"/>
      <w:lvlText w:val=""/>
      <w:lvlJc w:val="left"/>
    </w:lvl>
    <w:lvl w:ilvl="5" w:tplc="0E30940C">
      <w:numFmt w:val="decimal"/>
      <w:lvlText w:val=""/>
      <w:lvlJc w:val="left"/>
    </w:lvl>
    <w:lvl w:ilvl="6" w:tplc="2AC06EE4">
      <w:numFmt w:val="decimal"/>
      <w:lvlText w:val=""/>
      <w:lvlJc w:val="left"/>
    </w:lvl>
    <w:lvl w:ilvl="7" w:tplc="9C90F10E">
      <w:numFmt w:val="decimal"/>
      <w:lvlText w:val=""/>
      <w:lvlJc w:val="left"/>
    </w:lvl>
    <w:lvl w:ilvl="8" w:tplc="66DC979C">
      <w:numFmt w:val="decimal"/>
      <w:lvlText w:val=""/>
      <w:lvlJc w:val="left"/>
    </w:lvl>
  </w:abstractNum>
  <w:abstractNum w:abstractNumId="892" w15:restartNumberingAfterBreak="0">
    <w:nsid w:val="61F66798"/>
    <w:multiLevelType w:val="hybridMultilevel"/>
    <w:tmpl w:val="F2DC6224"/>
    <w:lvl w:ilvl="0" w:tplc="7D8E30E8">
      <w:start w:val="1"/>
      <w:numFmt w:val="bullet"/>
      <w:lvlText w:val=""/>
      <w:lvlJc w:val="left"/>
      <w:pPr>
        <w:ind w:left="720" w:hanging="180"/>
      </w:pPr>
      <w:rPr>
        <w:rFonts w:ascii="Symbol" w:hAnsi="Symbol" w:hint="default"/>
      </w:rPr>
    </w:lvl>
    <w:lvl w:ilvl="1" w:tplc="83221D1E">
      <w:numFmt w:val="decimal"/>
      <w:lvlText w:val=""/>
      <w:lvlJc w:val="left"/>
    </w:lvl>
    <w:lvl w:ilvl="2" w:tplc="4A14640A">
      <w:numFmt w:val="decimal"/>
      <w:lvlText w:val=""/>
      <w:lvlJc w:val="left"/>
    </w:lvl>
    <w:lvl w:ilvl="3" w:tplc="5664C474">
      <w:numFmt w:val="decimal"/>
      <w:lvlText w:val=""/>
      <w:lvlJc w:val="left"/>
    </w:lvl>
    <w:lvl w:ilvl="4" w:tplc="3FD2CF64">
      <w:numFmt w:val="decimal"/>
      <w:lvlText w:val=""/>
      <w:lvlJc w:val="left"/>
    </w:lvl>
    <w:lvl w:ilvl="5" w:tplc="A620B232">
      <w:numFmt w:val="decimal"/>
      <w:lvlText w:val=""/>
      <w:lvlJc w:val="left"/>
    </w:lvl>
    <w:lvl w:ilvl="6" w:tplc="B8D2F9E6">
      <w:numFmt w:val="decimal"/>
      <w:lvlText w:val=""/>
      <w:lvlJc w:val="left"/>
    </w:lvl>
    <w:lvl w:ilvl="7" w:tplc="95EE6598">
      <w:numFmt w:val="decimal"/>
      <w:lvlText w:val=""/>
      <w:lvlJc w:val="left"/>
    </w:lvl>
    <w:lvl w:ilvl="8" w:tplc="D8A862A4">
      <w:numFmt w:val="decimal"/>
      <w:lvlText w:val=""/>
      <w:lvlJc w:val="left"/>
    </w:lvl>
  </w:abstractNum>
  <w:abstractNum w:abstractNumId="893" w15:restartNumberingAfterBreak="0">
    <w:nsid w:val="62191395"/>
    <w:multiLevelType w:val="hybridMultilevel"/>
    <w:tmpl w:val="E86E488E"/>
    <w:lvl w:ilvl="0" w:tplc="F5C88E9C">
      <w:numFmt w:val="decimal"/>
      <w:lvlText w:val=""/>
      <w:lvlJc w:val="left"/>
    </w:lvl>
    <w:lvl w:ilvl="1" w:tplc="58E4A0CC">
      <w:start w:val="1"/>
      <w:numFmt w:val="bullet"/>
      <w:lvlText w:val=""/>
      <w:lvlJc w:val="left"/>
      <w:pPr>
        <w:ind w:left="1440" w:hanging="180"/>
      </w:pPr>
      <w:rPr>
        <w:rFonts w:ascii="Symbol" w:hAnsi="Symbol" w:hint="default"/>
      </w:rPr>
    </w:lvl>
    <w:lvl w:ilvl="2" w:tplc="25A0E836">
      <w:numFmt w:val="decimal"/>
      <w:lvlText w:val=""/>
      <w:lvlJc w:val="left"/>
    </w:lvl>
    <w:lvl w:ilvl="3" w:tplc="F3102F36">
      <w:numFmt w:val="decimal"/>
      <w:lvlText w:val=""/>
      <w:lvlJc w:val="left"/>
    </w:lvl>
    <w:lvl w:ilvl="4" w:tplc="96C8EC2C">
      <w:numFmt w:val="decimal"/>
      <w:lvlText w:val=""/>
      <w:lvlJc w:val="left"/>
    </w:lvl>
    <w:lvl w:ilvl="5" w:tplc="EDB6E90A">
      <w:numFmt w:val="decimal"/>
      <w:lvlText w:val=""/>
      <w:lvlJc w:val="left"/>
    </w:lvl>
    <w:lvl w:ilvl="6" w:tplc="D458B0EE">
      <w:numFmt w:val="decimal"/>
      <w:lvlText w:val=""/>
      <w:lvlJc w:val="left"/>
    </w:lvl>
    <w:lvl w:ilvl="7" w:tplc="179ACA6C">
      <w:numFmt w:val="decimal"/>
      <w:lvlText w:val=""/>
      <w:lvlJc w:val="left"/>
    </w:lvl>
    <w:lvl w:ilvl="8" w:tplc="2138B860">
      <w:numFmt w:val="decimal"/>
      <w:lvlText w:val=""/>
      <w:lvlJc w:val="left"/>
    </w:lvl>
  </w:abstractNum>
  <w:abstractNum w:abstractNumId="894" w15:restartNumberingAfterBreak="0">
    <w:nsid w:val="6225783F"/>
    <w:multiLevelType w:val="hybridMultilevel"/>
    <w:tmpl w:val="B2BC7BD8"/>
    <w:lvl w:ilvl="0" w:tplc="B234E86E">
      <w:start w:val="1"/>
      <w:numFmt w:val="bullet"/>
      <w:lvlText w:val=""/>
      <w:lvlJc w:val="left"/>
      <w:pPr>
        <w:ind w:left="720" w:hanging="180"/>
      </w:pPr>
      <w:rPr>
        <w:rFonts w:ascii="Symbol" w:hAnsi="Symbol" w:hint="default"/>
      </w:rPr>
    </w:lvl>
    <w:lvl w:ilvl="1" w:tplc="498CD0A0">
      <w:numFmt w:val="decimal"/>
      <w:lvlText w:val=""/>
      <w:lvlJc w:val="left"/>
    </w:lvl>
    <w:lvl w:ilvl="2" w:tplc="15826EE4">
      <w:numFmt w:val="decimal"/>
      <w:lvlText w:val=""/>
      <w:lvlJc w:val="left"/>
    </w:lvl>
    <w:lvl w:ilvl="3" w:tplc="ADA4230C">
      <w:numFmt w:val="decimal"/>
      <w:lvlText w:val=""/>
      <w:lvlJc w:val="left"/>
    </w:lvl>
    <w:lvl w:ilvl="4" w:tplc="F5265774">
      <w:numFmt w:val="decimal"/>
      <w:lvlText w:val=""/>
      <w:lvlJc w:val="left"/>
    </w:lvl>
    <w:lvl w:ilvl="5" w:tplc="8B3843AA">
      <w:numFmt w:val="decimal"/>
      <w:lvlText w:val=""/>
      <w:lvlJc w:val="left"/>
    </w:lvl>
    <w:lvl w:ilvl="6" w:tplc="2BACB8D0">
      <w:numFmt w:val="decimal"/>
      <w:lvlText w:val=""/>
      <w:lvlJc w:val="left"/>
    </w:lvl>
    <w:lvl w:ilvl="7" w:tplc="8B6420BC">
      <w:numFmt w:val="decimal"/>
      <w:lvlText w:val=""/>
      <w:lvlJc w:val="left"/>
    </w:lvl>
    <w:lvl w:ilvl="8" w:tplc="136EB3DE">
      <w:numFmt w:val="decimal"/>
      <w:lvlText w:val=""/>
      <w:lvlJc w:val="left"/>
    </w:lvl>
  </w:abstractNum>
  <w:abstractNum w:abstractNumId="895" w15:restartNumberingAfterBreak="0">
    <w:nsid w:val="62273D31"/>
    <w:multiLevelType w:val="hybridMultilevel"/>
    <w:tmpl w:val="6E1699EC"/>
    <w:lvl w:ilvl="0" w:tplc="68006822">
      <w:numFmt w:val="decimal"/>
      <w:lvlText w:val=""/>
      <w:lvlJc w:val="left"/>
    </w:lvl>
    <w:lvl w:ilvl="1" w:tplc="5DD427C0">
      <w:start w:val="1"/>
      <w:numFmt w:val="bullet"/>
      <w:lvlText w:val=""/>
      <w:lvlJc w:val="left"/>
      <w:pPr>
        <w:ind w:left="1440" w:hanging="180"/>
      </w:pPr>
      <w:rPr>
        <w:rFonts w:ascii="Symbol" w:hAnsi="Symbol" w:hint="default"/>
      </w:rPr>
    </w:lvl>
    <w:lvl w:ilvl="2" w:tplc="647A1444">
      <w:numFmt w:val="decimal"/>
      <w:lvlText w:val=""/>
      <w:lvlJc w:val="left"/>
    </w:lvl>
    <w:lvl w:ilvl="3" w:tplc="C61487EA">
      <w:numFmt w:val="decimal"/>
      <w:lvlText w:val=""/>
      <w:lvlJc w:val="left"/>
    </w:lvl>
    <w:lvl w:ilvl="4" w:tplc="C73258F6">
      <w:numFmt w:val="decimal"/>
      <w:lvlText w:val=""/>
      <w:lvlJc w:val="left"/>
    </w:lvl>
    <w:lvl w:ilvl="5" w:tplc="3028FBB8">
      <w:numFmt w:val="decimal"/>
      <w:lvlText w:val=""/>
      <w:lvlJc w:val="left"/>
    </w:lvl>
    <w:lvl w:ilvl="6" w:tplc="6B62F270">
      <w:numFmt w:val="decimal"/>
      <w:lvlText w:val=""/>
      <w:lvlJc w:val="left"/>
    </w:lvl>
    <w:lvl w:ilvl="7" w:tplc="412EE982">
      <w:numFmt w:val="decimal"/>
      <w:lvlText w:val=""/>
      <w:lvlJc w:val="left"/>
    </w:lvl>
    <w:lvl w:ilvl="8" w:tplc="B31CB9A4">
      <w:numFmt w:val="decimal"/>
      <w:lvlText w:val=""/>
      <w:lvlJc w:val="left"/>
    </w:lvl>
  </w:abstractNum>
  <w:abstractNum w:abstractNumId="896" w15:restartNumberingAfterBreak="0">
    <w:nsid w:val="62285A4B"/>
    <w:multiLevelType w:val="hybridMultilevel"/>
    <w:tmpl w:val="77929BCA"/>
    <w:lvl w:ilvl="0" w:tplc="1316A44C">
      <w:start w:val="1"/>
      <w:numFmt w:val="bullet"/>
      <w:lvlText w:val=""/>
      <w:lvlJc w:val="left"/>
      <w:pPr>
        <w:ind w:left="720" w:hanging="180"/>
      </w:pPr>
      <w:rPr>
        <w:rFonts w:ascii="Symbol" w:hAnsi="Symbol" w:hint="default"/>
      </w:rPr>
    </w:lvl>
    <w:lvl w:ilvl="1" w:tplc="7902B73A">
      <w:numFmt w:val="decimal"/>
      <w:lvlText w:val=""/>
      <w:lvlJc w:val="left"/>
    </w:lvl>
    <w:lvl w:ilvl="2" w:tplc="BBD4550E">
      <w:numFmt w:val="decimal"/>
      <w:lvlText w:val=""/>
      <w:lvlJc w:val="left"/>
    </w:lvl>
    <w:lvl w:ilvl="3" w:tplc="5B2407FA">
      <w:numFmt w:val="decimal"/>
      <w:lvlText w:val=""/>
      <w:lvlJc w:val="left"/>
    </w:lvl>
    <w:lvl w:ilvl="4" w:tplc="6660F512">
      <w:numFmt w:val="decimal"/>
      <w:lvlText w:val=""/>
      <w:lvlJc w:val="left"/>
    </w:lvl>
    <w:lvl w:ilvl="5" w:tplc="59DEF918">
      <w:numFmt w:val="decimal"/>
      <w:lvlText w:val=""/>
      <w:lvlJc w:val="left"/>
    </w:lvl>
    <w:lvl w:ilvl="6" w:tplc="D478A074">
      <w:numFmt w:val="decimal"/>
      <w:lvlText w:val=""/>
      <w:lvlJc w:val="left"/>
    </w:lvl>
    <w:lvl w:ilvl="7" w:tplc="078850C8">
      <w:numFmt w:val="decimal"/>
      <w:lvlText w:val=""/>
      <w:lvlJc w:val="left"/>
    </w:lvl>
    <w:lvl w:ilvl="8" w:tplc="6A84BE0E">
      <w:numFmt w:val="decimal"/>
      <w:lvlText w:val=""/>
      <w:lvlJc w:val="left"/>
    </w:lvl>
  </w:abstractNum>
  <w:abstractNum w:abstractNumId="897" w15:restartNumberingAfterBreak="0">
    <w:nsid w:val="62371EBE"/>
    <w:multiLevelType w:val="hybridMultilevel"/>
    <w:tmpl w:val="4E14C13C"/>
    <w:lvl w:ilvl="0" w:tplc="A4D27AF2">
      <w:start w:val="1"/>
      <w:numFmt w:val="bullet"/>
      <w:lvlText w:val=""/>
      <w:lvlJc w:val="left"/>
      <w:pPr>
        <w:ind w:left="720" w:hanging="180"/>
      </w:pPr>
      <w:rPr>
        <w:rFonts w:ascii="Symbol" w:hAnsi="Symbol" w:hint="default"/>
      </w:rPr>
    </w:lvl>
    <w:lvl w:ilvl="1" w:tplc="1E66A0F4">
      <w:numFmt w:val="decimal"/>
      <w:lvlText w:val=""/>
      <w:lvlJc w:val="left"/>
    </w:lvl>
    <w:lvl w:ilvl="2" w:tplc="21F897AC">
      <w:numFmt w:val="decimal"/>
      <w:lvlText w:val=""/>
      <w:lvlJc w:val="left"/>
    </w:lvl>
    <w:lvl w:ilvl="3" w:tplc="4320AE8C">
      <w:numFmt w:val="decimal"/>
      <w:lvlText w:val=""/>
      <w:lvlJc w:val="left"/>
    </w:lvl>
    <w:lvl w:ilvl="4" w:tplc="B2448C54">
      <w:numFmt w:val="decimal"/>
      <w:lvlText w:val=""/>
      <w:lvlJc w:val="left"/>
    </w:lvl>
    <w:lvl w:ilvl="5" w:tplc="0F707888">
      <w:numFmt w:val="decimal"/>
      <w:lvlText w:val=""/>
      <w:lvlJc w:val="left"/>
    </w:lvl>
    <w:lvl w:ilvl="6" w:tplc="69F2ECD2">
      <w:numFmt w:val="decimal"/>
      <w:lvlText w:val=""/>
      <w:lvlJc w:val="left"/>
    </w:lvl>
    <w:lvl w:ilvl="7" w:tplc="CD8C05A0">
      <w:numFmt w:val="decimal"/>
      <w:lvlText w:val=""/>
      <w:lvlJc w:val="left"/>
    </w:lvl>
    <w:lvl w:ilvl="8" w:tplc="41F6DAEE">
      <w:numFmt w:val="decimal"/>
      <w:lvlText w:val=""/>
      <w:lvlJc w:val="left"/>
    </w:lvl>
  </w:abstractNum>
  <w:abstractNum w:abstractNumId="898" w15:restartNumberingAfterBreak="0">
    <w:nsid w:val="624119CB"/>
    <w:multiLevelType w:val="hybridMultilevel"/>
    <w:tmpl w:val="5508691E"/>
    <w:lvl w:ilvl="0" w:tplc="129681AC">
      <w:start w:val="1"/>
      <w:numFmt w:val="bullet"/>
      <w:lvlText w:val=""/>
      <w:lvlJc w:val="left"/>
      <w:pPr>
        <w:ind w:left="720" w:hanging="180"/>
      </w:pPr>
      <w:rPr>
        <w:rFonts w:ascii="Symbol" w:hAnsi="Symbol" w:hint="default"/>
      </w:rPr>
    </w:lvl>
    <w:lvl w:ilvl="1" w:tplc="137E21C4">
      <w:numFmt w:val="decimal"/>
      <w:lvlText w:val=""/>
      <w:lvlJc w:val="left"/>
    </w:lvl>
    <w:lvl w:ilvl="2" w:tplc="C24C72B0">
      <w:numFmt w:val="decimal"/>
      <w:lvlText w:val=""/>
      <w:lvlJc w:val="left"/>
    </w:lvl>
    <w:lvl w:ilvl="3" w:tplc="64B04412">
      <w:numFmt w:val="decimal"/>
      <w:lvlText w:val=""/>
      <w:lvlJc w:val="left"/>
    </w:lvl>
    <w:lvl w:ilvl="4" w:tplc="E6A843D0">
      <w:numFmt w:val="decimal"/>
      <w:lvlText w:val=""/>
      <w:lvlJc w:val="left"/>
    </w:lvl>
    <w:lvl w:ilvl="5" w:tplc="F5E610A2">
      <w:numFmt w:val="decimal"/>
      <w:lvlText w:val=""/>
      <w:lvlJc w:val="left"/>
    </w:lvl>
    <w:lvl w:ilvl="6" w:tplc="8AE613B6">
      <w:numFmt w:val="decimal"/>
      <w:lvlText w:val=""/>
      <w:lvlJc w:val="left"/>
    </w:lvl>
    <w:lvl w:ilvl="7" w:tplc="6FE07ECE">
      <w:numFmt w:val="decimal"/>
      <w:lvlText w:val=""/>
      <w:lvlJc w:val="left"/>
    </w:lvl>
    <w:lvl w:ilvl="8" w:tplc="4D82DE62">
      <w:numFmt w:val="decimal"/>
      <w:lvlText w:val=""/>
      <w:lvlJc w:val="left"/>
    </w:lvl>
  </w:abstractNum>
  <w:abstractNum w:abstractNumId="899" w15:restartNumberingAfterBreak="0">
    <w:nsid w:val="627901C6"/>
    <w:multiLevelType w:val="hybridMultilevel"/>
    <w:tmpl w:val="55065360"/>
    <w:lvl w:ilvl="0" w:tplc="E17E3342">
      <w:start w:val="1"/>
      <w:numFmt w:val="bullet"/>
      <w:lvlText w:val=""/>
      <w:lvlJc w:val="left"/>
      <w:pPr>
        <w:ind w:left="720" w:hanging="180"/>
      </w:pPr>
      <w:rPr>
        <w:rFonts w:ascii="Symbol" w:hAnsi="Symbol" w:hint="default"/>
      </w:rPr>
    </w:lvl>
    <w:lvl w:ilvl="1" w:tplc="EB76CF40">
      <w:numFmt w:val="decimal"/>
      <w:lvlText w:val=""/>
      <w:lvlJc w:val="left"/>
    </w:lvl>
    <w:lvl w:ilvl="2" w:tplc="88C42D44">
      <w:numFmt w:val="decimal"/>
      <w:lvlText w:val=""/>
      <w:lvlJc w:val="left"/>
    </w:lvl>
    <w:lvl w:ilvl="3" w:tplc="0720C61E">
      <w:numFmt w:val="decimal"/>
      <w:lvlText w:val=""/>
      <w:lvlJc w:val="left"/>
    </w:lvl>
    <w:lvl w:ilvl="4" w:tplc="130C00EA">
      <w:numFmt w:val="decimal"/>
      <w:lvlText w:val=""/>
      <w:lvlJc w:val="left"/>
    </w:lvl>
    <w:lvl w:ilvl="5" w:tplc="62C21696">
      <w:numFmt w:val="decimal"/>
      <w:lvlText w:val=""/>
      <w:lvlJc w:val="left"/>
    </w:lvl>
    <w:lvl w:ilvl="6" w:tplc="CCEE4192">
      <w:numFmt w:val="decimal"/>
      <w:lvlText w:val=""/>
      <w:lvlJc w:val="left"/>
    </w:lvl>
    <w:lvl w:ilvl="7" w:tplc="CDB2A924">
      <w:numFmt w:val="decimal"/>
      <w:lvlText w:val=""/>
      <w:lvlJc w:val="left"/>
    </w:lvl>
    <w:lvl w:ilvl="8" w:tplc="6158C33E">
      <w:numFmt w:val="decimal"/>
      <w:lvlText w:val=""/>
      <w:lvlJc w:val="left"/>
    </w:lvl>
  </w:abstractNum>
  <w:abstractNum w:abstractNumId="900" w15:restartNumberingAfterBreak="0">
    <w:nsid w:val="62970132"/>
    <w:multiLevelType w:val="hybridMultilevel"/>
    <w:tmpl w:val="2D4C099C"/>
    <w:lvl w:ilvl="0" w:tplc="217AA756">
      <w:start w:val="1"/>
      <w:numFmt w:val="bullet"/>
      <w:lvlText w:val=""/>
      <w:lvlJc w:val="left"/>
      <w:pPr>
        <w:ind w:left="720" w:hanging="180"/>
      </w:pPr>
      <w:rPr>
        <w:rFonts w:ascii="Symbol" w:hAnsi="Symbol" w:hint="default"/>
      </w:rPr>
    </w:lvl>
    <w:lvl w:ilvl="1" w:tplc="19486756">
      <w:numFmt w:val="decimal"/>
      <w:lvlText w:val=""/>
      <w:lvlJc w:val="left"/>
    </w:lvl>
    <w:lvl w:ilvl="2" w:tplc="C25482F6">
      <w:numFmt w:val="decimal"/>
      <w:lvlText w:val=""/>
      <w:lvlJc w:val="left"/>
    </w:lvl>
    <w:lvl w:ilvl="3" w:tplc="AA2C081C">
      <w:numFmt w:val="decimal"/>
      <w:lvlText w:val=""/>
      <w:lvlJc w:val="left"/>
    </w:lvl>
    <w:lvl w:ilvl="4" w:tplc="9D2C13D6">
      <w:numFmt w:val="decimal"/>
      <w:lvlText w:val=""/>
      <w:lvlJc w:val="left"/>
    </w:lvl>
    <w:lvl w:ilvl="5" w:tplc="6A3E5418">
      <w:numFmt w:val="decimal"/>
      <w:lvlText w:val=""/>
      <w:lvlJc w:val="left"/>
    </w:lvl>
    <w:lvl w:ilvl="6" w:tplc="B59A84C0">
      <w:numFmt w:val="decimal"/>
      <w:lvlText w:val=""/>
      <w:lvlJc w:val="left"/>
    </w:lvl>
    <w:lvl w:ilvl="7" w:tplc="5A807914">
      <w:numFmt w:val="decimal"/>
      <w:lvlText w:val=""/>
      <w:lvlJc w:val="left"/>
    </w:lvl>
    <w:lvl w:ilvl="8" w:tplc="5748D920">
      <w:numFmt w:val="decimal"/>
      <w:lvlText w:val=""/>
      <w:lvlJc w:val="left"/>
    </w:lvl>
  </w:abstractNum>
  <w:abstractNum w:abstractNumId="901" w15:restartNumberingAfterBreak="0">
    <w:nsid w:val="629F3DF8"/>
    <w:multiLevelType w:val="hybridMultilevel"/>
    <w:tmpl w:val="1C44D26C"/>
    <w:lvl w:ilvl="0" w:tplc="2C761BE8">
      <w:start w:val="1"/>
      <w:numFmt w:val="bullet"/>
      <w:lvlText w:val=""/>
      <w:lvlJc w:val="left"/>
      <w:pPr>
        <w:ind w:left="720" w:hanging="180"/>
      </w:pPr>
      <w:rPr>
        <w:rFonts w:ascii="Symbol" w:hAnsi="Symbol" w:hint="default"/>
      </w:rPr>
    </w:lvl>
    <w:lvl w:ilvl="1" w:tplc="D2AA4638">
      <w:numFmt w:val="decimal"/>
      <w:lvlText w:val=""/>
      <w:lvlJc w:val="left"/>
    </w:lvl>
    <w:lvl w:ilvl="2" w:tplc="31B0B41C">
      <w:numFmt w:val="decimal"/>
      <w:lvlText w:val=""/>
      <w:lvlJc w:val="left"/>
    </w:lvl>
    <w:lvl w:ilvl="3" w:tplc="2354D068">
      <w:numFmt w:val="decimal"/>
      <w:lvlText w:val=""/>
      <w:lvlJc w:val="left"/>
    </w:lvl>
    <w:lvl w:ilvl="4" w:tplc="E1B6AFB0">
      <w:numFmt w:val="decimal"/>
      <w:lvlText w:val=""/>
      <w:lvlJc w:val="left"/>
    </w:lvl>
    <w:lvl w:ilvl="5" w:tplc="7784A0FC">
      <w:numFmt w:val="decimal"/>
      <w:lvlText w:val=""/>
      <w:lvlJc w:val="left"/>
    </w:lvl>
    <w:lvl w:ilvl="6" w:tplc="4BA8FDF8">
      <w:numFmt w:val="decimal"/>
      <w:lvlText w:val=""/>
      <w:lvlJc w:val="left"/>
    </w:lvl>
    <w:lvl w:ilvl="7" w:tplc="A552B15E">
      <w:numFmt w:val="decimal"/>
      <w:lvlText w:val=""/>
      <w:lvlJc w:val="left"/>
    </w:lvl>
    <w:lvl w:ilvl="8" w:tplc="D0EEF494">
      <w:numFmt w:val="decimal"/>
      <w:lvlText w:val=""/>
      <w:lvlJc w:val="left"/>
    </w:lvl>
  </w:abstractNum>
  <w:abstractNum w:abstractNumId="902" w15:restartNumberingAfterBreak="0">
    <w:nsid w:val="62A344CE"/>
    <w:multiLevelType w:val="hybridMultilevel"/>
    <w:tmpl w:val="C3D6938C"/>
    <w:lvl w:ilvl="0" w:tplc="D98A29F8">
      <w:start w:val="1"/>
      <w:numFmt w:val="bullet"/>
      <w:lvlText w:val=""/>
      <w:lvlJc w:val="left"/>
      <w:pPr>
        <w:ind w:left="720" w:hanging="180"/>
      </w:pPr>
      <w:rPr>
        <w:rFonts w:ascii="Symbol" w:hAnsi="Symbol" w:hint="default"/>
      </w:rPr>
    </w:lvl>
    <w:lvl w:ilvl="1" w:tplc="8DDA5CC0">
      <w:numFmt w:val="decimal"/>
      <w:lvlText w:val=""/>
      <w:lvlJc w:val="left"/>
    </w:lvl>
    <w:lvl w:ilvl="2" w:tplc="A9F0DA04">
      <w:numFmt w:val="decimal"/>
      <w:lvlText w:val=""/>
      <w:lvlJc w:val="left"/>
    </w:lvl>
    <w:lvl w:ilvl="3" w:tplc="527AAC7C">
      <w:numFmt w:val="decimal"/>
      <w:lvlText w:val=""/>
      <w:lvlJc w:val="left"/>
    </w:lvl>
    <w:lvl w:ilvl="4" w:tplc="BA6C41E0">
      <w:numFmt w:val="decimal"/>
      <w:lvlText w:val=""/>
      <w:lvlJc w:val="left"/>
    </w:lvl>
    <w:lvl w:ilvl="5" w:tplc="B1326DDE">
      <w:numFmt w:val="decimal"/>
      <w:lvlText w:val=""/>
      <w:lvlJc w:val="left"/>
    </w:lvl>
    <w:lvl w:ilvl="6" w:tplc="4EE07B36">
      <w:numFmt w:val="decimal"/>
      <w:lvlText w:val=""/>
      <w:lvlJc w:val="left"/>
    </w:lvl>
    <w:lvl w:ilvl="7" w:tplc="39D622E8">
      <w:numFmt w:val="decimal"/>
      <w:lvlText w:val=""/>
      <w:lvlJc w:val="left"/>
    </w:lvl>
    <w:lvl w:ilvl="8" w:tplc="87CC18CC">
      <w:numFmt w:val="decimal"/>
      <w:lvlText w:val=""/>
      <w:lvlJc w:val="left"/>
    </w:lvl>
  </w:abstractNum>
  <w:abstractNum w:abstractNumId="903" w15:restartNumberingAfterBreak="0">
    <w:nsid w:val="62D26F6B"/>
    <w:multiLevelType w:val="hybridMultilevel"/>
    <w:tmpl w:val="57805018"/>
    <w:lvl w:ilvl="0" w:tplc="1D745CA0">
      <w:start w:val="1"/>
      <w:numFmt w:val="bullet"/>
      <w:lvlText w:val=""/>
      <w:lvlJc w:val="left"/>
      <w:pPr>
        <w:ind w:left="720" w:hanging="180"/>
      </w:pPr>
      <w:rPr>
        <w:rFonts w:ascii="Symbol" w:hAnsi="Symbol" w:hint="default"/>
      </w:rPr>
    </w:lvl>
    <w:lvl w:ilvl="1" w:tplc="F06AC960">
      <w:numFmt w:val="decimal"/>
      <w:lvlText w:val=""/>
      <w:lvlJc w:val="left"/>
    </w:lvl>
    <w:lvl w:ilvl="2" w:tplc="FF10B7AE">
      <w:numFmt w:val="decimal"/>
      <w:lvlText w:val=""/>
      <w:lvlJc w:val="left"/>
    </w:lvl>
    <w:lvl w:ilvl="3" w:tplc="33BAD9C4">
      <w:numFmt w:val="decimal"/>
      <w:lvlText w:val=""/>
      <w:lvlJc w:val="left"/>
    </w:lvl>
    <w:lvl w:ilvl="4" w:tplc="F5DCBA44">
      <w:numFmt w:val="decimal"/>
      <w:lvlText w:val=""/>
      <w:lvlJc w:val="left"/>
    </w:lvl>
    <w:lvl w:ilvl="5" w:tplc="345E854C">
      <w:numFmt w:val="decimal"/>
      <w:lvlText w:val=""/>
      <w:lvlJc w:val="left"/>
    </w:lvl>
    <w:lvl w:ilvl="6" w:tplc="5AD075F0">
      <w:numFmt w:val="decimal"/>
      <w:lvlText w:val=""/>
      <w:lvlJc w:val="left"/>
    </w:lvl>
    <w:lvl w:ilvl="7" w:tplc="DBF4C254">
      <w:numFmt w:val="decimal"/>
      <w:lvlText w:val=""/>
      <w:lvlJc w:val="left"/>
    </w:lvl>
    <w:lvl w:ilvl="8" w:tplc="919A5280">
      <w:numFmt w:val="decimal"/>
      <w:lvlText w:val=""/>
      <w:lvlJc w:val="left"/>
    </w:lvl>
  </w:abstractNum>
  <w:abstractNum w:abstractNumId="904" w15:restartNumberingAfterBreak="0">
    <w:nsid w:val="62E3726F"/>
    <w:multiLevelType w:val="hybridMultilevel"/>
    <w:tmpl w:val="CE345508"/>
    <w:lvl w:ilvl="0" w:tplc="67F20812">
      <w:start w:val="1"/>
      <w:numFmt w:val="bullet"/>
      <w:lvlText w:val=""/>
      <w:lvlJc w:val="left"/>
      <w:pPr>
        <w:ind w:left="720" w:hanging="180"/>
      </w:pPr>
      <w:rPr>
        <w:rFonts w:ascii="Symbol" w:hAnsi="Symbol" w:hint="default"/>
      </w:rPr>
    </w:lvl>
    <w:lvl w:ilvl="1" w:tplc="F206586E">
      <w:numFmt w:val="decimal"/>
      <w:lvlText w:val=""/>
      <w:lvlJc w:val="left"/>
    </w:lvl>
    <w:lvl w:ilvl="2" w:tplc="F3D85748">
      <w:numFmt w:val="decimal"/>
      <w:lvlText w:val=""/>
      <w:lvlJc w:val="left"/>
    </w:lvl>
    <w:lvl w:ilvl="3" w:tplc="C3ECC5F4">
      <w:numFmt w:val="decimal"/>
      <w:lvlText w:val=""/>
      <w:lvlJc w:val="left"/>
    </w:lvl>
    <w:lvl w:ilvl="4" w:tplc="B8343B88">
      <w:numFmt w:val="decimal"/>
      <w:lvlText w:val=""/>
      <w:lvlJc w:val="left"/>
    </w:lvl>
    <w:lvl w:ilvl="5" w:tplc="427E6AD4">
      <w:numFmt w:val="decimal"/>
      <w:lvlText w:val=""/>
      <w:lvlJc w:val="left"/>
    </w:lvl>
    <w:lvl w:ilvl="6" w:tplc="9D50A242">
      <w:numFmt w:val="decimal"/>
      <w:lvlText w:val=""/>
      <w:lvlJc w:val="left"/>
    </w:lvl>
    <w:lvl w:ilvl="7" w:tplc="532AD1F0">
      <w:numFmt w:val="decimal"/>
      <w:lvlText w:val=""/>
      <w:lvlJc w:val="left"/>
    </w:lvl>
    <w:lvl w:ilvl="8" w:tplc="6DCA69D2">
      <w:numFmt w:val="decimal"/>
      <w:lvlText w:val=""/>
      <w:lvlJc w:val="left"/>
    </w:lvl>
  </w:abstractNum>
  <w:abstractNum w:abstractNumId="905" w15:restartNumberingAfterBreak="0">
    <w:nsid w:val="62E376B7"/>
    <w:multiLevelType w:val="hybridMultilevel"/>
    <w:tmpl w:val="3A60F318"/>
    <w:lvl w:ilvl="0" w:tplc="933CCB22">
      <w:start w:val="1"/>
      <w:numFmt w:val="bullet"/>
      <w:lvlText w:val=""/>
      <w:lvlJc w:val="left"/>
      <w:pPr>
        <w:ind w:left="720" w:hanging="180"/>
      </w:pPr>
      <w:rPr>
        <w:rFonts w:ascii="Symbol" w:hAnsi="Symbol" w:hint="default"/>
      </w:rPr>
    </w:lvl>
    <w:lvl w:ilvl="1" w:tplc="6D62D7AA">
      <w:numFmt w:val="decimal"/>
      <w:lvlText w:val=""/>
      <w:lvlJc w:val="left"/>
    </w:lvl>
    <w:lvl w:ilvl="2" w:tplc="505AE568">
      <w:numFmt w:val="decimal"/>
      <w:lvlText w:val=""/>
      <w:lvlJc w:val="left"/>
    </w:lvl>
    <w:lvl w:ilvl="3" w:tplc="535C73DE">
      <w:numFmt w:val="decimal"/>
      <w:lvlText w:val=""/>
      <w:lvlJc w:val="left"/>
    </w:lvl>
    <w:lvl w:ilvl="4" w:tplc="8B1E62B2">
      <w:numFmt w:val="decimal"/>
      <w:lvlText w:val=""/>
      <w:lvlJc w:val="left"/>
    </w:lvl>
    <w:lvl w:ilvl="5" w:tplc="E5801A88">
      <w:numFmt w:val="decimal"/>
      <w:lvlText w:val=""/>
      <w:lvlJc w:val="left"/>
    </w:lvl>
    <w:lvl w:ilvl="6" w:tplc="20DABCF4">
      <w:numFmt w:val="decimal"/>
      <w:lvlText w:val=""/>
      <w:lvlJc w:val="left"/>
    </w:lvl>
    <w:lvl w:ilvl="7" w:tplc="5F360F6C">
      <w:numFmt w:val="decimal"/>
      <w:lvlText w:val=""/>
      <w:lvlJc w:val="left"/>
    </w:lvl>
    <w:lvl w:ilvl="8" w:tplc="1E284708">
      <w:numFmt w:val="decimal"/>
      <w:lvlText w:val=""/>
      <w:lvlJc w:val="left"/>
    </w:lvl>
  </w:abstractNum>
  <w:abstractNum w:abstractNumId="906" w15:restartNumberingAfterBreak="0">
    <w:nsid w:val="62E65733"/>
    <w:multiLevelType w:val="hybridMultilevel"/>
    <w:tmpl w:val="EFA2C66E"/>
    <w:lvl w:ilvl="0" w:tplc="EC982672">
      <w:start w:val="1"/>
      <w:numFmt w:val="bullet"/>
      <w:lvlText w:val=""/>
      <w:lvlJc w:val="left"/>
      <w:pPr>
        <w:ind w:left="720" w:hanging="180"/>
      </w:pPr>
      <w:rPr>
        <w:rFonts w:ascii="Symbol" w:hAnsi="Symbol" w:hint="default"/>
      </w:rPr>
    </w:lvl>
    <w:lvl w:ilvl="1" w:tplc="6AACA1D8">
      <w:numFmt w:val="decimal"/>
      <w:lvlText w:val=""/>
      <w:lvlJc w:val="left"/>
    </w:lvl>
    <w:lvl w:ilvl="2" w:tplc="45C2B190">
      <w:numFmt w:val="decimal"/>
      <w:lvlText w:val=""/>
      <w:lvlJc w:val="left"/>
    </w:lvl>
    <w:lvl w:ilvl="3" w:tplc="7624D50E">
      <w:numFmt w:val="decimal"/>
      <w:lvlText w:val=""/>
      <w:lvlJc w:val="left"/>
    </w:lvl>
    <w:lvl w:ilvl="4" w:tplc="F19C752E">
      <w:numFmt w:val="decimal"/>
      <w:lvlText w:val=""/>
      <w:lvlJc w:val="left"/>
    </w:lvl>
    <w:lvl w:ilvl="5" w:tplc="EC1C88CA">
      <w:numFmt w:val="decimal"/>
      <w:lvlText w:val=""/>
      <w:lvlJc w:val="left"/>
    </w:lvl>
    <w:lvl w:ilvl="6" w:tplc="35B6CF16">
      <w:numFmt w:val="decimal"/>
      <w:lvlText w:val=""/>
      <w:lvlJc w:val="left"/>
    </w:lvl>
    <w:lvl w:ilvl="7" w:tplc="0A42068C">
      <w:numFmt w:val="decimal"/>
      <w:lvlText w:val=""/>
      <w:lvlJc w:val="left"/>
    </w:lvl>
    <w:lvl w:ilvl="8" w:tplc="8DF6857A">
      <w:numFmt w:val="decimal"/>
      <w:lvlText w:val=""/>
      <w:lvlJc w:val="left"/>
    </w:lvl>
  </w:abstractNum>
  <w:abstractNum w:abstractNumId="907" w15:restartNumberingAfterBreak="0">
    <w:nsid w:val="632A0FB6"/>
    <w:multiLevelType w:val="hybridMultilevel"/>
    <w:tmpl w:val="B4B6287A"/>
    <w:lvl w:ilvl="0" w:tplc="1A6E3B9E">
      <w:start w:val="1"/>
      <w:numFmt w:val="bullet"/>
      <w:lvlText w:val=""/>
      <w:lvlJc w:val="left"/>
      <w:pPr>
        <w:ind w:left="720" w:hanging="180"/>
      </w:pPr>
      <w:rPr>
        <w:rFonts w:ascii="Symbol" w:hAnsi="Symbol" w:hint="default"/>
      </w:rPr>
    </w:lvl>
    <w:lvl w:ilvl="1" w:tplc="908E17CC">
      <w:numFmt w:val="decimal"/>
      <w:lvlText w:val=""/>
      <w:lvlJc w:val="left"/>
    </w:lvl>
    <w:lvl w:ilvl="2" w:tplc="2C0664D8">
      <w:numFmt w:val="decimal"/>
      <w:lvlText w:val=""/>
      <w:lvlJc w:val="left"/>
    </w:lvl>
    <w:lvl w:ilvl="3" w:tplc="0C764E80">
      <w:numFmt w:val="decimal"/>
      <w:lvlText w:val=""/>
      <w:lvlJc w:val="left"/>
    </w:lvl>
    <w:lvl w:ilvl="4" w:tplc="D45EC21C">
      <w:numFmt w:val="decimal"/>
      <w:lvlText w:val=""/>
      <w:lvlJc w:val="left"/>
    </w:lvl>
    <w:lvl w:ilvl="5" w:tplc="6624D868">
      <w:numFmt w:val="decimal"/>
      <w:lvlText w:val=""/>
      <w:lvlJc w:val="left"/>
    </w:lvl>
    <w:lvl w:ilvl="6" w:tplc="A1E43C64">
      <w:numFmt w:val="decimal"/>
      <w:lvlText w:val=""/>
      <w:lvlJc w:val="left"/>
    </w:lvl>
    <w:lvl w:ilvl="7" w:tplc="51C8D3A2">
      <w:numFmt w:val="decimal"/>
      <w:lvlText w:val=""/>
      <w:lvlJc w:val="left"/>
    </w:lvl>
    <w:lvl w:ilvl="8" w:tplc="8A820BE4">
      <w:numFmt w:val="decimal"/>
      <w:lvlText w:val=""/>
      <w:lvlJc w:val="left"/>
    </w:lvl>
  </w:abstractNum>
  <w:abstractNum w:abstractNumId="908" w15:restartNumberingAfterBreak="0">
    <w:nsid w:val="632D0CF0"/>
    <w:multiLevelType w:val="hybridMultilevel"/>
    <w:tmpl w:val="2A0C88EC"/>
    <w:lvl w:ilvl="0" w:tplc="38766B28">
      <w:start w:val="1"/>
      <w:numFmt w:val="bullet"/>
      <w:lvlText w:val=""/>
      <w:lvlJc w:val="left"/>
      <w:pPr>
        <w:ind w:left="720" w:hanging="180"/>
      </w:pPr>
      <w:rPr>
        <w:rFonts w:ascii="Symbol" w:hAnsi="Symbol" w:hint="default"/>
      </w:rPr>
    </w:lvl>
    <w:lvl w:ilvl="1" w:tplc="4B42BB0E">
      <w:numFmt w:val="decimal"/>
      <w:lvlText w:val=""/>
      <w:lvlJc w:val="left"/>
    </w:lvl>
    <w:lvl w:ilvl="2" w:tplc="86D890E6">
      <w:numFmt w:val="decimal"/>
      <w:lvlText w:val=""/>
      <w:lvlJc w:val="left"/>
    </w:lvl>
    <w:lvl w:ilvl="3" w:tplc="6E60C85E">
      <w:numFmt w:val="decimal"/>
      <w:lvlText w:val=""/>
      <w:lvlJc w:val="left"/>
    </w:lvl>
    <w:lvl w:ilvl="4" w:tplc="3094EE42">
      <w:numFmt w:val="decimal"/>
      <w:lvlText w:val=""/>
      <w:lvlJc w:val="left"/>
    </w:lvl>
    <w:lvl w:ilvl="5" w:tplc="16F86AF2">
      <w:numFmt w:val="decimal"/>
      <w:lvlText w:val=""/>
      <w:lvlJc w:val="left"/>
    </w:lvl>
    <w:lvl w:ilvl="6" w:tplc="4252B01E">
      <w:numFmt w:val="decimal"/>
      <w:lvlText w:val=""/>
      <w:lvlJc w:val="left"/>
    </w:lvl>
    <w:lvl w:ilvl="7" w:tplc="07AA61F8">
      <w:numFmt w:val="decimal"/>
      <w:lvlText w:val=""/>
      <w:lvlJc w:val="left"/>
    </w:lvl>
    <w:lvl w:ilvl="8" w:tplc="EAEABEA0">
      <w:numFmt w:val="decimal"/>
      <w:lvlText w:val=""/>
      <w:lvlJc w:val="left"/>
    </w:lvl>
  </w:abstractNum>
  <w:abstractNum w:abstractNumId="909" w15:restartNumberingAfterBreak="0">
    <w:nsid w:val="633701F1"/>
    <w:multiLevelType w:val="hybridMultilevel"/>
    <w:tmpl w:val="372AD69E"/>
    <w:lvl w:ilvl="0" w:tplc="F4A0238A">
      <w:start w:val="1"/>
      <w:numFmt w:val="bullet"/>
      <w:lvlText w:val=""/>
      <w:lvlJc w:val="left"/>
      <w:pPr>
        <w:ind w:left="720" w:hanging="180"/>
      </w:pPr>
      <w:rPr>
        <w:rFonts w:ascii="Symbol" w:hAnsi="Symbol" w:hint="default"/>
      </w:rPr>
    </w:lvl>
    <w:lvl w:ilvl="1" w:tplc="CA4A353E">
      <w:numFmt w:val="decimal"/>
      <w:lvlText w:val=""/>
      <w:lvlJc w:val="left"/>
    </w:lvl>
    <w:lvl w:ilvl="2" w:tplc="086C6D3A">
      <w:numFmt w:val="decimal"/>
      <w:lvlText w:val=""/>
      <w:lvlJc w:val="left"/>
    </w:lvl>
    <w:lvl w:ilvl="3" w:tplc="B40497F2">
      <w:numFmt w:val="decimal"/>
      <w:lvlText w:val=""/>
      <w:lvlJc w:val="left"/>
    </w:lvl>
    <w:lvl w:ilvl="4" w:tplc="AD3410C8">
      <w:numFmt w:val="decimal"/>
      <w:lvlText w:val=""/>
      <w:lvlJc w:val="left"/>
    </w:lvl>
    <w:lvl w:ilvl="5" w:tplc="2C6A6596">
      <w:numFmt w:val="decimal"/>
      <w:lvlText w:val=""/>
      <w:lvlJc w:val="left"/>
    </w:lvl>
    <w:lvl w:ilvl="6" w:tplc="B406EEE6">
      <w:numFmt w:val="decimal"/>
      <w:lvlText w:val=""/>
      <w:lvlJc w:val="left"/>
    </w:lvl>
    <w:lvl w:ilvl="7" w:tplc="B53EA8D0">
      <w:numFmt w:val="decimal"/>
      <w:lvlText w:val=""/>
      <w:lvlJc w:val="left"/>
    </w:lvl>
    <w:lvl w:ilvl="8" w:tplc="AC56EEDA">
      <w:numFmt w:val="decimal"/>
      <w:lvlText w:val=""/>
      <w:lvlJc w:val="left"/>
    </w:lvl>
  </w:abstractNum>
  <w:abstractNum w:abstractNumId="910" w15:restartNumberingAfterBreak="0">
    <w:nsid w:val="635E4A7E"/>
    <w:multiLevelType w:val="hybridMultilevel"/>
    <w:tmpl w:val="ED3A7F1A"/>
    <w:lvl w:ilvl="0" w:tplc="9A4CBFB8">
      <w:start w:val="1"/>
      <w:numFmt w:val="bullet"/>
      <w:lvlText w:val=""/>
      <w:lvlJc w:val="left"/>
      <w:pPr>
        <w:ind w:left="720" w:hanging="180"/>
      </w:pPr>
      <w:rPr>
        <w:rFonts w:ascii="Symbol" w:hAnsi="Symbol" w:hint="default"/>
      </w:rPr>
    </w:lvl>
    <w:lvl w:ilvl="1" w:tplc="6D724948">
      <w:numFmt w:val="decimal"/>
      <w:lvlText w:val=""/>
      <w:lvlJc w:val="left"/>
    </w:lvl>
    <w:lvl w:ilvl="2" w:tplc="C6900F32">
      <w:numFmt w:val="decimal"/>
      <w:lvlText w:val=""/>
      <w:lvlJc w:val="left"/>
    </w:lvl>
    <w:lvl w:ilvl="3" w:tplc="2C506A1A">
      <w:numFmt w:val="decimal"/>
      <w:lvlText w:val=""/>
      <w:lvlJc w:val="left"/>
    </w:lvl>
    <w:lvl w:ilvl="4" w:tplc="EDA2F7F4">
      <w:numFmt w:val="decimal"/>
      <w:lvlText w:val=""/>
      <w:lvlJc w:val="left"/>
    </w:lvl>
    <w:lvl w:ilvl="5" w:tplc="067AEEF2">
      <w:numFmt w:val="decimal"/>
      <w:lvlText w:val=""/>
      <w:lvlJc w:val="left"/>
    </w:lvl>
    <w:lvl w:ilvl="6" w:tplc="5FBAD22E">
      <w:numFmt w:val="decimal"/>
      <w:lvlText w:val=""/>
      <w:lvlJc w:val="left"/>
    </w:lvl>
    <w:lvl w:ilvl="7" w:tplc="D9F8B5C0">
      <w:numFmt w:val="decimal"/>
      <w:lvlText w:val=""/>
      <w:lvlJc w:val="left"/>
    </w:lvl>
    <w:lvl w:ilvl="8" w:tplc="0EF2DDC2">
      <w:numFmt w:val="decimal"/>
      <w:lvlText w:val=""/>
      <w:lvlJc w:val="left"/>
    </w:lvl>
  </w:abstractNum>
  <w:abstractNum w:abstractNumId="911" w15:restartNumberingAfterBreak="0">
    <w:nsid w:val="63661534"/>
    <w:multiLevelType w:val="hybridMultilevel"/>
    <w:tmpl w:val="234C6F9C"/>
    <w:lvl w:ilvl="0" w:tplc="1700E06A">
      <w:numFmt w:val="decimal"/>
      <w:lvlText w:val=""/>
      <w:lvlJc w:val="left"/>
    </w:lvl>
    <w:lvl w:ilvl="1" w:tplc="E54AE696">
      <w:numFmt w:val="decimal"/>
      <w:lvlText w:val=""/>
      <w:lvlJc w:val="left"/>
    </w:lvl>
    <w:lvl w:ilvl="2" w:tplc="90408AAA">
      <w:start w:val="1"/>
      <w:numFmt w:val="bullet"/>
      <w:lvlText w:val=""/>
      <w:lvlJc w:val="left"/>
      <w:pPr>
        <w:ind w:left="2160" w:hanging="180"/>
      </w:pPr>
      <w:rPr>
        <w:rFonts w:ascii="Symbol" w:hAnsi="Symbol" w:hint="default"/>
      </w:rPr>
    </w:lvl>
    <w:lvl w:ilvl="3" w:tplc="FC200386">
      <w:numFmt w:val="decimal"/>
      <w:lvlText w:val=""/>
      <w:lvlJc w:val="left"/>
    </w:lvl>
    <w:lvl w:ilvl="4" w:tplc="AAE8156E">
      <w:numFmt w:val="decimal"/>
      <w:lvlText w:val=""/>
      <w:lvlJc w:val="left"/>
    </w:lvl>
    <w:lvl w:ilvl="5" w:tplc="7CC28DBC">
      <w:numFmt w:val="decimal"/>
      <w:lvlText w:val=""/>
      <w:lvlJc w:val="left"/>
    </w:lvl>
    <w:lvl w:ilvl="6" w:tplc="004836DA">
      <w:numFmt w:val="decimal"/>
      <w:lvlText w:val=""/>
      <w:lvlJc w:val="left"/>
    </w:lvl>
    <w:lvl w:ilvl="7" w:tplc="CAA484DE">
      <w:numFmt w:val="decimal"/>
      <w:lvlText w:val=""/>
      <w:lvlJc w:val="left"/>
    </w:lvl>
    <w:lvl w:ilvl="8" w:tplc="D19E5116">
      <w:numFmt w:val="decimal"/>
      <w:lvlText w:val=""/>
      <w:lvlJc w:val="left"/>
    </w:lvl>
  </w:abstractNum>
  <w:abstractNum w:abstractNumId="912" w15:restartNumberingAfterBreak="0">
    <w:nsid w:val="63841473"/>
    <w:multiLevelType w:val="hybridMultilevel"/>
    <w:tmpl w:val="87C29A76"/>
    <w:lvl w:ilvl="0" w:tplc="097C4B4A">
      <w:start w:val="1"/>
      <w:numFmt w:val="bullet"/>
      <w:lvlText w:val=""/>
      <w:lvlJc w:val="left"/>
      <w:pPr>
        <w:ind w:left="720" w:hanging="180"/>
      </w:pPr>
      <w:rPr>
        <w:rFonts w:ascii="Symbol" w:hAnsi="Symbol" w:hint="default"/>
      </w:rPr>
    </w:lvl>
    <w:lvl w:ilvl="1" w:tplc="CEDA1CE0">
      <w:numFmt w:val="decimal"/>
      <w:lvlText w:val=""/>
      <w:lvlJc w:val="left"/>
    </w:lvl>
    <w:lvl w:ilvl="2" w:tplc="FFA8885E">
      <w:numFmt w:val="decimal"/>
      <w:lvlText w:val=""/>
      <w:lvlJc w:val="left"/>
    </w:lvl>
    <w:lvl w:ilvl="3" w:tplc="12B88482">
      <w:numFmt w:val="decimal"/>
      <w:lvlText w:val=""/>
      <w:lvlJc w:val="left"/>
    </w:lvl>
    <w:lvl w:ilvl="4" w:tplc="DFD20E0A">
      <w:numFmt w:val="decimal"/>
      <w:lvlText w:val=""/>
      <w:lvlJc w:val="left"/>
    </w:lvl>
    <w:lvl w:ilvl="5" w:tplc="0568A578">
      <w:numFmt w:val="decimal"/>
      <w:lvlText w:val=""/>
      <w:lvlJc w:val="left"/>
    </w:lvl>
    <w:lvl w:ilvl="6" w:tplc="9F24B03A">
      <w:numFmt w:val="decimal"/>
      <w:lvlText w:val=""/>
      <w:lvlJc w:val="left"/>
    </w:lvl>
    <w:lvl w:ilvl="7" w:tplc="0EFE7F3A">
      <w:numFmt w:val="decimal"/>
      <w:lvlText w:val=""/>
      <w:lvlJc w:val="left"/>
    </w:lvl>
    <w:lvl w:ilvl="8" w:tplc="41329AE8">
      <w:numFmt w:val="decimal"/>
      <w:lvlText w:val=""/>
      <w:lvlJc w:val="left"/>
    </w:lvl>
  </w:abstractNum>
  <w:abstractNum w:abstractNumId="913" w15:restartNumberingAfterBreak="0">
    <w:nsid w:val="639E76B6"/>
    <w:multiLevelType w:val="hybridMultilevel"/>
    <w:tmpl w:val="CBD09A94"/>
    <w:lvl w:ilvl="0" w:tplc="89A63E72">
      <w:start w:val="1"/>
      <w:numFmt w:val="bullet"/>
      <w:lvlText w:val=""/>
      <w:lvlJc w:val="left"/>
      <w:pPr>
        <w:ind w:left="720" w:hanging="180"/>
      </w:pPr>
      <w:rPr>
        <w:rFonts w:ascii="Symbol" w:hAnsi="Symbol" w:hint="default"/>
      </w:rPr>
    </w:lvl>
    <w:lvl w:ilvl="1" w:tplc="26E47B9E">
      <w:numFmt w:val="decimal"/>
      <w:lvlText w:val=""/>
      <w:lvlJc w:val="left"/>
    </w:lvl>
    <w:lvl w:ilvl="2" w:tplc="BF70E6A4">
      <w:numFmt w:val="decimal"/>
      <w:lvlText w:val=""/>
      <w:lvlJc w:val="left"/>
    </w:lvl>
    <w:lvl w:ilvl="3" w:tplc="E39EB3D4">
      <w:numFmt w:val="decimal"/>
      <w:lvlText w:val=""/>
      <w:lvlJc w:val="left"/>
    </w:lvl>
    <w:lvl w:ilvl="4" w:tplc="715EAC1A">
      <w:numFmt w:val="decimal"/>
      <w:lvlText w:val=""/>
      <w:lvlJc w:val="left"/>
    </w:lvl>
    <w:lvl w:ilvl="5" w:tplc="EA10206C">
      <w:numFmt w:val="decimal"/>
      <w:lvlText w:val=""/>
      <w:lvlJc w:val="left"/>
    </w:lvl>
    <w:lvl w:ilvl="6" w:tplc="4F52851C">
      <w:numFmt w:val="decimal"/>
      <w:lvlText w:val=""/>
      <w:lvlJc w:val="left"/>
    </w:lvl>
    <w:lvl w:ilvl="7" w:tplc="E65881EE">
      <w:numFmt w:val="decimal"/>
      <w:lvlText w:val=""/>
      <w:lvlJc w:val="left"/>
    </w:lvl>
    <w:lvl w:ilvl="8" w:tplc="02F60B20">
      <w:numFmt w:val="decimal"/>
      <w:lvlText w:val=""/>
      <w:lvlJc w:val="left"/>
    </w:lvl>
  </w:abstractNum>
  <w:abstractNum w:abstractNumId="914" w15:restartNumberingAfterBreak="0">
    <w:nsid w:val="63A32B75"/>
    <w:multiLevelType w:val="hybridMultilevel"/>
    <w:tmpl w:val="B2C02484"/>
    <w:lvl w:ilvl="0" w:tplc="2EBC3784">
      <w:start w:val="1"/>
      <w:numFmt w:val="bullet"/>
      <w:lvlText w:val=""/>
      <w:lvlJc w:val="left"/>
      <w:pPr>
        <w:ind w:left="720" w:hanging="180"/>
      </w:pPr>
      <w:rPr>
        <w:rFonts w:ascii="Symbol" w:hAnsi="Symbol" w:hint="default"/>
      </w:rPr>
    </w:lvl>
    <w:lvl w:ilvl="1" w:tplc="186EB820">
      <w:numFmt w:val="decimal"/>
      <w:lvlText w:val=""/>
      <w:lvlJc w:val="left"/>
    </w:lvl>
    <w:lvl w:ilvl="2" w:tplc="571EA7FA">
      <w:numFmt w:val="decimal"/>
      <w:lvlText w:val=""/>
      <w:lvlJc w:val="left"/>
    </w:lvl>
    <w:lvl w:ilvl="3" w:tplc="CD96B258">
      <w:numFmt w:val="decimal"/>
      <w:lvlText w:val=""/>
      <w:lvlJc w:val="left"/>
    </w:lvl>
    <w:lvl w:ilvl="4" w:tplc="6BD411DE">
      <w:numFmt w:val="decimal"/>
      <w:lvlText w:val=""/>
      <w:lvlJc w:val="left"/>
    </w:lvl>
    <w:lvl w:ilvl="5" w:tplc="B4B06312">
      <w:numFmt w:val="decimal"/>
      <w:lvlText w:val=""/>
      <w:lvlJc w:val="left"/>
    </w:lvl>
    <w:lvl w:ilvl="6" w:tplc="49440EC4">
      <w:numFmt w:val="decimal"/>
      <w:lvlText w:val=""/>
      <w:lvlJc w:val="left"/>
    </w:lvl>
    <w:lvl w:ilvl="7" w:tplc="D14014E4">
      <w:numFmt w:val="decimal"/>
      <w:lvlText w:val=""/>
      <w:lvlJc w:val="left"/>
    </w:lvl>
    <w:lvl w:ilvl="8" w:tplc="BB509908">
      <w:numFmt w:val="decimal"/>
      <w:lvlText w:val=""/>
      <w:lvlJc w:val="left"/>
    </w:lvl>
  </w:abstractNum>
  <w:abstractNum w:abstractNumId="915" w15:restartNumberingAfterBreak="0">
    <w:nsid w:val="63A3303A"/>
    <w:multiLevelType w:val="hybridMultilevel"/>
    <w:tmpl w:val="C206FC22"/>
    <w:lvl w:ilvl="0" w:tplc="58CAAAB6">
      <w:start w:val="1"/>
      <w:numFmt w:val="bullet"/>
      <w:lvlText w:val=""/>
      <w:lvlJc w:val="left"/>
      <w:pPr>
        <w:ind w:left="720" w:hanging="180"/>
      </w:pPr>
      <w:rPr>
        <w:rFonts w:ascii="Symbol" w:hAnsi="Symbol" w:hint="default"/>
      </w:rPr>
    </w:lvl>
    <w:lvl w:ilvl="1" w:tplc="72047D94">
      <w:numFmt w:val="decimal"/>
      <w:lvlText w:val=""/>
      <w:lvlJc w:val="left"/>
    </w:lvl>
    <w:lvl w:ilvl="2" w:tplc="0EBECFD6">
      <w:numFmt w:val="decimal"/>
      <w:lvlText w:val=""/>
      <w:lvlJc w:val="left"/>
    </w:lvl>
    <w:lvl w:ilvl="3" w:tplc="F9C0DDA8">
      <w:numFmt w:val="decimal"/>
      <w:lvlText w:val=""/>
      <w:lvlJc w:val="left"/>
    </w:lvl>
    <w:lvl w:ilvl="4" w:tplc="3042ACEA">
      <w:numFmt w:val="decimal"/>
      <w:lvlText w:val=""/>
      <w:lvlJc w:val="left"/>
    </w:lvl>
    <w:lvl w:ilvl="5" w:tplc="1368CD38">
      <w:numFmt w:val="decimal"/>
      <w:lvlText w:val=""/>
      <w:lvlJc w:val="left"/>
    </w:lvl>
    <w:lvl w:ilvl="6" w:tplc="8F60D848">
      <w:numFmt w:val="decimal"/>
      <w:lvlText w:val=""/>
      <w:lvlJc w:val="left"/>
    </w:lvl>
    <w:lvl w:ilvl="7" w:tplc="EFBEEBE2">
      <w:numFmt w:val="decimal"/>
      <w:lvlText w:val=""/>
      <w:lvlJc w:val="left"/>
    </w:lvl>
    <w:lvl w:ilvl="8" w:tplc="F86622A4">
      <w:numFmt w:val="decimal"/>
      <w:lvlText w:val=""/>
      <w:lvlJc w:val="left"/>
    </w:lvl>
  </w:abstractNum>
  <w:abstractNum w:abstractNumId="916" w15:restartNumberingAfterBreak="0">
    <w:nsid w:val="63A330FC"/>
    <w:multiLevelType w:val="hybridMultilevel"/>
    <w:tmpl w:val="BF54A2CE"/>
    <w:lvl w:ilvl="0" w:tplc="5A306646">
      <w:start w:val="1"/>
      <w:numFmt w:val="bullet"/>
      <w:lvlText w:val=""/>
      <w:lvlJc w:val="left"/>
      <w:pPr>
        <w:ind w:left="720" w:hanging="180"/>
      </w:pPr>
      <w:rPr>
        <w:rFonts w:ascii="Symbol" w:hAnsi="Symbol" w:hint="default"/>
      </w:rPr>
    </w:lvl>
    <w:lvl w:ilvl="1" w:tplc="E1F8A5E8">
      <w:numFmt w:val="decimal"/>
      <w:lvlText w:val=""/>
      <w:lvlJc w:val="left"/>
    </w:lvl>
    <w:lvl w:ilvl="2" w:tplc="34A2B904">
      <w:numFmt w:val="decimal"/>
      <w:lvlText w:val=""/>
      <w:lvlJc w:val="left"/>
    </w:lvl>
    <w:lvl w:ilvl="3" w:tplc="6096F05A">
      <w:numFmt w:val="decimal"/>
      <w:lvlText w:val=""/>
      <w:lvlJc w:val="left"/>
    </w:lvl>
    <w:lvl w:ilvl="4" w:tplc="54A21FD4">
      <w:numFmt w:val="decimal"/>
      <w:lvlText w:val=""/>
      <w:lvlJc w:val="left"/>
    </w:lvl>
    <w:lvl w:ilvl="5" w:tplc="5FEEC10C">
      <w:numFmt w:val="decimal"/>
      <w:lvlText w:val=""/>
      <w:lvlJc w:val="left"/>
    </w:lvl>
    <w:lvl w:ilvl="6" w:tplc="949CA4FE">
      <w:numFmt w:val="decimal"/>
      <w:lvlText w:val=""/>
      <w:lvlJc w:val="left"/>
    </w:lvl>
    <w:lvl w:ilvl="7" w:tplc="4EDCD392">
      <w:numFmt w:val="decimal"/>
      <w:lvlText w:val=""/>
      <w:lvlJc w:val="left"/>
    </w:lvl>
    <w:lvl w:ilvl="8" w:tplc="FFF88D1A">
      <w:numFmt w:val="decimal"/>
      <w:lvlText w:val=""/>
      <w:lvlJc w:val="left"/>
    </w:lvl>
  </w:abstractNum>
  <w:abstractNum w:abstractNumId="917" w15:restartNumberingAfterBreak="0">
    <w:nsid w:val="63C67E52"/>
    <w:multiLevelType w:val="hybridMultilevel"/>
    <w:tmpl w:val="D32AA88E"/>
    <w:lvl w:ilvl="0" w:tplc="DF3A4968">
      <w:start w:val="1"/>
      <w:numFmt w:val="bullet"/>
      <w:lvlText w:val=""/>
      <w:lvlJc w:val="left"/>
      <w:pPr>
        <w:ind w:left="720" w:hanging="180"/>
      </w:pPr>
      <w:rPr>
        <w:rFonts w:ascii="Symbol" w:hAnsi="Symbol" w:hint="default"/>
      </w:rPr>
    </w:lvl>
    <w:lvl w:ilvl="1" w:tplc="9AC4EC6C">
      <w:numFmt w:val="decimal"/>
      <w:lvlText w:val=""/>
      <w:lvlJc w:val="left"/>
    </w:lvl>
    <w:lvl w:ilvl="2" w:tplc="88EE9CF2">
      <w:numFmt w:val="decimal"/>
      <w:lvlText w:val=""/>
      <w:lvlJc w:val="left"/>
    </w:lvl>
    <w:lvl w:ilvl="3" w:tplc="9A624C48">
      <w:numFmt w:val="decimal"/>
      <w:lvlText w:val=""/>
      <w:lvlJc w:val="left"/>
    </w:lvl>
    <w:lvl w:ilvl="4" w:tplc="E27423E8">
      <w:numFmt w:val="decimal"/>
      <w:lvlText w:val=""/>
      <w:lvlJc w:val="left"/>
    </w:lvl>
    <w:lvl w:ilvl="5" w:tplc="CD3AAB6A">
      <w:numFmt w:val="decimal"/>
      <w:lvlText w:val=""/>
      <w:lvlJc w:val="left"/>
    </w:lvl>
    <w:lvl w:ilvl="6" w:tplc="A89882C4">
      <w:numFmt w:val="decimal"/>
      <w:lvlText w:val=""/>
      <w:lvlJc w:val="left"/>
    </w:lvl>
    <w:lvl w:ilvl="7" w:tplc="2B1AE9CC">
      <w:numFmt w:val="decimal"/>
      <w:lvlText w:val=""/>
      <w:lvlJc w:val="left"/>
    </w:lvl>
    <w:lvl w:ilvl="8" w:tplc="E8546CBA">
      <w:numFmt w:val="decimal"/>
      <w:lvlText w:val=""/>
      <w:lvlJc w:val="left"/>
    </w:lvl>
  </w:abstractNum>
  <w:abstractNum w:abstractNumId="918" w15:restartNumberingAfterBreak="0">
    <w:nsid w:val="63CB420C"/>
    <w:multiLevelType w:val="hybridMultilevel"/>
    <w:tmpl w:val="2416C2F0"/>
    <w:lvl w:ilvl="0" w:tplc="0DE2FA98">
      <w:start w:val="1"/>
      <w:numFmt w:val="bullet"/>
      <w:lvlText w:val=""/>
      <w:lvlJc w:val="left"/>
      <w:pPr>
        <w:ind w:left="720" w:hanging="180"/>
      </w:pPr>
      <w:rPr>
        <w:rFonts w:ascii="Symbol" w:hAnsi="Symbol" w:hint="default"/>
      </w:rPr>
    </w:lvl>
    <w:lvl w:ilvl="1" w:tplc="64A0A862">
      <w:numFmt w:val="decimal"/>
      <w:lvlText w:val=""/>
      <w:lvlJc w:val="left"/>
    </w:lvl>
    <w:lvl w:ilvl="2" w:tplc="48124452">
      <w:numFmt w:val="decimal"/>
      <w:lvlText w:val=""/>
      <w:lvlJc w:val="left"/>
    </w:lvl>
    <w:lvl w:ilvl="3" w:tplc="5948A6C6">
      <w:numFmt w:val="decimal"/>
      <w:lvlText w:val=""/>
      <w:lvlJc w:val="left"/>
    </w:lvl>
    <w:lvl w:ilvl="4" w:tplc="A634BBE0">
      <w:numFmt w:val="decimal"/>
      <w:lvlText w:val=""/>
      <w:lvlJc w:val="left"/>
    </w:lvl>
    <w:lvl w:ilvl="5" w:tplc="FA3C5D7E">
      <w:numFmt w:val="decimal"/>
      <w:lvlText w:val=""/>
      <w:lvlJc w:val="left"/>
    </w:lvl>
    <w:lvl w:ilvl="6" w:tplc="2A849436">
      <w:numFmt w:val="decimal"/>
      <w:lvlText w:val=""/>
      <w:lvlJc w:val="left"/>
    </w:lvl>
    <w:lvl w:ilvl="7" w:tplc="5D805C84">
      <w:numFmt w:val="decimal"/>
      <w:lvlText w:val=""/>
      <w:lvlJc w:val="left"/>
    </w:lvl>
    <w:lvl w:ilvl="8" w:tplc="9C24816C">
      <w:numFmt w:val="decimal"/>
      <w:lvlText w:val=""/>
      <w:lvlJc w:val="left"/>
    </w:lvl>
  </w:abstractNum>
  <w:abstractNum w:abstractNumId="919" w15:restartNumberingAfterBreak="0">
    <w:nsid w:val="63CD6A15"/>
    <w:multiLevelType w:val="hybridMultilevel"/>
    <w:tmpl w:val="EE14FD22"/>
    <w:lvl w:ilvl="0" w:tplc="C02CE5F0">
      <w:start w:val="1"/>
      <w:numFmt w:val="bullet"/>
      <w:lvlText w:val=""/>
      <w:lvlJc w:val="left"/>
      <w:pPr>
        <w:ind w:left="720" w:hanging="180"/>
      </w:pPr>
      <w:rPr>
        <w:rFonts w:ascii="Symbol" w:hAnsi="Symbol" w:hint="default"/>
      </w:rPr>
    </w:lvl>
    <w:lvl w:ilvl="1" w:tplc="E2241B2A">
      <w:numFmt w:val="decimal"/>
      <w:lvlText w:val=""/>
      <w:lvlJc w:val="left"/>
    </w:lvl>
    <w:lvl w:ilvl="2" w:tplc="8F5C434E">
      <w:numFmt w:val="decimal"/>
      <w:lvlText w:val=""/>
      <w:lvlJc w:val="left"/>
    </w:lvl>
    <w:lvl w:ilvl="3" w:tplc="8020F0A8">
      <w:numFmt w:val="decimal"/>
      <w:lvlText w:val=""/>
      <w:lvlJc w:val="left"/>
    </w:lvl>
    <w:lvl w:ilvl="4" w:tplc="F4A897DA">
      <w:numFmt w:val="decimal"/>
      <w:lvlText w:val=""/>
      <w:lvlJc w:val="left"/>
    </w:lvl>
    <w:lvl w:ilvl="5" w:tplc="F6721A1E">
      <w:numFmt w:val="decimal"/>
      <w:lvlText w:val=""/>
      <w:lvlJc w:val="left"/>
    </w:lvl>
    <w:lvl w:ilvl="6" w:tplc="4D1A4368">
      <w:numFmt w:val="decimal"/>
      <w:lvlText w:val=""/>
      <w:lvlJc w:val="left"/>
    </w:lvl>
    <w:lvl w:ilvl="7" w:tplc="4000A148">
      <w:numFmt w:val="decimal"/>
      <w:lvlText w:val=""/>
      <w:lvlJc w:val="left"/>
    </w:lvl>
    <w:lvl w:ilvl="8" w:tplc="D22C64EA">
      <w:numFmt w:val="decimal"/>
      <w:lvlText w:val=""/>
      <w:lvlJc w:val="left"/>
    </w:lvl>
  </w:abstractNum>
  <w:abstractNum w:abstractNumId="920" w15:restartNumberingAfterBreak="0">
    <w:nsid w:val="63CF4440"/>
    <w:multiLevelType w:val="hybridMultilevel"/>
    <w:tmpl w:val="3EDA89F2"/>
    <w:lvl w:ilvl="0" w:tplc="825C8126">
      <w:start w:val="1"/>
      <w:numFmt w:val="bullet"/>
      <w:lvlText w:val=""/>
      <w:lvlJc w:val="left"/>
      <w:pPr>
        <w:ind w:left="720" w:hanging="180"/>
      </w:pPr>
      <w:rPr>
        <w:rFonts w:ascii="Symbol" w:hAnsi="Symbol" w:hint="default"/>
      </w:rPr>
    </w:lvl>
    <w:lvl w:ilvl="1" w:tplc="F872F586">
      <w:numFmt w:val="decimal"/>
      <w:lvlText w:val=""/>
      <w:lvlJc w:val="left"/>
    </w:lvl>
    <w:lvl w:ilvl="2" w:tplc="BA0851D6">
      <w:numFmt w:val="decimal"/>
      <w:lvlText w:val=""/>
      <w:lvlJc w:val="left"/>
    </w:lvl>
    <w:lvl w:ilvl="3" w:tplc="D49882B4">
      <w:numFmt w:val="decimal"/>
      <w:lvlText w:val=""/>
      <w:lvlJc w:val="left"/>
    </w:lvl>
    <w:lvl w:ilvl="4" w:tplc="D3889FDA">
      <w:numFmt w:val="decimal"/>
      <w:lvlText w:val=""/>
      <w:lvlJc w:val="left"/>
    </w:lvl>
    <w:lvl w:ilvl="5" w:tplc="0CE871D8">
      <w:numFmt w:val="decimal"/>
      <w:lvlText w:val=""/>
      <w:lvlJc w:val="left"/>
    </w:lvl>
    <w:lvl w:ilvl="6" w:tplc="CB34371C">
      <w:numFmt w:val="decimal"/>
      <w:lvlText w:val=""/>
      <w:lvlJc w:val="left"/>
    </w:lvl>
    <w:lvl w:ilvl="7" w:tplc="88082070">
      <w:numFmt w:val="decimal"/>
      <w:lvlText w:val=""/>
      <w:lvlJc w:val="left"/>
    </w:lvl>
    <w:lvl w:ilvl="8" w:tplc="A9C21AA4">
      <w:numFmt w:val="decimal"/>
      <w:lvlText w:val=""/>
      <w:lvlJc w:val="left"/>
    </w:lvl>
  </w:abstractNum>
  <w:abstractNum w:abstractNumId="921" w15:restartNumberingAfterBreak="0">
    <w:nsid w:val="64136F30"/>
    <w:multiLevelType w:val="hybridMultilevel"/>
    <w:tmpl w:val="A7F2A01A"/>
    <w:lvl w:ilvl="0" w:tplc="9B1E6FEA">
      <w:start w:val="1"/>
      <w:numFmt w:val="bullet"/>
      <w:lvlText w:val=""/>
      <w:lvlJc w:val="left"/>
      <w:pPr>
        <w:ind w:left="720" w:hanging="180"/>
      </w:pPr>
      <w:rPr>
        <w:rFonts w:ascii="Symbol" w:hAnsi="Symbol" w:hint="default"/>
      </w:rPr>
    </w:lvl>
    <w:lvl w:ilvl="1" w:tplc="D08ABE44">
      <w:numFmt w:val="decimal"/>
      <w:lvlText w:val=""/>
      <w:lvlJc w:val="left"/>
    </w:lvl>
    <w:lvl w:ilvl="2" w:tplc="D188E968">
      <w:numFmt w:val="decimal"/>
      <w:lvlText w:val=""/>
      <w:lvlJc w:val="left"/>
    </w:lvl>
    <w:lvl w:ilvl="3" w:tplc="CDBC51E4">
      <w:numFmt w:val="decimal"/>
      <w:lvlText w:val=""/>
      <w:lvlJc w:val="left"/>
    </w:lvl>
    <w:lvl w:ilvl="4" w:tplc="EA267488">
      <w:numFmt w:val="decimal"/>
      <w:lvlText w:val=""/>
      <w:lvlJc w:val="left"/>
    </w:lvl>
    <w:lvl w:ilvl="5" w:tplc="FABCC49C">
      <w:numFmt w:val="decimal"/>
      <w:lvlText w:val=""/>
      <w:lvlJc w:val="left"/>
    </w:lvl>
    <w:lvl w:ilvl="6" w:tplc="22207884">
      <w:numFmt w:val="decimal"/>
      <w:lvlText w:val=""/>
      <w:lvlJc w:val="left"/>
    </w:lvl>
    <w:lvl w:ilvl="7" w:tplc="C4F8D872">
      <w:numFmt w:val="decimal"/>
      <w:lvlText w:val=""/>
      <w:lvlJc w:val="left"/>
    </w:lvl>
    <w:lvl w:ilvl="8" w:tplc="218A0D8C">
      <w:numFmt w:val="decimal"/>
      <w:lvlText w:val=""/>
      <w:lvlJc w:val="left"/>
    </w:lvl>
  </w:abstractNum>
  <w:abstractNum w:abstractNumId="922" w15:restartNumberingAfterBreak="0">
    <w:nsid w:val="642357D7"/>
    <w:multiLevelType w:val="hybridMultilevel"/>
    <w:tmpl w:val="38E29912"/>
    <w:lvl w:ilvl="0" w:tplc="B044D03A">
      <w:start w:val="1"/>
      <w:numFmt w:val="bullet"/>
      <w:lvlText w:val=""/>
      <w:lvlJc w:val="left"/>
      <w:pPr>
        <w:ind w:left="720" w:hanging="180"/>
      </w:pPr>
      <w:rPr>
        <w:rFonts w:ascii="Symbol" w:hAnsi="Symbol" w:hint="default"/>
      </w:rPr>
    </w:lvl>
    <w:lvl w:ilvl="1" w:tplc="EE96AD66">
      <w:numFmt w:val="decimal"/>
      <w:lvlText w:val=""/>
      <w:lvlJc w:val="left"/>
    </w:lvl>
    <w:lvl w:ilvl="2" w:tplc="D430F39C">
      <w:numFmt w:val="decimal"/>
      <w:lvlText w:val=""/>
      <w:lvlJc w:val="left"/>
    </w:lvl>
    <w:lvl w:ilvl="3" w:tplc="360274A4">
      <w:numFmt w:val="decimal"/>
      <w:lvlText w:val=""/>
      <w:lvlJc w:val="left"/>
    </w:lvl>
    <w:lvl w:ilvl="4" w:tplc="1AAEFE42">
      <w:numFmt w:val="decimal"/>
      <w:lvlText w:val=""/>
      <w:lvlJc w:val="left"/>
    </w:lvl>
    <w:lvl w:ilvl="5" w:tplc="E63C11C4">
      <w:numFmt w:val="decimal"/>
      <w:lvlText w:val=""/>
      <w:lvlJc w:val="left"/>
    </w:lvl>
    <w:lvl w:ilvl="6" w:tplc="CDD29AC2">
      <w:numFmt w:val="decimal"/>
      <w:lvlText w:val=""/>
      <w:lvlJc w:val="left"/>
    </w:lvl>
    <w:lvl w:ilvl="7" w:tplc="A602479A">
      <w:numFmt w:val="decimal"/>
      <w:lvlText w:val=""/>
      <w:lvlJc w:val="left"/>
    </w:lvl>
    <w:lvl w:ilvl="8" w:tplc="64044298">
      <w:numFmt w:val="decimal"/>
      <w:lvlText w:val=""/>
      <w:lvlJc w:val="left"/>
    </w:lvl>
  </w:abstractNum>
  <w:abstractNum w:abstractNumId="923" w15:restartNumberingAfterBreak="0">
    <w:nsid w:val="643477FC"/>
    <w:multiLevelType w:val="hybridMultilevel"/>
    <w:tmpl w:val="8F44C7BC"/>
    <w:lvl w:ilvl="0" w:tplc="100272A0">
      <w:start w:val="1"/>
      <w:numFmt w:val="bullet"/>
      <w:lvlText w:val=""/>
      <w:lvlJc w:val="left"/>
      <w:pPr>
        <w:ind w:left="720" w:hanging="180"/>
      </w:pPr>
      <w:rPr>
        <w:rFonts w:ascii="Symbol" w:hAnsi="Symbol" w:hint="default"/>
      </w:rPr>
    </w:lvl>
    <w:lvl w:ilvl="1" w:tplc="C152F798">
      <w:numFmt w:val="decimal"/>
      <w:lvlText w:val=""/>
      <w:lvlJc w:val="left"/>
    </w:lvl>
    <w:lvl w:ilvl="2" w:tplc="3084C2B2">
      <w:numFmt w:val="decimal"/>
      <w:lvlText w:val=""/>
      <w:lvlJc w:val="left"/>
    </w:lvl>
    <w:lvl w:ilvl="3" w:tplc="A1886B66">
      <w:numFmt w:val="decimal"/>
      <w:lvlText w:val=""/>
      <w:lvlJc w:val="left"/>
    </w:lvl>
    <w:lvl w:ilvl="4" w:tplc="8A1025E0">
      <w:numFmt w:val="decimal"/>
      <w:lvlText w:val=""/>
      <w:lvlJc w:val="left"/>
    </w:lvl>
    <w:lvl w:ilvl="5" w:tplc="89725B0E">
      <w:numFmt w:val="decimal"/>
      <w:lvlText w:val=""/>
      <w:lvlJc w:val="left"/>
    </w:lvl>
    <w:lvl w:ilvl="6" w:tplc="C568C21C">
      <w:numFmt w:val="decimal"/>
      <w:lvlText w:val=""/>
      <w:lvlJc w:val="left"/>
    </w:lvl>
    <w:lvl w:ilvl="7" w:tplc="244AA684">
      <w:numFmt w:val="decimal"/>
      <w:lvlText w:val=""/>
      <w:lvlJc w:val="left"/>
    </w:lvl>
    <w:lvl w:ilvl="8" w:tplc="C0249FB0">
      <w:numFmt w:val="decimal"/>
      <w:lvlText w:val=""/>
      <w:lvlJc w:val="left"/>
    </w:lvl>
  </w:abstractNum>
  <w:abstractNum w:abstractNumId="924" w15:restartNumberingAfterBreak="0">
    <w:nsid w:val="644209F8"/>
    <w:multiLevelType w:val="hybridMultilevel"/>
    <w:tmpl w:val="5C580178"/>
    <w:lvl w:ilvl="0" w:tplc="93D032D8">
      <w:start w:val="1"/>
      <w:numFmt w:val="bullet"/>
      <w:lvlText w:val=""/>
      <w:lvlJc w:val="left"/>
      <w:pPr>
        <w:ind w:left="720" w:hanging="180"/>
      </w:pPr>
      <w:rPr>
        <w:rFonts w:ascii="Symbol" w:hAnsi="Symbol" w:hint="default"/>
      </w:rPr>
    </w:lvl>
    <w:lvl w:ilvl="1" w:tplc="FDA6716C">
      <w:numFmt w:val="decimal"/>
      <w:lvlText w:val=""/>
      <w:lvlJc w:val="left"/>
    </w:lvl>
    <w:lvl w:ilvl="2" w:tplc="C7A0BFC6">
      <w:numFmt w:val="decimal"/>
      <w:lvlText w:val=""/>
      <w:lvlJc w:val="left"/>
    </w:lvl>
    <w:lvl w:ilvl="3" w:tplc="88886608">
      <w:numFmt w:val="decimal"/>
      <w:lvlText w:val=""/>
      <w:lvlJc w:val="left"/>
    </w:lvl>
    <w:lvl w:ilvl="4" w:tplc="C06A535A">
      <w:numFmt w:val="decimal"/>
      <w:lvlText w:val=""/>
      <w:lvlJc w:val="left"/>
    </w:lvl>
    <w:lvl w:ilvl="5" w:tplc="F8741E62">
      <w:numFmt w:val="decimal"/>
      <w:lvlText w:val=""/>
      <w:lvlJc w:val="left"/>
    </w:lvl>
    <w:lvl w:ilvl="6" w:tplc="1E843410">
      <w:numFmt w:val="decimal"/>
      <w:lvlText w:val=""/>
      <w:lvlJc w:val="left"/>
    </w:lvl>
    <w:lvl w:ilvl="7" w:tplc="BA6A1DF8">
      <w:numFmt w:val="decimal"/>
      <w:lvlText w:val=""/>
      <w:lvlJc w:val="left"/>
    </w:lvl>
    <w:lvl w:ilvl="8" w:tplc="370C325E">
      <w:numFmt w:val="decimal"/>
      <w:lvlText w:val=""/>
      <w:lvlJc w:val="left"/>
    </w:lvl>
  </w:abstractNum>
  <w:abstractNum w:abstractNumId="925" w15:restartNumberingAfterBreak="0">
    <w:nsid w:val="6444562B"/>
    <w:multiLevelType w:val="hybridMultilevel"/>
    <w:tmpl w:val="D51C1ADE"/>
    <w:lvl w:ilvl="0" w:tplc="2C506018">
      <w:start w:val="1"/>
      <w:numFmt w:val="bullet"/>
      <w:lvlText w:val=""/>
      <w:lvlJc w:val="left"/>
      <w:pPr>
        <w:ind w:left="720" w:hanging="180"/>
      </w:pPr>
      <w:rPr>
        <w:rFonts w:ascii="Symbol" w:hAnsi="Symbol" w:hint="default"/>
      </w:rPr>
    </w:lvl>
    <w:lvl w:ilvl="1" w:tplc="0A0EFCD4">
      <w:numFmt w:val="decimal"/>
      <w:lvlText w:val=""/>
      <w:lvlJc w:val="left"/>
    </w:lvl>
    <w:lvl w:ilvl="2" w:tplc="EB0AA51C">
      <w:numFmt w:val="decimal"/>
      <w:lvlText w:val=""/>
      <w:lvlJc w:val="left"/>
    </w:lvl>
    <w:lvl w:ilvl="3" w:tplc="9392C3D0">
      <w:numFmt w:val="decimal"/>
      <w:lvlText w:val=""/>
      <w:lvlJc w:val="left"/>
    </w:lvl>
    <w:lvl w:ilvl="4" w:tplc="924C0714">
      <w:numFmt w:val="decimal"/>
      <w:lvlText w:val=""/>
      <w:lvlJc w:val="left"/>
    </w:lvl>
    <w:lvl w:ilvl="5" w:tplc="D618DE7C">
      <w:numFmt w:val="decimal"/>
      <w:lvlText w:val=""/>
      <w:lvlJc w:val="left"/>
    </w:lvl>
    <w:lvl w:ilvl="6" w:tplc="F9E8D5A2">
      <w:numFmt w:val="decimal"/>
      <w:lvlText w:val=""/>
      <w:lvlJc w:val="left"/>
    </w:lvl>
    <w:lvl w:ilvl="7" w:tplc="3EFEFAAA">
      <w:numFmt w:val="decimal"/>
      <w:lvlText w:val=""/>
      <w:lvlJc w:val="left"/>
    </w:lvl>
    <w:lvl w:ilvl="8" w:tplc="F3B29F1E">
      <w:numFmt w:val="decimal"/>
      <w:lvlText w:val=""/>
      <w:lvlJc w:val="left"/>
    </w:lvl>
  </w:abstractNum>
  <w:abstractNum w:abstractNumId="926" w15:restartNumberingAfterBreak="0">
    <w:nsid w:val="645E3654"/>
    <w:multiLevelType w:val="hybridMultilevel"/>
    <w:tmpl w:val="C3648290"/>
    <w:lvl w:ilvl="0" w:tplc="67A6DD50">
      <w:numFmt w:val="decimal"/>
      <w:lvlText w:val=""/>
      <w:lvlJc w:val="left"/>
    </w:lvl>
    <w:lvl w:ilvl="1" w:tplc="EB9C7232">
      <w:start w:val="1"/>
      <w:numFmt w:val="bullet"/>
      <w:lvlText w:val=""/>
      <w:lvlJc w:val="left"/>
      <w:pPr>
        <w:ind w:left="1440" w:hanging="180"/>
      </w:pPr>
      <w:rPr>
        <w:rFonts w:ascii="Symbol" w:hAnsi="Symbol" w:hint="default"/>
      </w:rPr>
    </w:lvl>
    <w:lvl w:ilvl="2" w:tplc="571C4702">
      <w:numFmt w:val="decimal"/>
      <w:lvlText w:val=""/>
      <w:lvlJc w:val="left"/>
    </w:lvl>
    <w:lvl w:ilvl="3" w:tplc="9A52DC58">
      <w:numFmt w:val="decimal"/>
      <w:lvlText w:val=""/>
      <w:lvlJc w:val="left"/>
    </w:lvl>
    <w:lvl w:ilvl="4" w:tplc="9EA0EAE0">
      <w:numFmt w:val="decimal"/>
      <w:lvlText w:val=""/>
      <w:lvlJc w:val="left"/>
    </w:lvl>
    <w:lvl w:ilvl="5" w:tplc="373E8D9A">
      <w:numFmt w:val="decimal"/>
      <w:lvlText w:val=""/>
      <w:lvlJc w:val="left"/>
    </w:lvl>
    <w:lvl w:ilvl="6" w:tplc="C43018C0">
      <w:numFmt w:val="decimal"/>
      <w:lvlText w:val=""/>
      <w:lvlJc w:val="left"/>
    </w:lvl>
    <w:lvl w:ilvl="7" w:tplc="061A9528">
      <w:numFmt w:val="decimal"/>
      <w:lvlText w:val=""/>
      <w:lvlJc w:val="left"/>
    </w:lvl>
    <w:lvl w:ilvl="8" w:tplc="A2FAE23A">
      <w:numFmt w:val="decimal"/>
      <w:lvlText w:val=""/>
      <w:lvlJc w:val="left"/>
    </w:lvl>
  </w:abstractNum>
  <w:abstractNum w:abstractNumId="927" w15:restartNumberingAfterBreak="0">
    <w:nsid w:val="647A6217"/>
    <w:multiLevelType w:val="hybridMultilevel"/>
    <w:tmpl w:val="A7EC7840"/>
    <w:lvl w:ilvl="0" w:tplc="CE589EC0">
      <w:start w:val="1"/>
      <w:numFmt w:val="bullet"/>
      <w:lvlText w:val=""/>
      <w:lvlJc w:val="left"/>
      <w:pPr>
        <w:ind w:left="720" w:hanging="180"/>
      </w:pPr>
      <w:rPr>
        <w:rFonts w:ascii="Symbol" w:hAnsi="Symbol" w:hint="default"/>
      </w:rPr>
    </w:lvl>
    <w:lvl w:ilvl="1" w:tplc="C11E48C0">
      <w:numFmt w:val="decimal"/>
      <w:lvlText w:val=""/>
      <w:lvlJc w:val="left"/>
    </w:lvl>
    <w:lvl w:ilvl="2" w:tplc="42E48D9E">
      <w:numFmt w:val="decimal"/>
      <w:lvlText w:val=""/>
      <w:lvlJc w:val="left"/>
    </w:lvl>
    <w:lvl w:ilvl="3" w:tplc="705C036E">
      <w:numFmt w:val="decimal"/>
      <w:lvlText w:val=""/>
      <w:lvlJc w:val="left"/>
    </w:lvl>
    <w:lvl w:ilvl="4" w:tplc="FA460744">
      <w:numFmt w:val="decimal"/>
      <w:lvlText w:val=""/>
      <w:lvlJc w:val="left"/>
    </w:lvl>
    <w:lvl w:ilvl="5" w:tplc="FD4C0474">
      <w:numFmt w:val="decimal"/>
      <w:lvlText w:val=""/>
      <w:lvlJc w:val="left"/>
    </w:lvl>
    <w:lvl w:ilvl="6" w:tplc="32FE97A4">
      <w:numFmt w:val="decimal"/>
      <w:lvlText w:val=""/>
      <w:lvlJc w:val="left"/>
    </w:lvl>
    <w:lvl w:ilvl="7" w:tplc="07DAA564">
      <w:numFmt w:val="decimal"/>
      <w:lvlText w:val=""/>
      <w:lvlJc w:val="left"/>
    </w:lvl>
    <w:lvl w:ilvl="8" w:tplc="90487D8C">
      <w:numFmt w:val="decimal"/>
      <w:lvlText w:val=""/>
      <w:lvlJc w:val="left"/>
    </w:lvl>
  </w:abstractNum>
  <w:abstractNum w:abstractNumId="928" w15:restartNumberingAfterBreak="0">
    <w:nsid w:val="647D5AA3"/>
    <w:multiLevelType w:val="hybridMultilevel"/>
    <w:tmpl w:val="DD3AA7A4"/>
    <w:lvl w:ilvl="0" w:tplc="E6C019D2">
      <w:start w:val="1"/>
      <w:numFmt w:val="bullet"/>
      <w:lvlText w:val=""/>
      <w:lvlJc w:val="left"/>
      <w:pPr>
        <w:ind w:left="720" w:hanging="180"/>
      </w:pPr>
      <w:rPr>
        <w:rFonts w:ascii="Symbol" w:hAnsi="Symbol" w:hint="default"/>
      </w:rPr>
    </w:lvl>
    <w:lvl w:ilvl="1" w:tplc="DF82116E">
      <w:numFmt w:val="decimal"/>
      <w:lvlText w:val=""/>
      <w:lvlJc w:val="left"/>
    </w:lvl>
    <w:lvl w:ilvl="2" w:tplc="11CC14BC">
      <w:numFmt w:val="decimal"/>
      <w:lvlText w:val=""/>
      <w:lvlJc w:val="left"/>
    </w:lvl>
    <w:lvl w:ilvl="3" w:tplc="E3024542">
      <w:numFmt w:val="decimal"/>
      <w:lvlText w:val=""/>
      <w:lvlJc w:val="left"/>
    </w:lvl>
    <w:lvl w:ilvl="4" w:tplc="6FB00C4E">
      <w:numFmt w:val="decimal"/>
      <w:lvlText w:val=""/>
      <w:lvlJc w:val="left"/>
    </w:lvl>
    <w:lvl w:ilvl="5" w:tplc="4C4EC568">
      <w:numFmt w:val="decimal"/>
      <w:lvlText w:val=""/>
      <w:lvlJc w:val="left"/>
    </w:lvl>
    <w:lvl w:ilvl="6" w:tplc="A3C8BED2">
      <w:numFmt w:val="decimal"/>
      <w:lvlText w:val=""/>
      <w:lvlJc w:val="left"/>
    </w:lvl>
    <w:lvl w:ilvl="7" w:tplc="36F23ADE">
      <w:numFmt w:val="decimal"/>
      <w:lvlText w:val=""/>
      <w:lvlJc w:val="left"/>
    </w:lvl>
    <w:lvl w:ilvl="8" w:tplc="D73EF39C">
      <w:numFmt w:val="decimal"/>
      <w:lvlText w:val=""/>
      <w:lvlJc w:val="left"/>
    </w:lvl>
  </w:abstractNum>
  <w:abstractNum w:abstractNumId="929" w15:restartNumberingAfterBreak="0">
    <w:nsid w:val="649027D1"/>
    <w:multiLevelType w:val="hybridMultilevel"/>
    <w:tmpl w:val="8F761942"/>
    <w:lvl w:ilvl="0" w:tplc="4A0896D8">
      <w:start w:val="1"/>
      <w:numFmt w:val="bullet"/>
      <w:lvlText w:val=""/>
      <w:lvlJc w:val="left"/>
      <w:pPr>
        <w:ind w:left="720" w:hanging="180"/>
      </w:pPr>
      <w:rPr>
        <w:rFonts w:ascii="Symbol" w:hAnsi="Symbol" w:hint="default"/>
      </w:rPr>
    </w:lvl>
    <w:lvl w:ilvl="1" w:tplc="8392E48C">
      <w:numFmt w:val="decimal"/>
      <w:lvlText w:val=""/>
      <w:lvlJc w:val="left"/>
    </w:lvl>
    <w:lvl w:ilvl="2" w:tplc="7F24F0A6">
      <w:numFmt w:val="decimal"/>
      <w:lvlText w:val=""/>
      <w:lvlJc w:val="left"/>
    </w:lvl>
    <w:lvl w:ilvl="3" w:tplc="B0CE7B0C">
      <w:numFmt w:val="decimal"/>
      <w:lvlText w:val=""/>
      <w:lvlJc w:val="left"/>
    </w:lvl>
    <w:lvl w:ilvl="4" w:tplc="D7DEEE18">
      <w:numFmt w:val="decimal"/>
      <w:lvlText w:val=""/>
      <w:lvlJc w:val="left"/>
    </w:lvl>
    <w:lvl w:ilvl="5" w:tplc="A5486EEC">
      <w:numFmt w:val="decimal"/>
      <w:lvlText w:val=""/>
      <w:lvlJc w:val="left"/>
    </w:lvl>
    <w:lvl w:ilvl="6" w:tplc="E3BEA8F8">
      <w:numFmt w:val="decimal"/>
      <w:lvlText w:val=""/>
      <w:lvlJc w:val="left"/>
    </w:lvl>
    <w:lvl w:ilvl="7" w:tplc="CB2E2026">
      <w:numFmt w:val="decimal"/>
      <w:lvlText w:val=""/>
      <w:lvlJc w:val="left"/>
    </w:lvl>
    <w:lvl w:ilvl="8" w:tplc="BB4CD146">
      <w:numFmt w:val="decimal"/>
      <w:lvlText w:val=""/>
      <w:lvlJc w:val="left"/>
    </w:lvl>
  </w:abstractNum>
  <w:abstractNum w:abstractNumId="930" w15:restartNumberingAfterBreak="0">
    <w:nsid w:val="6492068A"/>
    <w:multiLevelType w:val="hybridMultilevel"/>
    <w:tmpl w:val="F6408B5E"/>
    <w:lvl w:ilvl="0" w:tplc="1BB2DD90">
      <w:start w:val="1"/>
      <w:numFmt w:val="bullet"/>
      <w:lvlText w:val=""/>
      <w:lvlJc w:val="left"/>
      <w:pPr>
        <w:ind w:left="720" w:hanging="180"/>
      </w:pPr>
      <w:rPr>
        <w:rFonts w:ascii="Symbol" w:hAnsi="Symbol" w:hint="default"/>
      </w:rPr>
    </w:lvl>
    <w:lvl w:ilvl="1" w:tplc="9DCACCFE">
      <w:numFmt w:val="decimal"/>
      <w:lvlText w:val=""/>
      <w:lvlJc w:val="left"/>
    </w:lvl>
    <w:lvl w:ilvl="2" w:tplc="E12C1504">
      <w:numFmt w:val="decimal"/>
      <w:lvlText w:val=""/>
      <w:lvlJc w:val="left"/>
    </w:lvl>
    <w:lvl w:ilvl="3" w:tplc="824861EC">
      <w:numFmt w:val="decimal"/>
      <w:lvlText w:val=""/>
      <w:lvlJc w:val="left"/>
    </w:lvl>
    <w:lvl w:ilvl="4" w:tplc="058E6F30">
      <w:numFmt w:val="decimal"/>
      <w:lvlText w:val=""/>
      <w:lvlJc w:val="left"/>
    </w:lvl>
    <w:lvl w:ilvl="5" w:tplc="FCEA4E2C">
      <w:numFmt w:val="decimal"/>
      <w:lvlText w:val=""/>
      <w:lvlJc w:val="left"/>
    </w:lvl>
    <w:lvl w:ilvl="6" w:tplc="54466976">
      <w:numFmt w:val="decimal"/>
      <w:lvlText w:val=""/>
      <w:lvlJc w:val="left"/>
    </w:lvl>
    <w:lvl w:ilvl="7" w:tplc="5A8E8338">
      <w:numFmt w:val="decimal"/>
      <w:lvlText w:val=""/>
      <w:lvlJc w:val="left"/>
    </w:lvl>
    <w:lvl w:ilvl="8" w:tplc="9866F6D2">
      <w:numFmt w:val="decimal"/>
      <w:lvlText w:val=""/>
      <w:lvlJc w:val="left"/>
    </w:lvl>
  </w:abstractNum>
  <w:abstractNum w:abstractNumId="931" w15:restartNumberingAfterBreak="0">
    <w:nsid w:val="64957A94"/>
    <w:multiLevelType w:val="hybridMultilevel"/>
    <w:tmpl w:val="9E9AF7D6"/>
    <w:lvl w:ilvl="0" w:tplc="9496A77A">
      <w:start w:val="1"/>
      <w:numFmt w:val="bullet"/>
      <w:lvlText w:val=""/>
      <w:lvlJc w:val="left"/>
      <w:pPr>
        <w:ind w:left="720" w:hanging="180"/>
      </w:pPr>
      <w:rPr>
        <w:rFonts w:ascii="Symbol" w:hAnsi="Symbol" w:hint="default"/>
      </w:rPr>
    </w:lvl>
    <w:lvl w:ilvl="1" w:tplc="81BA502C">
      <w:numFmt w:val="decimal"/>
      <w:lvlText w:val=""/>
      <w:lvlJc w:val="left"/>
    </w:lvl>
    <w:lvl w:ilvl="2" w:tplc="3ADEB7FE">
      <w:numFmt w:val="decimal"/>
      <w:lvlText w:val=""/>
      <w:lvlJc w:val="left"/>
    </w:lvl>
    <w:lvl w:ilvl="3" w:tplc="155A9434">
      <w:numFmt w:val="decimal"/>
      <w:lvlText w:val=""/>
      <w:lvlJc w:val="left"/>
    </w:lvl>
    <w:lvl w:ilvl="4" w:tplc="3D1262AA">
      <w:numFmt w:val="decimal"/>
      <w:lvlText w:val=""/>
      <w:lvlJc w:val="left"/>
    </w:lvl>
    <w:lvl w:ilvl="5" w:tplc="9F8EAB22">
      <w:numFmt w:val="decimal"/>
      <w:lvlText w:val=""/>
      <w:lvlJc w:val="left"/>
    </w:lvl>
    <w:lvl w:ilvl="6" w:tplc="D8E68648">
      <w:numFmt w:val="decimal"/>
      <w:lvlText w:val=""/>
      <w:lvlJc w:val="left"/>
    </w:lvl>
    <w:lvl w:ilvl="7" w:tplc="0A5CE8F4">
      <w:numFmt w:val="decimal"/>
      <w:lvlText w:val=""/>
      <w:lvlJc w:val="left"/>
    </w:lvl>
    <w:lvl w:ilvl="8" w:tplc="6E6A7324">
      <w:numFmt w:val="decimal"/>
      <w:lvlText w:val=""/>
      <w:lvlJc w:val="left"/>
    </w:lvl>
  </w:abstractNum>
  <w:abstractNum w:abstractNumId="932" w15:restartNumberingAfterBreak="0">
    <w:nsid w:val="649625B1"/>
    <w:multiLevelType w:val="hybridMultilevel"/>
    <w:tmpl w:val="6C243772"/>
    <w:lvl w:ilvl="0" w:tplc="A246C3F2">
      <w:start w:val="1"/>
      <w:numFmt w:val="bullet"/>
      <w:lvlText w:val=""/>
      <w:lvlJc w:val="left"/>
      <w:pPr>
        <w:ind w:left="720" w:hanging="180"/>
      </w:pPr>
      <w:rPr>
        <w:rFonts w:ascii="Symbol" w:hAnsi="Symbol" w:hint="default"/>
      </w:rPr>
    </w:lvl>
    <w:lvl w:ilvl="1" w:tplc="C9BEFE1E">
      <w:numFmt w:val="decimal"/>
      <w:lvlText w:val=""/>
      <w:lvlJc w:val="left"/>
    </w:lvl>
    <w:lvl w:ilvl="2" w:tplc="8C32CF2A">
      <w:numFmt w:val="decimal"/>
      <w:lvlText w:val=""/>
      <w:lvlJc w:val="left"/>
    </w:lvl>
    <w:lvl w:ilvl="3" w:tplc="06D8FD8E">
      <w:numFmt w:val="decimal"/>
      <w:lvlText w:val=""/>
      <w:lvlJc w:val="left"/>
    </w:lvl>
    <w:lvl w:ilvl="4" w:tplc="F4C864A4">
      <w:numFmt w:val="decimal"/>
      <w:lvlText w:val=""/>
      <w:lvlJc w:val="left"/>
    </w:lvl>
    <w:lvl w:ilvl="5" w:tplc="81A8A7F8">
      <w:numFmt w:val="decimal"/>
      <w:lvlText w:val=""/>
      <w:lvlJc w:val="left"/>
    </w:lvl>
    <w:lvl w:ilvl="6" w:tplc="420AED20">
      <w:numFmt w:val="decimal"/>
      <w:lvlText w:val=""/>
      <w:lvlJc w:val="left"/>
    </w:lvl>
    <w:lvl w:ilvl="7" w:tplc="8D6294A4">
      <w:numFmt w:val="decimal"/>
      <w:lvlText w:val=""/>
      <w:lvlJc w:val="left"/>
    </w:lvl>
    <w:lvl w:ilvl="8" w:tplc="C76C31E0">
      <w:numFmt w:val="decimal"/>
      <w:lvlText w:val=""/>
      <w:lvlJc w:val="left"/>
    </w:lvl>
  </w:abstractNum>
  <w:abstractNum w:abstractNumId="933" w15:restartNumberingAfterBreak="0">
    <w:nsid w:val="64B658B2"/>
    <w:multiLevelType w:val="hybridMultilevel"/>
    <w:tmpl w:val="C5F27282"/>
    <w:lvl w:ilvl="0" w:tplc="810C3122">
      <w:start w:val="1"/>
      <w:numFmt w:val="bullet"/>
      <w:lvlText w:val=""/>
      <w:lvlJc w:val="left"/>
      <w:pPr>
        <w:ind w:left="720" w:hanging="180"/>
      </w:pPr>
      <w:rPr>
        <w:rFonts w:ascii="Symbol" w:hAnsi="Symbol" w:hint="default"/>
      </w:rPr>
    </w:lvl>
    <w:lvl w:ilvl="1" w:tplc="63AE9B10">
      <w:numFmt w:val="decimal"/>
      <w:lvlText w:val=""/>
      <w:lvlJc w:val="left"/>
    </w:lvl>
    <w:lvl w:ilvl="2" w:tplc="40CEA31C">
      <w:numFmt w:val="decimal"/>
      <w:lvlText w:val=""/>
      <w:lvlJc w:val="left"/>
    </w:lvl>
    <w:lvl w:ilvl="3" w:tplc="09AA012A">
      <w:numFmt w:val="decimal"/>
      <w:lvlText w:val=""/>
      <w:lvlJc w:val="left"/>
    </w:lvl>
    <w:lvl w:ilvl="4" w:tplc="0CEAAC8A">
      <w:numFmt w:val="decimal"/>
      <w:lvlText w:val=""/>
      <w:lvlJc w:val="left"/>
    </w:lvl>
    <w:lvl w:ilvl="5" w:tplc="9F1C6246">
      <w:numFmt w:val="decimal"/>
      <w:lvlText w:val=""/>
      <w:lvlJc w:val="left"/>
    </w:lvl>
    <w:lvl w:ilvl="6" w:tplc="9FDA17AC">
      <w:numFmt w:val="decimal"/>
      <w:lvlText w:val=""/>
      <w:lvlJc w:val="left"/>
    </w:lvl>
    <w:lvl w:ilvl="7" w:tplc="8410BEF8">
      <w:numFmt w:val="decimal"/>
      <w:lvlText w:val=""/>
      <w:lvlJc w:val="left"/>
    </w:lvl>
    <w:lvl w:ilvl="8" w:tplc="E0025246">
      <w:numFmt w:val="decimal"/>
      <w:lvlText w:val=""/>
      <w:lvlJc w:val="left"/>
    </w:lvl>
  </w:abstractNum>
  <w:abstractNum w:abstractNumId="934" w15:restartNumberingAfterBreak="0">
    <w:nsid w:val="64B660E3"/>
    <w:multiLevelType w:val="hybridMultilevel"/>
    <w:tmpl w:val="5B72B622"/>
    <w:lvl w:ilvl="0" w:tplc="D62E37BC">
      <w:start w:val="1"/>
      <w:numFmt w:val="bullet"/>
      <w:lvlText w:val=""/>
      <w:lvlJc w:val="left"/>
      <w:pPr>
        <w:ind w:left="720" w:hanging="180"/>
      </w:pPr>
      <w:rPr>
        <w:rFonts w:ascii="Symbol" w:hAnsi="Symbol" w:hint="default"/>
      </w:rPr>
    </w:lvl>
    <w:lvl w:ilvl="1" w:tplc="A6E09188">
      <w:numFmt w:val="decimal"/>
      <w:lvlText w:val=""/>
      <w:lvlJc w:val="left"/>
    </w:lvl>
    <w:lvl w:ilvl="2" w:tplc="84A88DFE">
      <w:numFmt w:val="decimal"/>
      <w:lvlText w:val=""/>
      <w:lvlJc w:val="left"/>
    </w:lvl>
    <w:lvl w:ilvl="3" w:tplc="CAA493AA">
      <w:numFmt w:val="decimal"/>
      <w:lvlText w:val=""/>
      <w:lvlJc w:val="left"/>
    </w:lvl>
    <w:lvl w:ilvl="4" w:tplc="8C982D12">
      <w:numFmt w:val="decimal"/>
      <w:lvlText w:val=""/>
      <w:lvlJc w:val="left"/>
    </w:lvl>
    <w:lvl w:ilvl="5" w:tplc="533EC800">
      <w:numFmt w:val="decimal"/>
      <w:lvlText w:val=""/>
      <w:lvlJc w:val="left"/>
    </w:lvl>
    <w:lvl w:ilvl="6" w:tplc="3B78CFB6">
      <w:numFmt w:val="decimal"/>
      <w:lvlText w:val=""/>
      <w:lvlJc w:val="left"/>
    </w:lvl>
    <w:lvl w:ilvl="7" w:tplc="F6F48B1A">
      <w:numFmt w:val="decimal"/>
      <w:lvlText w:val=""/>
      <w:lvlJc w:val="left"/>
    </w:lvl>
    <w:lvl w:ilvl="8" w:tplc="D1DEDB12">
      <w:numFmt w:val="decimal"/>
      <w:lvlText w:val=""/>
      <w:lvlJc w:val="left"/>
    </w:lvl>
  </w:abstractNum>
  <w:abstractNum w:abstractNumId="935" w15:restartNumberingAfterBreak="0">
    <w:nsid w:val="64C35132"/>
    <w:multiLevelType w:val="hybridMultilevel"/>
    <w:tmpl w:val="7AF21EA8"/>
    <w:lvl w:ilvl="0" w:tplc="752A6F34">
      <w:start w:val="1"/>
      <w:numFmt w:val="bullet"/>
      <w:lvlText w:val=""/>
      <w:lvlJc w:val="left"/>
      <w:pPr>
        <w:ind w:left="720" w:hanging="180"/>
      </w:pPr>
      <w:rPr>
        <w:rFonts w:ascii="Symbol" w:hAnsi="Symbol" w:hint="default"/>
      </w:rPr>
    </w:lvl>
    <w:lvl w:ilvl="1" w:tplc="9D3A650E">
      <w:numFmt w:val="decimal"/>
      <w:lvlText w:val=""/>
      <w:lvlJc w:val="left"/>
    </w:lvl>
    <w:lvl w:ilvl="2" w:tplc="39FCDA80">
      <w:numFmt w:val="decimal"/>
      <w:lvlText w:val=""/>
      <w:lvlJc w:val="left"/>
    </w:lvl>
    <w:lvl w:ilvl="3" w:tplc="1A045642">
      <w:numFmt w:val="decimal"/>
      <w:lvlText w:val=""/>
      <w:lvlJc w:val="left"/>
    </w:lvl>
    <w:lvl w:ilvl="4" w:tplc="9F6EDE2A">
      <w:numFmt w:val="decimal"/>
      <w:lvlText w:val=""/>
      <w:lvlJc w:val="left"/>
    </w:lvl>
    <w:lvl w:ilvl="5" w:tplc="A2BC8AD6">
      <w:numFmt w:val="decimal"/>
      <w:lvlText w:val=""/>
      <w:lvlJc w:val="left"/>
    </w:lvl>
    <w:lvl w:ilvl="6" w:tplc="947CE82E">
      <w:numFmt w:val="decimal"/>
      <w:lvlText w:val=""/>
      <w:lvlJc w:val="left"/>
    </w:lvl>
    <w:lvl w:ilvl="7" w:tplc="C2E68836">
      <w:numFmt w:val="decimal"/>
      <w:lvlText w:val=""/>
      <w:lvlJc w:val="left"/>
    </w:lvl>
    <w:lvl w:ilvl="8" w:tplc="1966D118">
      <w:numFmt w:val="decimal"/>
      <w:lvlText w:val=""/>
      <w:lvlJc w:val="left"/>
    </w:lvl>
  </w:abstractNum>
  <w:abstractNum w:abstractNumId="936" w15:restartNumberingAfterBreak="0">
    <w:nsid w:val="64EF01C1"/>
    <w:multiLevelType w:val="hybridMultilevel"/>
    <w:tmpl w:val="15F49448"/>
    <w:lvl w:ilvl="0" w:tplc="071C2704">
      <w:start w:val="1"/>
      <w:numFmt w:val="bullet"/>
      <w:lvlText w:val=""/>
      <w:lvlJc w:val="left"/>
      <w:pPr>
        <w:ind w:left="720" w:hanging="180"/>
      </w:pPr>
      <w:rPr>
        <w:rFonts w:ascii="Symbol" w:hAnsi="Symbol" w:hint="default"/>
      </w:rPr>
    </w:lvl>
    <w:lvl w:ilvl="1" w:tplc="3D7C216E">
      <w:numFmt w:val="decimal"/>
      <w:lvlText w:val=""/>
      <w:lvlJc w:val="left"/>
    </w:lvl>
    <w:lvl w:ilvl="2" w:tplc="CB3C6E6C">
      <w:numFmt w:val="decimal"/>
      <w:lvlText w:val=""/>
      <w:lvlJc w:val="left"/>
    </w:lvl>
    <w:lvl w:ilvl="3" w:tplc="A9943390">
      <w:numFmt w:val="decimal"/>
      <w:lvlText w:val=""/>
      <w:lvlJc w:val="left"/>
    </w:lvl>
    <w:lvl w:ilvl="4" w:tplc="642C83BA">
      <w:numFmt w:val="decimal"/>
      <w:lvlText w:val=""/>
      <w:lvlJc w:val="left"/>
    </w:lvl>
    <w:lvl w:ilvl="5" w:tplc="F3C0A49E">
      <w:numFmt w:val="decimal"/>
      <w:lvlText w:val=""/>
      <w:lvlJc w:val="left"/>
    </w:lvl>
    <w:lvl w:ilvl="6" w:tplc="ABE858F6">
      <w:numFmt w:val="decimal"/>
      <w:lvlText w:val=""/>
      <w:lvlJc w:val="left"/>
    </w:lvl>
    <w:lvl w:ilvl="7" w:tplc="67FCB1E0">
      <w:numFmt w:val="decimal"/>
      <w:lvlText w:val=""/>
      <w:lvlJc w:val="left"/>
    </w:lvl>
    <w:lvl w:ilvl="8" w:tplc="7F08E278">
      <w:numFmt w:val="decimal"/>
      <w:lvlText w:val=""/>
      <w:lvlJc w:val="left"/>
    </w:lvl>
  </w:abstractNum>
  <w:abstractNum w:abstractNumId="937" w15:restartNumberingAfterBreak="0">
    <w:nsid w:val="650F2F62"/>
    <w:multiLevelType w:val="hybridMultilevel"/>
    <w:tmpl w:val="013A814E"/>
    <w:lvl w:ilvl="0" w:tplc="0CAA3638">
      <w:start w:val="1"/>
      <w:numFmt w:val="bullet"/>
      <w:lvlText w:val=""/>
      <w:lvlJc w:val="left"/>
      <w:pPr>
        <w:ind w:left="720" w:hanging="180"/>
      </w:pPr>
      <w:rPr>
        <w:rFonts w:ascii="Symbol" w:hAnsi="Symbol" w:hint="default"/>
      </w:rPr>
    </w:lvl>
    <w:lvl w:ilvl="1" w:tplc="8AF45E82">
      <w:numFmt w:val="decimal"/>
      <w:lvlText w:val=""/>
      <w:lvlJc w:val="left"/>
    </w:lvl>
    <w:lvl w:ilvl="2" w:tplc="224AB258">
      <w:numFmt w:val="decimal"/>
      <w:lvlText w:val=""/>
      <w:lvlJc w:val="left"/>
    </w:lvl>
    <w:lvl w:ilvl="3" w:tplc="7DF0EFF8">
      <w:numFmt w:val="decimal"/>
      <w:lvlText w:val=""/>
      <w:lvlJc w:val="left"/>
    </w:lvl>
    <w:lvl w:ilvl="4" w:tplc="B38EF016">
      <w:numFmt w:val="decimal"/>
      <w:lvlText w:val=""/>
      <w:lvlJc w:val="left"/>
    </w:lvl>
    <w:lvl w:ilvl="5" w:tplc="2C621010">
      <w:numFmt w:val="decimal"/>
      <w:lvlText w:val=""/>
      <w:lvlJc w:val="left"/>
    </w:lvl>
    <w:lvl w:ilvl="6" w:tplc="7A8E077A">
      <w:numFmt w:val="decimal"/>
      <w:lvlText w:val=""/>
      <w:lvlJc w:val="left"/>
    </w:lvl>
    <w:lvl w:ilvl="7" w:tplc="53A67F6A">
      <w:numFmt w:val="decimal"/>
      <w:lvlText w:val=""/>
      <w:lvlJc w:val="left"/>
    </w:lvl>
    <w:lvl w:ilvl="8" w:tplc="A0FA382C">
      <w:numFmt w:val="decimal"/>
      <w:lvlText w:val=""/>
      <w:lvlJc w:val="left"/>
    </w:lvl>
  </w:abstractNum>
  <w:abstractNum w:abstractNumId="938" w15:restartNumberingAfterBreak="0">
    <w:nsid w:val="65192EE9"/>
    <w:multiLevelType w:val="hybridMultilevel"/>
    <w:tmpl w:val="A8B26678"/>
    <w:lvl w:ilvl="0" w:tplc="9BA482E6">
      <w:start w:val="1"/>
      <w:numFmt w:val="bullet"/>
      <w:lvlText w:val=""/>
      <w:lvlJc w:val="left"/>
      <w:pPr>
        <w:ind w:left="720" w:hanging="180"/>
      </w:pPr>
      <w:rPr>
        <w:rFonts w:ascii="Symbol" w:hAnsi="Symbol" w:hint="default"/>
      </w:rPr>
    </w:lvl>
    <w:lvl w:ilvl="1" w:tplc="29980876">
      <w:numFmt w:val="decimal"/>
      <w:lvlText w:val=""/>
      <w:lvlJc w:val="left"/>
    </w:lvl>
    <w:lvl w:ilvl="2" w:tplc="181AEF6E">
      <w:numFmt w:val="decimal"/>
      <w:lvlText w:val=""/>
      <w:lvlJc w:val="left"/>
    </w:lvl>
    <w:lvl w:ilvl="3" w:tplc="F5568E2C">
      <w:numFmt w:val="decimal"/>
      <w:lvlText w:val=""/>
      <w:lvlJc w:val="left"/>
    </w:lvl>
    <w:lvl w:ilvl="4" w:tplc="A59AB0A0">
      <w:numFmt w:val="decimal"/>
      <w:lvlText w:val=""/>
      <w:lvlJc w:val="left"/>
    </w:lvl>
    <w:lvl w:ilvl="5" w:tplc="81BCA442">
      <w:numFmt w:val="decimal"/>
      <w:lvlText w:val=""/>
      <w:lvlJc w:val="left"/>
    </w:lvl>
    <w:lvl w:ilvl="6" w:tplc="1D0A5CD2">
      <w:numFmt w:val="decimal"/>
      <w:lvlText w:val=""/>
      <w:lvlJc w:val="left"/>
    </w:lvl>
    <w:lvl w:ilvl="7" w:tplc="4A4EE370">
      <w:numFmt w:val="decimal"/>
      <w:lvlText w:val=""/>
      <w:lvlJc w:val="left"/>
    </w:lvl>
    <w:lvl w:ilvl="8" w:tplc="D3DAC81E">
      <w:numFmt w:val="decimal"/>
      <w:lvlText w:val=""/>
      <w:lvlJc w:val="left"/>
    </w:lvl>
  </w:abstractNum>
  <w:abstractNum w:abstractNumId="939" w15:restartNumberingAfterBreak="0">
    <w:nsid w:val="652C20A3"/>
    <w:multiLevelType w:val="hybridMultilevel"/>
    <w:tmpl w:val="9C10B6F2"/>
    <w:lvl w:ilvl="0" w:tplc="E04EBAC0">
      <w:start w:val="1"/>
      <w:numFmt w:val="bullet"/>
      <w:lvlText w:val=""/>
      <w:lvlJc w:val="left"/>
      <w:pPr>
        <w:ind w:left="720" w:hanging="180"/>
      </w:pPr>
      <w:rPr>
        <w:rFonts w:ascii="Symbol" w:hAnsi="Symbol" w:hint="default"/>
      </w:rPr>
    </w:lvl>
    <w:lvl w:ilvl="1" w:tplc="CFF22A50">
      <w:numFmt w:val="decimal"/>
      <w:lvlText w:val=""/>
      <w:lvlJc w:val="left"/>
    </w:lvl>
    <w:lvl w:ilvl="2" w:tplc="B832E9A0">
      <w:numFmt w:val="decimal"/>
      <w:lvlText w:val=""/>
      <w:lvlJc w:val="left"/>
    </w:lvl>
    <w:lvl w:ilvl="3" w:tplc="330A4EA4">
      <w:numFmt w:val="decimal"/>
      <w:lvlText w:val=""/>
      <w:lvlJc w:val="left"/>
    </w:lvl>
    <w:lvl w:ilvl="4" w:tplc="6936BDB2">
      <w:numFmt w:val="decimal"/>
      <w:lvlText w:val=""/>
      <w:lvlJc w:val="left"/>
    </w:lvl>
    <w:lvl w:ilvl="5" w:tplc="FD8C875E">
      <w:numFmt w:val="decimal"/>
      <w:lvlText w:val=""/>
      <w:lvlJc w:val="left"/>
    </w:lvl>
    <w:lvl w:ilvl="6" w:tplc="AE00D19C">
      <w:numFmt w:val="decimal"/>
      <w:lvlText w:val=""/>
      <w:lvlJc w:val="left"/>
    </w:lvl>
    <w:lvl w:ilvl="7" w:tplc="C714C2D8">
      <w:numFmt w:val="decimal"/>
      <w:lvlText w:val=""/>
      <w:lvlJc w:val="left"/>
    </w:lvl>
    <w:lvl w:ilvl="8" w:tplc="7B54CBF0">
      <w:numFmt w:val="decimal"/>
      <w:lvlText w:val=""/>
      <w:lvlJc w:val="left"/>
    </w:lvl>
  </w:abstractNum>
  <w:abstractNum w:abstractNumId="940" w15:restartNumberingAfterBreak="0">
    <w:nsid w:val="652F08CC"/>
    <w:multiLevelType w:val="hybridMultilevel"/>
    <w:tmpl w:val="54360E40"/>
    <w:lvl w:ilvl="0" w:tplc="06F8AECA">
      <w:start w:val="1"/>
      <w:numFmt w:val="bullet"/>
      <w:lvlText w:val=""/>
      <w:lvlJc w:val="left"/>
      <w:pPr>
        <w:ind w:left="720" w:hanging="180"/>
      </w:pPr>
      <w:rPr>
        <w:rFonts w:ascii="Symbol" w:hAnsi="Symbol" w:hint="default"/>
      </w:rPr>
    </w:lvl>
    <w:lvl w:ilvl="1" w:tplc="F0269C4A">
      <w:numFmt w:val="decimal"/>
      <w:lvlText w:val=""/>
      <w:lvlJc w:val="left"/>
    </w:lvl>
    <w:lvl w:ilvl="2" w:tplc="400C9A9E">
      <w:numFmt w:val="decimal"/>
      <w:lvlText w:val=""/>
      <w:lvlJc w:val="left"/>
    </w:lvl>
    <w:lvl w:ilvl="3" w:tplc="20663F84">
      <w:numFmt w:val="decimal"/>
      <w:lvlText w:val=""/>
      <w:lvlJc w:val="left"/>
    </w:lvl>
    <w:lvl w:ilvl="4" w:tplc="08C6186A">
      <w:numFmt w:val="decimal"/>
      <w:lvlText w:val=""/>
      <w:lvlJc w:val="left"/>
    </w:lvl>
    <w:lvl w:ilvl="5" w:tplc="EE7A4D06">
      <w:numFmt w:val="decimal"/>
      <w:lvlText w:val=""/>
      <w:lvlJc w:val="left"/>
    </w:lvl>
    <w:lvl w:ilvl="6" w:tplc="332C6C4C">
      <w:numFmt w:val="decimal"/>
      <w:lvlText w:val=""/>
      <w:lvlJc w:val="left"/>
    </w:lvl>
    <w:lvl w:ilvl="7" w:tplc="F6E4368E">
      <w:numFmt w:val="decimal"/>
      <w:lvlText w:val=""/>
      <w:lvlJc w:val="left"/>
    </w:lvl>
    <w:lvl w:ilvl="8" w:tplc="380CA03C">
      <w:numFmt w:val="decimal"/>
      <w:lvlText w:val=""/>
      <w:lvlJc w:val="left"/>
    </w:lvl>
  </w:abstractNum>
  <w:abstractNum w:abstractNumId="941" w15:restartNumberingAfterBreak="0">
    <w:nsid w:val="65386005"/>
    <w:multiLevelType w:val="hybridMultilevel"/>
    <w:tmpl w:val="D5D867F0"/>
    <w:lvl w:ilvl="0" w:tplc="FF841990">
      <w:start w:val="1"/>
      <w:numFmt w:val="bullet"/>
      <w:lvlText w:val=""/>
      <w:lvlJc w:val="left"/>
      <w:pPr>
        <w:ind w:left="720" w:hanging="180"/>
      </w:pPr>
      <w:rPr>
        <w:rFonts w:ascii="Symbol" w:hAnsi="Symbol" w:hint="default"/>
      </w:rPr>
    </w:lvl>
    <w:lvl w:ilvl="1" w:tplc="F8683FD2">
      <w:numFmt w:val="decimal"/>
      <w:lvlText w:val=""/>
      <w:lvlJc w:val="left"/>
    </w:lvl>
    <w:lvl w:ilvl="2" w:tplc="BE50965E">
      <w:numFmt w:val="decimal"/>
      <w:lvlText w:val=""/>
      <w:lvlJc w:val="left"/>
    </w:lvl>
    <w:lvl w:ilvl="3" w:tplc="1A463D96">
      <w:numFmt w:val="decimal"/>
      <w:lvlText w:val=""/>
      <w:lvlJc w:val="left"/>
    </w:lvl>
    <w:lvl w:ilvl="4" w:tplc="FC3C4F46">
      <w:numFmt w:val="decimal"/>
      <w:lvlText w:val=""/>
      <w:lvlJc w:val="left"/>
    </w:lvl>
    <w:lvl w:ilvl="5" w:tplc="A5C4C780">
      <w:numFmt w:val="decimal"/>
      <w:lvlText w:val=""/>
      <w:lvlJc w:val="left"/>
    </w:lvl>
    <w:lvl w:ilvl="6" w:tplc="F7B8DED0">
      <w:numFmt w:val="decimal"/>
      <w:lvlText w:val=""/>
      <w:lvlJc w:val="left"/>
    </w:lvl>
    <w:lvl w:ilvl="7" w:tplc="86B2E382">
      <w:numFmt w:val="decimal"/>
      <w:lvlText w:val=""/>
      <w:lvlJc w:val="left"/>
    </w:lvl>
    <w:lvl w:ilvl="8" w:tplc="A09CFB18">
      <w:numFmt w:val="decimal"/>
      <w:lvlText w:val=""/>
      <w:lvlJc w:val="left"/>
    </w:lvl>
  </w:abstractNum>
  <w:abstractNum w:abstractNumId="942" w15:restartNumberingAfterBreak="0">
    <w:nsid w:val="65437870"/>
    <w:multiLevelType w:val="hybridMultilevel"/>
    <w:tmpl w:val="4C4A39E6"/>
    <w:lvl w:ilvl="0" w:tplc="93942176">
      <w:numFmt w:val="decimal"/>
      <w:lvlText w:val=""/>
      <w:lvlJc w:val="left"/>
    </w:lvl>
    <w:lvl w:ilvl="1" w:tplc="23BA027C">
      <w:start w:val="1"/>
      <w:numFmt w:val="bullet"/>
      <w:lvlText w:val=""/>
      <w:lvlJc w:val="left"/>
      <w:pPr>
        <w:ind w:left="1440" w:hanging="180"/>
      </w:pPr>
      <w:rPr>
        <w:rFonts w:ascii="Symbol" w:hAnsi="Symbol" w:hint="default"/>
      </w:rPr>
    </w:lvl>
    <w:lvl w:ilvl="2" w:tplc="C46A88BE">
      <w:numFmt w:val="decimal"/>
      <w:lvlText w:val=""/>
      <w:lvlJc w:val="left"/>
    </w:lvl>
    <w:lvl w:ilvl="3" w:tplc="65C23ED6">
      <w:numFmt w:val="decimal"/>
      <w:lvlText w:val=""/>
      <w:lvlJc w:val="left"/>
    </w:lvl>
    <w:lvl w:ilvl="4" w:tplc="ED72B73E">
      <w:numFmt w:val="decimal"/>
      <w:lvlText w:val=""/>
      <w:lvlJc w:val="left"/>
    </w:lvl>
    <w:lvl w:ilvl="5" w:tplc="6340F1CA">
      <w:numFmt w:val="decimal"/>
      <w:lvlText w:val=""/>
      <w:lvlJc w:val="left"/>
    </w:lvl>
    <w:lvl w:ilvl="6" w:tplc="5456F500">
      <w:numFmt w:val="decimal"/>
      <w:lvlText w:val=""/>
      <w:lvlJc w:val="left"/>
    </w:lvl>
    <w:lvl w:ilvl="7" w:tplc="B9B85E62">
      <w:numFmt w:val="decimal"/>
      <w:lvlText w:val=""/>
      <w:lvlJc w:val="left"/>
    </w:lvl>
    <w:lvl w:ilvl="8" w:tplc="2A9A9DCE">
      <w:numFmt w:val="decimal"/>
      <w:lvlText w:val=""/>
      <w:lvlJc w:val="left"/>
    </w:lvl>
  </w:abstractNum>
  <w:abstractNum w:abstractNumId="943" w15:restartNumberingAfterBreak="0">
    <w:nsid w:val="656175B4"/>
    <w:multiLevelType w:val="hybridMultilevel"/>
    <w:tmpl w:val="8C3428E6"/>
    <w:lvl w:ilvl="0" w:tplc="439C3CAC">
      <w:start w:val="1"/>
      <w:numFmt w:val="bullet"/>
      <w:lvlText w:val=""/>
      <w:lvlJc w:val="left"/>
      <w:pPr>
        <w:ind w:left="720" w:hanging="180"/>
      </w:pPr>
      <w:rPr>
        <w:rFonts w:ascii="Symbol" w:hAnsi="Symbol" w:hint="default"/>
      </w:rPr>
    </w:lvl>
    <w:lvl w:ilvl="1" w:tplc="E24E7040">
      <w:numFmt w:val="decimal"/>
      <w:lvlText w:val=""/>
      <w:lvlJc w:val="left"/>
    </w:lvl>
    <w:lvl w:ilvl="2" w:tplc="C9C0700C">
      <w:numFmt w:val="decimal"/>
      <w:lvlText w:val=""/>
      <w:lvlJc w:val="left"/>
    </w:lvl>
    <w:lvl w:ilvl="3" w:tplc="071892CA">
      <w:numFmt w:val="decimal"/>
      <w:lvlText w:val=""/>
      <w:lvlJc w:val="left"/>
    </w:lvl>
    <w:lvl w:ilvl="4" w:tplc="C8888DE2">
      <w:numFmt w:val="decimal"/>
      <w:lvlText w:val=""/>
      <w:lvlJc w:val="left"/>
    </w:lvl>
    <w:lvl w:ilvl="5" w:tplc="B5609066">
      <w:numFmt w:val="decimal"/>
      <w:lvlText w:val=""/>
      <w:lvlJc w:val="left"/>
    </w:lvl>
    <w:lvl w:ilvl="6" w:tplc="062AD32E">
      <w:numFmt w:val="decimal"/>
      <w:lvlText w:val=""/>
      <w:lvlJc w:val="left"/>
    </w:lvl>
    <w:lvl w:ilvl="7" w:tplc="3A90F5F4">
      <w:numFmt w:val="decimal"/>
      <w:lvlText w:val=""/>
      <w:lvlJc w:val="left"/>
    </w:lvl>
    <w:lvl w:ilvl="8" w:tplc="32BA6076">
      <w:numFmt w:val="decimal"/>
      <w:lvlText w:val=""/>
      <w:lvlJc w:val="left"/>
    </w:lvl>
  </w:abstractNum>
  <w:abstractNum w:abstractNumId="944" w15:restartNumberingAfterBreak="0">
    <w:nsid w:val="65912BD6"/>
    <w:multiLevelType w:val="hybridMultilevel"/>
    <w:tmpl w:val="CC8A53F0"/>
    <w:lvl w:ilvl="0" w:tplc="88BAF04E">
      <w:start w:val="1"/>
      <w:numFmt w:val="bullet"/>
      <w:lvlText w:val=""/>
      <w:lvlJc w:val="left"/>
      <w:pPr>
        <w:ind w:left="720" w:hanging="180"/>
      </w:pPr>
      <w:rPr>
        <w:rFonts w:ascii="Symbol" w:hAnsi="Symbol" w:hint="default"/>
      </w:rPr>
    </w:lvl>
    <w:lvl w:ilvl="1" w:tplc="95488936">
      <w:numFmt w:val="decimal"/>
      <w:lvlText w:val=""/>
      <w:lvlJc w:val="left"/>
    </w:lvl>
    <w:lvl w:ilvl="2" w:tplc="73BC7CC4">
      <w:numFmt w:val="decimal"/>
      <w:lvlText w:val=""/>
      <w:lvlJc w:val="left"/>
    </w:lvl>
    <w:lvl w:ilvl="3" w:tplc="D73259B2">
      <w:numFmt w:val="decimal"/>
      <w:lvlText w:val=""/>
      <w:lvlJc w:val="left"/>
    </w:lvl>
    <w:lvl w:ilvl="4" w:tplc="6E16B01A">
      <w:numFmt w:val="decimal"/>
      <w:lvlText w:val=""/>
      <w:lvlJc w:val="left"/>
    </w:lvl>
    <w:lvl w:ilvl="5" w:tplc="6C0217A0">
      <w:numFmt w:val="decimal"/>
      <w:lvlText w:val=""/>
      <w:lvlJc w:val="left"/>
    </w:lvl>
    <w:lvl w:ilvl="6" w:tplc="9E7EAF18">
      <w:numFmt w:val="decimal"/>
      <w:lvlText w:val=""/>
      <w:lvlJc w:val="left"/>
    </w:lvl>
    <w:lvl w:ilvl="7" w:tplc="D124E53C">
      <w:numFmt w:val="decimal"/>
      <w:lvlText w:val=""/>
      <w:lvlJc w:val="left"/>
    </w:lvl>
    <w:lvl w:ilvl="8" w:tplc="EFEAA2B0">
      <w:numFmt w:val="decimal"/>
      <w:lvlText w:val=""/>
      <w:lvlJc w:val="left"/>
    </w:lvl>
  </w:abstractNum>
  <w:abstractNum w:abstractNumId="945" w15:restartNumberingAfterBreak="0">
    <w:nsid w:val="65CF084F"/>
    <w:multiLevelType w:val="hybridMultilevel"/>
    <w:tmpl w:val="DEDAD2C0"/>
    <w:lvl w:ilvl="0" w:tplc="A52AB034">
      <w:start w:val="1"/>
      <w:numFmt w:val="bullet"/>
      <w:lvlText w:val=""/>
      <w:lvlJc w:val="left"/>
      <w:pPr>
        <w:ind w:left="720" w:hanging="180"/>
      </w:pPr>
      <w:rPr>
        <w:rFonts w:ascii="Symbol" w:hAnsi="Symbol" w:hint="default"/>
      </w:rPr>
    </w:lvl>
    <w:lvl w:ilvl="1" w:tplc="6A1AECE6">
      <w:numFmt w:val="decimal"/>
      <w:lvlText w:val=""/>
      <w:lvlJc w:val="left"/>
    </w:lvl>
    <w:lvl w:ilvl="2" w:tplc="EBF008C6">
      <w:numFmt w:val="decimal"/>
      <w:lvlText w:val=""/>
      <w:lvlJc w:val="left"/>
    </w:lvl>
    <w:lvl w:ilvl="3" w:tplc="D2D82408">
      <w:numFmt w:val="decimal"/>
      <w:lvlText w:val=""/>
      <w:lvlJc w:val="left"/>
    </w:lvl>
    <w:lvl w:ilvl="4" w:tplc="D3807C32">
      <w:numFmt w:val="decimal"/>
      <w:lvlText w:val=""/>
      <w:lvlJc w:val="left"/>
    </w:lvl>
    <w:lvl w:ilvl="5" w:tplc="26BEAE12">
      <w:numFmt w:val="decimal"/>
      <w:lvlText w:val=""/>
      <w:lvlJc w:val="left"/>
    </w:lvl>
    <w:lvl w:ilvl="6" w:tplc="756A06F0">
      <w:numFmt w:val="decimal"/>
      <w:lvlText w:val=""/>
      <w:lvlJc w:val="left"/>
    </w:lvl>
    <w:lvl w:ilvl="7" w:tplc="969EDA4C">
      <w:numFmt w:val="decimal"/>
      <w:lvlText w:val=""/>
      <w:lvlJc w:val="left"/>
    </w:lvl>
    <w:lvl w:ilvl="8" w:tplc="4D204672">
      <w:numFmt w:val="decimal"/>
      <w:lvlText w:val=""/>
      <w:lvlJc w:val="left"/>
    </w:lvl>
  </w:abstractNum>
  <w:abstractNum w:abstractNumId="946" w15:restartNumberingAfterBreak="0">
    <w:nsid w:val="65D14E5B"/>
    <w:multiLevelType w:val="hybridMultilevel"/>
    <w:tmpl w:val="8B5E12A0"/>
    <w:lvl w:ilvl="0" w:tplc="08E82766">
      <w:start w:val="1"/>
      <w:numFmt w:val="bullet"/>
      <w:lvlText w:val=""/>
      <w:lvlJc w:val="left"/>
      <w:pPr>
        <w:ind w:left="720" w:hanging="180"/>
      </w:pPr>
      <w:rPr>
        <w:rFonts w:ascii="Symbol" w:hAnsi="Symbol" w:hint="default"/>
      </w:rPr>
    </w:lvl>
    <w:lvl w:ilvl="1" w:tplc="F1FE2440">
      <w:numFmt w:val="decimal"/>
      <w:lvlText w:val=""/>
      <w:lvlJc w:val="left"/>
    </w:lvl>
    <w:lvl w:ilvl="2" w:tplc="FF6209E4">
      <w:numFmt w:val="decimal"/>
      <w:lvlText w:val=""/>
      <w:lvlJc w:val="left"/>
    </w:lvl>
    <w:lvl w:ilvl="3" w:tplc="DDFA75EA">
      <w:numFmt w:val="decimal"/>
      <w:lvlText w:val=""/>
      <w:lvlJc w:val="left"/>
    </w:lvl>
    <w:lvl w:ilvl="4" w:tplc="10780BA0">
      <w:numFmt w:val="decimal"/>
      <w:lvlText w:val=""/>
      <w:lvlJc w:val="left"/>
    </w:lvl>
    <w:lvl w:ilvl="5" w:tplc="402A1708">
      <w:numFmt w:val="decimal"/>
      <w:lvlText w:val=""/>
      <w:lvlJc w:val="left"/>
    </w:lvl>
    <w:lvl w:ilvl="6" w:tplc="E8A6F012">
      <w:numFmt w:val="decimal"/>
      <w:lvlText w:val=""/>
      <w:lvlJc w:val="left"/>
    </w:lvl>
    <w:lvl w:ilvl="7" w:tplc="ABC6609C">
      <w:numFmt w:val="decimal"/>
      <w:lvlText w:val=""/>
      <w:lvlJc w:val="left"/>
    </w:lvl>
    <w:lvl w:ilvl="8" w:tplc="B3A07D96">
      <w:numFmt w:val="decimal"/>
      <w:lvlText w:val=""/>
      <w:lvlJc w:val="left"/>
    </w:lvl>
  </w:abstractNum>
  <w:abstractNum w:abstractNumId="947" w15:restartNumberingAfterBreak="0">
    <w:nsid w:val="65FF410B"/>
    <w:multiLevelType w:val="hybridMultilevel"/>
    <w:tmpl w:val="00588D86"/>
    <w:lvl w:ilvl="0" w:tplc="AE5EFF2C">
      <w:start w:val="1"/>
      <w:numFmt w:val="bullet"/>
      <w:lvlText w:val=""/>
      <w:lvlJc w:val="left"/>
      <w:pPr>
        <w:ind w:left="720" w:hanging="180"/>
      </w:pPr>
      <w:rPr>
        <w:rFonts w:ascii="Symbol" w:hAnsi="Symbol" w:hint="default"/>
      </w:rPr>
    </w:lvl>
    <w:lvl w:ilvl="1" w:tplc="D75EE594">
      <w:numFmt w:val="decimal"/>
      <w:lvlText w:val=""/>
      <w:lvlJc w:val="left"/>
    </w:lvl>
    <w:lvl w:ilvl="2" w:tplc="14AA3872">
      <w:numFmt w:val="decimal"/>
      <w:lvlText w:val=""/>
      <w:lvlJc w:val="left"/>
    </w:lvl>
    <w:lvl w:ilvl="3" w:tplc="B5D663F6">
      <w:numFmt w:val="decimal"/>
      <w:lvlText w:val=""/>
      <w:lvlJc w:val="left"/>
    </w:lvl>
    <w:lvl w:ilvl="4" w:tplc="68C233BE">
      <w:numFmt w:val="decimal"/>
      <w:lvlText w:val=""/>
      <w:lvlJc w:val="left"/>
    </w:lvl>
    <w:lvl w:ilvl="5" w:tplc="68B43292">
      <w:numFmt w:val="decimal"/>
      <w:lvlText w:val=""/>
      <w:lvlJc w:val="left"/>
    </w:lvl>
    <w:lvl w:ilvl="6" w:tplc="7FAC6ABC">
      <w:numFmt w:val="decimal"/>
      <w:lvlText w:val=""/>
      <w:lvlJc w:val="left"/>
    </w:lvl>
    <w:lvl w:ilvl="7" w:tplc="05726ACC">
      <w:numFmt w:val="decimal"/>
      <w:lvlText w:val=""/>
      <w:lvlJc w:val="left"/>
    </w:lvl>
    <w:lvl w:ilvl="8" w:tplc="983469BA">
      <w:numFmt w:val="decimal"/>
      <w:lvlText w:val=""/>
      <w:lvlJc w:val="left"/>
    </w:lvl>
  </w:abstractNum>
  <w:abstractNum w:abstractNumId="948" w15:restartNumberingAfterBreak="0">
    <w:nsid w:val="663549E6"/>
    <w:multiLevelType w:val="hybridMultilevel"/>
    <w:tmpl w:val="9864C800"/>
    <w:lvl w:ilvl="0" w:tplc="559E0BB8">
      <w:start w:val="1"/>
      <w:numFmt w:val="bullet"/>
      <w:lvlText w:val=""/>
      <w:lvlJc w:val="left"/>
      <w:pPr>
        <w:ind w:left="720" w:hanging="180"/>
      </w:pPr>
      <w:rPr>
        <w:rFonts w:ascii="Symbol" w:hAnsi="Symbol" w:hint="default"/>
      </w:rPr>
    </w:lvl>
    <w:lvl w:ilvl="1" w:tplc="F6B05E84">
      <w:numFmt w:val="decimal"/>
      <w:lvlText w:val=""/>
      <w:lvlJc w:val="left"/>
    </w:lvl>
    <w:lvl w:ilvl="2" w:tplc="8114468E">
      <w:numFmt w:val="decimal"/>
      <w:lvlText w:val=""/>
      <w:lvlJc w:val="left"/>
    </w:lvl>
    <w:lvl w:ilvl="3" w:tplc="4C8CFF9A">
      <w:numFmt w:val="decimal"/>
      <w:lvlText w:val=""/>
      <w:lvlJc w:val="left"/>
    </w:lvl>
    <w:lvl w:ilvl="4" w:tplc="668A2082">
      <w:numFmt w:val="decimal"/>
      <w:lvlText w:val=""/>
      <w:lvlJc w:val="left"/>
    </w:lvl>
    <w:lvl w:ilvl="5" w:tplc="6DA26E9E">
      <w:numFmt w:val="decimal"/>
      <w:lvlText w:val=""/>
      <w:lvlJc w:val="left"/>
    </w:lvl>
    <w:lvl w:ilvl="6" w:tplc="367E11F0">
      <w:numFmt w:val="decimal"/>
      <w:lvlText w:val=""/>
      <w:lvlJc w:val="left"/>
    </w:lvl>
    <w:lvl w:ilvl="7" w:tplc="8BBC3774">
      <w:numFmt w:val="decimal"/>
      <w:lvlText w:val=""/>
      <w:lvlJc w:val="left"/>
    </w:lvl>
    <w:lvl w:ilvl="8" w:tplc="A4B40720">
      <w:numFmt w:val="decimal"/>
      <w:lvlText w:val=""/>
      <w:lvlJc w:val="left"/>
    </w:lvl>
  </w:abstractNum>
  <w:abstractNum w:abstractNumId="949" w15:restartNumberingAfterBreak="0">
    <w:nsid w:val="66367F60"/>
    <w:multiLevelType w:val="hybridMultilevel"/>
    <w:tmpl w:val="B31A688A"/>
    <w:lvl w:ilvl="0" w:tplc="F0220FB4">
      <w:numFmt w:val="decimal"/>
      <w:lvlText w:val=""/>
      <w:lvlJc w:val="left"/>
    </w:lvl>
    <w:lvl w:ilvl="1" w:tplc="BCF6B0FE">
      <w:start w:val="1"/>
      <w:numFmt w:val="bullet"/>
      <w:lvlText w:val=""/>
      <w:lvlJc w:val="left"/>
      <w:pPr>
        <w:ind w:left="1440" w:hanging="180"/>
      </w:pPr>
      <w:rPr>
        <w:rFonts w:ascii="Symbol" w:hAnsi="Symbol" w:hint="default"/>
      </w:rPr>
    </w:lvl>
    <w:lvl w:ilvl="2" w:tplc="9E746886">
      <w:numFmt w:val="decimal"/>
      <w:lvlText w:val=""/>
      <w:lvlJc w:val="left"/>
    </w:lvl>
    <w:lvl w:ilvl="3" w:tplc="3A16DA28">
      <w:numFmt w:val="decimal"/>
      <w:lvlText w:val=""/>
      <w:lvlJc w:val="left"/>
    </w:lvl>
    <w:lvl w:ilvl="4" w:tplc="CAB0459A">
      <w:numFmt w:val="decimal"/>
      <w:lvlText w:val=""/>
      <w:lvlJc w:val="left"/>
    </w:lvl>
    <w:lvl w:ilvl="5" w:tplc="84F40696">
      <w:numFmt w:val="decimal"/>
      <w:lvlText w:val=""/>
      <w:lvlJc w:val="left"/>
    </w:lvl>
    <w:lvl w:ilvl="6" w:tplc="F50C94D8">
      <w:numFmt w:val="decimal"/>
      <w:lvlText w:val=""/>
      <w:lvlJc w:val="left"/>
    </w:lvl>
    <w:lvl w:ilvl="7" w:tplc="B526FB3C">
      <w:numFmt w:val="decimal"/>
      <w:lvlText w:val=""/>
      <w:lvlJc w:val="left"/>
    </w:lvl>
    <w:lvl w:ilvl="8" w:tplc="D362D32E">
      <w:numFmt w:val="decimal"/>
      <w:lvlText w:val=""/>
      <w:lvlJc w:val="left"/>
    </w:lvl>
  </w:abstractNum>
  <w:abstractNum w:abstractNumId="950" w15:restartNumberingAfterBreak="0">
    <w:nsid w:val="664C39E4"/>
    <w:multiLevelType w:val="hybridMultilevel"/>
    <w:tmpl w:val="51A0FCD8"/>
    <w:lvl w:ilvl="0" w:tplc="759097AE">
      <w:start w:val="1"/>
      <w:numFmt w:val="bullet"/>
      <w:lvlText w:val=""/>
      <w:lvlJc w:val="left"/>
      <w:pPr>
        <w:ind w:left="720" w:hanging="180"/>
      </w:pPr>
      <w:rPr>
        <w:rFonts w:ascii="Symbol" w:hAnsi="Symbol" w:hint="default"/>
      </w:rPr>
    </w:lvl>
    <w:lvl w:ilvl="1" w:tplc="7E00435E">
      <w:numFmt w:val="decimal"/>
      <w:lvlText w:val=""/>
      <w:lvlJc w:val="left"/>
    </w:lvl>
    <w:lvl w:ilvl="2" w:tplc="D998278E">
      <w:numFmt w:val="decimal"/>
      <w:lvlText w:val=""/>
      <w:lvlJc w:val="left"/>
    </w:lvl>
    <w:lvl w:ilvl="3" w:tplc="D2A6B1BE">
      <w:numFmt w:val="decimal"/>
      <w:lvlText w:val=""/>
      <w:lvlJc w:val="left"/>
    </w:lvl>
    <w:lvl w:ilvl="4" w:tplc="45F2C3C6">
      <w:numFmt w:val="decimal"/>
      <w:lvlText w:val=""/>
      <w:lvlJc w:val="left"/>
    </w:lvl>
    <w:lvl w:ilvl="5" w:tplc="38183BCE">
      <w:numFmt w:val="decimal"/>
      <w:lvlText w:val=""/>
      <w:lvlJc w:val="left"/>
    </w:lvl>
    <w:lvl w:ilvl="6" w:tplc="AE5A497A">
      <w:numFmt w:val="decimal"/>
      <w:lvlText w:val=""/>
      <w:lvlJc w:val="left"/>
    </w:lvl>
    <w:lvl w:ilvl="7" w:tplc="3DAE9788">
      <w:numFmt w:val="decimal"/>
      <w:lvlText w:val=""/>
      <w:lvlJc w:val="left"/>
    </w:lvl>
    <w:lvl w:ilvl="8" w:tplc="E7C2A376">
      <w:numFmt w:val="decimal"/>
      <w:lvlText w:val=""/>
      <w:lvlJc w:val="left"/>
    </w:lvl>
  </w:abstractNum>
  <w:abstractNum w:abstractNumId="951" w15:restartNumberingAfterBreak="0">
    <w:nsid w:val="66841007"/>
    <w:multiLevelType w:val="hybridMultilevel"/>
    <w:tmpl w:val="0232ADF8"/>
    <w:lvl w:ilvl="0" w:tplc="82B28B82">
      <w:start w:val="1"/>
      <w:numFmt w:val="bullet"/>
      <w:lvlText w:val=""/>
      <w:lvlJc w:val="left"/>
      <w:pPr>
        <w:ind w:left="720" w:hanging="180"/>
      </w:pPr>
      <w:rPr>
        <w:rFonts w:ascii="Symbol" w:hAnsi="Symbol" w:hint="default"/>
      </w:rPr>
    </w:lvl>
    <w:lvl w:ilvl="1" w:tplc="73A4DC9E">
      <w:numFmt w:val="decimal"/>
      <w:lvlText w:val=""/>
      <w:lvlJc w:val="left"/>
    </w:lvl>
    <w:lvl w:ilvl="2" w:tplc="5422FEEC">
      <w:numFmt w:val="decimal"/>
      <w:lvlText w:val=""/>
      <w:lvlJc w:val="left"/>
    </w:lvl>
    <w:lvl w:ilvl="3" w:tplc="315028CC">
      <w:numFmt w:val="decimal"/>
      <w:lvlText w:val=""/>
      <w:lvlJc w:val="left"/>
    </w:lvl>
    <w:lvl w:ilvl="4" w:tplc="7E90C3B0">
      <w:numFmt w:val="decimal"/>
      <w:lvlText w:val=""/>
      <w:lvlJc w:val="left"/>
    </w:lvl>
    <w:lvl w:ilvl="5" w:tplc="F39A0DFA">
      <w:numFmt w:val="decimal"/>
      <w:lvlText w:val=""/>
      <w:lvlJc w:val="left"/>
    </w:lvl>
    <w:lvl w:ilvl="6" w:tplc="9692C548">
      <w:numFmt w:val="decimal"/>
      <w:lvlText w:val=""/>
      <w:lvlJc w:val="left"/>
    </w:lvl>
    <w:lvl w:ilvl="7" w:tplc="180CEA36">
      <w:numFmt w:val="decimal"/>
      <w:lvlText w:val=""/>
      <w:lvlJc w:val="left"/>
    </w:lvl>
    <w:lvl w:ilvl="8" w:tplc="D178A7AE">
      <w:numFmt w:val="decimal"/>
      <w:lvlText w:val=""/>
      <w:lvlJc w:val="left"/>
    </w:lvl>
  </w:abstractNum>
  <w:abstractNum w:abstractNumId="952" w15:restartNumberingAfterBreak="0">
    <w:nsid w:val="66B33A55"/>
    <w:multiLevelType w:val="hybridMultilevel"/>
    <w:tmpl w:val="02562070"/>
    <w:lvl w:ilvl="0" w:tplc="D32276FC">
      <w:start w:val="1"/>
      <w:numFmt w:val="bullet"/>
      <w:lvlText w:val=""/>
      <w:lvlJc w:val="left"/>
      <w:pPr>
        <w:ind w:left="720" w:hanging="180"/>
      </w:pPr>
      <w:rPr>
        <w:rFonts w:ascii="Symbol" w:hAnsi="Symbol" w:hint="default"/>
      </w:rPr>
    </w:lvl>
    <w:lvl w:ilvl="1" w:tplc="2A24EBEA">
      <w:numFmt w:val="decimal"/>
      <w:lvlText w:val=""/>
      <w:lvlJc w:val="left"/>
    </w:lvl>
    <w:lvl w:ilvl="2" w:tplc="0F582732">
      <w:numFmt w:val="decimal"/>
      <w:lvlText w:val=""/>
      <w:lvlJc w:val="left"/>
    </w:lvl>
    <w:lvl w:ilvl="3" w:tplc="F81E47CA">
      <w:numFmt w:val="decimal"/>
      <w:lvlText w:val=""/>
      <w:lvlJc w:val="left"/>
    </w:lvl>
    <w:lvl w:ilvl="4" w:tplc="7352B138">
      <w:numFmt w:val="decimal"/>
      <w:lvlText w:val=""/>
      <w:lvlJc w:val="left"/>
    </w:lvl>
    <w:lvl w:ilvl="5" w:tplc="594638F0">
      <w:numFmt w:val="decimal"/>
      <w:lvlText w:val=""/>
      <w:lvlJc w:val="left"/>
    </w:lvl>
    <w:lvl w:ilvl="6" w:tplc="9A2AC02A">
      <w:numFmt w:val="decimal"/>
      <w:lvlText w:val=""/>
      <w:lvlJc w:val="left"/>
    </w:lvl>
    <w:lvl w:ilvl="7" w:tplc="A336D378">
      <w:numFmt w:val="decimal"/>
      <w:lvlText w:val=""/>
      <w:lvlJc w:val="left"/>
    </w:lvl>
    <w:lvl w:ilvl="8" w:tplc="5EF0AE34">
      <w:numFmt w:val="decimal"/>
      <w:lvlText w:val=""/>
      <w:lvlJc w:val="left"/>
    </w:lvl>
  </w:abstractNum>
  <w:abstractNum w:abstractNumId="953" w15:restartNumberingAfterBreak="0">
    <w:nsid w:val="66C432B5"/>
    <w:multiLevelType w:val="hybridMultilevel"/>
    <w:tmpl w:val="28D867A0"/>
    <w:lvl w:ilvl="0" w:tplc="D7F2E092">
      <w:start w:val="1"/>
      <w:numFmt w:val="bullet"/>
      <w:lvlText w:val=""/>
      <w:lvlJc w:val="left"/>
      <w:pPr>
        <w:ind w:left="720" w:hanging="180"/>
      </w:pPr>
      <w:rPr>
        <w:rFonts w:ascii="Symbol" w:hAnsi="Symbol" w:hint="default"/>
      </w:rPr>
    </w:lvl>
    <w:lvl w:ilvl="1" w:tplc="C2221164">
      <w:numFmt w:val="decimal"/>
      <w:lvlText w:val=""/>
      <w:lvlJc w:val="left"/>
    </w:lvl>
    <w:lvl w:ilvl="2" w:tplc="6A6C3200">
      <w:numFmt w:val="decimal"/>
      <w:lvlText w:val=""/>
      <w:lvlJc w:val="left"/>
    </w:lvl>
    <w:lvl w:ilvl="3" w:tplc="8CCE658A">
      <w:numFmt w:val="decimal"/>
      <w:lvlText w:val=""/>
      <w:lvlJc w:val="left"/>
    </w:lvl>
    <w:lvl w:ilvl="4" w:tplc="CC705F22">
      <w:numFmt w:val="decimal"/>
      <w:lvlText w:val=""/>
      <w:lvlJc w:val="left"/>
    </w:lvl>
    <w:lvl w:ilvl="5" w:tplc="102A99DC">
      <w:numFmt w:val="decimal"/>
      <w:lvlText w:val=""/>
      <w:lvlJc w:val="left"/>
    </w:lvl>
    <w:lvl w:ilvl="6" w:tplc="FFD07868">
      <w:numFmt w:val="decimal"/>
      <w:lvlText w:val=""/>
      <w:lvlJc w:val="left"/>
    </w:lvl>
    <w:lvl w:ilvl="7" w:tplc="BD38A204">
      <w:numFmt w:val="decimal"/>
      <w:lvlText w:val=""/>
      <w:lvlJc w:val="left"/>
    </w:lvl>
    <w:lvl w:ilvl="8" w:tplc="1B04B2AA">
      <w:numFmt w:val="decimal"/>
      <w:lvlText w:val=""/>
      <w:lvlJc w:val="left"/>
    </w:lvl>
  </w:abstractNum>
  <w:abstractNum w:abstractNumId="954" w15:restartNumberingAfterBreak="0">
    <w:nsid w:val="66C6093C"/>
    <w:multiLevelType w:val="hybridMultilevel"/>
    <w:tmpl w:val="C700DEA0"/>
    <w:lvl w:ilvl="0" w:tplc="2C0C4E6C">
      <w:start w:val="1"/>
      <w:numFmt w:val="bullet"/>
      <w:lvlText w:val=""/>
      <w:lvlJc w:val="left"/>
      <w:pPr>
        <w:ind w:left="720" w:hanging="180"/>
      </w:pPr>
      <w:rPr>
        <w:rFonts w:ascii="Symbol" w:hAnsi="Symbol" w:hint="default"/>
      </w:rPr>
    </w:lvl>
    <w:lvl w:ilvl="1" w:tplc="EBB4D858">
      <w:numFmt w:val="decimal"/>
      <w:lvlText w:val=""/>
      <w:lvlJc w:val="left"/>
    </w:lvl>
    <w:lvl w:ilvl="2" w:tplc="2624AED8">
      <w:numFmt w:val="decimal"/>
      <w:lvlText w:val=""/>
      <w:lvlJc w:val="left"/>
    </w:lvl>
    <w:lvl w:ilvl="3" w:tplc="1674DF8A">
      <w:numFmt w:val="decimal"/>
      <w:lvlText w:val=""/>
      <w:lvlJc w:val="left"/>
    </w:lvl>
    <w:lvl w:ilvl="4" w:tplc="6D3624EE">
      <w:numFmt w:val="decimal"/>
      <w:lvlText w:val=""/>
      <w:lvlJc w:val="left"/>
    </w:lvl>
    <w:lvl w:ilvl="5" w:tplc="07627782">
      <w:numFmt w:val="decimal"/>
      <w:lvlText w:val=""/>
      <w:lvlJc w:val="left"/>
    </w:lvl>
    <w:lvl w:ilvl="6" w:tplc="4578909C">
      <w:numFmt w:val="decimal"/>
      <w:lvlText w:val=""/>
      <w:lvlJc w:val="left"/>
    </w:lvl>
    <w:lvl w:ilvl="7" w:tplc="16FE784C">
      <w:numFmt w:val="decimal"/>
      <w:lvlText w:val=""/>
      <w:lvlJc w:val="left"/>
    </w:lvl>
    <w:lvl w:ilvl="8" w:tplc="69763B5C">
      <w:numFmt w:val="decimal"/>
      <w:lvlText w:val=""/>
      <w:lvlJc w:val="left"/>
    </w:lvl>
  </w:abstractNum>
  <w:abstractNum w:abstractNumId="955" w15:restartNumberingAfterBreak="0">
    <w:nsid w:val="66D007D1"/>
    <w:multiLevelType w:val="hybridMultilevel"/>
    <w:tmpl w:val="17AEE73E"/>
    <w:lvl w:ilvl="0" w:tplc="E2382EA8">
      <w:start w:val="1"/>
      <w:numFmt w:val="bullet"/>
      <w:lvlText w:val=""/>
      <w:lvlJc w:val="left"/>
      <w:pPr>
        <w:ind w:left="720" w:hanging="180"/>
      </w:pPr>
      <w:rPr>
        <w:rFonts w:ascii="Symbol" w:hAnsi="Symbol" w:hint="default"/>
      </w:rPr>
    </w:lvl>
    <w:lvl w:ilvl="1" w:tplc="6FCC61B2">
      <w:numFmt w:val="decimal"/>
      <w:lvlText w:val=""/>
      <w:lvlJc w:val="left"/>
    </w:lvl>
    <w:lvl w:ilvl="2" w:tplc="712C2606">
      <w:numFmt w:val="decimal"/>
      <w:lvlText w:val=""/>
      <w:lvlJc w:val="left"/>
    </w:lvl>
    <w:lvl w:ilvl="3" w:tplc="01C0692C">
      <w:numFmt w:val="decimal"/>
      <w:lvlText w:val=""/>
      <w:lvlJc w:val="left"/>
    </w:lvl>
    <w:lvl w:ilvl="4" w:tplc="5B16F45C">
      <w:numFmt w:val="decimal"/>
      <w:lvlText w:val=""/>
      <w:lvlJc w:val="left"/>
    </w:lvl>
    <w:lvl w:ilvl="5" w:tplc="27DC9874">
      <w:numFmt w:val="decimal"/>
      <w:lvlText w:val=""/>
      <w:lvlJc w:val="left"/>
    </w:lvl>
    <w:lvl w:ilvl="6" w:tplc="25B866BE">
      <w:numFmt w:val="decimal"/>
      <w:lvlText w:val=""/>
      <w:lvlJc w:val="left"/>
    </w:lvl>
    <w:lvl w:ilvl="7" w:tplc="25DE0A66">
      <w:numFmt w:val="decimal"/>
      <w:lvlText w:val=""/>
      <w:lvlJc w:val="left"/>
    </w:lvl>
    <w:lvl w:ilvl="8" w:tplc="2B108C42">
      <w:numFmt w:val="decimal"/>
      <w:lvlText w:val=""/>
      <w:lvlJc w:val="left"/>
    </w:lvl>
  </w:abstractNum>
  <w:abstractNum w:abstractNumId="956" w15:restartNumberingAfterBreak="0">
    <w:nsid w:val="66D42652"/>
    <w:multiLevelType w:val="hybridMultilevel"/>
    <w:tmpl w:val="8C3C4498"/>
    <w:lvl w:ilvl="0" w:tplc="12687000">
      <w:start w:val="1"/>
      <w:numFmt w:val="bullet"/>
      <w:lvlText w:val=""/>
      <w:lvlJc w:val="left"/>
      <w:pPr>
        <w:ind w:left="720" w:hanging="180"/>
      </w:pPr>
      <w:rPr>
        <w:rFonts w:ascii="Symbol" w:hAnsi="Symbol" w:hint="default"/>
      </w:rPr>
    </w:lvl>
    <w:lvl w:ilvl="1" w:tplc="09205F7A">
      <w:numFmt w:val="decimal"/>
      <w:lvlText w:val=""/>
      <w:lvlJc w:val="left"/>
    </w:lvl>
    <w:lvl w:ilvl="2" w:tplc="2B281E1C">
      <w:numFmt w:val="decimal"/>
      <w:lvlText w:val=""/>
      <w:lvlJc w:val="left"/>
    </w:lvl>
    <w:lvl w:ilvl="3" w:tplc="781E8728">
      <w:numFmt w:val="decimal"/>
      <w:lvlText w:val=""/>
      <w:lvlJc w:val="left"/>
    </w:lvl>
    <w:lvl w:ilvl="4" w:tplc="B29817E8">
      <w:numFmt w:val="decimal"/>
      <w:lvlText w:val=""/>
      <w:lvlJc w:val="left"/>
    </w:lvl>
    <w:lvl w:ilvl="5" w:tplc="76AE7780">
      <w:numFmt w:val="decimal"/>
      <w:lvlText w:val=""/>
      <w:lvlJc w:val="left"/>
    </w:lvl>
    <w:lvl w:ilvl="6" w:tplc="D884C034">
      <w:numFmt w:val="decimal"/>
      <w:lvlText w:val=""/>
      <w:lvlJc w:val="left"/>
    </w:lvl>
    <w:lvl w:ilvl="7" w:tplc="09683C0A">
      <w:numFmt w:val="decimal"/>
      <w:lvlText w:val=""/>
      <w:lvlJc w:val="left"/>
    </w:lvl>
    <w:lvl w:ilvl="8" w:tplc="C61EE078">
      <w:numFmt w:val="decimal"/>
      <w:lvlText w:val=""/>
      <w:lvlJc w:val="left"/>
    </w:lvl>
  </w:abstractNum>
  <w:abstractNum w:abstractNumId="957" w15:restartNumberingAfterBreak="0">
    <w:nsid w:val="66E70BBD"/>
    <w:multiLevelType w:val="hybridMultilevel"/>
    <w:tmpl w:val="140A481C"/>
    <w:lvl w:ilvl="0" w:tplc="C6809280">
      <w:start w:val="1"/>
      <w:numFmt w:val="bullet"/>
      <w:lvlText w:val=""/>
      <w:lvlJc w:val="left"/>
      <w:pPr>
        <w:ind w:left="720" w:hanging="180"/>
      </w:pPr>
      <w:rPr>
        <w:rFonts w:ascii="Symbol" w:hAnsi="Symbol" w:hint="default"/>
      </w:rPr>
    </w:lvl>
    <w:lvl w:ilvl="1" w:tplc="AB5A07EC">
      <w:numFmt w:val="decimal"/>
      <w:lvlText w:val=""/>
      <w:lvlJc w:val="left"/>
    </w:lvl>
    <w:lvl w:ilvl="2" w:tplc="4976BD14">
      <w:numFmt w:val="decimal"/>
      <w:lvlText w:val=""/>
      <w:lvlJc w:val="left"/>
    </w:lvl>
    <w:lvl w:ilvl="3" w:tplc="283AA3F6">
      <w:numFmt w:val="decimal"/>
      <w:lvlText w:val=""/>
      <w:lvlJc w:val="left"/>
    </w:lvl>
    <w:lvl w:ilvl="4" w:tplc="8CDEB254">
      <w:numFmt w:val="decimal"/>
      <w:lvlText w:val=""/>
      <w:lvlJc w:val="left"/>
    </w:lvl>
    <w:lvl w:ilvl="5" w:tplc="C896A75C">
      <w:numFmt w:val="decimal"/>
      <w:lvlText w:val=""/>
      <w:lvlJc w:val="left"/>
    </w:lvl>
    <w:lvl w:ilvl="6" w:tplc="06703B02">
      <w:numFmt w:val="decimal"/>
      <w:lvlText w:val=""/>
      <w:lvlJc w:val="left"/>
    </w:lvl>
    <w:lvl w:ilvl="7" w:tplc="4E800E5A">
      <w:numFmt w:val="decimal"/>
      <w:lvlText w:val=""/>
      <w:lvlJc w:val="left"/>
    </w:lvl>
    <w:lvl w:ilvl="8" w:tplc="CD92E36C">
      <w:numFmt w:val="decimal"/>
      <w:lvlText w:val=""/>
      <w:lvlJc w:val="left"/>
    </w:lvl>
  </w:abstractNum>
  <w:abstractNum w:abstractNumId="958" w15:restartNumberingAfterBreak="0">
    <w:nsid w:val="66F636D6"/>
    <w:multiLevelType w:val="hybridMultilevel"/>
    <w:tmpl w:val="C03073EE"/>
    <w:lvl w:ilvl="0" w:tplc="EDE6266C">
      <w:start w:val="1"/>
      <w:numFmt w:val="bullet"/>
      <w:lvlText w:val=""/>
      <w:lvlJc w:val="left"/>
      <w:pPr>
        <w:ind w:left="720" w:hanging="180"/>
      </w:pPr>
      <w:rPr>
        <w:rFonts w:ascii="Symbol" w:hAnsi="Symbol" w:hint="default"/>
      </w:rPr>
    </w:lvl>
    <w:lvl w:ilvl="1" w:tplc="7C08E654">
      <w:numFmt w:val="decimal"/>
      <w:lvlText w:val=""/>
      <w:lvlJc w:val="left"/>
    </w:lvl>
    <w:lvl w:ilvl="2" w:tplc="A1BE91D4">
      <w:numFmt w:val="decimal"/>
      <w:lvlText w:val=""/>
      <w:lvlJc w:val="left"/>
    </w:lvl>
    <w:lvl w:ilvl="3" w:tplc="EA62639A">
      <w:numFmt w:val="decimal"/>
      <w:lvlText w:val=""/>
      <w:lvlJc w:val="left"/>
    </w:lvl>
    <w:lvl w:ilvl="4" w:tplc="923CAF34">
      <w:numFmt w:val="decimal"/>
      <w:lvlText w:val=""/>
      <w:lvlJc w:val="left"/>
    </w:lvl>
    <w:lvl w:ilvl="5" w:tplc="F576673E">
      <w:numFmt w:val="decimal"/>
      <w:lvlText w:val=""/>
      <w:lvlJc w:val="left"/>
    </w:lvl>
    <w:lvl w:ilvl="6" w:tplc="20582D0A">
      <w:numFmt w:val="decimal"/>
      <w:lvlText w:val=""/>
      <w:lvlJc w:val="left"/>
    </w:lvl>
    <w:lvl w:ilvl="7" w:tplc="45F40FD2">
      <w:numFmt w:val="decimal"/>
      <w:lvlText w:val=""/>
      <w:lvlJc w:val="left"/>
    </w:lvl>
    <w:lvl w:ilvl="8" w:tplc="5C30F7A6">
      <w:numFmt w:val="decimal"/>
      <w:lvlText w:val=""/>
      <w:lvlJc w:val="left"/>
    </w:lvl>
  </w:abstractNum>
  <w:abstractNum w:abstractNumId="959" w15:restartNumberingAfterBreak="0">
    <w:nsid w:val="67086D65"/>
    <w:multiLevelType w:val="hybridMultilevel"/>
    <w:tmpl w:val="015A16B6"/>
    <w:lvl w:ilvl="0" w:tplc="85904994">
      <w:start w:val="1"/>
      <w:numFmt w:val="bullet"/>
      <w:lvlText w:val=""/>
      <w:lvlJc w:val="left"/>
      <w:pPr>
        <w:ind w:left="720" w:hanging="180"/>
      </w:pPr>
      <w:rPr>
        <w:rFonts w:ascii="Symbol" w:hAnsi="Symbol" w:hint="default"/>
      </w:rPr>
    </w:lvl>
    <w:lvl w:ilvl="1" w:tplc="2A00C8F4">
      <w:numFmt w:val="decimal"/>
      <w:lvlText w:val=""/>
      <w:lvlJc w:val="left"/>
    </w:lvl>
    <w:lvl w:ilvl="2" w:tplc="ABCEB390">
      <w:numFmt w:val="decimal"/>
      <w:lvlText w:val=""/>
      <w:lvlJc w:val="left"/>
    </w:lvl>
    <w:lvl w:ilvl="3" w:tplc="09FC89E2">
      <w:numFmt w:val="decimal"/>
      <w:lvlText w:val=""/>
      <w:lvlJc w:val="left"/>
    </w:lvl>
    <w:lvl w:ilvl="4" w:tplc="2E9C7B50">
      <w:numFmt w:val="decimal"/>
      <w:lvlText w:val=""/>
      <w:lvlJc w:val="left"/>
    </w:lvl>
    <w:lvl w:ilvl="5" w:tplc="242618A0">
      <w:numFmt w:val="decimal"/>
      <w:lvlText w:val=""/>
      <w:lvlJc w:val="left"/>
    </w:lvl>
    <w:lvl w:ilvl="6" w:tplc="2850C79E">
      <w:numFmt w:val="decimal"/>
      <w:lvlText w:val=""/>
      <w:lvlJc w:val="left"/>
    </w:lvl>
    <w:lvl w:ilvl="7" w:tplc="97729AC6">
      <w:numFmt w:val="decimal"/>
      <w:lvlText w:val=""/>
      <w:lvlJc w:val="left"/>
    </w:lvl>
    <w:lvl w:ilvl="8" w:tplc="1382DD42">
      <w:numFmt w:val="decimal"/>
      <w:lvlText w:val=""/>
      <w:lvlJc w:val="left"/>
    </w:lvl>
  </w:abstractNum>
  <w:abstractNum w:abstractNumId="960" w15:restartNumberingAfterBreak="0">
    <w:nsid w:val="672241DA"/>
    <w:multiLevelType w:val="hybridMultilevel"/>
    <w:tmpl w:val="376A3374"/>
    <w:lvl w:ilvl="0" w:tplc="57A49964">
      <w:start w:val="1"/>
      <w:numFmt w:val="bullet"/>
      <w:lvlText w:val=""/>
      <w:lvlJc w:val="left"/>
      <w:pPr>
        <w:ind w:left="720" w:hanging="180"/>
      </w:pPr>
      <w:rPr>
        <w:rFonts w:ascii="Symbol" w:hAnsi="Symbol" w:hint="default"/>
      </w:rPr>
    </w:lvl>
    <w:lvl w:ilvl="1" w:tplc="418C0D46">
      <w:numFmt w:val="decimal"/>
      <w:lvlText w:val=""/>
      <w:lvlJc w:val="left"/>
    </w:lvl>
    <w:lvl w:ilvl="2" w:tplc="BB9AA1FE">
      <w:numFmt w:val="decimal"/>
      <w:lvlText w:val=""/>
      <w:lvlJc w:val="left"/>
    </w:lvl>
    <w:lvl w:ilvl="3" w:tplc="161C761E">
      <w:numFmt w:val="decimal"/>
      <w:lvlText w:val=""/>
      <w:lvlJc w:val="left"/>
    </w:lvl>
    <w:lvl w:ilvl="4" w:tplc="F9DE614E">
      <w:numFmt w:val="decimal"/>
      <w:lvlText w:val=""/>
      <w:lvlJc w:val="left"/>
    </w:lvl>
    <w:lvl w:ilvl="5" w:tplc="7062D252">
      <w:numFmt w:val="decimal"/>
      <w:lvlText w:val=""/>
      <w:lvlJc w:val="left"/>
    </w:lvl>
    <w:lvl w:ilvl="6" w:tplc="4A1A5264">
      <w:numFmt w:val="decimal"/>
      <w:lvlText w:val=""/>
      <w:lvlJc w:val="left"/>
    </w:lvl>
    <w:lvl w:ilvl="7" w:tplc="4118AFA2">
      <w:numFmt w:val="decimal"/>
      <w:lvlText w:val=""/>
      <w:lvlJc w:val="left"/>
    </w:lvl>
    <w:lvl w:ilvl="8" w:tplc="87F8C350">
      <w:numFmt w:val="decimal"/>
      <w:lvlText w:val=""/>
      <w:lvlJc w:val="left"/>
    </w:lvl>
  </w:abstractNum>
  <w:abstractNum w:abstractNumId="961" w15:restartNumberingAfterBreak="0">
    <w:nsid w:val="673822DC"/>
    <w:multiLevelType w:val="hybridMultilevel"/>
    <w:tmpl w:val="322AEDCA"/>
    <w:lvl w:ilvl="0" w:tplc="F88A6D4C">
      <w:start w:val="1"/>
      <w:numFmt w:val="bullet"/>
      <w:lvlText w:val=""/>
      <w:lvlJc w:val="left"/>
      <w:pPr>
        <w:ind w:left="720" w:hanging="180"/>
      </w:pPr>
      <w:rPr>
        <w:rFonts w:ascii="Symbol" w:hAnsi="Symbol" w:hint="default"/>
      </w:rPr>
    </w:lvl>
    <w:lvl w:ilvl="1" w:tplc="88D01BE6">
      <w:numFmt w:val="decimal"/>
      <w:lvlText w:val=""/>
      <w:lvlJc w:val="left"/>
    </w:lvl>
    <w:lvl w:ilvl="2" w:tplc="CEA05818">
      <w:numFmt w:val="decimal"/>
      <w:lvlText w:val=""/>
      <w:lvlJc w:val="left"/>
    </w:lvl>
    <w:lvl w:ilvl="3" w:tplc="0A34B77A">
      <w:numFmt w:val="decimal"/>
      <w:lvlText w:val=""/>
      <w:lvlJc w:val="left"/>
    </w:lvl>
    <w:lvl w:ilvl="4" w:tplc="68120BDA">
      <w:numFmt w:val="decimal"/>
      <w:lvlText w:val=""/>
      <w:lvlJc w:val="left"/>
    </w:lvl>
    <w:lvl w:ilvl="5" w:tplc="3008E842">
      <w:numFmt w:val="decimal"/>
      <w:lvlText w:val=""/>
      <w:lvlJc w:val="left"/>
    </w:lvl>
    <w:lvl w:ilvl="6" w:tplc="C2DAC812">
      <w:numFmt w:val="decimal"/>
      <w:lvlText w:val=""/>
      <w:lvlJc w:val="left"/>
    </w:lvl>
    <w:lvl w:ilvl="7" w:tplc="04A6C1AA">
      <w:numFmt w:val="decimal"/>
      <w:lvlText w:val=""/>
      <w:lvlJc w:val="left"/>
    </w:lvl>
    <w:lvl w:ilvl="8" w:tplc="3B5A549C">
      <w:numFmt w:val="decimal"/>
      <w:lvlText w:val=""/>
      <w:lvlJc w:val="left"/>
    </w:lvl>
  </w:abstractNum>
  <w:abstractNum w:abstractNumId="962" w15:restartNumberingAfterBreak="0">
    <w:nsid w:val="676028FD"/>
    <w:multiLevelType w:val="hybridMultilevel"/>
    <w:tmpl w:val="7D26B534"/>
    <w:lvl w:ilvl="0" w:tplc="2AB60582">
      <w:start w:val="1"/>
      <w:numFmt w:val="bullet"/>
      <w:lvlText w:val=""/>
      <w:lvlJc w:val="left"/>
      <w:pPr>
        <w:ind w:left="720" w:hanging="180"/>
      </w:pPr>
      <w:rPr>
        <w:rFonts w:ascii="Symbol" w:hAnsi="Symbol" w:hint="default"/>
      </w:rPr>
    </w:lvl>
    <w:lvl w:ilvl="1" w:tplc="A0789CAE">
      <w:numFmt w:val="decimal"/>
      <w:lvlText w:val=""/>
      <w:lvlJc w:val="left"/>
    </w:lvl>
    <w:lvl w:ilvl="2" w:tplc="61903A64">
      <w:numFmt w:val="decimal"/>
      <w:lvlText w:val=""/>
      <w:lvlJc w:val="left"/>
    </w:lvl>
    <w:lvl w:ilvl="3" w:tplc="83B6820E">
      <w:numFmt w:val="decimal"/>
      <w:lvlText w:val=""/>
      <w:lvlJc w:val="left"/>
    </w:lvl>
    <w:lvl w:ilvl="4" w:tplc="DA4E75D6">
      <w:numFmt w:val="decimal"/>
      <w:lvlText w:val=""/>
      <w:lvlJc w:val="left"/>
    </w:lvl>
    <w:lvl w:ilvl="5" w:tplc="0290CAA2">
      <w:numFmt w:val="decimal"/>
      <w:lvlText w:val=""/>
      <w:lvlJc w:val="left"/>
    </w:lvl>
    <w:lvl w:ilvl="6" w:tplc="48CE6BCA">
      <w:numFmt w:val="decimal"/>
      <w:lvlText w:val=""/>
      <w:lvlJc w:val="left"/>
    </w:lvl>
    <w:lvl w:ilvl="7" w:tplc="9B2AFF72">
      <w:numFmt w:val="decimal"/>
      <w:lvlText w:val=""/>
      <w:lvlJc w:val="left"/>
    </w:lvl>
    <w:lvl w:ilvl="8" w:tplc="814CAF42">
      <w:numFmt w:val="decimal"/>
      <w:lvlText w:val=""/>
      <w:lvlJc w:val="left"/>
    </w:lvl>
  </w:abstractNum>
  <w:abstractNum w:abstractNumId="963" w15:restartNumberingAfterBreak="0">
    <w:nsid w:val="677B2431"/>
    <w:multiLevelType w:val="hybridMultilevel"/>
    <w:tmpl w:val="5F76C0B0"/>
    <w:lvl w:ilvl="0" w:tplc="B22CE284">
      <w:start w:val="1"/>
      <w:numFmt w:val="bullet"/>
      <w:lvlText w:val=""/>
      <w:lvlJc w:val="left"/>
      <w:pPr>
        <w:ind w:left="720" w:hanging="180"/>
      </w:pPr>
      <w:rPr>
        <w:rFonts w:ascii="Symbol" w:hAnsi="Symbol" w:hint="default"/>
      </w:rPr>
    </w:lvl>
    <w:lvl w:ilvl="1" w:tplc="85D24528">
      <w:numFmt w:val="decimal"/>
      <w:lvlText w:val=""/>
      <w:lvlJc w:val="left"/>
    </w:lvl>
    <w:lvl w:ilvl="2" w:tplc="66FC6592">
      <w:numFmt w:val="decimal"/>
      <w:lvlText w:val=""/>
      <w:lvlJc w:val="left"/>
    </w:lvl>
    <w:lvl w:ilvl="3" w:tplc="2FC870FC">
      <w:numFmt w:val="decimal"/>
      <w:lvlText w:val=""/>
      <w:lvlJc w:val="left"/>
    </w:lvl>
    <w:lvl w:ilvl="4" w:tplc="12DE331A">
      <w:numFmt w:val="decimal"/>
      <w:lvlText w:val=""/>
      <w:lvlJc w:val="left"/>
    </w:lvl>
    <w:lvl w:ilvl="5" w:tplc="C826EAF0">
      <w:numFmt w:val="decimal"/>
      <w:lvlText w:val=""/>
      <w:lvlJc w:val="left"/>
    </w:lvl>
    <w:lvl w:ilvl="6" w:tplc="B396F7FA">
      <w:numFmt w:val="decimal"/>
      <w:lvlText w:val=""/>
      <w:lvlJc w:val="left"/>
    </w:lvl>
    <w:lvl w:ilvl="7" w:tplc="CA861D58">
      <w:numFmt w:val="decimal"/>
      <w:lvlText w:val=""/>
      <w:lvlJc w:val="left"/>
    </w:lvl>
    <w:lvl w:ilvl="8" w:tplc="359AA8A2">
      <w:numFmt w:val="decimal"/>
      <w:lvlText w:val=""/>
      <w:lvlJc w:val="left"/>
    </w:lvl>
  </w:abstractNum>
  <w:abstractNum w:abstractNumId="964" w15:restartNumberingAfterBreak="0">
    <w:nsid w:val="677C4BDD"/>
    <w:multiLevelType w:val="hybridMultilevel"/>
    <w:tmpl w:val="3DEAC0A2"/>
    <w:lvl w:ilvl="0" w:tplc="8A7C4FBA">
      <w:start w:val="1"/>
      <w:numFmt w:val="bullet"/>
      <w:lvlText w:val=""/>
      <w:lvlJc w:val="left"/>
      <w:pPr>
        <w:ind w:left="720" w:hanging="180"/>
      </w:pPr>
      <w:rPr>
        <w:rFonts w:ascii="Symbol" w:hAnsi="Symbol" w:hint="default"/>
      </w:rPr>
    </w:lvl>
    <w:lvl w:ilvl="1" w:tplc="EE780032">
      <w:numFmt w:val="decimal"/>
      <w:lvlText w:val=""/>
      <w:lvlJc w:val="left"/>
    </w:lvl>
    <w:lvl w:ilvl="2" w:tplc="F7E4A378">
      <w:numFmt w:val="decimal"/>
      <w:lvlText w:val=""/>
      <w:lvlJc w:val="left"/>
    </w:lvl>
    <w:lvl w:ilvl="3" w:tplc="E34ECFCC">
      <w:numFmt w:val="decimal"/>
      <w:lvlText w:val=""/>
      <w:lvlJc w:val="left"/>
    </w:lvl>
    <w:lvl w:ilvl="4" w:tplc="5C9E96AC">
      <w:numFmt w:val="decimal"/>
      <w:lvlText w:val=""/>
      <w:lvlJc w:val="left"/>
    </w:lvl>
    <w:lvl w:ilvl="5" w:tplc="B81E02DC">
      <w:numFmt w:val="decimal"/>
      <w:lvlText w:val=""/>
      <w:lvlJc w:val="left"/>
    </w:lvl>
    <w:lvl w:ilvl="6" w:tplc="FCEA51E2">
      <w:numFmt w:val="decimal"/>
      <w:lvlText w:val=""/>
      <w:lvlJc w:val="left"/>
    </w:lvl>
    <w:lvl w:ilvl="7" w:tplc="A3B008F8">
      <w:numFmt w:val="decimal"/>
      <w:lvlText w:val=""/>
      <w:lvlJc w:val="left"/>
    </w:lvl>
    <w:lvl w:ilvl="8" w:tplc="592C82A8">
      <w:numFmt w:val="decimal"/>
      <w:lvlText w:val=""/>
      <w:lvlJc w:val="left"/>
    </w:lvl>
  </w:abstractNum>
  <w:abstractNum w:abstractNumId="965" w15:restartNumberingAfterBreak="0">
    <w:nsid w:val="678C2699"/>
    <w:multiLevelType w:val="hybridMultilevel"/>
    <w:tmpl w:val="F6E2C30E"/>
    <w:lvl w:ilvl="0" w:tplc="688E95D2">
      <w:start w:val="1"/>
      <w:numFmt w:val="bullet"/>
      <w:lvlText w:val=""/>
      <w:lvlJc w:val="left"/>
      <w:pPr>
        <w:ind w:left="720" w:hanging="180"/>
      </w:pPr>
      <w:rPr>
        <w:rFonts w:ascii="Symbol" w:hAnsi="Symbol" w:hint="default"/>
      </w:rPr>
    </w:lvl>
    <w:lvl w:ilvl="1" w:tplc="2DC06E42">
      <w:numFmt w:val="decimal"/>
      <w:lvlText w:val=""/>
      <w:lvlJc w:val="left"/>
    </w:lvl>
    <w:lvl w:ilvl="2" w:tplc="5A7A86E8">
      <w:numFmt w:val="decimal"/>
      <w:lvlText w:val=""/>
      <w:lvlJc w:val="left"/>
    </w:lvl>
    <w:lvl w:ilvl="3" w:tplc="0958D460">
      <w:numFmt w:val="decimal"/>
      <w:lvlText w:val=""/>
      <w:lvlJc w:val="left"/>
    </w:lvl>
    <w:lvl w:ilvl="4" w:tplc="04FC98AC">
      <w:numFmt w:val="decimal"/>
      <w:lvlText w:val=""/>
      <w:lvlJc w:val="left"/>
    </w:lvl>
    <w:lvl w:ilvl="5" w:tplc="92204B34">
      <w:numFmt w:val="decimal"/>
      <w:lvlText w:val=""/>
      <w:lvlJc w:val="left"/>
    </w:lvl>
    <w:lvl w:ilvl="6" w:tplc="6132369C">
      <w:numFmt w:val="decimal"/>
      <w:lvlText w:val=""/>
      <w:lvlJc w:val="left"/>
    </w:lvl>
    <w:lvl w:ilvl="7" w:tplc="7D7C5DC8">
      <w:numFmt w:val="decimal"/>
      <w:lvlText w:val=""/>
      <w:lvlJc w:val="left"/>
    </w:lvl>
    <w:lvl w:ilvl="8" w:tplc="41A0E9C4">
      <w:numFmt w:val="decimal"/>
      <w:lvlText w:val=""/>
      <w:lvlJc w:val="left"/>
    </w:lvl>
  </w:abstractNum>
  <w:abstractNum w:abstractNumId="966" w15:restartNumberingAfterBreak="0">
    <w:nsid w:val="67AB5435"/>
    <w:multiLevelType w:val="hybridMultilevel"/>
    <w:tmpl w:val="68E8F2D6"/>
    <w:lvl w:ilvl="0" w:tplc="9496C2BC">
      <w:start w:val="1"/>
      <w:numFmt w:val="bullet"/>
      <w:lvlText w:val=""/>
      <w:lvlJc w:val="left"/>
      <w:pPr>
        <w:ind w:left="720" w:hanging="180"/>
      </w:pPr>
      <w:rPr>
        <w:rFonts w:ascii="Symbol" w:hAnsi="Symbol" w:hint="default"/>
      </w:rPr>
    </w:lvl>
    <w:lvl w:ilvl="1" w:tplc="1F8A5CBA">
      <w:numFmt w:val="decimal"/>
      <w:lvlText w:val=""/>
      <w:lvlJc w:val="left"/>
    </w:lvl>
    <w:lvl w:ilvl="2" w:tplc="C166EBE2">
      <w:numFmt w:val="decimal"/>
      <w:lvlText w:val=""/>
      <w:lvlJc w:val="left"/>
    </w:lvl>
    <w:lvl w:ilvl="3" w:tplc="D3224F68">
      <w:numFmt w:val="decimal"/>
      <w:lvlText w:val=""/>
      <w:lvlJc w:val="left"/>
    </w:lvl>
    <w:lvl w:ilvl="4" w:tplc="DC58BD7C">
      <w:numFmt w:val="decimal"/>
      <w:lvlText w:val=""/>
      <w:lvlJc w:val="left"/>
    </w:lvl>
    <w:lvl w:ilvl="5" w:tplc="F996A44E">
      <w:numFmt w:val="decimal"/>
      <w:lvlText w:val=""/>
      <w:lvlJc w:val="left"/>
    </w:lvl>
    <w:lvl w:ilvl="6" w:tplc="C81A02AA">
      <w:numFmt w:val="decimal"/>
      <w:lvlText w:val=""/>
      <w:lvlJc w:val="left"/>
    </w:lvl>
    <w:lvl w:ilvl="7" w:tplc="6F80F490">
      <w:numFmt w:val="decimal"/>
      <w:lvlText w:val=""/>
      <w:lvlJc w:val="left"/>
    </w:lvl>
    <w:lvl w:ilvl="8" w:tplc="FA3EE7E0">
      <w:numFmt w:val="decimal"/>
      <w:lvlText w:val=""/>
      <w:lvlJc w:val="left"/>
    </w:lvl>
  </w:abstractNum>
  <w:abstractNum w:abstractNumId="967" w15:restartNumberingAfterBreak="0">
    <w:nsid w:val="67CE186C"/>
    <w:multiLevelType w:val="hybridMultilevel"/>
    <w:tmpl w:val="4EB4ACEA"/>
    <w:lvl w:ilvl="0" w:tplc="36ACE882">
      <w:start w:val="1"/>
      <w:numFmt w:val="bullet"/>
      <w:lvlText w:val=""/>
      <w:lvlJc w:val="left"/>
      <w:pPr>
        <w:ind w:left="720" w:hanging="180"/>
      </w:pPr>
      <w:rPr>
        <w:rFonts w:ascii="Symbol" w:hAnsi="Symbol" w:hint="default"/>
      </w:rPr>
    </w:lvl>
    <w:lvl w:ilvl="1" w:tplc="6794296C">
      <w:numFmt w:val="decimal"/>
      <w:lvlText w:val=""/>
      <w:lvlJc w:val="left"/>
    </w:lvl>
    <w:lvl w:ilvl="2" w:tplc="76D68D68">
      <w:numFmt w:val="decimal"/>
      <w:lvlText w:val=""/>
      <w:lvlJc w:val="left"/>
    </w:lvl>
    <w:lvl w:ilvl="3" w:tplc="6F6CFF14">
      <w:numFmt w:val="decimal"/>
      <w:lvlText w:val=""/>
      <w:lvlJc w:val="left"/>
    </w:lvl>
    <w:lvl w:ilvl="4" w:tplc="5E7C3AA8">
      <w:numFmt w:val="decimal"/>
      <w:lvlText w:val=""/>
      <w:lvlJc w:val="left"/>
    </w:lvl>
    <w:lvl w:ilvl="5" w:tplc="A8BA9584">
      <w:numFmt w:val="decimal"/>
      <w:lvlText w:val=""/>
      <w:lvlJc w:val="left"/>
    </w:lvl>
    <w:lvl w:ilvl="6" w:tplc="710C4904">
      <w:numFmt w:val="decimal"/>
      <w:lvlText w:val=""/>
      <w:lvlJc w:val="left"/>
    </w:lvl>
    <w:lvl w:ilvl="7" w:tplc="711CC6D0">
      <w:numFmt w:val="decimal"/>
      <w:lvlText w:val=""/>
      <w:lvlJc w:val="left"/>
    </w:lvl>
    <w:lvl w:ilvl="8" w:tplc="BA5857F4">
      <w:numFmt w:val="decimal"/>
      <w:lvlText w:val=""/>
      <w:lvlJc w:val="left"/>
    </w:lvl>
  </w:abstractNum>
  <w:abstractNum w:abstractNumId="968" w15:restartNumberingAfterBreak="0">
    <w:nsid w:val="680E37B0"/>
    <w:multiLevelType w:val="hybridMultilevel"/>
    <w:tmpl w:val="568A4BD2"/>
    <w:lvl w:ilvl="0" w:tplc="085620B0">
      <w:start w:val="1"/>
      <w:numFmt w:val="bullet"/>
      <w:lvlText w:val=""/>
      <w:lvlJc w:val="left"/>
      <w:pPr>
        <w:ind w:left="720" w:hanging="180"/>
      </w:pPr>
      <w:rPr>
        <w:rFonts w:ascii="Symbol" w:hAnsi="Symbol" w:hint="default"/>
      </w:rPr>
    </w:lvl>
    <w:lvl w:ilvl="1" w:tplc="7EE805D8">
      <w:numFmt w:val="decimal"/>
      <w:lvlText w:val=""/>
      <w:lvlJc w:val="left"/>
    </w:lvl>
    <w:lvl w:ilvl="2" w:tplc="8778A828">
      <w:numFmt w:val="decimal"/>
      <w:lvlText w:val=""/>
      <w:lvlJc w:val="left"/>
    </w:lvl>
    <w:lvl w:ilvl="3" w:tplc="B78278E2">
      <w:numFmt w:val="decimal"/>
      <w:lvlText w:val=""/>
      <w:lvlJc w:val="left"/>
    </w:lvl>
    <w:lvl w:ilvl="4" w:tplc="10CEFD9C">
      <w:numFmt w:val="decimal"/>
      <w:lvlText w:val=""/>
      <w:lvlJc w:val="left"/>
    </w:lvl>
    <w:lvl w:ilvl="5" w:tplc="CFA43FA6">
      <w:numFmt w:val="decimal"/>
      <w:lvlText w:val=""/>
      <w:lvlJc w:val="left"/>
    </w:lvl>
    <w:lvl w:ilvl="6" w:tplc="29D41CDA">
      <w:numFmt w:val="decimal"/>
      <w:lvlText w:val=""/>
      <w:lvlJc w:val="left"/>
    </w:lvl>
    <w:lvl w:ilvl="7" w:tplc="3F5C23A8">
      <w:numFmt w:val="decimal"/>
      <w:lvlText w:val=""/>
      <w:lvlJc w:val="left"/>
    </w:lvl>
    <w:lvl w:ilvl="8" w:tplc="5AEEBB64">
      <w:numFmt w:val="decimal"/>
      <w:lvlText w:val=""/>
      <w:lvlJc w:val="left"/>
    </w:lvl>
  </w:abstractNum>
  <w:abstractNum w:abstractNumId="969" w15:restartNumberingAfterBreak="0">
    <w:nsid w:val="68252DA7"/>
    <w:multiLevelType w:val="hybridMultilevel"/>
    <w:tmpl w:val="3836C318"/>
    <w:lvl w:ilvl="0" w:tplc="0556FB5A">
      <w:start w:val="1"/>
      <w:numFmt w:val="bullet"/>
      <w:lvlText w:val=""/>
      <w:lvlJc w:val="left"/>
      <w:pPr>
        <w:ind w:left="720" w:hanging="180"/>
      </w:pPr>
      <w:rPr>
        <w:rFonts w:ascii="Symbol" w:hAnsi="Symbol" w:hint="default"/>
      </w:rPr>
    </w:lvl>
    <w:lvl w:ilvl="1" w:tplc="4852F990">
      <w:numFmt w:val="decimal"/>
      <w:lvlText w:val=""/>
      <w:lvlJc w:val="left"/>
    </w:lvl>
    <w:lvl w:ilvl="2" w:tplc="B2CE08BE">
      <w:numFmt w:val="decimal"/>
      <w:lvlText w:val=""/>
      <w:lvlJc w:val="left"/>
    </w:lvl>
    <w:lvl w:ilvl="3" w:tplc="A0E4C726">
      <w:numFmt w:val="decimal"/>
      <w:lvlText w:val=""/>
      <w:lvlJc w:val="left"/>
    </w:lvl>
    <w:lvl w:ilvl="4" w:tplc="8C343200">
      <w:numFmt w:val="decimal"/>
      <w:lvlText w:val=""/>
      <w:lvlJc w:val="left"/>
    </w:lvl>
    <w:lvl w:ilvl="5" w:tplc="A8E848F6">
      <w:numFmt w:val="decimal"/>
      <w:lvlText w:val=""/>
      <w:lvlJc w:val="left"/>
    </w:lvl>
    <w:lvl w:ilvl="6" w:tplc="697AFE6A">
      <w:numFmt w:val="decimal"/>
      <w:lvlText w:val=""/>
      <w:lvlJc w:val="left"/>
    </w:lvl>
    <w:lvl w:ilvl="7" w:tplc="AF804DF6">
      <w:numFmt w:val="decimal"/>
      <w:lvlText w:val=""/>
      <w:lvlJc w:val="left"/>
    </w:lvl>
    <w:lvl w:ilvl="8" w:tplc="269201CA">
      <w:numFmt w:val="decimal"/>
      <w:lvlText w:val=""/>
      <w:lvlJc w:val="left"/>
    </w:lvl>
  </w:abstractNum>
  <w:abstractNum w:abstractNumId="970" w15:restartNumberingAfterBreak="0">
    <w:nsid w:val="68317D41"/>
    <w:multiLevelType w:val="hybridMultilevel"/>
    <w:tmpl w:val="F2A4468A"/>
    <w:lvl w:ilvl="0" w:tplc="9B6044A2">
      <w:start w:val="1"/>
      <w:numFmt w:val="bullet"/>
      <w:lvlText w:val=""/>
      <w:lvlJc w:val="left"/>
      <w:pPr>
        <w:ind w:left="720" w:hanging="180"/>
      </w:pPr>
      <w:rPr>
        <w:rFonts w:ascii="Symbol" w:hAnsi="Symbol" w:hint="default"/>
      </w:rPr>
    </w:lvl>
    <w:lvl w:ilvl="1" w:tplc="6B480EEA">
      <w:numFmt w:val="decimal"/>
      <w:lvlText w:val=""/>
      <w:lvlJc w:val="left"/>
    </w:lvl>
    <w:lvl w:ilvl="2" w:tplc="AA920CD6">
      <w:numFmt w:val="decimal"/>
      <w:lvlText w:val=""/>
      <w:lvlJc w:val="left"/>
    </w:lvl>
    <w:lvl w:ilvl="3" w:tplc="DA06C9A2">
      <w:numFmt w:val="decimal"/>
      <w:lvlText w:val=""/>
      <w:lvlJc w:val="left"/>
    </w:lvl>
    <w:lvl w:ilvl="4" w:tplc="E67A7E74">
      <w:numFmt w:val="decimal"/>
      <w:lvlText w:val=""/>
      <w:lvlJc w:val="left"/>
    </w:lvl>
    <w:lvl w:ilvl="5" w:tplc="91529D06">
      <w:numFmt w:val="decimal"/>
      <w:lvlText w:val=""/>
      <w:lvlJc w:val="left"/>
    </w:lvl>
    <w:lvl w:ilvl="6" w:tplc="7486A7E4">
      <w:numFmt w:val="decimal"/>
      <w:lvlText w:val=""/>
      <w:lvlJc w:val="left"/>
    </w:lvl>
    <w:lvl w:ilvl="7" w:tplc="49E2EB28">
      <w:numFmt w:val="decimal"/>
      <w:lvlText w:val=""/>
      <w:lvlJc w:val="left"/>
    </w:lvl>
    <w:lvl w:ilvl="8" w:tplc="106687F2">
      <w:numFmt w:val="decimal"/>
      <w:lvlText w:val=""/>
      <w:lvlJc w:val="left"/>
    </w:lvl>
  </w:abstractNum>
  <w:abstractNum w:abstractNumId="971" w15:restartNumberingAfterBreak="0">
    <w:nsid w:val="68420737"/>
    <w:multiLevelType w:val="hybridMultilevel"/>
    <w:tmpl w:val="17022CFC"/>
    <w:lvl w:ilvl="0" w:tplc="443E5F9A">
      <w:start w:val="1"/>
      <w:numFmt w:val="bullet"/>
      <w:lvlText w:val=""/>
      <w:lvlJc w:val="left"/>
      <w:pPr>
        <w:ind w:left="720" w:hanging="180"/>
      </w:pPr>
      <w:rPr>
        <w:rFonts w:ascii="Symbol" w:hAnsi="Symbol" w:hint="default"/>
      </w:rPr>
    </w:lvl>
    <w:lvl w:ilvl="1" w:tplc="2D906F78">
      <w:numFmt w:val="decimal"/>
      <w:lvlText w:val=""/>
      <w:lvlJc w:val="left"/>
    </w:lvl>
    <w:lvl w:ilvl="2" w:tplc="C46C1538">
      <w:numFmt w:val="decimal"/>
      <w:lvlText w:val=""/>
      <w:lvlJc w:val="left"/>
    </w:lvl>
    <w:lvl w:ilvl="3" w:tplc="625AB6A6">
      <w:numFmt w:val="decimal"/>
      <w:lvlText w:val=""/>
      <w:lvlJc w:val="left"/>
    </w:lvl>
    <w:lvl w:ilvl="4" w:tplc="8CA03B9E">
      <w:numFmt w:val="decimal"/>
      <w:lvlText w:val=""/>
      <w:lvlJc w:val="left"/>
    </w:lvl>
    <w:lvl w:ilvl="5" w:tplc="8AB48806">
      <w:numFmt w:val="decimal"/>
      <w:lvlText w:val=""/>
      <w:lvlJc w:val="left"/>
    </w:lvl>
    <w:lvl w:ilvl="6" w:tplc="F392DDA2">
      <w:numFmt w:val="decimal"/>
      <w:lvlText w:val=""/>
      <w:lvlJc w:val="left"/>
    </w:lvl>
    <w:lvl w:ilvl="7" w:tplc="3E20DF58">
      <w:numFmt w:val="decimal"/>
      <w:lvlText w:val=""/>
      <w:lvlJc w:val="left"/>
    </w:lvl>
    <w:lvl w:ilvl="8" w:tplc="E646B546">
      <w:numFmt w:val="decimal"/>
      <w:lvlText w:val=""/>
      <w:lvlJc w:val="left"/>
    </w:lvl>
  </w:abstractNum>
  <w:abstractNum w:abstractNumId="972" w15:restartNumberingAfterBreak="0">
    <w:nsid w:val="68537825"/>
    <w:multiLevelType w:val="hybridMultilevel"/>
    <w:tmpl w:val="E6C6CF90"/>
    <w:lvl w:ilvl="0" w:tplc="54941C28">
      <w:start w:val="1"/>
      <w:numFmt w:val="bullet"/>
      <w:lvlText w:val=""/>
      <w:lvlJc w:val="left"/>
      <w:pPr>
        <w:ind w:left="720" w:hanging="180"/>
      </w:pPr>
      <w:rPr>
        <w:rFonts w:ascii="Symbol" w:hAnsi="Symbol" w:hint="default"/>
      </w:rPr>
    </w:lvl>
    <w:lvl w:ilvl="1" w:tplc="87821E44">
      <w:numFmt w:val="decimal"/>
      <w:lvlText w:val=""/>
      <w:lvlJc w:val="left"/>
    </w:lvl>
    <w:lvl w:ilvl="2" w:tplc="7B5E3D76">
      <w:numFmt w:val="decimal"/>
      <w:lvlText w:val=""/>
      <w:lvlJc w:val="left"/>
    </w:lvl>
    <w:lvl w:ilvl="3" w:tplc="4300C572">
      <w:numFmt w:val="decimal"/>
      <w:lvlText w:val=""/>
      <w:lvlJc w:val="left"/>
    </w:lvl>
    <w:lvl w:ilvl="4" w:tplc="5296C3BE">
      <w:numFmt w:val="decimal"/>
      <w:lvlText w:val=""/>
      <w:lvlJc w:val="left"/>
    </w:lvl>
    <w:lvl w:ilvl="5" w:tplc="D2D82CA8">
      <w:numFmt w:val="decimal"/>
      <w:lvlText w:val=""/>
      <w:lvlJc w:val="left"/>
    </w:lvl>
    <w:lvl w:ilvl="6" w:tplc="789ECF38">
      <w:numFmt w:val="decimal"/>
      <w:lvlText w:val=""/>
      <w:lvlJc w:val="left"/>
    </w:lvl>
    <w:lvl w:ilvl="7" w:tplc="1CAE83DA">
      <w:numFmt w:val="decimal"/>
      <w:lvlText w:val=""/>
      <w:lvlJc w:val="left"/>
    </w:lvl>
    <w:lvl w:ilvl="8" w:tplc="EAB024FC">
      <w:numFmt w:val="decimal"/>
      <w:lvlText w:val=""/>
      <w:lvlJc w:val="left"/>
    </w:lvl>
  </w:abstractNum>
  <w:abstractNum w:abstractNumId="973" w15:restartNumberingAfterBreak="0">
    <w:nsid w:val="685C5F09"/>
    <w:multiLevelType w:val="hybridMultilevel"/>
    <w:tmpl w:val="4E6CE0BA"/>
    <w:lvl w:ilvl="0" w:tplc="D146FBB6">
      <w:start w:val="1"/>
      <w:numFmt w:val="bullet"/>
      <w:lvlText w:val=""/>
      <w:lvlJc w:val="left"/>
      <w:pPr>
        <w:ind w:left="720" w:hanging="180"/>
      </w:pPr>
      <w:rPr>
        <w:rFonts w:ascii="Symbol" w:hAnsi="Symbol" w:hint="default"/>
      </w:rPr>
    </w:lvl>
    <w:lvl w:ilvl="1" w:tplc="02CCAC82">
      <w:numFmt w:val="decimal"/>
      <w:lvlText w:val=""/>
      <w:lvlJc w:val="left"/>
    </w:lvl>
    <w:lvl w:ilvl="2" w:tplc="70CA7C8A">
      <w:numFmt w:val="decimal"/>
      <w:lvlText w:val=""/>
      <w:lvlJc w:val="left"/>
    </w:lvl>
    <w:lvl w:ilvl="3" w:tplc="3C284030">
      <w:numFmt w:val="decimal"/>
      <w:lvlText w:val=""/>
      <w:lvlJc w:val="left"/>
    </w:lvl>
    <w:lvl w:ilvl="4" w:tplc="046AAD56">
      <w:numFmt w:val="decimal"/>
      <w:lvlText w:val=""/>
      <w:lvlJc w:val="left"/>
    </w:lvl>
    <w:lvl w:ilvl="5" w:tplc="51CC79F6">
      <w:numFmt w:val="decimal"/>
      <w:lvlText w:val=""/>
      <w:lvlJc w:val="left"/>
    </w:lvl>
    <w:lvl w:ilvl="6" w:tplc="3DD0BCD6">
      <w:numFmt w:val="decimal"/>
      <w:lvlText w:val=""/>
      <w:lvlJc w:val="left"/>
    </w:lvl>
    <w:lvl w:ilvl="7" w:tplc="E190E908">
      <w:numFmt w:val="decimal"/>
      <w:lvlText w:val=""/>
      <w:lvlJc w:val="left"/>
    </w:lvl>
    <w:lvl w:ilvl="8" w:tplc="880488A4">
      <w:numFmt w:val="decimal"/>
      <w:lvlText w:val=""/>
      <w:lvlJc w:val="left"/>
    </w:lvl>
  </w:abstractNum>
  <w:abstractNum w:abstractNumId="974" w15:restartNumberingAfterBreak="0">
    <w:nsid w:val="68955B79"/>
    <w:multiLevelType w:val="hybridMultilevel"/>
    <w:tmpl w:val="DD824CF4"/>
    <w:lvl w:ilvl="0" w:tplc="A7D88714">
      <w:start w:val="1"/>
      <w:numFmt w:val="bullet"/>
      <w:lvlText w:val=""/>
      <w:lvlJc w:val="left"/>
      <w:pPr>
        <w:ind w:left="720" w:hanging="180"/>
      </w:pPr>
      <w:rPr>
        <w:rFonts w:ascii="Symbol" w:hAnsi="Symbol" w:hint="default"/>
      </w:rPr>
    </w:lvl>
    <w:lvl w:ilvl="1" w:tplc="92E25F24">
      <w:numFmt w:val="decimal"/>
      <w:lvlText w:val=""/>
      <w:lvlJc w:val="left"/>
    </w:lvl>
    <w:lvl w:ilvl="2" w:tplc="3FE6A450">
      <w:numFmt w:val="decimal"/>
      <w:lvlText w:val=""/>
      <w:lvlJc w:val="left"/>
    </w:lvl>
    <w:lvl w:ilvl="3" w:tplc="029C6782">
      <w:numFmt w:val="decimal"/>
      <w:lvlText w:val=""/>
      <w:lvlJc w:val="left"/>
    </w:lvl>
    <w:lvl w:ilvl="4" w:tplc="56185CC0">
      <w:numFmt w:val="decimal"/>
      <w:lvlText w:val=""/>
      <w:lvlJc w:val="left"/>
    </w:lvl>
    <w:lvl w:ilvl="5" w:tplc="CF708342">
      <w:numFmt w:val="decimal"/>
      <w:lvlText w:val=""/>
      <w:lvlJc w:val="left"/>
    </w:lvl>
    <w:lvl w:ilvl="6" w:tplc="070E0EE2">
      <w:numFmt w:val="decimal"/>
      <w:lvlText w:val=""/>
      <w:lvlJc w:val="left"/>
    </w:lvl>
    <w:lvl w:ilvl="7" w:tplc="74EAD230">
      <w:numFmt w:val="decimal"/>
      <w:lvlText w:val=""/>
      <w:lvlJc w:val="left"/>
    </w:lvl>
    <w:lvl w:ilvl="8" w:tplc="22C2B856">
      <w:numFmt w:val="decimal"/>
      <w:lvlText w:val=""/>
      <w:lvlJc w:val="left"/>
    </w:lvl>
  </w:abstractNum>
  <w:abstractNum w:abstractNumId="975" w15:restartNumberingAfterBreak="0">
    <w:nsid w:val="68F43886"/>
    <w:multiLevelType w:val="hybridMultilevel"/>
    <w:tmpl w:val="59626F5C"/>
    <w:lvl w:ilvl="0" w:tplc="AD788616">
      <w:start w:val="1"/>
      <w:numFmt w:val="bullet"/>
      <w:lvlText w:val=""/>
      <w:lvlJc w:val="left"/>
      <w:pPr>
        <w:ind w:left="720" w:hanging="180"/>
      </w:pPr>
      <w:rPr>
        <w:rFonts w:ascii="Symbol" w:hAnsi="Symbol" w:hint="default"/>
      </w:rPr>
    </w:lvl>
    <w:lvl w:ilvl="1" w:tplc="9B8A7294">
      <w:numFmt w:val="decimal"/>
      <w:lvlText w:val=""/>
      <w:lvlJc w:val="left"/>
    </w:lvl>
    <w:lvl w:ilvl="2" w:tplc="29DEA692">
      <w:numFmt w:val="decimal"/>
      <w:lvlText w:val=""/>
      <w:lvlJc w:val="left"/>
    </w:lvl>
    <w:lvl w:ilvl="3" w:tplc="B784CE60">
      <w:numFmt w:val="decimal"/>
      <w:lvlText w:val=""/>
      <w:lvlJc w:val="left"/>
    </w:lvl>
    <w:lvl w:ilvl="4" w:tplc="B5D8D5F8">
      <w:numFmt w:val="decimal"/>
      <w:lvlText w:val=""/>
      <w:lvlJc w:val="left"/>
    </w:lvl>
    <w:lvl w:ilvl="5" w:tplc="154453A4">
      <w:numFmt w:val="decimal"/>
      <w:lvlText w:val=""/>
      <w:lvlJc w:val="left"/>
    </w:lvl>
    <w:lvl w:ilvl="6" w:tplc="44D2ADD6">
      <w:numFmt w:val="decimal"/>
      <w:lvlText w:val=""/>
      <w:lvlJc w:val="left"/>
    </w:lvl>
    <w:lvl w:ilvl="7" w:tplc="73029C80">
      <w:numFmt w:val="decimal"/>
      <w:lvlText w:val=""/>
      <w:lvlJc w:val="left"/>
    </w:lvl>
    <w:lvl w:ilvl="8" w:tplc="770A301A">
      <w:numFmt w:val="decimal"/>
      <w:lvlText w:val=""/>
      <w:lvlJc w:val="left"/>
    </w:lvl>
  </w:abstractNum>
  <w:abstractNum w:abstractNumId="976" w15:restartNumberingAfterBreak="0">
    <w:nsid w:val="691B013C"/>
    <w:multiLevelType w:val="hybridMultilevel"/>
    <w:tmpl w:val="F65810A8"/>
    <w:lvl w:ilvl="0" w:tplc="3B72009E">
      <w:start w:val="1"/>
      <w:numFmt w:val="bullet"/>
      <w:lvlText w:val=""/>
      <w:lvlJc w:val="left"/>
      <w:pPr>
        <w:ind w:left="720" w:hanging="180"/>
      </w:pPr>
      <w:rPr>
        <w:rFonts w:ascii="Symbol" w:hAnsi="Symbol" w:hint="default"/>
      </w:rPr>
    </w:lvl>
    <w:lvl w:ilvl="1" w:tplc="22EE70A4">
      <w:numFmt w:val="decimal"/>
      <w:lvlText w:val=""/>
      <w:lvlJc w:val="left"/>
    </w:lvl>
    <w:lvl w:ilvl="2" w:tplc="C97C2912">
      <w:numFmt w:val="decimal"/>
      <w:lvlText w:val=""/>
      <w:lvlJc w:val="left"/>
    </w:lvl>
    <w:lvl w:ilvl="3" w:tplc="FBCA2116">
      <w:numFmt w:val="decimal"/>
      <w:lvlText w:val=""/>
      <w:lvlJc w:val="left"/>
    </w:lvl>
    <w:lvl w:ilvl="4" w:tplc="9B22CF1E">
      <w:numFmt w:val="decimal"/>
      <w:lvlText w:val=""/>
      <w:lvlJc w:val="left"/>
    </w:lvl>
    <w:lvl w:ilvl="5" w:tplc="53463478">
      <w:numFmt w:val="decimal"/>
      <w:lvlText w:val=""/>
      <w:lvlJc w:val="left"/>
    </w:lvl>
    <w:lvl w:ilvl="6" w:tplc="719844D0">
      <w:numFmt w:val="decimal"/>
      <w:lvlText w:val=""/>
      <w:lvlJc w:val="left"/>
    </w:lvl>
    <w:lvl w:ilvl="7" w:tplc="356E3F7E">
      <w:numFmt w:val="decimal"/>
      <w:lvlText w:val=""/>
      <w:lvlJc w:val="left"/>
    </w:lvl>
    <w:lvl w:ilvl="8" w:tplc="3426E1F0">
      <w:numFmt w:val="decimal"/>
      <w:lvlText w:val=""/>
      <w:lvlJc w:val="left"/>
    </w:lvl>
  </w:abstractNum>
  <w:abstractNum w:abstractNumId="977" w15:restartNumberingAfterBreak="0">
    <w:nsid w:val="693B3771"/>
    <w:multiLevelType w:val="hybridMultilevel"/>
    <w:tmpl w:val="632274FC"/>
    <w:lvl w:ilvl="0" w:tplc="6D584AFA">
      <w:start w:val="1"/>
      <w:numFmt w:val="bullet"/>
      <w:lvlText w:val=""/>
      <w:lvlJc w:val="left"/>
      <w:pPr>
        <w:ind w:left="720" w:hanging="180"/>
      </w:pPr>
      <w:rPr>
        <w:rFonts w:ascii="Symbol" w:hAnsi="Symbol" w:hint="default"/>
      </w:rPr>
    </w:lvl>
    <w:lvl w:ilvl="1" w:tplc="F0E2B852">
      <w:numFmt w:val="decimal"/>
      <w:lvlText w:val=""/>
      <w:lvlJc w:val="left"/>
    </w:lvl>
    <w:lvl w:ilvl="2" w:tplc="91120776">
      <w:numFmt w:val="decimal"/>
      <w:lvlText w:val=""/>
      <w:lvlJc w:val="left"/>
    </w:lvl>
    <w:lvl w:ilvl="3" w:tplc="BC1E4DA4">
      <w:numFmt w:val="decimal"/>
      <w:lvlText w:val=""/>
      <w:lvlJc w:val="left"/>
    </w:lvl>
    <w:lvl w:ilvl="4" w:tplc="04D60774">
      <w:numFmt w:val="decimal"/>
      <w:lvlText w:val=""/>
      <w:lvlJc w:val="left"/>
    </w:lvl>
    <w:lvl w:ilvl="5" w:tplc="3154D240">
      <w:numFmt w:val="decimal"/>
      <w:lvlText w:val=""/>
      <w:lvlJc w:val="left"/>
    </w:lvl>
    <w:lvl w:ilvl="6" w:tplc="741AAD04">
      <w:numFmt w:val="decimal"/>
      <w:lvlText w:val=""/>
      <w:lvlJc w:val="left"/>
    </w:lvl>
    <w:lvl w:ilvl="7" w:tplc="DDFC9A10">
      <w:numFmt w:val="decimal"/>
      <w:lvlText w:val=""/>
      <w:lvlJc w:val="left"/>
    </w:lvl>
    <w:lvl w:ilvl="8" w:tplc="DF9052E6">
      <w:numFmt w:val="decimal"/>
      <w:lvlText w:val=""/>
      <w:lvlJc w:val="left"/>
    </w:lvl>
  </w:abstractNum>
  <w:abstractNum w:abstractNumId="978" w15:restartNumberingAfterBreak="0">
    <w:nsid w:val="69522B01"/>
    <w:multiLevelType w:val="hybridMultilevel"/>
    <w:tmpl w:val="F37EF076"/>
    <w:lvl w:ilvl="0" w:tplc="88AA61B2">
      <w:numFmt w:val="decimal"/>
      <w:lvlText w:val=""/>
      <w:lvlJc w:val="left"/>
    </w:lvl>
    <w:lvl w:ilvl="1" w:tplc="54825F1C">
      <w:numFmt w:val="decimal"/>
      <w:lvlText w:val=""/>
      <w:lvlJc w:val="left"/>
    </w:lvl>
    <w:lvl w:ilvl="2" w:tplc="19948812">
      <w:start w:val="1"/>
      <w:numFmt w:val="bullet"/>
      <w:lvlText w:val=""/>
      <w:lvlJc w:val="left"/>
      <w:pPr>
        <w:ind w:left="2160" w:hanging="180"/>
      </w:pPr>
      <w:rPr>
        <w:rFonts w:ascii="Symbol" w:hAnsi="Symbol" w:hint="default"/>
      </w:rPr>
    </w:lvl>
    <w:lvl w:ilvl="3" w:tplc="AA84FDBE">
      <w:numFmt w:val="decimal"/>
      <w:lvlText w:val=""/>
      <w:lvlJc w:val="left"/>
    </w:lvl>
    <w:lvl w:ilvl="4" w:tplc="E4D67638">
      <w:numFmt w:val="decimal"/>
      <w:lvlText w:val=""/>
      <w:lvlJc w:val="left"/>
    </w:lvl>
    <w:lvl w:ilvl="5" w:tplc="E45C3CC0">
      <w:numFmt w:val="decimal"/>
      <w:lvlText w:val=""/>
      <w:lvlJc w:val="left"/>
    </w:lvl>
    <w:lvl w:ilvl="6" w:tplc="1A1E7068">
      <w:numFmt w:val="decimal"/>
      <w:lvlText w:val=""/>
      <w:lvlJc w:val="left"/>
    </w:lvl>
    <w:lvl w:ilvl="7" w:tplc="B3F2CF9E">
      <w:numFmt w:val="decimal"/>
      <w:lvlText w:val=""/>
      <w:lvlJc w:val="left"/>
    </w:lvl>
    <w:lvl w:ilvl="8" w:tplc="7E3C4020">
      <w:numFmt w:val="decimal"/>
      <w:lvlText w:val=""/>
      <w:lvlJc w:val="left"/>
    </w:lvl>
  </w:abstractNum>
  <w:abstractNum w:abstractNumId="979" w15:restartNumberingAfterBreak="0">
    <w:nsid w:val="69761645"/>
    <w:multiLevelType w:val="hybridMultilevel"/>
    <w:tmpl w:val="051421C4"/>
    <w:lvl w:ilvl="0" w:tplc="E4F668F2">
      <w:start w:val="1"/>
      <w:numFmt w:val="bullet"/>
      <w:lvlText w:val=""/>
      <w:lvlJc w:val="left"/>
      <w:pPr>
        <w:ind w:left="720" w:hanging="180"/>
      </w:pPr>
      <w:rPr>
        <w:rFonts w:ascii="Symbol" w:hAnsi="Symbol" w:hint="default"/>
      </w:rPr>
    </w:lvl>
    <w:lvl w:ilvl="1" w:tplc="AC3CE3E8">
      <w:numFmt w:val="decimal"/>
      <w:lvlText w:val=""/>
      <w:lvlJc w:val="left"/>
    </w:lvl>
    <w:lvl w:ilvl="2" w:tplc="D5EA1D24">
      <w:numFmt w:val="decimal"/>
      <w:lvlText w:val=""/>
      <w:lvlJc w:val="left"/>
    </w:lvl>
    <w:lvl w:ilvl="3" w:tplc="2D988F34">
      <w:numFmt w:val="decimal"/>
      <w:lvlText w:val=""/>
      <w:lvlJc w:val="left"/>
    </w:lvl>
    <w:lvl w:ilvl="4" w:tplc="2E36138C">
      <w:numFmt w:val="decimal"/>
      <w:lvlText w:val=""/>
      <w:lvlJc w:val="left"/>
    </w:lvl>
    <w:lvl w:ilvl="5" w:tplc="22ACAD4C">
      <w:numFmt w:val="decimal"/>
      <w:lvlText w:val=""/>
      <w:lvlJc w:val="left"/>
    </w:lvl>
    <w:lvl w:ilvl="6" w:tplc="C4FEDF3C">
      <w:numFmt w:val="decimal"/>
      <w:lvlText w:val=""/>
      <w:lvlJc w:val="left"/>
    </w:lvl>
    <w:lvl w:ilvl="7" w:tplc="B65698E2">
      <w:numFmt w:val="decimal"/>
      <w:lvlText w:val=""/>
      <w:lvlJc w:val="left"/>
    </w:lvl>
    <w:lvl w:ilvl="8" w:tplc="AAD07E6A">
      <w:numFmt w:val="decimal"/>
      <w:lvlText w:val=""/>
      <w:lvlJc w:val="left"/>
    </w:lvl>
  </w:abstractNum>
  <w:abstractNum w:abstractNumId="980" w15:restartNumberingAfterBreak="0">
    <w:nsid w:val="699B2416"/>
    <w:multiLevelType w:val="hybridMultilevel"/>
    <w:tmpl w:val="35CACD92"/>
    <w:lvl w:ilvl="0" w:tplc="13866DA8">
      <w:start w:val="1"/>
      <w:numFmt w:val="bullet"/>
      <w:lvlText w:val=""/>
      <w:lvlJc w:val="left"/>
      <w:pPr>
        <w:ind w:left="720" w:hanging="180"/>
      </w:pPr>
      <w:rPr>
        <w:rFonts w:ascii="Symbol" w:hAnsi="Symbol" w:hint="default"/>
      </w:rPr>
    </w:lvl>
    <w:lvl w:ilvl="1" w:tplc="58648172">
      <w:numFmt w:val="decimal"/>
      <w:lvlText w:val=""/>
      <w:lvlJc w:val="left"/>
    </w:lvl>
    <w:lvl w:ilvl="2" w:tplc="7EF285A6">
      <w:numFmt w:val="decimal"/>
      <w:lvlText w:val=""/>
      <w:lvlJc w:val="left"/>
    </w:lvl>
    <w:lvl w:ilvl="3" w:tplc="A9640738">
      <w:numFmt w:val="decimal"/>
      <w:lvlText w:val=""/>
      <w:lvlJc w:val="left"/>
    </w:lvl>
    <w:lvl w:ilvl="4" w:tplc="52D4212C">
      <w:numFmt w:val="decimal"/>
      <w:lvlText w:val=""/>
      <w:lvlJc w:val="left"/>
    </w:lvl>
    <w:lvl w:ilvl="5" w:tplc="DD20B85C">
      <w:numFmt w:val="decimal"/>
      <w:lvlText w:val=""/>
      <w:lvlJc w:val="left"/>
    </w:lvl>
    <w:lvl w:ilvl="6" w:tplc="503A1458">
      <w:numFmt w:val="decimal"/>
      <w:lvlText w:val=""/>
      <w:lvlJc w:val="left"/>
    </w:lvl>
    <w:lvl w:ilvl="7" w:tplc="E9A876AC">
      <w:numFmt w:val="decimal"/>
      <w:lvlText w:val=""/>
      <w:lvlJc w:val="left"/>
    </w:lvl>
    <w:lvl w:ilvl="8" w:tplc="00F887D4">
      <w:numFmt w:val="decimal"/>
      <w:lvlText w:val=""/>
      <w:lvlJc w:val="left"/>
    </w:lvl>
  </w:abstractNum>
  <w:abstractNum w:abstractNumId="981" w15:restartNumberingAfterBreak="0">
    <w:nsid w:val="69A4769A"/>
    <w:multiLevelType w:val="hybridMultilevel"/>
    <w:tmpl w:val="8BBAC22E"/>
    <w:lvl w:ilvl="0" w:tplc="E552410A">
      <w:start w:val="1"/>
      <w:numFmt w:val="bullet"/>
      <w:lvlText w:val=""/>
      <w:lvlJc w:val="left"/>
      <w:pPr>
        <w:ind w:left="720" w:hanging="180"/>
      </w:pPr>
      <w:rPr>
        <w:rFonts w:ascii="Symbol" w:hAnsi="Symbol" w:hint="default"/>
      </w:rPr>
    </w:lvl>
    <w:lvl w:ilvl="1" w:tplc="81CAA282">
      <w:numFmt w:val="decimal"/>
      <w:lvlText w:val=""/>
      <w:lvlJc w:val="left"/>
    </w:lvl>
    <w:lvl w:ilvl="2" w:tplc="008AE7B8">
      <w:numFmt w:val="decimal"/>
      <w:lvlText w:val=""/>
      <w:lvlJc w:val="left"/>
    </w:lvl>
    <w:lvl w:ilvl="3" w:tplc="21647AC0">
      <w:numFmt w:val="decimal"/>
      <w:lvlText w:val=""/>
      <w:lvlJc w:val="left"/>
    </w:lvl>
    <w:lvl w:ilvl="4" w:tplc="AE3E2000">
      <w:numFmt w:val="decimal"/>
      <w:lvlText w:val=""/>
      <w:lvlJc w:val="left"/>
    </w:lvl>
    <w:lvl w:ilvl="5" w:tplc="127CA422">
      <w:numFmt w:val="decimal"/>
      <w:lvlText w:val=""/>
      <w:lvlJc w:val="left"/>
    </w:lvl>
    <w:lvl w:ilvl="6" w:tplc="41D4B728">
      <w:numFmt w:val="decimal"/>
      <w:lvlText w:val=""/>
      <w:lvlJc w:val="left"/>
    </w:lvl>
    <w:lvl w:ilvl="7" w:tplc="165637CC">
      <w:numFmt w:val="decimal"/>
      <w:lvlText w:val=""/>
      <w:lvlJc w:val="left"/>
    </w:lvl>
    <w:lvl w:ilvl="8" w:tplc="158E3004">
      <w:numFmt w:val="decimal"/>
      <w:lvlText w:val=""/>
      <w:lvlJc w:val="left"/>
    </w:lvl>
  </w:abstractNum>
  <w:abstractNum w:abstractNumId="982" w15:restartNumberingAfterBreak="0">
    <w:nsid w:val="69B17B6C"/>
    <w:multiLevelType w:val="hybridMultilevel"/>
    <w:tmpl w:val="5D82E0BA"/>
    <w:lvl w:ilvl="0" w:tplc="C33A1DE2">
      <w:start w:val="1"/>
      <w:numFmt w:val="bullet"/>
      <w:lvlText w:val=""/>
      <w:lvlJc w:val="left"/>
      <w:pPr>
        <w:ind w:left="720" w:hanging="180"/>
      </w:pPr>
      <w:rPr>
        <w:rFonts w:ascii="Symbol" w:hAnsi="Symbol" w:hint="default"/>
      </w:rPr>
    </w:lvl>
    <w:lvl w:ilvl="1" w:tplc="A72A639A">
      <w:numFmt w:val="decimal"/>
      <w:lvlText w:val=""/>
      <w:lvlJc w:val="left"/>
    </w:lvl>
    <w:lvl w:ilvl="2" w:tplc="825696F2">
      <w:numFmt w:val="decimal"/>
      <w:lvlText w:val=""/>
      <w:lvlJc w:val="left"/>
    </w:lvl>
    <w:lvl w:ilvl="3" w:tplc="373ED412">
      <w:numFmt w:val="decimal"/>
      <w:lvlText w:val=""/>
      <w:lvlJc w:val="left"/>
    </w:lvl>
    <w:lvl w:ilvl="4" w:tplc="74463CB2">
      <w:numFmt w:val="decimal"/>
      <w:lvlText w:val=""/>
      <w:lvlJc w:val="left"/>
    </w:lvl>
    <w:lvl w:ilvl="5" w:tplc="E508E516">
      <w:numFmt w:val="decimal"/>
      <w:lvlText w:val=""/>
      <w:lvlJc w:val="left"/>
    </w:lvl>
    <w:lvl w:ilvl="6" w:tplc="15B41028">
      <w:numFmt w:val="decimal"/>
      <w:lvlText w:val=""/>
      <w:lvlJc w:val="left"/>
    </w:lvl>
    <w:lvl w:ilvl="7" w:tplc="24B490A0">
      <w:numFmt w:val="decimal"/>
      <w:lvlText w:val=""/>
      <w:lvlJc w:val="left"/>
    </w:lvl>
    <w:lvl w:ilvl="8" w:tplc="F6826B68">
      <w:numFmt w:val="decimal"/>
      <w:lvlText w:val=""/>
      <w:lvlJc w:val="left"/>
    </w:lvl>
  </w:abstractNum>
  <w:abstractNum w:abstractNumId="983" w15:restartNumberingAfterBreak="0">
    <w:nsid w:val="69D0277A"/>
    <w:multiLevelType w:val="hybridMultilevel"/>
    <w:tmpl w:val="71E60CAA"/>
    <w:lvl w:ilvl="0" w:tplc="226CD8D6">
      <w:start w:val="1"/>
      <w:numFmt w:val="bullet"/>
      <w:lvlText w:val=""/>
      <w:lvlJc w:val="left"/>
      <w:pPr>
        <w:ind w:left="720" w:hanging="180"/>
      </w:pPr>
      <w:rPr>
        <w:rFonts w:ascii="Symbol" w:hAnsi="Symbol" w:hint="default"/>
      </w:rPr>
    </w:lvl>
    <w:lvl w:ilvl="1" w:tplc="0BC4E17E">
      <w:numFmt w:val="decimal"/>
      <w:lvlText w:val=""/>
      <w:lvlJc w:val="left"/>
    </w:lvl>
    <w:lvl w:ilvl="2" w:tplc="23D03F48">
      <w:numFmt w:val="decimal"/>
      <w:lvlText w:val=""/>
      <w:lvlJc w:val="left"/>
    </w:lvl>
    <w:lvl w:ilvl="3" w:tplc="02F24B6C">
      <w:numFmt w:val="decimal"/>
      <w:lvlText w:val=""/>
      <w:lvlJc w:val="left"/>
    </w:lvl>
    <w:lvl w:ilvl="4" w:tplc="F6BE7A9A">
      <w:numFmt w:val="decimal"/>
      <w:lvlText w:val=""/>
      <w:lvlJc w:val="left"/>
    </w:lvl>
    <w:lvl w:ilvl="5" w:tplc="D7383992">
      <w:numFmt w:val="decimal"/>
      <w:lvlText w:val=""/>
      <w:lvlJc w:val="left"/>
    </w:lvl>
    <w:lvl w:ilvl="6" w:tplc="EED06B62">
      <w:numFmt w:val="decimal"/>
      <w:lvlText w:val=""/>
      <w:lvlJc w:val="left"/>
    </w:lvl>
    <w:lvl w:ilvl="7" w:tplc="2A2A038A">
      <w:numFmt w:val="decimal"/>
      <w:lvlText w:val=""/>
      <w:lvlJc w:val="left"/>
    </w:lvl>
    <w:lvl w:ilvl="8" w:tplc="081EBB6A">
      <w:numFmt w:val="decimal"/>
      <w:lvlText w:val=""/>
      <w:lvlJc w:val="left"/>
    </w:lvl>
  </w:abstractNum>
  <w:abstractNum w:abstractNumId="984" w15:restartNumberingAfterBreak="0">
    <w:nsid w:val="6A157BE6"/>
    <w:multiLevelType w:val="hybridMultilevel"/>
    <w:tmpl w:val="EDE4CD0E"/>
    <w:lvl w:ilvl="0" w:tplc="208C2062">
      <w:start w:val="1"/>
      <w:numFmt w:val="bullet"/>
      <w:lvlText w:val=""/>
      <w:lvlJc w:val="left"/>
      <w:pPr>
        <w:ind w:left="720" w:hanging="180"/>
      </w:pPr>
      <w:rPr>
        <w:rFonts w:ascii="Symbol" w:hAnsi="Symbol" w:hint="default"/>
      </w:rPr>
    </w:lvl>
    <w:lvl w:ilvl="1" w:tplc="9E3004AC">
      <w:numFmt w:val="decimal"/>
      <w:lvlText w:val=""/>
      <w:lvlJc w:val="left"/>
    </w:lvl>
    <w:lvl w:ilvl="2" w:tplc="8BAE3DA2">
      <w:numFmt w:val="decimal"/>
      <w:lvlText w:val=""/>
      <w:lvlJc w:val="left"/>
    </w:lvl>
    <w:lvl w:ilvl="3" w:tplc="03B0F5B6">
      <w:numFmt w:val="decimal"/>
      <w:lvlText w:val=""/>
      <w:lvlJc w:val="left"/>
    </w:lvl>
    <w:lvl w:ilvl="4" w:tplc="0C00C738">
      <w:numFmt w:val="decimal"/>
      <w:lvlText w:val=""/>
      <w:lvlJc w:val="left"/>
    </w:lvl>
    <w:lvl w:ilvl="5" w:tplc="4C723482">
      <w:numFmt w:val="decimal"/>
      <w:lvlText w:val=""/>
      <w:lvlJc w:val="left"/>
    </w:lvl>
    <w:lvl w:ilvl="6" w:tplc="CD9A1C46">
      <w:numFmt w:val="decimal"/>
      <w:lvlText w:val=""/>
      <w:lvlJc w:val="left"/>
    </w:lvl>
    <w:lvl w:ilvl="7" w:tplc="FD2AE562">
      <w:numFmt w:val="decimal"/>
      <w:lvlText w:val=""/>
      <w:lvlJc w:val="left"/>
    </w:lvl>
    <w:lvl w:ilvl="8" w:tplc="64F695D6">
      <w:numFmt w:val="decimal"/>
      <w:lvlText w:val=""/>
      <w:lvlJc w:val="left"/>
    </w:lvl>
  </w:abstractNum>
  <w:abstractNum w:abstractNumId="985" w15:restartNumberingAfterBreak="0">
    <w:nsid w:val="6A1B4E6B"/>
    <w:multiLevelType w:val="hybridMultilevel"/>
    <w:tmpl w:val="626C46B4"/>
    <w:lvl w:ilvl="0" w:tplc="F54C1ADA">
      <w:start w:val="1"/>
      <w:numFmt w:val="bullet"/>
      <w:lvlText w:val=""/>
      <w:lvlJc w:val="left"/>
      <w:pPr>
        <w:ind w:left="720" w:hanging="180"/>
      </w:pPr>
      <w:rPr>
        <w:rFonts w:ascii="Symbol" w:hAnsi="Symbol" w:hint="default"/>
      </w:rPr>
    </w:lvl>
    <w:lvl w:ilvl="1" w:tplc="97DEA5F2">
      <w:numFmt w:val="decimal"/>
      <w:lvlText w:val=""/>
      <w:lvlJc w:val="left"/>
    </w:lvl>
    <w:lvl w:ilvl="2" w:tplc="B790B2A6">
      <w:numFmt w:val="decimal"/>
      <w:lvlText w:val=""/>
      <w:lvlJc w:val="left"/>
    </w:lvl>
    <w:lvl w:ilvl="3" w:tplc="01E06968">
      <w:numFmt w:val="decimal"/>
      <w:lvlText w:val=""/>
      <w:lvlJc w:val="left"/>
    </w:lvl>
    <w:lvl w:ilvl="4" w:tplc="3B687C72">
      <w:numFmt w:val="decimal"/>
      <w:lvlText w:val=""/>
      <w:lvlJc w:val="left"/>
    </w:lvl>
    <w:lvl w:ilvl="5" w:tplc="C3F4EEEC">
      <w:numFmt w:val="decimal"/>
      <w:lvlText w:val=""/>
      <w:lvlJc w:val="left"/>
    </w:lvl>
    <w:lvl w:ilvl="6" w:tplc="6C5C718A">
      <w:numFmt w:val="decimal"/>
      <w:lvlText w:val=""/>
      <w:lvlJc w:val="left"/>
    </w:lvl>
    <w:lvl w:ilvl="7" w:tplc="473C43AE">
      <w:numFmt w:val="decimal"/>
      <w:lvlText w:val=""/>
      <w:lvlJc w:val="left"/>
    </w:lvl>
    <w:lvl w:ilvl="8" w:tplc="D4CAE0E0">
      <w:numFmt w:val="decimal"/>
      <w:lvlText w:val=""/>
      <w:lvlJc w:val="left"/>
    </w:lvl>
  </w:abstractNum>
  <w:abstractNum w:abstractNumId="986" w15:restartNumberingAfterBreak="0">
    <w:nsid w:val="6A632BBC"/>
    <w:multiLevelType w:val="hybridMultilevel"/>
    <w:tmpl w:val="EE2256DE"/>
    <w:lvl w:ilvl="0" w:tplc="13982C88">
      <w:start w:val="1"/>
      <w:numFmt w:val="bullet"/>
      <w:lvlText w:val=""/>
      <w:lvlJc w:val="left"/>
      <w:pPr>
        <w:ind w:left="720" w:hanging="180"/>
      </w:pPr>
      <w:rPr>
        <w:rFonts w:ascii="Symbol" w:hAnsi="Symbol" w:hint="default"/>
      </w:rPr>
    </w:lvl>
    <w:lvl w:ilvl="1" w:tplc="D5DA9844">
      <w:numFmt w:val="decimal"/>
      <w:lvlText w:val=""/>
      <w:lvlJc w:val="left"/>
    </w:lvl>
    <w:lvl w:ilvl="2" w:tplc="ED9038E4">
      <w:numFmt w:val="decimal"/>
      <w:lvlText w:val=""/>
      <w:lvlJc w:val="left"/>
    </w:lvl>
    <w:lvl w:ilvl="3" w:tplc="005E73E2">
      <w:numFmt w:val="decimal"/>
      <w:lvlText w:val=""/>
      <w:lvlJc w:val="left"/>
    </w:lvl>
    <w:lvl w:ilvl="4" w:tplc="1272FD78">
      <w:numFmt w:val="decimal"/>
      <w:lvlText w:val=""/>
      <w:lvlJc w:val="left"/>
    </w:lvl>
    <w:lvl w:ilvl="5" w:tplc="8E54BA92">
      <w:numFmt w:val="decimal"/>
      <w:lvlText w:val=""/>
      <w:lvlJc w:val="left"/>
    </w:lvl>
    <w:lvl w:ilvl="6" w:tplc="0380BAE0">
      <w:numFmt w:val="decimal"/>
      <w:lvlText w:val=""/>
      <w:lvlJc w:val="left"/>
    </w:lvl>
    <w:lvl w:ilvl="7" w:tplc="C8E816FE">
      <w:numFmt w:val="decimal"/>
      <w:lvlText w:val=""/>
      <w:lvlJc w:val="left"/>
    </w:lvl>
    <w:lvl w:ilvl="8" w:tplc="977AB296">
      <w:numFmt w:val="decimal"/>
      <w:lvlText w:val=""/>
      <w:lvlJc w:val="left"/>
    </w:lvl>
  </w:abstractNum>
  <w:abstractNum w:abstractNumId="987" w15:restartNumberingAfterBreak="0">
    <w:nsid w:val="6A743F31"/>
    <w:multiLevelType w:val="hybridMultilevel"/>
    <w:tmpl w:val="D494C6B0"/>
    <w:lvl w:ilvl="0" w:tplc="CCB4C42A">
      <w:start w:val="1"/>
      <w:numFmt w:val="bullet"/>
      <w:lvlText w:val=""/>
      <w:lvlJc w:val="left"/>
      <w:pPr>
        <w:ind w:left="720" w:hanging="180"/>
      </w:pPr>
      <w:rPr>
        <w:rFonts w:ascii="Symbol" w:hAnsi="Symbol" w:hint="default"/>
      </w:rPr>
    </w:lvl>
    <w:lvl w:ilvl="1" w:tplc="053412AA">
      <w:numFmt w:val="decimal"/>
      <w:lvlText w:val=""/>
      <w:lvlJc w:val="left"/>
    </w:lvl>
    <w:lvl w:ilvl="2" w:tplc="7BE69CF0">
      <w:numFmt w:val="decimal"/>
      <w:lvlText w:val=""/>
      <w:lvlJc w:val="left"/>
    </w:lvl>
    <w:lvl w:ilvl="3" w:tplc="4FACFA70">
      <w:numFmt w:val="decimal"/>
      <w:lvlText w:val=""/>
      <w:lvlJc w:val="left"/>
    </w:lvl>
    <w:lvl w:ilvl="4" w:tplc="3DE01894">
      <w:numFmt w:val="decimal"/>
      <w:lvlText w:val=""/>
      <w:lvlJc w:val="left"/>
    </w:lvl>
    <w:lvl w:ilvl="5" w:tplc="600412F6">
      <w:numFmt w:val="decimal"/>
      <w:lvlText w:val=""/>
      <w:lvlJc w:val="left"/>
    </w:lvl>
    <w:lvl w:ilvl="6" w:tplc="E216E92C">
      <w:numFmt w:val="decimal"/>
      <w:lvlText w:val=""/>
      <w:lvlJc w:val="left"/>
    </w:lvl>
    <w:lvl w:ilvl="7" w:tplc="ECD426B6">
      <w:numFmt w:val="decimal"/>
      <w:lvlText w:val=""/>
      <w:lvlJc w:val="left"/>
    </w:lvl>
    <w:lvl w:ilvl="8" w:tplc="7D72E20E">
      <w:numFmt w:val="decimal"/>
      <w:lvlText w:val=""/>
      <w:lvlJc w:val="left"/>
    </w:lvl>
  </w:abstractNum>
  <w:abstractNum w:abstractNumId="988" w15:restartNumberingAfterBreak="0">
    <w:nsid w:val="6A761180"/>
    <w:multiLevelType w:val="hybridMultilevel"/>
    <w:tmpl w:val="353E01B6"/>
    <w:lvl w:ilvl="0" w:tplc="228474C6">
      <w:start w:val="1"/>
      <w:numFmt w:val="bullet"/>
      <w:lvlText w:val=""/>
      <w:lvlJc w:val="left"/>
      <w:pPr>
        <w:ind w:left="720" w:hanging="180"/>
      </w:pPr>
      <w:rPr>
        <w:rFonts w:ascii="Symbol" w:hAnsi="Symbol" w:hint="default"/>
      </w:rPr>
    </w:lvl>
    <w:lvl w:ilvl="1" w:tplc="56DEE548">
      <w:numFmt w:val="decimal"/>
      <w:lvlText w:val=""/>
      <w:lvlJc w:val="left"/>
    </w:lvl>
    <w:lvl w:ilvl="2" w:tplc="8B62C770">
      <w:numFmt w:val="decimal"/>
      <w:lvlText w:val=""/>
      <w:lvlJc w:val="left"/>
    </w:lvl>
    <w:lvl w:ilvl="3" w:tplc="AE4ABA76">
      <w:numFmt w:val="decimal"/>
      <w:lvlText w:val=""/>
      <w:lvlJc w:val="left"/>
    </w:lvl>
    <w:lvl w:ilvl="4" w:tplc="D9A06CD8">
      <w:numFmt w:val="decimal"/>
      <w:lvlText w:val=""/>
      <w:lvlJc w:val="left"/>
    </w:lvl>
    <w:lvl w:ilvl="5" w:tplc="3362942A">
      <w:numFmt w:val="decimal"/>
      <w:lvlText w:val=""/>
      <w:lvlJc w:val="left"/>
    </w:lvl>
    <w:lvl w:ilvl="6" w:tplc="8584B230">
      <w:numFmt w:val="decimal"/>
      <w:lvlText w:val=""/>
      <w:lvlJc w:val="left"/>
    </w:lvl>
    <w:lvl w:ilvl="7" w:tplc="4BC8BC3C">
      <w:numFmt w:val="decimal"/>
      <w:lvlText w:val=""/>
      <w:lvlJc w:val="left"/>
    </w:lvl>
    <w:lvl w:ilvl="8" w:tplc="F6FA9F72">
      <w:numFmt w:val="decimal"/>
      <w:lvlText w:val=""/>
      <w:lvlJc w:val="left"/>
    </w:lvl>
  </w:abstractNum>
  <w:abstractNum w:abstractNumId="989" w15:restartNumberingAfterBreak="0">
    <w:nsid w:val="6AB20535"/>
    <w:multiLevelType w:val="hybridMultilevel"/>
    <w:tmpl w:val="025E0D26"/>
    <w:lvl w:ilvl="0" w:tplc="DF7AC692">
      <w:start w:val="1"/>
      <w:numFmt w:val="bullet"/>
      <w:lvlText w:val=""/>
      <w:lvlJc w:val="left"/>
      <w:pPr>
        <w:ind w:left="720" w:hanging="180"/>
      </w:pPr>
      <w:rPr>
        <w:rFonts w:ascii="Symbol" w:hAnsi="Symbol" w:hint="default"/>
      </w:rPr>
    </w:lvl>
    <w:lvl w:ilvl="1" w:tplc="5060E3F8">
      <w:numFmt w:val="decimal"/>
      <w:lvlText w:val=""/>
      <w:lvlJc w:val="left"/>
    </w:lvl>
    <w:lvl w:ilvl="2" w:tplc="3352277A">
      <w:numFmt w:val="decimal"/>
      <w:lvlText w:val=""/>
      <w:lvlJc w:val="left"/>
    </w:lvl>
    <w:lvl w:ilvl="3" w:tplc="F1C823FC">
      <w:numFmt w:val="decimal"/>
      <w:lvlText w:val=""/>
      <w:lvlJc w:val="left"/>
    </w:lvl>
    <w:lvl w:ilvl="4" w:tplc="C1E02F0C">
      <w:numFmt w:val="decimal"/>
      <w:lvlText w:val=""/>
      <w:lvlJc w:val="left"/>
    </w:lvl>
    <w:lvl w:ilvl="5" w:tplc="57DE5864">
      <w:numFmt w:val="decimal"/>
      <w:lvlText w:val=""/>
      <w:lvlJc w:val="left"/>
    </w:lvl>
    <w:lvl w:ilvl="6" w:tplc="5C907928">
      <w:numFmt w:val="decimal"/>
      <w:lvlText w:val=""/>
      <w:lvlJc w:val="left"/>
    </w:lvl>
    <w:lvl w:ilvl="7" w:tplc="5B740276">
      <w:numFmt w:val="decimal"/>
      <w:lvlText w:val=""/>
      <w:lvlJc w:val="left"/>
    </w:lvl>
    <w:lvl w:ilvl="8" w:tplc="E3245D96">
      <w:numFmt w:val="decimal"/>
      <w:lvlText w:val=""/>
      <w:lvlJc w:val="left"/>
    </w:lvl>
  </w:abstractNum>
  <w:abstractNum w:abstractNumId="990" w15:restartNumberingAfterBreak="0">
    <w:nsid w:val="6AB27474"/>
    <w:multiLevelType w:val="hybridMultilevel"/>
    <w:tmpl w:val="A34E6F5A"/>
    <w:lvl w:ilvl="0" w:tplc="281C05C2">
      <w:start w:val="1"/>
      <w:numFmt w:val="bullet"/>
      <w:lvlText w:val=""/>
      <w:lvlJc w:val="left"/>
      <w:pPr>
        <w:ind w:left="720" w:hanging="180"/>
      </w:pPr>
      <w:rPr>
        <w:rFonts w:ascii="Symbol" w:hAnsi="Symbol" w:hint="default"/>
      </w:rPr>
    </w:lvl>
    <w:lvl w:ilvl="1" w:tplc="4DFA01C0">
      <w:numFmt w:val="decimal"/>
      <w:lvlText w:val=""/>
      <w:lvlJc w:val="left"/>
    </w:lvl>
    <w:lvl w:ilvl="2" w:tplc="6602E1F8">
      <w:numFmt w:val="decimal"/>
      <w:lvlText w:val=""/>
      <w:lvlJc w:val="left"/>
    </w:lvl>
    <w:lvl w:ilvl="3" w:tplc="8D4E5E9C">
      <w:numFmt w:val="decimal"/>
      <w:lvlText w:val=""/>
      <w:lvlJc w:val="left"/>
    </w:lvl>
    <w:lvl w:ilvl="4" w:tplc="E0F82BA2">
      <w:numFmt w:val="decimal"/>
      <w:lvlText w:val=""/>
      <w:lvlJc w:val="left"/>
    </w:lvl>
    <w:lvl w:ilvl="5" w:tplc="31CA93FE">
      <w:numFmt w:val="decimal"/>
      <w:lvlText w:val=""/>
      <w:lvlJc w:val="left"/>
    </w:lvl>
    <w:lvl w:ilvl="6" w:tplc="FAA6357C">
      <w:numFmt w:val="decimal"/>
      <w:lvlText w:val=""/>
      <w:lvlJc w:val="left"/>
    </w:lvl>
    <w:lvl w:ilvl="7" w:tplc="5D68CDB2">
      <w:numFmt w:val="decimal"/>
      <w:lvlText w:val=""/>
      <w:lvlJc w:val="left"/>
    </w:lvl>
    <w:lvl w:ilvl="8" w:tplc="E2962BCC">
      <w:numFmt w:val="decimal"/>
      <w:lvlText w:val=""/>
      <w:lvlJc w:val="left"/>
    </w:lvl>
  </w:abstractNum>
  <w:abstractNum w:abstractNumId="991" w15:restartNumberingAfterBreak="0">
    <w:nsid w:val="6AC019AA"/>
    <w:multiLevelType w:val="hybridMultilevel"/>
    <w:tmpl w:val="697AFB04"/>
    <w:lvl w:ilvl="0" w:tplc="4FAC1396">
      <w:start w:val="1"/>
      <w:numFmt w:val="bullet"/>
      <w:lvlText w:val=""/>
      <w:lvlJc w:val="left"/>
      <w:pPr>
        <w:ind w:left="720" w:hanging="180"/>
      </w:pPr>
      <w:rPr>
        <w:rFonts w:ascii="Symbol" w:hAnsi="Symbol" w:hint="default"/>
      </w:rPr>
    </w:lvl>
    <w:lvl w:ilvl="1" w:tplc="D91EF54C">
      <w:numFmt w:val="decimal"/>
      <w:lvlText w:val=""/>
      <w:lvlJc w:val="left"/>
    </w:lvl>
    <w:lvl w:ilvl="2" w:tplc="2C9473F8">
      <w:numFmt w:val="decimal"/>
      <w:lvlText w:val=""/>
      <w:lvlJc w:val="left"/>
    </w:lvl>
    <w:lvl w:ilvl="3" w:tplc="8EF01350">
      <w:numFmt w:val="decimal"/>
      <w:lvlText w:val=""/>
      <w:lvlJc w:val="left"/>
    </w:lvl>
    <w:lvl w:ilvl="4" w:tplc="4F8C0D8A">
      <w:numFmt w:val="decimal"/>
      <w:lvlText w:val=""/>
      <w:lvlJc w:val="left"/>
    </w:lvl>
    <w:lvl w:ilvl="5" w:tplc="A31A9E02">
      <w:numFmt w:val="decimal"/>
      <w:lvlText w:val=""/>
      <w:lvlJc w:val="left"/>
    </w:lvl>
    <w:lvl w:ilvl="6" w:tplc="611A8052">
      <w:numFmt w:val="decimal"/>
      <w:lvlText w:val=""/>
      <w:lvlJc w:val="left"/>
    </w:lvl>
    <w:lvl w:ilvl="7" w:tplc="31640F52">
      <w:numFmt w:val="decimal"/>
      <w:lvlText w:val=""/>
      <w:lvlJc w:val="left"/>
    </w:lvl>
    <w:lvl w:ilvl="8" w:tplc="2A704F46">
      <w:numFmt w:val="decimal"/>
      <w:lvlText w:val=""/>
      <w:lvlJc w:val="left"/>
    </w:lvl>
  </w:abstractNum>
  <w:abstractNum w:abstractNumId="992" w15:restartNumberingAfterBreak="0">
    <w:nsid w:val="6ADC41A4"/>
    <w:multiLevelType w:val="hybridMultilevel"/>
    <w:tmpl w:val="DD8265DA"/>
    <w:lvl w:ilvl="0" w:tplc="E264C456">
      <w:start w:val="1"/>
      <w:numFmt w:val="bullet"/>
      <w:lvlText w:val=""/>
      <w:lvlJc w:val="left"/>
      <w:pPr>
        <w:ind w:left="720" w:hanging="180"/>
      </w:pPr>
      <w:rPr>
        <w:rFonts w:ascii="Symbol" w:hAnsi="Symbol" w:hint="default"/>
      </w:rPr>
    </w:lvl>
    <w:lvl w:ilvl="1" w:tplc="C14AE132">
      <w:numFmt w:val="decimal"/>
      <w:lvlText w:val=""/>
      <w:lvlJc w:val="left"/>
    </w:lvl>
    <w:lvl w:ilvl="2" w:tplc="DF50C03A">
      <w:numFmt w:val="decimal"/>
      <w:lvlText w:val=""/>
      <w:lvlJc w:val="left"/>
    </w:lvl>
    <w:lvl w:ilvl="3" w:tplc="EB3C0940">
      <w:numFmt w:val="decimal"/>
      <w:lvlText w:val=""/>
      <w:lvlJc w:val="left"/>
    </w:lvl>
    <w:lvl w:ilvl="4" w:tplc="51F8EFFE">
      <w:numFmt w:val="decimal"/>
      <w:lvlText w:val=""/>
      <w:lvlJc w:val="left"/>
    </w:lvl>
    <w:lvl w:ilvl="5" w:tplc="904A0E7E">
      <w:numFmt w:val="decimal"/>
      <w:lvlText w:val=""/>
      <w:lvlJc w:val="left"/>
    </w:lvl>
    <w:lvl w:ilvl="6" w:tplc="759A059C">
      <w:numFmt w:val="decimal"/>
      <w:lvlText w:val=""/>
      <w:lvlJc w:val="left"/>
    </w:lvl>
    <w:lvl w:ilvl="7" w:tplc="7F5C4A84">
      <w:numFmt w:val="decimal"/>
      <w:lvlText w:val=""/>
      <w:lvlJc w:val="left"/>
    </w:lvl>
    <w:lvl w:ilvl="8" w:tplc="313E87A4">
      <w:numFmt w:val="decimal"/>
      <w:lvlText w:val=""/>
      <w:lvlJc w:val="left"/>
    </w:lvl>
  </w:abstractNum>
  <w:abstractNum w:abstractNumId="993" w15:restartNumberingAfterBreak="0">
    <w:nsid w:val="6B0904FF"/>
    <w:multiLevelType w:val="hybridMultilevel"/>
    <w:tmpl w:val="B87CEF24"/>
    <w:lvl w:ilvl="0" w:tplc="BB620DD4">
      <w:start w:val="1"/>
      <w:numFmt w:val="bullet"/>
      <w:lvlText w:val=""/>
      <w:lvlJc w:val="left"/>
      <w:pPr>
        <w:ind w:left="720" w:hanging="180"/>
      </w:pPr>
      <w:rPr>
        <w:rFonts w:ascii="Symbol" w:hAnsi="Symbol" w:hint="default"/>
      </w:rPr>
    </w:lvl>
    <w:lvl w:ilvl="1" w:tplc="F0E62BBC">
      <w:numFmt w:val="decimal"/>
      <w:lvlText w:val=""/>
      <w:lvlJc w:val="left"/>
    </w:lvl>
    <w:lvl w:ilvl="2" w:tplc="26D4D674">
      <w:numFmt w:val="decimal"/>
      <w:lvlText w:val=""/>
      <w:lvlJc w:val="left"/>
    </w:lvl>
    <w:lvl w:ilvl="3" w:tplc="CE9E4034">
      <w:numFmt w:val="decimal"/>
      <w:lvlText w:val=""/>
      <w:lvlJc w:val="left"/>
    </w:lvl>
    <w:lvl w:ilvl="4" w:tplc="767839C8">
      <w:numFmt w:val="decimal"/>
      <w:lvlText w:val=""/>
      <w:lvlJc w:val="left"/>
    </w:lvl>
    <w:lvl w:ilvl="5" w:tplc="1208FD5E">
      <w:numFmt w:val="decimal"/>
      <w:lvlText w:val=""/>
      <w:lvlJc w:val="left"/>
    </w:lvl>
    <w:lvl w:ilvl="6" w:tplc="A34C07C0">
      <w:numFmt w:val="decimal"/>
      <w:lvlText w:val=""/>
      <w:lvlJc w:val="left"/>
    </w:lvl>
    <w:lvl w:ilvl="7" w:tplc="CA549E74">
      <w:numFmt w:val="decimal"/>
      <w:lvlText w:val=""/>
      <w:lvlJc w:val="left"/>
    </w:lvl>
    <w:lvl w:ilvl="8" w:tplc="620242D8">
      <w:numFmt w:val="decimal"/>
      <w:lvlText w:val=""/>
      <w:lvlJc w:val="left"/>
    </w:lvl>
  </w:abstractNum>
  <w:abstractNum w:abstractNumId="994" w15:restartNumberingAfterBreak="0">
    <w:nsid w:val="6B527276"/>
    <w:multiLevelType w:val="hybridMultilevel"/>
    <w:tmpl w:val="EECEE6CC"/>
    <w:lvl w:ilvl="0" w:tplc="DC94B678">
      <w:start w:val="1"/>
      <w:numFmt w:val="bullet"/>
      <w:lvlText w:val=""/>
      <w:lvlJc w:val="left"/>
      <w:pPr>
        <w:ind w:left="720" w:hanging="180"/>
      </w:pPr>
      <w:rPr>
        <w:rFonts w:ascii="Symbol" w:hAnsi="Symbol" w:hint="default"/>
      </w:rPr>
    </w:lvl>
    <w:lvl w:ilvl="1" w:tplc="BBFA1CDC">
      <w:numFmt w:val="decimal"/>
      <w:lvlText w:val=""/>
      <w:lvlJc w:val="left"/>
    </w:lvl>
    <w:lvl w:ilvl="2" w:tplc="A0626B9A">
      <w:numFmt w:val="decimal"/>
      <w:lvlText w:val=""/>
      <w:lvlJc w:val="left"/>
    </w:lvl>
    <w:lvl w:ilvl="3" w:tplc="8974B666">
      <w:numFmt w:val="decimal"/>
      <w:lvlText w:val=""/>
      <w:lvlJc w:val="left"/>
    </w:lvl>
    <w:lvl w:ilvl="4" w:tplc="DC70717A">
      <w:numFmt w:val="decimal"/>
      <w:lvlText w:val=""/>
      <w:lvlJc w:val="left"/>
    </w:lvl>
    <w:lvl w:ilvl="5" w:tplc="C68EDEA0">
      <w:numFmt w:val="decimal"/>
      <w:lvlText w:val=""/>
      <w:lvlJc w:val="left"/>
    </w:lvl>
    <w:lvl w:ilvl="6" w:tplc="46E63748">
      <w:numFmt w:val="decimal"/>
      <w:lvlText w:val=""/>
      <w:lvlJc w:val="left"/>
    </w:lvl>
    <w:lvl w:ilvl="7" w:tplc="4328BBA6">
      <w:numFmt w:val="decimal"/>
      <w:lvlText w:val=""/>
      <w:lvlJc w:val="left"/>
    </w:lvl>
    <w:lvl w:ilvl="8" w:tplc="7E0E8302">
      <w:numFmt w:val="decimal"/>
      <w:lvlText w:val=""/>
      <w:lvlJc w:val="left"/>
    </w:lvl>
  </w:abstractNum>
  <w:abstractNum w:abstractNumId="995" w15:restartNumberingAfterBreak="0">
    <w:nsid w:val="6B5A1D6E"/>
    <w:multiLevelType w:val="hybridMultilevel"/>
    <w:tmpl w:val="8AC2DF9C"/>
    <w:lvl w:ilvl="0" w:tplc="EED650B6">
      <w:start w:val="1"/>
      <w:numFmt w:val="bullet"/>
      <w:lvlText w:val=""/>
      <w:lvlJc w:val="left"/>
      <w:pPr>
        <w:ind w:left="720" w:hanging="180"/>
      </w:pPr>
      <w:rPr>
        <w:rFonts w:ascii="Symbol" w:hAnsi="Symbol" w:hint="default"/>
      </w:rPr>
    </w:lvl>
    <w:lvl w:ilvl="1" w:tplc="AC9C6AE0">
      <w:numFmt w:val="decimal"/>
      <w:lvlText w:val=""/>
      <w:lvlJc w:val="left"/>
    </w:lvl>
    <w:lvl w:ilvl="2" w:tplc="B534363C">
      <w:numFmt w:val="decimal"/>
      <w:lvlText w:val=""/>
      <w:lvlJc w:val="left"/>
    </w:lvl>
    <w:lvl w:ilvl="3" w:tplc="0B529AA4">
      <w:numFmt w:val="decimal"/>
      <w:lvlText w:val=""/>
      <w:lvlJc w:val="left"/>
    </w:lvl>
    <w:lvl w:ilvl="4" w:tplc="15AA88B8">
      <w:numFmt w:val="decimal"/>
      <w:lvlText w:val=""/>
      <w:lvlJc w:val="left"/>
    </w:lvl>
    <w:lvl w:ilvl="5" w:tplc="97E82654">
      <w:numFmt w:val="decimal"/>
      <w:lvlText w:val=""/>
      <w:lvlJc w:val="left"/>
    </w:lvl>
    <w:lvl w:ilvl="6" w:tplc="CC74F3DA">
      <w:numFmt w:val="decimal"/>
      <w:lvlText w:val=""/>
      <w:lvlJc w:val="left"/>
    </w:lvl>
    <w:lvl w:ilvl="7" w:tplc="9FCCD798">
      <w:numFmt w:val="decimal"/>
      <w:lvlText w:val=""/>
      <w:lvlJc w:val="left"/>
    </w:lvl>
    <w:lvl w:ilvl="8" w:tplc="7D9E9B5A">
      <w:numFmt w:val="decimal"/>
      <w:lvlText w:val=""/>
      <w:lvlJc w:val="left"/>
    </w:lvl>
  </w:abstractNum>
  <w:abstractNum w:abstractNumId="996" w15:restartNumberingAfterBreak="0">
    <w:nsid w:val="6B6012AC"/>
    <w:multiLevelType w:val="hybridMultilevel"/>
    <w:tmpl w:val="257EDF82"/>
    <w:lvl w:ilvl="0" w:tplc="44029264">
      <w:start w:val="1"/>
      <w:numFmt w:val="bullet"/>
      <w:lvlText w:val=""/>
      <w:lvlJc w:val="left"/>
      <w:pPr>
        <w:ind w:left="720" w:hanging="180"/>
      </w:pPr>
      <w:rPr>
        <w:rFonts w:ascii="Symbol" w:hAnsi="Symbol" w:hint="default"/>
      </w:rPr>
    </w:lvl>
    <w:lvl w:ilvl="1" w:tplc="9E20A142">
      <w:numFmt w:val="decimal"/>
      <w:lvlText w:val=""/>
      <w:lvlJc w:val="left"/>
    </w:lvl>
    <w:lvl w:ilvl="2" w:tplc="0058A0C6">
      <w:numFmt w:val="decimal"/>
      <w:lvlText w:val=""/>
      <w:lvlJc w:val="left"/>
    </w:lvl>
    <w:lvl w:ilvl="3" w:tplc="7D42E00C">
      <w:numFmt w:val="decimal"/>
      <w:lvlText w:val=""/>
      <w:lvlJc w:val="left"/>
    </w:lvl>
    <w:lvl w:ilvl="4" w:tplc="DB8C49A2">
      <w:numFmt w:val="decimal"/>
      <w:lvlText w:val=""/>
      <w:lvlJc w:val="left"/>
    </w:lvl>
    <w:lvl w:ilvl="5" w:tplc="5D32CF6E">
      <w:numFmt w:val="decimal"/>
      <w:lvlText w:val=""/>
      <w:lvlJc w:val="left"/>
    </w:lvl>
    <w:lvl w:ilvl="6" w:tplc="4DCAC80A">
      <w:numFmt w:val="decimal"/>
      <w:lvlText w:val=""/>
      <w:lvlJc w:val="left"/>
    </w:lvl>
    <w:lvl w:ilvl="7" w:tplc="ABAC78C4">
      <w:numFmt w:val="decimal"/>
      <w:lvlText w:val=""/>
      <w:lvlJc w:val="left"/>
    </w:lvl>
    <w:lvl w:ilvl="8" w:tplc="790E7144">
      <w:numFmt w:val="decimal"/>
      <w:lvlText w:val=""/>
      <w:lvlJc w:val="left"/>
    </w:lvl>
  </w:abstractNum>
  <w:abstractNum w:abstractNumId="997" w15:restartNumberingAfterBreak="0">
    <w:nsid w:val="6B7C3915"/>
    <w:multiLevelType w:val="hybridMultilevel"/>
    <w:tmpl w:val="31B6A210"/>
    <w:lvl w:ilvl="0" w:tplc="C4A6B97A">
      <w:start w:val="1"/>
      <w:numFmt w:val="bullet"/>
      <w:lvlText w:val=""/>
      <w:lvlJc w:val="left"/>
      <w:pPr>
        <w:ind w:left="720" w:hanging="180"/>
      </w:pPr>
      <w:rPr>
        <w:rFonts w:ascii="Symbol" w:hAnsi="Symbol" w:hint="default"/>
      </w:rPr>
    </w:lvl>
    <w:lvl w:ilvl="1" w:tplc="15E2CC06">
      <w:numFmt w:val="decimal"/>
      <w:lvlText w:val=""/>
      <w:lvlJc w:val="left"/>
    </w:lvl>
    <w:lvl w:ilvl="2" w:tplc="7BD4D712">
      <w:numFmt w:val="decimal"/>
      <w:lvlText w:val=""/>
      <w:lvlJc w:val="left"/>
    </w:lvl>
    <w:lvl w:ilvl="3" w:tplc="48623900">
      <w:numFmt w:val="decimal"/>
      <w:lvlText w:val=""/>
      <w:lvlJc w:val="left"/>
    </w:lvl>
    <w:lvl w:ilvl="4" w:tplc="199E268E">
      <w:numFmt w:val="decimal"/>
      <w:lvlText w:val=""/>
      <w:lvlJc w:val="left"/>
    </w:lvl>
    <w:lvl w:ilvl="5" w:tplc="A20AEA18">
      <w:numFmt w:val="decimal"/>
      <w:lvlText w:val=""/>
      <w:lvlJc w:val="left"/>
    </w:lvl>
    <w:lvl w:ilvl="6" w:tplc="1FC089AE">
      <w:numFmt w:val="decimal"/>
      <w:lvlText w:val=""/>
      <w:lvlJc w:val="left"/>
    </w:lvl>
    <w:lvl w:ilvl="7" w:tplc="4D8ECB9C">
      <w:numFmt w:val="decimal"/>
      <w:lvlText w:val=""/>
      <w:lvlJc w:val="left"/>
    </w:lvl>
    <w:lvl w:ilvl="8" w:tplc="9A761066">
      <w:numFmt w:val="decimal"/>
      <w:lvlText w:val=""/>
      <w:lvlJc w:val="left"/>
    </w:lvl>
  </w:abstractNum>
  <w:abstractNum w:abstractNumId="998" w15:restartNumberingAfterBreak="0">
    <w:nsid w:val="6B8A57DE"/>
    <w:multiLevelType w:val="hybridMultilevel"/>
    <w:tmpl w:val="740664E2"/>
    <w:lvl w:ilvl="0" w:tplc="BD26F3C6">
      <w:start w:val="1"/>
      <w:numFmt w:val="bullet"/>
      <w:lvlText w:val=""/>
      <w:lvlJc w:val="left"/>
      <w:pPr>
        <w:ind w:left="720" w:hanging="180"/>
      </w:pPr>
      <w:rPr>
        <w:rFonts w:ascii="Symbol" w:hAnsi="Symbol" w:hint="default"/>
      </w:rPr>
    </w:lvl>
    <w:lvl w:ilvl="1" w:tplc="A6F8F5D8">
      <w:numFmt w:val="decimal"/>
      <w:lvlText w:val=""/>
      <w:lvlJc w:val="left"/>
    </w:lvl>
    <w:lvl w:ilvl="2" w:tplc="1882A7CA">
      <w:numFmt w:val="decimal"/>
      <w:lvlText w:val=""/>
      <w:lvlJc w:val="left"/>
    </w:lvl>
    <w:lvl w:ilvl="3" w:tplc="91FA9C10">
      <w:numFmt w:val="decimal"/>
      <w:lvlText w:val=""/>
      <w:lvlJc w:val="left"/>
    </w:lvl>
    <w:lvl w:ilvl="4" w:tplc="83C8FE80">
      <w:numFmt w:val="decimal"/>
      <w:lvlText w:val=""/>
      <w:lvlJc w:val="left"/>
    </w:lvl>
    <w:lvl w:ilvl="5" w:tplc="16B6B5D0">
      <w:numFmt w:val="decimal"/>
      <w:lvlText w:val=""/>
      <w:lvlJc w:val="left"/>
    </w:lvl>
    <w:lvl w:ilvl="6" w:tplc="751ADEFC">
      <w:numFmt w:val="decimal"/>
      <w:lvlText w:val=""/>
      <w:lvlJc w:val="left"/>
    </w:lvl>
    <w:lvl w:ilvl="7" w:tplc="EF7AD40E">
      <w:numFmt w:val="decimal"/>
      <w:lvlText w:val=""/>
      <w:lvlJc w:val="left"/>
    </w:lvl>
    <w:lvl w:ilvl="8" w:tplc="92C89DA0">
      <w:numFmt w:val="decimal"/>
      <w:lvlText w:val=""/>
      <w:lvlJc w:val="left"/>
    </w:lvl>
  </w:abstractNum>
  <w:abstractNum w:abstractNumId="999" w15:restartNumberingAfterBreak="0">
    <w:nsid w:val="6B9A320E"/>
    <w:multiLevelType w:val="hybridMultilevel"/>
    <w:tmpl w:val="E54ADFFE"/>
    <w:lvl w:ilvl="0" w:tplc="CA746B3C">
      <w:start w:val="1"/>
      <w:numFmt w:val="bullet"/>
      <w:lvlText w:val=""/>
      <w:lvlJc w:val="left"/>
      <w:pPr>
        <w:ind w:left="720" w:hanging="180"/>
      </w:pPr>
      <w:rPr>
        <w:rFonts w:ascii="Symbol" w:hAnsi="Symbol" w:hint="default"/>
      </w:rPr>
    </w:lvl>
    <w:lvl w:ilvl="1" w:tplc="46D0EC68">
      <w:numFmt w:val="decimal"/>
      <w:lvlText w:val=""/>
      <w:lvlJc w:val="left"/>
    </w:lvl>
    <w:lvl w:ilvl="2" w:tplc="EFA05706">
      <w:numFmt w:val="decimal"/>
      <w:lvlText w:val=""/>
      <w:lvlJc w:val="left"/>
    </w:lvl>
    <w:lvl w:ilvl="3" w:tplc="E626C526">
      <w:numFmt w:val="decimal"/>
      <w:lvlText w:val=""/>
      <w:lvlJc w:val="left"/>
    </w:lvl>
    <w:lvl w:ilvl="4" w:tplc="F2706DD0">
      <w:numFmt w:val="decimal"/>
      <w:lvlText w:val=""/>
      <w:lvlJc w:val="left"/>
    </w:lvl>
    <w:lvl w:ilvl="5" w:tplc="23E2E15C">
      <w:numFmt w:val="decimal"/>
      <w:lvlText w:val=""/>
      <w:lvlJc w:val="left"/>
    </w:lvl>
    <w:lvl w:ilvl="6" w:tplc="43C89AA8">
      <w:numFmt w:val="decimal"/>
      <w:lvlText w:val=""/>
      <w:lvlJc w:val="left"/>
    </w:lvl>
    <w:lvl w:ilvl="7" w:tplc="8D9AADA0">
      <w:numFmt w:val="decimal"/>
      <w:lvlText w:val=""/>
      <w:lvlJc w:val="left"/>
    </w:lvl>
    <w:lvl w:ilvl="8" w:tplc="58B0E652">
      <w:numFmt w:val="decimal"/>
      <w:lvlText w:val=""/>
      <w:lvlJc w:val="left"/>
    </w:lvl>
  </w:abstractNum>
  <w:abstractNum w:abstractNumId="1000" w15:restartNumberingAfterBreak="0">
    <w:nsid w:val="6BB30136"/>
    <w:multiLevelType w:val="hybridMultilevel"/>
    <w:tmpl w:val="355EE258"/>
    <w:lvl w:ilvl="0" w:tplc="EAD6B0A4">
      <w:start w:val="1"/>
      <w:numFmt w:val="bullet"/>
      <w:lvlText w:val=""/>
      <w:lvlJc w:val="left"/>
      <w:pPr>
        <w:ind w:left="720" w:hanging="180"/>
      </w:pPr>
      <w:rPr>
        <w:rFonts w:ascii="Symbol" w:hAnsi="Symbol" w:hint="default"/>
      </w:rPr>
    </w:lvl>
    <w:lvl w:ilvl="1" w:tplc="FF96AB5E">
      <w:numFmt w:val="decimal"/>
      <w:lvlText w:val=""/>
      <w:lvlJc w:val="left"/>
    </w:lvl>
    <w:lvl w:ilvl="2" w:tplc="9F96AD5E">
      <w:numFmt w:val="decimal"/>
      <w:lvlText w:val=""/>
      <w:lvlJc w:val="left"/>
    </w:lvl>
    <w:lvl w:ilvl="3" w:tplc="68087DBC">
      <w:numFmt w:val="decimal"/>
      <w:lvlText w:val=""/>
      <w:lvlJc w:val="left"/>
    </w:lvl>
    <w:lvl w:ilvl="4" w:tplc="0AFCC668">
      <w:numFmt w:val="decimal"/>
      <w:lvlText w:val=""/>
      <w:lvlJc w:val="left"/>
    </w:lvl>
    <w:lvl w:ilvl="5" w:tplc="1BB40B26">
      <w:numFmt w:val="decimal"/>
      <w:lvlText w:val=""/>
      <w:lvlJc w:val="left"/>
    </w:lvl>
    <w:lvl w:ilvl="6" w:tplc="04E2BDFC">
      <w:numFmt w:val="decimal"/>
      <w:lvlText w:val=""/>
      <w:lvlJc w:val="left"/>
    </w:lvl>
    <w:lvl w:ilvl="7" w:tplc="DCDEC0FE">
      <w:numFmt w:val="decimal"/>
      <w:lvlText w:val=""/>
      <w:lvlJc w:val="left"/>
    </w:lvl>
    <w:lvl w:ilvl="8" w:tplc="6A863748">
      <w:numFmt w:val="decimal"/>
      <w:lvlText w:val=""/>
      <w:lvlJc w:val="left"/>
    </w:lvl>
  </w:abstractNum>
  <w:abstractNum w:abstractNumId="1001" w15:restartNumberingAfterBreak="0">
    <w:nsid w:val="6BB70887"/>
    <w:multiLevelType w:val="hybridMultilevel"/>
    <w:tmpl w:val="B9C67816"/>
    <w:lvl w:ilvl="0" w:tplc="5FC8087A">
      <w:start w:val="1"/>
      <w:numFmt w:val="bullet"/>
      <w:lvlText w:val=""/>
      <w:lvlJc w:val="left"/>
      <w:pPr>
        <w:ind w:left="720" w:hanging="180"/>
      </w:pPr>
      <w:rPr>
        <w:rFonts w:ascii="Symbol" w:hAnsi="Symbol" w:hint="default"/>
      </w:rPr>
    </w:lvl>
    <w:lvl w:ilvl="1" w:tplc="6904382C">
      <w:numFmt w:val="decimal"/>
      <w:lvlText w:val=""/>
      <w:lvlJc w:val="left"/>
    </w:lvl>
    <w:lvl w:ilvl="2" w:tplc="7780E5F0">
      <w:numFmt w:val="decimal"/>
      <w:lvlText w:val=""/>
      <w:lvlJc w:val="left"/>
    </w:lvl>
    <w:lvl w:ilvl="3" w:tplc="B9125BC4">
      <w:numFmt w:val="decimal"/>
      <w:lvlText w:val=""/>
      <w:lvlJc w:val="left"/>
    </w:lvl>
    <w:lvl w:ilvl="4" w:tplc="D62AA8F2">
      <w:numFmt w:val="decimal"/>
      <w:lvlText w:val=""/>
      <w:lvlJc w:val="left"/>
    </w:lvl>
    <w:lvl w:ilvl="5" w:tplc="F9B8CB60">
      <w:numFmt w:val="decimal"/>
      <w:lvlText w:val=""/>
      <w:lvlJc w:val="left"/>
    </w:lvl>
    <w:lvl w:ilvl="6" w:tplc="A33CBF68">
      <w:numFmt w:val="decimal"/>
      <w:lvlText w:val=""/>
      <w:lvlJc w:val="left"/>
    </w:lvl>
    <w:lvl w:ilvl="7" w:tplc="8ADA55F6">
      <w:numFmt w:val="decimal"/>
      <w:lvlText w:val=""/>
      <w:lvlJc w:val="left"/>
    </w:lvl>
    <w:lvl w:ilvl="8" w:tplc="47D04804">
      <w:numFmt w:val="decimal"/>
      <w:lvlText w:val=""/>
      <w:lvlJc w:val="left"/>
    </w:lvl>
  </w:abstractNum>
  <w:abstractNum w:abstractNumId="1002" w15:restartNumberingAfterBreak="0">
    <w:nsid w:val="6BC40891"/>
    <w:multiLevelType w:val="hybridMultilevel"/>
    <w:tmpl w:val="A2E83200"/>
    <w:lvl w:ilvl="0" w:tplc="84F6588A">
      <w:start w:val="1"/>
      <w:numFmt w:val="bullet"/>
      <w:lvlText w:val=""/>
      <w:lvlJc w:val="left"/>
      <w:pPr>
        <w:ind w:left="720" w:hanging="180"/>
      </w:pPr>
      <w:rPr>
        <w:rFonts w:ascii="Symbol" w:hAnsi="Symbol" w:hint="default"/>
      </w:rPr>
    </w:lvl>
    <w:lvl w:ilvl="1" w:tplc="05E8FD02">
      <w:numFmt w:val="decimal"/>
      <w:lvlText w:val=""/>
      <w:lvlJc w:val="left"/>
    </w:lvl>
    <w:lvl w:ilvl="2" w:tplc="F4F287F6">
      <w:numFmt w:val="decimal"/>
      <w:lvlText w:val=""/>
      <w:lvlJc w:val="left"/>
    </w:lvl>
    <w:lvl w:ilvl="3" w:tplc="61A436FA">
      <w:numFmt w:val="decimal"/>
      <w:lvlText w:val=""/>
      <w:lvlJc w:val="left"/>
    </w:lvl>
    <w:lvl w:ilvl="4" w:tplc="7E367226">
      <w:numFmt w:val="decimal"/>
      <w:lvlText w:val=""/>
      <w:lvlJc w:val="left"/>
    </w:lvl>
    <w:lvl w:ilvl="5" w:tplc="B7E2CF84">
      <w:numFmt w:val="decimal"/>
      <w:lvlText w:val=""/>
      <w:lvlJc w:val="left"/>
    </w:lvl>
    <w:lvl w:ilvl="6" w:tplc="A4107D2E">
      <w:numFmt w:val="decimal"/>
      <w:lvlText w:val=""/>
      <w:lvlJc w:val="left"/>
    </w:lvl>
    <w:lvl w:ilvl="7" w:tplc="D0583CD8">
      <w:numFmt w:val="decimal"/>
      <w:lvlText w:val=""/>
      <w:lvlJc w:val="left"/>
    </w:lvl>
    <w:lvl w:ilvl="8" w:tplc="80D6124A">
      <w:numFmt w:val="decimal"/>
      <w:lvlText w:val=""/>
      <w:lvlJc w:val="left"/>
    </w:lvl>
  </w:abstractNum>
  <w:abstractNum w:abstractNumId="1003" w15:restartNumberingAfterBreak="0">
    <w:nsid w:val="6BD64642"/>
    <w:multiLevelType w:val="hybridMultilevel"/>
    <w:tmpl w:val="07048142"/>
    <w:lvl w:ilvl="0" w:tplc="281C1AC6">
      <w:start w:val="1"/>
      <w:numFmt w:val="bullet"/>
      <w:lvlText w:val=""/>
      <w:lvlJc w:val="left"/>
      <w:pPr>
        <w:ind w:left="720" w:hanging="180"/>
      </w:pPr>
      <w:rPr>
        <w:rFonts w:ascii="Symbol" w:hAnsi="Symbol" w:hint="default"/>
      </w:rPr>
    </w:lvl>
    <w:lvl w:ilvl="1" w:tplc="A55C2996">
      <w:numFmt w:val="decimal"/>
      <w:lvlText w:val=""/>
      <w:lvlJc w:val="left"/>
    </w:lvl>
    <w:lvl w:ilvl="2" w:tplc="A650B63E">
      <w:numFmt w:val="decimal"/>
      <w:lvlText w:val=""/>
      <w:lvlJc w:val="left"/>
    </w:lvl>
    <w:lvl w:ilvl="3" w:tplc="EE500B98">
      <w:numFmt w:val="decimal"/>
      <w:lvlText w:val=""/>
      <w:lvlJc w:val="left"/>
    </w:lvl>
    <w:lvl w:ilvl="4" w:tplc="0F385A06">
      <w:numFmt w:val="decimal"/>
      <w:lvlText w:val=""/>
      <w:lvlJc w:val="left"/>
    </w:lvl>
    <w:lvl w:ilvl="5" w:tplc="2AEAAB78">
      <w:numFmt w:val="decimal"/>
      <w:lvlText w:val=""/>
      <w:lvlJc w:val="left"/>
    </w:lvl>
    <w:lvl w:ilvl="6" w:tplc="9A9A80EC">
      <w:numFmt w:val="decimal"/>
      <w:lvlText w:val=""/>
      <w:lvlJc w:val="left"/>
    </w:lvl>
    <w:lvl w:ilvl="7" w:tplc="6BE236E6">
      <w:numFmt w:val="decimal"/>
      <w:lvlText w:val=""/>
      <w:lvlJc w:val="left"/>
    </w:lvl>
    <w:lvl w:ilvl="8" w:tplc="8E9C64F2">
      <w:numFmt w:val="decimal"/>
      <w:lvlText w:val=""/>
      <w:lvlJc w:val="left"/>
    </w:lvl>
  </w:abstractNum>
  <w:abstractNum w:abstractNumId="1004" w15:restartNumberingAfterBreak="0">
    <w:nsid w:val="6BEA4190"/>
    <w:multiLevelType w:val="hybridMultilevel"/>
    <w:tmpl w:val="05DE5760"/>
    <w:lvl w:ilvl="0" w:tplc="56402CC8">
      <w:start w:val="1"/>
      <w:numFmt w:val="bullet"/>
      <w:lvlText w:val=""/>
      <w:lvlJc w:val="left"/>
      <w:pPr>
        <w:ind w:left="720" w:hanging="180"/>
      </w:pPr>
      <w:rPr>
        <w:rFonts w:ascii="Symbol" w:hAnsi="Symbol" w:hint="default"/>
      </w:rPr>
    </w:lvl>
    <w:lvl w:ilvl="1" w:tplc="782EDFDA">
      <w:numFmt w:val="decimal"/>
      <w:lvlText w:val=""/>
      <w:lvlJc w:val="left"/>
    </w:lvl>
    <w:lvl w:ilvl="2" w:tplc="7310B28E">
      <w:numFmt w:val="decimal"/>
      <w:lvlText w:val=""/>
      <w:lvlJc w:val="left"/>
    </w:lvl>
    <w:lvl w:ilvl="3" w:tplc="A31295DA">
      <w:numFmt w:val="decimal"/>
      <w:lvlText w:val=""/>
      <w:lvlJc w:val="left"/>
    </w:lvl>
    <w:lvl w:ilvl="4" w:tplc="70587DCC">
      <w:numFmt w:val="decimal"/>
      <w:lvlText w:val=""/>
      <w:lvlJc w:val="left"/>
    </w:lvl>
    <w:lvl w:ilvl="5" w:tplc="6D62DC3E">
      <w:numFmt w:val="decimal"/>
      <w:lvlText w:val=""/>
      <w:lvlJc w:val="left"/>
    </w:lvl>
    <w:lvl w:ilvl="6" w:tplc="E10C2B02">
      <w:numFmt w:val="decimal"/>
      <w:lvlText w:val=""/>
      <w:lvlJc w:val="left"/>
    </w:lvl>
    <w:lvl w:ilvl="7" w:tplc="5E2643F6">
      <w:numFmt w:val="decimal"/>
      <w:lvlText w:val=""/>
      <w:lvlJc w:val="left"/>
    </w:lvl>
    <w:lvl w:ilvl="8" w:tplc="B62EA224">
      <w:numFmt w:val="decimal"/>
      <w:lvlText w:val=""/>
      <w:lvlJc w:val="left"/>
    </w:lvl>
  </w:abstractNum>
  <w:abstractNum w:abstractNumId="1005" w15:restartNumberingAfterBreak="0">
    <w:nsid w:val="6C264F44"/>
    <w:multiLevelType w:val="hybridMultilevel"/>
    <w:tmpl w:val="571E6F2E"/>
    <w:lvl w:ilvl="0" w:tplc="A6F821A2">
      <w:start w:val="1"/>
      <w:numFmt w:val="bullet"/>
      <w:lvlText w:val=""/>
      <w:lvlJc w:val="left"/>
      <w:pPr>
        <w:ind w:left="720" w:hanging="180"/>
      </w:pPr>
      <w:rPr>
        <w:rFonts w:ascii="Symbol" w:hAnsi="Symbol" w:hint="default"/>
      </w:rPr>
    </w:lvl>
    <w:lvl w:ilvl="1" w:tplc="976EDB26">
      <w:numFmt w:val="decimal"/>
      <w:lvlText w:val=""/>
      <w:lvlJc w:val="left"/>
    </w:lvl>
    <w:lvl w:ilvl="2" w:tplc="D11CBF8E">
      <w:numFmt w:val="decimal"/>
      <w:lvlText w:val=""/>
      <w:lvlJc w:val="left"/>
    </w:lvl>
    <w:lvl w:ilvl="3" w:tplc="3766C4B6">
      <w:numFmt w:val="decimal"/>
      <w:lvlText w:val=""/>
      <w:lvlJc w:val="left"/>
    </w:lvl>
    <w:lvl w:ilvl="4" w:tplc="226CDBC0">
      <w:numFmt w:val="decimal"/>
      <w:lvlText w:val=""/>
      <w:lvlJc w:val="left"/>
    </w:lvl>
    <w:lvl w:ilvl="5" w:tplc="FDD80A0A">
      <w:numFmt w:val="decimal"/>
      <w:lvlText w:val=""/>
      <w:lvlJc w:val="left"/>
    </w:lvl>
    <w:lvl w:ilvl="6" w:tplc="76A4CFBA">
      <w:numFmt w:val="decimal"/>
      <w:lvlText w:val=""/>
      <w:lvlJc w:val="left"/>
    </w:lvl>
    <w:lvl w:ilvl="7" w:tplc="A2C4CFE4">
      <w:numFmt w:val="decimal"/>
      <w:lvlText w:val=""/>
      <w:lvlJc w:val="left"/>
    </w:lvl>
    <w:lvl w:ilvl="8" w:tplc="07EE8A1C">
      <w:numFmt w:val="decimal"/>
      <w:lvlText w:val=""/>
      <w:lvlJc w:val="left"/>
    </w:lvl>
  </w:abstractNum>
  <w:abstractNum w:abstractNumId="1006" w15:restartNumberingAfterBreak="0">
    <w:nsid w:val="6C39100E"/>
    <w:multiLevelType w:val="hybridMultilevel"/>
    <w:tmpl w:val="5CFC9294"/>
    <w:lvl w:ilvl="0" w:tplc="C4EC4114">
      <w:start w:val="1"/>
      <w:numFmt w:val="bullet"/>
      <w:lvlText w:val=""/>
      <w:lvlJc w:val="left"/>
      <w:pPr>
        <w:ind w:left="720" w:hanging="180"/>
      </w:pPr>
      <w:rPr>
        <w:rFonts w:ascii="Symbol" w:hAnsi="Symbol" w:hint="default"/>
      </w:rPr>
    </w:lvl>
    <w:lvl w:ilvl="1" w:tplc="EEB89588">
      <w:numFmt w:val="decimal"/>
      <w:lvlText w:val=""/>
      <w:lvlJc w:val="left"/>
    </w:lvl>
    <w:lvl w:ilvl="2" w:tplc="076037C8">
      <w:numFmt w:val="decimal"/>
      <w:lvlText w:val=""/>
      <w:lvlJc w:val="left"/>
    </w:lvl>
    <w:lvl w:ilvl="3" w:tplc="62E0B264">
      <w:numFmt w:val="decimal"/>
      <w:lvlText w:val=""/>
      <w:lvlJc w:val="left"/>
    </w:lvl>
    <w:lvl w:ilvl="4" w:tplc="3F74D1AC">
      <w:numFmt w:val="decimal"/>
      <w:lvlText w:val=""/>
      <w:lvlJc w:val="left"/>
    </w:lvl>
    <w:lvl w:ilvl="5" w:tplc="6A4E9AC4">
      <w:numFmt w:val="decimal"/>
      <w:lvlText w:val=""/>
      <w:lvlJc w:val="left"/>
    </w:lvl>
    <w:lvl w:ilvl="6" w:tplc="BF72F0B8">
      <w:numFmt w:val="decimal"/>
      <w:lvlText w:val=""/>
      <w:lvlJc w:val="left"/>
    </w:lvl>
    <w:lvl w:ilvl="7" w:tplc="7550F5D0">
      <w:numFmt w:val="decimal"/>
      <w:lvlText w:val=""/>
      <w:lvlJc w:val="left"/>
    </w:lvl>
    <w:lvl w:ilvl="8" w:tplc="C3D8E93A">
      <w:numFmt w:val="decimal"/>
      <w:lvlText w:val=""/>
      <w:lvlJc w:val="left"/>
    </w:lvl>
  </w:abstractNum>
  <w:abstractNum w:abstractNumId="1007" w15:restartNumberingAfterBreak="0">
    <w:nsid w:val="6C571F3F"/>
    <w:multiLevelType w:val="hybridMultilevel"/>
    <w:tmpl w:val="BFE06BBA"/>
    <w:lvl w:ilvl="0" w:tplc="4A167B60">
      <w:start w:val="1"/>
      <w:numFmt w:val="bullet"/>
      <w:lvlText w:val=""/>
      <w:lvlJc w:val="left"/>
      <w:pPr>
        <w:ind w:left="720" w:hanging="180"/>
      </w:pPr>
      <w:rPr>
        <w:rFonts w:ascii="Symbol" w:hAnsi="Symbol" w:hint="default"/>
      </w:rPr>
    </w:lvl>
    <w:lvl w:ilvl="1" w:tplc="972ABB84">
      <w:numFmt w:val="decimal"/>
      <w:lvlText w:val=""/>
      <w:lvlJc w:val="left"/>
    </w:lvl>
    <w:lvl w:ilvl="2" w:tplc="292E13F0">
      <w:numFmt w:val="decimal"/>
      <w:lvlText w:val=""/>
      <w:lvlJc w:val="left"/>
    </w:lvl>
    <w:lvl w:ilvl="3" w:tplc="462A2536">
      <w:numFmt w:val="decimal"/>
      <w:lvlText w:val=""/>
      <w:lvlJc w:val="left"/>
    </w:lvl>
    <w:lvl w:ilvl="4" w:tplc="CA048D74">
      <w:numFmt w:val="decimal"/>
      <w:lvlText w:val=""/>
      <w:lvlJc w:val="left"/>
    </w:lvl>
    <w:lvl w:ilvl="5" w:tplc="1E702768">
      <w:numFmt w:val="decimal"/>
      <w:lvlText w:val=""/>
      <w:lvlJc w:val="left"/>
    </w:lvl>
    <w:lvl w:ilvl="6" w:tplc="216C997A">
      <w:numFmt w:val="decimal"/>
      <w:lvlText w:val=""/>
      <w:lvlJc w:val="left"/>
    </w:lvl>
    <w:lvl w:ilvl="7" w:tplc="661CC708">
      <w:numFmt w:val="decimal"/>
      <w:lvlText w:val=""/>
      <w:lvlJc w:val="left"/>
    </w:lvl>
    <w:lvl w:ilvl="8" w:tplc="1C789918">
      <w:numFmt w:val="decimal"/>
      <w:lvlText w:val=""/>
      <w:lvlJc w:val="left"/>
    </w:lvl>
  </w:abstractNum>
  <w:abstractNum w:abstractNumId="1008" w15:restartNumberingAfterBreak="0">
    <w:nsid w:val="6C6107B9"/>
    <w:multiLevelType w:val="hybridMultilevel"/>
    <w:tmpl w:val="DA662912"/>
    <w:lvl w:ilvl="0" w:tplc="0DEEBF28">
      <w:start w:val="1"/>
      <w:numFmt w:val="bullet"/>
      <w:lvlText w:val=""/>
      <w:lvlJc w:val="left"/>
      <w:pPr>
        <w:ind w:left="720" w:hanging="180"/>
      </w:pPr>
      <w:rPr>
        <w:rFonts w:ascii="Symbol" w:hAnsi="Symbol" w:hint="default"/>
      </w:rPr>
    </w:lvl>
    <w:lvl w:ilvl="1" w:tplc="E84E9C6A">
      <w:numFmt w:val="decimal"/>
      <w:lvlText w:val=""/>
      <w:lvlJc w:val="left"/>
    </w:lvl>
    <w:lvl w:ilvl="2" w:tplc="FF003FC2">
      <w:numFmt w:val="decimal"/>
      <w:lvlText w:val=""/>
      <w:lvlJc w:val="left"/>
    </w:lvl>
    <w:lvl w:ilvl="3" w:tplc="88C08F1E">
      <w:numFmt w:val="decimal"/>
      <w:lvlText w:val=""/>
      <w:lvlJc w:val="left"/>
    </w:lvl>
    <w:lvl w:ilvl="4" w:tplc="EE863AB4">
      <w:numFmt w:val="decimal"/>
      <w:lvlText w:val=""/>
      <w:lvlJc w:val="left"/>
    </w:lvl>
    <w:lvl w:ilvl="5" w:tplc="6C7C3814">
      <w:numFmt w:val="decimal"/>
      <w:lvlText w:val=""/>
      <w:lvlJc w:val="left"/>
    </w:lvl>
    <w:lvl w:ilvl="6" w:tplc="A8FAEB3C">
      <w:numFmt w:val="decimal"/>
      <w:lvlText w:val=""/>
      <w:lvlJc w:val="left"/>
    </w:lvl>
    <w:lvl w:ilvl="7" w:tplc="03F2A9F8">
      <w:numFmt w:val="decimal"/>
      <w:lvlText w:val=""/>
      <w:lvlJc w:val="left"/>
    </w:lvl>
    <w:lvl w:ilvl="8" w:tplc="309056AE">
      <w:numFmt w:val="decimal"/>
      <w:lvlText w:val=""/>
      <w:lvlJc w:val="left"/>
    </w:lvl>
  </w:abstractNum>
  <w:abstractNum w:abstractNumId="1009" w15:restartNumberingAfterBreak="0">
    <w:nsid w:val="6C9D14C9"/>
    <w:multiLevelType w:val="hybridMultilevel"/>
    <w:tmpl w:val="3C0053BC"/>
    <w:lvl w:ilvl="0" w:tplc="D56634C8">
      <w:start w:val="1"/>
      <w:numFmt w:val="bullet"/>
      <w:lvlText w:val=""/>
      <w:lvlJc w:val="left"/>
      <w:pPr>
        <w:ind w:left="720" w:hanging="180"/>
      </w:pPr>
      <w:rPr>
        <w:rFonts w:ascii="Symbol" w:hAnsi="Symbol" w:hint="default"/>
      </w:rPr>
    </w:lvl>
    <w:lvl w:ilvl="1" w:tplc="3754FC14">
      <w:numFmt w:val="decimal"/>
      <w:lvlText w:val=""/>
      <w:lvlJc w:val="left"/>
    </w:lvl>
    <w:lvl w:ilvl="2" w:tplc="11D0AB04">
      <w:numFmt w:val="decimal"/>
      <w:lvlText w:val=""/>
      <w:lvlJc w:val="left"/>
    </w:lvl>
    <w:lvl w:ilvl="3" w:tplc="46E42DF4">
      <w:numFmt w:val="decimal"/>
      <w:lvlText w:val=""/>
      <w:lvlJc w:val="left"/>
    </w:lvl>
    <w:lvl w:ilvl="4" w:tplc="47BA01D6">
      <w:numFmt w:val="decimal"/>
      <w:lvlText w:val=""/>
      <w:lvlJc w:val="left"/>
    </w:lvl>
    <w:lvl w:ilvl="5" w:tplc="E5E04902">
      <w:numFmt w:val="decimal"/>
      <w:lvlText w:val=""/>
      <w:lvlJc w:val="left"/>
    </w:lvl>
    <w:lvl w:ilvl="6" w:tplc="53DEE5DC">
      <w:numFmt w:val="decimal"/>
      <w:lvlText w:val=""/>
      <w:lvlJc w:val="left"/>
    </w:lvl>
    <w:lvl w:ilvl="7" w:tplc="E2D49EDE">
      <w:numFmt w:val="decimal"/>
      <w:lvlText w:val=""/>
      <w:lvlJc w:val="left"/>
    </w:lvl>
    <w:lvl w:ilvl="8" w:tplc="1A16201E">
      <w:numFmt w:val="decimal"/>
      <w:lvlText w:val=""/>
      <w:lvlJc w:val="left"/>
    </w:lvl>
  </w:abstractNum>
  <w:abstractNum w:abstractNumId="1010" w15:restartNumberingAfterBreak="0">
    <w:nsid w:val="6CC46418"/>
    <w:multiLevelType w:val="hybridMultilevel"/>
    <w:tmpl w:val="9558CDDC"/>
    <w:lvl w:ilvl="0" w:tplc="EBF4947C">
      <w:start w:val="1"/>
      <w:numFmt w:val="bullet"/>
      <w:lvlText w:val=""/>
      <w:lvlJc w:val="left"/>
      <w:pPr>
        <w:ind w:left="720" w:hanging="180"/>
      </w:pPr>
      <w:rPr>
        <w:rFonts w:ascii="Symbol" w:hAnsi="Symbol" w:hint="default"/>
      </w:rPr>
    </w:lvl>
    <w:lvl w:ilvl="1" w:tplc="FBB03CE8">
      <w:numFmt w:val="decimal"/>
      <w:lvlText w:val=""/>
      <w:lvlJc w:val="left"/>
    </w:lvl>
    <w:lvl w:ilvl="2" w:tplc="1FA2FC22">
      <w:numFmt w:val="decimal"/>
      <w:lvlText w:val=""/>
      <w:lvlJc w:val="left"/>
    </w:lvl>
    <w:lvl w:ilvl="3" w:tplc="4CA6CB7E">
      <w:numFmt w:val="decimal"/>
      <w:lvlText w:val=""/>
      <w:lvlJc w:val="left"/>
    </w:lvl>
    <w:lvl w:ilvl="4" w:tplc="1DDABE50">
      <w:numFmt w:val="decimal"/>
      <w:lvlText w:val=""/>
      <w:lvlJc w:val="left"/>
    </w:lvl>
    <w:lvl w:ilvl="5" w:tplc="808A965E">
      <w:numFmt w:val="decimal"/>
      <w:lvlText w:val=""/>
      <w:lvlJc w:val="left"/>
    </w:lvl>
    <w:lvl w:ilvl="6" w:tplc="36F027CC">
      <w:numFmt w:val="decimal"/>
      <w:lvlText w:val=""/>
      <w:lvlJc w:val="left"/>
    </w:lvl>
    <w:lvl w:ilvl="7" w:tplc="352EB198">
      <w:numFmt w:val="decimal"/>
      <w:lvlText w:val=""/>
      <w:lvlJc w:val="left"/>
    </w:lvl>
    <w:lvl w:ilvl="8" w:tplc="BDACE5F8">
      <w:numFmt w:val="decimal"/>
      <w:lvlText w:val=""/>
      <w:lvlJc w:val="left"/>
    </w:lvl>
  </w:abstractNum>
  <w:abstractNum w:abstractNumId="1011" w15:restartNumberingAfterBreak="0">
    <w:nsid w:val="6CD9002F"/>
    <w:multiLevelType w:val="hybridMultilevel"/>
    <w:tmpl w:val="7A7ED526"/>
    <w:lvl w:ilvl="0" w:tplc="982E957A">
      <w:start w:val="1"/>
      <w:numFmt w:val="bullet"/>
      <w:lvlText w:val=""/>
      <w:lvlJc w:val="left"/>
      <w:pPr>
        <w:ind w:left="720" w:hanging="180"/>
      </w:pPr>
      <w:rPr>
        <w:rFonts w:ascii="Symbol" w:hAnsi="Symbol" w:hint="default"/>
      </w:rPr>
    </w:lvl>
    <w:lvl w:ilvl="1" w:tplc="FA9CB6E6">
      <w:numFmt w:val="decimal"/>
      <w:lvlText w:val=""/>
      <w:lvlJc w:val="left"/>
    </w:lvl>
    <w:lvl w:ilvl="2" w:tplc="41A4BD72">
      <w:numFmt w:val="decimal"/>
      <w:lvlText w:val=""/>
      <w:lvlJc w:val="left"/>
    </w:lvl>
    <w:lvl w:ilvl="3" w:tplc="755E3B5A">
      <w:numFmt w:val="decimal"/>
      <w:lvlText w:val=""/>
      <w:lvlJc w:val="left"/>
    </w:lvl>
    <w:lvl w:ilvl="4" w:tplc="71FC3ECC">
      <w:numFmt w:val="decimal"/>
      <w:lvlText w:val=""/>
      <w:lvlJc w:val="left"/>
    </w:lvl>
    <w:lvl w:ilvl="5" w:tplc="ACDCED8C">
      <w:numFmt w:val="decimal"/>
      <w:lvlText w:val=""/>
      <w:lvlJc w:val="left"/>
    </w:lvl>
    <w:lvl w:ilvl="6" w:tplc="DC86A332">
      <w:numFmt w:val="decimal"/>
      <w:lvlText w:val=""/>
      <w:lvlJc w:val="left"/>
    </w:lvl>
    <w:lvl w:ilvl="7" w:tplc="5E80CE66">
      <w:numFmt w:val="decimal"/>
      <w:lvlText w:val=""/>
      <w:lvlJc w:val="left"/>
    </w:lvl>
    <w:lvl w:ilvl="8" w:tplc="D4402CC0">
      <w:numFmt w:val="decimal"/>
      <w:lvlText w:val=""/>
      <w:lvlJc w:val="left"/>
    </w:lvl>
  </w:abstractNum>
  <w:abstractNum w:abstractNumId="1012" w15:restartNumberingAfterBreak="0">
    <w:nsid w:val="6D036141"/>
    <w:multiLevelType w:val="hybridMultilevel"/>
    <w:tmpl w:val="6E5C5356"/>
    <w:lvl w:ilvl="0" w:tplc="77043164">
      <w:start w:val="1"/>
      <w:numFmt w:val="bullet"/>
      <w:lvlText w:val=""/>
      <w:lvlJc w:val="left"/>
      <w:pPr>
        <w:ind w:left="720" w:hanging="180"/>
      </w:pPr>
      <w:rPr>
        <w:rFonts w:ascii="Symbol" w:hAnsi="Symbol" w:hint="default"/>
      </w:rPr>
    </w:lvl>
    <w:lvl w:ilvl="1" w:tplc="109CAE02">
      <w:numFmt w:val="decimal"/>
      <w:lvlText w:val=""/>
      <w:lvlJc w:val="left"/>
    </w:lvl>
    <w:lvl w:ilvl="2" w:tplc="1C4E1C02">
      <w:numFmt w:val="decimal"/>
      <w:lvlText w:val=""/>
      <w:lvlJc w:val="left"/>
    </w:lvl>
    <w:lvl w:ilvl="3" w:tplc="EC225846">
      <w:numFmt w:val="decimal"/>
      <w:lvlText w:val=""/>
      <w:lvlJc w:val="left"/>
    </w:lvl>
    <w:lvl w:ilvl="4" w:tplc="09A8E036">
      <w:numFmt w:val="decimal"/>
      <w:lvlText w:val=""/>
      <w:lvlJc w:val="left"/>
    </w:lvl>
    <w:lvl w:ilvl="5" w:tplc="256024F6">
      <w:numFmt w:val="decimal"/>
      <w:lvlText w:val=""/>
      <w:lvlJc w:val="left"/>
    </w:lvl>
    <w:lvl w:ilvl="6" w:tplc="47109234">
      <w:numFmt w:val="decimal"/>
      <w:lvlText w:val=""/>
      <w:lvlJc w:val="left"/>
    </w:lvl>
    <w:lvl w:ilvl="7" w:tplc="382C67C8">
      <w:numFmt w:val="decimal"/>
      <w:lvlText w:val=""/>
      <w:lvlJc w:val="left"/>
    </w:lvl>
    <w:lvl w:ilvl="8" w:tplc="FFB67956">
      <w:numFmt w:val="decimal"/>
      <w:lvlText w:val=""/>
      <w:lvlJc w:val="left"/>
    </w:lvl>
  </w:abstractNum>
  <w:abstractNum w:abstractNumId="1013" w15:restartNumberingAfterBreak="0">
    <w:nsid w:val="6D0E7C14"/>
    <w:multiLevelType w:val="hybridMultilevel"/>
    <w:tmpl w:val="DF24ED50"/>
    <w:lvl w:ilvl="0" w:tplc="D1DC67AA">
      <w:start w:val="1"/>
      <w:numFmt w:val="bullet"/>
      <w:lvlText w:val=""/>
      <w:lvlJc w:val="left"/>
      <w:pPr>
        <w:ind w:left="720" w:hanging="180"/>
      </w:pPr>
      <w:rPr>
        <w:rFonts w:ascii="Symbol" w:hAnsi="Symbol" w:hint="default"/>
      </w:rPr>
    </w:lvl>
    <w:lvl w:ilvl="1" w:tplc="3BF0DDDA">
      <w:numFmt w:val="decimal"/>
      <w:lvlText w:val=""/>
      <w:lvlJc w:val="left"/>
    </w:lvl>
    <w:lvl w:ilvl="2" w:tplc="6F3E3438">
      <w:numFmt w:val="decimal"/>
      <w:lvlText w:val=""/>
      <w:lvlJc w:val="left"/>
    </w:lvl>
    <w:lvl w:ilvl="3" w:tplc="C3F6517E">
      <w:numFmt w:val="decimal"/>
      <w:lvlText w:val=""/>
      <w:lvlJc w:val="left"/>
    </w:lvl>
    <w:lvl w:ilvl="4" w:tplc="AC4C7794">
      <w:numFmt w:val="decimal"/>
      <w:lvlText w:val=""/>
      <w:lvlJc w:val="left"/>
    </w:lvl>
    <w:lvl w:ilvl="5" w:tplc="E4F8A6B0">
      <w:numFmt w:val="decimal"/>
      <w:lvlText w:val=""/>
      <w:lvlJc w:val="left"/>
    </w:lvl>
    <w:lvl w:ilvl="6" w:tplc="48402706">
      <w:numFmt w:val="decimal"/>
      <w:lvlText w:val=""/>
      <w:lvlJc w:val="left"/>
    </w:lvl>
    <w:lvl w:ilvl="7" w:tplc="663C87F6">
      <w:numFmt w:val="decimal"/>
      <w:lvlText w:val=""/>
      <w:lvlJc w:val="left"/>
    </w:lvl>
    <w:lvl w:ilvl="8" w:tplc="4FD28034">
      <w:numFmt w:val="decimal"/>
      <w:lvlText w:val=""/>
      <w:lvlJc w:val="left"/>
    </w:lvl>
  </w:abstractNum>
  <w:abstractNum w:abstractNumId="1014" w15:restartNumberingAfterBreak="0">
    <w:nsid w:val="6D151C8E"/>
    <w:multiLevelType w:val="hybridMultilevel"/>
    <w:tmpl w:val="3C92F5DA"/>
    <w:lvl w:ilvl="0" w:tplc="4A38ADA2">
      <w:start w:val="1"/>
      <w:numFmt w:val="bullet"/>
      <w:lvlText w:val=""/>
      <w:lvlJc w:val="left"/>
      <w:pPr>
        <w:ind w:left="720" w:hanging="180"/>
      </w:pPr>
      <w:rPr>
        <w:rFonts w:ascii="Symbol" w:hAnsi="Symbol" w:hint="default"/>
      </w:rPr>
    </w:lvl>
    <w:lvl w:ilvl="1" w:tplc="CE26476A">
      <w:numFmt w:val="decimal"/>
      <w:lvlText w:val=""/>
      <w:lvlJc w:val="left"/>
    </w:lvl>
    <w:lvl w:ilvl="2" w:tplc="06A4FDE8">
      <w:numFmt w:val="decimal"/>
      <w:lvlText w:val=""/>
      <w:lvlJc w:val="left"/>
    </w:lvl>
    <w:lvl w:ilvl="3" w:tplc="421A6AFE">
      <w:numFmt w:val="decimal"/>
      <w:lvlText w:val=""/>
      <w:lvlJc w:val="left"/>
    </w:lvl>
    <w:lvl w:ilvl="4" w:tplc="FD3220BE">
      <w:numFmt w:val="decimal"/>
      <w:lvlText w:val=""/>
      <w:lvlJc w:val="left"/>
    </w:lvl>
    <w:lvl w:ilvl="5" w:tplc="6820F20A">
      <w:numFmt w:val="decimal"/>
      <w:lvlText w:val=""/>
      <w:lvlJc w:val="left"/>
    </w:lvl>
    <w:lvl w:ilvl="6" w:tplc="013CC36C">
      <w:numFmt w:val="decimal"/>
      <w:lvlText w:val=""/>
      <w:lvlJc w:val="left"/>
    </w:lvl>
    <w:lvl w:ilvl="7" w:tplc="B3A07D9E">
      <w:numFmt w:val="decimal"/>
      <w:lvlText w:val=""/>
      <w:lvlJc w:val="left"/>
    </w:lvl>
    <w:lvl w:ilvl="8" w:tplc="BDC6FBF0">
      <w:numFmt w:val="decimal"/>
      <w:lvlText w:val=""/>
      <w:lvlJc w:val="left"/>
    </w:lvl>
  </w:abstractNum>
  <w:abstractNum w:abstractNumId="1015" w15:restartNumberingAfterBreak="0">
    <w:nsid w:val="6D7D276F"/>
    <w:multiLevelType w:val="hybridMultilevel"/>
    <w:tmpl w:val="079E7F2A"/>
    <w:lvl w:ilvl="0" w:tplc="F6A827D0">
      <w:start w:val="1"/>
      <w:numFmt w:val="bullet"/>
      <w:lvlText w:val=""/>
      <w:lvlJc w:val="left"/>
      <w:pPr>
        <w:ind w:left="720" w:hanging="180"/>
      </w:pPr>
      <w:rPr>
        <w:rFonts w:ascii="Symbol" w:hAnsi="Symbol" w:hint="default"/>
      </w:rPr>
    </w:lvl>
    <w:lvl w:ilvl="1" w:tplc="D31C673C">
      <w:numFmt w:val="decimal"/>
      <w:lvlText w:val=""/>
      <w:lvlJc w:val="left"/>
    </w:lvl>
    <w:lvl w:ilvl="2" w:tplc="05423442">
      <w:numFmt w:val="decimal"/>
      <w:lvlText w:val=""/>
      <w:lvlJc w:val="left"/>
    </w:lvl>
    <w:lvl w:ilvl="3" w:tplc="35C63CDE">
      <w:numFmt w:val="decimal"/>
      <w:lvlText w:val=""/>
      <w:lvlJc w:val="left"/>
    </w:lvl>
    <w:lvl w:ilvl="4" w:tplc="93883982">
      <w:numFmt w:val="decimal"/>
      <w:lvlText w:val=""/>
      <w:lvlJc w:val="left"/>
    </w:lvl>
    <w:lvl w:ilvl="5" w:tplc="92B6F172">
      <w:numFmt w:val="decimal"/>
      <w:lvlText w:val=""/>
      <w:lvlJc w:val="left"/>
    </w:lvl>
    <w:lvl w:ilvl="6" w:tplc="211CADB2">
      <w:numFmt w:val="decimal"/>
      <w:lvlText w:val=""/>
      <w:lvlJc w:val="left"/>
    </w:lvl>
    <w:lvl w:ilvl="7" w:tplc="01985F56">
      <w:numFmt w:val="decimal"/>
      <w:lvlText w:val=""/>
      <w:lvlJc w:val="left"/>
    </w:lvl>
    <w:lvl w:ilvl="8" w:tplc="F6C69F1E">
      <w:numFmt w:val="decimal"/>
      <w:lvlText w:val=""/>
      <w:lvlJc w:val="left"/>
    </w:lvl>
  </w:abstractNum>
  <w:abstractNum w:abstractNumId="1016" w15:restartNumberingAfterBreak="0">
    <w:nsid w:val="6D8B3BA7"/>
    <w:multiLevelType w:val="hybridMultilevel"/>
    <w:tmpl w:val="8F1237B6"/>
    <w:lvl w:ilvl="0" w:tplc="95DA7110">
      <w:start w:val="1"/>
      <w:numFmt w:val="bullet"/>
      <w:lvlText w:val=""/>
      <w:lvlJc w:val="left"/>
      <w:pPr>
        <w:ind w:left="720" w:hanging="180"/>
      </w:pPr>
      <w:rPr>
        <w:rFonts w:ascii="Symbol" w:hAnsi="Symbol" w:hint="default"/>
      </w:rPr>
    </w:lvl>
    <w:lvl w:ilvl="1" w:tplc="F51E44D8">
      <w:numFmt w:val="decimal"/>
      <w:lvlText w:val=""/>
      <w:lvlJc w:val="left"/>
    </w:lvl>
    <w:lvl w:ilvl="2" w:tplc="5EE8646E">
      <w:numFmt w:val="decimal"/>
      <w:lvlText w:val=""/>
      <w:lvlJc w:val="left"/>
    </w:lvl>
    <w:lvl w:ilvl="3" w:tplc="29761866">
      <w:numFmt w:val="decimal"/>
      <w:lvlText w:val=""/>
      <w:lvlJc w:val="left"/>
    </w:lvl>
    <w:lvl w:ilvl="4" w:tplc="3FE21F72">
      <w:numFmt w:val="decimal"/>
      <w:lvlText w:val=""/>
      <w:lvlJc w:val="left"/>
    </w:lvl>
    <w:lvl w:ilvl="5" w:tplc="A34AB746">
      <w:numFmt w:val="decimal"/>
      <w:lvlText w:val=""/>
      <w:lvlJc w:val="left"/>
    </w:lvl>
    <w:lvl w:ilvl="6" w:tplc="914C9B9E">
      <w:numFmt w:val="decimal"/>
      <w:lvlText w:val=""/>
      <w:lvlJc w:val="left"/>
    </w:lvl>
    <w:lvl w:ilvl="7" w:tplc="65E6A8A4">
      <w:numFmt w:val="decimal"/>
      <w:lvlText w:val=""/>
      <w:lvlJc w:val="left"/>
    </w:lvl>
    <w:lvl w:ilvl="8" w:tplc="3B30F830">
      <w:numFmt w:val="decimal"/>
      <w:lvlText w:val=""/>
      <w:lvlJc w:val="left"/>
    </w:lvl>
  </w:abstractNum>
  <w:abstractNum w:abstractNumId="1017" w15:restartNumberingAfterBreak="0">
    <w:nsid w:val="6DAB160A"/>
    <w:multiLevelType w:val="hybridMultilevel"/>
    <w:tmpl w:val="5606A1A4"/>
    <w:lvl w:ilvl="0" w:tplc="7796305C">
      <w:numFmt w:val="decimal"/>
      <w:lvlText w:val=""/>
      <w:lvlJc w:val="left"/>
    </w:lvl>
    <w:lvl w:ilvl="1" w:tplc="C2C6A166">
      <w:numFmt w:val="decimal"/>
      <w:lvlText w:val=""/>
      <w:lvlJc w:val="left"/>
    </w:lvl>
    <w:lvl w:ilvl="2" w:tplc="636E0CF6">
      <w:start w:val="1"/>
      <w:numFmt w:val="bullet"/>
      <w:lvlText w:val=""/>
      <w:lvlJc w:val="left"/>
      <w:pPr>
        <w:ind w:left="2160" w:hanging="180"/>
      </w:pPr>
      <w:rPr>
        <w:rFonts w:ascii="Symbol" w:hAnsi="Symbol" w:hint="default"/>
      </w:rPr>
    </w:lvl>
    <w:lvl w:ilvl="3" w:tplc="A3E631DA">
      <w:numFmt w:val="decimal"/>
      <w:lvlText w:val=""/>
      <w:lvlJc w:val="left"/>
    </w:lvl>
    <w:lvl w:ilvl="4" w:tplc="E5A8020C">
      <w:numFmt w:val="decimal"/>
      <w:lvlText w:val=""/>
      <w:lvlJc w:val="left"/>
    </w:lvl>
    <w:lvl w:ilvl="5" w:tplc="E1DAF41A">
      <w:numFmt w:val="decimal"/>
      <w:lvlText w:val=""/>
      <w:lvlJc w:val="left"/>
    </w:lvl>
    <w:lvl w:ilvl="6" w:tplc="37EA660E">
      <w:numFmt w:val="decimal"/>
      <w:lvlText w:val=""/>
      <w:lvlJc w:val="left"/>
    </w:lvl>
    <w:lvl w:ilvl="7" w:tplc="C82CE19C">
      <w:numFmt w:val="decimal"/>
      <w:lvlText w:val=""/>
      <w:lvlJc w:val="left"/>
    </w:lvl>
    <w:lvl w:ilvl="8" w:tplc="C9D8FFD8">
      <w:numFmt w:val="decimal"/>
      <w:lvlText w:val=""/>
      <w:lvlJc w:val="left"/>
    </w:lvl>
  </w:abstractNum>
  <w:abstractNum w:abstractNumId="1018" w15:restartNumberingAfterBreak="0">
    <w:nsid w:val="6E115FB7"/>
    <w:multiLevelType w:val="hybridMultilevel"/>
    <w:tmpl w:val="84227804"/>
    <w:lvl w:ilvl="0" w:tplc="C2442F50">
      <w:start w:val="1"/>
      <w:numFmt w:val="bullet"/>
      <w:lvlText w:val=""/>
      <w:lvlJc w:val="left"/>
      <w:pPr>
        <w:ind w:left="720" w:hanging="180"/>
      </w:pPr>
      <w:rPr>
        <w:rFonts w:ascii="Symbol" w:hAnsi="Symbol" w:hint="default"/>
      </w:rPr>
    </w:lvl>
    <w:lvl w:ilvl="1" w:tplc="5E5698E0">
      <w:numFmt w:val="decimal"/>
      <w:lvlText w:val=""/>
      <w:lvlJc w:val="left"/>
    </w:lvl>
    <w:lvl w:ilvl="2" w:tplc="55565292">
      <w:numFmt w:val="decimal"/>
      <w:lvlText w:val=""/>
      <w:lvlJc w:val="left"/>
    </w:lvl>
    <w:lvl w:ilvl="3" w:tplc="02DE4CD6">
      <w:numFmt w:val="decimal"/>
      <w:lvlText w:val=""/>
      <w:lvlJc w:val="left"/>
    </w:lvl>
    <w:lvl w:ilvl="4" w:tplc="3FD684F8">
      <w:numFmt w:val="decimal"/>
      <w:lvlText w:val=""/>
      <w:lvlJc w:val="left"/>
    </w:lvl>
    <w:lvl w:ilvl="5" w:tplc="A3A2E838">
      <w:numFmt w:val="decimal"/>
      <w:lvlText w:val=""/>
      <w:lvlJc w:val="left"/>
    </w:lvl>
    <w:lvl w:ilvl="6" w:tplc="486CDCBE">
      <w:numFmt w:val="decimal"/>
      <w:lvlText w:val=""/>
      <w:lvlJc w:val="left"/>
    </w:lvl>
    <w:lvl w:ilvl="7" w:tplc="F41A4D12">
      <w:numFmt w:val="decimal"/>
      <w:lvlText w:val=""/>
      <w:lvlJc w:val="left"/>
    </w:lvl>
    <w:lvl w:ilvl="8" w:tplc="2A068AC0">
      <w:numFmt w:val="decimal"/>
      <w:lvlText w:val=""/>
      <w:lvlJc w:val="left"/>
    </w:lvl>
  </w:abstractNum>
  <w:abstractNum w:abstractNumId="1019" w15:restartNumberingAfterBreak="0">
    <w:nsid w:val="6EA74A37"/>
    <w:multiLevelType w:val="hybridMultilevel"/>
    <w:tmpl w:val="B2BC4A4A"/>
    <w:lvl w:ilvl="0" w:tplc="8682A6FA">
      <w:start w:val="1"/>
      <w:numFmt w:val="bullet"/>
      <w:lvlText w:val=""/>
      <w:lvlJc w:val="left"/>
      <w:pPr>
        <w:ind w:left="720" w:hanging="180"/>
      </w:pPr>
      <w:rPr>
        <w:rFonts w:ascii="Symbol" w:hAnsi="Symbol" w:hint="default"/>
      </w:rPr>
    </w:lvl>
    <w:lvl w:ilvl="1" w:tplc="6848E8D4">
      <w:numFmt w:val="decimal"/>
      <w:lvlText w:val=""/>
      <w:lvlJc w:val="left"/>
    </w:lvl>
    <w:lvl w:ilvl="2" w:tplc="D4B02342">
      <w:numFmt w:val="decimal"/>
      <w:lvlText w:val=""/>
      <w:lvlJc w:val="left"/>
    </w:lvl>
    <w:lvl w:ilvl="3" w:tplc="E884B594">
      <w:numFmt w:val="decimal"/>
      <w:lvlText w:val=""/>
      <w:lvlJc w:val="left"/>
    </w:lvl>
    <w:lvl w:ilvl="4" w:tplc="9768F004">
      <w:numFmt w:val="decimal"/>
      <w:lvlText w:val=""/>
      <w:lvlJc w:val="left"/>
    </w:lvl>
    <w:lvl w:ilvl="5" w:tplc="57CCC014">
      <w:numFmt w:val="decimal"/>
      <w:lvlText w:val=""/>
      <w:lvlJc w:val="left"/>
    </w:lvl>
    <w:lvl w:ilvl="6" w:tplc="4E1E54A6">
      <w:numFmt w:val="decimal"/>
      <w:lvlText w:val=""/>
      <w:lvlJc w:val="left"/>
    </w:lvl>
    <w:lvl w:ilvl="7" w:tplc="C29EE3C6">
      <w:numFmt w:val="decimal"/>
      <w:lvlText w:val=""/>
      <w:lvlJc w:val="left"/>
    </w:lvl>
    <w:lvl w:ilvl="8" w:tplc="CD967ADC">
      <w:numFmt w:val="decimal"/>
      <w:lvlText w:val=""/>
      <w:lvlJc w:val="left"/>
    </w:lvl>
  </w:abstractNum>
  <w:abstractNum w:abstractNumId="1020" w15:restartNumberingAfterBreak="0">
    <w:nsid w:val="6EC42300"/>
    <w:multiLevelType w:val="hybridMultilevel"/>
    <w:tmpl w:val="EAB0EDF6"/>
    <w:lvl w:ilvl="0" w:tplc="91226CCA">
      <w:start w:val="1"/>
      <w:numFmt w:val="bullet"/>
      <w:lvlText w:val=""/>
      <w:lvlJc w:val="left"/>
      <w:pPr>
        <w:ind w:left="720" w:hanging="180"/>
      </w:pPr>
      <w:rPr>
        <w:rFonts w:ascii="Symbol" w:hAnsi="Symbol" w:hint="default"/>
      </w:rPr>
    </w:lvl>
    <w:lvl w:ilvl="1" w:tplc="0CF0BD2E">
      <w:numFmt w:val="decimal"/>
      <w:lvlText w:val=""/>
      <w:lvlJc w:val="left"/>
    </w:lvl>
    <w:lvl w:ilvl="2" w:tplc="1ACA07FA">
      <w:numFmt w:val="decimal"/>
      <w:lvlText w:val=""/>
      <w:lvlJc w:val="left"/>
    </w:lvl>
    <w:lvl w:ilvl="3" w:tplc="7BE44838">
      <w:numFmt w:val="decimal"/>
      <w:lvlText w:val=""/>
      <w:lvlJc w:val="left"/>
    </w:lvl>
    <w:lvl w:ilvl="4" w:tplc="DA66265A">
      <w:numFmt w:val="decimal"/>
      <w:lvlText w:val=""/>
      <w:lvlJc w:val="left"/>
    </w:lvl>
    <w:lvl w:ilvl="5" w:tplc="C9A8CD44">
      <w:numFmt w:val="decimal"/>
      <w:lvlText w:val=""/>
      <w:lvlJc w:val="left"/>
    </w:lvl>
    <w:lvl w:ilvl="6" w:tplc="3C48FDFA">
      <w:numFmt w:val="decimal"/>
      <w:lvlText w:val=""/>
      <w:lvlJc w:val="left"/>
    </w:lvl>
    <w:lvl w:ilvl="7" w:tplc="ED347CF8">
      <w:numFmt w:val="decimal"/>
      <w:lvlText w:val=""/>
      <w:lvlJc w:val="left"/>
    </w:lvl>
    <w:lvl w:ilvl="8" w:tplc="97AE9766">
      <w:numFmt w:val="decimal"/>
      <w:lvlText w:val=""/>
      <w:lvlJc w:val="left"/>
    </w:lvl>
  </w:abstractNum>
  <w:abstractNum w:abstractNumId="1021" w15:restartNumberingAfterBreak="0">
    <w:nsid w:val="6F0E323B"/>
    <w:multiLevelType w:val="hybridMultilevel"/>
    <w:tmpl w:val="70BC6CCA"/>
    <w:lvl w:ilvl="0" w:tplc="FE6E61A0">
      <w:start w:val="1"/>
      <w:numFmt w:val="bullet"/>
      <w:lvlText w:val=""/>
      <w:lvlJc w:val="left"/>
      <w:pPr>
        <w:ind w:left="720" w:hanging="180"/>
      </w:pPr>
      <w:rPr>
        <w:rFonts w:ascii="Symbol" w:hAnsi="Symbol" w:hint="default"/>
      </w:rPr>
    </w:lvl>
    <w:lvl w:ilvl="1" w:tplc="A4D06F88">
      <w:numFmt w:val="decimal"/>
      <w:lvlText w:val=""/>
      <w:lvlJc w:val="left"/>
    </w:lvl>
    <w:lvl w:ilvl="2" w:tplc="57085062">
      <w:numFmt w:val="decimal"/>
      <w:lvlText w:val=""/>
      <w:lvlJc w:val="left"/>
    </w:lvl>
    <w:lvl w:ilvl="3" w:tplc="366EAC3C">
      <w:numFmt w:val="decimal"/>
      <w:lvlText w:val=""/>
      <w:lvlJc w:val="left"/>
    </w:lvl>
    <w:lvl w:ilvl="4" w:tplc="098463F8">
      <w:numFmt w:val="decimal"/>
      <w:lvlText w:val=""/>
      <w:lvlJc w:val="left"/>
    </w:lvl>
    <w:lvl w:ilvl="5" w:tplc="B590C4B2">
      <w:numFmt w:val="decimal"/>
      <w:lvlText w:val=""/>
      <w:lvlJc w:val="left"/>
    </w:lvl>
    <w:lvl w:ilvl="6" w:tplc="658AB924">
      <w:numFmt w:val="decimal"/>
      <w:lvlText w:val=""/>
      <w:lvlJc w:val="left"/>
    </w:lvl>
    <w:lvl w:ilvl="7" w:tplc="374E2DA8">
      <w:numFmt w:val="decimal"/>
      <w:lvlText w:val=""/>
      <w:lvlJc w:val="left"/>
    </w:lvl>
    <w:lvl w:ilvl="8" w:tplc="D01436D0">
      <w:numFmt w:val="decimal"/>
      <w:lvlText w:val=""/>
      <w:lvlJc w:val="left"/>
    </w:lvl>
  </w:abstractNum>
  <w:abstractNum w:abstractNumId="1022" w15:restartNumberingAfterBreak="0">
    <w:nsid w:val="6F68473D"/>
    <w:multiLevelType w:val="hybridMultilevel"/>
    <w:tmpl w:val="4C280710"/>
    <w:lvl w:ilvl="0" w:tplc="317CE424">
      <w:start w:val="1"/>
      <w:numFmt w:val="bullet"/>
      <w:lvlText w:val=""/>
      <w:lvlJc w:val="left"/>
      <w:pPr>
        <w:ind w:left="720" w:hanging="180"/>
      </w:pPr>
      <w:rPr>
        <w:rFonts w:ascii="Symbol" w:hAnsi="Symbol" w:hint="default"/>
      </w:rPr>
    </w:lvl>
    <w:lvl w:ilvl="1" w:tplc="D92AE410">
      <w:numFmt w:val="decimal"/>
      <w:lvlText w:val=""/>
      <w:lvlJc w:val="left"/>
    </w:lvl>
    <w:lvl w:ilvl="2" w:tplc="C23893AE">
      <w:numFmt w:val="decimal"/>
      <w:lvlText w:val=""/>
      <w:lvlJc w:val="left"/>
    </w:lvl>
    <w:lvl w:ilvl="3" w:tplc="F49A626A">
      <w:numFmt w:val="decimal"/>
      <w:lvlText w:val=""/>
      <w:lvlJc w:val="left"/>
    </w:lvl>
    <w:lvl w:ilvl="4" w:tplc="E7ECEF1C">
      <w:numFmt w:val="decimal"/>
      <w:lvlText w:val=""/>
      <w:lvlJc w:val="left"/>
    </w:lvl>
    <w:lvl w:ilvl="5" w:tplc="931E7A96">
      <w:numFmt w:val="decimal"/>
      <w:lvlText w:val=""/>
      <w:lvlJc w:val="left"/>
    </w:lvl>
    <w:lvl w:ilvl="6" w:tplc="6D888380">
      <w:numFmt w:val="decimal"/>
      <w:lvlText w:val=""/>
      <w:lvlJc w:val="left"/>
    </w:lvl>
    <w:lvl w:ilvl="7" w:tplc="6A9A21C8">
      <w:numFmt w:val="decimal"/>
      <w:lvlText w:val=""/>
      <w:lvlJc w:val="left"/>
    </w:lvl>
    <w:lvl w:ilvl="8" w:tplc="5B261B48">
      <w:numFmt w:val="decimal"/>
      <w:lvlText w:val=""/>
      <w:lvlJc w:val="left"/>
    </w:lvl>
  </w:abstractNum>
  <w:abstractNum w:abstractNumId="1023" w15:restartNumberingAfterBreak="0">
    <w:nsid w:val="6F6D720E"/>
    <w:multiLevelType w:val="hybridMultilevel"/>
    <w:tmpl w:val="BF9A2698"/>
    <w:lvl w:ilvl="0" w:tplc="235CD128">
      <w:start w:val="1"/>
      <w:numFmt w:val="bullet"/>
      <w:lvlText w:val=""/>
      <w:lvlJc w:val="left"/>
      <w:pPr>
        <w:ind w:left="720" w:hanging="180"/>
      </w:pPr>
      <w:rPr>
        <w:rFonts w:ascii="Symbol" w:hAnsi="Symbol" w:hint="default"/>
      </w:rPr>
    </w:lvl>
    <w:lvl w:ilvl="1" w:tplc="79A8B550">
      <w:numFmt w:val="decimal"/>
      <w:lvlText w:val=""/>
      <w:lvlJc w:val="left"/>
    </w:lvl>
    <w:lvl w:ilvl="2" w:tplc="35902D98">
      <w:numFmt w:val="decimal"/>
      <w:lvlText w:val=""/>
      <w:lvlJc w:val="left"/>
    </w:lvl>
    <w:lvl w:ilvl="3" w:tplc="75F0E1D8">
      <w:numFmt w:val="decimal"/>
      <w:lvlText w:val=""/>
      <w:lvlJc w:val="left"/>
    </w:lvl>
    <w:lvl w:ilvl="4" w:tplc="9C5E3878">
      <w:numFmt w:val="decimal"/>
      <w:lvlText w:val=""/>
      <w:lvlJc w:val="left"/>
    </w:lvl>
    <w:lvl w:ilvl="5" w:tplc="CBFAB40E">
      <w:numFmt w:val="decimal"/>
      <w:lvlText w:val=""/>
      <w:lvlJc w:val="left"/>
    </w:lvl>
    <w:lvl w:ilvl="6" w:tplc="EE5262A8">
      <w:numFmt w:val="decimal"/>
      <w:lvlText w:val=""/>
      <w:lvlJc w:val="left"/>
    </w:lvl>
    <w:lvl w:ilvl="7" w:tplc="4882082E">
      <w:numFmt w:val="decimal"/>
      <w:lvlText w:val=""/>
      <w:lvlJc w:val="left"/>
    </w:lvl>
    <w:lvl w:ilvl="8" w:tplc="35241A74">
      <w:numFmt w:val="decimal"/>
      <w:lvlText w:val=""/>
      <w:lvlJc w:val="left"/>
    </w:lvl>
  </w:abstractNum>
  <w:abstractNum w:abstractNumId="1024" w15:restartNumberingAfterBreak="0">
    <w:nsid w:val="6FB54DD5"/>
    <w:multiLevelType w:val="hybridMultilevel"/>
    <w:tmpl w:val="62B41C2E"/>
    <w:lvl w:ilvl="0" w:tplc="6FAA6D10">
      <w:start w:val="1"/>
      <w:numFmt w:val="bullet"/>
      <w:lvlText w:val=""/>
      <w:lvlJc w:val="left"/>
      <w:pPr>
        <w:ind w:left="720" w:hanging="180"/>
      </w:pPr>
      <w:rPr>
        <w:rFonts w:ascii="Symbol" w:hAnsi="Symbol" w:hint="default"/>
      </w:rPr>
    </w:lvl>
    <w:lvl w:ilvl="1" w:tplc="6E02A0F6">
      <w:numFmt w:val="decimal"/>
      <w:lvlText w:val=""/>
      <w:lvlJc w:val="left"/>
    </w:lvl>
    <w:lvl w:ilvl="2" w:tplc="644663BE">
      <w:numFmt w:val="decimal"/>
      <w:lvlText w:val=""/>
      <w:lvlJc w:val="left"/>
    </w:lvl>
    <w:lvl w:ilvl="3" w:tplc="CC268710">
      <w:numFmt w:val="decimal"/>
      <w:lvlText w:val=""/>
      <w:lvlJc w:val="left"/>
    </w:lvl>
    <w:lvl w:ilvl="4" w:tplc="064A8158">
      <w:numFmt w:val="decimal"/>
      <w:lvlText w:val=""/>
      <w:lvlJc w:val="left"/>
    </w:lvl>
    <w:lvl w:ilvl="5" w:tplc="A46AECE0">
      <w:numFmt w:val="decimal"/>
      <w:lvlText w:val=""/>
      <w:lvlJc w:val="left"/>
    </w:lvl>
    <w:lvl w:ilvl="6" w:tplc="11D09822">
      <w:numFmt w:val="decimal"/>
      <w:lvlText w:val=""/>
      <w:lvlJc w:val="left"/>
    </w:lvl>
    <w:lvl w:ilvl="7" w:tplc="C8E48C42">
      <w:numFmt w:val="decimal"/>
      <w:lvlText w:val=""/>
      <w:lvlJc w:val="left"/>
    </w:lvl>
    <w:lvl w:ilvl="8" w:tplc="3C9C7966">
      <w:numFmt w:val="decimal"/>
      <w:lvlText w:val=""/>
      <w:lvlJc w:val="left"/>
    </w:lvl>
  </w:abstractNum>
  <w:abstractNum w:abstractNumId="1025" w15:restartNumberingAfterBreak="0">
    <w:nsid w:val="6FEE5971"/>
    <w:multiLevelType w:val="hybridMultilevel"/>
    <w:tmpl w:val="3DC03802"/>
    <w:lvl w:ilvl="0" w:tplc="2DDCBEFA">
      <w:start w:val="1"/>
      <w:numFmt w:val="bullet"/>
      <w:lvlText w:val=""/>
      <w:lvlJc w:val="left"/>
      <w:pPr>
        <w:ind w:left="720" w:hanging="180"/>
      </w:pPr>
      <w:rPr>
        <w:rFonts w:ascii="Symbol" w:hAnsi="Symbol" w:hint="default"/>
      </w:rPr>
    </w:lvl>
    <w:lvl w:ilvl="1" w:tplc="3752C24E">
      <w:numFmt w:val="decimal"/>
      <w:lvlText w:val=""/>
      <w:lvlJc w:val="left"/>
    </w:lvl>
    <w:lvl w:ilvl="2" w:tplc="D86407BC">
      <w:numFmt w:val="decimal"/>
      <w:lvlText w:val=""/>
      <w:lvlJc w:val="left"/>
    </w:lvl>
    <w:lvl w:ilvl="3" w:tplc="06DA50C0">
      <w:numFmt w:val="decimal"/>
      <w:lvlText w:val=""/>
      <w:lvlJc w:val="left"/>
    </w:lvl>
    <w:lvl w:ilvl="4" w:tplc="2686523E">
      <w:numFmt w:val="decimal"/>
      <w:lvlText w:val=""/>
      <w:lvlJc w:val="left"/>
    </w:lvl>
    <w:lvl w:ilvl="5" w:tplc="990A999E">
      <w:numFmt w:val="decimal"/>
      <w:lvlText w:val=""/>
      <w:lvlJc w:val="left"/>
    </w:lvl>
    <w:lvl w:ilvl="6" w:tplc="C700D544">
      <w:numFmt w:val="decimal"/>
      <w:lvlText w:val=""/>
      <w:lvlJc w:val="left"/>
    </w:lvl>
    <w:lvl w:ilvl="7" w:tplc="47CE29A6">
      <w:numFmt w:val="decimal"/>
      <w:lvlText w:val=""/>
      <w:lvlJc w:val="left"/>
    </w:lvl>
    <w:lvl w:ilvl="8" w:tplc="34BEC774">
      <w:numFmt w:val="decimal"/>
      <w:lvlText w:val=""/>
      <w:lvlJc w:val="left"/>
    </w:lvl>
  </w:abstractNum>
  <w:abstractNum w:abstractNumId="1026" w15:restartNumberingAfterBreak="0">
    <w:nsid w:val="70084344"/>
    <w:multiLevelType w:val="hybridMultilevel"/>
    <w:tmpl w:val="8FF074F8"/>
    <w:lvl w:ilvl="0" w:tplc="DC74DF76">
      <w:start w:val="1"/>
      <w:numFmt w:val="bullet"/>
      <w:lvlText w:val=""/>
      <w:lvlJc w:val="left"/>
      <w:pPr>
        <w:ind w:left="720" w:hanging="180"/>
      </w:pPr>
      <w:rPr>
        <w:rFonts w:ascii="Symbol" w:hAnsi="Symbol" w:hint="default"/>
      </w:rPr>
    </w:lvl>
    <w:lvl w:ilvl="1" w:tplc="6D945D98">
      <w:numFmt w:val="decimal"/>
      <w:lvlText w:val=""/>
      <w:lvlJc w:val="left"/>
    </w:lvl>
    <w:lvl w:ilvl="2" w:tplc="10608794">
      <w:numFmt w:val="decimal"/>
      <w:lvlText w:val=""/>
      <w:lvlJc w:val="left"/>
    </w:lvl>
    <w:lvl w:ilvl="3" w:tplc="AF4A3B46">
      <w:numFmt w:val="decimal"/>
      <w:lvlText w:val=""/>
      <w:lvlJc w:val="left"/>
    </w:lvl>
    <w:lvl w:ilvl="4" w:tplc="3F703E68">
      <w:numFmt w:val="decimal"/>
      <w:lvlText w:val=""/>
      <w:lvlJc w:val="left"/>
    </w:lvl>
    <w:lvl w:ilvl="5" w:tplc="7610E35A">
      <w:numFmt w:val="decimal"/>
      <w:lvlText w:val=""/>
      <w:lvlJc w:val="left"/>
    </w:lvl>
    <w:lvl w:ilvl="6" w:tplc="78F002A4">
      <w:numFmt w:val="decimal"/>
      <w:lvlText w:val=""/>
      <w:lvlJc w:val="left"/>
    </w:lvl>
    <w:lvl w:ilvl="7" w:tplc="AC0248D0">
      <w:numFmt w:val="decimal"/>
      <w:lvlText w:val=""/>
      <w:lvlJc w:val="left"/>
    </w:lvl>
    <w:lvl w:ilvl="8" w:tplc="AEEC0E68">
      <w:numFmt w:val="decimal"/>
      <w:lvlText w:val=""/>
      <w:lvlJc w:val="left"/>
    </w:lvl>
  </w:abstractNum>
  <w:abstractNum w:abstractNumId="1027" w15:restartNumberingAfterBreak="0">
    <w:nsid w:val="702A56A4"/>
    <w:multiLevelType w:val="hybridMultilevel"/>
    <w:tmpl w:val="3882209E"/>
    <w:lvl w:ilvl="0" w:tplc="AA2A8A66">
      <w:start w:val="1"/>
      <w:numFmt w:val="bullet"/>
      <w:lvlText w:val=""/>
      <w:lvlJc w:val="left"/>
      <w:pPr>
        <w:ind w:left="720" w:hanging="180"/>
      </w:pPr>
      <w:rPr>
        <w:rFonts w:ascii="Symbol" w:hAnsi="Symbol" w:hint="default"/>
      </w:rPr>
    </w:lvl>
    <w:lvl w:ilvl="1" w:tplc="CC6A9784">
      <w:numFmt w:val="decimal"/>
      <w:lvlText w:val=""/>
      <w:lvlJc w:val="left"/>
    </w:lvl>
    <w:lvl w:ilvl="2" w:tplc="16901566">
      <w:numFmt w:val="decimal"/>
      <w:lvlText w:val=""/>
      <w:lvlJc w:val="left"/>
    </w:lvl>
    <w:lvl w:ilvl="3" w:tplc="295AEA1E">
      <w:numFmt w:val="decimal"/>
      <w:lvlText w:val=""/>
      <w:lvlJc w:val="left"/>
    </w:lvl>
    <w:lvl w:ilvl="4" w:tplc="04D48FAC">
      <w:numFmt w:val="decimal"/>
      <w:lvlText w:val=""/>
      <w:lvlJc w:val="left"/>
    </w:lvl>
    <w:lvl w:ilvl="5" w:tplc="3D7C2518">
      <w:numFmt w:val="decimal"/>
      <w:lvlText w:val=""/>
      <w:lvlJc w:val="left"/>
    </w:lvl>
    <w:lvl w:ilvl="6" w:tplc="58EE2A0E">
      <w:numFmt w:val="decimal"/>
      <w:lvlText w:val=""/>
      <w:lvlJc w:val="left"/>
    </w:lvl>
    <w:lvl w:ilvl="7" w:tplc="D8943DA8">
      <w:numFmt w:val="decimal"/>
      <w:lvlText w:val=""/>
      <w:lvlJc w:val="left"/>
    </w:lvl>
    <w:lvl w:ilvl="8" w:tplc="B3DA4CDE">
      <w:numFmt w:val="decimal"/>
      <w:lvlText w:val=""/>
      <w:lvlJc w:val="left"/>
    </w:lvl>
  </w:abstractNum>
  <w:abstractNum w:abstractNumId="1028" w15:restartNumberingAfterBreak="0">
    <w:nsid w:val="702D4F06"/>
    <w:multiLevelType w:val="hybridMultilevel"/>
    <w:tmpl w:val="B3427A6C"/>
    <w:lvl w:ilvl="0" w:tplc="24901BA8">
      <w:start w:val="1"/>
      <w:numFmt w:val="bullet"/>
      <w:lvlText w:val=""/>
      <w:lvlJc w:val="left"/>
      <w:pPr>
        <w:ind w:left="720" w:hanging="180"/>
      </w:pPr>
      <w:rPr>
        <w:rFonts w:ascii="Symbol" w:hAnsi="Symbol" w:hint="default"/>
      </w:rPr>
    </w:lvl>
    <w:lvl w:ilvl="1" w:tplc="4C92F1B8">
      <w:numFmt w:val="decimal"/>
      <w:lvlText w:val=""/>
      <w:lvlJc w:val="left"/>
    </w:lvl>
    <w:lvl w:ilvl="2" w:tplc="C42C77E6">
      <w:numFmt w:val="decimal"/>
      <w:lvlText w:val=""/>
      <w:lvlJc w:val="left"/>
    </w:lvl>
    <w:lvl w:ilvl="3" w:tplc="1A22F940">
      <w:numFmt w:val="decimal"/>
      <w:lvlText w:val=""/>
      <w:lvlJc w:val="left"/>
    </w:lvl>
    <w:lvl w:ilvl="4" w:tplc="B406D258">
      <w:numFmt w:val="decimal"/>
      <w:lvlText w:val=""/>
      <w:lvlJc w:val="left"/>
    </w:lvl>
    <w:lvl w:ilvl="5" w:tplc="091A7420">
      <w:numFmt w:val="decimal"/>
      <w:lvlText w:val=""/>
      <w:lvlJc w:val="left"/>
    </w:lvl>
    <w:lvl w:ilvl="6" w:tplc="674C54C4">
      <w:numFmt w:val="decimal"/>
      <w:lvlText w:val=""/>
      <w:lvlJc w:val="left"/>
    </w:lvl>
    <w:lvl w:ilvl="7" w:tplc="38A0B8E0">
      <w:numFmt w:val="decimal"/>
      <w:lvlText w:val=""/>
      <w:lvlJc w:val="left"/>
    </w:lvl>
    <w:lvl w:ilvl="8" w:tplc="1C624D8E">
      <w:numFmt w:val="decimal"/>
      <w:lvlText w:val=""/>
      <w:lvlJc w:val="left"/>
    </w:lvl>
  </w:abstractNum>
  <w:abstractNum w:abstractNumId="1029" w15:restartNumberingAfterBreak="0">
    <w:nsid w:val="70583FBC"/>
    <w:multiLevelType w:val="hybridMultilevel"/>
    <w:tmpl w:val="8764AFA8"/>
    <w:lvl w:ilvl="0" w:tplc="6DC6DC5E">
      <w:start w:val="1"/>
      <w:numFmt w:val="bullet"/>
      <w:lvlText w:val=""/>
      <w:lvlJc w:val="left"/>
      <w:pPr>
        <w:ind w:left="720" w:hanging="180"/>
      </w:pPr>
      <w:rPr>
        <w:rFonts w:ascii="Symbol" w:hAnsi="Symbol" w:hint="default"/>
      </w:rPr>
    </w:lvl>
    <w:lvl w:ilvl="1" w:tplc="C0DE99CA">
      <w:numFmt w:val="decimal"/>
      <w:lvlText w:val=""/>
      <w:lvlJc w:val="left"/>
    </w:lvl>
    <w:lvl w:ilvl="2" w:tplc="5CD24D38">
      <w:numFmt w:val="decimal"/>
      <w:lvlText w:val=""/>
      <w:lvlJc w:val="left"/>
    </w:lvl>
    <w:lvl w:ilvl="3" w:tplc="D80A7A02">
      <w:numFmt w:val="decimal"/>
      <w:lvlText w:val=""/>
      <w:lvlJc w:val="left"/>
    </w:lvl>
    <w:lvl w:ilvl="4" w:tplc="FDB83C1A">
      <w:numFmt w:val="decimal"/>
      <w:lvlText w:val=""/>
      <w:lvlJc w:val="left"/>
    </w:lvl>
    <w:lvl w:ilvl="5" w:tplc="3F6C5C50">
      <w:numFmt w:val="decimal"/>
      <w:lvlText w:val=""/>
      <w:lvlJc w:val="left"/>
    </w:lvl>
    <w:lvl w:ilvl="6" w:tplc="F8C43B64">
      <w:numFmt w:val="decimal"/>
      <w:lvlText w:val=""/>
      <w:lvlJc w:val="left"/>
    </w:lvl>
    <w:lvl w:ilvl="7" w:tplc="D924C152">
      <w:numFmt w:val="decimal"/>
      <w:lvlText w:val=""/>
      <w:lvlJc w:val="left"/>
    </w:lvl>
    <w:lvl w:ilvl="8" w:tplc="FA16C3AC">
      <w:numFmt w:val="decimal"/>
      <w:lvlText w:val=""/>
      <w:lvlJc w:val="left"/>
    </w:lvl>
  </w:abstractNum>
  <w:abstractNum w:abstractNumId="1030" w15:restartNumberingAfterBreak="0">
    <w:nsid w:val="708A3D1A"/>
    <w:multiLevelType w:val="hybridMultilevel"/>
    <w:tmpl w:val="AC6A0574"/>
    <w:lvl w:ilvl="0" w:tplc="95E291D0">
      <w:start w:val="1"/>
      <w:numFmt w:val="bullet"/>
      <w:lvlText w:val=""/>
      <w:lvlJc w:val="left"/>
      <w:pPr>
        <w:ind w:left="720" w:hanging="180"/>
      </w:pPr>
      <w:rPr>
        <w:rFonts w:ascii="Symbol" w:hAnsi="Symbol" w:hint="default"/>
      </w:rPr>
    </w:lvl>
    <w:lvl w:ilvl="1" w:tplc="6A20E91E">
      <w:numFmt w:val="decimal"/>
      <w:lvlText w:val=""/>
      <w:lvlJc w:val="left"/>
    </w:lvl>
    <w:lvl w:ilvl="2" w:tplc="CB843730">
      <w:numFmt w:val="decimal"/>
      <w:lvlText w:val=""/>
      <w:lvlJc w:val="left"/>
    </w:lvl>
    <w:lvl w:ilvl="3" w:tplc="77F2E69A">
      <w:numFmt w:val="decimal"/>
      <w:lvlText w:val=""/>
      <w:lvlJc w:val="left"/>
    </w:lvl>
    <w:lvl w:ilvl="4" w:tplc="696E3320">
      <w:numFmt w:val="decimal"/>
      <w:lvlText w:val=""/>
      <w:lvlJc w:val="left"/>
    </w:lvl>
    <w:lvl w:ilvl="5" w:tplc="CB7615B8">
      <w:numFmt w:val="decimal"/>
      <w:lvlText w:val=""/>
      <w:lvlJc w:val="left"/>
    </w:lvl>
    <w:lvl w:ilvl="6" w:tplc="A1B64EE0">
      <w:numFmt w:val="decimal"/>
      <w:lvlText w:val=""/>
      <w:lvlJc w:val="left"/>
    </w:lvl>
    <w:lvl w:ilvl="7" w:tplc="3CA636B6">
      <w:numFmt w:val="decimal"/>
      <w:lvlText w:val=""/>
      <w:lvlJc w:val="left"/>
    </w:lvl>
    <w:lvl w:ilvl="8" w:tplc="49C8066A">
      <w:numFmt w:val="decimal"/>
      <w:lvlText w:val=""/>
      <w:lvlJc w:val="left"/>
    </w:lvl>
  </w:abstractNum>
  <w:abstractNum w:abstractNumId="1031" w15:restartNumberingAfterBreak="0">
    <w:nsid w:val="70A951EA"/>
    <w:multiLevelType w:val="hybridMultilevel"/>
    <w:tmpl w:val="93B29C7E"/>
    <w:lvl w:ilvl="0" w:tplc="3C58559E">
      <w:start w:val="1"/>
      <w:numFmt w:val="bullet"/>
      <w:lvlText w:val=""/>
      <w:lvlJc w:val="left"/>
      <w:pPr>
        <w:ind w:left="720" w:hanging="180"/>
      </w:pPr>
      <w:rPr>
        <w:rFonts w:ascii="Symbol" w:hAnsi="Symbol" w:hint="default"/>
      </w:rPr>
    </w:lvl>
    <w:lvl w:ilvl="1" w:tplc="21BCB4AE">
      <w:numFmt w:val="decimal"/>
      <w:lvlText w:val=""/>
      <w:lvlJc w:val="left"/>
    </w:lvl>
    <w:lvl w:ilvl="2" w:tplc="2D2412AA">
      <w:numFmt w:val="decimal"/>
      <w:lvlText w:val=""/>
      <w:lvlJc w:val="left"/>
    </w:lvl>
    <w:lvl w:ilvl="3" w:tplc="821A7E20">
      <w:numFmt w:val="decimal"/>
      <w:lvlText w:val=""/>
      <w:lvlJc w:val="left"/>
    </w:lvl>
    <w:lvl w:ilvl="4" w:tplc="0E68FB0E">
      <w:numFmt w:val="decimal"/>
      <w:lvlText w:val=""/>
      <w:lvlJc w:val="left"/>
    </w:lvl>
    <w:lvl w:ilvl="5" w:tplc="DB8AD1A8">
      <w:numFmt w:val="decimal"/>
      <w:lvlText w:val=""/>
      <w:lvlJc w:val="left"/>
    </w:lvl>
    <w:lvl w:ilvl="6" w:tplc="C8A60CDC">
      <w:numFmt w:val="decimal"/>
      <w:lvlText w:val=""/>
      <w:lvlJc w:val="left"/>
    </w:lvl>
    <w:lvl w:ilvl="7" w:tplc="BB706EC4">
      <w:numFmt w:val="decimal"/>
      <w:lvlText w:val=""/>
      <w:lvlJc w:val="left"/>
    </w:lvl>
    <w:lvl w:ilvl="8" w:tplc="B4CEF37C">
      <w:numFmt w:val="decimal"/>
      <w:lvlText w:val=""/>
      <w:lvlJc w:val="left"/>
    </w:lvl>
  </w:abstractNum>
  <w:abstractNum w:abstractNumId="1032" w15:restartNumberingAfterBreak="0">
    <w:nsid w:val="70BB18C2"/>
    <w:multiLevelType w:val="hybridMultilevel"/>
    <w:tmpl w:val="EF542E3E"/>
    <w:lvl w:ilvl="0" w:tplc="6548D158">
      <w:start w:val="1"/>
      <w:numFmt w:val="bullet"/>
      <w:lvlText w:val=""/>
      <w:lvlJc w:val="left"/>
      <w:pPr>
        <w:ind w:left="720" w:hanging="180"/>
      </w:pPr>
      <w:rPr>
        <w:rFonts w:ascii="Symbol" w:hAnsi="Symbol" w:hint="default"/>
      </w:rPr>
    </w:lvl>
    <w:lvl w:ilvl="1" w:tplc="D916A86E">
      <w:numFmt w:val="decimal"/>
      <w:lvlText w:val=""/>
      <w:lvlJc w:val="left"/>
    </w:lvl>
    <w:lvl w:ilvl="2" w:tplc="1E842866">
      <w:numFmt w:val="decimal"/>
      <w:lvlText w:val=""/>
      <w:lvlJc w:val="left"/>
    </w:lvl>
    <w:lvl w:ilvl="3" w:tplc="189EDBC8">
      <w:numFmt w:val="decimal"/>
      <w:lvlText w:val=""/>
      <w:lvlJc w:val="left"/>
    </w:lvl>
    <w:lvl w:ilvl="4" w:tplc="22D0CCEE">
      <w:numFmt w:val="decimal"/>
      <w:lvlText w:val=""/>
      <w:lvlJc w:val="left"/>
    </w:lvl>
    <w:lvl w:ilvl="5" w:tplc="4762D586">
      <w:numFmt w:val="decimal"/>
      <w:lvlText w:val=""/>
      <w:lvlJc w:val="left"/>
    </w:lvl>
    <w:lvl w:ilvl="6" w:tplc="22DE26AE">
      <w:numFmt w:val="decimal"/>
      <w:lvlText w:val=""/>
      <w:lvlJc w:val="left"/>
    </w:lvl>
    <w:lvl w:ilvl="7" w:tplc="548AC606">
      <w:numFmt w:val="decimal"/>
      <w:lvlText w:val=""/>
      <w:lvlJc w:val="left"/>
    </w:lvl>
    <w:lvl w:ilvl="8" w:tplc="5734C6D8">
      <w:numFmt w:val="decimal"/>
      <w:lvlText w:val=""/>
      <w:lvlJc w:val="left"/>
    </w:lvl>
  </w:abstractNum>
  <w:abstractNum w:abstractNumId="1033" w15:restartNumberingAfterBreak="0">
    <w:nsid w:val="70C92CAE"/>
    <w:multiLevelType w:val="hybridMultilevel"/>
    <w:tmpl w:val="8C7E31CC"/>
    <w:lvl w:ilvl="0" w:tplc="F07410D8">
      <w:numFmt w:val="decimal"/>
      <w:lvlText w:val=""/>
      <w:lvlJc w:val="left"/>
    </w:lvl>
    <w:lvl w:ilvl="1" w:tplc="A4443E5A">
      <w:start w:val="1"/>
      <w:numFmt w:val="bullet"/>
      <w:lvlText w:val=""/>
      <w:lvlJc w:val="left"/>
      <w:pPr>
        <w:ind w:left="1440" w:hanging="180"/>
      </w:pPr>
      <w:rPr>
        <w:rFonts w:ascii="Symbol" w:hAnsi="Symbol" w:hint="default"/>
      </w:rPr>
    </w:lvl>
    <w:lvl w:ilvl="2" w:tplc="63425088">
      <w:numFmt w:val="decimal"/>
      <w:lvlText w:val=""/>
      <w:lvlJc w:val="left"/>
    </w:lvl>
    <w:lvl w:ilvl="3" w:tplc="D96E1384">
      <w:numFmt w:val="decimal"/>
      <w:lvlText w:val=""/>
      <w:lvlJc w:val="left"/>
    </w:lvl>
    <w:lvl w:ilvl="4" w:tplc="FF60BE94">
      <w:numFmt w:val="decimal"/>
      <w:lvlText w:val=""/>
      <w:lvlJc w:val="left"/>
    </w:lvl>
    <w:lvl w:ilvl="5" w:tplc="CD56E1E6">
      <w:numFmt w:val="decimal"/>
      <w:lvlText w:val=""/>
      <w:lvlJc w:val="left"/>
    </w:lvl>
    <w:lvl w:ilvl="6" w:tplc="D9F4E29C">
      <w:numFmt w:val="decimal"/>
      <w:lvlText w:val=""/>
      <w:lvlJc w:val="left"/>
    </w:lvl>
    <w:lvl w:ilvl="7" w:tplc="0FE04B60">
      <w:numFmt w:val="decimal"/>
      <w:lvlText w:val=""/>
      <w:lvlJc w:val="left"/>
    </w:lvl>
    <w:lvl w:ilvl="8" w:tplc="F9E0C470">
      <w:numFmt w:val="decimal"/>
      <w:lvlText w:val=""/>
      <w:lvlJc w:val="left"/>
    </w:lvl>
  </w:abstractNum>
  <w:abstractNum w:abstractNumId="1034" w15:restartNumberingAfterBreak="0">
    <w:nsid w:val="70CF0065"/>
    <w:multiLevelType w:val="hybridMultilevel"/>
    <w:tmpl w:val="BBB6C37E"/>
    <w:lvl w:ilvl="0" w:tplc="4C6EA7B0">
      <w:start w:val="1"/>
      <w:numFmt w:val="bullet"/>
      <w:lvlText w:val=""/>
      <w:lvlJc w:val="left"/>
      <w:pPr>
        <w:ind w:left="720" w:hanging="180"/>
      </w:pPr>
      <w:rPr>
        <w:rFonts w:ascii="Symbol" w:hAnsi="Symbol" w:hint="default"/>
      </w:rPr>
    </w:lvl>
    <w:lvl w:ilvl="1" w:tplc="B8264190">
      <w:numFmt w:val="decimal"/>
      <w:lvlText w:val=""/>
      <w:lvlJc w:val="left"/>
    </w:lvl>
    <w:lvl w:ilvl="2" w:tplc="9AEE1C42">
      <w:numFmt w:val="decimal"/>
      <w:lvlText w:val=""/>
      <w:lvlJc w:val="left"/>
    </w:lvl>
    <w:lvl w:ilvl="3" w:tplc="922AFB8A">
      <w:numFmt w:val="decimal"/>
      <w:lvlText w:val=""/>
      <w:lvlJc w:val="left"/>
    </w:lvl>
    <w:lvl w:ilvl="4" w:tplc="8F9499E8">
      <w:numFmt w:val="decimal"/>
      <w:lvlText w:val=""/>
      <w:lvlJc w:val="left"/>
    </w:lvl>
    <w:lvl w:ilvl="5" w:tplc="D576BA9C">
      <w:numFmt w:val="decimal"/>
      <w:lvlText w:val=""/>
      <w:lvlJc w:val="left"/>
    </w:lvl>
    <w:lvl w:ilvl="6" w:tplc="AA1A57CA">
      <w:numFmt w:val="decimal"/>
      <w:lvlText w:val=""/>
      <w:lvlJc w:val="left"/>
    </w:lvl>
    <w:lvl w:ilvl="7" w:tplc="3236CB5C">
      <w:numFmt w:val="decimal"/>
      <w:lvlText w:val=""/>
      <w:lvlJc w:val="left"/>
    </w:lvl>
    <w:lvl w:ilvl="8" w:tplc="3558EEB8">
      <w:numFmt w:val="decimal"/>
      <w:lvlText w:val=""/>
      <w:lvlJc w:val="left"/>
    </w:lvl>
  </w:abstractNum>
  <w:abstractNum w:abstractNumId="1035" w15:restartNumberingAfterBreak="0">
    <w:nsid w:val="70D437E8"/>
    <w:multiLevelType w:val="hybridMultilevel"/>
    <w:tmpl w:val="15F0F48A"/>
    <w:lvl w:ilvl="0" w:tplc="F274EBBE">
      <w:start w:val="1"/>
      <w:numFmt w:val="bullet"/>
      <w:lvlText w:val=""/>
      <w:lvlJc w:val="left"/>
      <w:pPr>
        <w:ind w:left="720" w:hanging="180"/>
      </w:pPr>
      <w:rPr>
        <w:rFonts w:ascii="Symbol" w:hAnsi="Symbol" w:hint="default"/>
      </w:rPr>
    </w:lvl>
    <w:lvl w:ilvl="1" w:tplc="764478F2">
      <w:numFmt w:val="decimal"/>
      <w:lvlText w:val=""/>
      <w:lvlJc w:val="left"/>
    </w:lvl>
    <w:lvl w:ilvl="2" w:tplc="459E13E6">
      <w:numFmt w:val="decimal"/>
      <w:lvlText w:val=""/>
      <w:lvlJc w:val="left"/>
    </w:lvl>
    <w:lvl w:ilvl="3" w:tplc="C1567636">
      <w:numFmt w:val="decimal"/>
      <w:lvlText w:val=""/>
      <w:lvlJc w:val="left"/>
    </w:lvl>
    <w:lvl w:ilvl="4" w:tplc="6BB0BB02">
      <w:numFmt w:val="decimal"/>
      <w:lvlText w:val=""/>
      <w:lvlJc w:val="left"/>
    </w:lvl>
    <w:lvl w:ilvl="5" w:tplc="BBCAD890">
      <w:numFmt w:val="decimal"/>
      <w:lvlText w:val=""/>
      <w:lvlJc w:val="left"/>
    </w:lvl>
    <w:lvl w:ilvl="6" w:tplc="A35EEF3E">
      <w:numFmt w:val="decimal"/>
      <w:lvlText w:val=""/>
      <w:lvlJc w:val="left"/>
    </w:lvl>
    <w:lvl w:ilvl="7" w:tplc="C35C5654">
      <w:numFmt w:val="decimal"/>
      <w:lvlText w:val=""/>
      <w:lvlJc w:val="left"/>
    </w:lvl>
    <w:lvl w:ilvl="8" w:tplc="6504A896">
      <w:numFmt w:val="decimal"/>
      <w:lvlText w:val=""/>
      <w:lvlJc w:val="left"/>
    </w:lvl>
  </w:abstractNum>
  <w:abstractNum w:abstractNumId="1036" w15:restartNumberingAfterBreak="0">
    <w:nsid w:val="70D72619"/>
    <w:multiLevelType w:val="hybridMultilevel"/>
    <w:tmpl w:val="9ACE5638"/>
    <w:lvl w:ilvl="0" w:tplc="2D72EB7E">
      <w:start w:val="1"/>
      <w:numFmt w:val="bullet"/>
      <w:lvlText w:val=""/>
      <w:lvlJc w:val="left"/>
      <w:pPr>
        <w:ind w:left="720" w:hanging="180"/>
      </w:pPr>
      <w:rPr>
        <w:rFonts w:ascii="Symbol" w:hAnsi="Symbol" w:hint="default"/>
      </w:rPr>
    </w:lvl>
    <w:lvl w:ilvl="1" w:tplc="BEC2D13E">
      <w:numFmt w:val="decimal"/>
      <w:lvlText w:val=""/>
      <w:lvlJc w:val="left"/>
    </w:lvl>
    <w:lvl w:ilvl="2" w:tplc="D0A6FBD4">
      <w:numFmt w:val="decimal"/>
      <w:lvlText w:val=""/>
      <w:lvlJc w:val="left"/>
    </w:lvl>
    <w:lvl w:ilvl="3" w:tplc="8FCE57EA">
      <w:numFmt w:val="decimal"/>
      <w:lvlText w:val=""/>
      <w:lvlJc w:val="left"/>
    </w:lvl>
    <w:lvl w:ilvl="4" w:tplc="12B8A010">
      <w:numFmt w:val="decimal"/>
      <w:lvlText w:val=""/>
      <w:lvlJc w:val="left"/>
    </w:lvl>
    <w:lvl w:ilvl="5" w:tplc="FDE6E966">
      <w:numFmt w:val="decimal"/>
      <w:lvlText w:val=""/>
      <w:lvlJc w:val="left"/>
    </w:lvl>
    <w:lvl w:ilvl="6" w:tplc="B39C06D8">
      <w:numFmt w:val="decimal"/>
      <w:lvlText w:val=""/>
      <w:lvlJc w:val="left"/>
    </w:lvl>
    <w:lvl w:ilvl="7" w:tplc="1116F6DC">
      <w:numFmt w:val="decimal"/>
      <w:lvlText w:val=""/>
      <w:lvlJc w:val="left"/>
    </w:lvl>
    <w:lvl w:ilvl="8" w:tplc="F52882B8">
      <w:numFmt w:val="decimal"/>
      <w:lvlText w:val=""/>
      <w:lvlJc w:val="left"/>
    </w:lvl>
  </w:abstractNum>
  <w:abstractNum w:abstractNumId="1037" w15:restartNumberingAfterBreak="0">
    <w:nsid w:val="70E4256A"/>
    <w:multiLevelType w:val="hybridMultilevel"/>
    <w:tmpl w:val="2F0EB918"/>
    <w:lvl w:ilvl="0" w:tplc="4A506FB2">
      <w:start w:val="1"/>
      <w:numFmt w:val="bullet"/>
      <w:lvlText w:val=""/>
      <w:lvlJc w:val="left"/>
      <w:pPr>
        <w:ind w:left="720" w:hanging="180"/>
      </w:pPr>
      <w:rPr>
        <w:rFonts w:ascii="Symbol" w:hAnsi="Symbol" w:hint="default"/>
      </w:rPr>
    </w:lvl>
    <w:lvl w:ilvl="1" w:tplc="8F90EE0C">
      <w:numFmt w:val="decimal"/>
      <w:lvlText w:val=""/>
      <w:lvlJc w:val="left"/>
    </w:lvl>
    <w:lvl w:ilvl="2" w:tplc="0C6AA1C4">
      <w:numFmt w:val="decimal"/>
      <w:lvlText w:val=""/>
      <w:lvlJc w:val="left"/>
    </w:lvl>
    <w:lvl w:ilvl="3" w:tplc="816217F2">
      <w:numFmt w:val="decimal"/>
      <w:lvlText w:val=""/>
      <w:lvlJc w:val="left"/>
    </w:lvl>
    <w:lvl w:ilvl="4" w:tplc="F14EF15C">
      <w:numFmt w:val="decimal"/>
      <w:lvlText w:val=""/>
      <w:lvlJc w:val="left"/>
    </w:lvl>
    <w:lvl w:ilvl="5" w:tplc="0570D3AA">
      <w:numFmt w:val="decimal"/>
      <w:lvlText w:val=""/>
      <w:lvlJc w:val="left"/>
    </w:lvl>
    <w:lvl w:ilvl="6" w:tplc="CD7CBEF0">
      <w:numFmt w:val="decimal"/>
      <w:lvlText w:val=""/>
      <w:lvlJc w:val="left"/>
    </w:lvl>
    <w:lvl w:ilvl="7" w:tplc="70DC21DE">
      <w:numFmt w:val="decimal"/>
      <w:lvlText w:val=""/>
      <w:lvlJc w:val="left"/>
    </w:lvl>
    <w:lvl w:ilvl="8" w:tplc="B2A05682">
      <w:numFmt w:val="decimal"/>
      <w:lvlText w:val=""/>
      <w:lvlJc w:val="left"/>
    </w:lvl>
  </w:abstractNum>
  <w:abstractNum w:abstractNumId="1038" w15:restartNumberingAfterBreak="0">
    <w:nsid w:val="70EE2DDA"/>
    <w:multiLevelType w:val="hybridMultilevel"/>
    <w:tmpl w:val="A4C0DF0A"/>
    <w:lvl w:ilvl="0" w:tplc="2E0291E8">
      <w:start w:val="1"/>
      <w:numFmt w:val="bullet"/>
      <w:lvlText w:val=""/>
      <w:lvlJc w:val="left"/>
      <w:pPr>
        <w:ind w:left="720" w:hanging="180"/>
      </w:pPr>
      <w:rPr>
        <w:rFonts w:ascii="Symbol" w:hAnsi="Symbol" w:hint="default"/>
      </w:rPr>
    </w:lvl>
    <w:lvl w:ilvl="1" w:tplc="DC96F24E">
      <w:numFmt w:val="decimal"/>
      <w:lvlText w:val=""/>
      <w:lvlJc w:val="left"/>
    </w:lvl>
    <w:lvl w:ilvl="2" w:tplc="591C01DC">
      <w:numFmt w:val="decimal"/>
      <w:lvlText w:val=""/>
      <w:lvlJc w:val="left"/>
    </w:lvl>
    <w:lvl w:ilvl="3" w:tplc="9ED4A67E">
      <w:numFmt w:val="decimal"/>
      <w:lvlText w:val=""/>
      <w:lvlJc w:val="left"/>
    </w:lvl>
    <w:lvl w:ilvl="4" w:tplc="DB2CB7A6">
      <w:numFmt w:val="decimal"/>
      <w:lvlText w:val=""/>
      <w:lvlJc w:val="left"/>
    </w:lvl>
    <w:lvl w:ilvl="5" w:tplc="DCBA65E2">
      <w:numFmt w:val="decimal"/>
      <w:lvlText w:val=""/>
      <w:lvlJc w:val="left"/>
    </w:lvl>
    <w:lvl w:ilvl="6" w:tplc="14D0ADC4">
      <w:numFmt w:val="decimal"/>
      <w:lvlText w:val=""/>
      <w:lvlJc w:val="left"/>
    </w:lvl>
    <w:lvl w:ilvl="7" w:tplc="BDF4C346">
      <w:numFmt w:val="decimal"/>
      <w:lvlText w:val=""/>
      <w:lvlJc w:val="left"/>
    </w:lvl>
    <w:lvl w:ilvl="8" w:tplc="FAA41842">
      <w:numFmt w:val="decimal"/>
      <w:lvlText w:val=""/>
      <w:lvlJc w:val="left"/>
    </w:lvl>
  </w:abstractNum>
  <w:abstractNum w:abstractNumId="1039" w15:restartNumberingAfterBreak="0">
    <w:nsid w:val="716C04FE"/>
    <w:multiLevelType w:val="hybridMultilevel"/>
    <w:tmpl w:val="8B4ED9D8"/>
    <w:lvl w:ilvl="0" w:tplc="DECCCFAC">
      <w:start w:val="1"/>
      <w:numFmt w:val="bullet"/>
      <w:lvlText w:val=""/>
      <w:lvlJc w:val="left"/>
      <w:pPr>
        <w:ind w:left="720" w:hanging="180"/>
      </w:pPr>
      <w:rPr>
        <w:rFonts w:ascii="Symbol" w:hAnsi="Symbol" w:hint="default"/>
      </w:rPr>
    </w:lvl>
    <w:lvl w:ilvl="1" w:tplc="AB2A0372">
      <w:numFmt w:val="decimal"/>
      <w:lvlText w:val=""/>
      <w:lvlJc w:val="left"/>
    </w:lvl>
    <w:lvl w:ilvl="2" w:tplc="7C98378C">
      <w:numFmt w:val="decimal"/>
      <w:lvlText w:val=""/>
      <w:lvlJc w:val="left"/>
    </w:lvl>
    <w:lvl w:ilvl="3" w:tplc="61B4B1E0">
      <w:numFmt w:val="decimal"/>
      <w:lvlText w:val=""/>
      <w:lvlJc w:val="left"/>
    </w:lvl>
    <w:lvl w:ilvl="4" w:tplc="5240C9E2">
      <w:numFmt w:val="decimal"/>
      <w:lvlText w:val=""/>
      <w:lvlJc w:val="left"/>
    </w:lvl>
    <w:lvl w:ilvl="5" w:tplc="98404034">
      <w:numFmt w:val="decimal"/>
      <w:lvlText w:val=""/>
      <w:lvlJc w:val="left"/>
    </w:lvl>
    <w:lvl w:ilvl="6" w:tplc="6980EBB4">
      <w:numFmt w:val="decimal"/>
      <w:lvlText w:val=""/>
      <w:lvlJc w:val="left"/>
    </w:lvl>
    <w:lvl w:ilvl="7" w:tplc="EE04B03E">
      <w:numFmt w:val="decimal"/>
      <w:lvlText w:val=""/>
      <w:lvlJc w:val="left"/>
    </w:lvl>
    <w:lvl w:ilvl="8" w:tplc="D7A8D2C4">
      <w:numFmt w:val="decimal"/>
      <w:lvlText w:val=""/>
      <w:lvlJc w:val="left"/>
    </w:lvl>
  </w:abstractNum>
  <w:abstractNum w:abstractNumId="1040" w15:restartNumberingAfterBreak="0">
    <w:nsid w:val="71811F1E"/>
    <w:multiLevelType w:val="hybridMultilevel"/>
    <w:tmpl w:val="E0B87980"/>
    <w:lvl w:ilvl="0" w:tplc="BFA0EFB6">
      <w:start w:val="1"/>
      <w:numFmt w:val="bullet"/>
      <w:lvlText w:val=""/>
      <w:lvlJc w:val="left"/>
      <w:pPr>
        <w:ind w:left="720" w:hanging="180"/>
      </w:pPr>
      <w:rPr>
        <w:rFonts w:ascii="Symbol" w:hAnsi="Symbol" w:hint="default"/>
      </w:rPr>
    </w:lvl>
    <w:lvl w:ilvl="1" w:tplc="AFD63958">
      <w:numFmt w:val="decimal"/>
      <w:lvlText w:val=""/>
      <w:lvlJc w:val="left"/>
    </w:lvl>
    <w:lvl w:ilvl="2" w:tplc="362A74D0">
      <w:numFmt w:val="decimal"/>
      <w:lvlText w:val=""/>
      <w:lvlJc w:val="left"/>
    </w:lvl>
    <w:lvl w:ilvl="3" w:tplc="EA70933E">
      <w:numFmt w:val="decimal"/>
      <w:lvlText w:val=""/>
      <w:lvlJc w:val="left"/>
    </w:lvl>
    <w:lvl w:ilvl="4" w:tplc="27462558">
      <w:numFmt w:val="decimal"/>
      <w:lvlText w:val=""/>
      <w:lvlJc w:val="left"/>
    </w:lvl>
    <w:lvl w:ilvl="5" w:tplc="2A625CCC">
      <w:numFmt w:val="decimal"/>
      <w:lvlText w:val=""/>
      <w:lvlJc w:val="left"/>
    </w:lvl>
    <w:lvl w:ilvl="6" w:tplc="79960A52">
      <w:numFmt w:val="decimal"/>
      <w:lvlText w:val=""/>
      <w:lvlJc w:val="left"/>
    </w:lvl>
    <w:lvl w:ilvl="7" w:tplc="5C14E808">
      <w:numFmt w:val="decimal"/>
      <w:lvlText w:val=""/>
      <w:lvlJc w:val="left"/>
    </w:lvl>
    <w:lvl w:ilvl="8" w:tplc="3BDE0F12">
      <w:numFmt w:val="decimal"/>
      <w:lvlText w:val=""/>
      <w:lvlJc w:val="left"/>
    </w:lvl>
  </w:abstractNum>
  <w:abstractNum w:abstractNumId="1041" w15:restartNumberingAfterBreak="0">
    <w:nsid w:val="71AB7835"/>
    <w:multiLevelType w:val="hybridMultilevel"/>
    <w:tmpl w:val="CA743D96"/>
    <w:lvl w:ilvl="0" w:tplc="F110AF90">
      <w:start w:val="1"/>
      <w:numFmt w:val="bullet"/>
      <w:lvlText w:val=""/>
      <w:lvlJc w:val="left"/>
      <w:pPr>
        <w:ind w:left="720" w:hanging="180"/>
      </w:pPr>
      <w:rPr>
        <w:rFonts w:ascii="Symbol" w:hAnsi="Symbol" w:hint="default"/>
      </w:rPr>
    </w:lvl>
    <w:lvl w:ilvl="1" w:tplc="AF6AE450">
      <w:numFmt w:val="decimal"/>
      <w:lvlText w:val=""/>
      <w:lvlJc w:val="left"/>
    </w:lvl>
    <w:lvl w:ilvl="2" w:tplc="6A28EF2A">
      <w:numFmt w:val="decimal"/>
      <w:lvlText w:val=""/>
      <w:lvlJc w:val="left"/>
    </w:lvl>
    <w:lvl w:ilvl="3" w:tplc="A170BB36">
      <w:numFmt w:val="decimal"/>
      <w:lvlText w:val=""/>
      <w:lvlJc w:val="left"/>
    </w:lvl>
    <w:lvl w:ilvl="4" w:tplc="A7726FE0">
      <w:numFmt w:val="decimal"/>
      <w:lvlText w:val=""/>
      <w:lvlJc w:val="left"/>
    </w:lvl>
    <w:lvl w:ilvl="5" w:tplc="4F1660AC">
      <w:numFmt w:val="decimal"/>
      <w:lvlText w:val=""/>
      <w:lvlJc w:val="left"/>
    </w:lvl>
    <w:lvl w:ilvl="6" w:tplc="35321CFA">
      <w:numFmt w:val="decimal"/>
      <w:lvlText w:val=""/>
      <w:lvlJc w:val="left"/>
    </w:lvl>
    <w:lvl w:ilvl="7" w:tplc="07629D76">
      <w:numFmt w:val="decimal"/>
      <w:lvlText w:val=""/>
      <w:lvlJc w:val="left"/>
    </w:lvl>
    <w:lvl w:ilvl="8" w:tplc="39ACE5F4">
      <w:numFmt w:val="decimal"/>
      <w:lvlText w:val=""/>
      <w:lvlJc w:val="left"/>
    </w:lvl>
  </w:abstractNum>
  <w:abstractNum w:abstractNumId="1042" w15:restartNumberingAfterBreak="0">
    <w:nsid w:val="71B91697"/>
    <w:multiLevelType w:val="hybridMultilevel"/>
    <w:tmpl w:val="B86A37FE"/>
    <w:lvl w:ilvl="0" w:tplc="91527B28">
      <w:start w:val="1"/>
      <w:numFmt w:val="bullet"/>
      <w:lvlText w:val=""/>
      <w:lvlJc w:val="left"/>
      <w:pPr>
        <w:ind w:left="720" w:hanging="180"/>
      </w:pPr>
      <w:rPr>
        <w:rFonts w:ascii="Symbol" w:hAnsi="Symbol" w:hint="default"/>
      </w:rPr>
    </w:lvl>
    <w:lvl w:ilvl="1" w:tplc="0964806E">
      <w:numFmt w:val="decimal"/>
      <w:lvlText w:val=""/>
      <w:lvlJc w:val="left"/>
    </w:lvl>
    <w:lvl w:ilvl="2" w:tplc="8C32F8DE">
      <w:numFmt w:val="decimal"/>
      <w:lvlText w:val=""/>
      <w:lvlJc w:val="left"/>
    </w:lvl>
    <w:lvl w:ilvl="3" w:tplc="154E96C0">
      <w:numFmt w:val="decimal"/>
      <w:lvlText w:val=""/>
      <w:lvlJc w:val="left"/>
    </w:lvl>
    <w:lvl w:ilvl="4" w:tplc="D2E89D44">
      <w:numFmt w:val="decimal"/>
      <w:lvlText w:val=""/>
      <w:lvlJc w:val="left"/>
    </w:lvl>
    <w:lvl w:ilvl="5" w:tplc="C58C2490">
      <w:numFmt w:val="decimal"/>
      <w:lvlText w:val=""/>
      <w:lvlJc w:val="left"/>
    </w:lvl>
    <w:lvl w:ilvl="6" w:tplc="02908564">
      <w:numFmt w:val="decimal"/>
      <w:lvlText w:val=""/>
      <w:lvlJc w:val="left"/>
    </w:lvl>
    <w:lvl w:ilvl="7" w:tplc="D2DE0426">
      <w:numFmt w:val="decimal"/>
      <w:lvlText w:val=""/>
      <w:lvlJc w:val="left"/>
    </w:lvl>
    <w:lvl w:ilvl="8" w:tplc="90884F3A">
      <w:numFmt w:val="decimal"/>
      <w:lvlText w:val=""/>
      <w:lvlJc w:val="left"/>
    </w:lvl>
  </w:abstractNum>
  <w:abstractNum w:abstractNumId="1043" w15:restartNumberingAfterBreak="0">
    <w:nsid w:val="71D7077B"/>
    <w:multiLevelType w:val="hybridMultilevel"/>
    <w:tmpl w:val="78C8F574"/>
    <w:lvl w:ilvl="0" w:tplc="201ADC8A">
      <w:start w:val="1"/>
      <w:numFmt w:val="bullet"/>
      <w:lvlText w:val=""/>
      <w:lvlJc w:val="left"/>
      <w:pPr>
        <w:ind w:left="720" w:hanging="180"/>
      </w:pPr>
      <w:rPr>
        <w:rFonts w:ascii="Symbol" w:hAnsi="Symbol" w:hint="default"/>
      </w:rPr>
    </w:lvl>
    <w:lvl w:ilvl="1" w:tplc="1C2AE8EC">
      <w:numFmt w:val="decimal"/>
      <w:lvlText w:val=""/>
      <w:lvlJc w:val="left"/>
    </w:lvl>
    <w:lvl w:ilvl="2" w:tplc="5E34826C">
      <w:numFmt w:val="decimal"/>
      <w:lvlText w:val=""/>
      <w:lvlJc w:val="left"/>
    </w:lvl>
    <w:lvl w:ilvl="3" w:tplc="EBE09EC0">
      <w:numFmt w:val="decimal"/>
      <w:lvlText w:val=""/>
      <w:lvlJc w:val="left"/>
    </w:lvl>
    <w:lvl w:ilvl="4" w:tplc="AB322128">
      <w:numFmt w:val="decimal"/>
      <w:lvlText w:val=""/>
      <w:lvlJc w:val="left"/>
    </w:lvl>
    <w:lvl w:ilvl="5" w:tplc="556EBA20">
      <w:numFmt w:val="decimal"/>
      <w:lvlText w:val=""/>
      <w:lvlJc w:val="left"/>
    </w:lvl>
    <w:lvl w:ilvl="6" w:tplc="F19695CC">
      <w:numFmt w:val="decimal"/>
      <w:lvlText w:val=""/>
      <w:lvlJc w:val="left"/>
    </w:lvl>
    <w:lvl w:ilvl="7" w:tplc="4AB675CC">
      <w:numFmt w:val="decimal"/>
      <w:lvlText w:val=""/>
      <w:lvlJc w:val="left"/>
    </w:lvl>
    <w:lvl w:ilvl="8" w:tplc="A2447504">
      <w:numFmt w:val="decimal"/>
      <w:lvlText w:val=""/>
      <w:lvlJc w:val="left"/>
    </w:lvl>
  </w:abstractNum>
  <w:abstractNum w:abstractNumId="1044" w15:restartNumberingAfterBreak="0">
    <w:nsid w:val="72091582"/>
    <w:multiLevelType w:val="hybridMultilevel"/>
    <w:tmpl w:val="C038C6EE"/>
    <w:lvl w:ilvl="0" w:tplc="359E5DEE">
      <w:start w:val="1"/>
      <w:numFmt w:val="bullet"/>
      <w:lvlText w:val=""/>
      <w:lvlJc w:val="left"/>
      <w:pPr>
        <w:ind w:left="720" w:hanging="180"/>
      </w:pPr>
      <w:rPr>
        <w:rFonts w:ascii="Symbol" w:hAnsi="Symbol" w:hint="default"/>
      </w:rPr>
    </w:lvl>
    <w:lvl w:ilvl="1" w:tplc="CD5CE33A">
      <w:numFmt w:val="decimal"/>
      <w:lvlText w:val=""/>
      <w:lvlJc w:val="left"/>
    </w:lvl>
    <w:lvl w:ilvl="2" w:tplc="BA607932">
      <w:numFmt w:val="decimal"/>
      <w:lvlText w:val=""/>
      <w:lvlJc w:val="left"/>
    </w:lvl>
    <w:lvl w:ilvl="3" w:tplc="EED4C804">
      <w:numFmt w:val="decimal"/>
      <w:lvlText w:val=""/>
      <w:lvlJc w:val="left"/>
    </w:lvl>
    <w:lvl w:ilvl="4" w:tplc="FF6213B0">
      <w:numFmt w:val="decimal"/>
      <w:lvlText w:val=""/>
      <w:lvlJc w:val="left"/>
    </w:lvl>
    <w:lvl w:ilvl="5" w:tplc="967CA5EA">
      <w:numFmt w:val="decimal"/>
      <w:lvlText w:val=""/>
      <w:lvlJc w:val="left"/>
    </w:lvl>
    <w:lvl w:ilvl="6" w:tplc="A80E90D0">
      <w:numFmt w:val="decimal"/>
      <w:lvlText w:val=""/>
      <w:lvlJc w:val="left"/>
    </w:lvl>
    <w:lvl w:ilvl="7" w:tplc="ED78A6D4">
      <w:numFmt w:val="decimal"/>
      <w:lvlText w:val=""/>
      <w:lvlJc w:val="left"/>
    </w:lvl>
    <w:lvl w:ilvl="8" w:tplc="995E1C5A">
      <w:numFmt w:val="decimal"/>
      <w:lvlText w:val=""/>
      <w:lvlJc w:val="left"/>
    </w:lvl>
  </w:abstractNum>
  <w:abstractNum w:abstractNumId="1045" w15:restartNumberingAfterBreak="0">
    <w:nsid w:val="72211C06"/>
    <w:multiLevelType w:val="hybridMultilevel"/>
    <w:tmpl w:val="9662A06A"/>
    <w:lvl w:ilvl="0" w:tplc="B4583CBC">
      <w:start w:val="1"/>
      <w:numFmt w:val="bullet"/>
      <w:lvlText w:val=""/>
      <w:lvlJc w:val="left"/>
      <w:pPr>
        <w:ind w:left="720" w:hanging="180"/>
      </w:pPr>
      <w:rPr>
        <w:rFonts w:ascii="Symbol" w:hAnsi="Symbol" w:hint="default"/>
      </w:rPr>
    </w:lvl>
    <w:lvl w:ilvl="1" w:tplc="8BF4A1CC">
      <w:numFmt w:val="decimal"/>
      <w:lvlText w:val=""/>
      <w:lvlJc w:val="left"/>
    </w:lvl>
    <w:lvl w:ilvl="2" w:tplc="91C6F790">
      <w:numFmt w:val="decimal"/>
      <w:lvlText w:val=""/>
      <w:lvlJc w:val="left"/>
    </w:lvl>
    <w:lvl w:ilvl="3" w:tplc="F9086998">
      <w:numFmt w:val="decimal"/>
      <w:lvlText w:val=""/>
      <w:lvlJc w:val="left"/>
    </w:lvl>
    <w:lvl w:ilvl="4" w:tplc="7FC8BD56">
      <w:numFmt w:val="decimal"/>
      <w:lvlText w:val=""/>
      <w:lvlJc w:val="left"/>
    </w:lvl>
    <w:lvl w:ilvl="5" w:tplc="046283A4">
      <w:numFmt w:val="decimal"/>
      <w:lvlText w:val=""/>
      <w:lvlJc w:val="left"/>
    </w:lvl>
    <w:lvl w:ilvl="6" w:tplc="C6C88058">
      <w:numFmt w:val="decimal"/>
      <w:lvlText w:val=""/>
      <w:lvlJc w:val="left"/>
    </w:lvl>
    <w:lvl w:ilvl="7" w:tplc="1A36F3B2">
      <w:numFmt w:val="decimal"/>
      <w:lvlText w:val=""/>
      <w:lvlJc w:val="left"/>
    </w:lvl>
    <w:lvl w:ilvl="8" w:tplc="8BA477CC">
      <w:numFmt w:val="decimal"/>
      <w:lvlText w:val=""/>
      <w:lvlJc w:val="left"/>
    </w:lvl>
  </w:abstractNum>
  <w:abstractNum w:abstractNumId="1046" w15:restartNumberingAfterBreak="0">
    <w:nsid w:val="722C417A"/>
    <w:multiLevelType w:val="hybridMultilevel"/>
    <w:tmpl w:val="512EADA8"/>
    <w:lvl w:ilvl="0" w:tplc="823A6942">
      <w:start w:val="1"/>
      <w:numFmt w:val="bullet"/>
      <w:lvlText w:val=""/>
      <w:lvlJc w:val="left"/>
      <w:pPr>
        <w:ind w:left="720" w:hanging="180"/>
      </w:pPr>
      <w:rPr>
        <w:rFonts w:ascii="Symbol" w:hAnsi="Symbol" w:hint="default"/>
      </w:rPr>
    </w:lvl>
    <w:lvl w:ilvl="1" w:tplc="9452A87E">
      <w:numFmt w:val="decimal"/>
      <w:lvlText w:val=""/>
      <w:lvlJc w:val="left"/>
    </w:lvl>
    <w:lvl w:ilvl="2" w:tplc="94146B10">
      <w:numFmt w:val="decimal"/>
      <w:lvlText w:val=""/>
      <w:lvlJc w:val="left"/>
    </w:lvl>
    <w:lvl w:ilvl="3" w:tplc="BC2EE24C">
      <w:numFmt w:val="decimal"/>
      <w:lvlText w:val=""/>
      <w:lvlJc w:val="left"/>
    </w:lvl>
    <w:lvl w:ilvl="4" w:tplc="432C6C52">
      <w:numFmt w:val="decimal"/>
      <w:lvlText w:val=""/>
      <w:lvlJc w:val="left"/>
    </w:lvl>
    <w:lvl w:ilvl="5" w:tplc="2048EB5E">
      <w:numFmt w:val="decimal"/>
      <w:lvlText w:val=""/>
      <w:lvlJc w:val="left"/>
    </w:lvl>
    <w:lvl w:ilvl="6" w:tplc="3224071C">
      <w:numFmt w:val="decimal"/>
      <w:lvlText w:val=""/>
      <w:lvlJc w:val="left"/>
    </w:lvl>
    <w:lvl w:ilvl="7" w:tplc="2A869BC6">
      <w:numFmt w:val="decimal"/>
      <w:lvlText w:val=""/>
      <w:lvlJc w:val="left"/>
    </w:lvl>
    <w:lvl w:ilvl="8" w:tplc="8A263D8A">
      <w:numFmt w:val="decimal"/>
      <w:lvlText w:val=""/>
      <w:lvlJc w:val="left"/>
    </w:lvl>
  </w:abstractNum>
  <w:abstractNum w:abstractNumId="1047" w15:restartNumberingAfterBreak="0">
    <w:nsid w:val="72515E09"/>
    <w:multiLevelType w:val="hybridMultilevel"/>
    <w:tmpl w:val="79BED8D0"/>
    <w:lvl w:ilvl="0" w:tplc="397A9104">
      <w:start w:val="1"/>
      <w:numFmt w:val="bullet"/>
      <w:lvlText w:val=""/>
      <w:lvlJc w:val="left"/>
      <w:pPr>
        <w:ind w:left="720" w:hanging="180"/>
      </w:pPr>
      <w:rPr>
        <w:rFonts w:ascii="Symbol" w:hAnsi="Symbol" w:hint="default"/>
      </w:rPr>
    </w:lvl>
    <w:lvl w:ilvl="1" w:tplc="C1AEBD4C">
      <w:numFmt w:val="decimal"/>
      <w:lvlText w:val=""/>
      <w:lvlJc w:val="left"/>
    </w:lvl>
    <w:lvl w:ilvl="2" w:tplc="9CCE3C02">
      <w:numFmt w:val="decimal"/>
      <w:lvlText w:val=""/>
      <w:lvlJc w:val="left"/>
    </w:lvl>
    <w:lvl w:ilvl="3" w:tplc="785A9D3A">
      <w:numFmt w:val="decimal"/>
      <w:lvlText w:val=""/>
      <w:lvlJc w:val="left"/>
    </w:lvl>
    <w:lvl w:ilvl="4" w:tplc="27488336">
      <w:numFmt w:val="decimal"/>
      <w:lvlText w:val=""/>
      <w:lvlJc w:val="left"/>
    </w:lvl>
    <w:lvl w:ilvl="5" w:tplc="2508F984">
      <w:numFmt w:val="decimal"/>
      <w:lvlText w:val=""/>
      <w:lvlJc w:val="left"/>
    </w:lvl>
    <w:lvl w:ilvl="6" w:tplc="F086CF42">
      <w:numFmt w:val="decimal"/>
      <w:lvlText w:val=""/>
      <w:lvlJc w:val="left"/>
    </w:lvl>
    <w:lvl w:ilvl="7" w:tplc="A1AAA1B0">
      <w:numFmt w:val="decimal"/>
      <w:lvlText w:val=""/>
      <w:lvlJc w:val="left"/>
    </w:lvl>
    <w:lvl w:ilvl="8" w:tplc="69FC7E62">
      <w:numFmt w:val="decimal"/>
      <w:lvlText w:val=""/>
      <w:lvlJc w:val="left"/>
    </w:lvl>
  </w:abstractNum>
  <w:abstractNum w:abstractNumId="1048" w15:restartNumberingAfterBreak="0">
    <w:nsid w:val="72707676"/>
    <w:multiLevelType w:val="hybridMultilevel"/>
    <w:tmpl w:val="AAB0BD28"/>
    <w:lvl w:ilvl="0" w:tplc="4FDACCC2">
      <w:start w:val="1"/>
      <w:numFmt w:val="bullet"/>
      <w:lvlText w:val=""/>
      <w:lvlJc w:val="left"/>
      <w:pPr>
        <w:ind w:left="720" w:hanging="180"/>
      </w:pPr>
      <w:rPr>
        <w:rFonts w:ascii="Symbol" w:hAnsi="Symbol" w:hint="default"/>
      </w:rPr>
    </w:lvl>
    <w:lvl w:ilvl="1" w:tplc="BE0AFB92">
      <w:numFmt w:val="decimal"/>
      <w:lvlText w:val=""/>
      <w:lvlJc w:val="left"/>
    </w:lvl>
    <w:lvl w:ilvl="2" w:tplc="B3CC0BB0">
      <w:numFmt w:val="decimal"/>
      <w:lvlText w:val=""/>
      <w:lvlJc w:val="left"/>
    </w:lvl>
    <w:lvl w:ilvl="3" w:tplc="BFC6A2C0">
      <w:numFmt w:val="decimal"/>
      <w:lvlText w:val=""/>
      <w:lvlJc w:val="left"/>
    </w:lvl>
    <w:lvl w:ilvl="4" w:tplc="43F4384E">
      <w:numFmt w:val="decimal"/>
      <w:lvlText w:val=""/>
      <w:lvlJc w:val="left"/>
    </w:lvl>
    <w:lvl w:ilvl="5" w:tplc="6010A026">
      <w:numFmt w:val="decimal"/>
      <w:lvlText w:val=""/>
      <w:lvlJc w:val="left"/>
    </w:lvl>
    <w:lvl w:ilvl="6" w:tplc="4096374A">
      <w:numFmt w:val="decimal"/>
      <w:lvlText w:val=""/>
      <w:lvlJc w:val="left"/>
    </w:lvl>
    <w:lvl w:ilvl="7" w:tplc="5F1C3CAA">
      <w:numFmt w:val="decimal"/>
      <w:lvlText w:val=""/>
      <w:lvlJc w:val="left"/>
    </w:lvl>
    <w:lvl w:ilvl="8" w:tplc="C59097AE">
      <w:numFmt w:val="decimal"/>
      <w:lvlText w:val=""/>
      <w:lvlJc w:val="left"/>
    </w:lvl>
  </w:abstractNum>
  <w:abstractNum w:abstractNumId="1049" w15:restartNumberingAfterBreak="0">
    <w:nsid w:val="727415C4"/>
    <w:multiLevelType w:val="hybridMultilevel"/>
    <w:tmpl w:val="65AE216C"/>
    <w:lvl w:ilvl="0" w:tplc="95FC7A08">
      <w:start w:val="1"/>
      <w:numFmt w:val="bullet"/>
      <w:lvlText w:val=""/>
      <w:lvlJc w:val="left"/>
      <w:pPr>
        <w:ind w:left="720" w:hanging="180"/>
      </w:pPr>
      <w:rPr>
        <w:rFonts w:ascii="Symbol" w:hAnsi="Symbol" w:hint="default"/>
      </w:rPr>
    </w:lvl>
    <w:lvl w:ilvl="1" w:tplc="1428B66E">
      <w:numFmt w:val="decimal"/>
      <w:lvlText w:val=""/>
      <w:lvlJc w:val="left"/>
    </w:lvl>
    <w:lvl w:ilvl="2" w:tplc="1458FCD4">
      <w:numFmt w:val="decimal"/>
      <w:lvlText w:val=""/>
      <w:lvlJc w:val="left"/>
    </w:lvl>
    <w:lvl w:ilvl="3" w:tplc="EB00F6B8">
      <w:numFmt w:val="decimal"/>
      <w:lvlText w:val=""/>
      <w:lvlJc w:val="left"/>
    </w:lvl>
    <w:lvl w:ilvl="4" w:tplc="78CCD03C">
      <w:numFmt w:val="decimal"/>
      <w:lvlText w:val=""/>
      <w:lvlJc w:val="left"/>
    </w:lvl>
    <w:lvl w:ilvl="5" w:tplc="2AB6D1A2">
      <w:numFmt w:val="decimal"/>
      <w:lvlText w:val=""/>
      <w:lvlJc w:val="left"/>
    </w:lvl>
    <w:lvl w:ilvl="6" w:tplc="EC9238E0">
      <w:numFmt w:val="decimal"/>
      <w:lvlText w:val=""/>
      <w:lvlJc w:val="left"/>
    </w:lvl>
    <w:lvl w:ilvl="7" w:tplc="5B9600CC">
      <w:numFmt w:val="decimal"/>
      <w:lvlText w:val=""/>
      <w:lvlJc w:val="left"/>
    </w:lvl>
    <w:lvl w:ilvl="8" w:tplc="E2242812">
      <w:numFmt w:val="decimal"/>
      <w:lvlText w:val=""/>
      <w:lvlJc w:val="left"/>
    </w:lvl>
  </w:abstractNum>
  <w:abstractNum w:abstractNumId="1050" w15:restartNumberingAfterBreak="0">
    <w:nsid w:val="72957E4E"/>
    <w:multiLevelType w:val="hybridMultilevel"/>
    <w:tmpl w:val="A90E1C62"/>
    <w:lvl w:ilvl="0" w:tplc="2D740F16">
      <w:start w:val="1"/>
      <w:numFmt w:val="bullet"/>
      <w:lvlText w:val=""/>
      <w:lvlJc w:val="left"/>
      <w:pPr>
        <w:ind w:left="720" w:hanging="180"/>
      </w:pPr>
      <w:rPr>
        <w:rFonts w:ascii="Symbol" w:hAnsi="Symbol" w:hint="default"/>
      </w:rPr>
    </w:lvl>
    <w:lvl w:ilvl="1" w:tplc="34DAF55A">
      <w:numFmt w:val="decimal"/>
      <w:lvlText w:val=""/>
      <w:lvlJc w:val="left"/>
    </w:lvl>
    <w:lvl w:ilvl="2" w:tplc="050ABB84">
      <w:numFmt w:val="decimal"/>
      <w:lvlText w:val=""/>
      <w:lvlJc w:val="left"/>
    </w:lvl>
    <w:lvl w:ilvl="3" w:tplc="34122800">
      <w:numFmt w:val="decimal"/>
      <w:lvlText w:val=""/>
      <w:lvlJc w:val="left"/>
    </w:lvl>
    <w:lvl w:ilvl="4" w:tplc="08E809F4">
      <w:numFmt w:val="decimal"/>
      <w:lvlText w:val=""/>
      <w:lvlJc w:val="left"/>
    </w:lvl>
    <w:lvl w:ilvl="5" w:tplc="4A74D34A">
      <w:numFmt w:val="decimal"/>
      <w:lvlText w:val=""/>
      <w:lvlJc w:val="left"/>
    </w:lvl>
    <w:lvl w:ilvl="6" w:tplc="575A6940">
      <w:numFmt w:val="decimal"/>
      <w:lvlText w:val=""/>
      <w:lvlJc w:val="left"/>
    </w:lvl>
    <w:lvl w:ilvl="7" w:tplc="43BACD4E">
      <w:numFmt w:val="decimal"/>
      <w:lvlText w:val=""/>
      <w:lvlJc w:val="left"/>
    </w:lvl>
    <w:lvl w:ilvl="8" w:tplc="BD2A7A66">
      <w:numFmt w:val="decimal"/>
      <w:lvlText w:val=""/>
      <w:lvlJc w:val="left"/>
    </w:lvl>
  </w:abstractNum>
  <w:abstractNum w:abstractNumId="1051" w15:restartNumberingAfterBreak="0">
    <w:nsid w:val="72A85997"/>
    <w:multiLevelType w:val="hybridMultilevel"/>
    <w:tmpl w:val="6B9EFAF8"/>
    <w:lvl w:ilvl="0" w:tplc="C13E12AC">
      <w:numFmt w:val="decimal"/>
      <w:lvlText w:val=""/>
      <w:lvlJc w:val="left"/>
    </w:lvl>
    <w:lvl w:ilvl="1" w:tplc="C0900C94">
      <w:start w:val="1"/>
      <w:numFmt w:val="bullet"/>
      <w:lvlText w:val=""/>
      <w:lvlJc w:val="left"/>
      <w:pPr>
        <w:ind w:left="1440" w:hanging="180"/>
      </w:pPr>
      <w:rPr>
        <w:rFonts w:ascii="Symbol" w:hAnsi="Symbol" w:hint="default"/>
      </w:rPr>
    </w:lvl>
    <w:lvl w:ilvl="2" w:tplc="08A271D6">
      <w:numFmt w:val="decimal"/>
      <w:lvlText w:val=""/>
      <w:lvlJc w:val="left"/>
    </w:lvl>
    <w:lvl w:ilvl="3" w:tplc="A3ACA0C4">
      <w:numFmt w:val="decimal"/>
      <w:lvlText w:val=""/>
      <w:lvlJc w:val="left"/>
    </w:lvl>
    <w:lvl w:ilvl="4" w:tplc="145C5218">
      <w:numFmt w:val="decimal"/>
      <w:lvlText w:val=""/>
      <w:lvlJc w:val="left"/>
    </w:lvl>
    <w:lvl w:ilvl="5" w:tplc="F6CA6116">
      <w:numFmt w:val="decimal"/>
      <w:lvlText w:val=""/>
      <w:lvlJc w:val="left"/>
    </w:lvl>
    <w:lvl w:ilvl="6" w:tplc="18862930">
      <w:numFmt w:val="decimal"/>
      <w:lvlText w:val=""/>
      <w:lvlJc w:val="left"/>
    </w:lvl>
    <w:lvl w:ilvl="7" w:tplc="88689F22">
      <w:numFmt w:val="decimal"/>
      <w:lvlText w:val=""/>
      <w:lvlJc w:val="left"/>
    </w:lvl>
    <w:lvl w:ilvl="8" w:tplc="6986BFC8">
      <w:numFmt w:val="decimal"/>
      <w:lvlText w:val=""/>
      <w:lvlJc w:val="left"/>
    </w:lvl>
  </w:abstractNum>
  <w:abstractNum w:abstractNumId="1052" w15:restartNumberingAfterBreak="0">
    <w:nsid w:val="72C8328B"/>
    <w:multiLevelType w:val="hybridMultilevel"/>
    <w:tmpl w:val="992E2330"/>
    <w:lvl w:ilvl="0" w:tplc="66647032">
      <w:start w:val="1"/>
      <w:numFmt w:val="bullet"/>
      <w:lvlText w:val=""/>
      <w:lvlJc w:val="left"/>
      <w:pPr>
        <w:ind w:left="720" w:hanging="180"/>
      </w:pPr>
      <w:rPr>
        <w:rFonts w:ascii="Symbol" w:hAnsi="Symbol" w:hint="default"/>
      </w:rPr>
    </w:lvl>
    <w:lvl w:ilvl="1" w:tplc="A25AF4CC">
      <w:numFmt w:val="decimal"/>
      <w:lvlText w:val=""/>
      <w:lvlJc w:val="left"/>
    </w:lvl>
    <w:lvl w:ilvl="2" w:tplc="F5684F70">
      <w:numFmt w:val="decimal"/>
      <w:lvlText w:val=""/>
      <w:lvlJc w:val="left"/>
    </w:lvl>
    <w:lvl w:ilvl="3" w:tplc="0F92BBAC">
      <w:numFmt w:val="decimal"/>
      <w:lvlText w:val=""/>
      <w:lvlJc w:val="left"/>
    </w:lvl>
    <w:lvl w:ilvl="4" w:tplc="570CD7C4">
      <w:numFmt w:val="decimal"/>
      <w:lvlText w:val=""/>
      <w:lvlJc w:val="left"/>
    </w:lvl>
    <w:lvl w:ilvl="5" w:tplc="35740A4E">
      <w:numFmt w:val="decimal"/>
      <w:lvlText w:val=""/>
      <w:lvlJc w:val="left"/>
    </w:lvl>
    <w:lvl w:ilvl="6" w:tplc="B818F69C">
      <w:numFmt w:val="decimal"/>
      <w:lvlText w:val=""/>
      <w:lvlJc w:val="left"/>
    </w:lvl>
    <w:lvl w:ilvl="7" w:tplc="712AC5EE">
      <w:numFmt w:val="decimal"/>
      <w:lvlText w:val=""/>
      <w:lvlJc w:val="left"/>
    </w:lvl>
    <w:lvl w:ilvl="8" w:tplc="CCEADA40">
      <w:numFmt w:val="decimal"/>
      <w:lvlText w:val=""/>
      <w:lvlJc w:val="left"/>
    </w:lvl>
  </w:abstractNum>
  <w:abstractNum w:abstractNumId="1053" w15:restartNumberingAfterBreak="0">
    <w:nsid w:val="72CF4637"/>
    <w:multiLevelType w:val="hybridMultilevel"/>
    <w:tmpl w:val="D61A2A2E"/>
    <w:lvl w:ilvl="0" w:tplc="A18E5650">
      <w:start w:val="1"/>
      <w:numFmt w:val="bullet"/>
      <w:lvlText w:val=""/>
      <w:lvlJc w:val="left"/>
      <w:pPr>
        <w:ind w:left="720" w:hanging="180"/>
      </w:pPr>
      <w:rPr>
        <w:rFonts w:ascii="Symbol" w:hAnsi="Symbol" w:hint="default"/>
      </w:rPr>
    </w:lvl>
    <w:lvl w:ilvl="1" w:tplc="98F8DAE2">
      <w:numFmt w:val="decimal"/>
      <w:lvlText w:val=""/>
      <w:lvlJc w:val="left"/>
    </w:lvl>
    <w:lvl w:ilvl="2" w:tplc="8C82F1D6">
      <w:numFmt w:val="decimal"/>
      <w:lvlText w:val=""/>
      <w:lvlJc w:val="left"/>
    </w:lvl>
    <w:lvl w:ilvl="3" w:tplc="51244C38">
      <w:numFmt w:val="decimal"/>
      <w:lvlText w:val=""/>
      <w:lvlJc w:val="left"/>
    </w:lvl>
    <w:lvl w:ilvl="4" w:tplc="8C8A31FE">
      <w:numFmt w:val="decimal"/>
      <w:lvlText w:val=""/>
      <w:lvlJc w:val="left"/>
    </w:lvl>
    <w:lvl w:ilvl="5" w:tplc="49E06C9E">
      <w:numFmt w:val="decimal"/>
      <w:lvlText w:val=""/>
      <w:lvlJc w:val="left"/>
    </w:lvl>
    <w:lvl w:ilvl="6" w:tplc="7D34A44E">
      <w:numFmt w:val="decimal"/>
      <w:lvlText w:val=""/>
      <w:lvlJc w:val="left"/>
    </w:lvl>
    <w:lvl w:ilvl="7" w:tplc="E118E9C0">
      <w:numFmt w:val="decimal"/>
      <w:lvlText w:val=""/>
      <w:lvlJc w:val="left"/>
    </w:lvl>
    <w:lvl w:ilvl="8" w:tplc="044E6C66">
      <w:numFmt w:val="decimal"/>
      <w:lvlText w:val=""/>
      <w:lvlJc w:val="left"/>
    </w:lvl>
  </w:abstractNum>
  <w:abstractNum w:abstractNumId="1054" w15:restartNumberingAfterBreak="0">
    <w:nsid w:val="72F60618"/>
    <w:multiLevelType w:val="hybridMultilevel"/>
    <w:tmpl w:val="EE2A7EB4"/>
    <w:lvl w:ilvl="0" w:tplc="451A6A46">
      <w:start w:val="1"/>
      <w:numFmt w:val="bullet"/>
      <w:lvlText w:val=""/>
      <w:lvlJc w:val="left"/>
      <w:pPr>
        <w:ind w:left="720" w:hanging="180"/>
      </w:pPr>
      <w:rPr>
        <w:rFonts w:ascii="Symbol" w:hAnsi="Symbol" w:hint="default"/>
      </w:rPr>
    </w:lvl>
    <w:lvl w:ilvl="1" w:tplc="9BB60C72">
      <w:numFmt w:val="decimal"/>
      <w:lvlText w:val=""/>
      <w:lvlJc w:val="left"/>
    </w:lvl>
    <w:lvl w:ilvl="2" w:tplc="D5C0D894">
      <w:numFmt w:val="decimal"/>
      <w:lvlText w:val=""/>
      <w:lvlJc w:val="left"/>
    </w:lvl>
    <w:lvl w:ilvl="3" w:tplc="20165158">
      <w:numFmt w:val="decimal"/>
      <w:lvlText w:val=""/>
      <w:lvlJc w:val="left"/>
    </w:lvl>
    <w:lvl w:ilvl="4" w:tplc="2BFEFBD4">
      <w:numFmt w:val="decimal"/>
      <w:lvlText w:val=""/>
      <w:lvlJc w:val="left"/>
    </w:lvl>
    <w:lvl w:ilvl="5" w:tplc="C004DAC0">
      <w:numFmt w:val="decimal"/>
      <w:lvlText w:val=""/>
      <w:lvlJc w:val="left"/>
    </w:lvl>
    <w:lvl w:ilvl="6" w:tplc="8416C05A">
      <w:numFmt w:val="decimal"/>
      <w:lvlText w:val=""/>
      <w:lvlJc w:val="left"/>
    </w:lvl>
    <w:lvl w:ilvl="7" w:tplc="C1EE8398">
      <w:numFmt w:val="decimal"/>
      <w:lvlText w:val=""/>
      <w:lvlJc w:val="left"/>
    </w:lvl>
    <w:lvl w:ilvl="8" w:tplc="E9F05964">
      <w:numFmt w:val="decimal"/>
      <w:lvlText w:val=""/>
      <w:lvlJc w:val="left"/>
    </w:lvl>
  </w:abstractNum>
  <w:abstractNum w:abstractNumId="1055" w15:restartNumberingAfterBreak="0">
    <w:nsid w:val="72FB5A9A"/>
    <w:multiLevelType w:val="hybridMultilevel"/>
    <w:tmpl w:val="27E4AF18"/>
    <w:lvl w:ilvl="0" w:tplc="CE5C1610">
      <w:start w:val="1"/>
      <w:numFmt w:val="bullet"/>
      <w:lvlText w:val=""/>
      <w:lvlJc w:val="left"/>
      <w:pPr>
        <w:ind w:left="720" w:hanging="180"/>
      </w:pPr>
      <w:rPr>
        <w:rFonts w:ascii="Symbol" w:hAnsi="Symbol" w:hint="default"/>
      </w:rPr>
    </w:lvl>
    <w:lvl w:ilvl="1" w:tplc="B936FC6A">
      <w:numFmt w:val="decimal"/>
      <w:lvlText w:val=""/>
      <w:lvlJc w:val="left"/>
    </w:lvl>
    <w:lvl w:ilvl="2" w:tplc="2DC66700">
      <w:numFmt w:val="decimal"/>
      <w:lvlText w:val=""/>
      <w:lvlJc w:val="left"/>
    </w:lvl>
    <w:lvl w:ilvl="3" w:tplc="06B00B12">
      <w:numFmt w:val="decimal"/>
      <w:lvlText w:val=""/>
      <w:lvlJc w:val="left"/>
    </w:lvl>
    <w:lvl w:ilvl="4" w:tplc="361C20FC">
      <w:numFmt w:val="decimal"/>
      <w:lvlText w:val=""/>
      <w:lvlJc w:val="left"/>
    </w:lvl>
    <w:lvl w:ilvl="5" w:tplc="E596660C">
      <w:numFmt w:val="decimal"/>
      <w:lvlText w:val=""/>
      <w:lvlJc w:val="left"/>
    </w:lvl>
    <w:lvl w:ilvl="6" w:tplc="3D3EE962">
      <w:numFmt w:val="decimal"/>
      <w:lvlText w:val=""/>
      <w:lvlJc w:val="left"/>
    </w:lvl>
    <w:lvl w:ilvl="7" w:tplc="D93665C4">
      <w:numFmt w:val="decimal"/>
      <w:lvlText w:val=""/>
      <w:lvlJc w:val="left"/>
    </w:lvl>
    <w:lvl w:ilvl="8" w:tplc="72A4638C">
      <w:numFmt w:val="decimal"/>
      <w:lvlText w:val=""/>
      <w:lvlJc w:val="left"/>
    </w:lvl>
  </w:abstractNum>
  <w:abstractNum w:abstractNumId="1056" w15:restartNumberingAfterBreak="0">
    <w:nsid w:val="730C553F"/>
    <w:multiLevelType w:val="hybridMultilevel"/>
    <w:tmpl w:val="216691F2"/>
    <w:lvl w:ilvl="0" w:tplc="57C4971E">
      <w:start w:val="1"/>
      <w:numFmt w:val="bullet"/>
      <w:lvlText w:val=""/>
      <w:lvlJc w:val="left"/>
      <w:pPr>
        <w:ind w:left="720" w:hanging="180"/>
      </w:pPr>
      <w:rPr>
        <w:rFonts w:ascii="Symbol" w:hAnsi="Symbol" w:hint="default"/>
      </w:rPr>
    </w:lvl>
    <w:lvl w:ilvl="1" w:tplc="D060978A">
      <w:numFmt w:val="decimal"/>
      <w:lvlText w:val=""/>
      <w:lvlJc w:val="left"/>
    </w:lvl>
    <w:lvl w:ilvl="2" w:tplc="2C7E6026">
      <w:numFmt w:val="decimal"/>
      <w:lvlText w:val=""/>
      <w:lvlJc w:val="left"/>
    </w:lvl>
    <w:lvl w:ilvl="3" w:tplc="1C7C2C4E">
      <w:numFmt w:val="decimal"/>
      <w:lvlText w:val=""/>
      <w:lvlJc w:val="left"/>
    </w:lvl>
    <w:lvl w:ilvl="4" w:tplc="1F2E6D18">
      <w:numFmt w:val="decimal"/>
      <w:lvlText w:val=""/>
      <w:lvlJc w:val="left"/>
    </w:lvl>
    <w:lvl w:ilvl="5" w:tplc="D3A2983A">
      <w:numFmt w:val="decimal"/>
      <w:lvlText w:val=""/>
      <w:lvlJc w:val="left"/>
    </w:lvl>
    <w:lvl w:ilvl="6" w:tplc="599E59DA">
      <w:numFmt w:val="decimal"/>
      <w:lvlText w:val=""/>
      <w:lvlJc w:val="left"/>
    </w:lvl>
    <w:lvl w:ilvl="7" w:tplc="7E888AAE">
      <w:numFmt w:val="decimal"/>
      <w:lvlText w:val=""/>
      <w:lvlJc w:val="left"/>
    </w:lvl>
    <w:lvl w:ilvl="8" w:tplc="BB64A642">
      <w:numFmt w:val="decimal"/>
      <w:lvlText w:val=""/>
      <w:lvlJc w:val="left"/>
    </w:lvl>
  </w:abstractNum>
  <w:abstractNum w:abstractNumId="1057" w15:restartNumberingAfterBreak="0">
    <w:nsid w:val="731B1885"/>
    <w:multiLevelType w:val="hybridMultilevel"/>
    <w:tmpl w:val="D00634CE"/>
    <w:lvl w:ilvl="0" w:tplc="0DA61C68">
      <w:start w:val="1"/>
      <w:numFmt w:val="bullet"/>
      <w:lvlText w:val=""/>
      <w:lvlJc w:val="left"/>
      <w:pPr>
        <w:ind w:left="720" w:hanging="180"/>
      </w:pPr>
      <w:rPr>
        <w:rFonts w:ascii="Symbol" w:hAnsi="Symbol" w:hint="default"/>
      </w:rPr>
    </w:lvl>
    <w:lvl w:ilvl="1" w:tplc="45E84A80">
      <w:numFmt w:val="decimal"/>
      <w:lvlText w:val=""/>
      <w:lvlJc w:val="left"/>
    </w:lvl>
    <w:lvl w:ilvl="2" w:tplc="A0F2049A">
      <w:numFmt w:val="decimal"/>
      <w:lvlText w:val=""/>
      <w:lvlJc w:val="left"/>
    </w:lvl>
    <w:lvl w:ilvl="3" w:tplc="C248F7F2">
      <w:numFmt w:val="decimal"/>
      <w:lvlText w:val=""/>
      <w:lvlJc w:val="left"/>
    </w:lvl>
    <w:lvl w:ilvl="4" w:tplc="986E4C28">
      <w:numFmt w:val="decimal"/>
      <w:lvlText w:val=""/>
      <w:lvlJc w:val="left"/>
    </w:lvl>
    <w:lvl w:ilvl="5" w:tplc="F646918E">
      <w:numFmt w:val="decimal"/>
      <w:lvlText w:val=""/>
      <w:lvlJc w:val="left"/>
    </w:lvl>
    <w:lvl w:ilvl="6" w:tplc="785AA936">
      <w:numFmt w:val="decimal"/>
      <w:lvlText w:val=""/>
      <w:lvlJc w:val="left"/>
    </w:lvl>
    <w:lvl w:ilvl="7" w:tplc="089A50EC">
      <w:numFmt w:val="decimal"/>
      <w:lvlText w:val=""/>
      <w:lvlJc w:val="left"/>
    </w:lvl>
    <w:lvl w:ilvl="8" w:tplc="CE288962">
      <w:numFmt w:val="decimal"/>
      <w:lvlText w:val=""/>
      <w:lvlJc w:val="left"/>
    </w:lvl>
  </w:abstractNum>
  <w:abstractNum w:abstractNumId="1058" w15:restartNumberingAfterBreak="0">
    <w:nsid w:val="733F02E8"/>
    <w:multiLevelType w:val="hybridMultilevel"/>
    <w:tmpl w:val="4C500D96"/>
    <w:lvl w:ilvl="0" w:tplc="7E002F32">
      <w:start w:val="1"/>
      <w:numFmt w:val="bullet"/>
      <w:lvlText w:val=""/>
      <w:lvlJc w:val="left"/>
      <w:pPr>
        <w:ind w:left="720" w:hanging="180"/>
      </w:pPr>
      <w:rPr>
        <w:rFonts w:ascii="Symbol" w:hAnsi="Symbol" w:hint="default"/>
      </w:rPr>
    </w:lvl>
    <w:lvl w:ilvl="1" w:tplc="16F2B63A">
      <w:numFmt w:val="decimal"/>
      <w:lvlText w:val=""/>
      <w:lvlJc w:val="left"/>
    </w:lvl>
    <w:lvl w:ilvl="2" w:tplc="7180B0E8">
      <w:numFmt w:val="decimal"/>
      <w:lvlText w:val=""/>
      <w:lvlJc w:val="left"/>
    </w:lvl>
    <w:lvl w:ilvl="3" w:tplc="30662C5A">
      <w:numFmt w:val="decimal"/>
      <w:lvlText w:val=""/>
      <w:lvlJc w:val="left"/>
    </w:lvl>
    <w:lvl w:ilvl="4" w:tplc="FAD43AE8">
      <w:numFmt w:val="decimal"/>
      <w:lvlText w:val=""/>
      <w:lvlJc w:val="left"/>
    </w:lvl>
    <w:lvl w:ilvl="5" w:tplc="3CD66912">
      <w:numFmt w:val="decimal"/>
      <w:lvlText w:val=""/>
      <w:lvlJc w:val="left"/>
    </w:lvl>
    <w:lvl w:ilvl="6" w:tplc="39920EA2">
      <w:numFmt w:val="decimal"/>
      <w:lvlText w:val=""/>
      <w:lvlJc w:val="left"/>
    </w:lvl>
    <w:lvl w:ilvl="7" w:tplc="9A44C272">
      <w:numFmt w:val="decimal"/>
      <w:lvlText w:val=""/>
      <w:lvlJc w:val="left"/>
    </w:lvl>
    <w:lvl w:ilvl="8" w:tplc="484CDF68">
      <w:numFmt w:val="decimal"/>
      <w:lvlText w:val=""/>
      <w:lvlJc w:val="left"/>
    </w:lvl>
  </w:abstractNum>
  <w:abstractNum w:abstractNumId="1059" w15:restartNumberingAfterBreak="0">
    <w:nsid w:val="73990475"/>
    <w:multiLevelType w:val="hybridMultilevel"/>
    <w:tmpl w:val="627CCA9E"/>
    <w:lvl w:ilvl="0" w:tplc="A06835F6">
      <w:start w:val="1"/>
      <w:numFmt w:val="bullet"/>
      <w:lvlText w:val=""/>
      <w:lvlJc w:val="left"/>
      <w:pPr>
        <w:ind w:left="720" w:hanging="180"/>
      </w:pPr>
      <w:rPr>
        <w:rFonts w:ascii="Symbol" w:hAnsi="Symbol" w:hint="default"/>
      </w:rPr>
    </w:lvl>
    <w:lvl w:ilvl="1" w:tplc="A252C15E">
      <w:numFmt w:val="decimal"/>
      <w:lvlText w:val=""/>
      <w:lvlJc w:val="left"/>
    </w:lvl>
    <w:lvl w:ilvl="2" w:tplc="C88295B2">
      <w:numFmt w:val="decimal"/>
      <w:lvlText w:val=""/>
      <w:lvlJc w:val="left"/>
    </w:lvl>
    <w:lvl w:ilvl="3" w:tplc="72885FE2">
      <w:numFmt w:val="decimal"/>
      <w:lvlText w:val=""/>
      <w:lvlJc w:val="left"/>
    </w:lvl>
    <w:lvl w:ilvl="4" w:tplc="FD16FE92">
      <w:numFmt w:val="decimal"/>
      <w:lvlText w:val=""/>
      <w:lvlJc w:val="left"/>
    </w:lvl>
    <w:lvl w:ilvl="5" w:tplc="C3F63BE2">
      <w:numFmt w:val="decimal"/>
      <w:lvlText w:val=""/>
      <w:lvlJc w:val="left"/>
    </w:lvl>
    <w:lvl w:ilvl="6" w:tplc="A648AC58">
      <w:numFmt w:val="decimal"/>
      <w:lvlText w:val=""/>
      <w:lvlJc w:val="left"/>
    </w:lvl>
    <w:lvl w:ilvl="7" w:tplc="4DA64B56">
      <w:numFmt w:val="decimal"/>
      <w:lvlText w:val=""/>
      <w:lvlJc w:val="left"/>
    </w:lvl>
    <w:lvl w:ilvl="8" w:tplc="8CD4162E">
      <w:numFmt w:val="decimal"/>
      <w:lvlText w:val=""/>
      <w:lvlJc w:val="left"/>
    </w:lvl>
  </w:abstractNum>
  <w:abstractNum w:abstractNumId="1060" w15:restartNumberingAfterBreak="0">
    <w:nsid w:val="73C218B6"/>
    <w:multiLevelType w:val="hybridMultilevel"/>
    <w:tmpl w:val="736C82F2"/>
    <w:lvl w:ilvl="0" w:tplc="1F3A4C14">
      <w:start w:val="1"/>
      <w:numFmt w:val="bullet"/>
      <w:lvlText w:val=""/>
      <w:lvlJc w:val="left"/>
      <w:pPr>
        <w:ind w:left="720" w:hanging="180"/>
      </w:pPr>
      <w:rPr>
        <w:rFonts w:ascii="Symbol" w:hAnsi="Symbol" w:hint="default"/>
      </w:rPr>
    </w:lvl>
    <w:lvl w:ilvl="1" w:tplc="0C28D180">
      <w:numFmt w:val="decimal"/>
      <w:lvlText w:val=""/>
      <w:lvlJc w:val="left"/>
    </w:lvl>
    <w:lvl w:ilvl="2" w:tplc="C7A6B91A">
      <w:numFmt w:val="decimal"/>
      <w:lvlText w:val=""/>
      <w:lvlJc w:val="left"/>
    </w:lvl>
    <w:lvl w:ilvl="3" w:tplc="A4FE3D64">
      <w:numFmt w:val="decimal"/>
      <w:lvlText w:val=""/>
      <w:lvlJc w:val="left"/>
    </w:lvl>
    <w:lvl w:ilvl="4" w:tplc="AFF84564">
      <w:numFmt w:val="decimal"/>
      <w:lvlText w:val=""/>
      <w:lvlJc w:val="left"/>
    </w:lvl>
    <w:lvl w:ilvl="5" w:tplc="6B3424C2">
      <w:numFmt w:val="decimal"/>
      <w:lvlText w:val=""/>
      <w:lvlJc w:val="left"/>
    </w:lvl>
    <w:lvl w:ilvl="6" w:tplc="84C26C62">
      <w:numFmt w:val="decimal"/>
      <w:lvlText w:val=""/>
      <w:lvlJc w:val="left"/>
    </w:lvl>
    <w:lvl w:ilvl="7" w:tplc="6DEA4C20">
      <w:numFmt w:val="decimal"/>
      <w:lvlText w:val=""/>
      <w:lvlJc w:val="left"/>
    </w:lvl>
    <w:lvl w:ilvl="8" w:tplc="F200A4E0">
      <w:numFmt w:val="decimal"/>
      <w:lvlText w:val=""/>
      <w:lvlJc w:val="left"/>
    </w:lvl>
  </w:abstractNum>
  <w:abstractNum w:abstractNumId="1061" w15:restartNumberingAfterBreak="0">
    <w:nsid w:val="743D098D"/>
    <w:multiLevelType w:val="hybridMultilevel"/>
    <w:tmpl w:val="4D04F246"/>
    <w:lvl w:ilvl="0" w:tplc="FC6C40FC">
      <w:start w:val="1"/>
      <w:numFmt w:val="bullet"/>
      <w:lvlText w:val=""/>
      <w:lvlJc w:val="left"/>
      <w:pPr>
        <w:ind w:left="720" w:hanging="180"/>
      </w:pPr>
      <w:rPr>
        <w:rFonts w:ascii="Symbol" w:hAnsi="Symbol" w:hint="default"/>
      </w:rPr>
    </w:lvl>
    <w:lvl w:ilvl="1" w:tplc="56FA0BFE">
      <w:numFmt w:val="decimal"/>
      <w:lvlText w:val=""/>
      <w:lvlJc w:val="left"/>
    </w:lvl>
    <w:lvl w:ilvl="2" w:tplc="90BE447E">
      <w:numFmt w:val="decimal"/>
      <w:lvlText w:val=""/>
      <w:lvlJc w:val="left"/>
    </w:lvl>
    <w:lvl w:ilvl="3" w:tplc="FBDCC070">
      <w:numFmt w:val="decimal"/>
      <w:lvlText w:val=""/>
      <w:lvlJc w:val="left"/>
    </w:lvl>
    <w:lvl w:ilvl="4" w:tplc="238882CE">
      <w:numFmt w:val="decimal"/>
      <w:lvlText w:val=""/>
      <w:lvlJc w:val="left"/>
    </w:lvl>
    <w:lvl w:ilvl="5" w:tplc="AD0C1976">
      <w:numFmt w:val="decimal"/>
      <w:lvlText w:val=""/>
      <w:lvlJc w:val="left"/>
    </w:lvl>
    <w:lvl w:ilvl="6" w:tplc="03D44CF8">
      <w:numFmt w:val="decimal"/>
      <w:lvlText w:val=""/>
      <w:lvlJc w:val="left"/>
    </w:lvl>
    <w:lvl w:ilvl="7" w:tplc="4F443C0C">
      <w:numFmt w:val="decimal"/>
      <w:lvlText w:val=""/>
      <w:lvlJc w:val="left"/>
    </w:lvl>
    <w:lvl w:ilvl="8" w:tplc="288A9658">
      <w:numFmt w:val="decimal"/>
      <w:lvlText w:val=""/>
      <w:lvlJc w:val="left"/>
    </w:lvl>
  </w:abstractNum>
  <w:abstractNum w:abstractNumId="1062" w15:restartNumberingAfterBreak="0">
    <w:nsid w:val="74412A0B"/>
    <w:multiLevelType w:val="hybridMultilevel"/>
    <w:tmpl w:val="6A0E02CC"/>
    <w:lvl w:ilvl="0" w:tplc="9FE0FD90">
      <w:start w:val="1"/>
      <w:numFmt w:val="bullet"/>
      <w:lvlText w:val=""/>
      <w:lvlJc w:val="left"/>
      <w:pPr>
        <w:ind w:left="720" w:hanging="180"/>
      </w:pPr>
      <w:rPr>
        <w:rFonts w:ascii="Symbol" w:hAnsi="Symbol" w:hint="default"/>
      </w:rPr>
    </w:lvl>
    <w:lvl w:ilvl="1" w:tplc="0D26BDD2">
      <w:numFmt w:val="decimal"/>
      <w:lvlText w:val=""/>
      <w:lvlJc w:val="left"/>
    </w:lvl>
    <w:lvl w:ilvl="2" w:tplc="CEB0E0AE">
      <w:numFmt w:val="decimal"/>
      <w:lvlText w:val=""/>
      <w:lvlJc w:val="left"/>
    </w:lvl>
    <w:lvl w:ilvl="3" w:tplc="02B8BBD4">
      <w:numFmt w:val="decimal"/>
      <w:lvlText w:val=""/>
      <w:lvlJc w:val="left"/>
    </w:lvl>
    <w:lvl w:ilvl="4" w:tplc="30860BE0">
      <w:numFmt w:val="decimal"/>
      <w:lvlText w:val=""/>
      <w:lvlJc w:val="left"/>
    </w:lvl>
    <w:lvl w:ilvl="5" w:tplc="02FA6A68">
      <w:numFmt w:val="decimal"/>
      <w:lvlText w:val=""/>
      <w:lvlJc w:val="left"/>
    </w:lvl>
    <w:lvl w:ilvl="6" w:tplc="A8264926">
      <w:numFmt w:val="decimal"/>
      <w:lvlText w:val=""/>
      <w:lvlJc w:val="left"/>
    </w:lvl>
    <w:lvl w:ilvl="7" w:tplc="B9A460D6">
      <w:numFmt w:val="decimal"/>
      <w:lvlText w:val=""/>
      <w:lvlJc w:val="left"/>
    </w:lvl>
    <w:lvl w:ilvl="8" w:tplc="5252A9F2">
      <w:numFmt w:val="decimal"/>
      <w:lvlText w:val=""/>
      <w:lvlJc w:val="left"/>
    </w:lvl>
  </w:abstractNum>
  <w:abstractNum w:abstractNumId="1063" w15:restartNumberingAfterBreak="0">
    <w:nsid w:val="74757F28"/>
    <w:multiLevelType w:val="hybridMultilevel"/>
    <w:tmpl w:val="D88E7DDE"/>
    <w:lvl w:ilvl="0" w:tplc="3BBCE924">
      <w:start w:val="1"/>
      <w:numFmt w:val="bullet"/>
      <w:lvlText w:val=""/>
      <w:lvlJc w:val="left"/>
      <w:pPr>
        <w:ind w:left="720" w:hanging="180"/>
      </w:pPr>
      <w:rPr>
        <w:rFonts w:ascii="Symbol" w:hAnsi="Symbol" w:hint="default"/>
      </w:rPr>
    </w:lvl>
    <w:lvl w:ilvl="1" w:tplc="86B691E4">
      <w:numFmt w:val="decimal"/>
      <w:lvlText w:val=""/>
      <w:lvlJc w:val="left"/>
    </w:lvl>
    <w:lvl w:ilvl="2" w:tplc="471A1606">
      <w:numFmt w:val="decimal"/>
      <w:lvlText w:val=""/>
      <w:lvlJc w:val="left"/>
    </w:lvl>
    <w:lvl w:ilvl="3" w:tplc="473E8376">
      <w:numFmt w:val="decimal"/>
      <w:lvlText w:val=""/>
      <w:lvlJc w:val="left"/>
    </w:lvl>
    <w:lvl w:ilvl="4" w:tplc="BF6054CE">
      <w:numFmt w:val="decimal"/>
      <w:lvlText w:val=""/>
      <w:lvlJc w:val="left"/>
    </w:lvl>
    <w:lvl w:ilvl="5" w:tplc="ED78C8D8">
      <w:numFmt w:val="decimal"/>
      <w:lvlText w:val=""/>
      <w:lvlJc w:val="left"/>
    </w:lvl>
    <w:lvl w:ilvl="6" w:tplc="B9AA5076">
      <w:numFmt w:val="decimal"/>
      <w:lvlText w:val=""/>
      <w:lvlJc w:val="left"/>
    </w:lvl>
    <w:lvl w:ilvl="7" w:tplc="591A9EB6">
      <w:numFmt w:val="decimal"/>
      <w:lvlText w:val=""/>
      <w:lvlJc w:val="left"/>
    </w:lvl>
    <w:lvl w:ilvl="8" w:tplc="2E5871EA">
      <w:numFmt w:val="decimal"/>
      <w:lvlText w:val=""/>
      <w:lvlJc w:val="left"/>
    </w:lvl>
  </w:abstractNum>
  <w:abstractNum w:abstractNumId="1064" w15:restartNumberingAfterBreak="0">
    <w:nsid w:val="749F422A"/>
    <w:multiLevelType w:val="hybridMultilevel"/>
    <w:tmpl w:val="1862B0CA"/>
    <w:lvl w:ilvl="0" w:tplc="D3340B92">
      <w:start w:val="1"/>
      <w:numFmt w:val="bullet"/>
      <w:lvlText w:val=""/>
      <w:lvlJc w:val="left"/>
      <w:pPr>
        <w:ind w:left="720" w:hanging="180"/>
      </w:pPr>
      <w:rPr>
        <w:rFonts w:ascii="Symbol" w:hAnsi="Symbol" w:hint="default"/>
      </w:rPr>
    </w:lvl>
    <w:lvl w:ilvl="1" w:tplc="5432893E">
      <w:numFmt w:val="decimal"/>
      <w:lvlText w:val=""/>
      <w:lvlJc w:val="left"/>
    </w:lvl>
    <w:lvl w:ilvl="2" w:tplc="7C20397C">
      <w:numFmt w:val="decimal"/>
      <w:lvlText w:val=""/>
      <w:lvlJc w:val="left"/>
    </w:lvl>
    <w:lvl w:ilvl="3" w:tplc="99DCF1CA">
      <w:numFmt w:val="decimal"/>
      <w:lvlText w:val=""/>
      <w:lvlJc w:val="left"/>
    </w:lvl>
    <w:lvl w:ilvl="4" w:tplc="6CFEDC0A">
      <w:numFmt w:val="decimal"/>
      <w:lvlText w:val=""/>
      <w:lvlJc w:val="left"/>
    </w:lvl>
    <w:lvl w:ilvl="5" w:tplc="0E64557E">
      <w:numFmt w:val="decimal"/>
      <w:lvlText w:val=""/>
      <w:lvlJc w:val="left"/>
    </w:lvl>
    <w:lvl w:ilvl="6" w:tplc="49827E0A">
      <w:numFmt w:val="decimal"/>
      <w:lvlText w:val=""/>
      <w:lvlJc w:val="left"/>
    </w:lvl>
    <w:lvl w:ilvl="7" w:tplc="ABD48334">
      <w:numFmt w:val="decimal"/>
      <w:lvlText w:val=""/>
      <w:lvlJc w:val="left"/>
    </w:lvl>
    <w:lvl w:ilvl="8" w:tplc="0324CC38">
      <w:numFmt w:val="decimal"/>
      <w:lvlText w:val=""/>
      <w:lvlJc w:val="left"/>
    </w:lvl>
  </w:abstractNum>
  <w:abstractNum w:abstractNumId="1065" w15:restartNumberingAfterBreak="0">
    <w:nsid w:val="74A53341"/>
    <w:multiLevelType w:val="hybridMultilevel"/>
    <w:tmpl w:val="241A42D4"/>
    <w:lvl w:ilvl="0" w:tplc="20802B60">
      <w:start w:val="1"/>
      <w:numFmt w:val="bullet"/>
      <w:lvlText w:val=""/>
      <w:lvlJc w:val="left"/>
      <w:pPr>
        <w:ind w:left="720" w:hanging="180"/>
      </w:pPr>
      <w:rPr>
        <w:rFonts w:ascii="Symbol" w:hAnsi="Symbol" w:hint="default"/>
      </w:rPr>
    </w:lvl>
    <w:lvl w:ilvl="1" w:tplc="87A67452">
      <w:numFmt w:val="decimal"/>
      <w:lvlText w:val=""/>
      <w:lvlJc w:val="left"/>
    </w:lvl>
    <w:lvl w:ilvl="2" w:tplc="CDE2CAF2">
      <w:numFmt w:val="decimal"/>
      <w:lvlText w:val=""/>
      <w:lvlJc w:val="left"/>
    </w:lvl>
    <w:lvl w:ilvl="3" w:tplc="3BD6F38A">
      <w:numFmt w:val="decimal"/>
      <w:lvlText w:val=""/>
      <w:lvlJc w:val="left"/>
    </w:lvl>
    <w:lvl w:ilvl="4" w:tplc="BE208848">
      <w:numFmt w:val="decimal"/>
      <w:lvlText w:val=""/>
      <w:lvlJc w:val="left"/>
    </w:lvl>
    <w:lvl w:ilvl="5" w:tplc="CC8A681A">
      <w:numFmt w:val="decimal"/>
      <w:lvlText w:val=""/>
      <w:lvlJc w:val="left"/>
    </w:lvl>
    <w:lvl w:ilvl="6" w:tplc="45645AC0">
      <w:numFmt w:val="decimal"/>
      <w:lvlText w:val=""/>
      <w:lvlJc w:val="left"/>
    </w:lvl>
    <w:lvl w:ilvl="7" w:tplc="1540B686">
      <w:numFmt w:val="decimal"/>
      <w:lvlText w:val=""/>
      <w:lvlJc w:val="left"/>
    </w:lvl>
    <w:lvl w:ilvl="8" w:tplc="A76673C2">
      <w:numFmt w:val="decimal"/>
      <w:lvlText w:val=""/>
      <w:lvlJc w:val="left"/>
    </w:lvl>
  </w:abstractNum>
  <w:abstractNum w:abstractNumId="1066" w15:restartNumberingAfterBreak="0">
    <w:nsid w:val="74BA4B03"/>
    <w:multiLevelType w:val="hybridMultilevel"/>
    <w:tmpl w:val="F676CC8E"/>
    <w:lvl w:ilvl="0" w:tplc="0CB0FD62">
      <w:start w:val="1"/>
      <w:numFmt w:val="bullet"/>
      <w:lvlText w:val=""/>
      <w:lvlJc w:val="left"/>
      <w:pPr>
        <w:ind w:left="720" w:hanging="180"/>
      </w:pPr>
      <w:rPr>
        <w:rFonts w:ascii="Symbol" w:hAnsi="Symbol" w:hint="default"/>
      </w:rPr>
    </w:lvl>
    <w:lvl w:ilvl="1" w:tplc="2B442CF6">
      <w:numFmt w:val="decimal"/>
      <w:lvlText w:val=""/>
      <w:lvlJc w:val="left"/>
    </w:lvl>
    <w:lvl w:ilvl="2" w:tplc="2D5EF216">
      <w:numFmt w:val="decimal"/>
      <w:lvlText w:val=""/>
      <w:lvlJc w:val="left"/>
    </w:lvl>
    <w:lvl w:ilvl="3" w:tplc="FBF22C6A">
      <w:numFmt w:val="decimal"/>
      <w:lvlText w:val=""/>
      <w:lvlJc w:val="left"/>
    </w:lvl>
    <w:lvl w:ilvl="4" w:tplc="63AEA582">
      <w:numFmt w:val="decimal"/>
      <w:lvlText w:val=""/>
      <w:lvlJc w:val="left"/>
    </w:lvl>
    <w:lvl w:ilvl="5" w:tplc="F1F010F2">
      <w:numFmt w:val="decimal"/>
      <w:lvlText w:val=""/>
      <w:lvlJc w:val="left"/>
    </w:lvl>
    <w:lvl w:ilvl="6" w:tplc="985A3668">
      <w:numFmt w:val="decimal"/>
      <w:lvlText w:val=""/>
      <w:lvlJc w:val="left"/>
    </w:lvl>
    <w:lvl w:ilvl="7" w:tplc="8542D97E">
      <w:numFmt w:val="decimal"/>
      <w:lvlText w:val=""/>
      <w:lvlJc w:val="left"/>
    </w:lvl>
    <w:lvl w:ilvl="8" w:tplc="38EE74CA">
      <w:numFmt w:val="decimal"/>
      <w:lvlText w:val=""/>
      <w:lvlJc w:val="left"/>
    </w:lvl>
  </w:abstractNum>
  <w:abstractNum w:abstractNumId="1067" w15:restartNumberingAfterBreak="0">
    <w:nsid w:val="74BE5D6A"/>
    <w:multiLevelType w:val="hybridMultilevel"/>
    <w:tmpl w:val="CA862BEE"/>
    <w:lvl w:ilvl="0" w:tplc="8D520DA0">
      <w:start w:val="1"/>
      <w:numFmt w:val="bullet"/>
      <w:lvlText w:val=""/>
      <w:lvlJc w:val="left"/>
      <w:pPr>
        <w:ind w:left="720" w:hanging="180"/>
      </w:pPr>
      <w:rPr>
        <w:rFonts w:ascii="Symbol" w:hAnsi="Symbol" w:hint="default"/>
      </w:rPr>
    </w:lvl>
    <w:lvl w:ilvl="1" w:tplc="2126FE92">
      <w:numFmt w:val="decimal"/>
      <w:lvlText w:val=""/>
      <w:lvlJc w:val="left"/>
    </w:lvl>
    <w:lvl w:ilvl="2" w:tplc="D8B8CC0A">
      <w:numFmt w:val="decimal"/>
      <w:lvlText w:val=""/>
      <w:lvlJc w:val="left"/>
    </w:lvl>
    <w:lvl w:ilvl="3" w:tplc="5366D250">
      <w:numFmt w:val="decimal"/>
      <w:lvlText w:val=""/>
      <w:lvlJc w:val="left"/>
    </w:lvl>
    <w:lvl w:ilvl="4" w:tplc="DEFC22F8">
      <w:numFmt w:val="decimal"/>
      <w:lvlText w:val=""/>
      <w:lvlJc w:val="left"/>
    </w:lvl>
    <w:lvl w:ilvl="5" w:tplc="CB2CF4B2">
      <w:numFmt w:val="decimal"/>
      <w:lvlText w:val=""/>
      <w:lvlJc w:val="left"/>
    </w:lvl>
    <w:lvl w:ilvl="6" w:tplc="E2602822">
      <w:numFmt w:val="decimal"/>
      <w:lvlText w:val=""/>
      <w:lvlJc w:val="left"/>
    </w:lvl>
    <w:lvl w:ilvl="7" w:tplc="E64C72F6">
      <w:numFmt w:val="decimal"/>
      <w:lvlText w:val=""/>
      <w:lvlJc w:val="left"/>
    </w:lvl>
    <w:lvl w:ilvl="8" w:tplc="BECADFF4">
      <w:numFmt w:val="decimal"/>
      <w:lvlText w:val=""/>
      <w:lvlJc w:val="left"/>
    </w:lvl>
  </w:abstractNum>
  <w:abstractNum w:abstractNumId="1068" w15:restartNumberingAfterBreak="0">
    <w:nsid w:val="74CE437B"/>
    <w:multiLevelType w:val="hybridMultilevel"/>
    <w:tmpl w:val="FD540EC8"/>
    <w:lvl w:ilvl="0" w:tplc="93D82F56">
      <w:start w:val="1"/>
      <w:numFmt w:val="bullet"/>
      <w:lvlText w:val=""/>
      <w:lvlJc w:val="left"/>
      <w:pPr>
        <w:ind w:left="720" w:hanging="180"/>
      </w:pPr>
      <w:rPr>
        <w:rFonts w:ascii="Symbol" w:hAnsi="Symbol" w:hint="default"/>
      </w:rPr>
    </w:lvl>
    <w:lvl w:ilvl="1" w:tplc="61DE0B48">
      <w:numFmt w:val="decimal"/>
      <w:lvlText w:val=""/>
      <w:lvlJc w:val="left"/>
    </w:lvl>
    <w:lvl w:ilvl="2" w:tplc="0DD2A62A">
      <w:numFmt w:val="decimal"/>
      <w:lvlText w:val=""/>
      <w:lvlJc w:val="left"/>
    </w:lvl>
    <w:lvl w:ilvl="3" w:tplc="17E4CDDE">
      <w:numFmt w:val="decimal"/>
      <w:lvlText w:val=""/>
      <w:lvlJc w:val="left"/>
    </w:lvl>
    <w:lvl w:ilvl="4" w:tplc="32902950">
      <w:numFmt w:val="decimal"/>
      <w:lvlText w:val=""/>
      <w:lvlJc w:val="left"/>
    </w:lvl>
    <w:lvl w:ilvl="5" w:tplc="5EC87620">
      <w:numFmt w:val="decimal"/>
      <w:lvlText w:val=""/>
      <w:lvlJc w:val="left"/>
    </w:lvl>
    <w:lvl w:ilvl="6" w:tplc="20360598">
      <w:numFmt w:val="decimal"/>
      <w:lvlText w:val=""/>
      <w:lvlJc w:val="left"/>
    </w:lvl>
    <w:lvl w:ilvl="7" w:tplc="04D23EC8">
      <w:numFmt w:val="decimal"/>
      <w:lvlText w:val=""/>
      <w:lvlJc w:val="left"/>
    </w:lvl>
    <w:lvl w:ilvl="8" w:tplc="0F58145E">
      <w:numFmt w:val="decimal"/>
      <w:lvlText w:val=""/>
      <w:lvlJc w:val="left"/>
    </w:lvl>
  </w:abstractNum>
  <w:abstractNum w:abstractNumId="1069" w15:restartNumberingAfterBreak="0">
    <w:nsid w:val="74EC46CE"/>
    <w:multiLevelType w:val="hybridMultilevel"/>
    <w:tmpl w:val="3C7A7B3A"/>
    <w:lvl w:ilvl="0" w:tplc="BDC268D6">
      <w:start w:val="1"/>
      <w:numFmt w:val="bullet"/>
      <w:lvlText w:val=""/>
      <w:lvlJc w:val="left"/>
      <w:pPr>
        <w:ind w:left="720" w:hanging="180"/>
      </w:pPr>
      <w:rPr>
        <w:rFonts w:ascii="Symbol" w:hAnsi="Symbol" w:hint="default"/>
      </w:rPr>
    </w:lvl>
    <w:lvl w:ilvl="1" w:tplc="3AF09B56">
      <w:numFmt w:val="decimal"/>
      <w:lvlText w:val=""/>
      <w:lvlJc w:val="left"/>
    </w:lvl>
    <w:lvl w:ilvl="2" w:tplc="B1602C6A">
      <w:numFmt w:val="decimal"/>
      <w:lvlText w:val=""/>
      <w:lvlJc w:val="left"/>
    </w:lvl>
    <w:lvl w:ilvl="3" w:tplc="21F665E8">
      <w:numFmt w:val="decimal"/>
      <w:lvlText w:val=""/>
      <w:lvlJc w:val="left"/>
    </w:lvl>
    <w:lvl w:ilvl="4" w:tplc="CF0A580A">
      <w:numFmt w:val="decimal"/>
      <w:lvlText w:val=""/>
      <w:lvlJc w:val="left"/>
    </w:lvl>
    <w:lvl w:ilvl="5" w:tplc="F4063EF6">
      <w:numFmt w:val="decimal"/>
      <w:lvlText w:val=""/>
      <w:lvlJc w:val="left"/>
    </w:lvl>
    <w:lvl w:ilvl="6" w:tplc="E4E4AA20">
      <w:numFmt w:val="decimal"/>
      <w:lvlText w:val=""/>
      <w:lvlJc w:val="left"/>
    </w:lvl>
    <w:lvl w:ilvl="7" w:tplc="FAC64184">
      <w:numFmt w:val="decimal"/>
      <w:lvlText w:val=""/>
      <w:lvlJc w:val="left"/>
    </w:lvl>
    <w:lvl w:ilvl="8" w:tplc="ECE832CE">
      <w:numFmt w:val="decimal"/>
      <w:lvlText w:val=""/>
      <w:lvlJc w:val="left"/>
    </w:lvl>
  </w:abstractNum>
  <w:abstractNum w:abstractNumId="1070" w15:restartNumberingAfterBreak="0">
    <w:nsid w:val="751574D6"/>
    <w:multiLevelType w:val="hybridMultilevel"/>
    <w:tmpl w:val="29AE74A8"/>
    <w:lvl w:ilvl="0" w:tplc="BC3CF74A">
      <w:start w:val="1"/>
      <w:numFmt w:val="bullet"/>
      <w:lvlText w:val=""/>
      <w:lvlJc w:val="left"/>
      <w:pPr>
        <w:ind w:left="720" w:hanging="180"/>
      </w:pPr>
      <w:rPr>
        <w:rFonts w:ascii="Symbol" w:hAnsi="Symbol" w:hint="default"/>
      </w:rPr>
    </w:lvl>
    <w:lvl w:ilvl="1" w:tplc="9E7C962A">
      <w:numFmt w:val="decimal"/>
      <w:lvlText w:val=""/>
      <w:lvlJc w:val="left"/>
    </w:lvl>
    <w:lvl w:ilvl="2" w:tplc="56F0B9C8">
      <w:numFmt w:val="decimal"/>
      <w:lvlText w:val=""/>
      <w:lvlJc w:val="left"/>
    </w:lvl>
    <w:lvl w:ilvl="3" w:tplc="DBC81138">
      <w:numFmt w:val="decimal"/>
      <w:lvlText w:val=""/>
      <w:lvlJc w:val="left"/>
    </w:lvl>
    <w:lvl w:ilvl="4" w:tplc="D28272B6">
      <w:numFmt w:val="decimal"/>
      <w:lvlText w:val=""/>
      <w:lvlJc w:val="left"/>
    </w:lvl>
    <w:lvl w:ilvl="5" w:tplc="52FE2BBA">
      <w:numFmt w:val="decimal"/>
      <w:lvlText w:val=""/>
      <w:lvlJc w:val="left"/>
    </w:lvl>
    <w:lvl w:ilvl="6" w:tplc="C524982C">
      <w:numFmt w:val="decimal"/>
      <w:lvlText w:val=""/>
      <w:lvlJc w:val="left"/>
    </w:lvl>
    <w:lvl w:ilvl="7" w:tplc="425635CE">
      <w:numFmt w:val="decimal"/>
      <w:lvlText w:val=""/>
      <w:lvlJc w:val="left"/>
    </w:lvl>
    <w:lvl w:ilvl="8" w:tplc="8C88DE78">
      <w:numFmt w:val="decimal"/>
      <w:lvlText w:val=""/>
      <w:lvlJc w:val="left"/>
    </w:lvl>
  </w:abstractNum>
  <w:abstractNum w:abstractNumId="1071" w15:restartNumberingAfterBreak="0">
    <w:nsid w:val="75353FED"/>
    <w:multiLevelType w:val="hybridMultilevel"/>
    <w:tmpl w:val="2ED86F9A"/>
    <w:lvl w:ilvl="0" w:tplc="C41C1A2E">
      <w:start w:val="1"/>
      <w:numFmt w:val="bullet"/>
      <w:lvlText w:val=""/>
      <w:lvlJc w:val="left"/>
      <w:pPr>
        <w:ind w:left="720" w:hanging="180"/>
      </w:pPr>
      <w:rPr>
        <w:rFonts w:ascii="Symbol" w:hAnsi="Symbol" w:hint="default"/>
      </w:rPr>
    </w:lvl>
    <w:lvl w:ilvl="1" w:tplc="DDA82168">
      <w:numFmt w:val="decimal"/>
      <w:lvlText w:val=""/>
      <w:lvlJc w:val="left"/>
    </w:lvl>
    <w:lvl w:ilvl="2" w:tplc="E5A814AA">
      <w:numFmt w:val="decimal"/>
      <w:lvlText w:val=""/>
      <w:lvlJc w:val="left"/>
    </w:lvl>
    <w:lvl w:ilvl="3" w:tplc="11101622">
      <w:numFmt w:val="decimal"/>
      <w:lvlText w:val=""/>
      <w:lvlJc w:val="left"/>
    </w:lvl>
    <w:lvl w:ilvl="4" w:tplc="548633EE">
      <w:numFmt w:val="decimal"/>
      <w:lvlText w:val=""/>
      <w:lvlJc w:val="left"/>
    </w:lvl>
    <w:lvl w:ilvl="5" w:tplc="BE929584">
      <w:numFmt w:val="decimal"/>
      <w:lvlText w:val=""/>
      <w:lvlJc w:val="left"/>
    </w:lvl>
    <w:lvl w:ilvl="6" w:tplc="6B64554E">
      <w:numFmt w:val="decimal"/>
      <w:lvlText w:val=""/>
      <w:lvlJc w:val="left"/>
    </w:lvl>
    <w:lvl w:ilvl="7" w:tplc="F832615E">
      <w:numFmt w:val="decimal"/>
      <w:lvlText w:val=""/>
      <w:lvlJc w:val="left"/>
    </w:lvl>
    <w:lvl w:ilvl="8" w:tplc="EEA83FAC">
      <w:numFmt w:val="decimal"/>
      <w:lvlText w:val=""/>
      <w:lvlJc w:val="left"/>
    </w:lvl>
  </w:abstractNum>
  <w:abstractNum w:abstractNumId="1072" w15:restartNumberingAfterBreak="0">
    <w:nsid w:val="75504242"/>
    <w:multiLevelType w:val="hybridMultilevel"/>
    <w:tmpl w:val="2C2628C4"/>
    <w:lvl w:ilvl="0" w:tplc="48787418">
      <w:start w:val="1"/>
      <w:numFmt w:val="bullet"/>
      <w:lvlText w:val=""/>
      <w:lvlJc w:val="left"/>
      <w:pPr>
        <w:ind w:left="720" w:hanging="180"/>
      </w:pPr>
      <w:rPr>
        <w:rFonts w:ascii="Symbol" w:hAnsi="Symbol" w:hint="default"/>
      </w:rPr>
    </w:lvl>
    <w:lvl w:ilvl="1" w:tplc="244A9982">
      <w:numFmt w:val="decimal"/>
      <w:lvlText w:val=""/>
      <w:lvlJc w:val="left"/>
    </w:lvl>
    <w:lvl w:ilvl="2" w:tplc="86B07ACE">
      <w:numFmt w:val="decimal"/>
      <w:lvlText w:val=""/>
      <w:lvlJc w:val="left"/>
    </w:lvl>
    <w:lvl w:ilvl="3" w:tplc="AA8E786C">
      <w:numFmt w:val="decimal"/>
      <w:lvlText w:val=""/>
      <w:lvlJc w:val="left"/>
    </w:lvl>
    <w:lvl w:ilvl="4" w:tplc="3E5233C4">
      <w:numFmt w:val="decimal"/>
      <w:lvlText w:val=""/>
      <w:lvlJc w:val="left"/>
    </w:lvl>
    <w:lvl w:ilvl="5" w:tplc="42CC14DE">
      <w:numFmt w:val="decimal"/>
      <w:lvlText w:val=""/>
      <w:lvlJc w:val="left"/>
    </w:lvl>
    <w:lvl w:ilvl="6" w:tplc="D3CE1A96">
      <w:numFmt w:val="decimal"/>
      <w:lvlText w:val=""/>
      <w:lvlJc w:val="left"/>
    </w:lvl>
    <w:lvl w:ilvl="7" w:tplc="301E5E90">
      <w:numFmt w:val="decimal"/>
      <w:lvlText w:val=""/>
      <w:lvlJc w:val="left"/>
    </w:lvl>
    <w:lvl w:ilvl="8" w:tplc="1FFA3F46">
      <w:numFmt w:val="decimal"/>
      <w:lvlText w:val=""/>
      <w:lvlJc w:val="left"/>
    </w:lvl>
  </w:abstractNum>
  <w:abstractNum w:abstractNumId="1073" w15:restartNumberingAfterBreak="0">
    <w:nsid w:val="75657C9A"/>
    <w:multiLevelType w:val="hybridMultilevel"/>
    <w:tmpl w:val="D1C073E4"/>
    <w:lvl w:ilvl="0" w:tplc="5B5C2E88">
      <w:start w:val="1"/>
      <w:numFmt w:val="bullet"/>
      <w:lvlText w:val=""/>
      <w:lvlJc w:val="left"/>
      <w:pPr>
        <w:ind w:left="720" w:hanging="180"/>
      </w:pPr>
      <w:rPr>
        <w:rFonts w:ascii="Symbol" w:hAnsi="Symbol" w:hint="default"/>
      </w:rPr>
    </w:lvl>
    <w:lvl w:ilvl="1" w:tplc="8A28AAB0">
      <w:numFmt w:val="decimal"/>
      <w:lvlText w:val=""/>
      <w:lvlJc w:val="left"/>
    </w:lvl>
    <w:lvl w:ilvl="2" w:tplc="8D603FA2">
      <w:numFmt w:val="decimal"/>
      <w:lvlText w:val=""/>
      <w:lvlJc w:val="left"/>
    </w:lvl>
    <w:lvl w:ilvl="3" w:tplc="7EB8BD02">
      <w:numFmt w:val="decimal"/>
      <w:lvlText w:val=""/>
      <w:lvlJc w:val="left"/>
    </w:lvl>
    <w:lvl w:ilvl="4" w:tplc="772A0538">
      <w:numFmt w:val="decimal"/>
      <w:lvlText w:val=""/>
      <w:lvlJc w:val="left"/>
    </w:lvl>
    <w:lvl w:ilvl="5" w:tplc="8474BF7A">
      <w:numFmt w:val="decimal"/>
      <w:lvlText w:val=""/>
      <w:lvlJc w:val="left"/>
    </w:lvl>
    <w:lvl w:ilvl="6" w:tplc="4EAEF8E0">
      <w:numFmt w:val="decimal"/>
      <w:lvlText w:val=""/>
      <w:lvlJc w:val="left"/>
    </w:lvl>
    <w:lvl w:ilvl="7" w:tplc="69D69830">
      <w:numFmt w:val="decimal"/>
      <w:lvlText w:val=""/>
      <w:lvlJc w:val="left"/>
    </w:lvl>
    <w:lvl w:ilvl="8" w:tplc="0048090C">
      <w:numFmt w:val="decimal"/>
      <w:lvlText w:val=""/>
      <w:lvlJc w:val="left"/>
    </w:lvl>
  </w:abstractNum>
  <w:abstractNum w:abstractNumId="1074" w15:restartNumberingAfterBreak="0">
    <w:nsid w:val="75B02DD8"/>
    <w:multiLevelType w:val="hybridMultilevel"/>
    <w:tmpl w:val="C55007F2"/>
    <w:lvl w:ilvl="0" w:tplc="51D6F03E">
      <w:start w:val="1"/>
      <w:numFmt w:val="bullet"/>
      <w:lvlText w:val=""/>
      <w:lvlJc w:val="left"/>
      <w:pPr>
        <w:ind w:left="720" w:hanging="180"/>
      </w:pPr>
      <w:rPr>
        <w:rFonts w:ascii="Symbol" w:hAnsi="Symbol" w:hint="default"/>
      </w:rPr>
    </w:lvl>
    <w:lvl w:ilvl="1" w:tplc="157A6A5A">
      <w:numFmt w:val="decimal"/>
      <w:lvlText w:val=""/>
      <w:lvlJc w:val="left"/>
    </w:lvl>
    <w:lvl w:ilvl="2" w:tplc="5F4C4D7A">
      <w:numFmt w:val="decimal"/>
      <w:lvlText w:val=""/>
      <w:lvlJc w:val="left"/>
    </w:lvl>
    <w:lvl w:ilvl="3" w:tplc="AF225072">
      <w:numFmt w:val="decimal"/>
      <w:lvlText w:val=""/>
      <w:lvlJc w:val="left"/>
    </w:lvl>
    <w:lvl w:ilvl="4" w:tplc="7B9C9FF0">
      <w:numFmt w:val="decimal"/>
      <w:lvlText w:val=""/>
      <w:lvlJc w:val="left"/>
    </w:lvl>
    <w:lvl w:ilvl="5" w:tplc="559CBAA2">
      <w:numFmt w:val="decimal"/>
      <w:lvlText w:val=""/>
      <w:lvlJc w:val="left"/>
    </w:lvl>
    <w:lvl w:ilvl="6" w:tplc="85E64156">
      <w:numFmt w:val="decimal"/>
      <w:lvlText w:val=""/>
      <w:lvlJc w:val="left"/>
    </w:lvl>
    <w:lvl w:ilvl="7" w:tplc="D990FB82">
      <w:numFmt w:val="decimal"/>
      <w:lvlText w:val=""/>
      <w:lvlJc w:val="left"/>
    </w:lvl>
    <w:lvl w:ilvl="8" w:tplc="36F4BB8E">
      <w:numFmt w:val="decimal"/>
      <w:lvlText w:val=""/>
      <w:lvlJc w:val="left"/>
    </w:lvl>
  </w:abstractNum>
  <w:abstractNum w:abstractNumId="1075" w15:restartNumberingAfterBreak="0">
    <w:nsid w:val="75E11BD6"/>
    <w:multiLevelType w:val="hybridMultilevel"/>
    <w:tmpl w:val="1F543304"/>
    <w:lvl w:ilvl="0" w:tplc="B0F2C794">
      <w:start w:val="1"/>
      <w:numFmt w:val="bullet"/>
      <w:lvlText w:val=""/>
      <w:lvlJc w:val="left"/>
      <w:pPr>
        <w:ind w:left="720" w:hanging="180"/>
      </w:pPr>
      <w:rPr>
        <w:rFonts w:ascii="Symbol" w:hAnsi="Symbol" w:hint="default"/>
      </w:rPr>
    </w:lvl>
    <w:lvl w:ilvl="1" w:tplc="FAFC2BF8">
      <w:numFmt w:val="decimal"/>
      <w:lvlText w:val=""/>
      <w:lvlJc w:val="left"/>
    </w:lvl>
    <w:lvl w:ilvl="2" w:tplc="5190649E">
      <w:numFmt w:val="decimal"/>
      <w:lvlText w:val=""/>
      <w:lvlJc w:val="left"/>
    </w:lvl>
    <w:lvl w:ilvl="3" w:tplc="7EA4B83A">
      <w:numFmt w:val="decimal"/>
      <w:lvlText w:val=""/>
      <w:lvlJc w:val="left"/>
    </w:lvl>
    <w:lvl w:ilvl="4" w:tplc="0EC04DD6">
      <w:numFmt w:val="decimal"/>
      <w:lvlText w:val=""/>
      <w:lvlJc w:val="left"/>
    </w:lvl>
    <w:lvl w:ilvl="5" w:tplc="A2AACAB2">
      <w:numFmt w:val="decimal"/>
      <w:lvlText w:val=""/>
      <w:lvlJc w:val="left"/>
    </w:lvl>
    <w:lvl w:ilvl="6" w:tplc="C87A725A">
      <w:numFmt w:val="decimal"/>
      <w:lvlText w:val=""/>
      <w:lvlJc w:val="left"/>
    </w:lvl>
    <w:lvl w:ilvl="7" w:tplc="5DFADB6A">
      <w:numFmt w:val="decimal"/>
      <w:lvlText w:val=""/>
      <w:lvlJc w:val="left"/>
    </w:lvl>
    <w:lvl w:ilvl="8" w:tplc="226A8B2A">
      <w:numFmt w:val="decimal"/>
      <w:lvlText w:val=""/>
      <w:lvlJc w:val="left"/>
    </w:lvl>
  </w:abstractNum>
  <w:abstractNum w:abstractNumId="1076" w15:restartNumberingAfterBreak="0">
    <w:nsid w:val="7601615D"/>
    <w:multiLevelType w:val="hybridMultilevel"/>
    <w:tmpl w:val="04D48232"/>
    <w:lvl w:ilvl="0" w:tplc="33EAF792">
      <w:start w:val="1"/>
      <w:numFmt w:val="bullet"/>
      <w:lvlText w:val=""/>
      <w:lvlJc w:val="left"/>
      <w:pPr>
        <w:ind w:left="720" w:hanging="180"/>
      </w:pPr>
      <w:rPr>
        <w:rFonts w:ascii="Symbol" w:hAnsi="Symbol" w:hint="default"/>
      </w:rPr>
    </w:lvl>
    <w:lvl w:ilvl="1" w:tplc="208623BC">
      <w:numFmt w:val="decimal"/>
      <w:lvlText w:val=""/>
      <w:lvlJc w:val="left"/>
    </w:lvl>
    <w:lvl w:ilvl="2" w:tplc="566E4EBA">
      <w:numFmt w:val="decimal"/>
      <w:lvlText w:val=""/>
      <w:lvlJc w:val="left"/>
    </w:lvl>
    <w:lvl w:ilvl="3" w:tplc="C2942C50">
      <w:numFmt w:val="decimal"/>
      <w:lvlText w:val=""/>
      <w:lvlJc w:val="left"/>
    </w:lvl>
    <w:lvl w:ilvl="4" w:tplc="68CCBE08">
      <w:numFmt w:val="decimal"/>
      <w:lvlText w:val=""/>
      <w:lvlJc w:val="left"/>
    </w:lvl>
    <w:lvl w:ilvl="5" w:tplc="E51C1F06">
      <w:numFmt w:val="decimal"/>
      <w:lvlText w:val=""/>
      <w:lvlJc w:val="left"/>
    </w:lvl>
    <w:lvl w:ilvl="6" w:tplc="B44423EA">
      <w:numFmt w:val="decimal"/>
      <w:lvlText w:val=""/>
      <w:lvlJc w:val="left"/>
    </w:lvl>
    <w:lvl w:ilvl="7" w:tplc="0FDA5EBE">
      <w:numFmt w:val="decimal"/>
      <w:lvlText w:val=""/>
      <w:lvlJc w:val="left"/>
    </w:lvl>
    <w:lvl w:ilvl="8" w:tplc="F33AAD20">
      <w:numFmt w:val="decimal"/>
      <w:lvlText w:val=""/>
      <w:lvlJc w:val="left"/>
    </w:lvl>
  </w:abstractNum>
  <w:abstractNum w:abstractNumId="1077" w15:restartNumberingAfterBreak="0">
    <w:nsid w:val="760D29EF"/>
    <w:multiLevelType w:val="hybridMultilevel"/>
    <w:tmpl w:val="DA50F156"/>
    <w:lvl w:ilvl="0" w:tplc="F35235FE">
      <w:start w:val="1"/>
      <w:numFmt w:val="bullet"/>
      <w:lvlText w:val=""/>
      <w:lvlJc w:val="left"/>
      <w:pPr>
        <w:ind w:left="720" w:hanging="180"/>
      </w:pPr>
      <w:rPr>
        <w:rFonts w:ascii="Symbol" w:hAnsi="Symbol" w:hint="default"/>
      </w:rPr>
    </w:lvl>
    <w:lvl w:ilvl="1" w:tplc="A4AC0962">
      <w:numFmt w:val="decimal"/>
      <w:lvlText w:val=""/>
      <w:lvlJc w:val="left"/>
    </w:lvl>
    <w:lvl w:ilvl="2" w:tplc="70BE9E3C">
      <w:numFmt w:val="decimal"/>
      <w:lvlText w:val=""/>
      <w:lvlJc w:val="left"/>
    </w:lvl>
    <w:lvl w:ilvl="3" w:tplc="DE90D834">
      <w:numFmt w:val="decimal"/>
      <w:lvlText w:val=""/>
      <w:lvlJc w:val="left"/>
    </w:lvl>
    <w:lvl w:ilvl="4" w:tplc="EC74DDCE">
      <w:numFmt w:val="decimal"/>
      <w:lvlText w:val=""/>
      <w:lvlJc w:val="left"/>
    </w:lvl>
    <w:lvl w:ilvl="5" w:tplc="D3982232">
      <w:numFmt w:val="decimal"/>
      <w:lvlText w:val=""/>
      <w:lvlJc w:val="left"/>
    </w:lvl>
    <w:lvl w:ilvl="6" w:tplc="4B06A8B8">
      <w:numFmt w:val="decimal"/>
      <w:lvlText w:val=""/>
      <w:lvlJc w:val="left"/>
    </w:lvl>
    <w:lvl w:ilvl="7" w:tplc="3EAA7576">
      <w:numFmt w:val="decimal"/>
      <w:lvlText w:val=""/>
      <w:lvlJc w:val="left"/>
    </w:lvl>
    <w:lvl w:ilvl="8" w:tplc="9A0C2386">
      <w:numFmt w:val="decimal"/>
      <w:lvlText w:val=""/>
      <w:lvlJc w:val="left"/>
    </w:lvl>
  </w:abstractNum>
  <w:abstractNum w:abstractNumId="1078" w15:restartNumberingAfterBreak="0">
    <w:nsid w:val="76403F7B"/>
    <w:multiLevelType w:val="hybridMultilevel"/>
    <w:tmpl w:val="23D03E9A"/>
    <w:lvl w:ilvl="0" w:tplc="2B2EF3B0">
      <w:start w:val="1"/>
      <w:numFmt w:val="bullet"/>
      <w:lvlText w:val=""/>
      <w:lvlJc w:val="left"/>
      <w:pPr>
        <w:ind w:left="720" w:hanging="180"/>
      </w:pPr>
      <w:rPr>
        <w:rFonts w:ascii="Symbol" w:hAnsi="Symbol" w:hint="default"/>
      </w:rPr>
    </w:lvl>
    <w:lvl w:ilvl="1" w:tplc="42BA381A">
      <w:numFmt w:val="decimal"/>
      <w:lvlText w:val=""/>
      <w:lvlJc w:val="left"/>
    </w:lvl>
    <w:lvl w:ilvl="2" w:tplc="A54CFB50">
      <w:numFmt w:val="decimal"/>
      <w:lvlText w:val=""/>
      <w:lvlJc w:val="left"/>
    </w:lvl>
    <w:lvl w:ilvl="3" w:tplc="DA58DC40">
      <w:numFmt w:val="decimal"/>
      <w:lvlText w:val=""/>
      <w:lvlJc w:val="left"/>
    </w:lvl>
    <w:lvl w:ilvl="4" w:tplc="29FAD0B4">
      <w:numFmt w:val="decimal"/>
      <w:lvlText w:val=""/>
      <w:lvlJc w:val="left"/>
    </w:lvl>
    <w:lvl w:ilvl="5" w:tplc="1F904EE0">
      <w:numFmt w:val="decimal"/>
      <w:lvlText w:val=""/>
      <w:lvlJc w:val="left"/>
    </w:lvl>
    <w:lvl w:ilvl="6" w:tplc="533ED0F0">
      <w:numFmt w:val="decimal"/>
      <w:lvlText w:val=""/>
      <w:lvlJc w:val="left"/>
    </w:lvl>
    <w:lvl w:ilvl="7" w:tplc="1DDA873E">
      <w:numFmt w:val="decimal"/>
      <w:lvlText w:val=""/>
      <w:lvlJc w:val="left"/>
    </w:lvl>
    <w:lvl w:ilvl="8" w:tplc="EE2A5DA8">
      <w:numFmt w:val="decimal"/>
      <w:lvlText w:val=""/>
      <w:lvlJc w:val="left"/>
    </w:lvl>
  </w:abstractNum>
  <w:abstractNum w:abstractNumId="1079" w15:restartNumberingAfterBreak="0">
    <w:nsid w:val="766C6E89"/>
    <w:multiLevelType w:val="hybridMultilevel"/>
    <w:tmpl w:val="7B784C4A"/>
    <w:lvl w:ilvl="0" w:tplc="255C9E54">
      <w:start w:val="1"/>
      <w:numFmt w:val="bullet"/>
      <w:lvlText w:val=""/>
      <w:lvlJc w:val="left"/>
      <w:pPr>
        <w:ind w:left="720" w:hanging="180"/>
      </w:pPr>
      <w:rPr>
        <w:rFonts w:ascii="Symbol" w:hAnsi="Symbol" w:hint="default"/>
      </w:rPr>
    </w:lvl>
    <w:lvl w:ilvl="1" w:tplc="A30C8BC8">
      <w:numFmt w:val="decimal"/>
      <w:lvlText w:val=""/>
      <w:lvlJc w:val="left"/>
    </w:lvl>
    <w:lvl w:ilvl="2" w:tplc="012E8520">
      <w:numFmt w:val="decimal"/>
      <w:lvlText w:val=""/>
      <w:lvlJc w:val="left"/>
    </w:lvl>
    <w:lvl w:ilvl="3" w:tplc="A03C8F36">
      <w:numFmt w:val="decimal"/>
      <w:lvlText w:val=""/>
      <w:lvlJc w:val="left"/>
    </w:lvl>
    <w:lvl w:ilvl="4" w:tplc="A830C80C">
      <w:numFmt w:val="decimal"/>
      <w:lvlText w:val=""/>
      <w:lvlJc w:val="left"/>
    </w:lvl>
    <w:lvl w:ilvl="5" w:tplc="0D68CE9A">
      <w:numFmt w:val="decimal"/>
      <w:lvlText w:val=""/>
      <w:lvlJc w:val="left"/>
    </w:lvl>
    <w:lvl w:ilvl="6" w:tplc="A448F5C8">
      <w:numFmt w:val="decimal"/>
      <w:lvlText w:val=""/>
      <w:lvlJc w:val="left"/>
    </w:lvl>
    <w:lvl w:ilvl="7" w:tplc="A0B26A26">
      <w:numFmt w:val="decimal"/>
      <w:lvlText w:val=""/>
      <w:lvlJc w:val="left"/>
    </w:lvl>
    <w:lvl w:ilvl="8" w:tplc="CD90CB94">
      <w:numFmt w:val="decimal"/>
      <w:lvlText w:val=""/>
      <w:lvlJc w:val="left"/>
    </w:lvl>
  </w:abstractNum>
  <w:abstractNum w:abstractNumId="1080" w15:restartNumberingAfterBreak="0">
    <w:nsid w:val="76B55484"/>
    <w:multiLevelType w:val="hybridMultilevel"/>
    <w:tmpl w:val="2F2CF350"/>
    <w:lvl w:ilvl="0" w:tplc="ED28B954">
      <w:start w:val="1"/>
      <w:numFmt w:val="bullet"/>
      <w:lvlText w:val=""/>
      <w:lvlJc w:val="left"/>
      <w:pPr>
        <w:ind w:left="720" w:hanging="180"/>
      </w:pPr>
      <w:rPr>
        <w:rFonts w:ascii="Symbol" w:hAnsi="Symbol" w:hint="default"/>
      </w:rPr>
    </w:lvl>
    <w:lvl w:ilvl="1" w:tplc="75DE40FE">
      <w:numFmt w:val="decimal"/>
      <w:lvlText w:val=""/>
      <w:lvlJc w:val="left"/>
    </w:lvl>
    <w:lvl w:ilvl="2" w:tplc="AC56EC98">
      <w:numFmt w:val="decimal"/>
      <w:lvlText w:val=""/>
      <w:lvlJc w:val="left"/>
    </w:lvl>
    <w:lvl w:ilvl="3" w:tplc="09043D2A">
      <w:numFmt w:val="decimal"/>
      <w:lvlText w:val=""/>
      <w:lvlJc w:val="left"/>
    </w:lvl>
    <w:lvl w:ilvl="4" w:tplc="D6307E02">
      <w:numFmt w:val="decimal"/>
      <w:lvlText w:val=""/>
      <w:lvlJc w:val="left"/>
    </w:lvl>
    <w:lvl w:ilvl="5" w:tplc="7BC25B08">
      <w:numFmt w:val="decimal"/>
      <w:lvlText w:val=""/>
      <w:lvlJc w:val="left"/>
    </w:lvl>
    <w:lvl w:ilvl="6" w:tplc="CD523DCE">
      <w:numFmt w:val="decimal"/>
      <w:lvlText w:val=""/>
      <w:lvlJc w:val="left"/>
    </w:lvl>
    <w:lvl w:ilvl="7" w:tplc="5FFA66F4">
      <w:numFmt w:val="decimal"/>
      <w:lvlText w:val=""/>
      <w:lvlJc w:val="left"/>
    </w:lvl>
    <w:lvl w:ilvl="8" w:tplc="31D28D42">
      <w:numFmt w:val="decimal"/>
      <w:lvlText w:val=""/>
      <w:lvlJc w:val="left"/>
    </w:lvl>
  </w:abstractNum>
  <w:abstractNum w:abstractNumId="1081" w15:restartNumberingAfterBreak="0">
    <w:nsid w:val="76F56A50"/>
    <w:multiLevelType w:val="hybridMultilevel"/>
    <w:tmpl w:val="A9A0E9DC"/>
    <w:lvl w:ilvl="0" w:tplc="53B260EA">
      <w:start w:val="1"/>
      <w:numFmt w:val="bullet"/>
      <w:lvlText w:val=""/>
      <w:lvlJc w:val="left"/>
      <w:pPr>
        <w:ind w:left="720" w:hanging="180"/>
      </w:pPr>
      <w:rPr>
        <w:rFonts w:ascii="Symbol" w:hAnsi="Symbol" w:hint="default"/>
      </w:rPr>
    </w:lvl>
    <w:lvl w:ilvl="1" w:tplc="6166E82C">
      <w:numFmt w:val="decimal"/>
      <w:lvlText w:val=""/>
      <w:lvlJc w:val="left"/>
    </w:lvl>
    <w:lvl w:ilvl="2" w:tplc="7D64C430">
      <w:numFmt w:val="decimal"/>
      <w:lvlText w:val=""/>
      <w:lvlJc w:val="left"/>
    </w:lvl>
    <w:lvl w:ilvl="3" w:tplc="E722A472">
      <w:numFmt w:val="decimal"/>
      <w:lvlText w:val=""/>
      <w:lvlJc w:val="left"/>
    </w:lvl>
    <w:lvl w:ilvl="4" w:tplc="33EC645E">
      <w:numFmt w:val="decimal"/>
      <w:lvlText w:val=""/>
      <w:lvlJc w:val="left"/>
    </w:lvl>
    <w:lvl w:ilvl="5" w:tplc="CAD866B4">
      <w:numFmt w:val="decimal"/>
      <w:lvlText w:val=""/>
      <w:lvlJc w:val="left"/>
    </w:lvl>
    <w:lvl w:ilvl="6" w:tplc="876E25B0">
      <w:numFmt w:val="decimal"/>
      <w:lvlText w:val=""/>
      <w:lvlJc w:val="left"/>
    </w:lvl>
    <w:lvl w:ilvl="7" w:tplc="15965BAA">
      <w:numFmt w:val="decimal"/>
      <w:lvlText w:val=""/>
      <w:lvlJc w:val="left"/>
    </w:lvl>
    <w:lvl w:ilvl="8" w:tplc="11F0ABAE">
      <w:numFmt w:val="decimal"/>
      <w:lvlText w:val=""/>
      <w:lvlJc w:val="left"/>
    </w:lvl>
  </w:abstractNum>
  <w:abstractNum w:abstractNumId="1082" w15:restartNumberingAfterBreak="0">
    <w:nsid w:val="76FC72E4"/>
    <w:multiLevelType w:val="hybridMultilevel"/>
    <w:tmpl w:val="D0E0AAB2"/>
    <w:lvl w:ilvl="0" w:tplc="1C0C5E98">
      <w:start w:val="1"/>
      <w:numFmt w:val="bullet"/>
      <w:lvlText w:val=""/>
      <w:lvlJc w:val="left"/>
      <w:pPr>
        <w:ind w:left="720" w:hanging="180"/>
      </w:pPr>
      <w:rPr>
        <w:rFonts w:ascii="Symbol" w:hAnsi="Symbol" w:hint="default"/>
      </w:rPr>
    </w:lvl>
    <w:lvl w:ilvl="1" w:tplc="55D891E2">
      <w:numFmt w:val="decimal"/>
      <w:lvlText w:val=""/>
      <w:lvlJc w:val="left"/>
    </w:lvl>
    <w:lvl w:ilvl="2" w:tplc="27F09540">
      <w:numFmt w:val="decimal"/>
      <w:lvlText w:val=""/>
      <w:lvlJc w:val="left"/>
    </w:lvl>
    <w:lvl w:ilvl="3" w:tplc="639270AC">
      <w:numFmt w:val="decimal"/>
      <w:lvlText w:val=""/>
      <w:lvlJc w:val="left"/>
    </w:lvl>
    <w:lvl w:ilvl="4" w:tplc="1ADE3030">
      <w:numFmt w:val="decimal"/>
      <w:lvlText w:val=""/>
      <w:lvlJc w:val="left"/>
    </w:lvl>
    <w:lvl w:ilvl="5" w:tplc="03565D4C">
      <w:numFmt w:val="decimal"/>
      <w:lvlText w:val=""/>
      <w:lvlJc w:val="left"/>
    </w:lvl>
    <w:lvl w:ilvl="6" w:tplc="B3041DD8">
      <w:numFmt w:val="decimal"/>
      <w:lvlText w:val=""/>
      <w:lvlJc w:val="left"/>
    </w:lvl>
    <w:lvl w:ilvl="7" w:tplc="54AA5D60">
      <w:numFmt w:val="decimal"/>
      <w:lvlText w:val=""/>
      <w:lvlJc w:val="left"/>
    </w:lvl>
    <w:lvl w:ilvl="8" w:tplc="AB9C33C2">
      <w:numFmt w:val="decimal"/>
      <w:lvlText w:val=""/>
      <w:lvlJc w:val="left"/>
    </w:lvl>
  </w:abstractNum>
  <w:abstractNum w:abstractNumId="1083" w15:restartNumberingAfterBreak="0">
    <w:nsid w:val="77234859"/>
    <w:multiLevelType w:val="hybridMultilevel"/>
    <w:tmpl w:val="860E3486"/>
    <w:lvl w:ilvl="0" w:tplc="6AC45D64">
      <w:start w:val="1"/>
      <w:numFmt w:val="bullet"/>
      <w:lvlText w:val=""/>
      <w:lvlJc w:val="left"/>
      <w:pPr>
        <w:ind w:left="720" w:hanging="180"/>
      </w:pPr>
      <w:rPr>
        <w:rFonts w:ascii="Symbol" w:hAnsi="Symbol" w:hint="default"/>
      </w:rPr>
    </w:lvl>
    <w:lvl w:ilvl="1" w:tplc="3C3076D2">
      <w:numFmt w:val="decimal"/>
      <w:lvlText w:val=""/>
      <w:lvlJc w:val="left"/>
    </w:lvl>
    <w:lvl w:ilvl="2" w:tplc="DEC863A8">
      <w:numFmt w:val="decimal"/>
      <w:lvlText w:val=""/>
      <w:lvlJc w:val="left"/>
    </w:lvl>
    <w:lvl w:ilvl="3" w:tplc="8474BABC">
      <w:numFmt w:val="decimal"/>
      <w:lvlText w:val=""/>
      <w:lvlJc w:val="left"/>
    </w:lvl>
    <w:lvl w:ilvl="4" w:tplc="35A2DA80">
      <w:numFmt w:val="decimal"/>
      <w:lvlText w:val=""/>
      <w:lvlJc w:val="left"/>
    </w:lvl>
    <w:lvl w:ilvl="5" w:tplc="15EE9B62">
      <w:numFmt w:val="decimal"/>
      <w:lvlText w:val=""/>
      <w:lvlJc w:val="left"/>
    </w:lvl>
    <w:lvl w:ilvl="6" w:tplc="95683B5A">
      <w:numFmt w:val="decimal"/>
      <w:lvlText w:val=""/>
      <w:lvlJc w:val="left"/>
    </w:lvl>
    <w:lvl w:ilvl="7" w:tplc="7662EEE4">
      <w:numFmt w:val="decimal"/>
      <w:lvlText w:val=""/>
      <w:lvlJc w:val="left"/>
    </w:lvl>
    <w:lvl w:ilvl="8" w:tplc="56A8E90A">
      <w:numFmt w:val="decimal"/>
      <w:lvlText w:val=""/>
      <w:lvlJc w:val="left"/>
    </w:lvl>
  </w:abstractNum>
  <w:abstractNum w:abstractNumId="1084" w15:restartNumberingAfterBreak="0">
    <w:nsid w:val="772E69E6"/>
    <w:multiLevelType w:val="hybridMultilevel"/>
    <w:tmpl w:val="DED87EEE"/>
    <w:lvl w:ilvl="0" w:tplc="E612049E">
      <w:start w:val="1"/>
      <w:numFmt w:val="bullet"/>
      <w:lvlText w:val=""/>
      <w:lvlJc w:val="left"/>
      <w:pPr>
        <w:ind w:left="720" w:hanging="180"/>
      </w:pPr>
      <w:rPr>
        <w:rFonts w:ascii="Symbol" w:hAnsi="Symbol" w:hint="default"/>
      </w:rPr>
    </w:lvl>
    <w:lvl w:ilvl="1" w:tplc="951AA352">
      <w:numFmt w:val="decimal"/>
      <w:lvlText w:val=""/>
      <w:lvlJc w:val="left"/>
    </w:lvl>
    <w:lvl w:ilvl="2" w:tplc="1CC079C6">
      <w:numFmt w:val="decimal"/>
      <w:lvlText w:val=""/>
      <w:lvlJc w:val="left"/>
    </w:lvl>
    <w:lvl w:ilvl="3" w:tplc="2CCC08FE">
      <w:numFmt w:val="decimal"/>
      <w:lvlText w:val=""/>
      <w:lvlJc w:val="left"/>
    </w:lvl>
    <w:lvl w:ilvl="4" w:tplc="6526BCCC">
      <w:numFmt w:val="decimal"/>
      <w:lvlText w:val=""/>
      <w:lvlJc w:val="left"/>
    </w:lvl>
    <w:lvl w:ilvl="5" w:tplc="725CA4C6">
      <w:numFmt w:val="decimal"/>
      <w:lvlText w:val=""/>
      <w:lvlJc w:val="left"/>
    </w:lvl>
    <w:lvl w:ilvl="6" w:tplc="E424DD70">
      <w:numFmt w:val="decimal"/>
      <w:lvlText w:val=""/>
      <w:lvlJc w:val="left"/>
    </w:lvl>
    <w:lvl w:ilvl="7" w:tplc="D422C44E">
      <w:numFmt w:val="decimal"/>
      <w:lvlText w:val=""/>
      <w:lvlJc w:val="left"/>
    </w:lvl>
    <w:lvl w:ilvl="8" w:tplc="55ACF87A">
      <w:numFmt w:val="decimal"/>
      <w:lvlText w:val=""/>
      <w:lvlJc w:val="left"/>
    </w:lvl>
  </w:abstractNum>
  <w:abstractNum w:abstractNumId="1085" w15:restartNumberingAfterBreak="0">
    <w:nsid w:val="77387648"/>
    <w:multiLevelType w:val="hybridMultilevel"/>
    <w:tmpl w:val="D6D0AB4E"/>
    <w:lvl w:ilvl="0" w:tplc="5276E3E8">
      <w:start w:val="1"/>
      <w:numFmt w:val="bullet"/>
      <w:lvlText w:val=""/>
      <w:lvlJc w:val="left"/>
      <w:pPr>
        <w:ind w:left="720" w:hanging="180"/>
      </w:pPr>
      <w:rPr>
        <w:rFonts w:ascii="Symbol" w:hAnsi="Symbol" w:hint="default"/>
      </w:rPr>
    </w:lvl>
    <w:lvl w:ilvl="1" w:tplc="EAE6422E">
      <w:numFmt w:val="decimal"/>
      <w:lvlText w:val=""/>
      <w:lvlJc w:val="left"/>
    </w:lvl>
    <w:lvl w:ilvl="2" w:tplc="496E54C6">
      <w:numFmt w:val="decimal"/>
      <w:lvlText w:val=""/>
      <w:lvlJc w:val="left"/>
    </w:lvl>
    <w:lvl w:ilvl="3" w:tplc="A8764F6A">
      <w:numFmt w:val="decimal"/>
      <w:lvlText w:val=""/>
      <w:lvlJc w:val="left"/>
    </w:lvl>
    <w:lvl w:ilvl="4" w:tplc="F2BCB33E">
      <w:numFmt w:val="decimal"/>
      <w:lvlText w:val=""/>
      <w:lvlJc w:val="left"/>
    </w:lvl>
    <w:lvl w:ilvl="5" w:tplc="FBD259D6">
      <w:numFmt w:val="decimal"/>
      <w:lvlText w:val=""/>
      <w:lvlJc w:val="left"/>
    </w:lvl>
    <w:lvl w:ilvl="6" w:tplc="C9B83578">
      <w:numFmt w:val="decimal"/>
      <w:lvlText w:val=""/>
      <w:lvlJc w:val="left"/>
    </w:lvl>
    <w:lvl w:ilvl="7" w:tplc="CC36BB0C">
      <w:numFmt w:val="decimal"/>
      <w:lvlText w:val=""/>
      <w:lvlJc w:val="left"/>
    </w:lvl>
    <w:lvl w:ilvl="8" w:tplc="443C0F60">
      <w:numFmt w:val="decimal"/>
      <w:lvlText w:val=""/>
      <w:lvlJc w:val="left"/>
    </w:lvl>
  </w:abstractNum>
  <w:abstractNum w:abstractNumId="1086" w15:restartNumberingAfterBreak="0">
    <w:nsid w:val="77444A68"/>
    <w:multiLevelType w:val="hybridMultilevel"/>
    <w:tmpl w:val="568EE212"/>
    <w:lvl w:ilvl="0" w:tplc="7376EFD8">
      <w:start w:val="1"/>
      <w:numFmt w:val="bullet"/>
      <w:lvlText w:val=""/>
      <w:lvlJc w:val="left"/>
      <w:pPr>
        <w:ind w:left="720" w:hanging="180"/>
      </w:pPr>
      <w:rPr>
        <w:rFonts w:ascii="Symbol" w:hAnsi="Symbol" w:hint="default"/>
      </w:rPr>
    </w:lvl>
    <w:lvl w:ilvl="1" w:tplc="ECE23CE0">
      <w:numFmt w:val="decimal"/>
      <w:lvlText w:val=""/>
      <w:lvlJc w:val="left"/>
    </w:lvl>
    <w:lvl w:ilvl="2" w:tplc="C60AE74E">
      <w:numFmt w:val="decimal"/>
      <w:lvlText w:val=""/>
      <w:lvlJc w:val="left"/>
    </w:lvl>
    <w:lvl w:ilvl="3" w:tplc="1A663B08">
      <w:numFmt w:val="decimal"/>
      <w:lvlText w:val=""/>
      <w:lvlJc w:val="left"/>
    </w:lvl>
    <w:lvl w:ilvl="4" w:tplc="2EC6B6A8">
      <w:numFmt w:val="decimal"/>
      <w:lvlText w:val=""/>
      <w:lvlJc w:val="left"/>
    </w:lvl>
    <w:lvl w:ilvl="5" w:tplc="EC2294DA">
      <w:numFmt w:val="decimal"/>
      <w:lvlText w:val=""/>
      <w:lvlJc w:val="left"/>
    </w:lvl>
    <w:lvl w:ilvl="6" w:tplc="10224130">
      <w:numFmt w:val="decimal"/>
      <w:lvlText w:val=""/>
      <w:lvlJc w:val="left"/>
    </w:lvl>
    <w:lvl w:ilvl="7" w:tplc="32381F5C">
      <w:numFmt w:val="decimal"/>
      <w:lvlText w:val=""/>
      <w:lvlJc w:val="left"/>
    </w:lvl>
    <w:lvl w:ilvl="8" w:tplc="4FCCCA5A">
      <w:numFmt w:val="decimal"/>
      <w:lvlText w:val=""/>
      <w:lvlJc w:val="left"/>
    </w:lvl>
  </w:abstractNum>
  <w:abstractNum w:abstractNumId="1087" w15:restartNumberingAfterBreak="0">
    <w:nsid w:val="77734349"/>
    <w:multiLevelType w:val="hybridMultilevel"/>
    <w:tmpl w:val="03228D20"/>
    <w:lvl w:ilvl="0" w:tplc="836AFC34">
      <w:start w:val="1"/>
      <w:numFmt w:val="bullet"/>
      <w:lvlText w:val=""/>
      <w:lvlJc w:val="left"/>
      <w:pPr>
        <w:ind w:left="720" w:hanging="180"/>
      </w:pPr>
      <w:rPr>
        <w:rFonts w:ascii="Symbol" w:hAnsi="Symbol" w:hint="default"/>
      </w:rPr>
    </w:lvl>
    <w:lvl w:ilvl="1" w:tplc="DB8E7AF4">
      <w:numFmt w:val="decimal"/>
      <w:lvlText w:val=""/>
      <w:lvlJc w:val="left"/>
    </w:lvl>
    <w:lvl w:ilvl="2" w:tplc="840436C8">
      <w:numFmt w:val="decimal"/>
      <w:lvlText w:val=""/>
      <w:lvlJc w:val="left"/>
    </w:lvl>
    <w:lvl w:ilvl="3" w:tplc="1032ABD6">
      <w:numFmt w:val="decimal"/>
      <w:lvlText w:val=""/>
      <w:lvlJc w:val="left"/>
    </w:lvl>
    <w:lvl w:ilvl="4" w:tplc="C172CAF8">
      <w:numFmt w:val="decimal"/>
      <w:lvlText w:val=""/>
      <w:lvlJc w:val="left"/>
    </w:lvl>
    <w:lvl w:ilvl="5" w:tplc="113ED16C">
      <w:numFmt w:val="decimal"/>
      <w:lvlText w:val=""/>
      <w:lvlJc w:val="left"/>
    </w:lvl>
    <w:lvl w:ilvl="6" w:tplc="9A3681B8">
      <w:numFmt w:val="decimal"/>
      <w:lvlText w:val=""/>
      <w:lvlJc w:val="left"/>
    </w:lvl>
    <w:lvl w:ilvl="7" w:tplc="16CE5EEE">
      <w:numFmt w:val="decimal"/>
      <w:lvlText w:val=""/>
      <w:lvlJc w:val="left"/>
    </w:lvl>
    <w:lvl w:ilvl="8" w:tplc="272AF8EA">
      <w:numFmt w:val="decimal"/>
      <w:lvlText w:val=""/>
      <w:lvlJc w:val="left"/>
    </w:lvl>
  </w:abstractNum>
  <w:abstractNum w:abstractNumId="1088" w15:restartNumberingAfterBreak="0">
    <w:nsid w:val="77747E1E"/>
    <w:multiLevelType w:val="hybridMultilevel"/>
    <w:tmpl w:val="44CA6F46"/>
    <w:lvl w:ilvl="0" w:tplc="3FE6CF9A">
      <w:start w:val="1"/>
      <w:numFmt w:val="bullet"/>
      <w:lvlText w:val=""/>
      <w:lvlJc w:val="left"/>
      <w:pPr>
        <w:ind w:left="720" w:hanging="180"/>
      </w:pPr>
      <w:rPr>
        <w:rFonts w:ascii="Symbol" w:hAnsi="Symbol" w:hint="default"/>
      </w:rPr>
    </w:lvl>
    <w:lvl w:ilvl="1" w:tplc="D0864578">
      <w:numFmt w:val="decimal"/>
      <w:lvlText w:val=""/>
      <w:lvlJc w:val="left"/>
    </w:lvl>
    <w:lvl w:ilvl="2" w:tplc="6F06C94E">
      <w:numFmt w:val="decimal"/>
      <w:lvlText w:val=""/>
      <w:lvlJc w:val="left"/>
    </w:lvl>
    <w:lvl w:ilvl="3" w:tplc="6B30742E">
      <w:numFmt w:val="decimal"/>
      <w:lvlText w:val=""/>
      <w:lvlJc w:val="left"/>
    </w:lvl>
    <w:lvl w:ilvl="4" w:tplc="9D9AC37E">
      <w:numFmt w:val="decimal"/>
      <w:lvlText w:val=""/>
      <w:lvlJc w:val="left"/>
    </w:lvl>
    <w:lvl w:ilvl="5" w:tplc="5EA8CA28">
      <w:numFmt w:val="decimal"/>
      <w:lvlText w:val=""/>
      <w:lvlJc w:val="left"/>
    </w:lvl>
    <w:lvl w:ilvl="6" w:tplc="F54C22D2">
      <w:numFmt w:val="decimal"/>
      <w:lvlText w:val=""/>
      <w:lvlJc w:val="left"/>
    </w:lvl>
    <w:lvl w:ilvl="7" w:tplc="583A2DF0">
      <w:numFmt w:val="decimal"/>
      <w:lvlText w:val=""/>
      <w:lvlJc w:val="left"/>
    </w:lvl>
    <w:lvl w:ilvl="8" w:tplc="CAEE9F4E">
      <w:numFmt w:val="decimal"/>
      <w:lvlText w:val=""/>
      <w:lvlJc w:val="left"/>
    </w:lvl>
  </w:abstractNum>
  <w:abstractNum w:abstractNumId="1089" w15:restartNumberingAfterBreak="0">
    <w:nsid w:val="777A4CD7"/>
    <w:multiLevelType w:val="hybridMultilevel"/>
    <w:tmpl w:val="1188EC72"/>
    <w:lvl w:ilvl="0" w:tplc="5B10FD04">
      <w:start w:val="1"/>
      <w:numFmt w:val="bullet"/>
      <w:lvlText w:val=""/>
      <w:lvlJc w:val="left"/>
      <w:pPr>
        <w:ind w:left="720" w:hanging="180"/>
      </w:pPr>
      <w:rPr>
        <w:rFonts w:ascii="Symbol" w:hAnsi="Symbol" w:hint="default"/>
      </w:rPr>
    </w:lvl>
    <w:lvl w:ilvl="1" w:tplc="3CAE3472">
      <w:numFmt w:val="decimal"/>
      <w:lvlText w:val=""/>
      <w:lvlJc w:val="left"/>
    </w:lvl>
    <w:lvl w:ilvl="2" w:tplc="69684E6A">
      <w:numFmt w:val="decimal"/>
      <w:lvlText w:val=""/>
      <w:lvlJc w:val="left"/>
    </w:lvl>
    <w:lvl w:ilvl="3" w:tplc="959E4732">
      <w:numFmt w:val="decimal"/>
      <w:lvlText w:val=""/>
      <w:lvlJc w:val="left"/>
    </w:lvl>
    <w:lvl w:ilvl="4" w:tplc="ACBE8C60">
      <w:numFmt w:val="decimal"/>
      <w:lvlText w:val=""/>
      <w:lvlJc w:val="left"/>
    </w:lvl>
    <w:lvl w:ilvl="5" w:tplc="EA74E94A">
      <w:numFmt w:val="decimal"/>
      <w:lvlText w:val=""/>
      <w:lvlJc w:val="left"/>
    </w:lvl>
    <w:lvl w:ilvl="6" w:tplc="386A8FEA">
      <w:numFmt w:val="decimal"/>
      <w:lvlText w:val=""/>
      <w:lvlJc w:val="left"/>
    </w:lvl>
    <w:lvl w:ilvl="7" w:tplc="B1DE0962">
      <w:numFmt w:val="decimal"/>
      <w:lvlText w:val=""/>
      <w:lvlJc w:val="left"/>
    </w:lvl>
    <w:lvl w:ilvl="8" w:tplc="75D25C60">
      <w:numFmt w:val="decimal"/>
      <w:lvlText w:val=""/>
      <w:lvlJc w:val="left"/>
    </w:lvl>
  </w:abstractNum>
  <w:abstractNum w:abstractNumId="1090" w15:restartNumberingAfterBreak="0">
    <w:nsid w:val="77A2511B"/>
    <w:multiLevelType w:val="hybridMultilevel"/>
    <w:tmpl w:val="612C4434"/>
    <w:lvl w:ilvl="0" w:tplc="F6D6194A">
      <w:start w:val="1"/>
      <w:numFmt w:val="bullet"/>
      <w:lvlText w:val=""/>
      <w:lvlJc w:val="left"/>
      <w:pPr>
        <w:ind w:left="720" w:hanging="180"/>
      </w:pPr>
      <w:rPr>
        <w:rFonts w:ascii="Symbol" w:hAnsi="Symbol" w:hint="default"/>
      </w:rPr>
    </w:lvl>
    <w:lvl w:ilvl="1" w:tplc="8E446CB8">
      <w:numFmt w:val="decimal"/>
      <w:lvlText w:val=""/>
      <w:lvlJc w:val="left"/>
    </w:lvl>
    <w:lvl w:ilvl="2" w:tplc="5D74C9DE">
      <w:numFmt w:val="decimal"/>
      <w:lvlText w:val=""/>
      <w:lvlJc w:val="left"/>
    </w:lvl>
    <w:lvl w:ilvl="3" w:tplc="DC705428">
      <w:numFmt w:val="decimal"/>
      <w:lvlText w:val=""/>
      <w:lvlJc w:val="left"/>
    </w:lvl>
    <w:lvl w:ilvl="4" w:tplc="E19A6C26">
      <w:numFmt w:val="decimal"/>
      <w:lvlText w:val=""/>
      <w:lvlJc w:val="left"/>
    </w:lvl>
    <w:lvl w:ilvl="5" w:tplc="816C914C">
      <w:numFmt w:val="decimal"/>
      <w:lvlText w:val=""/>
      <w:lvlJc w:val="left"/>
    </w:lvl>
    <w:lvl w:ilvl="6" w:tplc="A0AA22AE">
      <w:numFmt w:val="decimal"/>
      <w:lvlText w:val=""/>
      <w:lvlJc w:val="left"/>
    </w:lvl>
    <w:lvl w:ilvl="7" w:tplc="E78EE948">
      <w:numFmt w:val="decimal"/>
      <w:lvlText w:val=""/>
      <w:lvlJc w:val="left"/>
    </w:lvl>
    <w:lvl w:ilvl="8" w:tplc="FD8C8302">
      <w:numFmt w:val="decimal"/>
      <w:lvlText w:val=""/>
      <w:lvlJc w:val="left"/>
    </w:lvl>
  </w:abstractNum>
  <w:abstractNum w:abstractNumId="1091" w15:restartNumberingAfterBreak="0">
    <w:nsid w:val="77A42C88"/>
    <w:multiLevelType w:val="hybridMultilevel"/>
    <w:tmpl w:val="54965AE2"/>
    <w:lvl w:ilvl="0" w:tplc="26586B76">
      <w:start w:val="1"/>
      <w:numFmt w:val="bullet"/>
      <w:lvlText w:val=""/>
      <w:lvlJc w:val="left"/>
      <w:pPr>
        <w:ind w:left="720" w:hanging="180"/>
      </w:pPr>
      <w:rPr>
        <w:rFonts w:ascii="Symbol" w:hAnsi="Symbol" w:hint="default"/>
      </w:rPr>
    </w:lvl>
    <w:lvl w:ilvl="1" w:tplc="FEEAE1E0">
      <w:numFmt w:val="decimal"/>
      <w:lvlText w:val=""/>
      <w:lvlJc w:val="left"/>
    </w:lvl>
    <w:lvl w:ilvl="2" w:tplc="E9D645B8">
      <w:numFmt w:val="decimal"/>
      <w:lvlText w:val=""/>
      <w:lvlJc w:val="left"/>
    </w:lvl>
    <w:lvl w:ilvl="3" w:tplc="0430EDF4">
      <w:numFmt w:val="decimal"/>
      <w:lvlText w:val=""/>
      <w:lvlJc w:val="left"/>
    </w:lvl>
    <w:lvl w:ilvl="4" w:tplc="655E4EA2">
      <w:numFmt w:val="decimal"/>
      <w:lvlText w:val=""/>
      <w:lvlJc w:val="left"/>
    </w:lvl>
    <w:lvl w:ilvl="5" w:tplc="2EDC2566">
      <w:numFmt w:val="decimal"/>
      <w:lvlText w:val=""/>
      <w:lvlJc w:val="left"/>
    </w:lvl>
    <w:lvl w:ilvl="6" w:tplc="FC4A6F6C">
      <w:numFmt w:val="decimal"/>
      <w:lvlText w:val=""/>
      <w:lvlJc w:val="left"/>
    </w:lvl>
    <w:lvl w:ilvl="7" w:tplc="0F405E6E">
      <w:numFmt w:val="decimal"/>
      <w:lvlText w:val=""/>
      <w:lvlJc w:val="left"/>
    </w:lvl>
    <w:lvl w:ilvl="8" w:tplc="370E985A">
      <w:numFmt w:val="decimal"/>
      <w:lvlText w:val=""/>
      <w:lvlJc w:val="left"/>
    </w:lvl>
  </w:abstractNum>
  <w:abstractNum w:abstractNumId="1092" w15:restartNumberingAfterBreak="0">
    <w:nsid w:val="77AD69D4"/>
    <w:multiLevelType w:val="hybridMultilevel"/>
    <w:tmpl w:val="4A087D5C"/>
    <w:lvl w:ilvl="0" w:tplc="A7003114">
      <w:start w:val="1"/>
      <w:numFmt w:val="bullet"/>
      <w:lvlText w:val=""/>
      <w:lvlJc w:val="left"/>
      <w:pPr>
        <w:ind w:left="720" w:hanging="180"/>
      </w:pPr>
      <w:rPr>
        <w:rFonts w:ascii="Symbol" w:hAnsi="Symbol" w:hint="default"/>
      </w:rPr>
    </w:lvl>
    <w:lvl w:ilvl="1" w:tplc="51520F3C">
      <w:numFmt w:val="decimal"/>
      <w:lvlText w:val=""/>
      <w:lvlJc w:val="left"/>
    </w:lvl>
    <w:lvl w:ilvl="2" w:tplc="DB2E1054">
      <w:numFmt w:val="decimal"/>
      <w:lvlText w:val=""/>
      <w:lvlJc w:val="left"/>
    </w:lvl>
    <w:lvl w:ilvl="3" w:tplc="BED470FC">
      <w:numFmt w:val="decimal"/>
      <w:lvlText w:val=""/>
      <w:lvlJc w:val="left"/>
    </w:lvl>
    <w:lvl w:ilvl="4" w:tplc="F38248D4">
      <w:numFmt w:val="decimal"/>
      <w:lvlText w:val=""/>
      <w:lvlJc w:val="left"/>
    </w:lvl>
    <w:lvl w:ilvl="5" w:tplc="6F3CB670">
      <w:numFmt w:val="decimal"/>
      <w:lvlText w:val=""/>
      <w:lvlJc w:val="left"/>
    </w:lvl>
    <w:lvl w:ilvl="6" w:tplc="9CFAB2E2">
      <w:numFmt w:val="decimal"/>
      <w:lvlText w:val=""/>
      <w:lvlJc w:val="left"/>
    </w:lvl>
    <w:lvl w:ilvl="7" w:tplc="F482C308">
      <w:numFmt w:val="decimal"/>
      <w:lvlText w:val=""/>
      <w:lvlJc w:val="left"/>
    </w:lvl>
    <w:lvl w:ilvl="8" w:tplc="C660C38A">
      <w:numFmt w:val="decimal"/>
      <w:lvlText w:val=""/>
      <w:lvlJc w:val="left"/>
    </w:lvl>
  </w:abstractNum>
  <w:abstractNum w:abstractNumId="1093" w15:restartNumberingAfterBreak="0">
    <w:nsid w:val="77B65494"/>
    <w:multiLevelType w:val="hybridMultilevel"/>
    <w:tmpl w:val="0B5401DE"/>
    <w:lvl w:ilvl="0" w:tplc="E996DDC4">
      <w:start w:val="1"/>
      <w:numFmt w:val="bullet"/>
      <w:lvlText w:val=""/>
      <w:lvlJc w:val="left"/>
      <w:pPr>
        <w:ind w:left="720" w:hanging="180"/>
      </w:pPr>
      <w:rPr>
        <w:rFonts w:ascii="Symbol" w:hAnsi="Symbol" w:hint="default"/>
      </w:rPr>
    </w:lvl>
    <w:lvl w:ilvl="1" w:tplc="32DEBA66">
      <w:numFmt w:val="decimal"/>
      <w:lvlText w:val=""/>
      <w:lvlJc w:val="left"/>
    </w:lvl>
    <w:lvl w:ilvl="2" w:tplc="809A335C">
      <w:numFmt w:val="decimal"/>
      <w:lvlText w:val=""/>
      <w:lvlJc w:val="left"/>
    </w:lvl>
    <w:lvl w:ilvl="3" w:tplc="B060D608">
      <w:numFmt w:val="decimal"/>
      <w:lvlText w:val=""/>
      <w:lvlJc w:val="left"/>
    </w:lvl>
    <w:lvl w:ilvl="4" w:tplc="7B34E7C2">
      <w:numFmt w:val="decimal"/>
      <w:lvlText w:val=""/>
      <w:lvlJc w:val="left"/>
    </w:lvl>
    <w:lvl w:ilvl="5" w:tplc="A176ADA2">
      <w:numFmt w:val="decimal"/>
      <w:lvlText w:val=""/>
      <w:lvlJc w:val="left"/>
    </w:lvl>
    <w:lvl w:ilvl="6" w:tplc="C248E684">
      <w:numFmt w:val="decimal"/>
      <w:lvlText w:val=""/>
      <w:lvlJc w:val="left"/>
    </w:lvl>
    <w:lvl w:ilvl="7" w:tplc="0ABE95D8">
      <w:numFmt w:val="decimal"/>
      <w:lvlText w:val=""/>
      <w:lvlJc w:val="left"/>
    </w:lvl>
    <w:lvl w:ilvl="8" w:tplc="11C6437E">
      <w:numFmt w:val="decimal"/>
      <w:lvlText w:val=""/>
      <w:lvlJc w:val="left"/>
    </w:lvl>
  </w:abstractNum>
  <w:abstractNum w:abstractNumId="1094" w15:restartNumberingAfterBreak="0">
    <w:nsid w:val="77B80D25"/>
    <w:multiLevelType w:val="hybridMultilevel"/>
    <w:tmpl w:val="D70810D4"/>
    <w:lvl w:ilvl="0" w:tplc="E48A0CB2">
      <w:start w:val="1"/>
      <w:numFmt w:val="bullet"/>
      <w:lvlText w:val=""/>
      <w:lvlJc w:val="left"/>
      <w:pPr>
        <w:ind w:left="720" w:hanging="180"/>
      </w:pPr>
      <w:rPr>
        <w:rFonts w:ascii="Symbol" w:hAnsi="Symbol" w:hint="default"/>
      </w:rPr>
    </w:lvl>
    <w:lvl w:ilvl="1" w:tplc="57A013A2">
      <w:numFmt w:val="decimal"/>
      <w:lvlText w:val=""/>
      <w:lvlJc w:val="left"/>
    </w:lvl>
    <w:lvl w:ilvl="2" w:tplc="801AC80A">
      <w:numFmt w:val="decimal"/>
      <w:lvlText w:val=""/>
      <w:lvlJc w:val="left"/>
    </w:lvl>
    <w:lvl w:ilvl="3" w:tplc="B22E14F8">
      <w:numFmt w:val="decimal"/>
      <w:lvlText w:val=""/>
      <w:lvlJc w:val="left"/>
    </w:lvl>
    <w:lvl w:ilvl="4" w:tplc="CC906284">
      <w:numFmt w:val="decimal"/>
      <w:lvlText w:val=""/>
      <w:lvlJc w:val="left"/>
    </w:lvl>
    <w:lvl w:ilvl="5" w:tplc="FFDE7B1A">
      <w:numFmt w:val="decimal"/>
      <w:lvlText w:val=""/>
      <w:lvlJc w:val="left"/>
    </w:lvl>
    <w:lvl w:ilvl="6" w:tplc="1646BA7E">
      <w:numFmt w:val="decimal"/>
      <w:lvlText w:val=""/>
      <w:lvlJc w:val="left"/>
    </w:lvl>
    <w:lvl w:ilvl="7" w:tplc="1092F752">
      <w:numFmt w:val="decimal"/>
      <w:lvlText w:val=""/>
      <w:lvlJc w:val="left"/>
    </w:lvl>
    <w:lvl w:ilvl="8" w:tplc="C43CD05E">
      <w:numFmt w:val="decimal"/>
      <w:lvlText w:val=""/>
      <w:lvlJc w:val="left"/>
    </w:lvl>
  </w:abstractNum>
  <w:abstractNum w:abstractNumId="1095" w15:restartNumberingAfterBreak="0">
    <w:nsid w:val="77C217BA"/>
    <w:multiLevelType w:val="hybridMultilevel"/>
    <w:tmpl w:val="FC2E20DC"/>
    <w:lvl w:ilvl="0" w:tplc="1F067F4E">
      <w:numFmt w:val="decimal"/>
      <w:lvlText w:val=""/>
      <w:lvlJc w:val="left"/>
    </w:lvl>
    <w:lvl w:ilvl="1" w:tplc="44BC66E0">
      <w:start w:val="1"/>
      <w:numFmt w:val="bullet"/>
      <w:lvlText w:val=""/>
      <w:lvlJc w:val="left"/>
      <w:pPr>
        <w:ind w:left="1440" w:hanging="180"/>
      </w:pPr>
      <w:rPr>
        <w:rFonts w:ascii="Symbol" w:hAnsi="Symbol" w:hint="default"/>
      </w:rPr>
    </w:lvl>
    <w:lvl w:ilvl="2" w:tplc="3538F6C6">
      <w:numFmt w:val="decimal"/>
      <w:lvlText w:val=""/>
      <w:lvlJc w:val="left"/>
    </w:lvl>
    <w:lvl w:ilvl="3" w:tplc="AD62F7F2">
      <w:numFmt w:val="decimal"/>
      <w:lvlText w:val=""/>
      <w:lvlJc w:val="left"/>
    </w:lvl>
    <w:lvl w:ilvl="4" w:tplc="C08E7F5E">
      <w:numFmt w:val="decimal"/>
      <w:lvlText w:val=""/>
      <w:lvlJc w:val="left"/>
    </w:lvl>
    <w:lvl w:ilvl="5" w:tplc="96385552">
      <w:numFmt w:val="decimal"/>
      <w:lvlText w:val=""/>
      <w:lvlJc w:val="left"/>
    </w:lvl>
    <w:lvl w:ilvl="6" w:tplc="B590D852">
      <w:numFmt w:val="decimal"/>
      <w:lvlText w:val=""/>
      <w:lvlJc w:val="left"/>
    </w:lvl>
    <w:lvl w:ilvl="7" w:tplc="64DEF24C">
      <w:numFmt w:val="decimal"/>
      <w:lvlText w:val=""/>
      <w:lvlJc w:val="left"/>
    </w:lvl>
    <w:lvl w:ilvl="8" w:tplc="F91652AC">
      <w:numFmt w:val="decimal"/>
      <w:lvlText w:val=""/>
      <w:lvlJc w:val="left"/>
    </w:lvl>
  </w:abstractNum>
  <w:abstractNum w:abstractNumId="1096" w15:restartNumberingAfterBreak="0">
    <w:nsid w:val="77C933EE"/>
    <w:multiLevelType w:val="hybridMultilevel"/>
    <w:tmpl w:val="DE060CAA"/>
    <w:lvl w:ilvl="0" w:tplc="2E4C8A30">
      <w:start w:val="1"/>
      <w:numFmt w:val="bullet"/>
      <w:lvlText w:val=""/>
      <w:lvlJc w:val="left"/>
      <w:pPr>
        <w:ind w:left="720" w:hanging="180"/>
      </w:pPr>
      <w:rPr>
        <w:rFonts w:ascii="Symbol" w:hAnsi="Symbol" w:hint="default"/>
      </w:rPr>
    </w:lvl>
    <w:lvl w:ilvl="1" w:tplc="DEB09BBA">
      <w:numFmt w:val="decimal"/>
      <w:lvlText w:val=""/>
      <w:lvlJc w:val="left"/>
    </w:lvl>
    <w:lvl w:ilvl="2" w:tplc="DE70054C">
      <w:numFmt w:val="decimal"/>
      <w:lvlText w:val=""/>
      <w:lvlJc w:val="left"/>
    </w:lvl>
    <w:lvl w:ilvl="3" w:tplc="971CB7D6">
      <w:numFmt w:val="decimal"/>
      <w:lvlText w:val=""/>
      <w:lvlJc w:val="left"/>
    </w:lvl>
    <w:lvl w:ilvl="4" w:tplc="1BC82258">
      <w:numFmt w:val="decimal"/>
      <w:lvlText w:val=""/>
      <w:lvlJc w:val="left"/>
    </w:lvl>
    <w:lvl w:ilvl="5" w:tplc="E15E7E72">
      <w:numFmt w:val="decimal"/>
      <w:lvlText w:val=""/>
      <w:lvlJc w:val="left"/>
    </w:lvl>
    <w:lvl w:ilvl="6" w:tplc="5748CC32">
      <w:numFmt w:val="decimal"/>
      <w:lvlText w:val=""/>
      <w:lvlJc w:val="left"/>
    </w:lvl>
    <w:lvl w:ilvl="7" w:tplc="267A6C2A">
      <w:numFmt w:val="decimal"/>
      <w:lvlText w:val=""/>
      <w:lvlJc w:val="left"/>
    </w:lvl>
    <w:lvl w:ilvl="8" w:tplc="0D2EE4F0">
      <w:numFmt w:val="decimal"/>
      <w:lvlText w:val=""/>
      <w:lvlJc w:val="left"/>
    </w:lvl>
  </w:abstractNum>
  <w:abstractNum w:abstractNumId="1097" w15:restartNumberingAfterBreak="0">
    <w:nsid w:val="77E84F3B"/>
    <w:multiLevelType w:val="hybridMultilevel"/>
    <w:tmpl w:val="8B2825FC"/>
    <w:lvl w:ilvl="0" w:tplc="91FE5026">
      <w:start w:val="1"/>
      <w:numFmt w:val="bullet"/>
      <w:lvlText w:val=""/>
      <w:lvlJc w:val="left"/>
      <w:pPr>
        <w:ind w:left="720" w:hanging="180"/>
      </w:pPr>
      <w:rPr>
        <w:rFonts w:ascii="Symbol" w:hAnsi="Symbol" w:hint="default"/>
      </w:rPr>
    </w:lvl>
    <w:lvl w:ilvl="1" w:tplc="17A0A488">
      <w:numFmt w:val="decimal"/>
      <w:lvlText w:val=""/>
      <w:lvlJc w:val="left"/>
    </w:lvl>
    <w:lvl w:ilvl="2" w:tplc="8B98E226">
      <w:numFmt w:val="decimal"/>
      <w:lvlText w:val=""/>
      <w:lvlJc w:val="left"/>
    </w:lvl>
    <w:lvl w:ilvl="3" w:tplc="8C6EDAAC">
      <w:numFmt w:val="decimal"/>
      <w:lvlText w:val=""/>
      <w:lvlJc w:val="left"/>
    </w:lvl>
    <w:lvl w:ilvl="4" w:tplc="A2F084BE">
      <w:numFmt w:val="decimal"/>
      <w:lvlText w:val=""/>
      <w:lvlJc w:val="left"/>
    </w:lvl>
    <w:lvl w:ilvl="5" w:tplc="E9807C6E">
      <w:numFmt w:val="decimal"/>
      <w:lvlText w:val=""/>
      <w:lvlJc w:val="left"/>
    </w:lvl>
    <w:lvl w:ilvl="6" w:tplc="289C5B28">
      <w:numFmt w:val="decimal"/>
      <w:lvlText w:val=""/>
      <w:lvlJc w:val="left"/>
    </w:lvl>
    <w:lvl w:ilvl="7" w:tplc="872AEC50">
      <w:numFmt w:val="decimal"/>
      <w:lvlText w:val=""/>
      <w:lvlJc w:val="left"/>
    </w:lvl>
    <w:lvl w:ilvl="8" w:tplc="5E7635E8">
      <w:numFmt w:val="decimal"/>
      <w:lvlText w:val=""/>
      <w:lvlJc w:val="left"/>
    </w:lvl>
  </w:abstractNum>
  <w:abstractNum w:abstractNumId="1098" w15:restartNumberingAfterBreak="0">
    <w:nsid w:val="77F003B5"/>
    <w:multiLevelType w:val="hybridMultilevel"/>
    <w:tmpl w:val="EF3EC748"/>
    <w:lvl w:ilvl="0" w:tplc="C9DCB9B6">
      <w:start w:val="1"/>
      <w:numFmt w:val="bullet"/>
      <w:lvlText w:val=""/>
      <w:lvlJc w:val="left"/>
      <w:pPr>
        <w:ind w:left="720" w:hanging="180"/>
      </w:pPr>
      <w:rPr>
        <w:rFonts w:ascii="Symbol" w:hAnsi="Symbol" w:hint="default"/>
      </w:rPr>
    </w:lvl>
    <w:lvl w:ilvl="1" w:tplc="172AF23C">
      <w:numFmt w:val="decimal"/>
      <w:lvlText w:val=""/>
      <w:lvlJc w:val="left"/>
    </w:lvl>
    <w:lvl w:ilvl="2" w:tplc="AC6A074C">
      <w:numFmt w:val="decimal"/>
      <w:lvlText w:val=""/>
      <w:lvlJc w:val="left"/>
    </w:lvl>
    <w:lvl w:ilvl="3" w:tplc="45704A80">
      <w:numFmt w:val="decimal"/>
      <w:lvlText w:val=""/>
      <w:lvlJc w:val="left"/>
    </w:lvl>
    <w:lvl w:ilvl="4" w:tplc="A466580C">
      <w:numFmt w:val="decimal"/>
      <w:lvlText w:val=""/>
      <w:lvlJc w:val="left"/>
    </w:lvl>
    <w:lvl w:ilvl="5" w:tplc="2B6E8592">
      <w:numFmt w:val="decimal"/>
      <w:lvlText w:val=""/>
      <w:lvlJc w:val="left"/>
    </w:lvl>
    <w:lvl w:ilvl="6" w:tplc="DC960288">
      <w:numFmt w:val="decimal"/>
      <w:lvlText w:val=""/>
      <w:lvlJc w:val="left"/>
    </w:lvl>
    <w:lvl w:ilvl="7" w:tplc="89DAF782">
      <w:numFmt w:val="decimal"/>
      <w:lvlText w:val=""/>
      <w:lvlJc w:val="left"/>
    </w:lvl>
    <w:lvl w:ilvl="8" w:tplc="FEACA3F4">
      <w:numFmt w:val="decimal"/>
      <w:lvlText w:val=""/>
      <w:lvlJc w:val="left"/>
    </w:lvl>
  </w:abstractNum>
  <w:abstractNum w:abstractNumId="1099" w15:restartNumberingAfterBreak="0">
    <w:nsid w:val="784A107E"/>
    <w:multiLevelType w:val="hybridMultilevel"/>
    <w:tmpl w:val="C890E7C0"/>
    <w:lvl w:ilvl="0" w:tplc="766A32CE">
      <w:start w:val="1"/>
      <w:numFmt w:val="bullet"/>
      <w:lvlText w:val=""/>
      <w:lvlJc w:val="left"/>
      <w:pPr>
        <w:ind w:left="720" w:hanging="180"/>
      </w:pPr>
      <w:rPr>
        <w:rFonts w:ascii="Symbol" w:hAnsi="Symbol" w:hint="default"/>
      </w:rPr>
    </w:lvl>
    <w:lvl w:ilvl="1" w:tplc="6E6ECE74">
      <w:numFmt w:val="decimal"/>
      <w:lvlText w:val=""/>
      <w:lvlJc w:val="left"/>
    </w:lvl>
    <w:lvl w:ilvl="2" w:tplc="F8382310">
      <w:numFmt w:val="decimal"/>
      <w:lvlText w:val=""/>
      <w:lvlJc w:val="left"/>
    </w:lvl>
    <w:lvl w:ilvl="3" w:tplc="71B0EBCA">
      <w:numFmt w:val="decimal"/>
      <w:lvlText w:val=""/>
      <w:lvlJc w:val="left"/>
    </w:lvl>
    <w:lvl w:ilvl="4" w:tplc="298E9B82">
      <w:numFmt w:val="decimal"/>
      <w:lvlText w:val=""/>
      <w:lvlJc w:val="left"/>
    </w:lvl>
    <w:lvl w:ilvl="5" w:tplc="4FD4E0C8">
      <w:numFmt w:val="decimal"/>
      <w:lvlText w:val=""/>
      <w:lvlJc w:val="left"/>
    </w:lvl>
    <w:lvl w:ilvl="6" w:tplc="F7D44960">
      <w:numFmt w:val="decimal"/>
      <w:lvlText w:val=""/>
      <w:lvlJc w:val="left"/>
    </w:lvl>
    <w:lvl w:ilvl="7" w:tplc="589A6910">
      <w:numFmt w:val="decimal"/>
      <w:lvlText w:val=""/>
      <w:lvlJc w:val="left"/>
    </w:lvl>
    <w:lvl w:ilvl="8" w:tplc="0360B958">
      <w:numFmt w:val="decimal"/>
      <w:lvlText w:val=""/>
      <w:lvlJc w:val="left"/>
    </w:lvl>
  </w:abstractNum>
  <w:abstractNum w:abstractNumId="1100" w15:restartNumberingAfterBreak="0">
    <w:nsid w:val="787D176B"/>
    <w:multiLevelType w:val="hybridMultilevel"/>
    <w:tmpl w:val="2EAE5214"/>
    <w:lvl w:ilvl="0" w:tplc="503EC82C">
      <w:start w:val="1"/>
      <w:numFmt w:val="bullet"/>
      <w:lvlText w:val=""/>
      <w:lvlJc w:val="left"/>
      <w:pPr>
        <w:ind w:left="720" w:hanging="180"/>
      </w:pPr>
      <w:rPr>
        <w:rFonts w:ascii="Symbol" w:hAnsi="Symbol" w:hint="default"/>
      </w:rPr>
    </w:lvl>
    <w:lvl w:ilvl="1" w:tplc="CB3692AC">
      <w:numFmt w:val="decimal"/>
      <w:lvlText w:val=""/>
      <w:lvlJc w:val="left"/>
    </w:lvl>
    <w:lvl w:ilvl="2" w:tplc="5F26D0EC">
      <w:numFmt w:val="decimal"/>
      <w:lvlText w:val=""/>
      <w:lvlJc w:val="left"/>
    </w:lvl>
    <w:lvl w:ilvl="3" w:tplc="7EBEB9DC">
      <w:numFmt w:val="decimal"/>
      <w:lvlText w:val=""/>
      <w:lvlJc w:val="left"/>
    </w:lvl>
    <w:lvl w:ilvl="4" w:tplc="A6EC2728">
      <w:numFmt w:val="decimal"/>
      <w:lvlText w:val=""/>
      <w:lvlJc w:val="left"/>
    </w:lvl>
    <w:lvl w:ilvl="5" w:tplc="93A6F52C">
      <w:numFmt w:val="decimal"/>
      <w:lvlText w:val=""/>
      <w:lvlJc w:val="left"/>
    </w:lvl>
    <w:lvl w:ilvl="6" w:tplc="2E5A95CA">
      <w:numFmt w:val="decimal"/>
      <w:lvlText w:val=""/>
      <w:lvlJc w:val="left"/>
    </w:lvl>
    <w:lvl w:ilvl="7" w:tplc="147ACE6C">
      <w:numFmt w:val="decimal"/>
      <w:lvlText w:val=""/>
      <w:lvlJc w:val="left"/>
    </w:lvl>
    <w:lvl w:ilvl="8" w:tplc="BA5AC196">
      <w:numFmt w:val="decimal"/>
      <w:lvlText w:val=""/>
      <w:lvlJc w:val="left"/>
    </w:lvl>
  </w:abstractNum>
  <w:abstractNum w:abstractNumId="1101" w15:restartNumberingAfterBreak="0">
    <w:nsid w:val="7895381A"/>
    <w:multiLevelType w:val="hybridMultilevel"/>
    <w:tmpl w:val="DC9E13E8"/>
    <w:lvl w:ilvl="0" w:tplc="10A62864">
      <w:start w:val="1"/>
      <w:numFmt w:val="bullet"/>
      <w:lvlText w:val=""/>
      <w:lvlJc w:val="left"/>
      <w:pPr>
        <w:ind w:left="720" w:hanging="180"/>
      </w:pPr>
      <w:rPr>
        <w:rFonts w:ascii="Symbol" w:hAnsi="Symbol" w:hint="default"/>
      </w:rPr>
    </w:lvl>
    <w:lvl w:ilvl="1" w:tplc="FC280D90">
      <w:numFmt w:val="decimal"/>
      <w:lvlText w:val=""/>
      <w:lvlJc w:val="left"/>
    </w:lvl>
    <w:lvl w:ilvl="2" w:tplc="C35C56E6">
      <w:numFmt w:val="decimal"/>
      <w:lvlText w:val=""/>
      <w:lvlJc w:val="left"/>
    </w:lvl>
    <w:lvl w:ilvl="3" w:tplc="34CA88BA">
      <w:numFmt w:val="decimal"/>
      <w:lvlText w:val=""/>
      <w:lvlJc w:val="left"/>
    </w:lvl>
    <w:lvl w:ilvl="4" w:tplc="C22A681E">
      <w:numFmt w:val="decimal"/>
      <w:lvlText w:val=""/>
      <w:lvlJc w:val="left"/>
    </w:lvl>
    <w:lvl w:ilvl="5" w:tplc="E5BCF732">
      <w:numFmt w:val="decimal"/>
      <w:lvlText w:val=""/>
      <w:lvlJc w:val="left"/>
    </w:lvl>
    <w:lvl w:ilvl="6" w:tplc="DC8C9CB6">
      <w:numFmt w:val="decimal"/>
      <w:lvlText w:val=""/>
      <w:lvlJc w:val="left"/>
    </w:lvl>
    <w:lvl w:ilvl="7" w:tplc="7638E28A">
      <w:numFmt w:val="decimal"/>
      <w:lvlText w:val=""/>
      <w:lvlJc w:val="left"/>
    </w:lvl>
    <w:lvl w:ilvl="8" w:tplc="68C85C60">
      <w:numFmt w:val="decimal"/>
      <w:lvlText w:val=""/>
      <w:lvlJc w:val="left"/>
    </w:lvl>
  </w:abstractNum>
  <w:abstractNum w:abstractNumId="1102" w15:restartNumberingAfterBreak="0">
    <w:nsid w:val="78982922"/>
    <w:multiLevelType w:val="hybridMultilevel"/>
    <w:tmpl w:val="870A0658"/>
    <w:lvl w:ilvl="0" w:tplc="E19823DA">
      <w:start w:val="1"/>
      <w:numFmt w:val="bullet"/>
      <w:lvlText w:val=""/>
      <w:lvlJc w:val="left"/>
      <w:pPr>
        <w:ind w:left="720" w:hanging="180"/>
      </w:pPr>
      <w:rPr>
        <w:rFonts w:ascii="Symbol" w:hAnsi="Symbol" w:hint="default"/>
      </w:rPr>
    </w:lvl>
    <w:lvl w:ilvl="1" w:tplc="B9D81C50">
      <w:numFmt w:val="decimal"/>
      <w:lvlText w:val=""/>
      <w:lvlJc w:val="left"/>
    </w:lvl>
    <w:lvl w:ilvl="2" w:tplc="9EA6DF9E">
      <w:numFmt w:val="decimal"/>
      <w:lvlText w:val=""/>
      <w:lvlJc w:val="left"/>
    </w:lvl>
    <w:lvl w:ilvl="3" w:tplc="4206641A">
      <w:numFmt w:val="decimal"/>
      <w:lvlText w:val=""/>
      <w:lvlJc w:val="left"/>
    </w:lvl>
    <w:lvl w:ilvl="4" w:tplc="AF04B2C6">
      <w:numFmt w:val="decimal"/>
      <w:lvlText w:val=""/>
      <w:lvlJc w:val="left"/>
    </w:lvl>
    <w:lvl w:ilvl="5" w:tplc="D4B269D0">
      <w:numFmt w:val="decimal"/>
      <w:lvlText w:val=""/>
      <w:lvlJc w:val="left"/>
    </w:lvl>
    <w:lvl w:ilvl="6" w:tplc="D7C89212">
      <w:numFmt w:val="decimal"/>
      <w:lvlText w:val=""/>
      <w:lvlJc w:val="left"/>
    </w:lvl>
    <w:lvl w:ilvl="7" w:tplc="20CEDC36">
      <w:numFmt w:val="decimal"/>
      <w:lvlText w:val=""/>
      <w:lvlJc w:val="left"/>
    </w:lvl>
    <w:lvl w:ilvl="8" w:tplc="8C089626">
      <w:numFmt w:val="decimal"/>
      <w:lvlText w:val=""/>
      <w:lvlJc w:val="left"/>
    </w:lvl>
  </w:abstractNum>
  <w:abstractNum w:abstractNumId="1103" w15:restartNumberingAfterBreak="0">
    <w:nsid w:val="78B339E6"/>
    <w:multiLevelType w:val="hybridMultilevel"/>
    <w:tmpl w:val="DF4AD6D4"/>
    <w:lvl w:ilvl="0" w:tplc="35F8B46C">
      <w:start w:val="1"/>
      <w:numFmt w:val="bullet"/>
      <w:lvlText w:val=""/>
      <w:lvlJc w:val="left"/>
      <w:pPr>
        <w:ind w:left="720" w:hanging="180"/>
      </w:pPr>
      <w:rPr>
        <w:rFonts w:ascii="Symbol" w:hAnsi="Symbol" w:hint="default"/>
      </w:rPr>
    </w:lvl>
    <w:lvl w:ilvl="1" w:tplc="19D8D9B0">
      <w:numFmt w:val="decimal"/>
      <w:lvlText w:val=""/>
      <w:lvlJc w:val="left"/>
    </w:lvl>
    <w:lvl w:ilvl="2" w:tplc="CCBE2BC4">
      <w:numFmt w:val="decimal"/>
      <w:lvlText w:val=""/>
      <w:lvlJc w:val="left"/>
    </w:lvl>
    <w:lvl w:ilvl="3" w:tplc="82465104">
      <w:numFmt w:val="decimal"/>
      <w:lvlText w:val=""/>
      <w:lvlJc w:val="left"/>
    </w:lvl>
    <w:lvl w:ilvl="4" w:tplc="68060F4A">
      <w:numFmt w:val="decimal"/>
      <w:lvlText w:val=""/>
      <w:lvlJc w:val="left"/>
    </w:lvl>
    <w:lvl w:ilvl="5" w:tplc="ECA8927C">
      <w:numFmt w:val="decimal"/>
      <w:lvlText w:val=""/>
      <w:lvlJc w:val="left"/>
    </w:lvl>
    <w:lvl w:ilvl="6" w:tplc="1A523D8C">
      <w:numFmt w:val="decimal"/>
      <w:lvlText w:val=""/>
      <w:lvlJc w:val="left"/>
    </w:lvl>
    <w:lvl w:ilvl="7" w:tplc="8F88E9F0">
      <w:numFmt w:val="decimal"/>
      <w:lvlText w:val=""/>
      <w:lvlJc w:val="left"/>
    </w:lvl>
    <w:lvl w:ilvl="8" w:tplc="5D9ED848">
      <w:numFmt w:val="decimal"/>
      <w:lvlText w:val=""/>
      <w:lvlJc w:val="left"/>
    </w:lvl>
  </w:abstractNum>
  <w:abstractNum w:abstractNumId="1104" w15:restartNumberingAfterBreak="0">
    <w:nsid w:val="78E11951"/>
    <w:multiLevelType w:val="hybridMultilevel"/>
    <w:tmpl w:val="D3FE3B9A"/>
    <w:lvl w:ilvl="0" w:tplc="F1D07A42">
      <w:start w:val="1"/>
      <w:numFmt w:val="bullet"/>
      <w:lvlText w:val=""/>
      <w:lvlJc w:val="left"/>
      <w:pPr>
        <w:ind w:left="720" w:hanging="180"/>
      </w:pPr>
      <w:rPr>
        <w:rFonts w:ascii="Symbol" w:hAnsi="Symbol" w:hint="default"/>
      </w:rPr>
    </w:lvl>
    <w:lvl w:ilvl="1" w:tplc="D6C04072">
      <w:numFmt w:val="decimal"/>
      <w:lvlText w:val=""/>
      <w:lvlJc w:val="left"/>
    </w:lvl>
    <w:lvl w:ilvl="2" w:tplc="A5FC2004">
      <w:numFmt w:val="decimal"/>
      <w:lvlText w:val=""/>
      <w:lvlJc w:val="left"/>
    </w:lvl>
    <w:lvl w:ilvl="3" w:tplc="A8565602">
      <w:numFmt w:val="decimal"/>
      <w:lvlText w:val=""/>
      <w:lvlJc w:val="left"/>
    </w:lvl>
    <w:lvl w:ilvl="4" w:tplc="F23CB2DE">
      <w:numFmt w:val="decimal"/>
      <w:lvlText w:val=""/>
      <w:lvlJc w:val="left"/>
    </w:lvl>
    <w:lvl w:ilvl="5" w:tplc="9CFCDF90">
      <w:numFmt w:val="decimal"/>
      <w:lvlText w:val=""/>
      <w:lvlJc w:val="left"/>
    </w:lvl>
    <w:lvl w:ilvl="6" w:tplc="2CB441D0">
      <w:numFmt w:val="decimal"/>
      <w:lvlText w:val=""/>
      <w:lvlJc w:val="left"/>
    </w:lvl>
    <w:lvl w:ilvl="7" w:tplc="43687AEE">
      <w:numFmt w:val="decimal"/>
      <w:lvlText w:val=""/>
      <w:lvlJc w:val="left"/>
    </w:lvl>
    <w:lvl w:ilvl="8" w:tplc="A3AA3B58">
      <w:numFmt w:val="decimal"/>
      <w:lvlText w:val=""/>
      <w:lvlJc w:val="left"/>
    </w:lvl>
  </w:abstractNum>
  <w:abstractNum w:abstractNumId="1105" w15:restartNumberingAfterBreak="0">
    <w:nsid w:val="78FC3A99"/>
    <w:multiLevelType w:val="hybridMultilevel"/>
    <w:tmpl w:val="6C405F9C"/>
    <w:lvl w:ilvl="0" w:tplc="6F7E988A">
      <w:start w:val="1"/>
      <w:numFmt w:val="bullet"/>
      <w:lvlText w:val=""/>
      <w:lvlJc w:val="left"/>
      <w:pPr>
        <w:ind w:left="720" w:hanging="180"/>
      </w:pPr>
      <w:rPr>
        <w:rFonts w:ascii="Symbol" w:hAnsi="Symbol" w:hint="default"/>
      </w:rPr>
    </w:lvl>
    <w:lvl w:ilvl="1" w:tplc="5314C0F8">
      <w:numFmt w:val="decimal"/>
      <w:lvlText w:val=""/>
      <w:lvlJc w:val="left"/>
    </w:lvl>
    <w:lvl w:ilvl="2" w:tplc="88BAB6CC">
      <w:numFmt w:val="decimal"/>
      <w:lvlText w:val=""/>
      <w:lvlJc w:val="left"/>
    </w:lvl>
    <w:lvl w:ilvl="3" w:tplc="208C067E">
      <w:numFmt w:val="decimal"/>
      <w:lvlText w:val=""/>
      <w:lvlJc w:val="left"/>
    </w:lvl>
    <w:lvl w:ilvl="4" w:tplc="64AEEBF0">
      <w:numFmt w:val="decimal"/>
      <w:lvlText w:val=""/>
      <w:lvlJc w:val="left"/>
    </w:lvl>
    <w:lvl w:ilvl="5" w:tplc="D896710C">
      <w:numFmt w:val="decimal"/>
      <w:lvlText w:val=""/>
      <w:lvlJc w:val="left"/>
    </w:lvl>
    <w:lvl w:ilvl="6" w:tplc="5F1C3372">
      <w:numFmt w:val="decimal"/>
      <w:lvlText w:val=""/>
      <w:lvlJc w:val="left"/>
    </w:lvl>
    <w:lvl w:ilvl="7" w:tplc="1CB4745C">
      <w:numFmt w:val="decimal"/>
      <w:lvlText w:val=""/>
      <w:lvlJc w:val="left"/>
    </w:lvl>
    <w:lvl w:ilvl="8" w:tplc="838E8690">
      <w:numFmt w:val="decimal"/>
      <w:lvlText w:val=""/>
      <w:lvlJc w:val="left"/>
    </w:lvl>
  </w:abstractNum>
  <w:abstractNum w:abstractNumId="1106" w15:restartNumberingAfterBreak="0">
    <w:nsid w:val="7916056D"/>
    <w:multiLevelType w:val="hybridMultilevel"/>
    <w:tmpl w:val="AF8407E8"/>
    <w:lvl w:ilvl="0" w:tplc="C330A0CA">
      <w:start w:val="1"/>
      <w:numFmt w:val="bullet"/>
      <w:lvlText w:val=""/>
      <w:lvlJc w:val="left"/>
      <w:pPr>
        <w:ind w:left="720" w:hanging="180"/>
      </w:pPr>
      <w:rPr>
        <w:rFonts w:ascii="Symbol" w:hAnsi="Symbol" w:hint="default"/>
      </w:rPr>
    </w:lvl>
    <w:lvl w:ilvl="1" w:tplc="D922954A">
      <w:numFmt w:val="decimal"/>
      <w:lvlText w:val=""/>
      <w:lvlJc w:val="left"/>
    </w:lvl>
    <w:lvl w:ilvl="2" w:tplc="A5728A3A">
      <w:numFmt w:val="decimal"/>
      <w:lvlText w:val=""/>
      <w:lvlJc w:val="left"/>
    </w:lvl>
    <w:lvl w:ilvl="3" w:tplc="57B8B04E">
      <w:numFmt w:val="decimal"/>
      <w:lvlText w:val=""/>
      <w:lvlJc w:val="left"/>
    </w:lvl>
    <w:lvl w:ilvl="4" w:tplc="489A9B94">
      <w:numFmt w:val="decimal"/>
      <w:lvlText w:val=""/>
      <w:lvlJc w:val="left"/>
    </w:lvl>
    <w:lvl w:ilvl="5" w:tplc="0F9E6A76">
      <w:numFmt w:val="decimal"/>
      <w:lvlText w:val=""/>
      <w:lvlJc w:val="left"/>
    </w:lvl>
    <w:lvl w:ilvl="6" w:tplc="D22A243A">
      <w:numFmt w:val="decimal"/>
      <w:lvlText w:val=""/>
      <w:lvlJc w:val="left"/>
    </w:lvl>
    <w:lvl w:ilvl="7" w:tplc="0CF8ED58">
      <w:numFmt w:val="decimal"/>
      <w:lvlText w:val=""/>
      <w:lvlJc w:val="left"/>
    </w:lvl>
    <w:lvl w:ilvl="8" w:tplc="ED86C4F2">
      <w:numFmt w:val="decimal"/>
      <w:lvlText w:val=""/>
      <w:lvlJc w:val="left"/>
    </w:lvl>
  </w:abstractNum>
  <w:abstractNum w:abstractNumId="1107" w15:restartNumberingAfterBreak="0">
    <w:nsid w:val="791B5353"/>
    <w:multiLevelType w:val="hybridMultilevel"/>
    <w:tmpl w:val="D7B85CE2"/>
    <w:lvl w:ilvl="0" w:tplc="B602F6C8">
      <w:start w:val="1"/>
      <w:numFmt w:val="bullet"/>
      <w:lvlText w:val=""/>
      <w:lvlJc w:val="left"/>
      <w:pPr>
        <w:ind w:left="720" w:hanging="180"/>
      </w:pPr>
      <w:rPr>
        <w:rFonts w:ascii="Symbol" w:hAnsi="Symbol" w:hint="default"/>
      </w:rPr>
    </w:lvl>
    <w:lvl w:ilvl="1" w:tplc="12F828F6">
      <w:numFmt w:val="decimal"/>
      <w:lvlText w:val=""/>
      <w:lvlJc w:val="left"/>
    </w:lvl>
    <w:lvl w:ilvl="2" w:tplc="EE222C8C">
      <w:numFmt w:val="decimal"/>
      <w:lvlText w:val=""/>
      <w:lvlJc w:val="left"/>
    </w:lvl>
    <w:lvl w:ilvl="3" w:tplc="4ADC4BC8">
      <w:numFmt w:val="decimal"/>
      <w:lvlText w:val=""/>
      <w:lvlJc w:val="left"/>
    </w:lvl>
    <w:lvl w:ilvl="4" w:tplc="8B40942C">
      <w:numFmt w:val="decimal"/>
      <w:lvlText w:val=""/>
      <w:lvlJc w:val="left"/>
    </w:lvl>
    <w:lvl w:ilvl="5" w:tplc="C1405210">
      <w:numFmt w:val="decimal"/>
      <w:lvlText w:val=""/>
      <w:lvlJc w:val="left"/>
    </w:lvl>
    <w:lvl w:ilvl="6" w:tplc="8822F9FA">
      <w:numFmt w:val="decimal"/>
      <w:lvlText w:val=""/>
      <w:lvlJc w:val="left"/>
    </w:lvl>
    <w:lvl w:ilvl="7" w:tplc="6D70BF08">
      <w:numFmt w:val="decimal"/>
      <w:lvlText w:val=""/>
      <w:lvlJc w:val="left"/>
    </w:lvl>
    <w:lvl w:ilvl="8" w:tplc="06485E64">
      <w:numFmt w:val="decimal"/>
      <w:lvlText w:val=""/>
      <w:lvlJc w:val="left"/>
    </w:lvl>
  </w:abstractNum>
  <w:abstractNum w:abstractNumId="1108" w15:restartNumberingAfterBreak="0">
    <w:nsid w:val="792B2943"/>
    <w:multiLevelType w:val="hybridMultilevel"/>
    <w:tmpl w:val="5FE65D9E"/>
    <w:lvl w:ilvl="0" w:tplc="DEDAFA86">
      <w:start w:val="1"/>
      <w:numFmt w:val="bullet"/>
      <w:lvlText w:val=""/>
      <w:lvlJc w:val="left"/>
      <w:pPr>
        <w:ind w:left="720" w:hanging="180"/>
      </w:pPr>
      <w:rPr>
        <w:rFonts w:ascii="Symbol" w:hAnsi="Symbol" w:hint="default"/>
      </w:rPr>
    </w:lvl>
    <w:lvl w:ilvl="1" w:tplc="7B362F40">
      <w:numFmt w:val="decimal"/>
      <w:lvlText w:val=""/>
      <w:lvlJc w:val="left"/>
    </w:lvl>
    <w:lvl w:ilvl="2" w:tplc="FCCE260A">
      <w:numFmt w:val="decimal"/>
      <w:lvlText w:val=""/>
      <w:lvlJc w:val="left"/>
    </w:lvl>
    <w:lvl w:ilvl="3" w:tplc="B7082B1E">
      <w:numFmt w:val="decimal"/>
      <w:lvlText w:val=""/>
      <w:lvlJc w:val="left"/>
    </w:lvl>
    <w:lvl w:ilvl="4" w:tplc="9758B156">
      <w:numFmt w:val="decimal"/>
      <w:lvlText w:val=""/>
      <w:lvlJc w:val="left"/>
    </w:lvl>
    <w:lvl w:ilvl="5" w:tplc="DA00E190">
      <w:numFmt w:val="decimal"/>
      <w:lvlText w:val=""/>
      <w:lvlJc w:val="left"/>
    </w:lvl>
    <w:lvl w:ilvl="6" w:tplc="FA289520">
      <w:numFmt w:val="decimal"/>
      <w:lvlText w:val=""/>
      <w:lvlJc w:val="left"/>
    </w:lvl>
    <w:lvl w:ilvl="7" w:tplc="598A5BDE">
      <w:numFmt w:val="decimal"/>
      <w:lvlText w:val=""/>
      <w:lvlJc w:val="left"/>
    </w:lvl>
    <w:lvl w:ilvl="8" w:tplc="E9AE73FE">
      <w:numFmt w:val="decimal"/>
      <w:lvlText w:val=""/>
      <w:lvlJc w:val="left"/>
    </w:lvl>
  </w:abstractNum>
  <w:abstractNum w:abstractNumId="1109" w15:restartNumberingAfterBreak="0">
    <w:nsid w:val="79336D33"/>
    <w:multiLevelType w:val="hybridMultilevel"/>
    <w:tmpl w:val="26BA2064"/>
    <w:lvl w:ilvl="0" w:tplc="0B7CE85A">
      <w:start w:val="1"/>
      <w:numFmt w:val="bullet"/>
      <w:lvlText w:val=""/>
      <w:lvlJc w:val="left"/>
      <w:pPr>
        <w:ind w:left="720" w:hanging="180"/>
      </w:pPr>
      <w:rPr>
        <w:rFonts w:ascii="Symbol" w:hAnsi="Symbol" w:hint="default"/>
      </w:rPr>
    </w:lvl>
    <w:lvl w:ilvl="1" w:tplc="504C08F6">
      <w:numFmt w:val="decimal"/>
      <w:lvlText w:val=""/>
      <w:lvlJc w:val="left"/>
    </w:lvl>
    <w:lvl w:ilvl="2" w:tplc="FF7CC940">
      <w:numFmt w:val="decimal"/>
      <w:lvlText w:val=""/>
      <w:lvlJc w:val="left"/>
    </w:lvl>
    <w:lvl w:ilvl="3" w:tplc="21203902">
      <w:numFmt w:val="decimal"/>
      <w:lvlText w:val=""/>
      <w:lvlJc w:val="left"/>
    </w:lvl>
    <w:lvl w:ilvl="4" w:tplc="51FCB164">
      <w:numFmt w:val="decimal"/>
      <w:lvlText w:val=""/>
      <w:lvlJc w:val="left"/>
    </w:lvl>
    <w:lvl w:ilvl="5" w:tplc="E3166466">
      <w:numFmt w:val="decimal"/>
      <w:lvlText w:val=""/>
      <w:lvlJc w:val="left"/>
    </w:lvl>
    <w:lvl w:ilvl="6" w:tplc="2B967256">
      <w:numFmt w:val="decimal"/>
      <w:lvlText w:val=""/>
      <w:lvlJc w:val="left"/>
    </w:lvl>
    <w:lvl w:ilvl="7" w:tplc="BFF80628">
      <w:numFmt w:val="decimal"/>
      <w:lvlText w:val=""/>
      <w:lvlJc w:val="left"/>
    </w:lvl>
    <w:lvl w:ilvl="8" w:tplc="932EC612">
      <w:numFmt w:val="decimal"/>
      <w:lvlText w:val=""/>
      <w:lvlJc w:val="left"/>
    </w:lvl>
  </w:abstractNum>
  <w:abstractNum w:abstractNumId="1110" w15:restartNumberingAfterBreak="0">
    <w:nsid w:val="794D48DC"/>
    <w:multiLevelType w:val="hybridMultilevel"/>
    <w:tmpl w:val="E504817C"/>
    <w:lvl w:ilvl="0" w:tplc="F3DE1C90">
      <w:start w:val="1"/>
      <w:numFmt w:val="bullet"/>
      <w:lvlText w:val=""/>
      <w:lvlJc w:val="left"/>
      <w:pPr>
        <w:ind w:left="720" w:hanging="180"/>
      </w:pPr>
      <w:rPr>
        <w:rFonts w:ascii="Symbol" w:hAnsi="Symbol" w:hint="default"/>
      </w:rPr>
    </w:lvl>
    <w:lvl w:ilvl="1" w:tplc="2DE87B50">
      <w:numFmt w:val="decimal"/>
      <w:lvlText w:val=""/>
      <w:lvlJc w:val="left"/>
    </w:lvl>
    <w:lvl w:ilvl="2" w:tplc="2C90134A">
      <w:numFmt w:val="decimal"/>
      <w:lvlText w:val=""/>
      <w:lvlJc w:val="left"/>
    </w:lvl>
    <w:lvl w:ilvl="3" w:tplc="7F2C17A4">
      <w:numFmt w:val="decimal"/>
      <w:lvlText w:val=""/>
      <w:lvlJc w:val="left"/>
    </w:lvl>
    <w:lvl w:ilvl="4" w:tplc="3922291C">
      <w:numFmt w:val="decimal"/>
      <w:lvlText w:val=""/>
      <w:lvlJc w:val="left"/>
    </w:lvl>
    <w:lvl w:ilvl="5" w:tplc="68E45496">
      <w:numFmt w:val="decimal"/>
      <w:lvlText w:val=""/>
      <w:lvlJc w:val="left"/>
    </w:lvl>
    <w:lvl w:ilvl="6" w:tplc="93827784">
      <w:numFmt w:val="decimal"/>
      <w:lvlText w:val=""/>
      <w:lvlJc w:val="left"/>
    </w:lvl>
    <w:lvl w:ilvl="7" w:tplc="8DC89254">
      <w:numFmt w:val="decimal"/>
      <w:lvlText w:val=""/>
      <w:lvlJc w:val="left"/>
    </w:lvl>
    <w:lvl w:ilvl="8" w:tplc="0F14D032">
      <w:numFmt w:val="decimal"/>
      <w:lvlText w:val=""/>
      <w:lvlJc w:val="left"/>
    </w:lvl>
  </w:abstractNum>
  <w:abstractNum w:abstractNumId="1111" w15:restartNumberingAfterBreak="0">
    <w:nsid w:val="798C453A"/>
    <w:multiLevelType w:val="hybridMultilevel"/>
    <w:tmpl w:val="249E2E08"/>
    <w:lvl w:ilvl="0" w:tplc="30F4546A">
      <w:numFmt w:val="decimal"/>
      <w:lvlText w:val=""/>
      <w:lvlJc w:val="left"/>
    </w:lvl>
    <w:lvl w:ilvl="1" w:tplc="EFC4F162">
      <w:start w:val="1"/>
      <w:numFmt w:val="bullet"/>
      <w:lvlText w:val=""/>
      <w:lvlJc w:val="left"/>
      <w:pPr>
        <w:ind w:left="1440" w:hanging="180"/>
      </w:pPr>
      <w:rPr>
        <w:rFonts w:ascii="Symbol" w:hAnsi="Symbol" w:hint="default"/>
      </w:rPr>
    </w:lvl>
    <w:lvl w:ilvl="2" w:tplc="E8746876">
      <w:numFmt w:val="decimal"/>
      <w:lvlText w:val=""/>
      <w:lvlJc w:val="left"/>
    </w:lvl>
    <w:lvl w:ilvl="3" w:tplc="145676EC">
      <w:numFmt w:val="decimal"/>
      <w:lvlText w:val=""/>
      <w:lvlJc w:val="left"/>
    </w:lvl>
    <w:lvl w:ilvl="4" w:tplc="DCBA489A">
      <w:numFmt w:val="decimal"/>
      <w:lvlText w:val=""/>
      <w:lvlJc w:val="left"/>
    </w:lvl>
    <w:lvl w:ilvl="5" w:tplc="A7B0B1C8">
      <w:numFmt w:val="decimal"/>
      <w:lvlText w:val=""/>
      <w:lvlJc w:val="left"/>
    </w:lvl>
    <w:lvl w:ilvl="6" w:tplc="C03EA8DC">
      <w:numFmt w:val="decimal"/>
      <w:lvlText w:val=""/>
      <w:lvlJc w:val="left"/>
    </w:lvl>
    <w:lvl w:ilvl="7" w:tplc="A4BAE496">
      <w:numFmt w:val="decimal"/>
      <w:lvlText w:val=""/>
      <w:lvlJc w:val="left"/>
    </w:lvl>
    <w:lvl w:ilvl="8" w:tplc="CC3C9498">
      <w:numFmt w:val="decimal"/>
      <w:lvlText w:val=""/>
      <w:lvlJc w:val="left"/>
    </w:lvl>
  </w:abstractNum>
  <w:abstractNum w:abstractNumId="1112" w15:restartNumberingAfterBreak="0">
    <w:nsid w:val="79905191"/>
    <w:multiLevelType w:val="hybridMultilevel"/>
    <w:tmpl w:val="D58E58EC"/>
    <w:lvl w:ilvl="0" w:tplc="C4129398">
      <w:start w:val="1"/>
      <w:numFmt w:val="bullet"/>
      <w:lvlText w:val=""/>
      <w:lvlJc w:val="left"/>
      <w:pPr>
        <w:ind w:left="720" w:hanging="180"/>
      </w:pPr>
      <w:rPr>
        <w:rFonts w:ascii="Symbol" w:hAnsi="Symbol" w:hint="default"/>
      </w:rPr>
    </w:lvl>
    <w:lvl w:ilvl="1" w:tplc="C21C3872">
      <w:numFmt w:val="decimal"/>
      <w:lvlText w:val=""/>
      <w:lvlJc w:val="left"/>
    </w:lvl>
    <w:lvl w:ilvl="2" w:tplc="E4C2A608">
      <w:numFmt w:val="decimal"/>
      <w:lvlText w:val=""/>
      <w:lvlJc w:val="left"/>
    </w:lvl>
    <w:lvl w:ilvl="3" w:tplc="15AA7330">
      <w:numFmt w:val="decimal"/>
      <w:lvlText w:val=""/>
      <w:lvlJc w:val="left"/>
    </w:lvl>
    <w:lvl w:ilvl="4" w:tplc="62CEFE9C">
      <w:numFmt w:val="decimal"/>
      <w:lvlText w:val=""/>
      <w:lvlJc w:val="left"/>
    </w:lvl>
    <w:lvl w:ilvl="5" w:tplc="5C44F2FC">
      <w:numFmt w:val="decimal"/>
      <w:lvlText w:val=""/>
      <w:lvlJc w:val="left"/>
    </w:lvl>
    <w:lvl w:ilvl="6" w:tplc="733AFB84">
      <w:numFmt w:val="decimal"/>
      <w:lvlText w:val=""/>
      <w:lvlJc w:val="left"/>
    </w:lvl>
    <w:lvl w:ilvl="7" w:tplc="85C8BA4E">
      <w:numFmt w:val="decimal"/>
      <w:lvlText w:val=""/>
      <w:lvlJc w:val="left"/>
    </w:lvl>
    <w:lvl w:ilvl="8" w:tplc="DB96C7A4">
      <w:numFmt w:val="decimal"/>
      <w:lvlText w:val=""/>
      <w:lvlJc w:val="left"/>
    </w:lvl>
  </w:abstractNum>
  <w:abstractNum w:abstractNumId="1113" w15:restartNumberingAfterBreak="0">
    <w:nsid w:val="79A4618A"/>
    <w:multiLevelType w:val="hybridMultilevel"/>
    <w:tmpl w:val="5DA04E6E"/>
    <w:lvl w:ilvl="0" w:tplc="5DE47E7A">
      <w:start w:val="1"/>
      <w:numFmt w:val="bullet"/>
      <w:lvlText w:val=""/>
      <w:lvlJc w:val="left"/>
      <w:pPr>
        <w:ind w:left="720" w:hanging="180"/>
      </w:pPr>
      <w:rPr>
        <w:rFonts w:ascii="Symbol" w:hAnsi="Symbol" w:hint="default"/>
      </w:rPr>
    </w:lvl>
    <w:lvl w:ilvl="1" w:tplc="9EAA4E5C">
      <w:numFmt w:val="decimal"/>
      <w:lvlText w:val=""/>
      <w:lvlJc w:val="left"/>
    </w:lvl>
    <w:lvl w:ilvl="2" w:tplc="71E616D2">
      <w:numFmt w:val="decimal"/>
      <w:lvlText w:val=""/>
      <w:lvlJc w:val="left"/>
    </w:lvl>
    <w:lvl w:ilvl="3" w:tplc="D0CA8666">
      <w:numFmt w:val="decimal"/>
      <w:lvlText w:val=""/>
      <w:lvlJc w:val="left"/>
    </w:lvl>
    <w:lvl w:ilvl="4" w:tplc="74EE5444">
      <w:numFmt w:val="decimal"/>
      <w:lvlText w:val=""/>
      <w:lvlJc w:val="left"/>
    </w:lvl>
    <w:lvl w:ilvl="5" w:tplc="05BAFBFE">
      <w:numFmt w:val="decimal"/>
      <w:lvlText w:val=""/>
      <w:lvlJc w:val="left"/>
    </w:lvl>
    <w:lvl w:ilvl="6" w:tplc="DD302FFC">
      <w:numFmt w:val="decimal"/>
      <w:lvlText w:val=""/>
      <w:lvlJc w:val="left"/>
    </w:lvl>
    <w:lvl w:ilvl="7" w:tplc="379CB6FC">
      <w:numFmt w:val="decimal"/>
      <w:lvlText w:val=""/>
      <w:lvlJc w:val="left"/>
    </w:lvl>
    <w:lvl w:ilvl="8" w:tplc="6678902A">
      <w:numFmt w:val="decimal"/>
      <w:lvlText w:val=""/>
      <w:lvlJc w:val="left"/>
    </w:lvl>
  </w:abstractNum>
  <w:abstractNum w:abstractNumId="1114" w15:restartNumberingAfterBreak="0">
    <w:nsid w:val="79AC00A5"/>
    <w:multiLevelType w:val="hybridMultilevel"/>
    <w:tmpl w:val="ACEA2832"/>
    <w:lvl w:ilvl="0" w:tplc="6992914C">
      <w:start w:val="1"/>
      <w:numFmt w:val="bullet"/>
      <w:lvlText w:val=""/>
      <w:lvlJc w:val="left"/>
      <w:pPr>
        <w:ind w:left="720" w:hanging="180"/>
      </w:pPr>
      <w:rPr>
        <w:rFonts w:ascii="Symbol" w:hAnsi="Symbol" w:hint="default"/>
      </w:rPr>
    </w:lvl>
    <w:lvl w:ilvl="1" w:tplc="8230FBBE">
      <w:numFmt w:val="decimal"/>
      <w:lvlText w:val=""/>
      <w:lvlJc w:val="left"/>
    </w:lvl>
    <w:lvl w:ilvl="2" w:tplc="4DD8C7B2">
      <w:numFmt w:val="decimal"/>
      <w:lvlText w:val=""/>
      <w:lvlJc w:val="left"/>
    </w:lvl>
    <w:lvl w:ilvl="3" w:tplc="89A85946">
      <w:numFmt w:val="decimal"/>
      <w:lvlText w:val=""/>
      <w:lvlJc w:val="left"/>
    </w:lvl>
    <w:lvl w:ilvl="4" w:tplc="2D02049E">
      <w:numFmt w:val="decimal"/>
      <w:lvlText w:val=""/>
      <w:lvlJc w:val="left"/>
    </w:lvl>
    <w:lvl w:ilvl="5" w:tplc="9C665C5C">
      <w:numFmt w:val="decimal"/>
      <w:lvlText w:val=""/>
      <w:lvlJc w:val="left"/>
    </w:lvl>
    <w:lvl w:ilvl="6" w:tplc="97E24660">
      <w:numFmt w:val="decimal"/>
      <w:lvlText w:val=""/>
      <w:lvlJc w:val="left"/>
    </w:lvl>
    <w:lvl w:ilvl="7" w:tplc="2988BA3E">
      <w:numFmt w:val="decimal"/>
      <w:lvlText w:val=""/>
      <w:lvlJc w:val="left"/>
    </w:lvl>
    <w:lvl w:ilvl="8" w:tplc="576C304C">
      <w:numFmt w:val="decimal"/>
      <w:lvlText w:val=""/>
      <w:lvlJc w:val="left"/>
    </w:lvl>
  </w:abstractNum>
  <w:abstractNum w:abstractNumId="1115" w15:restartNumberingAfterBreak="0">
    <w:nsid w:val="79C6659B"/>
    <w:multiLevelType w:val="hybridMultilevel"/>
    <w:tmpl w:val="7ADA5DDC"/>
    <w:lvl w:ilvl="0" w:tplc="3458A134">
      <w:start w:val="1"/>
      <w:numFmt w:val="bullet"/>
      <w:lvlText w:val=""/>
      <w:lvlJc w:val="left"/>
      <w:pPr>
        <w:ind w:left="720" w:hanging="180"/>
      </w:pPr>
      <w:rPr>
        <w:rFonts w:ascii="Symbol" w:hAnsi="Symbol" w:hint="default"/>
      </w:rPr>
    </w:lvl>
    <w:lvl w:ilvl="1" w:tplc="F6141A70">
      <w:numFmt w:val="decimal"/>
      <w:lvlText w:val=""/>
      <w:lvlJc w:val="left"/>
    </w:lvl>
    <w:lvl w:ilvl="2" w:tplc="87D451D8">
      <w:numFmt w:val="decimal"/>
      <w:lvlText w:val=""/>
      <w:lvlJc w:val="left"/>
    </w:lvl>
    <w:lvl w:ilvl="3" w:tplc="24067492">
      <w:numFmt w:val="decimal"/>
      <w:lvlText w:val=""/>
      <w:lvlJc w:val="left"/>
    </w:lvl>
    <w:lvl w:ilvl="4" w:tplc="6FDCEAA4">
      <w:numFmt w:val="decimal"/>
      <w:lvlText w:val=""/>
      <w:lvlJc w:val="left"/>
    </w:lvl>
    <w:lvl w:ilvl="5" w:tplc="295036EA">
      <w:numFmt w:val="decimal"/>
      <w:lvlText w:val=""/>
      <w:lvlJc w:val="left"/>
    </w:lvl>
    <w:lvl w:ilvl="6" w:tplc="147C2498">
      <w:numFmt w:val="decimal"/>
      <w:lvlText w:val=""/>
      <w:lvlJc w:val="left"/>
    </w:lvl>
    <w:lvl w:ilvl="7" w:tplc="3D08CD42">
      <w:numFmt w:val="decimal"/>
      <w:lvlText w:val=""/>
      <w:lvlJc w:val="left"/>
    </w:lvl>
    <w:lvl w:ilvl="8" w:tplc="DCCE87A2">
      <w:numFmt w:val="decimal"/>
      <w:lvlText w:val=""/>
      <w:lvlJc w:val="left"/>
    </w:lvl>
  </w:abstractNum>
  <w:abstractNum w:abstractNumId="1116" w15:restartNumberingAfterBreak="0">
    <w:nsid w:val="79D35A4A"/>
    <w:multiLevelType w:val="hybridMultilevel"/>
    <w:tmpl w:val="18EEDC5C"/>
    <w:lvl w:ilvl="0" w:tplc="57B659B6">
      <w:start w:val="1"/>
      <w:numFmt w:val="bullet"/>
      <w:lvlText w:val=""/>
      <w:lvlJc w:val="left"/>
      <w:pPr>
        <w:ind w:left="720" w:hanging="180"/>
      </w:pPr>
      <w:rPr>
        <w:rFonts w:ascii="Symbol" w:hAnsi="Symbol" w:hint="default"/>
      </w:rPr>
    </w:lvl>
    <w:lvl w:ilvl="1" w:tplc="FA32E5C2">
      <w:numFmt w:val="decimal"/>
      <w:lvlText w:val=""/>
      <w:lvlJc w:val="left"/>
    </w:lvl>
    <w:lvl w:ilvl="2" w:tplc="FF62D65C">
      <w:numFmt w:val="decimal"/>
      <w:lvlText w:val=""/>
      <w:lvlJc w:val="left"/>
    </w:lvl>
    <w:lvl w:ilvl="3" w:tplc="302A35B2">
      <w:numFmt w:val="decimal"/>
      <w:lvlText w:val=""/>
      <w:lvlJc w:val="left"/>
    </w:lvl>
    <w:lvl w:ilvl="4" w:tplc="4F8AC508">
      <w:numFmt w:val="decimal"/>
      <w:lvlText w:val=""/>
      <w:lvlJc w:val="left"/>
    </w:lvl>
    <w:lvl w:ilvl="5" w:tplc="7CDECA9A">
      <w:numFmt w:val="decimal"/>
      <w:lvlText w:val=""/>
      <w:lvlJc w:val="left"/>
    </w:lvl>
    <w:lvl w:ilvl="6" w:tplc="0F00EBA6">
      <w:numFmt w:val="decimal"/>
      <w:lvlText w:val=""/>
      <w:lvlJc w:val="left"/>
    </w:lvl>
    <w:lvl w:ilvl="7" w:tplc="C4BCFA22">
      <w:numFmt w:val="decimal"/>
      <w:lvlText w:val=""/>
      <w:lvlJc w:val="left"/>
    </w:lvl>
    <w:lvl w:ilvl="8" w:tplc="A5CE7D5E">
      <w:numFmt w:val="decimal"/>
      <w:lvlText w:val=""/>
      <w:lvlJc w:val="left"/>
    </w:lvl>
  </w:abstractNum>
  <w:abstractNum w:abstractNumId="1117" w15:restartNumberingAfterBreak="0">
    <w:nsid w:val="79D70740"/>
    <w:multiLevelType w:val="hybridMultilevel"/>
    <w:tmpl w:val="C82E0CF2"/>
    <w:lvl w:ilvl="0" w:tplc="EDEC0B3C">
      <w:start w:val="1"/>
      <w:numFmt w:val="bullet"/>
      <w:lvlText w:val=""/>
      <w:lvlJc w:val="left"/>
      <w:pPr>
        <w:ind w:left="720" w:hanging="180"/>
      </w:pPr>
      <w:rPr>
        <w:rFonts w:ascii="Symbol" w:hAnsi="Symbol" w:hint="default"/>
      </w:rPr>
    </w:lvl>
    <w:lvl w:ilvl="1" w:tplc="41C0E1E6">
      <w:numFmt w:val="decimal"/>
      <w:lvlText w:val=""/>
      <w:lvlJc w:val="left"/>
    </w:lvl>
    <w:lvl w:ilvl="2" w:tplc="F8C4F8D8">
      <w:numFmt w:val="decimal"/>
      <w:lvlText w:val=""/>
      <w:lvlJc w:val="left"/>
    </w:lvl>
    <w:lvl w:ilvl="3" w:tplc="3758B4E2">
      <w:numFmt w:val="decimal"/>
      <w:lvlText w:val=""/>
      <w:lvlJc w:val="left"/>
    </w:lvl>
    <w:lvl w:ilvl="4" w:tplc="F4B20054">
      <w:numFmt w:val="decimal"/>
      <w:lvlText w:val=""/>
      <w:lvlJc w:val="left"/>
    </w:lvl>
    <w:lvl w:ilvl="5" w:tplc="CDFCC6AA">
      <w:numFmt w:val="decimal"/>
      <w:lvlText w:val=""/>
      <w:lvlJc w:val="left"/>
    </w:lvl>
    <w:lvl w:ilvl="6" w:tplc="F7E4887C">
      <w:numFmt w:val="decimal"/>
      <w:lvlText w:val=""/>
      <w:lvlJc w:val="left"/>
    </w:lvl>
    <w:lvl w:ilvl="7" w:tplc="83C229F4">
      <w:numFmt w:val="decimal"/>
      <w:lvlText w:val=""/>
      <w:lvlJc w:val="left"/>
    </w:lvl>
    <w:lvl w:ilvl="8" w:tplc="01AA4C80">
      <w:numFmt w:val="decimal"/>
      <w:lvlText w:val=""/>
      <w:lvlJc w:val="left"/>
    </w:lvl>
  </w:abstractNum>
  <w:abstractNum w:abstractNumId="1118" w15:restartNumberingAfterBreak="0">
    <w:nsid w:val="79D946B7"/>
    <w:multiLevelType w:val="hybridMultilevel"/>
    <w:tmpl w:val="5838DFEC"/>
    <w:lvl w:ilvl="0" w:tplc="1E1C9AEC">
      <w:start w:val="1"/>
      <w:numFmt w:val="bullet"/>
      <w:lvlText w:val=""/>
      <w:lvlJc w:val="left"/>
      <w:pPr>
        <w:ind w:left="720" w:hanging="180"/>
      </w:pPr>
      <w:rPr>
        <w:rFonts w:ascii="Symbol" w:hAnsi="Symbol" w:hint="default"/>
      </w:rPr>
    </w:lvl>
    <w:lvl w:ilvl="1" w:tplc="FB347B5E">
      <w:numFmt w:val="decimal"/>
      <w:lvlText w:val=""/>
      <w:lvlJc w:val="left"/>
    </w:lvl>
    <w:lvl w:ilvl="2" w:tplc="2E3C151E">
      <w:numFmt w:val="decimal"/>
      <w:lvlText w:val=""/>
      <w:lvlJc w:val="left"/>
    </w:lvl>
    <w:lvl w:ilvl="3" w:tplc="9300CFB0">
      <w:numFmt w:val="decimal"/>
      <w:lvlText w:val=""/>
      <w:lvlJc w:val="left"/>
    </w:lvl>
    <w:lvl w:ilvl="4" w:tplc="47E2F758">
      <w:numFmt w:val="decimal"/>
      <w:lvlText w:val=""/>
      <w:lvlJc w:val="left"/>
    </w:lvl>
    <w:lvl w:ilvl="5" w:tplc="858CDA54">
      <w:numFmt w:val="decimal"/>
      <w:lvlText w:val=""/>
      <w:lvlJc w:val="left"/>
    </w:lvl>
    <w:lvl w:ilvl="6" w:tplc="8C7E6236">
      <w:numFmt w:val="decimal"/>
      <w:lvlText w:val=""/>
      <w:lvlJc w:val="left"/>
    </w:lvl>
    <w:lvl w:ilvl="7" w:tplc="08C6D490">
      <w:numFmt w:val="decimal"/>
      <w:lvlText w:val=""/>
      <w:lvlJc w:val="left"/>
    </w:lvl>
    <w:lvl w:ilvl="8" w:tplc="59A0D8CE">
      <w:numFmt w:val="decimal"/>
      <w:lvlText w:val=""/>
      <w:lvlJc w:val="left"/>
    </w:lvl>
  </w:abstractNum>
  <w:abstractNum w:abstractNumId="1119" w15:restartNumberingAfterBreak="0">
    <w:nsid w:val="79DD59DA"/>
    <w:multiLevelType w:val="hybridMultilevel"/>
    <w:tmpl w:val="AE547BCA"/>
    <w:lvl w:ilvl="0" w:tplc="581EE85E">
      <w:start w:val="1"/>
      <w:numFmt w:val="bullet"/>
      <w:lvlText w:val=""/>
      <w:lvlJc w:val="left"/>
      <w:pPr>
        <w:ind w:left="720" w:hanging="180"/>
      </w:pPr>
      <w:rPr>
        <w:rFonts w:ascii="Symbol" w:hAnsi="Symbol" w:hint="default"/>
      </w:rPr>
    </w:lvl>
    <w:lvl w:ilvl="1" w:tplc="F34434FA">
      <w:numFmt w:val="decimal"/>
      <w:lvlText w:val=""/>
      <w:lvlJc w:val="left"/>
    </w:lvl>
    <w:lvl w:ilvl="2" w:tplc="A56EDB20">
      <w:numFmt w:val="decimal"/>
      <w:lvlText w:val=""/>
      <w:lvlJc w:val="left"/>
    </w:lvl>
    <w:lvl w:ilvl="3" w:tplc="D3003D58">
      <w:numFmt w:val="decimal"/>
      <w:lvlText w:val=""/>
      <w:lvlJc w:val="left"/>
    </w:lvl>
    <w:lvl w:ilvl="4" w:tplc="CEBA437A">
      <w:numFmt w:val="decimal"/>
      <w:lvlText w:val=""/>
      <w:lvlJc w:val="left"/>
    </w:lvl>
    <w:lvl w:ilvl="5" w:tplc="F07A37F6">
      <w:numFmt w:val="decimal"/>
      <w:lvlText w:val=""/>
      <w:lvlJc w:val="left"/>
    </w:lvl>
    <w:lvl w:ilvl="6" w:tplc="23561CC4">
      <w:numFmt w:val="decimal"/>
      <w:lvlText w:val=""/>
      <w:lvlJc w:val="left"/>
    </w:lvl>
    <w:lvl w:ilvl="7" w:tplc="D542F606">
      <w:numFmt w:val="decimal"/>
      <w:lvlText w:val=""/>
      <w:lvlJc w:val="left"/>
    </w:lvl>
    <w:lvl w:ilvl="8" w:tplc="0C6E1E50">
      <w:numFmt w:val="decimal"/>
      <w:lvlText w:val=""/>
      <w:lvlJc w:val="left"/>
    </w:lvl>
  </w:abstractNum>
  <w:abstractNum w:abstractNumId="1120" w15:restartNumberingAfterBreak="0">
    <w:nsid w:val="79E5150E"/>
    <w:multiLevelType w:val="hybridMultilevel"/>
    <w:tmpl w:val="DADA801C"/>
    <w:lvl w:ilvl="0" w:tplc="2F52DDDE">
      <w:start w:val="1"/>
      <w:numFmt w:val="bullet"/>
      <w:lvlText w:val=""/>
      <w:lvlJc w:val="left"/>
      <w:pPr>
        <w:ind w:left="720" w:hanging="180"/>
      </w:pPr>
      <w:rPr>
        <w:rFonts w:ascii="Symbol" w:hAnsi="Symbol" w:hint="default"/>
      </w:rPr>
    </w:lvl>
    <w:lvl w:ilvl="1" w:tplc="21B68C2C">
      <w:numFmt w:val="decimal"/>
      <w:lvlText w:val=""/>
      <w:lvlJc w:val="left"/>
    </w:lvl>
    <w:lvl w:ilvl="2" w:tplc="EE70EC80">
      <w:numFmt w:val="decimal"/>
      <w:lvlText w:val=""/>
      <w:lvlJc w:val="left"/>
    </w:lvl>
    <w:lvl w:ilvl="3" w:tplc="986A9CAE">
      <w:numFmt w:val="decimal"/>
      <w:lvlText w:val=""/>
      <w:lvlJc w:val="left"/>
    </w:lvl>
    <w:lvl w:ilvl="4" w:tplc="44EC5F46">
      <w:numFmt w:val="decimal"/>
      <w:lvlText w:val=""/>
      <w:lvlJc w:val="left"/>
    </w:lvl>
    <w:lvl w:ilvl="5" w:tplc="9BA82D08">
      <w:numFmt w:val="decimal"/>
      <w:lvlText w:val=""/>
      <w:lvlJc w:val="left"/>
    </w:lvl>
    <w:lvl w:ilvl="6" w:tplc="E3BE83D6">
      <w:numFmt w:val="decimal"/>
      <w:lvlText w:val=""/>
      <w:lvlJc w:val="left"/>
    </w:lvl>
    <w:lvl w:ilvl="7" w:tplc="413044C0">
      <w:numFmt w:val="decimal"/>
      <w:lvlText w:val=""/>
      <w:lvlJc w:val="left"/>
    </w:lvl>
    <w:lvl w:ilvl="8" w:tplc="DD0E0C72">
      <w:numFmt w:val="decimal"/>
      <w:lvlText w:val=""/>
      <w:lvlJc w:val="left"/>
    </w:lvl>
  </w:abstractNum>
  <w:abstractNum w:abstractNumId="1121" w15:restartNumberingAfterBreak="0">
    <w:nsid w:val="79E8080F"/>
    <w:multiLevelType w:val="hybridMultilevel"/>
    <w:tmpl w:val="C9985D9E"/>
    <w:lvl w:ilvl="0" w:tplc="D83C20B6">
      <w:numFmt w:val="decimal"/>
      <w:lvlText w:val=""/>
      <w:lvlJc w:val="left"/>
    </w:lvl>
    <w:lvl w:ilvl="1" w:tplc="5E72A4A8">
      <w:start w:val="1"/>
      <w:numFmt w:val="bullet"/>
      <w:lvlText w:val=""/>
      <w:lvlJc w:val="left"/>
      <w:pPr>
        <w:ind w:left="1440" w:hanging="180"/>
      </w:pPr>
      <w:rPr>
        <w:rFonts w:ascii="Symbol" w:hAnsi="Symbol" w:hint="default"/>
      </w:rPr>
    </w:lvl>
    <w:lvl w:ilvl="2" w:tplc="2CD69D2A">
      <w:numFmt w:val="decimal"/>
      <w:lvlText w:val=""/>
      <w:lvlJc w:val="left"/>
    </w:lvl>
    <w:lvl w:ilvl="3" w:tplc="F2D0D854">
      <w:numFmt w:val="decimal"/>
      <w:lvlText w:val=""/>
      <w:lvlJc w:val="left"/>
    </w:lvl>
    <w:lvl w:ilvl="4" w:tplc="88FA6D86">
      <w:numFmt w:val="decimal"/>
      <w:lvlText w:val=""/>
      <w:lvlJc w:val="left"/>
    </w:lvl>
    <w:lvl w:ilvl="5" w:tplc="167C12BE">
      <w:numFmt w:val="decimal"/>
      <w:lvlText w:val=""/>
      <w:lvlJc w:val="left"/>
    </w:lvl>
    <w:lvl w:ilvl="6" w:tplc="7C123FE4">
      <w:numFmt w:val="decimal"/>
      <w:lvlText w:val=""/>
      <w:lvlJc w:val="left"/>
    </w:lvl>
    <w:lvl w:ilvl="7" w:tplc="A3242D04">
      <w:numFmt w:val="decimal"/>
      <w:lvlText w:val=""/>
      <w:lvlJc w:val="left"/>
    </w:lvl>
    <w:lvl w:ilvl="8" w:tplc="74765646">
      <w:numFmt w:val="decimal"/>
      <w:lvlText w:val=""/>
      <w:lvlJc w:val="left"/>
    </w:lvl>
  </w:abstractNum>
  <w:abstractNum w:abstractNumId="1122" w15:restartNumberingAfterBreak="0">
    <w:nsid w:val="79F62669"/>
    <w:multiLevelType w:val="hybridMultilevel"/>
    <w:tmpl w:val="A8A08C54"/>
    <w:lvl w:ilvl="0" w:tplc="E354BCA2">
      <w:start w:val="1"/>
      <w:numFmt w:val="bullet"/>
      <w:lvlText w:val=""/>
      <w:lvlJc w:val="left"/>
      <w:pPr>
        <w:ind w:left="720" w:hanging="180"/>
      </w:pPr>
      <w:rPr>
        <w:rFonts w:ascii="Symbol" w:hAnsi="Symbol" w:hint="default"/>
      </w:rPr>
    </w:lvl>
    <w:lvl w:ilvl="1" w:tplc="053A022A">
      <w:numFmt w:val="decimal"/>
      <w:lvlText w:val=""/>
      <w:lvlJc w:val="left"/>
    </w:lvl>
    <w:lvl w:ilvl="2" w:tplc="599E9124">
      <w:numFmt w:val="decimal"/>
      <w:lvlText w:val=""/>
      <w:lvlJc w:val="left"/>
    </w:lvl>
    <w:lvl w:ilvl="3" w:tplc="A29CA750">
      <w:numFmt w:val="decimal"/>
      <w:lvlText w:val=""/>
      <w:lvlJc w:val="left"/>
    </w:lvl>
    <w:lvl w:ilvl="4" w:tplc="55483852">
      <w:numFmt w:val="decimal"/>
      <w:lvlText w:val=""/>
      <w:lvlJc w:val="left"/>
    </w:lvl>
    <w:lvl w:ilvl="5" w:tplc="1D38581A">
      <w:numFmt w:val="decimal"/>
      <w:lvlText w:val=""/>
      <w:lvlJc w:val="left"/>
    </w:lvl>
    <w:lvl w:ilvl="6" w:tplc="6F48B086">
      <w:numFmt w:val="decimal"/>
      <w:lvlText w:val=""/>
      <w:lvlJc w:val="left"/>
    </w:lvl>
    <w:lvl w:ilvl="7" w:tplc="7E1EB7AC">
      <w:numFmt w:val="decimal"/>
      <w:lvlText w:val=""/>
      <w:lvlJc w:val="left"/>
    </w:lvl>
    <w:lvl w:ilvl="8" w:tplc="F5BA68CC">
      <w:numFmt w:val="decimal"/>
      <w:lvlText w:val=""/>
      <w:lvlJc w:val="left"/>
    </w:lvl>
  </w:abstractNum>
  <w:abstractNum w:abstractNumId="1123" w15:restartNumberingAfterBreak="0">
    <w:nsid w:val="79FB6A9D"/>
    <w:multiLevelType w:val="hybridMultilevel"/>
    <w:tmpl w:val="AFA25A76"/>
    <w:lvl w:ilvl="0" w:tplc="FD0C7B3C">
      <w:start w:val="1"/>
      <w:numFmt w:val="bullet"/>
      <w:lvlText w:val=""/>
      <w:lvlJc w:val="left"/>
      <w:pPr>
        <w:ind w:left="720" w:hanging="180"/>
      </w:pPr>
      <w:rPr>
        <w:rFonts w:ascii="Symbol" w:hAnsi="Symbol" w:hint="default"/>
      </w:rPr>
    </w:lvl>
    <w:lvl w:ilvl="1" w:tplc="3170F098">
      <w:numFmt w:val="decimal"/>
      <w:lvlText w:val=""/>
      <w:lvlJc w:val="left"/>
    </w:lvl>
    <w:lvl w:ilvl="2" w:tplc="9530C11A">
      <w:numFmt w:val="decimal"/>
      <w:lvlText w:val=""/>
      <w:lvlJc w:val="left"/>
    </w:lvl>
    <w:lvl w:ilvl="3" w:tplc="83F4A76A">
      <w:numFmt w:val="decimal"/>
      <w:lvlText w:val=""/>
      <w:lvlJc w:val="left"/>
    </w:lvl>
    <w:lvl w:ilvl="4" w:tplc="3880FD9C">
      <w:numFmt w:val="decimal"/>
      <w:lvlText w:val=""/>
      <w:lvlJc w:val="left"/>
    </w:lvl>
    <w:lvl w:ilvl="5" w:tplc="EDBC0BCA">
      <w:numFmt w:val="decimal"/>
      <w:lvlText w:val=""/>
      <w:lvlJc w:val="left"/>
    </w:lvl>
    <w:lvl w:ilvl="6" w:tplc="95C4E878">
      <w:numFmt w:val="decimal"/>
      <w:lvlText w:val=""/>
      <w:lvlJc w:val="left"/>
    </w:lvl>
    <w:lvl w:ilvl="7" w:tplc="DE1690B2">
      <w:numFmt w:val="decimal"/>
      <w:lvlText w:val=""/>
      <w:lvlJc w:val="left"/>
    </w:lvl>
    <w:lvl w:ilvl="8" w:tplc="7D325D82">
      <w:numFmt w:val="decimal"/>
      <w:lvlText w:val=""/>
      <w:lvlJc w:val="left"/>
    </w:lvl>
  </w:abstractNum>
  <w:abstractNum w:abstractNumId="1124" w15:restartNumberingAfterBreak="0">
    <w:nsid w:val="7A1D1086"/>
    <w:multiLevelType w:val="hybridMultilevel"/>
    <w:tmpl w:val="0CB85A4C"/>
    <w:lvl w:ilvl="0" w:tplc="6A4A06D4">
      <w:start w:val="1"/>
      <w:numFmt w:val="bullet"/>
      <w:lvlText w:val=""/>
      <w:lvlJc w:val="left"/>
      <w:pPr>
        <w:ind w:left="720" w:hanging="180"/>
      </w:pPr>
      <w:rPr>
        <w:rFonts w:ascii="Symbol" w:hAnsi="Symbol" w:hint="default"/>
      </w:rPr>
    </w:lvl>
    <w:lvl w:ilvl="1" w:tplc="54269A56">
      <w:numFmt w:val="decimal"/>
      <w:lvlText w:val=""/>
      <w:lvlJc w:val="left"/>
    </w:lvl>
    <w:lvl w:ilvl="2" w:tplc="6E02C006">
      <w:numFmt w:val="decimal"/>
      <w:lvlText w:val=""/>
      <w:lvlJc w:val="left"/>
    </w:lvl>
    <w:lvl w:ilvl="3" w:tplc="5C1E5050">
      <w:numFmt w:val="decimal"/>
      <w:lvlText w:val=""/>
      <w:lvlJc w:val="left"/>
    </w:lvl>
    <w:lvl w:ilvl="4" w:tplc="969080BA">
      <w:numFmt w:val="decimal"/>
      <w:lvlText w:val=""/>
      <w:lvlJc w:val="left"/>
    </w:lvl>
    <w:lvl w:ilvl="5" w:tplc="E9C0F6F0">
      <w:numFmt w:val="decimal"/>
      <w:lvlText w:val=""/>
      <w:lvlJc w:val="left"/>
    </w:lvl>
    <w:lvl w:ilvl="6" w:tplc="D920363E">
      <w:numFmt w:val="decimal"/>
      <w:lvlText w:val=""/>
      <w:lvlJc w:val="left"/>
    </w:lvl>
    <w:lvl w:ilvl="7" w:tplc="3B405EE8">
      <w:numFmt w:val="decimal"/>
      <w:lvlText w:val=""/>
      <w:lvlJc w:val="left"/>
    </w:lvl>
    <w:lvl w:ilvl="8" w:tplc="5CE2BD8A">
      <w:numFmt w:val="decimal"/>
      <w:lvlText w:val=""/>
      <w:lvlJc w:val="left"/>
    </w:lvl>
  </w:abstractNum>
  <w:abstractNum w:abstractNumId="1125" w15:restartNumberingAfterBreak="0">
    <w:nsid w:val="7A294429"/>
    <w:multiLevelType w:val="hybridMultilevel"/>
    <w:tmpl w:val="50D45E2C"/>
    <w:lvl w:ilvl="0" w:tplc="4E407BD4">
      <w:start w:val="1"/>
      <w:numFmt w:val="bullet"/>
      <w:lvlText w:val=""/>
      <w:lvlJc w:val="left"/>
      <w:pPr>
        <w:ind w:left="720" w:hanging="180"/>
      </w:pPr>
      <w:rPr>
        <w:rFonts w:ascii="Symbol" w:hAnsi="Symbol" w:hint="default"/>
      </w:rPr>
    </w:lvl>
    <w:lvl w:ilvl="1" w:tplc="DCCAB06E">
      <w:numFmt w:val="decimal"/>
      <w:lvlText w:val=""/>
      <w:lvlJc w:val="left"/>
    </w:lvl>
    <w:lvl w:ilvl="2" w:tplc="21E470B2">
      <w:numFmt w:val="decimal"/>
      <w:lvlText w:val=""/>
      <w:lvlJc w:val="left"/>
    </w:lvl>
    <w:lvl w:ilvl="3" w:tplc="B5B0D2A8">
      <w:numFmt w:val="decimal"/>
      <w:lvlText w:val=""/>
      <w:lvlJc w:val="left"/>
    </w:lvl>
    <w:lvl w:ilvl="4" w:tplc="173A4FC6">
      <w:numFmt w:val="decimal"/>
      <w:lvlText w:val=""/>
      <w:lvlJc w:val="left"/>
    </w:lvl>
    <w:lvl w:ilvl="5" w:tplc="D1AA097C">
      <w:numFmt w:val="decimal"/>
      <w:lvlText w:val=""/>
      <w:lvlJc w:val="left"/>
    </w:lvl>
    <w:lvl w:ilvl="6" w:tplc="5A8875AA">
      <w:numFmt w:val="decimal"/>
      <w:lvlText w:val=""/>
      <w:lvlJc w:val="left"/>
    </w:lvl>
    <w:lvl w:ilvl="7" w:tplc="9DA44314">
      <w:numFmt w:val="decimal"/>
      <w:lvlText w:val=""/>
      <w:lvlJc w:val="left"/>
    </w:lvl>
    <w:lvl w:ilvl="8" w:tplc="DEE0CC60">
      <w:numFmt w:val="decimal"/>
      <w:lvlText w:val=""/>
      <w:lvlJc w:val="left"/>
    </w:lvl>
  </w:abstractNum>
  <w:abstractNum w:abstractNumId="1126" w15:restartNumberingAfterBreak="0">
    <w:nsid w:val="7A364E1C"/>
    <w:multiLevelType w:val="hybridMultilevel"/>
    <w:tmpl w:val="7D5C9D72"/>
    <w:lvl w:ilvl="0" w:tplc="8678509A">
      <w:start w:val="1"/>
      <w:numFmt w:val="bullet"/>
      <w:lvlText w:val=""/>
      <w:lvlJc w:val="left"/>
      <w:pPr>
        <w:ind w:left="720" w:hanging="180"/>
      </w:pPr>
      <w:rPr>
        <w:rFonts w:ascii="Symbol" w:hAnsi="Symbol" w:hint="default"/>
      </w:rPr>
    </w:lvl>
    <w:lvl w:ilvl="1" w:tplc="AB463846">
      <w:numFmt w:val="decimal"/>
      <w:lvlText w:val=""/>
      <w:lvlJc w:val="left"/>
    </w:lvl>
    <w:lvl w:ilvl="2" w:tplc="50A2CA0A">
      <w:numFmt w:val="decimal"/>
      <w:lvlText w:val=""/>
      <w:lvlJc w:val="left"/>
    </w:lvl>
    <w:lvl w:ilvl="3" w:tplc="7C3C8672">
      <w:numFmt w:val="decimal"/>
      <w:lvlText w:val=""/>
      <w:lvlJc w:val="left"/>
    </w:lvl>
    <w:lvl w:ilvl="4" w:tplc="4BC2CC9E">
      <w:numFmt w:val="decimal"/>
      <w:lvlText w:val=""/>
      <w:lvlJc w:val="left"/>
    </w:lvl>
    <w:lvl w:ilvl="5" w:tplc="731C7D40">
      <w:numFmt w:val="decimal"/>
      <w:lvlText w:val=""/>
      <w:lvlJc w:val="left"/>
    </w:lvl>
    <w:lvl w:ilvl="6" w:tplc="9C60BA9C">
      <w:numFmt w:val="decimal"/>
      <w:lvlText w:val=""/>
      <w:lvlJc w:val="left"/>
    </w:lvl>
    <w:lvl w:ilvl="7" w:tplc="AAB464D4">
      <w:numFmt w:val="decimal"/>
      <w:lvlText w:val=""/>
      <w:lvlJc w:val="left"/>
    </w:lvl>
    <w:lvl w:ilvl="8" w:tplc="AE4074CE">
      <w:numFmt w:val="decimal"/>
      <w:lvlText w:val=""/>
      <w:lvlJc w:val="left"/>
    </w:lvl>
  </w:abstractNum>
  <w:abstractNum w:abstractNumId="1127" w15:restartNumberingAfterBreak="0">
    <w:nsid w:val="7A4E63EF"/>
    <w:multiLevelType w:val="hybridMultilevel"/>
    <w:tmpl w:val="385A3F58"/>
    <w:lvl w:ilvl="0" w:tplc="86DC19A6">
      <w:start w:val="1"/>
      <w:numFmt w:val="bullet"/>
      <w:lvlText w:val=""/>
      <w:lvlJc w:val="left"/>
      <w:pPr>
        <w:ind w:left="720" w:hanging="180"/>
      </w:pPr>
      <w:rPr>
        <w:rFonts w:ascii="Symbol" w:hAnsi="Symbol" w:hint="default"/>
      </w:rPr>
    </w:lvl>
    <w:lvl w:ilvl="1" w:tplc="7E38D182">
      <w:numFmt w:val="decimal"/>
      <w:lvlText w:val=""/>
      <w:lvlJc w:val="left"/>
    </w:lvl>
    <w:lvl w:ilvl="2" w:tplc="EC808A16">
      <w:numFmt w:val="decimal"/>
      <w:lvlText w:val=""/>
      <w:lvlJc w:val="left"/>
    </w:lvl>
    <w:lvl w:ilvl="3" w:tplc="FEAC9404">
      <w:numFmt w:val="decimal"/>
      <w:lvlText w:val=""/>
      <w:lvlJc w:val="left"/>
    </w:lvl>
    <w:lvl w:ilvl="4" w:tplc="C0EA60C6">
      <w:numFmt w:val="decimal"/>
      <w:lvlText w:val=""/>
      <w:lvlJc w:val="left"/>
    </w:lvl>
    <w:lvl w:ilvl="5" w:tplc="0C36E8B0">
      <w:numFmt w:val="decimal"/>
      <w:lvlText w:val=""/>
      <w:lvlJc w:val="left"/>
    </w:lvl>
    <w:lvl w:ilvl="6" w:tplc="340402B0">
      <w:numFmt w:val="decimal"/>
      <w:lvlText w:val=""/>
      <w:lvlJc w:val="left"/>
    </w:lvl>
    <w:lvl w:ilvl="7" w:tplc="63901346">
      <w:numFmt w:val="decimal"/>
      <w:lvlText w:val=""/>
      <w:lvlJc w:val="left"/>
    </w:lvl>
    <w:lvl w:ilvl="8" w:tplc="CB2CCD1C">
      <w:numFmt w:val="decimal"/>
      <w:lvlText w:val=""/>
      <w:lvlJc w:val="left"/>
    </w:lvl>
  </w:abstractNum>
  <w:abstractNum w:abstractNumId="1128" w15:restartNumberingAfterBreak="0">
    <w:nsid w:val="7A530B4C"/>
    <w:multiLevelType w:val="hybridMultilevel"/>
    <w:tmpl w:val="31A631BA"/>
    <w:lvl w:ilvl="0" w:tplc="1E7A7AA0">
      <w:start w:val="1"/>
      <w:numFmt w:val="bullet"/>
      <w:lvlText w:val=""/>
      <w:lvlJc w:val="left"/>
      <w:pPr>
        <w:ind w:left="720" w:hanging="180"/>
      </w:pPr>
      <w:rPr>
        <w:rFonts w:ascii="Symbol" w:hAnsi="Symbol" w:hint="default"/>
      </w:rPr>
    </w:lvl>
    <w:lvl w:ilvl="1" w:tplc="C4E664C8">
      <w:numFmt w:val="decimal"/>
      <w:lvlText w:val=""/>
      <w:lvlJc w:val="left"/>
    </w:lvl>
    <w:lvl w:ilvl="2" w:tplc="D0EED9F4">
      <w:numFmt w:val="decimal"/>
      <w:lvlText w:val=""/>
      <w:lvlJc w:val="left"/>
    </w:lvl>
    <w:lvl w:ilvl="3" w:tplc="1CD8DFC6">
      <w:numFmt w:val="decimal"/>
      <w:lvlText w:val=""/>
      <w:lvlJc w:val="left"/>
    </w:lvl>
    <w:lvl w:ilvl="4" w:tplc="4BB83BEC">
      <w:numFmt w:val="decimal"/>
      <w:lvlText w:val=""/>
      <w:lvlJc w:val="left"/>
    </w:lvl>
    <w:lvl w:ilvl="5" w:tplc="2FD8F862">
      <w:numFmt w:val="decimal"/>
      <w:lvlText w:val=""/>
      <w:lvlJc w:val="left"/>
    </w:lvl>
    <w:lvl w:ilvl="6" w:tplc="6DC6AC9A">
      <w:numFmt w:val="decimal"/>
      <w:lvlText w:val=""/>
      <w:lvlJc w:val="left"/>
    </w:lvl>
    <w:lvl w:ilvl="7" w:tplc="10748E80">
      <w:numFmt w:val="decimal"/>
      <w:lvlText w:val=""/>
      <w:lvlJc w:val="left"/>
    </w:lvl>
    <w:lvl w:ilvl="8" w:tplc="4726D4CC">
      <w:numFmt w:val="decimal"/>
      <w:lvlText w:val=""/>
      <w:lvlJc w:val="left"/>
    </w:lvl>
  </w:abstractNum>
  <w:abstractNum w:abstractNumId="1129" w15:restartNumberingAfterBreak="0">
    <w:nsid w:val="7A5B4708"/>
    <w:multiLevelType w:val="hybridMultilevel"/>
    <w:tmpl w:val="9F2E1086"/>
    <w:lvl w:ilvl="0" w:tplc="2A3E0BD8">
      <w:start w:val="1"/>
      <w:numFmt w:val="bullet"/>
      <w:lvlText w:val=""/>
      <w:lvlJc w:val="left"/>
      <w:pPr>
        <w:ind w:left="720" w:hanging="180"/>
      </w:pPr>
      <w:rPr>
        <w:rFonts w:ascii="Symbol" w:hAnsi="Symbol" w:hint="default"/>
      </w:rPr>
    </w:lvl>
    <w:lvl w:ilvl="1" w:tplc="B7B2DC1C">
      <w:numFmt w:val="decimal"/>
      <w:lvlText w:val=""/>
      <w:lvlJc w:val="left"/>
    </w:lvl>
    <w:lvl w:ilvl="2" w:tplc="DBEC8D78">
      <w:numFmt w:val="decimal"/>
      <w:lvlText w:val=""/>
      <w:lvlJc w:val="left"/>
    </w:lvl>
    <w:lvl w:ilvl="3" w:tplc="DE5AB11E">
      <w:numFmt w:val="decimal"/>
      <w:lvlText w:val=""/>
      <w:lvlJc w:val="left"/>
    </w:lvl>
    <w:lvl w:ilvl="4" w:tplc="3AE0F2E4">
      <w:numFmt w:val="decimal"/>
      <w:lvlText w:val=""/>
      <w:lvlJc w:val="left"/>
    </w:lvl>
    <w:lvl w:ilvl="5" w:tplc="AE4AC36A">
      <w:numFmt w:val="decimal"/>
      <w:lvlText w:val=""/>
      <w:lvlJc w:val="left"/>
    </w:lvl>
    <w:lvl w:ilvl="6" w:tplc="4C12D150">
      <w:numFmt w:val="decimal"/>
      <w:lvlText w:val=""/>
      <w:lvlJc w:val="left"/>
    </w:lvl>
    <w:lvl w:ilvl="7" w:tplc="7532979C">
      <w:numFmt w:val="decimal"/>
      <w:lvlText w:val=""/>
      <w:lvlJc w:val="left"/>
    </w:lvl>
    <w:lvl w:ilvl="8" w:tplc="AE90803E">
      <w:numFmt w:val="decimal"/>
      <w:lvlText w:val=""/>
      <w:lvlJc w:val="left"/>
    </w:lvl>
  </w:abstractNum>
  <w:abstractNum w:abstractNumId="1130" w15:restartNumberingAfterBreak="0">
    <w:nsid w:val="7A60782B"/>
    <w:multiLevelType w:val="hybridMultilevel"/>
    <w:tmpl w:val="D8EC6652"/>
    <w:lvl w:ilvl="0" w:tplc="C654FD08">
      <w:start w:val="1"/>
      <w:numFmt w:val="bullet"/>
      <w:lvlText w:val=""/>
      <w:lvlJc w:val="left"/>
      <w:pPr>
        <w:ind w:left="720" w:hanging="180"/>
      </w:pPr>
      <w:rPr>
        <w:rFonts w:ascii="Symbol" w:hAnsi="Symbol" w:hint="default"/>
      </w:rPr>
    </w:lvl>
    <w:lvl w:ilvl="1" w:tplc="A0EAC90A">
      <w:numFmt w:val="decimal"/>
      <w:lvlText w:val=""/>
      <w:lvlJc w:val="left"/>
    </w:lvl>
    <w:lvl w:ilvl="2" w:tplc="0FB25D76">
      <w:numFmt w:val="decimal"/>
      <w:lvlText w:val=""/>
      <w:lvlJc w:val="left"/>
    </w:lvl>
    <w:lvl w:ilvl="3" w:tplc="DD3245C4">
      <w:numFmt w:val="decimal"/>
      <w:lvlText w:val=""/>
      <w:lvlJc w:val="left"/>
    </w:lvl>
    <w:lvl w:ilvl="4" w:tplc="C9FE8A92">
      <w:numFmt w:val="decimal"/>
      <w:lvlText w:val=""/>
      <w:lvlJc w:val="left"/>
    </w:lvl>
    <w:lvl w:ilvl="5" w:tplc="66C07426">
      <w:numFmt w:val="decimal"/>
      <w:lvlText w:val=""/>
      <w:lvlJc w:val="left"/>
    </w:lvl>
    <w:lvl w:ilvl="6" w:tplc="74507D48">
      <w:numFmt w:val="decimal"/>
      <w:lvlText w:val=""/>
      <w:lvlJc w:val="left"/>
    </w:lvl>
    <w:lvl w:ilvl="7" w:tplc="A6EE78EC">
      <w:numFmt w:val="decimal"/>
      <w:lvlText w:val=""/>
      <w:lvlJc w:val="left"/>
    </w:lvl>
    <w:lvl w:ilvl="8" w:tplc="736A0DF6">
      <w:numFmt w:val="decimal"/>
      <w:lvlText w:val=""/>
      <w:lvlJc w:val="left"/>
    </w:lvl>
  </w:abstractNum>
  <w:abstractNum w:abstractNumId="1131" w15:restartNumberingAfterBreak="0">
    <w:nsid w:val="7A6133B8"/>
    <w:multiLevelType w:val="hybridMultilevel"/>
    <w:tmpl w:val="A5B6B158"/>
    <w:lvl w:ilvl="0" w:tplc="0ED6AA1E">
      <w:start w:val="1"/>
      <w:numFmt w:val="bullet"/>
      <w:lvlText w:val=""/>
      <w:lvlJc w:val="left"/>
      <w:pPr>
        <w:ind w:left="720" w:hanging="180"/>
      </w:pPr>
      <w:rPr>
        <w:rFonts w:ascii="Symbol" w:hAnsi="Symbol" w:hint="default"/>
      </w:rPr>
    </w:lvl>
    <w:lvl w:ilvl="1" w:tplc="F2322A36">
      <w:numFmt w:val="decimal"/>
      <w:lvlText w:val=""/>
      <w:lvlJc w:val="left"/>
    </w:lvl>
    <w:lvl w:ilvl="2" w:tplc="A27AA9EA">
      <w:numFmt w:val="decimal"/>
      <w:lvlText w:val=""/>
      <w:lvlJc w:val="left"/>
    </w:lvl>
    <w:lvl w:ilvl="3" w:tplc="0578457A">
      <w:numFmt w:val="decimal"/>
      <w:lvlText w:val=""/>
      <w:lvlJc w:val="left"/>
    </w:lvl>
    <w:lvl w:ilvl="4" w:tplc="B01CA0BA">
      <w:numFmt w:val="decimal"/>
      <w:lvlText w:val=""/>
      <w:lvlJc w:val="left"/>
    </w:lvl>
    <w:lvl w:ilvl="5" w:tplc="A962B482">
      <w:numFmt w:val="decimal"/>
      <w:lvlText w:val=""/>
      <w:lvlJc w:val="left"/>
    </w:lvl>
    <w:lvl w:ilvl="6" w:tplc="800A86E0">
      <w:numFmt w:val="decimal"/>
      <w:lvlText w:val=""/>
      <w:lvlJc w:val="left"/>
    </w:lvl>
    <w:lvl w:ilvl="7" w:tplc="C572461E">
      <w:numFmt w:val="decimal"/>
      <w:lvlText w:val=""/>
      <w:lvlJc w:val="left"/>
    </w:lvl>
    <w:lvl w:ilvl="8" w:tplc="3BE04B8A">
      <w:numFmt w:val="decimal"/>
      <w:lvlText w:val=""/>
      <w:lvlJc w:val="left"/>
    </w:lvl>
  </w:abstractNum>
  <w:abstractNum w:abstractNumId="1132" w15:restartNumberingAfterBreak="0">
    <w:nsid w:val="7A846D43"/>
    <w:multiLevelType w:val="hybridMultilevel"/>
    <w:tmpl w:val="D5D86E66"/>
    <w:lvl w:ilvl="0" w:tplc="B268AEC8">
      <w:start w:val="1"/>
      <w:numFmt w:val="bullet"/>
      <w:lvlText w:val=""/>
      <w:lvlJc w:val="left"/>
      <w:pPr>
        <w:ind w:left="720" w:hanging="180"/>
      </w:pPr>
      <w:rPr>
        <w:rFonts w:ascii="Symbol" w:hAnsi="Symbol" w:hint="default"/>
      </w:rPr>
    </w:lvl>
    <w:lvl w:ilvl="1" w:tplc="A090218A">
      <w:numFmt w:val="decimal"/>
      <w:lvlText w:val=""/>
      <w:lvlJc w:val="left"/>
    </w:lvl>
    <w:lvl w:ilvl="2" w:tplc="24A2E53C">
      <w:numFmt w:val="decimal"/>
      <w:lvlText w:val=""/>
      <w:lvlJc w:val="left"/>
    </w:lvl>
    <w:lvl w:ilvl="3" w:tplc="C906A38A">
      <w:numFmt w:val="decimal"/>
      <w:lvlText w:val=""/>
      <w:lvlJc w:val="left"/>
    </w:lvl>
    <w:lvl w:ilvl="4" w:tplc="5AACE1AA">
      <w:numFmt w:val="decimal"/>
      <w:lvlText w:val=""/>
      <w:lvlJc w:val="left"/>
    </w:lvl>
    <w:lvl w:ilvl="5" w:tplc="BA18B2C0">
      <w:numFmt w:val="decimal"/>
      <w:lvlText w:val=""/>
      <w:lvlJc w:val="left"/>
    </w:lvl>
    <w:lvl w:ilvl="6" w:tplc="EF1ED102">
      <w:numFmt w:val="decimal"/>
      <w:lvlText w:val=""/>
      <w:lvlJc w:val="left"/>
    </w:lvl>
    <w:lvl w:ilvl="7" w:tplc="F31C2118">
      <w:numFmt w:val="decimal"/>
      <w:lvlText w:val=""/>
      <w:lvlJc w:val="left"/>
    </w:lvl>
    <w:lvl w:ilvl="8" w:tplc="D966D33C">
      <w:numFmt w:val="decimal"/>
      <w:lvlText w:val=""/>
      <w:lvlJc w:val="left"/>
    </w:lvl>
  </w:abstractNum>
  <w:abstractNum w:abstractNumId="1133" w15:restartNumberingAfterBreak="0">
    <w:nsid w:val="7AB717F8"/>
    <w:multiLevelType w:val="hybridMultilevel"/>
    <w:tmpl w:val="9AD8D808"/>
    <w:lvl w:ilvl="0" w:tplc="68AE6FE0">
      <w:start w:val="1"/>
      <w:numFmt w:val="bullet"/>
      <w:lvlText w:val=""/>
      <w:lvlJc w:val="left"/>
      <w:pPr>
        <w:ind w:left="720" w:hanging="180"/>
      </w:pPr>
      <w:rPr>
        <w:rFonts w:ascii="Symbol" w:hAnsi="Symbol" w:hint="default"/>
      </w:rPr>
    </w:lvl>
    <w:lvl w:ilvl="1" w:tplc="489A8F0A">
      <w:numFmt w:val="decimal"/>
      <w:lvlText w:val=""/>
      <w:lvlJc w:val="left"/>
    </w:lvl>
    <w:lvl w:ilvl="2" w:tplc="D3A2956C">
      <w:numFmt w:val="decimal"/>
      <w:lvlText w:val=""/>
      <w:lvlJc w:val="left"/>
    </w:lvl>
    <w:lvl w:ilvl="3" w:tplc="E5D6076C">
      <w:numFmt w:val="decimal"/>
      <w:lvlText w:val=""/>
      <w:lvlJc w:val="left"/>
    </w:lvl>
    <w:lvl w:ilvl="4" w:tplc="00BC7BB0">
      <w:numFmt w:val="decimal"/>
      <w:lvlText w:val=""/>
      <w:lvlJc w:val="left"/>
    </w:lvl>
    <w:lvl w:ilvl="5" w:tplc="9F8AFFD8">
      <w:numFmt w:val="decimal"/>
      <w:lvlText w:val=""/>
      <w:lvlJc w:val="left"/>
    </w:lvl>
    <w:lvl w:ilvl="6" w:tplc="AA54E82C">
      <w:numFmt w:val="decimal"/>
      <w:lvlText w:val=""/>
      <w:lvlJc w:val="left"/>
    </w:lvl>
    <w:lvl w:ilvl="7" w:tplc="5F386136">
      <w:numFmt w:val="decimal"/>
      <w:lvlText w:val=""/>
      <w:lvlJc w:val="left"/>
    </w:lvl>
    <w:lvl w:ilvl="8" w:tplc="BE40537A">
      <w:numFmt w:val="decimal"/>
      <w:lvlText w:val=""/>
      <w:lvlJc w:val="left"/>
    </w:lvl>
  </w:abstractNum>
  <w:abstractNum w:abstractNumId="1134" w15:restartNumberingAfterBreak="0">
    <w:nsid w:val="7AD76A6D"/>
    <w:multiLevelType w:val="hybridMultilevel"/>
    <w:tmpl w:val="38BCF6BA"/>
    <w:lvl w:ilvl="0" w:tplc="F062792A">
      <w:start w:val="1"/>
      <w:numFmt w:val="bullet"/>
      <w:lvlText w:val=""/>
      <w:lvlJc w:val="left"/>
      <w:pPr>
        <w:ind w:left="720" w:hanging="180"/>
      </w:pPr>
      <w:rPr>
        <w:rFonts w:ascii="Symbol" w:hAnsi="Symbol" w:hint="default"/>
      </w:rPr>
    </w:lvl>
    <w:lvl w:ilvl="1" w:tplc="C7DCE324">
      <w:numFmt w:val="decimal"/>
      <w:lvlText w:val=""/>
      <w:lvlJc w:val="left"/>
    </w:lvl>
    <w:lvl w:ilvl="2" w:tplc="7D0009C6">
      <w:numFmt w:val="decimal"/>
      <w:lvlText w:val=""/>
      <w:lvlJc w:val="left"/>
    </w:lvl>
    <w:lvl w:ilvl="3" w:tplc="34CE2420">
      <w:numFmt w:val="decimal"/>
      <w:lvlText w:val=""/>
      <w:lvlJc w:val="left"/>
    </w:lvl>
    <w:lvl w:ilvl="4" w:tplc="2F8C68C6">
      <w:numFmt w:val="decimal"/>
      <w:lvlText w:val=""/>
      <w:lvlJc w:val="left"/>
    </w:lvl>
    <w:lvl w:ilvl="5" w:tplc="E3327324">
      <w:numFmt w:val="decimal"/>
      <w:lvlText w:val=""/>
      <w:lvlJc w:val="left"/>
    </w:lvl>
    <w:lvl w:ilvl="6" w:tplc="AFE8D6D8">
      <w:numFmt w:val="decimal"/>
      <w:lvlText w:val=""/>
      <w:lvlJc w:val="left"/>
    </w:lvl>
    <w:lvl w:ilvl="7" w:tplc="DB561200">
      <w:numFmt w:val="decimal"/>
      <w:lvlText w:val=""/>
      <w:lvlJc w:val="left"/>
    </w:lvl>
    <w:lvl w:ilvl="8" w:tplc="E390B102">
      <w:numFmt w:val="decimal"/>
      <w:lvlText w:val=""/>
      <w:lvlJc w:val="left"/>
    </w:lvl>
  </w:abstractNum>
  <w:abstractNum w:abstractNumId="1135" w15:restartNumberingAfterBreak="0">
    <w:nsid w:val="7AE5777C"/>
    <w:multiLevelType w:val="hybridMultilevel"/>
    <w:tmpl w:val="4E78EB38"/>
    <w:lvl w:ilvl="0" w:tplc="7A0C8F30">
      <w:start w:val="1"/>
      <w:numFmt w:val="bullet"/>
      <w:lvlText w:val=""/>
      <w:lvlJc w:val="left"/>
      <w:pPr>
        <w:ind w:left="720" w:hanging="180"/>
      </w:pPr>
      <w:rPr>
        <w:rFonts w:ascii="Symbol" w:hAnsi="Symbol" w:hint="default"/>
      </w:rPr>
    </w:lvl>
    <w:lvl w:ilvl="1" w:tplc="988EFB90">
      <w:numFmt w:val="decimal"/>
      <w:lvlText w:val=""/>
      <w:lvlJc w:val="left"/>
    </w:lvl>
    <w:lvl w:ilvl="2" w:tplc="7CFC5A1C">
      <w:numFmt w:val="decimal"/>
      <w:lvlText w:val=""/>
      <w:lvlJc w:val="left"/>
    </w:lvl>
    <w:lvl w:ilvl="3" w:tplc="485C41AA">
      <w:numFmt w:val="decimal"/>
      <w:lvlText w:val=""/>
      <w:lvlJc w:val="left"/>
    </w:lvl>
    <w:lvl w:ilvl="4" w:tplc="737A83D8">
      <w:numFmt w:val="decimal"/>
      <w:lvlText w:val=""/>
      <w:lvlJc w:val="left"/>
    </w:lvl>
    <w:lvl w:ilvl="5" w:tplc="9DC651EC">
      <w:numFmt w:val="decimal"/>
      <w:lvlText w:val=""/>
      <w:lvlJc w:val="left"/>
    </w:lvl>
    <w:lvl w:ilvl="6" w:tplc="19AC33CA">
      <w:numFmt w:val="decimal"/>
      <w:lvlText w:val=""/>
      <w:lvlJc w:val="left"/>
    </w:lvl>
    <w:lvl w:ilvl="7" w:tplc="17EAB33C">
      <w:numFmt w:val="decimal"/>
      <w:lvlText w:val=""/>
      <w:lvlJc w:val="left"/>
    </w:lvl>
    <w:lvl w:ilvl="8" w:tplc="83943BC6">
      <w:numFmt w:val="decimal"/>
      <w:lvlText w:val=""/>
      <w:lvlJc w:val="left"/>
    </w:lvl>
  </w:abstractNum>
  <w:abstractNum w:abstractNumId="1136" w15:restartNumberingAfterBreak="0">
    <w:nsid w:val="7B12321D"/>
    <w:multiLevelType w:val="hybridMultilevel"/>
    <w:tmpl w:val="68E8E876"/>
    <w:lvl w:ilvl="0" w:tplc="B57C0BEE">
      <w:start w:val="1"/>
      <w:numFmt w:val="bullet"/>
      <w:lvlText w:val=""/>
      <w:lvlJc w:val="left"/>
      <w:pPr>
        <w:ind w:left="720" w:hanging="180"/>
      </w:pPr>
      <w:rPr>
        <w:rFonts w:ascii="Symbol" w:hAnsi="Symbol" w:hint="default"/>
      </w:rPr>
    </w:lvl>
    <w:lvl w:ilvl="1" w:tplc="01D0F55A">
      <w:numFmt w:val="decimal"/>
      <w:lvlText w:val=""/>
      <w:lvlJc w:val="left"/>
    </w:lvl>
    <w:lvl w:ilvl="2" w:tplc="266A387C">
      <w:numFmt w:val="decimal"/>
      <w:lvlText w:val=""/>
      <w:lvlJc w:val="left"/>
    </w:lvl>
    <w:lvl w:ilvl="3" w:tplc="3F0E830E">
      <w:numFmt w:val="decimal"/>
      <w:lvlText w:val=""/>
      <w:lvlJc w:val="left"/>
    </w:lvl>
    <w:lvl w:ilvl="4" w:tplc="19149284">
      <w:numFmt w:val="decimal"/>
      <w:lvlText w:val=""/>
      <w:lvlJc w:val="left"/>
    </w:lvl>
    <w:lvl w:ilvl="5" w:tplc="4028B0C6">
      <w:numFmt w:val="decimal"/>
      <w:lvlText w:val=""/>
      <w:lvlJc w:val="left"/>
    </w:lvl>
    <w:lvl w:ilvl="6" w:tplc="461059C0">
      <w:numFmt w:val="decimal"/>
      <w:lvlText w:val=""/>
      <w:lvlJc w:val="left"/>
    </w:lvl>
    <w:lvl w:ilvl="7" w:tplc="874606D4">
      <w:numFmt w:val="decimal"/>
      <w:lvlText w:val=""/>
      <w:lvlJc w:val="left"/>
    </w:lvl>
    <w:lvl w:ilvl="8" w:tplc="68A4E400">
      <w:numFmt w:val="decimal"/>
      <w:lvlText w:val=""/>
      <w:lvlJc w:val="left"/>
    </w:lvl>
  </w:abstractNum>
  <w:abstractNum w:abstractNumId="1137" w15:restartNumberingAfterBreak="0">
    <w:nsid w:val="7B32752F"/>
    <w:multiLevelType w:val="hybridMultilevel"/>
    <w:tmpl w:val="A0F0AAE4"/>
    <w:lvl w:ilvl="0" w:tplc="9B9AF8CE">
      <w:start w:val="1"/>
      <w:numFmt w:val="bullet"/>
      <w:lvlText w:val=""/>
      <w:lvlJc w:val="left"/>
      <w:pPr>
        <w:ind w:left="720" w:hanging="180"/>
      </w:pPr>
      <w:rPr>
        <w:rFonts w:ascii="Symbol" w:hAnsi="Symbol" w:hint="default"/>
      </w:rPr>
    </w:lvl>
    <w:lvl w:ilvl="1" w:tplc="BBA075CA">
      <w:numFmt w:val="decimal"/>
      <w:lvlText w:val=""/>
      <w:lvlJc w:val="left"/>
    </w:lvl>
    <w:lvl w:ilvl="2" w:tplc="464A01E8">
      <w:numFmt w:val="decimal"/>
      <w:lvlText w:val=""/>
      <w:lvlJc w:val="left"/>
    </w:lvl>
    <w:lvl w:ilvl="3" w:tplc="64044962">
      <w:numFmt w:val="decimal"/>
      <w:lvlText w:val=""/>
      <w:lvlJc w:val="left"/>
    </w:lvl>
    <w:lvl w:ilvl="4" w:tplc="C6F2A66A">
      <w:numFmt w:val="decimal"/>
      <w:lvlText w:val=""/>
      <w:lvlJc w:val="left"/>
    </w:lvl>
    <w:lvl w:ilvl="5" w:tplc="A582EDF6">
      <w:numFmt w:val="decimal"/>
      <w:lvlText w:val=""/>
      <w:lvlJc w:val="left"/>
    </w:lvl>
    <w:lvl w:ilvl="6" w:tplc="7CE008AC">
      <w:numFmt w:val="decimal"/>
      <w:lvlText w:val=""/>
      <w:lvlJc w:val="left"/>
    </w:lvl>
    <w:lvl w:ilvl="7" w:tplc="FF3A0D76">
      <w:numFmt w:val="decimal"/>
      <w:lvlText w:val=""/>
      <w:lvlJc w:val="left"/>
    </w:lvl>
    <w:lvl w:ilvl="8" w:tplc="CF184760">
      <w:numFmt w:val="decimal"/>
      <w:lvlText w:val=""/>
      <w:lvlJc w:val="left"/>
    </w:lvl>
  </w:abstractNum>
  <w:abstractNum w:abstractNumId="1138" w15:restartNumberingAfterBreak="0">
    <w:nsid w:val="7B45487E"/>
    <w:multiLevelType w:val="hybridMultilevel"/>
    <w:tmpl w:val="9D2E9CB4"/>
    <w:lvl w:ilvl="0" w:tplc="5282A260">
      <w:start w:val="1"/>
      <w:numFmt w:val="bullet"/>
      <w:lvlText w:val=""/>
      <w:lvlJc w:val="left"/>
      <w:pPr>
        <w:ind w:left="720" w:hanging="180"/>
      </w:pPr>
      <w:rPr>
        <w:rFonts w:ascii="Symbol" w:hAnsi="Symbol" w:hint="default"/>
      </w:rPr>
    </w:lvl>
    <w:lvl w:ilvl="1" w:tplc="A682635C">
      <w:numFmt w:val="decimal"/>
      <w:lvlText w:val=""/>
      <w:lvlJc w:val="left"/>
    </w:lvl>
    <w:lvl w:ilvl="2" w:tplc="5262FE82">
      <w:numFmt w:val="decimal"/>
      <w:lvlText w:val=""/>
      <w:lvlJc w:val="left"/>
    </w:lvl>
    <w:lvl w:ilvl="3" w:tplc="84426A58">
      <w:numFmt w:val="decimal"/>
      <w:lvlText w:val=""/>
      <w:lvlJc w:val="left"/>
    </w:lvl>
    <w:lvl w:ilvl="4" w:tplc="4C6AF5E0">
      <w:numFmt w:val="decimal"/>
      <w:lvlText w:val=""/>
      <w:lvlJc w:val="left"/>
    </w:lvl>
    <w:lvl w:ilvl="5" w:tplc="422054D2">
      <w:numFmt w:val="decimal"/>
      <w:lvlText w:val=""/>
      <w:lvlJc w:val="left"/>
    </w:lvl>
    <w:lvl w:ilvl="6" w:tplc="7FEA998A">
      <w:numFmt w:val="decimal"/>
      <w:lvlText w:val=""/>
      <w:lvlJc w:val="left"/>
    </w:lvl>
    <w:lvl w:ilvl="7" w:tplc="CF1A94A2">
      <w:numFmt w:val="decimal"/>
      <w:lvlText w:val=""/>
      <w:lvlJc w:val="left"/>
    </w:lvl>
    <w:lvl w:ilvl="8" w:tplc="8D68771C">
      <w:numFmt w:val="decimal"/>
      <w:lvlText w:val=""/>
      <w:lvlJc w:val="left"/>
    </w:lvl>
  </w:abstractNum>
  <w:abstractNum w:abstractNumId="1139" w15:restartNumberingAfterBreak="0">
    <w:nsid w:val="7B582D97"/>
    <w:multiLevelType w:val="hybridMultilevel"/>
    <w:tmpl w:val="60B698AA"/>
    <w:lvl w:ilvl="0" w:tplc="42B0C358">
      <w:start w:val="1"/>
      <w:numFmt w:val="bullet"/>
      <w:lvlText w:val=""/>
      <w:lvlJc w:val="left"/>
      <w:pPr>
        <w:ind w:left="720" w:hanging="180"/>
      </w:pPr>
      <w:rPr>
        <w:rFonts w:ascii="Symbol" w:hAnsi="Symbol" w:hint="default"/>
      </w:rPr>
    </w:lvl>
    <w:lvl w:ilvl="1" w:tplc="9FD056F0">
      <w:numFmt w:val="decimal"/>
      <w:lvlText w:val=""/>
      <w:lvlJc w:val="left"/>
    </w:lvl>
    <w:lvl w:ilvl="2" w:tplc="9B64EAFA">
      <w:numFmt w:val="decimal"/>
      <w:lvlText w:val=""/>
      <w:lvlJc w:val="left"/>
    </w:lvl>
    <w:lvl w:ilvl="3" w:tplc="FE58F91E">
      <w:numFmt w:val="decimal"/>
      <w:lvlText w:val=""/>
      <w:lvlJc w:val="left"/>
    </w:lvl>
    <w:lvl w:ilvl="4" w:tplc="BCA23FC2">
      <w:numFmt w:val="decimal"/>
      <w:lvlText w:val=""/>
      <w:lvlJc w:val="left"/>
    </w:lvl>
    <w:lvl w:ilvl="5" w:tplc="8A46371A">
      <w:numFmt w:val="decimal"/>
      <w:lvlText w:val=""/>
      <w:lvlJc w:val="left"/>
    </w:lvl>
    <w:lvl w:ilvl="6" w:tplc="2A020F34">
      <w:numFmt w:val="decimal"/>
      <w:lvlText w:val=""/>
      <w:lvlJc w:val="left"/>
    </w:lvl>
    <w:lvl w:ilvl="7" w:tplc="B5FE5FCE">
      <w:numFmt w:val="decimal"/>
      <w:lvlText w:val=""/>
      <w:lvlJc w:val="left"/>
    </w:lvl>
    <w:lvl w:ilvl="8" w:tplc="C15ED3DE">
      <w:numFmt w:val="decimal"/>
      <w:lvlText w:val=""/>
      <w:lvlJc w:val="left"/>
    </w:lvl>
  </w:abstractNum>
  <w:abstractNum w:abstractNumId="1140" w15:restartNumberingAfterBreak="0">
    <w:nsid w:val="7B6D48C9"/>
    <w:multiLevelType w:val="hybridMultilevel"/>
    <w:tmpl w:val="0784BA36"/>
    <w:lvl w:ilvl="0" w:tplc="2E3AEA96">
      <w:start w:val="1"/>
      <w:numFmt w:val="bullet"/>
      <w:lvlText w:val=""/>
      <w:lvlJc w:val="left"/>
      <w:pPr>
        <w:ind w:left="720" w:hanging="180"/>
      </w:pPr>
      <w:rPr>
        <w:rFonts w:ascii="Symbol" w:hAnsi="Symbol" w:hint="default"/>
      </w:rPr>
    </w:lvl>
    <w:lvl w:ilvl="1" w:tplc="2CE8377E">
      <w:numFmt w:val="decimal"/>
      <w:lvlText w:val=""/>
      <w:lvlJc w:val="left"/>
    </w:lvl>
    <w:lvl w:ilvl="2" w:tplc="5CF6CC46">
      <w:numFmt w:val="decimal"/>
      <w:lvlText w:val=""/>
      <w:lvlJc w:val="left"/>
    </w:lvl>
    <w:lvl w:ilvl="3" w:tplc="3AA8D0A6">
      <w:numFmt w:val="decimal"/>
      <w:lvlText w:val=""/>
      <w:lvlJc w:val="left"/>
    </w:lvl>
    <w:lvl w:ilvl="4" w:tplc="1FB83808">
      <w:numFmt w:val="decimal"/>
      <w:lvlText w:val=""/>
      <w:lvlJc w:val="left"/>
    </w:lvl>
    <w:lvl w:ilvl="5" w:tplc="0D04CAA2">
      <w:numFmt w:val="decimal"/>
      <w:lvlText w:val=""/>
      <w:lvlJc w:val="left"/>
    </w:lvl>
    <w:lvl w:ilvl="6" w:tplc="4224B4E0">
      <w:numFmt w:val="decimal"/>
      <w:lvlText w:val=""/>
      <w:lvlJc w:val="left"/>
    </w:lvl>
    <w:lvl w:ilvl="7" w:tplc="67F23C70">
      <w:numFmt w:val="decimal"/>
      <w:lvlText w:val=""/>
      <w:lvlJc w:val="left"/>
    </w:lvl>
    <w:lvl w:ilvl="8" w:tplc="E3246C80">
      <w:numFmt w:val="decimal"/>
      <w:lvlText w:val=""/>
      <w:lvlJc w:val="left"/>
    </w:lvl>
  </w:abstractNum>
  <w:abstractNum w:abstractNumId="1141" w15:restartNumberingAfterBreak="0">
    <w:nsid w:val="7B9845C8"/>
    <w:multiLevelType w:val="hybridMultilevel"/>
    <w:tmpl w:val="B5005800"/>
    <w:lvl w:ilvl="0" w:tplc="8E1C4F72">
      <w:start w:val="1"/>
      <w:numFmt w:val="bullet"/>
      <w:lvlText w:val=""/>
      <w:lvlJc w:val="left"/>
      <w:pPr>
        <w:ind w:left="720" w:hanging="180"/>
      </w:pPr>
      <w:rPr>
        <w:rFonts w:ascii="Symbol" w:hAnsi="Symbol" w:hint="default"/>
      </w:rPr>
    </w:lvl>
    <w:lvl w:ilvl="1" w:tplc="60BC9D74">
      <w:numFmt w:val="decimal"/>
      <w:lvlText w:val=""/>
      <w:lvlJc w:val="left"/>
    </w:lvl>
    <w:lvl w:ilvl="2" w:tplc="08EA501E">
      <w:numFmt w:val="decimal"/>
      <w:lvlText w:val=""/>
      <w:lvlJc w:val="left"/>
    </w:lvl>
    <w:lvl w:ilvl="3" w:tplc="F7D090DA">
      <w:numFmt w:val="decimal"/>
      <w:lvlText w:val=""/>
      <w:lvlJc w:val="left"/>
    </w:lvl>
    <w:lvl w:ilvl="4" w:tplc="614ABC56">
      <w:numFmt w:val="decimal"/>
      <w:lvlText w:val=""/>
      <w:lvlJc w:val="left"/>
    </w:lvl>
    <w:lvl w:ilvl="5" w:tplc="E70E9C62">
      <w:numFmt w:val="decimal"/>
      <w:lvlText w:val=""/>
      <w:lvlJc w:val="left"/>
    </w:lvl>
    <w:lvl w:ilvl="6" w:tplc="01381984">
      <w:numFmt w:val="decimal"/>
      <w:lvlText w:val=""/>
      <w:lvlJc w:val="left"/>
    </w:lvl>
    <w:lvl w:ilvl="7" w:tplc="3896481C">
      <w:numFmt w:val="decimal"/>
      <w:lvlText w:val=""/>
      <w:lvlJc w:val="left"/>
    </w:lvl>
    <w:lvl w:ilvl="8" w:tplc="CD72178C">
      <w:numFmt w:val="decimal"/>
      <w:lvlText w:val=""/>
      <w:lvlJc w:val="left"/>
    </w:lvl>
  </w:abstractNum>
  <w:abstractNum w:abstractNumId="1142" w15:restartNumberingAfterBreak="0">
    <w:nsid w:val="7BB06821"/>
    <w:multiLevelType w:val="hybridMultilevel"/>
    <w:tmpl w:val="07E8B4DC"/>
    <w:lvl w:ilvl="0" w:tplc="E5B8586C">
      <w:start w:val="1"/>
      <w:numFmt w:val="bullet"/>
      <w:lvlText w:val=""/>
      <w:lvlJc w:val="left"/>
      <w:pPr>
        <w:ind w:left="720" w:hanging="180"/>
      </w:pPr>
      <w:rPr>
        <w:rFonts w:ascii="Symbol" w:hAnsi="Symbol" w:hint="default"/>
      </w:rPr>
    </w:lvl>
    <w:lvl w:ilvl="1" w:tplc="7C006F26">
      <w:numFmt w:val="decimal"/>
      <w:lvlText w:val=""/>
      <w:lvlJc w:val="left"/>
    </w:lvl>
    <w:lvl w:ilvl="2" w:tplc="8CD2EE96">
      <w:numFmt w:val="decimal"/>
      <w:lvlText w:val=""/>
      <w:lvlJc w:val="left"/>
    </w:lvl>
    <w:lvl w:ilvl="3" w:tplc="76FC3A92">
      <w:numFmt w:val="decimal"/>
      <w:lvlText w:val=""/>
      <w:lvlJc w:val="left"/>
    </w:lvl>
    <w:lvl w:ilvl="4" w:tplc="478632AC">
      <w:numFmt w:val="decimal"/>
      <w:lvlText w:val=""/>
      <w:lvlJc w:val="left"/>
    </w:lvl>
    <w:lvl w:ilvl="5" w:tplc="820A1BD6">
      <w:numFmt w:val="decimal"/>
      <w:lvlText w:val=""/>
      <w:lvlJc w:val="left"/>
    </w:lvl>
    <w:lvl w:ilvl="6" w:tplc="3CC848B0">
      <w:numFmt w:val="decimal"/>
      <w:lvlText w:val=""/>
      <w:lvlJc w:val="left"/>
    </w:lvl>
    <w:lvl w:ilvl="7" w:tplc="E8580310">
      <w:numFmt w:val="decimal"/>
      <w:lvlText w:val=""/>
      <w:lvlJc w:val="left"/>
    </w:lvl>
    <w:lvl w:ilvl="8" w:tplc="CACA2820">
      <w:numFmt w:val="decimal"/>
      <w:lvlText w:val=""/>
      <w:lvlJc w:val="left"/>
    </w:lvl>
  </w:abstractNum>
  <w:abstractNum w:abstractNumId="1143" w15:restartNumberingAfterBreak="0">
    <w:nsid w:val="7BC218AE"/>
    <w:multiLevelType w:val="hybridMultilevel"/>
    <w:tmpl w:val="DF16CF60"/>
    <w:lvl w:ilvl="0" w:tplc="3D4849F2">
      <w:start w:val="1"/>
      <w:numFmt w:val="bullet"/>
      <w:lvlText w:val=""/>
      <w:lvlJc w:val="left"/>
      <w:pPr>
        <w:ind w:left="720" w:hanging="180"/>
      </w:pPr>
      <w:rPr>
        <w:rFonts w:ascii="Symbol" w:hAnsi="Symbol" w:hint="default"/>
      </w:rPr>
    </w:lvl>
    <w:lvl w:ilvl="1" w:tplc="39E430B4">
      <w:numFmt w:val="decimal"/>
      <w:lvlText w:val=""/>
      <w:lvlJc w:val="left"/>
    </w:lvl>
    <w:lvl w:ilvl="2" w:tplc="D21CF47C">
      <w:numFmt w:val="decimal"/>
      <w:lvlText w:val=""/>
      <w:lvlJc w:val="left"/>
    </w:lvl>
    <w:lvl w:ilvl="3" w:tplc="00E24600">
      <w:numFmt w:val="decimal"/>
      <w:lvlText w:val=""/>
      <w:lvlJc w:val="left"/>
    </w:lvl>
    <w:lvl w:ilvl="4" w:tplc="F2D43954">
      <w:numFmt w:val="decimal"/>
      <w:lvlText w:val=""/>
      <w:lvlJc w:val="left"/>
    </w:lvl>
    <w:lvl w:ilvl="5" w:tplc="975E952C">
      <w:numFmt w:val="decimal"/>
      <w:lvlText w:val=""/>
      <w:lvlJc w:val="left"/>
    </w:lvl>
    <w:lvl w:ilvl="6" w:tplc="5FCA20E2">
      <w:numFmt w:val="decimal"/>
      <w:lvlText w:val=""/>
      <w:lvlJc w:val="left"/>
    </w:lvl>
    <w:lvl w:ilvl="7" w:tplc="F7C02318">
      <w:numFmt w:val="decimal"/>
      <w:lvlText w:val=""/>
      <w:lvlJc w:val="left"/>
    </w:lvl>
    <w:lvl w:ilvl="8" w:tplc="96E0A0BC">
      <w:numFmt w:val="decimal"/>
      <w:lvlText w:val=""/>
      <w:lvlJc w:val="left"/>
    </w:lvl>
  </w:abstractNum>
  <w:abstractNum w:abstractNumId="1144" w15:restartNumberingAfterBreak="0">
    <w:nsid w:val="7BD57EA1"/>
    <w:multiLevelType w:val="hybridMultilevel"/>
    <w:tmpl w:val="94005DF2"/>
    <w:lvl w:ilvl="0" w:tplc="752EFCCA">
      <w:start w:val="1"/>
      <w:numFmt w:val="bullet"/>
      <w:lvlText w:val=""/>
      <w:lvlJc w:val="left"/>
      <w:pPr>
        <w:ind w:left="720" w:hanging="180"/>
      </w:pPr>
      <w:rPr>
        <w:rFonts w:ascii="Symbol" w:hAnsi="Symbol" w:hint="default"/>
      </w:rPr>
    </w:lvl>
    <w:lvl w:ilvl="1" w:tplc="75FA821A">
      <w:numFmt w:val="decimal"/>
      <w:lvlText w:val=""/>
      <w:lvlJc w:val="left"/>
    </w:lvl>
    <w:lvl w:ilvl="2" w:tplc="BC86F296">
      <w:numFmt w:val="decimal"/>
      <w:lvlText w:val=""/>
      <w:lvlJc w:val="left"/>
    </w:lvl>
    <w:lvl w:ilvl="3" w:tplc="0080833E">
      <w:numFmt w:val="decimal"/>
      <w:lvlText w:val=""/>
      <w:lvlJc w:val="left"/>
    </w:lvl>
    <w:lvl w:ilvl="4" w:tplc="5DDE77D8">
      <w:numFmt w:val="decimal"/>
      <w:lvlText w:val=""/>
      <w:lvlJc w:val="left"/>
    </w:lvl>
    <w:lvl w:ilvl="5" w:tplc="05247D20">
      <w:numFmt w:val="decimal"/>
      <w:lvlText w:val=""/>
      <w:lvlJc w:val="left"/>
    </w:lvl>
    <w:lvl w:ilvl="6" w:tplc="DA7AF69E">
      <w:numFmt w:val="decimal"/>
      <w:lvlText w:val=""/>
      <w:lvlJc w:val="left"/>
    </w:lvl>
    <w:lvl w:ilvl="7" w:tplc="BD202874">
      <w:numFmt w:val="decimal"/>
      <w:lvlText w:val=""/>
      <w:lvlJc w:val="left"/>
    </w:lvl>
    <w:lvl w:ilvl="8" w:tplc="50F402D0">
      <w:numFmt w:val="decimal"/>
      <w:lvlText w:val=""/>
      <w:lvlJc w:val="left"/>
    </w:lvl>
  </w:abstractNum>
  <w:abstractNum w:abstractNumId="1145" w15:restartNumberingAfterBreak="0">
    <w:nsid w:val="7BE309BD"/>
    <w:multiLevelType w:val="hybridMultilevel"/>
    <w:tmpl w:val="A626B00A"/>
    <w:lvl w:ilvl="0" w:tplc="DED2B1E4">
      <w:start w:val="1"/>
      <w:numFmt w:val="bullet"/>
      <w:lvlText w:val=""/>
      <w:lvlJc w:val="left"/>
      <w:pPr>
        <w:ind w:left="720" w:hanging="180"/>
      </w:pPr>
      <w:rPr>
        <w:rFonts w:ascii="Symbol" w:hAnsi="Symbol" w:hint="default"/>
      </w:rPr>
    </w:lvl>
    <w:lvl w:ilvl="1" w:tplc="070CDBD6">
      <w:numFmt w:val="decimal"/>
      <w:lvlText w:val=""/>
      <w:lvlJc w:val="left"/>
    </w:lvl>
    <w:lvl w:ilvl="2" w:tplc="43DEFFCC">
      <w:numFmt w:val="decimal"/>
      <w:lvlText w:val=""/>
      <w:lvlJc w:val="left"/>
    </w:lvl>
    <w:lvl w:ilvl="3" w:tplc="BCBAAF5C">
      <w:numFmt w:val="decimal"/>
      <w:lvlText w:val=""/>
      <w:lvlJc w:val="left"/>
    </w:lvl>
    <w:lvl w:ilvl="4" w:tplc="C89C930E">
      <w:numFmt w:val="decimal"/>
      <w:lvlText w:val=""/>
      <w:lvlJc w:val="left"/>
    </w:lvl>
    <w:lvl w:ilvl="5" w:tplc="181ADCF6">
      <w:numFmt w:val="decimal"/>
      <w:lvlText w:val=""/>
      <w:lvlJc w:val="left"/>
    </w:lvl>
    <w:lvl w:ilvl="6" w:tplc="42BA4B2A">
      <w:numFmt w:val="decimal"/>
      <w:lvlText w:val=""/>
      <w:lvlJc w:val="left"/>
    </w:lvl>
    <w:lvl w:ilvl="7" w:tplc="D7DCC60C">
      <w:numFmt w:val="decimal"/>
      <w:lvlText w:val=""/>
      <w:lvlJc w:val="left"/>
    </w:lvl>
    <w:lvl w:ilvl="8" w:tplc="6D9E9E9C">
      <w:numFmt w:val="decimal"/>
      <w:lvlText w:val=""/>
      <w:lvlJc w:val="left"/>
    </w:lvl>
  </w:abstractNum>
  <w:abstractNum w:abstractNumId="1146" w15:restartNumberingAfterBreak="0">
    <w:nsid w:val="7BEC527B"/>
    <w:multiLevelType w:val="hybridMultilevel"/>
    <w:tmpl w:val="05667FD2"/>
    <w:lvl w:ilvl="0" w:tplc="032C10DC">
      <w:start w:val="1"/>
      <w:numFmt w:val="bullet"/>
      <w:lvlText w:val=""/>
      <w:lvlJc w:val="left"/>
      <w:pPr>
        <w:ind w:left="720" w:hanging="180"/>
      </w:pPr>
      <w:rPr>
        <w:rFonts w:ascii="Symbol" w:hAnsi="Symbol" w:hint="default"/>
      </w:rPr>
    </w:lvl>
    <w:lvl w:ilvl="1" w:tplc="0B8414A6">
      <w:numFmt w:val="decimal"/>
      <w:lvlText w:val=""/>
      <w:lvlJc w:val="left"/>
    </w:lvl>
    <w:lvl w:ilvl="2" w:tplc="90BA9B2E">
      <w:numFmt w:val="decimal"/>
      <w:lvlText w:val=""/>
      <w:lvlJc w:val="left"/>
    </w:lvl>
    <w:lvl w:ilvl="3" w:tplc="A370855C">
      <w:numFmt w:val="decimal"/>
      <w:lvlText w:val=""/>
      <w:lvlJc w:val="left"/>
    </w:lvl>
    <w:lvl w:ilvl="4" w:tplc="8A8CA324">
      <w:numFmt w:val="decimal"/>
      <w:lvlText w:val=""/>
      <w:lvlJc w:val="left"/>
    </w:lvl>
    <w:lvl w:ilvl="5" w:tplc="42B6BE70">
      <w:numFmt w:val="decimal"/>
      <w:lvlText w:val=""/>
      <w:lvlJc w:val="left"/>
    </w:lvl>
    <w:lvl w:ilvl="6" w:tplc="5B38FB5C">
      <w:numFmt w:val="decimal"/>
      <w:lvlText w:val=""/>
      <w:lvlJc w:val="left"/>
    </w:lvl>
    <w:lvl w:ilvl="7" w:tplc="8B441CB4">
      <w:numFmt w:val="decimal"/>
      <w:lvlText w:val=""/>
      <w:lvlJc w:val="left"/>
    </w:lvl>
    <w:lvl w:ilvl="8" w:tplc="A552DAFA">
      <w:numFmt w:val="decimal"/>
      <w:lvlText w:val=""/>
      <w:lvlJc w:val="left"/>
    </w:lvl>
  </w:abstractNum>
  <w:abstractNum w:abstractNumId="1147" w15:restartNumberingAfterBreak="0">
    <w:nsid w:val="7C3716E1"/>
    <w:multiLevelType w:val="hybridMultilevel"/>
    <w:tmpl w:val="CD828FE4"/>
    <w:lvl w:ilvl="0" w:tplc="A4F86566">
      <w:start w:val="1"/>
      <w:numFmt w:val="bullet"/>
      <w:lvlText w:val=""/>
      <w:lvlJc w:val="left"/>
      <w:pPr>
        <w:ind w:left="720" w:hanging="180"/>
      </w:pPr>
      <w:rPr>
        <w:rFonts w:ascii="Symbol" w:hAnsi="Symbol" w:hint="default"/>
      </w:rPr>
    </w:lvl>
    <w:lvl w:ilvl="1" w:tplc="81FE9482">
      <w:numFmt w:val="decimal"/>
      <w:lvlText w:val=""/>
      <w:lvlJc w:val="left"/>
    </w:lvl>
    <w:lvl w:ilvl="2" w:tplc="B028868A">
      <w:numFmt w:val="decimal"/>
      <w:lvlText w:val=""/>
      <w:lvlJc w:val="left"/>
    </w:lvl>
    <w:lvl w:ilvl="3" w:tplc="D8782EC2">
      <w:numFmt w:val="decimal"/>
      <w:lvlText w:val=""/>
      <w:lvlJc w:val="left"/>
    </w:lvl>
    <w:lvl w:ilvl="4" w:tplc="45483748">
      <w:numFmt w:val="decimal"/>
      <w:lvlText w:val=""/>
      <w:lvlJc w:val="left"/>
    </w:lvl>
    <w:lvl w:ilvl="5" w:tplc="47F60BF8">
      <w:numFmt w:val="decimal"/>
      <w:lvlText w:val=""/>
      <w:lvlJc w:val="left"/>
    </w:lvl>
    <w:lvl w:ilvl="6" w:tplc="AD3A35FC">
      <w:numFmt w:val="decimal"/>
      <w:lvlText w:val=""/>
      <w:lvlJc w:val="left"/>
    </w:lvl>
    <w:lvl w:ilvl="7" w:tplc="71FC521C">
      <w:numFmt w:val="decimal"/>
      <w:lvlText w:val=""/>
      <w:lvlJc w:val="left"/>
    </w:lvl>
    <w:lvl w:ilvl="8" w:tplc="54106046">
      <w:numFmt w:val="decimal"/>
      <w:lvlText w:val=""/>
      <w:lvlJc w:val="left"/>
    </w:lvl>
  </w:abstractNum>
  <w:abstractNum w:abstractNumId="1148" w15:restartNumberingAfterBreak="0">
    <w:nsid w:val="7C3F4915"/>
    <w:multiLevelType w:val="hybridMultilevel"/>
    <w:tmpl w:val="F8543466"/>
    <w:lvl w:ilvl="0" w:tplc="BA42F240">
      <w:start w:val="1"/>
      <w:numFmt w:val="bullet"/>
      <w:lvlText w:val=""/>
      <w:lvlJc w:val="left"/>
      <w:pPr>
        <w:ind w:left="720" w:hanging="180"/>
      </w:pPr>
      <w:rPr>
        <w:rFonts w:ascii="Symbol" w:hAnsi="Symbol" w:hint="default"/>
      </w:rPr>
    </w:lvl>
    <w:lvl w:ilvl="1" w:tplc="4A10CE46">
      <w:numFmt w:val="decimal"/>
      <w:lvlText w:val=""/>
      <w:lvlJc w:val="left"/>
    </w:lvl>
    <w:lvl w:ilvl="2" w:tplc="DD1882DA">
      <w:numFmt w:val="decimal"/>
      <w:lvlText w:val=""/>
      <w:lvlJc w:val="left"/>
    </w:lvl>
    <w:lvl w:ilvl="3" w:tplc="5B4AAB98">
      <w:numFmt w:val="decimal"/>
      <w:lvlText w:val=""/>
      <w:lvlJc w:val="left"/>
    </w:lvl>
    <w:lvl w:ilvl="4" w:tplc="51964F40">
      <w:numFmt w:val="decimal"/>
      <w:lvlText w:val=""/>
      <w:lvlJc w:val="left"/>
    </w:lvl>
    <w:lvl w:ilvl="5" w:tplc="C622AEE4">
      <w:numFmt w:val="decimal"/>
      <w:lvlText w:val=""/>
      <w:lvlJc w:val="left"/>
    </w:lvl>
    <w:lvl w:ilvl="6" w:tplc="060AFF44">
      <w:numFmt w:val="decimal"/>
      <w:lvlText w:val=""/>
      <w:lvlJc w:val="left"/>
    </w:lvl>
    <w:lvl w:ilvl="7" w:tplc="8778767E">
      <w:numFmt w:val="decimal"/>
      <w:lvlText w:val=""/>
      <w:lvlJc w:val="left"/>
    </w:lvl>
    <w:lvl w:ilvl="8" w:tplc="57224A3C">
      <w:numFmt w:val="decimal"/>
      <w:lvlText w:val=""/>
      <w:lvlJc w:val="left"/>
    </w:lvl>
  </w:abstractNum>
  <w:abstractNum w:abstractNumId="1149" w15:restartNumberingAfterBreak="0">
    <w:nsid w:val="7CD84990"/>
    <w:multiLevelType w:val="hybridMultilevel"/>
    <w:tmpl w:val="BF9090EE"/>
    <w:lvl w:ilvl="0" w:tplc="8B908010">
      <w:numFmt w:val="decimal"/>
      <w:lvlText w:val=""/>
      <w:lvlJc w:val="left"/>
    </w:lvl>
    <w:lvl w:ilvl="1" w:tplc="67DCF478">
      <w:start w:val="1"/>
      <w:numFmt w:val="bullet"/>
      <w:lvlText w:val=""/>
      <w:lvlJc w:val="left"/>
      <w:pPr>
        <w:ind w:left="1440" w:hanging="180"/>
      </w:pPr>
      <w:rPr>
        <w:rFonts w:ascii="Symbol" w:hAnsi="Symbol" w:hint="default"/>
      </w:rPr>
    </w:lvl>
    <w:lvl w:ilvl="2" w:tplc="67DA933E">
      <w:numFmt w:val="decimal"/>
      <w:lvlText w:val=""/>
      <w:lvlJc w:val="left"/>
    </w:lvl>
    <w:lvl w:ilvl="3" w:tplc="1568ABBE">
      <w:numFmt w:val="decimal"/>
      <w:lvlText w:val=""/>
      <w:lvlJc w:val="left"/>
    </w:lvl>
    <w:lvl w:ilvl="4" w:tplc="4086ABD8">
      <w:numFmt w:val="decimal"/>
      <w:lvlText w:val=""/>
      <w:lvlJc w:val="left"/>
    </w:lvl>
    <w:lvl w:ilvl="5" w:tplc="263A0B34">
      <w:numFmt w:val="decimal"/>
      <w:lvlText w:val=""/>
      <w:lvlJc w:val="left"/>
    </w:lvl>
    <w:lvl w:ilvl="6" w:tplc="074E7458">
      <w:numFmt w:val="decimal"/>
      <w:lvlText w:val=""/>
      <w:lvlJc w:val="left"/>
    </w:lvl>
    <w:lvl w:ilvl="7" w:tplc="CE68EF00">
      <w:numFmt w:val="decimal"/>
      <w:lvlText w:val=""/>
      <w:lvlJc w:val="left"/>
    </w:lvl>
    <w:lvl w:ilvl="8" w:tplc="66D8EBC6">
      <w:numFmt w:val="decimal"/>
      <w:lvlText w:val=""/>
      <w:lvlJc w:val="left"/>
    </w:lvl>
  </w:abstractNum>
  <w:abstractNum w:abstractNumId="1150" w15:restartNumberingAfterBreak="0">
    <w:nsid w:val="7CFA567F"/>
    <w:multiLevelType w:val="hybridMultilevel"/>
    <w:tmpl w:val="007259FE"/>
    <w:lvl w:ilvl="0" w:tplc="D53E3B22">
      <w:start w:val="1"/>
      <w:numFmt w:val="bullet"/>
      <w:lvlText w:val=""/>
      <w:lvlJc w:val="left"/>
      <w:pPr>
        <w:ind w:left="720" w:hanging="180"/>
      </w:pPr>
      <w:rPr>
        <w:rFonts w:ascii="Symbol" w:hAnsi="Symbol" w:hint="default"/>
      </w:rPr>
    </w:lvl>
    <w:lvl w:ilvl="1" w:tplc="E09AF45C">
      <w:numFmt w:val="decimal"/>
      <w:lvlText w:val=""/>
      <w:lvlJc w:val="left"/>
    </w:lvl>
    <w:lvl w:ilvl="2" w:tplc="25080C76">
      <w:numFmt w:val="decimal"/>
      <w:lvlText w:val=""/>
      <w:lvlJc w:val="left"/>
    </w:lvl>
    <w:lvl w:ilvl="3" w:tplc="4CC47406">
      <w:numFmt w:val="decimal"/>
      <w:lvlText w:val=""/>
      <w:lvlJc w:val="left"/>
    </w:lvl>
    <w:lvl w:ilvl="4" w:tplc="656AF212">
      <w:numFmt w:val="decimal"/>
      <w:lvlText w:val=""/>
      <w:lvlJc w:val="left"/>
    </w:lvl>
    <w:lvl w:ilvl="5" w:tplc="3FB8E3E4">
      <w:numFmt w:val="decimal"/>
      <w:lvlText w:val=""/>
      <w:lvlJc w:val="left"/>
    </w:lvl>
    <w:lvl w:ilvl="6" w:tplc="2EDE6E7A">
      <w:numFmt w:val="decimal"/>
      <w:lvlText w:val=""/>
      <w:lvlJc w:val="left"/>
    </w:lvl>
    <w:lvl w:ilvl="7" w:tplc="BF22187E">
      <w:numFmt w:val="decimal"/>
      <w:lvlText w:val=""/>
      <w:lvlJc w:val="left"/>
    </w:lvl>
    <w:lvl w:ilvl="8" w:tplc="07A0DE3E">
      <w:numFmt w:val="decimal"/>
      <w:lvlText w:val=""/>
      <w:lvlJc w:val="left"/>
    </w:lvl>
  </w:abstractNum>
  <w:abstractNum w:abstractNumId="1151" w15:restartNumberingAfterBreak="0">
    <w:nsid w:val="7CFD5059"/>
    <w:multiLevelType w:val="hybridMultilevel"/>
    <w:tmpl w:val="423EB106"/>
    <w:lvl w:ilvl="0" w:tplc="D6C2737C">
      <w:start w:val="1"/>
      <w:numFmt w:val="bullet"/>
      <w:lvlText w:val=""/>
      <w:lvlJc w:val="left"/>
      <w:pPr>
        <w:ind w:left="720" w:hanging="180"/>
      </w:pPr>
      <w:rPr>
        <w:rFonts w:ascii="Symbol" w:hAnsi="Symbol" w:hint="default"/>
      </w:rPr>
    </w:lvl>
    <w:lvl w:ilvl="1" w:tplc="F526401A">
      <w:numFmt w:val="decimal"/>
      <w:lvlText w:val=""/>
      <w:lvlJc w:val="left"/>
    </w:lvl>
    <w:lvl w:ilvl="2" w:tplc="9BE2ACA6">
      <w:numFmt w:val="decimal"/>
      <w:lvlText w:val=""/>
      <w:lvlJc w:val="left"/>
    </w:lvl>
    <w:lvl w:ilvl="3" w:tplc="D69EF786">
      <w:numFmt w:val="decimal"/>
      <w:lvlText w:val=""/>
      <w:lvlJc w:val="left"/>
    </w:lvl>
    <w:lvl w:ilvl="4" w:tplc="66A2F468">
      <w:numFmt w:val="decimal"/>
      <w:lvlText w:val=""/>
      <w:lvlJc w:val="left"/>
    </w:lvl>
    <w:lvl w:ilvl="5" w:tplc="C28019A2">
      <w:numFmt w:val="decimal"/>
      <w:lvlText w:val=""/>
      <w:lvlJc w:val="left"/>
    </w:lvl>
    <w:lvl w:ilvl="6" w:tplc="DF6E14E8">
      <w:numFmt w:val="decimal"/>
      <w:lvlText w:val=""/>
      <w:lvlJc w:val="left"/>
    </w:lvl>
    <w:lvl w:ilvl="7" w:tplc="5C0249D2">
      <w:numFmt w:val="decimal"/>
      <w:lvlText w:val=""/>
      <w:lvlJc w:val="left"/>
    </w:lvl>
    <w:lvl w:ilvl="8" w:tplc="73F4F6AE">
      <w:numFmt w:val="decimal"/>
      <w:lvlText w:val=""/>
      <w:lvlJc w:val="left"/>
    </w:lvl>
  </w:abstractNum>
  <w:abstractNum w:abstractNumId="1152" w15:restartNumberingAfterBreak="0">
    <w:nsid w:val="7D01509E"/>
    <w:multiLevelType w:val="hybridMultilevel"/>
    <w:tmpl w:val="FB84AF7E"/>
    <w:lvl w:ilvl="0" w:tplc="06BA6686">
      <w:start w:val="1"/>
      <w:numFmt w:val="bullet"/>
      <w:lvlText w:val=""/>
      <w:lvlJc w:val="left"/>
      <w:pPr>
        <w:ind w:left="720" w:hanging="180"/>
      </w:pPr>
      <w:rPr>
        <w:rFonts w:ascii="Symbol" w:hAnsi="Symbol" w:hint="default"/>
      </w:rPr>
    </w:lvl>
    <w:lvl w:ilvl="1" w:tplc="BCA6C822">
      <w:numFmt w:val="decimal"/>
      <w:lvlText w:val=""/>
      <w:lvlJc w:val="left"/>
    </w:lvl>
    <w:lvl w:ilvl="2" w:tplc="770C8346">
      <w:numFmt w:val="decimal"/>
      <w:lvlText w:val=""/>
      <w:lvlJc w:val="left"/>
    </w:lvl>
    <w:lvl w:ilvl="3" w:tplc="7D1E72D2">
      <w:numFmt w:val="decimal"/>
      <w:lvlText w:val=""/>
      <w:lvlJc w:val="left"/>
    </w:lvl>
    <w:lvl w:ilvl="4" w:tplc="6F76A336">
      <w:numFmt w:val="decimal"/>
      <w:lvlText w:val=""/>
      <w:lvlJc w:val="left"/>
    </w:lvl>
    <w:lvl w:ilvl="5" w:tplc="D0169C88">
      <w:numFmt w:val="decimal"/>
      <w:lvlText w:val=""/>
      <w:lvlJc w:val="left"/>
    </w:lvl>
    <w:lvl w:ilvl="6" w:tplc="BC14FF10">
      <w:numFmt w:val="decimal"/>
      <w:lvlText w:val=""/>
      <w:lvlJc w:val="left"/>
    </w:lvl>
    <w:lvl w:ilvl="7" w:tplc="8B96A0B2">
      <w:numFmt w:val="decimal"/>
      <w:lvlText w:val=""/>
      <w:lvlJc w:val="left"/>
    </w:lvl>
    <w:lvl w:ilvl="8" w:tplc="6E3A13BC">
      <w:numFmt w:val="decimal"/>
      <w:lvlText w:val=""/>
      <w:lvlJc w:val="left"/>
    </w:lvl>
  </w:abstractNum>
  <w:abstractNum w:abstractNumId="1153" w15:restartNumberingAfterBreak="0">
    <w:nsid w:val="7D160588"/>
    <w:multiLevelType w:val="hybridMultilevel"/>
    <w:tmpl w:val="CE66CA3E"/>
    <w:lvl w:ilvl="0" w:tplc="62B8A542">
      <w:start w:val="1"/>
      <w:numFmt w:val="bullet"/>
      <w:lvlText w:val=""/>
      <w:lvlJc w:val="left"/>
      <w:pPr>
        <w:ind w:left="720" w:hanging="180"/>
      </w:pPr>
      <w:rPr>
        <w:rFonts w:ascii="Symbol" w:hAnsi="Symbol" w:hint="default"/>
      </w:rPr>
    </w:lvl>
    <w:lvl w:ilvl="1" w:tplc="7A7448EA">
      <w:numFmt w:val="decimal"/>
      <w:lvlText w:val=""/>
      <w:lvlJc w:val="left"/>
    </w:lvl>
    <w:lvl w:ilvl="2" w:tplc="CAB29690">
      <w:numFmt w:val="decimal"/>
      <w:lvlText w:val=""/>
      <w:lvlJc w:val="left"/>
    </w:lvl>
    <w:lvl w:ilvl="3" w:tplc="A2E836AA">
      <w:numFmt w:val="decimal"/>
      <w:lvlText w:val=""/>
      <w:lvlJc w:val="left"/>
    </w:lvl>
    <w:lvl w:ilvl="4" w:tplc="A9C69F2E">
      <w:numFmt w:val="decimal"/>
      <w:lvlText w:val=""/>
      <w:lvlJc w:val="left"/>
    </w:lvl>
    <w:lvl w:ilvl="5" w:tplc="2DFA41B6">
      <w:numFmt w:val="decimal"/>
      <w:lvlText w:val=""/>
      <w:lvlJc w:val="left"/>
    </w:lvl>
    <w:lvl w:ilvl="6" w:tplc="3286CB30">
      <w:numFmt w:val="decimal"/>
      <w:lvlText w:val=""/>
      <w:lvlJc w:val="left"/>
    </w:lvl>
    <w:lvl w:ilvl="7" w:tplc="937CA76E">
      <w:numFmt w:val="decimal"/>
      <w:lvlText w:val=""/>
      <w:lvlJc w:val="left"/>
    </w:lvl>
    <w:lvl w:ilvl="8" w:tplc="A776D6BC">
      <w:numFmt w:val="decimal"/>
      <w:lvlText w:val=""/>
      <w:lvlJc w:val="left"/>
    </w:lvl>
  </w:abstractNum>
  <w:abstractNum w:abstractNumId="1154" w15:restartNumberingAfterBreak="0">
    <w:nsid w:val="7D2A16A9"/>
    <w:multiLevelType w:val="hybridMultilevel"/>
    <w:tmpl w:val="2BD61438"/>
    <w:lvl w:ilvl="0" w:tplc="1422B4EA">
      <w:start w:val="1"/>
      <w:numFmt w:val="bullet"/>
      <w:lvlText w:val=""/>
      <w:lvlJc w:val="left"/>
      <w:pPr>
        <w:ind w:left="720" w:hanging="180"/>
      </w:pPr>
      <w:rPr>
        <w:rFonts w:ascii="Symbol" w:hAnsi="Symbol" w:hint="default"/>
      </w:rPr>
    </w:lvl>
    <w:lvl w:ilvl="1" w:tplc="21D8DA8E">
      <w:numFmt w:val="decimal"/>
      <w:lvlText w:val=""/>
      <w:lvlJc w:val="left"/>
    </w:lvl>
    <w:lvl w:ilvl="2" w:tplc="39549FC8">
      <w:numFmt w:val="decimal"/>
      <w:lvlText w:val=""/>
      <w:lvlJc w:val="left"/>
    </w:lvl>
    <w:lvl w:ilvl="3" w:tplc="6C6E1722">
      <w:numFmt w:val="decimal"/>
      <w:lvlText w:val=""/>
      <w:lvlJc w:val="left"/>
    </w:lvl>
    <w:lvl w:ilvl="4" w:tplc="CEB0EFD0">
      <w:numFmt w:val="decimal"/>
      <w:lvlText w:val=""/>
      <w:lvlJc w:val="left"/>
    </w:lvl>
    <w:lvl w:ilvl="5" w:tplc="B586869A">
      <w:numFmt w:val="decimal"/>
      <w:lvlText w:val=""/>
      <w:lvlJc w:val="left"/>
    </w:lvl>
    <w:lvl w:ilvl="6" w:tplc="50E4D032">
      <w:numFmt w:val="decimal"/>
      <w:lvlText w:val=""/>
      <w:lvlJc w:val="left"/>
    </w:lvl>
    <w:lvl w:ilvl="7" w:tplc="96D016D2">
      <w:numFmt w:val="decimal"/>
      <w:lvlText w:val=""/>
      <w:lvlJc w:val="left"/>
    </w:lvl>
    <w:lvl w:ilvl="8" w:tplc="EFF05218">
      <w:numFmt w:val="decimal"/>
      <w:lvlText w:val=""/>
      <w:lvlJc w:val="left"/>
    </w:lvl>
  </w:abstractNum>
  <w:abstractNum w:abstractNumId="1155" w15:restartNumberingAfterBreak="0">
    <w:nsid w:val="7D3E0DA7"/>
    <w:multiLevelType w:val="hybridMultilevel"/>
    <w:tmpl w:val="CFD24302"/>
    <w:lvl w:ilvl="0" w:tplc="383EEFD2">
      <w:start w:val="1"/>
      <w:numFmt w:val="bullet"/>
      <w:lvlText w:val=""/>
      <w:lvlJc w:val="left"/>
      <w:pPr>
        <w:ind w:left="720" w:hanging="180"/>
      </w:pPr>
      <w:rPr>
        <w:rFonts w:ascii="Symbol" w:hAnsi="Symbol" w:hint="default"/>
      </w:rPr>
    </w:lvl>
    <w:lvl w:ilvl="1" w:tplc="02DCEF54">
      <w:numFmt w:val="decimal"/>
      <w:lvlText w:val=""/>
      <w:lvlJc w:val="left"/>
    </w:lvl>
    <w:lvl w:ilvl="2" w:tplc="FFD88F38">
      <w:numFmt w:val="decimal"/>
      <w:lvlText w:val=""/>
      <w:lvlJc w:val="left"/>
    </w:lvl>
    <w:lvl w:ilvl="3" w:tplc="C534FEB8">
      <w:numFmt w:val="decimal"/>
      <w:lvlText w:val=""/>
      <w:lvlJc w:val="left"/>
    </w:lvl>
    <w:lvl w:ilvl="4" w:tplc="6DF259E4">
      <w:numFmt w:val="decimal"/>
      <w:lvlText w:val=""/>
      <w:lvlJc w:val="left"/>
    </w:lvl>
    <w:lvl w:ilvl="5" w:tplc="0F5C7BD8">
      <w:numFmt w:val="decimal"/>
      <w:lvlText w:val=""/>
      <w:lvlJc w:val="left"/>
    </w:lvl>
    <w:lvl w:ilvl="6" w:tplc="A80C433E">
      <w:numFmt w:val="decimal"/>
      <w:lvlText w:val=""/>
      <w:lvlJc w:val="left"/>
    </w:lvl>
    <w:lvl w:ilvl="7" w:tplc="F8F8F14E">
      <w:numFmt w:val="decimal"/>
      <w:lvlText w:val=""/>
      <w:lvlJc w:val="left"/>
    </w:lvl>
    <w:lvl w:ilvl="8" w:tplc="D0ACE3C2">
      <w:numFmt w:val="decimal"/>
      <w:lvlText w:val=""/>
      <w:lvlJc w:val="left"/>
    </w:lvl>
  </w:abstractNum>
  <w:abstractNum w:abstractNumId="1156" w15:restartNumberingAfterBreak="0">
    <w:nsid w:val="7D574209"/>
    <w:multiLevelType w:val="hybridMultilevel"/>
    <w:tmpl w:val="1AB87BCC"/>
    <w:lvl w:ilvl="0" w:tplc="E23CB4EE">
      <w:start w:val="1"/>
      <w:numFmt w:val="bullet"/>
      <w:lvlText w:val=""/>
      <w:lvlJc w:val="left"/>
      <w:pPr>
        <w:ind w:left="720" w:hanging="180"/>
      </w:pPr>
      <w:rPr>
        <w:rFonts w:ascii="Symbol" w:hAnsi="Symbol" w:hint="default"/>
      </w:rPr>
    </w:lvl>
    <w:lvl w:ilvl="1" w:tplc="C2003592">
      <w:numFmt w:val="decimal"/>
      <w:lvlText w:val=""/>
      <w:lvlJc w:val="left"/>
    </w:lvl>
    <w:lvl w:ilvl="2" w:tplc="80C45BE0">
      <w:numFmt w:val="decimal"/>
      <w:lvlText w:val=""/>
      <w:lvlJc w:val="left"/>
    </w:lvl>
    <w:lvl w:ilvl="3" w:tplc="2AD6BD94">
      <w:numFmt w:val="decimal"/>
      <w:lvlText w:val=""/>
      <w:lvlJc w:val="left"/>
    </w:lvl>
    <w:lvl w:ilvl="4" w:tplc="65363526">
      <w:numFmt w:val="decimal"/>
      <w:lvlText w:val=""/>
      <w:lvlJc w:val="left"/>
    </w:lvl>
    <w:lvl w:ilvl="5" w:tplc="55A88EAE">
      <w:numFmt w:val="decimal"/>
      <w:lvlText w:val=""/>
      <w:lvlJc w:val="left"/>
    </w:lvl>
    <w:lvl w:ilvl="6" w:tplc="27042E88">
      <w:numFmt w:val="decimal"/>
      <w:lvlText w:val=""/>
      <w:lvlJc w:val="left"/>
    </w:lvl>
    <w:lvl w:ilvl="7" w:tplc="748699FE">
      <w:numFmt w:val="decimal"/>
      <w:lvlText w:val=""/>
      <w:lvlJc w:val="left"/>
    </w:lvl>
    <w:lvl w:ilvl="8" w:tplc="29A2AE74">
      <w:numFmt w:val="decimal"/>
      <w:lvlText w:val=""/>
      <w:lvlJc w:val="left"/>
    </w:lvl>
  </w:abstractNum>
  <w:abstractNum w:abstractNumId="1157" w15:restartNumberingAfterBreak="0">
    <w:nsid w:val="7D585F86"/>
    <w:multiLevelType w:val="hybridMultilevel"/>
    <w:tmpl w:val="AC6E82F8"/>
    <w:lvl w:ilvl="0" w:tplc="D4988BF0">
      <w:start w:val="1"/>
      <w:numFmt w:val="bullet"/>
      <w:lvlText w:val=""/>
      <w:lvlJc w:val="left"/>
      <w:pPr>
        <w:ind w:left="720" w:hanging="180"/>
      </w:pPr>
      <w:rPr>
        <w:rFonts w:ascii="Symbol" w:hAnsi="Symbol" w:hint="default"/>
      </w:rPr>
    </w:lvl>
    <w:lvl w:ilvl="1" w:tplc="19F636BA">
      <w:numFmt w:val="decimal"/>
      <w:lvlText w:val=""/>
      <w:lvlJc w:val="left"/>
    </w:lvl>
    <w:lvl w:ilvl="2" w:tplc="C85E5A58">
      <w:numFmt w:val="decimal"/>
      <w:lvlText w:val=""/>
      <w:lvlJc w:val="left"/>
    </w:lvl>
    <w:lvl w:ilvl="3" w:tplc="371C884E">
      <w:numFmt w:val="decimal"/>
      <w:lvlText w:val=""/>
      <w:lvlJc w:val="left"/>
    </w:lvl>
    <w:lvl w:ilvl="4" w:tplc="B9DCDE08">
      <w:numFmt w:val="decimal"/>
      <w:lvlText w:val=""/>
      <w:lvlJc w:val="left"/>
    </w:lvl>
    <w:lvl w:ilvl="5" w:tplc="6800595C">
      <w:numFmt w:val="decimal"/>
      <w:lvlText w:val=""/>
      <w:lvlJc w:val="left"/>
    </w:lvl>
    <w:lvl w:ilvl="6" w:tplc="B43AA038">
      <w:numFmt w:val="decimal"/>
      <w:lvlText w:val=""/>
      <w:lvlJc w:val="left"/>
    </w:lvl>
    <w:lvl w:ilvl="7" w:tplc="FE1AE092">
      <w:numFmt w:val="decimal"/>
      <w:lvlText w:val=""/>
      <w:lvlJc w:val="left"/>
    </w:lvl>
    <w:lvl w:ilvl="8" w:tplc="C4B03644">
      <w:numFmt w:val="decimal"/>
      <w:lvlText w:val=""/>
      <w:lvlJc w:val="left"/>
    </w:lvl>
  </w:abstractNum>
  <w:abstractNum w:abstractNumId="1158" w15:restartNumberingAfterBreak="0">
    <w:nsid w:val="7D711A66"/>
    <w:multiLevelType w:val="hybridMultilevel"/>
    <w:tmpl w:val="F54277AC"/>
    <w:lvl w:ilvl="0" w:tplc="6F1AA780">
      <w:start w:val="1"/>
      <w:numFmt w:val="bullet"/>
      <w:lvlText w:val=""/>
      <w:lvlJc w:val="left"/>
      <w:pPr>
        <w:ind w:left="720" w:hanging="180"/>
      </w:pPr>
      <w:rPr>
        <w:rFonts w:ascii="Symbol" w:hAnsi="Symbol" w:hint="default"/>
      </w:rPr>
    </w:lvl>
    <w:lvl w:ilvl="1" w:tplc="7BAE5C18">
      <w:numFmt w:val="decimal"/>
      <w:lvlText w:val=""/>
      <w:lvlJc w:val="left"/>
    </w:lvl>
    <w:lvl w:ilvl="2" w:tplc="707017DA">
      <w:numFmt w:val="decimal"/>
      <w:lvlText w:val=""/>
      <w:lvlJc w:val="left"/>
    </w:lvl>
    <w:lvl w:ilvl="3" w:tplc="4EFA59CE">
      <w:numFmt w:val="decimal"/>
      <w:lvlText w:val=""/>
      <w:lvlJc w:val="left"/>
    </w:lvl>
    <w:lvl w:ilvl="4" w:tplc="BAC21DC4">
      <w:numFmt w:val="decimal"/>
      <w:lvlText w:val=""/>
      <w:lvlJc w:val="left"/>
    </w:lvl>
    <w:lvl w:ilvl="5" w:tplc="5276D5B0">
      <w:numFmt w:val="decimal"/>
      <w:lvlText w:val=""/>
      <w:lvlJc w:val="left"/>
    </w:lvl>
    <w:lvl w:ilvl="6" w:tplc="7D104D08">
      <w:numFmt w:val="decimal"/>
      <w:lvlText w:val=""/>
      <w:lvlJc w:val="left"/>
    </w:lvl>
    <w:lvl w:ilvl="7" w:tplc="B1E06CF4">
      <w:numFmt w:val="decimal"/>
      <w:lvlText w:val=""/>
      <w:lvlJc w:val="left"/>
    </w:lvl>
    <w:lvl w:ilvl="8" w:tplc="6DF0172E">
      <w:numFmt w:val="decimal"/>
      <w:lvlText w:val=""/>
      <w:lvlJc w:val="left"/>
    </w:lvl>
  </w:abstractNum>
  <w:abstractNum w:abstractNumId="1159" w15:restartNumberingAfterBreak="0">
    <w:nsid w:val="7DAC73FE"/>
    <w:multiLevelType w:val="hybridMultilevel"/>
    <w:tmpl w:val="62001778"/>
    <w:lvl w:ilvl="0" w:tplc="AC5CE978">
      <w:start w:val="1"/>
      <w:numFmt w:val="bullet"/>
      <w:lvlText w:val=""/>
      <w:lvlJc w:val="left"/>
      <w:pPr>
        <w:ind w:left="720" w:hanging="180"/>
      </w:pPr>
      <w:rPr>
        <w:rFonts w:ascii="Symbol" w:hAnsi="Symbol" w:hint="default"/>
      </w:rPr>
    </w:lvl>
    <w:lvl w:ilvl="1" w:tplc="61347C82">
      <w:numFmt w:val="decimal"/>
      <w:lvlText w:val=""/>
      <w:lvlJc w:val="left"/>
    </w:lvl>
    <w:lvl w:ilvl="2" w:tplc="032E61E8">
      <w:numFmt w:val="decimal"/>
      <w:lvlText w:val=""/>
      <w:lvlJc w:val="left"/>
    </w:lvl>
    <w:lvl w:ilvl="3" w:tplc="8688AD76">
      <w:numFmt w:val="decimal"/>
      <w:lvlText w:val=""/>
      <w:lvlJc w:val="left"/>
    </w:lvl>
    <w:lvl w:ilvl="4" w:tplc="3B742E4A">
      <w:numFmt w:val="decimal"/>
      <w:lvlText w:val=""/>
      <w:lvlJc w:val="left"/>
    </w:lvl>
    <w:lvl w:ilvl="5" w:tplc="2368D7F2">
      <w:numFmt w:val="decimal"/>
      <w:lvlText w:val=""/>
      <w:lvlJc w:val="left"/>
    </w:lvl>
    <w:lvl w:ilvl="6" w:tplc="F0964D36">
      <w:numFmt w:val="decimal"/>
      <w:lvlText w:val=""/>
      <w:lvlJc w:val="left"/>
    </w:lvl>
    <w:lvl w:ilvl="7" w:tplc="8C0EA15C">
      <w:numFmt w:val="decimal"/>
      <w:lvlText w:val=""/>
      <w:lvlJc w:val="left"/>
    </w:lvl>
    <w:lvl w:ilvl="8" w:tplc="DC1CAEFA">
      <w:numFmt w:val="decimal"/>
      <w:lvlText w:val=""/>
      <w:lvlJc w:val="left"/>
    </w:lvl>
  </w:abstractNum>
  <w:abstractNum w:abstractNumId="1160" w15:restartNumberingAfterBreak="0">
    <w:nsid w:val="7DC07CB8"/>
    <w:multiLevelType w:val="hybridMultilevel"/>
    <w:tmpl w:val="ED3A7F56"/>
    <w:lvl w:ilvl="0" w:tplc="7FF41532">
      <w:start w:val="1"/>
      <w:numFmt w:val="bullet"/>
      <w:lvlText w:val=""/>
      <w:lvlJc w:val="left"/>
      <w:pPr>
        <w:ind w:left="720" w:hanging="180"/>
      </w:pPr>
      <w:rPr>
        <w:rFonts w:ascii="Symbol" w:hAnsi="Symbol" w:hint="default"/>
      </w:rPr>
    </w:lvl>
    <w:lvl w:ilvl="1" w:tplc="9826593C">
      <w:numFmt w:val="decimal"/>
      <w:lvlText w:val=""/>
      <w:lvlJc w:val="left"/>
    </w:lvl>
    <w:lvl w:ilvl="2" w:tplc="C85C0416">
      <w:numFmt w:val="decimal"/>
      <w:lvlText w:val=""/>
      <w:lvlJc w:val="left"/>
    </w:lvl>
    <w:lvl w:ilvl="3" w:tplc="31365946">
      <w:numFmt w:val="decimal"/>
      <w:lvlText w:val=""/>
      <w:lvlJc w:val="left"/>
    </w:lvl>
    <w:lvl w:ilvl="4" w:tplc="49AA86CA">
      <w:numFmt w:val="decimal"/>
      <w:lvlText w:val=""/>
      <w:lvlJc w:val="left"/>
    </w:lvl>
    <w:lvl w:ilvl="5" w:tplc="64B25E80">
      <w:numFmt w:val="decimal"/>
      <w:lvlText w:val=""/>
      <w:lvlJc w:val="left"/>
    </w:lvl>
    <w:lvl w:ilvl="6" w:tplc="C616D89C">
      <w:numFmt w:val="decimal"/>
      <w:lvlText w:val=""/>
      <w:lvlJc w:val="left"/>
    </w:lvl>
    <w:lvl w:ilvl="7" w:tplc="8DFEB022">
      <w:numFmt w:val="decimal"/>
      <w:lvlText w:val=""/>
      <w:lvlJc w:val="left"/>
    </w:lvl>
    <w:lvl w:ilvl="8" w:tplc="A0E4F10E">
      <w:numFmt w:val="decimal"/>
      <w:lvlText w:val=""/>
      <w:lvlJc w:val="left"/>
    </w:lvl>
  </w:abstractNum>
  <w:abstractNum w:abstractNumId="1161" w15:restartNumberingAfterBreak="0">
    <w:nsid w:val="7DE50D55"/>
    <w:multiLevelType w:val="hybridMultilevel"/>
    <w:tmpl w:val="3AA2AADC"/>
    <w:lvl w:ilvl="0" w:tplc="31888B8C">
      <w:start w:val="1"/>
      <w:numFmt w:val="bullet"/>
      <w:lvlText w:val=""/>
      <w:lvlJc w:val="left"/>
      <w:pPr>
        <w:ind w:left="720" w:hanging="180"/>
      </w:pPr>
      <w:rPr>
        <w:rFonts w:ascii="Symbol" w:hAnsi="Symbol" w:hint="default"/>
      </w:rPr>
    </w:lvl>
    <w:lvl w:ilvl="1" w:tplc="FDBCB9D6">
      <w:numFmt w:val="decimal"/>
      <w:lvlText w:val=""/>
      <w:lvlJc w:val="left"/>
    </w:lvl>
    <w:lvl w:ilvl="2" w:tplc="E4067656">
      <w:numFmt w:val="decimal"/>
      <w:lvlText w:val=""/>
      <w:lvlJc w:val="left"/>
    </w:lvl>
    <w:lvl w:ilvl="3" w:tplc="60FC00A6">
      <w:numFmt w:val="decimal"/>
      <w:lvlText w:val=""/>
      <w:lvlJc w:val="left"/>
    </w:lvl>
    <w:lvl w:ilvl="4" w:tplc="2F7ADE88">
      <w:numFmt w:val="decimal"/>
      <w:lvlText w:val=""/>
      <w:lvlJc w:val="left"/>
    </w:lvl>
    <w:lvl w:ilvl="5" w:tplc="A99C71CA">
      <w:numFmt w:val="decimal"/>
      <w:lvlText w:val=""/>
      <w:lvlJc w:val="left"/>
    </w:lvl>
    <w:lvl w:ilvl="6" w:tplc="B9BE3A02">
      <w:numFmt w:val="decimal"/>
      <w:lvlText w:val=""/>
      <w:lvlJc w:val="left"/>
    </w:lvl>
    <w:lvl w:ilvl="7" w:tplc="B3ECFE50">
      <w:numFmt w:val="decimal"/>
      <w:lvlText w:val=""/>
      <w:lvlJc w:val="left"/>
    </w:lvl>
    <w:lvl w:ilvl="8" w:tplc="0262C082">
      <w:numFmt w:val="decimal"/>
      <w:lvlText w:val=""/>
      <w:lvlJc w:val="left"/>
    </w:lvl>
  </w:abstractNum>
  <w:abstractNum w:abstractNumId="1162" w15:restartNumberingAfterBreak="0">
    <w:nsid w:val="7DF44C56"/>
    <w:multiLevelType w:val="hybridMultilevel"/>
    <w:tmpl w:val="7C146D94"/>
    <w:lvl w:ilvl="0" w:tplc="25EC240A">
      <w:start w:val="1"/>
      <w:numFmt w:val="bullet"/>
      <w:lvlText w:val=""/>
      <w:lvlJc w:val="left"/>
      <w:pPr>
        <w:ind w:left="720" w:hanging="180"/>
      </w:pPr>
      <w:rPr>
        <w:rFonts w:ascii="Symbol" w:hAnsi="Symbol" w:hint="default"/>
      </w:rPr>
    </w:lvl>
    <w:lvl w:ilvl="1" w:tplc="1AB4F15A">
      <w:numFmt w:val="decimal"/>
      <w:lvlText w:val=""/>
      <w:lvlJc w:val="left"/>
    </w:lvl>
    <w:lvl w:ilvl="2" w:tplc="BA9A43B2">
      <w:numFmt w:val="decimal"/>
      <w:lvlText w:val=""/>
      <w:lvlJc w:val="left"/>
    </w:lvl>
    <w:lvl w:ilvl="3" w:tplc="8F008284">
      <w:numFmt w:val="decimal"/>
      <w:lvlText w:val=""/>
      <w:lvlJc w:val="left"/>
    </w:lvl>
    <w:lvl w:ilvl="4" w:tplc="7A9AF062">
      <w:numFmt w:val="decimal"/>
      <w:lvlText w:val=""/>
      <w:lvlJc w:val="left"/>
    </w:lvl>
    <w:lvl w:ilvl="5" w:tplc="7A64CF7A">
      <w:numFmt w:val="decimal"/>
      <w:lvlText w:val=""/>
      <w:lvlJc w:val="left"/>
    </w:lvl>
    <w:lvl w:ilvl="6" w:tplc="31B07B50">
      <w:numFmt w:val="decimal"/>
      <w:lvlText w:val=""/>
      <w:lvlJc w:val="left"/>
    </w:lvl>
    <w:lvl w:ilvl="7" w:tplc="1F963204">
      <w:numFmt w:val="decimal"/>
      <w:lvlText w:val=""/>
      <w:lvlJc w:val="left"/>
    </w:lvl>
    <w:lvl w:ilvl="8" w:tplc="1138E46E">
      <w:numFmt w:val="decimal"/>
      <w:lvlText w:val=""/>
      <w:lvlJc w:val="left"/>
    </w:lvl>
  </w:abstractNum>
  <w:abstractNum w:abstractNumId="1163" w15:restartNumberingAfterBreak="0">
    <w:nsid w:val="7E2B0A27"/>
    <w:multiLevelType w:val="hybridMultilevel"/>
    <w:tmpl w:val="3C20130E"/>
    <w:lvl w:ilvl="0" w:tplc="7B387F56">
      <w:numFmt w:val="decimal"/>
      <w:lvlText w:val=""/>
      <w:lvlJc w:val="left"/>
    </w:lvl>
    <w:lvl w:ilvl="1" w:tplc="76540BE0">
      <w:start w:val="1"/>
      <w:numFmt w:val="bullet"/>
      <w:lvlText w:val=""/>
      <w:lvlJc w:val="left"/>
      <w:pPr>
        <w:ind w:left="1440" w:hanging="180"/>
      </w:pPr>
      <w:rPr>
        <w:rFonts w:ascii="Symbol" w:hAnsi="Symbol" w:hint="default"/>
      </w:rPr>
    </w:lvl>
    <w:lvl w:ilvl="2" w:tplc="CD34D3CE">
      <w:numFmt w:val="decimal"/>
      <w:lvlText w:val=""/>
      <w:lvlJc w:val="left"/>
    </w:lvl>
    <w:lvl w:ilvl="3" w:tplc="1CA2E40E">
      <w:numFmt w:val="decimal"/>
      <w:lvlText w:val=""/>
      <w:lvlJc w:val="left"/>
    </w:lvl>
    <w:lvl w:ilvl="4" w:tplc="7A9631F0">
      <w:numFmt w:val="decimal"/>
      <w:lvlText w:val=""/>
      <w:lvlJc w:val="left"/>
    </w:lvl>
    <w:lvl w:ilvl="5" w:tplc="4DCABD94">
      <w:numFmt w:val="decimal"/>
      <w:lvlText w:val=""/>
      <w:lvlJc w:val="left"/>
    </w:lvl>
    <w:lvl w:ilvl="6" w:tplc="52563AA2">
      <w:numFmt w:val="decimal"/>
      <w:lvlText w:val=""/>
      <w:lvlJc w:val="left"/>
    </w:lvl>
    <w:lvl w:ilvl="7" w:tplc="ECD6604C">
      <w:numFmt w:val="decimal"/>
      <w:lvlText w:val=""/>
      <w:lvlJc w:val="left"/>
    </w:lvl>
    <w:lvl w:ilvl="8" w:tplc="CFCEA7A8">
      <w:numFmt w:val="decimal"/>
      <w:lvlText w:val=""/>
      <w:lvlJc w:val="left"/>
    </w:lvl>
  </w:abstractNum>
  <w:abstractNum w:abstractNumId="1164" w15:restartNumberingAfterBreak="0">
    <w:nsid w:val="7E474BB8"/>
    <w:multiLevelType w:val="hybridMultilevel"/>
    <w:tmpl w:val="52BC7400"/>
    <w:lvl w:ilvl="0" w:tplc="9CBC5A7C">
      <w:start w:val="1"/>
      <w:numFmt w:val="bullet"/>
      <w:lvlText w:val=""/>
      <w:lvlJc w:val="left"/>
      <w:pPr>
        <w:ind w:left="720" w:hanging="180"/>
      </w:pPr>
      <w:rPr>
        <w:rFonts w:ascii="Symbol" w:hAnsi="Symbol" w:hint="default"/>
      </w:rPr>
    </w:lvl>
    <w:lvl w:ilvl="1" w:tplc="AE06BF36">
      <w:numFmt w:val="decimal"/>
      <w:lvlText w:val=""/>
      <w:lvlJc w:val="left"/>
    </w:lvl>
    <w:lvl w:ilvl="2" w:tplc="F0D2641C">
      <w:numFmt w:val="decimal"/>
      <w:lvlText w:val=""/>
      <w:lvlJc w:val="left"/>
    </w:lvl>
    <w:lvl w:ilvl="3" w:tplc="0DD62886">
      <w:numFmt w:val="decimal"/>
      <w:lvlText w:val=""/>
      <w:lvlJc w:val="left"/>
    </w:lvl>
    <w:lvl w:ilvl="4" w:tplc="EC063F10">
      <w:numFmt w:val="decimal"/>
      <w:lvlText w:val=""/>
      <w:lvlJc w:val="left"/>
    </w:lvl>
    <w:lvl w:ilvl="5" w:tplc="9A844A00">
      <w:numFmt w:val="decimal"/>
      <w:lvlText w:val=""/>
      <w:lvlJc w:val="left"/>
    </w:lvl>
    <w:lvl w:ilvl="6" w:tplc="702A9AAA">
      <w:numFmt w:val="decimal"/>
      <w:lvlText w:val=""/>
      <w:lvlJc w:val="left"/>
    </w:lvl>
    <w:lvl w:ilvl="7" w:tplc="F44CD2B8">
      <w:numFmt w:val="decimal"/>
      <w:lvlText w:val=""/>
      <w:lvlJc w:val="left"/>
    </w:lvl>
    <w:lvl w:ilvl="8" w:tplc="8A7C1E4C">
      <w:numFmt w:val="decimal"/>
      <w:lvlText w:val=""/>
      <w:lvlJc w:val="left"/>
    </w:lvl>
  </w:abstractNum>
  <w:abstractNum w:abstractNumId="1165" w15:restartNumberingAfterBreak="0">
    <w:nsid w:val="7E4B44E8"/>
    <w:multiLevelType w:val="hybridMultilevel"/>
    <w:tmpl w:val="98D830D4"/>
    <w:lvl w:ilvl="0" w:tplc="8C8EBC78">
      <w:start w:val="1"/>
      <w:numFmt w:val="bullet"/>
      <w:lvlText w:val=""/>
      <w:lvlJc w:val="left"/>
      <w:pPr>
        <w:ind w:left="720" w:hanging="180"/>
      </w:pPr>
      <w:rPr>
        <w:rFonts w:ascii="Symbol" w:hAnsi="Symbol" w:hint="default"/>
      </w:rPr>
    </w:lvl>
    <w:lvl w:ilvl="1" w:tplc="E79CFE14">
      <w:numFmt w:val="decimal"/>
      <w:lvlText w:val=""/>
      <w:lvlJc w:val="left"/>
    </w:lvl>
    <w:lvl w:ilvl="2" w:tplc="EE48DD32">
      <w:numFmt w:val="decimal"/>
      <w:lvlText w:val=""/>
      <w:lvlJc w:val="left"/>
    </w:lvl>
    <w:lvl w:ilvl="3" w:tplc="54221AEE">
      <w:numFmt w:val="decimal"/>
      <w:lvlText w:val=""/>
      <w:lvlJc w:val="left"/>
    </w:lvl>
    <w:lvl w:ilvl="4" w:tplc="5D5C2D20">
      <w:numFmt w:val="decimal"/>
      <w:lvlText w:val=""/>
      <w:lvlJc w:val="left"/>
    </w:lvl>
    <w:lvl w:ilvl="5" w:tplc="8C88A198">
      <w:numFmt w:val="decimal"/>
      <w:lvlText w:val=""/>
      <w:lvlJc w:val="left"/>
    </w:lvl>
    <w:lvl w:ilvl="6" w:tplc="B26438E0">
      <w:numFmt w:val="decimal"/>
      <w:lvlText w:val=""/>
      <w:lvlJc w:val="left"/>
    </w:lvl>
    <w:lvl w:ilvl="7" w:tplc="7AC0A2C6">
      <w:numFmt w:val="decimal"/>
      <w:lvlText w:val=""/>
      <w:lvlJc w:val="left"/>
    </w:lvl>
    <w:lvl w:ilvl="8" w:tplc="F76A56A0">
      <w:numFmt w:val="decimal"/>
      <w:lvlText w:val=""/>
      <w:lvlJc w:val="left"/>
    </w:lvl>
  </w:abstractNum>
  <w:abstractNum w:abstractNumId="1166" w15:restartNumberingAfterBreak="0">
    <w:nsid w:val="7E52770B"/>
    <w:multiLevelType w:val="hybridMultilevel"/>
    <w:tmpl w:val="489E685A"/>
    <w:lvl w:ilvl="0" w:tplc="AFC6E58C">
      <w:start w:val="1"/>
      <w:numFmt w:val="bullet"/>
      <w:lvlText w:val=""/>
      <w:lvlJc w:val="left"/>
      <w:pPr>
        <w:ind w:left="720" w:hanging="180"/>
      </w:pPr>
      <w:rPr>
        <w:rFonts w:ascii="Symbol" w:hAnsi="Symbol" w:hint="default"/>
      </w:rPr>
    </w:lvl>
    <w:lvl w:ilvl="1" w:tplc="C082BA50">
      <w:numFmt w:val="decimal"/>
      <w:lvlText w:val=""/>
      <w:lvlJc w:val="left"/>
    </w:lvl>
    <w:lvl w:ilvl="2" w:tplc="066CD81C">
      <w:numFmt w:val="decimal"/>
      <w:lvlText w:val=""/>
      <w:lvlJc w:val="left"/>
    </w:lvl>
    <w:lvl w:ilvl="3" w:tplc="4FA61008">
      <w:numFmt w:val="decimal"/>
      <w:lvlText w:val=""/>
      <w:lvlJc w:val="left"/>
    </w:lvl>
    <w:lvl w:ilvl="4" w:tplc="6EB49172">
      <w:numFmt w:val="decimal"/>
      <w:lvlText w:val=""/>
      <w:lvlJc w:val="left"/>
    </w:lvl>
    <w:lvl w:ilvl="5" w:tplc="48927956">
      <w:numFmt w:val="decimal"/>
      <w:lvlText w:val=""/>
      <w:lvlJc w:val="left"/>
    </w:lvl>
    <w:lvl w:ilvl="6" w:tplc="7A1AA70E">
      <w:numFmt w:val="decimal"/>
      <w:lvlText w:val=""/>
      <w:lvlJc w:val="left"/>
    </w:lvl>
    <w:lvl w:ilvl="7" w:tplc="36DAA18E">
      <w:numFmt w:val="decimal"/>
      <w:lvlText w:val=""/>
      <w:lvlJc w:val="left"/>
    </w:lvl>
    <w:lvl w:ilvl="8" w:tplc="634A7F14">
      <w:numFmt w:val="decimal"/>
      <w:lvlText w:val=""/>
      <w:lvlJc w:val="left"/>
    </w:lvl>
  </w:abstractNum>
  <w:abstractNum w:abstractNumId="1167" w15:restartNumberingAfterBreak="0">
    <w:nsid w:val="7E7519D9"/>
    <w:multiLevelType w:val="hybridMultilevel"/>
    <w:tmpl w:val="7A8CC686"/>
    <w:lvl w:ilvl="0" w:tplc="B7BE74DE">
      <w:start w:val="1"/>
      <w:numFmt w:val="bullet"/>
      <w:lvlText w:val=""/>
      <w:lvlJc w:val="left"/>
      <w:pPr>
        <w:ind w:left="720" w:hanging="180"/>
      </w:pPr>
      <w:rPr>
        <w:rFonts w:ascii="Symbol" w:hAnsi="Symbol" w:hint="default"/>
      </w:rPr>
    </w:lvl>
    <w:lvl w:ilvl="1" w:tplc="C78606D0">
      <w:numFmt w:val="decimal"/>
      <w:lvlText w:val=""/>
      <w:lvlJc w:val="left"/>
    </w:lvl>
    <w:lvl w:ilvl="2" w:tplc="BDBC5834">
      <w:numFmt w:val="decimal"/>
      <w:lvlText w:val=""/>
      <w:lvlJc w:val="left"/>
    </w:lvl>
    <w:lvl w:ilvl="3" w:tplc="41280002">
      <w:numFmt w:val="decimal"/>
      <w:lvlText w:val=""/>
      <w:lvlJc w:val="left"/>
    </w:lvl>
    <w:lvl w:ilvl="4" w:tplc="AD1696DA">
      <w:numFmt w:val="decimal"/>
      <w:lvlText w:val=""/>
      <w:lvlJc w:val="left"/>
    </w:lvl>
    <w:lvl w:ilvl="5" w:tplc="B470AE9E">
      <w:numFmt w:val="decimal"/>
      <w:lvlText w:val=""/>
      <w:lvlJc w:val="left"/>
    </w:lvl>
    <w:lvl w:ilvl="6" w:tplc="83C0EFD6">
      <w:numFmt w:val="decimal"/>
      <w:lvlText w:val=""/>
      <w:lvlJc w:val="left"/>
    </w:lvl>
    <w:lvl w:ilvl="7" w:tplc="6FFA5840">
      <w:numFmt w:val="decimal"/>
      <w:lvlText w:val=""/>
      <w:lvlJc w:val="left"/>
    </w:lvl>
    <w:lvl w:ilvl="8" w:tplc="2B604872">
      <w:numFmt w:val="decimal"/>
      <w:lvlText w:val=""/>
      <w:lvlJc w:val="left"/>
    </w:lvl>
  </w:abstractNum>
  <w:abstractNum w:abstractNumId="1168" w15:restartNumberingAfterBreak="0">
    <w:nsid w:val="7E880609"/>
    <w:multiLevelType w:val="hybridMultilevel"/>
    <w:tmpl w:val="6B74C590"/>
    <w:lvl w:ilvl="0" w:tplc="D6A27D26">
      <w:start w:val="1"/>
      <w:numFmt w:val="bullet"/>
      <w:lvlText w:val=""/>
      <w:lvlJc w:val="left"/>
      <w:pPr>
        <w:ind w:left="720" w:hanging="180"/>
      </w:pPr>
      <w:rPr>
        <w:rFonts w:ascii="Symbol" w:hAnsi="Symbol" w:hint="default"/>
      </w:rPr>
    </w:lvl>
    <w:lvl w:ilvl="1" w:tplc="9BBE6D0E">
      <w:numFmt w:val="decimal"/>
      <w:lvlText w:val=""/>
      <w:lvlJc w:val="left"/>
    </w:lvl>
    <w:lvl w:ilvl="2" w:tplc="2632A3AA">
      <w:numFmt w:val="decimal"/>
      <w:lvlText w:val=""/>
      <w:lvlJc w:val="left"/>
    </w:lvl>
    <w:lvl w:ilvl="3" w:tplc="513CEAEA">
      <w:numFmt w:val="decimal"/>
      <w:lvlText w:val=""/>
      <w:lvlJc w:val="left"/>
    </w:lvl>
    <w:lvl w:ilvl="4" w:tplc="AC7E0102">
      <w:numFmt w:val="decimal"/>
      <w:lvlText w:val=""/>
      <w:lvlJc w:val="left"/>
    </w:lvl>
    <w:lvl w:ilvl="5" w:tplc="E17E19AC">
      <w:numFmt w:val="decimal"/>
      <w:lvlText w:val=""/>
      <w:lvlJc w:val="left"/>
    </w:lvl>
    <w:lvl w:ilvl="6" w:tplc="4F34E66A">
      <w:numFmt w:val="decimal"/>
      <w:lvlText w:val=""/>
      <w:lvlJc w:val="left"/>
    </w:lvl>
    <w:lvl w:ilvl="7" w:tplc="0A9C4564">
      <w:numFmt w:val="decimal"/>
      <w:lvlText w:val=""/>
      <w:lvlJc w:val="left"/>
    </w:lvl>
    <w:lvl w:ilvl="8" w:tplc="96FCD798">
      <w:numFmt w:val="decimal"/>
      <w:lvlText w:val=""/>
      <w:lvlJc w:val="left"/>
    </w:lvl>
  </w:abstractNum>
  <w:abstractNum w:abstractNumId="1169" w15:restartNumberingAfterBreak="0">
    <w:nsid w:val="7EC51345"/>
    <w:multiLevelType w:val="hybridMultilevel"/>
    <w:tmpl w:val="F398D746"/>
    <w:lvl w:ilvl="0" w:tplc="253CE380">
      <w:start w:val="1"/>
      <w:numFmt w:val="bullet"/>
      <w:lvlText w:val=""/>
      <w:lvlJc w:val="left"/>
      <w:pPr>
        <w:ind w:left="720" w:hanging="180"/>
      </w:pPr>
      <w:rPr>
        <w:rFonts w:ascii="Symbol" w:hAnsi="Symbol" w:hint="default"/>
      </w:rPr>
    </w:lvl>
    <w:lvl w:ilvl="1" w:tplc="30AA5D24">
      <w:numFmt w:val="decimal"/>
      <w:lvlText w:val=""/>
      <w:lvlJc w:val="left"/>
    </w:lvl>
    <w:lvl w:ilvl="2" w:tplc="9BA2FE6E">
      <w:numFmt w:val="decimal"/>
      <w:lvlText w:val=""/>
      <w:lvlJc w:val="left"/>
    </w:lvl>
    <w:lvl w:ilvl="3" w:tplc="9088497C">
      <w:numFmt w:val="decimal"/>
      <w:lvlText w:val=""/>
      <w:lvlJc w:val="left"/>
    </w:lvl>
    <w:lvl w:ilvl="4" w:tplc="B0BEFDAE">
      <w:numFmt w:val="decimal"/>
      <w:lvlText w:val=""/>
      <w:lvlJc w:val="left"/>
    </w:lvl>
    <w:lvl w:ilvl="5" w:tplc="9E1285AE">
      <w:numFmt w:val="decimal"/>
      <w:lvlText w:val=""/>
      <w:lvlJc w:val="left"/>
    </w:lvl>
    <w:lvl w:ilvl="6" w:tplc="C80E3FD2">
      <w:numFmt w:val="decimal"/>
      <w:lvlText w:val=""/>
      <w:lvlJc w:val="left"/>
    </w:lvl>
    <w:lvl w:ilvl="7" w:tplc="D688B3CA">
      <w:numFmt w:val="decimal"/>
      <w:lvlText w:val=""/>
      <w:lvlJc w:val="left"/>
    </w:lvl>
    <w:lvl w:ilvl="8" w:tplc="C07E43CA">
      <w:numFmt w:val="decimal"/>
      <w:lvlText w:val=""/>
      <w:lvlJc w:val="left"/>
    </w:lvl>
  </w:abstractNum>
  <w:abstractNum w:abstractNumId="1170" w15:restartNumberingAfterBreak="0">
    <w:nsid w:val="7ECD533E"/>
    <w:multiLevelType w:val="hybridMultilevel"/>
    <w:tmpl w:val="87ECD3B2"/>
    <w:lvl w:ilvl="0" w:tplc="FF9A6054">
      <w:start w:val="1"/>
      <w:numFmt w:val="bullet"/>
      <w:lvlText w:val=""/>
      <w:lvlJc w:val="left"/>
      <w:pPr>
        <w:ind w:left="720" w:hanging="180"/>
      </w:pPr>
      <w:rPr>
        <w:rFonts w:ascii="Symbol" w:hAnsi="Symbol" w:hint="default"/>
      </w:rPr>
    </w:lvl>
    <w:lvl w:ilvl="1" w:tplc="D946E44E">
      <w:numFmt w:val="decimal"/>
      <w:lvlText w:val=""/>
      <w:lvlJc w:val="left"/>
    </w:lvl>
    <w:lvl w:ilvl="2" w:tplc="1B084EE8">
      <w:numFmt w:val="decimal"/>
      <w:lvlText w:val=""/>
      <w:lvlJc w:val="left"/>
    </w:lvl>
    <w:lvl w:ilvl="3" w:tplc="94CE0D36">
      <w:numFmt w:val="decimal"/>
      <w:lvlText w:val=""/>
      <w:lvlJc w:val="left"/>
    </w:lvl>
    <w:lvl w:ilvl="4" w:tplc="1D58263E">
      <w:numFmt w:val="decimal"/>
      <w:lvlText w:val=""/>
      <w:lvlJc w:val="left"/>
    </w:lvl>
    <w:lvl w:ilvl="5" w:tplc="8940F73C">
      <w:numFmt w:val="decimal"/>
      <w:lvlText w:val=""/>
      <w:lvlJc w:val="left"/>
    </w:lvl>
    <w:lvl w:ilvl="6" w:tplc="4340591C">
      <w:numFmt w:val="decimal"/>
      <w:lvlText w:val=""/>
      <w:lvlJc w:val="left"/>
    </w:lvl>
    <w:lvl w:ilvl="7" w:tplc="1B9A337A">
      <w:numFmt w:val="decimal"/>
      <w:lvlText w:val=""/>
      <w:lvlJc w:val="left"/>
    </w:lvl>
    <w:lvl w:ilvl="8" w:tplc="29ECC584">
      <w:numFmt w:val="decimal"/>
      <w:lvlText w:val=""/>
      <w:lvlJc w:val="left"/>
    </w:lvl>
  </w:abstractNum>
  <w:abstractNum w:abstractNumId="1171" w15:restartNumberingAfterBreak="0">
    <w:nsid w:val="7ED91B72"/>
    <w:multiLevelType w:val="hybridMultilevel"/>
    <w:tmpl w:val="50C0492E"/>
    <w:lvl w:ilvl="0" w:tplc="E3A4BF28">
      <w:start w:val="1"/>
      <w:numFmt w:val="bullet"/>
      <w:lvlText w:val=""/>
      <w:lvlJc w:val="left"/>
      <w:pPr>
        <w:ind w:left="720" w:hanging="180"/>
      </w:pPr>
      <w:rPr>
        <w:rFonts w:ascii="Symbol" w:hAnsi="Symbol" w:hint="default"/>
      </w:rPr>
    </w:lvl>
    <w:lvl w:ilvl="1" w:tplc="050E3DF6">
      <w:numFmt w:val="decimal"/>
      <w:lvlText w:val=""/>
      <w:lvlJc w:val="left"/>
    </w:lvl>
    <w:lvl w:ilvl="2" w:tplc="94E47028">
      <w:numFmt w:val="decimal"/>
      <w:lvlText w:val=""/>
      <w:lvlJc w:val="left"/>
    </w:lvl>
    <w:lvl w:ilvl="3" w:tplc="06CE7B56">
      <w:numFmt w:val="decimal"/>
      <w:lvlText w:val=""/>
      <w:lvlJc w:val="left"/>
    </w:lvl>
    <w:lvl w:ilvl="4" w:tplc="126C0176">
      <w:numFmt w:val="decimal"/>
      <w:lvlText w:val=""/>
      <w:lvlJc w:val="left"/>
    </w:lvl>
    <w:lvl w:ilvl="5" w:tplc="50BCBCEC">
      <w:numFmt w:val="decimal"/>
      <w:lvlText w:val=""/>
      <w:lvlJc w:val="left"/>
    </w:lvl>
    <w:lvl w:ilvl="6" w:tplc="4D8EAA1A">
      <w:numFmt w:val="decimal"/>
      <w:lvlText w:val=""/>
      <w:lvlJc w:val="left"/>
    </w:lvl>
    <w:lvl w:ilvl="7" w:tplc="3E9EA542">
      <w:numFmt w:val="decimal"/>
      <w:lvlText w:val=""/>
      <w:lvlJc w:val="left"/>
    </w:lvl>
    <w:lvl w:ilvl="8" w:tplc="59D815E6">
      <w:numFmt w:val="decimal"/>
      <w:lvlText w:val=""/>
      <w:lvlJc w:val="left"/>
    </w:lvl>
  </w:abstractNum>
  <w:abstractNum w:abstractNumId="1172" w15:restartNumberingAfterBreak="0">
    <w:nsid w:val="7EE44426"/>
    <w:multiLevelType w:val="hybridMultilevel"/>
    <w:tmpl w:val="39EECFE8"/>
    <w:lvl w:ilvl="0" w:tplc="A35EEADC">
      <w:start w:val="1"/>
      <w:numFmt w:val="bullet"/>
      <w:lvlText w:val=""/>
      <w:lvlJc w:val="left"/>
      <w:pPr>
        <w:ind w:left="720" w:hanging="180"/>
      </w:pPr>
      <w:rPr>
        <w:rFonts w:ascii="Symbol" w:hAnsi="Symbol" w:hint="default"/>
      </w:rPr>
    </w:lvl>
    <w:lvl w:ilvl="1" w:tplc="A6FEC722">
      <w:numFmt w:val="decimal"/>
      <w:lvlText w:val=""/>
      <w:lvlJc w:val="left"/>
    </w:lvl>
    <w:lvl w:ilvl="2" w:tplc="E74863BC">
      <w:numFmt w:val="decimal"/>
      <w:lvlText w:val=""/>
      <w:lvlJc w:val="left"/>
    </w:lvl>
    <w:lvl w:ilvl="3" w:tplc="8C3434F2">
      <w:numFmt w:val="decimal"/>
      <w:lvlText w:val=""/>
      <w:lvlJc w:val="left"/>
    </w:lvl>
    <w:lvl w:ilvl="4" w:tplc="702CE3A8">
      <w:numFmt w:val="decimal"/>
      <w:lvlText w:val=""/>
      <w:lvlJc w:val="left"/>
    </w:lvl>
    <w:lvl w:ilvl="5" w:tplc="5602237E">
      <w:numFmt w:val="decimal"/>
      <w:lvlText w:val=""/>
      <w:lvlJc w:val="left"/>
    </w:lvl>
    <w:lvl w:ilvl="6" w:tplc="E2F6926E">
      <w:numFmt w:val="decimal"/>
      <w:lvlText w:val=""/>
      <w:lvlJc w:val="left"/>
    </w:lvl>
    <w:lvl w:ilvl="7" w:tplc="16CAC8DC">
      <w:numFmt w:val="decimal"/>
      <w:lvlText w:val=""/>
      <w:lvlJc w:val="left"/>
    </w:lvl>
    <w:lvl w:ilvl="8" w:tplc="16BEE07C">
      <w:numFmt w:val="decimal"/>
      <w:lvlText w:val=""/>
      <w:lvlJc w:val="left"/>
    </w:lvl>
  </w:abstractNum>
  <w:abstractNum w:abstractNumId="1173" w15:restartNumberingAfterBreak="0">
    <w:nsid w:val="7F1B7DF8"/>
    <w:multiLevelType w:val="hybridMultilevel"/>
    <w:tmpl w:val="C3842C6A"/>
    <w:lvl w:ilvl="0" w:tplc="407AE854">
      <w:start w:val="1"/>
      <w:numFmt w:val="bullet"/>
      <w:lvlText w:val=""/>
      <w:lvlJc w:val="left"/>
      <w:pPr>
        <w:ind w:left="720" w:hanging="180"/>
      </w:pPr>
      <w:rPr>
        <w:rFonts w:ascii="Symbol" w:hAnsi="Symbol" w:hint="default"/>
      </w:rPr>
    </w:lvl>
    <w:lvl w:ilvl="1" w:tplc="A11C2F30">
      <w:numFmt w:val="decimal"/>
      <w:lvlText w:val=""/>
      <w:lvlJc w:val="left"/>
    </w:lvl>
    <w:lvl w:ilvl="2" w:tplc="B42C8C32">
      <w:numFmt w:val="decimal"/>
      <w:lvlText w:val=""/>
      <w:lvlJc w:val="left"/>
    </w:lvl>
    <w:lvl w:ilvl="3" w:tplc="E04C679A">
      <w:numFmt w:val="decimal"/>
      <w:lvlText w:val=""/>
      <w:lvlJc w:val="left"/>
    </w:lvl>
    <w:lvl w:ilvl="4" w:tplc="FB9AD33E">
      <w:numFmt w:val="decimal"/>
      <w:lvlText w:val=""/>
      <w:lvlJc w:val="left"/>
    </w:lvl>
    <w:lvl w:ilvl="5" w:tplc="A3E89728">
      <w:numFmt w:val="decimal"/>
      <w:lvlText w:val=""/>
      <w:lvlJc w:val="left"/>
    </w:lvl>
    <w:lvl w:ilvl="6" w:tplc="6AEAFA76">
      <w:numFmt w:val="decimal"/>
      <w:lvlText w:val=""/>
      <w:lvlJc w:val="left"/>
    </w:lvl>
    <w:lvl w:ilvl="7" w:tplc="3B2C823C">
      <w:numFmt w:val="decimal"/>
      <w:lvlText w:val=""/>
      <w:lvlJc w:val="left"/>
    </w:lvl>
    <w:lvl w:ilvl="8" w:tplc="CEECE814">
      <w:numFmt w:val="decimal"/>
      <w:lvlText w:val=""/>
      <w:lvlJc w:val="left"/>
    </w:lvl>
  </w:abstractNum>
  <w:abstractNum w:abstractNumId="1174" w15:restartNumberingAfterBreak="0">
    <w:nsid w:val="7F286ABB"/>
    <w:multiLevelType w:val="hybridMultilevel"/>
    <w:tmpl w:val="D2744586"/>
    <w:lvl w:ilvl="0" w:tplc="97BEE572">
      <w:start w:val="1"/>
      <w:numFmt w:val="bullet"/>
      <w:lvlText w:val=""/>
      <w:lvlJc w:val="left"/>
      <w:pPr>
        <w:ind w:left="720" w:hanging="180"/>
      </w:pPr>
      <w:rPr>
        <w:rFonts w:ascii="Symbol" w:hAnsi="Symbol" w:hint="default"/>
      </w:rPr>
    </w:lvl>
    <w:lvl w:ilvl="1" w:tplc="F2FE9CCC">
      <w:numFmt w:val="decimal"/>
      <w:lvlText w:val=""/>
      <w:lvlJc w:val="left"/>
    </w:lvl>
    <w:lvl w:ilvl="2" w:tplc="D0A8601A">
      <w:numFmt w:val="decimal"/>
      <w:lvlText w:val=""/>
      <w:lvlJc w:val="left"/>
    </w:lvl>
    <w:lvl w:ilvl="3" w:tplc="584A7C22">
      <w:numFmt w:val="decimal"/>
      <w:lvlText w:val=""/>
      <w:lvlJc w:val="left"/>
    </w:lvl>
    <w:lvl w:ilvl="4" w:tplc="8716D4A6">
      <w:numFmt w:val="decimal"/>
      <w:lvlText w:val=""/>
      <w:lvlJc w:val="left"/>
    </w:lvl>
    <w:lvl w:ilvl="5" w:tplc="985C9870">
      <w:numFmt w:val="decimal"/>
      <w:lvlText w:val=""/>
      <w:lvlJc w:val="left"/>
    </w:lvl>
    <w:lvl w:ilvl="6" w:tplc="7E9C8EA8">
      <w:numFmt w:val="decimal"/>
      <w:lvlText w:val=""/>
      <w:lvlJc w:val="left"/>
    </w:lvl>
    <w:lvl w:ilvl="7" w:tplc="5290BA76">
      <w:numFmt w:val="decimal"/>
      <w:lvlText w:val=""/>
      <w:lvlJc w:val="left"/>
    </w:lvl>
    <w:lvl w:ilvl="8" w:tplc="B37627CA">
      <w:numFmt w:val="decimal"/>
      <w:lvlText w:val=""/>
      <w:lvlJc w:val="left"/>
    </w:lvl>
  </w:abstractNum>
  <w:abstractNum w:abstractNumId="1175" w15:restartNumberingAfterBreak="0">
    <w:nsid w:val="7F2D3BDD"/>
    <w:multiLevelType w:val="hybridMultilevel"/>
    <w:tmpl w:val="93B28BB2"/>
    <w:lvl w:ilvl="0" w:tplc="C6B6A704">
      <w:start w:val="1"/>
      <w:numFmt w:val="bullet"/>
      <w:lvlText w:val=""/>
      <w:lvlJc w:val="left"/>
      <w:pPr>
        <w:ind w:left="720" w:hanging="180"/>
      </w:pPr>
      <w:rPr>
        <w:rFonts w:ascii="Symbol" w:hAnsi="Symbol" w:hint="default"/>
      </w:rPr>
    </w:lvl>
    <w:lvl w:ilvl="1" w:tplc="C0563720">
      <w:numFmt w:val="decimal"/>
      <w:lvlText w:val=""/>
      <w:lvlJc w:val="left"/>
    </w:lvl>
    <w:lvl w:ilvl="2" w:tplc="42C4CDC8">
      <w:numFmt w:val="decimal"/>
      <w:lvlText w:val=""/>
      <w:lvlJc w:val="left"/>
    </w:lvl>
    <w:lvl w:ilvl="3" w:tplc="13E0E9A0">
      <w:numFmt w:val="decimal"/>
      <w:lvlText w:val=""/>
      <w:lvlJc w:val="left"/>
    </w:lvl>
    <w:lvl w:ilvl="4" w:tplc="5A2CDEF2">
      <w:numFmt w:val="decimal"/>
      <w:lvlText w:val=""/>
      <w:lvlJc w:val="left"/>
    </w:lvl>
    <w:lvl w:ilvl="5" w:tplc="908CBE0A">
      <w:numFmt w:val="decimal"/>
      <w:lvlText w:val=""/>
      <w:lvlJc w:val="left"/>
    </w:lvl>
    <w:lvl w:ilvl="6" w:tplc="2564E8D2">
      <w:numFmt w:val="decimal"/>
      <w:lvlText w:val=""/>
      <w:lvlJc w:val="left"/>
    </w:lvl>
    <w:lvl w:ilvl="7" w:tplc="81B6C78E">
      <w:numFmt w:val="decimal"/>
      <w:lvlText w:val=""/>
      <w:lvlJc w:val="left"/>
    </w:lvl>
    <w:lvl w:ilvl="8" w:tplc="2ED06ACA">
      <w:numFmt w:val="decimal"/>
      <w:lvlText w:val=""/>
      <w:lvlJc w:val="left"/>
    </w:lvl>
  </w:abstractNum>
  <w:abstractNum w:abstractNumId="1176" w15:restartNumberingAfterBreak="0">
    <w:nsid w:val="7F5E1A56"/>
    <w:multiLevelType w:val="hybridMultilevel"/>
    <w:tmpl w:val="300C8230"/>
    <w:lvl w:ilvl="0" w:tplc="D438F822">
      <w:start w:val="1"/>
      <w:numFmt w:val="bullet"/>
      <w:lvlText w:val=""/>
      <w:lvlJc w:val="left"/>
      <w:pPr>
        <w:ind w:left="720" w:hanging="180"/>
      </w:pPr>
      <w:rPr>
        <w:rFonts w:ascii="Symbol" w:hAnsi="Symbol" w:hint="default"/>
      </w:rPr>
    </w:lvl>
    <w:lvl w:ilvl="1" w:tplc="CB3AE320">
      <w:numFmt w:val="decimal"/>
      <w:lvlText w:val=""/>
      <w:lvlJc w:val="left"/>
    </w:lvl>
    <w:lvl w:ilvl="2" w:tplc="F5A41E18">
      <w:numFmt w:val="decimal"/>
      <w:lvlText w:val=""/>
      <w:lvlJc w:val="left"/>
    </w:lvl>
    <w:lvl w:ilvl="3" w:tplc="FB9C3E1C">
      <w:numFmt w:val="decimal"/>
      <w:lvlText w:val=""/>
      <w:lvlJc w:val="left"/>
    </w:lvl>
    <w:lvl w:ilvl="4" w:tplc="476EDB2E">
      <w:numFmt w:val="decimal"/>
      <w:lvlText w:val=""/>
      <w:lvlJc w:val="left"/>
    </w:lvl>
    <w:lvl w:ilvl="5" w:tplc="180E3C4C">
      <w:numFmt w:val="decimal"/>
      <w:lvlText w:val=""/>
      <w:lvlJc w:val="left"/>
    </w:lvl>
    <w:lvl w:ilvl="6" w:tplc="9774E0C2">
      <w:numFmt w:val="decimal"/>
      <w:lvlText w:val=""/>
      <w:lvlJc w:val="left"/>
    </w:lvl>
    <w:lvl w:ilvl="7" w:tplc="243ED430">
      <w:numFmt w:val="decimal"/>
      <w:lvlText w:val=""/>
      <w:lvlJc w:val="left"/>
    </w:lvl>
    <w:lvl w:ilvl="8" w:tplc="BA725B50">
      <w:numFmt w:val="decimal"/>
      <w:lvlText w:val=""/>
      <w:lvlJc w:val="left"/>
    </w:lvl>
  </w:abstractNum>
  <w:abstractNum w:abstractNumId="1177" w15:restartNumberingAfterBreak="0">
    <w:nsid w:val="7F732863"/>
    <w:multiLevelType w:val="hybridMultilevel"/>
    <w:tmpl w:val="10E80640"/>
    <w:lvl w:ilvl="0" w:tplc="2BE2CD96">
      <w:start w:val="1"/>
      <w:numFmt w:val="bullet"/>
      <w:lvlText w:val=""/>
      <w:lvlJc w:val="left"/>
      <w:pPr>
        <w:ind w:left="720" w:hanging="180"/>
      </w:pPr>
      <w:rPr>
        <w:rFonts w:ascii="Symbol" w:hAnsi="Symbol" w:hint="default"/>
      </w:rPr>
    </w:lvl>
    <w:lvl w:ilvl="1" w:tplc="93F25404">
      <w:numFmt w:val="decimal"/>
      <w:lvlText w:val=""/>
      <w:lvlJc w:val="left"/>
    </w:lvl>
    <w:lvl w:ilvl="2" w:tplc="877619B6">
      <w:numFmt w:val="decimal"/>
      <w:lvlText w:val=""/>
      <w:lvlJc w:val="left"/>
    </w:lvl>
    <w:lvl w:ilvl="3" w:tplc="BA54BA4A">
      <w:numFmt w:val="decimal"/>
      <w:lvlText w:val=""/>
      <w:lvlJc w:val="left"/>
    </w:lvl>
    <w:lvl w:ilvl="4" w:tplc="5128C556">
      <w:numFmt w:val="decimal"/>
      <w:lvlText w:val=""/>
      <w:lvlJc w:val="left"/>
    </w:lvl>
    <w:lvl w:ilvl="5" w:tplc="F6384D66">
      <w:numFmt w:val="decimal"/>
      <w:lvlText w:val=""/>
      <w:lvlJc w:val="left"/>
    </w:lvl>
    <w:lvl w:ilvl="6" w:tplc="9B768808">
      <w:numFmt w:val="decimal"/>
      <w:lvlText w:val=""/>
      <w:lvlJc w:val="left"/>
    </w:lvl>
    <w:lvl w:ilvl="7" w:tplc="2CFC2C0E">
      <w:numFmt w:val="decimal"/>
      <w:lvlText w:val=""/>
      <w:lvlJc w:val="left"/>
    </w:lvl>
    <w:lvl w:ilvl="8" w:tplc="5E100D3C">
      <w:numFmt w:val="decimal"/>
      <w:lvlText w:val=""/>
      <w:lvlJc w:val="left"/>
    </w:lvl>
  </w:abstractNum>
  <w:abstractNum w:abstractNumId="1178" w15:restartNumberingAfterBreak="0">
    <w:nsid w:val="7F8446C6"/>
    <w:multiLevelType w:val="hybridMultilevel"/>
    <w:tmpl w:val="AF76E6F0"/>
    <w:lvl w:ilvl="0" w:tplc="3ACE4064">
      <w:start w:val="1"/>
      <w:numFmt w:val="bullet"/>
      <w:lvlText w:val=""/>
      <w:lvlJc w:val="left"/>
      <w:pPr>
        <w:ind w:left="720" w:hanging="180"/>
      </w:pPr>
      <w:rPr>
        <w:rFonts w:ascii="Symbol" w:hAnsi="Symbol" w:hint="default"/>
      </w:rPr>
    </w:lvl>
    <w:lvl w:ilvl="1" w:tplc="C66CD442">
      <w:numFmt w:val="decimal"/>
      <w:lvlText w:val=""/>
      <w:lvlJc w:val="left"/>
    </w:lvl>
    <w:lvl w:ilvl="2" w:tplc="8A66DEA2">
      <w:numFmt w:val="decimal"/>
      <w:lvlText w:val=""/>
      <w:lvlJc w:val="left"/>
    </w:lvl>
    <w:lvl w:ilvl="3" w:tplc="6A48C762">
      <w:numFmt w:val="decimal"/>
      <w:lvlText w:val=""/>
      <w:lvlJc w:val="left"/>
    </w:lvl>
    <w:lvl w:ilvl="4" w:tplc="84C01F14">
      <w:numFmt w:val="decimal"/>
      <w:lvlText w:val=""/>
      <w:lvlJc w:val="left"/>
    </w:lvl>
    <w:lvl w:ilvl="5" w:tplc="986AC3B2">
      <w:numFmt w:val="decimal"/>
      <w:lvlText w:val=""/>
      <w:lvlJc w:val="left"/>
    </w:lvl>
    <w:lvl w:ilvl="6" w:tplc="FC34FE9E">
      <w:numFmt w:val="decimal"/>
      <w:lvlText w:val=""/>
      <w:lvlJc w:val="left"/>
    </w:lvl>
    <w:lvl w:ilvl="7" w:tplc="B4EEAC2E">
      <w:numFmt w:val="decimal"/>
      <w:lvlText w:val=""/>
      <w:lvlJc w:val="left"/>
    </w:lvl>
    <w:lvl w:ilvl="8" w:tplc="CC08E7F2">
      <w:numFmt w:val="decimal"/>
      <w:lvlText w:val=""/>
      <w:lvlJc w:val="left"/>
    </w:lvl>
  </w:abstractNum>
  <w:abstractNum w:abstractNumId="1179" w15:restartNumberingAfterBreak="0">
    <w:nsid w:val="7F8D16CC"/>
    <w:multiLevelType w:val="hybridMultilevel"/>
    <w:tmpl w:val="97F06570"/>
    <w:lvl w:ilvl="0" w:tplc="19DEA77C">
      <w:start w:val="1"/>
      <w:numFmt w:val="bullet"/>
      <w:lvlText w:val=""/>
      <w:lvlJc w:val="left"/>
      <w:pPr>
        <w:ind w:left="720" w:hanging="180"/>
      </w:pPr>
      <w:rPr>
        <w:rFonts w:ascii="Symbol" w:hAnsi="Symbol" w:hint="default"/>
      </w:rPr>
    </w:lvl>
    <w:lvl w:ilvl="1" w:tplc="B0CAE5D4">
      <w:numFmt w:val="decimal"/>
      <w:lvlText w:val=""/>
      <w:lvlJc w:val="left"/>
    </w:lvl>
    <w:lvl w:ilvl="2" w:tplc="A23C8082">
      <w:numFmt w:val="decimal"/>
      <w:lvlText w:val=""/>
      <w:lvlJc w:val="left"/>
    </w:lvl>
    <w:lvl w:ilvl="3" w:tplc="A176ADD6">
      <w:numFmt w:val="decimal"/>
      <w:lvlText w:val=""/>
      <w:lvlJc w:val="left"/>
    </w:lvl>
    <w:lvl w:ilvl="4" w:tplc="995002A6">
      <w:numFmt w:val="decimal"/>
      <w:lvlText w:val=""/>
      <w:lvlJc w:val="left"/>
    </w:lvl>
    <w:lvl w:ilvl="5" w:tplc="D61C943E">
      <w:numFmt w:val="decimal"/>
      <w:lvlText w:val=""/>
      <w:lvlJc w:val="left"/>
    </w:lvl>
    <w:lvl w:ilvl="6" w:tplc="BA90C76E">
      <w:numFmt w:val="decimal"/>
      <w:lvlText w:val=""/>
      <w:lvlJc w:val="left"/>
    </w:lvl>
    <w:lvl w:ilvl="7" w:tplc="631A5FEA">
      <w:numFmt w:val="decimal"/>
      <w:lvlText w:val=""/>
      <w:lvlJc w:val="left"/>
    </w:lvl>
    <w:lvl w:ilvl="8" w:tplc="22265338">
      <w:numFmt w:val="decimal"/>
      <w:lvlText w:val=""/>
      <w:lvlJc w:val="left"/>
    </w:lvl>
  </w:abstractNum>
  <w:abstractNum w:abstractNumId="1180" w15:restartNumberingAfterBreak="0">
    <w:nsid w:val="7F9248FD"/>
    <w:multiLevelType w:val="hybridMultilevel"/>
    <w:tmpl w:val="C0EE0200"/>
    <w:lvl w:ilvl="0" w:tplc="23B43066">
      <w:start w:val="1"/>
      <w:numFmt w:val="bullet"/>
      <w:lvlText w:val=""/>
      <w:lvlJc w:val="left"/>
      <w:pPr>
        <w:ind w:left="720" w:hanging="180"/>
      </w:pPr>
      <w:rPr>
        <w:rFonts w:ascii="Symbol" w:hAnsi="Symbol" w:hint="default"/>
      </w:rPr>
    </w:lvl>
    <w:lvl w:ilvl="1" w:tplc="3BF6C6B0">
      <w:numFmt w:val="decimal"/>
      <w:lvlText w:val=""/>
      <w:lvlJc w:val="left"/>
    </w:lvl>
    <w:lvl w:ilvl="2" w:tplc="DAC8AA3E">
      <w:numFmt w:val="decimal"/>
      <w:lvlText w:val=""/>
      <w:lvlJc w:val="left"/>
    </w:lvl>
    <w:lvl w:ilvl="3" w:tplc="7FB8311C">
      <w:numFmt w:val="decimal"/>
      <w:lvlText w:val=""/>
      <w:lvlJc w:val="left"/>
    </w:lvl>
    <w:lvl w:ilvl="4" w:tplc="4A424B08">
      <w:numFmt w:val="decimal"/>
      <w:lvlText w:val=""/>
      <w:lvlJc w:val="left"/>
    </w:lvl>
    <w:lvl w:ilvl="5" w:tplc="F99211F6">
      <w:numFmt w:val="decimal"/>
      <w:lvlText w:val=""/>
      <w:lvlJc w:val="left"/>
    </w:lvl>
    <w:lvl w:ilvl="6" w:tplc="50AEBD08">
      <w:numFmt w:val="decimal"/>
      <w:lvlText w:val=""/>
      <w:lvlJc w:val="left"/>
    </w:lvl>
    <w:lvl w:ilvl="7" w:tplc="7FA8B94C">
      <w:numFmt w:val="decimal"/>
      <w:lvlText w:val=""/>
      <w:lvlJc w:val="left"/>
    </w:lvl>
    <w:lvl w:ilvl="8" w:tplc="37A0580E">
      <w:numFmt w:val="decimal"/>
      <w:lvlText w:val=""/>
      <w:lvlJc w:val="left"/>
    </w:lvl>
  </w:abstractNum>
  <w:abstractNum w:abstractNumId="1181" w15:restartNumberingAfterBreak="0">
    <w:nsid w:val="7FA40C62"/>
    <w:multiLevelType w:val="hybridMultilevel"/>
    <w:tmpl w:val="8BEC8698"/>
    <w:lvl w:ilvl="0" w:tplc="DDAA6E70">
      <w:numFmt w:val="decimal"/>
      <w:lvlText w:val=""/>
      <w:lvlJc w:val="left"/>
    </w:lvl>
    <w:lvl w:ilvl="1" w:tplc="3A24E2BC">
      <w:start w:val="1"/>
      <w:numFmt w:val="bullet"/>
      <w:lvlText w:val=""/>
      <w:lvlJc w:val="left"/>
      <w:pPr>
        <w:ind w:left="1440" w:hanging="180"/>
      </w:pPr>
      <w:rPr>
        <w:rFonts w:ascii="Symbol" w:hAnsi="Symbol" w:hint="default"/>
      </w:rPr>
    </w:lvl>
    <w:lvl w:ilvl="2" w:tplc="027813E4">
      <w:numFmt w:val="decimal"/>
      <w:lvlText w:val=""/>
      <w:lvlJc w:val="left"/>
    </w:lvl>
    <w:lvl w:ilvl="3" w:tplc="7A0C7A02">
      <w:numFmt w:val="decimal"/>
      <w:lvlText w:val=""/>
      <w:lvlJc w:val="left"/>
    </w:lvl>
    <w:lvl w:ilvl="4" w:tplc="4264458A">
      <w:numFmt w:val="decimal"/>
      <w:lvlText w:val=""/>
      <w:lvlJc w:val="left"/>
    </w:lvl>
    <w:lvl w:ilvl="5" w:tplc="33BAF1AC">
      <w:numFmt w:val="decimal"/>
      <w:lvlText w:val=""/>
      <w:lvlJc w:val="left"/>
    </w:lvl>
    <w:lvl w:ilvl="6" w:tplc="F050D426">
      <w:numFmt w:val="decimal"/>
      <w:lvlText w:val=""/>
      <w:lvlJc w:val="left"/>
    </w:lvl>
    <w:lvl w:ilvl="7" w:tplc="65724BE6">
      <w:numFmt w:val="decimal"/>
      <w:lvlText w:val=""/>
      <w:lvlJc w:val="left"/>
    </w:lvl>
    <w:lvl w:ilvl="8" w:tplc="14649D36">
      <w:numFmt w:val="decimal"/>
      <w:lvlText w:val=""/>
      <w:lvlJc w:val="left"/>
    </w:lvl>
  </w:abstractNum>
  <w:abstractNum w:abstractNumId="1182" w15:restartNumberingAfterBreak="0">
    <w:nsid w:val="7FA95163"/>
    <w:multiLevelType w:val="hybridMultilevel"/>
    <w:tmpl w:val="1C566C02"/>
    <w:lvl w:ilvl="0" w:tplc="2A22D36E">
      <w:start w:val="1"/>
      <w:numFmt w:val="bullet"/>
      <w:lvlText w:val=""/>
      <w:lvlJc w:val="left"/>
      <w:pPr>
        <w:ind w:left="720" w:hanging="180"/>
      </w:pPr>
      <w:rPr>
        <w:rFonts w:ascii="Symbol" w:hAnsi="Symbol" w:hint="default"/>
      </w:rPr>
    </w:lvl>
    <w:lvl w:ilvl="1" w:tplc="BD98E144">
      <w:numFmt w:val="decimal"/>
      <w:lvlText w:val=""/>
      <w:lvlJc w:val="left"/>
    </w:lvl>
    <w:lvl w:ilvl="2" w:tplc="A49C8742">
      <w:numFmt w:val="decimal"/>
      <w:lvlText w:val=""/>
      <w:lvlJc w:val="left"/>
    </w:lvl>
    <w:lvl w:ilvl="3" w:tplc="88A46E54">
      <w:numFmt w:val="decimal"/>
      <w:lvlText w:val=""/>
      <w:lvlJc w:val="left"/>
    </w:lvl>
    <w:lvl w:ilvl="4" w:tplc="EBFA6E2C">
      <w:numFmt w:val="decimal"/>
      <w:lvlText w:val=""/>
      <w:lvlJc w:val="left"/>
    </w:lvl>
    <w:lvl w:ilvl="5" w:tplc="191E09EC">
      <w:numFmt w:val="decimal"/>
      <w:lvlText w:val=""/>
      <w:lvlJc w:val="left"/>
    </w:lvl>
    <w:lvl w:ilvl="6" w:tplc="E78C93E0">
      <w:numFmt w:val="decimal"/>
      <w:lvlText w:val=""/>
      <w:lvlJc w:val="left"/>
    </w:lvl>
    <w:lvl w:ilvl="7" w:tplc="9746E14A">
      <w:numFmt w:val="decimal"/>
      <w:lvlText w:val=""/>
      <w:lvlJc w:val="left"/>
    </w:lvl>
    <w:lvl w:ilvl="8" w:tplc="69E01B74">
      <w:numFmt w:val="decimal"/>
      <w:lvlText w:val=""/>
      <w:lvlJc w:val="left"/>
    </w:lvl>
  </w:abstractNum>
  <w:abstractNum w:abstractNumId="1183" w15:restartNumberingAfterBreak="0">
    <w:nsid w:val="7FD3127D"/>
    <w:multiLevelType w:val="hybridMultilevel"/>
    <w:tmpl w:val="FE909FFE"/>
    <w:lvl w:ilvl="0" w:tplc="6B90DE2A">
      <w:start w:val="1"/>
      <w:numFmt w:val="bullet"/>
      <w:lvlText w:val=""/>
      <w:lvlJc w:val="left"/>
      <w:pPr>
        <w:ind w:left="720" w:hanging="180"/>
      </w:pPr>
      <w:rPr>
        <w:rFonts w:ascii="Symbol" w:hAnsi="Symbol" w:hint="default"/>
      </w:rPr>
    </w:lvl>
    <w:lvl w:ilvl="1" w:tplc="A36851AA">
      <w:numFmt w:val="decimal"/>
      <w:lvlText w:val=""/>
      <w:lvlJc w:val="left"/>
    </w:lvl>
    <w:lvl w:ilvl="2" w:tplc="556A5220">
      <w:numFmt w:val="decimal"/>
      <w:lvlText w:val=""/>
      <w:lvlJc w:val="left"/>
    </w:lvl>
    <w:lvl w:ilvl="3" w:tplc="F3582F14">
      <w:numFmt w:val="decimal"/>
      <w:lvlText w:val=""/>
      <w:lvlJc w:val="left"/>
    </w:lvl>
    <w:lvl w:ilvl="4" w:tplc="5EB00E5A">
      <w:numFmt w:val="decimal"/>
      <w:lvlText w:val=""/>
      <w:lvlJc w:val="left"/>
    </w:lvl>
    <w:lvl w:ilvl="5" w:tplc="E312C424">
      <w:numFmt w:val="decimal"/>
      <w:lvlText w:val=""/>
      <w:lvlJc w:val="left"/>
    </w:lvl>
    <w:lvl w:ilvl="6" w:tplc="353207AA">
      <w:numFmt w:val="decimal"/>
      <w:lvlText w:val=""/>
      <w:lvlJc w:val="left"/>
    </w:lvl>
    <w:lvl w:ilvl="7" w:tplc="4686192C">
      <w:numFmt w:val="decimal"/>
      <w:lvlText w:val=""/>
      <w:lvlJc w:val="left"/>
    </w:lvl>
    <w:lvl w:ilvl="8" w:tplc="F8D46CC2">
      <w:numFmt w:val="decimal"/>
      <w:lvlText w:val=""/>
      <w:lvlJc w:val="left"/>
    </w:lvl>
  </w:abstractNum>
  <w:abstractNum w:abstractNumId="1184" w15:restartNumberingAfterBreak="0">
    <w:nsid w:val="7FE305BA"/>
    <w:multiLevelType w:val="hybridMultilevel"/>
    <w:tmpl w:val="DA34802C"/>
    <w:lvl w:ilvl="0" w:tplc="90E2BABC">
      <w:numFmt w:val="decimal"/>
      <w:lvlText w:val=""/>
      <w:lvlJc w:val="left"/>
    </w:lvl>
    <w:lvl w:ilvl="1" w:tplc="604814F2">
      <w:start w:val="1"/>
      <w:numFmt w:val="bullet"/>
      <w:lvlText w:val=""/>
      <w:lvlJc w:val="left"/>
      <w:pPr>
        <w:ind w:left="1440" w:hanging="180"/>
      </w:pPr>
      <w:rPr>
        <w:rFonts w:ascii="Symbol" w:hAnsi="Symbol" w:hint="default"/>
      </w:rPr>
    </w:lvl>
    <w:lvl w:ilvl="2" w:tplc="03B21164">
      <w:numFmt w:val="decimal"/>
      <w:lvlText w:val=""/>
      <w:lvlJc w:val="left"/>
    </w:lvl>
    <w:lvl w:ilvl="3" w:tplc="805A5FDC">
      <w:numFmt w:val="decimal"/>
      <w:lvlText w:val=""/>
      <w:lvlJc w:val="left"/>
    </w:lvl>
    <w:lvl w:ilvl="4" w:tplc="DEA4CAAC">
      <w:numFmt w:val="decimal"/>
      <w:lvlText w:val=""/>
      <w:lvlJc w:val="left"/>
    </w:lvl>
    <w:lvl w:ilvl="5" w:tplc="B34CDD50">
      <w:numFmt w:val="decimal"/>
      <w:lvlText w:val=""/>
      <w:lvlJc w:val="left"/>
    </w:lvl>
    <w:lvl w:ilvl="6" w:tplc="F1B66CC8">
      <w:numFmt w:val="decimal"/>
      <w:lvlText w:val=""/>
      <w:lvlJc w:val="left"/>
    </w:lvl>
    <w:lvl w:ilvl="7" w:tplc="BB24E7CE">
      <w:numFmt w:val="decimal"/>
      <w:lvlText w:val=""/>
      <w:lvlJc w:val="left"/>
    </w:lvl>
    <w:lvl w:ilvl="8" w:tplc="857C61A2">
      <w:numFmt w:val="decimal"/>
      <w:lvlText w:val=""/>
      <w:lvlJc w:val="left"/>
    </w:lvl>
  </w:abstractNum>
  <w:abstractNum w:abstractNumId="1185" w15:restartNumberingAfterBreak="0">
    <w:nsid w:val="7FFA60FE"/>
    <w:multiLevelType w:val="hybridMultilevel"/>
    <w:tmpl w:val="516E5634"/>
    <w:lvl w:ilvl="0" w:tplc="77462026">
      <w:start w:val="1"/>
      <w:numFmt w:val="bullet"/>
      <w:lvlText w:val=""/>
      <w:lvlJc w:val="left"/>
      <w:pPr>
        <w:ind w:left="720" w:hanging="180"/>
      </w:pPr>
      <w:rPr>
        <w:rFonts w:ascii="Symbol" w:hAnsi="Symbol" w:hint="default"/>
      </w:rPr>
    </w:lvl>
    <w:lvl w:ilvl="1" w:tplc="CEF89D38">
      <w:numFmt w:val="decimal"/>
      <w:lvlText w:val=""/>
      <w:lvlJc w:val="left"/>
    </w:lvl>
    <w:lvl w:ilvl="2" w:tplc="E7DC78CE">
      <w:numFmt w:val="decimal"/>
      <w:lvlText w:val=""/>
      <w:lvlJc w:val="left"/>
    </w:lvl>
    <w:lvl w:ilvl="3" w:tplc="F34C29D2">
      <w:numFmt w:val="decimal"/>
      <w:lvlText w:val=""/>
      <w:lvlJc w:val="left"/>
    </w:lvl>
    <w:lvl w:ilvl="4" w:tplc="EBF01CB0">
      <w:numFmt w:val="decimal"/>
      <w:lvlText w:val=""/>
      <w:lvlJc w:val="left"/>
    </w:lvl>
    <w:lvl w:ilvl="5" w:tplc="09AAF922">
      <w:numFmt w:val="decimal"/>
      <w:lvlText w:val=""/>
      <w:lvlJc w:val="left"/>
    </w:lvl>
    <w:lvl w:ilvl="6" w:tplc="1732479E">
      <w:numFmt w:val="decimal"/>
      <w:lvlText w:val=""/>
      <w:lvlJc w:val="left"/>
    </w:lvl>
    <w:lvl w:ilvl="7" w:tplc="E07CA882">
      <w:numFmt w:val="decimal"/>
      <w:lvlText w:val=""/>
      <w:lvlJc w:val="left"/>
    </w:lvl>
    <w:lvl w:ilvl="8" w:tplc="193446BE">
      <w:numFmt w:val="decimal"/>
      <w:lvlText w:val=""/>
      <w:lvlJc w:val="left"/>
    </w:lvl>
  </w:abstractNum>
  <w:num w:numId="1" w16cid:durableId="363870263">
    <w:abstractNumId w:val="332"/>
  </w:num>
  <w:num w:numId="2" w16cid:durableId="829950754">
    <w:abstractNumId w:val="648"/>
  </w:num>
  <w:num w:numId="3" w16cid:durableId="605887673">
    <w:abstractNumId w:val="645"/>
  </w:num>
  <w:num w:numId="4" w16cid:durableId="1483085376">
    <w:abstractNumId w:val="243"/>
  </w:num>
  <w:num w:numId="5" w16cid:durableId="736515562">
    <w:abstractNumId w:val="1002"/>
  </w:num>
  <w:num w:numId="6" w16cid:durableId="2047557125">
    <w:abstractNumId w:val="381"/>
  </w:num>
  <w:num w:numId="7" w16cid:durableId="641080299">
    <w:abstractNumId w:val="1148"/>
  </w:num>
  <w:num w:numId="8" w16cid:durableId="606734535">
    <w:abstractNumId w:val="609"/>
  </w:num>
  <w:num w:numId="9" w16cid:durableId="505288883">
    <w:abstractNumId w:val="524"/>
  </w:num>
  <w:num w:numId="10" w16cid:durableId="1501584432">
    <w:abstractNumId w:val="792"/>
  </w:num>
  <w:num w:numId="11" w16cid:durableId="1647082568">
    <w:abstractNumId w:val="587"/>
  </w:num>
  <w:num w:numId="12" w16cid:durableId="1682315237">
    <w:abstractNumId w:val="99"/>
  </w:num>
  <w:num w:numId="13" w16cid:durableId="2118254778">
    <w:abstractNumId w:val="816"/>
  </w:num>
  <w:num w:numId="14" w16cid:durableId="1461412736">
    <w:abstractNumId w:val="21"/>
  </w:num>
  <w:num w:numId="15" w16cid:durableId="161241754">
    <w:abstractNumId w:val="984"/>
  </w:num>
  <w:num w:numId="16" w16cid:durableId="854925130">
    <w:abstractNumId w:val="578"/>
  </w:num>
  <w:num w:numId="17" w16cid:durableId="347412480">
    <w:abstractNumId w:val="472"/>
  </w:num>
  <w:num w:numId="18" w16cid:durableId="1195772211">
    <w:abstractNumId w:val="71"/>
  </w:num>
  <w:num w:numId="19" w16cid:durableId="11417160">
    <w:abstractNumId w:val="12"/>
  </w:num>
  <w:num w:numId="20" w16cid:durableId="375282484">
    <w:abstractNumId w:val="884"/>
  </w:num>
  <w:num w:numId="21" w16cid:durableId="1994524916">
    <w:abstractNumId w:val="503"/>
  </w:num>
  <w:num w:numId="22" w16cid:durableId="1777217242">
    <w:abstractNumId w:val="160"/>
  </w:num>
  <w:num w:numId="23" w16cid:durableId="1435903109">
    <w:abstractNumId w:val="17"/>
  </w:num>
  <w:num w:numId="24" w16cid:durableId="926692397">
    <w:abstractNumId w:val="952"/>
  </w:num>
  <w:num w:numId="25" w16cid:durableId="1135872562">
    <w:abstractNumId w:val="495"/>
  </w:num>
  <w:num w:numId="26" w16cid:durableId="553857214">
    <w:abstractNumId w:val="415"/>
  </w:num>
  <w:num w:numId="27" w16cid:durableId="2055961003">
    <w:abstractNumId w:val="202"/>
  </w:num>
  <w:num w:numId="28" w16cid:durableId="1436442200">
    <w:abstractNumId w:val="1082"/>
  </w:num>
  <w:num w:numId="29" w16cid:durableId="1495102820">
    <w:abstractNumId w:val="1183"/>
  </w:num>
  <w:num w:numId="30" w16cid:durableId="1040739250">
    <w:abstractNumId w:val="1001"/>
  </w:num>
  <w:num w:numId="31" w16cid:durableId="640424660">
    <w:abstractNumId w:val="843"/>
  </w:num>
  <w:num w:numId="32" w16cid:durableId="1022434674">
    <w:abstractNumId w:val="636"/>
  </w:num>
  <w:num w:numId="33" w16cid:durableId="759838771">
    <w:abstractNumId w:val="926"/>
  </w:num>
  <w:num w:numId="34" w16cid:durableId="585963574">
    <w:abstractNumId w:val="893"/>
  </w:num>
  <w:num w:numId="35" w16cid:durableId="307588259">
    <w:abstractNumId w:val="30"/>
  </w:num>
  <w:num w:numId="36" w16cid:durableId="2124377022">
    <w:abstractNumId w:val="619"/>
  </w:num>
  <w:num w:numId="37" w16cid:durableId="146555947">
    <w:abstractNumId w:val="973"/>
  </w:num>
  <w:num w:numId="38" w16cid:durableId="1245451324">
    <w:abstractNumId w:val="371"/>
  </w:num>
  <w:num w:numId="39" w16cid:durableId="1100832278">
    <w:abstractNumId w:val="532"/>
  </w:num>
  <w:num w:numId="40" w16cid:durableId="1829205740">
    <w:abstractNumId w:val="1172"/>
  </w:num>
  <w:num w:numId="41" w16cid:durableId="570696395">
    <w:abstractNumId w:val="955"/>
  </w:num>
  <w:num w:numId="42" w16cid:durableId="1493715058">
    <w:abstractNumId w:val="989"/>
  </w:num>
  <w:num w:numId="43" w16cid:durableId="785973380">
    <w:abstractNumId w:val="588"/>
  </w:num>
  <w:num w:numId="44" w16cid:durableId="1983732856">
    <w:abstractNumId w:val="1089"/>
  </w:num>
  <w:num w:numId="45" w16cid:durableId="1097334942">
    <w:abstractNumId w:val="426"/>
  </w:num>
  <w:num w:numId="46" w16cid:durableId="1243568833">
    <w:abstractNumId w:val="546"/>
  </w:num>
  <w:num w:numId="47" w16cid:durableId="646789085">
    <w:abstractNumId w:val="36"/>
  </w:num>
  <w:num w:numId="48" w16cid:durableId="1789808987">
    <w:abstractNumId w:val="433"/>
  </w:num>
  <w:num w:numId="49" w16cid:durableId="155615165">
    <w:abstractNumId w:val="677"/>
  </w:num>
  <w:num w:numId="50" w16cid:durableId="1412964716">
    <w:abstractNumId w:val="270"/>
  </w:num>
  <w:num w:numId="51" w16cid:durableId="1826585200">
    <w:abstractNumId w:val="966"/>
  </w:num>
  <w:num w:numId="52" w16cid:durableId="1560633937">
    <w:abstractNumId w:val="408"/>
  </w:num>
  <w:num w:numId="53" w16cid:durableId="506016907">
    <w:abstractNumId w:val="184"/>
  </w:num>
  <w:num w:numId="54" w16cid:durableId="78337614">
    <w:abstractNumId w:val="359"/>
  </w:num>
  <w:num w:numId="55" w16cid:durableId="1868984091">
    <w:abstractNumId w:val="937"/>
  </w:num>
  <w:num w:numId="56" w16cid:durableId="1403916741">
    <w:abstractNumId w:val="5"/>
  </w:num>
  <w:num w:numId="57" w16cid:durableId="384570979">
    <w:abstractNumId w:val="675"/>
  </w:num>
  <w:num w:numId="58" w16cid:durableId="120150872">
    <w:abstractNumId w:val="147"/>
  </w:num>
  <w:num w:numId="59" w16cid:durableId="539443976">
    <w:abstractNumId w:val="539"/>
  </w:num>
  <w:num w:numId="60" w16cid:durableId="1048380594">
    <w:abstractNumId w:val="1124"/>
  </w:num>
  <w:num w:numId="61" w16cid:durableId="1398935393">
    <w:abstractNumId w:val="1010"/>
  </w:num>
  <w:num w:numId="62" w16cid:durableId="567568995">
    <w:abstractNumId w:val="490"/>
  </w:num>
  <w:num w:numId="63" w16cid:durableId="2102405224">
    <w:abstractNumId w:val="810"/>
  </w:num>
  <w:num w:numId="64" w16cid:durableId="1343120971">
    <w:abstractNumId w:val="841"/>
  </w:num>
  <w:num w:numId="65" w16cid:durableId="1939942073">
    <w:abstractNumId w:val="671"/>
  </w:num>
  <w:num w:numId="66" w16cid:durableId="2002467300">
    <w:abstractNumId w:val="1066"/>
  </w:num>
  <w:num w:numId="67" w16cid:durableId="744690929">
    <w:abstractNumId w:val="696"/>
  </w:num>
  <w:num w:numId="68" w16cid:durableId="2005157454">
    <w:abstractNumId w:val="278"/>
  </w:num>
  <w:num w:numId="69" w16cid:durableId="1621836261">
    <w:abstractNumId w:val="998"/>
  </w:num>
  <w:num w:numId="70" w16cid:durableId="89274767">
    <w:abstractNumId w:val="73"/>
  </w:num>
  <w:num w:numId="71" w16cid:durableId="381177486">
    <w:abstractNumId w:val="461"/>
  </w:num>
  <w:num w:numId="72" w16cid:durableId="124392396">
    <w:abstractNumId w:val="522"/>
  </w:num>
  <w:num w:numId="73" w16cid:durableId="925646954">
    <w:abstractNumId w:val="610"/>
  </w:num>
  <w:num w:numId="74" w16cid:durableId="1706237">
    <w:abstractNumId w:val="321"/>
  </w:num>
  <w:num w:numId="75" w16cid:durableId="1705518765">
    <w:abstractNumId w:val="117"/>
  </w:num>
  <w:num w:numId="76" w16cid:durableId="1483352359">
    <w:abstractNumId w:val="42"/>
  </w:num>
  <w:num w:numId="77" w16cid:durableId="835531582">
    <w:abstractNumId w:val="249"/>
  </w:num>
  <w:num w:numId="78" w16cid:durableId="76484391">
    <w:abstractNumId w:val="229"/>
  </w:num>
  <w:num w:numId="79" w16cid:durableId="1500346113">
    <w:abstractNumId w:val="301"/>
  </w:num>
  <w:num w:numId="80" w16cid:durableId="461777454">
    <w:abstractNumId w:val="742"/>
  </w:num>
  <w:num w:numId="81" w16cid:durableId="90586967">
    <w:abstractNumId w:val="680"/>
  </w:num>
  <w:num w:numId="82" w16cid:durableId="742095934">
    <w:abstractNumId w:val="409"/>
  </w:num>
  <w:num w:numId="83" w16cid:durableId="1462066814">
    <w:abstractNumId w:val="74"/>
  </w:num>
  <w:num w:numId="84" w16cid:durableId="80495828">
    <w:abstractNumId w:val="221"/>
  </w:num>
  <w:num w:numId="85" w16cid:durableId="313724160">
    <w:abstractNumId w:val="781"/>
  </w:num>
  <w:num w:numId="86" w16cid:durableId="71776475">
    <w:abstractNumId w:val="716"/>
  </w:num>
  <w:num w:numId="87" w16cid:durableId="391002785">
    <w:abstractNumId w:val="3"/>
  </w:num>
  <w:num w:numId="88" w16cid:durableId="351805256">
    <w:abstractNumId w:val="355"/>
  </w:num>
  <w:num w:numId="89" w16cid:durableId="1225676645">
    <w:abstractNumId w:val="835"/>
  </w:num>
  <w:num w:numId="90" w16cid:durableId="834882342">
    <w:abstractNumId w:val="1123"/>
  </w:num>
  <w:num w:numId="91" w16cid:durableId="1224222364">
    <w:abstractNumId w:val="630"/>
  </w:num>
  <w:num w:numId="92" w16cid:durableId="986741140">
    <w:abstractNumId w:val="511"/>
  </w:num>
  <w:num w:numId="93" w16cid:durableId="721517308">
    <w:abstractNumId w:val="223"/>
  </w:num>
  <w:num w:numId="94" w16cid:durableId="1302732910">
    <w:abstractNumId w:val="384"/>
  </w:num>
  <w:num w:numId="95" w16cid:durableId="1276016297">
    <w:abstractNumId w:val="358"/>
  </w:num>
  <w:num w:numId="96" w16cid:durableId="614873859">
    <w:abstractNumId w:val="879"/>
  </w:num>
  <w:num w:numId="97" w16cid:durableId="1455519036">
    <w:abstractNumId w:val="676"/>
  </w:num>
  <w:num w:numId="98" w16cid:durableId="1859463672">
    <w:abstractNumId w:val="718"/>
  </w:num>
  <w:num w:numId="99" w16cid:durableId="1440023521">
    <w:abstractNumId w:val="78"/>
  </w:num>
  <w:num w:numId="100" w16cid:durableId="1048722859">
    <w:abstractNumId w:val="499"/>
  </w:num>
  <w:num w:numId="101" w16cid:durableId="919371455">
    <w:abstractNumId w:val="980"/>
  </w:num>
  <w:num w:numId="102" w16cid:durableId="1405562440">
    <w:abstractNumId w:val="436"/>
  </w:num>
  <w:num w:numId="103" w16cid:durableId="84573778">
    <w:abstractNumId w:val="535"/>
  </w:num>
  <w:num w:numId="104" w16cid:durableId="1485004745">
    <w:abstractNumId w:val="339"/>
  </w:num>
  <w:num w:numId="105" w16cid:durableId="583729617">
    <w:abstractNumId w:val="736"/>
  </w:num>
  <w:num w:numId="106" w16cid:durableId="1473325292">
    <w:abstractNumId w:val="584"/>
  </w:num>
  <w:num w:numId="107" w16cid:durableId="1393773496">
    <w:abstractNumId w:val="388"/>
  </w:num>
  <w:num w:numId="108" w16cid:durableId="2106726184">
    <w:abstractNumId w:val="79"/>
  </w:num>
  <w:num w:numId="109" w16cid:durableId="1991910011">
    <w:abstractNumId w:val="166"/>
  </w:num>
  <w:num w:numId="110" w16cid:durableId="1406997735">
    <w:abstractNumId w:val="844"/>
  </w:num>
  <w:num w:numId="111" w16cid:durableId="359355880">
    <w:abstractNumId w:val="494"/>
  </w:num>
  <w:num w:numId="112" w16cid:durableId="573049480">
    <w:abstractNumId w:val="860"/>
  </w:num>
  <w:num w:numId="113" w16cid:durableId="1933396735">
    <w:abstractNumId w:val="323"/>
  </w:num>
  <w:num w:numId="114" w16cid:durableId="721245547">
    <w:abstractNumId w:val="573"/>
  </w:num>
  <w:num w:numId="115" w16cid:durableId="823816466">
    <w:abstractNumId w:val="486"/>
  </w:num>
  <w:num w:numId="116" w16cid:durableId="1761684509">
    <w:abstractNumId w:val="749"/>
  </w:num>
  <w:num w:numId="117" w16cid:durableId="455609486">
    <w:abstractNumId w:val="1108"/>
  </w:num>
  <w:num w:numId="118" w16cid:durableId="873418724">
    <w:abstractNumId w:val="549"/>
  </w:num>
  <w:num w:numId="119" w16cid:durableId="2058701099">
    <w:abstractNumId w:val="326"/>
  </w:num>
  <w:num w:numId="120" w16cid:durableId="694816589">
    <w:abstractNumId w:val="565"/>
  </w:num>
  <w:num w:numId="121" w16cid:durableId="2109695124">
    <w:abstractNumId w:val="838"/>
  </w:num>
  <w:num w:numId="122" w16cid:durableId="422920660">
    <w:abstractNumId w:val="861"/>
  </w:num>
  <w:num w:numId="123" w16cid:durableId="791940186">
    <w:abstractNumId w:val="76"/>
  </w:num>
  <w:num w:numId="124" w16cid:durableId="1076366983">
    <w:abstractNumId w:val="927"/>
  </w:num>
  <w:num w:numId="125" w16cid:durableId="32584621">
    <w:abstractNumId w:val="642"/>
  </w:num>
  <w:num w:numId="126" w16cid:durableId="511144244">
    <w:abstractNumId w:val="471"/>
  </w:num>
  <w:num w:numId="127" w16cid:durableId="1829009344">
    <w:abstractNumId w:val="538"/>
  </w:num>
  <w:num w:numId="128" w16cid:durableId="499778201">
    <w:abstractNumId w:val="1075"/>
  </w:num>
  <w:num w:numId="129" w16cid:durableId="2104182923">
    <w:abstractNumId w:val="608"/>
  </w:num>
  <w:num w:numId="130" w16cid:durableId="504827551">
    <w:abstractNumId w:val="157"/>
  </w:num>
  <w:num w:numId="131" w16cid:durableId="1299529289">
    <w:abstractNumId w:val="580"/>
  </w:num>
  <w:num w:numId="132" w16cid:durableId="1735202729">
    <w:abstractNumId w:val="1090"/>
  </w:num>
  <w:num w:numId="133" w16cid:durableId="1114522124">
    <w:abstractNumId w:val="1122"/>
  </w:num>
  <w:num w:numId="134" w16cid:durableId="322592561">
    <w:abstractNumId w:val="802"/>
  </w:num>
  <w:num w:numId="135" w16cid:durableId="885289040">
    <w:abstractNumId w:val="1019"/>
  </w:num>
  <w:num w:numId="136" w16cid:durableId="539973053">
    <w:abstractNumId w:val="950"/>
  </w:num>
  <w:num w:numId="137" w16cid:durableId="1962297096">
    <w:abstractNumId w:val="552"/>
  </w:num>
  <w:num w:numId="138" w16cid:durableId="1708749719">
    <w:abstractNumId w:val="341"/>
  </w:num>
  <w:num w:numId="139" w16cid:durableId="1209798333">
    <w:abstractNumId w:val="368"/>
  </w:num>
  <w:num w:numId="140" w16cid:durableId="516771394">
    <w:abstractNumId w:val="328"/>
  </w:num>
  <w:num w:numId="141" w16cid:durableId="1200700613">
    <w:abstractNumId w:val="1157"/>
  </w:num>
  <w:num w:numId="142" w16cid:durableId="2032996931">
    <w:abstractNumId w:val="1070"/>
  </w:num>
  <w:num w:numId="143" w16cid:durableId="311368736">
    <w:abstractNumId w:val="906"/>
  </w:num>
  <w:num w:numId="144" w16cid:durableId="1228105958">
    <w:abstractNumId w:val="263"/>
  </w:num>
  <w:num w:numId="145" w16cid:durableId="1940327973">
    <w:abstractNumId w:val="880"/>
  </w:num>
  <w:num w:numId="146" w16cid:durableId="475147081">
    <w:abstractNumId w:val="239"/>
  </w:num>
  <w:num w:numId="147" w16cid:durableId="2115007806">
    <w:abstractNumId w:val="1051"/>
  </w:num>
  <w:num w:numId="148" w16cid:durableId="1989744249">
    <w:abstractNumId w:val="1062"/>
  </w:num>
  <w:num w:numId="149" w16cid:durableId="1571772209">
    <w:abstractNumId w:val="15"/>
  </w:num>
  <w:num w:numId="150" w16cid:durableId="903103240">
    <w:abstractNumId w:val="1117"/>
  </w:num>
  <w:num w:numId="151" w16cid:durableId="1195924745">
    <w:abstractNumId w:val="1130"/>
  </w:num>
  <w:num w:numId="152" w16cid:durableId="215364228">
    <w:abstractNumId w:val="965"/>
  </w:num>
  <w:num w:numId="153" w16cid:durableId="1301574180">
    <w:abstractNumId w:val="891"/>
  </w:num>
  <w:num w:numId="154" w16cid:durableId="973485101">
    <w:abstractNumId w:val="181"/>
  </w:num>
  <w:num w:numId="155" w16cid:durableId="1461268942">
    <w:abstractNumId w:val="533"/>
  </w:num>
  <w:num w:numId="156" w16cid:durableId="356272118">
    <w:abstractNumId w:val="153"/>
  </w:num>
  <w:num w:numId="157" w16cid:durableId="1426149314">
    <w:abstractNumId w:val="894"/>
  </w:num>
  <w:num w:numId="158" w16cid:durableId="721755158">
    <w:abstractNumId w:val="148"/>
  </w:num>
  <w:num w:numId="159" w16cid:durableId="2117557450">
    <w:abstractNumId w:val="1137"/>
  </w:num>
  <w:num w:numId="160" w16cid:durableId="1645892685">
    <w:abstractNumId w:val="129"/>
  </w:num>
  <w:num w:numId="161" w16cid:durableId="538476098">
    <w:abstractNumId w:val="689"/>
  </w:num>
  <w:num w:numId="162" w16cid:durableId="1632058870">
    <w:abstractNumId w:val="1037"/>
  </w:num>
  <w:num w:numId="163" w16cid:durableId="1348219527">
    <w:abstractNumId w:val="70"/>
  </w:num>
  <w:num w:numId="164" w16cid:durableId="1513179749">
    <w:abstractNumId w:val="417"/>
  </w:num>
  <w:num w:numId="165" w16cid:durableId="1019425615">
    <w:abstractNumId w:val="646"/>
  </w:num>
  <w:num w:numId="166" w16cid:durableId="125859416">
    <w:abstractNumId w:val="607"/>
  </w:num>
  <w:num w:numId="167" w16cid:durableId="807549085">
    <w:abstractNumId w:val="531"/>
  </w:num>
  <w:num w:numId="168" w16cid:durableId="1308852216">
    <w:abstractNumId w:val="976"/>
  </w:num>
  <w:num w:numId="169" w16cid:durableId="1388339709">
    <w:abstractNumId w:val="1059"/>
  </w:num>
  <w:num w:numId="170" w16cid:durableId="1910072111">
    <w:abstractNumId w:val="13"/>
  </w:num>
  <w:num w:numId="171" w16cid:durableId="1801922107">
    <w:abstractNumId w:val="962"/>
  </w:num>
  <w:num w:numId="172" w16cid:durableId="1814709868">
    <w:abstractNumId w:val="833"/>
  </w:num>
  <w:num w:numId="173" w16cid:durableId="1729718748">
    <w:abstractNumId w:val="455"/>
  </w:num>
  <w:num w:numId="174" w16cid:durableId="773985786">
    <w:abstractNumId w:val="137"/>
  </w:num>
  <w:num w:numId="175" w16cid:durableId="24061131">
    <w:abstractNumId w:val="247"/>
  </w:num>
  <w:num w:numId="176" w16cid:durableId="1318417282">
    <w:abstractNumId w:val="382"/>
  </w:num>
  <w:num w:numId="177" w16cid:durableId="785080205">
    <w:abstractNumId w:val="957"/>
  </w:num>
  <w:num w:numId="178" w16cid:durableId="1754693481">
    <w:abstractNumId w:val="492"/>
  </w:num>
  <w:num w:numId="179" w16cid:durableId="704865075">
    <w:abstractNumId w:val="934"/>
  </w:num>
  <w:num w:numId="180" w16cid:durableId="1387484785">
    <w:abstractNumId w:val="819"/>
  </w:num>
  <w:num w:numId="181" w16cid:durableId="1603756760">
    <w:abstractNumId w:val="62"/>
  </w:num>
  <w:num w:numId="182" w16cid:durableId="1679770494">
    <w:abstractNumId w:val="712"/>
  </w:num>
  <w:num w:numId="183" w16cid:durableId="1445539761">
    <w:abstractNumId w:val="290"/>
  </w:num>
  <w:num w:numId="184" w16cid:durableId="9139509">
    <w:abstractNumId w:val="823"/>
  </w:num>
  <w:num w:numId="185" w16cid:durableId="361397484">
    <w:abstractNumId w:val="594"/>
  </w:num>
  <w:num w:numId="186" w16cid:durableId="1572353286">
    <w:abstractNumId w:val="188"/>
  </w:num>
  <w:num w:numId="187" w16cid:durableId="1191064668">
    <w:abstractNumId w:val="1102"/>
  </w:num>
  <w:num w:numId="188" w16cid:durableId="671033926">
    <w:abstractNumId w:val="205"/>
  </w:num>
  <w:num w:numId="189" w16cid:durableId="825975836">
    <w:abstractNumId w:val="198"/>
  </w:num>
  <w:num w:numId="190" w16cid:durableId="1399669156">
    <w:abstractNumId w:val="294"/>
  </w:num>
  <w:num w:numId="191" w16cid:durableId="1531989797">
    <w:abstractNumId w:val="1096"/>
  </w:num>
  <w:num w:numId="192" w16cid:durableId="1805003543">
    <w:abstractNumId w:val="462"/>
  </w:num>
  <w:num w:numId="193" w16cid:durableId="1086611286">
    <w:abstractNumId w:val="275"/>
  </w:num>
  <w:num w:numId="194" w16cid:durableId="1843810790">
    <w:abstractNumId w:val="92"/>
  </w:num>
  <w:num w:numId="195" w16cid:durableId="1924484950">
    <w:abstractNumId w:val="353"/>
  </w:num>
  <w:num w:numId="196" w16cid:durableId="868756932">
    <w:abstractNumId w:val="899"/>
  </w:num>
  <w:num w:numId="197" w16cid:durableId="1987199941">
    <w:abstractNumId w:val="329"/>
  </w:num>
  <w:num w:numId="198" w16cid:durableId="900485397">
    <w:abstractNumId w:val="269"/>
  </w:num>
  <w:num w:numId="199" w16cid:durableId="1336347734">
    <w:abstractNumId w:val="1056"/>
  </w:num>
  <w:num w:numId="200" w16cid:durableId="928656378">
    <w:abstractNumId w:val="1023"/>
  </w:num>
  <w:num w:numId="201" w16cid:durableId="363214047">
    <w:abstractNumId w:val="878"/>
  </w:num>
  <w:num w:numId="202" w16cid:durableId="93017237">
    <w:abstractNumId w:val="422"/>
  </w:num>
  <w:num w:numId="203" w16cid:durableId="2070228563">
    <w:abstractNumId w:val="1118"/>
  </w:num>
  <w:num w:numId="204" w16cid:durableId="1922522535">
    <w:abstractNumId w:val="547"/>
  </w:num>
  <w:num w:numId="205" w16cid:durableId="2012758909">
    <w:abstractNumId w:val="782"/>
  </w:num>
  <w:num w:numId="206" w16cid:durableId="76294757">
    <w:abstractNumId w:val="961"/>
  </w:num>
  <w:num w:numId="207" w16cid:durableId="1337268243">
    <w:abstractNumId w:val="839"/>
  </w:num>
  <w:num w:numId="208" w16cid:durableId="2017533000">
    <w:abstractNumId w:val="280"/>
  </w:num>
  <w:num w:numId="209" w16cid:durableId="95172696">
    <w:abstractNumId w:val="1029"/>
  </w:num>
  <w:num w:numId="210" w16cid:durableId="123893319">
    <w:abstractNumId w:val="177"/>
  </w:num>
  <w:num w:numId="211" w16cid:durableId="1551577545">
    <w:abstractNumId w:val="138"/>
  </w:num>
  <w:num w:numId="212" w16cid:durableId="391462180">
    <w:abstractNumId w:val="260"/>
  </w:num>
  <w:num w:numId="213" w16cid:durableId="1606308289">
    <w:abstractNumId w:val="1152"/>
  </w:num>
  <w:num w:numId="214" w16cid:durableId="1511175">
    <w:abstractNumId w:val="569"/>
  </w:num>
  <w:num w:numId="215" w16cid:durableId="473520741">
    <w:abstractNumId w:val="714"/>
  </w:num>
  <w:num w:numId="216" w16cid:durableId="1871531100">
    <w:abstractNumId w:val="808"/>
  </w:num>
  <w:num w:numId="217" w16cid:durableId="1559630232">
    <w:abstractNumId w:val="993"/>
  </w:num>
  <w:num w:numId="218" w16cid:durableId="466357385">
    <w:abstractNumId w:val="150"/>
  </w:num>
  <w:num w:numId="219" w16cid:durableId="1258321925">
    <w:abstractNumId w:val="867"/>
  </w:num>
  <w:num w:numId="220" w16cid:durableId="285544155">
    <w:abstractNumId w:val="620"/>
  </w:num>
  <w:num w:numId="221" w16cid:durableId="97333419">
    <w:abstractNumId w:val="45"/>
  </w:num>
  <w:num w:numId="222" w16cid:durableId="1220022430">
    <w:abstractNumId w:val="783"/>
  </w:num>
  <w:num w:numId="223" w16cid:durableId="517474317">
    <w:abstractNumId w:val="876"/>
  </w:num>
  <w:num w:numId="224" w16cid:durableId="1601182699">
    <w:abstractNumId w:val="999"/>
  </w:num>
  <w:num w:numId="225" w16cid:durableId="2115396693">
    <w:abstractNumId w:val="315"/>
  </w:num>
  <w:num w:numId="226" w16cid:durableId="1176308771">
    <w:abstractNumId w:val="892"/>
  </w:num>
  <w:num w:numId="227" w16cid:durableId="1496918914">
    <w:abstractNumId w:val="120"/>
  </w:num>
  <w:num w:numId="228" w16cid:durableId="1594820458">
    <w:abstractNumId w:val="44"/>
  </w:num>
  <w:num w:numId="229" w16cid:durableId="1376350408">
    <w:abstractNumId w:val="142"/>
  </w:num>
  <w:num w:numId="230" w16cid:durableId="489641172">
    <w:abstractNumId w:val="1009"/>
  </w:num>
  <w:num w:numId="231" w16cid:durableId="287590537">
    <w:abstractNumId w:val="944"/>
  </w:num>
  <w:num w:numId="232" w16cid:durableId="1345744024">
    <w:abstractNumId w:val="272"/>
  </w:num>
  <w:num w:numId="233" w16cid:durableId="614410615">
    <w:abstractNumId w:val="1064"/>
  </w:num>
  <w:num w:numId="234" w16cid:durableId="1897013466">
    <w:abstractNumId w:val="1155"/>
  </w:num>
  <w:num w:numId="235" w16cid:durableId="1989936891">
    <w:abstractNumId w:val="310"/>
  </w:num>
  <w:num w:numId="236" w16cid:durableId="1511871255">
    <w:abstractNumId w:val="700"/>
  </w:num>
  <w:num w:numId="237" w16cid:durableId="417098454">
    <w:abstractNumId w:val="298"/>
  </w:num>
  <w:num w:numId="238" w16cid:durableId="1772237925">
    <w:abstractNumId w:val="776"/>
  </w:num>
  <w:num w:numId="239" w16cid:durableId="1560097104">
    <w:abstractNumId w:val="1055"/>
  </w:num>
  <w:num w:numId="240" w16cid:durableId="969364104">
    <w:abstractNumId w:val="33"/>
  </w:num>
  <w:num w:numId="241" w16cid:durableId="454298811">
    <w:abstractNumId w:val="913"/>
  </w:num>
  <w:num w:numId="242" w16cid:durableId="1272668419">
    <w:abstractNumId w:val="316"/>
  </w:num>
  <w:num w:numId="243" w16cid:durableId="1866212561">
    <w:abstractNumId w:val="641"/>
  </w:num>
  <w:num w:numId="244" w16cid:durableId="1274751684">
    <w:abstractNumId w:val="1156"/>
  </w:num>
  <w:num w:numId="245" w16cid:durableId="1724911138">
    <w:abstractNumId w:val="868"/>
  </w:num>
  <w:num w:numId="246" w16cid:durableId="1457261373">
    <w:abstractNumId w:val="502"/>
  </w:num>
  <w:num w:numId="247" w16cid:durableId="1969580242">
    <w:abstractNumId w:val="721"/>
  </w:num>
  <w:num w:numId="248" w16cid:durableId="418600895">
    <w:abstractNumId w:val="1045"/>
  </w:num>
  <w:num w:numId="249" w16cid:durableId="2064913448">
    <w:abstractNumId w:val="102"/>
  </w:num>
  <w:num w:numId="250" w16cid:durableId="643126211">
    <w:abstractNumId w:val="250"/>
  </w:num>
  <w:num w:numId="251" w16cid:durableId="2135516954">
    <w:abstractNumId w:val="863"/>
  </w:num>
  <w:num w:numId="252" w16cid:durableId="142822185">
    <w:abstractNumId w:val="1104"/>
  </w:num>
  <w:num w:numId="253" w16cid:durableId="231086146">
    <w:abstractNumId w:val="397"/>
  </w:num>
  <w:num w:numId="254" w16cid:durableId="443043401">
    <w:abstractNumId w:val="427"/>
  </w:num>
  <w:num w:numId="255" w16cid:durableId="1914468875">
    <w:abstractNumId w:val="1057"/>
  </w:num>
  <w:num w:numId="256" w16cid:durableId="473106054">
    <w:abstractNumId w:val="875"/>
  </w:num>
  <w:num w:numId="257" w16cid:durableId="1350371955">
    <w:abstractNumId w:val="23"/>
  </w:num>
  <w:num w:numId="258" w16cid:durableId="1025791843">
    <w:abstractNumId w:val="622"/>
  </w:num>
  <w:num w:numId="259" w16cid:durableId="1500458533">
    <w:abstractNumId w:val="564"/>
  </w:num>
  <w:num w:numId="260" w16cid:durableId="1668049247">
    <w:abstractNumId w:val="351"/>
  </w:num>
  <w:num w:numId="261" w16cid:durableId="1761483201">
    <w:abstractNumId w:val="253"/>
  </w:num>
  <w:num w:numId="262" w16cid:durableId="25522426">
    <w:abstractNumId w:val="59"/>
  </w:num>
  <w:num w:numId="263" w16cid:durableId="855655542">
    <w:abstractNumId w:val="389"/>
  </w:num>
  <w:num w:numId="264" w16cid:durableId="1906140538">
    <w:abstractNumId w:val="591"/>
  </w:num>
  <w:num w:numId="265" w16cid:durableId="320894415">
    <w:abstractNumId w:val="733"/>
  </w:num>
  <w:num w:numId="266" w16cid:durableId="1551579011">
    <w:abstractNumId w:val="582"/>
  </w:num>
  <w:num w:numId="267" w16cid:durableId="434518853">
    <w:abstractNumId w:val="701"/>
  </w:num>
  <w:num w:numId="268" w16cid:durableId="1032802496">
    <w:abstractNumId w:val="505"/>
  </w:num>
  <w:num w:numId="269" w16cid:durableId="1518274687">
    <w:abstractNumId w:val="1112"/>
  </w:num>
  <w:num w:numId="270" w16cid:durableId="549343816">
    <w:abstractNumId w:val="1141"/>
  </w:num>
  <w:num w:numId="271" w16cid:durableId="35083796">
    <w:abstractNumId w:val="1097"/>
  </w:num>
  <w:num w:numId="272" w16cid:durableId="1975479674">
    <w:abstractNumId w:val="209"/>
  </w:num>
  <w:num w:numId="273" w16cid:durableId="1202086923">
    <w:abstractNumId w:val="799"/>
  </w:num>
  <w:num w:numId="274" w16cid:durableId="1399865394">
    <w:abstractNumId w:val="47"/>
  </w:num>
  <w:num w:numId="275" w16cid:durableId="1291283812">
    <w:abstractNumId w:val="579"/>
  </w:num>
  <w:num w:numId="276" w16cid:durableId="513081637">
    <w:abstractNumId w:val="943"/>
  </w:num>
  <w:num w:numId="277" w16cid:durableId="1893079562">
    <w:abstractNumId w:val="482"/>
  </w:num>
  <w:num w:numId="278" w16cid:durableId="971400942">
    <w:abstractNumId w:val="682"/>
  </w:num>
  <w:num w:numId="279" w16cid:durableId="1193686398">
    <w:abstractNumId w:val="254"/>
  </w:num>
  <w:num w:numId="280" w16cid:durableId="1447654422">
    <w:abstractNumId w:val="525"/>
  </w:num>
  <w:num w:numId="281" w16cid:durableId="808086913">
    <w:abstractNumId w:val="683"/>
  </w:num>
  <w:num w:numId="282" w16cid:durableId="754210052">
    <w:abstractNumId w:val="64"/>
  </w:num>
  <w:num w:numId="283" w16cid:durableId="1405176758">
    <w:abstractNumId w:val="979"/>
  </w:num>
  <w:num w:numId="284" w16cid:durableId="1664429487">
    <w:abstractNumId w:val="1013"/>
  </w:num>
  <w:num w:numId="285" w16cid:durableId="2114784203">
    <w:abstractNumId w:val="1107"/>
  </w:num>
  <w:num w:numId="286" w16cid:durableId="1877230535">
    <w:abstractNumId w:val="849"/>
  </w:num>
  <w:num w:numId="287" w16cid:durableId="1336228764">
    <w:abstractNumId w:val="550"/>
  </w:num>
  <w:num w:numId="288" w16cid:durableId="1552110416">
    <w:abstractNumId w:val="182"/>
  </w:num>
  <w:num w:numId="289" w16cid:durableId="1845781115">
    <w:abstractNumId w:val="135"/>
  </w:num>
  <w:num w:numId="290" w16cid:durableId="1465923732">
    <w:abstractNumId w:val="667"/>
  </w:num>
  <w:num w:numId="291" w16cid:durableId="1225601215">
    <w:abstractNumId w:val="107"/>
  </w:num>
  <w:num w:numId="292" w16cid:durableId="1549955209">
    <w:abstractNumId w:val="983"/>
  </w:num>
  <w:num w:numId="293" w16cid:durableId="447435643">
    <w:abstractNumId w:val="830"/>
  </w:num>
  <w:num w:numId="294" w16cid:durableId="1183400585">
    <w:abstractNumId w:val="49"/>
  </w:num>
  <w:num w:numId="295" w16cid:durableId="1443378508">
    <w:abstractNumId w:val="981"/>
  </w:num>
  <w:num w:numId="296" w16cid:durableId="1825853375">
    <w:abstractNumId w:val="747"/>
  </w:num>
  <w:num w:numId="297" w16cid:durableId="1913463962">
    <w:abstractNumId w:val="898"/>
  </w:num>
  <w:num w:numId="298" w16cid:durableId="127935708">
    <w:abstractNumId w:val="335"/>
  </w:num>
  <w:num w:numId="299" w16cid:durableId="223612807">
    <w:abstractNumId w:val="1028"/>
  </w:num>
  <w:num w:numId="300" w16cid:durableId="154223153">
    <w:abstractNumId w:val="1165"/>
  </w:num>
  <w:num w:numId="301" w16cid:durableId="1122647079">
    <w:abstractNumId w:val="222"/>
  </w:num>
  <w:num w:numId="302" w16cid:durableId="723217758">
    <w:abstractNumId w:val="614"/>
  </w:num>
  <w:num w:numId="303" w16cid:durableId="1541354162">
    <w:abstractNumId w:val="759"/>
  </w:num>
  <w:num w:numId="304" w16cid:durableId="1322538317">
    <w:abstractNumId w:val="904"/>
  </w:num>
  <w:num w:numId="305" w16cid:durableId="131287036">
    <w:abstractNumId w:val="319"/>
  </w:num>
  <w:num w:numId="306" w16cid:durableId="1882588402">
    <w:abstractNumId w:val="657"/>
  </w:num>
  <w:num w:numId="307" w16cid:durableId="314725049">
    <w:abstractNumId w:val="834"/>
  </w:num>
  <w:num w:numId="308" w16cid:durableId="109512327">
    <w:abstractNumId w:val="77"/>
  </w:num>
  <w:num w:numId="309" w16cid:durableId="2110658472">
    <w:abstractNumId w:val="1149"/>
  </w:num>
  <w:num w:numId="310" w16cid:durableId="2071267404">
    <w:abstractNumId w:val="738"/>
  </w:num>
  <w:num w:numId="311" w16cid:durableId="1812941039">
    <w:abstractNumId w:val="1099"/>
  </w:num>
  <w:num w:numId="312" w16cid:durableId="751466990">
    <w:abstractNumId w:val="498"/>
  </w:num>
  <w:num w:numId="313" w16cid:durableId="189880501">
    <w:abstractNumId w:val="1054"/>
  </w:num>
  <w:num w:numId="314" w16cid:durableId="1649893328">
    <w:abstractNumId w:val="14"/>
  </w:num>
  <w:num w:numId="315" w16cid:durableId="1695301638">
    <w:abstractNumId w:val="152"/>
  </w:num>
  <w:num w:numId="316" w16cid:durableId="1887795782">
    <w:abstractNumId w:val="854"/>
  </w:num>
  <w:num w:numId="317" w16cid:durableId="1313024151">
    <w:abstractNumId w:val="97"/>
  </w:num>
  <w:num w:numId="318" w16cid:durableId="337929244">
    <w:abstractNumId w:val="818"/>
  </w:num>
  <w:num w:numId="319" w16cid:durableId="1424571617">
    <w:abstractNumId w:val="63"/>
  </w:num>
  <w:num w:numId="320" w16cid:durableId="1456679739">
    <w:abstractNumId w:val="557"/>
  </w:num>
  <w:num w:numId="321" w16cid:durableId="68233805">
    <w:abstractNumId w:val="1111"/>
  </w:num>
  <w:num w:numId="322" w16cid:durableId="514920984">
    <w:abstractNumId w:val="322"/>
  </w:num>
  <w:num w:numId="323" w16cid:durableId="343484370">
    <w:abstractNumId w:val="365"/>
  </w:num>
  <w:num w:numId="324" w16cid:durableId="122164586">
    <w:abstractNumId w:val="1"/>
  </w:num>
  <w:num w:numId="325" w16cid:durableId="1413892029">
    <w:abstractNumId w:val="807"/>
  </w:num>
  <w:num w:numId="326" w16cid:durableId="1633513694">
    <w:abstractNumId w:val="672"/>
  </w:num>
  <w:num w:numId="327" w16cid:durableId="482427268">
    <w:abstractNumId w:val="831"/>
  </w:num>
  <w:num w:numId="328" w16cid:durableId="1581409352">
    <w:abstractNumId w:val="400"/>
  </w:num>
  <w:num w:numId="329" w16cid:durableId="1985546612">
    <w:abstractNumId w:val="28"/>
  </w:num>
  <w:num w:numId="330" w16cid:durableId="1815902243">
    <w:abstractNumId w:val="1125"/>
  </w:num>
  <w:num w:numId="331" w16cid:durableId="621155560">
    <w:abstractNumId w:val="1143"/>
  </w:num>
  <w:num w:numId="332" w16cid:durableId="1498958417">
    <w:abstractNumId w:val="311"/>
  </w:num>
  <w:num w:numId="333" w16cid:durableId="311644783">
    <w:abstractNumId w:val="1115"/>
  </w:num>
  <w:num w:numId="334" w16cid:durableId="1868249662">
    <w:abstractNumId w:val="650"/>
  </w:num>
  <w:num w:numId="335" w16cid:durableId="866138829">
    <w:abstractNumId w:val="320"/>
  </w:num>
  <w:num w:numId="336" w16cid:durableId="1720736918">
    <w:abstractNumId w:val="94"/>
  </w:num>
  <w:num w:numId="337" w16cid:durableId="1388914199">
    <w:abstractNumId w:val="668"/>
  </w:num>
  <w:num w:numId="338" w16cid:durableId="38089865">
    <w:abstractNumId w:val="1078"/>
  </w:num>
  <w:num w:numId="339" w16cid:durableId="788398437">
    <w:abstractNumId w:val="95"/>
  </w:num>
  <w:num w:numId="340" w16cid:durableId="568806799">
    <w:abstractNumId w:val="820"/>
  </w:num>
  <w:num w:numId="341" w16cid:durableId="1824471353">
    <w:abstractNumId w:val="658"/>
  </w:num>
  <w:num w:numId="342" w16cid:durableId="1657372498">
    <w:abstractNumId w:val="629"/>
  </w:num>
  <w:num w:numId="343" w16cid:durableId="954680914">
    <w:abstractNumId w:val="512"/>
  </w:num>
  <w:num w:numId="344" w16cid:durableId="956567081">
    <w:abstractNumId w:val="1025"/>
  </w:num>
  <w:num w:numId="345" w16cid:durableId="998001256">
    <w:abstractNumId w:val="346"/>
  </w:num>
  <w:num w:numId="346" w16cid:durableId="1312757248">
    <w:abstractNumId w:val="169"/>
  </w:num>
  <w:num w:numId="347" w16cid:durableId="1107965975">
    <w:abstractNumId w:val="402"/>
  </w:num>
  <w:num w:numId="348" w16cid:durableId="926813695">
    <w:abstractNumId w:val="1069"/>
  </w:num>
  <w:num w:numId="349" w16cid:durableId="305857109">
    <w:abstractNumId w:val="306"/>
  </w:num>
  <w:num w:numId="350" w16cid:durableId="1121607230">
    <w:abstractNumId w:val="570"/>
  </w:num>
  <w:num w:numId="351" w16cid:durableId="1748458326">
    <w:abstractNumId w:val="410"/>
  </w:num>
  <w:num w:numId="352" w16cid:durableId="962926739">
    <w:abstractNumId w:val="941"/>
  </w:num>
  <w:num w:numId="353" w16cid:durableId="1714696798">
    <w:abstractNumId w:val="362"/>
  </w:num>
  <w:num w:numId="354" w16cid:durableId="1049958758">
    <w:abstractNumId w:val="755"/>
  </w:num>
  <w:num w:numId="355" w16cid:durableId="1944150632">
    <w:abstractNumId w:val="1026"/>
  </w:num>
  <w:num w:numId="356" w16cid:durableId="1701013085">
    <w:abstractNumId w:val="125"/>
  </w:num>
  <w:num w:numId="357" w16cid:durableId="1412652258">
    <w:abstractNumId w:val="458"/>
  </w:num>
  <w:num w:numId="358" w16cid:durableId="336003769">
    <w:abstractNumId w:val="403"/>
  </w:num>
  <w:num w:numId="359" w16cid:durableId="1963530536">
    <w:abstractNumId w:val="237"/>
  </w:num>
  <w:num w:numId="360" w16cid:durableId="289867362">
    <w:abstractNumId w:val="661"/>
  </w:num>
  <w:num w:numId="361" w16cid:durableId="176507708">
    <w:abstractNumId w:val="1024"/>
  </w:num>
  <w:num w:numId="362" w16cid:durableId="436410721">
    <w:abstractNumId w:val="460"/>
  </w:num>
  <w:num w:numId="363" w16cid:durableId="287010760">
    <w:abstractNumId w:val="599"/>
  </w:num>
  <w:num w:numId="364" w16cid:durableId="1569996667">
    <w:abstractNumId w:val="679"/>
  </w:num>
  <w:num w:numId="365" w16cid:durableId="1877428578">
    <w:abstractNumId w:val="1144"/>
  </w:num>
  <w:num w:numId="366" w16cid:durableId="586690432">
    <w:abstractNumId w:val="1053"/>
  </w:num>
  <w:num w:numId="367" w16cid:durableId="1999066868">
    <w:abstractNumId w:val="585"/>
  </w:num>
  <w:num w:numId="368" w16cid:durableId="1777678645">
    <w:abstractNumId w:val="1080"/>
  </w:num>
  <w:num w:numId="369" w16cid:durableId="196506383">
    <w:abstractNumId w:val="940"/>
  </w:num>
  <w:num w:numId="370" w16cid:durableId="526338129">
    <w:abstractNumId w:val="780"/>
  </w:num>
  <w:num w:numId="371" w16cid:durableId="2064600206">
    <w:abstractNumId w:val="935"/>
  </w:num>
  <w:num w:numId="372" w16cid:durableId="432290571">
    <w:abstractNumId w:val="797"/>
  </w:num>
  <w:num w:numId="373" w16cid:durableId="1058437779">
    <w:abstractNumId w:val="61"/>
  </w:num>
  <w:num w:numId="374" w16cid:durableId="1123496149">
    <w:abstractNumId w:val="115"/>
  </w:num>
  <w:num w:numId="375" w16cid:durableId="659191199">
    <w:abstractNumId w:val="489"/>
  </w:num>
  <w:num w:numId="376" w16cid:durableId="1709521942">
    <w:abstractNumId w:val="606"/>
  </w:num>
  <w:num w:numId="377" w16cid:durableId="2109348621">
    <w:abstractNumId w:val="179"/>
  </w:num>
  <w:num w:numId="378" w16cid:durableId="397704128">
    <w:abstractNumId w:val="27"/>
  </w:num>
  <w:num w:numId="379" w16cid:durableId="968244079">
    <w:abstractNumId w:val="727"/>
  </w:num>
  <w:num w:numId="380" w16cid:durableId="528841199">
    <w:abstractNumId w:val="6"/>
  </w:num>
  <w:num w:numId="381" w16cid:durableId="1322924263">
    <w:abstractNumId w:val="58"/>
  </w:num>
  <w:num w:numId="382" w16cid:durableId="1444962057">
    <w:abstractNumId w:val="509"/>
  </w:num>
  <w:num w:numId="383" w16cid:durableId="2006853906">
    <w:abstractNumId w:val="308"/>
  </w:num>
  <w:num w:numId="384" w16cid:durableId="1117454798">
    <w:abstractNumId w:val="343"/>
  </w:num>
  <w:num w:numId="385" w16cid:durableId="1528564979">
    <w:abstractNumId w:val="777"/>
  </w:num>
  <w:num w:numId="386" w16cid:durableId="842863195">
    <w:abstractNumId w:val="162"/>
  </w:num>
  <w:num w:numId="387" w16cid:durableId="814419573">
    <w:abstractNumId w:val="291"/>
  </w:num>
  <w:num w:numId="388" w16cid:durableId="1294753112">
    <w:abstractNumId w:val="566"/>
  </w:num>
  <w:num w:numId="389" w16cid:durableId="867914353">
    <w:abstractNumId w:val="633"/>
  </w:num>
  <w:num w:numId="390" w16cid:durableId="939949628">
    <w:abstractNumId w:val="1121"/>
  </w:num>
  <w:num w:numId="391" w16cid:durableId="249192944">
    <w:abstractNumId w:val="175"/>
  </w:num>
  <w:num w:numId="392" w16cid:durableId="412314977">
    <w:abstractNumId w:val="392"/>
  </w:num>
  <w:num w:numId="393" w16cid:durableId="782461760">
    <w:abstractNumId w:val="46"/>
  </w:num>
  <w:num w:numId="394" w16cid:durableId="1886721106">
    <w:abstractNumId w:val="604"/>
  </w:num>
  <w:num w:numId="395" w16cid:durableId="28383388">
    <w:abstractNumId w:val="806"/>
  </w:num>
  <w:num w:numId="396" w16cid:durableId="659699136">
    <w:abstractNumId w:val="282"/>
  </w:num>
  <w:num w:numId="397" w16cid:durableId="1577784826">
    <w:abstractNumId w:val="1081"/>
  </w:num>
  <w:num w:numId="398" w16cid:durableId="1343439136">
    <w:abstractNumId w:val="466"/>
  </w:num>
  <w:num w:numId="399" w16cid:durableId="973411456">
    <w:abstractNumId w:val="168"/>
  </w:num>
  <w:num w:numId="400" w16cid:durableId="665715547">
    <w:abstractNumId w:val="161"/>
  </w:num>
  <w:num w:numId="401" w16cid:durableId="1601521504">
    <w:abstractNumId w:val="87"/>
  </w:num>
  <w:num w:numId="402" w16cid:durableId="385877300">
    <w:abstractNumId w:val="1084"/>
  </w:num>
  <w:num w:numId="403" w16cid:durableId="1905793728">
    <w:abstractNumId w:val="688"/>
  </w:num>
  <w:num w:numId="404" w16cid:durableId="396130386">
    <w:abstractNumId w:val="215"/>
  </w:num>
  <w:num w:numId="405" w16cid:durableId="1739476001">
    <w:abstractNumId w:val="919"/>
  </w:num>
  <w:num w:numId="406" w16cid:durableId="2146699731">
    <w:abstractNumId w:val="439"/>
  </w:num>
  <w:num w:numId="407" w16cid:durableId="1141507725">
    <w:abstractNumId w:val="443"/>
  </w:num>
  <w:num w:numId="408" w16cid:durableId="867304503">
    <w:abstractNumId w:val="924"/>
  </w:num>
  <w:num w:numId="409" w16cid:durableId="887111083">
    <w:abstractNumId w:val="111"/>
  </w:num>
  <w:num w:numId="410" w16cid:durableId="872156183">
    <w:abstractNumId w:val="663"/>
  </w:num>
  <w:num w:numId="411" w16cid:durableId="588195715">
    <w:abstractNumId w:val="385"/>
  </w:num>
  <w:num w:numId="412" w16cid:durableId="1172263196">
    <w:abstractNumId w:val="814"/>
  </w:num>
  <w:num w:numId="413" w16cid:durableId="831723585">
    <w:abstractNumId w:val="953"/>
  </w:num>
  <w:num w:numId="414" w16cid:durableId="332338648">
    <w:abstractNumId w:val="856"/>
  </w:num>
  <w:num w:numId="415" w16cid:durableId="1191607409">
    <w:abstractNumId w:val="616"/>
  </w:num>
  <w:num w:numId="416" w16cid:durableId="2022197341">
    <w:abstractNumId w:val="859"/>
  </w:num>
  <w:num w:numId="417" w16cid:durableId="439839658">
    <w:abstractNumId w:val="635"/>
  </w:num>
  <w:num w:numId="418" w16cid:durableId="1114012118">
    <w:abstractNumId w:val="916"/>
  </w:num>
  <w:num w:numId="419" w16cid:durableId="1588465551">
    <w:abstractNumId w:val="1085"/>
  </w:num>
  <w:num w:numId="420" w16cid:durableId="476381984">
    <w:abstractNumId w:val="10"/>
  </w:num>
  <w:num w:numId="421" w16cid:durableId="653069663">
    <w:abstractNumId w:val="707"/>
  </w:num>
  <w:num w:numId="422" w16cid:durableId="1032922138">
    <w:abstractNumId w:val="89"/>
  </w:num>
  <w:num w:numId="423" w16cid:durableId="1303119349">
    <w:abstractNumId w:val="487"/>
  </w:num>
  <w:num w:numId="424" w16cid:durableId="137260746">
    <w:abstractNumId w:val="853"/>
  </w:num>
  <w:num w:numId="425" w16cid:durableId="872765404">
    <w:abstractNumId w:val="848"/>
  </w:num>
  <w:num w:numId="426" w16cid:durableId="1435056701">
    <w:abstractNumId w:val="732"/>
  </w:num>
  <w:num w:numId="427" w16cid:durableId="377317814">
    <w:abstractNumId w:val="726"/>
  </w:num>
  <w:num w:numId="428" w16cid:durableId="805318145">
    <w:abstractNumId w:val="257"/>
  </w:num>
  <w:num w:numId="429" w16cid:durableId="1531652063">
    <w:abstractNumId w:val="827"/>
  </w:num>
  <w:num w:numId="430" w16cid:durableId="892081971">
    <w:abstractNumId w:val="277"/>
  </w:num>
  <w:num w:numId="431" w16cid:durableId="511575175">
    <w:abstractNumId w:val="52"/>
  </w:num>
  <w:num w:numId="432" w16cid:durableId="575549937">
    <w:abstractNumId w:val="1079"/>
  </w:num>
  <w:num w:numId="433" w16cid:durableId="779643179">
    <w:abstractNumId w:val="960"/>
  </w:num>
  <w:num w:numId="434" w16cid:durableId="747847390">
    <w:abstractNumId w:val="1167"/>
  </w:num>
  <w:num w:numId="435" w16cid:durableId="201552519">
    <w:abstractNumId w:val="171"/>
  </w:num>
  <w:num w:numId="436" w16cid:durableId="367682384">
    <w:abstractNumId w:val="543"/>
  </w:num>
  <w:num w:numId="437" w16cid:durableId="1560288411">
    <w:abstractNumId w:val="888"/>
  </w:num>
  <w:num w:numId="438" w16cid:durableId="2031486291">
    <w:abstractNumId w:val="753"/>
  </w:num>
  <w:num w:numId="439" w16cid:durableId="1976371412">
    <w:abstractNumId w:val="11"/>
  </w:num>
  <w:num w:numId="440" w16cid:durableId="827863186">
    <w:abstractNumId w:val="140"/>
  </w:num>
  <w:num w:numId="441" w16cid:durableId="1350060855">
    <w:abstractNumId w:val="448"/>
  </w:num>
  <w:num w:numId="442" w16cid:durableId="278684426">
    <w:abstractNumId w:val="581"/>
  </w:num>
  <w:num w:numId="443" w16cid:durableId="1599217359">
    <w:abstractNumId w:val="784"/>
  </w:num>
  <w:num w:numId="444" w16cid:durableId="788473727">
    <w:abstractNumId w:val="964"/>
  </w:num>
  <w:num w:numId="445" w16cid:durableId="1192769420">
    <w:abstractNumId w:val="334"/>
  </w:num>
  <w:num w:numId="446" w16cid:durableId="1417362775">
    <w:abstractNumId w:val="788"/>
  </w:num>
  <w:num w:numId="447" w16cid:durableId="1670982083">
    <w:abstractNumId w:val="556"/>
  </w:num>
  <w:num w:numId="448" w16cid:durableId="82344373">
    <w:abstractNumId w:val="186"/>
  </w:num>
  <w:num w:numId="449" w16cid:durableId="921060686">
    <w:abstractNumId w:val="82"/>
  </w:num>
  <w:num w:numId="450" w16cid:durableId="1054814284">
    <w:abstractNumId w:val="80"/>
  </w:num>
  <w:num w:numId="451" w16cid:durableId="1869564191">
    <w:abstractNumId w:val="300"/>
  </w:num>
  <w:num w:numId="452" w16cid:durableId="908924100">
    <w:abstractNumId w:val="204"/>
  </w:num>
  <w:num w:numId="453" w16cid:durableId="179392689">
    <w:abstractNumId w:val="305"/>
  </w:num>
  <w:num w:numId="454" w16cid:durableId="1433739548">
    <w:abstractNumId w:val="390"/>
  </w:num>
  <w:num w:numId="455" w16cid:durableId="1782915603">
    <w:abstractNumId w:val="302"/>
  </w:num>
  <w:num w:numId="456" w16cid:durableId="1977955158">
    <w:abstractNumId w:val="528"/>
  </w:num>
  <w:num w:numId="457" w16cid:durableId="823931097">
    <w:abstractNumId w:val="244"/>
  </w:num>
  <w:num w:numId="458" w16cid:durableId="154614141">
    <w:abstractNumId w:val="395"/>
  </w:num>
  <w:num w:numId="459" w16cid:durableId="1513371552">
    <w:abstractNumId w:val="1020"/>
  </w:num>
  <w:num w:numId="460" w16cid:durableId="659381651">
    <w:abstractNumId w:val="53"/>
  </w:num>
  <w:num w:numId="461" w16cid:durableId="726074929">
    <w:abstractNumId w:val="757"/>
  </w:num>
  <w:num w:numId="462" w16cid:durableId="558442406">
    <w:abstractNumId w:val="660"/>
  </w:num>
  <w:num w:numId="463" w16cid:durableId="356473205">
    <w:abstractNumId w:val="438"/>
  </w:num>
  <w:num w:numId="464" w16cid:durableId="623073926">
    <w:abstractNumId w:val="693"/>
  </w:num>
  <w:num w:numId="465" w16cid:durableId="597829722">
    <w:abstractNumId w:val="88"/>
  </w:num>
  <w:num w:numId="466" w16cid:durableId="1208639201">
    <w:abstractNumId w:val="706"/>
  </w:num>
  <w:num w:numId="467" w16cid:durableId="1362440573">
    <w:abstractNumId w:val="218"/>
  </w:num>
  <w:num w:numId="468" w16cid:durableId="871649850">
    <w:abstractNumId w:val="29"/>
  </w:num>
  <w:num w:numId="469" w16cid:durableId="1108310634">
    <w:abstractNumId w:val="740"/>
  </w:num>
  <w:num w:numId="470" w16cid:durableId="1717699111">
    <w:abstractNumId w:val="555"/>
  </w:num>
  <w:num w:numId="471" w16cid:durableId="540939983">
    <w:abstractNumId w:val="949"/>
  </w:num>
  <w:num w:numId="472" w16cid:durableId="2060089339">
    <w:abstractNumId w:val="232"/>
  </w:num>
  <w:num w:numId="473" w16cid:durableId="1668286588">
    <w:abstractNumId w:val="731"/>
  </w:num>
  <w:num w:numId="474" w16cid:durableId="438256280">
    <w:abstractNumId w:val="1160"/>
  </w:num>
  <w:num w:numId="475" w16cid:durableId="2053725669">
    <w:abstractNumId w:val="196"/>
  </w:num>
  <w:num w:numId="476" w16cid:durableId="1330906465">
    <w:abstractNumId w:val="536"/>
  </w:num>
  <w:num w:numId="477" w16cid:durableId="863518470">
    <w:abstractNumId w:val="762"/>
  </w:num>
  <w:num w:numId="478" w16cid:durableId="152767073">
    <w:abstractNumId w:val="114"/>
  </w:num>
  <w:num w:numId="479" w16cid:durableId="257295583">
    <w:abstractNumId w:val="626"/>
  </w:num>
  <w:num w:numId="480" w16cid:durableId="1648516250">
    <w:abstractNumId w:val="690"/>
  </w:num>
  <w:num w:numId="481" w16cid:durableId="551768900">
    <w:abstractNumId w:val="366"/>
  </w:num>
  <w:num w:numId="482" w16cid:durableId="406420059">
    <w:abstractNumId w:val="170"/>
  </w:num>
  <w:num w:numId="483" w16cid:durableId="1875993190">
    <w:abstractNumId w:val="112"/>
  </w:num>
  <w:num w:numId="484" w16cid:durableId="999118432">
    <w:abstractNumId w:val="746"/>
  </w:num>
  <w:num w:numId="485" w16cid:durableId="313417590">
    <w:abstractNumId w:val="1119"/>
  </w:num>
  <w:num w:numId="486" w16cid:durableId="1532374754">
    <w:abstractNumId w:val="1095"/>
  </w:num>
  <w:num w:numId="487" w16cid:durableId="1011638587">
    <w:abstractNumId w:val="340"/>
  </w:num>
  <w:num w:numId="488" w16cid:durableId="1173446786">
    <w:abstractNumId w:val="1162"/>
  </w:num>
  <w:num w:numId="489" w16cid:durableId="396780960">
    <w:abstractNumId w:val="86"/>
  </w:num>
  <w:num w:numId="490" w16cid:durableId="1719280293">
    <w:abstractNumId w:val="991"/>
  </w:num>
  <w:num w:numId="491" w16cid:durableId="717976693">
    <w:abstractNumId w:val="554"/>
  </w:num>
  <w:num w:numId="492" w16cid:durableId="1498420766">
    <w:abstractNumId w:val="1180"/>
  </w:num>
  <w:num w:numId="493" w16cid:durableId="1102262124">
    <w:abstractNumId w:val="1036"/>
  </w:num>
  <w:num w:numId="494" w16cid:durableId="2044556547">
    <w:abstractNumId w:val="829"/>
  </w:num>
  <w:num w:numId="495" w16cid:durableId="382363640">
    <w:abstractNumId w:val="1077"/>
  </w:num>
  <w:num w:numId="496" w16cid:durableId="1322546125">
    <w:abstractNumId w:val="662"/>
  </w:num>
  <w:num w:numId="497" w16cid:durableId="536159001">
    <w:abstractNumId w:val="1158"/>
  </w:num>
  <w:num w:numId="498" w16cid:durableId="1609310844">
    <w:abstractNumId w:val="425"/>
  </w:num>
  <w:num w:numId="499" w16cid:durableId="1319112676">
    <w:abstractNumId w:val="226"/>
  </w:num>
  <w:num w:numId="500" w16cid:durableId="1161045472">
    <w:abstractNumId w:val="173"/>
  </w:num>
  <w:num w:numId="501" w16cid:durableId="477503818">
    <w:abstractNumId w:val="623"/>
  </w:num>
  <w:num w:numId="502" w16cid:durableId="998191640">
    <w:abstractNumId w:val="534"/>
  </w:num>
  <w:num w:numId="503" w16cid:durableId="467474776">
    <w:abstractNumId w:val="103"/>
  </w:num>
  <w:num w:numId="504" w16cid:durableId="41295006">
    <w:abstractNumId w:val="183"/>
  </w:num>
  <w:num w:numId="505" w16cid:durableId="516122794">
    <w:abstractNumId w:val="972"/>
  </w:num>
  <w:num w:numId="506" w16cid:durableId="376051570">
    <w:abstractNumId w:val="236"/>
  </w:num>
  <w:num w:numId="507" w16cid:durableId="1095132718">
    <w:abstractNumId w:val="159"/>
  </w:num>
  <w:num w:numId="508" w16cid:durableId="199321555">
    <w:abstractNumId w:val="442"/>
  </w:num>
  <w:num w:numId="509" w16cid:durableId="1009910466">
    <w:abstractNumId w:val="612"/>
  </w:num>
  <w:num w:numId="510" w16cid:durableId="1645352676">
    <w:abstractNumId w:val="452"/>
  </w:num>
  <w:num w:numId="511" w16cid:durableId="410348328">
    <w:abstractNumId w:val="256"/>
  </w:num>
  <w:num w:numId="512" w16cid:durableId="1996954040">
    <w:abstractNumId w:val="119"/>
  </w:num>
  <w:num w:numId="513" w16cid:durableId="346059709">
    <w:abstractNumId w:val="699"/>
  </w:num>
  <w:num w:numId="514" w16cid:durableId="1543906815">
    <w:abstractNumId w:val="1072"/>
  </w:num>
  <w:num w:numId="515" w16cid:durableId="489247206">
    <w:abstractNumId w:val="191"/>
  </w:num>
  <w:num w:numId="516" w16cid:durableId="57632066">
    <w:abstractNumId w:val="1159"/>
  </w:num>
  <w:num w:numId="517" w16cid:durableId="354576476">
    <w:abstractNumId w:val="710"/>
  </w:num>
  <w:num w:numId="518" w16cid:durableId="368459865">
    <w:abstractNumId w:val="136"/>
  </w:num>
  <w:num w:numId="519" w16cid:durableId="488986024">
    <w:abstractNumId w:val="331"/>
  </w:num>
  <w:num w:numId="520" w16cid:durableId="1578510789">
    <w:abstractNumId w:val="969"/>
  </w:num>
  <w:num w:numId="521" w16cid:durableId="810899091">
    <w:abstractNumId w:val="1169"/>
  </w:num>
  <w:num w:numId="522" w16cid:durableId="1877737828">
    <w:abstractNumId w:val="48"/>
  </w:num>
  <w:num w:numId="523" w16cid:durableId="165169862">
    <w:abstractNumId w:val="98"/>
  </w:num>
  <w:num w:numId="524" w16cid:durableId="740178284">
    <w:abstractNumId w:val="812"/>
  </w:num>
  <w:num w:numId="525" w16cid:durableId="1947888920">
    <w:abstractNumId w:val="615"/>
  </w:num>
  <w:num w:numId="526" w16cid:durableId="466825421">
    <w:abstractNumId w:val="434"/>
  </w:num>
  <w:num w:numId="527" w16cid:durableId="2054499409">
    <w:abstractNumId w:val="896"/>
  </w:num>
  <w:num w:numId="528" w16cid:durableId="1837761698">
    <w:abstractNumId w:val="938"/>
  </w:num>
  <w:num w:numId="529" w16cid:durableId="212429489">
    <w:abstractNumId w:val="510"/>
  </w:num>
  <w:num w:numId="530" w16cid:durableId="1505319874">
    <w:abstractNumId w:val="967"/>
  </w:num>
  <w:num w:numId="531" w16cid:durableId="1531407802">
    <w:abstractNumId w:val="882"/>
  </w:num>
  <w:num w:numId="532" w16cid:durableId="996376100">
    <w:abstractNumId w:val="224"/>
  </w:num>
  <w:num w:numId="533" w16cid:durableId="180053428">
    <w:abstractNumId w:val="293"/>
  </w:num>
  <w:num w:numId="534" w16cid:durableId="1194924528">
    <w:abstractNumId w:val="248"/>
  </w:num>
  <w:num w:numId="535" w16cid:durableId="1305239499">
    <w:abstractNumId w:val="621"/>
  </w:num>
  <w:num w:numId="536" w16cid:durableId="1768622882">
    <w:abstractNumId w:val="124"/>
  </w:num>
  <w:num w:numId="537" w16cid:durableId="1351294119">
    <w:abstractNumId w:val="421"/>
  </w:num>
  <w:num w:numId="538" w16cid:durableId="614294898">
    <w:abstractNumId w:val="1170"/>
  </w:num>
  <w:num w:numId="539" w16cid:durableId="1587113604">
    <w:abstractNumId w:val="361"/>
  </w:num>
  <w:num w:numId="540" w16cid:durableId="1974864709">
    <w:abstractNumId w:val="41"/>
  </w:num>
  <w:num w:numId="541" w16cid:durableId="1318798727">
    <w:abstractNumId w:val="1161"/>
  </w:num>
  <w:num w:numId="542" w16cid:durableId="826432399">
    <w:abstractNumId w:val="725"/>
  </w:num>
  <w:num w:numId="543" w16cid:durableId="730618329">
    <w:abstractNumId w:val="1135"/>
  </w:num>
  <w:num w:numId="544" w16cid:durableId="1125809863">
    <w:abstractNumId w:val="613"/>
  </w:num>
  <w:num w:numId="545" w16cid:durableId="1502433617">
    <w:abstractNumId w:val="163"/>
  </w:num>
  <w:num w:numId="546" w16cid:durableId="908199235">
    <w:abstractNumId w:val="640"/>
  </w:num>
  <w:num w:numId="547" w16cid:durableId="1928922090">
    <w:abstractNumId w:val="907"/>
  </w:num>
  <w:num w:numId="548" w16cid:durableId="1143809138">
    <w:abstractNumId w:val="659"/>
  </w:num>
  <w:num w:numId="549" w16cid:durableId="1152285756">
    <w:abstractNumId w:val="500"/>
  </w:num>
  <w:num w:numId="550" w16cid:durableId="467629214">
    <w:abstractNumId w:val="412"/>
  </w:num>
  <w:num w:numId="551" w16cid:durableId="1249534523">
    <w:abstractNumId w:val="139"/>
  </w:num>
  <w:num w:numId="552" w16cid:durableId="1965310275">
    <w:abstractNumId w:val="333"/>
  </w:num>
  <w:num w:numId="553" w16cid:durableId="2118325048">
    <w:abstractNumId w:val="190"/>
  </w:num>
  <w:num w:numId="554" w16cid:durableId="1746881582">
    <w:abstractNumId w:val="866"/>
  </w:num>
  <w:num w:numId="555" w16cid:durableId="184297178">
    <w:abstractNumId w:val="83"/>
  </w:num>
  <w:num w:numId="556" w16cid:durableId="873687295">
    <w:abstractNumId w:val="133"/>
  </w:num>
  <w:num w:numId="557" w16cid:durableId="904141505">
    <w:abstractNumId w:val="925"/>
  </w:num>
  <w:num w:numId="558" w16cid:durableId="1897156914">
    <w:abstractNumId w:val="211"/>
  </w:num>
  <w:num w:numId="559" w16cid:durableId="614562775">
    <w:abstractNumId w:val="702"/>
  </w:num>
  <w:num w:numId="560" w16cid:durableId="1014455257">
    <w:abstractNumId w:val="773"/>
  </w:num>
  <w:num w:numId="561" w16cid:durableId="1463116252">
    <w:abstractNumId w:val="113"/>
  </w:num>
  <w:num w:numId="562" w16cid:durableId="752048535">
    <w:abstractNumId w:val="55"/>
  </w:num>
  <w:num w:numId="563" w16cid:durableId="1223904673">
    <w:abstractNumId w:val="909"/>
  </w:num>
  <w:num w:numId="564" w16cid:durableId="1914389619">
    <w:abstractNumId w:val="192"/>
  </w:num>
  <w:num w:numId="565" w16cid:durableId="561909203">
    <w:abstractNumId w:val="686"/>
  </w:num>
  <w:num w:numId="566" w16cid:durableId="1116753781">
    <w:abstractNumId w:val="1048"/>
  </w:num>
  <w:num w:numId="567" w16cid:durableId="372661588">
    <w:abstractNumId w:val="986"/>
  </w:num>
  <w:num w:numId="568" w16cid:durableId="151453901">
    <w:abstractNumId w:val="251"/>
  </w:num>
  <w:num w:numId="569" w16cid:durableId="1207570338">
    <w:abstractNumId w:val="544"/>
  </w:num>
  <w:num w:numId="570" w16cid:durableId="2128692407">
    <w:abstractNumId w:val="877"/>
  </w:num>
  <w:num w:numId="571" w16cid:durableId="2118678175">
    <w:abstractNumId w:val="418"/>
  </w:num>
  <w:num w:numId="572" w16cid:durableId="1903716199">
    <w:abstractNumId w:val="393"/>
  </w:num>
  <w:num w:numId="573" w16cid:durableId="1133519324">
    <w:abstractNumId w:val="1043"/>
  </w:num>
  <w:num w:numId="574" w16cid:durableId="518588439">
    <w:abstractNumId w:val="874"/>
  </w:num>
  <w:num w:numId="575" w16cid:durableId="594938816">
    <w:abstractNumId w:val="376"/>
  </w:num>
  <w:num w:numId="576" w16cid:durableId="693388251">
    <w:abstractNumId w:val="121"/>
  </w:num>
  <w:num w:numId="577" w16cid:durableId="1915778443">
    <w:abstractNumId w:val="357"/>
  </w:num>
  <w:num w:numId="578" w16cid:durableId="1503160523">
    <w:abstractNumId w:val="789"/>
  </w:num>
  <w:num w:numId="579" w16cid:durableId="1193154549">
    <w:abstractNumId w:val="674"/>
  </w:num>
  <w:num w:numId="580" w16cid:durableId="414404150">
    <w:abstractNumId w:val="187"/>
  </w:num>
  <w:num w:numId="581" w16cid:durableId="1135677568">
    <w:abstractNumId w:val="378"/>
  </w:num>
  <w:num w:numId="582" w16cid:durableId="1405300024">
    <w:abstractNumId w:val="273"/>
  </w:num>
  <w:num w:numId="583" w16cid:durableId="1119645785">
    <w:abstractNumId w:val="644"/>
  </w:num>
  <w:num w:numId="584" w16cid:durableId="396899237">
    <w:abstractNumId w:val="1103"/>
  </w:num>
  <w:num w:numId="585" w16cid:durableId="1405880518">
    <w:abstractNumId w:val="1039"/>
  </w:num>
  <w:num w:numId="586" w16cid:durableId="1658145507">
    <w:abstractNumId w:val="207"/>
  </w:num>
  <w:num w:numId="587" w16cid:durableId="643661008">
    <w:abstractNumId w:val="67"/>
  </w:num>
  <w:num w:numId="588" w16cid:durableId="1928927797">
    <w:abstractNumId w:val="212"/>
  </w:num>
  <w:num w:numId="589" w16cid:durableId="2017657355">
    <w:abstractNumId w:val="235"/>
  </w:num>
  <w:num w:numId="590" w16cid:durableId="1922525483">
    <w:abstractNumId w:val="40"/>
  </w:num>
  <w:num w:numId="591" w16cid:durableId="1817915301">
    <w:abstractNumId w:val="1168"/>
  </w:num>
  <w:num w:numId="592" w16cid:durableId="1698308547">
    <w:abstractNumId w:val="337"/>
  </w:num>
  <w:num w:numId="593" w16cid:durableId="1658924486">
    <w:abstractNumId w:val="199"/>
  </w:num>
  <w:num w:numId="594" w16cid:durableId="274795418">
    <w:abstractNumId w:val="872"/>
  </w:num>
  <w:num w:numId="595" w16cid:durableId="1673801732">
    <w:abstractNumId w:val="1136"/>
  </w:num>
  <w:num w:numId="596" w16cid:durableId="1075322141">
    <w:abstractNumId w:val="459"/>
  </w:num>
  <w:num w:numId="597" w16cid:durableId="1640499331">
    <w:abstractNumId w:val="240"/>
  </w:num>
  <w:num w:numId="598" w16cid:durableId="524368484">
    <w:abstractNumId w:val="372"/>
  </w:num>
  <w:num w:numId="599" w16cid:durableId="2057729707">
    <w:abstractNumId w:val="149"/>
  </w:num>
  <w:num w:numId="600" w16cid:durableId="726876303">
    <w:abstractNumId w:val="411"/>
  </w:num>
  <w:num w:numId="601" w16cid:durableId="1629242420">
    <w:abstractNumId w:val="770"/>
  </w:num>
  <w:num w:numId="602" w16cid:durableId="562955527">
    <w:abstractNumId w:val="258"/>
  </w:num>
  <w:num w:numId="603" w16cid:durableId="838421488">
    <w:abstractNumId w:val="377"/>
  </w:num>
  <w:num w:numId="604" w16cid:durableId="557013944">
    <w:abstractNumId w:val="130"/>
  </w:num>
  <w:num w:numId="605" w16cid:durableId="1549343291">
    <w:abstractNumId w:val="1052"/>
  </w:num>
  <w:num w:numId="606" w16cid:durableId="2069456251">
    <w:abstractNumId w:val="870"/>
  </w:num>
  <w:num w:numId="607" w16cid:durableId="1668052227">
    <w:abstractNumId w:val="1027"/>
  </w:num>
  <w:num w:numId="608" w16cid:durableId="1031612850">
    <w:abstractNumId w:val="104"/>
  </w:num>
  <w:num w:numId="609" w16cid:durableId="2037582466">
    <w:abstractNumId w:val="219"/>
  </w:num>
  <w:num w:numId="610" w16cid:durableId="1316908944">
    <w:abstractNumId w:val="69"/>
  </w:num>
  <w:num w:numId="611" w16cid:durableId="81607396">
    <w:abstractNumId w:val="1126"/>
  </w:num>
  <w:num w:numId="612" w16cid:durableId="1239629657">
    <w:abstractNumId w:val="681"/>
  </w:num>
  <w:num w:numId="613" w16cid:durableId="1591087656">
    <w:abstractNumId w:val="56"/>
  </w:num>
  <w:num w:numId="614" w16cid:durableId="577326691">
    <w:abstractNumId w:val="1016"/>
  </w:num>
  <w:num w:numId="615" w16cid:durableId="1629362424">
    <w:abstractNumId w:val="567"/>
  </w:num>
  <w:num w:numId="616" w16cid:durableId="872115662">
    <w:abstractNumId w:val="127"/>
  </w:num>
  <w:num w:numId="617" w16cid:durableId="536427397">
    <w:abstractNumId w:val="711"/>
  </w:num>
  <w:num w:numId="618" w16cid:durableId="1885171137">
    <w:abstractNumId w:val="932"/>
  </w:num>
  <w:num w:numId="619" w16cid:durableId="153954787">
    <w:abstractNumId w:val="1088"/>
  </w:num>
  <w:num w:numId="620" w16cid:durableId="2026441926">
    <w:abstractNumId w:val="91"/>
  </w:num>
  <w:num w:numId="621" w16cid:durableId="104008416">
    <w:abstractNumId w:val="778"/>
  </w:num>
  <w:num w:numId="622" w16cid:durableId="1341007206">
    <w:abstractNumId w:val="735"/>
  </w:num>
  <w:num w:numId="623" w16cid:durableId="309746861">
    <w:abstractNumId w:val="496"/>
  </w:num>
  <w:num w:numId="624" w16cid:durableId="1502236835">
    <w:abstractNumId w:val="66"/>
  </w:num>
  <w:num w:numId="625" w16cid:durableId="1060984655">
    <w:abstractNumId w:val="1146"/>
  </w:num>
  <w:num w:numId="626" w16cid:durableId="910315646">
    <w:abstractNumId w:val="25"/>
  </w:num>
  <w:num w:numId="627" w16cid:durableId="1391004093">
    <w:abstractNumId w:val="857"/>
  </w:num>
  <w:num w:numId="628" w16cid:durableId="1066222163">
    <w:abstractNumId w:val="283"/>
  </w:num>
  <w:num w:numId="629" w16cid:durableId="1853909754">
    <w:abstractNumId w:val="164"/>
  </w:num>
  <w:num w:numId="630" w16cid:durableId="287250549">
    <w:abstractNumId w:val="826"/>
  </w:num>
  <w:num w:numId="631" w16cid:durableId="453059952">
    <w:abstractNumId w:val="923"/>
  </w:num>
  <w:num w:numId="632" w16cid:durableId="365450006">
    <w:abstractNumId w:val="948"/>
  </w:num>
  <w:num w:numId="633" w16cid:durableId="1961105827">
    <w:abstractNumId w:val="242"/>
  </w:num>
  <w:num w:numId="634" w16cid:durableId="918054343">
    <w:abstractNumId w:val="287"/>
  </w:num>
  <w:num w:numId="635" w16cid:durableId="859708863">
    <w:abstractNumId w:val="506"/>
  </w:num>
  <w:num w:numId="636" w16cid:durableId="1770003981">
    <w:abstractNumId w:val="571"/>
  </w:num>
  <w:num w:numId="637" w16cid:durableId="1455055250">
    <w:abstractNumId w:val="992"/>
  </w:num>
  <w:num w:numId="638" w16cid:durableId="1853258557">
    <w:abstractNumId w:val="292"/>
  </w:num>
  <w:num w:numId="639" w16cid:durableId="1184317290">
    <w:abstractNumId w:val="1181"/>
  </w:num>
  <w:num w:numId="640" w16cid:durableId="1883636138">
    <w:abstractNumId w:val="201"/>
  </w:num>
  <w:num w:numId="641" w16cid:durableId="1858883353">
    <w:abstractNumId w:val="704"/>
  </w:num>
  <w:num w:numId="642" w16cid:durableId="53896519">
    <w:abstractNumId w:val="38"/>
  </w:num>
  <w:num w:numId="643" w16cid:durableId="1234193480">
    <w:abstractNumId w:val="479"/>
  </w:num>
  <w:num w:numId="644" w16cid:durableId="1339119005">
    <w:abstractNumId w:val="416"/>
  </w:num>
  <w:num w:numId="645" w16cid:durableId="1372421760">
    <w:abstractNumId w:val="174"/>
  </w:num>
  <w:num w:numId="646" w16cid:durableId="616715058">
    <w:abstractNumId w:val="684"/>
  </w:num>
  <w:num w:numId="647" w16cid:durableId="920915177">
    <w:abstractNumId w:val="118"/>
  </w:num>
  <w:num w:numId="648" w16cid:durableId="963582185">
    <w:abstractNumId w:val="765"/>
  </w:num>
  <w:num w:numId="649" w16cid:durableId="993608216">
    <w:abstractNumId w:val="51"/>
  </w:num>
  <w:num w:numId="650" w16cid:durableId="358555413">
    <w:abstractNumId w:val="590"/>
  </w:num>
  <w:num w:numId="651" w16cid:durableId="1945920141">
    <w:abstractNumId w:val="1138"/>
  </w:num>
  <w:num w:numId="652" w16cid:durableId="1374619474">
    <w:abstractNumId w:val="1030"/>
  </w:num>
  <w:num w:numId="653" w16cid:durableId="1059330698">
    <w:abstractNumId w:val="942"/>
  </w:num>
  <w:num w:numId="654" w16cid:durableId="1576626510">
    <w:abstractNumId w:val="488"/>
  </w:num>
  <w:num w:numId="655" w16cid:durableId="534970788">
    <w:abstractNumId w:val="791"/>
  </w:num>
  <w:num w:numId="656" w16cid:durableId="1998652343">
    <w:abstractNumId w:val="108"/>
  </w:num>
  <w:num w:numId="657" w16cid:durableId="1865942797">
    <w:abstractNumId w:val="752"/>
  </w:num>
  <w:num w:numId="658" w16cid:durableId="427195737">
    <w:abstractNumId w:val="529"/>
  </w:num>
  <w:num w:numId="659" w16cid:durableId="1854568391">
    <w:abstractNumId w:val="364"/>
  </w:num>
  <w:num w:numId="660" w16cid:durableId="50084871">
    <w:abstractNumId w:val="901"/>
  </w:num>
  <w:num w:numId="661" w16cid:durableId="2009212902">
    <w:abstractNumId w:val="57"/>
  </w:num>
  <w:num w:numId="662" w16cid:durableId="320473043">
    <w:abstractNumId w:val="54"/>
  </w:num>
  <w:num w:numId="663" w16cid:durableId="77871280">
    <w:abstractNumId w:val="653"/>
  </w:num>
  <w:num w:numId="664" w16cid:durableId="805005760">
    <w:abstractNumId w:val="795"/>
  </w:num>
  <w:num w:numId="665" w16cid:durableId="1784766639">
    <w:abstractNumId w:val="304"/>
  </w:num>
  <w:num w:numId="666" w16cid:durableId="269624774">
    <w:abstractNumId w:val="897"/>
  </w:num>
  <w:num w:numId="667" w16cid:durableId="1931309810">
    <w:abstractNumId w:val="971"/>
  </w:num>
  <w:num w:numId="668" w16cid:durableId="1328167327">
    <w:abstractNumId w:val="664"/>
  </w:num>
  <w:num w:numId="669" w16cid:durableId="2110006336">
    <w:abstractNumId w:val="1041"/>
  </w:num>
  <w:num w:numId="670" w16cid:durableId="1950625333">
    <w:abstractNumId w:val="519"/>
  </w:num>
  <w:num w:numId="671" w16cid:durableId="1002396916">
    <w:abstractNumId w:val="786"/>
  </w:num>
  <w:num w:numId="672" w16cid:durableId="549657031">
    <w:abstractNumId w:val="840"/>
  </w:num>
  <w:num w:numId="673" w16cid:durableId="180752484">
    <w:abstractNumId w:val="441"/>
  </w:num>
  <w:num w:numId="674" w16cid:durableId="68233498">
    <w:abstractNumId w:val="954"/>
  </w:num>
  <w:num w:numId="675" w16cid:durableId="778796817">
    <w:abstractNumId w:val="902"/>
  </w:num>
  <w:num w:numId="676" w16cid:durableId="798374442">
    <w:abstractNumId w:val="352"/>
  </w:num>
  <w:num w:numId="677" w16cid:durableId="360322025">
    <w:abstractNumId w:val="394"/>
  </w:num>
  <w:num w:numId="678" w16cid:durableId="1296713603">
    <w:abstractNumId w:val="338"/>
  </w:num>
  <w:num w:numId="679" w16cid:durableId="487861515">
    <w:abstractNumId w:val="131"/>
  </w:num>
  <w:num w:numId="680" w16cid:durableId="1491016171">
    <w:abstractNumId w:val="1074"/>
  </w:num>
  <w:num w:numId="681" w16cid:durableId="727916197">
    <w:abstractNumId w:val="956"/>
  </w:num>
  <w:num w:numId="682" w16cid:durableId="693925846">
    <w:abstractNumId w:val="748"/>
  </w:num>
  <w:num w:numId="683" w16cid:durableId="1212614954">
    <w:abstractNumId w:val="299"/>
  </w:num>
  <w:num w:numId="684" w16cid:durableId="2029133527">
    <w:abstractNumId w:val="545"/>
  </w:num>
  <w:num w:numId="685" w16cid:durableId="135531397">
    <w:abstractNumId w:val="35"/>
  </w:num>
  <w:num w:numId="686" w16cid:durableId="1209608883">
    <w:abstractNumId w:val="197"/>
  </w:num>
  <w:num w:numId="687" w16cid:durableId="697047068">
    <w:abstractNumId w:val="383"/>
  </w:num>
  <w:num w:numId="688" w16cid:durableId="383606430">
    <w:abstractNumId w:val="705"/>
  </w:num>
  <w:num w:numId="689" w16cid:durableId="1366059081">
    <w:abstractNumId w:val="651"/>
  </w:num>
  <w:num w:numId="690" w16cid:durableId="320621624">
    <w:abstractNumId w:val="356"/>
  </w:num>
  <w:num w:numId="691" w16cid:durableId="2015185946">
    <w:abstractNumId w:val="265"/>
  </w:num>
  <w:num w:numId="692" w16cid:durableId="1264534253">
    <w:abstractNumId w:val="230"/>
  </w:num>
  <w:num w:numId="693" w16cid:durableId="1890871313">
    <w:abstractNumId w:val="987"/>
  </w:num>
  <w:num w:numId="694" w16cid:durableId="850417225">
    <w:abstractNumId w:val="583"/>
  </w:num>
  <w:num w:numId="695" w16cid:durableId="1212958609">
    <w:abstractNumId w:val="1128"/>
  </w:num>
  <w:num w:numId="696" w16cid:durableId="2017422519">
    <w:abstractNumId w:val="100"/>
  </w:num>
  <w:num w:numId="697" w16cid:durableId="660423893">
    <w:abstractNumId w:val="158"/>
  </w:num>
  <w:num w:numId="698" w16cid:durableId="66269586">
    <w:abstractNumId w:val="348"/>
  </w:num>
  <w:num w:numId="699" w16cid:durableId="527254642">
    <w:abstractNumId w:val="790"/>
  </w:num>
  <w:num w:numId="700" w16cid:durableId="1243375221">
    <w:abstractNumId w:val="813"/>
  </w:num>
  <w:num w:numId="701" w16cid:durableId="1475683494">
    <w:abstractNumId w:val="464"/>
  </w:num>
  <w:num w:numId="702" w16cid:durableId="1041202729">
    <w:abstractNumId w:val="1018"/>
  </w:num>
  <w:num w:numId="703" w16cid:durableId="1415512808">
    <w:abstractNumId w:val="1050"/>
  </w:num>
  <w:num w:numId="704" w16cid:durableId="1670521623">
    <w:abstractNumId w:val="729"/>
  </w:num>
  <w:num w:numId="705" w16cid:durableId="1554538141">
    <w:abstractNumId w:val="110"/>
  </w:num>
  <w:num w:numId="706" w16cid:durableId="29769052">
    <w:abstractNumId w:val="68"/>
  </w:num>
  <w:num w:numId="707" w16cid:durableId="1594047688">
    <w:abstractNumId w:val="518"/>
  </w:num>
  <w:num w:numId="708" w16cid:durableId="287128231">
    <w:abstractNumId w:val="553"/>
  </w:num>
  <w:num w:numId="709" w16cid:durableId="1980108222">
    <w:abstractNumId w:val="1182"/>
  </w:num>
  <w:num w:numId="710" w16cid:durableId="1946690585">
    <w:abstractNumId w:val="931"/>
  </w:num>
  <w:num w:numId="711" w16cid:durableId="1180319220">
    <w:abstractNumId w:val="401"/>
  </w:num>
  <w:num w:numId="712" w16cid:durableId="838695764">
    <w:abstractNumId w:val="360"/>
  </w:num>
  <w:num w:numId="713" w16cid:durableId="1944342129">
    <w:abstractNumId w:val="387"/>
  </w:num>
  <w:num w:numId="714" w16cid:durableId="51463752">
    <w:abstractNumId w:val="1129"/>
  </w:num>
  <w:num w:numId="715" w16cid:durableId="2127041335">
    <w:abstractNumId w:val="26"/>
  </w:num>
  <w:num w:numId="716" w16cid:durableId="1634022538">
    <w:abstractNumId w:val="577"/>
  </w:num>
  <w:num w:numId="717" w16cid:durableId="2084401949">
    <w:abstractNumId w:val="527"/>
  </w:num>
  <w:num w:numId="718" w16cid:durableId="902132854">
    <w:abstractNumId w:val="915"/>
  </w:num>
  <w:num w:numId="719" w16cid:durableId="1546019443">
    <w:abstractNumId w:val="0"/>
  </w:num>
  <w:num w:numId="720" w16cid:durableId="1938125605">
    <w:abstractNumId w:val="266"/>
  </w:num>
  <w:num w:numId="721" w16cid:durableId="2064482174">
    <w:abstractNumId w:val="289"/>
  </w:num>
  <w:num w:numId="722" w16cid:durableId="1980069509">
    <w:abstractNumId w:val="435"/>
  </w:num>
  <w:num w:numId="723" w16cid:durableId="2086367672">
    <w:abstractNumId w:val="1163"/>
  </w:num>
  <w:num w:numId="724" w16cid:durableId="741177210">
    <w:abstractNumId w:val="210"/>
  </w:num>
  <w:num w:numId="725" w16cid:durableId="1658806335">
    <w:abstractNumId w:val="873"/>
  </w:num>
  <w:num w:numId="726" w16cid:durableId="1797675536">
    <w:abstractNumId w:val="1004"/>
  </w:num>
  <w:num w:numId="727" w16cid:durableId="331303420">
    <w:abstractNumId w:val="744"/>
  </w:num>
  <w:num w:numId="728" w16cid:durableId="1383403885">
    <w:abstractNumId w:val="398"/>
  </w:num>
  <w:num w:numId="729" w16cid:durableId="11609816">
    <w:abstractNumId w:val="975"/>
  </w:num>
  <w:num w:numId="730" w16cid:durableId="1247155388">
    <w:abstractNumId w:val="453"/>
  </w:num>
  <w:num w:numId="731" w16cid:durableId="1347442621">
    <w:abstractNumId w:val="601"/>
  </w:num>
  <w:num w:numId="732" w16cid:durableId="752706513">
    <w:abstractNumId w:val="959"/>
  </w:num>
  <w:num w:numId="733" w16cid:durableId="915743520">
    <w:abstractNumId w:val="766"/>
  </w:num>
  <w:num w:numId="734" w16cid:durableId="2122214600">
    <w:abstractNumId w:val="828"/>
  </w:num>
  <w:num w:numId="735" w16cid:durableId="1581330953">
    <w:abstractNumId w:val="624"/>
  </w:num>
  <w:num w:numId="736" w16cid:durableId="392584372">
    <w:abstractNumId w:val="431"/>
  </w:num>
  <w:num w:numId="737" w16cid:durableId="709106688">
    <w:abstractNumId w:val="846"/>
  </w:num>
  <w:num w:numId="738" w16cid:durableId="713503826">
    <w:abstractNumId w:val="165"/>
  </w:num>
  <w:num w:numId="739" w16cid:durableId="1151562107">
    <w:abstractNumId w:val="1071"/>
  </w:num>
  <w:num w:numId="740" w16cid:durableId="1399941149">
    <w:abstractNumId w:val="995"/>
  </w:num>
  <w:num w:numId="741" w16cid:durableId="1075204648">
    <w:abstractNumId w:val="709"/>
  </w:num>
  <w:num w:numId="742" w16cid:durableId="1749570431">
    <w:abstractNumId w:val="1101"/>
  </w:num>
  <w:num w:numId="743" w16cid:durableId="880363578">
    <w:abstractNumId w:val="634"/>
  </w:num>
  <w:num w:numId="744" w16cid:durableId="1687561493">
    <w:abstractNumId w:val="463"/>
  </w:num>
  <w:num w:numId="745" w16cid:durableId="371003455">
    <w:abstractNumId w:val="220"/>
  </w:num>
  <w:num w:numId="746" w16cid:durableId="2022656855">
    <w:abstractNumId w:val="637"/>
  </w:num>
  <w:num w:numId="747" w16cid:durableId="108284614">
    <w:abstractNumId w:val="347"/>
  </w:num>
  <w:num w:numId="748" w16cid:durableId="27685448">
    <w:abstractNumId w:val="730"/>
  </w:num>
  <w:num w:numId="749" w16cid:durableId="91433819">
    <w:abstractNumId w:val="756"/>
  </w:num>
  <w:num w:numId="750" w16cid:durableId="585917344">
    <w:abstractNumId w:val="281"/>
  </w:num>
  <w:num w:numId="751" w16cid:durableId="301083205">
    <w:abstractNumId w:val="75"/>
  </w:num>
  <w:num w:numId="752" w16cid:durableId="679622124">
    <w:abstractNumId w:val="367"/>
  </w:num>
  <w:num w:numId="753" w16cid:durableId="1300841712">
    <w:abstractNumId w:val="475"/>
  </w:num>
  <w:num w:numId="754" w16cid:durableId="512299622">
    <w:abstractNumId w:val="386"/>
  </w:num>
  <w:num w:numId="755" w16cid:durableId="1643460599">
    <w:abstractNumId w:val="325"/>
  </w:num>
  <w:num w:numId="756" w16cid:durableId="1521814093">
    <w:abstractNumId w:val="541"/>
  </w:num>
  <w:num w:numId="757" w16cid:durableId="295532550">
    <w:abstractNumId w:val="262"/>
  </w:num>
  <w:num w:numId="758" w16cid:durableId="211117005">
    <w:abstractNumId w:val="1061"/>
  </w:num>
  <w:num w:numId="759" w16cid:durableId="855536464">
    <w:abstractNumId w:val="1017"/>
  </w:num>
  <w:num w:numId="760" w16cid:durableId="1437166049">
    <w:abstractNumId w:val="911"/>
  </w:num>
  <w:num w:numId="761" w16cid:durableId="1542789033">
    <w:abstractNumId w:val="476"/>
  </w:num>
  <w:num w:numId="762" w16cid:durableId="1104307368">
    <w:abstractNumId w:val="144"/>
  </w:num>
  <w:num w:numId="763" w16cid:durableId="1607345171">
    <w:abstractNumId w:val="652"/>
  </w:num>
  <w:num w:numId="764" w16cid:durableId="1354190912">
    <w:abstractNumId w:val="474"/>
  </w:num>
  <w:num w:numId="765" w16cid:durableId="1263103820">
    <w:abstractNumId w:val="572"/>
  </w:num>
  <w:num w:numId="766" w16cid:durableId="12659352">
    <w:abstractNumId w:val="719"/>
  </w:num>
  <w:num w:numId="767" w16cid:durableId="1469012403">
    <w:abstractNumId w:val="1035"/>
  </w:num>
  <w:num w:numId="768" w16cid:durableId="763501030">
    <w:abstractNumId w:val="288"/>
  </w:num>
  <w:num w:numId="769" w16cid:durableId="148904218">
    <w:abstractNumId w:val="1076"/>
  </w:num>
  <w:num w:numId="770" w16cid:durableId="2141722319">
    <w:abstractNumId w:val="728"/>
  </w:num>
  <w:num w:numId="771" w16cid:durableId="461576660">
    <w:abstractNumId w:val="1154"/>
  </w:num>
  <w:num w:numId="772" w16cid:durableId="1574580994">
    <w:abstractNumId w:val="1178"/>
  </w:num>
  <w:num w:numId="773" w16cid:durableId="157306363">
    <w:abstractNumId w:val="982"/>
  </w:num>
  <w:num w:numId="774" w16cid:durableId="616108192">
    <w:abstractNumId w:val="939"/>
  </w:num>
  <w:num w:numId="775" w16cid:durableId="1702244604">
    <w:abstractNumId w:val="852"/>
  </w:num>
  <w:num w:numId="776" w16cid:durableId="869339007">
    <w:abstractNumId w:val="887"/>
  </w:num>
  <w:num w:numId="777" w16cid:durableId="1622149703">
    <w:abstractNumId w:val="837"/>
  </w:num>
  <w:num w:numId="778" w16cid:durableId="1717462044">
    <w:abstractNumId w:val="286"/>
  </w:num>
  <w:num w:numId="779" w16cid:durableId="141390131">
    <w:abstractNumId w:val="428"/>
  </w:num>
  <w:num w:numId="780" w16cid:durableId="1569002423">
    <w:abstractNumId w:val="1147"/>
  </w:num>
  <w:num w:numId="781" w16cid:durableId="641152686">
    <w:abstractNumId w:val="936"/>
  </w:num>
  <w:num w:numId="782" w16cid:durableId="1056129452">
    <w:abstractNumId w:val="724"/>
  </w:num>
  <w:num w:numId="783" w16cid:durableId="1510172211">
    <w:abstractNumId w:val="216"/>
  </w:num>
  <w:num w:numId="784" w16cid:durableId="1828013121">
    <w:abstractNumId w:val="406"/>
  </w:num>
  <w:num w:numId="785" w16cid:durableId="1990091111">
    <w:abstractNumId w:val="501"/>
  </w:num>
  <w:num w:numId="786" w16cid:durableId="546337359">
    <w:abstractNumId w:val="1113"/>
  </w:num>
  <w:num w:numId="787" w16cid:durableId="1229267862">
    <w:abstractNumId w:val="886"/>
  </w:num>
  <w:num w:numId="788" w16cid:durableId="411969508">
    <w:abstractNumId w:val="228"/>
  </w:num>
  <w:num w:numId="789" w16cid:durableId="2021006302">
    <w:abstractNumId w:val="745"/>
  </w:num>
  <w:num w:numId="790" w16cid:durableId="1637644258">
    <w:abstractNumId w:val="1046"/>
  </w:num>
  <w:num w:numId="791" w16cid:durableId="18750489">
    <w:abstractNumId w:val="627"/>
  </w:num>
  <w:num w:numId="792" w16cid:durableId="1492217377">
    <w:abstractNumId w:val="997"/>
  </w:num>
  <w:num w:numId="793" w16cid:durableId="184563239">
    <w:abstractNumId w:val="523"/>
  </w:num>
  <w:num w:numId="794" w16cid:durableId="1366296309">
    <w:abstractNumId w:val="568"/>
  </w:num>
  <w:num w:numId="795" w16cid:durableId="97992592">
    <w:abstractNumId w:val="643"/>
  </w:num>
  <w:num w:numId="796" w16cid:durableId="378549848">
    <w:abstractNumId w:val="477"/>
  </w:num>
  <w:num w:numId="797" w16cid:durableId="1252547546">
    <w:abstractNumId w:val="951"/>
  </w:num>
  <w:num w:numId="798" w16cid:durableId="146478883">
    <w:abstractNumId w:val="307"/>
  </w:num>
  <w:num w:numId="799" w16cid:durableId="1411385374">
    <w:abstractNumId w:val="446"/>
  </w:num>
  <w:num w:numId="800" w16cid:durableId="2102218802">
    <w:abstractNumId w:val="647"/>
  </w:num>
  <w:num w:numId="801" w16cid:durableId="133718380">
    <w:abstractNumId w:val="1131"/>
  </w:num>
  <w:num w:numId="802" w16cid:durableId="1621838073">
    <w:abstractNumId w:val="720"/>
  </w:num>
  <w:num w:numId="803" w16cid:durableId="2011835235">
    <w:abstractNumId w:val="4"/>
  </w:num>
  <w:num w:numId="804" w16cid:durableId="654802737">
    <w:abstractNumId w:val="238"/>
  </w:num>
  <w:num w:numId="805" w16cid:durableId="1449928450">
    <w:abstractNumId w:val="772"/>
  </w:num>
  <w:num w:numId="806" w16cid:durableId="460996048">
    <w:abstractNumId w:val="1116"/>
  </w:num>
  <w:num w:numId="807" w16cid:durableId="1756785823">
    <w:abstractNumId w:val="670"/>
  </w:num>
  <w:num w:numId="808" w16cid:durableId="2059666705">
    <w:abstractNumId w:val="101"/>
  </w:num>
  <w:num w:numId="809" w16cid:durableId="1174492564">
    <w:abstractNumId w:val="589"/>
  </w:num>
  <w:num w:numId="810" w16cid:durableId="342438017">
    <w:abstractNumId w:val="106"/>
  </w:num>
  <w:num w:numId="811" w16cid:durableId="1307126985">
    <w:abstractNumId w:val="189"/>
  </w:num>
  <w:num w:numId="812" w16cid:durableId="2128695119">
    <w:abstractNumId w:val="889"/>
  </w:num>
  <w:num w:numId="813" w16cid:durableId="932281539">
    <w:abstractNumId w:val="994"/>
  </w:num>
  <w:num w:numId="814" w16cid:durableId="187646829">
    <w:abstractNumId w:val="1047"/>
  </w:num>
  <w:num w:numId="815" w16cid:durableId="1721707986">
    <w:abstractNumId w:val="1006"/>
  </w:num>
  <w:num w:numId="816" w16cid:durableId="889997196">
    <w:abstractNumId w:val="1166"/>
  </w:num>
  <w:num w:numId="817" w16cid:durableId="1151404071">
    <w:abstractNumId w:val="354"/>
  </w:num>
  <w:num w:numId="818" w16cid:durableId="1489323236">
    <w:abstractNumId w:val="574"/>
  </w:num>
  <w:num w:numId="819" w16cid:durableId="1744448514">
    <w:abstractNumId w:val="1133"/>
  </w:num>
  <w:num w:numId="820" w16cid:durableId="911232184">
    <w:abstractNumId w:val="156"/>
  </w:num>
  <w:num w:numId="821" w16cid:durableId="1718120436">
    <w:abstractNumId w:val="279"/>
  </w:num>
  <w:num w:numId="822" w16cid:durableId="1606156791">
    <w:abstractNumId w:val="24"/>
  </w:num>
  <w:num w:numId="823" w16cid:durableId="1888568420">
    <w:abstractNumId w:val="309"/>
  </w:num>
  <w:num w:numId="824" w16cid:durableId="377433966">
    <w:abstractNumId w:val="20"/>
  </w:num>
  <w:num w:numId="825" w16cid:durableId="700087743">
    <w:abstractNumId w:val="454"/>
  </w:num>
  <w:num w:numId="826" w16cid:durableId="171798559">
    <w:abstractNumId w:val="123"/>
  </w:num>
  <w:num w:numId="827" w16cid:durableId="499930841">
    <w:abstractNumId w:val="1031"/>
  </w:num>
  <w:num w:numId="828" w16cid:durableId="579797537">
    <w:abstractNumId w:val="399"/>
  </w:num>
  <w:num w:numId="829" w16cid:durableId="1666392665">
    <w:abstractNumId w:val="324"/>
  </w:num>
  <w:num w:numId="830" w16cid:durableId="1824925522">
    <w:abstractNumId w:val="467"/>
  </w:num>
  <w:num w:numId="831" w16cid:durableId="353727119">
    <w:abstractNumId w:val="497"/>
  </w:num>
  <w:num w:numId="832" w16cid:durableId="418841066">
    <w:abstractNumId w:val="285"/>
  </w:num>
  <w:num w:numId="833" w16cid:durableId="263537200">
    <w:abstractNumId w:val="336"/>
  </w:num>
  <w:num w:numId="834" w16cid:durableId="2128968281">
    <w:abstractNumId w:val="922"/>
  </w:num>
  <w:num w:numId="835" w16cid:durableId="1571841321">
    <w:abstractNumId w:val="259"/>
  </w:num>
  <w:num w:numId="836" w16cid:durableId="1865097978">
    <w:abstractNumId w:val="31"/>
  </w:num>
  <w:num w:numId="837" w16cid:durableId="597059746">
    <w:abstractNumId w:val="803"/>
  </w:num>
  <w:num w:numId="838" w16cid:durableId="847797095">
    <w:abstractNumId w:val="43"/>
  </w:num>
  <w:num w:numId="839" w16cid:durableId="743533685">
    <w:abstractNumId w:val="858"/>
  </w:num>
  <w:num w:numId="840" w16cid:durableId="789663782">
    <w:abstractNumId w:val="767"/>
  </w:num>
  <w:num w:numId="841" w16cid:durableId="1919901615">
    <w:abstractNumId w:val="558"/>
  </w:num>
  <w:num w:numId="842" w16cid:durableId="1092316968">
    <w:abstractNumId w:val="50"/>
  </w:num>
  <w:num w:numId="843" w16cid:durableId="2068139672">
    <w:abstractNumId w:val="963"/>
  </w:num>
  <w:num w:numId="844" w16cid:durableId="875583092">
    <w:abstractNumId w:val="1092"/>
  </w:num>
  <w:num w:numId="845" w16cid:durableId="864753352">
    <w:abstractNumId w:val="871"/>
  </w:num>
  <w:num w:numId="846" w16cid:durableId="944190847">
    <w:abstractNumId w:val="1142"/>
  </w:num>
  <w:num w:numId="847" w16cid:durableId="236324407">
    <w:abstractNumId w:val="483"/>
  </w:num>
  <w:num w:numId="848" w16cid:durableId="590354256">
    <w:abstractNumId w:val="628"/>
  </w:num>
  <w:num w:numId="849" w16cid:durableId="895356629">
    <w:abstractNumId w:val="1038"/>
  </w:num>
  <w:num w:numId="850" w16cid:durableId="671420440">
    <w:abstractNumId w:val="1005"/>
  </w:num>
  <w:num w:numId="851" w16cid:durableId="921332192">
    <w:abstractNumId w:val="1063"/>
  </w:num>
  <w:num w:numId="852" w16cid:durableId="669215005">
    <w:abstractNumId w:val="769"/>
  </w:num>
  <w:num w:numId="853" w16cid:durableId="625769898">
    <w:abstractNumId w:val="9"/>
  </w:num>
  <w:num w:numId="854" w16cid:durableId="1904633891">
    <w:abstractNumId w:val="970"/>
  </w:num>
  <w:num w:numId="855" w16cid:durableId="786314078">
    <w:abstractNumId w:val="885"/>
  </w:num>
  <w:num w:numId="856" w16cid:durableId="235167329">
    <w:abstractNumId w:val="440"/>
  </w:num>
  <w:num w:numId="857" w16cid:durableId="1616983081">
    <w:abstractNumId w:val="19"/>
  </w:num>
  <w:num w:numId="858" w16cid:durableId="2028752750">
    <w:abstractNumId w:val="504"/>
  </w:num>
  <w:num w:numId="859" w16cid:durableId="1833833059">
    <w:abstractNumId w:val="1175"/>
  </w:num>
  <w:num w:numId="860" w16cid:durableId="834539556">
    <w:abstractNumId w:val="203"/>
  </w:num>
  <w:num w:numId="861" w16cid:durableId="620527">
    <w:abstractNumId w:val="513"/>
  </w:num>
  <w:num w:numId="862" w16cid:durableId="1812400339">
    <w:abstractNumId w:val="146"/>
  </w:num>
  <w:num w:numId="863" w16cid:durableId="569733024">
    <w:abstractNumId w:val="126"/>
  </w:num>
  <w:num w:numId="864" w16cid:durableId="675425661">
    <w:abstractNumId w:val="1179"/>
  </w:num>
  <w:num w:numId="865" w16cid:durableId="378286837">
    <w:abstractNumId w:val="7"/>
  </w:num>
  <w:num w:numId="866" w16cid:durableId="700058358">
    <w:abstractNumId w:val="974"/>
  </w:num>
  <w:num w:numId="867" w16cid:durableId="1455519660">
    <w:abstractNumId w:val="985"/>
  </w:num>
  <w:num w:numId="868" w16cid:durableId="381485647">
    <w:abstractNumId w:val="918"/>
  </w:num>
  <w:num w:numId="869" w16cid:durableId="1840078078">
    <w:abstractNumId w:val="93"/>
  </w:num>
  <w:num w:numId="870" w16cid:durableId="404422933">
    <w:abstractNumId w:val="481"/>
  </w:num>
  <w:num w:numId="871" w16cid:durableId="2062173620">
    <w:abstractNumId w:val="929"/>
  </w:num>
  <w:num w:numId="872" w16cid:durableId="142897570">
    <w:abstractNumId w:val="445"/>
  </w:num>
  <w:num w:numId="873" w16cid:durableId="1725366936">
    <w:abstractNumId w:val="809"/>
  </w:num>
  <w:num w:numId="874" w16cid:durableId="362902245">
    <w:abstractNumId w:val="391"/>
  </w:num>
  <w:num w:numId="875" w16cid:durableId="942148486">
    <w:abstractNumId w:val="824"/>
  </w:num>
  <w:num w:numId="876" w16cid:durableId="954751566">
    <w:abstractNumId w:val="751"/>
  </w:num>
  <w:num w:numId="877" w16cid:durableId="1801998764">
    <w:abstractNumId w:val="900"/>
  </w:num>
  <w:num w:numId="878" w16cid:durableId="143130690">
    <w:abstractNumId w:val="327"/>
  </w:num>
  <w:num w:numId="879" w16cid:durableId="36971786">
    <w:abstractNumId w:val="717"/>
  </w:num>
  <w:num w:numId="880" w16cid:durableId="1009676593">
    <w:abstractNumId w:val="317"/>
  </w:num>
  <w:num w:numId="881" w16cid:durableId="443038855">
    <w:abstractNumId w:val="1068"/>
  </w:num>
  <w:num w:numId="882" w16cid:durableId="1853109209">
    <w:abstractNumId w:val="437"/>
  </w:num>
  <w:num w:numId="883" w16cid:durableId="1918436978">
    <w:abstractNumId w:val="22"/>
  </w:num>
  <w:num w:numId="884" w16cid:durableId="803699165">
    <w:abstractNumId w:val="134"/>
  </w:num>
  <w:num w:numId="885" w16cid:durableId="1699894693">
    <w:abstractNumId w:val="227"/>
  </w:num>
  <w:num w:numId="886" w16cid:durableId="73166791">
    <w:abstractNumId w:val="655"/>
  </w:num>
  <w:num w:numId="887" w16cid:durableId="1324965009">
    <w:abstractNumId w:val="928"/>
  </w:num>
  <w:num w:numId="888" w16cid:durableId="239488406">
    <w:abstractNumId w:val="312"/>
  </w:num>
  <w:num w:numId="889" w16cid:durableId="530336108">
    <w:abstractNumId w:val="145"/>
  </w:num>
  <w:num w:numId="890" w16cid:durableId="2000229525">
    <w:abstractNumId w:val="380"/>
  </w:num>
  <w:num w:numId="891" w16cid:durableId="513299678">
    <w:abstractNumId w:val="449"/>
  </w:num>
  <w:num w:numId="892" w16cid:durableId="1489243670">
    <w:abstractNumId w:val="977"/>
  </w:num>
  <w:num w:numId="893" w16cid:durableId="1014066381">
    <w:abstractNumId w:val="1100"/>
  </w:num>
  <w:num w:numId="894" w16cid:durableId="589781780">
    <w:abstractNumId w:val="996"/>
  </w:num>
  <w:num w:numId="895" w16cid:durableId="92747480">
    <w:abstractNumId w:val="561"/>
  </w:num>
  <w:num w:numId="896" w16cid:durableId="1575581469">
    <w:abstractNumId w:val="369"/>
  </w:num>
  <w:num w:numId="897" w16cid:durableId="215357868">
    <w:abstractNumId w:val="155"/>
  </w:num>
  <w:num w:numId="898" w16cid:durableId="1701974071">
    <w:abstractNumId w:val="771"/>
  </w:num>
  <w:num w:numId="899" w16cid:durableId="1434401570">
    <w:abstractNumId w:val="1176"/>
  </w:num>
  <w:num w:numId="900" w16cid:durableId="2114519169">
    <w:abstractNumId w:val="763"/>
  </w:num>
  <w:num w:numId="901" w16cid:durableId="1706248767">
    <w:abstractNumId w:val="1110"/>
  </w:num>
  <w:num w:numId="902" w16cid:durableId="1165823244">
    <w:abstractNumId w:val="864"/>
  </w:num>
  <w:num w:numId="903" w16cid:durableId="736166281">
    <w:abstractNumId w:val="821"/>
  </w:num>
  <w:num w:numId="904" w16cid:durableId="94861087">
    <w:abstractNumId w:val="801"/>
  </w:num>
  <w:num w:numId="905" w16cid:durableId="1753358044">
    <w:abstractNumId w:val="85"/>
  </w:num>
  <w:num w:numId="906" w16cid:durableId="751975451">
    <w:abstractNumId w:val="1093"/>
  </w:num>
  <w:num w:numId="907" w16cid:durableId="1805417844">
    <w:abstractNumId w:val="1145"/>
  </w:num>
  <w:num w:numId="908" w16cid:durableId="1481575617">
    <w:abstractNumId w:val="794"/>
  </w:num>
  <w:num w:numId="909" w16cid:durableId="1562517309">
    <w:abstractNumId w:val="576"/>
  </w:num>
  <w:num w:numId="910" w16cid:durableId="1421754254">
    <w:abstractNumId w:val="774"/>
  </w:num>
  <w:num w:numId="911" w16cid:durableId="2052653637">
    <w:abstractNumId w:val="65"/>
  </w:num>
  <w:num w:numId="912" w16cid:durableId="1592666168">
    <w:abstractNumId w:val="297"/>
  </w:num>
  <w:num w:numId="913" w16cid:durableId="1116561567">
    <w:abstractNumId w:val="832"/>
  </w:num>
  <w:num w:numId="914" w16cid:durableId="1314409778">
    <w:abstractNumId w:val="122"/>
  </w:num>
  <w:num w:numId="915" w16cid:durableId="1659918889">
    <w:abstractNumId w:val="1140"/>
  </w:num>
  <w:num w:numId="916" w16cid:durableId="657802636">
    <w:abstractNumId w:val="673"/>
  </w:num>
  <w:num w:numId="917" w16cid:durableId="889460217">
    <w:abstractNumId w:val="268"/>
  </w:num>
  <w:num w:numId="918" w16cid:durableId="831334819">
    <w:abstractNumId w:val="32"/>
  </w:num>
  <w:num w:numId="919" w16cid:durableId="798693621">
    <w:abstractNumId w:val="1000"/>
  </w:num>
  <w:num w:numId="920" w16cid:durableId="1425609808">
    <w:abstractNumId w:val="695"/>
  </w:num>
  <w:num w:numId="921" w16cid:durableId="1485900453">
    <w:abstractNumId w:val="678"/>
  </w:num>
  <w:num w:numId="922" w16cid:durableId="877473534">
    <w:abstractNumId w:val="8"/>
  </w:num>
  <w:num w:numId="923" w16cid:durableId="1233735217">
    <w:abstractNumId w:val="465"/>
  </w:num>
  <w:num w:numId="924" w16cid:durableId="1035884129">
    <w:abstractNumId w:val="374"/>
  </w:num>
  <w:num w:numId="925" w16cid:durableId="696463547">
    <w:abstractNumId w:val="1127"/>
  </w:num>
  <w:num w:numId="926" w16cid:durableId="977496773">
    <w:abstractNumId w:val="754"/>
  </w:num>
  <w:num w:numId="927" w16cid:durableId="151987456">
    <w:abstractNumId w:val="586"/>
  </w:num>
  <w:num w:numId="928" w16cid:durableId="1900747993">
    <w:abstractNumId w:val="507"/>
  </w:num>
  <w:num w:numId="929" w16cid:durableId="891114595">
    <w:abstractNumId w:val="914"/>
  </w:num>
  <w:num w:numId="930" w16cid:durableId="311712729">
    <w:abstractNumId w:val="470"/>
  </w:num>
  <w:num w:numId="931" w16cid:durableId="2078896956">
    <w:abstractNumId w:val="1044"/>
  </w:num>
  <w:num w:numId="932" w16cid:durableId="671685765">
    <w:abstractNumId w:val="167"/>
  </w:num>
  <w:num w:numId="933" w16cid:durableId="300354306">
    <w:abstractNumId w:val="698"/>
  </w:num>
  <w:num w:numId="934" w16cid:durableId="1277835285">
    <w:abstractNumId w:val="96"/>
  </w:num>
  <w:num w:numId="935" w16cid:durableId="936643864">
    <w:abstractNumId w:val="515"/>
  </w:num>
  <w:num w:numId="936" w16cid:durableId="197091600">
    <w:abstractNumId w:val="836"/>
  </w:num>
  <w:num w:numId="937" w16cid:durableId="1592733281">
    <w:abstractNumId w:val="233"/>
  </w:num>
  <w:num w:numId="938" w16cid:durableId="1307589302">
    <w:abstractNumId w:val="141"/>
  </w:num>
  <w:num w:numId="939" w16cid:durableId="1219972863">
    <w:abstractNumId w:val="1003"/>
  </w:num>
  <w:num w:numId="940" w16cid:durableId="661743080">
    <w:abstractNumId w:val="267"/>
  </w:num>
  <w:num w:numId="941" w16cid:durableId="486557852">
    <w:abstractNumId w:val="1153"/>
  </w:num>
  <w:num w:numId="942" w16cid:durableId="1898083283">
    <w:abstractNumId w:val="18"/>
  </w:num>
  <w:num w:numId="943" w16cid:durableId="1435050429">
    <w:abstractNumId w:val="881"/>
  </w:num>
  <w:num w:numId="944" w16cid:durableId="1057047861">
    <w:abstractNumId w:val="560"/>
  </w:num>
  <w:num w:numId="945" w16cid:durableId="2075272479">
    <w:abstractNumId w:val="903"/>
  </w:num>
  <w:num w:numId="946" w16cid:durableId="1331565946">
    <w:abstractNumId w:val="905"/>
  </w:num>
  <w:num w:numId="947" w16cid:durableId="1597713089">
    <w:abstractNumId w:val="1015"/>
  </w:num>
  <w:num w:numId="948" w16cid:durableId="810632991">
    <w:abstractNumId w:val="516"/>
  </w:num>
  <w:num w:numId="949" w16cid:durableId="368074266">
    <w:abstractNumId w:val="1171"/>
  </w:num>
  <w:num w:numId="950" w16cid:durableId="1412849723">
    <w:abstractNumId w:val="1087"/>
  </w:num>
  <w:num w:numId="951" w16cid:durableId="1855459257">
    <w:abstractNumId w:val="734"/>
  </w:num>
  <w:num w:numId="952" w16cid:durableId="888808551">
    <w:abstractNumId w:val="493"/>
  </w:num>
  <w:num w:numId="953" w16cid:durableId="353960626">
    <w:abstractNumId w:val="469"/>
  </w:num>
  <w:num w:numId="954" w16cid:durableId="1286886769">
    <w:abstractNumId w:val="105"/>
  </w:num>
  <w:num w:numId="955" w16cid:durableId="1254050318">
    <w:abstractNumId w:val="484"/>
  </w:num>
  <w:num w:numId="956" w16cid:durableId="973172622">
    <w:abstractNumId w:val="1012"/>
  </w:num>
  <w:num w:numId="957" w16cid:durableId="1435907585">
    <w:abstractNumId w:val="890"/>
  </w:num>
  <w:num w:numId="958" w16cid:durableId="446122355">
    <w:abstractNumId w:val="456"/>
  </w:num>
  <w:num w:numId="959" w16cid:durableId="927663913">
    <w:abstractNumId w:val="592"/>
  </w:num>
  <w:num w:numId="960" w16cid:durableId="52968981">
    <w:abstractNumId w:val="850"/>
  </w:num>
  <w:num w:numId="961" w16cid:durableId="472603870">
    <w:abstractNumId w:val="90"/>
  </w:num>
  <w:num w:numId="962" w16cid:durableId="151916783">
    <w:abstractNumId w:val="379"/>
  </w:num>
  <w:num w:numId="963" w16cid:durableId="545945417">
    <w:abstractNumId w:val="639"/>
  </w:num>
  <w:num w:numId="964" w16cid:durableId="1559974355">
    <w:abstractNumId w:val="246"/>
  </w:num>
  <w:num w:numId="965" w16cid:durableId="1873688978">
    <w:abstractNumId w:val="761"/>
  </w:num>
  <w:num w:numId="966" w16cid:durableId="1835340807">
    <w:abstractNumId w:val="990"/>
  </w:num>
  <w:num w:numId="967" w16cid:durableId="1416240132">
    <w:abstractNumId w:val="562"/>
  </w:num>
  <w:num w:numId="968" w16cid:durableId="29302689">
    <w:abstractNumId w:val="375"/>
  </w:num>
  <w:num w:numId="969" w16cid:durableId="1039597646">
    <w:abstractNumId w:val="596"/>
  </w:num>
  <w:num w:numId="970" w16cid:durableId="845510673">
    <w:abstractNumId w:val="1151"/>
  </w:num>
  <w:num w:numId="971" w16cid:durableId="1576010420">
    <w:abstractNumId w:val="1094"/>
  </w:num>
  <w:num w:numId="972" w16cid:durableId="306209550">
    <w:abstractNumId w:val="713"/>
  </w:num>
  <w:num w:numId="973" w16cid:durableId="1486164585">
    <w:abstractNumId w:val="597"/>
  </w:num>
  <w:num w:numId="974" w16cid:durableId="484782300">
    <w:abstractNumId w:val="344"/>
  </w:num>
  <w:num w:numId="975" w16cid:durableId="2120485055">
    <w:abstractNumId w:val="430"/>
  </w:num>
  <w:num w:numId="976" w16cid:durableId="501969965">
    <w:abstractNumId w:val="1105"/>
  </w:num>
  <w:num w:numId="977" w16cid:durableId="883057482">
    <w:abstractNumId w:val="37"/>
  </w:num>
  <w:num w:numId="978" w16cid:durableId="158161361">
    <w:abstractNumId w:val="271"/>
  </w:num>
  <w:num w:numId="979" w16cid:durableId="831216316">
    <w:abstractNumId w:val="760"/>
  </w:num>
  <w:num w:numId="980" w16cid:durableId="321468816">
    <w:abstractNumId w:val="109"/>
  </w:num>
  <w:num w:numId="981" w16cid:durableId="1520898044">
    <w:abstractNumId w:val="370"/>
  </w:num>
  <w:num w:numId="982" w16cid:durableId="2026783741">
    <w:abstractNumId w:val="420"/>
  </w:num>
  <w:num w:numId="983" w16cid:durableId="1716930304">
    <w:abstractNumId w:val="295"/>
  </w:num>
  <w:num w:numId="984" w16cid:durableId="1770352218">
    <w:abstractNumId w:val="798"/>
  </w:num>
  <w:num w:numId="985" w16cid:durableId="1116216690">
    <w:abstractNumId w:val="1150"/>
  </w:num>
  <w:num w:numId="986" w16cid:durableId="253320961">
    <w:abstractNumId w:val="750"/>
  </w:num>
  <w:num w:numId="987" w16cid:durableId="709841970">
    <w:abstractNumId w:val="1060"/>
  </w:num>
  <w:num w:numId="988" w16cid:durableId="2007705902">
    <w:abstractNumId w:val="526"/>
  </w:num>
  <w:num w:numId="989" w16cid:durableId="1777751821">
    <w:abstractNumId w:val="373"/>
  </w:num>
  <w:num w:numId="990" w16cid:durableId="505754983">
    <w:abstractNumId w:val="39"/>
  </w:num>
  <w:num w:numId="991" w16cid:durableId="1360164149">
    <w:abstractNumId w:val="1098"/>
  </w:num>
  <w:num w:numId="992" w16cid:durableId="679088423">
    <w:abstractNumId w:val="432"/>
  </w:num>
  <w:num w:numId="993" w16cid:durableId="1978023487">
    <w:abstractNumId w:val="1042"/>
  </w:num>
  <w:num w:numId="994" w16cid:durableId="1082216272">
    <w:abstractNumId w:val="817"/>
  </w:num>
  <w:num w:numId="995" w16cid:durableId="1350061956">
    <w:abstractNumId w:val="563"/>
  </w:num>
  <w:num w:numId="996" w16cid:durableId="171845590">
    <w:abstractNumId w:val="314"/>
  </w:num>
  <w:num w:numId="997" w16cid:durableId="1086922613">
    <w:abstractNumId w:val="296"/>
  </w:num>
  <w:num w:numId="998" w16cid:durableId="491216149">
    <w:abstractNumId w:val="1033"/>
  </w:num>
  <w:num w:numId="999" w16cid:durableId="1405764087">
    <w:abstractNumId w:val="447"/>
  </w:num>
  <w:num w:numId="1000" w16cid:durableId="2025788699">
    <w:abstractNumId w:val="912"/>
  </w:num>
  <w:num w:numId="1001" w16cid:durableId="1489056118">
    <w:abstractNumId w:val="2"/>
  </w:num>
  <w:num w:numId="1002" w16cid:durableId="1245870313">
    <w:abstractNumId w:val="407"/>
  </w:num>
  <w:num w:numId="1003" w16cid:durableId="545988575">
    <w:abstractNumId w:val="605"/>
  </w:num>
  <w:num w:numId="1004" w16cid:durableId="2087073672">
    <w:abstractNumId w:val="625"/>
  </w:num>
  <w:num w:numId="1005" w16cid:durableId="2003199447">
    <w:abstractNumId w:val="180"/>
  </w:num>
  <w:num w:numId="1006" w16cid:durableId="364840029">
    <w:abstractNumId w:val="429"/>
  </w:num>
  <w:num w:numId="1007" w16cid:durableId="1802989571">
    <w:abstractNumId w:val="542"/>
  </w:num>
  <w:num w:numId="1008" w16cid:durableId="2129081664">
    <w:abstractNumId w:val="303"/>
  </w:num>
  <w:num w:numId="1009" w16cid:durableId="757823982">
    <w:abstractNumId w:val="176"/>
  </w:num>
  <w:num w:numId="1010" w16cid:durableId="1224364909">
    <w:abstractNumId w:val="933"/>
  </w:num>
  <w:num w:numId="1011" w16cid:durableId="296036177">
    <w:abstractNumId w:val="450"/>
  </w:num>
  <w:num w:numId="1012" w16cid:durableId="1758093972">
    <w:abstractNumId w:val="715"/>
  </w:num>
  <w:num w:numId="1013" w16cid:durableId="419176410">
    <w:abstractNumId w:val="869"/>
  </w:num>
  <w:num w:numId="1014" w16cid:durableId="1180043108">
    <w:abstractNumId w:val="669"/>
  </w:num>
  <w:num w:numId="1015" w16cid:durableId="1063675381">
    <w:abstractNumId w:val="396"/>
  </w:num>
  <w:num w:numId="1016" w16cid:durableId="1661811206">
    <w:abstractNumId w:val="1184"/>
  </w:num>
  <w:num w:numId="1017" w16cid:durableId="1353795988">
    <w:abstractNumId w:val="978"/>
  </w:num>
  <w:num w:numId="1018" w16cid:durableId="699361447">
    <w:abstractNumId w:val="72"/>
  </w:num>
  <w:num w:numId="1019" w16cid:durableId="1184171921">
    <w:abstractNumId w:val="692"/>
  </w:num>
  <w:num w:numId="1020" w16cid:durableId="738946762">
    <w:abstractNumId w:val="822"/>
  </w:num>
  <w:num w:numId="1021" w16cid:durableId="1749499449">
    <w:abstractNumId w:val="413"/>
  </w:num>
  <w:num w:numId="1022" w16cid:durableId="951134201">
    <w:abstractNumId w:val="739"/>
  </w:num>
  <w:num w:numId="1023" w16cid:durableId="115030447">
    <w:abstractNumId w:val="656"/>
  </w:num>
  <w:num w:numId="1024" w16cid:durableId="1053576920">
    <w:abstractNumId w:val="551"/>
  </w:num>
  <w:num w:numId="1025" w16cid:durableId="1136407504">
    <w:abstractNumId w:val="618"/>
  </w:num>
  <w:num w:numId="1026" w16cid:durableId="766390852">
    <w:abstractNumId w:val="946"/>
  </w:num>
  <w:num w:numId="1027" w16cid:durableId="1787771340">
    <w:abstractNumId w:val="478"/>
  </w:num>
  <w:num w:numId="1028" w16cid:durableId="703361974">
    <w:abstractNumId w:val="593"/>
  </w:num>
  <w:num w:numId="1029" w16cid:durableId="1218206626">
    <w:abstractNumId w:val="530"/>
  </w:num>
  <w:num w:numId="1030" w16cid:durableId="1968969143">
    <w:abstractNumId w:val="703"/>
  </w:num>
  <w:num w:numId="1031" w16cid:durableId="1445803125">
    <w:abstractNumId w:val="847"/>
  </w:num>
  <w:num w:numId="1032" w16cid:durableId="1576628424">
    <w:abstractNumId w:val="521"/>
  </w:num>
  <w:num w:numId="1033" w16cid:durableId="1013992841">
    <w:abstractNumId w:val="793"/>
  </w:num>
  <w:num w:numId="1034" w16cid:durableId="120618188">
    <w:abstractNumId w:val="193"/>
  </w:num>
  <w:num w:numId="1035" w16cid:durableId="173963890">
    <w:abstractNumId w:val="685"/>
  </w:num>
  <w:num w:numId="1036" w16cid:durableId="1169633694">
    <w:abstractNumId w:val="1011"/>
  </w:num>
  <w:num w:numId="1037" w16cid:durableId="1354067583">
    <w:abstractNumId w:val="743"/>
  </w:num>
  <w:num w:numId="1038" w16cid:durableId="1391617354">
    <w:abstractNumId w:val="638"/>
  </w:num>
  <w:num w:numId="1039" w16cid:durableId="810561934">
    <w:abstractNumId w:val="611"/>
  </w:num>
  <w:num w:numId="1040" w16cid:durableId="1687176860">
    <w:abstractNumId w:val="345"/>
  </w:num>
  <w:num w:numId="1041" w16cid:durableId="2051613864">
    <w:abstractNumId w:val="349"/>
  </w:num>
  <w:num w:numId="1042" w16cid:durableId="1693074358">
    <w:abstractNumId w:val="132"/>
  </w:num>
  <w:num w:numId="1043" w16cid:durableId="1264219862">
    <w:abstractNumId w:val="405"/>
  </w:num>
  <w:num w:numId="1044" w16cid:durableId="1036465977">
    <w:abstractNumId w:val="575"/>
  </w:num>
  <w:num w:numId="1045" w16cid:durableId="350689221">
    <w:abstractNumId w:val="1067"/>
  </w:num>
  <w:num w:numId="1046" w16cid:durableId="875309444">
    <w:abstractNumId w:val="1049"/>
  </w:num>
  <w:num w:numId="1047" w16cid:durableId="1278758486">
    <w:abstractNumId w:val="764"/>
  </w:num>
  <w:num w:numId="1048" w16cid:durableId="1268004285">
    <w:abstractNumId w:val="34"/>
  </w:num>
  <w:num w:numId="1049" w16cid:durableId="2021151665">
    <w:abstractNumId w:val="768"/>
  </w:num>
  <w:num w:numId="1050" w16cid:durableId="857036691">
    <w:abstractNumId w:val="811"/>
  </w:num>
  <w:num w:numId="1051" w16cid:durableId="1998879265">
    <w:abstractNumId w:val="1173"/>
  </w:num>
  <w:num w:numId="1052" w16cid:durableId="696275496">
    <w:abstractNumId w:val="206"/>
  </w:num>
  <w:num w:numId="1053" w16cid:durableId="1884293983">
    <w:abstractNumId w:val="548"/>
  </w:num>
  <w:num w:numId="1054" w16cid:durableId="1270817449">
    <w:abstractNumId w:val="217"/>
  </w:num>
  <w:num w:numId="1055" w16cid:durableId="1503426462">
    <w:abstractNumId w:val="862"/>
  </w:num>
  <w:num w:numId="1056" w16cid:durableId="1846089846">
    <w:abstractNumId w:val="632"/>
  </w:num>
  <w:num w:numId="1057" w16cid:durableId="1358501350">
    <w:abstractNumId w:val="404"/>
  </w:num>
  <w:num w:numId="1058" w16cid:durableId="936644715">
    <w:abstractNumId w:val="1058"/>
  </w:num>
  <w:num w:numId="1059" w16cid:durableId="1785927207">
    <w:abstractNumId w:val="787"/>
  </w:num>
  <w:num w:numId="1060" w16cid:durableId="739988306">
    <w:abstractNumId w:val="1132"/>
  </w:num>
  <w:num w:numId="1061" w16cid:durableId="1333994978">
    <w:abstractNumId w:val="945"/>
  </w:num>
  <w:num w:numId="1062" w16cid:durableId="574820196">
    <w:abstractNumId w:val="815"/>
  </w:num>
  <w:num w:numId="1063" w16cid:durableId="1270158624">
    <w:abstractNumId w:val="363"/>
  </w:num>
  <w:num w:numId="1064" w16cid:durableId="292828854">
    <w:abstractNumId w:val="195"/>
  </w:num>
  <w:num w:numId="1065" w16cid:durableId="1859269401">
    <w:abstractNumId w:val="1021"/>
  </w:num>
  <w:num w:numId="1066" w16cid:durableId="879438812">
    <w:abstractNumId w:val="737"/>
  </w:num>
  <w:num w:numId="1067" w16cid:durableId="1935165766">
    <w:abstractNumId w:val="851"/>
  </w:num>
  <w:num w:numId="1068" w16cid:durableId="1787039322">
    <w:abstractNumId w:val="473"/>
  </w:num>
  <w:num w:numId="1069" w16cid:durableId="298731395">
    <w:abstractNumId w:val="796"/>
  </w:num>
  <w:num w:numId="1070" w16cid:durableId="1695186897">
    <w:abstractNumId w:val="1065"/>
  </w:num>
  <w:num w:numId="1071" w16cid:durableId="1273123609">
    <w:abstractNumId w:val="617"/>
  </w:num>
  <w:num w:numId="1072" w16cid:durableId="77094952">
    <w:abstractNumId w:val="60"/>
  </w:num>
  <w:num w:numId="1073" w16cid:durableId="875582386">
    <w:abstractNumId w:val="908"/>
  </w:num>
  <w:num w:numId="1074" w16cid:durableId="215702888">
    <w:abstractNumId w:val="225"/>
  </w:num>
  <w:num w:numId="1075" w16cid:durableId="648748403">
    <w:abstractNumId w:val="128"/>
  </w:num>
  <w:num w:numId="1076" w16cid:durableId="1084688476">
    <w:abstractNumId w:val="185"/>
  </w:num>
  <w:num w:numId="1077" w16cid:durableId="995182302">
    <w:abstractNumId w:val="424"/>
  </w:num>
  <w:num w:numId="1078" w16cid:durableId="929048064">
    <w:abstractNumId w:val="81"/>
  </w:num>
  <w:num w:numId="1079" w16cid:durableId="364916084">
    <w:abstractNumId w:val="234"/>
  </w:num>
  <w:num w:numId="1080" w16cid:durableId="381441599">
    <w:abstractNumId w:val="1040"/>
  </w:num>
  <w:num w:numId="1081" w16cid:durableId="468977111">
    <w:abstractNumId w:val="485"/>
  </w:num>
  <w:num w:numId="1082" w16cid:durableId="1392774160">
    <w:abstractNumId w:val="722"/>
  </w:num>
  <w:num w:numId="1083" w16cid:durableId="1757744839">
    <w:abstractNumId w:val="1086"/>
  </w:num>
  <w:num w:numId="1084" w16cid:durableId="1725517730">
    <w:abstractNumId w:val="1014"/>
  </w:num>
  <w:num w:numId="1085" w16cid:durableId="1079790945">
    <w:abstractNumId w:val="1134"/>
  </w:num>
  <w:num w:numId="1086" w16cid:durableId="720250221">
    <w:abstractNumId w:val="178"/>
  </w:num>
  <w:num w:numId="1087" w16cid:durableId="717634340">
    <w:abstractNumId w:val="255"/>
  </w:num>
  <w:num w:numId="1088" w16cid:durableId="1934245993">
    <w:abstractNumId w:val="694"/>
  </w:num>
  <w:num w:numId="1089" w16cid:durableId="1266839942">
    <w:abstractNumId w:val="921"/>
  </w:num>
  <w:num w:numId="1090" w16cid:durableId="660356280">
    <w:abstractNumId w:val="154"/>
  </w:num>
  <w:num w:numId="1091" w16cid:durableId="506556163">
    <w:abstractNumId w:val="143"/>
  </w:num>
  <w:num w:numId="1092" w16cid:durableId="725958586">
    <w:abstractNumId w:val="631"/>
  </w:num>
  <w:num w:numId="1093" w16cid:durableId="882013658">
    <w:abstractNumId w:val="603"/>
  </w:num>
  <w:num w:numId="1094" w16cid:durableId="1611163746">
    <w:abstractNumId w:val="252"/>
  </w:num>
  <w:num w:numId="1095" w16cid:durableId="1170097091">
    <w:abstractNumId w:val="1073"/>
  </w:num>
  <w:num w:numId="1096" w16cid:durableId="1215197377">
    <w:abstractNumId w:val="697"/>
  </w:num>
  <w:num w:numId="1097" w16cid:durableId="834616045">
    <w:abstractNumId w:val="1106"/>
  </w:num>
  <w:num w:numId="1098" w16cid:durableId="1974557240">
    <w:abstractNumId w:val="214"/>
  </w:num>
  <w:num w:numId="1099" w16cid:durableId="1979189696">
    <w:abstractNumId w:val="313"/>
  </w:num>
  <w:num w:numId="1100" w16cid:durableId="1996568847">
    <w:abstractNumId w:val="84"/>
  </w:num>
  <w:num w:numId="1101" w16cid:durableId="693724895">
    <w:abstractNumId w:val="480"/>
  </w:num>
  <w:num w:numId="1102" w16cid:durableId="1466388262">
    <w:abstractNumId w:val="1109"/>
  </w:num>
  <w:num w:numId="1103" w16cid:durableId="1349213248">
    <w:abstractNumId w:val="261"/>
  </w:num>
  <w:num w:numId="1104" w16cid:durableId="2086027369">
    <w:abstractNumId w:val="883"/>
  </w:num>
  <w:num w:numId="1105" w16cid:durableId="305934185">
    <w:abstractNumId w:val="241"/>
  </w:num>
  <w:num w:numId="1106" w16cid:durableId="874121145">
    <w:abstractNumId w:val="741"/>
  </w:num>
  <w:num w:numId="1107" w16cid:durableId="832571388">
    <w:abstractNumId w:val="785"/>
  </w:num>
  <w:num w:numId="1108" w16cid:durableId="751007798">
    <w:abstractNumId w:val="758"/>
  </w:num>
  <w:num w:numId="1109" w16cid:durableId="1647782867">
    <w:abstractNumId w:val="1022"/>
  </w:num>
  <w:num w:numId="1110" w16cid:durableId="504514440">
    <w:abstractNumId w:val="687"/>
  </w:num>
  <w:num w:numId="1111" w16cid:durableId="1720667597">
    <w:abstractNumId w:val="457"/>
  </w:num>
  <w:num w:numId="1112" w16cid:durableId="1652900108">
    <w:abstractNumId w:val="172"/>
  </w:num>
  <w:num w:numId="1113" w16cid:durableId="1324357499">
    <w:abstractNumId w:val="537"/>
  </w:num>
  <w:num w:numId="1114" w16cid:durableId="810949390">
    <w:abstractNumId w:val="800"/>
  </w:num>
  <w:num w:numId="1115" w16cid:durableId="1251743476">
    <w:abstractNumId w:val="213"/>
  </w:num>
  <w:num w:numId="1116" w16cid:durableId="1940718677">
    <w:abstractNumId w:val="1139"/>
  </w:num>
  <w:num w:numId="1117" w16cid:durableId="531922466">
    <w:abstractNumId w:val="947"/>
  </w:num>
  <w:num w:numId="1118" w16cid:durableId="2065248970">
    <w:abstractNumId w:val="968"/>
  </w:num>
  <w:num w:numId="1119" w16cid:durableId="1476099089">
    <w:abstractNumId w:val="708"/>
  </w:num>
  <w:num w:numId="1120" w16cid:durableId="445009549">
    <w:abstractNumId w:val="1008"/>
  </w:num>
  <w:num w:numId="1121" w16cid:durableId="930965371">
    <w:abstractNumId w:val="804"/>
  </w:num>
  <w:num w:numId="1122" w16cid:durableId="147482186">
    <w:abstractNumId w:val="245"/>
  </w:num>
  <w:num w:numId="1123" w16cid:durableId="441000946">
    <w:abstractNumId w:val="350"/>
  </w:num>
  <w:num w:numId="1124" w16cid:durableId="1190800937">
    <w:abstractNumId w:val="517"/>
  </w:num>
  <w:num w:numId="1125" w16cid:durableId="1070930647">
    <w:abstractNumId w:val="649"/>
  </w:num>
  <w:num w:numId="1126" w16cid:durableId="1559590922">
    <w:abstractNumId w:val="151"/>
  </w:num>
  <w:num w:numId="1127" w16cid:durableId="985016955">
    <w:abstractNumId w:val="845"/>
  </w:num>
  <w:num w:numId="1128" w16cid:durableId="995112036">
    <w:abstractNumId w:val="855"/>
  </w:num>
  <w:num w:numId="1129" w16cid:durableId="628560010">
    <w:abstractNumId w:val="16"/>
  </w:num>
  <w:num w:numId="1130" w16cid:durableId="1833182915">
    <w:abstractNumId w:val="444"/>
  </w:num>
  <w:num w:numId="1131" w16cid:durableId="1686250976">
    <w:abstractNumId w:val="451"/>
  </w:num>
  <w:num w:numId="1132" w16cid:durableId="81800775">
    <w:abstractNumId w:val="988"/>
  </w:num>
  <w:num w:numId="1133" w16cid:durableId="859464552">
    <w:abstractNumId w:val="264"/>
  </w:num>
  <w:num w:numId="1134" w16cid:durableId="917206849">
    <w:abstractNumId w:val="958"/>
  </w:num>
  <w:num w:numId="1135" w16cid:durableId="1640303209">
    <w:abstractNumId w:val="1185"/>
  </w:num>
  <w:num w:numId="1136" w16cid:durableId="1488088426">
    <w:abstractNumId w:val="654"/>
  </w:num>
  <w:num w:numId="1137" w16cid:durableId="1026710621">
    <w:abstractNumId w:val="1164"/>
  </w:num>
  <w:num w:numId="1138" w16cid:durableId="852575945">
    <w:abstractNumId w:val="491"/>
  </w:num>
  <w:num w:numId="1139" w16cid:durableId="372391928">
    <w:abstractNumId w:val="825"/>
  </w:num>
  <w:num w:numId="1140" w16cid:durableId="1229220945">
    <w:abstractNumId w:val="419"/>
  </w:num>
  <w:num w:numId="1141" w16cid:durableId="92824792">
    <w:abstractNumId w:val="1083"/>
  </w:num>
  <w:num w:numId="1142" w16cid:durableId="208617134">
    <w:abstractNumId w:val="208"/>
  </w:num>
  <w:num w:numId="1143" w16cid:durableId="1594630129">
    <w:abstractNumId w:val="598"/>
  </w:num>
  <w:num w:numId="1144" w16cid:durableId="389840820">
    <w:abstractNumId w:val="1032"/>
  </w:num>
  <w:num w:numId="1145" w16cid:durableId="839396564">
    <w:abstractNumId w:val="1034"/>
  </w:num>
  <w:num w:numId="1146" w16cid:durableId="1157380455">
    <w:abstractNumId w:val="1174"/>
  </w:num>
  <w:num w:numId="1147" w16cid:durableId="1221669084">
    <w:abstractNumId w:val="540"/>
  </w:num>
  <w:num w:numId="1148" w16cid:durableId="1619489216">
    <w:abstractNumId w:val="1177"/>
  </w:num>
  <w:num w:numId="1149" w16cid:durableId="1425609160">
    <w:abstractNumId w:val="723"/>
  </w:num>
  <w:num w:numId="1150" w16cid:durableId="658533803">
    <w:abstractNumId w:val="600"/>
  </w:num>
  <w:num w:numId="1151" w16cid:durableId="1998075538">
    <w:abstractNumId w:val="910"/>
  </w:num>
  <w:num w:numId="1152" w16cid:durableId="2082360327">
    <w:abstractNumId w:val="231"/>
  </w:num>
  <w:num w:numId="1153" w16cid:durableId="1725760902">
    <w:abstractNumId w:val="330"/>
  </w:num>
  <w:num w:numId="1154" w16cid:durableId="1887109308">
    <w:abstractNumId w:val="1114"/>
  </w:num>
  <w:num w:numId="1155" w16cid:durableId="541095411">
    <w:abstractNumId w:val="520"/>
  </w:num>
  <w:num w:numId="1156" w16cid:durableId="1256279793">
    <w:abstractNumId w:val="842"/>
  </w:num>
  <w:num w:numId="1157" w16cid:durableId="766927671">
    <w:abstractNumId w:val="342"/>
  </w:num>
  <w:num w:numId="1158" w16cid:durableId="1223643091">
    <w:abstractNumId w:val="423"/>
  </w:num>
  <w:num w:numId="1159" w16cid:durableId="1603146909">
    <w:abstractNumId w:val="930"/>
  </w:num>
  <w:num w:numId="1160" w16cid:durableId="1116481902">
    <w:abstractNumId w:val="895"/>
  </w:num>
  <w:num w:numId="1161" w16cid:durableId="1000500453">
    <w:abstractNumId w:val="200"/>
  </w:num>
  <w:num w:numId="1162" w16cid:durableId="191724049">
    <w:abstractNumId w:val="779"/>
  </w:num>
  <w:num w:numId="1163" w16cid:durableId="866869032">
    <w:abstractNumId w:val="194"/>
  </w:num>
  <w:num w:numId="1164" w16cid:durableId="1379477857">
    <w:abstractNumId w:val="514"/>
  </w:num>
  <w:num w:numId="1165" w16cid:durableId="1880892083">
    <w:abstractNumId w:val="602"/>
  </w:num>
  <w:num w:numId="1166" w16cid:durableId="994803390">
    <w:abstractNumId w:val="284"/>
  </w:num>
  <w:num w:numId="1167" w16cid:durableId="175534909">
    <w:abstractNumId w:val="775"/>
  </w:num>
  <w:num w:numId="1168" w16cid:durableId="1024477535">
    <w:abstractNumId w:val="1007"/>
  </w:num>
  <w:num w:numId="1169" w16cid:durableId="798453912">
    <w:abstractNumId w:val="805"/>
  </w:num>
  <w:num w:numId="1170" w16cid:durableId="1771121296">
    <w:abstractNumId w:val="1120"/>
  </w:num>
  <w:num w:numId="1171" w16cid:durableId="1293705903">
    <w:abstractNumId w:val="508"/>
  </w:num>
  <w:num w:numId="1172" w16cid:durableId="348455832">
    <w:abstractNumId w:val="865"/>
  </w:num>
  <w:num w:numId="1173" w16cid:durableId="1252929641">
    <w:abstractNumId w:val="666"/>
  </w:num>
  <w:num w:numId="1174" w16cid:durableId="1794596521">
    <w:abstractNumId w:val="318"/>
  </w:num>
  <w:num w:numId="1175" w16cid:durableId="1446462923">
    <w:abstractNumId w:val="691"/>
  </w:num>
  <w:num w:numId="1176" w16cid:durableId="91323453">
    <w:abstractNumId w:val="665"/>
  </w:num>
  <w:num w:numId="1177" w16cid:durableId="697707049">
    <w:abstractNumId w:val="559"/>
  </w:num>
  <w:num w:numId="1178" w16cid:durableId="1543979688">
    <w:abstractNumId w:val="468"/>
  </w:num>
  <w:num w:numId="1179" w16cid:durableId="1192767412">
    <w:abstractNumId w:val="276"/>
  </w:num>
  <w:num w:numId="1180" w16cid:durableId="240136885">
    <w:abstractNumId w:val="414"/>
  </w:num>
  <w:num w:numId="1181" w16cid:durableId="310521895">
    <w:abstractNumId w:val="1091"/>
  </w:num>
  <w:num w:numId="1182" w16cid:durableId="2126847658">
    <w:abstractNumId w:val="920"/>
  </w:num>
  <w:num w:numId="1183" w16cid:durableId="545795659">
    <w:abstractNumId w:val="116"/>
  </w:num>
  <w:num w:numId="1184" w16cid:durableId="121732674">
    <w:abstractNumId w:val="274"/>
  </w:num>
  <w:num w:numId="1185" w16cid:durableId="1150168561">
    <w:abstractNumId w:val="595"/>
  </w:num>
  <w:num w:numId="1186" w16cid:durableId="1884514741">
    <w:abstractNumId w:val="917"/>
  </w:num>
  <w:numIdMacAtCleanup w:val="1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2B68"/>
    <w:rsid w:val="0014651C"/>
    <w:rsid w:val="005D185D"/>
    <w:rsid w:val="00DB2B68"/>
    <w:rsid w:val="00FF64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BD3F9"/>
  <w15:docId w15:val="{5A090667-C9E0-47A8-83C9-830721EC9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keepLines/>
      <w:numPr>
        <w:numId w:val="1"/>
      </w:numPr>
      <w:outlineLvl w:val="0"/>
    </w:pPr>
    <w:rPr>
      <w:color w:val="3366FF"/>
      <w:sz w:val="40"/>
    </w:rPr>
  </w:style>
  <w:style w:type="paragraph" w:customStyle="1" w:styleId="Author-eSectionHeading2">
    <w:name w:val="Author-e Section Heading 2"/>
    <w:uiPriority w:val="40"/>
    <w:qFormat/>
    <w:pPr>
      <w:keepLines/>
      <w:numPr>
        <w:ilvl w:val="1"/>
        <w:numId w:val="1"/>
      </w:numPr>
      <w:outlineLvl w:val="1"/>
    </w:pPr>
    <w:rPr>
      <w:color w:val="3366FF"/>
      <w:sz w:val="36"/>
    </w:rPr>
  </w:style>
  <w:style w:type="paragraph" w:customStyle="1" w:styleId="Author-eSectionHeading3">
    <w:name w:val="Author-e Section Heading 3"/>
    <w:uiPriority w:val="40"/>
    <w:qFormat/>
    <w:pPr>
      <w:keepLines/>
      <w:numPr>
        <w:ilvl w:val="2"/>
        <w:numId w:val="1"/>
      </w:numPr>
      <w:outlineLvl w:val="2"/>
    </w:pPr>
    <w:rPr>
      <w:color w:val="3366FF"/>
      <w:sz w:val="32"/>
    </w:rPr>
  </w:style>
  <w:style w:type="paragraph" w:customStyle="1" w:styleId="Author-eSectionHeading4">
    <w:name w:val="Author-e Section Heading 4"/>
    <w:uiPriority w:val="40"/>
    <w:qFormat/>
    <w:pPr>
      <w:keepLines/>
      <w:numPr>
        <w:ilvl w:val="3"/>
        <w:numId w:val="1"/>
      </w:numPr>
      <w:outlineLvl w:val="3"/>
    </w:pPr>
    <w:rPr>
      <w:color w:val="3366FF"/>
      <w:sz w:val="30"/>
    </w:rPr>
  </w:style>
  <w:style w:type="paragraph" w:customStyle="1" w:styleId="Author-eSectionHeading5">
    <w:name w:val="Author-e Section Heading 5"/>
    <w:uiPriority w:val="40"/>
    <w:qFormat/>
    <w:pPr>
      <w:keepLines/>
      <w:numPr>
        <w:ilvl w:val="4"/>
        <w:numId w:val="1"/>
      </w:numPr>
      <w:outlineLvl w:val="4"/>
    </w:pPr>
    <w:rPr>
      <w:color w:val="3366FF"/>
      <w:sz w:val="28"/>
    </w:rPr>
  </w:style>
  <w:style w:type="paragraph" w:customStyle="1" w:styleId="Author-eSectionHeading6">
    <w:name w:val="Author-e Section Heading 6"/>
    <w:uiPriority w:val="40"/>
    <w:qFormat/>
    <w:pPr>
      <w:keepLines/>
      <w:numPr>
        <w:ilvl w:val="5"/>
        <w:numId w:val="1"/>
      </w:numPr>
      <w:outlineLvl w:val="5"/>
    </w:pPr>
    <w:rPr>
      <w:color w:val="3366FF"/>
      <w:sz w:val="24"/>
    </w:rPr>
  </w:style>
  <w:style w:type="paragraph" w:customStyle="1" w:styleId="Author-eSectionHeading1Numberless">
    <w:name w:val="Author-e Section Heading 1_Numberless"/>
    <w:uiPriority w:val="40"/>
    <w:qFormat/>
    <w:pPr>
      <w:outlineLvl w:val="0"/>
    </w:pPr>
    <w:rPr>
      <w:color w:val="3366FF"/>
      <w:sz w:val="40"/>
    </w:rPr>
  </w:style>
  <w:style w:type="paragraph" w:customStyle="1" w:styleId="Author-eSectionHeading2Numberless">
    <w:name w:val="Author-e Section Heading 2_Numberless"/>
    <w:uiPriority w:val="40"/>
    <w:qFormat/>
    <w:pPr>
      <w:outlineLvl w:val="1"/>
    </w:pPr>
    <w:rPr>
      <w:color w:val="3366FF"/>
      <w:sz w:val="36"/>
    </w:rPr>
  </w:style>
  <w:style w:type="paragraph" w:customStyle="1" w:styleId="Author-eSectionHeading3Numberless">
    <w:name w:val="Author-e Section Heading 3_Numberless"/>
    <w:uiPriority w:val="40"/>
    <w:qFormat/>
    <w:pPr>
      <w:outlineLvl w:val="2"/>
    </w:pPr>
    <w:rPr>
      <w:color w:val="3366FF"/>
      <w:sz w:val="32"/>
    </w:rPr>
  </w:style>
  <w:style w:type="paragraph" w:customStyle="1" w:styleId="Author-eSectionHeading4Numberless">
    <w:name w:val="Author-e Section Heading 4_Numberless"/>
    <w:uiPriority w:val="40"/>
    <w:qFormat/>
    <w:pPr>
      <w:outlineLvl w:val="3"/>
    </w:pPr>
    <w:rPr>
      <w:color w:val="3366FF"/>
      <w:sz w:val="30"/>
    </w:rPr>
  </w:style>
  <w:style w:type="paragraph" w:customStyle="1" w:styleId="Author-eSectionHeading5Numberless">
    <w:name w:val="Author-e Section Heading 5_Numberless"/>
    <w:uiPriority w:val="40"/>
    <w:qFormat/>
    <w:pPr>
      <w:outlineLvl w:val="4"/>
    </w:pPr>
    <w:rPr>
      <w:color w:val="3366FF"/>
      <w:sz w:val="28"/>
    </w:rPr>
  </w:style>
  <w:style w:type="paragraph" w:customStyle="1" w:styleId="Author-eSectionHeading6Numberless">
    <w:name w:val="Author-e Section Heading 6_Numberless"/>
    <w:uiPriority w:val="40"/>
    <w:qFormat/>
    <w:pPr>
      <w:outlineLvl w:val="5"/>
    </w:pPr>
    <w:rPr>
      <w:color w:val="3366FF"/>
      <w:sz w:val="24"/>
    </w:rPr>
  </w:style>
  <w:style w:type="paragraph" w:customStyle="1" w:styleId="SystemDefault">
    <w:name w:val="SystemDefault"/>
    <w:link w:val="SystemDefaultChar"/>
    <w:uiPriority w:val="40"/>
    <w:qFormat/>
  </w:style>
  <w:style w:type="character" w:customStyle="1" w:styleId="SystemDefaultChar">
    <w:name w:val="SystemDefault Char"/>
    <w:link w:val="SystemDefault"/>
    <w:rPr>
      <w:rFonts w:ascii="Arial" w:hAnsi="Arial" w:cs="Arial"/>
      <w:sz w:val="20"/>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character" w:customStyle="1" w:styleId="Titre2Car">
    <w:name w:val="Titre 2 Car"/>
    <w:link w:val="Titre2"/>
    <w:rPr>
      <w:rFonts w:ascii="Arial" w:hAnsi="Arial" w:cs="Arial"/>
      <w:sz w:val="22"/>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14651C"/>
    <w:pPr>
      <w:spacing w:before="0" w:line="278" w:lineRule="auto"/>
      <w:ind w:left="1680"/>
    </w:pPr>
    <w:rPr>
      <w:rFonts w:asciiTheme="minorHAnsi" w:eastAsiaTheme="minorEastAsia" w:hAnsiTheme="minorHAnsi" w:cstheme="minorBidi"/>
      <w:kern w:val="2"/>
      <w:sz w:val="24"/>
      <w:szCs w:val="24"/>
      <w14:ligatures w14:val="standardContextual"/>
    </w:rPr>
  </w:style>
  <w:style w:type="paragraph" w:styleId="TM9">
    <w:name w:val="toc 9"/>
    <w:basedOn w:val="Normal"/>
    <w:next w:val="Normal"/>
    <w:autoRedefine/>
    <w:uiPriority w:val="39"/>
    <w:unhideWhenUsed/>
    <w:rsid w:val="0014651C"/>
    <w:pPr>
      <w:spacing w:before="0" w:line="278" w:lineRule="auto"/>
      <w:ind w:left="1920"/>
    </w:pPr>
    <w:rPr>
      <w:rFonts w:asciiTheme="minorHAnsi" w:eastAsiaTheme="minorEastAsia" w:hAnsiTheme="minorHAnsi" w:cstheme="minorBidi"/>
      <w:kern w:val="2"/>
      <w:sz w:val="24"/>
      <w:szCs w:val="24"/>
      <w14:ligatures w14:val="standardContextual"/>
    </w:rPr>
  </w:style>
  <w:style w:type="character" w:styleId="Lienhypertexte">
    <w:name w:val="Hyperlink"/>
    <w:basedOn w:val="Policepardfaut"/>
    <w:uiPriority w:val="99"/>
    <w:unhideWhenUsed/>
    <w:rsid w:val="0014651C"/>
    <w:rPr>
      <w:color w:val="467886" w:themeColor="hyperlink"/>
      <w:u w:val="single"/>
    </w:rPr>
  </w:style>
  <w:style w:type="character" w:styleId="Mentionnonrsolue">
    <w:name w:val="Unresolved Mention"/>
    <w:basedOn w:val="Policepardfaut"/>
    <w:uiPriority w:val="99"/>
    <w:semiHidden/>
    <w:unhideWhenUsed/>
    <w:rsid w:val="0014651C"/>
    <w:rPr>
      <w:color w:val="605E5C"/>
      <w:shd w:val="clear" w:color="auto" w:fill="E1DFDD"/>
    </w:rPr>
  </w:style>
  <w:style w:type="paragraph" w:styleId="En-tte">
    <w:name w:val="header"/>
    <w:basedOn w:val="Normal"/>
    <w:link w:val="En-tteCar"/>
    <w:uiPriority w:val="99"/>
    <w:unhideWhenUsed/>
    <w:rsid w:val="0014651C"/>
    <w:pPr>
      <w:tabs>
        <w:tab w:val="center" w:pos="4536"/>
        <w:tab w:val="right" w:pos="9072"/>
      </w:tabs>
      <w:spacing w:before="0" w:after="0" w:line="240" w:lineRule="auto"/>
    </w:pPr>
  </w:style>
  <w:style w:type="character" w:customStyle="1" w:styleId="En-tteCar">
    <w:name w:val="En-tête Car"/>
    <w:basedOn w:val="Policepardfaut"/>
    <w:link w:val="En-tte"/>
    <w:uiPriority w:val="99"/>
    <w:rsid w:val="0014651C"/>
  </w:style>
  <w:style w:type="paragraph" w:styleId="Pieddepage">
    <w:name w:val="footer"/>
    <w:basedOn w:val="Normal"/>
    <w:link w:val="PieddepageCar"/>
    <w:uiPriority w:val="99"/>
    <w:unhideWhenUsed/>
    <w:rsid w:val="0014651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146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894639">
      <w:bodyDiv w:val="1"/>
      <w:marLeft w:val="0"/>
      <w:marRight w:val="0"/>
      <w:marTop w:val="0"/>
      <w:marBottom w:val="0"/>
      <w:divBdr>
        <w:top w:val="none" w:sz="0" w:space="0" w:color="auto"/>
        <w:left w:val="none" w:sz="0" w:space="0" w:color="auto"/>
        <w:bottom w:val="none" w:sz="0" w:space="0" w:color="auto"/>
        <w:right w:val="none" w:sz="0" w:space="0" w:color="auto"/>
      </w:divBdr>
    </w:div>
    <w:div w:id="143262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www.normes.be/feu"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g"/><Relationship Id="rId42" Type="http://schemas.openxmlformats.org/officeDocument/2006/relationships/hyperlink" Target="http://rfcp.fr/"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3.jpg"/><Relationship Id="rId10" Type="http://schemas.openxmlformats.org/officeDocument/2006/relationships/hyperlink" Target="http://cnac.constructiv.be/" TargetMode="External"/><Relationship Id="rId19" Type="http://schemas.openxmlformats.org/officeDocument/2006/relationships/hyperlink" Target="http://www.besafe.be" TargetMode="External"/><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bbri.author-e.eu/"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header" Target="header1.xml"/><Relationship Id="rId8" Type="http://schemas.openxmlformats.org/officeDocument/2006/relationships/hyperlink" Target="https://spw.authore.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besafe.be"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hyperlink" Target="http://www.normes.be/feu" TargetMode="External"/><Relationship Id="rId41"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450907</Words>
  <Characters>2479989</Characters>
  <Application>Microsoft Office Word</Application>
  <DocSecurity>0</DocSecurity>
  <Lines>20666</Lines>
  <Paragraphs>5850</Paragraphs>
  <ScaleCrop>false</ScaleCrop>
  <Company>SPW</Company>
  <LinksUpToDate>false</LinksUpToDate>
  <CharactersWithSpaces>2925046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 Superstructures CCTB 01.13</dc:title>
  <dc:creator/>
  <cp:lastModifiedBy>TASSIN Thierry</cp:lastModifiedBy>
  <cp:revision>3</cp:revision>
  <dcterms:created xsi:type="dcterms:W3CDTF">2026-01-26T11:45:00Z</dcterms:created>
  <dcterms:modified xsi:type="dcterms:W3CDTF">2026-01-28T10:21:00Z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2026-01-28T10:21:34Z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b24fff2b-4503-442d-835b-6355ecc08c7e</vt:lpwstr>
  </property>
  <property fmtid="{D5CDD505-2E9C-101B-9397-08002B2CF9AE}" pid="8" name="MSIP_Label_97a477d1-147d-4e34-b5e3-7b26d2f44870_ContentBits">
    <vt:lpwstr>0</vt:lpwstr>
  </property>
  <property fmtid="{D5CDD505-2E9C-101B-9397-08002B2CF9AE}" pid="9" name="MSIP_Label_97a477d1-147d-4e34-b5e3-7b26d2f44870_Tag">
    <vt:lpwstr>10, 3, 0, 1</vt:lpwstr>
  </property>
</Properties>
</file>